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587ADF" w14:textId="058DAA2C" w:rsidR="006E0A2C" w:rsidRDefault="00251CCB" w:rsidP="006E0A2C">
      <w:pPr>
        <w:rPr>
          <w:rFonts w:cs="Calibri"/>
        </w:rPr>
      </w:pPr>
      <w:r>
        <w:rPr>
          <w:rFonts w:cs="Calibri"/>
          <w:noProof/>
        </w:rPr>
        <w:drawing>
          <wp:anchor distT="0" distB="0" distL="114300" distR="114300" simplePos="0" relativeHeight="251658240" behindDoc="0" locked="0" layoutInCell="1" allowOverlap="1" wp14:anchorId="26C60658" wp14:editId="496C4176">
            <wp:simplePos x="0" y="0"/>
            <wp:positionH relativeFrom="column">
              <wp:posOffset>-914285</wp:posOffset>
            </wp:positionH>
            <wp:positionV relativeFrom="paragraph">
              <wp:posOffset>-3621232</wp:posOffset>
            </wp:positionV>
            <wp:extent cx="7609205" cy="10798241"/>
            <wp:effectExtent l="0" t="0" r="0" b="3175"/>
            <wp:wrapNone/>
            <wp:docPr id="18219894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89417" name="Picture 182198941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10533" cy="10800125"/>
                    </a:xfrm>
                    <a:prstGeom prst="rect">
                      <a:avLst/>
                    </a:prstGeom>
                  </pic:spPr>
                </pic:pic>
              </a:graphicData>
            </a:graphic>
            <wp14:sizeRelH relativeFrom="page">
              <wp14:pctWidth>0</wp14:pctWidth>
            </wp14:sizeRelH>
            <wp14:sizeRelV relativeFrom="page">
              <wp14:pctHeight>0</wp14:pctHeight>
            </wp14:sizeRelV>
          </wp:anchor>
        </w:drawing>
      </w:r>
    </w:p>
    <w:p w14:paraId="33732429" w14:textId="77777777" w:rsidR="00251CCB" w:rsidRPr="00903728" w:rsidRDefault="00251CCB" w:rsidP="006E0A2C">
      <w:pPr>
        <w:rPr>
          <w:rFonts w:cs="Calibri"/>
        </w:rPr>
      </w:pPr>
    </w:p>
    <w:p w14:paraId="6C6EB44C" w14:textId="77777777" w:rsidR="006E0A2C" w:rsidRPr="00903728" w:rsidRDefault="006E0A2C" w:rsidP="006E0A2C">
      <w:pPr>
        <w:sectPr w:rsidR="006E0A2C" w:rsidRPr="00903728" w:rsidSect="00BF74C7">
          <w:headerReference w:type="default" r:id="rId9"/>
          <w:footerReference w:type="default" r:id="rId10"/>
          <w:pgSz w:w="11907" w:h="16840" w:code="9"/>
          <w:pgMar w:top="5670" w:right="1418" w:bottom="1701" w:left="1418" w:header="567" w:footer="567" w:gutter="0"/>
          <w:cols w:space="720"/>
        </w:sectPr>
      </w:pPr>
    </w:p>
    <w:p w14:paraId="6E07A80A" w14:textId="77777777" w:rsidR="00602697" w:rsidRPr="006B77BB" w:rsidRDefault="00602697" w:rsidP="00602697">
      <w:pPr>
        <w:pStyle w:val="Imprint"/>
        <w:spacing w:after="0"/>
        <w:jc w:val="left"/>
        <w:rPr>
          <w:b/>
        </w:rPr>
      </w:pPr>
      <w:r w:rsidRPr="006B77BB">
        <w:rPr>
          <w:b/>
        </w:rPr>
        <w:lastRenderedPageBreak/>
        <w:t>Disclaimer</w:t>
      </w:r>
    </w:p>
    <w:p w14:paraId="36C67F25" w14:textId="77777777" w:rsidR="00602697" w:rsidRDefault="00602697" w:rsidP="00602697">
      <w:pPr>
        <w:pStyle w:val="BodyText"/>
      </w:pPr>
      <w:r>
        <w:t xml:space="preserve">The information in this publication is, according to the Ministry for the Environment’s best efforts, accurate at the time of publication. The Ministry will make every reasonable effort to keep it </w:t>
      </w:r>
      <w:r w:rsidRPr="00573E06">
        <w:t>current</w:t>
      </w:r>
      <w:r>
        <w:t xml:space="preserve"> and accurate. However, users of this publication are advised that: </w:t>
      </w:r>
    </w:p>
    <w:p w14:paraId="78087D7D" w14:textId="77777777" w:rsidR="00602697" w:rsidRPr="00573E06" w:rsidRDefault="00602697" w:rsidP="00602697">
      <w:pPr>
        <w:pStyle w:val="Bullet"/>
      </w:pPr>
      <w:r>
        <w:t xml:space="preserve">the information does not alter the laws of New Zealand, other official guidelines, or </w:t>
      </w:r>
      <w:r w:rsidRPr="00573E06">
        <w:t xml:space="preserve">requirements </w:t>
      </w:r>
    </w:p>
    <w:p w14:paraId="78C31673" w14:textId="77777777" w:rsidR="00602697" w:rsidRPr="00573E06" w:rsidRDefault="00602697" w:rsidP="00602697">
      <w:pPr>
        <w:pStyle w:val="Bullet"/>
      </w:pPr>
      <w:r w:rsidRPr="00573E06">
        <w:t xml:space="preserve">it does not constitute legal advice, and users should take specific advice from qualified professionals before taking any action based on information in this publication </w:t>
      </w:r>
    </w:p>
    <w:p w14:paraId="6F41254C" w14:textId="0C38B3FE" w:rsidR="00602697" w:rsidRDefault="00602697" w:rsidP="00602697">
      <w:pPr>
        <w:pStyle w:val="Bullet"/>
      </w:pPr>
      <w:r w:rsidRPr="00573E06">
        <w:t>the Ministry does not accept any responsibility or liability whatsoever whether in contract, tort, equity, or otherwise for any action taken as a result of reading, or reliance placed on</w:t>
      </w:r>
      <w:r w:rsidR="00A31F4D">
        <w:t> </w:t>
      </w:r>
      <w:r w:rsidRPr="00573E06">
        <w:t>this publica</w:t>
      </w:r>
      <w:r>
        <w:t xml:space="preserve">tion because of having read any part, or all, of the information in this publication or for any error, or inadequacy, deficiency, flaw in, or omission from the information in this publication </w:t>
      </w:r>
    </w:p>
    <w:p w14:paraId="3140C7A0" w14:textId="77777777" w:rsidR="00602697" w:rsidRPr="009E06AA" w:rsidRDefault="00602697" w:rsidP="00602697">
      <w:pPr>
        <w:pStyle w:val="Bullet"/>
        <w:rPr>
          <w:rFonts w:cs="Calibri"/>
          <w:color w:val="000000"/>
        </w:rPr>
      </w:pPr>
      <w:r>
        <w:t>all references to websites, organisations or people not within the Ministry are for convenience only and should not be taken as endorsement of those websites or information contained in those websites nor of organisations or people referred to.</w:t>
      </w:r>
    </w:p>
    <w:p w14:paraId="1D371813" w14:textId="77777777" w:rsidR="00824EAA" w:rsidRPr="00903728" w:rsidRDefault="00824EAA" w:rsidP="00824EAA">
      <w:pPr>
        <w:pStyle w:val="Imprint"/>
        <w:spacing w:after="120"/>
        <w:jc w:val="left"/>
        <w:rPr>
          <w:rFonts w:cs="Calibri"/>
          <w:color w:val="000000"/>
        </w:rPr>
      </w:pPr>
    </w:p>
    <w:p w14:paraId="65A3474C" w14:textId="77777777" w:rsidR="00824EAA" w:rsidRPr="00903728" w:rsidRDefault="00824EAA" w:rsidP="00824EAA">
      <w:pPr>
        <w:pStyle w:val="Imprint"/>
        <w:spacing w:after="120"/>
        <w:jc w:val="left"/>
        <w:rPr>
          <w:rFonts w:cs="Calibri"/>
          <w:color w:val="000000"/>
        </w:rPr>
      </w:pPr>
    </w:p>
    <w:p w14:paraId="43F329DE" w14:textId="77777777" w:rsidR="00824EAA" w:rsidRPr="00903728" w:rsidRDefault="00824EAA" w:rsidP="00824EAA">
      <w:pPr>
        <w:pStyle w:val="Imprint"/>
        <w:spacing w:after="120"/>
        <w:jc w:val="left"/>
        <w:rPr>
          <w:rFonts w:cs="Calibri"/>
          <w:color w:val="000000"/>
        </w:rPr>
      </w:pPr>
    </w:p>
    <w:p w14:paraId="6299FBC5" w14:textId="77777777" w:rsidR="00824EAA" w:rsidRPr="00903728" w:rsidRDefault="00824EAA" w:rsidP="00824EAA">
      <w:pPr>
        <w:pStyle w:val="Imprint"/>
        <w:spacing w:after="120"/>
        <w:jc w:val="left"/>
        <w:rPr>
          <w:rFonts w:cs="Calibri"/>
          <w:color w:val="000000"/>
        </w:rPr>
      </w:pPr>
    </w:p>
    <w:p w14:paraId="485C9167" w14:textId="2BE3084D" w:rsidR="00824EAA" w:rsidRPr="00903728" w:rsidRDefault="00824EAA" w:rsidP="00824EAA">
      <w:pPr>
        <w:pStyle w:val="Imprint"/>
        <w:spacing w:after="120"/>
        <w:jc w:val="left"/>
        <w:rPr>
          <w:rFonts w:cs="Calibri"/>
        </w:rPr>
      </w:pPr>
      <w:r w:rsidRPr="00903728">
        <w:rPr>
          <w:rFonts w:cs="Calibri"/>
          <w:color w:val="000000"/>
        </w:rPr>
        <w:t xml:space="preserve">This document may be cited as: Ministry for the Environment. </w:t>
      </w:r>
      <w:r w:rsidR="00D55917" w:rsidRPr="00903728">
        <w:rPr>
          <w:rFonts w:cs="Calibri"/>
          <w:color w:val="000000"/>
        </w:rPr>
        <w:t>202</w:t>
      </w:r>
      <w:r w:rsidR="005F7E89">
        <w:rPr>
          <w:rFonts w:cs="Calibri"/>
          <w:color w:val="000000"/>
        </w:rPr>
        <w:t>6</w:t>
      </w:r>
      <w:r w:rsidRPr="00903728">
        <w:rPr>
          <w:rFonts w:cs="Calibri"/>
          <w:color w:val="000000"/>
        </w:rPr>
        <w:t xml:space="preserve">. </w:t>
      </w:r>
      <w:r w:rsidRPr="00903728">
        <w:rPr>
          <w:rFonts w:cs="Calibri"/>
          <w:i/>
          <w:iCs/>
          <w:color w:val="000000"/>
        </w:rPr>
        <w:t>New Zealand’s Greenhouse Gas Inventory 1990–202</w:t>
      </w:r>
      <w:r w:rsidR="005F7E89">
        <w:rPr>
          <w:rFonts w:cs="Calibri"/>
          <w:i/>
          <w:iCs/>
          <w:color w:val="000000"/>
        </w:rPr>
        <w:t>4</w:t>
      </w:r>
      <w:r w:rsidRPr="00903728">
        <w:rPr>
          <w:rFonts w:cs="Calibri"/>
          <w:i/>
          <w:iCs/>
          <w:color w:val="000000"/>
        </w:rPr>
        <w:t xml:space="preserve">. </w:t>
      </w:r>
      <w:r w:rsidRPr="00903728">
        <w:rPr>
          <w:rFonts w:cs="Calibri"/>
          <w:color w:val="000000"/>
        </w:rPr>
        <w:t>Wellington: Ministry for the Environment.</w:t>
      </w:r>
    </w:p>
    <w:p w14:paraId="2242F848" w14:textId="77777777" w:rsidR="00824EAA" w:rsidRPr="00903728" w:rsidRDefault="00824EAA" w:rsidP="00824EAA">
      <w:pPr>
        <w:pStyle w:val="Imprint"/>
        <w:spacing w:after="120"/>
        <w:jc w:val="left"/>
        <w:rPr>
          <w:rFonts w:cs="Calibri"/>
        </w:rPr>
      </w:pPr>
    </w:p>
    <w:p w14:paraId="7E3BB027" w14:textId="77777777" w:rsidR="00824EAA" w:rsidRPr="00903728" w:rsidRDefault="00824EAA" w:rsidP="00824EAA">
      <w:pPr>
        <w:pStyle w:val="Imprint"/>
        <w:spacing w:after="120"/>
        <w:jc w:val="left"/>
        <w:rPr>
          <w:rFonts w:cs="Calibri"/>
        </w:rPr>
      </w:pPr>
    </w:p>
    <w:p w14:paraId="52E1CBBE" w14:textId="77777777" w:rsidR="00824EAA" w:rsidRPr="00903728" w:rsidRDefault="00824EAA" w:rsidP="00824EAA">
      <w:pPr>
        <w:pStyle w:val="Imprint"/>
        <w:spacing w:after="120"/>
        <w:jc w:val="left"/>
        <w:rPr>
          <w:rFonts w:cs="Calibri"/>
        </w:rPr>
      </w:pPr>
    </w:p>
    <w:p w14:paraId="3B52105D" w14:textId="77777777" w:rsidR="00824EAA" w:rsidRPr="00903728" w:rsidRDefault="00824EAA" w:rsidP="00824EAA">
      <w:pPr>
        <w:pStyle w:val="Imprint"/>
        <w:spacing w:after="120"/>
        <w:jc w:val="left"/>
        <w:rPr>
          <w:rFonts w:cs="Calibri"/>
        </w:rPr>
      </w:pPr>
    </w:p>
    <w:p w14:paraId="564A9F8B" w14:textId="77777777" w:rsidR="00824EAA" w:rsidRPr="00903728" w:rsidRDefault="00824EAA" w:rsidP="00824EAA">
      <w:pPr>
        <w:pStyle w:val="Imprint"/>
        <w:spacing w:after="120"/>
        <w:jc w:val="left"/>
        <w:rPr>
          <w:rFonts w:cs="Calibri"/>
        </w:rPr>
      </w:pPr>
    </w:p>
    <w:p w14:paraId="07D77695" w14:textId="77777777" w:rsidR="00824EAA" w:rsidRDefault="00824EAA" w:rsidP="00824EAA">
      <w:pPr>
        <w:pStyle w:val="Imprint"/>
        <w:spacing w:after="120"/>
        <w:jc w:val="left"/>
        <w:rPr>
          <w:rFonts w:cs="Calibri"/>
        </w:rPr>
      </w:pPr>
    </w:p>
    <w:p w14:paraId="586A864C" w14:textId="77777777" w:rsidR="00543C02" w:rsidRDefault="00543C02" w:rsidP="00543C02"/>
    <w:p w14:paraId="1B179813" w14:textId="77777777" w:rsidR="00543C02" w:rsidRPr="00543C02" w:rsidRDefault="00543C02" w:rsidP="00543C02"/>
    <w:p w14:paraId="6FECF8DC" w14:textId="77777777" w:rsidR="00824EAA" w:rsidRPr="00903728" w:rsidRDefault="00824EAA" w:rsidP="00602697">
      <w:pPr>
        <w:pStyle w:val="Imprint"/>
        <w:spacing w:before="120" w:after="120"/>
        <w:jc w:val="left"/>
        <w:rPr>
          <w:rFonts w:cs="Arial"/>
        </w:rPr>
      </w:pPr>
      <w:r w:rsidRPr="00903728">
        <w:rPr>
          <w:rFonts w:cs="Calibri"/>
        </w:rPr>
        <w:t xml:space="preserve">Volume 1, </w:t>
      </w:r>
      <w:r w:rsidR="00602697">
        <w:rPr>
          <w:rFonts w:cs="Calibri"/>
        </w:rPr>
        <w:t>c</w:t>
      </w:r>
      <w:r w:rsidRPr="00903728">
        <w:rPr>
          <w:rFonts w:cs="Calibri"/>
        </w:rPr>
        <w:t>hapters 1–1</w:t>
      </w:r>
      <w:r w:rsidR="00D55917" w:rsidRPr="00903728">
        <w:rPr>
          <w:rFonts w:cs="Calibri"/>
        </w:rPr>
        <w:t>0</w:t>
      </w:r>
    </w:p>
    <w:p w14:paraId="7113FBBE" w14:textId="183186C9" w:rsidR="00824EAA" w:rsidRPr="00903728" w:rsidRDefault="00824EAA" w:rsidP="00602697">
      <w:pPr>
        <w:pStyle w:val="Imprint"/>
        <w:spacing w:before="120"/>
        <w:jc w:val="left"/>
        <w:rPr>
          <w:rFonts w:cs="Arial"/>
        </w:rPr>
      </w:pPr>
      <w:r w:rsidRPr="00903728">
        <w:rPr>
          <w:rFonts w:cs="Calibri"/>
        </w:rPr>
        <w:t>Published in April 202</w:t>
      </w:r>
      <w:r w:rsidR="005F7E89">
        <w:rPr>
          <w:rFonts w:cs="Calibri"/>
        </w:rPr>
        <w:t>6</w:t>
      </w:r>
      <w:r w:rsidRPr="00903728">
        <w:rPr>
          <w:rFonts w:cs="Calibri"/>
        </w:rPr>
        <w:t xml:space="preserve"> by the</w:t>
      </w:r>
      <w:r w:rsidRPr="00903728">
        <w:rPr>
          <w:rFonts w:cs="Arial"/>
        </w:rPr>
        <w:br/>
        <w:t xml:space="preserve">Ministry for the Environment </w:t>
      </w:r>
      <w:r w:rsidRPr="00903728">
        <w:rPr>
          <w:rFonts w:cs="Arial"/>
        </w:rPr>
        <w:br/>
        <w:t>Manatū Mō Te Taiao</w:t>
      </w:r>
      <w:r w:rsidRPr="00903728">
        <w:rPr>
          <w:rFonts w:cs="Arial"/>
        </w:rPr>
        <w:br/>
        <w:t>PO Box 10-362, Wellington, New Zealand</w:t>
      </w:r>
    </w:p>
    <w:p w14:paraId="26AD908D" w14:textId="77777777" w:rsidR="00824EAA" w:rsidRPr="00903728" w:rsidRDefault="00824EAA" w:rsidP="00824EAA">
      <w:pPr>
        <w:pStyle w:val="Imprint"/>
        <w:tabs>
          <w:tab w:val="left" w:pos="709"/>
        </w:tabs>
        <w:spacing w:after="0"/>
        <w:jc w:val="left"/>
      </w:pPr>
      <w:r w:rsidRPr="00903728">
        <w:t>ISSN:</w:t>
      </w:r>
      <w:r w:rsidRPr="00903728">
        <w:tab/>
      </w:r>
      <w:r w:rsidRPr="00903728">
        <w:rPr>
          <w:lang w:eastAsia="en-GB"/>
        </w:rPr>
        <w:t xml:space="preserve">1179-223X </w:t>
      </w:r>
      <w:r w:rsidRPr="00903728">
        <w:t>(electronic)</w:t>
      </w:r>
    </w:p>
    <w:p w14:paraId="6B8F33AF" w14:textId="7C604D19" w:rsidR="00824EAA" w:rsidRPr="00903728" w:rsidRDefault="00824EAA" w:rsidP="00824EAA">
      <w:pPr>
        <w:pStyle w:val="Imprint"/>
        <w:tabs>
          <w:tab w:val="left" w:pos="709"/>
        </w:tabs>
        <w:jc w:val="left"/>
        <w:rPr>
          <w:lang w:eastAsia="en-GB"/>
        </w:rPr>
      </w:pPr>
      <w:r w:rsidRPr="00903728">
        <w:t xml:space="preserve">Publication number: </w:t>
      </w:r>
      <w:r w:rsidRPr="00903728">
        <w:rPr>
          <w:lang w:eastAsia="en-GB"/>
        </w:rPr>
        <w:t xml:space="preserve">ME </w:t>
      </w:r>
      <w:r w:rsidR="007C1682" w:rsidRPr="007C1682">
        <w:rPr>
          <w:lang w:eastAsia="en-GB"/>
        </w:rPr>
        <w:t>1963</w:t>
      </w:r>
    </w:p>
    <w:p w14:paraId="6FBE9ED5" w14:textId="5F9023F3" w:rsidR="00824EAA" w:rsidRPr="00903728" w:rsidRDefault="00824EAA" w:rsidP="00824EAA">
      <w:pPr>
        <w:rPr>
          <w:rFonts w:cs="Calibri"/>
        </w:rPr>
      </w:pPr>
      <w:r w:rsidRPr="00903728">
        <w:rPr>
          <w:rFonts w:cs="Calibri"/>
        </w:rPr>
        <w:t>© Crown copyright New Zealand 202</w:t>
      </w:r>
      <w:r w:rsidR="005F7E89">
        <w:rPr>
          <w:rFonts w:cs="Calibri"/>
        </w:rPr>
        <w:t>6</w:t>
      </w:r>
    </w:p>
    <w:p w14:paraId="7EE03EB2" w14:textId="77777777" w:rsidR="00824EAA" w:rsidRPr="00903728" w:rsidRDefault="00824EAA" w:rsidP="00824EAA">
      <w:pPr>
        <w:rPr>
          <w:rFonts w:cs="Calibri"/>
        </w:rPr>
      </w:pPr>
    </w:p>
    <w:p w14:paraId="7BD23376" w14:textId="77777777" w:rsidR="00824EAA" w:rsidRPr="00903728" w:rsidRDefault="00824EAA" w:rsidP="00824EAA">
      <w:pPr>
        <w:autoSpaceDE w:val="0"/>
        <w:autoSpaceDN w:val="0"/>
        <w:adjustRightInd w:val="0"/>
        <w:rPr>
          <w:rFonts w:cs="Calibri"/>
          <w:color w:val="000000"/>
        </w:rPr>
      </w:pPr>
      <w:r w:rsidRPr="00903728">
        <w:rPr>
          <w:rFonts w:cs="Calibri"/>
          <w:color w:val="000000"/>
        </w:rPr>
        <w:t>This document is available on the Ministry for the Environment website:</w:t>
      </w:r>
    </w:p>
    <w:p w14:paraId="4A0D3F5C" w14:textId="77777777" w:rsidR="00824EAA" w:rsidRPr="00903728" w:rsidRDefault="00824EAA" w:rsidP="00824EAA">
      <w:r w:rsidRPr="00903728">
        <w:rPr>
          <w:rFonts w:cs="Calibri"/>
          <w:color w:val="32819D"/>
        </w:rPr>
        <w:t>www.environment.govt.nz</w:t>
      </w:r>
      <w:r w:rsidRPr="00903728">
        <w:rPr>
          <w:rFonts w:cs="Calibri"/>
          <w:color w:val="000000"/>
        </w:rPr>
        <w:t>.</w:t>
      </w:r>
    </w:p>
    <w:p w14:paraId="7944923F" w14:textId="77777777" w:rsidR="006E0A2C" w:rsidRPr="00903728" w:rsidRDefault="006E0A2C" w:rsidP="006E0A2C">
      <w:pPr>
        <w:sectPr w:rsidR="006E0A2C" w:rsidRPr="00903728" w:rsidSect="00543C02">
          <w:headerReference w:type="default" r:id="rId11"/>
          <w:footerReference w:type="default" r:id="rId12"/>
          <w:pgSz w:w="11907" w:h="16840" w:code="9"/>
          <w:pgMar w:top="1418" w:right="1701" w:bottom="1418" w:left="1701" w:header="567" w:footer="567" w:gutter="0"/>
          <w:pgNumType w:fmt="lowerRoman"/>
          <w:cols w:space="720"/>
        </w:sectPr>
      </w:pPr>
    </w:p>
    <w:p w14:paraId="2F0CC714" w14:textId="77777777" w:rsidR="00195776" w:rsidRPr="00F53906" w:rsidRDefault="00195776" w:rsidP="00195776">
      <w:pPr>
        <w:pStyle w:val="Heading1"/>
        <w:rPr>
          <w:rFonts w:eastAsia="Georgia" w:cs="Georgia"/>
          <w:color w:val="1B556B" w:themeColor="text2"/>
        </w:rPr>
      </w:pPr>
      <w:bookmarkStart w:id="0" w:name="_Toc226460727"/>
      <w:r w:rsidRPr="00F53906">
        <w:rPr>
          <w:rFonts w:eastAsia="Georgia" w:cs="Georgia"/>
          <w:color w:val="1B556B" w:themeColor="text2"/>
        </w:rPr>
        <w:lastRenderedPageBreak/>
        <w:t>Acknowledgements</w:t>
      </w:r>
      <w:bookmarkEnd w:id="0"/>
    </w:p>
    <w:p w14:paraId="183E0B88" w14:textId="77777777" w:rsidR="00195776" w:rsidRPr="00F53906" w:rsidRDefault="00195776" w:rsidP="00195776">
      <w:pPr>
        <w:pStyle w:val="BodyText"/>
        <w:spacing w:before="0"/>
        <w:rPr>
          <w:rFonts w:eastAsia="Calibri" w:cs="Calibri"/>
          <w:color w:val="000000" w:themeColor="text1"/>
        </w:rPr>
      </w:pPr>
      <w:r w:rsidRPr="00F53906">
        <w:rPr>
          <w:rFonts w:eastAsia="Calibri" w:cs="Calibri"/>
          <w:color w:val="000000" w:themeColor="text1"/>
        </w:rPr>
        <w:t>The Ministry for the Environment thanks and acknowledges the many experts from central and local government agencies, industry and science organisations who contributed to the development and compilation of this inventory. Members of the Reporting Governance Group (RGG) are also acknowledged for their general advice and guidance over the production of this report.</w:t>
      </w:r>
    </w:p>
    <w:p w14:paraId="1F4D1BE7" w14:textId="77777777" w:rsidR="00195776" w:rsidRPr="00F53906" w:rsidRDefault="00195776" w:rsidP="00195776">
      <w:pPr>
        <w:pStyle w:val="Heading6"/>
        <w:spacing w:before="120" w:after="80"/>
        <w:rPr>
          <w:rFonts w:eastAsia="Calibri"/>
          <w:color w:val="0E2A35"/>
        </w:rPr>
      </w:pPr>
      <w:r w:rsidRPr="00F53906">
        <w:rPr>
          <w:rFonts w:eastAsia="Calibri"/>
          <w:color w:val="0E2A35"/>
        </w:rPr>
        <w:t>Key contributors</w:t>
      </w:r>
    </w:p>
    <w:p w14:paraId="6C3428EF" w14:textId="77777777" w:rsidR="00195776" w:rsidRPr="00F53906" w:rsidRDefault="00195776" w:rsidP="00195776">
      <w:pPr>
        <w:spacing w:before="120"/>
        <w:rPr>
          <w:rFonts w:eastAsia="Calibri" w:cs="Calibri"/>
          <w:color w:val="000000" w:themeColor="text1"/>
        </w:rPr>
      </w:pPr>
      <w:r w:rsidRPr="00F53906">
        <w:rPr>
          <w:rFonts w:eastAsia="Calibri" w:cs="Calibri"/>
          <w:b/>
          <w:bCs/>
          <w:i/>
          <w:iCs/>
          <w:color w:val="000000" w:themeColor="text1"/>
        </w:rPr>
        <w:t xml:space="preserve">Ministry for the Environment </w:t>
      </w:r>
    </w:p>
    <w:p w14:paraId="2813459F" w14:textId="77777777" w:rsidR="00195776" w:rsidRPr="00F53906" w:rsidRDefault="00195776" w:rsidP="00195776">
      <w:pPr>
        <w:pStyle w:val="BodyText"/>
        <w:spacing w:after="80"/>
        <w:rPr>
          <w:rFonts w:eastAsia="Calibri" w:cs="Calibri"/>
          <w:color w:val="000000" w:themeColor="text1"/>
        </w:rPr>
      </w:pPr>
      <w:r w:rsidRPr="00F53906">
        <w:rPr>
          <w:rFonts w:eastAsia="Calibri" w:cs="Calibri"/>
          <w:i/>
          <w:iCs/>
          <w:color w:val="000000" w:themeColor="text1"/>
        </w:rPr>
        <w:t>Cross-sector and sector compilation</w:t>
      </w:r>
    </w:p>
    <w:p w14:paraId="0662B4B7"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Dr Andrea Brandon (National Inventory Focal Point, National Inventory Compiler)</w:t>
      </w:r>
    </w:p>
    <w:p w14:paraId="13BB7CB1"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Chris Bean (technical lead</w:t>
      </w:r>
      <w:r w:rsidRPr="00F53906" w:rsidDel="34B92214">
        <w:rPr>
          <w:rFonts w:eastAsia="Calibri" w:cs="Calibri"/>
          <w:color w:val="000000" w:themeColor="text1"/>
        </w:rPr>
        <w:t xml:space="preserve">, </w:t>
      </w:r>
      <w:r w:rsidRPr="00F53906">
        <w:rPr>
          <w:rFonts w:eastAsia="Calibri" w:cs="Calibri"/>
          <w:color w:val="000000" w:themeColor="text1"/>
        </w:rPr>
        <w:t>cross-sector analyses, Tokelau sector support)</w:t>
      </w:r>
    </w:p>
    <w:p w14:paraId="1AAB4C39"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Samuel Roper (quality assurance and quality control (QA/QC) lead, GHG Inventory automation lead, cross-sector analyses)</w:t>
      </w:r>
    </w:p>
    <w:p w14:paraId="3897E9D8"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 xml:space="preserve">Parvin Siva (Industrial Processes and Product Use (IPPU) sector lead) </w:t>
      </w:r>
    </w:p>
    <w:p w14:paraId="36F2D3B8"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Dr Ivan Chirino-Valle (Waste sector lead, Waste chapter automation, QA/QC)</w:t>
      </w:r>
    </w:p>
    <w:p w14:paraId="1CB101ED"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Riki Taylor (Land Use, Land-Use Change and Forestry (LULUCF) sector lead)</w:t>
      </w:r>
    </w:p>
    <w:p w14:paraId="4DA3B0E5"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Charissa Billings (Tokelau sector lead, Tokelau chapter automation, chapter compilation lead)</w:t>
      </w:r>
    </w:p>
    <w:p w14:paraId="1BC62C31" w14:textId="77777777" w:rsidR="00195776" w:rsidRPr="00F53906" w:rsidRDefault="00195776" w:rsidP="00195776">
      <w:pPr>
        <w:pStyle w:val="BodyText"/>
        <w:spacing w:after="80"/>
        <w:rPr>
          <w:rFonts w:eastAsia="Calibri" w:cs="Calibri"/>
          <w:color w:val="000000" w:themeColor="text1"/>
        </w:rPr>
      </w:pPr>
      <w:r w:rsidRPr="00F53906">
        <w:rPr>
          <w:rFonts w:eastAsia="Calibri" w:cs="Calibri"/>
          <w:i/>
          <w:iCs/>
          <w:color w:val="000000" w:themeColor="text1"/>
        </w:rPr>
        <w:t>Peer review and quality control</w:t>
      </w:r>
    </w:p>
    <w:p w14:paraId="1C9A15F7" w14:textId="77777777" w:rsidR="00195776" w:rsidRPr="00F53906" w:rsidRDefault="00195776" w:rsidP="00195776">
      <w:pPr>
        <w:pStyle w:val="Bullet"/>
        <w:rPr>
          <w:rFonts w:eastAsia="Calibri"/>
        </w:rPr>
      </w:pPr>
      <w:r w:rsidRPr="00F53906">
        <w:rPr>
          <w:rFonts w:eastAsia="Calibri"/>
        </w:rPr>
        <w:t>Dr Ivan Chirino-Valle, Samual Roper, Dr Anne Wekesa, Dom Fyfe, Audrey Lustig, Charissa Billings, Chris Bean, Dr Daniel Boczniewicz, Stephen Piva (QA/QC)</w:t>
      </w:r>
    </w:p>
    <w:p w14:paraId="5E49671E" w14:textId="77777777" w:rsidR="00195776" w:rsidRPr="00F53906" w:rsidRDefault="00195776" w:rsidP="00195776">
      <w:pPr>
        <w:pStyle w:val="Bullet"/>
        <w:rPr>
          <w:rFonts w:eastAsia="Calibri"/>
        </w:rPr>
      </w:pPr>
      <w:r w:rsidRPr="00F53906">
        <w:rPr>
          <w:rFonts w:eastAsia="Calibri"/>
        </w:rPr>
        <w:t>Alice Ryan, Chris Bean (peer review)</w:t>
      </w:r>
    </w:p>
    <w:p w14:paraId="4105C131" w14:textId="77777777" w:rsidR="00195776" w:rsidRPr="00F53906" w:rsidRDefault="00195776" w:rsidP="00195776">
      <w:pPr>
        <w:pStyle w:val="BodyText"/>
        <w:spacing w:after="80"/>
        <w:rPr>
          <w:rFonts w:eastAsia="Calibri" w:cs="Calibri"/>
          <w:i/>
          <w:iCs/>
          <w:color w:val="000000" w:themeColor="text1"/>
        </w:rPr>
      </w:pPr>
      <w:r w:rsidRPr="00F53906">
        <w:rPr>
          <w:rFonts w:eastAsia="Calibri" w:cs="Calibri"/>
          <w:i/>
          <w:iCs/>
          <w:color w:val="000000" w:themeColor="text1"/>
        </w:rPr>
        <w:t>Other contributors</w:t>
      </w:r>
    </w:p>
    <w:p w14:paraId="14D13FBB"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Frances Barnett (supplementary products lead)</w:t>
      </w:r>
    </w:p>
    <w:p w14:paraId="3A86B4FD"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Clare Browne (project support)</w:t>
      </w:r>
    </w:p>
    <w:p w14:paraId="5CDA0F65"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 xml:space="preserve">Deborah Burgess (LULUCF sector lead support) </w:t>
      </w:r>
    </w:p>
    <w:p w14:paraId="348D8C74"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Louis Day, Stephen Minchin and Katrina Walsh (communications and publishing)</w:t>
      </w:r>
    </w:p>
    <w:p w14:paraId="35521429" w14:textId="77777777" w:rsidR="00195776" w:rsidRPr="00F53906" w:rsidRDefault="00195776" w:rsidP="00195776">
      <w:pPr>
        <w:pStyle w:val="BodyText"/>
        <w:spacing w:after="60"/>
        <w:rPr>
          <w:rFonts w:eastAsia="Calibri" w:cs="Calibri"/>
          <w:color w:val="000000" w:themeColor="text1"/>
        </w:rPr>
      </w:pPr>
      <w:r w:rsidRPr="00F53906">
        <w:rPr>
          <w:rFonts w:eastAsia="Calibri" w:cs="Calibri"/>
          <w:i/>
          <w:iCs/>
          <w:color w:val="000000" w:themeColor="text1"/>
        </w:rPr>
        <w:t>Governance</w:t>
      </w:r>
    </w:p>
    <w:p w14:paraId="28DC3074"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Robyn Crisford (GHG Inventory manager, RGG manager – Tokelau and IPPU)</w:t>
      </w:r>
    </w:p>
    <w:p w14:paraId="223B9787"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Dr Alice Cleland (RGG Chair)</w:t>
      </w:r>
    </w:p>
    <w:p w14:paraId="6330D129"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Dan Elder (RGG manager – LULUCF and Waste)</w:t>
      </w:r>
    </w:p>
    <w:p w14:paraId="62D4F7CC" w14:textId="77777777" w:rsidR="00195776" w:rsidRPr="00F53906" w:rsidRDefault="00195776" w:rsidP="00195776">
      <w:pPr>
        <w:pStyle w:val="Bullet"/>
        <w:rPr>
          <w:rFonts w:eastAsia="Calibri" w:cs="Calibri"/>
          <w:color w:val="000000" w:themeColor="text1"/>
        </w:rPr>
      </w:pPr>
      <w:r w:rsidRPr="00F53906">
        <w:rPr>
          <w:rFonts w:eastAsia="Calibri" w:cs="Calibri"/>
          <w:color w:val="000000" w:themeColor="text1"/>
        </w:rPr>
        <w:t>Aaron Napier (GHG Inventory general manager)</w:t>
      </w:r>
    </w:p>
    <w:p w14:paraId="1F332826" w14:textId="77777777" w:rsidR="00195776" w:rsidRPr="00F53906" w:rsidRDefault="00195776" w:rsidP="00195776">
      <w:pPr>
        <w:pStyle w:val="Heading6"/>
        <w:spacing w:before="120" w:after="80"/>
        <w:rPr>
          <w:rFonts w:eastAsia="Calibri"/>
          <w:color w:val="0E2A35"/>
        </w:rPr>
      </w:pPr>
      <w:r w:rsidRPr="00F53906">
        <w:rPr>
          <w:rFonts w:eastAsia="Calibri"/>
          <w:i/>
          <w:iCs/>
          <w:color w:val="0E2A35"/>
        </w:rPr>
        <w:t>Ministry for Primary Industries</w:t>
      </w:r>
    </w:p>
    <w:p w14:paraId="089807E2"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Jamie Higgison (Agriculture sector lead)</w:t>
      </w:r>
    </w:p>
    <w:p w14:paraId="4B7326EB"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Sophie Mead, Catherine Sangster, Rata Lomax (Agriculture inventory team)</w:t>
      </w:r>
    </w:p>
    <w:p w14:paraId="1BA8D998"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Joel Gibbs (RGG manager – Agriculture)</w:t>
      </w:r>
    </w:p>
    <w:p w14:paraId="37B055FD" w14:textId="77777777" w:rsidR="00195776" w:rsidRPr="00F53906" w:rsidRDefault="00195776" w:rsidP="00195776">
      <w:pPr>
        <w:pStyle w:val="Heading6"/>
        <w:spacing w:before="120" w:after="80"/>
        <w:rPr>
          <w:rFonts w:eastAsia="Calibri"/>
          <w:color w:val="0E2A35"/>
        </w:rPr>
      </w:pPr>
      <w:r w:rsidRPr="00F53906">
        <w:rPr>
          <w:rFonts w:eastAsia="Calibri"/>
          <w:i/>
          <w:iCs/>
          <w:color w:val="0E2A35"/>
        </w:rPr>
        <w:lastRenderedPageBreak/>
        <w:t>Ministry of Business, Innovation and Employment</w:t>
      </w:r>
    </w:p>
    <w:p w14:paraId="02DFA67A" w14:textId="77777777" w:rsidR="00195776" w:rsidRPr="00F53906" w:rsidRDefault="00195776" w:rsidP="00195776">
      <w:pPr>
        <w:pStyle w:val="Bullet"/>
        <w:keepNext/>
        <w:spacing w:after="40"/>
        <w:rPr>
          <w:rFonts w:eastAsia="Calibri" w:cs="Calibri"/>
          <w:color w:val="000000" w:themeColor="text1"/>
        </w:rPr>
      </w:pPr>
      <w:r w:rsidRPr="00F53906">
        <w:rPr>
          <w:rFonts w:eastAsia="Calibri" w:cs="Calibri"/>
          <w:color w:val="000000" w:themeColor="text1"/>
        </w:rPr>
        <w:t xml:space="preserve">Dr Michael Smith (Energy sector lead, IPPU: carbon dioxide) </w:t>
      </w:r>
    </w:p>
    <w:p w14:paraId="59024872"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Dr Jan-Yves Ruzicka (QA/QC, Energy)</w:t>
      </w:r>
    </w:p>
    <w:p w14:paraId="47A22B1C"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Maria Botes (QA/QC and peer review, Energy)</w:t>
      </w:r>
    </w:p>
    <w:p w14:paraId="335CBF05"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Dr Amapola Generosa (RGG manager – Energy)</w:t>
      </w:r>
    </w:p>
    <w:p w14:paraId="0818E13C" w14:textId="77777777" w:rsidR="00195776" w:rsidRPr="00F53906" w:rsidRDefault="00195776" w:rsidP="00195776">
      <w:pPr>
        <w:pStyle w:val="Heading6"/>
        <w:spacing w:before="120" w:after="80"/>
        <w:rPr>
          <w:rFonts w:eastAsia="Calibri"/>
          <w:color w:val="0E2A35"/>
        </w:rPr>
      </w:pPr>
      <w:r w:rsidRPr="00F53906">
        <w:rPr>
          <w:rFonts w:eastAsia="Calibri"/>
          <w:i/>
          <w:iCs/>
          <w:color w:val="0E2A35"/>
        </w:rPr>
        <w:t xml:space="preserve">Environmental Protection Authority </w:t>
      </w:r>
    </w:p>
    <w:p w14:paraId="3D857A09"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Johanna Milius (peer review, IPPU)</w:t>
      </w:r>
    </w:p>
    <w:p w14:paraId="44A790CC"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 xml:space="preserve">Dave Stuart (team leader, Emissions Trading Scheme operations) </w:t>
      </w:r>
    </w:p>
    <w:p w14:paraId="6B6AC0AB" w14:textId="77777777" w:rsidR="00195776" w:rsidRPr="00F53906" w:rsidRDefault="00195776" w:rsidP="00195776">
      <w:pPr>
        <w:pStyle w:val="Heading6"/>
        <w:spacing w:before="120" w:after="80"/>
        <w:rPr>
          <w:rFonts w:eastAsia="Calibri"/>
          <w:color w:val="0E2A35"/>
        </w:rPr>
      </w:pPr>
      <w:r w:rsidRPr="00F53906">
        <w:rPr>
          <w:rFonts w:eastAsia="Calibri"/>
          <w:i/>
          <w:iCs/>
          <w:color w:val="0E2A35"/>
        </w:rPr>
        <w:t>Tokelau Government</w:t>
      </w:r>
    </w:p>
    <w:p w14:paraId="796E42CC"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Paula Faiva (Tokelau Ministry of Climate, Oceans and Resilience) (general advice and guidance)</w:t>
      </w:r>
    </w:p>
    <w:p w14:paraId="160594DB"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Malama Uaina Kitiona (Tokelau national statistician) (peer review)</w:t>
      </w:r>
    </w:p>
    <w:p w14:paraId="6F2C5C10" w14:textId="77777777" w:rsidR="00195776" w:rsidRPr="00F53906" w:rsidRDefault="00195776" w:rsidP="00195776">
      <w:pPr>
        <w:pStyle w:val="Heading6"/>
        <w:spacing w:before="180" w:after="80"/>
        <w:rPr>
          <w:rFonts w:eastAsia="Calibri"/>
          <w:color w:val="0E2A35"/>
        </w:rPr>
      </w:pPr>
      <w:r w:rsidRPr="00F53906">
        <w:rPr>
          <w:rFonts w:eastAsia="Calibri"/>
          <w:color w:val="0E2A35"/>
        </w:rPr>
        <w:t>Technical contributors and specialists</w:t>
      </w:r>
    </w:p>
    <w:p w14:paraId="13D4CF18" w14:textId="77777777" w:rsidR="00195776" w:rsidRPr="00F53906" w:rsidRDefault="00195776" w:rsidP="00195776">
      <w:pPr>
        <w:pStyle w:val="Heading6"/>
        <w:spacing w:before="80" w:after="80"/>
        <w:rPr>
          <w:rFonts w:eastAsia="Calibri"/>
          <w:color w:val="0E2A35"/>
        </w:rPr>
      </w:pPr>
      <w:r w:rsidRPr="00F53906">
        <w:rPr>
          <w:rFonts w:eastAsia="Calibri"/>
          <w:i/>
          <w:iCs/>
          <w:color w:val="0E2A35"/>
        </w:rPr>
        <w:t>Industrial Processes and Product Use sector</w:t>
      </w:r>
    </w:p>
    <w:p w14:paraId="66199A2B"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 xml:space="preserve">Verum Group: Wayne Hennessy </w:t>
      </w:r>
    </w:p>
    <w:p w14:paraId="7F3C4446" w14:textId="77777777" w:rsidR="00195776" w:rsidRPr="00F53906" w:rsidRDefault="00195776" w:rsidP="00195776">
      <w:pPr>
        <w:pStyle w:val="Heading6"/>
        <w:spacing w:before="120" w:after="60"/>
        <w:rPr>
          <w:rFonts w:eastAsia="Calibri"/>
          <w:color w:val="0E2A35"/>
        </w:rPr>
      </w:pPr>
      <w:r w:rsidRPr="00F53906">
        <w:rPr>
          <w:rFonts w:eastAsia="Calibri"/>
          <w:i/>
          <w:iCs/>
          <w:color w:val="0E2A35"/>
        </w:rPr>
        <w:t xml:space="preserve">Agriculture sector </w:t>
      </w:r>
    </w:p>
    <w:p w14:paraId="46143DC5"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 xml:space="preserve">AgResearch: Alison Rutherford, David Stevens, Tony van der Weerden, Jamie Ward, Jiafa Luo, Suzanne Rowe </w:t>
      </w:r>
    </w:p>
    <w:p w14:paraId="119290A7"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AbacusBio: Jude Sise, Fiona Hely, David Kenny</w:t>
      </w:r>
    </w:p>
    <w:p w14:paraId="3EC4013A"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Lincoln University: Keith Cameron, Tim Clough, Hong Di</w:t>
      </w:r>
    </w:p>
    <w:p w14:paraId="006FEE82"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Ministry for Primary Industries: Shania Brooks, Joelle Kuiper, Dr Gerald Rys, Hannah Brooks, Joshua Williams, Ben Morrow (peer review)</w:t>
      </w:r>
    </w:p>
    <w:p w14:paraId="611D9BEF" w14:textId="77777777" w:rsidR="00195776" w:rsidRPr="00F53906" w:rsidRDefault="00195776" w:rsidP="00195776">
      <w:pPr>
        <w:pStyle w:val="Heading6"/>
        <w:spacing w:before="120" w:after="80"/>
        <w:rPr>
          <w:rFonts w:eastAsia="Calibri"/>
          <w:color w:val="0E2A35"/>
        </w:rPr>
      </w:pPr>
      <w:r w:rsidRPr="00F53906">
        <w:rPr>
          <w:rFonts w:eastAsia="Calibri"/>
          <w:i/>
          <w:iCs/>
          <w:color w:val="0E2A35"/>
        </w:rPr>
        <w:t xml:space="preserve">Land Use, Land-Use Change and Forestry sector </w:t>
      </w:r>
    </w:p>
    <w:p w14:paraId="47F40E32"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Ministry for the Environment: Tom Argyle, Deborah Burgess, Michael Cooper, Dr Nina Koele, Prem Sivakanthan, Riki Taylor, Dr Patrick Kavanagh, Dr Anne Wekesa</w:t>
      </w:r>
    </w:p>
    <w:p w14:paraId="78D16875" w14:textId="77777777" w:rsidR="00195776" w:rsidRPr="00F53906" w:rsidRDefault="00195776" w:rsidP="00195776">
      <w:pPr>
        <w:pStyle w:val="Bullet"/>
        <w:spacing w:after="40"/>
        <w:rPr>
          <w:rFonts w:eastAsia="Calibri" w:cs="Calibri"/>
          <w:color w:val="000000" w:themeColor="text1"/>
        </w:rPr>
      </w:pPr>
      <w:r w:rsidRPr="00F53906">
        <w:rPr>
          <w:rFonts w:eastAsia="Calibri" w:cs="Calibri"/>
          <w:color w:val="000000" w:themeColor="text1"/>
        </w:rPr>
        <w:t>Ministry for Primary Industries: Craig Elvidge (peer review), Asher Cook (peer review)</w:t>
      </w:r>
    </w:p>
    <w:p w14:paraId="14A1379C" w14:textId="77777777" w:rsidR="00195776" w:rsidRPr="00F53906" w:rsidRDefault="00195776" w:rsidP="00195776">
      <w:pPr>
        <w:pStyle w:val="Heading6"/>
        <w:spacing w:before="120" w:after="80"/>
        <w:rPr>
          <w:rFonts w:eastAsia="Calibri"/>
          <w:color w:val="0E2A35"/>
        </w:rPr>
      </w:pPr>
      <w:r w:rsidRPr="00F53906">
        <w:rPr>
          <w:rFonts w:eastAsia="Calibri"/>
          <w:i/>
          <w:iCs/>
          <w:color w:val="0E2A35"/>
        </w:rPr>
        <w:t>Waste sector</w:t>
      </w:r>
    </w:p>
    <w:p w14:paraId="07DF0CC1" w14:textId="77777777" w:rsidR="00195776" w:rsidRPr="00F53906" w:rsidRDefault="00195776" w:rsidP="00195776">
      <w:pPr>
        <w:pStyle w:val="Bullet"/>
        <w:spacing w:after="60"/>
        <w:rPr>
          <w:rFonts w:eastAsia="Calibri" w:cs="Calibri"/>
          <w:color w:val="000000" w:themeColor="text1"/>
        </w:rPr>
      </w:pPr>
      <w:r w:rsidRPr="00F53906">
        <w:rPr>
          <w:rFonts w:eastAsia="Calibri" w:cs="Calibri"/>
          <w:color w:val="000000" w:themeColor="text1"/>
        </w:rPr>
        <w:t>Ministry for the Environment: Eric Goodwin, Matthew Potter, Jess Relihan, Briar Wyatt, Kirsteen Pitkin-Douglas, Kara Lok and Dom Fyfe.</w:t>
      </w:r>
    </w:p>
    <w:p w14:paraId="12F8FA9E" w14:textId="77777777" w:rsidR="00195776" w:rsidRPr="00F53906" w:rsidRDefault="00195776" w:rsidP="00195776">
      <w:pPr>
        <w:pStyle w:val="Heading6"/>
        <w:spacing w:before="120" w:after="80"/>
        <w:rPr>
          <w:rFonts w:eastAsia="Calibri"/>
          <w:color w:val="0E2A35"/>
        </w:rPr>
      </w:pPr>
      <w:r w:rsidRPr="00F53906">
        <w:rPr>
          <w:rFonts w:eastAsia="Calibri"/>
          <w:color w:val="0E2A35"/>
        </w:rPr>
        <w:t xml:space="preserve">Proof reading and formatting </w:t>
      </w:r>
    </w:p>
    <w:p w14:paraId="74B34335" w14:textId="77777777" w:rsidR="00195776" w:rsidRPr="00F53906" w:rsidRDefault="00195776" w:rsidP="00195776">
      <w:pPr>
        <w:pStyle w:val="Bullet"/>
        <w:spacing w:after="60"/>
      </w:pPr>
      <w:r w:rsidRPr="00F53906">
        <w:rPr>
          <w:rFonts w:eastAsia="Calibri" w:cs="Calibri"/>
          <w:color w:val="000000" w:themeColor="text1"/>
        </w:rPr>
        <w:t>Jenny Heine</w:t>
      </w:r>
    </w:p>
    <w:p w14:paraId="56AB7552" w14:textId="1C2630DB" w:rsidR="00DD5CB6" w:rsidRPr="00773EE2" w:rsidRDefault="00195776" w:rsidP="00195776">
      <w:pPr>
        <w:pStyle w:val="Heading"/>
        <w:spacing w:after="440"/>
      </w:pPr>
      <w:r>
        <w:br w:type="page"/>
      </w:r>
      <w:r w:rsidR="00DD5CB6" w:rsidRPr="00773EE2">
        <w:lastRenderedPageBreak/>
        <w:t>Contents</w:t>
      </w:r>
    </w:p>
    <w:p w14:paraId="7889C49C" w14:textId="7B9C52F2" w:rsidR="002C0B67" w:rsidRDefault="006527F0">
      <w:pPr>
        <w:pStyle w:val="TOC1"/>
        <w:rPr>
          <w:rFonts w:asciiTheme="minorHAnsi" w:eastAsiaTheme="minorEastAsia" w:hAnsiTheme="minorHAnsi" w:cstheme="minorBidi"/>
          <w:noProof/>
          <w:kern w:val="2"/>
          <w:sz w:val="24"/>
          <w:szCs w:val="24"/>
          <w14:ligatures w14:val="standardContextual"/>
        </w:rPr>
      </w:pPr>
      <w:r>
        <w:rPr>
          <w:sz w:val="28"/>
        </w:rPr>
        <w:fldChar w:fldCharType="begin"/>
      </w:r>
      <w:r>
        <w:rPr>
          <w:sz w:val="28"/>
        </w:rPr>
        <w:instrText xml:space="preserve"> TOC \o "2-2" \h \z \t "Heading 1,1" </w:instrText>
      </w:r>
      <w:r>
        <w:rPr>
          <w:sz w:val="28"/>
        </w:rPr>
        <w:fldChar w:fldCharType="separate"/>
      </w:r>
      <w:hyperlink w:anchor="_Toc226460727" w:history="1">
        <w:r w:rsidR="002C0B67" w:rsidRPr="00C84589">
          <w:rPr>
            <w:rStyle w:val="Hyperlink"/>
            <w:rFonts w:eastAsia="Georgia" w:cs="Georgia"/>
            <w:noProof/>
          </w:rPr>
          <w:t>Acknowledgements</w:t>
        </w:r>
        <w:r w:rsidR="002C0B67">
          <w:rPr>
            <w:noProof/>
            <w:webHidden/>
          </w:rPr>
          <w:tab/>
        </w:r>
        <w:r w:rsidR="002C0B67">
          <w:rPr>
            <w:noProof/>
            <w:webHidden/>
          </w:rPr>
          <w:fldChar w:fldCharType="begin"/>
        </w:r>
        <w:r w:rsidR="002C0B67">
          <w:rPr>
            <w:noProof/>
            <w:webHidden/>
          </w:rPr>
          <w:instrText xml:space="preserve"> PAGEREF _Toc226460727 \h </w:instrText>
        </w:r>
        <w:r w:rsidR="002C0B67">
          <w:rPr>
            <w:noProof/>
            <w:webHidden/>
          </w:rPr>
        </w:r>
        <w:r w:rsidR="002C0B67">
          <w:rPr>
            <w:noProof/>
            <w:webHidden/>
          </w:rPr>
          <w:fldChar w:fldCharType="separate"/>
        </w:r>
        <w:r w:rsidR="00831581">
          <w:rPr>
            <w:noProof/>
            <w:webHidden/>
          </w:rPr>
          <w:t>iii</w:t>
        </w:r>
        <w:r w:rsidR="002C0B67">
          <w:rPr>
            <w:noProof/>
            <w:webHidden/>
          </w:rPr>
          <w:fldChar w:fldCharType="end"/>
        </w:r>
      </w:hyperlink>
    </w:p>
    <w:p w14:paraId="584894CC" w14:textId="23FFD789"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28" w:history="1">
        <w:r w:rsidRPr="00C84589">
          <w:rPr>
            <w:rStyle w:val="Hyperlink"/>
            <w:noProof/>
          </w:rPr>
          <w:t>Abbreviations</w:t>
        </w:r>
        <w:r>
          <w:rPr>
            <w:noProof/>
            <w:webHidden/>
          </w:rPr>
          <w:tab/>
        </w:r>
        <w:r>
          <w:rPr>
            <w:noProof/>
            <w:webHidden/>
          </w:rPr>
          <w:fldChar w:fldCharType="begin"/>
        </w:r>
        <w:r>
          <w:rPr>
            <w:noProof/>
            <w:webHidden/>
          </w:rPr>
          <w:instrText xml:space="preserve"> PAGEREF _Toc226460728 \h </w:instrText>
        </w:r>
        <w:r>
          <w:rPr>
            <w:noProof/>
            <w:webHidden/>
          </w:rPr>
        </w:r>
        <w:r>
          <w:rPr>
            <w:noProof/>
            <w:webHidden/>
          </w:rPr>
          <w:fldChar w:fldCharType="separate"/>
        </w:r>
        <w:r w:rsidR="00831581">
          <w:rPr>
            <w:noProof/>
            <w:webHidden/>
          </w:rPr>
          <w:t>xviii</w:t>
        </w:r>
        <w:r>
          <w:rPr>
            <w:noProof/>
            <w:webHidden/>
          </w:rPr>
          <w:fldChar w:fldCharType="end"/>
        </w:r>
      </w:hyperlink>
    </w:p>
    <w:p w14:paraId="73814753" w14:textId="7382A0AF"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29" w:history="1">
        <w:r w:rsidRPr="00C84589">
          <w:rPr>
            <w:rStyle w:val="Hyperlink"/>
            <w:noProof/>
          </w:rPr>
          <w:t>Executive summary</w:t>
        </w:r>
        <w:r>
          <w:rPr>
            <w:noProof/>
            <w:webHidden/>
          </w:rPr>
          <w:tab/>
        </w:r>
        <w:r>
          <w:rPr>
            <w:noProof/>
            <w:webHidden/>
          </w:rPr>
          <w:fldChar w:fldCharType="begin"/>
        </w:r>
        <w:r>
          <w:rPr>
            <w:noProof/>
            <w:webHidden/>
          </w:rPr>
          <w:instrText xml:space="preserve"> PAGEREF _Toc226460729 \h </w:instrText>
        </w:r>
        <w:r>
          <w:rPr>
            <w:noProof/>
            <w:webHidden/>
          </w:rPr>
        </w:r>
        <w:r>
          <w:rPr>
            <w:noProof/>
            <w:webHidden/>
          </w:rPr>
          <w:fldChar w:fldCharType="separate"/>
        </w:r>
        <w:r w:rsidR="00831581">
          <w:rPr>
            <w:noProof/>
            <w:webHidden/>
          </w:rPr>
          <w:t>xxii</w:t>
        </w:r>
        <w:r>
          <w:rPr>
            <w:noProof/>
            <w:webHidden/>
          </w:rPr>
          <w:fldChar w:fldCharType="end"/>
        </w:r>
      </w:hyperlink>
    </w:p>
    <w:p w14:paraId="419A269A" w14:textId="4D1CD2A1" w:rsidR="002C0B67" w:rsidRDefault="002C0B67">
      <w:pPr>
        <w:pStyle w:val="TOC2"/>
        <w:rPr>
          <w:rFonts w:asciiTheme="minorHAnsi" w:eastAsiaTheme="minorEastAsia" w:hAnsiTheme="minorHAnsi" w:cstheme="minorBidi"/>
          <w:kern w:val="2"/>
          <w:sz w:val="24"/>
          <w:szCs w:val="24"/>
          <w14:ligatures w14:val="standardContextual"/>
        </w:rPr>
      </w:pPr>
      <w:hyperlink w:anchor="_Toc226460730" w:history="1">
        <w:r w:rsidRPr="00C84589">
          <w:rPr>
            <w:rStyle w:val="Hyperlink"/>
          </w:rPr>
          <w:t>ES.1</w:t>
        </w:r>
        <w:r>
          <w:rPr>
            <w:rFonts w:asciiTheme="minorHAnsi" w:eastAsiaTheme="minorEastAsia" w:hAnsiTheme="minorHAnsi" w:cstheme="minorBidi"/>
            <w:kern w:val="2"/>
            <w:sz w:val="24"/>
            <w:szCs w:val="24"/>
            <w14:ligatures w14:val="standardContextual"/>
          </w:rPr>
          <w:tab/>
        </w:r>
        <w:r w:rsidRPr="00C84589">
          <w:rPr>
            <w:rStyle w:val="Hyperlink"/>
          </w:rPr>
          <w:t>Background information on greenhouse gas inventories and climate change</w:t>
        </w:r>
        <w:r>
          <w:rPr>
            <w:webHidden/>
          </w:rPr>
          <w:tab/>
        </w:r>
        <w:r>
          <w:rPr>
            <w:webHidden/>
          </w:rPr>
          <w:fldChar w:fldCharType="begin"/>
        </w:r>
        <w:r>
          <w:rPr>
            <w:webHidden/>
          </w:rPr>
          <w:instrText xml:space="preserve"> PAGEREF _Toc226460730 \h </w:instrText>
        </w:r>
        <w:r>
          <w:rPr>
            <w:webHidden/>
          </w:rPr>
        </w:r>
        <w:r>
          <w:rPr>
            <w:webHidden/>
          </w:rPr>
          <w:fldChar w:fldCharType="separate"/>
        </w:r>
        <w:r w:rsidR="00831581">
          <w:rPr>
            <w:webHidden/>
          </w:rPr>
          <w:t>xxiv</w:t>
        </w:r>
        <w:r>
          <w:rPr>
            <w:webHidden/>
          </w:rPr>
          <w:fldChar w:fldCharType="end"/>
        </w:r>
      </w:hyperlink>
    </w:p>
    <w:p w14:paraId="51C7A7B4" w14:textId="73BCAE4A" w:rsidR="002C0B67" w:rsidRDefault="002C0B67">
      <w:pPr>
        <w:pStyle w:val="TOC2"/>
        <w:rPr>
          <w:rFonts w:asciiTheme="minorHAnsi" w:eastAsiaTheme="minorEastAsia" w:hAnsiTheme="minorHAnsi" w:cstheme="minorBidi"/>
          <w:kern w:val="2"/>
          <w:sz w:val="24"/>
          <w:szCs w:val="24"/>
          <w14:ligatures w14:val="standardContextual"/>
        </w:rPr>
      </w:pPr>
      <w:hyperlink w:anchor="_Toc226460731" w:history="1">
        <w:r w:rsidRPr="00C84589">
          <w:rPr>
            <w:rStyle w:val="Hyperlink"/>
          </w:rPr>
          <w:t xml:space="preserve">ES.2 </w:t>
        </w:r>
        <w:r>
          <w:rPr>
            <w:rFonts w:asciiTheme="minorHAnsi" w:eastAsiaTheme="minorEastAsia" w:hAnsiTheme="minorHAnsi" w:cstheme="minorBidi"/>
            <w:kern w:val="2"/>
            <w:sz w:val="24"/>
            <w:szCs w:val="24"/>
            <w14:ligatures w14:val="standardContextual"/>
          </w:rPr>
          <w:tab/>
        </w:r>
        <w:r w:rsidRPr="00C84589">
          <w:rPr>
            <w:rStyle w:val="Hyperlink"/>
          </w:rPr>
          <w:t>Summary of trends related to national emissions and removals</w:t>
        </w:r>
        <w:r>
          <w:rPr>
            <w:webHidden/>
          </w:rPr>
          <w:tab/>
        </w:r>
        <w:r>
          <w:rPr>
            <w:webHidden/>
          </w:rPr>
          <w:fldChar w:fldCharType="begin"/>
        </w:r>
        <w:r>
          <w:rPr>
            <w:webHidden/>
          </w:rPr>
          <w:instrText xml:space="preserve"> PAGEREF _Toc226460731 \h </w:instrText>
        </w:r>
        <w:r>
          <w:rPr>
            <w:webHidden/>
          </w:rPr>
        </w:r>
        <w:r>
          <w:rPr>
            <w:webHidden/>
          </w:rPr>
          <w:fldChar w:fldCharType="separate"/>
        </w:r>
        <w:r w:rsidR="00831581">
          <w:rPr>
            <w:webHidden/>
          </w:rPr>
          <w:t>xxv</w:t>
        </w:r>
        <w:r>
          <w:rPr>
            <w:webHidden/>
          </w:rPr>
          <w:fldChar w:fldCharType="end"/>
        </w:r>
      </w:hyperlink>
    </w:p>
    <w:p w14:paraId="73798259" w14:textId="03FD54EF" w:rsidR="002C0B67" w:rsidRDefault="002C0B67">
      <w:pPr>
        <w:pStyle w:val="TOC2"/>
        <w:rPr>
          <w:rFonts w:asciiTheme="minorHAnsi" w:eastAsiaTheme="minorEastAsia" w:hAnsiTheme="minorHAnsi" w:cstheme="minorBidi"/>
          <w:kern w:val="2"/>
          <w:sz w:val="24"/>
          <w:szCs w:val="24"/>
          <w14:ligatures w14:val="standardContextual"/>
        </w:rPr>
      </w:pPr>
      <w:hyperlink w:anchor="_Toc226460732" w:history="1">
        <w:r w:rsidRPr="00C84589">
          <w:rPr>
            <w:rStyle w:val="Hyperlink"/>
          </w:rPr>
          <w:t>ES.3</w:t>
        </w:r>
        <w:r>
          <w:rPr>
            <w:rFonts w:asciiTheme="minorHAnsi" w:eastAsiaTheme="minorEastAsia" w:hAnsiTheme="minorHAnsi" w:cstheme="minorBidi"/>
            <w:kern w:val="2"/>
            <w:sz w:val="24"/>
            <w:szCs w:val="24"/>
            <w14:ligatures w14:val="standardContextual"/>
          </w:rPr>
          <w:tab/>
        </w:r>
        <w:r w:rsidRPr="00C84589">
          <w:rPr>
            <w:rStyle w:val="Hyperlink"/>
          </w:rPr>
          <w:t>Overview of source and sink category emissions estimates and trends</w:t>
        </w:r>
        <w:r>
          <w:rPr>
            <w:webHidden/>
          </w:rPr>
          <w:tab/>
        </w:r>
        <w:r>
          <w:rPr>
            <w:webHidden/>
          </w:rPr>
          <w:fldChar w:fldCharType="begin"/>
        </w:r>
        <w:r>
          <w:rPr>
            <w:webHidden/>
          </w:rPr>
          <w:instrText xml:space="preserve"> PAGEREF _Toc226460732 \h </w:instrText>
        </w:r>
        <w:r>
          <w:rPr>
            <w:webHidden/>
          </w:rPr>
        </w:r>
        <w:r>
          <w:rPr>
            <w:webHidden/>
          </w:rPr>
          <w:fldChar w:fldCharType="separate"/>
        </w:r>
        <w:r w:rsidR="00831581">
          <w:rPr>
            <w:webHidden/>
          </w:rPr>
          <w:t>xxix</w:t>
        </w:r>
        <w:r>
          <w:rPr>
            <w:webHidden/>
          </w:rPr>
          <w:fldChar w:fldCharType="end"/>
        </w:r>
      </w:hyperlink>
    </w:p>
    <w:p w14:paraId="178A87FF" w14:textId="024FB9C3" w:rsidR="002C0B67" w:rsidRDefault="002C0B67">
      <w:pPr>
        <w:pStyle w:val="TOC2"/>
        <w:rPr>
          <w:rFonts w:asciiTheme="minorHAnsi" w:eastAsiaTheme="minorEastAsia" w:hAnsiTheme="minorHAnsi" w:cstheme="minorBidi"/>
          <w:kern w:val="2"/>
          <w:sz w:val="24"/>
          <w:szCs w:val="24"/>
          <w14:ligatures w14:val="standardContextual"/>
        </w:rPr>
      </w:pPr>
      <w:hyperlink w:anchor="_Toc226460733" w:history="1">
        <w:r w:rsidRPr="00C84589">
          <w:rPr>
            <w:rStyle w:val="Hyperlink"/>
          </w:rPr>
          <w:t xml:space="preserve">ES.4 </w:t>
        </w:r>
        <w:r>
          <w:rPr>
            <w:rFonts w:asciiTheme="minorHAnsi" w:eastAsiaTheme="minorEastAsia" w:hAnsiTheme="minorHAnsi" w:cstheme="minorBidi"/>
            <w:kern w:val="2"/>
            <w:sz w:val="24"/>
            <w:szCs w:val="24"/>
            <w14:ligatures w14:val="standardContextual"/>
          </w:rPr>
          <w:tab/>
        </w:r>
        <w:r w:rsidRPr="00C84589">
          <w:rPr>
            <w:rStyle w:val="Hyperlink"/>
          </w:rPr>
          <w:t>Other information</w:t>
        </w:r>
        <w:r>
          <w:rPr>
            <w:webHidden/>
          </w:rPr>
          <w:tab/>
        </w:r>
        <w:r>
          <w:rPr>
            <w:webHidden/>
          </w:rPr>
          <w:fldChar w:fldCharType="begin"/>
        </w:r>
        <w:r>
          <w:rPr>
            <w:webHidden/>
          </w:rPr>
          <w:instrText xml:space="preserve"> PAGEREF _Toc226460733 \h </w:instrText>
        </w:r>
        <w:r>
          <w:rPr>
            <w:webHidden/>
          </w:rPr>
        </w:r>
        <w:r>
          <w:rPr>
            <w:webHidden/>
          </w:rPr>
          <w:fldChar w:fldCharType="separate"/>
        </w:r>
        <w:r w:rsidR="00831581">
          <w:rPr>
            <w:webHidden/>
          </w:rPr>
          <w:t>xxxix</w:t>
        </w:r>
        <w:r>
          <w:rPr>
            <w:webHidden/>
          </w:rPr>
          <w:fldChar w:fldCharType="end"/>
        </w:r>
      </w:hyperlink>
    </w:p>
    <w:p w14:paraId="388FF843" w14:textId="6796FA6E" w:rsidR="002C0B67" w:rsidRDefault="002C0B67">
      <w:pPr>
        <w:pStyle w:val="TOC2"/>
        <w:rPr>
          <w:rFonts w:asciiTheme="minorHAnsi" w:eastAsiaTheme="minorEastAsia" w:hAnsiTheme="minorHAnsi" w:cstheme="minorBidi"/>
          <w:kern w:val="2"/>
          <w:sz w:val="24"/>
          <w:szCs w:val="24"/>
          <w14:ligatures w14:val="standardContextual"/>
        </w:rPr>
      </w:pPr>
      <w:hyperlink w:anchor="_Toc226460734" w:history="1">
        <w:r w:rsidRPr="00C84589">
          <w:rPr>
            <w:rStyle w:val="Hyperlink"/>
          </w:rPr>
          <w:t xml:space="preserve">ES.5 </w:t>
        </w:r>
        <w:r>
          <w:rPr>
            <w:rFonts w:asciiTheme="minorHAnsi" w:eastAsiaTheme="minorEastAsia" w:hAnsiTheme="minorHAnsi" w:cstheme="minorBidi"/>
            <w:kern w:val="2"/>
            <w:sz w:val="24"/>
            <w:szCs w:val="24"/>
            <w14:ligatures w14:val="standardContextual"/>
          </w:rPr>
          <w:tab/>
        </w:r>
        <w:r w:rsidRPr="00C84589">
          <w:rPr>
            <w:rStyle w:val="Hyperlink"/>
          </w:rPr>
          <w:t>Key category analysis</w:t>
        </w:r>
        <w:r>
          <w:rPr>
            <w:webHidden/>
          </w:rPr>
          <w:tab/>
        </w:r>
        <w:r>
          <w:rPr>
            <w:webHidden/>
          </w:rPr>
          <w:fldChar w:fldCharType="begin"/>
        </w:r>
        <w:r>
          <w:rPr>
            <w:webHidden/>
          </w:rPr>
          <w:instrText xml:space="preserve"> PAGEREF _Toc226460734 \h </w:instrText>
        </w:r>
        <w:r>
          <w:rPr>
            <w:webHidden/>
          </w:rPr>
        </w:r>
        <w:r>
          <w:rPr>
            <w:webHidden/>
          </w:rPr>
          <w:fldChar w:fldCharType="separate"/>
        </w:r>
        <w:r w:rsidR="00831581">
          <w:rPr>
            <w:webHidden/>
          </w:rPr>
          <w:t>xxxix</w:t>
        </w:r>
        <w:r>
          <w:rPr>
            <w:webHidden/>
          </w:rPr>
          <w:fldChar w:fldCharType="end"/>
        </w:r>
      </w:hyperlink>
    </w:p>
    <w:p w14:paraId="0633E5C7" w14:textId="26E5F796" w:rsidR="002C0B67" w:rsidRDefault="002C0B67">
      <w:pPr>
        <w:pStyle w:val="TOC2"/>
        <w:rPr>
          <w:rFonts w:asciiTheme="minorHAnsi" w:eastAsiaTheme="minorEastAsia" w:hAnsiTheme="minorHAnsi" w:cstheme="minorBidi"/>
          <w:kern w:val="2"/>
          <w:sz w:val="24"/>
          <w:szCs w:val="24"/>
          <w14:ligatures w14:val="standardContextual"/>
        </w:rPr>
      </w:pPr>
      <w:hyperlink w:anchor="_Toc226460735" w:history="1">
        <w:r w:rsidRPr="00C84589">
          <w:rPr>
            <w:rStyle w:val="Hyperlink"/>
          </w:rPr>
          <w:t xml:space="preserve">ES.6 </w:t>
        </w:r>
        <w:r>
          <w:rPr>
            <w:rFonts w:asciiTheme="minorHAnsi" w:eastAsiaTheme="minorEastAsia" w:hAnsiTheme="minorHAnsi" w:cstheme="minorBidi"/>
            <w:kern w:val="2"/>
            <w:sz w:val="24"/>
            <w:szCs w:val="24"/>
            <w14:ligatures w14:val="standardContextual"/>
          </w:rPr>
          <w:tab/>
        </w:r>
        <w:r w:rsidRPr="00C84589">
          <w:rPr>
            <w:rStyle w:val="Hyperlink"/>
          </w:rPr>
          <w:t>Improvements introduced</w:t>
        </w:r>
        <w:r>
          <w:rPr>
            <w:webHidden/>
          </w:rPr>
          <w:tab/>
        </w:r>
        <w:r>
          <w:rPr>
            <w:webHidden/>
          </w:rPr>
          <w:fldChar w:fldCharType="begin"/>
        </w:r>
        <w:r>
          <w:rPr>
            <w:webHidden/>
          </w:rPr>
          <w:instrText xml:space="preserve"> PAGEREF _Toc226460735 \h </w:instrText>
        </w:r>
        <w:r>
          <w:rPr>
            <w:webHidden/>
          </w:rPr>
        </w:r>
        <w:r>
          <w:rPr>
            <w:webHidden/>
          </w:rPr>
          <w:fldChar w:fldCharType="separate"/>
        </w:r>
        <w:r w:rsidR="00831581">
          <w:rPr>
            <w:webHidden/>
          </w:rPr>
          <w:t>xl</w:t>
        </w:r>
        <w:r>
          <w:rPr>
            <w:webHidden/>
          </w:rPr>
          <w:fldChar w:fldCharType="end"/>
        </w:r>
      </w:hyperlink>
    </w:p>
    <w:p w14:paraId="1002C90E" w14:textId="4F7C4B1F" w:rsidR="002C0B67" w:rsidRDefault="002C0B67">
      <w:pPr>
        <w:pStyle w:val="TOC2"/>
        <w:rPr>
          <w:rFonts w:asciiTheme="minorHAnsi" w:eastAsiaTheme="minorEastAsia" w:hAnsiTheme="minorHAnsi" w:cstheme="minorBidi"/>
          <w:kern w:val="2"/>
          <w:sz w:val="24"/>
          <w:szCs w:val="24"/>
          <w14:ligatures w14:val="standardContextual"/>
        </w:rPr>
      </w:pPr>
      <w:hyperlink w:anchor="_Toc226460736" w:history="1">
        <w:r w:rsidRPr="00C84589">
          <w:rPr>
            <w:rStyle w:val="Hyperlink"/>
          </w:rPr>
          <w:t>Executive summary: References</w:t>
        </w:r>
        <w:r>
          <w:rPr>
            <w:webHidden/>
          </w:rPr>
          <w:tab/>
        </w:r>
        <w:r>
          <w:rPr>
            <w:webHidden/>
          </w:rPr>
          <w:fldChar w:fldCharType="begin"/>
        </w:r>
        <w:r>
          <w:rPr>
            <w:webHidden/>
          </w:rPr>
          <w:instrText xml:space="preserve"> PAGEREF _Toc226460736 \h </w:instrText>
        </w:r>
        <w:r>
          <w:rPr>
            <w:webHidden/>
          </w:rPr>
        </w:r>
        <w:r>
          <w:rPr>
            <w:webHidden/>
          </w:rPr>
          <w:fldChar w:fldCharType="separate"/>
        </w:r>
        <w:r w:rsidR="00831581">
          <w:rPr>
            <w:webHidden/>
          </w:rPr>
          <w:t>xliii</w:t>
        </w:r>
        <w:r>
          <w:rPr>
            <w:webHidden/>
          </w:rPr>
          <w:fldChar w:fldCharType="end"/>
        </w:r>
      </w:hyperlink>
    </w:p>
    <w:p w14:paraId="55E7D5AF" w14:textId="29DFC142"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37" w:history="1">
        <w:r w:rsidRPr="00C84589">
          <w:rPr>
            <w:rStyle w:val="Hyperlink"/>
            <w:noProof/>
          </w:rPr>
          <w:t>Chapter 1: National circumstances, institutional arrangements and cross</w:t>
        </w:r>
        <w:r w:rsidRPr="00C84589">
          <w:rPr>
            <w:rStyle w:val="Hyperlink"/>
            <w:noProof/>
          </w:rPr>
          <w:noBreakHyphen/>
          <w:t>cutting information</w:t>
        </w:r>
        <w:r>
          <w:rPr>
            <w:noProof/>
            <w:webHidden/>
          </w:rPr>
          <w:tab/>
        </w:r>
        <w:r>
          <w:rPr>
            <w:noProof/>
            <w:webHidden/>
          </w:rPr>
          <w:fldChar w:fldCharType="begin"/>
        </w:r>
        <w:r>
          <w:rPr>
            <w:noProof/>
            <w:webHidden/>
          </w:rPr>
          <w:instrText xml:space="preserve"> PAGEREF _Toc226460737 \h </w:instrText>
        </w:r>
        <w:r>
          <w:rPr>
            <w:noProof/>
            <w:webHidden/>
          </w:rPr>
        </w:r>
        <w:r>
          <w:rPr>
            <w:noProof/>
            <w:webHidden/>
          </w:rPr>
          <w:fldChar w:fldCharType="separate"/>
        </w:r>
        <w:r w:rsidR="00831581">
          <w:rPr>
            <w:noProof/>
            <w:webHidden/>
          </w:rPr>
          <w:t>1</w:t>
        </w:r>
        <w:r>
          <w:rPr>
            <w:noProof/>
            <w:webHidden/>
          </w:rPr>
          <w:fldChar w:fldCharType="end"/>
        </w:r>
      </w:hyperlink>
    </w:p>
    <w:p w14:paraId="39FD6BDF" w14:textId="6060FB5C" w:rsidR="002C0B67" w:rsidRDefault="002C0B67">
      <w:pPr>
        <w:pStyle w:val="TOC2"/>
        <w:rPr>
          <w:rFonts w:asciiTheme="minorHAnsi" w:eastAsiaTheme="minorEastAsia" w:hAnsiTheme="minorHAnsi" w:cstheme="minorBidi"/>
          <w:kern w:val="2"/>
          <w:sz w:val="24"/>
          <w:szCs w:val="24"/>
          <w14:ligatures w14:val="standardContextual"/>
        </w:rPr>
      </w:pPr>
      <w:hyperlink w:anchor="_Toc226460738" w:history="1">
        <w:r w:rsidRPr="00C84589">
          <w:rPr>
            <w:rStyle w:val="Hyperlink"/>
          </w:rPr>
          <w:t xml:space="preserve">1.1 </w:t>
        </w:r>
        <w:r>
          <w:rPr>
            <w:rFonts w:asciiTheme="minorHAnsi" w:eastAsiaTheme="minorEastAsia" w:hAnsiTheme="minorHAnsi" w:cstheme="minorBidi"/>
            <w:kern w:val="2"/>
            <w:sz w:val="24"/>
            <w:szCs w:val="24"/>
            <w14:ligatures w14:val="standardContextual"/>
          </w:rPr>
          <w:tab/>
        </w:r>
        <w:r w:rsidRPr="00C84589">
          <w:rPr>
            <w:rStyle w:val="Hyperlink"/>
          </w:rPr>
          <w:t>Background information on greenhouse gas inventories and climate change</w:t>
        </w:r>
        <w:r>
          <w:rPr>
            <w:webHidden/>
          </w:rPr>
          <w:tab/>
        </w:r>
        <w:r>
          <w:rPr>
            <w:webHidden/>
          </w:rPr>
          <w:fldChar w:fldCharType="begin"/>
        </w:r>
        <w:r>
          <w:rPr>
            <w:webHidden/>
          </w:rPr>
          <w:instrText xml:space="preserve"> PAGEREF _Toc226460738 \h </w:instrText>
        </w:r>
        <w:r>
          <w:rPr>
            <w:webHidden/>
          </w:rPr>
        </w:r>
        <w:r>
          <w:rPr>
            <w:webHidden/>
          </w:rPr>
          <w:fldChar w:fldCharType="separate"/>
        </w:r>
        <w:r w:rsidR="00831581">
          <w:rPr>
            <w:webHidden/>
          </w:rPr>
          <w:t>1</w:t>
        </w:r>
        <w:r>
          <w:rPr>
            <w:webHidden/>
          </w:rPr>
          <w:fldChar w:fldCharType="end"/>
        </w:r>
      </w:hyperlink>
    </w:p>
    <w:p w14:paraId="4A2026EC" w14:textId="74754E79" w:rsidR="002C0B67" w:rsidRDefault="002C0B67">
      <w:pPr>
        <w:pStyle w:val="TOC2"/>
        <w:rPr>
          <w:rFonts w:asciiTheme="minorHAnsi" w:eastAsiaTheme="minorEastAsia" w:hAnsiTheme="minorHAnsi" w:cstheme="minorBidi"/>
          <w:kern w:val="2"/>
          <w:sz w:val="24"/>
          <w:szCs w:val="24"/>
          <w14:ligatures w14:val="standardContextual"/>
        </w:rPr>
      </w:pPr>
      <w:hyperlink w:anchor="_Toc226460739" w:history="1">
        <w:r w:rsidRPr="00C84589">
          <w:rPr>
            <w:rStyle w:val="Hyperlink"/>
          </w:rPr>
          <w:t xml:space="preserve">1.2 </w:t>
        </w:r>
        <w:r>
          <w:rPr>
            <w:rFonts w:asciiTheme="minorHAnsi" w:eastAsiaTheme="minorEastAsia" w:hAnsiTheme="minorHAnsi" w:cstheme="minorBidi"/>
            <w:kern w:val="2"/>
            <w:sz w:val="24"/>
            <w:szCs w:val="24"/>
            <w14:ligatures w14:val="standardContextual"/>
          </w:rPr>
          <w:tab/>
        </w:r>
        <w:r w:rsidRPr="00C84589">
          <w:rPr>
            <w:rStyle w:val="Hyperlink"/>
          </w:rPr>
          <w:t>A description of national circumstances and institutional arrangements</w:t>
        </w:r>
        <w:r>
          <w:rPr>
            <w:webHidden/>
          </w:rPr>
          <w:tab/>
        </w:r>
        <w:r>
          <w:rPr>
            <w:webHidden/>
          </w:rPr>
          <w:fldChar w:fldCharType="begin"/>
        </w:r>
        <w:r>
          <w:rPr>
            <w:webHidden/>
          </w:rPr>
          <w:instrText xml:space="preserve"> PAGEREF _Toc226460739 \h </w:instrText>
        </w:r>
        <w:r>
          <w:rPr>
            <w:webHidden/>
          </w:rPr>
        </w:r>
        <w:r>
          <w:rPr>
            <w:webHidden/>
          </w:rPr>
          <w:fldChar w:fldCharType="separate"/>
        </w:r>
        <w:r w:rsidR="00831581">
          <w:rPr>
            <w:webHidden/>
          </w:rPr>
          <w:t>4</w:t>
        </w:r>
        <w:r>
          <w:rPr>
            <w:webHidden/>
          </w:rPr>
          <w:fldChar w:fldCharType="end"/>
        </w:r>
      </w:hyperlink>
    </w:p>
    <w:p w14:paraId="4E820E90" w14:textId="4DE2B3E3" w:rsidR="002C0B67" w:rsidRDefault="002C0B67">
      <w:pPr>
        <w:pStyle w:val="TOC2"/>
        <w:rPr>
          <w:rFonts w:asciiTheme="minorHAnsi" w:eastAsiaTheme="minorEastAsia" w:hAnsiTheme="minorHAnsi" w:cstheme="minorBidi"/>
          <w:kern w:val="2"/>
          <w:sz w:val="24"/>
          <w:szCs w:val="24"/>
          <w14:ligatures w14:val="standardContextual"/>
        </w:rPr>
      </w:pPr>
      <w:hyperlink w:anchor="_Toc226460740" w:history="1">
        <w:r w:rsidRPr="00C84589">
          <w:rPr>
            <w:rStyle w:val="Hyperlink"/>
          </w:rPr>
          <w:t xml:space="preserve">1.3 </w:t>
        </w:r>
        <w:r>
          <w:rPr>
            <w:rFonts w:asciiTheme="minorHAnsi" w:eastAsiaTheme="minorEastAsia" w:hAnsiTheme="minorHAnsi" w:cstheme="minorBidi"/>
            <w:kern w:val="2"/>
            <w:sz w:val="24"/>
            <w:szCs w:val="24"/>
            <w14:ligatures w14:val="standardContextual"/>
          </w:rPr>
          <w:tab/>
        </w:r>
        <w:r w:rsidRPr="00C84589">
          <w:rPr>
            <w:rStyle w:val="Hyperlink"/>
          </w:rPr>
          <w:t>Brief general description of methodologies (including tiers used) and data sources used</w:t>
        </w:r>
        <w:r>
          <w:rPr>
            <w:webHidden/>
          </w:rPr>
          <w:tab/>
        </w:r>
        <w:r>
          <w:rPr>
            <w:webHidden/>
          </w:rPr>
          <w:fldChar w:fldCharType="begin"/>
        </w:r>
        <w:r>
          <w:rPr>
            <w:webHidden/>
          </w:rPr>
          <w:instrText xml:space="preserve"> PAGEREF _Toc226460740 \h </w:instrText>
        </w:r>
        <w:r>
          <w:rPr>
            <w:webHidden/>
          </w:rPr>
        </w:r>
        <w:r>
          <w:rPr>
            <w:webHidden/>
          </w:rPr>
          <w:fldChar w:fldCharType="separate"/>
        </w:r>
        <w:r w:rsidR="00831581">
          <w:rPr>
            <w:webHidden/>
          </w:rPr>
          <w:t>11</w:t>
        </w:r>
        <w:r>
          <w:rPr>
            <w:webHidden/>
          </w:rPr>
          <w:fldChar w:fldCharType="end"/>
        </w:r>
      </w:hyperlink>
    </w:p>
    <w:p w14:paraId="6E759A8D" w14:textId="02D6CBE6" w:rsidR="002C0B67" w:rsidRDefault="002C0B67">
      <w:pPr>
        <w:pStyle w:val="TOC2"/>
        <w:rPr>
          <w:rFonts w:asciiTheme="minorHAnsi" w:eastAsiaTheme="minorEastAsia" w:hAnsiTheme="minorHAnsi" w:cstheme="minorBidi"/>
          <w:kern w:val="2"/>
          <w:sz w:val="24"/>
          <w:szCs w:val="24"/>
          <w14:ligatures w14:val="standardContextual"/>
        </w:rPr>
      </w:pPr>
      <w:hyperlink w:anchor="_Toc226460741" w:history="1">
        <w:r w:rsidRPr="00C84589">
          <w:rPr>
            <w:rStyle w:val="Hyperlink"/>
          </w:rPr>
          <w:t xml:space="preserve">1.4 </w:t>
        </w:r>
        <w:r>
          <w:rPr>
            <w:rFonts w:asciiTheme="minorHAnsi" w:eastAsiaTheme="minorEastAsia" w:hAnsiTheme="minorHAnsi" w:cstheme="minorBidi"/>
            <w:kern w:val="2"/>
            <w:sz w:val="24"/>
            <w:szCs w:val="24"/>
            <w14:ligatures w14:val="standardContextual"/>
          </w:rPr>
          <w:tab/>
        </w:r>
        <w:r w:rsidRPr="00C84589">
          <w:rPr>
            <w:rStyle w:val="Hyperlink"/>
          </w:rPr>
          <w:t>Brief description of key categories</w:t>
        </w:r>
        <w:r>
          <w:rPr>
            <w:webHidden/>
          </w:rPr>
          <w:tab/>
        </w:r>
        <w:r>
          <w:rPr>
            <w:webHidden/>
          </w:rPr>
          <w:fldChar w:fldCharType="begin"/>
        </w:r>
        <w:r>
          <w:rPr>
            <w:webHidden/>
          </w:rPr>
          <w:instrText xml:space="preserve"> PAGEREF _Toc226460741 \h </w:instrText>
        </w:r>
        <w:r>
          <w:rPr>
            <w:webHidden/>
          </w:rPr>
        </w:r>
        <w:r>
          <w:rPr>
            <w:webHidden/>
          </w:rPr>
          <w:fldChar w:fldCharType="separate"/>
        </w:r>
        <w:r w:rsidR="00831581">
          <w:rPr>
            <w:webHidden/>
          </w:rPr>
          <w:t>13</w:t>
        </w:r>
        <w:r>
          <w:rPr>
            <w:webHidden/>
          </w:rPr>
          <w:fldChar w:fldCharType="end"/>
        </w:r>
      </w:hyperlink>
    </w:p>
    <w:p w14:paraId="30B7172C" w14:textId="3F8CE147" w:rsidR="002C0B67" w:rsidRDefault="002C0B67">
      <w:pPr>
        <w:pStyle w:val="TOC2"/>
        <w:rPr>
          <w:rFonts w:asciiTheme="minorHAnsi" w:eastAsiaTheme="minorEastAsia" w:hAnsiTheme="minorHAnsi" w:cstheme="minorBidi"/>
          <w:kern w:val="2"/>
          <w:sz w:val="24"/>
          <w:szCs w:val="24"/>
          <w14:ligatures w14:val="standardContextual"/>
        </w:rPr>
      </w:pPr>
      <w:hyperlink w:anchor="_Toc226460742" w:history="1">
        <w:r w:rsidRPr="00C84589">
          <w:rPr>
            <w:rStyle w:val="Hyperlink"/>
          </w:rPr>
          <w:t xml:space="preserve">1.5 </w:t>
        </w:r>
        <w:r>
          <w:rPr>
            <w:rFonts w:asciiTheme="minorHAnsi" w:eastAsiaTheme="minorEastAsia" w:hAnsiTheme="minorHAnsi" w:cstheme="minorBidi"/>
            <w:kern w:val="2"/>
            <w:sz w:val="24"/>
            <w:szCs w:val="24"/>
            <w14:ligatures w14:val="standardContextual"/>
          </w:rPr>
          <w:tab/>
        </w:r>
        <w:r w:rsidRPr="00C84589">
          <w:rPr>
            <w:rStyle w:val="Hyperlink"/>
          </w:rPr>
          <w:t>Brief general description of QA/QC plan and implementation</w:t>
        </w:r>
        <w:r>
          <w:rPr>
            <w:webHidden/>
          </w:rPr>
          <w:tab/>
        </w:r>
        <w:r>
          <w:rPr>
            <w:webHidden/>
          </w:rPr>
          <w:fldChar w:fldCharType="begin"/>
        </w:r>
        <w:r>
          <w:rPr>
            <w:webHidden/>
          </w:rPr>
          <w:instrText xml:space="preserve"> PAGEREF _Toc226460742 \h </w:instrText>
        </w:r>
        <w:r>
          <w:rPr>
            <w:webHidden/>
          </w:rPr>
        </w:r>
        <w:r>
          <w:rPr>
            <w:webHidden/>
          </w:rPr>
          <w:fldChar w:fldCharType="separate"/>
        </w:r>
        <w:r w:rsidR="00831581">
          <w:rPr>
            <w:webHidden/>
          </w:rPr>
          <w:t>15</w:t>
        </w:r>
        <w:r>
          <w:rPr>
            <w:webHidden/>
          </w:rPr>
          <w:fldChar w:fldCharType="end"/>
        </w:r>
      </w:hyperlink>
    </w:p>
    <w:p w14:paraId="7B00C7E0" w14:textId="3703025B" w:rsidR="002C0B67" w:rsidRDefault="002C0B67">
      <w:pPr>
        <w:pStyle w:val="TOC2"/>
        <w:rPr>
          <w:rFonts w:asciiTheme="minorHAnsi" w:eastAsiaTheme="minorEastAsia" w:hAnsiTheme="minorHAnsi" w:cstheme="minorBidi"/>
          <w:kern w:val="2"/>
          <w:sz w:val="24"/>
          <w:szCs w:val="24"/>
          <w14:ligatures w14:val="standardContextual"/>
        </w:rPr>
      </w:pPr>
      <w:hyperlink w:anchor="_Toc226460743" w:history="1">
        <w:r w:rsidRPr="00C84589">
          <w:rPr>
            <w:rStyle w:val="Hyperlink"/>
          </w:rPr>
          <w:t xml:space="preserve">1.6 </w:t>
        </w:r>
        <w:r>
          <w:rPr>
            <w:rFonts w:asciiTheme="minorHAnsi" w:eastAsiaTheme="minorEastAsia" w:hAnsiTheme="minorHAnsi" w:cstheme="minorBidi"/>
            <w:kern w:val="2"/>
            <w:sz w:val="24"/>
            <w:szCs w:val="24"/>
            <w14:ligatures w14:val="standardContextual"/>
          </w:rPr>
          <w:tab/>
        </w:r>
        <w:r w:rsidRPr="00C84589">
          <w:rPr>
            <w:rStyle w:val="Hyperlink"/>
          </w:rPr>
          <w:t>General uncertainty assessment, including data pertaining to the overall uncertainty of inventory totals</w:t>
        </w:r>
        <w:r>
          <w:rPr>
            <w:webHidden/>
          </w:rPr>
          <w:tab/>
        </w:r>
        <w:r>
          <w:rPr>
            <w:webHidden/>
          </w:rPr>
          <w:fldChar w:fldCharType="begin"/>
        </w:r>
        <w:r>
          <w:rPr>
            <w:webHidden/>
          </w:rPr>
          <w:instrText xml:space="preserve"> PAGEREF _Toc226460743 \h </w:instrText>
        </w:r>
        <w:r>
          <w:rPr>
            <w:webHidden/>
          </w:rPr>
        </w:r>
        <w:r>
          <w:rPr>
            <w:webHidden/>
          </w:rPr>
          <w:fldChar w:fldCharType="separate"/>
        </w:r>
        <w:r w:rsidR="00831581">
          <w:rPr>
            <w:webHidden/>
          </w:rPr>
          <w:t>20</w:t>
        </w:r>
        <w:r>
          <w:rPr>
            <w:webHidden/>
          </w:rPr>
          <w:fldChar w:fldCharType="end"/>
        </w:r>
      </w:hyperlink>
    </w:p>
    <w:p w14:paraId="6800D4DC" w14:textId="491B7217" w:rsidR="002C0B67" w:rsidRDefault="002C0B67">
      <w:pPr>
        <w:pStyle w:val="TOC2"/>
        <w:rPr>
          <w:rFonts w:asciiTheme="minorHAnsi" w:eastAsiaTheme="minorEastAsia" w:hAnsiTheme="minorHAnsi" w:cstheme="minorBidi"/>
          <w:kern w:val="2"/>
          <w:sz w:val="24"/>
          <w:szCs w:val="24"/>
          <w14:ligatures w14:val="standardContextual"/>
        </w:rPr>
      </w:pPr>
      <w:hyperlink w:anchor="_Toc226460744" w:history="1">
        <w:r w:rsidRPr="00C84589">
          <w:rPr>
            <w:rStyle w:val="Hyperlink"/>
          </w:rPr>
          <w:t xml:space="preserve">1.7 </w:t>
        </w:r>
        <w:r>
          <w:rPr>
            <w:rFonts w:asciiTheme="minorHAnsi" w:eastAsiaTheme="minorEastAsia" w:hAnsiTheme="minorHAnsi" w:cstheme="minorBidi"/>
            <w:kern w:val="2"/>
            <w:sz w:val="24"/>
            <w:szCs w:val="24"/>
            <w14:ligatures w14:val="standardContextual"/>
          </w:rPr>
          <w:tab/>
        </w:r>
        <w:r w:rsidRPr="00C84589">
          <w:rPr>
            <w:rStyle w:val="Hyperlink"/>
          </w:rPr>
          <w:t>General assessment of completeness</w:t>
        </w:r>
        <w:r>
          <w:rPr>
            <w:webHidden/>
          </w:rPr>
          <w:tab/>
        </w:r>
        <w:r>
          <w:rPr>
            <w:webHidden/>
          </w:rPr>
          <w:fldChar w:fldCharType="begin"/>
        </w:r>
        <w:r>
          <w:rPr>
            <w:webHidden/>
          </w:rPr>
          <w:instrText xml:space="preserve"> PAGEREF _Toc226460744 \h </w:instrText>
        </w:r>
        <w:r>
          <w:rPr>
            <w:webHidden/>
          </w:rPr>
        </w:r>
        <w:r>
          <w:rPr>
            <w:webHidden/>
          </w:rPr>
          <w:fldChar w:fldCharType="separate"/>
        </w:r>
        <w:r w:rsidR="00831581">
          <w:rPr>
            <w:webHidden/>
          </w:rPr>
          <w:t>21</w:t>
        </w:r>
        <w:r>
          <w:rPr>
            <w:webHidden/>
          </w:rPr>
          <w:fldChar w:fldCharType="end"/>
        </w:r>
      </w:hyperlink>
    </w:p>
    <w:p w14:paraId="02F2D8C3" w14:textId="130FAD10" w:rsidR="002C0B67" w:rsidRDefault="002C0B67">
      <w:pPr>
        <w:pStyle w:val="TOC2"/>
        <w:rPr>
          <w:rFonts w:asciiTheme="minorHAnsi" w:eastAsiaTheme="minorEastAsia" w:hAnsiTheme="minorHAnsi" w:cstheme="minorBidi"/>
          <w:kern w:val="2"/>
          <w:sz w:val="24"/>
          <w:szCs w:val="24"/>
          <w14:ligatures w14:val="standardContextual"/>
        </w:rPr>
      </w:pPr>
      <w:hyperlink w:anchor="_Toc226460745" w:history="1">
        <w:r w:rsidRPr="00C84589">
          <w:rPr>
            <w:rStyle w:val="Hyperlink"/>
          </w:rPr>
          <w:t xml:space="preserve">1.8 </w:t>
        </w:r>
        <w:r>
          <w:rPr>
            <w:rFonts w:asciiTheme="minorHAnsi" w:eastAsiaTheme="minorEastAsia" w:hAnsiTheme="minorHAnsi" w:cstheme="minorBidi"/>
            <w:kern w:val="2"/>
            <w:sz w:val="24"/>
            <w:szCs w:val="24"/>
            <w14:ligatures w14:val="standardContextual"/>
          </w:rPr>
          <w:tab/>
        </w:r>
        <w:r w:rsidRPr="00C84589">
          <w:rPr>
            <w:rStyle w:val="Hyperlink"/>
          </w:rPr>
          <w:t>Metrics</w:t>
        </w:r>
        <w:r>
          <w:rPr>
            <w:webHidden/>
          </w:rPr>
          <w:tab/>
        </w:r>
        <w:r>
          <w:rPr>
            <w:webHidden/>
          </w:rPr>
          <w:fldChar w:fldCharType="begin"/>
        </w:r>
        <w:r>
          <w:rPr>
            <w:webHidden/>
          </w:rPr>
          <w:instrText xml:space="preserve"> PAGEREF _Toc226460745 \h </w:instrText>
        </w:r>
        <w:r>
          <w:rPr>
            <w:webHidden/>
          </w:rPr>
        </w:r>
        <w:r>
          <w:rPr>
            <w:webHidden/>
          </w:rPr>
          <w:fldChar w:fldCharType="separate"/>
        </w:r>
        <w:r w:rsidR="00831581">
          <w:rPr>
            <w:webHidden/>
          </w:rPr>
          <w:t>30</w:t>
        </w:r>
        <w:r>
          <w:rPr>
            <w:webHidden/>
          </w:rPr>
          <w:fldChar w:fldCharType="end"/>
        </w:r>
      </w:hyperlink>
    </w:p>
    <w:p w14:paraId="39726657" w14:textId="4C4BBBCB" w:rsidR="002C0B67" w:rsidRDefault="002C0B67">
      <w:pPr>
        <w:pStyle w:val="TOC2"/>
        <w:rPr>
          <w:rFonts w:asciiTheme="minorHAnsi" w:eastAsiaTheme="minorEastAsia" w:hAnsiTheme="minorHAnsi" w:cstheme="minorBidi"/>
          <w:kern w:val="2"/>
          <w:sz w:val="24"/>
          <w:szCs w:val="24"/>
          <w14:ligatures w14:val="standardContextual"/>
        </w:rPr>
      </w:pPr>
      <w:hyperlink w:anchor="_Toc226460746" w:history="1">
        <w:r w:rsidRPr="00C84589">
          <w:rPr>
            <w:rStyle w:val="Hyperlink"/>
          </w:rPr>
          <w:t>Chapter 1: References</w:t>
        </w:r>
        <w:r>
          <w:rPr>
            <w:webHidden/>
          </w:rPr>
          <w:tab/>
        </w:r>
        <w:r>
          <w:rPr>
            <w:webHidden/>
          </w:rPr>
          <w:fldChar w:fldCharType="begin"/>
        </w:r>
        <w:r>
          <w:rPr>
            <w:webHidden/>
          </w:rPr>
          <w:instrText xml:space="preserve"> PAGEREF _Toc226460746 \h </w:instrText>
        </w:r>
        <w:r>
          <w:rPr>
            <w:webHidden/>
          </w:rPr>
        </w:r>
        <w:r>
          <w:rPr>
            <w:webHidden/>
          </w:rPr>
          <w:fldChar w:fldCharType="separate"/>
        </w:r>
        <w:r w:rsidR="00831581">
          <w:rPr>
            <w:webHidden/>
          </w:rPr>
          <w:t>31</w:t>
        </w:r>
        <w:r>
          <w:rPr>
            <w:webHidden/>
          </w:rPr>
          <w:fldChar w:fldCharType="end"/>
        </w:r>
      </w:hyperlink>
    </w:p>
    <w:p w14:paraId="74CCE59B" w14:textId="3C16EABC"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47" w:history="1">
        <w:r w:rsidRPr="00C84589">
          <w:rPr>
            <w:rStyle w:val="Hyperlink"/>
            <w:noProof/>
          </w:rPr>
          <w:t>Chapter 2: Trends in greenhouse gas emissions and removals</w:t>
        </w:r>
        <w:r>
          <w:rPr>
            <w:noProof/>
            <w:webHidden/>
          </w:rPr>
          <w:tab/>
        </w:r>
        <w:r>
          <w:rPr>
            <w:noProof/>
            <w:webHidden/>
          </w:rPr>
          <w:fldChar w:fldCharType="begin"/>
        </w:r>
        <w:r>
          <w:rPr>
            <w:noProof/>
            <w:webHidden/>
          </w:rPr>
          <w:instrText xml:space="preserve"> PAGEREF _Toc226460747 \h </w:instrText>
        </w:r>
        <w:r>
          <w:rPr>
            <w:noProof/>
            <w:webHidden/>
          </w:rPr>
        </w:r>
        <w:r>
          <w:rPr>
            <w:noProof/>
            <w:webHidden/>
          </w:rPr>
          <w:fldChar w:fldCharType="separate"/>
        </w:r>
        <w:r w:rsidR="00831581">
          <w:rPr>
            <w:noProof/>
            <w:webHidden/>
          </w:rPr>
          <w:t>33</w:t>
        </w:r>
        <w:r>
          <w:rPr>
            <w:noProof/>
            <w:webHidden/>
          </w:rPr>
          <w:fldChar w:fldCharType="end"/>
        </w:r>
      </w:hyperlink>
    </w:p>
    <w:p w14:paraId="73915F85" w14:textId="3B9A9B0C" w:rsidR="002C0B67" w:rsidRDefault="002C0B67">
      <w:pPr>
        <w:pStyle w:val="TOC2"/>
        <w:rPr>
          <w:rFonts w:asciiTheme="minorHAnsi" w:eastAsiaTheme="minorEastAsia" w:hAnsiTheme="minorHAnsi" w:cstheme="minorBidi"/>
          <w:kern w:val="2"/>
          <w:sz w:val="24"/>
          <w:szCs w:val="24"/>
          <w14:ligatures w14:val="standardContextual"/>
        </w:rPr>
      </w:pPr>
      <w:hyperlink w:anchor="_Toc226460748" w:history="1">
        <w:r w:rsidRPr="00C84589">
          <w:rPr>
            <w:rStyle w:val="Hyperlink"/>
          </w:rPr>
          <w:t>2.1</w:t>
        </w:r>
        <w:r>
          <w:rPr>
            <w:rFonts w:asciiTheme="minorHAnsi" w:eastAsiaTheme="minorEastAsia" w:hAnsiTheme="minorHAnsi" w:cstheme="minorBidi"/>
            <w:kern w:val="2"/>
            <w:sz w:val="24"/>
            <w:szCs w:val="24"/>
            <w14:ligatures w14:val="standardContextual"/>
          </w:rPr>
          <w:tab/>
        </w:r>
        <w:r w:rsidRPr="00C84589">
          <w:rPr>
            <w:rStyle w:val="Hyperlink"/>
          </w:rPr>
          <w:t>Description of emission and removal trends for aggregated GHG emissions and removals</w:t>
        </w:r>
        <w:r>
          <w:rPr>
            <w:webHidden/>
          </w:rPr>
          <w:tab/>
        </w:r>
        <w:r>
          <w:rPr>
            <w:webHidden/>
          </w:rPr>
          <w:fldChar w:fldCharType="begin"/>
        </w:r>
        <w:r>
          <w:rPr>
            <w:webHidden/>
          </w:rPr>
          <w:instrText xml:space="preserve"> PAGEREF _Toc226460748 \h </w:instrText>
        </w:r>
        <w:r>
          <w:rPr>
            <w:webHidden/>
          </w:rPr>
        </w:r>
        <w:r>
          <w:rPr>
            <w:webHidden/>
          </w:rPr>
          <w:fldChar w:fldCharType="separate"/>
        </w:r>
        <w:r w:rsidR="00831581">
          <w:rPr>
            <w:webHidden/>
          </w:rPr>
          <w:t>33</w:t>
        </w:r>
        <w:r>
          <w:rPr>
            <w:webHidden/>
          </w:rPr>
          <w:fldChar w:fldCharType="end"/>
        </w:r>
      </w:hyperlink>
    </w:p>
    <w:p w14:paraId="2B0A6708" w14:textId="3095C5F2" w:rsidR="002C0B67" w:rsidRDefault="002C0B67">
      <w:pPr>
        <w:pStyle w:val="TOC2"/>
        <w:rPr>
          <w:rFonts w:asciiTheme="minorHAnsi" w:eastAsiaTheme="minorEastAsia" w:hAnsiTheme="minorHAnsi" w:cstheme="minorBidi"/>
          <w:kern w:val="2"/>
          <w:sz w:val="24"/>
          <w:szCs w:val="24"/>
          <w14:ligatures w14:val="standardContextual"/>
        </w:rPr>
      </w:pPr>
      <w:hyperlink w:anchor="_Toc226460749" w:history="1">
        <w:r w:rsidRPr="00C84589">
          <w:rPr>
            <w:rStyle w:val="Hyperlink"/>
          </w:rPr>
          <w:t xml:space="preserve">2.2 </w:t>
        </w:r>
        <w:r>
          <w:rPr>
            <w:rFonts w:asciiTheme="minorHAnsi" w:eastAsiaTheme="minorEastAsia" w:hAnsiTheme="minorHAnsi" w:cstheme="minorBidi"/>
            <w:kern w:val="2"/>
            <w:sz w:val="24"/>
            <w:szCs w:val="24"/>
            <w14:ligatures w14:val="standardContextual"/>
          </w:rPr>
          <w:tab/>
        </w:r>
        <w:r w:rsidRPr="00C84589">
          <w:rPr>
            <w:rStyle w:val="Hyperlink"/>
          </w:rPr>
          <w:t>Description of emission and removal trends by sector and by gas</w:t>
        </w:r>
        <w:r>
          <w:rPr>
            <w:webHidden/>
          </w:rPr>
          <w:tab/>
        </w:r>
        <w:r>
          <w:rPr>
            <w:webHidden/>
          </w:rPr>
          <w:fldChar w:fldCharType="begin"/>
        </w:r>
        <w:r>
          <w:rPr>
            <w:webHidden/>
          </w:rPr>
          <w:instrText xml:space="preserve"> PAGEREF _Toc226460749 \h </w:instrText>
        </w:r>
        <w:r>
          <w:rPr>
            <w:webHidden/>
          </w:rPr>
        </w:r>
        <w:r>
          <w:rPr>
            <w:webHidden/>
          </w:rPr>
          <w:fldChar w:fldCharType="separate"/>
        </w:r>
        <w:r w:rsidR="00831581">
          <w:rPr>
            <w:webHidden/>
          </w:rPr>
          <w:t>36</w:t>
        </w:r>
        <w:r>
          <w:rPr>
            <w:webHidden/>
          </w:rPr>
          <w:fldChar w:fldCharType="end"/>
        </w:r>
      </w:hyperlink>
    </w:p>
    <w:p w14:paraId="491F5F2B" w14:textId="74F1267A" w:rsidR="002C0B67" w:rsidRDefault="002C0B67">
      <w:pPr>
        <w:pStyle w:val="TOC2"/>
        <w:rPr>
          <w:rFonts w:asciiTheme="minorHAnsi" w:eastAsiaTheme="minorEastAsia" w:hAnsiTheme="minorHAnsi" w:cstheme="minorBidi"/>
          <w:kern w:val="2"/>
          <w:sz w:val="24"/>
          <w:szCs w:val="24"/>
          <w14:ligatures w14:val="standardContextual"/>
        </w:rPr>
      </w:pPr>
      <w:hyperlink w:anchor="_Toc226460750" w:history="1">
        <w:r w:rsidRPr="00C84589">
          <w:rPr>
            <w:rStyle w:val="Hyperlink"/>
          </w:rPr>
          <w:t>Chapter 2: References</w:t>
        </w:r>
        <w:r>
          <w:rPr>
            <w:webHidden/>
          </w:rPr>
          <w:tab/>
        </w:r>
        <w:r>
          <w:rPr>
            <w:webHidden/>
          </w:rPr>
          <w:fldChar w:fldCharType="begin"/>
        </w:r>
        <w:r>
          <w:rPr>
            <w:webHidden/>
          </w:rPr>
          <w:instrText xml:space="preserve"> PAGEREF _Toc226460750 \h </w:instrText>
        </w:r>
        <w:r>
          <w:rPr>
            <w:webHidden/>
          </w:rPr>
        </w:r>
        <w:r>
          <w:rPr>
            <w:webHidden/>
          </w:rPr>
          <w:fldChar w:fldCharType="separate"/>
        </w:r>
        <w:r w:rsidR="00831581">
          <w:rPr>
            <w:webHidden/>
          </w:rPr>
          <w:t>60</w:t>
        </w:r>
        <w:r>
          <w:rPr>
            <w:webHidden/>
          </w:rPr>
          <w:fldChar w:fldCharType="end"/>
        </w:r>
      </w:hyperlink>
    </w:p>
    <w:p w14:paraId="5392D67A" w14:textId="4F285DB3"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51" w:history="1">
        <w:r w:rsidRPr="00C84589">
          <w:rPr>
            <w:rStyle w:val="Hyperlink"/>
            <w:noProof/>
            <w:lang w:eastAsia="en-GB"/>
          </w:rPr>
          <w:t xml:space="preserve">Chapter 3: </w:t>
        </w:r>
        <w:r w:rsidRPr="00C84589">
          <w:rPr>
            <w:rStyle w:val="Hyperlink"/>
            <w:noProof/>
          </w:rPr>
          <w:t>Energy</w:t>
        </w:r>
        <w:r>
          <w:rPr>
            <w:noProof/>
            <w:webHidden/>
          </w:rPr>
          <w:tab/>
        </w:r>
        <w:r>
          <w:rPr>
            <w:noProof/>
            <w:webHidden/>
          </w:rPr>
          <w:fldChar w:fldCharType="begin"/>
        </w:r>
        <w:r>
          <w:rPr>
            <w:noProof/>
            <w:webHidden/>
          </w:rPr>
          <w:instrText xml:space="preserve"> PAGEREF _Toc226460751 \h </w:instrText>
        </w:r>
        <w:r>
          <w:rPr>
            <w:noProof/>
            <w:webHidden/>
          </w:rPr>
        </w:r>
        <w:r>
          <w:rPr>
            <w:noProof/>
            <w:webHidden/>
          </w:rPr>
          <w:fldChar w:fldCharType="separate"/>
        </w:r>
        <w:r w:rsidR="00831581">
          <w:rPr>
            <w:noProof/>
            <w:webHidden/>
          </w:rPr>
          <w:t>61</w:t>
        </w:r>
        <w:r>
          <w:rPr>
            <w:noProof/>
            <w:webHidden/>
          </w:rPr>
          <w:fldChar w:fldCharType="end"/>
        </w:r>
      </w:hyperlink>
    </w:p>
    <w:p w14:paraId="433AE8B4" w14:textId="35D510A7" w:rsidR="002C0B67" w:rsidRDefault="002C0B67">
      <w:pPr>
        <w:pStyle w:val="TOC2"/>
        <w:rPr>
          <w:rFonts w:asciiTheme="minorHAnsi" w:eastAsiaTheme="minorEastAsia" w:hAnsiTheme="minorHAnsi" w:cstheme="minorBidi"/>
          <w:kern w:val="2"/>
          <w:sz w:val="24"/>
          <w:szCs w:val="24"/>
          <w14:ligatures w14:val="standardContextual"/>
        </w:rPr>
      </w:pPr>
      <w:hyperlink w:anchor="_Toc226460752" w:history="1">
        <w:r w:rsidRPr="00C84589">
          <w:rPr>
            <w:rStyle w:val="Hyperlink"/>
            <w:rFonts w:cs="Calibri"/>
          </w:rPr>
          <w:t>3.1</w:t>
        </w:r>
        <w:r>
          <w:rPr>
            <w:rFonts w:asciiTheme="minorHAnsi" w:eastAsiaTheme="minorEastAsia" w:hAnsiTheme="minorHAnsi" w:cstheme="minorBidi"/>
            <w:kern w:val="2"/>
            <w:sz w:val="24"/>
            <w:szCs w:val="24"/>
            <w14:ligatures w14:val="standardContextual"/>
          </w:rPr>
          <w:tab/>
        </w:r>
        <w:r w:rsidRPr="00C84589">
          <w:rPr>
            <w:rStyle w:val="Hyperlink"/>
            <w:rFonts w:cs="Calibri"/>
          </w:rPr>
          <w:t>Sector overview</w:t>
        </w:r>
        <w:r>
          <w:rPr>
            <w:webHidden/>
          </w:rPr>
          <w:tab/>
        </w:r>
        <w:r>
          <w:rPr>
            <w:webHidden/>
          </w:rPr>
          <w:fldChar w:fldCharType="begin"/>
        </w:r>
        <w:r>
          <w:rPr>
            <w:webHidden/>
          </w:rPr>
          <w:instrText xml:space="preserve"> PAGEREF _Toc226460752 \h </w:instrText>
        </w:r>
        <w:r>
          <w:rPr>
            <w:webHidden/>
          </w:rPr>
        </w:r>
        <w:r>
          <w:rPr>
            <w:webHidden/>
          </w:rPr>
          <w:fldChar w:fldCharType="separate"/>
        </w:r>
        <w:r w:rsidR="00831581">
          <w:rPr>
            <w:webHidden/>
          </w:rPr>
          <w:t>61</w:t>
        </w:r>
        <w:r>
          <w:rPr>
            <w:webHidden/>
          </w:rPr>
          <w:fldChar w:fldCharType="end"/>
        </w:r>
      </w:hyperlink>
    </w:p>
    <w:p w14:paraId="45FE07D3" w14:textId="177BA591" w:rsidR="002C0B67" w:rsidRDefault="002C0B67">
      <w:pPr>
        <w:pStyle w:val="TOC2"/>
        <w:rPr>
          <w:rFonts w:asciiTheme="minorHAnsi" w:eastAsiaTheme="minorEastAsia" w:hAnsiTheme="minorHAnsi" w:cstheme="minorBidi"/>
          <w:kern w:val="2"/>
          <w:sz w:val="24"/>
          <w:szCs w:val="24"/>
          <w14:ligatures w14:val="standardContextual"/>
        </w:rPr>
      </w:pPr>
      <w:hyperlink w:anchor="_Toc226460753" w:history="1">
        <w:r w:rsidRPr="00C84589">
          <w:rPr>
            <w:rStyle w:val="Hyperlink"/>
          </w:rPr>
          <w:t>3.2</w:t>
        </w:r>
        <w:r>
          <w:rPr>
            <w:rFonts w:asciiTheme="minorHAnsi" w:eastAsiaTheme="minorEastAsia" w:hAnsiTheme="minorHAnsi" w:cstheme="minorBidi"/>
            <w:kern w:val="2"/>
            <w:sz w:val="24"/>
            <w:szCs w:val="24"/>
            <w14:ligatures w14:val="standardContextual"/>
          </w:rPr>
          <w:tab/>
        </w:r>
        <w:r w:rsidRPr="00C84589">
          <w:rPr>
            <w:rStyle w:val="Hyperlink"/>
          </w:rPr>
          <w:t>Fuel combustion (CRT 1.A)</w:t>
        </w:r>
        <w:r>
          <w:rPr>
            <w:webHidden/>
          </w:rPr>
          <w:tab/>
        </w:r>
        <w:r>
          <w:rPr>
            <w:webHidden/>
          </w:rPr>
          <w:fldChar w:fldCharType="begin"/>
        </w:r>
        <w:r>
          <w:rPr>
            <w:webHidden/>
          </w:rPr>
          <w:instrText xml:space="preserve"> PAGEREF _Toc226460753 \h </w:instrText>
        </w:r>
        <w:r>
          <w:rPr>
            <w:webHidden/>
          </w:rPr>
        </w:r>
        <w:r>
          <w:rPr>
            <w:webHidden/>
          </w:rPr>
          <w:fldChar w:fldCharType="separate"/>
        </w:r>
        <w:r w:rsidR="00831581">
          <w:rPr>
            <w:webHidden/>
          </w:rPr>
          <w:t>67</w:t>
        </w:r>
        <w:r>
          <w:rPr>
            <w:webHidden/>
          </w:rPr>
          <w:fldChar w:fldCharType="end"/>
        </w:r>
      </w:hyperlink>
    </w:p>
    <w:p w14:paraId="3D7EF99A" w14:textId="67DF408D" w:rsidR="002C0B67" w:rsidRDefault="002C0B67">
      <w:pPr>
        <w:pStyle w:val="TOC2"/>
        <w:rPr>
          <w:rFonts w:asciiTheme="minorHAnsi" w:eastAsiaTheme="minorEastAsia" w:hAnsiTheme="minorHAnsi" w:cstheme="minorBidi"/>
          <w:kern w:val="2"/>
          <w:sz w:val="24"/>
          <w:szCs w:val="24"/>
          <w14:ligatures w14:val="standardContextual"/>
        </w:rPr>
      </w:pPr>
      <w:hyperlink w:anchor="_Toc226460754" w:history="1">
        <w:r w:rsidRPr="00C84589">
          <w:rPr>
            <w:rStyle w:val="Hyperlink"/>
            <w:rFonts w:cs="Calibri"/>
          </w:rPr>
          <w:t>3.3</w:t>
        </w:r>
        <w:r>
          <w:rPr>
            <w:rFonts w:asciiTheme="minorHAnsi" w:eastAsiaTheme="minorEastAsia" w:hAnsiTheme="minorHAnsi" w:cstheme="minorBidi"/>
            <w:kern w:val="2"/>
            <w:sz w:val="24"/>
            <w:szCs w:val="24"/>
            <w14:ligatures w14:val="standardContextual"/>
          </w:rPr>
          <w:tab/>
        </w:r>
        <w:r w:rsidRPr="00C84589">
          <w:rPr>
            <w:rStyle w:val="Hyperlink"/>
            <w:rFonts w:cs="Calibri"/>
          </w:rPr>
          <w:t>Fugitive emissions from solid fuels and oil and natural gas and other emissions from energy production (CRT 1.B)</w:t>
        </w:r>
        <w:r>
          <w:rPr>
            <w:webHidden/>
          </w:rPr>
          <w:tab/>
        </w:r>
        <w:r>
          <w:rPr>
            <w:webHidden/>
          </w:rPr>
          <w:fldChar w:fldCharType="begin"/>
        </w:r>
        <w:r>
          <w:rPr>
            <w:webHidden/>
          </w:rPr>
          <w:instrText xml:space="preserve"> PAGEREF _Toc226460754 \h </w:instrText>
        </w:r>
        <w:r>
          <w:rPr>
            <w:webHidden/>
          </w:rPr>
        </w:r>
        <w:r>
          <w:rPr>
            <w:webHidden/>
          </w:rPr>
          <w:fldChar w:fldCharType="separate"/>
        </w:r>
        <w:r w:rsidR="00831581">
          <w:rPr>
            <w:webHidden/>
          </w:rPr>
          <w:t>98</w:t>
        </w:r>
        <w:r>
          <w:rPr>
            <w:webHidden/>
          </w:rPr>
          <w:fldChar w:fldCharType="end"/>
        </w:r>
      </w:hyperlink>
    </w:p>
    <w:p w14:paraId="4B3A5B84" w14:textId="26B6327F" w:rsidR="002C0B67" w:rsidRDefault="002C0B67">
      <w:pPr>
        <w:pStyle w:val="TOC2"/>
        <w:rPr>
          <w:rFonts w:asciiTheme="minorHAnsi" w:eastAsiaTheme="minorEastAsia" w:hAnsiTheme="minorHAnsi" w:cstheme="minorBidi"/>
          <w:kern w:val="2"/>
          <w:sz w:val="24"/>
          <w:szCs w:val="24"/>
          <w14:ligatures w14:val="standardContextual"/>
        </w:rPr>
      </w:pPr>
      <w:hyperlink w:anchor="_Toc226460755" w:history="1">
        <w:r w:rsidRPr="00C84589">
          <w:rPr>
            <w:rStyle w:val="Hyperlink"/>
            <w:rFonts w:cs="Calibri"/>
          </w:rPr>
          <w:t>3.4</w:t>
        </w:r>
        <w:r>
          <w:rPr>
            <w:rFonts w:asciiTheme="minorHAnsi" w:eastAsiaTheme="minorEastAsia" w:hAnsiTheme="minorHAnsi" w:cstheme="minorBidi"/>
            <w:kern w:val="2"/>
            <w:sz w:val="24"/>
            <w:szCs w:val="24"/>
            <w14:ligatures w14:val="standardContextual"/>
          </w:rPr>
          <w:tab/>
        </w:r>
        <w:r w:rsidRPr="00C84589">
          <w:rPr>
            <w:rStyle w:val="Hyperlink"/>
            <w:rFonts w:cs="Calibri"/>
          </w:rPr>
          <w:t>Carbon dioxide transport and storage (CRT 1.C)</w:t>
        </w:r>
        <w:r>
          <w:rPr>
            <w:webHidden/>
          </w:rPr>
          <w:tab/>
        </w:r>
        <w:r>
          <w:rPr>
            <w:webHidden/>
          </w:rPr>
          <w:fldChar w:fldCharType="begin"/>
        </w:r>
        <w:r>
          <w:rPr>
            <w:webHidden/>
          </w:rPr>
          <w:instrText xml:space="preserve"> PAGEREF _Toc226460755 \h </w:instrText>
        </w:r>
        <w:r>
          <w:rPr>
            <w:webHidden/>
          </w:rPr>
        </w:r>
        <w:r>
          <w:rPr>
            <w:webHidden/>
          </w:rPr>
          <w:fldChar w:fldCharType="separate"/>
        </w:r>
        <w:r w:rsidR="00831581">
          <w:rPr>
            <w:webHidden/>
          </w:rPr>
          <w:t>107</w:t>
        </w:r>
        <w:r>
          <w:rPr>
            <w:webHidden/>
          </w:rPr>
          <w:fldChar w:fldCharType="end"/>
        </w:r>
      </w:hyperlink>
    </w:p>
    <w:p w14:paraId="18D5B73D" w14:textId="6604D46C" w:rsidR="002C0B67" w:rsidRDefault="002C0B67">
      <w:pPr>
        <w:pStyle w:val="TOC2"/>
        <w:rPr>
          <w:rFonts w:asciiTheme="minorHAnsi" w:eastAsiaTheme="minorEastAsia" w:hAnsiTheme="minorHAnsi" w:cstheme="minorBidi"/>
          <w:kern w:val="2"/>
          <w:sz w:val="24"/>
          <w:szCs w:val="24"/>
          <w14:ligatures w14:val="standardContextual"/>
        </w:rPr>
      </w:pPr>
      <w:hyperlink w:anchor="_Toc226460756" w:history="1">
        <w:r w:rsidRPr="00C84589">
          <w:rPr>
            <w:rStyle w:val="Hyperlink"/>
          </w:rPr>
          <w:t>Chapter 3: References</w:t>
        </w:r>
        <w:r>
          <w:rPr>
            <w:webHidden/>
          </w:rPr>
          <w:tab/>
        </w:r>
        <w:r>
          <w:rPr>
            <w:webHidden/>
          </w:rPr>
          <w:fldChar w:fldCharType="begin"/>
        </w:r>
        <w:r>
          <w:rPr>
            <w:webHidden/>
          </w:rPr>
          <w:instrText xml:space="preserve"> PAGEREF _Toc226460756 \h </w:instrText>
        </w:r>
        <w:r>
          <w:rPr>
            <w:webHidden/>
          </w:rPr>
        </w:r>
        <w:r>
          <w:rPr>
            <w:webHidden/>
          </w:rPr>
          <w:fldChar w:fldCharType="separate"/>
        </w:r>
        <w:r w:rsidR="00831581">
          <w:rPr>
            <w:webHidden/>
          </w:rPr>
          <w:t>108</w:t>
        </w:r>
        <w:r>
          <w:rPr>
            <w:webHidden/>
          </w:rPr>
          <w:fldChar w:fldCharType="end"/>
        </w:r>
      </w:hyperlink>
    </w:p>
    <w:p w14:paraId="59E3624B" w14:textId="1E737335"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57" w:history="1">
        <w:r w:rsidRPr="00C84589">
          <w:rPr>
            <w:rStyle w:val="Hyperlink"/>
            <w:noProof/>
          </w:rPr>
          <w:t>Chapter 4: Industrial Processes and Product Use (IPPU)</w:t>
        </w:r>
        <w:r>
          <w:rPr>
            <w:noProof/>
            <w:webHidden/>
          </w:rPr>
          <w:tab/>
        </w:r>
        <w:r>
          <w:rPr>
            <w:noProof/>
            <w:webHidden/>
          </w:rPr>
          <w:fldChar w:fldCharType="begin"/>
        </w:r>
        <w:r>
          <w:rPr>
            <w:noProof/>
            <w:webHidden/>
          </w:rPr>
          <w:instrText xml:space="preserve"> PAGEREF _Toc226460757 \h </w:instrText>
        </w:r>
        <w:r>
          <w:rPr>
            <w:noProof/>
            <w:webHidden/>
          </w:rPr>
        </w:r>
        <w:r>
          <w:rPr>
            <w:noProof/>
            <w:webHidden/>
          </w:rPr>
          <w:fldChar w:fldCharType="separate"/>
        </w:r>
        <w:r w:rsidR="00831581">
          <w:rPr>
            <w:noProof/>
            <w:webHidden/>
          </w:rPr>
          <w:t>110</w:t>
        </w:r>
        <w:r>
          <w:rPr>
            <w:noProof/>
            <w:webHidden/>
          </w:rPr>
          <w:fldChar w:fldCharType="end"/>
        </w:r>
      </w:hyperlink>
    </w:p>
    <w:p w14:paraId="033ECDDD" w14:textId="783880CE" w:rsidR="002C0B67" w:rsidRDefault="002C0B67">
      <w:pPr>
        <w:pStyle w:val="TOC2"/>
        <w:rPr>
          <w:rFonts w:asciiTheme="minorHAnsi" w:eastAsiaTheme="minorEastAsia" w:hAnsiTheme="minorHAnsi" w:cstheme="minorBidi"/>
          <w:kern w:val="2"/>
          <w:sz w:val="24"/>
          <w:szCs w:val="24"/>
          <w14:ligatures w14:val="standardContextual"/>
        </w:rPr>
      </w:pPr>
      <w:hyperlink w:anchor="_Toc226460758" w:history="1">
        <w:r w:rsidRPr="00C84589">
          <w:rPr>
            <w:rStyle w:val="Hyperlink"/>
          </w:rPr>
          <w:t xml:space="preserve">4.1 </w:t>
        </w:r>
        <w:r>
          <w:rPr>
            <w:rFonts w:asciiTheme="minorHAnsi" w:eastAsiaTheme="minorEastAsia" w:hAnsiTheme="minorHAnsi" w:cstheme="minorBidi"/>
            <w:kern w:val="2"/>
            <w:sz w:val="24"/>
            <w:szCs w:val="24"/>
            <w14:ligatures w14:val="standardContextual"/>
          </w:rPr>
          <w:tab/>
        </w:r>
        <w:r w:rsidRPr="00C84589">
          <w:rPr>
            <w:rStyle w:val="Hyperlink"/>
          </w:rPr>
          <w:t>Sector overview</w:t>
        </w:r>
        <w:r>
          <w:rPr>
            <w:webHidden/>
          </w:rPr>
          <w:tab/>
        </w:r>
        <w:r>
          <w:rPr>
            <w:webHidden/>
          </w:rPr>
          <w:fldChar w:fldCharType="begin"/>
        </w:r>
        <w:r>
          <w:rPr>
            <w:webHidden/>
          </w:rPr>
          <w:instrText xml:space="preserve"> PAGEREF _Toc226460758 \h </w:instrText>
        </w:r>
        <w:r>
          <w:rPr>
            <w:webHidden/>
          </w:rPr>
        </w:r>
        <w:r>
          <w:rPr>
            <w:webHidden/>
          </w:rPr>
          <w:fldChar w:fldCharType="separate"/>
        </w:r>
        <w:r w:rsidR="00831581">
          <w:rPr>
            <w:webHidden/>
          </w:rPr>
          <w:t>110</w:t>
        </w:r>
        <w:r>
          <w:rPr>
            <w:webHidden/>
          </w:rPr>
          <w:fldChar w:fldCharType="end"/>
        </w:r>
      </w:hyperlink>
    </w:p>
    <w:p w14:paraId="1B6C3901" w14:textId="13EFC2AE" w:rsidR="002C0B67" w:rsidRDefault="002C0B67">
      <w:pPr>
        <w:pStyle w:val="TOC2"/>
        <w:rPr>
          <w:rFonts w:asciiTheme="minorHAnsi" w:eastAsiaTheme="minorEastAsia" w:hAnsiTheme="minorHAnsi" w:cstheme="minorBidi"/>
          <w:kern w:val="2"/>
          <w:sz w:val="24"/>
          <w:szCs w:val="24"/>
          <w14:ligatures w14:val="standardContextual"/>
        </w:rPr>
      </w:pPr>
      <w:hyperlink w:anchor="_Toc226460759" w:history="1">
        <w:r w:rsidRPr="00C84589">
          <w:rPr>
            <w:rStyle w:val="Hyperlink"/>
          </w:rPr>
          <w:t xml:space="preserve">4.2 </w:t>
        </w:r>
        <w:r>
          <w:rPr>
            <w:rFonts w:asciiTheme="minorHAnsi" w:eastAsiaTheme="minorEastAsia" w:hAnsiTheme="minorHAnsi" w:cstheme="minorBidi"/>
            <w:kern w:val="2"/>
            <w:sz w:val="24"/>
            <w:szCs w:val="24"/>
            <w14:ligatures w14:val="standardContextual"/>
          </w:rPr>
          <w:tab/>
        </w:r>
        <w:r w:rsidRPr="00C84589">
          <w:rPr>
            <w:rStyle w:val="Hyperlink"/>
          </w:rPr>
          <w:t>Mineral industry (2.A)</w:t>
        </w:r>
        <w:r>
          <w:rPr>
            <w:webHidden/>
          </w:rPr>
          <w:tab/>
        </w:r>
        <w:r>
          <w:rPr>
            <w:webHidden/>
          </w:rPr>
          <w:fldChar w:fldCharType="begin"/>
        </w:r>
        <w:r>
          <w:rPr>
            <w:webHidden/>
          </w:rPr>
          <w:instrText xml:space="preserve"> PAGEREF _Toc226460759 \h </w:instrText>
        </w:r>
        <w:r>
          <w:rPr>
            <w:webHidden/>
          </w:rPr>
        </w:r>
        <w:r>
          <w:rPr>
            <w:webHidden/>
          </w:rPr>
          <w:fldChar w:fldCharType="separate"/>
        </w:r>
        <w:r w:rsidR="00831581">
          <w:rPr>
            <w:webHidden/>
          </w:rPr>
          <w:t>118</w:t>
        </w:r>
        <w:r>
          <w:rPr>
            <w:webHidden/>
          </w:rPr>
          <w:fldChar w:fldCharType="end"/>
        </w:r>
      </w:hyperlink>
    </w:p>
    <w:p w14:paraId="21D3AB2B" w14:textId="24B52819" w:rsidR="002C0B67" w:rsidRDefault="002C0B67">
      <w:pPr>
        <w:pStyle w:val="TOC2"/>
        <w:rPr>
          <w:rFonts w:asciiTheme="minorHAnsi" w:eastAsiaTheme="minorEastAsia" w:hAnsiTheme="minorHAnsi" w:cstheme="minorBidi"/>
          <w:kern w:val="2"/>
          <w:sz w:val="24"/>
          <w:szCs w:val="24"/>
          <w14:ligatures w14:val="standardContextual"/>
        </w:rPr>
      </w:pPr>
      <w:hyperlink w:anchor="_Toc226460760" w:history="1">
        <w:r w:rsidRPr="00C84589">
          <w:rPr>
            <w:rStyle w:val="Hyperlink"/>
          </w:rPr>
          <w:t xml:space="preserve">4.3 </w:t>
        </w:r>
        <w:r>
          <w:rPr>
            <w:rFonts w:asciiTheme="minorHAnsi" w:eastAsiaTheme="minorEastAsia" w:hAnsiTheme="minorHAnsi" w:cstheme="minorBidi"/>
            <w:kern w:val="2"/>
            <w:sz w:val="24"/>
            <w:szCs w:val="24"/>
            <w14:ligatures w14:val="standardContextual"/>
          </w:rPr>
          <w:tab/>
        </w:r>
        <w:r w:rsidRPr="00C84589">
          <w:rPr>
            <w:rStyle w:val="Hyperlink"/>
          </w:rPr>
          <w:t>Chemical industry (2.B)</w:t>
        </w:r>
        <w:r>
          <w:rPr>
            <w:webHidden/>
          </w:rPr>
          <w:tab/>
        </w:r>
        <w:r>
          <w:rPr>
            <w:webHidden/>
          </w:rPr>
          <w:fldChar w:fldCharType="begin"/>
        </w:r>
        <w:r>
          <w:rPr>
            <w:webHidden/>
          </w:rPr>
          <w:instrText xml:space="preserve"> PAGEREF _Toc226460760 \h </w:instrText>
        </w:r>
        <w:r>
          <w:rPr>
            <w:webHidden/>
          </w:rPr>
        </w:r>
        <w:r>
          <w:rPr>
            <w:webHidden/>
          </w:rPr>
          <w:fldChar w:fldCharType="separate"/>
        </w:r>
        <w:r w:rsidR="00831581">
          <w:rPr>
            <w:webHidden/>
          </w:rPr>
          <w:t>123</w:t>
        </w:r>
        <w:r>
          <w:rPr>
            <w:webHidden/>
          </w:rPr>
          <w:fldChar w:fldCharType="end"/>
        </w:r>
      </w:hyperlink>
    </w:p>
    <w:p w14:paraId="505A45E5" w14:textId="4CB76FFF" w:rsidR="002C0B67" w:rsidRDefault="002C0B67">
      <w:pPr>
        <w:pStyle w:val="TOC2"/>
        <w:rPr>
          <w:rFonts w:asciiTheme="minorHAnsi" w:eastAsiaTheme="minorEastAsia" w:hAnsiTheme="minorHAnsi" w:cstheme="minorBidi"/>
          <w:kern w:val="2"/>
          <w:sz w:val="24"/>
          <w:szCs w:val="24"/>
          <w14:ligatures w14:val="standardContextual"/>
        </w:rPr>
      </w:pPr>
      <w:hyperlink w:anchor="_Toc226460761" w:history="1">
        <w:r w:rsidRPr="00C84589">
          <w:rPr>
            <w:rStyle w:val="Hyperlink"/>
          </w:rPr>
          <w:t xml:space="preserve">4.4 </w:t>
        </w:r>
        <w:r>
          <w:rPr>
            <w:rFonts w:asciiTheme="minorHAnsi" w:eastAsiaTheme="minorEastAsia" w:hAnsiTheme="minorHAnsi" w:cstheme="minorBidi"/>
            <w:kern w:val="2"/>
            <w:sz w:val="24"/>
            <w:szCs w:val="24"/>
            <w14:ligatures w14:val="standardContextual"/>
          </w:rPr>
          <w:tab/>
        </w:r>
        <w:r w:rsidRPr="00C84589">
          <w:rPr>
            <w:rStyle w:val="Hyperlink"/>
          </w:rPr>
          <w:t>Metal industry (2.C)</w:t>
        </w:r>
        <w:r>
          <w:rPr>
            <w:webHidden/>
          </w:rPr>
          <w:tab/>
        </w:r>
        <w:r>
          <w:rPr>
            <w:webHidden/>
          </w:rPr>
          <w:fldChar w:fldCharType="begin"/>
        </w:r>
        <w:r>
          <w:rPr>
            <w:webHidden/>
          </w:rPr>
          <w:instrText xml:space="preserve"> PAGEREF _Toc226460761 \h </w:instrText>
        </w:r>
        <w:r>
          <w:rPr>
            <w:webHidden/>
          </w:rPr>
        </w:r>
        <w:r>
          <w:rPr>
            <w:webHidden/>
          </w:rPr>
          <w:fldChar w:fldCharType="separate"/>
        </w:r>
        <w:r w:rsidR="00831581">
          <w:rPr>
            <w:webHidden/>
          </w:rPr>
          <w:t>127</w:t>
        </w:r>
        <w:r>
          <w:rPr>
            <w:webHidden/>
          </w:rPr>
          <w:fldChar w:fldCharType="end"/>
        </w:r>
      </w:hyperlink>
    </w:p>
    <w:p w14:paraId="323841A7" w14:textId="0B5B4D1E" w:rsidR="002C0B67" w:rsidRDefault="002C0B67">
      <w:pPr>
        <w:pStyle w:val="TOC2"/>
        <w:rPr>
          <w:rFonts w:asciiTheme="minorHAnsi" w:eastAsiaTheme="minorEastAsia" w:hAnsiTheme="minorHAnsi" w:cstheme="minorBidi"/>
          <w:kern w:val="2"/>
          <w:sz w:val="24"/>
          <w:szCs w:val="24"/>
          <w14:ligatures w14:val="standardContextual"/>
        </w:rPr>
      </w:pPr>
      <w:hyperlink w:anchor="_Toc226460762" w:history="1">
        <w:r w:rsidRPr="00C84589">
          <w:rPr>
            <w:rStyle w:val="Hyperlink"/>
          </w:rPr>
          <w:t xml:space="preserve">4.5 </w:t>
        </w:r>
        <w:r>
          <w:rPr>
            <w:rFonts w:asciiTheme="minorHAnsi" w:eastAsiaTheme="minorEastAsia" w:hAnsiTheme="minorHAnsi" w:cstheme="minorBidi"/>
            <w:kern w:val="2"/>
            <w:sz w:val="24"/>
            <w:szCs w:val="24"/>
            <w14:ligatures w14:val="standardContextual"/>
          </w:rPr>
          <w:tab/>
        </w:r>
        <w:r w:rsidRPr="00C84589">
          <w:rPr>
            <w:rStyle w:val="Hyperlink"/>
          </w:rPr>
          <w:t>Non-energy products from fuels and solvent use (2.D)</w:t>
        </w:r>
        <w:r>
          <w:rPr>
            <w:webHidden/>
          </w:rPr>
          <w:tab/>
        </w:r>
        <w:r>
          <w:rPr>
            <w:webHidden/>
          </w:rPr>
          <w:fldChar w:fldCharType="begin"/>
        </w:r>
        <w:r>
          <w:rPr>
            <w:webHidden/>
          </w:rPr>
          <w:instrText xml:space="preserve"> PAGEREF _Toc226460762 \h </w:instrText>
        </w:r>
        <w:r>
          <w:rPr>
            <w:webHidden/>
          </w:rPr>
        </w:r>
        <w:r>
          <w:rPr>
            <w:webHidden/>
          </w:rPr>
          <w:fldChar w:fldCharType="separate"/>
        </w:r>
        <w:r w:rsidR="00831581">
          <w:rPr>
            <w:webHidden/>
          </w:rPr>
          <w:t>133</w:t>
        </w:r>
        <w:r>
          <w:rPr>
            <w:webHidden/>
          </w:rPr>
          <w:fldChar w:fldCharType="end"/>
        </w:r>
      </w:hyperlink>
    </w:p>
    <w:p w14:paraId="333B66E1" w14:textId="41F5E311" w:rsidR="002C0B67" w:rsidRDefault="002C0B67">
      <w:pPr>
        <w:pStyle w:val="TOC2"/>
        <w:rPr>
          <w:rFonts w:asciiTheme="minorHAnsi" w:eastAsiaTheme="minorEastAsia" w:hAnsiTheme="minorHAnsi" w:cstheme="minorBidi"/>
          <w:kern w:val="2"/>
          <w:sz w:val="24"/>
          <w:szCs w:val="24"/>
          <w14:ligatures w14:val="standardContextual"/>
        </w:rPr>
      </w:pPr>
      <w:hyperlink w:anchor="_Toc226460763" w:history="1">
        <w:r w:rsidRPr="00C84589">
          <w:rPr>
            <w:rStyle w:val="Hyperlink"/>
          </w:rPr>
          <w:t xml:space="preserve">4.6 </w:t>
        </w:r>
        <w:r>
          <w:rPr>
            <w:rFonts w:asciiTheme="minorHAnsi" w:eastAsiaTheme="minorEastAsia" w:hAnsiTheme="minorHAnsi" w:cstheme="minorBidi"/>
            <w:kern w:val="2"/>
            <w:sz w:val="24"/>
            <w:szCs w:val="24"/>
            <w14:ligatures w14:val="standardContextual"/>
          </w:rPr>
          <w:tab/>
        </w:r>
        <w:r w:rsidRPr="00C84589">
          <w:rPr>
            <w:rStyle w:val="Hyperlink"/>
          </w:rPr>
          <w:t>Electronics industry (2.E)</w:t>
        </w:r>
        <w:r>
          <w:rPr>
            <w:webHidden/>
          </w:rPr>
          <w:tab/>
        </w:r>
        <w:r>
          <w:rPr>
            <w:webHidden/>
          </w:rPr>
          <w:fldChar w:fldCharType="begin"/>
        </w:r>
        <w:r>
          <w:rPr>
            <w:webHidden/>
          </w:rPr>
          <w:instrText xml:space="preserve"> PAGEREF _Toc226460763 \h </w:instrText>
        </w:r>
        <w:r>
          <w:rPr>
            <w:webHidden/>
          </w:rPr>
        </w:r>
        <w:r>
          <w:rPr>
            <w:webHidden/>
          </w:rPr>
          <w:fldChar w:fldCharType="separate"/>
        </w:r>
        <w:r w:rsidR="00831581">
          <w:rPr>
            <w:webHidden/>
          </w:rPr>
          <w:t>136</w:t>
        </w:r>
        <w:r>
          <w:rPr>
            <w:webHidden/>
          </w:rPr>
          <w:fldChar w:fldCharType="end"/>
        </w:r>
      </w:hyperlink>
    </w:p>
    <w:p w14:paraId="08E69CF5" w14:textId="67BD7C24" w:rsidR="002C0B67" w:rsidRDefault="002C0B67">
      <w:pPr>
        <w:pStyle w:val="TOC2"/>
        <w:rPr>
          <w:rFonts w:asciiTheme="minorHAnsi" w:eastAsiaTheme="minorEastAsia" w:hAnsiTheme="minorHAnsi" w:cstheme="minorBidi"/>
          <w:kern w:val="2"/>
          <w:sz w:val="24"/>
          <w:szCs w:val="24"/>
          <w14:ligatures w14:val="standardContextual"/>
        </w:rPr>
      </w:pPr>
      <w:hyperlink w:anchor="_Toc226460764" w:history="1">
        <w:r w:rsidRPr="00C84589">
          <w:rPr>
            <w:rStyle w:val="Hyperlink"/>
          </w:rPr>
          <w:t xml:space="preserve">4.7 </w:t>
        </w:r>
        <w:r>
          <w:rPr>
            <w:rFonts w:asciiTheme="minorHAnsi" w:eastAsiaTheme="minorEastAsia" w:hAnsiTheme="minorHAnsi" w:cstheme="minorBidi"/>
            <w:kern w:val="2"/>
            <w:sz w:val="24"/>
            <w:szCs w:val="24"/>
            <w14:ligatures w14:val="standardContextual"/>
          </w:rPr>
          <w:tab/>
        </w:r>
        <w:r w:rsidRPr="00C84589">
          <w:rPr>
            <w:rStyle w:val="Hyperlink"/>
          </w:rPr>
          <w:t>Product uses as substitutes for ODS (2.F)</w:t>
        </w:r>
        <w:r>
          <w:rPr>
            <w:webHidden/>
          </w:rPr>
          <w:tab/>
        </w:r>
        <w:r>
          <w:rPr>
            <w:webHidden/>
          </w:rPr>
          <w:fldChar w:fldCharType="begin"/>
        </w:r>
        <w:r>
          <w:rPr>
            <w:webHidden/>
          </w:rPr>
          <w:instrText xml:space="preserve"> PAGEREF _Toc226460764 \h </w:instrText>
        </w:r>
        <w:r>
          <w:rPr>
            <w:webHidden/>
          </w:rPr>
        </w:r>
        <w:r>
          <w:rPr>
            <w:webHidden/>
          </w:rPr>
          <w:fldChar w:fldCharType="separate"/>
        </w:r>
        <w:r w:rsidR="00831581">
          <w:rPr>
            <w:webHidden/>
          </w:rPr>
          <w:t>137</w:t>
        </w:r>
        <w:r>
          <w:rPr>
            <w:webHidden/>
          </w:rPr>
          <w:fldChar w:fldCharType="end"/>
        </w:r>
      </w:hyperlink>
    </w:p>
    <w:p w14:paraId="122026F8" w14:textId="0611401C" w:rsidR="002C0B67" w:rsidRDefault="002C0B67">
      <w:pPr>
        <w:pStyle w:val="TOC2"/>
        <w:rPr>
          <w:rFonts w:asciiTheme="minorHAnsi" w:eastAsiaTheme="minorEastAsia" w:hAnsiTheme="minorHAnsi" w:cstheme="minorBidi"/>
          <w:kern w:val="2"/>
          <w:sz w:val="24"/>
          <w:szCs w:val="24"/>
          <w14:ligatures w14:val="standardContextual"/>
        </w:rPr>
      </w:pPr>
      <w:hyperlink w:anchor="_Toc226460765" w:history="1">
        <w:r w:rsidRPr="00C84589">
          <w:rPr>
            <w:rStyle w:val="Hyperlink"/>
          </w:rPr>
          <w:t xml:space="preserve">4.8 </w:t>
        </w:r>
        <w:r>
          <w:rPr>
            <w:rFonts w:asciiTheme="minorHAnsi" w:eastAsiaTheme="minorEastAsia" w:hAnsiTheme="minorHAnsi" w:cstheme="minorBidi"/>
            <w:kern w:val="2"/>
            <w:sz w:val="24"/>
            <w:szCs w:val="24"/>
            <w14:ligatures w14:val="standardContextual"/>
          </w:rPr>
          <w:tab/>
        </w:r>
        <w:r w:rsidRPr="00C84589">
          <w:rPr>
            <w:rStyle w:val="Hyperlink"/>
          </w:rPr>
          <w:t>Other product manufacture and use (2.G)</w:t>
        </w:r>
        <w:r>
          <w:rPr>
            <w:webHidden/>
          </w:rPr>
          <w:tab/>
        </w:r>
        <w:r>
          <w:rPr>
            <w:webHidden/>
          </w:rPr>
          <w:fldChar w:fldCharType="begin"/>
        </w:r>
        <w:r>
          <w:rPr>
            <w:webHidden/>
          </w:rPr>
          <w:instrText xml:space="preserve"> PAGEREF _Toc226460765 \h </w:instrText>
        </w:r>
        <w:r>
          <w:rPr>
            <w:webHidden/>
          </w:rPr>
        </w:r>
        <w:r>
          <w:rPr>
            <w:webHidden/>
          </w:rPr>
          <w:fldChar w:fldCharType="separate"/>
        </w:r>
        <w:r w:rsidR="00831581">
          <w:rPr>
            <w:webHidden/>
          </w:rPr>
          <w:t>145</w:t>
        </w:r>
        <w:r>
          <w:rPr>
            <w:webHidden/>
          </w:rPr>
          <w:fldChar w:fldCharType="end"/>
        </w:r>
      </w:hyperlink>
    </w:p>
    <w:p w14:paraId="7683A1E7" w14:textId="33F50D40" w:rsidR="002C0B67" w:rsidRDefault="002C0B67">
      <w:pPr>
        <w:pStyle w:val="TOC2"/>
        <w:rPr>
          <w:rFonts w:asciiTheme="minorHAnsi" w:eastAsiaTheme="minorEastAsia" w:hAnsiTheme="minorHAnsi" w:cstheme="minorBidi"/>
          <w:kern w:val="2"/>
          <w:sz w:val="24"/>
          <w:szCs w:val="24"/>
          <w14:ligatures w14:val="standardContextual"/>
        </w:rPr>
      </w:pPr>
      <w:hyperlink w:anchor="_Toc226460766" w:history="1">
        <w:r w:rsidRPr="00C84589">
          <w:rPr>
            <w:rStyle w:val="Hyperlink"/>
          </w:rPr>
          <w:t xml:space="preserve">4.9 </w:t>
        </w:r>
        <w:r>
          <w:rPr>
            <w:rFonts w:asciiTheme="minorHAnsi" w:eastAsiaTheme="minorEastAsia" w:hAnsiTheme="minorHAnsi" w:cstheme="minorBidi"/>
            <w:kern w:val="2"/>
            <w:sz w:val="24"/>
            <w:szCs w:val="24"/>
            <w14:ligatures w14:val="standardContextual"/>
          </w:rPr>
          <w:tab/>
        </w:r>
        <w:r w:rsidRPr="00C84589">
          <w:rPr>
            <w:rStyle w:val="Hyperlink"/>
          </w:rPr>
          <w:t>Other (2.H)</w:t>
        </w:r>
        <w:r>
          <w:rPr>
            <w:webHidden/>
          </w:rPr>
          <w:tab/>
        </w:r>
        <w:r>
          <w:rPr>
            <w:webHidden/>
          </w:rPr>
          <w:fldChar w:fldCharType="begin"/>
        </w:r>
        <w:r>
          <w:rPr>
            <w:webHidden/>
          </w:rPr>
          <w:instrText xml:space="preserve"> PAGEREF _Toc226460766 \h </w:instrText>
        </w:r>
        <w:r>
          <w:rPr>
            <w:webHidden/>
          </w:rPr>
        </w:r>
        <w:r>
          <w:rPr>
            <w:webHidden/>
          </w:rPr>
          <w:fldChar w:fldCharType="separate"/>
        </w:r>
        <w:r w:rsidR="00831581">
          <w:rPr>
            <w:webHidden/>
          </w:rPr>
          <w:t>148</w:t>
        </w:r>
        <w:r>
          <w:rPr>
            <w:webHidden/>
          </w:rPr>
          <w:fldChar w:fldCharType="end"/>
        </w:r>
      </w:hyperlink>
    </w:p>
    <w:p w14:paraId="32E70265" w14:textId="2FA749E9" w:rsidR="002C0B67" w:rsidRDefault="002C0B67">
      <w:pPr>
        <w:pStyle w:val="TOC2"/>
        <w:rPr>
          <w:rFonts w:asciiTheme="minorHAnsi" w:eastAsiaTheme="minorEastAsia" w:hAnsiTheme="minorHAnsi" w:cstheme="minorBidi"/>
          <w:kern w:val="2"/>
          <w:sz w:val="24"/>
          <w:szCs w:val="24"/>
          <w14:ligatures w14:val="standardContextual"/>
        </w:rPr>
      </w:pPr>
      <w:hyperlink w:anchor="_Toc226460767" w:history="1">
        <w:r w:rsidRPr="00C84589">
          <w:rPr>
            <w:rStyle w:val="Hyperlink"/>
          </w:rPr>
          <w:t>Chapter 4: References</w:t>
        </w:r>
        <w:r>
          <w:rPr>
            <w:webHidden/>
          </w:rPr>
          <w:tab/>
        </w:r>
        <w:r>
          <w:rPr>
            <w:webHidden/>
          </w:rPr>
          <w:fldChar w:fldCharType="begin"/>
        </w:r>
        <w:r>
          <w:rPr>
            <w:webHidden/>
          </w:rPr>
          <w:instrText xml:space="preserve"> PAGEREF _Toc226460767 \h </w:instrText>
        </w:r>
        <w:r>
          <w:rPr>
            <w:webHidden/>
          </w:rPr>
        </w:r>
        <w:r>
          <w:rPr>
            <w:webHidden/>
          </w:rPr>
          <w:fldChar w:fldCharType="separate"/>
        </w:r>
        <w:r w:rsidR="00831581">
          <w:rPr>
            <w:webHidden/>
          </w:rPr>
          <w:t>150</w:t>
        </w:r>
        <w:r>
          <w:rPr>
            <w:webHidden/>
          </w:rPr>
          <w:fldChar w:fldCharType="end"/>
        </w:r>
      </w:hyperlink>
    </w:p>
    <w:p w14:paraId="6353B0AF" w14:textId="70459FF7"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68" w:history="1">
        <w:r w:rsidRPr="00C84589">
          <w:rPr>
            <w:rStyle w:val="Hyperlink"/>
            <w:noProof/>
          </w:rPr>
          <w:t>Chapter 5: Agriculture</w:t>
        </w:r>
        <w:r>
          <w:rPr>
            <w:noProof/>
            <w:webHidden/>
          </w:rPr>
          <w:tab/>
        </w:r>
        <w:r>
          <w:rPr>
            <w:noProof/>
            <w:webHidden/>
          </w:rPr>
          <w:fldChar w:fldCharType="begin"/>
        </w:r>
        <w:r>
          <w:rPr>
            <w:noProof/>
            <w:webHidden/>
          </w:rPr>
          <w:instrText xml:space="preserve"> PAGEREF _Toc226460768 \h </w:instrText>
        </w:r>
        <w:r>
          <w:rPr>
            <w:noProof/>
            <w:webHidden/>
          </w:rPr>
        </w:r>
        <w:r>
          <w:rPr>
            <w:noProof/>
            <w:webHidden/>
          </w:rPr>
          <w:fldChar w:fldCharType="separate"/>
        </w:r>
        <w:r w:rsidR="00831581">
          <w:rPr>
            <w:noProof/>
            <w:webHidden/>
          </w:rPr>
          <w:t>151</w:t>
        </w:r>
        <w:r>
          <w:rPr>
            <w:noProof/>
            <w:webHidden/>
          </w:rPr>
          <w:fldChar w:fldCharType="end"/>
        </w:r>
      </w:hyperlink>
    </w:p>
    <w:p w14:paraId="1CAE1B2B" w14:textId="1353F92F" w:rsidR="002C0B67" w:rsidRDefault="002C0B67">
      <w:pPr>
        <w:pStyle w:val="TOC2"/>
        <w:rPr>
          <w:rFonts w:asciiTheme="minorHAnsi" w:eastAsiaTheme="minorEastAsia" w:hAnsiTheme="minorHAnsi" w:cstheme="minorBidi"/>
          <w:kern w:val="2"/>
          <w:sz w:val="24"/>
          <w:szCs w:val="24"/>
          <w14:ligatures w14:val="standardContextual"/>
        </w:rPr>
      </w:pPr>
      <w:hyperlink w:anchor="_Toc226460769" w:history="1">
        <w:r w:rsidRPr="00C84589">
          <w:rPr>
            <w:rStyle w:val="Hyperlink"/>
          </w:rPr>
          <w:t xml:space="preserve">5.1 </w:t>
        </w:r>
        <w:r>
          <w:rPr>
            <w:rFonts w:asciiTheme="minorHAnsi" w:eastAsiaTheme="minorEastAsia" w:hAnsiTheme="minorHAnsi" w:cstheme="minorBidi"/>
            <w:kern w:val="2"/>
            <w:sz w:val="24"/>
            <w:szCs w:val="24"/>
            <w14:ligatures w14:val="standardContextual"/>
          </w:rPr>
          <w:tab/>
        </w:r>
        <w:r w:rsidRPr="00C84589">
          <w:rPr>
            <w:rStyle w:val="Hyperlink"/>
          </w:rPr>
          <w:t>Sector overview</w:t>
        </w:r>
        <w:r>
          <w:rPr>
            <w:webHidden/>
          </w:rPr>
          <w:tab/>
        </w:r>
        <w:r>
          <w:rPr>
            <w:webHidden/>
          </w:rPr>
          <w:fldChar w:fldCharType="begin"/>
        </w:r>
        <w:r>
          <w:rPr>
            <w:webHidden/>
          </w:rPr>
          <w:instrText xml:space="preserve"> PAGEREF _Toc226460769 \h </w:instrText>
        </w:r>
        <w:r>
          <w:rPr>
            <w:webHidden/>
          </w:rPr>
        </w:r>
        <w:r>
          <w:rPr>
            <w:webHidden/>
          </w:rPr>
          <w:fldChar w:fldCharType="separate"/>
        </w:r>
        <w:r w:rsidR="00831581">
          <w:rPr>
            <w:webHidden/>
          </w:rPr>
          <w:t>151</w:t>
        </w:r>
        <w:r>
          <w:rPr>
            <w:webHidden/>
          </w:rPr>
          <w:fldChar w:fldCharType="end"/>
        </w:r>
      </w:hyperlink>
    </w:p>
    <w:p w14:paraId="5E55022F" w14:textId="51B2E07D" w:rsidR="002C0B67" w:rsidRDefault="002C0B67">
      <w:pPr>
        <w:pStyle w:val="TOC2"/>
        <w:rPr>
          <w:rFonts w:asciiTheme="minorHAnsi" w:eastAsiaTheme="minorEastAsia" w:hAnsiTheme="minorHAnsi" w:cstheme="minorBidi"/>
          <w:kern w:val="2"/>
          <w:sz w:val="24"/>
          <w:szCs w:val="24"/>
          <w14:ligatures w14:val="standardContextual"/>
        </w:rPr>
      </w:pPr>
      <w:hyperlink w:anchor="_Toc226460770" w:history="1">
        <w:r w:rsidRPr="00C84589">
          <w:rPr>
            <w:rStyle w:val="Hyperlink"/>
          </w:rPr>
          <w:t>5.2</w:t>
        </w:r>
        <w:r>
          <w:rPr>
            <w:rFonts w:asciiTheme="minorHAnsi" w:eastAsiaTheme="minorEastAsia" w:hAnsiTheme="minorHAnsi" w:cstheme="minorBidi"/>
            <w:kern w:val="2"/>
            <w:sz w:val="24"/>
            <w:szCs w:val="24"/>
            <w14:ligatures w14:val="standardContextual"/>
          </w:rPr>
          <w:tab/>
        </w:r>
        <w:r w:rsidRPr="00C84589">
          <w:rPr>
            <w:rStyle w:val="Hyperlink"/>
          </w:rPr>
          <w:t>Enteric fermentation (3.A)</w:t>
        </w:r>
        <w:r>
          <w:rPr>
            <w:webHidden/>
          </w:rPr>
          <w:tab/>
        </w:r>
        <w:r>
          <w:rPr>
            <w:webHidden/>
          </w:rPr>
          <w:fldChar w:fldCharType="begin"/>
        </w:r>
        <w:r>
          <w:rPr>
            <w:webHidden/>
          </w:rPr>
          <w:instrText xml:space="preserve"> PAGEREF _Toc226460770 \h </w:instrText>
        </w:r>
        <w:r>
          <w:rPr>
            <w:webHidden/>
          </w:rPr>
        </w:r>
        <w:r>
          <w:rPr>
            <w:webHidden/>
          </w:rPr>
          <w:fldChar w:fldCharType="separate"/>
        </w:r>
        <w:r w:rsidR="00831581">
          <w:rPr>
            <w:webHidden/>
          </w:rPr>
          <w:t>180</w:t>
        </w:r>
        <w:r>
          <w:rPr>
            <w:webHidden/>
          </w:rPr>
          <w:fldChar w:fldCharType="end"/>
        </w:r>
      </w:hyperlink>
    </w:p>
    <w:p w14:paraId="7E419C70" w14:textId="7D2E6B02" w:rsidR="002C0B67" w:rsidRDefault="002C0B67">
      <w:pPr>
        <w:pStyle w:val="TOC2"/>
        <w:rPr>
          <w:rFonts w:asciiTheme="minorHAnsi" w:eastAsiaTheme="minorEastAsia" w:hAnsiTheme="minorHAnsi" w:cstheme="minorBidi"/>
          <w:kern w:val="2"/>
          <w:sz w:val="24"/>
          <w:szCs w:val="24"/>
          <w14:ligatures w14:val="standardContextual"/>
        </w:rPr>
      </w:pPr>
      <w:hyperlink w:anchor="_Toc226460771" w:history="1">
        <w:r w:rsidRPr="00C84589">
          <w:rPr>
            <w:rStyle w:val="Hyperlink"/>
          </w:rPr>
          <w:t>5.3</w:t>
        </w:r>
        <w:r>
          <w:rPr>
            <w:rFonts w:asciiTheme="minorHAnsi" w:eastAsiaTheme="minorEastAsia" w:hAnsiTheme="minorHAnsi" w:cstheme="minorBidi"/>
            <w:kern w:val="2"/>
            <w:sz w:val="24"/>
            <w:szCs w:val="24"/>
            <w14:ligatures w14:val="standardContextual"/>
          </w:rPr>
          <w:tab/>
        </w:r>
        <w:r w:rsidRPr="00C84589">
          <w:rPr>
            <w:rStyle w:val="Hyperlink"/>
          </w:rPr>
          <w:t>Manure management (3.B)</w:t>
        </w:r>
        <w:r>
          <w:rPr>
            <w:webHidden/>
          </w:rPr>
          <w:tab/>
        </w:r>
        <w:r>
          <w:rPr>
            <w:webHidden/>
          </w:rPr>
          <w:fldChar w:fldCharType="begin"/>
        </w:r>
        <w:r>
          <w:rPr>
            <w:webHidden/>
          </w:rPr>
          <w:instrText xml:space="preserve"> PAGEREF _Toc226460771 \h </w:instrText>
        </w:r>
        <w:r>
          <w:rPr>
            <w:webHidden/>
          </w:rPr>
        </w:r>
        <w:r>
          <w:rPr>
            <w:webHidden/>
          </w:rPr>
          <w:fldChar w:fldCharType="separate"/>
        </w:r>
        <w:r w:rsidR="00831581">
          <w:rPr>
            <w:webHidden/>
          </w:rPr>
          <w:t>190</w:t>
        </w:r>
        <w:r>
          <w:rPr>
            <w:webHidden/>
          </w:rPr>
          <w:fldChar w:fldCharType="end"/>
        </w:r>
      </w:hyperlink>
    </w:p>
    <w:p w14:paraId="361B6CF3" w14:textId="4D8CE650" w:rsidR="002C0B67" w:rsidRDefault="002C0B67">
      <w:pPr>
        <w:pStyle w:val="TOC2"/>
        <w:rPr>
          <w:rFonts w:asciiTheme="minorHAnsi" w:eastAsiaTheme="minorEastAsia" w:hAnsiTheme="minorHAnsi" w:cstheme="minorBidi"/>
          <w:kern w:val="2"/>
          <w:sz w:val="24"/>
          <w:szCs w:val="24"/>
          <w14:ligatures w14:val="standardContextual"/>
        </w:rPr>
      </w:pPr>
      <w:hyperlink w:anchor="_Toc226460772" w:history="1">
        <w:r w:rsidRPr="00C84589">
          <w:rPr>
            <w:rStyle w:val="Hyperlink"/>
          </w:rPr>
          <w:t>5.4</w:t>
        </w:r>
        <w:r>
          <w:rPr>
            <w:rFonts w:asciiTheme="minorHAnsi" w:eastAsiaTheme="minorEastAsia" w:hAnsiTheme="minorHAnsi" w:cstheme="minorBidi"/>
            <w:kern w:val="2"/>
            <w:sz w:val="24"/>
            <w:szCs w:val="24"/>
            <w14:ligatures w14:val="standardContextual"/>
          </w:rPr>
          <w:tab/>
        </w:r>
        <w:r w:rsidRPr="00C84589">
          <w:rPr>
            <w:rStyle w:val="Hyperlink"/>
          </w:rPr>
          <w:t>Rice cultivation (3.C)</w:t>
        </w:r>
        <w:r>
          <w:rPr>
            <w:webHidden/>
          </w:rPr>
          <w:tab/>
        </w:r>
        <w:r>
          <w:rPr>
            <w:webHidden/>
          </w:rPr>
          <w:fldChar w:fldCharType="begin"/>
        </w:r>
        <w:r>
          <w:rPr>
            <w:webHidden/>
          </w:rPr>
          <w:instrText xml:space="preserve"> PAGEREF _Toc226460772 \h </w:instrText>
        </w:r>
        <w:r>
          <w:rPr>
            <w:webHidden/>
          </w:rPr>
        </w:r>
        <w:r>
          <w:rPr>
            <w:webHidden/>
          </w:rPr>
          <w:fldChar w:fldCharType="separate"/>
        </w:r>
        <w:r w:rsidR="00831581">
          <w:rPr>
            <w:webHidden/>
          </w:rPr>
          <w:t>210</w:t>
        </w:r>
        <w:r>
          <w:rPr>
            <w:webHidden/>
          </w:rPr>
          <w:fldChar w:fldCharType="end"/>
        </w:r>
      </w:hyperlink>
    </w:p>
    <w:p w14:paraId="552F6E48" w14:textId="24A757C4" w:rsidR="002C0B67" w:rsidRDefault="002C0B67">
      <w:pPr>
        <w:pStyle w:val="TOC2"/>
        <w:rPr>
          <w:rFonts w:asciiTheme="minorHAnsi" w:eastAsiaTheme="minorEastAsia" w:hAnsiTheme="minorHAnsi" w:cstheme="minorBidi"/>
          <w:kern w:val="2"/>
          <w:sz w:val="24"/>
          <w:szCs w:val="24"/>
          <w14:ligatures w14:val="standardContextual"/>
        </w:rPr>
      </w:pPr>
      <w:hyperlink w:anchor="_Toc226460773" w:history="1">
        <w:r w:rsidRPr="00C84589">
          <w:rPr>
            <w:rStyle w:val="Hyperlink"/>
          </w:rPr>
          <w:t>5.5</w:t>
        </w:r>
        <w:r>
          <w:rPr>
            <w:rFonts w:asciiTheme="minorHAnsi" w:eastAsiaTheme="minorEastAsia" w:hAnsiTheme="minorHAnsi" w:cstheme="minorBidi"/>
            <w:kern w:val="2"/>
            <w:sz w:val="24"/>
            <w:szCs w:val="24"/>
            <w14:ligatures w14:val="standardContextual"/>
          </w:rPr>
          <w:tab/>
        </w:r>
        <w:r w:rsidRPr="00C84589">
          <w:rPr>
            <w:rStyle w:val="Hyperlink"/>
          </w:rPr>
          <w:t>Agricultural soils (3.D)</w:t>
        </w:r>
        <w:r>
          <w:rPr>
            <w:webHidden/>
          </w:rPr>
          <w:tab/>
        </w:r>
        <w:r>
          <w:rPr>
            <w:webHidden/>
          </w:rPr>
          <w:fldChar w:fldCharType="begin"/>
        </w:r>
        <w:r>
          <w:rPr>
            <w:webHidden/>
          </w:rPr>
          <w:instrText xml:space="preserve"> PAGEREF _Toc226460773 \h </w:instrText>
        </w:r>
        <w:r>
          <w:rPr>
            <w:webHidden/>
          </w:rPr>
        </w:r>
        <w:r>
          <w:rPr>
            <w:webHidden/>
          </w:rPr>
          <w:fldChar w:fldCharType="separate"/>
        </w:r>
        <w:r w:rsidR="00831581">
          <w:rPr>
            <w:webHidden/>
          </w:rPr>
          <w:t>211</w:t>
        </w:r>
        <w:r>
          <w:rPr>
            <w:webHidden/>
          </w:rPr>
          <w:fldChar w:fldCharType="end"/>
        </w:r>
      </w:hyperlink>
    </w:p>
    <w:p w14:paraId="17A6AF5A" w14:textId="7803CC7A" w:rsidR="002C0B67" w:rsidRDefault="002C0B67">
      <w:pPr>
        <w:pStyle w:val="TOC2"/>
        <w:rPr>
          <w:rFonts w:asciiTheme="minorHAnsi" w:eastAsiaTheme="minorEastAsia" w:hAnsiTheme="minorHAnsi" w:cstheme="minorBidi"/>
          <w:kern w:val="2"/>
          <w:sz w:val="24"/>
          <w:szCs w:val="24"/>
          <w14:ligatures w14:val="standardContextual"/>
        </w:rPr>
      </w:pPr>
      <w:hyperlink w:anchor="_Toc226460774" w:history="1">
        <w:r w:rsidRPr="00C84589">
          <w:rPr>
            <w:rStyle w:val="Hyperlink"/>
            <w:bCs/>
          </w:rPr>
          <w:t>5.6</w:t>
        </w:r>
        <w:r>
          <w:rPr>
            <w:rFonts w:asciiTheme="minorHAnsi" w:eastAsiaTheme="minorEastAsia" w:hAnsiTheme="minorHAnsi" w:cstheme="minorBidi"/>
            <w:kern w:val="2"/>
            <w:sz w:val="24"/>
            <w:szCs w:val="24"/>
            <w14:ligatures w14:val="standardContextual"/>
          </w:rPr>
          <w:tab/>
        </w:r>
        <w:r w:rsidRPr="00C84589">
          <w:rPr>
            <w:rStyle w:val="Hyperlink"/>
          </w:rPr>
          <w:t>Prescribed burning of savanna (3.E)</w:t>
        </w:r>
        <w:r>
          <w:rPr>
            <w:webHidden/>
          </w:rPr>
          <w:tab/>
        </w:r>
        <w:r>
          <w:rPr>
            <w:webHidden/>
          </w:rPr>
          <w:fldChar w:fldCharType="begin"/>
        </w:r>
        <w:r>
          <w:rPr>
            <w:webHidden/>
          </w:rPr>
          <w:instrText xml:space="preserve"> PAGEREF _Toc226460774 \h </w:instrText>
        </w:r>
        <w:r>
          <w:rPr>
            <w:webHidden/>
          </w:rPr>
        </w:r>
        <w:r>
          <w:rPr>
            <w:webHidden/>
          </w:rPr>
          <w:fldChar w:fldCharType="separate"/>
        </w:r>
        <w:r w:rsidR="00831581">
          <w:rPr>
            <w:webHidden/>
          </w:rPr>
          <w:t>240</w:t>
        </w:r>
        <w:r>
          <w:rPr>
            <w:webHidden/>
          </w:rPr>
          <w:fldChar w:fldCharType="end"/>
        </w:r>
      </w:hyperlink>
    </w:p>
    <w:p w14:paraId="70A1D873" w14:textId="56803D87" w:rsidR="002C0B67" w:rsidRDefault="002C0B67">
      <w:pPr>
        <w:pStyle w:val="TOC2"/>
        <w:rPr>
          <w:rFonts w:asciiTheme="minorHAnsi" w:eastAsiaTheme="minorEastAsia" w:hAnsiTheme="minorHAnsi" w:cstheme="minorBidi"/>
          <w:kern w:val="2"/>
          <w:sz w:val="24"/>
          <w:szCs w:val="24"/>
          <w14:ligatures w14:val="standardContextual"/>
        </w:rPr>
      </w:pPr>
      <w:hyperlink w:anchor="_Toc226460775" w:history="1">
        <w:r w:rsidRPr="00C84589">
          <w:rPr>
            <w:rStyle w:val="Hyperlink"/>
          </w:rPr>
          <w:t>5.7</w:t>
        </w:r>
        <w:r>
          <w:rPr>
            <w:rFonts w:asciiTheme="minorHAnsi" w:eastAsiaTheme="minorEastAsia" w:hAnsiTheme="minorHAnsi" w:cstheme="minorBidi"/>
            <w:kern w:val="2"/>
            <w:sz w:val="24"/>
            <w:szCs w:val="24"/>
            <w14:ligatures w14:val="standardContextual"/>
          </w:rPr>
          <w:tab/>
        </w:r>
        <w:r w:rsidRPr="00C84589">
          <w:rPr>
            <w:rStyle w:val="Hyperlink"/>
          </w:rPr>
          <w:t>Field burning of agricultural residues (3.F)</w:t>
        </w:r>
        <w:r>
          <w:rPr>
            <w:webHidden/>
          </w:rPr>
          <w:tab/>
        </w:r>
        <w:r>
          <w:rPr>
            <w:webHidden/>
          </w:rPr>
          <w:fldChar w:fldCharType="begin"/>
        </w:r>
        <w:r>
          <w:rPr>
            <w:webHidden/>
          </w:rPr>
          <w:instrText xml:space="preserve"> PAGEREF _Toc226460775 \h </w:instrText>
        </w:r>
        <w:r>
          <w:rPr>
            <w:webHidden/>
          </w:rPr>
        </w:r>
        <w:r>
          <w:rPr>
            <w:webHidden/>
          </w:rPr>
          <w:fldChar w:fldCharType="separate"/>
        </w:r>
        <w:r w:rsidR="00831581">
          <w:rPr>
            <w:webHidden/>
          </w:rPr>
          <w:t>240</w:t>
        </w:r>
        <w:r>
          <w:rPr>
            <w:webHidden/>
          </w:rPr>
          <w:fldChar w:fldCharType="end"/>
        </w:r>
      </w:hyperlink>
    </w:p>
    <w:p w14:paraId="0BF99BEE" w14:textId="7E30C73D" w:rsidR="002C0B67" w:rsidRDefault="002C0B67">
      <w:pPr>
        <w:pStyle w:val="TOC2"/>
        <w:rPr>
          <w:rFonts w:asciiTheme="minorHAnsi" w:eastAsiaTheme="minorEastAsia" w:hAnsiTheme="minorHAnsi" w:cstheme="minorBidi"/>
          <w:kern w:val="2"/>
          <w:sz w:val="24"/>
          <w:szCs w:val="24"/>
          <w14:ligatures w14:val="standardContextual"/>
        </w:rPr>
      </w:pPr>
      <w:hyperlink w:anchor="_Toc226460776" w:history="1">
        <w:r w:rsidRPr="00C84589">
          <w:rPr>
            <w:rStyle w:val="Hyperlink"/>
          </w:rPr>
          <w:t>5.8</w:t>
        </w:r>
        <w:r>
          <w:rPr>
            <w:rFonts w:asciiTheme="minorHAnsi" w:eastAsiaTheme="minorEastAsia" w:hAnsiTheme="minorHAnsi" w:cstheme="minorBidi"/>
            <w:kern w:val="2"/>
            <w:sz w:val="24"/>
            <w:szCs w:val="24"/>
            <w14:ligatures w14:val="standardContextual"/>
          </w:rPr>
          <w:tab/>
        </w:r>
        <w:r w:rsidRPr="00C84589">
          <w:rPr>
            <w:rStyle w:val="Hyperlink"/>
          </w:rPr>
          <w:t>Liming (3.G)</w:t>
        </w:r>
        <w:r>
          <w:rPr>
            <w:webHidden/>
          </w:rPr>
          <w:tab/>
        </w:r>
        <w:r>
          <w:rPr>
            <w:webHidden/>
          </w:rPr>
          <w:fldChar w:fldCharType="begin"/>
        </w:r>
        <w:r>
          <w:rPr>
            <w:webHidden/>
          </w:rPr>
          <w:instrText xml:space="preserve"> PAGEREF _Toc226460776 \h </w:instrText>
        </w:r>
        <w:r>
          <w:rPr>
            <w:webHidden/>
          </w:rPr>
        </w:r>
        <w:r>
          <w:rPr>
            <w:webHidden/>
          </w:rPr>
          <w:fldChar w:fldCharType="separate"/>
        </w:r>
        <w:r w:rsidR="00831581">
          <w:rPr>
            <w:webHidden/>
          </w:rPr>
          <w:t>244</w:t>
        </w:r>
        <w:r>
          <w:rPr>
            <w:webHidden/>
          </w:rPr>
          <w:fldChar w:fldCharType="end"/>
        </w:r>
      </w:hyperlink>
    </w:p>
    <w:p w14:paraId="01DFBF86" w14:textId="4AD1FEAC" w:rsidR="002C0B67" w:rsidRDefault="002C0B67">
      <w:pPr>
        <w:pStyle w:val="TOC2"/>
        <w:rPr>
          <w:rFonts w:asciiTheme="minorHAnsi" w:eastAsiaTheme="minorEastAsia" w:hAnsiTheme="minorHAnsi" w:cstheme="minorBidi"/>
          <w:kern w:val="2"/>
          <w:sz w:val="24"/>
          <w:szCs w:val="24"/>
          <w14:ligatures w14:val="standardContextual"/>
        </w:rPr>
      </w:pPr>
      <w:hyperlink w:anchor="_Toc226460777" w:history="1">
        <w:r w:rsidRPr="00C84589">
          <w:rPr>
            <w:rStyle w:val="Hyperlink"/>
          </w:rPr>
          <w:t>5.9</w:t>
        </w:r>
        <w:r>
          <w:rPr>
            <w:rFonts w:asciiTheme="minorHAnsi" w:eastAsiaTheme="minorEastAsia" w:hAnsiTheme="minorHAnsi" w:cstheme="minorBidi"/>
            <w:kern w:val="2"/>
            <w:sz w:val="24"/>
            <w:szCs w:val="24"/>
            <w14:ligatures w14:val="standardContextual"/>
          </w:rPr>
          <w:tab/>
        </w:r>
        <w:r w:rsidRPr="00C84589">
          <w:rPr>
            <w:rStyle w:val="Hyperlink"/>
          </w:rPr>
          <w:t>Urea application (3.H)</w:t>
        </w:r>
        <w:r>
          <w:rPr>
            <w:webHidden/>
          </w:rPr>
          <w:tab/>
        </w:r>
        <w:r>
          <w:rPr>
            <w:webHidden/>
          </w:rPr>
          <w:fldChar w:fldCharType="begin"/>
        </w:r>
        <w:r>
          <w:rPr>
            <w:webHidden/>
          </w:rPr>
          <w:instrText xml:space="preserve"> PAGEREF _Toc226460777 \h </w:instrText>
        </w:r>
        <w:r>
          <w:rPr>
            <w:webHidden/>
          </w:rPr>
        </w:r>
        <w:r>
          <w:rPr>
            <w:webHidden/>
          </w:rPr>
          <w:fldChar w:fldCharType="separate"/>
        </w:r>
        <w:r w:rsidR="00831581">
          <w:rPr>
            <w:webHidden/>
          </w:rPr>
          <w:t>246</w:t>
        </w:r>
        <w:r>
          <w:rPr>
            <w:webHidden/>
          </w:rPr>
          <w:fldChar w:fldCharType="end"/>
        </w:r>
      </w:hyperlink>
    </w:p>
    <w:p w14:paraId="7FC324C8" w14:textId="00025067" w:rsidR="002C0B67" w:rsidRDefault="002C0B67">
      <w:pPr>
        <w:pStyle w:val="TOC2"/>
        <w:rPr>
          <w:rFonts w:asciiTheme="minorHAnsi" w:eastAsiaTheme="minorEastAsia" w:hAnsiTheme="minorHAnsi" w:cstheme="minorBidi"/>
          <w:kern w:val="2"/>
          <w:sz w:val="24"/>
          <w:szCs w:val="24"/>
          <w14:ligatures w14:val="standardContextual"/>
        </w:rPr>
      </w:pPr>
      <w:hyperlink w:anchor="_Toc226460778" w:history="1">
        <w:r w:rsidRPr="00C84589">
          <w:rPr>
            <w:rStyle w:val="Hyperlink"/>
          </w:rPr>
          <w:t xml:space="preserve">5.10 </w:t>
        </w:r>
        <w:r>
          <w:rPr>
            <w:rFonts w:asciiTheme="minorHAnsi" w:eastAsiaTheme="minorEastAsia" w:hAnsiTheme="minorHAnsi" w:cstheme="minorBidi"/>
            <w:kern w:val="2"/>
            <w:sz w:val="24"/>
            <w:szCs w:val="24"/>
            <w14:ligatures w14:val="standardContextual"/>
          </w:rPr>
          <w:tab/>
        </w:r>
        <w:r w:rsidRPr="00C84589">
          <w:rPr>
            <w:rStyle w:val="Hyperlink"/>
          </w:rPr>
          <w:t>Other carbon-containing fertilisers (3.I)</w:t>
        </w:r>
        <w:r>
          <w:rPr>
            <w:webHidden/>
          </w:rPr>
          <w:tab/>
        </w:r>
        <w:r>
          <w:rPr>
            <w:webHidden/>
          </w:rPr>
          <w:fldChar w:fldCharType="begin"/>
        </w:r>
        <w:r>
          <w:rPr>
            <w:webHidden/>
          </w:rPr>
          <w:instrText xml:space="preserve"> PAGEREF _Toc226460778 \h </w:instrText>
        </w:r>
        <w:r>
          <w:rPr>
            <w:webHidden/>
          </w:rPr>
        </w:r>
        <w:r>
          <w:rPr>
            <w:webHidden/>
          </w:rPr>
          <w:fldChar w:fldCharType="separate"/>
        </w:r>
        <w:r w:rsidR="00831581">
          <w:rPr>
            <w:webHidden/>
          </w:rPr>
          <w:t>248</w:t>
        </w:r>
        <w:r>
          <w:rPr>
            <w:webHidden/>
          </w:rPr>
          <w:fldChar w:fldCharType="end"/>
        </w:r>
      </w:hyperlink>
    </w:p>
    <w:p w14:paraId="7C671A32" w14:textId="07AD945F" w:rsidR="002C0B67" w:rsidRDefault="002C0B67">
      <w:pPr>
        <w:pStyle w:val="TOC2"/>
        <w:rPr>
          <w:rFonts w:asciiTheme="minorHAnsi" w:eastAsiaTheme="minorEastAsia" w:hAnsiTheme="minorHAnsi" w:cstheme="minorBidi"/>
          <w:kern w:val="2"/>
          <w:sz w:val="24"/>
          <w:szCs w:val="24"/>
          <w14:ligatures w14:val="standardContextual"/>
        </w:rPr>
      </w:pPr>
      <w:hyperlink w:anchor="_Toc226460779" w:history="1">
        <w:r w:rsidRPr="00C84589">
          <w:rPr>
            <w:rStyle w:val="Hyperlink"/>
          </w:rPr>
          <w:t>Chapter 5: References</w:t>
        </w:r>
        <w:r>
          <w:rPr>
            <w:webHidden/>
          </w:rPr>
          <w:tab/>
        </w:r>
        <w:r>
          <w:rPr>
            <w:webHidden/>
          </w:rPr>
          <w:fldChar w:fldCharType="begin"/>
        </w:r>
        <w:r>
          <w:rPr>
            <w:webHidden/>
          </w:rPr>
          <w:instrText xml:space="preserve"> PAGEREF _Toc226460779 \h </w:instrText>
        </w:r>
        <w:r>
          <w:rPr>
            <w:webHidden/>
          </w:rPr>
        </w:r>
        <w:r>
          <w:rPr>
            <w:webHidden/>
          </w:rPr>
          <w:fldChar w:fldCharType="separate"/>
        </w:r>
        <w:r w:rsidR="00831581">
          <w:rPr>
            <w:webHidden/>
          </w:rPr>
          <w:t>249</w:t>
        </w:r>
        <w:r>
          <w:rPr>
            <w:webHidden/>
          </w:rPr>
          <w:fldChar w:fldCharType="end"/>
        </w:r>
      </w:hyperlink>
    </w:p>
    <w:p w14:paraId="1A64E594" w14:textId="0A9B9E43"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780" w:history="1">
        <w:r w:rsidRPr="00C84589">
          <w:rPr>
            <w:rStyle w:val="Hyperlink"/>
            <w:noProof/>
          </w:rPr>
          <w:t>Chapter 6: Land Use, Land-Use Change and Forestry (LULUCF)</w:t>
        </w:r>
        <w:r>
          <w:rPr>
            <w:noProof/>
            <w:webHidden/>
          </w:rPr>
          <w:tab/>
        </w:r>
        <w:r>
          <w:rPr>
            <w:noProof/>
            <w:webHidden/>
          </w:rPr>
          <w:fldChar w:fldCharType="begin"/>
        </w:r>
        <w:r>
          <w:rPr>
            <w:noProof/>
            <w:webHidden/>
          </w:rPr>
          <w:instrText xml:space="preserve"> PAGEREF _Toc226460780 \h </w:instrText>
        </w:r>
        <w:r>
          <w:rPr>
            <w:noProof/>
            <w:webHidden/>
          </w:rPr>
        </w:r>
        <w:r>
          <w:rPr>
            <w:noProof/>
            <w:webHidden/>
          </w:rPr>
          <w:fldChar w:fldCharType="separate"/>
        </w:r>
        <w:r w:rsidR="00831581">
          <w:rPr>
            <w:noProof/>
            <w:webHidden/>
          </w:rPr>
          <w:t>256</w:t>
        </w:r>
        <w:r>
          <w:rPr>
            <w:noProof/>
            <w:webHidden/>
          </w:rPr>
          <w:fldChar w:fldCharType="end"/>
        </w:r>
      </w:hyperlink>
    </w:p>
    <w:p w14:paraId="2BC82A85" w14:textId="6C2F5C26" w:rsidR="002C0B67" w:rsidRDefault="002C0B67">
      <w:pPr>
        <w:pStyle w:val="TOC2"/>
        <w:rPr>
          <w:rFonts w:asciiTheme="minorHAnsi" w:eastAsiaTheme="minorEastAsia" w:hAnsiTheme="minorHAnsi" w:cstheme="minorBidi"/>
          <w:kern w:val="2"/>
          <w:sz w:val="24"/>
          <w:szCs w:val="24"/>
          <w14:ligatures w14:val="standardContextual"/>
        </w:rPr>
      </w:pPr>
      <w:hyperlink w:anchor="_Toc226460781" w:history="1">
        <w:r w:rsidRPr="00C84589">
          <w:rPr>
            <w:rStyle w:val="Hyperlink"/>
          </w:rPr>
          <w:t>6.1</w:t>
        </w:r>
        <w:r>
          <w:rPr>
            <w:rFonts w:asciiTheme="minorHAnsi" w:eastAsiaTheme="minorEastAsia" w:hAnsiTheme="minorHAnsi" w:cstheme="minorBidi"/>
            <w:kern w:val="2"/>
            <w:sz w:val="24"/>
            <w:szCs w:val="24"/>
            <w14:ligatures w14:val="standardContextual"/>
          </w:rPr>
          <w:tab/>
        </w:r>
        <w:r w:rsidRPr="00C84589">
          <w:rPr>
            <w:rStyle w:val="Hyperlink"/>
          </w:rPr>
          <w:t>Sector overview</w:t>
        </w:r>
        <w:r>
          <w:rPr>
            <w:webHidden/>
          </w:rPr>
          <w:tab/>
        </w:r>
        <w:r>
          <w:rPr>
            <w:webHidden/>
          </w:rPr>
          <w:fldChar w:fldCharType="begin"/>
        </w:r>
        <w:r>
          <w:rPr>
            <w:webHidden/>
          </w:rPr>
          <w:instrText xml:space="preserve"> PAGEREF _Toc226460781 \h </w:instrText>
        </w:r>
        <w:r>
          <w:rPr>
            <w:webHidden/>
          </w:rPr>
        </w:r>
        <w:r>
          <w:rPr>
            <w:webHidden/>
          </w:rPr>
          <w:fldChar w:fldCharType="separate"/>
        </w:r>
        <w:r w:rsidR="00831581">
          <w:rPr>
            <w:webHidden/>
          </w:rPr>
          <w:t>256</w:t>
        </w:r>
        <w:r>
          <w:rPr>
            <w:webHidden/>
          </w:rPr>
          <w:fldChar w:fldCharType="end"/>
        </w:r>
      </w:hyperlink>
    </w:p>
    <w:p w14:paraId="3913FC4B" w14:textId="3F377453" w:rsidR="002C0B67" w:rsidRDefault="002C0B67">
      <w:pPr>
        <w:pStyle w:val="TOC2"/>
        <w:rPr>
          <w:rFonts w:asciiTheme="minorHAnsi" w:eastAsiaTheme="minorEastAsia" w:hAnsiTheme="minorHAnsi" w:cstheme="minorBidi"/>
          <w:kern w:val="2"/>
          <w:sz w:val="24"/>
          <w:szCs w:val="24"/>
          <w14:ligatures w14:val="standardContextual"/>
        </w:rPr>
      </w:pPr>
      <w:hyperlink w:anchor="_Toc226460782" w:history="1">
        <w:r w:rsidRPr="00C84589">
          <w:rPr>
            <w:rStyle w:val="Hyperlink"/>
          </w:rPr>
          <w:t>6.2</w:t>
        </w:r>
        <w:r>
          <w:rPr>
            <w:rFonts w:asciiTheme="minorHAnsi" w:eastAsiaTheme="minorEastAsia" w:hAnsiTheme="minorHAnsi" w:cstheme="minorBidi"/>
            <w:kern w:val="2"/>
            <w:sz w:val="24"/>
            <w:szCs w:val="24"/>
            <w14:ligatures w14:val="standardContextual"/>
          </w:rPr>
          <w:tab/>
        </w:r>
        <w:r w:rsidRPr="00C84589">
          <w:rPr>
            <w:rStyle w:val="Hyperlink"/>
            <w:shd w:val="clear" w:color="auto" w:fill="FFFFFF"/>
          </w:rPr>
          <w:t>Land use definitions and the land representation approach(es) used and their correspondence to the LULUCF categories</w:t>
        </w:r>
        <w:r>
          <w:rPr>
            <w:webHidden/>
          </w:rPr>
          <w:tab/>
        </w:r>
        <w:r>
          <w:rPr>
            <w:webHidden/>
          </w:rPr>
          <w:fldChar w:fldCharType="begin"/>
        </w:r>
        <w:r>
          <w:rPr>
            <w:webHidden/>
          </w:rPr>
          <w:instrText xml:space="preserve"> PAGEREF _Toc226460782 \h </w:instrText>
        </w:r>
        <w:r>
          <w:rPr>
            <w:webHidden/>
          </w:rPr>
        </w:r>
        <w:r>
          <w:rPr>
            <w:webHidden/>
          </w:rPr>
          <w:fldChar w:fldCharType="separate"/>
        </w:r>
        <w:r w:rsidR="00831581">
          <w:rPr>
            <w:webHidden/>
          </w:rPr>
          <w:t>270</w:t>
        </w:r>
        <w:r>
          <w:rPr>
            <w:webHidden/>
          </w:rPr>
          <w:fldChar w:fldCharType="end"/>
        </w:r>
      </w:hyperlink>
    </w:p>
    <w:p w14:paraId="4EC2AA21" w14:textId="52EDC060" w:rsidR="002C0B67" w:rsidRDefault="002C0B67">
      <w:pPr>
        <w:pStyle w:val="TOC2"/>
        <w:rPr>
          <w:rFonts w:asciiTheme="minorHAnsi" w:eastAsiaTheme="minorEastAsia" w:hAnsiTheme="minorHAnsi" w:cstheme="minorBidi"/>
          <w:kern w:val="2"/>
          <w:sz w:val="24"/>
          <w:szCs w:val="24"/>
          <w14:ligatures w14:val="standardContextual"/>
        </w:rPr>
      </w:pPr>
      <w:hyperlink w:anchor="_Toc226460783" w:history="1">
        <w:r w:rsidRPr="00C84589">
          <w:rPr>
            <w:rStyle w:val="Hyperlink"/>
          </w:rPr>
          <w:t>6.3</w:t>
        </w:r>
        <w:r>
          <w:rPr>
            <w:rFonts w:asciiTheme="minorHAnsi" w:eastAsiaTheme="minorEastAsia" w:hAnsiTheme="minorHAnsi" w:cstheme="minorBidi"/>
            <w:kern w:val="2"/>
            <w:sz w:val="24"/>
            <w:szCs w:val="24"/>
            <w14:ligatures w14:val="standardContextual"/>
          </w:rPr>
          <w:tab/>
        </w:r>
        <w:r w:rsidRPr="00C84589">
          <w:rPr>
            <w:rStyle w:val="Hyperlink"/>
          </w:rPr>
          <w:t>Country-specific approaches</w:t>
        </w:r>
        <w:r>
          <w:rPr>
            <w:webHidden/>
          </w:rPr>
          <w:tab/>
        </w:r>
        <w:r>
          <w:rPr>
            <w:webHidden/>
          </w:rPr>
          <w:fldChar w:fldCharType="begin"/>
        </w:r>
        <w:r>
          <w:rPr>
            <w:webHidden/>
          </w:rPr>
          <w:instrText xml:space="preserve"> PAGEREF _Toc226460783 \h </w:instrText>
        </w:r>
        <w:r>
          <w:rPr>
            <w:webHidden/>
          </w:rPr>
        </w:r>
        <w:r>
          <w:rPr>
            <w:webHidden/>
          </w:rPr>
          <w:fldChar w:fldCharType="separate"/>
        </w:r>
        <w:r w:rsidR="00831581">
          <w:rPr>
            <w:webHidden/>
          </w:rPr>
          <w:t>274</w:t>
        </w:r>
        <w:r>
          <w:rPr>
            <w:webHidden/>
          </w:rPr>
          <w:fldChar w:fldCharType="end"/>
        </w:r>
      </w:hyperlink>
    </w:p>
    <w:p w14:paraId="1D058883" w14:textId="6540A90B" w:rsidR="002C0B67" w:rsidRDefault="002C0B67">
      <w:pPr>
        <w:pStyle w:val="TOC2"/>
        <w:rPr>
          <w:rFonts w:asciiTheme="minorHAnsi" w:eastAsiaTheme="minorEastAsia" w:hAnsiTheme="minorHAnsi" w:cstheme="minorBidi"/>
          <w:kern w:val="2"/>
          <w:sz w:val="24"/>
          <w:szCs w:val="24"/>
          <w14:ligatures w14:val="standardContextual"/>
        </w:rPr>
      </w:pPr>
      <w:hyperlink w:anchor="_Toc226460784" w:history="1">
        <w:r w:rsidRPr="00C84589">
          <w:rPr>
            <w:rStyle w:val="Hyperlink"/>
          </w:rPr>
          <w:t>6.4</w:t>
        </w:r>
        <w:r>
          <w:rPr>
            <w:rFonts w:asciiTheme="minorHAnsi" w:eastAsiaTheme="minorEastAsia" w:hAnsiTheme="minorHAnsi" w:cstheme="minorBidi"/>
            <w:kern w:val="2"/>
            <w:sz w:val="24"/>
            <w:szCs w:val="24"/>
            <w14:ligatures w14:val="standardContextual"/>
          </w:rPr>
          <w:tab/>
        </w:r>
        <w:r w:rsidRPr="00C84589">
          <w:rPr>
            <w:rStyle w:val="Hyperlink"/>
          </w:rPr>
          <w:t>Forest land (4A)</w:t>
        </w:r>
        <w:r>
          <w:rPr>
            <w:webHidden/>
          </w:rPr>
          <w:tab/>
        </w:r>
        <w:r>
          <w:rPr>
            <w:webHidden/>
          </w:rPr>
          <w:fldChar w:fldCharType="begin"/>
        </w:r>
        <w:r>
          <w:rPr>
            <w:webHidden/>
          </w:rPr>
          <w:instrText xml:space="preserve"> PAGEREF _Toc226460784 \h </w:instrText>
        </w:r>
        <w:r>
          <w:rPr>
            <w:webHidden/>
          </w:rPr>
        </w:r>
        <w:r>
          <w:rPr>
            <w:webHidden/>
          </w:rPr>
          <w:fldChar w:fldCharType="separate"/>
        </w:r>
        <w:r w:rsidR="00831581">
          <w:rPr>
            <w:webHidden/>
          </w:rPr>
          <w:t>276</w:t>
        </w:r>
        <w:r>
          <w:rPr>
            <w:webHidden/>
          </w:rPr>
          <w:fldChar w:fldCharType="end"/>
        </w:r>
      </w:hyperlink>
    </w:p>
    <w:p w14:paraId="7852B8DE" w14:textId="6CA35715" w:rsidR="002C0B67" w:rsidRDefault="002C0B67">
      <w:pPr>
        <w:pStyle w:val="TOC2"/>
        <w:rPr>
          <w:rFonts w:asciiTheme="minorHAnsi" w:eastAsiaTheme="minorEastAsia" w:hAnsiTheme="minorHAnsi" w:cstheme="minorBidi"/>
          <w:kern w:val="2"/>
          <w:sz w:val="24"/>
          <w:szCs w:val="24"/>
          <w14:ligatures w14:val="standardContextual"/>
        </w:rPr>
      </w:pPr>
      <w:hyperlink w:anchor="_Toc226460785" w:history="1">
        <w:r w:rsidRPr="00C84589">
          <w:rPr>
            <w:rStyle w:val="Hyperlink"/>
          </w:rPr>
          <w:t>6.5</w:t>
        </w:r>
        <w:r>
          <w:rPr>
            <w:rFonts w:asciiTheme="minorHAnsi" w:eastAsiaTheme="minorEastAsia" w:hAnsiTheme="minorHAnsi" w:cstheme="minorBidi"/>
            <w:kern w:val="2"/>
            <w:sz w:val="24"/>
            <w:szCs w:val="24"/>
            <w14:ligatures w14:val="standardContextual"/>
          </w:rPr>
          <w:tab/>
        </w:r>
        <w:r w:rsidRPr="00C84589">
          <w:rPr>
            <w:rStyle w:val="Hyperlink"/>
          </w:rPr>
          <w:t>Cropland (4B)</w:t>
        </w:r>
        <w:r>
          <w:rPr>
            <w:webHidden/>
          </w:rPr>
          <w:tab/>
        </w:r>
        <w:r>
          <w:rPr>
            <w:webHidden/>
          </w:rPr>
          <w:fldChar w:fldCharType="begin"/>
        </w:r>
        <w:r>
          <w:rPr>
            <w:webHidden/>
          </w:rPr>
          <w:instrText xml:space="preserve"> PAGEREF _Toc226460785 \h </w:instrText>
        </w:r>
        <w:r>
          <w:rPr>
            <w:webHidden/>
          </w:rPr>
        </w:r>
        <w:r>
          <w:rPr>
            <w:webHidden/>
          </w:rPr>
          <w:fldChar w:fldCharType="separate"/>
        </w:r>
        <w:r w:rsidR="00831581">
          <w:rPr>
            <w:webHidden/>
          </w:rPr>
          <w:t>291</w:t>
        </w:r>
        <w:r>
          <w:rPr>
            <w:webHidden/>
          </w:rPr>
          <w:fldChar w:fldCharType="end"/>
        </w:r>
      </w:hyperlink>
    </w:p>
    <w:p w14:paraId="188B0E18" w14:textId="1D06368C" w:rsidR="002C0B67" w:rsidRDefault="002C0B67">
      <w:pPr>
        <w:pStyle w:val="TOC2"/>
        <w:rPr>
          <w:rFonts w:asciiTheme="minorHAnsi" w:eastAsiaTheme="minorEastAsia" w:hAnsiTheme="minorHAnsi" w:cstheme="minorBidi"/>
          <w:kern w:val="2"/>
          <w:sz w:val="24"/>
          <w:szCs w:val="24"/>
          <w14:ligatures w14:val="standardContextual"/>
        </w:rPr>
      </w:pPr>
      <w:hyperlink w:anchor="_Toc226460786" w:history="1">
        <w:r w:rsidRPr="00C84589">
          <w:rPr>
            <w:rStyle w:val="Hyperlink"/>
          </w:rPr>
          <w:t>6.6</w:t>
        </w:r>
        <w:r>
          <w:rPr>
            <w:rFonts w:asciiTheme="minorHAnsi" w:eastAsiaTheme="minorEastAsia" w:hAnsiTheme="minorHAnsi" w:cstheme="minorBidi"/>
            <w:kern w:val="2"/>
            <w:sz w:val="24"/>
            <w:szCs w:val="24"/>
            <w14:ligatures w14:val="standardContextual"/>
          </w:rPr>
          <w:tab/>
        </w:r>
        <w:r w:rsidRPr="00C84589">
          <w:rPr>
            <w:rStyle w:val="Hyperlink"/>
          </w:rPr>
          <w:t>Grassland (4C)</w:t>
        </w:r>
        <w:r>
          <w:rPr>
            <w:webHidden/>
          </w:rPr>
          <w:tab/>
        </w:r>
        <w:r>
          <w:rPr>
            <w:webHidden/>
          </w:rPr>
          <w:fldChar w:fldCharType="begin"/>
        </w:r>
        <w:r>
          <w:rPr>
            <w:webHidden/>
          </w:rPr>
          <w:instrText xml:space="preserve"> PAGEREF _Toc226460786 \h </w:instrText>
        </w:r>
        <w:r>
          <w:rPr>
            <w:webHidden/>
          </w:rPr>
        </w:r>
        <w:r>
          <w:rPr>
            <w:webHidden/>
          </w:rPr>
          <w:fldChar w:fldCharType="separate"/>
        </w:r>
        <w:r w:rsidR="00831581">
          <w:rPr>
            <w:webHidden/>
          </w:rPr>
          <w:t>296</w:t>
        </w:r>
        <w:r>
          <w:rPr>
            <w:webHidden/>
          </w:rPr>
          <w:fldChar w:fldCharType="end"/>
        </w:r>
      </w:hyperlink>
    </w:p>
    <w:p w14:paraId="29A8627F" w14:textId="24E1B7A0" w:rsidR="002C0B67" w:rsidRDefault="002C0B67">
      <w:pPr>
        <w:pStyle w:val="TOC2"/>
        <w:rPr>
          <w:rFonts w:asciiTheme="minorHAnsi" w:eastAsiaTheme="minorEastAsia" w:hAnsiTheme="minorHAnsi" w:cstheme="minorBidi"/>
          <w:kern w:val="2"/>
          <w:sz w:val="24"/>
          <w:szCs w:val="24"/>
          <w14:ligatures w14:val="standardContextual"/>
        </w:rPr>
      </w:pPr>
      <w:hyperlink w:anchor="_Toc226460787" w:history="1">
        <w:r w:rsidRPr="00C84589">
          <w:rPr>
            <w:rStyle w:val="Hyperlink"/>
          </w:rPr>
          <w:t>6.7</w:t>
        </w:r>
        <w:r>
          <w:rPr>
            <w:rFonts w:asciiTheme="minorHAnsi" w:eastAsiaTheme="minorEastAsia" w:hAnsiTheme="minorHAnsi" w:cstheme="minorBidi"/>
            <w:kern w:val="2"/>
            <w:sz w:val="24"/>
            <w:szCs w:val="24"/>
            <w14:ligatures w14:val="standardContextual"/>
          </w:rPr>
          <w:tab/>
        </w:r>
        <w:r w:rsidRPr="00C84589">
          <w:rPr>
            <w:rStyle w:val="Hyperlink"/>
          </w:rPr>
          <w:t>Wetlands (4D)</w:t>
        </w:r>
        <w:r>
          <w:rPr>
            <w:webHidden/>
          </w:rPr>
          <w:tab/>
        </w:r>
        <w:r>
          <w:rPr>
            <w:webHidden/>
          </w:rPr>
          <w:fldChar w:fldCharType="begin"/>
        </w:r>
        <w:r>
          <w:rPr>
            <w:webHidden/>
          </w:rPr>
          <w:instrText xml:space="preserve"> PAGEREF _Toc226460787 \h </w:instrText>
        </w:r>
        <w:r>
          <w:rPr>
            <w:webHidden/>
          </w:rPr>
        </w:r>
        <w:r>
          <w:rPr>
            <w:webHidden/>
          </w:rPr>
          <w:fldChar w:fldCharType="separate"/>
        </w:r>
        <w:r w:rsidR="00831581">
          <w:rPr>
            <w:webHidden/>
          </w:rPr>
          <w:t>302</w:t>
        </w:r>
        <w:r>
          <w:rPr>
            <w:webHidden/>
          </w:rPr>
          <w:fldChar w:fldCharType="end"/>
        </w:r>
      </w:hyperlink>
    </w:p>
    <w:p w14:paraId="3BD76952" w14:textId="0DC5B31C" w:rsidR="002C0B67" w:rsidRDefault="002C0B67">
      <w:pPr>
        <w:pStyle w:val="TOC2"/>
        <w:rPr>
          <w:rFonts w:asciiTheme="minorHAnsi" w:eastAsiaTheme="minorEastAsia" w:hAnsiTheme="minorHAnsi" w:cstheme="minorBidi"/>
          <w:kern w:val="2"/>
          <w:sz w:val="24"/>
          <w:szCs w:val="24"/>
          <w14:ligatures w14:val="standardContextual"/>
        </w:rPr>
      </w:pPr>
      <w:hyperlink w:anchor="_Toc226460788" w:history="1">
        <w:r w:rsidRPr="00C84589">
          <w:rPr>
            <w:rStyle w:val="Hyperlink"/>
          </w:rPr>
          <w:t>6.8</w:t>
        </w:r>
        <w:r>
          <w:rPr>
            <w:rFonts w:asciiTheme="minorHAnsi" w:eastAsiaTheme="minorEastAsia" w:hAnsiTheme="minorHAnsi" w:cstheme="minorBidi"/>
            <w:kern w:val="2"/>
            <w:sz w:val="24"/>
            <w:szCs w:val="24"/>
            <w14:ligatures w14:val="standardContextual"/>
          </w:rPr>
          <w:tab/>
        </w:r>
        <w:r w:rsidRPr="00C84589">
          <w:rPr>
            <w:rStyle w:val="Hyperlink"/>
          </w:rPr>
          <w:t>Settlements (4E)</w:t>
        </w:r>
        <w:r>
          <w:rPr>
            <w:webHidden/>
          </w:rPr>
          <w:tab/>
        </w:r>
        <w:r>
          <w:rPr>
            <w:webHidden/>
          </w:rPr>
          <w:fldChar w:fldCharType="begin"/>
        </w:r>
        <w:r>
          <w:rPr>
            <w:webHidden/>
          </w:rPr>
          <w:instrText xml:space="preserve"> PAGEREF _Toc226460788 \h </w:instrText>
        </w:r>
        <w:r>
          <w:rPr>
            <w:webHidden/>
          </w:rPr>
        </w:r>
        <w:r>
          <w:rPr>
            <w:webHidden/>
          </w:rPr>
          <w:fldChar w:fldCharType="separate"/>
        </w:r>
        <w:r w:rsidR="00831581">
          <w:rPr>
            <w:webHidden/>
          </w:rPr>
          <w:t>306</w:t>
        </w:r>
        <w:r>
          <w:rPr>
            <w:webHidden/>
          </w:rPr>
          <w:fldChar w:fldCharType="end"/>
        </w:r>
      </w:hyperlink>
    </w:p>
    <w:p w14:paraId="51F037B2" w14:textId="4476A72E" w:rsidR="002C0B67" w:rsidRDefault="002C0B67">
      <w:pPr>
        <w:pStyle w:val="TOC2"/>
        <w:rPr>
          <w:rFonts w:asciiTheme="minorHAnsi" w:eastAsiaTheme="minorEastAsia" w:hAnsiTheme="minorHAnsi" w:cstheme="minorBidi"/>
          <w:kern w:val="2"/>
          <w:sz w:val="24"/>
          <w:szCs w:val="24"/>
          <w14:ligatures w14:val="standardContextual"/>
        </w:rPr>
      </w:pPr>
      <w:hyperlink w:anchor="_Toc226460789" w:history="1">
        <w:r w:rsidRPr="00C84589">
          <w:rPr>
            <w:rStyle w:val="Hyperlink"/>
          </w:rPr>
          <w:t>6.9</w:t>
        </w:r>
        <w:r>
          <w:rPr>
            <w:rFonts w:asciiTheme="minorHAnsi" w:eastAsiaTheme="minorEastAsia" w:hAnsiTheme="minorHAnsi" w:cstheme="minorBidi"/>
            <w:kern w:val="2"/>
            <w:sz w:val="24"/>
            <w:szCs w:val="24"/>
            <w14:ligatures w14:val="standardContextual"/>
          </w:rPr>
          <w:tab/>
        </w:r>
        <w:r w:rsidRPr="00C84589">
          <w:rPr>
            <w:rStyle w:val="Hyperlink"/>
          </w:rPr>
          <w:t>Other land (4F)</w:t>
        </w:r>
        <w:r>
          <w:rPr>
            <w:webHidden/>
          </w:rPr>
          <w:tab/>
        </w:r>
        <w:r>
          <w:rPr>
            <w:webHidden/>
          </w:rPr>
          <w:fldChar w:fldCharType="begin"/>
        </w:r>
        <w:r>
          <w:rPr>
            <w:webHidden/>
          </w:rPr>
          <w:instrText xml:space="preserve"> PAGEREF _Toc226460789 \h </w:instrText>
        </w:r>
        <w:r>
          <w:rPr>
            <w:webHidden/>
          </w:rPr>
        </w:r>
        <w:r>
          <w:rPr>
            <w:webHidden/>
          </w:rPr>
          <w:fldChar w:fldCharType="separate"/>
        </w:r>
        <w:r w:rsidR="00831581">
          <w:rPr>
            <w:webHidden/>
          </w:rPr>
          <w:t>308</w:t>
        </w:r>
        <w:r>
          <w:rPr>
            <w:webHidden/>
          </w:rPr>
          <w:fldChar w:fldCharType="end"/>
        </w:r>
      </w:hyperlink>
    </w:p>
    <w:p w14:paraId="07957764" w14:textId="508933D4" w:rsidR="002C0B67" w:rsidRDefault="002C0B67">
      <w:pPr>
        <w:pStyle w:val="TOC2"/>
        <w:rPr>
          <w:rFonts w:asciiTheme="minorHAnsi" w:eastAsiaTheme="minorEastAsia" w:hAnsiTheme="minorHAnsi" w:cstheme="minorBidi"/>
          <w:kern w:val="2"/>
          <w:sz w:val="24"/>
          <w:szCs w:val="24"/>
          <w14:ligatures w14:val="standardContextual"/>
        </w:rPr>
      </w:pPr>
      <w:hyperlink w:anchor="_Toc226460790" w:history="1">
        <w:r w:rsidRPr="00C84589">
          <w:rPr>
            <w:rStyle w:val="Hyperlink"/>
          </w:rPr>
          <w:t>6.10</w:t>
        </w:r>
        <w:r>
          <w:rPr>
            <w:rFonts w:asciiTheme="minorHAnsi" w:eastAsiaTheme="minorEastAsia" w:hAnsiTheme="minorHAnsi" w:cstheme="minorBidi"/>
            <w:kern w:val="2"/>
            <w:sz w:val="24"/>
            <w:szCs w:val="24"/>
            <w14:ligatures w14:val="standardContextual"/>
          </w:rPr>
          <w:tab/>
        </w:r>
        <w:r w:rsidRPr="00C84589">
          <w:rPr>
            <w:rStyle w:val="Hyperlink"/>
          </w:rPr>
          <w:t>Harvested wood products (4G)</w:t>
        </w:r>
        <w:r>
          <w:rPr>
            <w:webHidden/>
          </w:rPr>
          <w:tab/>
        </w:r>
        <w:r>
          <w:rPr>
            <w:webHidden/>
          </w:rPr>
          <w:fldChar w:fldCharType="begin"/>
        </w:r>
        <w:r>
          <w:rPr>
            <w:webHidden/>
          </w:rPr>
          <w:instrText xml:space="preserve"> PAGEREF _Toc226460790 \h </w:instrText>
        </w:r>
        <w:r>
          <w:rPr>
            <w:webHidden/>
          </w:rPr>
        </w:r>
        <w:r>
          <w:rPr>
            <w:webHidden/>
          </w:rPr>
          <w:fldChar w:fldCharType="separate"/>
        </w:r>
        <w:r w:rsidR="00831581">
          <w:rPr>
            <w:webHidden/>
          </w:rPr>
          <w:t>311</w:t>
        </w:r>
        <w:r>
          <w:rPr>
            <w:webHidden/>
          </w:rPr>
          <w:fldChar w:fldCharType="end"/>
        </w:r>
      </w:hyperlink>
    </w:p>
    <w:p w14:paraId="0C11F4FF" w14:textId="2E50C78F" w:rsidR="002C0B67" w:rsidRDefault="002C0B67">
      <w:pPr>
        <w:pStyle w:val="TOC2"/>
        <w:rPr>
          <w:rFonts w:asciiTheme="minorHAnsi" w:eastAsiaTheme="minorEastAsia" w:hAnsiTheme="minorHAnsi" w:cstheme="minorBidi"/>
          <w:kern w:val="2"/>
          <w:sz w:val="24"/>
          <w:szCs w:val="24"/>
          <w14:ligatures w14:val="standardContextual"/>
        </w:rPr>
      </w:pPr>
      <w:hyperlink w:anchor="_Toc226460791" w:history="1">
        <w:r w:rsidRPr="00C84589">
          <w:rPr>
            <w:rStyle w:val="Hyperlink"/>
          </w:rPr>
          <w:t>6.11</w:t>
        </w:r>
        <w:r>
          <w:rPr>
            <w:rFonts w:asciiTheme="minorHAnsi" w:eastAsiaTheme="minorEastAsia" w:hAnsiTheme="minorHAnsi" w:cstheme="minorBidi"/>
            <w:kern w:val="2"/>
            <w:sz w:val="24"/>
            <w:szCs w:val="24"/>
            <w14:ligatures w14:val="standardContextual"/>
          </w:rPr>
          <w:tab/>
        </w:r>
        <w:r w:rsidRPr="00C84589">
          <w:rPr>
            <w:rStyle w:val="Hyperlink"/>
          </w:rPr>
          <w:t>Non-CO</w:t>
        </w:r>
        <w:r w:rsidRPr="00C84589">
          <w:rPr>
            <w:rStyle w:val="Hyperlink"/>
            <w:vertAlign w:val="subscript"/>
          </w:rPr>
          <w:t>2</w:t>
        </w:r>
        <w:r w:rsidRPr="00C84589">
          <w:rPr>
            <w:rStyle w:val="Hyperlink"/>
          </w:rPr>
          <w:t xml:space="preserve"> emissions (4(I–IV))</w:t>
        </w:r>
        <w:r>
          <w:rPr>
            <w:webHidden/>
          </w:rPr>
          <w:tab/>
        </w:r>
        <w:r>
          <w:rPr>
            <w:webHidden/>
          </w:rPr>
          <w:fldChar w:fldCharType="begin"/>
        </w:r>
        <w:r>
          <w:rPr>
            <w:webHidden/>
          </w:rPr>
          <w:instrText xml:space="preserve"> PAGEREF _Toc226460791 \h </w:instrText>
        </w:r>
        <w:r>
          <w:rPr>
            <w:webHidden/>
          </w:rPr>
        </w:r>
        <w:r>
          <w:rPr>
            <w:webHidden/>
          </w:rPr>
          <w:fldChar w:fldCharType="separate"/>
        </w:r>
        <w:r w:rsidR="00831581">
          <w:rPr>
            <w:webHidden/>
          </w:rPr>
          <w:t>316</w:t>
        </w:r>
        <w:r>
          <w:rPr>
            <w:webHidden/>
          </w:rPr>
          <w:fldChar w:fldCharType="end"/>
        </w:r>
      </w:hyperlink>
    </w:p>
    <w:p w14:paraId="27F0A0EC" w14:textId="0366C4C1" w:rsidR="002C0B67" w:rsidRDefault="002C0B67">
      <w:pPr>
        <w:pStyle w:val="TOC2"/>
        <w:rPr>
          <w:rFonts w:asciiTheme="minorHAnsi" w:eastAsiaTheme="minorEastAsia" w:hAnsiTheme="minorHAnsi" w:cstheme="minorBidi"/>
          <w:kern w:val="2"/>
          <w:sz w:val="24"/>
          <w:szCs w:val="24"/>
          <w14:ligatures w14:val="standardContextual"/>
        </w:rPr>
      </w:pPr>
      <w:hyperlink w:anchor="_Toc226460792" w:history="1">
        <w:r w:rsidRPr="00C84589">
          <w:rPr>
            <w:rStyle w:val="Hyperlink"/>
          </w:rPr>
          <w:t>Chapter 6: References</w:t>
        </w:r>
        <w:r>
          <w:rPr>
            <w:webHidden/>
          </w:rPr>
          <w:tab/>
        </w:r>
        <w:r>
          <w:rPr>
            <w:webHidden/>
          </w:rPr>
          <w:fldChar w:fldCharType="begin"/>
        </w:r>
        <w:r>
          <w:rPr>
            <w:webHidden/>
          </w:rPr>
          <w:instrText xml:space="preserve"> PAGEREF _Toc226460792 \h </w:instrText>
        </w:r>
        <w:r>
          <w:rPr>
            <w:webHidden/>
          </w:rPr>
        </w:r>
        <w:r>
          <w:rPr>
            <w:webHidden/>
          </w:rPr>
          <w:fldChar w:fldCharType="separate"/>
        </w:r>
        <w:r w:rsidR="00831581">
          <w:rPr>
            <w:webHidden/>
          </w:rPr>
          <w:t>323</w:t>
        </w:r>
        <w:r>
          <w:rPr>
            <w:webHidden/>
          </w:rPr>
          <w:fldChar w:fldCharType="end"/>
        </w:r>
      </w:hyperlink>
    </w:p>
    <w:p w14:paraId="555A3FBF" w14:textId="6B2F3152" w:rsidR="002C0B67" w:rsidRDefault="002C0B67" w:rsidP="009A2021">
      <w:pPr>
        <w:pStyle w:val="TOC1"/>
        <w:keepNext/>
        <w:rPr>
          <w:rFonts w:asciiTheme="minorHAnsi" w:eastAsiaTheme="minorEastAsia" w:hAnsiTheme="minorHAnsi" w:cstheme="minorBidi"/>
          <w:noProof/>
          <w:kern w:val="2"/>
          <w:sz w:val="24"/>
          <w:szCs w:val="24"/>
          <w14:ligatures w14:val="standardContextual"/>
        </w:rPr>
      </w:pPr>
      <w:hyperlink w:anchor="_Toc226460793" w:history="1">
        <w:r w:rsidRPr="00C84589">
          <w:rPr>
            <w:rStyle w:val="Hyperlink"/>
            <w:noProof/>
          </w:rPr>
          <w:t>Chapter 7: Waste</w:t>
        </w:r>
        <w:r>
          <w:rPr>
            <w:noProof/>
            <w:webHidden/>
          </w:rPr>
          <w:tab/>
        </w:r>
        <w:r>
          <w:rPr>
            <w:noProof/>
            <w:webHidden/>
          </w:rPr>
          <w:fldChar w:fldCharType="begin"/>
        </w:r>
        <w:r>
          <w:rPr>
            <w:noProof/>
            <w:webHidden/>
          </w:rPr>
          <w:instrText xml:space="preserve"> PAGEREF _Toc226460793 \h </w:instrText>
        </w:r>
        <w:r>
          <w:rPr>
            <w:noProof/>
            <w:webHidden/>
          </w:rPr>
        </w:r>
        <w:r>
          <w:rPr>
            <w:noProof/>
            <w:webHidden/>
          </w:rPr>
          <w:fldChar w:fldCharType="separate"/>
        </w:r>
        <w:r w:rsidR="00831581">
          <w:rPr>
            <w:noProof/>
            <w:webHidden/>
          </w:rPr>
          <w:t>326</w:t>
        </w:r>
        <w:r>
          <w:rPr>
            <w:noProof/>
            <w:webHidden/>
          </w:rPr>
          <w:fldChar w:fldCharType="end"/>
        </w:r>
      </w:hyperlink>
    </w:p>
    <w:p w14:paraId="024C5D34" w14:textId="4108B051" w:rsidR="002C0B67" w:rsidRDefault="002C0B67">
      <w:pPr>
        <w:pStyle w:val="TOC2"/>
        <w:rPr>
          <w:rFonts w:asciiTheme="minorHAnsi" w:eastAsiaTheme="minorEastAsia" w:hAnsiTheme="minorHAnsi" w:cstheme="minorBidi"/>
          <w:kern w:val="2"/>
          <w:sz w:val="24"/>
          <w:szCs w:val="24"/>
          <w14:ligatures w14:val="standardContextual"/>
        </w:rPr>
      </w:pPr>
      <w:hyperlink w:anchor="_Toc226460794" w:history="1">
        <w:r w:rsidRPr="00C84589">
          <w:rPr>
            <w:rStyle w:val="Hyperlink"/>
          </w:rPr>
          <w:t xml:space="preserve">7.1 </w:t>
        </w:r>
        <w:r>
          <w:rPr>
            <w:rFonts w:asciiTheme="minorHAnsi" w:eastAsiaTheme="minorEastAsia" w:hAnsiTheme="minorHAnsi" w:cstheme="minorBidi"/>
            <w:kern w:val="2"/>
            <w:sz w:val="24"/>
            <w:szCs w:val="24"/>
            <w14:ligatures w14:val="standardContextual"/>
          </w:rPr>
          <w:tab/>
        </w:r>
        <w:r w:rsidRPr="00C84589">
          <w:rPr>
            <w:rStyle w:val="Hyperlink"/>
          </w:rPr>
          <w:t>Sector overview</w:t>
        </w:r>
        <w:r>
          <w:rPr>
            <w:webHidden/>
          </w:rPr>
          <w:tab/>
        </w:r>
        <w:r>
          <w:rPr>
            <w:webHidden/>
          </w:rPr>
          <w:fldChar w:fldCharType="begin"/>
        </w:r>
        <w:r>
          <w:rPr>
            <w:webHidden/>
          </w:rPr>
          <w:instrText xml:space="preserve"> PAGEREF _Toc226460794 \h </w:instrText>
        </w:r>
        <w:r>
          <w:rPr>
            <w:webHidden/>
          </w:rPr>
        </w:r>
        <w:r>
          <w:rPr>
            <w:webHidden/>
          </w:rPr>
          <w:fldChar w:fldCharType="separate"/>
        </w:r>
        <w:r w:rsidR="00831581">
          <w:rPr>
            <w:webHidden/>
          </w:rPr>
          <w:t>326</w:t>
        </w:r>
        <w:r>
          <w:rPr>
            <w:webHidden/>
          </w:rPr>
          <w:fldChar w:fldCharType="end"/>
        </w:r>
      </w:hyperlink>
    </w:p>
    <w:p w14:paraId="46A04D10" w14:textId="70C90EE7" w:rsidR="002C0B67" w:rsidRDefault="002C0B67">
      <w:pPr>
        <w:pStyle w:val="TOC2"/>
        <w:rPr>
          <w:rFonts w:asciiTheme="minorHAnsi" w:eastAsiaTheme="minorEastAsia" w:hAnsiTheme="minorHAnsi" w:cstheme="minorBidi"/>
          <w:kern w:val="2"/>
          <w:sz w:val="24"/>
          <w:szCs w:val="24"/>
          <w14:ligatures w14:val="standardContextual"/>
        </w:rPr>
      </w:pPr>
      <w:hyperlink w:anchor="_Toc226460795" w:history="1">
        <w:r w:rsidRPr="00C84589">
          <w:rPr>
            <w:rStyle w:val="Hyperlink"/>
          </w:rPr>
          <w:t xml:space="preserve">7.2 </w:t>
        </w:r>
        <w:r>
          <w:rPr>
            <w:rFonts w:asciiTheme="minorHAnsi" w:eastAsiaTheme="minorEastAsia" w:hAnsiTheme="minorHAnsi" w:cstheme="minorBidi"/>
            <w:kern w:val="2"/>
            <w:sz w:val="24"/>
            <w:szCs w:val="24"/>
            <w14:ligatures w14:val="standardContextual"/>
          </w:rPr>
          <w:tab/>
        </w:r>
        <w:r w:rsidRPr="00C84589">
          <w:rPr>
            <w:rStyle w:val="Hyperlink"/>
          </w:rPr>
          <w:t>Solid waste disposal (5.A)</w:t>
        </w:r>
        <w:r>
          <w:rPr>
            <w:webHidden/>
          </w:rPr>
          <w:tab/>
        </w:r>
        <w:r>
          <w:rPr>
            <w:webHidden/>
          </w:rPr>
          <w:fldChar w:fldCharType="begin"/>
        </w:r>
        <w:r>
          <w:rPr>
            <w:webHidden/>
          </w:rPr>
          <w:instrText xml:space="preserve"> PAGEREF _Toc226460795 \h </w:instrText>
        </w:r>
        <w:r>
          <w:rPr>
            <w:webHidden/>
          </w:rPr>
        </w:r>
        <w:r>
          <w:rPr>
            <w:webHidden/>
          </w:rPr>
          <w:fldChar w:fldCharType="separate"/>
        </w:r>
        <w:r w:rsidR="00831581">
          <w:rPr>
            <w:webHidden/>
          </w:rPr>
          <w:t>333</w:t>
        </w:r>
        <w:r>
          <w:rPr>
            <w:webHidden/>
          </w:rPr>
          <w:fldChar w:fldCharType="end"/>
        </w:r>
      </w:hyperlink>
    </w:p>
    <w:p w14:paraId="0EB928FF" w14:textId="7777AF75" w:rsidR="002C0B67" w:rsidRDefault="002C0B67">
      <w:pPr>
        <w:pStyle w:val="TOC2"/>
        <w:rPr>
          <w:rFonts w:asciiTheme="minorHAnsi" w:eastAsiaTheme="minorEastAsia" w:hAnsiTheme="minorHAnsi" w:cstheme="minorBidi"/>
          <w:kern w:val="2"/>
          <w:sz w:val="24"/>
          <w:szCs w:val="24"/>
          <w14:ligatures w14:val="standardContextual"/>
        </w:rPr>
      </w:pPr>
      <w:hyperlink w:anchor="_Toc226460796" w:history="1">
        <w:r w:rsidRPr="00C84589">
          <w:rPr>
            <w:rStyle w:val="Hyperlink"/>
          </w:rPr>
          <w:t xml:space="preserve">7.3 </w:t>
        </w:r>
        <w:r>
          <w:rPr>
            <w:rFonts w:asciiTheme="minorHAnsi" w:eastAsiaTheme="minorEastAsia" w:hAnsiTheme="minorHAnsi" w:cstheme="minorBidi"/>
            <w:kern w:val="2"/>
            <w:sz w:val="24"/>
            <w:szCs w:val="24"/>
            <w14:ligatures w14:val="standardContextual"/>
          </w:rPr>
          <w:tab/>
        </w:r>
        <w:r w:rsidRPr="00C84589">
          <w:rPr>
            <w:rStyle w:val="Hyperlink"/>
          </w:rPr>
          <w:t>Biological treatment of solid waste (5.B)</w:t>
        </w:r>
        <w:r>
          <w:rPr>
            <w:webHidden/>
          </w:rPr>
          <w:tab/>
        </w:r>
        <w:r>
          <w:rPr>
            <w:webHidden/>
          </w:rPr>
          <w:fldChar w:fldCharType="begin"/>
        </w:r>
        <w:r>
          <w:rPr>
            <w:webHidden/>
          </w:rPr>
          <w:instrText xml:space="preserve"> PAGEREF _Toc226460796 \h </w:instrText>
        </w:r>
        <w:r>
          <w:rPr>
            <w:webHidden/>
          </w:rPr>
        </w:r>
        <w:r>
          <w:rPr>
            <w:webHidden/>
          </w:rPr>
          <w:fldChar w:fldCharType="separate"/>
        </w:r>
        <w:r w:rsidR="00831581">
          <w:rPr>
            <w:webHidden/>
          </w:rPr>
          <w:t>350</w:t>
        </w:r>
        <w:r>
          <w:rPr>
            <w:webHidden/>
          </w:rPr>
          <w:fldChar w:fldCharType="end"/>
        </w:r>
      </w:hyperlink>
    </w:p>
    <w:p w14:paraId="7066825F" w14:textId="36CBC9D0" w:rsidR="002C0B67" w:rsidRDefault="002C0B67">
      <w:pPr>
        <w:pStyle w:val="TOC2"/>
        <w:rPr>
          <w:rFonts w:asciiTheme="minorHAnsi" w:eastAsiaTheme="minorEastAsia" w:hAnsiTheme="minorHAnsi" w:cstheme="minorBidi"/>
          <w:kern w:val="2"/>
          <w:sz w:val="24"/>
          <w:szCs w:val="24"/>
          <w14:ligatures w14:val="standardContextual"/>
        </w:rPr>
      </w:pPr>
      <w:hyperlink w:anchor="_Toc226460797" w:history="1">
        <w:r w:rsidRPr="00C84589">
          <w:rPr>
            <w:rStyle w:val="Hyperlink"/>
          </w:rPr>
          <w:t xml:space="preserve">7.4 </w:t>
        </w:r>
        <w:r>
          <w:rPr>
            <w:rFonts w:asciiTheme="minorHAnsi" w:eastAsiaTheme="minorEastAsia" w:hAnsiTheme="minorHAnsi" w:cstheme="minorBidi"/>
            <w:kern w:val="2"/>
            <w:sz w:val="24"/>
            <w:szCs w:val="24"/>
            <w14:ligatures w14:val="standardContextual"/>
          </w:rPr>
          <w:tab/>
        </w:r>
        <w:r w:rsidRPr="00C84589">
          <w:rPr>
            <w:rStyle w:val="Hyperlink"/>
          </w:rPr>
          <w:t>Incineration and open burning of waste (5.C)</w:t>
        </w:r>
        <w:r>
          <w:rPr>
            <w:webHidden/>
          </w:rPr>
          <w:tab/>
        </w:r>
        <w:r>
          <w:rPr>
            <w:webHidden/>
          </w:rPr>
          <w:fldChar w:fldCharType="begin"/>
        </w:r>
        <w:r>
          <w:rPr>
            <w:webHidden/>
          </w:rPr>
          <w:instrText xml:space="preserve"> PAGEREF _Toc226460797 \h </w:instrText>
        </w:r>
        <w:r>
          <w:rPr>
            <w:webHidden/>
          </w:rPr>
        </w:r>
        <w:r>
          <w:rPr>
            <w:webHidden/>
          </w:rPr>
          <w:fldChar w:fldCharType="separate"/>
        </w:r>
        <w:r w:rsidR="00831581">
          <w:rPr>
            <w:webHidden/>
          </w:rPr>
          <w:t>353</w:t>
        </w:r>
        <w:r>
          <w:rPr>
            <w:webHidden/>
          </w:rPr>
          <w:fldChar w:fldCharType="end"/>
        </w:r>
      </w:hyperlink>
    </w:p>
    <w:p w14:paraId="27A45825" w14:textId="72B1096D" w:rsidR="002C0B67" w:rsidRDefault="002C0B67">
      <w:pPr>
        <w:pStyle w:val="TOC2"/>
        <w:rPr>
          <w:rFonts w:asciiTheme="minorHAnsi" w:eastAsiaTheme="minorEastAsia" w:hAnsiTheme="minorHAnsi" w:cstheme="minorBidi"/>
          <w:kern w:val="2"/>
          <w:sz w:val="24"/>
          <w:szCs w:val="24"/>
          <w14:ligatures w14:val="standardContextual"/>
        </w:rPr>
      </w:pPr>
      <w:hyperlink w:anchor="_Toc226460798" w:history="1">
        <w:r w:rsidRPr="00C84589">
          <w:rPr>
            <w:rStyle w:val="Hyperlink"/>
          </w:rPr>
          <w:t xml:space="preserve">7.5 </w:t>
        </w:r>
        <w:r>
          <w:rPr>
            <w:rFonts w:asciiTheme="minorHAnsi" w:eastAsiaTheme="minorEastAsia" w:hAnsiTheme="minorHAnsi" w:cstheme="minorBidi"/>
            <w:kern w:val="2"/>
            <w:sz w:val="24"/>
            <w:szCs w:val="24"/>
            <w14:ligatures w14:val="standardContextual"/>
          </w:rPr>
          <w:tab/>
        </w:r>
        <w:r w:rsidRPr="00C84589">
          <w:rPr>
            <w:rStyle w:val="Hyperlink"/>
          </w:rPr>
          <w:t>Wastewater treatment and discharge (5.D)</w:t>
        </w:r>
        <w:r>
          <w:rPr>
            <w:webHidden/>
          </w:rPr>
          <w:tab/>
        </w:r>
        <w:r>
          <w:rPr>
            <w:webHidden/>
          </w:rPr>
          <w:fldChar w:fldCharType="begin"/>
        </w:r>
        <w:r>
          <w:rPr>
            <w:webHidden/>
          </w:rPr>
          <w:instrText xml:space="preserve"> PAGEREF _Toc226460798 \h </w:instrText>
        </w:r>
        <w:r>
          <w:rPr>
            <w:webHidden/>
          </w:rPr>
        </w:r>
        <w:r>
          <w:rPr>
            <w:webHidden/>
          </w:rPr>
          <w:fldChar w:fldCharType="separate"/>
        </w:r>
        <w:r w:rsidR="00831581">
          <w:rPr>
            <w:webHidden/>
          </w:rPr>
          <w:t>359</w:t>
        </w:r>
        <w:r>
          <w:rPr>
            <w:webHidden/>
          </w:rPr>
          <w:fldChar w:fldCharType="end"/>
        </w:r>
      </w:hyperlink>
    </w:p>
    <w:p w14:paraId="66D650FD" w14:textId="42C98DAD" w:rsidR="002C0B67" w:rsidRDefault="002C0B67">
      <w:pPr>
        <w:pStyle w:val="TOC2"/>
        <w:rPr>
          <w:rFonts w:asciiTheme="minorHAnsi" w:eastAsiaTheme="minorEastAsia" w:hAnsiTheme="minorHAnsi" w:cstheme="minorBidi"/>
          <w:kern w:val="2"/>
          <w:sz w:val="24"/>
          <w:szCs w:val="24"/>
          <w14:ligatures w14:val="standardContextual"/>
        </w:rPr>
      </w:pPr>
      <w:hyperlink w:anchor="_Toc226460799" w:history="1">
        <w:r w:rsidRPr="00C84589">
          <w:rPr>
            <w:rStyle w:val="Hyperlink"/>
          </w:rPr>
          <w:t>Chapter 7: References</w:t>
        </w:r>
        <w:r>
          <w:rPr>
            <w:webHidden/>
          </w:rPr>
          <w:tab/>
        </w:r>
        <w:r>
          <w:rPr>
            <w:webHidden/>
          </w:rPr>
          <w:fldChar w:fldCharType="begin"/>
        </w:r>
        <w:r>
          <w:rPr>
            <w:webHidden/>
          </w:rPr>
          <w:instrText xml:space="preserve"> PAGEREF _Toc226460799 \h </w:instrText>
        </w:r>
        <w:r>
          <w:rPr>
            <w:webHidden/>
          </w:rPr>
        </w:r>
        <w:r>
          <w:rPr>
            <w:webHidden/>
          </w:rPr>
          <w:fldChar w:fldCharType="separate"/>
        </w:r>
        <w:r w:rsidR="00831581">
          <w:rPr>
            <w:webHidden/>
          </w:rPr>
          <w:t>374</w:t>
        </w:r>
        <w:r>
          <w:rPr>
            <w:webHidden/>
          </w:rPr>
          <w:fldChar w:fldCharType="end"/>
        </w:r>
      </w:hyperlink>
    </w:p>
    <w:p w14:paraId="46EDFA0A" w14:textId="2ABA6BF2"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800" w:history="1">
        <w:r w:rsidRPr="00C84589">
          <w:rPr>
            <w:rStyle w:val="Hyperlink"/>
            <w:noProof/>
          </w:rPr>
          <w:t>Chapter 8: Tokelau (other) sector</w:t>
        </w:r>
        <w:r>
          <w:rPr>
            <w:noProof/>
            <w:webHidden/>
          </w:rPr>
          <w:tab/>
        </w:r>
        <w:r>
          <w:rPr>
            <w:noProof/>
            <w:webHidden/>
          </w:rPr>
          <w:fldChar w:fldCharType="begin"/>
        </w:r>
        <w:r>
          <w:rPr>
            <w:noProof/>
            <w:webHidden/>
          </w:rPr>
          <w:instrText xml:space="preserve"> PAGEREF _Toc226460800 \h </w:instrText>
        </w:r>
        <w:r>
          <w:rPr>
            <w:noProof/>
            <w:webHidden/>
          </w:rPr>
        </w:r>
        <w:r>
          <w:rPr>
            <w:noProof/>
            <w:webHidden/>
          </w:rPr>
          <w:fldChar w:fldCharType="separate"/>
        </w:r>
        <w:r w:rsidR="00831581">
          <w:rPr>
            <w:noProof/>
            <w:webHidden/>
          </w:rPr>
          <w:t>376</w:t>
        </w:r>
        <w:r>
          <w:rPr>
            <w:noProof/>
            <w:webHidden/>
          </w:rPr>
          <w:fldChar w:fldCharType="end"/>
        </w:r>
      </w:hyperlink>
    </w:p>
    <w:p w14:paraId="329E1C56" w14:textId="4778B79F" w:rsidR="002C0B67" w:rsidRDefault="002C0B67">
      <w:pPr>
        <w:pStyle w:val="TOC2"/>
        <w:rPr>
          <w:rFonts w:asciiTheme="minorHAnsi" w:eastAsiaTheme="minorEastAsia" w:hAnsiTheme="minorHAnsi" w:cstheme="minorBidi"/>
          <w:kern w:val="2"/>
          <w:sz w:val="24"/>
          <w:szCs w:val="24"/>
          <w14:ligatures w14:val="standardContextual"/>
        </w:rPr>
      </w:pPr>
      <w:hyperlink w:anchor="_Toc226460801" w:history="1">
        <w:r w:rsidRPr="00C84589">
          <w:rPr>
            <w:rStyle w:val="Hyperlink"/>
          </w:rPr>
          <w:t>8.1</w:t>
        </w:r>
        <w:r>
          <w:rPr>
            <w:rFonts w:asciiTheme="minorHAnsi" w:eastAsiaTheme="minorEastAsia" w:hAnsiTheme="minorHAnsi" w:cstheme="minorBidi"/>
            <w:kern w:val="2"/>
            <w:sz w:val="24"/>
            <w:szCs w:val="24"/>
            <w14:ligatures w14:val="standardContextual"/>
          </w:rPr>
          <w:tab/>
        </w:r>
        <w:r w:rsidRPr="00C84589">
          <w:rPr>
            <w:rStyle w:val="Hyperlink"/>
          </w:rPr>
          <w:t>Tokelau overview</w:t>
        </w:r>
        <w:r>
          <w:rPr>
            <w:webHidden/>
          </w:rPr>
          <w:tab/>
        </w:r>
        <w:r>
          <w:rPr>
            <w:webHidden/>
          </w:rPr>
          <w:fldChar w:fldCharType="begin"/>
        </w:r>
        <w:r>
          <w:rPr>
            <w:webHidden/>
          </w:rPr>
          <w:instrText xml:space="preserve"> PAGEREF _Toc226460801 \h </w:instrText>
        </w:r>
        <w:r>
          <w:rPr>
            <w:webHidden/>
          </w:rPr>
        </w:r>
        <w:r>
          <w:rPr>
            <w:webHidden/>
          </w:rPr>
          <w:fldChar w:fldCharType="separate"/>
        </w:r>
        <w:r w:rsidR="00831581">
          <w:rPr>
            <w:webHidden/>
          </w:rPr>
          <w:t>376</w:t>
        </w:r>
        <w:r>
          <w:rPr>
            <w:webHidden/>
          </w:rPr>
          <w:fldChar w:fldCharType="end"/>
        </w:r>
      </w:hyperlink>
    </w:p>
    <w:p w14:paraId="76B1ECC0" w14:textId="31CD6DAD" w:rsidR="002C0B67" w:rsidRDefault="002C0B67">
      <w:pPr>
        <w:pStyle w:val="TOC2"/>
        <w:rPr>
          <w:rFonts w:asciiTheme="minorHAnsi" w:eastAsiaTheme="minorEastAsia" w:hAnsiTheme="minorHAnsi" w:cstheme="minorBidi"/>
          <w:kern w:val="2"/>
          <w:sz w:val="24"/>
          <w:szCs w:val="24"/>
          <w14:ligatures w14:val="standardContextual"/>
        </w:rPr>
      </w:pPr>
      <w:hyperlink w:anchor="_Toc226460802" w:history="1">
        <w:r w:rsidRPr="00C84589">
          <w:rPr>
            <w:rStyle w:val="Hyperlink"/>
          </w:rPr>
          <w:t>8.2</w:t>
        </w:r>
        <w:r>
          <w:rPr>
            <w:rFonts w:asciiTheme="minorHAnsi" w:eastAsiaTheme="minorEastAsia" w:hAnsiTheme="minorHAnsi" w:cstheme="minorBidi"/>
            <w:kern w:val="2"/>
            <w:sz w:val="24"/>
            <w:szCs w:val="24"/>
            <w14:ligatures w14:val="standardContextual"/>
          </w:rPr>
          <w:tab/>
        </w:r>
        <w:r w:rsidRPr="00C84589">
          <w:rPr>
            <w:rStyle w:val="Hyperlink"/>
          </w:rPr>
          <w:t xml:space="preserve">Energy emissions from Tokelau </w:t>
        </w:r>
        <w:r w:rsidRPr="00C84589">
          <w:rPr>
            <w:rStyle w:val="Hyperlink"/>
            <w:spacing w:val="-2"/>
          </w:rPr>
          <w:t>(6. Tokelau_1)</w:t>
        </w:r>
        <w:r>
          <w:rPr>
            <w:webHidden/>
          </w:rPr>
          <w:tab/>
        </w:r>
        <w:r>
          <w:rPr>
            <w:webHidden/>
          </w:rPr>
          <w:fldChar w:fldCharType="begin"/>
        </w:r>
        <w:r>
          <w:rPr>
            <w:webHidden/>
          </w:rPr>
          <w:instrText xml:space="preserve"> PAGEREF _Toc226460802 \h </w:instrText>
        </w:r>
        <w:r>
          <w:rPr>
            <w:webHidden/>
          </w:rPr>
        </w:r>
        <w:r>
          <w:rPr>
            <w:webHidden/>
          </w:rPr>
          <w:fldChar w:fldCharType="separate"/>
        </w:r>
        <w:r w:rsidR="00831581">
          <w:rPr>
            <w:webHidden/>
          </w:rPr>
          <w:t>387</w:t>
        </w:r>
        <w:r>
          <w:rPr>
            <w:webHidden/>
          </w:rPr>
          <w:fldChar w:fldCharType="end"/>
        </w:r>
      </w:hyperlink>
    </w:p>
    <w:p w14:paraId="22D475F7" w14:textId="4D459890" w:rsidR="002C0B67" w:rsidRDefault="002C0B67">
      <w:pPr>
        <w:pStyle w:val="TOC2"/>
        <w:rPr>
          <w:rFonts w:asciiTheme="minorHAnsi" w:eastAsiaTheme="minorEastAsia" w:hAnsiTheme="minorHAnsi" w:cstheme="minorBidi"/>
          <w:kern w:val="2"/>
          <w:sz w:val="24"/>
          <w:szCs w:val="24"/>
          <w14:ligatures w14:val="standardContextual"/>
        </w:rPr>
      </w:pPr>
      <w:hyperlink w:anchor="_Toc226460803" w:history="1">
        <w:r w:rsidRPr="00C84589">
          <w:rPr>
            <w:rStyle w:val="Hyperlink"/>
          </w:rPr>
          <w:t>8.3</w:t>
        </w:r>
        <w:r>
          <w:rPr>
            <w:rFonts w:asciiTheme="minorHAnsi" w:eastAsiaTheme="minorEastAsia" w:hAnsiTheme="minorHAnsi" w:cstheme="minorBidi"/>
            <w:kern w:val="2"/>
            <w:sz w:val="24"/>
            <w:szCs w:val="24"/>
            <w14:ligatures w14:val="standardContextual"/>
          </w:rPr>
          <w:tab/>
        </w:r>
        <w:r w:rsidRPr="00C84589">
          <w:rPr>
            <w:rStyle w:val="Hyperlink"/>
          </w:rPr>
          <w:t>Stationary combustion: Public electricity and heat production</w:t>
        </w:r>
        <w:r>
          <w:rPr>
            <w:webHidden/>
          </w:rPr>
          <w:tab/>
        </w:r>
        <w:r>
          <w:rPr>
            <w:webHidden/>
          </w:rPr>
          <w:fldChar w:fldCharType="begin"/>
        </w:r>
        <w:r>
          <w:rPr>
            <w:webHidden/>
          </w:rPr>
          <w:instrText xml:space="preserve"> PAGEREF _Toc226460803 \h </w:instrText>
        </w:r>
        <w:r>
          <w:rPr>
            <w:webHidden/>
          </w:rPr>
        </w:r>
        <w:r>
          <w:rPr>
            <w:webHidden/>
          </w:rPr>
          <w:fldChar w:fldCharType="separate"/>
        </w:r>
        <w:r w:rsidR="00831581">
          <w:rPr>
            <w:webHidden/>
          </w:rPr>
          <w:t>388</w:t>
        </w:r>
        <w:r>
          <w:rPr>
            <w:webHidden/>
          </w:rPr>
          <w:fldChar w:fldCharType="end"/>
        </w:r>
      </w:hyperlink>
    </w:p>
    <w:p w14:paraId="4BBE5414" w14:textId="06EA81AC" w:rsidR="002C0B67" w:rsidRDefault="002C0B67">
      <w:pPr>
        <w:pStyle w:val="TOC2"/>
        <w:rPr>
          <w:rFonts w:asciiTheme="minorHAnsi" w:eastAsiaTheme="minorEastAsia" w:hAnsiTheme="minorHAnsi" w:cstheme="minorBidi"/>
          <w:kern w:val="2"/>
          <w:sz w:val="24"/>
          <w:szCs w:val="24"/>
          <w14:ligatures w14:val="standardContextual"/>
        </w:rPr>
      </w:pPr>
      <w:hyperlink w:anchor="_Toc226460804" w:history="1">
        <w:r w:rsidRPr="00C84589">
          <w:rPr>
            <w:rStyle w:val="Hyperlink"/>
          </w:rPr>
          <w:t>8.4</w:t>
        </w:r>
        <w:r>
          <w:rPr>
            <w:rFonts w:asciiTheme="minorHAnsi" w:eastAsiaTheme="minorEastAsia" w:hAnsiTheme="minorHAnsi" w:cstheme="minorBidi"/>
            <w:kern w:val="2"/>
            <w:sz w:val="24"/>
            <w:szCs w:val="24"/>
            <w14:ligatures w14:val="standardContextual"/>
          </w:rPr>
          <w:tab/>
        </w:r>
        <w:r w:rsidRPr="00C84589">
          <w:rPr>
            <w:rStyle w:val="Hyperlink"/>
          </w:rPr>
          <w:t>Stationary combustion: Other sectors – Residential</w:t>
        </w:r>
        <w:r>
          <w:rPr>
            <w:webHidden/>
          </w:rPr>
          <w:tab/>
        </w:r>
        <w:r>
          <w:rPr>
            <w:webHidden/>
          </w:rPr>
          <w:fldChar w:fldCharType="begin"/>
        </w:r>
        <w:r>
          <w:rPr>
            <w:webHidden/>
          </w:rPr>
          <w:instrText xml:space="preserve"> PAGEREF _Toc226460804 \h </w:instrText>
        </w:r>
        <w:r>
          <w:rPr>
            <w:webHidden/>
          </w:rPr>
        </w:r>
        <w:r>
          <w:rPr>
            <w:webHidden/>
          </w:rPr>
          <w:fldChar w:fldCharType="separate"/>
        </w:r>
        <w:r w:rsidR="00831581">
          <w:rPr>
            <w:webHidden/>
          </w:rPr>
          <w:t>391</w:t>
        </w:r>
        <w:r>
          <w:rPr>
            <w:webHidden/>
          </w:rPr>
          <w:fldChar w:fldCharType="end"/>
        </w:r>
      </w:hyperlink>
    </w:p>
    <w:p w14:paraId="5FAC6AD1" w14:textId="7D5E39F1" w:rsidR="002C0B67" w:rsidRDefault="002C0B67">
      <w:pPr>
        <w:pStyle w:val="TOC2"/>
        <w:rPr>
          <w:rFonts w:asciiTheme="minorHAnsi" w:eastAsiaTheme="minorEastAsia" w:hAnsiTheme="minorHAnsi" w:cstheme="minorBidi"/>
          <w:kern w:val="2"/>
          <w:sz w:val="24"/>
          <w:szCs w:val="24"/>
          <w14:ligatures w14:val="standardContextual"/>
        </w:rPr>
      </w:pPr>
      <w:hyperlink w:anchor="_Toc226460805" w:history="1">
        <w:r w:rsidRPr="00C84589">
          <w:rPr>
            <w:rStyle w:val="Hyperlink"/>
          </w:rPr>
          <w:t>8.5</w:t>
        </w:r>
        <w:r>
          <w:rPr>
            <w:rFonts w:asciiTheme="minorHAnsi" w:eastAsiaTheme="minorEastAsia" w:hAnsiTheme="minorHAnsi" w:cstheme="minorBidi"/>
            <w:kern w:val="2"/>
            <w:sz w:val="24"/>
            <w:szCs w:val="24"/>
            <w14:ligatures w14:val="standardContextual"/>
          </w:rPr>
          <w:tab/>
        </w:r>
        <w:r w:rsidRPr="00C84589">
          <w:rPr>
            <w:rStyle w:val="Hyperlink"/>
          </w:rPr>
          <w:t>Mobile combustion: Domestic navigation</w:t>
        </w:r>
        <w:r>
          <w:rPr>
            <w:webHidden/>
          </w:rPr>
          <w:tab/>
        </w:r>
        <w:r>
          <w:rPr>
            <w:webHidden/>
          </w:rPr>
          <w:fldChar w:fldCharType="begin"/>
        </w:r>
        <w:r>
          <w:rPr>
            <w:webHidden/>
          </w:rPr>
          <w:instrText xml:space="preserve"> PAGEREF _Toc226460805 \h </w:instrText>
        </w:r>
        <w:r>
          <w:rPr>
            <w:webHidden/>
          </w:rPr>
        </w:r>
        <w:r>
          <w:rPr>
            <w:webHidden/>
          </w:rPr>
          <w:fldChar w:fldCharType="separate"/>
        </w:r>
        <w:r w:rsidR="00831581">
          <w:rPr>
            <w:webHidden/>
          </w:rPr>
          <w:t>393</w:t>
        </w:r>
        <w:r>
          <w:rPr>
            <w:webHidden/>
          </w:rPr>
          <w:fldChar w:fldCharType="end"/>
        </w:r>
      </w:hyperlink>
    </w:p>
    <w:p w14:paraId="748AAED0" w14:textId="4C3C8969" w:rsidR="002C0B67" w:rsidRDefault="002C0B67">
      <w:pPr>
        <w:pStyle w:val="TOC2"/>
        <w:rPr>
          <w:rFonts w:asciiTheme="minorHAnsi" w:eastAsiaTheme="minorEastAsia" w:hAnsiTheme="minorHAnsi" w:cstheme="minorBidi"/>
          <w:kern w:val="2"/>
          <w:sz w:val="24"/>
          <w:szCs w:val="24"/>
          <w14:ligatures w14:val="standardContextual"/>
        </w:rPr>
      </w:pPr>
      <w:hyperlink w:anchor="_Toc226460806" w:history="1">
        <w:r w:rsidRPr="00C84589">
          <w:rPr>
            <w:rStyle w:val="Hyperlink"/>
          </w:rPr>
          <w:t>8.6</w:t>
        </w:r>
        <w:r>
          <w:rPr>
            <w:rFonts w:asciiTheme="minorHAnsi" w:eastAsiaTheme="minorEastAsia" w:hAnsiTheme="minorHAnsi" w:cstheme="minorBidi"/>
            <w:kern w:val="2"/>
            <w:sz w:val="24"/>
            <w:szCs w:val="24"/>
            <w14:ligatures w14:val="standardContextual"/>
          </w:rPr>
          <w:tab/>
        </w:r>
        <w:r w:rsidRPr="00C84589">
          <w:rPr>
            <w:rStyle w:val="Hyperlink"/>
          </w:rPr>
          <w:t>Emissions from Industrial Processes and Product Use in Tokelau (6. Tokelau_2)</w:t>
        </w:r>
        <w:r>
          <w:rPr>
            <w:webHidden/>
          </w:rPr>
          <w:tab/>
        </w:r>
        <w:r>
          <w:rPr>
            <w:webHidden/>
          </w:rPr>
          <w:fldChar w:fldCharType="begin"/>
        </w:r>
        <w:r>
          <w:rPr>
            <w:webHidden/>
          </w:rPr>
          <w:instrText xml:space="preserve"> PAGEREF _Toc226460806 \h </w:instrText>
        </w:r>
        <w:r>
          <w:rPr>
            <w:webHidden/>
          </w:rPr>
        </w:r>
        <w:r>
          <w:rPr>
            <w:webHidden/>
          </w:rPr>
          <w:fldChar w:fldCharType="separate"/>
        </w:r>
        <w:r w:rsidR="00831581">
          <w:rPr>
            <w:webHidden/>
          </w:rPr>
          <w:t>395</w:t>
        </w:r>
        <w:r>
          <w:rPr>
            <w:webHidden/>
          </w:rPr>
          <w:fldChar w:fldCharType="end"/>
        </w:r>
      </w:hyperlink>
    </w:p>
    <w:p w14:paraId="07614811" w14:textId="7902C8D3" w:rsidR="002C0B67" w:rsidRDefault="002C0B67">
      <w:pPr>
        <w:pStyle w:val="TOC2"/>
        <w:rPr>
          <w:rFonts w:asciiTheme="minorHAnsi" w:eastAsiaTheme="minorEastAsia" w:hAnsiTheme="minorHAnsi" w:cstheme="minorBidi"/>
          <w:kern w:val="2"/>
          <w:sz w:val="24"/>
          <w:szCs w:val="24"/>
          <w14:ligatures w14:val="standardContextual"/>
        </w:rPr>
      </w:pPr>
      <w:hyperlink w:anchor="_Toc226460807" w:history="1">
        <w:r w:rsidRPr="00C84589">
          <w:rPr>
            <w:rStyle w:val="Hyperlink"/>
          </w:rPr>
          <w:t>8.7</w:t>
        </w:r>
        <w:r>
          <w:rPr>
            <w:rFonts w:asciiTheme="minorHAnsi" w:eastAsiaTheme="minorEastAsia" w:hAnsiTheme="minorHAnsi" w:cstheme="minorBidi"/>
            <w:kern w:val="2"/>
            <w:sz w:val="24"/>
            <w:szCs w:val="24"/>
            <w14:ligatures w14:val="standardContextual"/>
          </w:rPr>
          <w:tab/>
        </w:r>
        <w:r w:rsidRPr="00C84589">
          <w:rPr>
            <w:rStyle w:val="Hyperlink"/>
          </w:rPr>
          <w:t>Emissions from Refrigeration and air conditioning in Tokelau</w:t>
        </w:r>
        <w:r>
          <w:rPr>
            <w:webHidden/>
          </w:rPr>
          <w:tab/>
        </w:r>
        <w:r>
          <w:rPr>
            <w:webHidden/>
          </w:rPr>
          <w:fldChar w:fldCharType="begin"/>
        </w:r>
        <w:r>
          <w:rPr>
            <w:webHidden/>
          </w:rPr>
          <w:instrText xml:space="preserve"> PAGEREF _Toc226460807 \h </w:instrText>
        </w:r>
        <w:r>
          <w:rPr>
            <w:webHidden/>
          </w:rPr>
        </w:r>
        <w:r>
          <w:rPr>
            <w:webHidden/>
          </w:rPr>
          <w:fldChar w:fldCharType="separate"/>
        </w:r>
        <w:r w:rsidR="00831581">
          <w:rPr>
            <w:webHidden/>
          </w:rPr>
          <w:t>396</w:t>
        </w:r>
        <w:r>
          <w:rPr>
            <w:webHidden/>
          </w:rPr>
          <w:fldChar w:fldCharType="end"/>
        </w:r>
      </w:hyperlink>
    </w:p>
    <w:p w14:paraId="3A167A3C" w14:textId="6135822C" w:rsidR="002C0B67" w:rsidRDefault="002C0B67">
      <w:pPr>
        <w:pStyle w:val="TOC2"/>
        <w:rPr>
          <w:rFonts w:asciiTheme="minorHAnsi" w:eastAsiaTheme="minorEastAsia" w:hAnsiTheme="minorHAnsi" w:cstheme="minorBidi"/>
          <w:kern w:val="2"/>
          <w:sz w:val="24"/>
          <w:szCs w:val="24"/>
          <w14:ligatures w14:val="standardContextual"/>
        </w:rPr>
      </w:pPr>
      <w:hyperlink w:anchor="_Toc226460808" w:history="1">
        <w:r w:rsidRPr="00C84589">
          <w:rPr>
            <w:rStyle w:val="Hyperlink"/>
          </w:rPr>
          <w:t>8.8</w:t>
        </w:r>
        <w:r>
          <w:rPr>
            <w:rFonts w:asciiTheme="minorHAnsi" w:eastAsiaTheme="minorEastAsia" w:hAnsiTheme="minorHAnsi" w:cstheme="minorBidi"/>
            <w:kern w:val="2"/>
            <w:sz w:val="24"/>
            <w:szCs w:val="24"/>
            <w14:ligatures w14:val="standardContextual"/>
          </w:rPr>
          <w:tab/>
        </w:r>
        <w:r w:rsidRPr="00C84589">
          <w:rPr>
            <w:rStyle w:val="Hyperlink"/>
          </w:rPr>
          <w:t>Emissions from Metered dose inhalers and Medical applications in Tokelau</w:t>
        </w:r>
        <w:r>
          <w:rPr>
            <w:webHidden/>
          </w:rPr>
          <w:tab/>
        </w:r>
        <w:r>
          <w:rPr>
            <w:webHidden/>
          </w:rPr>
          <w:fldChar w:fldCharType="begin"/>
        </w:r>
        <w:r>
          <w:rPr>
            <w:webHidden/>
          </w:rPr>
          <w:instrText xml:space="preserve"> PAGEREF _Toc226460808 \h </w:instrText>
        </w:r>
        <w:r>
          <w:rPr>
            <w:webHidden/>
          </w:rPr>
        </w:r>
        <w:r>
          <w:rPr>
            <w:webHidden/>
          </w:rPr>
          <w:fldChar w:fldCharType="separate"/>
        </w:r>
        <w:r w:rsidR="00831581">
          <w:rPr>
            <w:webHidden/>
          </w:rPr>
          <w:t>399</w:t>
        </w:r>
        <w:r>
          <w:rPr>
            <w:webHidden/>
          </w:rPr>
          <w:fldChar w:fldCharType="end"/>
        </w:r>
      </w:hyperlink>
    </w:p>
    <w:p w14:paraId="0B5C2345" w14:textId="265B8B30" w:rsidR="002C0B67" w:rsidRDefault="002C0B67">
      <w:pPr>
        <w:pStyle w:val="TOC2"/>
        <w:rPr>
          <w:rFonts w:asciiTheme="minorHAnsi" w:eastAsiaTheme="minorEastAsia" w:hAnsiTheme="minorHAnsi" w:cstheme="minorBidi"/>
          <w:kern w:val="2"/>
          <w:sz w:val="24"/>
          <w:szCs w:val="24"/>
          <w14:ligatures w14:val="standardContextual"/>
        </w:rPr>
      </w:pPr>
      <w:hyperlink w:anchor="_Toc226460809" w:history="1">
        <w:r w:rsidRPr="00C84589">
          <w:rPr>
            <w:rStyle w:val="Hyperlink"/>
          </w:rPr>
          <w:t>8.9</w:t>
        </w:r>
        <w:r>
          <w:rPr>
            <w:rFonts w:asciiTheme="minorHAnsi" w:eastAsiaTheme="minorEastAsia" w:hAnsiTheme="minorHAnsi" w:cstheme="minorBidi"/>
            <w:kern w:val="2"/>
            <w:sz w:val="24"/>
            <w:szCs w:val="24"/>
            <w14:ligatures w14:val="standardContextual"/>
          </w:rPr>
          <w:tab/>
        </w:r>
        <w:r w:rsidRPr="00C84589">
          <w:rPr>
            <w:rStyle w:val="Hyperlink"/>
          </w:rPr>
          <w:t>Emissions from the Agriculture sector in Tokelau (6. Tokelau_3)</w:t>
        </w:r>
        <w:r>
          <w:rPr>
            <w:webHidden/>
          </w:rPr>
          <w:tab/>
        </w:r>
        <w:r>
          <w:rPr>
            <w:webHidden/>
          </w:rPr>
          <w:fldChar w:fldCharType="begin"/>
        </w:r>
        <w:r>
          <w:rPr>
            <w:webHidden/>
          </w:rPr>
          <w:instrText xml:space="preserve"> PAGEREF _Toc226460809 \h </w:instrText>
        </w:r>
        <w:r>
          <w:rPr>
            <w:webHidden/>
          </w:rPr>
        </w:r>
        <w:r>
          <w:rPr>
            <w:webHidden/>
          </w:rPr>
          <w:fldChar w:fldCharType="separate"/>
        </w:r>
        <w:r w:rsidR="00831581">
          <w:rPr>
            <w:webHidden/>
          </w:rPr>
          <w:t>400</w:t>
        </w:r>
        <w:r>
          <w:rPr>
            <w:webHidden/>
          </w:rPr>
          <w:fldChar w:fldCharType="end"/>
        </w:r>
      </w:hyperlink>
    </w:p>
    <w:p w14:paraId="68C1CEE1" w14:textId="50EB7536" w:rsidR="002C0B67" w:rsidRDefault="002C0B67">
      <w:pPr>
        <w:pStyle w:val="TOC2"/>
        <w:rPr>
          <w:rFonts w:asciiTheme="minorHAnsi" w:eastAsiaTheme="minorEastAsia" w:hAnsiTheme="minorHAnsi" w:cstheme="minorBidi"/>
          <w:kern w:val="2"/>
          <w:sz w:val="24"/>
          <w:szCs w:val="24"/>
          <w14:ligatures w14:val="standardContextual"/>
        </w:rPr>
      </w:pPr>
      <w:hyperlink w:anchor="_Toc226460810" w:history="1">
        <w:r w:rsidRPr="00C84589">
          <w:rPr>
            <w:rStyle w:val="Hyperlink"/>
          </w:rPr>
          <w:t>8.10</w:t>
        </w:r>
        <w:r>
          <w:rPr>
            <w:rFonts w:asciiTheme="minorHAnsi" w:eastAsiaTheme="minorEastAsia" w:hAnsiTheme="minorHAnsi" w:cstheme="minorBidi"/>
            <w:kern w:val="2"/>
            <w:sz w:val="24"/>
            <w:szCs w:val="24"/>
            <w14:ligatures w14:val="standardContextual"/>
          </w:rPr>
          <w:tab/>
        </w:r>
        <w:r w:rsidRPr="00C84589">
          <w:rPr>
            <w:rStyle w:val="Hyperlink"/>
          </w:rPr>
          <w:t>Emissions from Enteric fermentation in Tokelau</w:t>
        </w:r>
        <w:r>
          <w:rPr>
            <w:webHidden/>
          </w:rPr>
          <w:tab/>
        </w:r>
        <w:r>
          <w:rPr>
            <w:webHidden/>
          </w:rPr>
          <w:fldChar w:fldCharType="begin"/>
        </w:r>
        <w:r>
          <w:rPr>
            <w:webHidden/>
          </w:rPr>
          <w:instrText xml:space="preserve"> PAGEREF _Toc226460810 \h </w:instrText>
        </w:r>
        <w:r>
          <w:rPr>
            <w:webHidden/>
          </w:rPr>
        </w:r>
        <w:r>
          <w:rPr>
            <w:webHidden/>
          </w:rPr>
          <w:fldChar w:fldCharType="separate"/>
        </w:r>
        <w:r w:rsidR="00831581">
          <w:rPr>
            <w:webHidden/>
          </w:rPr>
          <w:t>401</w:t>
        </w:r>
        <w:r>
          <w:rPr>
            <w:webHidden/>
          </w:rPr>
          <w:fldChar w:fldCharType="end"/>
        </w:r>
      </w:hyperlink>
    </w:p>
    <w:p w14:paraId="6E2A6C25" w14:textId="34FF585A" w:rsidR="002C0B67" w:rsidRDefault="002C0B67">
      <w:pPr>
        <w:pStyle w:val="TOC2"/>
        <w:rPr>
          <w:rFonts w:asciiTheme="minorHAnsi" w:eastAsiaTheme="minorEastAsia" w:hAnsiTheme="minorHAnsi" w:cstheme="minorBidi"/>
          <w:kern w:val="2"/>
          <w:sz w:val="24"/>
          <w:szCs w:val="24"/>
          <w14:ligatures w14:val="standardContextual"/>
        </w:rPr>
      </w:pPr>
      <w:hyperlink w:anchor="_Toc226460811" w:history="1">
        <w:r w:rsidRPr="00C84589">
          <w:rPr>
            <w:rStyle w:val="Hyperlink"/>
          </w:rPr>
          <w:t>8.11</w:t>
        </w:r>
        <w:r>
          <w:rPr>
            <w:rFonts w:asciiTheme="minorHAnsi" w:eastAsiaTheme="minorEastAsia" w:hAnsiTheme="minorHAnsi" w:cstheme="minorBidi"/>
            <w:kern w:val="2"/>
            <w:sz w:val="24"/>
            <w:szCs w:val="24"/>
            <w14:ligatures w14:val="standardContextual"/>
          </w:rPr>
          <w:tab/>
        </w:r>
        <w:r w:rsidRPr="00C84589">
          <w:rPr>
            <w:rStyle w:val="Hyperlink"/>
          </w:rPr>
          <w:t>Emissions from Manure management in Tokelau</w:t>
        </w:r>
        <w:r>
          <w:rPr>
            <w:webHidden/>
          </w:rPr>
          <w:tab/>
        </w:r>
        <w:r>
          <w:rPr>
            <w:webHidden/>
          </w:rPr>
          <w:fldChar w:fldCharType="begin"/>
        </w:r>
        <w:r>
          <w:rPr>
            <w:webHidden/>
          </w:rPr>
          <w:instrText xml:space="preserve"> PAGEREF _Toc226460811 \h </w:instrText>
        </w:r>
        <w:r>
          <w:rPr>
            <w:webHidden/>
          </w:rPr>
        </w:r>
        <w:r>
          <w:rPr>
            <w:webHidden/>
          </w:rPr>
          <w:fldChar w:fldCharType="separate"/>
        </w:r>
        <w:r w:rsidR="00831581">
          <w:rPr>
            <w:webHidden/>
          </w:rPr>
          <w:t>403</w:t>
        </w:r>
        <w:r>
          <w:rPr>
            <w:webHidden/>
          </w:rPr>
          <w:fldChar w:fldCharType="end"/>
        </w:r>
      </w:hyperlink>
    </w:p>
    <w:p w14:paraId="6C83C28C" w14:textId="237ABFFF" w:rsidR="002C0B67" w:rsidRDefault="002C0B67">
      <w:pPr>
        <w:pStyle w:val="TOC2"/>
        <w:rPr>
          <w:rFonts w:asciiTheme="minorHAnsi" w:eastAsiaTheme="minorEastAsia" w:hAnsiTheme="minorHAnsi" w:cstheme="minorBidi"/>
          <w:kern w:val="2"/>
          <w:sz w:val="24"/>
          <w:szCs w:val="24"/>
          <w14:ligatures w14:val="standardContextual"/>
        </w:rPr>
      </w:pPr>
      <w:hyperlink w:anchor="_Toc226460812" w:history="1">
        <w:r w:rsidRPr="00C84589">
          <w:rPr>
            <w:rStyle w:val="Hyperlink"/>
          </w:rPr>
          <w:t>8.12</w:t>
        </w:r>
        <w:r>
          <w:rPr>
            <w:rFonts w:asciiTheme="minorHAnsi" w:eastAsiaTheme="minorEastAsia" w:hAnsiTheme="minorHAnsi" w:cstheme="minorBidi"/>
            <w:kern w:val="2"/>
            <w:sz w:val="24"/>
            <w:szCs w:val="24"/>
            <w14:ligatures w14:val="standardContextual"/>
          </w:rPr>
          <w:tab/>
        </w:r>
        <w:r w:rsidRPr="00C84589">
          <w:rPr>
            <w:rStyle w:val="Hyperlink"/>
          </w:rPr>
          <w:t>Emissions from the Waste sector in Tokelau (6. Tokelau_5)</w:t>
        </w:r>
        <w:r>
          <w:rPr>
            <w:webHidden/>
          </w:rPr>
          <w:tab/>
        </w:r>
        <w:r>
          <w:rPr>
            <w:webHidden/>
          </w:rPr>
          <w:fldChar w:fldCharType="begin"/>
        </w:r>
        <w:r>
          <w:rPr>
            <w:webHidden/>
          </w:rPr>
          <w:instrText xml:space="preserve"> PAGEREF _Toc226460812 \h </w:instrText>
        </w:r>
        <w:r>
          <w:rPr>
            <w:webHidden/>
          </w:rPr>
        </w:r>
        <w:r>
          <w:rPr>
            <w:webHidden/>
          </w:rPr>
          <w:fldChar w:fldCharType="separate"/>
        </w:r>
        <w:r w:rsidR="00831581">
          <w:rPr>
            <w:webHidden/>
          </w:rPr>
          <w:t>404</w:t>
        </w:r>
        <w:r>
          <w:rPr>
            <w:webHidden/>
          </w:rPr>
          <w:fldChar w:fldCharType="end"/>
        </w:r>
      </w:hyperlink>
    </w:p>
    <w:p w14:paraId="15CB5F7C" w14:textId="0AEDB253" w:rsidR="002C0B67" w:rsidRDefault="002C0B67">
      <w:pPr>
        <w:pStyle w:val="TOC2"/>
        <w:rPr>
          <w:rFonts w:asciiTheme="minorHAnsi" w:eastAsiaTheme="minorEastAsia" w:hAnsiTheme="minorHAnsi" w:cstheme="minorBidi"/>
          <w:kern w:val="2"/>
          <w:sz w:val="24"/>
          <w:szCs w:val="24"/>
          <w14:ligatures w14:val="standardContextual"/>
        </w:rPr>
      </w:pPr>
      <w:hyperlink w:anchor="_Toc226460813" w:history="1">
        <w:r w:rsidRPr="00C84589">
          <w:rPr>
            <w:rStyle w:val="Hyperlink"/>
          </w:rPr>
          <w:t>8.13</w:t>
        </w:r>
        <w:r>
          <w:rPr>
            <w:rFonts w:asciiTheme="minorHAnsi" w:eastAsiaTheme="minorEastAsia" w:hAnsiTheme="minorHAnsi" w:cstheme="minorBidi"/>
            <w:kern w:val="2"/>
            <w:sz w:val="24"/>
            <w:szCs w:val="24"/>
            <w14:ligatures w14:val="standardContextual"/>
          </w:rPr>
          <w:tab/>
        </w:r>
        <w:r w:rsidRPr="00C84589">
          <w:rPr>
            <w:rStyle w:val="Hyperlink"/>
          </w:rPr>
          <w:t>Emissions from Solid waste disposal in Tokelau</w:t>
        </w:r>
        <w:r>
          <w:rPr>
            <w:webHidden/>
          </w:rPr>
          <w:tab/>
        </w:r>
        <w:r>
          <w:rPr>
            <w:webHidden/>
          </w:rPr>
          <w:fldChar w:fldCharType="begin"/>
        </w:r>
        <w:r>
          <w:rPr>
            <w:webHidden/>
          </w:rPr>
          <w:instrText xml:space="preserve"> PAGEREF _Toc226460813 \h </w:instrText>
        </w:r>
        <w:r>
          <w:rPr>
            <w:webHidden/>
          </w:rPr>
        </w:r>
        <w:r>
          <w:rPr>
            <w:webHidden/>
          </w:rPr>
          <w:fldChar w:fldCharType="separate"/>
        </w:r>
        <w:r w:rsidR="00831581">
          <w:rPr>
            <w:webHidden/>
          </w:rPr>
          <w:t>405</w:t>
        </w:r>
        <w:r>
          <w:rPr>
            <w:webHidden/>
          </w:rPr>
          <w:fldChar w:fldCharType="end"/>
        </w:r>
      </w:hyperlink>
    </w:p>
    <w:p w14:paraId="361ADDCE" w14:textId="0FB6D1D1" w:rsidR="002C0B67" w:rsidRDefault="002C0B67">
      <w:pPr>
        <w:pStyle w:val="TOC2"/>
        <w:rPr>
          <w:rFonts w:asciiTheme="minorHAnsi" w:eastAsiaTheme="minorEastAsia" w:hAnsiTheme="minorHAnsi" w:cstheme="minorBidi"/>
          <w:kern w:val="2"/>
          <w:sz w:val="24"/>
          <w:szCs w:val="24"/>
          <w14:ligatures w14:val="standardContextual"/>
        </w:rPr>
      </w:pPr>
      <w:hyperlink w:anchor="_Toc226460814" w:history="1">
        <w:r w:rsidRPr="00C84589">
          <w:rPr>
            <w:rStyle w:val="Hyperlink"/>
          </w:rPr>
          <w:t>8.14</w:t>
        </w:r>
        <w:r>
          <w:rPr>
            <w:rFonts w:asciiTheme="minorHAnsi" w:eastAsiaTheme="minorEastAsia" w:hAnsiTheme="minorHAnsi" w:cstheme="minorBidi"/>
            <w:kern w:val="2"/>
            <w:sz w:val="24"/>
            <w:szCs w:val="24"/>
            <w14:ligatures w14:val="standardContextual"/>
          </w:rPr>
          <w:tab/>
        </w:r>
        <w:r w:rsidRPr="00C84589">
          <w:rPr>
            <w:rStyle w:val="Hyperlink"/>
          </w:rPr>
          <w:t>Emissions from Incineration and open burning in Tokelau</w:t>
        </w:r>
        <w:r>
          <w:rPr>
            <w:webHidden/>
          </w:rPr>
          <w:tab/>
        </w:r>
        <w:r>
          <w:rPr>
            <w:webHidden/>
          </w:rPr>
          <w:fldChar w:fldCharType="begin"/>
        </w:r>
        <w:r>
          <w:rPr>
            <w:webHidden/>
          </w:rPr>
          <w:instrText xml:space="preserve"> PAGEREF _Toc226460814 \h </w:instrText>
        </w:r>
        <w:r>
          <w:rPr>
            <w:webHidden/>
          </w:rPr>
        </w:r>
        <w:r>
          <w:rPr>
            <w:webHidden/>
          </w:rPr>
          <w:fldChar w:fldCharType="separate"/>
        </w:r>
        <w:r w:rsidR="00831581">
          <w:rPr>
            <w:webHidden/>
          </w:rPr>
          <w:t>407</w:t>
        </w:r>
        <w:r>
          <w:rPr>
            <w:webHidden/>
          </w:rPr>
          <w:fldChar w:fldCharType="end"/>
        </w:r>
      </w:hyperlink>
    </w:p>
    <w:p w14:paraId="3FBC05CC" w14:textId="404D6F7D" w:rsidR="002C0B67" w:rsidRDefault="002C0B67">
      <w:pPr>
        <w:pStyle w:val="TOC2"/>
        <w:rPr>
          <w:rFonts w:asciiTheme="minorHAnsi" w:eastAsiaTheme="minorEastAsia" w:hAnsiTheme="minorHAnsi" w:cstheme="minorBidi"/>
          <w:kern w:val="2"/>
          <w:sz w:val="24"/>
          <w:szCs w:val="24"/>
          <w14:ligatures w14:val="standardContextual"/>
        </w:rPr>
      </w:pPr>
      <w:hyperlink w:anchor="_Toc226460815" w:history="1">
        <w:r w:rsidRPr="00C84589">
          <w:rPr>
            <w:rStyle w:val="Hyperlink"/>
          </w:rPr>
          <w:t>8.15</w:t>
        </w:r>
        <w:r>
          <w:rPr>
            <w:rFonts w:asciiTheme="minorHAnsi" w:eastAsiaTheme="minorEastAsia" w:hAnsiTheme="minorHAnsi" w:cstheme="minorBidi"/>
            <w:kern w:val="2"/>
            <w:sz w:val="24"/>
            <w:szCs w:val="24"/>
            <w14:ligatures w14:val="standardContextual"/>
          </w:rPr>
          <w:tab/>
        </w:r>
        <w:r w:rsidRPr="00C84589">
          <w:rPr>
            <w:rStyle w:val="Hyperlink"/>
          </w:rPr>
          <w:t>Emissions from Wastewater treatment and discharge in Tokelau</w:t>
        </w:r>
        <w:r>
          <w:rPr>
            <w:webHidden/>
          </w:rPr>
          <w:tab/>
        </w:r>
        <w:r>
          <w:rPr>
            <w:webHidden/>
          </w:rPr>
          <w:fldChar w:fldCharType="begin"/>
        </w:r>
        <w:r>
          <w:rPr>
            <w:webHidden/>
          </w:rPr>
          <w:instrText xml:space="preserve"> PAGEREF _Toc226460815 \h </w:instrText>
        </w:r>
        <w:r>
          <w:rPr>
            <w:webHidden/>
          </w:rPr>
        </w:r>
        <w:r>
          <w:rPr>
            <w:webHidden/>
          </w:rPr>
          <w:fldChar w:fldCharType="separate"/>
        </w:r>
        <w:r w:rsidR="00831581">
          <w:rPr>
            <w:webHidden/>
          </w:rPr>
          <w:t>409</w:t>
        </w:r>
        <w:r>
          <w:rPr>
            <w:webHidden/>
          </w:rPr>
          <w:fldChar w:fldCharType="end"/>
        </w:r>
      </w:hyperlink>
    </w:p>
    <w:p w14:paraId="2B373468" w14:textId="1C5BC8B8" w:rsidR="002C0B67" w:rsidRDefault="002C0B67">
      <w:pPr>
        <w:pStyle w:val="TOC2"/>
        <w:rPr>
          <w:rFonts w:asciiTheme="minorHAnsi" w:eastAsiaTheme="minorEastAsia" w:hAnsiTheme="minorHAnsi" w:cstheme="minorBidi"/>
          <w:kern w:val="2"/>
          <w:sz w:val="24"/>
          <w:szCs w:val="24"/>
          <w14:ligatures w14:val="standardContextual"/>
        </w:rPr>
      </w:pPr>
      <w:hyperlink w:anchor="_Toc226460816" w:history="1">
        <w:r w:rsidRPr="00C84589">
          <w:rPr>
            <w:rStyle w:val="Hyperlink"/>
          </w:rPr>
          <w:t>Chapter 8: References</w:t>
        </w:r>
        <w:r>
          <w:rPr>
            <w:webHidden/>
          </w:rPr>
          <w:tab/>
        </w:r>
        <w:r>
          <w:rPr>
            <w:webHidden/>
          </w:rPr>
          <w:fldChar w:fldCharType="begin"/>
        </w:r>
        <w:r>
          <w:rPr>
            <w:webHidden/>
          </w:rPr>
          <w:instrText xml:space="preserve"> PAGEREF _Toc226460816 \h </w:instrText>
        </w:r>
        <w:r>
          <w:rPr>
            <w:webHidden/>
          </w:rPr>
        </w:r>
        <w:r>
          <w:rPr>
            <w:webHidden/>
          </w:rPr>
          <w:fldChar w:fldCharType="separate"/>
        </w:r>
        <w:r w:rsidR="00831581">
          <w:rPr>
            <w:webHidden/>
          </w:rPr>
          <w:t>412</w:t>
        </w:r>
        <w:r>
          <w:rPr>
            <w:webHidden/>
          </w:rPr>
          <w:fldChar w:fldCharType="end"/>
        </w:r>
      </w:hyperlink>
    </w:p>
    <w:p w14:paraId="7FE256B0" w14:textId="3631DF49"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817" w:history="1">
        <w:r w:rsidRPr="00C84589">
          <w:rPr>
            <w:rStyle w:val="Hyperlink"/>
            <w:noProof/>
          </w:rPr>
          <w:t>Chapter 9: Indirect carbon dioxide and nitrous oxide emissions</w:t>
        </w:r>
        <w:r>
          <w:rPr>
            <w:noProof/>
            <w:webHidden/>
          </w:rPr>
          <w:tab/>
        </w:r>
        <w:r>
          <w:rPr>
            <w:noProof/>
            <w:webHidden/>
          </w:rPr>
          <w:fldChar w:fldCharType="begin"/>
        </w:r>
        <w:r>
          <w:rPr>
            <w:noProof/>
            <w:webHidden/>
          </w:rPr>
          <w:instrText xml:space="preserve"> PAGEREF _Toc226460817 \h </w:instrText>
        </w:r>
        <w:r>
          <w:rPr>
            <w:noProof/>
            <w:webHidden/>
          </w:rPr>
        </w:r>
        <w:r>
          <w:rPr>
            <w:noProof/>
            <w:webHidden/>
          </w:rPr>
          <w:fldChar w:fldCharType="separate"/>
        </w:r>
        <w:r w:rsidR="00831581">
          <w:rPr>
            <w:noProof/>
            <w:webHidden/>
          </w:rPr>
          <w:t>413</w:t>
        </w:r>
        <w:r>
          <w:rPr>
            <w:noProof/>
            <w:webHidden/>
          </w:rPr>
          <w:fldChar w:fldCharType="end"/>
        </w:r>
      </w:hyperlink>
    </w:p>
    <w:p w14:paraId="2924A722" w14:textId="368C81E0" w:rsidR="002C0B67" w:rsidRDefault="002C0B67">
      <w:pPr>
        <w:pStyle w:val="TOC1"/>
        <w:rPr>
          <w:rFonts w:asciiTheme="minorHAnsi" w:eastAsiaTheme="minorEastAsia" w:hAnsiTheme="minorHAnsi" w:cstheme="minorBidi"/>
          <w:noProof/>
          <w:kern w:val="2"/>
          <w:sz w:val="24"/>
          <w:szCs w:val="24"/>
          <w14:ligatures w14:val="standardContextual"/>
        </w:rPr>
      </w:pPr>
      <w:hyperlink w:anchor="_Toc226460818" w:history="1">
        <w:r w:rsidRPr="00C84589">
          <w:rPr>
            <w:rStyle w:val="Hyperlink"/>
            <w:noProof/>
          </w:rPr>
          <w:t>Chapter 10: Recalculations and improvements</w:t>
        </w:r>
        <w:r>
          <w:rPr>
            <w:noProof/>
            <w:webHidden/>
          </w:rPr>
          <w:tab/>
        </w:r>
        <w:r>
          <w:rPr>
            <w:noProof/>
            <w:webHidden/>
          </w:rPr>
          <w:fldChar w:fldCharType="begin"/>
        </w:r>
        <w:r>
          <w:rPr>
            <w:noProof/>
            <w:webHidden/>
          </w:rPr>
          <w:instrText xml:space="preserve"> PAGEREF _Toc226460818 \h </w:instrText>
        </w:r>
        <w:r>
          <w:rPr>
            <w:noProof/>
            <w:webHidden/>
          </w:rPr>
        </w:r>
        <w:r>
          <w:rPr>
            <w:noProof/>
            <w:webHidden/>
          </w:rPr>
          <w:fldChar w:fldCharType="separate"/>
        </w:r>
        <w:r w:rsidR="00831581">
          <w:rPr>
            <w:noProof/>
            <w:webHidden/>
          </w:rPr>
          <w:t>414</w:t>
        </w:r>
        <w:r>
          <w:rPr>
            <w:noProof/>
            <w:webHidden/>
          </w:rPr>
          <w:fldChar w:fldCharType="end"/>
        </w:r>
      </w:hyperlink>
    </w:p>
    <w:p w14:paraId="7E2C8D4D" w14:textId="2D79369F" w:rsidR="002C0B67" w:rsidRDefault="002C0B67">
      <w:pPr>
        <w:pStyle w:val="TOC2"/>
        <w:rPr>
          <w:rFonts w:asciiTheme="minorHAnsi" w:eastAsiaTheme="minorEastAsia" w:hAnsiTheme="minorHAnsi" w:cstheme="minorBidi"/>
          <w:kern w:val="2"/>
          <w:sz w:val="24"/>
          <w:szCs w:val="24"/>
          <w14:ligatures w14:val="standardContextual"/>
        </w:rPr>
      </w:pPr>
      <w:hyperlink w:anchor="_Toc226460819" w:history="1">
        <w:r w:rsidRPr="00C84589">
          <w:rPr>
            <w:rStyle w:val="Hyperlink"/>
          </w:rPr>
          <w:t xml:space="preserve">10.1 </w:t>
        </w:r>
        <w:r>
          <w:rPr>
            <w:rFonts w:asciiTheme="minorHAnsi" w:eastAsiaTheme="minorEastAsia" w:hAnsiTheme="minorHAnsi" w:cstheme="minorBidi"/>
            <w:kern w:val="2"/>
            <w:sz w:val="24"/>
            <w:szCs w:val="24"/>
            <w14:ligatures w14:val="standardContextual"/>
          </w:rPr>
          <w:tab/>
        </w:r>
        <w:r w:rsidRPr="00C84589">
          <w:rPr>
            <w:rStyle w:val="Hyperlink"/>
          </w:rPr>
          <w:t>Explanations and justifications for recalculations, including in response to the review process</w:t>
        </w:r>
        <w:r>
          <w:rPr>
            <w:webHidden/>
          </w:rPr>
          <w:tab/>
        </w:r>
        <w:r>
          <w:rPr>
            <w:webHidden/>
          </w:rPr>
          <w:fldChar w:fldCharType="begin"/>
        </w:r>
        <w:r>
          <w:rPr>
            <w:webHidden/>
          </w:rPr>
          <w:instrText xml:space="preserve"> PAGEREF _Toc226460819 \h </w:instrText>
        </w:r>
        <w:r>
          <w:rPr>
            <w:webHidden/>
          </w:rPr>
        </w:r>
        <w:r>
          <w:rPr>
            <w:webHidden/>
          </w:rPr>
          <w:fldChar w:fldCharType="separate"/>
        </w:r>
        <w:r w:rsidR="00831581">
          <w:rPr>
            <w:webHidden/>
          </w:rPr>
          <w:t>414</w:t>
        </w:r>
        <w:r>
          <w:rPr>
            <w:webHidden/>
          </w:rPr>
          <w:fldChar w:fldCharType="end"/>
        </w:r>
      </w:hyperlink>
    </w:p>
    <w:p w14:paraId="0E35CDE5" w14:textId="5F2C1E4B" w:rsidR="002C0B67" w:rsidRDefault="002C0B67">
      <w:pPr>
        <w:pStyle w:val="TOC2"/>
        <w:rPr>
          <w:rFonts w:asciiTheme="minorHAnsi" w:eastAsiaTheme="minorEastAsia" w:hAnsiTheme="minorHAnsi" w:cstheme="minorBidi"/>
          <w:kern w:val="2"/>
          <w:sz w:val="24"/>
          <w:szCs w:val="24"/>
          <w14:ligatures w14:val="standardContextual"/>
        </w:rPr>
      </w:pPr>
      <w:hyperlink w:anchor="_Toc226460820" w:history="1">
        <w:r w:rsidRPr="00C84589">
          <w:rPr>
            <w:rStyle w:val="Hyperlink"/>
          </w:rPr>
          <w:t>10.2</w:t>
        </w:r>
        <w:r>
          <w:rPr>
            <w:rFonts w:asciiTheme="minorHAnsi" w:eastAsiaTheme="minorEastAsia" w:hAnsiTheme="minorHAnsi" w:cstheme="minorBidi"/>
            <w:kern w:val="2"/>
            <w:sz w:val="24"/>
            <w:szCs w:val="24"/>
            <w14:ligatures w14:val="standardContextual"/>
          </w:rPr>
          <w:tab/>
        </w:r>
        <w:r w:rsidRPr="00C84589">
          <w:rPr>
            <w:rStyle w:val="Hyperlink"/>
          </w:rPr>
          <w:t>Implications for emissions and removal levels</w:t>
        </w:r>
        <w:r>
          <w:rPr>
            <w:webHidden/>
          </w:rPr>
          <w:tab/>
        </w:r>
        <w:r>
          <w:rPr>
            <w:webHidden/>
          </w:rPr>
          <w:fldChar w:fldCharType="begin"/>
        </w:r>
        <w:r>
          <w:rPr>
            <w:webHidden/>
          </w:rPr>
          <w:instrText xml:space="preserve"> PAGEREF _Toc226460820 \h </w:instrText>
        </w:r>
        <w:r>
          <w:rPr>
            <w:webHidden/>
          </w:rPr>
        </w:r>
        <w:r>
          <w:rPr>
            <w:webHidden/>
          </w:rPr>
          <w:fldChar w:fldCharType="separate"/>
        </w:r>
        <w:r w:rsidR="00831581">
          <w:rPr>
            <w:webHidden/>
          </w:rPr>
          <w:t>416</w:t>
        </w:r>
        <w:r>
          <w:rPr>
            <w:webHidden/>
          </w:rPr>
          <w:fldChar w:fldCharType="end"/>
        </w:r>
      </w:hyperlink>
    </w:p>
    <w:p w14:paraId="412874AD" w14:textId="392E4B2D" w:rsidR="002C0B67" w:rsidRDefault="002C0B67">
      <w:pPr>
        <w:pStyle w:val="TOC2"/>
        <w:rPr>
          <w:rFonts w:asciiTheme="minorHAnsi" w:eastAsiaTheme="minorEastAsia" w:hAnsiTheme="minorHAnsi" w:cstheme="minorBidi"/>
          <w:kern w:val="2"/>
          <w:sz w:val="24"/>
          <w:szCs w:val="24"/>
          <w14:ligatures w14:val="standardContextual"/>
        </w:rPr>
      </w:pPr>
      <w:hyperlink w:anchor="_Toc226460821" w:history="1">
        <w:r w:rsidRPr="00C84589">
          <w:rPr>
            <w:rStyle w:val="Hyperlink"/>
          </w:rPr>
          <w:t xml:space="preserve">10.3 </w:t>
        </w:r>
        <w:r>
          <w:rPr>
            <w:rFonts w:asciiTheme="minorHAnsi" w:eastAsiaTheme="minorEastAsia" w:hAnsiTheme="minorHAnsi" w:cstheme="minorBidi"/>
            <w:kern w:val="2"/>
            <w:sz w:val="24"/>
            <w:szCs w:val="24"/>
            <w14:ligatures w14:val="standardContextual"/>
          </w:rPr>
          <w:tab/>
        </w:r>
        <w:r w:rsidRPr="00C84589">
          <w:rPr>
            <w:rStyle w:val="Hyperlink"/>
          </w:rPr>
          <w:t>Implications for emissions and removal trends, including time-series consistency</w:t>
        </w:r>
        <w:r>
          <w:rPr>
            <w:webHidden/>
          </w:rPr>
          <w:tab/>
        </w:r>
        <w:r>
          <w:rPr>
            <w:webHidden/>
          </w:rPr>
          <w:fldChar w:fldCharType="begin"/>
        </w:r>
        <w:r>
          <w:rPr>
            <w:webHidden/>
          </w:rPr>
          <w:instrText xml:space="preserve"> PAGEREF _Toc226460821 \h </w:instrText>
        </w:r>
        <w:r>
          <w:rPr>
            <w:webHidden/>
          </w:rPr>
        </w:r>
        <w:r>
          <w:rPr>
            <w:webHidden/>
          </w:rPr>
          <w:fldChar w:fldCharType="separate"/>
        </w:r>
        <w:r w:rsidR="00831581">
          <w:rPr>
            <w:webHidden/>
          </w:rPr>
          <w:t>419</w:t>
        </w:r>
        <w:r>
          <w:rPr>
            <w:webHidden/>
          </w:rPr>
          <w:fldChar w:fldCharType="end"/>
        </w:r>
      </w:hyperlink>
    </w:p>
    <w:p w14:paraId="4810EA50" w14:textId="5F077A4D" w:rsidR="002C0B67" w:rsidRDefault="002C0B67">
      <w:pPr>
        <w:pStyle w:val="TOC2"/>
        <w:rPr>
          <w:rFonts w:asciiTheme="minorHAnsi" w:eastAsiaTheme="minorEastAsia" w:hAnsiTheme="minorHAnsi" w:cstheme="minorBidi"/>
          <w:kern w:val="2"/>
          <w:sz w:val="24"/>
          <w:szCs w:val="24"/>
          <w14:ligatures w14:val="standardContextual"/>
        </w:rPr>
      </w:pPr>
      <w:hyperlink w:anchor="_Toc226460822" w:history="1">
        <w:r w:rsidRPr="00C84589">
          <w:rPr>
            <w:rStyle w:val="Hyperlink"/>
          </w:rPr>
          <w:t xml:space="preserve">10.4 </w:t>
        </w:r>
        <w:r>
          <w:rPr>
            <w:rFonts w:asciiTheme="minorHAnsi" w:eastAsiaTheme="minorEastAsia" w:hAnsiTheme="minorHAnsi" w:cstheme="minorBidi"/>
            <w:kern w:val="2"/>
            <w:sz w:val="24"/>
            <w:szCs w:val="24"/>
            <w14:ligatures w14:val="standardContextual"/>
          </w:rPr>
          <w:tab/>
        </w:r>
        <w:r w:rsidRPr="00C84589">
          <w:rPr>
            <w:rStyle w:val="Hyperlink"/>
          </w:rPr>
          <w:t>Areas of improvement and/or capacity building in response to the review process</w:t>
        </w:r>
        <w:r>
          <w:rPr>
            <w:webHidden/>
          </w:rPr>
          <w:tab/>
        </w:r>
        <w:r>
          <w:rPr>
            <w:webHidden/>
          </w:rPr>
          <w:fldChar w:fldCharType="begin"/>
        </w:r>
        <w:r>
          <w:rPr>
            <w:webHidden/>
          </w:rPr>
          <w:instrText xml:space="preserve"> PAGEREF _Toc226460822 \h </w:instrText>
        </w:r>
        <w:r>
          <w:rPr>
            <w:webHidden/>
          </w:rPr>
        </w:r>
        <w:r>
          <w:rPr>
            <w:webHidden/>
          </w:rPr>
          <w:fldChar w:fldCharType="separate"/>
        </w:r>
        <w:r w:rsidR="00831581">
          <w:rPr>
            <w:webHidden/>
          </w:rPr>
          <w:t>427</w:t>
        </w:r>
        <w:r>
          <w:rPr>
            <w:webHidden/>
          </w:rPr>
          <w:fldChar w:fldCharType="end"/>
        </w:r>
      </w:hyperlink>
    </w:p>
    <w:p w14:paraId="4BF9D441" w14:textId="3C00A356" w:rsidR="002C0B67" w:rsidRDefault="002C0B67">
      <w:pPr>
        <w:pStyle w:val="TOC2"/>
        <w:rPr>
          <w:rFonts w:asciiTheme="minorHAnsi" w:eastAsiaTheme="minorEastAsia" w:hAnsiTheme="minorHAnsi" w:cstheme="minorBidi"/>
          <w:kern w:val="2"/>
          <w:sz w:val="24"/>
          <w:szCs w:val="24"/>
          <w14:ligatures w14:val="standardContextual"/>
        </w:rPr>
      </w:pPr>
      <w:hyperlink w:anchor="_Toc226460823" w:history="1">
        <w:r w:rsidRPr="00C84589">
          <w:rPr>
            <w:rStyle w:val="Hyperlink"/>
          </w:rPr>
          <w:t xml:space="preserve">10.5 </w:t>
        </w:r>
        <w:r>
          <w:rPr>
            <w:rFonts w:asciiTheme="minorHAnsi" w:eastAsiaTheme="minorEastAsia" w:hAnsiTheme="minorHAnsi" w:cstheme="minorBidi"/>
            <w:kern w:val="2"/>
            <w:sz w:val="24"/>
            <w:szCs w:val="24"/>
            <w14:ligatures w14:val="standardContextual"/>
          </w:rPr>
          <w:tab/>
        </w:r>
        <w:r w:rsidRPr="00C84589">
          <w:rPr>
            <w:rStyle w:val="Hyperlink"/>
          </w:rPr>
          <w:t>Areas of improvement and/or capacity building related to the flexibility provisions</w:t>
        </w:r>
        <w:r>
          <w:rPr>
            <w:webHidden/>
          </w:rPr>
          <w:tab/>
        </w:r>
        <w:r>
          <w:rPr>
            <w:webHidden/>
          </w:rPr>
          <w:fldChar w:fldCharType="begin"/>
        </w:r>
        <w:r>
          <w:rPr>
            <w:webHidden/>
          </w:rPr>
          <w:instrText xml:space="preserve"> PAGEREF _Toc226460823 \h </w:instrText>
        </w:r>
        <w:r>
          <w:rPr>
            <w:webHidden/>
          </w:rPr>
        </w:r>
        <w:r>
          <w:rPr>
            <w:webHidden/>
          </w:rPr>
          <w:fldChar w:fldCharType="separate"/>
        </w:r>
        <w:r w:rsidR="00831581">
          <w:rPr>
            <w:webHidden/>
          </w:rPr>
          <w:t>433</w:t>
        </w:r>
        <w:r>
          <w:rPr>
            <w:webHidden/>
          </w:rPr>
          <w:fldChar w:fldCharType="end"/>
        </w:r>
      </w:hyperlink>
    </w:p>
    <w:p w14:paraId="4A50AF9C" w14:textId="754372D6" w:rsidR="002C0B67" w:rsidRDefault="002C0B67">
      <w:pPr>
        <w:pStyle w:val="TOC2"/>
        <w:rPr>
          <w:rFonts w:asciiTheme="minorHAnsi" w:eastAsiaTheme="minorEastAsia" w:hAnsiTheme="minorHAnsi" w:cstheme="minorBidi"/>
          <w:kern w:val="2"/>
          <w:sz w:val="24"/>
          <w:szCs w:val="24"/>
          <w14:ligatures w14:val="standardContextual"/>
        </w:rPr>
      </w:pPr>
      <w:hyperlink w:anchor="_Toc226460824" w:history="1">
        <w:r w:rsidRPr="00C84589">
          <w:rPr>
            <w:rStyle w:val="Hyperlink"/>
          </w:rPr>
          <w:t>Chapter 10: References</w:t>
        </w:r>
        <w:r>
          <w:rPr>
            <w:webHidden/>
          </w:rPr>
          <w:tab/>
        </w:r>
        <w:r>
          <w:rPr>
            <w:webHidden/>
          </w:rPr>
          <w:fldChar w:fldCharType="begin"/>
        </w:r>
        <w:r>
          <w:rPr>
            <w:webHidden/>
          </w:rPr>
          <w:instrText xml:space="preserve"> PAGEREF _Toc226460824 \h </w:instrText>
        </w:r>
        <w:r>
          <w:rPr>
            <w:webHidden/>
          </w:rPr>
        </w:r>
        <w:r>
          <w:rPr>
            <w:webHidden/>
          </w:rPr>
          <w:fldChar w:fldCharType="separate"/>
        </w:r>
        <w:r w:rsidR="00831581">
          <w:rPr>
            <w:webHidden/>
          </w:rPr>
          <w:t>434</w:t>
        </w:r>
        <w:r>
          <w:rPr>
            <w:webHidden/>
          </w:rPr>
          <w:fldChar w:fldCharType="end"/>
        </w:r>
      </w:hyperlink>
    </w:p>
    <w:p w14:paraId="663E4F37" w14:textId="146DC007" w:rsidR="00DD5CB6" w:rsidRDefault="006527F0" w:rsidP="00DD5CB6">
      <w:r>
        <w:rPr>
          <w:noProof/>
          <w:sz w:val="28"/>
        </w:rPr>
        <w:fldChar w:fldCharType="end"/>
      </w:r>
    </w:p>
    <w:p w14:paraId="7F71E677" w14:textId="77777777" w:rsidR="00DD5CB6" w:rsidRPr="00C21B54" w:rsidRDefault="00DD5CB6" w:rsidP="00892A4D">
      <w:pPr>
        <w:pStyle w:val="Heading"/>
      </w:pPr>
      <w:r>
        <w:br w:type="page"/>
      </w:r>
      <w:r w:rsidRPr="00C21B54">
        <w:lastRenderedPageBreak/>
        <w:t>Tables</w:t>
      </w:r>
    </w:p>
    <w:p w14:paraId="08FC3A6A" w14:textId="4A685C8F" w:rsidR="0025307F" w:rsidRDefault="00475EF2">
      <w:pPr>
        <w:pStyle w:val="TableofFigures"/>
        <w:rPr>
          <w:rFonts w:asciiTheme="minorHAnsi" w:eastAsiaTheme="minorEastAsia" w:hAnsiTheme="minorHAnsi" w:cstheme="minorBidi"/>
          <w:noProof/>
          <w:kern w:val="2"/>
          <w:sz w:val="24"/>
          <w:szCs w:val="24"/>
          <w14:ligatures w14:val="standardContextual"/>
        </w:rPr>
      </w:pPr>
      <w:r>
        <w:rPr>
          <w:rFonts w:ascii="Arial" w:hAnsi="Arial"/>
        </w:rPr>
        <w:fldChar w:fldCharType="begin"/>
      </w:r>
      <w:r>
        <w:rPr>
          <w:rFonts w:ascii="Arial" w:hAnsi="Arial"/>
        </w:rPr>
        <w:instrText xml:space="preserve"> TOC \h \z \t "Table" \c </w:instrText>
      </w:r>
      <w:r>
        <w:rPr>
          <w:rFonts w:ascii="Arial" w:hAnsi="Arial"/>
        </w:rPr>
        <w:fldChar w:fldCharType="separate"/>
      </w:r>
      <w:hyperlink w:anchor="_Toc226668938" w:history="1">
        <w:r w:rsidR="0025307F" w:rsidRPr="00022879">
          <w:rPr>
            <w:rStyle w:val="Hyperlink"/>
            <w:bCs/>
            <w:noProof/>
          </w:rPr>
          <w:t>Table ES 2.1</w:t>
        </w:r>
        <w:r w:rsidR="0025307F" w:rsidRPr="00022879">
          <w:rPr>
            <w:rStyle w:val="Hyperlink"/>
            <w:noProof/>
          </w:rPr>
          <w:t xml:space="preserve"> </w:t>
        </w:r>
        <w:r w:rsidR="0025307F">
          <w:rPr>
            <w:rFonts w:asciiTheme="minorHAnsi" w:eastAsiaTheme="minorEastAsia" w:hAnsiTheme="minorHAnsi" w:cstheme="minorBidi"/>
            <w:noProof/>
            <w:kern w:val="2"/>
            <w:sz w:val="24"/>
            <w:szCs w:val="24"/>
            <w14:ligatures w14:val="standardContextual"/>
          </w:rPr>
          <w:tab/>
        </w:r>
        <w:r w:rsidR="0025307F" w:rsidRPr="00022879">
          <w:rPr>
            <w:rStyle w:val="Hyperlink"/>
            <w:noProof/>
          </w:rPr>
          <w:t xml:space="preserve">New Zealand’s gross emissions by gas in </w:t>
        </w:r>
        <w:r w:rsidR="0025307F" w:rsidRPr="00022879">
          <w:rPr>
            <w:rStyle w:val="Hyperlink"/>
            <w:bCs/>
            <w:noProof/>
          </w:rPr>
          <w:t>1990</w:t>
        </w:r>
        <w:r w:rsidR="0025307F" w:rsidRPr="00022879">
          <w:rPr>
            <w:rStyle w:val="Hyperlink"/>
            <w:noProof/>
          </w:rPr>
          <w:t xml:space="preserve">, </w:t>
        </w:r>
        <w:r w:rsidR="0025307F" w:rsidRPr="00022879">
          <w:rPr>
            <w:rStyle w:val="Hyperlink"/>
            <w:bCs/>
            <w:noProof/>
          </w:rPr>
          <w:t>2005</w:t>
        </w:r>
        <w:r w:rsidR="0025307F" w:rsidRPr="00022879">
          <w:rPr>
            <w:rStyle w:val="Hyperlink"/>
            <w:noProof/>
          </w:rPr>
          <w:t xml:space="preserve"> and </w:t>
        </w:r>
        <w:r w:rsidR="0025307F" w:rsidRPr="00022879">
          <w:rPr>
            <w:rStyle w:val="Hyperlink"/>
            <w:bCs/>
            <w:noProof/>
          </w:rPr>
          <w:t>2024</w:t>
        </w:r>
        <w:r w:rsidR="0025307F">
          <w:rPr>
            <w:noProof/>
            <w:webHidden/>
          </w:rPr>
          <w:tab/>
        </w:r>
        <w:r w:rsidR="0025307F">
          <w:rPr>
            <w:noProof/>
            <w:webHidden/>
          </w:rPr>
          <w:fldChar w:fldCharType="begin"/>
        </w:r>
        <w:r w:rsidR="0025307F">
          <w:rPr>
            <w:noProof/>
            <w:webHidden/>
          </w:rPr>
          <w:instrText xml:space="preserve"> PAGEREF _Toc226668938 \h </w:instrText>
        </w:r>
        <w:r w:rsidR="0025307F">
          <w:rPr>
            <w:noProof/>
            <w:webHidden/>
          </w:rPr>
        </w:r>
        <w:r w:rsidR="0025307F">
          <w:rPr>
            <w:noProof/>
            <w:webHidden/>
          </w:rPr>
          <w:fldChar w:fldCharType="separate"/>
        </w:r>
        <w:r w:rsidR="00831581">
          <w:rPr>
            <w:noProof/>
            <w:webHidden/>
          </w:rPr>
          <w:t>xxviii</w:t>
        </w:r>
        <w:r w:rsidR="0025307F">
          <w:rPr>
            <w:noProof/>
            <w:webHidden/>
          </w:rPr>
          <w:fldChar w:fldCharType="end"/>
        </w:r>
      </w:hyperlink>
    </w:p>
    <w:p w14:paraId="4F59BC10" w14:textId="2A49EF7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39" w:history="1">
        <w:r w:rsidRPr="00022879">
          <w:rPr>
            <w:rStyle w:val="Hyperlink"/>
            <w:bCs/>
            <w:noProof/>
          </w:rPr>
          <w:t>Table ES 4.1</w:t>
        </w:r>
        <w:r w:rsidRPr="00022879">
          <w:rPr>
            <w:rStyle w:val="Hyperlink"/>
            <w:noProof/>
          </w:rPr>
          <w:t xml:space="preserve">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indirect greenhouse gas emissions (excluding LULUCF) in </w:t>
        </w:r>
        <w:r w:rsidRPr="00022879">
          <w:rPr>
            <w:rStyle w:val="Hyperlink"/>
            <w:bCs/>
            <w:noProof/>
          </w:rPr>
          <w:t>1990</w:t>
        </w:r>
        <w:r w:rsidRPr="00022879">
          <w:rPr>
            <w:rStyle w:val="Hyperlink"/>
            <w:noProof/>
          </w:rPr>
          <w:t xml:space="preserve">, </w:t>
        </w:r>
        <w:r w:rsidRPr="00022879">
          <w:rPr>
            <w:rStyle w:val="Hyperlink"/>
            <w:bCs/>
            <w:noProof/>
          </w:rPr>
          <w:t>2005</w:t>
        </w:r>
        <w:r w:rsidRPr="00022879">
          <w:rPr>
            <w:rStyle w:val="Hyperlink"/>
            <w:noProof/>
          </w:rPr>
          <w:t xml:space="preserve"> and </w:t>
        </w:r>
        <w:r w:rsidRPr="00022879">
          <w:rPr>
            <w:rStyle w:val="Hyperlink"/>
            <w:bCs/>
            <w:noProof/>
          </w:rPr>
          <w:t>2024</w:t>
        </w:r>
        <w:r>
          <w:rPr>
            <w:noProof/>
            <w:webHidden/>
          </w:rPr>
          <w:tab/>
        </w:r>
        <w:r>
          <w:rPr>
            <w:noProof/>
            <w:webHidden/>
          </w:rPr>
          <w:fldChar w:fldCharType="begin"/>
        </w:r>
        <w:r>
          <w:rPr>
            <w:noProof/>
            <w:webHidden/>
          </w:rPr>
          <w:instrText xml:space="preserve"> PAGEREF _Toc226668939 \h </w:instrText>
        </w:r>
        <w:r>
          <w:rPr>
            <w:noProof/>
            <w:webHidden/>
          </w:rPr>
        </w:r>
        <w:r>
          <w:rPr>
            <w:noProof/>
            <w:webHidden/>
          </w:rPr>
          <w:fldChar w:fldCharType="separate"/>
        </w:r>
        <w:r w:rsidR="00831581">
          <w:rPr>
            <w:noProof/>
            <w:webHidden/>
          </w:rPr>
          <w:t>xxxix</w:t>
        </w:r>
        <w:r>
          <w:rPr>
            <w:noProof/>
            <w:webHidden/>
          </w:rPr>
          <w:fldChar w:fldCharType="end"/>
        </w:r>
      </w:hyperlink>
    </w:p>
    <w:p w14:paraId="40909D8F" w14:textId="7A52F57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0" w:history="1">
        <w:r w:rsidRPr="00022879">
          <w:rPr>
            <w:rStyle w:val="Hyperlink"/>
            <w:noProof/>
          </w:rPr>
          <w:t xml:space="preserve">Table ES 5.1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with the largest relative influence on the national trend, compared with the average change in gross emissions from </w:t>
        </w:r>
        <w:r w:rsidRPr="00022879">
          <w:rPr>
            <w:rStyle w:val="Hyperlink"/>
            <w:bCs/>
            <w:noProof/>
          </w:rPr>
          <w:t>1990</w:t>
        </w:r>
        <w:r w:rsidRPr="00022879">
          <w:rPr>
            <w:rStyle w:val="Hyperlink"/>
            <w:noProof/>
          </w:rPr>
          <w:t xml:space="preserve"> to </w:t>
        </w:r>
        <w:r w:rsidRPr="00022879">
          <w:rPr>
            <w:rStyle w:val="Hyperlink"/>
            <w:bCs/>
            <w:noProof/>
          </w:rPr>
          <w:t>2024</w:t>
        </w:r>
        <w:r>
          <w:rPr>
            <w:noProof/>
            <w:webHidden/>
          </w:rPr>
          <w:tab/>
        </w:r>
        <w:r>
          <w:rPr>
            <w:noProof/>
            <w:webHidden/>
          </w:rPr>
          <w:fldChar w:fldCharType="begin"/>
        </w:r>
        <w:r>
          <w:rPr>
            <w:noProof/>
            <w:webHidden/>
          </w:rPr>
          <w:instrText xml:space="preserve"> PAGEREF _Toc226668940 \h </w:instrText>
        </w:r>
        <w:r>
          <w:rPr>
            <w:noProof/>
            <w:webHidden/>
          </w:rPr>
        </w:r>
        <w:r>
          <w:rPr>
            <w:noProof/>
            <w:webHidden/>
          </w:rPr>
          <w:fldChar w:fldCharType="separate"/>
        </w:r>
        <w:r w:rsidR="00831581">
          <w:rPr>
            <w:noProof/>
            <w:webHidden/>
          </w:rPr>
          <w:t>xl</w:t>
        </w:r>
        <w:r>
          <w:rPr>
            <w:noProof/>
            <w:webHidden/>
          </w:rPr>
          <w:fldChar w:fldCharType="end"/>
        </w:r>
      </w:hyperlink>
    </w:p>
    <w:p w14:paraId="06F9586F" w14:textId="0E34276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1" w:history="1">
        <w:r w:rsidRPr="00022879">
          <w:rPr>
            <w:rStyle w:val="Hyperlink"/>
            <w:noProof/>
          </w:rPr>
          <w:t xml:space="preserve">Table ES 5.2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with the largest relative influence on the national trend, compared with the average change in net emissions from </w:t>
        </w:r>
        <w:r w:rsidRPr="00022879">
          <w:rPr>
            <w:rStyle w:val="Hyperlink"/>
            <w:bCs/>
            <w:noProof/>
          </w:rPr>
          <w:t>1990</w:t>
        </w:r>
        <w:r w:rsidRPr="00022879">
          <w:rPr>
            <w:rStyle w:val="Hyperlink"/>
            <w:noProof/>
          </w:rPr>
          <w:t xml:space="preserve"> to </w:t>
        </w:r>
        <w:r w:rsidRPr="00022879">
          <w:rPr>
            <w:rStyle w:val="Hyperlink"/>
            <w:bCs/>
            <w:noProof/>
          </w:rPr>
          <w:t>2024</w:t>
        </w:r>
        <w:r>
          <w:rPr>
            <w:noProof/>
            <w:webHidden/>
          </w:rPr>
          <w:tab/>
        </w:r>
        <w:r>
          <w:rPr>
            <w:noProof/>
            <w:webHidden/>
          </w:rPr>
          <w:fldChar w:fldCharType="begin"/>
        </w:r>
        <w:r>
          <w:rPr>
            <w:noProof/>
            <w:webHidden/>
          </w:rPr>
          <w:instrText xml:space="preserve"> PAGEREF _Toc226668941 \h </w:instrText>
        </w:r>
        <w:r>
          <w:rPr>
            <w:noProof/>
            <w:webHidden/>
          </w:rPr>
        </w:r>
        <w:r>
          <w:rPr>
            <w:noProof/>
            <w:webHidden/>
          </w:rPr>
          <w:fldChar w:fldCharType="separate"/>
        </w:r>
        <w:r w:rsidR="00831581">
          <w:rPr>
            <w:noProof/>
            <w:webHidden/>
          </w:rPr>
          <w:t>xl</w:t>
        </w:r>
        <w:r>
          <w:rPr>
            <w:noProof/>
            <w:webHidden/>
          </w:rPr>
          <w:fldChar w:fldCharType="end"/>
        </w:r>
      </w:hyperlink>
    </w:p>
    <w:p w14:paraId="26C259DE" w14:textId="4FA7516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2" w:history="1">
        <w:r w:rsidRPr="00022879">
          <w:rPr>
            <w:rStyle w:val="Hyperlink"/>
            <w:noProof/>
          </w:rPr>
          <w:t xml:space="preserve">Table 1.4.1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Major contributions to the level analysis of net emissions for </w:t>
        </w:r>
        <w:r w:rsidRPr="00022879">
          <w:rPr>
            <w:rStyle w:val="Hyperlink"/>
            <w:bCs/>
            <w:noProof/>
          </w:rPr>
          <w:t>2024</w:t>
        </w:r>
        <w:r>
          <w:rPr>
            <w:noProof/>
            <w:webHidden/>
          </w:rPr>
          <w:tab/>
        </w:r>
        <w:r>
          <w:rPr>
            <w:noProof/>
            <w:webHidden/>
          </w:rPr>
          <w:fldChar w:fldCharType="begin"/>
        </w:r>
        <w:r>
          <w:rPr>
            <w:noProof/>
            <w:webHidden/>
          </w:rPr>
          <w:instrText xml:space="preserve"> PAGEREF _Toc226668942 \h </w:instrText>
        </w:r>
        <w:r>
          <w:rPr>
            <w:noProof/>
            <w:webHidden/>
          </w:rPr>
        </w:r>
        <w:r>
          <w:rPr>
            <w:noProof/>
            <w:webHidden/>
          </w:rPr>
          <w:fldChar w:fldCharType="separate"/>
        </w:r>
        <w:r w:rsidR="00831581">
          <w:rPr>
            <w:noProof/>
            <w:webHidden/>
          </w:rPr>
          <w:t>14</w:t>
        </w:r>
        <w:r>
          <w:rPr>
            <w:noProof/>
            <w:webHidden/>
          </w:rPr>
          <w:fldChar w:fldCharType="end"/>
        </w:r>
      </w:hyperlink>
    </w:p>
    <w:p w14:paraId="08FE4E54" w14:textId="06D7815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3" w:history="1">
        <w:r w:rsidRPr="00022879">
          <w:rPr>
            <w:rStyle w:val="Hyperlink"/>
            <w:noProof/>
          </w:rPr>
          <w:t xml:space="preserve">Table 1.4.2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with the largest relative influence on the trend, compared with the average change in net emissions from </w:t>
        </w:r>
        <w:r w:rsidRPr="00022879">
          <w:rPr>
            <w:rStyle w:val="Hyperlink"/>
            <w:bCs/>
            <w:noProof/>
          </w:rPr>
          <w:t>1990</w:t>
        </w:r>
        <w:r w:rsidRPr="00022879">
          <w:rPr>
            <w:rStyle w:val="Hyperlink"/>
            <w:noProof/>
          </w:rPr>
          <w:t xml:space="preserve"> to </w:t>
        </w:r>
        <w:r w:rsidRPr="00022879">
          <w:rPr>
            <w:rStyle w:val="Hyperlink"/>
            <w:bCs/>
            <w:noProof/>
          </w:rPr>
          <w:t>2024</w:t>
        </w:r>
        <w:r>
          <w:rPr>
            <w:noProof/>
            <w:webHidden/>
          </w:rPr>
          <w:tab/>
        </w:r>
        <w:r>
          <w:rPr>
            <w:noProof/>
            <w:webHidden/>
          </w:rPr>
          <w:fldChar w:fldCharType="begin"/>
        </w:r>
        <w:r>
          <w:rPr>
            <w:noProof/>
            <w:webHidden/>
          </w:rPr>
          <w:instrText xml:space="preserve"> PAGEREF _Toc226668943 \h </w:instrText>
        </w:r>
        <w:r>
          <w:rPr>
            <w:noProof/>
            <w:webHidden/>
          </w:rPr>
        </w:r>
        <w:r>
          <w:rPr>
            <w:noProof/>
            <w:webHidden/>
          </w:rPr>
          <w:fldChar w:fldCharType="separate"/>
        </w:r>
        <w:r w:rsidR="00831581">
          <w:rPr>
            <w:noProof/>
            <w:webHidden/>
          </w:rPr>
          <w:t>14</w:t>
        </w:r>
        <w:r>
          <w:rPr>
            <w:noProof/>
            <w:webHidden/>
          </w:rPr>
          <w:fldChar w:fldCharType="end"/>
        </w:r>
      </w:hyperlink>
    </w:p>
    <w:p w14:paraId="1F0F943B" w14:textId="5565BBE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4" w:history="1">
        <w:r w:rsidRPr="00022879">
          <w:rPr>
            <w:rStyle w:val="Hyperlink"/>
            <w:noProof/>
          </w:rPr>
          <w:t xml:space="preserve">Table 1.4.3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Major contributions to the level analysis of gross emissions for </w:t>
        </w:r>
        <w:r w:rsidRPr="00022879">
          <w:rPr>
            <w:rStyle w:val="Hyperlink"/>
            <w:bCs/>
            <w:noProof/>
          </w:rPr>
          <w:t>2024</w:t>
        </w:r>
        <w:r>
          <w:rPr>
            <w:noProof/>
            <w:webHidden/>
          </w:rPr>
          <w:tab/>
        </w:r>
        <w:r>
          <w:rPr>
            <w:noProof/>
            <w:webHidden/>
          </w:rPr>
          <w:fldChar w:fldCharType="begin"/>
        </w:r>
        <w:r>
          <w:rPr>
            <w:noProof/>
            <w:webHidden/>
          </w:rPr>
          <w:instrText xml:space="preserve"> PAGEREF _Toc226668944 \h </w:instrText>
        </w:r>
        <w:r>
          <w:rPr>
            <w:noProof/>
            <w:webHidden/>
          </w:rPr>
        </w:r>
        <w:r>
          <w:rPr>
            <w:noProof/>
            <w:webHidden/>
          </w:rPr>
          <w:fldChar w:fldCharType="separate"/>
        </w:r>
        <w:r w:rsidR="00831581">
          <w:rPr>
            <w:noProof/>
            <w:webHidden/>
          </w:rPr>
          <w:t>14</w:t>
        </w:r>
        <w:r>
          <w:rPr>
            <w:noProof/>
            <w:webHidden/>
          </w:rPr>
          <w:fldChar w:fldCharType="end"/>
        </w:r>
      </w:hyperlink>
    </w:p>
    <w:p w14:paraId="33B65940" w14:textId="3D024A6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5" w:history="1">
        <w:r w:rsidRPr="00022879">
          <w:rPr>
            <w:rStyle w:val="Hyperlink"/>
            <w:noProof/>
          </w:rPr>
          <w:t xml:space="preserve">Table 1.4.4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with the largest relative influence on the trend, compared with the average change in gross emissions from </w:t>
        </w:r>
        <w:r w:rsidRPr="00022879">
          <w:rPr>
            <w:rStyle w:val="Hyperlink"/>
            <w:bCs/>
            <w:noProof/>
          </w:rPr>
          <w:t>1990</w:t>
        </w:r>
        <w:r w:rsidRPr="00022879">
          <w:rPr>
            <w:rStyle w:val="Hyperlink"/>
            <w:noProof/>
          </w:rPr>
          <w:t xml:space="preserve"> to </w:t>
        </w:r>
        <w:r w:rsidRPr="00022879">
          <w:rPr>
            <w:rStyle w:val="Hyperlink"/>
            <w:bCs/>
            <w:noProof/>
          </w:rPr>
          <w:t>2024</w:t>
        </w:r>
        <w:r>
          <w:rPr>
            <w:noProof/>
            <w:webHidden/>
          </w:rPr>
          <w:tab/>
        </w:r>
        <w:r>
          <w:rPr>
            <w:noProof/>
            <w:webHidden/>
          </w:rPr>
          <w:fldChar w:fldCharType="begin"/>
        </w:r>
        <w:r>
          <w:rPr>
            <w:noProof/>
            <w:webHidden/>
          </w:rPr>
          <w:instrText xml:space="preserve"> PAGEREF _Toc226668945 \h </w:instrText>
        </w:r>
        <w:r>
          <w:rPr>
            <w:noProof/>
            <w:webHidden/>
          </w:rPr>
        </w:r>
        <w:r>
          <w:rPr>
            <w:noProof/>
            <w:webHidden/>
          </w:rPr>
          <w:fldChar w:fldCharType="separate"/>
        </w:r>
        <w:r w:rsidR="00831581">
          <w:rPr>
            <w:noProof/>
            <w:webHidden/>
          </w:rPr>
          <w:t>15</w:t>
        </w:r>
        <w:r>
          <w:rPr>
            <w:noProof/>
            <w:webHidden/>
          </w:rPr>
          <w:fldChar w:fldCharType="end"/>
        </w:r>
      </w:hyperlink>
    </w:p>
    <w:p w14:paraId="758AC077" w14:textId="1BEE100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6" w:history="1">
        <w:r w:rsidRPr="00022879">
          <w:rPr>
            <w:rStyle w:val="Hyperlink"/>
            <w:noProof/>
          </w:rPr>
          <w:t xml:space="preserve">Table 1.5.1 </w:t>
        </w:r>
        <w:r>
          <w:rPr>
            <w:rFonts w:asciiTheme="minorHAnsi" w:eastAsiaTheme="minorEastAsia" w:hAnsiTheme="minorHAnsi" w:cstheme="minorBidi"/>
            <w:noProof/>
            <w:kern w:val="2"/>
            <w:sz w:val="24"/>
            <w:szCs w:val="24"/>
            <w14:ligatures w14:val="standardContextual"/>
          </w:rPr>
          <w:tab/>
        </w:r>
        <w:r w:rsidRPr="00022879">
          <w:rPr>
            <w:rStyle w:val="Hyperlink"/>
            <w:noProof/>
          </w:rPr>
          <w:t>Dates for sector entry into the New Zealand Emissions Trading Scheme</w:t>
        </w:r>
        <w:r>
          <w:rPr>
            <w:noProof/>
            <w:webHidden/>
          </w:rPr>
          <w:tab/>
        </w:r>
        <w:r>
          <w:rPr>
            <w:noProof/>
            <w:webHidden/>
          </w:rPr>
          <w:fldChar w:fldCharType="begin"/>
        </w:r>
        <w:r>
          <w:rPr>
            <w:noProof/>
            <w:webHidden/>
          </w:rPr>
          <w:instrText xml:space="preserve"> PAGEREF _Toc226668946 \h </w:instrText>
        </w:r>
        <w:r>
          <w:rPr>
            <w:noProof/>
            <w:webHidden/>
          </w:rPr>
        </w:r>
        <w:r>
          <w:rPr>
            <w:noProof/>
            <w:webHidden/>
          </w:rPr>
          <w:fldChar w:fldCharType="separate"/>
        </w:r>
        <w:r w:rsidR="00831581">
          <w:rPr>
            <w:noProof/>
            <w:webHidden/>
          </w:rPr>
          <w:t>19</w:t>
        </w:r>
        <w:r>
          <w:rPr>
            <w:noProof/>
            <w:webHidden/>
          </w:rPr>
          <w:fldChar w:fldCharType="end"/>
        </w:r>
      </w:hyperlink>
    </w:p>
    <w:p w14:paraId="67069BBA" w14:textId="0259299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7" w:history="1">
        <w:r w:rsidRPr="00022879">
          <w:rPr>
            <w:rStyle w:val="Hyperlink"/>
            <w:noProof/>
          </w:rPr>
          <w:t xml:space="preserve">Table 1.7.1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‘NE’ (not estimated) entries in the </w:t>
        </w:r>
        <w:r w:rsidRPr="00022879">
          <w:rPr>
            <w:rStyle w:val="Hyperlink"/>
            <w:bCs/>
            <w:noProof/>
          </w:rPr>
          <w:t>2026</w:t>
        </w:r>
        <w:r w:rsidRPr="00022879">
          <w:rPr>
            <w:rStyle w:val="Hyperlink"/>
            <w:noProof/>
          </w:rPr>
          <w:t xml:space="preserve"> submission</w:t>
        </w:r>
        <w:r>
          <w:rPr>
            <w:noProof/>
            <w:webHidden/>
          </w:rPr>
          <w:tab/>
        </w:r>
        <w:r>
          <w:rPr>
            <w:noProof/>
            <w:webHidden/>
          </w:rPr>
          <w:fldChar w:fldCharType="begin"/>
        </w:r>
        <w:r>
          <w:rPr>
            <w:noProof/>
            <w:webHidden/>
          </w:rPr>
          <w:instrText xml:space="preserve"> PAGEREF _Toc226668947 \h </w:instrText>
        </w:r>
        <w:r>
          <w:rPr>
            <w:noProof/>
            <w:webHidden/>
          </w:rPr>
        </w:r>
        <w:r>
          <w:rPr>
            <w:noProof/>
            <w:webHidden/>
          </w:rPr>
          <w:fldChar w:fldCharType="separate"/>
        </w:r>
        <w:r w:rsidR="00831581">
          <w:rPr>
            <w:noProof/>
            <w:webHidden/>
          </w:rPr>
          <w:t>22</w:t>
        </w:r>
        <w:r>
          <w:rPr>
            <w:noProof/>
            <w:webHidden/>
          </w:rPr>
          <w:fldChar w:fldCharType="end"/>
        </w:r>
      </w:hyperlink>
    </w:p>
    <w:p w14:paraId="03910A36" w14:textId="62A835A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8" w:history="1">
        <w:r w:rsidRPr="00022879">
          <w:rPr>
            <w:rStyle w:val="Hyperlink"/>
            <w:noProof/>
          </w:rPr>
          <w:t xml:space="preserve">Table 1.7.2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Emissions reported using the ‘IE’ (included elsewhere) notation key in the </w:t>
        </w:r>
        <w:r w:rsidRPr="00022879">
          <w:rPr>
            <w:rStyle w:val="Hyperlink"/>
            <w:bCs/>
            <w:noProof/>
          </w:rPr>
          <w:t>2026</w:t>
        </w:r>
        <w:r w:rsidRPr="00022879">
          <w:rPr>
            <w:rStyle w:val="Hyperlink"/>
            <w:noProof/>
          </w:rPr>
          <w:t xml:space="preserve"> submission</w:t>
        </w:r>
        <w:r>
          <w:rPr>
            <w:noProof/>
            <w:webHidden/>
          </w:rPr>
          <w:tab/>
        </w:r>
        <w:r>
          <w:rPr>
            <w:noProof/>
            <w:webHidden/>
          </w:rPr>
          <w:fldChar w:fldCharType="begin"/>
        </w:r>
        <w:r>
          <w:rPr>
            <w:noProof/>
            <w:webHidden/>
          </w:rPr>
          <w:instrText xml:space="preserve"> PAGEREF _Toc226668948 \h </w:instrText>
        </w:r>
        <w:r>
          <w:rPr>
            <w:noProof/>
            <w:webHidden/>
          </w:rPr>
        </w:r>
        <w:r>
          <w:rPr>
            <w:noProof/>
            <w:webHidden/>
          </w:rPr>
          <w:fldChar w:fldCharType="separate"/>
        </w:r>
        <w:r w:rsidR="00831581">
          <w:rPr>
            <w:noProof/>
            <w:webHidden/>
          </w:rPr>
          <w:t>26</w:t>
        </w:r>
        <w:r>
          <w:rPr>
            <w:noProof/>
            <w:webHidden/>
          </w:rPr>
          <w:fldChar w:fldCharType="end"/>
        </w:r>
      </w:hyperlink>
    </w:p>
    <w:p w14:paraId="6E4172B6" w14:textId="4580BEF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49" w:history="1">
        <w:r w:rsidRPr="00022879">
          <w:rPr>
            <w:rStyle w:val="Hyperlink"/>
            <w:noProof/>
          </w:rPr>
          <w:t xml:space="preserve">Table 2.2.1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emissions by sector, comparing 1990, 2005 and 2024</w:t>
        </w:r>
        <w:r>
          <w:rPr>
            <w:noProof/>
            <w:webHidden/>
          </w:rPr>
          <w:tab/>
        </w:r>
        <w:r>
          <w:rPr>
            <w:noProof/>
            <w:webHidden/>
          </w:rPr>
          <w:fldChar w:fldCharType="begin"/>
        </w:r>
        <w:r>
          <w:rPr>
            <w:noProof/>
            <w:webHidden/>
          </w:rPr>
          <w:instrText xml:space="preserve"> PAGEREF _Toc226668949 \h </w:instrText>
        </w:r>
        <w:r>
          <w:rPr>
            <w:noProof/>
            <w:webHidden/>
          </w:rPr>
        </w:r>
        <w:r>
          <w:rPr>
            <w:noProof/>
            <w:webHidden/>
          </w:rPr>
          <w:fldChar w:fldCharType="separate"/>
        </w:r>
        <w:r w:rsidR="00831581">
          <w:rPr>
            <w:noProof/>
            <w:webHidden/>
          </w:rPr>
          <w:t>40</w:t>
        </w:r>
        <w:r>
          <w:rPr>
            <w:noProof/>
            <w:webHidden/>
          </w:rPr>
          <w:fldChar w:fldCharType="end"/>
        </w:r>
      </w:hyperlink>
    </w:p>
    <w:p w14:paraId="5FDA99B1" w14:textId="5785621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0" w:history="1">
        <w:r w:rsidRPr="00022879">
          <w:rPr>
            <w:rStyle w:val="Hyperlink"/>
            <w:noProof/>
          </w:rPr>
          <w:t xml:space="preserve">Table 2.2.2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Emissions from Tokelau, </w:t>
        </w:r>
        <w:r w:rsidRPr="00022879">
          <w:rPr>
            <w:rStyle w:val="Hyperlink"/>
            <w:bCs/>
            <w:noProof/>
          </w:rPr>
          <w:t>1990</w:t>
        </w:r>
        <w:r w:rsidRPr="00022879">
          <w:rPr>
            <w:rStyle w:val="Hyperlink"/>
            <w:noProof/>
          </w:rPr>
          <w:t xml:space="preserve">, </w:t>
        </w:r>
        <w:r w:rsidRPr="00022879">
          <w:rPr>
            <w:rStyle w:val="Hyperlink"/>
            <w:bCs/>
            <w:noProof/>
          </w:rPr>
          <w:t>2005</w:t>
        </w:r>
        <w:r w:rsidRPr="00022879">
          <w:rPr>
            <w:rStyle w:val="Hyperlink"/>
            <w:noProof/>
          </w:rPr>
          <w:t xml:space="preserve"> and </w:t>
        </w:r>
        <w:r w:rsidRPr="00022879">
          <w:rPr>
            <w:rStyle w:val="Hyperlink"/>
            <w:bCs/>
            <w:noProof/>
          </w:rPr>
          <w:t>2024</w:t>
        </w:r>
        <w:r>
          <w:rPr>
            <w:noProof/>
            <w:webHidden/>
          </w:rPr>
          <w:tab/>
        </w:r>
        <w:r>
          <w:rPr>
            <w:noProof/>
            <w:webHidden/>
          </w:rPr>
          <w:fldChar w:fldCharType="begin"/>
        </w:r>
        <w:r>
          <w:rPr>
            <w:noProof/>
            <w:webHidden/>
          </w:rPr>
          <w:instrText xml:space="preserve"> PAGEREF _Toc226668950 \h </w:instrText>
        </w:r>
        <w:r>
          <w:rPr>
            <w:noProof/>
            <w:webHidden/>
          </w:rPr>
        </w:r>
        <w:r>
          <w:rPr>
            <w:noProof/>
            <w:webHidden/>
          </w:rPr>
          <w:fldChar w:fldCharType="separate"/>
        </w:r>
        <w:r w:rsidR="00831581">
          <w:rPr>
            <w:noProof/>
            <w:webHidden/>
          </w:rPr>
          <w:t>54</w:t>
        </w:r>
        <w:r>
          <w:rPr>
            <w:noProof/>
            <w:webHidden/>
          </w:rPr>
          <w:fldChar w:fldCharType="end"/>
        </w:r>
      </w:hyperlink>
    </w:p>
    <w:p w14:paraId="6046F297" w14:textId="280BB87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1" w:history="1">
        <w:r w:rsidRPr="00022879">
          <w:rPr>
            <w:rStyle w:val="Hyperlink"/>
            <w:noProof/>
          </w:rPr>
          <w:t xml:space="preserve">Table 2.2.3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gross emissions by gas in 1990, 2005 and 2024</w:t>
        </w:r>
        <w:r>
          <w:rPr>
            <w:noProof/>
            <w:webHidden/>
          </w:rPr>
          <w:tab/>
        </w:r>
        <w:r>
          <w:rPr>
            <w:noProof/>
            <w:webHidden/>
          </w:rPr>
          <w:fldChar w:fldCharType="begin"/>
        </w:r>
        <w:r>
          <w:rPr>
            <w:noProof/>
            <w:webHidden/>
          </w:rPr>
          <w:instrText xml:space="preserve"> PAGEREF _Toc226668951 \h </w:instrText>
        </w:r>
        <w:r>
          <w:rPr>
            <w:noProof/>
            <w:webHidden/>
          </w:rPr>
        </w:r>
        <w:r>
          <w:rPr>
            <w:noProof/>
            <w:webHidden/>
          </w:rPr>
          <w:fldChar w:fldCharType="separate"/>
        </w:r>
        <w:r w:rsidR="00831581">
          <w:rPr>
            <w:noProof/>
            <w:webHidden/>
          </w:rPr>
          <w:t>56</w:t>
        </w:r>
        <w:r>
          <w:rPr>
            <w:noProof/>
            <w:webHidden/>
          </w:rPr>
          <w:fldChar w:fldCharType="end"/>
        </w:r>
      </w:hyperlink>
    </w:p>
    <w:p w14:paraId="1CD57C26" w14:textId="752640C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2" w:history="1">
        <w:r w:rsidRPr="00022879">
          <w:rPr>
            <w:rStyle w:val="Hyperlink"/>
            <w:noProof/>
          </w:rPr>
          <w:t xml:space="preserve">Table 2.2.4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indirect greenhouse gas emissions (excluding LULUCF) in 1990, 2005 and 2024</w:t>
        </w:r>
        <w:r>
          <w:rPr>
            <w:noProof/>
            <w:webHidden/>
          </w:rPr>
          <w:tab/>
        </w:r>
        <w:r>
          <w:rPr>
            <w:noProof/>
            <w:webHidden/>
          </w:rPr>
          <w:fldChar w:fldCharType="begin"/>
        </w:r>
        <w:r>
          <w:rPr>
            <w:noProof/>
            <w:webHidden/>
          </w:rPr>
          <w:instrText xml:space="preserve"> PAGEREF _Toc226668952 \h </w:instrText>
        </w:r>
        <w:r>
          <w:rPr>
            <w:noProof/>
            <w:webHidden/>
          </w:rPr>
        </w:r>
        <w:r>
          <w:rPr>
            <w:noProof/>
            <w:webHidden/>
          </w:rPr>
          <w:fldChar w:fldCharType="separate"/>
        </w:r>
        <w:r w:rsidR="00831581">
          <w:rPr>
            <w:noProof/>
            <w:webHidden/>
          </w:rPr>
          <w:t>59</w:t>
        </w:r>
        <w:r>
          <w:rPr>
            <w:noProof/>
            <w:webHidden/>
          </w:rPr>
          <w:fldChar w:fldCharType="end"/>
        </w:r>
      </w:hyperlink>
    </w:p>
    <w:p w14:paraId="450889DB" w14:textId="72BFF2A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3" w:history="1">
        <w:r w:rsidRPr="00022879">
          <w:rPr>
            <w:rStyle w:val="Hyperlink"/>
            <w:noProof/>
          </w:rPr>
          <w:t xml:space="preserve">Table 3.1.1 </w:t>
        </w:r>
        <w:r>
          <w:rPr>
            <w:rFonts w:asciiTheme="minorHAnsi" w:eastAsiaTheme="minorEastAsia" w:hAnsiTheme="minorHAnsi" w:cstheme="minorBidi"/>
            <w:noProof/>
            <w:kern w:val="2"/>
            <w:sz w:val="24"/>
            <w:szCs w:val="24"/>
            <w14:ligatures w14:val="standardContextual"/>
          </w:rPr>
          <w:tab/>
        </w:r>
        <w:r w:rsidRPr="00022879">
          <w:rPr>
            <w:rStyle w:val="Hyperlink"/>
            <w:noProof/>
          </w:rPr>
          <w:t>Key categories in the Energy sector</w:t>
        </w:r>
        <w:r>
          <w:rPr>
            <w:noProof/>
            <w:webHidden/>
          </w:rPr>
          <w:tab/>
        </w:r>
        <w:r>
          <w:rPr>
            <w:noProof/>
            <w:webHidden/>
          </w:rPr>
          <w:fldChar w:fldCharType="begin"/>
        </w:r>
        <w:r>
          <w:rPr>
            <w:noProof/>
            <w:webHidden/>
          </w:rPr>
          <w:instrText xml:space="preserve"> PAGEREF _Toc226668953 \h </w:instrText>
        </w:r>
        <w:r>
          <w:rPr>
            <w:noProof/>
            <w:webHidden/>
          </w:rPr>
        </w:r>
        <w:r>
          <w:rPr>
            <w:noProof/>
            <w:webHidden/>
          </w:rPr>
          <w:fldChar w:fldCharType="separate"/>
        </w:r>
        <w:r w:rsidR="00831581">
          <w:rPr>
            <w:noProof/>
            <w:webHidden/>
          </w:rPr>
          <w:t>63</w:t>
        </w:r>
        <w:r>
          <w:rPr>
            <w:noProof/>
            <w:webHidden/>
          </w:rPr>
          <w:fldChar w:fldCharType="end"/>
        </w:r>
      </w:hyperlink>
    </w:p>
    <w:p w14:paraId="739D7E68" w14:textId="6405C13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4" w:history="1">
        <w:r w:rsidRPr="00022879">
          <w:rPr>
            <w:rStyle w:val="Hyperlink"/>
            <w:rFonts w:cs="Calibri"/>
            <w:noProof/>
          </w:rPr>
          <w:t xml:space="preserve">Table 3.1.2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Use of natural gas as a feedstock in New Zealand</w:t>
        </w:r>
        <w:r>
          <w:rPr>
            <w:noProof/>
            <w:webHidden/>
          </w:rPr>
          <w:tab/>
        </w:r>
        <w:r>
          <w:rPr>
            <w:noProof/>
            <w:webHidden/>
          </w:rPr>
          <w:fldChar w:fldCharType="begin"/>
        </w:r>
        <w:r>
          <w:rPr>
            <w:noProof/>
            <w:webHidden/>
          </w:rPr>
          <w:instrText xml:space="preserve"> PAGEREF _Toc226668954 \h </w:instrText>
        </w:r>
        <w:r>
          <w:rPr>
            <w:noProof/>
            <w:webHidden/>
          </w:rPr>
        </w:r>
        <w:r>
          <w:rPr>
            <w:noProof/>
            <w:webHidden/>
          </w:rPr>
          <w:fldChar w:fldCharType="separate"/>
        </w:r>
        <w:r w:rsidR="00831581">
          <w:rPr>
            <w:noProof/>
            <w:webHidden/>
          </w:rPr>
          <w:t>65</w:t>
        </w:r>
        <w:r>
          <w:rPr>
            <w:noProof/>
            <w:webHidden/>
          </w:rPr>
          <w:fldChar w:fldCharType="end"/>
        </w:r>
      </w:hyperlink>
    </w:p>
    <w:p w14:paraId="7C07528A" w14:textId="7D74B88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5" w:history="1">
        <w:r w:rsidRPr="00022879">
          <w:rPr>
            <w:rStyle w:val="Hyperlink"/>
            <w:noProof/>
          </w:rPr>
          <w:t>Table 3.2.1</w:t>
        </w:r>
        <w:r>
          <w:rPr>
            <w:rFonts w:asciiTheme="minorHAnsi" w:eastAsiaTheme="minorEastAsia" w:hAnsiTheme="minorHAnsi" w:cstheme="minorBidi"/>
            <w:noProof/>
            <w:kern w:val="2"/>
            <w:sz w:val="24"/>
            <w:szCs w:val="24"/>
            <w14:ligatures w14:val="standardContextual"/>
          </w:rPr>
          <w:tab/>
        </w:r>
        <w:r w:rsidRPr="00022879">
          <w:rPr>
            <w:rStyle w:val="Hyperlink"/>
            <w:noProof/>
          </w:rPr>
          <w:t>Emission factors for gas biomass</w:t>
        </w:r>
        <w:r>
          <w:rPr>
            <w:noProof/>
            <w:webHidden/>
          </w:rPr>
          <w:tab/>
        </w:r>
        <w:r>
          <w:rPr>
            <w:noProof/>
            <w:webHidden/>
          </w:rPr>
          <w:fldChar w:fldCharType="begin"/>
        </w:r>
        <w:r>
          <w:rPr>
            <w:noProof/>
            <w:webHidden/>
          </w:rPr>
          <w:instrText xml:space="preserve"> PAGEREF _Toc226668955 \h </w:instrText>
        </w:r>
        <w:r>
          <w:rPr>
            <w:noProof/>
            <w:webHidden/>
          </w:rPr>
        </w:r>
        <w:r>
          <w:rPr>
            <w:noProof/>
            <w:webHidden/>
          </w:rPr>
          <w:fldChar w:fldCharType="separate"/>
        </w:r>
        <w:r w:rsidR="00831581">
          <w:rPr>
            <w:noProof/>
            <w:webHidden/>
          </w:rPr>
          <w:t>70</w:t>
        </w:r>
        <w:r>
          <w:rPr>
            <w:noProof/>
            <w:webHidden/>
          </w:rPr>
          <w:fldChar w:fldCharType="end"/>
        </w:r>
      </w:hyperlink>
    </w:p>
    <w:p w14:paraId="3FF67497" w14:textId="4F2C7F6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6" w:history="1">
        <w:r w:rsidRPr="00022879">
          <w:rPr>
            <w:rStyle w:val="Hyperlink"/>
            <w:noProof/>
          </w:rPr>
          <w:t>Table 3.2.2</w:t>
        </w:r>
        <w:r>
          <w:rPr>
            <w:rFonts w:asciiTheme="minorHAnsi" w:eastAsiaTheme="minorEastAsia" w:hAnsiTheme="minorHAnsi" w:cstheme="minorBidi"/>
            <w:noProof/>
            <w:kern w:val="2"/>
            <w:sz w:val="24"/>
            <w:szCs w:val="24"/>
            <w14:ligatures w14:val="standardContextual"/>
          </w:rPr>
          <w:tab/>
        </w:r>
        <w:r w:rsidRPr="00022879">
          <w:rPr>
            <w:rStyle w:val="Hyperlink"/>
            <w:noProof/>
          </w:rPr>
          <w:t>Net-to-gross calorific value conversion factors</w:t>
        </w:r>
        <w:r>
          <w:rPr>
            <w:noProof/>
            <w:webHidden/>
          </w:rPr>
          <w:tab/>
        </w:r>
        <w:r>
          <w:rPr>
            <w:noProof/>
            <w:webHidden/>
          </w:rPr>
          <w:fldChar w:fldCharType="begin"/>
        </w:r>
        <w:r>
          <w:rPr>
            <w:noProof/>
            <w:webHidden/>
          </w:rPr>
          <w:instrText xml:space="preserve"> PAGEREF _Toc226668956 \h </w:instrText>
        </w:r>
        <w:r>
          <w:rPr>
            <w:noProof/>
            <w:webHidden/>
          </w:rPr>
        </w:r>
        <w:r>
          <w:rPr>
            <w:noProof/>
            <w:webHidden/>
          </w:rPr>
          <w:fldChar w:fldCharType="separate"/>
        </w:r>
        <w:r w:rsidR="00831581">
          <w:rPr>
            <w:noProof/>
            <w:webHidden/>
          </w:rPr>
          <w:t>71</w:t>
        </w:r>
        <w:r>
          <w:rPr>
            <w:noProof/>
            <w:webHidden/>
          </w:rPr>
          <w:fldChar w:fldCharType="end"/>
        </w:r>
      </w:hyperlink>
    </w:p>
    <w:p w14:paraId="6CE39374" w14:textId="42CA821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7" w:history="1">
        <w:r w:rsidRPr="00022879">
          <w:rPr>
            <w:rStyle w:val="Hyperlink"/>
            <w:noProof/>
          </w:rPr>
          <w:t>Table 3.2.3</w:t>
        </w:r>
        <w:r>
          <w:rPr>
            <w:rFonts w:asciiTheme="minorHAnsi" w:eastAsiaTheme="minorEastAsia" w:hAnsiTheme="minorHAnsi" w:cstheme="minorBidi"/>
            <w:noProof/>
            <w:kern w:val="2"/>
            <w:sz w:val="24"/>
            <w:szCs w:val="24"/>
            <w14:ligatures w14:val="standardContextual"/>
          </w:rPr>
          <w:tab/>
        </w:r>
        <w:r w:rsidRPr="00022879">
          <w:rPr>
            <w:rStyle w:val="Hyperlink"/>
            <w:noProof/>
          </w:rPr>
          <w:t>Uncertainty for New Zealand’s Energy sector emission estimates for 2024</w:t>
        </w:r>
        <w:r>
          <w:rPr>
            <w:noProof/>
            <w:webHidden/>
          </w:rPr>
          <w:tab/>
        </w:r>
        <w:r>
          <w:rPr>
            <w:noProof/>
            <w:webHidden/>
          </w:rPr>
          <w:fldChar w:fldCharType="begin"/>
        </w:r>
        <w:r>
          <w:rPr>
            <w:noProof/>
            <w:webHidden/>
          </w:rPr>
          <w:instrText xml:space="preserve"> PAGEREF _Toc226668957 \h </w:instrText>
        </w:r>
        <w:r>
          <w:rPr>
            <w:noProof/>
            <w:webHidden/>
          </w:rPr>
        </w:r>
        <w:r>
          <w:rPr>
            <w:noProof/>
            <w:webHidden/>
          </w:rPr>
          <w:fldChar w:fldCharType="separate"/>
        </w:r>
        <w:r w:rsidR="00831581">
          <w:rPr>
            <w:noProof/>
            <w:webHidden/>
          </w:rPr>
          <w:t>72</w:t>
        </w:r>
        <w:r>
          <w:rPr>
            <w:noProof/>
            <w:webHidden/>
          </w:rPr>
          <w:fldChar w:fldCharType="end"/>
        </w:r>
      </w:hyperlink>
    </w:p>
    <w:p w14:paraId="719CB7BB" w14:textId="6EE2EEF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8" w:history="1">
        <w:r w:rsidRPr="00022879">
          <w:rPr>
            <w:rStyle w:val="Hyperlink"/>
            <w:noProof/>
          </w:rPr>
          <w:t>Table 3.2.4</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for 1.A.1 </w:t>
        </w:r>
        <w:r w:rsidRPr="00022879">
          <w:rPr>
            <w:rStyle w:val="Hyperlink"/>
            <w:i/>
            <w:iCs/>
            <w:noProof/>
          </w:rPr>
          <w:t>Energy industries</w:t>
        </w:r>
        <w:r>
          <w:rPr>
            <w:noProof/>
            <w:webHidden/>
          </w:rPr>
          <w:tab/>
        </w:r>
        <w:r>
          <w:rPr>
            <w:noProof/>
            <w:webHidden/>
          </w:rPr>
          <w:fldChar w:fldCharType="begin"/>
        </w:r>
        <w:r>
          <w:rPr>
            <w:noProof/>
            <w:webHidden/>
          </w:rPr>
          <w:instrText xml:space="preserve"> PAGEREF _Toc226668958 \h </w:instrText>
        </w:r>
        <w:r>
          <w:rPr>
            <w:noProof/>
            <w:webHidden/>
          </w:rPr>
        </w:r>
        <w:r>
          <w:rPr>
            <w:noProof/>
            <w:webHidden/>
          </w:rPr>
          <w:fldChar w:fldCharType="separate"/>
        </w:r>
        <w:r w:rsidR="00831581">
          <w:rPr>
            <w:noProof/>
            <w:webHidden/>
          </w:rPr>
          <w:t>77</w:t>
        </w:r>
        <w:r>
          <w:rPr>
            <w:noProof/>
            <w:webHidden/>
          </w:rPr>
          <w:fldChar w:fldCharType="end"/>
        </w:r>
      </w:hyperlink>
    </w:p>
    <w:p w14:paraId="24418509" w14:textId="3B39DBB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59" w:history="1">
        <w:r w:rsidRPr="00022879">
          <w:rPr>
            <w:rStyle w:val="Hyperlink"/>
            <w:rFonts w:cs="Calibri"/>
            <w:noProof/>
          </w:rPr>
          <w:t>Table 3.2.5</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Key categories for 1.A.2 </w:t>
        </w:r>
        <w:r w:rsidRPr="00022879">
          <w:rPr>
            <w:rStyle w:val="Hyperlink"/>
            <w:i/>
            <w:iCs/>
            <w:noProof/>
          </w:rPr>
          <w:t>Manufacturing industries and construction</w:t>
        </w:r>
        <w:r>
          <w:rPr>
            <w:noProof/>
            <w:webHidden/>
          </w:rPr>
          <w:tab/>
        </w:r>
        <w:r>
          <w:rPr>
            <w:noProof/>
            <w:webHidden/>
          </w:rPr>
          <w:fldChar w:fldCharType="begin"/>
        </w:r>
        <w:r>
          <w:rPr>
            <w:noProof/>
            <w:webHidden/>
          </w:rPr>
          <w:instrText xml:space="preserve"> PAGEREF _Toc226668959 \h </w:instrText>
        </w:r>
        <w:r>
          <w:rPr>
            <w:noProof/>
            <w:webHidden/>
          </w:rPr>
        </w:r>
        <w:r>
          <w:rPr>
            <w:noProof/>
            <w:webHidden/>
          </w:rPr>
          <w:fldChar w:fldCharType="separate"/>
        </w:r>
        <w:r w:rsidR="00831581">
          <w:rPr>
            <w:noProof/>
            <w:webHidden/>
          </w:rPr>
          <w:t>81</w:t>
        </w:r>
        <w:r>
          <w:rPr>
            <w:noProof/>
            <w:webHidden/>
          </w:rPr>
          <w:fldChar w:fldCharType="end"/>
        </w:r>
      </w:hyperlink>
    </w:p>
    <w:p w14:paraId="009966BE" w14:textId="1D96F70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0" w:history="1">
        <w:r w:rsidRPr="00022879">
          <w:rPr>
            <w:rStyle w:val="Hyperlink"/>
            <w:rFonts w:cs="Calibri"/>
            <w:noProof/>
          </w:rPr>
          <w:t xml:space="preserve">Table 3.2.6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Solid biomass splits for 2006 that were used to disaggregate the </w:t>
        </w:r>
        <w:r w:rsidRPr="00022879">
          <w:rPr>
            <w:rStyle w:val="Hyperlink"/>
            <w:rFonts w:cs="Calibri"/>
            <w:i/>
            <w:iCs/>
            <w:noProof/>
          </w:rPr>
          <w:t>Manufacturing industries and construction</w:t>
        </w:r>
        <w:r w:rsidRPr="00022879">
          <w:rPr>
            <w:rStyle w:val="Hyperlink"/>
            <w:rFonts w:cs="Calibri"/>
            <w:noProof/>
          </w:rPr>
          <w:t xml:space="preserve"> category between 1990 and 2024</w:t>
        </w:r>
        <w:r>
          <w:rPr>
            <w:noProof/>
            <w:webHidden/>
          </w:rPr>
          <w:tab/>
        </w:r>
        <w:r>
          <w:rPr>
            <w:noProof/>
            <w:webHidden/>
          </w:rPr>
          <w:fldChar w:fldCharType="begin"/>
        </w:r>
        <w:r>
          <w:rPr>
            <w:noProof/>
            <w:webHidden/>
          </w:rPr>
          <w:instrText xml:space="preserve"> PAGEREF _Toc226668960 \h </w:instrText>
        </w:r>
        <w:r>
          <w:rPr>
            <w:noProof/>
            <w:webHidden/>
          </w:rPr>
        </w:r>
        <w:r>
          <w:rPr>
            <w:noProof/>
            <w:webHidden/>
          </w:rPr>
          <w:fldChar w:fldCharType="separate"/>
        </w:r>
        <w:r w:rsidR="00831581">
          <w:rPr>
            <w:noProof/>
            <w:webHidden/>
          </w:rPr>
          <w:t>83</w:t>
        </w:r>
        <w:r>
          <w:rPr>
            <w:noProof/>
            <w:webHidden/>
          </w:rPr>
          <w:fldChar w:fldCharType="end"/>
        </w:r>
      </w:hyperlink>
    </w:p>
    <w:p w14:paraId="18072A8B" w14:textId="1E1A298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1" w:history="1">
        <w:r w:rsidRPr="00022879">
          <w:rPr>
            <w:rStyle w:val="Hyperlink"/>
            <w:rFonts w:cs="Calibri"/>
            <w:noProof/>
          </w:rPr>
          <w:t xml:space="preserve">Table 3.2.7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Energy intensity values used to disaggregate liquid fuel use for manufacturing</w:t>
        </w:r>
        <w:r>
          <w:rPr>
            <w:noProof/>
            <w:webHidden/>
          </w:rPr>
          <w:tab/>
        </w:r>
        <w:r>
          <w:rPr>
            <w:noProof/>
            <w:webHidden/>
          </w:rPr>
          <w:fldChar w:fldCharType="begin"/>
        </w:r>
        <w:r>
          <w:rPr>
            <w:noProof/>
            <w:webHidden/>
          </w:rPr>
          <w:instrText xml:space="preserve"> PAGEREF _Toc226668961 \h </w:instrText>
        </w:r>
        <w:r>
          <w:rPr>
            <w:noProof/>
            <w:webHidden/>
          </w:rPr>
        </w:r>
        <w:r>
          <w:rPr>
            <w:noProof/>
            <w:webHidden/>
          </w:rPr>
          <w:fldChar w:fldCharType="separate"/>
        </w:r>
        <w:r w:rsidR="00831581">
          <w:rPr>
            <w:noProof/>
            <w:webHidden/>
          </w:rPr>
          <w:t>84</w:t>
        </w:r>
        <w:r>
          <w:rPr>
            <w:noProof/>
            <w:webHidden/>
          </w:rPr>
          <w:fldChar w:fldCharType="end"/>
        </w:r>
      </w:hyperlink>
    </w:p>
    <w:p w14:paraId="65F7CDB8" w14:textId="7B83EF4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2" w:history="1">
        <w:r w:rsidRPr="00022879">
          <w:rPr>
            <w:rStyle w:val="Hyperlink"/>
            <w:noProof/>
          </w:rPr>
          <w:t>Table 3.2.8</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for 1.A.3 </w:t>
        </w:r>
        <w:r w:rsidRPr="00022879">
          <w:rPr>
            <w:rStyle w:val="Hyperlink"/>
            <w:i/>
            <w:iCs/>
            <w:noProof/>
          </w:rPr>
          <w:t>Transport</w:t>
        </w:r>
        <w:r>
          <w:rPr>
            <w:noProof/>
            <w:webHidden/>
          </w:rPr>
          <w:tab/>
        </w:r>
        <w:r>
          <w:rPr>
            <w:noProof/>
            <w:webHidden/>
          </w:rPr>
          <w:fldChar w:fldCharType="begin"/>
        </w:r>
        <w:r>
          <w:rPr>
            <w:noProof/>
            <w:webHidden/>
          </w:rPr>
          <w:instrText xml:space="preserve"> PAGEREF _Toc226668962 \h </w:instrText>
        </w:r>
        <w:r>
          <w:rPr>
            <w:noProof/>
            <w:webHidden/>
          </w:rPr>
        </w:r>
        <w:r>
          <w:rPr>
            <w:noProof/>
            <w:webHidden/>
          </w:rPr>
          <w:fldChar w:fldCharType="separate"/>
        </w:r>
        <w:r w:rsidR="00831581">
          <w:rPr>
            <w:noProof/>
            <w:webHidden/>
          </w:rPr>
          <w:t>88</w:t>
        </w:r>
        <w:r>
          <w:rPr>
            <w:noProof/>
            <w:webHidden/>
          </w:rPr>
          <w:fldChar w:fldCharType="end"/>
        </w:r>
      </w:hyperlink>
    </w:p>
    <w:p w14:paraId="6E9BEC29" w14:textId="036FCBB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3" w:history="1">
        <w:r w:rsidRPr="00022879">
          <w:rPr>
            <w:rStyle w:val="Hyperlink"/>
            <w:noProof/>
          </w:rPr>
          <w:t>Table 3.2.9</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for 1.A.4 </w:t>
        </w:r>
        <w:r w:rsidRPr="00022879">
          <w:rPr>
            <w:rStyle w:val="Hyperlink"/>
            <w:i/>
            <w:iCs/>
            <w:noProof/>
            <w:lang w:eastAsia="en-GB"/>
          </w:rPr>
          <w:t>Other sectors</w:t>
        </w:r>
        <w:r>
          <w:rPr>
            <w:noProof/>
            <w:webHidden/>
          </w:rPr>
          <w:tab/>
        </w:r>
        <w:r>
          <w:rPr>
            <w:noProof/>
            <w:webHidden/>
          </w:rPr>
          <w:fldChar w:fldCharType="begin"/>
        </w:r>
        <w:r>
          <w:rPr>
            <w:noProof/>
            <w:webHidden/>
          </w:rPr>
          <w:instrText xml:space="preserve"> PAGEREF _Toc226668963 \h </w:instrText>
        </w:r>
        <w:r>
          <w:rPr>
            <w:noProof/>
            <w:webHidden/>
          </w:rPr>
        </w:r>
        <w:r>
          <w:rPr>
            <w:noProof/>
            <w:webHidden/>
          </w:rPr>
          <w:fldChar w:fldCharType="separate"/>
        </w:r>
        <w:r w:rsidR="00831581">
          <w:rPr>
            <w:noProof/>
            <w:webHidden/>
          </w:rPr>
          <w:t>95</w:t>
        </w:r>
        <w:r>
          <w:rPr>
            <w:noProof/>
            <w:webHidden/>
          </w:rPr>
          <w:fldChar w:fldCharType="end"/>
        </w:r>
      </w:hyperlink>
    </w:p>
    <w:p w14:paraId="6EBFE105" w14:textId="35E07BDC"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4" w:history="1">
        <w:r w:rsidRPr="00022879">
          <w:rPr>
            <w:rStyle w:val="Hyperlink"/>
            <w:noProof/>
          </w:rPr>
          <w:t xml:space="preserve">Table 3.2.10 </w:t>
        </w:r>
        <w:r>
          <w:rPr>
            <w:rFonts w:asciiTheme="minorHAnsi" w:eastAsiaTheme="minorEastAsia" w:hAnsiTheme="minorHAnsi" w:cstheme="minorBidi"/>
            <w:noProof/>
            <w:kern w:val="2"/>
            <w:sz w:val="24"/>
            <w:szCs w:val="24"/>
            <w14:ligatures w14:val="standardContextual"/>
          </w:rPr>
          <w:tab/>
        </w:r>
        <w:r w:rsidRPr="00022879">
          <w:rPr>
            <w:rStyle w:val="Hyperlink"/>
            <w:noProof/>
          </w:rPr>
          <w:t>Split of fuel oil activity for ‘other primary industry’</w:t>
        </w:r>
        <w:r>
          <w:rPr>
            <w:noProof/>
            <w:webHidden/>
          </w:rPr>
          <w:tab/>
        </w:r>
        <w:r>
          <w:rPr>
            <w:noProof/>
            <w:webHidden/>
          </w:rPr>
          <w:fldChar w:fldCharType="begin"/>
        </w:r>
        <w:r>
          <w:rPr>
            <w:noProof/>
            <w:webHidden/>
          </w:rPr>
          <w:instrText xml:space="preserve"> PAGEREF _Toc226668964 \h </w:instrText>
        </w:r>
        <w:r>
          <w:rPr>
            <w:noProof/>
            <w:webHidden/>
          </w:rPr>
        </w:r>
        <w:r>
          <w:rPr>
            <w:noProof/>
            <w:webHidden/>
          </w:rPr>
          <w:fldChar w:fldCharType="separate"/>
        </w:r>
        <w:r w:rsidR="00831581">
          <w:rPr>
            <w:noProof/>
            <w:webHidden/>
          </w:rPr>
          <w:t>96</w:t>
        </w:r>
        <w:r>
          <w:rPr>
            <w:noProof/>
            <w:webHidden/>
          </w:rPr>
          <w:fldChar w:fldCharType="end"/>
        </w:r>
      </w:hyperlink>
    </w:p>
    <w:p w14:paraId="52286E08" w14:textId="13469D2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5" w:history="1">
        <w:r w:rsidRPr="00022879">
          <w:rPr>
            <w:rStyle w:val="Hyperlink"/>
            <w:noProof/>
          </w:rPr>
          <w:t>Table 3.3.1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Key categories for 1.B </w:t>
        </w:r>
        <w:r w:rsidRPr="00022879">
          <w:rPr>
            <w:rStyle w:val="Hyperlink"/>
            <w:i/>
            <w:iCs/>
            <w:noProof/>
          </w:rPr>
          <w:t>Fugitive emissions</w:t>
        </w:r>
        <w:r>
          <w:rPr>
            <w:noProof/>
            <w:webHidden/>
          </w:rPr>
          <w:tab/>
        </w:r>
        <w:r>
          <w:rPr>
            <w:noProof/>
            <w:webHidden/>
          </w:rPr>
          <w:fldChar w:fldCharType="begin"/>
        </w:r>
        <w:r>
          <w:rPr>
            <w:noProof/>
            <w:webHidden/>
          </w:rPr>
          <w:instrText xml:space="preserve"> PAGEREF _Toc226668965 \h </w:instrText>
        </w:r>
        <w:r>
          <w:rPr>
            <w:noProof/>
            <w:webHidden/>
          </w:rPr>
        </w:r>
        <w:r>
          <w:rPr>
            <w:noProof/>
            <w:webHidden/>
          </w:rPr>
          <w:fldChar w:fldCharType="separate"/>
        </w:r>
        <w:r w:rsidR="00831581">
          <w:rPr>
            <w:noProof/>
            <w:webHidden/>
          </w:rPr>
          <w:t>98</w:t>
        </w:r>
        <w:r>
          <w:rPr>
            <w:noProof/>
            <w:webHidden/>
          </w:rPr>
          <w:fldChar w:fldCharType="end"/>
        </w:r>
      </w:hyperlink>
    </w:p>
    <w:p w14:paraId="7412146D" w14:textId="0485B9F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6" w:history="1">
        <w:r w:rsidRPr="00022879">
          <w:rPr>
            <w:rStyle w:val="Hyperlink"/>
            <w:rFonts w:cs="Calibri"/>
            <w:noProof/>
          </w:rPr>
          <w:t xml:space="preserve">Table 3.3.2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Details of abandoned underground mines in the North Island</w:t>
        </w:r>
        <w:r>
          <w:rPr>
            <w:noProof/>
            <w:webHidden/>
          </w:rPr>
          <w:tab/>
        </w:r>
        <w:r>
          <w:rPr>
            <w:noProof/>
            <w:webHidden/>
          </w:rPr>
          <w:fldChar w:fldCharType="begin"/>
        </w:r>
        <w:r>
          <w:rPr>
            <w:noProof/>
            <w:webHidden/>
          </w:rPr>
          <w:instrText xml:space="preserve"> PAGEREF _Toc226668966 \h </w:instrText>
        </w:r>
        <w:r>
          <w:rPr>
            <w:noProof/>
            <w:webHidden/>
          </w:rPr>
        </w:r>
        <w:r>
          <w:rPr>
            <w:noProof/>
            <w:webHidden/>
          </w:rPr>
          <w:fldChar w:fldCharType="separate"/>
        </w:r>
        <w:r w:rsidR="00831581">
          <w:rPr>
            <w:noProof/>
            <w:webHidden/>
          </w:rPr>
          <w:t>100</w:t>
        </w:r>
        <w:r>
          <w:rPr>
            <w:noProof/>
            <w:webHidden/>
          </w:rPr>
          <w:fldChar w:fldCharType="end"/>
        </w:r>
      </w:hyperlink>
    </w:p>
    <w:p w14:paraId="74A68C89" w14:textId="1D4B5B6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7" w:history="1">
        <w:r w:rsidRPr="00022879">
          <w:rPr>
            <w:rStyle w:val="Hyperlink"/>
            <w:noProof/>
          </w:rPr>
          <w:t xml:space="preserve">Table 4.1.1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greenhouse gas emissions for the IPPU sector by category in 1990, 2005 and 2024</w:t>
        </w:r>
        <w:r>
          <w:rPr>
            <w:noProof/>
            <w:webHidden/>
          </w:rPr>
          <w:tab/>
        </w:r>
        <w:r>
          <w:rPr>
            <w:noProof/>
            <w:webHidden/>
          </w:rPr>
          <w:fldChar w:fldCharType="begin"/>
        </w:r>
        <w:r>
          <w:rPr>
            <w:noProof/>
            <w:webHidden/>
          </w:rPr>
          <w:instrText xml:space="preserve"> PAGEREF _Toc226668967 \h </w:instrText>
        </w:r>
        <w:r>
          <w:rPr>
            <w:noProof/>
            <w:webHidden/>
          </w:rPr>
        </w:r>
        <w:r>
          <w:rPr>
            <w:noProof/>
            <w:webHidden/>
          </w:rPr>
          <w:fldChar w:fldCharType="separate"/>
        </w:r>
        <w:r w:rsidR="00831581">
          <w:rPr>
            <w:noProof/>
            <w:webHidden/>
          </w:rPr>
          <w:t>112</w:t>
        </w:r>
        <w:r>
          <w:rPr>
            <w:noProof/>
            <w:webHidden/>
          </w:rPr>
          <w:fldChar w:fldCharType="end"/>
        </w:r>
      </w:hyperlink>
    </w:p>
    <w:p w14:paraId="346A5630" w14:textId="39DE2B4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8" w:history="1">
        <w:r w:rsidRPr="00022879">
          <w:rPr>
            <w:rStyle w:val="Hyperlink"/>
            <w:noProof/>
          </w:rPr>
          <w:t>Table 4.1.2</w:t>
        </w:r>
        <w:r>
          <w:rPr>
            <w:rFonts w:asciiTheme="minorHAnsi" w:eastAsiaTheme="minorEastAsia" w:hAnsiTheme="minorHAnsi" w:cstheme="minorBidi"/>
            <w:noProof/>
            <w:kern w:val="2"/>
            <w:sz w:val="24"/>
            <w:szCs w:val="24"/>
            <w14:ligatures w14:val="standardContextual"/>
          </w:rPr>
          <w:tab/>
        </w:r>
        <w:r w:rsidRPr="00022879">
          <w:rPr>
            <w:rStyle w:val="Hyperlink"/>
            <w:noProof/>
          </w:rPr>
          <w:t>Key categories in the IPPU sector</w:t>
        </w:r>
        <w:r>
          <w:rPr>
            <w:noProof/>
            <w:webHidden/>
          </w:rPr>
          <w:tab/>
        </w:r>
        <w:r>
          <w:rPr>
            <w:noProof/>
            <w:webHidden/>
          </w:rPr>
          <w:fldChar w:fldCharType="begin"/>
        </w:r>
        <w:r>
          <w:rPr>
            <w:noProof/>
            <w:webHidden/>
          </w:rPr>
          <w:instrText xml:space="preserve"> PAGEREF _Toc226668968 \h </w:instrText>
        </w:r>
        <w:r>
          <w:rPr>
            <w:noProof/>
            <w:webHidden/>
          </w:rPr>
        </w:r>
        <w:r>
          <w:rPr>
            <w:noProof/>
            <w:webHidden/>
          </w:rPr>
          <w:fldChar w:fldCharType="separate"/>
        </w:r>
        <w:r w:rsidR="00831581">
          <w:rPr>
            <w:noProof/>
            <w:webHidden/>
          </w:rPr>
          <w:t>114</w:t>
        </w:r>
        <w:r>
          <w:rPr>
            <w:noProof/>
            <w:webHidden/>
          </w:rPr>
          <w:fldChar w:fldCharType="end"/>
        </w:r>
      </w:hyperlink>
    </w:p>
    <w:p w14:paraId="6E7930FF" w14:textId="0900110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69" w:history="1">
        <w:r w:rsidRPr="00022879">
          <w:rPr>
            <w:rStyle w:val="Hyperlink"/>
            <w:noProof/>
          </w:rPr>
          <w:t xml:space="preserve">Table 4.1.3 </w:t>
        </w:r>
        <w:r>
          <w:rPr>
            <w:rFonts w:asciiTheme="minorHAnsi" w:eastAsiaTheme="minorEastAsia" w:hAnsiTheme="minorHAnsi" w:cstheme="minorBidi"/>
            <w:noProof/>
            <w:kern w:val="2"/>
            <w:sz w:val="24"/>
            <w:szCs w:val="24"/>
            <w14:ligatures w14:val="standardContextual"/>
          </w:rPr>
          <w:tab/>
        </w:r>
        <w:r w:rsidRPr="00022879">
          <w:rPr>
            <w:rStyle w:val="Hyperlink"/>
            <w:noProof/>
          </w:rPr>
          <w:t>Explanations and justifications for recalculations</w:t>
        </w:r>
        <w:r>
          <w:rPr>
            <w:noProof/>
            <w:webHidden/>
          </w:rPr>
          <w:tab/>
        </w:r>
        <w:r>
          <w:rPr>
            <w:noProof/>
            <w:webHidden/>
          </w:rPr>
          <w:fldChar w:fldCharType="begin"/>
        </w:r>
        <w:r>
          <w:rPr>
            <w:noProof/>
            <w:webHidden/>
          </w:rPr>
          <w:instrText xml:space="preserve"> PAGEREF _Toc226668969 \h </w:instrText>
        </w:r>
        <w:r>
          <w:rPr>
            <w:noProof/>
            <w:webHidden/>
          </w:rPr>
        </w:r>
        <w:r>
          <w:rPr>
            <w:noProof/>
            <w:webHidden/>
          </w:rPr>
          <w:fldChar w:fldCharType="separate"/>
        </w:r>
        <w:r w:rsidR="00831581">
          <w:rPr>
            <w:noProof/>
            <w:webHidden/>
          </w:rPr>
          <w:t>116</w:t>
        </w:r>
        <w:r>
          <w:rPr>
            <w:noProof/>
            <w:webHidden/>
          </w:rPr>
          <w:fldChar w:fldCharType="end"/>
        </w:r>
      </w:hyperlink>
    </w:p>
    <w:p w14:paraId="3A59A45E" w14:textId="3FC0343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0" w:history="1">
        <w:r w:rsidRPr="00022879">
          <w:rPr>
            <w:rStyle w:val="Hyperlink"/>
            <w:noProof/>
          </w:rPr>
          <w:t xml:space="preserve">Table 4.1.4 </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‘NE’ or ‘not estimated’ entries for the IPPU sector in the 2026 submission</w:t>
        </w:r>
        <w:r>
          <w:rPr>
            <w:noProof/>
            <w:webHidden/>
          </w:rPr>
          <w:tab/>
        </w:r>
        <w:r>
          <w:rPr>
            <w:noProof/>
            <w:webHidden/>
          </w:rPr>
          <w:fldChar w:fldCharType="begin"/>
        </w:r>
        <w:r>
          <w:rPr>
            <w:noProof/>
            <w:webHidden/>
          </w:rPr>
          <w:instrText xml:space="preserve"> PAGEREF _Toc226668970 \h </w:instrText>
        </w:r>
        <w:r>
          <w:rPr>
            <w:noProof/>
            <w:webHidden/>
          </w:rPr>
        </w:r>
        <w:r>
          <w:rPr>
            <w:noProof/>
            <w:webHidden/>
          </w:rPr>
          <w:fldChar w:fldCharType="separate"/>
        </w:r>
        <w:r w:rsidR="00831581">
          <w:rPr>
            <w:noProof/>
            <w:webHidden/>
          </w:rPr>
          <w:t>118</w:t>
        </w:r>
        <w:r>
          <w:rPr>
            <w:noProof/>
            <w:webHidden/>
          </w:rPr>
          <w:fldChar w:fldCharType="end"/>
        </w:r>
      </w:hyperlink>
    </w:p>
    <w:p w14:paraId="1C037C33" w14:textId="438F311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1" w:history="1">
        <w:r w:rsidRPr="00022879">
          <w:rPr>
            <w:rStyle w:val="Hyperlink"/>
            <w:noProof/>
          </w:rPr>
          <w:t xml:space="preserve">Table 4.1.5 </w:t>
        </w:r>
        <w:r>
          <w:rPr>
            <w:rFonts w:asciiTheme="minorHAnsi" w:eastAsiaTheme="minorEastAsia" w:hAnsiTheme="minorHAnsi" w:cstheme="minorBidi"/>
            <w:noProof/>
            <w:kern w:val="2"/>
            <w:sz w:val="24"/>
            <w:szCs w:val="24"/>
            <w14:ligatures w14:val="standardContextual"/>
          </w:rPr>
          <w:tab/>
        </w:r>
        <w:r w:rsidRPr="00022879">
          <w:rPr>
            <w:rStyle w:val="Hyperlink"/>
            <w:noProof/>
          </w:rPr>
          <w:t>Emissions reported using the ‘IE’ or included elsewhere notation key in the 2026 submission for the IPPU sector</w:t>
        </w:r>
        <w:r>
          <w:rPr>
            <w:noProof/>
            <w:webHidden/>
          </w:rPr>
          <w:tab/>
        </w:r>
        <w:r>
          <w:rPr>
            <w:noProof/>
            <w:webHidden/>
          </w:rPr>
          <w:fldChar w:fldCharType="begin"/>
        </w:r>
        <w:r>
          <w:rPr>
            <w:noProof/>
            <w:webHidden/>
          </w:rPr>
          <w:instrText xml:space="preserve"> PAGEREF _Toc226668971 \h </w:instrText>
        </w:r>
        <w:r>
          <w:rPr>
            <w:noProof/>
            <w:webHidden/>
          </w:rPr>
        </w:r>
        <w:r>
          <w:rPr>
            <w:noProof/>
            <w:webHidden/>
          </w:rPr>
          <w:fldChar w:fldCharType="separate"/>
        </w:r>
        <w:r w:rsidR="00831581">
          <w:rPr>
            <w:noProof/>
            <w:webHidden/>
          </w:rPr>
          <w:t>118</w:t>
        </w:r>
        <w:r>
          <w:rPr>
            <w:noProof/>
            <w:webHidden/>
          </w:rPr>
          <w:fldChar w:fldCharType="end"/>
        </w:r>
      </w:hyperlink>
    </w:p>
    <w:p w14:paraId="4CC06008" w14:textId="5AA115F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2" w:history="1">
        <w:r w:rsidRPr="00022879">
          <w:rPr>
            <w:rStyle w:val="Hyperlink"/>
            <w:noProof/>
          </w:rPr>
          <w:t xml:space="preserve">Table 4.2.1 </w:t>
        </w:r>
        <w:r>
          <w:rPr>
            <w:rFonts w:asciiTheme="minorHAnsi" w:eastAsiaTheme="minorEastAsia" w:hAnsiTheme="minorHAnsi" w:cstheme="minorBidi"/>
            <w:noProof/>
            <w:kern w:val="2"/>
            <w:sz w:val="24"/>
            <w:szCs w:val="24"/>
            <w14:ligatures w14:val="standardContextual"/>
          </w:rPr>
          <w:tab/>
        </w:r>
        <w:r w:rsidRPr="00022879">
          <w:rPr>
            <w:rStyle w:val="Hyperlink"/>
            <w:noProof/>
          </w:rPr>
          <w:t>Uncertainty in emissions from mineral products</w:t>
        </w:r>
        <w:r>
          <w:rPr>
            <w:noProof/>
            <w:webHidden/>
          </w:rPr>
          <w:tab/>
        </w:r>
        <w:r>
          <w:rPr>
            <w:noProof/>
            <w:webHidden/>
          </w:rPr>
          <w:fldChar w:fldCharType="begin"/>
        </w:r>
        <w:r>
          <w:rPr>
            <w:noProof/>
            <w:webHidden/>
          </w:rPr>
          <w:instrText xml:space="preserve"> PAGEREF _Toc226668972 \h </w:instrText>
        </w:r>
        <w:r>
          <w:rPr>
            <w:noProof/>
            <w:webHidden/>
          </w:rPr>
        </w:r>
        <w:r>
          <w:rPr>
            <w:noProof/>
            <w:webHidden/>
          </w:rPr>
          <w:fldChar w:fldCharType="separate"/>
        </w:r>
        <w:r w:rsidR="00831581">
          <w:rPr>
            <w:noProof/>
            <w:webHidden/>
          </w:rPr>
          <w:t>122</w:t>
        </w:r>
        <w:r>
          <w:rPr>
            <w:noProof/>
            <w:webHidden/>
          </w:rPr>
          <w:fldChar w:fldCharType="end"/>
        </w:r>
      </w:hyperlink>
    </w:p>
    <w:p w14:paraId="0B30F2E5" w14:textId="1F4E23A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3" w:history="1">
        <w:r w:rsidRPr="00022879">
          <w:rPr>
            <w:rStyle w:val="Hyperlink"/>
            <w:noProof/>
          </w:rPr>
          <w:t xml:space="preserve">Table 4.3.1 </w:t>
        </w:r>
        <w:r>
          <w:rPr>
            <w:rFonts w:asciiTheme="minorHAnsi" w:eastAsiaTheme="minorEastAsia" w:hAnsiTheme="minorHAnsi" w:cstheme="minorBidi"/>
            <w:noProof/>
            <w:kern w:val="2"/>
            <w:sz w:val="24"/>
            <w:szCs w:val="24"/>
            <w14:ligatures w14:val="standardContextual"/>
          </w:rPr>
          <w:tab/>
        </w:r>
        <w:r w:rsidRPr="00022879">
          <w:rPr>
            <w:rStyle w:val="Hyperlink"/>
            <w:noProof/>
          </w:rPr>
          <w:t>Country-specific emission factors for indirect emissions</w:t>
        </w:r>
        <w:r>
          <w:rPr>
            <w:noProof/>
            <w:webHidden/>
          </w:rPr>
          <w:tab/>
        </w:r>
        <w:r>
          <w:rPr>
            <w:noProof/>
            <w:webHidden/>
          </w:rPr>
          <w:fldChar w:fldCharType="begin"/>
        </w:r>
        <w:r>
          <w:rPr>
            <w:noProof/>
            <w:webHidden/>
          </w:rPr>
          <w:instrText xml:space="preserve"> PAGEREF _Toc226668973 \h </w:instrText>
        </w:r>
        <w:r>
          <w:rPr>
            <w:noProof/>
            <w:webHidden/>
          </w:rPr>
        </w:r>
        <w:r>
          <w:rPr>
            <w:noProof/>
            <w:webHidden/>
          </w:rPr>
          <w:fldChar w:fldCharType="separate"/>
        </w:r>
        <w:r w:rsidR="00831581">
          <w:rPr>
            <w:noProof/>
            <w:webHidden/>
          </w:rPr>
          <w:t>126</w:t>
        </w:r>
        <w:r>
          <w:rPr>
            <w:noProof/>
            <w:webHidden/>
          </w:rPr>
          <w:fldChar w:fldCharType="end"/>
        </w:r>
      </w:hyperlink>
    </w:p>
    <w:p w14:paraId="6FE2E274" w14:textId="709980D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4" w:history="1">
        <w:r w:rsidRPr="00022879">
          <w:rPr>
            <w:rStyle w:val="Hyperlink"/>
            <w:noProof/>
          </w:rPr>
          <w:t xml:space="preserve">Table 4.3.2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the </w:t>
        </w:r>
        <w:r w:rsidRPr="00022879">
          <w:rPr>
            <w:rStyle w:val="Hyperlink"/>
            <w:i/>
            <w:iCs/>
            <w:noProof/>
          </w:rPr>
          <w:t>Chemical industry</w:t>
        </w:r>
        <w:r w:rsidRPr="00022879">
          <w:rPr>
            <w:rStyle w:val="Hyperlink"/>
            <w:noProof/>
          </w:rPr>
          <w:t xml:space="preserve"> category</w:t>
        </w:r>
        <w:r>
          <w:rPr>
            <w:noProof/>
            <w:webHidden/>
          </w:rPr>
          <w:tab/>
        </w:r>
        <w:r>
          <w:rPr>
            <w:noProof/>
            <w:webHidden/>
          </w:rPr>
          <w:fldChar w:fldCharType="begin"/>
        </w:r>
        <w:r>
          <w:rPr>
            <w:noProof/>
            <w:webHidden/>
          </w:rPr>
          <w:instrText xml:space="preserve"> PAGEREF _Toc226668974 \h </w:instrText>
        </w:r>
        <w:r>
          <w:rPr>
            <w:noProof/>
            <w:webHidden/>
          </w:rPr>
        </w:r>
        <w:r>
          <w:rPr>
            <w:noProof/>
            <w:webHidden/>
          </w:rPr>
          <w:fldChar w:fldCharType="separate"/>
        </w:r>
        <w:r w:rsidR="00831581">
          <w:rPr>
            <w:noProof/>
            <w:webHidden/>
          </w:rPr>
          <w:t>126</w:t>
        </w:r>
        <w:r>
          <w:rPr>
            <w:noProof/>
            <w:webHidden/>
          </w:rPr>
          <w:fldChar w:fldCharType="end"/>
        </w:r>
      </w:hyperlink>
    </w:p>
    <w:p w14:paraId="6E165CDF" w14:textId="1A3E35B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5" w:history="1">
        <w:r w:rsidRPr="00022879">
          <w:rPr>
            <w:rStyle w:val="Hyperlink"/>
            <w:noProof/>
          </w:rPr>
          <w:t xml:space="preserve">Table 4.4.1 </w:t>
        </w:r>
        <w:r>
          <w:rPr>
            <w:rFonts w:asciiTheme="minorHAnsi" w:eastAsiaTheme="minorEastAsia" w:hAnsiTheme="minorHAnsi" w:cstheme="minorBidi"/>
            <w:noProof/>
            <w:kern w:val="2"/>
            <w:sz w:val="24"/>
            <w:szCs w:val="24"/>
            <w14:ligatures w14:val="standardContextual"/>
          </w:rPr>
          <w:tab/>
        </w:r>
        <w:r w:rsidRPr="00022879">
          <w:rPr>
            <w:rStyle w:val="Hyperlink"/>
            <w:noProof/>
          </w:rPr>
          <w:t>Typical analysis from New Zealand Steel Limited of the primary concentrate (provided by New Zealand Steel Limited)</w:t>
        </w:r>
        <w:r>
          <w:rPr>
            <w:noProof/>
            <w:webHidden/>
          </w:rPr>
          <w:tab/>
        </w:r>
        <w:r>
          <w:rPr>
            <w:noProof/>
            <w:webHidden/>
          </w:rPr>
          <w:fldChar w:fldCharType="begin"/>
        </w:r>
        <w:r>
          <w:rPr>
            <w:noProof/>
            <w:webHidden/>
          </w:rPr>
          <w:instrText xml:space="preserve"> PAGEREF _Toc226668975 \h </w:instrText>
        </w:r>
        <w:r>
          <w:rPr>
            <w:noProof/>
            <w:webHidden/>
          </w:rPr>
        </w:r>
        <w:r>
          <w:rPr>
            <w:noProof/>
            <w:webHidden/>
          </w:rPr>
          <w:fldChar w:fldCharType="separate"/>
        </w:r>
        <w:r w:rsidR="00831581">
          <w:rPr>
            <w:noProof/>
            <w:webHidden/>
          </w:rPr>
          <w:t>128</w:t>
        </w:r>
        <w:r>
          <w:rPr>
            <w:noProof/>
            <w:webHidden/>
          </w:rPr>
          <w:fldChar w:fldCharType="end"/>
        </w:r>
      </w:hyperlink>
    </w:p>
    <w:p w14:paraId="6AF5C408" w14:textId="002C4A9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6" w:history="1">
        <w:r w:rsidRPr="00022879">
          <w:rPr>
            <w:rStyle w:val="Hyperlink"/>
            <w:noProof/>
          </w:rPr>
          <w:t xml:space="preserve">Table 4.4.2 </w:t>
        </w:r>
        <w:r>
          <w:rPr>
            <w:rFonts w:asciiTheme="minorHAnsi" w:eastAsiaTheme="minorEastAsia" w:hAnsiTheme="minorHAnsi" w:cstheme="minorBidi"/>
            <w:noProof/>
            <w:kern w:val="2"/>
            <w:sz w:val="24"/>
            <w:szCs w:val="24"/>
            <w14:ligatures w14:val="standardContextual"/>
          </w:rPr>
          <w:tab/>
        </w:r>
        <w:r w:rsidRPr="00022879">
          <w:rPr>
            <w:rStyle w:val="Hyperlink"/>
            <w:noProof/>
          </w:rPr>
          <w:t>Uncertainty in emissions from the metal industry</w:t>
        </w:r>
        <w:r>
          <w:rPr>
            <w:noProof/>
            <w:webHidden/>
          </w:rPr>
          <w:tab/>
        </w:r>
        <w:r>
          <w:rPr>
            <w:noProof/>
            <w:webHidden/>
          </w:rPr>
          <w:fldChar w:fldCharType="begin"/>
        </w:r>
        <w:r>
          <w:rPr>
            <w:noProof/>
            <w:webHidden/>
          </w:rPr>
          <w:instrText xml:space="preserve"> PAGEREF _Toc226668976 \h </w:instrText>
        </w:r>
        <w:r>
          <w:rPr>
            <w:noProof/>
            <w:webHidden/>
          </w:rPr>
        </w:r>
        <w:r>
          <w:rPr>
            <w:noProof/>
            <w:webHidden/>
          </w:rPr>
          <w:fldChar w:fldCharType="separate"/>
        </w:r>
        <w:r w:rsidR="00831581">
          <w:rPr>
            <w:noProof/>
            <w:webHidden/>
          </w:rPr>
          <w:t>132</w:t>
        </w:r>
        <w:r>
          <w:rPr>
            <w:noProof/>
            <w:webHidden/>
          </w:rPr>
          <w:fldChar w:fldCharType="end"/>
        </w:r>
      </w:hyperlink>
    </w:p>
    <w:p w14:paraId="716E4BD5" w14:textId="6C7FD55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7" w:history="1">
        <w:r w:rsidRPr="00022879">
          <w:rPr>
            <w:rStyle w:val="Hyperlink"/>
            <w:noProof/>
          </w:rPr>
          <w:t xml:space="preserve">Table 4.4.3 </w:t>
        </w:r>
        <w:r>
          <w:rPr>
            <w:rFonts w:asciiTheme="minorHAnsi" w:eastAsiaTheme="minorEastAsia" w:hAnsiTheme="minorHAnsi" w:cstheme="minorBidi"/>
            <w:noProof/>
            <w:kern w:val="2"/>
            <w:sz w:val="24"/>
            <w:szCs w:val="24"/>
            <w14:ligatures w14:val="standardContextual"/>
          </w:rPr>
          <w:tab/>
        </w:r>
        <w:r w:rsidRPr="00022879">
          <w:rPr>
            <w:rStyle w:val="Hyperlink"/>
            <w:noProof/>
          </w:rPr>
          <w:t>Explanation of variations in New Zealand’s aluminium emissions</w:t>
        </w:r>
        <w:r>
          <w:rPr>
            <w:noProof/>
            <w:webHidden/>
          </w:rPr>
          <w:tab/>
        </w:r>
        <w:r>
          <w:rPr>
            <w:noProof/>
            <w:webHidden/>
          </w:rPr>
          <w:fldChar w:fldCharType="begin"/>
        </w:r>
        <w:r>
          <w:rPr>
            <w:noProof/>
            <w:webHidden/>
          </w:rPr>
          <w:instrText xml:space="preserve"> PAGEREF _Toc226668977 \h </w:instrText>
        </w:r>
        <w:r>
          <w:rPr>
            <w:noProof/>
            <w:webHidden/>
          </w:rPr>
        </w:r>
        <w:r>
          <w:rPr>
            <w:noProof/>
            <w:webHidden/>
          </w:rPr>
          <w:fldChar w:fldCharType="separate"/>
        </w:r>
        <w:r w:rsidR="00831581">
          <w:rPr>
            <w:noProof/>
            <w:webHidden/>
          </w:rPr>
          <w:t>133</w:t>
        </w:r>
        <w:r>
          <w:rPr>
            <w:noProof/>
            <w:webHidden/>
          </w:rPr>
          <w:fldChar w:fldCharType="end"/>
        </w:r>
      </w:hyperlink>
    </w:p>
    <w:p w14:paraId="2F601DFF" w14:textId="4ECC9F6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8" w:history="1">
        <w:r w:rsidRPr="00022879">
          <w:rPr>
            <w:rStyle w:val="Hyperlink"/>
            <w:noProof/>
          </w:rPr>
          <w:t xml:space="preserve">Table 4.5.1 </w:t>
        </w:r>
        <w:r>
          <w:rPr>
            <w:rFonts w:asciiTheme="minorHAnsi" w:eastAsiaTheme="minorEastAsia" w:hAnsiTheme="minorHAnsi" w:cstheme="minorBidi"/>
            <w:noProof/>
            <w:kern w:val="2"/>
            <w:sz w:val="24"/>
            <w:szCs w:val="24"/>
            <w14:ligatures w14:val="standardContextual"/>
          </w:rPr>
          <w:tab/>
        </w:r>
        <w:r w:rsidRPr="00022879">
          <w:rPr>
            <w:rStyle w:val="Hyperlink"/>
            <w:noProof/>
          </w:rPr>
          <w:t>Calculation of non-methane volatile organic compound (NMVOC) emissions from road paving</w:t>
        </w:r>
        <w:r>
          <w:rPr>
            <w:noProof/>
            <w:webHidden/>
          </w:rPr>
          <w:tab/>
        </w:r>
        <w:r>
          <w:rPr>
            <w:noProof/>
            <w:webHidden/>
          </w:rPr>
          <w:fldChar w:fldCharType="begin"/>
        </w:r>
        <w:r>
          <w:rPr>
            <w:noProof/>
            <w:webHidden/>
          </w:rPr>
          <w:instrText xml:space="preserve"> PAGEREF _Toc226668978 \h </w:instrText>
        </w:r>
        <w:r>
          <w:rPr>
            <w:noProof/>
            <w:webHidden/>
          </w:rPr>
        </w:r>
        <w:r>
          <w:rPr>
            <w:noProof/>
            <w:webHidden/>
          </w:rPr>
          <w:fldChar w:fldCharType="separate"/>
        </w:r>
        <w:r w:rsidR="00831581">
          <w:rPr>
            <w:noProof/>
            <w:webHidden/>
          </w:rPr>
          <w:t>135</w:t>
        </w:r>
        <w:r>
          <w:rPr>
            <w:noProof/>
            <w:webHidden/>
          </w:rPr>
          <w:fldChar w:fldCharType="end"/>
        </w:r>
      </w:hyperlink>
    </w:p>
    <w:p w14:paraId="156B7D9B" w14:textId="2BC2A17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79" w:history="1">
        <w:r w:rsidRPr="00022879">
          <w:rPr>
            <w:rStyle w:val="Hyperlink"/>
            <w:noProof/>
          </w:rPr>
          <w:t xml:space="preserve">Table 4.5.2 </w:t>
        </w:r>
        <w:r>
          <w:rPr>
            <w:rFonts w:asciiTheme="minorHAnsi" w:eastAsiaTheme="minorEastAsia" w:hAnsiTheme="minorHAnsi" w:cstheme="minorBidi"/>
            <w:noProof/>
            <w:kern w:val="2"/>
            <w:sz w:val="24"/>
            <w:szCs w:val="24"/>
            <w14:ligatures w14:val="standardContextual"/>
          </w:rPr>
          <w:tab/>
        </w:r>
        <w:r w:rsidRPr="00022879">
          <w:rPr>
            <w:rStyle w:val="Hyperlink"/>
            <w:noProof/>
          </w:rPr>
          <w:t>Fraction of bitumen in road paving material</w:t>
        </w:r>
        <w:r>
          <w:rPr>
            <w:noProof/>
            <w:webHidden/>
          </w:rPr>
          <w:tab/>
        </w:r>
        <w:r>
          <w:rPr>
            <w:noProof/>
            <w:webHidden/>
          </w:rPr>
          <w:fldChar w:fldCharType="begin"/>
        </w:r>
        <w:r>
          <w:rPr>
            <w:noProof/>
            <w:webHidden/>
          </w:rPr>
          <w:instrText xml:space="preserve"> PAGEREF _Toc226668979 \h </w:instrText>
        </w:r>
        <w:r>
          <w:rPr>
            <w:noProof/>
            <w:webHidden/>
          </w:rPr>
        </w:r>
        <w:r>
          <w:rPr>
            <w:noProof/>
            <w:webHidden/>
          </w:rPr>
          <w:fldChar w:fldCharType="separate"/>
        </w:r>
        <w:r w:rsidR="00831581">
          <w:rPr>
            <w:noProof/>
            <w:webHidden/>
          </w:rPr>
          <w:t>135</w:t>
        </w:r>
        <w:r>
          <w:rPr>
            <w:noProof/>
            <w:webHidden/>
          </w:rPr>
          <w:fldChar w:fldCharType="end"/>
        </w:r>
      </w:hyperlink>
    </w:p>
    <w:p w14:paraId="57BE5F1A" w14:textId="25E6A76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0" w:history="1">
        <w:r w:rsidRPr="00022879">
          <w:rPr>
            <w:rStyle w:val="Hyperlink"/>
            <w:noProof/>
          </w:rPr>
          <w:t xml:space="preserve">Table 4.5.3 </w:t>
        </w:r>
        <w:r>
          <w:rPr>
            <w:rFonts w:asciiTheme="minorHAnsi" w:eastAsiaTheme="minorEastAsia" w:hAnsiTheme="minorHAnsi" w:cstheme="minorBidi"/>
            <w:noProof/>
            <w:kern w:val="2"/>
            <w:sz w:val="24"/>
            <w:szCs w:val="24"/>
            <w14:ligatures w14:val="standardContextual"/>
          </w:rPr>
          <w:tab/>
        </w:r>
        <w:r w:rsidRPr="00022879">
          <w:rPr>
            <w:rStyle w:val="Hyperlink"/>
            <w:noProof/>
          </w:rPr>
          <w:t>Uncertainty in emissions in non-energy products from fuels and solvent use</w:t>
        </w:r>
        <w:r>
          <w:rPr>
            <w:noProof/>
            <w:webHidden/>
          </w:rPr>
          <w:tab/>
        </w:r>
        <w:r>
          <w:rPr>
            <w:noProof/>
            <w:webHidden/>
          </w:rPr>
          <w:fldChar w:fldCharType="begin"/>
        </w:r>
        <w:r>
          <w:rPr>
            <w:noProof/>
            <w:webHidden/>
          </w:rPr>
          <w:instrText xml:space="preserve"> PAGEREF _Toc226668980 \h </w:instrText>
        </w:r>
        <w:r>
          <w:rPr>
            <w:noProof/>
            <w:webHidden/>
          </w:rPr>
        </w:r>
        <w:r>
          <w:rPr>
            <w:noProof/>
            <w:webHidden/>
          </w:rPr>
          <w:fldChar w:fldCharType="separate"/>
        </w:r>
        <w:r w:rsidR="00831581">
          <w:rPr>
            <w:noProof/>
            <w:webHidden/>
          </w:rPr>
          <w:t>136</w:t>
        </w:r>
        <w:r>
          <w:rPr>
            <w:noProof/>
            <w:webHidden/>
          </w:rPr>
          <w:fldChar w:fldCharType="end"/>
        </w:r>
      </w:hyperlink>
    </w:p>
    <w:p w14:paraId="3D534056" w14:textId="5B2D262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1" w:history="1">
        <w:r w:rsidRPr="00022879">
          <w:rPr>
            <w:rStyle w:val="Hyperlink"/>
            <w:noProof/>
          </w:rPr>
          <w:t xml:space="preserve">Table 4.7.1 </w:t>
        </w:r>
        <w:r>
          <w:rPr>
            <w:rFonts w:asciiTheme="minorHAnsi" w:eastAsiaTheme="minorEastAsia" w:hAnsiTheme="minorHAnsi" w:cstheme="minorBidi"/>
            <w:noProof/>
            <w:kern w:val="2"/>
            <w:sz w:val="24"/>
            <w:szCs w:val="24"/>
            <w14:ligatures w14:val="standardContextual"/>
          </w:rPr>
          <w:tab/>
        </w:r>
        <w:r w:rsidRPr="00022879">
          <w:rPr>
            <w:rStyle w:val="Hyperlink"/>
            <w:noProof/>
          </w:rPr>
          <w:t>Average charge (grams) of HFC-134a in mobile air conditioners, 2009</w:t>
        </w:r>
        <w:r>
          <w:rPr>
            <w:noProof/>
            <w:webHidden/>
          </w:rPr>
          <w:tab/>
        </w:r>
        <w:r>
          <w:rPr>
            <w:noProof/>
            <w:webHidden/>
          </w:rPr>
          <w:fldChar w:fldCharType="begin"/>
        </w:r>
        <w:r>
          <w:rPr>
            <w:noProof/>
            <w:webHidden/>
          </w:rPr>
          <w:instrText xml:space="preserve"> PAGEREF _Toc226668981 \h </w:instrText>
        </w:r>
        <w:r>
          <w:rPr>
            <w:noProof/>
            <w:webHidden/>
          </w:rPr>
        </w:r>
        <w:r>
          <w:rPr>
            <w:noProof/>
            <w:webHidden/>
          </w:rPr>
          <w:fldChar w:fldCharType="separate"/>
        </w:r>
        <w:r w:rsidR="00831581">
          <w:rPr>
            <w:noProof/>
            <w:webHidden/>
          </w:rPr>
          <w:t>139</w:t>
        </w:r>
        <w:r>
          <w:rPr>
            <w:noProof/>
            <w:webHidden/>
          </w:rPr>
          <w:fldChar w:fldCharType="end"/>
        </w:r>
      </w:hyperlink>
    </w:p>
    <w:p w14:paraId="3DD7FF8E" w14:textId="709E6A5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2" w:history="1">
        <w:r w:rsidRPr="00022879">
          <w:rPr>
            <w:rStyle w:val="Hyperlink"/>
            <w:noProof/>
          </w:rPr>
          <w:t xml:space="preserve">Table 4.7.2 </w:t>
        </w:r>
        <w:r>
          <w:rPr>
            <w:rFonts w:asciiTheme="minorHAnsi" w:eastAsiaTheme="minorEastAsia" w:hAnsiTheme="minorHAnsi" w:cstheme="minorBidi"/>
            <w:noProof/>
            <w:kern w:val="2"/>
            <w:sz w:val="24"/>
            <w:szCs w:val="24"/>
            <w14:ligatures w14:val="standardContextual"/>
          </w:rPr>
          <w:tab/>
        </w:r>
        <w:r w:rsidRPr="00022879">
          <w:rPr>
            <w:rStyle w:val="Hyperlink"/>
            <w:noProof/>
          </w:rPr>
          <w:t>Average emissions per dose in metered dose inhalers (milligrams)</w:t>
        </w:r>
        <w:r>
          <w:rPr>
            <w:noProof/>
            <w:webHidden/>
          </w:rPr>
          <w:tab/>
        </w:r>
        <w:r>
          <w:rPr>
            <w:noProof/>
            <w:webHidden/>
          </w:rPr>
          <w:fldChar w:fldCharType="begin"/>
        </w:r>
        <w:r>
          <w:rPr>
            <w:noProof/>
            <w:webHidden/>
          </w:rPr>
          <w:instrText xml:space="preserve"> PAGEREF _Toc226668982 \h </w:instrText>
        </w:r>
        <w:r>
          <w:rPr>
            <w:noProof/>
            <w:webHidden/>
          </w:rPr>
        </w:r>
        <w:r>
          <w:rPr>
            <w:noProof/>
            <w:webHidden/>
          </w:rPr>
          <w:fldChar w:fldCharType="separate"/>
        </w:r>
        <w:r w:rsidR="00831581">
          <w:rPr>
            <w:noProof/>
            <w:webHidden/>
          </w:rPr>
          <w:t>140</w:t>
        </w:r>
        <w:r>
          <w:rPr>
            <w:noProof/>
            <w:webHidden/>
          </w:rPr>
          <w:fldChar w:fldCharType="end"/>
        </w:r>
      </w:hyperlink>
    </w:p>
    <w:p w14:paraId="2273BC09" w14:textId="31DD505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3" w:history="1">
        <w:r w:rsidRPr="00022879">
          <w:rPr>
            <w:rStyle w:val="Hyperlink"/>
            <w:noProof/>
          </w:rPr>
          <w:t xml:space="preserve">Table 4.7.3 </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methodological tiers by sub-application</w:t>
        </w:r>
        <w:r>
          <w:rPr>
            <w:noProof/>
            <w:webHidden/>
          </w:rPr>
          <w:tab/>
        </w:r>
        <w:r>
          <w:rPr>
            <w:noProof/>
            <w:webHidden/>
          </w:rPr>
          <w:fldChar w:fldCharType="begin"/>
        </w:r>
        <w:r>
          <w:rPr>
            <w:noProof/>
            <w:webHidden/>
          </w:rPr>
          <w:instrText xml:space="preserve"> PAGEREF _Toc226668983 \h </w:instrText>
        </w:r>
        <w:r>
          <w:rPr>
            <w:noProof/>
            <w:webHidden/>
          </w:rPr>
        </w:r>
        <w:r>
          <w:rPr>
            <w:noProof/>
            <w:webHidden/>
          </w:rPr>
          <w:fldChar w:fldCharType="separate"/>
        </w:r>
        <w:r w:rsidR="00831581">
          <w:rPr>
            <w:noProof/>
            <w:webHidden/>
          </w:rPr>
          <w:t>142</w:t>
        </w:r>
        <w:r>
          <w:rPr>
            <w:noProof/>
            <w:webHidden/>
          </w:rPr>
          <w:fldChar w:fldCharType="end"/>
        </w:r>
      </w:hyperlink>
    </w:p>
    <w:p w14:paraId="4D0169C1" w14:textId="6A188FF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4" w:history="1">
        <w:r w:rsidRPr="00022879">
          <w:rPr>
            <w:rStyle w:val="Hyperlink"/>
            <w:noProof/>
          </w:rPr>
          <w:t xml:space="preserve">Table 4.7.4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uncertainties in </w:t>
        </w:r>
        <w:r w:rsidRPr="00022879">
          <w:rPr>
            <w:rStyle w:val="Hyperlink"/>
            <w:i/>
            <w:iCs/>
            <w:noProof/>
          </w:rPr>
          <w:t>Product uses as substitutes for ODS</w:t>
        </w:r>
        <w:r>
          <w:rPr>
            <w:noProof/>
            <w:webHidden/>
          </w:rPr>
          <w:tab/>
        </w:r>
        <w:r>
          <w:rPr>
            <w:noProof/>
            <w:webHidden/>
          </w:rPr>
          <w:fldChar w:fldCharType="begin"/>
        </w:r>
        <w:r>
          <w:rPr>
            <w:noProof/>
            <w:webHidden/>
          </w:rPr>
          <w:instrText xml:space="preserve"> PAGEREF _Toc226668984 \h </w:instrText>
        </w:r>
        <w:r>
          <w:rPr>
            <w:noProof/>
            <w:webHidden/>
          </w:rPr>
        </w:r>
        <w:r>
          <w:rPr>
            <w:noProof/>
            <w:webHidden/>
          </w:rPr>
          <w:fldChar w:fldCharType="separate"/>
        </w:r>
        <w:r w:rsidR="00831581">
          <w:rPr>
            <w:noProof/>
            <w:webHidden/>
          </w:rPr>
          <w:t>143</w:t>
        </w:r>
        <w:r>
          <w:rPr>
            <w:noProof/>
            <w:webHidden/>
          </w:rPr>
          <w:fldChar w:fldCharType="end"/>
        </w:r>
      </w:hyperlink>
    </w:p>
    <w:p w14:paraId="4A42EBB4" w14:textId="163C442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5" w:history="1">
        <w:r w:rsidRPr="00022879">
          <w:rPr>
            <w:rStyle w:val="Hyperlink"/>
            <w:noProof/>
          </w:rPr>
          <w:t xml:space="preserve">Table 4.8.1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w:t>
        </w:r>
        <w:r w:rsidRPr="00022879">
          <w:rPr>
            <w:rStyle w:val="Hyperlink"/>
            <w:i/>
            <w:iCs/>
            <w:noProof/>
          </w:rPr>
          <w:t>Other product manufacture and use</w:t>
        </w:r>
        <w:r>
          <w:rPr>
            <w:noProof/>
            <w:webHidden/>
          </w:rPr>
          <w:tab/>
        </w:r>
        <w:r>
          <w:rPr>
            <w:noProof/>
            <w:webHidden/>
          </w:rPr>
          <w:fldChar w:fldCharType="begin"/>
        </w:r>
        <w:r>
          <w:rPr>
            <w:noProof/>
            <w:webHidden/>
          </w:rPr>
          <w:instrText xml:space="preserve"> PAGEREF _Toc226668985 \h </w:instrText>
        </w:r>
        <w:r>
          <w:rPr>
            <w:noProof/>
            <w:webHidden/>
          </w:rPr>
        </w:r>
        <w:r>
          <w:rPr>
            <w:noProof/>
            <w:webHidden/>
          </w:rPr>
          <w:fldChar w:fldCharType="separate"/>
        </w:r>
        <w:r w:rsidR="00831581">
          <w:rPr>
            <w:noProof/>
            <w:webHidden/>
          </w:rPr>
          <w:t>148</w:t>
        </w:r>
        <w:r>
          <w:rPr>
            <w:noProof/>
            <w:webHidden/>
          </w:rPr>
          <w:fldChar w:fldCharType="end"/>
        </w:r>
      </w:hyperlink>
    </w:p>
    <w:p w14:paraId="04592306" w14:textId="56338B6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6" w:history="1">
        <w:r w:rsidRPr="00022879">
          <w:rPr>
            <w:rStyle w:val="Hyperlink"/>
            <w:rFonts w:cs="Calibri"/>
            <w:noProof/>
          </w:rPr>
          <w:t xml:space="preserve">Table 5.1.1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Trends and relative contribution of </w:t>
        </w:r>
        <w:r w:rsidRPr="00022879">
          <w:rPr>
            <w:rStyle w:val="Hyperlink"/>
            <w:noProof/>
          </w:rPr>
          <w:t>New Zealand’s</w:t>
        </w:r>
        <w:r w:rsidRPr="00022879">
          <w:rPr>
            <w:rStyle w:val="Hyperlink"/>
            <w:rFonts w:cs="Calibri"/>
            <w:noProof/>
          </w:rPr>
          <w:t xml:space="preserve"> agricultural greenhouse gas emissions </w:t>
        </w:r>
        <w:r w:rsidRPr="00022879">
          <w:rPr>
            <w:rStyle w:val="Hyperlink"/>
            <w:noProof/>
          </w:rPr>
          <w:t>by category between 1990 and 2024</w:t>
        </w:r>
        <w:r>
          <w:rPr>
            <w:noProof/>
            <w:webHidden/>
          </w:rPr>
          <w:tab/>
        </w:r>
        <w:r>
          <w:rPr>
            <w:noProof/>
            <w:webHidden/>
          </w:rPr>
          <w:fldChar w:fldCharType="begin"/>
        </w:r>
        <w:r>
          <w:rPr>
            <w:noProof/>
            <w:webHidden/>
          </w:rPr>
          <w:instrText xml:space="preserve"> PAGEREF _Toc226668986 \h </w:instrText>
        </w:r>
        <w:r>
          <w:rPr>
            <w:noProof/>
            <w:webHidden/>
          </w:rPr>
        </w:r>
        <w:r>
          <w:rPr>
            <w:noProof/>
            <w:webHidden/>
          </w:rPr>
          <w:fldChar w:fldCharType="separate"/>
        </w:r>
        <w:r w:rsidR="00831581">
          <w:rPr>
            <w:noProof/>
            <w:webHidden/>
          </w:rPr>
          <w:t>153</w:t>
        </w:r>
        <w:r>
          <w:rPr>
            <w:noProof/>
            <w:webHidden/>
          </w:rPr>
          <w:fldChar w:fldCharType="end"/>
        </w:r>
      </w:hyperlink>
    </w:p>
    <w:p w14:paraId="6AA14D5B" w14:textId="27870E2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7" w:history="1">
        <w:r w:rsidRPr="00022879">
          <w:rPr>
            <w:rStyle w:val="Hyperlink"/>
            <w:noProof/>
          </w:rPr>
          <w:t xml:space="preserve">Table 5.1.2 </w:t>
        </w:r>
        <w:r>
          <w:rPr>
            <w:rFonts w:asciiTheme="minorHAnsi" w:eastAsiaTheme="minorEastAsia" w:hAnsiTheme="minorHAnsi" w:cstheme="minorBidi"/>
            <w:noProof/>
            <w:kern w:val="2"/>
            <w:sz w:val="24"/>
            <w:szCs w:val="24"/>
            <w14:ligatures w14:val="standardContextual"/>
          </w:rPr>
          <w:tab/>
        </w:r>
        <w:r w:rsidRPr="00022879">
          <w:rPr>
            <w:rStyle w:val="Hyperlink"/>
            <w:noProof/>
          </w:rPr>
          <w:t>Key categories in the Agriculture sector</w:t>
        </w:r>
        <w:r>
          <w:rPr>
            <w:noProof/>
            <w:webHidden/>
          </w:rPr>
          <w:tab/>
        </w:r>
        <w:r>
          <w:rPr>
            <w:noProof/>
            <w:webHidden/>
          </w:rPr>
          <w:fldChar w:fldCharType="begin"/>
        </w:r>
        <w:r>
          <w:rPr>
            <w:noProof/>
            <w:webHidden/>
          </w:rPr>
          <w:instrText xml:space="preserve"> PAGEREF _Toc226668987 \h </w:instrText>
        </w:r>
        <w:r>
          <w:rPr>
            <w:noProof/>
            <w:webHidden/>
          </w:rPr>
        </w:r>
        <w:r>
          <w:rPr>
            <w:noProof/>
            <w:webHidden/>
          </w:rPr>
          <w:fldChar w:fldCharType="separate"/>
        </w:r>
        <w:r w:rsidR="00831581">
          <w:rPr>
            <w:noProof/>
            <w:webHidden/>
          </w:rPr>
          <w:t>158</w:t>
        </w:r>
        <w:r>
          <w:rPr>
            <w:noProof/>
            <w:webHidden/>
          </w:rPr>
          <w:fldChar w:fldCharType="end"/>
        </w:r>
      </w:hyperlink>
    </w:p>
    <w:p w14:paraId="49219465" w14:textId="68E2D80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8" w:history="1">
        <w:r w:rsidRPr="00022879">
          <w:rPr>
            <w:rStyle w:val="Hyperlink"/>
            <w:rFonts w:cs="Calibri"/>
            <w:noProof/>
          </w:rPr>
          <w:t xml:space="preserve">Table 5.1.3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Methods and emission factors in the Agriculture sector</w:t>
        </w:r>
        <w:r>
          <w:rPr>
            <w:noProof/>
            <w:webHidden/>
          </w:rPr>
          <w:tab/>
        </w:r>
        <w:r>
          <w:rPr>
            <w:noProof/>
            <w:webHidden/>
          </w:rPr>
          <w:fldChar w:fldCharType="begin"/>
        </w:r>
        <w:r>
          <w:rPr>
            <w:noProof/>
            <w:webHidden/>
          </w:rPr>
          <w:instrText xml:space="preserve"> PAGEREF _Toc226668988 \h </w:instrText>
        </w:r>
        <w:r>
          <w:rPr>
            <w:noProof/>
            <w:webHidden/>
          </w:rPr>
        </w:r>
        <w:r>
          <w:rPr>
            <w:noProof/>
            <w:webHidden/>
          </w:rPr>
          <w:fldChar w:fldCharType="separate"/>
        </w:r>
        <w:r w:rsidR="00831581">
          <w:rPr>
            <w:noProof/>
            <w:webHidden/>
          </w:rPr>
          <w:t>159</w:t>
        </w:r>
        <w:r>
          <w:rPr>
            <w:noProof/>
            <w:webHidden/>
          </w:rPr>
          <w:fldChar w:fldCharType="end"/>
        </w:r>
      </w:hyperlink>
    </w:p>
    <w:p w14:paraId="2846B598" w14:textId="123D912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89" w:history="1">
        <w:r w:rsidRPr="00022879">
          <w:rPr>
            <w:rStyle w:val="Hyperlink"/>
            <w:noProof/>
          </w:rPr>
          <w:t xml:space="preserve">Table 5.1.4 </w:t>
        </w:r>
        <w:r>
          <w:rPr>
            <w:rFonts w:asciiTheme="minorHAnsi" w:eastAsiaTheme="minorEastAsia" w:hAnsiTheme="minorHAnsi" w:cstheme="minorBidi"/>
            <w:noProof/>
            <w:kern w:val="2"/>
            <w:sz w:val="24"/>
            <w:szCs w:val="24"/>
            <w14:ligatures w14:val="standardContextual"/>
          </w:rPr>
          <w:tab/>
        </w:r>
        <w:r w:rsidRPr="00022879">
          <w:rPr>
            <w:rStyle w:val="Hyperlink"/>
            <w:noProof/>
          </w:rPr>
          <w:t>Explanations and justifications for recalculations in the Agriculture sector</w:t>
        </w:r>
        <w:r>
          <w:rPr>
            <w:noProof/>
            <w:webHidden/>
          </w:rPr>
          <w:tab/>
        </w:r>
        <w:r>
          <w:rPr>
            <w:noProof/>
            <w:webHidden/>
          </w:rPr>
          <w:fldChar w:fldCharType="begin"/>
        </w:r>
        <w:r>
          <w:rPr>
            <w:noProof/>
            <w:webHidden/>
          </w:rPr>
          <w:instrText xml:space="preserve"> PAGEREF _Toc226668989 \h </w:instrText>
        </w:r>
        <w:r>
          <w:rPr>
            <w:noProof/>
            <w:webHidden/>
          </w:rPr>
        </w:r>
        <w:r>
          <w:rPr>
            <w:noProof/>
            <w:webHidden/>
          </w:rPr>
          <w:fldChar w:fldCharType="separate"/>
        </w:r>
        <w:r w:rsidR="00831581">
          <w:rPr>
            <w:noProof/>
            <w:webHidden/>
          </w:rPr>
          <w:t>173</w:t>
        </w:r>
        <w:r>
          <w:rPr>
            <w:noProof/>
            <w:webHidden/>
          </w:rPr>
          <w:fldChar w:fldCharType="end"/>
        </w:r>
      </w:hyperlink>
    </w:p>
    <w:p w14:paraId="3BB145F6" w14:textId="281895E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0" w:history="1">
        <w:r w:rsidRPr="00022879">
          <w:rPr>
            <w:rStyle w:val="Hyperlink"/>
            <w:noProof/>
          </w:rPr>
          <w:t>Table 5.1.5</w:t>
        </w:r>
        <w:r>
          <w:rPr>
            <w:rFonts w:asciiTheme="minorHAnsi" w:eastAsiaTheme="minorEastAsia" w:hAnsiTheme="minorHAnsi" w:cstheme="minorBidi"/>
            <w:noProof/>
            <w:kern w:val="2"/>
            <w:sz w:val="24"/>
            <w:szCs w:val="24"/>
            <w14:ligatures w14:val="standardContextual"/>
          </w:rPr>
          <w:tab/>
        </w:r>
        <w:r w:rsidRPr="00022879">
          <w:rPr>
            <w:rStyle w:val="Hyperlink"/>
            <w:noProof/>
          </w:rPr>
          <w:t>Agriculture sectoral approval process for inventory recalculations and improvements</w:t>
        </w:r>
        <w:r>
          <w:rPr>
            <w:noProof/>
            <w:webHidden/>
          </w:rPr>
          <w:tab/>
        </w:r>
        <w:r>
          <w:rPr>
            <w:noProof/>
            <w:webHidden/>
          </w:rPr>
          <w:fldChar w:fldCharType="begin"/>
        </w:r>
        <w:r>
          <w:rPr>
            <w:noProof/>
            <w:webHidden/>
          </w:rPr>
          <w:instrText xml:space="preserve"> PAGEREF _Toc226668990 \h </w:instrText>
        </w:r>
        <w:r>
          <w:rPr>
            <w:noProof/>
            <w:webHidden/>
          </w:rPr>
        </w:r>
        <w:r>
          <w:rPr>
            <w:noProof/>
            <w:webHidden/>
          </w:rPr>
          <w:fldChar w:fldCharType="separate"/>
        </w:r>
        <w:r w:rsidR="00831581">
          <w:rPr>
            <w:noProof/>
            <w:webHidden/>
          </w:rPr>
          <w:t>174</w:t>
        </w:r>
        <w:r>
          <w:rPr>
            <w:noProof/>
            <w:webHidden/>
          </w:rPr>
          <w:fldChar w:fldCharType="end"/>
        </w:r>
      </w:hyperlink>
    </w:p>
    <w:p w14:paraId="1AD5BB9F" w14:textId="56D5745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1" w:history="1">
        <w:r w:rsidRPr="00022879">
          <w:rPr>
            <w:rStyle w:val="Hyperlink"/>
            <w:noProof/>
          </w:rPr>
          <w:t xml:space="preserve">Table 5.1.6 </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‘NE’ or ‘not estimated’ entries for the Agriculture sector in the 2026 submission</w:t>
        </w:r>
        <w:r>
          <w:rPr>
            <w:noProof/>
            <w:webHidden/>
          </w:rPr>
          <w:tab/>
        </w:r>
        <w:r>
          <w:rPr>
            <w:noProof/>
            <w:webHidden/>
          </w:rPr>
          <w:fldChar w:fldCharType="begin"/>
        </w:r>
        <w:r>
          <w:rPr>
            <w:noProof/>
            <w:webHidden/>
          </w:rPr>
          <w:instrText xml:space="preserve"> PAGEREF _Toc226668991 \h </w:instrText>
        </w:r>
        <w:r>
          <w:rPr>
            <w:noProof/>
            <w:webHidden/>
          </w:rPr>
        </w:r>
        <w:r>
          <w:rPr>
            <w:noProof/>
            <w:webHidden/>
          </w:rPr>
          <w:fldChar w:fldCharType="separate"/>
        </w:r>
        <w:r w:rsidR="00831581">
          <w:rPr>
            <w:noProof/>
            <w:webHidden/>
          </w:rPr>
          <w:t>179</w:t>
        </w:r>
        <w:r>
          <w:rPr>
            <w:noProof/>
            <w:webHidden/>
          </w:rPr>
          <w:fldChar w:fldCharType="end"/>
        </w:r>
      </w:hyperlink>
    </w:p>
    <w:p w14:paraId="148B80A8" w14:textId="786545D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2" w:history="1">
        <w:r w:rsidRPr="00022879">
          <w:rPr>
            <w:rStyle w:val="Hyperlink"/>
            <w:noProof/>
          </w:rPr>
          <w:t>Table 5.1.7</w:t>
        </w:r>
        <w:r>
          <w:rPr>
            <w:rFonts w:asciiTheme="minorHAnsi" w:eastAsiaTheme="minorEastAsia" w:hAnsiTheme="minorHAnsi" w:cstheme="minorBidi"/>
            <w:noProof/>
            <w:kern w:val="2"/>
            <w:sz w:val="24"/>
            <w:szCs w:val="24"/>
            <w14:ligatures w14:val="standardContextual"/>
          </w:rPr>
          <w:tab/>
        </w:r>
        <w:r w:rsidRPr="00022879">
          <w:rPr>
            <w:rStyle w:val="Hyperlink"/>
            <w:noProof/>
          </w:rPr>
          <w:t>Emissions reported using the ‘IE’ or ‘included elsewhere’ notation key in the 2026 submission for the Agriculture sector</w:t>
        </w:r>
        <w:r>
          <w:rPr>
            <w:noProof/>
            <w:webHidden/>
          </w:rPr>
          <w:tab/>
        </w:r>
        <w:r>
          <w:rPr>
            <w:noProof/>
            <w:webHidden/>
          </w:rPr>
          <w:fldChar w:fldCharType="begin"/>
        </w:r>
        <w:r>
          <w:rPr>
            <w:noProof/>
            <w:webHidden/>
          </w:rPr>
          <w:instrText xml:space="preserve"> PAGEREF _Toc226668992 \h </w:instrText>
        </w:r>
        <w:r>
          <w:rPr>
            <w:noProof/>
            <w:webHidden/>
          </w:rPr>
        </w:r>
        <w:r>
          <w:rPr>
            <w:noProof/>
            <w:webHidden/>
          </w:rPr>
          <w:fldChar w:fldCharType="separate"/>
        </w:r>
        <w:r w:rsidR="00831581">
          <w:rPr>
            <w:noProof/>
            <w:webHidden/>
          </w:rPr>
          <w:t>180</w:t>
        </w:r>
        <w:r>
          <w:rPr>
            <w:noProof/>
            <w:webHidden/>
          </w:rPr>
          <w:fldChar w:fldCharType="end"/>
        </w:r>
      </w:hyperlink>
    </w:p>
    <w:p w14:paraId="46D361DB" w14:textId="739B57D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3" w:history="1">
        <w:r w:rsidRPr="00022879">
          <w:rPr>
            <w:rStyle w:val="Hyperlink"/>
            <w:rFonts w:cs="Calibri"/>
            <w:noProof/>
          </w:rPr>
          <w:t>Table 5.2.1</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Trends and relative contribution of enteric fermentation (methane expressed in kt CO</w:t>
        </w:r>
        <w:r w:rsidRPr="00022879">
          <w:rPr>
            <w:rStyle w:val="Hyperlink"/>
            <w:rFonts w:cs="Calibri"/>
            <w:noProof/>
            <w:vertAlign w:val="subscript"/>
          </w:rPr>
          <w:t>2</w:t>
        </w:r>
        <w:r w:rsidRPr="00022879">
          <w:rPr>
            <w:rStyle w:val="Hyperlink"/>
            <w:rFonts w:cs="Calibri"/>
            <w:noProof/>
          </w:rPr>
          <w:t>e) from livestock categories between 1990 and 2024</w:t>
        </w:r>
        <w:r>
          <w:rPr>
            <w:noProof/>
            <w:webHidden/>
          </w:rPr>
          <w:tab/>
        </w:r>
        <w:r>
          <w:rPr>
            <w:noProof/>
            <w:webHidden/>
          </w:rPr>
          <w:fldChar w:fldCharType="begin"/>
        </w:r>
        <w:r>
          <w:rPr>
            <w:noProof/>
            <w:webHidden/>
          </w:rPr>
          <w:instrText xml:space="preserve"> PAGEREF _Toc226668993 \h </w:instrText>
        </w:r>
        <w:r>
          <w:rPr>
            <w:noProof/>
            <w:webHidden/>
          </w:rPr>
        </w:r>
        <w:r>
          <w:rPr>
            <w:noProof/>
            <w:webHidden/>
          </w:rPr>
          <w:fldChar w:fldCharType="separate"/>
        </w:r>
        <w:r w:rsidR="00831581">
          <w:rPr>
            <w:noProof/>
            <w:webHidden/>
          </w:rPr>
          <w:t>181</w:t>
        </w:r>
        <w:r>
          <w:rPr>
            <w:noProof/>
            <w:webHidden/>
          </w:rPr>
          <w:fldChar w:fldCharType="end"/>
        </w:r>
      </w:hyperlink>
    </w:p>
    <w:p w14:paraId="365DEA92" w14:textId="2D1A09A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4" w:history="1">
        <w:r w:rsidRPr="00022879">
          <w:rPr>
            <w:rStyle w:val="Hyperlink"/>
            <w:rFonts w:cs="Calibri"/>
            <w:noProof/>
          </w:rPr>
          <w:t>Table 5.2.2</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Methane emissions and gross energy intake (GEI) from New Zealand measurements and IPCC (2006) default values</w:t>
        </w:r>
        <w:r>
          <w:rPr>
            <w:noProof/>
            <w:webHidden/>
          </w:rPr>
          <w:tab/>
        </w:r>
        <w:r>
          <w:rPr>
            <w:noProof/>
            <w:webHidden/>
          </w:rPr>
          <w:fldChar w:fldCharType="begin"/>
        </w:r>
        <w:r>
          <w:rPr>
            <w:noProof/>
            <w:webHidden/>
          </w:rPr>
          <w:instrText xml:space="preserve"> PAGEREF _Toc226668994 \h </w:instrText>
        </w:r>
        <w:r>
          <w:rPr>
            <w:noProof/>
            <w:webHidden/>
          </w:rPr>
        </w:r>
        <w:r>
          <w:rPr>
            <w:noProof/>
            <w:webHidden/>
          </w:rPr>
          <w:fldChar w:fldCharType="separate"/>
        </w:r>
        <w:r w:rsidR="00831581">
          <w:rPr>
            <w:noProof/>
            <w:webHidden/>
          </w:rPr>
          <w:t>183</w:t>
        </w:r>
        <w:r>
          <w:rPr>
            <w:noProof/>
            <w:webHidden/>
          </w:rPr>
          <w:fldChar w:fldCharType="end"/>
        </w:r>
      </w:hyperlink>
    </w:p>
    <w:p w14:paraId="4BFCBEFA" w14:textId="1360C8F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5" w:history="1">
        <w:r w:rsidRPr="00022879">
          <w:rPr>
            <w:rStyle w:val="Hyperlink"/>
            <w:noProof/>
          </w:rPr>
          <w:t>Table 5.2.3</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implied emission factors for enteric fermentation, from 1990 to 2024</w:t>
        </w:r>
        <w:r>
          <w:rPr>
            <w:noProof/>
            <w:webHidden/>
          </w:rPr>
          <w:tab/>
        </w:r>
        <w:r>
          <w:rPr>
            <w:noProof/>
            <w:webHidden/>
          </w:rPr>
          <w:fldChar w:fldCharType="begin"/>
        </w:r>
        <w:r>
          <w:rPr>
            <w:noProof/>
            <w:webHidden/>
          </w:rPr>
          <w:instrText xml:space="preserve"> PAGEREF _Toc226668995 \h </w:instrText>
        </w:r>
        <w:r>
          <w:rPr>
            <w:noProof/>
            <w:webHidden/>
          </w:rPr>
        </w:r>
        <w:r>
          <w:rPr>
            <w:noProof/>
            <w:webHidden/>
          </w:rPr>
          <w:fldChar w:fldCharType="separate"/>
        </w:r>
        <w:r w:rsidR="00831581">
          <w:rPr>
            <w:noProof/>
            <w:webHidden/>
          </w:rPr>
          <w:t>184</w:t>
        </w:r>
        <w:r>
          <w:rPr>
            <w:noProof/>
            <w:webHidden/>
          </w:rPr>
          <w:fldChar w:fldCharType="end"/>
        </w:r>
      </w:hyperlink>
    </w:p>
    <w:p w14:paraId="3A3751CA" w14:textId="5AAF720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6" w:history="1">
        <w:r w:rsidRPr="00022879">
          <w:rPr>
            <w:rStyle w:val="Hyperlink"/>
            <w:rFonts w:cs="Calibri"/>
            <w:noProof/>
          </w:rPr>
          <w:t xml:space="preserve">Table 5.2.4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Enteric fermentation emissions factors (kg CH</w:t>
        </w:r>
        <w:r w:rsidRPr="00022879">
          <w:rPr>
            <w:rStyle w:val="Hyperlink"/>
            <w:rFonts w:cs="Calibri"/>
            <w:noProof/>
            <w:vertAlign w:val="subscript"/>
          </w:rPr>
          <w:t>4</w:t>
        </w:r>
        <w:r w:rsidRPr="00022879">
          <w:rPr>
            <w:rStyle w:val="Hyperlink"/>
            <w:noProof/>
          </w:rPr>
          <w:t>/year/</w:t>
        </w:r>
        <w:r w:rsidRPr="00022879">
          <w:rPr>
            <w:rStyle w:val="Hyperlink"/>
            <w:rFonts w:cs="Calibri"/>
            <w:noProof/>
          </w:rPr>
          <w:t>head) for swine classes, from 1990 to 2024</w:t>
        </w:r>
        <w:r>
          <w:rPr>
            <w:noProof/>
            <w:webHidden/>
          </w:rPr>
          <w:tab/>
        </w:r>
        <w:r>
          <w:rPr>
            <w:noProof/>
            <w:webHidden/>
          </w:rPr>
          <w:fldChar w:fldCharType="begin"/>
        </w:r>
        <w:r>
          <w:rPr>
            <w:noProof/>
            <w:webHidden/>
          </w:rPr>
          <w:instrText xml:space="preserve"> PAGEREF _Toc226668996 \h </w:instrText>
        </w:r>
        <w:r>
          <w:rPr>
            <w:noProof/>
            <w:webHidden/>
          </w:rPr>
        </w:r>
        <w:r>
          <w:rPr>
            <w:noProof/>
            <w:webHidden/>
          </w:rPr>
          <w:fldChar w:fldCharType="separate"/>
        </w:r>
        <w:r w:rsidR="00831581">
          <w:rPr>
            <w:noProof/>
            <w:webHidden/>
          </w:rPr>
          <w:t>185</w:t>
        </w:r>
        <w:r>
          <w:rPr>
            <w:noProof/>
            <w:webHidden/>
          </w:rPr>
          <w:fldChar w:fldCharType="end"/>
        </w:r>
      </w:hyperlink>
    </w:p>
    <w:p w14:paraId="77498B78" w14:textId="2137896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7" w:history="1">
        <w:r w:rsidRPr="00022879">
          <w:rPr>
            <w:rStyle w:val="Hyperlink"/>
            <w:rFonts w:cs="Calibri"/>
            <w:noProof/>
          </w:rPr>
          <w:t>Table 5.2.5</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w:t>
        </w:r>
        <w:r w:rsidRPr="00022879">
          <w:rPr>
            <w:rStyle w:val="Hyperlink"/>
            <w:rFonts w:cs="Calibri"/>
            <w:noProof/>
          </w:rPr>
          <w:t xml:space="preserve"> uncertainty in the annual estimate of enteric fermentation emissions for 1990, 2005 and 2024, estimated using the 95 percent confidence interval (±16 percent)</w:t>
        </w:r>
        <w:r>
          <w:rPr>
            <w:noProof/>
            <w:webHidden/>
          </w:rPr>
          <w:tab/>
        </w:r>
        <w:r>
          <w:rPr>
            <w:noProof/>
            <w:webHidden/>
          </w:rPr>
          <w:fldChar w:fldCharType="begin"/>
        </w:r>
        <w:r>
          <w:rPr>
            <w:noProof/>
            <w:webHidden/>
          </w:rPr>
          <w:instrText xml:space="preserve"> PAGEREF _Toc226668997 \h </w:instrText>
        </w:r>
        <w:r>
          <w:rPr>
            <w:noProof/>
            <w:webHidden/>
          </w:rPr>
        </w:r>
        <w:r>
          <w:rPr>
            <w:noProof/>
            <w:webHidden/>
          </w:rPr>
          <w:fldChar w:fldCharType="separate"/>
        </w:r>
        <w:r w:rsidR="00831581">
          <w:rPr>
            <w:noProof/>
            <w:webHidden/>
          </w:rPr>
          <w:t>186</w:t>
        </w:r>
        <w:r>
          <w:rPr>
            <w:noProof/>
            <w:webHidden/>
          </w:rPr>
          <w:fldChar w:fldCharType="end"/>
        </w:r>
      </w:hyperlink>
    </w:p>
    <w:p w14:paraId="5B7879AC" w14:textId="147449B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8" w:history="1">
        <w:r w:rsidRPr="00022879">
          <w:rPr>
            <w:rStyle w:val="Hyperlink"/>
            <w:rFonts w:cs="Calibri"/>
            <w:noProof/>
          </w:rPr>
          <w:t>Table 5.2.6</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Comparison of the IPCC (2006) default emission factor and country-specific implied emission factors (IEFs) for methane (CH</w:t>
        </w:r>
        <w:r w:rsidRPr="00022879">
          <w:rPr>
            <w:rStyle w:val="Hyperlink"/>
            <w:rFonts w:cs="Calibri"/>
            <w:noProof/>
            <w:vertAlign w:val="subscript"/>
          </w:rPr>
          <w:t>4</w:t>
        </w:r>
        <w:r w:rsidRPr="00022879">
          <w:rPr>
            <w:rStyle w:val="Hyperlink"/>
            <w:rFonts w:cs="Calibri"/>
            <w:noProof/>
          </w:rPr>
          <w:t xml:space="preserve">) from </w:t>
        </w:r>
        <w:r w:rsidRPr="00022879">
          <w:rPr>
            <w:rStyle w:val="Hyperlink"/>
            <w:rFonts w:cs="Calibri"/>
            <w:i/>
            <w:iCs/>
            <w:noProof/>
          </w:rPr>
          <w:t>Enteric fermentation</w:t>
        </w:r>
        <w:r w:rsidRPr="00022879">
          <w:rPr>
            <w:rStyle w:val="Hyperlink"/>
            <w:rFonts w:cs="Calibri"/>
            <w:noProof/>
          </w:rPr>
          <w:t xml:space="preserve"> for </w:t>
        </w:r>
        <w:r w:rsidRPr="00022879">
          <w:rPr>
            <w:rStyle w:val="Hyperlink"/>
            <w:rFonts w:cs="Calibri"/>
            <w:i/>
            <w:iCs/>
            <w:noProof/>
          </w:rPr>
          <w:t>Dairy cattle</w:t>
        </w:r>
        <w:r w:rsidRPr="00022879">
          <w:rPr>
            <w:rStyle w:val="Hyperlink"/>
            <w:rFonts w:cs="Calibri"/>
            <w:noProof/>
          </w:rPr>
          <w:t xml:space="preserve">, </w:t>
        </w:r>
        <w:r w:rsidRPr="00022879">
          <w:rPr>
            <w:rStyle w:val="Hyperlink"/>
            <w:rFonts w:cs="Calibri"/>
            <w:i/>
            <w:iCs/>
            <w:noProof/>
          </w:rPr>
          <w:t>Non</w:t>
        </w:r>
        <w:r w:rsidRPr="00022879">
          <w:rPr>
            <w:rStyle w:val="Hyperlink"/>
            <w:rFonts w:cs="Calibri"/>
            <w:i/>
            <w:iCs/>
            <w:noProof/>
          </w:rPr>
          <w:noBreakHyphen/>
          <w:t>dairy</w:t>
        </w:r>
        <w:r w:rsidRPr="00022879">
          <w:rPr>
            <w:rStyle w:val="Hyperlink"/>
            <w:rFonts w:cs="Calibri"/>
            <w:noProof/>
          </w:rPr>
          <w:t xml:space="preserve"> </w:t>
        </w:r>
        <w:r w:rsidRPr="00022879">
          <w:rPr>
            <w:rStyle w:val="Hyperlink"/>
            <w:rFonts w:cs="Calibri"/>
            <w:i/>
            <w:iCs/>
            <w:noProof/>
          </w:rPr>
          <w:t>cattle</w:t>
        </w:r>
        <w:r w:rsidRPr="00022879">
          <w:rPr>
            <w:rStyle w:val="Hyperlink"/>
            <w:rFonts w:cs="Calibri"/>
            <w:noProof/>
          </w:rPr>
          <w:t xml:space="preserve"> and </w:t>
        </w:r>
        <w:r w:rsidRPr="00022879">
          <w:rPr>
            <w:rStyle w:val="Hyperlink"/>
            <w:rFonts w:cs="Calibri"/>
            <w:i/>
            <w:iCs/>
            <w:noProof/>
          </w:rPr>
          <w:t>Sheep</w:t>
        </w:r>
        <w:r>
          <w:rPr>
            <w:noProof/>
            <w:webHidden/>
          </w:rPr>
          <w:tab/>
        </w:r>
        <w:r>
          <w:rPr>
            <w:noProof/>
            <w:webHidden/>
          </w:rPr>
          <w:fldChar w:fldCharType="begin"/>
        </w:r>
        <w:r>
          <w:rPr>
            <w:noProof/>
            <w:webHidden/>
          </w:rPr>
          <w:instrText xml:space="preserve"> PAGEREF _Toc226668998 \h </w:instrText>
        </w:r>
        <w:r>
          <w:rPr>
            <w:noProof/>
            <w:webHidden/>
          </w:rPr>
        </w:r>
        <w:r>
          <w:rPr>
            <w:noProof/>
            <w:webHidden/>
          </w:rPr>
          <w:fldChar w:fldCharType="separate"/>
        </w:r>
        <w:r w:rsidR="00831581">
          <w:rPr>
            <w:noProof/>
            <w:webHidden/>
          </w:rPr>
          <w:t>187</w:t>
        </w:r>
        <w:r>
          <w:rPr>
            <w:noProof/>
            <w:webHidden/>
          </w:rPr>
          <w:fldChar w:fldCharType="end"/>
        </w:r>
      </w:hyperlink>
    </w:p>
    <w:p w14:paraId="37E097B9" w14:textId="7858EFF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8999" w:history="1">
        <w:r w:rsidRPr="00022879">
          <w:rPr>
            <w:rStyle w:val="Hyperlink"/>
            <w:rFonts w:cs="Calibri"/>
            <w:noProof/>
          </w:rPr>
          <w:t>Table 5.2.7</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Comparison of the 2025 Inventory and a version of the 2025 Inventory updated using default for ostriches and emus from the 2019 IPCC Refinement (IPCC, 2019) for emissions from </w:t>
        </w:r>
        <w:r w:rsidRPr="00022879">
          <w:rPr>
            <w:rStyle w:val="Hyperlink"/>
            <w:rFonts w:cs="Calibri"/>
            <w:i/>
            <w:iCs/>
            <w:noProof/>
          </w:rPr>
          <w:t>Enteric fermentation</w:t>
        </w:r>
        <w:r>
          <w:rPr>
            <w:noProof/>
            <w:webHidden/>
          </w:rPr>
          <w:tab/>
        </w:r>
        <w:r>
          <w:rPr>
            <w:noProof/>
            <w:webHidden/>
          </w:rPr>
          <w:fldChar w:fldCharType="begin"/>
        </w:r>
        <w:r>
          <w:rPr>
            <w:noProof/>
            <w:webHidden/>
          </w:rPr>
          <w:instrText xml:space="preserve"> PAGEREF _Toc226668999 \h </w:instrText>
        </w:r>
        <w:r>
          <w:rPr>
            <w:noProof/>
            <w:webHidden/>
          </w:rPr>
        </w:r>
        <w:r>
          <w:rPr>
            <w:noProof/>
            <w:webHidden/>
          </w:rPr>
          <w:fldChar w:fldCharType="separate"/>
        </w:r>
        <w:r w:rsidR="00831581">
          <w:rPr>
            <w:noProof/>
            <w:webHidden/>
          </w:rPr>
          <w:t>189</w:t>
        </w:r>
        <w:r>
          <w:rPr>
            <w:noProof/>
            <w:webHidden/>
          </w:rPr>
          <w:fldChar w:fldCharType="end"/>
        </w:r>
      </w:hyperlink>
    </w:p>
    <w:p w14:paraId="3E295EB0" w14:textId="3BEC810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0" w:history="1">
        <w:r w:rsidRPr="00022879">
          <w:rPr>
            <w:rStyle w:val="Hyperlink"/>
            <w:noProof/>
          </w:rPr>
          <w:t>Table 5.2.8</w:t>
        </w:r>
        <w:r>
          <w:rPr>
            <w:rFonts w:asciiTheme="minorHAnsi" w:eastAsiaTheme="minorEastAsia" w:hAnsiTheme="minorHAnsi" w:cstheme="minorBidi"/>
            <w:noProof/>
            <w:kern w:val="2"/>
            <w:sz w:val="24"/>
            <w:szCs w:val="24"/>
            <w14:ligatures w14:val="standardContextual"/>
          </w:rPr>
          <w:tab/>
        </w:r>
        <w:r w:rsidRPr="00022879">
          <w:rPr>
            <w:rStyle w:val="Hyperlink"/>
            <w:noProof/>
          </w:rPr>
          <w:t>Comparison of model results with and without corrections for emissions</w:t>
        </w:r>
        <w:r w:rsidRPr="00022879">
          <w:rPr>
            <w:rStyle w:val="Hyperlink"/>
            <w:rFonts w:cs="Calibri"/>
            <w:noProof/>
          </w:rPr>
          <w:t xml:space="preserve"> from </w:t>
        </w:r>
        <w:r w:rsidRPr="00022879">
          <w:rPr>
            <w:rStyle w:val="Hyperlink"/>
            <w:rFonts w:cs="Calibri"/>
            <w:i/>
            <w:iCs/>
            <w:noProof/>
          </w:rPr>
          <w:t>Enteric fermentation</w:t>
        </w:r>
        <w:r>
          <w:rPr>
            <w:noProof/>
            <w:webHidden/>
          </w:rPr>
          <w:tab/>
        </w:r>
        <w:r>
          <w:rPr>
            <w:noProof/>
            <w:webHidden/>
          </w:rPr>
          <w:fldChar w:fldCharType="begin"/>
        </w:r>
        <w:r>
          <w:rPr>
            <w:noProof/>
            <w:webHidden/>
          </w:rPr>
          <w:instrText xml:space="preserve"> PAGEREF _Toc226669000 \h </w:instrText>
        </w:r>
        <w:r>
          <w:rPr>
            <w:noProof/>
            <w:webHidden/>
          </w:rPr>
        </w:r>
        <w:r>
          <w:rPr>
            <w:noProof/>
            <w:webHidden/>
          </w:rPr>
          <w:fldChar w:fldCharType="separate"/>
        </w:r>
        <w:r w:rsidR="00831581">
          <w:rPr>
            <w:noProof/>
            <w:webHidden/>
          </w:rPr>
          <w:t>190</w:t>
        </w:r>
        <w:r>
          <w:rPr>
            <w:noProof/>
            <w:webHidden/>
          </w:rPr>
          <w:fldChar w:fldCharType="end"/>
        </w:r>
      </w:hyperlink>
    </w:p>
    <w:p w14:paraId="54224E8B" w14:textId="3E60C34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1" w:history="1">
        <w:r w:rsidRPr="00022879">
          <w:rPr>
            <w:rStyle w:val="Hyperlink"/>
            <w:rFonts w:cs="Calibri"/>
            <w:noProof/>
          </w:rPr>
          <w:t>Table 5.3.1</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Trends and relative contribution of methane and nitrous oxide emissions in the </w:t>
        </w:r>
        <w:r w:rsidRPr="00022879">
          <w:rPr>
            <w:rStyle w:val="Hyperlink"/>
            <w:rFonts w:cs="Calibri"/>
            <w:i/>
            <w:iCs/>
            <w:noProof/>
          </w:rPr>
          <w:t>Manure management</w:t>
        </w:r>
        <w:r w:rsidRPr="00022879">
          <w:rPr>
            <w:rStyle w:val="Hyperlink"/>
            <w:rFonts w:cs="Calibri"/>
            <w:noProof/>
          </w:rPr>
          <w:t xml:space="preserve"> category between 1990 and 2024</w:t>
        </w:r>
        <w:r>
          <w:rPr>
            <w:noProof/>
            <w:webHidden/>
          </w:rPr>
          <w:tab/>
        </w:r>
        <w:r>
          <w:rPr>
            <w:noProof/>
            <w:webHidden/>
          </w:rPr>
          <w:fldChar w:fldCharType="begin"/>
        </w:r>
        <w:r>
          <w:rPr>
            <w:noProof/>
            <w:webHidden/>
          </w:rPr>
          <w:instrText xml:space="preserve"> PAGEREF _Toc226669001 \h </w:instrText>
        </w:r>
        <w:r>
          <w:rPr>
            <w:noProof/>
            <w:webHidden/>
          </w:rPr>
        </w:r>
        <w:r>
          <w:rPr>
            <w:noProof/>
            <w:webHidden/>
          </w:rPr>
          <w:fldChar w:fldCharType="separate"/>
        </w:r>
        <w:r w:rsidR="00831581">
          <w:rPr>
            <w:noProof/>
            <w:webHidden/>
          </w:rPr>
          <w:t>191</w:t>
        </w:r>
        <w:r>
          <w:rPr>
            <w:noProof/>
            <w:webHidden/>
          </w:rPr>
          <w:fldChar w:fldCharType="end"/>
        </w:r>
      </w:hyperlink>
    </w:p>
    <w:p w14:paraId="432C04B6" w14:textId="2F409CC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2" w:history="1">
        <w:r w:rsidRPr="00022879">
          <w:rPr>
            <w:rStyle w:val="Hyperlink"/>
            <w:rFonts w:cs="Calibri"/>
            <w:noProof/>
          </w:rPr>
          <w:t>Table 5.3.2</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Distribution of livestock waste across animal waste management systems in</w:t>
        </w:r>
        <w:r w:rsidRPr="00022879">
          <w:rPr>
            <w:rStyle w:val="Hyperlink"/>
            <w:noProof/>
          </w:rPr>
          <w:t xml:space="preserve"> </w:t>
        </w:r>
        <w:r w:rsidRPr="00022879">
          <w:rPr>
            <w:rStyle w:val="Hyperlink"/>
            <w:rFonts w:cs="Calibri"/>
            <w:noProof/>
          </w:rPr>
          <w:t>New Zealand in </w:t>
        </w:r>
        <w:r w:rsidRPr="00022879">
          <w:rPr>
            <w:rStyle w:val="Hyperlink"/>
            <w:noProof/>
          </w:rPr>
          <w:t>2024</w:t>
        </w:r>
        <w:r>
          <w:rPr>
            <w:noProof/>
            <w:webHidden/>
          </w:rPr>
          <w:tab/>
        </w:r>
        <w:r>
          <w:rPr>
            <w:noProof/>
            <w:webHidden/>
          </w:rPr>
          <w:fldChar w:fldCharType="begin"/>
        </w:r>
        <w:r>
          <w:rPr>
            <w:noProof/>
            <w:webHidden/>
          </w:rPr>
          <w:instrText xml:space="preserve"> PAGEREF _Toc226669002 \h </w:instrText>
        </w:r>
        <w:r>
          <w:rPr>
            <w:noProof/>
            <w:webHidden/>
          </w:rPr>
        </w:r>
        <w:r>
          <w:rPr>
            <w:noProof/>
            <w:webHidden/>
          </w:rPr>
          <w:fldChar w:fldCharType="separate"/>
        </w:r>
        <w:r w:rsidR="00831581">
          <w:rPr>
            <w:noProof/>
            <w:webHidden/>
          </w:rPr>
          <w:t>192</w:t>
        </w:r>
        <w:r>
          <w:rPr>
            <w:noProof/>
            <w:webHidden/>
          </w:rPr>
          <w:fldChar w:fldCharType="end"/>
        </w:r>
      </w:hyperlink>
    </w:p>
    <w:p w14:paraId="0ABD8845" w14:textId="708D93F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3" w:history="1">
        <w:r w:rsidRPr="00022879">
          <w:rPr>
            <w:rStyle w:val="Hyperlink"/>
            <w:rFonts w:cs="Calibri"/>
            <w:noProof/>
          </w:rPr>
          <w:t>Table 5.3.3</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Emission factors and parameter values for use of mitigation technologies</w:t>
        </w:r>
        <w:r>
          <w:rPr>
            <w:noProof/>
            <w:webHidden/>
          </w:rPr>
          <w:tab/>
        </w:r>
        <w:r>
          <w:rPr>
            <w:noProof/>
            <w:webHidden/>
          </w:rPr>
          <w:fldChar w:fldCharType="begin"/>
        </w:r>
        <w:r>
          <w:rPr>
            <w:noProof/>
            <w:webHidden/>
          </w:rPr>
          <w:instrText xml:space="preserve"> PAGEREF _Toc226669003 \h </w:instrText>
        </w:r>
        <w:r>
          <w:rPr>
            <w:noProof/>
            <w:webHidden/>
          </w:rPr>
        </w:r>
        <w:r>
          <w:rPr>
            <w:noProof/>
            <w:webHidden/>
          </w:rPr>
          <w:fldChar w:fldCharType="separate"/>
        </w:r>
        <w:r w:rsidR="00831581">
          <w:rPr>
            <w:noProof/>
            <w:webHidden/>
          </w:rPr>
          <w:t>192</w:t>
        </w:r>
        <w:r>
          <w:rPr>
            <w:noProof/>
            <w:webHidden/>
          </w:rPr>
          <w:fldChar w:fldCharType="end"/>
        </w:r>
      </w:hyperlink>
    </w:p>
    <w:p w14:paraId="242183DA" w14:textId="04D76D5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4" w:history="1">
        <w:r w:rsidRPr="00022879">
          <w:rPr>
            <w:rStyle w:val="Hyperlink"/>
            <w:noProof/>
          </w:rPr>
          <w:t>Table 5.3.4</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Mitigation impact of EcoPond</w:t>
        </w:r>
        <w:r w:rsidRPr="00022879">
          <w:rPr>
            <w:rStyle w:val="Hyperlink"/>
            <w:noProof/>
          </w:rPr>
          <w:t>™</w:t>
        </w:r>
        <w:r w:rsidRPr="00022879">
          <w:rPr>
            <w:rStyle w:val="Hyperlink"/>
            <w:rFonts w:cs="Calibri"/>
            <w:noProof/>
          </w:rPr>
          <w:t xml:space="preserve"> on methane emissions from anaerobic lagoons, for 2023 and </w:t>
        </w:r>
        <w:r w:rsidRPr="00022879">
          <w:rPr>
            <w:rStyle w:val="Hyperlink"/>
            <w:noProof/>
          </w:rPr>
          <w:t>2024</w:t>
        </w:r>
        <w:r>
          <w:rPr>
            <w:noProof/>
            <w:webHidden/>
          </w:rPr>
          <w:tab/>
        </w:r>
        <w:r>
          <w:rPr>
            <w:noProof/>
            <w:webHidden/>
          </w:rPr>
          <w:fldChar w:fldCharType="begin"/>
        </w:r>
        <w:r>
          <w:rPr>
            <w:noProof/>
            <w:webHidden/>
          </w:rPr>
          <w:instrText xml:space="preserve"> PAGEREF _Toc226669004 \h </w:instrText>
        </w:r>
        <w:r>
          <w:rPr>
            <w:noProof/>
            <w:webHidden/>
          </w:rPr>
        </w:r>
        <w:r>
          <w:rPr>
            <w:noProof/>
            <w:webHidden/>
          </w:rPr>
          <w:fldChar w:fldCharType="separate"/>
        </w:r>
        <w:r w:rsidR="00831581">
          <w:rPr>
            <w:noProof/>
            <w:webHidden/>
          </w:rPr>
          <w:t>194</w:t>
        </w:r>
        <w:r>
          <w:rPr>
            <w:noProof/>
            <w:webHidden/>
          </w:rPr>
          <w:fldChar w:fldCharType="end"/>
        </w:r>
      </w:hyperlink>
    </w:p>
    <w:p w14:paraId="34CC124B" w14:textId="6C10661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5" w:history="1">
        <w:r w:rsidRPr="00022879">
          <w:rPr>
            <w:rStyle w:val="Hyperlink"/>
            <w:rFonts w:cs="Calibri"/>
            <w:noProof/>
          </w:rPr>
          <w:t>Table 5.3.5</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Regional anaerobic lagoon and solid storage methane conversion factors (MCFs) for dairy</w:t>
        </w:r>
        <w:r>
          <w:rPr>
            <w:noProof/>
            <w:webHidden/>
          </w:rPr>
          <w:tab/>
        </w:r>
        <w:r>
          <w:rPr>
            <w:noProof/>
            <w:webHidden/>
          </w:rPr>
          <w:fldChar w:fldCharType="begin"/>
        </w:r>
        <w:r>
          <w:rPr>
            <w:noProof/>
            <w:webHidden/>
          </w:rPr>
          <w:instrText xml:space="preserve"> PAGEREF _Toc226669005 \h </w:instrText>
        </w:r>
        <w:r>
          <w:rPr>
            <w:noProof/>
            <w:webHidden/>
          </w:rPr>
        </w:r>
        <w:r>
          <w:rPr>
            <w:noProof/>
            <w:webHidden/>
          </w:rPr>
          <w:fldChar w:fldCharType="separate"/>
        </w:r>
        <w:r w:rsidR="00831581">
          <w:rPr>
            <w:noProof/>
            <w:webHidden/>
          </w:rPr>
          <w:t>195</w:t>
        </w:r>
        <w:r>
          <w:rPr>
            <w:noProof/>
            <w:webHidden/>
          </w:rPr>
          <w:fldChar w:fldCharType="end"/>
        </w:r>
      </w:hyperlink>
    </w:p>
    <w:p w14:paraId="13E6A7C2" w14:textId="7CD762B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6" w:history="1">
        <w:r w:rsidRPr="00022879">
          <w:rPr>
            <w:rStyle w:val="Hyperlink"/>
            <w:noProof/>
          </w:rPr>
          <w:t xml:space="preserve">Table 5.3.6 </w:t>
        </w:r>
        <w:r>
          <w:rPr>
            <w:rFonts w:asciiTheme="minorHAnsi" w:eastAsiaTheme="minorEastAsia" w:hAnsiTheme="minorHAnsi" w:cstheme="minorBidi"/>
            <w:noProof/>
            <w:kern w:val="2"/>
            <w:sz w:val="24"/>
            <w:szCs w:val="24"/>
            <w14:ligatures w14:val="standardContextual"/>
          </w:rPr>
          <w:tab/>
        </w:r>
        <w:r w:rsidRPr="00022879">
          <w:rPr>
            <w:rStyle w:val="Hyperlink"/>
            <w:noProof/>
          </w:rPr>
          <w:t>Average annual methane emissions factors from manure management systems (kg CH</w:t>
        </w:r>
        <w:r w:rsidRPr="00022879">
          <w:rPr>
            <w:rStyle w:val="Hyperlink"/>
            <w:noProof/>
            <w:vertAlign w:val="subscript"/>
          </w:rPr>
          <w:t>4</w:t>
        </w:r>
        <w:r w:rsidRPr="00022879">
          <w:rPr>
            <w:rStyle w:val="Hyperlink"/>
            <w:noProof/>
          </w:rPr>
          <w:t>/year/head) for swine, 1990 to 2024</w:t>
        </w:r>
        <w:r>
          <w:rPr>
            <w:noProof/>
            <w:webHidden/>
          </w:rPr>
          <w:tab/>
        </w:r>
        <w:r>
          <w:rPr>
            <w:noProof/>
            <w:webHidden/>
          </w:rPr>
          <w:fldChar w:fldCharType="begin"/>
        </w:r>
        <w:r>
          <w:rPr>
            <w:noProof/>
            <w:webHidden/>
          </w:rPr>
          <w:instrText xml:space="preserve"> PAGEREF _Toc226669006 \h </w:instrText>
        </w:r>
        <w:r>
          <w:rPr>
            <w:noProof/>
            <w:webHidden/>
          </w:rPr>
        </w:r>
        <w:r>
          <w:rPr>
            <w:noProof/>
            <w:webHidden/>
          </w:rPr>
          <w:fldChar w:fldCharType="separate"/>
        </w:r>
        <w:r w:rsidR="00831581">
          <w:rPr>
            <w:noProof/>
            <w:webHidden/>
          </w:rPr>
          <w:t>196</w:t>
        </w:r>
        <w:r>
          <w:rPr>
            <w:noProof/>
            <w:webHidden/>
          </w:rPr>
          <w:fldChar w:fldCharType="end"/>
        </w:r>
      </w:hyperlink>
    </w:p>
    <w:p w14:paraId="12BE6F28" w14:textId="7B74367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7" w:history="1">
        <w:r w:rsidRPr="00022879">
          <w:rPr>
            <w:rStyle w:val="Hyperlink"/>
            <w:noProof/>
          </w:rPr>
          <w:t xml:space="preserve">Table </w:t>
        </w:r>
        <w:r w:rsidRPr="00022879">
          <w:rPr>
            <w:rStyle w:val="Hyperlink"/>
            <w:rFonts w:cs="Calibri"/>
            <w:noProof/>
          </w:rPr>
          <w:t>5.</w:t>
        </w:r>
        <w:r w:rsidRPr="00022879">
          <w:rPr>
            <w:rStyle w:val="Hyperlink"/>
            <w:noProof/>
          </w:rPr>
          <w:t>3</w:t>
        </w:r>
        <w:r w:rsidRPr="00022879">
          <w:rPr>
            <w:rStyle w:val="Hyperlink"/>
            <w:rFonts w:cs="Calibri"/>
            <w:noProof/>
          </w:rPr>
          <w:t>.7</w:t>
        </w:r>
        <w:r w:rsidRPr="00022879">
          <w:rPr>
            <w:rStyle w:val="Hyperlink"/>
            <w:noProof/>
          </w:rPr>
          <w:t xml:space="preserve"> </w:t>
        </w:r>
        <w:r>
          <w:rPr>
            <w:rFonts w:asciiTheme="minorHAnsi" w:eastAsiaTheme="minorEastAsia" w:hAnsiTheme="minorHAnsi" w:cstheme="minorBidi"/>
            <w:noProof/>
            <w:kern w:val="2"/>
            <w:sz w:val="24"/>
            <w:szCs w:val="24"/>
            <w14:ligatures w14:val="standardContextual"/>
          </w:rPr>
          <w:tab/>
        </w:r>
        <w:r w:rsidRPr="00022879">
          <w:rPr>
            <w:rStyle w:val="Hyperlink"/>
            <w:noProof/>
          </w:rPr>
          <w:t>Manure management methane (CH</w:t>
        </w:r>
        <w:r w:rsidRPr="00022879">
          <w:rPr>
            <w:rStyle w:val="Hyperlink"/>
            <w:noProof/>
            <w:vertAlign w:val="subscript"/>
          </w:rPr>
          <w:t>4</w:t>
        </w:r>
        <w:r w:rsidRPr="00022879">
          <w:rPr>
            <w:rStyle w:val="Hyperlink"/>
            <w:noProof/>
          </w:rPr>
          <w:t xml:space="preserve">) emission factors for goats, horses and </w:t>
        </w:r>
        <w:r w:rsidRPr="00022879">
          <w:rPr>
            <w:rStyle w:val="Hyperlink"/>
            <w:rFonts w:cs="Calibri"/>
            <w:noProof/>
          </w:rPr>
          <w:t>mules and asses</w:t>
        </w:r>
        <w:r>
          <w:rPr>
            <w:noProof/>
            <w:webHidden/>
          </w:rPr>
          <w:tab/>
        </w:r>
        <w:r>
          <w:rPr>
            <w:noProof/>
            <w:webHidden/>
          </w:rPr>
          <w:fldChar w:fldCharType="begin"/>
        </w:r>
        <w:r>
          <w:rPr>
            <w:noProof/>
            <w:webHidden/>
          </w:rPr>
          <w:instrText xml:space="preserve"> PAGEREF _Toc226669007 \h </w:instrText>
        </w:r>
        <w:r>
          <w:rPr>
            <w:noProof/>
            <w:webHidden/>
          </w:rPr>
        </w:r>
        <w:r>
          <w:rPr>
            <w:noProof/>
            <w:webHidden/>
          </w:rPr>
          <w:fldChar w:fldCharType="separate"/>
        </w:r>
        <w:r w:rsidR="00831581">
          <w:rPr>
            <w:noProof/>
            <w:webHidden/>
          </w:rPr>
          <w:t>197</w:t>
        </w:r>
        <w:r>
          <w:rPr>
            <w:noProof/>
            <w:webHidden/>
          </w:rPr>
          <w:fldChar w:fldCharType="end"/>
        </w:r>
      </w:hyperlink>
    </w:p>
    <w:p w14:paraId="2EBB156B" w14:textId="65F7FD1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8" w:history="1">
        <w:r w:rsidRPr="00022879">
          <w:rPr>
            <w:rStyle w:val="Hyperlink"/>
            <w:rFonts w:cs="Calibri"/>
            <w:noProof/>
          </w:rPr>
          <w:t>Table 5.3.8</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Nitrogen excretion rates (N</w:t>
        </w:r>
        <w:r w:rsidRPr="00022879">
          <w:rPr>
            <w:rStyle w:val="Hyperlink"/>
            <w:rFonts w:cs="Calibri"/>
            <w:noProof/>
            <w:vertAlign w:val="subscript"/>
          </w:rPr>
          <w:t>ex</w:t>
        </w:r>
        <w:r w:rsidRPr="00022879">
          <w:rPr>
            <w:rStyle w:val="Hyperlink"/>
            <w:rFonts w:cs="Calibri"/>
            <w:noProof/>
          </w:rPr>
          <w:t xml:space="preserve">) for </w:t>
        </w:r>
        <w:r w:rsidRPr="00022879">
          <w:rPr>
            <w:rStyle w:val="Hyperlink"/>
            <w:noProof/>
          </w:rPr>
          <w:t>New Zealand’s</w:t>
        </w:r>
        <w:r w:rsidRPr="00022879">
          <w:rPr>
            <w:rStyle w:val="Hyperlink"/>
            <w:rFonts w:cs="Calibri"/>
            <w:noProof/>
          </w:rPr>
          <w:t xml:space="preserve"> major livestock categories, from 1990 to 2024</w:t>
        </w:r>
        <w:r>
          <w:rPr>
            <w:noProof/>
            <w:webHidden/>
          </w:rPr>
          <w:tab/>
        </w:r>
        <w:r>
          <w:rPr>
            <w:noProof/>
            <w:webHidden/>
          </w:rPr>
          <w:fldChar w:fldCharType="begin"/>
        </w:r>
        <w:r>
          <w:rPr>
            <w:noProof/>
            <w:webHidden/>
          </w:rPr>
          <w:instrText xml:space="preserve"> PAGEREF _Toc226669008 \h </w:instrText>
        </w:r>
        <w:r>
          <w:rPr>
            <w:noProof/>
            <w:webHidden/>
          </w:rPr>
        </w:r>
        <w:r>
          <w:rPr>
            <w:noProof/>
            <w:webHidden/>
          </w:rPr>
          <w:fldChar w:fldCharType="separate"/>
        </w:r>
        <w:r w:rsidR="00831581">
          <w:rPr>
            <w:noProof/>
            <w:webHidden/>
          </w:rPr>
          <w:t>198</w:t>
        </w:r>
        <w:r>
          <w:rPr>
            <w:noProof/>
            <w:webHidden/>
          </w:rPr>
          <w:fldChar w:fldCharType="end"/>
        </w:r>
      </w:hyperlink>
    </w:p>
    <w:p w14:paraId="5A317313" w14:textId="77815D0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09" w:history="1">
        <w:r w:rsidRPr="00022879">
          <w:rPr>
            <w:rStyle w:val="Hyperlink"/>
            <w:rFonts w:cs="Calibri"/>
            <w:noProof/>
          </w:rPr>
          <w:t>Table 5.3.9</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Nitrogen excretion (N</w:t>
        </w:r>
        <w:r w:rsidRPr="00022879">
          <w:rPr>
            <w:rStyle w:val="Hyperlink"/>
            <w:rFonts w:cs="Calibri"/>
            <w:noProof/>
            <w:vertAlign w:val="subscript"/>
          </w:rPr>
          <w:t>ex</w:t>
        </w:r>
        <w:r w:rsidRPr="00022879">
          <w:rPr>
            <w:rStyle w:val="Hyperlink"/>
            <w:rFonts w:cs="Calibri"/>
            <w:noProof/>
          </w:rPr>
          <w:t xml:space="preserve">) rates for </w:t>
        </w:r>
        <w:r w:rsidRPr="00022879">
          <w:rPr>
            <w:rStyle w:val="Hyperlink"/>
            <w:noProof/>
          </w:rPr>
          <w:t>New Zealand’s</w:t>
        </w:r>
        <w:r w:rsidRPr="00022879">
          <w:rPr>
            <w:rStyle w:val="Hyperlink"/>
            <w:rFonts w:cs="Calibri"/>
            <w:noProof/>
          </w:rPr>
          <w:t xml:space="preserve"> swine and goats, from 1990 to 2024</w:t>
        </w:r>
        <w:r>
          <w:rPr>
            <w:noProof/>
            <w:webHidden/>
          </w:rPr>
          <w:tab/>
        </w:r>
        <w:r>
          <w:rPr>
            <w:noProof/>
            <w:webHidden/>
          </w:rPr>
          <w:fldChar w:fldCharType="begin"/>
        </w:r>
        <w:r>
          <w:rPr>
            <w:noProof/>
            <w:webHidden/>
          </w:rPr>
          <w:instrText xml:space="preserve"> PAGEREF _Toc226669009 \h </w:instrText>
        </w:r>
        <w:r>
          <w:rPr>
            <w:noProof/>
            <w:webHidden/>
          </w:rPr>
        </w:r>
        <w:r>
          <w:rPr>
            <w:noProof/>
            <w:webHidden/>
          </w:rPr>
          <w:fldChar w:fldCharType="separate"/>
        </w:r>
        <w:r w:rsidR="00831581">
          <w:rPr>
            <w:noProof/>
            <w:webHidden/>
          </w:rPr>
          <w:t>199</w:t>
        </w:r>
        <w:r>
          <w:rPr>
            <w:noProof/>
            <w:webHidden/>
          </w:rPr>
          <w:fldChar w:fldCharType="end"/>
        </w:r>
      </w:hyperlink>
    </w:p>
    <w:p w14:paraId="36188B80" w14:textId="3ED68BA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0" w:history="1">
        <w:r w:rsidRPr="00022879">
          <w:rPr>
            <w:rStyle w:val="Hyperlink"/>
            <w:rFonts w:cs="Calibri"/>
            <w:noProof/>
          </w:rPr>
          <w:t>Table 5.3.10</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IPCC default values for the fraction of managed manure nitrogen that volatilises as ammonia and oxides (Frac</w:t>
        </w:r>
        <w:r w:rsidRPr="00022879">
          <w:rPr>
            <w:rStyle w:val="Hyperlink"/>
            <w:rFonts w:cs="Calibri"/>
            <w:noProof/>
            <w:vertAlign w:val="subscript"/>
          </w:rPr>
          <w:t>GasMS</w:t>
        </w:r>
        <w:r w:rsidRPr="00022879">
          <w:rPr>
            <w:rStyle w:val="Hyperlink"/>
            <w:rFonts w:cs="Calibri"/>
            <w:noProof/>
          </w:rPr>
          <w:t>/100) for livestock categories per manure management system in New Zealand</w:t>
        </w:r>
        <w:r>
          <w:rPr>
            <w:noProof/>
            <w:webHidden/>
          </w:rPr>
          <w:tab/>
        </w:r>
        <w:r>
          <w:rPr>
            <w:noProof/>
            <w:webHidden/>
          </w:rPr>
          <w:fldChar w:fldCharType="begin"/>
        </w:r>
        <w:r>
          <w:rPr>
            <w:noProof/>
            <w:webHidden/>
          </w:rPr>
          <w:instrText xml:space="preserve"> PAGEREF _Toc226669010 \h </w:instrText>
        </w:r>
        <w:r>
          <w:rPr>
            <w:noProof/>
            <w:webHidden/>
          </w:rPr>
        </w:r>
        <w:r>
          <w:rPr>
            <w:noProof/>
            <w:webHidden/>
          </w:rPr>
          <w:fldChar w:fldCharType="separate"/>
        </w:r>
        <w:r w:rsidR="00831581">
          <w:rPr>
            <w:noProof/>
            <w:webHidden/>
          </w:rPr>
          <w:t>202</w:t>
        </w:r>
        <w:r>
          <w:rPr>
            <w:noProof/>
            <w:webHidden/>
          </w:rPr>
          <w:fldChar w:fldCharType="end"/>
        </w:r>
      </w:hyperlink>
    </w:p>
    <w:p w14:paraId="66AC810B" w14:textId="1D0BB45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1" w:history="1">
        <w:r w:rsidRPr="00022879">
          <w:rPr>
            <w:rStyle w:val="Hyperlink"/>
            <w:rFonts w:cs="Calibri"/>
            <w:noProof/>
          </w:rPr>
          <w:t>Table 5.3.11</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IPCC default values for the fraction of managed manure nitrogen that leaches (Frac</w:t>
        </w:r>
        <w:r w:rsidRPr="00022879">
          <w:rPr>
            <w:rStyle w:val="Hyperlink"/>
            <w:rFonts w:cs="Calibri"/>
            <w:noProof/>
            <w:vertAlign w:val="subscript"/>
          </w:rPr>
          <w:t>leach</w:t>
        </w:r>
        <w:r w:rsidRPr="00022879">
          <w:rPr>
            <w:rStyle w:val="Hyperlink"/>
            <w:rFonts w:cs="Calibri"/>
            <w:noProof/>
          </w:rPr>
          <w:t>/100) for livestock categories per manure management system in New Zealand</w:t>
        </w:r>
        <w:r>
          <w:rPr>
            <w:noProof/>
            <w:webHidden/>
          </w:rPr>
          <w:tab/>
        </w:r>
        <w:r>
          <w:rPr>
            <w:noProof/>
            <w:webHidden/>
          </w:rPr>
          <w:fldChar w:fldCharType="begin"/>
        </w:r>
        <w:r>
          <w:rPr>
            <w:noProof/>
            <w:webHidden/>
          </w:rPr>
          <w:instrText xml:space="preserve"> PAGEREF _Toc226669011 \h </w:instrText>
        </w:r>
        <w:r>
          <w:rPr>
            <w:noProof/>
            <w:webHidden/>
          </w:rPr>
        </w:r>
        <w:r>
          <w:rPr>
            <w:noProof/>
            <w:webHidden/>
          </w:rPr>
          <w:fldChar w:fldCharType="separate"/>
        </w:r>
        <w:r w:rsidR="00831581">
          <w:rPr>
            <w:noProof/>
            <w:webHidden/>
          </w:rPr>
          <w:t>202</w:t>
        </w:r>
        <w:r>
          <w:rPr>
            <w:noProof/>
            <w:webHidden/>
          </w:rPr>
          <w:fldChar w:fldCharType="end"/>
        </w:r>
      </w:hyperlink>
    </w:p>
    <w:p w14:paraId="02DF7125" w14:textId="2658038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2" w:history="1">
        <w:r w:rsidRPr="00022879">
          <w:rPr>
            <w:rStyle w:val="Hyperlink"/>
            <w:rFonts w:cs="Calibri"/>
            <w:noProof/>
          </w:rPr>
          <w:t>Table 5.3.12</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Comparison of IPCC (2006) table 10A-4 default emission factors and country-specific implied emission factors (IEFs) for methane from manure management</w:t>
        </w:r>
        <w:r>
          <w:rPr>
            <w:noProof/>
            <w:webHidden/>
          </w:rPr>
          <w:tab/>
        </w:r>
        <w:r>
          <w:rPr>
            <w:noProof/>
            <w:webHidden/>
          </w:rPr>
          <w:fldChar w:fldCharType="begin"/>
        </w:r>
        <w:r>
          <w:rPr>
            <w:noProof/>
            <w:webHidden/>
          </w:rPr>
          <w:instrText xml:space="preserve"> PAGEREF _Toc226669012 \h </w:instrText>
        </w:r>
        <w:r>
          <w:rPr>
            <w:noProof/>
            <w:webHidden/>
          </w:rPr>
        </w:r>
        <w:r>
          <w:rPr>
            <w:noProof/>
            <w:webHidden/>
          </w:rPr>
          <w:fldChar w:fldCharType="separate"/>
        </w:r>
        <w:r w:rsidR="00831581">
          <w:rPr>
            <w:noProof/>
            <w:webHidden/>
          </w:rPr>
          <w:t>204</w:t>
        </w:r>
        <w:r>
          <w:rPr>
            <w:noProof/>
            <w:webHidden/>
          </w:rPr>
          <w:fldChar w:fldCharType="end"/>
        </w:r>
      </w:hyperlink>
    </w:p>
    <w:p w14:paraId="51044C5E" w14:textId="267E2D6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3" w:history="1">
        <w:r w:rsidRPr="00022879">
          <w:rPr>
            <w:rStyle w:val="Hyperlink"/>
            <w:rFonts w:cs="Calibri"/>
            <w:noProof/>
          </w:rPr>
          <w:t>Table 5.3.13</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P</w:t>
        </w:r>
        <w:r w:rsidRPr="00022879">
          <w:rPr>
            <w:rStyle w:val="Hyperlink"/>
            <w:rFonts w:eastAsia="Calibri"/>
            <w:noProof/>
          </w:rPr>
          <w:t>roportions of manure deposited on different structures by mature milking cows, 2022 to 2023</w:t>
        </w:r>
        <w:r>
          <w:rPr>
            <w:noProof/>
            <w:webHidden/>
          </w:rPr>
          <w:tab/>
        </w:r>
        <w:r>
          <w:rPr>
            <w:noProof/>
            <w:webHidden/>
          </w:rPr>
          <w:fldChar w:fldCharType="begin"/>
        </w:r>
        <w:r>
          <w:rPr>
            <w:noProof/>
            <w:webHidden/>
          </w:rPr>
          <w:instrText xml:space="preserve"> PAGEREF _Toc226669013 \h </w:instrText>
        </w:r>
        <w:r>
          <w:rPr>
            <w:noProof/>
            <w:webHidden/>
          </w:rPr>
        </w:r>
        <w:r>
          <w:rPr>
            <w:noProof/>
            <w:webHidden/>
          </w:rPr>
          <w:fldChar w:fldCharType="separate"/>
        </w:r>
        <w:r w:rsidR="00831581">
          <w:rPr>
            <w:noProof/>
            <w:webHidden/>
          </w:rPr>
          <w:t>206</w:t>
        </w:r>
        <w:r>
          <w:rPr>
            <w:noProof/>
            <w:webHidden/>
          </w:rPr>
          <w:fldChar w:fldCharType="end"/>
        </w:r>
      </w:hyperlink>
    </w:p>
    <w:p w14:paraId="2CF28745" w14:textId="7EA1F08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4" w:history="1">
        <w:r w:rsidRPr="00022879">
          <w:rPr>
            <w:rStyle w:val="Hyperlink"/>
            <w:rFonts w:cs="Calibri"/>
            <w:noProof/>
          </w:rPr>
          <w:t>Table 5.3.14</w:t>
        </w:r>
        <w:r>
          <w:rPr>
            <w:rFonts w:asciiTheme="minorHAnsi" w:eastAsiaTheme="minorEastAsia" w:hAnsiTheme="minorHAnsi" w:cstheme="minorBidi"/>
            <w:noProof/>
            <w:kern w:val="2"/>
            <w:sz w:val="24"/>
            <w:szCs w:val="24"/>
            <w14:ligatures w14:val="standardContextual"/>
          </w:rPr>
          <w:tab/>
        </w:r>
        <w:r w:rsidRPr="00022879">
          <w:rPr>
            <w:rStyle w:val="Hyperlink"/>
            <w:noProof/>
          </w:rPr>
          <w:t>Division between solid and liquid/slurry for manure from structures</w:t>
        </w:r>
        <w:r>
          <w:rPr>
            <w:noProof/>
            <w:webHidden/>
          </w:rPr>
          <w:tab/>
        </w:r>
        <w:r>
          <w:rPr>
            <w:noProof/>
            <w:webHidden/>
          </w:rPr>
          <w:fldChar w:fldCharType="begin"/>
        </w:r>
        <w:r>
          <w:rPr>
            <w:noProof/>
            <w:webHidden/>
          </w:rPr>
          <w:instrText xml:space="preserve"> PAGEREF _Toc226669014 \h </w:instrText>
        </w:r>
        <w:r>
          <w:rPr>
            <w:noProof/>
            <w:webHidden/>
          </w:rPr>
        </w:r>
        <w:r>
          <w:rPr>
            <w:noProof/>
            <w:webHidden/>
          </w:rPr>
          <w:fldChar w:fldCharType="separate"/>
        </w:r>
        <w:r w:rsidR="00831581">
          <w:rPr>
            <w:noProof/>
            <w:webHidden/>
          </w:rPr>
          <w:t>206</w:t>
        </w:r>
        <w:r>
          <w:rPr>
            <w:noProof/>
            <w:webHidden/>
          </w:rPr>
          <w:fldChar w:fldCharType="end"/>
        </w:r>
      </w:hyperlink>
    </w:p>
    <w:p w14:paraId="6F3C39BB" w14:textId="4AE4AFD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5" w:history="1">
        <w:r w:rsidRPr="00022879">
          <w:rPr>
            <w:rStyle w:val="Hyperlink"/>
            <w:rFonts w:cs="Calibri"/>
            <w:noProof/>
          </w:rPr>
          <w:t>Table 5.3.15</w:t>
        </w:r>
        <w:r>
          <w:rPr>
            <w:rFonts w:asciiTheme="minorHAnsi" w:eastAsiaTheme="minorEastAsia" w:hAnsiTheme="minorHAnsi" w:cstheme="minorBidi"/>
            <w:noProof/>
            <w:kern w:val="2"/>
            <w:sz w:val="24"/>
            <w:szCs w:val="24"/>
            <w14:ligatures w14:val="standardContextual"/>
          </w:rPr>
          <w:tab/>
        </w:r>
        <w:r w:rsidRPr="00022879">
          <w:rPr>
            <w:rStyle w:val="Hyperlink"/>
            <w:noProof/>
          </w:rPr>
          <w:t>Seasonal proportion of total annual manure collected on off-paddock facilities (excluding milking sheds)</w:t>
        </w:r>
        <w:r>
          <w:rPr>
            <w:noProof/>
            <w:webHidden/>
          </w:rPr>
          <w:tab/>
        </w:r>
        <w:r>
          <w:rPr>
            <w:noProof/>
            <w:webHidden/>
          </w:rPr>
          <w:fldChar w:fldCharType="begin"/>
        </w:r>
        <w:r>
          <w:rPr>
            <w:noProof/>
            <w:webHidden/>
          </w:rPr>
          <w:instrText xml:space="preserve"> PAGEREF _Toc226669015 \h </w:instrText>
        </w:r>
        <w:r>
          <w:rPr>
            <w:noProof/>
            <w:webHidden/>
          </w:rPr>
        </w:r>
        <w:r>
          <w:rPr>
            <w:noProof/>
            <w:webHidden/>
          </w:rPr>
          <w:fldChar w:fldCharType="separate"/>
        </w:r>
        <w:r w:rsidR="00831581">
          <w:rPr>
            <w:noProof/>
            <w:webHidden/>
          </w:rPr>
          <w:t>207</w:t>
        </w:r>
        <w:r>
          <w:rPr>
            <w:noProof/>
            <w:webHidden/>
          </w:rPr>
          <w:fldChar w:fldCharType="end"/>
        </w:r>
      </w:hyperlink>
    </w:p>
    <w:p w14:paraId="747FA8B3" w14:textId="4A08393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6" w:history="1">
        <w:r w:rsidRPr="00022879">
          <w:rPr>
            <w:rStyle w:val="Hyperlink"/>
            <w:noProof/>
          </w:rPr>
          <w:t>Table 5.3.16</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Comparison of the 2025 Inventory and a version of the 2025 Inventory using revised dairy manure management practices for emissions from </w:t>
        </w:r>
        <w:r w:rsidRPr="00022879">
          <w:rPr>
            <w:rStyle w:val="Hyperlink"/>
            <w:i/>
            <w:noProof/>
          </w:rPr>
          <w:t>Manure management</w:t>
        </w:r>
        <w:r w:rsidRPr="00022879">
          <w:rPr>
            <w:rStyle w:val="Hyperlink"/>
            <w:noProof/>
          </w:rPr>
          <w:t>, 1990, 2005 and 2023</w:t>
        </w:r>
        <w:r>
          <w:rPr>
            <w:noProof/>
            <w:webHidden/>
          </w:rPr>
          <w:tab/>
        </w:r>
        <w:r>
          <w:rPr>
            <w:noProof/>
            <w:webHidden/>
          </w:rPr>
          <w:fldChar w:fldCharType="begin"/>
        </w:r>
        <w:r>
          <w:rPr>
            <w:noProof/>
            <w:webHidden/>
          </w:rPr>
          <w:instrText xml:space="preserve"> PAGEREF _Toc226669016 \h </w:instrText>
        </w:r>
        <w:r>
          <w:rPr>
            <w:noProof/>
            <w:webHidden/>
          </w:rPr>
        </w:r>
        <w:r>
          <w:rPr>
            <w:noProof/>
            <w:webHidden/>
          </w:rPr>
          <w:fldChar w:fldCharType="separate"/>
        </w:r>
        <w:r w:rsidR="00831581">
          <w:rPr>
            <w:noProof/>
            <w:webHidden/>
          </w:rPr>
          <w:t>207</w:t>
        </w:r>
        <w:r>
          <w:rPr>
            <w:noProof/>
            <w:webHidden/>
          </w:rPr>
          <w:fldChar w:fldCharType="end"/>
        </w:r>
      </w:hyperlink>
    </w:p>
    <w:p w14:paraId="6077DF46" w14:textId="5E44FC9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7" w:history="1">
        <w:r w:rsidRPr="00022879">
          <w:rPr>
            <w:rStyle w:val="Hyperlink"/>
            <w:noProof/>
          </w:rPr>
          <w:t>Table 5.3.17</w:t>
        </w:r>
        <w:r>
          <w:rPr>
            <w:rFonts w:asciiTheme="minorHAnsi" w:eastAsiaTheme="minorEastAsia" w:hAnsiTheme="minorHAnsi" w:cstheme="minorBidi"/>
            <w:noProof/>
            <w:kern w:val="2"/>
            <w:sz w:val="24"/>
            <w:szCs w:val="24"/>
            <w14:ligatures w14:val="standardContextual"/>
          </w:rPr>
          <w:tab/>
        </w:r>
        <w:r w:rsidRPr="00022879">
          <w:rPr>
            <w:rStyle w:val="Hyperlink"/>
            <w:noProof/>
          </w:rPr>
          <w:t>Revised regional methane conversion factor (MCF) values for anaerobic lagoons</w:t>
        </w:r>
        <w:r>
          <w:rPr>
            <w:noProof/>
            <w:webHidden/>
          </w:rPr>
          <w:tab/>
        </w:r>
        <w:r>
          <w:rPr>
            <w:noProof/>
            <w:webHidden/>
          </w:rPr>
          <w:fldChar w:fldCharType="begin"/>
        </w:r>
        <w:r>
          <w:rPr>
            <w:noProof/>
            <w:webHidden/>
          </w:rPr>
          <w:instrText xml:space="preserve"> PAGEREF _Toc226669017 \h </w:instrText>
        </w:r>
        <w:r>
          <w:rPr>
            <w:noProof/>
            <w:webHidden/>
          </w:rPr>
        </w:r>
        <w:r>
          <w:rPr>
            <w:noProof/>
            <w:webHidden/>
          </w:rPr>
          <w:fldChar w:fldCharType="separate"/>
        </w:r>
        <w:r w:rsidR="00831581">
          <w:rPr>
            <w:noProof/>
            <w:webHidden/>
          </w:rPr>
          <w:t>208</w:t>
        </w:r>
        <w:r>
          <w:rPr>
            <w:noProof/>
            <w:webHidden/>
          </w:rPr>
          <w:fldChar w:fldCharType="end"/>
        </w:r>
      </w:hyperlink>
    </w:p>
    <w:p w14:paraId="71BD7132" w14:textId="4112176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8" w:history="1">
        <w:r w:rsidRPr="00022879">
          <w:rPr>
            <w:rStyle w:val="Hyperlink"/>
            <w:noProof/>
          </w:rPr>
          <w:t>Table 5.3.18</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Manure</w:t>
        </w:r>
        <w:r w:rsidRPr="00022879">
          <w:rPr>
            <w:rStyle w:val="Hyperlink"/>
            <w:i/>
            <w:noProof/>
          </w:rPr>
          <w:t xml:space="preserve"> </w:t>
        </w:r>
        <w:r w:rsidRPr="00022879">
          <w:rPr>
            <w:rStyle w:val="Hyperlink"/>
            <w:noProof/>
          </w:rPr>
          <w:t>management methane emission factors for goats, horses and donkeys</w:t>
        </w:r>
        <w:r>
          <w:rPr>
            <w:noProof/>
            <w:webHidden/>
          </w:rPr>
          <w:tab/>
        </w:r>
        <w:r>
          <w:rPr>
            <w:noProof/>
            <w:webHidden/>
          </w:rPr>
          <w:fldChar w:fldCharType="begin"/>
        </w:r>
        <w:r>
          <w:rPr>
            <w:noProof/>
            <w:webHidden/>
          </w:rPr>
          <w:instrText xml:space="preserve"> PAGEREF _Toc226669018 \h </w:instrText>
        </w:r>
        <w:r>
          <w:rPr>
            <w:noProof/>
            <w:webHidden/>
          </w:rPr>
        </w:r>
        <w:r>
          <w:rPr>
            <w:noProof/>
            <w:webHidden/>
          </w:rPr>
          <w:fldChar w:fldCharType="separate"/>
        </w:r>
        <w:r w:rsidR="00831581">
          <w:rPr>
            <w:noProof/>
            <w:webHidden/>
          </w:rPr>
          <w:t>209</w:t>
        </w:r>
        <w:r>
          <w:rPr>
            <w:noProof/>
            <w:webHidden/>
          </w:rPr>
          <w:fldChar w:fldCharType="end"/>
        </w:r>
      </w:hyperlink>
    </w:p>
    <w:p w14:paraId="0BAC732B" w14:textId="4C2FB8B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19" w:history="1">
        <w:r w:rsidRPr="00022879">
          <w:rPr>
            <w:rStyle w:val="Hyperlink"/>
            <w:noProof/>
          </w:rPr>
          <w:t>Table 5.3.19</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Comparison of the 2025 Inventory and a version of the 2025 Inventory using defaults from the 2019 IPCC Refinement for emissions from </w:t>
        </w:r>
        <w:r w:rsidRPr="00022879">
          <w:rPr>
            <w:rStyle w:val="Hyperlink"/>
            <w:i/>
            <w:noProof/>
          </w:rPr>
          <w:t>Manure management</w:t>
        </w:r>
        <w:r>
          <w:rPr>
            <w:noProof/>
            <w:webHidden/>
          </w:rPr>
          <w:tab/>
        </w:r>
        <w:r>
          <w:rPr>
            <w:noProof/>
            <w:webHidden/>
          </w:rPr>
          <w:fldChar w:fldCharType="begin"/>
        </w:r>
        <w:r>
          <w:rPr>
            <w:noProof/>
            <w:webHidden/>
          </w:rPr>
          <w:instrText xml:space="preserve"> PAGEREF _Toc226669019 \h </w:instrText>
        </w:r>
        <w:r>
          <w:rPr>
            <w:noProof/>
            <w:webHidden/>
          </w:rPr>
        </w:r>
        <w:r>
          <w:rPr>
            <w:noProof/>
            <w:webHidden/>
          </w:rPr>
          <w:fldChar w:fldCharType="separate"/>
        </w:r>
        <w:r w:rsidR="00831581">
          <w:rPr>
            <w:noProof/>
            <w:webHidden/>
          </w:rPr>
          <w:t>209</w:t>
        </w:r>
        <w:r>
          <w:rPr>
            <w:noProof/>
            <w:webHidden/>
          </w:rPr>
          <w:fldChar w:fldCharType="end"/>
        </w:r>
      </w:hyperlink>
    </w:p>
    <w:p w14:paraId="71CAF097" w14:textId="76A261C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0" w:history="1">
        <w:r w:rsidRPr="00022879">
          <w:rPr>
            <w:rStyle w:val="Hyperlink"/>
            <w:rFonts w:cs="Calibri"/>
            <w:noProof/>
          </w:rPr>
          <w:t>Table 5.3.20</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Comparison of model results with and without corrections for emissions from </w:t>
        </w:r>
        <w:r w:rsidRPr="00022879">
          <w:rPr>
            <w:rStyle w:val="Hyperlink"/>
            <w:rFonts w:cs="Calibri"/>
            <w:i/>
            <w:noProof/>
          </w:rPr>
          <w:t>Manure management</w:t>
        </w:r>
        <w:r>
          <w:rPr>
            <w:noProof/>
            <w:webHidden/>
          </w:rPr>
          <w:tab/>
        </w:r>
        <w:r>
          <w:rPr>
            <w:noProof/>
            <w:webHidden/>
          </w:rPr>
          <w:fldChar w:fldCharType="begin"/>
        </w:r>
        <w:r>
          <w:rPr>
            <w:noProof/>
            <w:webHidden/>
          </w:rPr>
          <w:instrText xml:space="preserve"> PAGEREF _Toc226669020 \h </w:instrText>
        </w:r>
        <w:r>
          <w:rPr>
            <w:noProof/>
            <w:webHidden/>
          </w:rPr>
        </w:r>
        <w:r>
          <w:rPr>
            <w:noProof/>
            <w:webHidden/>
          </w:rPr>
          <w:fldChar w:fldCharType="separate"/>
        </w:r>
        <w:r w:rsidR="00831581">
          <w:rPr>
            <w:noProof/>
            <w:webHidden/>
          </w:rPr>
          <w:t>210</w:t>
        </w:r>
        <w:r>
          <w:rPr>
            <w:noProof/>
            <w:webHidden/>
          </w:rPr>
          <w:fldChar w:fldCharType="end"/>
        </w:r>
      </w:hyperlink>
    </w:p>
    <w:p w14:paraId="117CC4FF" w14:textId="31AEF7B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1" w:history="1">
        <w:r w:rsidRPr="00022879">
          <w:rPr>
            <w:rStyle w:val="Hyperlink"/>
            <w:rFonts w:cs="Calibri"/>
            <w:noProof/>
          </w:rPr>
          <w:t>Table 5.5.1</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Trends and relative contribution of nitrous oxide emissions from </w:t>
        </w:r>
        <w:r w:rsidRPr="00022879">
          <w:rPr>
            <w:rStyle w:val="Hyperlink"/>
            <w:rFonts w:cs="Calibri"/>
            <w:i/>
            <w:iCs/>
            <w:noProof/>
          </w:rPr>
          <w:t>Agricultural soils</w:t>
        </w:r>
        <w:r w:rsidRPr="00022879">
          <w:rPr>
            <w:rStyle w:val="Hyperlink"/>
            <w:rFonts w:cs="Calibri"/>
            <w:noProof/>
          </w:rPr>
          <w:t xml:space="preserve"> categories between 1990, 2005 and 2024</w:t>
        </w:r>
        <w:r>
          <w:rPr>
            <w:noProof/>
            <w:webHidden/>
          </w:rPr>
          <w:tab/>
        </w:r>
        <w:r>
          <w:rPr>
            <w:noProof/>
            <w:webHidden/>
          </w:rPr>
          <w:fldChar w:fldCharType="begin"/>
        </w:r>
        <w:r>
          <w:rPr>
            <w:noProof/>
            <w:webHidden/>
          </w:rPr>
          <w:instrText xml:space="preserve"> PAGEREF _Toc226669021 \h </w:instrText>
        </w:r>
        <w:r>
          <w:rPr>
            <w:noProof/>
            <w:webHidden/>
          </w:rPr>
        </w:r>
        <w:r>
          <w:rPr>
            <w:noProof/>
            <w:webHidden/>
          </w:rPr>
          <w:fldChar w:fldCharType="separate"/>
        </w:r>
        <w:r w:rsidR="00831581">
          <w:rPr>
            <w:noProof/>
            <w:webHidden/>
          </w:rPr>
          <w:t>213</w:t>
        </w:r>
        <w:r>
          <w:rPr>
            <w:noProof/>
            <w:webHidden/>
          </w:rPr>
          <w:fldChar w:fldCharType="end"/>
        </w:r>
      </w:hyperlink>
    </w:p>
    <w:p w14:paraId="7A9E3317" w14:textId="5EC7637C"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2" w:history="1">
        <w:r w:rsidRPr="00022879">
          <w:rPr>
            <w:rStyle w:val="Hyperlink"/>
            <w:rFonts w:cs="Calibri"/>
            <w:noProof/>
          </w:rPr>
          <w:t>Table 5.5.2</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Nitrous oxide (N</w:t>
        </w:r>
        <w:r w:rsidRPr="00022879">
          <w:rPr>
            <w:rStyle w:val="Hyperlink"/>
            <w:rFonts w:cs="Calibri"/>
            <w:noProof/>
            <w:vertAlign w:val="subscript"/>
          </w:rPr>
          <w:t>2</w:t>
        </w:r>
        <w:r w:rsidRPr="00022879">
          <w:rPr>
            <w:rStyle w:val="Hyperlink"/>
            <w:rFonts w:cs="Calibri"/>
            <w:noProof/>
          </w:rPr>
          <w:t xml:space="preserve">O) emission factors for </w:t>
        </w:r>
        <w:r w:rsidRPr="00022879">
          <w:rPr>
            <w:rStyle w:val="Hyperlink"/>
            <w:rFonts w:cs="Calibri"/>
            <w:i/>
            <w:iCs/>
            <w:noProof/>
          </w:rPr>
          <w:t>Agricultural soils</w:t>
        </w:r>
        <w:r w:rsidRPr="00022879">
          <w:rPr>
            <w:rStyle w:val="Hyperlink"/>
            <w:rFonts w:cs="Calibri"/>
            <w:noProof/>
          </w:rPr>
          <w:t xml:space="preserve"> in New Zealand, excluding EF</w:t>
        </w:r>
        <w:r w:rsidRPr="00022879">
          <w:rPr>
            <w:rStyle w:val="Hyperlink"/>
            <w:rFonts w:cs="Calibri"/>
            <w:noProof/>
            <w:vertAlign w:val="subscript"/>
          </w:rPr>
          <w:t>3,PRP</w:t>
        </w:r>
        <w:r w:rsidRPr="00022879">
          <w:rPr>
            <w:rStyle w:val="Hyperlink"/>
            <w:rFonts w:cs="Calibri"/>
            <w:noProof/>
            <w:vertAlign w:val="subscript"/>
          </w:rPr>
          <w:noBreakHyphen/>
          <w:t xml:space="preserve"> URINE</w:t>
        </w:r>
        <w:r w:rsidRPr="00022879">
          <w:rPr>
            <w:rStyle w:val="Hyperlink"/>
            <w:rFonts w:cs="Calibri"/>
            <w:noProof/>
          </w:rPr>
          <w:t xml:space="preserve"> for cattle, sheep and deer</w:t>
        </w:r>
        <w:r>
          <w:rPr>
            <w:noProof/>
            <w:webHidden/>
          </w:rPr>
          <w:tab/>
        </w:r>
        <w:r>
          <w:rPr>
            <w:noProof/>
            <w:webHidden/>
          </w:rPr>
          <w:fldChar w:fldCharType="begin"/>
        </w:r>
        <w:r>
          <w:rPr>
            <w:noProof/>
            <w:webHidden/>
          </w:rPr>
          <w:instrText xml:space="preserve"> PAGEREF _Toc226669022 \h </w:instrText>
        </w:r>
        <w:r>
          <w:rPr>
            <w:noProof/>
            <w:webHidden/>
          </w:rPr>
        </w:r>
        <w:r>
          <w:rPr>
            <w:noProof/>
            <w:webHidden/>
          </w:rPr>
          <w:fldChar w:fldCharType="separate"/>
        </w:r>
        <w:r w:rsidR="00831581">
          <w:rPr>
            <w:noProof/>
            <w:webHidden/>
          </w:rPr>
          <w:t>215</w:t>
        </w:r>
        <w:r>
          <w:rPr>
            <w:noProof/>
            <w:webHidden/>
          </w:rPr>
          <w:fldChar w:fldCharType="end"/>
        </w:r>
      </w:hyperlink>
    </w:p>
    <w:p w14:paraId="221AEBFF" w14:textId="1E40883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3" w:history="1">
        <w:r w:rsidRPr="00022879">
          <w:rPr>
            <w:rStyle w:val="Hyperlink"/>
            <w:rFonts w:cs="Calibri"/>
            <w:noProof/>
          </w:rPr>
          <w:t>Table 5.5.3</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Direct nitrous oxide emission factors for urine deposited by cattle, sheep and deer, by livestock type and slope, using values calculated by van der Weerden et al. (2019, 2020)</w:t>
        </w:r>
        <w:r>
          <w:rPr>
            <w:noProof/>
            <w:webHidden/>
          </w:rPr>
          <w:tab/>
        </w:r>
        <w:r>
          <w:rPr>
            <w:noProof/>
            <w:webHidden/>
          </w:rPr>
          <w:fldChar w:fldCharType="begin"/>
        </w:r>
        <w:r>
          <w:rPr>
            <w:noProof/>
            <w:webHidden/>
          </w:rPr>
          <w:instrText xml:space="preserve"> PAGEREF _Toc226669023 \h </w:instrText>
        </w:r>
        <w:r>
          <w:rPr>
            <w:noProof/>
            <w:webHidden/>
          </w:rPr>
        </w:r>
        <w:r>
          <w:rPr>
            <w:noProof/>
            <w:webHidden/>
          </w:rPr>
          <w:fldChar w:fldCharType="separate"/>
        </w:r>
        <w:r w:rsidR="00831581">
          <w:rPr>
            <w:noProof/>
            <w:webHidden/>
          </w:rPr>
          <w:t>215</w:t>
        </w:r>
        <w:r>
          <w:rPr>
            <w:noProof/>
            <w:webHidden/>
          </w:rPr>
          <w:fldChar w:fldCharType="end"/>
        </w:r>
      </w:hyperlink>
    </w:p>
    <w:p w14:paraId="7DDC6C2D" w14:textId="0360718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4" w:history="1">
        <w:r w:rsidRPr="00022879">
          <w:rPr>
            <w:rStyle w:val="Hyperlink"/>
            <w:rFonts w:cs="Calibri"/>
            <w:noProof/>
          </w:rPr>
          <w:t>Table 5.5.4</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Parameters for indirect nitrous oxide (N</w:t>
        </w:r>
        <w:r w:rsidRPr="00022879">
          <w:rPr>
            <w:rStyle w:val="Hyperlink"/>
            <w:rFonts w:cs="Calibri"/>
            <w:noProof/>
            <w:vertAlign w:val="subscript"/>
          </w:rPr>
          <w:t>2</w:t>
        </w:r>
        <w:r w:rsidRPr="00022879">
          <w:rPr>
            <w:rStyle w:val="Hyperlink"/>
            <w:rFonts w:cs="Calibri"/>
            <w:noProof/>
          </w:rPr>
          <w:t xml:space="preserve">O) emissions from </w:t>
        </w:r>
        <w:r w:rsidRPr="00022879">
          <w:rPr>
            <w:rStyle w:val="Hyperlink"/>
            <w:rFonts w:cs="Calibri"/>
            <w:i/>
            <w:iCs/>
            <w:noProof/>
          </w:rPr>
          <w:t>Agricultural soils</w:t>
        </w:r>
        <w:r w:rsidRPr="00022879">
          <w:rPr>
            <w:rStyle w:val="Hyperlink"/>
            <w:rFonts w:cs="Calibri"/>
            <w:noProof/>
          </w:rPr>
          <w:t xml:space="preserve"> in New Zealand</w:t>
        </w:r>
        <w:r>
          <w:rPr>
            <w:noProof/>
            <w:webHidden/>
          </w:rPr>
          <w:tab/>
        </w:r>
        <w:r>
          <w:rPr>
            <w:noProof/>
            <w:webHidden/>
          </w:rPr>
          <w:fldChar w:fldCharType="begin"/>
        </w:r>
        <w:r>
          <w:rPr>
            <w:noProof/>
            <w:webHidden/>
          </w:rPr>
          <w:instrText xml:space="preserve"> PAGEREF _Toc226669024 \h </w:instrText>
        </w:r>
        <w:r>
          <w:rPr>
            <w:noProof/>
            <w:webHidden/>
          </w:rPr>
        </w:r>
        <w:r>
          <w:rPr>
            <w:noProof/>
            <w:webHidden/>
          </w:rPr>
          <w:fldChar w:fldCharType="separate"/>
        </w:r>
        <w:r w:rsidR="00831581">
          <w:rPr>
            <w:noProof/>
            <w:webHidden/>
          </w:rPr>
          <w:t>216</w:t>
        </w:r>
        <w:r>
          <w:rPr>
            <w:noProof/>
            <w:webHidden/>
          </w:rPr>
          <w:fldChar w:fldCharType="end"/>
        </w:r>
      </w:hyperlink>
    </w:p>
    <w:p w14:paraId="0C2EF2B0" w14:textId="588F72CC"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5" w:history="1">
        <w:r w:rsidRPr="00022879">
          <w:rPr>
            <w:rStyle w:val="Hyperlink"/>
            <w:rFonts w:cs="Calibri"/>
            <w:noProof/>
          </w:rPr>
          <w:t>Table 5.5.5</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Emission factors and parameter values for use of mitigation technologies</w:t>
        </w:r>
        <w:r>
          <w:rPr>
            <w:noProof/>
            <w:webHidden/>
          </w:rPr>
          <w:tab/>
        </w:r>
        <w:r>
          <w:rPr>
            <w:noProof/>
            <w:webHidden/>
          </w:rPr>
          <w:fldChar w:fldCharType="begin"/>
        </w:r>
        <w:r>
          <w:rPr>
            <w:noProof/>
            <w:webHidden/>
          </w:rPr>
          <w:instrText xml:space="preserve"> PAGEREF _Toc226669025 \h </w:instrText>
        </w:r>
        <w:r>
          <w:rPr>
            <w:noProof/>
            <w:webHidden/>
          </w:rPr>
        </w:r>
        <w:r>
          <w:rPr>
            <w:noProof/>
            <w:webHidden/>
          </w:rPr>
          <w:fldChar w:fldCharType="separate"/>
        </w:r>
        <w:r w:rsidR="00831581">
          <w:rPr>
            <w:noProof/>
            <w:webHidden/>
          </w:rPr>
          <w:t>216</w:t>
        </w:r>
        <w:r>
          <w:rPr>
            <w:noProof/>
            <w:webHidden/>
          </w:rPr>
          <w:fldChar w:fldCharType="end"/>
        </w:r>
      </w:hyperlink>
    </w:p>
    <w:p w14:paraId="0020F2A1" w14:textId="68CC06A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6" w:history="1">
        <w:r w:rsidRPr="00022879">
          <w:rPr>
            <w:rStyle w:val="Hyperlink"/>
            <w:rFonts w:cs="Calibri"/>
            <w:noProof/>
          </w:rPr>
          <w:t>Table 5.5.6</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Number of replicate-level EF</w:t>
        </w:r>
        <w:r w:rsidRPr="00022879">
          <w:rPr>
            <w:rStyle w:val="Hyperlink"/>
            <w:rFonts w:cs="Calibri"/>
            <w:noProof/>
            <w:vertAlign w:val="subscript"/>
          </w:rPr>
          <w:t>3</w:t>
        </w:r>
        <w:r w:rsidRPr="00022879">
          <w:rPr>
            <w:rStyle w:val="Hyperlink"/>
            <w:rFonts w:cs="Calibri"/>
            <w:noProof/>
          </w:rPr>
          <w:t xml:space="preserve"> values collated by the van der Weerden et al. (2019, 2020) analysis, for each nitrogen source and topography (number of individual trials shown in brackets)</w:t>
        </w:r>
        <w:r>
          <w:rPr>
            <w:noProof/>
            <w:webHidden/>
          </w:rPr>
          <w:tab/>
        </w:r>
        <w:r>
          <w:rPr>
            <w:noProof/>
            <w:webHidden/>
          </w:rPr>
          <w:fldChar w:fldCharType="begin"/>
        </w:r>
        <w:r>
          <w:rPr>
            <w:noProof/>
            <w:webHidden/>
          </w:rPr>
          <w:instrText xml:space="preserve"> PAGEREF _Toc226669026 \h </w:instrText>
        </w:r>
        <w:r>
          <w:rPr>
            <w:noProof/>
            <w:webHidden/>
          </w:rPr>
        </w:r>
        <w:r>
          <w:rPr>
            <w:noProof/>
            <w:webHidden/>
          </w:rPr>
          <w:fldChar w:fldCharType="separate"/>
        </w:r>
        <w:r w:rsidR="00831581">
          <w:rPr>
            <w:noProof/>
            <w:webHidden/>
          </w:rPr>
          <w:t>222</w:t>
        </w:r>
        <w:r>
          <w:rPr>
            <w:noProof/>
            <w:webHidden/>
          </w:rPr>
          <w:fldChar w:fldCharType="end"/>
        </w:r>
      </w:hyperlink>
    </w:p>
    <w:p w14:paraId="0B08AFCE" w14:textId="7443C22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7" w:history="1">
        <w:r w:rsidRPr="00022879">
          <w:rPr>
            <w:rStyle w:val="Hyperlink"/>
            <w:rFonts w:cs="Calibri"/>
            <w:noProof/>
          </w:rPr>
          <w:t>Table 5.5.7</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Number of replicate-level EF</w:t>
        </w:r>
        <w:r w:rsidRPr="00022879">
          <w:rPr>
            <w:rStyle w:val="Hyperlink"/>
            <w:rFonts w:cs="Calibri"/>
            <w:noProof/>
            <w:vertAlign w:val="subscript"/>
          </w:rPr>
          <w:t>3</w:t>
        </w:r>
        <w:r w:rsidRPr="00022879">
          <w:rPr>
            <w:rStyle w:val="Hyperlink"/>
            <w:rFonts w:cs="Calibri"/>
            <w:noProof/>
          </w:rPr>
          <w:t xml:space="preserve"> values collated by the van der Weerden et al. (2019, 2020) analysis, for each nitrogen source, season when the trial was undertaken and topography</w:t>
        </w:r>
        <w:r>
          <w:rPr>
            <w:noProof/>
            <w:webHidden/>
          </w:rPr>
          <w:tab/>
        </w:r>
        <w:r>
          <w:rPr>
            <w:noProof/>
            <w:webHidden/>
          </w:rPr>
          <w:fldChar w:fldCharType="begin"/>
        </w:r>
        <w:r>
          <w:rPr>
            <w:noProof/>
            <w:webHidden/>
          </w:rPr>
          <w:instrText xml:space="preserve"> PAGEREF _Toc226669027 \h </w:instrText>
        </w:r>
        <w:r>
          <w:rPr>
            <w:noProof/>
            <w:webHidden/>
          </w:rPr>
        </w:r>
        <w:r>
          <w:rPr>
            <w:noProof/>
            <w:webHidden/>
          </w:rPr>
          <w:fldChar w:fldCharType="separate"/>
        </w:r>
        <w:r w:rsidR="00831581">
          <w:rPr>
            <w:noProof/>
            <w:webHidden/>
          </w:rPr>
          <w:t>223</w:t>
        </w:r>
        <w:r>
          <w:rPr>
            <w:noProof/>
            <w:webHidden/>
          </w:rPr>
          <w:fldChar w:fldCharType="end"/>
        </w:r>
      </w:hyperlink>
    </w:p>
    <w:p w14:paraId="674D36D8" w14:textId="30AEC0E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8" w:history="1">
        <w:r w:rsidRPr="00022879">
          <w:rPr>
            <w:rStyle w:val="Hyperlink"/>
            <w:rFonts w:cs="Calibri"/>
            <w:noProof/>
          </w:rPr>
          <w:t>Table 5.5.8</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Trends and relative contribution of direct nitrous oxide emissions from urine and dung</w:t>
        </w:r>
        <w:r w:rsidRPr="00022879">
          <w:rPr>
            <w:rStyle w:val="Hyperlink"/>
            <w:noProof/>
          </w:rPr>
          <w:t xml:space="preserve"> </w:t>
        </w:r>
        <w:r w:rsidRPr="00022879">
          <w:rPr>
            <w:rStyle w:val="Hyperlink"/>
            <w:rFonts w:cs="Calibri"/>
            <w:noProof/>
          </w:rPr>
          <w:t>deposited by grazing animals per livestock category between 1990 and 2024</w:t>
        </w:r>
        <w:r>
          <w:rPr>
            <w:noProof/>
            <w:webHidden/>
          </w:rPr>
          <w:tab/>
        </w:r>
        <w:r>
          <w:rPr>
            <w:noProof/>
            <w:webHidden/>
          </w:rPr>
          <w:fldChar w:fldCharType="begin"/>
        </w:r>
        <w:r>
          <w:rPr>
            <w:noProof/>
            <w:webHidden/>
          </w:rPr>
          <w:instrText xml:space="preserve"> PAGEREF _Toc226669028 \h </w:instrText>
        </w:r>
        <w:r>
          <w:rPr>
            <w:noProof/>
            <w:webHidden/>
          </w:rPr>
        </w:r>
        <w:r>
          <w:rPr>
            <w:noProof/>
            <w:webHidden/>
          </w:rPr>
          <w:fldChar w:fldCharType="separate"/>
        </w:r>
        <w:r w:rsidR="00831581">
          <w:rPr>
            <w:noProof/>
            <w:webHidden/>
          </w:rPr>
          <w:t>224</w:t>
        </w:r>
        <w:r>
          <w:rPr>
            <w:noProof/>
            <w:webHidden/>
          </w:rPr>
          <w:fldChar w:fldCharType="end"/>
        </w:r>
      </w:hyperlink>
    </w:p>
    <w:p w14:paraId="183DEFDA" w14:textId="2FB1C83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29" w:history="1">
        <w:r w:rsidRPr="00022879">
          <w:rPr>
            <w:rStyle w:val="Hyperlink"/>
            <w:rFonts w:cs="Calibri"/>
            <w:noProof/>
          </w:rPr>
          <w:t>Table 5.5.9</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Mitigation impact of urease inhibitors on nitrous oxide emissions from volatilisation, from 2001 to 2024</w:t>
        </w:r>
        <w:r>
          <w:rPr>
            <w:noProof/>
            <w:webHidden/>
          </w:rPr>
          <w:tab/>
        </w:r>
        <w:r>
          <w:rPr>
            <w:noProof/>
            <w:webHidden/>
          </w:rPr>
          <w:fldChar w:fldCharType="begin"/>
        </w:r>
        <w:r>
          <w:rPr>
            <w:noProof/>
            <w:webHidden/>
          </w:rPr>
          <w:instrText xml:space="preserve"> PAGEREF _Toc226669029 \h </w:instrText>
        </w:r>
        <w:r>
          <w:rPr>
            <w:noProof/>
            <w:webHidden/>
          </w:rPr>
        </w:r>
        <w:r>
          <w:rPr>
            <w:noProof/>
            <w:webHidden/>
          </w:rPr>
          <w:fldChar w:fldCharType="separate"/>
        </w:r>
        <w:r w:rsidR="00831581">
          <w:rPr>
            <w:noProof/>
            <w:webHidden/>
          </w:rPr>
          <w:t>232</w:t>
        </w:r>
        <w:r>
          <w:rPr>
            <w:noProof/>
            <w:webHidden/>
          </w:rPr>
          <w:fldChar w:fldCharType="end"/>
        </w:r>
      </w:hyperlink>
    </w:p>
    <w:p w14:paraId="1B273E43" w14:textId="68C946F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0" w:history="1">
        <w:r w:rsidRPr="00022879">
          <w:rPr>
            <w:rStyle w:val="Hyperlink"/>
            <w:rFonts w:cs="Calibri"/>
            <w:noProof/>
          </w:rPr>
          <w:t>Table 5.5.10</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Emission factors, parameters and mitigation for </w:t>
        </w:r>
        <w:r w:rsidRPr="00022879">
          <w:rPr>
            <w:rStyle w:val="Hyperlink"/>
            <w:rFonts w:cs="Calibri"/>
            <w:noProof/>
            <w:spacing w:val="-2"/>
          </w:rPr>
          <w:t>New Zealand’s</w:t>
        </w:r>
        <w:r w:rsidRPr="00022879">
          <w:rPr>
            <w:rStyle w:val="Hyperlink"/>
            <w:rFonts w:cs="Calibri"/>
            <w:noProof/>
          </w:rPr>
          <w:t xml:space="preserve"> dicyandiamide inhibitor calculations, from 2007 to 2012</w:t>
        </w:r>
        <w:r>
          <w:rPr>
            <w:noProof/>
            <w:webHidden/>
          </w:rPr>
          <w:tab/>
        </w:r>
        <w:r>
          <w:rPr>
            <w:noProof/>
            <w:webHidden/>
          </w:rPr>
          <w:fldChar w:fldCharType="begin"/>
        </w:r>
        <w:r>
          <w:rPr>
            <w:noProof/>
            <w:webHidden/>
          </w:rPr>
          <w:instrText xml:space="preserve"> PAGEREF _Toc226669030 \h </w:instrText>
        </w:r>
        <w:r>
          <w:rPr>
            <w:noProof/>
            <w:webHidden/>
          </w:rPr>
        </w:r>
        <w:r>
          <w:rPr>
            <w:noProof/>
            <w:webHidden/>
          </w:rPr>
          <w:fldChar w:fldCharType="separate"/>
        </w:r>
        <w:r w:rsidR="00831581">
          <w:rPr>
            <w:noProof/>
            <w:webHidden/>
          </w:rPr>
          <w:t>233</w:t>
        </w:r>
        <w:r>
          <w:rPr>
            <w:noProof/>
            <w:webHidden/>
          </w:rPr>
          <w:fldChar w:fldCharType="end"/>
        </w:r>
      </w:hyperlink>
    </w:p>
    <w:p w14:paraId="4B8C4F6E" w14:textId="62AB72C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1" w:history="1">
        <w:r w:rsidRPr="00022879">
          <w:rPr>
            <w:rStyle w:val="Hyperlink"/>
            <w:rFonts w:cs="Calibri"/>
            <w:noProof/>
          </w:rPr>
          <w:t>Table 5.5.11</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Comparison of </w:t>
        </w:r>
        <w:r w:rsidRPr="00022879">
          <w:rPr>
            <w:rStyle w:val="Hyperlink"/>
            <w:rFonts w:cs="Calibri"/>
            <w:noProof/>
            <w:spacing w:val="-2"/>
          </w:rPr>
          <w:t>New Zealand’s</w:t>
        </w:r>
        <w:r w:rsidRPr="00022879">
          <w:rPr>
            <w:rStyle w:val="Hyperlink"/>
            <w:rFonts w:cs="Calibri"/>
            <w:noProof/>
          </w:rPr>
          <w:t xml:space="preserve"> implied emission factors (IEFs) for EF</w:t>
        </w:r>
        <w:r w:rsidRPr="00022879">
          <w:rPr>
            <w:rStyle w:val="Hyperlink"/>
            <w:rFonts w:cs="Calibri"/>
            <w:noProof/>
            <w:vertAlign w:val="subscript"/>
          </w:rPr>
          <w:t>1</w:t>
        </w:r>
        <w:r w:rsidRPr="00022879">
          <w:rPr>
            <w:rStyle w:val="Hyperlink"/>
            <w:rFonts w:cs="Calibri"/>
            <w:noProof/>
          </w:rPr>
          <w:t xml:space="preserve"> (synthetic nitrogen fertiliser) and EF</w:t>
        </w:r>
        <w:r w:rsidRPr="00022879">
          <w:rPr>
            <w:rStyle w:val="Hyperlink"/>
            <w:rFonts w:cs="Calibri"/>
            <w:noProof/>
            <w:vertAlign w:val="subscript"/>
          </w:rPr>
          <w:t>3(PRP)</w:t>
        </w:r>
        <w:r w:rsidRPr="00022879">
          <w:rPr>
            <w:rStyle w:val="Hyperlink"/>
            <w:rFonts w:cs="Calibri"/>
            <w:noProof/>
          </w:rPr>
          <w:t xml:space="preserve"> (pasture, range and paddock manure) with the IPCC default and the Australian-specific value</w:t>
        </w:r>
        <w:r>
          <w:rPr>
            <w:noProof/>
            <w:webHidden/>
          </w:rPr>
          <w:tab/>
        </w:r>
        <w:r>
          <w:rPr>
            <w:noProof/>
            <w:webHidden/>
          </w:rPr>
          <w:fldChar w:fldCharType="begin"/>
        </w:r>
        <w:r>
          <w:rPr>
            <w:noProof/>
            <w:webHidden/>
          </w:rPr>
          <w:instrText xml:space="preserve"> PAGEREF _Toc226669031 \h </w:instrText>
        </w:r>
        <w:r>
          <w:rPr>
            <w:noProof/>
            <w:webHidden/>
          </w:rPr>
        </w:r>
        <w:r>
          <w:rPr>
            <w:noProof/>
            <w:webHidden/>
          </w:rPr>
          <w:fldChar w:fldCharType="separate"/>
        </w:r>
        <w:r w:rsidR="00831581">
          <w:rPr>
            <w:noProof/>
            <w:webHidden/>
          </w:rPr>
          <w:t>235</w:t>
        </w:r>
        <w:r>
          <w:rPr>
            <w:noProof/>
            <w:webHidden/>
          </w:rPr>
          <w:fldChar w:fldCharType="end"/>
        </w:r>
      </w:hyperlink>
    </w:p>
    <w:p w14:paraId="60D0068D" w14:textId="46D2904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2" w:history="1">
        <w:r w:rsidRPr="00022879">
          <w:rPr>
            <w:rStyle w:val="Hyperlink"/>
            <w:rFonts w:cs="Calibri"/>
            <w:noProof/>
          </w:rPr>
          <w:t>Table 5.5.12</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 xml:space="preserve">Comparison of </w:t>
        </w:r>
        <w:r w:rsidRPr="00022879">
          <w:rPr>
            <w:rStyle w:val="Hyperlink"/>
            <w:rFonts w:cs="Calibri"/>
            <w:noProof/>
            <w:spacing w:val="-2"/>
          </w:rPr>
          <w:t>New Zealand’s</w:t>
        </w:r>
        <w:r w:rsidRPr="00022879">
          <w:rPr>
            <w:rStyle w:val="Hyperlink"/>
            <w:rFonts w:cs="Calibri"/>
            <w:noProof/>
          </w:rPr>
          <w:t xml:space="preserve"> country-specific factors for volatilisation (Frac</w:t>
        </w:r>
        <w:r w:rsidRPr="00022879">
          <w:rPr>
            <w:rStyle w:val="Hyperlink"/>
            <w:rFonts w:cs="Calibri"/>
            <w:noProof/>
            <w:vertAlign w:val="subscript"/>
          </w:rPr>
          <w:t>GASF</w:t>
        </w:r>
        <w:r w:rsidRPr="00022879">
          <w:rPr>
            <w:rStyle w:val="Hyperlink"/>
            <w:rFonts w:cs="Calibri"/>
            <w:noProof/>
          </w:rPr>
          <w:t>, Frac</w:t>
        </w:r>
        <w:r w:rsidRPr="00022879">
          <w:rPr>
            <w:rStyle w:val="Hyperlink"/>
            <w:rFonts w:cs="Calibri"/>
            <w:noProof/>
            <w:vertAlign w:val="subscript"/>
          </w:rPr>
          <w:t>GASM</w:t>
        </w:r>
        <w:r w:rsidRPr="00022879">
          <w:rPr>
            <w:rStyle w:val="Hyperlink"/>
            <w:rFonts w:cs="Calibri"/>
            <w:noProof/>
          </w:rPr>
          <w:t>) and leaching and runoff (Frac</w:t>
        </w:r>
        <w:r w:rsidRPr="00022879">
          <w:rPr>
            <w:rStyle w:val="Hyperlink"/>
            <w:rFonts w:cs="Calibri"/>
            <w:noProof/>
            <w:vertAlign w:val="subscript"/>
          </w:rPr>
          <w:t>LEACH-(H)</w:t>
        </w:r>
        <w:r w:rsidRPr="00022879">
          <w:rPr>
            <w:rStyle w:val="Hyperlink"/>
            <w:rFonts w:cs="Calibri"/>
            <w:noProof/>
          </w:rPr>
          <w:t>) with the IPCC default value and the Australian implied emission factor (IEF)</w:t>
        </w:r>
        <w:r>
          <w:rPr>
            <w:noProof/>
            <w:webHidden/>
          </w:rPr>
          <w:tab/>
        </w:r>
        <w:r>
          <w:rPr>
            <w:noProof/>
            <w:webHidden/>
          </w:rPr>
          <w:fldChar w:fldCharType="begin"/>
        </w:r>
        <w:r>
          <w:rPr>
            <w:noProof/>
            <w:webHidden/>
          </w:rPr>
          <w:instrText xml:space="preserve"> PAGEREF _Toc226669032 \h </w:instrText>
        </w:r>
        <w:r>
          <w:rPr>
            <w:noProof/>
            <w:webHidden/>
          </w:rPr>
        </w:r>
        <w:r>
          <w:rPr>
            <w:noProof/>
            <w:webHidden/>
          </w:rPr>
          <w:fldChar w:fldCharType="separate"/>
        </w:r>
        <w:r w:rsidR="00831581">
          <w:rPr>
            <w:noProof/>
            <w:webHidden/>
          </w:rPr>
          <w:t>236</w:t>
        </w:r>
        <w:r>
          <w:rPr>
            <w:noProof/>
            <w:webHidden/>
          </w:rPr>
          <w:fldChar w:fldCharType="end"/>
        </w:r>
      </w:hyperlink>
    </w:p>
    <w:p w14:paraId="27983607" w14:textId="6237034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3" w:history="1">
        <w:r w:rsidRPr="00022879">
          <w:rPr>
            <w:rStyle w:val="Hyperlink"/>
            <w:rFonts w:cs="Calibri"/>
            <w:noProof/>
          </w:rPr>
          <w:t>Table 5.5.13</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Comparison of emissions from </w:t>
        </w:r>
        <w:r w:rsidRPr="00022879">
          <w:rPr>
            <w:rStyle w:val="Hyperlink"/>
            <w:rFonts w:cs="Calibri"/>
            <w:i/>
            <w:iCs/>
            <w:noProof/>
          </w:rPr>
          <w:t>Agricultural soils</w:t>
        </w:r>
        <w:r w:rsidRPr="00022879">
          <w:rPr>
            <w:rStyle w:val="Hyperlink"/>
            <w:rFonts w:cs="Calibri"/>
            <w:noProof/>
          </w:rPr>
          <w:t xml:space="preserve"> before and after the inclusion of revised </w:t>
        </w:r>
        <w:r w:rsidRPr="00022879">
          <w:rPr>
            <w:rStyle w:val="Hyperlink"/>
            <w:rFonts w:cs="Arial"/>
            <w:noProof/>
          </w:rPr>
          <w:t>EF</w:t>
        </w:r>
        <w:r w:rsidRPr="00022879">
          <w:rPr>
            <w:rStyle w:val="Hyperlink"/>
            <w:rFonts w:cs="Arial"/>
            <w:noProof/>
            <w:vertAlign w:val="subscript"/>
          </w:rPr>
          <w:t>1 </w:t>
        </w:r>
        <w:r w:rsidRPr="00022879">
          <w:rPr>
            <w:rStyle w:val="Hyperlink"/>
            <w:rFonts w:cs="Calibri"/>
            <w:noProof/>
          </w:rPr>
          <w:t>values for non-urea synthetic fertilisers</w:t>
        </w:r>
        <w:r>
          <w:rPr>
            <w:noProof/>
            <w:webHidden/>
          </w:rPr>
          <w:tab/>
        </w:r>
        <w:r>
          <w:rPr>
            <w:noProof/>
            <w:webHidden/>
          </w:rPr>
          <w:fldChar w:fldCharType="begin"/>
        </w:r>
        <w:r>
          <w:rPr>
            <w:noProof/>
            <w:webHidden/>
          </w:rPr>
          <w:instrText xml:space="preserve"> PAGEREF _Toc226669033 \h </w:instrText>
        </w:r>
        <w:r>
          <w:rPr>
            <w:noProof/>
            <w:webHidden/>
          </w:rPr>
        </w:r>
        <w:r>
          <w:rPr>
            <w:noProof/>
            <w:webHidden/>
          </w:rPr>
          <w:fldChar w:fldCharType="separate"/>
        </w:r>
        <w:r w:rsidR="00831581">
          <w:rPr>
            <w:noProof/>
            <w:webHidden/>
          </w:rPr>
          <w:t>237</w:t>
        </w:r>
        <w:r>
          <w:rPr>
            <w:noProof/>
            <w:webHidden/>
          </w:rPr>
          <w:fldChar w:fldCharType="end"/>
        </w:r>
      </w:hyperlink>
    </w:p>
    <w:p w14:paraId="155D661D" w14:textId="6131BB3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4" w:history="1">
        <w:r w:rsidRPr="00022879">
          <w:rPr>
            <w:rStyle w:val="Hyperlink"/>
            <w:rFonts w:cs="Calibri"/>
            <w:noProof/>
          </w:rPr>
          <w:t>Table 5.5.14</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Comparison of emissions from </w:t>
        </w:r>
        <w:r w:rsidRPr="00022879">
          <w:rPr>
            <w:rStyle w:val="Hyperlink"/>
            <w:rFonts w:cs="Calibri"/>
            <w:i/>
            <w:iCs/>
            <w:noProof/>
          </w:rPr>
          <w:t>Agricultural soils</w:t>
        </w:r>
        <w:r w:rsidRPr="00022879">
          <w:rPr>
            <w:rStyle w:val="Hyperlink"/>
            <w:rFonts w:cs="Calibri"/>
            <w:noProof/>
          </w:rPr>
          <w:t xml:space="preserve"> before and after including revised dairy manure management practices</w:t>
        </w:r>
        <w:r>
          <w:rPr>
            <w:noProof/>
            <w:webHidden/>
          </w:rPr>
          <w:tab/>
        </w:r>
        <w:r>
          <w:rPr>
            <w:noProof/>
            <w:webHidden/>
          </w:rPr>
          <w:fldChar w:fldCharType="begin"/>
        </w:r>
        <w:r>
          <w:rPr>
            <w:noProof/>
            <w:webHidden/>
          </w:rPr>
          <w:instrText xml:space="preserve"> PAGEREF _Toc226669034 \h </w:instrText>
        </w:r>
        <w:r>
          <w:rPr>
            <w:noProof/>
            <w:webHidden/>
          </w:rPr>
        </w:r>
        <w:r>
          <w:rPr>
            <w:noProof/>
            <w:webHidden/>
          </w:rPr>
          <w:fldChar w:fldCharType="separate"/>
        </w:r>
        <w:r w:rsidR="00831581">
          <w:rPr>
            <w:noProof/>
            <w:webHidden/>
          </w:rPr>
          <w:t>237</w:t>
        </w:r>
        <w:r>
          <w:rPr>
            <w:noProof/>
            <w:webHidden/>
          </w:rPr>
          <w:fldChar w:fldCharType="end"/>
        </w:r>
      </w:hyperlink>
    </w:p>
    <w:p w14:paraId="3B232986" w14:textId="4DDCA04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5" w:history="1">
        <w:r w:rsidRPr="00022879">
          <w:rPr>
            <w:rStyle w:val="Hyperlink"/>
            <w:rFonts w:cs="Calibri"/>
            <w:noProof/>
          </w:rPr>
          <w:t>Table 5.5.15</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Comparison of emissions from </w:t>
        </w:r>
        <w:r w:rsidRPr="00022879">
          <w:rPr>
            <w:rStyle w:val="Hyperlink"/>
            <w:rFonts w:cs="Calibri"/>
            <w:i/>
            <w:iCs/>
            <w:noProof/>
          </w:rPr>
          <w:t>Agricultural soils</w:t>
        </w:r>
        <w:r w:rsidRPr="00022879">
          <w:rPr>
            <w:rStyle w:val="Hyperlink"/>
            <w:rFonts w:cs="Calibri"/>
            <w:noProof/>
          </w:rPr>
          <w:t xml:space="preserve"> before and after updates to align with the</w:t>
        </w:r>
        <w:r w:rsidRPr="00022879">
          <w:rPr>
            <w:rStyle w:val="Hyperlink"/>
            <w:noProof/>
          </w:rPr>
          <w:t> </w:t>
        </w:r>
        <w:r w:rsidRPr="00022879">
          <w:rPr>
            <w:rStyle w:val="Hyperlink"/>
            <w:rFonts w:cs="Calibri"/>
            <w:noProof/>
          </w:rPr>
          <w:t>2019 IPCC Refinement (IPCC, 2019)</w:t>
        </w:r>
        <w:r>
          <w:rPr>
            <w:noProof/>
            <w:webHidden/>
          </w:rPr>
          <w:tab/>
        </w:r>
        <w:r>
          <w:rPr>
            <w:noProof/>
            <w:webHidden/>
          </w:rPr>
          <w:fldChar w:fldCharType="begin"/>
        </w:r>
        <w:r>
          <w:rPr>
            <w:noProof/>
            <w:webHidden/>
          </w:rPr>
          <w:instrText xml:space="preserve"> PAGEREF _Toc226669035 \h </w:instrText>
        </w:r>
        <w:r>
          <w:rPr>
            <w:noProof/>
            <w:webHidden/>
          </w:rPr>
        </w:r>
        <w:r>
          <w:rPr>
            <w:noProof/>
            <w:webHidden/>
          </w:rPr>
          <w:fldChar w:fldCharType="separate"/>
        </w:r>
        <w:r w:rsidR="00831581">
          <w:rPr>
            <w:noProof/>
            <w:webHidden/>
          </w:rPr>
          <w:t>238</w:t>
        </w:r>
        <w:r>
          <w:rPr>
            <w:noProof/>
            <w:webHidden/>
          </w:rPr>
          <w:fldChar w:fldCharType="end"/>
        </w:r>
      </w:hyperlink>
    </w:p>
    <w:p w14:paraId="4EFCBBFE" w14:textId="6AD9158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6" w:history="1">
        <w:r w:rsidRPr="00022879">
          <w:rPr>
            <w:rStyle w:val="Hyperlink"/>
            <w:rFonts w:cs="Calibri"/>
            <w:noProof/>
          </w:rPr>
          <w:t>Table 5.5.16</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Comparison of emissions from </w:t>
        </w:r>
        <w:r w:rsidRPr="00022879">
          <w:rPr>
            <w:rStyle w:val="Hyperlink"/>
            <w:rFonts w:cs="Calibri"/>
            <w:i/>
            <w:noProof/>
          </w:rPr>
          <w:t>Agricultural soils</w:t>
        </w:r>
        <w:r w:rsidRPr="00022879">
          <w:rPr>
            <w:rStyle w:val="Hyperlink"/>
            <w:rFonts w:cs="Calibri"/>
            <w:i/>
            <w:iCs/>
            <w:noProof/>
          </w:rPr>
          <w:t xml:space="preserve"> </w:t>
        </w:r>
        <w:r w:rsidRPr="00022879">
          <w:rPr>
            <w:rStyle w:val="Hyperlink"/>
            <w:rFonts w:cs="Calibri"/>
            <w:noProof/>
          </w:rPr>
          <w:t>with and without corrections</w:t>
        </w:r>
        <w:r>
          <w:rPr>
            <w:noProof/>
            <w:webHidden/>
          </w:rPr>
          <w:tab/>
        </w:r>
        <w:r>
          <w:rPr>
            <w:noProof/>
            <w:webHidden/>
          </w:rPr>
          <w:fldChar w:fldCharType="begin"/>
        </w:r>
        <w:r>
          <w:rPr>
            <w:noProof/>
            <w:webHidden/>
          </w:rPr>
          <w:instrText xml:space="preserve"> PAGEREF _Toc226669036 \h </w:instrText>
        </w:r>
        <w:r>
          <w:rPr>
            <w:noProof/>
            <w:webHidden/>
          </w:rPr>
        </w:r>
        <w:r>
          <w:rPr>
            <w:noProof/>
            <w:webHidden/>
          </w:rPr>
          <w:fldChar w:fldCharType="separate"/>
        </w:r>
        <w:r w:rsidR="00831581">
          <w:rPr>
            <w:noProof/>
            <w:webHidden/>
          </w:rPr>
          <w:t>239</w:t>
        </w:r>
        <w:r>
          <w:rPr>
            <w:noProof/>
            <w:webHidden/>
          </w:rPr>
          <w:fldChar w:fldCharType="end"/>
        </w:r>
      </w:hyperlink>
    </w:p>
    <w:p w14:paraId="50C4CF99" w14:textId="637703F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7" w:history="1">
        <w:r w:rsidRPr="00022879">
          <w:rPr>
            <w:rStyle w:val="Hyperlink"/>
            <w:rFonts w:cs="Calibri"/>
            <w:noProof/>
          </w:rPr>
          <w:t>Table 5.7.1</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Emission ratios for agricultural residue burning</w:t>
        </w:r>
        <w:r>
          <w:rPr>
            <w:noProof/>
            <w:webHidden/>
          </w:rPr>
          <w:tab/>
        </w:r>
        <w:r>
          <w:rPr>
            <w:noProof/>
            <w:webHidden/>
          </w:rPr>
          <w:fldChar w:fldCharType="begin"/>
        </w:r>
        <w:r>
          <w:rPr>
            <w:noProof/>
            <w:webHidden/>
          </w:rPr>
          <w:instrText xml:space="preserve"> PAGEREF _Toc226669037 \h </w:instrText>
        </w:r>
        <w:r>
          <w:rPr>
            <w:noProof/>
            <w:webHidden/>
          </w:rPr>
        </w:r>
        <w:r>
          <w:rPr>
            <w:noProof/>
            <w:webHidden/>
          </w:rPr>
          <w:fldChar w:fldCharType="separate"/>
        </w:r>
        <w:r w:rsidR="00831581">
          <w:rPr>
            <w:noProof/>
            <w:webHidden/>
          </w:rPr>
          <w:t>241</w:t>
        </w:r>
        <w:r>
          <w:rPr>
            <w:noProof/>
            <w:webHidden/>
          </w:rPr>
          <w:fldChar w:fldCharType="end"/>
        </w:r>
      </w:hyperlink>
    </w:p>
    <w:p w14:paraId="295CEFA2" w14:textId="1EF9CC0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8" w:history="1">
        <w:r w:rsidRPr="00022879">
          <w:rPr>
            <w:rStyle w:val="Hyperlink"/>
            <w:rFonts w:cs="Calibri"/>
            <w:noProof/>
          </w:rPr>
          <w:t xml:space="preserve">Table 5.7.2 </w:t>
        </w:r>
        <w:r>
          <w:rPr>
            <w:rFonts w:asciiTheme="minorHAnsi" w:eastAsiaTheme="minorEastAsia" w:hAnsiTheme="minorHAnsi" w:cstheme="minorBidi"/>
            <w:noProof/>
            <w:kern w:val="2"/>
            <w:sz w:val="24"/>
            <w:szCs w:val="24"/>
            <w14:ligatures w14:val="standardContextual"/>
          </w:rPr>
          <w:tab/>
        </w:r>
        <w:r w:rsidRPr="00022879">
          <w:rPr>
            <w:rStyle w:val="Hyperlink"/>
            <w:rFonts w:cs="Calibri"/>
            <w:noProof/>
          </w:rPr>
          <w:t>Values used to calculate New Zealand emissions from burning of agricultural residues</w:t>
        </w:r>
        <w:r>
          <w:rPr>
            <w:noProof/>
            <w:webHidden/>
          </w:rPr>
          <w:tab/>
        </w:r>
        <w:r>
          <w:rPr>
            <w:noProof/>
            <w:webHidden/>
          </w:rPr>
          <w:fldChar w:fldCharType="begin"/>
        </w:r>
        <w:r>
          <w:rPr>
            <w:noProof/>
            <w:webHidden/>
          </w:rPr>
          <w:instrText xml:space="preserve"> PAGEREF _Toc226669038 \h </w:instrText>
        </w:r>
        <w:r>
          <w:rPr>
            <w:noProof/>
            <w:webHidden/>
          </w:rPr>
        </w:r>
        <w:r>
          <w:rPr>
            <w:noProof/>
            <w:webHidden/>
          </w:rPr>
          <w:fldChar w:fldCharType="separate"/>
        </w:r>
        <w:r w:rsidR="00831581">
          <w:rPr>
            <w:noProof/>
            <w:webHidden/>
          </w:rPr>
          <w:t>242</w:t>
        </w:r>
        <w:r>
          <w:rPr>
            <w:noProof/>
            <w:webHidden/>
          </w:rPr>
          <w:fldChar w:fldCharType="end"/>
        </w:r>
      </w:hyperlink>
    </w:p>
    <w:p w14:paraId="6D61E587" w14:textId="61E389B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39" w:history="1">
        <w:r w:rsidRPr="00022879">
          <w:rPr>
            <w:rStyle w:val="Hyperlink"/>
            <w:noProof/>
          </w:rPr>
          <w:t xml:space="preserve">Table 6.1.1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greenhouse gas net emissions for the LULUCF sector by land use category in 2023 and 2024</w:t>
        </w:r>
        <w:r>
          <w:rPr>
            <w:noProof/>
            <w:webHidden/>
          </w:rPr>
          <w:tab/>
        </w:r>
        <w:r>
          <w:rPr>
            <w:noProof/>
            <w:webHidden/>
          </w:rPr>
          <w:fldChar w:fldCharType="begin"/>
        </w:r>
        <w:r>
          <w:rPr>
            <w:noProof/>
            <w:webHidden/>
          </w:rPr>
          <w:instrText xml:space="preserve"> PAGEREF _Toc226669039 \h </w:instrText>
        </w:r>
        <w:r>
          <w:rPr>
            <w:noProof/>
            <w:webHidden/>
          </w:rPr>
        </w:r>
        <w:r>
          <w:rPr>
            <w:noProof/>
            <w:webHidden/>
          </w:rPr>
          <w:fldChar w:fldCharType="separate"/>
        </w:r>
        <w:r w:rsidR="00831581">
          <w:rPr>
            <w:noProof/>
            <w:webHidden/>
          </w:rPr>
          <w:t>256</w:t>
        </w:r>
        <w:r>
          <w:rPr>
            <w:noProof/>
            <w:webHidden/>
          </w:rPr>
          <w:fldChar w:fldCharType="end"/>
        </w:r>
      </w:hyperlink>
    </w:p>
    <w:p w14:paraId="5FAF576A" w14:textId="1E1915D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0" w:history="1">
        <w:r w:rsidRPr="00022879">
          <w:rPr>
            <w:rStyle w:val="Hyperlink"/>
            <w:noProof/>
          </w:rPr>
          <w:t xml:space="preserve">Table 6.1.2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greenhouse gas net emissions for the LULUCF sector by category in 2005 and 2024</w:t>
        </w:r>
        <w:r>
          <w:rPr>
            <w:noProof/>
            <w:webHidden/>
          </w:rPr>
          <w:tab/>
        </w:r>
        <w:r>
          <w:rPr>
            <w:noProof/>
            <w:webHidden/>
          </w:rPr>
          <w:fldChar w:fldCharType="begin"/>
        </w:r>
        <w:r>
          <w:rPr>
            <w:noProof/>
            <w:webHidden/>
          </w:rPr>
          <w:instrText xml:space="preserve"> PAGEREF _Toc226669040 \h </w:instrText>
        </w:r>
        <w:r>
          <w:rPr>
            <w:noProof/>
            <w:webHidden/>
          </w:rPr>
        </w:r>
        <w:r>
          <w:rPr>
            <w:noProof/>
            <w:webHidden/>
          </w:rPr>
          <w:fldChar w:fldCharType="separate"/>
        </w:r>
        <w:r w:rsidR="00831581">
          <w:rPr>
            <w:noProof/>
            <w:webHidden/>
          </w:rPr>
          <w:t>257</w:t>
        </w:r>
        <w:r>
          <w:rPr>
            <w:noProof/>
            <w:webHidden/>
          </w:rPr>
          <w:fldChar w:fldCharType="end"/>
        </w:r>
      </w:hyperlink>
    </w:p>
    <w:p w14:paraId="64B96296" w14:textId="0F98E12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1" w:history="1">
        <w:r w:rsidRPr="00022879">
          <w:rPr>
            <w:rStyle w:val="Hyperlink"/>
            <w:noProof/>
          </w:rPr>
          <w:t xml:space="preserve">Table 6.1.3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greenhouse gas net emissions for the LULUCF sector by category in 1990 and 2024</w:t>
        </w:r>
        <w:r>
          <w:rPr>
            <w:noProof/>
            <w:webHidden/>
          </w:rPr>
          <w:tab/>
        </w:r>
        <w:r>
          <w:rPr>
            <w:noProof/>
            <w:webHidden/>
          </w:rPr>
          <w:fldChar w:fldCharType="begin"/>
        </w:r>
        <w:r>
          <w:rPr>
            <w:noProof/>
            <w:webHidden/>
          </w:rPr>
          <w:instrText xml:space="preserve"> PAGEREF _Toc226669041 \h </w:instrText>
        </w:r>
        <w:r>
          <w:rPr>
            <w:noProof/>
            <w:webHidden/>
          </w:rPr>
        </w:r>
        <w:r>
          <w:rPr>
            <w:noProof/>
            <w:webHidden/>
          </w:rPr>
          <w:fldChar w:fldCharType="separate"/>
        </w:r>
        <w:r w:rsidR="00831581">
          <w:rPr>
            <w:noProof/>
            <w:webHidden/>
          </w:rPr>
          <w:t>258</w:t>
        </w:r>
        <w:r>
          <w:rPr>
            <w:noProof/>
            <w:webHidden/>
          </w:rPr>
          <w:fldChar w:fldCharType="end"/>
        </w:r>
      </w:hyperlink>
    </w:p>
    <w:p w14:paraId="3707EF9B" w14:textId="2931A71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2" w:history="1">
        <w:r w:rsidRPr="00022879">
          <w:rPr>
            <w:rStyle w:val="Hyperlink"/>
            <w:noProof/>
          </w:rPr>
          <w:t xml:space="preserve">Table 6.1.4 </w:t>
        </w:r>
        <w:r>
          <w:rPr>
            <w:rFonts w:asciiTheme="minorHAnsi" w:eastAsiaTheme="minorEastAsia" w:hAnsiTheme="minorHAnsi" w:cstheme="minorBidi"/>
            <w:noProof/>
            <w:kern w:val="2"/>
            <w:sz w:val="24"/>
            <w:szCs w:val="24"/>
            <w14:ligatures w14:val="standardContextual"/>
          </w:rPr>
          <w:tab/>
        </w:r>
        <w:r w:rsidRPr="00022879">
          <w:rPr>
            <w:rStyle w:val="Hyperlink"/>
            <w:noProof/>
          </w:rPr>
          <w:t>Land use in New Zealand in 2024</w:t>
        </w:r>
        <w:r>
          <w:rPr>
            <w:noProof/>
            <w:webHidden/>
          </w:rPr>
          <w:tab/>
        </w:r>
        <w:r>
          <w:rPr>
            <w:noProof/>
            <w:webHidden/>
          </w:rPr>
          <w:fldChar w:fldCharType="begin"/>
        </w:r>
        <w:r>
          <w:rPr>
            <w:noProof/>
            <w:webHidden/>
          </w:rPr>
          <w:instrText xml:space="preserve"> PAGEREF _Toc226669042 \h </w:instrText>
        </w:r>
        <w:r>
          <w:rPr>
            <w:noProof/>
            <w:webHidden/>
          </w:rPr>
        </w:r>
        <w:r>
          <w:rPr>
            <w:noProof/>
            <w:webHidden/>
          </w:rPr>
          <w:fldChar w:fldCharType="separate"/>
        </w:r>
        <w:r w:rsidR="00831581">
          <w:rPr>
            <w:noProof/>
            <w:webHidden/>
          </w:rPr>
          <w:t>260</w:t>
        </w:r>
        <w:r>
          <w:rPr>
            <w:noProof/>
            <w:webHidden/>
          </w:rPr>
          <w:fldChar w:fldCharType="end"/>
        </w:r>
      </w:hyperlink>
    </w:p>
    <w:p w14:paraId="467FE25A" w14:textId="6D53DE1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3" w:history="1">
        <w:r w:rsidRPr="00022879">
          <w:rPr>
            <w:rStyle w:val="Hyperlink"/>
            <w:noProof/>
          </w:rPr>
          <w:t>Table 6.1.5</w:t>
        </w:r>
        <w:r>
          <w:rPr>
            <w:rFonts w:asciiTheme="minorHAnsi" w:eastAsiaTheme="minorEastAsia" w:hAnsiTheme="minorHAnsi" w:cstheme="minorBidi"/>
            <w:noProof/>
            <w:kern w:val="2"/>
            <w:sz w:val="24"/>
            <w:szCs w:val="24"/>
            <w14:ligatures w14:val="standardContextual"/>
          </w:rPr>
          <w:tab/>
        </w:r>
        <w:r w:rsidRPr="00022879">
          <w:rPr>
            <w:rStyle w:val="Hyperlink"/>
            <w:noProof/>
          </w:rPr>
          <w:t>Relationships between land use, carbon pool and method of calculation used by New Zealand</w:t>
        </w:r>
        <w:r>
          <w:rPr>
            <w:noProof/>
            <w:webHidden/>
          </w:rPr>
          <w:tab/>
        </w:r>
        <w:r>
          <w:rPr>
            <w:noProof/>
            <w:webHidden/>
          </w:rPr>
          <w:fldChar w:fldCharType="begin"/>
        </w:r>
        <w:r>
          <w:rPr>
            <w:noProof/>
            <w:webHidden/>
          </w:rPr>
          <w:instrText xml:space="preserve"> PAGEREF _Toc226669043 \h </w:instrText>
        </w:r>
        <w:r>
          <w:rPr>
            <w:noProof/>
            <w:webHidden/>
          </w:rPr>
        </w:r>
        <w:r>
          <w:rPr>
            <w:noProof/>
            <w:webHidden/>
          </w:rPr>
          <w:fldChar w:fldCharType="separate"/>
        </w:r>
        <w:r w:rsidR="00831581">
          <w:rPr>
            <w:noProof/>
            <w:webHidden/>
          </w:rPr>
          <w:t>261</w:t>
        </w:r>
        <w:r>
          <w:rPr>
            <w:noProof/>
            <w:webHidden/>
          </w:rPr>
          <w:fldChar w:fldCharType="end"/>
        </w:r>
      </w:hyperlink>
    </w:p>
    <w:p w14:paraId="331B76C1" w14:textId="6E021CC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4" w:history="1">
        <w:r w:rsidRPr="00022879">
          <w:rPr>
            <w:rStyle w:val="Hyperlink"/>
            <w:noProof/>
          </w:rPr>
          <w:t>Table 6.1.6</w:t>
        </w:r>
        <w:r>
          <w:rPr>
            <w:rFonts w:asciiTheme="minorHAnsi" w:eastAsiaTheme="minorEastAsia" w:hAnsiTheme="minorHAnsi" w:cstheme="minorBidi"/>
            <w:noProof/>
            <w:kern w:val="2"/>
            <w:sz w:val="24"/>
            <w:szCs w:val="24"/>
            <w14:ligatures w14:val="standardContextual"/>
          </w:rPr>
          <w:tab/>
        </w:r>
        <w:r w:rsidRPr="00022879">
          <w:rPr>
            <w:rStyle w:val="Hyperlink"/>
            <w:noProof/>
          </w:rPr>
          <w:t>Land use categories making the greatest contribution to uncertainty in the LULUCF sector</w:t>
        </w:r>
        <w:r>
          <w:rPr>
            <w:noProof/>
            <w:webHidden/>
          </w:rPr>
          <w:tab/>
        </w:r>
        <w:r>
          <w:rPr>
            <w:noProof/>
            <w:webHidden/>
          </w:rPr>
          <w:fldChar w:fldCharType="begin"/>
        </w:r>
        <w:r>
          <w:rPr>
            <w:noProof/>
            <w:webHidden/>
          </w:rPr>
          <w:instrText xml:space="preserve"> PAGEREF _Toc226669044 \h </w:instrText>
        </w:r>
        <w:r>
          <w:rPr>
            <w:noProof/>
            <w:webHidden/>
          </w:rPr>
        </w:r>
        <w:r>
          <w:rPr>
            <w:noProof/>
            <w:webHidden/>
          </w:rPr>
          <w:fldChar w:fldCharType="separate"/>
        </w:r>
        <w:r w:rsidR="00831581">
          <w:rPr>
            <w:noProof/>
            <w:webHidden/>
          </w:rPr>
          <w:t>264</w:t>
        </w:r>
        <w:r>
          <w:rPr>
            <w:noProof/>
            <w:webHidden/>
          </w:rPr>
          <w:fldChar w:fldCharType="end"/>
        </w:r>
      </w:hyperlink>
    </w:p>
    <w:p w14:paraId="3FA79EB5" w14:textId="538B40F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5" w:history="1">
        <w:r w:rsidRPr="00022879">
          <w:rPr>
            <w:rStyle w:val="Hyperlink"/>
            <w:noProof/>
          </w:rPr>
          <w:t>Table 6.1.7</w:t>
        </w:r>
        <w:r>
          <w:rPr>
            <w:rFonts w:asciiTheme="minorHAnsi" w:eastAsiaTheme="minorEastAsia" w:hAnsiTheme="minorHAnsi" w:cstheme="minorBidi"/>
            <w:noProof/>
            <w:kern w:val="2"/>
            <w:sz w:val="24"/>
            <w:szCs w:val="24"/>
            <w14:ligatures w14:val="standardContextual"/>
          </w:rPr>
          <w:tab/>
        </w:r>
        <w:r w:rsidRPr="00022879">
          <w:rPr>
            <w:rStyle w:val="Hyperlink"/>
            <w:noProof/>
          </w:rPr>
          <w:t>Recalculations to New Zealand’s total net LULUCF emissions for 1990 and 2023</w:t>
        </w:r>
        <w:r>
          <w:rPr>
            <w:noProof/>
            <w:webHidden/>
          </w:rPr>
          <w:tab/>
        </w:r>
        <w:r>
          <w:rPr>
            <w:noProof/>
            <w:webHidden/>
          </w:rPr>
          <w:fldChar w:fldCharType="begin"/>
        </w:r>
        <w:r>
          <w:rPr>
            <w:noProof/>
            <w:webHidden/>
          </w:rPr>
          <w:instrText xml:space="preserve"> PAGEREF _Toc226669045 \h </w:instrText>
        </w:r>
        <w:r>
          <w:rPr>
            <w:noProof/>
            <w:webHidden/>
          </w:rPr>
        </w:r>
        <w:r>
          <w:rPr>
            <w:noProof/>
            <w:webHidden/>
          </w:rPr>
          <w:fldChar w:fldCharType="separate"/>
        </w:r>
        <w:r w:rsidR="00831581">
          <w:rPr>
            <w:noProof/>
            <w:webHidden/>
          </w:rPr>
          <w:t>265</w:t>
        </w:r>
        <w:r>
          <w:rPr>
            <w:noProof/>
            <w:webHidden/>
          </w:rPr>
          <w:fldChar w:fldCharType="end"/>
        </w:r>
      </w:hyperlink>
    </w:p>
    <w:p w14:paraId="1C80625E" w14:textId="317710F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6" w:history="1">
        <w:r w:rsidRPr="00022879">
          <w:rPr>
            <w:rStyle w:val="Hyperlink"/>
            <w:noProof/>
          </w:rPr>
          <w:t>Table 6.1.8</w:t>
        </w:r>
        <w:r>
          <w:rPr>
            <w:rFonts w:asciiTheme="minorHAnsi" w:eastAsiaTheme="minorEastAsia" w:hAnsiTheme="minorHAnsi" w:cstheme="minorBidi"/>
            <w:noProof/>
            <w:kern w:val="2"/>
            <w:sz w:val="24"/>
            <w:szCs w:val="24"/>
            <w14:ligatures w14:val="standardContextual"/>
          </w:rPr>
          <w:tab/>
        </w:r>
        <w:r w:rsidRPr="00022879">
          <w:rPr>
            <w:rStyle w:val="Hyperlink"/>
            <w:noProof/>
          </w:rPr>
          <w:t>Recalculations to New Zealand’s net LULUCF emissions for 1990 and 2023 by category</w:t>
        </w:r>
        <w:r>
          <w:rPr>
            <w:noProof/>
            <w:webHidden/>
          </w:rPr>
          <w:tab/>
        </w:r>
        <w:r>
          <w:rPr>
            <w:noProof/>
            <w:webHidden/>
          </w:rPr>
          <w:fldChar w:fldCharType="begin"/>
        </w:r>
        <w:r>
          <w:rPr>
            <w:noProof/>
            <w:webHidden/>
          </w:rPr>
          <w:instrText xml:space="preserve"> PAGEREF _Toc226669046 \h </w:instrText>
        </w:r>
        <w:r>
          <w:rPr>
            <w:noProof/>
            <w:webHidden/>
          </w:rPr>
        </w:r>
        <w:r>
          <w:rPr>
            <w:noProof/>
            <w:webHidden/>
          </w:rPr>
          <w:fldChar w:fldCharType="separate"/>
        </w:r>
        <w:r w:rsidR="00831581">
          <w:rPr>
            <w:noProof/>
            <w:webHidden/>
          </w:rPr>
          <w:t>265</w:t>
        </w:r>
        <w:r>
          <w:rPr>
            <w:noProof/>
            <w:webHidden/>
          </w:rPr>
          <w:fldChar w:fldCharType="end"/>
        </w:r>
      </w:hyperlink>
    </w:p>
    <w:p w14:paraId="044A771C" w14:textId="38611EA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7" w:history="1">
        <w:r w:rsidRPr="00022879">
          <w:rPr>
            <w:rStyle w:val="Hyperlink"/>
            <w:noProof/>
          </w:rPr>
          <w:t xml:space="preserve">Table 6.1.9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‘NE’ or ‘not estimated’ entries for the LULUCF sector in the </w:t>
        </w:r>
        <w:r w:rsidRPr="00022879">
          <w:rPr>
            <w:rStyle w:val="Hyperlink"/>
            <w:bCs/>
            <w:noProof/>
          </w:rPr>
          <w:t>2026</w:t>
        </w:r>
        <w:r w:rsidRPr="00022879">
          <w:rPr>
            <w:rStyle w:val="Hyperlink"/>
            <w:noProof/>
          </w:rPr>
          <w:t xml:space="preserve"> submission</w:t>
        </w:r>
        <w:r>
          <w:rPr>
            <w:noProof/>
            <w:webHidden/>
          </w:rPr>
          <w:tab/>
        </w:r>
        <w:r>
          <w:rPr>
            <w:noProof/>
            <w:webHidden/>
          </w:rPr>
          <w:fldChar w:fldCharType="begin"/>
        </w:r>
        <w:r>
          <w:rPr>
            <w:noProof/>
            <w:webHidden/>
          </w:rPr>
          <w:instrText xml:space="preserve"> PAGEREF _Toc226669047 \h </w:instrText>
        </w:r>
        <w:r>
          <w:rPr>
            <w:noProof/>
            <w:webHidden/>
          </w:rPr>
        </w:r>
        <w:r>
          <w:rPr>
            <w:noProof/>
            <w:webHidden/>
          </w:rPr>
          <w:fldChar w:fldCharType="separate"/>
        </w:r>
        <w:r w:rsidR="00831581">
          <w:rPr>
            <w:noProof/>
            <w:webHidden/>
          </w:rPr>
          <w:t>266</w:t>
        </w:r>
        <w:r>
          <w:rPr>
            <w:noProof/>
            <w:webHidden/>
          </w:rPr>
          <w:fldChar w:fldCharType="end"/>
        </w:r>
      </w:hyperlink>
    </w:p>
    <w:p w14:paraId="37C8212C" w14:textId="01F3925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8" w:history="1">
        <w:r w:rsidRPr="00022879">
          <w:rPr>
            <w:rStyle w:val="Hyperlink"/>
            <w:noProof/>
          </w:rPr>
          <w:t>Table 6.1.10</w:t>
        </w:r>
        <w:r>
          <w:rPr>
            <w:rFonts w:asciiTheme="minorHAnsi" w:eastAsiaTheme="minorEastAsia" w:hAnsiTheme="minorHAnsi" w:cstheme="minorBidi"/>
            <w:noProof/>
            <w:kern w:val="2"/>
            <w:sz w:val="24"/>
            <w:szCs w:val="24"/>
            <w14:ligatures w14:val="standardContextual"/>
          </w:rPr>
          <w:tab/>
        </w:r>
        <w:r w:rsidRPr="00022879">
          <w:rPr>
            <w:rStyle w:val="Hyperlink"/>
            <w:noProof/>
          </w:rPr>
          <w:t>Emissions reported using the ‘IE’ or ‘included elsewhere’ notation key in the 2026 submission for the LULUCF sector</w:t>
        </w:r>
        <w:r>
          <w:rPr>
            <w:noProof/>
            <w:webHidden/>
          </w:rPr>
          <w:tab/>
        </w:r>
        <w:r>
          <w:rPr>
            <w:noProof/>
            <w:webHidden/>
          </w:rPr>
          <w:fldChar w:fldCharType="begin"/>
        </w:r>
        <w:r>
          <w:rPr>
            <w:noProof/>
            <w:webHidden/>
          </w:rPr>
          <w:instrText xml:space="preserve"> PAGEREF _Toc226669048 \h </w:instrText>
        </w:r>
        <w:r>
          <w:rPr>
            <w:noProof/>
            <w:webHidden/>
          </w:rPr>
        </w:r>
        <w:r>
          <w:rPr>
            <w:noProof/>
            <w:webHidden/>
          </w:rPr>
          <w:fldChar w:fldCharType="separate"/>
        </w:r>
        <w:r w:rsidR="00831581">
          <w:rPr>
            <w:noProof/>
            <w:webHidden/>
          </w:rPr>
          <w:t>268</w:t>
        </w:r>
        <w:r>
          <w:rPr>
            <w:noProof/>
            <w:webHidden/>
          </w:rPr>
          <w:fldChar w:fldCharType="end"/>
        </w:r>
      </w:hyperlink>
    </w:p>
    <w:p w14:paraId="13AD7113" w14:textId="6E2BA22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49" w:history="1">
        <w:r w:rsidRPr="00022879">
          <w:rPr>
            <w:rStyle w:val="Hyperlink"/>
            <w:noProof/>
          </w:rPr>
          <w:t>Table 6.2.1</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land use categories and land uses</w:t>
        </w:r>
        <w:r>
          <w:rPr>
            <w:noProof/>
            <w:webHidden/>
          </w:rPr>
          <w:tab/>
        </w:r>
        <w:r>
          <w:rPr>
            <w:noProof/>
            <w:webHidden/>
          </w:rPr>
          <w:fldChar w:fldCharType="begin"/>
        </w:r>
        <w:r>
          <w:rPr>
            <w:noProof/>
            <w:webHidden/>
          </w:rPr>
          <w:instrText xml:space="preserve"> PAGEREF _Toc226669049 \h </w:instrText>
        </w:r>
        <w:r>
          <w:rPr>
            <w:noProof/>
            <w:webHidden/>
          </w:rPr>
        </w:r>
        <w:r>
          <w:rPr>
            <w:noProof/>
            <w:webHidden/>
          </w:rPr>
          <w:fldChar w:fldCharType="separate"/>
        </w:r>
        <w:r w:rsidR="00831581">
          <w:rPr>
            <w:noProof/>
            <w:webHidden/>
          </w:rPr>
          <w:t>270</w:t>
        </w:r>
        <w:r>
          <w:rPr>
            <w:noProof/>
            <w:webHidden/>
          </w:rPr>
          <w:fldChar w:fldCharType="end"/>
        </w:r>
      </w:hyperlink>
    </w:p>
    <w:p w14:paraId="7FD7A271" w14:textId="29DB052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0" w:history="1">
        <w:r w:rsidRPr="00022879">
          <w:rPr>
            <w:rStyle w:val="Hyperlink"/>
            <w:noProof/>
          </w:rPr>
          <w:t>Table 6.2.2</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mapping definitions for each land use</w:t>
        </w:r>
        <w:r>
          <w:rPr>
            <w:noProof/>
            <w:webHidden/>
          </w:rPr>
          <w:tab/>
        </w:r>
        <w:r>
          <w:rPr>
            <w:noProof/>
            <w:webHidden/>
          </w:rPr>
          <w:fldChar w:fldCharType="begin"/>
        </w:r>
        <w:r>
          <w:rPr>
            <w:noProof/>
            <w:webHidden/>
          </w:rPr>
          <w:instrText xml:space="preserve"> PAGEREF _Toc226669050 \h </w:instrText>
        </w:r>
        <w:r>
          <w:rPr>
            <w:noProof/>
            <w:webHidden/>
          </w:rPr>
        </w:r>
        <w:r>
          <w:rPr>
            <w:noProof/>
            <w:webHidden/>
          </w:rPr>
          <w:fldChar w:fldCharType="separate"/>
        </w:r>
        <w:r w:rsidR="00831581">
          <w:rPr>
            <w:noProof/>
            <w:webHidden/>
          </w:rPr>
          <w:t>271</w:t>
        </w:r>
        <w:r>
          <w:rPr>
            <w:noProof/>
            <w:webHidden/>
          </w:rPr>
          <w:fldChar w:fldCharType="end"/>
        </w:r>
      </w:hyperlink>
    </w:p>
    <w:p w14:paraId="0E7FC044" w14:textId="2489C6B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1" w:history="1">
        <w:r w:rsidRPr="00022879">
          <w:rPr>
            <w:rStyle w:val="Hyperlink"/>
            <w:noProof/>
          </w:rPr>
          <w:t>Table 6.2.3</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land-use change matrix, from 1962 to 1989 (kha)</w:t>
        </w:r>
        <w:r>
          <w:rPr>
            <w:noProof/>
            <w:webHidden/>
          </w:rPr>
          <w:tab/>
        </w:r>
        <w:r>
          <w:rPr>
            <w:noProof/>
            <w:webHidden/>
          </w:rPr>
          <w:fldChar w:fldCharType="begin"/>
        </w:r>
        <w:r>
          <w:rPr>
            <w:noProof/>
            <w:webHidden/>
          </w:rPr>
          <w:instrText xml:space="preserve"> PAGEREF _Toc226669051 \h </w:instrText>
        </w:r>
        <w:r>
          <w:rPr>
            <w:noProof/>
            <w:webHidden/>
          </w:rPr>
        </w:r>
        <w:r>
          <w:rPr>
            <w:noProof/>
            <w:webHidden/>
          </w:rPr>
          <w:fldChar w:fldCharType="separate"/>
        </w:r>
        <w:r w:rsidR="00831581">
          <w:rPr>
            <w:noProof/>
            <w:webHidden/>
          </w:rPr>
          <w:t>273</w:t>
        </w:r>
        <w:r>
          <w:rPr>
            <w:noProof/>
            <w:webHidden/>
          </w:rPr>
          <w:fldChar w:fldCharType="end"/>
        </w:r>
      </w:hyperlink>
    </w:p>
    <w:p w14:paraId="55FFA3E1" w14:textId="6B1E3BC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2" w:history="1">
        <w:r w:rsidRPr="00022879">
          <w:rPr>
            <w:rStyle w:val="Hyperlink"/>
            <w:noProof/>
          </w:rPr>
          <w:t>Table 6.4.1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for the </w:t>
        </w:r>
        <w:r w:rsidRPr="00022879">
          <w:rPr>
            <w:rStyle w:val="Hyperlink"/>
            <w:i/>
            <w:noProof/>
          </w:rPr>
          <w:t>Forest land</w:t>
        </w:r>
        <w:r w:rsidRPr="00022879">
          <w:rPr>
            <w:rStyle w:val="Hyperlink"/>
            <w:noProof/>
          </w:rPr>
          <w:t xml:space="preserve"> category, and associated CO</w:t>
        </w:r>
        <w:r w:rsidRPr="00022879">
          <w:rPr>
            <w:rStyle w:val="Hyperlink"/>
            <w:noProof/>
            <w:vertAlign w:val="subscript"/>
          </w:rPr>
          <w:t>2</w:t>
        </w:r>
        <w:r w:rsidRPr="00022879">
          <w:rPr>
            <w:rStyle w:val="Hyperlink"/>
            <w:noProof/>
          </w:rPr>
          <w:t>e emissions, in 1990 and 2024</w:t>
        </w:r>
        <w:r>
          <w:rPr>
            <w:noProof/>
            <w:webHidden/>
          </w:rPr>
          <w:tab/>
        </w:r>
        <w:r>
          <w:rPr>
            <w:noProof/>
            <w:webHidden/>
          </w:rPr>
          <w:fldChar w:fldCharType="begin"/>
        </w:r>
        <w:r>
          <w:rPr>
            <w:noProof/>
            <w:webHidden/>
          </w:rPr>
          <w:instrText xml:space="preserve"> PAGEREF _Toc226669052 \h </w:instrText>
        </w:r>
        <w:r>
          <w:rPr>
            <w:noProof/>
            <w:webHidden/>
          </w:rPr>
        </w:r>
        <w:r>
          <w:rPr>
            <w:noProof/>
            <w:webHidden/>
          </w:rPr>
          <w:fldChar w:fldCharType="separate"/>
        </w:r>
        <w:r w:rsidR="00831581">
          <w:rPr>
            <w:noProof/>
            <w:webHidden/>
          </w:rPr>
          <w:t>276</w:t>
        </w:r>
        <w:r>
          <w:rPr>
            <w:noProof/>
            <w:webHidden/>
          </w:rPr>
          <w:fldChar w:fldCharType="end"/>
        </w:r>
      </w:hyperlink>
    </w:p>
    <w:p w14:paraId="4B3ECAE6" w14:textId="32BB769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3" w:history="1">
        <w:r w:rsidRPr="00022879">
          <w:rPr>
            <w:rStyle w:val="Hyperlink"/>
            <w:noProof/>
          </w:rPr>
          <w:t>Table 6.4.2</w:t>
        </w:r>
        <w:r>
          <w:rPr>
            <w:rFonts w:asciiTheme="minorHAnsi" w:eastAsiaTheme="minorEastAsia" w:hAnsiTheme="minorHAnsi" w:cstheme="minorBidi"/>
            <w:noProof/>
            <w:kern w:val="2"/>
            <w:sz w:val="24"/>
            <w:szCs w:val="24"/>
            <w14:ligatures w14:val="standardContextual"/>
          </w:rPr>
          <w:tab/>
        </w:r>
        <w:r w:rsidRPr="00022879">
          <w:rPr>
            <w:rStyle w:val="Hyperlink"/>
            <w:noProof/>
          </w:rPr>
          <w:t>Change in land area and associated CO</w:t>
        </w:r>
        <w:r w:rsidRPr="00022879">
          <w:rPr>
            <w:rStyle w:val="Hyperlink"/>
            <w:noProof/>
            <w:vertAlign w:val="subscript"/>
          </w:rPr>
          <w:t>2</w:t>
        </w:r>
        <w:r w:rsidRPr="00022879">
          <w:rPr>
            <w:rStyle w:val="Hyperlink"/>
            <w:noProof/>
          </w:rPr>
          <w:t xml:space="preserve"> emissions from carbon stock change between 1990 and 2024 for New Zealand’s</w:t>
        </w:r>
        <w:r w:rsidRPr="00022879">
          <w:rPr>
            <w:rStyle w:val="Hyperlink"/>
            <w:i/>
            <w:noProof/>
          </w:rPr>
          <w:t xml:space="preserve"> Forest land</w:t>
        </w:r>
        <w:r>
          <w:rPr>
            <w:noProof/>
            <w:webHidden/>
          </w:rPr>
          <w:tab/>
        </w:r>
        <w:r>
          <w:rPr>
            <w:noProof/>
            <w:webHidden/>
          </w:rPr>
          <w:fldChar w:fldCharType="begin"/>
        </w:r>
        <w:r>
          <w:rPr>
            <w:noProof/>
            <w:webHidden/>
          </w:rPr>
          <w:instrText xml:space="preserve"> PAGEREF _Toc226669053 \h </w:instrText>
        </w:r>
        <w:r>
          <w:rPr>
            <w:noProof/>
            <w:webHidden/>
          </w:rPr>
        </w:r>
        <w:r>
          <w:rPr>
            <w:noProof/>
            <w:webHidden/>
          </w:rPr>
          <w:fldChar w:fldCharType="separate"/>
        </w:r>
        <w:r w:rsidR="00831581">
          <w:rPr>
            <w:noProof/>
            <w:webHidden/>
          </w:rPr>
          <w:t>277</w:t>
        </w:r>
        <w:r>
          <w:rPr>
            <w:noProof/>
            <w:webHidden/>
          </w:rPr>
          <w:fldChar w:fldCharType="end"/>
        </w:r>
      </w:hyperlink>
    </w:p>
    <w:p w14:paraId="42FAC36E" w14:textId="58B1F74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4" w:history="1">
        <w:r w:rsidRPr="00022879">
          <w:rPr>
            <w:rStyle w:val="Hyperlink"/>
            <w:noProof/>
          </w:rPr>
          <w:t>Table 6.4.3</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net carbon stock change by carbon pool for the</w:t>
        </w:r>
        <w:r w:rsidRPr="00022879">
          <w:rPr>
            <w:rStyle w:val="Hyperlink"/>
            <w:rFonts w:cs="Arial Bold"/>
            <w:noProof/>
          </w:rPr>
          <w:t xml:space="preserve"> </w:t>
        </w:r>
        <w:r w:rsidRPr="00022879">
          <w:rPr>
            <w:rStyle w:val="Hyperlink"/>
            <w:rFonts w:cs="Arial Bold"/>
            <w:i/>
            <w:noProof/>
          </w:rPr>
          <w:t>Forest</w:t>
        </w:r>
        <w:r w:rsidRPr="00022879">
          <w:rPr>
            <w:rStyle w:val="Hyperlink"/>
            <w:i/>
            <w:noProof/>
          </w:rPr>
          <w:t xml:space="preserve"> land </w:t>
        </w:r>
        <w:r w:rsidRPr="00022879">
          <w:rPr>
            <w:rStyle w:val="Hyperlink"/>
            <w:noProof/>
          </w:rPr>
          <w:t>category, from 1990 to 2024</w:t>
        </w:r>
        <w:r>
          <w:rPr>
            <w:noProof/>
            <w:webHidden/>
          </w:rPr>
          <w:tab/>
        </w:r>
        <w:r>
          <w:rPr>
            <w:noProof/>
            <w:webHidden/>
          </w:rPr>
          <w:fldChar w:fldCharType="begin"/>
        </w:r>
        <w:r>
          <w:rPr>
            <w:noProof/>
            <w:webHidden/>
          </w:rPr>
          <w:instrText xml:space="preserve"> PAGEREF _Toc226669054 \h </w:instrText>
        </w:r>
        <w:r>
          <w:rPr>
            <w:noProof/>
            <w:webHidden/>
          </w:rPr>
        </w:r>
        <w:r>
          <w:rPr>
            <w:noProof/>
            <w:webHidden/>
          </w:rPr>
          <w:fldChar w:fldCharType="separate"/>
        </w:r>
        <w:r w:rsidR="00831581">
          <w:rPr>
            <w:noProof/>
            <w:webHidden/>
          </w:rPr>
          <w:t>278</w:t>
        </w:r>
        <w:r>
          <w:rPr>
            <w:noProof/>
            <w:webHidden/>
          </w:rPr>
          <w:fldChar w:fldCharType="end"/>
        </w:r>
      </w:hyperlink>
    </w:p>
    <w:p w14:paraId="29281FB0" w14:textId="45D4A58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5" w:history="1">
        <w:r w:rsidRPr="00022879">
          <w:rPr>
            <w:rStyle w:val="Hyperlink"/>
            <w:noProof/>
          </w:rPr>
          <w:t>Table 6.4.4</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w:t>
        </w:r>
        <w:r w:rsidRPr="00022879">
          <w:rPr>
            <w:rStyle w:val="Hyperlink"/>
            <w:i/>
            <w:noProof/>
          </w:rPr>
          <w:t xml:space="preserve">Forest land </w:t>
        </w:r>
        <w:r w:rsidRPr="00022879">
          <w:rPr>
            <w:rStyle w:val="Hyperlink"/>
            <w:noProof/>
          </w:rPr>
          <w:t>subject to deforestation, 1990 and 2024</w:t>
        </w:r>
        <w:r>
          <w:rPr>
            <w:noProof/>
            <w:webHidden/>
          </w:rPr>
          <w:tab/>
        </w:r>
        <w:r>
          <w:rPr>
            <w:noProof/>
            <w:webHidden/>
          </w:rPr>
          <w:fldChar w:fldCharType="begin"/>
        </w:r>
        <w:r>
          <w:rPr>
            <w:noProof/>
            <w:webHidden/>
          </w:rPr>
          <w:instrText xml:space="preserve"> PAGEREF _Toc226669055 \h </w:instrText>
        </w:r>
        <w:r>
          <w:rPr>
            <w:noProof/>
            <w:webHidden/>
          </w:rPr>
        </w:r>
        <w:r>
          <w:rPr>
            <w:noProof/>
            <w:webHidden/>
          </w:rPr>
          <w:fldChar w:fldCharType="separate"/>
        </w:r>
        <w:r w:rsidR="00831581">
          <w:rPr>
            <w:noProof/>
            <w:webHidden/>
          </w:rPr>
          <w:t>280</w:t>
        </w:r>
        <w:r>
          <w:rPr>
            <w:noProof/>
            <w:webHidden/>
          </w:rPr>
          <w:fldChar w:fldCharType="end"/>
        </w:r>
      </w:hyperlink>
    </w:p>
    <w:p w14:paraId="03547CC8" w14:textId="38E09C5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6" w:history="1">
        <w:r w:rsidRPr="00022879">
          <w:rPr>
            <w:rStyle w:val="Hyperlink"/>
            <w:noProof/>
          </w:rPr>
          <w:t>Table 6.4.5</w:t>
        </w:r>
        <w:r>
          <w:rPr>
            <w:rFonts w:asciiTheme="minorHAnsi" w:eastAsiaTheme="minorEastAsia" w:hAnsiTheme="minorHAnsi" w:cstheme="minorBidi"/>
            <w:noProof/>
            <w:kern w:val="2"/>
            <w:sz w:val="24"/>
            <w:szCs w:val="24"/>
            <w14:ligatures w14:val="standardContextual"/>
          </w:rPr>
          <w:tab/>
        </w:r>
        <w:r w:rsidRPr="00022879">
          <w:rPr>
            <w:rStyle w:val="Hyperlink"/>
            <w:noProof/>
          </w:rPr>
          <w:t>Pre-1990 natural forest categories and description</w:t>
        </w:r>
        <w:r>
          <w:rPr>
            <w:noProof/>
            <w:webHidden/>
          </w:rPr>
          <w:tab/>
        </w:r>
        <w:r>
          <w:rPr>
            <w:noProof/>
            <w:webHidden/>
          </w:rPr>
          <w:fldChar w:fldCharType="begin"/>
        </w:r>
        <w:r>
          <w:rPr>
            <w:noProof/>
            <w:webHidden/>
          </w:rPr>
          <w:instrText xml:space="preserve"> PAGEREF _Toc226669056 \h </w:instrText>
        </w:r>
        <w:r>
          <w:rPr>
            <w:noProof/>
            <w:webHidden/>
          </w:rPr>
        </w:r>
        <w:r>
          <w:rPr>
            <w:noProof/>
            <w:webHidden/>
          </w:rPr>
          <w:fldChar w:fldCharType="separate"/>
        </w:r>
        <w:r w:rsidR="00831581">
          <w:rPr>
            <w:noProof/>
            <w:webHidden/>
          </w:rPr>
          <w:t>282</w:t>
        </w:r>
        <w:r>
          <w:rPr>
            <w:noProof/>
            <w:webHidden/>
          </w:rPr>
          <w:fldChar w:fldCharType="end"/>
        </w:r>
      </w:hyperlink>
    </w:p>
    <w:p w14:paraId="5B43AFF7" w14:textId="553AF0B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7" w:history="1">
        <w:r w:rsidRPr="00022879">
          <w:rPr>
            <w:rStyle w:val="Hyperlink"/>
            <w:noProof/>
          </w:rPr>
          <w:t>Table 6.4.6</w:t>
        </w:r>
        <w:r>
          <w:rPr>
            <w:rFonts w:asciiTheme="minorHAnsi" w:eastAsiaTheme="minorEastAsia" w:hAnsiTheme="minorHAnsi" w:cstheme="minorBidi"/>
            <w:noProof/>
            <w:kern w:val="2"/>
            <w:sz w:val="24"/>
            <w:szCs w:val="24"/>
            <w14:ligatures w14:val="standardContextual"/>
          </w:rPr>
          <w:tab/>
        </w:r>
        <w:r w:rsidRPr="00022879">
          <w:rPr>
            <w:rStyle w:val="Hyperlink"/>
            <w:noProof/>
          </w:rPr>
          <w:t>Areas of tall and regenerating pre-1990 natural forest in 1990 and 2024</w:t>
        </w:r>
        <w:r>
          <w:rPr>
            <w:noProof/>
            <w:webHidden/>
          </w:rPr>
          <w:tab/>
        </w:r>
        <w:r>
          <w:rPr>
            <w:noProof/>
            <w:webHidden/>
          </w:rPr>
          <w:fldChar w:fldCharType="begin"/>
        </w:r>
        <w:r>
          <w:rPr>
            <w:noProof/>
            <w:webHidden/>
          </w:rPr>
          <w:instrText xml:space="preserve"> PAGEREF _Toc226669057 \h </w:instrText>
        </w:r>
        <w:r>
          <w:rPr>
            <w:noProof/>
            <w:webHidden/>
          </w:rPr>
        </w:r>
        <w:r>
          <w:rPr>
            <w:noProof/>
            <w:webHidden/>
          </w:rPr>
          <w:fldChar w:fldCharType="separate"/>
        </w:r>
        <w:r w:rsidR="00831581">
          <w:rPr>
            <w:noProof/>
            <w:webHidden/>
          </w:rPr>
          <w:t>282</w:t>
        </w:r>
        <w:r>
          <w:rPr>
            <w:noProof/>
            <w:webHidden/>
          </w:rPr>
          <w:fldChar w:fldCharType="end"/>
        </w:r>
      </w:hyperlink>
    </w:p>
    <w:p w14:paraId="4EC2701F" w14:textId="747A981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8" w:history="1">
        <w:r w:rsidRPr="00022879">
          <w:rPr>
            <w:rStyle w:val="Hyperlink"/>
            <w:noProof/>
          </w:rPr>
          <w:t>Table 6.4.7</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pre-1990 natural forest deforestation area (ha), for natural forest categories, estimated by type, from 1990</w:t>
        </w:r>
        <w:r w:rsidRPr="00022879">
          <w:rPr>
            <w:rStyle w:val="Hyperlink"/>
            <w:rFonts w:ascii="Arial" w:hAnsi="Arial" w:cs="Arial"/>
            <w:noProof/>
          </w:rPr>
          <w:t> </w:t>
        </w:r>
        <w:r w:rsidRPr="00022879">
          <w:rPr>
            <w:rStyle w:val="Hyperlink"/>
            <w:noProof/>
          </w:rPr>
          <w:t>to</w:t>
        </w:r>
        <w:r w:rsidRPr="00022879">
          <w:rPr>
            <w:rStyle w:val="Hyperlink"/>
            <w:rFonts w:ascii="Arial" w:hAnsi="Arial" w:cs="Arial"/>
            <w:noProof/>
          </w:rPr>
          <w:t> </w:t>
        </w:r>
        <w:r w:rsidRPr="00022879">
          <w:rPr>
            <w:rStyle w:val="Hyperlink"/>
            <w:noProof/>
          </w:rPr>
          <w:t>2024</w:t>
        </w:r>
        <w:r>
          <w:rPr>
            <w:noProof/>
            <w:webHidden/>
          </w:rPr>
          <w:tab/>
        </w:r>
        <w:r>
          <w:rPr>
            <w:noProof/>
            <w:webHidden/>
          </w:rPr>
          <w:fldChar w:fldCharType="begin"/>
        </w:r>
        <w:r>
          <w:rPr>
            <w:noProof/>
            <w:webHidden/>
          </w:rPr>
          <w:instrText xml:space="preserve"> PAGEREF _Toc226669058 \h </w:instrText>
        </w:r>
        <w:r>
          <w:rPr>
            <w:noProof/>
            <w:webHidden/>
          </w:rPr>
        </w:r>
        <w:r>
          <w:rPr>
            <w:noProof/>
            <w:webHidden/>
          </w:rPr>
          <w:fldChar w:fldCharType="separate"/>
        </w:r>
        <w:r w:rsidR="00831581">
          <w:rPr>
            <w:noProof/>
            <w:webHidden/>
          </w:rPr>
          <w:t>282</w:t>
        </w:r>
        <w:r>
          <w:rPr>
            <w:noProof/>
            <w:webHidden/>
          </w:rPr>
          <w:fldChar w:fldCharType="end"/>
        </w:r>
      </w:hyperlink>
    </w:p>
    <w:p w14:paraId="14543A7E" w14:textId="41136F9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59" w:history="1">
        <w:r w:rsidRPr="00022879">
          <w:rPr>
            <w:rStyle w:val="Hyperlink"/>
            <w:noProof/>
          </w:rPr>
          <w:t>Table 6.4.8</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methods used to calculate New Zealand’s forest biomass carbon stock from plot data</w:t>
        </w:r>
        <w:r>
          <w:rPr>
            <w:noProof/>
            <w:webHidden/>
          </w:rPr>
          <w:tab/>
        </w:r>
        <w:r>
          <w:rPr>
            <w:noProof/>
            <w:webHidden/>
          </w:rPr>
          <w:fldChar w:fldCharType="begin"/>
        </w:r>
        <w:r>
          <w:rPr>
            <w:noProof/>
            <w:webHidden/>
          </w:rPr>
          <w:instrText xml:space="preserve"> PAGEREF _Toc226669059 \h </w:instrText>
        </w:r>
        <w:r>
          <w:rPr>
            <w:noProof/>
            <w:webHidden/>
          </w:rPr>
        </w:r>
        <w:r>
          <w:rPr>
            <w:noProof/>
            <w:webHidden/>
          </w:rPr>
          <w:fldChar w:fldCharType="separate"/>
        </w:r>
        <w:r w:rsidR="00831581">
          <w:rPr>
            <w:noProof/>
            <w:webHidden/>
          </w:rPr>
          <w:t>286</w:t>
        </w:r>
        <w:r>
          <w:rPr>
            <w:noProof/>
            <w:webHidden/>
          </w:rPr>
          <w:fldChar w:fldCharType="end"/>
        </w:r>
      </w:hyperlink>
    </w:p>
    <w:p w14:paraId="7E54B675" w14:textId="7E1C8EA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0" w:history="1">
        <w:r w:rsidRPr="00022879">
          <w:rPr>
            <w:rStyle w:val="Hyperlink"/>
            <w:noProof/>
          </w:rPr>
          <w:t>Table 6.4.9</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carbon stock change emissions in 2024 from </w:t>
        </w:r>
        <w:r w:rsidRPr="00022879">
          <w:rPr>
            <w:rStyle w:val="Hyperlink"/>
            <w:i/>
            <w:noProof/>
          </w:rPr>
          <w:t>Forest land</w:t>
        </w:r>
        <w:r>
          <w:rPr>
            <w:noProof/>
            <w:webHidden/>
          </w:rPr>
          <w:tab/>
        </w:r>
        <w:r>
          <w:rPr>
            <w:noProof/>
            <w:webHidden/>
          </w:rPr>
          <w:fldChar w:fldCharType="begin"/>
        </w:r>
        <w:r>
          <w:rPr>
            <w:noProof/>
            <w:webHidden/>
          </w:rPr>
          <w:instrText xml:space="preserve"> PAGEREF _Toc226669060 \h </w:instrText>
        </w:r>
        <w:r>
          <w:rPr>
            <w:noProof/>
            <w:webHidden/>
          </w:rPr>
        </w:r>
        <w:r>
          <w:rPr>
            <w:noProof/>
            <w:webHidden/>
          </w:rPr>
          <w:fldChar w:fldCharType="separate"/>
        </w:r>
        <w:r w:rsidR="00831581">
          <w:rPr>
            <w:noProof/>
            <w:webHidden/>
          </w:rPr>
          <w:t>288</w:t>
        </w:r>
        <w:r>
          <w:rPr>
            <w:noProof/>
            <w:webHidden/>
          </w:rPr>
          <w:fldChar w:fldCharType="end"/>
        </w:r>
      </w:hyperlink>
    </w:p>
    <w:p w14:paraId="12E899AC" w14:textId="3DEF4DA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1" w:history="1">
        <w:r w:rsidRPr="00022879">
          <w:rPr>
            <w:rStyle w:val="Hyperlink"/>
            <w:noProof/>
          </w:rPr>
          <w:t xml:space="preserve">Table 6.4.10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Recalculations of New Zealand’s estimates for the </w:t>
        </w:r>
        <w:r w:rsidRPr="00022879">
          <w:rPr>
            <w:rStyle w:val="Hyperlink"/>
            <w:i/>
            <w:noProof/>
          </w:rPr>
          <w:t>Forest land</w:t>
        </w:r>
        <w:r w:rsidRPr="00022879">
          <w:rPr>
            <w:rStyle w:val="Hyperlink"/>
            <w:noProof/>
          </w:rPr>
          <w:t xml:space="preserve"> category in 1990 and 2023</w:t>
        </w:r>
        <w:r>
          <w:rPr>
            <w:noProof/>
            <w:webHidden/>
          </w:rPr>
          <w:tab/>
        </w:r>
        <w:r>
          <w:rPr>
            <w:noProof/>
            <w:webHidden/>
          </w:rPr>
          <w:fldChar w:fldCharType="begin"/>
        </w:r>
        <w:r>
          <w:rPr>
            <w:noProof/>
            <w:webHidden/>
          </w:rPr>
          <w:instrText xml:space="preserve"> PAGEREF _Toc226669061 \h </w:instrText>
        </w:r>
        <w:r>
          <w:rPr>
            <w:noProof/>
            <w:webHidden/>
          </w:rPr>
        </w:r>
        <w:r>
          <w:rPr>
            <w:noProof/>
            <w:webHidden/>
          </w:rPr>
          <w:fldChar w:fldCharType="separate"/>
        </w:r>
        <w:r w:rsidR="00831581">
          <w:rPr>
            <w:noProof/>
            <w:webHidden/>
          </w:rPr>
          <w:t>288</w:t>
        </w:r>
        <w:r>
          <w:rPr>
            <w:noProof/>
            <w:webHidden/>
          </w:rPr>
          <w:fldChar w:fldCharType="end"/>
        </w:r>
      </w:hyperlink>
    </w:p>
    <w:p w14:paraId="005C1602" w14:textId="65249D8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2" w:history="1">
        <w:r w:rsidRPr="00022879">
          <w:rPr>
            <w:rStyle w:val="Hyperlink"/>
            <w:noProof/>
          </w:rPr>
          <w:t>Table 6.5.1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by </w:t>
        </w:r>
        <w:r w:rsidRPr="00022879">
          <w:rPr>
            <w:rStyle w:val="Hyperlink"/>
            <w:i/>
            <w:noProof/>
          </w:rPr>
          <w:t>Cropland</w:t>
        </w:r>
        <w:r w:rsidRPr="00022879">
          <w:rPr>
            <w:rStyle w:val="Hyperlink"/>
            <w:noProof/>
          </w:rPr>
          <w:t xml:space="preserve"> category, and associated CO</w:t>
        </w:r>
        <w:r w:rsidRPr="00022879">
          <w:rPr>
            <w:rStyle w:val="Hyperlink"/>
            <w:noProof/>
            <w:vertAlign w:val="subscript"/>
          </w:rPr>
          <w:t>2</w:t>
        </w:r>
        <w:r w:rsidRPr="00022879">
          <w:rPr>
            <w:rStyle w:val="Hyperlink"/>
            <w:noProof/>
          </w:rPr>
          <w:t>e emissions, 1990 and 2024</w:t>
        </w:r>
        <w:r>
          <w:rPr>
            <w:noProof/>
            <w:webHidden/>
          </w:rPr>
          <w:tab/>
        </w:r>
        <w:r>
          <w:rPr>
            <w:noProof/>
            <w:webHidden/>
          </w:rPr>
          <w:fldChar w:fldCharType="begin"/>
        </w:r>
        <w:r>
          <w:rPr>
            <w:noProof/>
            <w:webHidden/>
          </w:rPr>
          <w:instrText xml:space="preserve"> PAGEREF _Toc226669062 \h </w:instrText>
        </w:r>
        <w:r>
          <w:rPr>
            <w:noProof/>
            <w:webHidden/>
          </w:rPr>
        </w:r>
        <w:r>
          <w:rPr>
            <w:noProof/>
            <w:webHidden/>
          </w:rPr>
          <w:fldChar w:fldCharType="separate"/>
        </w:r>
        <w:r w:rsidR="00831581">
          <w:rPr>
            <w:noProof/>
            <w:webHidden/>
          </w:rPr>
          <w:t>291</w:t>
        </w:r>
        <w:r>
          <w:rPr>
            <w:noProof/>
            <w:webHidden/>
          </w:rPr>
          <w:fldChar w:fldCharType="end"/>
        </w:r>
      </w:hyperlink>
    </w:p>
    <w:p w14:paraId="67C4F8E1" w14:textId="70B13CD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3" w:history="1">
        <w:r w:rsidRPr="00022879">
          <w:rPr>
            <w:rStyle w:val="Hyperlink"/>
            <w:noProof/>
          </w:rPr>
          <w:t>Table 6.5.2</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carbon stock change by carbon pool for the</w:t>
        </w:r>
        <w:r w:rsidRPr="00022879">
          <w:rPr>
            <w:rStyle w:val="Hyperlink"/>
            <w:rFonts w:cs="Arial Bold"/>
            <w:noProof/>
          </w:rPr>
          <w:t xml:space="preserve"> </w:t>
        </w:r>
        <w:r w:rsidRPr="00022879">
          <w:rPr>
            <w:rStyle w:val="Hyperlink"/>
            <w:rFonts w:cs="Arial Bold"/>
            <w:i/>
            <w:noProof/>
          </w:rPr>
          <w:t>Crop</w:t>
        </w:r>
        <w:r w:rsidRPr="00022879">
          <w:rPr>
            <w:rStyle w:val="Hyperlink"/>
            <w:i/>
            <w:noProof/>
          </w:rPr>
          <w:t>land</w:t>
        </w:r>
        <w:r w:rsidRPr="00022879">
          <w:rPr>
            <w:rStyle w:val="Hyperlink"/>
            <w:noProof/>
          </w:rPr>
          <w:t xml:space="preserve"> category, from 1990 to 2024</w:t>
        </w:r>
        <w:r>
          <w:rPr>
            <w:noProof/>
            <w:webHidden/>
          </w:rPr>
          <w:tab/>
        </w:r>
        <w:r>
          <w:rPr>
            <w:noProof/>
            <w:webHidden/>
          </w:rPr>
          <w:fldChar w:fldCharType="begin"/>
        </w:r>
        <w:r>
          <w:rPr>
            <w:noProof/>
            <w:webHidden/>
          </w:rPr>
          <w:instrText xml:space="preserve"> PAGEREF _Toc226669063 \h </w:instrText>
        </w:r>
        <w:r>
          <w:rPr>
            <w:noProof/>
            <w:webHidden/>
          </w:rPr>
        </w:r>
        <w:r>
          <w:rPr>
            <w:noProof/>
            <w:webHidden/>
          </w:rPr>
          <w:fldChar w:fldCharType="separate"/>
        </w:r>
        <w:r w:rsidR="00831581">
          <w:rPr>
            <w:noProof/>
            <w:webHidden/>
          </w:rPr>
          <w:t>291</w:t>
        </w:r>
        <w:r>
          <w:rPr>
            <w:noProof/>
            <w:webHidden/>
          </w:rPr>
          <w:fldChar w:fldCharType="end"/>
        </w:r>
      </w:hyperlink>
    </w:p>
    <w:p w14:paraId="0A8CCBC0" w14:textId="5A4CF89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4" w:history="1">
        <w:r w:rsidRPr="00022879">
          <w:rPr>
            <w:rStyle w:val="Hyperlink"/>
            <w:noProof/>
          </w:rPr>
          <w:t>Table 6.5.3</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by </w:t>
        </w:r>
        <w:r w:rsidRPr="00022879">
          <w:rPr>
            <w:rStyle w:val="Hyperlink"/>
            <w:i/>
            <w:noProof/>
          </w:rPr>
          <w:t>Cropland</w:t>
        </w:r>
        <w:r w:rsidRPr="00022879">
          <w:rPr>
            <w:rStyle w:val="Hyperlink"/>
            <w:noProof/>
          </w:rPr>
          <w:t xml:space="preserve"> land use, and associated CO</w:t>
        </w:r>
        <w:r w:rsidRPr="00022879">
          <w:rPr>
            <w:rStyle w:val="Hyperlink"/>
            <w:noProof/>
            <w:vertAlign w:val="subscript"/>
          </w:rPr>
          <w:t>2</w:t>
        </w:r>
        <w:r w:rsidRPr="00022879">
          <w:rPr>
            <w:rStyle w:val="Hyperlink"/>
            <w:noProof/>
          </w:rPr>
          <w:t xml:space="preserve"> emissions from carbon stock change, from 1990 to 2024</w:t>
        </w:r>
        <w:r>
          <w:rPr>
            <w:noProof/>
            <w:webHidden/>
          </w:rPr>
          <w:tab/>
        </w:r>
        <w:r>
          <w:rPr>
            <w:noProof/>
            <w:webHidden/>
          </w:rPr>
          <w:fldChar w:fldCharType="begin"/>
        </w:r>
        <w:r>
          <w:rPr>
            <w:noProof/>
            <w:webHidden/>
          </w:rPr>
          <w:instrText xml:space="preserve"> PAGEREF _Toc226669064 \h </w:instrText>
        </w:r>
        <w:r>
          <w:rPr>
            <w:noProof/>
            <w:webHidden/>
          </w:rPr>
        </w:r>
        <w:r>
          <w:rPr>
            <w:noProof/>
            <w:webHidden/>
          </w:rPr>
          <w:fldChar w:fldCharType="separate"/>
        </w:r>
        <w:r w:rsidR="00831581">
          <w:rPr>
            <w:noProof/>
            <w:webHidden/>
          </w:rPr>
          <w:t>292</w:t>
        </w:r>
        <w:r>
          <w:rPr>
            <w:noProof/>
            <w:webHidden/>
          </w:rPr>
          <w:fldChar w:fldCharType="end"/>
        </w:r>
      </w:hyperlink>
    </w:p>
    <w:p w14:paraId="567137DA" w14:textId="002B801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5" w:history="1">
        <w:r w:rsidRPr="00022879">
          <w:rPr>
            <w:rStyle w:val="Hyperlink"/>
            <w:noProof/>
          </w:rPr>
          <w:t>Table 6.5.4</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for the </w:t>
        </w:r>
        <w:r w:rsidRPr="00022879">
          <w:rPr>
            <w:rStyle w:val="Hyperlink"/>
            <w:i/>
            <w:noProof/>
          </w:rPr>
          <w:t>Cropland</w:t>
        </w:r>
        <w:r w:rsidRPr="00022879">
          <w:rPr>
            <w:rStyle w:val="Hyperlink"/>
            <w:noProof/>
          </w:rPr>
          <w:t xml:space="preserve"> category, from 1990 to 2024</w:t>
        </w:r>
        <w:r>
          <w:rPr>
            <w:noProof/>
            <w:webHidden/>
          </w:rPr>
          <w:tab/>
        </w:r>
        <w:r>
          <w:rPr>
            <w:noProof/>
            <w:webHidden/>
          </w:rPr>
          <w:fldChar w:fldCharType="begin"/>
        </w:r>
        <w:r>
          <w:rPr>
            <w:noProof/>
            <w:webHidden/>
          </w:rPr>
          <w:instrText xml:space="preserve"> PAGEREF _Toc226669065 \h </w:instrText>
        </w:r>
        <w:r>
          <w:rPr>
            <w:noProof/>
            <w:webHidden/>
          </w:rPr>
        </w:r>
        <w:r>
          <w:rPr>
            <w:noProof/>
            <w:webHidden/>
          </w:rPr>
          <w:fldChar w:fldCharType="separate"/>
        </w:r>
        <w:r w:rsidR="00831581">
          <w:rPr>
            <w:noProof/>
            <w:webHidden/>
          </w:rPr>
          <w:t>292</w:t>
        </w:r>
        <w:r>
          <w:rPr>
            <w:noProof/>
            <w:webHidden/>
          </w:rPr>
          <w:fldChar w:fldCharType="end"/>
        </w:r>
      </w:hyperlink>
    </w:p>
    <w:p w14:paraId="50787B63" w14:textId="40C3982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6" w:history="1">
        <w:r w:rsidRPr="00022879">
          <w:rPr>
            <w:rStyle w:val="Hyperlink"/>
            <w:noProof/>
          </w:rPr>
          <w:t>Table 6.5.5</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New Zealand’s carbon stock change emission factors for the </w:t>
        </w:r>
        <w:r w:rsidRPr="00022879">
          <w:rPr>
            <w:rStyle w:val="Hyperlink"/>
            <w:i/>
            <w:noProof/>
          </w:rPr>
          <w:t>Cropland</w:t>
        </w:r>
        <w:r w:rsidRPr="00022879">
          <w:rPr>
            <w:rStyle w:val="Hyperlink"/>
            <w:noProof/>
          </w:rPr>
          <w:t xml:space="preserve"> category</w:t>
        </w:r>
        <w:r>
          <w:rPr>
            <w:noProof/>
            <w:webHidden/>
          </w:rPr>
          <w:tab/>
        </w:r>
        <w:r>
          <w:rPr>
            <w:noProof/>
            <w:webHidden/>
          </w:rPr>
          <w:fldChar w:fldCharType="begin"/>
        </w:r>
        <w:r>
          <w:rPr>
            <w:noProof/>
            <w:webHidden/>
          </w:rPr>
          <w:instrText xml:space="preserve"> PAGEREF _Toc226669066 \h </w:instrText>
        </w:r>
        <w:r>
          <w:rPr>
            <w:noProof/>
            <w:webHidden/>
          </w:rPr>
        </w:r>
        <w:r>
          <w:rPr>
            <w:noProof/>
            <w:webHidden/>
          </w:rPr>
          <w:fldChar w:fldCharType="separate"/>
        </w:r>
        <w:r w:rsidR="00831581">
          <w:rPr>
            <w:noProof/>
            <w:webHidden/>
          </w:rPr>
          <w:t>293</w:t>
        </w:r>
        <w:r>
          <w:rPr>
            <w:noProof/>
            <w:webHidden/>
          </w:rPr>
          <w:fldChar w:fldCharType="end"/>
        </w:r>
      </w:hyperlink>
    </w:p>
    <w:p w14:paraId="392272F6" w14:textId="4BB2AAD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7" w:history="1">
        <w:r w:rsidRPr="00022879">
          <w:rPr>
            <w:rStyle w:val="Hyperlink"/>
            <w:noProof/>
          </w:rPr>
          <w:t>Table 6.5.6</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net carbon stock change emissions in 2024 for </w:t>
        </w:r>
        <w:r w:rsidRPr="00022879">
          <w:rPr>
            <w:rStyle w:val="Hyperlink"/>
            <w:bCs/>
            <w:noProof/>
          </w:rPr>
          <w:t xml:space="preserve">the </w:t>
        </w:r>
        <w:r w:rsidRPr="00022879">
          <w:rPr>
            <w:rStyle w:val="Hyperlink"/>
            <w:i/>
            <w:noProof/>
          </w:rPr>
          <w:t>Cropland</w:t>
        </w:r>
        <w:r w:rsidRPr="00022879">
          <w:rPr>
            <w:rStyle w:val="Hyperlink"/>
            <w:noProof/>
          </w:rPr>
          <w:t xml:space="preserve"> </w:t>
        </w:r>
        <w:r w:rsidRPr="00022879">
          <w:rPr>
            <w:rStyle w:val="Hyperlink"/>
            <w:bCs/>
            <w:iCs/>
            <w:noProof/>
          </w:rPr>
          <w:t>category</w:t>
        </w:r>
        <w:r>
          <w:rPr>
            <w:noProof/>
            <w:webHidden/>
          </w:rPr>
          <w:tab/>
        </w:r>
        <w:r>
          <w:rPr>
            <w:noProof/>
            <w:webHidden/>
          </w:rPr>
          <w:fldChar w:fldCharType="begin"/>
        </w:r>
        <w:r>
          <w:rPr>
            <w:noProof/>
            <w:webHidden/>
          </w:rPr>
          <w:instrText xml:space="preserve"> PAGEREF _Toc226669067 \h </w:instrText>
        </w:r>
        <w:r>
          <w:rPr>
            <w:noProof/>
            <w:webHidden/>
          </w:rPr>
        </w:r>
        <w:r>
          <w:rPr>
            <w:noProof/>
            <w:webHidden/>
          </w:rPr>
          <w:fldChar w:fldCharType="separate"/>
        </w:r>
        <w:r w:rsidR="00831581">
          <w:rPr>
            <w:noProof/>
            <w:webHidden/>
          </w:rPr>
          <w:t>295</w:t>
        </w:r>
        <w:r>
          <w:rPr>
            <w:noProof/>
            <w:webHidden/>
          </w:rPr>
          <w:fldChar w:fldCharType="end"/>
        </w:r>
      </w:hyperlink>
    </w:p>
    <w:p w14:paraId="79A113B7" w14:textId="7EA55E0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8" w:history="1">
        <w:r w:rsidRPr="00022879">
          <w:rPr>
            <w:rStyle w:val="Hyperlink"/>
            <w:noProof/>
          </w:rPr>
          <w:t>Table 6.5.7</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Recalculations of New Zealand’s net emissions from the </w:t>
        </w:r>
        <w:r w:rsidRPr="00022879">
          <w:rPr>
            <w:rStyle w:val="Hyperlink"/>
            <w:i/>
            <w:noProof/>
          </w:rPr>
          <w:t>Cropland</w:t>
        </w:r>
        <w:r w:rsidRPr="00022879">
          <w:rPr>
            <w:rStyle w:val="Hyperlink"/>
            <w:noProof/>
          </w:rPr>
          <w:t xml:space="preserve"> category in 1990 and 2023</w:t>
        </w:r>
        <w:r>
          <w:rPr>
            <w:noProof/>
            <w:webHidden/>
          </w:rPr>
          <w:tab/>
        </w:r>
        <w:r>
          <w:rPr>
            <w:noProof/>
            <w:webHidden/>
          </w:rPr>
          <w:fldChar w:fldCharType="begin"/>
        </w:r>
        <w:r>
          <w:rPr>
            <w:noProof/>
            <w:webHidden/>
          </w:rPr>
          <w:instrText xml:space="preserve"> PAGEREF _Toc226669068 \h </w:instrText>
        </w:r>
        <w:r>
          <w:rPr>
            <w:noProof/>
            <w:webHidden/>
          </w:rPr>
        </w:r>
        <w:r>
          <w:rPr>
            <w:noProof/>
            <w:webHidden/>
          </w:rPr>
          <w:fldChar w:fldCharType="separate"/>
        </w:r>
        <w:r w:rsidR="00831581">
          <w:rPr>
            <w:noProof/>
            <w:webHidden/>
          </w:rPr>
          <w:t>296</w:t>
        </w:r>
        <w:r>
          <w:rPr>
            <w:noProof/>
            <w:webHidden/>
          </w:rPr>
          <w:fldChar w:fldCharType="end"/>
        </w:r>
      </w:hyperlink>
    </w:p>
    <w:p w14:paraId="337E5735" w14:textId="22223BA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69" w:history="1">
        <w:r w:rsidRPr="00022879">
          <w:rPr>
            <w:rStyle w:val="Hyperlink"/>
            <w:noProof/>
          </w:rPr>
          <w:t>Table 6.6.1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for the </w:t>
        </w:r>
        <w:r w:rsidRPr="00022879">
          <w:rPr>
            <w:rStyle w:val="Hyperlink"/>
            <w:i/>
            <w:noProof/>
          </w:rPr>
          <w:t>Grassland</w:t>
        </w:r>
        <w:r w:rsidRPr="00022879">
          <w:rPr>
            <w:rStyle w:val="Hyperlink"/>
            <w:noProof/>
          </w:rPr>
          <w:t xml:space="preserve"> category, and associated CO</w:t>
        </w:r>
        <w:r w:rsidRPr="00022879">
          <w:rPr>
            <w:rStyle w:val="Hyperlink"/>
            <w:noProof/>
            <w:vertAlign w:val="subscript"/>
          </w:rPr>
          <w:t>2</w:t>
        </w:r>
        <w:r w:rsidRPr="00022879">
          <w:rPr>
            <w:rStyle w:val="Hyperlink"/>
            <w:noProof/>
          </w:rPr>
          <w:t>e emissions, from 1990 to 2024</w:t>
        </w:r>
        <w:r>
          <w:rPr>
            <w:noProof/>
            <w:webHidden/>
          </w:rPr>
          <w:tab/>
        </w:r>
        <w:r>
          <w:rPr>
            <w:noProof/>
            <w:webHidden/>
          </w:rPr>
          <w:fldChar w:fldCharType="begin"/>
        </w:r>
        <w:r>
          <w:rPr>
            <w:noProof/>
            <w:webHidden/>
          </w:rPr>
          <w:instrText xml:space="preserve"> PAGEREF _Toc226669069 \h </w:instrText>
        </w:r>
        <w:r>
          <w:rPr>
            <w:noProof/>
            <w:webHidden/>
          </w:rPr>
        </w:r>
        <w:r>
          <w:rPr>
            <w:noProof/>
            <w:webHidden/>
          </w:rPr>
          <w:fldChar w:fldCharType="separate"/>
        </w:r>
        <w:r w:rsidR="00831581">
          <w:rPr>
            <w:noProof/>
            <w:webHidden/>
          </w:rPr>
          <w:t>297</w:t>
        </w:r>
        <w:r>
          <w:rPr>
            <w:noProof/>
            <w:webHidden/>
          </w:rPr>
          <w:fldChar w:fldCharType="end"/>
        </w:r>
      </w:hyperlink>
    </w:p>
    <w:p w14:paraId="10E44C52" w14:textId="0C332BC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0" w:history="1">
        <w:r w:rsidRPr="00022879">
          <w:rPr>
            <w:rStyle w:val="Hyperlink"/>
            <w:noProof/>
          </w:rPr>
          <w:t>Table 6.6.2</w:t>
        </w:r>
        <w:r>
          <w:rPr>
            <w:rFonts w:asciiTheme="minorHAnsi" w:eastAsiaTheme="minorEastAsia" w:hAnsiTheme="minorHAnsi" w:cstheme="minorBidi"/>
            <w:noProof/>
            <w:kern w:val="2"/>
            <w:sz w:val="24"/>
            <w:szCs w:val="24"/>
            <w14:ligatures w14:val="standardContextual"/>
          </w:rPr>
          <w:tab/>
        </w:r>
        <w:r w:rsidRPr="00022879">
          <w:rPr>
            <w:rStyle w:val="Hyperlink"/>
            <w:i/>
            <w:iCs/>
            <w:noProof/>
          </w:rPr>
          <w:t>Grassland with woody biomass</w:t>
        </w:r>
        <w:r w:rsidRPr="00022879">
          <w:rPr>
            <w:rStyle w:val="Hyperlink"/>
            <w:noProof/>
          </w:rPr>
          <w:t xml:space="preserve"> categories and description</w:t>
        </w:r>
        <w:r>
          <w:rPr>
            <w:noProof/>
            <w:webHidden/>
          </w:rPr>
          <w:tab/>
        </w:r>
        <w:r>
          <w:rPr>
            <w:noProof/>
            <w:webHidden/>
          </w:rPr>
          <w:fldChar w:fldCharType="begin"/>
        </w:r>
        <w:r>
          <w:rPr>
            <w:noProof/>
            <w:webHidden/>
          </w:rPr>
          <w:instrText xml:space="preserve"> PAGEREF _Toc226669070 \h </w:instrText>
        </w:r>
        <w:r>
          <w:rPr>
            <w:noProof/>
            <w:webHidden/>
          </w:rPr>
        </w:r>
        <w:r>
          <w:rPr>
            <w:noProof/>
            <w:webHidden/>
          </w:rPr>
          <w:fldChar w:fldCharType="separate"/>
        </w:r>
        <w:r w:rsidR="00831581">
          <w:rPr>
            <w:noProof/>
            <w:webHidden/>
          </w:rPr>
          <w:t>297</w:t>
        </w:r>
        <w:r>
          <w:rPr>
            <w:noProof/>
            <w:webHidden/>
          </w:rPr>
          <w:fldChar w:fldCharType="end"/>
        </w:r>
      </w:hyperlink>
    </w:p>
    <w:p w14:paraId="2150A4E2" w14:textId="2CAA5C7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1" w:history="1">
        <w:r w:rsidRPr="00022879">
          <w:rPr>
            <w:rStyle w:val="Hyperlink"/>
            <w:noProof/>
          </w:rPr>
          <w:t>Table 6.6.3</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carbon stock change by carbon pool for the</w:t>
        </w:r>
        <w:r w:rsidRPr="00022879">
          <w:rPr>
            <w:rStyle w:val="Hyperlink"/>
            <w:rFonts w:cs="Arial Bold"/>
            <w:noProof/>
          </w:rPr>
          <w:t xml:space="preserve"> </w:t>
        </w:r>
        <w:r w:rsidRPr="00022879">
          <w:rPr>
            <w:rStyle w:val="Hyperlink"/>
            <w:rFonts w:cs="Arial Bold"/>
            <w:i/>
            <w:noProof/>
          </w:rPr>
          <w:t>Grassland</w:t>
        </w:r>
        <w:r w:rsidRPr="00022879">
          <w:rPr>
            <w:rStyle w:val="Hyperlink"/>
            <w:noProof/>
          </w:rPr>
          <w:t xml:space="preserve"> category, from 1990 to 2024</w:t>
        </w:r>
        <w:r>
          <w:rPr>
            <w:noProof/>
            <w:webHidden/>
          </w:rPr>
          <w:tab/>
        </w:r>
        <w:r>
          <w:rPr>
            <w:noProof/>
            <w:webHidden/>
          </w:rPr>
          <w:fldChar w:fldCharType="begin"/>
        </w:r>
        <w:r>
          <w:rPr>
            <w:noProof/>
            <w:webHidden/>
          </w:rPr>
          <w:instrText xml:space="preserve"> PAGEREF _Toc226669071 \h </w:instrText>
        </w:r>
        <w:r>
          <w:rPr>
            <w:noProof/>
            <w:webHidden/>
          </w:rPr>
        </w:r>
        <w:r>
          <w:rPr>
            <w:noProof/>
            <w:webHidden/>
          </w:rPr>
          <w:fldChar w:fldCharType="separate"/>
        </w:r>
        <w:r w:rsidR="00831581">
          <w:rPr>
            <w:noProof/>
            <w:webHidden/>
          </w:rPr>
          <w:t>298</w:t>
        </w:r>
        <w:r>
          <w:rPr>
            <w:noProof/>
            <w:webHidden/>
          </w:rPr>
          <w:fldChar w:fldCharType="end"/>
        </w:r>
      </w:hyperlink>
    </w:p>
    <w:p w14:paraId="2DD22355" w14:textId="083207B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2" w:history="1">
        <w:r w:rsidRPr="00022879">
          <w:rPr>
            <w:rStyle w:val="Hyperlink"/>
            <w:noProof/>
          </w:rPr>
          <w:t>Table 6.6.4</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New Zealand’s biomass emission factors for </w:t>
        </w:r>
        <w:r w:rsidRPr="00022879">
          <w:rPr>
            <w:rStyle w:val="Hyperlink"/>
            <w:i/>
            <w:noProof/>
          </w:rPr>
          <w:t>Grassland</w:t>
        </w:r>
        <w:r>
          <w:rPr>
            <w:noProof/>
            <w:webHidden/>
          </w:rPr>
          <w:tab/>
        </w:r>
        <w:r>
          <w:rPr>
            <w:noProof/>
            <w:webHidden/>
          </w:rPr>
          <w:fldChar w:fldCharType="begin"/>
        </w:r>
        <w:r>
          <w:rPr>
            <w:noProof/>
            <w:webHidden/>
          </w:rPr>
          <w:instrText xml:space="preserve"> PAGEREF _Toc226669072 \h </w:instrText>
        </w:r>
        <w:r>
          <w:rPr>
            <w:noProof/>
            <w:webHidden/>
          </w:rPr>
        </w:r>
        <w:r>
          <w:rPr>
            <w:noProof/>
            <w:webHidden/>
          </w:rPr>
          <w:fldChar w:fldCharType="separate"/>
        </w:r>
        <w:r w:rsidR="00831581">
          <w:rPr>
            <w:noProof/>
            <w:webHidden/>
          </w:rPr>
          <w:t>298</w:t>
        </w:r>
        <w:r>
          <w:rPr>
            <w:noProof/>
            <w:webHidden/>
          </w:rPr>
          <w:fldChar w:fldCharType="end"/>
        </w:r>
      </w:hyperlink>
    </w:p>
    <w:p w14:paraId="71A23451" w14:textId="31342B7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3" w:history="1">
        <w:r w:rsidRPr="00022879">
          <w:rPr>
            <w:rStyle w:val="Hyperlink"/>
            <w:noProof/>
          </w:rPr>
          <w:t>Table 6.6.5</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carbon stock change emissions in 2024 for </w:t>
        </w:r>
        <w:r w:rsidRPr="00022879">
          <w:rPr>
            <w:rStyle w:val="Hyperlink"/>
            <w:i/>
            <w:noProof/>
          </w:rPr>
          <w:t>Grassland</w:t>
        </w:r>
        <w:r>
          <w:rPr>
            <w:noProof/>
            <w:webHidden/>
          </w:rPr>
          <w:tab/>
        </w:r>
        <w:r>
          <w:rPr>
            <w:noProof/>
            <w:webHidden/>
          </w:rPr>
          <w:fldChar w:fldCharType="begin"/>
        </w:r>
        <w:r>
          <w:rPr>
            <w:noProof/>
            <w:webHidden/>
          </w:rPr>
          <w:instrText xml:space="preserve"> PAGEREF _Toc226669073 \h </w:instrText>
        </w:r>
        <w:r>
          <w:rPr>
            <w:noProof/>
            <w:webHidden/>
          </w:rPr>
        </w:r>
        <w:r>
          <w:rPr>
            <w:noProof/>
            <w:webHidden/>
          </w:rPr>
          <w:fldChar w:fldCharType="separate"/>
        </w:r>
        <w:r w:rsidR="00831581">
          <w:rPr>
            <w:noProof/>
            <w:webHidden/>
          </w:rPr>
          <w:t>301</w:t>
        </w:r>
        <w:r>
          <w:rPr>
            <w:noProof/>
            <w:webHidden/>
          </w:rPr>
          <w:fldChar w:fldCharType="end"/>
        </w:r>
      </w:hyperlink>
    </w:p>
    <w:p w14:paraId="76BDE95B" w14:textId="28E782E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4" w:history="1">
        <w:r w:rsidRPr="00022879">
          <w:rPr>
            <w:rStyle w:val="Hyperlink"/>
            <w:noProof/>
          </w:rPr>
          <w:t>Table 6.6.6</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Recalculations of New Zealand’s net emissions from the </w:t>
        </w:r>
        <w:r w:rsidRPr="00022879">
          <w:rPr>
            <w:rStyle w:val="Hyperlink"/>
            <w:i/>
            <w:noProof/>
          </w:rPr>
          <w:t>Grassland</w:t>
        </w:r>
        <w:r w:rsidRPr="00022879">
          <w:rPr>
            <w:rStyle w:val="Hyperlink"/>
            <w:noProof/>
          </w:rPr>
          <w:t xml:space="preserve"> category in 1990 and 2023</w:t>
        </w:r>
        <w:r>
          <w:rPr>
            <w:noProof/>
            <w:webHidden/>
          </w:rPr>
          <w:tab/>
        </w:r>
        <w:r>
          <w:rPr>
            <w:noProof/>
            <w:webHidden/>
          </w:rPr>
          <w:fldChar w:fldCharType="begin"/>
        </w:r>
        <w:r>
          <w:rPr>
            <w:noProof/>
            <w:webHidden/>
          </w:rPr>
          <w:instrText xml:space="preserve"> PAGEREF _Toc226669074 \h </w:instrText>
        </w:r>
        <w:r>
          <w:rPr>
            <w:noProof/>
            <w:webHidden/>
          </w:rPr>
        </w:r>
        <w:r>
          <w:rPr>
            <w:noProof/>
            <w:webHidden/>
          </w:rPr>
          <w:fldChar w:fldCharType="separate"/>
        </w:r>
        <w:r w:rsidR="00831581">
          <w:rPr>
            <w:noProof/>
            <w:webHidden/>
          </w:rPr>
          <w:t>301</w:t>
        </w:r>
        <w:r>
          <w:rPr>
            <w:noProof/>
            <w:webHidden/>
          </w:rPr>
          <w:fldChar w:fldCharType="end"/>
        </w:r>
      </w:hyperlink>
    </w:p>
    <w:p w14:paraId="6EAE317B" w14:textId="2D92436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5" w:history="1">
        <w:r w:rsidRPr="00022879">
          <w:rPr>
            <w:rStyle w:val="Hyperlink"/>
            <w:noProof/>
          </w:rPr>
          <w:t>Table 6.7.1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for the </w:t>
        </w:r>
        <w:r w:rsidRPr="00022879">
          <w:rPr>
            <w:rStyle w:val="Hyperlink"/>
            <w:i/>
            <w:noProof/>
          </w:rPr>
          <w:t>Wetlands</w:t>
        </w:r>
        <w:r w:rsidRPr="00022879">
          <w:rPr>
            <w:rStyle w:val="Hyperlink"/>
            <w:noProof/>
          </w:rPr>
          <w:t xml:space="preserve"> category, and associated CO</w:t>
        </w:r>
        <w:r w:rsidRPr="00022879">
          <w:rPr>
            <w:rStyle w:val="Hyperlink"/>
            <w:noProof/>
            <w:vertAlign w:val="subscript"/>
          </w:rPr>
          <w:t>2</w:t>
        </w:r>
        <w:r w:rsidRPr="00022879">
          <w:rPr>
            <w:rStyle w:val="Hyperlink"/>
            <w:noProof/>
          </w:rPr>
          <w:t>e emissions, in 1990 and 2024</w:t>
        </w:r>
        <w:r>
          <w:rPr>
            <w:noProof/>
            <w:webHidden/>
          </w:rPr>
          <w:tab/>
        </w:r>
        <w:r>
          <w:rPr>
            <w:noProof/>
            <w:webHidden/>
          </w:rPr>
          <w:fldChar w:fldCharType="begin"/>
        </w:r>
        <w:r>
          <w:rPr>
            <w:noProof/>
            <w:webHidden/>
          </w:rPr>
          <w:instrText xml:space="preserve"> PAGEREF _Toc226669075 \h </w:instrText>
        </w:r>
        <w:r>
          <w:rPr>
            <w:noProof/>
            <w:webHidden/>
          </w:rPr>
        </w:r>
        <w:r>
          <w:rPr>
            <w:noProof/>
            <w:webHidden/>
          </w:rPr>
          <w:fldChar w:fldCharType="separate"/>
        </w:r>
        <w:r w:rsidR="00831581">
          <w:rPr>
            <w:noProof/>
            <w:webHidden/>
          </w:rPr>
          <w:t>302</w:t>
        </w:r>
        <w:r>
          <w:rPr>
            <w:noProof/>
            <w:webHidden/>
          </w:rPr>
          <w:fldChar w:fldCharType="end"/>
        </w:r>
      </w:hyperlink>
    </w:p>
    <w:p w14:paraId="2BAD2B67" w14:textId="79E541C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6" w:history="1">
        <w:r w:rsidRPr="00022879">
          <w:rPr>
            <w:rStyle w:val="Hyperlink"/>
            <w:noProof/>
          </w:rPr>
          <w:t>Table 6.7.2</w:t>
        </w:r>
        <w:r>
          <w:rPr>
            <w:rFonts w:asciiTheme="minorHAnsi" w:eastAsiaTheme="minorEastAsia" w:hAnsiTheme="minorHAnsi" w:cstheme="minorBidi"/>
            <w:noProof/>
            <w:kern w:val="2"/>
            <w:sz w:val="24"/>
            <w:szCs w:val="24"/>
            <w14:ligatures w14:val="standardContextual"/>
          </w:rPr>
          <w:tab/>
        </w:r>
        <w:r w:rsidRPr="00022879">
          <w:rPr>
            <w:rStyle w:val="Hyperlink"/>
            <w:noProof/>
            <w:spacing w:val="-2"/>
          </w:rPr>
          <w:t xml:space="preserve">New Zealand’s carbon stock change by carbon pool for the </w:t>
        </w:r>
        <w:r w:rsidRPr="00022879">
          <w:rPr>
            <w:rStyle w:val="Hyperlink"/>
            <w:i/>
            <w:noProof/>
            <w:spacing w:val="-2"/>
          </w:rPr>
          <w:t>Wetlands</w:t>
        </w:r>
        <w:r w:rsidRPr="00022879">
          <w:rPr>
            <w:rStyle w:val="Hyperlink"/>
            <w:noProof/>
            <w:spacing w:val="-2"/>
          </w:rPr>
          <w:t xml:space="preserve"> category, from 1990 to 2024</w:t>
        </w:r>
        <w:r>
          <w:rPr>
            <w:noProof/>
            <w:webHidden/>
          </w:rPr>
          <w:tab/>
        </w:r>
        <w:r>
          <w:rPr>
            <w:noProof/>
            <w:webHidden/>
          </w:rPr>
          <w:fldChar w:fldCharType="begin"/>
        </w:r>
        <w:r>
          <w:rPr>
            <w:noProof/>
            <w:webHidden/>
          </w:rPr>
          <w:instrText xml:space="preserve"> PAGEREF _Toc226669076 \h </w:instrText>
        </w:r>
        <w:r>
          <w:rPr>
            <w:noProof/>
            <w:webHidden/>
          </w:rPr>
        </w:r>
        <w:r>
          <w:rPr>
            <w:noProof/>
            <w:webHidden/>
          </w:rPr>
          <w:fldChar w:fldCharType="separate"/>
        </w:r>
        <w:r w:rsidR="00831581">
          <w:rPr>
            <w:noProof/>
            <w:webHidden/>
          </w:rPr>
          <w:t>303</w:t>
        </w:r>
        <w:r>
          <w:rPr>
            <w:noProof/>
            <w:webHidden/>
          </w:rPr>
          <w:fldChar w:fldCharType="end"/>
        </w:r>
      </w:hyperlink>
    </w:p>
    <w:p w14:paraId="2D66E1AA" w14:textId="7803191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7" w:history="1">
        <w:r w:rsidRPr="00022879">
          <w:rPr>
            <w:rStyle w:val="Hyperlink"/>
            <w:noProof/>
          </w:rPr>
          <w:t>Table 6.7.3</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New Zealand’s biomass emission factors for </w:t>
        </w:r>
        <w:r w:rsidRPr="00022879">
          <w:rPr>
            <w:rStyle w:val="Hyperlink"/>
            <w:i/>
            <w:noProof/>
          </w:rPr>
          <w:t>Wetlands</w:t>
        </w:r>
        <w:r>
          <w:rPr>
            <w:noProof/>
            <w:webHidden/>
          </w:rPr>
          <w:tab/>
        </w:r>
        <w:r>
          <w:rPr>
            <w:noProof/>
            <w:webHidden/>
          </w:rPr>
          <w:fldChar w:fldCharType="begin"/>
        </w:r>
        <w:r>
          <w:rPr>
            <w:noProof/>
            <w:webHidden/>
          </w:rPr>
          <w:instrText xml:space="preserve"> PAGEREF _Toc226669077 \h </w:instrText>
        </w:r>
        <w:r>
          <w:rPr>
            <w:noProof/>
            <w:webHidden/>
          </w:rPr>
        </w:r>
        <w:r>
          <w:rPr>
            <w:noProof/>
            <w:webHidden/>
          </w:rPr>
          <w:fldChar w:fldCharType="separate"/>
        </w:r>
        <w:r w:rsidR="00831581">
          <w:rPr>
            <w:noProof/>
            <w:webHidden/>
          </w:rPr>
          <w:t>305</w:t>
        </w:r>
        <w:r>
          <w:rPr>
            <w:noProof/>
            <w:webHidden/>
          </w:rPr>
          <w:fldChar w:fldCharType="end"/>
        </w:r>
      </w:hyperlink>
    </w:p>
    <w:p w14:paraId="5EEC0907" w14:textId="0E862CB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8" w:history="1">
        <w:r w:rsidRPr="00022879">
          <w:rPr>
            <w:rStyle w:val="Hyperlink"/>
            <w:noProof/>
          </w:rPr>
          <w:t>Table 6.7.4</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carbon stock change emissions in 2024 for </w:t>
        </w:r>
        <w:r w:rsidRPr="00022879">
          <w:rPr>
            <w:rStyle w:val="Hyperlink"/>
            <w:i/>
            <w:noProof/>
          </w:rPr>
          <w:t>Wetlands</w:t>
        </w:r>
        <w:r>
          <w:rPr>
            <w:noProof/>
            <w:webHidden/>
          </w:rPr>
          <w:tab/>
        </w:r>
        <w:r>
          <w:rPr>
            <w:noProof/>
            <w:webHidden/>
          </w:rPr>
          <w:fldChar w:fldCharType="begin"/>
        </w:r>
        <w:r>
          <w:rPr>
            <w:noProof/>
            <w:webHidden/>
          </w:rPr>
          <w:instrText xml:space="preserve"> PAGEREF _Toc226669078 \h </w:instrText>
        </w:r>
        <w:r>
          <w:rPr>
            <w:noProof/>
            <w:webHidden/>
          </w:rPr>
        </w:r>
        <w:r>
          <w:rPr>
            <w:noProof/>
            <w:webHidden/>
          </w:rPr>
          <w:fldChar w:fldCharType="separate"/>
        </w:r>
        <w:r w:rsidR="00831581">
          <w:rPr>
            <w:noProof/>
            <w:webHidden/>
          </w:rPr>
          <w:t>305</w:t>
        </w:r>
        <w:r>
          <w:rPr>
            <w:noProof/>
            <w:webHidden/>
          </w:rPr>
          <w:fldChar w:fldCharType="end"/>
        </w:r>
      </w:hyperlink>
    </w:p>
    <w:p w14:paraId="20233C51" w14:textId="1BE1B25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79" w:history="1">
        <w:r w:rsidRPr="00022879">
          <w:rPr>
            <w:rStyle w:val="Hyperlink"/>
            <w:noProof/>
          </w:rPr>
          <w:t>Table 6.7.5</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Recalculations for New Zealand’s net emissions from the </w:t>
        </w:r>
        <w:r w:rsidRPr="00022879">
          <w:rPr>
            <w:rStyle w:val="Hyperlink"/>
            <w:i/>
            <w:noProof/>
          </w:rPr>
          <w:t>Wetlands</w:t>
        </w:r>
        <w:r w:rsidRPr="00022879">
          <w:rPr>
            <w:rStyle w:val="Hyperlink"/>
            <w:noProof/>
          </w:rPr>
          <w:t xml:space="preserve"> category in 1990 and 2023</w:t>
        </w:r>
        <w:r>
          <w:rPr>
            <w:noProof/>
            <w:webHidden/>
          </w:rPr>
          <w:tab/>
        </w:r>
        <w:r>
          <w:rPr>
            <w:noProof/>
            <w:webHidden/>
          </w:rPr>
          <w:fldChar w:fldCharType="begin"/>
        </w:r>
        <w:r>
          <w:rPr>
            <w:noProof/>
            <w:webHidden/>
          </w:rPr>
          <w:instrText xml:space="preserve"> PAGEREF _Toc226669079 \h </w:instrText>
        </w:r>
        <w:r>
          <w:rPr>
            <w:noProof/>
            <w:webHidden/>
          </w:rPr>
        </w:r>
        <w:r>
          <w:rPr>
            <w:noProof/>
            <w:webHidden/>
          </w:rPr>
          <w:fldChar w:fldCharType="separate"/>
        </w:r>
        <w:r w:rsidR="00831581">
          <w:rPr>
            <w:noProof/>
            <w:webHidden/>
          </w:rPr>
          <w:t>306</w:t>
        </w:r>
        <w:r>
          <w:rPr>
            <w:noProof/>
            <w:webHidden/>
          </w:rPr>
          <w:fldChar w:fldCharType="end"/>
        </w:r>
      </w:hyperlink>
    </w:p>
    <w:p w14:paraId="02CDC30D" w14:textId="08D3F20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0" w:history="1">
        <w:r w:rsidRPr="00022879">
          <w:rPr>
            <w:rStyle w:val="Hyperlink"/>
            <w:noProof/>
          </w:rPr>
          <w:t>Table 6.8.1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for the </w:t>
        </w:r>
        <w:r w:rsidRPr="00022879">
          <w:rPr>
            <w:rStyle w:val="Hyperlink"/>
            <w:i/>
            <w:noProof/>
          </w:rPr>
          <w:t>Settlements</w:t>
        </w:r>
        <w:r w:rsidRPr="00022879">
          <w:rPr>
            <w:rStyle w:val="Hyperlink"/>
            <w:noProof/>
          </w:rPr>
          <w:t xml:space="preserve"> category, and associated CO</w:t>
        </w:r>
        <w:r w:rsidRPr="00022879">
          <w:rPr>
            <w:rStyle w:val="Hyperlink"/>
            <w:noProof/>
            <w:vertAlign w:val="subscript"/>
          </w:rPr>
          <w:t>2</w:t>
        </w:r>
        <w:r w:rsidRPr="00022879">
          <w:rPr>
            <w:rStyle w:val="Hyperlink"/>
            <w:noProof/>
          </w:rPr>
          <w:t>e emissions, from 1990 to 2024</w:t>
        </w:r>
        <w:r>
          <w:rPr>
            <w:noProof/>
            <w:webHidden/>
          </w:rPr>
          <w:tab/>
        </w:r>
        <w:r>
          <w:rPr>
            <w:noProof/>
            <w:webHidden/>
          </w:rPr>
          <w:fldChar w:fldCharType="begin"/>
        </w:r>
        <w:r>
          <w:rPr>
            <w:noProof/>
            <w:webHidden/>
          </w:rPr>
          <w:instrText xml:space="preserve"> PAGEREF _Toc226669080 \h </w:instrText>
        </w:r>
        <w:r>
          <w:rPr>
            <w:noProof/>
            <w:webHidden/>
          </w:rPr>
        </w:r>
        <w:r>
          <w:rPr>
            <w:noProof/>
            <w:webHidden/>
          </w:rPr>
          <w:fldChar w:fldCharType="separate"/>
        </w:r>
        <w:r w:rsidR="00831581">
          <w:rPr>
            <w:noProof/>
            <w:webHidden/>
          </w:rPr>
          <w:t>306</w:t>
        </w:r>
        <w:r>
          <w:rPr>
            <w:noProof/>
            <w:webHidden/>
          </w:rPr>
          <w:fldChar w:fldCharType="end"/>
        </w:r>
      </w:hyperlink>
    </w:p>
    <w:p w14:paraId="2AC0721C" w14:textId="1D77E37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1" w:history="1">
        <w:r w:rsidRPr="00022879">
          <w:rPr>
            <w:rStyle w:val="Hyperlink"/>
            <w:noProof/>
          </w:rPr>
          <w:t>Table 6.8.2</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carbon stock change by carbon pool for the </w:t>
        </w:r>
        <w:r w:rsidRPr="00022879">
          <w:rPr>
            <w:rStyle w:val="Hyperlink"/>
            <w:i/>
            <w:noProof/>
          </w:rPr>
          <w:t>Settlements</w:t>
        </w:r>
        <w:r w:rsidRPr="00022879">
          <w:rPr>
            <w:rStyle w:val="Hyperlink"/>
            <w:noProof/>
          </w:rPr>
          <w:t xml:space="preserve"> category, from 1990 to 2024</w:t>
        </w:r>
        <w:r>
          <w:rPr>
            <w:noProof/>
            <w:webHidden/>
          </w:rPr>
          <w:tab/>
        </w:r>
        <w:r>
          <w:rPr>
            <w:noProof/>
            <w:webHidden/>
          </w:rPr>
          <w:fldChar w:fldCharType="begin"/>
        </w:r>
        <w:r>
          <w:rPr>
            <w:noProof/>
            <w:webHidden/>
          </w:rPr>
          <w:instrText xml:space="preserve"> PAGEREF _Toc226669081 \h </w:instrText>
        </w:r>
        <w:r>
          <w:rPr>
            <w:noProof/>
            <w:webHidden/>
          </w:rPr>
        </w:r>
        <w:r>
          <w:rPr>
            <w:noProof/>
            <w:webHidden/>
          </w:rPr>
          <w:fldChar w:fldCharType="separate"/>
        </w:r>
        <w:r w:rsidR="00831581">
          <w:rPr>
            <w:noProof/>
            <w:webHidden/>
          </w:rPr>
          <w:t>307</w:t>
        </w:r>
        <w:r>
          <w:rPr>
            <w:noProof/>
            <w:webHidden/>
          </w:rPr>
          <w:fldChar w:fldCharType="end"/>
        </w:r>
      </w:hyperlink>
    </w:p>
    <w:p w14:paraId="33E67258" w14:textId="711EA19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2" w:history="1">
        <w:r w:rsidRPr="00022879">
          <w:rPr>
            <w:rStyle w:val="Hyperlink"/>
            <w:noProof/>
          </w:rPr>
          <w:t>Table 6.8.3</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Recalculations for New Zealand’s net emissions from the </w:t>
        </w:r>
        <w:r w:rsidRPr="00022879">
          <w:rPr>
            <w:rStyle w:val="Hyperlink"/>
            <w:i/>
            <w:noProof/>
          </w:rPr>
          <w:t>Settlements</w:t>
        </w:r>
        <w:r w:rsidRPr="00022879">
          <w:rPr>
            <w:rStyle w:val="Hyperlink"/>
            <w:noProof/>
          </w:rPr>
          <w:t xml:space="preserve"> category in 1990 and 2023</w:t>
        </w:r>
        <w:r>
          <w:rPr>
            <w:noProof/>
            <w:webHidden/>
          </w:rPr>
          <w:tab/>
        </w:r>
        <w:r>
          <w:rPr>
            <w:noProof/>
            <w:webHidden/>
          </w:rPr>
          <w:fldChar w:fldCharType="begin"/>
        </w:r>
        <w:r>
          <w:rPr>
            <w:noProof/>
            <w:webHidden/>
          </w:rPr>
          <w:instrText xml:space="preserve"> PAGEREF _Toc226669082 \h </w:instrText>
        </w:r>
        <w:r>
          <w:rPr>
            <w:noProof/>
            <w:webHidden/>
          </w:rPr>
        </w:r>
        <w:r>
          <w:rPr>
            <w:noProof/>
            <w:webHidden/>
          </w:rPr>
          <w:fldChar w:fldCharType="separate"/>
        </w:r>
        <w:r w:rsidR="00831581">
          <w:rPr>
            <w:noProof/>
            <w:webHidden/>
          </w:rPr>
          <w:t>308</w:t>
        </w:r>
        <w:r>
          <w:rPr>
            <w:noProof/>
            <w:webHidden/>
          </w:rPr>
          <w:fldChar w:fldCharType="end"/>
        </w:r>
      </w:hyperlink>
    </w:p>
    <w:p w14:paraId="2ABD601A" w14:textId="4CD022C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3" w:history="1">
        <w:r w:rsidRPr="00022879">
          <w:rPr>
            <w:rStyle w:val="Hyperlink"/>
            <w:noProof/>
          </w:rPr>
          <w:t>Table 6.9.1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land-use change for the land use category </w:t>
        </w:r>
        <w:r w:rsidRPr="00022879">
          <w:rPr>
            <w:rStyle w:val="Hyperlink"/>
            <w:i/>
            <w:noProof/>
          </w:rPr>
          <w:t>Other land</w:t>
        </w:r>
        <w:r w:rsidRPr="00022879">
          <w:rPr>
            <w:rStyle w:val="Hyperlink"/>
            <w:iCs/>
            <w:noProof/>
          </w:rPr>
          <w:t>,</w:t>
        </w:r>
        <w:r w:rsidRPr="00022879">
          <w:rPr>
            <w:rStyle w:val="Hyperlink"/>
            <w:noProof/>
          </w:rPr>
          <w:t xml:space="preserve"> from 1990 to 2024</w:t>
        </w:r>
        <w:r>
          <w:rPr>
            <w:noProof/>
            <w:webHidden/>
          </w:rPr>
          <w:tab/>
        </w:r>
        <w:r>
          <w:rPr>
            <w:noProof/>
            <w:webHidden/>
          </w:rPr>
          <w:fldChar w:fldCharType="begin"/>
        </w:r>
        <w:r>
          <w:rPr>
            <w:noProof/>
            <w:webHidden/>
          </w:rPr>
          <w:instrText xml:space="preserve"> PAGEREF _Toc226669083 \h </w:instrText>
        </w:r>
        <w:r>
          <w:rPr>
            <w:noProof/>
            <w:webHidden/>
          </w:rPr>
        </w:r>
        <w:r>
          <w:rPr>
            <w:noProof/>
            <w:webHidden/>
          </w:rPr>
          <w:fldChar w:fldCharType="separate"/>
        </w:r>
        <w:r w:rsidR="00831581">
          <w:rPr>
            <w:noProof/>
            <w:webHidden/>
          </w:rPr>
          <w:t>309</w:t>
        </w:r>
        <w:r>
          <w:rPr>
            <w:noProof/>
            <w:webHidden/>
          </w:rPr>
          <w:fldChar w:fldCharType="end"/>
        </w:r>
      </w:hyperlink>
    </w:p>
    <w:p w14:paraId="3E1C9FE2" w14:textId="2ADD7BA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4" w:history="1">
        <w:r w:rsidRPr="00022879">
          <w:rPr>
            <w:rStyle w:val="Hyperlink"/>
            <w:noProof/>
          </w:rPr>
          <w:t>Table 6.9.2</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New Zealand emission factors for the land use category </w:t>
        </w:r>
        <w:r w:rsidRPr="00022879">
          <w:rPr>
            <w:rStyle w:val="Hyperlink"/>
            <w:i/>
            <w:noProof/>
          </w:rPr>
          <w:t>Other land</w:t>
        </w:r>
        <w:r>
          <w:rPr>
            <w:noProof/>
            <w:webHidden/>
          </w:rPr>
          <w:tab/>
        </w:r>
        <w:r>
          <w:rPr>
            <w:noProof/>
            <w:webHidden/>
          </w:rPr>
          <w:fldChar w:fldCharType="begin"/>
        </w:r>
        <w:r>
          <w:rPr>
            <w:noProof/>
            <w:webHidden/>
          </w:rPr>
          <w:instrText xml:space="preserve"> PAGEREF _Toc226669084 \h </w:instrText>
        </w:r>
        <w:r>
          <w:rPr>
            <w:noProof/>
            <w:webHidden/>
          </w:rPr>
        </w:r>
        <w:r>
          <w:rPr>
            <w:noProof/>
            <w:webHidden/>
          </w:rPr>
          <w:fldChar w:fldCharType="separate"/>
        </w:r>
        <w:r w:rsidR="00831581">
          <w:rPr>
            <w:noProof/>
            <w:webHidden/>
          </w:rPr>
          <w:t>309</w:t>
        </w:r>
        <w:r>
          <w:rPr>
            <w:noProof/>
            <w:webHidden/>
          </w:rPr>
          <w:fldChar w:fldCharType="end"/>
        </w:r>
      </w:hyperlink>
    </w:p>
    <w:p w14:paraId="6B2E8428" w14:textId="645338F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5" w:history="1">
        <w:r w:rsidRPr="00022879">
          <w:rPr>
            <w:rStyle w:val="Hyperlink"/>
            <w:noProof/>
          </w:rPr>
          <w:t>Table 6.9.3</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Recalculations for New Zealand’s net emissions from the </w:t>
        </w:r>
        <w:r w:rsidRPr="00022879">
          <w:rPr>
            <w:rStyle w:val="Hyperlink"/>
            <w:i/>
            <w:noProof/>
          </w:rPr>
          <w:t>Other land</w:t>
        </w:r>
        <w:r w:rsidRPr="00022879">
          <w:rPr>
            <w:rStyle w:val="Hyperlink"/>
            <w:noProof/>
          </w:rPr>
          <w:t xml:space="preserve"> category in 1990 and 2023</w:t>
        </w:r>
        <w:r>
          <w:rPr>
            <w:noProof/>
            <w:webHidden/>
          </w:rPr>
          <w:tab/>
        </w:r>
        <w:r>
          <w:rPr>
            <w:noProof/>
            <w:webHidden/>
          </w:rPr>
          <w:fldChar w:fldCharType="begin"/>
        </w:r>
        <w:r>
          <w:rPr>
            <w:noProof/>
            <w:webHidden/>
          </w:rPr>
          <w:instrText xml:space="preserve"> PAGEREF _Toc226669085 \h </w:instrText>
        </w:r>
        <w:r>
          <w:rPr>
            <w:noProof/>
            <w:webHidden/>
          </w:rPr>
        </w:r>
        <w:r>
          <w:rPr>
            <w:noProof/>
            <w:webHidden/>
          </w:rPr>
          <w:fldChar w:fldCharType="separate"/>
        </w:r>
        <w:r w:rsidR="00831581">
          <w:rPr>
            <w:noProof/>
            <w:webHidden/>
          </w:rPr>
          <w:t>311</w:t>
        </w:r>
        <w:r>
          <w:rPr>
            <w:noProof/>
            <w:webHidden/>
          </w:rPr>
          <w:fldChar w:fldCharType="end"/>
        </w:r>
      </w:hyperlink>
    </w:p>
    <w:p w14:paraId="7290D150" w14:textId="53E1A7C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6" w:history="1">
        <w:r w:rsidRPr="00022879">
          <w:rPr>
            <w:rStyle w:val="Hyperlink"/>
            <w:noProof/>
          </w:rPr>
          <w:t>Table 6.10.1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Conversion factors for </w:t>
        </w:r>
        <w:r w:rsidRPr="00022879">
          <w:rPr>
            <w:rStyle w:val="Hyperlink"/>
            <w:i/>
            <w:noProof/>
          </w:rPr>
          <w:t>Harvested wood products</w:t>
        </w:r>
        <w:r w:rsidRPr="00022879">
          <w:rPr>
            <w:rStyle w:val="Hyperlink"/>
            <w:noProof/>
          </w:rPr>
          <w:t xml:space="preserve"> produced from New Zealand wood in New Zealand</w:t>
        </w:r>
        <w:r>
          <w:rPr>
            <w:noProof/>
            <w:webHidden/>
          </w:rPr>
          <w:tab/>
        </w:r>
        <w:r>
          <w:rPr>
            <w:noProof/>
            <w:webHidden/>
          </w:rPr>
          <w:fldChar w:fldCharType="begin"/>
        </w:r>
        <w:r>
          <w:rPr>
            <w:noProof/>
            <w:webHidden/>
          </w:rPr>
          <w:instrText xml:space="preserve"> PAGEREF _Toc226669086 \h </w:instrText>
        </w:r>
        <w:r>
          <w:rPr>
            <w:noProof/>
            <w:webHidden/>
          </w:rPr>
        </w:r>
        <w:r>
          <w:rPr>
            <w:noProof/>
            <w:webHidden/>
          </w:rPr>
          <w:fldChar w:fldCharType="separate"/>
        </w:r>
        <w:r w:rsidR="00831581">
          <w:rPr>
            <w:noProof/>
            <w:webHidden/>
          </w:rPr>
          <w:t>314</w:t>
        </w:r>
        <w:r>
          <w:rPr>
            <w:noProof/>
            <w:webHidden/>
          </w:rPr>
          <w:fldChar w:fldCharType="end"/>
        </w:r>
      </w:hyperlink>
    </w:p>
    <w:p w14:paraId="38BAE1B9" w14:textId="6DBC9F4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7" w:history="1">
        <w:r w:rsidRPr="00022879">
          <w:rPr>
            <w:rStyle w:val="Hyperlink"/>
            <w:noProof/>
          </w:rPr>
          <w:t>Table 6.10.2</w:t>
        </w:r>
        <w:r>
          <w:rPr>
            <w:rFonts w:asciiTheme="minorHAnsi" w:eastAsiaTheme="minorEastAsia" w:hAnsiTheme="minorHAnsi" w:cstheme="minorBidi"/>
            <w:noProof/>
            <w:kern w:val="2"/>
            <w:sz w:val="24"/>
            <w:szCs w:val="24"/>
            <w14:ligatures w14:val="standardContextual"/>
          </w:rPr>
          <w:tab/>
        </w:r>
        <w:r w:rsidRPr="00022879">
          <w:rPr>
            <w:rStyle w:val="Hyperlink"/>
            <w:noProof/>
          </w:rPr>
          <w:t>Weighted half-lives for harvested wood products produced in export markets</w:t>
        </w:r>
        <w:r>
          <w:rPr>
            <w:noProof/>
            <w:webHidden/>
          </w:rPr>
          <w:tab/>
        </w:r>
        <w:r>
          <w:rPr>
            <w:noProof/>
            <w:webHidden/>
          </w:rPr>
          <w:fldChar w:fldCharType="begin"/>
        </w:r>
        <w:r>
          <w:rPr>
            <w:noProof/>
            <w:webHidden/>
          </w:rPr>
          <w:instrText xml:space="preserve"> PAGEREF _Toc226669087 \h </w:instrText>
        </w:r>
        <w:r>
          <w:rPr>
            <w:noProof/>
            <w:webHidden/>
          </w:rPr>
        </w:r>
        <w:r>
          <w:rPr>
            <w:noProof/>
            <w:webHidden/>
          </w:rPr>
          <w:fldChar w:fldCharType="separate"/>
        </w:r>
        <w:r w:rsidR="00831581">
          <w:rPr>
            <w:noProof/>
            <w:webHidden/>
          </w:rPr>
          <w:t>314</w:t>
        </w:r>
        <w:r>
          <w:rPr>
            <w:noProof/>
            <w:webHidden/>
          </w:rPr>
          <w:fldChar w:fldCharType="end"/>
        </w:r>
      </w:hyperlink>
    </w:p>
    <w:p w14:paraId="74725331" w14:textId="04B8857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8" w:history="1">
        <w:r w:rsidRPr="00022879">
          <w:rPr>
            <w:rStyle w:val="Hyperlink"/>
            <w:noProof/>
          </w:rPr>
          <w:t>Table 6.10.3</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Recalculations for New Zealand’s net emissions from the </w:t>
        </w:r>
        <w:r w:rsidRPr="00022879">
          <w:rPr>
            <w:rStyle w:val="Hyperlink"/>
            <w:i/>
            <w:noProof/>
          </w:rPr>
          <w:t>Harvested wood products</w:t>
        </w:r>
        <w:r w:rsidRPr="00022879">
          <w:rPr>
            <w:rStyle w:val="Hyperlink"/>
            <w:noProof/>
          </w:rPr>
          <w:t xml:space="preserve"> category in 1990 and 2023</w:t>
        </w:r>
        <w:r>
          <w:rPr>
            <w:noProof/>
            <w:webHidden/>
          </w:rPr>
          <w:tab/>
        </w:r>
        <w:r>
          <w:rPr>
            <w:noProof/>
            <w:webHidden/>
          </w:rPr>
          <w:fldChar w:fldCharType="begin"/>
        </w:r>
        <w:r>
          <w:rPr>
            <w:noProof/>
            <w:webHidden/>
          </w:rPr>
          <w:instrText xml:space="preserve"> PAGEREF _Toc226669088 \h </w:instrText>
        </w:r>
        <w:r>
          <w:rPr>
            <w:noProof/>
            <w:webHidden/>
          </w:rPr>
        </w:r>
        <w:r>
          <w:rPr>
            <w:noProof/>
            <w:webHidden/>
          </w:rPr>
          <w:fldChar w:fldCharType="separate"/>
        </w:r>
        <w:r w:rsidR="00831581">
          <w:rPr>
            <w:noProof/>
            <w:webHidden/>
          </w:rPr>
          <w:t>315</w:t>
        </w:r>
        <w:r>
          <w:rPr>
            <w:noProof/>
            <w:webHidden/>
          </w:rPr>
          <w:fldChar w:fldCharType="end"/>
        </w:r>
      </w:hyperlink>
    </w:p>
    <w:p w14:paraId="60EE6899" w14:textId="0E70E71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89" w:history="1">
        <w:r w:rsidRPr="00022879">
          <w:rPr>
            <w:rStyle w:val="Hyperlink"/>
            <w:noProof/>
          </w:rPr>
          <w:t>Table 6.11.1</w:t>
        </w:r>
        <w:r>
          <w:rPr>
            <w:rFonts w:asciiTheme="minorHAnsi" w:eastAsiaTheme="minorEastAsia" w:hAnsiTheme="minorHAnsi" w:cstheme="minorBidi"/>
            <w:noProof/>
            <w:kern w:val="2"/>
            <w:sz w:val="24"/>
            <w:szCs w:val="24"/>
            <w14:ligatures w14:val="standardContextual"/>
          </w:rPr>
          <w:tab/>
        </w:r>
        <w:r w:rsidRPr="00022879">
          <w:rPr>
            <w:rStyle w:val="Hyperlink"/>
            <w:noProof/>
          </w:rPr>
          <w:t>Nitrous oxide emissions from soils associated with land-use change reported in the LULUCF sector, from 1990 to 2024</w:t>
        </w:r>
        <w:r>
          <w:rPr>
            <w:noProof/>
            <w:webHidden/>
          </w:rPr>
          <w:tab/>
        </w:r>
        <w:r>
          <w:rPr>
            <w:noProof/>
            <w:webHidden/>
          </w:rPr>
          <w:fldChar w:fldCharType="begin"/>
        </w:r>
        <w:r>
          <w:rPr>
            <w:noProof/>
            <w:webHidden/>
          </w:rPr>
          <w:instrText xml:space="preserve"> PAGEREF _Toc226669089 \h </w:instrText>
        </w:r>
        <w:r>
          <w:rPr>
            <w:noProof/>
            <w:webHidden/>
          </w:rPr>
        </w:r>
        <w:r>
          <w:rPr>
            <w:noProof/>
            <w:webHidden/>
          </w:rPr>
          <w:fldChar w:fldCharType="separate"/>
        </w:r>
        <w:r w:rsidR="00831581">
          <w:rPr>
            <w:noProof/>
            <w:webHidden/>
          </w:rPr>
          <w:t>316</w:t>
        </w:r>
        <w:r>
          <w:rPr>
            <w:noProof/>
            <w:webHidden/>
          </w:rPr>
          <w:fldChar w:fldCharType="end"/>
        </w:r>
      </w:hyperlink>
    </w:p>
    <w:p w14:paraId="352FA1B4" w14:textId="588E9F8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0" w:history="1">
        <w:r w:rsidRPr="00022879">
          <w:rPr>
            <w:rStyle w:val="Hyperlink"/>
            <w:noProof/>
          </w:rPr>
          <w:t>Table 6.11.2</w:t>
        </w:r>
        <w:r>
          <w:rPr>
            <w:rFonts w:asciiTheme="minorHAnsi" w:eastAsiaTheme="minorEastAsia" w:hAnsiTheme="minorHAnsi" w:cstheme="minorBidi"/>
            <w:noProof/>
            <w:kern w:val="2"/>
            <w:sz w:val="24"/>
            <w:szCs w:val="24"/>
            <w14:ligatures w14:val="standardContextual"/>
          </w:rPr>
          <w:tab/>
        </w:r>
        <w:r w:rsidRPr="00022879">
          <w:rPr>
            <w:rStyle w:val="Hyperlink"/>
            <w:noProof/>
          </w:rPr>
          <w:t>Net N</w:t>
        </w:r>
        <w:r w:rsidRPr="00022879">
          <w:rPr>
            <w:rStyle w:val="Hyperlink"/>
            <w:noProof/>
            <w:vertAlign w:val="subscript"/>
          </w:rPr>
          <w:t>2</w:t>
        </w:r>
        <w:r w:rsidRPr="00022879">
          <w:rPr>
            <w:rStyle w:val="Hyperlink"/>
            <w:noProof/>
          </w:rPr>
          <w:t>O emissions from nitrogen in soils associated with land-use change in 2024</w:t>
        </w:r>
        <w:r>
          <w:rPr>
            <w:noProof/>
            <w:webHidden/>
          </w:rPr>
          <w:tab/>
        </w:r>
        <w:r>
          <w:rPr>
            <w:noProof/>
            <w:webHidden/>
          </w:rPr>
          <w:fldChar w:fldCharType="begin"/>
        </w:r>
        <w:r>
          <w:rPr>
            <w:noProof/>
            <w:webHidden/>
          </w:rPr>
          <w:instrText xml:space="preserve"> PAGEREF _Toc226669090 \h </w:instrText>
        </w:r>
        <w:r>
          <w:rPr>
            <w:noProof/>
            <w:webHidden/>
          </w:rPr>
        </w:r>
        <w:r>
          <w:rPr>
            <w:noProof/>
            <w:webHidden/>
          </w:rPr>
          <w:fldChar w:fldCharType="separate"/>
        </w:r>
        <w:r w:rsidR="00831581">
          <w:rPr>
            <w:noProof/>
            <w:webHidden/>
          </w:rPr>
          <w:t>319</w:t>
        </w:r>
        <w:r>
          <w:rPr>
            <w:noProof/>
            <w:webHidden/>
          </w:rPr>
          <w:fldChar w:fldCharType="end"/>
        </w:r>
      </w:hyperlink>
    </w:p>
    <w:p w14:paraId="7F5B5459" w14:textId="0489166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1" w:history="1">
        <w:r w:rsidRPr="00022879">
          <w:rPr>
            <w:rStyle w:val="Hyperlink"/>
            <w:noProof/>
          </w:rPr>
          <w:t>Table 6.11.3</w:t>
        </w:r>
        <w:r>
          <w:rPr>
            <w:rFonts w:asciiTheme="minorHAnsi" w:eastAsiaTheme="minorEastAsia" w:hAnsiTheme="minorHAnsi" w:cstheme="minorBidi"/>
            <w:noProof/>
            <w:kern w:val="2"/>
            <w:sz w:val="24"/>
            <w:szCs w:val="24"/>
            <w14:ligatures w14:val="standardContextual"/>
          </w:rPr>
          <w:tab/>
        </w:r>
        <w:r w:rsidRPr="00022879">
          <w:rPr>
            <w:rStyle w:val="Hyperlink"/>
            <w:noProof/>
          </w:rPr>
          <w:t>Non-CO</w:t>
        </w:r>
        <w:r w:rsidRPr="00022879">
          <w:rPr>
            <w:rStyle w:val="Hyperlink"/>
            <w:noProof/>
            <w:vertAlign w:val="subscript"/>
          </w:rPr>
          <w:t>2</w:t>
        </w:r>
        <w:r w:rsidRPr="00022879">
          <w:rPr>
            <w:rStyle w:val="Hyperlink"/>
            <w:noProof/>
          </w:rPr>
          <w:t xml:space="preserve"> emissions from </w:t>
        </w:r>
        <w:r w:rsidRPr="00022879">
          <w:rPr>
            <w:rStyle w:val="Hyperlink"/>
            <w:i/>
            <w:noProof/>
          </w:rPr>
          <w:t>Biomass burning</w:t>
        </w:r>
        <w:r w:rsidRPr="00022879">
          <w:rPr>
            <w:rStyle w:val="Hyperlink"/>
            <w:iCs/>
            <w:noProof/>
          </w:rPr>
          <w:t xml:space="preserve"> in 1990 and 2024</w:t>
        </w:r>
        <w:r>
          <w:rPr>
            <w:noProof/>
            <w:webHidden/>
          </w:rPr>
          <w:tab/>
        </w:r>
        <w:r>
          <w:rPr>
            <w:noProof/>
            <w:webHidden/>
          </w:rPr>
          <w:fldChar w:fldCharType="begin"/>
        </w:r>
        <w:r>
          <w:rPr>
            <w:noProof/>
            <w:webHidden/>
          </w:rPr>
          <w:instrText xml:space="preserve"> PAGEREF _Toc226669091 \h </w:instrText>
        </w:r>
        <w:r>
          <w:rPr>
            <w:noProof/>
            <w:webHidden/>
          </w:rPr>
        </w:r>
        <w:r>
          <w:rPr>
            <w:noProof/>
            <w:webHidden/>
          </w:rPr>
          <w:fldChar w:fldCharType="separate"/>
        </w:r>
        <w:r w:rsidR="00831581">
          <w:rPr>
            <w:noProof/>
            <w:webHidden/>
          </w:rPr>
          <w:t>319</w:t>
        </w:r>
        <w:r>
          <w:rPr>
            <w:noProof/>
            <w:webHidden/>
          </w:rPr>
          <w:fldChar w:fldCharType="end"/>
        </w:r>
      </w:hyperlink>
    </w:p>
    <w:p w14:paraId="6DBFD1FD" w14:textId="4BBEF7A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2" w:history="1">
        <w:r w:rsidRPr="00022879">
          <w:rPr>
            <w:rStyle w:val="Hyperlink"/>
            <w:noProof/>
          </w:rPr>
          <w:t>Table 6.11.4</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w:t>
        </w:r>
        <w:r w:rsidRPr="00022879">
          <w:rPr>
            <w:rStyle w:val="Hyperlink"/>
            <w:i/>
            <w:noProof/>
          </w:rPr>
          <w:t>Biomass burning</w:t>
        </w:r>
        <w:r w:rsidRPr="00022879">
          <w:rPr>
            <w:rStyle w:val="Hyperlink"/>
            <w:noProof/>
          </w:rPr>
          <w:t xml:space="preserve"> carbon fractions and emission factors</w:t>
        </w:r>
        <w:r>
          <w:rPr>
            <w:noProof/>
            <w:webHidden/>
          </w:rPr>
          <w:tab/>
        </w:r>
        <w:r>
          <w:rPr>
            <w:noProof/>
            <w:webHidden/>
          </w:rPr>
          <w:fldChar w:fldCharType="begin"/>
        </w:r>
        <w:r>
          <w:rPr>
            <w:noProof/>
            <w:webHidden/>
          </w:rPr>
          <w:instrText xml:space="preserve"> PAGEREF _Toc226669092 \h </w:instrText>
        </w:r>
        <w:r>
          <w:rPr>
            <w:noProof/>
            <w:webHidden/>
          </w:rPr>
        </w:r>
        <w:r>
          <w:rPr>
            <w:noProof/>
            <w:webHidden/>
          </w:rPr>
          <w:fldChar w:fldCharType="separate"/>
        </w:r>
        <w:r w:rsidR="00831581">
          <w:rPr>
            <w:noProof/>
            <w:webHidden/>
          </w:rPr>
          <w:t>320</w:t>
        </w:r>
        <w:r>
          <w:rPr>
            <w:noProof/>
            <w:webHidden/>
          </w:rPr>
          <w:fldChar w:fldCharType="end"/>
        </w:r>
      </w:hyperlink>
    </w:p>
    <w:p w14:paraId="72E7DA42" w14:textId="31E0F55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3" w:history="1">
        <w:r w:rsidRPr="00022879">
          <w:rPr>
            <w:rStyle w:val="Hyperlink"/>
            <w:noProof/>
          </w:rPr>
          <w:t>Table 6.11.5</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w:t>
        </w:r>
        <w:r w:rsidRPr="00022879">
          <w:rPr>
            <w:rStyle w:val="Hyperlink"/>
            <w:i/>
            <w:noProof/>
          </w:rPr>
          <w:t>Biomass burning</w:t>
        </w:r>
        <w:r w:rsidRPr="00022879">
          <w:rPr>
            <w:rStyle w:val="Hyperlink"/>
            <w:noProof/>
          </w:rPr>
          <w:t xml:space="preserve"> combustion factor values</w:t>
        </w:r>
        <w:r>
          <w:rPr>
            <w:noProof/>
            <w:webHidden/>
          </w:rPr>
          <w:tab/>
        </w:r>
        <w:r>
          <w:rPr>
            <w:noProof/>
            <w:webHidden/>
          </w:rPr>
          <w:fldChar w:fldCharType="begin"/>
        </w:r>
        <w:r>
          <w:rPr>
            <w:noProof/>
            <w:webHidden/>
          </w:rPr>
          <w:instrText xml:space="preserve"> PAGEREF _Toc226669093 \h </w:instrText>
        </w:r>
        <w:r>
          <w:rPr>
            <w:noProof/>
            <w:webHidden/>
          </w:rPr>
        </w:r>
        <w:r>
          <w:rPr>
            <w:noProof/>
            <w:webHidden/>
          </w:rPr>
          <w:fldChar w:fldCharType="separate"/>
        </w:r>
        <w:r w:rsidR="00831581">
          <w:rPr>
            <w:noProof/>
            <w:webHidden/>
          </w:rPr>
          <w:t>321</w:t>
        </w:r>
        <w:r>
          <w:rPr>
            <w:noProof/>
            <w:webHidden/>
          </w:rPr>
          <w:fldChar w:fldCharType="end"/>
        </w:r>
      </w:hyperlink>
    </w:p>
    <w:p w14:paraId="43ACFFDA" w14:textId="5AF6F32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4" w:history="1">
        <w:r w:rsidRPr="00022879">
          <w:rPr>
            <w:rStyle w:val="Hyperlink"/>
            <w:noProof/>
          </w:rPr>
          <w:t xml:space="preserve">Table 7.1.1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New Zealand’s greenhouse gas emissions for the Waste sector by source category in </w:t>
        </w:r>
        <w:r w:rsidRPr="00022879">
          <w:rPr>
            <w:rStyle w:val="Hyperlink"/>
            <w:bCs/>
            <w:noProof/>
          </w:rPr>
          <w:t>1990</w:t>
        </w:r>
        <w:r w:rsidRPr="00022879">
          <w:rPr>
            <w:rStyle w:val="Hyperlink"/>
            <w:noProof/>
          </w:rPr>
          <w:t xml:space="preserve">, </w:t>
        </w:r>
        <w:r w:rsidRPr="00022879">
          <w:rPr>
            <w:rStyle w:val="Hyperlink"/>
            <w:bCs/>
            <w:noProof/>
          </w:rPr>
          <w:t>2005</w:t>
        </w:r>
        <w:r w:rsidRPr="00022879">
          <w:rPr>
            <w:rStyle w:val="Hyperlink"/>
            <w:noProof/>
          </w:rPr>
          <w:t xml:space="preserve">, </w:t>
        </w:r>
        <w:r w:rsidRPr="00022879">
          <w:rPr>
            <w:rStyle w:val="Hyperlink"/>
            <w:bCs/>
            <w:noProof/>
          </w:rPr>
          <w:t>2023</w:t>
        </w:r>
        <w:r w:rsidRPr="00022879">
          <w:rPr>
            <w:rStyle w:val="Hyperlink"/>
            <w:noProof/>
          </w:rPr>
          <w:t xml:space="preserve"> and </w:t>
        </w:r>
        <w:r w:rsidRPr="00022879">
          <w:rPr>
            <w:rStyle w:val="Hyperlink"/>
            <w:bCs/>
            <w:noProof/>
          </w:rPr>
          <w:t>2024</w:t>
        </w:r>
        <w:r>
          <w:rPr>
            <w:noProof/>
            <w:webHidden/>
          </w:rPr>
          <w:tab/>
        </w:r>
        <w:r>
          <w:rPr>
            <w:noProof/>
            <w:webHidden/>
          </w:rPr>
          <w:fldChar w:fldCharType="begin"/>
        </w:r>
        <w:r>
          <w:rPr>
            <w:noProof/>
            <w:webHidden/>
          </w:rPr>
          <w:instrText xml:space="preserve"> PAGEREF _Toc226669094 \h </w:instrText>
        </w:r>
        <w:r>
          <w:rPr>
            <w:noProof/>
            <w:webHidden/>
          </w:rPr>
        </w:r>
        <w:r>
          <w:rPr>
            <w:noProof/>
            <w:webHidden/>
          </w:rPr>
          <w:fldChar w:fldCharType="separate"/>
        </w:r>
        <w:r w:rsidR="00831581">
          <w:rPr>
            <w:noProof/>
            <w:webHidden/>
          </w:rPr>
          <w:t>328</w:t>
        </w:r>
        <w:r>
          <w:rPr>
            <w:noProof/>
            <w:webHidden/>
          </w:rPr>
          <w:fldChar w:fldCharType="end"/>
        </w:r>
      </w:hyperlink>
    </w:p>
    <w:p w14:paraId="5EE01AFF" w14:textId="6B4EF29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5" w:history="1">
        <w:r w:rsidRPr="00022879">
          <w:rPr>
            <w:rStyle w:val="Hyperlink"/>
            <w:noProof/>
          </w:rPr>
          <w:t xml:space="preserve">Table 7.1.2 </w:t>
        </w:r>
        <w:r>
          <w:rPr>
            <w:rFonts w:asciiTheme="minorHAnsi" w:eastAsiaTheme="minorEastAsia" w:hAnsiTheme="minorHAnsi" w:cstheme="minorBidi"/>
            <w:noProof/>
            <w:kern w:val="2"/>
            <w:sz w:val="24"/>
            <w:szCs w:val="24"/>
            <w14:ligatures w14:val="standardContextual"/>
          </w:rPr>
          <w:tab/>
        </w:r>
        <w:r w:rsidRPr="00022879">
          <w:rPr>
            <w:rStyle w:val="Hyperlink"/>
            <w:noProof/>
          </w:rPr>
          <w:t>Key categories in the Waste sector</w:t>
        </w:r>
        <w:r>
          <w:rPr>
            <w:noProof/>
            <w:webHidden/>
          </w:rPr>
          <w:tab/>
        </w:r>
        <w:r>
          <w:rPr>
            <w:noProof/>
            <w:webHidden/>
          </w:rPr>
          <w:fldChar w:fldCharType="begin"/>
        </w:r>
        <w:r>
          <w:rPr>
            <w:noProof/>
            <w:webHidden/>
          </w:rPr>
          <w:instrText xml:space="preserve"> PAGEREF _Toc226669095 \h </w:instrText>
        </w:r>
        <w:r>
          <w:rPr>
            <w:noProof/>
            <w:webHidden/>
          </w:rPr>
        </w:r>
        <w:r>
          <w:rPr>
            <w:noProof/>
            <w:webHidden/>
          </w:rPr>
          <w:fldChar w:fldCharType="separate"/>
        </w:r>
        <w:r w:rsidR="00831581">
          <w:rPr>
            <w:noProof/>
            <w:webHidden/>
          </w:rPr>
          <w:t>330</w:t>
        </w:r>
        <w:r>
          <w:rPr>
            <w:noProof/>
            <w:webHidden/>
          </w:rPr>
          <w:fldChar w:fldCharType="end"/>
        </w:r>
      </w:hyperlink>
    </w:p>
    <w:p w14:paraId="56788971" w14:textId="2DF87A9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6" w:history="1">
        <w:r w:rsidRPr="00022879">
          <w:rPr>
            <w:rStyle w:val="Hyperlink"/>
            <w:noProof/>
          </w:rPr>
          <w:t xml:space="preserve">Table 7.1.3 </w:t>
        </w:r>
        <w:r>
          <w:rPr>
            <w:rFonts w:asciiTheme="minorHAnsi" w:eastAsiaTheme="minorEastAsia" w:hAnsiTheme="minorHAnsi" w:cstheme="minorBidi"/>
            <w:noProof/>
            <w:kern w:val="2"/>
            <w:sz w:val="24"/>
            <w:szCs w:val="24"/>
            <w14:ligatures w14:val="standardContextual"/>
          </w:rPr>
          <w:tab/>
        </w:r>
        <w:r w:rsidRPr="00022879">
          <w:rPr>
            <w:rStyle w:val="Hyperlink"/>
            <w:noProof/>
          </w:rPr>
          <w:t>Explanations and justifications for recalculations</w:t>
        </w:r>
        <w:r>
          <w:rPr>
            <w:noProof/>
            <w:webHidden/>
          </w:rPr>
          <w:tab/>
        </w:r>
        <w:r>
          <w:rPr>
            <w:noProof/>
            <w:webHidden/>
          </w:rPr>
          <w:fldChar w:fldCharType="begin"/>
        </w:r>
        <w:r>
          <w:rPr>
            <w:noProof/>
            <w:webHidden/>
          </w:rPr>
          <w:instrText xml:space="preserve"> PAGEREF _Toc226669096 \h </w:instrText>
        </w:r>
        <w:r>
          <w:rPr>
            <w:noProof/>
            <w:webHidden/>
          </w:rPr>
        </w:r>
        <w:r>
          <w:rPr>
            <w:noProof/>
            <w:webHidden/>
          </w:rPr>
          <w:fldChar w:fldCharType="separate"/>
        </w:r>
        <w:r w:rsidR="00831581">
          <w:rPr>
            <w:noProof/>
            <w:webHidden/>
          </w:rPr>
          <w:t>331</w:t>
        </w:r>
        <w:r>
          <w:rPr>
            <w:noProof/>
            <w:webHidden/>
          </w:rPr>
          <w:fldChar w:fldCharType="end"/>
        </w:r>
      </w:hyperlink>
    </w:p>
    <w:p w14:paraId="693DA7F6" w14:textId="59C413E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7" w:history="1">
        <w:r w:rsidRPr="00022879">
          <w:rPr>
            <w:rStyle w:val="Hyperlink"/>
            <w:noProof/>
          </w:rPr>
          <w:t xml:space="preserve">Table 7.1.4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‘NE’ or ‘not estimated’ entries for the Waste sector in the </w:t>
        </w:r>
        <w:r w:rsidRPr="00022879">
          <w:rPr>
            <w:rStyle w:val="Hyperlink"/>
            <w:bCs/>
            <w:noProof/>
          </w:rPr>
          <w:t>2026</w:t>
        </w:r>
        <w:r w:rsidRPr="00022879">
          <w:rPr>
            <w:rStyle w:val="Hyperlink"/>
            <w:noProof/>
          </w:rPr>
          <w:t xml:space="preserve"> submission</w:t>
        </w:r>
        <w:r>
          <w:rPr>
            <w:noProof/>
            <w:webHidden/>
          </w:rPr>
          <w:tab/>
        </w:r>
        <w:r>
          <w:rPr>
            <w:noProof/>
            <w:webHidden/>
          </w:rPr>
          <w:fldChar w:fldCharType="begin"/>
        </w:r>
        <w:r>
          <w:rPr>
            <w:noProof/>
            <w:webHidden/>
          </w:rPr>
          <w:instrText xml:space="preserve"> PAGEREF _Toc226669097 \h </w:instrText>
        </w:r>
        <w:r>
          <w:rPr>
            <w:noProof/>
            <w:webHidden/>
          </w:rPr>
        </w:r>
        <w:r>
          <w:rPr>
            <w:noProof/>
            <w:webHidden/>
          </w:rPr>
          <w:fldChar w:fldCharType="separate"/>
        </w:r>
        <w:r w:rsidR="00831581">
          <w:rPr>
            <w:noProof/>
            <w:webHidden/>
          </w:rPr>
          <w:t>333</w:t>
        </w:r>
        <w:r>
          <w:rPr>
            <w:noProof/>
            <w:webHidden/>
          </w:rPr>
          <w:fldChar w:fldCharType="end"/>
        </w:r>
      </w:hyperlink>
    </w:p>
    <w:p w14:paraId="7D61887E" w14:textId="6408800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8" w:history="1">
        <w:r w:rsidRPr="00022879">
          <w:rPr>
            <w:rStyle w:val="Hyperlink"/>
            <w:noProof/>
          </w:rPr>
          <w:t xml:space="preserve">Table 7.1.5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Emissions reported using the ‘IE’ or ‘included elsewhere’ notation key in the </w:t>
        </w:r>
        <w:r w:rsidRPr="00022879">
          <w:rPr>
            <w:rStyle w:val="Hyperlink"/>
            <w:bCs/>
            <w:noProof/>
          </w:rPr>
          <w:t>2026</w:t>
        </w:r>
        <w:r w:rsidRPr="00022879">
          <w:rPr>
            <w:rStyle w:val="Hyperlink"/>
            <w:noProof/>
          </w:rPr>
          <w:t xml:space="preserve"> submission for the Waste sector</w:t>
        </w:r>
        <w:r>
          <w:rPr>
            <w:noProof/>
            <w:webHidden/>
          </w:rPr>
          <w:tab/>
        </w:r>
        <w:r>
          <w:rPr>
            <w:noProof/>
            <w:webHidden/>
          </w:rPr>
          <w:fldChar w:fldCharType="begin"/>
        </w:r>
        <w:r>
          <w:rPr>
            <w:noProof/>
            <w:webHidden/>
          </w:rPr>
          <w:instrText xml:space="preserve"> PAGEREF _Toc226669098 \h </w:instrText>
        </w:r>
        <w:r>
          <w:rPr>
            <w:noProof/>
            <w:webHidden/>
          </w:rPr>
        </w:r>
        <w:r>
          <w:rPr>
            <w:noProof/>
            <w:webHidden/>
          </w:rPr>
          <w:fldChar w:fldCharType="separate"/>
        </w:r>
        <w:r w:rsidR="00831581">
          <w:rPr>
            <w:noProof/>
            <w:webHidden/>
          </w:rPr>
          <w:t>333</w:t>
        </w:r>
        <w:r>
          <w:rPr>
            <w:noProof/>
            <w:webHidden/>
          </w:rPr>
          <w:fldChar w:fldCharType="end"/>
        </w:r>
      </w:hyperlink>
    </w:p>
    <w:p w14:paraId="21BE3AD8" w14:textId="5EC98A6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099" w:history="1">
        <w:r w:rsidRPr="00022879">
          <w:rPr>
            <w:rStyle w:val="Hyperlink"/>
            <w:noProof/>
          </w:rPr>
          <w:t xml:space="preserve">Table 7.2.1 </w:t>
        </w:r>
        <w:r>
          <w:rPr>
            <w:rFonts w:asciiTheme="minorHAnsi" w:eastAsiaTheme="minorEastAsia" w:hAnsiTheme="minorHAnsi" w:cstheme="minorBidi"/>
            <w:noProof/>
            <w:kern w:val="2"/>
            <w:sz w:val="24"/>
            <w:szCs w:val="24"/>
            <w14:ligatures w14:val="standardContextual"/>
          </w:rPr>
          <w:tab/>
        </w:r>
        <w:r w:rsidRPr="00022879">
          <w:rPr>
            <w:rStyle w:val="Hyperlink"/>
            <w:noProof/>
          </w:rPr>
          <w:t>Landfill emissions in the common reporting tables</w:t>
        </w:r>
        <w:r>
          <w:rPr>
            <w:noProof/>
            <w:webHidden/>
          </w:rPr>
          <w:tab/>
        </w:r>
        <w:r>
          <w:rPr>
            <w:noProof/>
            <w:webHidden/>
          </w:rPr>
          <w:fldChar w:fldCharType="begin"/>
        </w:r>
        <w:r>
          <w:rPr>
            <w:noProof/>
            <w:webHidden/>
          </w:rPr>
          <w:instrText xml:space="preserve"> PAGEREF _Toc226669099 \h </w:instrText>
        </w:r>
        <w:r>
          <w:rPr>
            <w:noProof/>
            <w:webHidden/>
          </w:rPr>
        </w:r>
        <w:r>
          <w:rPr>
            <w:noProof/>
            <w:webHidden/>
          </w:rPr>
          <w:fldChar w:fldCharType="separate"/>
        </w:r>
        <w:r w:rsidR="00831581">
          <w:rPr>
            <w:noProof/>
            <w:webHidden/>
          </w:rPr>
          <w:t>334</w:t>
        </w:r>
        <w:r>
          <w:rPr>
            <w:noProof/>
            <w:webHidden/>
          </w:rPr>
          <w:fldChar w:fldCharType="end"/>
        </w:r>
      </w:hyperlink>
    </w:p>
    <w:p w14:paraId="19E427B2" w14:textId="37B93E0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0" w:history="1">
        <w:r w:rsidRPr="00022879">
          <w:rPr>
            <w:rStyle w:val="Hyperlink"/>
            <w:noProof/>
          </w:rPr>
          <w:t xml:space="preserve">Table 7.2.2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Emissions from </w:t>
        </w:r>
        <w:r w:rsidRPr="00022879">
          <w:rPr>
            <w:rStyle w:val="Hyperlink"/>
            <w:i/>
            <w:iCs/>
            <w:noProof/>
          </w:rPr>
          <w:t>Solid waste disposal</w:t>
        </w:r>
        <w:r w:rsidRPr="00022879">
          <w:rPr>
            <w:rStyle w:val="Hyperlink"/>
            <w:noProof/>
          </w:rPr>
          <w:t xml:space="preserve"> (5.A)</w:t>
        </w:r>
        <w:r>
          <w:rPr>
            <w:noProof/>
            <w:webHidden/>
          </w:rPr>
          <w:tab/>
        </w:r>
        <w:r>
          <w:rPr>
            <w:noProof/>
            <w:webHidden/>
          </w:rPr>
          <w:fldChar w:fldCharType="begin"/>
        </w:r>
        <w:r>
          <w:rPr>
            <w:noProof/>
            <w:webHidden/>
          </w:rPr>
          <w:instrText xml:space="preserve"> PAGEREF _Toc226669100 \h </w:instrText>
        </w:r>
        <w:r>
          <w:rPr>
            <w:noProof/>
            <w:webHidden/>
          </w:rPr>
        </w:r>
        <w:r>
          <w:rPr>
            <w:noProof/>
            <w:webHidden/>
          </w:rPr>
          <w:fldChar w:fldCharType="separate"/>
        </w:r>
        <w:r w:rsidR="00831581">
          <w:rPr>
            <w:noProof/>
            <w:webHidden/>
          </w:rPr>
          <w:t>336</w:t>
        </w:r>
        <w:r>
          <w:rPr>
            <w:noProof/>
            <w:webHidden/>
          </w:rPr>
          <w:fldChar w:fldCharType="end"/>
        </w:r>
      </w:hyperlink>
    </w:p>
    <w:p w14:paraId="60D3861E" w14:textId="592CCF5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1" w:history="1">
        <w:r w:rsidRPr="00022879">
          <w:rPr>
            <w:rStyle w:val="Hyperlink"/>
            <w:noProof/>
          </w:rPr>
          <w:t xml:space="preserve">Table 7.2.3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Number of managed solid waste disposal sites reporting under the Waste Minimisation Act 2008, by landfill gas recovery status in </w:t>
        </w:r>
        <w:r w:rsidRPr="00022879">
          <w:rPr>
            <w:rStyle w:val="Hyperlink"/>
            <w:bCs/>
            <w:noProof/>
          </w:rPr>
          <w:t>2024</w:t>
        </w:r>
        <w:r>
          <w:rPr>
            <w:noProof/>
            <w:webHidden/>
          </w:rPr>
          <w:tab/>
        </w:r>
        <w:r>
          <w:rPr>
            <w:noProof/>
            <w:webHidden/>
          </w:rPr>
          <w:fldChar w:fldCharType="begin"/>
        </w:r>
        <w:r>
          <w:rPr>
            <w:noProof/>
            <w:webHidden/>
          </w:rPr>
          <w:instrText xml:space="preserve"> PAGEREF _Toc226669101 \h </w:instrText>
        </w:r>
        <w:r>
          <w:rPr>
            <w:noProof/>
            <w:webHidden/>
          </w:rPr>
        </w:r>
        <w:r>
          <w:rPr>
            <w:noProof/>
            <w:webHidden/>
          </w:rPr>
          <w:fldChar w:fldCharType="separate"/>
        </w:r>
        <w:r w:rsidR="00831581">
          <w:rPr>
            <w:noProof/>
            <w:webHidden/>
          </w:rPr>
          <w:t>337</w:t>
        </w:r>
        <w:r>
          <w:rPr>
            <w:noProof/>
            <w:webHidden/>
          </w:rPr>
          <w:fldChar w:fldCharType="end"/>
        </w:r>
      </w:hyperlink>
    </w:p>
    <w:p w14:paraId="2DCD1E6B" w14:textId="2EE35E9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2" w:history="1">
        <w:r w:rsidRPr="00022879">
          <w:rPr>
            <w:rStyle w:val="Hyperlink"/>
            <w:noProof/>
          </w:rPr>
          <w:t xml:space="preserve">Table 7.2.4 </w:t>
        </w:r>
        <w:r>
          <w:rPr>
            <w:rFonts w:asciiTheme="minorHAnsi" w:eastAsiaTheme="minorEastAsia" w:hAnsiTheme="minorHAnsi" w:cstheme="minorBidi"/>
            <w:noProof/>
            <w:kern w:val="2"/>
            <w:sz w:val="24"/>
            <w:szCs w:val="24"/>
            <w14:ligatures w14:val="standardContextual"/>
          </w:rPr>
          <w:tab/>
        </w:r>
        <w:r w:rsidRPr="00022879">
          <w:rPr>
            <w:rStyle w:val="Hyperlink"/>
            <w:noProof/>
          </w:rPr>
          <w:t>Solid waste deposited to managed and uncategorised solid waste disposal sites, from 1950·to·</w:t>
        </w:r>
        <w:r w:rsidRPr="00022879">
          <w:rPr>
            <w:rStyle w:val="Hyperlink"/>
            <w:bCs/>
            <w:noProof/>
          </w:rPr>
          <w:t>2024</w:t>
        </w:r>
        <w:r>
          <w:rPr>
            <w:noProof/>
            <w:webHidden/>
          </w:rPr>
          <w:tab/>
        </w:r>
        <w:r>
          <w:rPr>
            <w:noProof/>
            <w:webHidden/>
          </w:rPr>
          <w:fldChar w:fldCharType="begin"/>
        </w:r>
        <w:r>
          <w:rPr>
            <w:noProof/>
            <w:webHidden/>
          </w:rPr>
          <w:instrText xml:space="preserve"> PAGEREF _Toc226669102 \h </w:instrText>
        </w:r>
        <w:r>
          <w:rPr>
            <w:noProof/>
            <w:webHidden/>
          </w:rPr>
        </w:r>
        <w:r>
          <w:rPr>
            <w:noProof/>
            <w:webHidden/>
          </w:rPr>
          <w:fldChar w:fldCharType="separate"/>
        </w:r>
        <w:r w:rsidR="00831581">
          <w:rPr>
            <w:noProof/>
            <w:webHidden/>
          </w:rPr>
          <w:t>337</w:t>
        </w:r>
        <w:r>
          <w:rPr>
            <w:noProof/>
            <w:webHidden/>
          </w:rPr>
          <w:fldChar w:fldCharType="end"/>
        </w:r>
      </w:hyperlink>
    </w:p>
    <w:p w14:paraId="3114A977" w14:textId="1F7E279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3" w:history="1">
        <w:r w:rsidRPr="00022879">
          <w:rPr>
            <w:rStyle w:val="Hyperlink"/>
            <w:noProof/>
          </w:rPr>
          <w:t xml:space="preserve">Table 7.2.5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Types of landfills under the </w:t>
        </w:r>
        <w:r w:rsidRPr="00022879">
          <w:rPr>
            <w:rStyle w:val="Hyperlink"/>
            <w:i/>
            <w:iCs/>
            <w:noProof/>
          </w:rPr>
          <w:t>Unmanaged solid waste disposal sites</w:t>
        </w:r>
        <w:r w:rsidRPr="00022879">
          <w:rPr>
            <w:rStyle w:val="Hyperlink"/>
            <w:noProof/>
          </w:rPr>
          <w:t xml:space="preserve"> category</w:t>
        </w:r>
        <w:r>
          <w:rPr>
            <w:noProof/>
            <w:webHidden/>
          </w:rPr>
          <w:tab/>
        </w:r>
        <w:r>
          <w:rPr>
            <w:noProof/>
            <w:webHidden/>
          </w:rPr>
          <w:fldChar w:fldCharType="begin"/>
        </w:r>
        <w:r>
          <w:rPr>
            <w:noProof/>
            <w:webHidden/>
          </w:rPr>
          <w:instrText xml:space="preserve"> PAGEREF _Toc226669103 \h </w:instrText>
        </w:r>
        <w:r>
          <w:rPr>
            <w:noProof/>
            <w:webHidden/>
          </w:rPr>
        </w:r>
        <w:r>
          <w:rPr>
            <w:noProof/>
            <w:webHidden/>
          </w:rPr>
          <w:fldChar w:fldCharType="separate"/>
        </w:r>
        <w:r w:rsidR="00831581">
          <w:rPr>
            <w:noProof/>
            <w:webHidden/>
          </w:rPr>
          <w:t>339</w:t>
        </w:r>
        <w:r>
          <w:rPr>
            <w:noProof/>
            <w:webHidden/>
          </w:rPr>
          <w:fldChar w:fldCharType="end"/>
        </w:r>
      </w:hyperlink>
    </w:p>
    <w:p w14:paraId="00B615B9" w14:textId="25A731F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4" w:history="1">
        <w:r w:rsidRPr="00022879">
          <w:rPr>
            <w:rStyle w:val="Hyperlink"/>
            <w:noProof/>
          </w:rPr>
          <w:t>Table 7.2.6</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Solid waste deposited to unmanaged solid waste disposal sites, from 1950 to </w:t>
        </w:r>
        <w:r w:rsidRPr="00022879">
          <w:rPr>
            <w:rStyle w:val="Hyperlink"/>
            <w:bCs/>
            <w:noProof/>
          </w:rPr>
          <w:t>2024</w:t>
        </w:r>
        <w:r>
          <w:rPr>
            <w:noProof/>
            <w:webHidden/>
          </w:rPr>
          <w:tab/>
        </w:r>
        <w:r>
          <w:rPr>
            <w:noProof/>
            <w:webHidden/>
          </w:rPr>
          <w:fldChar w:fldCharType="begin"/>
        </w:r>
        <w:r>
          <w:rPr>
            <w:noProof/>
            <w:webHidden/>
          </w:rPr>
          <w:instrText xml:space="preserve"> PAGEREF _Toc226669104 \h </w:instrText>
        </w:r>
        <w:r>
          <w:rPr>
            <w:noProof/>
            <w:webHidden/>
          </w:rPr>
        </w:r>
        <w:r>
          <w:rPr>
            <w:noProof/>
            <w:webHidden/>
          </w:rPr>
          <w:fldChar w:fldCharType="separate"/>
        </w:r>
        <w:r w:rsidR="00831581">
          <w:rPr>
            <w:noProof/>
            <w:webHidden/>
          </w:rPr>
          <w:t>340</w:t>
        </w:r>
        <w:r>
          <w:rPr>
            <w:noProof/>
            <w:webHidden/>
          </w:rPr>
          <w:fldChar w:fldCharType="end"/>
        </w:r>
      </w:hyperlink>
    </w:p>
    <w:p w14:paraId="646C055D" w14:textId="630A1B48"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5" w:history="1">
        <w:r w:rsidRPr="00022879">
          <w:rPr>
            <w:rStyle w:val="Hyperlink"/>
            <w:noProof/>
          </w:rPr>
          <w:t xml:space="preserve">Table 7.2.7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Estimated composition of waste disposed to managed solid waste disposal sites, from 1950 to </w:t>
        </w:r>
        <w:r w:rsidRPr="00022879">
          <w:rPr>
            <w:rStyle w:val="Hyperlink"/>
            <w:bCs/>
            <w:noProof/>
          </w:rPr>
          <w:t>2024</w:t>
        </w:r>
        <w:r>
          <w:rPr>
            <w:noProof/>
            <w:webHidden/>
          </w:rPr>
          <w:tab/>
        </w:r>
        <w:r>
          <w:rPr>
            <w:noProof/>
            <w:webHidden/>
          </w:rPr>
          <w:fldChar w:fldCharType="begin"/>
        </w:r>
        <w:r>
          <w:rPr>
            <w:noProof/>
            <w:webHidden/>
          </w:rPr>
          <w:instrText xml:space="preserve"> PAGEREF _Toc226669105 \h </w:instrText>
        </w:r>
        <w:r>
          <w:rPr>
            <w:noProof/>
            <w:webHidden/>
          </w:rPr>
        </w:r>
        <w:r>
          <w:rPr>
            <w:noProof/>
            <w:webHidden/>
          </w:rPr>
          <w:fldChar w:fldCharType="separate"/>
        </w:r>
        <w:r w:rsidR="00831581">
          <w:rPr>
            <w:noProof/>
            <w:webHidden/>
          </w:rPr>
          <w:t>344</w:t>
        </w:r>
        <w:r>
          <w:rPr>
            <w:noProof/>
            <w:webHidden/>
          </w:rPr>
          <w:fldChar w:fldCharType="end"/>
        </w:r>
      </w:hyperlink>
    </w:p>
    <w:p w14:paraId="1F16B29B" w14:textId="54D91B4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6" w:history="1">
        <w:r w:rsidRPr="00022879">
          <w:rPr>
            <w:rStyle w:val="Hyperlink"/>
            <w:noProof/>
          </w:rPr>
          <w:t xml:space="preserve">Table 7.2.8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Parameters by waste type that determine the quantity and rate of methane generation</w:t>
        </w:r>
        <w:r>
          <w:rPr>
            <w:noProof/>
            <w:webHidden/>
          </w:rPr>
          <w:tab/>
        </w:r>
        <w:r>
          <w:rPr>
            <w:noProof/>
            <w:webHidden/>
          </w:rPr>
          <w:fldChar w:fldCharType="begin"/>
        </w:r>
        <w:r>
          <w:rPr>
            <w:noProof/>
            <w:webHidden/>
          </w:rPr>
          <w:instrText xml:space="preserve"> PAGEREF _Toc226669106 \h </w:instrText>
        </w:r>
        <w:r>
          <w:rPr>
            <w:noProof/>
            <w:webHidden/>
          </w:rPr>
        </w:r>
        <w:r>
          <w:rPr>
            <w:noProof/>
            <w:webHidden/>
          </w:rPr>
          <w:fldChar w:fldCharType="separate"/>
        </w:r>
        <w:r w:rsidR="00831581">
          <w:rPr>
            <w:noProof/>
            <w:webHidden/>
          </w:rPr>
          <w:t>345</w:t>
        </w:r>
        <w:r>
          <w:rPr>
            <w:noProof/>
            <w:webHidden/>
          </w:rPr>
          <w:fldChar w:fldCharType="end"/>
        </w:r>
      </w:hyperlink>
    </w:p>
    <w:p w14:paraId="44CE9FE0" w14:textId="0C1C76A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7" w:history="1">
        <w:r w:rsidRPr="00022879">
          <w:rPr>
            <w:rStyle w:val="Hyperlink"/>
            <w:noProof/>
          </w:rPr>
          <w:t xml:space="preserve">Table 7.2.9 </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parameters for managed solid waste disposal sites</w:t>
        </w:r>
        <w:r>
          <w:rPr>
            <w:noProof/>
            <w:webHidden/>
          </w:rPr>
          <w:tab/>
        </w:r>
        <w:r>
          <w:rPr>
            <w:noProof/>
            <w:webHidden/>
          </w:rPr>
          <w:fldChar w:fldCharType="begin"/>
        </w:r>
        <w:r>
          <w:rPr>
            <w:noProof/>
            <w:webHidden/>
          </w:rPr>
          <w:instrText xml:space="preserve"> PAGEREF _Toc226669107 \h </w:instrText>
        </w:r>
        <w:r>
          <w:rPr>
            <w:noProof/>
            <w:webHidden/>
          </w:rPr>
        </w:r>
        <w:r>
          <w:rPr>
            <w:noProof/>
            <w:webHidden/>
          </w:rPr>
          <w:fldChar w:fldCharType="separate"/>
        </w:r>
        <w:r w:rsidR="00831581">
          <w:rPr>
            <w:noProof/>
            <w:webHidden/>
          </w:rPr>
          <w:t>346</w:t>
        </w:r>
        <w:r>
          <w:rPr>
            <w:noProof/>
            <w:webHidden/>
          </w:rPr>
          <w:fldChar w:fldCharType="end"/>
        </w:r>
      </w:hyperlink>
    </w:p>
    <w:p w14:paraId="45D83DB9" w14:textId="4507346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8" w:history="1">
        <w:r w:rsidRPr="00022879">
          <w:rPr>
            <w:rStyle w:val="Hyperlink"/>
            <w:noProof/>
          </w:rPr>
          <w:t xml:space="preserve">Table 7.2.10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Estimated composition of waste disposed to </w:t>
        </w:r>
        <w:r w:rsidRPr="00022879">
          <w:rPr>
            <w:rStyle w:val="Hyperlink"/>
            <w:i/>
            <w:iCs/>
            <w:noProof/>
          </w:rPr>
          <w:t>unmanaged solid waste disposal sites</w:t>
        </w:r>
        <w:r>
          <w:rPr>
            <w:noProof/>
            <w:webHidden/>
          </w:rPr>
          <w:tab/>
        </w:r>
        <w:r>
          <w:rPr>
            <w:noProof/>
            <w:webHidden/>
          </w:rPr>
          <w:fldChar w:fldCharType="begin"/>
        </w:r>
        <w:r>
          <w:rPr>
            <w:noProof/>
            <w:webHidden/>
          </w:rPr>
          <w:instrText xml:space="preserve"> PAGEREF _Toc226669108 \h </w:instrText>
        </w:r>
        <w:r>
          <w:rPr>
            <w:noProof/>
            <w:webHidden/>
          </w:rPr>
        </w:r>
        <w:r>
          <w:rPr>
            <w:noProof/>
            <w:webHidden/>
          </w:rPr>
          <w:fldChar w:fldCharType="separate"/>
        </w:r>
        <w:r w:rsidR="00831581">
          <w:rPr>
            <w:noProof/>
            <w:webHidden/>
          </w:rPr>
          <w:t>347</w:t>
        </w:r>
        <w:r>
          <w:rPr>
            <w:noProof/>
            <w:webHidden/>
          </w:rPr>
          <w:fldChar w:fldCharType="end"/>
        </w:r>
      </w:hyperlink>
    </w:p>
    <w:p w14:paraId="13C4CAE3" w14:textId="190589A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09" w:history="1">
        <w:r w:rsidRPr="00022879">
          <w:rPr>
            <w:rStyle w:val="Hyperlink"/>
            <w:noProof/>
          </w:rPr>
          <w:t xml:space="preserve">Table 7.2.11 </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parameters for unmanaged solid waste disposal sites and farm fills</w:t>
        </w:r>
        <w:r>
          <w:rPr>
            <w:noProof/>
            <w:webHidden/>
          </w:rPr>
          <w:tab/>
        </w:r>
        <w:r>
          <w:rPr>
            <w:noProof/>
            <w:webHidden/>
          </w:rPr>
          <w:fldChar w:fldCharType="begin"/>
        </w:r>
        <w:r>
          <w:rPr>
            <w:noProof/>
            <w:webHidden/>
          </w:rPr>
          <w:instrText xml:space="preserve"> PAGEREF _Toc226669109 \h </w:instrText>
        </w:r>
        <w:r>
          <w:rPr>
            <w:noProof/>
            <w:webHidden/>
          </w:rPr>
        </w:r>
        <w:r>
          <w:rPr>
            <w:noProof/>
            <w:webHidden/>
          </w:rPr>
          <w:fldChar w:fldCharType="separate"/>
        </w:r>
        <w:r w:rsidR="00831581">
          <w:rPr>
            <w:noProof/>
            <w:webHidden/>
          </w:rPr>
          <w:t>348</w:t>
        </w:r>
        <w:r>
          <w:rPr>
            <w:noProof/>
            <w:webHidden/>
          </w:rPr>
          <w:fldChar w:fldCharType="end"/>
        </w:r>
      </w:hyperlink>
    </w:p>
    <w:p w14:paraId="7FA8106C" w14:textId="71D80FC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0" w:history="1">
        <w:r w:rsidRPr="00022879">
          <w:rPr>
            <w:rStyle w:val="Hyperlink"/>
            <w:noProof/>
          </w:rPr>
          <w:t xml:space="preserve">Table 7.2.12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w:t>
        </w:r>
        <w:r w:rsidRPr="00022879">
          <w:rPr>
            <w:rStyle w:val="Hyperlink"/>
            <w:i/>
            <w:iCs/>
            <w:noProof/>
          </w:rPr>
          <w:t>Solid waste disposal</w:t>
        </w:r>
        <w:r>
          <w:rPr>
            <w:noProof/>
            <w:webHidden/>
          </w:rPr>
          <w:tab/>
        </w:r>
        <w:r>
          <w:rPr>
            <w:noProof/>
            <w:webHidden/>
          </w:rPr>
          <w:fldChar w:fldCharType="begin"/>
        </w:r>
        <w:r>
          <w:rPr>
            <w:noProof/>
            <w:webHidden/>
          </w:rPr>
          <w:instrText xml:space="preserve"> PAGEREF _Toc226669110 \h </w:instrText>
        </w:r>
        <w:r>
          <w:rPr>
            <w:noProof/>
            <w:webHidden/>
          </w:rPr>
        </w:r>
        <w:r>
          <w:rPr>
            <w:noProof/>
            <w:webHidden/>
          </w:rPr>
          <w:fldChar w:fldCharType="separate"/>
        </w:r>
        <w:r w:rsidR="00831581">
          <w:rPr>
            <w:noProof/>
            <w:webHidden/>
          </w:rPr>
          <w:t>349</w:t>
        </w:r>
        <w:r>
          <w:rPr>
            <w:noProof/>
            <w:webHidden/>
          </w:rPr>
          <w:fldChar w:fldCharType="end"/>
        </w:r>
      </w:hyperlink>
    </w:p>
    <w:p w14:paraId="6D8AF4A5" w14:textId="16BA79C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1" w:history="1">
        <w:r w:rsidRPr="00022879">
          <w:rPr>
            <w:rStyle w:val="Hyperlink"/>
            <w:noProof/>
          </w:rPr>
          <w:t xml:space="preserve">Table 7.3.1 </w:t>
        </w:r>
        <w:r>
          <w:rPr>
            <w:rFonts w:asciiTheme="minorHAnsi" w:eastAsiaTheme="minorEastAsia" w:hAnsiTheme="minorHAnsi" w:cstheme="minorBidi"/>
            <w:noProof/>
            <w:kern w:val="2"/>
            <w:sz w:val="24"/>
            <w:szCs w:val="24"/>
            <w14:ligatures w14:val="standardContextual"/>
          </w:rPr>
          <w:tab/>
        </w:r>
        <w:r w:rsidRPr="00022879">
          <w:rPr>
            <w:rStyle w:val="Hyperlink"/>
            <w:noProof/>
          </w:rPr>
          <w:t>Emissions from Biological treatment of solid waste</w:t>
        </w:r>
        <w:r>
          <w:rPr>
            <w:noProof/>
            <w:webHidden/>
          </w:rPr>
          <w:tab/>
        </w:r>
        <w:r>
          <w:rPr>
            <w:noProof/>
            <w:webHidden/>
          </w:rPr>
          <w:fldChar w:fldCharType="begin"/>
        </w:r>
        <w:r>
          <w:rPr>
            <w:noProof/>
            <w:webHidden/>
          </w:rPr>
          <w:instrText xml:space="preserve"> PAGEREF _Toc226669111 \h </w:instrText>
        </w:r>
        <w:r>
          <w:rPr>
            <w:noProof/>
            <w:webHidden/>
          </w:rPr>
        </w:r>
        <w:r>
          <w:rPr>
            <w:noProof/>
            <w:webHidden/>
          </w:rPr>
          <w:fldChar w:fldCharType="separate"/>
        </w:r>
        <w:r w:rsidR="00831581">
          <w:rPr>
            <w:noProof/>
            <w:webHidden/>
          </w:rPr>
          <w:t>351</w:t>
        </w:r>
        <w:r>
          <w:rPr>
            <w:noProof/>
            <w:webHidden/>
          </w:rPr>
          <w:fldChar w:fldCharType="end"/>
        </w:r>
      </w:hyperlink>
    </w:p>
    <w:p w14:paraId="06D85010" w14:textId="78BB846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2" w:history="1">
        <w:r w:rsidRPr="00022879">
          <w:rPr>
            <w:rStyle w:val="Hyperlink"/>
            <w:noProof/>
          </w:rPr>
          <w:t xml:space="preserve">Table 7.3.2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Emission factors applied to estimate emissions from </w:t>
        </w:r>
        <w:r w:rsidRPr="00022879">
          <w:rPr>
            <w:rStyle w:val="Hyperlink"/>
            <w:i/>
            <w:iCs/>
            <w:noProof/>
          </w:rPr>
          <w:t>Composting</w:t>
        </w:r>
        <w:r w:rsidRPr="00022879">
          <w:rPr>
            <w:rStyle w:val="Hyperlink"/>
            <w:noProof/>
          </w:rPr>
          <w:t xml:space="preserve"> and </w:t>
        </w:r>
        <w:r w:rsidRPr="00022879">
          <w:rPr>
            <w:rStyle w:val="Hyperlink"/>
            <w:i/>
            <w:iCs/>
            <w:noProof/>
          </w:rPr>
          <w:t>Anaerobic digestion</w:t>
        </w:r>
        <w:r>
          <w:rPr>
            <w:noProof/>
            <w:webHidden/>
          </w:rPr>
          <w:tab/>
        </w:r>
        <w:r>
          <w:rPr>
            <w:noProof/>
            <w:webHidden/>
          </w:rPr>
          <w:fldChar w:fldCharType="begin"/>
        </w:r>
        <w:r>
          <w:rPr>
            <w:noProof/>
            <w:webHidden/>
          </w:rPr>
          <w:instrText xml:space="preserve"> PAGEREF _Toc226669112 \h </w:instrText>
        </w:r>
        <w:r>
          <w:rPr>
            <w:noProof/>
            <w:webHidden/>
          </w:rPr>
        </w:r>
        <w:r>
          <w:rPr>
            <w:noProof/>
            <w:webHidden/>
          </w:rPr>
          <w:fldChar w:fldCharType="separate"/>
        </w:r>
        <w:r w:rsidR="00831581">
          <w:rPr>
            <w:noProof/>
            <w:webHidden/>
          </w:rPr>
          <w:t>352</w:t>
        </w:r>
        <w:r>
          <w:rPr>
            <w:noProof/>
            <w:webHidden/>
          </w:rPr>
          <w:fldChar w:fldCharType="end"/>
        </w:r>
      </w:hyperlink>
    </w:p>
    <w:p w14:paraId="33841B81" w14:textId="63570B4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3" w:history="1">
        <w:r w:rsidRPr="00022879">
          <w:rPr>
            <w:rStyle w:val="Hyperlink"/>
            <w:noProof/>
          </w:rPr>
          <w:t xml:space="preserve">Table 7.3.3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w:t>
        </w:r>
        <w:r w:rsidRPr="00022879">
          <w:rPr>
            <w:rStyle w:val="Hyperlink"/>
            <w:i/>
            <w:iCs/>
            <w:noProof/>
          </w:rPr>
          <w:t>Composting</w:t>
        </w:r>
        <w:r w:rsidRPr="00022879">
          <w:rPr>
            <w:rStyle w:val="Hyperlink"/>
            <w:noProof/>
          </w:rPr>
          <w:t xml:space="preserve"> and </w:t>
        </w:r>
        <w:r w:rsidRPr="00022879">
          <w:rPr>
            <w:rStyle w:val="Hyperlink"/>
            <w:i/>
            <w:iCs/>
            <w:noProof/>
          </w:rPr>
          <w:t>Anaerobic digestion</w:t>
        </w:r>
        <w:r>
          <w:rPr>
            <w:noProof/>
            <w:webHidden/>
          </w:rPr>
          <w:tab/>
        </w:r>
        <w:r>
          <w:rPr>
            <w:noProof/>
            <w:webHidden/>
          </w:rPr>
          <w:fldChar w:fldCharType="begin"/>
        </w:r>
        <w:r>
          <w:rPr>
            <w:noProof/>
            <w:webHidden/>
          </w:rPr>
          <w:instrText xml:space="preserve"> PAGEREF _Toc226669113 \h </w:instrText>
        </w:r>
        <w:r>
          <w:rPr>
            <w:noProof/>
            <w:webHidden/>
          </w:rPr>
        </w:r>
        <w:r>
          <w:rPr>
            <w:noProof/>
            <w:webHidden/>
          </w:rPr>
          <w:fldChar w:fldCharType="separate"/>
        </w:r>
        <w:r w:rsidR="00831581">
          <w:rPr>
            <w:noProof/>
            <w:webHidden/>
          </w:rPr>
          <w:t>352</w:t>
        </w:r>
        <w:r>
          <w:rPr>
            <w:noProof/>
            <w:webHidden/>
          </w:rPr>
          <w:fldChar w:fldCharType="end"/>
        </w:r>
      </w:hyperlink>
    </w:p>
    <w:p w14:paraId="6E1FE559" w14:textId="10E75E6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4" w:history="1">
        <w:r w:rsidRPr="00022879">
          <w:rPr>
            <w:rStyle w:val="Hyperlink"/>
            <w:noProof/>
          </w:rPr>
          <w:t xml:space="preserve">Table 7.4.1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Emissions from </w:t>
        </w:r>
        <w:r w:rsidRPr="00022879">
          <w:rPr>
            <w:rStyle w:val="Hyperlink"/>
            <w:i/>
            <w:iCs/>
            <w:noProof/>
          </w:rPr>
          <w:t>Incineration</w:t>
        </w:r>
        <w:r w:rsidRPr="00022879">
          <w:rPr>
            <w:rStyle w:val="Hyperlink"/>
            <w:noProof/>
          </w:rPr>
          <w:t xml:space="preserve"> and </w:t>
        </w:r>
        <w:r w:rsidRPr="00022879">
          <w:rPr>
            <w:rStyle w:val="Hyperlink"/>
            <w:i/>
            <w:iCs/>
            <w:noProof/>
          </w:rPr>
          <w:t>Open burning of waste</w:t>
        </w:r>
        <w:r w:rsidRPr="00022879">
          <w:rPr>
            <w:rStyle w:val="Hyperlink"/>
            <w:noProof/>
          </w:rPr>
          <w:t xml:space="preserve"> (5.C)</w:t>
        </w:r>
        <w:r>
          <w:rPr>
            <w:noProof/>
            <w:webHidden/>
          </w:rPr>
          <w:tab/>
        </w:r>
        <w:r>
          <w:rPr>
            <w:noProof/>
            <w:webHidden/>
          </w:rPr>
          <w:fldChar w:fldCharType="begin"/>
        </w:r>
        <w:r>
          <w:rPr>
            <w:noProof/>
            <w:webHidden/>
          </w:rPr>
          <w:instrText xml:space="preserve"> PAGEREF _Toc226669114 \h </w:instrText>
        </w:r>
        <w:r>
          <w:rPr>
            <w:noProof/>
            <w:webHidden/>
          </w:rPr>
        </w:r>
        <w:r>
          <w:rPr>
            <w:noProof/>
            <w:webHidden/>
          </w:rPr>
          <w:fldChar w:fldCharType="separate"/>
        </w:r>
        <w:r w:rsidR="00831581">
          <w:rPr>
            <w:noProof/>
            <w:webHidden/>
          </w:rPr>
          <w:t>354</w:t>
        </w:r>
        <w:r>
          <w:rPr>
            <w:noProof/>
            <w:webHidden/>
          </w:rPr>
          <w:fldChar w:fldCharType="end"/>
        </w:r>
      </w:hyperlink>
    </w:p>
    <w:p w14:paraId="58AE7E18" w14:textId="4959E4F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5" w:history="1">
        <w:r w:rsidRPr="00022879">
          <w:rPr>
            <w:rStyle w:val="Hyperlink"/>
            <w:noProof/>
          </w:rPr>
          <w:t xml:space="preserve">Table 7.4.2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Amounts of waste incinerated, from </w:t>
        </w:r>
        <w:r w:rsidRPr="00022879">
          <w:rPr>
            <w:rStyle w:val="Hyperlink"/>
            <w:bCs/>
            <w:noProof/>
          </w:rPr>
          <w:t>1990</w:t>
        </w:r>
        <w:r w:rsidRPr="00022879">
          <w:rPr>
            <w:rStyle w:val="Hyperlink"/>
            <w:noProof/>
          </w:rPr>
          <w:t>·to·</w:t>
        </w:r>
        <w:r w:rsidRPr="00022879">
          <w:rPr>
            <w:rStyle w:val="Hyperlink"/>
            <w:bCs/>
            <w:noProof/>
          </w:rPr>
          <w:t>2024</w:t>
        </w:r>
        <w:r>
          <w:rPr>
            <w:noProof/>
            <w:webHidden/>
          </w:rPr>
          <w:tab/>
        </w:r>
        <w:r>
          <w:rPr>
            <w:noProof/>
            <w:webHidden/>
          </w:rPr>
          <w:fldChar w:fldCharType="begin"/>
        </w:r>
        <w:r>
          <w:rPr>
            <w:noProof/>
            <w:webHidden/>
          </w:rPr>
          <w:instrText xml:space="preserve"> PAGEREF _Toc226669115 \h </w:instrText>
        </w:r>
        <w:r>
          <w:rPr>
            <w:noProof/>
            <w:webHidden/>
          </w:rPr>
        </w:r>
        <w:r>
          <w:rPr>
            <w:noProof/>
            <w:webHidden/>
          </w:rPr>
          <w:fldChar w:fldCharType="separate"/>
        </w:r>
        <w:r w:rsidR="00831581">
          <w:rPr>
            <w:noProof/>
            <w:webHidden/>
          </w:rPr>
          <w:t>354</w:t>
        </w:r>
        <w:r>
          <w:rPr>
            <w:noProof/>
            <w:webHidden/>
          </w:rPr>
          <w:fldChar w:fldCharType="end"/>
        </w:r>
      </w:hyperlink>
    </w:p>
    <w:p w14:paraId="392834D0" w14:textId="717ABC4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6" w:history="1">
        <w:r w:rsidRPr="00022879">
          <w:rPr>
            <w:rStyle w:val="Hyperlink"/>
            <w:noProof/>
          </w:rPr>
          <w:t xml:space="preserve">Table 7.4.3 </w:t>
        </w:r>
        <w:r>
          <w:rPr>
            <w:rFonts w:asciiTheme="minorHAnsi" w:eastAsiaTheme="minorEastAsia" w:hAnsiTheme="minorHAnsi" w:cstheme="minorBidi"/>
            <w:noProof/>
            <w:kern w:val="2"/>
            <w:sz w:val="24"/>
            <w:szCs w:val="24"/>
            <w14:ligatures w14:val="standardContextual"/>
          </w:rPr>
          <w:tab/>
        </w:r>
        <w:r w:rsidRPr="00022879">
          <w:rPr>
            <w:rStyle w:val="Hyperlink"/>
            <w:noProof/>
          </w:rPr>
          <w:t>Values applied to estimate carbon dioxide emissions from open burning of rural waste</w:t>
        </w:r>
        <w:r>
          <w:rPr>
            <w:noProof/>
            <w:webHidden/>
          </w:rPr>
          <w:tab/>
        </w:r>
        <w:r>
          <w:rPr>
            <w:noProof/>
            <w:webHidden/>
          </w:rPr>
          <w:fldChar w:fldCharType="begin"/>
        </w:r>
        <w:r>
          <w:rPr>
            <w:noProof/>
            <w:webHidden/>
          </w:rPr>
          <w:instrText xml:space="preserve"> PAGEREF _Toc226669116 \h </w:instrText>
        </w:r>
        <w:r>
          <w:rPr>
            <w:noProof/>
            <w:webHidden/>
          </w:rPr>
        </w:r>
        <w:r>
          <w:rPr>
            <w:noProof/>
            <w:webHidden/>
          </w:rPr>
          <w:fldChar w:fldCharType="separate"/>
        </w:r>
        <w:r w:rsidR="00831581">
          <w:rPr>
            <w:noProof/>
            <w:webHidden/>
          </w:rPr>
          <w:t>356</w:t>
        </w:r>
        <w:r>
          <w:rPr>
            <w:noProof/>
            <w:webHidden/>
          </w:rPr>
          <w:fldChar w:fldCharType="end"/>
        </w:r>
      </w:hyperlink>
    </w:p>
    <w:p w14:paraId="567EDE16" w14:textId="7ED486A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7" w:history="1">
        <w:r w:rsidRPr="00022879">
          <w:rPr>
            <w:rStyle w:val="Hyperlink"/>
            <w:noProof/>
          </w:rPr>
          <w:t xml:space="preserve">Table 7.4.4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Parameter values applied to estimate emissions from </w:t>
        </w:r>
        <w:r w:rsidRPr="00022879">
          <w:rPr>
            <w:rStyle w:val="Hyperlink"/>
            <w:i/>
            <w:iCs/>
            <w:noProof/>
          </w:rPr>
          <w:t>Waste incineration</w:t>
        </w:r>
        <w:r>
          <w:rPr>
            <w:noProof/>
            <w:webHidden/>
          </w:rPr>
          <w:tab/>
        </w:r>
        <w:r>
          <w:rPr>
            <w:noProof/>
            <w:webHidden/>
          </w:rPr>
          <w:fldChar w:fldCharType="begin"/>
        </w:r>
        <w:r>
          <w:rPr>
            <w:noProof/>
            <w:webHidden/>
          </w:rPr>
          <w:instrText xml:space="preserve"> PAGEREF _Toc226669117 \h </w:instrText>
        </w:r>
        <w:r>
          <w:rPr>
            <w:noProof/>
            <w:webHidden/>
          </w:rPr>
        </w:r>
        <w:r>
          <w:rPr>
            <w:noProof/>
            <w:webHidden/>
          </w:rPr>
          <w:fldChar w:fldCharType="separate"/>
        </w:r>
        <w:r w:rsidR="00831581">
          <w:rPr>
            <w:noProof/>
            <w:webHidden/>
          </w:rPr>
          <w:t>356</w:t>
        </w:r>
        <w:r>
          <w:rPr>
            <w:noProof/>
            <w:webHidden/>
          </w:rPr>
          <w:fldChar w:fldCharType="end"/>
        </w:r>
      </w:hyperlink>
    </w:p>
    <w:p w14:paraId="5C1AD99E" w14:textId="7B38CEF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8" w:history="1">
        <w:r w:rsidRPr="00022879">
          <w:rPr>
            <w:rStyle w:val="Hyperlink"/>
            <w:noProof/>
          </w:rPr>
          <w:t xml:space="preserve">Table 7.4.5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Parameters used to estimate emissions from </w:t>
        </w:r>
        <w:r w:rsidRPr="00022879">
          <w:rPr>
            <w:rStyle w:val="Hyperlink"/>
            <w:i/>
            <w:iCs/>
            <w:noProof/>
          </w:rPr>
          <w:t>Open burning of waste</w:t>
        </w:r>
        <w:r>
          <w:rPr>
            <w:noProof/>
            <w:webHidden/>
          </w:rPr>
          <w:tab/>
        </w:r>
        <w:r>
          <w:rPr>
            <w:noProof/>
            <w:webHidden/>
          </w:rPr>
          <w:fldChar w:fldCharType="begin"/>
        </w:r>
        <w:r>
          <w:rPr>
            <w:noProof/>
            <w:webHidden/>
          </w:rPr>
          <w:instrText xml:space="preserve"> PAGEREF _Toc226669118 \h </w:instrText>
        </w:r>
        <w:r>
          <w:rPr>
            <w:noProof/>
            <w:webHidden/>
          </w:rPr>
        </w:r>
        <w:r>
          <w:rPr>
            <w:noProof/>
            <w:webHidden/>
          </w:rPr>
          <w:fldChar w:fldCharType="separate"/>
        </w:r>
        <w:r w:rsidR="00831581">
          <w:rPr>
            <w:noProof/>
            <w:webHidden/>
          </w:rPr>
          <w:t>357</w:t>
        </w:r>
        <w:r>
          <w:rPr>
            <w:noProof/>
            <w:webHidden/>
          </w:rPr>
          <w:fldChar w:fldCharType="end"/>
        </w:r>
      </w:hyperlink>
    </w:p>
    <w:p w14:paraId="0D1B6442" w14:textId="7154584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19" w:history="1">
        <w:r w:rsidRPr="00022879">
          <w:rPr>
            <w:rStyle w:val="Hyperlink"/>
            <w:noProof/>
          </w:rPr>
          <w:t xml:space="preserve">Table 7.4.6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w:t>
        </w:r>
        <w:r w:rsidRPr="00022879">
          <w:rPr>
            <w:rStyle w:val="Hyperlink"/>
            <w:i/>
            <w:iCs/>
            <w:noProof/>
          </w:rPr>
          <w:t>Incineration and open burning of waste</w:t>
        </w:r>
        <w:r>
          <w:rPr>
            <w:noProof/>
            <w:webHidden/>
          </w:rPr>
          <w:tab/>
        </w:r>
        <w:r>
          <w:rPr>
            <w:noProof/>
            <w:webHidden/>
          </w:rPr>
          <w:fldChar w:fldCharType="begin"/>
        </w:r>
        <w:r>
          <w:rPr>
            <w:noProof/>
            <w:webHidden/>
          </w:rPr>
          <w:instrText xml:space="preserve"> PAGEREF _Toc226669119 \h </w:instrText>
        </w:r>
        <w:r>
          <w:rPr>
            <w:noProof/>
            <w:webHidden/>
          </w:rPr>
        </w:r>
        <w:r>
          <w:rPr>
            <w:noProof/>
            <w:webHidden/>
          </w:rPr>
          <w:fldChar w:fldCharType="separate"/>
        </w:r>
        <w:r w:rsidR="00831581">
          <w:rPr>
            <w:noProof/>
            <w:webHidden/>
          </w:rPr>
          <w:t>358</w:t>
        </w:r>
        <w:r>
          <w:rPr>
            <w:noProof/>
            <w:webHidden/>
          </w:rPr>
          <w:fldChar w:fldCharType="end"/>
        </w:r>
      </w:hyperlink>
    </w:p>
    <w:p w14:paraId="6EE1F3FE" w14:textId="0425B69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0" w:history="1">
        <w:r w:rsidRPr="00022879">
          <w:rPr>
            <w:rStyle w:val="Hyperlink"/>
            <w:noProof/>
          </w:rPr>
          <w:t xml:space="preserve">Table 7.5.1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Emissions from </w:t>
        </w:r>
        <w:r w:rsidRPr="00022879">
          <w:rPr>
            <w:rStyle w:val="Hyperlink"/>
            <w:i/>
            <w:iCs/>
            <w:noProof/>
          </w:rPr>
          <w:t>Wastewater treatment and discharge</w:t>
        </w:r>
        <w:r w:rsidRPr="00022879">
          <w:rPr>
            <w:rStyle w:val="Hyperlink"/>
            <w:noProof/>
          </w:rPr>
          <w:t xml:space="preserve"> (5.D)</w:t>
        </w:r>
        <w:r>
          <w:rPr>
            <w:noProof/>
            <w:webHidden/>
          </w:rPr>
          <w:tab/>
        </w:r>
        <w:r>
          <w:rPr>
            <w:noProof/>
            <w:webHidden/>
          </w:rPr>
          <w:fldChar w:fldCharType="begin"/>
        </w:r>
        <w:r>
          <w:rPr>
            <w:noProof/>
            <w:webHidden/>
          </w:rPr>
          <w:instrText xml:space="preserve"> PAGEREF _Toc226669120 \h </w:instrText>
        </w:r>
        <w:r>
          <w:rPr>
            <w:noProof/>
            <w:webHidden/>
          </w:rPr>
        </w:r>
        <w:r>
          <w:rPr>
            <w:noProof/>
            <w:webHidden/>
          </w:rPr>
          <w:fldChar w:fldCharType="separate"/>
        </w:r>
        <w:r w:rsidR="00831581">
          <w:rPr>
            <w:noProof/>
            <w:webHidden/>
          </w:rPr>
          <w:t>359</w:t>
        </w:r>
        <w:r>
          <w:rPr>
            <w:noProof/>
            <w:webHidden/>
          </w:rPr>
          <w:fldChar w:fldCharType="end"/>
        </w:r>
      </w:hyperlink>
    </w:p>
    <w:p w14:paraId="6D5A4411" w14:textId="7E73C32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1" w:history="1">
        <w:r w:rsidRPr="00022879">
          <w:rPr>
            <w:rStyle w:val="Hyperlink"/>
            <w:noProof/>
          </w:rPr>
          <w:t xml:space="preserve">Table 7.5.2 </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Activity data and key factors for </w:t>
        </w:r>
        <w:r w:rsidRPr="00022879">
          <w:rPr>
            <w:rStyle w:val="Hyperlink"/>
            <w:i/>
            <w:iCs/>
            <w:noProof/>
          </w:rPr>
          <w:t>Domestic wastewater</w:t>
        </w:r>
        <w:r w:rsidRPr="00022879">
          <w:rPr>
            <w:rStyle w:val="Hyperlink"/>
            <w:noProof/>
          </w:rPr>
          <w:t xml:space="preserve"> from 1990 to 2024</w:t>
        </w:r>
        <w:r>
          <w:rPr>
            <w:noProof/>
            <w:webHidden/>
          </w:rPr>
          <w:tab/>
        </w:r>
        <w:r>
          <w:rPr>
            <w:noProof/>
            <w:webHidden/>
          </w:rPr>
          <w:fldChar w:fldCharType="begin"/>
        </w:r>
        <w:r>
          <w:rPr>
            <w:noProof/>
            <w:webHidden/>
          </w:rPr>
          <w:instrText xml:space="preserve"> PAGEREF _Toc226669121 \h </w:instrText>
        </w:r>
        <w:r>
          <w:rPr>
            <w:noProof/>
            <w:webHidden/>
          </w:rPr>
        </w:r>
        <w:r>
          <w:rPr>
            <w:noProof/>
            <w:webHidden/>
          </w:rPr>
          <w:fldChar w:fldCharType="separate"/>
        </w:r>
        <w:r w:rsidR="00831581">
          <w:rPr>
            <w:noProof/>
            <w:webHidden/>
          </w:rPr>
          <w:t>362</w:t>
        </w:r>
        <w:r>
          <w:rPr>
            <w:noProof/>
            <w:webHidden/>
          </w:rPr>
          <w:fldChar w:fldCharType="end"/>
        </w:r>
      </w:hyperlink>
    </w:p>
    <w:p w14:paraId="3AF2367D" w14:textId="05837B14"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2" w:history="1">
        <w:r w:rsidRPr="00022879">
          <w:rPr>
            <w:rStyle w:val="Hyperlink"/>
            <w:noProof/>
          </w:rPr>
          <w:t xml:space="preserve">Table 7.5.3 </w:t>
        </w:r>
        <w:r>
          <w:rPr>
            <w:rFonts w:asciiTheme="minorHAnsi" w:eastAsiaTheme="minorEastAsia" w:hAnsiTheme="minorHAnsi" w:cstheme="minorBidi"/>
            <w:noProof/>
            <w:kern w:val="2"/>
            <w:sz w:val="24"/>
            <w:szCs w:val="24"/>
            <w14:ligatures w14:val="standardContextual"/>
          </w:rPr>
          <w:tab/>
        </w:r>
        <w:r w:rsidRPr="00022879">
          <w:rPr>
            <w:rStyle w:val="Hyperlink"/>
            <w:noProof/>
          </w:rPr>
          <w:t>Total organic product producing methane from industrial wastewater, from 1990 to 2024</w:t>
        </w:r>
        <w:r>
          <w:rPr>
            <w:noProof/>
            <w:webHidden/>
          </w:rPr>
          <w:tab/>
        </w:r>
        <w:r>
          <w:rPr>
            <w:noProof/>
            <w:webHidden/>
          </w:rPr>
          <w:fldChar w:fldCharType="begin"/>
        </w:r>
        <w:r>
          <w:rPr>
            <w:noProof/>
            <w:webHidden/>
          </w:rPr>
          <w:instrText xml:space="preserve"> PAGEREF _Toc226669122 \h </w:instrText>
        </w:r>
        <w:r>
          <w:rPr>
            <w:noProof/>
            <w:webHidden/>
          </w:rPr>
        </w:r>
        <w:r>
          <w:rPr>
            <w:noProof/>
            <w:webHidden/>
          </w:rPr>
          <w:fldChar w:fldCharType="separate"/>
        </w:r>
        <w:r w:rsidR="00831581">
          <w:rPr>
            <w:noProof/>
            <w:webHidden/>
          </w:rPr>
          <w:t>363</w:t>
        </w:r>
        <w:r>
          <w:rPr>
            <w:noProof/>
            <w:webHidden/>
          </w:rPr>
          <w:fldChar w:fldCharType="end"/>
        </w:r>
      </w:hyperlink>
    </w:p>
    <w:p w14:paraId="79212C0E" w14:textId="6CFAC2B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3" w:history="1">
        <w:r w:rsidRPr="00022879">
          <w:rPr>
            <w:rStyle w:val="Hyperlink"/>
            <w:noProof/>
          </w:rPr>
          <w:t xml:space="preserve">Table 7.5.4 </w:t>
        </w:r>
        <w:r>
          <w:rPr>
            <w:rFonts w:asciiTheme="minorHAnsi" w:eastAsiaTheme="minorEastAsia" w:hAnsiTheme="minorHAnsi" w:cstheme="minorBidi"/>
            <w:noProof/>
            <w:kern w:val="2"/>
            <w:sz w:val="24"/>
            <w:szCs w:val="24"/>
            <w14:ligatures w14:val="standardContextual"/>
          </w:rPr>
          <w:tab/>
        </w:r>
        <w:r w:rsidRPr="00022879">
          <w:rPr>
            <w:rStyle w:val="Hyperlink"/>
            <w:noProof/>
          </w:rPr>
          <w:t>Nitrogen (N) in effluent from industrial wastewater, from 1990 to 2024</w:t>
        </w:r>
        <w:r>
          <w:rPr>
            <w:noProof/>
            <w:webHidden/>
          </w:rPr>
          <w:tab/>
        </w:r>
        <w:r>
          <w:rPr>
            <w:noProof/>
            <w:webHidden/>
          </w:rPr>
          <w:fldChar w:fldCharType="begin"/>
        </w:r>
        <w:r>
          <w:rPr>
            <w:noProof/>
            <w:webHidden/>
          </w:rPr>
          <w:instrText xml:space="preserve"> PAGEREF _Toc226669123 \h </w:instrText>
        </w:r>
        <w:r>
          <w:rPr>
            <w:noProof/>
            <w:webHidden/>
          </w:rPr>
        </w:r>
        <w:r>
          <w:rPr>
            <w:noProof/>
            <w:webHidden/>
          </w:rPr>
          <w:fldChar w:fldCharType="separate"/>
        </w:r>
        <w:r w:rsidR="00831581">
          <w:rPr>
            <w:noProof/>
            <w:webHidden/>
          </w:rPr>
          <w:t>364</w:t>
        </w:r>
        <w:r>
          <w:rPr>
            <w:noProof/>
            <w:webHidden/>
          </w:rPr>
          <w:fldChar w:fldCharType="end"/>
        </w:r>
      </w:hyperlink>
    </w:p>
    <w:p w14:paraId="08A3FC57" w14:textId="714119E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4" w:history="1">
        <w:r w:rsidRPr="00022879">
          <w:rPr>
            <w:rStyle w:val="Hyperlink"/>
            <w:noProof/>
          </w:rPr>
          <w:t xml:space="preserve">Table 7.5.5 </w:t>
        </w:r>
        <w:r>
          <w:rPr>
            <w:rFonts w:asciiTheme="minorHAnsi" w:eastAsiaTheme="minorEastAsia" w:hAnsiTheme="minorHAnsi" w:cstheme="minorBidi"/>
            <w:noProof/>
            <w:kern w:val="2"/>
            <w:sz w:val="24"/>
            <w:szCs w:val="24"/>
            <w14:ligatures w14:val="standardContextual"/>
          </w:rPr>
          <w:tab/>
        </w:r>
        <w:r w:rsidRPr="00022879">
          <w:rPr>
            <w:rStyle w:val="Hyperlink"/>
            <w:noProof/>
          </w:rPr>
          <w:t>Methods used for calculating emissions from wastewater treatment</w:t>
        </w:r>
        <w:r>
          <w:rPr>
            <w:noProof/>
            <w:webHidden/>
          </w:rPr>
          <w:tab/>
        </w:r>
        <w:r>
          <w:rPr>
            <w:noProof/>
            <w:webHidden/>
          </w:rPr>
          <w:fldChar w:fldCharType="begin"/>
        </w:r>
        <w:r>
          <w:rPr>
            <w:noProof/>
            <w:webHidden/>
          </w:rPr>
          <w:instrText xml:space="preserve"> PAGEREF _Toc226669124 \h </w:instrText>
        </w:r>
        <w:r>
          <w:rPr>
            <w:noProof/>
            <w:webHidden/>
          </w:rPr>
        </w:r>
        <w:r>
          <w:rPr>
            <w:noProof/>
            <w:webHidden/>
          </w:rPr>
          <w:fldChar w:fldCharType="separate"/>
        </w:r>
        <w:r w:rsidR="00831581">
          <w:rPr>
            <w:noProof/>
            <w:webHidden/>
          </w:rPr>
          <w:t>366</w:t>
        </w:r>
        <w:r>
          <w:rPr>
            <w:noProof/>
            <w:webHidden/>
          </w:rPr>
          <w:fldChar w:fldCharType="end"/>
        </w:r>
      </w:hyperlink>
    </w:p>
    <w:p w14:paraId="161454C6" w14:textId="56993A6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5" w:history="1">
        <w:r w:rsidRPr="00022879">
          <w:rPr>
            <w:rStyle w:val="Hyperlink"/>
            <w:noProof/>
          </w:rPr>
          <w:t xml:space="preserve">Table 7.5.6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methane emissions for domestic wastewater treatment</w:t>
        </w:r>
        <w:r>
          <w:rPr>
            <w:noProof/>
            <w:webHidden/>
          </w:rPr>
          <w:tab/>
        </w:r>
        <w:r>
          <w:rPr>
            <w:noProof/>
            <w:webHidden/>
          </w:rPr>
          <w:fldChar w:fldCharType="begin"/>
        </w:r>
        <w:r>
          <w:rPr>
            <w:noProof/>
            <w:webHidden/>
          </w:rPr>
          <w:instrText xml:space="preserve"> PAGEREF _Toc226669125 \h </w:instrText>
        </w:r>
        <w:r>
          <w:rPr>
            <w:noProof/>
            <w:webHidden/>
          </w:rPr>
        </w:r>
        <w:r>
          <w:rPr>
            <w:noProof/>
            <w:webHidden/>
          </w:rPr>
          <w:fldChar w:fldCharType="separate"/>
        </w:r>
        <w:r w:rsidR="00831581">
          <w:rPr>
            <w:noProof/>
            <w:webHidden/>
          </w:rPr>
          <w:t>367</w:t>
        </w:r>
        <w:r>
          <w:rPr>
            <w:noProof/>
            <w:webHidden/>
          </w:rPr>
          <w:fldChar w:fldCharType="end"/>
        </w:r>
      </w:hyperlink>
    </w:p>
    <w:p w14:paraId="2504E821" w14:textId="0BA1612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6" w:history="1">
        <w:r w:rsidRPr="00022879">
          <w:rPr>
            <w:rStyle w:val="Hyperlink"/>
            <w:noProof/>
          </w:rPr>
          <w:t xml:space="preserve">Table 7.5.7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nitrous oxide emissions from domestic and commercial wastewater treatment</w:t>
        </w:r>
        <w:r>
          <w:rPr>
            <w:noProof/>
            <w:webHidden/>
          </w:rPr>
          <w:tab/>
        </w:r>
        <w:r>
          <w:rPr>
            <w:noProof/>
            <w:webHidden/>
          </w:rPr>
          <w:fldChar w:fldCharType="begin"/>
        </w:r>
        <w:r>
          <w:rPr>
            <w:noProof/>
            <w:webHidden/>
          </w:rPr>
          <w:instrText xml:space="preserve"> PAGEREF _Toc226669126 \h </w:instrText>
        </w:r>
        <w:r>
          <w:rPr>
            <w:noProof/>
            <w:webHidden/>
          </w:rPr>
        </w:r>
        <w:r>
          <w:rPr>
            <w:noProof/>
            <w:webHidden/>
          </w:rPr>
          <w:fldChar w:fldCharType="separate"/>
        </w:r>
        <w:r w:rsidR="00831581">
          <w:rPr>
            <w:noProof/>
            <w:webHidden/>
          </w:rPr>
          <w:t>369</w:t>
        </w:r>
        <w:r>
          <w:rPr>
            <w:noProof/>
            <w:webHidden/>
          </w:rPr>
          <w:fldChar w:fldCharType="end"/>
        </w:r>
      </w:hyperlink>
    </w:p>
    <w:p w14:paraId="4849F64E" w14:textId="62D7095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7" w:history="1">
        <w:r w:rsidRPr="00022879">
          <w:rPr>
            <w:rStyle w:val="Hyperlink"/>
            <w:noProof/>
          </w:rPr>
          <w:t xml:space="preserve">Table 7.5.8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methane emissions from wastewater treatment by the meat industry</w:t>
        </w:r>
        <w:r>
          <w:rPr>
            <w:noProof/>
            <w:webHidden/>
          </w:rPr>
          <w:tab/>
        </w:r>
        <w:r>
          <w:rPr>
            <w:noProof/>
            <w:webHidden/>
          </w:rPr>
          <w:fldChar w:fldCharType="begin"/>
        </w:r>
        <w:r>
          <w:rPr>
            <w:noProof/>
            <w:webHidden/>
          </w:rPr>
          <w:instrText xml:space="preserve"> PAGEREF _Toc226669127 \h </w:instrText>
        </w:r>
        <w:r>
          <w:rPr>
            <w:noProof/>
            <w:webHidden/>
          </w:rPr>
        </w:r>
        <w:r>
          <w:rPr>
            <w:noProof/>
            <w:webHidden/>
          </w:rPr>
          <w:fldChar w:fldCharType="separate"/>
        </w:r>
        <w:r w:rsidR="00831581">
          <w:rPr>
            <w:noProof/>
            <w:webHidden/>
          </w:rPr>
          <w:t>369</w:t>
        </w:r>
        <w:r>
          <w:rPr>
            <w:noProof/>
            <w:webHidden/>
          </w:rPr>
          <w:fldChar w:fldCharType="end"/>
        </w:r>
      </w:hyperlink>
    </w:p>
    <w:p w14:paraId="587AF0A4" w14:textId="0213F796"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8" w:history="1">
        <w:r w:rsidRPr="00022879">
          <w:rPr>
            <w:rStyle w:val="Hyperlink"/>
            <w:noProof/>
          </w:rPr>
          <w:t xml:space="preserve">Table 7.5.9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methane emissions for wastewater treatment by the pulp and paper industry</w:t>
        </w:r>
        <w:r>
          <w:rPr>
            <w:noProof/>
            <w:webHidden/>
          </w:rPr>
          <w:tab/>
        </w:r>
        <w:r>
          <w:rPr>
            <w:noProof/>
            <w:webHidden/>
          </w:rPr>
          <w:fldChar w:fldCharType="begin"/>
        </w:r>
        <w:r>
          <w:rPr>
            <w:noProof/>
            <w:webHidden/>
          </w:rPr>
          <w:instrText xml:space="preserve"> PAGEREF _Toc226669128 \h </w:instrText>
        </w:r>
        <w:r>
          <w:rPr>
            <w:noProof/>
            <w:webHidden/>
          </w:rPr>
        </w:r>
        <w:r>
          <w:rPr>
            <w:noProof/>
            <w:webHidden/>
          </w:rPr>
          <w:fldChar w:fldCharType="separate"/>
        </w:r>
        <w:r w:rsidR="00831581">
          <w:rPr>
            <w:noProof/>
            <w:webHidden/>
          </w:rPr>
          <w:t>370</w:t>
        </w:r>
        <w:r>
          <w:rPr>
            <w:noProof/>
            <w:webHidden/>
          </w:rPr>
          <w:fldChar w:fldCharType="end"/>
        </w:r>
      </w:hyperlink>
    </w:p>
    <w:p w14:paraId="7F6EA967" w14:textId="54D5249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29" w:history="1">
        <w:r w:rsidRPr="00022879">
          <w:rPr>
            <w:rStyle w:val="Hyperlink"/>
            <w:noProof/>
          </w:rPr>
          <w:t xml:space="preserve">Table 7.5.10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methane emissions for wastewater treatment by the wine industry</w:t>
        </w:r>
        <w:r>
          <w:rPr>
            <w:noProof/>
            <w:webHidden/>
          </w:rPr>
          <w:tab/>
        </w:r>
        <w:r>
          <w:rPr>
            <w:noProof/>
            <w:webHidden/>
          </w:rPr>
          <w:fldChar w:fldCharType="begin"/>
        </w:r>
        <w:r>
          <w:rPr>
            <w:noProof/>
            <w:webHidden/>
          </w:rPr>
          <w:instrText xml:space="preserve"> PAGEREF _Toc226669129 \h </w:instrText>
        </w:r>
        <w:r>
          <w:rPr>
            <w:noProof/>
            <w:webHidden/>
          </w:rPr>
        </w:r>
        <w:r>
          <w:rPr>
            <w:noProof/>
            <w:webHidden/>
          </w:rPr>
          <w:fldChar w:fldCharType="separate"/>
        </w:r>
        <w:r w:rsidR="00831581">
          <w:rPr>
            <w:noProof/>
            <w:webHidden/>
          </w:rPr>
          <w:t>370</w:t>
        </w:r>
        <w:r>
          <w:rPr>
            <w:noProof/>
            <w:webHidden/>
          </w:rPr>
          <w:fldChar w:fldCharType="end"/>
        </w:r>
      </w:hyperlink>
    </w:p>
    <w:p w14:paraId="5365CEDA" w14:textId="35976D3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0" w:history="1">
        <w:r w:rsidRPr="00022879">
          <w:rPr>
            <w:rStyle w:val="Hyperlink"/>
            <w:noProof/>
          </w:rPr>
          <w:t xml:space="preserve">Table 7.5.11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methane emissions for wastewater treatment by the wool scouring industry</w:t>
        </w:r>
        <w:r>
          <w:rPr>
            <w:noProof/>
            <w:webHidden/>
          </w:rPr>
          <w:tab/>
        </w:r>
        <w:r>
          <w:rPr>
            <w:noProof/>
            <w:webHidden/>
          </w:rPr>
          <w:fldChar w:fldCharType="begin"/>
        </w:r>
        <w:r>
          <w:rPr>
            <w:noProof/>
            <w:webHidden/>
          </w:rPr>
          <w:instrText xml:space="preserve"> PAGEREF _Toc226669130 \h </w:instrText>
        </w:r>
        <w:r>
          <w:rPr>
            <w:noProof/>
            <w:webHidden/>
          </w:rPr>
        </w:r>
        <w:r>
          <w:rPr>
            <w:noProof/>
            <w:webHidden/>
          </w:rPr>
          <w:fldChar w:fldCharType="separate"/>
        </w:r>
        <w:r w:rsidR="00831581">
          <w:rPr>
            <w:noProof/>
            <w:webHidden/>
          </w:rPr>
          <w:t>370</w:t>
        </w:r>
        <w:r>
          <w:rPr>
            <w:noProof/>
            <w:webHidden/>
          </w:rPr>
          <w:fldChar w:fldCharType="end"/>
        </w:r>
      </w:hyperlink>
    </w:p>
    <w:p w14:paraId="03BD538C" w14:textId="67F08E9C"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1" w:history="1">
        <w:r w:rsidRPr="00022879">
          <w:rPr>
            <w:rStyle w:val="Hyperlink"/>
            <w:noProof/>
          </w:rPr>
          <w:t xml:space="preserve">Table 7.5.12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methane emissions for wastewater treatment by the leather and skins industry</w:t>
        </w:r>
        <w:r>
          <w:rPr>
            <w:noProof/>
            <w:webHidden/>
          </w:rPr>
          <w:tab/>
        </w:r>
        <w:r>
          <w:rPr>
            <w:noProof/>
            <w:webHidden/>
          </w:rPr>
          <w:fldChar w:fldCharType="begin"/>
        </w:r>
        <w:r>
          <w:rPr>
            <w:noProof/>
            <w:webHidden/>
          </w:rPr>
          <w:instrText xml:space="preserve"> PAGEREF _Toc226669131 \h </w:instrText>
        </w:r>
        <w:r>
          <w:rPr>
            <w:noProof/>
            <w:webHidden/>
          </w:rPr>
        </w:r>
        <w:r>
          <w:rPr>
            <w:noProof/>
            <w:webHidden/>
          </w:rPr>
          <w:fldChar w:fldCharType="separate"/>
        </w:r>
        <w:r w:rsidR="00831581">
          <w:rPr>
            <w:noProof/>
            <w:webHidden/>
          </w:rPr>
          <w:t>371</w:t>
        </w:r>
        <w:r>
          <w:rPr>
            <w:noProof/>
            <w:webHidden/>
          </w:rPr>
          <w:fldChar w:fldCharType="end"/>
        </w:r>
      </w:hyperlink>
    </w:p>
    <w:p w14:paraId="113AC6E1" w14:textId="020D7B9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2" w:history="1">
        <w:r w:rsidRPr="00022879">
          <w:rPr>
            <w:rStyle w:val="Hyperlink"/>
            <w:noProof/>
          </w:rPr>
          <w:t xml:space="preserve">Table 7.5.13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nitrous oxide emissions for wastewater treatment for the meat industry</w:t>
        </w:r>
        <w:r>
          <w:rPr>
            <w:noProof/>
            <w:webHidden/>
          </w:rPr>
          <w:tab/>
        </w:r>
        <w:r>
          <w:rPr>
            <w:noProof/>
            <w:webHidden/>
          </w:rPr>
          <w:fldChar w:fldCharType="begin"/>
        </w:r>
        <w:r>
          <w:rPr>
            <w:noProof/>
            <w:webHidden/>
          </w:rPr>
          <w:instrText xml:space="preserve"> PAGEREF _Toc226669132 \h </w:instrText>
        </w:r>
        <w:r>
          <w:rPr>
            <w:noProof/>
            <w:webHidden/>
          </w:rPr>
        </w:r>
        <w:r>
          <w:rPr>
            <w:noProof/>
            <w:webHidden/>
          </w:rPr>
          <w:fldChar w:fldCharType="separate"/>
        </w:r>
        <w:r w:rsidR="00831581">
          <w:rPr>
            <w:noProof/>
            <w:webHidden/>
          </w:rPr>
          <w:t>371</w:t>
        </w:r>
        <w:r>
          <w:rPr>
            <w:noProof/>
            <w:webHidden/>
          </w:rPr>
          <w:fldChar w:fldCharType="end"/>
        </w:r>
      </w:hyperlink>
    </w:p>
    <w:p w14:paraId="16EC4EE0" w14:textId="629BD46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3" w:history="1">
        <w:r w:rsidRPr="00022879">
          <w:rPr>
            <w:rStyle w:val="Hyperlink"/>
            <w:noProof/>
          </w:rPr>
          <w:t xml:space="preserve">Table 7.5.14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nitrous oxide emissions for wastewater treatment for the dairy processing industry</w:t>
        </w:r>
        <w:r>
          <w:rPr>
            <w:noProof/>
            <w:webHidden/>
          </w:rPr>
          <w:tab/>
        </w:r>
        <w:r>
          <w:rPr>
            <w:noProof/>
            <w:webHidden/>
          </w:rPr>
          <w:fldChar w:fldCharType="begin"/>
        </w:r>
        <w:r>
          <w:rPr>
            <w:noProof/>
            <w:webHidden/>
          </w:rPr>
          <w:instrText xml:space="preserve"> PAGEREF _Toc226669133 \h </w:instrText>
        </w:r>
        <w:r>
          <w:rPr>
            <w:noProof/>
            <w:webHidden/>
          </w:rPr>
        </w:r>
        <w:r>
          <w:rPr>
            <w:noProof/>
            <w:webHidden/>
          </w:rPr>
          <w:fldChar w:fldCharType="separate"/>
        </w:r>
        <w:r w:rsidR="00831581">
          <w:rPr>
            <w:noProof/>
            <w:webHidden/>
          </w:rPr>
          <w:t>372</w:t>
        </w:r>
        <w:r>
          <w:rPr>
            <w:noProof/>
            <w:webHidden/>
          </w:rPr>
          <w:fldChar w:fldCharType="end"/>
        </w:r>
      </w:hyperlink>
    </w:p>
    <w:p w14:paraId="029AB681" w14:textId="56DAE6D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4" w:history="1">
        <w:r w:rsidRPr="00022879">
          <w:rPr>
            <w:rStyle w:val="Hyperlink"/>
            <w:noProof/>
          </w:rPr>
          <w:t xml:space="preserve">Table 7.5.15 </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by New Zealand for estimating nitrous oxide emissions for wastewater treatment for the leather and skins industry</w:t>
        </w:r>
        <w:r>
          <w:rPr>
            <w:noProof/>
            <w:webHidden/>
          </w:rPr>
          <w:tab/>
        </w:r>
        <w:r>
          <w:rPr>
            <w:noProof/>
            <w:webHidden/>
          </w:rPr>
          <w:fldChar w:fldCharType="begin"/>
        </w:r>
        <w:r>
          <w:rPr>
            <w:noProof/>
            <w:webHidden/>
          </w:rPr>
          <w:instrText xml:space="preserve"> PAGEREF _Toc226669134 \h </w:instrText>
        </w:r>
        <w:r>
          <w:rPr>
            <w:noProof/>
            <w:webHidden/>
          </w:rPr>
        </w:r>
        <w:r>
          <w:rPr>
            <w:noProof/>
            <w:webHidden/>
          </w:rPr>
          <w:fldChar w:fldCharType="separate"/>
        </w:r>
        <w:r w:rsidR="00831581">
          <w:rPr>
            <w:noProof/>
            <w:webHidden/>
          </w:rPr>
          <w:t>372</w:t>
        </w:r>
        <w:r>
          <w:rPr>
            <w:noProof/>
            <w:webHidden/>
          </w:rPr>
          <w:fldChar w:fldCharType="end"/>
        </w:r>
      </w:hyperlink>
    </w:p>
    <w:p w14:paraId="04581F26" w14:textId="2AE142CC"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5" w:history="1">
        <w:r w:rsidRPr="00022879">
          <w:rPr>
            <w:rStyle w:val="Hyperlink"/>
            <w:noProof/>
          </w:rPr>
          <w:t xml:space="preserve">Table 7.5.16 </w:t>
        </w:r>
        <w:r>
          <w:rPr>
            <w:rFonts w:asciiTheme="minorHAnsi" w:eastAsiaTheme="minorEastAsia" w:hAnsiTheme="minorHAnsi" w:cstheme="minorBidi"/>
            <w:noProof/>
            <w:kern w:val="2"/>
            <w:sz w:val="24"/>
            <w:szCs w:val="24"/>
            <w14:ligatures w14:val="standardContextual"/>
          </w:rPr>
          <w:tab/>
        </w:r>
        <w:r w:rsidRPr="00022879">
          <w:rPr>
            <w:rStyle w:val="Hyperlink"/>
            <w:noProof/>
          </w:rPr>
          <w:t>Uncertainty in emissions from wastewater</w:t>
        </w:r>
        <w:r>
          <w:rPr>
            <w:noProof/>
            <w:webHidden/>
          </w:rPr>
          <w:tab/>
        </w:r>
        <w:r>
          <w:rPr>
            <w:noProof/>
            <w:webHidden/>
          </w:rPr>
          <w:fldChar w:fldCharType="begin"/>
        </w:r>
        <w:r>
          <w:rPr>
            <w:noProof/>
            <w:webHidden/>
          </w:rPr>
          <w:instrText xml:space="preserve"> PAGEREF _Toc226669135 \h </w:instrText>
        </w:r>
        <w:r>
          <w:rPr>
            <w:noProof/>
            <w:webHidden/>
          </w:rPr>
        </w:r>
        <w:r>
          <w:rPr>
            <w:noProof/>
            <w:webHidden/>
          </w:rPr>
          <w:fldChar w:fldCharType="separate"/>
        </w:r>
        <w:r w:rsidR="00831581">
          <w:rPr>
            <w:noProof/>
            <w:webHidden/>
          </w:rPr>
          <w:t>372</w:t>
        </w:r>
        <w:r>
          <w:rPr>
            <w:noProof/>
            <w:webHidden/>
          </w:rPr>
          <w:fldChar w:fldCharType="end"/>
        </w:r>
      </w:hyperlink>
    </w:p>
    <w:p w14:paraId="43AFB5B2" w14:textId="1E1A5EDF"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6" w:history="1">
        <w:r w:rsidRPr="00022879">
          <w:rPr>
            <w:rStyle w:val="Hyperlink"/>
            <w:noProof/>
          </w:rPr>
          <w:t>Table 8.1.1</w:t>
        </w:r>
        <w:r>
          <w:rPr>
            <w:rFonts w:asciiTheme="minorHAnsi" w:eastAsiaTheme="minorEastAsia" w:hAnsiTheme="minorHAnsi" w:cstheme="minorBidi"/>
            <w:noProof/>
            <w:kern w:val="2"/>
            <w:sz w:val="24"/>
            <w:szCs w:val="24"/>
            <w14:ligatures w14:val="standardContextual"/>
          </w:rPr>
          <w:tab/>
        </w:r>
        <w:r w:rsidRPr="00022879">
          <w:rPr>
            <w:rStyle w:val="Hyperlink"/>
            <w:noProof/>
          </w:rPr>
          <w:t>Key sources for activity data in Tokelau</w:t>
        </w:r>
        <w:r>
          <w:rPr>
            <w:noProof/>
            <w:webHidden/>
          </w:rPr>
          <w:tab/>
        </w:r>
        <w:r>
          <w:rPr>
            <w:noProof/>
            <w:webHidden/>
          </w:rPr>
          <w:fldChar w:fldCharType="begin"/>
        </w:r>
        <w:r>
          <w:rPr>
            <w:noProof/>
            <w:webHidden/>
          </w:rPr>
          <w:instrText xml:space="preserve"> PAGEREF _Toc226669136 \h </w:instrText>
        </w:r>
        <w:r>
          <w:rPr>
            <w:noProof/>
            <w:webHidden/>
          </w:rPr>
        </w:r>
        <w:r>
          <w:rPr>
            <w:noProof/>
            <w:webHidden/>
          </w:rPr>
          <w:fldChar w:fldCharType="separate"/>
        </w:r>
        <w:r w:rsidR="00831581">
          <w:rPr>
            <w:noProof/>
            <w:webHidden/>
          </w:rPr>
          <w:t>380</w:t>
        </w:r>
        <w:r>
          <w:rPr>
            <w:noProof/>
            <w:webHidden/>
          </w:rPr>
          <w:fldChar w:fldCharType="end"/>
        </w:r>
      </w:hyperlink>
    </w:p>
    <w:p w14:paraId="46DA43AC" w14:textId="1209231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7" w:history="1">
        <w:r w:rsidRPr="00022879">
          <w:rPr>
            <w:rStyle w:val="Hyperlink"/>
            <w:noProof/>
          </w:rPr>
          <w:t>Table 8.1.2</w:t>
        </w:r>
        <w:r>
          <w:rPr>
            <w:rFonts w:asciiTheme="minorHAnsi" w:eastAsiaTheme="minorEastAsia" w:hAnsiTheme="minorHAnsi" w:cstheme="minorBidi"/>
            <w:noProof/>
            <w:kern w:val="2"/>
            <w:sz w:val="24"/>
            <w:szCs w:val="24"/>
            <w14:ligatures w14:val="standardContextual"/>
          </w:rPr>
          <w:tab/>
        </w:r>
        <w:r w:rsidRPr="00022879">
          <w:rPr>
            <w:rStyle w:val="Hyperlink"/>
            <w:noProof/>
          </w:rPr>
          <w:t>Common reporting table category names and the equivalent descriptions for activities in Tokelau</w:t>
        </w:r>
        <w:r>
          <w:rPr>
            <w:noProof/>
            <w:webHidden/>
          </w:rPr>
          <w:tab/>
        </w:r>
        <w:r>
          <w:rPr>
            <w:noProof/>
            <w:webHidden/>
          </w:rPr>
          <w:fldChar w:fldCharType="begin"/>
        </w:r>
        <w:r>
          <w:rPr>
            <w:noProof/>
            <w:webHidden/>
          </w:rPr>
          <w:instrText xml:space="preserve"> PAGEREF _Toc226669137 \h </w:instrText>
        </w:r>
        <w:r>
          <w:rPr>
            <w:noProof/>
            <w:webHidden/>
          </w:rPr>
        </w:r>
        <w:r>
          <w:rPr>
            <w:noProof/>
            <w:webHidden/>
          </w:rPr>
          <w:fldChar w:fldCharType="separate"/>
        </w:r>
        <w:r w:rsidR="00831581">
          <w:rPr>
            <w:noProof/>
            <w:webHidden/>
          </w:rPr>
          <w:t>381</w:t>
        </w:r>
        <w:r>
          <w:rPr>
            <w:noProof/>
            <w:webHidden/>
          </w:rPr>
          <w:fldChar w:fldCharType="end"/>
        </w:r>
      </w:hyperlink>
    </w:p>
    <w:p w14:paraId="3E62FC1F" w14:textId="4F73A8D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8" w:history="1">
        <w:r w:rsidRPr="00022879">
          <w:rPr>
            <w:rStyle w:val="Hyperlink"/>
            <w:noProof/>
          </w:rPr>
          <w:t>Table 8.1.3</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Gross emissions from Tokelau by gas in </w:t>
        </w:r>
        <w:r w:rsidRPr="00022879">
          <w:rPr>
            <w:rStyle w:val="Hyperlink"/>
            <w:bCs/>
            <w:noProof/>
          </w:rPr>
          <w:t>1990</w:t>
        </w:r>
        <w:r w:rsidRPr="00022879">
          <w:rPr>
            <w:rStyle w:val="Hyperlink"/>
            <w:noProof/>
          </w:rPr>
          <w:t xml:space="preserve">, </w:t>
        </w:r>
        <w:r w:rsidRPr="00022879">
          <w:rPr>
            <w:rStyle w:val="Hyperlink"/>
            <w:bCs/>
            <w:noProof/>
          </w:rPr>
          <w:t>2005</w:t>
        </w:r>
        <w:r w:rsidRPr="00022879">
          <w:rPr>
            <w:rStyle w:val="Hyperlink"/>
            <w:noProof/>
          </w:rPr>
          <w:t xml:space="preserve"> and </w:t>
        </w:r>
        <w:r w:rsidRPr="00022879">
          <w:rPr>
            <w:rStyle w:val="Hyperlink"/>
            <w:bCs/>
            <w:noProof/>
          </w:rPr>
          <w:t>2024</w:t>
        </w:r>
        <w:r>
          <w:rPr>
            <w:noProof/>
            <w:webHidden/>
          </w:rPr>
          <w:tab/>
        </w:r>
        <w:r>
          <w:rPr>
            <w:noProof/>
            <w:webHidden/>
          </w:rPr>
          <w:fldChar w:fldCharType="begin"/>
        </w:r>
        <w:r>
          <w:rPr>
            <w:noProof/>
            <w:webHidden/>
          </w:rPr>
          <w:instrText xml:space="preserve"> PAGEREF _Toc226669138 \h </w:instrText>
        </w:r>
        <w:r>
          <w:rPr>
            <w:noProof/>
            <w:webHidden/>
          </w:rPr>
        </w:r>
        <w:r>
          <w:rPr>
            <w:noProof/>
            <w:webHidden/>
          </w:rPr>
          <w:fldChar w:fldCharType="separate"/>
        </w:r>
        <w:r w:rsidR="00831581">
          <w:rPr>
            <w:noProof/>
            <w:webHidden/>
          </w:rPr>
          <w:t>384</w:t>
        </w:r>
        <w:r>
          <w:rPr>
            <w:noProof/>
            <w:webHidden/>
          </w:rPr>
          <w:fldChar w:fldCharType="end"/>
        </w:r>
      </w:hyperlink>
    </w:p>
    <w:p w14:paraId="766EF48B" w14:textId="31A06B6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39" w:history="1">
        <w:r w:rsidRPr="00022879">
          <w:rPr>
            <w:rStyle w:val="Hyperlink"/>
            <w:noProof/>
          </w:rPr>
          <w:t>Table 8.1.4</w:t>
        </w:r>
        <w:r>
          <w:rPr>
            <w:rFonts w:asciiTheme="minorHAnsi" w:eastAsiaTheme="minorEastAsia" w:hAnsiTheme="minorHAnsi" w:cstheme="minorBidi"/>
            <w:noProof/>
            <w:kern w:val="2"/>
            <w:sz w:val="24"/>
            <w:szCs w:val="24"/>
            <w14:ligatures w14:val="standardContextual"/>
          </w:rPr>
          <w:tab/>
        </w:r>
        <w:r w:rsidRPr="00022879">
          <w:rPr>
            <w:rStyle w:val="Hyperlink"/>
            <w:noProof/>
          </w:rPr>
          <w:t>Explanations and justifications for recalculations</w:t>
        </w:r>
        <w:r>
          <w:rPr>
            <w:noProof/>
            <w:webHidden/>
          </w:rPr>
          <w:tab/>
        </w:r>
        <w:r>
          <w:rPr>
            <w:noProof/>
            <w:webHidden/>
          </w:rPr>
          <w:fldChar w:fldCharType="begin"/>
        </w:r>
        <w:r>
          <w:rPr>
            <w:noProof/>
            <w:webHidden/>
          </w:rPr>
          <w:instrText xml:space="preserve"> PAGEREF _Toc226669139 \h </w:instrText>
        </w:r>
        <w:r>
          <w:rPr>
            <w:noProof/>
            <w:webHidden/>
          </w:rPr>
        </w:r>
        <w:r>
          <w:rPr>
            <w:noProof/>
            <w:webHidden/>
          </w:rPr>
          <w:fldChar w:fldCharType="separate"/>
        </w:r>
        <w:r w:rsidR="00831581">
          <w:rPr>
            <w:noProof/>
            <w:webHidden/>
          </w:rPr>
          <w:t>385</w:t>
        </w:r>
        <w:r>
          <w:rPr>
            <w:noProof/>
            <w:webHidden/>
          </w:rPr>
          <w:fldChar w:fldCharType="end"/>
        </w:r>
      </w:hyperlink>
    </w:p>
    <w:p w14:paraId="19A87D0C" w14:textId="06879AA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0" w:history="1">
        <w:r w:rsidRPr="00022879">
          <w:rPr>
            <w:rStyle w:val="Hyperlink"/>
            <w:noProof/>
          </w:rPr>
          <w:t>Table 8.1.5</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‘NE’ or ‘not estimated’ entries for Tokelau’s GHG inventory sources in the </w:t>
        </w:r>
        <w:r w:rsidRPr="00022879">
          <w:rPr>
            <w:rStyle w:val="Hyperlink"/>
            <w:bCs/>
            <w:noProof/>
          </w:rPr>
          <w:t>2026</w:t>
        </w:r>
        <w:r w:rsidRPr="00022879">
          <w:rPr>
            <w:rStyle w:val="Hyperlink"/>
            <w:noProof/>
          </w:rPr>
          <w:t> submission</w:t>
        </w:r>
        <w:r>
          <w:rPr>
            <w:noProof/>
            <w:webHidden/>
          </w:rPr>
          <w:tab/>
        </w:r>
        <w:r>
          <w:rPr>
            <w:noProof/>
            <w:webHidden/>
          </w:rPr>
          <w:fldChar w:fldCharType="begin"/>
        </w:r>
        <w:r>
          <w:rPr>
            <w:noProof/>
            <w:webHidden/>
          </w:rPr>
          <w:instrText xml:space="preserve"> PAGEREF _Toc226669140 \h </w:instrText>
        </w:r>
        <w:r>
          <w:rPr>
            <w:noProof/>
            <w:webHidden/>
          </w:rPr>
        </w:r>
        <w:r>
          <w:rPr>
            <w:noProof/>
            <w:webHidden/>
          </w:rPr>
          <w:fldChar w:fldCharType="separate"/>
        </w:r>
        <w:r w:rsidR="00831581">
          <w:rPr>
            <w:noProof/>
            <w:webHidden/>
          </w:rPr>
          <w:t>386</w:t>
        </w:r>
        <w:r>
          <w:rPr>
            <w:noProof/>
            <w:webHidden/>
          </w:rPr>
          <w:fldChar w:fldCharType="end"/>
        </w:r>
      </w:hyperlink>
    </w:p>
    <w:p w14:paraId="6FD1F545" w14:textId="1D3D6599"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1" w:history="1">
        <w:r w:rsidRPr="00022879">
          <w:rPr>
            <w:rStyle w:val="Hyperlink"/>
            <w:noProof/>
          </w:rPr>
          <w:t>Table 8.1.6</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Summary of ‘IE’ or ‘included elsewhere’ entries for Tokelau’s GHG inventory sources in the </w:t>
        </w:r>
        <w:r w:rsidRPr="00022879">
          <w:rPr>
            <w:rStyle w:val="Hyperlink"/>
            <w:bCs/>
            <w:noProof/>
          </w:rPr>
          <w:t>2026</w:t>
        </w:r>
        <w:r w:rsidRPr="00022879">
          <w:rPr>
            <w:rStyle w:val="Hyperlink"/>
            <w:noProof/>
          </w:rPr>
          <w:t> submission</w:t>
        </w:r>
        <w:r>
          <w:rPr>
            <w:noProof/>
            <w:webHidden/>
          </w:rPr>
          <w:tab/>
        </w:r>
        <w:r>
          <w:rPr>
            <w:noProof/>
            <w:webHidden/>
          </w:rPr>
          <w:fldChar w:fldCharType="begin"/>
        </w:r>
        <w:r>
          <w:rPr>
            <w:noProof/>
            <w:webHidden/>
          </w:rPr>
          <w:instrText xml:space="preserve"> PAGEREF _Toc226669141 \h </w:instrText>
        </w:r>
        <w:r>
          <w:rPr>
            <w:noProof/>
            <w:webHidden/>
          </w:rPr>
        </w:r>
        <w:r>
          <w:rPr>
            <w:noProof/>
            <w:webHidden/>
          </w:rPr>
          <w:fldChar w:fldCharType="separate"/>
        </w:r>
        <w:r w:rsidR="00831581">
          <w:rPr>
            <w:noProof/>
            <w:webHidden/>
          </w:rPr>
          <w:t>387</w:t>
        </w:r>
        <w:r>
          <w:rPr>
            <w:noProof/>
            <w:webHidden/>
          </w:rPr>
          <w:fldChar w:fldCharType="end"/>
        </w:r>
      </w:hyperlink>
    </w:p>
    <w:p w14:paraId="64BB55F2" w14:textId="64A61B6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2" w:history="1">
        <w:r w:rsidRPr="00022879">
          <w:rPr>
            <w:rStyle w:val="Hyperlink"/>
            <w:bCs/>
            <w:noProof/>
          </w:rPr>
          <w:t>Table 8.3.1</w:t>
        </w:r>
        <w:r>
          <w:rPr>
            <w:rFonts w:asciiTheme="minorHAnsi" w:eastAsiaTheme="minorEastAsia" w:hAnsiTheme="minorHAnsi" w:cstheme="minorBidi"/>
            <w:noProof/>
            <w:kern w:val="2"/>
            <w:sz w:val="24"/>
            <w:szCs w:val="24"/>
            <w14:ligatures w14:val="standardContextual"/>
          </w:rPr>
          <w:tab/>
        </w:r>
        <w:r w:rsidRPr="00022879">
          <w:rPr>
            <w:rStyle w:val="Hyperlink"/>
            <w:bCs/>
            <w:noProof/>
          </w:rPr>
          <w:t>Uncertainties for the</w:t>
        </w:r>
        <w:r w:rsidRPr="00022879">
          <w:rPr>
            <w:rStyle w:val="Hyperlink"/>
            <w:noProof/>
          </w:rPr>
          <w:t xml:space="preserve"> </w:t>
        </w:r>
        <w:r w:rsidRPr="00022879">
          <w:rPr>
            <w:rStyle w:val="Hyperlink"/>
            <w:i/>
            <w:iCs/>
            <w:noProof/>
          </w:rPr>
          <w:t>Energy industries – Public electricity and heat production</w:t>
        </w:r>
        <w:r w:rsidRPr="00022879">
          <w:rPr>
            <w:rStyle w:val="Hyperlink"/>
            <w:noProof/>
          </w:rPr>
          <w:t xml:space="preserve"> </w:t>
        </w:r>
        <w:r w:rsidRPr="00022879">
          <w:rPr>
            <w:rStyle w:val="Hyperlink"/>
            <w:bCs/>
            <w:noProof/>
          </w:rPr>
          <w:t>category</w:t>
        </w:r>
        <w:r>
          <w:rPr>
            <w:noProof/>
            <w:webHidden/>
          </w:rPr>
          <w:tab/>
        </w:r>
        <w:r>
          <w:rPr>
            <w:noProof/>
            <w:webHidden/>
          </w:rPr>
          <w:fldChar w:fldCharType="begin"/>
        </w:r>
        <w:r>
          <w:rPr>
            <w:noProof/>
            <w:webHidden/>
          </w:rPr>
          <w:instrText xml:space="preserve"> PAGEREF _Toc226669142 \h </w:instrText>
        </w:r>
        <w:r>
          <w:rPr>
            <w:noProof/>
            <w:webHidden/>
          </w:rPr>
        </w:r>
        <w:r>
          <w:rPr>
            <w:noProof/>
            <w:webHidden/>
          </w:rPr>
          <w:fldChar w:fldCharType="separate"/>
        </w:r>
        <w:r w:rsidR="00831581">
          <w:rPr>
            <w:noProof/>
            <w:webHidden/>
          </w:rPr>
          <w:t>391</w:t>
        </w:r>
        <w:r>
          <w:rPr>
            <w:noProof/>
            <w:webHidden/>
          </w:rPr>
          <w:fldChar w:fldCharType="end"/>
        </w:r>
      </w:hyperlink>
    </w:p>
    <w:p w14:paraId="01DD04C0" w14:textId="5339ED7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3" w:history="1">
        <w:r w:rsidRPr="00022879">
          <w:rPr>
            <w:rStyle w:val="Hyperlink"/>
            <w:noProof/>
          </w:rPr>
          <w:t>Table 8.4.1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Uncertainties for the </w:t>
        </w:r>
        <w:r w:rsidRPr="00022879">
          <w:rPr>
            <w:rStyle w:val="Hyperlink"/>
            <w:i/>
            <w:iCs/>
            <w:noProof/>
          </w:rPr>
          <w:t>Other sectors – Residential</w:t>
        </w:r>
        <w:r w:rsidRPr="00022879">
          <w:rPr>
            <w:rStyle w:val="Hyperlink"/>
            <w:noProof/>
          </w:rPr>
          <w:t xml:space="preserve"> category</w:t>
        </w:r>
        <w:r>
          <w:rPr>
            <w:noProof/>
            <w:webHidden/>
          </w:rPr>
          <w:tab/>
        </w:r>
        <w:r>
          <w:rPr>
            <w:noProof/>
            <w:webHidden/>
          </w:rPr>
          <w:fldChar w:fldCharType="begin"/>
        </w:r>
        <w:r>
          <w:rPr>
            <w:noProof/>
            <w:webHidden/>
          </w:rPr>
          <w:instrText xml:space="preserve"> PAGEREF _Toc226669143 \h </w:instrText>
        </w:r>
        <w:r>
          <w:rPr>
            <w:noProof/>
            <w:webHidden/>
          </w:rPr>
        </w:r>
        <w:r>
          <w:rPr>
            <w:noProof/>
            <w:webHidden/>
          </w:rPr>
          <w:fldChar w:fldCharType="separate"/>
        </w:r>
        <w:r w:rsidR="00831581">
          <w:rPr>
            <w:noProof/>
            <w:webHidden/>
          </w:rPr>
          <w:t>393</w:t>
        </w:r>
        <w:r>
          <w:rPr>
            <w:noProof/>
            <w:webHidden/>
          </w:rPr>
          <w:fldChar w:fldCharType="end"/>
        </w:r>
      </w:hyperlink>
    </w:p>
    <w:p w14:paraId="170BF971" w14:textId="14136B15"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4" w:history="1">
        <w:r w:rsidRPr="00022879">
          <w:rPr>
            <w:rStyle w:val="Hyperlink"/>
            <w:noProof/>
          </w:rPr>
          <w:t>Table 8.5.1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Uncertainties for the </w:t>
        </w:r>
        <w:r w:rsidRPr="00022879">
          <w:rPr>
            <w:rStyle w:val="Hyperlink"/>
            <w:i/>
            <w:iCs/>
            <w:noProof/>
          </w:rPr>
          <w:t>Domestic navigation</w:t>
        </w:r>
        <w:r w:rsidRPr="00022879">
          <w:rPr>
            <w:rStyle w:val="Hyperlink"/>
            <w:noProof/>
          </w:rPr>
          <w:t xml:space="preserve"> (diesel) category</w:t>
        </w:r>
        <w:r>
          <w:rPr>
            <w:noProof/>
            <w:webHidden/>
          </w:rPr>
          <w:tab/>
        </w:r>
        <w:r>
          <w:rPr>
            <w:noProof/>
            <w:webHidden/>
          </w:rPr>
          <w:fldChar w:fldCharType="begin"/>
        </w:r>
        <w:r>
          <w:rPr>
            <w:noProof/>
            <w:webHidden/>
          </w:rPr>
          <w:instrText xml:space="preserve"> PAGEREF _Toc226669144 \h </w:instrText>
        </w:r>
        <w:r>
          <w:rPr>
            <w:noProof/>
            <w:webHidden/>
          </w:rPr>
        </w:r>
        <w:r>
          <w:rPr>
            <w:noProof/>
            <w:webHidden/>
          </w:rPr>
          <w:fldChar w:fldCharType="separate"/>
        </w:r>
        <w:r w:rsidR="00831581">
          <w:rPr>
            <w:noProof/>
            <w:webHidden/>
          </w:rPr>
          <w:t>395</w:t>
        </w:r>
        <w:r>
          <w:rPr>
            <w:noProof/>
            <w:webHidden/>
          </w:rPr>
          <w:fldChar w:fldCharType="end"/>
        </w:r>
      </w:hyperlink>
    </w:p>
    <w:p w14:paraId="416D26AA" w14:textId="38C52FC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5" w:history="1">
        <w:r w:rsidRPr="00022879">
          <w:rPr>
            <w:rStyle w:val="Hyperlink"/>
            <w:noProof/>
          </w:rPr>
          <w:t>Table 8.7.1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Uncertainties for the </w:t>
        </w:r>
        <w:r w:rsidRPr="00022879">
          <w:rPr>
            <w:rStyle w:val="Hyperlink"/>
            <w:i/>
            <w:iCs/>
            <w:noProof/>
          </w:rPr>
          <w:t>Refrigeration and air conditioning</w:t>
        </w:r>
        <w:r w:rsidRPr="00022879">
          <w:rPr>
            <w:rStyle w:val="Hyperlink"/>
            <w:noProof/>
          </w:rPr>
          <w:t xml:space="preserve"> category</w:t>
        </w:r>
        <w:r>
          <w:rPr>
            <w:noProof/>
            <w:webHidden/>
          </w:rPr>
          <w:tab/>
        </w:r>
        <w:r>
          <w:rPr>
            <w:noProof/>
            <w:webHidden/>
          </w:rPr>
          <w:fldChar w:fldCharType="begin"/>
        </w:r>
        <w:r>
          <w:rPr>
            <w:noProof/>
            <w:webHidden/>
          </w:rPr>
          <w:instrText xml:space="preserve"> PAGEREF _Toc226669145 \h </w:instrText>
        </w:r>
        <w:r>
          <w:rPr>
            <w:noProof/>
            <w:webHidden/>
          </w:rPr>
        </w:r>
        <w:r>
          <w:rPr>
            <w:noProof/>
            <w:webHidden/>
          </w:rPr>
          <w:fldChar w:fldCharType="separate"/>
        </w:r>
        <w:r w:rsidR="00831581">
          <w:rPr>
            <w:noProof/>
            <w:webHidden/>
          </w:rPr>
          <w:t>398</w:t>
        </w:r>
        <w:r>
          <w:rPr>
            <w:noProof/>
            <w:webHidden/>
          </w:rPr>
          <w:fldChar w:fldCharType="end"/>
        </w:r>
      </w:hyperlink>
    </w:p>
    <w:p w14:paraId="13712499" w14:textId="195FB50D"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6" w:history="1">
        <w:r w:rsidRPr="00022879">
          <w:rPr>
            <w:rStyle w:val="Hyperlink"/>
            <w:noProof/>
          </w:rPr>
          <w:t>Table 8.8.1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Uncertainties for the </w:t>
        </w:r>
        <w:r w:rsidRPr="00022879">
          <w:rPr>
            <w:rStyle w:val="Hyperlink"/>
            <w:i/>
            <w:iCs/>
            <w:noProof/>
          </w:rPr>
          <w:t>Other product manufacture and use</w:t>
        </w:r>
        <w:r w:rsidRPr="00022879">
          <w:rPr>
            <w:rStyle w:val="Hyperlink"/>
            <w:noProof/>
          </w:rPr>
          <w:t xml:space="preserve"> category</w:t>
        </w:r>
        <w:r>
          <w:rPr>
            <w:noProof/>
            <w:webHidden/>
          </w:rPr>
          <w:tab/>
        </w:r>
        <w:r>
          <w:rPr>
            <w:noProof/>
            <w:webHidden/>
          </w:rPr>
          <w:fldChar w:fldCharType="begin"/>
        </w:r>
        <w:r>
          <w:rPr>
            <w:noProof/>
            <w:webHidden/>
          </w:rPr>
          <w:instrText xml:space="preserve"> PAGEREF _Toc226669146 \h </w:instrText>
        </w:r>
        <w:r>
          <w:rPr>
            <w:noProof/>
            <w:webHidden/>
          </w:rPr>
        </w:r>
        <w:r>
          <w:rPr>
            <w:noProof/>
            <w:webHidden/>
          </w:rPr>
          <w:fldChar w:fldCharType="separate"/>
        </w:r>
        <w:r w:rsidR="00831581">
          <w:rPr>
            <w:noProof/>
            <w:webHidden/>
          </w:rPr>
          <w:t>400</w:t>
        </w:r>
        <w:r>
          <w:rPr>
            <w:noProof/>
            <w:webHidden/>
          </w:rPr>
          <w:fldChar w:fldCharType="end"/>
        </w:r>
      </w:hyperlink>
    </w:p>
    <w:p w14:paraId="7695B714" w14:textId="3F3AB9E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7" w:history="1">
        <w:r w:rsidRPr="00022879">
          <w:rPr>
            <w:rStyle w:val="Hyperlink"/>
            <w:noProof/>
          </w:rPr>
          <w:t>Table 8.10.1</w:t>
        </w:r>
        <w:r>
          <w:rPr>
            <w:rFonts w:asciiTheme="minorHAnsi" w:eastAsiaTheme="minorEastAsia" w:hAnsiTheme="minorHAnsi" w:cstheme="minorBidi"/>
            <w:noProof/>
            <w:kern w:val="2"/>
            <w:sz w:val="24"/>
            <w:szCs w:val="24"/>
            <w14:ligatures w14:val="standardContextual"/>
          </w:rPr>
          <w:tab/>
        </w:r>
        <w:r w:rsidRPr="00022879">
          <w:rPr>
            <w:rStyle w:val="Hyperlink"/>
            <w:noProof/>
          </w:rPr>
          <w:t>Number of livestock in Tokelau (2016)</w:t>
        </w:r>
        <w:r>
          <w:rPr>
            <w:noProof/>
            <w:webHidden/>
          </w:rPr>
          <w:tab/>
        </w:r>
        <w:r>
          <w:rPr>
            <w:noProof/>
            <w:webHidden/>
          </w:rPr>
          <w:fldChar w:fldCharType="begin"/>
        </w:r>
        <w:r>
          <w:rPr>
            <w:noProof/>
            <w:webHidden/>
          </w:rPr>
          <w:instrText xml:space="preserve"> PAGEREF _Toc226669147 \h </w:instrText>
        </w:r>
        <w:r>
          <w:rPr>
            <w:noProof/>
            <w:webHidden/>
          </w:rPr>
        </w:r>
        <w:r>
          <w:rPr>
            <w:noProof/>
            <w:webHidden/>
          </w:rPr>
          <w:fldChar w:fldCharType="separate"/>
        </w:r>
        <w:r w:rsidR="00831581">
          <w:rPr>
            <w:noProof/>
            <w:webHidden/>
          </w:rPr>
          <w:t>402</w:t>
        </w:r>
        <w:r>
          <w:rPr>
            <w:noProof/>
            <w:webHidden/>
          </w:rPr>
          <w:fldChar w:fldCharType="end"/>
        </w:r>
      </w:hyperlink>
    </w:p>
    <w:p w14:paraId="689D6EA1" w14:textId="72EC553C"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8" w:history="1">
        <w:r w:rsidRPr="00022879">
          <w:rPr>
            <w:rStyle w:val="Hyperlink"/>
            <w:noProof/>
          </w:rPr>
          <w:t>Table 8.13.1</w:t>
        </w:r>
        <w:r>
          <w:rPr>
            <w:rFonts w:asciiTheme="minorHAnsi" w:eastAsiaTheme="minorEastAsia" w:hAnsiTheme="minorHAnsi" w:cstheme="minorBidi"/>
            <w:noProof/>
            <w:kern w:val="2"/>
            <w:sz w:val="24"/>
            <w:szCs w:val="24"/>
            <w14:ligatures w14:val="standardContextual"/>
          </w:rPr>
          <w:tab/>
        </w:r>
        <w:r w:rsidRPr="00022879">
          <w:rPr>
            <w:rStyle w:val="Hyperlink"/>
            <w:noProof/>
          </w:rPr>
          <w:t>Summary of parameters for uncategorised landfills in Tokelau</w:t>
        </w:r>
        <w:r>
          <w:rPr>
            <w:noProof/>
            <w:webHidden/>
          </w:rPr>
          <w:tab/>
        </w:r>
        <w:r>
          <w:rPr>
            <w:noProof/>
            <w:webHidden/>
          </w:rPr>
          <w:fldChar w:fldCharType="begin"/>
        </w:r>
        <w:r>
          <w:rPr>
            <w:noProof/>
            <w:webHidden/>
          </w:rPr>
          <w:instrText xml:space="preserve"> PAGEREF _Toc226669148 \h </w:instrText>
        </w:r>
        <w:r>
          <w:rPr>
            <w:noProof/>
            <w:webHidden/>
          </w:rPr>
        </w:r>
        <w:r>
          <w:rPr>
            <w:noProof/>
            <w:webHidden/>
          </w:rPr>
          <w:fldChar w:fldCharType="separate"/>
        </w:r>
        <w:r w:rsidR="00831581">
          <w:rPr>
            <w:noProof/>
            <w:webHidden/>
          </w:rPr>
          <w:t>406</w:t>
        </w:r>
        <w:r>
          <w:rPr>
            <w:noProof/>
            <w:webHidden/>
          </w:rPr>
          <w:fldChar w:fldCharType="end"/>
        </w:r>
      </w:hyperlink>
    </w:p>
    <w:p w14:paraId="7AA9F3C5" w14:textId="557B66D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49" w:history="1">
        <w:r w:rsidRPr="00022879">
          <w:rPr>
            <w:rStyle w:val="Hyperlink"/>
            <w:noProof/>
          </w:rPr>
          <w:t>Table 8.13.2</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the </w:t>
        </w:r>
        <w:r w:rsidRPr="00022879">
          <w:rPr>
            <w:rStyle w:val="Hyperlink"/>
            <w:i/>
            <w:iCs/>
            <w:noProof/>
          </w:rPr>
          <w:t>Solid waste disposal</w:t>
        </w:r>
        <w:r w:rsidRPr="00022879">
          <w:rPr>
            <w:rStyle w:val="Hyperlink"/>
            <w:noProof/>
          </w:rPr>
          <w:t xml:space="preserve"> category</w:t>
        </w:r>
        <w:r>
          <w:rPr>
            <w:noProof/>
            <w:webHidden/>
          </w:rPr>
          <w:tab/>
        </w:r>
        <w:r>
          <w:rPr>
            <w:noProof/>
            <w:webHidden/>
          </w:rPr>
          <w:fldChar w:fldCharType="begin"/>
        </w:r>
        <w:r>
          <w:rPr>
            <w:noProof/>
            <w:webHidden/>
          </w:rPr>
          <w:instrText xml:space="preserve"> PAGEREF _Toc226669149 \h </w:instrText>
        </w:r>
        <w:r>
          <w:rPr>
            <w:noProof/>
            <w:webHidden/>
          </w:rPr>
        </w:r>
        <w:r>
          <w:rPr>
            <w:noProof/>
            <w:webHidden/>
          </w:rPr>
          <w:fldChar w:fldCharType="separate"/>
        </w:r>
        <w:r w:rsidR="00831581">
          <w:rPr>
            <w:noProof/>
            <w:webHidden/>
          </w:rPr>
          <w:t>406</w:t>
        </w:r>
        <w:r>
          <w:rPr>
            <w:noProof/>
            <w:webHidden/>
          </w:rPr>
          <w:fldChar w:fldCharType="end"/>
        </w:r>
      </w:hyperlink>
    </w:p>
    <w:p w14:paraId="64F9D23D" w14:textId="0FBD03FA"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0" w:history="1">
        <w:r w:rsidRPr="00022879">
          <w:rPr>
            <w:rStyle w:val="Hyperlink"/>
            <w:noProof/>
          </w:rPr>
          <w:t>Table 8.14.1</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Composition data and carbon content used for estimating emissions from </w:t>
        </w:r>
        <w:r w:rsidRPr="00022879">
          <w:rPr>
            <w:rStyle w:val="Hyperlink"/>
            <w:i/>
            <w:iCs/>
            <w:noProof/>
          </w:rPr>
          <w:t>Open burning of waste</w:t>
        </w:r>
        <w:r>
          <w:rPr>
            <w:noProof/>
            <w:webHidden/>
          </w:rPr>
          <w:tab/>
        </w:r>
        <w:r>
          <w:rPr>
            <w:noProof/>
            <w:webHidden/>
          </w:rPr>
          <w:fldChar w:fldCharType="begin"/>
        </w:r>
        <w:r>
          <w:rPr>
            <w:noProof/>
            <w:webHidden/>
          </w:rPr>
          <w:instrText xml:space="preserve"> PAGEREF _Toc226669150 \h </w:instrText>
        </w:r>
        <w:r>
          <w:rPr>
            <w:noProof/>
            <w:webHidden/>
          </w:rPr>
        </w:r>
        <w:r>
          <w:rPr>
            <w:noProof/>
            <w:webHidden/>
          </w:rPr>
          <w:fldChar w:fldCharType="separate"/>
        </w:r>
        <w:r w:rsidR="00831581">
          <w:rPr>
            <w:noProof/>
            <w:webHidden/>
          </w:rPr>
          <w:t>408</w:t>
        </w:r>
        <w:r>
          <w:rPr>
            <w:noProof/>
            <w:webHidden/>
          </w:rPr>
          <w:fldChar w:fldCharType="end"/>
        </w:r>
      </w:hyperlink>
    </w:p>
    <w:p w14:paraId="5F0349CC" w14:textId="146AB86B"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1" w:history="1">
        <w:r w:rsidRPr="00022879">
          <w:rPr>
            <w:rStyle w:val="Hyperlink"/>
            <w:noProof/>
          </w:rPr>
          <w:t>Table 8.14.2</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w:t>
        </w:r>
        <w:r w:rsidRPr="00022879">
          <w:rPr>
            <w:rStyle w:val="Hyperlink"/>
            <w:i/>
            <w:iCs/>
            <w:noProof/>
          </w:rPr>
          <w:t>Open burning of waste</w:t>
        </w:r>
        <w:r w:rsidRPr="00022879">
          <w:rPr>
            <w:rStyle w:val="Hyperlink"/>
            <w:noProof/>
          </w:rPr>
          <w:t xml:space="preserve"> for Tokelau</w:t>
        </w:r>
        <w:r>
          <w:rPr>
            <w:noProof/>
            <w:webHidden/>
          </w:rPr>
          <w:tab/>
        </w:r>
        <w:r>
          <w:rPr>
            <w:noProof/>
            <w:webHidden/>
          </w:rPr>
          <w:fldChar w:fldCharType="begin"/>
        </w:r>
        <w:r>
          <w:rPr>
            <w:noProof/>
            <w:webHidden/>
          </w:rPr>
          <w:instrText xml:space="preserve"> PAGEREF _Toc226669151 \h </w:instrText>
        </w:r>
        <w:r>
          <w:rPr>
            <w:noProof/>
            <w:webHidden/>
          </w:rPr>
        </w:r>
        <w:r>
          <w:rPr>
            <w:noProof/>
            <w:webHidden/>
          </w:rPr>
          <w:fldChar w:fldCharType="separate"/>
        </w:r>
        <w:r w:rsidR="00831581">
          <w:rPr>
            <w:noProof/>
            <w:webHidden/>
          </w:rPr>
          <w:t>408</w:t>
        </w:r>
        <w:r>
          <w:rPr>
            <w:noProof/>
            <w:webHidden/>
          </w:rPr>
          <w:fldChar w:fldCharType="end"/>
        </w:r>
      </w:hyperlink>
    </w:p>
    <w:p w14:paraId="1C32F692" w14:textId="54FA8AA3"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2" w:history="1">
        <w:r w:rsidRPr="00022879">
          <w:rPr>
            <w:rStyle w:val="Hyperlink"/>
            <w:noProof/>
          </w:rPr>
          <w:t>Table 8.15.1</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Parameters for estimating methane emissions for Tokelau wastewater treatment</w:t>
        </w:r>
        <w:r>
          <w:rPr>
            <w:noProof/>
            <w:webHidden/>
          </w:rPr>
          <w:tab/>
        </w:r>
        <w:r>
          <w:rPr>
            <w:noProof/>
            <w:webHidden/>
          </w:rPr>
          <w:fldChar w:fldCharType="begin"/>
        </w:r>
        <w:r>
          <w:rPr>
            <w:noProof/>
            <w:webHidden/>
          </w:rPr>
          <w:instrText xml:space="preserve"> PAGEREF _Toc226669152 \h </w:instrText>
        </w:r>
        <w:r>
          <w:rPr>
            <w:noProof/>
            <w:webHidden/>
          </w:rPr>
        </w:r>
        <w:r>
          <w:rPr>
            <w:noProof/>
            <w:webHidden/>
          </w:rPr>
          <w:fldChar w:fldCharType="separate"/>
        </w:r>
        <w:r w:rsidR="00831581">
          <w:rPr>
            <w:noProof/>
            <w:webHidden/>
          </w:rPr>
          <w:t>410</w:t>
        </w:r>
        <w:r>
          <w:rPr>
            <w:noProof/>
            <w:webHidden/>
          </w:rPr>
          <w:fldChar w:fldCharType="end"/>
        </w:r>
      </w:hyperlink>
    </w:p>
    <w:p w14:paraId="6A2A023F" w14:textId="284E7DA7"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3" w:history="1">
        <w:r w:rsidRPr="00022879">
          <w:rPr>
            <w:rStyle w:val="Hyperlink"/>
            <w:noProof/>
          </w:rPr>
          <w:t>Table 8.15.2</w:t>
        </w:r>
        <w:r>
          <w:rPr>
            <w:rFonts w:asciiTheme="minorHAnsi" w:eastAsiaTheme="minorEastAsia" w:hAnsiTheme="minorHAnsi" w:cstheme="minorBidi"/>
            <w:noProof/>
            <w:kern w:val="2"/>
            <w:sz w:val="24"/>
            <w:szCs w:val="24"/>
            <w14:ligatures w14:val="standardContextual"/>
          </w:rPr>
          <w:tab/>
        </w:r>
        <w:r w:rsidRPr="00022879">
          <w:rPr>
            <w:rStyle w:val="Hyperlink"/>
            <w:noProof/>
          </w:rPr>
          <w:t>Parameter values applied for estimating nitrous oxide emissions for Tokelau wastewater treatment</w:t>
        </w:r>
        <w:r>
          <w:rPr>
            <w:noProof/>
            <w:webHidden/>
          </w:rPr>
          <w:tab/>
        </w:r>
        <w:r>
          <w:rPr>
            <w:noProof/>
            <w:webHidden/>
          </w:rPr>
          <w:fldChar w:fldCharType="begin"/>
        </w:r>
        <w:r>
          <w:rPr>
            <w:noProof/>
            <w:webHidden/>
          </w:rPr>
          <w:instrText xml:space="preserve"> PAGEREF _Toc226669153 \h </w:instrText>
        </w:r>
        <w:r>
          <w:rPr>
            <w:noProof/>
            <w:webHidden/>
          </w:rPr>
        </w:r>
        <w:r>
          <w:rPr>
            <w:noProof/>
            <w:webHidden/>
          </w:rPr>
          <w:fldChar w:fldCharType="separate"/>
        </w:r>
        <w:r w:rsidR="00831581">
          <w:rPr>
            <w:noProof/>
            <w:webHidden/>
          </w:rPr>
          <w:t>410</w:t>
        </w:r>
        <w:r>
          <w:rPr>
            <w:noProof/>
            <w:webHidden/>
          </w:rPr>
          <w:fldChar w:fldCharType="end"/>
        </w:r>
      </w:hyperlink>
    </w:p>
    <w:p w14:paraId="68A52877" w14:textId="71C11542"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4" w:history="1">
        <w:r w:rsidRPr="00022879">
          <w:rPr>
            <w:rStyle w:val="Hyperlink"/>
            <w:noProof/>
          </w:rPr>
          <w:t>Table 8.15.3</w:t>
        </w:r>
        <w:r>
          <w:rPr>
            <w:rFonts w:asciiTheme="minorHAnsi" w:eastAsiaTheme="minorEastAsia" w:hAnsiTheme="minorHAnsi" w:cstheme="minorBidi"/>
            <w:noProof/>
            <w:kern w:val="2"/>
            <w:sz w:val="24"/>
            <w:szCs w:val="24"/>
            <w14:ligatures w14:val="standardContextual"/>
          </w:rPr>
          <w:tab/>
        </w:r>
        <w:r w:rsidRPr="00022879">
          <w:rPr>
            <w:rStyle w:val="Hyperlink"/>
            <w:noProof/>
          </w:rPr>
          <w:t xml:space="preserve">Uncertainty in emissions from </w:t>
        </w:r>
        <w:r w:rsidRPr="00022879">
          <w:rPr>
            <w:rStyle w:val="Hyperlink"/>
            <w:i/>
            <w:iCs/>
            <w:noProof/>
          </w:rPr>
          <w:t>Domestic wastewater</w:t>
        </w:r>
        <w:r>
          <w:rPr>
            <w:noProof/>
            <w:webHidden/>
          </w:rPr>
          <w:tab/>
        </w:r>
        <w:r>
          <w:rPr>
            <w:noProof/>
            <w:webHidden/>
          </w:rPr>
          <w:fldChar w:fldCharType="begin"/>
        </w:r>
        <w:r>
          <w:rPr>
            <w:noProof/>
            <w:webHidden/>
          </w:rPr>
          <w:instrText xml:space="preserve"> PAGEREF _Toc226669154 \h </w:instrText>
        </w:r>
        <w:r>
          <w:rPr>
            <w:noProof/>
            <w:webHidden/>
          </w:rPr>
        </w:r>
        <w:r>
          <w:rPr>
            <w:noProof/>
            <w:webHidden/>
          </w:rPr>
          <w:fldChar w:fldCharType="separate"/>
        </w:r>
        <w:r w:rsidR="00831581">
          <w:rPr>
            <w:noProof/>
            <w:webHidden/>
          </w:rPr>
          <w:t>411</w:t>
        </w:r>
        <w:r>
          <w:rPr>
            <w:noProof/>
            <w:webHidden/>
          </w:rPr>
          <w:fldChar w:fldCharType="end"/>
        </w:r>
      </w:hyperlink>
    </w:p>
    <w:p w14:paraId="230E478E" w14:textId="5F1515F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5" w:history="1">
        <w:r w:rsidRPr="00022879">
          <w:rPr>
            <w:rStyle w:val="Hyperlink"/>
            <w:noProof/>
          </w:rPr>
          <w:t xml:space="preserve">Table 10.1.1 </w:t>
        </w:r>
        <w:r>
          <w:rPr>
            <w:rFonts w:asciiTheme="minorHAnsi" w:eastAsiaTheme="minorEastAsia" w:hAnsiTheme="minorHAnsi" w:cstheme="minorBidi"/>
            <w:noProof/>
            <w:kern w:val="2"/>
            <w:sz w:val="24"/>
            <w:szCs w:val="24"/>
            <w14:ligatures w14:val="standardContextual"/>
          </w:rPr>
          <w:tab/>
        </w:r>
        <w:r w:rsidRPr="00022879">
          <w:rPr>
            <w:rStyle w:val="Hyperlink"/>
            <w:noProof/>
          </w:rPr>
          <w:t>Explanations and justifications for recalculations</w:t>
        </w:r>
        <w:r>
          <w:rPr>
            <w:noProof/>
            <w:webHidden/>
          </w:rPr>
          <w:tab/>
        </w:r>
        <w:r>
          <w:rPr>
            <w:noProof/>
            <w:webHidden/>
          </w:rPr>
          <w:fldChar w:fldCharType="begin"/>
        </w:r>
        <w:r>
          <w:rPr>
            <w:noProof/>
            <w:webHidden/>
          </w:rPr>
          <w:instrText xml:space="preserve"> PAGEREF _Toc226669155 \h </w:instrText>
        </w:r>
        <w:r>
          <w:rPr>
            <w:noProof/>
            <w:webHidden/>
          </w:rPr>
        </w:r>
        <w:r>
          <w:rPr>
            <w:noProof/>
            <w:webHidden/>
          </w:rPr>
          <w:fldChar w:fldCharType="separate"/>
        </w:r>
        <w:r w:rsidR="00831581">
          <w:rPr>
            <w:noProof/>
            <w:webHidden/>
          </w:rPr>
          <w:t>414</w:t>
        </w:r>
        <w:r>
          <w:rPr>
            <w:noProof/>
            <w:webHidden/>
          </w:rPr>
          <w:fldChar w:fldCharType="end"/>
        </w:r>
      </w:hyperlink>
    </w:p>
    <w:p w14:paraId="75DBE2C2" w14:textId="24C618AE"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6" w:history="1">
        <w:r w:rsidRPr="00022879">
          <w:rPr>
            <w:rStyle w:val="Hyperlink"/>
            <w:noProof/>
          </w:rPr>
          <w:t xml:space="preserve">Table 10.3.1 </w:t>
        </w:r>
        <w:r>
          <w:rPr>
            <w:rFonts w:asciiTheme="minorHAnsi" w:eastAsiaTheme="minorEastAsia" w:hAnsiTheme="minorHAnsi" w:cstheme="minorBidi"/>
            <w:noProof/>
            <w:kern w:val="2"/>
            <w:sz w:val="24"/>
            <w:szCs w:val="24"/>
            <w14:ligatures w14:val="standardContextual"/>
          </w:rPr>
          <w:tab/>
        </w:r>
        <w:r w:rsidRPr="00022879">
          <w:rPr>
            <w:rStyle w:val="Hyperlink"/>
            <w:noProof/>
          </w:rPr>
          <w:t>Recalculations that led to the greatest increase in emissions estimates in each sector</w:t>
        </w:r>
        <w:r>
          <w:rPr>
            <w:noProof/>
            <w:webHidden/>
          </w:rPr>
          <w:tab/>
        </w:r>
        <w:r>
          <w:rPr>
            <w:noProof/>
            <w:webHidden/>
          </w:rPr>
          <w:fldChar w:fldCharType="begin"/>
        </w:r>
        <w:r>
          <w:rPr>
            <w:noProof/>
            <w:webHidden/>
          </w:rPr>
          <w:instrText xml:space="preserve"> PAGEREF _Toc226669156 \h </w:instrText>
        </w:r>
        <w:r>
          <w:rPr>
            <w:noProof/>
            <w:webHidden/>
          </w:rPr>
        </w:r>
        <w:r>
          <w:rPr>
            <w:noProof/>
            <w:webHidden/>
          </w:rPr>
          <w:fldChar w:fldCharType="separate"/>
        </w:r>
        <w:r w:rsidR="00831581">
          <w:rPr>
            <w:noProof/>
            <w:webHidden/>
          </w:rPr>
          <w:t>420</w:t>
        </w:r>
        <w:r>
          <w:rPr>
            <w:noProof/>
            <w:webHidden/>
          </w:rPr>
          <w:fldChar w:fldCharType="end"/>
        </w:r>
      </w:hyperlink>
    </w:p>
    <w:p w14:paraId="0F9713F5" w14:textId="46319A70"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7" w:history="1">
        <w:r w:rsidRPr="00022879">
          <w:rPr>
            <w:rStyle w:val="Hyperlink"/>
            <w:noProof/>
          </w:rPr>
          <w:t xml:space="preserve">Table 10.3.2 </w:t>
        </w:r>
        <w:r>
          <w:rPr>
            <w:rFonts w:asciiTheme="minorHAnsi" w:eastAsiaTheme="minorEastAsia" w:hAnsiTheme="minorHAnsi" w:cstheme="minorBidi"/>
            <w:noProof/>
            <w:kern w:val="2"/>
            <w:sz w:val="24"/>
            <w:szCs w:val="24"/>
            <w14:ligatures w14:val="standardContextual"/>
          </w:rPr>
          <w:tab/>
        </w:r>
        <w:r w:rsidRPr="00022879">
          <w:rPr>
            <w:rStyle w:val="Hyperlink"/>
            <w:noProof/>
          </w:rPr>
          <w:t>Recalculations that led to the greatest decrease in emissions estimates in each sector</w:t>
        </w:r>
        <w:r>
          <w:rPr>
            <w:noProof/>
            <w:webHidden/>
          </w:rPr>
          <w:tab/>
        </w:r>
        <w:r>
          <w:rPr>
            <w:noProof/>
            <w:webHidden/>
          </w:rPr>
          <w:fldChar w:fldCharType="begin"/>
        </w:r>
        <w:r>
          <w:rPr>
            <w:noProof/>
            <w:webHidden/>
          </w:rPr>
          <w:instrText xml:space="preserve"> PAGEREF _Toc226669157 \h </w:instrText>
        </w:r>
        <w:r>
          <w:rPr>
            <w:noProof/>
            <w:webHidden/>
          </w:rPr>
        </w:r>
        <w:r>
          <w:rPr>
            <w:noProof/>
            <w:webHidden/>
          </w:rPr>
          <w:fldChar w:fldCharType="separate"/>
        </w:r>
        <w:r w:rsidR="00831581">
          <w:rPr>
            <w:noProof/>
            <w:webHidden/>
          </w:rPr>
          <w:t>421</w:t>
        </w:r>
        <w:r>
          <w:rPr>
            <w:noProof/>
            <w:webHidden/>
          </w:rPr>
          <w:fldChar w:fldCharType="end"/>
        </w:r>
      </w:hyperlink>
    </w:p>
    <w:p w14:paraId="31E54BA3" w14:textId="7D9A64F1" w:rsidR="0025307F" w:rsidRDefault="0025307F">
      <w:pPr>
        <w:pStyle w:val="TableofFigures"/>
        <w:rPr>
          <w:rFonts w:asciiTheme="minorHAnsi" w:eastAsiaTheme="minorEastAsia" w:hAnsiTheme="minorHAnsi" w:cstheme="minorBidi"/>
          <w:noProof/>
          <w:kern w:val="2"/>
          <w:sz w:val="24"/>
          <w:szCs w:val="24"/>
          <w14:ligatures w14:val="standardContextual"/>
        </w:rPr>
      </w:pPr>
      <w:hyperlink w:anchor="_Toc226669158" w:history="1">
        <w:r w:rsidRPr="00022879">
          <w:rPr>
            <w:rStyle w:val="Hyperlink"/>
            <w:noProof/>
          </w:rPr>
          <w:t xml:space="preserve">Table 10.4.1 </w:t>
        </w:r>
        <w:r>
          <w:rPr>
            <w:rFonts w:asciiTheme="minorHAnsi" w:eastAsiaTheme="minorEastAsia" w:hAnsiTheme="minorHAnsi" w:cstheme="minorBidi"/>
            <w:noProof/>
            <w:kern w:val="2"/>
            <w:sz w:val="24"/>
            <w:szCs w:val="24"/>
            <w14:ligatures w14:val="standardContextual"/>
          </w:rPr>
          <w:tab/>
        </w:r>
        <w:r w:rsidRPr="00022879">
          <w:rPr>
            <w:rStyle w:val="Hyperlink"/>
            <w:noProof/>
          </w:rPr>
          <w:t>New Zealand’s response to the status of the recommendations included in tables 2–7 of UNFCCC (2026b)</w:t>
        </w:r>
        <w:r>
          <w:rPr>
            <w:noProof/>
            <w:webHidden/>
          </w:rPr>
          <w:tab/>
        </w:r>
        <w:r>
          <w:rPr>
            <w:noProof/>
            <w:webHidden/>
          </w:rPr>
          <w:fldChar w:fldCharType="begin"/>
        </w:r>
        <w:r>
          <w:rPr>
            <w:noProof/>
            <w:webHidden/>
          </w:rPr>
          <w:instrText xml:space="preserve"> PAGEREF _Toc226669158 \h </w:instrText>
        </w:r>
        <w:r>
          <w:rPr>
            <w:noProof/>
            <w:webHidden/>
          </w:rPr>
        </w:r>
        <w:r>
          <w:rPr>
            <w:noProof/>
            <w:webHidden/>
          </w:rPr>
          <w:fldChar w:fldCharType="separate"/>
        </w:r>
        <w:r w:rsidR="00831581">
          <w:rPr>
            <w:noProof/>
            <w:webHidden/>
          </w:rPr>
          <w:t>427</w:t>
        </w:r>
        <w:r>
          <w:rPr>
            <w:noProof/>
            <w:webHidden/>
          </w:rPr>
          <w:fldChar w:fldCharType="end"/>
        </w:r>
      </w:hyperlink>
    </w:p>
    <w:p w14:paraId="5F218C0E" w14:textId="44937771" w:rsidR="00D6407A" w:rsidRDefault="00475EF2" w:rsidP="00D6407A">
      <w:pPr>
        <w:pStyle w:val="BodyText"/>
      </w:pPr>
      <w:r>
        <w:rPr>
          <w:rFonts w:ascii="Arial" w:hAnsi="Arial"/>
          <w:sz w:val="20"/>
        </w:rPr>
        <w:fldChar w:fldCharType="end"/>
      </w:r>
      <w:r w:rsidR="00D6407A">
        <w:br w:type="page"/>
      </w:r>
    </w:p>
    <w:p w14:paraId="124B44F1" w14:textId="77777777" w:rsidR="00DD5CB6" w:rsidRDefault="00DD5CB6" w:rsidP="00892A4D">
      <w:pPr>
        <w:pStyle w:val="Heading"/>
      </w:pPr>
      <w:r>
        <w:t>Figures</w:t>
      </w:r>
    </w:p>
    <w:p w14:paraId="4F70AA5F" w14:textId="7D97FCA1" w:rsidR="00706C4A" w:rsidRDefault="00475EF2">
      <w:pPr>
        <w:pStyle w:val="TableofFigures"/>
        <w:rPr>
          <w:rFonts w:asciiTheme="minorHAnsi" w:eastAsiaTheme="minorEastAsia" w:hAnsiTheme="minorHAnsi" w:cstheme="minorBidi"/>
          <w:noProof/>
          <w:kern w:val="2"/>
          <w:sz w:val="24"/>
          <w:szCs w:val="24"/>
          <w14:ligatures w14:val="standardContextual"/>
        </w:rPr>
      </w:pPr>
      <w:r>
        <w:rPr>
          <w:rFonts w:ascii="Arial" w:hAnsi="Arial"/>
        </w:rPr>
        <w:fldChar w:fldCharType="begin"/>
      </w:r>
      <w:r>
        <w:rPr>
          <w:rFonts w:ascii="Arial" w:hAnsi="Arial"/>
        </w:rPr>
        <w:instrText xml:space="preserve"> TOC \h \z \t "Figure" \c </w:instrText>
      </w:r>
      <w:r>
        <w:rPr>
          <w:rFonts w:ascii="Arial" w:hAnsi="Arial"/>
        </w:rPr>
        <w:fldChar w:fldCharType="separate"/>
      </w:r>
      <w:hyperlink w:anchor="_Toc226200644" w:history="1">
        <w:r w:rsidR="00706C4A" w:rsidRPr="006F0B8B">
          <w:rPr>
            <w:rStyle w:val="Hyperlink"/>
            <w:bCs/>
            <w:noProof/>
          </w:rPr>
          <w:t>Figure ES 2.1</w:t>
        </w:r>
        <w:r w:rsidR="00706C4A" w:rsidRPr="006F0B8B">
          <w:rPr>
            <w:rStyle w:val="Hyperlink"/>
            <w:noProof/>
          </w:rPr>
          <w:t xml:space="preserve"> </w:t>
        </w:r>
        <w:r w:rsidR="00706C4A">
          <w:rPr>
            <w:rFonts w:asciiTheme="minorHAnsi" w:eastAsiaTheme="minorEastAsia" w:hAnsiTheme="minorHAnsi" w:cstheme="minorBidi"/>
            <w:noProof/>
            <w:kern w:val="2"/>
            <w:sz w:val="24"/>
            <w:szCs w:val="24"/>
            <w14:ligatures w14:val="standardContextual"/>
          </w:rPr>
          <w:tab/>
        </w:r>
        <w:r w:rsidR="00706C4A" w:rsidRPr="006F0B8B">
          <w:rPr>
            <w:rStyle w:val="Hyperlink"/>
            <w:noProof/>
          </w:rPr>
          <w:t xml:space="preserve">New Zealand’s gross and net emissions (under the Convention), from </w:t>
        </w:r>
        <w:r w:rsidR="00706C4A" w:rsidRPr="006F0B8B">
          <w:rPr>
            <w:rStyle w:val="Hyperlink"/>
            <w:bCs/>
            <w:noProof/>
          </w:rPr>
          <w:t>1990</w:t>
        </w:r>
        <w:r w:rsidR="00706C4A" w:rsidRPr="006F0B8B">
          <w:rPr>
            <w:rStyle w:val="Hyperlink"/>
            <w:noProof/>
          </w:rPr>
          <w:t xml:space="preserve"> to </w:t>
        </w:r>
        <w:r w:rsidR="00706C4A" w:rsidRPr="006F0B8B">
          <w:rPr>
            <w:rStyle w:val="Hyperlink"/>
            <w:bCs/>
            <w:noProof/>
          </w:rPr>
          <w:t>2024</w:t>
        </w:r>
        <w:r w:rsidR="00706C4A">
          <w:rPr>
            <w:noProof/>
            <w:webHidden/>
          </w:rPr>
          <w:tab/>
        </w:r>
        <w:r w:rsidR="00706C4A">
          <w:rPr>
            <w:noProof/>
            <w:webHidden/>
          </w:rPr>
          <w:fldChar w:fldCharType="begin"/>
        </w:r>
        <w:r w:rsidR="00706C4A">
          <w:rPr>
            <w:noProof/>
            <w:webHidden/>
          </w:rPr>
          <w:instrText xml:space="preserve"> PAGEREF _Toc226200644 \h </w:instrText>
        </w:r>
        <w:r w:rsidR="00706C4A">
          <w:rPr>
            <w:noProof/>
            <w:webHidden/>
          </w:rPr>
        </w:r>
        <w:r w:rsidR="00706C4A">
          <w:rPr>
            <w:noProof/>
            <w:webHidden/>
          </w:rPr>
          <w:fldChar w:fldCharType="separate"/>
        </w:r>
        <w:r w:rsidR="00831581">
          <w:rPr>
            <w:noProof/>
            <w:webHidden/>
          </w:rPr>
          <w:t>xxvii</w:t>
        </w:r>
        <w:r w:rsidR="00706C4A">
          <w:rPr>
            <w:noProof/>
            <w:webHidden/>
          </w:rPr>
          <w:fldChar w:fldCharType="end"/>
        </w:r>
      </w:hyperlink>
    </w:p>
    <w:p w14:paraId="3044DC19" w14:textId="51CD1C90"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45" w:history="1">
        <w:r w:rsidRPr="006F0B8B">
          <w:rPr>
            <w:rStyle w:val="Hyperlink"/>
            <w:bCs/>
            <w:noProof/>
          </w:rPr>
          <w:t>Figure ES 2.2</w:t>
        </w:r>
        <w:r w:rsidRPr="006F0B8B">
          <w:rPr>
            <w:rStyle w:val="Hyperlink"/>
            <w:noProof/>
          </w:rPr>
          <w:t xml:space="preserve">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New Zealand’s gross emissions by gas in </w:t>
        </w:r>
        <w:r w:rsidRPr="006F0B8B">
          <w:rPr>
            <w:rStyle w:val="Hyperlink"/>
            <w:bCs/>
            <w:noProof/>
          </w:rPr>
          <w:t>1990</w:t>
        </w:r>
        <w:r w:rsidRPr="006F0B8B">
          <w:rPr>
            <w:rStyle w:val="Hyperlink"/>
            <w:noProof/>
          </w:rPr>
          <w:t xml:space="preserve">, </w:t>
        </w:r>
        <w:r w:rsidRPr="006F0B8B">
          <w:rPr>
            <w:rStyle w:val="Hyperlink"/>
            <w:bCs/>
            <w:noProof/>
          </w:rPr>
          <w:t>2005</w:t>
        </w:r>
        <w:r w:rsidRPr="006F0B8B">
          <w:rPr>
            <w:rStyle w:val="Hyperlink"/>
            <w:noProof/>
          </w:rPr>
          <w:t xml:space="preserve"> and </w:t>
        </w:r>
        <w:r w:rsidRPr="006F0B8B">
          <w:rPr>
            <w:rStyle w:val="Hyperlink"/>
            <w:bCs/>
            <w:noProof/>
          </w:rPr>
          <w:t>2024</w:t>
        </w:r>
        <w:r>
          <w:rPr>
            <w:noProof/>
            <w:webHidden/>
          </w:rPr>
          <w:tab/>
        </w:r>
        <w:r>
          <w:rPr>
            <w:noProof/>
            <w:webHidden/>
          </w:rPr>
          <w:fldChar w:fldCharType="begin"/>
        </w:r>
        <w:r>
          <w:rPr>
            <w:noProof/>
            <w:webHidden/>
          </w:rPr>
          <w:instrText xml:space="preserve"> PAGEREF _Toc226200645 \h </w:instrText>
        </w:r>
        <w:r>
          <w:rPr>
            <w:noProof/>
            <w:webHidden/>
          </w:rPr>
        </w:r>
        <w:r>
          <w:rPr>
            <w:noProof/>
            <w:webHidden/>
          </w:rPr>
          <w:fldChar w:fldCharType="separate"/>
        </w:r>
        <w:r w:rsidR="00831581">
          <w:rPr>
            <w:noProof/>
            <w:webHidden/>
          </w:rPr>
          <w:t>xxix</w:t>
        </w:r>
        <w:r>
          <w:rPr>
            <w:noProof/>
            <w:webHidden/>
          </w:rPr>
          <w:fldChar w:fldCharType="end"/>
        </w:r>
      </w:hyperlink>
    </w:p>
    <w:p w14:paraId="5CBC7FE6" w14:textId="21C197C3"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46" w:history="1">
        <w:r w:rsidRPr="006F0B8B">
          <w:rPr>
            <w:rStyle w:val="Hyperlink"/>
            <w:bCs/>
            <w:noProof/>
          </w:rPr>
          <w:t>Figure ES 3.1</w:t>
        </w:r>
        <w:r w:rsidRPr="006F0B8B">
          <w:rPr>
            <w:rStyle w:val="Hyperlink"/>
            <w:noProof/>
          </w:rPr>
          <w:t xml:space="preserve">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Trends in New Zealand’s greenhouse gas emissions by sector,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_Toc226200646 \h </w:instrText>
        </w:r>
        <w:r>
          <w:rPr>
            <w:noProof/>
            <w:webHidden/>
          </w:rPr>
        </w:r>
        <w:r>
          <w:rPr>
            <w:noProof/>
            <w:webHidden/>
          </w:rPr>
          <w:fldChar w:fldCharType="separate"/>
        </w:r>
        <w:r w:rsidR="00831581">
          <w:rPr>
            <w:noProof/>
            <w:webHidden/>
          </w:rPr>
          <w:t>xxx</w:t>
        </w:r>
        <w:r>
          <w:rPr>
            <w:noProof/>
            <w:webHidden/>
          </w:rPr>
          <w:fldChar w:fldCharType="end"/>
        </w:r>
      </w:hyperlink>
    </w:p>
    <w:p w14:paraId="46838C12" w14:textId="48F01EEF"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47" w:history="1">
        <w:r w:rsidRPr="006F0B8B">
          <w:rPr>
            <w:rStyle w:val="Hyperlink"/>
            <w:bCs/>
            <w:noProof/>
          </w:rPr>
          <w:t xml:space="preserve">Figure 1.2.1 </w:t>
        </w:r>
        <w:r>
          <w:rPr>
            <w:rFonts w:asciiTheme="minorHAnsi" w:eastAsiaTheme="minorEastAsia" w:hAnsiTheme="minorHAnsi" w:cstheme="minorBidi"/>
            <w:noProof/>
            <w:kern w:val="2"/>
            <w:sz w:val="24"/>
            <w:szCs w:val="24"/>
            <w14:ligatures w14:val="standardContextual"/>
          </w:rPr>
          <w:tab/>
        </w:r>
        <w:r w:rsidRPr="006F0B8B">
          <w:rPr>
            <w:rStyle w:val="Hyperlink"/>
            <w:bCs/>
            <w:noProof/>
          </w:rPr>
          <w:t>Summary of New Zealand’s inventory planning and preparation</w:t>
        </w:r>
        <w:r>
          <w:rPr>
            <w:noProof/>
            <w:webHidden/>
          </w:rPr>
          <w:tab/>
        </w:r>
        <w:r>
          <w:rPr>
            <w:noProof/>
            <w:webHidden/>
          </w:rPr>
          <w:fldChar w:fldCharType="begin"/>
        </w:r>
        <w:r>
          <w:rPr>
            <w:noProof/>
            <w:webHidden/>
          </w:rPr>
          <w:instrText xml:space="preserve"> PAGEREF _Toc226200647 \h </w:instrText>
        </w:r>
        <w:r>
          <w:rPr>
            <w:noProof/>
            <w:webHidden/>
          </w:rPr>
        </w:r>
        <w:r>
          <w:rPr>
            <w:noProof/>
            <w:webHidden/>
          </w:rPr>
          <w:fldChar w:fldCharType="separate"/>
        </w:r>
        <w:r w:rsidR="00831581">
          <w:rPr>
            <w:noProof/>
            <w:webHidden/>
          </w:rPr>
          <w:t>6</w:t>
        </w:r>
        <w:r>
          <w:rPr>
            <w:noProof/>
            <w:webHidden/>
          </w:rPr>
          <w:fldChar w:fldCharType="end"/>
        </w:r>
      </w:hyperlink>
    </w:p>
    <w:p w14:paraId="3FA16F7F" w14:textId="21DD3A02"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48" w:history="1">
        <w:r w:rsidRPr="006F0B8B">
          <w:rPr>
            <w:rStyle w:val="Hyperlink"/>
            <w:bCs/>
            <w:noProof/>
          </w:rPr>
          <w:t xml:space="preserve">Figure 1.2.2 </w:t>
        </w:r>
        <w:r>
          <w:rPr>
            <w:rFonts w:asciiTheme="minorHAnsi" w:eastAsiaTheme="minorEastAsia" w:hAnsiTheme="minorHAnsi" w:cstheme="minorBidi"/>
            <w:noProof/>
            <w:kern w:val="2"/>
            <w:sz w:val="24"/>
            <w:szCs w:val="24"/>
            <w14:ligatures w14:val="standardContextual"/>
          </w:rPr>
          <w:tab/>
        </w:r>
        <w:r w:rsidRPr="006F0B8B">
          <w:rPr>
            <w:rStyle w:val="Hyperlink"/>
            <w:bCs/>
            <w:noProof/>
          </w:rPr>
          <w:t>New Zealand’s inventory system at a glance: how different agencies are involved</w:t>
        </w:r>
        <w:r>
          <w:rPr>
            <w:noProof/>
            <w:webHidden/>
          </w:rPr>
          <w:tab/>
        </w:r>
        <w:r>
          <w:rPr>
            <w:noProof/>
            <w:webHidden/>
          </w:rPr>
          <w:fldChar w:fldCharType="begin"/>
        </w:r>
        <w:r>
          <w:rPr>
            <w:noProof/>
            <w:webHidden/>
          </w:rPr>
          <w:instrText xml:space="preserve"> PAGEREF _Toc226200648 \h </w:instrText>
        </w:r>
        <w:r>
          <w:rPr>
            <w:noProof/>
            <w:webHidden/>
          </w:rPr>
        </w:r>
        <w:r>
          <w:rPr>
            <w:noProof/>
            <w:webHidden/>
          </w:rPr>
          <w:fldChar w:fldCharType="separate"/>
        </w:r>
        <w:r w:rsidR="00831581">
          <w:rPr>
            <w:noProof/>
            <w:webHidden/>
          </w:rPr>
          <w:t>10</w:t>
        </w:r>
        <w:r>
          <w:rPr>
            <w:noProof/>
            <w:webHidden/>
          </w:rPr>
          <w:fldChar w:fldCharType="end"/>
        </w:r>
      </w:hyperlink>
    </w:p>
    <w:p w14:paraId="2F3F36A0" w14:textId="11F55127"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49" w:history="1">
        <w:r w:rsidRPr="006F0B8B">
          <w:rPr>
            <w:rStyle w:val="Hyperlink"/>
            <w:noProof/>
          </w:rPr>
          <w:t xml:space="preserve">Figure 2.1.1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gross and net emissions, from 1990 to 2024</w:t>
        </w:r>
        <w:r>
          <w:rPr>
            <w:noProof/>
            <w:webHidden/>
          </w:rPr>
          <w:tab/>
        </w:r>
        <w:r>
          <w:rPr>
            <w:noProof/>
            <w:webHidden/>
          </w:rPr>
          <w:fldChar w:fldCharType="begin"/>
        </w:r>
        <w:r>
          <w:rPr>
            <w:noProof/>
            <w:webHidden/>
          </w:rPr>
          <w:instrText xml:space="preserve"> PAGEREF _Toc226200649 \h </w:instrText>
        </w:r>
        <w:r>
          <w:rPr>
            <w:noProof/>
            <w:webHidden/>
          </w:rPr>
        </w:r>
        <w:r>
          <w:rPr>
            <w:noProof/>
            <w:webHidden/>
          </w:rPr>
          <w:fldChar w:fldCharType="separate"/>
        </w:r>
        <w:r w:rsidR="00831581">
          <w:rPr>
            <w:noProof/>
            <w:webHidden/>
          </w:rPr>
          <w:t>36</w:t>
        </w:r>
        <w:r>
          <w:rPr>
            <w:noProof/>
            <w:webHidden/>
          </w:rPr>
          <w:fldChar w:fldCharType="end"/>
        </w:r>
      </w:hyperlink>
    </w:p>
    <w:p w14:paraId="271F69A6" w14:textId="5A829A5B"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0" w:history="1">
        <w:r w:rsidRPr="006F0B8B">
          <w:rPr>
            <w:rStyle w:val="Hyperlink"/>
            <w:noProof/>
          </w:rPr>
          <w:t xml:space="preserve">Figure 2.2.1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emissions by sector in 2024</w:t>
        </w:r>
        <w:r>
          <w:rPr>
            <w:noProof/>
            <w:webHidden/>
          </w:rPr>
          <w:tab/>
        </w:r>
        <w:r>
          <w:rPr>
            <w:noProof/>
            <w:webHidden/>
          </w:rPr>
          <w:fldChar w:fldCharType="begin"/>
        </w:r>
        <w:r>
          <w:rPr>
            <w:noProof/>
            <w:webHidden/>
          </w:rPr>
          <w:instrText xml:space="preserve"> PAGEREF _Toc226200650 \h </w:instrText>
        </w:r>
        <w:r>
          <w:rPr>
            <w:noProof/>
            <w:webHidden/>
          </w:rPr>
        </w:r>
        <w:r>
          <w:rPr>
            <w:noProof/>
            <w:webHidden/>
          </w:rPr>
          <w:fldChar w:fldCharType="separate"/>
        </w:r>
        <w:r w:rsidR="00831581">
          <w:rPr>
            <w:noProof/>
            <w:webHidden/>
          </w:rPr>
          <w:t>37</w:t>
        </w:r>
        <w:r>
          <w:rPr>
            <w:noProof/>
            <w:webHidden/>
          </w:rPr>
          <w:fldChar w:fldCharType="end"/>
        </w:r>
      </w:hyperlink>
    </w:p>
    <w:p w14:paraId="7B24D0C1" w14:textId="4897EF8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1" w:history="1">
        <w:r w:rsidRPr="006F0B8B">
          <w:rPr>
            <w:rStyle w:val="Hyperlink"/>
            <w:noProof/>
          </w:rPr>
          <w:t xml:space="preserve">Figure 2.2.2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gross emissions by gas in 2024</w:t>
        </w:r>
        <w:r>
          <w:rPr>
            <w:noProof/>
            <w:webHidden/>
          </w:rPr>
          <w:tab/>
        </w:r>
        <w:r>
          <w:rPr>
            <w:noProof/>
            <w:webHidden/>
          </w:rPr>
          <w:fldChar w:fldCharType="begin"/>
        </w:r>
        <w:r>
          <w:rPr>
            <w:noProof/>
            <w:webHidden/>
          </w:rPr>
          <w:instrText xml:space="preserve"> PAGEREF _Toc226200651 \h </w:instrText>
        </w:r>
        <w:r>
          <w:rPr>
            <w:noProof/>
            <w:webHidden/>
          </w:rPr>
        </w:r>
        <w:r>
          <w:rPr>
            <w:noProof/>
            <w:webHidden/>
          </w:rPr>
          <w:fldChar w:fldCharType="separate"/>
        </w:r>
        <w:r w:rsidR="00831581">
          <w:rPr>
            <w:noProof/>
            <w:webHidden/>
          </w:rPr>
          <w:t>38</w:t>
        </w:r>
        <w:r>
          <w:rPr>
            <w:noProof/>
            <w:webHidden/>
          </w:rPr>
          <w:fldChar w:fldCharType="end"/>
        </w:r>
      </w:hyperlink>
    </w:p>
    <w:p w14:paraId="4E6978F1" w14:textId="3A6CB0EA"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2" w:history="1">
        <w:r w:rsidRPr="006F0B8B">
          <w:rPr>
            <w:rStyle w:val="Hyperlink"/>
            <w:noProof/>
          </w:rPr>
          <w:t xml:space="preserve">Figure 2.2.3 </w:t>
        </w:r>
        <w:r>
          <w:rPr>
            <w:rFonts w:asciiTheme="minorHAnsi" w:eastAsiaTheme="minorEastAsia" w:hAnsiTheme="minorHAnsi" w:cstheme="minorBidi"/>
            <w:noProof/>
            <w:kern w:val="2"/>
            <w:sz w:val="24"/>
            <w:szCs w:val="24"/>
            <w14:ligatures w14:val="standardContextual"/>
          </w:rPr>
          <w:tab/>
        </w:r>
        <w:r w:rsidRPr="006F0B8B">
          <w:rPr>
            <w:rStyle w:val="Hyperlink"/>
            <w:noProof/>
          </w:rPr>
          <w:t>Trends in New Zealand’s greenhouse gas emissions by sector, from 1990 to 2024</w:t>
        </w:r>
        <w:r>
          <w:rPr>
            <w:noProof/>
            <w:webHidden/>
          </w:rPr>
          <w:tab/>
        </w:r>
        <w:r>
          <w:rPr>
            <w:noProof/>
            <w:webHidden/>
          </w:rPr>
          <w:fldChar w:fldCharType="begin"/>
        </w:r>
        <w:r>
          <w:rPr>
            <w:noProof/>
            <w:webHidden/>
          </w:rPr>
          <w:instrText xml:space="preserve"> PAGEREF _Toc226200652 \h </w:instrText>
        </w:r>
        <w:r>
          <w:rPr>
            <w:noProof/>
            <w:webHidden/>
          </w:rPr>
        </w:r>
        <w:r>
          <w:rPr>
            <w:noProof/>
            <w:webHidden/>
          </w:rPr>
          <w:fldChar w:fldCharType="separate"/>
        </w:r>
        <w:r w:rsidR="00831581">
          <w:rPr>
            <w:noProof/>
            <w:webHidden/>
          </w:rPr>
          <w:t>39</w:t>
        </w:r>
        <w:r>
          <w:rPr>
            <w:noProof/>
            <w:webHidden/>
          </w:rPr>
          <w:fldChar w:fldCharType="end"/>
        </w:r>
      </w:hyperlink>
    </w:p>
    <w:p w14:paraId="3F51A711" w14:textId="0435F86A"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3" w:history="1">
        <w:r w:rsidRPr="006F0B8B">
          <w:rPr>
            <w:rStyle w:val="Hyperlink"/>
            <w:noProof/>
          </w:rPr>
          <w:t xml:space="preserve">Figure 2.2.4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Change in New Zealand’s emissions by sector, comparing </w:t>
        </w:r>
        <w:r w:rsidRPr="006F0B8B">
          <w:rPr>
            <w:rStyle w:val="Hyperlink"/>
            <w:bCs/>
            <w:noProof/>
          </w:rPr>
          <w:t>1990</w:t>
        </w:r>
        <w:r w:rsidRPr="006F0B8B">
          <w:rPr>
            <w:rStyle w:val="Hyperlink"/>
            <w:noProof/>
          </w:rPr>
          <w:t xml:space="preserve">, </w:t>
        </w:r>
        <w:r w:rsidRPr="006F0B8B">
          <w:rPr>
            <w:rStyle w:val="Hyperlink"/>
            <w:bCs/>
            <w:noProof/>
          </w:rPr>
          <w:t>2005</w:t>
        </w:r>
        <w:r w:rsidRPr="006F0B8B">
          <w:rPr>
            <w:rStyle w:val="Hyperlink"/>
            <w:noProof/>
          </w:rPr>
          <w:t xml:space="preserve"> and </w:t>
        </w:r>
        <w:r w:rsidRPr="006F0B8B">
          <w:rPr>
            <w:rStyle w:val="Hyperlink"/>
            <w:bCs/>
            <w:noProof/>
          </w:rPr>
          <w:t>2024</w:t>
        </w:r>
        <w:r>
          <w:rPr>
            <w:noProof/>
            <w:webHidden/>
          </w:rPr>
          <w:tab/>
        </w:r>
        <w:r>
          <w:rPr>
            <w:noProof/>
            <w:webHidden/>
          </w:rPr>
          <w:fldChar w:fldCharType="begin"/>
        </w:r>
        <w:r>
          <w:rPr>
            <w:noProof/>
            <w:webHidden/>
          </w:rPr>
          <w:instrText xml:space="preserve"> PAGEREF _Toc226200653 \h </w:instrText>
        </w:r>
        <w:r>
          <w:rPr>
            <w:noProof/>
            <w:webHidden/>
          </w:rPr>
        </w:r>
        <w:r>
          <w:rPr>
            <w:noProof/>
            <w:webHidden/>
          </w:rPr>
          <w:fldChar w:fldCharType="separate"/>
        </w:r>
        <w:r w:rsidR="00831581">
          <w:rPr>
            <w:noProof/>
            <w:webHidden/>
          </w:rPr>
          <w:t>40</w:t>
        </w:r>
        <w:r>
          <w:rPr>
            <w:noProof/>
            <w:webHidden/>
          </w:rPr>
          <w:fldChar w:fldCharType="end"/>
        </w:r>
      </w:hyperlink>
    </w:p>
    <w:p w14:paraId="3A831822" w14:textId="625560C4"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4" w:history="1">
        <w:r w:rsidRPr="006F0B8B">
          <w:rPr>
            <w:rStyle w:val="Hyperlink"/>
            <w:noProof/>
          </w:rPr>
          <w:t xml:space="preserve">Figure 2.2.5 </w:t>
        </w:r>
        <w:r>
          <w:rPr>
            <w:rFonts w:asciiTheme="minorHAnsi" w:eastAsiaTheme="minorEastAsia" w:hAnsiTheme="minorHAnsi" w:cstheme="minorBidi"/>
            <w:noProof/>
            <w:kern w:val="2"/>
            <w:sz w:val="24"/>
            <w:szCs w:val="24"/>
            <w14:ligatures w14:val="standardContextual"/>
          </w:rPr>
          <w:tab/>
        </w:r>
        <w:r w:rsidRPr="006F0B8B">
          <w:rPr>
            <w:rStyle w:val="Hyperlink"/>
            <w:noProof/>
          </w:rPr>
          <w:t>Absolute change in New Zealand’s gross emissions by sector, from 1990 to 2024</w:t>
        </w:r>
        <w:r>
          <w:rPr>
            <w:noProof/>
            <w:webHidden/>
          </w:rPr>
          <w:tab/>
        </w:r>
        <w:r>
          <w:rPr>
            <w:noProof/>
            <w:webHidden/>
          </w:rPr>
          <w:fldChar w:fldCharType="begin"/>
        </w:r>
        <w:r>
          <w:rPr>
            <w:noProof/>
            <w:webHidden/>
          </w:rPr>
          <w:instrText xml:space="preserve"> PAGEREF _Toc226200654 \h </w:instrText>
        </w:r>
        <w:r>
          <w:rPr>
            <w:noProof/>
            <w:webHidden/>
          </w:rPr>
        </w:r>
        <w:r>
          <w:rPr>
            <w:noProof/>
            <w:webHidden/>
          </w:rPr>
          <w:fldChar w:fldCharType="separate"/>
        </w:r>
        <w:r w:rsidR="00831581">
          <w:rPr>
            <w:noProof/>
            <w:webHidden/>
          </w:rPr>
          <w:t>41</w:t>
        </w:r>
        <w:r>
          <w:rPr>
            <w:noProof/>
            <w:webHidden/>
          </w:rPr>
          <w:fldChar w:fldCharType="end"/>
        </w:r>
      </w:hyperlink>
    </w:p>
    <w:p w14:paraId="5241ABD7" w14:textId="1F75169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5" w:history="1">
        <w:r w:rsidRPr="006F0B8B">
          <w:rPr>
            <w:rStyle w:val="Hyperlink"/>
            <w:noProof/>
          </w:rPr>
          <w:t xml:space="preserve">Figure 2.2.6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Absolute change in net emissions from the LULUCF sector,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_Toc226200655 \h </w:instrText>
        </w:r>
        <w:r>
          <w:rPr>
            <w:noProof/>
            <w:webHidden/>
          </w:rPr>
        </w:r>
        <w:r>
          <w:rPr>
            <w:noProof/>
            <w:webHidden/>
          </w:rPr>
          <w:fldChar w:fldCharType="separate"/>
        </w:r>
        <w:r w:rsidR="00831581">
          <w:rPr>
            <w:noProof/>
            <w:webHidden/>
          </w:rPr>
          <w:t>42</w:t>
        </w:r>
        <w:r>
          <w:rPr>
            <w:noProof/>
            <w:webHidden/>
          </w:rPr>
          <w:fldChar w:fldCharType="end"/>
        </w:r>
      </w:hyperlink>
    </w:p>
    <w:p w14:paraId="3C6A28A1" w14:textId="66905112"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6" w:history="1">
        <w:r w:rsidRPr="006F0B8B">
          <w:rPr>
            <w:rStyle w:val="Hyperlink"/>
            <w:noProof/>
          </w:rPr>
          <w:t xml:space="preserve">Figure 2.2.7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New Zealand’s Energy sector emissions,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_Toc226200656 \h </w:instrText>
        </w:r>
        <w:r>
          <w:rPr>
            <w:noProof/>
            <w:webHidden/>
          </w:rPr>
        </w:r>
        <w:r>
          <w:rPr>
            <w:noProof/>
            <w:webHidden/>
          </w:rPr>
          <w:fldChar w:fldCharType="separate"/>
        </w:r>
        <w:r w:rsidR="00831581">
          <w:rPr>
            <w:noProof/>
            <w:webHidden/>
          </w:rPr>
          <w:t>44</w:t>
        </w:r>
        <w:r>
          <w:rPr>
            <w:noProof/>
            <w:webHidden/>
          </w:rPr>
          <w:fldChar w:fldCharType="end"/>
        </w:r>
      </w:hyperlink>
    </w:p>
    <w:p w14:paraId="4FA573F1" w14:textId="4457855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7" w:history="1">
        <w:r w:rsidRPr="006F0B8B">
          <w:rPr>
            <w:rStyle w:val="Hyperlink"/>
            <w:noProof/>
          </w:rPr>
          <w:t xml:space="preserve">Figure 2.2.8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IPPU sector emissions, from 1990 to 2024</w:t>
        </w:r>
        <w:r>
          <w:rPr>
            <w:noProof/>
            <w:webHidden/>
          </w:rPr>
          <w:tab/>
        </w:r>
        <w:r>
          <w:rPr>
            <w:noProof/>
            <w:webHidden/>
          </w:rPr>
          <w:fldChar w:fldCharType="begin"/>
        </w:r>
        <w:r>
          <w:rPr>
            <w:noProof/>
            <w:webHidden/>
          </w:rPr>
          <w:instrText xml:space="preserve"> PAGEREF _Toc226200657 \h </w:instrText>
        </w:r>
        <w:r>
          <w:rPr>
            <w:noProof/>
            <w:webHidden/>
          </w:rPr>
        </w:r>
        <w:r>
          <w:rPr>
            <w:noProof/>
            <w:webHidden/>
          </w:rPr>
          <w:fldChar w:fldCharType="separate"/>
        </w:r>
        <w:r w:rsidR="00831581">
          <w:rPr>
            <w:noProof/>
            <w:webHidden/>
          </w:rPr>
          <w:t>46</w:t>
        </w:r>
        <w:r>
          <w:rPr>
            <w:noProof/>
            <w:webHidden/>
          </w:rPr>
          <w:fldChar w:fldCharType="end"/>
        </w:r>
      </w:hyperlink>
    </w:p>
    <w:p w14:paraId="195DBB05" w14:textId="6C95F534"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8" w:history="1">
        <w:r w:rsidRPr="006F0B8B">
          <w:rPr>
            <w:rStyle w:val="Hyperlink"/>
            <w:noProof/>
          </w:rPr>
          <w:t xml:space="preserve">Figure 2.2.9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New Zealand’s Agriculture sector emissions,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_Toc226200658 \h </w:instrText>
        </w:r>
        <w:r>
          <w:rPr>
            <w:noProof/>
            <w:webHidden/>
          </w:rPr>
        </w:r>
        <w:r>
          <w:rPr>
            <w:noProof/>
            <w:webHidden/>
          </w:rPr>
          <w:fldChar w:fldCharType="separate"/>
        </w:r>
        <w:r w:rsidR="00831581">
          <w:rPr>
            <w:noProof/>
            <w:webHidden/>
          </w:rPr>
          <w:t>47</w:t>
        </w:r>
        <w:r>
          <w:rPr>
            <w:noProof/>
            <w:webHidden/>
          </w:rPr>
          <w:fldChar w:fldCharType="end"/>
        </w:r>
      </w:hyperlink>
    </w:p>
    <w:p w14:paraId="3BDC79D2" w14:textId="471CEBF8"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59" w:history="1">
        <w:r w:rsidRPr="006F0B8B">
          <w:rPr>
            <w:rStyle w:val="Hyperlink"/>
            <w:noProof/>
          </w:rPr>
          <w:t xml:space="preserve">Figure 2.2.10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New Zealand’s LULUCF sector net emissions,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_Toc226200659 \h </w:instrText>
        </w:r>
        <w:r>
          <w:rPr>
            <w:noProof/>
            <w:webHidden/>
          </w:rPr>
        </w:r>
        <w:r>
          <w:rPr>
            <w:noProof/>
            <w:webHidden/>
          </w:rPr>
          <w:fldChar w:fldCharType="separate"/>
        </w:r>
        <w:r w:rsidR="00831581">
          <w:rPr>
            <w:noProof/>
            <w:webHidden/>
          </w:rPr>
          <w:t>51</w:t>
        </w:r>
        <w:r>
          <w:rPr>
            <w:noProof/>
            <w:webHidden/>
          </w:rPr>
          <w:fldChar w:fldCharType="end"/>
        </w:r>
      </w:hyperlink>
    </w:p>
    <w:p w14:paraId="143A4050" w14:textId="6EDB8728"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0" w:history="1">
        <w:r w:rsidRPr="006F0B8B">
          <w:rPr>
            <w:rStyle w:val="Hyperlink"/>
            <w:noProof/>
          </w:rPr>
          <w:t xml:space="preserve">Figure 2.2.11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Waste sector emissions, from 1990 to 2024</w:t>
        </w:r>
        <w:r>
          <w:rPr>
            <w:noProof/>
            <w:webHidden/>
          </w:rPr>
          <w:tab/>
        </w:r>
        <w:r>
          <w:rPr>
            <w:noProof/>
            <w:webHidden/>
          </w:rPr>
          <w:fldChar w:fldCharType="begin"/>
        </w:r>
        <w:r>
          <w:rPr>
            <w:noProof/>
            <w:webHidden/>
          </w:rPr>
          <w:instrText xml:space="preserve"> PAGEREF _Toc226200660 \h </w:instrText>
        </w:r>
        <w:r>
          <w:rPr>
            <w:noProof/>
            <w:webHidden/>
          </w:rPr>
        </w:r>
        <w:r>
          <w:rPr>
            <w:noProof/>
            <w:webHidden/>
          </w:rPr>
          <w:fldChar w:fldCharType="separate"/>
        </w:r>
        <w:r w:rsidR="00831581">
          <w:rPr>
            <w:noProof/>
            <w:webHidden/>
          </w:rPr>
          <w:t>53</w:t>
        </w:r>
        <w:r>
          <w:rPr>
            <w:noProof/>
            <w:webHidden/>
          </w:rPr>
          <w:fldChar w:fldCharType="end"/>
        </w:r>
      </w:hyperlink>
    </w:p>
    <w:p w14:paraId="19C1FA6E" w14:textId="148F93E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1" w:history="1">
        <w:r w:rsidRPr="006F0B8B">
          <w:rPr>
            <w:rStyle w:val="Hyperlink"/>
            <w:noProof/>
          </w:rPr>
          <w:t xml:space="preserve">Figure 2.2.12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Emissions by sector for Tokelau,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_Toc226200661 \h </w:instrText>
        </w:r>
        <w:r>
          <w:rPr>
            <w:noProof/>
            <w:webHidden/>
          </w:rPr>
        </w:r>
        <w:r>
          <w:rPr>
            <w:noProof/>
            <w:webHidden/>
          </w:rPr>
          <w:fldChar w:fldCharType="separate"/>
        </w:r>
        <w:r w:rsidR="00831581">
          <w:rPr>
            <w:noProof/>
            <w:webHidden/>
          </w:rPr>
          <w:t>56</w:t>
        </w:r>
        <w:r>
          <w:rPr>
            <w:noProof/>
            <w:webHidden/>
          </w:rPr>
          <w:fldChar w:fldCharType="end"/>
        </w:r>
      </w:hyperlink>
    </w:p>
    <w:p w14:paraId="41B11EBC" w14:textId="2F3AE37C"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2" w:history="1">
        <w:r w:rsidRPr="006F0B8B">
          <w:rPr>
            <w:rStyle w:val="Hyperlink"/>
            <w:noProof/>
          </w:rPr>
          <w:t xml:space="preserve">Figure 2.2.13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gross emissions by gas in 1990, 2005 and 2024</w:t>
        </w:r>
        <w:r>
          <w:rPr>
            <w:noProof/>
            <w:webHidden/>
          </w:rPr>
          <w:tab/>
        </w:r>
        <w:r>
          <w:rPr>
            <w:noProof/>
            <w:webHidden/>
          </w:rPr>
          <w:fldChar w:fldCharType="begin"/>
        </w:r>
        <w:r>
          <w:rPr>
            <w:noProof/>
            <w:webHidden/>
          </w:rPr>
          <w:instrText xml:space="preserve"> PAGEREF _Toc226200662 \h </w:instrText>
        </w:r>
        <w:r>
          <w:rPr>
            <w:noProof/>
            <w:webHidden/>
          </w:rPr>
        </w:r>
        <w:r>
          <w:rPr>
            <w:noProof/>
            <w:webHidden/>
          </w:rPr>
          <w:fldChar w:fldCharType="separate"/>
        </w:r>
        <w:r w:rsidR="00831581">
          <w:rPr>
            <w:noProof/>
            <w:webHidden/>
          </w:rPr>
          <w:t>57</w:t>
        </w:r>
        <w:r>
          <w:rPr>
            <w:noProof/>
            <w:webHidden/>
          </w:rPr>
          <w:fldChar w:fldCharType="end"/>
        </w:r>
      </w:hyperlink>
    </w:p>
    <w:p w14:paraId="42F4E4CB" w14:textId="06E17F45"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3" w:history="1">
        <w:r w:rsidRPr="006F0B8B">
          <w:rPr>
            <w:rStyle w:val="Hyperlink"/>
            <w:noProof/>
          </w:rPr>
          <w:t xml:space="preserve">Figure 2.2.14 </w:t>
        </w:r>
        <w:r>
          <w:rPr>
            <w:rFonts w:asciiTheme="minorHAnsi" w:eastAsiaTheme="minorEastAsia" w:hAnsiTheme="minorHAnsi" w:cstheme="minorBidi"/>
            <w:noProof/>
            <w:kern w:val="2"/>
            <w:sz w:val="24"/>
            <w:szCs w:val="24"/>
            <w14:ligatures w14:val="standardContextual"/>
          </w:rPr>
          <w:tab/>
        </w:r>
        <w:r w:rsidRPr="006F0B8B">
          <w:rPr>
            <w:rStyle w:val="Hyperlink"/>
            <w:noProof/>
          </w:rPr>
          <w:t>Trends in New Zealand’s gross greenhouse gas emissions by gas, from 1990 to 2024</w:t>
        </w:r>
        <w:r>
          <w:rPr>
            <w:noProof/>
            <w:webHidden/>
          </w:rPr>
          <w:tab/>
        </w:r>
        <w:r>
          <w:rPr>
            <w:noProof/>
            <w:webHidden/>
          </w:rPr>
          <w:fldChar w:fldCharType="begin"/>
        </w:r>
        <w:r>
          <w:rPr>
            <w:noProof/>
            <w:webHidden/>
          </w:rPr>
          <w:instrText xml:space="preserve"> PAGEREF _Toc226200663 \h </w:instrText>
        </w:r>
        <w:r>
          <w:rPr>
            <w:noProof/>
            <w:webHidden/>
          </w:rPr>
        </w:r>
        <w:r>
          <w:rPr>
            <w:noProof/>
            <w:webHidden/>
          </w:rPr>
          <w:fldChar w:fldCharType="separate"/>
        </w:r>
        <w:r w:rsidR="00831581">
          <w:rPr>
            <w:noProof/>
            <w:webHidden/>
          </w:rPr>
          <w:t>58</w:t>
        </w:r>
        <w:r>
          <w:rPr>
            <w:noProof/>
            <w:webHidden/>
          </w:rPr>
          <w:fldChar w:fldCharType="end"/>
        </w:r>
      </w:hyperlink>
    </w:p>
    <w:p w14:paraId="47FA190F" w14:textId="7E8D2488"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4" w:history="1">
        <w:r w:rsidRPr="006F0B8B">
          <w:rPr>
            <w:rStyle w:val="Hyperlink"/>
            <w:rFonts w:cs="Calibri"/>
            <w:noProof/>
          </w:rPr>
          <w:t>Figure 3.1.1</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rPr>
          <w:t>New Zealand’s Energy sector emissions, from 1990 to 2024</w:t>
        </w:r>
        <w:r>
          <w:rPr>
            <w:noProof/>
            <w:webHidden/>
          </w:rPr>
          <w:tab/>
        </w:r>
        <w:r>
          <w:rPr>
            <w:noProof/>
            <w:webHidden/>
          </w:rPr>
          <w:fldChar w:fldCharType="begin"/>
        </w:r>
        <w:r>
          <w:rPr>
            <w:noProof/>
            <w:webHidden/>
          </w:rPr>
          <w:instrText xml:space="preserve"> PAGEREF _Toc226200664 \h </w:instrText>
        </w:r>
        <w:r>
          <w:rPr>
            <w:noProof/>
            <w:webHidden/>
          </w:rPr>
        </w:r>
        <w:r>
          <w:rPr>
            <w:noProof/>
            <w:webHidden/>
          </w:rPr>
          <w:fldChar w:fldCharType="separate"/>
        </w:r>
        <w:r w:rsidR="00831581">
          <w:rPr>
            <w:noProof/>
            <w:webHidden/>
          </w:rPr>
          <w:t>63</w:t>
        </w:r>
        <w:r>
          <w:rPr>
            <w:noProof/>
            <w:webHidden/>
          </w:rPr>
          <w:fldChar w:fldCharType="end"/>
        </w:r>
      </w:hyperlink>
    </w:p>
    <w:p w14:paraId="60A04211" w14:textId="56398D17"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5" w:history="1">
        <w:r w:rsidRPr="006F0B8B">
          <w:rPr>
            <w:rStyle w:val="Hyperlink"/>
            <w:rFonts w:cs="Calibri"/>
            <w:noProof/>
          </w:rPr>
          <w:t>Figure 3.1.2</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rPr>
          <w:t>Natural gas consumption by end use type, petajoules (PJ), from 1990 to 2024</w:t>
        </w:r>
        <w:r>
          <w:rPr>
            <w:noProof/>
            <w:webHidden/>
          </w:rPr>
          <w:tab/>
        </w:r>
        <w:r>
          <w:rPr>
            <w:noProof/>
            <w:webHidden/>
          </w:rPr>
          <w:fldChar w:fldCharType="begin"/>
        </w:r>
        <w:r>
          <w:rPr>
            <w:noProof/>
            <w:webHidden/>
          </w:rPr>
          <w:instrText xml:space="preserve"> PAGEREF _Toc226200665 \h </w:instrText>
        </w:r>
        <w:r>
          <w:rPr>
            <w:noProof/>
            <w:webHidden/>
          </w:rPr>
        </w:r>
        <w:r>
          <w:rPr>
            <w:noProof/>
            <w:webHidden/>
          </w:rPr>
          <w:fldChar w:fldCharType="separate"/>
        </w:r>
        <w:r w:rsidR="00831581">
          <w:rPr>
            <w:noProof/>
            <w:webHidden/>
          </w:rPr>
          <w:t>66</w:t>
        </w:r>
        <w:r>
          <w:rPr>
            <w:noProof/>
            <w:webHidden/>
          </w:rPr>
          <w:fldChar w:fldCharType="end"/>
        </w:r>
      </w:hyperlink>
    </w:p>
    <w:p w14:paraId="7F137C69" w14:textId="4014AF6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6" w:history="1">
        <w:r w:rsidRPr="006F0B8B">
          <w:rPr>
            <w:rStyle w:val="Hyperlink"/>
            <w:rFonts w:cs="Calibri"/>
            <w:noProof/>
          </w:rPr>
          <w:t>Figure 3.2.1</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rPr>
          <w:t xml:space="preserve">New Zealand’s emissions from the </w:t>
        </w:r>
        <w:r w:rsidRPr="006F0B8B">
          <w:rPr>
            <w:rStyle w:val="Hyperlink"/>
            <w:rFonts w:cs="Calibri"/>
            <w:i/>
            <w:iCs/>
            <w:noProof/>
          </w:rPr>
          <w:t>Fuel</w:t>
        </w:r>
        <w:r w:rsidRPr="006F0B8B">
          <w:rPr>
            <w:rStyle w:val="Hyperlink"/>
            <w:rFonts w:cs="Calibri"/>
            <w:i/>
            <w:noProof/>
          </w:rPr>
          <w:t xml:space="preserve"> combustion</w:t>
        </w:r>
        <w:r w:rsidRPr="006F0B8B">
          <w:rPr>
            <w:rStyle w:val="Hyperlink"/>
            <w:rFonts w:cs="Calibri"/>
            <w:noProof/>
          </w:rPr>
          <w:t xml:space="preserve"> categories, 1990 versus 2005 and 2024</w:t>
        </w:r>
        <w:r>
          <w:rPr>
            <w:noProof/>
            <w:webHidden/>
          </w:rPr>
          <w:tab/>
        </w:r>
        <w:r>
          <w:rPr>
            <w:noProof/>
            <w:webHidden/>
          </w:rPr>
          <w:fldChar w:fldCharType="begin"/>
        </w:r>
        <w:r>
          <w:rPr>
            <w:noProof/>
            <w:webHidden/>
          </w:rPr>
          <w:instrText xml:space="preserve"> PAGEREF _Toc226200666 \h </w:instrText>
        </w:r>
        <w:r>
          <w:rPr>
            <w:noProof/>
            <w:webHidden/>
          </w:rPr>
        </w:r>
        <w:r>
          <w:rPr>
            <w:noProof/>
            <w:webHidden/>
          </w:rPr>
          <w:fldChar w:fldCharType="separate"/>
        </w:r>
        <w:r w:rsidR="00831581">
          <w:rPr>
            <w:noProof/>
            <w:webHidden/>
          </w:rPr>
          <w:t>67</w:t>
        </w:r>
        <w:r>
          <w:rPr>
            <w:noProof/>
            <w:webHidden/>
          </w:rPr>
          <w:fldChar w:fldCharType="end"/>
        </w:r>
      </w:hyperlink>
    </w:p>
    <w:p w14:paraId="2998BA1D" w14:textId="283410D3"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7" w:history="1">
        <w:r w:rsidRPr="006F0B8B">
          <w:rPr>
            <w:rStyle w:val="Hyperlink"/>
            <w:rFonts w:cs="Calibri"/>
            <w:noProof/>
          </w:rPr>
          <w:t xml:space="preserve">Figure 3.2.2 </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rPr>
          <w:t>Energy sector quality control process map</w:t>
        </w:r>
        <w:r>
          <w:rPr>
            <w:noProof/>
            <w:webHidden/>
          </w:rPr>
          <w:tab/>
        </w:r>
        <w:r>
          <w:rPr>
            <w:noProof/>
            <w:webHidden/>
          </w:rPr>
          <w:fldChar w:fldCharType="begin"/>
        </w:r>
        <w:r>
          <w:rPr>
            <w:noProof/>
            <w:webHidden/>
          </w:rPr>
          <w:instrText xml:space="preserve"> PAGEREF _Toc226200667 \h </w:instrText>
        </w:r>
        <w:r>
          <w:rPr>
            <w:noProof/>
            <w:webHidden/>
          </w:rPr>
        </w:r>
        <w:r>
          <w:rPr>
            <w:noProof/>
            <w:webHidden/>
          </w:rPr>
          <w:fldChar w:fldCharType="separate"/>
        </w:r>
        <w:r w:rsidR="00831581">
          <w:rPr>
            <w:noProof/>
            <w:webHidden/>
          </w:rPr>
          <w:t>74</w:t>
        </w:r>
        <w:r>
          <w:rPr>
            <w:noProof/>
            <w:webHidden/>
          </w:rPr>
          <w:fldChar w:fldCharType="end"/>
        </w:r>
      </w:hyperlink>
    </w:p>
    <w:p w14:paraId="6328A8A6" w14:textId="7FCB94D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8" w:history="1">
        <w:r w:rsidRPr="006F0B8B">
          <w:rPr>
            <w:rStyle w:val="Hyperlink"/>
            <w:rFonts w:cs="Calibri"/>
            <w:noProof/>
          </w:rPr>
          <w:t xml:space="preserve">Figure 3.2.3 </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rPr>
          <w:t>Liquid fuel combustion, from 1990 to 2024 – carbon dioxide implied emission factor (IEF) (tonnes CH</w:t>
        </w:r>
        <w:r w:rsidRPr="006F0B8B">
          <w:rPr>
            <w:rStyle w:val="Hyperlink"/>
            <w:rFonts w:cs="Calibri"/>
            <w:noProof/>
            <w:vertAlign w:val="subscript"/>
          </w:rPr>
          <w:t>4</w:t>
        </w:r>
        <w:r w:rsidRPr="006F0B8B">
          <w:rPr>
            <w:rStyle w:val="Hyperlink"/>
            <w:rFonts w:cs="Calibri"/>
            <w:noProof/>
          </w:rPr>
          <w:t xml:space="preserve"> per terajoule (t CH</w:t>
        </w:r>
        <w:r w:rsidRPr="006F0B8B">
          <w:rPr>
            <w:rStyle w:val="Hyperlink"/>
            <w:rFonts w:cs="Calibri"/>
            <w:noProof/>
            <w:vertAlign w:val="subscript"/>
          </w:rPr>
          <w:t>4</w:t>
        </w:r>
        <w:r w:rsidRPr="006F0B8B">
          <w:rPr>
            <w:rStyle w:val="Hyperlink"/>
            <w:rFonts w:cs="Calibri"/>
            <w:noProof/>
          </w:rPr>
          <w:t>/TJ))</w:t>
        </w:r>
        <w:r>
          <w:rPr>
            <w:noProof/>
            <w:webHidden/>
          </w:rPr>
          <w:tab/>
        </w:r>
        <w:r>
          <w:rPr>
            <w:noProof/>
            <w:webHidden/>
          </w:rPr>
          <w:fldChar w:fldCharType="begin"/>
        </w:r>
        <w:r>
          <w:rPr>
            <w:noProof/>
            <w:webHidden/>
          </w:rPr>
          <w:instrText xml:space="preserve"> PAGEREF _Toc226200668 \h </w:instrText>
        </w:r>
        <w:r>
          <w:rPr>
            <w:noProof/>
            <w:webHidden/>
          </w:rPr>
        </w:r>
        <w:r>
          <w:rPr>
            <w:noProof/>
            <w:webHidden/>
          </w:rPr>
          <w:fldChar w:fldCharType="separate"/>
        </w:r>
        <w:r w:rsidR="00831581">
          <w:rPr>
            <w:noProof/>
            <w:webHidden/>
          </w:rPr>
          <w:t>75</w:t>
        </w:r>
        <w:r>
          <w:rPr>
            <w:noProof/>
            <w:webHidden/>
          </w:rPr>
          <w:fldChar w:fldCharType="end"/>
        </w:r>
      </w:hyperlink>
    </w:p>
    <w:p w14:paraId="29DAD866" w14:textId="60A3BBD9"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69" w:history="1">
        <w:r w:rsidRPr="006F0B8B">
          <w:rPr>
            <w:rStyle w:val="Hyperlink"/>
            <w:rFonts w:cs="Calibri"/>
            <w:noProof/>
          </w:rPr>
          <w:t xml:space="preserve">Figure 3.2.4 </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rPr>
          <w:t>Solid fuel combustion, from 1990 to 2024 – carbon dioxide IEF (t CH</w:t>
        </w:r>
        <w:r w:rsidRPr="006F0B8B">
          <w:rPr>
            <w:rStyle w:val="Hyperlink"/>
            <w:rFonts w:cs="Calibri"/>
            <w:noProof/>
            <w:vertAlign w:val="subscript"/>
          </w:rPr>
          <w:t>4</w:t>
        </w:r>
        <w:r w:rsidRPr="006F0B8B">
          <w:rPr>
            <w:rStyle w:val="Hyperlink"/>
            <w:rFonts w:cs="Calibri"/>
            <w:noProof/>
          </w:rPr>
          <w:t>/TJ)</w:t>
        </w:r>
        <w:r>
          <w:rPr>
            <w:noProof/>
            <w:webHidden/>
          </w:rPr>
          <w:tab/>
        </w:r>
        <w:r>
          <w:rPr>
            <w:noProof/>
            <w:webHidden/>
          </w:rPr>
          <w:fldChar w:fldCharType="begin"/>
        </w:r>
        <w:r>
          <w:rPr>
            <w:noProof/>
            <w:webHidden/>
          </w:rPr>
          <w:instrText xml:space="preserve"> PAGEREF _Toc226200669 \h </w:instrText>
        </w:r>
        <w:r>
          <w:rPr>
            <w:noProof/>
            <w:webHidden/>
          </w:rPr>
        </w:r>
        <w:r>
          <w:rPr>
            <w:noProof/>
            <w:webHidden/>
          </w:rPr>
          <w:fldChar w:fldCharType="separate"/>
        </w:r>
        <w:r w:rsidR="00831581">
          <w:rPr>
            <w:noProof/>
            <w:webHidden/>
          </w:rPr>
          <w:t>75</w:t>
        </w:r>
        <w:r>
          <w:rPr>
            <w:noProof/>
            <w:webHidden/>
          </w:rPr>
          <w:fldChar w:fldCharType="end"/>
        </w:r>
      </w:hyperlink>
    </w:p>
    <w:p w14:paraId="4BAC90B4" w14:textId="7F40997C"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0" w:history="1">
        <w:r w:rsidRPr="006F0B8B">
          <w:rPr>
            <w:rStyle w:val="Hyperlink"/>
            <w:rFonts w:cs="Calibri"/>
            <w:noProof/>
          </w:rPr>
          <w:t>Figure 3.2.5</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lang w:eastAsia="en-GB"/>
          </w:rPr>
          <w:t xml:space="preserve">Gaseous fuel combustion, </w:t>
        </w:r>
        <w:r w:rsidRPr="006F0B8B">
          <w:rPr>
            <w:rStyle w:val="Hyperlink"/>
            <w:rFonts w:cs="Calibri"/>
            <w:noProof/>
          </w:rPr>
          <w:t>from 1990 to 2024 – c</w:t>
        </w:r>
        <w:r w:rsidRPr="006F0B8B">
          <w:rPr>
            <w:rStyle w:val="Hyperlink"/>
            <w:rFonts w:cs="Calibri"/>
            <w:noProof/>
            <w:lang w:eastAsia="en-GB"/>
          </w:rPr>
          <w:t xml:space="preserve">arbon dioxide </w:t>
        </w:r>
        <w:r w:rsidRPr="006F0B8B">
          <w:rPr>
            <w:rStyle w:val="Hyperlink"/>
            <w:rFonts w:cs="Calibri"/>
            <w:noProof/>
          </w:rPr>
          <w:t>IEF</w:t>
        </w:r>
        <w:r w:rsidRPr="006F0B8B">
          <w:rPr>
            <w:rStyle w:val="Hyperlink"/>
            <w:rFonts w:cs="Calibri"/>
            <w:noProof/>
            <w:lang w:eastAsia="en-GB"/>
          </w:rPr>
          <w:t xml:space="preserve"> </w:t>
        </w:r>
        <w:r w:rsidRPr="006F0B8B">
          <w:rPr>
            <w:rStyle w:val="Hyperlink"/>
            <w:rFonts w:cs="Calibri"/>
            <w:noProof/>
          </w:rPr>
          <w:t>(t CH</w:t>
        </w:r>
        <w:r w:rsidRPr="006F0B8B">
          <w:rPr>
            <w:rStyle w:val="Hyperlink"/>
            <w:rFonts w:cs="Calibri"/>
            <w:noProof/>
            <w:vertAlign w:val="subscript"/>
          </w:rPr>
          <w:t>4</w:t>
        </w:r>
        <w:r w:rsidRPr="006F0B8B">
          <w:rPr>
            <w:rStyle w:val="Hyperlink"/>
            <w:rFonts w:cs="Calibri"/>
            <w:noProof/>
          </w:rPr>
          <w:t>/TJ)</w:t>
        </w:r>
        <w:r>
          <w:rPr>
            <w:noProof/>
            <w:webHidden/>
          </w:rPr>
          <w:tab/>
        </w:r>
        <w:r>
          <w:rPr>
            <w:noProof/>
            <w:webHidden/>
          </w:rPr>
          <w:fldChar w:fldCharType="begin"/>
        </w:r>
        <w:r>
          <w:rPr>
            <w:noProof/>
            <w:webHidden/>
          </w:rPr>
          <w:instrText xml:space="preserve"> PAGEREF _Toc226200670 \h </w:instrText>
        </w:r>
        <w:r>
          <w:rPr>
            <w:noProof/>
            <w:webHidden/>
          </w:rPr>
        </w:r>
        <w:r>
          <w:rPr>
            <w:noProof/>
            <w:webHidden/>
          </w:rPr>
          <w:fldChar w:fldCharType="separate"/>
        </w:r>
        <w:r w:rsidR="00831581">
          <w:rPr>
            <w:noProof/>
            <w:webHidden/>
          </w:rPr>
          <w:t>76</w:t>
        </w:r>
        <w:r>
          <w:rPr>
            <w:noProof/>
            <w:webHidden/>
          </w:rPr>
          <w:fldChar w:fldCharType="end"/>
        </w:r>
      </w:hyperlink>
    </w:p>
    <w:p w14:paraId="36382674" w14:textId="69407510"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1" w:history="1">
        <w:r w:rsidRPr="006F0B8B">
          <w:rPr>
            <w:rStyle w:val="Hyperlink"/>
            <w:rFonts w:cs="Calibri"/>
            <w:noProof/>
          </w:rPr>
          <w:t>Figure 3.2.6</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lang w:eastAsia="en-GB"/>
          </w:rPr>
          <w:t xml:space="preserve">New Zealand’s </w:t>
        </w:r>
        <w:r w:rsidRPr="006F0B8B">
          <w:rPr>
            <w:rStyle w:val="Hyperlink"/>
            <w:rFonts w:cs="Calibri"/>
            <w:noProof/>
          </w:rPr>
          <w:t>electricity</w:t>
        </w:r>
        <w:r w:rsidRPr="006F0B8B">
          <w:rPr>
            <w:rStyle w:val="Hyperlink"/>
            <w:rFonts w:cs="Calibri"/>
            <w:noProof/>
            <w:lang w:eastAsia="en-GB"/>
          </w:rPr>
          <w:t xml:space="preserve"> generation by source, from 1990 to 2024</w:t>
        </w:r>
        <w:r>
          <w:rPr>
            <w:noProof/>
            <w:webHidden/>
          </w:rPr>
          <w:tab/>
        </w:r>
        <w:r>
          <w:rPr>
            <w:noProof/>
            <w:webHidden/>
          </w:rPr>
          <w:fldChar w:fldCharType="begin"/>
        </w:r>
        <w:r>
          <w:rPr>
            <w:noProof/>
            <w:webHidden/>
          </w:rPr>
          <w:instrText xml:space="preserve"> PAGEREF _Toc226200671 \h </w:instrText>
        </w:r>
        <w:r>
          <w:rPr>
            <w:noProof/>
            <w:webHidden/>
          </w:rPr>
        </w:r>
        <w:r>
          <w:rPr>
            <w:noProof/>
            <w:webHidden/>
          </w:rPr>
          <w:fldChar w:fldCharType="separate"/>
        </w:r>
        <w:r w:rsidR="00831581">
          <w:rPr>
            <w:noProof/>
            <w:webHidden/>
          </w:rPr>
          <w:t>77</w:t>
        </w:r>
        <w:r>
          <w:rPr>
            <w:noProof/>
            <w:webHidden/>
          </w:rPr>
          <w:fldChar w:fldCharType="end"/>
        </w:r>
      </w:hyperlink>
    </w:p>
    <w:p w14:paraId="2327FA8C" w14:textId="3CD4E0F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2" w:history="1">
        <w:r w:rsidRPr="006F0B8B">
          <w:rPr>
            <w:rStyle w:val="Hyperlink"/>
            <w:rFonts w:cs="Calibri"/>
            <w:noProof/>
          </w:rPr>
          <w:t>Figure 3.2.7</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lang w:eastAsia="en-GB"/>
          </w:rPr>
          <w:t>Decision tree to identify a main activity electricity generator or an autoproducer</w:t>
        </w:r>
        <w:r>
          <w:rPr>
            <w:noProof/>
            <w:webHidden/>
          </w:rPr>
          <w:tab/>
        </w:r>
        <w:r>
          <w:rPr>
            <w:noProof/>
            <w:webHidden/>
          </w:rPr>
          <w:fldChar w:fldCharType="begin"/>
        </w:r>
        <w:r>
          <w:rPr>
            <w:noProof/>
            <w:webHidden/>
          </w:rPr>
          <w:instrText xml:space="preserve"> PAGEREF _Toc226200672 \h </w:instrText>
        </w:r>
        <w:r>
          <w:rPr>
            <w:noProof/>
            <w:webHidden/>
          </w:rPr>
        </w:r>
        <w:r>
          <w:rPr>
            <w:noProof/>
            <w:webHidden/>
          </w:rPr>
          <w:fldChar w:fldCharType="separate"/>
        </w:r>
        <w:r w:rsidR="00831581">
          <w:rPr>
            <w:noProof/>
            <w:webHidden/>
          </w:rPr>
          <w:t>79</w:t>
        </w:r>
        <w:r>
          <w:rPr>
            <w:noProof/>
            <w:webHidden/>
          </w:rPr>
          <w:fldChar w:fldCharType="end"/>
        </w:r>
      </w:hyperlink>
    </w:p>
    <w:p w14:paraId="4FC38E7F" w14:textId="12218DA6"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3" w:history="1">
        <w:r w:rsidRPr="006F0B8B">
          <w:rPr>
            <w:rStyle w:val="Hyperlink"/>
            <w:noProof/>
          </w:rPr>
          <w:t xml:space="preserve">Figure 3.2.8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Proportions used for </w:t>
        </w:r>
        <w:r w:rsidRPr="006F0B8B">
          <w:rPr>
            <w:rStyle w:val="Hyperlink"/>
            <w:i/>
            <w:iCs/>
            <w:noProof/>
          </w:rPr>
          <w:t>Manufacturing industries and construction</w:t>
        </w:r>
        <w:r w:rsidRPr="006F0B8B">
          <w:rPr>
            <w:rStyle w:val="Hyperlink"/>
            <w:noProof/>
          </w:rPr>
          <w:t xml:space="preserve"> category – Gasoline, from 1990 to 2024</w:t>
        </w:r>
        <w:r>
          <w:rPr>
            <w:noProof/>
            <w:webHidden/>
          </w:rPr>
          <w:tab/>
        </w:r>
        <w:r>
          <w:rPr>
            <w:noProof/>
            <w:webHidden/>
          </w:rPr>
          <w:fldChar w:fldCharType="begin"/>
        </w:r>
        <w:r>
          <w:rPr>
            <w:noProof/>
            <w:webHidden/>
          </w:rPr>
          <w:instrText xml:space="preserve"> PAGEREF _Toc226200673 \h </w:instrText>
        </w:r>
        <w:r>
          <w:rPr>
            <w:noProof/>
            <w:webHidden/>
          </w:rPr>
        </w:r>
        <w:r>
          <w:rPr>
            <w:noProof/>
            <w:webHidden/>
          </w:rPr>
          <w:fldChar w:fldCharType="separate"/>
        </w:r>
        <w:r w:rsidR="00831581">
          <w:rPr>
            <w:noProof/>
            <w:webHidden/>
          </w:rPr>
          <w:t>84</w:t>
        </w:r>
        <w:r>
          <w:rPr>
            <w:noProof/>
            <w:webHidden/>
          </w:rPr>
          <w:fldChar w:fldCharType="end"/>
        </w:r>
      </w:hyperlink>
    </w:p>
    <w:p w14:paraId="1C3E7C79" w14:textId="420DCF9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4" w:history="1">
        <w:r w:rsidRPr="006F0B8B">
          <w:rPr>
            <w:rStyle w:val="Hyperlink"/>
            <w:noProof/>
          </w:rPr>
          <w:t xml:space="preserve">Figure 3.2.9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Proportions used for </w:t>
        </w:r>
        <w:r w:rsidRPr="006F0B8B">
          <w:rPr>
            <w:rStyle w:val="Hyperlink"/>
            <w:i/>
            <w:iCs/>
            <w:noProof/>
          </w:rPr>
          <w:t>Manufacturing industries and construction</w:t>
        </w:r>
        <w:r w:rsidRPr="006F0B8B">
          <w:rPr>
            <w:rStyle w:val="Hyperlink"/>
            <w:noProof/>
          </w:rPr>
          <w:t xml:space="preserve"> category – Diesel, from 1990 to 2024</w:t>
        </w:r>
        <w:r>
          <w:rPr>
            <w:noProof/>
            <w:webHidden/>
          </w:rPr>
          <w:tab/>
        </w:r>
        <w:r>
          <w:rPr>
            <w:noProof/>
            <w:webHidden/>
          </w:rPr>
          <w:fldChar w:fldCharType="begin"/>
        </w:r>
        <w:r>
          <w:rPr>
            <w:noProof/>
            <w:webHidden/>
          </w:rPr>
          <w:instrText xml:space="preserve"> PAGEREF _Toc226200674 \h </w:instrText>
        </w:r>
        <w:r>
          <w:rPr>
            <w:noProof/>
            <w:webHidden/>
          </w:rPr>
        </w:r>
        <w:r>
          <w:rPr>
            <w:noProof/>
            <w:webHidden/>
          </w:rPr>
          <w:fldChar w:fldCharType="separate"/>
        </w:r>
        <w:r w:rsidR="00831581">
          <w:rPr>
            <w:noProof/>
            <w:webHidden/>
          </w:rPr>
          <w:t>85</w:t>
        </w:r>
        <w:r>
          <w:rPr>
            <w:noProof/>
            <w:webHidden/>
          </w:rPr>
          <w:fldChar w:fldCharType="end"/>
        </w:r>
      </w:hyperlink>
    </w:p>
    <w:p w14:paraId="2439FBBC" w14:textId="18CB9F32"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5" w:history="1">
        <w:r w:rsidRPr="006F0B8B">
          <w:rPr>
            <w:rStyle w:val="Hyperlink"/>
            <w:rFonts w:cs="Calibri"/>
            <w:noProof/>
          </w:rPr>
          <w:t>Figure 3.2.10</w:t>
        </w:r>
        <w:r w:rsidRPr="006F0B8B">
          <w:rPr>
            <w:rStyle w:val="Hyperlink"/>
            <w:rFonts w:cs="Calibri"/>
            <w:noProof/>
            <w:lang w:eastAsia="en-GB"/>
          </w:rPr>
          <w:t xml:space="preserve"> </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lang w:eastAsia="en-GB"/>
          </w:rPr>
          <w:t>Splicing method decision tree for gasoline emissions</w:t>
        </w:r>
        <w:r>
          <w:rPr>
            <w:noProof/>
            <w:webHidden/>
          </w:rPr>
          <w:tab/>
        </w:r>
        <w:r>
          <w:rPr>
            <w:noProof/>
            <w:webHidden/>
          </w:rPr>
          <w:fldChar w:fldCharType="begin"/>
        </w:r>
        <w:r>
          <w:rPr>
            <w:noProof/>
            <w:webHidden/>
          </w:rPr>
          <w:instrText xml:space="preserve"> PAGEREF _Toc226200675 \h </w:instrText>
        </w:r>
        <w:r>
          <w:rPr>
            <w:noProof/>
            <w:webHidden/>
          </w:rPr>
        </w:r>
        <w:r>
          <w:rPr>
            <w:noProof/>
            <w:webHidden/>
          </w:rPr>
          <w:fldChar w:fldCharType="separate"/>
        </w:r>
        <w:r w:rsidR="00831581">
          <w:rPr>
            <w:noProof/>
            <w:webHidden/>
          </w:rPr>
          <w:t>90</w:t>
        </w:r>
        <w:r>
          <w:rPr>
            <w:noProof/>
            <w:webHidden/>
          </w:rPr>
          <w:fldChar w:fldCharType="end"/>
        </w:r>
      </w:hyperlink>
    </w:p>
    <w:p w14:paraId="5F7B239A" w14:textId="60C169B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6" w:history="1">
        <w:r w:rsidRPr="006F0B8B">
          <w:rPr>
            <w:rStyle w:val="Hyperlink"/>
            <w:rFonts w:cs="Calibri"/>
            <w:noProof/>
          </w:rPr>
          <w:t xml:space="preserve">Figure 3.3.1 </w:t>
        </w:r>
        <w:r>
          <w:rPr>
            <w:rFonts w:asciiTheme="minorHAnsi" w:eastAsiaTheme="minorEastAsia" w:hAnsiTheme="minorHAnsi" w:cstheme="minorBidi"/>
            <w:noProof/>
            <w:kern w:val="2"/>
            <w:sz w:val="24"/>
            <w:szCs w:val="24"/>
            <w14:ligatures w14:val="standardContextual"/>
          </w:rPr>
          <w:tab/>
        </w:r>
        <w:r w:rsidRPr="006F0B8B">
          <w:rPr>
            <w:rStyle w:val="Hyperlink"/>
            <w:rFonts w:cs="Calibri"/>
            <w:noProof/>
          </w:rPr>
          <w:t>Schematic diagram of the use of geothermal fluid for electricity generation – as at Wairakei and Ohaaki geothermal stations (New Zealand Institute of Chemistry, 1998)</w:t>
        </w:r>
        <w:r>
          <w:rPr>
            <w:noProof/>
            <w:webHidden/>
          </w:rPr>
          <w:tab/>
        </w:r>
        <w:r>
          <w:rPr>
            <w:noProof/>
            <w:webHidden/>
          </w:rPr>
          <w:fldChar w:fldCharType="begin"/>
        </w:r>
        <w:r>
          <w:rPr>
            <w:noProof/>
            <w:webHidden/>
          </w:rPr>
          <w:instrText xml:space="preserve"> PAGEREF _Toc226200676 \h </w:instrText>
        </w:r>
        <w:r>
          <w:rPr>
            <w:noProof/>
            <w:webHidden/>
          </w:rPr>
        </w:r>
        <w:r>
          <w:rPr>
            <w:noProof/>
            <w:webHidden/>
          </w:rPr>
          <w:fldChar w:fldCharType="separate"/>
        </w:r>
        <w:r w:rsidR="00831581">
          <w:rPr>
            <w:noProof/>
            <w:webHidden/>
          </w:rPr>
          <w:t>103</w:t>
        </w:r>
        <w:r>
          <w:rPr>
            <w:noProof/>
            <w:webHidden/>
          </w:rPr>
          <w:fldChar w:fldCharType="end"/>
        </w:r>
      </w:hyperlink>
    </w:p>
    <w:p w14:paraId="1211AFA7" w14:textId="6E789447"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7" w:history="1">
        <w:r w:rsidRPr="006F0B8B">
          <w:rPr>
            <w:rStyle w:val="Hyperlink"/>
            <w:noProof/>
          </w:rPr>
          <w:t xml:space="preserve">Figure 4.1.1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annual emissions from the IPPU sector, from 1990 to 2024</w:t>
        </w:r>
        <w:r>
          <w:rPr>
            <w:noProof/>
            <w:webHidden/>
          </w:rPr>
          <w:tab/>
        </w:r>
        <w:r>
          <w:rPr>
            <w:noProof/>
            <w:webHidden/>
          </w:rPr>
          <w:fldChar w:fldCharType="begin"/>
        </w:r>
        <w:r>
          <w:rPr>
            <w:noProof/>
            <w:webHidden/>
          </w:rPr>
          <w:instrText xml:space="preserve"> PAGEREF _Toc226200677 \h </w:instrText>
        </w:r>
        <w:r>
          <w:rPr>
            <w:noProof/>
            <w:webHidden/>
          </w:rPr>
        </w:r>
        <w:r>
          <w:rPr>
            <w:noProof/>
            <w:webHidden/>
          </w:rPr>
          <w:fldChar w:fldCharType="separate"/>
        </w:r>
        <w:r w:rsidR="00831581">
          <w:rPr>
            <w:noProof/>
            <w:webHidden/>
          </w:rPr>
          <w:t>113</w:t>
        </w:r>
        <w:r>
          <w:rPr>
            <w:noProof/>
            <w:webHidden/>
          </w:rPr>
          <w:fldChar w:fldCharType="end"/>
        </w:r>
      </w:hyperlink>
    </w:p>
    <w:p w14:paraId="4B8C51F0" w14:textId="1E84A615"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8" w:history="1">
        <w:r w:rsidRPr="006F0B8B">
          <w:rPr>
            <w:rStyle w:val="Hyperlink"/>
            <w:noProof/>
          </w:rPr>
          <w:t xml:space="preserve">Figure 4.1.2 </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emissions from the IPPU sector in 1990, 2005 and 2024</w:t>
        </w:r>
        <w:r>
          <w:rPr>
            <w:noProof/>
            <w:webHidden/>
          </w:rPr>
          <w:tab/>
        </w:r>
        <w:r>
          <w:rPr>
            <w:noProof/>
            <w:webHidden/>
          </w:rPr>
          <w:fldChar w:fldCharType="begin"/>
        </w:r>
        <w:r>
          <w:rPr>
            <w:noProof/>
            <w:webHidden/>
          </w:rPr>
          <w:instrText xml:space="preserve"> PAGEREF _Toc226200678 \h </w:instrText>
        </w:r>
        <w:r>
          <w:rPr>
            <w:noProof/>
            <w:webHidden/>
          </w:rPr>
        </w:r>
        <w:r>
          <w:rPr>
            <w:noProof/>
            <w:webHidden/>
          </w:rPr>
          <w:fldChar w:fldCharType="separate"/>
        </w:r>
        <w:r w:rsidR="00831581">
          <w:rPr>
            <w:noProof/>
            <w:webHidden/>
          </w:rPr>
          <w:t>113</w:t>
        </w:r>
        <w:r>
          <w:rPr>
            <w:noProof/>
            <w:webHidden/>
          </w:rPr>
          <w:fldChar w:fldCharType="end"/>
        </w:r>
      </w:hyperlink>
    </w:p>
    <w:p w14:paraId="61304DD6" w14:textId="0A5815FE"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79" w:history="1">
        <w:r w:rsidRPr="006F0B8B">
          <w:rPr>
            <w:rStyle w:val="Hyperlink"/>
            <w:noProof/>
          </w:rPr>
          <w:t xml:space="preserve">Figure 4.1.3 </w:t>
        </w:r>
        <w:r>
          <w:rPr>
            <w:rFonts w:asciiTheme="minorHAnsi" w:eastAsiaTheme="minorEastAsia" w:hAnsiTheme="minorHAnsi" w:cstheme="minorBidi"/>
            <w:noProof/>
            <w:kern w:val="2"/>
            <w:sz w:val="24"/>
            <w:szCs w:val="24"/>
            <w14:ligatures w14:val="standardContextual"/>
          </w:rPr>
          <w:tab/>
        </w:r>
        <w:r w:rsidRPr="006F0B8B">
          <w:rPr>
            <w:rStyle w:val="Hyperlink"/>
            <w:noProof/>
          </w:rPr>
          <w:t>Example: Tier 1 quality checks for the IPPU sector</w:t>
        </w:r>
        <w:r>
          <w:rPr>
            <w:noProof/>
            <w:webHidden/>
          </w:rPr>
          <w:tab/>
        </w:r>
        <w:r>
          <w:rPr>
            <w:noProof/>
            <w:webHidden/>
          </w:rPr>
          <w:fldChar w:fldCharType="begin"/>
        </w:r>
        <w:r>
          <w:rPr>
            <w:noProof/>
            <w:webHidden/>
          </w:rPr>
          <w:instrText xml:space="preserve"> PAGEREF _Toc226200679 \h </w:instrText>
        </w:r>
        <w:r>
          <w:rPr>
            <w:noProof/>
            <w:webHidden/>
          </w:rPr>
        </w:r>
        <w:r>
          <w:rPr>
            <w:noProof/>
            <w:webHidden/>
          </w:rPr>
          <w:fldChar w:fldCharType="separate"/>
        </w:r>
        <w:r w:rsidR="00831581">
          <w:rPr>
            <w:noProof/>
            <w:webHidden/>
          </w:rPr>
          <w:t>117</w:t>
        </w:r>
        <w:r>
          <w:rPr>
            <w:noProof/>
            <w:webHidden/>
          </w:rPr>
          <w:fldChar w:fldCharType="end"/>
        </w:r>
      </w:hyperlink>
    </w:p>
    <w:p w14:paraId="1526E8EE" w14:textId="5510E41F"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0" w:history="1">
        <w:r w:rsidRPr="006F0B8B">
          <w:rPr>
            <w:rStyle w:val="Hyperlink"/>
            <w:noProof/>
          </w:rPr>
          <w:t xml:space="preserve">Figure 4.4.1 </w:t>
        </w:r>
        <w:r>
          <w:rPr>
            <w:rFonts w:asciiTheme="minorHAnsi" w:eastAsiaTheme="minorEastAsia" w:hAnsiTheme="minorHAnsi" w:cstheme="minorBidi"/>
            <w:noProof/>
            <w:kern w:val="2"/>
            <w:sz w:val="24"/>
            <w:szCs w:val="24"/>
            <w14:ligatures w14:val="standardContextual"/>
          </w:rPr>
          <w:tab/>
        </w:r>
        <w:r w:rsidRPr="006F0B8B">
          <w:rPr>
            <w:rStyle w:val="Hyperlink"/>
            <w:noProof/>
          </w:rPr>
          <w:t>Simplified schematic of steel production in New Zealand</w:t>
        </w:r>
        <w:r>
          <w:rPr>
            <w:noProof/>
            <w:webHidden/>
          </w:rPr>
          <w:tab/>
        </w:r>
        <w:r>
          <w:rPr>
            <w:noProof/>
            <w:webHidden/>
          </w:rPr>
          <w:fldChar w:fldCharType="begin"/>
        </w:r>
        <w:r>
          <w:rPr>
            <w:noProof/>
            <w:webHidden/>
          </w:rPr>
          <w:instrText xml:space="preserve"> PAGEREF _Toc226200680 \h </w:instrText>
        </w:r>
        <w:r>
          <w:rPr>
            <w:noProof/>
            <w:webHidden/>
          </w:rPr>
        </w:r>
        <w:r>
          <w:rPr>
            <w:noProof/>
            <w:webHidden/>
          </w:rPr>
          <w:fldChar w:fldCharType="separate"/>
        </w:r>
        <w:r w:rsidR="00831581">
          <w:rPr>
            <w:noProof/>
            <w:webHidden/>
          </w:rPr>
          <w:t>129</w:t>
        </w:r>
        <w:r>
          <w:rPr>
            <w:noProof/>
            <w:webHidden/>
          </w:rPr>
          <w:fldChar w:fldCharType="end"/>
        </w:r>
      </w:hyperlink>
    </w:p>
    <w:p w14:paraId="10C2B24E" w14:textId="6AC83C7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1" w:history="1">
        <w:r w:rsidRPr="006F0B8B">
          <w:rPr>
            <w:rStyle w:val="Hyperlink"/>
            <w:noProof/>
          </w:rPr>
          <w:t>Figure 5.1.1</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emissions from the Agriculture sector by reporting category, 1990, 2005 and 2024</w:t>
        </w:r>
        <w:r>
          <w:rPr>
            <w:noProof/>
            <w:webHidden/>
          </w:rPr>
          <w:tab/>
        </w:r>
        <w:r>
          <w:rPr>
            <w:noProof/>
            <w:webHidden/>
          </w:rPr>
          <w:fldChar w:fldCharType="begin"/>
        </w:r>
        <w:r>
          <w:rPr>
            <w:noProof/>
            <w:webHidden/>
          </w:rPr>
          <w:instrText xml:space="preserve"> PAGEREF _Toc226200681 \h </w:instrText>
        </w:r>
        <w:r>
          <w:rPr>
            <w:noProof/>
            <w:webHidden/>
          </w:rPr>
        </w:r>
        <w:r>
          <w:rPr>
            <w:noProof/>
            <w:webHidden/>
          </w:rPr>
          <w:fldChar w:fldCharType="separate"/>
        </w:r>
        <w:r w:rsidR="00831581">
          <w:rPr>
            <w:noProof/>
            <w:webHidden/>
          </w:rPr>
          <w:t>154</w:t>
        </w:r>
        <w:r>
          <w:rPr>
            <w:noProof/>
            <w:webHidden/>
          </w:rPr>
          <w:fldChar w:fldCharType="end"/>
        </w:r>
      </w:hyperlink>
    </w:p>
    <w:p w14:paraId="183F0486" w14:textId="1B469FE8"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2" w:history="1">
        <w:r w:rsidRPr="006F0B8B">
          <w:rPr>
            <w:rStyle w:val="Hyperlink"/>
            <w:noProof/>
          </w:rPr>
          <w:t>Figure 5.1.2</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Agriculture sector emissions, from 1990 to 2024</w:t>
        </w:r>
        <w:r>
          <w:rPr>
            <w:noProof/>
            <w:webHidden/>
          </w:rPr>
          <w:tab/>
        </w:r>
        <w:r>
          <w:rPr>
            <w:noProof/>
            <w:webHidden/>
          </w:rPr>
          <w:fldChar w:fldCharType="begin"/>
        </w:r>
        <w:r>
          <w:rPr>
            <w:noProof/>
            <w:webHidden/>
          </w:rPr>
          <w:instrText xml:space="preserve"> PAGEREF _Toc226200682 \h </w:instrText>
        </w:r>
        <w:r>
          <w:rPr>
            <w:noProof/>
            <w:webHidden/>
          </w:rPr>
        </w:r>
        <w:r>
          <w:rPr>
            <w:noProof/>
            <w:webHidden/>
          </w:rPr>
          <w:fldChar w:fldCharType="separate"/>
        </w:r>
        <w:r w:rsidR="00831581">
          <w:rPr>
            <w:noProof/>
            <w:webHidden/>
          </w:rPr>
          <w:t>154</w:t>
        </w:r>
        <w:r>
          <w:rPr>
            <w:noProof/>
            <w:webHidden/>
          </w:rPr>
          <w:fldChar w:fldCharType="end"/>
        </w:r>
      </w:hyperlink>
    </w:p>
    <w:p w14:paraId="449D4645" w14:textId="359A59A4"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3" w:history="1">
        <w:r w:rsidRPr="006F0B8B">
          <w:rPr>
            <w:rStyle w:val="Hyperlink"/>
            <w:noProof/>
          </w:rPr>
          <w:t xml:space="preserve">Figure 5.1.3a </w:t>
        </w:r>
        <w:r>
          <w:rPr>
            <w:rFonts w:asciiTheme="minorHAnsi" w:eastAsiaTheme="minorEastAsia" w:hAnsiTheme="minorHAnsi" w:cstheme="minorBidi"/>
            <w:noProof/>
            <w:kern w:val="2"/>
            <w:sz w:val="24"/>
            <w:szCs w:val="24"/>
            <w14:ligatures w14:val="standardContextual"/>
          </w:rPr>
          <w:tab/>
        </w:r>
        <w:r w:rsidRPr="006F0B8B">
          <w:rPr>
            <w:rStyle w:val="Hyperlink"/>
            <w:noProof/>
          </w:rPr>
          <w:t>Populations of New Zealand’s dairy cattle, non-dairy cattle and deer, from 1990 to 2024</w:t>
        </w:r>
        <w:r w:rsidR="00306318">
          <w:rPr>
            <w:rStyle w:val="Hyperlink"/>
            <w:noProof/>
          </w:rPr>
          <w:t xml:space="preserve"> </w:t>
        </w:r>
        <w:r w:rsidRPr="006F0B8B">
          <w:rPr>
            <w:rStyle w:val="Hyperlink"/>
            <w:noProof/>
          </w:rPr>
          <w:t>(June year ending)</w:t>
        </w:r>
        <w:r>
          <w:rPr>
            <w:noProof/>
            <w:webHidden/>
          </w:rPr>
          <w:tab/>
        </w:r>
        <w:r>
          <w:rPr>
            <w:noProof/>
            <w:webHidden/>
          </w:rPr>
          <w:fldChar w:fldCharType="begin"/>
        </w:r>
        <w:r>
          <w:rPr>
            <w:noProof/>
            <w:webHidden/>
          </w:rPr>
          <w:instrText xml:space="preserve"> PAGEREF _Toc226200683 \h </w:instrText>
        </w:r>
        <w:r>
          <w:rPr>
            <w:noProof/>
            <w:webHidden/>
          </w:rPr>
        </w:r>
        <w:r>
          <w:rPr>
            <w:noProof/>
            <w:webHidden/>
          </w:rPr>
          <w:fldChar w:fldCharType="separate"/>
        </w:r>
        <w:r w:rsidR="00831581">
          <w:rPr>
            <w:noProof/>
            <w:webHidden/>
          </w:rPr>
          <w:t>156</w:t>
        </w:r>
        <w:r>
          <w:rPr>
            <w:noProof/>
            <w:webHidden/>
          </w:rPr>
          <w:fldChar w:fldCharType="end"/>
        </w:r>
      </w:hyperlink>
    </w:p>
    <w:p w14:paraId="609DAABE" w14:textId="76275BC8"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4" w:history="1">
        <w:r w:rsidRPr="006F0B8B">
          <w:rPr>
            <w:rStyle w:val="Hyperlink"/>
            <w:noProof/>
          </w:rPr>
          <w:t xml:space="preserve">Figure 5.1.3b </w:t>
        </w:r>
        <w:r>
          <w:rPr>
            <w:rFonts w:asciiTheme="minorHAnsi" w:eastAsiaTheme="minorEastAsia" w:hAnsiTheme="minorHAnsi" w:cstheme="minorBidi"/>
            <w:noProof/>
            <w:kern w:val="2"/>
            <w:sz w:val="24"/>
            <w:szCs w:val="24"/>
            <w14:ligatures w14:val="standardContextual"/>
          </w:rPr>
          <w:tab/>
        </w:r>
        <w:r w:rsidRPr="006F0B8B">
          <w:rPr>
            <w:rStyle w:val="Hyperlink"/>
            <w:noProof/>
          </w:rPr>
          <w:t>Population of New Zealand’s sheep, from 1990 to 2024 (June year ending)</w:t>
        </w:r>
        <w:r>
          <w:rPr>
            <w:noProof/>
            <w:webHidden/>
          </w:rPr>
          <w:tab/>
        </w:r>
        <w:r>
          <w:rPr>
            <w:noProof/>
            <w:webHidden/>
          </w:rPr>
          <w:fldChar w:fldCharType="begin"/>
        </w:r>
        <w:r>
          <w:rPr>
            <w:noProof/>
            <w:webHidden/>
          </w:rPr>
          <w:instrText xml:space="preserve"> PAGEREF _Toc226200684 \h </w:instrText>
        </w:r>
        <w:r>
          <w:rPr>
            <w:noProof/>
            <w:webHidden/>
          </w:rPr>
        </w:r>
        <w:r>
          <w:rPr>
            <w:noProof/>
            <w:webHidden/>
          </w:rPr>
          <w:fldChar w:fldCharType="separate"/>
        </w:r>
        <w:r w:rsidR="00831581">
          <w:rPr>
            <w:noProof/>
            <w:webHidden/>
          </w:rPr>
          <w:t>156</w:t>
        </w:r>
        <w:r>
          <w:rPr>
            <w:noProof/>
            <w:webHidden/>
          </w:rPr>
          <w:fldChar w:fldCharType="end"/>
        </w:r>
      </w:hyperlink>
    </w:p>
    <w:p w14:paraId="1BAC2786" w14:textId="12BAD428"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5" w:history="1">
        <w:r w:rsidRPr="006F0B8B">
          <w:rPr>
            <w:rStyle w:val="Hyperlink"/>
            <w:noProof/>
          </w:rPr>
          <w:t>Figure 5.1.4</w:t>
        </w:r>
        <w:r>
          <w:rPr>
            <w:rFonts w:asciiTheme="minorHAnsi" w:eastAsiaTheme="minorEastAsia" w:hAnsiTheme="minorHAnsi" w:cstheme="minorBidi"/>
            <w:noProof/>
            <w:kern w:val="2"/>
            <w:sz w:val="24"/>
            <w:szCs w:val="24"/>
            <w14:ligatures w14:val="standardContextual"/>
          </w:rPr>
          <w:tab/>
        </w:r>
        <w:r w:rsidRPr="006F0B8B">
          <w:rPr>
            <w:rStyle w:val="Hyperlink"/>
            <w:noProof/>
          </w:rPr>
          <w:t>Dairy milk productivity and implied enteric fermentation methane emission factors for dairy cows, from 1990 to 2024</w:t>
        </w:r>
        <w:r>
          <w:rPr>
            <w:noProof/>
            <w:webHidden/>
          </w:rPr>
          <w:tab/>
        </w:r>
        <w:r>
          <w:rPr>
            <w:noProof/>
            <w:webHidden/>
          </w:rPr>
          <w:fldChar w:fldCharType="begin"/>
        </w:r>
        <w:r>
          <w:rPr>
            <w:noProof/>
            <w:webHidden/>
          </w:rPr>
          <w:instrText xml:space="preserve"> PAGEREF _Toc226200685 \h </w:instrText>
        </w:r>
        <w:r>
          <w:rPr>
            <w:noProof/>
            <w:webHidden/>
          </w:rPr>
        </w:r>
        <w:r>
          <w:rPr>
            <w:noProof/>
            <w:webHidden/>
          </w:rPr>
          <w:fldChar w:fldCharType="separate"/>
        </w:r>
        <w:r w:rsidR="00831581">
          <w:rPr>
            <w:noProof/>
            <w:webHidden/>
          </w:rPr>
          <w:t>157</w:t>
        </w:r>
        <w:r>
          <w:rPr>
            <w:noProof/>
            <w:webHidden/>
          </w:rPr>
          <w:fldChar w:fldCharType="end"/>
        </w:r>
      </w:hyperlink>
    </w:p>
    <w:p w14:paraId="3674F3C1" w14:textId="04F9ED9A"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6" w:history="1">
        <w:r w:rsidRPr="006F0B8B">
          <w:rPr>
            <w:rStyle w:val="Hyperlink"/>
            <w:noProof/>
          </w:rPr>
          <w:t xml:space="preserve">Figure 5.1.5 </w:t>
        </w:r>
        <w:r>
          <w:rPr>
            <w:rFonts w:asciiTheme="minorHAnsi" w:eastAsiaTheme="minorEastAsia" w:hAnsiTheme="minorHAnsi" w:cstheme="minorBidi"/>
            <w:noProof/>
            <w:kern w:val="2"/>
            <w:sz w:val="24"/>
            <w:szCs w:val="24"/>
            <w14:ligatures w14:val="standardContextual"/>
          </w:rPr>
          <w:tab/>
        </w:r>
        <w:r w:rsidRPr="006F0B8B">
          <w:rPr>
            <w:rStyle w:val="Hyperlink"/>
            <w:noProof/>
          </w:rPr>
          <w:t>Simplified methodology for calculating emissions for major ruminant livestock categories</w:t>
        </w:r>
        <w:r>
          <w:rPr>
            <w:noProof/>
            <w:webHidden/>
          </w:rPr>
          <w:tab/>
        </w:r>
        <w:r>
          <w:rPr>
            <w:noProof/>
            <w:webHidden/>
          </w:rPr>
          <w:fldChar w:fldCharType="begin"/>
        </w:r>
        <w:r>
          <w:rPr>
            <w:noProof/>
            <w:webHidden/>
          </w:rPr>
          <w:instrText xml:space="preserve"> PAGEREF _Toc226200686 \h </w:instrText>
        </w:r>
        <w:r>
          <w:rPr>
            <w:noProof/>
            <w:webHidden/>
          </w:rPr>
        </w:r>
        <w:r>
          <w:rPr>
            <w:noProof/>
            <w:webHidden/>
          </w:rPr>
          <w:fldChar w:fldCharType="separate"/>
        </w:r>
        <w:r w:rsidR="00831581">
          <w:rPr>
            <w:noProof/>
            <w:webHidden/>
          </w:rPr>
          <w:t>160</w:t>
        </w:r>
        <w:r>
          <w:rPr>
            <w:noProof/>
            <w:webHidden/>
          </w:rPr>
          <w:fldChar w:fldCharType="end"/>
        </w:r>
      </w:hyperlink>
    </w:p>
    <w:p w14:paraId="3FB8162B" w14:textId="076FAEA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7" w:history="1">
        <w:r w:rsidRPr="006F0B8B">
          <w:rPr>
            <w:rStyle w:val="Hyperlink"/>
            <w:noProof/>
          </w:rPr>
          <w:t xml:space="preserve">Figure 5.1.6 </w:t>
        </w:r>
        <w:r>
          <w:rPr>
            <w:rFonts w:asciiTheme="minorHAnsi" w:eastAsiaTheme="minorEastAsia" w:hAnsiTheme="minorHAnsi" w:cstheme="minorBidi"/>
            <w:noProof/>
            <w:kern w:val="2"/>
            <w:sz w:val="24"/>
            <w:szCs w:val="24"/>
            <w14:ligatures w14:val="standardContextual"/>
          </w:rPr>
          <w:tab/>
        </w:r>
        <w:r w:rsidRPr="006F0B8B">
          <w:rPr>
            <w:rStyle w:val="Hyperlink"/>
            <w:noProof/>
          </w:rPr>
          <w:t>National monthly milk production in New Zealand, from 2022 to 2024</w:t>
        </w:r>
        <w:r>
          <w:rPr>
            <w:noProof/>
            <w:webHidden/>
          </w:rPr>
          <w:tab/>
        </w:r>
        <w:r>
          <w:rPr>
            <w:noProof/>
            <w:webHidden/>
          </w:rPr>
          <w:fldChar w:fldCharType="begin"/>
        </w:r>
        <w:r>
          <w:rPr>
            <w:noProof/>
            <w:webHidden/>
          </w:rPr>
          <w:instrText xml:space="preserve"> PAGEREF _Toc226200687 \h </w:instrText>
        </w:r>
        <w:r>
          <w:rPr>
            <w:noProof/>
            <w:webHidden/>
          </w:rPr>
        </w:r>
        <w:r>
          <w:rPr>
            <w:noProof/>
            <w:webHidden/>
          </w:rPr>
          <w:fldChar w:fldCharType="separate"/>
        </w:r>
        <w:r w:rsidR="00831581">
          <w:rPr>
            <w:noProof/>
            <w:webHidden/>
          </w:rPr>
          <w:t>165</w:t>
        </w:r>
        <w:r>
          <w:rPr>
            <w:noProof/>
            <w:webHidden/>
          </w:rPr>
          <w:fldChar w:fldCharType="end"/>
        </w:r>
      </w:hyperlink>
    </w:p>
    <w:p w14:paraId="14374E69" w14:textId="4F1E414B"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8" w:history="1">
        <w:r w:rsidRPr="006F0B8B">
          <w:rPr>
            <w:rStyle w:val="Hyperlink"/>
            <w:noProof/>
          </w:rPr>
          <w:t xml:space="preserve">Figure 5.1.7 </w:t>
        </w:r>
        <w:r>
          <w:rPr>
            <w:rFonts w:asciiTheme="minorHAnsi" w:eastAsiaTheme="minorEastAsia" w:hAnsiTheme="minorHAnsi" w:cstheme="minorBidi"/>
            <w:noProof/>
            <w:kern w:val="2"/>
            <w:sz w:val="24"/>
            <w:szCs w:val="24"/>
            <w14:ligatures w14:val="standardContextual"/>
          </w:rPr>
          <w:tab/>
        </w:r>
        <w:r w:rsidRPr="006F0B8B">
          <w:rPr>
            <w:rStyle w:val="Hyperlink"/>
            <w:noProof/>
          </w:rPr>
          <w:t>Agriculture sectoral approval process for inventory recalculations and improvements</w:t>
        </w:r>
        <w:r>
          <w:rPr>
            <w:noProof/>
            <w:webHidden/>
          </w:rPr>
          <w:tab/>
        </w:r>
        <w:r>
          <w:rPr>
            <w:noProof/>
            <w:webHidden/>
          </w:rPr>
          <w:fldChar w:fldCharType="begin"/>
        </w:r>
        <w:r>
          <w:rPr>
            <w:noProof/>
            <w:webHidden/>
          </w:rPr>
          <w:instrText xml:space="preserve"> PAGEREF _Toc226200688 \h </w:instrText>
        </w:r>
        <w:r>
          <w:rPr>
            <w:noProof/>
            <w:webHidden/>
          </w:rPr>
        </w:r>
        <w:r>
          <w:rPr>
            <w:noProof/>
            <w:webHidden/>
          </w:rPr>
          <w:fldChar w:fldCharType="separate"/>
        </w:r>
        <w:r w:rsidR="00831581">
          <w:rPr>
            <w:noProof/>
            <w:webHidden/>
          </w:rPr>
          <w:t>171</w:t>
        </w:r>
        <w:r>
          <w:rPr>
            <w:noProof/>
            <w:webHidden/>
          </w:rPr>
          <w:fldChar w:fldCharType="end"/>
        </w:r>
      </w:hyperlink>
    </w:p>
    <w:p w14:paraId="28C7BD01" w14:textId="7A48FE0A"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89" w:history="1">
        <w:r w:rsidRPr="006F0B8B">
          <w:rPr>
            <w:rStyle w:val="Hyperlink"/>
            <w:noProof/>
          </w:rPr>
          <w:t>Figure 5.2.1</w:t>
        </w:r>
        <w:r>
          <w:rPr>
            <w:rFonts w:asciiTheme="minorHAnsi" w:eastAsiaTheme="minorEastAsia" w:hAnsiTheme="minorHAnsi" w:cstheme="minorBidi"/>
            <w:noProof/>
            <w:kern w:val="2"/>
            <w:sz w:val="24"/>
            <w:szCs w:val="24"/>
            <w14:ligatures w14:val="standardContextual"/>
          </w:rPr>
          <w:tab/>
        </w:r>
        <w:r w:rsidRPr="006F0B8B">
          <w:rPr>
            <w:rStyle w:val="Hyperlink"/>
            <w:noProof/>
          </w:rPr>
          <w:t>Schematic diagram showing how New Zealand’s methane emissions from enteric fermentation for dairy and non-dairy (beef) cattle and deer are calculated</w:t>
        </w:r>
        <w:r>
          <w:rPr>
            <w:noProof/>
            <w:webHidden/>
          </w:rPr>
          <w:tab/>
        </w:r>
        <w:r>
          <w:rPr>
            <w:noProof/>
            <w:webHidden/>
          </w:rPr>
          <w:fldChar w:fldCharType="begin"/>
        </w:r>
        <w:r>
          <w:rPr>
            <w:noProof/>
            <w:webHidden/>
          </w:rPr>
          <w:instrText xml:space="preserve"> PAGEREF _Toc226200689 \h </w:instrText>
        </w:r>
        <w:r>
          <w:rPr>
            <w:noProof/>
            <w:webHidden/>
          </w:rPr>
        </w:r>
        <w:r>
          <w:rPr>
            <w:noProof/>
            <w:webHidden/>
          </w:rPr>
          <w:fldChar w:fldCharType="separate"/>
        </w:r>
        <w:r w:rsidR="00831581">
          <w:rPr>
            <w:noProof/>
            <w:webHidden/>
          </w:rPr>
          <w:t>181</w:t>
        </w:r>
        <w:r>
          <w:rPr>
            <w:noProof/>
            <w:webHidden/>
          </w:rPr>
          <w:fldChar w:fldCharType="end"/>
        </w:r>
      </w:hyperlink>
    </w:p>
    <w:p w14:paraId="11AAA54F" w14:textId="7F03B5C7"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0" w:history="1">
        <w:r w:rsidRPr="006F0B8B">
          <w:rPr>
            <w:rStyle w:val="Hyperlink"/>
            <w:noProof/>
          </w:rPr>
          <w:t>Figure 5.5.1</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Sources of nitrous oxide emissions from </w:t>
        </w:r>
        <w:r w:rsidRPr="006F0B8B">
          <w:rPr>
            <w:rStyle w:val="Hyperlink"/>
            <w:i/>
            <w:iCs/>
            <w:noProof/>
          </w:rPr>
          <w:t>Agricultural soils</w:t>
        </w:r>
        <w:r w:rsidRPr="006F0B8B">
          <w:rPr>
            <w:rStyle w:val="Hyperlink"/>
            <w:noProof/>
          </w:rPr>
          <w:t>, showing the contribution of each source to emissions through both direct and indirect pathways</w:t>
        </w:r>
        <w:r>
          <w:rPr>
            <w:noProof/>
            <w:webHidden/>
          </w:rPr>
          <w:tab/>
        </w:r>
        <w:r>
          <w:rPr>
            <w:noProof/>
            <w:webHidden/>
          </w:rPr>
          <w:fldChar w:fldCharType="begin"/>
        </w:r>
        <w:r>
          <w:rPr>
            <w:noProof/>
            <w:webHidden/>
          </w:rPr>
          <w:instrText xml:space="preserve"> PAGEREF _Toc226200690 \h </w:instrText>
        </w:r>
        <w:r>
          <w:rPr>
            <w:noProof/>
            <w:webHidden/>
          </w:rPr>
        </w:r>
        <w:r>
          <w:rPr>
            <w:noProof/>
            <w:webHidden/>
          </w:rPr>
          <w:fldChar w:fldCharType="separate"/>
        </w:r>
        <w:r w:rsidR="00831581">
          <w:rPr>
            <w:noProof/>
            <w:webHidden/>
          </w:rPr>
          <w:t>211</w:t>
        </w:r>
        <w:r>
          <w:rPr>
            <w:noProof/>
            <w:webHidden/>
          </w:rPr>
          <w:fldChar w:fldCharType="end"/>
        </w:r>
      </w:hyperlink>
    </w:p>
    <w:p w14:paraId="5A948849" w14:textId="57CB90A4"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1" w:history="1">
        <w:r w:rsidRPr="006F0B8B">
          <w:rPr>
            <w:rStyle w:val="Hyperlink"/>
            <w:noProof/>
          </w:rPr>
          <w:t>Figure 5.5.2</w:t>
        </w:r>
        <w:r>
          <w:rPr>
            <w:rFonts w:asciiTheme="minorHAnsi" w:eastAsiaTheme="minorEastAsia" w:hAnsiTheme="minorHAnsi" w:cstheme="minorBidi"/>
            <w:noProof/>
            <w:kern w:val="2"/>
            <w:sz w:val="24"/>
            <w:szCs w:val="24"/>
            <w14:ligatures w14:val="standardContextual"/>
          </w:rPr>
          <w:tab/>
        </w:r>
        <w:r w:rsidRPr="006F0B8B">
          <w:rPr>
            <w:rStyle w:val="Hyperlink"/>
            <w:noProof/>
          </w:rPr>
          <w:t>Synthetic nitrogen fertiliser use in New Zealand, from 1990 to 2024</w:t>
        </w:r>
        <w:r>
          <w:rPr>
            <w:noProof/>
            <w:webHidden/>
          </w:rPr>
          <w:tab/>
        </w:r>
        <w:r>
          <w:rPr>
            <w:noProof/>
            <w:webHidden/>
          </w:rPr>
          <w:fldChar w:fldCharType="begin"/>
        </w:r>
        <w:r>
          <w:rPr>
            <w:noProof/>
            <w:webHidden/>
          </w:rPr>
          <w:instrText xml:space="preserve"> PAGEREF _Toc226200691 \h </w:instrText>
        </w:r>
        <w:r>
          <w:rPr>
            <w:noProof/>
            <w:webHidden/>
          </w:rPr>
        </w:r>
        <w:r>
          <w:rPr>
            <w:noProof/>
            <w:webHidden/>
          </w:rPr>
          <w:fldChar w:fldCharType="separate"/>
        </w:r>
        <w:r w:rsidR="00831581">
          <w:rPr>
            <w:noProof/>
            <w:webHidden/>
          </w:rPr>
          <w:t>218</w:t>
        </w:r>
        <w:r>
          <w:rPr>
            <w:noProof/>
            <w:webHidden/>
          </w:rPr>
          <w:fldChar w:fldCharType="end"/>
        </w:r>
      </w:hyperlink>
    </w:p>
    <w:p w14:paraId="0F3D4864" w14:textId="31407E6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2" w:history="1">
        <w:r w:rsidRPr="006F0B8B">
          <w:rPr>
            <w:rStyle w:val="Hyperlink"/>
            <w:noProof/>
          </w:rPr>
          <w:t>Figure 5.5.3</w:t>
        </w:r>
        <w:r>
          <w:rPr>
            <w:rFonts w:asciiTheme="minorHAnsi" w:eastAsiaTheme="minorEastAsia" w:hAnsiTheme="minorHAnsi" w:cstheme="minorBidi"/>
            <w:noProof/>
            <w:kern w:val="2"/>
            <w:sz w:val="24"/>
            <w:szCs w:val="24"/>
            <w14:ligatures w14:val="standardContextual"/>
          </w:rPr>
          <w:tab/>
        </w:r>
        <w:r w:rsidRPr="006F0B8B">
          <w:rPr>
            <w:rStyle w:val="Hyperlink"/>
            <w:noProof/>
          </w:rPr>
          <w:t>Percentage of total synthetic nitrogen fertiliser derived from urea, from 1990 to 2024</w:t>
        </w:r>
        <w:r>
          <w:rPr>
            <w:noProof/>
            <w:webHidden/>
          </w:rPr>
          <w:tab/>
        </w:r>
        <w:r>
          <w:rPr>
            <w:noProof/>
            <w:webHidden/>
          </w:rPr>
          <w:fldChar w:fldCharType="begin"/>
        </w:r>
        <w:r>
          <w:rPr>
            <w:noProof/>
            <w:webHidden/>
          </w:rPr>
          <w:instrText xml:space="preserve"> PAGEREF _Toc226200692 \h </w:instrText>
        </w:r>
        <w:r>
          <w:rPr>
            <w:noProof/>
            <w:webHidden/>
          </w:rPr>
        </w:r>
        <w:r>
          <w:rPr>
            <w:noProof/>
            <w:webHidden/>
          </w:rPr>
          <w:fldChar w:fldCharType="separate"/>
        </w:r>
        <w:r w:rsidR="00831581">
          <w:rPr>
            <w:noProof/>
            <w:webHidden/>
          </w:rPr>
          <w:t>218</w:t>
        </w:r>
        <w:r>
          <w:rPr>
            <w:noProof/>
            <w:webHidden/>
          </w:rPr>
          <w:fldChar w:fldCharType="end"/>
        </w:r>
      </w:hyperlink>
    </w:p>
    <w:p w14:paraId="3D0EDF13" w14:textId="154370E3"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3" w:history="1">
        <w:r w:rsidRPr="006F0B8B">
          <w:rPr>
            <w:rStyle w:val="Hyperlink"/>
            <w:noProof/>
          </w:rPr>
          <w:t>Figure 5.8.1</w:t>
        </w:r>
        <w:r>
          <w:rPr>
            <w:rFonts w:asciiTheme="minorHAnsi" w:eastAsiaTheme="minorEastAsia" w:hAnsiTheme="minorHAnsi" w:cstheme="minorBidi"/>
            <w:noProof/>
            <w:kern w:val="2"/>
            <w:sz w:val="24"/>
            <w:szCs w:val="24"/>
            <w14:ligatures w14:val="standardContextual"/>
          </w:rPr>
          <w:tab/>
        </w:r>
        <w:r w:rsidRPr="006F0B8B">
          <w:rPr>
            <w:rStyle w:val="Hyperlink"/>
            <w:noProof/>
          </w:rPr>
          <w:t>Limestone usage on agricultural land in New Zealand, from 1990 to 2024</w:t>
        </w:r>
        <w:r>
          <w:rPr>
            <w:noProof/>
            <w:webHidden/>
          </w:rPr>
          <w:tab/>
        </w:r>
        <w:r>
          <w:rPr>
            <w:noProof/>
            <w:webHidden/>
          </w:rPr>
          <w:fldChar w:fldCharType="begin"/>
        </w:r>
        <w:r>
          <w:rPr>
            <w:noProof/>
            <w:webHidden/>
          </w:rPr>
          <w:instrText xml:space="preserve"> PAGEREF _Toc226200693 \h </w:instrText>
        </w:r>
        <w:r>
          <w:rPr>
            <w:noProof/>
            <w:webHidden/>
          </w:rPr>
        </w:r>
        <w:r>
          <w:rPr>
            <w:noProof/>
            <w:webHidden/>
          </w:rPr>
          <w:fldChar w:fldCharType="separate"/>
        </w:r>
        <w:r w:rsidR="00831581">
          <w:rPr>
            <w:noProof/>
            <w:webHidden/>
          </w:rPr>
          <w:t>245</w:t>
        </w:r>
        <w:r>
          <w:rPr>
            <w:noProof/>
            <w:webHidden/>
          </w:rPr>
          <w:fldChar w:fldCharType="end"/>
        </w:r>
      </w:hyperlink>
    </w:p>
    <w:p w14:paraId="7E909EF6" w14:textId="779CE735"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4" w:history="1">
        <w:r w:rsidRPr="006F0B8B">
          <w:rPr>
            <w:rStyle w:val="Hyperlink"/>
            <w:noProof/>
          </w:rPr>
          <w:t>Figure 5.8.2</w:t>
        </w:r>
        <w:r>
          <w:rPr>
            <w:rFonts w:asciiTheme="minorHAnsi" w:eastAsiaTheme="minorEastAsia" w:hAnsiTheme="minorHAnsi" w:cstheme="minorBidi"/>
            <w:noProof/>
            <w:kern w:val="2"/>
            <w:sz w:val="24"/>
            <w:szCs w:val="24"/>
            <w14:ligatures w14:val="standardContextual"/>
          </w:rPr>
          <w:tab/>
        </w:r>
        <w:r w:rsidRPr="006F0B8B">
          <w:rPr>
            <w:rStyle w:val="Hyperlink"/>
            <w:noProof/>
          </w:rPr>
          <w:t>Dolomite usage on agricultural land in New Zealand, from 1990 to 2024</w:t>
        </w:r>
        <w:r>
          <w:rPr>
            <w:noProof/>
            <w:webHidden/>
          </w:rPr>
          <w:tab/>
        </w:r>
        <w:r>
          <w:rPr>
            <w:noProof/>
            <w:webHidden/>
          </w:rPr>
          <w:fldChar w:fldCharType="begin"/>
        </w:r>
        <w:r>
          <w:rPr>
            <w:noProof/>
            <w:webHidden/>
          </w:rPr>
          <w:instrText xml:space="preserve"> PAGEREF _Toc226200694 \h </w:instrText>
        </w:r>
        <w:r>
          <w:rPr>
            <w:noProof/>
            <w:webHidden/>
          </w:rPr>
        </w:r>
        <w:r>
          <w:rPr>
            <w:noProof/>
            <w:webHidden/>
          </w:rPr>
          <w:fldChar w:fldCharType="separate"/>
        </w:r>
        <w:r w:rsidR="00831581">
          <w:rPr>
            <w:noProof/>
            <w:webHidden/>
          </w:rPr>
          <w:t>245</w:t>
        </w:r>
        <w:r>
          <w:rPr>
            <w:noProof/>
            <w:webHidden/>
          </w:rPr>
          <w:fldChar w:fldCharType="end"/>
        </w:r>
      </w:hyperlink>
    </w:p>
    <w:p w14:paraId="0D2F3304" w14:textId="285E991E"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5" w:history="1">
        <w:r w:rsidRPr="006F0B8B">
          <w:rPr>
            <w:rStyle w:val="Hyperlink"/>
            <w:noProof/>
          </w:rPr>
          <w:t>Figure 6.1.1</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annual net emissions from the LULUCF sector from 1990 to 2024</w:t>
        </w:r>
        <w:r>
          <w:rPr>
            <w:noProof/>
            <w:webHidden/>
          </w:rPr>
          <w:tab/>
        </w:r>
        <w:r>
          <w:rPr>
            <w:noProof/>
            <w:webHidden/>
          </w:rPr>
          <w:fldChar w:fldCharType="begin"/>
        </w:r>
        <w:r>
          <w:rPr>
            <w:noProof/>
            <w:webHidden/>
          </w:rPr>
          <w:instrText xml:space="preserve"> PAGEREF _Toc226200695 \h </w:instrText>
        </w:r>
        <w:r>
          <w:rPr>
            <w:noProof/>
            <w:webHidden/>
          </w:rPr>
        </w:r>
        <w:r>
          <w:rPr>
            <w:noProof/>
            <w:webHidden/>
          </w:rPr>
          <w:fldChar w:fldCharType="separate"/>
        </w:r>
        <w:r w:rsidR="00831581">
          <w:rPr>
            <w:noProof/>
            <w:webHidden/>
          </w:rPr>
          <w:t>258</w:t>
        </w:r>
        <w:r>
          <w:rPr>
            <w:noProof/>
            <w:webHidden/>
          </w:rPr>
          <w:fldChar w:fldCharType="end"/>
        </w:r>
      </w:hyperlink>
    </w:p>
    <w:p w14:paraId="66C4C671" w14:textId="2ECD965E"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6" w:history="1">
        <w:r w:rsidRPr="006F0B8B">
          <w:rPr>
            <w:rStyle w:val="Hyperlink"/>
            <w:noProof/>
          </w:rPr>
          <w:t>Figure 6.1.2</w:t>
        </w:r>
        <w:r>
          <w:rPr>
            <w:rFonts w:asciiTheme="minorHAnsi" w:eastAsiaTheme="minorEastAsia" w:hAnsiTheme="minorHAnsi" w:cstheme="minorBidi"/>
            <w:noProof/>
            <w:kern w:val="2"/>
            <w:sz w:val="24"/>
            <w:szCs w:val="24"/>
            <w14:ligatures w14:val="standardContextual"/>
          </w:rPr>
          <w:tab/>
        </w:r>
        <w:r w:rsidRPr="006F0B8B">
          <w:rPr>
            <w:rStyle w:val="Hyperlink"/>
            <w:noProof/>
          </w:rPr>
          <w:t>Comparison of afforestation and deforestation rates with the changing NZ ETS unit price, from 2003 to 2024</w:t>
        </w:r>
        <w:r>
          <w:rPr>
            <w:noProof/>
            <w:webHidden/>
          </w:rPr>
          <w:tab/>
        </w:r>
        <w:r>
          <w:rPr>
            <w:noProof/>
            <w:webHidden/>
          </w:rPr>
          <w:fldChar w:fldCharType="begin"/>
        </w:r>
        <w:r>
          <w:rPr>
            <w:noProof/>
            <w:webHidden/>
          </w:rPr>
          <w:instrText xml:space="preserve"> PAGEREF _Toc226200696 \h </w:instrText>
        </w:r>
        <w:r>
          <w:rPr>
            <w:noProof/>
            <w:webHidden/>
          </w:rPr>
        </w:r>
        <w:r>
          <w:rPr>
            <w:noProof/>
            <w:webHidden/>
          </w:rPr>
          <w:fldChar w:fldCharType="separate"/>
        </w:r>
        <w:r w:rsidR="00831581">
          <w:rPr>
            <w:noProof/>
            <w:webHidden/>
          </w:rPr>
          <w:t>260</w:t>
        </w:r>
        <w:r>
          <w:rPr>
            <w:noProof/>
            <w:webHidden/>
          </w:rPr>
          <w:fldChar w:fldCharType="end"/>
        </w:r>
      </w:hyperlink>
    </w:p>
    <w:p w14:paraId="25FDBA6A" w14:textId="60F25EDF"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7" w:history="1">
        <w:r w:rsidRPr="006F0B8B">
          <w:rPr>
            <w:rStyle w:val="Hyperlink"/>
            <w:noProof/>
          </w:rPr>
          <w:t>Figure 6.3.1</w:t>
        </w:r>
        <w:r>
          <w:rPr>
            <w:rFonts w:asciiTheme="minorHAnsi" w:eastAsiaTheme="minorEastAsia" w:hAnsiTheme="minorHAnsi" w:cstheme="minorBidi"/>
            <w:noProof/>
            <w:kern w:val="2"/>
            <w:sz w:val="24"/>
            <w:szCs w:val="24"/>
            <w14:ligatures w14:val="standardContextual"/>
          </w:rPr>
          <w:tab/>
        </w:r>
        <w:r w:rsidRPr="006F0B8B">
          <w:rPr>
            <w:rStyle w:val="Hyperlink"/>
            <w:noProof/>
          </w:rPr>
          <w:t>Land use map of New Zealand as at 31 December 2020</w:t>
        </w:r>
        <w:r>
          <w:rPr>
            <w:noProof/>
            <w:webHidden/>
          </w:rPr>
          <w:tab/>
        </w:r>
        <w:r>
          <w:rPr>
            <w:noProof/>
            <w:webHidden/>
          </w:rPr>
          <w:fldChar w:fldCharType="begin"/>
        </w:r>
        <w:r>
          <w:rPr>
            <w:noProof/>
            <w:webHidden/>
          </w:rPr>
          <w:instrText xml:space="preserve"> PAGEREF _Toc226200697 \h </w:instrText>
        </w:r>
        <w:r>
          <w:rPr>
            <w:noProof/>
            <w:webHidden/>
          </w:rPr>
        </w:r>
        <w:r>
          <w:rPr>
            <w:noProof/>
            <w:webHidden/>
          </w:rPr>
          <w:fldChar w:fldCharType="separate"/>
        </w:r>
        <w:r w:rsidR="00831581">
          <w:rPr>
            <w:noProof/>
            <w:webHidden/>
          </w:rPr>
          <w:t>275</w:t>
        </w:r>
        <w:r>
          <w:rPr>
            <w:noProof/>
            <w:webHidden/>
          </w:rPr>
          <w:fldChar w:fldCharType="end"/>
        </w:r>
      </w:hyperlink>
    </w:p>
    <w:p w14:paraId="11E5346D" w14:textId="096F973E"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8" w:history="1">
        <w:r w:rsidRPr="006F0B8B">
          <w:rPr>
            <w:rStyle w:val="Hyperlink"/>
            <w:noProof/>
          </w:rPr>
          <w:t>Figure 6.4.1</w:t>
        </w:r>
        <w:r>
          <w:rPr>
            <w:rFonts w:asciiTheme="minorHAnsi" w:eastAsiaTheme="minorEastAsia" w:hAnsiTheme="minorHAnsi" w:cstheme="minorBidi"/>
            <w:noProof/>
            <w:kern w:val="2"/>
            <w:sz w:val="24"/>
            <w:szCs w:val="24"/>
            <w14:ligatures w14:val="standardContextual"/>
          </w:rPr>
          <w:tab/>
        </w:r>
        <w:r w:rsidRPr="006F0B8B">
          <w:rPr>
            <w:rStyle w:val="Hyperlink"/>
            <w:noProof/>
          </w:rPr>
          <w:t>Annual areas of afforestation and reforestation in New Zealand, from 1990 to 2024</w:t>
        </w:r>
        <w:r>
          <w:rPr>
            <w:noProof/>
            <w:webHidden/>
          </w:rPr>
          <w:tab/>
        </w:r>
        <w:r>
          <w:rPr>
            <w:noProof/>
            <w:webHidden/>
          </w:rPr>
          <w:fldChar w:fldCharType="begin"/>
        </w:r>
        <w:r>
          <w:rPr>
            <w:noProof/>
            <w:webHidden/>
          </w:rPr>
          <w:instrText xml:space="preserve"> PAGEREF _Toc226200698 \h </w:instrText>
        </w:r>
        <w:r>
          <w:rPr>
            <w:noProof/>
            <w:webHidden/>
          </w:rPr>
        </w:r>
        <w:r>
          <w:rPr>
            <w:noProof/>
            <w:webHidden/>
          </w:rPr>
          <w:fldChar w:fldCharType="separate"/>
        </w:r>
        <w:r w:rsidR="00831581">
          <w:rPr>
            <w:noProof/>
            <w:webHidden/>
          </w:rPr>
          <w:t>278</w:t>
        </w:r>
        <w:r>
          <w:rPr>
            <w:noProof/>
            <w:webHidden/>
          </w:rPr>
          <w:fldChar w:fldCharType="end"/>
        </w:r>
      </w:hyperlink>
    </w:p>
    <w:p w14:paraId="2118EAC1" w14:textId="27D41DD3"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699" w:history="1">
        <w:r w:rsidRPr="006F0B8B">
          <w:rPr>
            <w:rStyle w:val="Hyperlink"/>
            <w:noProof/>
          </w:rPr>
          <w:t>Figure 6.4.2</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net carbon dioxide removals by post-1989 planted forests, from 1990 to 2024</w:t>
        </w:r>
        <w:r>
          <w:rPr>
            <w:noProof/>
            <w:webHidden/>
          </w:rPr>
          <w:tab/>
        </w:r>
        <w:r>
          <w:rPr>
            <w:noProof/>
            <w:webHidden/>
          </w:rPr>
          <w:fldChar w:fldCharType="begin"/>
        </w:r>
        <w:r>
          <w:rPr>
            <w:noProof/>
            <w:webHidden/>
          </w:rPr>
          <w:instrText xml:space="preserve"> PAGEREF _Toc226200699 \h </w:instrText>
        </w:r>
        <w:r>
          <w:rPr>
            <w:noProof/>
            <w:webHidden/>
          </w:rPr>
        </w:r>
        <w:r>
          <w:rPr>
            <w:noProof/>
            <w:webHidden/>
          </w:rPr>
          <w:fldChar w:fldCharType="separate"/>
        </w:r>
        <w:r w:rsidR="00831581">
          <w:rPr>
            <w:noProof/>
            <w:webHidden/>
          </w:rPr>
          <w:t>279</w:t>
        </w:r>
        <w:r>
          <w:rPr>
            <w:noProof/>
            <w:webHidden/>
          </w:rPr>
          <w:fldChar w:fldCharType="end"/>
        </w:r>
      </w:hyperlink>
    </w:p>
    <w:p w14:paraId="53F2A795" w14:textId="118A644F"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0" w:history="1">
        <w:r w:rsidRPr="006F0B8B">
          <w:rPr>
            <w:rStyle w:val="Hyperlink"/>
            <w:noProof/>
          </w:rPr>
          <w:t>Figure 6.4.3</w:t>
        </w:r>
        <w:r>
          <w:rPr>
            <w:rFonts w:asciiTheme="minorHAnsi" w:eastAsiaTheme="minorEastAsia" w:hAnsiTheme="minorHAnsi" w:cstheme="minorBidi"/>
            <w:noProof/>
            <w:kern w:val="2"/>
            <w:sz w:val="24"/>
            <w:szCs w:val="24"/>
            <w14:ligatures w14:val="standardContextual"/>
          </w:rPr>
          <w:tab/>
        </w:r>
        <w:r w:rsidRPr="006F0B8B">
          <w:rPr>
            <w:rStyle w:val="Hyperlink"/>
            <w:noProof/>
          </w:rPr>
          <w:t>New Zealand’s area of planted forest harvest (inclusive of deforestation), from 1990 to 2024</w:t>
        </w:r>
        <w:r>
          <w:rPr>
            <w:noProof/>
            <w:webHidden/>
          </w:rPr>
          <w:tab/>
        </w:r>
        <w:r>
          <w:rPr>
            <w:noProof/>
            <w:webHidden/>
          </w:rPr>
          <w:fldChar w:fldCharType="begin"/>
        </w:r>
        <w:r>
          <w:rPr>
            <w:noProof/>
            <w:webHidden/>
          </w:rPr>
          <w:instrText xml:space="preserve"> PAGEREF _Toc226200700 \h </w:instrText>
        </w:r>
        <w:r>
          <w:rPr>
            <w:noProof/>
            <w:webHidden/>
          </w:rPr>
        </w:r>
        <w:r>
          <w:rPr>
            <w:noProof/>
            <w:webHidden/>
          </w:rPr>
          <w:fldChar w:fldCharType="separate"/>
        </w:r>
        <w:r w:rsidR="00831581">
          <w:rPr>
            <w:noProof/>
            <w:webHidden/>
          </w:rPr>
          <w:t>280</w:t>
        </w:r>
        <w:r>
          <w:rPr>
            <w:noProof/>
            <w:webHidden/>
          </w:rPr>
          <w:fldChar w:fldCharType="end"/>
        </w:r>
      </w:hyperlink>
    </w:p>
    <w:p w14:paraId="1F13E52F" w14:textId="255511C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1" w:history="1">
        <w:r w:rsidRPr="006F0B8B">
          <w:rPr>
            <w:rStyle w:val="Hyperlink"/>
            <w:noProof/>
          </w:rPr>
          <w:t>Figure 6.4.4</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New Zealand’s area of deforestation by </w:t>
        </w:r>
        <w:r w:rsidRPr="006F0B8B">
          <w:rPr>
            <w:rStyle w:val="Hyperlink"/>
            <w:i/>
            <w:noProof/>
          </w:rPr>
          <w:t>Forest land</w:t>
        </w:r>
        <w:r w:rsidRPr="006F0B8B">
          <w:rPr>
            <w:rStyle w:val="Hyperlink"/>
            <w:noProof/>
          </w:rPr>
          <w:t xml:space="preserve"> category, from 1990 to 2024</w:t>
        </w:r>
        <w:r>
          <w:rPr>
            <w:noProof/>
            <w:webHidden/>
          </w:rPr>
          <w:tab/>
        </w:r>
        <w:r>
          <w:rPr>
            <w:noProof/>
            <w:webHidden/>
          </w:rPr>
          <w:fldChar w:fldCharType="begin"/>
        </w:r>
        <w:r>
          <w:rPr>
            <w:noProof/>
            <w:webHidden/>
          </w:rPr>
          <w:instrText xml:space="preserve"> PAGEREF _Toc226200701 \h </w:instrText>
        </w:r>
        <w:r>
          <w:rPr>
            <w:noProof/>
            <w:webHidden/>
          </w:rPr>
        </w:r>
        <w:r>
          <w:rPr>
            <w:noProof/>
            <w:webHidden/>
          </w:rPr>
          <w:fldChar w:fldCharType="separate"/>
        </w:r>
        <w:r w:rsidR="00831581">
          <w:rPr>
            <w:noProof/>
            <w:webHidden/>
          </w:rPr>
          <w:t>281</w:t>
        </w:r>
        <w:r>
          <w:rPr>
            <w:noProof/>
            <w:webHidden/>
          </w:rPr>
          <w:fldChar w:fldCharType="end"/>
        </w:r>
      </w:hyperlink>
    </w:p>
    <w:p w14:paraId="594BFEAF" w14:textId="75C0112B"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2" w:history="1">
        <w:r w:rsidRPr="006F0B8B">
          <w:rPr>
            <w:rStyle w:val="Hyperlink"/>
            <w:noProof/>
          </w:rPr>
          <w:t>Figure 6.4.5</w:t>
        </w:r>
        <w:r>
          <w:rPr>
            <w:rFonts w:asciiTheme="minorHAnsi" w:eastAsiaTheme="minorEastAsia" w:hAnsiTheme="minorHAnsi" w:cstheme="minorBidi"/>
            <w:noProof/>
            <w:kern w:val="2"/>
            <w:sz w:val="24"/>
            <w:szCs w:val="24"/>
            <w14:ligatures w14:val="standardContextual"/>
          </w:rPr>
          <w:tab/>
        </w:r>
        <w:r w:rsidRPr="006F0B8B">
          <w:rPr>
            <w:rStyle w:val="Hyperlink"/>
            <w:noProof/>
          </w:rPr>
          <w:t>Locations of New Zealand’s pre-1990 forest carbon monitoring plots</w:t>
        </w:r>
        <w:r>
          <w:rPr>
            <w:noProof/>
            <w:webHidden/>
          </w:rPr>
          <w:tab/>
        </w:r>
        <w:r>
          <w:rPr>
            <w:noProof/>
            <w:webHidden/>
          </w:rPr>
          <w:fldChar w:fldCharType="begin"/>
        </w:r>
        <w:r>
          <w:rPr>
            <w:noProof/>
            <w:webHidden/>
          </w:rPr>
          <w:instrText xml:space="preserve"> PAGEREF _Toc226200702 \h </w:instrText>
        </w:r>
        <w:r>
          <w:rPr>
            <w:noProof/>
            <w:webHidden/>
          </w:rPr>
        </w:r>
        <w:r>
          <w:rPr>
            <w:noProof/>
            <w:webHidden/>
          </w:rPr>
          <w:fldChar w:fldCharType="separate"/>
        </w:r>
        <w:r w:rsidR="00831581">
          <w:rPr>
            <w:noProof/>
            <w:webHidden/>
          </w:rPr>
          <w:t>283</w:t>
        </w:r>
        <w:r>
          <w:rPr>
            <w:noProof/>
            <w:webHidden/>
          </w:rPr>
          <w:fldChar w:fldCharType="end"/>
        </w:r>
      </w:hyperlink>
    </w:p>
    <w:p w14:paraId="53766BC5" w14:textId="41155094"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3" w:history="1">
        <w:r w:rsidRPr="006F0B8B">
          <w:rPr>
            <w:rStyle w:val="Hyperlink"/>
            <w:noProof/>
          </w:rPr>
          <w:t>Figure 6.4.6</w:t>
        </w:r>
        <w:r>
          <w:rPr>
            <w:rFonts w:asciiTheme="minorHAnsi" w:eastAsiaTheme="minorEastAsia" w:hAnsiTheme="minorHAnsi" w:cstheme="minorBidi"/>
            <w:noProof/>
            <w:kern w:val="2"/>
            <w:sz w:val="24"/>
            <w:szCs w:val="24"/>
            <w14:ligatures w14:val="standardContextual"/>
          </w:rPr>
          <w:tab/>
        </w:r>
        <w:r w:rsidRPr="006F0B8B">
          <w:rPr>
            <w:rStyle w:val="Hyperlink"/>
            <w:noProof/>
          </w:rPr>
          <w:t>Locations of New Zealand’s post-1989 forest plots</w:t>
        </w:r>
        <w:r>
          <w:rPr>
            <w:noProof/>
            <w:webHidden/>
          </w:rPr>
          <w:tab/>
        </w:r>
        <w:r>
          <w:rPr>
            <w:noProof/>
            <w:webHidden/>
          </w:rPr>
          <w:fldChar w:fldCharType="begin"/>
        </w:r>
        <w:r>
          <w:rPr>
            <w:noProof/>
            <w:webHidden/>
          </w:rPr>
          <w:instrText xml:space="preserve"> PAGEREF _Toc226200703 \h </w:instrText>
        </w:r>
        <w:r>
          <w:rPr>
            <w:noProof/>
            <w:webHidden/>
          </w:rPr>
        </w:r>
        <w:r>
          <w:rPr>
            <w:noProof/>
            <w:webHidden/>
          </w:rPr>
          <w:fldChar w:fldCharType="separate"/>
        </w:r>
        <w:r w:rsidR="00831581">
          <w:rPr>
            <w:noProof/>
            <w:webHidden/>
          </w:rPr>
          <w:t>284</w:t>
        </w:r>
        <w:r>
          <w:rPr>
            <w:noProof/>
            <w:webHidden/>
          </w:rPr>
          <w:fldChar w:fldCharType="end"/>
        </w:r>
      </w:hyperlink>
    </w:p>
    <w:p w14:paraId="01114980" w14:textId="2E859490"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4" w:history="1">
        <w:r w:rsidRPr="006F0B8B">
          <w:rPr>
            <w:rStyle w:val="Hyperlink"/>
            <w:noProof/>
          </w:rPr>
          <w:t>Figure 6.10.1</w:t>
        </w:r>
        <w:r>
          <w:rPr>
            <w:rFonts w:asciiTheme="minorHAnsi" w:eastAsiaTheme="minorEastAsia" w:hAnsiTheme="minorHAnsi" w:cstheme="minorBidi"/>
            <w:noProof/>
            <w:kern w:val="2"/>
            <w:sz w:val="24"/>
            <w:szCs w:val="24"/>
            <w14:ligatures w14:val="standardContextual"/>
          </w:rPr>
          <w:tab/>
        </w:r>
        <w:r w:rsidRPr="006F0B8B">
          <w:rPr>
            <w:rStyle w:val="Hyperlink"/>
            <w:noProof/>
          </w:rPr>
          <w:t>Volume of roundwood produced and exported, from 1990 to 2024</w:t>
        </w:r>
        <w:r>
          <w:rPr>
            <w:noProof/>
            <w:webHidden/>
          </w:rPr>
          <w:tab/>
        </w:r>
        <w:r>
          <w:rPr>
            <w:noProof/>
            <w:webHidden/>
          </w:rPr>
          <w:fldChar w:fldCharType="begin"/>
        </w:r>
        <w:r>
          <w:rPr>
            <w:noProof/>
            <w:webHidden/>
          </w:rPr>
          <w:instrText xml:space="preserve"> PAGEREF _Toc226200704 \h </w:instrText>
        </w:r>
        <w:r>
          <w:rPr>
            <w:noProof/>
            <w:webHidden/>
          </w:rPr>
        </w:r>
        <w:r>
          <w:rPr>
            <w:noProof/>
            <w:webHidden/>
          </w:rPr>
          <w:fldChar w:fldCharType="separate"/>
        </w:r>
        <w:r w:rsidR="00831581">
          <w:rPr>
            <w:noProof/>
            <w:webHidden/>
          </w:rPr>
          <w:t>312</w:t>
        </w:r>
        <w:r>
          <w:rPr>
            <w:noProof/>
            <w:webHidden/>
          </w:rPr>
          <w:fldChar w:fldCharType="end"/>
        </w:r>
      </w:hyperlink>
    </w:p>
    <w:p w14:paraId="0F3D5A51" w14:textId="1FD7E457"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5" w:history="1">
        <w:r w:rsidRPr="006F0B8B">
          <w:rPr>
            <w:rStyle w:val="Hyperlink"/>
            <w:noProof/>
          </w:rPr>
          <w:t xml:space="preserve">Figure 7.1.1 </w:t>
        </w:r>
        <w:r>
          <w:rPr>
            <w:rFonts w:asciiTheme="minorHAnsi" w:eastAsiaTheme="minorEastAsia" w:hAnsiTheme="minorHAnsi" w:cstheme="minorBidi"/>
            <w:noProof/>
            <w:kern w:val="2"/>
            <w:sz w:val="24"/>
            <w:szCs w:val="24"/>
            <w14:ligatures w14:val="standardContextual"/>
          </w:rPr>
          <w:tab/>
        </w:r>
        <w:r w:rsidRPr="006F0B8B">
          <w:rPr>
            <w:rStyle w:val="Hyperlink"/>
            <w:noProof/>
          </w:rPr>
          <w:t>Sources and destinations of solid waste in New Zealand</w:t>
        </w:r>
        <w:r>
          <w:rPr>
            <w:noProof/>
            <w:webHidden/>
          </w:rPr>
          <w:tab/>
        </w:r>
        <w:r>
          <w:rPr>
            <w:noProof/>
            <w:webHidden/>
          </w:rPr>
          <w:fldChar w:fldCharType="begin"/>
        </w:r>
        <w:r>
          <w:rPr>
            <w:noProof/>
            <w:webHidden/>
          </w:rPr>
          <w:instrText xml:space="preserve"> PAGEREF _Toc226200705 \h </w:instrText>
        </w:r>
        <w:r>
          <w:rPr>
            <w:noProof/>
            <w:webHidden/>
          </w:rPr>
        </w:r>
        <w:r>
          <w:rPr>
            <w:noProof/>
            <w:webHidden/>
          </w:rPr>
          <w:fldChar w:fldCharType="separate"/>
        </w:r>
        <w:r w:rsidR="00831581">
          <w:rPr>
            <w:noProof/>
            <w:webHidden/>
          </w:rPr>
          <w:t>327</w:t>
        </w:r>
        <w:r>
          <w:rPr>
            <w:noProof/>
            <w:webHidden/>
          </w:rPr>
          <w:fldChar w:fldCharType="end"/>
        </w:r>
      </w:hyperlink>
    </w:p>
    <w:p w14:paraId="3FBE8C5A" w14:textId="46DD3253"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6" w:history="1">
        <w:r w:rsidRPr="006F0B8B">
          <w:rPr>
            <w:rStyle w:val="Hyperlink"/>
            <w:noProof/>
          </w:rPr>
          <w:t xml:space="preserve">Figure 7.1.2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Profile of emissions from New Zealand’s Waste sector by source category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_Toc226200706 \h </w:instrText>
        </w:r>
        <w:r>
          <w:rPr>
            <w:noProof/>
            <w:webHidden/>
          </w:rPr>
        </w:r>
        <w:r>
          <w:rPr>
            <w:noProof/>
            <w:webHidden/>
          </w:rPr>
          <w:fldChar w:fldCharType="separate"/>
        </w:r>
        <w:r w:rsidR="00831581">
          <w:rPr>
            <w:noProof/>
            <w:webHidden/>
          </w:rPr>
          <w:t>329</w:t>
        </w:r>
        <w:r>
          <w:rPr>
            <w:noProof/>
            <w:webHidden/>
          </w:rPr>
          <w:fldChar w:fldCharType="end"/>
        </w:r>
      </w:hyperlink>
    </w:p>
    <w:p w14:paraId="0C1B1D25" w14:textId="7422053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7" w:history="1">
        <w:r w:rsidRPr="006F0B8B">
          <w:rPr>
            <w:rStyle w:val="Hyperlink"/>
            <w:noProof/>
          </w:rPr>
          <w:t xml:space="preserve">Figure 7.1.3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New Zealand’s emissions from the Waste sector by source category, from </w:t>
        </w:r>
        <w:r w:rsidRPr="006F0B8B">
          <w:rPr>
            <w:rStyle w:val="Hyperlink"/>
            <w:bCs/>
            <w:noProof/>
          </w:rPr>
          <w:t>1990</w:t>
        </w:r>
        <w:r w:rsidRPr="006F0B8B">
          <w:rPr>
            <w:rStyle w:val="Hyperlink"/>
            <w:noProof/>
          </w:rPr>
          <w:t xml:space="preserve">, </w:t>
        </w:r>
        <w:r w:rsidRPr="006F0B8B">
          <w:rPr>
            <w:rStyle w:val="Hyperlink"/>
            <w:bCs/>
            <w:noProof/>
          </w:rPr>
          <w:t>2005</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_Toc226200707 \h </w:instrText>
        </w:r>
        <w:r>
          <w:rPr>
            <w:noProof/>
            <w:webHidden/>
          </w:rPr>
        </w:r>
        <w:r>
          <w:rPr>
            <w:noProof/>
            <w:webHidden/>
          </w:rPr>
          <w:fldChar w:fldCharType="separate"/>
        </w:r>
        <w:r w:rsidR="00831581">
          <w:rPr>
            <w:noProof/>
            <w:webHidden/>
          </w:rPr>
          <w:t>329</w:t>
        </w:r>
        <w:r>
          <w:rPr>
            <w:noProof/>
            <w:webHidden/>
          </w:rPr>
          <w:fldChar w:fldCharType="end"/>
        </w:r>
      </w:hyperlink>
    </w:p>
    <w:p w14:paraId="0739D855" w14:textId="7D2D0596"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8" w:history="1">
        <w:r w:rsidRPr="006F0B8B">
          <w:rPr>
            <w:rStyle w:val="Hyperlink"/>
            <w:noProof/>
          </w:rPr>
          <w:t xml:space="preserve">Figure 7.1.4 </w:t>
        </w:r>
        <w:r>
          <w:rPr>
            <w:rFonts w:asciiTheme="minorHAnsi" w:eastAsiaTheme="minorEastAsia" w:hAnsiTheme="minorHAnsi" w:cstheme="minorBidi"/>
            <w:noProof/>
            <w:kern w:val="2"/>
            <w:sz w:val="24"/>
            <w:szCs w:val="24"/>
            <w14:ligatures w14:val="standardContextual"/>
          </w:rPr>
          <w:tab/>
        </w:r>
        <w:r w:rsidRPr="006F0B8B">
          <w:rPr>
            <w:rStyle w:val="Hyperlink"/>
            <w:noProof/>
          </w:rPr>
          <w:t>Tier 1 quality checks for the Waste sector</w:t>
        </w:r>
        <w:r>
          <w:rPr>
            <w:noProof/>
            <w:webHidden/>
          </w:rPr>
          <w:tab/>
        </w:r>
        <w:r>
          <w:rPr>
            <w:noProof/>
            <w:webHidden/>
          </w:rPr>
          <w:fldChar w:fldCharType="begin"/>
        </w:r>
        <w:r>
          <w:rPr>
            <w:noProof/>
            <w:webHidden/>
          </w:rPr>
          <w:instrText xml:space="preserve"> PAGEREF _Toc226200708 \h </w:instrText>
        </w:r>
        <w:r>
          <w:rPr>
            <w:noProof/>
            <w:webHidden/>
          </w:rPr>
        </w:r>
        <w:r>
          <w:rPr>
            <w:noProof/>
            <w:webHidden/>
          </w:rPr>
          <w:fldChar w:fldCharType="separate"/>
        </w:r>
        <w:r w:rsidR="00831581">
          <w:rPr>
            <w:noProof/>
            <w:webHidden/>
          </w:rPr>
          <w:t>332</w:t>
        </w:r>
        <w:r>
          <w:rPr>
            <w:noProof/>
            <w:webHidden/>
          </w:rPr>
          <w:fldChar w:fldCharType="end"/>
        </w:r>
      </w:hyperlink>
    </w:p>
    <w:p w14:paraId="512CD7B8" w14:textId="7D1C475E"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09" w:history="1">
        <w:r w:rsidRPr="006F0B8B">
          <w:rPr>
            <w:rStyle w:val="Hyperlink"/>
            <w:bCs/>
            <w:noProof/>
          </w:rPr>
          <w:t xml:space="preserve">Figure 8.1.1 </w:t>
        </w:r>
        <w:r>
          <w:rPr>
            <w:rFonts w:asciiTheme="minorHAnsi" w:eastAsiaTheme="minorEastAsia" w:hAnsiTheme="minorHAnsi" w:cstheme="minorBidi"/>
            <w:noProof/>
            <w:kern w:val="2"/>
            <w:sz w:val="24"/>
            <w:szCs w:val="24"/>
            <w14:ligatures w14:val="standardContextual"/>
          </w:rPr>
          <w:tab/>
        </w:r>
        <w:r w:rsidRPr="006F0B8B">
          <w:rPr>
            <w:rStyle w:val="Hyperlink"/>
            <w:bCs/>
            <w:noProof/>
          </w:rPr>
          <w:t>Map of Tokelau</w:t>
        </w:r>
        <w:r>
          <w:rPr>
            <w:noProof/>
            <w:webHidden/>
          </w:rPr>
          <w:tab/>
        </w:r>
        <w:r>
          <w:rPr>
            <w:noProof/>
            <w:webHidden/>
          </w:rPr>
          <w:fldChar w:fldCharType="begin"/>
        </w:r>
        <w:r>
          <w:rPr>
            <w:noProof/>
            <w:webHidden/>
          </w:rPr>
          <w:instrText xml:space="preserve"> PAGEREF _Toc226200709 \h </w:instrText>
        </w:r>
        <w:r>
          <w:rPr>
            <w:noProof/>
            <w:webHidden/>
          </w:rPr>
        </w:r>
        <w:r>
          <w:rPr>
            <w:noProof/>
            <w:webHidden/>
          </w:rPr>
          <w:fldChar w:fldCharType="separate"/>
        </w:r>
        <w:r w:rsidR="00831581">
          <w:rPr>
            <w:noProof/>
            <w:webHidden/>
          </w:rPr>
          <w:t>377</w:t>
        </w:r>
        <w:r>
          <w:rPr>
            <w:noProof/>
            <w:webHidden/>
          </w:rPr>
          <w:fldChar w:fldCharType="end"/>
        </w:r>
      </w:hyperlink>
    </w:p>
    <w:p w14:paraId="405C9971" w14:textId="0DBA2CAF"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0" w:history="1">
        <w:r w:rsidRPr="006F0B8B">
          <w:rPr>
            <w:rStyle w:val="Hyperlink"/>
            <w:bCs/>
            <w:noProof/>
          </w:rPr>
          <w:t>Figure 8.1.2</w:t>
        </w:r>
        <w:r>
          <w:rPr>
            <w:rFonts w:asciiTheme="minorHAnsi" w:eastAsiaTheme="minorEastAsia" w:hAnsiTheme="minorHAnsi" w:cstheme="minorBidi"/>
            <w:noProof/>
            <w:kern w:val="2"/>
            <w:sz w:val="24"/>
            <w:szCs w:val="24"/>
            <w14:ligatures w14:val="standardContextual"/>
          </w:rPr>
          <w:tab/>
        </w:r>
        <w:r w:rsidRPr="006F0B8B">
          <w:rPr>
            <w:rStyle w:val="Hyperlink"/>
            <w:bCs/>
            <w:noProof/>
          </w:rPr>
          <w:t>Tokelau’s emissions by gas in 2024</w:t>
        </w:r>
        <w:r>
          <w:rPr>
            <w:noProof/>
            <w:webHidden/>
          </w:rPr>
          <w:tab/>
        </w:r>
        <w:r>
          <w:rPr>
            <w:noProof/>
            <w:webHidden/>
          </w:rPr>
          <w:fldChar w:fldCharType="begin"/>
        </w:r>
        <w:r>
          <w:rPr>
            <w:noProof/>
            <w:webHidden/>
          </w:rPr>
          <w:instrText xml:space="preserve"> PAGEREF _Toc226200710 \h </w:instrText>
        </w:r>
        <w:r>
          <w:rPr>
            <w:noProof/>
            <w:webHidden/>
          </w:rPr>
        </w:r>
        <w:r>
          <w:rPr>
            <w:noProof/>
            <w:webHidden/>
          </w:rPr>
          <w:fldChar w:fldCharType="separate"/>
        </w:r>
        <w:r w:rsidR="00831581">
          <w:rPr>
            <w:noProof/>
            <w:webHidden/>
          </w:rPr>
          <w:t>383</w:t>
        </w:r>
        <w:r>
          <w:rPr>
            <w:noProof/>
            <w:webHidden/>
          </w:rPr>
          <w:fldChar w:fldCharType="end"/>
        </w:r>
      </w:hyperlink>
    </w:p>
    <w:p w14:paraId="3B775799" w14:textId="4EDDF450"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1" w:history="1">
        <w:r w:rsidRPr="006F0B8B">
          <w:rPr>
            <w:rStyle w:val="Hyperlink"/>
            <w:bCs/>
            <w:noProof/>
          </w:rPr>
          <w:t>Figure 8.1.3</w:t>
        </w:r>
        <w:r>
          <w:rPr>
            <w:rFonts w:asciiTheme="minorHAnsi" w:eastAsiaTheme="minorEastAsia" w:hAnsiTheme="minorHAnsi" w:cstheme="minorBidi"/>
            <w:noProof/>
            <w:kern w:val="2"/>
            <w:sz w:val="24"/>
            <w:szCs w:val="24"/>
            <w14:ligatures w14:val="standardContextual"/>
          </w:rPr>
          <w:tab/>
        </w:r>
        <w:r w:rsidRPr="006F0B8B">
          <w:rPr>
            <w:rStyle w:val="Hyperlink"/>
            <w:bCs/>
            <w:noProof/>
          </w:rPr>
          <w:t>Tokelau’s emissions by sector in 2024</w:t>
        </w:r>
        <w:r>
          <w:rPr>
            <w:noProof/>
            <w:webHidden/>
          </w:rPr>
          <w:tab/>
        </w:r>
        <w:r>
          <w:rPr>
            <w:noProof/>
            <w:webHidden/>
          </w:rPr>
          <w:fldChar w:fldCharType="begin"/>
        </w:r>
        <w:r>
          <w:rPr>
            <w:noProof/>
            <w:webHidden/>
          </w:rPr>
          <w:instrText xml:space="preserve"> PAGEREF _Toc226200711 \h </w:instrText>
        </w:r>
        <w:r>
          <w:rPr>
            <w:noProof/>
            <w:webHidden/>
          </w:rPr>
        </w:r>
        <w:r>
          <w:rPr>
            <w:noProof/>
            <w:webHidden/>
          </w:rPr>
          <w:fldChar w:fldCharType="separate"/>
        </w:r>
        <w:r w:rsidR="00831581">
          <w:rPr>
            <w:noProof/>
            <w:webHidden/>
          </w:rPr>
          <w:t>383</w:t>
        </w:r>
        <w:r>
          <w:rPr>
            <w:noProof/>
            <w:webHidden/>
          </w:rPr>
          <w:fldChar w:fldCharType="end"/>
        </w:r>
      </w:hyperlink>
    </w:p>
    <w:p w14:paraId="6C68505C" w14:textId="7B2201E7"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2" w:history="1">
        <w:r w:rsidRPr="006F0B8B">
          <w:rPr>
            <w:rStyle w:val="Hyperlink"/>
            <w:bCs/>
            <w:noProof/>
          </w:rPr>
          <w:t xml:space="preserve">Figure 8.1.4 </w:t>
        </w:r>
        <w:r>
          <w:rPr>
            <w:rFonts w:asciiTheme="minorHAnsi" w:eastAsiaTheme="minorEastAsia" w:hAnsiTheme="minorHAnsi" w:cstheme="minorBidi"/>
            <w:noProof/>
            <w:kern w:val="2"/>
            <w:sz w:val="24"/>
            <w:szCs w:val="24"/>
            <w14:ligatures w14:val="standardContextual"/>
          </w:rPr>
          <w:tab/>
        </w:r>
        <w:r w:rsidRPr="006F0B8B">
          <w:rPr>
            <w:rStyle w:val="Hyperlink"/>
            <w:bCs/>
            <w:noProof/>
          </w:rPr>
          <w:t>Emissions by sector for Tokelau, from 1990 to 2024</w:t>
        </w:r>
        <w:r>
          <w:rPr>
            <w:noProof/>
            <w:webHidden/>
          </w:rPr>
          <w:tab/>
        </w:r>
        <w:r>
          <w:rPr>
            <w:noProof/>
            <w:webHidden/>
          </w:rPr>
          <w:fldChar w:fldCharType="begin"/>
        </w:r>
        <w:r>
          <w:rPr>
            <w:noProof/>
            <w:webHidden/>
          </w:rPr>
          <w:instrText xml:space="preserve"> PAGEREF _Toc226200712 \h </w:instrText>
        </w:r>
        <w:r>
          <w:rPr>
            <w:noProof/>
            <w:webHidden/>
          </w:rPr>
        </w:r>
        <w:r>
          <w:rPr>
            <w:noProof/>
            <w:webHidden/>
          </w:rPr>
          <w:fldChar w:fldCharType="separate"/>
        </w:r>
        <w:r w:rsidR="00831581">
          <w:rPr>
            <w:noProof/>
            <w:webHidden/>
          </w:rPr>
          <w:t>385</w:t>
        </w:r>
        <w:r>
          <w:rPr>
            <w:noProof/>
            <w:webHidden/>
          </w:rPr>
          <w:fldChar w:fldCharType="end"/>
        </w:r>
      </w:hyperlink>
    </w:p>
    <w:p w14:paraId="78DFDA12" w14:textId="125BDBF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3" w:history="1">
        <w:r w:rsidRPr="006F0B8B">
          <w:rPr>
            <w:rStyle w:val="Hyperlink"/>
            <w:bCs/>
            <w:noProof/>
          </w:rPr>
          <w:t xml:space="preserve">Figure 8.1.5 </w:t>
        </w:r>
        <w:r>
          <w:rPr>
            <w:rFonts w:asciiTheme="minorHAnsi" w:eastAsiaTheme="minorEastAsia" w:hAnsiTheme="minorHAnsi" w:cstheme="minorBidi"/>
            <w:noProof/>
            <w:kern w:val="2"/>
            <w:sz w:val="24"/>
            <w:szCs w:val="24"/>
            <w14:ligatures w14:val="standardContextual"/>
          </w:rPr>
          <w:tab/>
        </w:r>
        <w:r w:rsidRPr="006F0B8B">
          <w:rPr>
            <w:rStyle w:val="Hyperlink"/>
            <w:bCs/>
            <w:noProof/>
          </w:rPr>
          <w:t>Data processing, quality-assurance and quality-control processes applied to the Inventory data from Tokelau and their integration into the Inventory</w:t>
        </w:r>
        <w:r>
          <w:rPr>
            <w:noProof/>
            <w:webHidden/>
          </w:rPr>
          <w:tab/>
        </w:r>
        <w:r>
          <w:rPr>
            <w:noProof/>
            <w:webHidden/>
          </w:rPr>
          <w:fldChar w:fldCharType="begin"/>
        </w:r>
        <w:r>
          <w:rPr>
            <w:noProof/>
            <w:webHidden/>
          </w:rPr>
          <w:instrText xml:space="preserve"> PAGEREF _Toc226200713 \h </w:instrText>
        </w:r>
        <w:r>
          <w:rPr>
            <w:noProof/>
            <w:webHidden/>
          </w:rPr>
        </w:r>
        <w:r>
          <w:rPr>
            <w:noProof/>
            <w:webHidden/>
          </w:rPr>
          <w:fldChar w:fldCharType="separate"/>
        </w:r>
        <w:r w:rsidR="00831581">
          <w:rPr>
            <w:noProof/>
            <w:webHidden/>
          </w:rPr>
          <w:t>386</w:t>
        </w:r>
        <w:r>
          <w:rPr>
            <w:noProof/>
            <w:webHidden/>
          </w:rPr>
          <w:fldChar w:fldCharType="end"/>
        </w:r>
      </w:hyperlink>
    </w:p>
    <w:p w14:paraId="3EBDE019" w14:textId="5D863CB8"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4" w:history="1">
        <w:r w:rsidRPr="006F0B8B">
          <w:rPr>
            <w:rStyle w:val="Hyperlink"/>
            <w:bCs/>
            <w:noProof/>
          </w:rPr>
          <w:t>Figure 8.2.1</w:t>
        </w:r>
        <w:r w:rsidRPr="006F0B8B">
          <w:rPr>
            <w:rStyle w:val="Hyperlink"/>
            <w:noProof/>
          </w:rPr>
          <w:t xml:space="preserve"> </w:t>
        </w:r>
        <w:r>
          <w:rPr>
            <w:rFonts w:asciiTheme="minorHAnsi" w:eastAsiaTheme="minorEastAsia" w:hAnsiTheme="minorHAnsi" w:cstheme="minorBidi"/>
            <w:noProof/>
            <w:kern w:val="2"/>
            <w:sz w:val="24"/>
            <w:szCs w:val="24"/>
            <w14:ligatures w14:val="standardContextual"/>
          </w:rPr>
          <w:tab/>
        </w:r>
        <w:r w:rsidRPr="006F0B8B">
          <w:rPr>
            <w:rStyle w:val="Hyperlink"/>
            <w:noProof/>
          </w:rPr>
          <w:t xml:space="preserve">Energy emissions by category for Tokelau, from </w:t>
        </w:r>
        <w:r w:rsidRPr="006F0B8B">
          <w:rPr>
            <w:rStyle w:val="Hyperlink"/>
            <w:bCs/>
            <w:noProof/>
          </w:rPr>
          <w:t>1990</w:t>
        </w:r>
        <w:r w:rsidRPr="006F0B8B">
          <w:rPr>
            <w:rStyle w:val="Hyperlink"/>
            <w:noProof/>
          </w:rPr>
          <w:t xml:space="preserve"> to </w:t>
        </w:r>
        <w:r w:rsidRPr="006F0B8B">
          <w:rPr>
            <w:rStyle w:val="Hyperlink"/>
            <w:bCs/>
            <w:noProof/>
          </w:rPr>
          <w:t>2024</w:t>
        </w:r>
        <w:r>
          <w:rPr>
            <w:noProof/>
            <w:webHidden/>
          </w:rPr>
          <w:tab/>
        </w:r>
        <w:r>
          <w:rPr>
            <w:noProof/>
            <w:webHidden/>
          </w:rPr>
          <w:fldChar w:fldCharType="begin"/>
        </w:r>
        <w:r>
          <w:rPr>
            <w:noProof/>
            <w:webHidden/>
          </w:rPr>
          <w:instrText xml:space="preserve"> PAGEREF _Toc226200714 \h </w:instrText>
        </w:r>
        <w:r>
          <w:rPr>
            <w:noProof/>
            <w:webHidden/>
          </w:rPr>
        </w:r>
        <w:r>
          <w:rPr>
            <w:noProof/>
            <w:webHidden/>
          </w:rPr>
          <w:fldChar w:fldCharType="separate"/>
        </w:r>
        <w:r w:rsidR="00831581">
          <w:rPr>
            <w:noProof/>
            <w:webHidden/>
          </w:rPr>
          <w:t>387</w:t>
        </w:r>
        <w:r>
          <w:rPr>
            <w:noProof/>
            <w:webHidden/>
          </w:rPr>
          <w:fldChar w:fldCharType="end"/>
        </w:r>
      </w:hyperlink>
    </w:p>
    <w:p w14:paraId="154AE6CB" w14:textId="4683B84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5" w:history="1">
        <w:r w:rsidRPr="006F0B8B">
          <w:rPr>
            <w:rStyle w:val="Hyperlink"/>
            <w:bCs/>
            <w:noProof/>
          </w:rPr>
          <w:t xml:space="preserve">Figure 8.3.1 </w:t>
        </w:r>
        <w:r>
          <w:rPr>
            <w:rFonts w:asciiTheme="minorHAnsi" w:eastAsiaTheme="minorEastAsia" w:hAnsiTheme="minorHAnsi" w:cstheme="minorBidi"/>
            <w:noProof/>
            <w:kern w:val="2"/>
            <w:sz w:val="24"/>
            <w:szCs w:val="24"/>
            <w14:ligatures w14:val="standardContextual"/>
          </w:rPr>
          <w:tab/>
        </w:r>
        <w:r w:rsidRPr="006F0B8B">
          <w:rPr>
            <w:rStyle w:val="Hyperlink"/>
            <w:bCs/>
            <w:noProof/>
          </w:rPr>
          <w:t>Cluster block diagram for Tokelau’s solar project</w:t>
        </w:r>
        <w:r>
          <w:rPr>
            <w:noProof/>
            <w:webHidden/>
          </w:rPr>
          <w:tab/>
        </w:r>
        <w:r>
          <w:rPr>
            <w:noProof/>
            <w:webHidden/>
          </w:rPr>
          <w:fldChar w:fldCharType="begin"/>
        </w:r>
        <w:r>
          <w:rPr>
            <w:noProof/>
            <w:webHidden/>
          </w:rPr>
          <w:instrText xml:space="preserve"> PAGEREF _Toc226200715 \h </w:instrText>
        </w:r>
        <w:r>
          <w:rPr>
            <w:noProof/>
            <w:webHidden/>
          </w:rPr>
        </w:r>
        <w:r>
          <w:rPr>
            <w:noProof/>
            <w:webHidden/>
          </w:rPr>
          <w:fldChar w:fldCharType="separate"/>
        </w:r>
        <w:r w:rsidR="00831581">
          <w:rPr>
            <w:noProof/>
            <w:webHidden/>
          </w:rPr>
          <w:t>389</w:t>
        </w:r>
        <w:r>
          <w:rPr>
            <w:noProof/>
            <w:webHidden/>
          </w:rPr>
          <w:fldChar w:fldCharType="end"/>
        </w:r>
      </w:hyperlink>
    </w:p>
    <w:p w14:paraId="7584A6B3" w14:textId="302EC742"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6" w:history="1">
        <w:r w:rsidRPr="006F0B8B">
          <w:rPr>
            <w:rStyle w:val="Hyperlink"/>
            <w:bCs/>
            <w:noProof/>
          </w:rPr>
          <w:t>Figure 8.6.1</w:t>
        </w:r>
        <w:r>
          <w:rPr>
            <w:rFonts w:asciiTheme="minorHAnsi" w:eastAsiaTheme="minorEastAsia" w:hAnsiTheme="minorHAnsi" w:cstheme="minorBidi"/>
            <w:noProof/>
            <w:kern w:val="2"/>
            <w:sz w:val="24"/>
            <w:szCs w:val="24"/>
            <w14:ligatures w14:val="standardContextual"/>
          </w:rPr>
          <w:tab/>
        </w:r>
        <w:r w:rsidRPr="006F0B8B">
          <w:rPr>
            <w:rStyle w:val="Hyperlink"/>
            <w:bCs/>
            <w:noProof/>
          </w:rPr>
          <w:t>Industrial Processes and Product Use emissions by category for Tokelau from 1990 to 2024</w:t>
        </w:r>
        <w:r>
          <w:rPr>
            <w:noProof/>
            <w:webHidden/>
          </w:rPr>
          <w:tab/>
        </w:r>
        <w:r>
          <w:rPr>
            <w:noProof/>
            <w:webHidden/>
          </w:rPr>
          <w:fldChar w:fldCharType="begin"/>
        </w:r>
        <w:r>
          <w:rPr>
            <w:noProof/>
            <w:webHidden/>
          </w:rPr>
          <w:instrText xml:space="preserve"> PAGEREF _Toc226200716 \h </w:instrText>
        </w:r>
        <w:r>
          <w:rPr>
            <w:noProof/>
            <w:webHidden/>
          </w:rPr>
        </w:r>
        <w:r>
          <w:rPr>
            <w:noProof/>
            <w:webHidden/>
          </w:rPr>
          <w:fldChar w:fldCharType="separate"/>
        </w:r>
        <w:r w:rsidR="00831581">
          <w:rPr>
            <w:noProof/>
            <w:webHidden/>
          </w:rPr>
          <w:t>396</w:t>
        </w:r>
        <w:r>
          <w:rPr>
            <w:noProof/>
            <w:webHidden/>
          </w:rPr>
          <w:fldChar w:fldCharType="end"/>
        </w:r>
      </w:hyperlink>
    </w:p>
    <w:p w14:paraId="7CFC20A0" w14:textId="26CC2680"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7" w:history="1">
        <w:r w:rsidRPr="006F0B8B">
          <w:rPr>
            <w:rStyle w:val="Hyperlink"/>
            <w:bCs/>
            <w:noProof/>
          </w:rPr>
          <w:t>Figure 8.9.1</w:t>
        </w:r>
        <w:r>
          <w:rPr>
            <w:rFonts w:asciiTheme="minorHAnsi" w:eastAsiaTheme="minorEastAsia" w:hAnsiTheme="minorHAnsi" w:cstheme="minorBidi"/>
            <w:noProof/>
            <w:kern w:val="2"/>
            <w:sz w:val="24"/>
            <w:szCs w:val="24"/>
            <w14:ligatures w14:val="standardContextual"/>
          </w:rPr>
          <w:tab/>
        </w:r>
        <w:r w:rsidRPr="006F0B8B">
          <w:rPr>
            <w:rStyle w:val="Hyperlink"/>
            <w:bCs/>
            <w:noProof/>
          </w:rPr>
          <w:t>Agriculture emissions by category for Tokelau, from 1990 to 2024</w:t>
        </w:r>
        <w:r>
          <w:rPr>
            <w:noProof/>
            <w:webHidden/>
          </w:rPr>
          <w:tab/>
        </w:r>
        <w:r>
          <w:rPr>
            <w:noProof/>
            <w:webHidden/>
          </w:rPr>
          <w:fldChar w:fldCharType="begin"/>
        </w:r>
        <w:r>
          <w:rPr>
            <w:noProof/>
            <w:webHidden/>
          </w:rPr>
          <w:instrText xml:space="preserve"> PAGEREF _Toc226200717 \h </w:instrText>
        </w:r>
        <w:r>
          <w:rPr>
            <w:noProof/>
            <w:webHidden/>
          </w:rPr>
        </w:r>
        <w:r>
          <w:rPr>
            <w:noProof/>
            <w:webHidden/>
          </w:rPr>
          <w:fldChar w:fldCharType="separate"/>
        </w:r>
        <w:r w:rsidR="00831581">
          <w:rPr>
            <w:noProof/>
            <w:webHidden/>
          </w:rPr>
          <w:t>401</w:t>
        </w:r>
        <w:r>
          <w:rPr>
            <w:noProof/>
            <w:webHidden/>
          </w:rPr>
          <w:fldChar w:fldCharType="end"/>
        </w:r>
      </w:hyperlink>
    </w:p>
    <w:p w14:paraId="6F7CA736" w14:textId="3B6D8582"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8" w:history="1">
        <w:r w:rsidRPr="006F0B8B">
          <w:rPr>
            <w:rStyle w:val="Hyperlink"/>
            <w:bCs/>
            <w:noProof/>
          </w:rPr>
          <w:t>Figure 8.12.1</w:t>
        </w:r>
        <w:r>
          <w:rPr>
            <w:rFonts w:asciiTheme="minorHAnsi" w:eastAsiaTheme="minorEastAsia" w:hAnsiTheme="minorHAnsi" w:cstheme="minorBidi"/>
            <w:noProof/>
            <w:kern w:val="2"/>
            <w:sz w:val="24"/>
            <w:szCs w:val="24"/>
            <w14:ligatures w14:val="standardContextual"/>
          </w:rPr>
          <w:tab/>
        </w:r>
        <w:r w:rsidRPr="006F0B8B">
          <w:rPr>
            <w:rStyle w:val="Hyperlink"/>
            <w:bCs/>
            <w:noProof/>
          </w:rPr>
          <w:t>Waste sector emissions by category for Tokelau, from 1990 to 2024</w:t>
        </w:r>
        <w:r>
          <w:rPr>
            <w:noProof/>
            <w:webHidden/>
          </w:rPr>
          <w:tab/>
        </w:r>
        <w:r>
          <w:rPr>
            <w:noProof/>
            <w:webHidden/>
          </w:rPr>
          <w:fldChar w:fldCharType="begin"/>
        </w:r>
        <w:r>
          <w:rPr>
            <w:noProof/>
            <w:webHidden/>
          </w:rPr>
          <w:instrText xml:space="preserve"> PAGEREF _Toc226200718 \h </w:instrText>
        </w:r>
        <w:r>
          <w:rPr>
            <w:noProof/>
            <w:webHidden/>
          </w:rPr>
        </w:r>
        <w:r>
          <w:rPr>
            <w:noProof/>
            <w:webHidden/>
          </w:rPr>
          <w:fldChar w:fldCharType="separate"/>
        </w:r>
        <w:r w:rsidR="00831581">
          <w:rPr>
            <w:noProof/>
            <w:webHidden/>
          </w:rPr>
          <w:t>405</w:t>
        </w:r>
        <w:r>
          <w:rPr>
            <w:noProof/>
            <w:webHidden/>
          </w:rPr>
          <w:fldChar w:fldCharType="end"/>
        </w:r>
      </w:hyperlink>
    </w:p>
    <w:p w14:paraId="1C27C405" w14:textId="0008496C"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19" w:history="1">
        <w:r w:rsidRPr="006F0B8B">
          <w:rPr>
            <w:rStyle w:val="Hyperlink"/>
            <w:noProof/>
          </w:rPr>
          <w:t xml:space="preserve">Figure 10.3.1 </w:t>
        </w:r>
        <w:r>
          <w:rPr>
            <w:rFonts w:asciiTheme="minorHAnsi" w:eastAsiaTheme="minorEastAsia" w:hAnsiTheme="minorHAnsi" w:cstheme="minorBidi"/>
            <w:noProof/>
            <w:kern w:val="2"/>
            <w:sz w:val="24"/>
            <w:szCs w:val="24"/>
            <w14:ligatures w14:val="standardContextual"/>
          </w:rPr>
          <w:tab/>
        </w:r>
        <w:r w:rsidRPr="006F0B8B">
          <w:rPr>
            <w:rStyle w:val="Hyperlink"/>
            <w:noProof/>
          </w:rPr>
          <w:t>Effect of recalculations on New Zealand’s gross greenhouse gas emissions estimates, from 1990 to 2023</w:t>
        </w:r>
        <w:r>
          <w:rPr>
            <w:noProof/>
            <w:webHidden/>
          </w:rPr>
          <w:tab/>
        </w:r>
        <w:r>
          <w:rPr>
            <w:noProof/>
            <w:webHidden/>
          </w:rPr>
          <w:fldChar w:fldCharType="begin"/>
        </w:r>
        <w:r>
          <w:rPr>
            <w:noProof/>
            <w:webHidden/>
          </w:rPr>
          <w:instrText xml:space="preserve"> PAGEREF _Toc226200719 \h </w:instrText>
        </w:r>
        <w:r>
          <w:rPr>
            <w:noProof/>
            <w:webHidden/>
          </w:rPr>
        </w:r>
        <w:r>
          <w:rPr>
            <w:noProof/>
            <w:webHidden/>
          </w:rPr>
          <w:fldChar w:fldCharType="separate"/>
        </w:r>
        <w:r w:rsidR="00831581">
          <w:rPr>
            <w:noProof/>
            <w:webHidden/>
          </w:rPr>
          <w:t>419</w:t>
        </w:r>
        <w:r>
          <w:rPr>
            <w:noProof/>
            <w:webHidden/>
          </w:rPr>
          <w:fldChar w:fldCharType="end"/>
        </w:r>
      </w:hyperlink>
    </w:p>
    <w:p w14:paraId="3C97C1F8" w14:textId="58900EB0"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20" w:history="1">
        <w:r w:rsidRPr="006F0B8B">
          <w:rPr>
            <w:rStyle w:val="Hyperlink"/>
            <w:noProof/>
          </w:rPr>
          <w:t xml:space="preserve">Figure 10.3.2 </w:t>
        </w:r>
        <w:r>
          <w:rPr>
            <w:rFonts w:asciiTheme="minorHAnsi" w:eastAsiaTheme="minorEastAsia" w:hAnsiTheme="minorHAnsi" w:cstheme="minorBidi"/>
            <w:noProof/>
            <w:kern w:val="2"/>
            <w:sz w:val="24"/>
            <w:szCs w:val="24"/>
            <w14:ligatures w14:val="standardContextual"/>
          </w:rPr>
          <w:tab/>
        </w:r>
        <w:r w:rsidRPr="006F0B8B">
          <w:rPr>
            <w:rStyle w:val="Hyperlink"/>
            <w:noProof/>
          </w:rPr>
          <w:t>Effect of recalculations on New Zealand’s net greenhouse gas emissions estimates, from 1990 to 2023</w:t>
        </w:r>
        <w:r>
          <w:rPr>
            <w:noProof/>
            <w:webHidden/>
          </w:rPr>
          <w:tab/>
        </w:r>
        <w:r>
          <w:rPr>
            <w:noProof/>
            <w:webHidden/>
          </w:rPr>
          <w:fldChar w:fldCharType="begin"/>
        </w:r>
        <w:r>
          <w:rPr>
            <w:noProof/>
            <w:webHidden/>
          </w:rPr>
          <w:instrText xml:space="preserve"> PAGEREF _Toc226200720 \h </w:instrText>
        </w:r>
        <w:r>
          <w:rPr>
            <w:noProof/>
            <w:webHidden/>
          </w:rPr>
        </w:r>
        <w:r>
          <w:rPr>
            <w:noProof/>
            <w:webHidden/>
          </w:rPr>
          <w:fldChar w:fldCharType="separate"/>
        </w:r>
        <w:r w:rsidR="00831581">
          <w:rPr>
            <w:noProof/>
            <w:webHidden/>
          </w:rPr>
          <w:t>420</w:t>
        </w:r>
        <w:r>
          <w:rPr>
            <w:noProof/>
            <w:webHidden/>
          </w:rPr>
          <w:fldChar w:fldCharType="end"/>
        </w:r>
      </w:hyperlink>
    </w:p>
    <w:p w14:paraId="24F90BE1" w14:textId="219EC7F7"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21" w:history="1">
        <w:r w:rsidRPr="006F0B8B">
          <w:rPr>
            <w:rStyle w:val="Hyperlink"/>
            <w:bCs/>
            <w:noProof/>
          </w:rPr>
          <w:t xml:space="preserve">Figure 10.3.3 </w:t>
        </w:r>
        <w:r>
          <w:rPr>
            <w:rFonts w:asciiTheme="minorHAnsi" w:eastAsiaTheme="minorEastAsia" w:hAnsiTheme="minorHAnsi" w:cstheme="minorBidi"/>
            <w:noProof/>
            <w:kern w:val="2"/>
            <w:sz w:val="24"/>
            <w:szCs w:val="24"/>
            <w14:ligatures w14:val="standardContextual"/>
          </w:rPr>
          <w:tab/>
        </w:r>
        <w:r w:rsidRPr="006F0B8B">
          <w:rPr>
            <w:rStyle w:val="Hyperlink"/>
            <w:bCs/>
            <w:noProof/>
          </w:rPr>
          <w:t>Effect of changes to activity data on emissions estimates from New Zealand’s Energy sector, from 1990 to 2023</w:t>
        </w:r>
        <w:r>
          <w:rPr>
            <w:noProof/>
            <w:webHidden/>
          </w:rPr>
          <w:tab/>
        </w:r>
        <w:r>
          <w:rPr>
            <w:noProof/>
            <w:webHidden/>
          </w:rPr>
          <w:fldChar w:fldCharType="begin"/>
        </w:r>
        <w:r>
          <w:rPr>
            <w:noProof/>
            <w:webHidden/>
          </w:rPr>
          <w:instrText xml:space="preserve"> PAGEREF _Toc226200721 \h </w:instrText>
        </w:r>
        <w:r>
          <w:rPr>
            <w:noProof/>
            <w:webHidden/>
          </w:rPr>
        </w:r>
        <w:r>
          <w:rPr>
            <w:noProof/>
            <w:webHidden/>
          </w:rPr>
          <w:fldChar w:fldCharType="separate"/>
        </w:r>
        <w:r w:rsidR="00831581">
          <w:rPr>
            <w:noProof/>
            <w:webHidden/>
          </w:rPr>
          <w:t>421</w:t>
        </w:r>
        <w:r>
          <w:rPr>
            <w:noProof/>
            <w:webHidden/>
          </w:rPr>
          <w:fldChar w:fldCharType="end"/>
        </w:r>
      </w:hyperlink>
    </w:p>
    <w:p w14:paraId="014986D7" w14:textId="77EB9A01"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22" w:history="1">
        <w:r w:rsidRPr="006F0B8B">
          <w:rPr>
            <w:rStyle w:val="Hyperlink"/>
            <w:bCs/>
            <w:noProof/>
          </w:rPr>
          <w:t xml:space="preserve">Figure 10.3.4 </w:t>
        </w:r>
        <w:r>
          <w:rPr>
            <w:rFonts w:asciiTheme="minorHAnsi" w:eastAsiaTheme="minorEastAsia" w:hAnsiTheme="minorHAnsi" w:cstheme="minorBidi"/>
            <w:noProof/>
            <w:kern w:val="2"/>
            <w:sz w:val="24"/>
            <w:szCs w:val="24"/>
            <w14:ligatures w14:val="standardContextual"/>
          </w:rPr>
          <w:tab/>
        </w:r>
        <w:r w:rsidRPr="006F0B8B">
          <w:rPr>
            <w:rStyle w:val="Hyperlink"/>
            <w:bCs/>
            <w:noProof/>
          </w:rPr>
          <w:t>Effect of recalculations on emissions estimates from the IPPU sector, from 1990 to 2023</w:t>
        </w:r>
        <w:r>
          <w:rPr>
            <w:noProof/>
            <w:webHidden/>
          </w:rPr>
          <w:tab/>
        </w:r>
        <w:r>
          <w:rPr>
            <w:noProof/>
            <w:webHidden/>
          </w:rPr>
          <w:fldChar w:fldCharType="begin"/>
        </w:r>
        <w:r>
          <w:rPr>
            <w:noProof/>
            <w:webHidden/>
          </w:rPr>
          <w:instrText xml:space="preserve"> PAGEREF _Toc226200722 \h </w:instrText>
        </w:r>
        <w:r>
          <w:rPr>
            <w:noProof/>
            <w:webHidden/>
          </w:rPr>
        </w:r>
        <w:r>
          <w:rPr>
            <w:noProof/>
            <w:webHidden/>
          </w:rPr>
          <w:fldChar w:fldCharType="separate"/>
        </w:r>
        <w:r w:rsidR="00831581">
          <w:rPr>
            <w:noProof/>
            <w:webHidden/>
          </w:rPr>
          <w:t>422</w:t>
        </w:r>
        <w:r>
          <w:rPr>
            <w:noProof/>
            <w:webHidden/>
          </w:rPr>
          <w:fldChar w:fldCharType="end"/>
        </w:r>
      </w:hyperlink>
    </w:p>
    <w:p w14:paraId="7CC6A03F" w14:textId="61244575"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23" w:history="1">
        <w:r w:rsidRPr="006F0B8B">
          <w:rPr>
            <w:rStyle w:val="Hyperlink"/>
            <w:bCs/>
            <w:noProof/>
          </w:rPr>
          <w:t xml:space="preserve">Figure 10.3.5 </w:t>
        </w:r>
        <w:r>
          <w:rPr>
            <w:rFonts w:asciiTheme="minorHAnsi" w:eastAsiaTheme="minorEastAsia" w:hAnsiTheme="minorHAnsi" w:cstheme="minorBidi"/>
            <w:noProof/>
            <w:kern w:val="2"/>
            <w:sz w:val="24"/>
            <w:szCs w:val="24"/>
            <w14:ligatures w14:val="standardContextual"/>
          </w:rPr>
          <w:tab/>
        </w:r>
        <w:r w:rsidRPr="006F0B8B">
          <w:rPr>
            <w:rStyle w:val="Hyperlink"/>
            <w:bCs/>
            <w:noProof/>
          </w:rPr>
          <w:t>Effect of recalculations on emissions estimates from New Zealand’s Agriculture sector, from 1990 to 2023</w:t>
        </w:r>
        <w:r>
          <w:rPr>
            <w:noProof/>
            <w:webHidden/>
          </w:rPr>
          <w:tab/>
        </w:r>
        <w:r>
          <w:rPr>
            <w:noProof/>
            <w:webHidden/>
          </w:rPr>
          <w:fldChar w:fldCharType="begin"/>
        </w:r>
        <w:r>
          <w:rPr>
            <w:noProof/>
            <w:webHidden/>
          </w:rPr>
          <w:instrText xml:space="preserve"> PAGEREF _Toc226200723 \h </w:instrText>
        </w:r>
        <w:r>
          <w:rPr>
            <w:noProof/>
            <w:webHidden/>
          </w:rPr>
        </w:r>
        <w:r>
          <w:rPr>
            <w:noProof/>
            <w:webHidden/>
          </w:rPr>
          <w:fldChar w:fldCharType="separate"/>
        </w:r>
        <w:r w:rsidR="00831581">
          <w:rPr>
            <w:noProof/>
            <w:webHidden/>
          </w:rPr>
          <w:t>423</w:t>
        </w:r>
        <w:r>
          <w:rPr>
            <w:noProof/>
            <w:webHidden/>
          </w:rPr>
          <w:fldChar w:fldCharType="end"/>
        </w:r>
      </w:hyperlink>
    </w:p>
    <w:p w14:paraId="6AFE8F4A" w14:textId="7F45E6B2"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24" w:history="1">
        <w:r w:rsidRPr="006F0B8B">
          <w:rPr>
            <w:rStyle w:val="Hyperlink"/>
            <w:bCs/>
            <w:noProof/>
          </w:rPr>
          <w:t xml:space="preserve">Figure 10.3.6 </w:t>
        </w:r>
        <w:r>
          <w:rPr>
            <w:rFonts w:asciiTheme="minorHAnsi" w:eastAsiaTheme="minorEastAsia" w:hAnsiTheme="minorHAnsi" w:cstheme="minorBidi"/>
            <w:noProof/>
            <w:kern w:val="2"/>
            <w:sz w:val="24"/>
            <w:szCs w:val="24"/>
            <w14:ligatures w14:val="standardContextual"/>
          </w:rPr>
          <w:tab/>
        </w:r>
        <w:r w:rsidRPr="006F0B8B">
          <w:rPr>
            <w:rStyle w:val="Hyperlink"/>
            <w:bCs/>
            <w:noProof/>
          </w:rPr>
          <w:t>Effect of improvements on net emissions estimates from New Zealand’s LULUCF sector, from 1990 to 2023</w:t>
        </w:r>
        <w:r>
          <w:rPr>
            <w:noProof/>
            <w:webHidden/>
          </w:rPr>
          <w:tab/>
        </w:r>
        <w:r>
          <w:rPr>
            <w:noProof/>
            <w:webHidden/>
          </w:rPr>
          <w:fldChar w:fldCharType="begin"/>
        </w:r>
        <w:r>
          <w:rPr>
            <w:noProof/>
            <w:webHidden/>
          </w:rPr>
          <w:instrText xml:space="preserve"> PAGEREF _Toc226200724 \h </w:instrText>
        </w:r>
        <w:r>
          <w:rPr>
            <w:noProof/>
            <w:webHidden/>
          </w:rPr>
        </w:r>
        <w:r>
          <w:rPr>
            <w:noProof/>
            <w:webHidden/>
          </w:rPr>
          <w:fldChar w:fldCharType="separate"/>
        </w:r>
        <w:r w:rsidR="00831581">
          <w:rPr>
            <w:noProof/>
            <w:webHidden/>
          </w:rPr>
          <w:t>424</w:t>
        </w:r>
        <w:r>
          <w:rPr>
            <w:noProof/>
            <w:webHidden/>
          </w:rPr>
          <w:fldChar w:fldCharType="end"/>
        </w:r>
      </w:hyperlink>
    </w:p>
    <w:p w14:paraId="42CBFFBF" w14:textId="00F9EF5D"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25" w:history="1">
        <w:r w:rsidRPr="006F0B8B">
          <w:rPr>
            <w:rStyle w:val="Hyperlink"/>
            <w:bCs/>
            <w:noProof/>
          </w:rPr>
          <w:t xml:space="preserve">Figure 10.3.7 </w:t>
        </w:r>
        <w:r>
          <w:rPr>
            <w:rFonts w:asciiTheme="minorHAnsi" w:eastAsiaTheme="minorEastAsia" w:hAnsiTheme="minorHAnsi" w:cstheme="minorBidi"/>
            <w:noProof/>
            <w:kern w:val="2"/>
            <w:sz w:val="24"/>
            <w:szCs w:val="24"/>
            <w14:ligatures w14:val="standardContextual"/>
          </w:rPr>
          <w:tab/>
        </w:r>
        <w:r w:rsidRPr="006F0B8B">
          <w:rPr>
            <w:rStyle w:val="Hyperlink"/>
            <w:bCs/>
            <w:noProof/>
          </w:rPr>
          <w:t>Effect of recalculations on emissions estimates from New Zealand’s Waste sector, from 1990 to</w:t>
        </w:r>
        <w:r w:rsidRPr="006F0B8B">
          <w:rPr>
            <w:rStyle w:val="Hyperlink"/>
            <w:noProof/>
          </w:rPr>
          <w:t> </w:t>
        </w:r>
        <w:r w:rsidRPr="006F0B8B">
          <w:rPr>
            <w:rStyle w:val="Hyperlink"/>
            <w:bCs/>
            <w:noProof/>
          </w:rPr>
          <w:t>2023</w:t>
        </w:r>
        <w:r>
          <w:rPr>
            <w:noProof/>
            <w:webHidden/>
          </w:rPr>
          <w:tab/>
        </w:r>
        <w:r>
          <w:rPr>
            <w:noProof/>
            <w:webHidden/>
          </w:rPr>
          <w:fldChar w:fldCharType="begin"/>
        </w:r>
        <w:r>
          <w:rPr>
            <w:noProof/>
            <w:webHidden/>
          </w:rPr>
          <w:instrText xml:space="preserve"> PAGEREF _Toc226200725 \h </w:instrText>
        </w:r>
        <w:r>
          <w:rPr>
            <w:noProof/>
            <w:webHidden/>
          </w:rPr>
        </w:r>
        <w:r>
          <w:rPr>
            <w:noProof/>
            <w:webHidden/>
          </w:rPr>
          <w:fldChar w:fldCharType="separate"/>
        </w:r>
        <w:r w:rsidR="00831581">
          <w:rPr>
            <w:noProof/>
            <w:webHidden/>
          </w:rPr>
          <w:t>425</w:t>
        </w:r>
        <w:r>
          <w:rPr>
            <w:noProof/>
            <w:webHidden/>
          </w:rPr>
          <w:fldChar w:fldCharType="end"/>
        </w:r>
      </w:hyperlink>
    </w:p>
    <w:p w14:paraId="271F1196" w14:textId="041E4913" w:rsidR="00706C4A" w:rsidRDefault="00706C4A">
      <w:pPr>
        <w:pStyle w:val="TableofFigures"/>
        <w:rPr>
          <w:rFonts w:asciiTheme="minorHAnsi" w:eastAsiaTheme="minorEastAsia" w:hAnsiTheme="minorHAnsi" w:cstheme="minorBidi"/>
          <w:noProof/>
          <w:kern w:val="2"/>
          <w:sz w:val="24"/>
          <w:szCs w:val="24"/>
          <w14:ligatures w14:val="standardContextual"/>
        </w:rPr>
      </w:pPr>
      <w:hyperlink w:anchor="_Toc226200726" w:history="1">
        <w:r w:rsidRPr="006F0B8B">
          <w:rPr>
            <w:rStyle w:val="Hyperlink"/>
            <w:bCs/>
            <w:noProof/>
          </w:rPr>
          <w:t xml:space="preserve">Figure 10.3.8 </w:t>
        </w:r>
        <w:r>
          <w:rPr>
            <w:rFonts w:asciiTheme="minorHAnsi" w:eastAsiaTheme="minorEastAsia" w:hAnsiTheme="minorHAnsi" w:cstheme="minorBidi"/>
            <w:noProof/>
            <w:kern w:val="2"/>
            <w:sz w:val="24"/>
            <w:szCs w:val="24"/>
            <w14:ligatures w14:val="standardContextual"/>
          </w:rPr>
          <w:tab/>
        </w:r>
        <w:r w:rsidRPr="006F0B8B">
          <w:rPr>
            <w:rStyle w:val="Hyperlink"/>
            <w:bCs/>
            <w:noProof/>
          </w:rPr>
          <w:t>Effect of recalculations on emissions estimates from the Tokelau sector, from 1990 to 2023</w:t>
        </w:r>
        <w:r>
          <w:rPr>
            <w:noProof/>
            <w:webHidden/>
          </w:rPr>
          <w:tab/>
        </w:r>
        <w:r>
          <w:rPr>
            <w:noProof/>
            <w:webHidden/>
          </w:rPr>
          <w:fldChar w:fldCharType="begin"/>
        </w:r>
        <w:r>
          <w:rPr>
            <w:noProof/>
            <w:webHidden/>
          </w:rPr>
          <w:instrText xml:space="preserve"> PAGEREF _Toc226200726 \h </w:instrText>
        </w:r>
        <w:r>
          <w:rPr>
            <w:noProof/>
            <w:webHidden/>
          </w:rPr>
        </w:r>
        <w:r>
          <w:rPr>
            <w:noProof/>
            <w:webHidden/>
          </w:rPr>
          <w:fldChar w:fldCharType="separate"/>
        </w:r>
        <w:r w:rsidR="00831581">
          <w:rPr>
            <w:noProof/>
            <w:webHidden/>
          </w:rPr>
          <w:t>426</w:t>
        </w:r>
        <w:r>
          <w:rPr>
            <w:noProof/>
            <w:webHidden/>
          </w:rPr>
          <w:fldChar w:fldCharType="end"/>
        </w:r>
      </w:hyperlink>
    </w:p>
    <w:p w14:paraId="689D06DD" w14:textId="6DF2811B" w:rsidR="00DD5CB6" w:rsidRPr="00C21B54" w:rsidRDefault="00475EF2" w:rsidP="00DD5CB6">
      <w:r>
        <w:rPr>
          <w:rFonts w:ascii="Arial" w:hAnsi="Arial"/>
          <w:sz w:val="20"/>
        </w:rPr>
        <w:fldChar w:fldCharType="end"/>
      </w:r>
    </w:p>
    <w:p w14:paraId="6B1D3868" w14:textId="77777777" w:rsidR="00DD5CB6" w:rsidRDefault="00DD5CB6" w:rsidP="00DD5CB6"/>
    <w:p w14:paraId="5B09CBBD" w14:textId="77777777" w:rsidR="00DD5CB6" w:rsidRDefault="00DD5CB6" w:rsidP="00DD5CB6">
      <w:pPr>
        <w:sectPr w:rsidR="00DD5CB6" w:rsidSect="00BF74C7">
          <w:headerReference w:type="even" r:id="rId13"/>
          <w:headerReference w:type="default" r:id="rId14"/>
          <w:footerReference w:type="even" r:id="rId15"/>
          <w:footerReference w:type="default" r:id="rId16"/>
          <w:pgSz w:w="11907" w:h="16840" w:code="9"/>
          <w:pgMar w:top="1418" w:right="1701" w:bottom="1418" w:left="1701" w:header="567" w:footer="567" w:gutter="0"/>
          <w:pgNumType w:fmt="lowerRoman"/>
          <w:cols w:space="720"/>
        </w:sectPr>
      </w:pPr>
    </w:p>
    <w:p w14:paraId="624140AA" w14:textId="2318CFAD" w:rsidR="004B4FD2" w:rsidRDefault="004B4FD2" w:rsidP="004B4FD2">
      <w:pPr>
        <w:pStyle w:val="Heading1"/>
      </w:pPr>
      <w:bookmarkStart w:id="1" w:name="_Toc226460728"/>
      <w:r>
        <w:t>Abbreviations</w:t>
      </w:r>
      <w:bookmarkEnd w:id="1"/>
    </w:p>
    <w:tbl>
      <w:tblPr>
        <w:tblW w:w="8618" w:type="dxa"/>
        <w:tblCellMar>
          <w:left w:w="57" w:type="dxa"/>
          <w:right w:w="57" w:type="dxa"/>
        </w:tblCellMar>
        <w:tblLook w:val="04A0" w:firstRow="1" w:lastRow="0" w:firstColumn="1" w:lastColumn="0" w:noHBand="0" w:noVBand="1"/>
      </w:tblPr>
      <w:tblGrid>
        <w:gridCol w:w="1526"/>
        <w:gridCol w:w="7092"/>
      </w:tblGrid>
      <w:tr w:rsidR="006754BE" w:rsidRPr="004161F6" w14:paraId="39277854" w14:textId="77777777" w:rsidTr="00C543F3">
        <w:tc>
          <w:tcPr>
            <w:tcW w:w="1526" w:type="dxa"/>
          </w:tcPr>
          <w:p w14:paraId="49C08F3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AAP</w:t>
            </w:r>
          </w:p>
        </w:tc>
        <w:tc>
          <w:tcPr>
            <w:tcW w:w="7092" w:type="dxa"/>
          </w:tcPr>
          <w:p w14:paraId="7B424A40" w14:textId="77777777" w:rsidR="006754BE" w:rsidRPr="00DF4561" w:rsidRDefault="006754BE" w:rsidP="00C543F3">
            <w:pPr>
              <w:pStyle w:val="BodyText"/>
              <w:spacing w:before="20" w:after="20" w:line="260" w:lineRule="atLeast"/>
              <w:rPr>
                <w:rFonts w:eastAsia="Calibri" w:cs="Calibri"/>
                <w:sz w:val="20"/>
                <w:szCs w:val="20"/>
              </w:rPr>
            </w:pPr>
            <w:r w:rsidRPr="00DF4561">
              <w:rPr>
                <w:rFonts w:cs="Calibri"/>
                <w:sz w:val="20"/>
                <w:szCs w:val="20"/>
              </w:rPr>
              <w:t>average animal population</w:t>
            </w:r>
          </w:p>
        </w:tc>
      </w:tr>
      <w:tr w:rsidR="006754BE" w:rsidRPr="004161F6" w14:paraId="23F887D4" w14:textId="77777777" w:rsidTr="00C543F3">
        <w:tc>
          <w:tcPr>
            <w:tcW w:w="1526" w:type="dxa"/>
          </w:tcPr>
          <w:p w14:paraId="3A400AC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AD</w:t>
            </w:r>
          </w:p>
        </w:tc>
        <w:tc>
          <w:tcPr>
            <w:tcW w:w="7092" w:type="dxa"/>
          </w:tcPr>
          <w:p w14:paraId="45E95898" w14:textId="77777777" w:rsidR="006754BE" w:rsidRPr="00B54986" w:rsidRDefault="006754BE" w:rsidP="00C543F3">
            <w:pPr>
              <w:pStyle w:val="BodyText"/>
              <w:spacing w:before="20" w:after="20" w:line="260" w:lineRule="atLeast"/>
              <w:rPr>
                <w:rFonts w:eastAsia="Calibri" w:cs="Calibri"/>
                <w:sz w:val="20"/>
                <w:szCs w:val="20"/>
              </w:rPr>
            </w:pPr>
            <w:r w:rsidRPr="00B54986">
              <w:rPr>
                <w:rFonts w:eastAsia="Calibri" w:cs="Calibri"/>
                <w:sz w:val="20"/>
                <w:szCs w:val="20"/>
              </w:rPr>
              <w:t>activity data</w:t>
            </w:r>
          </w:p>
        </w:tc>
      </w:tr>
      <w:tr w:rsidR="006754BE" w:rsidRPr="004161F6" w14:paraId="2668E242" w14:textId="77777777" w:rsidTr="00C543F3">
        <w:tc>
          <w:tcPr>
            <w:tcW w:w="1526" w:type="dxa"/>
          </w:tcPr>
          <w:p w14:paraId="107F83D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AGB</w:t>
            </w:r>
          </w:p>
        </w:tc>
        <w:tc>
          <w:tcPr>
            <w:tcW w:w="7092" w:type="dxa"/>
          </w:tcPr>
          <w:p w14:paraId="06F2A9CD" w14:textId="77777777" w:rsidR="006754BE" w:rsidRPr="004A3777" w:rsidRDefault="006754BE" w:rsidP="00C543F3">
            <w:pPr>
              <w:pStyle w:val="BodyText"/>
              <w:spacing w:before="20" w:after="20" w:line="260" w:lineRule="atLeast"/>
              <w:rPr>
                <w:rFonts w:eastAsia="Calibri" w:cs="Calibri"/>
                <w:sz w:val="20"/>
                <w:szCs w:val="20"/>
              </w:rPr>
            </w:pPr>
            <w:r w:rsidRPr="004A3777">
              <w:rPr>
                <w:rFonts w:eastAsia="Calibri" w:cs="Calibri"/>
                <w:sz w:val="20"/>
                <w:szCs w:val="20"/>
              </w:rPr>
              <w:t>above-ground biomass</w:t>
            </w:r>
          </w:p>
        </w:tc>
      </w:tr>
      <w:tr w:rsidR="006754BE" w:rsidRPr="004161F6" w14:paraId="0F9C8730" w14:textId="77777777" w:rsidTr="00C543F3">
        <w:tc>
          <w:tcPr>
            <w:tcW w:w="1526" w:type="dxa"/>
          </w:tcPr>
          <w:p w14:paraId="20BCCE1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AG</w:t>
            </w:r>
            <w:r w:rsidRPr="007D24CF">
              <w:rPr>
                <w:rFonts w:cs="Calibri"/>
                <w:b/>
                <w:sz w:val="20"/>
                <w:szCs w:val="20"/>
                <w:vertAlign w:val="subscript"/>
              </w:rPr>
              <w:t>N</w:t>
            </w:r>
          </w:p>
        </w:tc>
        <w:tc>
          <w:tcPr>
            <w:tcW w:w="7092" w:type="dxa"/>
          </w:tcPr>
          <w:p w14:paraId="063A8F6A" w14:textId="77777777" w:rsidR="006754BE" w:rsidRPr="00F25902" w:rsidRDefault="006754BE" w:rsidP="00C543F3">
            <w:pPr>
              <w:pStyle w:val="BodyText"/>
              <w:spacing w:before="20" w:after="20" w:line="260" w:lineRule="atLeast"/>
              <w:rPr>
                <w:rFonts w:eastAsia="Calibri" w:cs="Calibri"/>
                <w:sz w:val="20"/>
                <w:szCs w:val="20"/>
              </w:rPr>
            </w:pPr>
            <w:r w:rsidRPr="00F25902">
              <w:rPr>
                <w:rFonts w:cs="Calibri"/>
                <w:sz w:val="20"/>
                <w:szCs w:val="20"/>
              </w:rPr>
              <w:t>above-ground nitrogen residue</w:t>
            </w:r>
          </w:p>
        </w:tc>
      </w:tr>
      <w:tr w:rsidR="006754BE" w:rsidRPr="004161F6" w14:paraId="57CD43A8" w14:textId="77777777" w:rsidTr="00C543F3">
        <w:tc>
          <w:tcPr>
            <w:tcW w:w="1526" w:type="dxa"/>
          </w:tcPr>
          <w:p w14:paraId="02FB005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AIC</w:t>
            </w:r>
          </w:p>
        </w:tc>
        <w:tc>
          <w:tcPr>
            <w:tcW w:w="7092" w:type="dxa"/>
          </w:tcPr>
          <w:p w14:paraId="7248395B" w14:textId="77777777" w:rsidR="006754BE" w:rsidRPr="00093332" w:rsidRDefault="006754BE" w:rsidP="00C543F3">
            <w:pPr>
              <w:pStyle w:val="BodyText"/>
              <w:spacing w:before="20" w:after="20" w:line="260" w:lineRule="atLeast"/>
              <w:rPr>
                <w:rFonts w:eastAsia="Calibri" w:cs="Calibri"/>
                <w:sz w:val="20"/>
                <w:szCs w:val="20"/>
              </w:rPr>
            </w:pPr>
            <w:r w:rsidRPr="00093332">
              <w:rPr>
                <w:rFonts w:cs="Calibri"/>
                <w:sz w:val="20"/>
                <w:szCs w:val="20"/>
              </w:rPr>
              <w:t>Akaike information criterion</w:t>
            </w:r>
          </w:p>
        </w:tc>
      </w:tr>
      <w:tr w:rsidR="006754BE" w:rsidRPr="004161F6" w14:paraId="7F1A8B9E" w14:textId="77777777" w:rsidTr="00C543F3">
        <w:tc>
          <w:tcPr>
            <w:tcW w:w="1526" w:type="dxa"/>
          </w:tcPr>
          <w:p w14:paraId="78A96EA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pacing w:val="-2"/>
                <w:sz w:val="20"/>
                <w:szCs w:val="20"/>
              </w:rPr>
              <w:t>ANZSIC</w:t>
            </w:r>
          </w:p>
        </w:tc>
        <w:tc>
          <w:tcPr>
            <w:tcW w:w="7092" w:type="dxa"/>
          </w:tcPr>
          <w:p w14:paraId="1706E8B8" w14:textId="77777777" w:rsidR="006754BE" w:rsidRPr="000F4B32" w:rsidRDefault="006754BE" w:rsidP="00C543F3">
            <w:pPr>
              <w:pStyle w:val="BodyText"/>
              <w:spacing w:before="20" w:after="20" w:line="260" w:lineRule="atLeast"/>
              <w:rPr>
                <w:rFonts w:eastAsia="Calibri" w:cs="Calibri"/>
                <w:sz w:val="20"/>
                <w:szCs w:val="20"/>
              </w:rPr>
            </w:pPr>
            <w:r w:rsidRPr="000F4B32">
              <w:rPr>
                <w:rFonts w:cs="Calibri"/>
                <w:spacing w:val="-2"/>
                <w:sz w:val="20"/>
                <w:szCs w:val="20"/>
              </w:rPr>
              <w:t>Australian and New Zealand Standard Industrial Classification</w:t>
            </w:r>
          </w:p>
        </w:tc>
      </w:tr>
      <w:tr w:rsidR="006754BE" w:rsidRPr="00B54986" w14:paraId="3FC28BA5" w14:textId="77777777" w:rsidTr="00C543F3">
        <w:tc>
          <w:tcPr>
            <w:tcW w:w="1526" w:type="dxa"/>
          </w:tcPr>
          <w:p w14:paraId="386B361E"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APC</w:t>
            </w:r>
          </w:p>
        </w:tc>
        <w:tc>
          <w:tcPr>
            <w:tcW w:w="7092" w:type="dxa"/>
          </w:tcPr>
          <w:p w14:paraId="0407F159" w14:textId="77777777" w:rsidR="006754BE" w:rsidRPr="00B54986" w:rsidRDefault="006754BE" w:rsidP="00C543F3">
            <w:pPr>
              <w:pStyle w:val="BodyText"/>
              <w:spacing w:before="20" w:after="20" w:line="260" w:lineRule="atLeast"/>
              <w:rPr>
                <w:rFonts w:eastAsia="Calibri" w:cs="Calibri"/>
                <w:sz w:val="20"/>
                <w:szCs w:val="20"/>
              </w:rPr>
            </w:pPr>
            <w:r w:rsidRPr="00B54986">
              <w:rPr>
                <w:rFonts w:eastAsia="Calibri" w:cs="Calibri"/>
                <w:sz w:val="20"/>
                <w:szCs w:val="20"/>
              </w:rPr>
              <w:t>Agricultural Production Census</w:t>
            </w:r>
          </w:p>
        </w:tc>
      </w:tr>
      <w:tr w:rsidR="006754BE" w:rsidRPr="004161F6" w14:paraId="2FFE376F" w14:textId="77777777" w:rsidTr="00C543F3">
        <w:tc>
          <w:tcPr>
            <w:tcW w:w="1526" w:type="dxa"/>
          </w:tcPr>
          <w:p w14:paraId="2574082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APS</w:t>
            </w:r>
          </w:p>
        </w:tc>
        <w:tc>
          <w:tcPr>
            <w:tcW w:w="7092" w:type="dxa"/>
          </w:tcPr>
          <w:p w14:paraId="6F6926B1" w14:textId="77777777" w:rsidR="006754BE" w:rsidRPr="00B54986" w:rsidRDefault="006754BE" w:rsidP="00C543F3">
            <w:pPr>
              <w:pStyle w:val="BodyText"/>
              <w:spacing w:before="20" w:after="20" w:line="260" w:lineRule="atLeast"/>
              <w:rPr>
                <w:rFonts w:eastAsia="Calibri" w:cs="Calibri"/>
                <w:sz w:val="20"/>
                <w:szCs w:val="20"/>
              </w:rPr>
            </w:pPr>
            <w:r w:rsidRPr="00B54986">
              <w:rPr>
                <w:rFonts w:eastAsia="Calibri" w:cs="Calibri"/>
                <w:sz w:val="20"/>
                <w:szCs w:val="20"/>
              </w:rPr>
              <w:t>Agricultural Production Survey</w:t>
            </w:r>
          </w:p>
        </w:tc>
      </w:tr>
      <w:tr w:rsidR="006754BE" w:rsidRPr="004161F6" w14:paraId="19198557" w14:textId="77777777" w:rsidTr="00C543F3">
        <w:tc>
          <w:tcPr>
            <w:tcW w:w="1526" w:type="dxa"/>
          </w:tcPr>
          <w:p w14:paraId="46A15CCA"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BGB</w:t>
            </w:r>
          </w:p>
        </w:tc>
        <w:tc>
          <w:tcPr>
            <w:tcW w:w="7092" w:type="dxa"/>
          </w:tcPr>
          <w:p w14:paraId="37718574" w14:textId="77777777" w:rsidR="006754BE" w:rsidRPr="004A3777" w:rsidRDefault="006754BE" w:rsidP="00C543F3">
            <w:pPr>
              <w:pStyle w:val="BodyText"/>
              <w:spacing w:before="20" w:after="20" w:line="260" w:lineRule="atLeast"/>
              <w:rPr>
                <w:rFonts w:eastAsia="Calibri" w:cs="Calibri"/>
                <w:sz w:val="20"/>
                <w:szCs w:val="20"/>
              </w:rPr>
            </w:pPr>
            <w:r w:rsidRPr="004A3777">
              <w:rPr>
                <w:rFonts w:eastAsia="Calibri" w:cs="Calibri"/>
                <w:sz w:val="20"/>
                <w:szCs w:val="20"/>
              </w:rPr>
              <w:t>below-ground biomass</w:t>
            </w:r>
          </w:p>
        </w:tc>
      </w:tr>
      <w:tr w:rsidR="006754BE" w:rsidRPr="004161F6" w14:paraId="704A1FD2" w14:textId="77777777" w:rsidTr="00C543F3">
        <w:tc>
          <w:tcPr>
            <w:tcW w:w="1526" w:type="dxa"/>
          </w:tcPr>
          <w:p w14:paraId="031D180D" w14:textId="77777777" w:rsidR="006754BE" w:rsidRPr="007D24CF" w:rsidRDefault="006754BE" w:rsidP="00C543F3">
            <w:pPr>
              <w:pStyle w:val="BodyText"/>
              <w:spacing w:before="20" w:after="20" w:line="260" w:lineRule="atLeast"/>
              <w:jc w:val="both"/>
              <w:rPr>
                <w:rFonts w:eastAsia="Calibri" w:cs="Calibri"/>
                <w:b/>
                <w:sz w:val="20"/>
                <w:szCs w:val="20"/>
              </w:rPr>
            </w:pPr>
            <w:r w:rsidRPr="007D24CF">
              <w:rPr>
                <w:rFonts w:cs="Calibri"/>
                <w:b/>
                <w:sz w:val="20"/>
                <w:szCs w:val="20"/>
              </w:rPr>
              <w:t>BG</w:t>
            </w:r>
            <w:r w:rsidRPr="007D24CF">
              <w:rPr>
                <w:rFonts w:cs="Calibri"/>
                <w:b/>
                <w:sz w:val="20"/>
                <w:szCs w:val="20"/>
                <w:vertAlign w:val="subscript"/>
              </w:rPr>
              <w:t>N</w:t>
            </w:r>
          </w:p>
        </w:tc>
        <w:tc>
          <w:tcPr>
            <w:tcW w:w="7092" w:type="dxa"/>
          </w:tcPr>
          <w:p w14:paraId="0E305C1B" w14:textId="77777777" w:rsidR="006754BE" w:rsidRPr="004A3777" w:rsidRDefault="006754BE" w:rsidP="00C543F3">
            <w:pPr>
              <w:pStyle w:val="BodyText"/>
              <w:spacing w:before="20" w:after="20" w:line="260" w:lineRule="atLeast"/>
              <w:jc w:val="both"/>
              <w:rPr>
                <w:rFonts w:eastAsia="Calibri" w:cs="Calibri"/>
                <w:sz w:val="20"/>
                <w:szCs w:val="20"/>
              </w:rPr>
            </w:pPr>
            <w:r w:rsidRPr="004A3777">
              <w:rPr>
                <w:rFonts w:cs="Calibri"/>
                <w:sz w:val="20"/>
                <w:szCs w:val="20"/>
              </w:rPr>
              <w:t>below-ground nitrogen residue</w:t>
            </w:r>
          </w:p>
        </w:tc>
      </w:tr>
      <w:tr w:rsidR="006754BE" w:rsidRPr="004161F6" w14:paraId="5871296F" w14:textId="77777777" w:rsidTr="00C543F3">
        <w:tc>
          <w:tcPr>
            <w:tcW w:w="1526" w:type="dxa"/>
          </w:tcPr>
          <w:p w14:paraId="66B3ABF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BOD</w:t>
            </w:r>
          </w:p>
        </w:tc>
        <w:tc>
          <w:tcPr>
            <w:tcW w:w="7092" w:type="dxa"/>
          </w:tcPr>
          <w:p w14:paraId="15D99D38" w14:textId="77777777" w:rsidR="006754BE" w:rsidRPr="00ED3131" w:rsidRDefault="006754BE" w:rsidP="00C543F3">
            <w:pPr>
              <w:pStyle w:val="BodyText"/>
              <w:spacing w:before="20" w:after="20" w:line="260" w:lineRule="atLeast"/>
              <w:rPr>
                <w:rFonts w:eastAsia="Calibri" w:cs="Calibri"/>
                <w:sz w:val="20"/>
                <w:szCs w:val="20"/>
              </w:rPr>
            </w:pPr>
            <w:r w:rsidRPr="00ED3131">
              <w:rPr>
                <w:rFonts w:eastAsia="Calibri" w:cs="Calibri"/>
                <w:sz w:val="20"/>
                <w:szCs w:val="20"/>
              </w:rPr>
              <w:t>biochemical oxygen demand</w:t>
            </w:r>
          </w:p>
        </w:tc>
      </w:tr>
      <w:tr w:rsidR="006754BE" w:rsidRPr="004161F6" w14:paraId="5264F705" w14:textId="77777777" w:rsidTr="00C543F3">
        <w:tc>
          <w:tcPr>
            <w:tcW w:w="1526" w:type="dxa"/>
          </w:tcPr>
          <w:p w14:paraId="084F7B1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B</w:t>
            </w:r>
            <w:r w:rsidRPr="007D24CF">
              <w:rPr>
                <w:rFonts w:eastAsia="Calibri" w:cs="Calibri"/>
                <w:b/>
                <w:sz w:val="20"/>
                <w:szCs w:val="20"/>
                <w:vertAlign w:val="subscript"/>
              </w:rPr>
              <w:t>0</w:t>
            </w:r>
          </w:p>
        </w:tc>
        <w:tc>
          <w:tcPr>
            <w:tcW w:w="7092" w:type="dxa"/>
          </w:tcPr>
          <w:p w14:paraId="6C31ED2E" w14:textId="77777777" w:rsidR="006754BE" w:rsidRPr="00ED3131" w:rsidRDefault="006754BE" w:rsidP="00C543F3">
            <w:pPr>
              <w:pStyle w:val="BodyText"/>
              <w:spacing w:before="20" w:after="20" w:line="260" w:lineRule="atLeast"/>
              <w:rPr>
                <w:rFonts w:eastAsia="Calibri" w:cs="Calibri"/>
                <w:sz w:val="20"/>
                <w:szCs w:val="20"/>
              </w:rPr>
            </w:pPr>
            <w:r w:rsidRPr="00313EDE">
              <w:rPr>
                <w:rFonts w:eastAsia="Calibri" w:cs="Calibri"/>
                <w:sz w:val="20"/>
                <w:szCs w:val="20"/>
              </w:rPr>
              <w:t>maximum CH</w:t>
            </w:r>
            <w:r w:rsidRPr="00501BD3">
              <w:rPr>
                <w:rFonts w:eastAsia="Calibri" w:cs="Calibri"/>
                <w:sz w:val="20"/>
                <w:szCs w:val="20"/>
                <w:vertAlign w:val="subscript"/>
              </w:rPr>
              <w:t>4</w:t>
            </w:r>
            <w:r w:rsidRPr="00313EDE">
              <w:rPr>
                <w:rFonts w:eastAsia="Calibri" w:cs="Calibri"/>
                <w:sz w:val="20"/>
                <w:szCs w:val="20"/>
              </w:rPr>
              <w:t>-producing capacity of manure variable by species and diet</w:t>
            </w:r>
          </w:p>
        </w:tc>
      </w:tr>
      <w:tr w:rsidR="006754BE" w:rsidRPr="004161F6" w14:paraId="573C9868" w14:textId="77777777" w:rsidTr="00C543F3">
        <w:tc>
          <w:tcPr>
            <w:tcW w:w="1526" w:type="dxa"/>
          </w:tcPr>
          <w:p w14:paraId="066557A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C</w:t>
            </w:r>
          </w:p>
        </w:tc>
        <w:tc>
          <w:tcPr>
            <w:tcW w:w="7092" w:type="dxa"/>
          </w:tcPr>
          <w:p w14:paraId="78E07D87" w14:textId="77777777" w:rsidR="006754BE" w:rsidRPr="009111F4" w:rsidRDefault="006754BE" w:rsidP="00C543F3">
            <w:pPr>
              <w:pStyle w:val="BodyText"/>
              <w:spacing w:before="20" w:after="20" w:line="260" w:lineRule="atLeast"/>
              <w:rPr>
                <w:rFonts w:eastAsia="Calibri" w:cs="Calibri"/>
                <w:sz w:val="20"/>
                <w:szCs w:val="20"/>
              </w:rPr>
            </w:pPr>
            <w:r w:rsidRPr="009111F4">
              <w:rPr>
                <w:rFonts w:eastAsia="Calibri" w:cs="Calibri"/>
                <w:sz w:val="20"/>
                <w:szCs w:val="20"/>
              </w:rPr>
              <w:t>carbon</w:t>
            </w:r>
          </w:p>
        </w:tc>
      </w:tr>
      <w:tr w:rsidR="006754BE" w:rsidRPr="004161F6" w14:paraId="23C792B0" w14:textId="77777777" w:rsidTr="00C543F3">
        <w:tc>
          <w:tcPr>
            <w:tcW w:w="1526" w:type="dxa"/>
          </w:tcPr>
          <w:p w14:paraId="4AAFAB1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C</w:t>
            </w:r>
            <w:r w:rsidRPr="007D24CF">
              <w:rPr>
                <w:rFonts w:cs="Calibri"/>
                <w:b/>
                <w:sz w:val="20"/>
                <w:szCs w:val="20"/>
                <w:vertAlign w:val="subscript"/>
              </w:rPr>
              <w:t>2</w:t>
            </w:r>
            <w:r w:rsidRPr="007D24CF">
              <w:rPr>
                <w:rFonts w:cs="Calibri"/>
                <w:b/>
                <w:sz w:val="20"/>
                <w:szCs w:val="20"/>
              </w:rPr>
              <w:t>F</w:t>
            </w:r>
            <w:r w:rsidRPr="007D24CF">
              <w:rPr>
                <w:rFonts w:cs="Calibri"/>
                <w:b/>
                <w:sz w:val="20"/>
                <w:szCs w:val="20"/>
                <w:vertAlign w:val="subscript"/>
              </w:rPr>
              <w:t>6</w:t>
            </w:r>
          </w:p>
        </w:tc>
        <w:tc>
          <w:tcPr>
            <w:tcW w:w="7092" w:type="dxa"/>
          </w:tcPr>
          <w:p w14:paraId="50428A7C" w14:textId="77777777" w:rsidR="006754BE" w:rsidRPr="00A776E4" w:rsidRDefault="006754BE" w:rsidP="00C543F3">
            <w:pPr>
              <w:pStyle w:val="BodyText"/>
              <w:spacing w:before="20" w:after="20" w:line="260" w:lineRule="atLeast"/>
              <w:rPr>
                <w:rFonts w:eastAsia="Calibri" w:cs="Calibri"/>
                <w:sz w:val="20"/>
                <w:szCs w:val="20"/>
              </w:rPr>
            </w:pPr>
            <w:r w:rsidRPr="00A776E4">
              <w:rPr>
                <w:rFonts w:cs="Calibri"/>
                <w:sz w:val="20"/>
                <w:szCs w:val="20"/>
              </w:rPr>
              <w:t>perfluoroethane</w:t>
            </w:r>
          </w:p>
        </w:tc>
      </w:tr>
      <w:tr w:rsidR="006754BE" w:rsidRPr="004161F6" w14:paraId="5084ECE6" w14:textId="77777777" w:rsidTr="00C543F3">
        <w:tc>
          <w:tcPr>
            <w:tcW w:w="1526" w:type="dxa"/>
          </w:tcPr>
          <w:p w14:paraId="3A532309"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C</w:t>
            </w:r>
            <w:r w:rsidRPr="007D24CF">
              <w:rPr>
                <w:rFonts w:cs="Calibri"/>
                <w:b/>
                <w:sz w:val="20"/>
                <w:szCs w:val="20"/>
                <w:vertAlign w:val="subscript"/>
              </w:rPr>
              <w:t>3</w:t>
            </w:r>
            <w:r w:rsidRPr="007D24CF">
              <w:rPr>
                <w:rFonts w:cs="Calibri"/>
                <w:b/>
                <w:sz w:val="20"/>
                <w:szCs w:val="20"/>
              </w:rPr>
              <w:t>F</w:t>
            </w:r>
            <w:r w:rsidRPr="007D24CF">
              <w:rPr>
                <w:rFonts w:cs="Calibri"/>
                <w:b/>
                <w:sz w:val="20"/>
                <w:szCs w:val="20"/>
                <w:vertAlign w:val="subscript"/>
              </w:rPr>
              <w:t>8</w:t>
            </w:r>
          </w:p>
        </w:tc>
        <w:tc>
          <w:tcPr>
            <w:tcW w:w="7092" w:type="dxa"/>
          </w:tcPr>
          <w:p w14:paraId="2273D37B" w14:textId="77777777" w:rsidR="006754BE" w:rsidRPr="008149FF" w:rsidRDefault="006754BE" w:rsidP="00C543F3">
            <w:pPr>
              <w:pStyle w:val="BodyText"/>
              <w:spacing w:before="20" w:after="20" w:line="260" w:lineRule="atLeast"/>
              <w:rPr>
                <w:rFonts w:cs="Calibri"/>
                <w:sz w:val="20"/>
                <w:szCs w:val="20"/>
              </w:rPr>
            </w:pPr>
            <w:r w:rsidRPr="008149FF">
              <w:rPr>
                <w:rFonts w:cs="Calibri"/>
                <w:sz w:val="20"/>
                <w:szCs w:val="20"/>
              </w:rPr>
              <w:t xml:space="preserve">perfluoropropane </w:t>
            </w:r>
          </w:p>
        </w:tc>
      </w:tr>
      <w:tr w:rsidR="006754BE" w:rsidRPr="004161F6" w14:paraId="03E9A220" w14:textId="77777777" w:rsidTr="00C543F3">
        <w:tc>
          <w:tcPr>
            <w:tcW w:w="1526" w:type="dxa"/>
          </w:tcPr>
          <w:p w14:paraId="16811DE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CaO</w:t>
            </w:r>
          </w:p>
        </w:tc>
        <w:tc>
          <w:tcPr>
            <w:tcW w:w="7092" w:type="dxa"/>
          </w:tcPr>
          <w:p w14:paraId="726410E9" w14:textId="77777777" w:rsidR="006754BE" w:rsidRPr="00494AFA" w:rsidRDefault="006754BE" w:rsidP="00C543F3">
            <w:pPr>
              <w:pStyle w:val="BodyText"/>
              <w:spacing w:before="20" w:after="20" w:line="260" w:lineRule="atLeast"/>
              <w:rPr>
                <w:rFonts w:eastAsia="Calibri" w:cs="Calibri"/>
                <w:sz w:val="20"/>
                <w:szCs w:val="20"/>
              </w:rPr>
            </w:pPr>
            <w:r w:rsidRPr="00494AFA">
              <w:rPr>
                <w:rFonts w:cs="Calibri"/>
                <w:sz w:val="20"/>
                <w:szCs w:val="20"/>
              </w:rPr>
              <w:t xml:space="preserve">calcium oxide </w:t>
            </w:r>
          </w:p>
        </w:tc>
      </w:tr>
      <w:tr w:rsidR="006754BE" w:rsidRPr="004161F6" w14:paraId="5E7970D1" w14:textId="77777777" w:rsidTr="00C543F3">
        <w:tc>
          <w:tcPr>
            <w:tcW w:w="1526" w:type="dxa"/>
          </w:tcPr>
          <w:p w14:paraId="34FD5342"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Ca(OH)</w:t>
            </w:r>
            <w:r w:rsidRPr="007D24CF">
              <w:rPr>
                <w:rFonts w:cs="Calibri"/>
                <w:b/>
                <w:sz w:val="20"/>
                <w:szCs w:val="20"/>
                <w:vertAlign w:val="subscript"/>
              </w:rPr>
              <w:t>2</w:t>
            </w:r>
          </w:p>
        </w:tc>
        <w:tc>
          <w:tcPr>
            <w:tcW w:w="7092" w:type="dxa"/>
          </w:tcPr>
          <w:p w14:paraId="756FD634" w14:textId="77777777" w:rsidR="006754BE" w:rsidRPr="00494AFA" w:rsidRDefault="006754BE" w:rsidP="00C543F3">
            <w:pPr>
              <w:pStyle w:val="BodyText"/>
              <w:spacing w:before="20" w:after="20" w:line="260" w:lineRule="atLeast"/>
              <w:rPr>
                <w:rFonts w:cs="Calibri"/>
                <w:sz w:val="20"/>
                <w:szCs w:val="20"/>
              </w:rPr>
            </w:pPr>
            <w:r w:rsidRPr="00494AFA">
              <w:rPr>
                <w:rFonts w:cs="Calibri"/>
                <w:sz w:val="20"/>
                <w:szCs w:val="20"/>
              </w:rPr>
              <w:t>calcium hydroxide</w:t>
            </w:r>
          </w:p>
        </w:tc>
      </w:tr>
      <w:tr w:rsidR="006754BE" w:rsidRPr="004161F6" w14:paraId="0220916B" w14:textId="77777777" w:rsidTr="00C543F3">
        <w:tc>
          <w:tcPr>
            <w:tcW w:w="1526" w:type="dxa"/>
          </w:tcPr>
          <w:p w14:paraId="73E9D95D"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CCF</w:t>
            </w:r>
            <w:r w:rsidRPr="007D24CF">
              <w:rPr>
                <w:rFonts w:cs="Calibri"/>
                <w:b/>
                <w:sz w:val="20"/>
                <w:szCs w:val="20"/>
                <w:vertAlign w:val="subscript"/>
              </w:rPr>
              <w:t>i</w:t>
            </w:r>
          </w:p>
        </w:tc>
        <w:tc>
          <w:tcPr>
            <w:tcW w:w="7092" w:type="dxa"/>
          </w:tcPr>
          <w:p w14:paraId="6D44C403" w14:textId="77777777" w:rsidR="006754BE" w:rsidRPr="00494AFA" w:rsidRDefault="006754BE" w:rsidP="00C543F3">
            <w:pPr>
              <w:pStyle w:val="BodyText"/>
              <w:spacing w:before="20" w:after="20" w:line="260" w:lineRule="atLeast"/>
              <w:rPr>
                <w:rFonts w:cs="Calibri"/>
                <w:sz w:val="20"/>
                <w:szCs w:val="20"/>
              </w:rPr>
            </w:pPr>
            <w:r w:rsidRPr="00494AFA">
              <w:rPr>
                <w:rFonts w:cs="Calibri"/>
                <w:spacing w:val="-2"/>
                <w:sz w:val="20"/>
                <w:szCs w:val="20"/>
              </w:rPr>
              <w:t>carbon content factor</w:t>
            </w:r>
          </w:p>
        </w:tc>
      </w:tr>
      <w:tr w:rsidR="006754BE" w:rsidRPr="004161F6" w14:paraId="758F1DBF" w14:textId="77777777" w:rsidTr="00C543F3">
        <w:tc>
          <w:tcPr>
            <w:tcW w:w="1526" w:type="dxa"/>
          </w:tcPr>
          <w:p w14:paraId="36775FC2"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CCRA</w:t>
            </w:r>
          </w:p>
        </w:tc>
        <w:tc>
          <w:tcPr>
            <w:tcW w:w="7092" w:type="dxa"/>
          </w:tcPr>
          <w:p w14:paraId="1CA15D90" w14:textId="77777777" w:rsidR="006754BE" w:rsidRPr="00C47705" w:rsidRDefault="006754BE" w:rsidP="00C543F3">
            <w:pPr>
              <w:pStyle w:val="BodyText"/>
              <w:spacing w:before="20" w:after="20" w:line="260" w:lineRule="atLeast"/>
              <w:rPr>
                <w:rFonts w:cs="Calibri"/>
                <w:spacing w:val="-2"/>
                <w:sz w:val="20"/>
                <w:szCs w:val="20"/>
              </w:rPr>
            </w:pPr>
            <w:r w:rsidRPr="006B6F39">
              <w:rPr>
                <w:rFonts w:cs="Calibri"/>
                <w:spacing w:val="-2"/>
                <w:sz w:val="20"/>
                <w:szCs w:val="20"/>
              </w:rPr>
              <w:t xml:space="preserve">Climate Change Response Act 2002 </w:t>
            </w:r>
          </w:p>
        </w:tc>
      </w:tr>
      <w:tr w:rsidR="006754BE" w:rsidRPr="004161F6" w14:paraId="7029727E" w14:textId="77777777" w:rsidTr="00C543F3">
        <w:tc>
          <w:tcPr>
            <w:tcW w:w="1526" w:type="dxa"/>
          </w:tcPr>
          <w:p w14:paraId="0E7530AF" w14:textId="77777777" w:rsidR="006754BE" w:rsidRPr="007D24CF" w:rsidRDefault="006754BE" w:rsidP="00C543F3">
            <w:pPr>
              <w:pStyle w:val="BodyText"/>
              <w:spacing w:before="20" w:after="20" w:line="260" w:lineRule="atLeast"/>
              <w:rPr>
                <w:rFonts w:cs="Calibri"/>
                <w:b/>
                <w:sz w:val="20"/>
                <w:szCs w:val="20"/>
                <w:highlight w:val="yellow"/>
              </w:rPr>
            </w:pPr>
            <w:r w:rsidRPr="007D24CF">
              <w:rPr>
                <w:rFonts w:cs="Calibri"/>
                <w:b/>
                <w:sz w:val="20"/>
                <w:szCs w:val="20"/>
              </w:rPr>
              <w:t>CEF</w:t>
            </w:r>
          </w:p>
        </w:tc>
        <w:tc>
          <w:tcPr>
            <w:tcW w:w="7092" w:type="dxa"/>
          </w:tcPr>
          <w:p w14:paraId="40D96CA3" w14:textId="77777777" w:rsidR="006754BE" w:rsidRPr="004161F6" w:rsidRDefault="006754BE" w:rsidP="00C543F3">
            <w:pPr>
              <w:pStyle w:val="BodyText"/>
              <w:spacing w:before="20" w:after="20" w:line="260" w:lineRule="atLeast"/>
              <w:rPr>
                <w:rFonts w:cs="Calibri"/>
                <w:spacing w:val="-2"/>
                <w:sz w:val="20"/>
                <w:szCs w:val="20"/>
                <w:highlight w:val="yellow"/>
              </w:rPr>
            </w:pPr>
            <w:r w:rsidRPr="003068E0">
              <w:rPr>
                <w:rFonts w:cs="Calibri"/>
                <w:spacing w:val="-2"/>
                <w:sz w:val="20"/>
                <w:szCs w:val="20"/>
              </w:rPr>
              <w:t>carbon equivalent forests</w:t>
            </w:r>
          </w:p>
        </w:tc>
      </w:tr>
      <w:tr w:rsidR="006754BE" w:rsidRPr="004161F6" w14:paraId="490B5DEF" w14:textId="77777777" w:rsidTr="00C543F3">
        <w:tc>
          <w:tcPr>
            <w:tcW w:w="1526" w:type="dxa"/>
          </w:tcPr>
          <w:p w14:paraId="011A3E5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CF</w:t>
            </w:r>
            <w:r w:rsidRPr="007D24CF">
              <w:rPr>
                <w:rFonts w:cs="Calibri"/>
                <w:b/>
                <w:sz w:val="20"/>
                <w:szCs w:val="20"/>
                <w:vertAlign w:val="subscript"/>
              </w:rPr>
              <w:t>4</w:t>
            </w:r>
          </w:p>
        </w:tc>
        <w:tc>
          <w:tcPr>
            <w:tcW w:w="7092" w:type="dxa"/>
          </w:tcPr>
          <w:p w14:paraId="66D65F1A" w14:textId="77777777" w:rsidR="006754BE" w:rsidRPr="00780F87" w:rsidRDefault="006754BE" w:rsidP="00C543F3">
            <w:pPr>
              <w:pStyle w:val="BodyText"/>
              <w:spacing w:before="20" w:after="20" w:line="260" w:lineRule="atLeast"/>
              <w:rPr>
                <w:rFonts w:eastAsia="Calibri" w:cs="Calibri"/>
                <w:sz w:val="20"/>
                <w:szCs w:val="20"/>
              </w:rPr>
            </w:pPr>
            <w:r w:rsidRPr="00780F87">
              <w:rPr>
                <w:rFonts w:cs="Calibri"/>
                <w:sz w:val="20"/>
                <w:szCs w:val="20"/>
              </w:rPr>
              <w:t>perfluoromethane</w:t>
            </w:r>
          </w:p>
        </w:tc>
      </w:tr>
      <w:tr w:rsidR="006754BE" w:rsidRPr="004161F6" w14:paraId="466E731E" w14:textId="77777777" w:rsidTr="00C543F3">
        <w:tc>
          <w:tcPr>
            <w:tcW w:w="1526" w:type="dxa"/>
          </w:tcPr>
          <w:p w14:paraId="541F77EF" w14:textId="77777777" w:rsidR="006754BE" w:rsidRPr="007D24CF" w:rsidRDefault="006754BE" w:rsidP="00C543F3">
            <w:pPr>
              <w:pStyle w:val="BodyText"/>
              <w:spacing w:before="20" w:after="20" w:line="260" w:lineRule="atLeast"/>
              <w:rPr>
                <w:rFonts w:cs="Calibri"/>
                <w:b/>
                <w:sz w:val="20"/>
                <w:szCs w:val="20"/>
                <w:highlight w:val="yellow"/>
              </w:rPr>
            </w:pPr>
            <w:r w:rsidRPr="007D24CF">
              <w:rPr>
                <w:rFonts w:cs="Calibri"/>
                <w:b/>
                <w:sz w:val="20"/>
                <w:szCs w:val="20"/>
              </w:rPr>
              <w:t>CF</w:t>
            </w:r>
          </w:p>
        </w:tc>
        <w:tc>
          <w:tcPr>
            <w:tcW w:w="7092" w:type="dxa"/>
          </w:tcPr>
          <w:p w14:paraId="5648EB0F" w14:textId="77777777" w:rsidR="006754BE" w:rsidRPr="004161F6" w:rsidRDefault="006754BE" w:rsidP="00C543F3">
            <w:pPr>
              <w:pStyle w:val="BodyText"/>
              <w:spacing w:before="20" w:after="20" w:line="260" w:lineRule="atLeast"/>
              <w:rPr>
                <w:rFonts w:cs="Calibri"/>
                <w:sz w:val="20"/>
                <w:szCs w:val="20"/>
                <w:highlight w:val="yellow"/>
              </w:rPr>
            </w:pPr>
            <w:r w:rsidRPr="004F2053">
              <w:rPr>
                <w:rFonts w:cs="Calibri"/>
                <w:sz w:val="20"/>
                <w:szCs w:val="20"/>
              </w:rPr>
              <w:t xml:space="preserve">carbon fraction </w:t>
            </w:r>
          </w:p>
        </w:tc>
      </w:tr>
      <w:tr w:rsidR="006754BE" w:rsidRPr="004161F6" w14:paraId="3DBBC70E" w14:textId="77777777" w:rsidTr="00C543F3">
        <w:tc>
          <w:tcPr>
            <w:tcW w:w="1526" w:type="dxa"/>
          </w:tcPr>
          <w:p w14:paraId="1643297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CFC</w:t>
            </w:r>
          </w:p>
        </w:tc>
        <w:tc>
          <w:tcPr>
            <w:tcW w:w="7092" w:type="dxa"/>
          </w:tcPr>
          <w:p w14:paraId="299B1685" w14:textId="77777777" w:rsidR="006754BE" w:rsidRPr="00F4092F" w:rsidRDefault="006754BE" w:rsidP="00C543F3">
            <w:pPr>
              <w:pStyle w:val="BodyText"/>
              <w:spacing w:before="20" w:after="20" w:line="260" w:lineRule="atLeast"/>
              <w:rPr>
                <w:rFonts w:eastAsia="Calibri" w:cs="Calibri"/>
                <w:sz w:val="20"/>
                <w:szCs w:val="20"/>
              </w:rPr>
            </w:pPr>
            <w:r w:rsidRPr="00F4092F">
              <w:rPr>
                <w:rFonts w:cs="Calibri"/>
                <w:sz w:val="20"/>
                <w:szCs w:val="20"/>
              </w:rPr>
              <w:t>chlorofluorocarbon</w:t>
            </w:r>
          </w:p>
        </w:tc>
      </w:tr>
      <w:tr w:rsidR="006754BE" w:rsidRPr="004161F6" w14:paraId="18331CD1" w14:textId="77777777" w:rsidTr="00C543F3">
        <w:tc>
          <w:tcPr>
            <w:tcW w:w="1526" w:type="dxa"/>
          </w:tcPr>
          <w:p w14:paraId="67D03CA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CH</w:t>
            </w:r>
            <w:r w:rsidRPr="007D24CF">
              <w:rPr>
                <w:rFonts w:eastAsia="Calibri" w:cs="Calibri"/>
                <w:b/>
                <w:sz w:val="20"/>
                <w:szCs w:val="20"/>
                <w:vertAlign w:val="subscript"/>
              </w:rPr>
              <w:t>4</w:t>
            </w:r>
          </w:p>
        </w:tc>
        <w:tc>
          <w:tcPr>
            <w:tcW w:w="7092" w:type="dxa"/>
          </w:tcPr>
          <w:p w14:paraId="3AB3A0F8" w14:textId="77777777" w:rsidR="006754BE" w:rsidRPr="004161F6" w:rsidRDefault="006754BE" w:rsidP="00C543F3">
            <w:pPr>
              <w:pStyle w:val="BodyText"/>
              <w:spacing w:before="20" w:after="20" w:line="260" w:lineRule="atLeast"/>
              <w:rPr>
                <w:rFonts w:eastAsia="Calibri" w:cs="Calibri"/>
                <w:sz w:val="20"/>
                <w:szCs w:val="20"/>
              </w:rPr>
            </w:pPr>
            <w:r w:rsidRPr="004161F6">
              <w:rPr>
                <w:rFonts w:eastAsia="Calibri" w:cs="Calibri"/>
                <w:sz w:val="20"/>
                <w:szCs w:val="20"/>
              </w:rPr>
              <w:t>methane</w:t>
            </w:r>
          </w:p>
        </w:tc>
      </w:tr>
      <w:tr w:rsidR="006754BE" w:rsidRPr="004161F6" w14:paraId="5BEAE427" w14:textId="77777777" w:rsidTr="00C543F3">
        <w:tc>
          <w:tcPr>
            <w:tcW w:w="1526" w:type="dxa"/>
          </w:tcPr>
          <w:p w14:paraId="7BE545C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lang w:eastAsia="en-GB"/>
              </w:rPr>
              <w:t>CNG</w:t>
            </w:r>
          </w:p>
        </w:tc>
        <w:tc>
          <w:tcPr>
            <w:tcW w:w="7092" w:type="dxa"/>
          </w:tcPr>
          <w:p w14:paraId="25B2EAEA" w14:textId="77777777" w:rsidR="006754BE" w:rsidRPr="00F15D7D" w:rsidRDefault="006754BE" w:rsidP="00C543F3">
            <w:pPr>
              <w:pStyle w:val="BodyText"/>
              <w:spacing w:before="20" w:after="20" w:line="260" w:lineRule="atLeast"/>
              <w:rPr>
                <w:rFonts w:eastAsia="Calibri" w:cs="Calibri"/>
                <w:sz w:val="20"/>
                <w:szCs w:val="20"/>
              </w:rPr>
            </w:pPr>
            <w:r w:rsidRPr="00F15D7D">
              <w:rPr>
                <w:rFonts w:cs="Calibri"/>
                <w:sz w:val="20"/>
                <w:szCs w:val="20"/>
                <w:lang w:eastAsia="en-GB"/>
              </w:rPr>
              <w:t>compressed natural gas</w:t>
            </w:r>
          </w:p>
        </w:tc>
      </w:tr>
      <w:tr w:rsidR="006754BE" w:rsidRPr="004161F6" w14:paraId="0F140C52" w14:textId="77777777" w:rsidTr="00C543F3">
        <w:tc>
          <w:tcPr>
            <w:tcW w:w="1526" w:type="dxa"/>
          </w:tcPr>
          <w:p w14:paraId="5D3FA18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CO </w:t>
            </w:r>
          </w:p>
        </w:tc>
        <w:tc>
          <w:tcPr>
            <w:tcW w:w="7092" w:type="dxa"/>
          </w:tcPr>
          <w:p w14:paraId="6D23BCEF" w14:textId="77777777" w:rsidR="006754BE" w:rsidRPr="00A31B15" w:rsidRDefault="006754BE" w:rsidP="00C543F3">
            <w:pPr>
              <w:pStyle w:val="BodyText"/>
              <w:spacing w:before="20" w:after="20" w:line="260" w:lineRule="atLeast"/>
              <w:rPr>
                <w:rFonts w:eastAsia="Calibri" w:cs="Calibri"/>
                <w:sz w:val="20"/>
                <w:szCs w:val="20"/>
              </w:rPr>
            </w:pPr>
            <w:r w:rsidRPr="00A31B15">
              <w:rPr>
                <w:rFonts w:eastAsia="Calibri" w:cs="Calibri"/>
                <w:sz w:val="20"/>
                <w:szCs w:val="20"/>
              </w:rPr>
              <w:t>carbon monoxide</w:t>
            </w:r>
          </w:p>
        </w:tc>
      </w:tr>
      <w:tr w:rsidR="006754BE" w:rsidRPr="004161F6" w14:paraId="398A6785" w14:textId="77777777" w:rsidTr="00C543F3">
        <w:tc>
          <w:tcPr>
            <w:tcW w:w="1526" w:type="dxa"/>
          </w:tcPr>
          <w:p w14:paraId="0F29640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COD</w:t>
            </w:r>
          </w:p>
        </w:tc>
        <w:tc>
          <w:tcPr>
            <w:tcW w:w="7092" w:type="dxa"/>
          </w:tcPr>
          <w:p w14:paraId="41F044C1" w14:textId="77777777" w:rsidR="006754BE" w:rsidRPr="00881E45" w:rsidRDefault="006754BE" w:rsidP="00C543F3">
            <w:pPr>
              <w:pStyle w:val="BodyText"/>
              <w:spacing w:before="20" w:after="20" w:line="260" w:lineRule="atLeast"/>
              <w:rPr>
                <w:rFonts w:eastAsia="Calibri" w:cs="Calibri"/>
                <w:sz w:val="20"/>
                <w:szCs w:val="20"/>
              </w:rPr>
            </w:pPr>
            <w:r w:rsidRPr="00881E45">
              <w:rPr>
                <w:rFonts w:eastAsia="Calibri" w:cs="Calibri"/>
                <w:sz w:val="20"/>
                <w:szCs w:val="20"/>
              </w:rPr>
              <w:t>chemical oxygen demand</w:t>
            </w:r>
          </w:p>
        </w:tc>
      </w:tr>
      <w:tr w:rsidR="006754BE" w:rsidRPr="00850FC9" w14:paraId="6DEF2B7C" w14:textId="77777777" w:rsidTr="00C543F3">
        <w:tc>
          <w:tcPr>
            <w:tcW w:w="1526" w:type="dxa"/>
          </w:tcPr>
          <w:p w14:paraId="0DB2372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CO</w:t>
            </w:r>
            <w:r w:rsidRPr="007D24CF">
              <w:rPr>
                <w:rFonts w:eastAsia="Calibri" w:cs="Calibri"/>
                <w:b/>
                <w:sz w:val="20"/>
                <w:szCs w:val="20"/>
                <w:vertAlign w:val="subscript"/>
              </w:rPr>
              <w:t>2</w:t>
            </w:r>
            <w:r w:rsidRPr="007D24CF">
              <w:rPr>
                <w:rFonts w:eastAsia="Calibri" w:cs="Calibri"/>
                <w:b/>
                <w:sz w:val="20"/>
                <w:szCs w:val="20"/>
              </w:rPr>
              <w:t xml:space="preserve"> </w:t>
            </w:r>
          </w:p>
        </w:tc>
        <w:tc>
          <w:tcPr>
            <w:tcW w:w="7092" w:type="dxa"/>
          </w:tcPr>
          <w:p w14:paraId="08F9B05A" w14:textId="77777777" w:rsidR="006754BE" w:rsidRPr="00850FC9" w:rsidRDefault="006754BE" w:rsidP="00C543F3">
            <w:pPr>
              <w:pStyle w:val="BodyText"/>
              <w:spacing w:before="20" w:after="20" w:line="260" w:lineRule="atLeast"/>
              <w:rPr>
                <w:rFonts w:eastAsia="Calibri" w:cs="Calibri"/>
                <w:sz w:val="20"/>
                <w:szCs w:val="20"/>
              </w:rPr>
            </w:pPr>
            <w:r w:rsidRPr="00850FC9">
              <w:rPr>
                <w:rFonts w:eastAsia="Calibri" w:cs="Calibri"/>
                <w:sz w:val="20"/>
                <w:szCs w:val="20"/>
              </w:rPr>
              <w:t>carbon dioxide</w:t>
            </w:r>
          </w:p>
        </w:tc>
      </w:tr>
      <w:tr w:rsidR="006754BE" w:rsidRPr="00F344B7" w14:paraId="53456AF2" w14:textId="77777777" w:rsidTr="00C543F3">
        <w:tc>
          <w:tcPr>
            <w:tcW w:w="1526" w:type="dxa"/>
          </w:tcPr>
          <w:p w14:paraId="0B64162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CO</w:t>
            </w:r>
            <w:r w:rsidRPr="007D24CF">
              <w:rPr>
                <w:rFonts w:eastAsia="Calibri" w:cs="Calibri"/>
                <w:b/>
                <w:sz w:val="20"/>
                <w:szCs w:val="20"/>
                <w:vertAlign w:val="subscript"/>
              </w:rPr>
              <w:t>2</w:t>
            </w:r>
            <w:r w:rsidRPr="007D24CF">
              <w:rPr>
                <w:rFonts w:eastAsia="Calibri" w:cs="Calibri"/>
                <w:b/>
                <w:sz w:val="20"/>
                <w:szCs w:val="20"/>
              </w:rPr>
              <w:t>e</w:t>
            </w:r>
          </w:p>
        </w:tc>
        <w:tc>
          <w:tcPr>
            <w:tcW w:w="7092" w:type="dxa"/>
          </w:tcPr>
          <w:p w14:paraId="19B1C0FD" w14:textId="77777777" w:rsidR="006754BE" w:rsidRPr="00F344B7" w:rsidRDefault="006754BE" w:rsidP="00C543F3">
            <w:pPr>
              <w:pStyle w:val="BodyText"/>
              <w:spacing w:before="20" w:after="20" w:line="260" w:lineRule="atLeast"/>
              <w:rPr>
                <w:rFonts w:eastAsia="Calibri" w:cs="Calibri"/>
                <w:sz w:val="20"/>
                <w:szCs w:val="20"/>
              </w:rPr>
            </w:pPr>
            <w:r w:rsidRPr="00F344B7">
              <w:rPr>
                <w:rFonts w:eastAsia="Calibri" w:cs="Calibri"/>
                <w:sz w:val="20"/>
                <w:szCs w:val="20"/>
              </w:rPr>
              <w:t>carbon dioxide equivalent</w:t>
            </w:r>
          </w:p>
        </w:tc>
      </w:tr>
      <w:tr w:rsidR="006754BE" w:rsidRPr="004161F6" w14:paraId="190B1B3D" w14:textId="77777777" w:rsidTr="00C543F3">
        <w:tc>
          <w:tcPr>
            <w:tcW w:w="1526" w:type="dxa"/>
          </w:tcPr>
          <w:p w14:paraId="2924B93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CRA</w:t>
            </w:r>
          </w:p>
        </w:tc>
        <w:tc>
          <w:tcPr>
            <w:tcW w:w="7092" w:type="dxa"/>
          </w:tcPr>
          <w:p w14:paraId="00E2D4D2" w14:textId="77777777" w:rsidR="006754BE" w:rsidRPr="00154BAF" w:rsidRDefault="006754BE" w:rsidP="00C543F3">
            <w:pPr>
              <w:pStyle w:val="BodyText"/>
              <w:spacing w:before="20" w:after="20" w:line="260" w:lineRule="atLeast"/>
              <w:rPr>
                <w:rFonts w:eastAsia="Calibri" w:cs="Calibri"/>
                <w:sz w:val="20"/>
                <w:szCs w:val="20"/>
              </w:rPr>
            </w:pPr>
            <w:r w:rsidRPr="00154BAF">
              <w:rPr>
                <w:rFonts w:eastAsia="Calibri" w:cs="Calibri"/>
                <w:sz w:val="20"/>
                <w:szCs w:val="20"/>
              </w:rPr>
              <w:t>Calculation and Reporting Application</w:t>
            </w:r>
          </w:p>
        </w:tc>
      </w:tr>
      <w:tr w:rsidR="006754BE" w:rsidRPr="004161F6" w14:paraId="194DAF0F" w14:textId="77777777" w:rsidTr="00C543F3">
        <w:tc>
          <w:tcPr>
            <w:tcW w:w="1526" w:type="dxa"/>
          </w:tcPr>
          <w:p w14:paraId="5A20A74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CRF </w:t>
            </w:r>
          </w:p>
        </w:tc>
        <w:tc>
          <w:tcPr>
            <w:tcW w:w="7092" w:type="dxa"/>
          </w:tcPr>
          <w:p w14:paraId="31BF773A" w14:textId="77777777" w:rsidR="006754BE" w:rsidRPr="004A3777" w:rsidRDefault="006754BE" w:rsidP="00C543F3">
            <w:pPr>
              <w:pStyle w:val="BodyText"/>
              <w:spacing w:before="20" w:after="20" w:line="260" w:lineRule="atLeast"/>
              <w:rPr>
                <w:rFonts w:eastAsia="Calibri" w:cs="Calibri"/>
                <w:sz w:val="20"/>
                <w:szCs w:val="20"/>
              </w:rPr>
            </w:pPr>
            <w:r w:rsidRPr="004A3777">
              <w:rPr>
                <w:rFonts w:eastAsia="Calibri" w:cs="Calibri"/>
                <w:sz w:val="20"/>
                <w:szCs w:val="20"/>
              </w:rPr>
              <w:t>common reporting format</w:t>
            </w:r>
          </w:p>
        </w:tc>
      </w:tr>
      <w:tr w:rsidR="006754BE" w:rsidRPr="004161F6" w14:paraId="346F934F" w14:textId="77777777" w:rsidTr="00C543F3">
        <w:tc>
          <w:tcPr>
            <w:tcW w:w="1526" w:type="dxa"/>
          </w:tcPr>
          <w:p w14:paraId="544194C3"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CRT</w:t>
            </w:r>
          </w:p>
        </w:tc>
        <w:tc>
          <w:tcPr>
            <w:tcW w:w="7092" w:type="dxa"/>
          </w:tcPr>
          <w:p w14:paraId="72F4CD29" w14:textId="77777777" w:rsidR="006754BE" w:rsidRPr="002E3B2C" w:rsidRDefault="006754BE" w:rsidP="00C543F3">
            <w:pPr>
              <w:pStyle w:val="BodyText"/>
              <w:spacing w:before="20" w:after="20" w:line="260" w:lineRule="atLeast"/>
              <w:rPr>
                <w:rFonts w:eastAsia="Calibri" w:cs="Calibri"/>
                <w:sz w:val="20"/>
                <w:szCs w:val="20"/>
              </w:rPr>
            </w:pPr>
            <w:r w:rsidRPr="002E3B2C">
              <w:rPr>
                <w:rFonts w:eastAsia="Calibri" w:cs="Calibri"/>
                <w:sz w:val="20"/>
                <w:szCs w:val="20"/>
              </w:rPr>
              <w:t>common reporting table</w:t>
            </w:r>
          </w:p>
        </w:tc>
      </w:tr>
      <w:tr w:rsidR="006754BE" w:rsidRPr="004161F6" w14:paraId="1DD326C8" w14:textId="77777777" w:rsidTr="00C543F3">
        <w:tc>
          <w:tcPr>
            <w:tcW w:w="1526" w:type="dxa"/>
          </w:tcPr>
          <w:p w14:paraId="37730974"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CSC</w:t>
            </w:r>
          </w:p>
        </w:tc>
        <w:tc>
          <w:tcPr>
            <w:tcW w:w="7092" w:type="dxa"/>
          </w:tcPr>
          <w:p w14:paraId="533E731E" w14:textId="77777777" w:rsidR="006754BE" w:rsidRPr="00494AFA" w:rsidRDefault="006754BE" w:rsidP="00C543F3">
            <w:pPr>
              <w:pStyle w:val="BodyText"/>
              <w:spacing w:before="20" w:after="20" w:line="260" w:lineRule="atLeast"/>
              <w:rPr>
                <w:rFonts w:cs="Calibri"/>
                <w:sz w:val="20"/>
                <w:szCs w:val="20"/>
              </w:rPr>
            </w:pPr>
            <w:r w:rsidRPr="00494AFA">
              <w:rPr>
                <w:rFonts w:cs="Calibri"/>
                <w:sz w:val="20"/>
                <w:szCs w:val="20"/>
              </w:rPr>
              <w:t>carbon stock change</w:t>
            </w:r>
          </w:p>
        </w:tc>
      </w:tr>
      <w:tr w:rsidR="006754BE" w:rsidRPr="004161F6" w14:paraId="16E4F55B" w14:textId="77777777" w:rsidTr="00C543F3">
        <w:tc>
          <w:tcPr>
            <w:tcW w:w="1526" w:type="dxa"/>
          </w:tcPr>
          <w:p w14:paraId="48839B2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CSIRO</w:t>
            </w:r>
          </w:p>
        </w:tc>
        <w:tc>
          <w:tcPr>
            <w:tcW w:w="7092" w:type="dxa"/>
          </w:tcPr>
          <w:p w14:paraId="7BE4E2FD" w14:textId="77777777" w:rsidR="006754BE" w:rsidRPr="00EE5469" w:rsidRDefault="006754BE" w:rsidP="00C543F3">
            <w:pPr>
              <w:pStyle w:val="BodyText"/>
              <w:spacing w:before="20" w:after="20" w:line="260" w:lineRule="atLeast"/>
              <w:rPr>
                <w:rFonts w:eastAsia="Calibri" w:cs="Calibri"/>
                <w:sz w:val="20"/>
                <w:szCs w:val="20"/>
              </w:rPr>
            </w:pPr>
            <w:r w:rsidRPr="00EE5469">
              <w:rPr>
                <w:rFonts w:cs="Calibri"/>
                <w:sz w:val="20"/>
                <w:szCs w:val="20"/>
              </w:rPr>
              <w:t>Commonwealth Scientific and Industrial Research Organisation</w:t>
            </w:r>
          </w:p>
        </w:tc>
      </w:tr>
      <w:tr w:rsidR="006754BE" w:rsidRPr="004161F6" w14:paraId="46971401" w14:textId="77777777" w:rsidTr="00C543F3">
        <w:tc>
          <w:tcPr>
            <w:tcW w:w="1526" w:type="dxa"/>
          </w:tcPr>
          <w:p w14:paraId="68A557D5"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DAP</w:t>
            </w:r>
          </w:p>
        </w:tc>
        <w:tc>
          <w:tcPr>
            <w:tcW w:w="7092" w:type="dxa"/>
          </w:tcPr>
          <w:p w14:paraId="2A2773ED" w14:textId="77777777" w:rsidR="006754BE" w:rsidRPr="009F51A5" w:rsidRDefault="006754BE" w:rsidP="00C543F3">
            <w:pPr>
              <w:pStyle w:val="BodyText"/>
              <w:spacing w:before="20" w:after="20" w:line="260" w:lineRule="atLeast"/>
              <w:rPr>
                <w:rFonts w:cs="Calibri"/>
                <w:sz w:val="20"/>
                <w:szCs w:val="20"/>
              </w:rPr>
            </w:pPr>
            <w:r w:rsidRPr="009F51A5">
              <w:rPr>
                <w:rFonts w:cs="Calibri"/>
                <w:sz w:val="20"/>
                <w:szCs w:val="20"/>
              </w:rPr>
              <w:t>diammonium phosphate</w:t>
            </w:r>
          </w:p>
        </w:tc>
      </w:tr>
      <w:tr w:rsidR="006754BE" w:rsidRPr="004161F6" w14:paraId="146DA677" w14:textId="77777777" w:rsidTr="00C543F3">
        <w:tc>
          <w:tcPr>
            <w:tcW w:w="1526" w:type="dxa"/>
          </w:tcPr>
          <w:p w14:paraId="2CE73A17"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DC</w:t>
            </w:r>
          </w:p>
        </w:tc>
        <w:tc>
          <w:tcPr>
            <w:tcW w:w="7092" w:type="dxa"/>
          </w:tcPr>
          <w:p w14:paraId="3DAC4206" w14:textId="77777777" w:rsidR="006754BE" w:rsidRPr="009F51A5" w:rsidRDefault="006754BE" w:rsidP="00C543F3">
            <w:pPr>
              <w:pStyle w:val="BodyText"/>
              <w:spacing w:before="20" w:after="20" w:line="260" w:lineRule="atLeast"/>
              <w:rPr>
                <w:rFonts w:cs="Calibri"/>
                <w:sz w:val="20"/>
                <w:szCs w:val="20"/>
              </w:rPr>
            </w:pPr>
            <w:r w:rsidRPr="001E3CCE">
              <w:rPr>
                <w:rFonts w:cs="Calibri"/>
                <w:sz w:val="20"/>
                <w:szCs w:val="20"/>
              </w:rPr>
              <w:t>degradable carbon</w:t>
            </w:r>
          </w:p>
        </w:tc>
      </w:tr>
      <w:tr w:rsidR="006754BE" w:rsidRPr="004161F6" w14:paraId="26F700C7" w14:textId="77777777" w:rsidTr="00C543F3">
        <w:tc>
          <w:tcPr>
            <w:tcW w:w="1526" w:type="dxa"/>
          </w:tcPr>
          <w:p w14:paraId="4D97E53E"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DCD</w:t>
            </w:r>
          </w:p>
        </w:tc>
        <w:tc>
          <w:tcPr>
            <w:tcW w:w="7092" w:type="dxa"/>
          </w:tcPr>
          <w:p w14:paraId="57425656" w14:textId="77777777" w:rsidR="006754BE" w:rsidRPr="00AB2E18" w:rsidRDefault="006754BE" w:rsidP="00C543F3">
            <w:pPr>
              <w:pStyle w:val="BodyText"/>
              <w:spacing w:before="20" w:after="20" w:line="260" w:lineRule="atLeast"/>
              <w:rPr>
                <w:rFonts w:eastAsia="Calibri" w:cs="Calibri"/>
                <w:sz w:val="20"/>
                <w:szCs w:val="20"/>
              </w:rPr>
            </w:pPr>
            <w:r w:rsidRPr="00AB2E18">
              <w:rPr>
                <w:rFonts w:eastAsia="Calibri" w:cs="Calibri"/>
                <w:sz w:val="20"/>
                <w:szCs w:val="20"/>
              </w:rPr>
              <w:t>dicyandiamide</w:t>
            </w:r>
          </w:p>
        </w:tc>
      </w:tr>
      <w:tr w:rsidR="006754BE" w:rsidRPr="00836936" w14:paraId="761F5A7E" w14:textId="77777777" w:rsidTr="00C543F3">
        <w:tc>
          <w:tcPr>
            <w:tcW w:w="1526" w:type="dxa"/>
          </w:tcPr>
          <w:p w14:paraId="6CE59C7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pacing w:val="-2"/>
                <w:sz w:val="20"/>
                <w:szCs w:val="20"/>
              </w:rPr>
              <w:t>DDOC</w:t>
            </w:r>
          </w:p>
        </w:tc>
        <w:tc>
          <w:tcPr>
            <w:tcW w:w="7092" w:type="dxa"/>
          </w:tcPr>
          <w:p w14:paraId="3FB0A10E" w14:textId="77777777" w:rsidR="006754BE" w:rsidRPr="00836936" w:rsidRDefault="006754BE" w:rsidP="00C543F3">
            <w:pPr>
              <w:pStyle w:val="BodyText"/>
              <w:spacing w:before="20" w:after="20" w:line="260" w:lineRule="atLeast"/>
              <w:rPr>
                <w:rFonts w:eastAsia="Calibri" w:cs="Calibri"/>
                <w:sz w:val="20"/>
                <w:szCs w:val="20"/>
              </w:rPr>
            </w:pPr>
            <w:r w:rsidRPr="00836936">
              <w:rPr>
                <w:rFonts w:cs="Calibri"/>
                <w:spacing w:val="-2"/>
                <w:sz w:val="20"/>
                <w:szCs w:val="20"/>
              </w:rPr>
              <w:t>decomposable degradable organic carbon</w:t>
            </w:r>
          </w:p>
        </w:tc>
      </w:tr>
      <w:tr w:rsidR="006754BE" w:rsidRPr="004161F6" w14:paraId="6150F93C" w14:textId="77777777" w:rsidTr="00C543F3">
        <w:tc>
          <w:tcPr>
            <w:tcW w:w="1526" w:type="dxa"/>
          </w:tcPr>
          <w:p w14:paraId="2BDF8DC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DEF</w:t>
            </w:r>
          </w:p>
        </w:tc>
        <w:tc>
          <w:tcPr>
            <w:tcW w:w="7092" w:type="dxa"/>
          </w:tcPr>
          <w:p w14:paraId="3A4E1A3A" w14:textId="77777777" w:rsidR="006754BE" w:rsidRPr="00F2524F" w:rsidRDefault="006754BE" w:rsidP="00C543F3">
            <w:pPr>
              <w:pStyle w:val="BodyText"/>
              <w:spacing w:before="20" w:after="20" w:line="260" w:lineRule="atLeast"/>
              <w:rPr>
                <w:rFonts w:eastAsia="Calibri" w:cs="Calibri"/>
                <w:sz w:val="20"/>
                <w:szCs w:val="20"/>
              </w:rPr>
            </w:pPr>
            <w:r w:rsidRPr="00F2524F">
              <w:rPr>
                <w:rFonts w:eastAsia="Calibri" w:cs="Calibri"/>
                <w:sz w:val="20"/>
                <w:szCs w:val="20"/>
              </w:rPr>
              <w:t>diesel exhaust fluid</w:t>
            </w:r>
          </w:p>
        </w:tc>
      </w:tr>
      <w:tr w:rsidR="006754BE" w:rsidRPr="004161F6" w14:paraId="40C7DA37" w14:textId="77777777" w:rsidTr="00C543F3">
        <w:tc>
          <w:tcPr>
            <w:tcW w:w="1526" w:type="dxa"/>
          </w:tcPr>
          <w:p w14:paraId="7A766EA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dm</w:t>
            </w:r>
          </w:p>
        </w:tc>
        <w:tc>
          <w:tcPr>
            <w:tcW w:w="7092" w:type="dxa"/>
          </w:tcPr>
          <w:p w14:paraId="2C7FE02D" w14:textId="77777777" w:rsidR="006754BE" w:rsidRPr="00D918D2" w:rsidRDefault="006754BE" w:rsidP="00C543F3">
            <w:pPr>
              <w:pStyle w:val="BodyText"/>
              <w:spacing w:before="20" w:after="20" w:line="260" w:lineRule="atLeast"/>
              <w:rPr>
                <w:rFonts w:eastAsia="Calibri" w:cs="Calibri"/>
                <w:sz w:val="20"/>
                <w:szCs w:val="20"/>
              </w:rPr>
            </w:pPr>
            <w:r w:rsidRPr="00D918D2">
              <w:rPr>
                <w:rFonts w:eastAsia="Calibri" w:cs="Calibri"/>
                <w:sz w:val="20"/>
                <w:szCs w:val="20"/>
              </w:rPr>
              <w:t>dry matter</w:t>
            </w:r>
          </w:p>
        </w:tc>
      </w:tr>
      <w:tr w:rsidR="006754BE" w:rsidRPr="004161F6" w14:paraId="7C4D436D" w14:textId="77777777" w:rsidTr="00C543F3">
        <w:tc>
          <w:tcPr>
            <w:tcW w:w="1526" w:type="dxa"/>
          </w:tcPr>
          <w:p w14:paraId="4E0B4ED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DMD</w:t>
            </w:r>
          </w:p>
        </w:tc>
        <w:tc>
          <w:tcPr>
            <w:tcW w:w="7092" w:type="dxa"/>
          </w:tcPr>
          <w:p w14:paraId="22DC664C" w14:textId="77777777" w:rsidR="006754BE" w:rsidRPr="00B81B1C" w:rsidRDefault="006754BE" w:rsidP="00C543F3">
            <w:pPr>
              <w:pStyle w:val="BodyText"/>
              <w:spacing w:before="20" w:after="20" w:line="260" w:lineRule="atLeast"/>
              <w:rPr>
                <w:rFonts w:eastAsia="Calibri" w:cs="Calibri"/>
                <w:sz w:val="20"/>
                <w:szCs w:val="20"/>
              </w:rPr>
            </w:pPr>
            <w:r w:rsidRPr="00B81B1C">
              <w:rPr>
                <w:rFonts w:eastAsia="Calibri" w:cs="Calibri"/>
                <w:sz w:val="20"/>
                <w:szCs w:val="20"/>
              </w:rPr>
              <w:t>dry-matter digestibility</w:t>
            </w:r>
          </w:p>
        </w:tc>
      </w:tr>
      <w:tr w:rsidR="006754BE" w:rsidRPr="004161F6" w14:paraId="5987E705" w14:textId="77777777" w:rsidTr="00C543F3">
        <w:tc>
          <w:tcPr>
            <w:tcW w:w="1526" w:type="dxa"/>
          </w:tcPr>
          <w:p w14:paraId="3B20BA4A"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dmf</w:t>
            </w:r>
          </w:p>
        </w:tc>
        <w:tc>
          <w:tcPr>
            <w:tcW w:w="7092" w:type="dxa"/>
          </w:tcPr>
          <w:p w14:paraId="71976EF0" w14:textId="77777777" w:rsidR="006754BE" w:rsidRPr="005B710E" w:rsidRDefault="006754BE" w:rsidP="00C543F3">
            <w:pPr>
              <w:pStyle w:val="BodyText"/>
              <w:spacing w:before="20" w:after="20" w:line="260" w:lineRule="atLeast"/>
              <w:rPr>
                <w:rFonts w:eastAsia="Calibri" w:cs="Calibri"/>
                <w:sz w:val="20"/>
                <w:szCs w:val="20"/>
              </w:rPr>
            </w:pPr>
            <w:r w:rsidRPr="005B710E">
              <w:rPr>
                <w:rFonts w:cs="Calibri"/>
                <w:sz w:val="20"/>
                <w:szCs w:val="20"/>
              </w:rPr>
              <w:t>dry-matter conversion factor</w:t>
            </w:r>
          </w:p>
        </w:tc>
      </w:tr>
      <w:tr w:rsidR="006754BE" w:rsidRPr="004161F6" w14:paraId="64ED3119" w14:textId="77777777" w:rsidTr="00C543F3">
        <w:tc>
          <w:tcPr>
            <w:tcW w:w="1526" w:type="dxa"/>
          </w:tcPr>
          <w:p w14:paraId="4DB6922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DMI</w:t>
            </w:r>
          </w:p>
        </w:tc>
        <w:tc>
          <w:tcPr>
            <w:tcW w:w="7092" w:type="dxa"/>
          </w:tcPr>
          <w:p w14:paraId="70115B6C" w14:textId="77777777" w:rsidR="006754BE" w:rsidRPr="0052130A" w:rsidRDefault="006754BE" w:rsidP="00C543F3">
            <w:pPr>
              <w:pStyle w:val="BodyText"/>
              <w:spacing w:before="20" w:after="20" w:line="260" w:lineRule="atLeast"/>
              <w:rPr>
                <w:rFonts w:eastAsia="Calibri" w:cs="Calibri"/>
                <w:sz w:val="20"/>
                <w:szCs w:val="20"/>
              </w:rPr>
            </w:pPr>
            <w:r w:rsidRPr="0052130A">
              <w:rPr>
                <w:rFonts w:eastAsia="Calibri" w:cs="Calibri"/>
                <w:sz w:val="20"/>
                <w:szCs w:val="20"/>
              </w:rPr>
              <w:t>dry-matter intake</w:t>
            </w:r>
          </w:p>
        </w:tc>
      </w:tr>
      <w:tr w:rsidR="006754BE" w:rsidRPr="0047237B" w14:paraId="011D9997" w14:textId="77777777" w:rsidTr="00C543F3">
        <w:tc>
          <w:tcPr>
            <w:tcW w:w="1526" w:type="dxa"/>
          </w:tcPr>
          <w:p w14:paraId="7A817773"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DOC</w:t>
            </w:r>
          </w:p>
        </w:tc>
        <w:tc>
          <w:tcPr>
            <w:tcW w:w="7092" w:type="dxa"/>
          </w:tcPr>
          <w:p w14:paraId="53D08225" w14:textId="77777777" w:rsidR="006754BE" w:rsidRPr="0047237B" w:rsidRDefault="006754BE" w:rsidP="00C543F3">
            <w:pPr>
              <w:pStyle w:val="BodyText"/>
              <w:spacing w:before="20" w:after="20" w:line="260" w:lineRule="atLeast"/>
              <w:rPr>
                <w:rFonts w:eastAsia="Calibri" w:cs="Calibri"/>
                <w:sz w:val="20"/>
                <w:szCs w:val="20"/>
              </w:rPr>
            </w:pPr>
            <w:r w:rsidRPr="0047237B">
              <w:rPr>
                <w:rFonts w:cs="Calibri"/>
                <w:sz w:val="20"/>
                <w:szCs w:val="20"/>
              </w:rPr>
              <w:t>degradable organic carbon</w:t>
            </w:r>
          </w:p>
        </w:tc>
      </w:tr>
      <w:tr w:rsidR="006754BE" w:rsidRPr="00CA285F" w14:paraId="2DE1D410" w14:textId="77777777" w:rsidTr="00C543F3">
        <w:tc>
          <w:tcPr>
            <w:tcW w:w="1526" w:type="dxa"/>
          </w:tcPr>
          <w:p w14:paraId="6799E8A8"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DOCf</w:t>
            </w:r>
          </w:p>
        </w:tc>
        <w:tc>
          <w:tcPr>
            <w:tcW w:w="7092" w:type="dxa"/>
          </w:tcPr>
          <w:p w14:paraId="167F54B8" w14:textId="77777777" w:rsidR="006754BE" w:rsidRPr="00CA285F" w:rsidRDefault="006754BE" w:rsidP="00C543F3">
            <w:pPr>
              <w:pStyle w:val="BodyText"/>
              <w:spacing w:before="20" w:after="20" w:line="260" w:lineRule="atLeast"/>
              <w:rPr>
                <w:rFonts w:cs="Calibri"/>
                <w:sz w:val="20"/>
                <w:szCs w:val="20"/>
              </w:rPr>
            </w:pPr>
            <w:r w:rsidRPr="00CA285F">
              <w:rPr>
                <w:rFonts w:cs="Calibri"/>
                <w:sz w:val="20"/>
                <w:szCs w:val="20"/>
              </w:rPr>
              <w:t>fraction of degradable organic carbon</w:t>
            </w:r>
          </w:p>
        </w:tc>
      </w:tr>
      <w:tr w:rsidR="006754BE" w:rsidRPr="004161F6" w14:paraId="67FCF98F" w14:textId="77777777" w:rsidTr="00C543F3">
        <w:tc>
          <w:tcPr>
            <w:tcW w:w="1526" w:type="dxa"/>
          </w:tcPr>
          <w:p w14:paraId="4B912CA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DPFI</w:t>
            </w:r>
          </w:p>
        </w:tc>
        <w:tc>
          <w:tcPr>
            <w:tcW w:w="7092" w:type="dxa"/>
          </w:tcPr>
          <w:p w14:paraId="1B6AB70C" w14:textId="77777777" w:rsidR="006754BE" w:rsidRPr="00735033" w:rsidRDefault="006754BE" w:rsidP="00C543F3">
            <w:pPr>
              <w:pStyle w:val="BodyText"/>
              <w:spacing w:before="20" w:after="20" w:line="260" w:lineRule="atLeast"/>
              <w:rPr>
                <w:rFonts w:eastAsia="Calibri" w:cs="Calibri"/>
                <w:sz w:val="20"/>
                <w:szCs w:val="20"/>
              </w:rPr>
            </w:pPr>
            <w:r w:rsidRPr="00735033">
              <w:rPr>
                <w:rFonts w:eastAsia="Calibri" w:cs="Calibri"/>
                <w:sz w:val="20"/>
                <w:szCs w:val="20"/>
              </w:rPr>
              <w:t xml:space="preserve">Delivery of Petroleum Fuels by Industry </w:t>
            </w:r>
          </w:p>
        </w:tc>
      </w:tr>
      <w:tr w:rsidR="006754BE" w:rsidRPr="004161F6" w14:paraId="1065FE56" w14:textId="77777777" w:rsidTr="00C543F3">
        <w:tc>
          <w:tcPr>
            <w:tcW w:w="1526" w:type="dxa"/>
          </w:tcPr>
          <w:p w14:paraId="6EFED79C"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EF </w:t>
            </w:r>
          </w:p>
        </w:tc>
        <w:tc>
          <w:tcPr>
            <w:tcW w:w="7092" w:type="dxa"/>
          </w:tcPr>
          <w:p w14:paraId="41A274C2" w14:textId="77777777" w:rsidR="006754BE" w:rsidRPr="00D60F80" w:rsidRDefault="006754BE" w:rsidP="00C543F3">
            <w:pPr>
              <w:pStyle w:val="BodyText"/>
              <w:spacing w:before="20" w:after="20" w:line="260" w:lineRule="atLeast"/>
              <w:rPr>
                <w:rFonts w:eastAsia="Calibri" w:cs="Calibri"/>
                <w:sz w:val="20"/>
                <w:szCs w:val="20"/>
              </w:rPr>
            </w:pPr>
            <w:r w:rsidRPr="00D60F80">
              <w:rPr>
                <w:rFonts w:eastAsia="Calibri" w:cs="Calibri"/>
                <w:sz w:val="20"/>
                <w:szCs w:val="20"/>
              </w:rPr>
              <w:t>emission factor</w:t>
            </w:r>
          </w:p>
        </w:tc>
      </w:tr>
      <w:tr w:rsidR="006754BE" w:rsidRPr="004161F6" w14:paraId="0C22A486" w14:textId="77777777" w:rsidTr="00C543F3">
        <w:tc>
          <w:tcPr>
            <w:tcW w:w="1526" w:type="dxa"/>
          </w:tcPr>
          <w:p w14:paraId="33DAE423"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EF</w:t>
            </w:r>
            <w:r w:rsidRPr="007D24CF">
              <w:rPr>
                <w:rFonts w:eastAsia="Calibri" w:cs="Calibri"/>
                <w:b/>
                <w:sz w:val="20"/>
                <w:szCs w:val="20"/>
                <w:vertAlign w:val="subscript"/>
              </w:rPr>
              <w:t>3</w:t>
            </w:r>
          </w:p>
        </w:tc>
        <w:tc>
          <w:tcPr>
            <w:tcW w:w="7092" w:type="dxa"/>
          </w:tcPr>
          <w:p w14:paraId="6F6EE3B6" w14:textId="77777777" w:rsidR="006754BE" w:rsidRPr="00BD21C7" w:rsidRDefault="006754BE" w:rsidP="00C543F3">
            <w:pPr>
              <w:pStyle w:val="BodyText"/>
              <w:spacing w:before="20" w:after="20" w:line="260" w:lineRule="atLeast"/>
              <w:rPr>
                <w:rFonts w:eastAsia="Calibri" w:cs="Calibri"/>
                <w:sz w:val="20"/>
                <w:szCs w:val="20"/>
              </w:rPr>
            </w:pPr>
            <w:r w:rsidRPr="00BD21C7">
              <w:rPr>
                <w:rFonts w:cs="Calibri"/>
                <w:sz w:val="20"/>
                <w:szCs w:val="20"/>
              </w:rPr>
              <w:t>emission factor for N</w:t>
            </w:r>
            <w:r w:rsidRPr="00BD21C7">
              <w:rPr>
                <w:rFonts w:cs="Calibri"/>
                <w:sz w:val="20"/>
                <w:szCs w:val="20"/>
                <w:vertAlign w:val="subscript"/>
              </w:rPr>
              <w:t>2</w:t>
            </w:r>
            <w:r w:rsidRPr="00BD21C7">
              <w:rPr>
                <w:rFonts w:cs="Calibri"/>
                <w:sz w:val="20"/>
                <w:szCs w:val="20"/>
              </w:rPr>
              <w:t>O emissions from urine and dung nitrogen</w:t>
            </w:r>
          </w:p>
        </w:tc>
      </w:tr>
      <w:tr w:rsidR="006754BE" w:rsidRPr="004161F6" w14:paraId="55AD4B16" w14:textId="77777777" w:rsidTr="00C543F3">
        <w:tc>
          <w:tcPr>
            <w:tcW w:w="1526" w:type="dxa"/>
          </w:tcPr>
          <w:p w14:paraId="280E4F45" w14:textId="77777777" w:rsidR="006754BE" w:rsidRPr="007D24CF" w:rsidRDefault="006754BE" w:rsidP="00C543F3">
            <w:pPr>
              <w:pStyle w:val="BodyText"/>
              <w:spacing w:before="20" w:after="20" w:line="260" w:lineRule="atLeast"/>
              <w:rPr>
                <w:rFonts w:eastAsia="Calibri" w:cs="Calibri"/>
                <w:b/>
                <w:sz w:val="20"/>
                <w:szCs w:val="20"/>
                <w:highlight w:val="yellow"/>
              </w:rPr>
            </w:pPr>
            <w:r w:rsidRPr="007D24CF">
              <w:rPr>
                <w:rFonts w:cs="Calibri"/>
                <w:b/>
                <w:sz w:val="20"/>
                <w:szCs w:val="20"/>
              </w:rPr>
              <w:t>EF</w:t>
            </w:r>
            <w:r w:rsidRPr="007D24CF">
              <w:rPr>
                <w:rFonts w:cs="Calibri"/>
                <w:b/>
                <w:sz w:val="20"/>
                <w:szCs w:val="20"/>
                <w:vertAlign w:val="subscript"/>
              </w:rPr>
              <w:t>3,PRP</w:t>
            </w:r>
          </w:p>
        </w:tc>
        <w:tc>
          <w:tcPr>
            <w:tcW w:w="7092" w:type="dxa"/>
          </w:tcPr>
          <w:p w14:paraId="4803D272" w14:textId="77777777" w:rsidR="006754BE" w:rsidRPr="004161F6" w:rsidRDefault="006754BE" w:rsidP="00C543F3">
            <w:pPr>
              <w:pStyle w:val="BodyText"/>
              <w:spacing w:before="20" w:after="20" w:line="260" w:lineRule="atLeast"/>
              <w:rPr>
                <w:rFonts w:eastAsia="Calibri" w:cs="Calibri"/>
                <w:sz w:val="20"/>
                <w:szCs w:val="20"/>
                <w:highlight w:val="yellow"/>
              </w:rPr>
            </w:pPr>
            <w:r w:rsidRPr="004B7BC5">
              <w:rPr>
                <w:rFonts w:cs="Calibri"/>
                <w:sz w:val="20"/>
                <w:szCs w:val="20"/>
              </w:rPr>
              <w:t>emission factor for N</w:t>
            </w:r>
            <w:r w:rsidRPr="004B7BC5">
              <w:rPr>
                <w:rFonts w:cs="Calibri"/>
                <w:sz w:val="20"/>
                <w:szCs w:val="20"/>
                <w:vertAlign w:val="subscript"/>
              </w:rPr>
              <w:t>2</w:t>
            </w:r>
            <w:r w:rsidRPr="004B7BC5">
              <w:rPr>
                <w:rFonts w:cs="Calibri"/>
                <w:sz w:val="20"/>
                <w:szCs w:val="20"/>
              </w:rPr>
              <w:t>O emissions from urine and dung nitrogen deposited on pasture, range and paddock by grazing animals</w:t>
            </w:r>
          </w:p>
        </w:tc>
      </w:tr>
      <w:tr w:rsidR="006754BE" w:rsidRPr="004161F6" w14:paraId="24CFB234" w14:textId="77777777" w:rsidTr="00C543F3">
        <w:tc>
          <w:tcPr>
            <w:tcW w:w="1526" w:type="dxa"/>
          </w:tcPr>
          <w:p w14:paraId="7426658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EPA</w:t>
            </w:r>
          </w:p>
        </w:tc>
        <w:tc>
          <w:tcPr>
            <w:tcW w:w="7092" w:type="dxa"/>
          </w:tcPr>
          <w:p w14:paraId="0010EFE4" w14:textId="77777777" w:rsidR="006754BE" w:rsidRPr="000A022E" w:rsidRDefault="006754BE" w:rsidP="00C543F3">
            <w:pPr>
              <w:pStyle w:val="BodyText"/>
              <w:spacing w:before="20" w:after="20" w:line="260" w:lineRule="atLeast"/>
              <w:rPr>
                <w:rFonts w:eastAsia="Calibri" w:cs="Calibri"/>
                <w:sz w:val="20"/>
                <w:szCs w:val="20"/>
              </w:rPr>
            </w:pPr>
            <w:r w:rsidRPr="000A022E">
              <w:rPr>
                <w:rFonts w:eastAsia="Calibri" w:cs="Calibri"/>
                <w:sz w:val="20"/>
                <w:szCs w:val="20"/>
              </w:rPr>
              <w:t>Environmental Protection Authority</w:t>
            </w:r>
          </w:p>
        </w:tc>
      </w:tr>
      <w:tr w:rsidR="006754BE" w:rsidRPr="004161F6" w14:paraId="45A98D05" w14:textId="77777777" w:rsidTr="00C543F3">
        <w:tc>
          <w:tcPr>
            <w:tcW w:w="1526" w:type="dxa"/>
          </w:tcPr>
          <w:p w14:paraId="4EF44D75"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ERT </w:t>
            </w:r>
          </w:p>
        </w:tc>
        <w:tc>
          <w:tcPr>
            <w:tcW w:w="7092" w:type="dxa"/>
          </w:tcPr>
          <w:p w14:paraId="0D4C5D72" w14:textId="77777777" w:rsidR="006754BE" w:rsidRPr="00851ED4" w:rsidRDefault="006754BE" w:rsidP="00C543F3">
            <w:pPr>
              <w:pStyle w:val="BodyText"/>
              <w:spacing w:before="20" w:after="20" w:line="260" w:lineRule="atLeast"/>
              <w:rPr>
                <w:rFonts w:eastAsia="Calibri" w:cs="Calibri"/>
                <w:sz w:val="20"/>
                <w:szCs w:val="20"/>
              </w:rPr>
            </w:pPr>
            <w:r w:rsidRPr="00851ED4">
              <w:rPr>
                <w:rFonts w:eastAsia="Calibri" w:cs="Calibri"/>
                <w:sz w:val="20"/>
                <w:szCs w:val="20"/>
              </w:rPr>
              <w:t>expert review team</w:t>
            </w:r>
          </w:p>
        </w:tc>
      </w:tr>
      <w:tr w:rsidR="006754BE" w:rsidRPr="004161F6" w14:paraId="4502D7E0" w14:textId="77777777" w:rsidTr="00C543F3">
        <w:tc>
          <w:tcPr>
            <w:tcW w:w="1526" w:type="dxa"/>
          </w:tcPr>
          <w:p w14:paraId="1493D1E9"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ETS</w:t>
            </w:r>
          </w:p>
        </w:tc>
        <w:tc>
          <w:tcPr>
            <w:tcW w:w="7092" w:type="dxa"/>
          </w:tcPr>
          <w:p w14:paraId="05E88A00" w14:textId="77777777" w:rsidR="006754BE" w:rsidRPr="00F8687D" w:rsidRDefault="006754BE" w:rsidP="00C543F3">
            <w:pPr>
              <w:pStyle w:val="BodyText"/>
              <w:spacing w:before="20" w:after="20" w:line="260" w:lineRule="atLeast"/>
              <w:rPr>
                <w:rFonts w:eastAsia="Calibri" w:cs="Calibri"/>
                <w:sz w:val="20"/>
                <w:szCs w:val="20"/>
              </w:rPr>
            </w:pPr>
            <w:r w:rsidRPr="00F8687D">
              <w:rPr>
                <w:rFonts w:eastAsia="Calibri" w:cs="Calibri"/>
                <w:sz w:val="20"/>
                <w:szCs w:val="20"/>
              </w:rPr>
              <w:t>Emissions Trading Scheme</w:t>
            </w:r>
          </w:p>
        </w:tc>
      </w:tr>
      <w:tr w:rsidR="006754BE" w:rsidRPr="004161F6" w14:paraId="7B1ABD78" w14:textId="77777777" w:rsidTr="00C543F3">
        <w:tc>
          <w:tcPr>
            <w:tcW w:w="1526" w:type="dxa"/>
          </w:tcPr>
          <w:p w14:paraId="192076D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FAME</w:t>
            </w:r>
          </w:p>
        </w:tc>
        <w:tc>
          <w:tcPr>
            <w:tcW w:w="7092" w:type="dxa"/>
          </w:tcPr>
          <w:p w14:paraId="0D7C782B" w14:textId="77777777" w:rsidR="006754BE" w:rsidRPr="00B14A3B" w:rsidRDefault="006754BE" w:rsidP="00C543F3">
            <w:pPr>
              <w:pStyle w:val="BodyText"/>
              <w:spacing w:before="20" w:after="20" w:line="260" w:lineRule="atLeast"/>
              <w:rPr>
                <w:rFonts w:eastAsia="Calibri" w:cs="Calibri"/>
                <w:sz w:val="20"/>
                <w:szCs w:val="20"/>
              </w:rPr>
            </w:pPr>
            <w:r w:rsidRPr="00B14A3B">
              <w:rPr>
                <w:rFonts w:eastAsia="Calibri" w:cs="Calibri"/>
                <w:sz w:val="20"/>
                <w:szCs w:val="20"/>
              </w:rPr>
              <w:t>fatty acid methyl ester</w:t>
            </w:r>
          </w:p>
        </w:tc>
      </w:tr>
      <w:tr w:rsidR="006754BE" w:rsidRPr="004161F6" w14:paraId="3989E5F9" w14:textId="77777777" w:rsidTr="00C543F3">
        <w:tc>
          <w:tcPr>
            <w:tcW w:w="1526" w:type="dxa"/>
          </w:tcPr>
          <w:p w14:paraId="4BE3991B" w14:textId="77777777" w:rsidR="006754BE" w:rsidRPr="007D24CF" w:rsidRDefault="006754BE" w:rsidP="00C543F3">
            <w:pPr>
              <w:pStyle w:val="BodyText"/>
              <w:spacing w:before="20" w:after="20" w:line="260" w:lineRule="atLeast"/>
              <w:rPr>
                <w:rFonts w:eastAsia="Calibri" w:cs="Calibri"/>
                <w:b/>
                <w:sz w:val="20"/>
                <w:szCs w:val="20"/>
                <w:highlight w:val="yellow"/>
              </w:rPr>
            </w:pPr>
            <w:r w:rsidRPr="007D24CF">
              <w:rPr>
                <w:rFonts w:eastAsia="Calibri" w:cs="Calibri"/>
                <w:b/>
                <w:sz w:val="20"/>
                <w:szCs w:val="20"/>
              </w:rPr>
              <w:t>FAO</w:t>
            </w:r>
          </w:p>
        </w:tc>
        <w:tc>
          <w:tcPr>
            <w:tcW w:w="7092" w:type="dxa"/>
          </w:tcPr>
          <w:p w14:paraId="75758C07" w14:textId="77777777" w:rsidR="006754BE" w:rsidRPr="004161F6" w:rsidRDefault="006754BE" w:rsidP="00C543F3">
            <w:pPr>
              <w:pStyle w:val="BodyText"/>
              <w:spacing w:before="20" w:after="20" w:line="260" w:lineRule="atLeast"/>
              <w:rPr>
                <w:rFonts w:eastAsia="Calibri" w:cs="Calibri"/>
                <w:sz w:val="20"/>
                <w:szCs w:val="20"/>
                <w:highlight w:val="yellow"/>
              </w:rPr>
            </w:pPr>
            <w:r w:rsidRPr="004D6BDA">
              <w:rPr>
                <w:rFonts w:eastAsia="Calibri" w:cs="Calibri"/>
                <w:sz w:val="20"/>
                <w:szCs w:val="20"/>
              </w:rPr>
              <w:t>Food and Agriculture Organization of the United Nations</w:t>
            </w:r>
          </w:p>
        </w:tc>
      </w:tr>
      <w:tr w:rsidR="006754BE" w:rsidRPr="004161F6" w14:paraId="5FA63BC2" w14:textId="77777777" w:rsidTr="00C543F3">
        <w:tc>
          <w:tcPr>
            <w:tcW w:w="1526" w:type="dxa"/>
          </w:tcPr>
          <w:p w14:paraId="7A485DFE"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FAOSTAT </w:t>
            </w:r>
          </w:p>
        </w:tc>
        <w:tc>
          <w:tcPr>
            <w:tcW w:w="7092" w:type="dxa"/>
          </w:tcPr>
          <w:p w14:paraId="454ABFA0" w14:textId="77777777" w:rsidR="006754BE" w:rsidRPr="004D6BDA" w:rsidRDefault="006754BE" w:rsidP="00C543F3">
            <w:pPr>
              <w:pStyle w:val="BodyText"/>
              <w:spacing w:before="20" w:after="20" w:line="260" w:lineRule="atLeast"/>
              <w:rPr>
                <w:rFonts w:eastAsia="Calibri" w:cs="Calibri"/>
                <w:sz w:val="20"/>
                <w:szCs w:val="20"/>
              </w:rPr>
            </w:pPr>
            <w:r w:rsidRPr="004D6BDA">
              <w:rPr>
                <w:rFonts w:eastAsia="Calibri" w:cs="Calibri"/>
                <w:sz w:val="20"/>
                <w:szCs w:val="20"/>
              </w:rPr>
              <w:t>Database produced by the Statistics Division of the Food and Agriculture Organization of the United Nations</w:t>
            </w:r>
          </w:p>
        </w:tc>
      </w:tr>
      <w:tr w:rsidR="006754BE" w:rsidRPr="004161F6" w14:paraId="44065367" w14:textId="77777777" w:rsidTr="00C543F3">
        <w:tc>
          <w:tcPr>
            <w:tcW w:w="1526" w:type="dxa"/>
          </w:tcPr>
          <w:p w14:paraId="074F6B21" w14:textId="77777777" w:rsidR="006754BE" w:rsidRPr="007D24CF" w:rsidRDefault="006754BE" w:rsidP="00C543F3">
            <w:pPr>
              <w:pStyle w:val="BodyText"/>
              <w:spacing w:before="20" w:after="20" w:line="260" w:lineRule="atLeast"/>
              <w:rPr>
                <w:rFonts w:eastAsia="Calibri" w:cs="Calibri"/>
                <w:b/>
                <w:sz w:val="20"/>
                <w:szCs w:val="20"/>
                <w:highlight w:val="yellow"/>
              </w:rPr>
            </w:pPr>
            <w:r w:rsidRPr="007D24CF">
              <w:rPr>
                <w:rFonts w:eastAsia="Calibri" w:cs="Calibri"/>
                <w:b/>
                <w:sz w:val="20"/>
                <w:szCs w:val="20"/>
              </w:rPr>
              <w:t>FCF</w:t>
            </w:r>
          </w:p>
        </w:tc>
        <w:tc>
          <w:tcPr>
            <w:tcW w:w="7092" w:type="dxa"/>
          </w:tcPr>
          <w:p w14:paraId="0CCD88D0" w14:textId="77777777" w:rsidR="006754BE" w:rsidRPr="004161F6" w:rsidRDefault="006754BE" w:rsidP="00C543F3">
            <w:pPr>
              <w:pStyle w:val="BodyText"/>
              <w:spacing w:before="20" w:after="20" w:line="260" w:lineRule="atLeast"/>
              <w:rPr>
                <w:rFonts w:eastAsia="Calibri" w:cs="Calibri"/>
                <w:sz w:val="20"/>
                <w:szCs w:val="20"/>
                <w:highlight w:val="yellow"/>
              </w:rPr>
            </w:pPr>
            <w:r w:rsidRPr="00F10B27">
              <w:rPr>
                <w:rFonts w:eastAsia="Calibri" w:cs="Calibri"/>
                <w:sz w:val="20"/>
                <w:szCs w:val="20"/>
              </w:rPr>
              <w:t>fossil carbon fraction</w:t>
            </w:r>
          </w:p>
        </w:tc>
      </w:tr>
      <w:tr w:rsidR="006754BE" w:rsidRPr="004161F6" w14:paraId="373A2041" w14:textId="77777777" w:rsidTr="00C543F3">
        <w:tc>
          <w:tcPr>
            <w:tcW w:w="1526" w:type="dxa"/>
          </w:tcPr>
          <w:p w14:paraId="41BA66F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FDM</w:t>
            </w:r>
          </w:p>
        </w:tc>
        <w:tc>
          <w:tcPr>
            <w:tcW w:w="7092" w:type="dxa"/>
          </w:tcPr>
          <w:p w14:paraId="270CF5B0" w14:textId="77777777" w:rsidR="006754BE" w:rsidRPr="002F7345" w:rsidRDefault="006754BE" w:rsidP="00C543F3">
            <w:pPr>
              <w:pStyle w:val="BodyText"/>
              <w:spacing w:before="20" w:after="20" w:line="260" w:lineRule="atLeast"/>
              <w:rPr>
                <w:rFonts w:eastAsia="Calibri" w:cs="Calibri"/>
                <w:sz w:val="20"/>
                <w:szCs w:val="20"/>
              </w:rPr>
            </w:pPr>
            <w:r w:rsidRPr="002F7345">
              <w:rPr>
                <w:rFonts w:eastAsia="Calibri" w:cs="Calibri"/>
                <w:sz w:val="20"/>
                <w:szCs w:val="20"/>
              </w:rPr>
              <w:t>faecal dry matter</w:t>
            </w:r>
          </w:p>
        </w:tc>
      </w:tr>
      <w:tr w:rsidR="006754BE" w:rsidRPr="004161F6" w14:paraId="1EB9F1B6" w14:textId="77777777" w:rsidTr="00C543F3">
        <w:tc>
          <w:tcPr>
            <w:tcW w:w="1526" w:type="dxa"/>
          </w:tcPr>
          <w:p w14:paraId="4BF423B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FENZ</w:t>
            </w:r>
          </w:p>
        </w:tc>
        <w:tc>
          <w:tcPr>
            <w:tcW w:w="7092" w:type="dxa"/>
          </w:tcPr>
          <w:p w14:paraId="700C30D3" w14:textId="77777777" w:rsidR="006754BE" w:rsidRPr="00D93EF1" w:rsidRDefault="006754BE" w:rsidP="00C543F3">
            <w:pPr>
              <w:pStyle w:val="BodyText"/>
              <w:spacing w:before="20" w:after="20" w:line="260" w:lineRule="atLeast"/>
              <w:rPr>
                <w:rFonts w:eastAsia="Calibri" w:cs="Calibri"/>
                <w:sz w:val="20"/>
                <w:szCs w:val="20"/>
              </w:rPr>
            </w:pPr>
            <w:r w:rsidRPr="00D93EF1">
              <w:rPr>
                <w:rFonts w:cs="Calibri"/>
                <w:sz w:val="20"/>
                <w:szCs w:val="20"/>
              </w:rPr>
              <w:t>Fire and Emergency New Zealand</w:t>
            </w:r>
          </w:p>
        </w:tc>
      </w:tr>
      <w:tr w:rsidR="006754BE" w:rsidRPr="004161F6" w14:paraId="278292C9" w14:textId="77777777" w:rsidTr="00C543F3">
        <w:tc>
          <w:tcPr>
            <w:tcW w:w="1526" w:type="dxa"/>
          </w:tcPr>
          <w:p w14:paraId="5E7A8BB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F-gases</w:t>
            </w:r>
          </w:p>
        </w:tc>
        <w:tc>
          <w:tcPr>
            <w:tcW w:w="7092" w:type="dxa"/>
          </w:tcPr>
          <w:p w14:paraId="1E4DBE19" w14:textId="77777777" w:rsidR="006754BE" w:rsidRPr="004D4AFD" w:rsidRDefault="006754BE" w:rsidP="00C543F3">
            <w:pPr>
              <w:pStyle w:val="BodyText"/>
              <w:spacing w:before="20" w:after="20" w:line="260" w:lineRule="atLeast"/>
              <w:rPr>
                <w:rFonts w:cs="Calibri"/>
                <w:sz w:val="20"/>
                <w:szCs w:val="20"/>
              </w:rPr>
            </w:pPr>
            <w:r w:rsidRPr="004D4AFD">
              <w:rPr>
                <w:rFonts w:cs="Calibri"/>
                <w:sz w:val="20"/>
                <w:szCs w:val="20"/>
              </w:rPr>
              <w:t>fluorinated gases</w:t>
            </w:r>
          </w:p>
        </w:tc>
      </w:tr>
      <w:tr w:rsidR="006754BE" w:rsidRPr="00875728" w14:paraId="1E1BF55D" w14:textId="77777777" w:rsidTr="00C543F3">
        <w:tc>
          <w:tcPr>
            <w:tcW w:w="1526" w:type="dxa"/>
          </w:tcPr>
          <w:p w14:paraId="5745EA5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FOD</w:t>
            </w:r>
          </w:p>
        </w:tc>
        <w:tc>
          <w:tcPr>
            <w:tcW w:w="7092" w:type="dxa"/>
          </w:tcPr>
          <w:p w14:paraId="303C8DE2" w14:textId="77777777" w:rsidR="006754BE" w:rsidRPr="00875728" w:rsidRDefault="006754BE" w:rsidP="00C543F3">
            <w:pPr>
              <w:pStyle w:val="BodyText"/>
              <w:spacing w:before="20" w:after="20" w:line="260" w:lineRule="atLeast"/>
              <w:rPr>
                <w:rFonts w:eastAsia="Calibri" w:cs="Calibri"/>
                <w:sz w:val="20"/>
                <w:szCs w:val="20"/>
              </w:rPr>
            </w:pPr>
            <w:r w:rsidRPr="00875728">
              <w:rPr>
                <w:rFonts w:eastAsia="Calibri" w:cs="Calibri"/>
                <w:sz w:val="20"/>
                <w:szCs w:val="20"/>
              </w:rPr>
              <w:t xml:space="preserve">first order decay </w:t>
            </w:r>
          </w:p>
        </w:tc>
      </w:tr>
      <w:tr w:rsidR="006754BE" w:rsidRPr="004161F6" w14:paraId="662EB445" w14:textId="77777777" w:rsidTr="00C543F3">
        <w:tc>
          <w:tcPr>
            <w:tcW w:w="1526" w:type="dxa"/>
          </w:tcPr>
          <w:p w14:paraId="31A0B79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FRL</w:t>
            </w:r>
          </w:p>
        </w:tc>
        <w:tc>
          <w:tcPr>
            <w:tcW w:w="7092" w:type="dxa"/>
          </w:tcPr>
          <w:p w14:paraId="7DB00EA4" w14:textId="77777777" w:rsidR="006754BE" w:rsidRPr="009834FF" w:rsidRDefault="006754BE" w:rsidP="00C543F3">
            <w:pPr>
              <w:pStyle w:val="BodyText"/>
              <w:spacing w:before="20" w:after="20" w:line="260" w:lineRule="atLeast"/>
              <w:rPr>
                <w:rFonts w:eastAsia="Calibri" w:cs="Calibri"/>
                <w:sz w:val="20"/>
                <w:szCs w:val="20"/>
              </w:rPr>
            </w:pPr>
            <w:r w:rsidRPr="009834FF">
              <w:rPr>
                <w:rFonts w:eastAsia="Calibri" w:cs="Calibri"/>
                <w:sz w:val="20"/>
                <w:szCs w:val="20"/>
              </w:rPr>
              <w:t>forest reference level</w:t>
            </w:r>
          </w:p>
        </w:tc>
      </w:tr>
      <w:tr w:rsidR="006754BE" w:rsidRPr="004161F6" w14:paraId="559512C9" w14:textId="77777777" w:rsidTr="00C543F3">
        <w:tc>
          <w:tcPr>
            <w:tcW w:w="1526" w:type="dxa"/>
          </w:tcPr>
          <w:p w14:paraId="28C69D4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GCV</w:t>
            </w:r>
          </w:p>
        </w:tc>
        <w:tc>
          <w:tcPr>
            <w:tcW w:w="7092" w:type="dxa"/>
          </w:tcPr>
          <w:p w14:paraId="668D4B77" w14:textId="77777777" w:rsidR="006754BE" w:rsidRPr="009834FF" w:rsidRDefault="006754BE" w:rsidP="00C543F3">
            <w:pPr>
              <w:pStyle w:val="BodyText"/>
              <w:spacing w:before="20" w:after="20" w:line="260" w:lineRule="atLeast"/>
              <w:rPr>
                <w:rFonts w:eastAsia="Calibri" w:cs="Calibri"/>
                <w:sz w:val="20"/>
                <w:szCs w:val="20"/>
              </w:rPr>
            </w:pPr>
            <w:r w:rsidRPr="001C1E0F">
              <w:rPr>
                <w:rFonts w:eastAsia="Calibri" w:cs="Calibri"/>
                <w:sz w:val="20"/>
                <w:szCs w:val="20"/>
              </w:rPr>
              <w:t>gross calorific value</w:t>
            </w:r>
          </w:p>
        </w:tc>
      </w:tr>
      <w:tr w:rsidR="006754BE" w:rsidRPr="00E8431C" w14:paraId="3CFB754F" w14:textId="77777777" w:rsidTr="00C543F3">
        <w:tc>
          <w:tcPr>
            <w:tcW w:w="1526" w:type="dxa"/>
          </w:tcPr>
          <w:p w14:paraId="52FE7AD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GDP</w:t>
            </w:r>
          </w:p>
        </w:tc>
        <w:tc>
          <w:tcPr>
            <w:tcW w:w="7092" w:type="dxa"/>
          </w:tcPr>
          <w:p w14:paraId="07BB716F" w14:textId="77777777" w:rsidR="006754BE" w:rsidRPr="00E8431C" w:rsidRDefault="006754BE" w:rsidP="00C543F3">
            <w:pPr>
              <w:pStyle w:val="BodyText"/>
              <w:spacing w:before="20" w:after="20" w:line="260" w:lineRule="atLeast"/>
              <w:rPr>
                <w:rFonts w:eastAsia="Calibri" w:cs="Calibri"/>
                <w:sz w:val="20"/>
                <w:szCs w:val="20"/>
              </w:rPr>
            </w:pPr>
            <w:r w:rsidRPr="00E8431C">
              <w:rPr>
                <w:rFonts w:eastAsia="Calibri" w:cs="Calibri"/>
                <w:sz w:val="20"/>
                <w:szCs w:val="20"/>
              </w:rPr>
              <w:t>gross domestic product</w:t>
            </w:r>
          </w:p>
        </w:tc>
      </w:tr>
      <w:tr w:rsidR="006754BE" w:rsidRPr="004161F6" w14:paraId="25DEB3B0" w14:textId="77777777" w:rsidTr="00C543F3">
        <w:tc>
          <w:tcPr>
            <w:tcW w:w="1526" w:type="dxa"/>
          </w:tcPr>
          <w:p w14:paraId="15D0243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GEI</w:t>
            </w:r>
          </w:p>
        </w:tc>
        <w:tc>
          <w:tcPr>
            <w:tcW w:w="7092" w:type="dxa"/>
          </w:tcPr>
          <w:p w14:paraId="6D09A3D2" w14:textId="77777777" w:rsidR="006754BE" w:rsidRPr="00DC158B" w:rsidRDefault="006754BE" w:rsidP="00C543F3">
            <w:pPr>
              <w:pStyle w:val="BodyText"/>
              <w:spacing w:before="20" w:after="20" w:line="260" w:lineRule="atLeast"/>
              <w:rPr>
                <w:rFonts w:eastAsia="Calibri" w:cs="Calibri"/>
                <w:sz w:val="20"/>
                <w:szCs w:val="20"/>
              </w:rPr>
            </w:pPr>
            <w:r w:rsidRPr="00DC158B">
              <w:rPr>
                <w:rFonts w:eastAsia="Calibri" w:cs="Calibri"/>
                <w:sz w:val="20"/>
                <w:szCs w:val="20"/>
              </w:rPr>
              <w:t>gross energy intake</w:t>
            </w:r>
          </w:p>
        </w:tc>
      </w:tr>
      <w:tr w:rsidR="006754BE" w:rsidRPr="004161F6" w14:paraId="40730E75" w14:textId="77777777" w:rsidTr="00C543F3">
        <w:tc>
          <w:tcPr>
            <w:tcW w:w="1526" w:type="dxa"/>
          </w:tcPr>
          <w:p w14:paraId="6BA03F4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Gg</w:t>
            </w:r>
          </w:p>
        </w:tc>
        <w:tc>
          <w:tcPr>
            <w:tcW w:w="7092" w:type="dxa"/>
          </w:tcPr>
          <w:p w14:paraId="7DA8668C" w14:textId="77777777" w:rsidR="006754BE" w:rsidRPr="008B4EAF" w:rsidRDefault="006754BE" w:rsidP="00C543F3">
            <w:pPr>
              <w:pStyle w:val="BodyText"/>
              <w:spacing w:before="20" w:after="20" w:line="260" w:lineRule="atLeast"/>
              <w:rPr>
                <w:rFonts w:eastAsia="Calibri" w:cs="Calibri"/>
                <w:sz w:val="20"/>
                <w:szCs w:val="20"/>
              </w:rPr>
            </w:pPr>
            <w:r w:rsidRPr="008B4EAF">
              <w:rPr>
                <w:rFonts w:eastAsia="Calibri" w:cs="Calibri"/>
                <w:sz w:val="20"/>
                <w:szCs w:val="20"/>
              </w:rPr>
              <w:t>gigagram(s)</w:t>
            </w:r>
          </w:p>
        </w:tc>
      </w:tr>
      <w:tr w:rsidR="006754BE" w:rsidRPr="004161F6" w14:paraId="0B6DE168" w14:textId="77777777" w:rsidTr="00C543F3">
        <w:tc>
          <w:tcPr>
            <w:tcW w:w="1526" w:type="dxa"/>
          </w:tcPr>
          <w:p w14:paraId="18FE734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GHG</w:t>
            </w:r>
          </w:p>
        </w:tc>
        <w:tc>
          <w:tcPr>
            <w:tcW w:w="7092" w:type="dxa"/>
          </w:tcPr>
          <w:p w14:paraId="7498226F" w14:textId="77777777" w:rsidR="006754BE" w:rsidRPr="004D4AFD" w:rsidRDefault="006754BE" w:rsidP="00C543F3">
            <w:pPr>
              <w:pStyle w:val="BodyText"/>
              <w:spacing w:before="20" w:after="20" w:line="260" w:lineRule="atLeast"/>
              <w:rPr>
                <w:rFonts w:eastAsia="Calibri" w:cs="Calibri"/>
                <w:sz w:val="20"/>
                <w:szCs w:val="20"/>
              </w:rPr>
            </w:pPr>
            <w:r w:rsidRPr="004D4AFD">
              <w:rPr>
                <w:rFonts w:eastAsia="Calibri" w:cs="Calibri"/>
                <w:sz w:val="20"/>
                <w:szCs w:val="20"/>
              </w:rPr>
              <w:t>greenhouse gas</w:t>
            </w:r>
          </w:p>
        </w:tc>
      </w:tr>
      <w:tr w:rsidR="006754BE" w:rsidRPr="004161F6" w14:paraId="383EA2BA" w14:textId="77777777" w:rsidTr="00C543F3">
        <w:tc>
          <w:tcPr>
            <w:tcW w:w="1526" w:type="dxa"/>
          </w:tcPr>
          <w:p w14:paraId="116D079C"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GIS</w:t>
            </w:r>
          </w:p>
        </w:tc>
        <w:tc>
          <w:tcPr>
            <w:tcW w:w="7092" w:type="dxa"/>
          </w:tcPr>
          <w:p w14:paraId="1EC9A153" w14:textId="77777777" w:rsidR="006754BE" w:rsidRPr="008B4EAF" w:rsidRDefault="006754BE" w:rsidP="00C543F3">
            <w:pPr>
              <w:pStyle w:val="BodyText"/>
              <w:spacing w:before="20" w:after="20" w:line="260" w:lineRule="atLeast"/>
              <w:rPr>
                <w:rFonts w:eastAsia="Calibri" w:cs="Calibri"/>
                <w:sz w:val="20"/>
                <w:szCs w:val="20"/>
              </w:rPr>
            </w:pPr>
            <w:r w:rsidRPr="008B4EAF">
              <w:rPr>
                <w:rFonts w:eastAsia="Calibri" w:cs="Calibri"/>
                <w:sz w:val="20"/>
                <w:szCs w:val="20"/>
              </w:rPr>
              <w:t>geographic information system</w:t>
            </w:r>
          </w:p>
        </w:tc>
      </w:tr>
      <w:tr w:rsidR="006754BE" w:rsidRPr="004161F6" w14:paraId="29EFEC6C" w14:textId="77777777" w:rsidTr="00C543F3">
        <w:tc>
          <w:tcPr>
            <w:tcW w:w="1526" w:type="dxa"/>
          </w:tcPr>
          <w:p w14:paraId="55F58E8A"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GJ</w:t>
            </w:r>
          </w:p>
        </w:tc>
        <w:tc>
          <w:tcPr>
            <w:tcW w:w="7092" w:type="dxa"/>
          </w:tcPr>
          <w:p w14:paraId="486A1D39" w14:textId="77777777" w:rsidR="006754BE" w:rsidRPr="00567219" w:rsidRDefault="006754BE" w:rsidP="00C543F3">
            <w:pPr>
              <w:pStyle w:val="BodyText"/>
              <w:spacing w:before="20" w:after="20" w:line="260" w:lineRule="atLeast"/>
              <w:rPr>
                <w:rFonts w:eastAsia="Calibri" w:cs="Calibri"/>
                <w:sz w:val="20"/>
                <w:szCs w:val="20"/>
              </w:rPr>
            </w:pPr>
            <w:r w:rsidRPr="00567219">
              <w:rPr>
                <w:rFonts w:eastAsia="Calibri" w:cs="Calibri"/>
                <w:sz w:val="20"/>
                <w:szCs w:val="20"/>
              </w:rPr>
              <w:t>gigajoule(s)</w:t>
            </w:r>
          </w:p>
        </w:tc>
      </w:tr>
      <w:tr w:rsidR="006754BE" w:rsidRPr="004161F6" w14:paraId="425D8C71" w14:textId="77777777" w:rsidTr="00C543F3">
        <w:tc>
          <w:tcPr>
            <w:tcW w:w="1526" w:type="dxa"/>
          </w:tcPr>
          <w:p w14:paraId="744DC778"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GPS</w:t>
            </w:r>
          </w:p>
        </w:tc>
        <w:tc>
          <w:tcPr>
            <w:tcW w:w="7092" w:type="dxa"/>
          </w:tcPr>
          <w:p w14:paraId="66EA376F" w14:textId="77777777" w:rsidR="006754BE" w:rsidRPr="004D4AFD" w:rsidRDefault="006754BE" w:rsidP="00C543F3">
            <w:pPr>
              <w:pStyle w:val="BodyText"/>
              <w:spacing w:before="20" w:after="20" w:line="260" w:lineRule="atLeast"/>
              <w:rPr>
                <w:rFonts w:eastAsia="Calibri" w:cs="Calibri"/>
                <w:sz w:val="20"/>
                <w:szCs w:val="20"/>
              </w:rPr>
            </w:pPr>
            <w:r w:rsidRPr="004D4AFD">
              <w:rPr>
                <w:rFonts w:eastAsia="Calibri" w:cs="Calibri"/>
                <w:sz w:val="20"/>
                <w:szCs w:val="20"/>
              </w:rPr>
              <w:t>global positioning system</w:t>
            </w:r>
          </w:p>
        </w:tc>
      </w:tr>
      <w:tr w:rsidR="006754BE" w:rsidRPr="004161F6" w14:paraId="7F605901" w14:textId="77777777" w:rsidTr="00C543F3">
        <w:tc>
          <w:tcPr>
            <w:tcW w:w="1526" w:type="dxa"/>
          </w:tcPr>
          <w:p w14:paraId="19E1B334"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GRA</w:t>
            </w:r>
          </w:p>
        </w:tc>
        <w:tc>
          <w:tcPr>
            <w:tcW w:w="7092" w:type="dxa"/>
          </w:tcPr>
          <w:p w14:paraId="02A497CE" w14:textId="77777777" w:rsidR="006754BE" w:rsidRPr="00575D94" w:rsidRDefault="006754BE" w:rsidP="00C543F3">
            <w:pPr>
              <w:pStyle w:val="BodyText"/>
              <w:spacing w:before="20" w:after="20" w:line="260" w:lineRule="atLeast"/>
              <w:rPr>
                <w:rFonts w:eastAsia="Calibri" w:cs="Calibri"/>
                <w:sz w:val="20"/>
                <w:szCs w:val="20"/>
              </w:rPr>
            </w:pPr>
            <w:r w:rsidRPr="00575D94">
              <w:rPr>
                <w:rFonts w:eastAsia="Calibri" w:cs="Calibri"/>
                <w:sz w:val="20"/>
                <w:szCs w:val="20"/>
              </w:rPr>
              <w:t>Global Research Alliance on Agricultural Greenhouse Gases</w:t>
            </w:r>
          </w:p>
        </w:tc>
      </w:tr>
      <w:tr w:rsidR="006754BE" w:rsidRPr="004161F6" w14:paraId="070F6F84" w14:textId="77777777" w:rsidTr="00C543F3">
        <w:tc>
          <w:tcPr>
            <w:tcW w:w="1526" w:type="dxa"/>
          </w:tcPr>
          <w:p w14:paraId="2E436AC9"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GST</w:t>
            </w:r>
          </w:p>
        </w:tc>
        <w:tc>
          <w:tcPr>
            <w:tcW w:w="7092" w:type="dxa"/>
          </w:tcPr>
          <w:p w14:paraId="6B646F51" w14:textId="77777777" w:rsidR="006754BE" w:rsidRPr="00951B84" w:rsidRDefault="006754BE" w:rsidP="00C543F3">
            <w:pPr>
              <w:pStyle w:val="BodyText"/>
              <w:spacing w:before="20" w:after="20" w:line="260" w:lineRule="atLeast"/>
              <w:rPr>
                <w:rFonts w:eastAsia="Calibri" w:cs="Calibri"/>
                <w:sz w:val="20"/>
                <w:szCs w:val="20"/>
              </w:rPr>
            </w:pPr>
            <w:r w:rsidRPr="00951B84">
              <w:rPr>
                <w:rFonts w:eastAsia="Calibri" w:cs="Calibri"/>
                <w:sz w:val="20"/>
                <w:szCs w:val="20"/>
              </w:rPr>
              <w:t xml:space="preserve">goods and services tax </w:t>
            </w:r>
          </w:p>
        </w:tc>
      </w:tr>
      <w:tr w:rsidR="006754BE" w:rsidRPr="004161F6" w14:paraId="278991A2" w14:textId="77777777" w:rsidTr="00C543F3">
        <w:tc>
          <w:tcPr>
            <w:tcW w:w="1526" w:type="dxa"/>
          </w:tcPr>
          <w:p w14:paraId="7635BC71"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GWB</w:t>
            </w:r>
          </w:p>
        </w:tc>
        <w:tc>
          <w:tcPr>
            <w:tcW w:w="7092" w:type="dxa"/>
          </w:tcPr>
          <w:p w14:paraId="068B42AD" w14:textId="77777777" w:rsidR="006754BE" w:rsidRPr="004D4764" w:rsidRDefault="006754BE" w:rsidP="00C543F3">
            <w:pPr>
              <w:pStyle w:val="BodyText"/>
              <w:spacing w:before="20" w:after="20" w:line="260" w:lineRule="atLeast"/>
              <w:rPr>
                <w:rFonts w:eastAsia="Calibri" w:cs="Calibri"/>
                <w:sz w:val="20"/>
                <w:szCs w:val="20"/>
              </w:rPr>
            </w:pPr>
            <w:r w:rsidRPr="004D4764">
              <w:rPr>
                <w:rFonts w:eastAsia="Calibri" w:cs="Calibri"/>
                <w:sz w:val="20"/>
                <w:szCs w:val="20"/>
              </w:rPr>
              <w:t>grassland with woody biomass</w:t>
            </w:r>
          </w:p>
        </w:tc>
      </w:tr>
      <w:tr w:rsidR="006754BE" w:rsidRPr="004161F6" w14:paraId="3442BFB4" w14:textId="77777777" w:rsidTr="00C543F3">
        <w:tc>
          <w:tcPr>
            <w:tcW w:w="1526" w:type="dxa"/>
          </w:tcPr>
          <w:p w14:paraId="63A4C2D3"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ha</w:t>
            </w:r>
          </w:p>
        </w:tc>
        <w:tc>
          <w:tcPr>
            <w:tcW w:w="7092" w:type="dxa"/>
          </w:tcPr>
          <w:p w14:paraId="42D303BA" w14:textId="77777777" w:rsidR="006754BE" w:rsidRPr="00B41122" w:rsidRDefault="006754BE" w:rsidP="00C543F3">
            <w:pPr>
              <w:pStyle w:val="BodyText"/>
              <w:spacing w:before="20" w:after="20" w:line="260" w:lineRule="atLeast"/>
              <w:rPr>
                <w:rFonts w:eastAsia="Calibri" w:cs="Calibri"/>
                <w:sz w:val="20"/>
                <w:szCs w:val="20"/>
              </w:rPr>
            </w:pPr>
            <w:r w:rsidRPr="00B41122">
              <w:rPr>
                <w:rFonts w:eastAsia="Calibri" w:cs="Calibri"/>
                <w:sz w:val="20"/>
                <w:szCs w:val="20"/>
              </w:rPr>
              <w:t>hectare(s)</w:t>
            </w:r>
          </w:p>
        </w:tc>
      </w:tr>
      <w:tr w:rsidR="006754BE" w:rsidRPr="004161F6" w14:paraId="615E7895" w14:textId="77777777" w:rsidTr="00C543F3">
        <w:tc>
          <w:tcPr>
            <w:tcW w:w="1526" w:type="dxa"/>
          </w:tcPr>
          <w:p w14:paraId="7FC11AA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HCFC</w:t>
            </w:r>
          </w:p>
        </w:tc>
        <w:tc>
          <w:tcPr>
            <w:tcW w:w="7092" w:type="dxa"/>
          </w:tcPr>
          <w:p w14:paraId="2E2876B3" w14:textId="77777777" w:rsidR="006754BE" w:rsidRPr="00747785" w:rsidRDefault="006754BE" w:rsidP="00C543F3">
            <w:pPr>
              <w:pStyle w:val="BodyText"/>
              <w:spacing w:before="20" w:after="20" w:line="260" w:lineRule="atLeast"/>
              <w:rPr>
                <w:rFonts w:eastAsia="Calibri" w:cs="Calibri"/>
                <w:sz w:val="20"/>
                <w:szCs w:val="20"/>
              </w:rPr>
            </w:pPr>
            <w:r w:rsidRPr="00747785">
              <w:rPr>
                <w:rFonts w:eastAsia="Calibri" w:cs="Calibri"/>
                <w:sz w:val="20"/>
                <w:szCs w:val="20"/>
              </w:rPr>
              <w:t>hydrochlorofluorocarbon</w:t>
            </w:r>
          </w:p>
        </w:tc>
      </w:tr>
      <w:tr w:rsidR="006754BE" w:rsidRPr="004161F6" w14:paraId="51C0F076" w14:textId="77777777" w:rsidTr="00C543F3">
        <w:tc>
          <w:tcPr>
            <w:tcW w:w="1526" w:type="dxa"/>
          </w:tcPr>
          <w:p w14:paraId="0044D7E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h/day </w:t>
            </w:r>
          </w:p>
        </w:tc>
        <w:tc>
          <w:tcPr>
            <w:tcW w:w="7092" w:type="dxa"/>
          </w:tcPr>
          <w:p w14:paraId="6C1A8DDB" w14:textId="77777777" w:rsidR="006754BE" w:rsidRPr="00747785" w:rsidRDefault="006754BE" w:rsidP="00C543F3">
            <w:pPr>
              <w:pStyle w:val="BodyText"/>
              <w:spacing w:before="20" w:after="20" w:line="260" w:lineRule="atLeast"/>
              <w:rPr>
                <w:rFonts w:eastAsia="Calibri" w:cs="Calibri"/>
                <w:sz w:val="20"/>
                <w:szCs w:val="20"/>
              </w:rPr>
            </w:pPr>
            <w:r w:rsidRPr="00CF5621">
              <w:rPr>
                <w:rFonts w:eastAsia="Calibri" w:cs="Calibri"/>
                <w:sz w:val="20"/>
                <w:szCs w:val="20"/>
              </w:rPr>
              <w:t>hours per day</w:t>
            </w:r>
          </w:p>
        </w:tc>
      </w:tr>
      <w:tr w:rsidR="006754BE" w:rsidRPr="004161F6" w14:paraId="71413D64" w14:textId="77777777" w:rsidTr="00C543F3">
        <w:tc>
          <w:tcPr>
            <w:tcW w:w="1526" w:type="dxa"/>
          </w:tcPr>
          <w:p w14:paraId="71D5C84A"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HFC</w:t>
            </w:r>
          </w:p>
        </w:tc>
        <w:tc>
          <w:tcPr>
            <w:tcW w:w="7092" w:type="dxa"/>
          </w:tcPr>
          <w:p w14:paraId="3171AE87" w14:textId="77777777" w:rsidR="006754BE" w:rsidRPr="0000146B" w:rsidRDefault="006754BE" w:rsidP="00C543F3">
            <w:pPr>
              <w:pStyle w:val="BodyText"/>
              <w:spacing w:before="20" w:after="20" w:line="260" w:lineRule="atLeast"/>
              <w:rPr>
                <w:rFonts w:eastAsia="Calibri" w:cs="Calibri"/>
                <w:sz w:val="20"/>
                <w:szCs w:val="20"/>
              </w:rPr>
            </w:pPr>
            <w:r w:rsidRPr="0000146B">
              <w:rPr>
                <w:rFonts w:eastAsia="Calibri" w:cs="Calibri"/>
                <w:sz w:val="20"/>
                <w:szCs w:val="20"/>
              </w:rPr>
              <w:t>hydrofluorocarbon</w:t>
            </w:r>
          </w:p>
        </w:tc>
      </w:tr>
      <w:tr w:rsidR="006754BE" w:rsidRPr="004161F6" w14:paraId="0D979D56" w14:textId="77777777" w:rsidTr="00C543F3">
        <w:tc>
          <w:tcPr>
            <w:tcW w:w="1526" w:type="dxa"/>
          </w:tcPr>
          <w:p w14:paraId="6EDD290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HFO</w:t>
            </w:r>
          </w:p>
        </w:tc>
        <w:tc>
          <w:tcPr>
            <w:tcW w:w="7092" w:type="dxa"/>
          </w:tcPr>
          <w:p w14:paraId="357CBE27" w14:textId="77777777" w:rsidR="006754BE" w:rsidRPr="00C9228F" w:rsidRDefault="006754BE" w:rsidP="00C543F3">
            <w:pPr>
              <w:pStyle w:val="BodyText"/>
              <w:spacing w:before="20" w:after="20" w:line="260" w:lineRule="atLeast"/>
              <w:rPr>
                <w:rFonts w:eastAsia="Calibri" w:cs="Calibri"/>
                <w:sz w:val="20"/>
                <w:szCs w:val="20"/>
              </w:rPr>
            </w:pPr>
            <w:r w:rsidRPr="00C9228F">
              <w:rPr>
                <w:rFonts w:eastAsia="Calibri" w:cs="Calibri"/>
                <w:sz w:val="20"/>
                <w:szCs w:val="20"/>
              </w:rPr>
              <w:t>hydrofluoroolefin</w:t>
            </w:r>
          </w:p>
        </w:tc>
      </w:tr>
      <w:tr w:rsidR="006754BE" w:rsidRPr="004161F6" w14:paraId="4D6BDB74" w14:textId="77777777" w:rsidTr="00C543F3">
        <w:tc>
          <w:tcPr>
            <w:tcW w:w="1526" w:type="dxa"/>
          </w:tcPr>
          <w:p w14:paraId="0C7BA47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HI</w:t>
            </w:r>
          </w:p>
        </w:tc>
        <w:tc>
          <w:tcPr>
            <w:tcW w:w="7092" w:type="dxa"/>
          </w:tcPr>
          <w:p w14:paraId="7E603F5D" w14:textId="77777777" w:rsidR="006754BE" w:rsidRPr="00B074F1" w:rsidRDefault="006754BE" w:rsidP="00C543F3">
            <w:pPr>
              <w:pStyle w:val="BodyText"/>
              <w:spacing w:before="20" w:after="20" w:line="260" w:lineRule="atLeast"/>
              <w:rPr>
                <w:rFonts w:eastAsia="Calibri" w:cs="Calibri"/>
                <w:sz w:val="20"/>
                <w:szCs w:val="20"/>
              </w:rPr>
            </w:pPr>
            <w:r w:rsidRPr="00B074F1">
              <w:rPr>
                <w:rFonts w:cs="Calibri"/>
                <w:sz w:val="20"/>
                <w:szCs w:val="20"/>
              </w:rPr>
              <w:t>harvest index</w:t>
            </w:r>
          </w:p>
        </w:tc>
      </w:tr>
      <w:tr w:rsidR="006754BE" w:rsidRPr="004161F6" w14:paraId="4D546974" w14:textId="77777777" w:rsidTr="00C543F3">
        <w:tc>
          <w:tcPr>
            <w:tcW w:w="1526" w:type="dxa"/>
          </w:tcPr>
          <w:p w14:paraId="3DCED6F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HWP</w:t>
            </w:r>
          </w:p>
        </w:tc>
        <w:tc>
          <w:tcPr>
            <w:tcW w:w="7092" w:type="dxa"/>
          </w:tcPr>
          <w:p w14:paraId="4319BC2A" w14:textId="77777777" w:rsidR="006754BE" w:rsidRPr="002E2922" w:rsidRDefault="006754BE" w:rsidP="00C543F3">
            <w:pPr>
              <w:pStyle w:val="BodyText"/>
              <w:spacing w:before="20" w:after="20" w:line="260" w:lineRule="atLeast"/>
              <w:rPr>
                <w:rFonts w:eastAsia="Calibri" w:cs="Calibri"/>
                <w:sz w:val="20"/>
                <w:szCs w:val="20"/>
              </w:rPr>
            </w:pPr>
            <w:r w:rsidRPr="002E2922">
              <w:rPr>
                <w:rFonts w:eastAsia="Calibri" w:cs="Calibri"/>
                <w:sz w:val="20"/>
                <w:szCs w:val="20"/>
              </w:rPr>
              <w:t>harvested wood products</w:t>
            </w:r>
          </w:p>
        </w:tc>
      </w:tr>
      <w:tr w:rsidR="006754BE" w:rsidRPr="004161F6" w14:paraId="64620468" w14:textId="77777777" w:rsidTr="00C543F3">
        <w:tc>
          <w:tcPr>
            <w:tcW w:w="1526" w:type="dxa"/>
          </w:tcPr>
          <w:p w14:paraId="3A5E6AF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IEA</w:t>
            </w:r>
          </w:p>
        </w:tc>
        <w:tc>
          <w:tcPr>
            <w:tcW w:w="7092" w:type="dxa"/>
          </w:tcPr>
          <w:p w14:paraId="53399DA7" w14:textId="77777777" w:rsidR="006754BE" w:rsidRPr="003D1E61" w:rsidRDefault="006754BE" w:rsidP="00C543F3">
            <w:pPr>
              <w:pStyle w:val="BodyText"/>
              <w:spacing w:before="20" w:after="20" w:line="260" w:lineRule="atLeast"/>
              <w:rPr>
                <w:rFonts w:eastAsia="Calibri" w:cs="Calibri"/>
                <w:sz w:val="20"/>
                <w:szCs w:val="20"/>
              </w:rPr>
            </w:pPr>
            <w:r w:rsidRPr="003D1E61">
              <w:rPr>
                <w:rFonts w:cs="Calibri"/>
                <w:sz w:val="20"/>
                <w:szCs w:val="20"/>
                <w:lang w:eastAsia="en-GB"/>
              </w:rPr>
              <w:t>International Energy Agency</w:t>
            </w:r>
          </w:p>
        </w:tc>
      </w:tr>
      <w:tr w:rsidR="006754BE" w:rsidRPr="004161F6" w14:paraId="78AED3EE" w14:textId="77777777" w:rsidTr="00C543F3">
        <w:tc>
          <w:tcPr>
            <w:tcW w:w="1526" w:type="dxa"/>
          </w:tcPr>
          <w:p w14:paraId="1F4FE379"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IE</w:t>
            </w:r>
          </w:p>
        </w:tc>
        <w:tc>
          <w:tcPr>
            <w:tcW w:w="7092" w:type="dxa"/>
          </w:tcPr>
          <w:p w14:paraId="56D65CB1" w14:textId="77777777" w:rsidR="006754BE" w:rsidRPr="00951B84" w:rsidRDefault="006754BE" w:rsidP="00C543F3">
            <w:pPr>
              <w:pStyle w:val="BodyText"/>
              <w:spacing w:before="20" w:after="20" w:line="260" w:lineRule="atLeast"/>
              <w:rPr>
                <w:rFonts w:eastAsia="Calibri" w:cs="Calibri"/>
                <w:sz w:val="20"/>
                <w:szCs w:val="20"/>
              </w:rPr>
            </w:pPr>
            <w:r w:rsidRPr="00951B84">
              <w:rPr>
                <w:rFonts w:eastAsia="Calibri" w:cs="Calibri"/>
                <w:sz w:val="20"/>
                <w:szCs w:val="20"/>
              </w:rPr>
              <w:t>included elsewhere</w:t>
            </w:r>
          </w:p>
        </w:tc>
      </w:tr>
      <w:tr w:rsidR="006754BE" w:rsidRPr="004161F6" w14:paraId="09C5AD23" w14:textId="77777777" w:rsidTr="00C543F3">
        <w:tc>
          <w:tcPr>
            <w:tcW w:w="1526" w:type="dxa"/>
          </w:tcPr>
          <w:p w14:paraId="6605454C"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IEF</w:t>
            </w:r>
          </w:p>
        </w:tc>
        <w:tc>
          <w:tcPr>
            <w:tcW w:w="7092" w:type="dxa"/>
          </w:tcPr>
          <w:p w14:paraId="73406DEA" w14:textId="77777777" w:rsidR="006754BE" w:rsidRPr="00312A1A" w:rsidRDefault="006754BE" w:rsidP="00C543F3">
            <w:pPr>
              <w:pStyle w:val="BodyText"/>
              <w:spacing w:before="20" w:after="20" w:line="260" w:lineRule="atLeast"/>
              <w:rPr>
                <w:rFonts w:eastAsia="Calibri" w:cs="Calibri"/>
                <w:sz w:val="20"/>
                <w:szCs w:val="20"/>
              </w:rPr>
            </w:pPr>
            <w:r w:rsidRPr="00312A1A">
              <w:rPr>
                <w:rFonts w:eastAsia="Calibri" w:cs="Calibri"/>
                <w:sz w:val="20"/>
                <w:szCs w:val="20"/>
              </w:rPr>
              <w:t>implied emission factor</w:t>
            </w:r>
          </w:p>
        </w:tc>
      </w:tr>
      <w:tr w:rsidR="006754BE" w:rsidRPr="004F29DB" w14:paraId="23B2CA7F" w14:textId="77777777" w:rsidTr="00C543F3">
        <w:tc>
          <w:tcPr>
            <w:tcW w:w="1526" w:type="dxa"/>
          </w:tcPr>
          <w:p w14:paraId="7F8FC66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IPCC </w:t>
            </w:r>
          </w:p>
        </w:tc>
        <w:tc>
          <w:tcPr>
            <w:tcW w:w="7092" w:type="dxa"/>
          </w:tcPr>
          <w:p w14:paraId="49BAF0C0" w14:textId="77777777" w:rsidR="006754BE" w:rsidRPr="004F29DB" w:rsidRDefault="006754BE" w:rsidP="00C543F3">
            <w:pPr>
              <w:pStyle w:val="BodyText"/>
              <w:spacing w:before="20" w:after="20" w:line="260" w:lineRule="atLeast"/>
              <w:rPr>
                <w:rFonts w:eastAsia="Calibri" w:cs="Calibri"/>
                <w:sz w:val="20"/>
                <w:szCs w:val="20"/>
              </w:rPr>
            </w:pPr>
            <w:r w:rsidRPr="004F29DB">
              <w:rPr>
                <w:rFonts w:eastAsia="Calibri" w:cs="Calibri"/>
                <w:sz w:val="20"/>
                <w:szCs w:val="20"/>
              </w:rPr>
              <w:t>Intergovernmental Panel on Climate Change</w:t>
            </w:r>
          </w:p>
        </w:tc>
      </w:tr>
      <w:tr w:rsidR="006754BE" w:rsidRPr="004161F6" w14:paraId="0808F3C4" w14:textId="77777777" w:rsidTr="00C543F3">
        <w:tc>
          <w:tcPr>
            <w:tcW w:w="1526" w:type="dxa"/>
          </w:tcPr>
          <w:p w14:paraId="1D0F2E53"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IPPU </w:t>
            </w:r>
          </w:p>
        </w:tc>
        <w:tc>
          <w:tcPr>
            <w:tcW w:w="7092" w:type="dxa"/>
          </w:tcPr>
          <w:p w14:paraId="6A70E4DD" w14:textId="77777777" w:rsidR="006754BE" w:rsidRPr="00955ACC" w:rsidRDefault="006754BE" w:rsidP="00C543F3">
            <w:pPr>
              <w:pStyle w:val="BodyText"/>
              <w:spacing w:before="20" w:after="20" w:line="260" w:lineRule="atLeast"/>
              <w:rPr>
                <w:rFonts w:eastAsia="Calibri" w:cs="Calibri"/>
                <w:sz w:val="20"/>
                <w:szCs w:val="20"/>
              </w:rPr>
            </w:pPr>
            <w:r w:rsidRPr="00955ACC">
              <w:rPr>
                <w:rFonts w:eastAsia="Calibri" w:cs="Calibri"/>
                <w:sz w:val="20"/>
                <w:szCs w:val="20"/>
              </w:rPr>
              <w:t>Industrial Processes and Product Use</w:t>
            </w:r>
          </w:p>
        </w:tc>
      </w:tr>
      <w:tr w:rsidR="006754BE" w:rsidRPr="004161F6" w14:paraId="6CE3F37C" w14:textId="77777777" w:rsidTr="00C543F3">
        <w:tc>
          <w:tcPr>
            <w:tcW w:w="1526" w:type="dxa"/>
          </w:tcPr>
          <w:p w14:paraId="5A7C54E2"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kg</w:t>
            </w:r>
          </w:p>
        </w:tc>
        <w:tc>
          <w:tcPr>
            <w:tcW w:w="7092" w:type="dxa"/>
          </w:tcPr>
          <w:p w14:paraId="6ED14228" w14:textId="77777777" w:rsidR="006754BE" w:rsidRPr="00955ACC" w:rsidRDefault="006754BE" w:rsidP="00C543F3">
            <w:pPr>
              <w:pStyle w:val="BodyText"/>
              <w:spacing w:before="20" w:after="20" w:line="260" w:lineRule="atLeast"/>
              <w:rPr>
                <w:rFonts w:cs="Calibri"/>
                <w:sz w:val="20"/>
                <w:szCs w:val="20"/>
              </w:rPr>
            </w:pPr>
            <w:r w:rsidRPr="00955ACC">
              <w:rPr>
                <w:rFonts w:cs="Calibri"/>
                <w:sz w:val="20"/>
                <w:szCs w:val="20"/>
              </w:rPr>
              <w:t>kilogram(s)</w:t>
            </w:r>
          </w:p>
        </w:tc>
      </w:tr>
      <w:tr w:rsidR="006754BE" w:rsidRPr="004161F6" w14:paraId="6B5352D7" w14:textId="77777777" w:rsidTr="00C543F3">
        <w:tc>
          <w:tcPr>
            <w:tcW w:w="1526" w:type="dxa"/>
          </w:tcPr>
          <w:p w14:paraId="0000DF1A"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kha</w:t>
            </w:r>
          </w:p>
        </w:tc>
        <w:tc>
          <w:tcPr>
            <w:tcW w:w="7092" w:type="dxa"/>
          </w:tcPr>
          <w:p w14:paraId="3C7B9015" w14:textId="77777777" w:rsidR="006754BE" w:rsidRPr="001204AA" w:rsidRDefault="006754BE" w:rsidP="00C543F3">
            <w:pPr>
              <w:pStyle w:val="BodyText"/>
              <w:spacing w:before="20" w:after="20" w:line="260" w:lineRule="atLeast"/>
              <w:rPr>
                <w:rFonts w:cs="Calibri"/>
                <w:sz w:val="20"/>
                <w:szCs w:val="20"/>
              </w:rPr>
            </w:pPr>
            <w:r w:rsidRPr="001204AA">
              <w:rPr>
                <w:rFonts w:cs="Calibri"/>
                <w:sz w:val="20"/>
                <w:szCs w:val="20"/>
              </w:rPr>
              <w:t>kilohectare(s)</w:t>
            </w:r>
          </w:p>
        </w:tc>
      </w:tr>
      <w:tr w:rsidR="006754BE" w:rsidRPr="004161F6" w14:paraId="7BD49DE5" w14:textId="77777777" w:rsidTr="00C543F3">
        <w:tc>
          <w:tcPr>
            <w:tcW w:w="1526" w:type="dxa"/>
          </w:tcPr>
          <w:p w14:paraId="769DE83B"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kJ</w:t>
            </w:r>
          </w:p>
        </w:tc>
        <w:tc>
          <w:tcPr>
            <w:tcW w:w="7092" w:type="dxa"/>
          </w:tcPr>
          <w:p w14:paraId="22E30F74" w14:textId="77777777" w:rsidR="006754BE" w:rsidRPr="003F1441" w:rsidRDefault="006754BE" w:rsidP="00C543F3">
            <w:pPr>
              <w:pStyle w:val="BodyText"/>
              <w:spacing w:before="20" w:after="20" w:line="260" w:lineRule="atLeast"/>
              <w:rPr>
                <w:rFonts w:cs="Calibri"/>
                <w:sz w:val="20"/>
                <w:szCs w:val="20"/>
              </w:rPr>
            </w:pPr>
            <w:r w:rsidRPr="003F1441">
              <w:rPr>
                <w:rFonts w:cs="Calibri"/>
                <w:sz w:val="20"/>
                <w:szCs w:val="20"/>
              </w:rPr>
              <w:t>kilojoule(s)</w:t>
            </w:r>
          </w:p>
        </w:tc>
      </w:tr>
      <w:tr w:rsidR="006754BE" w:rsidRPr="0068485A" w14:paraId="76F81003" w14:textId="77777777" w:rsidTr="00C543F3">
        <w:tc>
          <w:tcPr>
            <w:tcW w:w="1526" w:type="dxa"/>
          </w:tcPr>
          <w:p w14:paraId="26BA425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kt</w:t>
            </w:r>
          </w:p>
        </w:tc>
        <w:tc>
          <w:tcPr>
            <w:tcW w:w="7092" w:type="dxa"/>
          </w:tcPr>
          <w:p w14:paraId="528FF007" w14:textId="77777777" w:rsidR="006754BE" w:rsidRPr="0068485A" w:rsidRDefault="006754BE" w:rsidP="00C543F3">
            <w:pPr>
              <w:pStyle w:val="BodyText"/>
              <w:spacing w:before="20" w:after="20" w:line="260" w:lineRule="atLeast"/>
              <w:rPr>
                <w:rFonts w:eastAsia="Calibri" w:cs="Calibri"/>
                <w:sz w:val="20"/>
                <w:szCs w:val="20"/>
              </w:rPr>
            </w:pPr>
            <w:r w:rsidRPr="0068485A">
              <w:rPr>
                <w:rFonts w:eastAsia="Calibri" w:cs="Calibri"/>
                <w:sz w:val="20"/>
                <w:szCs w:val="20"/>
              </w:rPr>
              <w:t>kilotonne(s)</w:t>
            </w:r>
          </w:p>
        </w:tc>
      </w:tr>
      <w:tr w:rsidR="006754BE" w:rsidRPr="0068485A" w14:paraId="6CF47A26" w14:textId="77777777" w:rsidTr="00C543F3">
        <w:tc>
          <w:tcPr>
            <w:tcW w:w="1526" w:type="dxa"/>
          </w:tcPr>
          <w:p w14:paraId="258B2A45"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kt CO</w:t>
            </w:r>
            <w:r w:rsidRPr="007D24CF">
              <w:rPr>
                <w:rFonts w:eastAsia="Calibri" w:cs="Calibri"/>
                <w:b/>
                <w:sz w:val="20"/>
                <w:szCs w:val="20"/>
                <w:vertAlign w:val="subscript"/>
              </w:rPr>
              <w:t>2</w:t>
            </w:r>
            <w:r w:rsidRPr="007D24CF">
              <w:rPr>
                <w:rFonts w:eastAsia="Calibri" w:cs="Calibri"/>
                <w:b/>
                <w:sz w:val="20"/>
                <w:szCs w:val="20"/>
              </w:rPr>
              <w:t>e</w:t>
            </w:r>
          </w:p>
        </w:tc>
        <w:tc>
          <w:tcPr>
            <w:tcW w:w="7092" w:type="dxa"/>
          </w:tcPr>
          <w:p w14:paraId="66E15130" w14:textId="77777777" w:rsidR="006754BE" w:rsidRPr="0068485A" w:rsidRDefault="006754BE" w:rsidP="00C543F3">
            <w:pPr>
              <w:pStyle w:val="BodyText"/>
              <w:spacing w:before="20" w:after="20" w:line="260" w:lineRule="atLeast"/>
              <w:rPr>
                <w:rFonts w:eastAsia="Calibri" w:cs="Calibri"/>
                <w:sz w:val="20"/>
                <w:szCs w:val="20"/>
              </w:rPr>
            </w:pPr>
            <w:r w:rsidRPr="00DB230E">
              <w:rPr>
                <w:rFonts w:eastAsia="Calibri" w:cs="Calibri"/>
                <w:sz w:val="20"/>
                <w:szCs w:val="20"/>
              </w:rPr>
              <w:t>kilotonnes carbon dioxide equivalent</w:t>
            </w:r>
          </w:p>
        </w:tc>
      </w:tr>
      <w:tr w:rsidR="006754BE" w:rsidRPr="004161F6" w14:paraId="3DE6C201" w14:textId="77777777" w:rsidTr="00C543F3">
        <w:tc>
          <w:tcPr>
            <w:tcW w:w="1526" w:type="dxa"/>
          </w:tcPr>
          <w:p w14:paraId="79FEEA3A"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w:t>
            </w:r>
          </w:p>
        </w:tc>
        <w:tc>
          <w:tcPr>
            <w:tcW w:w="7092" w:type="dxa"/>
          </w:tcPr>
          <w:p w14:paraId="436CBEF6" w14:textId="77777777" w:rsidR="006754BE" w:rsidRPr="00F13B78" w:rsidRDefault="006754BE" w:rsidP="00C543F3">
            <w:pPr>
              <w:pStyle w:val="BodyText"/>
              <w:spacing w:before="20" w:after="20" w:line="260" w:lineRule="atLeast"/>
              <w:rPr>
                <w:rFonts w:eastAsia="Calibri" w:cs="Calibri"/>
                <w:sz w:val="20"/>
                <w:szCs w:val="20"/>
              </w:rPr>
            </w:pPr>
            <w:r w:rsidRPr="00F13B78">
              <w:rPr>
                <w:rFonts w:eastAsia="Calibri" w:cs="Calibri"/>
                <w:sz w:val="20"/>
                <w:szCs w:val="20"/>
              </w:rPr>
              <w:t>litre</w:t>
            </w:r>
          </w:p>
        </w:tc>
      </w:tr>
      <w:tr w:rsidR="006754BE" w:rsidRPr="0029088F" w14:paraId="1143629E" w14:textId="77777777" w:rsidTr="00C543F3">
        <w:tc>
          <w:tcPr>
            <w:tcW w:w="1526" w:type="dxa"/>
          </w:tcPr>
          <w:p w14:paraId="58AD63A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LCDB</w:t>
            </w:r>
          </w:p>
        </w:tc>
        <w:tc>
          <w:tcPr>
            <w:tcW w:w="7092" w:type="dxa"/>
          </w:tcPr>
          <w:p w14:paraId="0ED4B57E" w14:textId="77777777" w:rsidR="006754BE" w:rsidRPr="0029088F" w:rsidRDefault="006754BE" w:rsidP="00C543F3">
            <w:pPr>
              <w:pStyle w:val="BodyText"/>
              <w:spacing w:before="20" w:after="20" w:line="260" w:lineRule="atLeast"/>
              <w:rPr>
                <w:rFonts w:eastAsia="Calibri" w:cs="Calibri"/>
                <w:sz w:val="20"/>
                <w:szCs w:val="20"/>
              </w:rPr>
            </w:pPr>
            <w:r w:rsidRPr="0029088F">
              <w:rPr>
                <w:rFonts w:eastAsia="Calibri" w:cs="Calibri"/>
                <w:sz w:val="20"/>
                <w:szCs w:val="20"/>
              </w:rPr>
              <w:t>Land Cover Database</w:t>
            </w:r>
          </w:p>
        </w:tc>
      </w:tr>
      <w:tr w:rsidR="006754BE" w:rsidRPr="0029088F" w14:paraId="7ECF9C4E" w14:textId="77777777" w:rsidTr="00C543F3">
        <w:tc>
          <w:tcPr>
            <w:tcW w:w="1526" w:type="dxa"/>
          </w:tcPr>
          <w:p w14:paraId="612AF195"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LCDB1 </w:t>
            </w:r>
          </w:p>
        </w:tc>
        <w:tc>
          <w:tcPr>
            <w:tcW w:w="7092" w:type="dxa"/>
          </w:tcPr>
          <w:p w14:paraId="4782C515" w14:textId="77777777" w:rsidR="006754BE" w:rsidRPr="0029088F" w:rsidRDefault="006754BE" w:rsidP="00C543F3">
            <w:pPr>
              <w:pStyle w:val="BodyText"/>
              <w:spacing w:before="20" w:after="20" w:line="260" w:lineRule="atLeast"/>
              <w:rPr>
                <w:rFonts w:eastAsia="Calibri" w:cs="Calibri"/>
                <w:sz w:val="20"/>
                <w:szCs w:val="20"/>
              </w:rPr>
            </w:pPr>
            <w:r w:rsidRPr="0029088F">
              <w:rPr>
                <w:rFonts w:cs="Calibri"/>
                <w:sz w:val="20"/>
                <w:szCs w:val="20"/>
              </w:rPr>
              <w:t>Land Cover Database version</w:t>
            </w:r>
            <w:r>
              <w:rPr>
                <w:rFonts w:cs="Calibri"/>
                <w:sz w:val="20"/>
                <w:szCs w:val="20"/>
              </w:rPr>
              <w:t xml:space="preserve"> 1</w:t>
            </w:r>
          </w:p>
        </w:tc>
      </w:tr>
      <w:tr w:rsidR="006754BE" w:rsidRPr="0029088F" w14:paraId="351A4E0F" w14:textId="77777777" w:rsidTr="00C543F3">
        <w:tc>
          <w:tcPr>
            <w:tcW w:w="1526" w:type="dxa"/>
          </w:tcPr>
          <w:p w14:paraId="7DAC48D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LCDB2 </w:t>
            </w:r>
          </w:p>
        </w:tc>
        <w:tc>
          <w:tcPr>
            <w:tcW w:w="7092" w:type="dxa"/>
          </w:tcPr>
          <w:p w14:paraId="5572EDD1" w14:textId="77777777" w:rsidR="006754BE" w:rsidRPr="0029088F" w:rsidRDefault="006754BE" w:rsidP="00C543F3">
            <w:pPr>
              <w:pStyle w:val="BodyText"/>
              <w:spacing w:before="20" w:after="20" w:line="260" w:lineRule="atLeast"/>
              <w:rPr>
                <w:rFonts w:eastAsia="Calibri" w:cs="Calibri"/>
                <w:sz w:val="20"/>
                <w:szCs w:val="20"/>
              </w:rPr>
            </w:pPr>
            <w:r w:rsidRPr="0029088F">
              <w:rPr>
                <w:rFonts w:cs="Calibri"/>
                <w:sz w:val="20"/>
                <w:szCs w:val="20"/>
              </w:rPr>
              <w:t>Land Cover Database version</w:t>
            </w:r>
            <w:r>
              <w:rPr>
                <w:rFonts w:cs="Calibri"/>
                <w:sz w:val="20"/>
                <w:szCs w:val="20"/>
              </w:rPr>
              <w:t xml:space="preserve"> 2</w:t>
            </w:r>
          </w:p>
        </w:tc>
      </w:tr>
      <w:tr w:rsidR="006754BE" w:rsidRPr="004161F6" w14:paraId="5BEC8C92" w14:textId="77777777" w:rsidTr="00C543F3">
        <w:tc>
          <w:tcPr>
            <w:tcW w:w="1526" w:type="dxa"/>
          </w:tcPr>
          <w:p w14:paraId="4D3154D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LCDB5</w:t>
            </w:r>
          </w:p>
        </w:tc>
        <w:tc>
          <w:tcPr>
            <w:tcW w:w="7092" w:type="dxa"/>
          </w:tcPr>
          <w:p w14:paraId="78908934" w14:textId="77777777" w:rsidR="006754BE" w:rsidRPr="0029088F" w:rsidRDefault="006754BE" w:rsidP="00C543F3">
            <w:pPr>
              <w:pStyle w:val="BodyText"/>
              <w:spacing w:before="20" w:after="20" w:line="260" w:lineRule="atLeast"/>
              <w:rPr>
                <w:rFonts w:eastAsia="Calibri" w:cs="Calibri"/>
                <w:sz w:val="20"/>
                <w:szCs w:val="20"/>
              </w:rPr>
            </w:pPr>
            <w:r w:rsidRPr="0029088F">
              <w:rPr>
                <w:rFonts w:cs="Calibri"/>
                <w:sz w:val="20"/>
                <w:szCs w:val="20"/>
              </w:rPr>
              <w:t>Land Cover Database version 5</w:t>
            </w:r>
          </w:p>
        </w:tc>
      </w:tr>
      <w:tr w:rsidR="006754BE" w:rsidRPr="00945FEE" w14:paraId="3B24128A" w14:textId="77777777" w:rsidTr="00C543F3">
        <w:tc>
          <w:tcPr>
            <w:tcW w:w="1526" w:type="dxa"/>
          </w:tcPr>
          <w:p w14:paraId="1CD9A079"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LFG</w:t>
            </w:r>
          </w:p>
        </w:tc>
        <w:tc>
          <w:tcPr>
            <w:tcW w:w="7092" w:type="dxa"/>
          </w:tcPr>
          <w:p w14:paraId="63EDF6DB" w14:textId="77777777" w:rsidR="006754BE" w:rsidRPr="00945FEE" w:rsidRDefault="006754BE" w:rsidP="00C543F3">
            <w:pPr>
              <w:pStyle w:val="BodyText"/>
              <w:spacing w:before="20" w:after="20" w:line="260" w:lineRule="atLeast"/>
              <w:rPr>
                <w:rFonts w:eastAsia="Calibri" w:cs="Calibri"/>
                <w:sz w:val="20"/>
                <w:szCs w:val="20"/>
              </w:rPr>
            </w:pPr>
            <w:r w:rsidRPr="00945FEE">
              <w:rPr>
                <w:rFonts w:eastAsia="Calibri" w:cs="Calibri"/>
                <w:sz w:val="20"/>
                <w:szCs w:val="20"/>
              </w:rPr>
              <w:t>landfill gas</w:t>
            </w:r>
          </w:p>
        </w:tc>
      </w:tr>
      <w:tr w:rsidR="006754BE" w:rsidRPr="004161F6" w14:paraId="3EA95368" w14:textId="77777777" w:rsidTr="00C543F3">
        <w:tc>
          <w:tcPr>
            <w:tcW w:w="1526" w:type="dxa"/>
          </w:tcPr>
          <w:p w14:paraId="71E80FF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LIC</w:t>
            </w:r>
          </w:p>
        </w:tc>
        <w:tc>
          <w:tcPr>
            <w:tcW w:w="7092" w:type="dxa"/>
          </w:tcPr>
          <w:p w14:paraId="6EB8B29E" w14:textId="77777777" w:rsidR="006754BE" w:rsidRPr="00BF3E47" w:rsidRDefault="006754BE" w:rsidP="00C543F3">
            <w:pPr>
              <w:pStyle w:val="BodyText"/>
              <w:spacing w:before="20" w:after="20" w:line="260" w:lineRule="atLeast"/>
              <w:rPr>
                <w:rFonts w:eastAsia="Calibri" w:cs="Calibri"/>
                <w:sz w:val="20"/>
                <w:szCs w:val="20"/>
              </w:rPr>
            </w:pPr>
            <w:r w:rsidRPr="00BF3E47">
              <w:rPr>
                <w:rFonts w:eastAsia="Calibri" w:cs="Calibri"/>
                <w:sz w:val="20"/>
                <w:szCs w:val="20"/>
              </w:rPr>
              <w:t>Livestock Improvement Corporation</w:t>
            </w:r>
          </w:p>
        </w:tc>
      </w:tr>
      <w:tr w:rsidR="006754BE" w:rsidRPr="004161F6" w14:paraId="7D6F2024" w14:textId="77777777" w:rsidTr="00C543F3">
        <w:tc>
          <w:tcPr>
            <w:tcW w:w="1526" w:type="dxa"/>
          </w:tcPr>
          <w:p w14:paraId="00F187F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LiDAR</w:t>
            </w:r>
          </w:p>
        </w:tc>
        <w:tc>
          <w:tcPr>
            <w:tcW w:w="7092" w:type="dxa"/>
          </w:tcPr>
          <w:p w14:paraId="4CF8BCC8" w14:textId="77777777" w:rsidR="006754BE" w:rsidRPr="00D61EFE" w:rsidRDefault="006754BE" w:rsidP="00C543F3">
            <w:pPr>
              <w:pStyle w:val="BodyText"/>
              <w:spacing w:before="20" w:after="20" w:line="260" w:lineRule="atLeast"/>
              <w:rPr>
                <w:rFonts w:eastAsia="Calibri" w:cs="Calibri"/>
                <w:sz w:val="20"/>
                <w:szCs w:val="20"/>
              </w:rPr>
            </w:pPr>
            <w:r w:rsidRPr="00D61EFE">
              <w:rPr>
                <w:rFonts w:eastAsia="Calibri" w:cs="Calibri"/>
                <w:sz w:val="20"/>
                <w:szCs w:val="20"/>
              </w:rPr>
              <w:t>Light Detection and Ranging</w:t>
            </w:r>
          </w:p>
        </w:tc>
      </w:tr>
      <w:tr w:rsidR="006754BE" w:rsidRPr="004161F6" w14:paraId="608019AF" w14:textId="77777777" w:rsidTr="00C543F3">
        <w:tc>
          <w:tcPr>
            <w:tcW w:w="1526" w:type="dxa"/>
          </w:tcPr>
          <w:p w14:paraId="2B31086E"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lang w:eastAsia="en-GB"/>
              </w:rPr>
              <w:t>LPG</w:t>
            </w:r>
          </w:p>
        </w:tc>
        <w:tc>
          <w:tcPr>
            <w:tcW w:w="7092" w:type="dxa"/>
          </w:tcPr>
          <w:p w14:paraId="131D2779" w14:textId="77777777" w:rsidR="006754BE" w:rsidRPr="006F7C0F" w:rsidRDefault="006754BE" w:rsidP="00C543F3">
            <w:pPr>
              <w:pStyle w:val="BodyText"/>
              <w:spacing w:before="20" w:after="20" w:line="260" w:lineRule="atLeast"/>
              <w:rPr>
                <w:rFonts w:eastAsia="Calibri" w:cs="Calibri"/>
                <w:sz w:val="20"/>
                <w:szCs w:val="20"/>
              </w:rPr>
            </w:pPr>
            <w:r w:rsidRPr="006F7C0F">
              <w:rPr>
                <w:rFonts w:cs="Calibri"/>
                <w:sz w:val="20"/>
                <w:szCs w:val="20"/>
              </w:rPr>
              <w:t>liquefied petroleu</w:t>
            </w:r>
            <w:r w:rsidRPr="006F7C0F">
              <w:rPr>
                <w:rFonts w:cs="Calibri"/>
                <w:sz w:val="20"/>
                <w:szCs w:val="20"/>
                <w:lang w:eastAsia="en-GB"/>
              </w:rPr>
              <w:t>m gas</w:t>
            </w:r>
          </w:p>
        </w:tc>
      </w:tr>
      <w:tr w:rsidR="006754BE" w:rsidRPr="004161F6" w14:paraId="1FF68A1A" w14:textId="77777777" w:rsidTr="00C543F3">
        <w:tc>
          <w:tcPr>
            <w:tcW w:w="1526" w:type="dxa"/>
          </w:tcPr>
          <w:p w14:paraId="2D66286A" w14:textId="77777777" w:rsidR="006754BE" w:rsidRPr="007D24CF" w:rsidRDefault="006754BE" w:rsidP="00C543F3">
            <w:pPr>
              <w:pStyle w:val="BodyText"/>
              <w:spacing w:before="20" w:after="20" w:line="260" w:lineRule="atLeast"/>
              <w:rPr>
                <w:rFonts w:cs="Calibri"/>
                <w:b/>
                <w:sz w:val="20"/>
                <w:szCs w:val="20"/>
                <w:lang w:eastAsia="en-GB"/>
              </w:rPr>
            </w:pPr>
            <w:r w:rsidRPr="007D24CF">
              <w:rPr>
                <w:rFonts w:cs="Calibri"/>
                <w:b/>
                <w:sz w:val="20"/>
                <w:szCs w:val="20"/>
                <w:lang w:eastAsia="en-GB"/>
              </w:rPr>
              <w:t>LTA</w:t>
            </w:r>
          </w:p>
        </w:tc>
        <w:tc>
          <w:tcPr>
            <w:tcW w:w="7092" w:type="dxa"/>
          </w:tcPr>
          <w:p w14:paraId="43293C2E" w14:textId="77777777" w:rsidR="006754BE" w:rsidRPr="00A87C33" w:rsidRDefault="006754BE" w:rsidP="00C543F3">
            <w:pPr>
              <w:pStyle w:val="BodyText"/>
              <w:spacing w:before="20" w:after="20" w:line="260" w:lineRule="atLeast"/>
              <w:rPr>
                <w:rFonts w:cs="Calibri"/>
                <w:sz w:val="20"/>
                <w:szCs w:val="20"/>
              </w:rPr>
            </w:pPr>
            <w:r w:rsidRPr="00A87C33">
              <w:rPr>
                <w:rFonts w:cs="Calibri"/>
                <w:sz w:val="20"/>
                <w:szCs w:val="20"/>
              </w:rPr>
              <w:t>long-term average</w:t>
            </w:r>
          </w:p>
        </w:tc>
      </w:tr>
      <w:tr w:rsidR="006754BE" w:rsidRPr="004161F6" w14:paraId="4CA93723" w14:textId="77777777" w:rsidTr="00C543F3">
        <w:tc>
          <w:tcPr>
            <w:tcW w:w="1526" w:type="dxa"/>
          </w:tcPr>
          <w:p w14:paraId="501CD5A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LUCAS</w:t>
            </w:r>
          </w:p>
        </w:tc>
        <w:tc>
          <w:tcPr>
            <w:tcW w:w="7092" w:type="dxa"/>
          </w:tcPr>
          <w:p w14:paraId="7D3DF33C" w14:textId="77777777" w:rsidR="006754BE" w:rsidRPr="007151D2" w:rsidRDefault="006754BE" w:rsidP="00C543F3">
            <w:pPr>
              <w:pStyle w:val="BodyText"/>
              <w:spacing w:before="20" w:after="20" w:line="260" w:lineRule="atLeast"/>
              <w:rPr>
                <w:rFonts w:eastAsia="Calibri" w:cs="Calibri"/>
                <w:sz w:val="20"/>
                <w:szCs w:val="20"/>
              </w:rPr>
            </w:pPr>
            <w:r w:rsidRPr="007151D2">
              <w:rPr>
                <w:rFonts w:eastAsia="Calibri" w:cs="Calibri"/>
                <w:sz w:val="20"/>
                <w:szCs w:val="20"/>
              </w:rPr>
              <w:t>Land Use and Carbon Analysis System</w:t>
            </w:r>
          </w:p>
        </w:tc>
      </w:tr>
      <w:tr w:rsidR="006754BE" w:rsidRPr="004161F6" w14:paraId="6CCA72DE" w14:textId="77777777" w:rsidTr="00C543F3">
        <w:tc>
          <w:tcPr>
            <w:tcW w:w="1526" w:type="dxa"/>
          </w:tcPr>
          <w:p w14:paraId="12B51AC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LUE</w:t>
            </w:r>
          </w:p>
        </w:tc>
        <w:tc>
          <w:tcPr>
            <w:tcW w:w="7092" w:type="dxa"/>
          </w:tcPr>
          <w:p w14:paraId="48CFF3D8" w14:textId="77777777" w:rsidR="006754BE" w:rsidRPr="00F00D84" w:rsidRDefault="006754BE" w:rsidP="00C543F3">
            <w:pPr>
              <w:pStyle w:val="BodyText"/>
              <w:spacing w:before="20" w:after="20" w:line="260" w:lineRule="atLeast"/>
              <w:rPr>
                <w:rFonts w:eastAsia="Calibri" w:cs="Calibri"/>
                <w:sz w:val="20"/>
                <w:szCs w:val="20"/>
              </w:rPr>
            </w:pPr>
            <w:r w:rsidRPr="00F00D84">
              <w:rPr>
                <w:rFonts w:eastAsia="Calibri" w:cs="Calibri"/>
                <w:sz w:val="20"/>
                <w:szCs w:val="20"/>
              </w:rPr>
              <w:t>land use effect</w:t>
            </w:r>
          </w:p>
        </w:tc>
      </w:tr>
      <w:tr w:rsidR="006754BE" w:rsidRPr="004161F6" w14:paraId="28386E7C" w14:textId="77777777" w:rsidTr="00C543F3">
        <w:tc>
          <w:tcPr>
            <w:tcW w:w="1526" w:type="dxa"/>
          </w:tcPr>
          <w:p w14:paraId="2DA5A0D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LULUCF</w:t>
            </w:r>
          </w:p>
        </w:tc>
        <w:tc>
          <w:tcPr>
            <w:tcW w:w="7092" w:type="dxa"/>
          </w:tcPr>
          <w:p w14:paraId="46182B0D" w14:textId="77777777" w:rsidR="006754BE" w:rsidRPr="00557825" w:rsidRDefault="006754BE" w:rsidP="00C543F3">
            <w:pPr>
              <w:pStyle w:val="BodyText"/>
              <w:spacing w:before="20" w:after="20" w:line="260" w:lineRule="atLeast"/>
              <w:rPr>
                <w:rFonts w:eastAsia="Calibri" w:cs="Calibri"/>
                <w:sz w:val="20"/>
                <w:szCs w:val="20"/>
              </w:rPr>
            </w:pPr>
            <w:r w:rsidRPr="00557825">
              <w:rPr>
                <w:rFonts w:eastAsia="Calibri" w:cs="Calibri"/>
                <w:sz w:val="20"/>
                <w:szCs w:val="20"/>
              </w:rPr>
              <w:t>Land Use, Land-Use Change and Forestry</w:t>
            </w:r>
          </w:p>
        </w:tc>
      </w:tr>
      <w:tr w:rsidR="006754BE" w:rsidRPr="004161F6" w14:paraId="1BA00D53" w14:textId="77777777" w:rsidTr="00C543F3">
        <w:tc>
          <w:tcPr>
            <w:tcW w:w="1526" w:type="dxa"/>
          </w:tcPr>
          <w:p w14:paraId="17F35FF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LUM</w:t>
            </w:r>
          </w:p>
        </w:tc>
        <w:tc>
          <w:tcPr>
            <w:tcW w:w="7092" w:type="dxa"/>
          </w:tcPr>
          <w:p w14:paraId="6EB472AB" w14:textId="77777777" w:rsidR="006754BE" w:rsidRPr="008B4EAF" w:rsidRDefault="006754BE" w:rsidP="00C543F3">
            <w:pPr>
              <w:pStyle w:val="BodyText"/>
              <w:spacing w:before="20" w:after="20" w:line="260" w:lineRule="atLeast"/>
              <w:rPr>
                <w:rFonts w:eastAsia="Calibri" w:cs="Calibri"/>
                <w:sz w:val="20"/>
                <w:szCs w:val="20"/>
              </w:rPr>
            </w:pPr>
            <w:r w:rsidRPr="008B4EAF">
              <w:rPr>
                <w:rFonts w:eastAsia="Calibri" w:cs="Calibri"/>
                <w:sz w:val="20"/>
                <w:szCs w:val="20"/>
              </w:rPr>
              <w:t>land use map</w:t>
            </w:r>
          </w:p>
        </w:tc>
      </w:tr>
      <w:tr w:rsidR="006754BE" w:rsidRPr="004161F6" w14:paraId="40FA3939" w14:textId="77777777" w:rsidTr="00C543F3">
        <w:tc>
          <w:tcPr>
            <w:tcW w:w="1526" w:type="dxa"/>
          </w:tcPr>
          <w:p w14:paraId="662BDEB9"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Aptos" w:cs="Calibri"/>
                <w:b/>
                <w:sz w:val="20"/>
                <w:szCs w:val="20"/>
              </w:rPr>
              <w:t>m^3</w:t>
            </w:r>
          </w:p>
        </w:tc>
        <w:tc>
          <w:tcPr>
            <w:tcW w:w="7092" w:type="dxa"/>
          </w:tcPr>
          <w:p w14:paraId="3C0C5A8A" w14:textId="77777777" w:rsidR="006754BE" w:rsidRPr="00990936" w:rsidRDefault="006754BE" w:rsidP="00C543F3">
            <w:pPr>
              <w:pStyle w:val="BodyText"/>
              <w:spacing w:before="20" w:after="20" w:line="260" w:lineRule="atLeast"/>
              <w:rPr>
                <w:rFonts w:eastAsia="Calibri" w:cs="Calibri"/>
                <w:sz w:val="20"/>
                <w:szCs w:val="20"/>
              </w:rPr>
            </w:pPr>
            <w:r w:rsidRPr="00990936">
              <w:rPr>
                <w:rFonts w:eastAsia="Calibri" w:cs="Calibri"/>
                <w:sz w:val="20"/>
                <w:szCs w:val="20"/>
              </w:rPr>
              <w:t>cubic metres</w:t>
            </w:r>
          </w:p>
        </w:tc>
      </w:tr>
      <w:tr w:rsidR="006754BE" w:rsidRPr="004161F6" w14:paraId="6B9AC36F" w14:textId="77777777" w:rsidTr="00C543F3">
        <w:tc>
          <w:tcPr>
            <w:tcW w:w="1526" w:type="dxa"/>
          </w:tcPr>
          <w:p w14:paraId="5A72186C"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MBIE </w:t>
            </w:r>
          </w:p>
        </w:tc>
        <w:tc>
          <w:tcPr>
            <w:tcW w:w="7092" w:type="dxa"/>
          </w:tcPr>
          <w:p w14:paraId="661FC378" w14:textId="77777777" w:rsidR="006754BE" w:rsidRPr="00557825" w:rsidRDefault="006754BE" w:rsidP="00C543F3">
            <w:pPr>
              <w:pStyle w:val="BodyText"/>
              <w:spacing w:before="20" w:after="20" w:line="260" w:lineRule="atLeast"/>
              <w:rPr>
                <w:rFonts w:eastAsia="Calibri" w:cs="Calibri"/>
                <w:sz w:val="20"/>
                <w:szCs w:val="20"/>
              </w:rPr>
            </w:pPr>
            <w:r w:rsidRPr="00557825">
              <w:rPr>
                <w:rFonts w:eastAsia="Calibri" w:cs="Calibri"/>
                <w:sz w:val="20"/>
                <w:szCs w:val="20"/>
              </w:rPr>
              <w:t>Ministry of Business, Innovation and Employment</w:t>
            </w:r>
          </w:p>
        </w:tc>
      </w:tr>
      <w:tr w:rsidR="006754BE" w:rsidRPr="004161F6" w14:paraId="0EED5FE4" w14:textId="77777777" w:rsidTr="00C543F3">
        <w:tc>
          <w:tcPr>
            <w:tcW w:w="1526" w:type="dxa"/>
          </w:tcPr>
          <w:p w14:paraId="2B48684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MCF</w:t>
            </w:r>
          </w:p>
        </w:tc>
        <w:tc>
          <w:tcPr>
            <w:tcW w:w="7092" w:type="dxa"/>
          </w:tcPr>
          <w:p w14:paraId="13D5DF8A" w14:textId="77777777" w:rsidR="006754BE" w:rsidRPr="00D251EA" w:rsidRDefault="006754BE" w:rsidP="00C543F3">
            <w:pPr>
              <w:pStyle w:val="BodyText"/>
              <w:spacing w:before="20" w:after="20" w:line="260" w:lineRule="atLeast"/>
              <w:rPr>
                <w:rFonts w:eastAsia="Calibri" w:cs="Calibri"/>
                <w:sz w:val="20"/>
                <w:szCs w:val="20"/>
              </w:rPr>
            </w:pPr>
            <w:r w:rsidRPr="00D251EA">
              <w:rPr>
                <w:rFonts w:eastAsia="Calibri" w:cs="Calibri"/>
                <w:sz w:val="20"/>
                <w:szCs w:val="20"/>
              </w:rPr>
              <w:t>methane conversion factor</w:t>
            </w:r>
          </w:p>
        </w:tc>
      </w:tr>
      <w:tr w:rsidR="006754BE" w:rsidRPr="004161F6" w14:paraId="043655E0" w14:textId="77777777" w:rsidTr="00C543F3">
        <w:tc>
          <w:tcPr>
            <w:tcW w:w="1526" w:type="dxa"/>
          </w:tcPr>
          <w:p w14:paraId="43846E7E"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MCR</w:t>
            </w:r>
          </w:p>
        </w:tc>
        <w:tc>
          <w:tcPr>
            <w:tcW w:w="7092" w:type="dxa"/>
          </w:tcPr>
          <w:p w14:paraId="4A8FA83F" w14:textId="77777777" w:rsidR="006754BE" w:rsidRPr="004346C5" w:rsidRDefault="006754BE" w:rsidP="00C543F3">
            <w:pPr>
              <w:pStyle w:val="BodyText"/>
              <w:spacing w:before="20" w:after="20" w:line="260" w:lineRule="atLeast"/>
              <w:rPr>
                <w:rFonts w:eastAsia="Calibri" w:cs="Calibri"/>
                <w:sz w:val="20"/>
                <w:szCs w:val="20"/>
              </w:rPr>
            </w:pPr>
            <w:r w:rsidRPr="00B512BC">
              <w:rPr>
                <w:rFonts w:eastAsia="Calibri" w:cs="Calibri"/>
                <w:sz w:val="20"/>
                <w:szCs w:val="20"/>
              </w:rPr>
              <w:t>methane conversion rate</w:t>
            </w:r>
          </w:p>
        </w:tc>
      </w:tr>
      <w:tr w:rsidR="006754BE" w:rsidRPr="004161F6" w14:paraId="4DB151C0" w14:textId="77777777" w:rsidTr="00C543F3">
        <w:tc>
          <w:tcPr>
            <w:tcW w:w="1526" w:type="dxa"/>
          </w:tcPr>
          <w:p w14:paraId="338935D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MDI</w:t>
            </w:r>
          </w:p>
        </w:tc>
        <w:tc>
          <w:tcPr>
            <w:tcW w:w="7092" w:type="dxa"/>
          </w:tcPr>
          <w:p w14:paraId="31E23252" w14:textId="77777777" w:rsidR="006754BE" w:rsidRPr="000E36D0" w:rsidRDefault="006754BE" w:rsidP="00C543F3">
            <w:pPr>
              <w:pStyle w:val="BodyText"/>
              <w:spacing w:before="20" w:after="20" w:line="260" w:lineRule="atLeast"/>
              <w:rPr>
                <w:rFonts w:eastAsia="Calibri" w:cs="Calibri"/>
                <w:sz w:val="20"/>
                <w:szCs w:val="20"/>
              </w:rPr>
            </w:pPr>
            <w:r w:rsidRPr="000E36D0">
              <w:rPr>
                <w:rFonts w:eastAsia="Calibri" w:cs="Calibri"/>
                <w:sz w:val="20"/>
                <w:szCs w:val="20"/>
              </w:rPr>
              <w:t>metered dose inhaler</w:t>
            </w:r>
          </w:p>
        </w:tc>
      </w:tr>
      <w:tr w:rsidR="006754BE" w:rsidRPr="004161F6" w14:paraId="1C61C2E6" w14:textId="77777777" w:rsidTr="00C543F3">
        <w:tc>
          <w:tcPr>
            <w:tcW w:w="1526" w:type="dxa"/>
          </w:tcPr>
          <w:p w14:paraId="269A040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MDO</w:t>
            </w:r>
          </w:p>
        </w:tc>
        <w:tc>
          <w:tcPr>
            <w:tcW w:w="7092" w:type="dxa"/>
          </w:tcPr>
          <w:p w14:paraId="7D9A1D44" w14:textId="77777777" w:rsidR="006754BE" w:rsidRPr="00E81B6F" w:rsidRDefault="006754BE" w:rsidP="00C543F3">
            <w:pPr>
              <w:pStyle w:val="BodyText"/>
              <w:spacing w:before="20" w:after="20" w:line="260" w:lineRule="atLeast"/>
              <w:rPr>
                <w:rFonts w:eastAsia="Calibri" w:cs="Calibri"/>
                <w:sz w:val="20"/>
                <w:szCs w:val="20"/>
              </w:rPr>
            </w:pPr>
            <w:r w:rsidRPr="00E81B6F">
              <w:rPr>
                <w:rFonts w:cs="Calibri"/>
                <w:sz w:val="20"/>
                <w:szCs w:val="20"/>
              </w:rPr>
              <w:t>marine diesel oil</w:t>
            </w:r>
          </w:p>
        </w:tc>
      </w:tr>
      <w:tr w:rsidR="006754BE" w:rsidRPr="004161F6" w14:paraId="51971F81" w14:textId="77777777" w:rsidTr="00C543F3">
        <w:tc>
          <w:tcPr>
            <w:tcW w:w="1526" w:type="dxa"/>
          </w:tcPr>
          <w:p w14:paraId="6D7EBB8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ME</w:t>
            </w:r>
          </w:p>
        </w:tc>
        <w:tc>
          <w:tcPr>
            <w:tcW w:w="7092" w:type="dxa"/>
          </w:tcPr>
          <w:p w14:paraId="31EC4EC8" w14:textId="77777777" w:rsidR="006754BE" w:rsidRPr="000D24E3" w:rsidRDefault="006754BE" w:rsidP="00C543F3">
            <w:pPr>
              <w:pStyle w:val="BodyText"/>
              <w:spacing w:before="20" w:after="20" w:line="260" w:lineRule="atLeast"/>
              <w:rPr>
                <w:rFonts w:eastAsia="Calibri" w:cs="Calibri"/>
                <w:sz w:val="20"/>
                <w:szCs w:val="20"/>
              </w:rPr>
            </w:pPr>
            <w:r w:rsidRPr="000D24E3">
              <w:rPr>
                <w:rFonts w:eastAsia="Calibri" w:cs="Calibri"/>
                <w:sz w:val="20"/>
                <w:szCs w:val="20"/>
              </w:rPr>
              <w:t>metabolisable energy</w:t>
            </w:r>
          </w:p>
        </w:tc>
      </w:tr>
      <w:tr w:rsidR="006754BE" w:rsidRPr="004161F6" w14:paraId="4EABA5C0" w14:textId="77777777" w:rsidTr="00C543F3">
        <w:tc>
          <w:tcPr>
            <w:tcW w:w="1526" w:type="dxa"/>
          </w:tcPr>
          <w:p w14:paraId="2DA0715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MfE</w:t>
            </w:r>
          </w:p>
        </w:tc>
        <w:tc>
          <w:tcPr>
            <w:tcW w:w="7092" w:type="dxa"/>
          </w:tcPr>
          <w:p w14:paraId="7F2878B5" w14:textId="77777777" w:rsidR="006754BE" w:rsidRPr="00D74453" w:rsidRDefault="006754BE" w:rsidP="00C543F3">
            <w:pPr>
              <w:pStyle w:val="BodyText"/>
              <w:spacing w:before="20" w:after="20" w:line="260" w:lineRule="atLeast"/>
              <w:rPr>
                <w:rFonts w:eastAsia="Calibri" w:cs="Calibri"/>
                <w:sz w:val="20"/>
                <w:szCs w:val="20"/>
              </w:rPr>
            </w:pPr>
            <w:r w:rsidRPr="00D74453">
              <w:rPr>
                <w:rFonts w:eastAsia="Calibri" w:cs="Calibri"/>
                <w:sz w:val="20"/>
                <w:szCs w:val="20"/>
              </w:rPr>
              <w:t>Ministry for the Environment</w:t>
            </w:r>
          </w:p>
        </w:tc>
      </w:tr>
      <w:tr w:rsidR="006754BE" w:rsidRPr="004161F6" w14:paraId="00BE1A1E" w14:textId="77777777" w:rsidTr="00C543F3">
        <w:tc>
          <w:tcPr>
            <w:tcW w:w="1526" w:type="dxa"/>
          </w:tcPr>
          <w:p w14:paraId="2A02831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MgO</w:t>
            </w:r>
          </w:p>
        </w:tc>
        <w:tc>
          <w:tcPr>
            <w:tcW w:w="7092" w:type="dxa"/>
          </w:tcPr>
          <w:p w14:paraId="3D6C59CE" w14:textId="77777777" w:rsidR="006754BE" w:rsidRPr="008149FF" w:rsidRDefault="006754BE" w:rsidP="00C543F3">
            <w:pPr>
              <w:pStyle w:val="BodyText"/>
              <w:spacing w:before="20" w:after="20" w:line="260" w:lineRule="atLeast"/>
              <w:rPr>
                <w:rFonts w:eastAsia="Calibri" w:cs="Calibri"/>
                <w:sz w:val="20"/>
                <w:szCs w:val="20"/>
              </w:rPr>
            </w:pPr>
            <w:r w:rsidRPr="008149FF">
              <w:rPr>
                <w:rFonts w:cs="Calibri"/>
                <w:sz w:val="20"/>
                <w:szCs w:val="20"/>
              </w:rPr>
              <w:t>magnesium oxide</w:t>
            </w:r>
          </w:p>
        </w:tc>
      </w:tr>
      <w:tr w:rsidR="006754BE" w:rsidRPr="004161F6" w14:paraId="59A5B523" w14:textId="77777777" w:rsidTr="00C543F3">
        <w:tc>
          <w:tcPr>
            <w:tcW w:w="1526" w:type="dxa"/>
          </w:tcPr>
          <w:p w14:paraId="17FCA20E"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MiCORE</w:t>
            </w:r>
          </w:p>
        </w:tc>
        <w:tc>
          <w:tcPr>
            <w:tcW w:w="7092" w:type="dxa"/>
          </w:tcPr>
          <w:p w14:paraId="51E1AC8E" w14:textId="77777777" w:rsidR="006754BE" w:rsidRPr="008B4EAF" w:rsidRDefault="006754BE" w:rsidP="00C543F3">
            <w:pPr>
              <w:pStyle w:val="BodyText"/>
              <w:spacing w:before="20" w:after="20" w:line="260" w:lineRule="atLeast"/>
              <w:rPr>
                <w:rFonts w:cs="Calibri"/>
                <w:sz w:val="20"/>
                <w:szCs w:val="20"/>
              </w:rPr>
            </w:pPr>
            <w:r w:rsidRPr="008B4EAF">
              <w:rPr>
                <w:rFonts w:cs="Calibri"/>
                <w:sz w:val="20"/>
                <w:szCs w:val="20"/>
              </w:rPr>
              <w:t>Ministry of Climate, Oceans and Resilience (Tokelau)</w:t>
            </w:r>
          </w:p>
        </w:tc>
      </w:tr>
      <w:tr w:rsidR="006754BE" w:rsidRPr="004161F6" w14:paraId="72F369F5" w14:textId="77777777" w:rsidTr="00C543F3">
        <w:tc>
          <w:tcPr>
            <w:tcW w:w="1526" w:type="dxa"/>
          </w:tcPr>
          <w:p w14:paraId="4522F74D"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MJ</w:t>
            </w:r>
          </w:p>
        </w:tc>
        <w:tc>
          <w:tcPr>
            <w:tcW w:w="7092" w:type="dxa"/>
          </w:tcPr>
          <w:p w14:paraId="69761AEA" w14:textId="77777777" w:rsidR="006754BE" w:rsidRPr="00130039" w:rsidRDefault="006754BE" w:rsidP="00C543F3">
            <w:pPr>
              <w:pStyle w:val="BodyText"/>
              <w:spacing w:before="20" w:after="20" w:line="260" w:lineRule="atLeast"/>
              <w:rPr>
                <w:rFonts w:cs="Calibri"/>
                <w:sz w:val="20"/>
                <w:szCs w:val="20"/>
              </w:rPr>
            </w:pPr>
            <w:r w:rsidRPr="00130039">
              <w:rPr>
                <w:rFonts w:cs="Calibri"/>
                <w:sz w:val="20"/>
                <w:szCs w:val="20"/>
              </w:rPr>
              <w:t>megajoule(s)</w:t>
            </w:r>
          </w:p>
        </w:tc>
      </w:tr>
      <w:tr w:rsidR="006754BE" w:rsidRPr="004161F6" w14:paraId="29804745" w14:textId="77777777" w:rsidTr="00C543F3">
        <w:tc>
          <w:tcPr>
            <w:tcW w:w="1526" w:type="dxa"/>
          </w:tcPr>
          <w:p w14:paraId="7F34CBDE" w14:textId="77777777" w:rsidR="006754BE" w:rsidRPr="007D24CF" w:rsidRDefault="006754BE" w:rsidP="00C543F3">
            <w:pPr>
              <w:pStyle w:val="BodyText"/>
              <w:spacing w:before="20" w:after="20" w:line="260" w:lineRule="atLeast"/>
              <w:rPr>
                <w:rFonts w:cs="Calibri"/>
                <w:b/>
                <w:sz w:val="20"/>
                <w:szCs w:val="20"/>
              </w:rPr>
            </w:pPr>
            <w:r w:rsidRPr="007D24CF">
              <w:rPr>
                <w:rFonts w:cs="Calibri"/>
                <w:b/>
                <w:sz w:val="20"/>
                <w:szCs w:val="20"/>
              </w:rPr>
              <w:t>MMS</w:t>
            </w:r>
          </w:p>
        </w:tc>
        <w:tc>
          <w:tcPr>
            <w:tcW w:w="7092" w:type="dxa"/>
          </w:tcPr>
          <w:p w14:paraId="277E0B32" w14:textId="77777777" w:rsidR="006754BE" w:rsidRPr="0036468D" w:rsidRDefault="006754BE" w:rsidP="00C543F3">
            <w:pPr>
              <w:pStyle w:val="BodyText"/>
              <w:spacing w:before="20" w:after="20" w:line="260" w:lineRule="atLeast"/>
              <w:rPr>
                <w:rFonts w:cs="Calibri"/>
                <w:sz w:val="20"/>
                <w:szCs w:val="20"/>
              </w:rPr>
            </w:pPr>
            <w:r w:rsidRPr="0036468D">
              <w:rPr>
                <w:rFonts w:cs="Calibri"/>
                <w:sz w:val="20"/>
                <w:szCs w:val="20"/>
              </w:rPr>
              <w:t>manure management system</w:t>
            </w:r>
          </w:p>
        </w:tc>
      </w:tr>
      <w:tr w:rsidR="006754BE" w:rsidRPr="004161F6" w14:paraId="76E0EC09" w14:textId="77777777" w:rsidTr="00C543F3">
        <w:tc>
          <w:tcPr>
            <w:tcW w:w="1526" w:type="dxa"/>
          </w:tcPr>
          <w:p w14:paraId="393AEE3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MOS</w:t>
            </w:r>
          </w:p>
        </w:tc>
        <w:tc>
          <w:tcPr>
            <w:tcW w:w="7092" w:type="dxa"/>
          </w:tcPr>
          <w:p w14:paraId="24D0BC9F" w14:textId="77777777" w:rsidR="006754BE" w:rsidRPr="0014699C" w:rsidRDefault="006754BE" w:rsidP="00C543F3">
            <w:pPr>
              <w:pStyle w:val="BodyText"/>
              <w:spacing w:before="20" w:after="20" w:line="260" w:lineRule="atLeast"/>
              <w:rPr>
                <w:rFonts w:eastAsia="Calibri" w:cs="Calibri"/>
                <w:sz w:val="20"/>
                <w:szCs w:val="20"/>
              </w:rPr>
            </w:pPr>
            <w:r w:rsidRPr="0014699C">
              <w:rPr>
                <w:rFonts w:eastAsia="Calibri" w:cs="Calibri"/>
                <w:sz w:val="20"/>
                <w:szCs w:val="20"/>
              </w:rPr>
              <w:t xml:space="preserve">Monthly Oil Supply </w:t>
            </w:r>
          </w:p>
        </w:tc>
      </w:tr>
      <w:tr w:rsidR="006754BE" w:rsidRPr="004161F6" w14:paraId="088E96C8" w14:textId="77777777" w:rsidTr="00C543F3">
        <w:tc>
          <w:tcPr>
            <w:tcW w:w="1526" w:type="dxa"/>
          </w:tcPr>
          <w:p w14:paraId="2DCC120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MPGs</w:t>
            </w:r>
          </w:p>
        </w:tc>
        <w:tc>
          <w:tcPr>
            <w:tcW w:w="7092" w:type="dxa"/>
          </w:tcPr>
          <w:p w14:paraId="08DC5AA8" w14:textId="77777777" w:rsidR="006754BE" w:rsidRPr="0034169B" w:rsidRDefault="006754BE" w:rsidP="00C543F3">
            <w:pPr>
              <w:pStyle w:val="BodyText"/>
              <w:spacing w:before="20" w:after="20" w:line="260" w:lineRule="atLeast"/>
              <w:rPr>
                <w:rFonts w:eastAsia="Calibri" w:cs="Calibri"/>
                <w:sz w:val="20"/>
                <w:szCs w:val="20"/>
              </w:rPr>
            </w:pPr>
            <w:r w:rsidRPr="0034169B">
              <w:rPr>
                <w:rFonts w:eastAsia="Calibri" w:cs="Calibri"/>
                <w:sz w:val="20"/>
                <w:szCs w:val="20"/>
              </w:rPr>
              <w:t>modalities, procedures and guidelines</w:t>
            </w:r>
          </w:p>
        </w:tc>
      </w:tr>
      <w:tr w:rsidR="006754BE" w:rsidRPr="004161F6" w14:paraId="788F83B2" w14:textId="77777777" w:rsidTr="00C543F3">
        <w:tc>
          <w:tcPr>
            <w:tcW w:w="1526" w:type="dxa"/>
          </w:tcPr>
          <w:p w14:paraId="613B2F8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MPI</w:t>
            </w:r>
          </w:p>
        </w:tc>
        <w:tc>
          <w:tcPr>
            <w:tcW w:w="7092" w:type="dxa"/>
          </w:tcPr>
          <w:p w14:paraId="369B22B6" w14:textId="77777777" w:rsidR="006754BE" w:rsidRPr="0061458B" w:rsidRDefault="006754BE" w:rsidP="00C543F3">
            <w:pPr>
              <w:pStyle w:val="BodyText"/>
              <w:spacing w:before="20" w:after="20" w:line="260" w:lineRule="atLeast"/>
              <w:rPr>
                <w:rFonts w:eastAsia="Calibri" w:cs="Calibri"/>
                <w:sz w:val="20"/>
                <w:szCs w:val="20"/>
              </w:rPr>
            </w:pPr>
            <w:r w:rsidRPr="0061458B">
              <w:rPr>
                <w:rFonts w:eastAsia="Calibri" w:cs="Calibri"/>
                <w:sz w:val="20"/>
                <w:szCs w:val="20"/>
              </w:rPr>
              <w:t>Ministry for Primary Industries</w:t>
            </w:r>
          </w:p>
        </w:tc>
      </w:tr>
      <w:tr w:rsidR="006754BE" w:rsidRPr="009F5033" w14:paraId="75F1BFBE" w14:textId="77777777" w:rsidTr="00C543F3">
        <w:tc>
          <w:tcPr>
            <w:tcW w:w="1526" w:type="dxa"/>
          </w:tcPr>
          <w:p w14:paraId="34BC2CD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MSW</w:t>
            </w:r>
          </w:p>
        </w:tc>
        <w:tc>
          <w:tcPr>
            <w:tcW w:w="7092" w:type="dxa"/>
          </w:tcPr>
          <w:p w14:paraId="3211F506" w14:textId="77777777" w:rsidR="006754BE" w:rsidRPr="009F5033" w:rsidRDefault="006754BE" w:rsidP="00C543F3">
            <w:pPr>
              <w:pStyle w:val="BodyText"/>
              <w:spacing w:before="20" w:after="20" w:line="260" w:lineRule="atLeast"/>
              <w:rPr>
                <w:rFonts w:eastAsia="Calibri" w:cs="Calibri"/>
                <w:sz w:val="20"/>
                <w:szCs w:val="20"/>
              </w:rPr>
            </w:pPr>
            <w:r w:rsidRPr="009F5033">
              <w:rPr>
                <w:rFonts w:cs="Calibri"/>
                <w:sz w:val="20"/>
                <w:szCs w:val="20"/>
              </w:rPr>
              <w:t>municipal waste disposal</w:t>
            </w:r>
          </w:p>
        </w:tc>
      </w:tr>
      <w:tr w:rsidR="006754BE" w:rsidRPr="004161F6" w14:paraId="1DC27520" w14:textId="77777777" w:rsidTr="00C543F3">
        <w:tc>
          <w:tcPr>
            <w:tcW w:w="1526" w:type="dxa"/>
          </w:tcPr>
          <w:p w14:paraId="5655D0B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Mt</w:t>
            </w:r>
          </w:p>
        </w:tc>
        <w:tc>
          <w:tcPr>
            <w:tcW w:w="7092" w:type="dxa"/>
          </w:tcPr>
          <w:p w14:paraId="3533C2BC" w14:textId="77777777" w:rsidR="006754BE" w:rsidRPr="00990936" w:rsidRDefault="006754BE" w:rsidP="00C543F3">
            <w:pPr>
              <w:pStyle w:val="BodyText"/>
              <w:spacing w:before="20" w:after="20" w:line="260" w:lineRule="atLeast"/>
              <w:rPr>
                <w:rFonts w:eastAsia="Calibri" w:cs="Calibri"/>
                <w:sz w:val="20"/>
                <w:szCs w:val="20"/>
              </w:rPr>
            </w:pPr>
            <w:r w:rsidRPr="00990936">
              <w:rPr>
                <w:rFonts w:eastAsia="Calibri" w:cs="Calibri"/>
                <w:sz w:val="20"/>
                <w:szCs w:val="20"/>
              </w:rPr>
              <w:t>megatonne(s) or million tonne(s)</w:t>
            </w:r>
          </w:p>
        </w:tc>
      </w:tr>
      <w:tr w:rsidR="006754BE" w:rsidRPr="004161F6" w14:paraId="3B1C067A" w14:textId="77777777" w:rsidTr="00C543F3">
        <w:tc>
          <w:tcPr>
            <w:tcW w:w="1526" w:type="dxa"/>
          </w:tcPr>
          <w:p w14:paraId="4814036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MW</w:t>
            </w:r>
          </w:p>
        </w:tc>
        <w:tc>
          <w:tcPr>
            <w:tcW w:w="7092" w:type="dxa"/>
          </w:tcPr>
          <w:p w14:paraId="42D3316D" w14:textId="77777777" w:rsidR="006754BE" w:rsidRPr="00D74453" w:rsidRDefault="006754BE" w:rsidP="00C543F3">
            <w:pPr>
              <w:pStyle w:val="BodyText"/>
              <w:spacing w:before="20" w:after="20" w:line="260" w:lineRule="atLeast"/>
              <w:rPr>
                <w:rFonts w:eastAsia="Calibri" w:cs="Calibri"/>
                <w:sz w:val="20"/>
                <w:szCs w:val="20"/>
              </w:rPr>
            </w:pPr>
            <w:r w:rsidRPr="00D74453">
              <w:rPr>
                <w:rFonts w:eastAsia="Calibri" w:cs="Calibri"/>
                <w:sz w:val="20"/>
                <w:szCs w:val="20"/>
              </w:rPr>
              <w:t>megawatt(s)</w:t>
            </w:r>
          </w:p>
        </w:tc>
      </w:tr>
      <w:tr w:rsidR="006754BE" w:rsidRPr="004161F6" w14:paraId="6532A4F5" w14:textId="77777777" w:rsidTr="00C543F3">
        <w:tc>
          <w:tcPr>
            <w:tcW w:w="1526" w:type="dxa"/>
          </w:tcPr>
          <w:p w14:paraId="3D31550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w:t>
            </w:r>
          </w:p>
        </w:tc>
        <w:tc>
          <w:tcPr>
            <w:tcW w:w="7092" w:type="dxa"/>
          </w:tcPr>
          <w:p w14:paraId="2897DE29" w14:textId="77777777" w:rsidR="006754BE" w:rsidRPr="00D74453" w:rsidRDefault="006754BE" w:rsidP="00C543F3">
            <w:pPr>
              <w:pStyle w:val="BodyText"/>
              <w:spacing w:before="20" w:after="20" w:line="260" w:lineRule="atLeast"/>
              <w:rPr>
                <w:rFonts w:eastAsia="Calibri" w:cs="Calibri"/>
                <w:sz w:val="20"/>
                <w:szCs w:val="20"/>
              </w:rPr>
            </w:pPr>
            <w:r w:rsidRPr="00D74453">
              <w:rPr>
                <w:rFonts w:eastAsia="Calibri" w:cs="Calibri"/>
                <w:sz w:val="20"/>
                <w:szCs w:val="20"/>
              </w:rPr>
              <w:t>nitrogen</w:t>
            </w:r>
          </w:p>
        </w:tc>
      </w:tr>
      <w:tr w:rsidR="006754BE" w:rsidRPr="0047326A" w14:paraId="01B643E2" w14:textId="77777777" w:rsidTr="00C543F3">
        <w:tc>
          <w:tcPr>
            <w:tcW w:w="1526" w:type="dxa"/>
          </w:tcPr>
          <w:p w14:paraId="62EF3194"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w:t>
            </w:r>
            <w:r w:rsidRPr="007D24CF">
              <w:rPr>
                <w:rFonts w:eastAsia="Calibri" w:cs="Calibri"/>
                <w:b/>
                <w:sz w:val="20"/>
                <w:szCs w:val="20"/>
                <w:vertAlign w:val="subscript"/>
              </w:rPr>
              <w:t>2</w:t>
            </w:r>
            <w:r w:rsidRPr="007D24CF">
              <w:rPr>
                <w:rFonts w:eastAsia="Calibri" w:cs="Calibri"/>
                <w:b/>
                <w:sz w:val="20"/>
                <w:szCs w:val="20"/>
              </w:rPr>
              <w:t xml:space="preserve">O </w:t>
            </w:r>
          </w:p>
        </w:tc>
        <w:tc>
          <w:tcPr>
            <w:tcW w:w="7092" w:type="dxa"/>
          </w:tcPr>
          <w:p w14:paraId="0D4DEE29" w14:textId="77777777" w:rsidR="006754BE" w:rsidRPr="0047326A" w:rsidRDefault="006754BE" w:rsidP="00C543F3">
            <w:pPr>
              <w:pStyle w:val="BodyText"/>
              <w:spacing w:before="20" w:after="20" w:line="260" w:lineRule="atLeast"/>
              <w:rPr>
                <w:rFonts w:eastAsia="Calibri" w:cs="Calibri"/>
                <w:sz w:val="20"/>
                <w:szCs w:val="20"/>
              </w:rPr>
            </w:pPr>
            <w:r w:rsidRPr="0047326A">
              <w:rPr>
                <w:rFonts w:eastAsia="Calibri" w:cs="Calibri"/>
                <w:sz w:val="20"/>
                <w:szCs w:val="20"/>
              </w:rPr>
              <w:t>nitrous oxide</w:t>
            </w:r>
          </w:p>
        </w:tc>
      </w:tr>
      <w:tr w:rsidR="006754BE" w:rsidRPr="004161F6" w14:paraId="0A883613" w14:textId="77777777" w:rsidTr="00C543F3">
        <w:tc>
          <w:tcPr>
            <w:tcW w:w="1526" w:type="dxa"/>
          </w:tcPr>
          <w:p w14:paraId="4856F64A"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NA </w:t>
            </w:r>
          </w:p>
        </w:tc>
        <w:tc>
          <w:tcPr>
            <w:tcW w:w="7092" w:type="dxa"/>
          </w:tcPr>
          <w:p w14:paraId="4B334FC6" w14:textId="77777777" w:rsidR="006754BE" w:rsidRPr="00D74453" w:rsidRDefault="006754BE" w:rsidP="00C543F3">
            <w:pPr>
              <w:pStyle w:val="BodyText"/>
              <w:spacing w:before="20" w:after="20" w:line="260" w:lineRule="atLeast"/>
              <w:rPr>
                <w:rFonts w:eastAsia="Calibri" w:cs="Calibri"/>
                <w:sz w:val="20"/>
                <w:szCs w:val="20"/>
              </w:rPr>
            </w:pPr>
            <w:r w:rsidRPr="00D74453">
              <w:rPr>
                <w:rFonts w:eastAsia="Calibri" w:cs="Calibri"/>
                <w:sz w:val="20"/>
                <w:szCs w:val="20"/>
              </w:rPr>
              <w:t>not applicable</w:t>
            </w:r>
          </w:p>
        </w:tc>
      </w:tr>
      <w:tr w:rsidR="006754BE" w:rsidRPr="004161F6" w14:paraId="06D3F827" w14:textId="77777777" w:rsidTr="00C543F3">
        <w:tc>
          <w:tcPr>
            <w:tcW w:w="1526" w:type="dxa"/>
          </w:tcPr>
          <w:p w14:paraId="268F33E5"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NDC1</w:t>
            </w:r>
          </w:p>
        </w:tc>
        <w:tc>
          <w:tcPr>
            <w:tcW w:w="7092" w:type="dxa"/>
          </w:tcPr>
          <w:p w14:paraId="5EC6AC7C" w14:textId="77777777" w:rsidR="006754BE" w:rsidRPr="008A38CE" w:rsidRDefault="006754BE" w:rsidP="00C543F3">
            <w:pPr>
              <w:pStyle w:val="BodyText"/>
              <w:spacing w:before="20" w:after="20" w:line="260" w:lineRule="atLeast"/>
              <w:rPr>
                <w:rFonts w:eastAsia="Calibri" w:cs="Calibri"/>
                <w:sz w:val="20"/>
                <w:szCs w:val="20"/>
              </w:rPr>
            </w:pPr>
            <w:r w:rsidRPr="008A38CE">
              <w:rPr>
                <w:rFonts w:eastAsia="Calibri" w:cs="Calibri"/>
                <w:sz w:val="20"/>
                <w:szCs w:val="20"/>
              </w:rPr>
              <w:t>first Nationally Determined Contribution</w:t>
            </w:r>
          </w:p>
        </w:tc>
      </w:tr>
      <w:tr w:rsidR="006754BE" w:rsidRPr="004161F6" w14:paraId="0CAE9DED" w14:textId="77777777" w:rsidTr="00C543F3">
        <w:tc>
          <w:tcPr>
            <w:tcW w:w="1526" w:type="dxa"/>
          </w:tcPr>
          <w:p w14:paraId="0CE3A14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NDVI</w:t>
            </w:r>
          </w:p>
        </w:tc>
        <w:tc>
          <w:tcPr>
            <w:tcW w:w="7092" w:type="dxa"/>
          </w:tcPr>
          <w:p w14:paraId="13ADC6C1" w14:textId="77777777" w:rsidR="006754BE" w:rsidRPr="00731222" w:rsidRDefault="006754BE" w:rsidP="00C543F3">
            <w:pPr>
              <w:pStyle w:val="BodyText"/>
              <w:spacing w:before="20" w:after="20" w:line="260" w:lineRule="atLeast"/>
              <w:rPr>
                <w:rFonts w:eastAsia="Calibri" w:cs="Calibri"/>
                <w:sz w:val="20"/>
                <w:szCs w:val="20"/>
              </w:rPr>
            </w:pPr>
            <w:r w:rsidRPr="00731222">
              <w:rPr>
                <w:rFonts w:eastAsia="Calibri" w:cs="Calibri"/>
                <w:sz w:val="20"/>
                <w:szCs w:val="20"/>
              </w:rPr>
              <w:t>normalized difference vegetation index</w:t>
            </w:r>
          </w:p>
        </w:tc>
      </w:tr>
      <w:tr w:rsidR="006754BE" w:rsidRPr="00FA1327" w14:paraId="0AA543C2" w14:textId="77777777" w:rsidTr="00C543F3">
        <w:tc>
          <w:tcPr>
            <w:tcW w:w="1526" w:type="dxa"/>
          </w:tcPr>
          <w:p w14:paraId="21ED4F5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NE</w:t>
            </w:r>
          </w:p>
        </w:tc>
        <w:tc>
          <w:tcPr>
            <w:tcW w:w="7092" w:type="dxa"/>
          </w:tcPr>
          <w:p w14:paraId="28095F99" w14:textId="77777777" w:rsidR="006754BE" w:rsidRPr="00FA1327" w:rsidRDefault="006754BE" w:rsidP="00C543F3">
            <w:pPr>
              <w:pStyle w:val="BodyText"/>
              <w:spacing w:before="20" w:after="20" w:line="260" w:lineRule="atLeast"/>
              <w:rPr>
                <w:rFonts w:eastAsia="Calibri" w:cs="Calibri"/>
                <w:sz w:val="20"/>
                <w:szCs w:val="20"/>
              </w:rPr>
            </w:pPr>
            <w:r w:rsidRPr="00FA1327">
              <w:rPr>
                <w:rFonts w:eastAsia="Calibri" w:cs="Calibri"/>
                <w:sz w:val="20"/>
                <w:szCs w:val="20"/>
              </w:rPr>
              <w:t>not estimated</w:t>
            </w:r>
          </w:p>
        </w:tc>
      </w:tr>
      <w:tr w:rsidR="006754BE" w:rsidRPr="00D7720D" w14:paraId="6F082DA9" w14:textId="77777777" w:rsidTr="00C543F3">
        <w:tc>
          <w:tcPr>
            <w:tcW w:w="1526" w:type="dxa"/>
          </w:tcPr>
          <w:p w14:paraId="01250E6C"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NEFD </w:t>
            </w:r>
          </w:p>
        </w:tc>
        <w:tc>
          <w:tcPr>
            <w:tcW w:w="7092" w:type="dxa"/>
          </w:tcPr>
          <w:p w14:paraId="05A6E768" w14:textId="77777777" w:rsidR="006754BE" w:rsidRPr="00990936" w:rsidRDefault="006754BE" w:rsidP="00C543F3">
            <w:pPr>
              <w:pStyle w:val="BodyText"/>
              <w:spacing w:before="20" w:after="20" w:line="260" w:lineRule="atLeast"/>
              <w:rPr>
                <w:rFonts w:eastAsia="Calibri" w:cs="Calibri"/>
                <w:sz w:val="20"/>
                <w:szCs w:val="20"/>
              </w:rPr>
            </w:pPr>
            <w:r w:rsidRPr="00990936">
              <w:rPr>
                <w:rFonts w:eastAsia="Calibri" w:cs="Calibri"/>
                <w:sz w:val="20"/>
                <w:szCs w:val="20"/>
              </w:rPr>
              <w:t>National Exotic Forest Description</w:t>
            </w:r>
          </w:p>
        </w:tc>
      </w:tr>
      <w:tr w:rsidR="006754BE" w:rsidRPr="004161F6" w14:paraId="0AA93C9C" w14:textId="77777777" w:rsidTr="00C543F3">
        <w:tc>
          <w:tcPr>
            <w:tcW w:w="1526" w:type="dxa"/>
          </w:tcPr>
          <w:p w14:paraId="27CCB08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N</w:t>
            </w:r>
            <w:r w:rsidRPr="007D24CF">
              <w:rPr>
                <w:rFonts w:cs="Calibri"/>
                <w:b/>
                <w:sz w:val="20"/>
                <w:szCs w:val="20"/>
                <w:vertAlign w:val="subscript"/>
              </w:rPr>
              <w:t>ex</w:t>
            </w:r>
          </w:p>
        </w:tc>
        <w:tc>
          <w:tcPr>
            <w:tcW w:w="7092" w:type="dxa"/>
          </w:tcPr>
          <w:p w14:paraId="729CF67E" w14:textId="77777777" w:rsidR="006754BE" w:rsidRPr="006E240C" w:rsidRDefault="006754BE" w:rsidP="00C543F3">
            <w:pPr>
              <w:pStyle w:val="BodyText"/>
              <w:spacing w:before="20" w:after="20" w:line="260" w:lineRule="atLeast"/>
              <w:rPr>
                <w:rFonts w:eastAsia="Calibri" w:cs="Calibri"/>
                <w:sz w:val="20"/>
                <w:szCs w:val="20"/>
              </w:rPr>
            </w:pPr>
            <w:r w:rsidRPr="006E240C">
              <w:rPr>
                <w:rFonts w:cs="Calibri"/>
                <w:sz w:val="20"/>
                <w:szCs w:val="20"/>
              </w:rPr>
              <w:t xml:space="preserve">nitrogen excretion rates </w:t>
            </w:r>
          </w:p>
        </w:tc>
      </w:tr>
      <w:tr w:rsidR="006754BE" w:rsidRPr="004161F6" w14:paraId="00A78625" w14:textId="77777777" w:rsidTr="00C543F3">
        <w:tc>
          <w:tcPr>
            <w:tcW w:w="1526" w:type="dxa"/>
          </w:tcPr>
          <w:p w14:paraId="1986D17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NF</w:t>
            </w:r>
            <w:r w:rsidRPr="007D24CF">
              <w:rPr>
                <w:rFonts w:eastAsia="Calibri" w:cs="Calibri"/>
                <w:b/>
                <w:sz w:val="20"/>
                <w:szCs w:val="20"/>
                <w:vertAlign w:val="subscript"/>
              </w:rPr>
              <w:t>3</w:t>
            </w:r>
          </w:p>
        </w:tc>
        <w:tc>
          <w:tcPr>
            <w:tcW w:w="7092" w:type="dxa"/>
          </w:tcPr>
          <w:p w14:paraId="641E7CD3" w14:textId="77777777" w:rsidR="006754BE" w:rsidRPr="00FA1171" w:rsidRDefault="006754BE" w:rsidP="00C543F3">
            <w:pPr>
              <w:pStyle w:val="BodyText"/>
              <w:spacing w:before="20" w:after="20" w:line="260" w:lineRule="atLeast"/>
              <w:rPr>
                <w:rFonts w:eastAsia="Calibri" w:cs="Calibri"/>
                <w:sz w:val="20"/>
                <w:szCs w:val="20"/>
              </w:rPr>
            </w:pPr>
            <w:r w:rsidRPr="00FA1171">
              <w:rPr>
                <w:rFonts w:eastAsia="Calibri" w:cs="Calibri"/>
                <w:sz w:val="20"/>
                <w:szCs w:val="20"/>
              </w:rPr>
              <w:t>nitrogen trifluoride</w:t>
            </w:r>
          </w:p>
        </w:tc>
      </w:tr>
      <w:tr w:rsidR="006754BE" w:rsidRPr="004161F6" w14:paraId="1D5E31FD" w14:textId="77777777" w:rsidTr="00C543F3">
        <w:tc>
          <w:tcPr>
            <w:tcW w:w="1526" w:type="dxa"/>
          </w:tcPr>
          <w:p w14:paraId="35D1E49A"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NH</w:t>
            </w:r>
            <w:r w:rsidRPr="007D24CF">
              <w:rPr>
                <w:rFonts w:cs="Calibri"/>
                <w:b/>
                <w:sz w:val="20"/>
                <w:szCs w:val="20"/>
                <w:vertAlign w:val="subscript"/>
              </w:rPr>
              <w:t>3</w:t>
            </w:r>
          </w:p>
        </w:tc>
        <w:tc>
          <w:tcPr>
            <w:tcW w:w="7092" w:type="dxa"/>
          </w:tcPr>
          <w:p w14:paraId="503BB366" w14:textId="77777777" w:rsidR="006754BE" w:rsidRPr="00573D27" w:rsidRDefault="006754BE" w:rsidP="00C543F3">
            <w:pPr>
              <w:pStyle w:val="BodyText"/>
              <w:spacing w:before="20" w:after="20" w:line="260" w:lineRule="atLeast"/>
              <w:rPr>
                <w:rFonts w:eastAsia="Calibri" w:cs="Calibri"/>
                <w:sz w:val="20"/>
                <w:szCs w:val="20"/>
              </w:rPr>
            </w:pPr>
            <w:r w:rsidRPr="00573D27">
              <w:rPr>
                <w:rFonts w:eastAsia="Calibri" w:cs="Calibri"/>
                <w:sz w:val="20"/>
                <w:szCs w:val="20"/>
              </w:rPr>
              <w:t>ammonia</w:t>
            </w:r>
          </w:p>
        </w:tc>
      </w:tr>
      <w:tr w:rsidR="006754BE" w:rsidRPr="004161F6" w14:paraId="21AFCAF9" w14:textId="77777777" w:rsidTr="00C543F3">
        <w:tc>
          <w:tcPr>
            <w:tcW w:w="1526" w:type="dxa"/>
          </w:tcPr>
          <w:p w14:paraId="41B079E5"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NIR</w:t>
            </w:r>
          </w:p>
        </w:tc>
        <w:tc>
          <w:tcPr>
            <w:tcW w:w="7092" w:type="dxa"/>
          </w:tcPr>
          <w:p w14:paraId="2A412EDE" w14:textId="77777777" w:rsidR="006754BE" w:rsidRPr="008A23A6" w:rsidRDefault="006754BE" w:rsidP="00C543F3">
            <w:pPr>
              <w:pStyle w:val="BodyText"/>
              <w:spacing w:before="20" w:after="20" w:line="260" w:lineRule="atLeast"/>
              <w:rPr>
                <w:rFonts w:eastAsia="Calibri" w:cs="Calibri"/>
                <w:sz w:val="20"/>
                <w:szCs w:val="20"/>
              </w:rPr>
            </w:pPr>
            <w:r w:rsidRPr="008A23A6">
              <w:rPr>
                <w:rFonts w:eastAsia="Calibri" w:cs="Calibri"/>
                <w:sz w:val="20"/>
                <w:szCs w:val="20"/>
              </w:rPr>
              <w:t>national inventory report</w:t>
            </w:r>
          </w:p>
        </w:tc>
      </w:tr>
      <w:tr w:rsidR="006754BE" w:rsidRPr="004161F6" w14:paraId="38C94071" w14:textId="77777777" w:rsidTr="00C543F3">
        <w:tc>
          <w:tcPr>
            <w:tcW w:w="1526" w:type="dxa"/>
          </w:tcPr>
          <w:p w14:paraId="700A818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NMVOC</w:t>
            </w:r>
          </w:p>
        </w:tc>
        <w:tc>
          <w:tcPr>
            <w:tcW w:w="7092" w:type="dxa"/>
          </w:tcPr>
          <w:p w14:paraId="5E1723E7" w14:textId="77777777" w:rsidR="006754BE" w:rsidRPr="00977618" w:rsidRDefault="006754BE" w:rsidP="00C543F3">
            <w:pPr>
              <w:pStyle w:val="BodyText"/>
              <w:spacing w:before="20" w:after="20" w:line="260" w:lineRule="atLeast"/>
              <w:rPr>
                <w:rFonts w:eastAsia="Calibri" w:cs="Calibri"/>
                <w:sz w:val="20"/>
                <w:szCs w:val="20"/>
              </w:rPr>
            </w:pPr>
            <w:r w:rsidRPr="00990936">
              <w:rPr>
                <w:rFonts w:eastAsia="Calibri" w:cs="Calibri"/>
                <w:sz w:val="20"/>
                <w:szCs w:val="20"/>
              </w:rPr>
              <w:t>non-methane volatile organic compound</w:t>
            </w:r>
          </w:p>
        </w:tc>
      </w:tr>
      <w:tr w:rsidR="006754BE" w:rsidRPr="004161F6" w14:paraId="4AE2A53E" w14:textId="77777777" w:rsidTr="00C543F3">
        <w:tc>
          <w:tcPr>
            <w:tcW w:w="1526" w:type="dxa"/>
          </w:tcPr>
          <w:p w14:paraId="1BB9FBA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NO</w:t>
            </w:r>
          </w:p>
        </w:tc>
        <w:tc>
          <w:tcPr>
            <w:tcW w:w="7092" w:type="dxa"/>
          </w:tcPr>
          <w:p w14:paraId="48F71B64" w14:textId="77777777" w:rsidR="006754BE" w:rsidRPr="00926E8C" w:rsidRDefault="006754BE" w:rsidP="00C543F3">
            <w:pPr>
              <w:pStyle w:val="BodyText"/>
              <w:spacing w:before="20" w:after="20" w:line="260" w:lineRule="atLeast"/>
              <w:rPr>
                <w:rFonts w:eastAsia="Calibri" w:cs="Calibri"/>
                <w:sz w:val="20"/>
                <w:szCs w:val="20"/>
              </w:rPr>
            </w:pPr>
            <w:r w:rsidRPr="00926E8C">
              <w:rPr>
                <w:rFonts w:eastAsia="Calibri" w:cs="Calibri"/>
                <w:sz w:val="20"/>
                <w:szCs w:val="20"/>
              </w:rPr>
              <w:t>not occurring</w:t>
            </w:r>
          </w:p>
        </w:tc>
      </w:tr>
      <w:tr w:rsidR="006754BE" w:rsidRPr="004161F6" w14:paraId="07615DCC" w14:textId="77777777" w:rsidTr="00C543F3">
        <w:tc>
          <w:tcPr>
            <w:tcW w:w="1526" w:type="dxa"/>
          </w:tcPr>
          <w:p w14:paraId="73EA1429"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NO</w:t>
            </w:r>
            <w:r w:rsidRPr="007D24CF">
              <w:rPr>
                <w:rFonts w:eastAsia="Calibri" w:cs="Calibri"/>
                <w:b/>
                <w:sz w:val="20"/>
                <w:szCs w:val="20"/>
                <w:vertAlign w:val="subscript"/>
              </w:rPr>
              <w:t>3</w:t>
            </w:r>
          </w:p>
        </w:tc>
        <w:tc>
          <w:tcPr>
            <w:tcW w:w="7092" w:type="dxa"/>
          </w:tcPr>
          <w:p w14:paraId="76146486" w14:textId="77777777" w:rsidR="006754BE" w:rsidRPr="00546359" w:rsidRDefault="006754BE" w:rsidP="00C543F3">
            <w:pPr>
              <w:pStyle w:val="BodyText"/>
              <w:spacing w:before="20" w:after="20" w:line="260" w:lineRule="atLeast"/>
              <w:rPr>
                <w:rFonts w:eastAsia="Calibri" w:cs="Calibri"/>
                <w:sz w:val="20"/>
                <w:szCs w:val="20"/>
              </w:rPr>
            </w:pPr>
            <w:r w:rsidRPr="00546359">
              <w:rPr>
                <w:rFonts w:eastAsia="Calibri" w:cs="Calibri"/>
                <w:sz w:val="20"/>
                <w:szCs w:val="20"/>
              </w:rPr>
              <w:t>nitrate</w:t>
            </w:r>
          </w:p>
        </w:tc>
      </w:tr>
      <w:tr w:rsidR="006754BE" w:rsidRPr="004161F6" w14:paraId="2572E3E6" w14:textId="77777777" w:rsidTr="00C543F3">
        <w:tc>
          <w:tcPr>
            <w:tcW w:w="1526" w:type="dxa"/>
          </w:tcPr>
          <w:p w14:paraId="3D580AF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NO</w:t>
            </w:r>
            <w:r w:rsidRPr="007D24CF">
              <w:rPr>
                <w:rFonts w:eastAsia="Calibri" w:cs="Calibri"/>
                <w:b/>
                <w:sz w:val="20"/>
                <w:szCs w:val="20"/>
                <w:vertAlign w:val="subscript"/>
              </w:rPr>
              <w:t>x</w:t>
            </w:r>
          </w:p>
        </w:tc>
        <w:tc>
          <w:tcPr>
            <w:tcW w:w="7092" w:type="dxa"/>
          </w:tcPr>
          <w:p w14:paraId="75AA685E" w14:textId="77777777" w:rsidR="006754BE" w:rsidRPr="000E3ABE" w:rsidRDefault="006754BE" w:rsidP="00C543F3">
            <w:pPr>
              <w:pStyle w:val="BodyText"/>
              <w:spacing w:before="20" w:after="20" w:line="260" w:lineRule="atLeast"/>
              <w:rPr>
                <w:rFonts w:eastAsia="Calibri" w:cs="Calibri"/>
                <w:sz w:val="20"/>
                <w:szCs w:val="20"/>
              </w:rPr>
            </w:pPr>
            <w:r w:rsidRPr="000E3ABE">
              <w:rPr>
                <w:rFonts w:eastAsia="Calibri" w:cs="Calibri"/>
                <w:sz w:val="20"/>
                <w:szCs w:val="20"/>
              </w:rPr>
              <w:t>nitrogen oxides (other than nitrous oxide)</w:t>
            </w:r>
          </w:p>
        </w:tc>
      </w:tr>
      <w:tr w:rsidR="006754BE" w:rsidRPr="004161F6" w14:paraId="2DA57C41" w14:textId="77777777" w:rsidTr="00C543F3">
        <w:tc>
          <w:tcPr>
            <w:tcW w:w="1526" w:type="dxa"/>
          </w:tcPr>
          <w:p w14:paraId="439DAAD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NZAS</w:t>
            </w:r>
          </w:p>
        </w:tc>
        <w:tc>
          <w:tcPr>
            <w:tcW w:w="7092" w:type="dxa"/>
          </w:tcPr>
          <w:p w14:paraId="12B10F52" w14:textId="77777777" w:rsidR="006754BE" w:rsidRPr="00990936" w:rsidRDefault="006754BE" w:rsidP="00C543F3">
            <w:pPr>
              <w:pStyle w:val="BodyText"/>
              <w:spacing w:before="20" w:after="20" w:line="260" w:lineRule="atLeast"/>
              <w:rPr>
                <w:rFonts w:eastAsia="Calibri" w:cs="Calibri"/>
                <w:sz w:val="20"/>
                <w:szCs w:val="20"/>
              </w:rPr>
            </w:pPr>
            <w:r w:rsidRPr="00990936">
              <w:rPr>
                <w:rFonts w:cs="Calibri"/>
                <w:sz w:val="20"/>
                <w:szCs w:val="20"/>
              </w:rPr>
              <w:t>New Zealand Aluminium Smelters Limited</w:t>
            </w:r>
          </w:p>
        </w:tc>
      </w:tr>
      <w:tr w:rsidR="006754BE" w:rsidRPr="00921AA4" w14:paraId="41DBAD5F" w14:textId="77777777" w:rsidTr="00C543F3">
        <w:tc>
          <w:tcPr>
            <w:tcW w:w="1526" w:type="dxa"/>
          </w:tcPr>
          <w:p w14:paraId="409C9DA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NZ ETS </w:t>
            </w:r>
          </w:p>
        </w:tc>
        <w:tc>
          <w:tcPr>
            <w:tcW w:w="7092" w:type="dxa"/>
          </w:tcPr>
          <w:p w14:paraId="535A14C5" w14:textId="77777777" w:rsidR="006754BE" w:rsidRPr="00921AA4" w:rsidRDefault="006754BE" w:rsidP="00C543F3">
            <w:pPr>
              <w:pStyle w:val="BodyText"/>
              <w:spacing w:before="20" w:after="20" w:line="260" w:lineRule="atLeast"/>
              <w:rPr>
                <w:rFonts w:eastAsia="Calibri" w:cs="Calibri"/>
                <w:sz w:val="20"/>
                <w:szCs w:val="20"/>
              </w:rPr>
            </w:pPr>
            <w:r w:rsidRPr="00921AA4">
              <w:rPr>
                <w:rFonts w:eastAsia="Calibri" w:cs="Calibri"/>
                <w:sz w:val="20"/>
                <w:szCs w:val="20"/>
              </w:rPr>
              <w:t>New Zealand Emissions Trading Scheme</w:t>
            </w:r>
          </w:p>
        </w:tc>
      </w:tr>
      <w:tr w:rsidR="006754BE" w:rsidRPr="004161F6" w14:paraId="7C7E5799" w14:textId="77777777" w:rsidTr="00C543F3">
        <w:tc>
          <w:tcPr>
            <w:tcW w:w="1526" w:type="dxa"/>
          </w:tcPr>
          <w:p w14:paraId="2396ED4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NZLRI</w:t>
            </w:r>
          </w:p>
        </w:tc>
        <w:tc>
          <w:tcPr>
            <w:tcW w:w="7092" w:type="dxa"/>
          </w:tcPr>
          <w:p w14:paraId="7018A4FC" w14:textId="77777777" w:rsidR="006754BE" w:rsidRPr="00B160FB" w:rsidRDefault="006754BE" w:rsidP="00C543F3">
            <w:pPr>
              <w:pStyle w:val="BodyText"/>
              <w:spacing w:before="20" w:after="20" w:line="260" w:lineRule="atLeast"/>
              <w:rPr>
                <w:rFonts w:eastAsia="Calibri" w:cs="Calibri"/>
                <w:sz w:val="20"/>
                <w:szCs w:val="20"/>
              </w:rPr>
            </w:pPr>
            <w:r w:rsidRPr="00B160FB">
              <w:rPr>
                <w:rFonts w:eastAsia="Calibri" w:cs="Calibri"/>
                <w:sz w:val="20"/>
                <w:szCs w:val="20"/>
              </w:rPr>
              <w:t>New Zealand Land Resource Inventory</w:t>
            </w:r>
          </w:p>
        </w:tc>
      </w:tr>
      <w:tr w:rsidR="006754BE" w:rsidRPr="004161F6" w14:paraId="34239BB5" w14:textId="77777777" w:rsidTr="00C543F3">
        <w:tc>
          <w:tcPr>
            <w:tcW w:w="1526" w:type="dxa"/>
          </w:tcPr>
          <w:p w14:paraId="15F372C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NZU</w:t>
            </w:r>
          </w:p>
        </w:tc>
        <w:tc>
          <w:tcPr>
            <w:tcW w:w="7092" w:type="dxa"/>
          </w:tcPr>
          <w:p w14:paraId="37863ECA" w14:textId="77777777" w:rsidR="006754BE" w:rsidRPr="00902D59" w:rsidRDefault="006754BE" w:rsidP="00C543F3">
            <w:pPr>
              <w:pStyle w:val="BodyText"/>
              <w:spacing w:before="20" w:after="20" w:line="260" w:lineRule="atLeast"/>
              <w:rPr>
                <w:rFonts w:eastAsia="Calibri" w:cs="Calibri"/>
                <w:sz w:val="20"/>
                <w:szCs w:val="20"/>
              </w:rPr>
            </w:pPr>
            <w:r w:rsidRPr="00902D59">
              <w:rPr>
                <w:rFonts w:eastAsia="Calibri" w:cs="Calibri"/>
                <w:sz w:val="20"/>
                <w:szCs w:val="20"/>
              </w:rPr>
              <w:t>New Zealand Unit</w:t>
            </w:r>
          </w:p>
        </w:tc>
      </w:tr>
      <w:tr w:rsidR="006754BE" w:rsidRPr="004161F6" w14:paraId="6B1333F6" w14:textId="77777777" w:rsidTr="00C543F3">
        <w:tc>
          <w:tcPr>
            <w:tcW w:w="1526" w:type="dxa"/>
          </w:tcPr>
          <w:p w14:paraId="55193DC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ODS</w:t>
            </w:r>
          </w:p>
        </w:tc>
        <w:tc>
          <w:tcPr>
            <w:tcW w:w="7092" w:type="dxa"/>
          </w:tcPr>
          <w:p w14:paraId="4464D383" w14:textId="77777777" w:rsidR="006754BE" w:rsidRPr="00264433" w:rsidRDefault="006754BE" w:rsidP="00C543F3">
            <w:pPr>
              <w:pStyle w:val="BodyText"/>
              <w:spacing w:before="20" w:after="20" w:line="260" w:lineRule="atLeast"/>
              <w:rPr>
                <w:rFonts w:eastAsia="Calibri" w:cs="Calibri"/>
                <w:sz w:val="20"/>
                <w:szCs w:val="20"/>
              </w:rPr>
            </w:pPr>
            <w:r w:rsidRPr="00264433">
              <w:rPr>
                <w:rFonts w:eastAsia="Calibri" w:cs="Calibri"/>
                <w:sz w:val="20"/>
                <w:szCs w:val="20"/>
              </w:rPr>
              <w:t>ozone depleting substances</w:t>
            </w:r>
          </w:p>
        </w:tc>
      </w:tr>
      <w:tr w:rsidR="006754BE" w:rsidRPr="004161F6" w14:paraId="6CDE2732" w14:textId="77777777" w:rsidTr="00C543F3">
        <w:tc>
          <w:tcPr>
            <w:tcW w:w="1526" w:type="dxa"/>
          </w:tcPr>
          <w:p w14:paraId="5ABD495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OECD</w:t>
            </w:r>
          </w:p>
        </w:tc>
        <w:tc>
          <w:tcPr>
            <w:tcW w:w="7092" w:type="dxa"/>
          </w:tcPr>
          <w:p w14:paraId="2AB495A8" w14:textId="77777777" w:rsidR="006754BE" w:rsidRPr="003D1E61" w:rsidRDefault="006754BE" w:rsidP="00C543F3">
            <w:pPr>
              <w:pStyle w:val="BodyText"/>
              <w:spacing w:before="20" w:after="20" w:line="260" w:lineRule="atLeast"/>
              <w:rPr>
                <w:rFonts w:eastAsia="Calibri" w:cs="Calibri"/>
                <w:sz w:val="20"/>
                <w:szCs w:val="20"/>
              </w:rPr>
            </w:pPr>
            <w:r w:rsidRPr="003D1E61">
              <w:rPr>
                <w:rFonts w:eastAsia="Calibri" w:cs="Calibri"/>
                <w:sz w:val="20"/>
                <w:szCs w:val="20"/>
              </w:rPr>
              <w:t xml:space="preserve">Organisation for Economic Co-operation and Development </w:t>
            </w:r>
          </w:p>
        </w:tc>
      </w:tr>
      <w:tr w:rsidR="006754BE" w:rsidRPr="004161F6" w14:paraId="38CB4901" w14:textId="77777777" w:rsidTr="00C543F3">
        <w:tc>
          <w:tcPr>
            <w:tcW w:w="1526" w:type="dxa"/>
          </w:tcPr>
          <w:p w14:paraId="219288DA" w14:textId="77777777" w:rsidR="006754BE" w:rsidRPr="007D24CF" w:rsidRDefault="006754BE" w:rsidP="00C543F3">
            <w:pPr>
              <w:pStyle w:val="BodyText"/>
              <w:spacing w:before="20" w:after="20" w:line="260" w:lineRule="atLeast"/>
              <w:rPr>
                <w:rFonts w:eastAsia="Calibri" w:cs="Calibri"/>
                <w:b/>
                <w:sz w:val="20"/>
                <w:szCs w:val="20"/>
                <w:highlight w:val="yellow"/>
              </w:rPr>
            </w:pPr>
            <w:r w:rsidRPr="007D24CF">
              <w:rPr>
                <w:rFonts w:eastAsia="Calibri" w:cs="Calibri"/>
                <w:b/>
                <w:sz w:val="20"/>
                <w:szCs w:val="20"/>
              </w:rPr>
              <w:t>Ox</w:t>
            </w:r>
          </w:p>
        </w:tc>
        <w:tc>
          <w:tcPr>
            <w:tcW w:w="7092" w:type="dxa"/>
          </w:tcPr>
          <w:p w14:paraId="0D98C507" w14:textId="77777777" w:rsidR="006754BE" w:rsidRPr="004161F6" w:rsidRDefault="006754BE" w:rsidP="00C543F3">
            <w:pPr>
              <w:pStyle w:val="BodyText"/>
              <w:spacing w:before="20" w:after="20" w:line="260" w:lineRule="atLeast"/>
              <w:rPr>
                <w:rFonts w:eastAsia="Calibri" w:cs="Calibri"/>
                <w:sz w:val="20"/>
                <w:szCs w:val="20"/>
                <w:highlight w:val="yellow"/>
              </w:rPr>
            </w:pPr>
            <w:r w:rsidRPr="00363C3D">
              <w:rPr>
                <w:rFonts w:eastAsia="Calibri" w:cs="Calibri"/>
                <w:sz w:val="20"/>
                <w:szCs w:val="20"/>
              </w:rPr>
              <w:t xml:space="preserve">oxidation factor </w:t>
            </w:r>
          </w:p>
        </w:tc>
      </w:tr>
      <w:tr w:rsidR="006754BE" w:rsidRPr="004161F6" w14:paraId="6BAB3300" w14:textId="77777777" w:rsidTr="00C543F3">
        <w:tc>
          <w:tcPr>
            <w:tcW w:w="1526" w:type="dxa"/>
          </w:tcPr>
          <w:p w14:paraId="69BC6C53"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PFC</w:t>
            </w:r>
          </w:p>
        </w:tc>
        <w:tc>
          <w:tcPr>
            <w:tcW w:w="7092" w:type="dxa"/>
          </w:tcPr>
          <w:p w14:paraId="7C94987F" w14:textId="77777777" w:rsidR="006754BE" w:rsidRPr="0000146B" w:rsidRDefault="006754BE" w:rsidP="00C543F3">
            <w:pPr>
              <w:pStyle w:val="BodyText"/>
              <w:spacing w:before="20" w:after="20" w:line="260" w:lineRule="atLeast"/>
              <w:rPr>
                <w:rFonts w:eastAsia="Calibri" w:cs="Calibri"/>
                <w:sz w:val="20"/>
                <w:szCs w:val="20"/>
              </w:rPr>
            </w:pPr>
            <w:r w:rsidRPr="0000146B">
              <w:rPr>
                <w:rFonts w:eastAsia="Calibri" w:cs="Calibri"/>
                <w:sz w:val="20"/>
                <w:szCs w:val="20"/>
              </w:rPr>
              <w:t>perfluorocarbon</w:t>
            </w:r>
          </w:p>
        </w:tc>
      </w:tr>
      <w:tr w:rsidR="006754BE" w:rsidRPr="004161F6" w14:paraId="79B7FAF7" w14:textId="77777777" w:rsidTr="00C543F3">
        <w:tc>
          <w:tcPr>
            <w:tcW w:w="1526" w:type="dxa"/>
          </w:tcPr>
          <w:p w14:paraId="21D0726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PJ</w:t>
            </w:r>
          </w:p>
        </w:tc>
        <w:tc>
          <w:tcPr>
            <w:tcW w:w="7092" w:type="dxa"/>
          </w:tcPr>
          <w:p w14:paraId="54C08B97" w14:textId="77777777" w:rsidR="006754BE" w:rsidRPr="00C3408A" w:rsidRDefault="006754BE" w:rsidP="00C543F3">
            <w:pPr>
              <w:pStyle w:val="BodyText"/>
              <w:spacing w:before="20" w:after="20" w:line="260" w:lineRule="atLeast"/>
              <w:rPr>
                <w:rFonts w:eastAsia="Calibri" w:cs="Calibri"/>
                <w:sz w:val="20"/>
                <w:szCs w:val="20"/>
              </w:rPr>
            </w:pPr>
            <w:r w:rsidRPr="00C3408A">
              <w:rPr>
                <w:rFonts w:eastAsia="Calibri" w:cs="Calibri"/>
                <w:sz w:val="20"/>
                <w:szCs w:val="20"/>
              </w:rPr>
              <w:t>petajoule(s)</w:t>
            </w:r>
          </w:p>
        </w:tc>
      </w:tr>
      <w:tr w:rsidR="006754BE" w:rsidRPr="004161F6" w14:paraId="4FA25F65" w14:textId="77777777" w:rsidTr="00C543F3">
        <w:tc>
          <w:tcPr>
            <w:tcW w:w="1526" w:type="dxa"/>
          </w:tcPr>
          <w:p w14:paraId="2223D124" w14:textId="77777777" w:rsidR="006754BE" w:rsidRPr="007D24CF" w:rsidRDefault="006754BE" w:rsidP="00C543F3">
            <w:pPr>
              <w:pStyle w:val="BodyText"/>
              <w:spacing w:before="20" w:after="20" w:line="260" w:lineRule="atLeast"/>
              <w:rPr>
                <w:rFonts w:eastAsia="Calibri" w:cs="Calibri"/>
                <w:b/>
                <w:sz w:val="20"/>
                <w:szCs w:val="20"/>
                <w:highlight w:val="yellow"/>
              </w:rPr>
            </w:pPr>
            <w:r w:rsidRPr="007D24CF">
              <w:rPr>
                <w:rFonts w:eastAsia="Calibri" w:cs="Calibri"/>
                <w:b/>
                <w:sz w:val="20"/>
                <w:szCs w:val="20"/>
              </w:rPr>
              <w:t>PFS</w:t>
            </w:r>
          </w:p>
        </w:tc>
        <w:tc>
          <w:tcPr>
            <w:tcW w:w="7092" w:type="dxa"/>
          </w:tcPr>
          <w:p w14:paraId="531B0BD9" w14:textId="77777777" w:rsidR="006754BE" w:rsidRPr="004161F6" w:rsidRDefault="006754BE" w:rsidP="00C543F3">
            <w:pPr>
              <w:pStyle w:val="BodyText"/>
              <w:spacing w:before="20" w:after="20" w:line="260" w:lineRule="atLeast"/>
              <w:rPr>
                <w:rFonts w:eastAsia="Calibri" w:cs="Calibri"/>
                <w:sz w:val="20"/>
                <w:szCs w:val="20"/>
                <w:highlight w:val="yellow"/>
              </w:rPr>
            </w:pPr>
            <w:r w:rsidRPr="007D70EF">
              <w:rPr>
                <w:rFonts w:eastAsia="Calibri" w:cs="Calibri"/>
                <w:sz w:val="20"/>
                <w:szCs w:val="20"/>
              </w:rPr>
              <w:t>polyferric sulphate</w:t>
            </w:r>
          </w:p>
        </w:tc>
      </w:tr>
      <w:tr w:rsidR="006754BE" w:rsidRPr="004161F6" w14:paraId="4E26A49F" w14:textId="77777777" w:rsidTr="00C543F3">
        <w:tc>
          <w:tcPr>
            <w:tcW w:w="1526" w:type="dxa"/>
          </w:tcPr>
          <w:p w14:paraId="23327E2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PR&amp;P</w:t>
            </w:r>
          </w:p>
        </w:tc>
        <w:tc>
          <w:tcPr>
            <w:tcW w:w="7092" w:type="dxa"/>
          </w:tcPr>
          <w:p w14:paraId="631F9867" w14:textId="77777777" w:rsidR="006754BE" w:rsidRPr="0045018A" w:rsidRDefault="006754BE" w:rsidP="00C543F3">
            <w:pPr>
              <w:pStyle w:val="BodyText"/>
              <w:spacing w:before="20" w:after="20" w:line="260" w:lineRule="atLeast"/>
              <w:rPr>
                <w:rFonts w:eastAsia="Calibri" w:cs="Calibri"/>
                <w:sz w:val="20"/>
                <w:szCs w:val="20"/>
              </w:rPr>
            </w:pPr>
            <w:r w:rsidRPr="00291ABB">
              <w:rPr>
                <w:rFonts w:eastAsia="Calibri" w:cs="Calibri"/>
                <w:sz w:val="20"/>
                <w:szCs w:val="20"/>
              </w:rPr>
              <w:t>Pasture, Range and Paddock</w:t>
            </w:r>
          </w:p>
        </w:tc>
      </w:tr>
      <w:tr w:rsidR="006754BE" w:rsidRPr="004161F6" w14:paraId="28033199" w14:textId="77777777" w:rsidTr="00C543F3">
        <w:tc>
          <w:tcPr>
            <w:tcW w:w="1526" w:type="dxa"/>
          </w:tcPr>
          <w:p w14:paraId="3B86559B"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PSP</w:t>
            </w:r>
          </w:p>
        </w:tc>
        <w:tc>
          <w:tcPr>
            <w:tcW w:w="7092" w:type="dxa"/>
          </w:tcPr>
          <w:p w14:paraId="2B8F0017" w14:textId="77777777" w:rsidR="006754BE" w:rsidRPr="0045018A" w:rsidRDefault="006754BE" w:rsidP="00C543F3">
            <w:pPr>
              <w:pStyle w:val="BodyText"/>
              <w:spacing w:before="20" w:after="20" w:line="260" w:lineRule="atLeast"/>
              <w:rPr>
                <w:rFonts w:eastAsia="Calibri" w:cs="Calibri"/>
                <w:sz w:val="20"/>
                <w:szCs w:val="20"/>
              </w:rPr>
            </w:pPr>
            <w:r w:rsidRPr="0045018A">
              <w:rPr>
                <w:rFonts w:eastAsia="Calibri" w:cs="Calibri"/>
                <w:sz w:val="20"/>
                <w:szCs w:val="20"/>
              </w:rPr>
              <w:t>permanent sample plot</w:t>
            </w:r>
          </w:p>
        </w:tc>
      </w:tr>
      <w:tr w:rsidR="006754BE" w:rsidRPr="004161F6" w14:paraId="44279098" w14:textId="77777777" w:rsidTr="00C543F3">
        <w:tc>
          <w:tcPr>
            <w:tcW w:w="1526" w:type="dxa"/>
          </w:tcPr>
          <w:p w14:paraId="1D9279C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PV</w:t>
            </w:r>
          </w:p>
        </w:tc>
        <w:tc>
          <w:tcPr>
            <w:tcW w:w="7092" w:type="dxa"/>
          </w:tcPr>
          <w:p w14:paraId="175572F3" w14:textId="77777777" w:rsidR="006754BE" w:rsidRPr="006424C2" w:rsidRDefault="006754BE" w:rsidP="00C543F3">
            <w:pPr>
              <w:pStyle w:val="BodyText"/>
              <w:spacing w:before="20" w:after="20" w:line="260" w:lineRule="atLeast"/>
              <w:rPr>
                <w:rFonts w:eastAsia="Calibri" w:cs="Calibri"/>
                <w:sz w:val="20"/>
                <w:szCs w:val="20"/>
              </w:rPr>
            </w:pPr>
            <w:r w:rsidRPr="006424C2">
              <w:rPr>
                <w:rFonts w:eastAsia="Calibri" w:cs="Calibri"/>
                <w:sz w:val="20"/>
                <w:szCs w:val="20"/>
              </w:rPr>
              <w:t>photovoltaics</w:t>
            </w:r>
          </w:p>
        </w:tc>
      </w:tr>
      <w:tr w:rsidR="006754BE" w:rsidRPr="008D5283" w14:paraId="0241A24D" w14:textId="77777777" w:rsidTr="00C543F3">
        <w:tc>
          <w:tcPr>
            <w:tcW w:w="1526" w:type="dxa"/>
          </w:tcPr>
          <w:p w14:paraId="3CE2F98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QA</w:t>
            </w:r>
          </w:p>
        </w:tc>
        <w:tc>
          <w:tcPr>
            <w:tcW w:w="7092" w:type="dxa"/>
          </w:tcPr>
          <w:p w14:paraId="6A8B6F81" w14:textId="77777777" w:rsidR="006754BE" w:rsidRPr="008D5283" w:rsidRDefault="006754BE" w:rsidP="00C543F3">
            <w:pPr>
              <w:pStyle w:val="BodyText"/>
              <w:spacing w:before="20" w:after="20" w:line="260" w:lineRule="atLeast"/>
              <w:rPr>
                <w:rFonts w:eastAsia="Calibri" w:cs="Calibri"/>
                <w:sz w:val="20"/>
                <w:szCs w:val="20"/>
              </w:rPr>
            </w:pPr>
            <w:r w:rsidRPr="008D5283">
              <w:rPr>
                <w:rFonts w:eastAsia="Calibri" w:cs="Calibri"/>
                <w:sz w:val="20"/>
                <w:szCs w:val="20"/>
              </w:rPr>
              <w:t>quality assurance</w:t>
            </w:r>
          </w:p>
        </w:tc>
      </w:tr>
      <w:tr w:rsidR="006754BE" w:rsidRPr="008D5283" w14:paraId="00D1C354" w14:textId="77777777" w:rsidTr="00C543F3">
        <w:tc>
          <w:tcPr>
            <w:tcW w:w="1526" w:type="dxa"/>
          </w:tcPr>
          <w:p w14:paraId="2AFC0FC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QC </w:t>
            </w:r>
          </w:p>
        </w:tc>
        <w:tc>
          <w:tcPr>
            <w:tcW w:w="7092" w:type="dxa"/>
          </w:tcPr>
          <w:p w14:paraId="22F735A5" w14:textId="77777777" w:rsidR="006754BE" w:rsidRPr="008D5283" w:rsidRDefault="006754BE" w:rsidP="00C543F3">
            <w:pPr>
              <w:pStyle w:val="BodyText"/>
              <w:spacing w:before="20" w:after="20" w:line="260" w:lineRule="atLeast"/>
              <w:rPr>
                <w:rFonts w:eastAsia="Calibri" w:cs="Calibri"/>
                <w:sz w:val="20"/>
                <w:szCs w:val="20"/>
              </w:rPr>
            </w:pPr>
            <w:r w:rsidRPr="008D5283">
              <w:rPr>
                <w:rFonts w:eastAsia="Calibri" w:cs="Calibri"/>
                <w:sz w:val="20"/>
                <w:szCs w:val="20"/>
              </w:rPr>
              <w:t>quality control</w:t>
            </w:r>
          </w:p>
        </w:tc>
      </w:tr>
      <w:tr w:rsidR="006754BE" w:rsidRPr="004161F6" w14:paraId="08E5AFC4" w14:textId="77777777" w:rsidTr="00C543F3">
        <w:tc>
          <w:tcPr>
            <w:tcW w:w="1526" w:type="dxa"/>
          </w:tcPr>
          <w:p w14:paraId="0A3F0C7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R</w:t>
            </w:r>
            <w:r w:rsidRPr="007D24CF">
              <w:rPr>
                <w:rFonts w:cs="Calibri"/>
                <w:b/>
                <w:sz w:val="20"/>
                <w:szCs w:val="20"/>
                <w:vertAlign w:val="subscript"/>
              </w:rPr>
              <w:t>BG</w:t>
            </w:r>
          </w:p>
        </w:tc>
        <w:tc>
          <w:tcPr>
            <w:tcW w:w="7092" w:type="dxa"/>
          </w:tcPr>
          <w:p w14:paraId="2FCDE562" w14:textId="77777777" w:rsidR="006754BE" w:rsidRPr="00E86F04" w:rsidRDefault="006754BE" w:rsidP="00C543F3">
            <w:pPr>
              <w:pStyle w:val="BodyText"/>
              <w:spacing w:before="20" w:after="20" w:line="260" w:lineRule="atLeast"/>
              <w:rPr>
                <w:rFonts w:eastAsia="Calibri" w:cs="Calibri"/>
                <w:sz w:val="20"/>
                <w:szCs w:val="20"/>
              </w:rPr>
            </w:pPr>
            <w:r w:rsidRPr="00E86F04">
              <w:rPr>
                <w:rFonts w:cs="Calibri"/>
                <w:sz w:val="20"/>
                <w:szCs w:val="20"/>
              </w:rPr>
              <w:t>ratio of below-ground residues to the harvest yield</w:t>
            </w:r>
          </w:p>
        </w:tc>
      </w:tr>
      <w:tr w:rsidR="006754BE" w:rsidRPr="004161F6" w14:paraId="5D7A8306" w14:textId="77777777" w:rsidTr="00C543F3">
        <w:tc>
          <w:tcPr>
            <w:tcW w:w="1526" w:type="dxa"/>
          </w:tcPr>
          <w:p w14:paraId="6E94B52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RGG</w:t>
            </w:r>
          </w:p>
        </w:tc>
        <w:tc>
          <w:tcPr>
            <w:tcW w:w="7092" w:type="dxa"/>
          </w:tcPr>
          <w:p w14:paraId="59F66B2D" w14:textId="77777777" w:rsidR="006754BE" w:rsidRPr="0098604B" w:rsidRDefault="006754BE" w:rsidP="00C543F3">
            <w:pPr>
              <w:pStyle w:val="BodyText"/>
              <w:spacing w:before="20" w:after="20" w:line="260" w:lineRule="atLeast"/>
              <w:rPr>
                <w:rFonts w:eastAsia="Calibri" w:cs="Calibri"/>
                <w:sz w:val="20"/>
                <w:szCs w:val="20"/>
              </w:rPr>
            </w:pPr>
            <w:r w:rsidRPr="0098604B">
              <w:rPr>
                <w:rFonts w:eastAsia="Calibri" w:cs="Calibri"/>
                <w:sz w:val="20"/>
                <w:szCs w:val="20"/>
              </w:rPr>
              <w:t xml:space="preserve">Reporting Governance Group </w:t>
            </w:r>
          </w:p>
        </w:tc>
      </w:tr>
      <w:tr w:rsidR="006754BE" w:rsidRPr="004161F6" w14:paraId="5C588F93" w14:textId="77777777" w:rsidTr="00C543F3">
        <w:tc>
          <w:tcPr>
            <w:tcW w:w="1526" w:type="dxa"/>
          </w:tcPr>
          <w:p w14:paraId="400169A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SA</w:t>
            </w:r>
          </w:p>
        </w:tc>
        <w:tc>
          <w:tcPr>
            <w:tcW w:w="7092" w:type="dxa"/>
          </w:tcPr>
          <w:p w14:paraId="113FEC4A" w14:textId="77777777" w:rsidR="006754BE" w:rsidRPr="00894F9C" w:rsidRDefault="006754BE" w:rsidP="00C543F3">
            <w:pPr>
              <w:pStyle w:val="BodyText"/>
              <w:spacing w:before="20" w:after="20" w:line="260" w:lineRule="atLeast"/>
              <w:rPr>
                <w:rFonts w:eastAsia="Calibri" w:cs="Calibri"/>
                <w:sz w:val="20"/>
                <w:szCs w:val="20"/>
              </w:rPr>
            </w:pPr>
            <w:r w:rsidRPr="00920E27">
              <w:rPr>
                <w:rFonts w:eastAsia="Calibri" w:cs="Calibri"/>
                <w:sz w:val="20"/>
                <w:szCs w:val="20"/>
              </w:rPr>
              <w:t>sulphuric acid</w:t>
            </w:r>
          </w:p>
        </w:tc>
      </w:tr>
      <w:tr w:rsidR="006754BE" w:rsidRPr="004161F6" w14:paraId="705E4456" w14:textId="77777777" w:rsidTr="00C543F3">
        <w:tc>
          <w:tcPr>
            <w:tcW w:w="1526" w:type="dxa"/>
          </w:tcPr>
          <w:p w14:paraId="4C88D930"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SF</w:t>
            </w:r>
            <w:r w:rsidRPr="007D24CF">
              <w:rPr>
                <w:rFonts w:eastAsia="Calibri" w:cs="Calibri"/>
                <w:b/>
                <w:sz w:val="20"/>
                <w:szCs w:val="20"/>
                <w:vertAlign w:val="subscript"/>
              </w:rPr>
              <w:t>6</w:t>
            </w:r>
          </w:p>
        </w:tc>
        <w:tc>
          <w:tcPr>
            <w:tcW w:w="7092" w:type="dxa"/>
          </w:tcPr>
          <w:p w14:paraId="3900D7A9" w14:textId="77777777" w:rsidR="006754BE" w:rsidRPr="00894F9C" w:rsidRDefault="006754BE" w:rsidP="00C543F3">
            <w:pPr>
              <w:pStyle w:val="BodyText"/>
              <w:spacing w:before="20" w:after="20" w:line="260" w:lineRule="atLeast"/>
              <w:rPr>
                <w:rFonts w:eastAsia="Calibri" w:cs="Calibri"/>
                <w:sz w:val="20"/>
                <w:szCs w:val="20"/>
              </w:rPr>
            </w:pPr>
            <w:r w:rsidRPr="00894F9C">
              <w:rPr>
                <w:rFonts w:eastAsia="Calibri" w:cs="Calibri"/>
                <w:sz w:val="20"/>
                <w:szCs w:val="20"/>
              </w:rPr>
              <w:t>sulphur hexafluoride</w:t>
            </w:r>
          </w:p>
        </w:tc>
      </w:tr>
      <w:tr w:rsidR="006754BE" w:rsidRPr="004161F6" w14:paraId="5E6CFA0B" w14:textId="77777777" w:rsidTr="00C543F3">
        <w:tc>
          <w:tcPr>
            <w:tcW w:w="1526" w:type="dxa"/>
          </w:tcPr>
          <w:p w14:paraId="6B707E3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SO</w:t>
            </w:r>
            <w:r w:rsidRPr="007D24CF">
              <w:rPr>
                <w:rFonts w:eastAsia="Calibri" w:cs="Calibri"/>
                <w:b/>
                <w:sz w:val="20"/>
                <w:szCs w:val="20"/>
                <w:vertAlign w:val="subscript"/>
              </w:rPr>
              <w:t>2</w:t>
            </w:r>
          </w:p>
        </w:tc>
        <w:tc>
          <w:tcPr>
            <w:tcW w:w="7092" w:type="dxa"/>
          </w:tcPr>
          <w:p w14:paraId="55A60DD1" w14:textId="77777777" w:rsidR="006754BE" w:rsidRPr="00990936" w:rsidRDefault="006754BE" w:rsidP="00C543F3">
            <w:pPr>
              <w:pStyle w:val="BodyText"/>
              <w:spacing w:before="20" w:after="20" w:line="260" w:lineRule="atLeast"/>
              <w:rPr>
                <w:rFonts w:eastAsia="Calibri" w:cs="Calibri"/>
                <w:sz w:val="20"/>
                <w:szCs w:val="20"/>
              </w:rPr>
            </w:pPr>
            <w:r w:rsidRPr="00990936">
              <w:rPr>
                <w:rFonts w:eastAsia="Calibri" w:cs="Calibri"/>
                <w:sz w:val="20"/>
                <w:szCs w:val="20"/>
              </w:rPr>
              <w:t>sulphur dioxide</w:t>
            </w:r>
          </w:p>
        </w:tc>
      </w:tr>
      <w:tr w:rsidR="006754BE" w:rsidRPr="004161F6" w14:paraId="273BCD04" w14:textId="77777777" w:rsidTr="00C543F3">
        <w:tc>
          <w:tcPr>
            <w:tcW w:w="1526" w:type="dxa"/>
          </w:tcPr>
          <w:p w14:paraId="15C1602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SOC</w:t>
            </w:r>
          </w:p>
        </w:tc>
        <w:tc>
          <w:tcPr>
            <w:tcW w:w="7092" w:type="dxa"/>
          </w:tcPr>
          <w:p w14:paraId="369257B7" w14:textId="77777777" w:rsidR="006754BE" w:rsidRPr="00F3541D" w:rsidRDefault="006754BE" w:rsidP="00C543F3">
            <w:pPr>
              <w:pStyle w:val="BodyText"/>
              <w:spacing w:before="20" w:after="20" w:line="260" w:lineRule="atLeast"/>
              <w:rPr>
                <w:rFonts w:eastAsia="Calibri" w:cs="Calibri"/>
                <w:sz w:val="20"/>
                <w:szCs w:val="20"/>
              </w:rPr>
            </w:pPr>
            <w:r w:rsidRPr="00F3541D">
              <w:rPr>
                <w:rFonts w:eastAsia="Calibri" w:cs="Calibri"/>
                <w:sz w:val="20"/>
                <w:szCs w:val="20"/>
              </w:rPr>
              <w:t>soil organic carbon</w:t>
            </w:r>
          </w:p>
        </w:tc>
      </w:tr>
      <w:tr w:rsidR="006754BE" w:rsidRPr="004161F6" w14:paraId="732DCB40" w14:textId="77777777" w:rsidTr="00C543F3">
        <w:tc>
          <w:tcPr>
            <w:tcW w:w="1526" w:type="dxa"/>
          </w:tcPr>
          <w:p w14:paraId="3C34DB8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Soil CMS</w:t>
            </w:r>
          </w:p>
        </w:tc>
        <w:tc>
          <w:tcPr>
            <w:tcW w:w="7092" w:type="dxa"/>
          </w:tcPr>
          <w:p w14:paraId="52D5E7E3" w14:textId="77777777" w:rsidR="006754BE" w:rsidRPr="00893A6D" w:rsidRDefault="006754BE" w:rsidP="00C543F3">
            <w:pPr>
              <w:pStyle w:val="BodyText"/>
              <w:spacing w:before="20" w:after="20" w:line="260" w:lineRule="atLeast"/>
              <w:rPr>
                <w:rFonts w:eastAsia="Calibri" w:cs="Calibri"/>
                <w:sz w:val="20"/>
                <w:szCs w:val="20"/>
              </w:rPr>
            </w:pPr>
            <w:r w:rsidRPr="00893A6D">
              <w:rPr>
                <w:rFonts w:eastAsia="Calibri" w:cs="Calibri"/>
                <w:sz w:val="20"/>
                <w:szCs w:val="20"/>
              </w:rPr>
              <w:t>Soil Carbon Monitoring System</w:t>
            </w:r>
          </w:p>
        </w:tc>
      </w:tr>
      <w:tr w:rsidR="006754BE" w:rsidRPr="004161F6" w14:paraId="44613F65" w14:textId="77777777" w:rsidTr="00C543F3">
        <w:tc>
          <w:tcPr>
            <w:tcW w:w="1526" w:type="dxa"/>
          </w:tcPr>
          <w:p w14:paraId="3EDB43A5"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Aptos" w:cs="Calibri"/>
                <w:b/>
                <w:sz w:val="20"/>
                <w:szCs w:val="20"/>
              </w:rPr>
              <w:t>SO</w:t>
            </w:r>
            <w:r w:rsidRPr="007D24CF">
              <w:rPr>
                <w:rFonts w:eastAsia="Aptos" w:cs="Calibri"/>
                <w:b/>
                <w:sz w:val="20"/>
                <w:szCs w:val="20"/>
                <w:vertAlign w:val="subscript"/>
              </w:rPr>
              <w:t>X</w:t>
            </w:r>
          </w:p>
        </w:tc>
        <w:tc>
          <w:tcPr>
            <w:tcW w:w="7092" w:type="dxa"/>
          </w:tcPr>
          <w:p w14:paraId="7CBEF245" w14:textId="77777777" w:rsidR="006754BE" w:rsidRPr="00990936" w:rsidRDefault="006754BE" w:rsidP="00C543F3">
            <w:pPr>
              <w:pStyle w:val="BodyText"/>
              <w:spacing w:before="20" w:after="20" w:line="260" w:lineRule="atLeast"/>
              <w:rPr>
                <w:rFonts w:eastAsia="Calibri" w:cs="Calibri"/>
                <w:sz w:val="20"/>
                <w:szCs w:val="20"/>
              </w:rPr>
            </w:pPr>
            <w:r w:rsidRPr="00990936">
              <w:rPr>
                <w:rFonts w:eastAsia="Calibri" w:cs="Calibri"/>
                <w:sz w:val="20"/>
                <w:szCs w:val="20"/>
              </w:rPr>
              <w:t>sulfur oxides</w:t>
            </w:r>
          </w:p>
        </w:tc>
      </w:tr>
      <w:tr w:rsidR="006754BE" w:rsidRPr="004161F6" w14:paraId="390968A9" w14:textId="77777777" w:rsidTr="00C543F3">
        <w:tc>
          <w:tcPr>
            <w:tcW w:w="1526" w:type="dxa"/>
          </w:tcPr>
          <w:p w14:paraId="61C9E91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cs="Calibri"/>
                <w:b/>
                <w:sz w:val="20"/>
                <w:szCs w:val="20"/>
              </w:rPr>
              <w:t>SWDS</w:t>
            </w:r>
          </w:p>
        </w:tc>
        <w:tc>
          <w:tcPr>
            <w:tcW w:w="7092" w:type="dxa"/>
          </w:tcPr>
          <w:p w14:paraId="1A012587" w14:textId="77777777" w:rsidR="006754BE" w:rsidRPr="004161F6" w:rsidRDefault="006754BE" w:rsidP="00C543F3">
            <w:pPr>
              <w:pStyle w:val="BodyText"/>
              <w:spacing w:before="20" w:after="20" w:line="260" w:lineRule="atLeast"/>
              <w:rPr>
                <w:rFonts w:eastAsia="Calibri" w:cs="Calibri"/>
                <w:sz w:val="20"/>
                <w:szCs w:val="20"/>
              </w:rPr>
            </w:pPr>
            <w:r w:rsidRPr="004161F6">
              <w:rPr>
                <w:rFonts w:cs="Calibri"/>
                <w:sz w:val="20"/>
                <w:szCs w:val="20"/>
              </w:rPr>
              <w:t>solid waste disposable sites</w:t>
            </w:r>
          </w:p>
        </w:tc>
      </w:tr>
      <w:tr w:rsidR="006754BE" w:rsidRPr="004161F6" w14:paraId="4EF939EF" w14:textId="77777777" w:rsidTr="00C543F3">
        <w:tc>
          <w:tcPr>
            <w:tcW w:w="1526" w:type="dxa"/>
          </w:tcPr>
          <w:p w14:paraId="3900F336"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w:t>
            </w:r>
          </w:p>
        </w:tc>
        <w:tc>
          <w:tcPr>
            <w:tcW w:w="7092" w:type="dxa"/>
          </w:tcPr>
          <w:p w14:paraId="747F33F5" w14:textId="77777777" w:rsidR="006754BE" w:rsidRPr="001E13AF" w:rsidRDefault="006754BE" w:rsidP="00C543F3">
            <w:pPr>
              <w:pStyle w:val="BodyText"/>
              <w:spacing w:before="20" w:after="20" w:line="260" w:lineRule="atLeast"/>
              <w:rPr>
                <w:rFonts w:eastAsia="Calibri" w:cs="Calibri"/>
                <w:sz w:val="20"/>
                <w:szCs w:val="20"/>
              </w:rPr>
            </w:pPr>
            <w:r w:rsidRPr="001E13AF">
              <w:rPr>
                <w:rFonts w:eastAsia="Calibri" w:cs="Calibri"/>
                <w:sz w:val="20"/>
                <w:szCs w:val="20"/>
              </w:rPr>
              <w:t>tonne(s)</w:t>
            </w:r>
          </w:p>
        </w:tc>
      </w:tr>
      <w:tr w:rsidR="006754BE" w:rsidRPr="004161F6" w14:paraId="7BE2D2DB" w14:textId="77777777" w:rsidTr="00C543F3">
        <w:tc>
          <w:tcPr>
            <w:tcW w:w="1526" w:type="dxa"/>
          </w:tcPr>
          <w:p w14:paraId="4A307072"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 C</w:t>
            </w:r>
          </w:p>
        </w:tc>
        <w:tc>
          <w:tcPr>
            <w:tcW w:w="7092" w:type="dxa"/>
          </w:tcPr>
          <w:p w14:paraId="3F56B176" w14:textId="77777777" w:rsidR="006754BE" w:rsidRPr="001E13AF" w:rsidRDefault="006754BE" w:rsidP="00C543F3">
            <w:pPr>
              <w:pStyle w:val="BodyText"/>
              <w:spacing w:before="20" w:after="20" w:line="260" w:lineRule="atLeast"/>
              <w:rPr>
                <w:rFonts w:eastAsia="Calibri" w:cs="Calibri"/>
                <w:sz w:val="20"/>
                <w:szCs w:val="20"/>
              </w:rPr>
            </w:pPr>
            <w:r w:rsidRPr="001E13AF">
              <w:rPr>
                <w:rFonts w:eastAsia="Calibri" w:cs="Calibri"/>
                <w:sz w:val="20"/>
                <w:szCs w:val="20"/>
              </w:rPr>
              <w:t>tonne(s) carbon</w:t>
            </w:r>
          </w:p>
        </w:tc>
      </w:tr>
      <w:tr w:rsidR="006754BE" w:rsidRPr="004161F6" w14:paraId="1B6BE86F" w14:textId="77777777" w:rsidTr="00C543F3">
        <w:tc>
          <w:tcPr>
            <w:tcW w:w="1526" w:type="dxa"/>
          </w:tcPr>
          <w:p w14:paraId="47C0175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TE</w:t>
            </w:r>
          </w:p>
        </w:tc>
        <w:tc>
          <w:tcPr>
            <w:tcW w:w="7092" w:type="dxa"/>
          </w:tcPr>
          <w:p w14:paraId="2F4C4125" w14:textId="77777777" w:rsidR="006754BE" w:rsidRPr="001B64B4" w:rsidRDefault="006754BE" w:rsidP="00C543F3">
            <w:pPr>
              <w:pStyle w:val="BodyText"/>
              <w:spacing w:before="20" w:after="20" w:line="260" w:lineRule="atLeast"/>
              <w:rPr>
                <w:rFonts w:eastAsia="Calibri" w:cs="Calibri"/>
                <w:sz w:val="20"/>
                <w:szCs w:val="20"/>
              </w:rPr>
            </w:pPr>
            <w:r w:rsidRPr="001B64B4">
              <w:rPr>
                <w:rFonts w:eastAsia="Calibri" w:cs="Calibri"/>
                <w:sz w:val="20"/>
                <w:szCs w:val="20"/>
              </w:rPr>
              <w:t>total emissions</w:t>
            </w:r>
          </w:p>
        </w:tc>
      </w:tr>
      <w:tr w:rsidR="006754BE" w:rsidRPr="004161F6" w14:paraId="1091710E" w14:textId="77777777" w:rsidTr="00C543F3">
        <w:tc>
          <w:tcPr>
            <w:tcW w:w="1526" w:type="dxa"/>
          </w:tcPr>
          <w:p w14:paraId="15C0A273"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TACCC</w:t>
            </w:r>
          </w:p>
        </w:tc>
        <w:tc>
          <w:tcPr>
            <w:tcW w:w="7092" w:type="dxa"/>
          </w:tcPr>
          <w:p w14:paraId="1A24CB21" w14:textId="77777777" w:rsidR="006754BE" w:rsidRPr="009E3E15" w:rsidRDefault="006754BE" w:rsidP="00C543F3">
            <w:pPr>
              <w:pStyle w:val="BodyText"/>
              <w:spacing w:before="20" w:after="20" w:line="260" w:lineRule="atLeast"/>
              <w:rPr>
                <w:rFonts w:eastAsia="Calibri" w:cs="Calibri"/>
                <w:sz w:val="20"/>
                <w:szCs w:val="20"/>
              </w:rPr>
            </w:pPr>
            <w:r w:rsidRPr="009E3E15">
              <w:rPr>
                <w:rFonts w:eastAsia="Calibri" w:cs="Calibri"/>
                <w:sz w:val="20"/>
                <w:szCs w:val="20"/>
              </w:rPr>
              <w:t>transparency, accuracy, completeness, consistency and comparability</w:t>
            </w:r>
          </w:p>
        </w:tc>
      </w:tr>
      <w:tr w:rsidR="006754BE" w:rsidRPr="004161F6" w14:paraId="4BAACBFD" w14:textId="77777777" w:rsidTr="00C543F3">
        <w:tc>
          <w:tcPr>
            <w:tcW w:w="1526" w:type="dxa"/>
          </w:tcPr>
          <w:p w14:paraId="36AAE52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TERT</w:t>
            </w:r>
          </w:p>
        </w:tc>
        <w:tc>
          <w:tcPr>
            <w:tcW w:w="7092" w:type="dxa"/>
          </w:tcPr>
          <w:p w14:paraId="5526C6F0" w14:textId="77777777" w:rsidR="006754BE" w:rsidRPr="009E3E15" w:rsidRDefault="006754BE" w:rsidP="00C543F3">
            <w:pPr>
              <w:pStyle w:val="BodyText"/>
              <w:spacing w:before="20" w:after="20" w:line="260" w:lineRule="atLeast"/>
              <w:rPr>
                <w:rFonts w:eastAsia="Calibri" w:cs="Calibri"/>
                <w:sz w:val="20"/>
                <w:szCs w:val="20"/>
              </w:rPr>
            </w:pPr>
            <w:r w:rsidRPr="001D5760">
              <w:rPr>
                <w:rFonts w:eastAsia="Calibri" w:cs="Calibri"/>
                <w:sz w:val="20"/>
                <w:szCs w:val="20"/>
              </w:rPr>
              <w:t>technical expert review team</w:t>
            </w:r>
          </w:p>
        </w:tc>
      </w:tr>
      <w:tr w:rsidR="006754BE" w:rsidRPr="004161F6" w14:paraId="3717A1F7" w14:textId="77777777" w:rsidTr="00C543F3">
        <w:tc>
          <w:tcPr>
            <w:tcW w:w="1526" w:type="dxa"/>
          </w:tcPr>
          <w:p w14:paraId="72608AD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TJ</w:t>
            </w:r>
          </w:p>
        </w:tc>
        <w:tc>
          <w:tcPr>
            <w:tcW w:w="7092" w:type="dxa"/>
          </w:tcPr>
          <w:p w14:paraId="7CBB4374" w14:textId="77777777" w:rsidR="006754BE" w:rsidRPr="00824E6E" w:rsidRDefault="006754BE" w:rsidP="00C543F3">
            <w:pPr>
              <w:pStyle w:val="BodyText"/>
              <w:spacing w:before="20" w:after="20" w:line="260" w:lineRule="atLeast"/>
              <w:rPr>
                <w:rFonts w:eastAsia="Calibri" w:cs="Calibri"/>
                <w:sz w:val="20"/>
                <w:szCs w:val="20"/>
              </w:rPr>
            </w:pPr>
            <w:r w:rsidRPr="00824E6E">
              <w:rPr>
                <w:rFonts w:eastAsia="Calibri" w:cs="Calibri"/>
                <w:sz w:val="20"/>
                <w:szCs w:val="20"/>
              </w:rPr>
              <w:t>terajoule(s)</w:t>
            </w:r>
          </w:p>
        </w:tc>
      </w:tr>
      <w:tr w:rsidR="006754BE" w:rsidRPr="004161F6" w14:paraId="3F3D44F2" w14:textId="77777777" w:rsidTr="00C543F3">
        <w:tc>
          <w:tcPr>
            <w:tcW w:w="1526" w:type="dxa"/>
          </w:tcPr>
          <w:p w14:paraId="20AD5F11"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t/kt</w:t>
            </w:r>
          </w:p>
        </w:tc>
        <w:tc>
          <w:tcPr>
            <w:tcW w:w="7092" w:type="dxa"/>
          </w:tcPr>
          <w:p w14:paraId="3624DCF4" w14:textId="77777777" w:rsidR="006754BE" w:rsidRPr="001E13AF" w:rsidRDefault="006754BE" w:rsidP="00C543F3">
            <w:pPr>
              <w:pStyle w:val="BodyText"/>
              <w:spacing w:before="20" w:after="20" w:line="260" w:lineRule="atLeast"/>
              <w:rPr>
                <w:rFonts w:eastAsia="Calibri" w:cs="Calibri"/>
                <w:sz w:val="20"/>
                <w:szCs w:val="20"/>
              </w:rPr>
            </w:pPr>
            <w:r w:rsidRPr="001E13AF">
              <w:rPr>
                <w:rFonts w:eastAsia="Calibri" w:cs="Calibri"/>
                <w:sz w:val="20"/>
                <w:szCs w:val="20"/>
              </w:rPr>
              <w:t>tonne(s) per kilotonne</w:t>
            </w:r>
          </w:p>
        </w:tc>
      </w:tr>
      <w:tr w:rsidR="006754BE" w:rsidRPr="004161F6" w14:paraId="058FB48F" w14:textId="77777777" w:rsidTr="00C543F3">
        <w:tc>
          <w:tcPr>
            <w:tcW w:w="1526" w:type="dxa"/>
          </w:tcPr>
          <w:p w14:paraId="2C8ADC9F"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TOW</w:t>
            </w:r>
          </w:p>
        </w:tc>
        <w:tc>
          <w:tcPr>
            <w:tcW w:w="7092" w:type="dxa"/>
          </w:tcPr>
          <w:p w14:paraId="663E7808" w14:textId="77777777" w:rsidR="006754BE" w:rsidRPr="00124938" w:rsidRDefault="006754BE" w:rsidP="00C543F3">
            <w:pPr>
              <w:pStyle w:val="BodyText"/>
              <w:spacing w:before="20" w:after="20" w:line="260" w:lineRule="atLeast"/>
              <w:rPr>
                <w:rFonts w:eastAsia="Calibri" w:cs="Calibri"/>
                <w:sz w:val="20"/>
                <w:szCs w:val="20"/>
              </w:rPr>
            </w:pPr>
            <w:r w:rsidRPr="00124938">
              <w:rPr>
                <w:rFonts w:eastAsia="Calibri" w:cs="Calibri"/>
                <w:sz w:val="20"/>
                <w:szCs w:val="20"/>
              </w:rPr>
              <w:t>total organic product in wastewater</w:t>
            </w:r>
          </w:p>
        </w:tc>
      </w:tr>
      <w:tr w:rsidR="006754BE" w:rsidRPr="004161F6" w14:paraId="2003C61E" w14:textId="77777777" w:rsidTr="00C543F3">
        <w:tc>
          <w:tcPr>
            <w:tcW w:w="1526" w:type="dxa"/>
          </w:tcPr>
          <w:p w14:paraId="750E89C5"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UEF</w:t>
            </w:r>
          </w:p>
        </w:tc>
        <w:tc>
          <w:tcPr>
            <w:tcW w:w="7092" w:type="dxa"/>
          </w:tcPr>
          <w:p w14:paraId="49C830C5" w14:textId="77777777" w:rsidR="006754BE" w:rsidRPr="001E13AF" w:rsidRDefault="006754BE" w:rsidP="00C543F3">
            <w:pPr>
              <w:pStyle w:val="BodyText"/>
              <w:spacing w:before="20" w:after="20" w:line="260" w:lineRule="atLeast"/>
              <w:rPr>
                <w:rFonts w:eastAsia="Calibri" w:cs="Calibri"/>
                <w:sz w:val="20"/>
                <w:szCs w:val="20"/>
              </w:rPr>
            </w:pPr>
            <w:r w:rsidRPr="001E13AF">
              <w:rPr>
                <w:rFonts w:eastAsia="Calibri" w:cs="Calibri"/>
                <w:sz w:val="20"/>
                <w:szCs w:val="20"/>
              </w:rPr>
              <w:t>unique emission factor</w:t>
            </w:r>
          </w:p>
        </w:tc>
      </w:tr>
      <w:tr w:rsidR="006754BE" w:rsidRPr="001D5327" w14:paraId="2A0AAF7D" w14:textId="77777777" w:rsidTr="00C543F3">
        <w:tc>
          <w:tcPr>
            <w:tcW w:w="1526" w:type="dxa"/>
          </w:tcPr>
          <w:p w14:paraId="4BD42A7D"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 xml:space="preserve">UNFCCC </w:t>
            </w:r>
          </w:p>
        </w:tc>
        <w:tc>
          <w:tcPr>
            <w:tcW w:w="7092" w:type="dxa"/>
          </w:tcPr>
          <w:p w14:paraId="256EE317" w14:textId="77777777" w:rsidR="006754BE" w:rsidRPr="001D5327" w:rsidRDefault="006754BE" w:rsidP="00C543F3">
            <w:pPr>
              <w:pStyle w:val="BodyText"/>
              <w:spacing w:before="20" w:after="20" w:line="260" w:lineRule="atLeast"/>
              <w:rPr>
                <w:rFonts w:eastAsia="Calibri" w:cs="Calibri"/>
                <w:sz w:val="20"/>
                <w:szCs w:val="20"/>
              </w:rPr>
            </w:pPr>
            <w:r w:rsidRPr="00BE7269">
              <w:rPr>
                <w:rFonts w:eastAsia="Calibri" w:cs="Calibri"/>
                <w:sz w:val="20"/>
                <w:szCs w:val="20"/>
              </w:rPr>
              <w:t>United Nations Framework Convention on Climate Change</w:t>
            </w:r>
            <w:r w:rsidRPr="001D5327">
              <w:rPr>
                <w:rFonts w:eastAsia="Calibri" w:cs="Calibri"/>
                <w:sz w:val="20"/>
                <w:szCs w:val="20"/>
              </w:rPr>
              <w:t xml:space="preserve"> </w:t>
            </w:r>
          </w:p>
        </w:tc>
      </w:tr>
      <w:tr w:rsidR="006754BE" w:rsidRPr="001D5327" w14:paraId="67B1B666" w14:textId="77777777" w:rsidTr="00C543F3">
        <w:tc>
          <w:tcPr>
            <w:tcW w:w="1526" w:type="dxa"/>
          </w:tcPr>
          <w:p w14:paraId="76FB28D8"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WMA</w:t>
            </w:r>
          </w:p>
        </w:tc>
        <w:tc>
          <w:tcPr>
            <w:tcW w:w="7092" w:type="dxa"/>
          </w:tcPr>
          <w:p w14:paraId="1C5AEFE4" w14:textId="77777777" w:rsidR="006754BE" w:rsidRPr="000903B2" w:rsidRDefault="006754BE" w:rsidP="00C543F3">
            <w:pPr>
              <w:pStyle w:val="BodyText"/>
              <w:spacing w:before="20" w:after="20" w:line="260" w:lineRule="atLeast"/>
              <w:rPr>
                <w:rFonts w:eastAsia="Calibri" w:cs="Calibri"/>
                <w:sz w:val="20"/>
                <w:szCs w:val="20"/>
              </w:rPr>
            </w:pPr>
            <w:r w:rsidRPr="000903B2">
              <w:rPr>
                <w:rFonts w:eastAsia="Calibri" w:cs="Calibri"/>
                <w:sz w:val="20"/>
                <w:szCs w:val="20"/>
              </w:rPr>
              <w:t>Waste Minimisation Act 2008</w:t>
            </w:r>
          </w:p>
        </w:tc>
      </w:tr>
      <w:tr w:rsidR="006754BE" w:rsidRPr="001D5327" w14:paraId="5AB9EFE9" w14:textId="77777777" w:rsidTr="00C543F3">
        <w:tc>
          <w:tcPr>
            <w:tcW w:w="1526" w:type="dxa"/>
          </w:tcPr>
          <w:p w14:paraId="27AF4637" w14:textId="77777777" w:rsidR="006754BE" w:rsidRPr="007D24CF" w:rsidRDefault="006754BE" w:rsidP="00C543F3">
            <w:pPr>
              <w:pStyle w:val="BodyText"/>
              <w:spacing w:before="20" w:after="20" w:line="260" w:lineRule="atLeast"/>
              <w:rPr>
                <w:rFonts w:eastAsia="Calibri" w:cs="Calibri"/>
                <w:b/>
                <w:sz w:val="20"/>
                <w:szCs w:val="20"/>
              </w:rPr>
            </w:pPr>
            <w:r w:rsidRPr="007D24CF">
              <w:rPr>
                <w:rFonts w:eastAsia="Calibri" w:cs="Calibri"/>
                <w:b/>
                <w:sz w:val="20"/>
                <w:szCs w:val="20"/>
              </w:rPr>
              <w:t>WWT</w:t>
            </w:r>
          </w:p>
        </w:tc>
        <w:tc>
          <w:tcPr>
            <w:tcW w:w="7092" w:type="dxa"/>
          </w:tcPr>
          <w:p w14:paraId="0A2579AF" w14:textId="77777777" w:rsidR="006754BE" w:rsidRPr="000903B2" w:rsidRDefault="006754BE" w:rsidP="00C543F3">
            <w:pPr>
              <w:pStyle w:val="BodyText"/>
              <w:spacing w:before="20" w:after="20" w:line="260" w:lineRule="atLeast"/>
              <w:rPr>
                <w:rFonts w:eastAsia="Calibri" w:cs="Calibri"/>
                <w:sz w:val="20"/>
                <w:szCs w:val="20"/>
              </w:rPr>
            </w:pPr>
            <w:r w:rsidRPr="005212EA">
              <w:rPr>
                <w:rFonts w:eastAsia="Calibri" w:cs="Calibri"/>
                <w:sz w:val="20"/>
                <w:szCs w:val="20"/>
              </w:rPr>
              <w:t>wastewater treatment</w:t>
            </w:r>
          </w:p>
        </w:tc>
      </w:tr>
    </w:tbl>
    <w:p w14:paraId="37EF14CD" w14:textId="77777777" w:rsidR="001436BE" w:rsidRDefault="001436BE" w:rsidP="004B4FD2">
      <w:pPr>
        <w:pStyle w:val="BodyText"/>
      </w:pPr>
    </w:p>
    <w:p w14:paraId="487E3EF8" w14:textId="77777777" w:rsidR="001436BE" w:rsidRDefault="001436BE" w:rsidP="004B4FD2">
      <w:pPr>
        <w:pStyle w:val="BodyText"/>
      </w:pPr>
    </w:p>
    <w:p w14:paraId="51F913B0" w14:textId="77777777" w:rsidR="00994BC7" w:rsidRDefault="00994BC7">
      <w:pPr>
        <w:sectPr w:rsidR="00994BC7" w:rsidSect="002C0B67">
          <w:headerReference w:type="even" r:id="rId17"/>
          <w:headerReference w:type="default" r:id="rId18"/>
          <w:footerReference w:type="even" r:id="rId19"/>
          <w:footerReference w:type="default" r:id="rId20"/>
          <w:headerReference w:type="first" r:id="rId21"/>
          <w:footerReference w:type="first" r:id="rId22"/>
          <w:pgSz w:w="11907" w:h="16840" w:code="9"/>
          <w:pgMar w:top="1418" w:right="1701" w:bottom="1418" w:left="1701" w:header="567" w:footer="567" w:gutter="0"/>
          <w:pgNumType w:fmt="lowerRoman"/>
          <w:cols w:space="720"/>
        </w:sectPr>
      </w:pPr>
    </w:p>
    <w:p w14:paraId="2686BE14" w14:textId="77777777" w:rsidR="00F52C3D" w:rsidRPr="00E77E9D" w:rsidRDefault="00F52C3D" w:rsidP="00F52C3D">
      <w:pPr>
        <w:pStyle w:val="Heading1"/>
      </w:pPr>
      <w:bookmarkStart w:id="2" w:name="_Toc226460729"/>
      <w:bookmarkStart w:id="3" w:name="executive-summary"/>
      <w:r w:rsidRPr="00E77E9D">
        <w:t>Executive summary</w:t>
      </w:r>
      <w:bookmarkEnd w:id="2"/>
    </w:p>
    <w:p w14:paraId="1A36D5D1" w14:textId="77777777" w:rsidR="00F52C3D" w:rsidRPr="00E77E9D" w:rsidRDefault="00F52C3D" w:rsidP="00F52C3D">
      <w:pPr>
        <w:pStyle w:val="BodyText"/>
        <w:spacing w:after="240"/>
      </w:pPr>
      <w:r w:rsidRPr="00E77E9D">
        <w:t xml:space="preserve">The 2026 submission of </w:t>
      </w:r>
      <w:r w:rsidRPr="00E77E9D">
        <w:rPr>
          <w:i/>
          <w:iCs/>
        </w:rPr>
        <w:t>New Zealand’s Greenhouse Gas Inventory</w:t>
      </w:r>
      <w:r w:rsidRPr="00E77E9D">
        <w:t xml:space="preserve"> (the Inventory) contains national greenhouse gas emissions estimates for the period 1990 to 2024. The estimates are reported for the emissions by calendar year. Because the Inventory is most useful for showing changes in emissions over time, we compare the latest year inventoried with the previous year, 2005 (New Zealand’s nationally determined contribution base year) and 1990 (the United Nations Framework Convention on Climate Change (UNFCCC) base year).</w:t>
      </w:r>
    </w:p>
    <w:tbl>
      <w:tblPr>
        <w:tblStyle w:val="TableGrid"/>
        <w:tblW w:w="0" w:type="auto"/>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CellMar>
          <w:top w:w="85" w:type="dxa"/>
          <w:bottom w:w="85" w:type="dxa"/>
        </w:tblCellMar>
        <w:tblLook w:val="04A0" w:firstRow="1" w:lastRow="0" w:firstColumn="1" w:lastColumn="0" w:noHBand="0" w:noVBand="1"/>
      </w:tblPr>
      <w:tblGrid>
        <w:gridCol w:w="8495"/>
      </w:tblGrid>
      <w:tr w:rsidR="00F52C3D" w:rsidRPr="00E77E9D" w14:paraId="5104C343" w14:textId="77777777" w:rsidTr="00F16E23">
        <w:tc>
          <w:tcPr>
            <w:tcW w:w="8495" w:type="dxa"/>
            <w:shd w:val="clear" w:color="auto" w:fill="D2DDE1" w:themeFill="background2"/>
          </w:tcPr>
          <w:p w14:paraId="44B57084" w14:textId="77777777" w:rsidR="00F52C3D" w:rsidRPr="00E77E9D" w:rsidRDefault="00F52C3D" w:rsidP="00F16E23">
            <w:pPr>
              <w:pStyle w:val="Keypointshead"/>
              <w:spacing w:before="120"/>
              <w:rPr>
                <w:sz w:val="22"/>
                <w:szCs w:val="24"/>
              </w:rPr>
            </w:pPr>
            <w:r w:rsidRPr="00E77E9D">
              <w:rPr>
                <w:sz w:val="22"/>
                <w:szCs w:val="24"/>
              </w:rPr>
              <w:t>Key points</w:t>
            </w:r>
          </w:p>
          <w:p w14:paraId="7FAA5DA1" w14:textId="77777777" w:rsidR="00F52C3D" w:rsidRPr="00E77E9D" w:rsidRDefault="00F52C3D" w:rsidP="00F16E23">
            <w:pPr>
              <w:pStyle w:val="Keypointshead"/>
            </w:pPr>
            <w:r w:rsidRPr="00E77E9D">
              <w:t>In the 2024 calendar year</w:t>
            </w:r>
          </w:p>
          <w:p w14:paraId="45D6D5FC" w14:textId="77777777" w:rsidR="00F52C3D" w:rsidRPr="00E77E9D" w:rsidRDefault="00F52C3D" w:rsidP="00F52C3D">
            <w:pPr>
              <w:pStyle w:val="Keypointsbullet"/>
              <w:spacing w:before="0" w:after="100"/>
              <w:ind w:left="681" w:hanging="397"/>
            </w:pPr>
            <w:r w:rsidRPr="00E77E9D">
              <w:t>New Zealand’s gross greenhouse gas emissions were 75,812 kilotonnes carbon dioxide equivalent (kt CO</w:t>
            </w:r>
            <w:r w:rsidRPr="00E77E9D">
              <w:rPr>
                <w:vertAlign w:val="subscript"/>
              </w:rPr>
              <w:t>2</w:t>
            </w:r>
            <w:r w:rsidRPr="00E77E9D">
              <w:t>e), comprising 41 percent carbon dioxide (CO</w:t>
            </w:r>
            <w:r w:rsidRPr="00E77E9D">
              <w:rPr>
                <w:vertAlign w:val="subscript"/>
              </w:rPr>
              <w:t>2</w:t>
            </w:r>
            <w:r w:rsidRPr="00E77E9D">
              <w:t>), 48 percent methane (CH</w:t>
            </w:r>
            <w:r w:rsidRPr="00E77E9D">
              <w:rPr>
                <w:vertAlign w:val="subscript"/>
              </w:rPr>
              <w:t>4</w:t>
            </w:r>
            <w:r w:rsidRPr="00E77E9D">
              <w:t>), 9 percent nitrous oxide (N</w:t>
            </w:r>
            <w:r w:rsidRPr="00E77E9D">
              <w:rPr>
                <w:vertAlign w:val="subscript"/>
              </w:rPr>
              <w:t>2</w:t>
            </w:r>
            <w:r w:rsidRPr="00E77E9D">
              <w:t>O) and 1 percent fluorinated gases.</w:t>
            </w:r>
          </w:p>
          <w:p w14:paraId="5DDBFEFC" w14:textId="77777777" w:rsidR="00F52C3D" w:rsidRPr="00E77E9D" w:rsidRDefault="00F52C3D" w:rsidP="00F52C3D">
            <w:pPr>
              <w:pStyle w:val="Keypointsbullet"/>
              <w:spacing w:before="0" w:after="100"/>
              <w:ind w:left="681" w:hanging="397"/>
            </w:pPr>
            <w:r w:rsidRPr="00E77E9D">
              <w:t>The two largest contributors to gross emissions were the Agriculture sector, at 53 percent, and the Energy sector, at 38 percent.</w:t>
            </w:r>
          </w:p>
          <w:p w14:paraId="5BD1EC9A" w14:textId="77777777" w:rsidR="00F52C3D" w:rsidRPr="00E77E9D" w:rsidRDefault="00F52C3D" w:rsidP="00F52C3D">
            <w:pPr>
              <w:pStyle w:val="Keypointsbullet"/>
              <w:spacing w:before="0" w:after="100"/>
              <w:ind w:left="681" w:hanging="397"/>
            </w:pPr>
            <w:r w:rsidRPr="00E77E9D">
              <w:t>The Land Use, Land-Use Change and Forestry (LULUCF) sector offset 28 percent of New Zealand’s gross emissions.</w:t>
            </w:r>
          </w:p>
          <w:p w14:paraId="1F6EAEBB" w14:textId="77777777" w:rsidR="00F52C3D" w:rsidRPr="00E77E9D" w:rsidRDefault="00F52C3D" w:rsidP="00F52C3D">
            <w:pPr>
              <w:pStyle w:val="Keypointsbullet"/>
              <w:spacing w:before="0" w:after="100"/>
              <w:ind w:left="681" w:hanging="397"/>
            </w:pPr>
            <w:r w:rsidRPr="00E77E9D">
              <w:t>New Zealand’s net emissions were 54,834 kt CO</w:t>
            </w:r>
            <w:r w:rsidRPr="00E77E9D">
              <w:rPr>
                <w:vertAlign w:val="subscript"/>
              </w:rPr>
              <w:t>2</w:t>
            </w:r>
            <w:r w:rsidRPr="00E77E9D">
              <w:t>e.</w:t>
            </w:r>
          </w:p>
          <w:p w14:paraId="74320D27" w14:textId="77777777" w:rsidR="00F52C3D" w:rsidRPr="00E77E9D" w:rsidRDefault="00F52C3D" w:rsidP="00F16E23">
            <w:pPr>
              <w:pStyle w:val="Keypointshead"/>
              <w:spacing w:before="240"/>
            </w:pPr>
            <w:r w:rsidRPr="00E77E9D">
              <w:t>Between the 2023 and 2024 calendar years</w:t>
            </w:r>
          </w:p>
          <w:p w14:paraId="3F2F8D79" w14:textId="375F69BC" w:rsidR="00F52C3D" w:rsidRPr="00E77E9D" w:rsidRDefault="0070706B" w:rsidP="00F52C3D">
            <w:pPr>
              <w:pStyle w:val="Keypointsbullet"/>
              <w:spacing w:before="0" w:after="100"/>
              <w:ind w:left="681" w:hanging="397"/>
            </w:pPr>
            <w:r w:rsidRPr="0070706B">
              <w:t>Gross emissions decreased by 0.1 percent or 87 kt CO</w:t>
            </w:r>
            <w:r w:rsidRPr="0070706B">
              <w:rPr>
                <w:vertAlign w:val="subscript"/>
              </w:rPr>
              <w:t>2</w:t>
            </w:r>
            <w:r w:rsidRPr="0070706B">
              <w:t>e.</w:t>
            </w:r>
            <w:r w:rsidR="00F52C3D" w:rsidRPr="00E77E9D">
              <w:t xml:space="preserve"> This is the overall impact of a range of increases and decreases in emission sources across all sectors.</w:t>
            </w:r>
          </w:p>
          <w:p w14:paraId="1E5341FC" w14:textId="77777777" w:rsidR="00F52C3D" w:rsidRPr="00E77E9D" w:rsidRDefault="00F52C3D" w:rsidP="00F52C3D">
            <w:pPr>
              <w:pStyle w:val="Keypointsbullet"/>
              <w:spacing w:before="0" w:after="100"/>
              <w:ind w:left="681" w:hanging="397"/>
            </w:pPr>
            <w:r w:rsidRPr="00E77E9D">
              <w:t>The main sources of decreases were:</w:t>
            </w:r>
          </w:p>
          <w:p w14:paraId="7B173104" w14:textId="77777777" w:rsidR="00F52C3D" w:rsidRPr="00E77E9D" w:rsidRDefault="00F52C3D" w:rsidP="00F52C3D">
            <w:pPr>
              <w:pStyle w:val="Keypointsub-bullet"/>
              <w:tabs>
                <w:tab w:val="clear" w:pos="1077"/>
              </w:tabs>
              <w:spacing w:before="0" w:after="100"/>
              <w:ind w:left="1020" w:hanging="340"/>
            </w:pPr>
            <w:r w:rsidRPr="00E77E9D">
              <w:t xml:space="preserve">Fuel use in </w:t>
            </w:r>
            <w:r w:rsidRPr="00E77E9D">
              <w:rPr>
                <w:i/>
                <w:iCs/>
              </w:rPr>
              <w:t>Manufacturing industries and construction</w:t>
            </w:r>
            <w:r w:rsidRPr="00E77E9D">
              <w:t xml:space="preserve"> (CO</w:t>
            </w:r>
            <w:r w:rsidRPr="00E77E9D">
              <w:rPr>
                <w:vertAlign w:val="subscript"/>
              </w:rPr>
              <w:t>2</w:t>
            </w:r>
            <w:r w:rsidRPr="00E77E9D">
              <w:t>), largely due to decreased methanol production, a decrease of 703 kt CO</w:t>
            </w:r>
            <w:r w:rsidRPr="00E77E9D">
              <w:rPr>
                <w:vertAlign w:val="subscript"/>
              </w:rPr>
              <w:t>2</w:t>
            </w:r>
            <w:r w:rsidRPr="00E77E9D">
              <w:t>e</w:t>
            </w:r>
          </w:p>
          <w:p w14:paraId="43C069CD" w14:textId="7A506D80" w:rsidR="00F52C3D" w:rsidRPr="00E77E9D" w:rsidRDefault="00F52C3D" w:rsidP="00F52C3D">
            <w:pPr>
              <w:pStyle w:val="Keypointsub-bullet"/>
              <w:tabs>
                <w:tab w:val="clear" w:pos="1077"/>
              </w:tabs>
              <w:spacing w:before="0" w:after="100"/>
              <w:ind w:left="1020" w:hanging="340"/>
            </w:pPr>
            <w:r w:rsidRPr="00E77E9D">
              <w:rPr>
                <w:i/>
                <w:iCs/>
              </w:rPr>
              <w:t>Enteric fermentation</w:t>
            </w:r>
            <w:r w:rsidRPr="00E77E9D">
              <w:t xml:space="preserve"> from </w:t>
            </w:r>
            <w:r w:rsidRPr="00E77E9D">
              <w:rPr>
                <w:i/>
                <w:iCs/>
              </w:rPr>
              <w:t>Sheep</w:t>
            </w:r>
            <w:r w:rsidRPr="00E77E9D">
              <w:t xml:space="preserve"> (CH</w:t>
            </w:r>
            <w:r w:rsidRPr="00E77E9D">
              <w:rPr>
                <w:vertAlign w:val="subscript"/>
              </w:rPr>
              <w:t>4</w:t>
            </w:r>
            <w:r w:rsidRPr="00E77E9D">
              <w:t>), due to ongoing declines in the sheep population, a</w:t>
            </w:r>
            <w:r w:rsidR="001F14B3">
              <w:t> </w:t>
            </w:r>
            <w:r w:rsidRPr="00E77E9D">
              <w:t>decrease of 333 kt CO</w:t>
            </w:r>
            <w:r w:rsidRPr="00E77E9D">
              <w:rPr>
                <w:vertAlign w:val="subscript"/>
              </w:rPr>
              <w:t>2</w:t>
            </w:r>
            <w:r w:rsidRPr="00E77E9D">
              <w:t>e</w:t>
            </w:r>
          </w:p>
          <w:p w14:paraId="47A7C759" w14:textId="790BD8FB" w:rsidR="00F52C3D" w:rsidRPr="00E77E9D" w:rsidRDefault="00F52C3D" w:rsidP="00F52C3D">
            <w:pPr>
              <w:pStyle w:val="Keypointsub-bullet"/>
              <w:tabs>
                <w:tab w:val="clear" w:pos="1077"/>
              </w:tabs>
              <w:spacing w:before="0" w:after="100"/>
              <w:ind w:left="1020" w:hanging="340"/>
            </w:pPr>
            <w:r w:rsidRPr="00E77E9D">
              <w:rPr>
                <w:i/>
                <w:iCs/>
              </w:rPr>
              <w:t>Commercial/institutional</w:t>
            </w:r>
            <w:r w:rsidRPr="00E77E9D">
              <w:t xml:space="preserve"> energy use (CO</w:t>
            </w:r>
            <w:r w:rsidRPr="00E77E9D">
              <w:rPr>
                <w:vertAlign w:val="subscript"/>
              </w:rPr>
              <w:t>2</w:t>
            </w:r>
            <w:r w:rsidRPr="00E77E9D">
              <w:t>), largely due to a reduction in liquid fuel use, a</w:t>
            </w:r>
            <w:r w:rsidR="001F14B3">
              <w:t> </w:t>
            </w:r>
            <w:r w:rsidRPr="00E77E9D">
              <w:t>decrease of 88 kt CO</w:t>
            </w:r>
            <w:r w:rsidRPr="00E77E9D">
              <w:rPr>
                <w:vertAlign w:val="subscript"/>
              </w:rPr>
              <w:t>2</w:t>
            </w:r>
            <w:r w:rsidRPr="00E77E9D">
              <w:t>e</w:t>
            </w:r>
          </w:p>
          <w:p w14:paraId="0A976E10" w14:textId="7A157636" w:rsidR="00F52C3D" w:rsidRPr="00E77E9D" w:rsidRDefault="00F52C3D" w:rsidP="00F52C3D">
            <w:pPr>
              <w:pStyle w:val="Keypointsub-bullet"/>
              <w:tabs>
                <w:tab w:val="clear" w:pos="1077"/>
              </w:tabs>
              <w:spacing w:before="0" w:after="100"/>
              <w:ind w:left="1020" w:hanging="340"/>
            </w:pPr>
            <w:r w:rsidRPr="00E77E9D">
              <w:t>Hydrofluorocarbon emissions mainly in refrigeration and air-conditioning systems, due to the</w:t>
            </w:r>
            <w:r w:rsidR="001F14B3">
              <w:t> </w:t>
            </w:r>
            <w:r w:rsidRPr="00E77E9D">
              <w:t xml:space="preserve">transition to lower </w:t>
            </w:r>
            <w:r w:rsidR="00804BA4" w:rsidRPr="00804BA4">
              <w:t>emitting alternatives</w:t>
            </w:r>
            <w:r w:rsidRPr="00E77E9D">
              <w:t xml:space="preserve">. </w:t>
            </w:r>
          </w:p>
          <w:p w14:paraId="6E660F49" w14:textId="77777777" w:rsidR="00F52C3D" w:rsidRPr="00E77E9D" w:rsidRDefault="00F52C3D" w:rsidP="00F52C3D">
            <w:pPr>
              <w:pStyle w:val="Keypointsbullet"/>
              <w:spacing w:before="0" w:after="100"/>
              <w:ind w:left="681" w:hanging="397"/>
            </w:pPr>
            <w:r w:rsidRPr="00E77E9D">
              <w:t>The main sources of increases were:</w:t>
            </w:r>
          </w:p>
          <w:p w14:paraId="5C655B8E" w14:textId="77777777" w:rsidR="00F52C3D" w:rsidRPr="00E77E9D" w:rsidRDefault="00F52C3D" w:rsidP="00F52C3D">
            <w:pPr>
              <w:pStyle w:val="Keypointsub-bullet"/>
              <w:tabs>
                <w:tab w:val="clear" w:pos="1077"/>
              </w:tabs>
              <w:spacing w:before="0" w:after="100"/>
              <w:ind w:left="1020" w:hanging="340"/>
            </w:pPr>
            <w:r w:rsidRPr="00E77E9D">
              <w:rPr>
                <w:i/>
                <w:iCs/>
              </w:rPr>
              <w:t>Public electricity and heat production</w:t>
            </w:r>
            <w:r w:rsidRPr="00E77E9D">
              <w:t xml:space="preserve"> (CO</w:t>
            </w:r>
            <w:r w:rsidRPr="00E77E9D">
              <w:rPr>
                <w:vertAlign w:val="subscript"/>
              </w:rPr>
              <w:t>2</w:t>
            </w:r>
            <w:r w:rsidRPr="00E77E9D">
              <w:t>), due to decreased renewable electricity generation, an increase of 966 kt CO</w:t>
            </w:r>
            <w:r w:rsidRPr="00E77E9D">
              <w:rPr>
                <w:vertAlign w:val="subscript"/>
              </w:rPr>
              <w:t>2</w:t>
            </w:r>
            <w:r w:rsidRPr="00E77E9D">
              <w:t>e</w:t>
            </w:r>
          </w:p>
          <w:p w14:paraId="37763020" w14:textId="77777777" w:rsidR="00F52C3D" w:rsidRPr="00E77E9D" w:rsidRDefault="00F52C3D" w:rsidP="00F52C3D">
            <w:pPr>
              <w:pStyle w:val="Keypointsub-bullet"/>
              <w:tabs>
                <w:tab w:val="clear" w:pos="1077"/>
              </w:tabs>
              <w:spacing w:before="0" w:after="100"/>
              <w:ind w:left="1020" w:hanging="340"/>
            </w:pPr>
            <w:r w:rsidRPr="00E77E9D">
              <w:rPr>
                <w:i/>
                <w:iCs/>
              </w:rPr>
              <w:t>Enteric fermentation</w:t>
            </w:r>
            <w:r w:rsidRPr="00E77E9D">
              <w:t xml:space="preserve"> from </w:t>
            </w:r>
            <w:r w:rsidRPr="00E77E9D">
              <w:rPr>
                <w:i/>
                <w:iCs/>
              </w:rPr>
              <w:t>Dairy</w:t>
            </w:r>
            <w:r w:rsidRPr="00E77E9D">
              <w:rPr>
                <w:i/>
              </w:rPr>
              <w:t xml:space="preserve"> cattle</w:t>
            </w:r>
            <w:r w:rsidRPr="00E77E9D">
              <w:t xml:space="preserve"> (CH</w:t>
            </w:r>
            <w:r w:rsidRPr="00E77E9D">
              <w:rPr>
                <w:vertAlign w:val="subscript"/>
              </w:rPr>
              <w:t>4</w:t>
            </w:r>
            <w:r w:rsidRPr="00E77E9D">
              <w:t>) due to increased productivity, an increase of 177 kt CO</w:t>
            </w:r>
            <w:r w:rsidRPr="00E77E9D">
              <w:rPr>
                <w:vertAlign w:val="subscript"/>
              </w:rPr>
              <w:t>2</w:t>
            </w:r>
            <w:r w:rsidRPr="00E77E9D">
              <w:t>e</w:t>
            </w:r>
          </w:p>
          <w:p w14:paraId="4C2117C9" w14:textId="3A616EF8" w:rsidR="00F52C3D" w:rsidRPr="00E77E9D" w:rsidRDefault="00F52C3D" w:rsidP="00F52C3D">
            <w:pPr>
              <w:pStyle w:val="Keypointsub-bullet"/>
              <w:tabs>
                <w:tab w:val="clear" w:pos="1077"/>
              </w:tabs>
              <w:spacing w:before="0" w:after="100"/>
              <w:ind w:left="1020" w:hanging="340"/>
            </w:pPr>
            <w:r w:rsidRPr="00E77E9D">
              <w:rPr>
                <w:i/>
                <w:iCs/>
              </w:rPr>
              <w:t>Agricultural soils</w:t>
            </w:r>
            <w:r w:rsidRPr="00E77E9D">
              <w:t xml:space="preserve"> largely due to increased nitrogenous fertiliser use (N</w:t>
            </w:r>
            <w:r w:rsidRPr="00E77E9D">
              <w:rPr>
                <w:vertAlign w:val="subscript"/>
              </w:rPr>
              <w:t>2</w:t>
            </w:r>
            <w:r w:rsidRPr="00E77E9D">
              <w:t>O), an increase of 71 kt CO</w:t>
            </w:r>
            <w:r w:rsidRPr="00E77E9D">
              <w:rPr>
                <w:vertAlign w:val="subscript"/>
              </w:rPr>
              <w:t>2</w:t>
            </w:r>
            <w:r w:rsidRPr="00E77E9D">
              <w:t>e</w:t>
            </w:r>
            <w:r w:rsidR="00F45AA8">
              <w:t>.</w:t>
            </w:r>
          </w:p>
          <w:p w14:paraId="2C9A63E5" w14:textId="5A327D8B" w:rsidR="00F52C3D" w:rsidRPr="00E77E9D" w:rsidRDefault="00F52C3D" w:rsidP="00F52C3D">
            <w:pPr>
              <w:pStyle w:val="Keypointsbullet"/>
              <w:spacing w:before="0" w:after="100"/>
              <w:ind w:left="681" w:hanging="397"/>
            </w:pPr>
            <w:r w:rsidRPr="00E77E9D">
              <w:t>Net emissions decreased by 2 percent (1,098 kt CO</w:t>
            </w:r>
            <w:r w:rsidRPr="00E77E9D">
              <w:rPr>
                <w:vertAlign w:val="subscript"/>
              </w:rPr>
              <w:t>2</w:t>
            </w:r>
            <w:r w:rsidRPr="00E77E9D">
              <w:t xml:space="preserve">e). </w:t>
            </w:r>
            <w:r w:rsidR="00EC26BD" w:rsidRPr="00EC26BD">
              <w:t>The decrease in net emissions from the LULUCF sector (5 percent or -1,1011 kt CO</w:t>
            </w:r>
            <w:r w:rsidR="00EC26BD" w:rsidRPr="00EC26BD">
              <w:rPr>
                <w:vertAlign w:val="subscript"/>
              </w:rPr>
              <w:t>2</w:t>
            </w:r>
            <w:r w:rsidR="00EC26BD" w:rsidRPr="00EC26BD">
              <w:t>e) was the main driver</w:t>
            </w:r>
            <w:r w:rsidRPr="00E77E9D">
              <w:t>. The decrease in LULUCF net emissions was mainly driven by a decrease in deforestation and an increase in removals in planted</w:t>
            </w:r>
            <w:r w:rsidR="005C02E3">
              <w:t> </w:t>
            </w:r>
            <w:r w:rsidRPr="00E77E9D">
              <w:t xml:space="preserve">forest. </w:t>
            </w:r>
          </w:p>
          <w:p w14:paraId="39F714EB" w14:textId="77777777" w:rsidR="00F52C3D" w:rsidRPr="00E77E9D" w:rsidRDefault="00F52C3D" w:rsidP="00F16E23">
            <w:pPr>
              <w:pStyle w:val="Keypointshead"/>
              <w:keepNext/>
              <w:spacing w:before="240"/>
            </w:pPr>
            <w:r w:rsidRPr="00E77E9D">
              <w:t>Between the 2005 and 2024 calendar years</w:t>
            </w:r>
          </w:p>
          <w:p w14:paraId="56EA5536" w14:textId="77777777" w:rsidR="00F52C3D" w:rsidRPr="00E77E9D" w:rsidRDefault="00F52C3D" w:rsidP="00F52C3D">
            <w:pPr>
              <w:pStyle w:val="Keypointsbullet"/>
              <w:spacing w:before="0" w:after="100"/>
              <w:ind w:left="681" w:hanging="397"/>
            </w:pPr>
            <w:r w:rsidRPr="00E77E9D">
              <w:t>New Zealand’s gross and net emissions peaked in 2006 at 85,609 kt CO</w:t>
            </w:r>
            <w:r w:rsidRPr="00E77E9D">
              <w:rPr>
                <w:vertAlign w:val="subscript"/>
              </w:rPr>
              <w:t>2</w:t>
            </w:r>
            <w:r w:rsidRPr="00E77E9D">
              <w:t>e and 64,603 kt CO</w:t>
            </w:r>
            <w:r w:rsidRPr="00E77E9D">
              <w:rPr>
                <w:vertAlign w:val="subscript"/>
              </w:rPr>
              <w:t>2</w:t>
            </w:r>
            <w:r w:rsidRPr="00E77E9D">
              <w:t>e, respectively.</w:t>
            </w:r>
          </w:p>
          <w:p w14:paraId="76D3CA49" w14:textId="77777777" w:rsidR="00F52C3D" w:rsidRPr="00E77E9D" w:rsidRDefault="00F52C3D" w:rsidP="00F52C3D">
            <w:pPr>
              <w:pStyle w:val="Keypointsbullet"/>
              <w:spacing w:before="0" w:after="100"/>
              <w:ind w:left="681" w:hanging="397"/>
            </w:pPr>
            <w:r w:rsidRPr="00E77E9D">
              <w:t>Gross emissions decreased by 11 percent (9,553 kt CO</w:t>
            </w:r>
            <w:r w:rsidRPr="00E77E9D">
              <w:rPr>
                <w:vertAlign w:val="subscript"/>
              </w:rPr>
              <w:t>2</w:t>
            </w:r>
            <w:r w:rsidRPr="00E77E9D">
              <w:t xml:space="preserve">e), due to decreases in emissions across all sectors (excluding LULUCF). The emission sources that contributed the most to this decrease were: </w:t>
            </w:r>
          </w:p>
          <w:p w14:paraId="36045246" w14:textId="77777777" w:rsidR="00F52C3D" w:rsidRPr="00E77E9D" w:rsidRDefault="00F52C3D" w:rsidP="00F52C3D">
            <w:pPr>
              <w:pStyle w:val="Keypointsub-bullet"/>
              <w:tabs>
                <w:tab w:val="clear" w:pos="1077"/>
              </w:tabs>
              <w:spacing w:before="0" w:after="100"/>
              <w:ind w:left="1020" w:hanging="340"/>
            </w:pPr>
            <w:r w:rsidRPr="00E77E9D">
              <w:rPr>
                <w:i/>
              </w:rPr>
              <w:t>Public electricity and heat production</w:t>
            </w:r>
            <w:r w:rsidRPr="00E77E9D">
              <w:t xml:space="preserve"> (CO</w:t>
            </w:r>
            <w:r w:rsidRPr="00E77E9D">
              <w:rPr>
                <w:vertAlign w:val="subscript"/>
              </w:rPr>
              <w:t>2</w:t>
            </w:r>
            <w:r w:rsidRPr="00E77E9D">
              <w:t>), due to increased renewable electricity generation, a decrease of 5,283 kt CO</w:t>
            </w:r>
            <w:r w:rsidRPr="00E77E9D">
              <w:rPr>
                <w:vertAlign w:val="subscript"/>
              </w:rPr>
              <w:t>2</w:t>
            </w:r>
            <w:r w:rsidRPr="00E77E9D">
              <w:t>e</w:t>
            </w:r>
          </w:p>
          <w:p w14:paraId="5ED515BA" w14:textId="77777777" w:rsidR="00F52C3D" w:rsidRPr="00E77E9D" w:rsidRDefault="00F52C3D" w:rsidP="00F52C3D">
            <w:pPr>
              <w:pStyle w:val="Keypointsub-bullet"/>
              <w:tabs>
                <w:tab w:val="clear" w:pos="1077"/>
              </w:tabs>
              <w:spacing w:before="0" w:after="100"/>
              <w:ind w:left="1020" w:hanging="340"/>
            </w:pPr>
            <w:r w:rsidRPr="00E77E9D">
              <w:rPr>
                <w:i/>
              </w:rPr>
              <w:t>Enteric fermentation</w:t>
            </w:r>
            <w:r w:rsidRPr="00E77E9D">
              <w:t xml:space="preserve"> from sheep (CH</w:t>
            </w:r>
            <w:r w:rsidRPr="00E77E9D">
              <w:rPr>
                <w:vertAlign w:val="subscript"/>
              </w:rPr>
              <w:t>4</w:t>
            </w:r>
            <w:r w:rsidRPr="00E77E9D">
              <w:t>), due to declines in the population, a decrease of 5,123 kt CO</w:t>
            </w:r>
            <w:r w:rsidRPr="00E77E9D">
              <w:rPr>
                <w:vertAlign w:val="subscript"/>
              </w:rPr>
              <w:t>2</w:t>
            </w:r>
            <w:r w:rsidRPr="00E77E9D">
              <w:t>e</w:t>
            </w:r>
          </w:p>
          <w:p w14:paraId="2FAF79A8" w14:textId="77777777" w:rsidR="00F52C3D" w:rsidRPr="00E77E9D" w:rsidRDefault="00F52C3D" w:rsidP="00F52C3D">
            <w:pPr>
              <w:pStyle w:val="Keypointsub-bullet"/>
              <w:tabs>
                <w:tab w:val="clear" w:pos="1077"/>
              </w:tabs>
              <w:spacing w:before="0" w:after="100"/>
              <w:ind w:left="1020" w:hanging="340"/>
            </w:pPr>
            <w:r w:rsidRPr="00E77E9D">
              <w:rPr>
                <w:i/>
              </w:rPr>
              <w:t>Enteric fermentation</w:t>
            </w:r>
            <w:r w:rsidRPr="00E77E9D">
              <w:t xml:space="preserve"> from non-dairy cattle (CH</w:t>
            </w:r>
            <w:r w:rsidRPr="00E77E9D">
              <w:rPr>
                <w:vertAlign w:val="subscript"/>
              </w:rPr>
              <w:t>4</w:t>
            </w:r>
            <w:r w:rsidRPr="00E77E9D">
              <w:t>), due to declines in the population, a decrease of 1,237 kt CO</w:t>
            </w:r>
            <w:r w:rsidRPr="00E77E9D">
              <w:rPr>
                <w:vertAlign w:val="subscript"/>
              </w:rPr>
              <w:t>2</w:t>
            </w:r>
            <w:r w:rsidRPr="00E77E9D">
              <w:t xml:space="preserve">e. </w:t>
            </w:r>
          </w:p>
          <w:p w14:paraId="79DAE9E2" w14:textId="77777777" w:rsidR="00F52C3D" w:rsidRPr="00E77E9D" w:rsidRDefault="00F52C3D" w:rsidP="00F52C3D">
            <w:pPr>
              <w:pStyle w:val="Keypointsub-bullet"/>
              <w:tabs>
                <w:tab w:val="clear" w:pos="1077"/>
              </w:tabs>
              <w:spacing w:before="0" w:after="100"/>
              <w:ind w:left="1020" w:hanging="340"/>
            </w:pPr>
            <w:r w:rsidRPr="00E77E9D">
              <w:rPr>
                <w:i/>
              </w:rPr>
              <w:t>Petroleum refining</w:t>
            </w:r>
            <w:r w:rsidRPr="00E77E9D">
              <w:t>, due to the gradual shut down of New Zealand’s sole oil refinery (CO</w:t>
            </w:r>
            <w:r w:rsidRPr="00E77E9D">
              <w:rPr>
                <w:vertAlign w:val="subscript"/>
              </w:rPr>
              <w:t>2</w:t>
            </w:r>
            <w:r w:rsidRPr="00E77E9D">
              <w:t>), a decrease of 836 kt CO</w:t>
            </w:r>
            <w:r w:rsidRPr="00E77E9D">
              <w:rPr>
                <w:vertAlign w:val="subscript"/>
              </w:rPr>
              <w:t>2</w:t>
            </w:r>
            <w:r w:rsidRPr="00E77E9D">
              <w:t>e</w:t>
            </w:r>
          </w:p>
          <w:p w14:paraId="5E4B8AB8" w14:textId="77777777" w:rsidR="00F52C3D" w:rsidRPr="00E77E9D" w:rsidRDefault="00F52C3D" w:rsidP="00F52C3D">
            <w:pPr>
              <w:pStyle w:val="Keypointsub-bullet"/>
              <w:tabs>
                <w:tab w:val="clear" w:pos="1077"/>
              </w:tabs>
              <w:spacing w:before="0" w:after="100"/>
              <w:ind w:left="1020" w:hanging="340"/>
            </w:pPr>
            <w:r w:rsidRPr="00E77E9D">
              <w:rPr>
                <w:i/>
              </w:rPr>
              <w:t>Solid waste disposal</w:t>
            </w:r>
            <w:r w:rsidRPr="00E77E9D">
              <w:t>, due to improved landfill management (CH</w:t>
            </w:r>
            <w:r w:rsidRPr="00E77E9D">
              <w:rPr>
                <w:vertAlign w:val="subscript"/>
              </w:rPr>
              <w:t>4</w:t>
            </w:r>
            <w:r w:rsidRPr="00E77E9D">
              <w:t>), a decrease of 852 kt CO</w:t>
            </w:r>
            <w:r w:rsidRPr="00E77E9D">
              <w:rPr>
                <w:vertAlign w:val="subscript"/>
              </w:rPr>
              <w:t>2</w:t>
            </w:r>
            <w:r w:rsidRPr="00E77E9D">
              <w:t>e.</w:t>
            </w:r>
          </w:p>
          <w:p w14:paraId="1315AC5C" w14:textId="77777777" w:rsidR="00F52C3D" w:rsidRPr="00E77E9D" w:rsidRDefault="00F52C3D" w:rsidP="00F52C3D">
            <w:pPr>
              <w:pStyle w:val="Keypointsbullet"/>
              <w:spacing w:before="0" w:after="100"/>
              <w:ind w:left="681" w:hanging="397"/>
            </w:pPr>
            <w:r w:rsidRPr="00E77E9D">
              <w:t xml:space="preserve">These decreases were partially offset by increases from: </w:t>
            </w:r>
          </w:p>
          <w:p w14:paraId="4181EE09" w14:textId="77777777" w:rsidR="00F52C3D" w:rsidRPr="00E77E9D" w:rsidRDefault="00F52C3D" w:rsidP="00F52C3D">
            <w:pPr>
              <w:pStyle w:val="Keypointsub-bullet"/>
              <w:tabs>
                <w:tab w:val="clear" w:pos="1077"/>
              </w:tabs>
              <w:spacing w:before="0" w:after="100"/>
              <w:ind w:left="1020" w:hanging="340"/>
            </w:pPr>
            <w:r w:rsidRPr="00E77E9D">
              <w:rPr>
                <w:i/>
              </w:rPr>
              <w:t>Enteric fermentation</w:t>
            </w:r>
            <w:r w:rsidRPr="00E77E9D">
              <w:t xml:space="preserve"> from dairy cattle (CH</w:t>
            </w:r>
            <w:r w:rsidRPr="00E77E9D">
              <w:rPr>
                <w:vertAlign w:val="subscript"/>
              </w:rPr>
              <w:t>4</w:t>
            </w:r>
            <w:r w:rsidRPr="00E77E9D">
              <w:t>), due to an increase in the population and increased productivity, an increase of 4,035 kt CO</w:t>
            </w:r>
            <w:r w:rsidRPr="00E77E9D">
              <w:rPr>
                <w:vertAlign w:val="subscript"/>
              </w:rPr>
              <w:t>2</w:t>
            </w:r>
            <w:r w:rsidRPr="00E77E9D">
              <w:t>e</w:t>
            </w:r>
          </w:p>
          <w:p w14:paraId="309593FB" w14:textId="77777777" w:rsidR="00F52C3D" w:rsidRPr="00E77E9D" w:rsidRDefault="00F52C3D" w:rsidP="00F52C3D">
            <w:pPr>
              <w:pStyle w:val="Keypointsub-bullet"/>
              <w:tabs>
                <w:tab w:val="clear" w:pos="1077"/>
              </w:tabs>
              <w:spacing w:before="0" w:after="100"/>
              <w:ind w:left="1020" w:hanging="340"/>
            </w:pPr>
            <w:r w:rsidRPr="00E77E9D">
              <w:rPr>
                <w:i/>
              </w:rPr>
              <w:t xml:space="preserve">Road transportation </w:t>
            </w:r>
            <w:r w:rsidRPr="00E77E9D">
              <w:t>due to traffic growth (CO</w:t>
            </w:r>
            <w:r w:rsidRPr="00E77E9D">
              <w:rPr>
                <w:vertAlign w:val="subscript"/>
              </w:rPr>
              <w:t>2</w:t>
            </w:r>
            <w:r w:rsidRPr="00E77E9D">
              <w:t>), an increase of 1,451 kt CO</w:t>
            </w:r>
            <w:r w:rsidRPr="00E77E9D">
              <w:rPr>
                <w:vertAlign w:val="subscript"/>
              </w:rPr>
              <w:t>2</w:t>
            </w:r>
            <w:r w:rsidRPr="00E77E9D">
              <w:t>e</w:t>
            </w:r>
          </w:p>
          <w:p w14:paraId="755ACD50" w14:textId="77777777" w:rsidR="00F52C3D" w:rsidRPr="00E77E9D" w:rsidRDefault="00F52C3D" w:rsidP="00F52C3D">
            <w:pPr>
              <w:pStyle w:val="Keypointsub-bullet"/>
              <w:tabs>
                <w:tab w:val="clear" w:pos="1077"/>
              </w:tabs>
              <w:spacing w:before="0" w:after="100"/>
              <w:ind w:left="1020" w:hanging="340"/>
            </w:pPr>
            <w:r w:rsidRPr="00E77E9D">
              <w:rPr>
                <w:i/>
              </w:rPr>
              <w:t xml:space="preserve">Manure management </w:t>
            </w:r>
            <w:r w:rsidRPr="00E77E9D">
              <w:t>from dairy cattle (CH</w:t>
            </w:r>
            <w:r w:rsidRPr="00E77E9D">
              <w:rPr>
                <w:vertAlign w:val="subscript"/>
              </w:rPr>
              <w:t>4</w:t>
            </w:r>
            <w:r w:rsidRPr="00E77E9D">
              <w:t>), due to an increase in the population, an increase of 544 kt CO</w:t>
            </w:r>
            <w:r w:rsidRPr="00E77E9D">
              <w:rPr>
                <w:vertAlign w:val="subscript"/>
              </w:rPr>
              <w:t>2</w:t>
            </w:r>
            <w:r w:rsidRPr="00E77E9D">
              <w:t>e.</w:t>
            </w:r>
          </w:p>
          <w:p w14:paraId="37835AB1" w14:textId="77777777" w:rsidR="00F52C3D" w:rsidRPr="00E77E9D" w:rsidRDefault="00F52C3D" w:rsidP="00F52C3D">
            <w:pPr>
              <w:pStyle w:val="Keypointsbullet"/>
              <w:spacing w:before="0" w:after="100"/>
              <w:ind w:left="681" w:hanging="397"/>
            </w:pPr>
            <w:r w:rsidRPr="00E77E9D">
              <w:t>Net emissions decreased by 12 percent (7,391 kt CO</w:t>
            </w:r>
            <w:r w:rsidRPr="00E77E9D">
              <w:rPr>
                <w:vertAlign w:val="subscript"/>
              </w:rPr>
              <w:t>2</w:t>
            </w:r>
            <w:r w:rsidRPr="00E77E9D">
              <w:t>e), due to the underlying decrease in gross emissions, partially offset by a 9 percent (2,161 kt CO</w:t>
            </w:r>
            <w:r w:rsidRPr="00E77E9D">
              <w:rPr>
                <w:vertAlign w:val="subscript"/>
              </w:rPr>
              <w:t>2</w:t>
            </w:r>
            <w:r w:rsidRPr="00E77E9D">
              <w:t xml:space="preserve">e) increase in net emissions from LULUCF. </w:t>
            </w:r>
          </w:p>
          <w:p w14:paraId="453B100B" w14:textId="77777777" w:rsidR="00F52C3D" w:rsidRPr="00E77E9D" w:rsidRDefault="00F52C3D" w:rsidP="008B4277">
            <w:pPr>
              <w:pStyle w:val="Keypointsbullet"/>
              <w:spacing w:before="0"/>
              <w:ind w:left="681" w:hanging="397"/>
            </w:pPr>
            <w:r w:rsidRPr="00E77E9D">
              <w:t xml:space="preserve">The largest change in the LULUCF sector occurred in </w:t>
            </w:r>
            <w:r w:rsidRPr="00E77E9D">
              <w:rPr>
                <w:i/>
                <w:iCs/>
              </w:rPr>
              <w:t>Forest land</w:t>
            </w:r>
            <w:r w:rsidRPr="00E77E9D">
              <w:t>, with an increase in emissions of 14,244 kt CO</w:t>
            </w:r>
            <w:r w:rsidRPr="00E77E9D">
              <w:rPr>
                <w:vertAlign w:val="subscript"/>
              </w:rPr>
              <w:t>2</w:t>
            </w:r>
            <w:r w:rsidRPr="00E77E9D">
              <w:t>e because a larger proportion of planted forests were harvested in 2024 compared with 2005 levels. This increase was partially offset by a decrease in emissions of 11,175 kt CO</w:t>
            </w:r>
            <w:r w:rsidRPr="00E77E9D">
              <w:rPr>
                <w:vertAlign w:val="subscript"/>
              </w:rPr>
              <w:t>2</w:t>
            </w:r>
            <w:r w:rsidRPr="00E77E9D">
              <w:t xml:space="preserve">e in </w:t>
            </w:r>
            <w:r w:rsidRPr="00E77E9D">
              <w:rPr>
                <w:i/>
                <w:iCs/>
              </w:rPr>
              <w:t>Grassland</w:t>
            </w:r>
            <w:r w:rsidRPr="00E77E9D">
              <w:t xml:space="preserve"> driven by a reduction in conversions from </w:t>
            </w:r>
            <w:r w:rsidRPr="00E77E9D">
              <w:rPr>
                <w:i/>
                <w:iCs/>
              </w:rPr>
              <w:t>Forest land</w:t>
            </w:r>
            <w:r w:rsidRPr="00E77E9D">
              <w:t xml:space="preserve"> and a decrease in emissions of 771 kt CO</w:t>
            </w:r>
            <w:r w:rsidRPr="00E77E9D">
              <w:rPr>
                <w:vertAlign w:val="subscript"/>
              </w:rPr>
              <w:t>2</w:t>
            </w:r>
            <w:r w:rsidRPr="00E77E9D">
              <w:t xml:space="preserve">e from </w:t>
            </w:r>
            <w:r w:rsidRPr="00E77E9D">
              <w:rPr>
                <w:i/>
                <w:iCs/>
              </w:rPr>
              <w:t>Harvested wood products</w:t>
            </w:r>
            <w:r w:rsidRPr="00E77E9D">
              <w:t>.</w:t>
            </w:r>
          </w:p>
          <w:p w14:paraId="05E34460" w14:textId="77777777" w:rsidR="00F52C3D" w:rsidRPr="00E77E9D" w:rsidRDefault="00F52C3D" w:rsidP="00F16E23">
            <w:pPr>
              <w:pStyle w:val="Keypointshead"/>
              <w:spacing w:before="240" w:after="100"/>
            </w:pPr>
            <w:r w:rsidRPr="00E77E9D">
              <w:t>Between the 1990 and 2024 calendar years</w:t>
            </w:r>
          </w:p>
          <w:p w14:paraId="7AC2CA33" w14:textId="77777777" w:rsidR="00F52C3D" w:rsidRPr="00E77E9D" w:rsidRDefault="00F52C3D" w:rsidP="00F52C3D">
            <w:pPr>
              <w:pStyle w:val="Keypointsbullet"/>
              <w:spacing w:before="0" w:after="100"/>
              <w:ind w:left="681" w:hanging="397"/>
            </w:pPr>
            <w:r w:rsidRPr="00E77E9D">
              <w:t>New Zealand’s gross emissions have increased by 12 percent (8,246 kt CO</w:t>
            </w:r>
            <w:r w:rsidRPr="00E77E9D">
              <w:rPr>
                <w:vertAlign w:val="subscript"/>
              </w:rPr>
              <w:t>2</w:t>
            </w:r>
            <w:r w:rsidRPr="00E77E9D">
              <w:t>e). The emission sources that contributed the most to this increase were:</w:t>
            </w:r>
          </w:p>
          <w:p w14:paraId="1DD3F0A1" w14:textId="77777777" w:rsidR="00F52C3D" w:rsidRPr="00E77E9D" w:rsidRDefault="00F52C3D" w:rsidP="00F52C3D">
            <w:pPr>
              <w:pStyle w:val="Keypointsub-bullet"/>
              <w:tabs>
                <w:tab w:val="clear" w:pos="1077"/>
              </w:tabs>
              <w:spacing w:before="0" w:after="100"/>
              <w:ind w:left="1020" w:hanging="340"/>
            </w:pPr>
            <w:r w:rsidRPr="00E77E9D">
              <w:rPr>
                <w:i/>
              </w:rPr>
              <w:t>Enteric fermentation</w:t>
            </w:r>
            <w:r w:rsidRPr="00E77E9D">
              <w:t xml:space="preserve"> from dairy cattle (CH</w:t>
            </w:r>
            <w:r w:rsidRPr="00E77E9D">
              <w:rPr>
                <w:vertAlign w:val="subscript"/>
              </w:rPr>
              <w:t>4</w:t>
            </w:r>
            <w:r w:rsidRPr="00E77E9D">
              <w:t>), due to an increase in the population and increased productivity, an increase of 8,803 kt CO</w:t>
            </w:r>
            <w:r w:rsidRPr="00E77E9D">
              <w:rPr>
                <w:vertAlign w:val="subscript"/>
              </w:rPr>
              <w:t>2</w:t>
            </w:r>
            <w:r w:rsidRPr="00E77E9D">
              <w:t>e</w:t>
            </w:r>
          </w:p>
          <w:p w14:paraId="66C30BC1" w14:textId="77777777" w:rsidR="00F52C3D" w:rsidRPr="00E77E9D" w:rsidRDefault="00F52C3D" w:rsidP="00F52C3D">
            <w:pPr>
              <w:pStyle w:val="Keypointsub-bullet"/>
              <w:tabs>
                <w:tab w:val="clear" w:pos="1077"/>
              </w:tabs>
              <w:spacing w:before="0" w:after="100"/>
              <w:ind w:left="1020" w:hanging="340"/>
            </w:pPr>
            <w:r w:rsidRPr="00E77E9D">
              <w:rPr>
                <w:i/>
              </w:rPr>
              <w:t>Road transportation</w:t>
            </w:r>
            <w:r w:rsidRPr="00E77E9D">
              <w:t xml:space="preserve"> due to traffic growth (CO</w:t>
            </w:r>
            <w:r w:rsidRPr="00E77E9D">
              <w:rPr>
                <w:vertAlign w:val="subscript"/>
              </w:rPr>
              <w:t>2</w:t>
            </w:r>
            <w:r w:rsidRPr="00E77E9D">
              <w:t>), an increase of 5,809 kt CO</w:t>
            </w:r>
            <w:r w:rsidRPr="00E77E9D">
              <w:rPr>
                <w:vertAlign w:val="subscript"/>
              </w:rPr>
              <w:t>2</w:t>
            </w:r>
            <w:r w:rsidRPr="00E77E9D">
              <w:t>e</w:t>
            </w:r>
          </w:p>
          <w:p w14:paraId="63A6DEF3" w14:textId="77777777" w:rsidR="00F52C3D" w:rsidRPr="00E77E9D" w:rsidRDefault="00F52C3D" w:rsidP="00F52C3D">
            <w:pPr>
              <w:pStyle w:val="Keypointsub-bullet"/>
              <w:tabs>
                <w:tab w:val="clear" w:pos="1077"/>
              </w:tabs>
              <w:spacing w:before="0" w:after="100"/>
              <w:ind w:left="1020" w:hanging="340"/>
            </w:pPr>
            <w:r w:rsidRPr="00E77E9D">
              <w:rPr>
                <w:i/>
              </w:rPr>
              <w:t>Agricultural soils</w:t>
            </w:r>
            <w:r w:rsidRPr="00E77E9D">
              <w:t xml:space="preserve"> largely due to increased nitrogenous fertiliser use (N</w:t>
            </w:r>
            <w:r w:rsidRPr="00E77E9D">
              <w:rPr>
                <w:vertAlign w:val="subscript"/>
              </w:rPr>
              <w:t>2</w:t>
            </w:r>
            <w:r w:rsidRPr="00E77E9D">
              <w:t>O), an increase of 1,667 kt CO</w:t>
            </w:r>
            <w:r w:rsidRPr="00E77E9D">
              <w:rPr>
                <w:vertAlign w:val="subscript"/>
              </w:rPr>
              <w:t>2</w:t>
            </w:r>
            <w:r w:rsidRPr="00E77E9D">
              <w:t>e</w:t>
            </w:r>
          </w:p>
          <w:p w14:paraId="13C40970" w14:textId="77777777" w:rsidR="00F52C3D" w:rsidRPr="00E77E9D" w:rsidRDefault="00F52C3D" w:rsidP="00F52C3D">
            <w:pPr>
              <w:pStyle w:val="Keypointsub-bullet"/>
              <w:tabs>
                <w:tab w:val="clear" w:pos="1077"/>
              </w:tabs>
              <w:spacing w:before="0" w:after="100"/>
              <w:ind w:left="1020" w:hanging="340"/>
            </w:pPr>
            <w:r w:rsidRPr="00E77E9D">
              <w:t>increasing use of fluorinated alternatives (hydrofluorocarbons) mainly in refrigeration and air-conditioning systems that replaced ozone depleting substances, an increase of 1,043 kt CO</w:t>
            </w:r>
            <w:r w:rsidRPr="00E77E9D">
              <w:rPr>
                <w:vertAlign w:val="subscript"/>
              </w:rPr>
              <w:t>2</w:t>
            </w:r>
            <w:r w:rsidRPr="00E77E9D">
              <w:t>e</w:t>
            </w:r>
          </w:p>
          <w:p w14:paraId="62AADC83" w14:textId="77777777" w:rsidR="00F52C3D" w:rsidRPr="00E77E9D" w:rsidRDefault="00F52C3D" w:rsidP="00F52C3D">
            <w:pPr>
              <w:pStyle w:val="Keypointsub-bullet"/>
              <w:tabs>
                <w:tab w:val="clear" w:pos="1077"/>
              </w:tabs>
              <w:spacing w:before="0" w:after="100"/>
              <w:ind w:left="1020" w:hanging="340"/>
            </w:pPr>
            <w:r w:rsidRPr="00E77E9D">
              <w:rPr>
                <w:i/>
              </w:rPr>
              <w:t>Manure management</w:t>
            </w:r>
            <w:r w:rsidRPr="00E77E9D">
              <w:t xml:space="preserve"> from dairy cattle (CH</w:t>
            </w:r>
            <w:r w:rsidRPr="00E77E9D">
              <w:rPr>
                <w:vertAlign w:val="subscript"/>
              </w:rPr>
              <w:t>4</w:t>
            </w:r>
            <w:r w:rsidRPr="00E77E9D">
              <w:t>), due to an increase in the population, an increase of 896 kt CO</w:t>
            </w:r>
            <w:r w:rsidRPr="00E77E9D">
              <w:rPr>
                <w:vertAlign w:val="subscript"/>
              </w:rPr>
              <w:t>2</w:t>
            </w:r>
            <w:r w:rsidRPr="00E77E9D">
              <w:t>e</w:t>
            </w:r>
          </w:p>
          <w:p w14:paraId="4FDA6ABA" w14:textId="77777777" w:rsidR="00F52C3D" w:rsidRPr="00E77E9D" w:rsidRDefault="00F52C3D" w:rsidP="00F52C3D">
            <w:pPr>
              <w:pStyle w:val="Keypointsub-bullet"/>
              <w:tabs>
                <w:tab w:val="clear" w:pos="1077"/>
              </w:tabs>
              <w:spacing w:before="0" w:after="100"/>
              <w:ind w:left="1020" w:hanging="340"/>
            </w:pPr>
            <w:r w:rsidRPr="00E77E9D">
              <w:t xml:space="preserve">fuel use in </w:t>
            </w:r>
            <w:r w:rsidRPr="00E77E9D">
              <w:rPr>
                <w:i/>
              </w:rPr>
              <w:t>Manufacturing industries and construction</w:t>
            </w:r>
            <w:r w:rsidRPr="00E77E9D">
              <w:t xml:space="preserve"> (CO</w:t>
            </w:r>
            <w:r w:rsidRPr="00E77E9D">
              <w:rPr>
                <w:vertAlign w:val="subscript"/>
              </w:rPr>
              <w:t>2</w:t>
            </w:r>
            <w:r w:rsidRPr="00E77E9D">
              <w:t>), due to increased economic activity, an increase of 664 kt CO</w:t>
            </w:r>
            <w:r w:rsidRPr="00E77E9D">
              <w:rPr>
                <w:vertAlign w:val="subscript"/>
              </w:rPr>
              <w:t>2</w:t>
            </w:r>
            <w:r w:rsidRPr="00E77E9D">
              <w:t>e.</w:t>
            </w:r>
          </w:p>
          <w:p w14:paraId="093D32F2" w14:textId="77777777" w:rsidR="00F52C3D" w:rsidRPr="00E77E9D" w:rsidRDefault="00F52C3D" w:rsidP="00F52C3D">
            <w:pPr>
              <w:pStyle w:val="Keypointsbullet"/>
              <w:spacing w:before="0" w:after="100"/>
              <w:ind w:left="681" w:hanging="397"/>
            </w:pPr>
            <w:r w:rsidRPr="00E77E9D">
              <w:t xml:space="preserve">These increases were partially offset by decreases in: </w:t>
            </w:r>
          </w:p>
          <w:p w14:paraId="0BD82B6F" w14:textId="77777777" w:rsidR="00F52C3D" w:rsidRPr="00E77E9D" w:rsidRDefault="00F52C3D" w:rsidP="00F52C3D">
            <w:pPr>
              <w:pStyle w:val="Keypointsub-bullet"/>
              <w:tabs>
                <w:tab w:val="clear" w:pos="1077"/>
              </w:tabs>
              <w:spacing w:before="0" w:after="100"/>
              <w:ind w:left="1020" w:hanging="340"/>
            </w:pPr>
            <w:r w:rsidRPr="00E77E9D">
              <w:rPr>
                <w:i/>
              </w:rPr>
              <w:t>Enteric fermentation</w:t>
            </w:r>
            <w:r w:rsidRPr="00E77E9D">
              <w:t xml:space="preserve"> from sheep (CH</w:t>
            </w:r>
            <w:r w:rsidRPr="00E77E9D">
              <w:rPr>
                <w:vertAlign w:val="subscript"/>
              </w:rPr>
              <w:t>4</w:t>
            </w:r>
            <w:r w:rsidRPr="00E77E9D">
              <w:t>), due to declines in the population, a decrease of 7,763 kt CO</w:t>
            </w:r>
            <w:r w:rsidRPr="00E77E9D">
              <w:rPr>
                <w:vertAlign w:val="subscript"/>
              </w:rPr>
              <w:t>2</w:t>
            </w:r>
            <w:r w:rsidRPr="00E77E9D">
              <w:t>e</w:t>
            </w:r>
          </w:p>
          <w:p w14:paraId="7F06F9AB" w14:textId="77777777" w:rsidR="00F52C3D" w:rsidRPr="00E77E9D" w:rsidRDefault="00F52C3D" w:rsidP="00F52C3D">
            <w:pPr>
              <w:pStyle w:val="Keypointsub-bullet"/>
              <w:tabs>
                <w:tab w:val="clear" w:pos="1077"/>
              </w:tabs>
              <w:spacing w:before="0" w:after="100"/>
              <w:ind w:left="1020" w:hanging="340"/>
            </w:pPr>
            <w:r w:rsidRPr="00E77E9D">
              <w:rPr>
                <w:i/>
              </w:rPr>
              <w:t>Manufacturing of solid fuels and other energy industries</w:t>
            </w:r>
            <w:r w:rsidRPr="00E77E9D">
              <w:t xml:space="preserve"> (CO</w:t>
            </w:r>
            <w:r w:rsidRPr="00E77E9D">
              <w:rPr>
                <w:vertAlign w:val="subscript"/>
              </w:rPr>
              <w:t>2</w:t>
            </w:r>
            <w:r w:rsidRPr="00E77E9D">
              <w:t>), primarily due to the ending of synthetic gasoline production in 1997 a decrease of 1,459 kt CO</w:t>
            </w:r>
            <w:r w:rsidRPr="00E77E9D">
              <w:rPr>
                <w:vertAlign w:val="subscript"/>
              </w:rPr>
              <w:t>2</w:t>
            </w:r>
            <w:r w:rsidRPr="00E77E9D">
              <w:t>e</w:t>
            </w:r>
          </w:p>
          <w:p w14:paraId="49A505BD" w14:textId="399FD82B" w:rsidR="00F52C3D" w:rsidRPr="00E77E9D" w:rsidRDefault="00F52C3D" w:rsidP="004A5430">
            <w:pPr>
              <w:pStyle w:val="Keypointsub-bullet"/>
              <w:tabs>
                <w:tab w:val="clear" w:pos="1077"/>
              </w:tabs>
              <w:spacing w:after="100"/>
              <w:ind w:left="1020" w:hanging="340"/>
            </w:pPr>
            <w:r w:rsidRPr="00E77E9D">
              <w:rPr>
                <w:i/>
              </w:rPr>
              <w:t>Petroleum refining</w:t>
            </w:r>
            <w:r w:rsidRPr="00E77E9D">
              <w:t>, due to the shut down of New Zealand’s sole oil refinery in 2022 (CO</w:t>
            </w:r>
            <w:r w:rsidRPr="00E77E9D">
              <w:rPr>
                <w:vertAlign w:val="subscript"/>
              </w:rPr>
              <w:t>2</w:t>
            </w:r>
            <w:r w:rsidRPr="00E77E9D">
              <w:t>), a</w:t>
            </w:r>
            <w:r w:rsidR="001F14B3">
              <w:t> </w:t>
            </w:r>
            <w:r w:rsidRPr="00E77E9D">
              <w:t>decrease of 779 kt CO</w:t>
            </w:r>
            <w:r w:rsidRPr="00E77E9D">
              <w:rPr>
                <w:vertAlign w:val="subscript"/>
              </w:rPr>
              <w:t>2</w:t>
            </w:r>
            <w:r w:rsidRPr="00E77E9D">
              <w:t>e</w:t>
            </w:r>
          </w:p>
          <w:p w14:paraId="5AD9FDCC" w14:textId="13646CBA" w:rsidR="00F52C3D" w:rsidRPr="00E77E9D" w:rsidRDefault="00F52C3D" w:rsidP="00F52C3D">
            <w:pPr>
              <w:pStyle w:val="Keypointsub-bullet"/>
              <w:tabs>
                <w:tab w:val="clear" w:pos="1077"/>
              </w:tabs>
              <w:spacing w:before="0" w:after="100"/>
              <w:ind w:left="1020" w:hanging="340"/>
            </w:pPr>
            <w:r w:rsidRPr="00E77E9D">
              <w:rPr>
                <w:i/>
              </w:rPr>
              <w:t>Metal industry</w:t>
            </w:r>
            <w:r w:rsidRPr="00E77E9D">
              <w:t xml:space="preserve"> (perfluorocarbons), due to improved technology in aluminium production, a</w:t>
            </w:r>
            <w:r w:rsidR="001F14B3">
              <w:t> </w:t>
            </w:r>
            <w:r w:rsidRPr="00E77E9D">
              <w:t>decrease of 501 kt CO</w:t>
            </w:r>
            <w:r w:rsidRPr="00E77E9D">
              <w:rPr>
                <w:vertAlign w:val="subscript"/>
              </w:rPr>
              <w:t>2</w:t>
            </w:r>
            <w:r w:rsidRPr="00E77E9D">
              <w:t>e</w:t>
            </w:r>
            <w:r w:rsidR="00AD405B">
              <w:t>.</w:t>
            </w:r>
          </w:p>
          <w:p w14:paraId="77EA68A7" w14:textId="77777777" w:rsidR="00F52C3D" w:rsidRPr="00E77E9D" w:rsidRDefault="00F52C3D" w:rsidP="00F52C3D">
            <w:pPr>
              <w:pStyle w:val="Keypointsbullet"/>
              <w:spacing w:before="0" w:after="100"/>
              <w:ind w:left="681" w:hanging="397"/>
            </w:pPr>
            <w:r w:rsidRPr="00E77E9D">
              <w:t>The Waste sector is the only sector to have decreased emissions, with a 10 percent reduction (319 kt CO</w:t>
            </w:r>
            <w:r w:rsidRPr="00E77E9D">
              <w:rPr>
                <w:vertAlign w:val="subscript"/>
              </w:rPr>
              <w:t>2</w:t>
            </w:r>
            <w:r w:rsidRPr="00E77E9D">
              <w:t xml:space="preserve">e). Waste emissions peaked in 2002 but have been declining since due to ongoing improvements in the management of solid waste disposal at municipal landfills, particularly in landfill gas recovery. </w:t>
            </w:r>
          </w:p>
          <w:p w14:paraId="76BDBDEF" w14:textId="77777777" w:rsidR="00F52C3D" w:rsidRPr="00E77E9D" w:rsidRDefault="00F52C3D" w:rsidP="00F52C3D">
            <w:pPr>
              <w:pStyle w:val="Keypointsbullet"/>
              <w:spacing w:before="0" w:after="100"/>
              <w:ind w:left="681" w:hanging="397"/>
            </w:pPr>
            <w:r w:rsidRPr="00E77E9D">
              <w:t>New Zealand’s net emissions have increased by 24 percent (10,603 kt CO</w:t>
            </w:r>
            <w:r w:rsidRPr="00E77E9D">
              <w:rPr>
                <w:vertAlign w:val="subscript"/>
              </w:rPr>
              <w:t>2</w:t>
            </w:r>
            <w:r w:rsidRPr="00E77E9D">
              <w:t>e) due to the underlying increase in gross emissions and an increase in net emissions from the LULUCF sector.</w:t>
            </w:r>
          </w:p>
          <w:p w14:paraId="682C6FFC" w14:textId="77777777" w:rsidR="00F52C3D" w:rsidRPr="00E77E9D" w:rsidRDefault="00F52C3D" w:rsidP="008B4277">
            <w:pPr>
              <w:pStyle w:val="Keypointsbullet"/>
              <w:spacing w:before="0"/>
              <w:ind w:left="681" w:hanging="397"/>
            </w:pPr>
            <w:r w:rsidRPr="00E77E9D">
              <w:t>Net emissions from the LULUCF sector have increased by 10 percent (2,357 kt CO</w:t>
            </w:r>
            <w:r w:rsidRPr="00E77E9D">
              <w:rPr>
                <w:vertAlign w:val="subscript"/>
              </w:rPr>
              <w:t>2</w:t>
            </w:r>
            <w:r w:rsidRPr="00E77E9D">
              <w:t xml:space="preserve">e) mainly due to higher rates of timber harvest associated with the cyclical nature of production forestry activities. </w:t>
            </w:r>
          </w:p>
          <w:p w14:paraId="0BD1019F" w14:textId="77777777" w:rsidR="00F52C3D" w:rsidRPr="00E77E9D" w:rsidRDefault="00F52C3D" w:rsidP="00F16E23">
            <w:pPr>
              <w:pStyle w:val="Keypointshead"/>
              <w:spacing w:before="240" w:after="100"/>
            </w:pPr>
            <w:r w:rsidRPr="00E77E9D">
              <w:t>Inventory improvements</w:t>
            </w:r>
          </w:p>
          <w:p w14:paraId="6C37F9E4" w14:textId="77777777" w:rsidR="00F52C3D" w:rsidRPr="00E77E9D" w:rsidRDefault="00F52C3D" w:rsidP="00F52C3D">
            <w:pPr>
              <w:pStyle w:val="Keypointsbullet"/>
              <w:spacing w:before="0" w:after="100"/>
              <w:ind w:left="681" w:hanging="397"/>
            </w:pPr>
            <w:r w:rsidRPr="00E77E9D">
              <w:t>Improvements were introduced to the 2026 submission of the Inventory that required emissions estimates to be recalculated across the time series back to 1990.</w:t>
            </w:r>
          </w:p>
          <w:p w14:paraId="3A7A8475" w14:textId="77777777" w:rsidR="00F52C3D" w:rsidRPr="00E77E9D" w:rsidRDefault="00F52C3D" w:rsidP="00F52C3D">
            <w:pPr>
              <w:pStyle w:val="Keypointsbullet"/>
              <w:spacing w:before="0" w:after="100"/>
              <w:ind w:left="681" w:hanging="397"/>
            </w:pPr>
            <w:r w:rsidRPr="00E77E9D">
              <w:t>The overall impact of improvements on New Zealand’s gross emissions estimates was a decrease of 0.2 percent (114 kt CO</w:t>
            </w:r>
            <w:r w:rsidRPr="00E77E9D">
              <w:rPr>
                <w:vertAlign w:val="subscript"/>
              </w:rPr>
              <w:t>2</w:t>
            </w:r>
            <w:r w:rsidRPr="00E77E9D">
              <w:t>e) in 1990, a decrease of 0.2 percent (181 kt CO</w:t>
            </w:r>
            <w:r w:rsidRPr="00E77E9D">
              <w:rPr>
                <w:vertAlign w:val="subscript"/>
              </w:rPr>
              <w:t>2</w:t>
            </w:r>
            <w:r w:rsidRPr="00E77E9D">
              <w:t>e) in 2005 and a decrease of 0.7 percent (517 kt CO</w:t>
            </w:r>
            <w:r w:rsidRPr="00E77E9D">
              <w:rPr>
                <w:vertAlign w:val="subscript"/>
              </w:rPr>
              <w:t>2</w:t>
            </w:r>
            <w:r w:rsidRPr="00E77E9D">
              <w:t>e) in 2023.</w:t>
            </w:r>
          </w:p>
          <w:p w14:paraId="09385440" w14:textId="77777777" w:rsidR="00F52C3D" w:rsidRPr="00E77E9D" w:rsidRDefault="00F52C3D" w:rsidP="00F52C3D">
            <w:pPr>
              <w:pStyle w:val="Keypointsbullet"/>
              <w:spacing w:before="0" w:after="100"/>
              <w:ind w:left="681" w:hanging="397"/>
            </w:pPr>
            <w:r w:rsidRPr="00E77E9D">
              <w:t>The overall impact of improvements on New Zealand’s net emissions estimates, which include the LULUCF sector, was an increase of 2 percent (886 kt CO</w:t>
            </w:r>
            <w:r w:rsidRPr="00E77E9D">
              <w:rPr>
                <w:vertAlign w:val="subscript"/>
              </w:rPr>
              <w:t>2</w:t>
            </w:r>
            <w:r w:rsidRPr="00E77E9D">
              <w:t>e) in 1990, an increase of 2 percent (1,043 kt CO</w:t>
            </w:r>
            <w:r w:rsidRPr="00E77E9D">
              <w:rPr>
                <w:vertAlign w:val="subscript"/>
              </w:rPr>
              <w:t>2</w:t>
            </w:r>
            <w:r w:rsidRPr="00E77E9D">
              <w:t>e) in 2005 and a decrease of 0.5 percent (250 kt CO</w:t>
            </w:r>
            <w:r w:rsidRPr="00E77E9D">
              <w:rPr>
                <w:vertAlign w:val="subscript"/>
              </w:rPr>
              <w:t>2</w:t>
            </w:r>
            <w:r w:rsidRPr="00E77E9D">
              <w:t>e) in 2023.</w:t>
            </w:r>
          </w:p>
        </w:tc>
      </w:tr>
    </w:tbl>
    <w:p w14:paraId="3EC3BB08" w14:textId="4DA85E10" w:rsidR="00F52C3D" w:rsidRPr="00E77E9D" w:rsidRDefault="00F52C3D" w:rsidP="00F52C3D">
      <w:pPr>
        <w:pStyle w:val="Heading2"/>
        <w:spacing w:before="480"/>
      </w:pPr>
      <w:bookmarkStart w:id="4" w:name="_Toc226460730"/>
      <w:bookmarkStart w:id="5" w:name="Xe5410b2ef9ca26007f44a5b182a3c59606ed245"/>
      <w:r w:rsidRPr="00E77E9D">
        <w:t>ES.1</w:t>
      </w:r>
      <w:r w:rsidRPr="00E77E9D">
        <w:tab/>
        <w:t>Background information on greenhouse gas</w:t>
      </w:r>
      <w:r w:rsidR="008B4277">
        <w:t> </w:t>
      </w:r>
      <w:r w:rsidRPr="00E77E9D">
        <w:t>inventories and climate change</w:t>
      </w:r>
      <w:bookmarkEnd w:id="4"/>
    </w:p>
    <w:p w14:paraId="75EAE5A3" w14:textId="77777777" w:rsidR="00F52C3D" w:rsidRPr="00E77E9D" w:rsidRDefault="00F52C3D" w:rsidP="004A5430">
      <w:pPr>
        <w:pStyle w:val="BodyText"/>
        <w:spacing w:before="100" w:after="100"/>
      </w:pPr>
      <w:r w:rsidRPr="00E77E9D">
        <w:rPr>
          <w:i/>
          <w:iCs/>
        </w:rPr>
        <w:t>New Zealand’s Greenhouse Gas Inventory</w:t>
      </w:r>
      <w:r w:rsidRPr="00E77E9D">
        <w:t xml:space="preserve"> (the Inventory) is the official annual estimate of all anthropogenic (human-induced) emissions and removals of greenhouse gases (GHGs) in New Zealand.</w:t>
      </w:r>
    </w:p>
    <w:p w14:paraId="4F78A636" w14:textId="77777777" w:rsidR="00F52C3D" w:rsidRPr="00E77E9D" w:rsidRDefault="00F52C3D" w:rsidP="004A5430">
      <w:pPr>
        <w:pStyle w:val="BodyText"/>
        <w:spacing w:before="100" w:after="100"/>
      </w:pPr>
      <w:r w:rsidRPr="00E77E9D">
        <w:t>The Inventory provides the official basis for measuring New Zealand’s progress under the United Nations Framework Convention on Climate Change (UNFCCC or the Convention) and the Paris Agreement, and for tracking its emissions reduction targets.</w:t>
      </w:r>
    </w:p>
    <w:p w14:paraId="628D332B" w14:textId="77777777" w:rsidR="00F52C3D" w:rsidRPr="00E77E9D" w:rsidRDefault="00F52C3D" w:rsidP="004A5430">
      <w:pPr>
        <w:pStyle w:val="BodyText"/>
        <w:spacing w:before="100" w:after="100"/>
      </w:pPr>
      <w:r w:rsidRPr="00E77E9D">
        <w:t>New Zealand ratified the Convention on 16 September 1993 and the Paris Agreement on 4 October 2016. This commits New Zealand to submitting the Inventory under the Convention by 15 April of each year. From the 2024 reporting year onwards, the obligations for submitting annual greenhouse gas inventories under the Convention are met by applying the reporting guidelines for greenhouse gas inventories agreed to under the Paris Agreement (decision 1/CP.24).</w:t>
      </w:r>
    </w:p>
    <w:p w14:paraId="5DF0D262" w14:textId="77777777" w:rsidR="00F52C3D" w:rsidRPr="00E77E9D" w:rsidRDefault="00F52C3D" w:rsidP="004A5430">
      <w:pPr>
        <w:pStyle w:val="BodyText"/>
        <w:spacing w:before="100" w:after="100"/>
      </w:pPr>
      <w:r w:rsidRPr="00E77E9D">
        <w:t>New Zealand’s ratification of the Convention and the Paris Agreement was extended to include Tokelau on 13 November 2017. Greenhouse gas emissions and removals estimates from Tokelau have been included in the Inventory since the 2019 submission.</w:t>
      </w:r>
    </w:p>
    <w:p w14:paraId="7AC3EAAA" w14:textId="77777777" w:rsidR="00F52C3D" w:rsidRPr="00E77E9D" w:rsidRDefault="00F52C3D" w:rsidP="004A5430">
      <w:pPr>
        <w:pStyle w:val="BodyText"/>
        <w:spacing w:before="100" w:after="100"/>
      </w:pPr>
      <w:r w:rsidRPr="00E77E9D">
        <w:rPr>
          <w:spacing w:val="-2"/>
        </w:rPr>
        <w:t>The Inventory adheres to the detailed rules that govern how countries must report, review and track their climate actions under the Paris Agreement. These rules are known as the modalities, procedures and guidelines (MPGs) that were formally adopted in decision 18/CMA.1 (UNFCCC, 2018). Guidance for operationalising the MPGs is contained in annexes I and V to decision 5/CMA.3 (UNFCCC, 2021). These MPGs supersede the measurement, reporting and verification system established under the Convention through decisions 1/CP.16 and 2/CP.</w:t>
      </w:r>
      <w:r w:rsidRPr="00E77E9D">
        <w:t xml:space="preserve">17. </w:t>
      </w:r>
    </w:p>
    <w:p w14:paraId="490E7FA2" w14:textId="77777777" w:rsidR="00F52C3D" w:rsidRPr="00E77E9D" w:rsidRDefault="00F52C3D" w:rsidP="00F52C3D">
      <w:pPr>
        <w:pStyle w:val="BodyText"/>
      </w:pPr>
      <w:r w:rsidRPr="00E77E9D">
        <w:t>The Inventory includes a comprehensive and detailed description of the methodologies applied for estimating national sources and sinks of anthropogenic GHGs, in a common and consistent format that enables Parties to the Convention and Paris Agreement to compare the relative contribution of different emissions sources and GHGs to climate change.</w:t>
      </w:r>
    </w:p>
    <w:p w14:paraId="4C4337B4" w14:textId="77777777" w:rsidR="00F52C3D" w:rsidRPr="00E77E9D" w:rsidRDefault="00F52C3D" w:rsidP="00F52C3D">
      <w:pPr>
        <w:pStyle w:val="BodyText"/>
      </w:pPr>
      <w:r w:rsidRPr="00E77E9D">
        <w:t>The Inventory comprises a national inventory document and a set of common reporting tables </w:t>
      </w:r>
      <w:r w:rsidRPr="00E77E9D">
        <w:rPr>
          <w:spacing w:val="-2"/>
        </w:rPr>
        <w:t>(CRTs). The national inventory document is a narrative that presents key findings, major emissions trends, and describes the methodologies used for estimating emissions and removals. It also includes sections on the uncertainties of the emissions estimates, recalculations and improvements. The CRTs contain inventory estima</w:t>
      </w:r>
      <w:r w:rsidRPr="00E77E9D">
        <w:t>tes that cover all emissions and removals from human-induced activities in New Zealand since 1990.</w:t>
      </w:r>
    </w:p>
    <w:p w14:paraId="49BCC3AA" w14:textId="77777777" w:rsidR="00F52C3D" w:rsidRPr="00E77E9D" w:rsidRDefault="00F52C3D" w:rsidP="00F52C3D">
      <w:pPr>
        <w:pStyle w:val="BodyText"/>
      </w:pPr>
      <w:r w:rsidRPr="00E77E9D">
        <w:t>Inventory reporting covers seven direct GHGs: carbon dioxide (CO</w:t>
      </w:r>
      <w:r w:rsidRPr="00E77E9D">
        <w:rPr>
          <w:vertAlign w:val="subscript"/>
        </w:rPr>
        <w:t>2</w:t>
      </w:r>
      <w:r w:rsidRPr="00E77E9D">
        <w:t>), methane (CH</w:t>
      </w:r>
      <w:r w:rsidRPr="00E77E9D">
        <w:rPr>
          <w:vertAlign w:val="subscript"/>
        </w:rPr>
        <w:t>4</w:t>
      </w:r>
      <w:r w:rsidRPr="00E77E9D">
        <w:t>), nitrous oxide (N</w:t>
      </w:r>
      <w:r w:rsidRPr="00E77E9D">
        <w:rPr>
          <w:vertAlign w:val="subscript"/>
        </w:rPr>
        <w:t>2</w:t>
      </w:r>
      <w:r w:rsidRPr="00E77E9D">
        <w:t>O), hydrofluorocarbons (HFCs), perfluorocarbons (PFCs), sulphur hexafluoride (SF</w:t>
      </w:r>
      <w:r w:rsidRPr="00E77E9D">
        <w:rPr>
          <w:vertAlign w:val="subscript"/>
        </w:rPr>
        <w:t>6</w:t>
      </w:r>
      <w:r w:rsidRPr="00E77E9D">
        <w:t>) and nitrogen trifluoride (NF</w:t>
      </w:r>
      <w:r w:rsidRPr="00E77E9D">
        <w:rPr>
          <w:vertAlign w:val="subscript"/>
        </w:rPr>
        <w:t>3</w:t>
      </w:r>
      <w:r w:rsidRPr="00E77E9D">
        <w:t>). These are the most important GHGs directly emitted as a result of human activities. Indirect GHGs are also included in this report; however, only emissions and removals of the direct GHGs are included in estimates of total national emissions.</w:t>
      </w:r>
    </w:p>
    <w:p w14:paraId="69AB3157" w14:textId="77777777" w:rsidR="00F52C3D" w:rsidRPr="00E77E9D" w:rsidRDefault="00F52C3D" w:rsidP="00F52C3D">
      <w:pPr>
        <w:pStyle w:val="BodyText"/>
      </w:pPr>
      <w:r w:rsidRPr="00E77E9D">
        <w:t>New Zealand’s GHGs are reported under five sectors: Energy; Industrial Processes and Product Use (IPPU); Agriculture; Land Use, Land-Use Change and Forestry (LULUCF); and Waste. Tokelau’s emissions are also reported separately by sector as ‘Other’.</w:t>
      </w:r>
    </w:p>
    <w:p w14:paraId="6790B59D" w14:textId="77777777" w:rsidR="00F52C3D" w:rsidRPr="00E77E9D" w:rsidRDefault="00F52C3D" w:rsidP="00F52C3D">
      <w:pPr>
        <w:pStyle w:val="Heading2"/>
        <w:tabs>
          <w:tab w:val="clear" w:pos="851"/>
          <w:tab w:val="left" w:pos="964"/>
        </w:tabs>
      </w:pPr>
      <w:bookmarkStart w:id="6" w:name="_Toc226460731"/>
      <w:bookmarkStart w:id="7" w:name="X027b55f82022d9a24d92508a06758f8547dfbfd"/>
      <w:bookmarkEnd w:id="5"/>
      <w:r w:rsidRPr="00E77E9D">
        <w:t xml:space="preserve">ES.2 </w:t>
      </w:r>
      <w:r w:rsidRPr="00E77E9D">
        <w:tab/>
        <w:t>Summary of trends related to national emissions and removals</w:t>
      </w:r>
      <w:bookmarkEnd w:id="6"/>
    </w:p>
    <w:p w14:paraId="35942E2A" w14:textId="77777777" w:rsidR="00F52C3D" w:rsidRPr="00E77E9D" w:rsidRDefault="00F52C3D" w:rsidP="00F52C3D">
      <w:pPr>
        <w:pStyle w:val="Heading3"/>
        <w:spacing w:before="240"/>
      </w:pPr>
      <w:r w:rsidRPr="00E77E9D">
        <w:t>Gross emissions</w:t>
      </w:r>
    </w:p>
    <w:p w14:paraId="10BBCAD7" w14:textId="77777777" w:rsidR="00F52C3D" w:rsidRPr="00E77E9D" w:rsidRDefault="00F52C3D" w:rsidP="00F52C3D">
      <w:pPr>
        <w:pStyle w:val="BodyText"/>
      </w:pPr>
      <w:r w:rsidRPr="00E77E9D">
        <w:t>Gross emissions include those from the Energy, IPPU, Agriculture and Waste sectors, and Tokelau, but do not include emissions and removals from the LULUCF sector.</w:t>
      </w:r>
    </w:p>
    <w:p w14:paraId="0F615BD2" w14:textId="77777777" w:rsidR="00F52C3D" w:rsidRPr="00E77E9D" w:rsidRDefault="00F52C3D" w:rsidP="00F52C3D">
      <w:pPr>
        <w:pStyle w:val="Heading4"/>
      </w:pPr>
      <w:r w:rsidRPr="00E77E9D">
        <w:t>2023–2024</w:t>
      </w:r>
    </w:p>
    <w:p w14:paraId="250C463B" w14:textId="77777777" w:rsidR="00F52C3D" w:rsidRPr="00E77E9D" w:rsidRDefault="00F52C3D" w:rsidP="00F52C3D">
      <w:pPr>
        <w:pStyle w:val="BodyText"/>
        <w:rPr>
          <w:highlight w:val="yellow"/>
        </w:rPr>
      </w:pPr>
      <w:r w:rsidRPr="00E77E9D">
        <w:t>In 2024, gross emissions were 75,811.6 kilotonnes carbon dioxide equivalent (kt CO</w:t>
      </w:r>
      <w:r w:rsidRPr="00E77E9D">
        <w:rPr>
          <w:vertAlign w:val="subscript"/>
        </w:rPr>
        <w:t>2</w:t>
      </w:r>
      <w:r w:rsidRPr="00E77E9D">
        <w:t>e). Between 2023 and 2024, New Zealand’s gross emissions decreased by 0.12 percent (87.3 kt CO</w:t>
      </w:r>
      <w:r w:rsidRPr="00E77E9D">
        <w:rPr>
          <w:vertAlign w:val="subscript"/>
        </w:rPr>
        <w:t>2</w:t>
      </w:r>
      <w:r w:rsidRPr="00E77E9D">
        <w:t xml:space="preserve">e). Emissions from the Agriculture, IPPU, and Waste sectors decreased between years, however these decreases were mostly offset by an increase in emissions from </w:t>
      </w:r>
      <w:r w:rsidRPr="00E77E9D">
        <w:rPr>
          <w:spacing w:val="-2"/>
        </w:rPr>
        <w:t>the Energy sector. The largest decreases occurred in the IPPU sector, taking all categories</w:t>
      </w:r>
      <w:r w:rsidRPr="00E77E9D">
        <w:t xml:space="preserve"> into consideration, with a 4.1 percent (166.6 kt CO</w:t>
      </w:r>
      <w:r w:rsidRPr="00E77E9D">
        <w:rPr>
          <w:vertAlign w:val="subscript"/>
        </w:rPr>
        <w:t>2</w:t>
      </w:r>
      <w:r w:rsidRPr="00E77E9D">
        <w:t>e) reduction between years. The largest contributors by category to the overall decrease in emissions were from</w:t>
      </w:r>
      <w:r w:rsidRPr="000A6666">
        <w:t>:</w:t>
      </w:r>
    </w:p>
    <w:p w14:paraId="62EF0F16" w14:textId="77777777" w:rsidR="00F52C3D" w:rsidRPr="00E77E9D" w:rsidRDefault="00F52C3D" w:rsidP="00F52C3D">
      <w:pPr>
        <w:pStyle w:val="Bullet"/>
      </w:pPr>
      <w:r w:rsidRPr="00E77E9D">
        <w:t xml:space="preserve">fuel use in </w:t>
      </w:r>
      <w:r w:rsidRPr="00E77E9D">
        <w:rPr>
          <w:i/>
        </w:rPr>
        <w:t>Manufacturing industries and construction</w:t>
      </w:r>
      <w:r w:rsidRPr="00E77E9D">
        <w:t xml:space="preserve"> (CO</w:t>
      </w:r>
      <w:r w:rsidRPr="00E77E9D">
        <w:rPr>
          <w:vertAlign w:val="subscript"/>
        </w:rPr>
        <w:t>2</w:t>
      </w:r>
      <w:r w:rsidRPr="00E77E9D">
        <w:t>)</w:t>
      </w:r>
    </w:p>
    <w:p w14:paraId="0822AE0A" w14:textId="77777777" w:rsidR="00F52C3D" w:rsidRPr="00E77E9D" w:rsidRDefault="00F52C3D" w:rsidP="00F52C3D">
      <w:pPr>
        <w:pStyle w:val="Bullet"/>
      </w:pPr>
      <w:r w:rsidRPr="00E77E9D">
        <w:rPr>
          <w:i/>
        </w:rPr>
        <w:t>Enteric fermentation – Sheep</w:t>
      </w:r>
      <w:r w:rsidRPr="00E77E9D">
        <w:t xml:space="preserve"> (CH</w:t>
      </w:r>
      <w:r w:rsidRPr="00E77E9D">
        <w:rPr>
          <w:vertAlign w:val="subscript"/>
        </w:rPr>
        <w:t>4</w:t>
      </w:r>
      <w:r w:rsidRPr="00E77E9D">
        <w:t>)</w:t>
      </w:r>
    </w:p>
    <w:p w14:paraId="357B7074" w14:textId="77777777" w:rsidR="00F52C3D" w:rsidRPr="00E77E9D" w:rsidRDefault="00F52C3D" w:rsidP="00F52C3D">
      <w:pPr>
        <w:pStyle w:val="Bullet"/>
      </w:pPr>
      <w:r w:rsidRPr="00E77E9D">
        <w:rPr>
          <w:i/>
        </w:rPr>
        <w:t>Commercial/institutional energy use</w:t>
      </w:r>
      <w:r w:rsidRPr="00E77E9D">
        <w:t xml:space="preserve"> (CO</w:t>
      </w:r>
      <w:r w:rsidRPr="00E77E9D">
        <w:rPr>
          <w:vertAlign w:val="subscript"/>
        </w:rPr>
        <w:t>2</w:t>
      </w:r>
      <w:r w:rsidRPr="00E77E9D">
        <w:t>)</w:t>
      </w:r>
    </w:p>
    <w:p w14:paraId="5B95DC2B" w14:textId="77777777" w:rsidR="00F52C3D" w:rsidRPr="00E77E9D" w:rsidRDefault="00F52C3D" w:rsidP="00F52C3D">
      <w:pPr>
        <w:pStyle w:val="Bullet"/>
      </w:pPr>
      <w:r w:rsidRPr="00E77E9D">
        <w:rPr>
          <w:i/>
        </w:rPr>
        <w:t>Product uses as substitutes for ozone depleting substances (ODS)</w:t>
      </w:r>
      <w:r w:rsidRPr="00E77E9D">
        <w:t xml:space="preserve"> (HFCs).</w:t>
      </w:r>
    </w:p>
    <w:p w14:paraId="1F2C4925" w14:textId="77777777" w:rsidR="00F52C3D" w:rsidRPr="00E77E9D" w:rsidRDefault="00F52C3D" w:rsidP="000A6666">
      <w:pPr>
        <w:pStyle w:val="BodyText"/>
      </w:pPr>
      <w:r w:rsidRPr="00E77E9D">
        <w:t xml:space="preserve">Emissions from the </w:t>
      </w:r>
      <w:r w:rsidRPr="000A6666">
        <w:t>Energy</w:t>
      </w:r>
      <w:r w:rsidRPr="00E77E9D">
        <w:t xml:space="preserve"> sector increased by 0.8 percent (231.4 CO</w:t>
      </w:r>
      <w:r w:rsidRPr="00E77E9D">
        <w:rPr>
          <w:vertAlign w:val="subscript"/>
        </w:rPr>
        <w:t>2</w:t>
      </w:r>
      <w:r w:rsidRPr="00E77E9D">
        <w:t>e). Emissions from</w:t>
      </w:r>
      <w:r w:rsidRPr="00E77E9D">
        <w:rPr>
          <w:i/>
          <w:iCs/>
        </w:rPr>
        <w:t xml:space="preserve"> Public electricity and heat production</w:t>
      </w:r>
      <w:r w:rsidRPr="00E77E9D">
        <w:t xml:space="preserve"> increased (by 970.6 kt CO</w:t>
      </w:r>
      <w:r w:rsidRPr="00E77E9D">
        <w:rPr>
          <w:vertAlign w:val="subscript"/>
        </w:rPr>
        <w:t>2</w:t>
      </w:r>
      <w:r w:rsidRPr="00E77E9D">
        <w:t xml:space="preserve">e or 35.5 percent) due to low rainfall resulting in decreased hydro-electricity generation. This increase was partially offset by reductions in emissions from </w:t>
      </w:r>
      <w:r w:rsidRPr="00E77E9D">
        <w:rPr>
          <w:i/>
          <w:iCs/>
        </w:rPr>
        <w:t>Manufacturing industries and construction</w:t>
      </w:r>
      <w:r w:rsidRPr="00E77E9D">
        <w:t xml:space="preserve">, in the </w:t>
      </w:r>
      <w:r w:rsidRPr="00E77E9D">
        <w:rPr>
          <w:i/>
          <w:iCs/>
        </w:rPr>
        <w:t>Chemical industry</w:t>
      </w:r>
      <w:r w:rsidRPr="00E77E9D">
        <w:t xml:space="preserve"> category, which decreased by 590.4 kt CO</w:t>
      </w:r>
      <w:r w:rsidRPr="00E77E9D">
        <w:rPr>
          <w:vertAlign w:val="subscript"/>
        </w:rPr>
        <w:t>2</w:t>
      </w:r>
      <w:r w:rsidRPr="00E77E9D">
        <w:t xml:space="preserve">e (45.0 percent), largely due to decreased methanol production, and the </w:t>
      </w:r>
      <w:r w:rsidRPr="00E77E9D">
        <w:rPr>
          <w:i/>
          <w:iCs/>
        </w:rPr>
        <w:t>Food processing, beverages and tobacco</w:t>
      </w:r>
      <w:r w:rsidRPr="00E77E9D">
        <w:t xml:space="preserve"> category, which decreased by 205.8 kt CO</w:t>
      </w:r>
      <w:r w:rsidRPr="00E77E9D">
        <w:rPr>
          <w:vertAlign w:val="subscript"/>
        </w:rPr>
        <w:t>2</w:t>
      </w:r>
      <w:r w:rsidRPr="00E77E9D">
        <w:t xml:space="preserve">e (7.6 percent). Reductions in </w:t>
      </w:r>
      <w:r w:rsidRPr="00E77E9D">
        <w:rPr>
          <w:i/>
          <w:iCs/>
        </w:rPr>
        <w:t>Commercial/institutional</w:t>
      </w:r>
      <w:r w:rsidRPr="00E77E9D">
        <w:t xml:space="preserve"> energy use, which decreased by </w:t>
      </w:r>
      <w:r w:rsidRPr="00E77E9D">
        <w:rPr>
          <w:rFonts w:eastAsia="Calibri" w:cs="Calibri"/>
          <w:color w:val="000000" w:themeColor="text1"/>
        </w:rPr>
        <w:t>89.2 kt CO</w:t>
      </w:r>
      <w:r w:rsidRPr="00E77E9D">
        <w:rPr>
          <w:rFonts w:eastAsia="Calibri" w:cs="Calibri"/>
          <w:color w:val="000000" w:themeColor="text1"/>
          <w:vertAlign w:val="subscript"/>
        </w:rPr>
        <w:t>2</w:t>
      </w:r>
      <w:r w:rsidRPr="00E77E9D">
        <w:rPr>
          <w:rFonts w:eastAsia="Calibri" w:cs="Calibri"/>
          <w:color w:val="000000" w:themeColor="text1"/>
        </w:rPr>
        <w:t>e (7.5 percent)</w:t>
      </w:r>
      <w:r w:rsidRPr="00E77E9D">
        <w:t xml:space="preserve">, were </w:t>
      </w:r>
      <w:r w:rsidRPr="00E77E9D">
        <w:rPr>
          <w:rFonts w:eastAsia="Calibri" w:cs="Calibri"/>
          <w:color w:val="000000" w:themeColor="text1"/>
        </w:rPr>
        <w:t>mostly due to reduced use of liquid fuels</w:t>
      </w:r>
      <w:r w:rsidRPr="00E77E9D">
        <w:t>.</w:t>
      </w:r>
    </w:p>
    <w:p w14:paraId="77C3BE63" w14:textId="77777777" w:rsidR="0056755A" w:rsidRPr="00E77E9D" w:rsidRDefault="0056755A" w:rsidP="0056755A">
      <w:pPr>
        <w:pStyle w:val="BodyText"/>
        <w:spacing w:before="100" w:after="100"/>
      </w:pPr>
      <w:r w:rsidRPr="00E10385">
        <w:rPr>
          <w:spacing w:val="-2"/>
        </w:rPr>
        <w:t>Emissions from the IPPU sector decreased by 4.1 percent, mainly due to reductions in emissions</w:t>
      </w:r>
      <w:r w:rsidRPr="00E77E9D">
        <w:t xml:space="preserve"> from </w:t>
      </w:r>
      <w:r w:rsidRPr="00E77E9D">
        <w:rPr>
          <w:i/>
          <w:iCs/>
        </w:rPr>
        <w:t>Product uses as substitutes for ODS</w:t>
      </w:r>
      <w:r w:rsidRPr="00E77E9D">
        <w:t xml:space="preserve">, along with reductions in </w:t>
      </w:r>
      <w:r w:rsidRPr="00E77E9D">
        <w:rPr>
          <w:i/>
          <w:iCs/>
        </w:rPr>
        <w:t>Chemical industry</w:t>
      </w:r>
      <w:r w:rsidRPr="00E77E9D">
        <w:t xml:space="preserve">, </w:t>
      </w:r>
      <w:r w:rsidRPr="00E77E9D">
        <w:rPr>
          <w:i/>
          <w:iCs/>
        </w:rPr>
        <w:t>Mineral industry</w:t>
      </w:r>
      <w:r w:rsidRPr="00E77E9D">
        <w:t xml:space="preserve"> and </w:t>
      </w:r>
      <w:r w:rsidRPr="00E77E9D">
        <w:rPr>
          <w:i/>
          <w:iCs/>
        </w:rPr>
        <w:t>Metal industry</w:t>
      </w:r>
      <w:r w:rsidRPr="00E77E9D">
        <w:t>.</w:t>
      </w:r>
    </w:p>
    <w:p w14:paraId="00FEDD06" w14:textId="77777777" w:rsidR="00F52C3D" w:rsidRPr="00E77E9D" w:rsidRDefault="00F52C3D" w:rsidP="00F52C3D">
      <w:pPr>
        <w:pStyle w:val="BodyText"/>
        <w:spacing w:before="100" w:after="100"/>
      </w:pPr>
      <w:r w:rsidRPr="00E77E9D">
        <w:t xml:space="preserve">The reduction in emissions from </w:t>
      </w:r>
      <w:r w:rsidRPr="00E77E9D">
        <w:rPr>
          <w:i/>
          <w:iCs/>
        </w:rPr>
        <w:t>Enteric fermentation</w:t>
      </w:r>
      <w:r w:rsidRPr="00E77E9D">
        <w:t xml:space="preserve"> from </w:t>
      </w:r>
      <w:r w:rsidRPr="00E77E9D">
        <w:rPr>
          <w:i/>
          <w:iCs/>
        </w:rPr>
        <w:t>Sheep</w:t>
      </w:r>
      <w:r w:rsidRPr="00E77E9D">
        <w:t xml:space="preserve"> was due to a decrease in the sheep population. This is a continuation of the long-term trend, which reflects the declining profitability of sheep farming relative to other land uses.</w:t>
      </w:r>
    </w:p>
    <w:p w14:paraId="45FA70C2" w14:textId="25AF16F6" w:rsidR="00F52C3D" w:rsidRPr="001F14B3" w:rsidRDefault="00F52C3D" w:rsidP="00F52C3D">
      <w:pPr>
        <w:pStyle w:val="BodyText"/>
        <w:spacing w:before="100" w:after="100"/>
        <w:rPr>
          <w:spacing w:val="-2"/>
        </w:rPr>
      </w:pPr>
      <w:r w:rsidRPr="001F14B3">
        <w:rPr>
          <w:spacing w:val="-2"/>
        </w:rPr>
        <w:t>Emissions from the Waste sector decreased by 0.5 percent (14.1 kt CO</w:t>
      </w:r>
      <w:r w:rsidRPr="001F14B3">
        <w:rPr>
          <w:spacing w:val="-2"/>
          <w:vertAlign w:val="subscript"/>
        </w:rPr>
        <w:t>2</w:t>
      </w:r>
      <w:r w:rsidRPr="001F14B3">
        <w:rPr>
          <w:spacing w:val="-2"/>
        </w:rPr>
        <w:t>e), mainly due to lower</w:t>
      </w:r>
      <w:r w:rsidR="003C0DA8">
        <w:rPr>
          <w:spacing w:val="-2"/>
        </w:rPr>
        <w:t xml:space="preserve"> </w:t>
      </w:r>
      <w:r w:rsidRPr="001F14B3">
        <w:rPr>
          <w:spacing w:val="-2"/>
        </w:rPr>
        <w:t>CH</w:t>
      </w:r>
      <w:r w:rsidRPr="001F14B3">
        <w:rPr>
          <w:spacing w:val="-2"/>
          <w:vertAlign w:val="subscript"/>
        </w:rPr>
        <w:t>4</w:t>
      </w:r>
      <w:r w:rsidRPr="001F14B3">
        <w:rPr>
          <w:spacing w:val="-2"/>
        </w:rPr>
        <w:t xml:space="preserve"> emissions from </w:t>
      </w:r>
      <w:r w:rsidRPr="001F14B3">
        <w:rPr>
          <w:i/>
          <w:iCs/>
          <w:spacing w:val="-2"/>
        </w:rPr>
        <w:t>Managed waste disposal sites</w:t>
      </w:r>
      <w:r w:rsidRPr="001F14B3">
        <w:rPr>
          <w:spacing w:val="-2"/>
        </w:rPr>
        <w:t>. This was driven by improved landfill gas (LFG) capture and changes in waste composition, including reduced garden, food and paper waste.</w:t>
      </w:r>
    </w:p>
    <w:p w14:paraId="33C4A695" w14:textId="77777777" w:rsidR="00F52C3D" w:rsidRPr="00E77E9D" w:rsidRDefault="00F52C3D" w:rsidP="00F52C3D">
      <w:pPr>
        <w:pStyle w:val="BodyText"/>
        <w:spacing w:before="100" w:after="100"/>
      </w:pPr>
      <w:r w:rsidRPr="00E77E9D">
        <w:t>Emissions from Tokelau increased by 0.01 percent, due to the increase in CH</w:t>
      </w:r>
      <w:r w:rsidRPr="00E77E9D">
        <w:rPr>
          <w:vertAlign w:val="subscript"/>
        </w:rPr>
        <w:t>4</w:t>
      </w:r>
      <w:r w:rsidRPr="00E77E9D">
        <w:t xml:space="preserve"> emissions from </w:t>
      </w:r>
      <w:r w:rsidRPr="00E77E9D">
        <w:rPr>
          <w:i/>
          <w:iCs/>
        </w:rPr>
        <w:t>Solid waste</w:t>
      </w:r>
      <w:r w:rsidRPr="00E77E9D">
        <w:t xml:space="preserve"> </w:t>
      </w:r>
      <w:r w:rsidRPr="00E77E9D">
        <w:rPr>
          <w:i/>
          <w:iCs/>
        </w:rPr>
        <w:t>disposal</w:t>
      </w:r>
      <w:r w:rsidRPr="00E77E9D">
        <w:t>.</w:t>
      </w:r>
    </w:p>
    <w:p w14:paraId="1A376F62" w14:textId="77777777" w:rsidR="00F52C3D" w:rsidRPr="00E77E9D" w:rsidRDefault="00F52C3D" w:rsidP="00F52C3D">
      <w:pPr>
        <w:pStyle w:val="Heading4"/>
      </w:pPr>
      <w:r w:rsidRPr="00E77E9D">
        <w:t>2005–2024</w:t>
      </w:r>
    </w:p>
    <w:p w14:paraId="5BB8C07E" w14:textId="77777777" w:rsidR="00F52C3D" w:rsidRPr="00E77E9D" w:rsidRDefault="00F52C3D" w:rsidP="00F52C3D">
      <w:pPr>
        <w:pStyle w:val="BodyText"/>
        <w:spacing w:before="100" w:after="100"/>
      </w:pPr>
      <w:r w:rsidRPr="00E77E9D">
        <w:t>In 2005, gross emissions were 85,364.3 kt CO</w:t>
      </w:r>
      <w:r w:rsidRPr="00E77E9D">
        <w:rPr>
          <w:vertAlign w:val="subscript"/>
        </w:rPr>
        <w:t>2</w:t>
      </w:r>
      <w:r w:rsidRPr="00E77E9D">
        <w:t>e. Between 2005 and 2024, New Zealand’s gross emissions decreased by 11.2 percent (9,552.7 kt CO</w:t>
      </w:r>
      <w:r w:rsidRPr="00E77E9D">
        <w:rPr>
          <w:vertAlign w:val="subscript"/>
        </w:rPr>
        <w:t>2</w:t>
      </w:r>
      <w:r w:rsidRPr="00E77E9D">
        <w:t>e).</w:t>
      </w:r>
    </w:p>
    <w:p w14:paraId="59BD7CF6" w14:textId="77777777" w:rsidR="00F52C3D" w:rsidRPr="00E77E9D" w:rsidRDefault="00F52C3D" w:rsidP="00F52C3D">
      <w:pPr>
        <w:pStyle w:val="BodyText"/>
        <w:spacing w:before="100" w:after="100"/>
      </w:pPr>
      <w:r w:rsidRPr="00E77E9D">
        <w:t>From 2005 to 2024, the average annual change in gross emissions was -0.6 percent.</w:t>
      </w:r>
    </w:p>
    <w:p w14:paraId="556FC561" w14:textId="77777777" w:rsidR="00F52C3D" w:rsidRPr="00E77E9D" w:rsidRDefault="00F52C3D" w:rsidP="00F52C3D">
      <w:pPr>
        <w:pStyle w:val="BodyText"/>
        <w:spacing w:before="100" w:after="100"/>
      </w:pPr>
      <w:r w:rsidRPr="00E77E9D">
        <w:t>The emissions categories that contributed the most to this decrease in gross emissions were:</w:t>
      </w:r>
    </w:p>
    <w:p w14:paraId="3BF3F62D" w14:textId="77777777" w:rsidR="00F52C3D" w:rsidRPr="00E77E9D" w:rsidRDefault="00F52C3D" w:rsidP="00F52C3D">
      <w:pPr>
        <w:pStyle w:val="Bullet"/>
      </w:pPr>
      <w:r w:rsidRPr="00E77E9D">
        <w:rPr>
          <w:i/>
        </w:rPr>
        <w:t>Public electricity and heat production</w:t>
      </w:r>
      <w:r w:rsidRPr="00E77E9D">
        <w:t xml:space="preserve"> (CO</w:t>
      </w:r>
      <w:r w:rsidRPr="00E77E9D">
        <w:rPr>
          <w:vertAlign w:val="subscript"/>
        </w:rPr>
        <w:t>2</w:t>
      </w:r>
      <w:r w:rsidRPr="00E77E9D">
        <w:t>)</w:t>
      </w:r>
    </w:p>
    <w:p w14:paraId="1937F152" w14:textId="77777777" w:rsidR="00F52C3D" w:rsidRPr="00E77E9D" w:rsidRDefault="00F52C3D" w:rsidP="00F52C3D">
      <w:pPr>
        <w:pStyle w:val="Bullet"/>
      </w:pPr>
      <w:r w:rsidRPr="00E77E9D">
        <w:rPr>
          <w:i/>
        </w:rPr>
        <w:t>Enteric fermentation</w:t>
      </w:r>
      <w:r w:rsidRPr="00E77E9D">
        <w:t xml:space="preserve"> from </w:t>
      </w:r>
      <w:r w:rsidRPr="00E77E9D">
        <w:rPr>
          <w:i/>
        </w:rPr>
        <w:t>Sheep</w:t>
      </w:r>
      <w:r w:rsidRPr="00E77E9D">
        <w:t xml:space="preserve"> and </w:t>
      </w:r>
      <w:r w:rsidRPr="00E77E9D">
        <w:rPr>
          <w:i/>
        </w:rPr>
        <w:t>Non-dairy cattle</w:t>
      </w:r>
      <w:r w:rsidRPr="00E77E9D">
        <w:t xml:space="preserve"> (CH</w:t>
      </w:r>
      <w:r w:rsidRPr="00E77E9D">
        <w:rPr>
          <w:vertAlign w:val="subscript"/>
        </w:rPr>
        <w:t>4</w:t>
      </w:r>
      <w:r w:rsidRPr="00E77E9D">
        <w:t>)</w:t>
      </w:r>
    </w:p>
    <w:p w14:paraId="12318985" w14:textId="77777777" w:rsidR="00F52C3D" w:rsidRPr="00E77E9D" w:rsidRDefault="00F52C3D" w:rsidP="00F52C3D">
      <w:pPr>
        <w:pStyle w:val="Bullet"/>
      </w:pPr>
      <w:r w:rsidRPr="00E77E9D">
        <w:rPr>
          <w:i/>
        </w:rPr>
        <w:t>Solid waste disposal</w:t>
      </w:r>
      <w:r w:rsidRPr="00E77E9D">
        <w:t xml:space="preserve"> (CH</w:t>
      </w:r>
      <w:r w:rsidRPr="00E77E9D">
        <w:rPr>
          <w:vertAlign w:val="subscript"/>
        </w:rPr>
        <w:t>4</w:t>
      </w:r>
      <w:r w:rsidRPr="00E77E9D">
        <w:t>).</w:t>
      </w:r>
    </w:p>
    <w:p w14:paraId="117565AC" w14:textId="77777777" w:rsidR="00F52C3D" w:rsidRPr="00E77E9D" w:rsidRDefault="00F52C3D" w:rsidP="00F52C3D">
      <w:pPr>
        <w:pStyle w:val="Heading4"/>
      </w:pPr>
      <w:r w:rsidRPr="00E77E9D">
        <w:t>1990–2024</w:t>
      </w:r>
    </w:p>
    <w:p w14:paraId="5FCA2D5B" w14:textId="77777777" w:rsidR="00F52C3D" w:rsidRPr="00E77E9D" w:rsidRDefault="00F52C3D" w:rsidP="00F52C3D">
      <w:pPr>
        <w:pStyle w:val="BodyText"/>
        <w:spacing w:before="100" w:after="100"/>
      </w:pPr>
      <w:r w:rsidRPr="00E77E9D">
        <w:t>In 1990, New Zealand’s gross GHG emissions were 67,565.2 kt CO</w:t>
      </w:r>
      <w:r w:rsidRPr="00E77E9D">
        <w:rPr>
          <w:vertAlign w:val="subscript"/>
        </w:rPr>
        <w:t>2</w:t>
      </w:r>
      <w:r w:rsidRPr="00E77E9D">
        <w:t>e. Between 1990 and 2024, GHG emissions increased by 12.2 percent (8,246.4 kt CO</w:t>
      </w:r>
      <w:r w:rsidRPr="00E77E9D">
        <w:rPr>
          <w:vertAlign w:val="subscript"/>
        </w:rPr>
        <w:t>2</w:t>
      </w:r>
      <w:r w:rsidRPr="00E77E9D">
        <w:t>e) to 75,811.6 kt CO</w:t>
      </w:r>
      <w:r w:rsidRPr="00E77E9D">
        <w:rPr>
          <w:vertAlign w:val="subscript"/>
        </w:rPr>
        <w:t>2</w:t>
      </w:r>
      <w:r w:rsidRPr="00E77E9D">
        <w:t>e in 2024 (see figure ES 2.1).</w:t>
      </w:r>
    </w:p>
    <w:p w14:paraId="6A3AECE6" w14:textId="77777777" w:rsidR="00F52C3D" w:rsidRPr="00E77E9D" w:rsidRDefault="00F52C3D" w:rsidP="00F52C3D">
      <w:pPr>
        <w:pStyle w:val="BodyText"/>
        <w:spacing w:before="100" w:after="100"/>
      </w:pPr>
      <w:r w:rsidRPr="00E77E9D">
        <w:t>From 1990 to 2024, the average annual growth in gross emissions was 0.3 percent.</w:t>
      </w:r>
    </w:p>
    <w:p w14:paraId="719F2285" w14:textId="77777777" w:rsidR="00F52C3D" w:rsidRPr="00E77E9D" w:rsidRDefault="00F52C3D" w:rsidP="00F52C3D">
      <w:pPr>
        <w:pStyle w:val="BodyText"/>
        <w:spacing w:before="100" w:after="100"/>
      </w:pPr>
      <w:r w:rsidRPr="00E77E9D">
        <w:t>The emissions categories that contributed the most to this increase in gross emissions were:</w:t>
      </w:r>
    </w:p>
    <w:p w14:paraId="00FC48E6" w14:textId="77777777" w:rsidR="00F52C3D" w:rsidRPr="00E77E9D" w:rsidRDefault="00F52C3D" w:rsidP="00F52C3D">
      <w:pPr>
        <w:pStyle w:val="Bullet"/>
      </w:pPr>
      <w:r w:rsidRPr="00E77E9D">
        <w:rPr>
          <w:i/>
        </w:rPr>
        <w:t xml:space="preserve">Enteric fermentation </w:t>
      </w:r>
      <w:r w:rsidRPr="00E77E9D">
        <w:t>from</w:t>
      </w:r>
      <w:r w:rsidRPr="00E77E9D">
        <w:rPr>
          <w:i/>
        </w:rPr>
        <w:t xml:space="preserve"> Dairy cattle</w:t>
      </w:r>
      <w:r w:rsidRPr="00E77E9D">
        <w:t xml:space="preserve"> (CH</w:t>
      </w:r>
      <w:r w:rsidRPr="00E77E9D">
        <w:rPr>
          <w:vertAlign w:val="subscript"/>
        </w:rPr>
        <w:t>4</w:t>
      </w:r>
      <w:r w:rsidRPr="00E77E9D">
        <w:t>)</w:t>
      </w:r>
    </w:p>
    <w:p w14:paraId="69854757" w14:textId="77777777" w:rsidR="00F52C3D" w:rsidRPr="00E77E9D" w:rsidRDefault="00F52C3D" w:rsidP="00F52C3D">
      <w:pPr>
        <w:pStyle w:val="Bullet"/>
      </w:pPr>
      <w:r w:rsidRPr="00E77E9D">
        <w:rPr>
          <w:i/>
        </w:rPr>
        <w:t>Road transportation</w:t>
      </w:r>
      <w:r w:rsidRPr="00E77E9D">
        <w:t xml:space="preserve"> (CO</w:t>
      </w:r>
      <w:r w:rsidRPr="00E77E9D">
        <w:rPr>
          <w:vertAlign w:val="subscript"/>
        </w:rPr>
        <w:t>2</w:t>
      </w:r>
      <w:r w:rsidRPr="00E77E9D">
        <w:t>)</w:t>
      </w:r>
    </w:p>
    <w:p w14:paraId="390EBFC1" w14:textId="77777777" w:rsidR="00F52C3D" w:rsidRPr="00E77E9D" w:rsidRDefault="00F52C3D" w:rsidP="00F52C3D">
      <w:pPr>
        <w:pStyle w:val="Bullet"/>
      </w:pPr>
      <w:r w:rsidRPr="00E77E9D">
        <w:rPr>
          <w:i/>
        </w:rPr>
        <w:t>Agricultural soils</w:t>
      </w:r>
      <w:r w:rsidRPr="00E77E9D">
        <w:t xml:space="preserve"> (N</w:t>
      </w:r>
      <w:r w:rsidRPr="00E77E9D">
        <w:rPr>
          <w:vertAlign w:val="subscript"/>
        </w:rPr>
        <w:t>2</w:t>
      </w:r>
      <w:r w:rsidRPr="00E77E9D">
        <w:t>O)</w:t>
      </w:r>
    </w:p>
    <w:p w14:paraId="05DF2AAE" w14:textId="77777777" w:rsidR="00F52C3D" w:rsidRPr="00E77E9D" w:rsidRDefault="00F52C3D" w:rsidP="00F52C3D">
      <w:pPr>
        <w:pStyle w:val="Bullet"/>
      </w:pPr>
      <w:r w:rsidRPr="00E77E9D">
        <w:rPr>
          <w:i/>
        </w:rPr>
        <w:t>Product uses as substitutes for ozone depleting substances (ODS)</w:t>
      </w:r>
      <w:r w:rsidRPr="00E77E9D">
        <w:t xml:space="preserve"> (HFCs)</w:t>
      </w:r>
    </w:p>
    <w:p w14:paraId="5D750756" w14:textId="77777777" w:rsidR="00F52C3D" w:rsidRPr="00E77E9D" w:rsidRDefault="00F52C3D" w:rsidP="00F52C3D">
      <w:pPr>
        <w:pStyle w:val="Bullet"/>
      </w:pPr>
      <w:r w:rsidRPr="00E77E9D">
        <w:rPr>
          <w:i/>
        </w:rPr>
        <w:t>Manure management</w:t>
      </w:r>
      <w:r w:rsidRPr="00E77E9D">
        <w:t xml:space="preserve"> from </w:t>
      </w:r>
      <w:r w:rsidRPr="00E77E9D">
        <w:rPr>
          <w:i/>
        </w:rPr>
        <w:t>Dairy cattle</w:t>
      </w:r>
      <w:r w:rsidRPr="00E77E9D">
        <w:t xml:space="preserve"> (CH</w:t>
      </w:r>
      <w:r w:rsidRPr="00E77E9D">
        <w:rPr>
          <w:vertAlign w:val="subscript"/>
        </w:rPr>
        <w:t>4</w:t>
      </w:r>
      <w:r w:rsidRPr="00E77E9D">
        <w:t>)</w:t>
      </w:r>
    </w:p>
    <w:p w14:paraId="6DA75BEF" w14:textId="77777777" w:rsidR="00F52C3D" w:rsidRPr="00E77E9D" w:rsidRDefault="00F52C3D" w:rsidP="00F52C3D">
      <w:pPr>
        <w:pStyle w:val="Bullet"/>
      </w:pPr>
      <w:r w:rsidRPr="00E77E9D">
        <w:rPr>
          <w:i/>
        </w:rPr>
        <w:t>Manufacturing industries and construction</w:t>
      </w:r>
      <w:r w:rsidRPr="00E77E9D">
        <w:t xml:space="preserve"> (CO</w:t>
      </w:r>
      <w:r w:rsidRPr="00E77E9D">
        <w:rPr>
          <w:vertAlign w:val="subscript"/>
        </w:rPr>
        <w:t>2</w:t>
      </w:r>
      <w:r w:rsidRPr="00E77E9D">
        <w:t>).</w:t>
      </w:r>
    </w:p>
    <w:p w14:paraId="487EDD07" w14:textId="77777777" w:rsidR="00F52C3D" w:rsidRPr="00E77E9D" w:rsidRDefault="00F52C3D" w:rsidP="002248FD">
      <w:pPr>
        <w:pStyle w:val="Figure"/>
        <w:spacing w:after="80"/>
      </w:pPr>
      <w:bookmarkStart w:id="8" w:name="_Toc226200644"/>
      <w:r w:rsidRPr="00E77E9D">
        <w:rPr>
          <w:bCs/>
        </w:rPr>
        <w:t>Figure ES 2.1</w:t>
      </w:r>
      <w:r w:rsidRPr="00E77E9D">
        <w:t xml:space="preserve"> </w:t>
      </w:r>
      <w:r w:rsidRPr="00E77E9D">
        <w:tab/>
        <w:t xml:space="preserve">New Zealand’s gross and net emissions (under the Convention), from </w:t>
      </w:r>
      <w:r w:rsidRPr="00E77E9D">
        <w:rPr>
          <w:bCs/>
        </w:rPr>
        <w:t>1990</w:t>
      </w:r>
      <w:r w:rsidRPr="00E77E9D">
        <w:t xml:space="preserve"> to </w:t>
      </w:r>
      <w:r w:rsidRPr="00E77E9D">
        <w:rPr>
          <w:bCs/>
        </w:rPr>
        <w:t>2024</w:t>
      </w:r>
      <w:bookmarkEnd w:id="8"/>
    </w:p>
    <w:p w14:paraId="45F24376" w14:textId="77777777" w:rsidR="00F52C3D" w:rsidRPr="00E77E9D" w:rsidRDefault="00F52C3D" w:rsidP="002248FD">
      <w:pPr>
        <w:pStyle w:val="BodyText"/>
        <w:spacing w:after="0"/>
      </w:pPr>
      <w:r w:rsidRPr="00E77E9D">
        <w:rPr>
          <w:noProof/>
        </w:rPr>
        <w:drawing>
          <wp:inline distT="0" distB="0" distL="0" distR="0" wp14:anchorId="1045B996" wp14:editId="2E4365E5">
            <wp:extent cx="5159828" cy="3768094"/>
            <wp:effectExtent l="0" t="0" r="3175" b="3810"/>
            <wp:docPr id="21250049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04941" name="Picture 2125004941"/>
                    <pic:cNvPicPr/>
                  </pic:nvPicPr>
                  <pic:blipFill rotWithShape="1">
                    <a:blip r:embed="rId23">
                      <a:extLst>
                        <a:ext uri="{28A0092B-C50C-407E-A947-70E740481C1C}">
                          <a14:useLocalDpi xmlns:a14="http://schemas.microsoft.com/office/drawing/2010/main"/>
                        </a:ext>
                      </a:extLst>
                    </a:blip>
                    <a:srcRect b="2573"/>
                    <a:stretch>
                      <a:fillRect/>
                    </a:stretch>
                  </pic:blipFill>
                  <pic:spPr bwMode="auto">
                    <a:xfrm>
                      <a:off x="0" y="0"/>
                      <a:ext cx="5161481" cy="3769301"/>
                    </a:xfrm>
                    <a:prstGeom prst="rect">
                      <a:avLst/>
                    </a:prstGeom>
                    <a:ln>
                      <a:noFill/>
                    </a:ln>
                    <a:extLst>
                      <a:ext uri="{53640926-AAD7-44D8-BBD7-CCE9431645EC}">
                        <a14:shadowObscured xmlns:a14="http://schemas.microsoft.com/office/drawing/2010/main"/>
                      </a:ext>
                    </a:extLst>
                  </pic:spPr>
                </pic:pic>
              </a:graphicData>
            </a:graphic>
          </wp:inline>
        </w:drawing>
      </w:r>
    </w:p>
    <w:p w14:paraId="7A12F19C" w14:textId="77777777" w:rsidR="00F52C3D" w:rsidRPr="00E77E9D" w:rsidRDefault="00F52C3D" w:rsidP="002248FD">
      <w:pPr>
        <w:pStyle w:val="Heading3"/>
        <w:spacing w:before="240"/>
      </w:pPr>
      <w:r w:rsidRPr="00E77E9D">
        <w:t>Net emissions</w:t>
      </w:r>
    </w:p>
    <w:p w14:paraId="43CBF584" w14:textId="77777777" w:rsidR="00F52C3D" w:rsidRPr="002248FD" w:rsidRDefault="00F52C3D" w:rsidP="002248FD">
      <w:pPr>
        <w:pStyle w:val="BodyText"/>
        <w:spacing w:before="80" w:after="100"/>
        <w:rPr>
          <w:spacing w:val="-2"/>
        </w:rPr>
      </w:pPr>
      <w:r w:rsidRPr="002248FD">
        <w:rPr>
          <w:spacing w:val="-2"/>
        </w:rPr>
        <w:t>Net emissions include gross emissions, as defined above (i.e., from the Energy, IPPU, Agriculture and Waste sectors, including Tokelau), and net emissions from the LULUCF sector.</w:t>
      </w:r>
    </w:p>
    <w:p w14:paraId="0296AEEF" w14:textId="77777777" w:rsidR="00F52C3D" w:rsidRPr="00E77E9D" w:rsidRDefault="00F52C3D" w:rsidP="008E6B87">
      <w:pPr>
        <w:pStyle w:val="Heading4"/>
        <w:spacing w:before="120"/>
      </w:pPr>
      <w:r w:rsidRPr="00E77E9D">
        <w:t>2023–2024</w:t>
      </w:r>
    </w:p>
    <w:p w14:paraId="69C1C277" w14:textId="77777777" w:rsidR="00F52C3D" w:rsidRPr="00E77E9D" w:rsidRDefault="00F52C3D" w:rsidP="002248FD">
      <w:pPr>
        <w:pStyle w:val="BodyText"/>
        <w:spacing w:before="80" w:after="100"/>
      </w:pPr>
      <w:r w:rsidRPr="00E77E9D">
        <w:t>In 2024, New Zealand’s net emissions were 54,834.1 kt CO</w:t>
      </w:r>
      <w:r w:rsidRPr="00E77E9D">
        <w:rPr>
          <w:vertAlign w:val="subscript"/>
        </w:rPr>
        <w:t>2</w:t>
      </w:r>
      <w:r w:rsidRPr="00E77E9D">
        <w:t>e.</w:t>
      </w:r>
    </w:p>
    <w:p w14:paraId="494E3F8D" w14:textId="76BFF5AD" w:rsidR="00F52C3D" w:rsidRPr="00E77E9D" w:rsidRDefault="00F52C3D" w:rsidP="002248FD">
      <w:pPr>
        <w:pStyle w:val="BodyText"/>
        <w:spacing w:before="100" w:after="100"/>
      </w:pPr>
      <w:r w:rsidRPr="00E77E9D">
        <w:t>Between 2023 and 2024, New Zealand’s net emissions decreased by 2.0 percent (1,098.3</w:t>
      </w:r>
      <w:r w:rsidR="00E10385">
        <w:t> </w:t>
      </w:r>
      <w:r w:rsidRPr="00E77E9D">
        <w:t xml:space="preserve">kt </w:t>
      </w:r>
      <w:r w:rsidRPr="00E77E9D">
        <w:rPr>
          <w:spacing w:val="-2"/>
        </w:rPr>
        <w:t>CO</w:t>
      </w:r>
      <w:r w:rsidRPr="00E77E9D">
        <w:rPr>
          <w:spacing w:val="-2"/>
          <w:vertAlign w:val="subscript"/>
        </w:rPr>
        <w:t>2</w:t>
      </w:r>
      <w:r w:rsidRPr="00E77E9D">
        <w:rPr>
          <w:spacing w:val="-2"/>
        </w:rPr>
        <w:t>e). This decrease was dominated by the decrease in net emissions of 5.1 percent (</w:t>
      </w:r>
      <w:r w:rsidRPr="00E77E9D">
        <w:rPr>
          <w:spacing w:val="-2"/>
        </w:rPr>
        <w:noBreakHyphen/>
        <w:t>1,011.0 kt</w:t>
      </w:r>
      <w:r w:rsidRPr="00E77E9D">
        <w:t xml:space="preserve"> CO</w:t>
      </w:r>
      <w:r w:rsidRPr="00E77E9D">
        <w:rPr>
          <w:vertAlign w:val="subscript"/>
        </w:rPr>
        <w:t>2</w:t>
      </w:r>
      <w:r w:rsidRPr="00E77E9D">
        <w:t>e) from the LULUCF sector. The largest contributors by category to the decrease in net emissions were from:</w:t>
      </w:r>
    </w:p>
    <w:p w14:paraId="59E8D96A" w14:textId="77777777" w:rsidR="00F52C3D" w:rsidRPr="00E77E9D" w:rsidRDefault="00F52C3D" w:rsidP="002248FD">
      <w:pPr>
        <w:pStyle w:val="Bullet"/>
        <w:spacing w:after="100"/>
      </w:pPr>
      <w:r w:rsidRPr="00E77E9D">
        <w:rPr>
          <w:i/>
          <w:iCs/>
        </w:rPr>
        <w:t>Land converted to forest land</w:t>
      </w:r>
      <w:r w:rsidRPr="00E77E9D">
        <w:t xml:space="preserve"> (CO</w:t>
      </w:r>
      <w:r w:rsidRPr="00E77E9D">
        <w:rPr>
          <w:vertAlign w:val="subscript"/>
        </w:rPr>
        <w:t>2</w:t>
      </w:r>
      <w:r w:rsidRPr="00E77E9D">
        <w:t>)</w:t>
      </w:r>
    </w:p>
    <w:p w14:paraId="54E9A580" w14:textId="77777777" w:rsidR="00F52C3D" w:rsidRPr="00E77E9D" w:rsidRDefault="00F52C3D" w:rsidP="002248FD">
      <w:pPr>
        <w:pStyle w:val="Bullet"/>
        <w:spacing w:after="100"/>
      </w:pPr>
      <w:r w:rsidRPr="00E77E9D">
        <w:rPr>
          <w:i/>
          <w:iCs/>
        </w:rPr>
        <w:t>Land converted to grassland</w:t>
      </w:r>
      <w:r w:rsidRPr="00E77E9D">
        <w:t xml:space="preserve"> (CO</w:t>
      </w:r>
      <w:r w:rsidRPr="00E77E9D">
        <w:rPr>
          <w:vertAlign w:val="subscript"/>
        </w:rPr>
        <w:t>2</w:t>
      </w:r>
      <w:r w:rsidRPr="00E77E9D">
        <w:t>)</w:t>
      </w:r>
    </w:p>
    <w:p w14:paraId="227F1238" w14:textId="77777777" w:rsidR="00F52C3D" w:rsidRPr="00E77E9D" w:rsidRDefault="00F52C3D" w:rsidP="002248FD">
      <w:pPr>
        <w:pStyle w:val="Bullet"/>
        <w:spacing w:after="100"/>
      </w:pPr>
      <w:r w:rsidRPr="00E77E9D">
        <w:rPr>
          <w:i/>
          <w:iCs/>
        </w:rPr>
        <w:t>Manufacturing industries and construction</w:t>
      </w:r>
      <w:r w:rsidRPr="00E77E9D">
        <w:t xml:space="preserve"> (CO</w:t>
      </w:r>
      <w:r w:rsidRPr="00E77E9D">
        <w:rPr>
          <w:vertAlign w:val="subscript"/>
        </w:rPr>
        <w:t>2</w:t>
      </w:r>
      <w:r w:rsidRPr="00E77E9D">
        <w:t>)</w:t>
      </w:r>
    </w:p>
    <w:p w14:paraId="7FEAA556" w14:textId="77777777" w:rsidR="00F52C3D" w:rsidRPr="00E77E9D" w:rsidRDefault="00F52C3D" w:rsidP="002248FD">
      <w:pPr>
        <w:pStyle w:val="Bullet"/>
        <w:spacing w:after="100"/>
      </w:pPr>
      <w:r w:rsidRPr="00E77E9D">
        <w:rPr>
          <w:i/>
          <w:iCs/>
        </w:rPr>
        <w:t>Enteric</w:t>
      </w:r>
      <w:r w:rsidRPr="00E77E9D">
        <w:t xml:space="preserve"> fermentation from </w:t>
      </w:r>
      <w:r w:rsidRPr="00E77E9D">
        <w:rPr>
          <w:i/>
          <w:iCs/>
        </w:rPr>
        <w:t>Sheep</w:t>
      </w:r>
      <w:r w:rsidRPr="00E77E9D">
        <w:t xml:space="preserve"> (CH</w:t>
      </w:r>
      <w:r w:rsidRPr="00E77E9D">
        <w:rPr>
          <w:vertAlign w:val="subscript"/>
        </w:rPr>
        <w:t>4</w:t>
      </w:r>
      <w:r w:rsidRPr="00E77E9D">
        <w:t>)</w:t>
      </w:r>
    </w:p>
    <w:p w14:paraId="67D5E0E1" w14:textId="77777777" w:rsidR="00F52C3D" w:rsidRPr="00E77E9D" w:rsidRDefault="00F52C3D" w:rsidP="002248FD">
      <w:pPr>
        <w:pStyle w:val="Bullet"/>
        <w:spacing w:after="100"/>
      </w:pPr>
      <w:r w:rsidRPr="00E77E9D">
        <w:rPr>
          <w:i/>
          <w:iCs/>
        </w:rPr>
        <w:t>Commercial/institutional</w:t>
      </w:r>
      <w:r w:rsidRPr="00E77E9D">
        <w:t xml:space="preserve"> energy use (CO</w:t>
      </w:r>
      <w:r w:rsidRPr="00E77E9D">
        <w:rPr>
          <w:vertAlign w:val="subscript"/>
        </w:rPr>
        <w:t>2</w:t>
      </w:r>
      <w:r w:rsidRPr="00E77E9D">
        <w:t>).</w:t>
      </w:r>
    </w:p>
    <w:p w14:paraId="132115B2" w14:textId="77777777" w:rsidR="00F52C3D" w:rsidRPr="00E77E9D" w:rsidRDefault="00F52C3D" w:rsidP="002248FD">
      <w:pPr>
        <w:pStyle w:val="BodyText"/>
        <w:spacing w:before="100" w:after="100"/>
      </w:pPr>
      <w:r w:rsidRPr="00E77E9D">
        <w:t xml:space="preserve">The reductions in net emissions from </w:t>
      </w:r>
      <w:r w:rsidRPr="00E77E9D">
        <w:rPr>
          <w:i/>
          <w:iCs/>
        </w:rPr>
        <w:t>Land converted to forest land</w:t>
      </w:r>
      <w:r w:rsidRPr="00E77E9D">
        <w:t xml:space="preserve"> were due to an increase in growth-related removals. The reductions in net emissions from </w:t>
      </w:r>
      <w:r w:rsidRPr="00E77E9D">
        <w:rPr>
          <w:i/>
          <w:iCs/>
        </w:rPr>
        <w:t>Land converted to grassland</w:t>
      </w:r>
      <w:r w:rsidRPr="00E77E9D">
        <w:t xml:space="preserve"> were driven by lower deforestation rates.</w:t>
      </w:r>
    </w:p>
    <w:p w14:paraId="774A0E19" w14:textId="77777777" w:rsidR="00F52C3D" w:rsidRPr="00E77E9D" w:rsidRDefault="00F52C3D" w:rsidP="002248FD">
      <w:pPr>
        <w:pStyle w:val="Heading4"/>
        <w:spacing w:before="120"/>
      </w:pPr>
      <w:r w:rsidRPr="00E77E9D">
        <w:t>2005–2024</w:t>
      </w:r>
    </w:p>
    <w:p w14:paraId="6F0BDD60" w14:textId="314AF739" w:rsidR="00F52C3D" w:rsidRPr="00E77E9D" w:rsidRDefault="00F52C3D" w:rsidP="002248FD">
      <w:pPr>
        <w:pStyle w:val="BodyText"/>
        <w:spacing w:before="80"/>
      </w:pPr>
      <w:r w:rsidRPr="00E77E9D">
        <w:t>In 2005, New Zealand’s net emissions were 62,225.5 kt CO</w:t>
      </w:r>
      <w:r w:rsidRPr="00E77E9D">
        <w:rPr>
          <w:vertAlign w:val="subscript"/>
        </w:rPr>
        <w:t>2</w:t>
      </w:r>
      <w:r w:rsidRPr="00E77E9D">
        <w:t>e. Between 2005 and 2024, New</w:t>
      </w:r>
      <w:r w:rsidR="002248FD">
        <w:t> </w:t>
      </w:r>
      <w:r w:rsidRPr="00E77E9D">
        <w:t>Zealand’s net emissions decreased by 11.9 percent (7,391.4 kt CO</w:t>
      </w:r>
      <w:r w:rsidRPr="00E77E9D">
        <w:rPr>
          <w:vertAlign w:val="subscript"/>
        </w:rPr>
        <w:t>2</w:t>
      </w:r>
      <w:r w:rsidRPr="00E77E9D">
        <w:t>e) to 54,834.1 kt CO</w:t>
      </w:r>
      <w:r w:rsidRPr="00E77E9D">
        <w:rPr>
          <w:vertAlign w:val="subscript"/>
        </w:rPr>
        <w:t>2</w:t>
      </w:r>
      <w:r w:rsidRPr="00E77E9D">
        <w:t>e (figure ES 2.1).</w:t>
      </w:r>
    </w:p>
    <w:p w14:paraId="3538954D" w14:textId="77777777" w:rsidR="00F52C3D" w:rsidRPr="00E77E9D" w:rsidRDefault="00F52C3D" w:rsidP="00F52C3D">
      <w:pPr>
        <w:pStyle w:val="BodyText"/>
      </w:pPr>
      <w:r w:rsidRPr="00E77E9D">
        <w:t>The categories that contributed the most to the decrease in net emissions between 2005 and 2024 were:</w:t>
      </w:r>
    </w:p>
    <w:p w14:paraId="56C47454" w14:textId="77777777" w:rsidR="00F52C3D" w:rsidRPr="00E77E9D" w:rsidRDefault="00F52C3D" w:rsidP="00F52C3D">
      <w:pPr>
        <w:pStyle w:val="Bullet"/>
      </w:pPr>
      <w:r w:rsidRPr="00E77E9D">
        <w:rPr>
          <w:i/>
          <w:iCs/>
        </w:rPr>
        <w:t>Land converted to grassland</w:t>
      </w:r>
      <w:r w:rsidRPr="00E77E9D">
        <w:t xml:space="preserve"> (CO</w:t>
      </w:r>
      <w:r w:rsidRPr="00E77E9D">
        <w:rPr>
          <w:vertAlign w:val="subscript"/>
        </w:rPr>
        <w:t>2</w:t>
      </w:r>
      <w:r w:rsidRPr="00E77E9D">
        <w:t>)</w:t>
      </w:r>
    </w:p>
    <w:p w14:paraId="49AF8DB0" w14:textId="77777777" w:rsidR="00F52C3D" w:rsidRPr="00E77E9D" w:rsidRDefault="00F52C3D" w:rsidP="00F52C3D">
      <w:pPr>
        <w:pStyle w:val="Bullet"/>
      </w:pPr>
      <w:r w:rsidRPr="00E77E9D">
        <w:rPr>
          <w:i/>
          <w:iCs/>
        </w:rPr>
        <w:t>Public electricity and heat production</w:t>
      </w:r>
      <w:r w:rsidRPr="00E77E9D">
        <w:t xml:space="preserve"> (CO</w:t>
      </w:r>
      <w:r w:rsidRPr="00E77E9D">
        <w:rPr>
          <w:vertAlign w:val="subscript"/>
        </w:rPr>
        <w:t>2</w:t>
      </w:r>
      <w:r w:rsidRPr="00E77E9D">
        <w:t>)</w:t>
      </w:r>
    </w:p>
    <w:p w14:paraId="6EDB643D" w14:textId="77777777" w:rsidR="00F52C3D" w:rsidRPr="00E77E9D" w:rsidRDefault="00F52C3D" w:rsidP="00F52C3D">
      <w:pPr>
        <w:pStyle w:val="Bullet"/>
      </w:pPr>
      <w:r w:rsidRPr="00E77E9D">
        <w:rPr>
          <w:i/>
          <w:iCs/>
        </w:rPr>
        <w:t>Enteric fermentation</w:t>
      </w:r>
      <w:r w:rsidRPr="00E77E9D">
        <w:t xml:space="preserve"> from </w:t>
      </w:r>
      <w:r w:rsidRPr="00E77E9D">
        <w:rPr>
          <w:i/>
          <w:iCs/>
        </w:rPr>
        <w:t>Sheep</w:t>
      </w:r>
      <w:r w:rsidRPr="00E77E9D">
        <w:t xml:space="preserve"> (CH</w:t>
      </w:r>
      <w:r w:rsidRPr="00E77E9D">
        <w:rPr>
          <w:vertAlign w:val="subscript"/>
        </w:rPr>
        <w:t>4</w:t>
      </w:r>
      <w:r w:rsidRPr="00E77E9D">
        <w:t>)</w:t>
      </w:r>
    </w:p>
    <w:p w14:paraId="71A1670D" w14:textId="77777777" w:rsidR="00F52C3D" w:rsidRPr="00E77E9D" w:rsidRDefault="00F52C3D" w:rsidP="00F52C3D">
      <w:pPr>
        <w:pStyle w:val="Bullet"/>
      </w:pPr>
      <w:r w:rsidRPr="00E77E9D">
        <w:rPr>
          <w:i/>
          <w:iCs/>
        </w:rPr>
        <w:t>Forest land remaining forest land</w:t>
      </w:r>
      <w:r w:rsidRPr="00E77E9D">
        <w:t xml:space="preserve"> (CO</w:t>
      </w:r>
      <w:r w:rsidRPr="00E77E9D">
        <w:rPr>
          <w:vertAlign w:val="subscript"/>
        </w:rPr>
        <w:t>2</w:t>
      </w:r>
      <w:r w:rsidRPr="00E77E9D">
        <w:t>)</w:t>
      </w:r>
    </w:p>
    <w:p w14:paraId="57FB5755" w14:textId="77777777" w:rsidR="00F52C3D" w:rsidRPr="00E77E9D" w:rsidRDefault="00F52C3D" w:rsidP="00F52C3D">
      <w:pPr>
        <w:pStyle w:val="Bullet"/>
      </w:pPr>
      <w:r w:rsidRPr="00E77E9D">
        <w:rPr>
          <w:i/>
          <w:iCs/>
        </w:rPr>
        <w:t>Enteric fermentation</w:t>
      </w:r>
      <w:r w:rsidRPr="00E77E9D">
        <w:t xml:space="preserve"> from </w:t>
      </w:r>
      <w:r w:rsidRPr="00E77E9D">
        <w:rPr>
          <w:i/>
          <w:iCs/>
        </w:rPr>
        <w:t>Non-dairy cattle</w:t>
      </w:r>
      <w:r w:rsidRPr="00E77E9D">
        <w:t xml:space="preserve"> (CH</w:t>
      </w:r>
      <w:r w:rsidRPr="00E77E9D">
        <w:rPr>
          <w:vertAlign w:val="subscript"/>
        </w:rPr>
        <w:t>4</w:t>
      </w:r>
      <w:r w:rsidRPr="00E77E9D">
        <w:t>).</w:t>
      </w:r>
    </w:p>
    <w:p w14:paraId="60522A39" w14:textId="77777777" w:rsidR="00F52C3D" w:rsidRPr="00E77E9D" w:rsidRDefault="00F52C3D" w:rsidP="00F52C3D">
      <w:pPr>
        <w:pStyle w:val="Heading4"/>
      </w:pPr>
      <w:r w:rsidRPr="00E77E9D">
        <w:t>1990–2024</w:t>
      </w:r>
    </w:p>
    <w:p w14:paraId="4B2ABE73" w14:textId="77777777" w:rsidR="00F52C3D" w:rsidRPr="00E77E9D" w:rsidRDefault="00F52C3D" w:rsidP="00F52C3D">
      <w:pPr>
        <w:pStyle w:val="BodyText"/>
      </w:pPr>
      <w:r w:rsidRPr="00E77E9D">
        <w:t>In 1990, New Zealand’s net emissions were 44,230.7 kt CO</w:t>
      </w:r>
      <w:r w:rsidRPr="00E77E9D">
        <w:rPr>
          <w:vertAlign w:val="subscript"/>
        </w:rPr>
        <w:t>2</w:t>
      </w:r>
      <w:r w:rsidRPr="00E77E9D">
        <w:t>e. Between 1990 and 2024, net GHG emissions increased by 24.0 percent (10,603.4 kt CO</w:t>
      </w:r>
      <w:r w:rsidRPr="00E77E9D">
        <w:rPr>
          <w:vertAlign w:val="subscript"/>
        </w:rPr>
        <w:t>2</w:t>
      </w:r>
      <w:r w:rsidRPr="00E77E9D">
        <w:t>e) to 54,834.1 kt CO</w:t>
      </w:r>
      <w:r w:rsidRPr="00E77E9D">
        <w:rPr>
          <w:vertAlign w:val="subscript"/>
        </w:rPr>
        <w:t>2</w:t>
      </w:r>
      <w:r w:rsidRPr="00E77E9D">
        <w:t>e (figure ES 2.1).</w:t>
      </w:r>
    </w:p>
    <w:p w14:paraId="41D91147" w14:textId="77777777" w:rsidR="00F52C3D" w:rsidRPr="00E77E9D" w:rsidRDefault="00F52C3D" w:rsidP="00F52C3D">
      <w:pPr>
        <w:pStyle w:val="BodyText"/>
      </w:pPr>
      <w:r w:rsidRPr="00E77E9D">
        <w:t>The categories that contributed the most to the increase in net emissions between 1990 and 2024 were:</w:t>
      </w:r>
    </w:p>
    <w:p w14:paraId="3F789FEB" w14:textId="77777777" w:rsidR="00F52C3D" w:rsidRPr="00E77E9D" w:rsidRDefault="00F52C3D" w:rsidP="00F52C3D">
      <w:pPr>
        <w:pStyle w:val="Bullet"/>
      </w:pPr>
      <w:r w:rsidRPr="00E77E9D">
        <w:rPr>
          <w:i/>
          <w:iCs/>
        </w:rPr>
        <w:t>Land converted to forest land</w:t>
      </w:r>
      <w:r w:rsidRPr="00E77E9D">
        <w:t xml:space="preserve"> (CO</w:t>
      </w:r>
      <w:r w:rsidRPr="00E77E9D">
        <w:rPr>
          <w:vertAlign w:val="subscript"/>
        </w:rPr>
        <w:t>2</w:t>
      </w:r>
      <w:r w:rsidRPr="00E77E9D">
        <w:t>)</w:t>
      </w:r>
    </w:p>
    <w:p w14:paraId="119BCD05" w14:textId="77777777" w:rsidR="00F52C3D" w:rsidRPr="00E77E9D" w:rsidRDefault="00F52C3D" w:rsidP="00F52C3D">
      <w:pPr>
        <w:pStyle w:val="Bullet"/>
      </w:pPr>
      <w:r w:rsidRPr="00E77E9D">
        <w:rPr>
          <w:i/>
          <w:iCs/>
        </w:rPr>
        <w:t>Enteric fermentation</w:t>
      </w:r>
      <w:r w:rsidRPr="00E77E9D">
        <w:t xml:space="preserve"> from </w:t>
      </w:r>
      <w:r w:rsidRPr="00E77E9D">
        <w:rPr>
          <w:i/>
          <w:iCs/>
        </w:rPr>
        <w:t>Dairy cattle</w:t>
      </w:r>
      <w:r w:rsidRPr="00E77E9D">
        <w:t xml:space="preserve"> (CH</w:t>
      </w:r>
      <w:r w:rsidRPr="00E77E9D">
        <w:rPr>
          <w:vertAlign w:val="subscript"/>
        </w:rPr>
        <w:t>4</w:t>
      </w:r>
      <w:r w:rsidRPr="00E77E9D">
        <w:t>)</w:t>
      </w:r>
    </w:p>
    <w:p w14:paraId="2114F9B5" w14:textId="77777777" w:rsidR="00F52C3D" w:rsidRPr="00E77E9D" w:rsidRDefault="00F52C3D" w:rsidP="00F52C3D">
      <w:pPr>
        <w:pStyle w:val="Bullet"/>
      </w:pPr>
      <w:r w:rsidRPr="00E77E9D">
        <w:rPr>
          <w:i/>
          <w:iCs/>
        </w:rPr>
        <w:t>Road transportation</w:t>
      </w:r>
      <w:r w:rsidRPr="00E77E9D">
        <w:t xml:space="preserve"> (CO</w:t>
      </w:r>
      <w:r w:rsidRPr="00E77E9D">
        <w:rPr>
          <w:vertAlign w:val="subscript"/>
        </w:rPr>
        <w:t>2</w:t>
      </w:r>
      <w:r w:rsidRPr="00E77E9D">
        <w:t>)</w:t>
      </w:r>
    </w:p>
    <w:p w14:paraId="3CBC53C5" w14:textId="77777777" w:rsidR="00F52C3D" w:rsidRPr="00E77E9D" w:rsidRDefault="00F52C3D" w:rsidP="00F52C3D">
      <w:pPr>
        <w:pStyle w:val="Bullet"/>
      </w:pPr>
      <w:r w:rsidRPr="00E77E9D">
        <w:rPr>
          <w:i/>
          <w:iCs/>
        </w:rPr>
        <w:t>Agricultural soils</w:t>
      </w:r>
      <w:r w:rsidRPr="00E77E9D">
        <w:t xml:space="preserve"> (N</w:t>
      </w:r>
      <w:r w:rsidRPr="00E77E9D">
        <w:rPr>
          <w:vertAlign w:val="subscript"/>
        </w:rPr>
        <w:t>2</w:t>
      </w:r>
      <w:r w:rsidRPr="00E77E9D">
        <w:t>O)</w:t>
      </w:r>
    </w:p>
    <w:p w14:paraId="1FE67D31" w14:textId="77777777" w:rsidR="00F52C3D" w:rsidRPr="00E77E9D" w:rsidRDefault="00F52C3D" w:rsidP="00F52C3D">
      <w:pPr>
        <w:pStyle w:val="Bullet"/>
      </w:pPr>
      <w:r w:rsidRPr="00E77E9D">
        <w:rPr>
          <w:i/>
          <w:iCs/>
        </w:rPr>
        <w:t>Product uses as substitutes for ODS</w:t>
      </w:r>
      <w:r w:rsidRPr="00E77E9D">
        <w:t xml:space="preserve"> (HFCs).</w:t>
      </w:r>
    </w:p>
    <w:p w14:paraId="685D855C" w14:textId="77777777" w:rsidR="00F52C3D" w:rsidRPr="00E77E9D" w:rsidRDefault="00F52C3D" w:rsidP="00F52C3D">
      <w:pPr>
        <w:pStyle w:val="Heading3"/>
      </w:pPr>
      <w:bookmarkStart w:id="9" w:name="greenhouse-gas-trends"/>
      <w:r w:rsidRPr="00E77E9D">
        <w:t>Greenhouse gas trends</w:t>
      </w:r>
    </w:p>
    <w:p w14:paraId="66D1FBFA" w14:textId="77777777" w:rsidR="00F52C3D" w:rsidRPr="00E77E9D" w:rsidRDefault="00F52C3D" w:rsidP="00F52C3D">
      <w:pPr>
        <w:pStyle w:val="BodyText"/>
      </w:pPr>
      <w:r w:rsidRPr="00E77E9D">
        <w:t>Inventory reporting under the Convention covers the following direct GHGs: CO</w:t>
      </w:r>
      <w:r w:rsidRPr="00E77E9D">
        <w:rPr>
          <w:vertAlign w:val="subscript"/>
        </w:rPr>
        <w:t>2</w:t>
      </w:r>
      <w:r w:rsidRPr="00E77E9D">
        <w:t>, CH</w:t>
      </w:r>
      <w:r w:rsidRPr="00E77E9D">
        <w:rPr>
          <w:vertAlign w:val="subscript"/>
        </w:rPr>
        <w:t>4</w:t>
      </w:r>
      <w:r w:rsidRPr="00E77E9D">
        <w:t>, N</w:t>
      </w:r>
      <w:r w:rsidRPr="00E77E9D">
        <w:rPr>
          <w:vertAlign w:val="subscript"/>
        </w:rPr>
        <w:t>2</w:t>
      </w:r>
      <w:r w:rsidRPr="00E77E9D">
        <w:t>O, SF</w:t>
      </w:r>
      <w:r w:rsidRPr="00E77E9D">
        <w:rPr>
          <w:vertAlign w:val="subscript"/>
        </w:rPr>
        <w:t>6</w:t>
      </w:r>
      <w:r w:rsidRPr="00E77E9D">
        <w:t>, PFCs, HFCs and NF</w:t>
      </w:r>
      <w:r w:rsidRPr="00E77E9D">
        <w:rPr>
          <w:vertAlign w:val="subscript"/>
        </w:rPr>
        <w:t>3</w:t>
      </w:r>
      <w:r w:rsidRPr="00E77E9D">
        <w:t>. No NF</w:t>
      </w:r>
      <w:r w:rsidRPr="00E77E9D">
        <w:rPr>
          <w:vertAlign w:val="subscript"/>
        </w:rPr>
        <w:t>3</w:t>
      </w:r>
      <w:r w:rsidRPr="00E77E9D">
        <w:t xml:space="preserve"> data are included in this report because NF</w:t>
      </w:r>
      <w:r w:rsidRPr="00E77E9D">
        <w:rPr>
          <w:vertAlign w:val="subscript"/>
        </w:rPr>
        <w:t>3</w:t>
      </w:r>
      <w:r w:rsidRPr="00E77E9D">
        <w:t xml:space="preserve"> emissions do not occur in New Zealand.</w:t>
      </w:r>
    </w:p>
    <w:p w14:paraId="20BC92B1" w14:textId="77777777" w:rsidR="00F52C3D" w:rsidRPr="00E77E9D" w:rsidRDefault="00F52C3D" w:rsidP="00F52C3D">
      <w:pPr>
        <w:pStyle w:val="BodyText"/>
      </w:pPr>
      <w:r w:rsidRPr="00E77E9D">
        <w:t xml:space="preserve">Table ES 2.1 provides a summary of emissions for each gas in 1990, 2005 and 2024 and the changes since 1990. </w:t>
      </w:r>
    </w:p>
    <w:p w14:paraId="7D546737" w14:textId="77777777" w:rsidR="00F52C3D" w:rsidRPr="00E77E9D" w:rsidRDefault="00F52C3D" w:rsidP="00F52C3D">
      <w:pPr>
        <w:pStyle w:val="Table"/>
      </w:pPr>
      <w:bookmarkStart w:id="10" w:name="_Toc226668938"/>
      <w:r w:rsidRPr="00E77E9D">
        <w:rPr>
          <w:bCs/>
        </w:rPr>
        <w:t>Table ES 2.1</w:t>
      </w:r>
      <w:r w:rsidRPr="00E77E9D">
        <w:t xml:space="preserve"> </w:t>
      </w:r>
      <w:r w:rsidRPr="00E77E9D">
        <w:tab/>
        <w:t xml:space="preserve">New Zealand’s gross emissions by gas in </w:t>
      </w:r>
      <w:r w:rsidRPr="00E77E9D">
        <w:rPr>
          <w:bCs/>
        </w:rPr>
        <w:t>1990</w:t>
      </w:r>
      <w:r w:rsidRPr="00E77E9D">
        <w:t xml:space="preserve">, </w:t>
      </w:r>
      <w:r w:rsidRPr="00E77E9D">
        <w:rPr>
          <w:bCs/>
        </w:rPr>
        <w:t>2005</w:t>
      </w:r>
      <w:r w:rsidRPr="00E77E9D">
        <w:t xml:space="preserve"> and </w:t>
      </w:r>
      <w:r w:rsidRPr="00E77E9D">
        <w:rPr>
          <w:bCs/>
        </w:rPr>
        <w:t>2024</w:t>
      </w:r>
      <w:bookmarkEnd w:id="1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417"/>
        <w:gridCol w:w="1077"/>
        <w:gridCol w:w="789"/>
        <w:gridCol w:w="789"/>
        <w:gridCol w:w="1134"/>
        <w:gridCol w:w="1077"/>
        <w:gridCol w:w="1134"/>
        <w:gridCol w:w="1077"/>
      </w:tblGrid>
      <w:tr w:rsidR="00F52C3D" w:rsidRPr="00E77E9D" w14:paraId="027B0EA4" w14:textId="77777777" w:rsidTr="00F16E23">
        <w:trPr>
          <w:tblHeader/>
        </w:trPr>
        <w:tc>
          <w:tcPr>
            <w:tcW w:w="1418" w:type="dxa"/>
            <w:shd w:val="clear" w:color="auto" w:fill="1B556B"/>
            <w:tcMar>
              <w:top w:w="0" w:type="dxa"/>
              <w:left w:w="85" w:type="dxa"/>
              <w:bottom w:w="0" w:type="dxa"/>
              <w:right w:w="85" w:type="dxa"/>
            </w:tcMar>
            <w:vAlign w:val="bottom"/>
          </w:tcPr>
          <w:p w14:paraId="2A089DCC" w14:textId="77777777" w:rsidR="00F52C3D" w:rsidRPr="00E77E9D" w:rsidRDefault="00F52C3D" w:rsidP="00F16E23">
            <w:pPr>
              <w:pStyle w:val="TableTextBold"/>
              <w:spacing w:before="40" w:after="40"/>
              <w:rPr>
                <w:rFonts w:cs="Calibri"/>
                <w:noProof w:val="0"/>
                <w:color w:val="FFFFFF" w:themeColor="background1"/>
                <w:szCs w:val="16"/>
              </w:rPr>
            </w:pPr>
            <w:r w:rsidRPr="00E77E9D">
              <w:rPr>
                <w:rFonts w:eastAsia="Calibri" w:cs="Calibri"/>
                <w:noProof w:val="0"/>
                <w:color w:val="FFFFFF" w:themeColor="background1"/>
                <w:szCs w:val="16"/>
              </w:rPr>
              <w:t>Direct greenhouse gas emissions</w:t>
            </w:r>
          </w:p>
        </w:tc>
        <w:tc>
          <w:tcPr>
            <w:tcW w:w="1077" w:type="dxa"/>
            <w:shd w:val="clear" w:color="auto" w:fill="1B556B"/>
            <w:tcMar>
              <w:top w:w="0" w:type="dxa"/>
              <w:left w:w="85" w:type="dxa"/>
              <w:bottom w:w="0" w:type="dxa"/>
              <w:right w:w="85" w:type="dxa"/>
            </w:tcMar>
            <w:vAlign w:val="bottom"/>
          </w:tcPr>
          <w:p w14:paraId="279A557B" w14:textId="77777777" w:rsidR="00F52C3D" w:rsidRPr="00E77E9D" w:rsidRDefault="00F52C3D" w:rsidP="00F16E23">
            <w:pPr>
              <w:pStyle w:val="TableTextBold"/>
              <w:spacing w:before="40" w:after="40"/>
              <w:jc w:val="right"/>
              <w:rPr>
                <w:rFonts w:cs="Calibri"/>
                <w:noProof w:val="0"/>
                <w:color w:val="FFFFFF" w:themeColor="background1"/>
                <w:szCs w:val="16"/>
              </w:rPr>
            </w:pPr>
            <w:r w:rsidRPr="00E77E9D">
              <w:rPr>
                <w:rFonts w:eastAsia="Calibri" w:cs="Calibri"/>
                <w:noProof w:val="0"/>
                <w:color w:val="FFFFFF" w:themeColor="background1"/>
                <w:szCs w:val="16"/>
              </w:rPr>
              <w:t>1990</w:t>
            </w:r>
          </w:p>
        </w:tc>
        <w:tc>
          <w:tcPr>
            <w:tcW w:w="0" w:type="auto"/>
            <w:shd w:val="clear" w:color="auto" w:fill="1B556B"/>
            <w:tcMar>
              <w:top w:w="0" w:type="dxa"/>
              <w:left w:w="85" w:type="dxa"/>
              <w:bottom w:w="0" w:type="dxa"/>
              <w:right w:w="85" w:type="dxa"/>
            </w:tcMar>
            <w:vAlign w:val="bottom"/>
          </w:tcPr>
          <w:p w14:paraId="66CE1644" w14:textId="77777777" w:rsidR="00F52C3D" w:rsidRPr="00E77E9D" w:rsidRDefault="00F52C3D" w:rsidP="00F16E23">
            <w:pPr>
              <w:pStyle w:val="TableTextBold"/>
              <w:spacing w:before="40" w:after="40"/>
              <w:jc w:val="right"/>
              <w:rPr>
                <w:rFonts w:cs="Calibri"/>
                <w:noProof w:val="0"/>
                <w:color w:val="FFFFFF" w:themeColor="background1"/>
                <w:szCs w:val="16"/>
              </w:rPr>
            </w:pPr>
            <w:r w:rsidRPr="00E77E9D">
              <w:rPr>
                <w:rFonts w:eastAsia="Calibri" w:cs="Calibri"/>
                <w:noProof w:val="0"/>
                <w:color w:val="FFFFFF" w:themeColor="background1"/>
                <w:szCs w:val="16"/>
              </w:rPr>
              <w:t>2005</w:t>
            </w:r>
          </w:p>
        </w:tc>
        <w:tc>
          <w:tcPr>
            <w:tcW w:w="0" w:type="auto"/>
            <w:shd w:val="clear" w:color="auto" w:fill="1B556B"/>
            <w:tcMar>
              <w:top w:w="0" w:type="dxa"/>
              <w:left w:w="85" w:type="dxa"/>
              <w:bottom w:w="0" w:type="dxa"/>
              <w:right w:w="85" w:type="dxa"/>
            </w:tcMar>
            <w:vAlign w:val="bottom"/>
          </w:tcPr>
          <w:p w14:paraId="0B390C98" w14:textId="77777777" w:rsidR="00F52C3D" w:rsidRPr="00E77E9D" w:rsidRDefault="00F52C3D" w:rsidP="00F16E23">
            <w:pPr>
              <w:pStyle w:val="TableTextBold"/>
              <w:spacing w:before="40" w:after="40"/>
              <w:jc w:val="right"/>
              <w:rPr>
                <w:rFonts w:cs="Calibri"/>
                <w:noProof w:val="0"/>
                <w:color w:val="FFFFFF" w:themeColor="background1"/>
                <w:szCs w:val="16"/>
              </w:rPr>
            </w:pPr>
            <w:r w:rsidRPr="00E77E9D">
              <w:rPr>
                <w:rFonts w:eastAsia="Calibri" w:cs="Calibri"/>
                <w:noProof w:val="0"/>
                <w:color w:val="FFFFFF" w:themeColor="background1"/>
                <w:szCs w:val="16"/>
              </w:rPr>
              <w:t>2024</w:t>
            </w:r>
          </w:p>
        </w:tc>
        <w:tc>
          <w:tcPr>
            <w:tcW w:w="1134" w:type="dxa"/>
            <w:shd w:val="clear" w:color="auto" w:fill="1B556B"/>
            <w:tcMar>
              <w:top w:w="0" w:type="dxa"/>
              <w:left w:w="85" w:type="dxa"/>
              <w:bottom w:w="0" w:type="dxa"/>
              <w:right w:w="85" w:type="dxa"/>
            </w:tcMar>
            <w:vAlign w:val="bottom"/>
          </w:tcPr>
          <w:p w14:paraId="26A4C730" w14:textId="77777777" w:rsidR="00F52C3D" w:rsidRPr="00E77E9D" w:rsidRDefault="00F52C3D" w:rsidP="00F16E23">
            <w:pPr>
              <w:pStyle w:val="TableTextBold"/>
              <w:spacing w:before="40" w:after="40"/>
              <w:jc w:val="right"/>
              <w:rPr>
                <w:rFonts w:cs="Calibri"/>
                <w:noProof w:val="0"/>
                <w:color w:val="FFFFFF" w:themeColor="background1"/>
                <w:szCs w:val="16"/>
              </w:rPr>
            </w:pPr>
            <w:r w:rsidRPr="00E77E9D">
              <w:rPr>
                <w:rFonts w:eastAsia="Calibri" w:cs="Calibri"/>
                <w:noProof w:val="0"/>
                <w:color w:val="FFFFFF" w:themeColor="background1"/>
                <w:szCs w:val="16"/>
              </w:rPr>
              <w:t>Change from 1990 (kt CO</w:t>
            </w:r>
            <w:r w:rsidRPr="00E77E9D">
              <w:rPr>
                <w:rFonts w:eastAsia="Calibri" w:cs="Calibri"/>
                <w:noProof w:val="0"/>
                <w:color w:val="FFFFFF" w:themeColor="background1"/>
                <w:szCs w:val="16"/>
                <w:vertAlign w:val="subscript"/>
              </w:rPr>
              <w:t>2</w:t>
            </w:r>
            <w:r w:rsidRPr="00E77E9D">
              <w:rPr>
                <w:rFonts w:eastAsia="Calibri" w:cs="Calibri"/>
                <w:noProof w:val="0"/>
                <w:color w:val="FFFFFF" w:themeColor="background1"/>
                <w:szCs w:val="16"/>
              </w:rPr>
              <w:t>e)</w:t>
            </w:r>
          </w:p>
        </w:tc>
        <w:tc>
          <w:tcPr>
            <w:tcW w:w="1077" w:type="dxa"/>
            <w:shd w:val="clear" w:color="auto" w:fill="1B556B"/>
            <w:tcMar>
              <w:top w:w="0" w:type="dxa"/>
              <w:left w:w="85" w:type="dxa"/>
              <w:bottom w:w="0" w:type="dxa"/>
              <w:right w:w="85" w:type="dxa"/>
            </w:tcMar>
            <w:vAlign w:val="bottom"/>
          </w:tcPr>
          <w:p w14:paraId="1A7A371C" w14:textId="77777777" w:rsidR="00F52C3D" w:rsidRPr="00E77E9D" w:rsidRDefault="00F52C3D" w:rsidP="00F16E23">
            <w:pPr>
              <w:pStyle w:val="TableTextBold"/>
              <w:spacing w:before="40" w:after="40"/>
              <w:jc w:val="right"/>
              <w:rPr>
                <w:rFonts w:cs="Calibri"/>
                <w:noProof w:val="0"/>
                <w:color w:val="FFFFFF" w:themeColor="background1"/>
                <w:szCs w:val="16"/>
              </w:rPr>
            </w:pPr>
            <w:r w:rsidRPr="00E77E9D">
              <w:rPr>
                <w:rFonts w:eastAsia="Calibri" w:cs="Calibri"/>
                <w:noProof w:val="0"/>
                <w:color w:val="FFFFFF" w:themeColor="background1"/>
                <w:szCs w:val="16"/>
              </w:rPr>
              <w:t>Change from 1990 (%)</w:t>
            </w:r>
          </w:p>
        </w:tc>
        <w:tc>
          <w:tcPr>
            <w:tcW w:w="1134" w:type="dxa"/>
            <w:shd w:val="clear" w:color="auto" w:fill="1B556B"/>
            <w:tcMar>
              <w:top w:w="0" w:type="dxa"/>
              <w:left w:w="85" w:type="dxa"/>
              <w:bottom w:w="0" w:type="dxa"/>
              <w:right w:w="85" w:type="dxa"/>
            </w:tcMar>
            <w:vAlign w:val="bottom"/>
          </w:tcPr>
          <w:p w14:paraId="5DA0E943" w14:textId="77777777" w:rsidR="00F52C3D" w:rsidRPr="00E77E9D" w:rsidRDefault="00F52C3D" w:rsidP="00F16E23">
            <w:pPr>
              <w:pStyle w:val="TableTextBold"/>
              <w:spacing w:before="40" w:after="40"/>
              <w:jc w:val="right"/>
              <w:rPr>
                <w:rFonts w:cs="Calibri"/>
                <w:noProof w:val="0"/>
                <w:color w:val="FFFFFF" w:themeColor="background1"/>
                <w:szCs w:val="16"/>
              </w:rPr>
            </w:pPr>
            <w:r w:rsidRPr="00E77E9D">
              <w:rPr>
                <w:rFonts w:eastAsia="Calibri" w:cs="Calibri"/>
                <w:noProof w:val="0"/>
                <w:color w:val="FFFFFF" w:themeColor="background1"/>
                <w:szCs w:val="16"/>
              </w:rPr>
              <w:t>Change from 2005 (kt CO</w:t>
            </w:r>
            <w:r w:rsidRPr="00E77E9D">
              <w:rPr>
                <w:rFonts w:eastAsia="Calibri" w:cs="Calibri"/>
                <w:noProof w:val="0"/>
                <w:color w:val="FFFFFF" w:themeColor="background1"/>
                <w:szCs w:val="16"/>
                <w:vertAlign w:val="subscript"/>
              </w:rPr>
              <w:t>2</w:t>
            </w:r>
            <w:r w:rsidRPr="00E77E9D">
              <w:rPr>
                <w:rFonts w:eastAsia="Calibri" w:cs="Calibri"/>
                <w:noProof w:val="0"/>
                <w:color w:val="FFFFFF" w:themeColor="background1"/>
                <w:szCs w:val="16"/>
              </w:rPr>
              <w:t>e)</w:t>
            </w:r>
          </w:p>
        </w:tc>
        <w:tc>
          <w:tcPr>
            <w:tcW w:w="1077" w:type="dxa"/>
            <w:shd w:val="clear" w:color="auto" w:fill="1B556B"/>
            <w:tcMar>
              <w:top w:w="0" w:type="dxa"/>
              <w:left w:w="85" w:type="dxa"/>
              <w:bottom w:w="0" w:type="dxa"/>
              <w:right w:w="85" w:type="dxa"/>
            </w:tcMar>
            <w:vAlign w:val="bottom"/>
          </w:tcPr>
          <w:p w14:paraId="0121A31C" w14:textId="77777777" w:rsidR="00F52C3D" w:rsidRPr="00E77E9D" w:rsidRDefault="00F52C3D" w:rsidP="00F16E23">
            <w:pPr>
              <w:pStyle w:val="TableTextBold"/>
              <w:spacing w:before="40" w:after="40"/>
              <w:jc w:val="right"/>
              <w:rPr>
                <w:rFonts w:cs="Calibri"/>
                <w:noProof w:val="0"/>
                <w:color w:val="FFFFFF" w:themeColor="background1"/>
                <w:szCs w:val="16"/>
              </w:rPr>
            </w:pPr>
            <w:r w:rsidRPr="00E77E9D">
              <w:rPr>
                <w:rFonts w:eastAsia="Calibri" w:cs="Calibri"/>
                <w:noProof w:val="0"/>
                <w:color w:val="FFFFFF" w:themeColor="background1"/>
                <w:szCs w:val="16"/>
              </w:rPr>
              <w:t>Change from 2005 (%)</w:t>
            </w:r>
          </w:p>
        </w:tc>
      </w:tr>
      <w:tr w:rsidR="00F52C3D" w:rsidRPr="00E77E9D" w14:paraId="609A5144" w14:textId="77777777" w:rsidTr="00F16E23">
        <w:tc>
          <w:tcPr>
            <w:tcW w:w="1418" w:type="dxa"/>
            <w:shd w:val="clear" w:color="auto" w:fill="FFFFFF"/>
            <w:tcMar>
              <w:top w:w="0" w:type="dxa"/>
              <w:left w:w="85" w:type="dxa"/>
              <w:bottom w:w="0" w:type="dxa"/>
              <w:right w:w="85" w:type="dxa"/>
            </w:tcMar>
            <w:vAlign w:val="center"/>
          </w:tcPr>
          <w:p w14:paraId="45ED5629" w14:textId="77777777" w:rsidR="00F52C3D" w:rsidRPr="00E77E9D" w:rsidRDefault="00F52C3D" w:rsidP="00F16E23">
            <w:pPr>
              <w:pStyle w:val="TableText"/>
              <w:spacing w:before="40" w:after="40"/>
              <w:rPr>
                <w:rFonts w:cs="Calibri"/>
                <w:szCs w:val="16"/>
              </w:rPr>
            </w:pPr>
            <w:r w:rsidRPr="00E77E9D">
              <w:rPr>
                <w:rFonts w:eastAsia="Calibri" w:cs="Calibri"/>
                <w:szCs w:val="16"/>
              </w:rPr>
              <w:t>CO</w:t>
            </w:r>
            <w:r w:rsidRPr="00E77E9D">
              <w:rPr>
                <w:rFonts w:eastAsia="Calibri" w:cs="Calibri"/>
                <w:szCs w:val="16"/>
                <w:vertAlign w:val="subscript"/>
              </w:rPr>
              <w:t>2</w:t>
            </w:r>
          </w:p>
        </w:tc>
        <w:tc>
          <w:tcPr>
            <w:tcW w:w="1077" w:type="dxa"/>
            <w:shd w:val="clear" w:color="auto" w:fill="FFFFFF"/>
            <w:tcMar>
              <w:top w:w="0" w:type="dxa"/>
              <w:left w:w="85" w:type="dxa"/>
              <w:bottom w:w="0" w:type="dxa"/>
              <w:right w:w="85" w:type="dxa"/>
            </w:tcMar>
          </w:tcPr>
          <w:p w14:paraId="3D0F4B28"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25,521.7</w:t>
            </w:r>
          </w:p>
        </w:tc>
        <w:tc>
          <w:tcPr>
            <w:tcW w:w="0" w:type="auto"/>
            <w:shd w:val="clear" w:color="auto" w:fill="FFFFFF"/>
            <w:tcMar>
              <w:top w:w="0" w:type="dxa"/>
              <w:left w:w="85" w:type="dxa"/>
              <w:bottom w:w="0" w:type="dxa"/>
              <w:right w:w="85" w:type="dxa"/>
            </w:tcMar>
          </w:tcPr>
          <w:p w14:paraId="0EC30A1C"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37,427.1</w:t>
            </w:r>
          </w:p>
        </w:tc>
        <w:tc>
          <w:tcPr>
            <w:tcW w:w="0" w:type="auto"/>
            <w:shd w:val="clear" w:color="auto" w:fill="FFFFFF"/>
            <w:tcMar>
              <w:top w:w="0" w:type="dxa"/>
              <w:left w:w="85" w:type="dxa"/>
              <w:bottom w:w="0" w:type="dxa"/>
              <w:right w:w="85" w:type="dxa"/>
            </w:tcMar>
          </w:tcPr>
          <w:p w14:paraId="6B67A012"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31,436.2</w:t>
            </w:r>
          </w:p>
        </w:tc>
        <w:tc>
          <w:tcPr>
            <w:tcW w:w="1134" w:type="dxa"/>
            <w:shd w:val="clear" w:color="auto" w:fill="FFFFFF"/>
            <w:tcMar>
              <w:top w:w="0" w:type="dxa"/>
              <w:left w:w="85" w:type="dxa"/>
              <w:bottom w:w="0" w:type="dxa"/>
              <w:right w:w="85" w:type="dxa"/>
            </w:tcMar>
          </w:tcPr>
          <w:p w14:paraId="0174D2D2"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5,914.4</w:t>
            </w:r>
          </w:p>
        </w:tc>
        <w:tc>
          <w:tcPr>
            <w:tcW w:w="1077" w:type="dxa"/>
            <w:shd w:val="clear" w:color="auto" w:fill="FFFFFF"/>
            <w:tcMar>
              <w:top w:w="0" w:type="dxa"/>
              <w:left w:w="85" w:type="dxa"/>
              <w:bottom w:w="0" w:type="dxa"/>
              <w:right w:w="85" w:type="dxa"/>
            </w:tcMar>
          </w:tcPr>
          <w:p w14:paraId="79C87490"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23.2</w:t>
            </w:r>
          </w:p>
        </w:tc>
        <w:tc>
          <w:tcPr>
            <w:tcW w:w="1134" w:type="dxa"/>
            <w:shd w:val="clear" w:color="auto" w:fill="FFFFFF"/>
            <w:tcMar>
              <w:top w:w="0" w:type="dxa"/>
              <w:left w:w="85" w:type="dxa"/>
              <w:bottom w:w="0" w:type="dxa"/>
              <w:right w:w="85" w:type="dxa"/>
            </w:tcMar>
          </w:tcPr>
          <w:p w14:paraId="1A2CB3F3"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-5,990.9</w:t>
            </w:r>
          </w:p>
        </w:tc>
        <w:tc>
          <w:tcPr>
            <w:tcW w:w="1077" w:type="dxa"/>
            <w:shd w:val="clear" w:color="auto" w:fill="FFFFFF"/>
            <w:tcMar>
              <w:top w:w="0" w:type="dxa"/>
              <w:left w:w="85" w:type="dxa"/>
              <w:bottom w:w="0" w:type="dxa"/>
              <w:right w:w="85" w:type="dxa"/>
            </w:tcMar>
          </w:tcPr>
          <w:p w14:paraId="4000250E"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-16.0</w:t>
            </w:r>
          </w:p>
        </w:tc>
      </w:tr>
      <w:tr w:rsidR="00F52C3D" w:rsidRPr="00E77E9D" w14:paraId="25FAF506" w14:textId="77777777" w:rsidTr="00F16E23">
        <w:tc>
          <w:tcPr>
            <w:tcW w:w="1418" w:type="dxa"/>
            <w:shd w:val="clear" w:color="auto" w:fill="FFFFFF"/>
            <w:tcMar>
              <w:top w:w="0" w:type="dxa"/>
              <w:left w:w="85" w:type="dxa"/>
              <w:bottom w:w="0" w:type="dxa"/>
              <w:right w:w="85" w:type="dxa"/>
            </w:tcMar>
            <w:vAlign w:val="center"/>
          </w:tcPr>
          <w:p w14:paraId="1B2C8CF9" w14:textId="77777777" w:rsidR="00F52C3D" w:rsidRPr="00E77E9D" w:rsidRDefault="00F52C3D" w:rsidP="00F16E23">
            <w:pPr>
              <w:pStyle w:val="TableText"/>
              <w:spacing w:before="40" w:after="40"/>
              <w:rPr>
                <w:rFonts w:cs="Calibri"/>
                <w:szCs w:val="16"/>
              </w:rPr>
            </w:pPr>
            <w:r w:rsidRPr="00E77E9D">
              <w:rPr>
                <w:rFonts w:eastAsia="Calibri" w:cs="Calibri"/>
                <w:szCs w:val="16"/>
              </w:rPr>
              <w:t>CH</w:t>
            </w:r>
            <w:r w:rsidRPr="00E77E9D">
              <w:rPr>
                <w:rFonts w:eastAsia="Calibri" w:cs="Calibri"/>
                <w:szCs w:val="16"/>
                <w:vertAlign w:val="subscript"/>
              </w:rPr>
              <w:t>4</w:t>
            </w:r>
          </w:p>
        </w:tc>
        <w:tc>
          <w:tcPr>
            <w:tcW w:w="1077" w:type="dxa"/>
            <w:shd w:val="clear" w:color="auto" w:fill="FFFFFF"/>
            <w:tcMar>
              <w:top w:w="0" w:type="dxa"/>
              <w:left w:w="85" w:type="dxa"/>
              <w:bottom w:w="0" w:type="dxa"/>
              <w:right w:w="85" w:type="dxa"/>
            </w:tcMar>
          </w:tcPr>
          <w:p w14:paraId="1728FC2F"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36,318.3</w:t>
            </w:r>
          </w:p>
        </w:tc>
        <w:tc>
          <w:tcPr>
            <w:tcW w:w="0" w:type="auto"/>
            <w:shd w:val="clear" w:color="auto" w:fill="FFFFFF"/>
            <w:tcMar>
              <w:top w:w="0" w:type="dxa"/>
              <w:left w:w="85" w:type="dxa"/>
              <w:bottom w:w="0" w:type="dxa"/>
              <w:right w:w="85" w:type="dxa"/>
            </w:tcMar>
          </w:tcPr>
          <w:p w14:paraId="1A5F54BE"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40,453.2</w:t>
            </w:r>
          </w:p>
        </w:tc>
        <w:tc>
          <w:tcPr>
            <w:tcW w:w="0" w:type="auto"/>
            <w:shd w:val="clear" w:color="auto" w:fill="FFFFFF"/>
            <w:tcMar>
              <w:top w:w="0" w:type="dxa"/>
              <w:left w:w="85" w:type="dxa"/>
              <w:bottom w:w="0" w:type="dxa"/>
              <w:right w:w="85" w:type="dxa"/>
            </w:tcMar>
          </w:tcPr>
          <w:p w14:paraId="5642C34E"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36,514.1</w:t>
            </w:r>
          </w:p>
        </w:tc>
        <w:tc>
          <w:tcPr>
            <w:tcW w:w="1134" w:type="dxa"/>
            <w:shd w:val="clear" w:color="auto" w:fill="FFFFFF"/>
            <w:tcMar>
              <w:top w:w="0" w:type="dxa"/>
              <w:left w:w="85" w:type="dxa"/>
              <w:bottom w:w="0" w:type="dxa"/>
              <w:right w:w="85" w:type="dxa"/>
            </w:tcMar>
          </w:tcPr>
          <w:p w14:paraId="5A4B6FB6"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195.8</w:t>
            </w:r>
          </w:p>
        </w:tc>
        <w:tc>
          <w:tcPr>
            <w:tcW w:w="1077" w:type="dxa"/>
            <w:shd w:val="clear" w:color="auto" w:fill="FFFFFF"/>
            <w:tcMar>
              <w:top w:w="0" w:type="dxa"/>
              <w:left w:w="85" w:type="dxa"/>
              <w:bottom w:w="0" w:type="dxa"/>
              <w:right w:w="85" w:type="dxa"/>
            </w:tcMar>
          </w:tcPr>
          <w:p w14:paraId="1B0973EF"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0.5</w:t>
            </w:r>
          </w:p>
        </w:tc>
        <w:tc>
          <w:tcPr>
            <w:tcW w:w="1134" w:type="dxa"/>
            <w:shd w:val="clear" w:color="auto" w:fill="FFFFFF"/>
            <w:tcMar>
              <w:top w:w="0" w:type="dxa"/>
              <w:left w:w="85" w:type="dxa"/>
              <w:bottom w:w="0" w:type="dxa"/>
              <w:right w:w="85" w:type="dxa"/>
            </w:tcMar>
          </w:tcPr>
          <w:p w14:paraId="54B150FE"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-3,939.2</w:t>
            </w:r>
          </w:p>
        </w:tc>
        <w:tc>
          <w:tcPr>
            <w:tcW w:w="1077" w:type="dxa"/>
            <w:shd w:val="clear" w:color="auto" w:fill="FFFFFF"/>
            <w:tcMar>
              <w:top w:w="0" w:type="dxa"/>
              <w:left w:w="85" w:type="dxa"/>
              <w:bottom w:w="0" w:type="dxa"/>
              <w:right w:w="85" w:type="dxa"/>
            </w:tcMar>
          </w:tcPr>
          <w:p w14:paraId="317D10D1"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-9.7</w:t>
            </w:r>
          </w:p>
        </w:tc>
      </w:tr>
      <w:tr w:rsidR="00F52C3D" w:rsidRPr="00E77E9D" w14:paraId="6C4DC097" w14:textId="77777777" w:rsidTr="00F16E23">
        <w:tc>
          <w:tcPr>
            <w:tcW w:w="1418" w:type="dxa"/>
            <w:shd w:val="clear" w:color="auto" w:fill="FFFFFF"/>
            <w:tcMar>
              <w:top w:w="0" w:type="dxa"/>
              <w:left w:w="85" w:type="dxa"/>
              <w:bottom w:w="0" w:type="dxa"/>
              <w:right w:w="85" w:type="dxa"/>
            </w:tcMar>
            <w:vAlign w:val="center"/>
          </w:tcPr>
          <w:p w14:paraId="2796AB84" w14:textId="77777777" w:rsidR="00F52C3D" w:rsidRPr="00E77E9D" w:rsidRDefault="00F52C3D" w:rsidP="00F16E23">
            <w:pPr>
              <w:pStyle w:val="TableText"/>
              <w:spacing w:before="40" w:after="40"/>
              <w:rPr>
                <w:rFonts w:cs="Calibri"/>
                <w:szCs w:val="16"/>
              </w:rPr>
            </w:pPr>
            <w:r w:rsidRPr="00E77E9D">
              <w:rPr>
                <w:rFonts w:eastAsia="Calibri" w:cs="Calibri"/>
                <w:szCs w:val="16"/>
              </w:rPr>
              <w:t>N</w:t>
            </w:r>
            <w:r w:rsidRPr="00E77E9D">
              <w:rPr>
                <w:rFonts w:eastAsia="Calibri" w:cs="Calibri"/>
                <w:szCs w:val="16"/>
                <w:vertAlign w:val="subscript"/>
              </w:rPr>
              <w:t>2</w:t>
            </w:r>
            <w:r w:rsidRPr="00E77E9D">
              <w:rPr>
                <w:rFonts w:eastAsia="Calibri" w:cs="Calibri"/>
                <w:szCs w:val="16"/>
              </w:rPr>
              <w:t>O</w:t>
            </w:r>
          </w:p>
        </w:tc>
        <w:tc>
          <w:tcPr>
            <w:tcW w:w="1077" w:type="dxa"/>
            <w:shd w:val="clear" w:color="auto" w:fill="FFFFFF"/>
            <w:tcMar>
              <w:top w:w="0" w:type="dxa"/>
              <w:left w:w="85" w:type="dxa"/>
              <w:bottom w:w="0" w:type="dxa"/>
              <w:right w:w="85" w:type="dxa"/>
            </w:tcMar>
          </w:tcPr>
          <w:p w14:paraId="5A3EB39A"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4,886.6</w:t>
            </w:r>
          </w:p>
        </w:tc>
        <w:tc>
          <w:tcPr>
            <w:tcW w:w="0" w:type="auto"/>
            <w:shd w:val="clear" w:color="auto" w:fill="FFFFFF"/>
            <w:tcMar>
              <w:top w:w="0" w:type="dxa"/>
              <w:left w:w="85" w:type="dxa"/>
              <w:bottom w:w="0" w:type="dxa"/>
              <w:right w:w="85" w:type="dxa"/>
            </w:tcMar>
          </w:tcPr>
          <w:p w14:paraId="327D142E"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6,722.2</w:t>
            </w:r>
          </w:p>
        </w:tc>
        <w:tc>
          <w:tcPr>
            <w:tcW w:w="0" w:type="auto"/>
            <w:shd w:val="clear" w:color="auto" w:fill="FFFFFF"/>
            <w:tcMar>
              <w:top w:w="0" w:type="dxa"/>
              <w:left w:w="85" w:type="dxa"/>
              <w:bottom w:w="0" w:type="dxa"/>
              <w:right w:w="85" w:type="dxa"/>
            </w:tcMar>
          </w:tcPr>
          <w:p w14:paraId="037BFE82"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6,726.5</w:t>
            </w:r>
          </w:p>
        </w:tc>
        <w:tc>
          <w:tcPr>
            <w:tcW w:w="1134" w:type="dxa"/>
            <w:shd w:val="clear" w:color="auto" w:fill="FFFFFF"/>
            <w:tcMar>
              <w:top w:w="0" w:type="dxa"/>
              <w:left w:w="85" w:type="dxa"/>
              <w:bottom w:w="0" w:type="dxa"/>
              <w:right w:w="85" w:type="dxa"/>
            </w:tcMar>
          </w:tcPr>
          <w:p w14:paraId="46DF73E1"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1,839.9</w:t>
            </w:r>
          </w:p>
        </w:tc>
        <w:tc>
          <w:tcPr>
            <w:tcW w:w="1077" w:type="dxa"/>
            <w:shd w:val="clear" w:color="auto" w:fill="FFFFFF"/>
            <w:tcMar>
              <w:top w:w="0" w:type="dxa"/>
              <w:left w:w="85" w:type="dxa"/>
              <w:bottom w:w="0" w:type="dxa"/>
              <w:right w:w="85" w:type="dxa"/>
            </w:tcMar>
          </w:tcPr>
          <w:p w14:paraId="056D507D"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37.7</w:t>
            </w:r>
          </w:p>
        </w:tc>
        <w:tc>
          <w:tcPr>
            <w:tcW w:w="1134" w:type="dxa"/>
            <w:shd w:val="clear" w:color="auto" w:fill="FFFFFF"/>
            <w:tcMar>
              <w:top w:w="0" w:type="dxa"/>
              <w:left w:w="85" w:type="dxa"/>
              <w:bottom w:w="0" w:type="dxa"/>
              <w:right w:w="85" w:type="dxa"/>
            </w:tcMar>
          </w:tcPr>
          <w:p w14:paraId="4DB58567"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4.3</w:t>
            </w:r>
          </w:p>
        </w:tc>
        <w:tc>
          <w:tcPr>
            <w:tcW w:w="1077" w:type="dxa"/>
            <w:shd w:val="clear" w:color="auto" w:fill="FFFFFF"/>
            <w:tcMar>
              <w:top w:w="0" w:type="dxa"/>
              <w:left w:w="85" w:type="dxa"/>
              <w:bottom w:w="0" w:type="dxa"/>
              <w:right w:w="85" w:type="dxa"/>
            </w:tcMar>
          </w:tcPr>
          <w:p w14:paraId="47CBB0E3"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0.1</w:t>
            </w:r>
          </w:p>
        </w:tc>
      </w:tr>
      <w:tr w:rsidR="00F52C3D" w:rsidRPr="00E77E9D" w14:paraId="13264FA4" w14:textId="77777777" w:rsidTr="00F16E23">
        <w:tc>
          <w:tcPr>
            <w:tcW w:w="1418" w:type="dxa"/>
            <w:shd w:val="clear" w:color="auto" w:fill="FFFFFF"/>
            <w:tcMar>
              <w:top w:w="0" w:type="dxa"/>
              <w:left w:w="85" w:type="dxa"/>
              <w:bottom w:w="0" w:type="dxa"/>
              <w:right w:w="85" w:type="dxa"/>
            </w:tcMar>
            <w:vAlign w:val="center"/>
          </w:tcPr>
          <w:p w14:paraId="7DE24FAC" w14:textId="77777777" w:rsidR="00F52C3D" w:rsidRPr="00E77E9D" w:rsidRDefault="00F52C3D" w:rsidP="00F16E23">
            <w:pPr>
              <w:pStyle w:val="TableText"/>
              <w:spacing w:before="40" w:after="40"/>
              <w:rPr>
                <w:rFonts w:cs="Calibri"/>
                <w:szCs w:val="16"/>
              </w:rPr>
            </w:pPr>
            <w:r w:rsidRPr="00E77E9D">
              <w:rPr>
                <w:rFonts w:eastAsia="Calibri" w:cs="Calibri"/>
                <w:szCs w:val="16"/>
              </w:rPr>
              <w:t>HFCs</w:t>
            </w:r>
          </w:p>
        </w:tc>
        <w:tc>
          <w:tcPr>
            <w:tcW w:w="1077" w:type="dxa"/>
            <w:shd w:val="clear" w:color="auto" w:fill="FFFFFF"/>
            <w:tcMar>
              <w:top w:w="0" w:type="dxa"/>
              <w:left w:w="85" w:type="dxa"/>
              <w:bottom w:w="0" w:type="dxa"/>
              <w:right w:w="85" w:type="dxa"/>
            </w:tcMar>
          </w:tcPr>
          <w:p w14:paraId="6E176C32"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Not occurring</w:t>
            </w:r>
          </w:p>
        </w:tc>
        <w:tc>
          <w:tcPr>
            <w:tcW w:w="0" w:type="auto"/>
            <w:shd w:val="clear" w:color="auto" w:fill="FFFFFF"/>
            <w:tcMar>
              <w:top w:w="0" w:type="dxa"/>
              <w:left w:w="85" w:type="dxa"/>
              <w:bottom w:w="0" w:type="dxa"/>
              <w:right w:w="85" w:type="dxa"/>
            </w:tcMar>
          </w:tcPr>
          <w:p w14:paraId="139EBDF7"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673.1</w:t>
            </w:r>
          </w:p>
        </w:tc>
        <w:tc>
          <w:tcPr>
            <w:tcW w:w="0" w:type="auto"/>
            <w:shd w:val="clear" w:color="auto" w:fill="FFFFFF"/>
            <w:tcMar>
              <w:top w:w="0" w:type="dxa"/>
              <w:left w:w="85" w:type="dxa"/>
              <w:bottom w:w="0" w:type="dxa"/>
              <w:right w:w="85" w:type="dxa"/>
            </w:tcMar>
          </w:tcPr>
          <w:p w14:paraId="4BEA73B0"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1,042.8</w:t>
            </w:r>
          </w:p>
        </w:tc>
        <w:tc>
          <w:tcPr>
            <w:tcW w:w="1134" w:type="dxa"/>
            <w:shd w:val="clear" w:color="auto" w:fill="FFFFFF"/>
            <w:tcMar>
              <w:top w:w="0" w:type="dxa"/>
              <w:left w:w="85" w:type="dxa"/>
              <w:bottom w:w="0" w:type="dxa"/>
              <w:right w:w="85" w:type="dxa"/>
            </w:tcMar>
          </w:tcPr>
          <w:p w14:paraId="7C65014C"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1,042.8</w:t>
            </w:r>
          </w:p>
        </w:tc>
        <w:tc>
          <w:tcPr>
            <w:tcW w:w="1077" w:type="dxa"/>
            <w:shd w:val="clear" w:color="auto" w:fill="FFFFFF"/>
            <w:tcMar>
              <w:top w:w="0" w:type="dxa"/>
              <w:left w:w="85" w:type="dxa"/>
              <w:bottom w:w="0" w:type="dxa"/>
              <w:right w:w="85" w:type="dxa"/>
            </w:tcMar>
          </w:tcPr>
          <w:p w14:paraId="49EFC30F"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NA</w:t>
            </w:r>
          </w:p>
        </w:tc>
        <w:tc>
          <w:tcPr>
            <w:tcW w:w="1134" w:type="dxa"/>
            <w:shd w:val="clear" w:color="auto" w:fill="FFFFFF"/>
            <w:tcMar>
              <w:top w:w="0" w:type="dxa"/>
              <w:left w:w="85" w:type="dxa"/>
              <w:bottom w:w="0" w:type="dxa"/>
              <w:right w:w="85" w:type="dxa"/>
            </w:tcMar>
          </w:tcPr>
          <w:p w14:paraId="0E1AF96F"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673.1</w:t>
            </w:r>
          </w:p>
        </w:tc>
        <w:tc>
          <w:tcPr>
            <w:tcW w:w="1077" w:type="dxa"/>
            <w:shd w:val="clear" w:color="auto" w:fill="FFFFFF"/>
            <w:tcMar>
              <w:top w:w="0" w:type="dxa"/>
              <w:left w:w="85" w:type="dxa"/>
              <w:bottom w:w="0" w:type="dxa"/>
              <w:right w:w="85" w:type="dxa"/>
            </w:tcMar>
          </w:tcPr>
          <w:p w14:paraId="3BDFC8C7"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NA</w:t>
            </w:r>
          </w:p>
        </w:tc>
      </w:tr>
      <w:tr w:rsidR="00F52C3D" w:rsidRPr="00E77E9D" w14:paraId="2B3BACC1" w14:textId="77777777" w:rsidTr="00F16E23">
        <w:tc>
          <w:tcPr>
            <w:tcW w:w="1418" w:type="dxa"/>
            <w:shd w:val="clear" w:color="auto" w:fill="FFFFFF"/>
            <w:tcMar>
              <w:top w:w="0" w:type="dxa"/>
              <w:left w:w="85" w:type="dxa"/>
              <w:bottom w:w="0" w:type="dxa"/>
              <w:right w:w="85" w:type="dxa"/>
            </w:tcMar>
            <w:vAlign w:val="center"/>
          </w:tcPr>
          <w:p w14:paraId="3FC9F5C9" w14:textId="77777777" w:rsidR="00F52C3D" w:rsidRPr="00E77E9D" w:rsidRDefault="00F52C3D" w:rsidP="00F16E23">
            <w:pPr>
              <w:pStyle w:val="TableText"/>
              <w:spacing w:before="40" w:after="40"/>
              <w:rPr>
                <w:rFonts w:cs="Calibri"/>
                <w:szCs w:val="16"/>
              </w:rPr>
            </w:pPr>
            <w:r w:rsidRPr="00E77E9D">
              <w:rPr>
                <w:rFonts w:eastAsia="Calibri" w:cs="Calibri"/>
                <w:szCs w:val="16"/>
              </w:rPr>
              <w:t>PFCs</w:t>
            </w:r>
          </w:p>
        </w:tc>
        <w:tc>
          <w:tcPr>
            <w:tcW w:w="1077" w:type="dxa"/>
            <w:shd w:val="clear" w:color="auto" w:fill="FFFFFF"/>
            <w:tcMar>
              <w:top w:w="0" w:type="dxa"/>
              <w:left w:w="85" w:type="dxa"/>
              <w:bottom w:w="0" w:type="dxa"/>
              <w:right w:w="85" w:type="dxa"/>
            </w:tcMar>
          </w:tcPr>
          <w:p w14:paraId="41E6E421"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818.0</w:t>
            </w:r>
          </w:p>
        </w:tc>
        <w:tc>
          <w:tcPr>
            <w:tcW w:w="0" w:type="auto"/>
            <w:shd w:val="clear" w:color="auto" w:fill="FFFFFF"/>
            <w:tcMar>
              <w:top w:w="0" w:type="dxa"/>
              <w:left w:w="85" w:type="dxa"/>
              <w:bottom w:w="0" w:type="dxa"/>
              <w:right w:w="85" w:type="dxa"/>
            </w:tcMar>
          </w:tcPr>
          <w:p w14:paraId="51CAA419"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62.4</w:t>
            </w:r>
          </w:p>
        </w:tc>
        <w:tc>
          <w:tcPr>
            <w:tcW w:w="0" w:type="auto"/>
            <w:shd w:val="clear" w:color="auto" w:fill="FFFFFF"/>
            <w:tcMar>
              <w:top w:w="0" w:type="dxa"/>
              <w:left w:w="85" w:type="dxa"/>
              <w:bottom w:w="0" w:type="dxa"/>
              <w:right w:w="85" w:type="dxa"/>
            </w:tcMar>
          </w:tcPr>
          <w:p w14:paraId="66063250"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78.1</w:t>
            </w:r>
          </w:p>
        </w:tc>
        <w:tc>
          <w:tcPr>
            <w:tcW w:w="1134" w:type="dxa"/>
            <w:shd w:val="clear" w:color="auto" w:fill="FFFFFF"/>
            <w:tcMar>
              <w:top w:w="0" w:type="dxa"/>
              <w:left w:w="85" w:type="dxa"/>
              <w:bottom w:w="0" w:type="dxa"/>
              <w:right w:w="85" w:type="dxa"/>
            </w:tcMar>
          </w:tcPr>
          <w:p w14:paraId="16C52219"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-740.0</w:t>
            </w:r>
          </w:p>
        </w:tc>
        <w:tc>
          <w:tcPr>
            <w:tcW w:w="1077" w:type="dxa"/>
            <w:shd w:val="clear" w:color="auto" w:fill="FFFFFF"/>
            <w:tcMar>
              <w:top w:w="0" w:type="dxa"/>
              <w:left w:w="85" w:type="dxa"/>
              <w:bottom w:w="0" w:type="dxa"/>
              <w:right w:w="85" w:type="dxa"/>
            </w:tcMar>
          </w:tcPr>
          <w:p w14:paraId="23B9D64D"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-90.5</w:t>
            </w:r>
          </w:p>
        </w:tc>
        <w:tc>
          <w:tcPr>
            <w:tcW w:w="1134" w:type="dxa"/>
            <w:shd w:val="clear" w:color="auto" w:fill="FFFFFF"/>
            <w:tcMar>
              <w:top w:w="0" w:type="dxa"/>
              <w:left w:w="85" w:type="dxa"/>
              <w:bottom w:w="0" w:type="dxa"/>
              <w:right w:w="85" w:type="dxa"/>
            </w:tcMar>
          </w:tcPr>
          <w:p w14:paraId="2B5F0ACF"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15.7</w:t>
            </w:r>
          </w:p>
        </w:tc>
        <w:tc>
          <w:tcPr>
            <w:tcW w:w="1077" w:type="dxa"/>
            <w:shd w:val="clear" w:color="auto" w:fill="FFFFFF"/>
            <w:tcMar>
              <w:top w:w="0" w:type="dxa"/>
              <w:left w:w="85" w:type="dxa"/>
              <w:bottom w:w="0" w:type="dxa"/>
              <w:right w:w="85" w:type="dxa"/>
            </w:tcMar>
          </w:tcPr>
          <w:p w14:paraId="782E81EF"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25.1</w:t>
            </w:r>
          </w:p>
        </w:tc>
      </w:tr>
      <w:tr w:rsidR="00F52C3D" w:rsidRPr="00E77E9D" w14:paraId="5FAAF096" w14:textId="77777777" w:rsidTr="00F16E23">
        <w:tc>
          <w:tcPr>
            <w:tcW w:w="1418" w:type="dxa"/>
            <w:shd w:val="clear" w:color="auto" w:fill="FFFFFF"/>
            <w:tcMar>
              <w:top w:w="0" w:type="dxa"/>
              <w:left w:w="85" w:type="dxa"/>
              <w:bottom w:w="0" w:type="dxa"/>
              <w:right w:w="85" w:type="dxa"/>
            </w:tcMar>
            <w:vAlign w:val="center"/>
          </w:tcPr>
          <w:p w14:paraId="2B5F3691" w14:textId="77777777" w:rsidR="00F52C3D" w:rsidRPr="00E77E9D" w:rsidRDefault="00F52C3D" w:rsidP="00F16E23">
            <w:pPr>
              <w:pStyle w:val="TableText"/>
              <w:spacing w:before="40" w:after="40"/>
              <w:rPr>
                <w:rFonts w:cs="Calibri"/>
                <w:szCs w:val="16"/>
              </w:rPr>
            </w:pPr>
            <w:r w:rsidRPr="00E77E9D">
              <w:rPr>
                <w:rFonts w:eastAsia="Calibri" w:cs="Calibri"/>
                <w:szCs w:val="16"/>
              </w:rPr>
              <w:t>SF</w:t>
            </w:r>
            <w:r w:rsidRPr="00E77E9D">
              <w:rPr>
                <w:rFonts w:eastAsia="Calibri" w:cs="Calibri"/>
                <w:szCs w:val="16"/>
                <w:vertAlign w:val="subscript"/>
              </w:rPr>
              <w:t>6</w:t>
            </w:r>
          </w:p>
        </w:tc>
        <w:tc>
          <w:tcPr>
            <w:tcW w:w="1077" w:type="dxa"/>
            <w:shd w:val="clear" w:color="auto" w:fill="FFFFFF"/>
            <w:tcMar>
              <w:top w:w="0" w:type="dxa"/>
              <w:left w:w="85" w:type="dxa"/>
              <w:bottom w:w="0" w:type="dxa"/>
              <w:right w:w="85" w:type="dxa"/>
            </w:tcMar>
          </w:tcPr>
          <w:p w14:paraId="7EBD12F7"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20.6</w:t>
            </w:r>
          </w:p>
        </w:tc>
        <w:tc>
          <w:tcPr>
            <w:tcW w:w="0" w:type="auto"/>
            <w:shd w:val="clear" w:color="auto" w:fill="FFFFFF"/>
            <w:tcMar>
              <w:top w:w="0" w:type="dxa"/>
              <w:left w:w="85" w:type="dxa"/>
              <w:bottom w:w="0" w:type="dxa"/>
              <w:right w:w="85" w:type="dxa"/>
            </w:tcMar>
          </w:tcPr>
          <w:p w14:paraId="368D9A12"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26.2</w:t>
            </w:r>
          </w:p>
        </w:tc>
        <w:tc>
          <w:tcPr>
            <w:tcW w:w="0" w:type="auto"/>
            <w:shd w:val="clear" w:color="auto" w:fill="FFFFFF"/>
            <w:tcMar>
              <w:top w:w="0" w:type="dxa"/>
              <w:left w:w="85" w:type="dxa"/>
              <w:bottom w:w="0" w:type="dxa"/>
              <w:right w:w="85" w:type="dxa"/>
            </w:tcMar>
          </w:tcPr>
          <w:p w14:paraId="715C869E"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14.0</w:t>
            </w:r>
          </w:p>
        </w:tc>
        <w:tc>
          <w:tcPr>
            <w:tcW w:w="1134" w:type="dxa"/>
            <w:shd w:val="clear" w:color="auto" w:fill="FFFFFF"/>
            <w:tcMar>
              <w:top w:w="0" w:type="dxa"/>
              <w:left w:w="85" w:type="dxa"/>
              <w:bottom w:w="0" w:type="dxa"/>
              <w:right w:w="85" w:type="dxa"/>
            </w:tcMar>
          </w:tcPr>
          <w:p w14:paraId="05A552B0"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-6.6</w:t>
            </w:r>
          </w:p>
        </w:tc>
        <w:tc>
          <w:tcPr>
            <w:tcW w:w="1077" w:type="dxa"/>
            <w:shd w:val="clear" w:color="auto" w:fill="FFFFFF"/>
            <w:tcMar>
              <w:top w:w="0" w:type="dxa"/>
              <w:left w:w="85" w:type="dxa"/>
              <w:bottom w:w="0" w:type="dxa"/>
              <w:right w:w="85" w:type="dxa"/>
            </w:tcMar>
          </w:tcPr>
          <w:p w14:paraId="3261E402"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-32.0</w:t>
            </w:r>
          </w:p>
        </w:tc>
        <w:tc>
          <w:tcPr>
            <w:tcW w:w="1134" w:type="dxa"/>
            <w:shd w:val="clear" w:color="auto" w:fill="FFFFFF"/>
            <w:tcMar>
              <w:top w:w="0" w:type="dxa"/>
              <w:left w:w="85" w:type="dxa"/>
              <w:bottom w:w="0" w:type="dxa"/>
              <w:right w:w="85" w:type="dxa"/>
            </w:tcMar>
          </w:tcPr>
          <w:p w14:paraId="7074F1CC"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-12.2</w:t>
            </w:r>
          </w:p>
        </w:tc>
        <w:tc>
          <w:tcPr>
            <w:tcW w:w="1077" w:type="dxa"/>
            <w:shd w:val="clear" w:color="auto" w:fill="FFFFFF"/>
            <w:tcMar>
              <w:top w:w="0" w:type="dxa"/>
              <w:left w:w="85" w:type="dxa"/>
              <w:bottom w:w="0" w:type="dxa"/>
              <w:right w:w="85" w:type="dxa"/>
            </w:tcMar>
          </w:tcPr>
          <w:p w14:paraId="516D0D7A" w14:textId="77777777" w:rsidR="00F52C3D" w:rsidRPr="00E77E9D" w:rsidRDefault="00F52C3D" w:rsidP="00F16E23">
            <w:pPr>
              <w:pStyle w:val="TableText"/>
              <w:spacing w:before="40" w:after="40"/>
              <w:jc w:val="right"/>
              <w:rPr>
                <w:rFonts w:cs="Calibri"/>
                <w:szCs w:val="16"/>
              </w:rPr>
            </w:pPr>
            <w:r w:rsidRPr="00E77E9D">
              <w:rPr>
                <w:rFonts w:eastAsia="Calibri" w:cs="Calibri"/>
                <w:szCs w:val="16"/>
              </w:rPr>
              <w:t>-46.6</w:t>
            </w:r>
          </w:p>
        </w:tc>
      </w:tr>
      <w:tr w:rsidR="00F52C3D" w:rsidRPr="00E77E9D" w14:paraId="575DF708" w14:textId="77777777" w:rsidTr="00F16E23">
        <w:tc>
          <w:tcPr>
            <w:tcW w:w="1418" w:type="dxa"/>
            <w:shd w:val="clear" w:color="auto" w:fill="FFFFFF"/>
            <w:tcMar>
              <w:top w:w="0" w:type="dxa"/>
              <w:left w:w="85" w:type="dxa"/>
              <w:bottom w:w="0" w:type="dxa"/>
              <w:right w:w="85" w:type="dxa"/>
            </w:tcMar>
            <w:vAlign w:val="center"/>
          </w:tcPr>
          <w:p w14:paraId="3BDCA094" w14:textId="77777777" w:rsidR="00F52C3D" w:rsidRPr="00E77E9D" w:rsidRDefault="00F52C3D" w:rsidP="00F16E23">
            <w:pPr>
              <w:pStyle w:val="Tableboldblue"/>
              <w:spacing w:before="40" w:after="40"/>
              <w:rPr>
                <w:rFonts w:cs="Calibri"/>
                <w:szCs w:val="16"/>
              </w:rPr>
            </w:pPr>
            <w:r w:rsidRPr="00E77E9D">
              <w:rPr>
                <w:rFonts w:eastAsia="Calibri" w:cs="Calibri"/>
                <w:szCs w:val="16"/>
              </w:rPr>
              <w:t>Gross, all gases</w:t>
            </w:r>
          </w:p>
        </w:tc>
        <w:tc>
          <w:tcPr>
            <w:tcW w:w="1077" w:type="dxa"/>
            <w:shd w:val="clear" w:color="auto" w:fill="FFFFFF"/>
            <w:tcMar>
              <w:top w:w="0" w:type="dxa"/>
              <w:left w:w="85" w:type="dxa"/>
              <w:bottom w:w="0" w:type="dxa"/>
              <w:right w:w="85" w:type="dxa"/>
            </w:tcMar>
            <w:vAlign w:val="center"/>
          </w:tcPr>
          <w:p w14:paraId="1A0931CC" w14:textId="77777777" w:rsidR="00F52C3D" w:rsidRPr="00E77E9D" w:rsidRDefault="00F52C3D" w:rsidP="00F16E23">
            <w:pPr>
              <w:pStyle w:val="Tableboldblue"/>
              <w:spacing w:before="40" w:after="40"/>
              <w:jc w:val="right"/>
              <w:rPr>
                <w:rFonts w:cs="Calibri"/>
                <w:szCs w:val="16"/>
              </w:rPr>
            </w:pPr>
            <w:r w:rsidRPr="00E77E9D">
              <w:rPr>
                <w:rFonts w:eastAsia="Calibri" w:cs="Calibri"/>
                <w:szCs w:val="16"/>
              </w:rPr>
              <w:t>67,565.2</w:t>
            </w:r>
          </w:p>
        </w:tc>
        <w:tc>
          <w:tcPr>
            <w:tcW w:w="0" w:type="auto"/>
            <w:shd w:val="clear" w:color="auto" w:fill="FFFFFF"/>
            <w:tcMar>
              <w:top w:w="0" w:type="dxa"/>
              <w:left w:w="85" w:type="dxa"/>
              <w:bottom w:w="0" w:type="dxa"/>
              <w:right w:w="85" w:type="dxa"/>
            </w:tcMar>
            <w:vAlign w:val="center"/>
          </w:tcPr>
          <w:p w14:paraId="6DC82564" w14:textId="77777777" w:rsidR="00F52C3D" w:rsidRPr="00E77E9D" w:rsidRDefault="00F52C3D" w:rsidP="00F16E23">
            <w:pPr>
              <w:pStyle w:val="Tableboldblue"/>
              <w:spacing w:before="40" w:after="40"/>
              <w:jc w:val="right"/>
              <w:rPr>
                <w:rFonts w:cs="Calibri"/>
                <w:szCs w:val="16"/>
              </w:rPr>
            </w:pPr>
            <w:r w:rsidRPr="00E77E9D">
              <w:rPr>
                <w:rFonts w:eastAsia="Calibri" w:cs="Calibri"/>
                <w:szCs w:val="16"/>
              </w:rPr>
              <w:t>85,364.3</w:t>
            </w:r>
          </w:p>
        </w:tc>
        <w:tc>
          <w:tcPr>
            <w:tcW w:w="0" w:type="auto"/>
            <w:shd w:val="clear" w:color="auto" w:fill="FFFFFF"/>
            <w:tcMar>
              <w:top w:w="0" w:type="dxa"/>
              <w:left w:w="85" w:type="dxa"/>
              <w:bottom w:w="0" w:type="dxa"/>
              <w:right w:w="85" w:type="dxa"/>
            </w:tcMar>
            <w:vAlign w:val="center"/>
          </w:tcPr>
          <w:p w14:paraId="324F55B4" w14:textId="77777777" w:rsidR="00F52C3D" w:rsidRPr="00E77E9D" w:rsidRDefault="00F52C3D" w:rsidP="00F16E23">
            <w:pPr>
              <w:pStyle w:val="Tableboldblue"/>
              <w:spacing w:before="40" w:after="40"/>
              <w:jc w:val="right"/>
              <w:rPr>
                <w:rFonts w:cs="Calibri"/>
                <w:szCs w:val="16"/>
              </w:rPr>
            </w:pPr>
            <w:r w:rsidRPr="00E77E9D">
              <w:rPr>
                <w:rFonts w:eastAsia="Calibri" w:cs="Calibri"/>
                <w:szCs w:val="16"/>
              </w:rPr>
              <w:t>75,811.6</w:t>
            </w:r>
          </w:p>
        </w:tc>
        <w:tc>
          <w:tcPr>
            <w:tcW w:w="1134" w:type="dxa"/>
            <w:shd w:val="clear" w:color="auto" w:fill="FFFFFF"/>
            <w:tcMar>
              <w:top w:w="0" w:type="dxa"/>
              <w:left w:w="85" w:type="dxa"/>
              <w:bottom w:w="0" w:type="dxa"/>
              <w:right w:w="85" w:type="dxa"/>
            </w:tcMar>
            <w:vAlign w:val="center"/>
          </w:tcPr>
          <w:p w14:paraId="2897B548" w14:textId="77777777" w:rsidR="00F52C3D" w:rsidRPr="00E77E9D" w:rsidRDefault="00F52C3D" w:rsidP="00F16E23">
            <w:pPr>
              <w:pStyle w:val="Tableboldblue"/>
              <w:spacing w:before="40" w:after="40"/>
              <w:jc w:val="right"/>
              <w:rPr>
                <w:rFonts w:cs="Calibri"/>
                <w:szCs w:val="16"/>
              </w:rPr>
            </w:pPr>
            <w:r w:rsidRPr="00E77E9D">
              <w:rPr>
                <w:rFonts w:eastAsia="Calibri" w:cs="Calibri"/>
                <w:szCs w:val="16"/>
              </w:rPr>
              <w:t>8,246.4</w:t>
            </w:r>
          </w:p>
        </w:tc>
        <w:tc>
          <w:tcPr>
            <w:tcW w:w="1077" w:type="dxa"/>
            <w:shd w:val="clear" w:color="auto" w:fill="FFFFFF"/>
            <w:tcMar>
              <w:top w:w="0" w:type="dxa"/>
              <w:left w:w="85" w:type="dxa"/>
              <w:bottom w:w="0" w:type="dxa"/>
              <w:right w:w="85" w:type="dxa"/>
            </w:tcMar>
            <w:vAlign w:val="center"/>
          </w:tcPr>
          <w:p w14:paraId="5F124B4B" w14:textId="77777777" w:rsidR="00F52C3D" w:rsidRPr="00E77E9D" w:rsidRDefault="00F52C3D" w:rsidP="00F16E23">
            <w:pPr>
              <w:pStyle w:val="Tableboldblue"/>
              <w:spacing w:before="40" w:after="40"/>
              <w:jc w:val="right"/>
              <w:rPr>
                <w:rFonts w:cs="Calibri"/>
                <w:szCs w:val="16"/>
              </w:rPr>
            </w:pPr>
            <w:r w:rsidRPr="00E77E9D">
              <w:rPr>
                <w:rFonts w:eastAsia="Calibri" w:cs="Calibri"/>
                <w:szCs w:val="16"/>
              </w:rPr>
              <w:t>12.2</w:t>
            </w:r>
          </w:p>
        </w:tc>
        <w:tc>
          <w:tcPr>
            <w:tcW w:w="1134" w:type="dxa"/>
            <w:shd w:val="clear" w:color="auto" w:fill="FFFFFF"/>
            <w:tcMar>
              <w:top w:w="0" w:type="dxa"/>
              <w:left w:w="85" w:type="dxa"/>
              <w:bottom w:w="0" w:type="dxa"/>
              <w:right w:w="85" w:type="dxa"/>
            </w:tcMar>
            <w:vAlign w:val="center"/>
          </w:tcPr>
          <w:p w14:paraId="5BDF68AA" w14:textId="77777777" w:rsidR="00F52C3D" w:rsidRPr="00E77E9D" w:rsidRDefault="00F52C3D" w:rsidP="00F16E23">
            <w:pPr>
              <w:pStyle w:val="Tableboldblue"/>
              <w:spacing w:before="40" w:after="40"/>
              <w:jc w:val="right"/>
              <w:rPr>
                <w:rFonts w:cs="Calibri"/>
                <w:szCs w:val="16"/>
              </w:rPr>
            </w:pPr>
            <w:r w:rsidRPr="00E77E9D">
              <w:rPr>
                <w:rFonts w:eastAsia="Calibri" w:cs="Calibri"/>
                <w:szCs w:val="16"/>
              </w:rPr>
              <w:t>-9,552.7</w:t>
            </w:r>
          </w:p>
        </w:tc>
        <w:tc>
          <w:tcPr>
            <w:tcW w:w="1077" w:type="dxa"/>
            <w:shd w:val="clear" w:color="auto" w:fill="FFFFFF"/>
            <w:tcMar>
              <w:top w:w="0" w:type="dxa"/>
              <w:left w:w="85" w:type="dxa"/>
              <w:bottom w:w="0" w:type="dxa"/>
              <w:right w:w="85" w:type="dxa"/>
            </w:tcMar>
            <w:vAlign w:val="center"/>
          </w:tcPr>
          <w:p w14:paraId="24BF3B98" w14:textId="77777777" w:rsidR="00F52C3D" w:rsidRPr="00E77E9D" w:rsidRDefault="00F52C3D" w:rsidP="00F16E23">
            <w:pPr>
              <w:pStyle w:val="Tableboldblue"/>
              <w:spacing w:before="40" w:after="40"/>
              <w:jc w:val="right"/>
              <w:rPr>
                <w:rFonts w:cs="Calibri"/>
                <w:szCs w:val="16"/>
              </w:rPr>
            </w:pPr>
            <w:r w:rsidRPr="00E77E9D">
              <w:rPr>
                <w:rFonts w:eastAsia="Calibri" w:cs="Calibri"/>
                <w:szCs w:val="16"/>
              </w:rPr>
              <w:t>-11.2</w:t>
            </w:r>
          </w:p>
        </w:tc>
      </w:tr>
    </w:tbl>
    <w:p w14:paraId="4ADACC51" w14:textId="77777777" w:rsidR="00F52C3D" w:rsidRPr="00E77E9D" w:rsidRDefault="00F52C3D" w:rsidP="00F52C3D">
      <w:pPr>
        <w:pStyle w:val="Noteundertable"/>
      </w:pPr>
      <w:r w:rsidRPr="00E77E9D">
        <w:rPr>
          <w:b/>
          <w:bCs/>
        </w:rPr>
        <w:t>Note:</w:t>
      </w:r>
      <w:r w:rsidRPr="00E77E9D">
        <w:t xml:space="preserve"> </w:t>
      </w:r>
      <w:r w:rsidRPr="00E77E9D">
        <w:tab/>
        <w:t>Gross emissions exclude net emissions from the LULUCF sector. The percentage change for HFCs is not applicable (NA) because no emissions of hydrofluorocarbons (HFCs) occurred in 1990. Columns may not total due to rounding. Percentages presented are calculated from unrounded values.</w:t>
      </w:r>
    </w:p>
    <w:p w14:paraId="46DD142B" w14:textId="77777777" w:rsidR="00F52C3D" w:rsidRPr="00E77E9D" w:rsidRDefault="00F52C3D" w:rsidP="00F52C3D">
      <w:pPr>
        <w:pStyle w:val="BodyText"/>
      </w:pPr>
      <w:r w:rsidRPr="00E77E9D">
        <w:t xml:space="preserve">Figure ES 2.2 presents the absolute change in gross emissions for each gas (LULUCF is excluded </w:t>
      </w:r>
      <w:r w:rsidRPr="00E77E9D">
        <w:rPr>
          <w:spacing w:val="-2"/>
        </w:rPr>
        <w:t>from the estimate of gross emissions), and the change between 1990, 2005 and 2024 estimates</w:t>
      </w:r>
      <w:r w:rsidRPr="00E77E9D">
        <w:t xml:space="preserve"> in kt CO</w:t>
      </w:r>
      <w:r w:rsidRPr="00E77E9D">
        <w:rPr>
          <w:vertAlign w:val="subscript"/>
        </w:rPr>
        <w:t>2</w:t>
      </w:r>
      <w:r w:rsidRPr="00E77E9D">
        <w:t>e.</w:t>
      </w:r>
    </w:p>
    <w:p w14:paraId="2A5BA02C" w14:textId="77777777" w:rsidR="00F52C3D" w:rsidRPr="00E77E9D" w:rsidRDefault="00F52C3D" w:rsidP="00F52C3D">
      <w:pPr>
        <w:pStyle w:val="Figure"/>
      </w:pPr>
      <w:bookmarkStart w:id="11" w:name="_Toc226200645"/>
      <w:r w:rsidRPr="00E77E9D">
        <w:rPr>
          <w:bCs/>
        </w:rPr>
        <w:t>Figure ES 2.2</w:t>
      </w:r>
      <w:r w:rsidRPr="00E77E9D">
        <w:t xml:space="preserve"> </w:t>
      </w:r>
      <w:r w:rsidRPr="00E77E9D">
        <w:tab/>
        <w:t xml:space="preserve">New Zealand’s gross emissions by gas in </w:t>
      </w:r>
      <w:r w:rsidRPr="00E77E9D">
        <w:rPr>
          <w:bCs/>
        </w:rPr>
        <w:t>1990</w:t>
      </w:r>
      <w:r w:rsidRPr="00E77E9D">
        <w:t xml:space="preserve">, </w:t>
      </w:r>
      <w:r w:rsidRPr="00E77E9D">
        <w:rPr>
          <w:bCs/>
        </w:rPr>
        <w:t>2005</w:t>
      </w:r>
      <w:r w:rsidRPr="00E77E9D">
        <w:t xml:space="preserve"> and </w:t>
      </w:r>
      <w:r w:rsidRPr="00E77E9D">
        <w:rPr>
          <w:bCs/>
        </w:rPr>
        <w:t>2024</w:t>
      </w:r>
      <w:bookmarkEnd w:id="11"/>
    </w:p>
    <w:p w14:paraId="181C76B4" w14:textId="77777777" w:rsidR="00F52C3D" w:rsidRPr="00E77E9D" w:rsidRDefault="00F52C3D" w:rsidP="00F52C3D">
      <w:pPr>
        <w:pStyle w:val="BodyText"/>
      </w:pPr>
      <w:r w:rsidRPr="00E77E9D">
        <w:rPr>
          <w:noProof/>
        </w:rPr>
        <w:drawing>
          <wp:inline distT="0" distB="0" distL="0" distR="0" wp14:anchorId="79507ADD" wp14:editId="601064E8">
            <wp:extent cx="5400675" cy="3967843"/>
            <wp:effectExtent l="0" t="0" r="0" b="0"/>
            <wp:docPr id="2240496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49639" name="Picture 224049639"/>
                    <pic:cNvPicPr/>
                  </pic:nvPicPr>
                  <pic:blipFill rotWithShape="1">
                    <a:blip r:embed="rId24">
                      <a:extLst>
                        <a:ext uri="{28A0092B-C50C-407E-A947-70E740481C1C}">
                          <a14:useLocalDpi xmlns:a14="http://schemas.microsoft.com/office/drawing/2010/main"/>
                        </a:ext>
                      </a:extLst>
                    </a:blip>
                    <a:srcRect t="-1" b="1983"/>
                    <a:stretch>
                      <a:fillRect/>
                    </a:stretch>
                  </pic:blipFill>
                  <pic:spPr bwMode="auto">
                    <a:xfrm>
                      <a:off x="0" y="0"/>
                      <a:ext cx="5400675" cy="3967843"/>
                    </a:xfrm>
                    <a:prstGeom prst="rect">
                      <a:avLst/>
                    </a:prstGeom>
                    <a:ln>
                      <a:noFill/>
                    </a:ln>
                    <a:extLst>
                      <a:ext uri="{53640926-AAD7-44D8-BBD7-CCE9431645EC}">
                        <a14:shadowObscured xmlns:a14="http://schemas.microsoft.com/office/drawing/2010/main"/>
                      </a:ext>
                    </a:extLst>
                  </pic:spPr>
                </pic:pic>
              </a:graphicData>
            </a:graphic>
          </wp:inline>
        </w:drawing>
      </w:r>
    </w:p>
    <w:p w14:paraId="17028C25" w14:textId="3000E817" w:rsidR="00F52C3D" w:rsidRPr="00E77E9D" w:rsidRDefault="00F52C3D" w:rsidP="00F52C3D">
      <w:pPr>
        <w:pStyle w:val="Noteundertable"/>
      </w:pPr>
      <w:r w:rsidRPr="00E77E9D">
        <w:rPr>
          <w:b/>
          <w:bCs/>
        </w:rPr>
        <w:t>Note:</w:t>
      </w:r>
      <w:r w:rsidRPr="00E77E9D">
        <w:t xml:space="preserve"> </w:t>
      </w:r>
      <w:r w:rsidR="00231250">
        <w:tab/>
      </w:r>
      <w:r w:rsidRPr="00E77E9D">
        <w:t>Emissions of sulphur hexafluoride (SF</w:t>
      </w:r>
      <w:r w:rsidRPr="00E77E9D">
        <w:rPr>
          <w:vertAlign w:val="subscript"/>
        </w:rPr>
        <w:t>6</w:t>
      </w:r>
      <w:r w:rsidRPr="00E77E9D">
        <w:t>) are not visible, due to its small emissions value, and emissions of hydrofluorocarbons (HFCs) did not occur in 1990.</w:t>
      </w:r>
    </w:p>
    <w:p w14:paraId="57C7161F" w14:textId="77777777" w:rsidR="00F52C3D" w:rsidRPr="00E77E9D" w:rsidRDefault="00F52C3D" w:rsidP="00F52C3D">
      <w:pPr>
        <w:pStyle w:val="BodyText"/>
      </w:pPr>
      <w:r w:rsidRPr="00E77E9D">
        <w:t>In 1990 and 2024, CH</w:t>
      </w:r>
      <w:r w:rsidRPr="00E77E9D">
        <w:rPr>
          <w:vertAlign w:val="subscript"/>
        </w:rPr>
        <w:t>4</w:t>
      </w:r>
      <w:r w:rsidRPr="00E77E9D">
        <w:t xml:space="preserve"> made the greatest contribution to gross emissions (see figure ES 2.2). While emissions of CH</w:t>
      </w:r>
      <w:r w:rsidRPr="00E77E9D">
        <w:rPr>
          <w:vertAlign w:val="subscript"/>
        </w:rPr>
        <w:t>4</w:t>
      </w:r>
      <w:r w:rsidRPr="00E77E9D">
        <w:t xml:space="preserve"> have increased between these years, the rate of increase in CH</w:t>
      </w:r>
      <w:r w:rsidRPr="00E77E9D">
        <w:rPr>
          <w:vertAlign w:val="subscript"/>
        </w:rPr>
        <w:t>4</w:t>
      </w:r>
      <w:r w:rsidRPr="00E77E9D">
        <w:t xml:space="preserve"> emissions relative to other gases in the Inventory has been lower over the same period. Nitrous oxide and CO</w:t>
      </w:r>
      <w:r w:rsidRPr="00E77E9D">
        <w:rPr>
          <w:vertAlign w:val="subscript"/>
        </w:rPr>
        <w:t>2</w:t>
      </w:r>
      <w:r w:rsidRPr="00E77E9D">
        <w:t xml:space="preserve"> emissions have increased at a greater rate between these years than CH</w:t>
      </w:r>
      <w:r w:rsidRPr="00E77E9D">
        <w:rPr>
          <w:vertAlign w:val="subscript"/>
        </w:rPr>
        <w:t>4</w:t>
      </w:r>
      <w:r w:rsidRPr="00E77E9D">
        <w:t>.</w:t>
      </w:r>
    </w:p>
    <w:p w14:paraId="0BA88353" w14:textId="77777777" w:rsidR="00F52C3D" w:rsidRPr="00E77E9D" w:rsidRDefault="00F52C3D" w:rsidP="00F52C3D">
      <w:pPr>
        <w:pStyle w:val="BodyText"/>
      </w:pPr>
      <w:r w:rsidRPr="00E77E9D">
        <w:t>These trends reflect the changes that have occurred in the main livestock types that are farmed in New Zealand and the growth in road transport.</w:t>
      </w:r>
    </w:p>
    <w:p w14:paraId="5AC2B562" w14:textId="32AEFC77" w:rsidR="00F52C3D" w:rsidRPr="00E77E9D" w:rsidRDefault="00F52C3D" w:rsidP="00F52C3D">
      <w:pPr>
        <w:pStyle w:val="BodyText"/>
      </w:pPr>
      <w:r w:rsidRPr="00911A6B">
        <w:rPr>
          <w:spacing w:val="-2"/>
        </w:rPr>
        <w:t>In 2024, net emissions from the LULUCF sector were -20,977.5 kt CO</w:t>
      </w:r>
      <w:r w:rsidRPr="00911A6B">
        <w:rPr>
          <w:spacing w:val="-2"/>
          <w:vertAlign w:val="subscript"/>
        </w:rPr>
        <w:t>2</w:t>
      </w:r>
      <w:r w:rsidRPr="00911A6B">
        <w:rPr>
          <w:spacing w:val="-2"/>
        </w:rPr>
        <w:t>e, which offset 27.7</w:t>
      </w:r>
      <w:r w:rsidR="00E10385" w:rsidRPr="00911A6B">
        <w:rPr>
          <w:spacing w:val="-2"/>
        </w:rPr>
        <w:t> </w:t>
      </w:r>
      <w:r w:rsidRPr="00911A6B">
        <w:rPr>
          <w:spacing w:val="-2"/>
        </w:rPr>
        <w:t>percent</w:t>
      </w:r>
      <w:r w:rsidRPr="00E77E9D">
        <w:t xml:space="preserve"> of New Zealand’s gross GHG emissions. This comprised net emissions of -21,217.6 kt CO</w:t>
      </w:r>
      <w:r w:rsidRPr="00E77E9D">
        <w:rPr>
          <w:vertAlign w:val="subscript"/>
        </w:rPr>
        <w:t>2</w:t>
      </w:r>
      <w:r w:rsidRPr="00E77E9D">
        <w:t>, 49.2 kt CO</w:t>
      </w:r>
      <w:r w:rsidRPr="00E77E9D">
        <w:rPr>
          <w:vertAlign w:val="subscript"/>
        </w:rPr>
        <w:t>2</w:t>
      </w:r>
      <w:r w:rsidRPr="00E77E9D">
        <w:t>e of CH</w:t>
      </w:r>
      <w:r w:rsidRPr="00E77E9D">
        <w:rPr>
          <w:vertAlign w:val="subscript"/>
        </w:rPr>
        <w:t>4</w:t>
      </w:r>
      <w:r w:rsidRPr="00E77E9D">
        <w:t xml:space="preserve"> and 191.0 kt CO</w:t>
      </w:r>
      <w:r w:rsidRPr="00E77E9D">
        <w:rPr>
          <w:vertAlign w:val="subscript"/>
        </w:rPr>
        <w:t>2</w:t>
      </w:r>
      <w:r w:rsidRPr="00E77E9D">
        <w:t>e of N</w:t>
      </w:r>
      <w:r w:rsidRPr="00E77E9D">
        <w:rPr>
          <w:vertAlign w:val="subscript"/>
        </w:rPr>
        <w:t>2</w:t>
      </w:r>
      <w:r w:rsidRPr="00E77E9D">
        <w:t>O.</w:t>
      </w:r>
    </w:p>
    <w:p w14:paraId="7AB54D36" w14:textId="77777777" w:rsidR="00F52C3D" w:rsidRPr="00E77E9D" w:rsidRDefault="00F52C3D" w:rsidP="00F52C3D">
      <w:pPr>
        <w:pStyle w:val="Heading2"/>
        <w:tabs>
          <w:tab w:val="clear" w:pos="851"/>
          <w:tab w:val="left" w:pos="964"/>
        </w:tabs>
      </w:pPr>
      <w:bookmarkStart w:id="12" w:name="_Toc226460732"/>
      <w:bookmarkStart w:id="13" w:name="X2f843d0bf41fcb83014ae4e91347fb1b51d58fc"/>
      <w:bookmarkEnd w:id="7"/>
      <w:bookmarkEnd w:id="9"/>
      <w:r w:rsidRPr="00E77E9D">
        <w:t>ES.3</w:t>
      </w:r>
      <w:r w:rsidRPr="00E77E9D">
        <w:tab/>
        <w:t>Overview of source and sink category emissions estimates and trends</w:t>
      </w:r>
      <w:bookmarkEnd w:id="12"/>
    </w:p>
    <w:p w14:paraId="185FFDF1" w14:textId="77777777" w:rsidR="00F52C3D" w:rsidRPr="00E77E9D" w:rsidRDefault="00F52C3D" w:rsidP="00F52C3D">
      <w:pPr>
        <w:pStyle w:val="BodyText"/>
      </w:pPr>
      <w:r w:rsidRPr="00E77E9D">
        <w:t xml:space="preserve">Figure ES 3.1 shows the contribution to net emissions that each inventory sector has made since 1990. The Agriculture and Energy sectors have dominated New Zealand’s gross emissions profile. Together, these sectors produced </w:t>
      </w:r>
      <w:r w:rsidRPr="00911A6B">
        <w:t>90.4</w:t>
      </w:r>
      <w:r w:rsidRPr="00E77E9D">
        <w:t xml:space="preserve"> percent of New Zealand’s annual gross GHG emissions from 1990 to 2024. The IPPU and Waste sectors produced relatively small amounts of GHGs, each contributing between 4.5 percent and 5.1 percent of annual gross emissions across the time series.</w:t>
      </w:r>
    </w:p>
    <w:p w14:paraId="359DBAA0" w14:textId="77777777" w:rsidR="00F52C3D" w:rsidRPr="00E77E9D" w:rsidRDefault="00F52C3D" w:rsidP="00F52C3D">
      <w:pPr>
        <w:pStyle w:val="BodyText"/>
      </w:pPr>
      <w:r w:rsidRPr="00E77E9D">
        <w:t>Conversely, the LULUCF sector was a net sink of GHG emissions between 1990 and 2024.</w:t>
      </w:r>
    </w:p>
    <w:p w14:paraId="7F0D6F2D" w14:textId="77777777" w:rsidR="00F52C3D" w:rsidRPr="00E77E9D" w:rsidRDefault="00F52C3D" w:rsidP="00F52C3D">
      <w:pPr>
        <w:pStyle w:val="Figure"/>
      </w:pPr>
      <w:bookmarkStart w:id="14" w:name="_Toc226200646"/>
      <w:r w:rsidRPr="00E77E9D">
        <w:rPr>
          <w:bCs/>
        </w:rPr>
        <w:t>Figure ES 3.1</w:t>
      </w:r>
      <w:r w:rsidRPr="00E77E9D">
        <w:t xml:space="preserve"> </w:t>
      </w:r>
      <w:r w:rsidRPr="00E77E9D">
        <w:tab/>
        <w:t xml:space="preserve">Trends in New Zealand’s greenhouse gas emissions by sector, from </w:t>
      </w:r>
      <w:r w:rsidRPr="00E77E9D">
        <w:rPr>
          <w:bCs/>
        </w:rPr>
        <w:t>1990</w:t>
      </w:r>
      <w:r w:rsidRPr="00E77E9D">
        <w:t xml:space="preserve"> to </w:t>
      </w:r>
      <w:r w:rsidRPr="00E77E9D">
        <w:rPr>
          <w:bCs/>
        </w:rPr>
        <w:t>2024</w:t>
      </w:r>
      <w:bookmarkEnd w:id="14"/>
    </w:p>
    <w:p w14:paraId="416F167F" w14:textId="77777777" w:rsidR="00F52C3D" w:rsidRPr="00E77E9D" w:rsidRDefault="00F52C3D" w:rsidP="00F52C3D">
      <w:pPr>
        <w:pStyle w:val="BodyText"/>
      </w:pPr>
      <w:r w:rsidRPr="00E77E9D">
        <w:rPr>
          <w:noProof/>
        </w:rPr>
        <w:drawing>
          <wp:inline distT="0" distB="0" distL="0" distR="0" wp14:anchorId="018B14B3" wp14:editId="2545F268">
            <wp:extent cx="5301343" cy="3878836"/>
            <wp:effectExtent l="0" t="0" r="0" b="7620"/>
            <wp:docPr id="20941031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3113" name="Picture 2094103113"/>
                    <pic:cNvPicPr/>
                  </pic:nvPicPr>
                  <pic:blipFill rotWithShape="1">
                    <a:blip r:embed="rId25">
                      <a:extLst>
                        <a:ext uri="{28A0092B-C50C-407E-A947-70E740481C1C}">
                          <a14:useLocalDpi xmlns:a14="http://schemas.microsoft.com/office/drawing/2010/main"/>
                        </a:ext>
                      </a:extLst>
                    </a:blip>
                    <a:srcRect b="2386"/>
                    <a:stretch>
                      <a:fillRect/>
                    </a:stretch>
                  </pic:blipFill>
                  <pic:spPr bwMode="auto">
                    <a:xfrm>
                      <a:off x="0" y="0"/>
                      <a:ext cx="5304481" cy="3881132"/>
                    </a:xfrm>
                    <a:prstGeom prst="rect">
                      <a:avLst/>
                    </a:prstGeom>
                    <a:ln>
                      <a:noFill/>
                    </a:ln>
                    <a:extLst>
                      <a:ext uri="{53640926-AAD7-44D8-BBD7-CCE9431645EC}">
                        <a14:shadowObscured xmlns:a14="http://schemas.microsoft.com/office/drawing/2010/main"/>
                      </a:ext>
                    </a:extLst>
                  </pic:spPr>
                </pic:pic>
              </a:graphicData>
            </a:graphic>
          </wp:inline>
        </w:drawing>
      </w:r>
    </w:p>
    <w:p w14:paraId="5DBED76F" w14:textId="77777777" w:rsidR="00F52C3D" w:rsidRPr="00E77E9D" w:rsidRDefault="00F52C3D" w:rsidP="007D4D8C">
      <w:pPr>
        <w:pStyle w:val="Heading3"/>
        <w:spacing w:before="240"/>
      </w:pPr>
      <w:bookmarkStart w:id="15" w:name="energy-chapter-3"/>
      <w:r w:rsidRPr="00E77E9D">
        <w:t>Energy (chapter 3)</w:t>
      </w:r>
    </w:p>
    <w:p w14:paraId="7D5B9A3B" w14:textId="77777777" w:rsidR="00F52C3D" w:rsidRPr="00E77E9D" w:rsidRDefault="00F52C3D" w:rsidP="00F52C3D">
      <w:pPr>
        <w:pStyle w:val="Heading4"/>
      </w:pPr>
      <w:r w:rsidRPr="00E77E9D">
        <w:t>2024</w:t>
      </w:r>
    </w:p>
    <w:p w14:paraId="3E38D2A1" w14:textId="77777777" w:rsidR="00F52C3D" w:rsidRPr="00E77E9D" w:rsidRDefault="00F52C3D" w:rsidP="00F52C3D">
      <w:pPr>
        <w:pStyle w:val="BodyText"/>
      </w:pPr>
      <w:r w:rsidRPr="00E77E9D">
        <w:t>In 2024, emissions from the Energy sector were 28,753.2 kt CO</w:t>
      </w:r>
      <w:r w:rsidRPr="00E77E9D">
        <w:rPr>
          <w:vertAlign w:val="subscript"/>
        </w:rPr>
        <w:t>2</w:t>
      </w:r>
      <w:r w:rsidRPr="00E77E9D">
        <w:t>e, or 37.9 percent of New Zealand’s gross GHG emissions (see figure 2.2.1).</w:t>
      </w:r>
    </w:p>
    <w:p w14:paraId="24F53472" w14:textId="77777777" w:rsidR="00F52C3D" w:rsidRPr="00E77E9D" w:rsidRDefault="00F52C3D" w:rsidP="00F52C3D">
      <w:pPr>
        <w:pStyle w:val="BodyText"/>
      </w:pPr>
      <w:r w:rsidRPr="00E77E9D">
        <w:t>The largest sources of emissions in the Energy sector were the </w:t>
      </w:r>
      <w:r w:rsidRPr="00E77E9D">
        <w:rPr>
          <w:i/>
          <w:iCs/>
        </w:rPr>
        <w:t>Road transportation</w:t>
      </w:r>
      <w:r w:rsidRPr="00E77E9D">
        <w:t xml:space="preserve"> category, contributing 12,555.7 kt CO</w:t>
      </w:r>
      <w:r w:rsidRPr="00E77E9D">
        <w:rPr>
          <w:vertAlign w:val="subscript"/>
        </w:rPr>
        <w:t>2</w:t>
      </w:r>
      <w:r w:rsidRPr="00E77E9D">
        <w:t>e (43.7 percent), and the </w:t>
      </w:r>
      <w:r w:rsidRPr="00E77E9D">
        <w:rPr>
          <w:i/>
          <w:iCs/>
        </w:rPr>
        <w:t>Manufacturing industries and construction</w:t>
      </w:r>
      <w:r w:rsidRPr="00E77E9D">
        <w:t xml:space="preserve"> category, contributing 5,396.5 kt CO</w:t>
      </w:r>
      <w:r w:rsidRPr="00E77E9D">
        <w:rPr>
          <w:vertAlign w:val="subscript"/>
        </w:rPr>
        <w:t>2</w:t>
      </w:r>
      <w:r w:rsidRPr="00E77E9D">
        <w:t>e (18.8 percent) to energy emissions.</w:t>
      </w:r>
    </w:p>
    <w:p w14:paraId="6DE9B79A" w14:textId="77777777" w:rsidR="00F52C3D" w:rsidRPr="00E77E9D" w:rsidRDefault="00F52C3D" w:rsidP="00F52C3D">
      <w:pPr>
        <w:pStyle w:val="Heading4"/>
      </w:pPr>
      <w:r w:rsidRPr="00E77E9D">
        <w:t>2023–2024</w:t>
      </w:r>
    </w:p>
    <w:p w14:paraId="3A358602" w14:textId="77777777" w:rsidR="00F52C3D" w:rsidRPr="00E77E9D" w:rsidRDefault="00F52C3D" w:rsidP="00F52C3D">
      <w:pPr>
        <w:pStyle w:val="BodyText"/>
      </w:pPr>
      <w:r w:rsidRPr="00E77E9D">
        <w:t xml:space="preserve">Between 2023 and 2024, emissions from the Energy sector increased by 0.8 percent (231.4 kt </w:t>
      </w:r>
      <w:r w:rsidRPr="00D31411">
        <w:rPr>
          <w:spacing w:val="-2"/>
        </w:rPr>
        <w:t>CO</w:t>
      </w:r>
      <w:r w:rsidRPr="00D31411">
        <w:rPr>
          <w:spacing w:val="-2"/>
          <w:vertAlign w:val="subscript"/>
        </w:rPr>
        <w:t>2</w:t>
      </w:r>
      <w:r w:rsidRPr="00D31411">
        <w:rPr>
          <w:spacing w:val="-2"/>
        </w:rPr>
        <w:t xml:space="preserve">e). This was primarily due to an increase in </w:t>
      </w:r>
      <w:r w:rsidRPr="00D31411">
        <w:rPr>
          <w:i/>
          <w:iCs/>
          <w:spacing w:val="-2"/>
        </w:rPr>
        <w:t>Public electricity and heat production</w:t>
      </w:r>
      <w:r w:rsidRPr="00D31411">
        <w:rPr>
          <w:spacing w:val="-2"/>
        </w:rPr>
        <w:t xml:space="preserve"> (up 970.6 kt</w:t>
      </w:r>
      <w:r w:rsidRPr="00E77E9D">
        <w:t xml:space="preserve"> CO</w:t>
      </w:r>
      <w:r w:rsidRPr="00E77E9D">
        <w:rPr>
          <w:vertAlign w:val="subscript"/>
        </w:rPr>
        <w:t>2</w:t>
      </w:r>
      <w:r w:rsidRPr="00E77E9D">
        <w:t xml:space="preserve">e or 35.5 percent). This increase was partially offset by the </w:t>
      </w:r>
      <w:r w:rsidRPr="00E77E9D">
        <w:rPr>
          <w:i/>
          <w:iCs/>
        </w:rPr>
        <w:t>Chemicals</w:t>
      </w:r>
      <w:r w:rsidRPr="00E77E9D">
        <w:t xml:space="preserve"> category, which decreased by 590.4 kt CO</w:t>
      </w:r>
      <w:r w:rsidRPr="00E77E9D">
        <w:rPr>
          <w:vertAlign w:val="subscript"/>
        </w:rPr>
        <w:t>2</w:t>
      </w:r>
      <w:r w:rsidRPr="00E77E9D">
        <w:t xml:space="preserve">e (45.0 percent), and </w:t>
      </w:r>
      <w:r w:rsidRPr="00E77E9D">
        <w:rPr>
          <w:i/>
          <w:iCs/>
        </w:rPr>
        <w:t>Food processing, beverages and tobacco</w:t>
      </w:r>
      <w:r w:rsidRPr="00E77E9D">
        <w:t>, which decreased by 205.8 kt CO</w:t>
      </w:r>
      <w:r w:rsidRPr="00E77E9D">
        <w:rPr>
          <w:vertAlign w:val="subscript"/>
        </w:rPr>
        <w:t>2</w:t>
      </w:r>
      <w:r w:rsidRPr="00E77E9D">
        <w:t>e (7.6 percent). Further information on these changes is provided under the relevant categories of chapter 3, section 3.2.</w:t>
      </w:r>
    </w:p>
    <w:p w14:paraId="3262C655" w14:textId="77777777" w:rsidR="00F52C3D" w:rsidRPr="00E77E9D" w:rsidRDefault="00F52C3D" w:rsidP="00F52C3D">
      <w:pPr>
        <w:pStyle w:val="BodyText"/>
      </w:pPr>
      <w:r w:rsidRPr="00E77E9D">
        <w:t>National energy consumption in 2024 declined 2.1 percent from the 2023 level, and was 9.9 percent below the pre-COVID-19 peak seen in 2019.</w:t>
      </w:r>
    </w:p>
    <w:p w14:paraId="125F68EC" w14:textId="77777777" w:rsidR="00F52C3D" w:rsidRPr="00E77E9D" w:rsidRDefault="00F52C3D" w:rsidP="00F52C3D">
      <w:pPr>
        <w:pStyle w:val="Heading4"/>
      </w:pPr>
      <w:r w:rsidRPr="00E77E9D">
        <w:t>2005–2024</w:t>
      </w:r>
    </w:p>
    <w:p w14:paraId="7148E87E" w14:textId="77777777" w:rsidR="00F52C3D" w:rsidRPr="00E77E9D" w:rsidRDefault="00F52C3D" w:rsidP="00F52C3D">
      <w:pPr>
        <w:pStyle w:val="BodyText"/>
      </w:pPr>
      <w:r w:rsidRPr="00E77E9D">
        <w:t>Between 2005 and 2024, emissions from the Energy sector decreased by 16.9 percent (5,843.4 kt CO</w:t>
      </w:r>
      <w:r w:rsidRPr="00E77E9D">
        <w:rPr>
          <w:vertAlign w:val="subscript"/>
        </w:rPr>
        <w:t>2</w:t>
      </w:r>
      <w:r w:rsidRPr="00E77E9D">
        <w:t xml:space="preserve">e). The largest reduction came from </w:t>
      </w:r>
      <w:r w:rsidRPr="00E77E9D">
        <w:rPr>
          <w:i/>
          <w:iCs/>
        </w:rPr>
        <w:t>Public electricity and heat production,</w:t>
      </w:r>
      <w:r w:rsidRPr="00E77E9D">
        <w:t xml:space="preserve"> which decreased by 5,299.7 kt CO2e (58.8 percent). While total electricity generation grew by 6 percent over the same period, the share from renewable sources increased significantly – from 66 percent to 85 percent – driven by expanded geothermal and wind capacity. This reduction in emissions was partially offset by a 1,338.5 kt CO</w:t>
      </w:r>
      <w:r w:rsidRPr="00E77E9D">
        <w:rPr>
          <w:vertAlign w:val="subscript"/>
        </w:rPr>
        <w:t>2</w:t>
      </w:r>
      <w:r w:rsidRPr="00E77E9D">
        <w:t xml:space="preserve">e (11.9 percent) increase from </w:t>
      </w:r>
      <w:r w:rsidRPr="00E77E9D">
        <w:rPr>
          <w:i/>
          <w:iCs/>
        </w:rPr>
        <w:t>Road transportation</w:t>
      </w:r>
      <w:r w:rsidRPr="00E77E9D">
        <w:t>.</w:t>
      </w:r>
    </w:p>
    <w:p w14:paraId="150C23E9" w14:textId="77777777" w:rsidR="00F52C3D" w:rsidRPr="00E77E9D" w:rsidRDefault="00F52C3D" w:rsidP="00F52C3D">
      <w:pPr>
        <w:pStyle w:val="BodyText"/>
      </w:pPr>
      <w:r w:rsidRPr="00E77E9D">
        <w:t>Restrictions on activity and movement as part of the response to the COVID-19 pandemic during the 2020 calendar year brought significant disruption to economic activity throughout New Zealand. The effects on the Energy sector are particularly notable, with national energy consumption remaining below 2019 levels. The sector rebounded slightly during 2021, but energy consumption has remained well below pre-2020 levels in the following years.</w:t>
      </w:r>
    </w:p>
    <w:p w14:paraId="0DCA581F" w14:textId="77777777" w:rsidR="00F52C3D" w:rsidRPr="00E77E9D" w:rsidRDefault="00F52C3D" w:rsidP="00F52C3D">
      <w:pPr>
        <w:pStyle w:val="Heading4"/>
      </w:pPr>
      <w:r w:rsidRPr="00E77E9D">
        <w:t>1990–2024</w:t>
      </w:r>
    </w:p>
    <w:p w14:paraId="26A352C3" w14:textId="77777777" w:rsidR="00F52C3D" w:rsidRPr="00E77E9D" w:rsidRDefault="00F52C3D" w:rsidP="00F52C3D">
      <w:pPr>
        <w:pStyle w:val="BodyText"/>
      </w:pPr>
      <w:r w:rsidRPr="00E77E9D">
        <w:t xml:space="preserve">Between 1990 and </w:t>
      </w:r>
      <w:r w:rsidRPr="00D31411">
        <w:t>2024</w:t>
      </w:r>
      <w:r w:rsidRPr="00E77E9D">
        <w:t>, emissions from the Energy sector increased by 19.8 percent (4,753.4 kt CO</w:t>
      </w:r>
      <w:r w:rsidRPr="00E77E9D">
        <w:rPr>
          <w:vertAlign w:val="subscript"/>
        </w:rPr>
        <w:t>2</w:t>
      </w:r>
      <w:r w:rsidRPr="00E77E9D">
        <w:t xml:space="preserve">e). The main contributors to this increase were </w:t>
      </w:r>
      <w:r w:rsidRPr="00E77E9D">
        <w:rPr>
          <w:i/>
          <w:iCs/>
        </w:rPr>
        <w:t>Road transportation</w:t>
      </w:r>
      <w:r w:rsidRPr="00E77E9D">
        <w:t xml:space="preserve"> (up 5,727.3 kt CO</w:t>
      </w:r>
      <w:r w:rsidRPr="00E77E9D">
        <w:rPr>
          <w:vertAlign w:val="subscript"/>
        </w:rPr>
        <w:t>2</w:t>
      </w:r>
      <w:r w:rsidRPr="00E77E9D">
        <w:t xml:space="preserve">e or 83.9 percent), </w:t>
      </w:r>
      <w:r w:rsidRPr="00E77E9D">
        <w:rPr>
          <w:i/>
          <w:iCs/>
        </w:rPr>
        <w:t>Food processing, beverages and tobacco</w:t>
      </w:r>
      <w:r w:rsidRPr="00E77E9D">
        <w:t xml:space="preserve"> (up 823.4 kt CO</w:t>
      </w:r>
      <w:r w:rsidRPr="00E77E9D">
        <w:rPr>
          <w:vertAlign w:val="subscript"/>
        </w:rPr>
        <w:t>2</w:t>
      </w:r>
      <w:r w:rsidRPr="00E77E9D">
        <w:t xml:space="preserve">e or 49.3 percent) and </w:t>
      </w:r>
      <w:r w:rsidRPr="00E77E9D">
        <w:rPr>
          <w:i/>
          <w:iCs/>
        </w:rPr>
        <w:t>Residential</w:t>
      </w:r>
      <w:r w:rsidRPr="00E77E9D">
        <w:t xml:space="preserve"> (up 407.1 kt CO</w:t>
      </w:r>
      <w:r w:rsidRPr="00E77E9D">
        <w:rPr>
          <w:vertAlign w:val="subscript"/>
        </w:rPr>
        <w:t>2</w:t>
      </w:r>
      <w:r w:rsidRPr="00E77E9D">
        <w:t>e or 27.9 percent). While the drivers of these changes are complex, key factors include population growth and increased economic activity.</w:t>
      </w:r>
    </w:p>
    <w:p w14:paraId="62AAD0D7" w14:textId="77777777" w:rsidR="00F52C3D" w:rsidRPr="00E77E9D" w:rsidRDefault="00F52C3D" w:rsidP="00F52C3D">
      <w:pPr>
        <w:pStyle w:val="BodyText"/>
      </w:pPr>
      <w:r w:rsidRPr="00E77E9D">
        <w:t xml:space="preserve">The largest decrease since 1990 occurred in </w:t>
      </w:r>
      <w:r w:rsidRPr="00E77E9D">
        <w:rPr>
          <w:i/>
        </w:rPr>
        <w:t>M</w:t>
      </w:r>
      <w:r w:rsidRPr="00E77E9D">
        <w:rPr>
          <w:i/>
          <w:iCs/>
        </w:rPr>
        <w:t>anufacture of solid fuels and other energy industries</w:t>
      </w:r>
      <w:r w:rsidRPr="00E77E9D">
        <w:t>, historically a significant source of emissions. Emissions from this category fell by 1,460.3 kt CO</w:t>
      </w:r>
      <w:r w:rsidRPr="00E77E9D">
        <w:rPr>
          <w:vertAlign w:val="subscript"/>
        </w:rPr>
        <w:t>2</w:t>
      </w:r>
      <w:r w:rsidRPr="00E77E9D">
        <w:t>e (85.7 percent), primarily due to the cessation of synthetic gasoline production in 1997.</w:t>
      </w:r>
    </w:p>
    <w:p w14:paraId="4E1AA551" w14:textId="7E78ED19" w:rsidR="00F52C3D" w:rsidRPr="00E77E9D" w:rsidRDefault="00F52C3D" w:rsidP="00F52C3D">
      <w:pPr>
        <w:pStyle w:val="BodyText"/>
      </w:pPr>
      <w:r w:rsidRPr="00E77E9D">
        <w:t>Figure ES 3.1 shows the time series of Energy sector emissions from 1990 to 2024. Emissions rose steadily between 1990 and 2006, driven by population and economic growth, which in turn increased demand for transport and industrial energy. Road transportation emissions rose</w:t>
      </w:r>
      <w:r w:rsidR="00D31411">
        <w:t> </w:t>
      </w:r>
      <w:r w:rsidRPr="00E77E9D">
        <w:t>sharply due to high reliance on private vehicles and freight trucking. Manufacturing activity, particularly in energy-intensive sectors such as food processing and chemicals, also contributed to the upward trend.</w:t>
      </w:r>
    </w:p>
    <w:p w14:paraId="6F44ECC4" w14:textId="77777777" w:rsidR="00F52C3D" w:rsidRPr="00E77E9D" w:rsidRDefault="00F52C3D" w:rsidP="00F52C3D">
      <w:pPr>
        <w:pStyle w:val="BodyText"/>
      </w:pPr>
      <w:r w:rsidRPr="00E77E9D">
        <w:t>After 2006, emissions declined slightly and then remained stable until 2019. Since 2019, emissions have decreased mainly due to the effects of the COVID-19 pandemic response and ongoing economic conditions. These factors, combined with lower-than-expected gas supply, have led to reductions in industrial energy use.</w:t>
      </w:r>
    </w:p>
    <w:p w14:paraId="423BFAF6" w14:textId="77777777" w:rsidR="00F52C3D" w:rsidRPr="00E77E9D" w:rsidRDefault="00F52C3D" w:rsidP="00F52C3D">
      <w:pPr>
        <w:pStyle w:val="Heading3"/>
      </w:pPr>
      <w:bookmarkStart w:id="16" w:name="ippu-chapter-4"/>
      <w:bookmarkEnd w:id="15"/>
      <w:r w:rsidRPr="00E77E9D">
        <w:t>IPPU (chapter 4)</w:t>
      </w:r>
    </w:p>
    <w:p w14:paraId="12178E9B" w14:textId="77777777" w:rsidR="00F52C3D" w:rsidRPr="00E77E9D" w:rsidRDefault="00F52C3D" w:rsidP="00D31411">
      <w:pPr>
        <w:pStyle w:val="Heading4"/>
        <w:spacing w:before="200"/>
      </w:pPr>
      <w:r w:rsidRPr="00E77E9D">
        <w:t>2024</w:t>
      </w:r>
    </w:p>
    <w:p w14:paraId="2CC67E9E" w14:textId="77777777" w:rsidR="00F52C3D" w:rsidRPr="00E77E9D" w:rsidRDefault="00F52C3D" w:rsidP="00D31411">
      <w:pPr>
        <w:pStyle w:val="BodyText"/>
        <w:spacing w:before="100" w:after="100"/>
      </w:pPr>
      <w:r w:rsidRPr="00E77E9D">
        <w:rPr>
          <w:spacing w:val="-2"/>
        </w:rPr>
        <w:t>In 2024, emissions from the IPPU sector were 3,896.7 kt CO</w:t>
      </w:r>
      <w:r w:rsidRPr="00E77E9D">
        <w:rPr>
          <w:spacing w:val="-2"/>
          <w:vertAlign w:val="subscript"/>
        </w:rPr>
        <w:t>2</w:t>
      </w:r>
      <w:r w:rsidRPr="00E77E9D">
        <w:rPr>
          <w:spacing w:val="-2"/>
        </w:rPr>
        <w:t>e, or 5.1 percent, of New Zealand’s</w:t>
      </w:r>
      <w:r w:rsidRPr="00E77E9D">
        <w:t xml:space="preserve"> gross greenhouse gas emissions.</w:t>
      </w:r>
    </w:p>
    <w:p w14:paraId="55F4309D" w14:textId="77777777" w:rsidR="00F52C3D" w:rsidRPr="00E77E9D" w:rsidRDefault="00F52C3D" w:rsidP="00D31411">
      <w:pPr>
        <w:pStyle w:val="BodyText"/>
        <w:spacing w:before="100" w:after="100"/>
      </w:pPr>
      <w:r w:rsidRPr="00E77E9D">
        <w:t xml:space="preserve">The </w:t>
      </w:r>
      <w:r w:rsidRPr="00E77E9D">
        <w:rPr>
          <w:i/>
          <w:iCs/>
        </w:rPr>
        <w:t>Metal industry</w:t>
      </w:r>
      <w:r w:rsidRPr="00E77E9D">
        <w:t xml:space="preserve"> was the largest category of emissions, with substantial CO</w:t>
      </w:r>
      <w:r w:rsidRPr="00E77E9D">
        <w:rPr>
          <w:vertAlign w:val="subscript"/>
        </w:rPr>
        <w:t>2</w:t>
      </w:r>
      <w:r w:rsidRPr="00E77E9D">
        <w:t xml:space="preserve"> emissions from the </w:t>
      </w:r>
      <w:r w:rsidRPr="00E77E9D">
        <w:rPr>
          <w:i/>
          <w:iCs/>
        </w:rPr>
        <w:t>Iron and steel production</w:t>
      </w:r>
      <w:r w:rsidRPr="00E77E9D">
        <w:t xml:space="preserve"> and </w:t>
      </w:r>
      <w:r w:rsidRPr="00E77E9D">
        <w:rPr>
          <w:i/>
          <w:iCs/>
        </w:rPr>
        <w:t>Aluminium production</w:t>
      </w:r>
      <w:r w:rsidRPr="00E77E9D">
        <w:t xml:space="preserve"> categories, as well as PFCs from the </w:t>
      </w:r>
      <w:r w:rsidRPr="00E77E9D">
        <w:rPr>
          <w:i/>
          <w:iCs/>
        </w:rPr>
        <w:t>Aluminium production</w:t>
      </w:r>
      <w:r w:rsidRPr="00E77E9D">
        <w:t xml:space="preserve"> category in earlier years. The </w:t>
      </w:r>
      <w:r w:rsidRPr="00E77E9D">
        <w:rPr>
          <w:i/>
          <w:iCs/>
        </w:rPr>
        <w:t>Mineral industry</w:t>
      </w:r>
      <w:r w:rsidRPr="00E77E9D">
        <w:t xml:space="preserve"> and </w:t>
      </w:r>
      <w:r w:rsidRPr="00E77E9D">
        <w:rPr>
          <w:i/>
          <w:iCs/>
        </w:rPr>
        <w:t>Chemical industry</w:t>
      </w:r>
      <w:r w:rsidRPr="00E77E9D">
        <w:t xml:space="preserve"> categories also contributed significant CO</w:t>
      </w:r>
      <w:r w:rsidRPr="00E77E9D">
        <w:rPr>
          <w:vertAlign w:val="subscript"/>
        </w:rPr>
        <w:t>2</w:t>
      </w:r>
      <w:r w:rsidRPr="00E77E9D">
        <w:t xml:space="preserve"> emissions, and most of the non-CO</w:t>
      </w:r>
      <w:r w:rsidRPr="00E77E9D">
        <w:rPr>
          <w:vertAlign w:val="subscript"/>
        </w:rPr>
        <w:t>2</w:t>
      </w:r>
      <w:r w:rsidRPr="00E77E9D">
        <w:t xml:space="preserve"> emissions were from the </w:t>
      </w:r>
      <w:r w:rsidRPr="00E77E9D">
        <w:rPr>
          <w:i/>
          <w:iCs/>
        </w:rPr>
        <w:t>Product uses as substitutes for ODS</w:t>
      </w:r>
      <w:r w:rsidRPr="00E77E9D">
        <w:t xml:space="preserve"> category.</w:t>
      </w:r>
    </w:p>
    <w:p w14:paraId="13F9E03D" w14:textId="77777777" w:rsidR="00F52C3D" w:rsidRPr="00E77E9D" w:rsidRDefault="00F52C3D" w:rsidP="00D31411">
      <w:pPr>
        <w:pStyle w:val="BodyText"/>
        <w:spacing w:before="100" w:after="100"/>
      </w:pPr>
      <w:r w:rsidRPr="00E77E9D">
        <w:t>The IPPU sector also produces smaller amounts of CH</w:t>
      </w:r>
      <w:r w:rsidRPr="00E77E9D">
        <w:rPr>
          <w:vertAlign w:val="subscript"/>
        </w:rPr>
        <w:t>4</w:t>
      </w:r>
      <w:r w:rsidRPr="00E77E9D">
        <w:t xml:space="preserve"> from methanol production and N</w:t>
      </w:r>
      <w:r w:rsidRPr="00E77E9D">
        <w:rPr>
          <w:vertAlign w:val="subscript"/>
        </w:rPr>
        <w:t>2</w:t>
      </w:r>
      <w:r w:rsidRPr="00E77E9D">
        <w:t xml:space="preserve">O used for medical applications in the </w:t>
      </w:r>
      <w:r w:rsidRPr="00E77E9D">
        <w:rPr>
          <w:i/>
          <w:iCs/>
        </w:rPr>
        <w:t>Other product manufacture and use</w:t>
      </w:r>
      <w:r w:rsidRPr="00E77E9D">
        <w:t xml:space="preserve"> category.</w:t>
      </w:r>
    </w:p>
    <w:p w14:paraId="741C3888" w14:textId="77777777" w:rsidR="00F52C3D" w:rsidRPr="00E77E9D" w:rsidRDefault="00F52C3D" w:rsidP="00D31411">
      <w:pPr>
        <w:pStyle w:val="BodyText"/>
        <w:spacing w:before="100" w:after="100"/>
      </w:pPr>
      <w:r w:rsidRPr="00E77E9D">
        <w:t xml:space="preserve">Coal and natural gas were also used for energy generation in these industries, and related emissions were reported under the Energy sector in the </w:t>
      </w:r>
      <w:r w:rsidRPr="00E77E9D">
        <w:rPr>
          <w:i/>
          <w:iCs/>
        </w:rPr>
        <w:t>Manufacturing industries and construction</w:t>
      </w:r>
      <w:r w:rsidRPr="00E77E9D">
        <w:t xml:space="preserve"> category.</w:t>
      </w:r>
    </w:p>
    <w:p w14:paraId="79B1B855" w14:textId="77777777" w:rsidR="00F52C3D" w:rsidRPr="00E77E9D" w:rsidRDefault="00F52C3D" w:rsidP="00D31411">
      <w:pPr>
        <w:pStyle w:val="Heading4"/>
        <w:spacing w:before="200"/>
      </w:pPr>
      <w:r w:rsidRPr="00E77E9D">
        <w:t>2023–2024</w:t>
      </w:r>
    </w:p>
    <w:p w14:paraId="31F989B1" w14:textId="77777777" w:rsidR="00F52C3D" w:rsidRPr="00E77E9D" w:rsidRDefault="00F52C3D" w:rsidP="00D31411">
      <w:pPr>
        <w:pStyle w:val="BodyText"/>
        <w:spacing w:before="100" w:after="100"/>
      </w:pPr>
      <w:r w:rsidRPr="00E77E9D">
        <w:t>Between 2023 and 2024, emissions from the IPPU sector decreased by 166.6 kt CO</w:t>
      </w:r>
      <w:r w:rsidRPr="00E77E9D">
        <w:rPr>
          <w:vertAlign w:val="subscript"/>
        </w:rPr>
        <w:t>2</w:t>
      </w:r>
      <w:r w:rsidRPr="00E77E9D">
        <w:t>e (4.1 percent).</w:t>
      </w:r>
    </w:p>
    <w:p w14:paraId="4D242C08" w14:textId="77777777" w:rsidR="00F52C3D" w:rsidRPr="00E77E9D" w:rsidRDefault="00F52C3D" w:rsidP="00D31411">
      <w:pPr>
        <w:pStyle w:val="BodyText"/>
        <w:spacing w:before="100" w:after="100"/>
      </w:pPr>
      <w:r w:rsidRPr="00E77E9D">
        <w:t xml:space="preserve">This change was mainly the result of decreased emissions from the </w:t>
      </w:r>
      <w:r w:rsidRPr="00E77E9D">
        <w:rPr>
          <w:i/>
          <w:iCs/>
        </w:rPr>
        <w:t>Refrigeration and air conditioning,</w:t>
      </w:r>
      <w:r w:rsidRPr="00E77E9D">
        <w:t xml:space="preserve"> </w:t>
      </w:r>
      <w:r w:rsidRPr="00E77E9D">
        <w:rPr>
          <w:i/>
          <w:iCs/>
        </w:rPr>
        <w:t>Chemical industry</w:t>
      </w:r>
      <w:r w:rsidRPr="00E77E9D">
        <w:t xml:space="preserve"> and </w:t>
      </w:r>
      <w:r w:rsidRPr="00E77E9D">
        <w:rPr>
          <w:i/>
          <w:iCs/>
        </w:rPr>
        <w:t>Mineral industry</w:t>
      </w:r>
      <w:r w:rsidRPr="00E77E9D">
        <w:t xml:space="preserve"> categories. Although emissions increased elsewhere, the overall result was a net reduction in total IPPU emissions.</w:t>
      </w:r>
    </w:p>
    <w:p w14:paraId="21CB5815" w14:textId="77777777" w:rsidR="00F52C3D" w:rsidRPr="00E77E9D" w:rsidRDefault="00F52C3D" w:rsidP="00F52C3D">
      <w:pPr>
        <w:pStyle w:val="Heading4"/>
      </w:pPr>
      <w:r w:rsidRPr="00E77E9D">
        <w:t>2005–2024</w:t>
      </w:r>
    </w:p>
    <w:p w14:paraId="10FEE809" w14:textId="77777777" w:rsidR="00F52C3D" w:rsidRPr="00E77E9D" w:rsidRDefault="00F52C3D" w:rsidP="00F52C3D">
      <w:pPr>
        <w:pStyle w:val="BodyText"/>
      </w:pPr>
      <w:r w:rsidRPr="00E77E9D">
        <w:t>Between 2005 and 2024, emissions from the IPPU sector had decreased by 149.4 kt CO</w:t>
      </w:r>
      <w:r w:rsidRPr="00E77E9D">
        <w:rPr>
          <w:vertAlign w:val="subscript"/>
        </w:rPr>
        <w:t>2</w:t>
      </w:r>
      <w:r w:rsidRPr="00E77E9D">
        <w:t>e (3.7 percent).</w:t>
      </w:r>
    </w:p>
    <w:p w14:paraId="1E1862E9" w14:textId="77777777" w:rsidR="00F52C3D" w:rsidRPr="00E77E9D" w:rsidRDefault="00F52C3D" w:rsidP="00F52C3D">
      <w:pPr>
        <w:pStyle w:val="BodyText"/>
      </w:pPr>
      <w:r w:rsidRPr="00E77E9D">
        <w:t xml:space="preserve">Between 2005 and 2024, while emissions from </w:t>
      </w:r>
      <w:r w:rsidRPr="00E77E9D">
        <w:rPr>
          <w:i/>
          <w:iCs/>
        </w:rPr>
        <w:t>Product uses as substitutes for ODS</w:t>
      </w:r>
      <w:r w:rsidRPr="00E77E9D">
        <w:t xml:space="preserve"> rose by 369.5 kt CO</w:t>
      </w:r>
      <w:r w:rsidRPr="00E77E9D">
        <w:rPr>
          <w:vertAlign w:val="subscript"/>
        </w:rPr>
        <w:t>2</w:t>
      </w:r>
      <w:r w:rsidRPr="00E77E9D">
        <w:t xml:space="preserve">e (10 percent), this increase was offset by the </w:t>
      </w:r>
      <w:r w:rsidRPr="00E77E9D">
        <w:rPr>
          <w:i/>
        </w:rPr>
        <w:t>Mineral industry</w:t>
      </w:r>
      <w:r w:rsidRPr="00E77E9D">
        <w:t xml:space="preserve"> and </w:t>
      </w:r>
      <w:r w:rsidRPr="00E77E9D">
        <w:rPr>
          <w:i/>
        </w:rPr>
        <w:t>Chemical industry</w:t>
      </w:r>
      <w:r w:rsidRPr="00E77E9D">
        <w:t xml:space="preserve"> categories, which decreased by 272.1 kt CO</w:t>
      </w:r>
      <w:r w:rsidRPr="00E77E9D">
        <w:rPr>
          <w:vertAlign w:val="subscript"/>
        </w:rPr>
        <w:t>2</w:t>
      </w:r>
      <w:r w:rsidRPr="00E77E9D">
        <w:t>e (6.5 percent) and 174.9 kt CO</w:t>
      </w:r>
      <w:r w:rsidRPr="00E77E9D">
        <w:rPr>
          <w:vertAlign w:val="subscript"/>
        </w:rPr>
        <w:t>2</w:t>
      </w:r>
      <w:r w:rsidRPr="00E77E9D">
        <w:t>e (4.3 percent), respectively.</w:t>
      </w:r>
    </w:p>
    <w:p w14:paraId="28973C9E" w14:textId="77777777" w:rsidR="00F52C3D" w:rsidRPr="00E77E9D" w:rsidRDefault="00F52C3D" w:rsidP="00F52C3D">
      <w:pPr>
        <w:pStyle w:val="BodyText"/>
      </w:pPr>
      <w:r w:rsidRPr="00E77E9D">
        <w:t>Restrictions on activity and movement as part of the response to the COVID-19 pandemic during the 2020 calendar year saw significant disruption to economic activity throughout New Zealand. Activity levels and emissions from the IPPU sector dropped between 2019 and 2020. The IPPU sector saw a rebound in 2021, however, activity and emissions continued to drop in the following years.</w:t>
      </w:r>
    </w:p>
    <w:p w14:paraId="4CFD472C" w14:textId="77777777" w:rsidR="00F52C3D" w:rsidRPr="00E77E9D" w:rsidRDefault="00F52C3D" w:rsidP="00F52C3D">
      <w:pPr>
        <w:pStyle w:val="BodyText"/>
      </w:pPr>
      <w:r w:rsidRPr="00E77E9D">
        <w:t xml:space="preserve">In addition to COVID-19 pandemic related restrictions, New Zealand’s methanol production has also been subject to disruption over this period. Methanex New Zealand has operated two methanol production facilities: Motonui and Waitara Valley. In November 2004, production at the Motunui plant was halted following insufficient gas supply in 2003, with operations resuming in late 2008. Output further increased at Motonui in 2012, and production at full capacity resumed in December 2013. The Waitara Valley plant was shut down in early 2021. A shortage of natural gas supply and energy security concerns led to a halt in methanol production between August to October 2024 to free up natural gas for use in electricity generation. As a result, emissions in the </w:t>
      </w:r>
      <w:r w:rsidRPr="00E77E9D">
        <w:rPr>
          <w:i/>
          <w:iCs/>
        </w:rPr>
        <w:t>Methanol</w:t>
      </w:r>
      <w:r w:rsidRPr="00E77E9D">
        <w:t xml:space="preserve"> category decreased by 64 percent between 2019 (i.e., pre-COVID-19 levels) and 2024.</w:t>
      </w:r>
    </w:p>
    <w:p w14:paraId="2BA051A8" w14:textId="77777777" w:rsidR="00F52C3D" w:rsidRPr="00E77E9D" w:rsidRDefault="00F52C3D" w:rsidP="00F52C3D">
      <w:pPr>
        <w:pStyle w:val="BodyText"/>
      </w:pPr>
      <w:r w:rsidRPr="00E77E9D">
        <w:t xml:space="preserve">There was also a 19 percent reduction in emissions of PFCs due to improved management of anode effects in the </w:t>
      </w:r>
      <w:r w:rsidRPr="00E77E9D">
        <w:rPr>
          <w:i/>
          <w:iCs/>
        </w:rPr>
        <w:t>Aluminium production</w:t>
      </w:r>
      <w:r w:rsidRPr="00E77E9D">
        <w:t xml:space="preserve"> category. Emissions of N</w:t>
      </w:r>
      <w:r w:rsidRPr="00E77E9D">
        <w:rPr>
          <w:vertAlign w:val="subscript"/>
        </w:rPr>
        <w:t>2</w:t>
      </w:r>
      <w:r w:rsidRPr="00E77E9D">
        <w:t xml:space="preserve">O used for medical applications in the </w:t>
      </w:r>
      <w:r w:rsidRPr="00E77E9D">
        <w:rPr>
          <w:i/>
          <w:iCs/>
        </w:rPr>
        <w:t>Other product manufacture and use</w:t>
      </w:r>
      <w:r w:rsidRPr="00E77E9D">
        <w:t xml:space="preserve"> category is nearly four times higher in 2024 compared with 2005. However, several initiatives led by Health New Zealand Te Whatu Ora are seeking to reduce the emissions associated with N</w:t>
      </w:r>
      <w:r w:rsidRPr="00E77E9D">
        <w:rPr>
          <w:vertAlign w:val="subscript"/>
        </w:rPr>
        <w:t>2</w:t>
      </w:r>
      <w:r w:rsidRPr="00E77E9D">
        <w:t>O by decommissioning reticulated systems to avoid leakage into the atmosphere.</w:t>
      </w:r>
    </w:p>
    <w:p w14:paraId="4069585F" w14:textId="77777777" w:rsidR="00F52C3D" w:rsidRPr="00E77E9D" w:rsidRDefault="00F52C3D" w:rsidP="00F52C3D">
      <w:pPr>
        <w:pStyle w:val="Heading4"/>
      </w:pPr>
      <w:r w:rsidRPr="00E77E9D">
        <w:t>1990–2024</w:t>
      </w:r>
    </w:p>
    <w:p w14:paraId="24701326" w14:textId="77777777" w:rsidR="00F52C3D" w:rsidRPr="00E77E9D" w:rsidRDefault="00F52C3D" w:rsidP="00F52C3D">
      <w:pPr>
        <w:pStyle w:val="BodyText"/>
      </w:pPr>
      <w:r w:rsidRPr="00E77E9D">
        <w:t>Between 1990 and 2024, emissions from the IPPU sector had increased by 11.9 percent (413.1 kt CO</w:t>
      </w:r>
      <w:r w:rsidRPr="00E77E9D">
        <w:rPr>
          <w:vertAlign w:val="subscript"/>
        </w:rPr>
        <w:t>2</w:t>
      </w:r>
      <w:r w:rsidRPr="00E77E9D">
        <w:t xml:space="preserve">e). This increase was mainly driven by increasing emissions from the </w:t>
      </w:r>
      <w:r w:rsidRPr="00E77E9D">
        <w:rPr>
          <w:i/>
          <w:iCs/>
        </w:rPr>
        <w:t>Product uses as substitutes for ODS</w:t>
      </w:r>
      <w:r w:rsidRPr="00E77E9D">
        <w:t xml:space="preserve"> category, due to the introduction of HFCs to replace ODS in refrigeration and air conditioning, and the increased use of household and commercial air conditioning.</w:t>
      </w:r>
    </w:p>
    <w:p w14:paraId="7A9B5C16" w14:textId="77777777" w:rsidR="00F52C3D" w:rsidRPr="00E77E9D" w:rsidRDefault="00F52C3D" w:rsidP="00F52C3D">
      <w:pPr>
        <w:pStyle w:val="BodyText"/>
        <w:rPr>
          <w:spacing w:val="-2"/>
        </w:rPr>
      </w:pPr>
      <w:r w:rsidRPr="00E77E9D">
        <w:t xml:space="preserve">There were large drops in PFC emissions from the </w:t>
      </w:r>
      <w:r w:rsidRPr="00E77E9D">
        <w:rPr>
          <w:i/>
          <w:iCs/>
        </w:rPr>
        <w:t>Aluminium production</w:t>
      </w:r>
      <w:r w:rsidRPr="00E77E9D">
        <w:t xml:space="preserve"> category. The biggest reductions occurred between 1990 and 1993, where emissions decreased by 77 percent. This </w:t>
      </w:r>
      <w:r w:rsidRPr="00E77E9D">
        <w:rPr>
          <w:spacing w:val="-2"/>
        </w:rPr>
        <w:t>was due to better operational practices in the industry that decreased anode effects emissions.</w:t>
      </w:r>
    </w:p>
    <w:p w14:paraId="3528BC8B" w14:textId="77777777" w:rsidR="00F52C3D" w:rsidRPr="00E77E9D" w:rsidRDefault="00F52C3D" w:rsidP="00F52C3D">
      <w:pPr>
        <w:pStyle w:val="Heading3"/>
      </w:pPr>
      <w:bookmarkStart w:id="17" w:name="agriculture-chapter-5"/>
      <w:bookmarkEnd w:id="16"/>
      <w:r w:rsidRPr="00E77E9D">
        <w:t>Agriculture (chapter 5)</w:t>
      </w:r>
    </w:p>
    <w:p w14:paraId="76D5E068" w14:textId="77777777" w:rsidR="00F52C3D" w:rsidRPr="00E77E9D" w:rsidRDefault="00F52C3D" w:rsidP="00F52C3D">
      <w:pPr>
        <w:pStyle w:val="Heading4"/>
      </w:pPr>
      <w:r w:rsidRPr="00E77E9D">
        <w:t>2024</w:t>
      </w:r>
    </w:p>
    <w:p w14:paraId="060EF3AA" w14:textId="77777777" w:rsidR="00F52C3D" w:rsidRPr="00E77E9D" w:rsidRDefault="00F52C3D" w:rsidP="00F52C3D">
      <w:pPr>
        <w:pStyle w:val="BodyText"/>
      </w:pPr>
      <w:r w:rsidRPr="00E77E9D">
        <w:rPr>
          <w:spacing w:val="-2"/>
        </w:rPr>
        <w:t>In 2024, emissions from the Agriculture sector were 40,148.4 kt CO</w:t>
      </w:r>
      <w:r w:rsidRPr="00E77E9D">
        <w:rPr>
          <w:spacing w:val="-2"/>
          <w:vertAlign w:val="subscript"/>
        </w:rPr>
        <w:t>2</w:t>
      </w:r>
      <w:r w:rsidRPr="00E77E9D">
        <w:rPr>
          <w:spacing w:val="-2"/>
        </w:rPr>
        <w:t>e, representing 53.0 percent</w:t>
      </w:r>
      <w:r w:rsidRPr="00E77E9D">
        <w:t xml:space="preserve"> of New Zealand’s gross GHG emissions.</w:t>
      </w:r>
    </w:p>
    <w:p w14:paraId="06A67A3B" w14:textId="77777777" w:rsidR="00F52C3D" w:rsidRPr="00E77E9D" w:rsidRDefault="00F52C3D" w:rsidP="00F52C3D">
      <w:pPr>
        <w:pStyle w:val="BodyText"/>
      </w:pPr>
      <w:r w:rsidRPr="00E77E9D">
        <w:t xml:space="preserve">Methane from </w:t>
      </w:r>
      <w:r w:rsidRPr="00E77E9D">
        <w:rPr>
          <w:i/>
          <w:iCs/>
        </w:rPr>
        <w:t>Enteric fermentation</w:t>
      </w:r>
      <w:r w:rsidRPr="00E77E9D">
        <w:t xml:space="preserve"> was the main source of Agriculture sector emissions, contributing 78.7 percent (31,558.3 kt CO</w:t>
      </w:r>
      <w:r w:rsidRPr="00E77E9D">
        <w:rPr>
          <w:vertAlign w:val="subscript"/>
        </w:rPr>
        <w:t>2</w:t>
      </w:r>
      <w:r w:rsidRPr="00E77E9D">
        <w:t xml:space="preserve">e) of the sector’s emissions. </w:t>
      </w:r>
      <w:r w:rsidRPr="00E77E9D">
        <w:rPr>
          <w:i/>
          <w:iCs/>
        </w:rPr>
        <w:t>Agricultural soils</w:t>
      </w:r>
      <w:r w:rsidRPr="00E77E9D">
        <w:t xml:space="preserve"> (15.3 percent) was the second largest source followed by </w:t>
      </w:r>
      <w:r w:rsidRPr="00E77E9D">
        <w:rPr>
          <w:i/>
          <w:iCs/>
        </w:rPr>
        <w:t>Manure management</w:t>
      </w:r>
      <w:r w:rsidRPr="00E77E9D">
        <w:t xml:space="preserve"> (4.3 percent). </w:t>
      </w:r>
      <w:r w:rsidRPr="00E77E9D">
        <w:rPr>
          <w:i/>
          <w:iCs/>
        </w:rPr>
        <w:t>Urea application</w:t>
      </w:r>
      <w:r w:rsidRPr="00E77E9D">
        <w:t xml:space="preserve"> and </w:t>
      </w:r>
      <w:r w:rsidRPr="00E77E9D">
        <w:rPr>
          <w:i/>
          <w:iCs/>
        </w:rPr>
        <w:t>Liming</w:t>
      </w:r>
      <w:r w:rsidRPr="00E77E9D">
        <w:t xml:space="preserve"> CO</w:t>
      </w:r>
      <w:r w:rsidRPr="00E77E9D">
        <w:rPr>
          <w:vertAlign w:val="subscript"/>
        </w:rPr>
        <w:t>2</w:t>
      </w:r>
      <w:r w:rsidRPr="00E77E9D">
        <w:t xml:space="preserve"> contributed 1.1 percent and 0.6 percent, respectively. </w:t>
      </w:r>
      <w:r w:rsidRPr="00E77E9D">
        <w:rPr>
          <w:i/>
          <w:iCs/>
        </w:rPr>
        <w:t>Field burning of agricultural residues</w:t>
      </w:r>
      <w:r w:rsidRPr="00E77E9D">
        <w:t xml:space="preserve"> contributed less than 0.1 percent.</w:t>
      </w:r>
    </w:p>
    <w:p w14:paraId="3BABE920" w14:textId="77777777" w:rsidR="00F52C3D" w:rsidRPr="00E77E9D" w:rsidRDefault="00F52C3D" w:rsidP="00F52C3D">
      <w:pPr>
        <w:pStyle w:val="BodyText"/>
      </w:pPr>
      <w:r w:rsidRPr="00E77E9D">
        <w:t xml:space="preserve">Methane emissions from </w:t>
      </w:r>
      <w:r w:rsidRPr="00E77E9D">
        <w:rPr>
          <w:i/>
          <w:iCs/>
        </w:rPr>
        <w:t>Enteric fermentation</w:t>
      </w:r>
      <w:r w:rsidRPr="00E77E9D">
        <w:t xml:space="preserve"> contributed 41.7 percent of New Zealand’s </w:t>
      </w:r>
      <w:r w:rsidRPr="00E77E9D">
        <w:rPr>
          <w:spacing w:val="-2"/>
        </w:rPr>
        <w:t>gross emissions, and N</w:t>
      </w:r>
      <w:r w:rsidRPr="00E77E9D">
        <w:rPr>
          <w:spacing w:val="-2"/>
          <w:vertAlign w:val="subscript"/>
        </w:rPr>
        <w:t>2</w:t>
      </w:r>
      <w:r w:rsidRPr="00E77E9D">
        <w:rPr>
          <w:spacing w:val="-2"/>
        </w:rPr>
        <w:t>O emissions from the Agricultural soils category contributed 8.1 percent</w:t>
      </w:r>
      <w:r w:rsidRPr="00E77E9D">
        <w:t xml:space="preserve"> of New Zealand’s gross emissions.</w:t>
      </w:r>
    </w:p>
    <w:p w14:paraId="4D1B333C" w14:textId="77777777" w:rsidR="00F52C3D" w:rsidRPr="00E77E9D" w:rsidRDefault="00F52C3D" w:rsidP="00F52C3D">
      <w:pPr>
        <w:pStyle w:val="Heading4"/>
      </w:pPr>
      <w:r w:rsidRPr="00E77E9D">
        <w:t>2023–2024</w:t>
      </w:r>
    </w:p>
    <w:p w14:paraId="278970FF" w14:textId="77777777" w:rsidR="00F52C3D" w:rsidRPr="00E77E9D" w:rsidRDefault="00F52C3D" w:rsidP="00F52C3D">
      <w:pPr>
        <w:pStyle w:val="BodyText"/>
      </w:pPr>
      <w:r w:rsidRPr="00E77E9D">
        <w:t>Between 2023 and 2024, emissions from the Agriculture sector decreased by 0.3 percent (138.1 kt CO</w:t>
      </w:r>
      <w:r w:rsidRPr="00E77E9D">
        <w:rPr>
          <w:vertAlign w:val="subscript"/>
        </w:rPr>
        <w:t>2</w:t>
      </w:r>
      <w:r w:rsidRPr="00E77E9D">
        <w:t>e). This change was largely due to a decrease in emissions from sheep and some types of fertiliser application. Specifically:</w:t>
      </w:r>
    </w:p>
    <w:p w14:paraId="5EC0A533" w14:textId="77777777" w:rsidR="00F52C3D" w:rsidRPr="00E77E9D" w:rsidRDefault="00F52C3D" w:rsidP="00F52C3D">
      <w:pPr>
        <w:pStyle w:val="Bullet"/>
      </w:pPr>
      <w:r w:rsidRPr="00E77E9D">
        <w:t>sheep emissions decreased by 3.9 percent (364.4 kt CO</w:t>
      </w:r>
      <w:r w:rsidRPr="00E77E9D">
        <w:rPr>
          <w:vertAlign w:val="subscript"/>
        </w:rPr>
        <w:t>2</w:t>
      </w:r>
      <w:r w:rsidRPr="00E77E9D">
        <w:t>e), due to a continuing reduction in the sheep population</w:t>
      </w:r>
    </w:p>
    <w:p w14:paraId="1F8E8912" w14:textId="77777777" w:rsidR="00F52C3D" w:rsidRPr="00E77E9D" w:rsidRDefault="00F52C3D" w:rsidP="00F52C3D">
      <w:pPr>
        <w:pStyle w:val="Bullet"/>
        <w:rPr>
          <w:rFonts w:eastAsia="Calibri" w:cs="Calibri"/>
        </w:rPr>
      </w:pPr>
      <w:r w:rsidRPr="00E77E9D">
        <w:rPr>
          <w:rFonts w:eastAsia="Calibri" w:cs="Calibri"/>
        </w:rPr>
        <w:t>urea emissions decreased by 8.6 percent (43.0 kt CO</w:t>
      </w:r>
      <w:r w:rsidRPr="00E77E9D">
        <w:rPr>
          <w:rFonts w:eastAsia="Calibri" w:cs="Calibri"/>
          <w:vertAlign w:val="subscript"/>
        </w:rPr>
        <w:t>2</w:t>
      </w:r>
      <w:r w:rsidRPr="00E77E9D">
        <w:rPr>
          <w:rFonts w:eastAsia="Calibri" w:cs="Calibri"/>
        </w:rPr>
        <w:t>e), due to a reduction in the mass of nitrogen applied as urea</w:t>
      </w:r>
    </w:p>
    <w:p w14:paraId="3A2D2E76" w14:textId="77777777" w:rsidR="00F52C3D" w:rsidRPr="00E77E9D" w:rsidRDefault="00F52C3D" w:rsidP="00F52C3D">
      <w:pPr>
        <w:pStyle w:val="Bullet"/>
      </w:pPr>
      <w:r w:rsidRPr="00E77E9D">
        <w:t>limestone emissions decreased by 13.2 percent (36.1 kt CO</w:t>
      </w:r>
      <w:r w:rsidRPr="00E77E9D">
        <w:rPr>
          <w:vertAlign w:val="subscript"/>
        </w:rPr>
        <w:t>2</w:t>
      </w:r>
      <w:r w:rsidRPr="00E77E9D">
        <w:t>e), due to a reduction in the application of limestone.</w:t>
      </w:r>
    </w:p>
    <w:p w14:paraId="725C442C" w14:textId="77777777" w:rsidR="00F52C3D" w:rsidRPr="00E77E9D" w:rsidRDefault="00F52C3D" w:rsidP="00973D6B">
      <w:pPr>
        <w:pStyle w:val="BodyText"/>
        <w:keepNext/>
      </w:pPr>
      <w:r w:rsidRPr="00E77E9D">
        <w:t>These decreases were partially offset by increased emissions from dairy cattle and non-dairy cattle. Specifically:</w:t>
      </w:r>
    </w:p>
    <w:p w14:paraId="58B04DFC" w14:textId="39DCA953" w:rsidR="00F52C3D" w:rsidRPr="00E77E9D" w:rsidRDefault="00F52C3D" w:rsidP="00F52C3D">
      <w:pPr>
        <w:pStyle w:val="Bullet"/>
      </w:pPr>
      <w:r w:rsidRPr="00E77E9D">
        <w:t>dairy cattle emissions increased by 1.1 percent (222.2 kt CO</w:t>
      </w:r>
      <w:r w:rsidRPr="00E77E9D">
        <w:rPr>
          <w:vertAlign w:val="subscript"/>
        </w:rPr>
        <w:t>2</w:t>
      </w:r>
      <w:r w:rsidRPr="00E77E9D">
        <w:t>e), due to an increase in milk production. Compared with the 2022 to</w:t>
      </w:r>
      <w:r w:rsidR="00BC0C4B">
        <w:t xml:space="preserve"> </w:t>
      </w:r>
      <w:r w:rsidRPr="00E77E9D">
        <w:t>2023 season, there was a 2.3 percent (about 471 million litres) increase in milk volume and a 2.9 percent (55 million kilograms) increase in milksolids processed (LIC and DairyNZ, 2025). These improvements in productivity occurred alongside a 0.5 percent decrease in the dairy cattle population.</w:t>
      </w:r>
    </w:p>
    <w:p w14:paraId="7EAC9C14" w14:textId="77777777" w:rsidR="00F52C3D" w:rsidRPr="00E77E9D" w:rsidRDefault="00F52C3D" w:rsidP="00F52C3D">
      <w:pPr>
        <w:pStyle w:val="Bullet"/>
      </w:pPr>
      <w:r w:rsidRPr="00E77E9D">
        <w:t>non-dairy cattle emissions increased by 0.3 percent (25.6 kt CO</w:t>
      </w:r>
      <w:r w:rsidRPr="00E77E9D">
        <w:rPr>
          <w:vertAlign w:val="subscript"/>
        </w:rPr>
        <w:t>2</w:t>
      </w:r>
      <w:r w:rsidRPr="00E77E9D">
        <w:t>e), due to an increase in the non-dairy (beef) cattle population.</w:t>
      </w:r>
    </w:p>
    <w:p w14:paraId="3EEC9BCF" w14:textId="77777777" w:rsidR="00F52C3D" w:rsidRPr="00E77E9D" w:rsidRDefault="00F52C3D" w:rsidP="00F52C3D">
      <w:pPr>
        <w:pStyle w:val="BodyText"/>
      </w:pPr>
      <w:r w:rsidRPr="00E77E9D">
        <w:rPr>
          <w:spacing w:val="-2"/>
        </w:rPr>
        <w:t>Total emissions from synthetic nitrogen fertiliser (CO</w:t>
      </w:r>
      <w:r w:rsidRPr="00E77E9D">
        <w:rPr>
          <w:spacing w:val="-2"/>
          <w:vertAlign w:val="subscript"/>
        </w:rPr>
        <w:t>2</w:t>
      </w:r>
      <w:r w:rsidRPr="00E77E9D">
        <w:rPr>
          <w:spacing w:val="-2"/>
        </w:rPr>
        <w:t>and N</w:t>
      </w:r>
      <w:r w:rsidRPr="00E77E9D">
        <w:rPr>
          <w:spacing w:val="-2"/>
          <w:vertAlign w:val="subscript"/>
        </w:rPr>
        <w:t>2</w:t>
      </w:r>
      <w:r w:rsidRPr="00E77E9D">
        <w:rPr>
          <w:spacing w:val="-2"/>
        </w:rPr>
        <w:t>O) increased by 1.5 percent (25.0 kt CO</w:t>
      </w:r>
      <w:r w:rsidRPr="00E77E9D">
        <w:rPr>
          <w:spacing w:val="-2"/>
          <w:vertAlign w:val="subscript"/>
        </w:rPr>
        <w:t>2</w:t>
      </w:r>
      <w:r w:rsidRPr="00E77E9D">
        <w:rPr>
          <w:spacing w:val="-2"/>
        </w:rPr>
        <w:t>e). Emissions from non-urea synthetic nitrogen fertilisers increased by 85.2 percent (144.0 kt CO</w:t>
      </w:r>
      <w:r w:rsidRPr="00E77E9D">
        <w:rPr>
          <w:spacing w:val="-2"/>
          <w:vertAlign w:val="subscript"/>
        </w:rPr>
        <w:t>2</w:t>
      </w:r>
      <w:r w:rsidRPr="00E77E9D">
        <w:rPr>
          <w:spacing w:val="-2"/>
        </w:rPr>
        <w:t>e),</w:t>
      </w:r>
      <w:r w:rsidRPr="00E77E9D">
        <w:t xml:space="preserve"> due to an increase in nitrogen application.</w:t>
      </w:r>
    </w:p>
    <w:p w14:paraId="16222773" w14:textId="77777777" w:rsidR="00F52C3D" w:rsidRPr="00E77E9D" w:rsidRDefault="00F52C3D" w:rsidP="00F52C3D">
      <w:pPr>
        <w:pStyle w:val="Heading4"/>
      </w:pPr>
      <w:r w:rsidRPr="00E77E9D">
        <w:t>2005–2024</w:t>
      </w:r>
    </w:p>
    <w:p w14:paraId="375012B0" w14:textId="77777777" w:rsidR="00F52C3D" w:rsidRPr="00E77E9D" w:rsidRDefault="00F52C3D" w:rsidP="00F52C3D">
      <w:pPr>
        <w:pStyle w:val="BodyText"/>
      </w:pPr>
      <w:r w:rsidRPr="00E77E9D">
        <w:t>Between 2005 and 2024, emissions from the Agriculture sector had decreased by 6.4 percent (2,763.6 kt CO</w:t>
      </w:r>
      <w:r w:rsidRPr="00E77E9D">
        <w:rPr>
          <w:vertAlign w:val="subscript"/>
        </w:rPr>
        <w:t>2</w:t>
      </w:r>
      <w:r w:rsidRPr="00E77E9D">
        <w:t>e) (see chapter 5, table 5.1.1).</w:t>
      </w:r>
    </w:p>
    <w:p w14:paraId="15E9AE5A" w14:textId="77777777" w:rsidR="00F52C3D" w:rsidRPr="00E77E9D" w:rsidRDefault="00F52C3D" w:rsidP="00F52C3D">
      <w:pPr>
        <w:pStyle w:val="BodyText"/>
      </w:pPr>
      <w:r w:rsidRPr="00E77E9D">
        <w:t>In 2005, Agriculture sector emissions were 42,912.0 kt CO</w:t>
      </w:r>
      <w:r w:rsidRPr="00E77E9D">
        <w:rPr>
          <w:vertAlign w:val="subscript"/>
        </w:rPr>
        <w:t>2</w:t>
      </w:r>
      <w:r w:rsidRPr="00E77E9D">
        <w:t>e. By 2007 emissions had dropped by around 1,300 kt CO</w:t>
      </w:r>
      <w:r w:rsidRPr="00E77E9D">
        <w:rPr>
          <w:vertAlign w:val="subscript"/>
        </w:rPr>
        <w:t>2</w:t>
      </w:r>
      <w:r w:rsidRPr="00E77E9D">
        <w:t>e (3.1 percent below the 2005 value), due to the Global Financial Crisis. By 2008, Agriculture emissions had reduced by another 900 kt CO</w:t>
      </w:r>
      <w:r w:rsidRPr="00E77E9D">
        <w:rPr>
          <w:vertAlign w:val="subscript"/>
        </w:rPr>
        <w:t>2</w:t>
      </w:r>
      <w:r w:rsidRPr="00E77E9D">
        <w:t>e (5.3 percent below the 2005 value), due to the compounding effect of a nationwide drought. In the following years, Agriculture emissions recovered and most recently peaked in 2014 at 42,704.0 kt CO</w:t>
      </w:r>
      <w:r w:rsidRPr="00E77E9D">
        <w:rPr>
          <w:vertAlign w:val="subscript"/>
        </w:rPr>
        <w:t>2</w:t>
      </w:r>
      <w:r w:rsidRPr="00E77E9D">
        <w:t>e (0.5 percent below the 2005 value), corresponding with a peak in overall cattle numbers. In the years 2015 to 2021, Agriculture emissions remained slightly below the 2014 peak. In 2022 and 2023, Agriculture emissions dropped significantly. The 2024 level is 0.3 percent below the 2023 level (see chapter 5, figure 5.1.2).</w:t>
      </w:r>
    </w:p>
    <w:p w14:paraId="40D25FF4" w14:textId="77777777" w:rsidR="00F52C3D" w:rsidRPr="00E77E9D" w:rsidRDefault="00F52C3D" w:rsidP="00F52C3D">
      <w:pPr>
        <w:pStyle w:val="BodyText"/>
      </w:pPr>
      <w:r w:rsidRPr="00E77E9D">
        <w:rPr>
          <w:spacing w:val="-2"/>
        </w:rPr>
        <w:t>The greatest absolute contributions to the decrease since 2005 are a 2,817 kt CO</w:t>
      </w:r>
      <w:r w:rsidRPr="00E77E9D">
        <w:rPr>
          <w:spacing w:val="-2"/>
          <w:vertAlign w:val="subscript"/>
        </w:rPr>
        <w:t>2</w:t>
      </w:r>
      <w:r w:rsidRPr="00E77E9D">
        <w:rPr>
          <w:spacing w:val="-2"/>
        </w:rPr>
        <w:t>e (8.2 percent)</w:t>
      </w:r>
      <w:r w:rsidRPr="00E77E9D">
        <w:t xml:space="preserve"> decrease in emissions from </w:t>
      </w:r>
      <w:r w:rsidRPr="00E77E9D">
        <w:rPr>
          <w:i/>
          <w:iCs/>
        </w:rPr>
        <w:t>Enteric fermentation</w:t>
      </w:r>
      <w:r w:rsidRPr="00E77E9D">
        <w:t>, a 369.8 kt CO</w:t>
      </w:r>
      <w:r w:rsidRPr="00E77E9D">
        <w:rPr>
          <w:vertAlign w:val="subscript"/>
        </w:rPr>
        <w:t>2</w:t>
      </w:r>
      <w:r w:rsidRPr="00E77E9D">
        <w:t xml:space="preserve">e (60.9 percent) decrease in </w:t>
      </w:r>
      <w:r w:rsidRPr="00E77E9D">
        <w:rPr>
          <w:spacing w:val="-2"/>
        </w:rPr>
        <w:t xml:space="preserve">emissions from </w:t>
      </w:r>
      <w:r w:rsidRPr="00E77E9D">
        <w:rPr>
          <w:i/>
          <w:iCs/>
          <w:spacing w:val="-2"/>
        </w:rPr>
        <w:t>Liming</w:t>
      </w:r>
      <w:r w:rsidRPr="00E77E9D">
        <w:rPr>
          <w:spacing w:val="-2"/>
        </w:rPr>
        <w:t>, and a 65.3 kt CO</w:t>
      </w:r>
      <w:r w:rsidRPr="00E77E9D">
        <w:rPr>
          <w:spacing w:val="-2"/>
          <w:vertAlign w:val="subscript"/>
        </w:rPr>
        <w:t>2</w:t>
      </w:r>
      <w:r w:rsidRPr="00E77E9D">
        <w:rPr>
          <w:spacing w:val="-2"/>
        </w:rPr>
        <w:t xml:space="preserve">e (1.1 percent) decrease in emissions from </w:t>
      </w:r>
      <w:r w:rsidRPr="00E77E9D">
        <w:rPr>
          <w:i/>
          <w:iCs/>
          <w:spacing w:val="-2"/>
        </w:rPr>
        <w:t>Agricultura</w:t>
      </w:r>
      <w:r w:rsidRPr="00E77E9D">
        <w:rPr>
          <w:i/>
          <w:iCs/>
        </w:rPr>
        <w:t>l soils</w:t>
      </w:r>
      <w:r w:rsidRPr="00E77E9D">
        <w:t xml:space="preserve"> (see chapter 5, table 5.1.1 and figure 5.1.1).</w:t>
      </w:r>
    </w:p>
    <w:p w14:paraId="61B7E263" w14:textId="77777777" w:rsidR="00F52C3D" w:rsidRPr="00E77E9D" w:rsidRDefault="00F52C3D" w:rsidP="00F52C3D">
      <w:pPr>
        <w:pStyle w:val="BodyText"/>
      </w:pPr>
      <w:r w:rsidRPr="00E77E9D">
        <w:t xml:space="preserve">The decrease in emissions from </w:t>
      </w:r>
      <w:r w:rsidRPr="00E77E9D">
        <w:rPr>
          <w:i/>
          <w:iCs/>
        </w:rPr>
        <w:t>Enteric fermentation</w:t>
      </w:r>
      <w:r w:rsidRPr="00E77E9D">
        <w:t xml:space="preserve"> and </w:t>
      </w:r>
      <w:r w:rsidRPr="00E77E9D">
        <w:rPr>
          <w:i/>
          <w:iCs/>
        </w:rPr>
        <w:t>Agricultural soils</w:t>
      </w:r>
      <w:r w:rsidRPr="00E77E9D">
        <w:t xml:space="preserve"> is primarily a result of decreased livestock populations since 2005.</w:t>
      </w:r>
    </w:p>
    <w:p w14:paraId="6674EC7E" w14:textId="77777777" w:rsidR="00F52C3D" w:rsidRPr="00E77E9D" w:rsidRDefault="00F52C3D" w:rsidP="00F52C3D">
      <w:pPr>
        <w:pStyle w:val="BodyText"/>
      </w:pPr>
      <w:r w:rsidRPr="00E77E9D">
        <w:t>Sheep populations have fallen by 40.9 percent since 2005, resulting in a 38.4 percent decline in </w:t>
      </w:r>
      <w:r w:rsidRPr="00E77E9D">
        <w:rPr>
          <w:i/>
          <w:iCs/>
        </w:rPr>
        <w:t>Enteric fermentation</w:t>
      </w:r>
      <w:r w:rsidRPr="00E77E9D">
        <w:t xml:space="preserve"> emissions (-5,122.6 kt CO</w:t>
      </w:r>
      <w:r w:rsidRPr="00E77E9D">
        <w:rPr>
          <w:vertAlign w:val="subscript"/>
        </w:rPr>
        <w:t>2</w:t>
      </w:r>
      <w:r w:rsidRPr="00E77E9D">
        <w:t xml:space="preserve">e) and a 37.2 percent decline in </w:t>
      </w:r>
      <w:r w:rsidRPr="00E77E9D">
        <w:rPr>
          <w:i/>
          <w:iCs/>
        </w:rPr>
        <w:t>Agricultural soils</w:t>
      </w:r>
      <w:r w:rsidRPr="00E77E9D">
        <w:t xml:space="preserve"> emissions (-411.6 kt CO</w:t>
      </w:r>
      <w:r w:rsidRPr="00E77E9D">
        <w:rPr>
          <w:vertAlign w:val="subscript"/>
        </w:rPr>
        <w:t>2</w:t>
      </w:r>
      <w:r w:rsidRPr="00E77E9D">
        <w:t>e).</w:t>
      </w:r>
    </w:p>
    <w:p w14:paraId="2EA199A2" w14:textId="77777777" w:rsidR="00F52C3D" w:rsidRPr="00E77E9D" w:rsidRDefault="00F52C3D" w:rsidP="00F52C3D">
      <w:pPr>
        <w:pStyle w:val="BodyText"/>
      </w:pPr>
      <w:r w:rsidRPr="00E77E9D">
        <w:t xml:space="preserve">Non-dairy cattle populations have declined by 16.8 percent since 2005, resulting in a 14.7 percent decrease in </w:t>
      </w:r>
      <w:r w:rsidRPr="00E77E9D">
        <w:rPr>
          <w:i/>
          <w:iCs/>
        </w:rPr>
        <w:t>Enteric fermentation</w:t>
      </w:r>
      <w:r w:rsidRPr="00E77E9D">
        <w:t xml:space="preserve"> emissions (1,237.3 kt CO</w:t>
      </w:r>
      <w:r w:rsidRPr="00E77E9D">
        <w:rPr>
          <w:vertAlign w:val="subscript"/>
        </w:rPr>
        <w:t>2</w:t>
      </w:r>
      <w:r w:rsidRPr="00E77E9D">
        <w:t xml:space="preserve">e) and a 13.8 percent decrease in </w:t>
      </w:r>
      <w:r w:rsidRPr="00E77E9D">
        <w:rPr>
          <w:i/>
          <w:iCs/>
        </w:rPr>
        <w:t>Agricultural soils</w:t>
      </w:r>
      <w:r w:rsidRPr="00E77E9D">
        <w:t xml:space="preserve"> emissions (152.6 kt CO</w:t>
      </w:r>
      <w:r w:rsidRPr="00E77E9D">
        <w:rPr>
          <w:vertAlign w:val="subscript"/>
        </w:rPr>
        <w:t>2</w:t>
      </w:r>
      <w:r w:rsidRPr="00E77E9D">
        <w:t>e).</w:t>
      </w:r>
    </w:p>
    <w:p w14:paraId="088F98FF" w14:textId="77777777" w:rsidR="00F52C3D" w:rsidRPr="00E77E9D" w:rsidRDefault="00F52C3D" w:rsidP="00F52C3D">
      <w:pPr>
        <w:pStyle w:val="BodyText"/>
      </w:pPr>
      <w:r w:rsidRPr="00E77E9D">
        <w:t xml:space="preserve">These reductions have been partially offset by increases in emissions from dairy cattle. Dairy cattle populations have increased 14.7 percent, leading to a 34.4 percent increase in </w:t>
      </w:r>
      <w:r w:rsidRPr="00E77E9D">
        <w:rPr>
          <w:i/>
          <w:iCs/>
        </w:rPr>
        <w:t>Enteric fermentation</w:t>
      </w:r>
      <w:r w:rsidRPr="00E77E9D">
        <w:t xml:space="preserve"> emissions (4,035.1 kt CO</w:t>
      </w:r>
      <w:r w:rsidRPr="00E77E9D">
        <w:rPr>
          <w:vertAlign w:val="subscript"/>
        </w:rPr>
        <w:t>2</w:t>
      </w:r>
      <w:r w:rsidRPr="00E77E9D">
        <w:t xml:space="preserve">e) and a 24.0 percent increase in </w:t>
      </w:r>
      <w:r w:rsidRPr="00E77E9D">
        <w:rPr>
          <w:i/>
          <w:iCs/>
        </w:rPr>
        <w:t>Agricultural soils</w:t>
      </w:r>
      <w:r w:rsidRPr="00E77E9D">
        <w:t xml:space="preserve"> emissions (478.2 kt CO</w:t>
      </w:r>
      <w:r w:rsidRPr="00E77E9D">
        <w:rPr>
          <w:vertAlign w:val="subscript"/>
        </w:rPr>
        <w:t>2</w:t>
      </w:r>
      <w:r w:rsidRPr="00E77E9D">
        <w:t xml:space="preserve">e). There has also been a 68.4 percent increase in emissions from dairy cattle </w:t>
      </w:r>
      <w:r w:rsidRPr="00E77E9D">
        <w:rPr>
          <w:i/>
          <w:iCs/>
        </w:rPr>
        <w:t>Manure management</w:t>
      </w:r>
      <w:r w:rsidRPr="00E77E9D">
        <w:t xml:space="preserve"> (588.2 kt CO</w:t>
      </w:r>
      <w:r w:rsidRPr="00E77E9D">
        <w:rPr>
          <w:vertAlign w:val="subscript"/>
        </w:rPr>
        <w:t>2</w:t>
      </w:r>
      <w:r w:rsidRPr="00E77E9D">
        <w:t>e) between 2005 and 2024, due to both the increasing population of dairy cattle and the increased prevalence of anaerobic lagoons as a manure management system rather than pasture.</w:t>
      </w:r>
    </w:p>
    <w:p w14:paraId="07ED2A82" w14:textId="77777777" w:rsidR="00F52C3D" w:rsidRPr="00E77E9D" w:rsidRDefault="00F52C3D" w:rsidP="00F52C3D">
      <w:pPr>
        <w:pStyle w:val="BodyText"/>
      </w:pPr>
      <w:r w:rsidRPr="00E77E9D">
        <w:t>Changes in livestock populations reflect relative profitability across animal sectors, with dairy farming becoming more profitable than sheep or non-dairy cattle farming over the reporting period. In addition, average emissions per dairy cow have increased over time due to higher milk production per animal, heavier liveweights and increased feed intake, which increases emissions per head.</w:t>
      </w:r>
    </w:p>
    <w:p w14:paraId="308475B9" w14:textId="77777777" w:rsidR="00F52C3D" w:rsidRPr="00E77E9D" w:rsidRDefault="00F52C3D" w:rsidP="00F52C3D">
      <w:pPr>
        <w:pStyle w:val="BodyText"/>
      </w:pPr>
      <w:r w:rsidRPr="00E77E9D">
        <w:t xml:space="preserve">The decrease in emissions from </w:t>
      </w:r>
      <w:r w:rsidRPr="00E77E9D">
        <w:rPr>
          <w:i/>
          <w:iCs/>
        </w:rPr>
        <w:t>Liming</w:t>
      </w:r>
      <w:r w:rsidRPr="00E77E9D">
        <w:t xml:space="preserve"> is driven by reduced application of lime and dolomite fertilisers.</w:t>
      </w:r>
    </w:p>
    <w:p w14:paraId="64A51265" w14:textId="77777777" w:rsidR="00F52C3D" w:rsidRPr="00E77E9D" w:rsidRDefault="00F52C3D" w:rsidP="00F52C3D">
      <w:pPr>
        <w:pStyle w:val="Heading4"/>
      </w:pPr>
      <w:r w:rsidRPr="00E77E9D">
        <w:t>1990–2024</w:t>
      </w:r>
    </w:p>
    <w:p w14:paraId="2BBFA4E1" w14:textId="77777777" w:rsidR="00F52C3D" w:rsidRPr="00E77E9D" w:rsidRDefault="00F52C3D" w:rsidP="00F52C3D">
      <w:pPr>
        <w:pStyle w:val="BodyText"/>
        <w:rPr>
          <w:spacing w:val="-2"/>
        </w:rPr>
      </w:pPr>
      <w:r w:rsidRPr="00973D6B">
        <w:t>Between 1990 and 2024, New Zealand’s Agriculture sector emissions had increased by 9.2 percent</w:t>
      </w:r>
      <w:r w:rsidRPr="00E77E9D">
        <w:rPr>
          <w:spacing w:val="-2"/>
        </w:rPr>
        <w:t xml:space="preserve"> (3,398.4 kt CO</w:t>
      </w:r>
      <w:r w:rsidRPr="00E77E9D">
        <w:rPr>
          <w:spacing w:val="-2"/>
          <w:vertAlign w:val="subscript"/>
        </w:rPr>
        <w:t>2</w:t>
      </w:r>
      <w:r w:rsidRPr="00E77E9D">
        <w:rPr>
          <w:spacing w:val="-2"/>
        </w:rPr>
        <w:t>e) (chapter 5, table 5.1.1). The greatest contributions to the increase since 1990 were a 1,667.1 kt CO</w:t>
      </w:r>
      <w:r w:rsidRPr="00E77E9D">
        <w:rPr>
          <w:spacing w:val="-2"/>
          <w:vertAlign w:val="subscript"/>
        </w:rPr>
        <w:t>2</w:t>
      </w:r>
      <w:r w:rsidRPr="00E77E9D">
        <w:rPr>
          <w:spacing w:val="-2"/>
        </w:rPr>
        <w:t xml:space="preserve">e (37.4 percent) increase in emissions from </w:t>
      </w:r>
      <w:r w:rsidRPr="00E77E9D">
        <w:rPr>
          <w:i/>
          <w:iCs/>
          <w:spacing w:val="-2"/>
        </w:rPr>
        <w:t>Agricultural soils</w:t>
      </w:r>
      <w:r w:rsidRPr="00E77E9D">
        <w:rPr>
          <w:spacing w:val="-2"/>
        </w:rPr>
        <w:t>, an 865.9 kt CO</w:t>
      </w:r>
      <w:r w:rsidRPr="00E77E9D">
        <w:rPr>
          <w:spacing w:val="-2"/>
          <w:vertAlign w:val="subscript"/>
        </w:rPr>
        <w:t>2</w:t>
      </w:r>
      <w:r w:rsidRPr="00E77E9D">
        <w:rPr>
          <w:spacing w:val="-2"/>
        </w:rPr>
        <w:t xml:space="preserve">e (101.7 percent) increase in emissions from </w:t>
      </w:r>
      <w:r w:rsidRPr="00E77E9D">
        <w:rPr>
          <w:i/>
          <w:iCs/>
          <w:spacing w:val="-2"/>
        </w:rPr>
        <w:t>Manure management</w:t>
      </w:r>
      <w:r w:rsidRPr="00E77E9D">
        <w:rPr>
          <w:spacing w:val="-2"/>
        </w:rPr>
        <w:t xml:space="preserve"> and a 515.1 kt CO</w:t>
      </w:r>
      <w:r w:rsidRPr="00E77E9D">
        <w:rPr>
          <w:spacing w:val="-2"/>
          <w:vertAlign w:val="subscript"/>
        </w:rPr>
        <w:t>2</w:t>
      </w:r>
      <w:r w:rsidRPr="00E77E9D">
        <w:rPr>
          <w:spacing w:val="-2"/>
        </w:rPr>
        <w:t xml:space="preserve">e (1.7 percent) increase in emissions from </w:t>
      </w:r>
      <w:r w:rsidRPr="00E77E9D">
        <w:rPr>
          <w:i/>
          <w:iCs/>
          <w:spacing w:val="-2"/>
        </w:rPr>
        <w:t>Enteric fermentation</w:t>
      </w:r>
      <w:r w:rsidRPr="00E77E9D">
        <w:rPr>
          <w:spacing w:val="-2"/>
        </w:rPr>
        <w:t xml:space="preserve"> (chapter 5, table 5.1.1 and figure 5.1.1).</w:t>
      </w:r>
    </w:p>
    <w:p w14:paraId="72250CB3" w14:textId="77777777" w:rsidR="00F52C3D" w:rsidRPr="00E77E9D" w:rsidRDefault="00F52C3D" w:rsidP="00F52C3D">
      <w:pPr>
        <w:pStyle w:val="BodyText"/>
      </w:pPr>
      <w:r w:rsidRPr="00E77E9D">
        <w:t>The increase in N</w:t>
      </w:r>
      <w:r w:rsidRPr="00E77E9D">
        <w:rPr>
          <w:vertAlign w:val="subscript"/>
        </w:rPr>
        <w:t>2</w:t>
      </w:r>
      <w:r w:rsidRPr="00E77E9D">
        <w:t xml:space="preserve">O emissions from </w:t>
      </w:r>
      <w:r w:rsidRPr="00E77E9D">
        <w:rPr>
          <w:i/>
          <w:iCs/>
        </w:rPr>
        <w:t>Agricultural soils</w:t>
      </w:r>
      <w:r w:rsidRPr="00E77E9D">
        <w:t xml:space="preserve"> was primarily a result of increased application of synthetic nitrogen fertiliser. This had increased by 553.0 percent since 1990. The increased use of nitrogen fertiliser has been largely driven by the growth and intensification of dairy farming, as well as increased use of nitrogen on other farm types, such as sheep and non dairy cattle. The N</w:t>
      </w:r>
      <w:r w:rsidRPr="00E77E9D">
        <w:rPr>
          <w:vertAlign w:val="subscript"/>
        </w:rPr>
        <w:t>2</w:t>
      </w:r>
      <w:r w:rsidRPr="00E77E9D">
        <w:t>O emissions (direct and indirect) from synthetic nitrogen fertiliser use had increased by 1,000.0 kt CO</w:t>
      </w:r>
      <w:r w:rsidRPr="00E77E9D">
        <w:rPr>
          <w:vertAlign w:val="subscript"/>
        </w:rPr>
        <w:t>2</w:t>
      </w:r>
      <w:r w:rsidRPr="00E77E9D">
        <w:t xml:space="preserve">e between 1990 and 2024. This was 60.0 percent of the total increase in emissions from </w:t>
      </w:r>
      <w:r w:rsidRPr="00E77E9D">
        <w:rPr>
          <w:i/>
          <w:iCs/>
        </w:rPr>
        <w:t>Agricultural soils</w:t>
      </w:r>
      <w:r w:rsidRPr="00E77E9D">
        <w:t>.</w:t>
      </w:r>
    </w:p>
    <w:p w14:paraId="12651B60" w14:textId="77777777" w:rsidR="00F52C3D" w:rsidRPr="00E77E9D" w:rsidRDefault="00F52C3D" w:rsidP="00F52C3D">
      <w:pPr>
        <w:pStyle w:val="BodyText"/>
      </w:pPr>
      <w:r w:rsidRPr="00E77E9D">
        <w:t xml:space="preserve">The increase in emissions from </w:t>
      </w:r>
      <w:r w:rsidRPr="00E77E9D">
        <w:rPr>
          <w:i/>
          <w:iCs/>
        </w:rPr>
        <w:t>Manure management</w:t>
      </w:r>
      <w:r w:rsidRPr="00E77E9D">
        <w:t xml:space="preserve"> and </w:t>
      </w:r>
      <w:r w:rsidRPr="00E77E9D">
        <w:rPr>
          <w:i/>
          <w:iCs/>
        </w:rPr>
        <w:t>Enteric fermentation</w:t>
      </w:r>
      <w:r w:rsidRPr="00E77E9D">
        <w:t xml:space="preserve"> was driven by an increase in dairy cattle numbers. The increase in dairy </w:t>
      </w:r>
      <w:r w:rsidRPr="00E77E9D">
        <w:rPr>
          <w:i/>
          <w:iCs/>
        </w:rPr>
        <w:t>Enteric fermentation</w:t>
      </w:r>
      <w:r w:rsidRPr="00E77E9D">
        <w:t xml:space="preserve"> emissions was partially offset by a decline in sheep numbers and a decrease in non-dairy (beef) cattle. The change in animal populations since 1990 reflects the relative financial returns in each sector. It has become more profitable to farm dairy cattle than non-dairy cattle or sheep in New Zealand over the reporting period.</w:t>
      </w:r>
    </w:p>
    <w:p w14:paraId="4BD7FE87" w14:textId="77777777" w:rsidR="00F52C3D" w:rsidRPr="00E77E9D" w:rsidRDefault="00F52C3D" w:rsidP="00F52C3D">
      <w:pPr>
        <w:pStyle w:val="Heading3"/>
      </w:pPr>
      <w:bookmarkStart w:id="18" w:name="lulucf-chapter-6"/>
      <w:bookmarkEnd w:id="17"/>
      <w:r w:rsidRPr="00E77E9D">
        <w:t>LULUCF (chapter 6)</w:t>
      </w:r>
    </w:p>
    <w:p w14:paraId="384C53EA" w14:textId="77777777" w:rsidR="00F52C3D" w:rsidRPr="00E77E9D" w:rsidRDefault="00F52C3D" w:rsidP="00F52C3D">
      <w:pPr>
        <w:pStyle w:val="Heading4"/>
      </w:pPr>
      <w:r w:rsidRPr="00E77E9D">
        <w:t>2024</w:t>
      </w:r>
    </w:p>
    <w:p w14:paraId="633C0DCD" w14:textId="77777777" w:rsidR="00F52C3D" w:rsidRPr="00E77E9D" w:rsidRDefault="00F52C3D" w:rsidP="00F52C3D">
      <w:pPr>
        <w:pStyle w:val="BodyText"/>
      </w:pPr>
      <w:r w:rsidRPr="00E77E9D">
        <w:t>In 2024, net emissions from the LULUCF sector were -20,977.5 kt CO</w:t>
      </w:r>
      <w:r w:rsidRPr="00E77E9D">
        <w:rPr>
          <w:vertAlign w:val="subscript"/>
        </w:rPr>
        <w:t>2</w:t>
      </w:r>
      <w:r w:rsidRPr="00E77E9D">
        <w:t>e, or 27.7 percent of New Zealand’s gross GHG emissions. This comprises net emissions of -21,217.6 kt CO</w:t>
      </w:r>
      <w:r w:rsidRPr="00E77E9D">
        <w:rPr>
          <w:vertAlign w:val="subscript"/>
        </w:rPr>
        <w:t>2</w:t>
      </w:r>
      <w:r w:rsidRPr="00E77E9D">
        <w:t>, emissions of 49.2 kt CO</w:t>
      </w:r>
      <w:r w:rsidRPr="00E77E9D">
        <w:rPr>
          <w:vertAlign w:val="subscript"/>
        </w:rPr>
        <w:t>2</w:t>
      </w:r>
      <w:r w:rsidRPr="00E77E9D">
        <w:t>e of CH</w:t>
      </w:r>
      <w:r w:rsidRPr="00E77E9D">
        <w:rPr>
          <w:vertAlign w:val="subscript"/>
        </w:rPr>
        <w:t>4</w:t>
      </w:r>
      <w:r w:rsidRPr="00E77E9D">
        <w:t xml:space="preserve"> and 191.0 kt CO</w:t>
      </w:r>
      <w:r w:rsidRPr="00E77E9D">
        <w:rPr>
          <w:vertAlign w:val="subscript"/>
        </w:rPr>
        <w:t>2</w:t>
      </w:r>
      <w:r w:rsidRPr="00E77E9D">
        <w:t>e of N</w:t>
      </w:r>
      <w:r w:rsidRPr="00E77E9D">
        <w:rPr>
          <w:vertAlign w:val="subscript"/>
        </w:rPr>
        <w:t>2</w:t>
      </w:r>
      <w:r w:rsidRPr="00E77E9D">
        <w:t xml:space="preserve">O. The category contributing the most to both removals and emissions is </w:t>
      </w:r>
      <w:r w:rsidRPr="00E77E9D">
        <w:rPr>
          <w:i/>
          <w:iCs/>
        </w:rPr>
        <w:t>Forest land remaining forest land</w:t>
      </w:r>
      <w:r w:rsidRPr="00E77E9D">
        <w:t>. This is because large removals result from the growth of all forests on this land and there are also large emissions from the sustainable harvest of New Zealand’s plantation forests.</w:t>
      </w:r>
    </w:p>
    <w:p w14:paraId="11EA4A7E" w14:textId="77777777" w:rsidR="00F52C3D" w:rsidRPr="00E77E9D" w:rsidRDefault="00F52C3D" w:rsidP="00F52C3D">
      <w:pPr>
        <w:pStyle w:val="BodyText"/>
      </w:pPr>
      <w:r w:rsidRPr="00E77E9D">
        <w:t xml:space="preserve">Emissions in the LULUCF sector are primarily driven by the harvest of production forests, deforestation and the decomposition of organic material following these activities. Removals </w:t>
      </w:r>
      <w:r w:rsidRPr="00E77E9D">
        <w:rPr>
          <w:spacing w:val="-2"/>
        </w:rPr>
        <w:t>are mainly from the sequestration of carbon that occurs due to plant growth and the production</w:t>
      </w:r>
      <w:r w:rsidRPr="00E77E9D">
        <w:t xml:space="preserve"> of wood products from harvested timber. Nitrous oxide can be emitted from the ecosystem as a by-product of nitrification and denitrification, and the burning of organic matter. Other gases released during biomass burning include CH</w:t>
      </w:r>
      <w:r w:rsidRPr="00E77E9D">
        <w:rPr>
          <w:vertAlign w:val="subscript"/>
        </w:rPr>
        <w:t>4</w:t>
      </w:r>
      <w:r w:rsidRPr="00E77E9D">
        <w:t>, carbon monoxide (CO), other oxides of nitrogen (NO</w:t>
      </w:r>
      <w:r w:rsidRPr="00E77E9D">
        <w:rPr>
          <w:vertAlign w:val="subscript"/>
        </w:rPr>
        <w:t>x</w:t>
      </w:r>
      <w:r w:rsidRPr="00E77E9D">
        <w:t>) and non-methane volatile organic compounds (NMVOCs).</w:t>
      </w:r>
    </w:p>
    <w:p w14:paraId="64386F28" w14:textId="77777777" w:rsidR="00F52C3D" w:rsidRPr="00E77E9D" w:rsidRDefault="00F52C3D" w:rsidP="00F52C3D">
      <w:pPr>
        <w:pStyle w:val="Heading4"/>
      </w:pPr>
      <w:r w:rsidRPr="00E77E9D">
        <w:t>2023–2024</w:t>
      </w:r>
    </w:p>
    <w:p w14:paraId="640D31E3" w14:textId="77777777" w:rsidR="00F52C3D" w:rsidRPr="00E77E9D" w:rsidRDefault="00F52C3D" w:rsidP="00F52C3D">
      <w:pPr>
        <w:pStyle w:val="BodyText"/>
      </w:pPr>
      <w:r w:rsidRPr="00E77E9D">
        <w:t>Between 2023 and 2024, net emissions from the LULUCF sector had decreased by 1,011.0 kt CO</w:t>
      </w:r>
      <w:r w:rsidRPr="00E77E9D">
        <w:rPr>
          <w:vertAlign w:val="subscript"/>
        </w:rPr>
        <w:t>2</w:t>
      </w:r>
      <w:r w:rsidRPr="00E77E9D">
        <w:t>e (5.1 percent) (see chapter 6, table 6.1.1).</w:t>
      </w:r>
    </w:p>
    <w:p w14:paraId="693FC1EE" w14:textId="3A5D9BA7" w:rsidR="00F52C3D" w:rsidRPr="00E77E9D" w:rsidRDefault="00F52C3D" w:rsidP="00F52C3D">
      <w:pPr>
        <w:pStyle w:val="BodyText"/>
      </w:pPr>
      <w:r w:rsidRPr="00E77E9D">
        <w:rPr>
          <w:spacing w:val="-2"/>
        </w:rPr>
        <w:t xml:space="preserve">The largest change occurred in the </w:t>
      </w:r>
      <w:r w:rsidRPr="00E77E9D">
        <w:rPr>
          <w:i/>
          <w:iCs/>
          <w:spacing w:val="-2"/>
        </w:rPr>
        <w:t>Grassland</w:t>
      </w:r>
      <w:r w:rsidRPr="00E77E9D">
        <w:rPr>
          <w:spacing w:val="-2"/>
        </w:rPr>
        <w:t xml:space="preserve"> category, with a decrease in emissions of 827.1 kt</w:t>
      </w:r>
      <w:r w:rsidRPr="00E77E9D">
        <w:t xml:space="preserve"> CO</w:t>
      </w:r>
      <w:r w:rsidRPr="00E77E9D">
        <w:rPr>
          <w:vertAlign w:val="subscript"/>
        </w:rPr>
        <w:t>2</w:t>
      </w:r>
      <w:r w:rsidRPr="00E77E9D">
        <w:t xml:space="preserve">e, driven by less deforestation in 2024 compared with 2023 (chapter 6, figure 6.4.4). </w:t>
      </w:r>
      <w:r w:rsidRPr="00E77E9D">
        <w:rPr>
          <w:i/>
          <w:iCs/>
        </w:rPr>
        <w:t>Forest land</w:t>
      </w:r>
      <w:r w:rsidRPr="00E77E9D">
        <w:t xml:space="preserve"> had the second-largest change, with a decrease in net emissions of 701.2 kt CO</w:t>
      </w:r>
      <w:r w:rsidRPr="00E77E9D">
        <w:rPr>
          <w:vertAlign w:val="subscript"/>
        </w:rPr>
        <w:t>2</w:t>
      </w:r>
      <w:r w:rsidRPr="00E77E9D">
        <w:t xml:space="preserve">e. Interannual variation in </w:t>
      </w:r>
      <w:r w:rsidRPr="00E77E9D">
        <w:rPr>
          <w:i/>
          <w:iCs/>
        </w:rPr>
        <w:t>Forest land</w:t>
      </w:r>
      <w:r w:rsidRPr="00E77E9D">
        <w:t xml:space="preserve"> is mainly driven by changes within planted forests. In</w:t>
      </w:r>
      <w:r w:rsidR="00DD3E3B">
        <w:t xml:space="preserve"> </w:t>
      </w:r>
      <w:r w:rsidRPr="00E77E9D">
        <w:rPr>
          <w:i/>
          <w:iCs/>
        </w:rPr>
        <w:t>Forest land remaining forest land</w:t>
      </w:r>
      <w:r w:rsidRPr="00E77E9D">
        <w:t xml:space="preserve">, changes in growth-related removals, harvest emissions and the deadwood carbon pool, increased net emissions between 2023 and 2024. In </w:t>
      </w:r>
      <w:r w:rsidRPr="00E77E9D">
        <w:rPr>
          <w:i/>
          <w:iCs/>
        </w:rPr>
        <w:t>Land converted to forest land</w:t>
      </w:r>
      <w:r w:rsidRPr="00E77E9D">
        <w:t xml:space="preserve">, this increase was offset by a decrease in net emissions due to decreased harvest emissions and an increase in growth-related removals. </w:t>
      </w:r>
      <w:r w:rsidRPr="00E77E9D">
        <w:rPr>
          <w:i/>
          <w:iCs/>
        </w:rPr>
        <w:t>Harvested wood products</w:t>
      </w:r>
      <w:r w:rsidRPr="00E77E9D">
        <w:t xml:space="preserve"> had the third-largest change, with an increase in emissions of 480.5 kt CO</w:t>
      </w:r>
      <w:r w:rsidRPr="00E77E9D">
        <w:rPr>
          <w:vertAlign w:val="subscript"/>
        </w:rPr>
        <w:t>2</w:t>
      </w:r>
      <w:r w:rsidRPr="00E77E9D">
        <w:t>e due to losses from decay being greater than inputs as harvest stabilised between 2023 and 2024.</w:t>
      </w:r>
    </w:p>
    <w:p w14:paraId="4DFFB9F3" w14:textId="77777777" w:rsidR="00F52C3D" w:rsidRPr="00E77E9D" w:rsidRDefault="00F52C3D" w:rsidP="00F52C3D">
      <w:pPr>
        <w:pStyle w:val="Heading4"/>
      </w:pPr>
      <w:r w:rsidRPr="00E77E9D">
        <w:t>2005–2024</w:t>
      </w:r>
    </w:p>
    <w:p w14:paraId="668D8E18" w14:textId="77777777" w:rsidR="00F52C3D" w:rsidRPr="00E77E9D" w:rsidRDefault="00F52C3D" w:rsidP="00F52C3D">
      <w:pPr>
        <w:pStyle w:val="BodyText"/>
      </w:pPr>
      <w:r w:rsidRPr="00E77E9D">
        <w:t>Between 2005 and 2024, net emissions had increased by 2,161.3 kt CO</w:t>
      </w:r>
      <w:r w:rsidRPr="00E77E9D">
        <w:rPr>
          <w:vertAlign w:val="subscript"/>
        </w:rPr>
        <w:t>2</w:t>
      </w:r>
      <w:r w:rsidRPr="00E77E9D">
        <w:t xml:space="preserve">e (9.3 percent) (see chapter 6, table 6.1.2). The largest change occurred in </w:t>
      </w:r>
      <w:r w:rsidRPr="00E77E9D">
        <w:rPr>
          <w:i/>
          <w:iCs/>
        </w:rPr>
        <w:t>Forest land</w:t>
      </w:r>
      <w:r w:rsidRPr="00E77E9D">
        <w:t>, with an increase in net emissions of 14,244.3 kt CO</w:t>
      </w:r>
      <w:r w:rsidRPr="00E77E9D">
        <w:rPr>
          <w:vertAlign w:val="subscript"/>
        </w:rPr>
        <w:t>2</w:t>
      </w:r>
      <w:r w:rsidRPr="00E77E9D">
        <w:t xml:space="preserve">e, because a larger proportion of planted forests were harvested in 2024 compared with 2005 levels (chapter 6, figure 6.4.3). The </w:t>
      </w:r>
      <w:r w:rsidRPr="00E77E9D">
        <w:rPr>
          <w:i/>
          <w:iCs/>
        </w:rPr>
        <w:t>Grassland</w:t>
      </w:r>
      <w:r w:rsidRPr="00E77E9D">
        <w:t xml:space="preserve"> had the second-largest change, with a decrease in emissions of 11,174.7 kt CO</w:t>
      </w:r>
      <w:r w:rsidRPr="00E77E9D">
        <w:rPr>
          <w:vertAlign w:val="subscript"/>
        </w:rPr>
        <w:t>2</w:t>
      </w:r>
      <w:r w:rsidRPr="00E77E9D">
        <w:t xml:space="preserve">e, driven by a reduction in conversions from </w:t>
      </w:r>
      <w:r w:rsidRPr="00E77E9D">
        <w:rPr>
          <w:i/>
          <w:iCs/>
        </w:rPr>
        <w:t xml:space="preserve">Forest land </w:t>
      </w:r>
      <w:r w:rsidRPr="00E77E9D">
        <w:t xml:space="preserve">to </w:t>
      </w:r>
      <w:r w:rsidRPr="00E77E9D">
        <w:rPr>
          <w:i/>
          <w:iCs/>
        </w:rPr>
        <w:t>Grassland</w:t>
      </w:r>
      <w:r w:rsidRPr="00E77E9D">
        <w:t xml:space="preserve">. </w:t>
      </w:r>
      <w:r w:rsidRPr="00E77E9D">
        <w:rPr>
          <w:i/>
          <w:iCs/>
        </w:rPr>
        <w:t>Harvested wood products</w:t>
      </w:r>
      <w:r w:rsidRPr="00E77E9D">
        <w:t xml:space="preserve"> had the third-largest change, with a reduction in emissions of 771.1 kt CO</w:t>
      </w:r>
      <w:r w:rsidRPr="00E77E9D">
        <w:rPr>
          <w:vertAlign w:val="subscript"/>
        </w:rPr>
        <w:t>2</w:t>
      </w:r>
      <w:r w:rsidRPr="00E77E9D">
        <w:t>e. This was driven by an increase in the inputs to the harvested wood products pool following the increased planted forest harvest.</w:t>
      </w:r>
    </w:p>
    <w:p w14:paraId="5F91215C" w14:textId="77777777" w:rsidR="00F52C3D" w:rsidRPr="00E77E9D" w:rsidRDefault="00F52C3D" w:rsidP="00F52C3D">
      <w:pPr>
        <w:pStyle w:val="Heading4"/>
      </w:pPr>
      <w:r w:rsidRPr="00E77E9D">
        <w:t>1990–2024</w:t>
      </w:r>
    </w:p>
    <w:p w14:paraId="5DB99CD0" w14:textId="77777777" w:rsidR="00F52C3D" w:rsidRPr="00E77E9D" w:rsidRDefault="00F52C3D" w:rsidP="00F52C3D">
      <w:pPr>
        <w:pStyle w:val="BodyText"/>
      </w:pPr>
      <w:r w:rsidRPr="00E77E9D">
        <w:t>Between 1990 and 2024, net emissions had increased by 10.1 percent (2,357.0 kt CO</w:t>
      </w:r>
      <w:r w:rsidRPr="00E77E9D">
        <w:rPr>
          <w:vertAlign w:val="subscript"/>
        </w:rPr>
        <w:t>2</w:t>
      </w:r>
      <w:r w:rsidRPr="00E77E9D">
        <w:t>e) (chapter 6, table 6.1.3 and figure 6.1.1).</w:t>
      </w:r>
    </w:p>
    <w:p w14:paraId="34C1C1F6" w14:textId="77777777" w:rsidR="00F52C3D" w:rsidRPr="00E77E9D" w:rsidRDefault="00F52C3D" w:rsidP="00F52C3D">
      <w:pPr>
        <w:pStyle w:val="BodyText"/>
      </w:pPr>
      <w:r w:rsidRPr="00E77E9D">
        <w:t xml:space="preserve">This was largely due to an overall increase in net emissions from </w:t>
      </w:r>
      <w:r w:rsidRPr="00E77E9D">
        <w:rPr>
          <w:i/>
          <w:iCs/>
        </w:rPr>
        <w:t>Forest land</w:t>
      </w:r>
      <w:r w:rsidRPr="00E77E9D">
        <w:t xml:space="preserve"> compared with 1990 levels. The increase in net emissions from </w:t>
      </w:r>
      <w:r w:rsidRPr="00E77E9D">
        <w:rPr>
          <w:i/>
          <w:iCs/>
        </w:rPr>
        <w:t>Forest land</w:t>
      </w:r>
      <w:r w:rsidRPr="00E77E9D">
        <w:t xml:space="preserve"> was driven by relatively high harvest rates (chapter 6, figure 6.4.3), a result of significant afforestation beginning in the 1980s that peaked in the mid-1990s (chapter 6, figure 6.4.1). The planted forests that were established during this period have progressively been reaching harvesting age, so while the total area of forest has increased since 1990, a larger proportion of planted forests were harvested in 2024 compared with 1990 levels. Harvesting and replanting cycles of New Zealand’s planted forests will continue to affect the trajectory of New Zealand’s net emissions in the future, due to their uneven age-class profile. The increase in emissions is compensated for, to some extent, by a reduction in net emissions in </w:t>
      </w:r>
      <w:r w:rsidRPr="00E77E9D">
        <w:rPr>
          <w:i/>
          <w:iCs/>
        </w:rPr>
        <w:t>Harvested wood products</w:t>
      </w:r>
      <w:r w:rsidRPr="00E77E9D">
        <w:t xml:space="preserve">. Carbon losses in </w:t>
      </w:r>
      <w:r w:rsidRPr="00E77E9D">
        <w:rPr>
          <w:i/>
          <w:iCs/>
        </w:rPr>
        <w:t>Forest land</w:t>
      </w:r>
      <w:r w:rsidRPr="00E77E9D">
        <w:t xml:space="preserve"> due to the harvest of timber are transferred to </w:t>
      </w:r>
      <w:r w:rsidRPr="00E77E9D">
        <w:rPr>
          <w:i/>
          <w:iCs/>
        </w:rPr>
        <w:t>Harvested wood products</w:t>
      </w:r>
      <w:r w:rsidRPr="00E77E9D">
        <w:t xml:space="preserve">, where the carbon is treated as a gain and its decay and emissions to the atmosphere are estimated based on product type. The net fluxes in </w:t>
      </w:r>
      <w:r w:rsidRPr="00E77E9D">
        <w:rPr>
          <w:i/>
          <w:iCs/>
        </w:rPr>
        <w:t>Harvested wood products,</w:t>
      </w:r>
      <w:r w:rsidRPr="00E77E9D">
        <w:t xml:space="preserve"> therefore, represent the balance between the inputs transferred into the pool and the outputs leaving the pool from decay or disposal over time.</w:t>
      </w:r>
    </w:p>
    <w:p w14:paraId="083AD183" w14:textId="77777777" w:rsidR="00F52C3D" w:rsidRPr="00E77E9D" w:rsidRDefault="00F52C3D" w:rsidP="00F52C3D">
      <w:pPr>
        <w:pStyle w:val="BodyText"/>
      </w:pPr>
      <w:r w:rsidRPr="00E77E9D">
        <w:t xml:space="preserve">Net emissions in the LULUCF sector have been generally increasing over the past decade. The fluctuations in net emissions from the LULUCF sector observed since 1990 (see figure ES 3.1) were primarily influenced by afforestation, harvesting and deforestation rates. </w:t>
      </w:r>
    </w:p>
    <w:p w14:paraId="53844B95" w14:textId="77777777" w:rsidR="00F52C3D" w:rsidRPr="00E77E9D" w:rsidRDefault="00F52C3D" w:rsidP="00B94D6F">
      <w:pPr>
        <w:pStyle w:val="BodyText"/>
      </w:pPr>
      <w:r w:rsidRPr="00E77E9D">
        <w:t xml:space="preserve">Afforestation and </w:t>
      </w:r>
      <w:r w:rsidRPr="00B94D6F">
        <w:t>deforestation</w:t>
      </w:r>
      <w:r w:rsidRPr="00E77E9D">
        <w:t xml:space="preserve"> rates were driven by the profitability of forestry, relative to alternative land uses, and policy impacts.</w:t>
      </w:r>
    </w:p>
    <w:p w14:paraId="1554676D" w14:textId="77777777" w:rsidR="00F52C3D" w:rsidRPr="00E77E9D" w:rsidRDefault="00F52C3D" w:rsidP="00F52C3D">
      <w:pPr>
        <w:pStyle w:val="BodyText"/>
      </w:pPr>
      <w:r w:rsidRPr="00E77E9D">
        <w:t>Harvesting rates are driven by several factors, particularly forest age and log prices. Current harvest rates are at near historically high levels due to the significant land-use changes to forest land that occurred from the 1980s and into the early 1990s.</w:t>
      </w:r>
    </w:p>
    <w:p w14:paraId="62108155" w14:textId="77777777" w:rsidR="00F52C3D" w:rsidRPr="00E77E9D" w:rsidRDefault="00F52C3D" w:rsidP="00F52C3D">
      <w:pPr>
        <w:pStyle w:val="Heading3"/>
      </w:pPr>
      <w:bookmarkStart w:id="19" w:name="waste-chapter-7"/>
      <w:bookmarkEnd w:id="18"/>
      <w:r w:rsidRPr="00E77E9D">
        <w:t>Waste (chapter 7)</w:t>
      </w:r>
    </w:p>
    <w:p w14:paraId="2E3E97AF" w14:textId="77777777" w:rsidR="00F52C3D" w:rsidRPr="00E77E9D" w:rsidRDefault="00F52C3D" w:rsidP="00F52C3D">
      <w:pPr>
        <w:pStyle w:val="Heading4"/>
      </w:pPr>
      <w:r w:rsidRPr="00E77E9D">
        <w:t>2024</w:t>
      </w:r>
    </w:p>
    <w:p w14:paraId="324DED71" w14:textId="77777777" w:rsidR="00F52C3D" w:rsidRPr="00E77E9D" w:rsidRDefault="00F52C3D" w:rsidP="00F52C3D">
      <w:pPr>
        <w:pStyle w:val="BodyText"/>
      </w:pPr>
      <w:r w:rsidRPr="00E77E9D">
        <w:t>In 2024, emissions from the Waste sector contributed 3,009.1 kt CO</w:t>
      </w:r>
      <w:r w:rsidRPr="00E77E9D">
        <w:rPr>
          <w:vertAlign w:val="subscript"/>
        </w:rPr>
        <w:t>2</w:t>
      </w:r>
      <w:r w:rsidRPr="00E77E9D">
        <w:t xml:space="preserve">e or 4.0 percent of New Zealand’s gross GHG emissions. The largest source category is </w:t>
      </w:r>
      <w:r w:rsidRPr="00E77E9D">
        <w:rPr>
          <w:i/>
          <w:iCs/>
        </w:rPr>
        <w:t>Solid waste disposal</w:t>
      </w:r>
      <w:r w:rsidRPr="00E77E9D">
        <w:t>, as shown in chapter 7, table 7.1.1.</w:t>
      </w:r>
    </w:p>
    <w:p w14:paraId="729ACBDC" w14:textId="77777777" w:rsidR="00F52C3D" w:rsidRPr="00E77E9D" w:rsidRDefault="00F52C3D" w:rsidP="00F52C3D">
      <w:pPr>
        <w:pStyle w:val="Heading4"/>
      </w:pPr>
      <w:r w:rsidRPr="00E77E9D">
        <w:t>2023–2024</w:t>
      </w:r>
    </w:p>
    <w:p w14:paraId="378B9F86" w14:textId="77777777" w:rsidR="00F52C3D" w:rsidRPr="00E77E9D" w:rsidRDefault="00F52C3D" w:rsidP="00F52C3D">
      <w:pPr>
        <w:pStyle w:val="BodyText"/>
      </w:pPr>
      <w:r w:rsidRPr="00E77E9D">
        <w:t>Between 2023 and 2024, emissions from the Waste sector decreased by 0.5 percent (14.1 kt CO</w:t>
      </w:r>
      <w:r w:rsidRPr="00E77E9D">
        <w:rPr>
          <w:vertAlign w:val="subscript"/>
        </w:rPr>
        <w:t>2</w:t>
      </w:r>
      <w:r w:rsidRPr="00E77E9D">
        <w:t>e), mainly due to lower CH</w:t>
      </w:r>
      <w:r w:rsidRPr="00E77E9D">
        <w:rPr>
          <w:vertAlign w:val="subscript"/>
        </w:rPr>
        <w:t>4</w:t>
      </w:r>
      <w:r w:rsidRPr="00E77E9D">
        <w:t xml:space="preserve"> emissions from the </w:t>
      </w:r>
      <w:r w:rsidRPr="00E77E9D">
        <w:rPr>
          <w:i/>
          <w:iCs/>
        </w:rPr>
        <w:t>Managed waste disposal sites</w:t>
      </w:r>
      <w:r w:rsidRPr="00E77E9D">
        <w:t xml:space="preserve"> category. This was driven by improved LFG capture and changes in waste composition, including reduced garden, food and paper waste. </w:t>
      </w:r>
    </w:p>
    <w:p w14:paraId="0273A10A" w14:textId="77777777" w:rsidR="00F52C3D" w:rsidRPr="00E77E9D" w:rsidRDefault="00F52C3D" w:rsidP="00F52C3D">
      <w:pPr>
        <w:pStyle w:val="Heading4"/>
      </w:pPr>
      <w:r w:rsidRPr="00E77E9D">
        <w:t>2005–2024</w:t>
      </w:r>
    </w:p>
    <w:p w14:paraId="28F5A971" w14:textId="77777777" w:rsidR="00F52C3D" w:rsidRPr="00E77E9D" w:rsidRDefault="00F52C3D" w:rsidP="00F52C3D">
      <w:pPr>
        <w:pStyle w:val="BodyText"/>
      </w:pPr>
      <w:r w:rsidRPr="00E77E9D">
        <w:t>Between 2005 and 2024, emissions from the Waste sector had decreased by 20.9 percent (795.8 kt CO</w:t>
      </w:r>
      <w:r w:rsidRPr="00E77E9D">
        <w:rPr>
          <w:vertAlign w:val="subscript"/>
        </w:rPr>
        <w:t>2</w:t>
      </w:r>
      <w:r w:rsidRPr="00E77E9D">
        <w:t>e). This sustained reduction in CH</w:t>
      </w:r>
      <w:r w:rsidRPr="00E77E9D">
        <w:rPr>
          <w:vertAlign w:val="subscript"/>
        </w:rPr>
        <w:t>4</w:t>
      </w:r>
      <w:r w:rsidRPr="00E77E9D">
        <w:t xml:space="preserve"> emissions reflects the implementation of improved management practices, such as LFG capture, along with a substantial decrease in the amount of organic waste sent to landfills.</w:t>
      </w:r>
    </w:p>
    <w:p w14:paraId="73721F5A" w14:textId="77777777" w:rsidR="00F52C3D" w:rsidRPr="00E77E9D" w:rsidRDefault="00F52C3D" w:rsidP="00F52C3D">
      <w:pPr>
        <w:pStyle w:val="Heading4"/>
      </w:pPr>
      <w:r w:rsidRPr="00E77E9D">
        <w:t>1990–2024</w:t>
      </w:r>
    </w:p>
    <w:p w14:paraId="7C29C597" w14:textId="77777777" w:rsidR="00F52C3D" w:rsidRPr="00E77E9D" w:rsidRDefault="00F52C3D" w:rsidP="00F52C3D">
      <w:pPr>
        <w:pStyle w:val="BodyText"/>
      </w:pPr>
      <w:r w:rsidRPr="00E77E9D">
        <w:t>Between 1990 and 2024, emissions from the Waste sector had decreased by 9.6 percent (319.4 kt CO</w:t>
      </w:r>
      <w:r w:rsidRPr="00E77E9D">
        <w:rPr>
          <w:vertAlign w:val="subscript"/>
        </w:rPr>
        <w:t>2</w:t>
      </w:r>
      <w:r w:rsidRPr="00E77E9D">
        <w:t>e).</w:t>
      </w:r>
    </w:p>
    <w:p w14:paraId="698E2278" w14:textId="77777777" w:rsidR="00F52C3D" w:rsidRPr="00E77E9D" w:rsidRDefault="00F52C3D" w:rsidP="00F52C3D">
      <w:pPr>
        <w:pStyle w:val="BodyText"/>
      </w:pPr>
      <w:r w:rsidRPr="00E77E9D">
        <w:t>Annual emissions peaked at 3,871.6 kt CO</w:t>
      </w:r>
      <w:r w:rsidRPr="00E77E9D">
        <w:rPr>
          <w:vertAlign w:val="subscript"/>
        </w:rPr>
        <w:t>2</w:t>
      </w:r>
      <w:r w:rsidRPr="00E77E9D">
        <w:t>e in 2002 and have generally declined since then. While population growth and increased economic activity since 1990 have driven an overall rise in the volumes of solid waste and wastewater throughout the time series, ongoing improvements in managed waste disposal sites have contributed to a downward pattern in total Waste sector emissions since 2005. This reduction was primarily attributable to increased CH</w:t>
      </w:r>
      <w:r w:rsidRPr="00E77E9D">
        <w:rPr>
          <w:vertAlign w:val="subscript"/>
        </w:rPr>
        <w:t>4</w:t>
      </w:r>
      <w:r w:rsidRPr="00E77E9D">
        <w:t xml:space="preserve"> recovery through the installation of LFG capture systems, supported by the introduction of National Environmental Standards for Air Quality in 2004 and the inclusion of the Waste sector in the New Zealand Emissions Trading Scheme in 2013. These legislative tools have been complemented by local government efforts to improve kerbside collections, including for organic waste, across the country, and by a central government waste work programme that includes product stewardship, plastic phase-outs and investment in resource recovery infrastructure for organic materials.</w:t>
      </w:r>
    </w:p>
    <w:p w14:paraId="0CCD5619" w14:textId="77777777" w:rsidR="00F52C3D" w:rsidRPr="00E77E9D" w:rsidRDefault="00F52C3D" w:rsidP="00F52C3D">
      <w:pPr>
        <w:pStyle w:val="BodyText"/>
      </w:pPr>
      <w:r w:rsidRPr="00E77E9D">
        <w:t>Trends in annual Waste sector emissions are shown in figure ES 3.1.</w:t>
      </w:r>
    </w:p>
    <w:p w14:paraId="3C6CC444" w14:textId="77777777" w:rsidR="00F52C3D" w:rsidRPr="00E77E9D" w:rsidRDefault="00F52C3D" w:rsidP="00F52C3D">
      <w:pPr>
        <w:pStyle w:val="Heading3"/>
      </w:pPr>
      <w:bookmarkStart w:id="20" w:name="other-tokelau-chapter-8"/>
      <w:bookmarkEnd w:id="19"/>
      <w:r w:rsidRPr="00E77E9D">
        <w:t>Other (Tokelau – chapter 8)</w:t>
      </w:r>
    </w:p>
    <w:p w14:paraId="33B22D9C" w14:textId="77777777" w:rsidR="00F52C3D" w:rsidRPr="00E77E9D" w:rsidRDefault="00F52C3D" w:rsidP="00F52C3D">
      <w:pPr>
        <w:pStyle w:val="BodyText"/>
        <w:spacing w:before="100" w:after="100"/>
      </w:pPr>
      <w:r w:rsidRPr="00E77E9D">
        <w:t xml:space="preserve">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Inventory. </w:t>
      </w:r>
    </w:p>
    <w:p w14:paraId="558C8965" w14:textId="77777777" w:rsidR="00F52C3D" w:rsidRPr="00E77E9D" w:rsidRDefault="00F52C3D" w:rsidP="00F52C3D">
      <w:pPr>
        <w:pStyle w:val="Heading4"/>
      </w:pPr>
      <w:r w:rsidRPr="00E77E9D">
        <w:t>2024</w:t>
      </w:r>
    </w:p>
    <w:p w14:paraId="0B7FCBB9" w14:textId="77777777" w:rsidR="00F52C3D" w:rsidRPr="00E77E9D" w:rsidRDefault="00F52C3D" w:rsidP="00F52C3D">
      <w:pPr>
        <w:pStyle w:val="BodyText"/>
        <w:spacing w:after="100"/>
      </w:pPr>
      <w:r w:rsidRPr="00E77E9D">
        <w:t>In 2024, emissions from Tokelau contributed 0.006 percent (4.21 kt CO</w:t>
      </w:r>
      <w:r w:rsidRPr="00E77E9D">
        <w:rPr>
          <w:vertAlign w:val="subscript"/>
        </w:rPr>
        <w:t>2</w:t>
      </w:r>
      <w:r w:rsidRPr="00E77E9D">
        <w:t>e) to New Zealand’s gross emissions.</w:t>
      </w:r>
    </w:p>
    <w:p w14:paraId="40B73E7D" w14:textId="77777777" w:rsidR="00F52C3D" w:rsidRPr="00E77E9D" w:rsidRDefault="00F52C3D" w:rsidP="00F52C3D">
      <w:pPr>
        <w:pStyle w:val="BodyText"/>
        <w:spacing w:after="100"/>
      </w:pPr>
      <w:r w:rsidRPr="00E77E9D">
        <w:t xml:space="preserve">The largest source category was </w:t>
      </w:r>
      <w:r w:rsidRPr="00E77E9D">
        <w:rPr>
          <w:i/>
          <w:iCs/>
        </w:rPr>
        <w:t>Domestic navigation</w:t>
      </w:r>
      <w:r w:rsidRPr="00E77E9D">
        <w:t xml:space="preserve"> (emissions from marine vessels within </w:t>
      </w:r>
      <w:r w:rsidRPr="00E77E9D">
        <w:rPr>
          <w:spacing w:val="-2"/>
        </w:rPr>
        <w:t>Tokelau), which contributed 63.2 percent (1.43 kt CO</w:t>
      </w:r>
      <w:r w:rsidRPr="00E77E9D">
        <w:rPr>
          <w:spacing w:val="-2"/>
          <w:vertAlign w:val="subscript"/>
        </w:rPr>
        <w:t>2</w:t>
      </w:r>
      <w:r w:rsidRPr="00E77E9D">
        <w:rPr>
          <w:spacing w:val="-2"/>
        </w:rPr>
        <w:t>e) of all energy emissions and 34.1 percent</w:t>
      </w:r>
      <w:r w:rsidRPr="00E77E9D">
        <w:t xml:space="preserve"> of gross emissions from Tokelau.</w:t>
      </w:r>
    </w:p>
    <w:p w14:paraId="50E529C9" w14:textId="77777777" w:rsidR="00F52C3D" w:rsidRPr="00E77E9D" w:rsidRDefault="00F52C3D" w:rsidP="00F52C3D">
      <w:pPr>
        <w:pStyle w:val="BodyText"/>
        <w:spacing w:after="100"/>
      </w:pPr>
      <w:r w:rsidRPr="00E77E9D">
        <w:t>Carbon dioxide dominated emissions from Tokelau, contributing 54.5 percent (2.29 kt CO</w:t>
      </w:r>
      <w:r w:rsidRPr="00E77E9D">
        <w:rPr>
          <w:vertAlign w:val="subscript"/>
        </w:rPr>
        <w:t>2</w:t>
      </w:r>
      <w:r w:rsidRPr="00E77E9D">
        <w:t>e) of its total emissions in 2024. At 2.25 kt CO</w:t>
      </w:r>
      <w:r w:rsidRPr="00E77E9D">
        <w:rPr>
          <w:vertAlign w:val="subscript"/>
        </w:rPr>
        <w:t>2</w:t>
      </w:r>
      <w:r w:rsidRPr="00E77E9D">
        <w:t>, the Energy sector contributed 98.3 percent of total CO</w:t>
      </w:r>
      <w:r w:rsidRPr="00E77E9D">
        <w:rPr>
          <w:vertAlign w:val="subscript"/>
        </w:rPr>
        <w:t>2</w:t>
      </w:r>
      <w:r w:rsidRPr="00E77E9D">
        <w:t xml:space="preserve"> emissions, mostly from </w:t>
      </w:r>
      <w:r w:rsidRPr="00E77E9D">
        <w:rPr>
          <w:i/>
          <w:iCs/>
        </w:rPr>
        <w:t>Domestic navigation,</w:t>
      </w:r>
      <w:r w:rsidRPr="00E77E9D">
        <w:t xml:space="preserve"> with the remaining 1.7 percent (0.04 kt) coming from </w:t>
      </w:r>
      <w:r w:rsidRPr="00E77E9D">
        <w:rPr>
          <w:i/>
          <w:iCs/>
        </w:rPr>
        <w:t>Open burning of waste</w:t>
      </w:r>
      <w:r w:rsidRPr="00E77E9D">
        <w:t xml:space="preserve"> in the Waste sector.</w:t>
      </w:r>
    </w:p>
    <w:p w14:paraId="0280DED6" w14:textId="77777777" w:rsidR="00F52C3D" w:rsidRPr="00E77E9D" w:rsidRDefault="00F52C3D" w:rsidP="00F52C3D">
      <w:pPr>
        <w:pStyle w:val="BodyText"/>
        <w:spacing w:after="100"/>
      </w:pPr>
      <w:r w:rsidRPr="00E77E9D">
        <w:t>Methane emissions contributed 39.3 percent (1.66 kt CO</w:t>
      </w:r>
      <w:r w:rsidRPr="00E77E9D">
        <w:rPr>
          <w:vertAlign w:val="subscript"/>
        </w:rPr>
        <w:t>2</w:t>
      </w:r>
      <w:r w:rsidRPr="00E77E9D">
        <w:t>e) to the total emissions from Tokelau. The Agriculture sector in Tokelau contributed 55.8 percent of CH</w:t>
      </w:r>
      <w:r w:rsidRPr="00E77E9D">
        <w:rPr>
          <w:vertAlign w:val="subscript"/>
        </w:rPr>
        <w:t>4</w:t>
      </w:r>
      <w:r w:rsidRPr="00E77E9D">
        <w:t xml:space="preserve"> emissions (0.92 kt CO</w:t>
      </w:r>
      <w:r w:rsidRPr="00E77E9D">
        <w:rPr>
          <w:vertAlign w:val="subscript"/>
        </w:rPr>
        <w:t>2</w:t>
      </w:r>
      <w:r w:rsidRPr="00E77E9D">
        <w:t xml:space="preserve">e), which mostly came from </w:t>
      </w:r>
      <w:r w:rsidRPr="00E77E9D">
        <w:rPr>
          <w:i/>
          <w:iCs/>
        </w:rPr>
        <w:t>Manure management</w:t>
      </w:r>
      <w:r w:rsidRPr="00E77E9D">
        <w:t>. A significant portion of CH</w:t>
      </w:r>
      <w:r w:rsidRPr="00E77E9D">
        <w:rPr>
          <w:vertAlign w:val="subscript"/>
        </w:rPr>
        <w:t>4</w:t>
      </w:r>
      <w:r w:rsidRPr="00E77E9D">
        <w:t xml:space="preserve"> emissions, 43.9 percent (0.73 kt CO</w:t>
      </w:r>
      <w:r w:rsidRPr="00E77E9D">
        <w:rPr>
          <w:vertAlign w:val="subscript"/>
        </w:rPr>
        <w:t>2</w:t>
      </w:r>
      <w:r w:rsidRPr="00E77E9D">
        <w:t xml:space="preserve">e), came from the Waste sector, largely from </w:t>
      </w:r>
      <w:r w:rsidRPr="00E77E9D">
        <w:rPr>
          <w:i/>
          <w:iCs/>
        </w:rPr>
        <w:t>Solid waste disposal</w:t>
      </w:r>
      <w:r w:rsidRPr="00E77E9D">
        <w:t>. The Energy sector contributed the remaining 0.4 percent of CH</w:t>
      </w:r>
      <w:r w:rsidRPr="00E77E9D">
        <w:rPr>
          <w:vertAlign w:val="subscript"/>
        </w:rPr>
        <w:t>4</w:t>
      </w:r>
      <w:r w:rsidRPr="00E77E9D">
        <w:t xml:space="preserve"> emissions (0.01 kt CO</w:t>
      </w:r>
      <w:r w:rsidRPr="00E77E9D">
        <w:rPr>
          <w:vertAlign w:val="subscript"/>
        </w:rPr>
        <w:t>2</w:t>
      </w:r>
      <w:r w:rsidRPr="00E77E9D">
        <w:t xml:space="preserve">e), which mostly came from </w:t>
      </w:r>
      <w:r w:rsidRPr="00E77E9D">
        <w:rPr>
          <w:i/>
          <w:iCs/>
        </w:rPr>
        <w:t>Domestic navigation</w:t>
      </w:r>
      <w:r w:rsidRPr="00E77E9D">
        <w:t>.</w:t>
      </w:r>
    </w:p>
    <w:p w14:paraId="24F170EA" w14:textId="77777777" w:rsidR="00F52C3D" w:rsidRPr="00E77E9D" w:rsidRDefault="00F52C3D" w:rsidP="00F52C3D">
      <w:pPr>
        <w:pStyle w:val="BodyText"/>
        <w:spacing w:after="100"/>
      </w:pPr>
      <w:r w:rsidRPr="00E77E9D">
        <w:t>Nitrous oxide emissions contributed 1.2 percent (0.05 kt CO</w:t>
      </w:r>
      <w:r w:rsidRPr="00E77E9D">
        <w:rPr>
          <w:vertAlign w:val="subscript"/>
        </w:rPr>
        <w:t>2</w:t>
      </w:r>
      <w:r w:rsidRPr="00E77E9D">
        <w:t>e) to the total emissions from Tokelau. The IPPU sector (</w:t>
      </w:r>
      <w:r w:rsidRPr="00E77E9D">
        <w:rPr>
          <w:i/>
          <w:iCs/>
        </w:rPr>
        <w:t>Medical applications</w:t>
      </w:r>
      <w:r w:rsidRPr="00E77E9D">
        <w:t>) contributed the largest amount of N</w:t>
      </w:r>
      <w:r w:rsidRPr="00E77E9D">
        <w:rPr>
          <w:vertAlign w:val="subscript"/>
        </w:rPr>
        <w:t>2</w:t>
      </w:r>
      <w:r w:rsidRPr="00E77E9D">
        <w:t>O, 55.7 percent (0.03 kt CO</w:t>
      </w:r>
      <w:r w:rsidRPr="00E77E9D">
        <w:rPr>
          <w:vertAlign w:val="subscript"/>
        </w:rPr>
        <w:t>2</w:t>
      </w:r>
      <w:r w:rsidRPr="00E77E9D">
        <w:t>e) of the total N</w:t>
      </w:r>
      <w:r w:rsidRPr="00E77E9D">
        <w:rPr>
          <w:vertAlign w:val="subscript"/>
        </w:rPr>
        <w:t>2</w:t>
      </w:r>
      <w:r w:rsidRPr="00E77E9D">
        <w:t>O. The Energy sector contributed a further 24.1 percent (0.01 kt CO</w:t>
      </w:r>
      <w:r w:rsidRPr="00E77E9D">
        <w:rPr>
          <w:vertAlign w:val="subscript"/>
        </w:rPr>
        <w:t>2</w:t>
      </w:r>
      <w:r w:rsidRPr="00E77E9D">
        <w:t xml:space="preserve">e), which comes largely from </w:t>
      </w:r>
      <w:r w:rsidRPr="00E77E9D">
        <w:rPr>
          <w:i/>
          <w:iCs/>
        </w:rPr>
        <w:t>Domestic navigation</w:t>
      </w:r>
      <w:r w:rsidRPr="00E77E9D">
        <w:t>. The Waste sector contributed the remaining 20.2 percent of N</w:t>
      </w:r>
      <w:r w:rsidRPr="00E77E9D">
        <w:rPr>
          <w:vertAlign w:val="subscript"/>
        </w:rPr>
        <w:t>2</w:t>
      </w:r>
      <w:r w:rsidRPr="00E77E9D">
        <w:t>O (0.01 kt CO</w:t>
      </w:r>
      <w:r w:rsidRPr="00E77E9D">
        <w:rPr>
          <w:vertAlign w:val="subscript"/>
        </w:rPr>
        <w:t>2</w:t>
      </w:r>
      <w:r w:rsidRPr="00E77E9D">
        <w:t xml:space="preserve">e) from </w:t>
      </w:r>
      <w:r w:rsidRPr="00E77E9D">
        <w:rPr>
          <w:i/>
          <w:iCs/>
        </w:rPr>
        <w:t>Open burning of waste</w:t>
      </w:r>
      <w:r w:rsidRPr="00E77E9D">
        <w:t>.</w:t>
      </w:r>
    </w:p>
    <w:p w14:paraId="5D858B30" w14:textId="77777777" w:rsidR="00F52C3D" w:rsidRPr="00E77E9D" w:rsidRDefault="00F52C3D" w:rsidP="00F52C3D">
      <w:pPr>
        <w:pStyle w:val="BodyText"/>
        <w:spacing w:after="100"/>
      </w:pPr>
      <w:r w:rsidRPr="00E77E9D">
        <w:t>Emissions of fluorinated gases from Tokelau consisted of HFC emissions only, contributing 5.0 percent (0.21 kt CO</w:t>
      </w:r>
      <w:r w:rsidRPr="00E77E9D">
        <w:rPr>
          <w:vertAlign w:val="subscript"/>
        </w:rPr>
        <w:t>2</w:t>
      </w:r>
      <w:r w:rsidRPr="00E77E9D">
        <w:t xml:space="preserve">e) to the total emissions from Tokelau. These emissions largely result from the use of </w:t>
      </w:r>
      <w:r w:rsidRPr="00E77E9D">
        <w:rPr>
          <w:i/>
          <w:iCs/>
        </w:rPr>
        <w:t>Stationary air conditioning</w:t>
      </w:r>
      <w:r w:rsidRPr="00E77E9D">
        <w:t>. Emissions of PFCs, NF</w:t>
      </w:r>
      <w:r w:rsidRPr="00E77E9D">
        <w:rPr>
          <w:vertAlign w:val="subscript"/>
        </w:rPr>
        <w:t>3</w:t>
      </w:r>
      <w:r w:rsidRPr="00E77E9D">
        <w:t xml:space="preserve"> and SF</w:t>
      </w:r>
      <w:r w:rsidRPr="00E77E9D">
        <w:rPr>
          <w:vertAlign w:val="subscript"/>
        </w:rPr>
        <w:t>6</w:t>
      </w:r>
      <w:r w:rsidRPr="00E77E9D">
        <w:t xml:space="preserve"> do not occur in Tokelau.</w:t>
      </w:r>
    </w:p>
    <w:p w14:paraId="67399A89" w14:textId="77777777" w:rsidR="00F52C3D" w:rsidRPr="00E77E9D" w:rsidRDefault="00F52C3D" w:rsidP="007D4D8C">
      <w:pPr>
        <w:pStyle w:val="Heading4"/>
        <w:spacing w:before="180"/>
      </w:pPr>
      <w:r w:rsidRPr="00E77E9D">
        <w:t>2023–2024</w:t>
      </w:r>
    </w:p>
    <w:p w14:paraId="27EA5B67" w14:textId="77777777" w:rsidR="00F52C3D" w:rsidRPr="00E77E9D" w:rsidRDefault="00F52C3D" w:rsidP="007D4D8C">
      <w:pPr>
        <w:pStyle w:val="BodyText"/>
        <w:spacing w:before="100" w:after="100"/>
      </w:pPr>
      <w:r w:rsidRPr="00E77E9D">
        <w:t>Between 2023 and 2024, emissions from Tokelau had increased by 0.01 percent (0.0006 kt CO</w:t>
      </w:r>
      <w:r w:rsidRPr="00E77E9D">
        <w:rPr>
          <w:vertAlign w:val="subscript"/>
        </w:rPr>
        <w:t>2</w:t>
      </w:r>
      <w:r w:rsidRPr="00E77E9D">
        <w:t xml:space="preserve">e). Emissions for 2024 were reported as largely unchanged from 2023, due to insufficient quantitative activity data available for the 2024 reporting year. Anecdotal evidence suggests that diesel fuel consumption patterns were similar across these years for energy generation in the </w:t>
      </w:r>
      <w:r w:rsidRPr="00E77E9D">
        <w:rPr>
          <w:i/>
          <w:iCs/>
        </w:rPr>
        <w:t>Energy industries – Public electricity and heat production</w:t>
      </w:r>
      <w:r w:rsidRPr="00E77E9D">
        <w:t xml:space="preserve"> category.</w:t>
      </w:r>
    </w:p>
    <w:p w14:paraId="64C14BE4" w14:textId="77777777" w:rsidR="00F52C3D" w:rsidRPr="00E77E9D" w:rsidRDefault="00F52C3D" w:rsidP="007D4D8C">
      <w:pPr>
        <w:pStyle w:val="BodyText"/>
        <w:spacing w:before="100" w:after="100"/>
      </w:pPr>
      <w:r w:rsidRPr="00E77E9D">
        <w:t>While the activity data between these years were unchanged for all categories, the increase in emissions was the result of CH</w:t>
      </w:r>
      <w:r w:rsidRPr="00E77E9D">
        <w:rPr>
          <w:vertAlign w:val="subscript"/>
        </w:rPr>
        <w:t>4</w:t>
      </w:r>
      <w:r w:rsidRPr="00E77E9D">
        <w:t xml:space="preserve"> emissions from </w:t>
      </w:r>
      <w:r w:rsidRPr="00E77E9D">
        <w:rPr>
          <w:i/>
          <w:iCs/>
        </w:rPr>
        <w:t>Solid waste disposal</w:t>
      </w:r>
      <w:r w:rsidRPr="00E77E9D">
        <w:t xml:space="preserve">. Emissions from </w:t>
      </w:r>
      <w:r w:rsidRPr="00E77E9D">
        <w:rPr>
          <w:i/>
          <w:iCs/>
        </w:rPr>
        <w:t>Solid waste disposal</w:t>
      </w:r>
      <w:r w:rsidRPr="00E77E9D">
        <w:t xml:space="preserve"> are calculated using a first order decay model outlined in volume 5 of the 2006 IPCC Guidelines for National Greenhouse Gas Inventories (IPCC, 2006b) which reflects how buried waste breaks down slowly over time. This means the emissions in any given year depend on the waste disposed in all previous years rather than the waste disposed this year. As a result, emissions change even when the activity data have not changed.</w:t>
      </w:r>
    </w:p>
    <w:p w14:paraId="668962FC" w14:textId="77777777" w:rsidR="00F52C3D" w:rsidRPr="00E77E9D" w:rsidRDefault="00F52C3D" w:rsidP="007D4D8C">
      <w:pPr>
        <w:pStyle w:val="Heading4"/>
        <w:spacing w:before="180"/>
      </w:pPr>
      <w:r w:rsidRPr="00E77E9D">
        <w:t>2005–2024</w:t>
      </w:r>
    </w:p>
    <w:p w14:paraId="3FA752BC" w14:textId="77777777" w:rsidR="00F52C3D" w:rsidRPr="00E77E9D" w:rsidRDefault="00F52C3D" w:rsidP="007D4D8C">
      <w:pPr>
        <w:pStyle w:val="BodyText"/>
        <w:spacing w:before="80" w:after="100"/>
      </w:pPr>
      <w:r w:rsidRPr="00E77E9D">
        <w:t>Between 2005 and 2024, emissions from Tokelau had decreased by 10.6 percent (0.50 kt CO</w:t>
      </w:r>
      <w:r w:rsidRPr="00E77E9D">
        <w:rPr>
          <w:vertAlign w:val="subscript"/>
        </w:rPr>
        <w:t>2</w:t>
      </w:r>
      <w:r w:rsidRPr="00E77E9D">
        <w:t>e). This change was mainly the result of reductions in emissions from the Agriculture sector. This was due to a reduction in the number of both pigs and chickens. Emissions from the Energy sector decreased overall between 2005 and 2024, due to the installation of solar photovoltaic (PV) systems in 2012. The increases and decreases in Energy sector emissions between 2012 and 2024 are further explained in chapter 8, section 8.3.1. Emissions from the</w:t>
      </w:r>
      <w:r>
        <w:t> </w:t>
      </w:r>
      <w:r w:rsidRPr="00E77E9D">
        <w:t>IPPU sector increased slightly between 2005 and 2024, primarily due to the growth in the number of air conditioning units during this period. Emissions from the Waste sector for Tokelau have remained steady between 2005 and 2024. </w:t>
      </w:r>
    </w:p>
    <w:p w14:paraId="111DD370" w14:textId="77777777" w:rsidR="00F52C3D" w:rsidRPr="00E77E9D" w:rsidRDefault="00F52C3D" w:rsidP="00F52C3D">
      <w:pPr>
        <w:pStyle w:val="Heading4"/>
      </w:pPr>
      <w:r w:rsidRPr="00E77E9D">
        <w:t>1990–2024</w:t>
      </w:r>
    </w:p>
    <w:p w14:paraId="40451AB2" w14:textId="77777777" w:rsidR="00F52C3D" w:rsidRPr="00E77E9D" w:rsidRDefault="00F52C3D" w:rsidP="009E267F">
      <w:pPr>
        <w:pStyle w:val="BodyText"/>
        <w:spacing w:before="80" w:after="100"/>
      </w:pPr>
      <w:r w:rsidRPr="00E77E9D">
        <w:t>Between 1990 and 2024, emissions from Tokelau had increased by 24.8 percent (0.84 kt CO</w:t>
      </w:r>
      <w:r w:rsidRPr="00E77E9D">
        <w:rPr>
          <w:vertAlign w:val="subscript"/>
        </w:rPr>
        <w:t>2</w:t>
      </w:r>
      <w:r w:rsidRPr="00E77E9D">
        <w:t>e) (chapter 8, table 8.1.3 and figure 8.1.4). From 1990 to 2024, the average annual increase in gross emissions was 0.87 percent.</w:t>
      </w:r>
    </w:p>
    <w:p w14:paraId="361E028B" w14:textId="77777777" w:rsidR="00F52C3D" w:rsidRPr="00E77E9D" w:rsidRDefault="00F52C3D" w:rsidP="009E267F">
      <w:pPr>
        <w:pStyle w:val="BodyText"/>
        <w:spacing w:before="100" w:after="100"/>
      </w:pPr>
      <w:r w:rsidRPr="00E77E9D">
        <w:rPr>
          <w:spacing w:val="-2"/>
        </w:rPr>
        <w:t xml:space="preserve">The emissions </w:t>
      </w:r>
      <w:r w:rsidRPr="00B94D6F">
        <w:rPr>
          <w:spacing w:val="-2"/>
        </w:rPr>
        <w:t>increase</w:t>
      </w:r>
      <w:r w:rsidRPr="00E77E9D">
        <w:rPr>
          <w:spacing w:val="-2"/>
        </w:rPr>
        <w:t xml:space="preserve"> was largely due to changes in the Energy sector. The emission categories that contributed the most to this change were </w:t>
      </w:r>
      <w:r w:rsidRPr="00E77E9D">
        <w:rPr>
          <w:i/>
          <w:iCs/>
          <w:spacing w:val="-2"/>
        </w:rPr>
        <w:t>Domestic navigation</w:t>
      </w:r>
      <w:r w:rsidRPr="00E77E9D">
        <w:rPr>
          <w:spacing w:val="-2"/>
        </w:rPr>
        <w:t xml:space="preserve"> and </w:t>
      </w:r>
      <w:r w:rsidRPr="00E77E9D">
        <w:rPr>
          <w:i/>
          <w:iCs/>
          <w:spacing w:val="-2"/>
        </w:rPr>
        <w:t>Electricity generation</w:t>
      </w:r>
      <w:r w:rsidRPr="00E77E9D">
        <w:t>.</w:t>
      </w:r>
    </w:p>
    <w:p w14:paraId="38546D35" w14:textId="77777777" w:rsidR="00F52C3D" w:rsidRPr="00E77E9D" w:rsidRDefault="00F52C3D" w:rsidP="009E267F">
      <w:pPr>
        <w:pStyle w:val="BodyText"/>
        <w:spacing w:before="100" w:after="100"/>
      </w:pPr>
      <w:r w:rsidRPr="00E77E9D">
        <w:t xml:space="preserve">The changes in </w:t>
      </w:r>
      <w:r w:rsidRPr="00E77E9D">
        <w:rPr>
          <w:i/>
          <w:iCs/>
        </w:rPr>
        <w:t>Domestic navigation</w:t>
      </w:r>
      <w:r w:rsidRPr="00E77E9D">
        <w:t xml:space="preserve"> were a result of Tokelau gaining ownership and use of the ferry </w:t>
      </w:r>
      <w:r w:rsidRPr="00E77E9D">
        <w:rPr>
          <w:i/>
          <w:iCs/>
        </w:rPr>
        <w:t>Mataliki</w:t>
      </w:r>
      <w:r w:rsidRPr="00E77E9D">
        <w:t xml:space="preserve"> in 2016, cargo vessel </w:t>
      </w:r>
      <w:r w:rsidRPr="00E77E9D">
        <w:rPr>
          <w:i/>
          <w:iCs/>
        </w:rPr>
        <w:t>Kalopaga</w:t>
      </w:r>
      <w:r w:rsidRPr="00E77E9D">
        <w:t xml:space="preserve"> in 2018 and </w:t>
      </w:r>
      <w:r w:rsidRPr="00E77E9D">
        <w:rPr>
          <w:i/>
          <w:iCs/>
        </w:rPr>
        <w:t>Fetu o te Moana</w:t>
      </w:r>
      <w:r w:rsidRPr="00E77E9D">
        <w:t xml:space="preserve"> in 2019, leading to an increasing number of sea voyages between the atolls, which increased transport emissions.</w:t>
      </w:r>
    </w:p>
    <w:p w14:paraId="19EE5483" w14:textId="77777777" w:rsidR="00F52C3D" w:rsidRPr="00E77E9D" w:rsidRDefault="00F52C3D" w:rsidP="009E267F">
      <w:pPr>
        <w:pStyle w:val="BodyText"/>
        <w:spacing w:before="100" w:after="100"/>
      </w:pPr>
      <w:r w:rsidRPr="00E77E9D">
        <w:t xml:space="preserve">The changes in Tokelau’s Energy sector emissions from </w:t>
      </w:r>
      <w:r w:rsidRPr="00E77E9D">
        <w:rPr>
          <w:i/>
          <w:iCs/>
        </w:rPr>
        <w:t>Electricity generation</w:t>
      </w:r>
      <w:r w:rsidRPr="00E77E9D">
        <w:t xml:space="preserve"> drive the overall emissions trend observed across most of the time series. Initially, up until 2003, emissions </w:t>
      </w:r>
      <w:r w:rsidRPr="00E77E9D">
        <w:rPr>
          <w:spacing w:val="-2"/>
        </w:rPr>
        <w:t>from this source were relatively stable. A significant increase in emissions (of nearly 400 percent)</w:t>
      </w:r>
      <w:r w:rsidRPr="00E77E9D">
        <w:t xml:space="preserve"> was then observed between 2003 and 2011, due to an increase in the use of diesel generators for electricity production. This was followed by a significant drop in emissions occurring in 2012 and 2013 (by 82.5 percent), when solar electricity generation began. Toward the end of the time series, diesel generator use increased again as the generation from solar power decreased, with emissions increasing accordingly.</w:t>
      </w:r>
    </w:p>
    <w:p w14:paraId="672CD94A" w14:textId="77777777" w:rsidR="00F52C3D" w:rsidRPr="00E77E9D" w:rsidRDefault="00F52C3D" w:rsidP="009E267F">
      <w:pPr>
        <w:pStyle w:val="BodyText"/>
        <w:spacing w:before="100" w:after="100"/>
      </w:pPr>
      <w:r w:rsidRPr="00E77E9D">
        <w:t>Emissions from Tokelau’s IPPU sector had also increased, mainly due to the introduction of air conditioning after 2006. Emissions from Tokelau’s Agriculture sector had decreased as a result of a reduced population of pigs and chickens.</w:t>
      </w:r>
    </w:p>
    <w:p w14:paraId="3E98D276" w14:textId="77777777" w:rsidR="00F52C3D" w:rsidRPr="00E77E9D" w:rsidRDefault="00F52C3D" w:rsidP="00F52C3D">
      <w:pPr>
        <w:pStyle w:val="Heading2"/>
        <w:tabs>
          <w:tab w:val="clear" w:pos="851"/>
          <w:tab w:val="left" w:pos="964"/>
        </w:tabs>
      </w:pPr>
      <w:bookmarkStart w:id="21" w:name="_Toc226460733"/>
      <w:bookmarkStart w:id="22" w:name="es.4-other-information"/>
      <w:bookmarkEnd w:id="13"/>
      <w:bookmarkEnd w:id="20"/>
      <w:r w:rsidRPr="00E77E9D">
        <w:t xml:space="preserve">ES.4 </w:t>
      </w:r>
      <w:r w:rsidRPr="00E77E9D">
        <w:tab/>
        <w:t>Other information</w:t>
      </w:r>
      <w:bookmarkEnd w:id="21"/>
    </w:p>
    <w:p w14:paraId="07CEC5E6" w14:textId="77777777" w:rsidR="00F52C3D" w:rsidRPr="00E77E9D" w:rsidRDefault="00F52C3D" w:rsidP="009E267F">
      <w:pPr>
        <w:pStyle w:val="Heading3"/>
        <w:spacing w:before="180"/>
      </w:pPr>
      <w:r w:rsidRPr="00E77E9D">
        <w:t>Indirect gases</w:t>
      </w:r>
    </w:p>
    <w:p w14:paraId="228AB18B" w14:textId="77777777" w:rsidR="00F52C3D" w:rsidRPr="00E77E9D" w:rsidRDefault="00F52C3D" w:rsidP="00F52C3D">
      <w:pPr>
        <w:pStyle w:val="BodyText"/>
      </w:pPr>
      <w:r w:rsidRPr="00E77E9D">
        <w:t>New Zealand reports emissions estimates of indirect gases in accordance with the 2006 IPCC Guidelines (volume 1, chapter 7) (IPCC, 2006a). These indirect gases are CO, NO</w:t>
      </w:r>
      <w:r w:rsidRPr="00E77E9D">
        <w:rPr>
          <w:vertAlign w:val="subscript"/>
        </w:rPr>
        <w:t>X</w:t>
      </w:r>
      <w:r w:rsidRPr="00E77E9D">
        <w:t>, NMVOCs and sulphur dioxide (SO</w:t>
      </w:r>
      <w:r w:rsidRPr="00E77E9D">
        <w:rPr>
          <w:vertAlign w:val="subscript"/>
        </w:rPr>
        <w:t>2</w:t>
      </w:r>
      <w:r w:rsidRPr="00E77E9D">
        <w:t>). These gases are not greenhouse gases themselves and are not included in the national emissions totals; however, CO, NO</w:t>
      </w:r>
      <w:r w:rsidRPr="00E77E9D">
        <w:rPr>
          <w:vertAlign w:val="subscript"/>
        </w:rPr>
        <w:t>X</w:t>
      </w:r>
      <w:r w:rsidRPr="00E77E9D">
        <w:t xml:space="preserve"> and NMVOCs chemically alter the atmosphere, leading to an increase in tropospheric ozone concentrations, and SO</w:t>
      </w:r>
      <w:r w:rsidRPr="00E77E9D">
        <w:rPr>
          <w:vertAlign w:val="subscript"/>
        </w:rPr>
        <w:t>2</w:t>
      </w:r>
      <w:r w:rsidRPr="00E77E9D">
        <w:t xml:space="preserve"> contributes to aerosol formation. Table ES 4.1 summarises New Zealand’s indirect GHG emissions in 1990, 2005 and 2024 as well as the change between these years.</w:t>
      </w:r>
    </w:p>
    <w:p w14:paraId="3DC9E2AF" w14:textId="77777777" w:rsidR="00F52C3D" w:rsidRPr="00E77E9D" w:rsidRDefault="00F52C3D" w:rsidP="000539D6">
      <w:pPr>
        <w:pStyle w:val="Table"/>
      </w:pPr>
      <w:bookmarkStart w:id="23" w:name="_Toc226668939"/>
      <w:r w:rsidRPr="00E77E9D">
        <w:rPr>
          <w:bCs/>
        </w:rPr>
        <w:t>Table ES 4.1</w:t>
      </w:r>
      <w:r w:rsidRPr="00E77E9D">
        <w:t xml:space="preserve"> </w:t>
      </w:r>
      <w:r w:rsidRPr="00E77E9D">
        <w:tab/>
        <w:t xml:space="preserve">New Zealand’s indirect greenhouse gas emissions (excluding LULUCF) in </w:t>
      </w:r>
      <w:r w:rsidRPr="00E77E9D">
        <w:rPr>
          <w:bCs/>
        </w:rPr>
        <w:t>1990</w:t>
      </w:r>
      <w:r w:rsidRPr="00E77E9D">
        <w:t xml:space="preserve">, </w:t>
      </w:r>
      <w:r w:rsidRPr="00E77E9D">
        <w:rPr>
          <w:bCs/>
        </w:rPr>
        <w:t>2005</w:t>
      </w:r>
      <w:r w:rsidRPr="00E77E9D">
        <w:t xml:space="preserve"> and </w:t>
      </w:r>
      <w:r w:rsidRPr="00E77E9D">
        <w:rPr>
          <w:bCs/>
        </w:rPr>
        <w:t>2024</w:t>
      </w:r>
      <w:bookmarkEnd w:id="2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753"/>
        <w:gridCol w:w="535"/>
        <w:gridCol w:w="535"/>
        <w:gridCol w:w="535"/>
        <w:gridCol w:w="1385"/>
        <w:gridCol w:w="1183"/>
        <w:gridCol w:w="1385"/>
        <w:gridCol w:w="1183"/>
      </w:tblGrid>
      <w:tr w:rsidR="00F52C3D" w:rsidRPr="00E77E9D" w14:paraId="73B03891" w14:textId="77777777" w:rsidTr="00B94D6F">
        <w:trPr>
          <w:tblHeader/>
        </w:trPr>
        <w:tc>
          <w:tcPr>
            <w:tcW w:w="0" w:type="auto"/>
            <w:shd w:val="clear" w:color="auto" w:fill="1B556B" w:themeFill="text2"/>
            <w:tcMar>
              <w:top w:w="0" w:type="dxa"/>
              <w:left w:w="85" w:type="dxa"/>
              <w:bottom w:w="0" w:type="dxa"/>
              <w:right w:w="85" w:type="dxa"/>
            </w:tcMar>
            <w:vAlign w:val="bottom"/>
          </w:tcPr>
          <w:p w14:paraId="050A2E77" w14:textId="77777777" w:rsidR="00F52C3D" w:rsidRPr="00E77E9D" w:rsidRDefault="00F52C3D" w:rsidP="00F16E23">
            <w:pPr>
              <w:pStyle w:val="TableTextBold"/>
              <w:spacing w:before="40" w:after="40"/>
              <w:rPr>
                <w:noProof w:val="0"/>
                <w:color w:val="FFFFFF" w:themeColor="background1"/>
              </w:rPr>
            </w:pPr>
            <w:r w:rsidRPr="00E77E9D">
              <w:rPr>
                <w:rFonts w:eastAsia="Calibri"/>
                <w:noProof w:val="0"/>
                <w:color w:val="FFFFFF" w:themeColor="background1"/>
              </w:rPr>
              <w:t>Indirect greenhouse gas emissions</w:t>
            </w:r>
          </w:p>
        </w:tc>
        <w:tc>
          <w:tcPr>
            <w:tcW w:w="0" w:type="auto"/>
            <w:shd w:val="clear" w:color="auto" w:fill="1B556B" w:themeFill="text2"/>
            <w:tcMar>
              <w:top w:w="0" w:type="dxa"/>
              <w:left w:w="85" w:type="dxa"/>
              <w:bottom w:w="0" w:type="dxa"/>
              <w:right w:w="85" w:type="dxa"/>
            </w:tcMar>
            <w:vAlign w:val="bottom"/>
          </w:tcPr>
          <w:p w14:paraId="72A54B5E" w14:textId="77777777" w:rsidR="00F52C3D" w:rsidRPr="00E77E9D" w:rsidRDefault="00F52C3D" w:rsidP="00F16E23">
            <w:pPr>
              <w:pStyle w:val="TableTextBold"/>
              <w:spacing w:before="40" w:after="40"/>
              <w:jc w:val="right"/>
              <w:rPr>
                <w:noProof w:val="0"/>
                <w:color w:val="FFFFFF" w:themeColor="background1"/>
              </w:rPr>
            </w:pPr>
            <w:r w:rsidRPr="00E77E9D">
              <w:rPr>
                <w:rFonts w:eastAsia="Calibri"/>
                <w:noProof w:val="0"/>
                <w:color w:val="FFFFFF" w:themeColor="background1"/>
              </w:rPr>
              <w:t>1990</w:t>
            </w:r>
          </w:p>
        </w:tc>
        <w:tc>
          <w:tcPr>
            <w:tcW w:w="0" w:type="auto"/>
            <w:shd w:val="clear" w:color="auto" w:fill="1B556B" w:themeFill="text2"/>
            <w:tcMar>
              <w:top w:w="0" w:type="dxa"/>
              <w:left w:w="85" w:type="dxa"/>
              <w:bottom w:w="0" w:type="dxa"/>
              <w:right w:w="85" w:type="dxa"/>
            </w:tcMar>
            <w:vAlign w:val="bottom"/>
          </w:tcPr>
          <w:p w14:paraId="4A494192" w14:textId="77777777" w:rsidR="00F52C3D" w:rsidRPr="00E77E9D" w:rsidRDefault="00F52C3D" w:rsidP="00F16E23">
            <w:pPr>
              <w:pStyle w:val="TableTextBold"/>
              <w:spacing w:before="40" w:after="40"/>
              <w:jc w:val="right"/>
              <w:rPr>
                <w:noProof w:val="0"/>
                <w:color w:val="FFFFFF" w:themeColor="background1"/>
              </w:rPr>
            </w:pPr>
            <w:r w:rsidRPr="00E77E9D">
              <w:rPr>
                <w:rFonts w:eastAsia="Calibri"/>
                <w:noProof w:val="0"/>
                <w:color w:val="FFFFFF" w:themeColor="background1"/>
              </w:rPr>
              <w:t>2005</w:t>
            </w:r>
          </w:p>
        </w:tc>
        <w:tc>
          <w:tcPr>
            <w:tcW w:w="0" w:type="auto"/>
            <w:shd w:val="clear" w:color="auto" w:fill="1B556B" w:themeFill="text2"/>
            <w:tcMar>
              <w:top w:w="0" w:type="dxa"/>
              <w:left w:w="85" w:type="dxa"/>
              <w:bottom w:w="0" w:type="dxa"/>
              <w:right w:w="85" w:type="dxa"/>
            </w:tcMar>
            <w:vAlign w:val="bottom"/>
          </w:tcPr>
          <w:p w14:paraId="77655195" w14:textId="77777777" w:rsidR="00F52C3D" w:rsidRPr="00E77E9D" w:rsidRDefault="00F52C3D" w:rsidP="00F16E23">
            <w:pPr>
              <w:pStyle w:val="TableTextBold"/>
              <w:spacing w:before="40" w:after="40"/>
              <w:jc w:val="right"/>
              <w:rPr>
                <w:noProof w:val="0"/>
                <w:color w:val="FFFFFF" w:themeColor="background1"/>
              </w:rPr>
            </w:pPr>
            <w:r w:rsidRPr="00E77E9D">
              <w:rPr>
                <w:rFonts w:eastAsia="Calibri"/>
                <w:noProof w:val="0"/>
                <w:color w:val="FFFFFF" w:themeColor="background1"/>
              </w:rPr>
              <w:t>2024</w:t>
            </w:r>
          </w:p>
        </w:tc>
        <w:tc>
          <w:tcPr>
            <w:tcW w:w="0" w:type="auto"/>
            <w:shd w:val="clear" w:color="auto" w:fill="1B556B" w:themeFill="text2"/>
            <w:tcMar>
              <w:top w:w="0" w:type="dxa"/>
              <w:left w:w="85" w:type="dxa"/>
              <w:bottom w:w="0" w:type="dxa"/>
              <w:right w:w="85" w:type="dxa"/>
            </w:tcMar>
            <w:vAlign w:val="bottom"/>
          </w:tcPr>
          <w:p w14:paraId="04F7AF47" w14:textId="77777777" w:rsidR="00F52C3D" w:rsidRPr="00E77E9D" w:rsidRDefault="00F52C3D" w:rsidP="00F16E23">
            <w:pPr>
              <w:pStyle w:val="TableTextBold"/>
              <w:spacing w:before="40" w:after="40"/>
              <w:jc w:val="right"/>
              <w:rPr>
                <w:noProof w:val="0"/>
                <w:color w:val="FFFFFF" w:themeColor="background1"/>
              </w:rPr>
            </w:pPr>
            <w:r w:rsidRPr="00E77E9D">
              <w:rPr>
                <w:rFonts w:eastAsia="Calibri"/>
                <w:noProof w:val="0"/>
                <w:color w:val="FFFFFF" w:themeColor="background1"/>
              </w:rPr>
              <w:t>Change from 1990 (kt CO</w:t>
            </w:r>
            <w:r w:rsidRPr="00E77E9D">
              <w:rPr>
                <w:rFonts w:eastAsia="Calibri"/>
                <w:noProof w:val="0"/>
                <w:color w:val="FFFFFF" w:themeColor="background1"/>
                <w:vertAlign w:val="subscript"/>
              </w:rPr>
              <w:t>2</w:t>
            </w:r>
            <w:r w:rsidRPr="00E77E9D">
              <w:rPr>
                <w:rFonts w:eastAsia="Calibri"/>
                <w:noProof w:val="0"/>
                <w:color w:val="FFFFFF" w:themeColor="background1"/>
              </w:rPr>
              <w:t>e)</w:t>
            </w:r>
          </w:p>
        </w:tc>
        <w:tc>
          <w:tcPr>
            <w:tcW w:w="0" w:type="auto"/>
            <w:shd w:val="clear" w:color="auto" w:fill="1B556B" w:themeFill="text2"/>
            <w:tcMar>
              <w:top w:w="0" w:type="dxa"/>
              <w:left w:w="85" w:type="dxa"/>
              <w:bottom w:w="0" w:type="dxa"/>
              <w:right w:w="85" w:type="dxa"/>
            </w:tcMar>
            <w:vAlign w:val="bottom"/>
          </w:tcPr>
          <w:p w14:paraId="2D0BEADF" w14:textId="77777777" w:rsidR="00F52C3D" w:rsidRPr="00E77E9D" w:rsidRDefault="00F52C3D" w:rsidP="00F16E23">
            <w:pPr>
              <w:pStyle w:val="TableTextBold"/>
              <w:spacing w:before="40" w:after="40"/>
              <w:jc w:val="right"/>
              <w:rPr>
                <w:noProof w:val="0"/>
                <w:color w:val="FFFFFF" w:themeColor="background1"/>
              </w:rPr>
            </w:pPr>
            <w:r w:rsidRPr="00E77E9D">
              <w:rPr>
                <w:rFonts w:eastAsia="Calibri"/>
                <w:noProof w:val="0"/>
                <w:color w:val="FFFFFF" w:themeColor="background1"/>
              </w:rPr>
              <w:t>Change from 1990 (%)</w:t>
            </w:r>
          </w:p>
        </w:tc>
        <w:tc>
          <w:tcPr>
            <w:tcW w:w="0" w:type="auto"/>
            <w:shd w:val="clear" w:color="auto" w:fill="1B556B" w:themeFill="text2"/>
            <w:tcMar>
              <w:top w:w="0" w:type="dxa"/>
              <w:left w:w="85" w:type="dxa"/>
              <w:bottom w:w="0" w:type="dxa"/>
              <w:right w:w="85" w:type="dxa"/>
            </w:tcMar>
            <w:vAlign w:val="bottom"/>
          </w:tcPr>
          <w:p w14:paraId="3D3E29B4" w14:textId="77777777" w:rsidR="00F52C3D" w:rsidRPr="00E77E9D" w:rsidRDefault="00F52C3D" w:rsidP="00F16E23">
            <w:pPr>
              <w:pStyle w:val="TableTextBold"/>
              <w:spacing w:before="40" w:after="40"/>
              <w:jc w:val="right"/>
              <w:rPr>
                <w:noProof w:val="0"/>
                <w:color w:val="FFFFFF" w:themeColor="background1"/>
              </w:rPr>
            </w:pPr>
            <w:r w:rsidRPr="00E77E9D">
              <w:rPr>
                <w:rFonts w:eastAsia="Calibri"/>
                <w:noProof w:val="0"/>
                <w:color w:val="FFFFFF" w:themeColor="background1"/>
              </w:rPr>
              <w:t>Change from 2005 (kt CO</w:t>
            </w:r>
            <w:r w:rsidRPr="00E77E9D">
              <w:rPr>
                <w:rFonts w:eastAsia="Calibri"/>
                <w:noProof w:val="0"/>
                <w:color w:val="FFFFFF" w:themeColor="background1"/>
                <w:vertAlign w:val="subscript"/>
              </w:rPr>
              <w:t>2</w:t>
            </w:r>
            <w:r w:rsidRPr="00E77E9D">
              <w:rPr>
                <w:rFonts w:eastAsia="Calibri"/>
                <w:noProof w:val="0"/>
                <w:color w:val="FFFFFF" w:themeColor="background1"/>
              </w:rPr>
              <w:t>e)</w:t>
            </w:r>
          </w:p>
        </w:tc>
        <w:tc>
          <w:tcPr>
            <w:tcW w:w="0" w:type="auto"/>
            <w:shd w:val="clear" w:color="auto" w:fill="1B556B" w:themeFill="text2"/>
            <w:tcMar>
              <w:top w:w="0" w:type="dxa"/>
              <w:left w:w="85" w:type="dxa"/>
              <w:bottom w:w="0" w:type="dxa"/>
              <w:right w:w="85" w:type="dxa"/>
            </w:tcMar>
            <w:vAlign w:val="bottom"/>
          </w:tcPr>
          <w:p w14:paraId="14D2BD2E" w14:textId="77777777" w:rsidR="00F52C3D" w:rsidRPr="00E77E9D" w:rsidRDefault="00F52C3D" w:rsidP="00F16E23">
            <w:pPr>
              <w:pStyle w:val="TableTextBold"/>
              <w:spacing w:before="40" w:after="40"/>
              <w:jc w:val="right"/>
              <w:rPr>
                <w:noProof w:val="0"/>
                <w:color w:val="FFFFFF" w:themeColor="background1"/>
              </w:rPr>
            </w:pPr>
            <w:r w:rsidRPr="00E77E9D">
              <w:rPr>
                <w:rFonts w:eastAsia="Calibri"/>
                <w:noProof w:val="0"/>
                <w:color w:val="FFFFFF" w:themeColor="background1"/>
              </w:rPr>
              <w:t>Change from 2005 (%)</w:t>
            </w:r>
          </w:p>
        </w:tc>
      </w:tr>
      <w:tr w:rsidR="00F52C3D" w:rsidRPr="00E77E9D" w14:paraId="62457B5D" w14:textId="77777777" w:rsidTr="00F16E23">
        <w:tc>
          <w:tcPr>
            <w:tcW w:w="0" w:type="auto"/>
            <w:shd w:val="clear" w:color="auto" w:fill="FFFFFF"/>
            <w:tcMar>
              <w:top w:w="0" w:type="dxa"/>
              <w:left w:w="85" w:type="dxa"/>
              <w:bottom w:w="0" w:type="dxa"/>
              <w:right w:w="85" w:type="dxa"/>
            </w:tcMar>
            <w:vAlign w:val="center"/>
          </w:tcPr>
          <w:p w14:paraId="4A770EFB" w14:textId="77777777" w:rsidR="00F52C3D" w:rsidRPr="00E77E9D" w:rsidRDefault="00F52C3D" w:rsidP="00F16E23">
            <w:pPr>
              <w:pStyle w:val="TableText"/>
              <w:spacing w:before="40" w:after="40"/>
            </w:pPr>
            <w:r w:rsidRPr="00E77E9D">
              <w:rPr>
                <w:rFonts w:eastAsia="Calibri"/>
              </w:rPr>
              <w:t>CO</w:t>
            </w:r>
          </w:p>
        </w:tc>
        <w:tc>
          <w:tcPr>
            <w:tcW w:w="0" w:type="auto"/>
            <w:shd w:val="clear" w:color="auto" w:fill="FFFFFF"/>
            <w:tcMar>
              <w:top w:w="0" w:type="dxa"/>
              <w:left w:w="85" w:type="dxa"/>
              <w:bottom w:w="0" w:type="dxa"/>
              <w:right w:w="85" w:type="dxa"/>
            </w:tcMar>
            <w:vAlign w:val="center"/>
          </w:tcPr>
          <w:p w14:paraId="54869A36" w14:textId="77777777" w:rsidR="00F52C3D" w:rsidRPr="00E77E9D" w:rsidRDefault="00F52C3D" w:rsidP="00F16E23">
            <w:pPr>
              <w:pStyle w:val="TableText"/>
              <w:spacing w:before="40" w:after="40"/>
              <w:jc w:val="right"/>
            </w:pPr>
            <w:r w:rsidRPr="00E77E9D">
              <w:rPr>
                <w:rFonts w:eastAsia="Calibri"/>
              </w:rPr>
              <w:t>622.6</w:t>
            </w:r>
          </w:p>
        </w:tc>
        <w:tc>
          <w:tcPr>
            <w:tcW w:w="0" w:type="auto"/>
            <w:shd w:val="clear" w:color="auto" w:fill="FFFFFF"/>
            <w:tcMar>
              <w:top w:w="0" w:type="dxa"/>
              <w:left w:w="85" w:type="dxa"/>
              <w:bottom w:w="0" w:type="dxa"/>
              <w:right w:w="85" w:type="dxa"/>
            </w:tcMar>
            <w:vAlign w:val="center"/>
          </w:tcPr>
          <w:p w14:paraId="4AD6DA17" w14:textId="77777777" w:rsidR="00F52C3D" w:rsidRPr="00E77E9D" w:rsidRDefault="00F52C3D" w:rsidP="00F16E23">
            <w:pPr>
              <w:pStyle w:val="TableText"/>
              <w:spacing w:before="40" w:after="40"/>
              <w:jc w:val="right"/>
            </w:pPr>
            <w:r w:rsidRPr="00E77E9D">
              <w:rPr>
                <w:rFonts w:eastAsia="Calibri"/>
              </w:rPr>
              <w:t>741.8</w:t>
            </w:r>
          </w:p>
        </w:tc>
        <w:tc>
          <w:tcPr>
            <w:tcW w:w="0" w:type="auto"/>
            <w:shd w:val="clear" w:color="auto" w:fill="FFFFFF"/>
            <w:tcMar>
              <w:top w:w="0" w:type="dxa"/>
              <w:left w:w="85" w:type="dxa"/>
              <w:bottom w:w="0" w:type="dxa"/>
              <w:right w:w="85" w:type="dxa"/>
            </w:tcMar>
            <w:vAlign w:val="center"/>
          </w:tcPr>
          <w:p w14:paraId="2F798158" w14:textId="77777777" w:rsidR="00F52C3D" w:rsidRPr="00E77E9D" w:rsidRDefault="00F52C3D" w:rsidP="00F16E23">
            <w:pPr>
              <w:pStyle w:val="TableText"/>
              <w:spacing w:before="40" w:after="40"/>
              <w:jc w:val="right"/>
            </w:pPr>
            <w:r w:rsidRPr="00E77E9D">
              <w:rPr>
                <w:rFonts w:eastAsia="Calibri"/>
              </w:rPr>
              <w:t>650.7</w:t>
            </w:r>
          </w:p>
        </w:tc>
        <w:tc>
          <w:tcPr>
            <w:tcW w:w="0" w:type="auto"/>
            <w:shd w:val="clear" w:color="auto" w:fill="FFFFFF"/>
            <w:tcMar>
              <w:top w:w="0" w:type="dxa"/>
              <w:left w:w="85" w:type="dxa"/>
              <w:bottom w:w="0" w:type="dxa"/>
              <w:right w:w="85" w:type="dxa"/>
            </w:tcMar>
            <w:vAlign w:val="center"/>
          </w:tcPr>
          <w:p w14:paraId="6363D067" w14:textId="77777777" w:rsidR="00F52C3D" w:rsidRPr="00E77E9D" w:rsidRDefault="00F52C3D" w:rsidP="00F16E23">
            <w:pPr>
              <w:pStyle w:val="TableText"/>
              <w:spacing w:before="40" w:after="40"/>
              <w:jc w:val="right"/>
            </w:pPr>
            <w:r w:rsidRPr="00E77E9D">
              <w:rPr>
                <w:rFonts w:eastAsia="Calibri"/>
              </w:rPr>
              <w:t>28.1</w:t>
            </w:r>
          </w:p>
        </w:tc>
        <w:tc>
          <w:tcPr>
            <w:tcW w:w="0" w:type="auto"/>
            <w:shd w:val="clear" w:color="auto" w:fill="FFFFFF"/>
            <w:tcMar>
              <w:top w:w="0" w:type="dxa"/>
              <w:left w:w="85" w:type="dxa"/>
              <w:bottom w:w="0" w:type="dxa"/>
              <w:right w:w="85" w:type="dxa"/>
            </w:tcMar>
            <w:vAlign w:val="center"/>
          </w:tcPr>
          <w:p w14:paraId="073EEB8B" w14:textId="77777777" w:rsidR="00F52C3D" w:rsidRPr="00E77E9D" w:rsidRDefault="00F52C3D" w:rsidP="00F16E23">
            <w:pPr>
              <w:pStyle w:val="TableText"/>
              <w:spacing w:before="40" w:after="40"/>
              <w:jc w:val="right"/>
            </w:pPr>
            <w:r w:rsidRPr="00E77E9D">
              <w:rPr>
                <w:rFonts w:eastAsia="Calibri"/>
              </w:rPr>
              <w:t xml:space="preserve"> 4.5</w:t>
            </w:r>
          </w:p>
        </w:tc>
        <w:tc>
          <w:tcPr>
            <w:tcW w:w="0" w:type="auto"/>
            <w:shd w:val="clear" w:color="auto" w:fill="FFFFFF"/>
            <w:tcMar>
              <w:top w:w="0" w:type="dxa"/>
              <w:left w:w="85" w:type="dxa"/>
              <w:bottom w:w="0" w:type="dxa"/>
              <w:right w:w="85" w:type="dxa"/>
            </w:tcMar>
            <w:vAlign w:val="center"/>
          </w:tcPr>
          <w:p w14:paraId="13DEEB19" w14:textId="77777777" w:rsidR="00F52C3D" w:rsidRPr="00E77E9D" w:rsidRDefault="00F52C3D" w:rsidP="00F16E23">
            <w:pPr>
              <w:pStyle w:val="TableText"/>
              <w:spacing w:before="40" w:after="40"/>
              <w:jc w:val="right"/>
            </w:pPr>
            <w:r w:rsidRPr="00E77E9D">
              <w:rPr>
                <w:rFonts w:eastAsia="Calibri"/>
              </w:rPr>
              <w:t>-91.1</w:t>
            </w:r>
          </w:p>
        </w:tc>
        <w:tc>
          <w:tcPr>
            <w:tcW w:w="0" w:type="auto"/>
            <w:shd w:val="clear" w:color="auto" w:fill="FFFFFF"/>
            <w:tcMar>
              <w:top w:w="0" w:type="dxa"/>
              <w:left w:w="85" w:type="dxa"/>
              <w:bottom w:w="0" w:type="dxa"/>
              <w:right w:w="85" w:type="dxa"/>
            </w:tcMar>
            <w:vAlign w:val="center"/>
          </w:tcPr>
          <w:p w14:paraId="69EDC904" w14:textId="77777777" w:rsidR="00F52C3D" w:rsidRPr="00E77E9D" w:rsidRDefault="00F52C3D" w:rsidP="00F16E23">
            <w:pPr>
              <w:pStyle w:val="TableText"/>
              <w:spacing w:before="40" w:after="40"/>
              <w:jc w:val="right"/>
            </w:pPr>
            <w:r w:rsidRPr="00E77E9D">
              <w:rPr>
                <w:rFonts w:eastAsia="Calibri"/>
              </w:rPr>
              <w:t>-12.3</w:t>
            </w:r>
          </w:p>
        </w:tc>
      </w:tr>
      <w:tr w:rsidR="00F52C3D" w:rsidRPr="00E77E9D" w14:paraId="3E2358CA" w14:textId="77777777" w:rsidTr="00F16E23">
        <w:tc>
          <w:tcPr>
            <w:tcW w:w="0" w:type="auto"/>
            <w:shd w:val="clear" w:color="auto" w:fill="FFFFFF"/>
            <w:tcMar>
              <w:top w:w="0" w:type="dxa"/>
              <w:left w:w="85" w:type="dxa"/>
              <w:bottom w:w="0" w:type="dxa"/>
              <w:right w:w="85" w:type="dxa"/>
            </w:tcMar>
            <w:vAlign w:val="center"/>
          </w:tcPr>
          <w:p w14:paraId="1E9A819E" w14:textId="77777777" w:rsidR="00F52C3D" w:rsidRPr="00E77E9D" w:rsidRDefault="00F52C3D" w:rsidP="00F16E23">
            <w:pPr>
              <w:pStyle w:val="TableText"/>
              <w:spacing w:before="40" w:after="40"/>
            </w:pPr>
            <w:r w:rsidRPr="00E77E9D">
              <w:rPr>
                <w:rFonts w:eastAsia="Calibri"/>
              </w:rPr>
              <w:t>NMVOCs</w:t>
            </w:r>
          </w:p>
        </w:tc>
        <w:tc>
          <w:tcPr>
            <w:tcW w:w="0" w:type="auto"/>
            <w:shd w:val="clear" w:color="auto" w:fill="FFFFFF"/>
            <w:tcMar>
              <w:top w:w="0" w:type="dxa"/>
              <w:left w:w="85" w:type="dxa"/>
              <w:bottom w:w="0" w:type="dxa"/>
              <w:right w:w="85" w:type="dxa"/>
            </w:tcMar>
            <w:vAlign w:val="center"/>
          </w:tcPr>
          <w:p w14:paraId="286B5448" w14:textId="77777777" w:rsidR="00F52C3D" w:rsidRPr="00E77E9D" w:rsidRDefault="00F52C3D" w:rsidP="00F16E23">
            <w:pPr>
              <w:pStyle w:val="TableText"/>
              <w:spacing w:before="40" w:after="40"/>
              <w:jc w:val="right"/>
            </w:pPr>
            <w:r w:rsidRPr="00E77E9D">
              <w:rPr>
                <w:rFonts w:eastAsia="Calibri"/>
              </w:rPr>
              <w:t>143.7</w:t>
            </w:r>
          </w:p>
        </w:tc>
        <w:tc>
          <w:tcPr>
            <w:tcW w:w="0" w:type="auto"/>
            <w:shd w:val="clear" w:color="auto" w:fill="FFFFFF"/>
            <w:tcMar>
              <w:top w:w="0" w:type="dxa"/>
              <w:left w:w="85" w:type="dxa"/>
              <w:bottom w:w="0" w:type="dxa"/>
              <w:right w:w="85" w:type="dxa"/>
            </w:tcMar>
            <w:vAlign w:val="center"/>
          </w:tcPr>
          <w:p w14:paraId="388D0561" w14:textId="77777777" w:rsidR="00F52C3D" w:rsidRPr="00E77E9D" w:rsidRDefault="00F52C3D" w:rsidP="00F16E23">
            <w:pPr>
              <w:pStyle w:val="TableText"/>
              <w:spacing w:before="40" w:after="40"/>
              <w:jc w:val="right"/>
            </w:pPr>
            <w:r w:rsidRPr="00E77E9D">
              <w:rPr>
                <w:rFonts w:eastAsia="Calibri"/>
              </w:rPr>
              <w:t>178.7</w:t>
            </w:r>
          </w:p>
        </w:tc>
        <w:tc>
          <w:tcPr>
            <w:tcW w:w="0" w:type="auto"/>
            <w:shd w:val="clear" w:color="auto" w:fill="FFFFFF"/>
            <w:tcMar>
              <w:top w:w="0" w:type="dxa"/>
              <w:left w:w="85" w:type="dxa"/>
              <w:bottom w:w="0" w:type="dxa"/>
              <w:right w:w="85" w:type="dxa"/>
            </w:tcMar>
            <w:vAlign w:val="center"/>
          </w:tcPr>
          <w:p w14:paraId="15142F0F" w14:textId="77777777" w:rsidR="00F52C3D" w:rsidRPr="00E77E9D" w:rsidRDefault="00F52C3D" w:rsidP="00F16E23">
            <w:pPr>
              <w:pStyle w:val="TableText"/>
              <w:spacing w:before="40" w:after="40"/>
              <w:jc w:val="right"/>
            </w:pPr>
            <w:r w:rsidRPr="00E77E9D">
              <w:rPr>
                <w:rFonts w:eastAsia="Calibri"/>
              </w:rPr>
              <w:t>171.1</w:t>
            </w:r>
          </w:p>
        </w:tc>
        <w:tc>
          <w:tcPr>
            <w:tcW w:w="0" w:type="auto"/>
            <w:shd w:val="clear" w:color="auto" w:fill="FFFFFF"/>
            <w:tcMar>
              <w:top w:w="0" w:type="dxa"/>
              <w:left w:w="85" w:type="dxa"/>
              <w:bottom w:w="0" w:type="dxa"/>
              <w:right w:w="85" w:type="dxa"/>
            </w:tcMar>
            <w:vAlign w:val="center"/>
          </w:tcPr>
          <w:p w14:paraId="425E1D9A" w14:textId="77777777" w:rsidR="00F52C3D" w:rsidRPr="00E77E9D" w:rsidRDefault="00F52C3D" w:rsidP="00F16E23">
            <w:pPr>
              <w:pStyle w:val="TableText"/>
              <w:spacing w:before="40" w:after="40"/>
              <w:jc w:val="right"/>
            </w:pPr>
            <w:r w:rsidRPr="00E77E9D">
              <w:rPr>
                <w:rFonts w:eastAsia="Calibri"/>
              </w:rPr>
              <w:t>27.4</w:t>
            </w:r>
          </w:p>
        </w:tc>
        <w:tc>
          <w:tcPr>
            <w:tcW w:w="0" w:type="auto"/>
            <w:shd w:val="clear" w:color="auto" w:fill="FFFFFF"/>
            <w:tcMar>
              <w:top w:w="0" w:type="dxa"/>
              <w:left w:w="85" w:type="dxa"/>
              <w:bottom w:w="0" w:type="dxa"/>
              <w:right w:w="85" w:type="dxa"/>
            </w:tcMar>
            <w:vAlign w:val="center"/>
          </w:tcPr>
          <w:p w14:paraId="2FA27DE7" w14:textId="77777777" w:rsidR="00F52C3D" w:rsidRPr="00E77E9D" w:rsidRDefault="00F52C3D" w:rsidP="00F16E23">
            <w:pPr>
              <w:pStyle w:val="TableText"/>
              <w:spacing w:before="40" w:after="40"/>
              <w:jc w:val="right"/>
            </w:pPr>
            <w:r w:rsidRPr="00E77E9D">
              <w:rPr>
                <w:rFonts w:eastAsia="Calibri"/>
              </w:rPr>
              <w:t xml:space="preserve"> 19.1</w:t>
            </w:r>
          </w:p>
        </w:tc>
        <w:tc>
          <w:tcPr>
            <w:tcW w:w="0" w:type="auto"/>
            <w:shd w:val="clear" w:color="auto" w:fill="FFFFFF"/>
            <w:tcMar>
              <w:top w:w="0" w:type="dxa"/>
              <w:left w:w="85" w:type="dxa"/>
              <w:bottom w:w="0" w:type="dxa"/>
              <w:right w:w="85" w:type="dxa"/>
            </w:tcMar>
            <w:vAlign w:val="center"/>
          </w:tcPr>
          <w:p w14:paraId="07C4E269" w14:textId="77777777" w:rsidR="00F52C3D" w:rsidRPr="00E77E9D" w:rsidRDefault="00F52C3D" w:rsidP="00F16E23">
            <w:pPr>
              <w:pStyle w:val="TableText"/>
              <w:spacing w:before="40" w:after="40"/>
              <w:jc w:val="right"/>
            </w:pPr>
            <w:r w:rsidRPr="00E77E9D">
              <w:rPr>
                <w:rFonts w:eastAsia="Calibri"/>
              </w:rPr>
              <w:t xml:space="preserve"> -7.6</w:t>
            </w:r>
          </w:p>
        </w:tc>
        <w:tc>
          <w:tcPr>
            <w:tcW w:w="0" w:type="auto"/>
            <w:shd w:val="clear" w:color="auto" w:fill="FFFFFF"/>
            <w:tcMar>
              <w:top w:w="0" w:type="dxa"/>
              <w:left w:w="85" w:type="dxa"/>
              <w:bottom w:w="0" w:type="dxa"/>
              <w:right w:w="85" w:type="dxa"/>
            </w:tcMar>
            <w:vAlign w:val="center"/>
          </w:tcPr>
          <w:p w14:paraId="272E814E" w14:textId="77777777" w:rsidR="00F52C3D" w:rsidRPr="00E77E9D" w:rsidRDefault="00F52C3D" w:rsidP="00F16E23">
            <w:pPr>
              <w:pStyle w:val="TableText"/>
              <w:spacing w:before="40" w:after="40"/>
              <w:jc w:val="right"/>
            </w:pPr>
            <w:r w:rsidRPr="00E77E9D">
              <w:rPr>
                <w:rFonts w:eastAsia="Calibri"/>
              </w:rPr>
              <w:t xml:space="preserve"> -4.3</w:t>
            </w:r>
          </w:p>
        </w:tc>
      </w:tr>
      <w:tr w:rsidR="00F52C3D" w:rsidRPr="00E77E9D" w14:paraId="7694D285" w14:textId="77777777" w:rsidTr="00F16E23">
        <w:tc>
          <w:tcPr>
            <w:tcW w:w="0" w:type="auto"/>
            <w:shd w:val="clear" w:color="auto" w:fill="FFFFFF"/>
            <w:tcMar>
              <w:top w:w="0" w:type="dxa"/>
              <w:left w:w="85" w:type="dxa"/>
              <w:bottom w:w="0" w:type="dxa"/>
              <w:right w:w="85" w:type="dxa"/>
            </w:tcMar>
            <w:vAlign w:val="center"/>
          </w:tcPr>
          <w:p w14:paraId="6D1213D9" w14:textId="77777777" w:rsidR="00F52C3D" w:rsidRPr="00E77E9D" w:rsidRDefault="00F52C3D" w:rsidP="00F16E23">
            <w:pPr>
              <w:pStyle w:val="TableText"/>
              <w:spacing w:before="40" w:after="40"/>
            </w:pPr>
            <w:r w:rsidRPr="00E77E9D">
              <w:rPr>
                <w:rFonts w:eastAsia="Calibri"/>
              </w:rPr>
              <w:t>NO</w:t>
            </w:r>
            <w:r w:rsidRPr="00E77E9D">
              <w:rPr>
                <w:rFonts w:eastAsia="Calibri"/>
                <w:vertAlign w:val="subscript"/>
              </w:rPr>
              <w:t>X</w:t>
            </w:r>
          </w:p>
        </w:tc>
        <w:tc>
          <w:tcPr>
            <w:tcW w:w="0" w:type="auto"/>
            <w:shd w:val="clear" w:color="auto" w:fill="FFFFFF"/>
            <w:tcMar>
              <w:top w:w="0" w:type="dxa"/>
              <w:left w:w="85" w:type="dxa"/>
              <w:bottom w:w="0" w:type="dxa"/>
              <w:right w:w="85" w:type="dxa"/>
            </w:tcMar>
            <w:vAlign w:val="center"/>
          </w:tcPr>
          <w:p w14:paraId="69905D32" w14:textId="77777777" w:rsidR="00F52C3D" w:rsidRPr="00E77E9D" w:rsidRDefault="00F52C3D" w:rsidP="00F16E23">
            <w:pPr>
              <w:pStyle w:val="TableText"/>
              <w:spacing w:before="40" w:after="40"/>
              <w:jc w:val="right"/>
            </w:pPr>
            <w:r w:rsidRPr="00E77E9D">
              <w:rPr>
                <w:rFonts w:eastAsia="Calibri"/>
              </w:rPr>
              <w:t>102.5</w:t>
            </w:r>
          </w:p>
        </w:tc>
        <w:tc>
          <w:tcPr>
            <w:tcW w:w="0" w:type="auto"/>
            <w:shd w:val="clear" w:color="auto" w:fill="FFFFFF"/>
            <w:tcMar>
              <w:top w:w="0" w:type="dxa"/>
              <w:left w:w="85" w:type="dxa"/>
              <w:bottom w:w="0" w:type="dxa"/>
              <w:right w:w="85" w:type="dxa"/>
            </w:tcMar>
            <w:vAlign w:val="center"/>
          </w:tcPr>
          <w:p w14:paraId="6254409F" w14:textId="77777777" w:rsidR="00F52C3D" w:rsidRPr="00E77E9D" w:rsidRDefault="00F52C3D" w:rsidP="00F16E23">
            <w:pPr>
              <w:pStyle w:val="TableText"/>
              <w:spacing w:before="40" w:after="40"/>
              <w:jc w:val="right"/>
            </w:pPr>
            <w:r w:rsidRPr="00E77E9D">
              <w:rPr>
                <w:rFonts w:eastAsia="Calibri"/>
              </w:rPr>
              <w:t>164.9</w:t>
            </w:r>
          </w:p>
        </w:tc>
        <w:tc>
          <w:tcPr>
            <w:tcW w:w="0" w:type="auto"/>
            <w:shd w:val="clear" w:color="auto" w:fill="FFFFFF"/>
            <w:tcMar>
              <w:top w:w="0" w:type="dxa"/>
              <w:left w:w="85" w:type="dxa"/>
              <w:bottom w:w="0" w:type="dxa"/>
              <w:right w:w="85" w:type="dxa"/>
            </w:tcMar>
            <w:vAlign w:val="center"/>
          </w:tcPr>
          <w:p w14:paraId="553FFE75" w14:textId="77777777" w:rsidR="00F52C3D" w:rsidRPr="00E77E9D" w:rsidRDefault="00F52C3D" w:rsidP="00F16E23">
            <w:pPr>
              <w:pStyle w:val="TableText"/>
              <w:spacing w:before="40" w:after="40"/>
              <w:jc w:val="right"/>
            </w:pPr>
            <w:r w:rsidRPr="00E77E9D">
              <w:rPr>
                <w:rFonts w:eastAsia="Calibri"/>
              </w:rPr>
              <w:t>150.0</w:t>
            </w:r>
          </w:p>
        </w:tc>
        <w:tc>
          <w:tcPr>
            <w:tcW w:w="0" w:type="auto"/>
            <w:shd w:val="clear" w:color="auto" w:fill="FFFFFF"/>
            <w:tcMar>
              <w:top w:w="0" w:type="dxa"/>
              <w:left w:w="85" w:type="dxa"/>
              <w:bottom w:w="0" w:type="dxa"/>
              <w:right w:w="85" w:type="dxa"/>
            </w:tcMar>
            <w:vAlign w:val="center"/>
          </w:tcPr>
          <w:p w14:paraId="1311C186" w14:textId="77777777" w:rsidR="00F52C3D" w:rsidRPr="00E77E9D" w:rsidRDefault="00F52C3D" w:rsidP="00F16E23">
            <w:pPr>
              <w:pStyle w:val="TableText"/>
              <w:spacing w:before="40" w:after="40"/>
              <w:jc w:val="right"/>
            </w:pPr>
            <w:r w:rsidRPr="00E77E9D">
              <w:rPr>
                <w:rFonts w:eastAsia="Calibri"/>
              </w:rPr>
              <w:t>47.4</w:t>
            </w:r>
          </w:p>
        </w:tc>
        <w:tc>
          <w:tcPr>
            <w:tcW w:w="0" w:type="auto"/>
            <w:shd w:val="clear" w:color="auto" w:fill="FFFFFF"/>
            <w:tcMar>
              <w:top w:w="0" w:type="dxa"/>
              <w:left w:w="85" w:type="dxa"/>
              <w:bottom w:w="0" w:type="dxa"/>
              <w:right w:w="85" w:type="dxa"/>
            </w:tcMar>
            <w:vAlign w:val="center"/>
          </w:tcPr>
          <w:p w14:paraId="2B39DE30" w14:textId="77777777" w:rsidR="00F52C3D" w:rsidRPr="00E77E9D" w:rsidRDefault="00F52C3D" w:rsidP="00F16E23">
            <w:pPr>
              <w:pStyle w:val="TableText"/>
              <w:spacing w:before="40" w:after="40"/>
              <w:jc w:val="right"/>
            </w:pPr>
            <w:r w:rsidRPr="00E77E9D">
              <w:rPr>
                <w:rFonts w:eastAsia="Calibri"/>
              </w:rPr>
              <w:t xml:space="preserve"> 46.3</w:t>
            </w:r>
          </w:p>
        </w:tc>
        <w:tc>
          <w:tcPr>
            <w:tcW w:w="0" w:type="auto"/>
            <w:shd w:val="clear" w:color="auto" w:fill="FFFFFF"/>
            <w:tcMar>
              <w:top w:w="0" w:type="dxa"/>
              <w:left w:w="85" w:type="dxa"/>
              <w:bottom w:w="0" w:type="dxa"/>
              <w:right w:w="85" w:type="dxa"/>
            </w:tcMar>
            <w:vAlign w:val="center"/>
          </w:tcPr>
          <w:p w14:paraId="660DAD3A" w14:textId="77777777" w:rsidR="00F52C3D" w:rsidRPr="00E77E9D" w:rsidRDefault="00F52C3D" w:rsidP="00F16E23">
            <w:pPr>
              <w:pStyle w:val="TableText"/>
              <w:spacing w:before="40" w:after="40"/>
              <w:jc w:val="right"/>
            </w:pPr>
            <w:r w:rsidRPr="00E77E9D">
              <w:rPr>
                <w:rFonts w:eastAsia="Calibri"/>
              </w:rPr>
              <w:t>-14.9</w:t>
            </w:r>
          </w:p>
        </w:tc>
        <w:tc>
          <w:tcPr>
            <w:tcW w:w="0" w:type="auto"/>
            <w:shd w:val="clear" w:color="auto" w:fill="FFFFFF"/>
            <w:tcMar>
              <w:top w:w="0" w:type="dxa"/>
              <w:left w:w="85" w:type="dxa"/>
              <w:bottom w:w="0" w:type="dxa"/>
              <w:right w:w="85" w:type="dxa"/>
            </w:tcMar>
            <w:vAlign w:val="center"/>
          </w:tcPr>
          <w:p w14:paraId="35BB8973" w14:textId="77777777" w:rsidR="00F52C3D" w:rsidRPr="00E77E9D" w:rsidRDefault="00F52C3D" w:rsidP="00F16E23">
            <w:pPr>
              <w:pStyle w:val="TableText"/>
              <w:spacing w:before="40" w:after="40"/>
              <w:jc w:val="right"/>
            </w:pPr>
            <w:r w:rsidRPr="00E77E9D">
              <w:rPr>
                <w:rFonts w:eastAsia="Calibri"/>
              </w:rPr>
              <w:t xml:space="preserve"> -9.0</w:t>
            </w:r>
          </w:p>
        </w:tc>
      </w:tr>
      <w:tr w:rsidR="00F52C3D" w:rsidRPr="00E77E9D" w14:paraId="682C409B" w14:textId="77777777" w:rsidTr="00F16E23">
        <w:tc>
          <w:tcPr>
            <w:tcW w:w="0" w:type="auto"/>
            <w:shd w:val="clear" w:color="auto" w:fill="FFFFFF"/>
            <w:tcMar>
              <w:top w:w="0" w:type="dxa"/>
              <w:left w:w="85" w:type="dxa"/>
              <w:bottom w:w="0" w:type="dxa"/>
              <w:right w:w="85" w:type="dxa"/>
            </w:tcMar>
            <w:vAlign w:val="center"/>
          </w:tcPr>
          <w:p w14:paraId="465D3F0A" w14:textId="77777777" w:rsidR="00F52C3D" w:rsidRPr="00E77E9D" w:rsidRDefault="00F52C3D" w:rsidP="00F16E23">
            <w:pPr>
              <w:pStyle w:val="TableText"/>
              <w:spacing w:before="40" w:after="40"/>
            </w:pPr>
            <w:r w:rsidRPr="00E77E9D">
              <w:rPr>
                <w:rFonts w:eastAsia="Calibri"/>
              </w:rPr>
              <w:t>SO</w:t>
            </w:r>
            <w:r w:rsidRPr="00E77E9D">
              <w:rPr>
                <w:rFonts w:eastAsia="Calibri"/>
                <w:vertAlign w:val="subscript"/>
              </w:rPr>
              <w:t>2</w:t>
            </w:r>
          </w:p>
        </w:tc>
        <w:tc>
          <w:tcPr>
            <w:tcW w:w="0" w:type="auto"/>
            <w:shd w:val="clear" w:color="auto" w:fill="FFFFFF"/>
            <w:tcMar>
              <w:top w:w="0" w:type="dxa"/>
              <w:left w:w="85" w:type="dxa"/>
              <w:bottom w:w="0" w:type="dxa"/>
              <w:right w:w="85" w:type="dxa"/>
            </w:tcMar>
            <w:vAlign w:val="center"/>
          </w:tcPr>
          <w:p w14:paraId="02482CE4" w14:textId="77777777" w:rsidR="00F52C3D" w:rsidRPr="00E77E9D" w:rsidRDefault="00F52C3D" w:rsidP="00F16E23">
            <w:pPr>
              <w:pStyle w:val="TableText"/>
              <w:spacing w:before="40" w:after="40"/>
              <w:jc w:val="right"/>
            </w:pPr>
            <w:r w:rsidRPr="00E77E9D">
              <w:rPr>
                <w:rFonts w:eastAsia="Calibri"/>
              </w:rPr>
              <w:t xml:space="preserve"> 58.6</w:t>
            </w:r>
          </w:p>
        </w:tc>
        <w:tc>
          <w:tcPr>
            <w:tcW w:w="0" w:type="auto"/>
            <w:shd w:val="clear" w:color="auto" w:fill="FFFFFF"/>
            <w:tcMar>
              <w:top w:w="0" w:type="dxa"/>
              <w:left w:w="85" w:type="dxa"/>
              <w:bottom w:w="0" w:type="dxa"/>
              <w:right w:w="85" w:type="dxa"/>
            </w:tcMar>
            <w:vAlign w:val="center"/>
          </w:tcPr>
          <w:p w14:paraId="25EEDA88" w14:textId="77777777" w:rsidR="00F52C3D" w:rsidRPr="00E77E9D" w:rsidRDefault="00F52C3D" w:rsidP="00F16E23">
            <w:pPr>
              <w:pStyle w:val="TableText"/>
              <w:spacing w:before="40" w:after="40"/>
              <w:jc w:val="right"/>
            </w:pPr>
            <w:r w:rsidRPr="00E77E9D">
              <w:rPr>
                <w:rFonts w:eastAsia="Calibri"/>
              </w:rPr>
              <w:t xml:space="preserve"> 87.8</w:t>
            </w:r>
          </w:p>
        </w:tc>
        <w:tc>
          <w:tcPr>
            <w:tcW w:w="0" w:type="auto"/>
            <w:shd w:val="clear" w:color="auto" w:fill="FFFFFF"/>
            <w:tcMar>
              <w:top w:w="0" w:type="dxa"/>
              <w:left w:w="85" w:type="dxa"/>
              <w:bottom w:w="0" w:type="dxa"/>
              <w:right w:w="85" w:type="dxa"/>
            </w:tcMar>
            <w:vAlign w:val="center"/>
          </w:tcPr>
          <w:p w14:paraId="5742539F" w14:textId="77777777" w:rsidR="00F52C3D" w:rsidRPr="00E77E9D" w:rsidRDefault="00F52C3D" w:rsidP="00F16E23">
            <w:pPr>
              <w:pStyle w:val="TableText"/>
              <w:spacing w:before="40" w:after="40"/>
              <w:jc w:val="right"/>
            </w:pPr>
            <w:r w:rsidRPr="00E77E9D">
              <w:rPr>
                <w:rFonts w:eastAsia="Calibri"/>
              </w:rPr>
              <w:t xml:space="preserve"> 49.8</w:t>
            </w:r>
          </w:p>
        </w:tc>
        <w:tc>
          <w:tcPr>
            <w:tcW w:w="0" w:type="auto"/>
            <w:shd w:val="clear" w:color="auto" w:fill="FFFFFF"/>
            <w:tcMar>
              <w:top w:w="0" w:type="dxa"/>
              <w:left w:w="85" w:type="dxa"/>
              <w:bottom w:w="0" w:type="dxa"/>
              <w:right w:w="85" w:type="dxa"/>
            </w:tcMar>
            <w:vAlign w:val="center"/>
          </w:tcPr>
          <w:p w14:paraId="268EDECB" w14:textId="77777777" w:rsidR="00F52C3D" w:rsidRPr="00E77E9D" w:rsidRDefault="00F52C3D" w:rsidP="00F16E23">
            <w:pPr>
              <w:pStyle w:val="TableText"/>
              <w:spacing w:before="40" w:after="40"/>
              <w:jc w:val="right"/>
            </w:pPr>
            <w:r w:rsidRPr="00E77E9D">
              <w:rPr>
                <w:rFonts w:eastAsia="Calibri"/>
              </w:rPr>
              <w:t>-8.8</w:t>
            </w:r>
          </w:p>
        </w:tc>
        <w:tc>
          <w:tcPr>
            <w:tcW w:w="0" w:type="auto"/>
            <w:shd w:val="clear" w:color="auto" w:fill="FFFFFF"/>
            <w:tcMar>
              <w:top w:w="0" w:type="dxa"/>
              <w:left w:w="85" w:type="dxa"/>
              <w:bottom w:w="0" w:type="dxa"/>
              <w:right w:w="85" w:type="dxa"/>
            </w:tcMar>
            <w:vAlign w:val="center"/>
          </w:tcPr>
          <w:p w14:paraId="5205D807" w14:textId="77777777" w:rsidR="00F52C3D" w:rsidRPr="00E77E9D" w:rsidRDefault="00F52C3D" w:rsidP="00F16E23">
            <w:pPr>
              <w:pStyle w:val="TableText"/>
              <w:spacing w:before="40" w:after="40"/>
              <w:jc w:val="right"/>
            </w:pPr>
            <w:r w:rsidRPr="00E77E9D">
              <w:rPr>
                <w:rFonts w:eastAsia="Calibri"/>
              </w:rPr>
              <w:t>-14.9</w:t>
            </w:r>
          </w:p>
        </w:tc>
        <w:tc>
          <w:tcPr>
            <w:tcW w:w="0" w:type="auto"/>
            <w:shd w:val="clear" w:color="auto" w:fill="FFFFFF"/>
            <w:tcMar>
              <w:top w:w="0" w:type="dxa"/>
              <w:left w:w="85" w:type="dxa"/>
              <w:bottom w:w="0" w:type="dxa"/>
              <w:right w:w="85" w:type="dxa"/>
            </w:tcMar>
            <w:vAlign w:val="center"/>
          </w:tcPr>
          <w:p w14:paraId="453D6CEB" w14:textId="77777777" w:rsidR="00F52C3D" w:rsidRPr="00E77E9D" w:rsidRDefault="00F52C3D" w:rsidP="00F16E23">
            <w:pPr>
              <w:pStyle w:val="TableText"/>
              <w:spacing w:before="40" w:after="40"/>
              <w:jc w:val="right"/>
            </w:pPr>
            <w:r w:rsidRPr="00E77E9D">
              <w:rPr>
                <w:rFonts w:eastAsia="Calibri"/>
              </w:rPr>
              <w:t>-38.0</w:t>
            </w:r>
          </w:p>
        </w:tc>
        <w:tc>
          <w:tcPr>
            <w:tcW w:w="0" w:type="auto"/>
            <w:shd w:val="clear" w:color="auto" w:fill="FFFFFF"/>
            <w:tcMar>
              <w:top w:w="0" w:type="dxa"/>
              <w:left w:w="85" w:type="dxa"/>
              <w:bottom w:w="0" w:type="dxa"/>
              <w:right w:w="85" w:type="dxa"/>
            </w:tcMar>
            <w:vAlign w:val="center"/>
          </w:tcPr>
          <w:p w14:paraId="60884E2F" w14:textId="77777777" w:rsidR="00F52C3D" w:rsidRPr="00E77E9D" w:rsidRDefault="00F52C3D" w:rsidP="00F16E23">
            <w:pPr>
              <w:pStyle w:val="TableText"/>
              <w:spacing w:before="40" w:after="40"/>
              <w:jc w:val="right"/>
            </w:pPr>
            <w:r w:rsidRPr="00E77E9D">
              <w:rPr>
                <w:rFonts w:eastAsia="Calibri"/>
              </w:rPr>
              <w:t>-43.3</w:t>
            </w:r>
          </w:p>
        </w:tc>
      </w:tr>
    </w:tbl>
    <w:p w14:paraId="04B76ADB" w14:textId="77777777" w:rsidR="00F52C3D" w:rsidRPr="00E77E9D" w:rsidRDefault="00F52C3D" w:rsidP="00F52C3D">
      <w:pPr>
        <w:pStyle w:val="Noteundertable"/>
      </w:pPr>
      <w:r w:rsidRPr="00E77E9D">
        <w:rPr>
          <w:b/>
          <w:bCs/>
        </w:rPr>
        <w:t>Note:</w:t>
      </w:r>
      <w:r w:rsidRPr="00E77E9D">
        <w:t xml:space="preserve"> </w:t>
      </w:r>
      <w:r w:rsidRPr="00E77E9D">
        <w:tab/>
        <w:t>Columns may not total due to rounding. Percentages presented are calculated from unrounded values.</w:t>
      </w:r>
    </w:p>
    <w:p w14:paraId="0B8B004B" w14:textId="77777777" w:rsidR="00F52C3D" w:rsidRPr="00E77E9D" w:rsidRDefault="00F52C3D" w:rsidP="00F52C3D">
      <w:pPr>
        <w:pStyle w:val="Heading2"/>
        <w:tabs>
          <w:tab w:val="clear" w:pos="851"/>
          <w:tab w:val="left" w:pos="964"/>
        </w:tabs>
      </w:pPr>
      <w:bookmarkStart w:id="24" w:name="_Toc226460734"/>
      <w:bookmarkStart w:id="25" w:name="es.5-key-category-analysis"/>
      <w:bookmarkEnd w:id="22"/>
      <w:r w:rsidRPr="00E77E9D">
        <w:t xml:space="preserve">ES.5 </w:t>
      </w:r>
      <w:r w:rsidRPr="00E77E9D">
        <w:tab/>
        <w:t>Key category analysis</w:t>
      </w:r>
      <w:bookmarkEnd w:id="24"/>
    </w:p>
    <w:p w14:paraId="6E970194" w14:textId="77777777" w:rsidR="00F52C3D" w:rsidRPr="00E77E9D" w:rsidRDefault="00F52C3D" w:rsidP="009E267F">
      <w:pPr>
        <w:pStyle w:val="BodyText"/>
      </w:pPr>
      <w:r w:rsidRPr="00E77E9D">
        <w:t xml:space="preserve">The 2006 IPCC Guidelines (IPCC, 2006a) identify a key category as one that is prioritised within the national inventory </w:t>
      </w:r>
      <w:r w:rsidRPr="009E267F">
        <w:t>system</w:t>
      </w:r>
      <w:r w:rsidRPr="00E77E9D">
        <w:t xml:space="preserve"> because its estimate has a significant influence on a country’s </w:t>
      </w:r>
      <w:r w:rsidRPr="00E77E9D">
        <w:rPr>
          <w:spacing w:val="-2"/>
        </w:rPr>
        <w:t>total inventory of direct GHGs in terms of the absolute level of emissions, the trend in emissions</w:t>
      </w:r>
      <w:r w:rsidRPr="00E77E9D">
        <w:t>, or both. Key categories identified within the Inventory are used to prioritise where to improve emissions estimates.</w:t>
      </w:r>
    </w:p>
    <w:p w14:paraId="32247DC8" w14:textId="77777777" w:rsidR="00F52C3D" w:rsidRPr="00E77E9D" w:rsidRDefault="00F52C3D" w:rsidP="00F52C3D">
      <w:pPr>
        <w:pStyle w:val="BodyText"/>
        <w:spacing w:before="100" w:after="100"/>
      </w:pPr>
      <w:r w:rsidRPr="00E77E9D">
        <w:t>The categories that had the largest relative influence on the national trend in gross emissions are presented in table ES 5.1.</w:t>
      </w:r>
    </w:p>
    <w:p w14:paraId="3CFA349A" w14:textId="77777777" w:rsidR="00F52C3D" w:rsidRPr="00E77E9D" w:rsidRDefault="00F52C3D" w:rsidP="000539D6">
      <w:pPr>
        <w:pStyle w:val="Table"/>
      </w:pPr>
      <w:bookmarkStart w:id="26" w:name="_Toc226668940"/>
      <w:r w:rsidRPr="00E77E9D">
        <w:t xml:space="preserve">Table ES 5.1 </w:t>
      </w:r>
      <w:r w:rsidRPr="00E77E9D">
        <w:tab/>
        <w:t xml:space="preserve">Key categories with the largest relative influence on the national trend, compared with the average change in gross emissions from </w:t>
      </w:r>
      <w:r w:rsidRPr="00E77E9D">
        <w:rPr>
          <w:bCs/>
        </w:rPr>
        <w:t>1990</w:t>
      </w:r>
      <w:r w:rsidRPr="00E77E9D">
        <w:t xml:space="preserve"> to </w:t>
      </w:r>
      <w:r w:rsidRPr="00E77E9D">
        <w:rPr>
          <w:bCs/>
        </w:rPr>
        <w:t>2024</w:t>
      </w:r>
      <w:bookmarkEnd w:id="2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11"/>
        <w:gridCol w:w="425"/>
        <w:gridCol w:w="2694"/>
        <w:gridCol w:w="1264"/>
      </w:tblGrid>
      <w:tr w:rsidR="00F52C3D" w:rsidRPr="00E77E9D" w14:paraId="3F484230" w14:textId="77777777" w:rsidTr="00F16E23">
        <w:trPr>
          <w:tblHeader/>
        </w:trPr>
        <w:tc>
          <w:tcPr>
            <w:tcW w:w="4111" w:type="dxa"/>
            <w:shd w:val="clear" w:color="auto" w:fill="1B556B"/>
            <w:tcMar>
              <w:top w:w="0" w:type="dxa"/>
              <w:left w:w="85" w:type="dxa"/>
              <w:bottom w:w="0" w:type="dxa"/>
              <w:right w:w="85" w:type="dxa"/>
            </w:tcMar>
            <w:vAlign w:val="center"/>
          </w:tcPr>
          <w:p w14:paraId="65C0D4B4" w14:textId="77777777" w:rsidR="00F52C3D" w:rsidRPr="00E77E9D" w:rsidRDefault="00F52C3D" w:rsidP="00F16E23">
            <w:pPr>
              <w:pStyle w:val="TableTextBold"/>
              <w:rPr>
                <w:noProof w:val="0"/>
                <w:color w:val="FFFFFF" w:themeColor="background1"/>
              </w:rPr>
            </w:pPr>
            <w:r w:rsidRPr="00E77E9D">
              <w:rPr>
                <w:rFonts w:eastAsia="Calibri"/>
                <w:noProof w:val="0"/>
                <w:color w:val="FFFFFF" w:themeColor="background1"/>
              </w:rPr>
              <w:t>IPCC category</w:t>
            </w:r>
          </w:p>
        </w:tc>
        <w:tc>
          <w:tcPr>
            <w:tcW w:w="425" w:type="dxa"/>
            <w:shd w:val="clear" w:color="auto" w:fill="1B556B"/>
            <w:tcMar>
              <w:top w:w="0" w:type="dxa"/>
              <w:left w:w="85" w:type="dxa"/>
              <w:bottom w:w="0" w:type="dxa"/>
              <w:right w:w="85" w:type="dxa"/>
            </w:tcMar>
            <w:vAlign w:val="center"/>
          </w:tcPr>
          <w:p w14:paraId="31ACF8A6" w14:textId="77777777" w:rsidR="00F52C3D" w:rsidRPr="00E77E9D" w:rsidRDefault="00F52C3D" w:rsidP="00F16E23">
            <w:pPr>
              <w:pStyle w:val="TableTextBold"/>
              <w:jc w:val="right"/>
              <w:rPr>
                <w:noProof w:val="0"/>
                <w:color w:val="FFFFFF" w:themeColor="background1"/>
              </w:rPr>
            </w:pPr>
            <w:r w:rsidRPr="00E77E9D">
              <w:rPr>
                <w:rFonts w:eastAsia="Calibri"/>
                <w:noProof w:val="0"/>
                <w:color w:val="FFFFFF" w:themeColor="background1"/>
              </w:rPr>
              <w:t>Gas</w:t>
            </w:r>
          </w:p>
        </w:tc>
        <w:tc>
          <w:tcPr>
            <w:tcW w:w="2694" w:type="dxa"/>
            <w:shd w:val="clear" w:color="auto" w:fill="1B556B"/>
            <w:tcMar>
              <w:top w:w="0" w:type="dxa"/>
              <w:left w:w="85" w:type="dxa"/>
              <w:bottom w:w="0" w:type="dxa"/>
              <w:right w:w="85" w:type="dxa"/>
            </w:tcMar>
            <w:vAlign w:val="center"/>
          </w:tcPr>
          <w:p w14:paraId="53CBCA6D" w14:textId="77777777" w:rsidR="00F52C3D" w:rsidRPr="00E77E9D" w:rsidRDefault="00F52C3D" w:rsidP="00F16E23">
            <w:pPr>
              <w:pStyle w:val="TableTextBold"/>
              <w:jc w:val="right"/>
              <w:rPr>
                <w:noProof w:val="0"/>
                <w:color w:val="FFFFFF" w:themeColor="background1"/>
              </w:rPr>
            </w:pPr>
            <w:r w:rsidRPr="00E77E9D">
              <w:rPr>
                <w:rFonts w:eastAsia="Calibri"/>
                <w:noProof w:val="0"/>
                <w:color w:val="FFFFFF" w:themeColor="background1"/>
              </w:rPr>
              <w:t>Absolute contribution to trend (%)</w:t>
            </w:r>
          </w:p>
        </w:tc>
        <w:tc>
          <w:tcPr>
            <w:tcW w:w="1264" w:type="dxa"/>
            <w:shd w:val="clear" w:color="auto" w:fill="1B556B"/>
            <w:tcMar>
              <w:top w:w="0" w:type="dxa"/>
              <w:left w:w="85" w:type="dxa"/>
              <w:bottom w:w="0" w:type="dxa"/>
              <w:right w:w="85" w:type="dxa"/>
            </w:tcMar>
            <w:vAlign w:val="center"/>
          </w:tcPr>
          <w:p w14:paraId="4C21946F" w14:textId="77777777" w:rsidR="00F52C3D" w:rsidRPr="00E77E9D" w:rsidRDefault="00F52C3D" w:rsidP="00F16E23">
            <w:pPr>
              <w:pStyle w:val="TableTextBold"/>
              <w:jc w:val="right"/>
              <w:rPr>
                <w:noProof w:val="0"/>
                <w:color w:val="FFFFFF" w:themeColor="background1"/>
              </w:rPr>
            </w:pPr>
            <w:r w:rsidRPr="00E77E9D">
              <w:rPr>
                <w:rFonts w:eastAsia="Calibri"/>
                <w:noProof w:val="0"/>
                <w:color w:val="FFFFFF" w:themeColor="background1"/>
              </w:rPr>
              <w:t>Trend direction</w:t>
            </w:r>
          </w:p>
        </w:tc>
      </w:tr>
      <w:tr w:rsidR="00F52C3D" w:rsidRPr="00E77E9D" w14:paraId="6BB3425C" w14:textId="77777777" w:rsidTr="00F16E23">
        <w:tc>
          <w:tcPr>
            <w:tcW w:w="4111" w:type="dxa"/>
            <w:shd w:val="clear" w:color="auto" w:fill="FFFFFF" w:themeFill="background1"/>
            <w:tcMar>
              <w:top w:w="0" w:type="dxa"/>
              <w:left w:w="85" w:type="dxa"/>
              <w:bottom w:w="0" w:type="dxa"/>
              <w:right w:w="85" w:type="dxa"/>
            </w:tcMar>
            <w:vAlign w:val="center"/>
          </w:tcPr>
          <w:p w14:paraId="521FF970" w14:textId="77777777" w:rsidR="00F52C3D" w:rsidRPr="00E77E9D" w:rsidRDefault="00F52C3D" w:rsidP="00F16E23">
            <w:pPr>
              <w:pStyle w:val="TableText"/>
              <w:spacing w:before="40" w:after="40"/>
            </w:pPr>
            <w:r w:rsidRPr="00E77E9D">
              <w:rPr>
                <w:rFonts w:eastAsia="Calibri"/>
              </w:rPr>
              <w:t>Enteric fermentation – Sheep</w:t>
            </w:r>
          </w:p>
        </w:tc>
        <w:tc>
          <w:tcPr>
            <w:tcW w:w="425" w:type="dxa"/>
            <w:shd w:val="clear" w:color="auto" w:fill="FFFFFF" w:themeFill="background1"/>
            <w:tcMar>
              <w:top w:w="0" w:type="dxa"/>
              <w:left w:w="85" w:type="dxa"/>
              <w:bottom w:w="0" w:type="dxa"/>
              <w:right w:w="85" w:type="dxa"/>
            </w:tcMar>
            <w:vAlign w:val="center"/>
          </w:tcPr>
          <w:p w14:paraId="2FB11AE6" w14:textId="77777777" w:rsidR="00F52C3D" w:rsidRPr="00E77E9D" w:rsidRDefault="00F52C3D" w:rsidP="00F16E23">
            <w:pPr>
              <w:pStyle w:val="TableText"/>
              <w:spacing w:before="40" w:after="40"/>
              <w:jc w:val="right"/>
            </w:pPr>
            <w:r w:rsidRPr="00E77E9D">
              <w:rPr>
                <w:rFonts w:eastAsia="Calibri"/>
                <w:color w:val="000000" w:themeColor="text1"/>
              </w:rPr>
              <w:t>CH</w:t>
            </w:r>
            <w:r w:rsidRPr="00E77E9D">
              <w:rPr>
                <w:rFonts w:eastAsia="Calibri"/>
                <w:color w:val="000000" w:themeColor="text1"/>
                <w:vertAlign w:val="subscript"/>
              </w:rPr>
              <w:t>4</w:t>
            </w:r>
          </w:p>
        </w:tc>
        <w:tc>
          <w:tcPr>
            <w:tcW w:w="2694" w:type="dxa"/>
            <w:shd w:val="clear" w:color="auto" w:fill="FFFFFF" w:themeFill="background1"/>
            <w:tcMar>
              <w:top w:w="0" w:type="dxa"/>
              <w:left w:w="85" w:type="dxa"/>
              <w:bottom w:w="0" w:type="dxa"/>
              <w:right w:w="85" w:type="dxa"/>
            </w:tcMar>
            <w:vAlign w:val="center"/>
          </w:tcPr>
          <w:p w14:paraId="3861C1E5" w14:textId="77777777" w:rsidR="00F52C3D" w:rsidRPr="00E77E9D" w:rsidRDefault="00F52C3D" w:rsidP="00F16E23">
            <w:pPr>
              <w:pStyle w:val="TableText"/>
              <w:spacing w:before="40" w:after="40"/>
              <w:jc w:val="right"/>
            </w:pPr>
            <w:r w:rsidRPr="00E77E9D">
              <w:rPr>
                <w:rFonts w:eastAsia="Calibri"/>
              </w:rPr>
              <w:t>22.7</w:t>
            </w:r>
          </w:p>
        </w:tc>
        <w:tc>
          <w:tcPr>
            <w:tcW w:w="1264" w:type="dxa"/>
            <w:shd w:val="clear" w:color="auto" w:fill="FFFFFF" w:themeFill="background1"/>
            <w:tcMar>
              <w:top w:w="0" w:type="dxa"/>
              <w:left w:w="85" w:type="dxa"/>
              <w:bottom w:w="0" w:type="dxa"/>
              <w:right w:w="85" w:type="dxa"/>
            </w:tcMar>
            <w:vAlign w:val="center"/>
          </w:tcPr>
          <w:p w14:paraId="19584DF4" w14:textId="77777777" w:rsidR="00F52C3D" w:rsidRPr="00E77E9D" w:rsidRDefault="00F52C3D" w:rsidP="00F16E23">
            <w:pPr>
              <w:pStyle w:val="TableText"/>
              <w:spacing w:before="40" w:after="40"/>
              <w:jc w:val="right"/>
            </w:pPr>
            <w:r w:rsidRPr="00E77E9D">
              <w:rPr>
                <w:rFonts w:eastAsia="Calibri"/>
              </w:rPr>
              <w:t>Decrease</w:t>
            </w:r>
          </w:p>
        </w:tc>
      </w:tr>
      <w:tr w:rsidR="00F52C3D" w:rsidRPr="00E77E9D" w14:paraId="2787DD3B" w14:textId="77777777" w:rsidTr="00F16E23">
        <w:tc>
          <w:tcPr>
            <w:tcW w:w="4111" w:type="dxa"/>
            <w:shd w:val="clear" w:color="auto" w:fill="FFFFFF" w:themeFill="background1"/>
            <w:tcMar>
              <w:top w:w="0" w:type="dxa"/>
              <w:left w:w="85" w:type="dxa"/>
              <w:bottom w:w="0" w:type="dxa"/>
              <w:right w:w="85" w:type="dxa"/>
            </w:tcMar>
            <w:vAlign w:val="center"/>
          </w:tcPr>
          <w:p w14:paraId="5705B084" w14:textId="77777777" w:rsidR="00F52C3D" w:rsidRPr="00E77E9D" w:rsidRDefault="00F52C3D" w:rsidP="00F16E23">
            <w:pPr>
              <w:pStyle w:val="TableText"/>
              <w:spacing w:before="40" w:after="40"/>
            </w:pPr>
            <w:r w:rsidRPr="00E77E9D">
              <w:rPr>
                <w:rFonts w:eastAsia="Calibri"/>
              </w:rPr>
              <w:t>Option A – Dairy cattle</w:t>
            </w:r>
          </w:p>
        </w:tc>
        <w:tc>
          <w:tcPr>
            <w:tcW w:w="425" w:type="dxa"/>
            <w:shd w:val="clear" w:color="auto" w:fill="FFFFFF" w:themeFill="background1"/>
            <w:tcMar>
              <w:top w:w="0" w:type="dxa"/>
              <w:left w:w="85" w:type="dxa"/>
              <w:bottom w:w="0" w:type="dxa"/>
              <w:right w:w="85" w:type="dxa"/>
            </w:tcMar>
            <w:vAlign w:val="center"/>
          </w:tcPr>
          <w:p w14:paraId="1051A3C7" w14:textId="77777777" w:rsidR="00F52C3D" w:rsidRPr="00E77E9D" w:rsidRDefault="00F52C3D" w:rsidP="00F16E23">
            <w:pPr>
              <w:pStyle w:val="TableText"/>
              <w:spacing w:before="40" w:after="40"/>
              <w:jc w:val="right"/>
            </w:pPr>
            <w:r w:rsidRPr="00E77E9D">
              <w:rPr>
                <w:rFonts w:eastAsia="Calibri"/>
                <w:color w:val="000000" w:themeColor="text1"/>
              </w:rPr>
              <w:t>CH</w:t>
            </w:r>
            <w:r w:rsidRPr="00E77E9D">
              <w:rPr>
                <w:rFonts w:eastAsia="Calibri"/>
                <w:color w:val="000000" w:themeColor="text1"/>
                <w:vertAlign w:val="subscript"/>
              </w:rPr>
              <w:t>4</w:t>
            </w:r>
          </w:p>
        </w:tc>
        <w:tc>
          <w:tcPr>
            <w:tcW w:w="2694" w:type="dxa"/>
            <w:shd w:val="clear" w:color="auto" w:fill="FFFFFF" w:themeFill="background1"/>
            <w:tcMar>
              <w:top w:w="0" w:type="dxa"/>
              <w:left w:w="85" w:type="dxa"/>
              <w:bottom w:w="0" w:type="dxa"/>
              <w:right w:w="85" w:type="dxa"/>
            </w:tcMar>
            <w:vAlign w:val="center"/>
          </w:tcPr>
          <w:p w14:paraId="2704CB62" w14:textId="77777777" w:rsidR="00F52C3D" w:rsidRPr="00E77E9D" w:rsidRDefault="00F52C3D" w:rsidP="00F16E23">
            <w:pPr>
              <w:pStyle w:val="TableText"/>
              <w:spacing w:before="40" w:after="40"/>
              <w:jc w:val="right"/>
            </w:pPr>
            <w:r w:rsidRPr="00E77E9D">
              <w:rPr>
                <w:rFonts w:eastAsia="Calibri"/>
              </w:rPr>
              <w:t>18.6</w:t>
            </w:r>
          </w:p>
        </w:tc>
        <w:tc>
          <w:tcPr>
            <w:tcW w:w="1264" w:type="dxa"/>
            <w:shd w:val="clear" w:color="auto" w:fill="FFFFFF" w:themeFill="background1"/>
            <w:tcMar>
              <w:top w:w="0" w:type="dxa"/>
              <w:left w:w="85" w:type="dxa"/>
              <w:bottom w:w="0" w:type="dxa"/>
              <w:right w:w="85" w:type="dxa"/>
            </w:tcMar>
            <w:vAlign w:val="center"/>
          </w:tcPr>
          <w:p w14:paraId="7DFB2A04" w14:textId="77777777" w:rsidR="00F52C3D" w:rsidRPr="00E77E9D" w:rsidRDefault="00F52C3D" w:rsidP="00F16E23">
            <w:pPr>
              <w:pStyle w:val="TableText"/>
              <w:spacing w:before="40" w:after="40"/>
              <w:jc w:val="right"/>
            </w:pPr>
            <w:r w:rsidRPr="00E77E9D">
              <w:rPr>
                <w:rFonts w:eastAsia="Calibri"/>
              </w:rPr>
              <w:t>Increase</w:t>
            </w:r>
          </w:p>
        </w:tc>
      </w:tr>
      <w:tr w:rsidR="00F52C3D" w:rsidRPr="00E77E9D" w14:paraId="20052C93" w14:textId="77777777" w:rsidTr="00F16E23">
        <w:tc>
          <w:tcPr>
            <w:tcW w:w="4111" w:type="dxa"/>
            <w:shd w:val="clear" w:color="auto" w:fill="FFFFFF" w:themeFill="background1"/>
            <w:tcMar>
              <w:top w:w="0" w:type="dxa"/>
              <w:left w:w="85" w:type="dxa"/>
              <w:bottom w:w="0" w:type="dxa"/>
              <w:right w:w="85" w:type="dxa"/>
            </w:tcMar>
            <w:vAlign w:val="center"/>
          </w:tcPr>
          <w:p w14:paraId="223EEAFD" w14:textId="77777777" w:rsidR="00F52C3D" w:rsidRPr="00E77E9D" w:rsidRDefault="00F52C3D" w:rsidP="00F16E23">
            <w:pPr>
              <w:pStyle w:val="TableText"/>
              <w:spacing w:before="40" w:after="40"/>
            </w:pPr>
            <w:r w:rsidRPr="00E77E9D">
              <w:rPr>
                <w:rFonts w:eastAsia="Calibri"/>
              </w:rPr>
              <w:t>Transport – Road transportation</w:t>
            </w:r>
          </w:p>
        </w:tc>
        <w:tc>
          <w:tcPr>
            <w:tcW w:w="425" w:type="dxa"/>
            <w:shd w:val="clear" w:color="auto" w:fill="FFFFFF" w:themeFill="background1"/>
            <w:tcMar>
              <w:top w:w="0" w:type="dxa"/>
              <w:left w:w="85" w:type="dxa"/>
              <w:bottom w:w="0" w:type="dxa"/>
              <w:right w:w="85" w:type="dxa"/>
            </w:tcMar>
            <w:vAlign w:val="center"/>
          </w:tcPr>
          <w:p w14:paraId="62C9BB7B" w14:textId="77777777" w:rsidR="00F52C3D" w:rsidRPr="00E77E9D" w:rsidRDefault="00F52C3D" w:rsidP="00F16E23">
            <w:pPr>
              <w:pStyle w:val="TableText"/>
              <w:spacing w:before="40" w:after="40"/>
              <w:jc w:val="right"/>
            </w:pPr>
            <w:r w:rsidRPr="00E77E9D">
              <w:rPr>
                <w:rFonts w:eastAsia="Calibri"/>
                <w:color w:val="000000" w:themeColor="text1"/>
              </w:rPr>
              <w:t>CO</w:t>
            </w:r>
            <w:r w:rsidRPr="00E77E9D">
              <w:rPr>
                <w:rFonts w:eastAsia="Calibri"/>
                <w:color w:val="000000" w:themeColor="text1"/>
                <w:vertAlign w:val="subscript"/>
              </w:rPr>
              <w:t>2</w:t>
            </w:r>
          </w:p>
        </w:tc>
        <w:tc>
          <w:tcPr>
            <w:tcW w:w="2694" w:type="dxa"/>
            <w:shd w:val="clear" w:color="auto" w:fill="FFFFFF" w:themeFill="background1"/>
            <w:tcMar>
              <w:top w:w="0" w:type="dxa"/>
              <w:left w:w="85" w:type="dxa"/>
              <w:bottom w:w="0" w:type="dxa"/>
              <w:right w:w="85" w:type="dxa"/>
            </w:tcMar>
            <w:vAlign w:val="center"/>
          </w:tcPr>
          <w:p w14:paraId="702A5A23" w14:textId="77777777" w:rsidR="00F52C3D" w:rsidRPr="00E77E9D" w:rsidRDefault="00F52C3D" w:rsidP="00F16E23">
            <w:pPr>
              <w:pStyle w:val="TableText"/>
              <w:spacing w:before="40" w:after="40"/>
              <w:jc w:val="right"/>
            </w:pPr>
            <w:r w:rsidRPr="00E77E9D">
              <w:rPr>
                <w:rFonts w:eastAsia="Calibri"/>
              </w:rPr>
              <w:t>12.0</w:t>
            </w:r>
          </w:p>
        </w:tc>
        <w:tc>
          <w:tcPr>
            <w:tcW w:w="1264" w:type="dxa"/>
            <w:shd w:val="clear" w:color="auto" w:fill="FFFFFF" w:themeFill="background1"/>
            <w:tcMar>
              <w:top w:w="0" w:type="dxa"/>
              <w:left w:w="85" w:type="dxa"/>
              <w:bottom w:w="0" w:type="dxa"/>
              <w:right w:w="85" w:type="dxa"/>
            </w:tcMar>
            <w:vAlign w:val="center"/>
          </w:tcPr>
          <w:p w14:paraId="23D0E59B" w14:textId="77777777" w:rsidR="00F52C3D" w:rsidRPr="00E77E9D" w:rsidRDefault="00F52C3D" w:rsidP="00F16E23">
            <w:pPr>
              <w:pStyle w:val="TableText"/>
              <w:spacing w:before="40" w:after="40"/>
              <w:jc w:val="right"/>
            </w:pPr>
            <w:r w:rsidRPr="00E77E9D">
              <w:rPr>
                <w:rFonts w:eastAsia="Calibri"/>
              </w:rPr>
              <w:t>Increase</w:t>
            </w:r>
          </w:p>
        </w:tc>
      </w:tr>
      <w:tr w:rsidR="00F52C3D" w:rsidRPr="00E77E9D" w14:paraId="458AF416" w14:textId="77777777" w:rsidTr="00F16E23">
        <w:tc>
          <w:tcPr>
            <w:tcW w:w="4111" w:type="dxa"/>
            <w:shd w:val="clear" w:color="auto" w:fill="FFFFFF" w:themeFill="background1"/>
            <w:tcMar>
              <w:top w:w="0" w:type="dxa"/>
              <w:left w:w="85" w:type="dxa"/>
              <w:bottom w:w="0" w:type="dxa"/>
              <w:right w:w="85" w:type="dxa"/>
            </w:tcMar>
          </w:tcPr>
          <w:p w14:paraId="018BBEE6" w14:textId="77777777" w:rsidR="00F52C3D" w:rsidRPr="00E77E9D" w:rsidRDefault="00F52C3D" w:rsidP="00F16E23">
            <w:pPr>
              <w:pStyle w:val="TableText"/>
              <w:spacing w:before="40" w:after="40"/>
            </w:pPr>
            <w:r w:rsidRPr="00E77E9D">
              <w:rPr>
                <w:rFonts w:eastAsia="Calibri"/>
              </w:rPr>
              <w:t>Energy industries – Manufacture of solid fuels and other energy industries</w:t>
            </w:r>
          </w:p>
        </w:tc>
        <w:tc>
          <w:tcPr>
            <w:tcW w:w="425" w:type="dxa"/>
            <w:shd w:val="clear" w:color="auto" w:fill="FFFFFF" w:themeFill="background1"/>
            <w:tcMar>
              <w:top w:w="0" w:type="dxa"/>
              <w:left w:w="85" w:type="dxa"/>
              <w:bottom w:w="0" w:type="dxa"/>
              <w:right w:w="85" w:type="dxa"/>
            </w:tcMar>
          </w:tcPr>
          <w:p w14:paraId="69273992" w14:textId="77777777" w:rsidR="00F52C3D" w:rsidRPr="00E77E9D" w:rsidRDefault="00F52C3D" w:rsidP="00F16E23">
            <w:pPr>
              <w:pStyle w:val="TableText"/>
              <w:spacing w:before="40" w:after="40"/>
              <w:jc w:val="right"/>
            </w:pPr>
            <w:r w:rsidRPr="00E77E9D">
              <w:rPr>
                <w:rFonts w:eastAsia="Calibri"/>
                <w:color w:val="000000" w:themeColor="text1"/>
              </w:rPr>
              <w:t>CO</w:t>
            </w:r>
            <w:r w:rsidRPr="00E77E9D">
              <w:rPr>
                <w:rFonts w:eastAsia="Calibri"/>
                <w:color w:val="000000" w:themeColor="text1"/>
                <w:vertAlign w:val="subscript"/>
              </w:rPr>
              <w:t>2</w:t>
            </w:r>
          </w:p>
        </w:tc>
        <w:tc>
          <w:tcPr>
            <w:tcW w:w="2694" w:type="dxa"/>
            <w:shd w:val="clear" w:color="auto" w:fill="FFFFFF" w:themeFill="background1"/>
            <w:tcMar>
              <w:top w:w="0" w:type="dxa"/>
              <w:left w:w="85" w:type="dxa"/>
              <w:bottom w:w="0" w:type="dxa"/>
              <w:right w:w="85" w:type="dxa"/>
            </w:tcMar>
          </w:tcPr>
          <w:p w14:paraId="20D882D7" w14:textId="77777777" w:rsidR="00F52C3D" w:rsidRPr="00E77E9D" w:rsidRDefault="00F52C3D" w:rsidP="00F16E23">
            <w:pPr>
              <w:pStyle w:val="TableText"/>
              <w:spacing w:before="40" w:after="40"/>
              <w:jc w:val="right"/>
            </w:pPr>
            <w:r w:rsidRPr="00E77E9D">
              <w:rPr>
                <w:rFonts w:eastAsia="Calibri"/>
              </w:rPr>
              <w:t>3.9</w:t>
            </w:r>
          </w:p>
        </w:tc>
        <w:tc>
          <w:tcPr>
            <w:tcW w:w="1264" w:type="dxa"/>
            <w:shd w:val="clear" w:color="auto" w:fill="FFFFFF" w:themeFill="background1"/>
            <w:tcMar>
              <w:top w:w="0" w:type="dxa"/>
              <w:left w:w="85" w:type="dxa"/>
              <w:bottom w:w="0" w:type="dxa"/>
              <w:right w:w="85" w:type="dxa"/>
            </w:tcMar>
          </w:tcPr>
          <w:p w14:paraId="2D202728" w14:textId="77777777" w:rsidR="00F52C3D" w:rsidRPr="00E77E9D" w:rsidRDefault="00F52C3D" w:rsidP="00F16E23">
            <w:pPr>
              <w:pStyle w:val="TableText"/>
              <w:spacing w:before="40" w:after="40"/>
              <w:jc w:val="right"/>
            </w:pPr>
            <w:r w:rsidRPr="00E77E9D">
              <w:rPr>
                <w:rFonts w:eastAsia="Calibri"/>
              </w:rPr>
              <w:t>Decrease</w:t>
            </w:r>
          </w:p>
        </w:tc>
      </w:tr>
    </w:tbl>
    <w:p w14:paraId="7EC2BF90" w14:textId="77777777" w:rsidR="00F52C3D" w:rsidRPr="00E77E9D" w:rsidRDefault="00F52C3D" w:rsidP="00F52C3D">
      <w:pPr>
        <w:pStyle w:val="BodyText"/>
        <w:spacing w:before="240"/>
      </w:pPr>
      <w:r w:rsidRPr="00E77E9D">
        <w:t>The categories that had the largest relative influence on the trend in net emissions are presented in table ES 5.2.</w:t>
      </w:r>
    </w:p>
    <w:p w14:paraId="103BF3C6" w14:textId="77777777" w:rsidR="00F52C3D" w:rsidRPr="00E77E9D" w:rsidRDefault="00F52C3D" w:rsidP="000539D6">
      <w:pPr>
        <w:pStyle w:val="Table"/>
      </w:pPr>
      <w:bookmarkStart w:id="27" w:name="_Toc226668941"/>
      <w:r w:rsidRPr="00E77E9D">
        <w:t xml:space="preserve">Table ES 5.2 </w:t>
      </w:r>
      <w:r w:rsidRPr="00E77E9D">
        <w:tab/>
        <w:t xml:space="preserve">Key categories with the largest relative influence on the national trend, compared with the average change in net emissions from </w:t>
      </w:r>
      <w:r w:rsidRPr="00E77E9D">
        <w:rPr>
          <w:bCs/>
        </w:rPr>
        <w:t>1990</w:t>
      </w:r>
      <w:r w:rsidRPr="00E77E9D">
        <w:t xml:space="preserve"> to </w:t>
      </w:r>
      <w:r w:rsidRPr="00E77E9D">
        <w:rPr>
          <w:bCs/>
        </w:rPr>
        <w:t>2024</w:t>
      </w:r>
      <w:bookmarkEnd w:id="2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61"/>
        <w:gridCol w:w="442"/>
        <w:gridCol w:w="2622"/>
        <w:gridCol w:w="1269"/>
      </w:tblGrid>
      <w:tr w:rsidR="00F52C3D" w:rsidRPr="00E77E9D" w14:paraId="1104D068" w14:textId="77777777" w:rsidTr="00F16E23">
        <w:trPr>
          <w:tblHeader/>
        </w:trPr>
        <w:tc>
          <w:tcPr>
            <w:tcW w:w="4161" w:type="dxa"/>
            <w:shd w:val="clear" w:color="auto" w:fill="1B556B"/>
            <w:tcMar>
              <w:top w:w="0" w:type="dxa"/>
              <w:left w:w="85" w:type="dxa"/>
              <w:bottom w:w="0" w:type="dxa"/>
              <w:right w:w="85" w:type="dxa"/>
            </w:tcMar>
            <w:vAlign w:val="center"/>
          </w:tcPr>
          <w:p w14:paraId="67039B2A" w14:textId="77777777" w:rsidR="00F52C3D" w:rsidRPr="00E77E9D" w:rsidRDefault="00F52C3D" w:rsidP="00F16E23">
            <w:pPr>
              <w:pStyle w:val="TableTextBold"/>
              <w:spacing w:before="40" w:after="40"/>
              <w:rPr>
                <w:noProof w:val="0"/>
                <w:color w:val="FFFFFF" w:themeColor="background1"/>
              </w:rPr>
            </w:pPr>
            <w:r w:rsidRPr="00E77E9D">
              <w:rPr>
                <w:rFonts w:eastAsia="Calibri"/>
                <w:noProof w:val="0"/>
                <w:color w:val="FFFFFF" w:themeColor="background1"/>
              </w:rPr>
              <w:t>IPCC category</w:t>
            </w:r>
          </w:p>
        </w:tc>
        <w:tc>
          <w:tcPr>
            <w:tcW w:w="442" w:type="dxa"/>
            <w:shd w:val="clear" w:color="auto" w:fill="1B556B"/>
            <w:tcMar>
              <w:top w:w="0" w:type="dxa"/>
              <w:left w:w="85" w:type="dxa"/>
              <w:bottom w:w="0" w:type="dxa"/>
              <w:right w:w="85" w:type="dxa"/>
            </w:tcMar>
            <w:vAlign w:val="center"/>
          </w:tcPr>
          <w:p w14:paraId="106488DB" w14:textId="77777777" w:rsidR="00F52C3D" w:rsidRPr="00E77E9D" w:rsidRDefault="00F52C3D" w:rsidP="00F16E23">
            <w:pPr>
              <w:pStyle w:val="TableTextBold"/>
              <w:spacing w:before="40" w:after="40"/>
              <w:rPr>
                <w:noProof w:val="0"/>
                <w:color w:val="FFFFFF" w:themeColor="background1"/>
              </w:rPr>
            </w:pPr>
            <w:r w:rsidRPr="00E77E9D">
              <w:rPr>
                <w:rFonts w:eastAsia="Calibri"/>
                <w:noProof w:val="0"/>
                <w:color w:val="FFFFFF" w:themeColor="background1"/>
              </w:rPr>
              <w:t>Gas</w:t>
            </w:r>
          </w:p>
        </w:tc>
        <w:tc>
          <w:tcPr>
            <w:tcW w:w="0" w:type="auto"/>
            <w:shd w:val="clear" w:color="auto" w:fill="1B556B"/>
            <w:tcMar>
              <w:top w:w="0" w:type="dxa"/>
              <w:left w:w="85" w:type="dxa"/>
              <w:bottom w:w="0" w:type="dxa"/>
              <w:right w:w="85" w:type="dxa"/>
            </w:tcMar>
            <w:vAlign w:val="center"/>
          </w:tcPr>
          <w:p w14:paraId="7BE2F0ED" w14:textId="77777777" w:rsidR="00F52C3D" w:rsidRPr="00E77E9D" w:rsidRDefault="00F52C3D" w:rsidP="00F16E23">
            <w:pPr>
              <w:pStyle w:val="TableTextBold"/>
              <w:spacing w:before="40" w:after="40"/>
              <w:rPr>
                <w:noProof w:val="0"/>
                <w:color w:val="FFFFFF" w:themeColor="background1"/>
              </w:rPr>
            </w:pPr>
            <w:r w:rsidRPr="00E77E9D">
              <w:rPr>
                <w:rFonts w:eastAsia="Calibri"/>
                <w:noProof w:val="0"/>
                <w:color w:val="FFFFFF" w:themeColor="background1"/>
              </w:rPr>
              <w:t>Absolute contribution to trend (%)</w:t>
            </w:r>
          </w:p>
        </w:tc>
        <w:tc>
          <w:tcPr>
            <w:tcW w:w="0" w:type="auto"/>
            <w:shd w:val="clear" w:color="auto" w:fill="1B556B"/>
            <w:tcMar>
              <w:top w:w="0" w:type="dxa"/>
              <w:left w:w="85" w:type="dxa"/>
              <w:bottom w:w="0" w:type="dxa"/>
              <w:right w:w="85" w:type="dxa"/>
            </w:tcMar>
            <w:vAlign w:val="center"/>
          </w:tcPr>
          <w:p w14:paraId="4C41BD37" w14:textId="77777777" w:rsidR="00F52C3D" w:rsidRPr="00E77E9D" w:rsidRDefault="00F52C3D" w:rsidP="00F16E23">
            <w:pPr>
              <w:pStyle w:val="TableTextBold"/>
              <w:spacing w:before="40" w:after="40"/>
              <w:rPr>
                <w:noProof w:val="0"/>
                <w:color w:val="FFFFFF" w:themeColor="background1"/>
              </w:rPr>
            </w:pPr>
            <w:r w:rsidRPr="00E77E9D">
              <w:rPr>
                <w:rFonts w:eastAsia="Calibri"/>
                <w:noProof w:val="0"/>
                <w:color w:val="FFFFFF" w:themeColor="background1"/>
              </w:rPr>
              <w:t>Trend direction</w:t>
            </w:r>
          </w:p>
        </w:tc>
      </w:tr>
      <w:tr w:rsidR="00F52C3D" w:rsidRPr="00E77E9D" w14:paraId="51E6D82C" w14:textId="77777777" w:rsidTr="00F16E23">
        <w:tc>
          <w:tcPr>
            <w:tcW w:w="4161" w:type="dxa"/>
            <w:shd w:val="clear" w:color="auto" w:fill="FFFFFF" w:themeFill="background1"/>
            <w:tcMar>
              <w:top w:w="0" w:type="dxa"/>
              <w:left w:w="85" w:type="dxa"/>
              <w:bottom w:w="0" w:type="dxa"/>
              <w:right w:w="85" w:type="dxa"/>
            </w:tcMar>
            <w:vAlign w:val="center"/>
          </w:tcPr>
          <w:p w14:paraId="00BBEF11" w14:textId="77777777" w:rsidR="00F52C3D" w:rsidRPr="00E77E9D" w:rsidRDefault="00F52C3D" w:rsidP="00F16E23">
            <w:pPr>
              <w:pStyle w:val="TableText"/>
              <w:spacing w:before="40" w:after="40"/>
            </w:pPr>
            <w:r w:rsidRPr="00E77E9D">
              <w:rPr>
                <w:rFonts w:eastAsia="Calibri"/>
              </w:rPr>
              <w:t>Enteric fermentation – Sheep</w:t>
            </w:r>
          </w:p>
        </w:tc>
        <w:tc>
          <w:tcPr>
            <w:tcW w:w="442" w:type="dxa"/>
            <w:shd w:val="clear" w:color="auto" w:fill="FFFFFF" w:themeFill="background1"/>
            <w:tcMar>
              <w:top w:w="0" w:type="dxa"/>
              <w:left w:w="85" w:type="dxa"/>
              <w:bottom w:w="0" w:type="dxa"/>
              <w:right w:w="85" w:type="dxa"/>
            </w:tcMar>
            <w:vAlign w:val="center"/>
          </w:tcPr>
          <w:p w14:paraId="44CF0504" w14:textId="77777777" w:rsidR="00F52C3D" w:rsidRPr="00E77E9D" w:rsidRDefault="00F52C3D" w:rsidP="00F16E23">
            <w:pPr>
              <w:pStyle w:val="TableText"/>
              <w:spacing w:before="40" w:after="40"/>
            </w:pPr>
            <w:r w:rsidRPr="00E77E9D">
              <w:rPr>
                <w:rFonts w:eastAsia="Calibri"/>
                <w:color w:val="000000" w:themeColor="text1"/>
              </w:rPr>
              <w:t>CH</w:t>
            </w:r>
            <w:r w:rsidRPr="00E77E9D">
              <w:rPr>
                <w:rFonts w:eastAsia="Calibri"/>
                <w:color w:val="000000" w:themeColor="text1"/>
                <w:vertAlign w:val="subscript"/>
              </w:rPr>
              <w:t>4</w:t>
            </w:r>
          </w:p>
        </w:tc>
        <w:tc>
          <w:tcPr>
            <w:tcW w:w="0" w:type="auto"/>
            <w:shd w:val="clear" w:color="auto" w:fill="FFFFFF" w:themeFill="background1"/>
            <w:tcMar>
              <w:top w:w="0" w:type="dxa"/>
              <w:left w:w="85" w:type="dxa"/>
              <w:bottom w:w="0" w:type="dxa"/>
              <w:right w:w="85" w:type="dxa"/>
            </w:tcMar>
            <w:vAlign w:val="center"/>
          </w:tcPr>
          <w:p w14:paraId="550039E1" w14:textId="77777777" w:rsidR="00F52C3D" w:rsidRPr="00E77E9D" w:rsidRDefault="00F52C3D" w:rsidP="00F16E23">
            <w:pPr>
              <w:pStyle w:val="TableText"/>
              <w:spacing w:before="40" w:after="40"/>
              <w:jc w:val="right"/>
            </w:pPr>
            <w:r w:rsidRPr="00E77E9D">
              <w:rPr>
                <w:rFonts w:eastAsia="Calibri"/>
              </w:rPr>
              <w:t>16.4</w:t>
            </w:r>
          </w:p>
        </w:tc>
        <w:tc>
          <w:tcPr>
            <w:tcW w:w="0" w:type="auto"/>
            <w:shd w:val="clear" w:color="auto" w:fill="FFFFFF" w:themeFill="background1"/>
            <w:tcMar>
              <w:top w:w="0" w:type="dxa"/>
              <w:left w:w="85" w:type="dxa"/>
              <w:bottom w:w="0" w:type="dxa"/>
              <w:right w:w="85" w:type="dxa"/>
            </w:tcMar>
            <w:vAlign w:val="center"/>
          </w:tcPr>
          <w:p w14:paraId="04B9405D" w14:textId="77777777" w:rsidR="00F52C3D" w:rsidRPr="00E77E9D" w:rsidRDefault="00F52C3D" w:rsidP="00F16E23">
            <w:pPr>
              <w:pStyle w:val="TableText"/>
              <w:spacing w:before="40" w:after="40"/>
              <w:jc w:val="right"/>
            </w:pPr>
            <w:r w:rsidRPr="00E77E9D">
              <w:rPr>
                <w:rFonts w:eastAsia="Calibri"/>
              </w:rPr>
              <w:t>Decrease</w:t>
            </w:r>
          </w:p>
        </w:tc>
      </w:tr>
      <w:tr w:rsidR="00F52C3D" w:rsidRPr="00E77E9D" w14:paraId="5E6CDFE1" w14:textId="77777777" w:rsidTr="00F16E23">
        <w:tc>
          <w:tcPr>
            <w:tcW w:w="4161" w:type="dxa"/>
            <w:shd w:val="clear" w:color="auto" w:fill="FFFFFF" w:themeFill="background1"/>
            <w:tcMar>
              <w:top w:w="0" w:type="dxa"/>
              <w:left w:w="85" w:type="dxa"/>
              <w:bottom w:w="0" w:type="dxa"/>
              <w:right w:w="85" w:type="dxa"/>
            </w:tcMar>
            <w:vAlign w:val="center"/>
          </w:tcPr>
          <w:p w14:paraId="1FFFE627" w14:textId="77777777" w:rsidR="00F52C3D" w:rsidRPr="00E77E9D" w:rsidRDefault="00F52C3D" w:rsidP="00F16E23">
            <w:pPr>
              <w:pStyle w:val="TableText"/>
              <w:spacing w:before="40" w:after="40"/>
            </w:pPr>
            <w:r w:rsidRPr="00E77E9D">
              <w:rPr>
                <w:rFonts w:eastAsia="Calibri"/>
              </w:rPr>
              <w:t>Carbon stock change – Forest land remaining forest land</w:t>
            </w:r>
          </w:p>
        </w:tc>
        <w:tc>
          <w:tcPr>
            <w:tcW w:w="442" w:type="dxa"/>
            <w:shd w:val="clear" w:color="auto" w:fill="FFFFFF" w:themeFill="background1"/>
            <w:tcMar>
              <w:top w:w="0" w:type="dxa"/>
              <w:left w:w="85" w:type="dxa"/>
              <w:bottom w:w="0" w:type="dxa"/>
              <w:right w:w="85" w:type="dxa"/>
            </w:tcMar>
            <w:vAlign w:val="center"/>
          </w:tcPr>
          <w:p w14:paraId="372D3BA9" w14:textId="77777777" w:rsidR="00F52C3D" w:rsidRPr="00E77E9D" w:rsidRDefault="00F52C3D" w:rsidP="00F16E23">
            <w:pPr>
              <w:pStyle w:val="TableText"/>
              <w:spacing w:before="40" w:after="40"/>
            </w:pPr>
            <w:r w:rsidRPr="00E77E9D">
              <w:rPr>
                <w:rFonts w:eastAsia="Calibri"/>
                <w:color w:val="000000" w:themeColor="text1"/>
              </w:rPr>
              <w:t>CO</w:t>
            </w:r>
            <w:r w:rsidRPr="00E77E9D">
              <w:rPr>
                <w:rFonts w:eastAsia="Calibri"/>
                <w:color w:val="000000" w:themeColor="text1"/>
                <w:vertAlign w:val="subscript"/>
              </w:rPr>
              <w:t>2</w:t>
            </w:r>
          </w:p>
        </w:tc>
        <w:tc>
          <w:tcPr>
            <w:tcW w:w="0" w:type="auto"/>
            <w:shd w:val="clear" w:color="auto" w:fill="FFFFFF" w:themeFill="background1"/>
            <w:tcMar>
              <w:top w:w="0" w:type="dxa"/>
              <w:left w:w="85" w:type="dxa"/>
              <w:bottom w:w="0" w:type="dxa"/>
              <w:right w:w="85" w:type="dxa"/>
            </w:tcMar>
            <w:vAlign w:val="center"/>
          </w:tcPr>
          <w:p w14:paraId="5D56A5E6" w14:textId="77777777" w:rsidR="00F52C3D" w:rsidRPr="00E77E9D" w:rsidRDefault="00F52C3D" w:rsidP="00F16E23">
            <w:pPr>
              <w:pStyle w:val="TableText"/>
              <w:spacing w:before="40" w:after="40"/>
              <w:jc w:val="right"/>
            </w:pPr>
            <w:r w:rsidRPr="00E77E9D">
              <w:rPr>
                <w:rFonts w:eastAsia="Calibri"/>
              </w:rPr>
              <w:t>15.1</w:t>
            </w:r>
          </w:p>
        </w:tc>
        <w:tc>
          <w:tcPr>
            <w:tcW w:w="0" w:type="auto"/>
            <w:shd w:val="clear" w:color="auto" w:fill="FFFFFF" w:themeFill="background1"/>
            <w:tcMar>
              <w:top w:w="0" w:type="dxa"/>
              <w:left w:w="85" w:type="dxa"/>
              <w:bottom w:w="0" w:type="dxa"/>
              <w:right w:w="85" w:type="dxa"/>
            </w:tcMar>
            <w:vAlign w:val="center"/>
          </w:tcPr>
          <w:p w14:paraId="60274AC9" w14:textId="77777777" w:rsidR="00F52C3D" w:rsidRPr="00E77E9D" w:rsidRDefault="00F52C3D" w:rsidP="00F16E23">
            <w:pPr>
              <w:pStyle w:val="TableText"/>
              <w:spacing w:before="40" w:after="40"/>
              <w:jc w:val="right"/>
            </w:pPr>
            <w:r w:rsidRPr="00E77E9D">
              <w:rPr>
                <w:rFonts w:eastAsia="Calibri"/>
              </w:rPr>
              <w:t>Decrease</w:t>
            </w:r>
          </w:p>
        </w:tc>
      </w:tr>
      <w:tr w:rsidR="00F52C3D" w:rsidRPr="00E77E9D" w14:paraId="4927A568" w14:textId="77777777" w:rsidTr="00F16E23">
        <w:tc>
          <w:tcPr>
            <w:tcW w:w="4161" w:type="dxa"/>
            <w:shd w:val="clear" w:color="auto" w:fill="FFFFFF" w:themeFill="background1"/>
            <w:tcMar>
              <w:top w:w="0" w:type="dxa"/>
              <w:left w:w="85" w:type="dxa"/>
              <w:bottom w:w="0" w:type="dxa"/>
              <w:right w:w="85" w:type="dxa"/>
            </w:tcMar>
            <w:vAlign w:val="center"/>
          </w:tcPr>
          <w:p w14:paraId="11D592EF" w14:textId="77777777" w:rsidR="00F52C3D" w:rsidRPr="00E77E9D" w:rsidRDefault="00F52C3D" w:rsidP="00F16E23">
            <w:pPr>
              <w:pStyle w:val="TableText"/>
              <w:spacing w:before="40" w:after="40"/>
            </w:pPr>
            <w:r w:rsidRPr="00E77E9D">
              <w:rPr>
                <w:rFonts w:eastAsia="Calibri"/>
              </w:rPr>
              <w:t>Carbon stock change – Land converted to forest land</w:t>
            </w:r>
          </w:p>
        </w:tc>
        <w:tc>
          <w:tcPr>
            <w:tcW w:w="442" w:type="dxa"/>
            <w:shd w:val="clear" w:color="auto" w:fill="FFFFFF" w:themeFill="background1"/>
            <w:tcMar>
              <w:top w:w="0" w:type="dxa"/>
              <w:left w:w="85" w:type="dxa"/>
              <w:bottom w:w="0" w:type="dxa"/>
              <w:right w:w="85" w:type="dxa"/>
            </w:tcMar>
            <w:vAlign w:val="center"/>
          </w:tcPr>
          <w:p w14:paraId="49728648" w14:textId="77777777" w:rsidR="00F52C3D" w:rsidRPr="00E77E9D" w:rsidRDefault="00F52C3D" w:rsidP="00F16E23">
            <w:pPr>
              <w:pStyle w:val="TableText"/>
              <w:spacing w:before="40" w:after="40"/>
            </w:pPr>
            <w:r w:rsidRPr="00E77E9D">
              <w:rPr>
                <w:rFonts w:eastAsia="Calibri"/>
                <w:color w:val="000000" w:themeColor="text1"/>
              </w:rPr>
              <w:t>CO</w:t>
            </w:r>
            <w:r w:rsidRPr="00E77E9D">
              <w:rPr>
                <w:rFonts w:eastAsia="Calibri"/>
                <w:color w:val="000000" w:themeColor="text1"/>
                <w:vertAlign w:val="subscript"/>
              </w:rPr>
              <w:t>2</w:t>
            </w:r>
          </w:p>
        </w:tc>
        <w:tc>
          <w:tcPr>
            <w:tcW w:w="0" w:type="auto"/>
            <w:shd w:val="clear" w:color="auto" w:fill="FFFFFF" w:themeFill="background1"/>
            <w:tcMar>
              <w:top w:w="0" w:type="dxa"/>
              <w:left w:w="85" w:type="dxa"/>
              <w:bottom w:w="0" w:type="dxa"/>
              <w:right w:w="85" w:type="dxa"/>
            </w:tcMar>
            <w:vAlign w:val="center"/>
          </w:tcPr>
          <w:p w14:paraId="49965F7B" w14:textId="77777777" w:rsidR="00F52C3D" w:rsidRPr="00E77E9D" w:rsidRDefault="00F52C3D" w:rsidP="00F16E23">
            <w:pPr>
              <w:pStyle w:val="TableText"/>
              <w:spacing w:before="40" w:after="40"/>
              <w:jc w:val="right"/>
            </w:pPr>
            <w:r w:rsidRPr="00E77E9D">
              <w:rPr>
                <w:rFonts w:eastAsia="Calibri"/>
              </w:rPr>
              <w:t>13.9</w:t>
            </w:r>
          </w:p>
        </w:tc>
        <w:tc>
          <w:tcPr>
            <w:tcW w:w="0" w:type="auto"/>
            <w:shd w:val="clear" w:color="auto" w:fill="FFFFFF" w:themeFill="background1"/>
            <w:tcMar>
              <w:top w:w="0" w:type="dxa"/>
              <w:left w:w="85" w:type="dxa"/>
              <w:bottom w:w="0" w:type="dxa"/>
              <w:right w:w="85" w:type="dxa"/>
            </w:tcMar>
            <w:vAlign w:val="center"/>
          </w:tcPr>
          <w:p w14:paraId="28D9DE08" w14:textId="77777777" w:rsidR="00F52C3D" w:rsidRPr="00E77E9D" w:rsidRDefault="00F52C3D" w:rsidP="00F16E23">
            <w:pPr>
              <w:pStyle w:val="TableText"/>
              <w:spacing w:before="40" w:after="40"/>
              <w:jc w:val="right"/>
            </w:pPr>
            <w:r w:rsidRPr="00E77E9D">
              <w:rPr>
                <w:rFonts w:eastAsia="Calibri"/>
              </w:rPr>
              <w:t>Increase</w:t>
            </w:r>
          </w:p>
        </w:tc>
      </w:tr>
      <w:tr w:rsidR="00F52C3D" w:rsidRPr="00E77E9D" w14:paraId="641DEE39" w14:textId="77777777" w:rsidTr="00F16E23">
        <w:tc>
          <w:tcPr>
            <w:tcW w:w="4161" w:type="dxa"/>
            <w:shd w:val="clear" w:color="auto" w:fill="FFFFFF" w:themeFill="background1"/>
            <w:tcMar>
              <w:top w:w="0" w:type="dxa"/>
              <w:left w:w="85" w:type="dxa"/>
              <w:bottom w:w="0" w:type="dxa"/>
              <w:right w:w="85" w:type="dxa"/>
            </w:tcMar>
            <w:vAlign w:val="center"/>
          </w:tcPr>
          <w:p w14:paraId="11017215" w14:textId="77777777" w:rsidR="00F52C3D" w:rsidRPr="00E77E9D" w:rsidRDefault="00F52C3D" w:rsidP="00F16E23">
            <w:pPr>
              <w:pStyle w:val="TableText"/>
              <w:spacing w:before="40" w:after="40"/>
            </w:pPr>
            <w:r w:rsidRPr="00E77E9D">
              <w:rPr>
                <w:rFonts w:eastAsia="Calibri"/>
              </w:rPr>
              <w:t>Option A – Dairy cattle</w:t>
            </w:r>
          </w:p>
        </w:tc>
        <w:tc>
          <w:tcPr>
            <w:tcW w:w="442" w:type="dxa"/>
            <w:shd w:val="clear" w:color="auto" w:fill="FFFFFF" w:themeFill="background1"/>
            <w:tcMar>
              <w:top w:w="0" w:type="dxa"/>
              <w:left w:w="85" w:type="dxa"/>
              <w:bottom w:w="0" w:type="dxa"/>
              <w:right w:w="85" w:type="dxa"/>
            </w:tcMar>
            <w:vAlign w:val="center"/>
          </w:tcPr>
          <w:p w14:paraId="7F82474C" w14:textId="77777777" w:rsidR="00F52C3D" w:rsidRPr="00E77E9D" w:rsidRDefault="00F52C3D" w:rsidP="00F16E23">
            <w:pPr>
              <w:pStyle w:val="TableText"/>
              <w:spacing w:before="40" w:after="40"/>
            </w:pPr>
            <w:r w:rsidRPr="00E77E9D">
              <w:rPr>
                <w:rFonts w:eastAsia="Calibri"/>
                <w:color w:val="000000" w:themeColor="text1"/>
              </w:rPr>
              <w:t>CH</w:t>
            </w:r>
            <w:r w:rsidRPr="00E77E9D">
              <w:rPr>
                <w:rFonts w:eastAsia="Calibri"/>
                <w:color w:val="000000" w:themeColor="text1"/>
                <w:vertAlign w:val="subscript"/>
              </w:rPr>
              <w:t>4</w:t>
            </w:r>
          </w:p>
        </w:tc>
        <w:tc>
          <w:tcPr>
            <w:tcW w:w="0" w:type="auto"/>
            <w:shd w:val="clear" w:color="auto" w:fill="FFFFFF" w:themeFill="background1"/>
            <w:tcMar>
              <w:top w:w="0" w:type="dxa"/>
              <w:left w:w="85" w:type="dxa"/>
              <w:bottom w:w="0" w:type="dxa"/>
              <w:right w:w="85" w:type="dxa"/>
            </w:tcMar>
            <w:vAlign w:val="center"/>
          </w:tcPr>
          <w:p w14:paraId="43F62D3D" w14:textId="77777777" w:rsidR="00F52C3D" w:rsidRPr="00E77E9D" w:rsidRDefault="00F52C3D" w:rsidP="00F16E23">
            <w:pPr>
              <w:pStyle w:val="TableText"/>
              <w:spacing w:before="40" w:after="40"/>
              <w:jc w:val="right"/>
            </w:pPr>
            <w:r w:rsidRPr="00E77E9D">
              <w:rPr>
                <w:rFonts w:eastAsia="Calibri"/>
              </w:rPr>
              <w:t>10.1</w:t>
            </w:r>
          </w:p>
        </w:tc>
        <w:tc>
          <w:tcPr>
            <w:tcW w:w="0" w:type="auto"/>
            <w:shd w:val="clear" w:color="auto" w:fill="FFFFFF" w:themeFill="background1"/>
            <w:tcMar>
              <w:top w:w="0" w:type="dxa"/>
              <w:left w:w="85" w:type="dxa"/>
              <w:bottom w:w="0" w:type="dxa"/>
              <w:right w:w="85" w:type="dxa"/>
            </w:tcMar>
            <w:vAlign w:val="center"/>
          </w:tcPr>
          <w:p w14:paraId="56325619" w14:textId="77777777" w:rsidR="00F52C3D" w:rsidRPr="00E77E9D" w:rsidRDefault="00F52C3D" w:rsidP="00F16E23">
            <w:pPr>
              <w:pStyle w:val="TableText"/>
              <w:spacing w:before="40" w:after="40"/>
              <w:jc w:val="right"/>
            </w:pPr>
            <w:r w:rsidRPr="00E77E9D">
              <w:rPr>
                <w:rFonts w:eastAsia="Calibri"/>
              </w:rPr>
              <w:t>Increase</w:t>
            </w:r>
          </w:p>
        </w:tc>
      </w:tr>
    </w:tbl>
    <w:p w14:paraId="6B48E52F" w14:textId="77777777" w:rsidR="00F52C3D" w:rsidRPr="00E77E9D" w:rsidRDefault="00F52C3D" w:rsidP="00F52C3D">
      <w:pPr>
        <w:pStyle w:val="BodyText"/>
        <w:spacing w:before="240"/>
      </w:pPr>
      <w:r w:rsidRPr="00E77E9D">
        <w:t>Details and results of the key category assessments are presented in volume 2, annex 1.</w:t>
      </w:r>
    </w:p>
    <w:p w14:paraId="668D2C2A" w14:textId="77777777" w:rsidR="00F52C3D" w:rsidRPr="00E77E9D" w:rsidRDefault="00F52C3D" w:rsidP="00F52C3D">
      <w:pPr>
        <w:pStyle w:val="Heading2"/>
        <w:tabs>
          <w:tab w:val="clear" w:pos="851"/>
          <w:tab w:val="left" w:pos="964"/>
        </w:tabs>
        <w:spacing w:before="280"/>
      </w:pPr>
      <w:bookmarkStart w:id="28" w:name="_Toc226460735"/>
      <w:bookmarkStart w:id="29" w:name="es.6-improvements-introduced"/>
      <w:bookmarkEnd w:id="25"/>
      <w:r w:rsidRPr="00E77E9D">
        <w:t xml:space="preserve">ES.6 </w:t>
      </w:r>
      <w:r w:rsidRPr="00E77E9D">
        <w:tab/>
        <w:t>Improvements introduced</w:t>
      </w:r>
      <w:bookmarkEnd w:id="28"/>
    </w:p>
    <w:p w14:paraId="50E43D45" w14:textId="77777777" w:rsidR="00F52C3D" w:rsidRPr="00E77E9D" w:rsidRDefault="00F52C3D" w:rsidP="00F52C3D">
      <w:pPr>
        <w:pStyle w:val="BodyText"/>
        <w:spacing w:before="100"/>
        <w:rPr>
          <w:spacing w:val="-2"/>
        </w:rPr>
      </w:pPr>
      <w:r w:rsidRPr="00E77E9D">
        <w:rPr>
          <w:spacing w:val="-2"/>
        </w:rPr>
        <w:t>The Inventory follows a process of continuous improvement consistent with the IPCC principles. The 2006 IPCC Guidelines (IPCC, 2006a) provide guidance on building and maintaining inventories that are consistent, comparable, complete, accurate and transparent in a manner that improves the quality of the Inventory over time. Improvements are made from one year to the next, to address findings from international technical expert reviews, correct errors and implement additional changes planned by the agencies involved in preparing the Inventory.</w:t>
      </w:r>
    </w:p>
    <w:p w14:paraId="5F0F5D20" w14:textId="77777777" w:rsidR="00F52C3D" w:rsidRPr="00E77E9D" w:rsidRDefault="00F52C3D" w:rsidP="00F52C3D">
      <w:pPr>
        <w:pStyle w:val="BodyText"/>
      </w:pPr>
      <w:r w:rsidRPr="00E77E9D">
        <w:t>When improvements are made, it is good practice to recalculate the whole time series back to 1990 to ensure a consistent time series. This means estimates of emissions and/or removals in a given year may differ from emissions and/or removals reported in the previous submission.</w:t>
      </w:r>
    </w:p>
    <w:p w14:paraId="6B748564" w14:textId="77777777" w:rsidR="00F52C3D" w:rsidRPr="00E77E9D" w:rsidRDefault="00F52C3D" w:rsidP="00F52C3D">
      <w:pPr>
        <w:pStyle w:val="BodyText"/>
      </w:pPr>
      <w:r w:rsidRPr="00E77E9D">
        <w:t>A range of improvements has been made to the Inventory since the last submission. The main improvements by sector are outlined below. Chapter 10 provides further information on the recalculations made to the estimates.</w:t>
      </w:r>
    </w:p>
    <w:p w14:paraId="702E3553" w14:textId="77777777" w:rsidR="00F52C3D" w:rsidRPr="00E77E9D" w:rsidRDefault="00F52C3D" w:rsidP="00F52C3D">
      <w:pPr>
        <w:pStyle w:val="BodyText"/>
      </w:pPr>
      <w:r w:rsidRPr="00E77E9D">
        <w:t>The overall impact of improvements on New Zealand’s gross emissions was a decrease of 0.2 percent (113.7 kt CO</w:t>
      </w:r>
      <w:r w:rsidRPr="00E77E9D">
        <w:rPr>
          <w:vertAlign w:val="subscript"/>
        </w:rPr>
        <w:t>2</w:t>
      </w:r>
      <w:r w:rsidRPr="00E77E9D">
        <w:t>e) in 1990, a decrease of 0.2 percent (180.7 kt CO</w:t>
      </w:r>
      <w:r w:rsidRPr="00E77E9D">
        <w:rPr>
          <w:vertAlign w:val="subscript"/>
        </w:rPr>
        <w:t>2</w:t>
      </w:r>
      <w:r w:rsidRPr="00E77E9D">
        <w:t>e) in 2005 and a decrease of 0.7 percent (517.4 kt CO</w:t>
      </w:r>
      <w:r w:rsidRPr="00E77E9D">
        <w:rPr>
          <w:vertAlign w:val="subscript"/>
        </w:rPr>
        <w:t>2</w:t>
      </w:r>
      <w:r w:rsidRPr="00E77E9D">
        <w:t>e) in 2023.</w:t>
      </w:r>
    </w:p>
    <w:p w14:paraId="37C0B5DA" w14:textId="77777777" w:rsidR="00F52C3D" w:rsidRPr="00E77E9D" w:rsidRDefault="00F52C3D" w:rsidP="00F52C3D">
      <w:pPr>
        <w:pStyle w:val="BodyText"/>
      </w:pPr>
      <w:r w:rsidRPr="00E77E9D">
        <w:t>The overall impact of improvements on New Zealand’s net emissions estimates, which include the LULUCF sector, was an increase of 2 percent (885.9 kt CO</w:t>
      </w:r>
      <w:r w:rsidRPr="00E77E9D">
        <w:rPr>
          <w:vertAlign w:val="subscript"/>
        </w:rPr>
        <w:t>2</w:t>
      </w:r>
      <w:r w:rsidRPr="00E77E9D">
        <w:t>e) in 1990, an increase of 1.7 percent (1,043.1 kt CO</w:t>
      </w:r>
      <w:r w:rsidRPr="00E77E9D">
        <w:rPr>
          <w:vertAlign w:val="subscript"/>
        </w:rPr>
        <w:t>2</w:t>
      </w:r>
      <w:r w:rsidRPr="00E77E9D">
        <w:t>e) in 2005 and a decrease of 0.5 percent (286.7 kt CO</w:t>
      </w:r>
      <w:r w:rsidRPr="00E77E9D">
        <w:rPr>
          <w:vertAlign w:val="subscript"/>
        </w:rPr>
        <w:t>2</w:t>
      </w:r>
      <w:r w:rsidRPr="00E77E9D">
        <w:t>e) in 2023.</w:t>
      </w:r>
    </w:p>
    <w:p w14:paraId="770D3A0B" w14:textId="77777777" w:rsidR="00F52C3D" w:rsidRPr="00E77E9D" w:rsidRDefault="00F52C3D" w:rsidP="00F52C3D">
      <w:pPr>
        <w:pStyle w:val="BodyText"/>
      </w:pPr>
      <w:r w:rsidRPr="00E77E9D">
        <w:t>The emissions impact of improvements introduced are provided in relation to 1990 (the Convention base year), 2005 (New Zealand’s Nationally Determined Contribution base year) and the previous year inventoried, being the last year in the time series that can be compared using previous methods.</w:t>
      </w:r>
    </w:p>
    <w:p w14:paraId="5178ADA2" w14:textId="77777777" w:rsidR="00F52C3D" w:rsidRPr="00E77E9D" w:rsidRDefault="00F52C3D" w:rsidP="00F52C3D">
      <w:pPr>
        <w:pStyle w:val="Heading3"/>
      </w:pPr>
      <w:bookmarkStart w:id="30" w:name="energy-chapter-3-1"/>
      <w:r w:rsidRPr="00E77E9D">
        <w:t>Energy (chapter 3)</w:t>
      </w:r>
    </w:p>
    <w:p w14:paraId="1DAA0096" w14:textId="77777777" w:rsidR="00F52C3D" w:rsidRPr="00E77E9D" w:rsidRDefault="00F52C3D" w:rsidP="00F52C3D">
      <w:pPr>
        <w:pStyle w:val="BodyText"/>
      </w:pPr>
      <w:r w:rsidRPr="00E77E9D">
        <w:t>Improvements and recalculations made to the Energy sector have resulted in a decrease of 1.1 percent (329.1 kt CO</w:t>
      </w:r>
      <w:r w:rsidRPr="00E77E9D">
        <w:rPr>
          <w:vertAlign w:val="subscript"/>
        </w:rPr>
        <w:t>2</w:t>
      </w:r>
      <w:r w:rsidRPr="00E77E9D">
        <w:t>e) in estimated energy emissions for 2023, an increase of 0.0002 percent (0.1 kt CO</w:t>
      </w:r>
      <w:r w:rsidRPr="00E77E9D">
        <w:rPr>
          <w:vertAlign w:val="subscript"/>
        </w:rPr>
        <w:t>2</w:t>
      </w:r>
      <w:r w:rsidRPr="00E77E9D">
        <w:t>e) in estimated energy emissions for 2005 and an increase of 0.0004 percent (0.1 kt CO</w:t>
      </w:r>
      <w:r w:rsidRPr="00E77E9D">
        <w:rPr>
          <w:vertAlign w:val="subscript"/>
        </w:rPr>
        <w:t>2</w:t>
      </w:r>
      <w:r w:rsidRPr="00E77E9D">
        <w:t>e) in estimated energy emissions for 1990.</w:t>
      </w:r>
    </w:p>
    <w:p w14:paraId="1DE54114" w14:textId="77F38155" w:rsidR="00F52C3D" w:rsidRPr="00E77E9D" w:rsidRDefault="00F52C3D" w:rsidP="00F52C3D">
      <w:pPr>
        <w:pStyle w:val="BodyText"/>
        <w:rPr>
          <w:spacing w:val="-2"/>
        </w:rPr>
      </w:pPr>
      <w:r w:rsidRPr="00E77E9D">
        <w:rPr>
          <w:spacing w:val="-2"/>
        </w:rPr>
        <w:t>Revisions to data provided by fuel companies has resulted in changes to the allocation of jet A1 between international and domestic aviation for the period January 2022 to September 2024.</w:t>
      </w:r>
    </w:p>
    <w:p w14:paraId="7EFE53C9" w14:textId="77777777" w:rsidR="00F52C3D" w:rsidRPr="00E77E9D" w:rsidRDefault="00F52C3D" w:rsidP="00F52C3D">
      <w:pPr>
        <w:pStyle w:val="BodyText"/>
      </w:pPr>
      <w:r w:rsidRPr="00E77E9D">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7DE136B5" w14:textId="77777777" w:rsidR="00F52C3D" w:rsidRPr="00E77E9D" w:rsidRDefault="00F52C3D" w:rsidP="00F52C3D">
      <w:pPr>
        <w:pStyle w:val="BodyText"/>
      </w:pPr>
      <w:r w:rsidRPr="00E77E9D">
        <w:t>Further details on source-specific improvements are provided in the corresponding sections in chapters 3 and 10.</w:t>
      </w:r>
    </w:p>
    <w:p w14:paraId="43FCC526" w14:textId="77777777" w:rsidR="00F52C3D" w:rsidRPr="00E77E9D" w:rsidRDefault="00F52C3D" w:rsidP="00F52C3D">
      <w:pPr>
        <w:pStyle w:val="Heading3"/>
      </w:pPr>
      <w:bookmarkStart w:id="31" w:name="ippu-chapter-4-1"/>
      <w:bookmarkEnd w:id="30"/>
      <w:r w:rsidRPr="00E77E9D">
        <w:t>IPPU (chapter 4)</w:t>
      </w:r>
    </w:p>
    <w:p w14:paraId="53242556" w14:textId="77777777" w:rsidR="00F52C3D" w:rsidRPr="00E77E9D" w:rsidRDefault="00F52C3D" w:rsidP="00F52C3D">
      <w:pPr>
        <w:pStyle w:val="BodyText"/>
      </w:pPr>
      <w:r w:rsidRPr="00E77E9D">
        <w:t>Improvements and recalculations made to the IPPU sector have resulted in an increase of 0.8 percent (31.7 kt CO</w:t>
      </w:r>
      <w:r w:rsidRPr="00E77E9D">
        <w:rPr>
          <w:vertAlign w:val="subscript"/>
        </w:rPr>
        <w:t>2</w:t>
      </w:r>
      <w:r w:rsidRPr="00E77E9D">
        <w:t>e) in estimated IPPU emissions in 2023, an increase of 0.6 percent (25.9 kt CO</w:t>
      </w:r>
      <w:r w:rsidRPr="00E77E9D">
        <w:rPr>
          <w:vertAlign w:val="subscript"/>
        </w:rPr>
        <w:t>2</w:t>
      </w:r>
      <w:r w:rsidRPr="00E77E9D">
        <w:t>e) in estimated IPPU emissions in 2005 and an increase of 0.01 percent (0.5 kt CO</w:t>
      </w:r>
      <w:r w:rsidRPr="00E77E9D">
        <w:rPr>
          <w:vertAlign w:val="subscript"/>
        </w:rPr>
        <w:t>2</w:t>
      </w:r>
      <w:r w:rsidRPr="00E77E9D">
        <w:t>e) in estimated IPPU emissions in 1990.</w:t>
      </w:r>
    </w:p>
    <w:p w14:paraId="2CB9289D" w14:textId="77777777" w:rsidR="00F52C3D" w:rsidRPr="00E77E9D" w:rsidRDefault="00F52C3D" w:rsidP="00F52C3D">
      <w:pPr>
        <w:pStyle w:val="BodyText"/>
      </w:pPr>
      <w:r w:rsidRPr="00E77E9D">
        <w:t xml:space="preserve">Improvements made in the </w:t>
      </w:r>
      <w:r w:rsidRPr="00E77E9D">
        <w:rPr>
          <w:i/>
          <w:iCs/>
        </w:rPr>
        <w:t>Refrigeration and air conditioning</w:t>
      </w:r>
      <w:r w:rsidRPr="00E77E9D">
        <w:t xml:space="preserve"> category, to better account for changes in stocks held by importers and users, had the largest impact on the sector.</w:t>
      </w:r>
    </w:p>
    <w:p w14:paraId="5657D6BE" w14:textId="77777777" w:rsidR="00F52C3D" w:rsidRPr="00E77E9D" w:rsidRDefault="00F52C3D" w:rsidP="00F52C3D">
      <w:pPr>
        <w:pStyle w:val="BodyText"/>
      </w:pPr>
      <w:r w:rsidRPr="00E77E9D">
        <w:t>Further details on source-specific improvements are provided in the corresponding sections in chapters 4 and 10.</w:t>
      </w:r>
    </w:p>
    <w:p w14:paraId="02D60A59" w14:textId="77777777" w:rsidR="00F52C3D" w:rsidRPr="00E77E9D" w:rsidRDefault="00F52C3D" w:rsidP="00F52C3D">
      <w:pPr>
        <w:pStyle w:val="Heading3"/>
      </w:pPr>
      <w:bookmarkStart w:id="32" w:name="agriculture-chapter-5-1"/>
      <w:bookmarkEnd w:id="31"/>
      <w:r w:rsidRPr="00E77E9D">
        <w:t>Agriculture (chapter 5)</w:t>
      </w:r>
    </w:p>
    <w:p w14:paraId="6857AB35" w14:textId="77777777" w:rsidR="00F52C3D" w:rsidRPr="00E77E9D" w:rsidRDefault="00F52C3D" w:rsidP="00F52C3D">
      <w:pPr>
        <w:pStyle w:val="BodyText"/>
      </w:pPr>
      <w:r w:rsidRPr="00E77E9D">
        <w:t>Improvements and recalculations made to the Agriculture sector have resulted in a decrease of 0.8 percent (326.5 kt CO</w:t>
      </w:r>
      <w:r w:rsidRPr="00E77E9D">
        <w:rPr>
          <w:vertAlign w:val="subscript"/>
        </w:rPr>
        <w:t>2</w:t>
      </w:r>
      <w:r w:rsidRPr="00E77E9D">
        <w:t>e) in estimated Agriculture emissions in 2023, a decrease of 0.6 percent (249.7 kt CO</w:t>
      </w:r>
      <w:r w:rsidRPr="00E77E9D">
        <w:rPr>
          <w:vertAlign w:val="subscript"/>
        </w:rPr>
        <w:t>2</w:t>
      </w:r>
      <w:r w:rsidRPr="00E77E9D">
        <w:t>e) in estimated Agriculture emissions in 2005 and a decrease of 0.4 percent (165.1 kt CO</w:t>
      </w:r>
      <w:r w:rsidRPr="00E77E9D">
        <w:rPr>
          <w:vertAlign w:val="subscript"/>
        </w:rPr>
        <w:t>2</w:t>
      </w:r>
      <w:r w:rsidRPr="00E77E9D">
        <w:t>e) in estimated Agriculture emissions in 1990.</w:t>
      </w:r>
    </w:p>
    <w:p w14:paraId="064FF6E9" w14:textId="77777777" w:rsidR="00F52C3D" w:rsidRPr="00E77E9D" w:rsidRDefault="00F52C3D" w:rsidP="00F52C3D">
      <w:pPr>
        <w:pStyle w:val="Bullet"/>
        <w:numPr>
          <w:ilvl w:val="0"/>
          <w:numId w:val="0"/>
        </w:numPr>
      </w:pPr>
      <w:r w:rsidRPr="006E72FA">
        <w:rPr>
          <w:spacing w:val="-2"/>
        </w:rPr>
        <w:t xml:space="preserve">Several improvements were made to the Agriculture sector for this submission. These include incorporating updates to dairy manure and effluent management practices, updating the emission factor value for non-urea synthetic fertiliser, and alignment with the </w:t>
      </w:r>
      <w:r w:rsidRPr="006E72FA">
        <w:rPr>
          <w:i/>
          <w:spacing w:val="-2"/>
        </w:rPr>
        <w:t>2019 Refinement</w:t>
      </w:r>
      <w:r w:rsidRPr="00E77E9D">
        <w:rPr>
          <w:i/>
        </w:rPr>
        <w:t xml:space="preserve"> to the 2006 IPCC Guidelines for National Greenhouse Gas Inventories</w:t>
      </w:r>
      <w:r w:rsidRPr="00E77E9D">
        <w:t xml:space="preserve"> (2019 IPCC Refinement) (IPCC, 2019). A number of error corrections and improvements to the Agriculture inventory model code were undertaken. It is now also possible to include the impact of a new mitigation technology (EcoPond™) in dairy cattle emissions.</w:t>
      </w:r>
    </w:p>
    <w:p w14:paraId="44C00D47" w14:textId="77777777" w:rsidR="00F52C3D" w:rsidRPr="00E77E9D" w:rsidRDefault="00F52C3D" w:rsidP="00F52C3D">
      <w:pPr>
        <w:pStyle w:val="BodyText"/>
      </w:pPr>
      <w:r w:rsidRPr="00E77E9D">
        <w:t>Further details on source-specific improvements are provided in the corresponding sections in chapters 5 and 10.</w:t>
      </w:r>
    </w:p>
    <w:p w14:paraId="16CA4552" w14:textId="77777777" w:rsidR="00F52C3D" w:rsidRPr="00E77E9D" w:rsidRDefault="00F52C3D" w:rsidP="00F52C3D">
      <w:pPr>
        <w:pStyle w:val="Heading3"/>
      </w:pPr>
      <w:bookmarkStart w:id="33" w:name="lulucf-chapter-6-1"/>
      <w:bookmarkEnd w:id="32"/>
      <w:r w:rsidRPr="00E77E9D">
        <w:t>LULUCF (chapter 6)</w:t>
      </w:r>
    </w:p>
    <w:p w14:paraId="68D21D2C" w14:textId="77777777" w:rsidR="00F52C3D" w:rsidRPr="00E77E9D" w:rsidRDefault="00F52C3D" w:rsidP="00F52C3D">
      <w:pPr>
        <w:pStyle w:val="BodyText"/>
      </w:pPr>
      <w:r w:rsidRPr="00E77E9D">
        <w:t>Improvements and recalculations made to the LULUCF sector have resulted in a decrease of 1.1 percent (230.7 kt CO</w:t>
      </w:r>
      <w:r w:rsidRPr="00E77E9D">
        <w:rPr>
          <w:vertAlign w:val="subscript"/>
        </w:rPr>
        <w:t>2</w:t>
      </w:r>
      <w:r w:rsidRPr="00E77E9D">
        <w:t>e) in estimated net LULUCF removals in 2023, a decrease of 5 percent (1,223.8 kt CO</w:t>
      </w:r>
      <w:r w:rsidRPr="00E77E9D">
        <w:rPr>
          <w:vertAlign w:val="subscript"/>
        </w:rPr>
        <w:t>2</w:t>
      </w:r>
      <w:r w:rsidRPr="00E77E9D">
        <w:t>e) in estimated net LULUCF removals in 2005 and a decrease of 4.1 percent (999.5 kt CO</w:t>
      </w:r>
      <w:r w:rsidRPr="00E77E9D">
        <w:rPr>
          <w:vertAlign w:val="subscript"/>
        </w:rPr>
        <w:t>2</w:t>
      </w:r>
      <w:r w:rsidRPr="00E77E9D">
        <w:t>e) in estimated net LULUCF removals in 1990.</w:t>
      </w:r>
    </w:p>
    <w:p w14:paraId="5FB61EA3" w14:textId="77777777" w:rsidR="00F52C3D" w:rsidRPr="00E77E9D" w:rsidRDefault="00F52C3D" w:rsidP="00F52C3D">
      <w:pPr>
        <w:pStyle w:val="BodyText"/>
      </w:pPr>
      <w:r w:rsidRPr="00E77E9D">
        <w:t xml:space="preserve">Methodological improvements applied in the LULUCF sector for this submission were an improvement to the modelling of harvest age, and new country-specific emissions in the </w:t>
      </w:r>
      <w:r w:rsidRPr="00E77E9D">
        <w:rPr>
          <w:i/>
          <w:iCs/>
        </w:rPr>
        <w:t>Grassland</w:t>
      </w:r>
      <w:r w:rsidRPr="00E77E9D">
        <w:t xml:space="preserve"> category to replace default values.</w:t>
      </w:r>
    </w:p>
    <w:p w14:paraId="68C24481" w14:textId="77777777" w:rsidR="00F52C3D" w:rsidRPr="00E77E9D" w:rsidRDefault="00F52C3D" w:rsidP="00F52C3D">
      <w:pPr>
        <w:pStyle w:val="BodyText"/>
      </w:pPr>
      <w:r w:rsidRPr="00E77E9D">
        <w:t xml:space="preserve">Activity data improvements occurred in the </w:t>
      </w:r>
      <w:r w:rsidRPr="00E77E9D">
        <w:rPr>
          <w:i/>
          <w:iCs/>
        </w:rPr>
        <w:t>Forest</w:t>
      </w:r>
      <w:r w:rsidRPr="00E77E9D">
        <w:t xml:space="preserve"> category - for permanent forest area and areas of deforestation.</w:t>
      </w:r>
    </w:p>
    <w:p w14:paraId="7FCAFB46" w14:textId="77777777" w:rsidR="00F52C3D" w:rsidRPr="00E77E9D" w:rsidRDefault="00F52C3D" w:rsidP="00F52C3D">
      <w:pPr>
        <w:pStyle w:val="BodyText"/>
      </w:pPr>
      <w:r w:rsidRPr="00E77E9D">
        <w:t>Further details on source-specific improvements are provided in the corresponding sections in chapters 6 and 10.</w:t>
      </w:r>
    </w:p>
    <w:p w14:paraId="2916BAA5" w14:textId="77777777" w:rsidR="00F52C3D" w:rsidRPr="00E77E9D" w:rsidRDefault="00F52C3D" w:rsidP="00F52C3D">
      <w:pPr>
        <w:pStyle w:val="Heading3"/>
      </w:pPr>
      <w:bookmarkStart w:id="34" w:name="waste-chapter-7-1"/>
      <w:bookmarkEnd w:id="33"/>
      <w:r w:rsidRPr="00E77E9D">
        <w:t>Waste (chapter 7)</w:t>
      </w:r>
    </w:p>
    <w:p w14:paraId="68031C7D" w14:textId="77777777" w:rsidR="00F52C3D" w:rsidRPr="00E77E9D" w:rsidRDefault="00F52C3D" w:rsidP="00F52C3D">
      <w:pPr>
        <w:pStyle w:val="BodyText"/>
      </w:pPr>
      <w:r w:rsidRPr="00E77E9D">
        <w:t>Improvements and recalculations made to estimates in the Waste sector have resulted in a 3.7 percent (106.5 kt CO</w:t>
      </w:r>
      <w:r w:rsidRPr="00E77E9D">
        <w:rPr>
          <w:vertAlign w:val="subscript"/>
        </w:rPr>
        <w:t>2</w:t>
      </w:r>
      <w:r w:rsidRPr="00E77E9D">
        <w:t>e) increase in emissions in 2023, a 1.1 percent (43.0 kt CO</w:t>
      </w:r>
      <w:r w:rsidRPr="00E77E9D">
        <w:rPr>
          <w:vertAlign w:val="subscript"/>
        </w:rPr>
        <w:t>2</w:t>
      </w:r>
      <w:r w:rsidRPr="00E77E9D">
        <w:t>e) increase in emissions in 2005 and a 1.6 percent (50.9 kt CO</w:t>
      </w:r>
      <w:r w:rsidRPr="00E77E9D">
        <w:rPr>
          <w:vertAlign w:val="subscript"/>
        </w:rPr>
        <w:t>2</w:t>
      </w:r>
      <w:r w:rsidRPr="00E77E9D">
        <w:t>e) increase in emissions in 1990.</w:t>
      </w:r>
    </w:p>
    <w:p w14:paraId="5A68CB5D" w14:textId="77777777" w:rsidR="00F52C3D" w:rsidRPr="00E77E9D" w:rsidRDefault="00F52C3D" w:rsidP="00F52C3D">
      <w:pPr>
        <w:pStyle w:val="BodyText"/>
      </w:pPr>
      <w:r w:rsidRPr="00E77E9D">
        <w:t xml:space="preserve">For the </w:t>
      </w:r>
      <w:r w:rsidRPr="00B94D6F">
        <w:t>2026</w:t>
      </w:r>
      <w:r w:rsidRPr="00E77E9D">
        <w:t xml:space="preserve"> submission, three source categories have undergone significant updates. </w:t>
      </w:r>
      <w:r w:rsidRPr="00E77E9D">
        <w:rPr>
          <w:rFonts w:cs="Calibri"/>
        </w:rPr>
        <w:t xml:space="preserve">These include updates to how emissions are estimated in </w:t>
      </w:r>
      <w:r w:rsidRPr="00E77E9D">
        <w:rPr>
          <w:rFonts w:cs="Calibri"/>
          <w:i/>
          <w:iCs/>
        </w:rPr>
        <w:t>Managed waste disposal sites, Unmanaged waste disposal sites</w:t>
      </w:r>
      <w:r w:rsidRPr="00E77E9D">
        <w:rPr>
          <w:rFonts w:cs="Calibri"/>
        </w:rPr>
        <w:t xml:space="preserve"> and </w:t>
      </w:r>
      <w:r w:rsidRPr="00E77E9D">
        <w:rPr>
          <w:rFonts w:cs="Calibri"/>
          <w:i/>
          <w:iCs/>
        </w:rPr>
        <w:t>Waste incineration and open burning of waste</w:t>
      </w:r>
      <w:r w:rsidRPr="00E77E9D">
        <w:rPr>
          <w:rFonts w:cs="Calibri"/>
        </w:rPr>
        <w:t>.</w:t>
      </w:r>
    </w:p>
    <w:p w14:paraId="014E9478" w14:textId="77777777" w:rsidR="00F52C3D" w:rsidRPr="00E77E9D" w:rsidRDefault="00F52C3D" w:rsidP="00F52C3D">
      <w:pPr>
        <w:pStyle w:val="BodyText"/>
      </w:pPr>
      <w:r w:rsidRPr="00E77E9D">
        <w:t>Further details on source-specific improvements are provided in the corresponding sections in chapters 7 and 10.</w:t>
      </w:r>
    </w:p>
    <w:p w14:paraId="3EA25F5D" w14:textId="77777777" w:rsidR="00F52C3D" w:rsidRPr="00E77E9D" w:rsidRDefault="00F52C3D" w:rsidP="00F52C3D">
      <w:pPr>
        <w:pStyle w:val="Heading3"/>
      </w:pPr>
      <w:bookmarkStart w:id="35" w:name="other-tokelau-chapter-8-1"/>
      <w:bookmarkEnd w:id="34"/>
      <w:r w:rsidRPr="00E77E9D">
        <w:t>Other (Tokelau – chapter 8)</w:t>
      </w:r>
    </w:p>
    <w:p w14:paraId="76314D39" w14:textId="78387122" w:rsidR="00F52C3D" w:rsidRPr="00E77E9D" w:rsidRDefault="00F52C3D" w:rsidP="00F52C3D">
      <w:pPr>
        <w:pStyle w:val="BodyText"/>
      </w:pPr>
      <w:r w:rsidRPr="00E77E9D">
        <w:t>Improvements and recalculations made to emissions estimates for Tokelau have resulted in</w:t>
      </w:r>
      <w:r w:rsidR="00B94D6F">
        <w:t xml:space="preserve"> </w:t>
      </w:r>
      <w:r w:rsidRPr="00E77E9D">
        <w:t>an increase of 0.1 percent (0.004 kt CO</w:t>
      </w:r>
      <w:r w:rsidRPr="00E77E9D">
        <w:rPr>
          <w:vertAlign w:val="subscript"/>
        </w:rPr>
        <w:t>2</w:t>
      </w:r>
      <w:r w:rsidRPr="00E77E9D">
        <w:t xml:space="preserve">e) in 2023, no change in 2005 and no change in 1990. </w:t>
      </w:r>
    </w:p>
    <w:p w14:paraId="5C6C723A" w14:textId="77777777" w:rsidR="00F52C3D" w:rsidRPr="00E77E9D" w:rsidRDefault="00F52C3D" w:rsidP="00F52C3D">
      <w:pPr>
        <w:pStyle w:val="BodyText"/>
      </w:pPr>
      <w:r w:rsidRPr="00E77E9D">
        <w:t>One minor update was made to Tokelau’s GHG inventory estimates since the 2025 submission. This change reflects updates in New Zealand’s medical emissions data, which are applied to Tokelau on a per capita basis.</w:t>
      </w:r>
    </w:p>
    <w:p w14:paraId="4766F1E9" w14:textId="77777777" w:rsidR="00F52C3D" w:rsidRPr="00E77E9D" w:rsidRDefault="00F52C3D" w:rsidP="00F52C3D">
      <w:pPr>
        <w:pStyle w:val="BodyText"/>
      </w:pPr>
      <w:r w:rsidRPr="00E77E9D">
        <w:t>Further details on this source-specific improvement are provided in the corresponding section in chapters 8 and 10.</w:t>
      </w:r>
    </w:p>
    <w:p w14:paraId="535B657D" w14:textId="77777777" w:rsidR="00F52C3D" w:rsidRPr="00E77E9D" w:rsidRDefault="00F52C3D" w:rsidP="00F52C3D">
      <w:pPr>
        <w:pStyle w:val="Heading3"/>
      </w:pPr>
      <w:bookmarkStart w:id="36" w:name="Xfefb940a4f195fdf3cba221b6def840433b79bc"/>
      <w:bookmarkEnd w:id="35"/>
      <w:r w:rsidRPr="00E77E9D">
        <w:t>Improvements to national inventory system</w:t>
      </w:r>
    </w:p>
    <w:p w14:paraId="74515130" w14:textId="77777777" w:rsidR="00F52C3D" w:rsidRPr="00E77E9D" w:rsidRDefault="00F52C3D" w:rsidP="00F52C3D">
      <w:pPr>
        <w:pStyle w:val="BodyText"/>
      </w:pPr>
      <w:r w:rsidRPr="00E77E9D">
        <w:t>No changes were made to the legal or institutional arrangements of the national inventory system.</w:t>
      </w:r>
    </w:p>
    <w:p w14:paraId="6EA4840A" w14:textId="77777777" w:rsidR="00F52C3D" w:rsidRPr="00E77E9D" w:rsidRDefault="00F52C3D" w:rsidP="00F52C3D">
      <w:r w:rsidRPr="00E77E9D">
        <w:br w:type="page"/>
      </w:r>
    </w:p>
    <w:p w14:paraId="386A5929" w14:textId="77777777" w:rsidR="00F52C3D" w:rsidRPr="00E77E9D" w:rsidRDefault="00F52C3D" w:rsidP="00F52C3D">
      <w:pPr>
        <w:pStyle w:val="Heading2"/>
        <w:spacing w:before="120" w:after="360"/>
      </w:pPr>
      <w:bookmarkStart w:id="37" w:name="_Toc226460736"/>
      <w:bookmarkStart w:id="38" w:name="executive-summary-references"/>
      <w:bookmarkEnd w:id="29"/>
      <w:bookmarkEnd w:id="36"/>
      <w:r w:rsidRPr="00E77E9D">
        <w:t>Executive summary: References</w:t>
      </w:r>
      <w:bookmarkEnd w:id="37"/>
    </w:p>
    <w:p w14:paraId="62EB5887" w14:textId="77777777" w:rsidR="00F52C3D" w:rsidRPr="00E77E9D" w:rsidRDefault="00F52C3D" w:rsidP="00F52C3D">
      <w:pPr>
        <w:pStyle w:val="References"/>
      </w:pPr>
      <w:r w:rsidRPr="00E77E9D">
        <w:t xml:space="preserve">IPCC. 2006a. Eggleston HS, Buendia L, Miwa K, Ngara T, Tanabe K (eds). </w:t>
      </w:r>
      <w:r w:rsidRPr="00E77E9D">
        <w:rPr>
          <w:i/>
          <w:iCs/>
        </w:rPr>
        <w:t>2006 IPCC Guidelines for National Greenhouse Gas Inventories. Volume 1. General Guidance and Reporting</w:t>
      </w:r>
      <w:r w:rsidRPr="00E77E9D">
        <w:t xml:space="preserve"> IPCC National Greenhouse Gas Inventories Programme. Japan: Institute for Global Environmental Strategies for IPCC.</w:t>
      </w:r>
    </w:p>
    <w:p w14:paraId="79B01CB0" w14:textId="77777777" w:rsidR="00F52C3D" w:rsidRPr="00E77E9D" w:rsidRDefault="00F52C3D" w:rsidP="00F52C3D">
      <w:pPr>
        <w:pStyle w:val="References"/>
      </w:pPr>
      <w:r w:rsidRPr="00E77E9D">
        <w:t xml:space="preserve">IPCC. 2006b. Eggleston HS, Buendia L, Miwa K, Ngara T, Tanabe K (eds). </w:t>
      </w:r>
      <w:r w:rsidRPr="00E77E9D">
        <w:rPr>
          <w:i/>
          <w:iCs/>
        </w:rPr>
        <w:t>2006 IPCC Guidelines for National Greenhouse Gas Inventories</w:t>
      </w:r>
      <w:r w:rsidRPr="00E77E9D">
        <w:t xml:space="preserve">. </w:t>
      </w:r>
      <w:r w:rsidRPr="00E77E9D">
        <w:rPr>
          <w:i/>
          <w:iCs/>
        </w:rPr>
        <w:t>Volume 5. Waste</w:t>
      </w:r>
      <w:r w:rsidRPr="00E77E9D">
        <w:t>. IPCC National Greenhouse Gas Inventories Programme. Japan: Published for the IPCC by the Institute for Global Environmental Strategies.</w:t>
      </w:r>
    </w:p>
    <w:p w14:paraId="7449907C" w14:textId="7C9B66C2" w:rsidR="00F52C3D" w:rsidRPr="00E77E9D" w:rsidRDefault="00F52C3D" w:rsidP="00F52C3D">
      <w:pPr>
        <w:pStyle w:val="References"/>
      </w:pPr>
      <w:r w:rsidRPr="00E77E9D">
        <w:t>IPCC. 2019. Calvo Buendia E, Tanabe K, Kranjc A, Baasansuren J, Fukuda M, Ngarize S, Osako A, Pyrozhenko Y, Shermanau P</w:t>
      </w:r>
      <w:r w:rsidR="00282356">
        <w:t>,</w:t>
      </w:r>
      <w:r w:rsidRPr="00E77E9D">
        <w:t xml:space="preserve"> Federici S (eds). </w:t>
      </w:r>
      <w:r w:rsidRPr="00E77E9D">
        <w:rPr>
          <w:i/>
          <w:iCs/>
        </w:rPr>
        <w:t>2019 Refinement to the 2006 IPCC Guidelines for National Greenhouse Gas Inventories</w:t>
      </w:r>
      <w:r w:rsidRPr="00E77E9D">
        <w:t xml:space="preserve">. Published: IPCC, Switzerland. </w:t>
      </w:r>
    </w:p>
    <w:p w14:paraId="4538CB53" w14:textId="77777777" w:rsidR="00F52C3D" w:rsidRPr="00E77E9D" w:rsidRDefault="00F52C3D" w:rsidP="00F52C3D">
      <w:pPr>
        <w:pStyle w:val="References"/>
      </w:pPr>
      <w:r w:rsidRPr="00E77E9D">
        <w:rPr>
          <w:rFonts w:asciiTheme="minorHAnsi" w:hAnsiTheme="minorHAnsi" w:cstheme="minorHAnsi"/>
          <w:color w:val="000000" w:themeColor="text1"/>
          <w:szCs w:val="20"/>
        </w:rPr>
        <w:t>LIC (Livestock Improvement Corporation Limited) and DairyNZ</w:t>
      </w:r>
      <w:r w:rsidRPr="00E77E9D">
        <w:rPr>
          <w:rFonts w:asciiTheme="minorHAnsi" w:hAnsiTheme="minorHAnsi" w:cstheme="minorHAnsi"/>
          <w:szCs w:val="20"/>
        </w:rPr>
        <w:t xml:space="preserve">. 2025. </w:t>
      </w:r>
      <w:hyperlink r:id="rId26" w:tgtFrame="_blank" w:history="1">
        <w:r w:rsidRPr="00E77E9D">
          <w:rPr>
            <w:rStyle w:val="Hyperlink"/>
            <w:rFonts w:asciiTheme="minorHAnsi" w:hAnsiTheme="minorHAnsi" w:cstheme="minorHAnsi"/>
            <w:i/>
            <w:szCs w:val="20"/>
          </w:rPr>
          <w:t xml:space="preserve">New Zealand Dairy Statistics </w:t>
        </w:r>
        <w:r w:rsidRPr="00E77E9D">
          <w:rPr>
            <w:rStyle w:val="Hyperlink"/>
            <w:rFonts w:asciiTheme="minorHAnsi" w:hAnsiTheme="minorHAnsi" w:cstheme="minorHAnsi"/>
            <w:i/>
            <w:szCs w:val="20"/>
          </w:rPr>
          <w:br/>
          <w:t>2024–25</w:t>
        </w:r>
      </w:hyperlink>
      <w:r w:rsidRPr="00E77E9D">
        <w:rPr>
          <w:rFonts w:asciiTheme="minorHAnsi" w:hAnsiTheme="minorHAnsi" w:cstheme="minorHAnsi"/>
          <w:i/>
          <w:szCs w:val="20"/>
        </w:rPr>
        <w:t xml:space="preserve">. </w:t>
      </w:r>
      <w:r w:rsidRPr="00E77E9D">
        <w:rPr>
          <w:rFonts w:asciiTheme="minorHAnsi" w:hAnsiTheme="minorHAnsi" w:cstheme="minorHAnsi"/>
          <w:szCs w:val="20"/>
        </w:rPr>
        <w:t>Hamilton: DairyNZ. Retrieved 17 December 2025.</w:t>
      </w:r>
    </w:p>
    <w:p w14:paraId="2EDD06BF" w14:textId="77777777" w:rsidR="00F52C3D" w:rsidRPr="00E77E9D" w:rsidRDefault="00F52C3D" w:rsidP="00F52C3D">
      <w:pPr>
        <w:pStyle w:val="References"/>
      </w:pPr>
      <w:r w:rsidRPr="00E77E9D">
        <w:t xml:space="preserve">UNFCCC. 2018. FCCC/PA/CMA/2018/3/Add.2. </w:t>
      </w:r>
      <w:r w:rsidRPr="00E77E9D">
        <w:rPr>
          <w:i/>
          <w:iCs/>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p>
    <w:p w14:paraId="70588DD3" w14:textId="77777777" w:rsidR="00F52C3D" w:rsidRPr="00E77E9D" w:rsidRDefault="00F52C3D" w:rsidP="00F52C3D">
      <w:pPr>
        <w:pStyle w:val="References"/>
      </w:pPr>
      <w:r w:rsidRPr="00E77E9D">
        <w:t xml:space="preserve">UNFCCC. 2021. FCCC/PA/CMA/2021/10/Add.2. </w:t>
      </w:r>
      <w:r w:rsidRPr="00E77E9D">
        <w:rPr>
          <w:i/>
          <w:iCs/>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bookmarkEnd w:id="3"/>
      <w:bookmarkEnd w:id="38"/>
    </w:p>
    <w:p w14:paraId="1B7E21FF" w14:textId="77777777" w:rsidR="00994BC7" w:rsidRDefault="00994BC7" w:rsidP="004B4FD2">
      <w:pPr>
        <w:pStyle w:val="BodyText"/>
      </w:pPr>
    </w:p>
    <w:p w14:paraId="0A51B290" w14:textId="77777777" w:rsidR="00994BC7" w:rsidRDefault="00994BC7" w:rsidP="004B4FD2">
      <w:pPr>
        <w:pStyle w:val="BodyText"/>
        <w:sectPr w:rsidR="00994BC7" w:rsidSect="001C0914">
          <w:footerReference w:type="even" r:id="rId27"/>
          <w:pgSz w:w="11907" w:h="16840" w:code="9"/>
          <w:pgMar w:top="1418" w:right="1701" w:bottom="1418" w:left="1701" w:header="567" w:footer="567" w:gutter="0"/>
          <w:pgNumType w:fmt="lowerRoman"/>
          <w:cols w:space="720"/>
        </w:sectPr>
      </w:pPr>
    </w:p>
    <w:p w14:paraId="5C59D865" w14:textId="77777777" w:rsidR="00502238" w:rsidRPr="00FD12D3" w:rsidRDefault="00502238" w:rsidP="00502238">
      <w:pPr>
        <w:pStyle w:val="Heading1"/>
      </w:pPr>
      <w:bookmarkStart w:id="39" w:name="_Toc226460737"/>
      <w:bookmarkStart w:id="40" w:name="X18d7c565108da87a73efc46d9b0d12bf3e78adb"/>
      <w:r w:rsidRPr="00FD12D3">
        <w:t>Chapter 1: National circumstances, institutional arrangements and cross</w:t>
      </w:r>
      <w:r w:rsidRPr="00FD12D3">
        <w:noBreakHyphen/>
        <w:t>cutting information</w:t>
      </w:r>
      <w:bookmarkEnd w:id="39"/>
    </w:p>
    <w:p w14:paraId="7DCF90DA" w14:textId="77777777" w:rsidR="00502238" w:rsidRPr="00FD12D3" w:rsidRDefault="00502238" w:rsidP="00502238">
      <w:pPr>
        <w:pStyle w:val="Heading2"/>
        <w:spacing w:before="240"/>
      </w:pPr>
      <w:bookmarkStart w:id="41" w:name="_Toc226460738"/>
      <w:bookmarkStart w:id="42" w:name="Xc6889965ccdd81dd425e7e93a008c6e5b427bfe"/>
      <w:r w:rsidRPr="00FD12D3">
        <w:t xml:space="preserve">1.1 </w:t>
      </w:r>
      <w:r w:rsidRPr="00FD12D3">
        <w:tab/>
        <w:t>Background information on greenhouse gas inventories and climate change</w:t>
      </w:r>
      <w:bookmarkEnd w:id="41"/>
    </w:p>
    <w:p w14:paraId="1EF4E632" w14:textId="77777777" w:rsidR="00502238" w:rsidRPr="00FD12D3" w:rsidRDefault="00502238" w:rsidP="00502238">
      <w:pPr>
        <w:pStyle w:val="BodyText"/>
      </w:pPr>
      <w:r w:rsidRPr="00FD12D3">
        <w:t xml:space="preserve">Greenhouse gases (GHGs) in Earth’s atmosphere trap warmth from the sun and make life as we know it possible. The Intergovernmental Panel on Climate Change (IPCC) Sixth Assessment Report (IPCC, 2021) confirms that the evidence showing humans have an influence on the climate system is unequivocal. Human-induced climate change is evident in extreme weather </w:t>
      </w:r>
      <w:r w:rsidRPr="00FD12D3">
        <w:rPr>
          <w:spacing w:val="-2"/>
        </w:rPr>
        <w:t>events all around the world. Events such as heatwaves, severe rainfall and droughts have become more frequent and extreme as a result of climate change and will continue to intensify</w:t>
      </w:r>
      <w:r w:rsidRPr="00FD12D3">
        <w:t>.</w:t>
      </w:r>
    </w:p>
    <w:p w14:paraId="342FCE54" w14:textId="77777777" w:rsidR="00502238" w:rsidRPr="00FD12D3" w:rsidRDefault="00502238" w:rsidP="00502238">
      <w:pPr>
        <w:pStyle w:val="BodyText"/>
      </w:pPr>
      <w:r w:rsidRPr="00FD12D3">
        <w:t xml:space="preserve">Some of the changes to the climate system, including sea-level rise and loss of glaciers, are irreversible over centuries to millennia. The rate and magnitude of these committed changes, however, still depend on future GHG emissions. </w:t>
      </w:r>
    </w:p>
    <w:p w14:paraId="290B2EE7" w14:textId="77777777" w:rsidR="00502238" w:rsidRPr="00FD12D3" w:rsidRDefault="00502238" w:rsidP="00502238">
      <w:pPr>
        <w:pStyle w:val="BodyText"/>
      </w:pPr>
      <w:r w:rsidRPr="00FD12D3">
        <w:t>Greenhouse gas inventories are essential for understanding humanity’s impact on climate change by measuring how much heat-trapping gas enters or is removed from the atmosphere. They inform climate policy and global stocktakes, and provide evidence for checking the validity of climate commitments.</w:t>
      </w:r>
    </w:p>
    <w:p w14:paraId="2D132B36" w14:textId="77777777" w:rsidR="00502238" w:rsidRPr="00FD12D3" w:rsidRDefault="00502238" w:rsidP="00502238">
      <w:pPr>
        <w:pStyle w:val="Heading3"/>
        <w:spacing w:line="340" w:lineRule="atLeast"/>
      </w:pPr>
      <w:bookmarkStart w:id="43" w:name="X69b1f30f8a1117cea96180909738ad5b968a913"/>
      <w:r w:rsidRPr="00FD12D3">
        <w:t>1.1.1</w:t>
      </w:r>
      <w:r w:rsidRPr="00FD12D3">
        <w:tab/>
        <w:t>United Nations Framework Convention on Climate Change and the Paris Agreement</w:t>
      </w:r>
    </w:p>
    <w:p w14:paraId="536D818B" w14:textId="77777777" w:rsidR="00502238" w:rsidRPr="00FD12D3" w:rsidRDefault="00502238" w:rsidP="00502238">
      <w:pPr>
        <w:pStyle w:val="BodyText"/>
      </w:pPr>
      <w:r w:rsidRPr="00FD12D3">
        <w:t>The IPCC was established by the United Nations Environment Programme and the World Meteorological Organization in 1988. Its initial task was to prepare a comprehensive review and recommendations with respect to the state of knowledge of the science of climate change; the social and economic impact of climate change; and potential response strategies and elements for inclusion in a possible future international convention on climate. In 1990, it</w:t>
      </w:r>
      <w:r>
        <w:t> </w:t>
      </w:r>
      <w:r w:rsidRPr="00FD12D3">
        <w:t>concluded that human-induced climate change was a threat to our future.</w:t>
      </w:r>
    </w:p>
    <w:p w14:paraId="2B0FA3EA" w14:textId="77777777" w:rsidR="00502238" w:rsidRPr="00FD12D3" w:rsidRDefault="00502238" w:rsidP="00502238">
      <w:pPr>
        <w:pStyle w:val="BodyText"/>
      </w:pPr>
      <w:r w:rsidRPr="00FD12D3">
        <w:t>In response, the United Nations General Assembly convened a series of meetings that culminated in the adoption of the United Nations Framework Convention on Climate Change (UNFCCC or the Convention) at the Earth Summit in Rio de Janeiro in May 1992.</w:t>
      </w:r>
    </w:p>
    <w:p w14:paraId="12100980" w14:textId="77777777" w:rsidR="00502238" w:rsidRPr="00FD12D3" w:rsidRDefault="00502238" w:rsidP="00502238">
      <w:pPr>
        <w:pStyle w:val="BodyText"/>
      </w:pPr>
      <w:r w:rsidRPr="00FD12D3">
        <w:t>The Convention has been signed and ratified by 197 nations, including New Zealand, and took effect on 21 March 1994.</w:t>
      </w:r>
    </w:p>
    <w:p w14:paraId="0C491D8A" w14:textId="77777777" w:rsidR="00502238" w:rsidRPr="00FD12D3" w:rsidRDefault="00502238" w:rsidP="00502238">
      <w:pPr>
        <w:pStyle w:val="BodyText"/>
      </w:pPr>
      <w:r w:rsidRPr="00FD12D3">
        <w:t>The main objective of the Convention (UNFCCC, 1992, Article 2) is to achieve:</w:t>
      </w:r>
    </w:p>
    <w:p w14:paraId="6BFEE6C9" w14:textId="77777777" w:rsidR="00502238" w:rsidRPr="00FD12D3" w:rsidRDefault="00502238" w:rsidP="00502238">
      <w:pPr>
        <w:pStyle w:val="Quote"/>
      </w:pPr>
      <w:r w:rsidRPr="00FD12D3">
        <w:t>…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p>
    <w:p w14:paraId="2CE89AF1" w14:textId="77777777" w:rsidR="00502238" w:rsidRPr="00FD12D3" w:rsidRDefault="00502238" w:rsidP="00502238">
      <w:pPr>
        <w:pStyle w:val="BodyText"/>
      </w:pPr>
      <w:r w:rsidRPr="00FD12D3">
        <w:t xml:space="preserve">All countries that ratified the Convention (the Parties) are required to take action to address climate change, including by monitoring trends in anthropogenic GHG emissions. Producing the annual inventory of GHG emissions and removals fulfils this obligation. Parties are also </w:t>
      </w:r>
      <w:r w:rsidRPr="00F7431C">
        <w:rPr>
          <w:spacing w:val="-2"/>
        </w:rPr>
        <w:t>obliged to protect and enhance carbon sinks and reservoirs, for example, forests, and implement</w:t>
      </w:r>
      <w:r w:rsidRPr="00FD12D3">
        <w:t xml:space="preserve"> measures that assist in national and/or regional climate change adaptation and mitigation. In addition, Parties listed in Annex II</w:t>
      </w:r>
      <w:r w:rsidRPr="00FD12D3">
        <w:rPr>
          <w:rStyle w:val="FootnoteReference"/>
        </w:rPr>
        <w:footnoteReference w:id="1"/>
      </w:r>
      <w:r w:rsidRPr="00FD12D3">
        <w:t xml:space="preserve"> to the Convention commit to providing technology transfer, capacity building and financial assistance to non-Annex I</w:t>
      </w:r>
      <w:r w:rsidRPr="00FD12D3">
        <w:rPr>
          <w:rStyle w:val="FootnoteReference"/>
        </w:rPr>
        <w:footnoteReference w:id="2"/>
      </w:r>
      <w:r w:rsidRPr="00FD12D3">
        <w:t xml:space="preserve"> Parties (developing country Parties).</w:t>
      </w:r>
    </w:p>
    <w:p w14:paraId="728CD502" w14:textId="77777777" w:rsidR="00502238" w:rsidRPr="00FD12D3" w:rsidRDefault="00502238" w:rsidP="00502238">
      <w:pPr>
        <w:pStyle w:val="BodyText"/>
      </w:pPr>
      <w:r w:rsidRPr="00FD12D3">
        <w:t>Annex I Parties also agreed to aim to return GHG emissions to 1990 levels by the year 2000. Only a few Annex I Parties made appreciable progress towards achieving this aim. The international community recognised that the existing commitments in the Convention were not enough to ensure GHGs would be stabilised at a safe level. In response, in 1995, Parties launched a new round of talks to provide stronger and more detailed commitments for Annex I Parties. After two-and-a-half years of negotiations, the Kyoto Protocol was adopted in Kyoto, Japan, on 11 December 1997 with the goal of reducing emissions to 5 percent below 1990 levels. New Zealand ratified the Kyoto Protocol on 19 December 2002. The Protocol came into force on 16 February 2005.</w:t>
      </w:r>
    </w:p>
    <w:p w14:paraId="1FD4962E" w14:textId="77777777" w:rsidR="00502238" w:rsidRPr="00FD12D3" w:rsidRDefault="00502238" w:rsidP="00502238">
      <w:pPr>
        <w:pStyle w:val="BodyText"/>
      </w:pPr>
      <w:r w:rsidRPr="00FD12D3">
        <w:t>The Kyoto Protocol only required Annex I Parties to reduce emissions. While research suggests that most Annex I Parties had met their emissions reduction targets, global emissions were continuing to increase.</w:t>
      </w:r>
    </w:p>
    <w:p w14:paraId="39921E48" w14:textId="77777777" w:rsidR="00502238" w:rsidRPr="00FD12D3" w:rsidRDefault="00502238" w:rsidP="00502238">
      <w:pPr>
        <w:pStyle w:val="BodyText"/>
      </w:pPr>
      <w:r w:rsidRPr="00FD12D3">
        <w:t>To accelerate and intensify the actions and investments needed for a sustainable low-carbon future, Parties to the Convention reached a landmark agreement in Paris, France, on 12 December 2015: the Paris Agreement. New Zealand ratified the Paris Agreement on 4 October 2016.</w:t>
      </w:r>
    </w:p>
    <w:p w14:paraId="35A07325" w14:textId="77777777" w:rsidR="00502238" w:rsidRPr="00FD12D3" w:rsidRDefault="00502238" w:rsidP="00502238">
      <w:pPr>
        <w:pStyle w:val="BodyText"/>
      </w:pPr>
      <w:r w:rsidRPr="00FD12D3">
        <w:t>One result of the extension (as of 13 November 2017) of New Zealand’s ratification of the Convention and the Paris Agreement is that New Zealand’s national inventory now includes GHG emissions and removals estimates from Tokelau.</w:t>
      </w:r>
    </w:p>
    <w:p w14:paraId="676E14C0" w14:textId="77777777" w:rsidR="00502238" w:rsidRPr="00FD12D3" w:rsidRDefault="00502238" w:rsidP="00502238">
      <w:pPr>
        <w:pStyle w:val="BodyText"/>
      </w:pPr>
      <w:r w:rsidRPr="00FD12D3">
        <w:t>Although the 1997 Kyoto Protocol technically remains in force, the Paris Agreement has, in effect, superseded the Kyoto Protocol as the principal regulatory instrument governing the global response to climate change.</w:t>
      </w:r>
    </w:p>
    <w:p w14:paraId="051F0071" w14:textId="77777777" w:rsidR="00502238" w:rsidRPr="00FD12D3" w:rsidRDefault="00502238" w:rsidP="00502238">
      <w:pPr>
        <w:pStyle w:val="Heading3"/>
      </w:pPr>
      <w:bookmarkStart w:id="44" w:name="inventory-reporting"/>
      <w:bookmarkEnd w:id="43"/>
      <w:r w:rsidRPr="00FD12D3">
        <w:t xml:space="preserve">1.1.2 </w:t>
      </w:r>
      <w:r w:rsidRPr="00FD12D3">
        <w:tab/>
        <w:t>Inventory reporting</w:t>
      </w:r>
    </w:p>
    <w:p w14:paraId="116097BD" w14:textId="77777777" w:rsidR="00502238" w:rsidRPr="00FD12D3" w:rsidRDefault="00502238" w:rsidP="00502238">
      <w:pPr>
        <w:pStyle w:val="BodyText"/>
      </w:pPr>
      <w:r w:rsidRPr="00FD12D3">
        <w:rPr>
          <w:i/>
          <w:iCs/>
        </w:rPr>
        <w:t>New Zealand’s Greenhouse Gas Inventory</w:t>
      </w:r>
      <w:r w:rsidRPr="00FD12D3">
        <w:t xml:space="preserve"> (the Inventory) is the official annual report of all anthropogenic GHGs not controlled by the Montreal Protocol that occur in New Zealand and Tokelau.</w:t>
      </w:r>
    </w:p>
    <w:p w14:paraId="41A9F957" w14:textId="77777777" w:rsidR="00502238" w:rsidRPr="00FD12D3" w:rsidRDefault="00502238" w:rsidP="00502238">
      <w:pPr>
        <w:pStyle w:val="BodyText"/>
      </w:pPr>
      <w:r w:rsidRPr="00FD12D3">
        <w:t>A complete inventory submission contains two main components: the national inventory document and the common reporting tables (CRT). The Inventory fulfils New Zealand’s national inventory reporting obligations under both the Convention and the Paris Agreement, as agreed in decision 1/CP.24 of the Conference of the Parties to the UNFCCC (UNFCCC, 2018a). The Inventory has been prepared in accordance with chapter II of the Annex to the decision 18/CMA.1 Modalities, procedures and guidelines for the transparency framework for action and support referred to in Article 13 of the Paris Agreement (UNFCCC, 2018b) and decision 5/CMA.3 Guidance for operationalizing the modalities, procedures and guidelines for the enhanced transparency framework referred to in Article 13 of the Paris Agreement (UNFCCC, 2021).</w:t>
      </w:r>
    </w:p>
    <w:p w14:paraId="30CF439E" w14:textId="77777777" w:rsidR="00502238" w:rsidRPr="00FD12D3" w:rsidRDefault="00502238" w:rsidP="00502238">
      <w:pPr>
        <w:pStyle w:val="BodyText"/>
        <w:rPr>
          <w:spacing w:val="-2"/>
        </w:rPr>
      </w:pPr>
      <w:r w:rsidRPr="00FD12D3">
        <w:t xml:space="preserve">Consistent with the modalities, procedures and guidelines and decision 5/CMA.3, emissions estimates provided in this inventory have been compiled in accordance with the </w:t>
      </w:r>
      <w:r w:rsidRPr="00FD12D3">
        <w:rPr>
          <w:i/>
          <w:iCs/>
        </w:rPr>
        <w:t>2006 IPCC Guidelines for National Greenhouse Gas Inventories</w:t>
      </w:r>
      <w:r w:rsidRPr="00FD12D3">
        <w:t xml:space="preserve"> (2006 IPCC Guidelines) (IPCC, 2006a) and the </w:t>
      </w:r>
      <w:r w:rsidRPr="00FD12D3">
        <w:rPr>
          <w:i/>
          <w:iCs/>
        </w:rPr>
        <w:t>2019 Refinement to the 2006 IPCC Guidelines for National Greenhouse Gas Inventories</w:t>
      </w:r>
      <w:r w:rsidRPr="00FD12D3">
        <w:t xml:space="preserve"> (IPCC, 2019). New Zealand has progressively improved its methods and data sources, and will continue to refine them as new evidence emerges and international practice advances. The </w:t>
      </w:r>
      <w:r w:rsidRPr="00FD12D3">
        <w:rPr>
          <w:spacing w:val="-2"/>
        </w:rPr>
        <w:t>aim is to ensure that the estimates of emissions are accurate, transparent, complete, consistent through time, and comparable with those produced in the inventories of other Parties.</w:t>
      </w:r>
    </w:p>
    <w:p w14:paraId="1A61C30B" w14:textId="77777777" w:rsidR="00502238" w:rsidRPr="00FD12D3" w:rsidRDefault="00502238" w:rsidP="00502238">
      <w:pPr>
        <w:pStyle w:val="BodyText"/>
      </w:pPr>
      <w:r w:rsidRPr="00FD12D3">
        <w:t>Inventories are subject to a technical expert review process facilitated by the United Nations Climate Change (UN Climate Change) secretariat. The results of these reviews are available on the UN Climate Change website.</w:t>
      </w:r>
      <w:r w:rsidRPr="00FD12D3">
        <w:rPr>
          <w:rStyle w:val="FootnoteReference"/>
        </w:rPr>
        <w:footnoteReference w:id="3"/>
      </w:r>
    </w:p>
    <w:p w14:paraId="33842AC7" w14:textId="6B2176E2" w:rsidR="00502238" w:rsidRPr="00FD12D3" w:rsidRDefault="00502238" w:rsidP="00502238">
      <w:pPr>
        <w:pStyle w:val="BodyText"/>
        <w:rPr>
          <w:spacing w:val="-2"/>
        </w:rPr>
      </w:pPr>
      <w:r w:rsidRPr="00FD12D3">
        <w:t>The Inventory reports on emissions and removals of the gases carbon dioxide (CO</w:t>
      </w:r>
      <w:r w:rsidRPr="00FD12D3">
        <w:rPr>
          <w:vertAlign w:val="subscript"/>
        </w:rPr>
        <w:t>2</w:t>
      </w:r>
      <w:r w:rsidRPr="00FD12D3">
        <w:t>), methane (CH</w:t>
      </w:r>
      <w:r w:rsidRPr="00FD12D3">
        <w:rPr>
          <w:vertAlign w:val="subscript"/>
        </w:rPr>
        <w:t>4</w:t>
      </w:r>
      <w:r w:rsidRPr="00FD12D3">
        <w:t>), nitrous oxide (N</w:t>
      </w:r>
      <w:r w:rsidRPr="00FD12D3">
        <w:rPr>
          <w:vertAlign w:val="subscript"/>
        </w:rPr>
        <w:t>2</w:t>
      </w:r>
      <w:r w:rsidRPr="00FD12D3">
        <w:t>O), hydrofluorocarbons (HFCs), perfluorocarbons (PFCs), sulphur hexafluoride (SF</w:t>
      </w:r>
      <w:r w:rsidRPr="00FD12D3">
        <w:rPr>
          <w:vertAlign w:val="subscript"/>
        </w:rPr>
        <w:t>6</w:t>
      </w:r>
      <w:r w:rsidRPr="00FD12D3">
        <w:t>) and nitrogen trifluoride (NF</w:t>
      </w:r>
      <w:r w:rsidRPr="00FD12D3">
        <w:rPr>
          <w:vertAlign w:val="subscript"/>
        </w:rPr>
        <w:t>3</w:t>
      </w:r>
      <w:r w:rsidRPr="00FD12D3">
        <w:t>).</w:t>
      </w:r>
      <w:r w:rsidRPr="00FD12D3">
        <w:rPr>
          <w:rStyle w:val="FootnoteReference"/>
        </w:rPr>
        <w:footnoteReference w:id="4"/>
      </w:r>
      <w:r w:rsidRPr="00FD12D3">
        <w:t xml:space="preserve"> The indirect GHGs,</w:t>
      </w:r>
      <w:r w:rsidRPr="00FD12D3">
        <w:rPr>
          <w:rStyle w:val="FootnoteReference"/>
        </w:rPr>
        <w:footnoteReference w:id="5"/>
      </w:r>
      <w:r w:rsidRPr="00FD12D3">
        <w:t xml:space="preserve"> carbon monoxide (CO), sulphur dioxide, oxides of nitrogen and non-methane volatile organic compounds, are also reported in the Inventory. Only emissions and removals of the direct GHGs (CO</w:t>
      </w:r>
      <w:r w:rsidRPr="00FD12D3">
        <w:rPr>
          <w:vertAlign w:val="subscript"/>
        </w:rPr>
        <w:t>2</w:t>
      </w:r>
      <w:r w:rsidRPr="00FD12D3">
        <w:t>, CH</w:t>
      </w:r>
      <w:r w:rsidRPr="00FD12D3">
        <w:rPr>
          <w:vertAlign w:val="subscript"/>
        </w:rPr>
        <w:t>4</w:t>
      </w:r>
      <w:r w:rsidRPr="00FD12D3">
        <w:t>, N</w:t>
      </w:r>
      <w:r w:rsidRPr="00FD12D3">
        <w:rPr>
          <w:vertAlign w:val="subscript"/>
        </w:rPr>
        <w:t>2</w:t>
      </w:r>
      <w:r w:rsidRPr="00FD12D3">
        <w:t>O, SF</w:t>
      </w:r>
      <w:r w:rsidRPr="00FD12D3">
        <w:rPr>
          <w:vertAlign w:val="subscript"/>
        </w:rPr>
        <w:t>6</w:t>
      </w:r>
      <w:r w:rsidRPr="00FD12D3">
        <w:t xml:space="preserve">, </w:t>
      </w:r>
      <w:r w:rsidRPr="00FD12D3">
        <w:rPr>
          <w:spacing w:val="-2"/>
        </w:rPr>
        <w:t>PFCs, HFCs and NF</w:t>
      </w:r>
      <w:r w:rsidRPr="00FD12D3">
        <w:rPr>
          <w:spacing w:val="-2"/>
          <w:vertAlign w:val="subscript"/>
        </w:rPr>
        <w:t>3</w:t>
      </w:r>
      <w:r w:rsidRPr="00FD12D3">
        <w:rPr>
          <w:spacing w:val="-2"/>
        </w:rPr>
        <w:t>) are included in the totals of gross and net emissions under the Convention</w:t>
      </w:r>
      <w:r w:rsidR="0005719A">
        <w:rPr>
          <w:spacing w:val="-2"/>
        </w:rPr>
        <w:t xml:space="preserve"> </w:t>
      </w:r>
      <w:r w:rsidR="0005719A" w:rsidRPr="0005719A">
        <w:rPr>
          <w:spacing w:val="-2"/>
        </w:rPr>
        <w:t>and the Paris Agreement</w:t>
      </w:r>
      <w:r w:rsidRPr="00FD12D3">
        <w:rPr>
          <w:spacing w:val="-2"/>
        </w:rPr>
        <w:t>.</w:t>
      </w:r>
    </w:p>
    <w:p w14:paraId="7069ED74" w14:textId="77777777" w:rsidR="00502238" w:rsidRPr="00FD12D3" w:rsidRDefault="00502238" w:rsidP="00502238">
      <w:pPr>
        <w:pStyle w:val="BodyText"/>
      </w:pPr>
      <w:r w:rsidRPr="00FD12D3">
        <w:t>This inventory presents emissions for each of the non-carbon dioxide GHGs by volume and as carbon dioxide equivalents (CO</w:t>
      </w:r>
      <w:r w:rsidRPr="00FD12D3">
        <w:rPr>
          <w:vertAlign w:val="subscript"/>
        </w:rPr>
        <w:t>2</w:t>
      </w:r>
      <w:r w:rsidRPr="00FD12D3">
        <w:t>e) using the 100-year time horizon global warming potential values contained in the IPCC Fifth Assessment Report (IPCC, 2013). Because GHGs vary in their radiative activity, and in their atmospheric residence time, converting emissions into CO</w:t>
      </w:r>
      <w:r w:rsidRPr="00FD12D3">
        <w:rPr>
          <w:vertAlign w:val="subscript"/>
        </w:rPr>
        <w:t>2</w:t>
      </w:r>
      <w:r w:rsidRPr="00FD12D3">
        <w:t>e allows the integrated effect of emissions of the various gases to be compared.</w:t>
      </w:r>
    </w:p>
    <w:p w14:paraId="2AC78130" w14:textId="77777777" w:rsidR="00502238" w:rsidRPr="00FD12D3" w:rsidRDefault="00502238" w:rsidP="00502238">
      <w:pPr>
        <w:pStyle w:val="BodyText"/>
      </w:pPr>
      <w:r w:rsidRPr="00FD12D3">
        <w:t>The GHGs are reported under five sectors in accordance with those included in the 2006 IPCC Guidelines (IPCC, 2006b). These represent the main human activities that contribute to the release or capture of GHGs into, or from, the atmosphere:</w:t>
      </w:r>
    </w:p>
    <w:p w14:paraId="42B3E6A1" w14:textId="77777777" w:rsidR="00502238" w:rsidRPr="00FD12D3" w:rsidRDefault="00502238" w:rsidP="00502238">
      <w:pPr>
        <w:pStyle w:val="Bullet"/>
      </w:pPr>
      <w:r w:rsidRPr="00FD12D3">
        <w:t>Energy</w:t>
      </w:r>
    </w:p>
    <w:p w14:paraId="0AA38050" w14:textId="77777777" w:rsidR="00502238" w:rsidRPr="00FD12D3" w:rsidRDefault="00502238" w:rsidP="00502238">
      <w:pPr>
        <w:pStyle w:val="Bullet"/>
      </w:pPr>
      <w:r w:rsidRPr="00FD12D3">
        <w:t>Industrial Processes and Product Use (IPPU)</w:t>
      </w:r>
    </w:p>
    <w:p w14:paraId="3D7E3E07" w14:textId="77777777" w:rsidR="00502238" w:rsidRPr="00FD12D3" w:rsidRDefault="00502238" w:rsidP="00502238">
      <w:pPr>
        <w:pStyle w:val="Bullet"/>
      </w:pPr>
      <w:r w:rsidRPr="00FD12D3">
        <w:t>Agriculture</w:t>
      </w:r>
    </w:p>
    <w:p w14:paraId="2F1E5887" w14:textId="77777777" w:rsidR="00502238" w:rsidRPr="00FD12D3" w:rsidRDefault="00502238" w:rsidP="00502238">
      <w:pPr>
        <w:pStyle w:val="Bullet"/>
      </w:pPr>
      <w:r w:rsidRPr="00FD12D3">
        <w:t>Land Use, Land-Use Change and Forestry (LULUCF)</w:t>
      </w:r>
    </w:p>
    <w:p w14:paraId="3A36FF8C" w14:textId="77777777" w:rsidR="00502238" w:rsidRPr="00FD12D3" w:rsidRDefault="00502238" w:rsidP="00502238">
      <w:pPr>
        <w:pStyle w:val="Bullet"/>
      </w:pPr>
      <w:r w:rsidRPr="00FD12D3">
        <w:t>Waste.</w:t>
      </w:r>
    </w:p>
    <w:p w14:paraId="6AF662CB" w14:textId="77777777" w:rsidR="00502238" w:rsidRPr="00FD12D3" w:rsidRDefault="00502238" w:rsidP="00502238">
      <w:pPr>
        <w:pStyle w:val="BodyText"/>
      </w:pPr>
      <w:r w:rsidRPr="00FD12D3">
        <w:t>Greenhouse gas emissions from Tokelau, New Zealand’s overseas dependent territory,</w:t>
      </w:r>
      <w:r w:rsidRPr="00FD12D3">
        <w:rPr>
          <w:rStyle w:val="FootnoteReference"/>
        </w:rPr>
        <w:footnoteReference w:id="6"/>
      </w:r>
      <w:r w:rsidRPr="00FD12D3">
        <w:t xml:space="preserve"> are included in the Inventory. Because emissions from Tokelau are small, and the methodology used varies greatly between Tokelau’s inventory and the inventory for New Zealand’s mainland territory, emissions from Tokelau are reported separately in the Other sector.</w:t>
      </w:r>
    </w:p>
    <w:p w14:paraId="0938E3C9" w14:textId="77777777" w:rsidR="00502238" w:rsidRPr="00FD12D3" w:rsidRDefault="00502238" w:rsidP="00502238">
      <w:pPr>
        <w:pStyle w:val="Heading2"/>
      </w:pPr>
      <w:bookmarkStart w:id="45" w:name="_Toc226460739"/>
      <w:bookmarkStart w:id="46" w:name="X80cf24aa2d0142356f3e0644f2d6d7bd8915396"/>
      <w:bookmarkEnd w:id="42"/>
      <w:bookmarkEnd w:id="44"/>
      <w:r w:rsidRPr="00FD12D3">
        <w:t xml:space="preserve">1.2 </w:t>
      </w:r>
      <w:r w:rsidRPr="00FD12D3">
        <w:tab/>
        <w:t>A description of national circumstances and</w:t>
      </w:r>
      <w:r>
        <w:t> </w:t>
      </w:r>
      <w:r w:rsidRPr="00FD12D3">
        <w:t>institutional arrangements</w:t>
      </w:r>
      <w:bookmarkEnd w:id="45"/>
    </w:p>
    <w:p w14:paraId="668747FF" w14:textId="77777777" w:rsidR="00502238" w:rsidRPr="00FD12D3" w:rsidRDefault="00502238" w:rsidP="00502238">
      <w:pPr>
        <w:pStyle w:val="Heading3"/>
        <w:spacing w:before="240"/>
      </w:pPr>
      <w:bookmarkStart w:id="47" w:name="national-entity-or-national-focal-point"/>
      <w:r w:rsidRPr="00FD12D3">
        <w:t xml:space="preserve">1.2.1 </w:t>
      </w:r>
      <w:r w:rsidRPr="00FD12D3">
        <w:tab/>
        <w:t>National entity or national focal point</w:t>
      </w:r>
    </w:p>
    <w:p w14:paraId="6EE1E164" w14:textId="77777777" w:rsidR="00502238" w:rsidRPr="00FD12D3" w:rsidRDefault="00502238" w:rsidP="00502238">
      <w:pPr>
        <w:pStyle w:val="BodyText"/>
      </w:pPr>
      <w:r w:rsidRPr="00FD12D3">
        <w:t>In 2002, New Zealand enacted the Climate Change Response Act 2002 (CCRA).</w:t>
      </w:r>
      <w:r w:rsidRPr="00FD12D3">
        <w:rPr>
          <w:rStyle w:val="FootnoteReference"/>
        </w:rPr>
        <w:footnoteReference w:id="7"/>
      </w:r>
      <w:r w:rsidRPr="00FD12D3">
        <w:t xml:space="preserve"> This enabled New Zealand to meet its international obligations under the Convention and Kyoto Protocol. The Act has subsequently been amended to enable New Zealand to meet its obligations under the Paris Agreement. A Prime Ministerial directive for the administration of the Act named the Ministry for the Environment (MfE) as New Zealand’s ‘inventory agency’. Part 3, section 32, of the Act specifies the following functions and requirements.</w:t>
      </w:r>
    </w:p>
    <w:p w14:paraId="6A90BEC6" w14:textId="77777777" w:rsidR="00502238" w:rsidRPr="00FD12D3" w:rsidRDefault="00502238" w:rsidP="00502238">
      <w:pPr>
        <w:pStyle w:val="BodyText"/>
        <w:spacing w:before="0"/>
        <w:ind w:left="397" w:hanging="397"/>
      </w:pPr>
      <w:r w:rsidRPr="00FD12D3">
        <w:t>1)</w:t>
      </w:r>
      <w:r w:rsidRPr="00FD12D3">
        <w:tab/>
        <w:t>The primary functions of New Zealand’s inventory agency are to:</w:t>
      </w:r>
    </w:p>
    <w:p w14:paraId="4DF39F1A" w14:textId="034FEEE8" w:rsidR="00502238" w:rsidRPr="00FD12D3" w:rsidRDefault="00CD4112" w:rsidP="00CD4112">
      <w:pPr>
        <w:pStyle w:val="Sub-lista"/>
        <w:numPr>
          <w:ilvl w:val="0"/>
          <w:numId w:val="0"/>
        </w:numPr>
        <w:tabs>
          <w:tab w:val="clear" w:pos="397"/>
        </w:tabs>
        <w:ind w:left="794" w:hanging="397"/>
      </w:pPr>
      <w:r>
        <w:t>a)</w:t>
      </w:r>
      <w:r>
        <w:tab/>
      </w:r>
      <w:r w:rsidR="00502238" w:rsidRPr="00FD12D3">
        <w:t>estimate New Zealand’s human-induced emissions by sources and removals by sinks of greenhouse gases on an annual basis</w:t>
      </w:r>
    </w:p>
    <w:p w14:paraId="162B74E0" w14:textId="115D1B75" w:rsidR="00502238" w:rsidRPr="00FD12D3" w:rsidRDefault="00CD4112" w:rsidP="00CD4112">
      <w:pPr>
        <w:pStyle w:val="Sub-lista"/>
        <w:numPr>
          <w:ilvl w:val="0"/>
          <w:numId w:val="0"/>
        </w:numPr>
        <w:tabs>
          <w:tab w:val="clear" w:pos="397"/>
        </w:tabs>
        <w:ind w:left="794" w:hanging="397"/>
      </w:pPr>
      <w:r>
        <w:t>b)</w:t>
      </w:r>
      <w:r>
        <w:tab/>
      </w:r>
      <w:r w:rsidR="00502238" w:rsidRPr="00FD12D3">
        <w:t>prepare the following reports for the purpose of discharging New Zealand’s obligations:</w:t>
      </w:r>
    </w:p>
    <w:p w14:paraId="1C2F7358" w14:textId="5D6C9CDC" w:rsidR="00502238" w:rsidRPr="00FD12D3" w:rsidRDefault="00622970" w:rsidP="00622970">
      <w:pPr>
        <w:pStyle w:val="Sub-listi"/>
        <w:numPr>
          <w:ilvl w:val="0"/>
          <w:numId w:val="0"/>
        </w:numPr>
        <w:ind w:left="1191" w:hanging="397"/>
      </w:pPr>
      <w:r>
        <w:t>i)</w:t>
      </w:r>
      <w:r>
        <w:tab/>
      </w:r>
      <w:r w:rsidR="00502238" w:rsidRPr="00FD12D3">
        <w:t>New Zealand’s annual inventory report under Articles 4 and 12 of the Convention</w:t>
      </w:r>
    </w:p>
    <w:p w14:paraId="6368B2C2" w14:textId="00F064D6" w:rsidR="00502238" w:rsidRPr="00FD12D3" w:rsidDel="0061595A" w:rsidRDefault="00622970" w:rsidP="00622970">
      <w:pPr>
        <w:pStyle w:val="Sub-listi"/>
        <w:numPr>
          <w:ilvl w:val="0"/>
          <w:numId w:val="0"/>
        </w:numPr>
        <w:ind w:left="1191" w:hanging="397"/>
      </w:pPr>
      <w:r>
        <w:t>ii)</w:t>
      </w:r>
      <w:r>
        <w:tab/>
      </w:r>
      <w:r w:rsidR="00502238" w:rsidRPr="00FD12D3">
        <w:t>report of information by New Zealand under Article 13 of the Paris Agreement</w:t>
      </w:r>
      <w:r w:rsidR="00502238" w:rsidRPr="00FD12D3">
        <w:rPr>
          <w:rStyle w:val="FootnoteReference"/>
          <w:rFonts w:cs="Calibri"/>
        </w:rPr>
        <w:footnoteReference w:id="8"/>
      </w:r>
    </w:p>
    <w:p w14:paraId="429EBABB" w14:textId="0FED6094" w:rsidR="00502238" w:rsidRPr="00FD12D3" w:rsidRDefault="00622970" w:rsidP="00622970">
      <w:pPr>
        <w:pStyle w:val="Sub-listi"/>
        <w:numPr>
          <w:ilvl w:val="0"/>
          <w:numId w:val="0"/>
        </w:numPr>
        <w:ind w:left="1191" w:hanging="397"/>
      </w:pPr>
      <w:r>
        <w:t>iii)</w:t>
      </w:r>
      <w:r>
        <w:tab/>
      </w:r>
      <w:r w:rsidR="00502238" w:rsidRPr="00FD12D3">
        <w:t>New Zealand’s national communication (or periodic report) under Article 12 of the Convention.</w:t>
      </w:r>
    </w:p>
    <w:p w14:paraId="5E6E743E" w14:textId="77777777" w:rsidR="00502238" w:rsidRPr="00FD12D3" w:rsidRDefault="00502238" w:rsidP="00502238">
      <w:pPr>
        <w:pStyle w:val="BodyText"/>
        <w:spacing w:before="0"/>
        <w:ind w:left="397" w:hanging="397"/>
      </w:pPr>
      <w:r w:rsidRPr="00FD12D3">
        <w:t>2)</w:t>
      </w:r>
      <w:r w:rsidRPr="00FD12D3">
        <w:tab/>
        <w:t>In carrying out its functions, the inventory agency must:</w:t>
      </w:r>
    </w:p>
    <w:p w14:paraId="4E6E6655" w14:textId="6CA5655F" w:rsidR="00502238" w:rsidRPr="00FD12D3" w:rsidRDefault="00CD4112" w:rsidP="00CD4112">
      <w:pPr>
        <w:pStyle w:val="Sub-lista"/>
        <w:numPr>
          <w:ilvl w:val="0"/>
          <w:numId w:val="0"/>
        </w:numPr>
        <w:ind w:left="794" w:hanging="397"/>
      </w:pPr>
      <w:r>
        <w:t>a)</w:t>
      </w:r>
      <w:r>
        <w:tab/>
      </w:r>
      <w:r w:rsidR="00502238" w:rsidRPr="00FD12D3">
        <w:t>identify source categories</w:t>
      </w:r>
    </w:p>
    <w:p w14:paraId="7C58B5B9" w14:textId="7DD98686" w:rsidR="00502238" w:rsidRPr="00FD12D3" w:rsidRDefault="00CD4112" w:rsidP="00CD4112">
      <w:pPr>
        <w:pStyle w:val="Sub-lista"/>
        <w:numPr>
          <w:ilvl w:val="0"/>
          <w:numId w:val="0"/>
        </w:numPr>
        <w:ind w:left="794" w:hanging="397"/>
      </w:pPr>
      <w:r>
        <w:t>b)</w:t>
      </w:r>
      <w:r>
        <w:tab/>
      </w:r>
      <w:r w:rsidR="00502238" w:rsidRPr="00FD12D3">
        <w:t>collect data by means of:</w:t>
      </w:r>
    </w:p>
    <w:p w14:paraId="72407B28" w14:textId="30FC44C4" w:rsidR="00502238" w:rsidRPr="00FD12D3" w:rsidRDefault="00622970" w:rsidP="00622970">
      <w:pPr>
        <w:pStyle w:val="Sub-listi"/>
        <w:numPr>
          <w:ilvl w:val="0"/>
          <w:numId w:val="0"/>
        </w:numPr>
        <w:ind w:left="1191" w:hanging="397"/>
      </w:pPr>
      <w:r>
        <w:t>i)</w:t>
      </w:r>
      <w:r>
        <w:tab/>
      </w:r>
      <w:r w:rsidR="00502238" w:rsidRPr="00FD12D3">
        <w:t>voluntary collection</w:t>
      </w:r>
    </w:p>
    <w:p w14:paraId="2EC19E99" w14:textId="58439D41" w:rsidR="00502238" w:rsidRPr="00FD12D3" w:rsidRDefault="00622970" w:rsidP="00622970">
      <w:pPr>
        <w:pStyle w:val="Sub-listi"/>
        <w:numPr>
          <w:ilvl w:val="0"/>
          <w:numId w:val="0"/>
        </w:numPr>
        <w:ind w:left="1191" w:hanging="397"/>
      </w:pPr>
      <w:r>
        <w:t>ii)</w:t>
      </w:r>
      <w:r>
        <w:tab/>
      </w:r>
      <w:r w:rsidR="00502238" w:rsidRPr="00FD12D3">
        <w:t>collection from government agencies and other agencies that hold relevant information</w:t>
      </w:r>
    </w:p>
    <w:p w14:paraId="54EE312B" w14:textId="59AC2BBC" w:rsidR="00502238" w:rsidRPr="00FD12D3" w:rsidRDefault="00622970" w:rsidP="00622970">
      <w:pPr>
        <w:pStyle w:val="Sub-listi"/>
        <w:numPr>
          <w:ilvl w:val="0"/>
          <w:numId w:val="0"/>
        </w:numPr>
        <w:ind w:left="1191" w:hanging="397"/>
      </w:pPr>
      <w:r>
        <w:t>iii)</w:t>
      </w:r>
      <w:r>
        <w:tab/>
      </w:r>
      <w:r w:rsidR="00502238" w:rsidRPr="00FD12D3">
        <w:t>collection in accordance with regulations made under this Part (if any)</w:t>
      </w:r>
    </w:p>
    <w:p w14:paraId="50E11370" w14:textId="6420A056" w:rsidR="00502238" w:rsidRPr="00FD12D3" w:rsidRDefault="00CD4112" w:rsidP="00CD4112">
      <w:pPr>
        <w:pStyle w:val="Sub-lista"/>
        <w:numPr>
          <w:ilvl w:val="0"/>
          <w:numId w:val="0"/>
        </w:numPr>
        <w:ind w:left="397"/>
      </w:pPr>
      <w:r>
        <w:t>c)</w:t>
      </w:r>
      <w:r>
        <w:tab/>
      </w:r>
      <w:r w:rsidR="00502238" w:rsidRPr="00FD12D3">
        <w:t>estimate the emissions and removals by sinks for each source category</w:t>
      </w:r>
    </w:p>
    <w:p w14:paraId="65B3A134" w14:textId="107CD968" w:rsidR="00502238" w:rsidRPr="00FD12D3" w:rsidRDefault="00CD4112" w:rsidP="00CD4112">
      <w:pPr>
        <w:pStyle w:val="Sub-lista"/>
        <w:numPr>
          <w:ilvl w:val="0"/>
          <w:numId w:val="0"/>
        </w:numPr>
        <w:ind w:left="794" w:hanging="397"/>
      </w:pPr>
      <w:r>
        <w:t>d)</w:t>
      </w:r>
      <w:r>
        <w:tab/>
      </w:r>
      <w:r w:rsidR="00502238" w:rsidRPr="00FD12D3">
        <w:t>undertake assessments on uncertainties</w:t>
      </w:r>
    </w:p>
    <w:p w14:paraId="373C28D9" w14:textId="31D27BD8" w:rsidR="00502238" w:rsidRPr="00FD12D3" w:rsidRDefault="00CD4112" w:rsidP="00CD4112">
      <w:pPr>
        <w:pStyle w:val="Sub-lista"/>
        <w:numPr>
          <w:ilvl w:val="0"/>
          <w:numId w:val="0"/>
        </w:numPr>
        <w:ind w:left="794" w:hanging="397"/>
      </w:pPr>
      <w:r>
        <w:t>e)</w:t>
      </w:r>
      <w:r>
        <w:tab/>
      </w:r>
      <w:r w:rsidR="00502238" w:rsidRPr="00FD12D3">
        <w:t>undertake procedures to verify the data</w:t>
      </w:r>
    </w:p>
    <w:p w14:paraId="19F7E852" w14:textId="2E320F8E" w:rsidR="00502238" w:rsidRPr="00FD12D3" w:rsidRDefault="00CD4112" w:rsidP="00CD4112">
      <w:pPr>
        <w:pStyle w:val="Sub-lista"/>
        <w:numPr>
          <w:ilvl w:val="0"/>
          <w:numId w:val="0"/>
        </w:numPr>
        <w:ind w:left="794" w:hanging="397"/>
      </w:pPr>
      <w:r>
        <w:t>f)</w:t>
      </w:r>
      <w:r>
        <w:tab/>
      </w:r>
      <w:r w:rsidR="00502238" w:rsidRPr="00FD12D3">
        <w:t>retain information and documents to show how the estimates were determined.</w:t>
      </w:r>
    </w:p>
    <w:p w14:paraId="5698634F" w14:textId="77777777" w:rsidR="00502238" w:rsidRPr="00FD12D3" w:rsidRDefault="00502238" w:rsidP="00502238">
      <w:pPr>
        <w:pStyle w:val="BodyText"/>
      </w:pPr>
      <w:r w:rsidRPr="00FD12D3">
        <w:t>Compliance provisions in section 36 of the CCRA authorise inspectors to collect information needed to estimate emissions or removals of GHGs.</w:t>
      </w:r>
    </w:p>
    <w:p w14:paraId="2F26BF84" w14:textId="77777777" w:rsidR="00502238" w:rsidRPr="00FD12D3" w:rsidRDefault="00502238" w:rsidP="00502238">
      <w:pPr>
        <w:pStyle w:val="Heading3"/>
      </w:pPr>
      <w:bookmarkStart w:id="48" w:name="national-inventory-system"/>
      <w:bookmarkEnd w:id="47"/>
      <w:r w:rsidRPr="00FD12D3">
        <w:t xml:space="preserve">1.2.2 </w:t>
      </w:r>
      <w:r w:rsidRPr="00FD12D3">
        <w:tab/>
        <w:t>National Inventory System</w:t>
      </w:r>
    </w:p>
    <w:p w14:paraId="7C8E016B" w14:textId="77777777" w:rsidR="00502238" w:rsidRPr="00FD12D3" w:rsidRDefault="00502238" w:rsidP="00502238">
      <w:pPr>
        <w:pStyle w:val="BodyText"/>
      </w:pPr>
      <w:r w:rsidRPr="00FD12D3">
        <w:t>New Zealand has a national system in place for inventorying anthropogenic emissions by sources and removals by sinks of all GHGs not controlled by the Montreal Protocol.</w:t>
      </w:r>
    </w:p>
    <w:p w14:paraId="6ED9573C" w14:textId="77777777" w:rsidR="00502238" w:rsidRPr="00FD12D3" w:rsidRDefault="00502238" w:rsidP="00502238">
      <w:pPr>
        <w:pStyle w:val="BodyText"/>
      </w:pPr>
      <w:r w:rsidRPr="00FD12D3">
        <w:t>New Zealand maintains a set of guidelines, the National Inventory System Guidelines, in which the tasks required to officially compile and submit the national inventory are documented. These guidelines cover multiple aspects of the production of the inventory, including: inventory management, inventory planning and preparation, quality-assurance and quality-control (QA/QC) processes, communication and error management.</w:t>
      </w:r>
    </w:p>
    <w:p w14:paraId="22F49242" w14:textId="77777777" w:rsidR="00502238" w:rsidRPr="00FD12D3" w:rsidRDefault="00502238" w:rsidP="00502238">
      <w:pPr>
        <w:pStyle w:val="Heading4"/>
      </w:pPr>
      <w:bookmarkStart w:id="49" w:name="inventory-planning-and-preparation"/>
      <w:r w:rsidRPr="00FD12D3">
        <w:t>Inventory planning and preparation</w:t>
      </w:r>
    </w:p>
    <w:p w14:paraId="1B9BB263" w14:textId="77777777" w:rsidR="00502238" w:rsidRPr="00FD12D3" w:rsidRDefault="00502238" w:rsidP="00502238">
      <w:pPr>
        <w:pStyle w:val="BodyText"/>
        <w:keepNext/>
      </w:pPr>
      <w:r w:rsidRPr="00FD12D3">
        <w:t>Figure 1.2.1 summarises the Inventory planning and preparation process.</w:t>
      </w:r>
    </w:p>
    <w:p w14:paraId="3F175396" w14:textId="77777777" w:rsidR="00502238" w:rsidRPr="00FD12D3" w:rsidRDefault="00502238" w:rsidP="00502238">
      <w:pPr>
        <w:pStyle w:val="Figure"/>
        <w:spacing w:after="80"/>
        <w:rPr>
          <w:bCs/>
        </w:rPr>
      </w:pPr>
      <w:bookmarkStart w:id="50" w:name="_Toc226200647"/>
      <w:r w:rsidRPr="00FD12D3">
        <w:rPr>
          <w:bCs/>
        </w:rPr>
        <w:t xml:space="preserve">Figure 1.2.1 </w:t>
      </w:r>
      <w:r w:rsidRPr="00FD12D3">
        <w:rPr>
          <w:bCs/>
        </w:rPr>
        <w:tab/>
        <w:t>Summary of New Zealand’s inventory planning and preparation</w:t>
      </w:r>
      <w:bookmarkEnd w:id="50"/>
    </w:p>
    <w:p w14:paraId="7CEE703D" w14:textId="77777777" w:rsidR="00502238" w:rsidRPr="00FD12D3" w:rsidRDefault="00502238" w:rsidP="00502238">
      <w:pPr>
        <w:pStyle w:val="BodyText"/>
      </w:pPr>
      <w:r w:rsidRPr="00FD12D3">
        <w:rPr>
          <w:noProof/>
        </w:rPr>
        <w:drawing>
          <wp:inline distT="0" distB="0" distL="0" distR="0" wp14:anchorId="1D5E026B" wp14:editId="5057C04D">
            <wp:extent cx="5400675" cy="7673008"/>
            <wp:effectExtent l="0" t="0" r="0" b="4445"/>
            <wp:docPr id="1454736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hqprint">
                      <a:extLst>
                        <a:ext uri="{28A0092B-C50C-407E-A947-70E740481C1C}">
                          <a14:useLocalDpi xmlns:a14="http://schemas.microsoft.com/office/drawing/2010/main" val="0"/>
                        </a:ext>
                      </a:extLst>
                    </a:blip>
                    <a:srcRect/>
                    <a:stretch>
                      <a:fillRect/>
                    </a:stretch>
                  </pic:blipFill>
                  <pic:spPr bwMode="auto">
                    <a:xfrm>
                      <a:off x="0" y="0"/>
                      <a:ext cx="5400675" cy="7673008"/>
                    </a:xfrm>
                    <a:prstGeom prst="rect">
                      <a:avLst/>
                    </a:prstGeom>
                    <a:noFill/>
                    <a:ln>
                      <a:noFill/>
                    </a:ln>
                    <a:extLst>
                      <a:ext uri="{53640926-AAD7-44D8-BBD7-CCE9431645EC}">
                        <a14:shadowObscured xmlns:a14="http://schemas.microsoft.com/office/drawing/2010/main"/>
                      </a:ext>
                    </a:extLst>
                  </pic:spPr>
                </pic:pic>
              </a:graphicData>
            </a:graphic>
          </wp:inline>
        </w:drawing>
      </w:r>
    </w:p>
    <w:p w14:paraId="6254D0B0" w14:textId="77777777" w:rsidR="00502238" w:rsidRPr="00FD12D3" w:rsidRDefault="00502238" w:rsidP="00502238">
      <w:pPr>
        <w:pStyle w:val="Heading5"/>
      </w:pPr>
      <w:bookmarkStart w:id="51" w:name="inventory-planning"/>
      <w:r w:rsidRPr="00FD12D3">
        <w:t>Inventory planning</w:t>
      </w:r>
    </w:p>
    <w:p w14:paraId="6AD6EBF1" w14:textId="77777777" w:rsidR="00502238" w:rsidRPr="00FD12D3" w:rsidRDefault="00502238" w:rsidP="00502238">
      <w:pPr>
        <w:pStyle w:val="BodyText"/>
        <w:spacing w:after="100"/>
      </w:pPr>
      <w:r w:rsidRPr="00FD12D3">
        <w:t>Inventory planning takes place across two phases. The first phase, sectoral planning, focuses on preparing inventory compilation activities at the sector level. This includes identifying sector-specific technical projects, actions, improvements and procedures. Although this planning is largely sector driven, some elements depend on insights generated during the second phase of inventory planning, which includes lessons-learned reviews and production planning workshops. As a result, sector plans may need to be updated to reflect sector-specific requirements identified through the national compilation planning process.</w:t>
      </w:r>
    </w:p>
    <w:p w14:paraId="52266DFE" w14:textId="77777777" w:rsidR="00502238" w:rsidRPr="00FD12D3" w:rsidRDefault="00502238" w:rsidP="00502238">
      <w:pPr>
        <w:pStyle w:val="BodyText"/>
        <w:spacing w:after="100"/>
      </w:pPr>
      <w:r w:rsidRPr="00FD12D3">
        <w:t xml:space="preserve">The second phase, national compilation and publication planning, </w:t>
      </w:r>
      <w:r w:rsidRPr="00FD12D3">
        <w:rPr>
          <w:rFonts w:eastAsiaTheme="minorEastAsia" w:cstheme="majorBidi"/>
          <w:lang w:eastAsia="en-US"/>
        </w:rPr>
        <w:t>focuses on coordinating inventory activities across sectors</w:t>
      </w:r>
      <w:r w:rsidRPr="00FD12D3">
        <w:t>. This phase includes a lessons-learned workshop, held after each inventory submission, followed by a second workshop, held towards the end of each calendar year dedicated to cross-sectoral compilation and publication planning. Participants typically include MfE’s publication and communication teams, sector leads and the inventory production team. During these sessions, participants confirm timelines for:</w:t>
      </w:r>
    </w:p>
    <w:p w14:paraId="2756836A" w14:textId="77777777" w:rsidR="00502238" w:rsidRPr="00FD12D3" w:rsidRDefault="00502238" w:rsidP="00502238">
      <w:pPr>
        <w:pStyle w:val="Bullet"/>
        <w:spacing w:after="100"/>
      </w:pPr>
      <w:r w:rsidRPr="00FD12D3">
        <w:t>national compilation</w:t>
      </w:r>
    </w:p>
    <w:p w14:paraId="3CFC40B1" w14:textId="77777777" w:rsidR="00502238" w:rsidRPr="00FD12D3" w:rsidRDefault="00502238" w:rsidP="00502238">
      <w:pPr>
        <w:pStyle w:val="Bullet"/>
        <w:spacing w:after="100"/>
      </w:pPr>
      <w:r w:rsidRPr="00FD12D3">
        <w:t>publication</w:t>
      </w:r>
    </w:p>
    <w:p w14:paraId="344A8F35" w14:textId="77777777" w:rsidR="00502238" w:rsidRPr="00FD12D3" w:rsidRDefault="00502238" w:rsidP="00502238">
      <w:pPr>
        <w:pStyle w:val="Bullet"/>
        <w:spacing w:after="100"/>
      </w:pPr>
      <w:r w:rsidRPr="00FD12D3">
        <w:t>public relations.</w:t>
      </w:r>
    </w:p>
    <w:p w14:paraId="2B64B3FB" w14:textId="77777777" w:rsidR="00502238" w:rsidRPr="00FD12D3" w:rsidRDefault="00502238" w:rsidP="00502238">
      <w:pPr>
        <w:pStyle w:val="BodyText"/>
        <w:spacing w:after="100"/>
      </w:pPr>
      <w:r w:rsidRPr="00FD12D3">
        <w:t xml:space="preserve">Lessons learned are also considered in developing the national </w:t>
      </w:r>
      <w:bookmarkStart w:id="52" w:name="_Int_E2HXrFRQ"/>
      <w:r w:rsidRPr="00FD12D3">
        <w:t>compilation</w:t>
      </w:r>
      <w:bookmarkEnd w:id="52"/>
      <w:r w:rsidRPr="00FD12D3">
        <w:t xml:space="preserve"> plans.</w:t>
      </w:r>
    </w:p>
    <w:p w14:paraId="515961D9" w14:textId="77777777" w:rsidR="00502238" w:rsidRPr="00FD12D3" w:rsidRDefault="00502238" w:rsidP="00502238">
      <w:pPr>
        <w:pStyle w:val="BodyText"/>
        <w:spacing w:after="100"/>
      </w:pPr>
      <w:r w:rsidRPr="00FD12D3">
        <w:t>The inventory planning process for Tokelau is governed by a memorandum of understanding between New Zealand and Tokelau. For further information, see chapter 8.</w:t>
      </w:r>
    </w:p>
    <w:p w14:paraId="6D0BAE7A" w14:textId="77777777" w:rsidR="00502238" w:rsidRPr="00FD12D3" w:rsidRDefault="00502238" w:rsidP="00502238">
      <w:pPr>
        <w:pStyle w:val="Heading5"/>
      </w:pPr>
      <w:bookmarkStart w:id="53" w:name="inventory-preparation"/>
      <w:bookmarkEnd w:id="51"/>
      <w:r w:rsidRPr="00FD12D3">
        <w:t>Inventory preparation</w:t>
      </w:r>
    </w:p>
    <w:p w14:paraId="743166B1" w14:textId="77777777" w:rsidR="00502238" w:rsidRPr="00FD12D3" w:rsidRDefault="00502238" w:rsidP="00502238">
      <w:pPr>
        <w:pStyle w:val="BodyText"/>
        <w:spacing w:before="100"/>
      </w:pPr>
      <w:r w:rsidRPr="00FD12D3">
        <w:t>The inventory preparation cycle consists of three phases.</w:t>
      </w:r>
    </w:p>
    <w:p w14:paraId="263D958E" w14:textId="77777777" w:rsidR="00502238" w:rsidRPr="00FD12D3" w:rsidRDefault="00502238" w:rsidP="00502238">
      <w:pPr>
        <w:pStyle w:val="BodyText"/>
      </w:pPr>
      <w:r w:rsidRPr="00FD12D3">
        <w:rPr>
          <w:b/>
          <w:bCs/>
        </w:rPr>
        <w:t>Phase 1: Data collection and preliminary processing (June–October)</w:t>
      </w:r>
      <w:r w:rsidRPr="00FD12D3">
        <w:br/>
        <w:t>This phase involves cleansing and checking incoming data, as well as formatting data sets for subsequent analysis. It may also include the assessment of potential methodological improvements and any associated recalculations required for the Inventory.</w:t>
      </w:r>
    </w:p>
    <w:p w14:paraId="239F28CD" w14:textId="77777777" w:rsidR="00502238" w:rsidRPr="00FD12D3" w:rsidRDefault="00502238" w:rsidP="00502238">
      <w:pPr>
        <w:pStyle w:val="BodyText"/>
      </w:pPr>
      <w:r w:rsidRPr="00FD12D3">
        <w:rPr>
          <w:b/>
          <w:bCs/>
        </w:rPr>
        <w:t>Phase 2: Final data processing and chapter preparation (October–January)</w:t>
      </w:r>
      <w:r w:rsidRPr="00FD12D3">
        <w:br/>
        <w:t>During this phase, emissions estimates are finalised and undergo final quality control and verification. Data are then uploaded into the GHG Inventory Reporting Tool to populate the CRT. Sector chapters are drafted, updated, reviewed and approved.</w:t>
      </w:r>
    </w:p>
    <w:p w14:paraId="2BED0D80" w14:textId="77777777" w:rsidR="00502238" w:rsidRPr="00FD12D3" w:rsidRDefault="00502238" w:rsidP="00502238">
      <w:pPr>
        <w:pStyle w:val="BodyText"/>
      </w:pPr>
      <w:r w:rsidRPr="00FD12D3">
        <w:rPr>
          <w:b/>
          <w:bCs/>
        </w:rPr>
        <w:t>Phase 3: National inventory compilation and publication (February–April)</w:t>
      </w:r>
      <w:r w:rsidRPr="00FD12D3">
        <w:br/>
        <w:t>The final phase includes cross-sector analyses, compilation of the Inventory and publication of results. Supplementary material is also prepared for the Minister of Climate Change and for</w:t>
      </w:r>
      <w:r>
        <w:t> </w:t>
      </w:r>
      <w:r w:rsidRPr="00FD12D3">
        <w:t>public release.</w:t>
      </w:r>
    </w:p>
    <w:p w14:paraId="402BB6D9" w14:textId="77777777" w:rsidR="00502238" w:rsidRPr="00FD12D3" w:rsidRDefault="00502238" w:rsidP="00502238">
      <w:pPr>
        <w:pStyle w:val="BodyText"/>
        <w:spacing w:before="100"/>
      </w:pPr>
      <w:r w:rsidRPr="00FD12D3">
        <w:t>Tokelau follows the same inventory preparation cycle.</w:t>
      </w:r>
    </w:p>
    <w:p w14:paraId="68128A61" w14:textId="77777777" w:rsidR="00502238" w:rsidRPr="00FD12D3" w:rsidRDefault="00502238" w:rsidP="00502238">
      <w:pPr>
        <w:pStyle w:val="BodyText"/>
        <w:spacing w:before="100"/>
      </w:pPr>
      <w:r w:rsidRPr="00FD12D3">
        <w:t>During the inventory planning and preparation cycles, the National Inventory Compiler, technical lead, QA/QC lead and inventory project lead(s) hold regular meetings with sector leads and experts to ensure that requirements are delivered, risks are managed, issues are addressed and the production proceeds as planned. The inventory QA/QC lead also has regular meetings with sector leads to monitor QA/QC processes and procedures that are in place to ensure the quality of the final product meets the Paris Agreement and Convention reporting requirements and the QA/QC deliverables are produced according to the agreed plan.</w:t>
      </w:r>
    </w:p>
    <w:p w14:paraId="2A53AC7E" w14:textId="77777777" w:rsidR="00502238" w:rsidRPr="00FD12D3" w:rsidRDefault="00502238" w:rsidP="00502238">
      <w:pPr>
        <w:pStyle w:val="BodyText"/>
      </w:pPr>
      <w:r w:rsidRPr="00FD12D3">
        <w:t>Once cross-sectoral analyses have been completed, the key messages for the Inventory are developed. The key messages are used in the national inventory document and supplementary inventory summary materials published on MfE’s website.</w:t>
      </w:r>
    </w:p>
    <w:p w14:paraId="670D1DE9" w14:textId="77777777" w:rsidR="00502238" w:rsidRPr="00FD12D3" w:rsidRDefault="00502238" w:rsidP="00502238">
      <w:pPr>
        <w:pStyle w:val="BodyText"/>
      </w:pPr>
      <w:r w:rsidRPr="00FD12D3">
        <w:t>The National Inventory Compiler, technical lead and the QA/QC lead provide technical support and advice to the sector leads when required.</w:t>
      </w:r>
    </w:p>
    <w:p w14:paraId="7D416010" w14:textId="77777777" w:rsidR="00502238" w:rsidRPr="00FD12D3" w:rsidRDefault="00502238" w:rsidP="00502238">
      <w:pPr>
        <w:pStyle w:val="Heading3"/>
      </w:pPr>
      <w:bookmarkStart w:id="54" w:name="archiving-of-information"/>
      <w:bookmarkEnd w:id="48"/>
      <w:bookmarkEnd w:id="49"/>
      <w:bookmarkEnd w:id="53"/>
      <w:r w:rsidRPr="00FD12D3">
        <w:t xml:space="preserve">1.2.3 </w:t>
      </w:r>
      <w:r w:rsidRPr="00FD12D3">
        <w:tab/>
        <w:t>Archiving of information</w:t>
      </w:r>
    </w:p>
    <w:p w14:paraId="500F3FA5" w14:textId="77777777" w:rsidR="00502238" w:rsidRPr="00FD12D3" w:rsidRDefault="00502238" w:rsidP="00502238">
      <w:pPr>
        <w:pStyle w:val="BodyText"/>
      </w:pPr>
      <w:r w:rsidRPr="00FD12D3">
        <w:t>To provide data security and file recovery for the Inventory, the information and data are held in secured locations in MfE’s Microsoft 365 environment. MfE’s security policies and settings, including version control and retention, protect against data breach and data loss.</w:t>
      </w:r>
    </w:p>
    <w:p w14:paraId="74098444" w14:textId="77777777" w:rsidR="00502238" w:rsidRPr="00FD12D3" w:rsidRDefault="00502238" w:rsidP="00502238">
      <w:pPr>
        <w:pStyle w:val="BodyText"/>
      </w:pPr>
      <w:r w:rsidRPr="00FD12D3">
        <w:t>New Zealand’s inventory archiving system reflects the distributed system as follows.</w:t>
      </w:r>
    </w:p>
    <w:p w14:paraId="2C24110D" w14:textId="77777777" w:rsidR="00502238" w:rsidRPr="00FD12D3" w:rsidRDefault="00502238" w:rsidP="00502238">
      <w:pPr>
        <w:pStyle w:val="Bullet"/>
      </w:pPr>
      <w:r w:rsidRPr="00FD12D3">
        <w:t>All files for the Inventory are stored in MfE’s secure file management system and backed up on several different devices held in different locations. This covers all data files and supplementary materials as part of the submission of the inventory document, CRT, database back-up files from the GHG Inventory Reporting Tool, sectoral chapters, the compiled inventory, confirmations of sign-off, communication between New Zealand’s inventory team and the technical expert review team, national inventory system documentation and other related documents for the Inventory.</w:t>
      </w:r>
    </w:p>
    <w:p w14:paraId="7EAEEC5F" w14:textId="77777777" w:rsidR="00502238" w:rsidRPr="00FD12D3" w:rsidRDefault="00502238" w:rsidP="00502238">
      <w:pPr>
        <w:pStyle w:val="Bullet"/>
      </w:pPr>
      <w:r w:rsidRPr="00FD12D3">
        <w:t>Each agency involved in inventory compilation keeps its data in secure file systems, including communication with contractors, activity data, emission factors, preliminary calculations and specific software applications containing sectoral data models.</w:t>
      </w:r>
    </w:p>
    <w:p w14:paraId="17AEF1C0" w14:textId="77777777" w:rsidR="00502238" w:rsidRPr="00FD12D3" w:rsidRDefault="00502238" w:rsidP="00502238">
      <w:pPr>
        <w:pStyle w:val="Bullet"/>
      </w:pPr>
      <w:r w:rsidRPr="00FD12D3">
        <w:t>Each agency involved in inventory compilation has security procedures in case of natural disasters, fire, flood or other accidents, which are kept at a high standard.</w:t>
      </w:r>
    </w:p>
    <w:p w14:paraId="2D7D0255" w14:textId="77777777" w:rsidR="00502238" w:rsidRPr="00FD12D3" w:rsidRDefault="00502238" w:rsidP="00502238">
      <w:pPr>
        <w:pStyle w:val="Heading3"/>
      </w:pPr>
      <w:bookmarkStart w:id="55" w:name="X6239029cfc9e9bfa3f82f48afba269278705bbd"/>
      <w:bookmarkEnd w:id="54"/>
      <w:r w:rsidRPr="00FD12D3">
        <w:t xml:space="preserve">1.2.4 </w:t>
      </w:r>
      <w:r w:rsidRPr="00FD12D3">
        <w:tab/>
        <w:t>Processes for official consideration and approval of the Inventory</w:t>
      </w:r>
    </w:p>
    <w:p w14:paraId="2FCF3778" w14:textId="77777777" w:rsidR="00502238" w:rsidRPr="00FD12D3" w:rsidRDefault="00502238" w:rsidP="00502238">
      <w:pPr>
        <w:pStyle w:val="BodyText"/>
      </w:pPr>
      <w:r w:rsidRPr="00FD12D3">
        <w:t>New Zealand applies a hybrid (centralised-distributed) approach to the production of the Inventory. MfE, as New Zealand’s inventory agency, manages and coordinates the production, compilation and publication of the Inventory, and submits it to the UN Climate Change secretariat, in a centralised manner. The National Inventory Compiler is based at MfE. Designated government agencies carry out sector-specific work, which includes obtaining and processing activity data, estimating emissions, preparing sectoral CRT files and writing sectoral inventory chapters. Arrangements with these government agencies have evolved over time and continue to do so, as resources and capacity allow, in response to a growing understanding of the reporting requirements and when those requirements change.</w:t>
      </w:r>
    </w:p>
    <w:p w14:paraId="3B8FC019" w14:textId="77777777" w:rsidR="00502238" w:rsidRPr="00FD12D3" w:rsidRDefault="00502238" w:rsidP="00502238">
      <w:pPr>
        <w:pStyle w:val="BodyText"/>
      </w:pPr>
      <w:r w:rsidRPr="00FD12D3">
        <w:t>Inventory governance within each sector, as well as sector-level quality control, is managed by the agency responsible for the sector. The Reporting Governance Group (RGG) provides cross-agency governance over New Zealand’s international climate change reporting obligations, including the production of the Inventory and projections of GHG emissions and removals for other international reports. The RGG is chaired by an MfE manager. Its membership includes representation from other teams within MfE, the Ministry for Primary Industries (MPI) and the Ministry of Business, Innovation and Employment (MBIE), as well as observers (Ministry of Foreign Affairs and Trade, Ministry of Transport, the Environmental Protection Authority (EPA), Government of Tokelau and Stats NZ). The RGG’s oversight includes:</w:t>
      </w:r>
    </w:p>
    <w:p w14:paraId="14C96031" w14:textId="77777777" w:rsidR="00502238" w:rsidRPr="00FD12D3" w:rsidRDefault="00502238" w:rsidP="00502238">
      <w:pPr>
        <w:pStyle w:val="Bullet"/>
      </w:pPr>
      <w:r w:rsidRPr="00FD12D3">
        <w:t>compilation of the Inventory on an annual basis</w:t>
      </w:r>
    </w:p>
    <w:p w14:paraId="0C7BFADD" w14:textId="77777777" w:rsidR="00502238" w:rsidRPr="00FD12D3" w:rsidRDefault="00502238" w:rsidP="00502238">
      <w:pPr>
        <w:pStyle w:val="Bullet"/>
      </w:pPr>
      <w:r w:rsidRPr="00FD12D3">
        <w:t>compilation of emissions projections developed biennially for New Zealand’s biennial transparency reports</w:t>
      </w:r>
    </w:p>
    <w:p w14:paraId="0B53B992" w14:textId="77777777" w:rsidR="00502238" w:rsidRPr="00FD12D3" w:rsidRDefault="00502238" w:rsidP="00502238">
      <w:pPr>
        <w:pStyle w:val="Bullet"/>
      </w:pPr>
      <w:r w:rsidRPr="00FD12D3">
        <w:t>LULUCF target accounting governance</w:t>
      </w:r>
    </w:p>
    <w:p w14:paraId="2602BBE1" w14:textId="77777777" w:rsidR="00502238" w:rsidRPr="00FD12D3" w:rsidRDefault="00502238" w:rsidP="00502238">
      <w:pPr>
        <w:pStyle w:val="Bullet"/>
      </w:pPr>
      <w:r w:rsidRPr="00FD12D3">
        <w:t xml:space="preserve">endorsement of methodological improvements and other significant improvements to Inventory estimates. </w:t>
      </w:r>
    </w:p>
    <w:p w14:paraId="51EE7629" w14:textId="77777777" w:rsidR="00502238" w:rsidRPr="00FD12D3" w:rsidRDefault="00502238" w:rsidP="00502238">
      <w:pPr>
        <w:pStyle w:val="BodyText"/>
      </w:pPr>
      <w:r w:rsidRPr="00FD12D3">
        <w:t>In addition to its overall inventory coordination role, MfE compiles estimates for the IPPU, LULUCF and Waste sectors and for Tokelau. This includes:</w:t>
      </w:r>
    </w:p>
    <w:p w14:paraId="4437F16A" w14:textId="77777777" w:rsidR="00502238" w:rsidRPr="00FD12D3" w:rsidRDefault="00502238" w:rsidP="00502238">
      <w:pPr>
        <w:pStyle w:val="Bullet"/>
        <w:rPr>
          <w:spacing w:val="-2"/>
        </w:rPr>
      </w:pPr>
      <w:r w:rsidRPr="00FD12D3">
        <w:rPr>
          <w:spacing w:val="-2"/>
        </w:rPr>
        <w:t>compiling emissions estimates for the IPPU sector (non-CO</w:t>
      </w:r>
      <w:r w:rsidRPr="00FD12D3">
        <w:rPr>
          <w:spacing w:val="-2"/>
          <w:vertAlign w:val="subscript"/>
        </w:rPr>
        <w:t>2</w:t>
      </w:r>
      <w:r w:rsidRPr="00FD12D3">
        <w:rPr>
          <w:spacing w:val="-2"/>
        </w:rPr>
        <w:t xml:space="preserve"> gases through industry surveys and the coordination of CO</w:t>
      </w:r>
      <w:r w:rsidRPr="00FD12D3">
        <w:rPr>
          <w:spacing w:val="-2"/>
          <w:vertAlign w:val="subscript"/>
        </w:rPr>
        <w:t>2</w:t>
      </w:r>
      <w:r w:rsidRPr="00FD12D3">
        <w:rPr>
          <w:spacing w:val="-2"/>
        </w:rPr>
        <w:t xml:space="preserve"> emissions estimates with data provided by MBIE and the EPA)</w:t>
      </w:r>
    </w:p>
    <w:p w14:paraId="31354647" w14:textId="77777777" w:rsidR="00502238" w:rsidRPr="00FD12D3" w:rsidRDefault="00502238" w:rsidP="00502238">
      <w:pPr>
        <w:pStyle w:val="Bullet"/>
      </w:pPr>
      <w:r w:rsidRPr="00FD12D3">
        <w:t>compiling emissions estimates for the Waste sector (sources of data include mandatory reporting under the Waste Minimisation Act 2008 (WMA) and the New Zealand Emissions Trading Scheme (NZ ETS) or through targeted surveys)</w:t>
      </w:r>
    </w:p>
    <w:p w14:paraId="63D5D24E" w14:textId="77777777" w:rsidR="00502238" w:rsidRPr="00FD12D3" w:rsidRDefault="00502238" w:rsidP="00502238">
      <w:pPr>
        <w:pStyle w:val="Bullet"/>
      </w:pPr>
      <w:r w:rsidRPr="00FD12D3">
        <w:t xml:space="preserve">compiling emissions and removals estimates for the LULUCF sector through a national data collection and modelling programme. The estimates are underpinned by analyses, research and modelling, including that undertaken at New Zealand’s public research organisations, universities and private research companies, or delivered in partnership </w:t>
      </w:r>
      <w:r w:rsidRPr="00FD12D3">
        <w:rPr>
          <w:spacing w:val="-2"/>
        </w:rPr>
        <w:t>with other central government agencies, including MPI and the Department of Conservation</w:t>
      </w:r>
    </w:p>
    <w:p w14:paraId="1CF1E33D" w14:textId="77777777" w:rsidR="00502238" w:rsidRPr="00FD12D3" w:rsidRDefault="00502238" w:rsidP="00502238">
      <w:pPr>
        <w:pStyle w:val="Bullet"/>
      </w:pPr>
      <w:r w:rsidRPr="00FD12D3">
        <w:t>compiling emissions estimates for Tokelau, requiring coordination of the preparation of Tokelau’s inventory data and information with the Tokelau Ministry of Climate, Oceans and Resilience.</w:t>
      </w:r>
    </w:p>
    <w:p w14:paraId="06A75A07" w14:textId="77777777" w:rsidR="00502238" w:rsidRPr="00FD12D3" w:rsidRDefault="00502238" w:rsidP="00502238">
      <w:pPr>
        <w:pStyle w:val="BodyText"/>
      </w:pPr>
      <w:r w:rsidRPr="00FD12D3">
        <w:t>MBIE estimates all emissions from the Energy sector based in part on NZ ETS returns.</w:t>
      </w:r>
    </w:p>
    <w:p w14:paraId="5D35813A" w14:textId="77777777" w:rsidR="00502238" w:rsidRPr="00FD12D3" w:rsidRDefault="00502238" w:rsidP="00502238">
      <w:pPr>
        <w:pStyle w:val="BodyText"/>
      </w:pPr>
      <w:r w:rsidRPr="00FD12D3">
        <w:t>MPI estimates emissions from the Agriculture sector. The estimates are underpinned by research and modelling undertaken at New Zealand’s public research organisations, universities and private research companies, and by survey data collected by Stats NZ, New Zealand’s key statistics agency, and key sector organisations.</w:t>
      </w:r>
    </w:p>
    <w:p w14:paraId="68AB813C" w14:textId="77777777" w:rsidR="00502238" w:rsidRPr="00FD12D3" w:rsidRDefault="00502238" w:rsidP="00502238">
      <w:pPr>
        <w:pStyle w:val="BodyText"/>
      </w:pPr>
      <w:r w:rsidRPr="00FD12D3">
        <w:t>The Tokelau Ministry of Climate, Oceans and Resilience and the Tokelau National Statistics Office coordinate efforts in activity data collection and data processing to estimate emissions from Tokelau for all inventory sectors.</w:t>
      </w:r>
    </w:p>
    <w:p w14:paraId="1689BB9B" w14:textId="77777777" w:rsidR="00502238" w:rsidRPr="00FD12D3" w:rsidRDefault="00502238" w:rsidP="00502238">
      <w:pPr>
        <w:pStyle w:val="BodyText"/>
      </w:pPr>
      <w:r w:rsidRPr="00FD12D3">
        <w:t>The CCRA establishes the requirement for an emissions trading registry and a registrar. The EPA is the designated agency responsible for managing the administration of the NZ ETS and implementing and operating New Zealand’s national registry, the New Zealand Emissions Trading Register.</w:t>
      </w:r>
    </w:p>
    <w:p w14:paraId="3CEEF6DC" w14:textId="178B6B3D" w:rsidR="00502238" w:rsidRPr="00FD12D3" w:rsidRDefault="00502238" w:rsidP="00502238">
      <w:pPr>
        <w:pStyle w:val="BodyText"/>
      </w:pPr>
      <w:r w:rsidRPr="00FD12D3">
        <w:t>The EPA collects and publishes information on emissions.</w:t>
      </w:r>
      <w:r w:rsidRPr="00FD12D3">
        <w:rPr>
          <w:rStyle w:val="FootnoteReference"/>
        </w:rPr>
        <w:footnoteReference w:id="9"/>
      </w:r>
      <w:r w:rsidRPr="00FD12D3">
        <w:t xml:space="preserve"> The inventory arrangements are</w:t>
      </w:r>
      <w:r w:rsidR="00861121">
        <w:t> </w:t>
      </w:r>
      <w:r w:rsidRPr="00FD12D3">
        <w:t>presented in figure 1.2.2, which shows the specific responsibilities of different agencies involved in the inventory production as well as their contribution to the submission.</w:t>
      </w:r>
    </w:p>
    <w:p w14:paraId="36812FB0" w14:textId="77777777" w:rsidR="00502238" w:rsidRPr="00FD12D3" w:rsidRDefault="00502238" w:rsidP="00502238">
      <w:pPr>
        <w:pStyle w:val="Figure"/>
        <w:spacing w:after="80"/>
      </w:pPr>
      <w:bookmarkStart w:id="56" w:name="_Toc226200648"/>
      <w:r w:rsidRPr="00FD12D3">
        <w:rPr>
          <w:bCs/>
        </w:rPr>
        <w:t xml:space="preserve">Figure 1.2.2 </w:t>
      </w:r>
      <w:r w:rsidRPr="00FD12D3">
        <w:rPr>
          <w:bCs/>
        </w:rPr>
        <w:tab/>
        <w:t>New Zealand’s inventory system at a glance: how different agencies are involved</w:t>
      </w:r>
      <w:bookmarkEnd w:id="56"/>
    </w:p>
    <w:p w14:paraId="150F3DA5" w14:textId="77777777" w:rsidR="00502238" w:rsidRPr="00FD12D3" w:rsidRDefault="00502238" w:rsidP="00502238">
      <w:pPr>
        <w:pStyle w:val="BodyText"/>
        <w:jc w:val="center"/>
      </w:pPr>
      <w:r w:rsidRPr="00FD12D3">
        <w:rPr>
          <w:noProof/>
        </w:rPr>
        <w:drawing>
          <wp:inline distT="0" distB="0" distL="0" distR="0" wp14:anchorId="2E8AD12F" wp14:editId="1E87C627">
            <wp:extent cx="5013737" cy="6858000"/>
            <wp:effectExtent l="0" t="0" r="0" b="0"/>
            <wp:docPr id="1642899785"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99785" name="Graphic 1642899785"/>
                    <pic:cNvPicPr/>
                  </pic:nvPicPr>
                  <pic:blipFill rotWithShape="1">
                    <a:blip r:embed="rId29">
                      <a:extLst>
                        <a:ext uri="{96DAC541-7B7A-43D3-8B79-37D633B846F1}">
                          <asvg:svgBlip xmlns:asvg="http://schemas.microsoft.com/office/drawing/2016/SVG/main" r:embed="rId30"/>
                        </a:ext>
                      </a:extLst>
                    </a:blip>
                    <a:srcRect t="8986" b="6986"/>
                    <a:stretch>
                      <a:fillRect/>
                    </a:stretch>
                  </pic:blipFill>
                  <pic:spPr bwMode="auto">
                    <a:xfrm>
                      <a:off x="0" y="0"/>
                      <a:ext cx="5029596" cy="6879692"/>
                    </a:xfrm>
                    <a:prstGeom prst="rect">
                      <a:avLst/>
                    </a:prstGeom>
                    <a:ln>
                      <a:noFill/>
                    </a:ln>
                    <a:extLst>
                      <a:ext uri="{53640926-AAD7-44D8-BBD7-CCE9431645EC}">
                        <a14:shadowObscured xmlns:a14="http://schemas.microsoft.com/office/drawing/2010/main"/>
                      </a:ext>
                    </a:extLst>
                  </pic:spPr>
                </pic:pic>
              </a:graphicData>
            </a:graphic>
          </wp:inline>
        </w:drawing>
      </w:r>
    </w:p>
    <w:p w14:paraId="04BC9A18" w14:textId="77777777" w:rsidR="00502238" w:rsidRPr="00FD12D3" w:rsidRDefault="00502238" w:rsidP="00502238">
      <w:pPr>
        <w:pStyle w:val="Noteundertable"/>
      </w:pPr>
      <w:r w:rsidRPr="00FD12D3">
        <w:rPr>
          <w:b/>
          <w:bCs/>
        </w:rPr>
        <w:t>Note:</w:t>
      </w:r>
      <w:r w:rsidRPr="00FD12D3">
        <w:t xml:space="preserve"> </w:t>
      </w:r>
      <w:r w:rsidRPr="00FD12D3">
        <w:tab/>
        <w:t>CO</w:t>
      </w:r>
      <w:r w:rsidRPr="00FD12D3">
        <w:rPr>
          <w:vertAlign w:val="subscript"/>
        </w:rPr>
        <w:t>2</w:t>
      </w:r>
      <w:r w:rsidRPr="00FD12D3">
        <w:t xml:space="preserve"> = carbon dioxide; IPPU = industrial processes and product use; LULUCF = land use, land-use change and forestry. </w:t>
      </w:r>
    </w:p>
    <w:p w14:paraId="52703235" w14:textId="77777777" w:rsidR="00502238" w:rsidRPr="00FD12D3" w:rsidRDefault="00502238" w:rsidP="00502238">
      <w:pPr>
        <w:pStyle w:val="BodyText"/>
      </w:pPr>
      <w:r w:rsidRPr="00FD12D3">
        <w:t>The National Inventory Compiler coordinates the calculation of level and trend uncertainties, along with key category assessment, and finalises the Inventory. The Inventory is then approved for publication by New Zealand’s Secretary for the Environment or their delegate before submission to the UN Climate Change secretariat.</w:t>
      </w:r>
    </w:p>
    <w:p w14:paraId="3542EA87" w14:textId="77777777" w:rsidR="00502238" w:rsidRPr="00FD12D3" w:rsidRDefault="00502238" w:rsidP="00502238">
      <w:pPr>
        <w:pStyle w:val="BodyText"/>
      </w:pPr>
      <w:r w:rsidRPr="00FD12D3">
        <w:t>The Inventory is published on the MfE and UN Climate Change websites.</w:t>
      </w:r>
    </w:p>
    <w:p w14:paraId="632C1DA0" w14:textId="77777777" w:rsidR="00502238" w:rsidRPr="00FD12D3" w:rsidRDefault="00502238" w:rsidP="00502238">
      <w:pPr>
        <w:pStyle w:val="Heading2"/>
      </w:pPr>
      <w:bookmarkStart w:id="57" w:name="_Toc226460740"/>
      <w:bookmarkStart w:id="58" w:name="X1e54e5c0172711af95132e44afd7fc53a8ddb8f"/>
      <w:bookmarkEnd w:id="46"/>
      <w:bookmarkEnd w:id="55"/>
      <w:r w:rsidRPr="00FD12D3">
        <w:t xml:space="preserve">1.3 </w:t>
      </w:r>
      <w:r w:rsidRPr="00FD12D3">
        <w:tab/>
        <w:t>Brief general description of methodologies (including tiers used) and data sources used</w:t>
      </w:r>
      <w:bookmarkEnd w:id="57"/>
    </w:p>
    <w:p w14:paraId="2E796223" w14:textId="77777777" w:rsidR="00502238" w:rsidRPr="00FD12D3" w:rsidRDefault="00502238" w:rsidP="00502238">
      <w:pPr>
        <w:pStyle w:val="BodyText"/>
      </w:pPr>
      <w:r w:rsidRPr="00FD12D3">
        <w:t>The IPCC (2006a, 2019) provides methodologies for calculating emissions or removals by sector and category. The methodologies are provided in a structure of three tiers that describe and connect the various levels of detail at which estimates can be made. The choice of method depends on factors such as the importance of the inventory category and the availability of data. The tiered structure ensures that estimates calculated at a highly detailed level can be aggregated up to a common minimum level of detail for comparison with all other reporting countries. The methods for estimating emissions and/or removals are distinguished between the tiers as follows.</w:t>
      </w:r>
    </w:p>
    <w:p w14:paraId="01B6987C" w14:textId="77777777" w:rsidR="00502238" w:rsidRPr="00FD12D3" w:rsidRDefault="00502238" w:rsidP="00502238">
      <w:pPr>
        <w:pStyle w:val="Bullet"/>
      </w:pPr>
      <w:r w:rsidRPr="00FD12D3">
        <w:t>Tier 1 methods apply IPCC default emission factors and use IPCC default methods.</w:t>
      </w:r>
    </w:p>
    <w:p w14:paraId="55047043" w14:textId="77777777" w:rsidR="00502238" w:rsidRPr="00FD12D3" w:rsidRDefault="00502238" w:rsidP="00502238">
      <w:pPr>
        <w:pStyle w:val="Bullet"/>
      </w:pPr>
      <w:r w:rsidRPr="00FD12D3">
        <w:t>Tier 2 methods apply country-specific emission factors and use IPCC default methods.</w:t>
      </w:r>
    </w:p>
    <w:p w14:paraId="2653A26B" w14:textId="77777777" w:rsidR="00502238" w:rsidRPr="00FD12D3" w:rsidRDefault="00502238" w:rsidP="00502238">
      <w:pPr>
        <w:pStyle w:val="Bullet"/>
      </w:pPr>
      <w:r w:rsidRPr="00FD12D3">
        <w:t>Tier 3 methods apply country-specific emission factors and use country-specific methods.</w:t>
      </w:r>
    </w:p>
    <w:p w14:paraId="718AB8D0" w14:textId="77777777" w:rsidR="00502238" w:rsidRPr="00FD12D3" w:rsidRDefault="00502238" w:rsidP="00502238">
      <w:pPr>
        <w:pStyle w:val="BodyText"/>
      </w:pPr>
      <w:r w:rsidRPr="00FD12D3">
        <w:t>This section provides a brief description of the methodology for each sector in the Inventory. Refer to each sector chapter for more details.</w:t>
      </w:r>
    </w:p>
    <w:p w14:paraId="71E0EA83" w14:textId="77777777" w:rsidR="00502238" w:rsidRPr="00FD12D3" w:rsidRDefault="00502238" w:rsidP="00502238">
      <w:pPr>
        <w:pStyle w:val="Heading4"/>
      </w:pPr>
      <w:bookmarkStart w:id="59" w:name="energy"/>
      <w:r w:rsidRPr="00FD12D3">
        <w:t>Energy</w:t>
      </w:r>
    </w:p>
    <w:p w14:paraId="5C91939B" w14:textId="77777777" w:rsidR="00502238" w:rsidRPr="00FD12D3" w:rsidRDefault="00502238" w:rsidP="00502238">
      <w:pPr>
        <w:pStyle w:val="BodyText"/>
      </w:pPr>
      <w:r w:rsidRPr="00FD12D3">
        <w:t>Greenhouse gas emissions from the Energy sector are calculated using a detailed sectoral approach that applies a mixture of Tier 1, Tier 2 and Tier 3 methods. Higher-tier methods are applied to key categories. This bottom-up approach is demand-based: it involves processing energy data collected on a regular basis through various surveys. For verification, New Zealand also applies the IPCC reference approach to estimate CO</w:t>
      </w:r>
      <w:r w:rsidRPr="00FD12D3">
        <w:rPr>
          <w:vertAlign w:val="subscript"/>
        </w:rPr>
        <w:t>2</w:t>
      </w:r>
      <w:r w:rsidRPr="00FD12D3">
        <w:t xml:space="preserve"> emissions from fuel combustion for the time series 1990 to 2024 (see volume 2, annex 3).</w:t>
      </w:r>
    </w:p>
    <w:p w14:paraId="57D8906D" w14:textId="77777777" w:rsidR="00502238" w:rsidRPr="00FD12D3" w:rsidRDefault="00502238" w:rsidP="00502238">
      <w:pPr>
        <w:pStyle w:val="BodyText"/>
      </w:pPr>
      <w:r w:rsidRPr="00FD12D3">
        <w:rPr>
          <w:spacing w:val="-2"/>
        </w:rPr>
        <w:t>The activity data used for the sectoral approach are referred to as observed energy-use figure</w:t>
      </w:r>
      <w:r w:rsidRPr="00FD12D3">
        <w:t xml:space="preserve">s. These are derived from surveys and questionnaires administered by MBIE. The differences between calculated and observed figures are reported as statistical differences in the energy balance tables released along with </w:t>
      </w:r>
      <w:r w:rsidRPr="00FD12D3">
        <w:rPr>
          <w:i/>
          <w:iCs/>
        </w:rPr>
        <w:t>Energy in New Zealand</w:t>
      </w:r>
      <w:r w:rsidRPr="00FD12D3">
        <w:t xml:space="preserve"> (MBIE, 2025). Note that, due to the intervening time between the publication of </w:t>
      </w:r>
      <w:r w:rsidRPr="00FD12D3">
        <w:rPr>
          <w:i/>
          <w:iCs/>
        </w:rPr>
        <w:t>Energy in New Zealand</w:t>
      </w:r>
      <w:r w:rsidRPr="00FD12D3">
        <w:t xml:space="preserve"> and the preparation of this submission, some data revisions may have occurred.</w:t>
      </w:r>
    </w:p>
    <w:p w14:paraId="2A298DC0" w14:textId="77777777" w:rsidR="00502238" w:rsidRPr="00FD12D3" w:rsidRDefault="00502238" w:rsidP="00502238">
      <w:pPr>
        <w:pStyle w:val="Heading4"/>
      </w:pPr>
      <w:bookmarkStart w:id="60" w:name="ippu"/>
      <w:bookmarkEnd w:id="59"/>
      <w:r w:rsidRPr="00FD12D3">
        <w:t>IPPU</w:t>
      </w:r>
    </w:p>
    <w:p w14:paraId="172FC4A9" w14:textId="77777777" w:rsidR="00502238" w:rsidRPr="00FD12D3" w:rsidRDefault="00502238" w:rsidP="00502238">
      <w:pPr>
        <w:pStyle w:val="BodyText"/>
      </w:pPr>
      <w:r w:rsidRPr="00FD12D3">
        <w:t>New Zealand uses a combination of IPCC Tier 1 and Tier 2 methods for the IPPU sector. Tier 2 methods are used for all key categories. Country-specific emission factors are used where available, including for emissions of indirect GHGs.</w:t>
      </w:r>
    </w:p>
    <w:p w14:paraId="1E984CEE" w14:textId="77777777" w:rsidR="00502238" w:rsidRPr="00FD12D3" w:rsidRDefault="00502238" w:rsidP="00502238">
      <w:pPr>
        <w:pStyle w:val="BodyText"/>
      </w:pPr>
      <w:r w:rsidRPr="00FD12D3">
        <w:t xml:space="preserve">For the </w:t>
      </w:r>
      <w:r w:rsidRPr="00FD12D3">
        <w:rPr>
          <w:i/>
          <w:iCs/>
        </w:rPr>
        <w:t>Product uses as substitutes for ODS</w:t>
      </w:r>
      <w:r w:rsidRPr="00FD12D3">
        <w:t xml:space="preserve"> category, updated activity data are obtained through a detailed annual survey covering the electrical, refrigeration and other industry participants (Verum Group Ltd, unpublished), as well as importers of HFCs and other substances in this category.</w:t>
      </w:r>
    </w:p>
    <w:p w14:paraId="53CC0F84" w14:textId="77777777" w:rsidR="00502238" w:rsidRPr="00FD12D3" w:rsidRDefault="00502238" w:rsidP="00502238">
      <w:pPr>
        <w:pStyle w:val="BodyText"/>
      </w:pPr>
      <w:r w:rsidRPr="00FD12D3">
        <w:t xml:space="preserve">For the small amounts of indirect GHG emissions reported in the </w:t>
      </w:r>
      <w:r w:rsidRPr="00FD12D3">
        <w:rPr>
          <w:i/>
          <w:iCs/>
        </w:rPr>
        <w:t>Chemical industry</w:t>
      </w:r>
      <w:r w:rsidRPr="00FD12D3">
        <w:t xml:space="preserve"> category and the </w:t>
      </w:r>
      <w:r w:rsidRPr="00FD12D3">
        <w:rPr>
          <w:i/>
          <w:iCs/>
        </w:rPr>
        <w:t>Other product manufacture and use</w:t>
      </w:r>
      <w:r w:rsidRPr="00FD12D3">
        <w:t xml:space="preserve"> category, data were obtained by a detailed industry survey and analysis in 2006 (CRL Energy, unpublished). Emissions and activity data have been extrapolated for the years since that time.</w:t>
      </w:r>
    </w:p>
    <w:p w14:paraId="567C189D" w14:textId="77777777" w:rsidR="00502238" w:rsidRPr="00FD12D3" w:rsidRDefault="00502238" w:rsidP="00502238">
      <w:pPr>
        <w:pStyle w:val="Heading4"/>
      </w:pPr>
      <w:bookmarkStart w:id="61" w:name="agriculture"/>
      <w:bookmarkEnd w:id="60"/>
      <w:r w:rsidRPr="00FD12D3">
        <w:t>Agriculture</w:t>
      </w:r>
    </w:p>
    <w:p w14:paraId="71C91AD2" w14:textId="77777777" w:rsidR="00502238" w:rsidRPr="00FD12D3" w:rsidRDefault="00502238" w:rsidP="00502238">
      <w:pPr>
        <w:pStyle w:val="BodyText"/>
        <w:spacing w:before="100" w:after="100"/>
      </w:pPr>
      <w:r w:rsidRPr="00FD12D3">
        <w:t>New Zealand has developed a largely Tier 2 methodology with country-specific emission factors for a range of emissions sources. This methodology uses detailed data on livestock population and production to calculate energy requirements for four major categories (</w:t>
      </w:r>
      <w:r w:rsidRPr="00FD12D3">
        <w:rPr>
          <w:i/>
          <w:iCs/>
        </w:rPr>
        <w:t>Dairy cattle</w:t>
      </w:r>
      <w:r w:rsidRPr="00FD12D3">
        <w:t xml:space="preserve">, </w:t>
      </w:r>
      <w:r w:rsidRPr="00FD12D3">
        <w:rPr>
          <w:i/>
          <w:iCs/>
        </w:rPr>
        <w:t>Non-dairy</w:t>
      </w:r>
      <w:r w:rsidRPr="00FD12D3">
        <w:t xml:space="preserve"> (beef) </w:t>
      </w:r>
      <w:r w:rsidRPr="00FD12D3">
        <w:rPr>
          <w:i/>
          <w:iCs/>
        </w:rPr>
        <w:t>cattle</w:t>
      </w:r>
      <w:r w:rsidRPr="00FD12D3">
        <w:t xml:space="preserve">, </w:t>
      </w:r>
      <w:r w:rsidRPr="00FD12D3">
        <w:rPr>
          <w:i/>
          <w:iCs/>
        </w:rPr>
        <w:t>Sheep</w:t>
      </w:r>
      <w:r w:rsidRPr="00FD12D3">
        <w:t xml:space="preserve"> and </w:t>
      </w:r>
      <w:r w:rsidRPr="00FD12D3">
        <w:rPr>
          <w:i/>
          <w:iCs/>
        </w:rPr>
        <w:t>Deer</w:t>
      </w:r>
      <w:r w:rsidRPr="00FD12D3">
        <w:t>). Other livestock are classified as ‘minor’ due to their small total contribution to agricultural emissions and are outlined below. Animal population data are collected by Stats NZ. Productivity data are available from the Livestock Improvement Corporation and industry organisations, such as Beef + Lamb New Zealand Ltd and Dairy NZ, which regularly collect animal sector statistics. Statistics on animal carcass weights are collected by MPI and are used to derive live weights.</w:t>
      </w:r>
    </w:p>
    <w:p w14:paraId="4B16D7AF" w14:textId="77777777" w:rsidR="00502238" w:rsidRPr="00FD12D3" w:rsidRDefault="00502238" w:rsidP="00502238">
      <w:pPr>
        <w:pStyle w:val="BodyText"/>
        <w:spacing w:before="100" w:after="100"/>
      </w:pPr>
      <w:r w:rsidRPr="00FD12D3">
        <w:t>Other livestock species combined (</w:t>
      </w:r>
      <w:r w:rsidRPr="00FD12D3">
        <w:rPr>
          <w:i/>
          <w:iCs/>
        </w:rPr>
        <w:t>Swine</w:t>
      </w:r>
      <w:r w:rsidRPr="00FD12D3">
        <w:t xml:space="preserve">, </w:t>
      </w:r>
      <w:r w:rsidRPr="00FD12D3">
        <w:rPr>
          <w:i/>
          <w:iCs/>
        </w:rPr>
        <w:t>Goats</w:t>
      </w:r>
      <w:r w:rsidRPr="00FD12D3">
        <w:t xml:space="preserve">, </w:t>
      </w:r>
      <w:r w:rsidRPr="00FD12D3">
        <w:rPr>
          <w:i/>
          <w:iCs/>
        </w:rPr>
        <w:t>Horses</w:t>
      </w:r>
      <w:r w:rsidRPr="00FD12D3">
        <w:t xml:space="preserve">, </w:t>
      </w:r>
      <w:r w:rsidRPr="00FD12D3">
        <w:rPr>
          <w:i/>
          <w:iCs/>
        </w:rPr>
        <w:t>Llamas and alpacas</w:t>
      </w:r>
      <w:r w:rsidRPr="00FD12D3">
        <w:t xml:space="preserve">, </w:t>
      </w:r>
      <w:r w:rsidRPr="00FD12D3">
        <w:rPr>
          <w:i/>
          <w:iCs/>
        </w:rPr>
        <w:t>Mules and asses</w:t>
      </w:r>
      <w:r w:rsidRPr="00FD12D3">
        <w:t xml:space="preserve"> and </w:t>
      </w:r>
      <w:r w:rsidRPr="00FD12D3">
        <w:rPr>
          <w:i/>
          <w:iCs/>
        </w:rPr>
        <w:t>Poultry</w:t>
      </w:r>
      <w:r w:rsidRPr="00FD12D3">
        <w:t>) account for less than 0.5 percent of New Zealand’s agriculture emissions. Emissions from these minor livestock species are estimated using Tier 1 methods. Where information is available, New Zealand has used country-specific emission methodology and factors. There is no known farming of fur-bearing animals in New Zealand.</w:t>
      </w:r>
    </w:p>
    <w:p w14:paraId="465D35E8" w14:textId="77777777" w:rsidR="00502238" w:rsidRPr="00FD12D3" w:rsidRDefault="00502238" w:rsidP="00502238">
      <w:pPr>
        <w:pStyle w:val="BodyText"/>
        <w:spacing w:before="100" w:after="100"/>
      </w:pPr>
      <w:r w:rsidRPr="00FD12D3">
        <w:rPr>
          <w:spacing w:val="-2"/>
        </w:rPr>
        <w:t xml:space="preserve">For estimating emissions from the </w:t>
      </w:r>
      <w:r w:rsidRPr="00FD12D3">
        <w:rPr>
          <w:i/>
          <w:iCs/>
          <w:spacing w:val="-2"/>
        </w:rPr>
        <w:t>Agricultural soils</w:t>
      </w:r>
      <w:r w:rsidRPr="00FD12D3">
        <w:rPr>
          <w:spacing w:val="-2"/>
        </w:rPr>
        <w:t xml:space="preserve"> category, New Zealand uses methodologies</w:t>
      </w:r>
      <w:r w:rsidRPr="00FD12D3">
        <w:t xml:space="preserve"> based on the 2006 IPCC Guidelines (IPCC, 2006d), the outputs of the Tier 2 livestock population characterisation, modelling of the livestock nutrition and energy requirements, and data on the application of nitrogen fertilisers. New Zealand uses a combination of default and country-specific emission factors and parameters to calculate N</w:t>
      </w:r>
      <w:r w:rsidRPr="00FD12D3">
        <w:rPr>
          <w:vertAlign w:val="subscript"/>
        </w:rPr>
        <w:t>2</w:t>
      </w:r>
      <w:r w:rsidRPr="00FD12D3">
        <w:t xml:space="preserve">O emissions from the </w:t>
      </w:r>
      <w:r w:rsidRPr="00FD12D3">
        <w:rPr>
          <w:i/>
          <w:iCs/>
        </w:rPr>
        <w:t>Agricultural soils</w:t>
      </w:r>
      <w:r w:rsidRPr="00FD12D3">
        <w:t> category.</w:t>
      </w:r>
    </w:p>
    <w:p w14:paraId="00E9DD40" w14:textId="77777777" w:rsidR="00502238" w:rsidRPr="00FD12D3" w:rsidRDefault="00502238" w:rsidP="00502238">
      <w:pPr>
        <w:pStyle w:val="BodyText"/>
        <w:spacing w:before="100" w:after="100"/>
      </w:pPr>
      <w:r w:rsidRPr="00FD12D3">
        <w:t xml:space="preserve">Details on these emission factors and parameters are given in chapter 5 (tables 5.5.2, 5.5.3 and 5.5.4) and annex 5 (tables A5.1.5, A5.1.6 and A5.1.7). Chapter 5, table 5.5.5 contains the parameters used to estimate emissions where specific mitigation technologies are used. Activity data for the </w:t>
      </w:r>
      <w:r w:rsidRPr="00FD12D3">
        <w:rPr>
          <w:i/>
          <w:iCs/>
        </w:rPr>
        <w:t>Liming</w:t>
      </w:r>
      <w:r w:rsidRPr="00FD12D3">
        <w:t xml:space="preserve"> category are obtained from Stats NZ, and activity data on the use of synthetic fertiliser containing nitrogen are provided by the Fertiliser Association of New Zealand. A Tier 2 (model) approach is used to calculate emissions from the </w:t>
      </w:r>
      <w:r w:rsidRPr="00FD12D3">
        <w:rPr>
          <w:i/>
          <w:iCs/>
        </w:rPr>
        <w:t>Field burning of agricultural residues</w:t>
      </w:r>
      <w:r w:rsidRPr="00FD12D3">
        <w:t xml:space="preserve"> category. No rice cultivation or CO</w:t>
      </w:r>
      <w:r w:rsidRPr="00FD12D3">
        <w:rPr>
          <w:vertAlign w:val="subscript"/>
        </w:rPr>
        <w:t>2</w:t>
      </w:r>
      <w:r w:rsidRPr="00FD12D3">
        <w:t xml:space="preserve"> emissions from other carbon-containing fertilisers occur in New Zealand.</w:t>
      </w:r>
    </w:p>
    <w:p w14:paraId="26D99D2B" w14:textId="77777777" w:rsidR="00502238" w:rsidRPr="00FD12D3" w:rsidRDefault="00502238" w:rsidP="00502238">
      <w:pPr>
        <w:pStyle w:val="Heading4"/>
      </w:pPr>
      <w:bookmarkStart w:id="62" w:name="lulucf"/>
      <w:bookmarkEnd w:id="61"/>
      <w:r w:rsidRPr="00FD12D3">
        <w:t>LULUCF</w:t>
      </w:r>
    </w:p>
    <w:p w14:paraId="056F47F4" w14:textId="77777777" w:rsidR="00502238" w:rsidRPr="00FD12D3" w:rsidRDefault="00502238" w:rsidP="00502238">
      <w:pPr>
        <w:pStyle w:val="BodyText"/>
        <w:spacing w:before="100" w:after="100"/>
      </w:pPr>
      <w:r w:rsidRPr="00FD12D3">
        <w:t xml:space="preserve">New Zealand uses a combination of Tier 1, Tier 2 and Tier 3 methodologies for estimating emissions and removals for the LULUCF sector. Tier 2 or Tier 3 approaches have been applied to estimate biomass carbon in the categories with the most living biomass at maturity: </w:t>
      </w:r>
      <w:r w:rsidRPr="00FD12D3">
        <w:rPr>
          <w:i/>
          <w:iCs/>
        </w:rPr>
        <w:t>Forest land</w:t>
      </w:r>
      <w:r w:rsidRPr="00FD12D3">
        <w:t xml:space="preserve"> (pre-1990 natural forest, pre-1990 planted forest, post-1989 natural forest, post-1989 planted forest),</w:t>
      </w:r>
      <w:r w:rsidRPr="00FD12D3">
        <w:rPr>
          <w:i/>
          <w:iCs/>
        </w:rPr>
        <w:t xml:space="preserve"> Perennial cropland</w:t>
      </w:r>
      <w:r w:rsidRPr="00FD12D3">
        <w:t xml:space="preserve">, </w:t>
      </w:r>
      <w:r w:rsidRPr="00FD12D3">
        <w:rPr>
          <w:i/>
          <w:iCs/>
        </w:rPr>
        <w:t>Low producing grassland</w:t>
      </w:r>
      <w:r w:rsidRPr="00FD12D3">
        <w:t xml:space="preserve">, </w:t>
      </w:r>
      <w:r w:rsidRPr="00FD12D3">
        <w:rPr>
          <w:i/>
          <w:iCs/>
        </w:rPr>
        <w:t>High producing grassland</w:t>
      </w:r>
      <w:r w:rsidRPr="00FD12D3">
        <w:t xml:space="preserve"> and </w:t>
      </w:r>
      <w:r w:rsidRPr="00FD12D3">
        <w:rPr>
          <w:i/>
          <w:iCs/>
        </w:rPr>
        <w:t>Grassland with woody biomass</w:t>
      </w:r>
      <w:r w:rsidRPr="00FD12D3">
        <w:t xml:space="preserve">. For all other land use categories, a Tier 1 approach is used for estimating biomass carbon. A Tier 2 modelling approach has also been used to estimate carbon changes in the mineral soil component of the soil organic matter pool, while Tier 1 is used for organic soils. Furthermore, a Tier 2 approach has been used to estimate carbon stock changes in </w:t>
      </w:r>
      <w:r w:rsidRPr="00FD12D3">
        <w:rPr>
          <w:i/>
          <w:iCs/>
        </w:rPr>
        <w:t>Harvested wood products</w:t>
      </w:r>
      <w:r w:rsidRPr="00FD12D3">
        <w:t>.</w:t>
      </w:r>
    </w:p>
    <w:p w14:paraId="192805A4" w14:textId="77777777" w:rsidR="00502238" w:rsidRPr="00FD12D3" w:rsidRDefault="00502238" w:rsidP="00502238">
      <w:pPr>
        <w:pStyle w:val="BodyText"/>
        <w:spacing w:before="100" w:after="100"/>
        <w:rPr>
          <w:spacing w:val="-2"/>
        </w:rPr>
      </w:pPr>
      <w:r w:rsidRPr="00FD12D3">
        <w:rPr>
          <w:spacing w:val="-2"/>
        </w:rPr>
        <w:t>New Zealand has established a data collection and modelling programme for the LULUCF sector called the Land Use and Carbon Analysis System (LUCAS). The LUCAS programme includes:</w:t>
      </w:r>
    </w:p>
    <w:p w14:paraId="2F6D23EE" w14:textId="77777777" w:rsidR="00502238" w:rsidRPr="00FD12D3" w:rsidRDefault="00502238" w:rsidP="00502238">
      <w:pPr>
        <w:pStyle w:val="Bullet"/>
        <w:spacing w:after="100"/>
      </w:pPr>
      <w:r w:rsidRPr="00FD12D3">
        <w:t>use of field plot measurements for natural and planted forests</w:t>
      </w:r>
    </w:p>
    <w:p w14:paraId="09083E43" w14:textId="77777777" w:rsidR="00502238" w:rsidRPr="00FD12D3" w:rsidRDefault="00502238" w:rsidP="00502238">
      <w:pPr>
        <w:pStyle w:val="Bullet"/>
      </w:pPr>
      <w:r w:rsidRPr="00FD12D3">
        <w:t>use of allometric models and a forest carbon modelling system to estimate carbon stock and carbon stock change in natural and planted forests respectively (Paul et al., 2021, unpublished(a), unpublished(b), unpublished(c); Paul and Wakelin, unpublished)</w:t>
      </w:r>
    </w:p>
    <w:p w14:paraId="1C49558A" w14:textId="77777777" w:rsidR="00502238" w:rsidRPr="00FD12D3" w:rsidRDefault="00502238" w:rsidP="00502238">
      <w:pPr>
        <w:pStyle w:val="Bullet"/>
      </w:pPr>
      <w:r w:rsidRPr="00FD12D3">
        <w:t>wall-to-wall land use mapping for 1990, 2008, 2012, 2016 and 2020 using satellite and aircraft remotely sensed imagery, with additional information on post-1989 forest afforestation and deforestation of planted forest used for estimating the change</w:t>
      </w:r>
    </w:p>
    <w:p w14:paraId="44634C03" w14:textId="77777777" w:rsidR="00502238" w:rsidRPr="00FD12D3" w:rsidRDefault="00502238" w:rsidP="00502238">
      <w:pPr>
        <w:pStyle w:val="Bullet"/>
      </w:pPr>
      <w:r w:rsidRPr="00FD12D3">
        <w:t>development of databases and applications to store and process all data associated with LULUCF activities.</w:t>
      </w:r>
    </w:p>
    <w:p w14:paraId="3067EC1D" w14:textId="77777777" w:rsidR="00502238" w:rsidRPr="00FD12D3" w:rsidRDefault="00502238" w:rsidP="00502238">
      <w:pPr>
        <w:pStyle w:val="Heading4"/>
      </w:pPr>
      <w:bookmarkStart w:id="63" w:name="waste"/>
      <w:bookmarkEnd w:id="62"/>
      <w:r w:rsidRPr="00FD12D3">
        <w:t>Waste</w:t>
      </w:r>
    </w:p>
    <w:p w14:paraId="1DD9EE9A" w14:textId="77777777" w:rsidR="00502238" w:rsidRPr="00FD12D3" w:rsidRDefault="00502238" w:rsidP="00502238">
      <w:pPr>
        <w:pStyle w:val="BodyText"/>
      </w:pPr>
      <w:r w:rsidRPr="00FD12D3">
        <w:t xml:space="preserve">New Zealand applies Tier 2 methodologies for estimating emissions from the </w:t>
      </w:r>
      <w:r w:rsidRPr="00FD12D3">
        <w:rPr>
          <w:i/>
          <w:iCs/>
        </w:rPr>
        <w:t>Solid waste disposal source</w:t>
      </w:r>
      <w:r w:rsidRPr="00FD12D3">
        <w:t> category, which is a key category, and for some wastewater emissions. Tier 1 methodologies are used to estimate other emissions from the Waste sector.</w:t>
      </w:r>
    </w:p>
    <w:p w14:paraId="4CA34A29" w14:textId="77777777" w:rsidR="00502238" w:rsidRPr="00FD12D3" w:rsidRDefault="00502238" w:rsidP="00502238">
      <w:pPr>
        <w:pStyle w:val="BodyText"/>
      </w:pPr>
      <w:r w:rsidRPr="00FD12D3">
        <w:t xml:space="preserve">Activity data are obtained from a variety of sources. Municipal solid waste disposal data are obtained from mandatory reporting under the WMA and the NZ ETS for the years available </w:t>
      </w:r>
      <w:r w:rsidRPr="00FD12D3">
        <w:rPr>
          <w:spacing w:val="-2"/>
        </w:rPr>
        <w:t>(2010 onwards). Non-municipal waste disposal data are also derived from mandatory reporting</w:t>
      </w:r>
      <w:r w:rsidRPr="00FD12D3">
        <w:t xml:space="preserve"> under the WMA from 2022 onwards. For all other sources, activity data are collected through targeted surveys. Interpolation based on gross domestic product or population is used for other years.</w:t>
      </w:r>
    </w:p>
    <w:p w14:paraId="2F60D3EC" w14:textId="77777777" w:rsidR="00502238" w:rsidRPr="00FD12D3" w:rsidRDefault="00502238" w:rsidP="00502238">
      <w:pPr>
        <w:pStyle w:val="BodyText"/>
      </w:pPr>
      <w:r w:rsidRPr="00FD12D3">
        <w:t>Country-specific emission factors are used where available, including parameters for municipal waste (Eunomia, unpublished) and for treatment of some types of industrial wastewater (Cardno, unpublished).</w:t>
      </w:r>
    </w:p>
    <w:p w14:paraId="30AED416" w14:textId="77777777" w:rsidR="00502238" w:rsidRPr="00FD12D3" w:rsidRDefault="00502238" w:rsidP="00502238">
      <w:pPr>
        <w:pStyle w:val="BodyText"/>
      </w:pPr>
      <w:r w:rsidRPr="00FD12D3">
        <w:t>Methodological issues are discussed under each source category in chapter 7.</w:t>
      </w:r>
    </w:p>
    <w:p w14:paraId="3E0B112E" w14:textId="77777777" w:rsidR="00502238" w:rsidRPr="00FD12D3" w:rsidRDefault="00502238" w:rsidP="00502238">
      <w:pPr>
        <w:pStyle w:val="Heading4"/>
      </w:pPr>
      <w:bookmarkStart w:id="64" w:name="tokelau"/>
      <w:bookmarkEnd w:id="63"/>
      <w:r w:rsidRPr="00FD12D3">
        <w:t>Tokelau</w:t>
      </w:r>
    </w:p>
    <w:p w14:paraId="499EEC99" w14:textId="77777777" w:rsidR="00502238" w:rsidRPr="00FD12D3" w:rsidRDefault="00502238" w:rsidP="00502238">
      <w:pPr>
        <w:pStyle w:val="BodyText"/>
      </w:pPr>
      <w:r w:rsidRPr="00FD12D3">
        <w:t>The Tokelau National Statistics Office collects and processes activity data from Tokelau for the preparation of the Inventory. Chapter 8, table 8.1.1 contains the key sources of the activity data from Tokelau used in Tokelau’s GHG inventory.</w:t>
      </w:r>
    </w:p>
    <w:p w14:paraId="70E79015" w14:textId="77777777" w:rsidR="00502238" w:rsidRPr="00FD12D3" w:rsidRDefault="00502238" w:rsidP="00502238">
      <w:pPr>
        <w:pStyle w:val="BodyText"/>
      </w:pPr>
      <w:r w:rsidRPr="00FD12D3">
        <w:t>Tier 1 methodological approaches with default emission factors were used for estimating emissions from all Tokelau source categories.</w:t>
      </w:r>
    </w:p>
    <w:p w14:paraId="7E8F620C" w14:textId="77777777" w:rsidR="00502238" w:rsidRPr="00FD12D3" w:rsidRDefault="00502238" w:rsidP="00502238">
      <w:pPr>
        <w:pStyle w:val="Heading2"/>
      </w:pPr>
      <w:bookmarkStart w:id="65" w:name="_Toc226460741"/>
      <w:bookmarkStart w:id="66" w:name="brief-description-of-key-categories"/>
      <w:bookmarkEnd w:id="58"/>
      <w:bookmarkEnd w:id="64"/>
      <w:r w:rsidRPr="00FD12D3">
        <w:t xml:space="preserve">1.4 </w:t>
      </w:r>
      <w:r w:rsidRPr="00FD12D3">
        <w:tab/>
        <w:t>Brief description of key categories</w:t>
      </w:r>
      <w:bookmarkEnd w:id="65"/>
    </w:p>
    <w:p w14:paraId="5DB16044" w14:textId="77777777" w:rsidR="00502238" w:rsidRPr="00FD12D3" w:rsidRDefault="00502238" w:rsidP="00502238">
      <w:pPr>
        <w:pStyle w:val="BodyText"/>
      </w:pPr>
      <w:r w:rsidRPr="00FD12D3">
        <w:t>A key category as one that is prioritised within the national inventory system because its estimate has a significant influence on a country’s total inventory of direct GHGs in terms of the absolute level of emissions, the trend in emissions, or both (IPCC, 2006b).</w:t>
      </w:r>
    </w:p>
    <w:p w14:paraId="78C6FEEB" w14:textId="77777777" w:rsidR="00502238" w:rsidRPr="00FD12D3" w:rsidRDefault="00502238" w:rsidP="00502238">
      <w:pPr>
        <w:pStyle w:val="BodyText"/>
      </w:pPr>
      <w:r w:rsidRPr="00FD12D3">
        <w:t>Key categories identified within the Inventory are used to prioritise improvements.</w:t>
      </w:r>
    </w:p>
    <w:p w14:paraId="052E84FF" w14:textId="77777777" w:rsidR="00502238" w:rsidRPr="00FD12D3" w:rsidRDefault="00502238" w:rsidP="00502238">
      <w:pPr>
        <w:pStyle w:val="BodyText"/>
      </w:pPr>
      <w:r w:rsidRPr="00FD12D3">
        <w:t>The key categories in the Inventory have been assessed using Approach 1 level (L1) and Approach 1 trend (T1) methodologies from the IPCC (2006b). This is because some categories in the Inventory apply default uncertainty values for emissions estimates, and developing country-specific uncertainty values is resource prohibitive.</w:t>
      </w:r>
    </w:p>
    <w:p w14:paraId="64B0D56B" w14:textId="77777777" w:rsidR="00502238" w:rsidRPr="00FD12D3" w:rsidRDefault="00502238" w:rsidP="00502238">
      <w:pPr>
        <w:pStyle w:val="BodyText"/>
      </w:pPr>
      <w:r w:rsidRPr="00FD12D3">
        <w:t>The key category analysis identifies the main sources and sinks of emissions by selecting those that make up 95 percent of total emissions (gross or net) in 1990 and the latest reporting year, as well as those that account for 95 percent of the change in emissions between 1990 and the latest reporting year. New Zealand does not currently use qualitative assessment to identify any key categories.</w:t>
      </w:r>
    </w:p>
    <w:p w14:paraId="6EF85F35" w14:textId="77777777" w:rsidR="00502238" w:rsidRPr="00FD12D3" w:rsidRDefault="00502238" w:rsidP="00502238">
      <w:pPr>
        <w:pStyle w:val="BodyText"/>
      </w:pPr>
      <w:r w:rsidRPr="00FD12D3">
        <w:t>In accordance with the IPCC Guidelines (2006b), the key category analysis is performed on inventory sources excluding the LULUCF sector and then repeated for inventory sources and sinks including the LULUCF sector. Non-LULUCF categories that are identified as key in the first analysis are still included when they are not identified as a key category in the analysis that includes the LULUCF sector.</w:t>
      </w:r>
    </w:p>
    <w:p w14:paraId="49695F54" w14:textId="77777777" w:rsidR="00502238" w:rsidRPr="00FD12D3" w:rsidRDefault="00502238" w:rsidP="00502238">
      <w:pPr>
        <w:pStyle w:val="BodyText"/>
      </w:pPr>
      <w:r w:rsidRPr="00FD12D3">
        <w:rPr>
          <w:spacing w:val="-2"/>
        </w:rPr>
        <w:t>The GHG Inventory Reporting Tool also provides a key category analysis. The analyses performed</w:t>
      </w:r>
      <w:r w:rsidRPr="00FD12D3">
        <w:t xml:space="preserve"> for the Inventory differ from the analysis produced in the GHG Inventory Reporting Tool, to better reflect New Zealand’s emissions profile. Specifically, a large proportion of emissions from the Energy and Agriculture sectors is further disaggregated to allow for a more evenly proportioned analysis.</w:t>
      </w:r>
    </w:p>
    <w:p w14:paraId="6A7AE2B8" w14:textId="77777777" w:rsidR="00502238" w:rsidRPr="00FD12D3" w:rsidRDefault="00502238" w:rsidP="00502238">
      <w:pPr>
        <w:pStyle w:val="BodyText"/>
      </w:pPr>
      <w:r w:rsidRPr="00FD12D3">
        <w:t>The major contributions to the level analysis of net emissions for 2024 are presented in table 1.4.1.</w:t>
      </w:r>
    </w:p>
    <w:p w14:paraId="07589872" w14:textId="77777777" w:rsidR="00502238" w:rsidRPr="00FD12D3" w:rsidRDefault="00502238" w:rsidP="00502238">
      <w:pPr>
        <w:pStyle w:val="Table"/>
      </w:pPr>
      <w:bookmarkStart w:id="67" w:name="_Toc226668942"/>
      <w:r w:rsidRPr="00FD12D3">
        <w:t xml:space="preserve">Table 1.4.1 </w:t>
      </w:r>
      <w:r w:rsidRPr="00FD12D3">
        <w:tab/>
        <w:t xml:space="preserve">Major contributions to the level analysis of net emissions for </w:t>
      </w:r>
      <w:r w:rsidRPr="00FD12D3">
        <w:rPr>
          <w:bCs/>
        </w:rPr>
        <w:t>2024</w:t>
      </w:r>
      <w:bookmarkEnd w:id="6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11"/>
        <w:gridCol w:w="425"/>
        <w:gridCol w:w="3958"/>
      </w:tblGrid>
      <w:tr w:rsidR="00502238" w:rsidRPr="00FD12D3" w14:paraId="7617CED6" w14:textId="77777777" w:rsidTr="00F16E23">
        <w:trPr>
          <w:tblHeader/>
        </w:trPr>
        <w:tc>
          <w:tcPr>
            <w:tcW w:w="4111" w:type="dxa"/>
            <w:shd w:val="clear" w:color="auto" w:fill="1B556B"/>
            <w:tcMar>
              <w:top w:w="0" w:type="dxa"/>
              <w:left w:w="85" w:type="dxa"/>
              <w:bottom w:w="0" w:type="dxa"/>
              <w:right w:w="85" w:type="dxa"/>
            </w:tcMar>
            <w:vAlign w:val="center"/>
          </w:tcPr>
          <w:p w14:paraId="6CDCFA98"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IPCC category</w:t>
            </w:r>
          </w:p>
        </w:tc>
        <w:tc>
          <w:tcPr>
            <w:tcW w:w="425" w:type="dxa"/>
            <w:shd w:val="clear" w:color="auto" w:fill="1B556B"/>
            <w:tcMar>
              <w:top w:w="0" w:type="dxa"/>
              <w:left w:w="85" w:type="dxa"/>
              <w:bottom w:w="0" w:type="dxa"/>
              <w:right w:w="85" w:type="dxa"/>
            </w:tcMar>
            <w:vAlign w:val="center"/>
          </w:tcPr>
          <w:p w14:paraId="7486875C"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Gas</w:t>
            </w:r>
          </w:p>
        </w:tc>
        <w:tc>
          <w:tcPr>
            <w:tcW w:w="3958" w:type="dxa"/>
            <w:shd w:val="clear" w:color="auto" w:fill="1B556B"/>
            <w:tcMar>
              <w:top w:w="0" w:type="dxa"/>
              <w:left w:w="85" w:type="dxa"/>
              <w:bottom w:w="0" w:type="dxa"/>
              <w:right w:w="85" w:type="dxa"/>
            </w:tcMar>
            <w:vAlign w:val="center"/>
          </w:tcPr>
          <w:p w14:paraId="6803D539" w14:textId="77777777" w:rsidR="00502238" w:rsidRPr="00FD12D3" w:rsidRDefault="00502238" w:rsidP="00F16E23">
            <w:pPr>
              <w:pStyle w:val="TableTextBold"/>
              <w:spacing w:before="40" w:after="40"/>
              <w:jc w:val="right"/>
              <w:rPr>
                <w:color w:val="FFFFFF" w:themeColor="background1"/>
              </w:rPr>
            </w:pPr>
            <w:r w:rsidRPr="00FD12D3">
              <w:rPr>
                <w:rFonts w:eastAsia="Calibri"/>
                <w:color w:val="FFFFFF" w:themeColor="background1"/>
              </w:rPr>
              <w:t>Level assessment (%)</w:t>
            </w:r>
          </w:p>
        </w:tc>
      </w:tr>
      <w:tr w:rsidR="00502238" w:rsidRPr="00FD12D3" w14:paraId="442D0F88" w14:textId="77777777" w:rsidTr="00F16E23">
        <w:tc>
          <w:tcPr>
            <w:tcW w:w="4111" w:type="dxa"/>
            <w:shd w:val="clear" w:color="auto" w:fill="FFFFFF" w:themeFill="background1"/>
            <w:tcMar>
              <w:top w:w="0" w:type="dxa"/>
              <w:left w:w="85" w:type="dxa"/>
              <w:bottom w:w="0" w:type="dxa"/>
              <w:right w:w="85" w:type="dxa"/>
            </w:tcMar>
            <w:vAlign w:val="center"/>
          </w:tcPr>
          <w:p w14:paraId="0A66CD80" w14:textId="77777777" w:rsidR="00502238" w:rsidRPr="00FD12D3" w:rsidRDefault="00502238" w:rsidP="00F16E23">
            <w:pPr>
              <w:pStyle w:val="TableText"/>
              <w:spacing w:before="40" w:after="40"/>
            </w:pPr>
            <w:r w:rsidRPr="00FD12D3">
              <w:rPr>
                <w:rFonts w:eastAsia="Calibri"/>
              </w:rPr>
              <w:t>Option A – Dairy cattle</w:t>
            </w:r>
          </w:p>
        </w:tc>
        <w:tc>
          <w:tcPr>
            <w:tcW w:w="425" w:type="dxa"/>
            <w:shd w:val="clear" w:color="auto" w:fill="FFFFFF" w:themeFill="background1"/>
            <w:tcMar>
              <w:top w:w="0" w:type="dxa"/>
              <w:left w:w="85" w:type="dxa"/>
              <w:bottom w:w="0" w:type="dxa"/>
              <w:right w:w="85" w:type="dxa"/>
            </w:tcMar>
            <w:vAlign w:val="center"/>
          </w:tcPr>
          <w:p w14:paraId="24E64E64"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3958" w:type="dxa"/>
            <w:shd w:val="clear" w:color="auto" w:fill="FFFFFF" w:themeFill="background1"/>
            <w:tcMar>
              <w:top w:w="0" w:type="dxa"/>
              <w:left w:w="85" w:type="dxa"/>
              <w:bottom w:w="0" w:type="dxa"/>
              <w:right w:w="85" w:type="dxa"/>
            </w:tcMar>
            <w:vAlign w:val="center"/>
          </w:tcPr>
          <w:p w14:paraId="325A1038" w14:textId="77777777" w:rsidR="00502238" w:rsidRPr="00FD12D3" w:rsidRDefault="00502238" w:rsidP="00F16E23">
            <w:pPr>
              <w:pStyle w:val="TableText"/>
              <w:spacing w:before="40" w:after="40"/>
              <w:jc w:val="right"/>
            </w:pPr>
            <w:r w:rsidRPr="00FD12D3">
              <w:rPr>
                <w:rFonts w:eastAsia="Calibri"/>
              </w:rPr>
              <w:t>15.3</w:t>
            </w:r>
          </w:p>
        </w:tc>
      </w:tr>
      <w:tr w:rsidR="00502238" w:rsidRPr="00FD12D3" w14:paraId="2680F0B6" w14:textId="77777777" w:rsidTr="00F16E23">
        <w:tc>
          <w:tcPr>
            <w:tcW w:w="4111" w:type="dxa"/>
            <w:shd w:val="clear" w:color="auto" w:fill="FFFFFF" w:themeFill="background1"/>
            <w:tcMar>
              <w:top w:w="0" w:type="dxa"/>
              <w:left w:w="85" w:type="dxa"/>
              <w:bottom w:w="0" w:type="dxa"/>
              <w:right w:w="85" w:type="dxa"/>
            </w:tcMar>
            <w:vAlign w:val="center"/>
          </w:tcPr>
          <w:p w14:paraId="0FB9B06C" w14:textId="77777777" w:rsidR="00502238" w:rsidRPr="00FD12D3" w:rsidRDefault="00502238" w:rsidP="00F16E23">
            <w:pPr>
              <w:pStyle w:val="TableText"/>
              <w:spacing w:before="40" w:after="40"/>
            </w:pPr>
            <w:r w:rsidRPr="00FD12D3">
              <w:rPr>
                <w:rFonts w:eastAsia="Calibri"/>
              </w:rPr>
              <w:t>Carbon stock change – Forest land remaining forest land</w:t>
            </w:r>
          </w:p>
        </w:tc>
        <w:tc>
          <w:tcPr>
            <w:tcW w:w="425" w:type="dxa"/>
            <w:shd w:val="clear" w:color="auto" w:fill="FFFFFF" w:themeFill="background1"/>
            <w:tcMar>
              <w:top w:w="0" w:type="dxa"/>
              <w:left w:w="85" w:type="dxa"/>
              <w:bottom w:w="0" w:type="dxa"/>
              <w:right w:w="85" w:type="dxa"/>
            </w:tcMar>
            <w:vAlign w:val="center"/>
          </w:tcPr>
          <w:p w14:paraId="61B1D4CE" w14:textId="77777777" w:rsidR="00502238" w:rsidRPr="00FD12D3" w:rsidRDefault="00502238" w:rsidP="00F16E23">
            <w:pPr>
              <w:pStyle w:val="TableText"/>
              <w:spacing w:before="40" w:after="40"/>
            </w:pPr>
            <w:r w:rsidRPr="00FD12D3">
              <w:rPr>
                <w:rFonts w:eastAsia="Calibri"/>
                <w:color w:val="000000" w:themeColor="text1"/>
              </w:rPr>
              <w:t>CO</w:t>
            </w:r>
            <w:r w:rsidRPr="00FD12D3">
              <w:rPr>
                <w:rFonts w:eastAsia="Calibri"/>
                <w:color w:val="000000" w:themeColor="text1"/>
                <w:vertAlign w:val="subscript"/>
              </w:rPr>
              <w:t>2</w:t>
            </w:r>
          </w:p>
        </w:tc>
        <w:tc>
          <w:tcPr>
            <w:tcW w:w="3958" w:type="dxa"/>
            <w:shd w:val="clear" w:color="auto" w:fill="FFFFFF" w:themeFill="background1"/>
            <w:tcMar>
              <w:top w:w="0" w:type="dxa"/>
              <w:left w:w="85" w:type="dxa"/>
              <w:bottom w:w="0" w:type="dxa"/>
              <w:right w:w="85" w:type="dxa"/>
            </w:tcMar>
            <w:vAlign w:val="center"/>
          </w:tcPr>
          <w:p w14:paraId="7E3DDE2A" w14:textId="77777777" w:rsidR="00502238" w:rsidRPr="00FD12D3" w:rsidRDefault="00502238" w:rsidP="00F16E23">
            <w:pPr>
              <w:pStyle w:val="TableText"/>
              <w:spacing w:before="40" w:after="40"/>
              <w:jc w:val="right"/>
            </w:pPr>
            <w:r w:rsidRPr="00FD12D3">
              <w:rPr>
                <w:rFonts w:eastAsia="Calibri"/>
              </w:rPr>
              <w:t>14.3</w:t>
            </w:r>
          </w:p>
        </w:tc>
      </w:tr>
      <w:tr w:rsidR="00502238" w:rsidRPr="00FD12D3" w14:paraId="2B83D08C" w14:textId="77777777" w:rsidTr="00F16E23">
        <w:tc>
          <w:tcPr>
            <w:tcW w:w="4111" w:type="dxa"/>
            <w:shd w:val="clear" w:color="auto" w:fill="FFFFFF" w:themeFill="background1"/>
            <w:tcMar>
              <w:top w:w="0" w:type="dxa"/>
              <w:left w:w="85" w:type="dxa"/>
              <w:bottom w:w="0" w:type="dxa"/>
              <w:right w:w="85" w:type="dxa"/>
            </w:tcMar>
            <w:vAlign w:val="center"/>
          </w:tcPr>
          <w:p w14:paraId="3B9F4EE8" w14:textId="77777777" w:rsidR="00502238" w:rsidRPr="00FD12D3" w:rsidRDefault="00502238" w:rsidP="00F16E23">
            <w:pPr>
              <w:pStyle w:val="TableText"/>
              <w:spacing w:before="40" w:after="40"/>
            </w:pPr>
            <w:r w:rsidRPr="00FD12D3">
              <w:rPr>
                <w:rFonts w:eastAsia="Calibri"/>
              </w:rPr>
              <w:t>Transport – Road transportation</w:t>
            </w:r>
          </w:p>
        </w:tc>
        <w:tc>
          <w:tcPr>
            <w:tcW w:w="425" w:type="dxa"/>
            <w:shd w:val="clear" w:color="auto" w:fill="FFFFFF" w:themeFill="background1"/>
            <w:tcMar>
              <w:top w:w="0" w:type="dxa"/>
              <w:left w:w="85" w:type="dxa"/>
              <w:bottom w:w="0" w:type="dxa"/>
              <w:right w:w="85" w:type="dxa"/>
            </w:tcMar>
            <w:vAlign w:val="center"/>
          </w:tcPr>
          <w:p w14:paraId="69A2FD7C" w14:textId="77777777" w:rsidR="00502238" w:rsidRPr="00FD12D3" w:rsidRDefault="00502238" w:rsidP="00F16E23">
            <w:pPr>
              <w:pStyle w:val="TableText"/>
              <w:spacing w:before="40" w:after="40"/>
            </w:pPr>
            <w:r w:rsidRPr="00FD12D3">
              <w:rPr>
                <w:rFonts w:eastAsia="Calibri"/>
                <w:color w:val="000000" w:themeColor="text1"/>
              </w:rPr>
              <w:t>CO</w:t>
            </w:r>
            <w:r w:rsidRPr="00FD12D3">
              <w:rPr>
                <w:rFonts w:eastAsia="Calibri"/>
                <w:color w:val="000000" w:themeColor="text1"/>
                <w:vertAlign w:val="subscript"/>
              </w:rPr>
              <w:t>2</w:t>
            </w:r>
          </w:p>
        </w:tc>
        <w:tc>
          <w:tcPr>
            <w:tcW w:w="3958" w:type="dxa"/>
            <w:shd w:val="clear" w:color="auto" w:fill="FFFFFF" w:themeFill="background1"/>
            <w:tcMar>
              <w:top w:w="0" w:type="dxa"/>
              <w:left w:w="85" w:type="dxa"/>
              <w:bottom w:w="0" w:type="dxa"/>
              <w:right w:w="85" w:type="dxa"/>
            </w:tcMar>
            <w:vAlign w:val="center"/>
          </w:tcPr>
          <w:p w14:paraId="2CE36AC5" w14:textId="77777777" w:rsidR="00502238" w:rsidRPr="00FD12D3" w:rsidRDefault="00502238" w:rsidP="00F16E23">
            <w:pPr>
              <w:pStyle w:val="TableText"/>
              <w:spacing w:before="40" w:after="40"/>
              <w:jc w:val="right"/>
            </w:pPr>
            <w:r w:rsidRPr="00FD12D3">
              <w:rPr>
                <w:rFonts w:eastAsia="Calibri"/>
              </w:rPr>
              <w:t>12.1</w:t>
            </w:r>
          </w:p>
        </w:tc>
      </w:tr>
      <w:tr w:rsidR="00502238" w:rsidRPr="00FD12D3" w14:paraId="0452E296" w14:textId="77777777" w:rsidTr="00F16E23">
        <w:tc>
          <w:tcPr>
            <w:tcW w:w="4111" w:type="dxa"/>
            <w:shd w:val="clear" w:color="auto" w:fill="FFFFFF" w:themeFill="background1"/>
            <w:tcMar>
              <w:top w:w="0" w:type="dxa"/>
              <w:left w:w="85" w:type="dxa"/>
              <w:bottom w:w="0" w:type="dxa"/>
              <w:right w:w="85" w:type="dxa"/>
            </w:tcMar>
            <w:vAlign w:val="center"/>
          </w:tcPr>
          <w:p w14:paraId="7AE4618C" w14:textId="77777777" w:rsidR="00502238" w:rsidRPr="00FD12D3" w:rsidRDefault="00502238" w:rsidP="00F16E23">
            <w:pPr>
              <w:pStyle w:val="TableText"/>
              <w:spacing w:before="40" w:after="40"/>
            </w:pPr>
            <w:r w:rsidRPr="00FD12D3">
              <w:rPr>
                <w:rFonts w:eastAsia="Calibri"/>
              </w:rPr>
              <w:t>Enteric fermentation – Sheep</w:t>
            </w:r>
          </w:p>
        </w:tc>
        <w:tc>
          <w:tcPr>
            <w:tcW w:w="425" w:type="dxa"/>
            <w:shd w:val="clear" w:color="auto" w:fill="FFFFFF" w:themeFill="background1"/>
            <w:tcMar>
              <w:top w:w="0" w:type="dxa"/>
              <w:left w:w="85" w:type="dxa"/>
              <w:bottom w:w="0" w:type="dxa"/>
              <w:right w:w="85" w:type="dxa"/>
            </w:tcMar>
            <w:vAlign w:val="center"/>
          </w:tcPr>
          <w:p w14:paraId="267F3E22"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3958" w:type="dxa"/>
            <w:shd w:val="clear" w:color="auto" w:fill="FFFFFF" w:themeFill="background1"/>
            <w:tcMar>
              <w:top w:w="0" w:type="dxa"/>
              <w:left w:w="85" w:type="dxa"/>
              <w:bottom w:w="0" w:type="dxa"/>
              <w:right w:w="85" w:type="dxa"/>
            </w:tcMar>
            <w:vAlign w:val="center"/>
          </w:tcPr>
          <w:p w14:paraId="7A7F6501" w14:textId="77777777" w:rsidR="00502238" w:rsidRPr="00FD12D3" w:rsidRDefault="00502238" w:rsidP="00F16E23">
            <w:pPr>
              <w:pStyle w:val="TableText"/>
              <w:spacing w:before="40" w:after="40"/>
              <w:jc w:val="right"/>
            </w:pPr>
            <w:r w:rsidRPr="00FD12D3">
              <w:rPr>
                <w:rFonts w:eastAsia="Calibri"/>
              </w:rPr>
              <w:t>8.0</w:t>
            </w:r>
          </w:p>
        </w:tc>
      </w:tr>
    </w:tbl>
    <w:p w14:paraId="7ACB347C" w14:textId="77777777" w:rsidR="00502238" w:rsidRPr="00FD12D3" w:rsidRDefault="00502238" w:rsidP="00502238">
      <w:pPr>
        <w:pStyle w:val="BodyText"/>
        <w:spacing w:before="240"/>
      </w:pPr>
      <w:r w:rsidRPr="00FD12D3">
        <w:t>The key categories that were identified as having the largest relative influence on the trend, when compared with the average change in net emissions from 1990 to 2024, are presented in table 1.4.2.</w:t>
      </w:r>
    </w:p>
    <w:p w14:paraId="60A96863" w14:textId="77777777" w:rsidR="00502238" w:rsidRPr="00FD12D3" w:rsidRDefault="00502238" w:rsidP="00502238">
      <w:pPr>
        <w:pStyle w:val="Table"/>
      </w:pPr>
      <w:bookmarkStart w:id="68" w:name="_Toc226668943"/>
      <w:r w:rsidRPr="00FD12D3">
        <w:t xml:space="preserve">Table 1.4.2 </w:t>
      </w:r>
      <w:r w:rsidRPr="00FD12D3">
        <w:tab/>
        <w:t xml:space="preserve">Key categories with the largest relative influence on the trend, compared with the average change in net emissions from </w:t>
      </w:r>
      <w:r w:rsidRPr="00FD12D3">
        <w:rPr>
          <w:bCs/>
        </w:rPr>
        <w:t>1990</w:t>
      </w:r>
      <w:r w:rsidRPr="00FD12D3">
        <w:t xml:space="preserve"> to </w:t>
      </w:r>
      <w:r w:rsidRPr="00FD12D3">
        <w:rPr>
          <w:bCs/>
        </w:rPr>
        <w:t>2024</w:t>
      </w:r>
      <w:bookmarkEnd w:id="6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21"/>
        <w:gridCol w:w="446"/>
        <w:gridCol w:w="2646"/>
        <w:gridCol w:w="1281"/>
      </w:tblGrid>
      <w:tr w:rsidR="00502238" w:rsidRPr="00FD12D3" w14:paraId="642D160B" w14:textId="77777777" w:rsidTr="00F16E23">
        <w:trPr>
          <w:tblHeader/>
        </w:trPr>
        <w:tc>
          <w:tcPr>
            <w:tcW w:w="0" w:type="auto"/>
            <w:shd w:val="clear" w:color="auto" w:fill="1C556C" w:themeFill="accent1"/>
            <w:tcMar>
              <w:top w:w="0" w:type="dxa"/>
              <w:left w:w="85" w:type="dxa"/>
              <w:bottom w:w="0" w:type="dxa"/>
              <w:right w:w="85" w:type="dxa"/>
            </w:tcMar>
            <w:vAlign w:val="center"/>
          </w:tcPr>
          <w:p w14:paraId="5E169B2B"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IPCC category</w:t>
            </w:r>
          </w:p>
        </w:tc>
        <w:tc>
          <w:tcPr>
            <w:tcW w:w="0" w:type="auto"/>
            <w:shd w:val="clear" w:color="auto" w:fill="1C556C" w:themeFill="accent1"/>
            <w:tcMar>
              <w:top w:w="0" w:type="dxa"/>
              <w:left w:w="85" w:type="dxa"/>
              <w:bottom w:w="0" w:type="dxa"/>
              <w:right w:w="85" w:type="dxa"/>
            </w:tcMar>
            <w:vAlign w:val="center"/>
          </w:tcPr>
          <w:p w14:paraId="244BAE78"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Gas</w:t>
            </w:r>
          </w:p>
        </w:tc>
        <w:tc>
          <w:tcPr>
            <w:tcW w:w="0" w:type="auto"/>
            <w:shd w:val="clear" w:color="auto" w:fill="1C556C" w:themeFill="accent1"/>
            <w:tcMar>
              <w:top w:w="0" w:type="dxa"/>
              <w:left w:w="85" w:type="dxa"/>
              <w:bottom w:w="0" w:type="dxa"/>
              <w:right w:w="85" w:type="dxa"/>
            </w:tcMar>
            <w:vAlign w:val="center"/>
          </w:tcPr>
          <w:p w14:paraId="0670F003" w14:textId="77777777" w:rsidR="00502238" w:rsidRPr="00FD12D3" w:rsidRDefault="00502238" w:rsidP="00F16E23">
            <w:pPr>
              <w:pStyle w:val="TableTextBold"/>
              <w:spacing w:before="40" w:after="40"/>
              <w:jc w:val="right"/>
              <w:rPr>
                <w:color w:val="FFFFFF" w:themeColor="background1"/>
              </w:rPr>
            </w:pPr>
            <w:r w:rsidRPr="00FD12D3">
              <w:rPr>
                <w:rFonts w:eastAsia="Calibri"/>
                <w:color w:val="FFFFFF" w:themeColor="background1"/>
              </w:rPr>
              <w:t>Absolute contribution to trend (%)</w:t>
            </w:r>
          </w:p>
        </w:tc>
        <w:tc>
          <w:tcPr>
            <w:tcW w:w="0" w:type="auto"/>
            <w:shd w:val="clear" w:color="auto" w:fill="1C556C" w:themeFill="accent1"/>
            <w:tcMar>
              <w:top w:w="0" w:type="dxa"/>
              <w:left w:w="85" w:type="dxa"/>
              <w:bottom w:w="0" w:type="dxa"/>
              <w:right w:w="85" w:type="dxa"/>
            </w:tcMar>
            <w:vAlign w:val="center"/>
          </w:tcPr>
          <w:p w14:paraId="35B46255" w14:textId="77777777" w:rsidR="00502238" w:rsidRPr="00FD12D3" w:rsidRDefault="00502238" w:rsidP="00F16E23">
            <w:pPr>
              <w:pStyle w:val="TableTextBold"/>
              <w:spacing w:before="40" w:after="40"/>
              <w:jc w:val="right"/>
              <w:rPr>
                <w:color w:val="FFFFFF" w:themeColor="background1"/>
              </w:rPr>
            </w:pPr>
            <w:r w:rsidRPr="00FD12D3">
              <w:rPr>
                <w:rFonts w:eastAsia="Calibri"/>
                <w:color w:val="FFFFFF" w:themeColor="background1"/>
              </w:rPr>
              <w:t>Trend direction</w:t>
            </w:r>
          </w:p>
        </w:tc>
      </w:tr>
      <w:tr w:rsidR="00502238" w:rsidRPr="00FD12D3" w14:paraId="71D424A7" w14:textId="77777777" w:rsidTr="00F16E23">
        <w:tc>
          <w:tcPr>
            <w:tcW w:w="0" w:type="auto"/>
            <w:shd w:val="clear" w:color="auto" w:fill="FFFFFF" w:themeFill="background1"/>
            <w:tcMar>
              <w:top w:w="0" w:type="dxa"/>
              <w:left w:w="85" w:type="dxa"/>
              <w:bottom w:w="0" w:type="dxa"/>
              <w:right w:w="85" w:type="dxa"/>
            </w:tcMar>
            <w:vAlign w:val="center"/>
          </w:tcPr>
          <w:p w14:paraId="30B3828F" w14:textId="77777777" w:rsidR="00502238" w:rsidRPr="00FD12D3" w:rsidRDefault="00502238" w:rsidP="00F16E23">
            <w:pPr>
              <w:pStyle w:val="TableText"/>
              <w:spacing w:before="40" w:after="40"/>
            </w:pPr>
            <w:r w:rsidRPr="00FD12D3">
              <w:rPr>
                <w:rFonts w:eastAsia="Calibri"/>
              </w:rPr>
              <w:t>Enteric fermentation – Sheep</w:t>
            </w:r>
          </w:p>
        </w:tc>
        <w:tc>
          <w:tcPr>
            <w:tcW w:w="0" w:type="auto"/>
            <w:shd w:val="clear" w:color="auto" w:fill="FFFFFF" w:themeFill="background1"/>
            <w:tcMar>
              <w:top w:w="0" w:type="dxa"/>
              <w:left w:w="85" w:type="dxa"/>
              <w:bottom w:w="0" w:type="dxa"/>
              <w:right w:w="85" w:type="dxa"/>
            </w:tcMar>
            <w:vAlign w:val="center"/>
          </w:tcPr>
          <w:p w14:paraId="71A46444"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0" w:type="auto"/>
            <w:shd w:val="clear" w:color="auto" w:fill="FFFFFF" w:themeFill="background1"/>
            <w:tcMar>
              <w:top w:w="0" w:type="dxa"/>
              <w:left w:w="85" w:type="dxa"/>
              <w:bottom w:w="0" w:type="dxa"/>
              <w:right w:w="85" w:type="dxa"/>
            </w:tcMar>
            <w:vAlign w:val="center"/>
          </w:tcPr>
          <w:p w14:paraId="4AA76702" w14:textId="77777777" w:rsidR="00502238" w:rsidRPr="00FD12D3" w:rsidRDefault="00502238" w:rsidP="00F16E23">
            <w:pPr>
              <w:pStyle w:val="TableText"/>
              <w:spacing w:before="40" w:after="40"/>
              <w:jc w:val="right"/>
            </w:pPr>
            <w:r w:rsidRPr="4490CCA6">
              <w:rPr>
                <w:rFonts w:eastAsia="Calibri"/>
              </w:rPr>
              <w:t>16.4</w:t>
            </w:r>
          </w:p>
        </w:tc>
        <w:tc>
          <w:tcPr>
            <w:tcW w:w="0" w:type="auto"/>
            <w:shd w:val="clear" w:color="auto" w:fill="FFFFFF" w:themeFill="background1"/>
            <w:tcMar>
              <w:top w:w="0" w:type="dxa"/>
              <w:left w:w="85" w:type="dxa"/>
              <w:bottom w:w="0" w:type="dxa"/>
              <w:right w:w="85" w:type="dxa"/>
            </w:tcMar>
            <w:vAlign w:val="center"/>
          </w:tcPr>
          <w:p w14:paraId="13279D8F" w14:textId="77777777" w:rsidR="00502238" w:rsidRPr="00FD12D3" w:rsidRDefault="00502238" w:rsidP="00F16E23">
            <w:pPr>
              <w:pStyle w:val="TableText"/>
              <w:spacing w:before="40" w:after="40"/>
              <w:jc w:val="right"/>
            </w:pPr>
            <w:r w:rsidRPr="00FD12D3">
              <w:rPr>
                <w:rFonts w:eastAsia="Calibri"/>
              </w:rPr>
              <w:t>decrease</w:t>
            </w:r>
          </w:p>
        </w:tc>
      </w:tr>
      <w:tr w:rsidR="00502238" w:rsidRPr="00FD12D3" w14:paraId="3BD8C215" w14:textId="77777777" w:rsidTr="00F16E23">
        <w:tc>
          <w:tcPr>
            <w:tcW w:w="0" w:type="auto"/>
            <w:shd w:val="clear" w:color="auto" w:fill="FFFFFF" w:themeFill="background1"/>
            <w:tcMar>
              <w:top w:w="0" w:type="dxa"/>
              <w:left w:w="85" w:type="dxa"/>
              <w:bottom w:w="0" w:type="dxa"/>
              <w:right w:w="85" w:type="dxa"/>
            </w:tcMar>
            <w:vAlign w:val="center"/>
          </w:tcPr>
          <w:p w14:paraId="728F133A" w14:textId="77777777" w:rsidR="00502238" w:rsidRPr="00FD12D3" w:rsidRDefault="00502238" w:rsidP="00F16E23">
            <w:pPr>
              <w:pStyle w:val="TableText"/>
              <w:spacing w:before="40" w:after="40"/>
            </w:pPr>
            <w:r w:rsidRPr="00FD12D3">
              <w:rPr>
                <w:rFonts w:eastAsia="Calibri"/>
              </w:rPr>
              <w:t>Carbon stock change – Forest land remaining forest land</w:t>
            </w:r>
          </w:p>
        </w:tc>
        <w:tc>
          <w:tcPr>
            <w:tcW w:w="0" w:type="auto"/>
            <w:shd w:val="clear" w:color="auto" w:fill="FFFFFF" w:themeFill="background1"/>
            <w:tcMar>
              <w:top w:w="0" w:type="dxa"/>
              <w:left w:w="85" w:type="dxa"/>
              <w:bottom w:w="0" w:type="dxa"/>
              <w:right w:w="85" w:type="dxa"/>
            </w:tcMar>
            <w:vAlign w:val="center"/>
          </w:tcPr>
          <w:p w14:paraId="75E17BF2" w14:textId="77777777" w:rsidR="00502238" w:rsidRPr="00FD12D3" w:rsidRDefault="00502238" w:rsidP="00F16E23">
            <w:pPr>
              <w:pStyle w:val="TableText"/>
              <w:spacing w:before="40" w:after="40"/>
            </w:pPr>
            <w:r w:rsidRPr="00FD12D3">
              <w:rPr>
                <w:rFonts w:eastAsia="Calibri"/>
                <w:color w:val="000000" w:themeColor="text1"/>
              </w:rPr>
              <w:t>CO</w:t>
            </w:r>
            <w:r w:rsidRPr="00FD12D3">
              <w:rPr>
                <w:rFonts w:eastAsia="Calibri"/>
                <w:color w:val="000000" w:themeColor="text1"/>
                <w:vertAlign w:val="subscript"/>
              </w:rPr>
              <w:t>2</w:t>
            </w:r>
          </w:p>
        </w:tc>
        <w:tc>
          <w:tcPr>
            <w:tcW w:w="0" w:type="auto"/>
            <w:shd w:val="clear" w:color="auto" w:fill="FFFFFF" w:themeFill="background1"/>
            <w:tcMar>
              <w:top w:w="0" w:type="dxa"/>
              <w:left w:w="85" w:type="dxa"/>
              <w:bottom w:w="0" w:type="dxa"/>
              <w:right w:w="85" w:type="dxa"/>
            </w:tcMar>
            <w:vAlign w:val="center"/>
          </w:tcPr>
          <w:p w14:paraId="665CF80F" w14:textId="77777777" w:rsidR="00502238" w:rsidRPr="00FD12D3" w:rsidRDefault="00502238" w:rsidP="00F16E23">
            <w:pPr>
              <w:pStyle w:val="TableText"/>
              <w:spacing w:before="40" w:after="40"/>
              <w:jc w:val="right"/>
            </w:pPr>
            <w:r w:rsidRPr="00FD12D3">
              <w:rPr>
                <w:rFonts w:eastAsia="Calibri"/>
              </w:rPr>
              <w:t>15.1</w:t>
            </w:r>
          </w:p>
        </w:tc>
        <w:tc>
          <w:tcPr>
            <w:tcW w:w="0" w:type="auto"/>
            <w:shd w:val="clear" w:color="auto" w:fill="FFFFFF" w:themeFill="background1"/>
            <w:tcMar>
              <w:top w:w="0" w:type="dxa"/>
              <w:left w:w="85" w:type="dxa"/>
              <w:bottom w:w="0" w:type="dxa"/>
              <w:right w:w="85" w:type="dxa"/>
            </w:tcMar>
            <w:vAlign w:val="center"/>
          </w:tcPr>
          <w:p w14:paraId="17A54F1D" w14:textId="77777777" w:rsidR="00502238" w:rsidRPr="00FD12D3" w:rsidRDefault="00502238" w:rsidP="00F16E23">
            <w:pPr>
              <w:pStyle w:val="TableText"/>
              <w:spacing w:before="40" w:after="40"/>
              <w:jc w:val="right"/>
            </w:pPr>
            <w:r w:rsidRPr="00FD12D3">
              <w:rPr>
                <w:rFonts w:eastAsia="Calibri"/>
              </w:rPr>
              <w:t>decrease</w:t>
            </w:r>
          </w:p>
        </w:tc>
      </w:tr>
      <w:tr w:rsidR="00502238" w:rsidRPr="00FD12D3" w14:paraId="20B5B5F3" w14:textId="77777777" w:rsidTr="00F16E23">
        <w:tc>
          <w:tcPr>
            <w:tcW w:w="0" w:type="auto"/>
            <w:shd w:val="clear" w:color="auto" w:fill="FFFFFF" w:themeFill="background1"/>
            <w:tcMar>
              <w:top w:w="0" w:type="dxa"/>
              <w:left w:w="85" w:type="dxa"/>
              <w:bottom w:w="0" w:type="dxa"/>
              <w:right w:w="85" w:type="dxa"/>
            </w:tcMar>
            <w:vAlign w:val="center"/>
          </w:tcPr>
          <w:p w14:paraId="059A8277" w14:textId="77777777" w:rsidR="00502238" w:rsidRPr="00FD12D3" w:rsidRDefault="00502238" w:rsidP="00F16E23">
            <w:pPr>
              <w:pStyle w:val="TableText"/>
              <w:spacing w:before="40" w:after="40"/>
            </w:pPr>
            <w:r w:rsidRPr="00FD12D3">
              <w:rPr>
                <w:rFonts w:eastAsia="Calibri"/>
              </w:rPr>
              <w:t>Carbon stock change – Land converted to forest land</w:t>
            </w:r>
          </w:p>
        </w:tc>
        <w:tc>
          <w:tcPr>
            <w:tcW w:w="0" w:type="auto"/>
            <w:shd w:val="clear" w:color="auto" w:fill="FFFFFF" w:themeFill="background1"/>
            <w:tcMar>
              <w:top w:w="0" w:type="dxa"/>
              <w:left w:w="85" w:type="dxa"/>
              <w:bottom w:w="0" w:type="dxa"/>
              <w:right w:w="85" w:type="dxa"/>
            </w:tcMar>
            <w:vAlign w:val="center"/>
          </w:tcPr>
          <w:p w14:paraId="138BB2C0" w14:textId="77777777" w:rsidR="00502238" w:rsidRPr="00FD12D3" w:rsidRDefault="00502238" w:rsidP="00F16E23">
            <w:pPr>
              <w:pStyle w:val="TableText"/>
              <w:spacing w:before="40" w:after="40"/>
            </w:pPr>
            <w:r w:rsidRPr="00FD12D3">
              <w:rPr>
                <w:rFonts w:eastAsia="Calibri"/>
                <w:color w:val="000000" w:themeColor="text1"/>
              </w:rPr>
              <w:t>CO</w:t>
            </w:r>
            <w:r w:rsidRPr="00FD12D3">
              <w:rPr>
                <w:rFonts w:eastAsia="Calibri"/>
                <w:color w:val="000000" w:themeColor="text1"/>
                <w:vertAlign w:val="subscript"/>
              </w:rPr>
              <w:t>2</w:t>
            </w:r>
          </w:p>
        </w:tc>
        <w:tc>
          <w:tcPr>
            <w:tcW w:w="0" w:type="auto"/>
            <w:shd w:val="clear" w:color="auto" w:fill="FFFFFF" w:themeFill="background1"/>
            <w:tcMar>
              <w:top w:w="0" w:type="dxa"/>
              <w:left w:w="85" w:type="dxa"/>
              <w:bottom w:w="0" w:type="dxa"/>
              <w:right w:w="85" w:type="dxa"/>
            </w:tcMar>
            <w:vAlign w:val="center"/>
          </w:tcPr>
          <w:p w14:paraId="715526F8" w14:textId="77777777" w:rsidR="00502238" w:rsidRPr="00FD12D3" w:rsidRDefault="00502238" w:rsidP="00F16E23">
            <w:pPr>
              <w:pStyle w:val="TableText"/>
              <w:spacing w:before="40" w:after="40"/>
              <w:jc w:val="right"/>
            </w:pPr>
            <w:r w:rsidRPr="4490CCA6">
              <w:rPr>
                <w:rFonts w:eastAsia="Calibri"/>
              </w:rPr>
              <w:t>13.9</w:t>
            </w:r>
          </w:p>
        </w:tc>
        <w:tc>
          <w:tcPr>
            <w:tcW w:w="0" w:type="auto"/>
            <w:shd w:val="clear" w:color="auto" w:fill="FFFFFF" w:themeFill="background1"/>
            <w:tcMar>
              <w:top w:w="0" w:type="dxa"/>
              <w:left w:w="85" w:type="dxa"/>
              <w:bottom w:w="0" w:type="dxa"/>
              <w:right w:w="85" w:type="dxa"/>
            </w:tcMar>
            <w:vAlign w:val="center"/>
          </w:tcPr>
          <w:p w14:paraId="6AC4F346" w14:textId="77777777" w:rsidR="00502238" w:rsidRPr="00FD12D3" w:rsidRDefault="00502238" w:rsidP="00F16E23">
            <w:pPr>
              <w:pStyle w:val="TableText"/>
              <w:spacing w:before="40" w:after="40"/>
              <w:jc w:val="right"/>
            </w:pPr>
            <w:r w:rsidRPr="00FD12D3">
              <w:rPr>
                <w:rFonts w:eastAsia="Calibri"/>
              </w:rPr>
              <w:t>increase</w:t>
            </w:r>
          </w:p>
        </w:tc>
      </w:tr>
      <w:tr w:rsidR="00502238" w:rsidRPr="00FD12D3" w14:paraId="5F086878" w14:textId="77777777" w:rsidTr="00F16E23">
        <w:tc>
          <w:tcPr>
            <w:tcW w:w="0" w:type="auto"/>
            <w:shd w:val="clear" w:color="auto" w:fill="FFFFFF" w:themeFill="background1"/>
            <w:tcMar>
              <w:top w:w="0" w:type="dxa"/>
              <w:left w:w="85" w:type="dxa"/>
              <w:bottom w:w="0" w:type="dxa"/>
              <w:right w:w="85" w:type="dxa"/>
            </w:tcMar>
            <w:vAlign w:val="center"/>
          </w:tcPr>
          <w:p w14:paraId="7611E5F1" w14:textId="77777777" w:rsidR="00502238" w:rsidRPr="00FD12D3" w:rsidRDefault="00502238" w:rsidP="00F16E23">
            <w:pPr>
              <w:pStyle w:val="TableText"/>
              <w:spacing w:before="40" w:after="40"/>
            </w:pPr>
            <w:r w:rsidRPr="00FD12D3">
              <w:rPr>
                <w:rFonts w:eastAsia="Calibri"/>
              </w:rPr>
              <w:t>Option A – Dairy cattle</w:t>
            </w:r>
          </w:p>
        </w:tc>
        <w:tc>
          <w:tcPr>
            <w:tcW w:w="0" w:type="auto"/>
            <w:shd w:val="clear" w:color="auto" w:fill="FFFFFF" w:themeFill="background1"/>
            <w:tcMar>
              <w:top w:w="0" w:type="dxa"/>
              <w:left w:w="85" w:type="dxa"/>
              <w:bottom w:w="0" w:type="dxa"/>
              <w:right w:w="85" w:type="dxa"/>
            </w:tcMar>
            <w:vAlign w:val="center"/>
          </w:tcPr>
          <w:p w14:paraId="27AF575F"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0" w:type="auto"/>
            <w:shd w:val="clear" w:color="auto" w:fill="FFFFFF" w:themeFill="background1"/>
            <w:tcMar>
              <w:top w:w="0" w:type="dxa"/>
              <w:left w:w="85" w:type="dxa"/>
              <w:bottom w:w="0" w:type="dxa"/>
              <w:right w:w="85" w:type="dxa"/>
            </w:tcMar>
            <w:vAlign w:val="center"/>
          </w:tcPr>
          <w:p w14:paraId="0CB7A511" w14:textId="77777777" w:rsidR="00502238" w:rsidRPr="00FD12D3" w:rsidRDefault="00502238" w:rsidP="00F16E23">
            <w:pPr>
              <w:pStyle w:val="TableText"/>
              <w:spacing w:before="40" w:after="40"/>
              <w:jc w:val="right"/>
            </w:pPr>
            <w:r w:rsidRPr="00FD12D3">
              <w:rPr>
                <w:rFonts w:eastAsia="Calibri"/>
              </w:rPr>
              <w:t>10.1</w:t>
            </w:r>
          </w:p>
        </w:tc>
        <w:tc>
          <w:tcPr>
            <w:tcW w:w="0" w:type="auto"/>
            <w:shd w:val="clear" w:color="auto" w:fill="FFFFFF" w:themeFill="background1"/>
            <w:tcMar>
              <w:top w:w="0" w:type="dxa"/>
              <w:left w:w="85" w:type="dxa"/>
              <w:bottom w:w="0" w:type="dxa"/>
              <w:right w:w="85" w:type="dxa"/>
            </w:tcMar>
            <w:vAlign w:val="center"/>
          </w:tcPr>
          <w:p w14:paraId="7C443093" w14:textId="77777777" w:rsidR="00502238" w:rsidRPr="00FD12D3" w:rsidRDefault="00502238" w:rsidP="00F16E23">
            <w:pPr>
              <w:pStyle w:val="TableText"/>
              <w:spacing w:before="40" w:after="40"/>
              <w:jc w:val="right"/>
            </w:pPr>
            <w:r w:rsidRPr="00FD12D3">
              <w:rPr>
                <w:rFonts w:eastAsia="Calibri"/>
              </w:rPr>
              <w:t>increase</w:t>
            </w:r>
          </w:p>
        </w:tc>
      </w:tr>
    </w:tbl>
    <w:p w14:paraId="609CA12D" w14:textId="77777777" w:rsidR="00502238" w:rsidRPr="00FD12D3" w:rsidRDefault="00502238" w:rsidP="00502238">
      <w:pPr>
        <w:pStyle w:val="BodyText"/>
        <w:spacing w:before="240"/>
      </w:pPr>
      <w:r w:rsidRPr="00FD12D3">
        <w:t>For gross emissions, the major contributions to the level analysis for 2024 are presented in table 1.4.3.</w:t>
      </w:r>
    </w:p>
    <w:p w14:paraId="73E03687" w14:textId="77777777" w:rsidR="00502238" w:rsidRPr="00FD12D3" w:rsidRDefault="00502238" w:rsidP="00502238">
      <w:pPr>
        <w:pStyle w:val="Table"/>
      </w:pPr>
      <w:bookmarkStart w:id="69" w:name="_Toc226668944"/>
      <w:r w:rsidRPr="00FD12D3">
        <w:t xml:space="preserve">Table 1.4.3 </w:t>
      </w:r>
      <w:r w:rsidRPr="00FD12D3">
        <w:tab/>
        <w:t xml:space="preserve">Major contributions to the level analysis of gross emissions for </w:t>
      </w:r>
      <w:r w:rsidRPr="00FD12D3">
        <w:rPr>
          <w:bCs/>
        </w:rPr>
        <w:t>2024</w:t>
      </w:r>
      <w:bookmarkEnd w:id="6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11"/>
        <w:gridCol w:w="425"/>
        <w:gridCol w:w="3958"/>
      </w:tblGrid>
      <w:tr w:rsidR="00502238" w:rsidRPr="00FD12D3" w14:paraId="14AB93DA" w14:textId="77777777" w:rsidTr="00F16E23">
        <w:trPr>
          <w:tblHeader/>
        </w:trPr>
        <w:tc>
          <w:tcPr>
            <w:tcW w:w="4111" w:type="dxa"/>
            <w:shd w:val="clear" w:color="auto" w:fill="1B556B"/>
            <w:tcMar>
              <w:top w:w="0" w:type="dxa"/>
              <w:left w:w="85" w:type="dxa"/>
              <w:bottom w:w="0" w:type="dxa"/>
              <w:right w:w="85" w:type="dxa"/>
            </w:tcMar>
            <w:vAlign w:val="center"/>
          </w:tcPr>
          <w:p w14:paraId="7B98CA8E"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IPCC category</w:t>
            </w:r>
          </w:p>
        </w:tc>
        <w:tc>
          <w:tcPr>
            <w:tcW w:w="425" w:type="dxa"/>
            <w:shd w:val="clear" w:color="auto" w:fill="1B556B"/>
            <w:tcMar>
              <w:top w:w="0" w:type="dxa"/>
              <w:left w:w="85" w:type="dxa"/>
              <w:bottom w:w="0" w:type="dxa"/>
              <w:right w:w="85" w:type="dxa"/>
            </w:tcMar>
            <w:vAlign w:val="center"/>
          </w:tcPr>
          <w:p w14:paraId="2F9FB0FC"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Gas</w:t>
            </w:r>
          </w:p>
        </w:tc>
        <w:tc>
          <w:tcPr>
            <w:tcW w:w="3958" w:type="dxa"/>
            <w:shd w:val="clear" w:color="auto" w:fill="1B556B"/>
            <w:tcMar>
              <w:top w:w="0" w:type="dxa"/>
              <w:left w:w="85" w:type="dxa"/>
              <w:bottom w:w="0" w:type="dxa"/>
              <w:right w:w="85" w:type="dxa"/>
            </w:tcMar>
            <w:vAlign w:val="center"/>
          </w:tcPr>
          <w:p w14:paraId="1C556FB8" w14:textId="77777777" w:rsidR="00502238" w:rsidRPr="00FD12D3" w:rsidRDefault="00502238" w:rsidP="00F16E23">
            <w:pPr>
              <w:pStyle w:val="TableTextBold"/>
              <w:spacing w:before="40" w:after="40"/>
              <w:jc w:val="right"/>
              <w:rPr>
                <w:color w:val="FFFFFF" w:themeColor="background1"/>
              </w:rPr>
            </w:pPr>
            <w:r w:rsidRPr="00FD12D3">
              <w:rPr>
                <w:rFonts w:eastAsia="Calibri"/>
                <w:color w:val="FFFFFF" w:themeColor="background1"/>
              </w:rPr>
              <w:t>Level assessment (%)</w:t>
            </w:r>
          </w:p>
        </w:tc>
      </w:tr>
      <w:tr w:rsidR="00502238" w:rsidRPr="00FD12D3" w14:paraId="2A7F0EB5" w14:textId="77777777" w:rsidTr="00F16E23">
        <w:tc>
          <w:tcPr>
            <w:tcW w:w="4111" w:type="dxa"/>
            <w:shd w:val="clear" w:color="auto" w:fill="FFFFFF" w:themeFill="background1"/>
            <w:tcMar>
              <w:top w:w="0" w:type="dxa"/>
              <w:left w:w="85" w:type="dxa"/>
              <w:bottom w:w="0" w:type="dxa"/>
              <w:right w:w="85" w:type="dxa"/>
            </w:tcMar>
            <w:vAlign w:val="center"/>
          </w:tcPr>
          <w:p w14:paraId="1553D9E8" w14:textId="77777777" w:rsidR="00502238" w:rsidRPr="00FD12D3" w:rsidRDefault="00502238" w:rsidP="00F16E23">
            <w:pPr>
              <w:pStyle w:val="TableText"/>
              <w:spacing w:before="40" w:after="40"/>
            </w:pPr>
            <w:r w:rsidRPr="00FD12D3">
              <w:rPr>
                <w:rFonts w:eastAsia="Calibri"/>
              </w:rPr>
              <w:t>Option A – Dairy cattle</w:t>
            </w:r>
          </w:p>
        </w:tc>
        <w:tc>
          <w:tcPr>
            <w:tcW w:w="425" w:type="dxa"/>
            <w:shd w:val="clear" w:color="auto" w:fill="FFFFFF" w:themeFill="background1"/>
            <w:tcMar>
              <w:top w:w="0" w:type="dxa"/>
              <w:left w:w="85" w:type="dxa"/>
              <w:bottom w:w="0" w:type="dxa"/>
              <w:right w:w="85" w:type="dxa"/>
            </w:tcMar>
            <w:vAlign w:val="center"/>
          </w:tcPr>
          <w:p w14:paraId="4CDB463D"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3958" w:type="dxa"/>
            <w:shd w:val="clear" w:color="auto" w:fill="FFFFFF" w:themeFill="background1"/>
            <w:tcMar>
              <w:top w:w="0" w:type="dxa"/>
              <w:left w:w="85" w:type="dxa"/>
              <w:bottom w:w="0" w:type="dxa"/>
              <w:right w:w="85" w:type="dxa"/>
            </w:tcMar>
            <w:vAlign w:val="center"/>
          </w:tcPr>
          <w:p w14:paraId="13226B67" w14:textId="77777777" w:rsidR="00502238" w:rsidRPr="00FD12D3" w:rsidRDefault="00502238" w:rsidP="00F16E23">
            <w:pPr>
              <w:pStyle w:val="TableText"/>
              <w:spacing w:before="40" w:after="40"/>
              <w:jc w:val="right"/>
            </w:pPr>
            <w:r w:rsidRPr="00FD12D3">
              <w:rPr>
                <w:rFonts w:eastAsia="Calibri"/>
              </w:rPr>
              <w:t>20.8</w:t>
            </w:r>
          </w:p>
        </w:tc>
      </w:tr>
      <w:tr w:rsidR="00502238" w:rsidRPr="00FD12D3" w14:paraId="0057D9C2" w14:textId="77777777" w:rsidTr="00F16E23">
        <w:tc>
          <w:tcPr>
            <w:tcW w:w="4111" w:type="dxa"/>
            <w:shd w:val="clear" w:color="auto" w:fill="FFFFFF" w:themeFill="background1"/>
            <w:tcMar>
              <w:top w:w="0" w:type="dxa"/>
              <w:left w:w="85" w:type="dxa"/>
              <w:bottom w:w="0" w:type="dxa"/>
              <w:right w:w="85" w:type="dxa"/>
            </w:tcMar>
            <w:vAlign w:val="center"/>
          </w:tcPr>
          <w:p w14:paraId="676409BF" w14:textId="77777777" w:rsidR="00502238" w:rsidRPr="00FD12D3" w:rsidRDefault="00502238" w:rsidP="00F16E23">
            <w:pPr>
              <w:pStyle w:val="TableText"/>
              <w:spacing w:before="40" w:after="40"/>
            </w:pPr>
            <w:r w:rsidRPr="00FD12D3">
              <w:rPr>
                <w:rFonts w:eastAsia="Calibri"/>
              </w:rPr>
              <w:t>Transport – Road transportation</w:t>
            </w:r>
          </w:p>
        </w:tc>
        <w:tc>
          <w:tcPr>
            <w:tcW w:w="425" w:type="dxa"/>
            <w:shd w:val="clear" w:color="auto" w:fill="FFFFFF" w:themeFill="background1"/>
            <w:tcMar>
              <w:top w:w="0" w:type="dxa"/>
              <w:left w:w="85" w:type="dxa"/>
              <w:bottom w:w="0" w:type="dxa"/>
              <w:right w:w="85" w:type="dxa"/>
            </w:tcMar>
            <w:vAlign w:val="center"/>
          </w:tcPr>
          <w:p w14:paraId="03D6D5FB" w14:textId="77777777" w:rsidR="00502238" w:rsidRPr="00FD12D3" w:rsidRDefault="00502238" w:rsidP="00F16E23">
            <w:pPr>
              <w:pStyle w:val="TableText"/>
              <w:spacing w:before="40" w:after="40"/>
            </w:pPr>
            <w:r w:rsidRPr="00FD12D3">
              <w:rPr>
                <w:rFonts w:eastAsia="Calibri"/>
                <w:color w:val="000000" w:themeColor="text1"/>
              </w:rPr>
              <w:t>CO</w:t>
            </w:r>
            <w:r w:rsidRPr="00FD12D3">
              <w:rPr>
                <w:rFonts w:eastAsia="Calibri"/>
                <w:color w:val="000000" w:themeColor="text1"/>
                <w:vertAlign w:val="subscript"/>
              </w:rPr>
              <w:t>2</w:t>
            </w:r>
          </w:p>
        </w:tc>
        <w:tc>
          <w:tcPr>
            <w:tcW w:w="3958" w:type="dxa"/>
            <w:shd w:val="clear" w:color="auto" w:fill="FFFFFF" w:themeFill="background1"/>
            <w:tcMar>
              <w:top w:w="0" w:type="dxa"/>
              <w:left w:w="85" w:type="dxa"/>
              <w:bottom w:w="0" w:type="dxa"/>
              <w:right w:w="85" w:type="dxa"/>
            </w:tcMar>
            <w:vAlign w:val="center"/>
          </w:tcPr>
          <w:p w14:paraId="63DBBFBE" w14:textId="77777777" w:rsidR="00502238" w:rsidRPr="00FD12D3" w:rsidRDefault="00502238" w:rsidP="00F16E23">
            <w:pPr>
              <w:pStyle w:val="TableText"/>
              <w:spacing w:before="40" w:after="40"/>
              <w:jc w:val="right"/>
            </w:pPr>
            <w:r w:rsidRPr="00FD12D3">
              <w:rPr>
                <w:rFonts w:eastAsia="Calibri"/>
              </w:rPr>
              <w:t>16.4</w:t>
            </w:r>
          </w:p>
        </w:tc>
      </w:tr>
      <w:tr w:rsidR="00502238" w:rsidRPr="00FD12D3" w14:paraId="7D56940A" w14:textId="77777777" w:rsidTr="00F16E23">
        <w:tc>
          <w:tcPr>
            <w:tcW w:w="4111" w:type="dxa"/>
            <w:shd w:val="clear" w:color="auto" w:fill="FFFFFF" w:themeFill="background1"/>
            <w:tcMar>
              <w:top w:w="0" w:type="dxa"/>
              <w:left w:w="85" w:type="dxa"/>
              <w:bottom w:w="0" w:type="dxa"/>
              <w:right w:w="85" w:type="dxa"/>
            </w:tcMar>
            <w:vAlign w:val="center"/>
          </w:tcPr>
          <w:p w14:paraId="45499303" w14:textId="77777777" w:rsidR="00502238" w:rsidRPr="00FD12D3" w:rsidRDefault="00502238" w:rsidP="00F16E23">
            <w:pPr>
              <w:pStyle w:val="TableText"/>
              <w:spacing w:before="40" w:after="40"/>
            </w:pPr>
            <w:r w:rsidRPr="00FD12D3">
              <w:rPr>
                <w:rFonts w:eastAsia="Calibri"/>
              </w:rPr>
              <w:t>Enteric fermentation – Sheep</w:t>
            </w:r>
          </w:p>
        </w:tc>
        <w:tc>
          <w:tcPr>
            <w:tcW w:w="425" w:type="dxa"/>
            <w:shd w:val="clear" w:color="auto" w:fill="FFFFFF" w:themeFill="background1"/>
            <w:tcMar>
              <w:top w:w="0" w:type="dxa"/>
              <w:left w:w="85" w:type="dxa"/>
              <w:bottom w:w="0" w:type="dxa"/>
              <w:right w:w="85" w:type="dxa"/>
            </w:tcMar>
            <w:vAlign w:val="center"/>
          </w:tcPr>
          <w:p w14:paraId="3299A206"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3958" w:type="dxa"/>
            <w:shd w:val="clear" w:color="auto" w:fill="FFFFFF" w:themeFill="background1"/>
            <w:tcMar>
              <w:top w:w="0" w:type="dxa"/>
              <w:left w:w="85" w:type="dxa"/>
              <w:bottom w:w="0" w:type="dxa"/>
              <w:right w:w="85" w:type="dxa"/>
            </w:tcMar>
            <w:vAlign w:val="center"/>
          </w:tcPr>
          <w:p w14:paraId="4AE9906D" w14:textId="77777777" w:rsidR="00502238" w:rsidRPr="00FD12D3" w:rsidRDefault="00502238" w:rsidP="00F16E23">
            <w:pPr>
              <w:pStyle w:val="TableText"/>
              <w:spacing w:before="40" w:after="40"/>
              <w:jc w:val="right"/>
            </w:pPr>
            <w:r w:rsidRPr="00FD12D3">
              <w:rPr>
                <w:rFonts w:eastAsia="Calibri"/>
              </w:rPr>
              <w:t>10.8</w:t>
            </w:r>
          </w:p>
        </w:tc>
      </w:tr>
      <w:tr w:rsidR="00502238" w:rsidRPr="00FD12D3" w14:paraId="74490D5E" w14:textId="77777777" w:rsidTr="00F16E23">
        <w:tc>
          <w:tcPr>
            <w:tcW w:w="4111" w:type="dxa"/>
            <w:shd w:val="clear" w:color="auto" w:fill="FFFFFF" w:themeFill="background1"/>
            <w:tcMar>
              <w:top w:w="0" w:type="dxa"/>
              <w:left w:w="85" w:type="dxa"/>
              <w:bottom w:w="0" w:type="dxa"/>
              <w:right w:w="85" w:type="dxa"/>
            </w:tcMar>
            <w:vAlign w:val="center"/>
          </w:tcPr>
          <w:p w14:paraId="7D7A39CB" w14:textId="77777777" w:rsidR="00502238" w:rsidRPr="00FD12D3" w:rsidRDefault="00502238" w:rsidP="00F16E23">
            <w:pPr>
              <w:pStyle w:val="TableText"/>
              <w:spacing w:before="40" w:after="40"/>
            </w:pPr>
            <w:r w:rsidRPr="00FD12D3">
              <w:rPr>
                <w:rFonts w:eastAsia="Calibri"/>
              </w:rPr>
              <w:t>Option A – Non-dairy cattle</w:t>
            </w:r>
          </w:p>
        </w:tc>
        <w:tc>
          <w:tcPr>
            <w:tcW w:w="425" w:type="dxa"/>
            <w:shd w:val="clear" w:color="auto" w:fill="FFFFFF" w:themeFill="background1"/>
            <w:tcMar>
              <w:top w:w="0" w:type="dxa"/>
              <w:left w:w="85" w:type="dxa"/>
              <w:bottom w:w="0" w:type="dxa"/>
              <w:right w:w="85" w:type="dxa"/>
            </w:tcMar>
            <w:vAlign w:val="center"/>
          </w:tcPr>
          <w:p w14:paraId="55080BD1"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3958" w:type="dxa"/>
            <w:shd w:val="clear" w:color="auto" w:fill="FFFFFF" w:themeFill="background1"/>
            <w:tcMar>
              <w:top w:w="0" w:type="dxa"/>
              <w:left w:w="85" w:type="dxa"/>
              <w:bottom w:w="0" w:type="dxa"/>
              <w:right w:w="85" w:type="dxa"/>
            </w:tcMar>
            <w:vAlign w:val="center"/>
          </w:tcPr>
          <w:p w14:paraId="30BA407F" w14:textId="77777777" w:rsidR="00502238" w:rsidRPr="00FD12D3" w:rsidRDefault="00502238" w:rsidP="00F16E23">
            <w:pPr>
              <w:pStyle w:val="TableText"/>
              <w:spacing w:before="40" w:after="40"/>
              <w:jc w:val="right"/>
            </w:pPr>
            <w:r w:rsidRPr="00FD12D3">
              <w:rPr>
                <w:rFonts w:eastAsia="Calibri"/>
              </w:rPr>
              <w:t>9.4</w:t>
            </w:r>
          </w:p>
        </w:tc>
      </w:tr>
    </w:tbl>
    <w:p w14:paraId="3192C90F" w14:textId="77777777" w:rsidR="00502238" w:rsidRPr="00FD12D3" w:rsidRDefault="00502238" w:rsidP="00502238">
      <w:pPr>
        <w:pStyle w:val="BodyText"/>
        <w:spacing w:before="240"/>
      </w:pPr>
      <w:r w:rsidRPr="00FD12D3">
        <w:t>The key categories that were identified as having the largest relative influence on the trend, when compared with the average change in gross emissions from 1990 to 2024, are presented in table 1.4.4.</w:t>
      </w:r>
    </w:p>
    <w:p w14:paraId="67380C4E" w14:textId="77777777" w:rsidR="00502238" w:rsidRPr="00FD12D3" w:rsidRDefault="00502238" w:rsidP="00502238">
      <w:pPr>
        <w:pStyle w:val="Table"/>
      </w:pPr>
      <w:bookmarkStart w:id="70" w:name="_Toc226668945"/>
      <w:r w:rsidRPr="00FD12D3">
        <w:t xml:space="preserve">Table 1.4.4 </w:t>
      </w:r>
      <w:r w:rsidRPr="00FD12D3">
        <w:tab/>
        <w:t xml:space="preserve">Key categories with the largest relative influence on the trend, compared with the average change in gross emissions from </w:t>
      </w:r>
      <w:r w:rsidRPr="00FD12D3">
        <w:rPr>
          <w:bCs/>
        </w:rPr>
        <w:t>1990</w:t>
      </w:r>
      <w:r w:rsidRPr="00FD12D3">
        <w:t xml:space="preserve"> to </w:t>
      </w:r>
      <w:r w:rsidRPr="00FD12D3">
        <w:rPr>
          <w:bCs/>
        </w:rPr>
        <w:t>2024</w:t>
      </w:r>
      <w:bookmarkEnd w:id="7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10"/>
        <w:gridCol w:w="500"/>
        <w:gridCol w:w="2498"/>
        <w:gridCol w:w="1186"/>
      </w:tblGrid>
      <w:tr w:rsidR="00502238" w:rsidRPr="00FD12D3" w14:paraId="1144E7BB" w14:textId="77777777" w:rsidTr="00290450">
        <w:trPr>
          <w:tblHeader/>
        </w:trPr>
        <w:tc>
          <w:tcPr>
            <w:tcW w:w="3912" w:type="dxa"/>
            <w:shd w:val="clear" w:color="auto" w:fill="1C556C" w:themeFill="accent1"/>
            <w:tcMar>
              <w:top w:w="0" w:type="dxa"/>
              <w:left w:w="85" w:type="dxa"/>
              <w:bottom w:w="0" w:type="dxa"/>
              <w:right w:w="57" w:type="dxa"/>
            </w:tcMar>
            <w:vAlign w:val="center"/>
          </w:tcPr>
          <w:p w14:paraId="6C3CED97"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IPCC category</w:t>
            </w:r>
          </w:p>
        </w:tc>
        <w:tc>
          <w:tcPr>
            <w:tcW w:w="454" w:type="dxa"/>
            <w:shd w:val="clear" w:color="auto" w:fill="1C556C" w:themeFill="accent1"/>
            <w:tcMar>
              <w:top w:w="0" w:type="dxa"/>
              <w:left w:w="85" w:type="dxa"/>
              <w:bottom w:w="0" w:type="dxa"/>
              <w:right w:w="57" w:type="dxa"/>
            </w:tcMar>
            <w:vAlign w:val="center"/>
          </w:tcPr>
          <w:p w14:paraId="7873B137"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Gas</w:t>
            </w:r>
          </w:p>
        </w:tc>
        <w:tc>
          <w:tcPr>
            <w:tcW w:w="2268" w:type="dxa"/>
            <w:shd w:val="clear" w:color="auto" w:fill="1C556C" w:themeFill="accent1"/>
            <w:tcMar>
              <w:top w:w="0" w:type="dxa"/>
              <w:left w:w="85" w:type="dxa"/>
              <w:bottom w:w="0" w:type="dxa"/>
              <w:right w:w="57" w:type="dxa"/>
            </w:tcMar>
            <w:vAlign w:val="center"/>
          </w:tcPr>
          <w:p w14:paraId="09627276"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Absolute contribution to trend (%)</w:t>
            </w:r>
          </w:p>
        </w:tc>
        <w:tc>
          <w:tcPr>
            <w:tcW w:w="1077" w:type="dxa"/>
            <w:shd w:val="clear" w:color="auto" w:fill="1C556C" w:themeFill="accent1"/>
            <w:tcMar>
              <w:top w:w="0" w:type="dxa"/>
              <w:left w:w="85" w:type="dxa"/>
              <w:bottom w:w="0" w:type="dxa"/>
              <w:right w:w="57" w:type="dxa"/>
            </w:tcMar>
            <w:vAlign w:val="center"/>
          </w:tcPr>
          <w:p w14:paraId="20CDC680"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Trend direction</w:t>
            </w:r>
          </w:p>
        </w:tc>
      </w:tr>
      <w:tr w:rsidR="00502238" w:rsidRPr="00FD12D3" w14:paraId="5F58F0CA" w14:textId="77777777" w:rsidTr="00290450">
        <w:tc>
          <w:tcPr>
            <w:tcW w:w="3912" w:type="dxa"/>
            <w:shd w:val="clear" w:color="auto" w:fill="FFFFFF" w:themeFill="background1"/>
            <w:tcMar>
              <w:top w:w="0" w:type="dxa"/>
              <w:left w:w="85" w:type="dxa"/>
              <w:bottom w:w="0" w:type="dxa"/>
              <w:right w:w="57" w:type="dxa"/>
            </w:tcMar>
            <w:vAlign w:val="center"/>
          </w:tcPr>
          <w:p w14:paraId="1B7AB280" w14:textId="77777777" w:rsidR="00502238" w:rsidRPr="00FD12D3" w:rsidRDefault="00502238" w:rsidP="00F16E23">
            <w:pPr>
              <w:pStyle w:val="TableText"/>
              <w:spacing w:before="40" w:after="40"/>
            </w:pPr>
            <w:r w:rsidRPr="00FD12D3">
              <w:rPr>
                <w:rFonts w:eastAsia="Calibri"/>
              </w:rPr>
              <w:t>Enteric fermentation – Sheep</w:t>
            </w:r>
          </w:p>
        </w:tc>
        <w:tc>
          <w:tcPr>
            <w:tcW w:w="454" w:type="dxa"/>
            <w:shd w:val="clear" w:color="auto" w:fill="FFFFFF" w:themeFill="background1"/>
            <w:tcMar>
              <w:top w:w="0" w:type="dxa"/>
              <w:left w:w="85" w:type="dxa"/>
              <w:bottom w:w="0" w:type="dxa"/>
              <w:right w:w="57" w:type="dxa"/>
            </w:tcMar>
          </w:tcPr>
          <w:p w14:paraId="4D1E8981"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2268" w:type="dxa"/>
            <w:shd w:val="clear" w:color="auto" w:fill="FFFFFF" w:themeFill="background1"/>
            <w:tcMar>
              <w:top w:w="0" w:type="dxa"/>
              <w:left w:w="85" w:type="dxa"/>
              <w:bottom w:w="0" w:type="dxa"/>
              <w:right w:w="57" w:type="dxa"/>
            </w:tcMar>
          </w:tcPr>
          <w:p w14:paraId="278DEBC3" w14:textId="77777777" w:rsidR="00502238" w:rsidRPr="00FD12D3" w:rsidRDefault="00502238" w:rsidP="00F16E23">
            <w:pPr>
              <w:pStyle w:val="TableText"/>
              <w:spacing w:before="40" w:after="40"/>
            </w:pPr>
            <w:r w:rsidRPr="00FD12D3">
              <w:rPr>
                <w:rFonts w:eastAsia="Calibri"/>
              </w:rPr>
              <w:t>22.7</w:t>
            </w:r>
          </w:p>
        </w:tc>
        <w:tc>
          <w:tcPr>
            <w:tcW w:w="1077" w:type="dxa"/>
            <w:shd w:val="clear" w:color="auto" w:fill="FFFFFF" w:themeFill="background1"/>
            <w:tcMar>
              <w:top w:w="0" w:type="dxa"/>
              <w:left w:w="85" w:type="dxa"/>
              <w:bottom w:w="0" w:type="dxa"/>
              <w:right w:w="57" w:type="dxa"/>
            </w:tcMar>
          </w:tcPr>
          <w:p w14:paraId="0A9A5FC6" w14:textId="77777777" w:rsidR="00502238" w:rsidRPr="00FD12D3" w:rsidRDefault="00502238" w:rsidP="00F16E23">
            <w:pPr>
              <w:pStyle w:val="TableText"/>
              <w:spacing w:before="40" w:after="40"/>
            </w:pPr>
            <w:r w:rsidRPr="00FD12D3">
              <w:rPr>
                <w:rFonts w:eastAsia="Calibri"/>
              </w:rPr>
              <w:t>decrease</w:t>
            </w:r>
          </w:p>
        </w:tc>
      </w:tr>
      <w:tr w:rsidR="00502238" w:rsidRPr="00FD12D3" w14:paraId="6E956715" w14:textId="77777777" w:rsidTr="00290450">
        <w:tc>
          <w:tcPr>
            <w:tcW w:w="3912" w:type="dxa"/>
            <w:shd w:val="clear" w:color="auto" w:fill="FFFFFF" w:themeFill="background1"/>
            <w:tcMar>
              <w:top w:w="0" w:type="dxa"/>
              <w:left w:w="85" w:type="dxa"/>
              <w:bottom w:w="0" w:type="dxa"/>
              <w:right w:w="57" w:type="dxa"/>
            </w:tcMar>
            <w:vAlign w:val="center"/>
          </w:tcPr>
          <w:p w14:paraId="721A689F" w14:textId="77777777" w:rsidR="00502238" w:rsidRPr="00FD12D3" w:rsidRDefault="00502238" w:rsidP="00F16E23">
            <w:pPr>
              <w:pStyle w:val="TableText"/>
              <w:spacing w:before="40" w:after="40"/>
            </w:pPr>
            <w:r w:rsidRPr="00FD12D3">
              <w:rPr>
                <w:rFonts w:eastAsia="Calibri"/>
              </w:rPr>
              <w:t>Option A – Dairy cattle</w:t>
            </w:r>
          </w:p>
        </w:tc>
        <w:tc>
          <w:tcPr>
            <w:tcW w:w="454" w:type="dxa"/>
            <w:shd w:val="clear" w:color="auto" w:fill="FFFFFF" w:themeFill="background1"/>
            <w:tcMar>
              <w:top w:w="0" w:type="dxa"/>
              <w:left w:w="85" w:type="dxa"/>
              <w:bottom w:w="0" w:type="dxa"/>
              <w:right w:w="57" w:type="dxa"/>
            </w:tcMar>
          </w:tcPr>
          <w:p w14:paraId="7A2C8389" w14:textId="77777777" w:rsidR="00502238" w:rsidRPr="00FD12D3" w:rsidRDefault="00502238" w:rsidP="00F16E23">
            <w:pPr>
              <w:pStyle w:val="TableText"/>
              <w:spacing w:before="40" w:after="40"/>
            </w:pPr>
            <w:r w:rsidRPr="00FD12D3">
              <w:rPr>
                <w:rFonts w:eastAsia="Calibri"/>
                <w:color w:val="000000" w:themeColor="text1"/>
              </w:rPr>
              <w:t>CH</w:t>
            </w:r>
            <w:r w:rsidRPr="00FD12D3">
              <w:rPr>
                <w:rFonts w:eastAsia="Calibri"/>
                <w:color w:val="000000" w:themeColor="text1"/>
                <w:vertAlign w:val="subscript"/>
              </w:rPr>
              <w:t>4</w:t>
            </w:r>
          </w:p>
        </w:tc>
        <w:tc>
          <w:tcPr>
            <w:tcW w:w="2268" w:type="dxa"/>
            <w:shd w:val="clear" w:color="auto" w:fill="FFFFFF" w:themeFill="background1"/>
            <w:tcMar>
              <w:top w:w="0" w:type="dxa"/>
              <w:left w:w="85" w:type="dxa"/>
              <w:bottom w:w="0" w:type="dxa"/>
              <w:right w:w="57" w:type="dxa"/>
            </w:tcMar>
          </w:tcPr>
          <w:p w14:paraId="18BF0EA4" w14:textId="77777777" w:rsidR="00502238" w:rsidRPr="00FD12D3" w:rsidRDefault="00502238" w:rsidP="00F16E23">
            <w:pPr>
              <w:pStyle w:val="TableText"/>
              <w:spacing w:before="40" w:after="40"/>
            </w:pPr>
            <w:r w:rsidRPr="4490CCA6">
              <w:rPr>
                <w:rFonts w:eastAsia="Calibri"/>
              </w:rPr>
              <w:t>18.6</w:t>
            </w:r>
          </w:p>
        </w:tc>
        <w:tc>
          <w:tcPr>
            <w:tcW w:w="1077" w:type="dxa"/>
            <w:shd w:val="clear" w:color="auto" w:fill="FFFFFF" w:themeFill="background1"/>
            <w:tcMar>
              <w:top w:w="0" w:type="dxa"/>
              <w:left w:w="85" w:type="dxa"/>
              <w:bottom w:w="0" w:type="dxa"/>
              <w:right w:w="57" w:type="dxa"/>
            </w:tcMar>
          </w:tcPr>
          <w:p w14:paraId="74A16465" w14:textId="77777777" w:rsidR="00502238" w:rsidRPr="00FD12D3" w:rsidRDefault="00502238" w:rsidP="00F16E23">
            <w:pPr>
              <w:pStyle w:val="TableText"/>
              <w:spacing w:before="40" w:after="40"/>
            </w:pPr>
            <w:r w:rsidRPr="00FD12D3">
              <w:rPr>
                <w:rFonts w:eastAsia="Calibri"/>
              </w:rPr>
              <w:t>increase</w:t>
            </w:r>
          </w:p>
        </w:tc>
      </w:tr>
      <w:tr w:rsidR="00502238" w:rsidRPr="00FD12D3" w14:paraId="3AFAC7D8" w14:textId="77777777" w:rsidTr="00290450">
        <w:tc>
          <w:tcPr>
            <w:tcW w:w="3912" w:type="dxa"/>
            <w:shd w:val="clear" w:color="auto" w:fill="FFFFFF" w:themeFill="background1"/>
            <w:tcMar>
              <w:top w:w="0" w:type="dxa"/>
              <w:left w:w="85" w:type="dxa"/>
              <w:bottom w:w="0" w:type="dxa"/>
              <w:right w:w="57" w:type="dxa"/>
            </w:tcMar>
            <w:vAlign w:val="center"/>
          </w:tcPr>
          <w:p w14:paraId="74A07C26" w14:textId="77777777" w:rsidR="00502238" w:rsidRPr="00FD12D3" w:rsidRDefault="00502238" w:rsidP="00F16E23">
            <w:pPr>
              <w:pStyle w:val="TableText"/>
              <w:spacing w:before="40" w:after="40"/>
            </w:pPr>
            <w:r w:rsidRPr="00FD12D3">
              <w:rPr>
                <w:rFonts w:eastAsia="Calibri"/>
              </w:rPr>
              <w:t>Transport – Road transportation</w:t>
            </w:r>
          </w:p>
        </w:tc>
        <w:tc>
          <w:tcPr>
            <w:tcW w:w="454" w:type="dxa"/>
            <w:shd w:val="clear" w:color="auto" w:fill="FFFFFF" w:themeFill="background1"/>
            <w:tcMar>
              <w:top w:w="0" w:type="dxa"/>
              <w:left w:w="85" w:type="dxa"/>
              <w:bottom w:w="0" w:type="dxa"/>
              <w:right w:w="57" w:type="dxa"/>
            </w:tcMar>
          </w:tcPr>
          <w:p w14:paraId="4BC7B0D2" w14:textId="77777777" w:rsidR="00502238" w:rsidRPr="00FD12D3" w:rsidRDefault="00502238" w:rsidP="00F16E23">
            <w:pPr>
              <w:pStyle w:val="TableText"/>
              <w:spacing w:before="40" w:after="40"/>
            </w:pPr>
            <w:r w:rsidRPr="00FD12D3">
              <w:rPr>
                <w:rFonts w:eastAsia="Calibri"/>
                <w:color w:val="000000" w:themeColor="text1"/>
              </w:rPr>
              <w:t>CO</w:t>
            </w:r>
            <w:r w:rsidRPr="00FD12D3">
              <w:rPr>
                <w:rFonts w:eastAsia="Calibri"/>
                <w:color w:val="000000" w:themeColor="text1"/>
                <w:vertAlign w:val="subscript"/>
              </w:rPr>
              <w:t>2</w:t>
            </w:r>
          </w:p>
        </w:tc>
        <w:tc>
          <w:tcPr>
            <w:tcW w:w="2268" w:type="dxa"/>
            <w:shd w:val="clear" w:color="auto" w:fill="FFFFFF" w:themeFill="background1"/>
            <w:tcMar>
              <w:top w:w="0" w:type="dxa"/>
              <w:left w:w="85" w:type="dxa"/>
              <w:bottom w:w="0" w:type="dxa"/>
              <w:right w:w="57" w:type="dxa"/>
            </w:tcMar>
          </w:tcPr>
          <w:p w14:paraId="46D73B3C" w14:textId="77777777" w:rsidR="00502238" w:rsidRPr="00FD12D3" w:rsidRDefault="00502238" w:rsidP="00F16E23">
            <w:pPr>
              <w:pStyle w:val="TableText"/>
              <w:spacing w:before="40" w:after="40"/>
            </w:pPr>
            <w:r w:rsidRPr="00FD12D3">
              <w:rPr>
                <w:rFonts w:eastAsia="Calibri"/>
              </w:rPr>
              <w:t>12.0</w:t>
            </w:r>
          </w:p>
        </w:tc>
        <w:tc>
          <w:tcPr>
            <w:tcW w:w="1077" w:type="dxa"/>
            <w:shd w:val="clear" w:color="auto" w:fill="FFFFFF" w:themeFill="background1"/>
            <w:tcMar>
              <w:top w:w="0" w:type="dxa"/>
              <w:left w:w="85" w:type="dxa"/>
              <w:bottom w:w="0" w:type="dxa"/>
              <w:right w:w="57" w:type="dxa"/>
            </w:tcMar>
          </w:tcPr>
          <w:p w14:paraId="4A08498F" w14:textId="77777777" w:rsidR="00502238" w:rsidRPr="00FD12D3" w:rsidRDefault="00502238" w:rsidP="00F16E23">
            <w:pPr>
              <w:pStyle w:val="TableText"/>
              <w:spacing w:before="40" w:after="40"/>
            </w:pPr>
            <w:r w:rsidRPr="00FD12D3">
              <w:rPr>
                <w:rFonts w:eastAsia="Calibri"/>
              </w:rPr>
              <w:t>increase</w:t>
            </w:r>
          </w:p>
        </w:tc>
      </w:tr>
      <w:tr w:rsidR="00502238" w:rsidRPr="00FD12D3" w14:paraId="76DEA42F" w14:textId="77777777" w:rsidTr="00290450">
        <w:tc>
          <w:tcPr>
            <w:tcW w:w="3912" w:type="dxa"/>
            <w:shd w:val="clear" w:color="auto" w:fill="FFFFFF" w:themeFill="background1"/>
            <w:tcMar>
              <w:top w:w="0" w:type="dxa"/>
              <w:left w:w="85" w:type="dxa"/>
              <w:bottom w:w="0" w:type="dxa"/>
              <w:right w:w="57" w:type="dxa"/>
            </w:tcMar>
            <w:vAlign w:val="center"/>
          </w:tcPr>
          <w:p w14:paraId="41D17B97" w14:textId="77777777" w:rsidR="00502238" w:rsidRPr="00FD12D3" w:rsidRDefault="00502238" w:rsidP="00F16E23">
            <w:pPr>
              <w:pStyle w:val="TableText"/>
              <w:spacing w:before="40" w:after="40"/>
            </w:pPr>
            <w:r w:rsidRPr="00FD12D3">
              <w:rPr>
                <w:rFonts w:eastAsia="Calibri"/>
              </w:rPr>
              <w:t>Energy industries – Manufacture of solid fuels and other energy industries</w:t>
            </w:r>
          </w:p>
        </w:tc>
        <w:tc>
          <w:tcPr>
            <w:tcW w:w="454" w:type="dxa"/>
            <w:shd w:val="clear" w:color="auto" w:fill="FFFFFF" w:themeFill="background1"/>
            <w:tcMar>
              <w:top w:w="0" w:type="dxa"/>
              <w:left w:w="85" w:type="dxa"/>
              <w:bottom w:w="0" w:type="dxa"/>
              <w:right w:w="57" w:type="dxa"/>
            </w:tcMar>
          </w:tcPr>
          <w:p w14:paraId="1C7F2CB2" w14:textId="77777777" w:rsidR="00502238" w:rsidRPr="00FD12D3" w:rsidRDefault="00502238" w:rsidP="00F16E23">
            <w:pPr>
              <w:pStyle w:val="TableText"/>
              <w:spacing w:before="40" w:after="40"/>
            </w:pPr>
            <w:r w:rsidRPr="00FD12D3">
              <w:rPr>
                <w:rFonts w:eastAsia="Calibri"/>
                <w:color w:val="000000" w:themeColor="text1"/>
              </w:rPr>
              <w:t>CO</w:t>
            </w:r>
            <w:r w:rsidRPr="00FD12D3">
              <w:rPr>
                <w:rFonts w:eastAsia="Calibri"/>
                <w:color w:val="000000" w:themeColor="text1"/>
                <w:vertAlign w:val="subscript"/>
              </w:rPr>
              <w:t>2</w:t>
            </w:r>
          </w:p>
        </w:tc>
        <w:tc>
          <w:tcPr>
            <w:tcW w:w="2268" w:type="dxa"/>
            <w:shd w:val="clear" w:color="auto" w:fill="FFFFFF" w:themeFill="background1"/>
            <w:tcMar>
              <w:top w:w="0" w:type="dxa"/>
              <w:left w:w="85" w:type="dxa"/>
              <w:bottom w:w="0" w:type="dxa"/>
              <w:right w:w="57" w:type="dxa"/>
            </w:tcMar>
          </w:tcPr>
          <w:p w14:paraId="55E25E29" w14:textId="77777777" w:rsidR="00502238" w:rsidRPr="00FD12D3" w:rsidRDefault="00502238" w:rsidP="00F16E23">
            <w:pPr>
              <w:pStyle w:val="TableText"/>
              <w:spacing w:before="40" w:after="40"/>
            </w:pPr>
            <w:r w:rsidRPr="00FD12D3">
              <w:rPr>
                <w:rFonts w:eastAsia="Calibri"/>
              </w:rPr>
              <w:t>3.9</w:t>
            </w:r>
          </w:p>
        </w:tc>
        <w:tc>
          <w:tcPr>
            <w:tcW w:w="1077" w:type="dxa"/>
            <w:shd w:val="clear" w:color="auto" w:fill="FFFFFF" w:themeFill="background1"/>
            <w:tcMar>
              <w:top w:w="0" w:type="dxa"/>
              <w:left w:w="85" w:type="dxa"/>
              <w:bottom w:w="0" w:type="dxa"/>
              <w:right w:w="57" w:type="dxa"/>
            </w:tcMar>
          </w:tcPr>
          <w:p w14:paraId="68433F42" w14:textId="77777777" w:rsidR="00502238" w:rsidRPr="00FD12D3" w:rsidRDefault="00502238" w:rsidP="00F16E23">
            <w:pPr>
              <w:pStyle w:val="TableText"/>
              <w:spacing w:before="40" w:after="40"/>
            </w:pPr>
            <w:r w:rsidRPr="00FD12D3">
              <w:rPr>
                <w:rFonts w:eastAsia="Calibri"/>
              </w:rPr>
              <w:t>decrease</w:t>
            </w:r>
          </w:p>
        </w:tc>
      </w:tr>
    </w:tbl>
    <w:p w14:paraId="564D9DC7" w14:textId="77777777" w:rsidR="00502238" w:rsidRPr="00FD12D3" w:rsidRDefault="00502238" w:rsidP="00502238">
      <w:pPr>
        <w:pStyle w:val="BodyText"/>
        <w:spacing w:before="240"/>
      </w:pPr>
      <w:r w:rsidRPr="00FD12D3">
        <w:t>The full analyses and results of the key category assessments are provided in annex 1.</w:t>
      </w:r>
    </w:p>
    <w:p w14:paraId="7AAABB1F" w14:textId="77777777" w:rsidR="00502238" w:rsidRPr="00FD12D3" w:rsidRDefault="00502238" w:rsidP="00502238">
      <w:pPr>
        <w:pStyle w:val="Heading2"/>
      </w:pPr>
      <w:bookmarkStart w:id="71" w:name="_Toc226460742"/>
      <w:bookmarkStart w:id="72" w:name="X89922f007ea35e4325d7df02e2132c81a0f2e06"/>
      <w:bookmarkEnd w:id="66"/>
      <w:r w:rsidRPr="00FD12D3">
        <w:t xml:space="preserve">1.5 </w:t>
      </w:r>
      <w:r w:rsidRPr="00FD12D3">
        <w:tab/>
        <w:t>Brief general description of QA/QC plan and implementation</w:t>
      </w:r>
      <w:bookmarkEnd w:id="71"/>
    </w:p>
    <w:p w14:paraId="02D9A0AE" w14:textId="77777777" w:rsidR="00502238" w:rsidRPr="00FD12D3" w:rsidRDefault="00502238" w:rsidP="00502238">
      <w:pPr>
        <w:pStyle w:val="BodyText"/>
      </w:pPr>
      <w:r w:rsidRPr="00FD12D3">
        <w:t>Quality assurance</w:t>
      </w:r>
      <w:r w:rsidRPr="00FD12D3">
        <w:rPr>
          <w:rStyle w:val="FootnoteReference"/>
        </w:rPr>
        <w:footnoteReference w:id="10"/>
      </w:r>
      <w:r w:rsidRPr="00FD12D3">
        <w:t xml:space="preserve"> and quality control</w:t>
      </w:r>
      <w:r w:rsidRPr="00FD12D3">
        <w:rPr>
          <w:rStyle w:val="FootnoteReference"/>
        </w:rPr>
        <w:footnoteReference w:id="11"/>
      </w:r>
      <w:r w:rsidRPr="00FD12D3">
        <w:t xml:space="preserve"> are integral parts of preparing the Inventory. The QA/QC plan (annex 4), required under the Paris Agreement (UNFCCC, 2018b), formalises the documentation and archiving of the QA/QC procedures. This plan has been updated over time as the QA/QC tools have been developed and, where possible, automated. Details of the QA/QC activities performed during the compilation of the 2026 submission are discussed in the relevant sections below. Examples of QA/QC checks are provided in the Excel spreadsheets accompanying this submission.</w:t>
      </w:r>
    </w:p>
    <w:p w14:paraId="71F5F5F8" w14:textId="77777777" w:rsidR="00502238" w:rsidRPr="00FD12D3" w:rsidRDefault="00502238" w:rsidP="00502238">
      <w:pPr>
        <w:pStyle w:val="BodyText"/>
      </w:pPr>
      <w:r w:rsidRPr="00FD12D3">
        <w:t>The focus of New Zealand’s QA/QC plan is to meet the transparency, accuracy, completeness, consistency and comparability (TACCC) principles while ensuring efficient use of resources, and to mitigate QA/QC-related risks in the inventory planning and preparation process.</w:t>
      </w:r>
    </w:p>
    <w:p w14:paraId="03EA253C" w14:textId="77777777" w:rsidR="00502238" w:rsidRPr="00FD12D3" w:rsidRDefault="00502238" w:rsidP="00502238">
      <w:pPr>
        <w:pStyle w:val="BodyText"/>
      </w:pPr>
      <w:r w:rsidRPr="00FD12D3">
        <w:t>The main elements of the plan include:</w:t>
      </w:r>
    </w:p>
    <w:p w14:paraId="48A315D6" w14:textId="77777777" w:rsidR="00502238" w:rsidRPr="00FD12D3" w:rsidRDefault="00502238" w:rsidP="00502238">
      <w:pPr>
        <w:pStyle w:val="Bullet"/>
      </w:pPr>
      <w:r w:rsidRPr="00FD12D3">
        <w:t>revising the QA/QC deliverables to ensure they are fit for purpose, well supported with relevant templates, and adapted to the changes in the inventory software tools</w:t>
      </w:r>
    </w:p>
    <w:p w14:paraId="33897E92" w14:textId="77777777" w:rsidR="00502238" w:rsidRPr="00FD12D3" w:rsidRDefault="00502238" w:rsidP="00502238">
      <w:pPr>
        <w:pStyle w:val="Bullet"/>
      </w:pPr>
      <w:r w:rsidRPr="00FD12D3">
        <w:t>reinforcing the error-checking process by providing dedicated personnel and support to the sector leads</w:t>
      </w:r>
    </w:p>
    <w:p w14:paraId="3CC979FC" w14:textId="77777777" w:rsidR="00502238" w:rsidRPr="00FD12D3" w:rsidRDefault="00502238" w:rsidP="00502238">
      <w:pPr>
        <w:pStyle w:val="Bullet"/>
      </w:pPr>
      <w:r w:rsidRPr="00FD12D3">
        <w:t>applying automated inventory tools, where available, to minimise transcription errors</w:t>
      </w:r>
    </w:p>
    <w:p w14:paraId="18599550" w14:textId="77777777" w:rsidR="00502238" w:rsidRPr="00FD12D3" w:rsidRDefault="00502238" w:rsidP="00502238">
      <w:pPr>
        <w:pStyle w:val="Bullet"/>
      </w:pPr>
      <w:r w:rsidRPr="00FD12D3">
        <w:t>adjusting QA/QC tools to accommodate any changes in the GHG Inventory Reporting Tool software that have been introduced since the previous submission</w:t>
      </w:r>
    </w:p>
    <w:p w14:paraId="3FC1CC98" w14:textId="77777777" w:rsidR="00502238" w:rsidRPr="00FD12D3" w:rsidRDefault="00502238" w:rsidP="00502238">
      <w:pPr>
        <w:pStyle w:val="Bullet"/>
      </w:pPr>
      <w:r w:rsidRPr="00FD12D3">
        <w:t>performing data integrity checks in the GHG Inventory Reporting Tool and adhering to the reporting guidelines once data compilation in each sector is complete</w:t>
      </w:r>
    </w:p>
    <w:p w14:paraId="08D2B558" w14:textId="77777777" w:rsidR="00502238" w:rsidRPr="00FD12D3" w:rsidRDefault="00502238" w:rsidP="00502238">
      <w:pPr>
        <w:pStyle w:val="Bullet"/>
      </w:pPr>
      <w:r w:rsidRPr="00FD12D3">
        <w:t>ensuring the chapters in the Inventory and their structure demonstrate transparency of the methods and incorporate suggestions from previous inventory reviews.</w:t>
      </w:r>
    </w:p>
    <w:p w14:paraId="1683A772" w14:textId="77777777" w:rsidR="00502238" w:rsidRPr="00FD12D3" w:rsidRDefault="00502238" w:rsidP="00502238">
      <w:pPr>
        <w:pStyle w:val="BodyText"/>
      </w:pPr>
      <w:r w:rsidRPr="00FD12D3">
        <w:t>Tier 1 QC check sheets are completed by sector in line with the guidance provided by the IPCC (2006b). Wherever possible, manual checking is replaced by, or supplemented with, automated checks.</w:t>
      </w:r>
    </w:p>
    <w:p w14:paraId="53BB75E9" w14:textId="77777777" w:rsidR="00502238" w:rsidRPr="00FD12D3" w:rsidRDefault="00502238" w:rsidP="00502238">
      <w:pPr>
        <w:pStyle w:val="BodyText"/>
        <w:spacing w:before="100" w:after="100"/>
      </w:pPr>
      <w:r w:rsidRPr="00FD12D3">
        <w:t>The sectoral contributions to the Inventory – that is, sector chapters and data preparation – and Tier 1 QC checks are signed off by the responsible agency before final approval of the Inventory by the national inventory agency (MfE) and its submission under the Convention and the Paris Agreement.</w:t>
      </w:r>
    </w:p>
    <w:p w14:paraId="59A76002" w14:textId="77777777" w:rsidR="00502238" w:rsidRPr="00FD12D3" w:rsidRDefault="00502238" w:rsidP="00502238">
      <w:pPr>
        <w:pStyle w:val="BodyText"/>
        <w:spacing w:before="100" w:after="100"/>
      </w:pPr>
      <w:r w:rsidRPr="00FD12D3">
        <w:t>MfE uses the QC-checking procedures included in the GHG Inventory Reporting Tool where available to ensure the data submitted are complete. In addition, data in the GHG Inventory Reporting Tool are checked for anomalies, errors and omissions.</w:t>
      </w:r>
    </w:p>
    <w:p w14:paraId="051B09F1" w14:textId="77777777" w:rsidR="00502238" w:rsidRPr="00FD12D3" w:rsidRDefault="00502238" w:rsidP="00502238">
      <w:pPr>
        <w:pStyle w:val="BodyText"/>
        <w:spacing w:before="100" w:after="100"/>
      </w:pPr>
      <w:r w:rsidRPr="00FD12D3">
        <w:rPr>
          <w:spacing w:val="-2"/>
        </w:rPr>
        <w:t>After the CRT are compiled for each inventory sector, the CRT data for each sector and category</w:t>
      </w:r>
      <w:r w:rsidRPr="00FD12D3">
        <w:t xml:space="preserve"> are reviewed by the inventory compilation project team for data integrity and time-series consistency before sector finalisation. The purpose of this review is to ensure that the CRT do not contain blank entries in the reported categories, and that all instances of using the ‘IE’ (included elsewhere) and ‘NE’ (not estimated) notation keys for GHG emissions, as well as </w:t>
      </w:r>
      <w:r w:rsidRPr="00FD12D3">
        <w:rPr>
          <w:spacing w:val="-2"/>
        </w:rPr>
        <w:t>large variations in the implied emission factors, have been explained. The results of these checks are provided to the sector leads so they can make any corrections and include the relevant references and explanations, if required, to finalise the CRT data for each inventory sector.</w:t>
      </w:r>
    </w:p>
    <w:p w14:paraId="79591486" w14:textId="77777777" w:rsidR="00502238" w:rsidRPr="00FD12D3" w:rsidRDefault="00502238" w:rsidP="00502238">
      <w:pPr>
        <w:pStyle w:val="BodyText"/>
        <w:spacing w:before="100" w:after="100"/>
      </w:pPr>
      <w:r w:rsidRPr="00FD12D3">
        <w:t>Annex 4 contains details of the QA/QC plan, including the processes applied during the preparation of the Inventory.</w:t>
      </w:r>
    </w:p>
    <w:p w14:paraId="69755ECD" w14:textId="77777777" w:rsidR="00502238" w:rsidRPr="00FD12D3" w:rsidRDefault="00502238" w:rsidP="00502238">
      <w:pPr>
        <w:pStyle w:val="Heading4"/>
      </w:pPr>
      <w:bookmarkStart w:id="73" w:name="improvement-planning"/>
      <w:r w:rsidRPr="00FD12D3">
        <w:t>Improvement planning</w:t>
      </w:r>
    </w:p>
    <w:p w14:paraId="56C2BDB5" w14:textId="77777777" w:rsidR="00502238" w:rsidRPr="00FD12D3" w:rsidRDefault="00502238" w:rsidP="00502238">
      <w:pPr>
        <w:pStyle w:val="BodyText"/>
      </w:pPr>
      <w:r w:rsidRPr="00FD12D3">
        <w:t xml:space="preserve">New Zealand’s QA/QC system includes prioritisation of improvements, processes around accepting improvements into the Inventory, in-depth review of sector inventories or their components every 5 to 10 years, and improving the expertise of key contributors to compiling the Inventory. The government audit agency (Audit New Zealand) makes annual audits of the </w:t>
      </w:r>
      <w:r w:rsidRPr="00FD12D3">
        <w:rPr>
          <w:spacing w:val="-2"/>
        </w:rPr>
        <w:t xml:space="preserve">Inventory including assuring the QA/QC procedures were followed. New Zealand also considers </w:t>
      </w:r>
      <w:r w:rsidRPr="00FD12D3">
        <w:t>the international technical expert reviews of the Inventory performed by qualified expert reviewer</w:t>
      </w:r>
      <w:r w:rsidRPr="00FD12D3">
        <w:rPr>
          <w:spacing w:val="-2"/>
        </w:rPr>
        <w:t>s through the Enhanced Transparency Framework under the Paris Agreement as an important element of QA/QC. The main aspects of QA/QC system are explained in detail below.</w:t>
      </w:r>
    </w:p>
    <w:p w14:paraId="07F49D6D" w14:textId="77777777" w:rsidR="00502238" w:rsidRPr="00FD12D3" w:rsidRDefault="00502238" w:rsidP="00502238">
      <w:pPr>
        <w:pStyle w:val="BodyText"/>
      </w:pPr>
      <w:r w:rsidRPr="00FD12D3">
        <w:t xml:space="preserve">All sector leads are encouraged to schedule sector-specific QA/QC audits of their systems at least every five years. Sector-specific examples are provided below. </w:t>
      </w:r>
    </w:p>
    <w:p w14:paraId="4E481BD0" w14:textId="77777777" w:rsidR="00502238" w:rsidRPr="00FD12D3" w:rsidRDefault="00502238" w:rsidP="00502238">
      <w:pPr>
        <w:pStyle w:val="BodyText"/>
      </w:pPr>
      <w:r w:rsidRPr="00FD12D3">
        <w:t>The Energy sector lead discussed sectoral issues with the Danish inventory team during bilateral meetings in 2017 dedicated to different aspects of the Energy sectoral inventory. The specific issues covered were: data sources, data collection and verification processes; using NZ ETS data for higher-tier methods in the Energy sector; applying higher-tier methods for road transport; disaggregation of non-road liquid fuel use; and fugitive emissions from fuels. In 2019, an external consultant was contracted to review and develop a QA/QC plan for the Energy sector. Most recommendations from that review have already been implemented, and work continues on addressing the remaining issues. In 2024, as part of an audit of MBIE’s annual report (MBIE, 2024) – which features published data of GHG emissions from electricity generation as a performance indicator – Audit New Zealand carried out an independent, in</w:t>
      </w:r>
      <w:r w:rsidRPr="00FD12D3">
        <w:noBreakHyphen/>
        <w:t>depth review of MBIE’s energy and emissions data process. The auditors examined the completeness and accuracy of MBIE’s emissions estimates and verified the integrity of the entire data processing chain from receipt of raw data to data entry, processing, calculation and reporting.</w:t>
      </w:r>
    </w:p>
    <w:p w14:paraId="3F5FE3C3" w14:textId="17457898" w:rsidR="00502238" w:rsidRPr="00FD12D3" w:rsidRDefault="00502238" w:rsidP="00502238">
      <w:pPr>
        <w:pStyle w:val="BodyText"/>
      </w:pPr>
      <w:r w:rsidRPr="00FD12D3">
        <w:t>The Agriculture sector completed a major QA/QC review of its calculation models with an external party in 2013. Since then, other QA/QC activities for the Agriculture sector have included a bilateral review with Australia in 2014 and an external review of equations used to determine metabolisable energy requirements in 2016. From 2022 to 2023, the Agriculture calculation models were migrated from an Excel-based system combined with Visual Basic for</w:t>
      </w:r>
      <w:r w:rsidR="007B7AD0">
        <w:t> </w:t>
      </w:r>
      <w:r w:rsidRPr="00FD12D3">
        <w:t>Applications code to an R-based system. The attention to detail required to replicate the model also acted as a QA/QC review. The R model and Excel model were run in parallel over the 2023 reporting cycle and compared again in detail. The increased transparency of the R model allows for a greater level of oversight by the analysts in the inventory team, making future QA/QC of the calculations easier.</w:t>
      </w:r>
    </w:p>
    <w:p w14:paraId="5CB18A94" w14:textId="77777777" w:rsidR="00502238" w:rsidRPr="00FD12D3" w:rsidRDefault="00502238" w:rsidP="00502238">
      <w:pPr>
        <w:pStyle w:val="BodyText"/>
      </w:pPr>
      <w:r w:rsidRPr="00FD12D3">
        <w:t>In 2024, MPI released a standard methodology and codebase for estimating on-farm emissions.</w:t>
      </w:r>
      <w:r w:rsidRPr="00FD12D3">
        <w:rPr>
          <w:rStyle w:val="FootnoteReference"/>
        </w:rPr>
        <w:footnoteReference w:id="12"/>
      </w:r>
      <w:r w:rsidRPr="00FD12D3">
        <w:t xml:space="preserve"> The work to develop a farm-level emissions calculation methodology provided additional QA/QC because this work used the inventory model and methodology as a basis. This involved experts at MPI outside of the inventory team going through the calculations in detail to adapt them for the farm-level application. For more information, see chapter 5, section 5.1.6.</w:t>
      </w:r>
    </w:p>
    <w:p w14:paraId="221E2855" w14:textId="77777777" w:rsidR="00502238" w:rsidRPr="00FD12D3" w:rsidRDefault="00502238" w:rsidP="00502238">
      <w:pPr>
        <w:pStyle w:val="Heading5"/>
      </w:pPr>
      <w:bookmarkStart w:id="74" w:name="prioritisation-of-improvements"/>
      <w:r w:rsidRPr="00FD12D3">
        <w:t>Prioritisation of improvements</w:t>
      </w:r>
    </w:p>
    <w:p w14:paraId="79FE132D" w14:textId="77777777" w:rsidR="00502238" w:rsidRPr="00FD12D3" w:rsidRDefault="00502238" w:rsidP="00502238">
      <w:pPr>
        <w:pStyle w:val="BodyText"/>
      </w:pPr>
      <w:r w:rsidRPr="00FD12D3">
        <w:t>Priorities for the development of the Inventory are guided by:</w:t>
      </w:r>
    </w:p>
    <w:p w14:paraId="23329E6F" w14:textId="77777777" w:rsidR="00502238" w:rsidRPr="00FD12D3" w:rsidRDefault="00502238" w:rsidP="00502238">
      <w:pPr>
        <w:pStyle w:val="Bullet"/>
      </w:pPr>
      <w:r w:rsidRPr="00FD12D3">
        <w:t>the results of key category analyses (level and trend)</w:t>
      </w:r>
    </w:p>
    <w:p w14:paraId="67F4D02E" w14:textId="77777777" w:rsidR="00502238" w:rsidRPr="00FD12D3" w:rsidRDefault="00502238" w:rsidP="00502238">
      <w:pPr>
        <w:pStyle w:val="Bullet"/>
      </w:pPr>
      <w:r w:rsidRPr="00FD12D3">
        <w:t>the degree of improvement to be achieved for existing emissions and removal estimates</w:t>
      </w:r>
    </w:p>
    <w:p w14:paraId="35E355F8" w14:textId="77777777" w:rsidR="00502238" w:rsidRPr="00FD12D3" w:rsidRDefault="00502238" w:rsidP="00502238">
      <w:pPr>
        <w:pStyle w:val="Bullet"/>
      </w:pPr>
      <w:r w:rsidRPr="00FD12D3">
        <w:t>the availability of resources required to implement the change</w:t>
      </w:r>
    </w:p>
    <w:p w14:paraId="6D65DC17" w14:textId="77777777" w:rsidR="00502238" w:rsidRPr="00FD12D3" w:rsidRDefault="00502238" w:rsidP="00502238">
      <w:pPr>
        <w:pStyle w:val="Bullet"/>
      </w:pPr>
      <w:r w:rsidRPr="00FD12D3">
        <w:t>recommendations from the technical expert review of the Inventory.</w:t>
      </w:r>
    </w:p>
    <w:p w14:paraId="77B945C1" w14:textId="77777777" w:rsidR="00502238" w:rsidRPr="00FD12D3" w:rsidRDefault="00502238" w:rsidP="00502238">
      <w:pPr>
        <w:pStyle w:val="BodyText"/>
      </w:pPr>
      <w:r w:rsidRPr="00FD12D3">
        <w:t xml:space="preserve">Uncertainties are also considered in prioritising improvements. For example, if a change in a methodological approach may lead to a significant increase in uncertainty of the estimates, then the proposed change may be rejected based on an undesired increase in uncertainty. Otherwise, if the proposed improvement is not expected to affect the uncertainty significantly </w:t>
      </w:r>
      <w:r w:rsidRPr="00FD12D3">
        <w:rPr>
          <w:spacing w:val="-2"/>
        </w:rPr>
        <w:t>or will reduce uncertainty, then the change is likely to be prioritised. Sector leads are encouraged</w:t>
      </w:r>
      <w:r w:rsidRPr="00FD12D3">
        <w:t xml:space="preserve"> to develop annual inventory improvement and QA and QC plans to reflect current and future developments for their sector of the inventory.</w:t>
      </w:r>
    </w:p>
    <w:p w14:paraId="19B5F06E" w14:textId="77777777" w:rsidR="00502238" w:rsidRPr="00FD12D3" w:rsidRDefault="00502238" w:rsidP="00502238">
      <w:pPr>
        <w:pStyle w:val="Heading5"/>
      </w:pPr>
      <w:bookmarkStart w:id="75" w:name="Xd4042aa741d773d9c1b3b9e3747cdd2889229e4"/>
      <w:bookmarkEnd w:id="74"/>
      <w:r w:rsidRPr="00FD12D3">
        <w:t>Acceptance of improvements and recalculations</w:t>
      </w:r>
    </w:p>
    <w:p w14:paraId="73D5746A" w14:textId="77777777" w:rsidR="00502238" w:rsidRPr="00FD12D3" w:rsidRDefault="00502238" w:rsidP="00502238">
      <w:pPr>
        <w:pStyle w:val="BodyText"/>
      </w:pPr>
      <w:r w:rsidRPr="00FD12D3">
        <w:t xml:space="preserve">All proposed methodological improvements in the Inventory undergo peer review by an independent expert or a group of experts to ensure that the improvement is consistent with IPCC guidelines (IPCC, 2006a; IPCC, 2019). </w:t>
      </w:r>
    </w:p>
    <w:p w14:paraId="5EDFF926" w14:textId="77777777" w:rsidR="00502238" w:rsidRPr="00FD12D3" w:rsidRDefault="00502238" w:rsidP="00502238">
      <w:pPr>
        <w:pStyle w:val="BodyText"/>
      </w:pPr>
      <w:r w:rsidRPr="00FD12D3">
        <w:rPr>
          <w:lang w:eastAsia="en-US"/>
        </w:rPr>
        <w:t xml:space="preserve">The RGG is responsible for: </w:t>
      </w:r>
    </w:p>
    <w:p w14:paraId="5165FD59" w14:textId="77777777" w:rsidR="00502238" w:rsidRPr="00FD12D3" w:rsidRDefault="00502238" w:rsidP="00502238">
      <w:pPr>
        <w:pStyle w:val="Bullet"/>
      </w:pPr>
      <w:r w:rsidRPr="00FD12D3">
        <w:t xml:space="preserve">endorsing all methodological improvements to the Inventory estimates </w:t>
      </w:r>
    </w:p>
    <w:p w14:paraId="50B5114E" w14:textId="77777777" w:rsidR="00502238" w:rsidRPr="00FD12D3" w:rsidRDefault="00502238" w:rsidP="00502238">
      <w:pPr>
        <w:pStyle w:val="Bullet"/>
      </w:pPr>
      <w:r w:rsidRPr="00FD12D3">
        <w:t>endorsing other improvements to the Inventory estimates (including updated activity data and/or error corrections), where the time-series recalculations are over 1 percent of the annual sector total in at least one year of the time series.</w:t>
      </w:r>
    </w:p>
    <w:p w14:paraId="4D65AC3C" w14:textId="77777777" w:rsidR="00502238" w:rsidRPr="00FD12D3" w:rsidRDefault="00502238" w:rsidP="00203F6C">
      <w:pPr>
        <w:pStyle w:val="BodyText"/>
        <w:spacing w:after="100"/>
      </w:pPr>
      <w:r w:rsidRPr="00FD12D3">
        <w:rPr>
          <w:spacing w:val="-2"/>
        </w:rPr>
        <w:t>Given the significance of the Agriculture sector to New Zealand’s emissions, the Government established the Agriculture Inventory Advisory Panel (the Panel). The Panel is an independent group of experts who assess if proposed improvements and recalculations in the sector’s emissions are scientifically robust enough to include in the inventory. Reports and/or papers on proposed changes must be peer reviewed before they are presented to the Panel. The Panel then advises MPI of its recommendations. Refer to chapter 5, section 5.1.5 for further detail</w:t>
      </w:r>
      <w:r w:rsidRPr="00FD12D3">
        <w:t>s.</w:t>
      </w:r>
    </w:p>
    <w:p w14:paraId="508D5DE6" w14:textId="77777777" w:rsidR="00502238" w:rsidRPr="00FD12D3" w:rsidRDefault="00502238" w:rsidP="00203F6C">
      <w:pPr>
        <w:pStyle w:val="BodyText"/>
        <w:spacing w:before="100" w:after="100"/>
      </w:pPr>
      <w:r w:rsidRPr="00FD12D3">
        <w:t>The recalculations need to be sufficiently explained in terms of improving one or more of the TACCC principles. All improvements that are subject to the RGG endorsement process, including the results of, and justifications for any recalculations, are documented and archived for future reference.</w:t>
      </w:r>
    </w:p>
    <w:p w14:paraId="5A58342B" w14:textId="77777777" w:rsidR="00502238" w:rsidRPr="00FD12D3" w:rsidRDefault="00502238" w:rsidP="00502238">
      <w:pPr>
        <w:pStyle w:val="Heading4"/>
      </w:pPr>
      <w:bookmarkStart w:id="76" w:name="verification-activities"/>
      <w:bookmarkEnd w:id="73"/>
      <w:bookmarkEnd w:id="75"/>
      <w:r w:rsidRPr="00FD12D3">
        <w:t>Verification activities</w:t>
      </w:r>
    </w:p>
    <w:p w14:paraId="04D639E1" w14:textId="77777777" w:rsidR="00502238" w:rsidRPr="00FD12D3" w:rsidRDefault="00502238" w:rsidP="00203F6C">
      <w:pPr>
        <w:pStyle w:val="BodyText"/>
        <w:spacing w:before="100" w:after="100"/>
      </w:pPr>
      <w:r w:rsidRPr="00FD12D3">
        <w:t xml:space="preserve">Where relevant, further verification activities carried out for a sector are discussed in the sector-specific chapters of this report. </w:t>
      </w:r>
    </w:p>
    <w:p w14:paraId="29772190" w14:textId="77777777" w:rsidR="00502238" w:rsidRPr="00FD12D3" w:rsidRDefault="00502238" w:rsidP="00203F6C">
      <w:pPr>
        <w:pStyle w:val="BodyText"/>
        <w:spacing w:before="100" w:after="100"/>
      </w:pPr>
      <w:r w:rsidRPr="00FD12D3">
        <w:t>In the Energy sector, the reference approach is used to verify the emissions estimates for CO</w:t>
      </w:r>
      <w:r w:rsidRPr="00FD12D3">
        <w:rPr>
          <w:vertAlign w:val="subscript"/>
        </w:rPr>
        <w:t>2</w:t>
      </w:r>
      <w:r w:rsidRPr="00FD12D3">
        <w:t xml:space="preserve"> obtained from the sectoral approach. Further detail is provided in volume 2, annex 3.</w:t>
      </w:r>
    </w:p>
    <w:p w14:paraId="5A4F6D53" w14:textId="77777777" w:rsidR="00502238" w:rsidRPr="00FD12D3" w:rsidRDefault="00502238" w:rsidP="00502238">
      <w:pPr>
        <w:pStyle w:val="Heading5"/>
      </w:pPr>
      <w:bookmarkStart w:id="77" w:name="new-zealand-emissions-trading-scheme"/>
      <w:r w:rsidRPr="00FD12D3">
        <w:t>New Zealand Emissions Trading Scheme</w:t>
      </w:r>
    </w:p>
    <w:p w14:paraId="3421E517" w14:textId="77777777" w:rsidR="00502238" w:rsidRPr="00FD12D3" w:rsidRDefault="00502238" w:rsidP="00203F6C">
      <w:pPr>
        <w:pStyle w:val="BodyText"/>
        <w:spacing w:before="100" w:after="100"/>
      </w:pPr>
      <w:r w:rsidRPr="00FD12D3">
        <w:t>The NZ ETS is one of the Government’s primary tools for reducing GHG emissions. This section explains the background of the NZ ETS and how the data collected for the NZ ETS have been used to verify CO</w:t>
      </w:r>
      <w:r w:rsidRPr="00FD12D3">
        <w:rPr>
          <w:vertAlign w:val="subscript"/>
        </w:rPr>
        <w:t>2</w:t>
      </w:r>
      <w:r w:rsidRPr="00FD12D3">
        <w:t xml:space="preserve"> emissions in the Energy and IPPU sectors.</w:t>
      </w:r>
    </w:p>
    <w:p w14:paraId="135E7854" w14:textId="77777777" w:rsidR="00502238" w:rsidRPr="00FD12D3" w:rsidRDefault="00502238" w:rsidP="00502238">
      <w:pPr>
        <w:pStyle w:val="Heading5"/>
      </w:pPr>
      <w:bookmarkStart w:id="78" w:name="new-zealand-units"/>
      <w:bookmarkEnd w:id="77"/>
      <w:r w:rsidRPr="00FD12D3">
        <w:t>New Zealand Units</w:t>
      </w:r>
    </w:p>
    <w:p w14:paraId="2A3AE13E" w14:textId="77777777" w:rsidR="00502238" w:rsidRPr="00FD12D3" w:rsidRDefault="00502238" w:rsidP="00203F6C">
      <w:pPr>
        <w:pStyle w:val="BodyText"/>
        <w:spacing w:before="100" w:after="100"/>
      </w:pPr>
      <w:r w:rsidRPr="00FD12D3">
        <w:t>The NZ ETS is based on trading units that each represent 1 tonne of CO</w:t>
      </w:r>
      <w:r w:rsidRPr="00FD12D3">
        <w:rPr>
          <w:vertAlign w:val="subscript"/>
        </w:rPr>
        <w:t>2</w:t>
      </w:r>
      <w:r w:rsidRPr="00FD12D3">
        <w:t>e, called New Zealand Units (NZUs), which are created and distributed by the New Zealand Government. The scheme was established through an amendment to the CCRA</w:t>
      </w:r>
      <w:r w:rsidRPr="00FD12D3">
        <w:rPr>
          <w:rStyle w:val="FootnoteReference"/>
        </w:rPr>
        <w:footnoteReference w:id="13"/>
      </w:r>
      <w:r w:rsidRPr="00FD12D3">
        <w:t xml:space="preserve"> and came into effect progressively from 2008, with coverage since 2010 of all substantial emissions except agricultural CH</w:t>
      </w:r>
      <w:r w:rsidRPr="00FD12D3">
        <w:rPr>
          <w:vertAlign w:val="subscript"/>
        </w:rPr>
        <w:t>4</w:t>
      </w:r>
      <w:r w:rsidRPr="00FD12D3">
        <w:t xml:space="preserve"> and N</w:t>
      </w:r>
      <w:r w:rsidRPr="00FD12D3">
        <w:rPr>
          <w:vertAlign w:val="subscript"/>
        </w:rPr>
        <w:t>2</w:t>
      </w:r>
      <w:r w:rsidRPr="00FD12D3">
        <w:t>O.</w:t>
      </w:r>
    </w:p>
    <w:p w14:paraId="2FDFE03D" w14:textId="77777777" w:rsidR="00502238" w:rsidRPr="00FD12D3" w:rsidRDefault="00502238" w:rsidP="00203F6C">
      <w:pPr>
        <w:pStyle w:val="BodyText"/>
        <w:spacing w:before="100" w:after="100"/>
      </w:pPr>
      <w:r w:rsidRPr="00FD12D3">
        <w:t>Sectors under the scheme are required to report on their emissions and surrender units to the Government to cover their emissions. The Government supplies units for emissions removals through forestry and exports of emitting products from New Zealand. Units are also supplied as industrial allocation to firms carrying out activities that are emissions intensive and trade exposed, to address the risk of emissions leakage, and via quarterly auctions.</w:t>
      </w:r>
    </w:p>
    <w:p w14:paraId="3AAA6066" w14:textId="77777777" w:rsidR="00502238" w:rsidRPr="00FD12D3" w:rsidRDefault="00502238" w:rsidP="00203F6C">
      <w:pPr>
        <w:pStyle w:val="BodyText"/>
        <w:spacing w:before="100" w:after="100"/>
      </w:pPr>
      <w:r w:rsidRPr="00FD12D3">
        <w:t>More information on the NZ ETS can be found on the MfE website.</w:t>
      </w:r>
      <w:r w:rsidRPr="00FD12D3">
        <w:rPr>
          <w:rStyle w:val="FootnoteReference"/>
        </w:rPr>
        <w:footnoteReference w:id="14"/>
      </w:r>
    </w:p>
    <w:p w14:paraId="3540F389" w14:textId="77777777" w:rsidR="00502238" w:rsidRPr="00FD12D3" w:rsidRDefault="00502238" w:rsidP="00502238">
      <w:pPr>
        <w:pStyle w:val="Heading5"/>
      </w:pPr>
      <w:bookmarkStart w:id="79" w:name="verification"/>
      <w:bookmarkEnd w:id="78"/>
      <w:r w:rsidRPr="00FD12D3">
        <w:t>Verification</w:t>
      </w:r>
    </w:p>
    <w:p w14:paraId="17CB9761" w14:textId="77777777" w:rsidR="00502238" w:rsidRPr="00FD12D3" w:rsidRDefault="00502238" w:rsidP="00502238">
      <w:pPr>
        <w:pStyle w:val="BodyText"/>
      </w:pPr>
      <w:r w:rsidRPr="00FD12D3">
        <w:t xml:space="preserve">Participants in the NZ ETS are required to record and report the GHG emissions for which they </w:t>
      </w:r>
      <w:r w:rsidRPr="00FD12D3">
        <w:rPr>
          <w:spacing w:val="-2"/>
        </w:rPr>
        <w:t>have obligations or if they are claiming NZUs for removing GHG emissions from the atmosphere</w:t>
      </w:r>
      <w:r w:rsidRPr="00FD12D3">
        <w:t>. Participants with obligations are also required to annually surrender NZUs to cover their emissions. How participants estimate their emissions is set out in the regulations prescribed under the CCRA. The schedule for sectors entering the NZ ETS is detailed in table 1.5.</w:t>
      </w:r>
      <w:r>
        <w:t>1</w:t>
      </w:r>
      <w:r w:rsidRPr="00FD12D3">
        <w:t>.</w:t>
      </w:r>
    </w:p>
    <w:p w14:paraId="787B1816" w14:textId="77777777" w:rsidR="00502238" w:rsidRPr="00FD12D3" w:rsidRDefault="00502238" w:rsidP="00502238">
      <w:pPr>
        <w:pStyle w:val="BodyText"/>
      </w:pPr>
      <w:r w:rsidRPr="00FD12D3">
        <w:t>Data collected for the NZ ETS were used to verify the Inventory estimates for CO</w:t>
      </w:r>
      <w:r w:rsidRPr="00FD12D3">
        <w:rPr>
          <w:vertAlign w:val="subscript"/>
        </w:rPr>
        <w:t>2</w:t>
      </w:r>
      <w:r w:rsidRPr="00FD12D3">
        <w:t xml:space="preserve"> emissions in the Energy and IPPU sectors (see chapter 3 and chapter 4 for further detail on the verification). Data from the NZ ETS were used as a primary source in the IPPU sector for the cement and lime industries, and in the Waste sector to verify activity data on municipal waste disposal. Data reported under the WMA have been used as the primary data (see chapter 7 for details).</w:t>
      </w:r>
    </w:p>
    <w:p w14:paraId="2557F882" w14:textId="77777777" w:rsidR="00502238" w:rsidRPr="00FD12D3" w:rsidRDefault="00502238" w:rsidP="00502238">
      <w:pPr>
        <w:pStyle w:val="BodyText"/>
      </w:pPr>
      <w:r w:rsidRPr="00FD12D3">
        <w:t>The NZ ETS data are also used for verifying activity data in the LULUCF sector. Forest age, area and deforestation as reported under the NZ ETS are used for verifying the areas of pre-1990 planted forest, post-1989 forest and deforestation.</w:t>
      </w:r>
    </w:p>
    <w:p w14:paraId="3AE55816" w14:textId="77777777" w:rsidR="00502238" w:rsidRPr="00FD12D3" w:rsidRDefault="00502238" w:rsidP="00502238">
      <w:pPr>
        <w:pStyle w:val="Table"/>
      </w:pPr>
      <w:bookmarkStart w:id="80" w:name="_Toc226668946"/>
      <w:r w:rsidRPr="00FD12D3">
        <w:t>Table 1.5.</w:t>
      </w:r>
      <w:r>
        <w:t>1</w:t>
      </w:r>
      <w:r w:rsidRPr="00FD12D3">
        <w:t xml:space="preserve"> </w:t>
      </w:r>
      <w:r w:rsidRPr="00FD12D3">
        <w:tab/>
        <w:t>Dates for sector entry into the New Zealand Emissions Trading Scheme</w:t>
      </w:r>
      <w:bookmarkEnd w:id="80"/>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3456"/>
        <w:gridCol w:w="1503"/>
        <w:gridCol w:w="2332"/>
        <w:gridCol w:w="1214"/>
      </w:tblGrid>
      <w:tr w:rsidR="00502238" w:rsidRPr="00FD12D3" w14:paraId="228F3BF1" w14:textId="77777777" w:rsidTr="00F16E23">
        <w:trPr>
          <w:tblHeader/>
        </w:trPr>
        <w:tc>
          <w:tcPr>
            <w:tcW w:w="3397" w:type="dxa"/>
            <w:shd w:val="clear" w:color="auto" w:fill="1B556B"/>
            <w:tcMar>
              <w:top w:w="0" w:type="dxa"/>
              <w:left w:w="85" w:type="dxa"/>
              <w:bottom w:w="0" w:type="dxa"/>
              <w:right w:w="85" w:type="dxa"/>
            </w:tcMar>
            <w:vAlign w:val="center"/>
          </w:tcPr>
          <w:p w14:paraId="0B711B10"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Sector</w:t>
            </w:r>
          </w:p>
        </w:tc>
        <w:tc>
          <w:tcPr>
            <w:tcW w:w="1478" w:type="dxa"/>
            <w:shd w:val="clear" w:color="auto" w:fill="1B556B"/>
            <w:tcMar>
              <w:top w:w="0" w:type="dxa"/>
              <w:left w:w="85" w:type="dxa"/>
              <w:bottom w:w="0" w:type="dxa"/>
              <w:right w:w="85" w:type="dxa"/>
            </w:tcMar>
            <w:vAlign w:val="center"/>
          </w:tcPr>
          <w:p w14:paraId="0D27EAD7"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Voluntary reporting</w:t>
            </w:r>
          </w:p>
        </w:tc>
        <w:tc>
          <w:tcPr>
            <w:tcW w:w="2293" w:type="dxa"/>
            <w:shd w:val="clear" w:color="auto" w:fill="1B556B"/>
            <w:tcMar>
              <w:top w:w="0" w:type="dxa"/>
              <w:left w:w="85" w:type="dxa"/>
              <w:bottom w:w="0" w:type="dxa"/>
              <w:right w:w="85" w:type="dxa"/>
            </w:tcMar>
            <w:vAlign w:val="center"/>
          </w:tcPr>
          <w:p w14:paraId="4F68EC28"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Mandatory reporting</w:t>
            </w:r>
          </w:p>
        </w:tc>
        <w:tc>
          <w:tcPr>
            <w:tcW w:w="1193" w:type="dxa"/>
            <w:shd w:val="clear" w:color="auto" w:fill="1B556B"/>
            <w:tcMar>
              <w:top w:w="0" w:type="dxa"/>
              <w:left w:w="85" w:type="dxa"/>
              <w:bottom w:w="0" w:type="dxa"/>
              <w:right w:w="85" w:type="dxa"/>
            </w:tcMar>
            <w:vAlign w:val="center"/>
          </w:tcPr>
          <w:p w14:paraId="0738A143" w14:textId="77777777" w:rsidR="00502238" w:rsidRPr="00FD12D3" w:rsidRDefault="00502238" w:rsidP="00F16E23">
            <w:pPr>
              <w:pStyle w:val="TableTextBold"/>
              <w:spacing w:before="40" w:after="40"/>
              <w:rPr>
                <w:color w:val="FFFFFF" w:themeColor="background1"/>
              </w:rPr>
            </w:pPr>
            <w:r w:rsidRPr="00FD12D3">
              <w:rPr>
                <w:rFonts w:eastAsia="Calibri"/>
                <w:color w:val="FFFFFF" w:themeColor="background1"/>
              </w:rPr>
              <w:t>Obligations</w:t>
            </w:r>
          </w:p>
        </w:tc>
      </w:tr>
      <w:tr w:rsidR="00502238" w:rsidRPr="00FD12D3" w14:paraId="5432D017" w14:textId="77777777" w:rsidTr="00F16E23">
        <w:tc>
          <w:tcPr>
            <w:tcW w:w="3397" w:type="dxa"/>
            <w:shd w:val="clear" w:color="auto" w:fill="FFFFFF" w:themeFill="background1"/>
            <w:tcMar>
              <w:top w:w="0" w:type="dxa"/>
              <w:left w:w="85" w:type="dxa"/>
              <w:bottom w:w="0" w:type="dxa"/>
              <w:right w:w="85" w:type="dxa"/>
            </w:tcMar>
            <w:vAlign w:val="center"/>
          </w:tcPr>
          <w:p w14:paraId="6BFB53A8" w14:textId="77777777" w:rsidR="00502238" w:rsidRPr="00FD12D3" w:rsidRDefault="00502238" w:rsidP="00F16E23">
            <w:pPr>
              <w:pStyle w:val="TableText"/>
              <w:spacing w:before="40" w:after="40"/>
            </w:pPr>
            <w:r w:rsidRPr="00FD12D3">
              <w:t>Forestry</w:t>
            </w:r>
          </w:p>
        </w:tc>
        <w:tc>
          <w:tcPr>
            <w:tcW w:w="1478" w:type="dxa"/>
            <w:shd w:val="clear" w:color="auto" w:fill="FFFFFF" w:themeFill="background1"/>
            <w:tcMar>
              <w:top w:w="0" w:type="dxa"/>
              <w:left w:w="85" w:type="dxa"/>
              <w:bottom w:w="0" w:type="dxa"/>
              <w:right w:w="85" w:type="dxa"/>
            </w:tcMar>
            <w:vAlign w:val="center"/>
          </w:tcPr>
          <w:p w14:paraId="23C53C55" w14:textId="77777777" w:rsidR="00502238" w:rsidRPr="00FD12D3" w:rsidRDefault="00502238" w:rsidP="00F16E23">
            <w:pPr>
              <w:pStyle w:val="TableText"/>
              <w:spacing w:before="40" w:after="40"/>
            </w:pPr>
            <w:r w:rsidRPr="00FD12D3">
              <w:t>–</w:t>
            </w:r>
          </w:p>
        </w:tc>
        <w:tc>
          <w:tcPr>
            <w:tcW w:w="2293" w:type="dxa"/>
            <w:shd w:val="clear" w:color="auto" w:fill="FFFFFF" w:themeFill="background1"/>
            <w:tcMar>
              <w:top w:w="0" w:type="dxa"/>
              <w:left w:w="85" w:type="dxa"/>
              <w:bottom w:w="0" w:type="dxa"/>
              <w:right w:w="85" w:type="dxa"/>
            </w:tcMar>
            <w:vAlign w:val="center"/>
          </w:tcPr>
          <w:p w14:paraId="60A85CB9" w14:textId="77777777" w:rsidR="00502238" w:rsidRPr="00FD12D3" w:rsidRDefault="00502238" w:rsidP="00F16E23">
            <w:pPr>
              <w:pStyle w:val="TableText"/>
              <w:spacing w:before="40" w:after="40"/>
            </w:pPr>
            <w:r w:rsidRPr="00FD12D3">
              <w:t>–</w:t>
            </w:r>
          </w:p>
        </w:tc>
        <w:tc>
          <w:tcPr>
            <w:tcW w:w="1193" w:type="dxa"/>
            <w:shd w:val="clear" w:color="auto" w:fill="FFFFFF" w:themeFill="background1"/>
            <w:tcMar>
              <w:top w:w="0" w:type="dxa"/>
              <w:left w:w="85" w:type="dxa"/>
              <w:bottom w:w="0" w:type="dxa"/>
              <w:right w:w="85" w:type="dxa"/>
            </w:tcMar>
            <w:vAlign w:val="center"/>
          </w:tcPr>
          <w:p w14:paraId="35FA08DD" w14:textId="77777777" w:rsidR="00502238" w:rsidRPr="00FD12D3" w:rsidRDefault="00502238" w:rsidP="00F16E23">
            <w:pPr>
              <w:pStyle w:val="TableText"/>
              <w:spacing w:before="40" w:after="40"/>
            </w:pPr>
            <w:r w:rsidRPr="00FD12D3">
              <w:t>1 January 2008</w:t>
            </w:r>
          </w:p>
        </w:tc>
      </w:tr>
      <w:tr w:rsidR="00502238" w:rsidRPr="00FD12D3" w14:paraId="1D5104A7" w14:textId="77777777" w:rsidTr="00F16E23">
        <w:tc>
          <w:tcPr>
            <w:tcW w:w="3397" w:type="dxa"/>
            <w:shd w:val="clear" w:color="auto" w:fill="FFFFFF" w:themeFill="background1"/>
            <w:tcMar>
              <w:top w:w="0" w:type="dxa"/>
              <w:left w:w="85" w:type="dxa"/>
              <w:bottom w:w="0" w:type="dxa"/>
              <w:right w:w="85" w:type="dxa"/>
            </w:tcMar>
            <w:vAlign w:val="center"/>
          </w:tcPr>
          <w:p w14:paraId="3C65D8F9" w14:textId="77777777" w:rsidR="00502238" w:rsidRPr="00FD12D3" w:rsidRDefault="00502238" w:rsidP="00F16E23">
            <w:pPr>
              <w:pStyle w:val="TableText"/>
              <w:spacing w:before="40" w:after="40"/>
            </w:pPr>
            <w:r w:rsidRPr="00FD12D3">
              <w:t>Transport fuels</w:t>
            </w:r>
          </w:p>
        </w:tc>
        <w:tc>
          <w:tcPr>
            <w:tcW w:w="1478" w:type="dxa"/>
            <w:shd w:val="clear" w:color="auto" w:fill="FFFFFF" w:themeFill="background1"/>
            <w:tcMar>
              <w:top w:w="0" w:type="dxa"/>
              <w:left w:w="85" w:type="dxa"/>
              <w:bottom w:w="0" w:type="dxa"/>
              <w:right w:w="85" w:type="dxa"/>
            </w:tcMar>
            <w:vAlign w:val="center"/>
          </w:tcPr>
          <w:p w14:paraId="2A41A166" w14:textId="77777777" w:rsidR="00502238" w:rsidRPr="00FD12D3" w:rsidRDefault="00502238" w:rsidP="00F16E23">
            <w:pPr>
              <w:pStyle w:val="TableText"/>
              <w:spacing w:before="40" w:after="40"/>
            </w:pPr>
            <w:r w:rsidRPr="00FD12D3">
              <w:t>–</w:t>
            </w:r>
          </w:p>
        </w:tc>
        <w:tc>
          <w:tcPr>
            <w:tcW w:w="2293" w:type="dxa"/>
            <w:shd w:val="clear" w:color="auto" w:fill="FFFFFF" w:themeFill="background1"/>
            <w:tcMar>
              <w:top w:w="0" w:type="dxa"/>
              <w:left w:w="85" w:type="dxa"/>
              <w:bottom w:w="0" w:type="dxa"/>
              <w:right w:w="85" w:type="dxa"/>
            </w:tcMar>
            <w:vAlign w:val="center"/>
          </w:tcPr>
          <w:p w14:paraId="32D990D6" w14:textId="77777777" w:rsidR="00502238" w:rsidRPr="00FD12D3" w:rsidRDefault="00502238" w:rsidP="00F16E23">
            <w:pPr>
              <w:pStyle w:val="TableText"/>
              <w:spacing w:before="40" w:after="40"/>
            </w:pPr>
            <w:r w:rsidRPr="00FD12D3">
              <w:t>1 January 2010</w:t>
            </w:r>
          </w:p>
        </w:tc>
        <w:tc>
          <w:tcPr>
            <w:tcW w:w="1193" w:type="dxa"/>
            <w:shd w:val="clear" w:color="auto" w:fill="FFFFFF" w:themeFill="background1"/>
            <w:tcMar>
              <w:top w:w="0" w:type="dxa"/>
              <w:left w:w="85" w:type="dxa"/>
              <w:bottom w:w="0" w:type="dxa"/>
              <w:right w:w="85" w:type="dxa"/>
            </w:tcMar>
            <w:vAlign w:val="center"/>
          </w:tcPr>
          <w:p w14:paraId="5F961FDB" w14:textId="77777777" w:rsidR="00502238" w:rsidRPr="00FD12D3" w:rsidRDefault="00502238" w:rsidP="00F16E23">
            <w:pPr>
              <w:pStyle w:val="TableText"/>
              <w:spacing w:before="40" w:after="40"/>
            </w:pPr>
            <w:r w:rsidRPr="00FD12D3">
              <w:t>1 July 2010</w:t>
            </w:r>
          </w:p>
        </w:tc>
      </w:tr>
      <w:tr w:rsidR="00502238" w:rsidRPr="00FD12D3" w14:paraId="5E5330A5" w14:textId="77777777" w:rsidTr="00F16E23">
        <w:tc>
          <w:tcPr>
            <w:tcW w:w="3397" w:type="dxa"/>
            <w:shd w:val="clear" w:color="auto" w:fill="FFFFFF" w:themeFill="background1"/>
            <w:tcMar>
              <w:top w:w="0" w:type="dxa"/>
              <w:left w:w="85" w:type="dxa"/>
              <w:bottom w:w="0" w:type="dxa"/>
              <w:right w:w="85" w:type="dxa"/>
            </w:tcMar>
            <w:vAlign w:val="center"/>
          </w:tcPr>
          <w:p w14:paraId="482C4A51" w14:textId="77777777" w:rsidR="00502238" w:rsidRPr="00FD12D3" w:rsidRDefault="00502238" w:rsidP="00F16E23">
            <w:pPr>
              <w:pStyle w:val="TableText"/>
              <w:spacing w:before="40" w:after="40"/>
            </w:pPr>
            <w:r w:rsidRPr="00FD12D3">
              <w:t>Stationary energy, including electricity production</w:t>
            </w:r>
          </w:p>
        </w:tc>
        <w:tc>
          <w:tcPr>
            <w:tcW w:w="1478" w:type="dxa"/>
            <w:shd w:val="clear" w:color="auto" w:fill="FFFFFF" w:themeFill="background1"/>
            <w:tcMar>
              <w:top w:w="0" w:type="dxa"/>
              <w:left w:w="85" w:type="dxa"/>
              <w:bottom w:w="0" w:type="dxa"/>
              <w:right w:w="85" w:type="dxa"/>
            </w:tcMar>
            <w:vAlign w:val="center"/>
          </w:tcPr>
          <w:p w14:paraId="662BE27C" w14:textId="77777777" w:rsidR="00502238" w:rsidRPr="00FD12D3" w:rsidRDefault="00502238" w:rsidP="00F16E23">
            <w:pPr>
              <w:pStyle w:val="TableText"/>
              <w:spacing w:before="40" w:after="40"/>
            </w:pPr>
            <w:r w:rsidRPr="00FD12D3">
              <w:t>–</w:t>
            </w:r>
          </w:p>
        </w:tc>
        <w:tc>
          <w:tcPr>
            <w:tcW w:w="2293" w:type="dxa"/>
            <w:shd w:val="clear" w:color="auto" w:fill="FFFFFF" w:themeFill="background1"/>
            <w:tcMar>
              <w:top w:w="0" w:type="dxa"/>
              <w:left w:w="85" w:type="dxa"/>
              <w:bottom w:w="0" w:type="dxa"/>
              <w:right w:w="85" w:type="dxa"/>
            </w:tcMar>
            <w:vAlign w:val="center"/>
          </w:tcPr>
          <w:p w14:paraId="3C9C9FD1" w14:textId="77777777" w:rsidR="00502238" w:rsidRPr="00FD12D3" w:rsidRDefault="00502238" w:rsidP="00F16E23">
            <w:pPr>
              <w:pStyle w:val="TableText"/>
              <w:spacing w:before="40" w:after="40"/>
            </w:pPr>
            <w:r w:rsidRPr="00FD12D3">
              <w:t>1 January 2010</w:t>
            </w:r>
          </w:p>
        </w:tc>
        <w:tc>
          <w:tcPr>
            <w:tcW w:w="1193" w:type="dxa"/>
            <w:shd w:val="clear" w:color="auto" w:fill="FFFFFF" w:themeFill="background1"/>
            <w:tcMar>
              <w:top w:w="0" w:type="dxa"/>
              <w:left w:w="85" w:type="dxa"/>
              <w:bottom w:w="0" w:type="dxa"/>
              <w:right w:w="85" w:type="dxa"/>
            </w:tcMar>
            <w:vAlign w:val="center"/>
          </w:tcPr>
          <w:p w14:paraId="5FABD690" w14:textId="77777777" w:rsidR="00502238" w:rsidRPr="00FD12D3" w:rsidRDefault="00502238" w:rsidP="00F16E23">
            <w:pPr>
              <w:pStyle w:val="TableText"/>
              <w:spacing w:before="40" w:after="40"/>
            </w:pPr>
            <w:r w:rsidRPr="00FD12D3">
              <w:t>1 July 2010</w:t>
            </w:r>
          </w:p>
        </w:tc>
      </w:tr>
      <w:tr w:rsidR="00502238" w:rsidRPr="00FD12D3" w14:paraId="26422780" w14:textId="77777777" w:rsidTr="00F16E23">
        <w:tc>
          <w:tcPr>
            <w:tcW w:w="3397" w:type="dxa"/>
            <w:shd w:val="clear" w:color="auto" w:fill="FFFFFF" w:themeFill="background1"/>
            <w:tcMar>
              <w:top w:w="0" w:type="dxa"/>
              <w:left w:w="85" w:type="dxa"/>
              <w:bottom w:w="0" w:type="dxa"/>
              <w:right w:w="85" w:type="dxa"/>
            </w:tcMar>
            <w:vAlign w:val="center"/>
          </w:tcPr>
          <w:p w14:paraId="387E1E15" w14:textId="77777777" w:rsidR="00502238" w:rsidRPr="00FD12D3" w:rsidRDefault="00502238" w:rsidP="00F16E23">
            <w:pPr>
              <w:pStyle w:val="TableText"/>
              <w:spacing w:before="40" w:after="40"/>
            </w:pPr>
            <w:r w:rsidRPr="00FD12D3">
              <w:t>IPPU</w:t>
            </w:r>
          </w:p>
        </w:tc>
        <w:tc>
          <w:tcPr>
            <w:tcW w:w="1478" w:type="dxa"/>
            <w:shd w:val="clear" w:color="auto" w:fill="FFFFFF" w:themeFill="background1"/>
            <w:tcMar>
              <w:top w:w="0" w:type="dxa"/>
              <w:left w:w="85" w:type="dxa"/>
              <w:bottom w:w="0" w:type="dxa"/>
              <w:right w:w="85" w:type="dxa"/>
            </w:tcMar>
            <w:vAlign w:val="center"/>
          </w:tcPr>
          <w:p w14:paraId="5954D3EF" w14:textId="77777777" w:rsidR="00502238" w:rsidRPr="00FD12D3" w:rsidRDefault="00502238" w:rsidP="00F16E23">
            <w:pPr>
              <w:pStyle w:val="TableText"/>
              <w:spacing w:before="40" w:after="40"/>
            </w:pPr>
            <w:r w:rsidRPr="00FD12D3">
              <w:t>–</w:t>
            </w:r>
          </w:p>
        </w:tc>
        <w:tc>
          <w:tcPr>
            <w:tcW w:w="2293" w:type="dxa"/>
            <w:shd w:val="clear" w:color="auto" w:fill="FFFFFF" w:themeFill="background1"/>
            <w:tcMar>
              <w:top w:w="0" w:type="dxa"/>
              <w:left w:w="85" w:type="dxa"/>
              <w:bottom w:w="0" w:type="dxa"/>
              <w:right w:w="85" w:type="dxa"/>
            </w:tcMar>
            <w:vAlign w:val="center"/>
          </w:tcPr>
          <w:p w14:paraId="26535C88" w14:textId="77777777" w:rsidR="00502238" w:rsidRPr="00FD12D3" w:rsidRDefault="00502238" w:rsidP="00F16E23">
            <w:pPr>
              <w:pStyle w:val="TableText"/>
              <w:spacing w:before="40" w:after="40"/>
            </w:pPr>
            <w:r w:rsidRPr="00FD12D3">
              <w:t>1 January 2010</w:t>
            </w:r>
          </w:p>
        </w:tc>
        <w:tc>
          <w:tcPr>
            <w:tcW w:w="1193" w:type="dxa"/>
            <w:shd w:val="clear" w:color="auto" w:fill="FFFFFF" w:themeFill="background1"/>
            <w:tcMar>
              <w:top w:w="0" w:type="dxa"/>
              <w:left w:w="85" w:type="dxa"/>
              <w:bottom w:w="0" w:type="dxa"/>
              <w:right w:w="85" w:type="dxa"/>
            </w:tcMar>
            <w:vAlign w:val="center"/>
          </w:tcPr>
          <w:p w14:paraId="671185AD" w14:textId="77777777" w:rsidR="00502238" w:rsidRPr="00FD12D3" w:rsidRDefault="00502238" w:rsidP="00F16E23">
            <w:pPr>
              <w:pStyle w:val="TableText"/>
              <w:spacing w:before="40" w:after="40"/>
            </w:pPr>
            <w:r w:rsidRPr="00FD12D3">
              <w:t>1 July 2010</w:t>
            </w:r>
          </w:p>
        </w:tc>
      </w:tr>
      <w:tr w:rsidR="00502238" w:rsidRPr="00FD12D3" w14:paraId="47DA4833" w14:textId="77777777" w:rsidTr="00F16E23">
        <w:tc>
          <w:tcPr>
            <w:tcW w:w="3397" w:type="dxa"/>
            <w:shd w:val="clear" w:color="auto" w:fill="FFFFFF" w:themeFill="background1"/>
            <w:tcMar>
              <w:top w:w="0" w:type="dxa"/>
              <w:left w:w="85" w:type="dxa"/>
              <w:bottom w:w="0" w:type="dxa"/>
              <w:right w:w="85" w:type="dxa"/>
            </w:tcMar>
            <w:vAlign w:val="center"/>
          </w:tcPr>
          <w:p w14:paraId="52F21152" w14:textId="77777777" w:rsidR="00502238" w:rsidRPr="00FD12D3" w:rsidRDefault="00502238" w:rsidP="00F16E23">
            <w:pPr>
              <w:pStyle w:val="TableText"/>
              <w:spacing w:before="40" w:after="40"/>
            </w:pPr>
            <w:r w:rsidRPr="00FD12D3">
              <w:t>Synthetic gases</w:t>
            </w:r>
          </w:p>
        </w:tc>
        <w:tc>
          <w:tcPr>
            <w:tcW w:w="1478" w:type="dxa"/>
            <w:shd w:val="clear" w:color="auto" w:fill="FFFFFF" w:themeFill="background1"/>
            <w:tcMar>
              <w:top w:w="0" w:type="dxa"/>
              <w:left w:w="85" w:type="dxa"/>
              <w:bottom w:w="0" w:type="dxa"/>
              <w:right w:w="85" w:type="dxa"/>
            </w:tcMar>
            <w:vAlign w:val="center"/>
          </w:tcPr>
          <w:p w14:paraId="2B8F5CFE" w14:textId="77777777" w:rsidR="00502238" w:rsidRPr="00FD12D3" w:rsidRDefault="00502238" w:rsidP="00F16E23">
            <w:pPr>
              <w:pStyle w:val="TableText"/>
              <w:spacing w:before="40" w:after="40"/>
            </w:pPr>
            <w:r w:rsidRPr="00FD12D3">
              <w:t>1 January 2011</w:t>
            </w:r>
          </w:p>
        </w:tc>
        <w:tc>
          <w:tcPr>
            <w:tcW w:w="2293" w:type="dxa"/>
            <w:shd w:val="clear" w:color="auto" w:fill="FFFFFF" w:themeFill="background1"/>
            <w:tcMar>
              <w:top w:w="0" w:type="dxa"/>
              <w:left w:w="85" w:type="dxa"/>
              <w:bottom w:w="0" w:type="dxa"/>
              <w:right w:w="85" w:type="dxa"/>
            </w:tcMar>
            <w:vAlign w:val="center"/>
          </w:tcPr>
          <w:p w14:paraId="35EF4CD3" w14:textId="77777777" w:rsidR="00502238" w:rsidRPr="00FD12D3" w:rsidRDefault="00502238" w:rsidP="00F16E23">
            <w:pPr>
              <w:pStyle w:val="TableText"/>
              <w:spacing w:before="40" w:after="40"/>
            </w:pPr>
            <w:r w:rsidRPr="00FD12D3">
              <w:t>1 January 2012</w:t>
            </w:r>
          </w:p>
        </w:tc>
        <w:tc>
          <w:tcPr>
            <w:tcW w:w="1193" w:type="dxa"/>
            <w:shd w:val="clear" w:color="auto" w:fill="FFFFFF" w:themeFill="background1"/>
            <w:tcMar>
              <w:top w:w="0" w:type="dxa"/>
              <w:left w:w="85" w:type="dxa"/>
              <w:bottom w:w="0" w:type="dxa"/>
              <w:right w:w="85" w:type="dxa"/>
            </w:tcMar>
            <w:vAlign w:val="center"/>
          </w:tcPr>
          <w:p w14:paraId="3862F83F" w14:textId="77777777" w:rsidR="00502238" w:rsidRPr="00FD12D3" w:rsidRDefault="00502238" w:rsidP="00F16E23">
            <w:pPr>
              <w:pStyle w:val="TableText"/>
              <w:spacing w:before="40" w:after="40"/>
            </w:pPr>
            <w:r w:rsidRPr="00FD12D3">
              <w:t>1 January 2013</w:t>
            </w:r>
          </w:p>
        </w:tc>
      </w:tr>
      <w:tr w:rsidR="00502238" w:rsidRPr="00FD12D3" w14:paraId="7A0D6E51" w14:textId="77777777" w:rsidTr="00F16E23">
        <w:tc>
          <w:tcPr>
            <w:tcW w:w="3397" w:type="dxa"/>
            <w:shd w:val="clear" w:color="auto" w:fill="FFFFFF" w:themeFill="background1"/>
            <w:tcMar>
              <w:top w:w="0" w:type="dxa"/>
              <w:left w:w="85" w:type="dxa"/>
              <w:bottom w:w="0" w:type="dxa"/>
              <w:right w:w="85" w:type="dxa"/>
            </w:tcMar>
            <w:vAlign w:val="center"/>
          </w:tcPr>
          <w:p w14:paraId="1C10B907" w14:textId="77777777" w:rsidR="00502238" w:rsidRPr="00FD12D3" w:rsidRDefault="00502238" w:rsidP="00F16E23">
            <w:pPr>
              <w:pStyle w:val="TableText"/>
              <w:spacing w:before="40" w:after="40"/>
            </w:pPr>
            <w:r w:rsidRPr="00FD12D3">
              <w:t>Waste</w:t>
            </w:r>
          </w:p>
        </w:tc>
        <w:tc>
          <w:tcPr>
            <w:tcW w:w="1478" w:type="dxa"/>
            <w:shd w:val="clear" w:color="auto" w:fill="FFFFFF" w:themeFill="background1"/>
            <w:tcMar>
              <w:top w:w="0" w:type="dxa"/>
              <w:left w:w="85" w:type="dxa"/>
              <w:bottom w:w="0" w:type="dxa"/>
              <w:right w:w="85" w:type="dxa"/>
            </w:tcMar>
            <w:vAlign w:val="center"/>
          </w:tcPr>
          <w:p w14:paraId="4896F59E" w14:textId="77777777" w:rsidR="00502238" w:rsidRPr="00FD12D3" w:rsidRDefault="00502238" w:rsidP="00F16E23">
            <w:pPr>
              <w:pStyle w:val="TableText"/>
              <w:spacing w:before="40" w:after="40"/>
            </w:pPr>
            <w:r w:rsidRPr="00FD12D3">
              <w:t>1 January 2011</w:t>
            </w:r>
          </w:p>
        </w:tc>
        <w:tc>
          <w:tcPr>
            <w:tcW w:w="2293" w:type="dxa"/>
            <w:shd w:val="clear" w:color="auto" w:fill="FFFFFF" w:themeFill="background1"/>
            <w:tcMar>
              <w:top w:w="0" w:type="dxa"/>
              <w:left w:w="85" w:type="dxa"/>
              <w:bottom w:w="0" w:type="dxa"/>
              <w:right w:w="85" w:type="dxa"/>
            </w:tcMar>
            <w:vAlign w:val="center"/>
          </w:tcPr>
          <w:p w14:paraId="62599174" w14:textId="77777777" w:rsidR="00502238" w:rsidRPr="00FD12D3" w:rsidRDefault="00502238" w:rsidP="00F16E23">
            <w:pPr>
              <w:pStyle w:val="TableText"/>
              <w:spacing w:before="40" w:after="40"/>
            </w:pPr>
            <w:r w:rsidRPr="00FD12D3">
              <w:t>1 January 2012</w:t>
            </w:r>
          </w:p>
        </w:tc>
        <w:tc>
          <w:tcPr>
            <w:tcW w:w="1193" w:type="dxa"/>
            <w:shd w:val="clear" w:color="auto" w:fill="FFFFFF" w:themeFill="background1"/>
            <w:tcMar>
              <w:top w:w="0" w:type="dxa"/>
              <w:left w:w="85" w:type="dxa"/>
              <w:bottom w:w="0" w:type="dxa"/>
              <w:right w:w="85" w:type="dxa"/>
            </w:tcMar>
            <w:vAlign w:val="center"/>
          </w:tcPr>
          <w:p w14:paraId="212DEDED" w14:textId="77777777" w:rsidR="00502238" w:rsidRPr="00FD12D3" w:rsidRDefault="00502238" w:rsidP="00F16E23">
            <w:pPr>
              <w:pStyle w:val="TableText"/>
              <w:spacing w:before="40" w:after="40"/>
            </w:pPr>
            <w:r w:rsidRPr="00FD12D3">
              <w:t>1 January 2013</w:t>
            </w:r>
          </w:p>
        </w:tc>
      </w:tr>
      <w:tr w:rsidR="00502238" w:rsidRPr="00FD12D3" w14:paraId="71F0DCEA" w14:textId="77777777" w:rsidTr="00F16E23">
        <w:tc>
          <w:tcPr>
            <w:tcW w:w="3397" w:type="dxa"/>
            <w:shd w:val="clear" w:color="auto" w:fill="FFFFFF" w:themeFill="background1"/>
            <w:tcMar>
              <w:top w:w="0" w:type="dxa"/>
              <w:left w:w="85" w:type="dxa"/>
              <w:bottom w:w="0" w:type="dxa"/>
              <w:right w:w="85" w:type="dxa"/>
            </w:tcMar>
            <w:vAlign w:val="center"/>
          </w:tcPr>
          <w:p w14:paraId="704E15BB" w14:textId="77777777" w:rsidR="00502238" w:rsidRPr="00FD12D3" w:rsidRDefault="00502238" w:rsidP="00F16E23">
            <w:pPr>
              <w:pStyle w:val="TableText"/>
              <w:spacing w:before="40" w:after="40"/>
            </w:pPr>
            <w:r w:rsidRPr="00FD12D3">
              <w:t>Agriculture</w:t>
            </w:r>
          </w:p>
        </w:tc>
        <w:tc>
          <w:tcPr>
            <w:tcW w:w="1478" w:type="dxa"/>
            <w:shd w:val="clear" w:color="auto" w:fill="FFFFFF" w:themeFill="background1"/>
            <w:tcMar>
              <w:top w:w="0" w:type="dxa"/>
              <w:left w:w="85" w:type="dxa"/>
              <w:bottom w:w="0" w:type="dxa"/>
              <w:right w:w="85" w:type="dxa"/>
            </w:tcMar>
            <w:vAlign w:val="center"/>
          </w:tcPr>
          <w:p w14:paraId="7EA48DF5" w14:textId="77777777" w:rsidR="00502238" w:rsidRPr="00FD12D3" w:rsidRDefault="00502238" w:rsidP="00F16E23">
            <w:pPr>
              <w:pStyle w:val="TableText"/>
              <w:spacing w:before="40" w:after="40"/>
            </w:pPr>
            <w:r w:rsidRPr="00FD12D3">
              <w:t>1 January 2011</w:t>
            </w:r>
          </w:p>
        </w:tc>
        <w:tc>
          <w:tcPr>
            <w:tcW w:w="2293" w:type="dxa"/>
            <w:shd w:val="clear" w:color="auto" w:fill="FFFFFF" w:themeFill="background1"/>
            <w:tcMar>
              <w:top w:w="0" w:type="dxa"/>
              <w:left w:w="85" w:type="dxa"/>
              <w:bottom w:w="0" w:type="dxa"/>
              <w:right w:w="85" w:type="dxa"/>
            </w:tcMar>
            <w:vAlign w:val="center"/>
          </w:tcPr>
          <w:p w14:paraId="09E6E6EB" w14:textId="77777777" w:rsidR="00502238" w:rsidRPr="00FD12D3" w:rsidRDefault="00502238" w:rsidP="00F16E23">
            <w:pPr>
              <w:pStyle w:val="TableText"/>
              <w:spacing w:before="40" w:after="40"/>
            </w:pPr>
            <w:r w:rsidRPr="00FD12D3">
              <w:t>1 January 2012–November 2024</w:t>
            </w:r>
          </w:p>
        </w:tc>
        <w:tc>
          <w:tcPr>
            <w:tcW w:w="1193" w:type="dxa"/>
            <w:shd w:val="clear" w:color="auto" w:fill="FFFFFF" w:themeFill="background1"/>
            <w:tcMar>
              <w:top w:w="0" w:type="dxa"/>
              <w:left w:w="85" w:type="dxa"/>
              <w:bottom w:w="0" w:type="dxa"/>
              <w:right w:w="85" w:type="dxa"/>
            </w:tcMar>
            <w:vAlign w:val="center"/>
          </w:tcPr>
          <w:p w14:paraId="7A358309" w14:textId="77777777" w:rsidR="00502238" w:rsidRPr="00FD12D3" w:rsidRDefault="00502238" w:rsidP="00F16E23">
            <w:pPr>
              <w:pStyle w:val="TableText"/>
              <w:spacing w:before="40" w:after="40"/>
            </w:pPr>
            <w:r w:rsidRPr="00FD12D3">
              <w:t>–</w:t>
            </w:r>
          </w:p>
        </w:tc>
      </w:tr>
    </w:tbl>
    <w:p w14:paraId="4057E588" w14:textId="77777777" w:rsidR="00502238" w:rsidRPr="00FD12D3" w:rsidRDefault="00502238" w:rsidP="00502238">
      <w:pPr>
        <w:pStyle w:val="Heading4"/>
        <w:spacing w:before="440"/>
      </w:pPr>
      <w:bookmarkStart w:id="81" w:name="treatment-of-confidentiality-issues"/>
      <w:bookmarkEnd w:id="76"/>
      <w:bookmarkEnd w:id="79"/>
      <w:r w:rsidRPr="00FD12D3">
        <w:t>Treatment of confidentiality issues</w:t>
      </w:r>
    </w:p>
    <w:p w14:paraId="070D7B3C" w14:textId="77777777" w:rsidR="00502238" w:rsidRPr="00FD12D3" w:rsidRDefault="00502238" w:rsidP="00502238">
      <w:pPr>
        <w:pStyle w:val="BodyText"/>
      </w:pPr>
      <w:r w:rsidRPr="00FD12D3">
        <w:t>When specific emissions and activity data in the Inventory can result in identifying individuals and/or individual businesses and, therefore, affect their wellbeing, commercial interest in trade and/or negotiations, those data are considered to be confidential.</w:t>
      </w:r>
    </w:p>
    <w:p w14:paraId="2B3D64B2" w14:textId="77777777" w:rsidR="00502238" w:rsidRPr="00FD12D3" w:rsidRDefault="00502238" w:rsidP="00502238">
      <w:pPr>
        <w:pStyle w:val="BodyText"/>
      </w:pPr>
      <w:r w:rsidRPr="00FD12D3">
        <w:t xml:space="preserve">The Inventory is a Tier 1 statistic under New Zealand’s Official Statistics System. The inventory compilation process adheres to the </w:t>
      </w:r>
      <w:r w:rsidRPr="00FD12D3">
        <w:rPr>
          <w:i/>
          <w:iCs/>
        </w:rPr>
        <w:t>Principles and Protocols for Producers of Tier 1 Statistics</w:t>
      </w:r>
      <w:r w:rsidRPr="00FD12D3">
        <w:t xml:space="preserve"> (Stats NZ, 2007). The relevant definition of confidentiality (protocol 4) is as follows.</w:t>
      </w:r>
    </w:p>
    <w:p w14:paraId="6D4CC778" w14:textId="77777777" w:rsidR="00502238" w:rsidRPr="00FD12D3" w:rsidRDefault="00502238" w:rsidP="00502238">
      <w:pPr>
        <w:pStyle w:val="Bullet"/>
      </w:pPr>
      <w:r w:rsidRPr="00FD12D3">
        <w:t>Confidentiality refers to the protection of individuals’ and organisations’ information, and ensuring that the information is not made available or disclosed to unauthorised individuals or entities.</w:t>
      </w:r>
    </w:p>
    <w:p w14:paraId="358D3963" w14:textId="77777777" w:rsidR="00502238" w:rsidRPr="00FD12D3" w:rsidRDefault="00502238" w:rsidP="00502238">
      <w:pPr>
        <w:pStyle w:val="Bullet"/>
      </w:pPr>
      <w:r w:rsidRPr="00FD12D3">
        <w:t>The protection of respondents’ information is a cornerstone of maintaining the integrity of the Official Statistics System.</w:t>
      </w:r>
    </w:p>
    <w:p w14:paraId="05DF48EF" w14:textId="77777777" w:rsidR="00502238" w:rsidRPr="00FD12D3" w:rsidRDefault="00502238" w:rsidP="00502238">
      <w:pPr>
        <w:pStyle w:val="BodyText"/>
        <w:rPr>
          <w:spacing w:val="-2"/>
        </w:rPr>
      </w:pPr>
      <w:r w:rsidRPr="00FD12D3">
        <w:t xml:space="preserve">Confidential data are aggregated to draw out the information that is important to the user, without disclosing confidential data (IPCC, 2006b). For New Zealand, confidentiality issues largely apply to sources of emissions in the Energy and IPPU sectors, where an entire industry or source category is often represented by just one or two companies. Therefore, a practice of presenting information as an ‘industry average’ is often not applicable in New Zealand because this would breach business confidentiality. Confidential information is held by the agencies </w:t>
      </w:r>
      <w:r w:rsidRPr="00FD12D3">
        <w:rPr>
          <w:spacing w:val="-2"/>
        </w:rPr>
        <w:t>preparing the inventory sector estimates (MPI, MBIE and MfE), and each agency has security procedures (e.g., password-restricted access to files on computers) to keep the data confidential.</w:t>
      </w:r>
    </w:p>
    <w:p w14:paraId="61FDB49E" w14:textId="77777777" w:rsidR="00502238" w:rsidRPr="00FD12D3" w:rsidRDefault="00502238" w:rsidP="00502238">
      <w:pPr>
        <w:pStyle w:val="BodyText"/>
      </w:pPr>
      <w:r w:rsidRPr="00FD12D3">
        <w:t>To protect the confidentiality of businesses that contribute data to the Inventory, two approaches are used.</w:t>
      </w:r>
    </w:p>
    <w:p w14:paraId="5D06E94A" w14:textId="77777777" w:rsidR="00502238" w:rsidRPr="00FD12D3" w:rsidRDefault="00502238" w:rsidP="00502238">
      <w:pPr>
        <w:pStyle w:val="Bullet"/>
      </w:pPr>
      <w:r w:rsidRPr="00FD12D3">
        <w:t>Where emissions cannot be reported without compromising confidentiality, the corresponding activity data are not reported and are marked as confidential in the CRT.</w:t>
      </w:r>
    </w:p>
    <w:p w14:paraId="6D309831" w14:textId="77777777" w:rsidR="00502238" w:rsidRPr="00FD12D3" w:rsidRDefault="00502238" w:rsidP="00502238">
      <w:pPr>
        <w:pStyle w:val="Bullet"/>
      </w:pPr>
      <w:r w:rsidRPr="00FD12D3">
        <w:t>Where reporting emissions data would risk breaching confidentiality, the emissions data are aggregated with other emissions from a different source category. The notation key ‘IE’ (included elsewhere) is used.</w:t>
      </w:r>
    </w:p>
    <w:p w14:paraId="7C4B879C" w14:textId="77777777" w:rsidR="00502238" w:rsidRPr="00FD12D3" w:rsidRDefault="00502238" w:rsidP="00502238">
      <w:pPr>
        <w:pStyle w:val="Heading2"/>
      </w:pPr>
      <w:bookmarkStart w:id="82" w:name="_Toc226460743"/>
      <w:bookmarkStart w:id="83" w:name="X37dec5a5b6dcf423aa87ffe2cd8110852a4605f"/>
      <w:bookmarkEnd w:id="72"/>
      <w:bookmarkEnd w:id="81"/>
      <w:r w:rsidRPr="00FD12D3">
        <w:t xml:space="preserve">1.6 </w:t>
      </w:r>
      <w:r w:rsidRPr="00FD12D3">
        <w:tab/>
        <w:t>General uncertainty assessment, including data pertaining to the overall uncertainty of inventory totals</w:t>
      </w:r>
      <w:bookmarkEnd w:id="82"/>
    </w:p>
    <w:p w14:paraId="789E5697" w14:textId="77777777" w:rsidR="00502238" w:rsidRPr="00FD12D3" w:rsidRDefault="00502238" w:rsidP="00502238">
      <w:pPr>
        <w:pStyle w:val="BodyText"/>
      </w:pPr>
      <w:r w:rsidRPr="00FD12D3">
        <w:t xml:space="preserve">Uncertainty estimates are an important part of producing a complete inventory. Their purpose is not to dispute the validity of the inventory estimates but to help prioritise efforts to improve the accuracy of inventories and guide decisions on methodological choice (IPCC, 2006b). </w:t>
      </w:r>
    </w:p>
    <w:p w14:paraId="6D6CE6D9" w14:textId="77777777" w:rsidR="00502238" w:rsidRPr="00FD12D3" w:rsidRDefault="00502238" w:rsidP="00502238">
      <w:pPr>
        <w:pStyle w:val="BodyText"/>
      </w:pPr>
      <w:r w:rsidRPr="00FD12D3">
        <w:t>Inventories prepared in accordance with the IPCC guidelines (IPCC, 2006a; IPCC, 2019) contain a wide range of emissions estimates, varying from those that are well understood through to those that are more challenging to quantify.</w:t>
      </w:r>
    </w:p>
    <w:p w14:paraId="05E106C0" w14:textId="77777777" w:rsidR="00502238" w:rsidRPr="00FD12D3" w:rsidRDefault="00502238" w:rsidP="00502238">
      <w:pPr>
        <w:pStyle w:val="BodyText"/>
      </w:pPr>
      <w:r w:rsidRPr="00FD12D3">
        <w:t>New Zealand assesses uncertainty in its aggregated emissions using the IPCC’s Approach 1 (IPCC, 2006b). Uncertainties from individual categories are combined to estimate uncertainty for all emissions for the latest reporting year and the base year, as well as for the trend over time. Annex 2 (volume 2) provides detailed uncertainty results for net emissions (including LULUCF) in table A2.1.1, and for gross emissions (excluding LULUCF) in table A2.1.2.</w:t>
      </w:r>
    </w:p>
    <w:p w14:paraId="24CCA73A" w14:textId="77777777" w:rsidR="00502238" w:rsidRPr="00FD12D3" w:rsidRDefault="00502238" w:rsidP="00502238">
      <w:pPr>
        <w:pStyle w:val="BodyText"/>
      </w:pPr>
      <w:r w:rsidRPr="00FD12D3">
        <w:t>Most uncertainty values are determined when New Zealand develops country-specific emission factors or collects activity data, using expert judgement from sectoral or industry experts, or by referring to uncertainty ranges provided by the IPCC (IPCC, 2006b, 2019). Uncertainty is first estimated at the lowest level where information and data exist.</w:t>
      </w:r>
    </w:p>
    <w:p w14:paraId="5A382DBE" w14:textId="77777777" w:rsidR="00502238" w:rsidRPr="00FD12D3" w:rsidRDefault="00502238" w:rsidP="00502238">
      <w:pPr>
        <w:pStyle w:val="BodyText"/>
      </w:pPr>
      <w:r w:rsidRPr="00FD12D3">
        <w:t>These low-level uncertainties are then aggregated by sector up to the second-level category for each gas (CO</w:t>
      </w:r>
      <w:r w:rsidRPr="00FD12D3">
        <w:rPr>
          <w:vertAlign w:val="subscript"/>
        </w:rPr>
        <w:t>2</w:t>
      </w:r>
      <w:r w:rsidRPr="00FD12D3">
        <w:t>, CH</w:t>
      </w:r>
      <w:r w:rsidRPr="00FD12D3">
        <w:rPr>
          <w:vertAlign w:val="subscript"/>
        </w:rPr>
        <w:t>4</w:t>
      </w:r>
      <w:r w:rsidRPr="00FD12D3">
        <w:t>, N</w:t>
      </w:r>
      <w:r w:rsidRPr="00FD12D3">
        <w:rPr>
          <w:vertAlign w:val="subscript"/>
        </w:rPr>
        <w:t>2</w:t>
      </w:r>
      <w:r w:rsidRPr="00FD12D3">
        <w:t>O and SF</w:t>
      </w:r>
      <w:r w:rsidRPr="00FD12D3">
        <w:rPr>
          <w:vertAlign w:val="subscript"/>
        </w:rPr>
        <w:t>6</w:t>
      </w:r>
      <w:r w:rsidRPr="00FD12D3">
        <w:t>) or for groups of gases (HFCs and PFCs). The aggregated values are submitted to the inventory compilation team, who performing overall uncertainty calculations for gross and net emissions, including both level and trend.</w:t>
      </w:r>
    </w:p>
    <w:p w14:paraId="383FAB6A" w14:textId="77777777" w:rsidR="00502238" w:rsidRPr="00FD12D3" w:rsidRDefault="00502238" w:rsidP="00502238">
      <w:pPr>
        <w:pStyle w:val="BodyText"/>
      </w:pPr>
      <w:r w:rsidRPr="00FD12D3">
        <w:t>In most cases, to aggregate uncertainties from subcategories, sectoral compilers use the IPCC’s Approach 1 (IPCC, 2006b, equation 3.2, page 3.28).</w:t>
      </w:r>
    </w:p>
    <w:p w14:paraId="7D9FCFBB" w14:textId="77777777" w:rsidR="00502238" w:rsidRPr="00FD12D3" w:rsidRDefault="00502238" w:rsidP="00502238">
      <w:pPr>
        <w:pStyle w:val="BodyText"/>
      </w:pPr>
      <w:r w:rsidRPr="00FD12D3">
        <w:t>For more detail, refer to the sector-specific chapters.</w:t>
      </w:r>
    </w:p>
    <w:p w14:paraId="76F12B0C" w14:textId="77777777" w:rsidR="00502238" w:rsidRPr="00FD12D3" w:rsidRDefault="00502238" w:rsidP="00502238">
      <w:pPr>
        <w:pStyle w:val="Heading4"/>
      </w:pPr>
      <w:bookmarkStart w:id="84" w:name="gross-emissions"/>
      <w:r w:rsidRPr="00FD12D3">
        <w:t>Gross emissions</w:t>
      </w:r>
    </w:p>
    <w:p w14:paraId="1D0D5DC7" w14:textId="77777777" w:rsidR="00502238" w:rsidRPr="00FD12D3" w:rsidRDefault="00502238" w:rsidP="00502238">
      <w:pPr>
        <w:pStyle w:val="Heading5"/>
        <w:spacing w:before="180"/>
      </w:pPr>
      <w:r w:rsidRPr="00FD12D3">
        <w:t xml:space="preserve">Level </w:t>
      </w:r>
      <w:bookmarkStart w:id="85" w:name="uncertainty-in-2024-level-assessment"/>
      <w:r w:rsidRPr="00FD12D3">
        <w:t xml:space="preserve">uncertainty assessment for </w:t>
      </w:r>
      <w:r w:rsidRPr="00FD12D3">
        <w:rPr>
          <w:bCs w:val="0"/>
        </w:rPr>
        <w:t>2024</w:t>
      </w:r>
    </w:p>
    <w:p w14:paraId="24D35CDB" w14:textId="77777777" w:rsidR="00502238" w:rsidRPr="00FD12D3" w:rsidRDefault="00502238" w:rsidP="00502238">
      <w:pPr>
        <w:pStyle w:val="BodyText"/>
      </w:pPr>
      <w:r>
        <w:t xml:space="preserve">The uncertainty in gross emissions (excluding emissions and removals from the LULUCF sector) in 2024 was ±8.6 percent. This is a decrease of 0.05 percentage points from that reported for 2023 in the previous submission. Emissions contributing the most to the overall uncertainty of gross emissions in 2024 were CH₄ from </w:t>
      </w:r>
      <w:r w:rsidRPr="4490CCA6">
        <w:rPr>
          <w:i/>
          <w:iCs/>
        </w:rPr>
        <w:t>Agriculture – Enteric fermentation</w:t>
      </w:r>
      <w:r>
        <w:t xml:space="preserve"> (±16.0 percent), at 6.7 percent, N₂O from </w:t>
      </w:r>
      <w:r w:rsidRPr="4490CCA6">
        <w:rPr>
          <w:i/>
          <w:iCs/>
        </w:rPr>
        <w:t>Agriculture – Agricultural soils</w:t>
      </w:r>
      <w:r>
        <w:t xml:space="preserve"> (±55.9 percent), at 4.5 percent, and CH₄ from </w:t>
      </w:r>
      <w:r w:rsidRPr="4490CCA6">
        <w:rPr>
          <w:i/>
          <w:iCs/>
        </w:rPr>
        <w:t>Waste – Solid waste disposal</w:t>
      </w:r>
      <w:r>
        <w:t xml:space="preserve"> (±89.4 percent), at 2.7 percent. The uncertainty in these categories reflects the inherent variability when estimating emissions from natural systems.</w:t>
      </w:r>
    </w:p>
    <w:p w14:paraId="5B9E14EC" w14:textId="77777777" w:rsidR="00502238" w:rsidRPr="00FD12D3" w:rsidRDefault="00502238" w:rsidP="00502238">
      <w:pPr>
        <w:pStyle w:val="Heading5"/>
      </w:pPr>
      <w:bookmarkStart w:id="86" w:name="uncertainty-in-1990-level-assessment"/>
      <w:bookmarkEnd w:id="85"/>
      <w:r w:rsidRPr="00FD12D3">
        <w:t xml:space="preserve">Level uncertainty assessment for </w:t>
      </w:r>
      <w:r w:rsidRPr="00FD12D3">
        <w:rPr>
          <w:bCs w:val="0"/>
        </w:rPr>
        <w:t>1990</w:t>
      </w:r>
      <w:r w:rsidRPr="00FD12D3">
        <w:t xml:space="preserve"> </w:t>
      </w:r>
    </w:p>
    <w:p w14:paraId="5A9599FE" w14:textId="77777777" w:rsidR="00502238" w:rsidRPr="00FD12D3" w:rsidRDefault="00502238" w:rsidP="00502238">
      <w:pPr>
        <w:pStyle w:val="BodyText"/>
      </w:pPr>
      <w:r w:rsidRPr="00FD12D3">
        <w:rPr>
          <w:spacing w:val="-2"/>
        </w:rPr>
        <w:t>The uncertainty in gross emissions in 1990 was ±9.0 percent. This is a decrease of 0.1 percentage</w:t>
      </w:r>
      <w:r w:rsidRPr="00FD12D3">
        <w:t xml:space="preserve"> points from that reported in the previous submission. Emissions of CH₄ from </w:t>
      </w:r>
      <w:r w:rsidRPr="00FD12D3">
        <w:rPr>
          <w:i/>
          <w:iCs/>
        </w:rPr>
        <w:t>Agriculture – Enteric fermentation</w:t>
      </w:r>
      <w:r w:rsidRPr="00FD12D3">
        <w:t xml:space="preserve"> contributed 7.4 percent, N₂O from </w:t>
      </w:r>
      <w:r w:rsidRPr="00FD12D3">
        <w:rPr>
          <w:i/>
          <w:iCs/>
        </w:rPr>
        <w:t>Agriculture – Agricultural soils</w:t>
      </w:r>
      <w:r w:rsidRPr="00FD12D3">
        <w:t xml:space="preserve"> contributed 3.7 percent and CH₄ from </w:t>
      </w:r>
      <w:r w:rsidRPr="00FD12D3">
        <w:rPr>
          <w:i/>
          <w:iCs/>
        </w:rPr>
        <w:t>Waste – Solid waste disposal</w:t>
      </w:r>
      <w:r w:rsidRPr="00FD12D3">
        <w:t xml:space="preserve"> contributed 3.5 percent to the overall uncertainty of gross emissions in 1990.</w:t>
      </w:r>
    </w:p>
    <w:p w14:paraId="38419392" w14:textId="77777777" w:rsidR="00502238" w:rsidRPr="00FD12D3" w:rsidRDefault="00502238" w:rsidP="00502238">
      <w:pPr>
        <w:pStyle w:val="Heading5"/>
      </w:pPr>
      <w:bookmarkStart w:id="87" w:name="uncertainty-in-the-trend"/>
      <w:bookmarkEnd w:id="86"/>
      <w:r w:rsidRPr="00FD12D3">
        <w:t xml:space="preserve">Trend uncertainty assessment </w:t>
      </w:r>
    </w:p>
    <w:p w14:paraId="46C709E7" w14:textId="77777777" w:rsidR="00502238" w:rsidRPr="00FD12D3" w:rsidRDefault="00502238" w:rsidP="00502238">
      <w:pPr>
        <w:pStyle w:val="BodyText"/>
      </w:pPr>
      <w:r w:rsidRPr="00FD12D3">
        <w:t xml:space="preserve">The trend uncertainty in gross emissions (excluding emissions and removals from the LULUCF sector) from 1990 to 2024 was ±5.3 percent. This is a decrease of 0.1 percentage points from that reported in the previous submission. This decrease is primarily a result of a decrease in the </w:t>
      </w:r>
      <w:r w:rsidRPr="00FD12D3">
        <w:rPr>
          <w:i/>
          <w:iCs/>
        </w:rPr>
        <w:t>Energy – Combustion of solid fuels</w:t>
      </w:r>
      <w:r w:rsidRPr="00FD12D3">
        <w:t xml:space="preserve"> uncertainties. </w:t>
      </w:r>
    </w:p>
    <w:p w14:paraId="5CD3AFCB" w14:textId="77777777" w:rsidR="00502238" w:rsidRPr="00FD12D3" w:rsidRDefault="00502238" w:rsidP="00502238">
      <w:pPr>
        <w:pStyle w:val="Heading4"/>
      </w:pPr>
      <w:bookmarkStart w:id="88" w:name="net-emissions"/>
      <w:bookmarkEnd w:id="84"/>
      <w:bookmarkEnd w:id="87"/>
      <w:r w:rsidRPr="00FD12D3">
        <w:t>Net emissions</w:t>
      </w:r>
    </w:p>
    <w:p w14:paraId="400BE686" w14:textId="77777777" w:rsidR="00502238" w:rsidRPr="00FD12D3" w:rsidRDefault="00502238" w:rsidP="00502238">
      <w:pPr>
        <w:pStyle w:val="Heading5"/>
        <w:spacing w:before="180"/>
      </w:pPr>
      <w:bookmarkStart w:id="89" w:name="uncertainty-in-2024-level-assessment-1"/>
      <w:r w:rsidRPr="00FD12D3">
        <w:t xml:space="preserve">Level uncertainty assessment for </w:t>
      </w:r>
      <w:r w:rsidRPr="00FD12D3">
        <w:rPr>
          <w:bCs w:val="0"/>
        </w:rPr>
        <w:t>2024</w:t>
      </w:r>
    </w:p>
    <w:p w14:paraId="23976C1D" w14:textId="77777777" w:rsidR="00502238" w:rsidRPr="00FD12D3" w:rsidRDefault="00502238" w:rsidP="00502238">
      <w:pPr>
        <w:pStyle w:val="BodyText"/>
      </w:pPr>
      <w:r w:rsidRPr="00FD12D3">
        <w:t xml:space="preserve">The uncertainty in net emissions (including emissions and removals from the LULUCF sector) in 2024 was ±25.3 percent. There has been an increase of 0.5 percentage points in uncertainty from that reported for 2023 in the previous submission. Emissions contributing the most to the overall uncertainty of net emissions in 2024 were CO₂ from </w:t>
      </w:r>
      <w:r w:rsidRPr="4490CCA6">
        <w:rPr>
          <w:i/>
          <w:iCs/>
        </w:rPr>
        <w:t>LULUCF – Forest land</w:t>
      </w:r>
      <w:r w:rsidRPr="00FD12D3">
        <w:t xml:space="preserve"> (±61.9 percent), at -21.2 percent, CH₄ from </w:t>
      </w:r>
      <w:r w:rsidRPr="4490CCA6">
        <w:rPr>
          <w:i/>
          <w:iCs/>
        </w:rPr>
        <w:t>Agriculture – Enteric fermentation</w:t>
      </w:r>
      <w:r w:rsidRPr="00FD12D3">
        <w:t xml:space="preserve"> (±16.0 percent) </w:t>
      </w:r>
      <w:r w:rsidRPr="00FD12D3">
        <w:rPr>
          <w:spacing w:val="-2"/>
        </w:rPr>
        <w:t xml:space="preserve">at 9.2 percent and CO₂ from </w:t>
      </w:r>
      <w:r w:rsidRPr="4490CCA6">
        <w:rPr>
          <w:i/>
          <w:iCs/>
          <w:spacing w:val="-2"/>
        </w:rPr>
        <w:t>LULUCF –</w:t>
      </w:r>
      <w:r w:rsidRPr="00FD12D3">
        <w:rPr>
          <w:spacing w:val="-2"/>
        </w:rPr>
        <w:t xml:space="preserve"> </w:t>
      </w:r>
      <w:r w:rsidRPr="4490CCA6">
        <w:rPr>
          <w:i/>
          <w:iCs/>
          <w:spacing w:val="-2"/>
        </w:rPr>
        <w:t>Harvested wood products</w:t>
      </w:r>
      <w:r w:rsidRPr="00FD12D3">
        <w:rPr>
          <w:spacing w:val="-2"/>
        </w:rPr>
        <w:t xml:space="preserve"> (±68.2 percent) at -6.6 percent</w:t>
      </w:r>
      <w:r w:rsidRPr="00FD12D3">
        <w:t>.</w:t>
      </w:r>
    </w:p>
    <w:p w14:paraId="031B4851" w14:textId="77777777" w:rsidR="00502238" w:rsidRPr="00FD12D3" w:rsidRDefault="00502238" w:rsidP="00502238">
      <w:pPr>
        <w:pStyle w:val="Heading5"/>
        <w:rPr>
          <w:bCs w:val="0"/>
        </w:rPr>
      </w:pPr>
      <w:bookmarkStart w:id="90" w:name="uncertainty-in-1990-level-assessment-1"/>
      <w:bookmarkEnd w:id="89"/>
      <w:r w:rsidRPr="00FD12D3">
        <w:t xml:space="preserve">Level uncertainty assessment for </w:t>
      </w:r>
      <w:r w:rsidRPr="00FD12D3">
        <w:rPr>
          <w:bCs w:val="0"/>
        </w:rPr>
        <w:t>1990</w:t>
      </w:r>
    </w:p>
    <w:p w14:paraId="48B1EC3F" w14:textId="77777777" w:rsidR="00502238" w:rsidRPr="00FD12D3" w:rsidRDefault="00502238" w:rsidP="00502238">
      <w:pPr>
        <w:pStyle w:val="BodyText"/>
      </w:pPr>
      <w:r w:rsidRPr="00FD12D3">
        <w:rPr>
          <w:spacing w:val="-2"/>
        </w:rPr>
        <w:t>The uncertainty in net emissions in 1990 was ±36.1 percent. This is a decrease of 0.8 percentage</w:t>
      </w:r>
      <w:r w:rsidRPr="00FD12D3">
        <w:t xml:space="preserve"> points from that reported in the previous submission.</w:t>
      </w:r>
    </w:p>
    <w:p w14:paraId="6CC0F5CB" w14:textId="77777777" w:rsidR="00502238" w:rsidRPr="00FD12D3" w:rsidRDefault="00502238" w:rsidP="00502238">
      <w:pPr>
        <w:pStyle w:val="BodyText"/>
      </w:pPr>
      <w:r w:rsidRPr="00FD12D3">
        <w:t xml:space="preserve">Emissions of CO₂ from </w:t>
      </w:r>
      <w:r w:rsidRPr="00FD12D3">
        <w:rPr>
          <w:i/>
          <w:iCs/>
        </w:rPr>
        <w:t>LULUCF –</w:t>
      </w:r>
      <w:r w:rsidRPr="00FD12D3">
        <w:t xml:space="preserve"> </w:t>
      </w:r>
      <w:r w:rsidRPr="00FD12D3">
        <w:rPr>
          <w:i/>
          <w:iCs/>
        </w:rPr>
        <w:t>Forest land</w:t>
      </w:r>
      <w:r w:rsidRPr="00FD12D3">
        <w:t xml:space="preserve"> contributed -33.0 percent, CH₄ from </w:t>
      </w:r>
      <w:r w:rsidRPr="00FD12D3">
        <w:rPr>
          <w:i/>
          <w:iCs/>
        </w:rPr>
        <w:t>Agriculture – Enteric fermentation</w:t>
      </w:r>
      <w:r w:rsidRPr="00FD12D3">
        <w:t xml:space="preserve"> contributed 11.2 percent and N₂O from </w:t>
      </w:r>
      <w:r w:rsidRPr="00FD12D3">
        <w:rPr>
          <w:i/>
          <w:iCs/>
        </w:rPr>
        <w:t>Agriculture –</w:t>
      </w:r>
      <w:r w:rsidRPr="00FD12D3">
        <w:t xml:space="preserve"> </w:t>
      </w:r>
      <w:r w:rsidRPr="00FD12D3">
        <w:rPr>
          <w:i/>
          <w:iCs/>
        </w:rPr>
        <w:t>Agricultural soils</w:t>
      </w:r>
      <w:r w:rsidRPr="00FD12D3">
        <w:t xml:space="preserve"> contributed 5.6 percent to the overall uncertainty of net emissions in 1990.</w:t>
      </w:r>
    </w:p>
    <w:p w14:paraId="41A25379" w14:textId="77777777" w:rsidR="00502238" w:rsidRPr="00FD12D3" w:rsidRDefault="00502238" w:rsidP="00502238">
      <w:pPr>
        <w:pStyle w:val="Heading5"/>
      </w:pPr>
      <w:bookmarkStart w:id="91" w:name="uncertainty-in-the-trend-1"/>
      <w:bookmarkEnd w:id="90"/>
      <w:r w:rsidRPr="00FD12D3">
        <w:t>Trend uncertainty assessment</w:t>
      </w:r>
    </w:p>
    <w:p w14:paraId="0B692400" w14:textId="77777777" w:rsidR="00502238" w:rsidRPr="00FD12D3" w:rsidRDefault="00502238" w:rsidP="00502238">
      <w:pPr>
        <w:pStyle w:val="BodyText"/>
      </w:pPr>
      <w:r>
        <w:t xml:space="preserve">When emissions and removals from the LULUCF sector are included, the overall uncertainty in the trend from 1990 to 2024 was ±17.3 percent. This is a decrease of 2.7 percentage points from that reported in the previous submission. This decrease is primarily a result of a decrease in the </w:t>
      </w:r>
      <w:r w:rsidRPr="4490CCA6">
        <w:rPr>
          <w:i/>
          <w:iCs/>
        </w:rPr>
        <w:t>LULUCF –</w:t>
      </w:r>
      <w:r>
        <w:t xml:space="preserve"> </w:t>
      </w:r>
      <w:r w:rsidRPr="4490CCA6">
        <w:rPr>
          <w:i/>
          <w:iCs/>
        </w:rPr>
        <w:t>Forest land</w:t>
      </w:r>
      <w:r>
        <w:t xml:space="preserve"> uncertainties.</w:t>
      </w:r>
    </w:p>
    <w:p w14:paraId="5B96BBB6" w14:textId="77777777" w:rsidR="00502238" w:rsidRPr="00FD12D3" w:rsidRDefault="00502238" w:rsidP="00502238">
      <w:pPr>
        <w:pStyle w:val="Heading2"/>
      </w:pPr>
      <w:bookmarkStart w:id="92" w:name="_Toc226460744"/>
      <w:bookmarkStart w:id="93" w:name="general-assessment-of-completeness"/>
      <w:bookmarkEnd w:id="83"/>
      <w:bookmarkEnd w:id="88"/>
      <w:bookmarkEnd w:id="91"/>
      <w:r w:rsidRPr="00FD12D3">
        <w:t xml:space="preserve">1.7 </w:t>
      </w:r>
      <w:r w:rsidRPr="00FD12D3">
        <w:tab/>
        <w:t>General assessment of completeness</w:t>
      </w:r>
      <w:bookmarkEnd w:id="92"/>
    </w:p>
    <w:p w14:paraId="40AC194C" w14:textId="77777777" w:rsidR="00502238" w:rsidRPr="00FD12D3" w:rsidRDefault="00502238" w:rsidP="00502238">
      <w:pPr>
        <w:pStyle w:val="BodyText"/>
      </w:pPr>
      <w:r w:rsidRPr="00FD12D3">
        <w:t>Under the Paris Agreement, the level of completeness of reported sources in national inventories must be assessed. In accordance with IPCC guidelines (2006b), New Zealand has focused its resources for inventory development on the key and non-key categories that are mandatory.</w:t>
      </w:r>
    </w:p>
    <w:p w14:paraId="25534CD5" w14:textId="77777777" w:rsidR="00502238" w:rsidRPr="00FD12D3" w:rsidRDefault="00502238" w:rsidP="00502238">
      <w:pPr>
        <w:pStyle w:val="Heading3"/>
      </w:pPr>
      <w:bookmarkStart w:id="94" w:name="information-on-completeness"/>
      <w:r w:rsidRPr="00FD12D3">
        <w:t xml:space="preserve">1.7.1 </w:t>
      </w:r>
      <w:r w:rsidRPr="00FD12D3">
        <w:tab/>
        <w:t>Information on completeness</w:t>
      </w:r>
    </w:p>
    <w:p w14:paraId="07B74127" w14:textId="77777777" w:rsidR="00502238" w:rsidRPr="00FD12D3" w:rsidRDefault="00502238" w:rsidP="00502238">
      <w:pPr>
        <w:pStyle w:val="Heading4"/>
      </w:pPr>
      <w:bookmarkStart w:id="95" w:name="emissions-reported-as-ne-not-estimated"/>
      <w:r w:rsidRPr="00FD12D3">
        <w:t>Emissions reported as ‘NE’ (not estimated)</w:t>
      </w:r>
    </w:p>
    <w:p w14:paraId="1C4B2A5F" w14:textId="77777777" w:rsidR="00502238" w:rsidRPr="00FD12D3" w:rsidRDefault="00502238" w:rsidP="00502238">
      <w:pPr>
        <w:pStyle w:val="BodyText"/>
      </w:pPr>
      <w:r w:rsidRPr="00FD12D3">
        <w:t>The notation key ‘NE’ signifies that emissions and/or removals occur but have not been estimated or reported. According to chapter II of the Annex to the decision 18/CMA.1 (UNFCCC, 2018b), ‘NE’ may be used when the estimates would be insignificant in terms of level according to the following considerations.</w:t>
      </w:r>
    </w:p>
    <w:p w14:paraId="0AA530A4" w14:textId="77777777" w:rsidR="00502238" w:rsidRPr="00FD12D3" w:rsidRDefault="00502238" w:rsidP="00502238">
      <w:pPr>
        <w:pStyle w:val="Bullet"/>
      </w:pPr>
      <w:r w:rsidRPr="00FD12D3">
        <w:t>Emissions from a category should only be considered insignificant if the likely level of emissions is below 0.05 percent of the national total GHG emissions, excluding LULUCF, or 500 kt CO</w:t>
      </w:r>
      <w:r w:rsidRPr="00FD12D3">
        <w:rPr>
          <w:vertAlign w:val="subscript"/>
        </w:rPr>
        <w:t>2</w:t>
      </w:r>
      <w:r w:rsidRPr="00FD12D3">
        <w:t>e, whichever is lower.</w:t>
      </w:r>
    </w:p>
    <w:p w14:paraId="7E47CAE8" w14:textId="77777777" w:rsidR="00502238" w:rsidRPr="00FD12D3" w:rsidRDefault="00502238" w:rsidP="00502238">
      <w:pPr>
        <w:pStyle w:val="Bullet"/>
      </w:pPr>
      <w:r w:rsidRPr="00FD12D3">
        <w:t>The total national aggregate of estimated emissions for all gases from categories considered insignificant shall remain below 0.1 percent of the national total GHG emissions, excluding LULUCF.</w:t>
      </w:r>
    </w:p>
    <w:p w14:paraId="2340237D" w14:textId="77777777" w:rsidR="00502238" w:rsidRPr="00FD12D3" w:rsidRDefault="00502238" w:rsidP="00502238">
      <w:pPr>
        <w:pStyle w:val="BodyText"/>
      </w:pPr>
      <w:r w:rsidRPr="00FD12D3">
        <w:t>Once emissions or removals have been estimated for a category, they must continue to be reported if they continue to occur.</w:t>
      </w:r>
    </w:p>
    <w:p w14:paraId="6E9E39F7" w14:textId="77777777" w:rsidR="00502238" w:rsidRPr="00FD12D3" w:rsidRDefault="00502238" w:rsidP="00502238">
      <w:pPr>
        <w:pStyle w:val="BodyText"/>
      </w:pPr>
      <w:r w:rsidRPr="00FD12D3">
        <w:t>The notation key ‘NE’ is also used when an activity occurs but the 2006 IPCC Guidelines (IPCC, 2006a) do not provide methodologies to estimate emissions and removals. If this is the case, the category is considered to be non-mandatory, providing the emissions from the category have not been reported previously.</w:t>
      </w:r>
    </w:p>
    <w:p w14:paraId="4722A47A" w14:textId="77777777" w:rsidR="00502238" w:rsidRPr="00FD12D3" w:rsidRDefault="00502238" w:rsidP="00502238">
      <w:pPr>
        <w:pStyle w:val="BodyText"/>
      </w:pPr>
      <w:r>
        <w:t>New Zealand’s total (i.e., gross) emissions were 75,811.6 kt CO</w:t>
      </w:r>
      <w:r w:rsidRPr="4490CCA6">
        <w:rPr>
          <w:vertAlign w:val="subscript"/>
        </w:rPr>
        <w:t>2</w:t>
      </w:r>
      <w:r>
        <w:t>e in 2024. The threshold of 0.1 percent is 75.8 kt CO</w:t>
      </w:r>
      <w:r w:rsidRPr="4490CCA6">
        <w:rPr>
          <w:vertAlign w:val="subscript"/>
        </w:rPr>
        <w:t>2</w:t>
      </w:r>
      <w:r>
        <w:t>e and the threshold of 0.05 percent is 37.9 kt CO</w:t>
      </w:r>
      <w:r w:rsidRPr="4490CCA6">
        <w:rPr>
          <w:vertAlign w:val="subscript"/>
        </w:rPr>
        <w:t>2</w:t>
      </w:r>
      <w:r>
        <w:t>e. Both values are below 500 kt CO</w:t>
      </w:r>
      <w:r w:rsidRPr="4490CCA6">
        <w:rPr>
          <w:vertAlign w:val="subscript"/>
        </w:rPr>
        <w:t>2</w:t>
      </w:r>
      <w:r>
        <w:t>e.</w:t>
      </w:r>
    </w:p>
    <w:p w14:paraId="170CBDF4" w14:textId="77777777" w:rsidR="00502238" w:rsidRPr="00FD12D3" w:rsidRDefault="00502238" w:rsidP="00502238">
      <w:pPr>
        <w:pStyle w:val="BodyText"/>
      </w:pPr>
      <w:r w:rsidRPr="00FD12D3">
        <w:t>The Inventory is largely complete. A few minor sources are not estimated due to a lack of available information, or because emissions are insignificant or methodologies to estimate emissions are not provided in the 2006 IPCC Guidelines.</w:t>
      </w:r>
    </w:p>
    <w:p w14:paraId="5EE0071D" w14:textId="77777777" w:rsidR="00502238" w:rsidRPr="00FD12D3" w:rsidRDefault="00502238" w:rsidP="00502238">
      <w:pPr>
        <w:pStyle w:val="BodyText"/>
      </w:pPr>
      <w:r w:rsidRPr="00FD12D3">
        <w:t>Table 1.7.1 summarises New Zealand’s direct GHG emissions reported as ‘NE’ in the 2026 submission.</w:t>
      </w:r>
    </w:p>
    <w:p w14:paraId="537DDCB1" w14:textId="77777777" w:rsidR="00502238" w:rsidRPr="00FD12D3" w:rsidRDefault="00502238" w:rsidP="00502238">
      <w:pPr>
        <w:pStyle w:val="Table"/>
      </w:pPr>
      <w:bookmarkStart w:id="96" w:name="_Toc226668947"/>
      <w:r w:rsidRPr="00FD12D3">
        <w:t xml:space="preserve">Table 1.7.1 </w:t>
      </w:r>
      <w:r w:rsidRPr="00FD12D3">
        <w:tab/>
        <w:t xml:space="preserve">Summary of ‘NE’ (not estimated) entries in the </w:t>
      </w:r>
      <w:r w:rsidRPr="00FD12D3">
        <w:rPr>
          <w:bCs/>
        </w:rPr>
        <w:t>2026</w:t>
      </w:r>
      <w:r w:rsidRPr="00FD12D3">
        <w:t xml:space="preserve"> submission</w:t>
      </w:r>
      <w:bookmarkEnd w:id="96"/>
    </w:p>
    <w:tbl>
      <w:tblPr>
        <w:tblW w:w="8562"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276"/>
        <w:gridCol w:w="1985"/>
        <w:gridCol w:w="1134"/>
        <w:gridCol w:w="4167"/>
      </w:tblGrid>
      <w:tr w:rsidR="00502238" w:rsidRPr="00FD12D3" w14:paraId="4E15C583" w14:textId="77777777" w:rsidTr="00F16E23">
        <w:trPr>
          <w:tblHeader/>
        </w:trPr>
        <w:tc>
          <w:tcPr>
            <w:tcW w:w="1276" w:type="dxa"/>
            <w:shd w:val="clear" w:color="auto" w:fill="1B556B"/>
            <w:tcMar>
              <w:top w:w="0" w:type="dxa"/>
              <w:left w:w="85" w:type="dxa"/>
              <w:bottom w:w="0" w:type="dxa"/>
              <w:right w:w="85" w:type="dxa"/>
            </w:tcMar>
            <w:vAlign w:val="bottom"/>
          </w:tcPr>
          <w:p w14:paraId="1E88677E" w14:textId="77777777" w:rsidR="00502238" w:rsidRPr="00FD12D3" w:rsidRDefault="00502238" w:rsidP="00F16E23">
            <w:pPr>
              <w:pStyle w:val="TableTextBold"/>
              <w:spacing w:before="40" w:after="40"/>
              <w:rPr>
                <w:color w:val="FFFFFF" w:themeColor="background1"/>
                <w:szCs w:val="16"/>
              </w:rPr>
            </w:pPr>
            <w:r w:rsidRPr="00FD12D3">
              <w:rPr>
                <w:rFonts w:eastAsia="Calibri"/>
                <w:color w:val="FFFFFF" w:themeColor="background1"/>
                <w:szCs w:val="16"/>
              </w:rPr>
              <w:t>CRT category code</w:t>
            </w:r>
          </w:p>
        </w:tc>
        <w:tc>
          <w:tcPr>
            <w:tcW w:w="1985" w:type="dxa"/>
            <w:shd w:val="clear" w:color="auto" w:fill="1B556B"/>
            <w:tcMar>
              <w:top w:w="0" w:type="dxa"/>
              <w:left w:w="85" w:type="dxa"/>
              <w:bottom w:w="0" w:type="dxa"/>
              <w:right w:w="85" w:type="dxa"/>
            </w:tcMar>
            <w:vAlign w:val="bottom"/>
          </w:tcPr>
          <w:p w14:paraId="71F7038B" w14:textId="77777777" w:rsidR="00502238" w:rsidRPr="00FD12D3" w:rsidRDefault="00502238" w:rsidP="00F16E23">
            <w:pPr>
              <w:pStyle w:val="TableTextBold"/>
              <w:spacing w:before="40" w:after="40"/>
              <w:rPr>
                <w:color w:val="FFFFFF" w:themeColor="background1"/>
                <w:szCs w:val="16"/>
              </w:rPr>
            </w:pPr>
            <w:r w:rsidRPr="00FD12D3">
              <w:rPr>
                <w:rFonts w:eastAsia="Calibri"/>
                <w:color w:val="FFFFFF" w:themeColor="background1"/>
                <w:szCs w:val="16"/>
              </w:rPr>
              <w:t>Category</w:t>
            </w:r>
          </w:p>
        </w:tc>
        <w:tc>
          <w:tcPr>
            <w:tcW w:w="1134" w:type="dxa"/>
            <w:shd w:val="clear" w:color="auto" w:fill="1B556B"/>
            <w:tcMar>
              <w:top w:w="0" w:type="dxa"/>
              <w:left w:w="85" w:type="dxa"/>
              <w:bottom w:w="0" w:type="dxa"/>
              <w:right w:w="85" w:type="dxa"/>
            </w:tcMar>
            <w:vAlign w:val="bottom"/>
          </w:tcPr>
          <w:p w14:paraId="2C4FE33C" w14:textId="77777777" w:rsidR="00502238" w:rsidRPr="00FD12D3" w:rsidRDefault="00502238" w:rsidP="00F16E23">
            <w:pPr>
              <w:pStyle w:val="TableTextBold"/>
              <w:spacing w:before="40" w:after="40"/>
              <w:rPr>
                <w:color w:val="FFFFFF" w:themeColor="background1"/>
                <w:szCs w:val="16"/>
              </w:rPr>
            </w:pPr>
            <w:r w:rsidRPr="00FD12D3">
              <w:rPr>
                <w:rFonts w:eastAsia="Calibri"/>
                <w:color w:val="FFFFFF" w:themeColor="background1"/>
                <w:szCs w:val="16"/>
              </w:rPr>
              <w:t>Gas</w:t>
            </w:r>
          </w:p>
        </w:tc>
        <w:tc>
          <w:tcPr>
            <w:tcW w:w="4167" w:type="dxa"/>
            <w:shd w:val="clear" w:color="auto" w:fill="1B556B"/>
            <w:tcMar>
              <w:top w:w="0" w:type="dxa"/>
              <w:left w:w="85" w:type="dxa"/>
              <w:bottom w:w="0" w:type="dxa"/>
              <w:right w:w="85" w:type="dxa"/>
            </w:tcMar>
            <w:vAlign w:val="bottom"/>
          </w:tcPr>
          <w:p w14:paraId="0FCD3277" w14:textId="77777777" w:rsidR="00502238" w:rsidRPr="00FD12D3" w:rsidRDefault="00502238" w:rsidP="00F16E23">
            <w:pPr>
              <w:pStyle w:val="TableTextBold"/>
              <w:spacing w:before="40" w:after="40"/>
              <w:rPr>
                <w:color w:val="FFFFFF" w:themeColor="background1"/>
                <w:szCs w:val="16"/>
              </w:rPr>
            </w:pPr>
            <w:r w:rsidRPr="00FD12D3">
              <w:rPr>
                <w:rFonts w:eastAsia="Calibri"/>
                <w:color w:val="FFFFFF" w:themeColor="background1"/>
                <w:szCs w:val="16"/>
              </w:rPr>
              <w:t>Explanation</w:t>
            </w:r>
          </w:p>
        </w:tc>
      </w:tr>
      <w:tr w:rsidR="00502238" w:rsidRPr="00FD12D3" w14:paraId="7EF8EC16" w14:textId="77777777" w:rsidTr="00F16E23">
        <w:tc>
          <w:tcPr>
            <w:tcW w:w="1276" w:type="dxa"/>
            <w:shd w:val="clear" w:color="auto" w:fill="FFFFFF" w:themeFill="background1"/>
            <w:tcMar>
              <w:top w:w="0" w:type="dxa"/>
              <w:left w:w="85" w:type="dxa"/>
              <w:bottom w:w="0" w:type="dxa"/>
              <w:right w:w="85" w:type="dxa"/>
            </w:tcMar>
            <w:vAlign w:val="center"/>
          </w:tcPr>
          <w:p w14:paraId="34471AF7" w14:textId="77777777" w:rsidR="00502238" w:rsidRPr="00FD12D3" w:rsidRDefault="00502238" w:rsidP="00F16E23">
            <w:pPr>
              <w:pStyle w:val="TableText"/>
              <w:spacing w:before="40" w:after="40"/>
              <w:rPr>
                <w:b/>
                <w:bCs/>
                <w:szCs w:val="16"/>
              </w:rPr>
            </w:pPr>
            <w:r w:rsidRPr="00FD12D3">
              <w:rPr>
                <w:rFonts w:eastAsia="Calibri"/>
                <w:b/>
                <w:bCs/>
                <w:szCs w:val="16"/>
              </w:rPr>
              <w:t>Energy</w:t>
            </w:r>
          </w:p>
        </w:tc>
        <w:tc>
          <w:tcPr>
            <w:tcW w:w="1985" w:type="dxa"/>
            <w:shd w:val="clear" w:color="auto" w:fill="FFFFFF" w:themeFill="background1"/>
            <w:tcMar>
              <w:top w:w="0" w:type="dxa"/>
              <w:left w:w="85" w:type="dxa"/>
              <w:bottom w:w="0" w:type="dxa"/>
              <w:right w:w="85" w:type="dxa"/>
            </w:tcMar>
            <w:vAlign w:val="center"/>
          </w:tcPr>
          <w:p w14:paraId="26E2508C" w14:textId="77777777" w:rsidR="00502238" w:rsidRPr="00FD12D3" w:rsidRDefault="00502238" w:rsidP="00F16E23">
            <w:pPr>
              <w:pStyle w:val="TableText"/>
              <w:spacing w:before="40" w:after="40"/>
              <w:rPr>
                <w:b/>
                <w:bCs/>
                <w:szCs w:val="16"/>
              </w:rPr>
            </w:pPr>
          </w:p>
        </w:tc>
        <w:tc>
          <w:tcPr>
            <w:tcW w:w="1134" w:type="dxa"/>
            <w:shd w:val="clear" w:color="auto" w:fill="FFFFFF" w:themeFill="background1"/>
            <w:tcMar>
              <w:top w:w="0" w:type="dxa"/>
              <w:left w:w="85" w:type="dxa"/>
              <w:bottom w:w="0" w:type="dxa"/>
              <w:right w:w="85" w:type="dxa"/>
            </w:tcMar>
            <w:vAlign w:val="center"/>
          </w:tcPr>
          <w:p w14:paraId="5338C407" w14:textId="77777777" w:rsidR="00502238" w:rsidRPr="00FD12D3" w:rsidRDefault="00502238" w:rsidP="00F16E23">
            <w:pPr>
              <w:pStyle w:val="TableText"/>
              <w:spacing w:before="40" w:after="40"/>
              <w:rPr>
                <w:b/>
                <w:bCs/>
                <w:szCs w:val="16"/>
              </w:rPr>
            </w:pPr>
          </w:p>
        </w:tc>
        <w:tc>
          <w:tcPr>
            <w:tcW w:w="4167" w:type="dxa"/>
            <w:shd w:val="clear" w:color="auto" w:fill="FFFFFF" w:themeFill="background1"/>
            <w:tcMar>
              <w:top w:w="0" w:type="dxa"/>
              <w:left w:w="85" w:type="dxa"/>
              <w:bottom w:w="0" w:type="dxa"/>
              <w:right w:w="85" w:type="dxa"/>
            </w:tcMar>
          </w:tcPr>
          <w:p w14:paraId="43C53116" w14:textId="77777777" w:rsidR="00502238" w:rsidRPr="00FD12D3" w:rsidRDefault="00502238" w:rsidP="00F16E23">
            <w:pPr>
              <w:pStyle w:val="TableText"/>
              <w:spacing w:before="40" w:after="40"/>
              <w:rPr>
                <w:b/>
                <w:bCs/>
                <w:szCs w:val="16"/>
              </w:rPr>
            </w:pPr>
          </w:p>
        </w:tc>
      </w:tr>
      <w:tr w:rsidR="00502238" w:rsidRPr="00FD12D3" w14:paraId="69FBAA9D" w14:textId="77777777" w:rsidTr="00F16E23">
        <w:tc>
          <w:tcPr>
            <w:tcW w:w="1276" w:type="dxa"/>
            <w:shd w:val="clear" w:color="auto" w:fill="FFFFFF" w:themeFill="background1"/>
            <w:tcMar>
              <w:top w:w="0" w:type="dxa"/>
              <w:left w:w="85" w:type="dxa"/>
              <w:bottom w:w="0" w:type="dxa"/>
              <w:right w:w="85" w:type="dxa"/>
            </w:tcMar>
            <w:vAlign w:val="center"/>
          </w:tcPr>
          <w:p w14:paraId="2E85F2B1" w14:textId="77777777" w:rsidR="00502238" w:rsidRPr="00FD12D3" w:rsidRDefault="00502238" w:rsidP="00F16E23">
            <w:pPr>
              <w:pStyle w:val="TableText"/>
              <w:spacing w:before="40" w:after="40"/>
              <w:rPr>
                <w:szCs w:val="16"/>
              </w:rPr>
            </w:pPr>
            <w:r w:rsidRPr="00FD12D3">
              <w:rPr>
                <w:rFonts w:eastAsia="Calibri"/>
                <w:szCs w:val="16"/>
              </w:rPr>
              <w:t>1.B.2.a.5</w:t>
            </w:r>
          </w:p>
        </w:tc>
        <w:tc>
          <w:tcPr>
            <w:tcW w:w="1985" w:type="dxa"/>
            <w:shd w:val="clear" w:color="auto" w:fill="FFFFFF" w:themeFill="background1"/>
            <w:tcMar>
              <w:top w:w="0" w:type="dxa"/>
              <w:left w:w="85" w:type="dxa"/>
              <w:bottom w:w="0" w:type="dxa"/>
              <w:right w:w="85" w:type="dxa"/>
            </w:tcMar>
            <w:vAlign w:val="center"/>
          </w:tcPr>
          <w:p w14:paraId="63BC3CF3" w14:textId="77777777" w:rsidR="00502238" w:rsidRPr="00FD12D3" w:rsidRDefault="00502238" w:rsidP="00F16E23">
            <w:pPr>
              <w:pStyle w:val="TableText"/>
              <w:spacing w:before="40" w:after="40"/>
              <w:rPr>
                <w:szCs w:val="16"/>
              </w:rPr>
            </w:pPr>
            <w:r w:rsidRPr="00FD12D3">
              <w:rPr>
                <w:rFonts w:eastAsia="Calibri"/>
                <w:szCs w:val="16"/>
              </w:rPr>
              <w:t>Distribution of oil products</w:t>
            </w:r>
          </w:p>
        </w:tc>
        <w:tc>
          <w:tcPr>
            <w:tcW w:w="1134" w:type="dxa"/>
            <w:shd w:val="clear" w:color="auto" w:fill="FFFFFF" w:themeFill="background1"/>
            <w:tcMar>
              <w:top w:w="0" w:type="dxa"/>
              <w:left w:w="85" w:type="dxa"/>
              <w:bottom w:w="0" w:type="dxa"/>
              <w:right w:w="85" w:type="dxa"/>
            </w:tcMar>
            <w:vAlign w:val="center"/>
          </w:tcPr>
          <w:p w14:paraId="477B2F83"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r w:rsidRPr="00FD12D3">
              <w:rPr>
                <w:rFonts w:eastAsia="Calibri"/>
                <w:color w:val="000000" w:themeColor="text1"/>
                <w:szCs w:val="16"/>
              </w:rPr>
              <w:t>, CH</w:t>
            </w:r>
            <w:r w:rsidRPr="00FD12D3">
              <w:rPr>
                <w:rFonts w:eastAsia="Calibri"/>
                <w:color w:val="000000" w:themeColor="text1"/>
                <w:szCs w:val="16"/>
                <w:vertAlign w:val="subscript"/>
              </w:rPr>
              <w:t>4</w:t>
            </w:r>
          </w:p>
        </w:tc>
        <w:tc>
          <w:tcPr>
            <w:tcW w:w="4167" w:type="dxa"/>
            <w:shd w:val="clear" w:color="auto" w:fill="FFFFFF" w:themeFill="background1"/>
            <w:tcMar>
              <w:top w:w="0" w:type="dxa"/>
              <w:left w:w="85" w:type="dxa"/>
              <w:bottom w:w="0" w:type="dxa"/>
              <w:right w:w="85" w:type="dxa"/>
            </w:tcMar>
          </w:tcPr>
          <w:p w14:paraId="5BDA8A62" w14:textId="77777777" w:rsidR="00502238" w:rsidRPr="00FD12D3" w:rsidRDefault="00502238" w:rsidP="00F16E23">
            <w:pPr>
              <w:pStyle w:val="TableText"/>
              <w:spacing w:before="40" w:after="40"/>
              <w:rPr>
                <w:szCs w:val="16"/>
              </w:rPr>
            </w:pPr>
            <w:r w:rsidRPr="00FD12D3">
              <w:rPr>
                <w:rFonts w:eastAsia="Calibri"/>
                <w:color w:val="000000" w:themeColor="text1"/>
                <w:szCs w:val="16"/>
              </w:rPr>
              <w:t>This category is not mandatory. The 2006 Intergovernmental Panel on Climate Change (IPCC) Guidelines do not provide the default IPCC emission factor for calculating Tier 1 estimates of methane (CH</w:t>
            </w:r>
            <w:r w:rsidRPr="00FD12D3">
              <w:rPr>
                <w:rFonts w:eastAsia="Calibri"/>
                <w:color w:val="000000" w:themeColor="text1"/>
                <w:szCs w:val="16"/>
                <w:vertAlign w:val="subscript"/>
              </w:rPr>
              <w:t>4</w:t>
            </w:r>
            <w:r w:rsidRPr="00FD12D3">
              <w:rPr>
                <w:rFonts w:eastAsia="Calibri"/>
                <w:color w:val="000000" w:themeColor="text1"/>
                <w:szCs w:val="16"/>
              </w:rPr>
              <w:t>) emissions from the distribution of refined oil products (IPCC, 2006c). New Zealand has not reported emission estimates from this category in previous submissions.</w:t>
            </w:r>
          </w:p>
        </w:tc>
      </w:tr>
      <w:tr w:rsidR="00502238" w:rsidRPr="00FD12D3" w14:paraId="45369C94" w14:textId="77777777" w:rsidTr="000344CE">
        <w:tc>
          <w:tcPr>
            <w:tcW w:w="1276" w:type="dxa"/>
            <w:tcBorders>
              <w:bottom w:val="nil"/>
            </w:tcBorders>
            <w:shd w:val="clear" w:color="auto" w:fill="FFFFFF" w:themeFill="background1"/>
            <w:tcMar>
              <w:top w:w="0" w:type="dxa"/>
              <w:left w:w="85" w:type="dxa"/>
              <w:bottom w:w="0" w:type="dxa"/>
              <w:right w:w="85" w:type="dxa"/>
            </w:tcMar>
            <w:vAlign w:val="center"/>
          </w:tcPr>
          <w:p w14:paraId="76CD4124" w14:textId="77777777" w:rsidR="00502238" w:rsidRPr="00FD12D3" w:rsidRDefault="00502238" w:rsidP="00F16E23">
            <w:pPr>
              <w:pStyle w:val="TableText"/>
              <w:spacing w:before="40" w:after="40"/>
              <w:rPr>
                <w:szCs w:val="16"/>
              </w:rPr>
            </w:pPr>
            <w:r w:rsidRPr="00FD12D3">
              <w:rPr>
                <w:rFonts w:eastAsia="Calibri"/>
                <w:szCs w:val="16"/>
              </w:rPr>
              <w:t>1.B.2.b.3</w:t>
            </w:r>
          </w:p>
        </w:tc>
        <w:tc>
          <w:tcPr>
            <w:tcW w:w="1985" w:type="dxa"/>
            <w:tcBorders>
              <w:bottom w:val="nil"/>
            </w:tcBorders>
            <w:shd w:val="clear" w:color="auto" w:fill="FFFFFF" w:themeFill="background1"/>
            <w:tcMar>
              <w:top w:w="0" w:type="dxa"/>
              <w:left w:w="85" w:type="dxa"/>
              <w:bottom w:w="0" w:type="dxa"/>
              <w:right w:w="85" w:type="dxa"/>
            </w:tcMar>
            <w:vAlign w:val="center"/>
          </w:tcPr>
          <w:p w14:paraId="3B4908CD" w14:textId="77777777" w:rsidR="00502238" w:rsidRPr="00FD12D3" w:rsidRDefault="00502238" w:rsidP="00F16E23">
            <w:pPr>
              <w:pStyle w:val="TableText"/>
              <w:spacing w:before="40" w:after="40"/>
              <w:rPr>
                <w:szCs w:val="16"/>
              </w:rPr>
            </w:pPr>
            <w:r w:rsidRPr="00FD12D3">
              <w:rPr>
                <w:rFonts w:eastAsia="Calibri"/>
                <w:szCs w:val="16"/>
              </w:rPr>
              <w:t>Processing</w:t>
            </w:r>
          </w:p>
        </w:tc>
        <w:tc>
          <w:tcPr>
            <w:tcW w:w="1134" w:type="dxa"/>
            <w:tcBorders>
              <w:bottom w:val="nil"/>
            </w:tcBorders>
            <w:shd w:val="clear" w:color="auto" w:fill="FFFFFF" w:themeFill="background1"/>
            <w:tcMar>
              <w:top w:w="0" w:type="dxa"/>
              <w:left w:w="85" w:type="dxa"/>
              <w:bottom w:w="0" w:type="dxa"/>
              <w:right w:w="85" w:type="dxa"/>
            </w:tcMar>
            <w:vAlign w:val="center"/>
          </w:tcPr>
          <w:p w14:paraId="7BE36AB9"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r w:rsidRPr="00FD12D3">
              <w:rPr>
                <w:rFonts w:eastAsia="Calibri"/>
                <w:color w:val="000000" w:themeColor="text1"/>
                <w:szCs w:val="16"/>
              </w:rPr>
              <w:t>, CH</w:t>
            </w:r>
            <w:r w:rsidRPr="00FD12D3">
              <w:rPr>
                <w:rFonts w:eastAsia="Calibri"/>
                <w:color w:val="000000" w:themeColor="text1"/>
                <w:szCs w:val="16"/>
                <w:vertAlign w:val="subscript"/>
              </w:rPr>
              <w:t>4</w:t>
            </w:r>
          </w:p>
        </w:tc>
        <w:tc>
          <w:tcPr>
            <w:tcW w:w="4167" w:type="dxa"/>
            <w:tcBorders>
              <w:bottom w:val="nil"/>
            </w:tcBorders>
            <w:shd w:val="clear" w:color="auto" w:fill="FFFFFF" w:themeFill="background1"/>
            <w:tcMar>
              <w:top w:w="0" w:type="dxa"/>
              <w:left w:w="85" w:type="dxa"/>
              <w:bottom w:w="0" w:type="dxa"/>
              <w:right w:w="85" w:type="dxa"/>
            </w:tcMar>
          </w:tcPr>
          <w:p w14:paraId="5E823BA2" w14:textId="77777777" w:rsidR="00502238" w:rsidRPr="00FD12D3" w:rsidRDefault="00502238" w:rsidP="00F16E23">
            <w:pPr>
              <w:pStyle w:val="TableText"/>
              <w:spacing w:before="40" w:after="40"/>
              <w:rPr>
                <w:szCs w:val="16"/>
              </w:rPr>
            </w:pPr>
            <w:r w:rsidRPr="00FD12D3">
              <w:rPr>
                <w:rFonts w:eastAsia="Calibri"/>
                <w:color w:val="000000" w:themeColor="text1"/>
                <w:szCs w:val="16"/>
              </w:rPr>
              <w:t>In accordance with chapter II of the Annex to the decision 18/CMA.1 (UNFCCC, 2018b), this category is not mandatory. Fugitive emissions of carbon dioxide (CO</w:t>
            </w:r>
            <w:r w:rsidRPr="00FD12D3">
              <w:rPr>
                <w:rFonts w:eastAsia="Calibri"/>
                <w:color w:val="000000" w:themeColor="text1"/>
                <w:szCs w:val="16"/>
                <w:vertAlign w:val="subscript"/>
              </w:rPr>
              <w:t>2</w:t>
            </w:r>
            <w:r w:rsidRPr="00FD12D3">
              <w:rPr>
                <w:rFonts w:eastAsia="Calibri"/>
                <w:color w:val="000000" w:themeColor="text1"/>
                <w:szCs w:val="16"/>
              </w:rPr>
              <w:t>) and CH</w:t>
            </w:r>
            <w:r w:rsidRPr="00FD12D3">
              <w:rPr>
                <w:rFonts w:eastAsia="Calibri"/>
                <w:color w:val="000000" w:themeColor="text1"/>
                <w:szCs w:val="16"/>
                <w:vertAlign w:val="subscript"/>
              </w:rPr>
              <w:t>4</w:t>
            </w:r>
            <w:r w:rsidRPr="00FD12D3">
              <w:rPr>
                <w:rFonts w:eastAsia="Calibri"/>
                <w:color w:val="000000" w:themeColor="text1"/>
                <w:szCs w:val="16"/>
              </w:rPr>
              <w:t xml:space="preserve"> have not been formally estimated, although a rough estimate of the likely level of emissions indicates that they are insignificant.</w:t>
            </w:r>
          </w:p>
        </w:tc>
      </w:tr>
      <w:tr w:rsidR="00502238" w:rsidRPr="00FD12D3" w14:paraId="4267EBC7" w14:textId="77777777" w:rsidTr="000344CE">
        <w:tc>
          <w:tcPr>
            <w:tcW w:w="1276" w:type="dxa"/>
            <w:tcBorders>
              <w:top w:val="nil"/>
              <w:bottom w:val="nil"/>
            </w:tcBorders>
            <w:shd w:val="clear" w:color="auto" w:fill="FFFFFF" w:themeFill="background1"/>
            <w:tcMar>
              <w:top w:w="0" w:type="dxa"/>
              <w:left w:w="85" w:type="dxa"/>
              <w:bottom w:w="0" w:type="dxa"/>
              <w:right w:w="85" w:type="dxa"/>
            </w:tcMar>
            <w:vAlign w:val="center"/>
          </w:tcPr>
          <w:p w14:paraId="5B21B4BA" w14:textId="77777777" w:rsidR="00502238" w:rsidRPr="00FD12D3" w:rsidRDefault="00502238" w:rsidP="00F16E23">
            <w:pPr>
              <w:pStyle w:val="TableText"/>
              <w:spacing w:before="40" w:after="40"/>
              <w:rPr>
                <w:szCs w:val="16"/>
              </w:rPr>
            </w:pPr>
          </w:p>
        </w:tc>
        <w:tc>
          <w:tcPr>
            <w:tcW w:w="1985" w:type="dxa"/>
            <w:tcBorders>
              <w:top w:val="nil"/>
              <w:bottom w:val="nil"/>
            </w:tcBorders>
            <w:shd w:val="clear" w:color="auto" w:fill="FFFFFF" w:themeFill="background1"/>
            <w:tcMar>
              <w:top w:w="0" w:type="dxa"/>
              <w:left w:w="85" w:type="dxa"/>
              <w:bottom w:w="0" w:type="dxa"/>
              <w:right w:w="85" w:type="dxa"/>
            </w:tcMar>
            <w:vAlign w:val="center"/>
          </w:tcPr>
          <w:p w14:paraId="371F310B" w14:textId="77777777" w:rsidR="00502238" w:rsidRPr="00FD12D3" w:rsidRDefault="00502238" w:rsidP="00F16E23">
            <w:pPr>
              <w:pStyle w:val="TableText"/>
              <w:spacing w:before="40" w:after="40"/>
              <w:rPr>
                <w:szCs w:val="16"/>
              </w:rPr>
            </w:pPr>
          </w:p>
        </w:tc>
        <w:tc>
          <w:tcPr>
            <w:tcW w:w="1134" w:type="dxa"/>
            <w:tcBorders>
              <w:top w:val="nil"/>
              <w:bottom w:val="nil"/>
            </w:tcBorders>
            <w:shd w:val="clear" w:color="auto" w:fill="FFFFFF" w:themeFill="background1"/>
            <w:tcMar>
              <w:top w:w="0" w:type="dxa"/>
              <w:left w:w="85" w:type="dxa"/>
              <w:bottom w:w="0" w:type="dxa"/>
              <w:right w:w="85" w:type="dxa"/>
            </w:tcMar>
            <w:vAlign w:val="center"/>
          </w:tcPr>
          <w:p w14:paraId="42A934EF" w14:textId="77777777" w:rsidR="00502238" w:rsidRPr="00FD12D3" w:rsidRDefault="00502238" w:rsidP="00F16E23">
            <w:pPr>
              <w:pStyle w:val="TableText"/>
              <w:spacing w:before="40" w:after="40"/>
              <w:rPr>
                <w:szCs w:val="16"/>
              </w:rPr>
            </w:pPr>
          </w:p>
        </w:tc>
        <w:tc>
          <w:tcPr>
            <w:tcW w:w="4167" w:type="dxa"/>
            <w:tcBorders>
              <w:top w:val="nil"/>
              <w:bottom w:val="nil"/>
            </w:tcBorders>
            <w:shd w:val="clear" w:color="auto" w:fill="FFFFFF" w:themeFill="background1"/>
            <w:tcMar>
              <w:top w:w="0" w:type="dxa"/>
              <w:left w:w="85" w:type="dxa"/>
              <w:bottom w:w="0" w:type="dxa"/>
              <w:right w:w="85" w:type="dxa"/>
            </w:tcMar>
          </w:tcPr>
          <w:p w14:paraId="706088AB" w14:textId="77777777" w:rsidR="00502238" w:rsidRPr="00FD12D3" w:rsidRDefault="00502238" w:rsidP="00F16E23">
            <w:pPr>
              <w:pStyle w:val="TableText"/>
              <w:spacing w:before="40" w:after="40"/>
              <w:rPr>
                <w:szCs w:val="16"/>
              </w:rPr>
            </w:pPr>
            <w:r w:rsidRPr="00FD12D3">
              <w:rPr>
                <w:rFonts w:eastAsia="Calibri"/>
                <w:szCs w:val="16"/>
              </w:rPr>
              <w:t>While emissions from the Kapuni Gas Treatment Plant may include traces of CH</w:t>
            </w:r>
            <w:r w:rsidRPr="00FD12D3">
              <w:rPr>
                <w:rFonts w:eastAsia="Calibri"/>
                <w:szCs w:val="16"/>
                <w:vertAlign w:val="subscript"/>
              </w:rPr>
              <w:t>4</w:t>
            </w:r>
            <w:r w:rsidRPr="00FD12D3">
              <w:rPr>
                <w:rFonts w:eastAsia="Calibri"/>
                <w:szCs w:val="16"/>
              </w:rPr>
              <w:t>, the level of these emissions has been determined to be insignificant in comparison with national emissions. A conservative estimate (using default emission factors from the 2006 IPCC Guidelines) gives nearly 1.7 kilotonnes carbon dioxide equivalent (kt CO</w:t>
            </w:r>
            <w:r w:rsidRPr="00FD12D3">
              <w:rPr>
                <w:rFonts w:eastAsia="Calibri"/>
                <w:szCs w:val="16"/>
                <w:vertAlign w:val="subscript"/>
              </w:rPr>
              <w:t>2</w:t>
            </w:r>
            <w:r w:rsidRPr="00FD12D3">
              <w:rPr>
                <w:rFonts w:eastAsia="Calibri"/>
                <w:szCs w:val="16"/>
              </w:rPr>
              <w:t>e) per year (IPCC, 2006c).</w:t>
            </w:r>
          </w:p>
        </w:tc>
      </w:tr>
      <w:tr w:rsidR="00502238" w:rsidRPr="00FD12D3" w14:paraId="46459919" w14:textId="77777777" w:rsidTr="000344CE">
        <w:tc>
          <w:tcPr>
            <w:tcW w:w="1276" w:type="dxa"/>
            <w:tcBorders>
              <w:top w:val="nil"/>
              <w:bottom w:val="nil"/>
            </w:tcBorders>
            <w:shd w:val="clear" w:color="auto" w:fill="FFFFFF" w:themeFill="background1"/>
            <w:tcMar>
              <w:top w:w="0" w:type="dxa"/>
              <w:left w:w="85" w:type="dxa"/>
              <w:bottom w:w="0" w:type="dxa"/>
              <w:right w:w="85" w:type="dxa"/>
            </w:tcMar>
            <w:vAlign w:val="center"/>
          </w:tcPr>
          <w:p w14:paraId="27CCFB40" w14:textId="77777777" w:rsidR="00502238" w:rsidRPr="00FD12D3" w:rsidRDefault="00502238" w:rsidP="00F16E23">
            <w:pPr>
              <w:pStyle w:val="TableText"/>
              <w:spacing w:before="40" w:after="40"/>
              <w:rPr>
                <w:szCs w:val="16"/>
              </w:rPr>
            </w:pPr>
          </w:p>
        </w:tc>
        <w:tc>
          <w:tcPr>
            <w:tcW w:w="1985" w:type="dxa"/>
            <w:tcBorders>
              <w:top w:val="nil"/>
              <w:bottom w:val="nil"/>
            </w:tcBorders>
            <w:shd w:val="clear" w:color="auto" w:fill="FFFFFF" w:themeFill="background1"/>
            <w:tcMar>
              <w:top w:w="0" w:type="dxa"/>
              <w:left w:w="85" w:type="dxa"/>
              <w:bottom w:w="0" w:type="dxa"/>
              <w:right w:w="85" w:type="dxa"/>
            </w:tcMar>
            <w:vAlign w:val="center"/>
          </w:tcPr>
          <w:p w14:paraId="7DCF8470" w14:textId="77777777" w:rsidR="00502238" w:rsidRPr="00FD12D3" w:rsidRDefault="00502238" w:rsidP="00F16E23">
            <w:pPr>
              <w:pStyle w:val="TableText"/>
              <w:spacing w:before="40" w:after="40"/>
              <w:rPr>
                <w:szCs w:val="16"/>
              </w:rPr>
            </w:pPr>
          </w:p>
        </w:tc>
        <w:tc>
          <w:tcPr>
            <w:tcW w:w="1134" w:type="dxa"/>
            <w:tcBorders>
              <w:top w:val="nil"/>
              <w:bottom w:val="nil"/>
            </w:tcBorders>
            <w:shd w:val="clear" w:color="auto" w:fill="FFFFFF" w:themeFill="background1"/>
            <w:tcMar>
              <w:top w:w="0" w:type="dxa"/>
              <w:left w:w="85" w:type="dxa"/>
              <w:bottom w:w="0" w:type="dxa"/>
              <w:right w:w="85" w:type="dxa"/>
            </w:tcMar>
            <w:vAlign w:val="center"/>
          </w:tcPr>
          <w:p w14:paraId="1D18B3C0" w14:textId="77777777" w:rsidR="00502238" w:rsidRPr="00FD12D3" w:rsidRDefault="00502238" w:rsidP="00F16E23">
            <w:pPr>
              <w:pStyle w:val="TableText"/>
              <w:spacing w:before="40" w:after="40"/>
              <w:rPr>
                <w:szCs w:val="16"/>
              </w:rPr>
            </w:pPr>
          </w:p>
        </w:tc>
        <w:tc>
          <w:tcPr>
            <w:tcW w:w="4167" w:type="dxa"/>
            <w:tcBorders>
              <w:top w:val="nil"/>
              <w:bottom w:val="nil"/>
            </w:tcBorders>
            <w:shd w:val="clear" w:color="auto" w:fill="FFFFFF" w:themeFill="background1"/>
            <w:tcMar>
              <w:top w:w="0" w:type="dxa"/>
              <w:left w:w="85" w:type="dxa"/>
              <w:bottom w:w="0" w:type="dxa"/>
              <w:right w:w="85" w:type="dxa"/>
            </w:tcMar>
          </w:tcPr>
          <w:p w14:paraId="57B4985A" w14:textId="77777777" w:rsidR="00502238" w:rsidRPr="00FD12D3" w:rsidRDefault="00502238" w:rsidP="00F16E23">
            <w:pPr>
              <w:pStyle w:val="TableText"/>
              <w:spacing w:before="40" w:after="40"/>
              <w:rPr>
                <w:szCs w:val="16"/>
              </w:rPr>
            </w:pPr>
            <w:r w:rsidRPr="00FD12D3">
              <w:rPr>
                <w:rFonts w:eastAsia="Calibri"/>
                <w:szCs w:val="16"/>
              </w:rPr>
              <w:t>CH</w:t>
            </w:r>
            <w:r w:rsidRPr="00FD12D3">
              <w:rPr>
                <w:rFonts w:eastAsia="Calibri"/>
                <w:szCs w:val="16"/>
                <w:vertAlign w:val="subscript"/>
              </w:rPr>
              <w:t>4</w:t>
            </w:r>
            <w:r w:rsidRPr="00FD12D3">
              <w:rPr>
                <w:rFonts w:eastAsia="Calibri"/>
                <w:szCs w:val="16"/>
              </w:rPr>
              <w:t>: 625 Mm</w:t>
            </w:r>
            <w:r w:rsidRPr="00FD12D3">
              <w:rPr>
                <w:rFonts w:eastAsia="Calibri"/>
                <w:szCs w:val="16"/>
                <w:vertAlign w:val="superscript"/>
              </w:rPr>
              <w:t>3</w:t>
            </w:r>
            <w:r w:rsidRPr="00FD12D3">
              <w:rPr>
                <w:rFonts w:eastAsia="Calibri"/>
                <w:szCs w:val="16"/>
              </w:rPr>
              <w:t xml:space="preserve"> (Kapuni field production) * 9.7e-5 * 28 = 1.7 kt CO</w:t>
            </w:r>
            <w:r w:rsidRPr="00FD12D3">
              <w:rPr>
                <w:rFonts w:eastAsia="Calibri"/>
                <w:szCs w:val="16"/>
                <w:vertAlign w:val="subscript"/>
              </w:rPr>
              <w:t>2</w:t>
            </w:r>
            <w:r w:rsidRPr="00FD12D3">
              <w:rPr>
                <w:rFonts w:eastAsia="Calibri"/>
                <w:szCs w:val="16"/>
              </w:rPr>
              <w:t>e.</w:t>
            </w:r>
          </w:p>
        </w:tc>
      </w:tr>
      <w:tr w:rsidR="00502238" w:rsidRPr="00FD12D3" w14:paraId="676B336D" w14:textId="77777777" w:rsidTr="000344CE">
        <w:tc>
          <w:tcPr>
            <w:tcW w:w="1276" w:type="dxa"/>
            <w:tcBorders>
              <w:top w:val="nil"/>
              <w:bottom w:val="nil"/>
            </w:tcBorders>
            <w:shd w:val="clear" w:color="auto" w:fill="FFFFFF" w:themeFill="background1"/>
            <w:tcMar>
              <w:top w:w="0" w:type="dxa"/>
              <w:left w:w="85" w:type="dxa"/>
              <w:bottom w:w="0" w:type="dxa"/>
              <w:right w:w="85" w:type="dxa"/>
            </w:tcMar>
            <w:vAlign w:val="center"/>
          </w:tcPr>
          <w:p w14:paraId="770F3D34" w14:textId="77777777" w:rsidR="00502238" w:rsidRPr="00FD12D3" w:rsidRDefault="00502238" w:rsidP="00F16E23">
            <w:pPr>
              <w:pStyle w:val="TableText"/>
              <w:spacing w:before="40" w:after="40"/>
              <w:rPr>
                <w:szCs w:val="16"/>
              </w:rPr>
            </w:pPr>
          </w:p>
        </w:tc>
        <w:tc>
          <w:tcPr>
            <w:tcW w:w="1985" w:type="dxa"/>
            <w:tcBorders>
              <w:top w:val="nil"/>
              <w:bottom w:val="nil"/>
            </w:tcBorders>
            <w:shd w:val="clear" w:color="auto" w:fill="FFFFFF" w:themeFill="background1"/>
            <w:tcMar>
              <w:top w:w="0" w:type="dxa"/>
              <w:left w:w="85" w:type="dxa"/>
              <w:bottom w:w="0" w:type="dxa"/>
              <w:right w:w="85" w:type="dxa"/>
            </w:tcMar>
            <w:vAlign w:val="center"/>
          </w:tcPr>
          <w:p w14:paraId="1EABEE07" w14:textId="77777777" w:rsidR="00502238" w:rsidRPr="00FD12D3" w:rsidRDefault="00502238" w:rsidP="00F16E23">
            <w:pPr>
              <w:pStyle w:val="TableText"/>
              <w:spacing w:before="40" w:after="40"/>
              <w:rPr>
                <w:szCs w:val="16"/>
              </w:rPr>
            </w:pPr>
          </w:p>
        </w:tc>
        <w:tc>
          <w:tcPr>
            <w:tcW w:w="1134" w:type="dxa"/>
            <w:tcBorders>
              <w:top w:val="nil"/>
              <w:bottom w:val="nil"/>
            </w:tcBorders>
            <w:shd w:val="clear" w:color="auto" w:fill="FFFFFF" w:themeFill="background1"/>
            <w:tcMar>
              <w:top w:w="0" w:type="dxa"/>
              <w:left w:w="85" w:type="dxa"/>
              <w:bottom w:w="0" w:type="dxa"/>
              <w:right w:w="85" w:type="dxa"/>
            </w:tcMar>
            <w:vAlign w:val="center"/>
          </w:tcPr>
          <w:p w14:paraId="44D73904" w14:textId="77777777" w:rsidR="00502238" w:rsidRPr="00FD12D3" w:rsidRDefault="00502238" w:rsidP="00F16E23">
            <w:pPr>
              <w:pStyle w:val="TableText"/>
              <w:spacing w:before="40" w:after="40"/>
              <w:rPr>
                <w:szCs w:val="16"/>
              </w:rPr>
            </w:pPr>
          </w:p>
        </w:tc>
        <w:tc>
          <w:tcPr>
            <w:tcW w:w="4167" w:type="dxa"/>
            <w:tcBorders>
              <w:top w:val="nil"/>
              <w:bottom w:val="nil"/>
            </w:tcBorders>
            <w:shd w:val="clear" w:color="auto" w:fill="FFFFFF" w:themeFill="background1"/>
            <w:tcMar>
              <w:top w:w="0" w:type="dxa"/>
              <w:left w:w="85" w:type="dxa"/>
              <w:bottom w:w="0" w:type="dxa"/>
              <w:right w:w="85" w:type="dxa"/>
            </w:tcMar>
          </w:tcPr>
          <w:p w14:paraId="0FB32A52" w14:textId="77777777" w:rsidR="00502238" w:rsidRPr="00FD12D3" w:rsidRDefault="00502238" w:rsidP="00F16E23">
            <w:pPr>
              <w:pStyle w:val="TableText"/>
              <w:spacing w:before="40" w:after="40"/>
              <w:rPr>
                <w:szCs w:val="16"/>
              </w:rPr>
            </w:pPr>
            <w:r w:rsidRPr="00FD12D3">
              <w:rPr>
                <w:rFonts w:eastAsia="Calibri"/>
                <w:szCs w:val="16"/>
              </w:rPr>
              <w:t>The conservative estimated value is below 0.05 percent of New Zealand’s total emissions. This would keep the national total aggregate of estimated emissions for all gases and categories considered insignificant below 0.1 percent of the national total greenhouse gas emissions.</w:t>
            </w:r>
          </w:p>
        </w:tc>
      </w:tr>
      <w:tr w:rsidR="00502238" w:rsidRPr="00FD12D3" w14:paraId="73362BD0" w14:textId="77777777" w:rsidTr="000344CE">
        <w:tc>
          <w:tcPr>
            <w:tcW w:w="1276" w:type="dxa"/>
            <w:tcBorders>
              <w:top w:val="nil"/>
            </w:tcBorders>
            <w:shd w:val="clear" w:color="auto" w:fill="FFFFFF" w:themeFill="background1"/>
            <w:tcMar>
              <w:top w:w="0" w:type="dxa"/>
              <w:left w:w="85" w:type="dxa"/>
              <w:bottom w:w="0" w:type="dxa"/>
              <w:right w:w="85" w:type="dxa"/>
            </w:tcMar>
            <w:vAlign w:val="center"/>
          </w:tcPr>
          <w:p w14:paraId="16A0B9D0" w14:textId="77777777" w:rsidR="00502238" w:rsidRPr="00FD12D3" w:rsidRDefault="00502238" w:rsidP="00F16E23">
            <w:pPr>
              <w:pStyle w:val="TableText"/>
              <w:keepNext/>
              <w:spacing w:before="40" w:after="40"/>
              <w:rPr>
                <w:szCs w:val="16"/>
              </w:rPr>
            </w:pPr>
          </w:p>
        </w:tc>
        <w:tc>
          <w:tcPr>
            <w:tcW w:w="1985" w:type="dxa"/>
            <w:tcBorders>
              <w:top w:val="nil"/>
            </w:tcBorders>
            <w:shd w:val="clear" w:color="auto" w:fill="FFFFFF" w:themeFill="background1"/>
            <w:tcMar>
              <w:top w:w="0" w:type="dxa"/>
              <w:left w:w="85" w:type="dxa"/>
              <w:bottom w:w="0" w:type="dxa"/>
              <w:right w:w="85" w:type="dxa"/>
            </w:tcMar>
            <w:vAlign w:val="center"/>
          </w:tcPr>
          <w:p w14:paraId="2F05128B" w14:textId="77777777" w:rsidR="00502238" w:rsidRPr="00FD12D3" w:rsidRDefault="00502238" w:rsidP="00F16E23">
            <w:pPr>
              <w:pStyle w:val="TableText"/>
              <w:spacing w:before="40" w:after="40"/>
              <w:rPr>
                <w:szCs w:val="16"/>
              </w:rPr>
            </w:pPr>
          </w:p>
        </w:tc>
        <w:tc>
          <w:tcPr>
            <w:tcW w:w="1134" w:type="dxa"/>
            <w:tcBorders>
              <w:top w:val="nil"/>
            </w:tcBorders>
            <w:shd w:val="clear" w:color="auto" w:fill="FFFFFF" w:themeFill="background1"/>
            <w:tcMar>
              <w:top w:w="0" w:type="dxa"/>
              <w:left w:w="85" w:type="dxa"/>
              <w:bottom w:w="0" w:type="dxa"/>
              <w:right w:w="85" w:type="dxa"/>
            </w:tcMar>
            <w:vAlign w:val="center"/>
          </w:tcPr>
          <w:p w14:paraId="70A517E3" w14:textId="77777777" w:rsidR="00502238" w:rsidRPr="00FD12D3" w:rsidRDefault="00502238" w:rsidP="00F16E23">
            <w:pPr>
              <w:pStyle w:val="TableText"/>
              <w:spacing w:before="40" w:after="40"/>
              <w:rPr>
                <w:szCs w:val="16"/>
              </w:rPr>
            </w:pPr>
          </w:p>
        </w:tc>
        <w:tc>
          <w:tcPr>
            <w:tcW w:w="4167" w:type="dxa"/>
            <w:tcBorders>
              <w:top w:val="nil"/>
            </w:tcBorders>
            <w:shd w:val="clear" w:color="auto" w:fill="FFFFFF" w:themeFill="background1"/>
            <w:tcMar>
              <w:top w:w="0" w:type="dxa"/>
              <w:left w:w="85" w:type="dxa"/>
              <w:bottom w:w="0" w:type="dxa"/>
              <w:right w:w="85" w:type="dxa"/>
            </w:tcMar>
          </w:tcPr>
          <w:p w14:paraId="089264EA" w14:textId="77777777" w:rsidR="00502238" w:rsidRPr="00FD12D3" w:rsidRDefault="00502238" w:rsidP="00F16E23">
            <w:pPr>
              <w:pStyle w:val="TableText"/>
              <w:spacing w:before="40" w:after="40"/>
              <w:rPr>
                <w:szCs w:val="16"/>
              </w:rPr>
            </w:pPr>
            <w:r w:rsidRPr="00FD12D3">
              <w:rPr>
                <w:rFonts w:eastAsia="Calibri"/>
                <w:color w:val="000000" w:themeColor="text1"/>
                <w:szCs w:val="16"/>
              </w:rPr>
              <w:t>Carbon dioxide from gas processing is mostly associated with direct venting through a stack and, therefore, is reported under 1.B.2.c.1. However, there is a possibility of the presence of trace amounts of CO</w:t>
            </w:r>
            <w:r w:rsidRPr="00FD12D3">
              <w:rPr>
                <w:rFonts w:eastAsia="Calibri"/>
                <w:color w:val="000000" w:themeColor="text1"/>
                <w:szCs w:val="16"/>
                <w:vertAlign w:val="subscript"/>
              </w:rPr>
              <w:t>2</w:t>
            </w:r>
            <w:r w:rsidRPr="00FD12D3">
              <w:rPr>
                <w:rFonts w:eastAsia="Calibri"/>
                <w:color w:val="000000" w:themeColor="text1"/>
                <w:szCs w:val="16"/>
              </w:rPr>
              <w:t xml:space="preserve"> from processing due to leakage, which is estimated to be no higher than 0.1 percent of vented CO</w:t>
            </w:r>
            <w:r w:rsidRPr="00FD12D3">
              <w:rPr>
                <w:rFonts w:eastAsia="Calibri"/>
                <w:color w:val="000000" w:themeColor="text1"/>
                <w:szCs w:val="16"/>
                <w:vertAlign w:val="subscript"/>
              </w:rPr>
              <w:t>2</w:t>
            </w:r>
            <w:r w:rsidRPr="00FD12D3">
              <w:rPr>
                <w:rFonts w:eastAsia="Calibri"/>
                <w:color w:val="000000" w:themeColor="text1"/>
                <w:szCs w:val="16"/>
              </w:rPr>
              <w:t>. A conservative estimate of 0.1 percent of vented CO</w:t>
            </w:r>
            <w:r w:rsidRPr="00FD12D3">
              <w:rPr>
                <w:rFonts w:eastAsia="Calibri"/>
                <w:color w:val="000000" w:themeColor="text1"/>
                <w:szCs w:val="16"/>
                <w:vertAlign w:val="subscript"/>
              </w:rPr>
              <w:t>2</w:t>
            </w:r>
            <w:r w:rsidRPr="00FD12D3">
              <w:rPr>
                <w:rFonts w:eastAsia="Calibri"/>
                <w:color w:val="000000" w:themeColor="text1"/>
                <w:szCs w:val="16"/>
              </w:rPr>
              <w:t xml:space="preserve"> from all categories is 0.26 kt, which is below 0.05 percent of New Zealand’s total emissions and thus can be considered insignificant.</w:t>
            </w:r>
          </w:p>
        </w:tc>
      </w:tr>
      <w:tr w:rsidR="00502238" w:rsidRPr="00FD12D3" w14:paraId="59EA4CE2" w14:textId="77777777" w:rsidTr="000344CE">
        <w:tc>
          <w:tcPr>
            <w:tcW w:w="1276" w:type="dxa"/>
            <w:tcBorders>
              <w:bottom w:val="nil"/>
            </w:tcBorders>
            <w:shd w:val="clear" w:color="auto" w:fill="FFFFFF" w:themeFill="background1"/>
            <w:tcMar>
              <w:top w:w="0" w:type="dxa"/>
              <w:left w:w="85" w:type="dxa"/>
              <w:bottom w:w="0" w:type="dxa"/>
              <w:right w:w="85" w:type="dxa"/>
            </w:tcMar>
            <w:vAlign w:val="center"/>
          </w:tcPr>
          <w:p w14:paraId="003BBD5B" w14:textId="77777777" w:rsidR="00502238" w:rsidRPr="00FD12D3" w:rsidRDefault="00502238" w:rsidP="00F16E23">
            <w:pPr>
              <w:pStyle w:val="TableText"/>
              <w:spacing w:before="40" w:after="40"/>
              <w:rPr>
                <w:szCs w:val="16"/>
              </w:rPr>
            </w:pPr>
            <w:r w:rsidRPr="00FD12D3">
              <w:rPr>
                <w:rFonts w:eastAsia="Calibri"/>
                <w:szCs w:val="16"/>
              </w:rPr>
              <w:t>1.B.2.c.i.2</w:t>
            </w:r>
          </w:p>
        </w:tc>
        <w:tc>
          <w:tcPr>
            <w:tcW w:w="1985" w:type="dxa"/>
            <w:tcBorders>
              <w:bottom w:val="nil"/>
            </w:tcBorders>
            <w:shd w:val="clear" w:color="auto" w:fill="FFFFFF" w:themeFill="background1"/>
            <w:tcMar>
              <w:top w:w="0" w:type="dxa"/>
              <w:left w:w="85" w:type="dxa"/>
              <w:bottom w:w="0" w:type="dxa"/>
              <w:right w:w="85" w:type="dxa"/>
            </w:tcMar>
            <w:vAlign w:val="center"/>
          </w:tcPr>
          <w:p w14:paraId="0EDC0A07" w14:textId="77777777" w:rsidR="00502238" w:rsidRPr="00FD12D3" w:rsidRDefault="00502238" w:rsidP="00F16E23">
            <w:pPr>
              <w:pStyle w:val="TableText"/>
              <w:spacing w:before="40" w:after="40"/>
              <w:rPr>
                <w:szCs w:val="16"/>
              </w:rPr>
            </w:pPr>
            <w:r w:rsidRPr="00FD12D3">
              <w:rPr>
                <w:rFonts w:eastAsia="Calibri"/>
                <w:szCs w:val="16"/>
              </w:rPr>
              <w:t>Venting – Gas</w:t>
            </w:r>
          </w:p>
        </w:tc>
        <w:tc>
          <w:tcPr>
            <w:tcW w:w="1134" w:type="dxa"/>
            <w:tcBorders>
              <w:bottom w:val="nil"/>
            </w:tcBorders>
            <w:shd w:val="clear" w:color="auto" w:fill="FFFFFF" w:themeFill="background1"/>
            <w:tcMar>
              <w:top w:w="0" w:type="dxa"/>
              <w:left w:w="85" w:type="dxa"/>
              <w:bottom w:w="0" w:type="dxa"/>
              <w:right w:w="85" w:type="dxa"/>
            </w:tcMar>
            <w:vAlign w:val="center"/>
          </w:tcPr>
          <w:p w14:paraId="2A796A57"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p>
        </w:tc>
        <w:tc>
          <w:tcPr>
            <w:tcW w:w="4167" w:type="dxa"/>
            <w:tcBorders>
              <w:bottom w:val="nil"/>
            </w:tcBorders>
            <w:shd w:val="clear" w:color="auto" w:fill="FFFFFF" w:themeFill="background1"/>
            <w:tcMar>
              <w:top w:w="0" w:type="dxa"/>
              <w:left w:w="85" w:type="dxa"/>
              <w:bottom w:w="0" w:type="dxa"/>
              <w:right w:w="85" w:type="dxa"/>
            </w:tcMar>
          </w:tcPr>
          <w:p w14:paraId="0EF14B81" w14:textId="77777777" w:rsidR="00502238" w:rsidRPr="00FD12D3" w:rsidRDefault="00502238" w:rsidP="00F16E23">
            <w:pPr>
              <w:pStyle w:val="TableText"/>
              <w:spacing w:before="40" w:after="40"/>
              <w:rPr>
                <w:szCs w:val="16"/>
              </w:rPr>
            </w:pPr>
            <w:r w:rsidRPr="00FD12D3">
              <w:rPr>
                <w:rFonts w:eastAsia="Calibri"/>
                <w:color w:val="000000" w:themeColor="text1"/>
                <w:szCs w:val="16"/>
              </w:rPr>
              <w:t>In accordance with chapter II of the Annex to the decision 18/CMA.1 (UNFCCC, 2018b), this category is not mandatory. While direct venting of CH</w:t>
            </w:r>
            <w:r w:rsidRPr="00FD12D3">
              <w:rPr>
                <w:rFonts w:eastAsia="Calibri"/>
                <w:color w:val="000000" w:themeColor="text1"/>
                <w:szCs w:val="16"/>
                <w:vertAlign w:val="subscript"/>
              </w:rPr>
              <w:t>4</w:t>
            </w:r>
            <w:r w:rsidRPr="00FD12D3">
              <w:rPr>
                <w:rFonts w:eastAsia="Calibri"/>
                <w:color w:val="000000" w:themeColor="text1"/>
                <w:szCs w:val="16"/>
              </w:rPr>
              <w:t xml:space="preserve"> does not occur, the CO</w:t>
            </w:r>
            <w:r w:rsidRPr="00FD12D3">
              <w:rPr>
                <w:rFonts w:eastAsia="Calibri"/>
                <w:color w:val="000000" w:themeColor="text1"/>
                <w:szCs w:val="16"/>
                <w:vertAlign w:val="subscript"/>
              </w:rPr>
              <w:t>2</w:t>
            </w:r>
            <w:r w:rsidRPr="00FD12D3">
              <w:rPr>
                <w:rFonts w:eastAsia="Calibri"/>
                <w:color w:val="000000" w:themeColor="text1"/>
                <w:szCs w:val="16"/>
              </w:rPr>
              <w:t xml:space="preserve"> stream may include traces of CH</w:t>
            </w:r>
            <w:r w:rsidRPr="00FD12D3">
              <w:rPr>
                <w:rFonts w:eastAsia="Calibri"/>
                <w:color w:val="000000" w:themeColor="text1"/>
                <w:szCs w:val="16"/>
                <w:vertAlign w:val="subscript"/>
              </w:rPr>
              <w:t>4</w:t>
            </w:r>
            <w:r w:rsidRPr="00FD12D3">
              <w:rPr>
                <w:rFonts w:eastAsia="Calibri"/>
                <w:color w:val="000000" w:themeColor="text1"/>
                <w:szCs w:val="16"/>
              </w:rPr>
              <w:t>. The level of these emissions has been determined to be insignificant in comparison with national emissions. A conservative estimate (using default emission factors from the 2006 IPCC Guidelines) gives nearly 1.7 kt CO</w:t>
            </w:r>
            <w:r w:rsidRPr="00FD12D3">
              <w:rPr>
                <w:rFonts w:eastAsia="Calibri"/>
                <w:color w:val="000000" w:themeColor="text1"/>
                <w:szCs w:val="16"/>
                <w:vertAlign w:val="subscript"/>
              </w:rPr>
              <w:t>2</w:t>
            </w:r>
            <w:r w:rsidRPr="00FD12D3">
              <w:rPr>
                <w:rFonts w:eastAsia="Calibri"/>
                <w:color w:val="000000" w:themeColor="text1"/>
                <w:szCs w:val="16"/>
              </w:rPr>
              <w:t>e per year (IPCC, 2006c).</w:t>
            </w:r>
          </w:p>
        </w:tc>
      </w:tr>
      <w:tr w:rsidR="00502238" w:rsidRPr="00FD12D3" w14:paraId="29553BB3" w14:textId="77777777" w:rsidTr="000344CE">
        <w:tc>
          <w:tcPr>
            <w:tcW w:w="1276" w:type="dxa"/>
            <w:tcBorders>
              <w:top w:val="nil"/>
              <w:bottom w:val="nil"/>
            </w:tcBorders>
            <w:shd w:val="clear" w:color="auto" w:fill="FFFFFF" w:themeFill="background1"/>
            <w:tcMar>
              <w:top w:w="0" w:type="dxa"/>
              <w:left w:w="85" w:type="dxa"/>
              <w:bottom w:w="0" w:type="dxa"/>
              <w:right w:w="85" w:type="dxa"/>
            </w:tcMar>
            <w:vAlign w:val="center"/>
          </w:tcPr>
          <w:p w14:paraId="0C945CB6" w14:textId="77777777" w:rsidR="00502238" w:rsidRPr="00FD12D3" w:rsidRDefault="00502238" w:rsidP="00F16E23">
            <w:pPr>
              <w:pStyle w:val="TableText"/>
              <w:spacing w:before="40" w:after="40"/>
              <w:rPr>
                <w:szCs w:val="16"/>
              </w:rPr>
            </w:pPr>
          </w:p>
        </w:tc>
        <w:tc>
          <w:tcPr>
            <w:tcW w:w="1985" w:type="dxa"/>
            <w:tcBorders>
              <w:top w:val="nil"/>
              <w:bottom w:val="nil"/>
            </w:tcBorders>
            <w:shd w:val="clear" w:color="auto" w:fill="FFFFFF" w:themeFill="background1"/>
            <w:tcMar>
              <w:top w:w="0" w:type="dxa"/>
              <w:left w:w="85" w:type="dxa"/>
              <w:bottom w:w="0" w:type="dxa"/>
              <w:right w:w="85" w:type="dxa"/>
            </w:tcMar>
            <w:vAlign w:val="center"/>
          </w:tcPr>
          <w:p w14:paraId="32B56718" w14:textId="77777777" w:rsidR="00502238" w:rsidRPr="00FD12D3" w:rsidRDefault="00502238" w:rsidP="00F16E23">
            <w:pPr>
              <w:pStyle w:val="TableText"/>
              <w:spacing w:before="40" w:after="40"/>
              <w:rPr>
                <w:szCs w:val="16"/>
              </w:rPr>
            </w:pPr>
          </w:p>
        </w:tc>
        <w:tc>
          <w:tcPr>
            <w:tcW w:w="1134" w:type="dxa"/>
            <w:tcBorders>
              <w:top w:val="nil"/>
              <w:bottom w:val="nil"/>
            </w:tcBorders>
            <w:shd w:val="clear" w:color="auto" w:fill="FFFFFF" w:themeFill="background1"/>
            <w:tcMar>
              <w:top w:w="0" w:type="dxa"/>
              <w:left w:w="85" w:type="dxa"/>
              <w:bottom w:w="0" w:type="dxa"/>
              <w:right w:w="85" w:type="dxa"/>
            </w:tcMar>
            <w:vAlign w:val="center"/>
          </w:tcPr>
          <w:p w14:paraId="7440C74D" w14:textId="77777777" w:rsidR="00502238" w:rsidRPr="00FD12D3" w:rsidRDefault="00502238" w:rsidP="00F16E23">
            <w:pPr>
              <w:pStyle w:val="TableText"/>
              <w:spacing w:before="40" w:after="40"/>
              <w:rPr>
                <w:szCs w:val="16"/>
              </w:rPr>
            </w:pPr>
          </w:p>
        </w:tc>
        <w:tc>
          <w:tcPr>
            <w:tcW w:w="4167" w:type="dxa"/>
            <w:tcBorders>
              <w:top w:val="nil"/>
              <w:bottom w:val="nil"/>
            </w:tcBorders>
            <w:shd w:val="clear" w:color="auto" w:fill="FFFFFF" w:themeFill="background1"/>
            <w:tcMar>
              <w:top w:w="0" w:type="dxa"/>
              <w:left w:w="85" w:type="dxa"/>
              <w:bottom w:w="0" w:type="dxa"/>
              <w:right w:w="85" w:type="dxa"/>
            </w:tcMar>
          </w:tcPr>
          <w:p w14:paraId="742ACF07" w14:textId="77777777" w:rsidR="00502238" w:rsidRPr="00FD12D3" w:rsidRDefault="00502238" w:rsidP="00F16E23">
            <w:pPr>
              <w:pStyle w:val="TableText"/>
              <w:spacing w:before="40" w:after="40"/>
              <w:rPr>
                <w:szCs w:val="16"/>
              </w:rPr>
            </w:pPr>
            <w:r w:rsidRPr="00FD12D3">
              <w:rPr>
                <w:rFonts w:eastAsia="Calibri"/>
                <w:szCs w:val="16"/>
              </w:rPr>
              <w:t>CH</w:t>
            </w:r>
            <w:r w:rsidRPr="00FD12D3">
              <w:rPr>
                <w:rFonts w:eastAsia="Calibri"/>
                <w:szCs w:val="16"/>
                <w:vertAlign w:val="subscript"/>
              </w:rPr>
              <w:t>4</w:t>
            </w:r>
            <w:r w:rsidRPr="00FD12D3">
              <w:rPr>
                <w:rFonts w:eastAsia="Calibri"/>
                <w:szCs w:val="16"/>
              </w:rPr>
              <w:t>: 625 Mm</w:t>
            </w:r>
            <w:r w:rsidRPr="00FD12D3">
              <w:rPr>
                <w:rFonts w:eastAsia="Calibri"/>
                <w:szCs w:val="16"/>
                <w:vertAlign w:val="superscript"/>
              </w:rPr>
              <w:t>3</w:t>
            </w:r>
            <w:r w:rsidRPr="00FD12D3">
              <w:rPr>
                <w:rFonts w:eastAsia="Calibri"/>
                <w:szCs w:val="16"/>
              </w:rPr>
              <w:t xml:space="preserve"> (Kapuni field production) * 9.7e-5 * 28 = 1.7 kt CO</w:t>
            </w:r>
            <w:r w:rsidRPr="00FD12D3">
              <w:rPr>
                <w:rFonts w:eastAsia="Calibri"/>
                <w:szCs w:val="16"/>
                <w:vertAlign w:val="subscript"/>
              </w:rPr>
              <w:t>2</w:t>
            </w:r>
            <w:r w:rsidRPr="00FD12D3">
              <w:rPr>
                <w:rFonts w:eastAsia="Calibri"/>
                <w:szCs w:val="16"/>
              </w:rPr>
              <w:t>e.</w:t>
            </w:r>
          </w:p>
        </w:tc>
      </w:tr>
      <w:tr w:rsidR="00502238" w:rsidRPr="00FD12D3" w14:paraId="4FF8F766" w14:textId="77777777" w:rsidTr="000344CE">
        <w:tc>
          <w:tcPr>
            <w:tcW w:w="1276" w:type="dxa"/>
            <w:tcBorders>
              <w:top w:val="nil"/>
            </w:tcBorders>
            <w:shd w:val="clear" w:color="auto" w:fill="FFFFFF" w:themeFill="background1"/>
            <w:tcMar>
              <w:top w:w="0" w:type="dxa"/>
              <w:left w:w="85" w:type="dxa"/>
              <w:bottom w:w="0" w:type="dxa"/>
              <w:right w:w="85" w:type="dxa"/>
            </w:tcMar>
            <w:vAlign w:val="center"/>
          </w:tcPr>
          <w:p w14:paraId="45E01B1E" w14:textId="77777777" w:rsidR="00502238" w:rsidRPr="00FD12D3" w:rsidRDefault="00502238" w:rsidP="00F16E23">
            <w:pPr>
              <w:pStyle w:val="TableText"/>
              <w:spacing w:before="40" w:after="40"/>
              <w:rPr>
                <w:szCs w:val="16"/>
              </w:rPr>
            </w:pPr>
          </w:p>
        </w:tc>
        <w:tc>
          <w:tcPr>
            <w:tcW w:w="1985" w:type="dxa"/>
            <w:tcBorders>
              <w:top w:val="nil"/>
            </w:tcBorders>
            <w:shd w:val="clear" w:color="auto" w:fill="FFFFFF" w:themeFill="background1"/>
            <w:tcMar>
              <w:top w:w="0" w:type="dxa"/>
              <w:left w:w="85" w:type="dxa"/>
              <w:bottom w:w="0" w:type="dxa"/>
              <w:right w:w="85" w:type="dxa"/>
            </w:tcMar>
            <w:vAlign w:val="center"/>
          </w:tcPr>
          <w:p w14:paraId="417D269D" w14:textId="77777777" w:rsidR="00502238" w:rsidRPr="00FD12D3" w:rsidRDefault="00502238" w:rsidP="00F16E23">
            <w:pPr>
              <w:pStyle w:val="TableText"/>
              <w:spacing w:before="40" w:after="40"/>
              <w:rPr>
                <w:szCs w:val="16"/>
              </w:rPr>
            </w:pPr>
          </w:p>
        </w:tc>
        <w:tc>
          <w:tcPr>
            <w:tcW w:w="1134" w:type="dxa"/>
            <w:tcBorders>
              <w:top w:val="nil"/>
            </w:tcBorders>
            <w:shd w:val="clear" w:color="auto" w:fill="FFFFFF" w:themeFill="background1"/>
            <w:tcMar>
              <w:top w:w="0" w:type="dxa"/>
              <w:left w:w="85" w:type="dxa"/>
              <w:bottom w:w="0" w:type="dxa"/>
              <w:right w:w="85" w:type="dxa"/>
            </w:tcMar>
            <w:vAlign w:val="center"/>
          </w:tcPr>
          <w:p w14:paraId="793F3145" w14:textId="77777777" w:rsidR="00502238" w:rsidRPr="00FD12D3" w:rsidRDefault="00502238" w:rsidP="00F16E23">
            <w:pPr>
              <w:pStyle w:val="TableText"/>
              <w:spacing w:before="40" w:after="40"/>
              <w:rPr>
                <w:szCs w:val="16"/>
              </w:rPr>
            </w:pPr>
          </w:p>
        </w:tc>
        <w:tc>
          <w:tcPr>
            <w:tcW w:w="4167" w:type="dxa"/>
            <w:tcBorders>
              <w:top w:val="nil"/>
            </w:tcBorders>
            <w:shd w:val="clear" w:color="auto" w:fill="FFFFFF" w:themeFill="background1"/>
            <w:tcMar>
              <w:top w:w="0" w:type="dxa"/>
              <w:left w:w="85" w:type="dxa"/>
              <w:bottom w:w="0" w:type="dxa"/>
              <w:right w:w="85" w:type="dxa"/>
            </w:tcMar>
          </w:tcPr>
          <w:p w14:paraId="085214EA" w14:textId="77777777" w:rsidR="00502238" w:rsidRPr="00FD12D3" w:rsidRDefault="00502238" w:rsidP="00F16E23">
            <w:pPr>
              <w:pStyle w:val="TableText"/>
              <w:spacing w:before="40" w:after="40"/>
              <w:rPr>
                <w:szCs w:val="16"/>
              </w:rPr>
            </w:pPr>
            <w:r w:rsidRPr="00FD12D3">
              <w:rPr>
                <w:rFonts w:eastAsia="Calibri"/>
                <w:szCs w:val="16"/>
              </w:rPr>
              <w:t>The conservative estimated value is below 0.05 percent of New Zealand’s total emissions. This would keep the national total aggregate of estimated emissions for all gases and categories considered insignificant below 0.1 percent of New Zealand’s total emissions.</w:t>
            </w:r>
          </w:p>
        </w:tc>
      </w:tr>
      <w:tr w:rsidR="00502238" w:rsidRPr="00FD12D3" w14:paraId="234E4FCE" w14:textId="77777777" w:rsidTr="00F16E23">
        <w:tc>
          <w:tcPr>
            <w:tcW w:w="3261" w:type="dxa"/>
            <w:gridSpan w:val="2"/>
            <w:shd w:val="clear" w:color="auto" w:fill="FFFFFF" w:themeFill="background1"/>
            <w:tcMar>
              <w:top w:w="0" w:type="dxa"/>
              <w:left w:w="85" w:type="dxa"/>
              <w:bottom w:w="0" w:type="dxa"/>
              <w:right w:w="85" w:type="dxa"/>
            </w:tcMar>
            <w:vAlign w:val="center"/>
          </w:tcPr>
          <w:p w14:paraId="1D37EC35" w14:textId="77777777" w:rsidR="00502238" w:rsidRPr="00FD12D3" w:rsidRDefault="00502238" w:rsidP="00F16E23">
            <w:pPr>
              <w:pStyle w:val="TableText"/>
              <w:spacing w:before="40" w:after="40"/>
              <w:rPr>
                <w:b/>
                <w:bCs/>
                <w:szCs w:val="16"/>
              </w:rPr>
            </w:pPr>
            <w:r w:rsidRPr="00FD12D3">
              <w:rPr>
                <w:rFonts w:eastAsia="Calibri"/>
                <w:b/>
                <w:bCs/>
                <w:szCs w:val="16"/>
              </w:rPr>
              <w:t>Industrial Processes and Product Use</w:t>
            </w:r>
          </w:p>
        </w:tc>
        <w:tc>
          <w:tcPr>
            <w:tcW w:w="1134" w:type="dxa"/>
            <w:shd w:val="clear" w:color="auto" w:fill="FFFFFF" w:themeFill="background1"/>
            <w:tcMar>
              <w:top w:w="0" w:type="dxa"/>
              <w:left w:w="85" w:type="dxa"/>
              <w:bottom w:w="0" w:type="dxa"/>
              <w:right w:w="85" w:type="dxa"/>
            </w:tcMar>
            <w:vAlign w:val="center"/>
          </w:tcPr>
          <w:p w14:paraId="056D732A" w14:textId="77777777" w:rsidR="00502238" w:rsidRPr="00FD12D3" w:rsidRDefault="00502238" w:rsidP="00F16E23">
            <w:pPr>
              <w:pStyle w:val="TableText"/>
              <w:spacing w:before="40" w:after="40"/>
              <w:rPr>
                <w:b/>
                <w:bCs/>
                <w:szCs w:val="16"/>
              </w:rPr>
            </w:pPr>
          </w:p>
        </w:tc>
        <w:tc>
          <w:tcPr>
            <w:tcW w:w="4167" w:type="dxa"/>
            <w:shd w:val="clear" w:color="auto" w:fill="FFFFFF" w:themeFill="background1"/>
            <w:tcMar>
              <w:top w:w="0" w:type="dxa"/>
              <w:left w:w="85" w:type="dxa"/>
              <w:bottom w:w="0" w:type="dxa"/>
              <w:right w:w="85" w:type="dxa"/>
            </w:tcMar>
          </w:tcPr>
          <w:p w14:paraId="52E7D7CA" w14:textId="77777777" w:rsidR="00502238" w:rsidRPr="00FD12D3" w:rsidRDefault="00502238" w:rsidP="00F16E23">
            <w:pPr>
              <w:pStyle w:val="TableText"/>
              <w:spacing w:before="40" w:after="40"/>
              <w:rPr>
                <w:b/>
                <w:bCs/>
                <w:szCs w:val="16"/>
              </w:rPr>
            </w:pPr>
          </w:p>
        </w:tc>
      </w:tr>
      <w:tr w:rsidR="00502238" w:rsidRPr="00FD12D3" w14:paraId="7E52FCD4" w14:textId="77777777" w:rsidTr="00F16E23">
        <w:tc>
          <w:tcPr>
            <w:tcW w:w="1276" w:type="dxa"/>
            <w:shd w:val="clear" w:color="auto" w:fill="FFFFFF" w:themeFill="background1"/>
            <w:tcMar>
              <w:top w:w="0" w:type="dxa"/>
              <w:left w:w="85" w:type="dxa"/>
              <w:bottom w:w="0" w:type="dxa"/>
              <w:right w:w="85" w:type="dxa"/>
            </w:tcMar>
            <w:vAlign w:val="center"/>
          </w:tcPr>
          <w:p w14:paraId="0E584923" w14:textId="77777777" w:rsidR="00502238" w:rsidRPr="00FD12D3" w:rsidRDefault="00502238" w:rsidP="00F16E23">
            <w:pPr>
              <w:pStyle w:val="TableText"/>
              <w:spacing w:before="40" w:after="40"/>
              <w:rPr>
                <w:szCs w:val="16"/>
              </w:rPr>
            </w:pPr>
            <w:r w:rsidRPr="00FD12D3">
              <w:rPr>
                <w:rFonts w:eastAsia="Calibri"/>
                <w:szCs w:val="16"/>
              </w:rPr>
              <w:t>2.G.2.e</w:t>
            </w:r>
          </w:p>
        </w:tc>
        <w:tc>
          <w:tcPr>
            <w:tcW w:w="1985" w:type="dxa"/>
            <w:shd w:val="clear" w:color="auto" w:fill="FFFFFF" w:themeFill="background1"/>
            <w:tcMar>
              <w:top w:w="0" w:type="dxa"/>
              <w:left w:w="85" w:type="dxa"/>
              <w:bottom w:w="0" w:type="dxa"/>
              <w:right w:w="85" w:type="dxa"/>
            </w:tcMar>
            <w:vAlign w:val="center"/>
          </w:tcPr>
          <w:p w14:paraId="6BFA7923" w14:textId="77777777" w:rsidR="00502238" w:rsidRPr="00FD12D3" w:rsidRDefault="00502238" w:rsidP="00F16E23">
            <w:pPr>
              <w:pStyle w:val="TableText"/>
              <w:spacing w:before="40" w:after="40"/>
              <w:rPr>
                <w:szCs w:val="16"/>
              </w:rPr>
            </w:pPr>
            <w:r w:rsidRPr="00FD12D3">
              <w:rPr>
                <w:rFonts w:eastAsia="Calibri"/>
                <w:szCs w:val="16"/>
              </w:rPr>
              <w:t>Medical and other product use</w:t>
            </w:r>
          </w:p>
        </w:tc>
        <w:tc>
          <w:tcPr>
            <w:tcW w:w="1134" w:type="dxa"/>
            <w:shd w:val="clear" w:color="auto" w:fill="FFFFFF" w:themeFill="background1"/>
            <w:tcMar>
              <w:top w:w="0" w:type="dxa"/>
              <w:left w:w="85" w:type="dxa"/>
              <w:bottom w:w="0" w:type="dxa"/>
              <w:right w:w="85" w:type="dxa"/>
            </w:tcMar>
            <w:vAlign w:val="center"/>
          </w:tcPr>
          <w:p w14:paraId="0306211D" w14:textId="77777777" w:rsidR="00502238" w:rsidRPr="00FD12D3" w:rsidRDefault="00502238" w:rsidP="00F16E23">
            <w:pPr>
              <w:pStyle w:val="TableText"/>
              <w:spacing w:before="40" w:after="40"/>
              <w:rPr>
                <w:szCs w:val="16"/>
              </w:rPr>
            </w:pPr>
            <w:r w:rsidRPr="00FD12D3">
              <w:rPr>
                <w:rFonts w:eastAsia="Calibri"/>
                <w:color w:val="000000" w:themeColor="text1"/>
                <w:szCs w:val="16"/>
              </w:rPr>
              <w:t>C</w:t>
            </w:r>
            <w:r w:rsidRPr="00FD12D3">
              <w:rPr>
                <w:rFonts w:eastAsia="Calibri"/>
                <w:color w:val="000000" w:themeColor="text1"/>
                <w:szCs w:val="16"/>
                <w:vertAlign w:val="subscript"/>
              </w:rPr>
              <w:t>2</w:t>
            </w:r>
            <w:r w:rsidRPr="00FD12D3">
              <w:rPr>
                <w:rFonts w:eastAsia="Calibri"/>
                <w:color w:val="000000" w:themeColor="text1"/>
                <w:szCs w:val="16"/>
              </w:rPr>
              <w:t>F</w:t>
            </w:r>
            <w:r w:rsidRPr="00FD12D3">
              <w:rPr>
                <w:rFonts w:eastAsia="Calibri"/>
                <w:color w:val="000000" w:themeColor="text1"/>
                <w:szCs w:val="16"/>
                <w:vertAlign w:val="subscript"/>
              </w:rPr>
              <w:t>6</w:t>
            </w:r>
          </w:p>
        </w:tc>
        <w:tc>
          <w:tcPr>
            <w:tcW w:w="4167" w:type="dxa"/>
            <w:shd w:val="clear" w:color="auto" w:fill="FFFFFF" w:themeFill="background1"/>
            <w:tcMar>
              <w:top w:w="0" w:type="dxa"/>
              <w:left w:w="85" w:type="dxa"/>
              <w:bottom w:w="0" w:type="dxa"/>
              <w:right w:w="85" w:type="dxa"/>
            </w:tcMar>
          </w:tcPr>
          <w:p w14:paraId="1D311082" w14:textId="67121BF1" w:rsidR="00502238" w:rsidRPr="00FD12D3" w:rsidRDefault="00502238" w:rsidP="00F16E23">
            <w:pPr>
              <w:pStyle w:val="TableText"/>
              <w:spacing w:before="40" w:after="40"/>
              <w:rPr>
                <w:szCs w:val="16"/>
              </w:rPr>
            </w:pPr>
            <w:r w:rsidRPr="00FD12D3">
              <w:rPr>
                <w:rFonts w:eastAsia="Calibri"/>
                <w:color w:val="000000" w:themeColor="text1"/>
                <w:szCs w:val="16"/>
              </w:rPr>
              <w:t>In accordance with chapter II of the Annex to the decision 18/CMA.1 (UNFCCC, 2018b), this category is not mandatory. The level of emissions from this source has been determined to be insignificant in comparison with national emissions. No</w:t>
            </w:r>
            <w:r w:rsidR="00306318">
              <w:rPr>
                <w:rFonts w:eastAsia="Calibri"/>
                <w:color w:val="000000" w:themeColor="text1"/>
                <w:szCs w:val="16"/>
              </w:rPr>
              <w:t xml:space="preserve"> </w:t>
            </w:r>
            <w:r w:rsidRPr="00FD12D3">
              <w:rPr>
                <w:rFonts w:eastAsia="Calibri"/>
                <w:color w:val="000000" w:themeColor="text1"/>
                <w:szCs w:val="16"/>
              </w:rPr>
              <w:t>activity data are available before 2011. Based on 2011 to 2022 data, emissions of perfluoroethane (C</w:t>
            </w:r>
            <w:r w:rsidRPr="00FD12D3">
              <w:rPr>
                <w:rFonts w:eastAsia="Calibri"/>
                <w:color w:val="000000" w:themeColor="text1"/>
                <w:szCs w:val="16"/>
                <w:vertAlign w:val="subscript"/>
              </w:rPr>
              <w:t>2</w:t>
            </w:r>
            <w:r w:rsidRPr="00FD12D3">
              <w:rPr>
                <w:rFonts w:eastAsia="Calibri"/>
                <w:color w:val="000000" w:themeColor="text1"/>
                <w:szCs w:val="16"/>
              </w:rPr>
              <w:t>F</w:t>
            </w:r>
            <w:r w:rsidRPr="00FD12D3">
              <w:rPr>
                <w:rFonts w:eastAsia="Calibri"/>
                <w:color w:val="000000" w:themeColor="text1"/>
                <w:szCs w:val="16"/>
                <w:vertAlign w:val="subscript"/>
              </w:rPr>
              <w:t>6</w:t>
            </w:r>
            <w:r w:rsidRPr="00FD12D3">
              <w:rPr>
                <w:rFonts w:eastAsia="Calibri"/>
                <w:color w:val="000000" w:themeColor="text1"/>
                <w:szCs w:val="16"/>
              </w:rPr>
              <w:t xml:space="preserve">) from </w:t>
            </w:r>
            <w:r w:rsidRPr="00FD12D3">
              <w:rPr>
                <w:rFonts w:eastAsia="Calibri"/>
                <w:i/>
                <w:iCs/>
                <w:color w:val="000000" w:themeColor="text1"/>
                <w:szCs w:val="16"/>
              </w:rPr>
              <w:t>Medical and other product use</w:t>
            </w:r>
            <w:r w:rsidRPr="00FD12D3">
              <w:rPr>
                <w:rFonts w:eastAsia="Calibri"/>
                <w:color w:val="000000" w:themeColor="text1"/>
                <w:szCs w:val="16"/>
              </w:rPr>
              <w:t xml:space="preserve"> are estimated to be approximately 2.6 t CO</w:t>
            </w:r>
            <w:r w:rsidRPr="00FD12D3">
              <w:rPr>
                <w:rFonts w:eastAsia="Calibri"/>
                <w:color w:val="000000" w:themeColor="text1"/>
                <w:szCs w:val="16"/>
                <w:vertAlign w:val="subscript"/>
              </w:rPr>
              <w:t>2</w:t>
            </w:r>
            <w:r w:rsidRPr="00FD12D3">
              <w:rPr>
                <w:rFonts w:eastAsia="Calibri"/>
                <w:color w:val="000000" w:themeColor="text1"/>
                <w:szCs w:val="16"/>
              </w:rPr>
              <w:t>e per annum, which is below the significance threshold.</w:t>
            </w:r>
          </w:p>
        </w:tc>
      </w:tr>
      <w:tr w:rsidR="00502238" w:rsidRPr="00FD12D3" w14:paraId="767BAF56" w14:textId="77777777" w:rsidTr="00F16E23">
        <w:tc>
          <w:tcPr>
            <w:tcW w:w="1276" w:type="dxa"/>
            <w:shd w:val="clear" w:color="auto" w:fill="FFFFFF" w:themeFill="background1"/>
            <w:tcMar>
              <w:top w:w="0" w:type="dxa"/>
              <w:left w:w="85" w:type="dxa"/>
              <w:bottom w:w="0" w:type="dxa"/>
              <w:right w:w="85" w:type="dxa"/>
            </w:tcMar>
            <w:vAlign w:val="center"/>
          </w:tcPr>
          <w:p w14:paraId="50BA4B4C" w14:textId="77777777" w:rsidR="00502238" w:rsidRPr="00FD12D3" w:rsidRDefault="00502238" w:rsidP="00F16E23">
            <w:pPr>
              <w:pStyle w:val="TableText"/>
              <w:spacing w:before="40" w:after="40"/>
              <w:rPr>
                <w:szCs w:val="16"/>
              </w:rPr>
            </w:pPr>
            <w:r w:rsidRPr="00FD12D3">
              <w:rPr>
                <w:rFonts w:eastAsia="Calibri"/>
                <w:szCs w:val="16"/>
              </w:rPr>
              <w:t>2.G.2.e</w:t>
            </w:r>
          </w:p>
        </w:tc>
        <w:tc>
          <w:tcPr>
            <w:tcW w:w="1985" w:type="dxa"/>
            <w:shd w:val="clear" w:color="auto" w:fill="FFFFFF" w:themeFill="background1"/>
            <w:tcMar>
              <w:top w:w="0" w:type="dxa"/>
              <w:left w:w="85" w:type="dxa"/>
              <w:bottom w:w="0" w:type="dxa"/>
              <w:right w:w="85" w:type="dxa"/>
            </w:tcMar>
            <w:vAlign w:val="center"/>
          </w:tcPr>
          <w:p w14:paraId="15E78D3C" w14:textId="77777777" w:rsidR="00502238" w:rsidRPr="00FD12D3" w:rsidRDefault="00502238" w:rsidP="00F16E23">
            <w:pPr>
              <w:pStyle w:val="TableText"/>
              <w:spacing w:before="40" w:after="40"/>
              <w:rPr>
                <w:szCs w:val="16"/>
              </w:rPr>
            </w:pPr>
            <w:r w:rsidRPr="00FD12D3">
              <w:rPr>
                <w:rFonts w:eastAsia="Calibri"/>
                <w:szCs w:val="16"/>
              </w:rPr>
              <w:t>Medical and other product use</w:t>
            </w:r>
          </w:p>
        </w:tc>
        <w:tc>
          <w:tcPr>
            <w:tcW w:w="1134" w:type="dxa"/>
            <w:shd w:val="clear" w:color="auto" w:fill="FFFFFF" w:themeFill="background1"/>
            <w:tcMar>
              <w:top w:w="0" w:type="dxa"/>
              <w:left w:w="85" w:type="dxa"/>
              <w:bottom w:w="0" w:type="dxa"/>
              <w:right w:w="85" w:type="dxa"/>
            </w:tcMar>
            <w:vAlign w:val="center"/>
          </w:tcPr>
          <w:p w14:paraId="6F21FC7A" w14:textId="77777777" w:rsidR="00502238" w:rsidRPr="00FD12D3" w:rsidRDefault="00502238" w:rsidP="00F16E23">
            <w:pPr>
              <w:pStyle w:val="TableText"/>
              <w:spacing w:before="40" w:after="40"/>
              <w:rPr>
                <w:szCs w:val="16"/>
              </w:rPr>
            </w:pPr>
            <w:r w:rsidRPr="00FD12D3">
              <w:rPr>
                <w:rFonts w:eastAsia="Calibri"/>
                <w:color w:val="000000" w:themeColor="text1"/>
                <w:szCs w:val="16"/>
              </w:rPr>
              <w:t>C</w:t>
            </w:r>
            <w:r w:rsidRPr="00FD12D3">
              <w:rPr>
                <w:rFonts w:eastAsia="Calibri"/>
                <w:color w:val="000000" w:themeColor="text1"/>
                <w:szCs w:val="16"/>
                <w:vertAlign w:val="subscript"/>
              </w:rPr>
              <w:t>3</w:t>
            </w:r>
            <w:r w:rsidRPr="00FD12D3">
              <w:rPr>
                <w:rFonts w:eastAsia="Calibri"/>
                <w:color w:val="000000" w:themeColor="text1"/>
                <w:szCs w:val="16"/>
              </w:rPr>
              <w:t>F</w:t>
            </w:r>
            <w:r w:rsidRPr="00FD12D3">
              <w:rPr>
                <w:rFonts w:eastAsia="Calibri"/>
                <w:color w:val="000000" w:themeColor="text1"/>
                <w:szCs w:val="16"/>
                <w:vertAlign w:val="subscript"/>
              </w:rPr>
              <w:t>8</w:t>
            </w:r>
          </w:p>
        </w:tc>
        <w:tc>
          <w:tcPr>
            <w:tcW w:w="4167" w:type="dxa"/>
            <w:shd w:val="clear" w:color="auto" w:fill="FFFFFF" w:themeFill="background1"/>
            <w:tcMar>
              <w:top w:w="0" w:type="dxa"/>
              <w:left w:w="85" w:type="dxa"/>
              <w:bottom w:w="0" w:type="dxa"/>
              <w:right w:w="85" w:type="dxa"/>
            </w:tcMar>
          </w:tcPr>
          <w:p w14:paraId="05DFD1AE" w14:textId="77777777" w:rsidR="00502238" w:rsidRPr="00FD12D3" w:rsidRDefault="00502238" w:rsidP="00F16E23">
            <w:pPr>
              <w:pStyle w:val="TableText"/>
              <w:spacing w:before="40" w:after="40"/>
              <w:rPr>
                <w:szCs w:val="16"/>
              </w:rPr>
            </w:pPr>
            <w:r w:rsidRPr="00FD12D3">
              <w:rPr>
                <w:rFonts w:eastAsia="Calibri"/>
                <w:color w:val="000000" w:themeColor="text1"/>
                <w:szCs w:val="16"/>
              </w:rPr>
              <w:t>In accordance with chapter II of the Annex to the decision 18/CMA.1 (UNFCCC, 2018b), this category is not mandatory. The level of emissions from this source has been determined to be insignificant in comparison with national emissions. No</w:t>
            </w:r>
            <w:r>
              <w:rPr>
                <w:rFonts w:eastAsia="Calibri"/>
                <w:color w:val="000000" w:themeColor="text1"/>
                <w:szCs w:val="16"/>
              </w:rPr>
              <w:t> </w:t>
            </w:r>
            <w:r w:rsidRPr="00FD12D3">
              <w:rPr>
                <w:rFonts w:eastAsia="Calibri"/>
                <w:color w:val="000000" w:themeColor="text1"/>
                <w:szCs w:val="16"/>
              </w:rPr>
              <w:t>activity data are available before 2011. Based on 2011 to</w:t>
            </w:r>
            <w:r>
              <w:rPr>
                <w:rFonts w:eastAsia="Calibri"/>
                <w:color w:val="000000" w:themeColor="text1"/>
                <w:szCs w:val="16"/>
              </w:rPr>
              <w:t> </w:t>
            </w:r>
            <w:r w:rsidRPr="00FD12D3">
              <w:rPr>
                <w:rFonts w:eastAsia="Calibri"/>
                <w:color w:val="000000" w:themeColor="text1"/>
                <w:szCs w:val="16"/>
              </w:rPr>
              <w:t>2022 data, emissions of perfluoropropane (C</w:t>
            </w:r>
            <w:r w:rsidRPr="00FD12D3">
              <w:rPr>
                <w:rFonts w:eastAsia="Calibri"/>
                <w:color w:val="000000" w:themeColor="text1"/>
                <w:szCs w:val="16"/>
                <w:vertAlign w:val="subscript"/>
              </w:rPr>
              <w:t>3</w:t>
            </w:r>
            <w:r w:rsidRPr="00FD12D3">
              <w:rPr>
                <w:rFonts w:eastAsia="Calibri"/>
                <w:color w:val="000000" w:themeColor="text1"/>
                <w:szCs w:val="16"/>
              </w:rPr>
              <w:t>F</w:t>
            </w:r>
            <w:r w:rsidRPr="00FD12D3">
              <w:rPr>
                <w:rFonts w:eastAsia="Calibri"/>
                <w:color w:val="000000" w:themeColor="text1"/>
                <w:szCs w:val="16"/>
                <w:vertAlign w:val="subscript"/>
              </w:rPr>
              <w:t>8</w:t>
            </w:r>
            <w:r w:rsidRPr="00FD12D3">
              <w:rPr>
                <w:rFonts w:eastAsia="Calibri"/>
                <w:color w:val="000000" w:themeColor="text1"/>
                <w:szCs w:val="16"/>
              </w:rPr>
              <w:t xml:space="preserve">) from </w:t>
            </w:r>
            <w:r w:rsidRPr="00FD12D3">
              <w:rPr>
                <w:rFonts w:eastAsia="Calibri"/>
                <w:i/>
                <w:iCs/>
                <w:color w:val="000000" w:themeColor="text1"/>
                <w:szCs w:val="16"/>
              </w:rPr>
              <w:t>Medical and other product use</w:t>
            </w:r>
            <w:r w:rsidRPr="00FD12D3">
              <w:rPr>
                <w:rFonts w:eastAsia="Calibri"/>
                <w:color w:val="000000" w:themeColor="text1"/>
                <w:szCs w:val="16"/>
              </w:rPr>
              <w:t xml:space="preserve"> are estimated to be approximately 2.7 t CO</w:t>
            </w:r>
            <w:r w:rsidRPr="00FD12D3">
              <w:rPr>
                <w:rFonts w:eastAsia="Calibri"/>
                <w:color w:val="000000" w:themeColor="text1"/>
                <w:szCs w:val="16"/>
                <w:vertAlign w:val="subscript"/>
              </w:rPr>
              <w:t>2</w:t>
            </w:r>
            <w:r w:rsidRPr="00FD12D3">
              <w:rPr>
                <w:rFonts w:eastAsia="Calibri"/>
                <w:color w:val="000000" w:themeColor="text1"/>
                <w:szCs w:val="16"/>
              </w:rPr>
              <w:t>e per annum, which is below the significance threshold.</w:t>
            </w:r>
          </w:p>
        </w:tc>
      </w:tr>
      <w:tr w:rsidR="00502238" w:rsidRPr="00FD12D3" w14:paraId="53BDDEAA" w14:textId="77777777" w:rsidTr="00F16E23">
        <w:tc>
          <w:tcPr>
            <w:tcW w:w="1276" w:type="dxa"/>
            <w:shd w:val="clear" w:color="auto" w:fill="FFFFFF" w:themeFill="background1"/>
            <w:tcMar>
              <w:top w:w="0" w:type="dxa"/>
              <w:left w:w="85" w:type="dxa"/>
              <w:bottom w:w="0" w:type="dxa"/>
              <w:right w:w="85" w:type="dxa"/>
            </w:tcMar>
            <w:vAlign w:val="center"/>
          </w:tcPr>
          <w:p w14:paraId="0202801D" w14:textId="77777777" w:rsidR="00502238" w:rsidRPr="00FD12D3" w:rsidRDefault="00502238" w:rsidP="00F16E23">
            <w:pPr>
              <w:pStyle w:val="TableText"/>
              <w:spacing w:before="40" w:after="40"/>
              <w:rPr>
                <w:b/>
                <w:bCs/>
                <w:szCs w:val="16"/>
              </w:rPr>
            </w:pPr>
            <w:r w:rsidRPr="00FD12D3">
              <w:rPr>
                <w:rFonts w:eastAsia="Calibri"/>
                <w:b/>
                <w:bCs/>
                <w:szCs w:val="16"/>
              </w:rPr>
              <w:t>Agriculture</w:t>
            </w:r>
          </w:p>
        </w:tc>
        <w:tc>
          <w:tcPr>
            <w:tcW w:w="1985" w:type="dxa"/>
            <w:shd w:val="clear" w:color="auto" w:fill="FFFFFF" w:themeFill="background1"/>
            <w:tcMar>
              <w:top w:w="0" w:type="dxa"/>
              <w:left w:w="85" w:type="dxa"/>
              <w:bottom w:w="0" w:type="dxa"/>
              <w:right w:w="85" w:type="dxa"/>
            </w:tcMar>
            <w:vAlign w:val="center"/>
          </w:tcPr>
          <w:p w14:paraId="34F99467" w14:textId="77777777" w:rsidR="00502238" w:rsidRPr="00FD12D3" w:rsidRDefault="00502238" w:rsidP="00F16E23">
            <w:pPr>
              <w:pStyle w:val="TableText"/>
              <w:spacing w:before="40" w:after="40"/>
              <w:rPr>
                <w:b/>
                <w:bCs/>
                <w:szCs w:val="16"/>
              </w:rPr>
            </w:pPr>
          </w:p>
        </w:tc>
        <w:tc>
          <w:tcPr>
            <w:tcW w:w="1134" w:type="dxa"/>
            <w:shd w:val="clear" w:color="auto" w:fill="FFFFFF" w:themeFill="background1"/>
            <w:tcMar>
              <w:top w:w="0" w:type="dxa"/>
              <w:left w:w="85" w:type="dxa"/>
              <w:bottom w:w="0" w:type="dxa"/>
              <w:right w:w="85" w:type="dxa"/>
            </w:tcMar>
            <w:vAlign w:val="center"/>
          </w:tcPr>
          <w:p w14:paraId="65BF1247" w14:textId="77777777" w:rsidR="00502238" w:rsidRPr="00FD12D3" w:rsidRDefault="00502238" w:rsidP="00F16E23">
            <w:pPr>
              <w:pStyle w:val="TableText"/>
              <w:spacing w:before="40" w:after="40"/>
              <w:rPr>
                <w:b/>
                <w:bCs/>
                <w:szCs w:val="16"/>
              </w:rPr>
            </w:pPr>
          </w:p>
        </w:tc>
        <w:tc>
          <w:tcPr>
            <w:tcW w:w="4167" w:type="dxa"/>
            <w:shd w:val="clear" w:color="auto" w:fill="FFFFFF" w:themeFill="background1"/>
            <w:tcMar>
              <w:top w:w="0" w:type="dxa"/>
              <w:left w:w="85" w:type="dxa"/>
              <w:bottom w:w="0" w:type="dxa"/>
              <w:right w:w="85" w:type="dxa"/>
            </w:tcMar>
          </w:tcPr>
          <w:p w14:paraId="6E2D1CFC" w14:textId="77777777" w:rsidR="00502238" w:rsidRPr="00FD12D3" w:rsidRDefault="00502238" w:rsidP="00F16E23">
            <w:pPr>
              <w:pStyle w:val="TableText"/>
              <w:spacing w:before="40" w:after="40"/>
              <w:rPr>
                <w:b/>
                <w:bCs/>
                <w:szCs w:val="16"/>
              </w:rPr>
            </w:pPr>
          </w:p>
        </w:tc>
      </w:tr>
      <w:tr w:rsidR="00502238" w:rsidRPr="00FD12D3" w14:paraId="20512A75" w14:textId="77777777" w:rsidTr="00F16E23">
        <w:tc>
          <w:tcPr>
            <w:tcW w:w="1276" w:type="dxa"/>
            <w:shd w:val="clear" w:color="auto" w:fill="FFFFFF" w:themeFill="background1"/>
            <w:tcMar>
              <w:top w:w="0" w:type="dxa"/>
              <w:left w:w="85" w:type="dxa"/>
              <w:bottom w:w="0" w:type="dxa"/>
              <w:right w:w="85" w:type="dxa"/>
            </w:tcMar>
            <w:vAlign w:val="center"/>
          </w:tcPr>
          <w:p w14:paraId="361407FC" w14:textId="77777777" w:rsidR="00502238" w:rsidRPr="00FD12D3" w:rsidRDefault="00502238" w:rsidP="00F16E23">
            <w:pPr>
              <w:pStyle w:val="TableText"/>
              <w:spacing w:before="40" w:after="40"/>
              <w:rPr>
                <w:szCs w:val="16"/>
              </w:rPr>
            </w:pPr>
            <w:r w:rsidRPr="00FD12D3">
              <w:rPr>
                <w:rFonts w:eastAsia="Calibri"/>
                <w:szCs w:val="16"/>
              </w:rPr>
              <w:t>3.A.4</w:t>
            </w:r>
          </w:p>
        </w:tc>
        <w:tc>
          <w:tcPr>
            <w:tcW w:w="1985" w:type="dxa"/>
            <w:shd w:val="clear" w:color="auto" w:fill="FFFFFF" w:themeFill="background1"/>
            <w:tcMar>
              <w:top w:w="0" w:type="dxa"/>
              <w:left w:w="85" w:type="dxa"/>
              <w:bottom w:w="0" w:type="dxa"/>
              <w:right w:w="85" w:type="dxa"/>
            </w:tcMar>
            <w:vAlign w:val="center"/>
          </w:tcPr>
          <w:p w14:paraId="39831B6D" w14:textId="77777777" w:rsidR="00502238" w:rsidRPr="00FD12D3" w:rsidRDefault="00502238" w:rsidP="00F16E23">
            <w:pPr>
              <w:pStyle w:val="TableText"/>
              <w:spacing w:before="40" w:after="40"/>
              <w:rPr>
                <w:szCs w:val="16"/>
              </w:rPr>
            </w:pPr>
            <w:r w:rsidRPr="00FD12D3">
              <w:rPr>
                <w:rFonts w:eastAsia="Calibri"/>
                <w:szCs w:val="16"/>
              </w:rPr>
              <w:t>Poultry</w:t>
            </w:r>
          </w:p>
        </w:tc>
        <w:tc>
          <w:tcPr>
            <w:tcW w:w="1134" w:type="dxa"/>
            <w:shd w:val="clear" w:color="auto" w:fill="FFFFFF" w:themeFill="background1"/>
            <w:tcMar>
              <w:top w:w="0" w:type="dxa"/>
              <w:left w:w="85" w:type="dxa"/>
              <w:bottom w:w="0" w:type="dxa"/>
              <w:right w:w="85" w:type="dxa"/>
            </w:tcMar>
            <w:vAlign w:val="center"/>
          </w:tcPr>
          <w:p w14:paraId="75BFE602"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p>
        </w:tc>
        <w:tc>
          <w:tcPr>
            <w:tcW w:w="4167" w:type="dxa"/>
            <w:shd w:val="clear" w:color="auto" w:fill="FFFFFF" w:themeFill="background1"/>
            <w:tcMar>
              <w:top w:w="0" w:type="dxa"/>
              <w:left w:w="85" w:type="dxa"/>
              <w:bottom w:w="0" w:type="dxa"/>
              <w:right w:w="85" w:type="dxa"/>
            </w:tcMar>
          </w:tcPr>
          <w:p w14:paraId="5DE7CA85" w14:textId="77777777" w:rsidR="00502238" w:rsidRPr="00FD12D3" w:rsidRDefault="00502238" w:rsidP="00F16E23">
            <w:pPr>
              <w:pStyle w:val="TableText"/>
              <w:spacing w:before="40" w:after="40"/>
              <w:rPr>
                <w:szCs w:val="16"/>
              </w:rPr>
            </w:pPr>
            <w:r w:rsidRPr="00FD12D3">
              <w:rPr>
                <w:rFonts w:eastAsia="Calibri"/>
                <w:color w:val="000000" w:themeColor="text1"/>
                <w:szCs w:val="16"/>
              </w:rPr>
              <w:t>This category is not mandatory. The 2006 IPCC Guidelines state (IPCC, 2006d, page 10.27, vol 4-2) that the Tier 1 method for estimating CH</w:t>
            </w:r>
            <w:r w:rsidRPr="00FD12D3">
              <w:rPr>
                <w:rFonts w:eastAsia="Calibri"/>
                <w:color w:val="000000" w:themeColor="text1"/>
                <w:szCs w:val="16"/>
                <w:vertAlign w:val="subscript"/>
              </w:rPr>
              <w:t>4</w:t>
            </w:r>
            <w:r w:rsidRPr="00FD12D3">
              <w:rPr>
                <w:rFonts w:eastAsia="Calibri"/>
                <w:color w:val="000000" w:themeColor="text1"/>
                <w:szCs w:val="16"/>
              </w:rPr>
              <w:t xml:space="preserve"> emissions from enteric fermentation for poultry is not developed. Also, table 10.10 (IPCC, 2006d, page 10.28, vol 4</w:t>
            </w:r>
            <w:r w:rsidRPr="00FD12D3">
              <w:rPr>
                <w:rFonts w:ascii="Cambria Math" w:eastAsia="Calibri" w:hAnsi="Cambria Math" w:cs="Cambria Math"/>
                <w:color w:val="000000" w:themeColor="text1"/>
                <w:szCs w:val="16"/>
              </w:rPr>
              <w:t>‑</w:t>
            </w:r>
            <w:r w:rsidRPr="00FD12D3">
              <w:rPr>
                <w:rFonts w:eastAsia="Calibri"/>
                <w:color w:val="000000" w:themeColor="text1"/>
                <w:szCs w:val="16"/>
              </w:rPr>
              <w:t>2) indicates that there is insufficient research to establish a CH</w:t>
            </w:r>
            <w:r w:rsidRPr="00FD12D3">
              <w:rPr>
                <w:rFonts w:eastAsia="Calibri"/>
                <w:color w:val="000000" w:themeColor="text1"/>
                <w:szCs w:val="16"/>
                <w:vertAlign w:val="subscript"/>
              </w:rPr>
              <w:t>4</w:t>
            </w:r>
            <w:r w:rsidRPr="00FD12D3">
              <w:rPr>
                <w:rFonts w:eastAsia="Calibri"/>
                <w:color w:val="000000" w:themeColor="text1"/>
                <w:szCs w:val="16"/>
              </w:rPr>
              <w:t xml:space="preserve"> emission factor for poultry for either developed or developing countries.</w:t>
            </w:r>
          </w:p>
        </w:tc>
      </w:tr>
      <w:tr w:rsidR="00502238" w:rsidRPr="00FD12D3" w14:paraId="543E67A9" w14:textId="77777777" w:rsidTr="00F16E23">
        <w:tc>
          <w:tcPr>
            <w:tcW w:w="1276" w:type="dxa"/>
            <w:shd w:val="clear" w:color="auto" w:fill="FFFFFF" w:themeFill="background1"/>
            <w:tcMar>
              <w:top w:w="0" w:type="dxa"/>
              <w:left w:w="85" w:type="dxa"/>
              <w:bottom w:w="0" w:type="dxa"/>
              <w:right w:w="85" w:type="dxa"/>
            </w:tcMar>
            <w:vAlign w:val="center"/>
          </w:tcPr>
          <w:p w14:paraId="64D691AF" w14:textId="77777777" w:rsidR="00502238" w:rsidRPr="00FD12D3" w:rsidRDefault="00502238" w:rsidP="00F16E23">
            <w:pPr>
              <w:pStyle w:val="TableText"/>
              <w:spacing w:before="40" w:after="40"/>
              <w:rPr>
                <w:szCs w:val="16"/>
              </w:rPr>
            </w:pPr>
            <w:r w:rsidRPr="00FD12D3">
              <w:rPr>
                <w:rFonts w:eastAsia="Calibri"/>
                <w:szCs w:val="16"/>
              </w:rPr>
              <w:t>3.B(b) </w:t>
            </w:r>
          </w:p>
        </w:tc>
        <w:tc>
          <w:tcPr>
            <w:tcW w:w="1985" w:type="dxa"/>
            <w:shd w:val="clear" w:color="auto" w:fill="FFFFFF" w:themeFill="background1"/>
            <w:tcMar>
              <w:top w:w="0" w:type="dxa"/>
              <w:left w:w="85" w:type="dxa"/>
              <w:bottom w:w="0" w:type="dxa"/>
              <w:right w:w="85" w:type="dxa"/>
            </w:tcMar>
            <w:vAlign w:val="center"/>
          </w:tcPr>
          <w:p w14:paraId="169FD5D8" w14:textId="77777777" w:rsidR="00502238" w:rsidRPr="00FD12D3" w:rsidRDefault="00502238" w:rsidP="00F16E23">
            <w:pPr>
              <w:pStyle w:val="TableText"/>
              <w:spacing w:before="40" w:after="40"/>
              <w:rPr>
                <w:szCs w:val="16"/>
              </w:rPr>
            </w:pPr>
            <w:r w:rsidRPr="00FD12D3">
              <w:rPr>
                <w:rFonts w:eastAsia="Calibri"/>
                <w:szCs w:val="16"/>
              </w:rPr>
              <w:t>N₂O per manure management system (MMS</w:t>
            </w:r>
            <w:r w:rsidRPr="00FD12D3">
              <w:rPr>
                <w:rStyle w:val="FootnoteReference"/>
                <w:rFonts w:eastAsia="Calibri" w:cs="Calibri"/>
                <w:color w:val="000000"/>
                <w:szCs w:val="16"/>
              </w:rPr>
              <w:footnoteReference w:id="15"/>
            </w:r>
            <w:r w:rsidRPr="00FD12D3">
              <w:rPr>
                <w:rFonts w:eastAsia="Calibri"/>
                <w:szCs w:val="16"/>
              </w:rPr>
              <w:t>) – Anaerobic lagoon and daily spread </w:t>
            </w:r>
          </w:p>
        </w:tc>
        <w:tc>
          <w:tcPr>
            <w:tcW w:w="1134" w:type="dxa"/>
            <w:shd w:val="clear" w:color="auto" w:fill="FFFFFF" w:themeFill="background1"/>
            <w:tcMar>
              <w:top w:w="0" w:type="dxa"/>
              <w:left w:w="85" w:type="dxa"/>
              <w:bottom w:w="0" w:type="dxa"/>
              <w:right w:w="85" w:type="dxa"/>
            </w:tcMar>
            <w:vAlign w:val="center"/>
          </w:tcPr>
          <w:p w14:paraId="0CDB8F32" w14:textId="77777777" w:rsidR="00502238" w:rsidRPr="00FD12D3" w:rsidRDefault="00502238" w:rsidP="00F16E23">
            <w:pPr>
              <w:pStyle w:val="TableText"/>
              <w:spacing w:before="40" w:after="40"/>
              <w:rPr>
                <w:szCs w:val="16"/>
              </w:rPr>
            </w:pPr>
            <w:r w:rsidRPr="00FD12D3">
              <w:rPr>
                <w:rFonts w:eastAsia="Calibri"/>
                <w:szCs w:val="16"/>
              </w:rPr>
              <w:t>N₂O </w:t>
            </w:r>
          </w:p>
        </w:tc>
        <w:tc>
          <w:tcPr>
            <w:tcW w:w="4167" w:type="dxa"/>
            <w:shd w:val="clear" w:color="auto" w:fill="FFFFFF" w:themeFill="background1"/>
            <w:tcMar>
              <w:top w:w="0" w:type="dxa"/>
              <w:left w:w="85" w:type="dxa"/>
              <w:bottom w:w="0" w:type="dxa"/>
              <w:right w:w="85" w:type="dxa"/>
            </w:tcMar>
          </w:tcPr>
          <w:p w14:paraId="5E112ED4" w14:textId="77777777" w:rsidR="00502238" w:rsidRPr="00FD12D3" w:rsidRDefault="00502238" w:rsidP="00F16E23">
            <w:pPr>
              <w:pStyle w:val="TableText"/>
              <w:spacing w:before="40" w:after="40"/>
              <w:rPr>
                <w:szCs w:val="16"/>
              </w:rPr>
            </w:pPr>
            <w:r w:rsidRPr="00FD12D3">
              <w:rPr>
                <w:rFonts w:eastAsia="Calibri"/>
                <w:color w:val="000000" w:themeColor="text1"/>
                <w:szCs w:val="16"/>
              </w:rPr>
              <w:t>This category is not mandatory. Direct N</w:t>
            </w:r>
            <w:r w:rsidRPr="00FD12D3">
              <w:rPr>
                <w:rFonts w:eastAsia="Calibri"/>
                <w:color w:val="000000" w:themeColor="text1"/>
                <w:szCs w:val="16"/>
                <w:vertAlign w:val="subscript"/>
              </w:rPr>
              <w:t>2</w:t>
            </w:r>
            <w:r w:rsidRPr="00FD12D3">
              <w:rPr>
                <w:rFonts w:eastAsia="Calibri"/>
                <w:color w:val="000000" w:themeColor="text1"/>
                <w:szCs w:val="16"/>
              </w:rPr>
              <w:t xml:space="preserve">O emissions from the material managed in anaerobic lagoons (dairy and swine) and daily spread (swine) after being spread onto agricultural soils are reported under </w:t>
            </w:r>
            <w:r w:rsidRPr="00FD12D3">
              <w:rPr>
                <w:rFonts w:eastAsia="Calibri"/>
                <w:i/>
                <w:iCs/>
                <w:color w:val="000000" w:themeColor="text1"/>
                <w:szCs w:val="16"/>
              </w:rPr>
              <w:t>Agricultural soils</w:t>
            </w:r>
            <w:r w:rsidRPr="00FD12D3">
              <w:rPr>
                <w:rFonts w:eastAsia="Calibri"/>
                <w:color w:val="000000" w:themeColor="text1"/>
                <w:szCs w:val="16"/>
              </w:rPr>
              <w:t>. The IPCC guidelines assume that negligible direct N</w:t>
            </w:r>
            <w:r w:rsidRPr="00FD12D3">
              <w:rPr>
                <w:rFonts w:eastAsia="Calibri"/>
                <w:color w:val="000000" w:themeColor="text1"/>
                <w:szCs w:val="16"/>
                <w:vertAlign w:val="subscript"/>
              </w:rPr>
              <w:t>2</w:t>
            </w:r>
            <w:r w:rsidRPr="00FD12D3">
              <w:rPr>
                <w:rFonts w:eastAsia="Calibri"/>
                <w:color w:val="000000" w:themeColor="text1"/>
                <w:szCs w:val="16"/>
              </w:rPr>
              <w:t>O emissions occur in anaerobic lagoons and daily spread, and only occur once the stored effluent is spread onto agricultural soil. For more information see sections 5.3.2 and 5.5.2.</w:t>
            </w:r>
          </w:p>
        </w:tc>
      </w:tr>
      <w:tr w:rsidR="00502238" w:rsidRPr="00FD12D3" w14:paraId="657EF144" w14:textId="77777777" w:rsidTr="00F16E23">
        <w:tc>
          <w:tcPr>
            <w:tcW w:w="1276" w:type="dxa"/>
            <w:shd w:val="clear" w:color="auto" w:fill="FFFFFF" w:themeFill="background1"/>
            <w:tcMar>
              <w:top w:w="0" w:type="dxa"/>
              <w:left w:w="85" w:type="dxa"/>
              <w:bottom w:w="0" w:type="dxa"/>
              <w:right w:w="85" w:type="dxa"/>
            </w:tcMar>
            <w:vAlign w:val="center"/>
          </w:tcPr>
          <w:p w14:paraId="791BA6C4" w14:textId="77777777" w:rsidR="00502238" w:rsidRPr="00FD12D3" w:rsidRDefault="00502238" w:rsidP="00F16E23">
            <w:pPr>
              <w:pStyle w:val="TableText"/>
              <w:spacing w:before="40" w:after="40"/>
              <w:rPr>
                <w:szCs w:val="16"/>
              </w:rPr>
            </w:pPr>
            <w:r w:rsidRPr="00FD12D3">
              <w:rPr>
                <w:rFonts w:eastAsia="Calibri"/>
                <w:szCs w:val="16"/>
              </w:rPr>
              <w:t xml:space="preserve">3.D </w:t>
            </w:r>
          </w:p>
        </w:tc>
        <w:tc>
          <w:tcPr>
            <w:tcW w:w="1985" w:type="dxa"/>
            <w:shd w:val="clear" w:color="auto" w:fill="FFFFFF" w:themeFill="background1"/>
            <w:tcMar>
              <w:top w:w="0" w:type="dxa"/>
              <w:left w:w="85" w:type="dxa"/>
              <w:bottom w:w="0" w:type="dxa"/>
              <w:right w:w="85" w:type="dxa"/>
            </w:tcMar>
            <w:vAlign w:val="center"/>
          </w:tcPr>
          <w:p w14:paraId="34D9AE61" w14:textId="77777777" w:rsidR="00502238" w:rsidRPr="00FD12D3" w:rsidRDefault="00502238" w:rsidP="00F16E23">
            <w:pPr>
              <w:pStyle w:val="TableText"/>
              <w:spacing w:before="40" w:after="40"/>
              <w:rPr>
                <w:szCs w:val="16"/>
              </w:rPr>
            </w:pPr>
            <w:r w:rsidRPr="00FD12D3">
              <w:rPr>
                <w:rFonts w:eastAsia="Calibri"/>
                <w:szCs w:val="16"/>
              </w:rPr>
              <w:t>Agricultural soils </w:t>
            </w:r>
          </w:p>
        </w:tc>
        <w:tc>
          <w:tcPr>
            <w:tcW w:w="1134" w:type="dxa"/>
            <w:shd w:val="clear" w:color="auto" w:fill="FFFFFF" w:themeFill="background1"/>
            <w:tcMar>
              <w:top w:w="0" w:type="dxa"/>
              <w:left w:w="85" w:type="dxa"/>
              <w:bottom w:w="0" w:type="dxa"/>
              <w:right w:w="85" w:type="dxa"/>
            </w:tcMar>
            <w:vAlign w:val="center"/>
          </w:tcPr>
          <w:p w14:paraId="1E039EC6" w14:textId="77777777" w:rsidR="00502238" w:rsidRPr="00FD12D3" w:rsidRDefault="00502238" w:rsidP="00F16E23">
            <w:pPr>
              <w:pStyle w:val="TableText"/>
              <w:spacing w:before="40" w:after="40"/>
              <w:rPr>
                <w:szCs w:val="16"/>
              </w:rPr>
            </w:pPr>
            <w:r w:rsidRPr="00FD12D3">
              <w:rPr>
                <w:rFonts w:eastAsia="Calibri"/>
                <w:szCs w:val="16"/>
              </w:rPr>
              <w:t>CH₄ </w:t>
            </w:r>
          </w:p>
        </w:tc>
        <w:tc>
          <w:tcPr>
            <w:tcW w:w="4167" w:type="dxa"/>
            <w:shd w:val="clear" w:color="auto" w:fill="FFFFFF" w:themeFill="background1"/>
            <w:tcMar>
              <w:top w:w="0" w:type="dxa"/>
              <w:left w:w="85" w:type="dxa"/>
              <w:bottom w:w="0" w:type="dxa"/>
              <w:right w:w="85" w:type="dxa"/>
            </w:tcMar>
          </w:tcPr>
          <w:p w14:paraId="0BEEDC1D" w14:textId="77777777" w:rsidR="00502238" w:rsidRPr="00FD12D3" w:rsidRDefault="00502238" w:rsidP="00F16E23">
            <w:pPr>
              <w:pStyle w:val="TableText"/>
              <w:spacing w:before="40" w:after="40"/>
              <w:rPr>
                <w:szCs w:val="16"/>
              </w:rPr>
            </w:pPr>
            <w:r w:rsidRPr="00FD12D3">
              <w:rPr>
                <w:rFonts w:eastAsia="Calibri"/>
                <w:szCs w:val="16"/>
              </w:rPr>
              <w:t xml:space="preserve">The 2006 IPCC Guidelines do not provide methodologies for </w:t>
            </w:r>
            <w:r w:rsidRPr="00FD12D3">
              <w:rPr>
                <w:rFonts w:eastAsia="Calibri"/>
                <w:spacing w:val="-2"/>
                <w:szCs w:val="16"/>
              </w:rPr>
              <w:t>calculating CH₄ emissions from Agricultural soils (IPCC, 2006d)</w:t>
            </w:r>
            <w:r w:rsidRPr="00FD12D3">
              <w:rPr>
                <w:rFonts w:eastAsia="Calibri"/>
                <w:szCs w:val="16"/>
              </w:rPr>
              <w:t>.</w:t>
            </w:r>
          </w:p>
        </w:tc>
      </w:tr>
      <w:tr w:rsidR="00502238" w:rsidRPr="00FD12D3" w14:paraId="73203E33" w14:textId="77777777" w:rsidTr="00F16E23">
        <w:tc>
          <w:tcPr>
            <w:tcW w:w="1276" w:type="dxa"/>
            <w:shd w:val="clear" w:color="auto" w:fill="FFFFFF" w:themeFill="background1"/>
            <w:tcMar>
              <w:top w:w="0" w:type="dxa"/>
              <w:left w:w="85" w:type="dxa"/>
              <w:bottom w:w="0" w:type="dxa"/>
              <w:right w:w="85" w:type="dxa"/>
            </w:tcMar>
            <w:vAlign w:val="center"/>
          </w:tcPr>
          <w:p w14:paraId="51FAA866" w14:textId="77777777" w:rsidR="00502238" w:rsidRPr="00FD12D3" w:rsidRDefault="00502238" w:rsidP="00F16E23">
            <w:pPr>
              <w:pStyle w:val="TableText"/>
              <w:spacing w:before="40" w:after="40"/>
              <w:rPr>
                <w:szCs w:val="16"/>
              </w:rPr>
            </w:pPr>
            <w:r w:rsidRPr="00FD12D3">
              <w:rPr>
                <w:rFonts w:eastAsia="Calibri"/>
                <w:szCs w:val="16"/>
              </w:rPr>
              <w:t>3.I</w:t>
            </w:r>
          </w:p>
        </w:tc>
        <w:tc>
          <w:tcPr>
            <w:tcW w:w="1985" w:type="dxa"/>
            <w:shd w:val="clear" w:color="auto" w:fill="FFFFFF" w:themeFill="background1"/>
            <w:tcMar>
              <w:top w:w="0" w:type="dxa"/>
              <w:left w:w="85" w:type="dxa"/>
              <w:bottom w:w="0" w:type="dxa"/>
              <w:right w:w="85" w:type="dxa"/>
            </w:tcMar>
            <w:vAlign w:val="center"/>
          </w:tcPr>
          <w:p w14:paraId="181B4413" w14:textId="77777777" w:rsidR="00502238" w:rsidRPr="00FD12D3" w:rsidRDefault="00502238" w:rsidP="00F16E23">
            <w:pPr>
              <w:pStyle w:val="TableText"/>
              <w:spacing w:before="40" w:after="40"/>
              <w:rPr>
                <w:szCs w:val="16"/>
              </w:rPr>
            </w:pPr>
            <w:r w:rsidRPr="00FD12D3">
              <w:rPr>
                <w:rFonts w:eastAsia="Calibri"/>
                <w:szCs w:val="16"/>
              </w:rPr>
              <w:t>Other carbon-containing fertilisers</w:t>
            </w:r>
          </w:p>
        </w:tc>
        <w:tc>
          <w:tcPr>
            <w:tcW w:w="1134" w:type="dxa"/>
            <w:shd w:val="clear" w:color="auto" w:fill="FFFFFF" w:themeFill="background1"/>
            <w:tcMar>
              <w:top w:w="0" w:type="dxa"/>
              <w:left w:w="85" w:type="dxa"/>
              <w:bottom w:w="0" w:type="dxa"/>
              <w:right w:w="85" w:type="dxa"/>
            </w:tcMar>
            <w:vAlign w:val="center"/>
          </w:tcPr>
          <w:p w14:paraId="690F3968"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p>
        </w:tc>
        <w:tc>
          <w:tcPr>
            <w:tcW w:w="4167" w:type="dxa"/>
            <w:shd w:val="clear" w:color="auto" w:fill="FFFFFF" w:themeFill="background1"/>
            <w:tcMar>
              <w:top w:w="0" w:type="dxa"/>
              <w:left w:w="85" w:type="dxa"/>
              <w:bottom w:w="0" w:type="dxa"/>
              <w:right w:w="85" w:type="dxa"/>
            </w:tcMar>
          </w:tcPr>
          <w:p w14:paraId="081A46F1" w14:textId="77777777" w:rsidR="00502238" w:rsidRPr="00FD12D3" w:rsidRDefault="00502238" w:rsidP="00F16E23">
            <w:pPr>
              <w:pStyle w:val="TableText"/>
              <w:spacing w:before="40" w:after="40"/>
              <w:rPr>
                <w:szCs w:val="16"/>
              </w:rPr>
            </w:pPr>
            <w:r w:rsidRPr="00FD12D3">
              <w:rPr>
                <w:rFonts w:eastAsia="Calibri"/>
                <w:szCs w:val="16"/>
              </w:rPr>
              <w:t>This category is not mandatory. The 2006 IPCC Guidelines do not provide guidance for reporting on other carbon-containing fertilisers (IPCC, 2006d). Other carbon-containing synthetic fertilisers besides limestone, dolomite and urea are not applied to agricultural land in New Zealand.</w:t>
            </w:r>
          </w:p>
        </w:tc>
      </w:tr>
      <w:tr w:rsidR="00502238" w:rsidRPr="00FD12D3" w14:paraId="48C0BD65" w14:textId="77777777" w:rsidTr="00F16E23">
        <w:tc>
          <w:tcPr>
            <w:tcW w:w="3261" w:type="dxa"/>
            <w:gridSpan w:val="2"/>
            <w:shd w:val="clear" w:color="auto" w:fill="FFFFFF" w:themeFill="background1"/>
            <w:tcMar>
              <w:top w:w="0" w:type="dxa"/>
              <w:left w:w="85" w:type="dxa"/>
              <w:bottom w:w="0" w:type="dxa"/>
              <w:right w:w="85" w:type="dxa"/>
            </w:tcMar>
            <w:vAlign w:val="center"/>
          </w:tcPr>
          <w:p w14:paraId="36FF22A3" w14:textId="77777777" w:rsidR="00502238" w:rsidRPr="00FD12D3" w:rsidRDefault="00502238" w:rsidP="00F16E23">
            <w:pPr>
              <w:pStyle w:val="TableText"/>
              <w:spacing w:before="40" w:after="40"/>
              <w:rPr>
                <w:b/>
                <w:bCs/>
                <w:szCs w:val="16"/>
              </w:rPr>
            </w:pPr>
            <w:r w:rsidRPr="00FD12D3">
              <w:rPr>
                <w:rFonts w:eastAsia="Calibri"/>
                <w:b/>
                <w:bCs/>
                <w:szCs w:val="16"/>
              </w:rPr>
              <w:t>Land Use, Land-Use Change and Forestry</w:t>
            </w:r>
          </w:p>
        </w:tc>
        <w:tc>
          <w:tcPr>
            <w:tcW w:w="1134" w:type="dxa"/>
            <w:shd w:val="clear" w:color="auto" w:fill="FFFFFF" w:themeFill="background1"/>
            <w:tcMar>
              <w:top w:w="0" w:type="dxa"/>
              <w:left w:w="85" w:type="dxa"/>
              <w:bottom w:w="0" w:type="dxa"/>
              <w:right w:w="85" w:type="dxa"/>
            </w:tcMar>
            <w:vAlign w:val="center"/>
          </w:tcPr>
          <w:p w14:paraId="74E0A7A5" w14:textId="77777777" w:rsidR="00502238" w:rsidRPr="00FD12D3" w:rsidRDefault="00502238" w:rsidP="00F16E23">
            <w:pPr>
              <w:pStyle w:val="TableText"/>
              <w:spacing w:before="40" w:after="40"/>
              <w:rPr>
                <w:b/>
                <w:bCs/>
                <w:szCs w:val="16"/>
              </w:rPr>
            </w:pPr>
          </w:p>
        </w:tc>
        <w:tc>
          <w:tcPr>
            <w:tcW w:w="4167" w:type="dxa"/>
            <w:shd w:val="clear" w:color="auto" w:fill="FFFFFF" w:themeFill="background1"/>
            <w:tcMar>
              <w:top w:w="0" w:type="dxa"/>
              <w:left w:w="85" w:type="dxa"/>
              <w:bottom w:w="0" w:type="dxa"/>
              <w:right w:w="85" w:type="dxa"/>
            </w:tcMar>
          </w:tcPr>
          <w:p w14:paraId="698C5C60" w14:textId="77777777" w:rsidR="00502238" w:rsidRPr="00FD12D3" w:rsidRDefault="00502238" w:rsidP="00F16E23">
            <w:pPr>
              <w:pStyle w:val="TableText"/>
              <w:spacing w:before="40" w:after="40"/>
              <w:rPr>
                <w:b/>
                <w:bCs/>
                <w:szCs w:val="16"/>
              </w:rPr>
            </w:pPr>
          </w:p>
        </w:tc>
      </w:tr>
      <w:tr w:rsidR="00502238" w:rsidRPr="00FD12D3" w14:paraId="6540ACAC" w14:textId="77777777" w:rsidTr="00F16E23">
        <w:tc>
          <w:tcPr>
            <w:tcW w:w="1276" w:type="dxa"/>
            <w:shd w:val="clear" w:color="auto" w:fill="FFFFFF" w:themeFill="background1"/>
            <w:tcMar>
              <w:top w:w="0" w:type="dxa"/>
              <w:left w:w="85" w:type="dxa"/>
              <w:bottom w:w="0" w:type="dxa"/>
              <w:right w:w="85" w:type="dxa"/>
            </w:tcMar>
            <w:vAlign w:val="center"/>
          </w:tcPr>
          <w:p w14:paraId="252EA276" w14:textId="77777777" w:rsidR="00502238" w:rsidRPr="00FD12D3" w:rsidRDefault="00502238" w:rsidP="00F16E23">
            <w:pPr>
              <w:pStyle w:val="TableText"/>
              <w:spacing w:before="40" w:after="40"/>
              <w:rPr>
                <w:szCs w:val="16"/>
              </w:rPr>
            </w:pPr>
            <w:r w:rsidRPr="00FD12D3">
              <w:rPr>
                <w:rFonts w:eastAsia="Calibri"/>
                <w:szCs w:val="16"/>
              </w:rPr>
              <w:t>4.A, 4.B, 4.C, 4.D</w:t>
            </w:r>
          </w:p>
        </w:tc>
        <w:tc>
          <w:tcPr>
            <w:tcW w:w="1985" w:type="dxa"/>
            <w:shd w:val="clear" w:color="auto" w:fill="FFFFFF" w:themeFill="background1"/>
            <w:tcMar>
              <w:top w:w="0" w:type="dxa"/>
              <w:left w:w="85" w:type="dxa"/>
              <w:bottom w:w="0" w:type="dxa"/>
              <w:right w:w="85" w:type="dxa"/>
            </w:tcMar>
            <w:vAlign w:val="center"/>
          </w:tcPr>
          <w:p w14:paraId="091B4962" w14:textId="77777777" w:rsidR="00502238" w:rsidRPr="00FD12D3" w:rsidRDefault="00502238" w:rsidP="00F16E23">
            <w:pPr>
              <w:pStyle w:val="TableText"/>
              <w:spacing w:before="40" w:after="40"/>
              <w:rPr>
                <w:szCs w:val="16"/>
              </w:rPr>
            </w:pPr>
            <w:r w:rsidRPr="00FD12D3">
              <w:rPr>
                <w:rFonts w:eastAsia="Calibri"/>
                <w:szCs w:val="16"/>
              </w:rPr>
              <w:t>Forest land, cropland, grassland and wetlands: Drainage and rewetting and other management of organic and mineral soils</w:t>
            </w:r>
          </w:p>
        </w:tc>
        <w:tc>
          <w:tcPr>
            <w:tcW w:w="1134" w:type="dxa"/>
            <w:shd w:val="clear" w:color="auto" w:fill="FFFFFF" w:themeFill="background1"/>
            <w:tcMar>
              <w:top w:w="0" w:type="dxa"/>
              <w:left w:w="85" w:type="dxa"/>
              <w:bottom w:w="0" w:type="dxa"/>
              <w:right w:w="85" w:type="dxa"/>
            </w:tcMar>
            <w:vAlign w:val="center"/>
          </w:tcPr>
          <w:p w14:paraId="76DAF723"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r w:rsidRPr="00FD12D3">
              <w:rPr>
                <w:rFonts w:eastAsia="Calibri"/>
                <w:color w:val="000000" w:themeColor="text1"/>
                <w:szCs w:val="16"/>
              </w:rPr>
              <w:t>, N</w:t>
            </w:r>
            <w:r w:rsidRPr="00FD12D3">
              <w:rPr>
                <w:rFonts w:eastAsia="Calibri"/>
                <w:color w:val="000000" w:themeColor="text1"/>
                <w:szCs w:val="16"/>
                <w:vertAlign w:val="subscript"/>
              </w:rPr>
              <w:t>2</w:t>
            </w:r>
            <w:r w:rsidRPr="00FD12D3">
              <w:rPr>
                <w:rFonts w:eastAsia="Calibri"/>
                <w:color w:val="000000" w:themeColor="text1"/>
                <w:szCs w:val="16"/>
              </w:rPr>
              <w:t>O</w:t>
            </w:r>
          </w:p>
        </w:tc>
        <w:tc>
          <w:tcPr>
            <w:tcW w:w="4167" w:type="dxa"/>
            <w:shd w:val="clear" w:color="auto" w:fill="FFFFFF" w:themeFill="background1"/>
            <w:tcMar>
              <w:top w:w="0" w:type="dxa"/>
              <w:left w:w="85" w:type="dxa"/>
              <w:bottom w:w="0" w:type="dxa"/>
              <w:right w:w="85" w:type="dxa"/>
            </w:tcMar>
          </w:tcPr>
          <w:p w14:paraId="4947DEF1" w14:textId="77777777" w:rsidR="00502238" w:rsidRPr="00FD12D3" w:rsidRDefault="00502238" w:rsidP="00F16E23">
            <w:pPr>
              <w:pStyle w:val="TableText"/>
              <w:spacing w:before="40" w:after="40"/>
              <w:rPr>
                <w:szCs w:val="16"/>
              </w:rPr>
            </w:pPr>
            <w:r w:rsidRPr="00FD12D3">
              <w:rPr>
                <w:rFonts w:eastAsia="Calibri"/>
                <w:szCs w:val="16"/>
              </w:rPr>
              <w:t>This category is not mandatory. No methodology is provided in the 2006 IPCC Guidelines for estimating emissions from this source category (IPCC, 2006d).</w:t>
            </w:r>
          </w:p>
        </w:tc>
      </w:tr>
      <w:tr w:rsidR="00502238" w:rsidRPr="00FD12D3" w14:paraId="0B7ED564" w14:textId="77777777" w:rsidTr="00F16E23">
        <w:tc>
          <w:tcPr>
            <w:tcW w:w="1276" w:type="dxa"/>
            <w:shd w:val="clear" w:color="auto" w:fill="FFFFFF" w:themeFill="background1"/>
            <w:tcMar>
              <w:top w:w="0" w:type="dxa"/>
              <w:left w:w="85" w:type="dxa"/>
              <w:bottom w:w="0" w:type="dxa"/>
              <w:right w:w="85" w:type="dxa"/>
            </w:tcMar>
            <w:vAlign w:val="center"/>
          </w:tcPr>
          <w:p w14:paraId="7D2D3C9D" w14:textId="77777777" w:rsidR="00502238" w:rsidRPr="00FD12D3" w:rsidRDefault="00502238" w:rsidP="00F16E23">
            <w:pPr>
              <w:pStyle w:val="TableText"/>
              <w:spacing w:before="40" w:after="40"/>
              <w:rPr>
                <w:szCs w:val="16"/>
              </w:rPr>
            </w:pPr>
            <w:r w:rsidRPr="00FD12D3">
              <w:rPr>
                <w:rFonts w:eastAsia="Calibri"/>
                <w:szCs w:val="16"/>
              </w:rPr>
              <w:t>4.A.2</w:t>
            </w:r>
          </w:p>
        </w:tc>
        <w:tc>
          <w:tcPr>
            <w:tcW w:w="1985" w:type="dxa"/>
            <w:shd w:val="clear" w:color="auto" w:fill="FFFFFF" w:themeFill="background1"/>
            <w:tcMar>
              <w:top w:w="0" w:type="dxa"/>
              <w:left w:w="85" w:type="dxa"/>
              <w:bottom w:w="0" w:type="dxa"/>
              <w:right w:w="85" w:type="dxa"/>
            </w:tcMar>
            <w:vAlign w:val="center"/>
          </w:tcPr>
          <w:p w14:paraId="4B7B5616" w14:textId="77777777" w:rsidR="00502238" w:rsidRPr="00FD12D3" w:rsidRDefault="00502238" w:rsidP="00F16E23">
            <w:pPr>
              <w:pStyle w:val="TableText"/>
              <w:spacing w:before="40" w:after="40"/>
              <w:rPr>
                <w:szCs w:val="16"/>
              </w:rPr>
            </w:pPr>
            <w:r w:rsidRPr="00FD12D3">
              <w:rPr>
                <w:rFonts w:eastAsia="Calibri"/>
                <w:szCs w:val="16"/>
              </w:rPr>
              <w:t>Settlements converted to other land uses</w:t>
            </w:r>
          </w:p>
        </w:tc>
        <w:tc>
          <w:tcPr>
            <w:tcW w:w="1134" w:type="dxa"/>
            <w:shd w:val="clear" w:color="auto" w:fill="FFFFFF" w:themeFill="background1"/>
            <w:tcMar>
              <w:top w:w="0" w:type="dxa"/>
              <w:left w:w="85" w:type="dxa"/>
              <w:bottom w:w="0" w:type="dxa"/>
              <w:right w:w="85" w:type="dxa"/>
            </w:tcMar>
            <w:vAlign w:val="center"/>
          </w:tcPr>
          <w:p w14:paraId="55A257FE"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r w:rsidRPr="00FD12D3">
              <w:rPr>
                <w:rFonts w:eastAsia="Calibri"/>
                <w:color w:val="000000" w:themeColor="text1"/>
                <w:szCs w:val="16"/>
              </w:rPr>
              <w:t xml:space="preserve"> (losses)</w:t>
            </w:r>
          </w:p>
        </w:tc>
        <w:tc>
          <w:tcPr>
            <w:tcW w:w="4167" w:type="dxa"/>
            <w:shd w:val="clear" w:color="auto" w:fill="FFFFFF" w:themeFill="background1"/>
            <w:tcMar>
              <w:top w:w="0" w:type="dxa"/>
              <w:left w:w="85" w:type="dxa"/>
              <w:bottom w:w="0" w:type="dxa"/>
              <w:right w:w="85" w:type="dxa"/>
            </w:tcMar>
          </w:tcPr>
          <w:p w14:paraId="5016887C" w14:textId="77777777" w:rsidR="00502238" w:rsidRPr="00FD12D3" w:rsidRDefault="00502238" w:rsidP="00F16E23">
            <w:pPr>
              <w:pStyle w:val="TableText"/>
              <w:spacing w:before="40" w:after="40"/>
              <w:rPr>
                <w:szCs w:val="16"/>
              </w:rPr>
            </w:pPr>
            <w:r w:rsidRPr="00FD12D3">
              <w:rPr>
                <w:rFonts w:eastAsia="Calibri"/>
                <w:szCs w:val="16"/>
              </w:rPr>
              <w:t xml:space="preserve">This category is not mandatory. No methodology is provided in the 2006 IPCC Guidelines for calculating Tier 1 estimates of carbon stocks in living biomass for </w:t>
            </w:r>
            <w:r w:rsidRPr="00FD12D3">
              <w:rPr>
                <w:rFonts w:eastAsia="Calibri"/>
                <w:i/>
                <w:iCs/>
                <w:szCs w:val="16"/>
              </w:rPr>
              <w:t>Settlements</w:t>
            </w:r>
            <w:r w:rsidRPr="00FD12D3">
              <w:rPr>
                <w:rFonts w:eastAsia="Calibri"/>
                <w:szCs w:val="16"/>
              </w:rPr>
              <w:t xml:space="preserve"> (IPCC, 2006d). Therefore, with land-use change from </w:t>
            </w:r>
            <w:r w:rsidRPr="00FD12D3">
              <w:rPr>
                <w:rFonts w:eastAsia="Calibri"/>
                <w:i/>
                <w:iCs/>
                <w:szCs w:val="16"/>
              </w:rPr>
              <w:t>Settlements</w:t>
            </w:r>
            <w:r w:rsidRPr="00FD12D3">
              <w:rPr>
                <w:rFonts w:eastAsia="Calibri"/>
                <w:szCs w:val="16"/>
              </w:rPr>
              <w:t xml:space="preserve"> to other land uses, no carbon stock loss is reported. Because New Zealand uses the stock change approach, losses are only reported in years when new land is converted to this category, or where there is harvesting of forest in the year of conversion. When neither of these activities occurs, the losses are reported with biomass gains (stock change approach) and ‘IE’ (included elsewhere) is reported for biomass losses.</w:t>
            </w:r>
          </w:p>
        </w:tc>
      </w:tr>
      <w:tr w:rsidR="00502238" w:rsidRPr="00FD12D3" w14:paraId="30E45F08" w14:textId="77777777" w:rsidTr="00F16E23">
        <w:tc>
          <w:tcPr>
            <w:tcW w:w="1276" w:type="dxa"/>
            <w:shd w:val="clear" w:color="auto" w:fill="FFFFFF" w:themeFill="background1"/>
            <w:tcMar>
              <w:top w:w="0" w:type="dxa"/>
              <w:left w:w="85" w:type="dxa"/>
              <w:bottom w:w="0" w:type="dxa"/>
              <w:right w:w="85" w:type="dxa"/>
            </w:tcMar>
            <w:vAlign w:val="center"/>
          </w:tcPr>
          <w:p w14:paraId="1BCD16BA" w14:textId="77777777" w:rsidR="00502238" w:rsidRPr="00FD12D3" w:rsidRDefault="00502238" w:rsidP="00F16E23">
            <w:pPr>
              <w:pStyle w:val="TableText"/>
              <w:spacing w:before="40" w:after="40"/>
              <w:rPr>
                <w:szCs w:val="16"/>
              </w:rPr>
            </w:pPr>
            <w:r w:rsidRPr="00FD12D3">
              <w:rPr>
                <w:rFonts w:eastAsia="Calibri"/>
                <w:szCs w:val="16"/>
              </w:rPr>
              <w:t>4.A.2, 4.C.2</w:t>
            </w:r>
          </w:p>
        </w:tc>
        <w:tc>
          <w:tcPr>
            <w:tcW w:w="1985" w:type="dxa"/>
            <w:shd w:val="clear" w:color="auto" w:fill="FFFFFF" w:themeFill="background1"/>
            <w:tcMar>
              <w:top w:w="0" w:type="dxa"/>
              <w:left w:w="85" w:type="dxa"/>
              <w:bottom w:w="0" w:type="dxa"/>
              <w:right w:w="85" w:type="dxa"/>
            </w:tcMar>
            <w:vAlign w:val="center"/>
          </w:tcPr>
          <w:p w14:paraId="25ED964B" w14:textId="77777777" w:rsidR="00502238" w:rsidRPr="00FD12D3" w:rsidRDefault="00502238" w:rsidP="00F16E23">
            <w:pPr>
              <w:pStyle w:val="TableText"/>
              <w:spacing w:before="40" w:after="40"/>
              <w:rPr>
                <w:szCs w:val="16"/>
              </w:rPr>
            </w:pPr>
            <w:r w:rsidRPr="00FD12D3">
              <w:rPr>
                <w:rFonts w:eastAsia="Calibri"/>
                <w:szCs w:val="16"/>
              </w:rPr>
              <w:t>Other land converted to other land uses</w:t>
            </w:r>
          </w:p>
        </w:tc>
        <w:tc>
          <w:tcPr>
            <w:tcW w:w="1134" w:type="dxa"/>
            <w:shd w:val="clear" w:color="auto" w:fill="FFFFFF" w:themeFill="background1"/>
            <w:tcMar>
              <w:top w:w="0" w:type="dxa"/>
              <w:left w:w="85" w:type="dxa"/>
              <w:bottom w:w="0" w:type="dxa"/>
              <w:right w:w="85" w:type="dxa"/>
            </w:tcMar>
            <w:vAlign w:val="center"/>
          </w:tcPr>
          <w:p w14:paraId="26AB81FB"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r w:rsidRPr="00FD12D3">
              <w:rPr>
                <w:rFonts w:eastAsia="Calibri"/>
                <w:color w:val="000000" w:themeColor="text1"/>
                <w:szCs w:val="16"/>
              </w:rPr>
              <w:t xml:space="preserve"> (losses)</w:t>
            </w:r>
          </w:p>
        </w:tc>
        <w:tc>
          <w:tcPr>
            <w:tcW w:w="4167" w:type="dxa"/>
            <w:shd w:val="clear" w:color="auto" w:fill="FFFFFF" w:themeFill="background1"/>
            <w:tcMar>
              <w:top w:w="0" w:type="dxa"/>
              <w:left w:w="85" w:type="dxa"/>
              <w:bottom w:w="0" w:type="dxa"/>
              <w:right w:w="85" w:type="dxa"/>
            </w:tcMar>
          </w:tcPr>
          <w:p w14:paraId="1CA63FA5" w14:textId="77777777" w:rsidR="00502238" w:rsidRPr="00FD12D3" w:rsidRDefault="00502238" w:rsidP="00F16E23">
            <w:pPr>
              <w:pStyle w:val="TableText"/>
              <w:spacing w:before="40" w:after="40"/>
              <w:rPr>
                <w:szCs w:val="16"/>
              </w:rPr>
            </w:pPr>
            <w:r w:rsidRPr="00FD12D3">
              <w:rPr>
                <w:rFonts w:eastAsia="Calibri"/>
                <w:szCs w:val="16"/>
              </w:rPr>
              <w:t xml:space="preserve">This category is not mandatory. No methodology is provided in the 2006 IPCC Guidelines for calculating Tier 1 estimates of carbon stocks in living biomass for </w:t>
            </w:r>
            <w:r w:rsidRPr="00FD12D3">
              <w:rPr>
                <w:rFonts w:eastAsia="Calibri"/>
                <w:i/>
                <w:iCs/>
                <w:szCs w:val="16"/>
              </w:rPr>
              <w:t>Other land</w:t>
            </w:r>
            <w:r w:rsidRPr="00FD12D3">
              <w:rPr>
                <w:rFonts w:eastAsia="Calibri"/>
                <w:szCs w:val="16"/>
              </w:rPr>
              <w:t xml:space="preserve"> (IPCC, 2006d). Therefore, with land-use change from </w:t>
            </w:r>
            <w:r w:rsidRPr="00FD12D3">
              <w:rPr>
                <w:rFonts w:eastAsia="Calibri"/>
                <w:i/>
                <w:iCs/>
                <w:szCs w:val="16"/>
              </w:rPr>
              <w:t>Other land</w:t>
            </w:r>
            <w:r w:rsidRPr="00FD12D3">
              <w:rPr>
                <w:rFonts w:eastAsia="Calibri"/>
                <w:szCs w:val="16"/>
              </w:rPr>
              <w:t xml:space="preserve"> to other land uses, no carbon stock loss is reported. Because New Zealand uses the stock change approach, losses are only reported in years when new land is converted to this category, or where there is harvesting of forest in the year of</w:t>
            </w:r>
            <w:r w:rsidRPr="00FD12D3">
              <w:t> </w:t>
            </w:r>
            <w:r w:rsidRPr="00FD12D3">
              <w:rPr>
                <w:rFonts w:eastAsia="Calibri"/>
                <w:szCs w:val="16"/>
              </w:rPr>
              <w:t>conversion. When neither of these activities occurs, the losses are reported with biomass gains (stock change approach) and IE is reported for biomass losses.</w:t>
            </w:r>
          </w:p>
        </w:tc>
      </w:tr>
      <w:tr w:rsidR="00502238" w:rsidRPr="00FD12D3" w14:paraId="4567F2F8" w14:textId="77777777" w:rsidTr="00F16E23">
        <w:tc>
          <w:tcPr>
            <w:tcW w:w="1276" w:type="dxa"/>
            <w:shd w:val="clear" w:color="auto" w:fill="FFFFFF" w:themeFill="background1"/>
            <w:tcMar>
              <w:top w:w="0" w:type="dxa"/>
              <w:left w:w="85" w:type="dxa"/>
              <w:bottom w:w="0" w:type="dxa"/>
              <w:right w:w="85" w:type="dxa"/>
            </w:tcMar>
            <w:vAlign w:val="center"/>
          </w:tcPr>
          <w:p w14:paraId="441E7153" w14:textId="77777777" w:rsidR="00502238" w:rsidRPr="00FD12D3" w:rsidRDefault="00502238" w:rsidP="00F16E23">
            <w:pPr>
              <w:pStyle w:val="TableText"/>
              <w:spacing w:before="40" w:after="40"/>
              <w:rPr>
                <w:szCs w:val="16"/>
              </w:rPr>
            </w:pPr>
            <w:r w:rsidRPr="00FD12D3">
              <w:rPr>
                <w:rFonts w:eastAsia="Calibri"/>
                <w:szCs w:val="16"/>
              </w:rPr>
              <w:t>4.A, 4.B, 4.C, 4.D, 4.F</w:t>
            </w:r>
          </w:p>
        </w:tc>
        <w:tc>
          <w:tcPr>
            <w:tcW w:w="1985" w:type="dxa"/>
            <w:shd w:val="clear" w:color="auto" w:fill="FFFFFF" w:themeFill="background1"/>
            <w:tcMar>
              <w:top w:w="0" w:type="dxa"/>
              <w:left w:w="85" w:type="dxa"/>
              <w:bottom w:w="0" w:type="dxa"/>
              <w:right w:w="85" w:type="dxa"/>
            </w:tcMar>
            <w:vAlign w:val="center"/>
          </w:tcPr>
          <w:p w14:paraId="5EEE5890" w14:textId="77777777" w:rsidR="00502238" w:rsidRPr="00FD12D3" w:rsidRDefault="00502238" w:rsidP="00F16E23">
            <w:pPr>
              <w:pStyle w:val="TableText"/>
              <w:spacing w:before="40" w:after="40"/>
              <w:rPr>
                <w:szCs w:val="16"/>
              </w:rPr>
            </w:pPr>
            <w:r w:rsidRPr="00FD12D3">
              <w:rPr>
                <w:rFonts w:eastAsia="Calibri"/>
                <w:szCs w:val="16"/>
              </w:rPr>
              <w:t>Forest land, Cropland, Grassland, Wetlands and Other land: Rewetting and other management of organic and mineral soils</w:t>
            </w:r>
          </w:p>
        </w:tc>
        <w:tc>
          <w:tcPr>
            <w:tcW w:w="1134" w:type="dxa"/>
            <w:shd w:val="clear" w:color="auto" w:fill="FFFFFF" w:themeFill="background1"/>
            <w:tcMar>
              <w:top w:w="0" w:type="dxa"/>
              <w:left w:w="85" w:type="dxa"/>
              <w:bottom w:w="0" w:type="dxa"/>
              <w:right w:w="85" w:type="dxa"/>
            </w:tcMar>
            <w:vAlign w:val="center"/>
          </w:tcPr>
          <w:p w14:paraId="78C87D3A"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p>
        </w:tc>
        <w:tc>
          <w:tcPr>
            <w:tcW w:w="4167" w:type="dxa"/>
            <w:shd w:val="clear" w:color="auto" w:fill="FFFFFF" w:themeFill="background1"/>
            <w:tcMar>
              <w:top w:w="0" w:type="dxa"/>
              <w:left w:w="85" w:type="dxa"/>
              <w:bottom w:w="0" w:type="dxa"/>
              <w:right w:w="85" w:type="dxa"/>
            </w:tcMar>
          </w:tcPr>
          <w:p w14:paraId="3E791002" w14:textId="77777777" w:rsidR="00502238" w:rsidRPr="00FD12D3" w:rsidRDefault="00502238" w:rsidP="00F16E23">
            <w:pPr>
              <w:pStyle w:val="TableText"/>
              <w:spacing w:before="40" w:after="40"/>
              <w:rPr>
                <w:szCs w:val="16"/>
              </w:rPr>
            </w:pPr>
            <w:r w:rsidRPr="00FD12D3">
              <w:rPr>
                <w:rFonts w:eastAsia="Calibri"/>
                <w:szCs w:val="16"/>
              </w:rPr>
              <w:t>This category is not mandatory. No methodology is provided in the 2006 IPCC Guidelines for estimating emissions from this source category (IPCC, 2006d).</w:t>
            </w:r>
          </w:p>
        </w:tc>
      </w:tr>
      <w:tr w:rsidR="00502238" w:rsidRPr="00FD12D3" w14:paraId="4C0F29BC" w14:textId="77777777" w:rsidTr="00F16E23">
        <w:tc>
          <w:tcPr>
            <w:tcW w:w="1276" w:type="dxa"/>
            <w:shd w:val="clear" w:color="auto" w:fill="FFFFFF" w:themeFill="background1"/>
            <w:tcMar>
              <w:top w:w="0" w:type="dxa"/>
              <w:left w:w="85" w:type="dxa"/>
              <w:bottom w:w="0" w:type="dxa"/>
              <w:right w:w="85" w:type="dxa"/>
            </w:tcMar>
            <w:vAlign w:val="center"/>
          </w:tcPr>
          <w:p w14:paraId="3FE0F08E" w14:textId="77777777" w:rsidR="00502238" w:rsidRPr="00FD12D3" w:rsidRDefault="00502238" w:rsidP="00F16E23">
            <w:pPr>
              <w:pStyle w:val="TableText"/>
              <w:spacing w:before="40" w:after="40"/>
              <w:rPr>
                <w:szCs w:val="16"/>
              </w:rPr>
            </w:pPr>
            <w:r w:rsidRPr="00FD12D3">
              <w:rPr>
                <w:rFonts w:eastAsia="Calibri"/>
                <w:szCs w:val="16"/>
              </w:rPr>
              <w:t>4.B.1, 4.B.2</w:t>
            </w:r>
          </w:p>
        </w:tc>
        <w:tc>
          <w:tcPr>
            <w:tcW w:w="1985" w:type="dxa"/>
            <w:shd w:val="clear" w:color="auto" w:fill="FFFFFF" w:themeFill="background1"/>
            <w:tcMar>
              <w:top w:w="0" w:type="dxa"/>
              <w:left w:w="85" w:type="dxa"/>
              <w:bottom w:w="0" w:type="dxa"/>
              <w:right w:w="85" w:type="dxa"/>
            </w:tcMar>
            <w:vAlign w:val="center"/>
          </w:tcPr>
          <w:p w14:paraId="337956F9" w14:textId="77777777" w:rsidR="00502238" w:rsidRPr="00FD12D3" w:rsidRDefault="00502238" w:rsidP="00F16E23">
            <w:pPr>
              <w:pStyle w:val="TableText"/>
              <w:spacing w:before="40" w:after="40"/>
              <w:rPr>
                <w:szCs w:val="16"/>
              </w:rPr>
            </w:pPr>
            <w:r w:rsidRPr="00FD12D3">
              <w:rPr>
                <w:rFonts w:eastAsia="Calibri"/>
                <w:szCs w:val="16"/>
              </w:rPr>
              <w:t>Land converted to cropland, Cropland remaining cropland</w:t>
            </w:r>
          </w:p>
        </w:tc>
        <w:tc>
          <w:tcPr>
            <w:tcW w:w="1134" w:type="dxa"/>
            <w:shd w:val="clear" w:color="auto" w:fill="FFFFFF" w:themeFill="background1"/>
            <w:tcMar>
              <w:top w:w="0" w:type="dxa"/>
              <w:left w:w="85" w:type="dxa"/>
              <w:bottom w:w="0" w:type="dxa"/>
              <w:right w:w="85" w:type="dxa"/>
            </w:tcMar>
            <w:vAlign w:val="center"/>
          </w:tcPr>
          <w:p w14:paraId="510A4AB3"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r w:rsidRPr="00FD12D3">
              <w:rPr>
                <w:rFonts w:eastAsia="Calibri"/>
                <w:color w:val="000000" w:themeColor="text1"/>
                <w:szCs w:val="16"/>
              </w:rPr>
              <w:t xml:space="preserve"> (deadwood)</w:t>
            </w:r>
          </w:p>
        </w:tc>
        <w:tc>
          <w:tcPr>
            <w:tcW w:w="4167" w:type="dxa"/>
            <w:shd w:val="clear" w:color="auto" w:fill="FFFFFF" w:themeFill="background1"/>
            <w:tcMar>
              <w:top w:w="0" w:type="dxa"/>
              <w:left w:w="85" w:type="dxa"/>
              <w:bottom w:w="0" w:type="dxa"/>
              <w:right w:w="85" w:type="dxa"/>
            </w:tcMar>
          </w:tcPr>
          <w:p w14:paraId="12E0905E" w14:textId="77777777" w:rsidR="00502238" w:rsidRPr="00FD12D3" w:rsidRDefault="00502238" w:rsidP="00F16E23">
            <w:pPr>
              <w:pStyle w:val="TableText"/>
              <w:spacing w:before="40" w:after="40"/>
              <w:rPr>
                <w:szCs w:val="16"/>
              </w:rPr>
            </w:pPr>
            <w:r w:rsidRPr="00FD12D3">
              <w:rPr>
                <w:rFonts w:eastAsia="Calibri"/>
                <w:szCs w:val="16"/>
              </w:rPr>
              <w:t>This category is not mandatory. No methodology is provided in the 2006 IPCC Guidelines for calculating Tier 1 estimates of carbon stock change in dead organic matter for land-use changes to this land use category (IPCC, 2006d). Any emissions reported are for loss of dead organic matter from the previous land use that occurs in the year of conversion.</w:t>
            </w:r>
          </w:p>
        </w:tc>
      </w:tr>
      <w:tr w:rsidR="00502238" w:rsidRPr="00FD12D3" w14:paraId="36CA5F05" w14:textId="77777777" w:rsidTr="00F16E23">
        <w:tc>
          <w:tcPr>
            <w:tcW w:w="1276" w:type="dxa"/>
            <w:shd w:val="clear" w:color="auto" w:fill="FFFFFF" w:themeFill="background1"/>
            <w:tcMar>
              <w:top w:w="0" w:type="dxa"/>
              <w:left w:w="85" w:type="dxa"/>
              <w:bottom w:w="0" w:type="dxa"/>
              <w:right w:w="85" w:type="dxa"/>
            </w:tcMar>
            <w:vAlign w:val="center"/>
          </w:tcPr>
          <w:p w14:paraId="7CC0E4FD" w14:textId="77777777" w:rsidR="00502238" w:rsidRPr="00FD12D3" w:rsidRDefault="00502238" w:rsidP="00F16E23">
            <w:pPr>
              <w:pStyle w:val="TableText"/>
              <w:spacing w:before="40" w:after="40"/>
              <w:rPr>
                <w:szCs w:val="16"/>
              </w:rPr>
            </w:pPr>
            <w:r w:rsidRPr="00FD12D3">
              <w:rPr>
                <w:rFonts w:eastAsia="Calibri"/>
                <w:szCs w:val="16"/>
              </w:rPr>
              <w:t>4.B.1</w:t>
            </w:r>
          </w:p>
        </w:tc>
        <w:tc>
          <w:tcPr>
            <w:tcW w:w="1985" w:type="dxa"/>
            <w:shd w:val="clear" w:color="auto" w:fill="FFFFFF" w:themeFill="background1"/>
            <w:tcMar>
              <w:top w:w="0" w:type="dxa"/>
              <w:left w:w="85" w:type="dxa"/>
              <w:bottom w:w="0" w:type="dxa"/>
              <w:right w:w="85" w:type="dxa"/>
            </w:tcMar>
            <w:vAlign w:val="center"/>
          </w:tcPr>
          <w:p w14:paraId="0F1DB9FF" w14:textId="77777777" w:rsidR="00502238" w:rsidRPr="00FD12D3" w:rsidRDefault="00502238" w:rsidP="00F16E23">
            <w:pPr>
              <w:pStyle w:val="TableText"/>
              <w:spacing w:before="40" w:after="40"/>
              <w:rPr>
                <w:szCs w:val="16"/>
              </w:rPr>
            </w:pPr>
            <w:r w:rsidRPr="00FD12D3">
              <w:rPr>
                <w:rFonts w:eastAsia="Calibri"/>
                <w:szCs w:val="16"/>
              </w:rPr>
              <w:t>Cropland remaining cropland/4(V) Biomass burning/ Wildfires/ Cropland remaining cropland</w:t>
            </w:r>
          </w:p>
        </w:tc>
        <w:tc>
          <w:tcPr>
            <w:tcW w:w="1134" w:type="dxa"/>
            <w:shd w:val="clear" w:color="auto" w:fill="FFFFFF" w:themeFill="background1"/>
            <w:tcMar>
              <w:top w:w="0" w:type="dxa"/>
              <w:left w:w="85" w:type="dxa"/>
              <w:bottom w:w="0" w:type="dxa"/>
              <w:right w:w="85" w:type="dxa"/>
            </w:tcMar>
            <w:vAlign w:val="center"/>
          </w:tcPr>
          <w:p w14:paraId="02751753"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r w:rsidRPr="00FD12D3">
              <w:rPr>
                <w:rFonts w:eastAsia="Calibri"/>
                <w:color w:val="000000" w:themeColor="text1"/>
                <w:szCs w:val="16"/>
              </w:rPr>
              <w:t>, N</w:t>
            </w:r>
            <w:r w:rsidRPr="00FD12D3">
              <w:rPr>
                <w:rFonts w:eastAsia="Calibri"/>
                <w:color w:val="000000" w:themeColor="text1"/>
                <w:szCs w:val="16"/>
                <w:vertAlign w:val="subscript"/>
              </w:rPr>
              <w:t>2</w:t>
            </w:r>
            <w:r w:rsidRPr="00FD12D3">
              <w:rPr>
                <w:rFonts w:eastAsia="Calibri"/>
                <w:color w:val="000000" w:themeColor="text1"/>
                <w:szCs w:val="16"/>
              </w:rPr>
              <w:t>O</w:t>
            </w:r>
          </w:p>
        </w:tc>
        <w:tc>
          <w:tcPr>
            <w:tcW w:w="4167" w:type="dxa"/>
            <w:shd w:val="clear" w:color="auto" w:fill="FFFFFF" w:themeFill="background1"/>
            <w:tcMar>
              <w:top w:w="0" w:type="dxa"/>
              <w:left w:w="85" w:type="dxa"/>
              <w:bottom w:w="0" w:type="dxa"/>
              <w:right w:w="85" w:type="dxa"/>
            </w:tcMar>
          </w:tcPr>
          <w:p w14:paraId="610C7AA8" w14:textId="77777777" w:rsidR="00502238" w:rsidRPr="00FD12D3" w:rsidRDefault="00502238" w:rsidP="00F16E23">
            <w:pPr>
              <w:pStyle w:val="TableText"/>
              <w:spacing w:before="40" w:after="40"/>
              <w:rPr>
                <w:szCs w:val="16"/>
              </w:rPr>
            </w:pPr>
            <w:r w:rsidRPr="00FD12D3">
              <w:rPr>
                <w:rFonts w:eastAsia="Calibri"/>
                <w:szCs w:val="16"/>
              </w:rPr>
              <w:t>New Zealand does not have sufficient information on biomass burning activities to reliably report on this.</w:t>
            </w:r>
          </w:p>
        </w:tc>
      </w:tr>
      <w:tr w:rsidR="00502238" w:rsidRPr="00FD12D3" w14:paraId="5A29B410" w14:textId="77777777" w:rsidTr="00F16E23">
        <w:tc>
          <w:tcPr>
            <w:tcW w:w="1276" w:type="dxa"/>
            <w:shd w:val="clear" w:color="auto" w:fill="FFFFFF" w:themeFill="background1"/>
            <w:tcMar>
              <w:top w:w="0" w:type="dxa"/>
              <w:left w:w="85" w:type="dxa"/>
              <w:bottom w:w="0" w:type="dxa"/>
              <w:right w:w="85" w:type="dxa"/>
            </w:tcMar>
            <w:vAlign w:val="center"/>
          </w:tcPr>
          <w:p w14:paraId="0CAC0116" w14:textId="77777777" w:rsidR="00502238" w:rsidRPr="00FD12D3" w:rsidRDefault="00502238" w:rsidP="00F16E23">
            <w:pPr>
              <w:pStyle w:val="TableText"/>
              <w:spacing w:before="40" w:after="40"/>
              <w:rPr>
                <w:szCs w:val="16"/>
              </w:rPr>
            </w:pPr>
            <w:r w:rsidRPr="00FD12D3">
              <w:rPr>
                <w:rFonts w:eastAsia="Calibri"/>
                <w:szCs w:val="16"/>
              </w:rPr>
              <w:t>4.B.2</w:t>
            </w:r>
          </w:p>
        </w:tc>
        <w:tc>
          <w:tcPr>
            <w:tcW w:w="1985" w:type="dxa"/>
            <w:shd w:val="clear" w:color="auto" w:fill="FFFFFF" w:themeFill="background1"/>
            <w:tcMar>
              <w:top w:w="0" w:type="dxa"/>
              <w:left w:w="85" w:type="dxa"/>
              <w:bottom w:w="0" w:type="dxa"/>
              <w:right w:w="85" w:type="dxa"/>
            </w:tcMar>
            <w:vAlign w:val="center"/>
          </w:tcPr>
          <w:p w14:paraId="3DB25A4C" w14:textId="77777777" w:rsidR="00502238" w:rsidRPr="00FD12D3" w:rsidRDefault="00502238" w:rsidP="00F16E23">
            <w:pPr>
              <w:pStyle w:val="TableText"/>
              <w:spacing w:before="40" w:after="40"/>
              <w:rPr>
                <w:szCs w:val="16"/>
              </w:rPr>
            </w:pPr>
            <w:r w:rsidRPr="00FD12D3">
              <w:rPr>
                <w:rFonts w:eastAsia="Calibri"/>
                <w:szCs w:val="16"/>
              </w:rPr>
              <w:t>Land converted to cropland/4(V) Biomass burning/ Wildfires/Land converted to cropland</w:t>
            </w:r>
          </w:p>
        </w:tc>
        <w:tc>
          <w:tcPr>
            <w:tcW w:w="1134" w:type="dxa"/>
            <w:shd w:val="clear" w:color="auto" w:fill="FFFFFF" w:themeFill="background1"/>
            <w:tcMar>
              <w:top w:w="0" w:type="dxa"/>
              <w:left w:w="85" w:type="dxa"/>
              <w:bottom w:w="0" w:type="dxa"/>
              <w:right w:w="85" w:type="dxa"/>
            </w:tcMar>
            <w:vAlign w:val="center"/>
          </w:tcPr>
          <w:p w14:paraId="7E3EDD03"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r w:rsidRPr="00FD12D3">
              <w:rPr>
                <w:rFonts w:eastAsia="Calibri"/>
                <w:color w:val="000000" w:themeColor="text1"/>
                <w:szCs w:val="16"/>
              </w:rPr>
              <w:t>, N</w:t>
            </w:r>
            <w:r w:rsidRPr="00FD12D3">
              <w:rPr>
                <w:rFonts w:eastAsia="Calibri"/>
                <w:color w:val="000000" w:themeColor="text1"/>
                <w:szCs w:val="16"/>
                <w:vertAlign w:val="subscript"/>
              </w:rPr>
              <w:t>2</w:t>
            </w:r>
            <w:r w:rsidRPr="00FD12D3">
              <w:rPr>
                <w:rFonts w:eastAsia="Calibri"/>
                <w:color w:val="000000" w:themeColor="text1"/>
                <w:szCs w:val="16"/>
              </w:rPr>
              <w:t>O</w:t>
            </w:r>
          </w:p>
        </w:tc>
        <w:tc>
          <w:tcPr>
            <w:tcW w:w="4167" w:type="dxa"/>
            <w:shd w:val="clear" w:color="auto" w:fill="FFFFFF" w:themeFill="background1"/>
            <w:tcMar>
              <w:top w:w="0" w:type="dxa"/>
              <w:left w:w="85" w:type="dxa"/>
              <w:bottom w:w="0" w:type="dxa"/>
              <w:right w:w="85" w:type="dxa"/>
            </w:tcMar>
          </w:tcPr>
          <w:p w14:paraId="4CB1C043" w14:textId="77777777" w:rsidR="00502238" w:rsidRPr="00FD12D3" w:rsidRDefault="00502238" w:rsidP="00F16E23">
            <w:pPr>
              <w:pStyle w:val="TableText"/>
              <w:spacing w:before="40" w:after="40"/>
              <w:rPr>
                <w:szCs w:val="16"/>
              </w:rPr>
            </w:pPr>
            <w:r w:rsidRPr="00FD12D3">
              <w:rPr>
                <w:rFonts w:eastAsia="Calibri"/>
                <w:szCs w:val="16"/>
              </w:rPr>
              <w:t>New Zealand does not have sufficient information on biomass burning activities to reliably report on this.</w:t>
            </w:r>
          </w:p>
        </w:tc>
      </w:tr>
      <w:tr w:rsidR="00502238" w:rsidRPr="00FD12D3" w14:paraId="246E23C2" w14:textId="77777777" w:rsidTr="00F16E23">
        <w:tc>
          <w:tcPr>
            <w:tcW w:w="1276" w:type="dxa"/>
            <w:shd w:val="clear" w:color="auto" w:fill="FFFFFF" w:themeFill="background1"/>
            <w:tcMar>
              <w:top w:w="0" w:type="dxa"/>
              <w:left w:w="85" w:type="dxa"/>
              <w:bottom w:w="0" w:type="dxa"/>
              <w:right w:w="85" w:type="dxa"/>
            </w:tcMar>
            <w:vAlign w:val="center"/>
          </w:tcPr>
          <w:p w14:paraId="0CEDAEF8" w14:textId="77777777" w:rsidR="00502238" w:rsidRPr="00FD12D3" w:rsidRDefault="00502238" w:rsidP="00F16E23">
            <w:pPr>
              <w:pStyle w:val="TableText"/>
              <w:spacing w:before="40" w:after="40"/>
              <w:rPr>
                <w:szCs w:val="16"/>
              </w:rPr>
            </w:pPr>
            <w:r w:rsidRPr="00FD12D3">
              <w:rPr>
                <w:rFonts w:eastAsia="Calibri"/>
                <w:szCs w:val="16"/>
              </w:rPr>
              <w:t>4.C.1, 4.C.2</w:t>
            </w:r>
          </w:p>
        </w:tc>
        <w:tc>
          <w:tcPr>
            <w:tcW w:w="1985" w:type="dxa"/>
            <w:shd w:val="clear" w:color="auto" w:fill="FFFFFF" w:themeFill="background1"/>
            <w:tcMar>
              <w:top w:w="0" w:type="dxa"/>
              <w:left w:w="85" w:type="dxa"/>
              <w:bottom w:w="0" w:type="dxa"/>
              <w:right w:w="85" w:type="dxa"/>
            </w:tcMar>
            <w:vAlign w:val="center"/>
          </w:tcPr>
          <w:p w14:paraId="155E1BD1" w14:textId="77777777" w:rsidR="00502238" w:rsidRPr="00FD12D3" w:rsidRDefault="00502238" w:rsidP="00F16E23">
            <w:pPr>
              <w:pStyle w:val="TableText"/>
              <w:spacing w:before="40" w:after="40"/>
              <w:rPr>
                <w:szCs w:val="16"/>
              </w:rPr>
            </w:pPr>
            <w:r w:rsidRPr="00FD12D3">
              <w:rPr>
                <w:rFonts w:eastAsia="Calibri"/>
                <w:szCs w:val="16"/>
              </w:rPr>
              <w:t>Land remaining grassland, Land converted to grassland</w:t>
            </w:r>
          </w:p>
        </w:tc>
        <w:tc>
          <w:tcPr>
            <w:tcW w:w="1134" w:type="dxa"/>
            <w:shd w:val="clear" w:color="auto" w:fill="FFFFFF" w:themeFill="background1"/>
            <w:tcMar>
              <w:top w:w="0" w:type="dxa"/>
              <w:left w:w="85" w:type="dxa"/>
              <w:bottom w:w="0" w:type="dxa"/>
              <w:right w:w="85" w:type="dxa"/>
            </w:tcMar>
            <w:vAlign w:val="center"/>
          </w:tcPr>
          <w:p w14:paraId="565DCB7C"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r w:rsidRPr="00FD12D3">
              <w:rPr>
                <w:rFonts w:eastAsia="Calibri"/>
                <w:color w:val="000000" w:themeColor="text1"/>
                <w:szCs w:val="16"/>
              </w:rPr>
              <w:t xml:space="preserve"> (deadwood)</w:t>
            </w:r>
          </w:p>
        </w:tc>
        <w:tc>
          <w:tcPr>
            <w:tcW w:w="4167" w:type="dxa"/>
            <w:shd w:val="clear" w:color="auto" w:fill="FFFFFF" w:themeFill="background1"/>
            <w:tcMar>
              <w:top w:w="0" w:type="dxa"/>
              <w:left w:w="85" w:type="dxa"/>
              <w:bottom w:w="0" w:type="dxa"/>
              <w:right w:w="85" w:type="dxa"/>
            </w:tcMar>
          </w:tcPr>
          <w:p w14:paraId="6754347A" w14:textId="1A878BFE" w:rsidR="00502238" w:rsidRPr="00FD12D3" w:rsidRDefault="00502238" w:rsidP="00F16E23">
            <w:pPr>
              <w:pStyle w:val="TableText"/>
              <w:spacing w:before="40" w:after="40"/>
              <w:rPr>
                <w:szCs w:val="16"/>
              </w:rPr>
            </w:pPr>
            <w:r w:rsidRPr="00FD12D3">
              <w:rPr>
                <w:rFonts w:eastAsia="Calibri"/>
                <w:szCs w:val="16"/>
              </w:rPr>
              <w:t>This category is not mandatory. No methodology is provided in the 2006 IPCC Guidelines for calculating Tier 1 estimates of</w:t>
            </w:r>
            <w:r w:rsidR="00803B64">
              <w:rPr>
                <w:rFonts w:eastAsia="Calibri"/>
                <w:szCs w:val="16"/>
              </w:rPr>
              <w:t> </w:t>
            </w:r>
            <w:r w:rsidRPr="00FD12D3">
              <w:rPr>
                <w:rFonts w:eastAsia="Calibri"/>
                <w:szCs w:val="16"/>
              </w:rPr>
              <w:t>carbon stock change in dead organic matter for land-use changes to this land use category (IPCC, 2006d). Any emissions reported are for loss of dead organic matter from the previous land use that occurs in the year of conversion.</w:t>
            </w:r>
          </w:p>
        </w:tc>
      </w:tr>
      <w:tr w:rsidR="00502238" w:rsidRPr="00FD12D3" w14:paraId="32650102" w14:textId="77777777" w:rsidTr="00F16E23">
        <w:tc>
          <w:tcPr>
            <w:tcW w:w="1276" w:type="dxa"/>
            <w:shd w:val="clear" w:color="auto" w:fill="FFFFFF" w:themeFill="background1"/>
            <w:tcMar>
              <w:top w:w="0" w:type="dxa"/>
              <w:left w:w="85" w:type="dxa"/>
              <w:bottom w:w="0" w:type="dxa"/>
              <w:right w:w="85" w:type="dxa"/>
            </w:tcMar>
            <w:vAlign w:val="center"/>
          </w:tcPr>
          <w:p w14:paraId="305E917C" w14:textId="77777777" w:rsidR="00502238" w:rsidRPr="00FD12D3" w:rsidRDefault="00502238" w:rsidP="00F16E23">
            <w:pPr>
              <w:pStyle w:val="TableText"/>
              <w:keepNext/>
              <w:spacing w:before="40" w:after="40"/>
              <w:rPr>
                <w:szCs w:val="16"/>
              </w:rPr>
            </w:pPr>
            <w:r w:rsidRPr="00FD12D3">
              <w:rPr>
                <w:rFonts w:eastAsia="Calibri"/>
                <w:szCs w:val="16"/>
              </w:rPr>
              <w:t>4.D.1</w:t>
            </w:r>
          </w:p>
        </w:tc>
        <w:tc>
          <w:tcPr>
            <w:tcW w:w="1985" w:type="dxa"/>
            <w:shd w:val="clear" w:color="auto" w:fill="FFFFFF" w:themeFill="background1"/>
            <w:tcMar>
              <w:top w:w="0" w:type="dxa"/>
              <w:left w:w="85" w:type="dxa"/>
              <w:bottom w:w="0" w:type="dxa"/>
              <w:right w:w="85" w:type="dxa"/>
            </w:tcMar>
            <w:vAlign w:val="center"/>
          </w:tcPr>
          <w:p w14:paraId="37000AE1" w14:textId="77777777" w:rsidR="00502238" w:rsidRPr="00FD12D3" w:rsidRDefault="00502238" w:rsidP="00F16E23">
            <w:pPr>
              <w:pStyle w:val="TableText"/>
              <w:spacing w:before="40" w:after="40"/>
              <w:rPr>
                <w:szCs w:val="16"/>
              </w:rPr>
            </w:pPr>
            <w:r w:rsidRPr="00FD12D3">
              <w:rPr>
                <w:rFonts w:eastAsia="Calibri"/>
                <w:szCs w:val="16"/>
              </w:rPr>
              <w:t>Wetlands remaining wetlands/4(V) Biomass burning/ Wildfires/ Wetlands remaining wetlands</w:t>
            </w:r>
          </w:p>
        </w:tc>
        <w:tc>
          <w:tcPr>
            <w:tcW w:w="1134" w:type="dxa"/>
            <w:shd w:val="clear" w:color="auto" w:fill="FFFFFF" w:themeFill="background1"/>
            <w:tcMar>
              <w:top w:w="0" w:type="dxa"/>
              <w:left w:w="85" w:type="dxa"/>
              <w:bottom w:w="0" w:type="dxa"/>
              <w:right w:w="85" w:type="dxa"/>
            </w:tcMar>
            <w:vAlign w:val="center"/>
          </w:tcPr>
          <w:p w14:paraId="17AE227F"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r w:rsidRPr="00FD12D3">
              <w:rPr>
                <w:rFonts w:eastAsia="Calibri"/>
                <w:color w:val="000000" w:themeColor="text1"/>
                <w:szCs w:val="16"/>
              </w:rPr>
              <w:t>, N</w:t>
            </w:r>
            <w:r w:rsidRPr="00FD12D3">
              <w:rPr>
                <w:rFonts w:eastAsia="Calibri"/>
                <w:color w:val="000000" w:themeColor="text1"/>
                <w:szCs w:val="16"/>
                <w:vertAlign w:val="subscript"/>
              </w:rPr>
              <w:t>2</w:t>
            </w:r>
            <w:r w:rsidRPr="00FD12D3">
              <w:rPr>
                <w:rFonts w:eastAsia="Calibri"/>
                <w:color w:val="000000" w:themeColor="text1"/>
                <w:szCs w:val="16"/>
              </w:rPr>
              <w:t>O</w:t>
            </w:r>
          </w:p>
        </w:tc>
        <w:tc>
          <w:tcPr>
            <w:tcW w:w="4167" w:type="dxa"/>
            <w:shd w:val="clear" w:color="auto" w:fill="FFFFFF" w:themeFill="background1"/>
            <w:tcMar>
              <w:top w:w="0" w:type="dxa"/>
              <w:left w:w="85" w:type="dxa"/>
              <w:bottom w:w="0" w:type="dxa"/>
              <w:right w:w="85" w:type="dxa"/>
            </w:tcMar>
          </w:tcPr>
          <w:p w14:paraId="0E6E23ED" w14:textId="77777777" w:rsidR="00502238" w:rsidRPr="00FD12D3" w:rsidRDefault="00502238" w:rsidP="00F16E23">
            <w:pPr>
              <w:pStyle w:val="TableText"/>
              <w:spacing w:before="40" w:after="40"/>
              <w:rPr>
                <w:szCs w:val="16"/>
              </w:rPr>
            </w:pPr>
            <w:r w:rsidRPr="00FD12D3">
              <w:rPr>
                <w:rFonts w:eastAsia="Calibri"/>
                <w:szCs w:val="16"/>
              </w:rPr>
              <w:t>This category is not mandatory. No methodology is provided in the 2006 IPCC Guidelines for calculating Tier 1 estimates of carbon stock changes in organic soils for this land use category (IPCC, 2006d). New Zealand does not have sufficient information on biomass burning activities to reliably report on this.</w:t>
            </w:r>
          </w:p>
        </w:tc>
      </w:tr>
      <w:tr w:rsidR="00502238" w:rsidRPr="00FD12D3" w14:paraId="312F1215" w14:textId="77777777" w:rsidTr="00F16E23">
        <w:tc>
          <w:tcPr>
            <w:tcW w:w="1276" w:type="dxa"/>
            <w:shd w:val="clear" w:color="auto" w:fill="FFFFFF" w:themeFill="background1"/>
            <w:tcMar>
              <w:top w:w="0" w:type="dxa"/>
              <w:left w:w="85" w:type="dxa"/>
              <w:bottom w:w="0" w:type="dxa"/>
              <w:right w:w="85" w:type="dxa"/>
            </w:tcMar>
            <w:vAlign w:val="center"/>
          </w:tcPr>
          <w:p w14:paraId="67E46F42" w14:textId="77777777" w:rsidR="00502238" w:rsidRPr="00FD12D3" w:rsidRDefault="00502238" w:rsidP="00F16E23">
            <w:pPr>
              <w:pStyle w:val="TableText"/>
              <w:spacing w:before="40" w:after="40"/>
              <w:rPr>
                <w:szCs w:val="16"/>
              </w:rPr>
            </w:pPr>
            <w:r w:rsidRPr="00FD12D3">
              <w:rPr>
                <w:rFonts w:eastAsia="Calibri"/>
                <w:szCs w:val="16"/>
              </w:rPr>
              <w:t>4.D.1, 4.D.2</w:t>
            </w:r>
          </w:p>
        </w:tc>
        <w:tc>
          <w:tcPr>
            <w:tcW w:w="1985" w:type="dxa"/>
            <w:shd w:val="clear" w:color="auto" w:fill="FFFFFF" w:themeFill="background1"/>
            <w:tcMar>
              <w:top w:w="0" w:type="dxa"/>
              <w:left w:w="85" w:type="dxa"/>
              <w:bottom w:w="0" w:type="dxa"/>
              <w:right w:w="85" w:type="dxa"/>
            </w:tcMar>
            <w:vAlign w:val="center"/>
          </w:tcPr>
          <w:p w14:paraId="418D2665" w14:textId="77777777" w:rsidR="00502238" w:rsidRPr="00FD12D3" w:rsidRDefault="00502238" w:rsidP="00F16E23">
            <w:pPr>
              <w:pStyle w:val="TableText"/>
              <w:spacing w:before="40" w:after="40"/>
              <w:rPr>
                <w:szCs w:val="16"/>
              </w:rPr>
            </w:pPr>
            <w:r w:rsidRPr="00FD12D3">
              <w:rPr>
                <w:rFonts w:eastAsia="Calibri"/>
                <w:szCs w:val="16"/>
              </w:rPr>
              <w:t>Wetlands remaining wetlands, Land converted to wetlands (except transitions into and out of vegetated wetlands)</w:t>
            </w:r>
          </w:p>
        </w:tc>
        <w:tc>
          <w:tcPr>
            <w:tcW w:w="1134" w:type="dxa"/>
            <w:shd w:val="clear" w:color="auto" w:fill="FFFFFF" w:themeFill="background1"/>
            <w:tcMar>
              <w:top w:w="0" w:type="dxa"/>
              <w:left w:w="85" w:type="dxa"/>
              <w:bottom w:w="0" w:type="dxa"/>
              <w:right w:w="85" w:type="dxa"/>
            </w:tcMar>
            <w:vAlign w:val="center"/>
          </w:tcPr>
          <w:p w14:paraId="5F06CE5A"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p>
        </w:tc>
        <w:tc>
          <w:tcPr>
            <w:tcW w:w="4167" w:type="dxa"/>
            <w:shd w:val="clear" w:color="auto" w:fill="FFFFFF" w:themeFill="background1"/>
            <w:tcMar>
              <w:top w:w="0" w:type="dxa"/>
              <w:left w:w="85" w:type="dxa"/>
              <w:bottom w:w="0" w:type="dxa"/>
              <w:right w:w="85" w:type="dxa"/>
            </w:tcMar>
          </w:tcPr>
          <w:p w14:paraId="23272E7C" w14:textId="77777777" w:rsidR="00502238" w:rsidRPr="00FD12D3" w:rsidRDefault="00502238" w:rsidP="00F16E23">
            <w:pPr>
              <w:pStyle w:val="TableText"/>
              <w:spacing w:before="40" w:after="40"/>
              <w:rPr>
                <w:szCs w:val="16"/>
              </w:rPr>
            </w:pPr>
            <w:r w:rsidRPr="00FD12D3">
              <w:rPr>
                <w:rFonts w:eastAsia="Calibri"/>
                <w:szCs w:val="16"/>
              </w:rPr>
              <w:t>This category is not mandatory. No methodology is provided in the 2006 IPCC Guidelines for calculating Tier 1 estimates of carbon stock change in this land use (IPCC, 2006d, volume 4, chapter 7.3.1).</w:t>
            </w:r>
          </w:p>
        </w:tc>
      </w:tr>
      <w:tr w:rsidR="00502238" w:rsidRPr="00FD12D3" w14:paraId="1AAB0993" w14:textId="77777777" w:rsidTr="00F16E23">
        <w:tc>
          <w:tcPr>
            <w:tcW w:w="1276" w:type="dxa"/>
            <w:shd w:val="clear" w:color="auto" w:fill="FFFFFF" w:themeFill="background1"/>
            <w:tcMar>
              <w:top w:w="0" w:type="dxa"/>
              <w:left w:w="85" w:type="dxa"/>
              <w:bottom w:w="0" w:type="dxa"/>
              <w:right w:w="85" w:type="dxa"/>
            </w:tcMar>
            <w:vAlign w:val="center"/>
          </w:tcPr>
          <w:p w14:paraId="75D56A98" w14:textId="77777777" w:rsidR="00502238" w:rsidRPr="00FD12D3" w:rsidRDefault="00502238" w:rsidP="00F16E23">
            <w:pPr>
              <w:pStyle w:val="TableText"/>
              <w:spacing w:before="40" w:after="40"/>
              <w:rPr>
                <w:szCs w:val="16"/>
              </w:rPr>
            </w:pPr>
            <w:r w:rsidRPr="00FD12D3">
              <w:rPr>
                <w:rFonts w:eastAsia="Calibri"/>
                <w:szCs w:val="16"/>
              </w:rPr>
              <w:t>4.D.2</w:t>
            </w:r>
          </w:p>
        </w:tc>
        <w:tc>
          <w:tcPr>
            <w:tcW w:w="1985" w:type="dxa"/>
            <w:shd w:val="clear" w:color="auto" w:fill="FFFFFF" w:themeFill="background1"/>
            <w:tcMar>
              <w:top w:w="0" w:type="dxa"/>
              <w:left w:w="85" w:type="dxa"/>
              <w:bottom w:w="0" w:type="dxa"/>
              <w:right w:w="85" w:type="dxa"/>
            </w:tcMar>
            <w:vAlign w:val="center"/>
          </w:tcPr>
          <w:p w14:paraId="1767478D" w14:textId="77777777" w:rsidR="00502238" w:rsidRPr="00FD12D3" w:rsidRDefault="00502238" w:rsidP="00F16E23">
            <w:pPr>
              <w:pStyle w:val="TableText"/>
              <w:spacing w:before="40" w:after="40"/>
              <w:rPr>
                <w:szCs w:val="16"/>
              </w:rPr>
            </w:pPr>
            <w:r w:rsidRPr="00FD12D3">
              <w:rPr>
                <w:rFonts w:eastAsia="Calibri"/>
                <w:szCs w:val="16"/>
              </w:rPr>
              <w:t>Land converted to wetlands/Land converted for peat extraction</w:t>
            </w:r>
          </w:p>
        </w:tc>
        <w:tc>
          <w:tcPr>
            <w:tcW w:w="1134" w:type="dxa"/>
            <w:shd w:val="clear" w:color="auto" w:fill="FFFFFF" w:themeFill="background1"/>
            <w:tcMar>
              <w:top w:w="0" w:type="dxa"/>
              <w:left w:w="85" w:type="dxa"/>
              <w:bottom w:w="0" w:type="dxa"/>
              <w:right w:w="85" w:type="dxa"/>
            </w:tcMar>
            <w:vAlign w:val="center"/>
          </w:tcPr>
          <w:p w14:paraId="7030A949"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p>
        </w:tc>
        <w:tc>
          <w:tcPr>
            <w:tcW w:w="4167" w:type="dxa"/>
            <w:shd w:val="clear" w:color="auto" w:fill="FFFFFF" w:themeFill="background1"/>
            <w:tcMar>
              <w:top w:w="0" w:type="dxa"/>
              <w:left w:w="85" w:type="dxa"/>
              <w:bottom w:w="0" w:type="dxa"/>
              <w:right w:w="85" w:type="dxa"/>
            </w:tcMar>
          </w:tcPr>
          <w:p w14:paraId="15DB5726" w14:textId="77777777" w:rsidR="00502238" w:rsidRPr="00FD12D3" w:rsidRDefault="00502238" w:rsidP="00F16E23">
            <w:pPr>
              <w:pStyle w:val="TableText"/>
              <w:spacing w:before="40" w:after="40"/>
              <w:rPr>
                <w:szCs w:val="16"/>
              </w:rPr>
            </w:pPr>
            <w:r w:rsidRPr="00FD12D3">
              <w:rPr>
                <w:rFonts w:eastAsia="Calibri"/>
                <w:szCs w:val="16"/>
              </w:rPr>
              <w:t>New Zealand does not have activity data available to report on this activity.</w:t>
            </w:r>
          </w:p>
        </w:tc>
      </w:tr>
      <w:tr w:rsidR="00502238" w:rsidRPr="00FD12D3" w14:paraId="2C588010" w14:textId="77777777" w:rsidTr="00F16E23">
        <w:tc>
          <w:tcPr>
            <w:tcW w:w="1276" w:type="dxa"/>
            <w:shd w:val="clear" w:color="auto" w:fill="FFFFFF" w:themeFill="background1"/>
            <w:tcMar>
              <w:top w:w="0" w:type="dxa"/>
              <w:left w:w="85" w:type="dxa"/>
              <w:bottom w:w="0" w:type="dxa"/>
              <w:right w:w="85" w:type="dxa"/>
            </w:tcMar>
            <w:vAlign w:val="center"/>
          </w:tcPr>
          <w:p w14:paraId="2E9B0BCB" w14:textId="77777777" w:rsidR="00502238" w:rsidRPr="00FD12D3" w:rsidRDefault="00502238" w:rsidP="00F16E23">
            <w:pPr>
              <w:pStyle w:val="TableText"/>
              <w:spacing w:before="40" w:after="40"/>
              <w:rPr>
                <w:szCs w:val="16"/>
              </w:rPr>
            </w:pPr>
            <w:r w:rsidRPr="00FD12D3">
              <w:rPr>
                <w:rFonts w:eastAsia="Calibri"/>
                <w:szCs w:val="16"/>
              </w:rPr>
              <w:t>4.E.2</w:t>
            </w:r>
          </w:p>
        </w:tc>
        <w:tc>
          <w:tcPr>
            <w:tcW w:w="1985" w:type="dxa"/>
            <w:shd w:val="clear" w:color="auto" w:fill="FFFFFF" w:themeFill="background1"/>
            <w:tcMar>
              <w:top w:w="0" w:type="dxa"/>
              <w:left w:w="85" w:type="dxa"/>
              <w:bottom w:w="0" w:type="dxa"/>
              <w:right w:w="85" w:type="dxa"/>
            </w:tcMar>
            <w:vAlign w:val="center"/>
          </w:tcPr>
          <w:p w14:paraId="0D2037DA" w14:textId="77777777" w:rsidR="00502238" w:rsidRPr="00FD12D3" w:rsidRDefault="00502238" w:rsidP="00F16E23">
            <w:pPr>
              <w:pStyle w:val="TableText"/>
              <w:spacing w:before="40" w:after="40"/>
              <w:rPr>
                <w:szCs w:val="16"/>
              </w:rPr>
            </w:pPr>
            <w:r w:rsidRPr="00FD12D3">
              <w:rPr>
                <w:rFonts w:eastAsia="Calibri"/>
                <w:szCs w:val="16"/>
              </w:rPr>
              <w:t>Land converted to settlements</w:t>
            </w:r>
          </w:p>
        </w:tc>
        <w:tc>
          <w:tcPr>
            <w:tcW w:w="1134" w:type="dxa"/>
            <w:shd w:val="clear" w:color="auto" w:fill="FFFFFF" w:themeFill="background1"/>
            <w:tcMar>
              <w:top w:w="0" w:type="dxa"/>
              <w:left w:w="85" w:type="dxa"/>
              <w:bottom w:w="0" w:type="dxa"/>
              <w:right w:w="85" w:type="dxa"/>
            </w:tcMar>
            <w:vAlign w:val="center"/>
          </w:tcPr>
          <w:p w14:paraId="280B5627"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p>
        </w:tc>
        <w:tc>
          <w:tcPr>
            <w:tcW w:w="4167" w:type="dxa"/>
            <w:shd w:val="clear" w:color="auto" w:fill="FFFFFF" w:themeFill="background1"/>
            <w:tcMar>
              <w:top w:w="0" w:type="dxa"/>
              <w:left w:w="85" w:type="dxa"/>
              <w:bottom w:w="0" w:type="dxa"/>
              <w:right w:w="85" w:type="dxa"/>
            </w:tcMar>
          </w:tcPr>
          <w:p w14:paraId="55F4D33C" w14:textId="77777777" w:rsidR="00502238" w:rsidRPr="00FD12D3" w:rsidRDefault="00502238" w:rsidP="00F16E23">
            <w:pPr>
              <w:pStyle w:val="TableText"/>
              <w:spacing w:before="40" w:after="40"/>
              <w:rPr>
                <w:szCs w:val="16"/>
              </w:rPr>
            </w:pPr>
            <w:r w:rsidRPr="00FD12D3">
              <w:rPr>
                <w:rFonts w:eastAsia="Calibri"/>
                <w:szCs w:val="16"/>
              </w:rPr>
              <w:t>This category is not mandatory. No IPCC guidance is provided for calculating Tier 1 estimates of carbon stock changes in organic soils for this land use category. Therefore, with land-use change to or from this land use on organic soils, New Zealand reports the notation key ‘NE’ (not estimated).</w:t>
            </w:r>
          </w:p>
        </w:tc>
      </w:tr>
      <w:tr w:rsidR="00502238" w:rsidRPr="00FD12D3" w14:paraId="3DA9DD21" w14:textId="77777777" w:rsidTr="00F16E23">
        <w:tc>
          <w:tcPr>
            <w:tcW w:w="1276" w:type="dxa"/>
            <w:shd w:val="clear" w:color="auto" w:fill="FFFFFF" w:themeFill="background1"/>
            <w:tcMar>
              <w:top w:w="0" w:type="dxa"/>
              <w:left w:w="85" w:type="dxa"/>
              <w:bottom w:w="0" w:type="dxa"/>
              <w:right w:w="85" w:type="dxa"/>
            </w:tcMar>
            <w:vAlign w:val="center"/>
          </w:tcPr>
          <w:p w14:paraId="5A35A26E" w14:textId="77777777" w:rsidR="00502238" w:rsidRPr="00FD12D3" w:rsidRDefault="00502238" w:rsidP="00F16E23">
            <w:pPr>
              <w:pStyle w:val="TableText"/>
              <w:spacing w:before="40" w:after="40"/>
              <w:rPr>
                <w:szCs w:val="16"/>
              </w:rPr>
            </w:pPr>
            <w:r w:rsidRPr="00FD12D3">
              <w:rPr>
                <w:rFonts w:eastAsia="Calibri"/>
                <w:szCs w:val="16"/>
              </w:rPr>
              <w:t>4.F</w:t>
            </w:r>
          </w:p>
        </w:tc>
        <w:tc>
          <w:tcPr>
            <w:tcW w:w="1985" w:type="dxa"/>
            <w:shd w:val="clear" w:color="auto" w:fill="FFFFFF" w:themeFill="background1"/>
            <w:tcMar>
              <w:top w:w="0" w:type="dxa"/>
              <w:left w:w="85" w:type="dxa"/>
              <w:bottom w:w="0" w:type="dxa"/>
              <w:right w:w="85" w:type="dxa"/>
            </w:tcMar>
            <w:vAlign w:val="center"/>
          </w:tcPr>
          <w:p w14:paraId="56A52DC7" w14:textId="77777777" w:rsidR="00502238" w:rsidRPr="00FD12D3" w:rsidRDefault="00502238" w:rsidP="00F16E23">
            <w:pPr>
              <w:pStyle w:val="TableText"/>
              <w:spacing w:before="40" w:after="40"/>
              <w:rPr>
                <w:szCs w:val="16"/>
              </w:rPr>
            </w:pPr>
            <w:r w:rsidRPr="00FD12D3">
              <w:rPr>
                <w:rFonts w:eastAsia="Calibri"/>
                <w:szCs w:val="16"/>
              </w:rPr>
              <w:t>4.F Other land/4(V) Biomass burning/Land converted to other land</w:t>
            </w:r>
          </w:p>
        </w:tc>
        <w:tc>
          <w:tcPr>
            <w:tcW w:w="1134" w:type="dxa"/>
            <w:shd w:val="clear" w:color="auto" w:fill="FFFFFF" w:themeFill="background1"/>
            <w:tcMar>
              <w:top w:w="0" w:type="dxa"/>
              <w:left w:w="85" w:type="dxa"/>
              <w:bottom w:w="0" w:type="dxa"/>
              <w:right w:w="85" w:type="dxa"/>
            </w:tcMar>
            <w:vAlign w:val="center"/>
          </w:tcPr>
          <w:p w14:paraId="19DA00A4"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r w:rsidRPr="00FD12D3">
              <w:rPr>
                <w:rFonts w:eastAsia="Calibri"/>
                <w:color w:val="000000" w:themeColor="text1"/>
                <w:szCs w:val="16"/>
              </w:rPr>
              <w:t>, N</w:t>
            </w:r>
            <w:r w:rsidRPr="00FD12D3">
              <w:rPr>
                <w:rFonts w:eastAsia="Calibri"/>
                <w:color w:val="000000" w:themeColor="text1"/>
                <w:szCs w:val="16"/>
                <w:vertAlign w:val="subscript"/>
              </w:rPr>
              <w:t>2</w:t>
            </w:r>
            <w:r w:rsidRPr="00FD12D3">
              <w:rPr>
                <w:rFonts w:eastAsia="Calibri"/>
                <w:color w:val="000000" w:themeColor="text1"/>
                <w:szCs w:val="16"/>
              </w:rPr>
              <w:t>O</w:t>
            </w:r>
          </w:p>
        </w:tc>
        <w:tc>
          <w:tcPr>
            <w:tcW w:w="4167" w:type="dxa"/>
            <w:shd w:val="clear" w:color="auto" w:fill="FFFFFF" w:themeFill="background1"/>
            <w:tcMar>
              <w:top w:w="0" w:type="dxa"/>
              <w:left w:w="85" w:type="dxa"/>
              <w:bottom w:w="0" w:type="dxa"/>
              <w:right w:w="85" w:type="dxa"/>
            </w:tcMar>
          </w:tcPr>
          <w:p w14:paraId="5B5742C8" w14:textId="77777777" w:rsidR="00502238" w:rsidRPr="00FD12D3" w:rsidRDefault="00502238" w:rsidP="00F16E23">
            <w:pPr>
              <w:pStyle w:val="TableText"/>
              <w:spacing w:before="40" w:after="40"/>
              <w:rPr>
                <w:szCs w:val="16"/>
              </w:rPr>
            </w:pPr>
            <w:r w:rsidRPr="00FD12D3">
              <w:rPr>
                <w:rFonts w:eastAsia="Calibri"/>
                <w:szCs w:val="16"/>
              </w:rPr>
              <w:t>This is a relatively minor activity in New Zealand due to the country’s temperate climate and rainfall distribution, and there is currently insufficient information to reliably report on it.</w:t>
            </w:r>
          </w:p>
        </w:tc>
      </w:tr>
      <w:tr w:rsidR="00502238" w:rsidRPr="00FD12D3" w14:paraId="2BBB8FCF" w14:textId="77777777" w:rsidTr="00E27ACB">
        <w:tc>
          <w:tcPr>
            <w:tcW w:w="1276" w:type="dxa"/>
            <w:tcBorders>
              <w:bottom w:val="single" w:sz="4" w:space="0" w:color="1B556B" w:themeColor="text2"/>
            </w:tcBorders>
            <w:shd w:val="clear" w:color="auto" w:fill="FFFFFF" w:themeFill="background1"/>
            <w:tcMar>
              <w:top w:w="0" w:type="dxa"/>
              <w:left w:w="85" w:type="dxa"/>
              <w:bottom w:w="0" w:type="dxa"/>
              <w:right w:w="85" w:type="dxa"/>
            </w:tcMar>
            <w:vAlign w:val="center"/>
          </w:tcPr>
          <w:p w14:paraId="38951919" w14:textId="77777777" w:rsidR="00502238" w:rsidRPr="00FD12D3" w:rsidRDefault="00502238" w:rsidP="00F16E23">
            <w:pPr>
              <w:pStyle w:val="TableText"/>
              <w:spacing w:before="40" w:after="40"/>
              <w:rPr>
                <w:szCs w:val="16"/>
              </w:rPr>
            </w:pPr>
            <w:r w:rsidRPr="00FD12D3">
              <w:rPr>
                <w:rFonts w:eastAsia="Calibri"/>
                <w:szCs w:val="16"/>
              </w:rPr>
              <w:t>4.F.2</w:t>
            </w:r>
          </w:p>
        </w:tc>
        <w:tc>
          <w:tcPr>
            <w:tcW w:w="1985" w:type="dxa"/>
            <w:tcBorders>
              <w:bottom w:val="single" w:sz="4" w:space="0" w:color="1B556B" w:themeColor="text2"/>
            </w:tcBorders>
            <w:shd w:val="clear" w:color="auto" w:fill="FFFFFF" w:themeFill="background1"/>
            <w:tcMar>
              <w:top w:w="0" w:type="dxa"/>
              <w:left w:w="85" w:type="dxa"/>
              <w:bottom w:w="0" w:type="dxa"/>
              <w:right w:w="85" w:type="dxa"/>
            </w:tcMar>
            <w:vAlign w:val="center"/>
          </w:tcPr>
          <w:p w14:paraId="4AF0B351" w14:textId="77777777" w:rsidR="00502238" w:rsidRPr="00FD12D3" w:rsidRDefault="00502238" w:rsidP="00F16E23">
            <w:pPr>
              <w:pStyle w:val="TableText"/>
              <w:spacing w:before="40" w:after="40"/>
              <w:rPr>
                <w:szCs w:val="16"/>
              </w:rPr>
            </w:pPr>
            <w:r w:rsidRPr="00FD12D3">
              <w:rPr>
                <w:rFonts w:eastAsia="Calibri"/>
                <w:szCs w:val="16"/>
              </w:rPr>
              <w:t>Land converted to other land</w:t>
            </w:r>
          </w:p>
        </w:tc>
        <w:tc>
          <w:tcPr>
            <w:tcW w:w="1134" w:type="dxa"/>
            <w:tcBorders>
              <w:bottom w:val="single" w:sz="4" w:space="0" w:color="1B556B" w:themeColor="text2"/>
            </w:tcBorders>
            <w:shd w:val="clear" w:color="auto" w:fill="FFFFFF" w:themeFill="background1"/>
            <w:tcMar>
              <w:top w:w="0" w:type="dxa"/>
              <w:left w:w="85" w:type="dxa"/>
              <w:bottom w:w="0" w:type="dxa"/>
              <w:right w:w="85" w:type="dxa"/>
            </w:tcMar>
            <w:vAlign w:val="center"/>
          </w:tcPr>
          <w:p w14:paraId="0F1BFF19"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p>
        </w:tc>
        <w:tc>
          <w:tcPr>
            <w:tcW w:w="4167" w:type="dxa"/>
            <w:tcBorders>
              <w:bottom w:val="single" w:sz="4" w:space="0" w:color="1B556B" w:themeColor="text2"/>
            </w:tcBorders>
            <w:shd w:val="clear" w:color="auto" w:fill="FFFFFF" w:themeFill="background1"/>
            <w:tcMar>
              <w:top w:w="0" w:type="dxa"/>
              <w:left w:w="85" w:type="dxa"/>
              <w:bottom w:w="0" w:type="dxa"/>
              <w:right w:w="85" w:type="dxa"/>
            </w:tcMar>
          </w:tcPr>
          <w:p w14:paraId="40161F4C" w14:textId="77777777" w:rsidR="00502238" w:rsidRPr="00FD12D3" w:rsidRDefault="00502238" w:rsidP="00F16E23">
            <w:pPr>
              <w:pStyle w:val="TableText"/>
              <w:spacing w:before="40" w:after="40"/>
              <w:rPr>
                <w:szCs w:val="16"/>
              </w:rPr>
            </w:pPr>
            <w:r w:rsidRPr="00FD12D3">
              <w:rPr>
                <w:rFonts w:eastAsia="Calibri"/>
                <w:szCs w:val="16"/>
              </w:rPr>
              <w:t>This category is not mandatory. No IPCC guidance is provided for calculating Tier 1 estimates of carbon stock changes in organic soils for this land use category. Therefore, with land-use change to or from this land use on organic soils, New Zealand reports the notation key NE.</w:t>
            </w:r>
          </w:p>
        </w:tc>
      </w:tr>
      <w:tr w:rsidR="00502238" w:rsidRPr="00FD12D3" w14:paraId="0756C72A" w14:textId="77777777" w:rsidTr="00E27ACB">
        <w:tc>
          <w:tcPr>
            <w:tcW w:w="1276" w:type="dxa"/>
            <w:tcBorders>
              <w:top w:val="single" w:sz="4" w:space="0" w:color="1B556B" w:themeColor="text2"/>
              <w:bottom w:val="single" w:sz="4" w:space="0" w:color="1B556B" w:themeColor="text2"/>
            </w:tcBorders>
            <w:shd w:val="clear" w:color="auto" w:fill="FFFFFF" w:themeFill="background1"/>
            <w:tcMar>
              <w:top w:w="0" w:type="dxa"/>
              <w:left w:w="85" w:type="dxa"/>
              <w:bottom w:w="0" w:type="dxa"/>
              <w:right w:w="85" w:type="dxa"/>
            </w:tcMar>
            <w:vAlign w:val="center"/>
          </w:tcPr>
          <w:p w14:paraId="5588D2F0" w14:textId="77777777" w:rsidR="00502238" w:rsidRPr="00FD12D3" w:rsidRDefault="00502238" w:rsidP="00F16E23">
            <w:pPr>
              <w:pStyle w:val="TableText"/>
              <w:spacing w:before="40" w:after="40"/>
              <w:rPr>
                <w:b/>
                <w:bCs/>
                <w:szCs w:val="16"/>
              </w:rPr>
            </w:pPr>
            <w:r w:rsidRPr="00FD12D3">
              <w:rPr>
                <w:rFonts w:eastAsia="Calibri"/>
                <w:b/>
                <w:bCs/>
                <w:szCs w:val="16"/>
              </w:rPr>
              <w:t>Waste</w:t>
            </w:r>
          </w:p>
        </w:tc>
        <w:tc>
          <w:tcPr>
            <w:tcW w:w="1985" w:type="dxa"/>
            <w:tcBorders>
              <w:top w:val="single" w:sz="4" w:space="0" w:color="1B556B" w:themeColor="text2"/>
              <w:bottom w:val="single" w:sz="4" w:space="0" w:color="1B556B" w:themeColor="text2"/>
            </w:tcBorders>
            <w:shd w:val="clear" w:color="auto" w:fill="FFFFFF" w:themeFill="background1"/>
            <w:tcMar>
              <w:top w:w="0" w:type="dxa"/>
              <w:left w:w="85" w:type="dxa"/>
              <w:bottom w:w="0" w:type="dxa"/>
              <w:right w:w="85" w:type="dxa"/>
            </w:tcMar>
            <w:vAlign w:val="center"/>
          </w:tcPr>
          <w:p w14:paraId="7D1119C0" w14:textId="77777777" w:rsidR="00502238" w:rsidRPr="00FD12D3" w:rsidRDefault="00502238" w:rsidP="00F16E23">
            <w:pPr>
              <w:pStyle w:val="TableText"/>
              <w:spacing w:before="40" w:after="40"/>
              <w:rPr>
                <w:b/>
                <w:bCs/>
                <w:szCs w:val="16"/>
              </w:rPr>
            </w:pPr>
          </w:p>
        </w:tc>
        <w:tc>
          <w:tcPr>
            <w:tcW w:w="1134" w:type="dxa"/>
            <w:tcBorders>
              <w:top w:val="single" w:sz="4" w:space="0" w:color="1B556B" w:themeColor="text2"/>
              <w:bottom w:val="single" w:sz="4" w:space="0" w:color="1B556B" w:themeColor="text2"/>
            </w:tcBorders>
            <w:shd w:val="clear" w:color="auto" w:fill="FFFFFF" w:themeFill="background1"/>
            <w:tcMar>
              <w:top w:w="0" w:type="dxa"/>
              <w:left w:w="85" w:type="dxa"/>
              <w:bottom w:w="0" w:type="dxa"/>
              <w:right w:w="85" w:type="dxa"/>
            </w:tcMar>
            <w:vAlign w:val="center"/>
          </w:tcPr>
          <w:p w14:paraId="1415CF6B" w14:textId="77777777" w:rsidR="00502238" w:rsidRPr="00FD12D3" w:rsidRDefault="00502238" w:rsidP="00F16E23">
            <w:pPr>
              <w:pStyle w:val="TableText"/>
              <w:spacing w:before="40" w:after="40"/>
              <w:rPr>
                <w:b/>
                <w:bCs/>
                <w:szCs w:val="16"/>
              </w:rPr>
            </w:pPr>
          </w:p>
        </w:tc>
        <w:tc>
          <w:tcPr>
            <w:tcW w:w="4167" w:type="dxa"/>
            <w:tcBorders>
              <w:top w:val="single" w:sz="4" w:space="0" w:color="1B556B" w:themeColor="text2"/>
              <w:bottom w:val="single" w:sz="4" w:space="0" w:color="1B556B" w:themeColor="text2"/>
            </w:tcBorders>
            <w:shd w:val="clear" w:color="auto" w:fill="FFFFFF" w:themeFill="background1"/>
            <w:tcMar>
              <w:top w:w="0" w:type="dxa"/>
              <w:left w:w="85" w:type="dxa"/>
              <w:bottom w:w="0" w:type="dxa"/>
              <w:right w:w="85" w:type="dxa"/>
            </w:tcMar>
          </w:tcPr>
          <w:p w14:paraId="23C2E84E" w14:textId="77777777" w:rsidR="00502238" w:rsidRPr="00FD12D3" w:rsidRDefault="00502238" w:rsidP="00F16E23">
            <w:pPr>
              <w:pStyle w:val="TableText"/>
              <w:spacing w:before="40" w:after="40"/>
              <w:rPr>
                <w:b/>
                <w:bCs/>
                <w:szCs w:val="16"/>
              </w:rPr>
            </w:pPr>
          </w:p>
        </w:tc>
      </w:tr>
      <w:tr w:rsidR="00502238" w:rsidRPr="00FD12D3" w14:paraId="1FF3296C" w14:textId="77777777" w:rsidTr="00E27ACB">
        <w:tc>
          <w:tcPr>
            <w:tcW w:w="1276" w:type="dxa"/>
            <w:tcBorders>
              <w:top w:val="single" w:sz="4" w:space="0" w:color="1B556B" w:themeColor="text2"/>
            </w:tcBorders>
            <w:shd w:val="clear" w:color="auto" w:fill="FFFFFF" w:themeFill="background1"/>
            <w:tcMar>
              <w:top w:w="0" w:type="dxa"/>
              <w:left w:w="85" w:type="dxa"/>
              <w:bottom w:w="0" w:type="dxa"/>
              <w:right w:w="85" w:type="dxa"/>
            </w:tcMar>
            <w:vAlign w:val="center"/>
          </w:tcPr>
          <w:p w14:paraId="27234D08" w14:textId="77777777" w:rsidR="00502238" w:rsidRPr="00FD12D3" w:rsidRDefault="00502238" w:rsidP="00F16E23">
            <w:pPr>
              <w:pStyle w:val="TableText"/>
              <w:spacing w:before="40" w:after="40"/>
              <w:rPr>
                <w:szCs w:val="16"/>
              </w:rPr>
            </w:pPr>
            <w:r w:rsidRPr="00FD12D3">
              <w:rPr>
                <w:rFonts w:eastAsia="Calibri"/>
                <w:szCs w:val="16"/>
              </w:rPr>
              <w:t>5.B.2.a</w:t>
            </w:r>
          </w:p>
        </w:tc>
        <w:tc>
          <w:tcPr>
            <w:tcW w:w="1985" w:type="dxa"/>
            <w:tcBorders>
              <w:top w:val="single" w:sz="4" w:space="0" w:color="1B556B" w:themeColor="text2"/>
            </w:tcBorders>
            <w:shd w:val="clear" w:color="auto" w:fill="FFFFFF" w:themeFill="background1"/>
            <w:tcMar>
              <w:top w:w="0" w:type="dxa"/>
              <w:left w:w="85" w:type="dxa"/>
              <w:bottom w:w="0" w:type="dxa"/>
              <w:right w:w="85" w:type="dxa"/>
            </w:tcMar>
            <w:vAlign w:val="center"/>
          </w:tcPr>
          <w:p w14:paraId="104EFD48" w14:textId="77777777" w:rsidR="00502238" w:rsidRPr="00FD12D3" w:rsidRDefault="00502238" w:rsidP="00F16E23">
            <w:pPr>
              <w:pStyle w:val="TableText"/>
              <w:spacing w:before="40" w:after="40"/>
              <w:rPr>
                <w:rFonts w:eastAsia="Calibri"/>
                <w:color w:val="000000" w:themeColor="text1"/>
                <w:szCs w:val="16"/>
              </w:rPr>
            </w:pPr>
            <w:r w:rsidRPr="00FD12D3">
              <w:rPr>
                <w:rFonts w:eastAsia="Calibri"/>
                <w:color w:val="000000" w:themeColor="text1"/>
                <w:szCs w:val="16"/>
              </w:rPr>
              <w:t>Anaerobic digestion at biogas facilities</w:t>
            </w:r>
          </w:p>
        </w:tc>
        <w:tc>
          <w:tcPr>
            <w:tcW w:w="1134" w:type="dxa"/>
            <w:tcBorders>
              <w:top w:val="single" w:sz="4" w:space="0" w:color="1B556B" w:themeColor="text2"/>
            </w:tcBorders>
            <w:shd w:val="clear" w:color="auto" w:fill="FFFFFF" w:themeFill="background1"/>
            <w:tcMar>
              <w:top w:w="0" w:type="dxa"/>
              <w:left w:w="85" w:type="dxa"/>
              <w:bottom w:w="0" w:type="dxa"/>
              <w:right w:w="85" w:type="dxa"/>
            </w:tcMar>
            <w:vAlign w:val="center"/>
          </w:tcPr>
          <w:p w14:paraId="415770AC" w14:textId="77777777" w:rsidR="00502238" w:rsidRPr="00FD12D3" w:rsidRDefault="00502238" w:rsidP="00F16E23">
            <w:pPr>
              <w:pStyle w:val="TableText"/>
              <w:spacing w:before="40" w:after="40"/>
              <w:rPr>
                <w:szCs w:val="16"/>
              </w:rPr>
            </w:pPr>
            <w:r w:rsidRPr="00FD12D3">
              <w:rPr>
                <w:rFonts w:eastAsia="Calibri"/>
                <w:color w:val="000000" w:themeColor="text1"/>
                <w:szCs w:val="16"/>
              </w:rPr>
              <w:t>N</w:t>
            </w:r>
            <w:r w:rsidRPr="00FD12D3">
              <w:rPr>
                <w:rFonts w:eastAsia="Calibri"/>
                <w:color w:val="000000" w:themeColor="text1"/>
                <w:szCs w:val="16"/>
                <w:vertAlign w:val="subscript"/>
              </w:rPr>
              <w:t>2</w:t>
            </w:r>
            <w:r w:rsidRPr="00FD12D3">
              <w:rPr>
                <w:rFonts w:eastAsia="Calibri"/>
                <w:color w:val="000000" w:themeColor="text1"/>
                <w:szCs w:val="16"/>
              </w:rPr>
              <w:t>O, amount of CH</w:t>
            </w:r>
            <w:r w:rsidRPr="00FD12D3">
              <w:rPr>
                <w:rFonts w:eastAsia="Calibri"/>
                <w:color w:val="000000" w:themeColor="text1"/>
                <w:szCs w:val="16"/>
                <w:vertAlign w:val="subscript"/>
              </w:rPr>
              <w:t>4</w:t>
            </w:r>
            <w:r w:rsidRPr="00FD12D3">
              <w:rPr>
                <w:rFonts w:eastAsia="Calibri"/>
                <w:color w:val="000000" w:themeColor="text1"/>
                <w:szCs w:val="16"/>
              </w:rPr>
              <w:t xml:space="preserve"> flared and for energy recovery</w:t>
            </w:r>
          </w:p>
        </w:tc>
        <w:tc>
          <w:tcPr>
            <w:tcW w:w="4167" w:type="dxa"/>
            <w:tcBorders>
              <w:top w:val="single" w:sz="4" w:space="0" w:color="1B556B" w:themeColor="text2"/>
            </w:tcBorders>
            <w:shd w:val="clear" w:color="auto" w:fill="FFFFFF" w:themeFill="background1"/>
            <w:tcMar>
              <w:top w:w="0" w:type="dxa"/>
              <w:left w:w="85" w:type="dxa"/>
              <w:bottom w:w="0" w:type="dxa"/>
              <w:right w:w="85" w:type="dxa"/>
            </w:tcMar>
          </w:tcPr>
          <w:p w14:paraId="528A5531" w14:textId="77777777" w:rsidR="00502238" w:rsidRPr="00FD12D3" w:rsidRDefault="00502238" w:rsidP="00F16E23">
            <w:pPr>
              <w:pStyle w:val="TableText"/>
              <w:spacing w:before="40" w:after="40"/>
              <w:rPr>
                <w:szCs w:val="16"/>
              </w:rPr>
            </w:pPr>
            <w:r w:rsidRPr="00FD12D3">
              <w:rPr>
                <w:rFonts w:eastAsia="Calibri"/>
                <w:szCs w:val="16"/>
              </w:rPr>
              <w:t>In October 2022, New Zealand’s first large-scale anaerobic digestion plant began operations, with the capacity to process up to 75,000 tonnes of food scraps annually. Methane that is flared does not contribute to New Zealand’s total greenhouse gas emissions, because it is converted to biogenic CO₂. Nitrous oxide (N₂O) emissions are considered negligible, in accordance with section 4.1.1 and table 4.1 of the 2006 IPCC Guidelines (IPCC, 2006e). Data on energy recovery is unavailable due to commercial sensitivity.</w:t>
            </w:r>
          </w:p>
        </w:tc>
      </w:tr>
      <w:tr w:rsidR="00502238" w:rsidRPr="00FD12D3" w14:paraId="3BFC1A64" w14:textId="77777777" w:rsidTr="00F16E23">
        <w:tc>
          <w:tcPr>
            <w:tcW w:w="1276" w:type="dxa"/>
            <w:shd w:val="clear" w:color="auto" w:fill="FFFFFF" w:themeFill="background1"/>
            <w:tcMar>
              <w:top w:w="0" w:type="dxa"/>
              <w:left w:w="85" w:type="dxa"/>
              <w:bottom w:w="0" w:type="dxa"/>
              <w:right w:w="85" w:type="dxa"/>
            </w:tcMar>
            <w:vAlign w:val="center"/>
          </w:tcPr>
          <w:p w14:paraId="4E88C7EF" w14:textId="77777777" w:rsidR="00502238" w:rsidRPr="00FD12D3" w:rsidRDefault="00502238" w:rsidP="00F16E23">
            <w:pPr>
              <w:pStyle w:val="TableText"/>
              <w:spacing w:before="40" w:after="40"/>
              <w:rPr>
                <w:szCs w:val="16"/>
              </w:rPr>
            </w:pPr>
            <w:r w:rsidRPr="00FD12D3">
              <w:rPr>
                <w:rFonts w:eastAsia="Calibri"/>
                <w:szCs w:val="16"/>
              </w:rPr>
              <w:t>5.C.1.2.a</w:t>
            </w:r>
          </w:p>
        </w:tc>
        <w:tc>
          <w:tcPr>
            <w:tcW w:w="1985" w:type="dxa"/>
            <w:shd w:val="clear" w:color="auto" w:fill="FFFFFF" w:themeFill="background1"/>
            <w:tcMar>
              <w:top w:w="0" w:type="dxa"/>
              <w:left w:w="85" w:type="dxa"/>
              <w:bottom w:w="0" w:type="dxa"/>
              <w:right w:w="85" w:type="dxa"/>
            </w:tcMar>
            <w:vAlign w:val="center"/>
          </w:tcPr>
          <w:p w14:paraId="706B0266" w14:textId="77777777" w:rsidR="00502238" w:rsidRPr="00FD12D3" w:rsidRDefault="00502238" w:rsidP="00F16E23">
            <w:pPr>
              <w:pStyle w:val="TableText"/>
              <w:spacing w:before="40" w:after="40"/>
              <w:rPr>
                <w:rFonts w:eastAsia="Calibri"/>
                <w:color w:val="000000" w:themeColor="text1"/>
                <w:szCs w:val="16"/>
              </w:rPr>
            </w:pPr>
            <w:r w:rsidRPr="00FD12D3">
              <w:rPr>
                <w:rFonts w:eastAsia="Calibri"/>
                <w:color w:val="000000" w:themeColor="text1"/>
                <w:szCs w:val="16"/>
              </w:rPr>
              <w:t>Waste incineration</w:t>
            </w:r>
          </w:p>
        </w:tc>
        <w:tc>
          <w:tcPr>
            <w:tcW w:w="1134" w:type="dxa"/>
            <w:shd w:val="clear" w:color="auto" w:fill="FFFFFF" w:themeFill="background1"/>
            <w:tcMar>
              <w:top w:w="0" w:type="dxa"/>
              <w:left w:w="85" w:type="dxa"/>
              <w:bottom w:w="0" w:type="dxa"/>
              <w:right w:w="85" w:type="dxa"/>
            </w:tcMar>
            <w:vAlign w:val="center"/>
          </w:tcPr>
          <w:p w14:paraId="5447F671" w14:textId="77777777" w:rsidR="00502238" w:rsidRPr="00FD12D3" w:rsidRDefault="00502238" w:rsidP="00F16E23">
            <w:pPr>
              <w:pStyle w:val="TableText"/>
              <w:spacing w:before="40" w:after="40"/>
              <w:rPr>
                <w:szCs w:val="16"/>
              </w:rPr>
            </w:pPr>
            <w:r w:rsidRPr="00FD12D3">
              <w:rPr>
                <w:rFonts w:eastAsia="Calibri"/>
                <w:color w:val="000000" w:themeColor="text1"/>
                <w:szCs w:val="16"/>
              </w:rPr>
              <w:t>CO</w:t>
            </w:r>
            <w:r w:rsidRPr="00FD12D3">
              <w:rPr>
                <w:rFonts w:eastAsia="Calibri"/>
                <w:color w:val="000000" w:themeColor="text1"/>
                <w:szCs w:val="16"/>
                <w:vertAlign w:val="subscript"/>
              </w:rPr>
              <w:t>2</w:t>
            </w:r>
            <w:r w:rsidRPr="00FD12D3">
              <w:rPr>
                <w:rFonts w:eastAsia="Calibri"/>
                <w:color w:val="000000" w:themeColor="text1"/>
                <w:szCs w:val="16"/>
              </w:rPr>
              <w:t>, CH</w:t>
            </w:r>
            <w:r w:rsidRPr="00FD12D3">
              <w:rPr>
                <w:rFonts w:eastAsia="Calibri"/>
                <w:color w:val="000000" w:themeColor="text1"/>
                <w:szCs w:val="16"/>
                <w:vertAlign w:val="subscript"/>
              </w:rPr>
              <w:t>4</w:t>
            </w:r>
            <w:r w:rsidRPr="00FD12D3">
              <w:rPr>
                <w:rFonts w:eastAsia="Calibri"/>
                <w:color w:val="000000" w:themeColor="text1"/>
                <w:szCs w:val="16"/>
              </w:rPr>
              <w:t xml:space="preserve"> and N</w:t>
            </w:r>
            <w:r w:rsidRPr="00FD12D3">
              <w:rPr>
                <w:rFonts w:eastAsia="Calibri"/>
                <w:color w:val="000000" w:themeColor="text1"/>
                <w:szCs w:val="16"/>
                <w:vertAlign w:val="subscript"/>
              </w:rPr>
              <w:t>2</w:t>
            </w:r>
            <w:r w:rsidRPr="00FD12D3">
              <w:rPr>
                <w:rFonts w:eastAsia="Calibri"/>
                <w:color w:val="000000" w:themeColor="text1"/>
                <w:szCs w:val="16"/>
              </w:rPr>
              <w:t>O</w:t>
            </w:r>
          </w:p>
        </w:tc>
        <w:tc>
          <w:tcPr>
            <w:tcW w:w="4167" w:type="dxa"/>
            <w:shd w:val="clear" w:color="auto" w:fill="FFFFFF" w:themeFill="background1"/>
            <w:tcMar>
              <w:top w:w="0" w:type="dxa"/>
              <w:left w:w="85" w:type="dxa"/>
              <w:bottom w:w="0" w:type="dxa"/>
              <w:right w:w="85" w:type="dxa"/>
            </w:tcMar>
          </w:tcPr>
          <w:p w14:paraId="67C642C3" w14:textId="77777777" w:rsidR="00502238" w:rsidRPr="00FD12D3" w:rsidRDefault="00502238" w:rsidP="00F16E23">
            <w:pPr>
              <w:pStyle w:val="TableText"/>
              <w:spacing w:before="40" w:after="40"/>
              <w:rPr>
                <w:szCs w:val="16"/>
              </w:rPr>
            </w:pPr>
            <w:r w:rsidRPr="00FD12D3">
              <w:rPr>
                <w:rFonts w:eastAsia="Calibri"/>
                <w:szCs w:val="16"/>
              </w:rPr>
              <w:t>In accordance with chapter II of the Annex to the decision 18/CMA.1 (UNFCCC, 2018b), this category is not mandatory. Around 100–200 rural schools in New Zealand still incinerate their waste production. Emissions are not estimated because New Zealand does not have sufficient information regarding the practice of incinerating waste in schools.</w:t>
            </w:r>
          </w:p>
        </w:tc>
      </w:tr>
      <w:tr w:rsidR="00502238" w:rsidRPr="00FD12D3" w14:paraId="0C614DF9" w14:textId="77777777" w:rsidTr="00F16E23">
        <w:tc>
          <w:tcPr>
            <w:tcW w:w="1276" w:type="dxa"/>
            <w:shd w:val="clear" w:color="auto" w:fill="FFFFFF" w:themeFill="background1"/>
            <w:tcMar>
              <w:top w:w="0" w:type="dxa"/>
              <w:left w:w="85" w:type="dxa"/>
              <w:bottom w:w="0" w:type="dxa"/>
              <w:right w:w="85" w:type="dxa"/>
            </w:tcMar>
            <w:vAlign w:val="center"/>
          </w:tcPr>
          <w:p w14:paraId="518D4937" w14:textId="77777777" w:rsidR="00502238" w:rsidRPr="00FD12D3" w:rsidRDefault="00502238" w:rsidP="00F16E23">
            <w:pPr>
              <w:pStyle w:val="TableText"/>
              <w:spacing w:before="40" w:after="40"/>
              <w:rPr>
                <w:szCs w:val="16"/>
              </w:rPr>
            </w:pPr>
            <w:r w:rsidRPr="00FD12D3">
              <w:rPr>
                <w:rFonts w:eastAsia="Calibri"/>
                <w:szCs w:val="16"/>
              </w:rPr>
              <w:t>5.D.1 and 5.D.2</w:t>
            </w:r>
          </w:p>
        </w:tc>
        <w:tc>
          <w:tcPr>
            <w:tcW w:w="1985" w:type="dxa"/>
            <w:shd w:val="clear" w:color="auto" w:fill="FFFFFF" w:themeFill="background1"/>
            <w:tcMar>
              <w:top w:w="0" w:type="dxa"/>
              <w:left w:w="85" w:type="dxa"/>
              <w:bottom w:w="0" w:type="dxa"/>
              <w:right w:w="85" w:type="dxa"/>
            </w:tcMar>
            <w:vAlign w:val="center"/>
          </w:tcPr>
          <w:p w14:paraId="343EA97C" w14:textId="77777777" w:rsidR="00502238" w:rsidRPr="00FD12D3" w:rsidRDefault="00502238" w:rsidP="00F16E23">
            <w:pPr>
              <w:pStyle w:val="TableText"/>
              <w:spacing w:before="40" w:after="40"/>
              <w:rPr>
                <w:szCs w:val="16"/>
              </w:rPr>
            </w:pPr>
            <w:r w:rsidRPr="00FD12D3">
              <w:rPr>
                <w:rFonts w:eastAsia="Calibri"/>
                <w:szCs w:val="16"/>
              </w:rPr>
              <w:t>Domestic wastewater and Industrial wastewater</w:t>
            </w:r>
          </w:p>
        </w:tc>
        <w:tc>
          <w:tcPr>
            <w:tcW w:w="1134" w:type="dxa"/>
            <w:shd w:val="clear" w:color="auto" w:fill="FFFFFF" w:themeFill="background1"/>
            <w:tcMar>
              <w:top w:w="0" w:type="dxa"/>
              <w:left w:w="85" w:type="dxa"/>
              <w:bottom w:w="0" w:type="dxa"/>
              <w:right w:w="85" w:type="dxa"/>
            </w:tcMar>
            <w:vAlign w:val="center"/>
          </w:tcPr>
          <w:p w14:paraId="62F8C01A" w14:textId="77777777" w:rsidR="00502238" w:rsidRPr="00FD12D3" w:rsidRDefault="00502238" w:rsidP="00F16E23">
            <w:pPr>
              <w:pStyle w:val="TableText"/>
              <w:spacing w:before="40" w:after="40"/>
              <w:rPr>
                <w:szCs w:val="16"/>
              </w:rPr>
            </w:pPr>
            <w:r w:rsidRPr="00FD12D3">
              <w:rPr>
                <w:rFonts w:eastAsia="Calibri"/>
                <w:color w:val="000000" w:themeColor="text1"/>
                <w:szCs w:val="16"/>
              </w:rPr>
              <w:t>Amount of CH</w:t>
            </w:r>
            <w:r w:rsidRPr="00FD12D3">
              <w:rPr>
                <w:rFonts w:eastAsia="Calibri"/>
                <w:color w:val="000000" w:themeColor="text1"/>
                <w:szCs w:val="16"/>
                <w:vertAlign w:val="subscript"/>
              </w:rPr>
              <w:t>4</w:t>
            </w:r>
            <w:r w:rsidRPr="00FD12D3">
              <w:rPr>
                <w:rFonts w:eastAsia="Calibri"/>
                <w:color w:val="000000" w:themeColor="text1"/>
                <w:szCs w:val="16"/>
              </w:rPr>
              <w:t xml:space="preserve"> flared and for energy recovery</w:t>
            </w:r>
          </w:p>
        </w:tc>
        <w:tc>
          <w:tcPr>
            <w:tcW w:w="4167" w:type="dxa"/>
            <w:shd w:val="clear" w:color="auto" w:fill="FFFFFF" w:themeFill="background1"/>
            <w:tcMar>
              <w:top w:w="0" w:type="dxa"/>
              <w:left w:w="85" w:type="dxa"/>
              <w:bottom w:w="0" w:type="dxa"/>
              <w:right w:w="85" w:type="dxa"/>
            </w:tcMar>
          </w:tcPr>
          <w:p w14:paraId="7BEE9F46" w14:textId="77777777" w:rsidR="00502238" w:rsidRPr="00FD12D3" w:rsidRDefault="00502238" w:rsidP="00F16E23">
            <w:pPr>
              <w:pStyle w:val="TableText"/>
              <w:spacing w:before="40" w:after="40"/>
              <w:rPr>
                <w:szCs w:val="16"/>
              </w:rPr>
            </w:pPr>
            <w:r w:rsidRPr="00FD12D3">
              <w:rPr>
                <w:rFonts w:eastAsia="Calibri"/>
                <w:szCs w:val="16"/>
              </w:rPr>
              <w:t>According to section 6.2.1 of the 2006 IPCC Guidelines (volume 5, chapter 6, page 6.9), emissions from flaring are considered insignificant because the resulting CO₂ is of biogenic origin. Therefore, good practice in the Waste sector does not require their estimation. Furthermore, section 6.2.2.6 (page 6.18) specifies that when CH₄ is recovered for energy use, the associated greenhouse gas emissions should be reported under the Energy sector. As noted in section 6.2.1, good practice in the Waste sector also does not require estimating CH₄ and N₂O emissions from CH₄ recovery and flaring.</w:t>
            </w:r>
          </w:p>
        </w:tc>
      </w:tr>
      <w:tr w:rsidR="00502238" w:rsidRPr="00FD12D3" w14:paraId="2CB31FB3" w14:textId="77777777" w:rsidTr="00F16E23">
        <w:tc>
          <w:tcPr>
            <w:tcW w:w="1276" w:type="dxa"/>
            <w:shd w:val="clear" w:color="auto" w:fill="FFFFFF" w:themeFill="background1"/>
            <w:tcMar>
              <w:top w:w="0" w:type="dxa"/>
              <w:left w:w="85" w:type="dxa"/>
              <w:bottom w:w="0" w:type="dxa"/>
              <w:right w:w="85" w:type="dxa"/>
            </w:tcMar>
            <w:vAlign w:val="center"/>
          </w:tcPr>
          <w:p w14:paraId="0BF90195" w14:textId="77777777" w:rsidR="00502238" w:rsidRPr="00FD12D3" w:rsidRDefault="00502238" w:rsidP="00F16E23">
            <w:pPr>
              <w:pStyle w:val="TableText"/>
              <w:spacing w:before="40" w:after="40"/>
              <w:rPr>
                <w:rFonts w:eastAsia="Calibri"/>
                <w:color w:val="000000" w:themeColor="text1"/>
                <w:szCs w:val="16"/>
              </w:rPr>
            </w:pPr>
            <w:r w:rsidRPr="00FD12D3">
              <w:rPr>
                <w:rFonts w:eastAsia="Calibri"/>
                <w:color w:val="000000" w:themeColor="text1"/>
                <w:szCs w:val="16"/>
              </w:rPr>
              <w:t xml:space="preserve">Within the Tokelau sector 6, category 3.A.4 </w:t>
            </w:r>
          </w:p>
        </w:tc>
        <w:tc>
          <w:tcPr>
            <w:tcW w:w="1985" w:type="dxa"/>
            <w:shd w:val="clear" w:color="auto" w:fill="FFFFFF" w:themeFill="background1"/>
            <w:tcMar>
              <w:top w:w="0" w:type="dxa"/>
              <w:left w:w="85" w:type="dxa"/>
              <w:bottom w:w="0" w:type="dxa"/>
              <w:right w:w="85" w:type="dxa"/>
            </w:tcMar>
            <w:vAlign w:val="center"/>
          </w:tcPr>
          <w:p w14:paraId="6ABE667A" w14:textId="77777777" w:rsidR="00502238" w:rsidRPr="00FD12D3" w:rsidRDefault="00502238" w:rsidP="00F16E23">
            <w:pPr>
              <w:pStyle w:val="TableText"/>
              <w:spacing w:before="40" w:after="40"/>
              <w:rPr>
                <w:szCs w:val="16"/>
              </w:rPr>
            </w:pPr>
            <w:r w:rsidRPr="00FD12D3">
              <w:rPr>
                <w:rFonts w:eastAsia="Calibri"/>
                <w:szCs w:val="16"/>
              </w:rPr>
              <w:t>Enteric fermentation from poultry in Tokelau</w:t>
            </w:r>
          </w:p>
        </w:tc>
        <w:tc>
          <w:tcPr>
            <w:tcW w:w="1134" w:type="dxa"/>
            <w:shd w:val="clear" w:color="auto" w:fill="FFFFFF" w:themeFill="background1"/>
            <w:tcMar>
              <w:top w:w="0" w:type="dxa"/>
              <w:left w:w="85" w:type="dxa"/>
              <w:bottom w:w="0" w:type="dxa"/>
              <w:right w:w="85" w:type="dxa"/>
            </w:tcMar>
            <w:vAlign w:val="center"/>
          </w:tcPr>
          <w:p w14:paraId="256E3CC0" w14:textId="77777777" w:rsidR="00502238" w:rsidRPr="00FD12D3" w:rsidRDefault="00502238" w:rsidP="00F16E23">
            <w:pPr>
              <w:pStyle w:val="TableText"/>
              <w:spacing w:before="40" w:after="40"/>
              <w:rPr>
                <w:szCs w:val="16"/>
              </w:rPr>
            </w:pPr>
            <w:r w:rsidRPr="00FD12D3">
              <w:rPr>
                <w:rFonts w:eastAsia="Calibri"/>
                <w:color w:val="000000" w:themeColor="text1"/>
                <w:szCs w:val="16"/>
              </w:rPr>
              <w:t>CH</w:t>
            </w:r>
            <w:r w:rsidRPr="00FD12D3">
              <w:rPr>
                <w:rFonts w:eastAsia="Calibri"/>
                <w:color w:val="000000" w:themeColor="text1"/>
                <w:szCs w:val="16"/>
                <w:vertAlign w:val="subscript"/>
              </w:rPr>
              <w:t>4</w:t>
            </w:r>
          </w:p>
        </w:tc>
        <w:tc>
          <w:tcPr>
            <w:tcW w:w="4167" w:type="dxa"/>
            <w:shd w:val="clear" w:color="auto" w:fill="FFFFFF" w:themeFill="background1"/>
            <w:tcMar>
              <w:top w:w="0" w:type="dxa"/>
              <w:left w:w="85" w:type="dxa"/>
              <w:bottom w:w="0" w:type="dxa"/>
              <w:right w:w="85" w:type="dxa"/>
            </w:tcMar>
          </w:tcPr>
          <w:p w14:paraId="111D50D8" w14:textId="77777777" w:rsidR="00502238" w:rsidRPr="00FD12D3" w:rsidRDefault="00502238" w:rsidP="00F16E23">
            <w:pPr>
              <w:pStyle w:val="TableText"/>
              <w:spacing w:before="40" w:after="40"/>
              <w:rPr>
                <w:szCs w:val="16"/>
              </w:rPr>
            </w:pPr>
            <w:r w:rsidRPr="00FD12D3">
              <w:rPr>
                <w:rFonts w:eastAsia="Calibri"/>
                <w:color w:val="000000" w:themeColor="text1"/>
                <w:szCs w:val="16"/>
              </w:rPr>
              <w:t>This category is not mandatory. No IPCC guidance is provided for calculating Tier 1 estimates. Any potential emissions from this activity are expected to be very small, under 0.1 kt CO</w:t>
            </w:r>
            <w:r w:rsidRPr="00FD12D3">
              <w:rPr>
                <w:rFonts w:eastAsia="Calibri"/>
                <w:color w:val="000000" w:themeColor="text1"/>
                <w:szCs w:val="16"/>
                <w:vertAlign w:val="subscript"/>
              </w:rPr>
              <w:t>2</w:t>
            </w:r>
            <w:r w:rsidRPr="00FD12D3">
              <w:rPr>
                <w:rFonts w:eastAsia="Calibri"/>
                <w:color w:val="000000" w:themeColor="text1"/>
                <w:szCs w:val="16"/>
              </w:rPr>
              <w:t xml:space="preserve">e or less, which is the quantity of emissions for </w:t>
            </w:r>
            <w:r w:rsidRPr="00FD12D3">
              <w:rPr>
                <w:rFonts w:eastAsia="Calibri"/>
                <w:i/>
                <w:iCs/>
                <w:color w:val="000000" w:themeColor="text1"/>
                <w:szCs w:val="16"/>
              </w:rPr>
              <w:t>Enteric fermentation from swine</w:t>
            </w:r>
            <w:r w:rsidRPr="00FD12D3">
              <w:rPr>
                <w:rFonts w:eastAsia="Calibri"/>
                <w:color w:val="000000" w:themeColor="text1"/>
                <w:szCs w:val="16"/>
              </w:rPr>
              <w:t xml:space="preserve"> in Tokelau.</w:t>
            </w:r>
          </w:p>
        </w:tc>
      </w:tr>
    </w:tbl>
    <w:p w14:paraId="6ED3D677" w14:textId="77777777" w:rsidR="00502238" w:rsidRPr="00FD12D3" w:rsidRDefault="00502238" w:rsidP="00502238">
      <w:pPr>
        <w:pStyle w:val="BodyText"/>
        <w:keepLines/>
        <w:spacing w:before="240"/>
      </w:pPr>
      <w:r>
        <w:t>The estimate of emissions for all of New Zealand’s source categories marked as ‘NE’ is 2.1 kt CO</w:t>
      </w:r>
      <w:r w:rsidRPr="4490CCA6">
        <w:rPr>
          <w:vertAlign w:val="subscript"/>
        </w:rPr>
        <w:t>2</w:t>
      </w:r>
      <w:r>
        <w:t>e, which is below the 0.1 percent of the total emissions threshold (75.8 kt CO</w:t>
      </w:r>
      <w:r w:rsidRPr="4490CCA6">
        <w:rPr>
          <w:vertAlign w:val="subscript"/>
        </w:rPr>
        <w:t>2</w:t>
      </w:r>
      <w:r>
        <w:t xml:space="preserve">e). This value has decreased significantly from previous submissions because the category </w:t>
      </w:r>
      <w:r w:rsidRPr="4490CCA6">
        <w:rPr>
          <w:i/>
          <w:iCs/>
        </w:rPr>
        <w:t>Other organic fertilisers applied to soils</w:t>
      </w:r>
      <w:r>
        <w:t xml:space="preserve"> is now estimated.</w:t>
      </w:r>
    </w:p>
    <w:p w14:paraId="4FD77529" w14:textId="77777777" w:rsidR="00502238" w:rsidRPr="00FD12D3" w:rsidRDefault="00502238" w:rsidP="00502238">
      <w:pPr>
        <w:pStyle w:val="Heading4"/>
      </w:pPr>
      <w:bookmarkStart w:id="97" w:name="X94ea177ba80bf508511bc47f7dcddfa08b14550"/>
      <w:bookmarkEnd w:id="95"/>
      <w:r w:rsidRPr="00FD12D3">
        <w:t>Emissions reported as ‘IE’ (included elsewhere)</w:t>
      </w:r>
    </w:p>
    <w:p w14:paraId="17B68F52" w14:textId="77777777" w:rsidR="00502238" w:rsidRPr="00FD12D3" w:rsidRDefault="00502238" w:rsidP="00502238">
      <w:pPr>
        <w:pStyle w:val="BodyText"/>
      </w:pPr>
      <w:r w:rsidRPr="00FD12D3">
        <w:t>The notation key ‘IE’ (included elsewhere) signifies that emissions and/or removals for this activity or category are estimated and included in the Inventory but not presented separately for this category.</w:t>
      </w:r>
    </w:p>
    <w:p w14:paraId="51A50611" w14:textId="77777777" w:rsidR="00502238" w:rsidRPr="00FD12D3" w:rsidRDefault="00502238" w:rsidP="00502238">
      <w:pPr>
        <w:pStyle w:val="BodyText"/>
      </w:pPr>
      <w:r w:rsidRPr="00FD12D3">
        <w:t>Table 1.7.2 details where the notation key ‘IE’ has been used in this submission of the Inventory.</w:t>
      </w:r>
    </w:p>
    <w:p w14:paraId="42E6ACBE" w14:textId="77777777" w:rsidR="00502238" w:rsidRPr="00FD12D3" w:rsidRDefault="00502238" w:rsidP="00502238">
      <w:pPr>
        <w:pStyle w:val="Table"/>
      </w:pPr>
      <w:bookmarkStart w:id="98" w:name="_Toc226668948"/>
      <w:r w:rsidRPr="00FD12D3">
        <w:t xml:space="preserve">Table 1.7.2 </w:t>
      </w:r>
      <w:r w:rsidRPr="00FD12D3">
        <w:tab/>
        <w:t xml:space="preserve">Emissions reported using the ‘IE’ (included elsewhere) notation key in the </w:t>
      </w:r>
      <w:r w:rsidRPr="00FD12D3">
        <w:rPr>
          <w:bCs/>
        </w:rPr>
        <w:t>2026</w:t>
      </w:r>
      <w:r w:rsidRPr="00FD12D3">
        <w:t xml:space="preserve"> submission</w:t>
      </w:r>
      <w:bookmarkEnd w:id="9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546"/>
        <w:gridCol w:w="1929"/>
        <w:gridCol w:w="1841"/>
        <w:gridCol w:w="3178"/>
      </w:tblGrid>
      <w:tr w:rsidR="00502238" w:rsidRPr="00FD12D3" w14:paraId="14102BD6" w14:textId="77777777" w:rsidTr="00F32658">
        <w:trPr>
          <w:tblHeader/>
        </w:trPr>
        <w:tc>
          <w:tcPr>
            <w:tcW w:w="1546" w:type="dxa"/>
            <w:shd w:val="clear" w:color="auto" w:fill="1B556B"/>
            <w:tcMar>
              <w:top w:w="0" w:type="dxa"/>
              <w:left w:w="85" w:type="dxa"/>
              <w:bottom w:w="0" w:type="dxa"/>
              <w:right w:w="57" w:type="dxa"/>
            </w:tcMar>
            <w:vAlign w:val="bottom"/>
          </w:tcPr>
          <w:p w14:paraId="267DC473" w14:textId="77777777" w:rsidR="00502238" w:rsidRPr="00FD12D3" w:rsidRDefault="00502238" w:rsidP="00F16E23">
            <w:pPr>
              <w:pStyle w:val="TableTextBold"/>
              <w:rPr>
                <w:color w:val="FFFFFF" w:themeColor="background1"/>
              </w:rPr>
            </w:pPr>
            <w:r w:rsidRPr="00FD12D3">
              <w:rPr>
                <w:rFonts w:eastAsia="Calibri"/>
                <w:color w:val="FFFFFF" w:themeColor="background1"/>
              </w:rPr>
              <w:t>CRT category code </w:t>
            </w:r>
          </w:p>
        </w:tc>
        <w:tc>
          <w:tcPr>
            <w:tcW w:w="1929" w:type="dxa"/>
            <w:shd w:val="clear" w:color="auto" w:fill="1B556B"/>
            <w:tcMar>
              <w:top w:w="0" w:type="dxa"/>
              <w:left w:w="85" w:type="dxa"/>
              <w:bottom w:w="0" w:type="dxa"/>
              <w:right w:w="57" w:type="dxa"/>
            </w:tcMar>
            <w:vAlign w:val="bottom"/>
          </w:tcPr>
          <w:p w14:paraId="41E637EF" w14:textId="77777777" w:rsidR="00502238" w:rsidRPr="00FD12D3" w:rsidRDefault="00502238" w:rsidP="00F16E23">
            <w:pPr>
              <w:pStyle w:val="TableTextBold"/>
              <w:rPr>
                <w:color w:val="FFFFFF" w:themeColor="background1"/>
              </w:rPr>
            </w:pPr>
            <w:r w:rsidRPr="00FD12D3">
              <w:rPr>
                <w:rFonts w:eastAsia="Calibri"/>
                <w:color w:val="FFFFFF" w:themeColor="background1"/>
              </w:rPr>
              <w:t>Category </w:t>
            </w:r>
          </w:p>
        </w:tc>
        <w:tc>
          <w:tcPr>
            <w:tcW w:w="1841" w:type="dxa"/>
            <w:shd w:val="clear" w:color="auto" w:fill="1B556B"/>
            <w:tcMar>
              <w:top w:w="0" w:type="dxa"/>
              <w:left w:w="85" w:type="dxa"/>
              <w:bottom w:w="0" w:type="dxa"/>
              <w:right w:w="57" w:type="dxa"/>
            </w:tcMar>
            <w:vAlign w:val="bottom"/>
          </w:tcPr>
          <w:p w14:paraId="37FCA298" w14:textId="77777777" w:rsidR="00502238" w:rsidRPr="00FD12D3" w:rsidRDefault="00502238" w:rsidP="00F16E23">
            <w:pPr>
              <w:pStyle w:val="TableTextBold"/>
              <w:rPr>
                <w:color w:val="FFFFFF" w:themeColor="background1"/>
              </w:rPr>
            </w:pPr>
            <w:r w:rsidRPr="00FD12D3">
              <w:rPr>
                <w:rFonts w:eastAsia="Calibri"/>
                <w:color w:val="FFFFFF" w:themeColor="background1"/>
              </w:rPr>
              <w:t>Source category reported under </w:t>
            </w:r>
          </w:p>
        </w:tc>
        <w:tc>
          <w:tcPr>
            <w:tcW w:w="3178" w:type="dxa"/>
            <w:shd w:val="clear" w:color="auto" w:fill="1B556B"/>
            <w:tcMar>
              <w:top w:w="0" w:type="dxa"/>
              <w:left w:w="85" w:type="dxa"/>
              <w:bottom w:w="0" w:type="dxa"/>
              <w:right w:w="57" w:type="dxa"/>
            </w:tcMar>
            <w:vAlign w:val="bottom"/>
          </w:tcPr>
          <w:p w14:paraId="71F661BB" w14:textId="77777777" w:rsidR="00502238" w:rsidRPr="00FD12D3" w:rsidRDefault="00502238" w:rsidP="00F16E23">
            <w:pPr>
              <w:pStyle w:val="TableTextBold"/>
              <w:rPr>
                <w:color w:val="FFFFFF" w:themeColor="background1"/>
              </w:rPr>
            </w:pPr>
            <w:r w:rsidRPr="00FD12D3">
              <w:rPr>
                <w:rFonts w:eastAsia="Calibri"/>
                <w:color w:val="FFFFFF" w:themeColor="background1"/>
              </w:rPr>
              <w:t>Notation key explanation </w:t>
            </w:r>
          </w:p>
        </w:tc>
      </w:tr>
      <w:tr w:rsidR="00502238" w:rsidRPr="00FD12D3" w14:paraId="72468880" w14:textId="77777777" w:rsidTr="00F32658">
        <w:tc>
          <w:tcPr>
            <w:tcW w:w="1546" w:type="dxa"/>
            <w:shd w:val="clear" w:color="auto" w:fill="FFFFFF" w:themeFill="background1"/>
            <w:tcMar>
              <w:top w:w="0" w:type="dxa"/>
              <w:left w:w="85" w:type="dxa"/>
              <w:bottom w:w="0" w:type="dxa"/>
              <w:right w:w="57" w:type="dxa"/>
            </w:tcMar>
          </w:tcPr>
          <w:p w14:paraId="4B6E6F9B" w14:textId="77777777" w:rsidR="00502238" w:rsidRPr="00FD12D3" w:rsidRDefault="00502238" w:rsidP="00F16E23">
            <w:pPr>
              <w:pStyle w:val="TableText"/>
              <w:spacing w:before="40" w:after="40"/>
              <w:rPr>
                <w:rFonts w:cs="Calibri"/>
                <w:b/>
                <w:bCs/>
                <w:szCs w:val="16"/>
              </w:rPr>
            </w:pPr>
            <w:r w:rsidRPr="00FD12D3">
              <w:rPr>
                <w:rFonts w:eastAsia="Calibri" w:cs="Calibri"/>
                <w:b/>
                <w:bCs/>
                <w:szCs w:val="16"/>
              </w:rPr>
              <w:t>Energy</w:t>
            </w:r>
          </w:p>
        </w:tc>
        <w:tc>
          <w:tcPr>
            <w:tcW w:w="1929" w:type="dxa"/>
            <w:shd w:val="clear" w:color="auto" w:fill="FFFFFF" w:themeFill="background1"/>
            <w:tcMar>
              <w:top w:w="0" w:type="dxa"/>
              <w:left w:w="85" w:type="dxa"/>
              <w:bottom w:w="0" w:type="dxa"/>
              <w:right w:w="57" w:type="dxa"/>
            </w:tcMar>
          </w:tcPr>
          <w:p w14:paraId="66BC765B" w14:textId="77777777" w:rsidR="00502238" w:rsidRPr="00FD12D3" w:rsidRDefault="00502238" w:rsidP="00F16E23">
            <w:pPr>
              <w:pStyle w:val="TableText"/>
              <w:spacing w:before="40" w:after="40"/>
              <w:rPr>
                <w:rFonts w:cs="Calibri"/>
                <w:b/>
                <w:bCs/>
                <w:szCs w:val="16"/>
              </w:rPr>
            </w:pPr>
          </w:p>
        </w:tc>
        <w:tc>
          <w:tcPr>
            <w:tcW w:w="1841" w:type="dxa"/>
            <w:shd w:val="clear" w:color="auto" w:fill="FFFFFF" w:themeFill="background1"/>
            <w:tcMar>
              <w:top w:w="0" w:type="dxa"/>
              <w:left w:w="85" w:type="dxa"/>
              <w:bottom w:w="0" w:type="dxa"/>
              <w:right w:w="57" w:type="dxa"/>
            </w:tcMar>
          </w:tcPr>
          <w:p w14:paraId="67157439" w14:textId="77777777" w:rsidR="00502238" w:rsidRPr="00FD12D3" w:rsidRDefault="00502238" w:rsidP="00F16E23">
            <w:pPr>
              <w:pStyle w:val="TableText"/>
              <w:spacing w:before="40" w:after="40"/>
              <w:rPr>
                <w:rFonts w:cs="Calibri"/>
                <w:b/>
                <w:bCs/>
                <w:szCs w:val="16"/>
              </w:rPr>
            </w:pPr>
          </w:p>
        </w:tc>
        <w:tc>
          <w:tcPr>
            <w:tcW w:w="3178" w:type="dxa"/>
            <w:shd w:val="clear" w:color="auto" w:fill="FFFFFF" w:themeFill="background1"/>
            <w:tcMar>
              <w:top w:w="0" w:type="dxa"/>
              <w:left w:w="85" w:type="dxa"/>
              <w:bottom w:w="0" w:type="dxa"/>
              <w:right w:w="57" w:type="dxa"/>
            </w:tcMar>
          </w:tcPr>
          <w:p w14:paraId="3D188F84" w14:textId="77777777" w:rsidR="00502238" w:rsidRPr="00FD12D3" w:rsidRDefault="00502238" w:rsidP="00F16E23">
            <w:pPr>
              <w:pStyle w:val="TableText"/>
              <w:spacing w:before="40" w:after="40"/>
              <w:rPr>
                <w:rFonts w:cs="Calibri"/>
                <w:b/>
                <w:bCs/>
                <w:szCs w:val="16"/>
              </w:rPr>
            </w:pPr>
          </w:p>
        </w:tc>
      </w:tr>
      <w:tr w:rsidR="00502238" w:rsidRPr="00FD12D3" w14:paraId="50089827" w14:textId="77777777" w:rsidTr="00F32658">
        <w:tc>
          <w:tcPr>
            <w:tcW w:w="1546" w:type="dxa"/>
            <w:shd w:val="clear" w:color="auto" w:fill="FFFFFF" w:themeFill="background1"/>
            <w:tcMar>
              <w:top w:w="0" w:type="dxa"/>
              <w:left w:w="85" w:type="dxa"/>
              <w:bottom w:w="0" w:type="dxa"/>
              <w:right w:w="57" w:type="dxa"/>
            </w:tcMar>
          </w:tcPr>
          <w:p w14:paraId="16EF96A1" w14:textId="77777777" w:rsidR="00502238" w:rsidRPr="00FD12D3" w:rsidRDefault="00502238" w:rsidP="00F16E23">
            <w:pPr>
              <w:pStyle w:val="TableText"/>
              <w:spacing w:before="40" w:after="40"/>
              <w:rPr>
                <w:rFonts w:cs="Calibri"/>
                <w:szCs w:val="16"/>
              </w:rPr>
            </w:pPr>
            <w:r w:rsidRPr="00FD12D3">
              <w:rPr>
                <w:rFonts w:eastAsia="Calibri" w:cs="Calibri"/>
                <w:szCs w:val="16"/>
              </w:rPr>
              <w:t>1.A.2.a </w:t>
            </w:r>
          </w:p>
        </w:tc>
        <w:tc>
          <w:tcPr>
            <w:tcW w:w="1929" w:type="dxa"/>
            <w:shd w:val="clear" w:color="auto" w:fill="FFFFFF" w:themeFill="background1"/>
            <w:tcMar>
              <w:top w:w="0" w:type="dxa"/>
              <w:left w:w="85" w:type="dxa"/>
              <w:bottom w:w="0" w:type="dxa"/>
              <w:right w:w="57" w:type="dxa"/>
            </w:tcMar>
          </w:tcPr>
          <w:p w14:paraId="00726959" w14:textId="77777777" w:rsidR="00502238" w:rsidRPr="00FD12D3" w:rsidRDefault="00502238" w:rsidP="00F16E23">
            <w:pPr>
              <w:pStyle w:val="TableText"/>
              <w:spacing w:before="40" w:after="40"/>
              <w:rPr>
                <w:rFonts w:cs="Calibri"/>
                <w:szCs w:val="16"/>
              </w:rPr>
            </w:pPr>
            <w:r w:rsidRPr="00FD12D3">
              <w:rPr>
                <w:rFonts w:eastAsia="Calibri" w:cs="Calibri"/>
                <w:szCs w:val="16"/>
              </w:rPr>
              <w:t>Iron and steel – Liquid fuels </w:t>
            </w:r>
          </w:p>
        </w:tc>
        <w:tc>
          <w:tcPr>
            <w:tcW w:w="1841" w:type="dxa"/>
            <w:shd w:val="clear" w:color="auto" w:fill="FFFFFF" w:themeFill="background1"/>
            <w:tcMar>
              <w:top w:w="0" w:type="dxa"/>
              <w:left w:w="85" w:type="dxa"/>
              <w:bottom w:w="0" w:type="dxa"/>
              <w:right w:w="57" w:type="dxa"/>
            </w:tcMar>
          </w:tcPr>
          <w:p w14:paraId="40401A0E" w14:textId="77777777" w:rsidR="00502238" w:rsidRPr="00FD12D3" w:rsidRDefault="00502238" w:rsidP="00F16E23">
            <w:pPr>
              <w:pStyle w:val="TableText"/>
              <w:spacing w:before="40" w:after="40"/>
              <w:rPr>
                <w:rFonts w:cs="Calibri"/>
                <w:szCs w:val="16"/>
              </w:rPr>
            </w:pPr>
            <w:r w:rsidRPr="00FD12D3">
              <w:rPr>
                <w:rFonts w:eastAsia="Calibri" w:cs="Calibri"/>
                <w:szCs w:val="16"/>
              </w:rPr>
              <w:t>1.A.2.g.viii – Other – Liquid fuels </w:t>
            </w:r>
          </w:p>
        </w:tc>
        <w:tc>
          <w:tcPr>
            <w:tcW w:w="3178" w:type="dxa"/>
            <w:shd w:val="clear" w:color="auto" w:fill="FFFFFF" w:themeFill="background1"/>
            <w:tcMar>
              <w:top w:w="0" w:type="dxa"/>
              <w:left w:w="85" w:type="dxa"/>
              <w:bottom w:w="0" w:type="dxa"/>
              <w:right w:w="57" w:type="dxa"/>
            </w:tcMar>
          </w:tcPr>
          <w:p w14:paraId="763450B1" w14:textId="77777777" w:rsidR="00502238" w:rsidRPr="00FD12D3" w:rsidRDefault="00502238" w:rsidP="00F16E23">
            <w:pPr>
              <w:pStyle w:val="TableText"/>
              <w:spacing w:before="40" w:after="40"/>
              <w:rPr>
                <w:rFonts w:cs="Calibri"/>
                <w:szCs w:val="16"/>
              </w:rPr>
            </w:pPr>
            <w:r w:rsidRPr="00FD12D3">
              <w:rPr>
                <w:rFonts w:eastAsia="Calibri" w:cs="Calibri"/>
                <w:szCs w:val="16"/>
              </w:rPr>
              <w:t>Disaggregated data for this category do not exist. </w:t>
            </w:r>
          </w:p>
        </w:tc>
      </w:tr>
      <w:tr w:rsidR="00502238" w:rsidRPr="00FD12D3" w14:paraId="0FEE9DE5" w14:textId="77777777" w:rsidTr="00F32658">
        <w:tc>
          <w:tcPr>
            <w:tcW w:w="1546" w:type="dxa"/>
            <w:shd w:val="clear" w:color="auto" w:fill="FFFFFF" w:themeFill="background1"/>
            <w:tcMar>
              <w:top w:w="0" w:type="dxa"/>
              <w:left w:w="85" w:type="dxa"/>
              <w:bottom w:w="0" w:type="dxa"/>
              <w:right w:w="57" w:type="dxa"/>
            </w:tcMar>
          </w:tcPr>
          <w:p w14:paraId="74C1E1C3" w14:textId="77777777" w:rsidR="00502238" w:rsidRPr="00FD12D3" w:rsidRDefault="00502238" w:rsidP="00F16E23">
            <w:pPr>
              <w:pStyle w:val="TableText"/>
              <w:spacing w:before="40" w:after="40"/>
              <w:rPr>
                <w:rFonts w:cs="Calibri"/>
                <w:szCs w:val="16"/>
              </w:rPr>
            </w:pPr>
            <w:r w:rsidRPr="00FD12D3">
              <w:rPr>
                <w:rFonts w:eastAsia="Calibri" w:cs="Calibri"/>
                <w:szCs w:val="16"/>
              </w:rPr>
              <w:t>1.A.2.a </w:t>
            </w:r>
          </w:p>
        </w:tc>
        <w:tc>
          <w:tcPr>
            <w:tcW w:w="1929" w:type="dxa"/>
            <w:shd w:val="clear" w:color="auto" w:fill="FFFFFF" w:themeFill="background1"/>
            <w:tcMar>
              <w:top w:w="0" w:type="dxa"/>
              <w:left w:w="85" w:type="dxa"/>
              <w:bottom w:w="0" w:type="dxa"/>
              <w:right w:w="57" w:type="dxa"/>
            </w:tcMar>
          </w:tcPr>
          <w:p w14:paraId="4CFEEEA0" w14:textId="77777777" w:rsidR="00502238" w:rsidRPr="00FD12D3" w:rsidRDefault="00502238" w:rsidP="00F16E23">
            <w:pPr>
              <w:pStyle w:val="TableText"/>
              <w:spacing w:before="40" w:after="40"/>
              <w:rPr>
                <w:rFonts w:cs="Calibri"/>
                <w:szCs w:val="16"/>
              </w:rPr>
            </w:pPr>
            <w:r w:rsidRPr="00FD12D3">
              <w:rPr>
                <w:rFonts w:eastAsia="Calibri" w:cs="Calibri"/>
                <w:szCs w:val="16"/>
              </w:rPr>
              <w:t>Iron and steel – Solid fuels </w:t>
            </w:r>
          </w:p>
        </w:tc>
        <w:tc>
          <w:tcPr>
            <w:tcW w:w="1841" w:type="dxa"/>
            <w:shd w:val="clear" w:color="auto" w:fill="FFFFFF" w:themeFill="background1"/>
            <w:tcMar>
              <w:top w:w="0" w:type="dxa"/>
              <w:left w:w="85" w:type="dxa"/>
              <w:bottom w:w="0" w:type="dxa"/>
              <w:right w:w="57" w:type="dxa"/>
            </w:tcMar>
          </w:tcPr>
          <w:p w14:paraId="6B154278" w14:textId="77777777" w:rsidR="00502238" w:rsidRPr="00FD12D3" w:rsidRDefault="00502238" w:rsidP="00F16E23">
            <w:pPr>
              <w:pStyle w:val="TableText"/>
              <w:spacing w:before="40" w:after="40"/>
              <w:rPr>
                <w:rFonts w:cs="Calibri"/>
                <w:szCs w:val="16"/>
              </w:rPr>
            </w:pPr>
            <w:r w:rsidRPr="00FD12D3">
              <w:rPr>
                <w:rFonts w:eastAsia="Calibri" w:cs="Calibri"/>
                <w:szCs w:val="16"/>
              </w:rPr>
              <w:t>2.C.1 – Iron and steel production </w:t>
            </w:r>
          </w:p>
        </w:tc>
        <w:tc>
          <w:tcPr>
            <w:tcW w:w="3178" w:type="dxa"/>
            <w:shd w:val="clear" w:color="auto" w:fill="FFFFFF" w:themeFill="background1"/>
            <w:tcMar>
              <w:top w:w="0" w:type="dxa"/>
              <w:left w:w="85" w:type="dxa"/>
              <w:bottom w:w="0" w:type="dxa"/>
              <w:right w:w="57" w:type="dxa"/>
            </w:tcMar>
          </w:tcPr>
          <w:p w14:paraId="29A3E756" w14:textId="77777777" w:rsidR="00502238" w:rsidRPr="00FD12D3" w:rsidRDefault="00502238" w:rsidP="00F16E23">
            <w:pPr>
              <w:pStyle w:val="TableText"/>
              <w:spacing w:before="40" w:after="40"/>
              <w:rPr>
                <w:rFonts w:cs="Calibri"/>
                <w:szCs w:val="16"/>
              </w:rPr>
            </w:pPr>
            <w:r w:rsidRPr="00FD12D3">
              <w:rPr>
                <w:rFonts w:eastAsia="Calibri" w:cs="Calibri"/>
                <w:szCs w:val="16"/>
              </w:rPr>
              <w:t>All emissions from the use of coal in this category are included in the Industrial Processes and Product Use sector because the primary purpose of the coal is to produce iron. </w:t>
            </w:r>
          </w:p>
        </w:tc>
      </w:tr>
      <w:tr w:rsidR="00502238" w:rsidRPr="00FD12D3" w14:paraId="7DAF712B" w14:textId="77777777" w:rsidTr="00F32658">
        <w:tc>
          <w:tcPr>
            <w:tcW w:w="1546" w:type="dxa"/>
            <w:shd w:val="clear" w:color="auto" w:fill="FFFFFF" w:themeFill="background1"/>
            <w:tcMar>
              <w:top w:w="0" w:type="dxa"/>
              <w:left w:w="85" w:type="dxa"/>
              <w:bottom w:w="0" w:type="dxa"/>
              <w:right w:w="57" w:type="dxa"/>
            </w:tcMar>
          </w:tcPr>
          <w:p w14:paraId="502C10E3" w14:textId="77777777" w:rsidR="00502238" w:rsidRPr="00FD12D3" w:rsidRDefault="00502238" w:rsidP="00F16E23">
            <w:pPr>
              <w:pStyle w:val="TableText"/>
              <w:spacing w:before="40" w:after="40"/>
              <w:rPr>
                <w:rFonts w:cs="Calibri"/>
                <w:szCs w:val="16"/>
              </w:rPr>
            </w:pPr>
            <w:r w:rsidRPr="00FD12D3">
              <w:rPr>
                <w:rFonts w:eastAsia="Calibri" w:cs="Calibri"/>
                <w:szCs w:val="16"/>
              </w:rPr>
              <w:t>1.A.2.f </w:t>
            </w:r>
          </w:p>
        </w:tc>
        <w:tc>
          <w:tcPr>
            <w:tcW w:w="1929" w:type="dxa"/>
            <w:shd w:val="clear" w:color="auto" w:fill="FFFFFF" w:themeFill="background1"/>
            <w:tcMar>
              <w:top w:w="0" w:type="dxa"/>
              <w:left w:w="85" w:type="dxa"/>
              <w:bottom w:w="0" w:type="dxa"/>
              <w:right w:w="57" w:type="dxa"/>
            </w:tcMar>
          </w:tcPr>
          <w:p w14:paraId="4590C53B" w14:textId="77777777" w:rsidR="00502238" w:rsidRPr="00FD12D3" w:rsidRDefault="00502238" w:rsidP="00F16E23">
            <w:pPr>
              <w:pStyle w:val="TableText"/>
              <w:spacing w:before="40" w:after="40"/>
              <w:rPr>
                <w:rFonts w:cs="Calibri"/>
                <w:szCs w:val="16"/>
              </w:rPr>
            </w:pPr>
            <w:r w:rsidRPr="00FD12D3">
              <w:rPr>
                <w:rFonts w:eastAsia="Calibri" w:cs="Calibri"/>
                <w:szCs w:val="16"/>
              </w:rPr>
              <w:t>Non-metallic minerals – Biomass </w:t>
            </w:r>
          </w:p>
        </w:tc>
        <w:tc>
          <w:tcPr>
            <w:tcW w:w="1841" w:type="dxa"/>
            <w:shd w:val="clear" w:color="auto" w:fill="FFFFFF" w:themeFill="background1"/>
            <w:tcMar>
              <w:top w:w="0" w:type="dxa"/>
              <w:left w:w="85" w:type="dxa"/>
              <w:bottom w:w="0" w:type="dxa"/>
              <w:right w:w="57" w:type="dxa"/>
            </w:tcMar>
          </w:tcPr>
          <w:p w14:paraId="5DEB506F" w14:textId="77777777" w:rsidR="00502238" w:rsidRPr="00FD12D3" w:rsidRDefault="00502238" w:rsidP="00F16E23">
            <w:pPr>
              <w:pStyle w:val="TableText"/>
              <w:spacing w:before="40" w:after="40"/>
              <w:rPr>
                <w:rFonts w:cs="Calibri"/>
                <w:szCs w:val="16"/>
              </w:rPr>
            </w:pPr>
            <w:r w:rsidRPr="00FD12D3">
              <w:rPr>
                <w:rFonts w:eastAsia="Calibri" w:cs="Calibri"/>
                <w:szCs w:val="16"/>
              </w:rPr>
              <w:t>1.A.2.g.viii – Other – Biomass </w:t>
            </w:r>
          </w:p>
        </w:tc>
        <w:tc>
          <w:tcPr>
            <w:tcW w:w="3178" w:type="dxa"/>
            <w:shd w:val="clear" w:color="auto" w:fill="FFFFFF" w:themeFill="background1"/>
            <w:tcMar>
              <w:top w:w="0" w:type="dxa"/>
              <w:left w:w="85" w:type="dxa"/>
              <w:bottom w:w="0" w:type="dxa"/>
              <w:right w:w="57" w:type="dxa"/>
            </w:tcMar>
          </w:tcPr>
          <w:p w14:paraId="277990A9" w14:textId="28A45E04" w:rsidR="00502238" w:rsidRPr="00FD12D3" w:rsidRDefault="00502238" w:rsidP="00F16E23">
            <w:pPr>
              <w:pStyle w:val="TableText"/>
              <w:spacing w:before="40" w:after="40"/>
              <w:rPr>
                <w:rFonts w:cs="Calibri"/>
                <w:szCs w:val="16"/>
              </w:rPr>
            </w:pPr>
            <w:r w:rsidRPr="00FD12D3">
              <w:rPr>
                <w:rFonts w:eastAsia="Calibri" w:cs="Calibri"/>
                <w:szCs w:val="16"/>
              </w:rPr>
              <w:t>Disaggregated data for this category do not exist.</w:t>
            </w:r>
          </w:p>
        </w:tc>
      </w:tr>
      <w:tr w:rsidR="00502238" w:rsidRPr="00FD12D3" w14:paraId="6E8F31D1" w14:textId="77777777" w:rsidTr="00F32658">
        <w:tc>
          <w:tcPr>
            <w:tcW w:w="1546" w:type="dxa"/>
            <w:shd w:val="clear" w:color="auto" w:fill="FFFFFF" w:themeFill="background1"/>
            <w:tcMar>
              <w:top w:w="0" w:type="dxa"/>
              <w:left w:w="85" w:type="dxa"/>
              <w:bottom w:w="0" w:type="dxa"/>
              <w:right w:w="57" w:type="dxa"/>
            </w:tcMar>
          </w:tcPr>
          <w:p w14:paraId="4E956D4A" w14:textId="77777777" w:rsidR="00502238" w:rsidRPr="00FD12D3" w:rsidRDefault="00502238" w:rsidP="00F16E23">
            <w:pPr>
              <w:pStyle w:val="TableText"/>
              <w:spacing w:before="40" w:after="40"/>
              <w:rPr>
                <w:rFonts w:cs="Calibri"/>
                <w:szCs w:val="16"/>
              </w:rPr>
            </w:pPr>
            <w:r w:rsidRPr="00FD12D3">
              <w:rPr>
                <w:rFonts w:eastAsia="Calibri" w:cs="Calibri"/>
                <w:szCs w:val="16"/>
              </w:rPr>
              <w:t>1.A.3.b.ii–iv </w:t>
            </w:r>
          </w:p>
        </w:tc>
        <w:tc>
          <w:tcPr>
            <w:tcW w:w="1929" w:type="dxa"/>
            <w:shd w:val="clear" w:color="auto" w:fill="FFFFFF" w:themeFill="background1"/>
            <w:tcMar>
              <w:top w:w="0" w:type="dxa"/>
              <w:left w:w="85" w:type="dxa"/>
              <w:bottom w:w="0" w:type="dxa"/>
              <w:right w:w="57" w:type="dxa"/>
            </w:tcMar>
          </w:tcPr>
          <w:p w14:paraId="558E94A9" w14:textId="77777777" w:rsidR="00502238" w:rsidRPr="00FD12D3" w:rsidRDefault="00502238" w:rsidP="00F16E23">
            <w:pPr>
              <w:pStyle w:val="TableText"/>
              <w:spacing w:before="40" w:after="40"/>
              <w:rPr>
                <w:rFonts w:cs="Calibri"/>
                <w:szCs w:val="16"/>
              </w:rPr>
            </w:pPr>
            <w:r w:rsidRPr="00FD12D3">
              <w:rPr>
                <w:rFonts w:eastAsia="Calibri" w:cs="Calibri"/>
                <w:szCs w:val="16"/>
              </w:rPr>
              <w:t>Road transportation (other than ‘cars’) – Gasoline, diesel oil, liquefied petroleum gases (LPG)</w:t>
            </w:r>
          </w:p>
        </w:tc>
        <w:tc>
          <w:tcPr>
            <w:tcW w:w="1841" w:type="dxa"/>
            <w:shd w:val="clear" w:color="auto" w:fill="FFFFFF" w:themeFill="background1"/>
            <w:tcMar>
              <w:top w:w="0" w:type="dxa"/>
              <w:left w:w="85" w:type="dxa"/>
              <w:bottom w:w="0" w:type="dxa"/>
              <w:right w:w="57" w:type="dxa"/>
            </w:tcMar>
          </w:tcPr>
          <w:p w14:paraId="59E9FCFF" w14:textId="69718678" w:rsidR="00502238" w:rsidRPr="00FD12D3" w:rsidRDefault="00502238" w:rsidP="00F16E23">
            <w:pPr>
              <w:pStyle w:val="TableText"/>
              <w:spacing w:before="40" w:after="40"/>
              <w:rPr>
                <w:rFonts w:cs="Calibri"/>
                <w:szCs w:val="16"/>
              </w:rPr>
            </w:pPr>
            <w:r w:rsidRPr="00FD12D3">
              <w:rPr>
                <w:rFonts w:eastAsia="Calibri" w:cs="Calibri"/>
                <w:szCs w:val="16"/>
              </w:rPr>
              <w:t>1.A.3.b.i – Cars</w:t>
            </w:r>
          </w:p>
        </w:tc>
        <w:tc>
          <w:tcPr>
            <w:tcW w:w="3178" w:type="dxa"/>
            <w:shd w:val="clear" w:color="auto" w:fill="FFFFFF" w:themeFill="background1"/>
            <w:tcMar>
              <w:top w:w="0" w:type="dxa"/>
              <w:left w:w="85" w:type="dxa"/>
              <w:bottom w:w="0" w:type="dxa"/>
              <w:right w:w="57" w:type="dxa"/>
            </w:tcMar>
          </w:tcPr>
          <w:p w14:paraId="009BA82B" w14:textId="77777777" w:rsidR="00502238" w:rsidRPr="00FD12D3" w:rsidRDefault="00502238" w:rsidP="00F16E23">
            <w:pPr>
              <w:pStyle w:val="TableText"/>
              <w:spacing w:before="40" w:after="40"/>
              <w:rPr>
                <w:rFonts w:cs="Calibri"/>
                <w:szCs w:val="16"/>
              </w:rPr>
            </w:pPr>
            <w:r w:rsidRPr="00FD12D3">
              <w:rPr>
                <w:rFonts w:eastAsia="Calibri" w:cs="Calibri"/>
                <w:szCs w:val="16"/>
              </w:rPr>
              <w:t>Disaggregated data do not exist for all years for all fuels.</w:t>
            </w:r>
          </w:p>
        </w:tc>
      </w:tr>
      <w:tr w:rsidR="00502238" w:rsidRPr="00FD12D3" w14:paraId="2D6417B0" w14:textId="77777777" w:rsidTr="00F32658">
        <w:tc>
          <w:tcPr>
            <w:tcW w:w="1546" w:type="dxa"/>
            <w:shd w:val="clear" w:color="auto" w:fill="FFFFFF" w:themeFill="background1"/>
            <w:tcMar>
              <w:top w:w="0" w:type="dxa"/>
              <w:left w:w="85" w:type="dxa"/>
              <w:bottom w:w="0" w:type="dxa"/>
              <w:right w:w="57" w:type="dxa"/>
            </w:tcMar>
          </w:tcPr>
          <w:p w14:paraId="0677019D" w14:textId="77777777" w:rsidR="00502238" w:rsidRPr="00FD12D3" w:rsidRDefault="00502238" w:rsidP="00F16E23">
            <w:pPr>
              <w:pStyle w:val="TableText"/>
              <w:spacing w:before="40" w:after="40"/>
              <w:rPr>
                <w:rFonts w:cs="Calibri"/>
                <w:szCs w:val="16"/>
              </w:rPr>
            </w:pPr>
            <w:r w:rsidRPr="00FD12D3">
              <w:rPr>
                <w:rFonts w:eastAsia="Calibri" w:cs="Calibri"/>
                <w:szCs w:val="16"/>
              </w:rPr>
              <w:t>1.A.4.c.ii–iii </w:t>
            </w:r>
          </w:p>
        </w:tc>
        <w:tc>
          <w:tcPr>
            <w:tcW w:w="1929" w:type="dxa"/>
            <w:shd w:val="clear" w:color="auto" w:fill="FFFFFF" w:themeFill="background1"/>
            <w:tcMar>
              <w:top w:w="0" w:type="dxa"/>
              <w:left w:w="85" w:type="dxa"/>
              <w:bottom w:w="0" w:type="dxa"/>
              <w:right w:w="57" w:type="dxa"/>
            </w:tcMar>
          </w:tcPr>
          <w:p w14:paraId="1E85853B" w14:textId="77777777" w:rsidR="00502238" w:rsidRPr="00FD12D3" w:rsidRDefault="00502238" w:rsidP="00F16E23">
            <w:pPr>
              <w:pStyle w:val="TableText"/>
              <w:spacing w:before="40" w:after="40"/>
              <w:rPr>
                <w:rFonts w:cs="Calibri"/>
                <w:szCs w:val="16"/>
              </w:rPr>
            </w:pPr>
            <w:r w:rsidRPr="00FD12D3">
              <w:rPr>
                <w:rFonts w:eastAsia="Calibri" w:cs="Calibri"/>
                <w:szCs w:val="16"/>
              </w:rPr>
              <w:t>Agriculture/forestry/fishing – Off-road vehicles and other machinery/Gaseous fuels, Liquefied petroleum gases (LPG)</w:t>
            </w:r>
          </w:p>
        </w:tc>
        <w:tc>
          <w:tcPr>
            <w:tcW w:w="1841" w:type="dxa"/>
            <w:shd w:val="clear" w:color="auto" w:fill="FFFFFF" w:themeFill="background1"/>
            <w:tcMar>
              <w:top w:w="0" w:type="dxa"/>
              <w:left w:w="85" w:type="dxa"/>
              <w:bottom w:w="0" w:type="dxa"/>
              <w:right w:w="57" w:type="dxa"/>
            </w:tcMar>
          </w:tcPr>
          <w:p w14:paraId="0354EDD2" w14:textId="77777777" w:rsidR="00502238" w:rsidRPr="00FD12D3" w:rsidRDefault="00502238" w:rsidP="00F16E23">
            <w:pPr>
              <w:pStyle w:val="TableText"/>
              <w:spacing w:before="40" w:after="40"/>
              <w:rPr>
                <w:rFonts w:cs="Calibri"/>
                <w:szCs w:val="16"/>
              </w:rPr>
            </w:pPr>
            <w:r w:rsidRPr="00FD12D3">
              <w:rPr>
                <w:rFonts w:eastAsia="Calibri" w:cs="Calibri"/>
                <w:szCs w:val="16"/>
              </w:rPr>
              <w:t>1.A.4.c.i – Agriculture/ forestry/fishing – Stationary </w:t>
            </w:r>
          </w:p>
        </w:tc>
        <w:tc>
          <w:tcPr>
            <w:tcW w:w="3178" w:type="dxa"/>
            <w:shd w:val="clear" w:color="auto" w:fill="FFFFFF" w:themeFill="background1"/>
            <w:tcMar>
              <w:top w:w="0" w:type="dxa"/>
              <w:left w:w="85" w:type="dxa"/>
              <w:bottom w:w="0" w:type="dxa"/>
              <w:right w:w="57" w:type="dxa"/>
            </w:tcMar>
          </w:tcPr>
          <w:p w14:paraId="6C344C68" w14:textId="77777777" w:rsidR="00502238" w:rsidRPr="00FD12D3" w:rsidRDefault="00502238" w:rsidP="00F16E23">
            <w:pPr>
              <w:pStyle w:val="TableText"/>
              <w:spacing w:before="40" w:after="40"/>
              <w:rPr>
                <w:rFonts w:cs="Calibri"/>
                <w:szCs w:val="16"/>
              </w:rPr>
            </w:pPr>
            <w:r w:rsidRPr="00FD12D3">
              <w:rPr>
                <w:rFonts w:eastAsia="Calibri" w:cs="Calibri"/>
                <w:szCs w:val="16"/>
              </w:rPr>
              <w:t>Agriculture/forestry/fishing has not been disaggregated into stationary, mobile and fishing for some fuels because data are not available. </w:t>
            </w:r>
          </w:p>
        </w:tc>
      </w:tr>
      <w:tr w:rsidR="00502238" w:rsidRPr="00FD12D3" w14:paraId="7EF86071" w14:textId="77777777" w:rsidTr="00F32658">
        <w:tc>
          <w:tcPr>
            <w:tcW w:w="1546" w:type="dxa"/>
            <w:shd w:val="clear" w:color="auto" w:fill="FFFFFF" w:themeFill="background1"/>
            <w:tcMar>
              <w:top w:w="0" w:type="dxa"/>
              <w:left w:w="85" w:type="dxa"/>
              <w:bottom w:w="0" w:type="dxa"/>
              <w:right w:w="57" w:type="dxa"/>
            </w:tcMar>
          </w:tcPr>
          <w:p w14:paraId="73ED86B0" w14:textId="77777777" w:rsidR="00502238" w:rsidRPr="00FD12D3" w:rsidRDefault="00502238" w:rsidP="00F16E23">
            <w:pPr>
              <w:pStyle w:val="TableText"/>
              <w:spacing w:before="40" w:after="40"/>
              <w:rPr>
                <w:rFonts w:cs="Calibri"/>
                <w:szCs w:val="16"/>
              </w:rPr>
            </w:pPr>
            <w:r w:rsidRPr="00FD12D3">
              <w:rPr>
                <w:rFonts w:eastAsia="Calibri" w:cs="Calibri"/>
                <w:szCs w:val="16"/>
              </w:rPr>
              <w:t>1.B.2.b.1 </w:t>
            </w:r>
          </w:p>
        </w:tc>
        <w:tc>
          <w:tcPr>
            <w:tcW w:w="1929" w:type="dxa"/>
            <w:shd w:val="clear" w:color="auto" w:fill="FFFFFF" w:themeFill="background1"/>
            <w:tcMar>
              <w:top w:w="0" w:type="dxa"/>
              <w:left w:w="85" w:type="dxa"/>
              <w:bottom w:w="0" w:type="dxa"/>
              <w:right w:w="57" w:type="dxa"/>
            </w:tcMar>
          </w:tcPr>
          <w:p w14:paraId="7A550046" w14:textId="77777777" w:rsidR="00502238" w:rsidRPr="00FD12D3" w:rsidRDefault="00502238" w:rsidP="00F16E23">
            <w:pPr>
              <w:pStyle w:val="TableText"/>
              <w:spacing w:before="40" w:after="40"/>
              <w:rPr>
                <w:rFonts w:cs="Calibri"/>
                <w:szCs w:val="16"/>
              </w:rPr>
            </w:pPr>
            <w:r w:rsidRPr="00FD12D3">
              <w:rPr>
                <w:rFonts w:eastAsia="Calibri" w:cs="Calibri"/>
                <w:szCs w:val="16"/>
              </w:rPr>
              <w:t>Natural gas/exploration </w:t>
            </w:r>
          </w:p>
        </w:tc>
        <w:tc>
          <w:tcPr>
            <w:tcW w:w="1841" w:type="dxa"/>
            <w:shd w:val="clear" w:color="auto" w:fill="FFFFFF" w:themeFill="background1"/>
            <w:tcMar>
              <w:top w:w="0" w:type="dxa"/>
              <w:left w:w="85" w:type="dxa"/>
              <w:bottom w:w="0" w:type="dxa"/>
              <w:right w:w="57" w:type="dxa"/>
            </w:tcMar>
          </w:tcPr>
          <w:p w14:paraId="29F884D4" w14:textId="77777777" w:rsidR="00502238" w:rsidRPr="00FD12D3" w:rsidRDefault="00502238" w:rsidP="00F16E23">
            <w:pPr>
              <w:pStyle w:val="TableText"/>
              <w:spacing w:before="40" w:after="40"/>
              <w:rPr>
                <w:rFonts w:cs="Calibri"/>
                <w:szCs w:val="16"/>
              </w:rPr>
            </w:pPr>
            <w:r w:rsidRPr="00FD12D3">
              <w:rPr>
                <w:rFonts w:eastAsia="Calibri" w:cs="Calibri"/>
                <w:szCs w:val="16"/>
              </w:rPr>
              <w:t>1.B.2.a.1 – Oil exploration </w:t>
            </w:r>
          </w:p>
        </w:tc>
        <w:tc>
          <w:tcPr>
            <w:tcW w:w="3178" w:type="dxa"/>
            <w:shd w:val="clear" w:color="auto" w:fill="FFFFFF" w:themeFill="background1"/>
            <w:tcMar>
              <w:top w:w="0" w:type="dxa"/>
              <w:left w:w="85" w:type="dxa"/>
              <w:bottom w:w="0" w:type="dxa"/>
              <w:right w:w="57" w:type="dxa"/>
            </w:tcMar>
          </w:tcPr>
          <w:p w14:paraId="3E0C752F" w14:textId="77777777" w:rsidR="00502238" w:rsidRPr="00FD12D3" w:rsidRDefault="00502238" w:rsidP="00F16E23">
            <w:pPr>
              <w:pStyle w:val="TableText"/>
              <w:spacing w:before="40" w:after="40"/>
              <w:rPr>
                <w:rFonts w:cs="Calibri"/>
                <w:szCs w:val="16"/>
              </w:rPr>
            </w:pPr>
            <w:r w:rsidRPr="00FD12D3">
              <w:rPr>
                <w:rFonts w:eastAsia="Calibri" w:cs="Calibri"/>
                <w:szCs w:val="16"/>
              </w:rPr>
              <w:t>In New Zealand, oil exploration is not separated from gas exploration by planning, processes, equipment or resources. The exploratory wells are drilled without distinction of their purpose, that is, whether the expected outcome is oil, gas, both or neither, and there is no reliable way to predict which it would be to estimate proportions of mostly oil and mostly gas wells. Disaggregated data for oil and gas exploration, therefore, do not exist. Considering that available emission factors for well drilling and testing also do not distinguish between oil and gas, all emissions from oil and gas exploration are reported in the oil exploration category.</w:t>
            </w:r>
          </w:p>
        </w:tc>
      </w:tr>
      <w:tr w:rsidR="00502238" w:rsidRPr="00FD12D3" w14:paraId="615962AB" w14:textId="77777777" w:rsidTr="00F32658">
        <w:tc>
          <w:tcPr>
            <w:tcW w:w="1546" w:type="dxa"/>
            <w:shd w:val="clear" w:color="auto" w:fill="FFFFFF" w:themeFill="background1"/>
            <w:tcMar>
              <w:top w:w="0" w:type="dxa"/>
              <w:left w:w="85" w:type="dxa"/>
              <w:bottom w:w="0" w:type="dxa"/>
              <w:right w:w="57" w:type="dxa"/>
            </w:tcMar>
          </w:tcPr>
          <w:p w14:paraId="1998BD20" w14:textId="77777777" w:rsidR="00502238" w:rsidRPr="00FD12D3" w:rsidRDefault="00502238" w:rsidP="00F16E23">
            <w:pPr>
              <w:pStyle w:val="TableText"/>
              <w:spacing w:before="40" w:after="40"/>
              <w:rPr>
                <w:rFonts w:cs="Calibri"/>
                <w:szCs w:val="16"/>
              </w:rPr>
            </w:pPr>
            <w:r w:rsidRPr="00FD12D3">
              <w:rPr>
                <w:rFonts w:eastAsia="Calibri" w:cs="Calibri"/>
                <w:szCs w:val="16"/>
              </w:rPr>
              <w:t>1.B.2.c.1.i </w:t>
            </w:r>
          </w:p>
        </w:tc>
        <w:tc>
          <w:tcPr>
            <w:tcW w:w="1929" w:type="dxa"/>
            <w:shd w:val="clear" w:color="auto" w:fill="FFFFFF" w:themeFill="background1"/>
            <w:tcMar>
              <w:top w:w="0" w:type="dxa"/>
              <w:left w:w="85" w:type="dxa"/>
              <w:bottom w:w="0" w:type="dxa"/>
              <w:right w:w="57" w:type="dxa"/>
            </w:tcMar>
          </w:tcPr>
          <w:p w14:paraId="139C21A9" w14:textId="77777777" w:rsidR="00502238" w:rsidRPr="00FD12D3" w:rsidRDefault="00502238" w:rsidP="00F16E23">
            <w:pPr>
              <w:pStyle w:val="TableText"/>
              <w:spacing w:before="40" w:after="40"/>
              <w:rPr>
                <w:rFonts w:cs="Calibri"/>
                <w:szCs w:val="16"/>
              </w:rPr>
            </w:pPr>
            <w:r w:rsidRPr="00FD12D3">
              <w:rPr>
                <w:rFonts w:eastAsia="Calibri" w:cs="Calibri"/>
                <w:szCs w:val="16"/>
              </w:rPr>
              <w:t>Venting/oil and Venting/gas</w:t>
            </w:r>
          </w:p>
        </w:tc>
        <w:tc>
          <w:tcPr>
            <w:tcW w:w="1841" w:type="dxa"/>
            <w:shd w:val="clear" w:color="auto" w:fill="FFFFFF" w:themeFill="background1"/>
            <w:tcMar>
              <w:top w:w="0" w:type="dxa"/>
              <w:left w:w="85" w:type="dxa"/>
              <w:bottom w:w="0" w:type="dxa"/>
              <w:right w:w="57" w:type="dxa"/>
            </w:tcMar>
          </w:tcPr>
          <w:p w14:paraId="67C40A3D" w14:textId="77777777" w:rsidR="00502238" w:rsidRPr="00FD12D3" w:rsidRDefault="00502238" w:rsidP="00F16E23">
            <w:pPr>
              <w:pStyle w:val="TableText"/>
              <w:spacing w:before="40" w:after="40"/>
              <w:rPr>
                <w:rFonts w:cs="Calibri"/>
                <w:szCs w:val="16"/>
              </w:rPr>
            </w:pPr>
            <w:r w:rsidRPr="00FD12D3">
              <w:rPr>
                <w:rFonts w:eastAsia="Calibri" w:cs="Calibri"/>
                <w:szCs w:val="16"/>
              </w:rPr>
              <w:t>1.B.2.c.1.iii – Venting/ combined </w:t>
            </w:r>
          </w:p>
        </w:tc>
        <w:tc>
          <w:tcPr>
            <w:tcW w:w="3178" w:type="dxa"/>
            <w:shd w:val="clear" w:color="auto" w:fill="FFFFFF" w:themeFill="background1"/>
            <w:tcMar>
              <w:top w:w="0" w:type="dxa"/>
              <w:left w:w="85" w:type="dxa"/>
              <w:bottom w:w="0" w:type="dxa"/>
              <w:right w:w="57" w:type="dxa"/>
            </w:tcMar>
          </w:tcPr>
          <w:p w14:paraId="66C9A8B0" w14:textId="77777777" w:rsidR="00502238" w:rsidRPr="00FD12D3" w:rsidRDefault="00502238" w:rsidP="00F16E23">
            <w:pPr>
              <w:pStyle w:val="TableText"/>
              <w:spacing w:before="40" w:after="40"/>
              <w:rPr>
                <w:rFonts w:cs="Calibri"/>
                <w:szCs w:val="16"/>
              </w:rPr>
            </w:pPr>
            <w:r w:rsidRPr="00FD12D3">
              <w:rPr>
                <w:rFonts w:eastAsia="Calibri" w:cs="Calibri"/>
                <w:szCs w:val="16"/>
              </w:rPr>
              <w:t>The fields produce both oil and gas and, therefore, are reported as combined. Disaggregated data do not exist. </w:t>
            </w:r>
          </w:p>
        </w:tc>
      </w:tr>
      <w:tr w:rsidR="00502238" w:rsidRPr="00FD12D3" w14:paraId="6CEABA29" w14:textId="77777777" w:rsidTr="00F32658">
        <w:tc>
          <w:tcPr>
            <w:tcW w:w="1546" w:type="dxa"/>
            <w:shd w:val="clear" w:color="auto" w:fill="FFFFFF" w:themeFill="background1"/>
            <w:tcMar>
              <w:top w:w="0" w:type="dxa"/>
              <w:left w:w="85" w:type="dxa"/>
              <w:bottom w:w="0" w:type="dxa"/>
              <w:right w:w="57" w:type="dxa"/>
            </w:tcMar>
          </w:tcPr>
          <w:p w14:paraId="3D2B2831" w14:textId="77777777" w:rsidR="00502238" w:rsidRPr="00FD12D3" w:rsidRDefault="00502238" w:rsidP="00F16E23">
            <w:pPr>
              <w:pStyle w:val="TableText"/>
              <w:spacing w:before="40" w:after="40"/>
              <w:rPr>
                <w:rFonts w:cs="Calibri"/>
                <w:szCs w:val="16"/>
              </w:rPr>
            </w:pPr>
            <w:r w:rsidRPr="00FD12D3">
              <w:rPr>
                <w:rFonts w:eastAsia="Calibri" w:cs="Calibri"/>
                <w:szCs w:val="16"/>
              </w:rPr>
              <w:t>1.B.2.c.2.i–ii </w:t>
            </w:r>
          </w:p>
        </w:tc>
        <w:tc>
          <w:tcPr>
            <w:tcW w:w="1929" w:type="dxa"/>
            <w:shd w:val="clear" w:color="auto" w:fill="FFFFFF" w:themeFill="background1"/>
            <w:tcMar>
              <w:top w:w="0" w:type="dxa"/>
              <w:left w:w="85" w:type="dxa"/>
              <w:bottom w:w="0" w:type="dxa"/>
              <w:right w:w="57" w:type="dxa"/>
            </w:tcMar>
          </w:tcPr>
          <w:p w14:paraId="3BB1B31F" w14:textId="77777777" w:rsidR="00502238" w:rsidRPr="00FD12D3" w:rsidRDefault="00502238" w:rsidP="00F16E23">
            <w:pPr>
              <w:pStyle w:val="TableText"/>
              <w:spacing w:before="40" w:after="40"/>
              <w:rPr>
                <w:rFonts w:cs="Calibri"/>
                <w:szCs w:val="16"/>
              </w:rPr>
            </w:pPr>
            <w:r w:rsidRPr="00FD12D3">
              <w:rPr>
                <w:rFonts w:eastAsia="Calibri" w:cs="Calibri"/>
                <w:szCs w:val="16"/>
              </w:rPr>
              <w:t>Flaring/oil and Flaring/gas </w:t>
            </w:r>
          </w:p>
        </w:tc>
        <w:tc>
          <w:tcPr>
            <w:tcW w:w="1841" w:type="dxa"/>
            <w:shd w:val="clear" w:color="auto" w:fill="FFFFFF" w:themeFill="background1"/>
            <w:tcMar>
              <w:top w:w="0" w:type="dxa"/>
              <w:left w:w="85" w:type="dxa"/>
              <w:bottom w:w="0" w:type="dxa"/>
              <w:right w:w="57" w:type="dxa"/>
            </w:tcMar>
          </w:tcPr>
          <w:p w14:paraId="2B318581" w14:textId="77777777" w:rsidR="00502238" w:rsidRPr="00FD12D3" w:rsidRDefault="00502238" w:rsidP="00F16E23">
            <w:pPr>
              <w:pStyle w:val="TableText"/>
              <w:spacing w:before="40" w:after="40"/>
              <w:rPr>
                <w:rFonts w:cs="Calibri"/>
                <w:szCs w:val="16"/>
              </w:rPr>
            </w:pPr>
            <w:r w:rsidRPr="00FD12D3">
              <w:rPr>
                <w:rFonts w:eastAsia="Calibri" w:cs="Calibri"/>
                <w:szCs w:val="16"/>
              </w:rPr>
              <w:t>1.B.2.c.1.iii – Flaring/ combined </w:t>
            </w:r>
          </w:p>
        </w:tc>
        <w:tc>
          <w:tcPr>
            <w:tcW w:w="3178" w:type="dxa"/>
            <w:shd w:val="clear" w:color="auto" w:fill="FFFFFF" w:themeFill="background1"/>
            <w:tcMar>
              <w:top w:w="0" w:type="dxa"/>
              <w:left w:w="85" w:type="dxa"/>
              <w:bottom w:w="0" w:type="dxa"/>
              <w:right w:w="57" w:type="dxa"/>
            </w:tcMar>
          </w:tcPr>
          <w:p w14:paraId="25DB6627" w14:textId="77777777" w:rsidR="00502238" w:rsidRPr="00FD12D3" w:rsidRDefault="00502238" w:rsidP="00F16E23">
            <w:pPr>
              <w:pStyle w:val="TableText"/>
              <w:spacing w:before="40" w:after="40"/>
              <w:rPr>
                <w:rFonts w:cs="Calibri"/>
                <w:szCs w:val="16"/>
              </w:rPr>
            </w:pPr>
            <w:r w:rsidRPr="00FD12D3">
              <w:rPr>
                <w:rFonts w:eastAsia="Calibri" w:cs="Calibri"/>
                <w:szCs w:val="16"/>
              </w:rPr>
              <w:t>The fields produce both oil and gas and, therefore, are reported as combined. Disaggregated data do not exist. </w:t>
            </w:r>
          </w:p>
        </w:tc>
      </w:tr>
      <w:tr w:rsidR="00502238" w:rsidRPr="00FD12D3" w14:paraId="2B7A3F8D" w14:textId="77777777" w:rsidTr="00F32658">
        <w:tc>
          <w:tcPr>
            <w:tcW w:w="3475" w:type="dxa"/>
            <w:gridSpan w:val="2"/>
            <w:shd w:val="clear" w:color="auto" w:fill="FFFFFF" w:themeFill="background1"/>
            <w:tcMar>
              <w:top w:w="0" w:type="dxa"/>
              <w:left w:w="85" w:type="dxa"/>
              <w:bottom w:w="0" w:type="dxa"/>
              <w:right w:w="57" w:type="dxa"/>
            </w:tcMar>
          </w:tcPr>
          <w:p w14:paraId="03F4A87D" w14:textId="77777777" w:rsidR="00502238" w:rsidRPr="00FD12D3" w:rsidRDefault="00502238" w:rsidP="00F16E23">
            <w:pPr>
              <w:pStyle w:val="TableText"/>
              <w:keepNext/>
              <w:spacing w:before="40" w:after="40"/>
              <w:rPr>
                <w:rFonts w:cs="Calibri"/>
                <w:b/>
                <w:bCs/>
                <w:szCs w:val="16"/>
              </w:rPr>
            </w:pPr>
            <w:r w:rsidRPr="00FD12D3">
              <w:rPr>
                <w:rFonts w:eastAsia="Calibri" w:cs="Calibri"/>
                <w:b/>
                <w:bCs/>
                <w:szCs w:val="16"/>
              </w:rPr>
              <w:t>Industrial Processes and Product Use</w:t>
            </w:r>
          </w:p>
        </w:tc>
        <w:tc>
          <w:tcPr>
            <w:tcW w:w="1841" w:type="dxa"/>
            <w:shd w:val="clear" w:color="auto" w:fill="FFFFFF" w:themeFill="background1"/>
            <w:tcMar>
              <w:top w:w="0" w:type="dxa"/>
              <w:left w:w="85" w:type="dxa"/>
              <w:bottom w:w="0" w:type="dxa"/>
              <w:right w:w="57" w:type="dxa"/>
            </w:tcMar>
          </w:tcPr>
          <w:p w14:paraId="5BF084F9" w14:textId="77777777" w:rsidR="00502238" w:rsidRPr="00FD12D3" w:rsidRDefault="00502238" w:rsidP="00F16E23">
            <w:pPr>
              <w:pStyle w:val="TableText"/>
              <w:keepNext/>
              <w:spacing w:before="40" w:after="40"/>
              <w:rPr>
                <w:rFonts w:cs="Calibri"/>
                <w:b/>
                <w:bCs/>
                <w:szCs w:val="16"/>
              </w:rPr>
            </w:pPr>
          </w:p>
        </w:tc>
        <w:tc>
          <w:tcPr>
            <w:tcW w:w="3178" w:type="dxa"/>
            <w:shd w:val="clear" w:color="auto" w:fill="FFFFFF" w:themeFill="background1"/>
            <w:tcMar>
              <w:top w:w="0" w:type="dxa"/>
              <w:left w:w="85" w:type="dxa"/>
              <w:bottom w:w="0" w:type="dxa"/>
              <w:right w:w="57" w:type="dxa"/>
            </w:tcMar>
          </w:tcPr>
          <w:p w14:paraId="352A1BD3" w14:textId="77777777" w:rsidR="00502238" w:rsidRPr="00FD12D3" w:rsidRDefault="00502238" w:rsidP="00F16E23">
            <w:pPr>
              <w:pStyle w:val="TableText"/>
              <w:keepNext/>
              <w:spacing w:before="40" w:after="40"/>
              <w:rPr>
                <w:rFonts w:cs="Calibri"/>
                <w:b/>
                <w:bCs/>
                <w:szCs w:val="16"/>
              </w:rPr>
            </w:pPr>
          </w:p>
        </w:tc>
      </w:tr>
      <w:tr w:rsidR="00502238" w:rsidRPr="00FD12D3" w14:paraId="055CF893" w14:textId="77777777" w:rsidTr="00F32658">
        <w:tc>
          <w:tcPr>
            <w:tcW w:w="1546" w:type="dxa"/>
            <w:shd w:val="clear" w:color="auto" w:fill="FFFFFF" w:themeFill="background1"/>
            <w:tcMar>
              <w:top w:w="0" w:type="dxa"/>
              <w:left w:w="85" w:type="dxa"/>
              <w:bottom w:w="0" w:type="dxa"/>
              <w:right w:w="57" w:type="dxa"/>
            </w:tcMar>
          </w:tcPr>
          <w:p w14:paraId="0BE4CC28" w14:textId="77777777" w:rsidR="00502238" w:rsidRPr="00FD12D3" w:rsidRDefault="00502238" w:rsidP="00F16E23">
            <w:pPr>
              <w:pStyle w:val="TableText"/>
              <w:keepNext/>
              <w:spacing w:before="40" w:after="40"/>
              <w:rPr>
                <w:rFonts w:cs="Calibri"/>
                <w:szCs w:val="16"/>
              </w:rPr>
            </w:pPr>
            <w:r w:rsidRPr="00FD12D3">
              <w:rPr>
                <w:rFonts w:eastAsia="Calibri" w:cs="Calibri"/>
                <w:szCs w:val="16"/>
              </w:rPr>
              <w:t>2.A.3 </w:t>
            </w:r>
          </w:p>
        </w:tc>
        <w:tc>
          <w:tcPr>
            <w:tcW w:w="1929" w:type="dxa"/>
            <w:shd w:val="clear" w:color="auto" w:fill="FFFFFF" w:themeFill="background1"/>
            <w:tcMar>
              <w:top w:w="0" w:type="dxa"/>
              <w:left w:w="85" w:type="dxa"/>
              <w:bottom w:w="0" w:type="dxa"/>
              <w:right w:w="57" w:type="dxa"/>
            </w:tcMar>
          </w:tcPr>
          <w:p w14:paraId="6378DC64" w14:textId="77777777" w:rsidR="00502238" w:rsidRPr="00FD12D3" w:rsidRDefault="00502238" w:rsidP="00F16E23">
            <w:pPr>
              <w:pStyle w:val="TableText"/>
              <w:keepNext/>
              <w:spacing w:before="40" w:after="40"/>
              <w:rPr>
                <w:rFonts w:cs="Calibri"/>
                <w:szCs w:val="16"/>
              </w:rPr>
            </w:pPr>
            <w:r w:rsidRPr="00FD12D3">
              <w:rPr>
                <w:rFonts w:eastAsia="Calibri" w:cs="Calibri"/>
                <w:szCs w:val="16"/>
              </w:rPr>
              <w:t>Glass production </w:t>
            </w:r>
          </w:p>
        </w:tc>
        <w:tc>
          <w:tcPr>
            <w:tcW w:w="1841" w:type="dxa"/>
            <w:shd w:val="clear" w:color="auto" w:fill="FFFFFF" w:themeFill="background1"/>
            <w:tcMar>
              <w:top w:w="0" w:type="dxa"/>
              <w:left w:w="85" w:type="dxa"/>
              <w:bottom w:w="0" w:type="dxa"/>
              <w:right w:w="57" w:type="dxa"/>
            </w:tcMar>
          </w:tcPr>
          <w:p w14:paraId="2EABDB92" w14:textId="77777777" w:rsidR="00502238" w:rsidRPr="00FD12D3" w:rsidRDefault="00502238" w:rsidP="00F16E23">
            <w:pPr>
              <w:pStyle w:val="TableText"/>
              <w:keepNext/>
              <w:spacing w:before="40" w:after="40"/>
              <w:rPr>
                <w:rFonts w:cs="Calibri"/>
                <w:szCs w:val="16"/>
              </w:rPr>
            </w:pPr>
            <w:r w:rsidRPr="00FD12D3">
              <w:rPr>
                <w:rFonts w:eastAsia="Calibri" w:cs="Calibri"/>
                <w:szCs w:val="16"/>
              </w:rPr>
              <w:t>2.A.4.b – Other process uses of carbonates/Other uses of soda ash </w:t>
            </w:r>
          </w:p>
        </w:tc>
        <w:tc>
          <w:tcPr>
            <w:tcW w:w="3178" w:type="dxa"/>
            <w:shd w:val="clear" w:color="auto" w:fill="FFFFFF" w:themeFill="background1"/>
            <w:tcMar>
              <w:top w:w="0" w:type="dxa"/>
              <w:left w:w="85" w:type="dxa"/>
              <w:bottom w:w="0" w:type="dxa"/>
              <w:right w:w="57" w:type="dxa"/>
            </w:tcMar>
          </w:tcPr>
          <w:p w14:paraId="12133174" w14:textId="77777777" w:rsidR="00502238" w:rsidRPr="00FD12D3" w:rsidRDefault="00502238" w:rsidP="00F16E23">
            <w:pPr>
              <w:pStyle w:val="TableText"/>
              <w:keepNext/>
              <w:spacing w:before="40" w:after="40"/>
              <w:rPr>
                <w:rFonts w:cs="Calibri"/>
                <w:szCs w:val="16"/>
              </w:rPr>
            </w:pPr>
            <w:r w:rsidRPr="00FD12D3">
              <w:rPr>
                <w:rFonts w:eastAsia="Calibri" w:cs="Calibri"/>
                <w:szCs w:val="16"/>
              </w:rPr>
              <w:t>Carbon dioxide emissions are reported in 2.A.4.b because this aggregates emissions from glass production with other uses of carbonates, due to confidentiality concerns for both glass and aluminium production. A very small number of firms in New Zealand are involved in these activities and using carbonates. </w:t>
            </w:r>
          </w:p>
        </w:tc>
      </w:tr>
      <w:tr w:rsidR="00502238" w:rsidRPr="00FD12D3" w14:paraId="0D373CD0" w14:textId="77777777" w:rsidTr="00F32658">
        <w:tc>
          <w:tcPr>
            <w:tcW w:w="1546" w:type="dxa"/>
            <w:shd w:val="clear" w:color="auto" w:fill="FFFFFF" w:themeFill="background1"/>
            <w:tcMar>
              <w:top w:w="0" w:type="dxa"/>
              <w:left w:w="85" w:type="dxa"/>
              <w:bottom w:w="0" w:type="dxa"/>
              <w:right w:w="57" w:type="dxa"/>
            </w:tcMar>
          </w:tcPr>
          <w:p w14:paraId="5AB8D32D" w14:textId="77777777" w:rsidR="00502238" w:rsidRPr="00FD12D3" w:rsidRDefault="00502238" w:rsidP="00F16E23">
            <w:pPr>
              <w:pStyle w:val="TableText"/>
              <w:spacing w:before="40" w:after="40"/>
              <w:rPr>
                <w:rFonts w:cs="Calibri"/>
                <w:b/>
                <w:bCs/>
                <w:szCs w:val="16"/>
              </w:rPr>
            </w:pPr>
            <w:r w:rsidRPr="00FD12D3">
              <w:rPr>
                <w:rFonts w:eastAsia="Calibri" w:cs="Calibri"/>
                <w:b/>
                <w:bCs/>
                <w:szCs w:val="16"/>
              </w:rPr>
              <w:t>Agriculture</w:t>
            </w:r>
          </w:p>
        </w:tc>
        <w:tc>
          <w:tcPr>
            <w:tcW w:w="1929" w:type="dxa"/>
            <w:shd w:val="clear" w:color="auto" w:fill="FFFFFF" w:themeFill="background1"/>
            <w:tcMar>
              <w:top w:w="0" w:type="dxa"/>
              <w:left w:w="85" w:type="dxa"/>
              <w:bottom w:w="0" w:type="dxa"/>
              <w:right w:w="57" w:type="dxa"/>
            </w:tcMar>
          </w:tcPr>
          <w:p w14:paraId="7F8A52E4" w14:textId="77777777" w:rsidR="00502238" w:rsidRPr="00FD12D3" w:rsidRDefault="00502238" w:rsidP="00F16E23">
            <w:pPr>
              <w:pStyle w:val="TableText"/>
              <w:spacing w:before="40" w:after="40"/>
              <w:rPr>
                <w:rFonts w:cs="Calibri"/>
                <w:b/>
                <w:bCs/>
                <w:szCs w:val="16"/>
              </w:rPr>
            </w:pPr>
          </w:p>
        </w:tc>
        <w:tc>
          <w:tcPr>
            <w:tcW w:w="1841" w:type="dxa"/>
            <w:shd w:val="clear" w:color="auto" w:fill="FFFFFF" w:themeFill="background1"/>
            <w:tcMar>
              <w:top w:w="0" w:type="dxa"/>
              <w:left w:w="85" w:type="dxa"/>
              <w:bottom w:w="0" w:type="dxa"/>
              <w:right w:w="57" w:type="dxa"/>
            </w:tcMar>
          </w:tcPr>
          <w:p w14:paraId="789AE418" w14:textId="77777777" w:rsidR="00502238" w:rsidRPr="00FD12D3" w:rsidRDefault="00502238" w:rsidP="00F16E23">
            <w:pPr>
              <w:pStyle w:val="TableText"/>
              <w:spacing w:before="40" w:after="40"/>
              <w:rPr>
                <w:rFonts w:cs="Calibri"/>
                <w:b/>
                <w:bCs/>
                <w:szCs w:val="16"/>
              </w:rPr>
            </w:pPr>
          </w:p>
        </w:tc>
        <w:tc>
          <w:tcPr>
            <w:tcW w:w="3178" w:type="dxa"/>
            <w:shd w:val="clear" w:color="auto" w:fill="FFFFFF" w:themeFill="background1"/>
            <w:tcMar>
              <w:top w:w="0" w:type="dxa"/>
              <w:left w:w="85" w:type="dxa"/>
              <w:bottom w:w="0" w:type="dxa"/>
              <w:right w:w="57" w:type="dxa"/>
            </w:tcMar>
          </w:tcPr>
          <w:p w14:paraId="692D62E1" w14:textId="77777777" w:rsidR="00502238" w:rsidRPr="00FD12D3" w:rsidRDefault="00502238" w:rsidP="00F16E23">
            <w:pPr>
              <w:pStyle w:val="TableText"/>
              <w:spacing w:before="40" w:after="40"/>
              <w:rPr>
                <w:rFonts w:cs="Calibri"/>
                <w:b/>
                <w:bCs/>
                <w:szCs w:val="16"/>
              </w:rPr>
            </w:pPr>
          </w:p>
        </w:tc>
      </w:tr>
      <w:tr w:rsidR="00502238" w:rsidRPr="00FD12D3" w14:paraId="5BEDD93E" w14:textId="77777777" w:rsidTr="00F32658">
        <w:tc>
          <w:tcPr>
            <w:tcW w:w="1546" w:type="dxa"/>
            <w:shd w:val="clear" w:color="auto" w:fill="FFFFFF" w:themeFill="background1"/>
            <w:tcMar>
              <w:top w:w="0" w:type="dxa"/>
              <w:left w:w="85" w:type="dxa"/>
              <w:bottom w:w="0" w:type="dxa"/>
              <w:right w:w="57" w:type="dxa"/>
            </w:tcMar>
          </w:tcPr>
          <w:p w14:paraId="1B24C0B2" w14:textId="77777777" w:rsidR="00502238" w:rsidRPr="00FD12D3" w:rsidRDefault="00502238" w:rsidP="00F16E23">
            <w:pPr>
              <w:pStyle w:val="TableText"/>
              <w:spacing w:before="40" w:after="40"/>
              <w:rPr>
                <w:rFonts w:cs="Calibri"/>
                <w:szCs w:val="16"/>
              </w:rPr>
            </w:pPr>
            <w:r w:rsidRPr="00FD12D3">
              <w:rPr>
                <w:rFonts w:eastAsia="Calibri" w:cs="Calibri"/>
                <w:szCs w:val="16"/>
              </w:rPr>
              <w:t>3.E </w:t>
            </w:r>
          </w:p>
        </w:tc>
        <w:tc>
          <w:tcPr>
            <w:tcW w:w="1929" w:type="dxa"/>
            <w:shd w:val="clear" w:color="auto" w:fill="FFFFFF" w:themeFill="background1"/>
            <w:tcMar>
              <w:top w:w="0" w:type="dxa"/>
              <w:left w:w="85" w:type="dxa"/>
              <w:bottom w:w="0" w:type="dxa"/>
              <w:right w:w="57" w:type="dxa"/>
            </w:tcMar>
          </w:tcPr>
          <w:p w14:paraId="6C012AED" w14:textId="77777777" w:rsidR="00502238" w:rsidRPr="00FD12D3" w:rsidRDefault="00502238" w:rsidP="00F16E23">
            <w:pPr>
              <w:pStyle w:val="TableText"/>
              <w:spacing w:before="40" w:after="40"/>
              <w:rPr>
                <w:rFonts w:cs="Calibri"/>
                <w:szCs w:val="16"/>
              </w:rPr>
            </w:pPr>
            <w:r w:rsidRPr="00FD12D3">
              <w:rPr>
                <w:rFonts w:eastAsia="Calibri" w:cs="Calibri"/>
                <w:szCs w:val="16"/>
              </w:rPr>
              <w:t>Prescribed burning of savannas </w:t>
            </w:r>
          </w:p>
        </w:tc>
        <w:tc>
          <w:tcPr>
            <w:tcW w:w="1841" w:type="dxa"/>
            <w:shd w:val="clear" w:color="auto" w:fill="FFFFFF" w:themeFill="background1"/>
            <w:tcMar>
              <w:top w:w="0" w:type="dxa"/>
              <w:left w:w="85" w:type="dxa"/>
              <w:bottom w:w="0" w:type="dxa"/>
              <w:right w:w="57" w:type="dxa"/>
            </w:tcMar>
          </w:tcPr>
          <w:p w14:paraId="03D8C422" w14:textId="77777777" w:rsidR="00502238" w:rsidRPr="00FD12D3" w:rsidRDefault="00502238" w:rsidP="00F16E23">
            <w:pPr>
              <w:pStyle w:val="TableText"/>
              <w:spacing w:before="40" w:after="40"/>
              <w:rPr>
                <w:rFonts w:cs="Calibri"/>
                <w:szCs w:val="16"/>
              </w:rPr>
            </w:pPr>
            <w:r w:rsidRPr="00FD12D3">
              <w:rPr>
                <w:rFonts w:eastAsia="Calibri" w:cs="Calibri"/>
                <w:szCs w:val="16"/>
              </w:rPr>
              <w:t>Biomass burning (table 4(V) of LULUCF), category C Grassland </w:t>
            </w:r>
          </w:p>
        </w:tc>
        <w:tc>
          <w:tcPr>
            <w:tcW w:w="3178" w:type="dxa"/>
            <w:shd w:val="clear" w:color="auto" w:fill="FFFFFF" w:themeFill="background1"/>
            <w:tcMar>
              <w:top w:w="0" w:type="dxa"/>
              <w:left w:w="85" w:type="dxa"/>
              <w:bottom w:w="0" w:type="dxa"/>
              <w:right w:w="57" w:type="dxa"/>
            </w:tcMar>
          </w:tcPr>
          <w:p w14:paraId="2DE8ED8C" w14:textId="77777777" w:rsidR="00502238" w:rsidRPr="00FD12D3" w:rsidRDefault="00502238" w:rsidP="00F16E23">
            <w:pPr>
              <w:pStyle w:val="TableText"/>
              <w:spacing w:before="40" w:after="40"/>
              <w:rPr>
                <w:rFonts w:cs="Calibri"/>
                <w:szCs w:val="16"/>
              </w:rPr>
            </w:pPr>
            <w:r w:rsidRPr="00FD12D3">
              <w:rPr>
                <w:rFonts w:eastAsia="Calibri" w:cs="Calibri"/>
                <w:szCs w:val="16"/>
              </w:rPr>
              <w:t>Prescribed burning of savanna is reported under the Land Use, Land-Use Change and Forestry (LULUCF) sector. See chapter 6, section 6.11.8 (‘Biomass burning’ (table 4(V) of LULUCF), category C Grassland). </w:t>
            </w:r>
          </w:p>
        </w:tc>
      </w:tr>
      <w:tr w:rsidR="00502238" w:rsidRPr="00FD12D3" w14:paraId="2E90B71A" w14:textId="77777777" w:rsidTr="00F32658">
        <w:tc>
          <w:tcPr>
            <w:tcW w:w="3475" w:type="dxa"/>
            <w:gridSpan w:val="2"/>
            <w:shd w:val="clear" w:color="auto" w:fill="FFFFFF" w:themeFill="background1"/>
            <w:tcMar>
              <w:top w:w="0" w:type="dxa"/>
              <w:left w:w="85" w:type="dxa"/>
              <w:bottom w:w="0" w:type="dxa"/>
              <w:right w:w="57" w:type="dxa"/>
            </w:tcMar>
          </w:tcPr>
          <w:p w14:paraId="4EB40101" w14:textId="77777777" w:rsidR="00502238" w:rsidRPr="00FD12D3" w:rsidRDefault="00502238" w:rsidP="00F16E23">
            <w:pPr>
              <w:pStyle w:val="TableText"/>
              <w:spacing w:before="40" w:after="40"/>
              <w:rPr>
                <w:rFonts w:cs="Calibri"/>
                <w:b/>
                <w:bCs/>
                <w:szCs w:val="16"/>
              </w:rPr>
            </w:pPr>
            <w:r w:rsidRPr="00FD12D3">
              <w:rPr>
                <w:rFonts w:eastAsia="Calibri" w:cs="Calibri"/>
                <w:b/>
                <w:bCs/>
                <w:szCs w:val="16"/>
              </w:rPr>
              <w:t>Land Use, Land-Use Change and Forestry</w:t>
            </w:r>
          </w:p>
        </w:tc>
        <w:tc>
          <w:tcPr>
            <w:tcW w:w="1841" w:type="dxa"/>
            <w:shd w:val="clear" w:color="auto" w:fill="FFFFFF" w:themeFill="background1"/>
            <w:tcMar>
              <w:top w:w="0" w:type="dxa"/>
              <w:left w:w="85" w:type="dxa"/>
              <w:bottom w:w="0" w:type="dxa"/>
              <w:right w:w="57" w:type="dxa"/>
            </w:tcMar>
          </w:tcPr>
          <w:p w14:paraId="6A976943" w14:textId="77777777" w:rsidR="00502238" w:rsidRPr="00FD12D3" w:rsidRDefault="00502238" w:rsidP="00F16E23">
            <w:pPr>
              <w:pStyle w:val="TableText"/>
              <w:spacing w:before="40" w:after="40"/>
              <w:rPr>
                <w:rFonts w:cs="Calibri"/>
                <w:szCs w:val="16"/>
              </w:rPr>
            </w:pPr>
          </w:p>
        </w:tc>
        <w:tc>
          <w:tcPr>
            <w:tcW w:w="3178" w:type="dxa"/>
            <w:shd w:val="clear" w:color="auto" w:fill="FFFFFF" w:themeFill="background1"/>
            <w:tcMar>
              <w:top w:w="0" w:type="dxa"/>
              <w:left w:w="85" w:type="dxa"/>
              <w:bottom w:w="0" w:type="dxa"/>
              <w:right w:w="57" w:type="dxa"/>
            </w:tcMar>
          </w:tcPr>
          <w:p w14:paraId="4DAE30BE" w14:textId="77777777" w:rsidR="00502238" w:rsidRPr="00FD12D3" w:rsidRDefault="00502238" w:rsidP="00F16E23">
            <w:pPr>
              <w:pStyle w:val="TableText"/>
              <w:spacing w:before="40" w:after="40"/>
              <w:rPr>
                <w:rFonts w:cs="Calibri"/>
                <w:szCs w:val="16"/>
              </w:rPr>
            </w:pPr>
          </w:p>
        </w:tc>
      </w:tr>
      <w:tr w:rsidR="00502238" w:rsidRPr="00FD12D3" w14:paraId="72B16B80" w14:textId="77777777" w:rsidTr="00F32658">
        <w:tc>
          <w:tcPr>
            <w:tcW w:w="1546" w:type="dxa"/>
            <w:shd w:val="clear" w:color="auto" w:fill="FFFFFF" w:themeFill="background1"/>
            <w:tcMar>
              <w:top w:w="0" w:type="dxa"/>
              <w:left w:w="85" w:type="dxa"/>
              <w:bottom w:w="0" w:type="dxa"/>
              <w:right w:w="57" w:type="dxa"/>
            </w:tcMar>
          </w:tcPr>
          <w:p w14:paraId="00CD1E44" w14:textId="77777777" w:rsidR="00502238" w:rsidRPr="00FD12D3" w:rsidRDefault="00502238" w:rsidP="00F16E23">
            <w:pPr>
              <w:pStyle w:val="TableText"/>
              <w:spacing w:before="40" w:after="40"/>
              <w:rPr>
                <w:rFonts w:cs="Calibri"/>
                <w:szCs w:val="16"/>
              </w:rPr>
            </w:pPr>
            <w:r w:rsidRPr="00FD12D3">
              <w:rPr>
                <w:rFonts w:eastAsia="Calibri" w:cs="Calibri"/>
                <w:szCs w:val="16"/>
              </w:rPr>
              <w:t>4.A.1/4(V) </w:t>
            </w:r>
          </w:p>
        </w:tc>
        <w:tc>
          <w:tcPr>
            <w:tcW w:w="1929" w:type="dxa"/>
            <w:shd w:val="clear" w:color="auto" w:fill="FFFFFF" w:themeFill="background1"/>
            <w:tcMar>
              <w:top w:w="0" w:type="dxa"/>
              <w:left w:w="85" w:type="dxa"/>
              <w:bottom w:w="0" w:type="dxa"/>
              <w:right w:w="57" w:type="dxa"/>
            </w:tcMar>
          </w:tcPr>
          <w:p w14:paraId="580EC48F"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 </w:t>
            </w:r>
          </w:p>
        </w:tc>
        <w:tc>
          <w:tcPr>
            <w:tcW w:w="1841" w:type="dxa"/>
            <w:shd w:val="clear" w:color="auto" w:fill="FFFFFF" w:themeFill="background1"/>
            <w:tcMar>
              <w:top w:w="0" w:type="dxa"/>
              <w:left w:w="85" w:type="dxa"/>
              <w:bottom w:w="0" w:type="dxa"/>
              <w:right w:w="57" w:type="dxa"/>
            </w:tcMar>
          </w:tcPr>
          <w:p w14:paraId="49978215" w14:textId="77777777" w:rsidR="00502238" w:rsidRPr="00FD12D3" w:rsidRDefault="00502238" w:rsidP="00F16E23">
            <w:pPr>
              <w:pStyle w:val="TableText"/>
              <w:spacing w:before="40" w:after="40"/>
              <w:rPr>
                <w:rFonts w:cs="Calibri"/>
                <w:szCs w:val="16"/>
              </w:rPr>
            </w:pPr>
            <w:r w:rsidRPr="00FD12D3">
              <w:rPr>
                <w:rFonts w:eastAsia="Calibri" w:cs="Calibri"/>
                <w:szCs w:val="16"/>
              </w:rPr>
              <w:t>Forest land remaining forest land </w:t>
            </w:r>
          </w:p>
        </w:tc>
        <w:tc>
          <w:tcPr>
            <w:tcW w:w="3178" w:type="dxa"/>
            <w:shd w:val="clear" w:color="auto" w:fill="FFFFFF" w:themeFill="background1"/>
            <w:tcMar>
              <w:top w:w="0" w:type="dxa"/>
              <w:left w:w="85" w:type="dxa"/>
              <w:bottom w:w="0" w:type="dxa"/>
              <w:right w:w="57" w:type="dxa"/>
            </w:tcMar>
          </w:tcPr>
          <w:p w14:paraId="546646A8"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Carbon dioxide (CO</w:t>
            </w:r>
            <w:r w:rsidRPr="00FD12D3">
              <w:rPr>
                <w:rFonts w:eastAsia="Calibri" w:cs="Calibri"/>
                <w:color w:val="000000" w:themeColor="text1"/>
                <w:szCs w:val="16"/>
                <w:vertAlign w:val="subscript"/>
              </w:rPr>
              <w:t>2</w:t>
            </w:r>
            <w:r w:rsidRPr="00FD12D3">
              <w:rPr>
                <w:rFonts w:eastAsia="Calibri" w:cs="Calibri"/>
                <w:color w:val="000000" w:themeColor="text1"/>
                <w:szCs w:val="16"/>
              </w:rPr>
              <w:t>) emissions are captured by the general carbon stock change calculation if the fire-damaged area is harvested and replanted. If the stand is allowed to grow on but with a reduced stocking, the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are reported at the eventual time of harvest. </w:t>
            </w:r>
          </w:p>
        </w:tc>
      </w:tr>
      <w:tr w:rsidR="00502238" w:rsidRPr="00FD12D3" w14:paraId="1568905B" w14:textId="77777777" w:rsidTr="00F32658">
        <w:tc>
          <w:tcPr>
            <w:tcW w:w="1546" w:type="dxa"/>
            <w:shd w:val="clear" w:color="auto" w:fill="FFFFFF" w:themeFill="background1"/>
            <w:tcMar>
              <w:top w:w="0" w:type="dxa"/>
              <w:left w:w="85" w:type="dxa"/>
              <w:bottom w:w="0" w:type="dxa"/>
              <w:right w:w="57" w:type="dxa"/>
            </w:tcMar>
          </w:tcPr>
          <w:p w14:paraId="1B32A2AB" w14:textId="77777777" w:rsidR="00502238" w:rsidRDefault="00502238" w:rsidP="00F16E23">
            <w:pPr>
              <w:pStyle w:val="TableText"/>
              <w:spacing w:before="40" w:after="40"/>
              <w:rPr>
                <w:rFonts w:eastAsia="Calibri" w:cs="Calibri"/>
                <w:szCs w:val="16"/>
              </w:rPr>
            </w:pPr>
            <w:r w:rsidRPr="00FD12D3">
              <w:rPr>
                <w:rFonts w:eastAsia="Calibri" w:cs="Calibri"/>
                <w:szCs w:val="16"/>
              </w:rPr>
              <w:t>4.A.1/4(II)</w:t>
            </w:r>
          </w:p>
          <w:p w14:paraId="1B7610DA" w14:textId="0C9C13FC" w:rsidR="00F32658" w:rsidRPr="00FD12D3" w:rsidRDefault="00F32658" w:rsidP="00F16E23">
            <w:pPr>
              <w:pStyle w:val="TableText"/>
              <w:spacing w:before="40" w:after="40"/>
              <w:rPr>
                <w:rFonts w:cs="Calibri"/>
                <w:szCs w:val="16"/>
              </w:rPr>
            </w:pPr>
            <w:r w:rsidRPr="00FD12D3">
              <w:rPr>
                <w:rFonts w:eastAsia="Calibri" w:cs="Calibri"/>
                <w:szCs w:val="16"/>
              </w:rPr>
              <w:t>4.B.1/4(II)</w:t>
            </w:r>
          </w:p>
        </w:tc>
        <w:tc>
          <w:tcPr>
            <w:tcW w:w="1929" w:type="dxa"/>
            <w:shd w:val="clear" w:color="auto" w:fill="FFFFFF" w:themeFill="background1"/>
            <w:tcMar>
              <w:top w:w="0" w:type="dxa"/>
              <w:left w:w="85" w:type="dxa"/>
              <w:bottom w:w="0" w:type="dxa"/>
              <w:right w:w="57" w:type="dxa"/>
            </w:tcMar>
          </w:tcPr>
          <w:p w14:paraId="34547644" w14:textId="77777777" w:rsidR="00502238" w:rsidRDefault="00502238" w:rsidP="00F16E23">
            <w:pPr>
              <w:pStyle w:val="TableText"/>
              <w:spacing w:before="40" w:after="40"/>
              <w:rPr>
                <w:rFonts w:eastAsia="Calibri" w:cs="Calibri"/>
                <w:szCs w:val="16"/>
              </w:rPr>
            </w:pPr>
            <w:r w:rsidRPr="00FD12D3">
              <w:rPr>
                <w:rFonts w:eastAsia="Calibri" w:cs="Calibri"/>
                <w:szCs w:val="16"/>
              </w:rPr>
              <w:t>Forest land</w:t>
            </w:r>
          </w:p>
          <w:p w14:paraId="1B713EB5" w14:textId="0C9C4B04" w:rsidR="00F32658" w:rsidRPr="00FD12D3" w:rsidRDefault="00F32658" w:rsidP="00F16E23">
            <w:pPr>
              <w:pStyle w:val="TableText"/>
              <w:spacing w:before="40" w:after="40"/>
              <w:rPr>
                <w:rFonts w:cs="Calibri"/>
                <w:szCs w:val="16"/>
              </w:rPr>
            </w:pPr>
            <w:r w:rsidRPr="00FD12D3">
              <w:rPr>
                <w:rFonts w:eastAsia="Calibri" w:cs="Calibri"/>
                <w:szCs w:val="16"/>
              </w:rPr>
              <w:t>Cropland</w:t>
            </w:r>
          </w:p>
        </w:tc>
        <w:tc>
          <w:tcPr>
            <w:tcW w:w="1841" w:type="dxa"/>
            <w:shd w:val="clear" w:color="auto" w:fill="FFFFFF" w:themeFill="background1"/>
            <w:tcMar>
              <w:top w:w="0" w:type="dxa"/>
              <w:left w:w="85" w:type="dxa"/>
              <w:bottom w:w="0" w:type="dxa"/>
              <w:right w:w="57" w:type="dxa"/>
            </w:tcMar>
          </w:tcPr>
          <w:p w14:paraId="627F727B" w14:textId="77777777" w:rsidR="00502238" w:rsidRPr="00FD12D3" w:rsidRDefault="00502238" w:rsidP="00F16E23">
            <w:pPr>
              <w:pStyle w:val="TableText"/>
              <w:spacing w:before="40" w:after="40"/>
              <w:rPr>
                <w:rFonts w:cs="Calibri"/>
                <w:szCs w:val="16"/>
              </w:rPr>
            </w:pPr>
            <w:r w:rsidRPr="00FD12D3">
              <w:rPr>
                <w:rFonts w:eastAsia="Calibri" w:cs="Calibri"/>
                <w:szCs w:val="16"/>
              </w:rPr>
              <w:t>Emissions and removals from drainage and rewetting and other management of organic and mineral soils </w:t>
            </w:r>
          </w:p>
        </w:tc>
        <w:tc>
          <w:tcPr>
            <w:tcW w:w="3178" w:type="dxa"/>
            <w:shd w:val="clear" w:color="auto" w:fill="FFFFFF" w:themeFill="background1"/>
            <w:tcMar>
              <w:top w:w="0" w:type="dxa"/>
              <w:left w:w="85" w:type="dxa"/>
              <w:bottom w:w="0" w:type="dxa"/>
              <w:right w:w="57" w:type="dxa"/>
            </w:tcMar>
          </w:tcPr>
          <w:p w14:paraId="4E57B286" w14:textId="77777777" w:rsidR="00502238" w:rsidRPr="00FD12D3" w:rsidRDefault="00502238" w:rsidP="00F16E23">
            <w:pPr>
              <w:pStyle w:val="TableText"/>
              <w:spacing w:before="40" w:after="40"/>
              <w:rPr>
                <w:rFonts w:cs="Calibri"/>
                <w:szCs w:val="16"/>
              </w:rPr>
            </w:pPr>
            <w:r w:rsidRPr="00FD12D3">
              <w:rPr>
                <w:rFonts w:eastAsia="Calibri" w:cs="Calibri"/>
                <w:szCs w:val="16"/>
              </w:rPr>
              <w:t>These emissions are reported under organic soils. </w:t>
            </w:r>
          </w:p>
        </w:tc>
      </w:tr>
      <w:tr w:rsidR="00502238" w:rsidRPr="00FD12D3" w14:paraId="515058DF" w14:textId="77777777" w:rsidTr="00F32658">
        <w:tc>
          <w:tcPr>
            <w:tcW w:w="1546" w:type="dxa"/>
            <w:shd w:val="clear" w:color="auto" w:fill="FFFFFF" w:themeFill="background1"/>
            <w:tcMar>
              <w:top w:w="0" w:type="dxa"/>
              <w:left w:w="85" w:type="dxa"/>
              <w:bottom w:w="0" w:type="dxa"/>
              <w:right w:w="57" w:type="dxa"/>
            </w:tcMar>
          </w:tcPr>
          <w:p w14:paraId="10394367" w14:textId="77777777" w:rsidR="00502238" w:rsidRPr="00FD12D3" w:rsidRDefault="00502238" w:rsidP="00F16E23">
            <w:pPr>
              <w:pStyle w:val="TableText"/>
              <w:spacing w:before="40" w:after="40"/>
              <w:rPr>
                <w:rFonts w:cs="Calibri"/>
                <w:szCs w:val="16"/>
              </w:rPr>
            </w:pPr>
            <w:r w:rsidRPr="00FD12D3">
              <w:rPr>
                <w:rFonts w:eastAsia="Calibri" w:cs="Calibri"/>
                <w:szCs w:val="16"/>
              </w:rPr>
              <w:t>4.A.1 </w:t>
            </w:r>
          </w:p>
        </w:tc>
        <w:tc>
          <w:tcPr>
            <w:tcW w:w="1929" w:type="dxa"/>
            <w:shd w:val="clear" w:color="auto" w:fill="FFFFFF" w:themeFill="background1"/>
            <w:tcMar>
              <w:top w:w="0" w:type="dxa"/>
              <w:left w:w="85" w:type="dxa"/>
              <w:bottom w:w="0" w:type="dxa"/>
              <w:right w:w="57" w:type="dxa"/>
            </w:tcMar>
          </w:tcPr>
          <w:p w14:paraId="7FDB92FE" w14:textId="77777777" w:rsidR="00502238" w:rsidRPr="00FD12D3" w:rsidRDefault="00502238" w:rsidP="00F16E23">
            <w:pPr>
              <w:pStyle w:val="TableText"/>
              <w:spacing w:before="40" w:after="40"/>
              <w:rPr>
                <w:rFonts w:cs="Calibri"/>
                <w:szCs w:val="16"/>
              </w:rPr>
            </w:pPr>
            <w:r w:rsidRPr="00FD12D3">
              <w:rPr>
                <w:rFonts w:eastAsia="Calibri" w:cs="Calibri"/>
                <w:szCs w:val="16"/>
              </w:rPr>
              <w:t>Forest land remaining forest land </w:t>
            </w:r>
          </w:p>
        </w:tc>
        <w:tc>
          <w:tcPr>
            <w:tcW w:w="1841" w:type="dxa"/>
            <w:shd w:val="clear" w:color="auto" w:fill="FFFFFF" w:themeFill="background1"/>
            <w:tcMar>
              <w:top w:w="0" w:type="dxa"/>
              <w:left w:w="85" w:type="dxa"/>
              <w:bottom w:w="0" w:type="dxa"/>
              <w:right w:w="57" w:type="dxa"/>
            </w:tcMar>
          </w:tcPr>
          <w:p w14:paraId="25A30C8B" w14:textId="77777777" w:rsidR="00502238" w:rsidRPr="00FD12D3" w:rsidRDefault="00502238" w:rsidP="00F16E23">
            <w:pPr>
              <w:pStyle w:val="TableText"/>
              <w:spacing w:before="40" w:after="40"/>
              <w:rPr>
                <w:rFonts w:cs="Calibri"/>
                <w:szCs w:val="16"/>
              </w:rPr>
            </w:pPr>
            <w:r w:rsidRPr="00FD12D3">
              <w:rPr>
                <w:rFonts w:eastAsia="Calibri" w:cs="Calibri"/>
                <w:szCs w:val="16"/>
              </w:rPr>
              <w:t>Forest land remaining forest land </w:t>
            </w:r>
          </w:p>
        </w:tc>
        <w:tc>
          <w:tcPr>
            <w:tcW w:w="3178" w:type="dxa"/>
            <w:shd w:val="clear" w:color="auto" w:fill="FFFFFF" w:themeFill="background1"/>
            <w:tcMar>
              <w:top w:w="0" w:type="dxa"/>
              <w:left w:w="85" w:type="dxa"/>
              <w:bottom w:w="0" w:type="dxa"/>
              <w:right w:w="57" w:type="dxa"/>
            </w:tcMar>
          </w:tcPr>
          <w:p w14:paraId="7B24E41E" w14:textId="77777777" w:rsidR="00502238" w:rsidRPr="00FD12D3" w:rsidRDefault="00502238" w:rsidP="00F16E23">
            <w:pPr>
              <w:pStyle w:val="TableText"/>
              <w:spacing w:before="40" w:after="40"/>
              <w:rPr>
                <w:rFonts w:cs="Calibri"/>
                <w:szCs w:val="16"/>
              </w:rPr>
            </w:pPr>
            <w:r w:rsidRPr="00FD12D3">
              <w:rPr>
                <w:rFonts w:eastAsia="Calibri" w:cs="Calibri"/>
                <w:szCs w:val="16"/>
              </w:rPr>
              <w:t>Because New Zealand uses the stock change approach, losses are reported only in years when new land is converted to this category, or when there is harvesting of forest in this year. When neither of these activities occurs, the losses are reported with biomass gains (stock change approach) and ‘IE’ (included elsewhere) is reported for biomass losses. </w:t>
            </w:r>
          </w:p>
        </w:tc>
      </w:tr>
      <w:tr w:rsidR="00502238" w:rsidRPr="00FD12D3" w14:paraId="7E2E1BDE" w14:textId="77777777" w:rsidTr="00F32658">
        <w:tc>
          <w:tcPr>
            <w:tcW w:w="1546" w:type="dxa"/>
            <w:shd w:val="clear" w:color="auto" w:fill="FFFFFF" w:themeFill="background1"/>
            <w:tcMar>
              <w:top w:w="0" w:type="dxa"/>
              <w:left w:w="85" w:type="dxa"/>
              <w:bottom w:w="0" w:type="dxa"/>
              <w:right w:w="57" w:type="dxa"/>
            </w:tcMar>
          </w:tcPr>
          <w:p w14:paraId="126E342A" w14:textId="77777777" w:rsidR="00502238" w:rsidRPr="00FD12D3" w:rsidRDefault="00502238" w:rsidP="00F16E23">
            <w:pPr>
              <w:pStyle w:val="TableText"/>
              <w:spacing w:before="40" w:after="40"/>
              <w:rPr>
                <w:rFonts w:cs="Calibri"/>
                <w:szCs w:val="16"/>
              </w:rPr>
            </w:pPr>
            <w:r w:rsidRPr="00FD12D3">
              <w:rPr>
                <w:rFonts w:eastAsia="Calibri" w:cs="Calibri"/>
                <w:szCs w:val="16"/>
              </w:rPr>
              <w:t>4.A.2 </w:t>
            </w:r>
          </w:p>
        </w:tc>
        <w:tc>
          <w:tcPr>
            <w:tcW w:w="1929" w:type="dxa"/>
            <w:shd w:val="clear" w:color="auto" w:fill="FFFFFF" w:themeFill="background1"/>
            <w:tcMar>
              <w:top w:w="0" w:type="dxa"/>
              <w:left w:w="85" w:type="dxa"/>
              <w:bottom w:w="0" w:type="dxa"/>
              <w:right w:w="57" w:type="dxa"/>
            </w:tcMar>
          </w:tcPr>
          <w:p w14:paraId="28D3D7DF"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forest land </w:t>
            </w:r>
          </w:p>
        </w:tc>
        <w:tc>
          <w:tcPr>
            <w:tcW w:w="1841" w:type="dxa"/>
            <w:shd w:val="clear" w:color="auto" w:fill="FFFFFF" w:themeFill="background1"/>
            <w:tcMar>
              <w:top w:w="0" w:type="dxa"/>
              <w:left w:w="85" w:type="dxa"/>
              <w:bottom w:w="0" w:type="dxa"/>
              <w:right w:w="57" w:type="dxa"/>
            </w:tcMar>
          </w:tcPr>
          <w:p w14:paraId="620D4AB8"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forest land </w:t>
            </w:r>
          </w:p>
        </w:tc>
        <w:tc>
          <w:tcPr>
            <w:tcW w:w="3178" w:type="dxa"/>
            <w:shd w:val="clear" w:color="auto" w:fill="FFFFFF" w:themeFill="background1"/>
            <w:tcMar>
              <w:top w:w="0" w:type="dxa"/>
              <w:left w:w="85" w:type="dxa"/>
              <w:bottom w:w="0" w:type="dxa"/>
              <w:right w:w="57" w:type="dxa"/>
            </w:tcMar>
          </w:tcPr>
          <w:p w14:paraId="32F86457" w14:textId="77777777" w:rsidR="00502238" w:rsidRPr="00FD12D3" w:rsidRDefault="00502238" w:rsidP="00F16E23">
            <w:pPr>
              <w:pStyle w:val="TableText"/>
              <w:spacing w:before="40" w:after="40"/>
              <w:rPr>
                <w:rFonts w:cs="Calibri"/>
                <w:szCs w:val="16"/>
              </w:rPr>
            </w:pPr>
            <w:r w:rsidRPr="00FD12D3">
              <w:rPr>
                <w:rFonts w:eastAsia="Calibri" w:cs="Calibri"/>
                <w:szCs w:val="16"/>
              </w:rPr>
              <w:t>Because New Zealand uses the stock change approach, CO</w:t>
            </w:r>
            <w:r w:rsidRPr="00FD12D3">
              <w:rPr>
                <w:rFonts w:eastAsia="Calibri" w:cs="Calibri"/>
                <w:szCs w:val="16"/>
                <w:vertAlign w:val="subscript"/>
              </w:rPr>
              <w:t>2</w:t>
            </w:r>
            <w:r w:rsidRPr="00FD12D3">
              <w:rPr>
                <w:rFonts w:eastAsia="Calibri" w:cs="Calibri"/>
                <w:szCs w:val="16"/>
              </w:rPr>
              <w:t xml:space="preserve"> emissions from biomass losses are reported only in years when new land is converted to this category, or when there is harvesting of forest in this year. When neither of these activities occurs, the losses are reported with biomass gains (stock change approach) and ‘IE’ is reported for biomass losses. </w:t>
            </w:r>
          </w:p>
        </w:tc>
      </w:tr>
      <w:tr w:rsidR="00502238" w:rsidRPr="00FD12D3" w14:paraId="33F17461" w14:textId="77777777" w:rsidTr="00F32658">
        <w:tc>
          <w:tcPr>
            <w:tcW w:w="1546" w:type="dxa"/>
            <w:shd w:val="clear" w:color="auto" w:fill="FFFFFF" w:themeFill="background1"/>
            <w:tcMar>
              <w:top w:w="0" w:type="dxa"/>
              <w:left w:w="85" w:type="dxa"/>
              <w:bottom w:w="0" w:type="dxa"/>
              <w:right w:w="57" w:type="dxa"/>
            </w:tcMar>
          </w:tcPr>
          <w:p w14:paraId="49F011AD" w14:textId="77777777" w:rsidR="00502238" w:rsidRPr="00FD12D3" w:rsidRDefault="00502238" w:rsidP="00F16E23">
            <w:pPr>
              <w:pStyle w:val="TableText"/>
              <w:spacing w:before="40" w:after="40"/>
              <w:rPr>
                <w:rFonts w:cs="Calibri"/>
                <w:szCs w:val="16"/>
              </w:rPr>
            </w:pPr>
            <w:r w:rsidRPr="00FD12D3">
              <w:rPr>
                <w:rFonts w:eastAsia="Calibri" w:cs="Calibri"/>
                <w:szCs w:val="16"/>
              </w:rPr>
              <w:t>4.A.1/4.A.2 </w:t>
            </w:r>
          </w:p>
        </w:tc>
        <w:tc>
          <w:tcPr>
            <w:tcW w:w="1929" w:type="dxa"/>
            <w:shd w:val="clear" w:color="auto" w:fill="FFFFFF" w:themeFill="background1"/>
            <w:tcMar>
              <w:top w:w="0" w:type="dxa"/>
              <w:left w:w="85" w:type="dxa"/>
              <w:bottom w:w="0" w:type="dxa"/>
              <w:right w:w="57" w:type="dxa"/>
            </w:tcMar>
          </w:tcPr>
          <w:p w14:paraId="19E307C5" w14:textId="77777777" w:rsidR="00502238" w:rsidRPr="00FD12D3" w:rsidRDefault="00502238" w:rsidP="00F16E23">
            <w:pPr>
              <w:pStyle w:val="TableText"/>
              <w:spacing w:before="40" w:after="40"/>
              <w:rPr>
                <w:rFonts w:cs="Calibri"/>
                <w:szCs w:val="16"/>
              </w:rPr>
            </w:pPr>
            <w:r w:rsidRPr="00FD12D3">
              <w:rPr>
                <w:rFonts w:eastAsia="Calibri" w:cs="Calibri"/>
                <w:szCs w:val="16"/>
              </w:rPr>
              <w:t>Forest land remaining forest land, Land converted to forest land </w:t>
            </w:r>
          </w:p>
        </w:tc>
        <w:tc>
          <w:tcPr>
            <w:tcW w:w="1841" w:type="dxa"/>
            <w:shd w:val="clear" w:color="auto" w:fill="FFFFFF" w:themeFill="background1"/>
            <w:tcMar>
              <w:top w:w="0" w:type="dxa"/>
              <w:left w:w="85" w:type="dxa"/>
              <w:bottom w:w="0" w:type="dxa"/>
              <w:right w:w="57" w:type="dxa"/>
            </w:tcMar>
          </w:tcPr>
          <w:p w14:paraId="35ADD5F3" w14:textId="77777777" w:rsidR="00502238" w:rsidRPr="00FD12D3" w:rsidRDefault="00502238" w:rsidP="00F16E23">
            <w:pPr>
              <w:pStyle w:val="TableText"/>
              <w:spacing w:before="40" w:after="40"/>
              <w:rPr>
                <w:rFonts w:cs="Calibri"/>
                <w:szCs w:val="16"/>
              </w:rPr>
            </w:pPr>
            <w:r w:rsidRPr="00FD12D3">
              <w:rPr>
                <w:rFonts w:eastAsia="Calibri" w:cs="Calibri"/>
                <w:szCs w:val="16"/>
              </w:rPr>
              <w:t>Included under the Agriculture sector </w:t>
            </w:r>
          </w:p>
        </w:tc>
        <w:tc>
          <w:tcPr>
            <w:tcW w:w="3178" w:type="dxa"/>
            <w:shd w:val="clear" w:color="auto" w:fill="FFFFFF" w:themeFill="background1"/>
            <w:tcMar>
              <w:top w:w="0" w:type="dxa"/>
              <w:left w:w="85" w:type="dxa"/>
              <w:bottom w:w="0" w:type="dxa"/>
              <w:right w:w="57" w:type="dxa"/>
            </w:tcMar>
          </w:tcPr>
          <w:p w14:paraId="68F5ACC2" w14:textId="77777777" w:rsidR="00502238" w:rsidRPr="00FD12D3" w:rsidRDefault="00502238" w:rsidP="00F16E23">
            <w:pPr>
              <w:pStyle w:val="TableText"/>
              <w:spacing w:before="40" w:after="40"/>
              <w:rPr>
                <w:rFonts w:cs="Calibri"/>
                <w:szCs w:val="16"/>
              </w:rPr>
            </w:pPr>
            <w:r w:rsidRPr="00FD12D3">
              <w:rPr>
                <w:rFonts w:eastAsia="Calibri" w:cs="Calibri"/>
                <w:szCs w:val="16"/>
              </w:rPr>
              <w:t>New Zealand does not disaggregate data on nitrogen fertiliser by land use; therefore, all nitrous oxide (N</w:t>
            </w:r>
            <w:r w:rsidRPr="00FD12D3">
              <w:rPr>
                <w:rFonts w:eastAsia="Calibri" w:cs="Calibri"/>
                <w:szCs w:val="16"/>
                <w:vertAlign w:val="subscript"/>
              </w:rPr>
              <w:t>2</w:t>
            </w:r>
            <w:r w:rsidRPr="00FD12D3">
              <w:rPr>
                <w:rFonts w:eastAsia="Calibri" w:cs="Calibri"/>
                <w:szCs w:val="16"/>
              </w:rPr>
              <w:t>O) emissions are reported in the Agriculture sector. </w:t>
            </w:r>
          </w:p>
        </w:tc>
      </w:tr>
      <w:tr w:rsidR="00502238" w:rsidRPr="00FD12D3" w14:paraId="3CD317EE" w14:textId="77777777" w:rsidTr="00F32658">
        <w:tc>
          <w:tcPr>
            <w:tcW w:w="1546" w:type="dxa"/>
            <w:tcBorders>
              <w:bottom w:val="nil"/>
            </w:tcBorders>
            <w:shd w:val="clear" w:color="auto" w:fill="FFFFFF" w:themeFill="background1"/>
            <w:tcMar>
              <w:top w:w="0" w:type="dxa"/>
              <w:left w:w="85" w:type="dxa"/>
              <w:bottom w:w="0" w:type="dxa"/>
              <w:right w:w="57" w:type="dxa"/>
            </w:tcMar>
          </w:tcPr>
          <w:p w14:paraId="510A8847" w14:textId="77777777" w:rsidR="00502238" w:rsidRPr="00FD12D3" w:rsidRDefault="00502238" w:rsidP="00F16E23">
            <w:pPr>
              <w:pStyle w:val="TableText"/>
              <w:spacing w:before="40" w:after="40"/>
              <w:rPr>
                <w:rFonts w:cs="Calibri"/>
                <w:szCs w:val="16"/>
              </w:rPr>
            </w:pPr>
            <w:r w:rsidRPr="00FD12D3">
              <w:rPr>
                <w:rFonts w:eastAsia="Calibri" w:cs="Calibri"/>
                <w:szCs w:val="16"/>
              </w:rPr>
              <w:t>4.A.2/4(V) </w:t>
            </w:r>
          </w:p>
        </w:tc>
        <w:tc>
          <w:tcPr>
            <w:tcW w:w="1929" w:type="dxa"/>
            <w:tcBorders>
              <w:bottom w:val="nil"/>
            </w:tcBorders>
            <w:shd w:val="clear" w:color="auto" w:fill="FFFFFF" w:themeFill="background1"/>
            <w:tcMar>
              <w:top w:w="0" w:type="dxa"/>
              <w:left w:w="85" w:type="dxa"/>
              <w:bottom w:w="0" w:type="dxa"/>
              <w:right w:w="57" w:type="dxa"/>
            </w:tcMar>
          </w:tcPr>
          <w:p w14:paraId="1C1AD9DF"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burning/Land converted to forest land </w:t>
            </w:r>
          </w:p>
        </w:tc>
        <w:tc>
          <w:tcPr>
            <w:tcW w:w="1841" w:type="dxa"/>
            <w:tcBorders>
              <w:bottom w:val="nil"/>
            </w:tcBorders>
            <w:shd w:val="clear" w:color="auto" w:fill="FFFFFF" w:themeFill="background1"/>
            <w:tcMar>
              <w:top w:w="0" w:type="dxa"/>
              <w:left w:w="85" w:type="dxa"/>
              <w:bottom w:w="0" w:type="dxa"/>
              <w:right w:w="57" w:type="dxa"/>
            </w:tcMar>
          </w:tcPr>
          <w:p w14:paraId="4D24FDD4"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forest land </w:t>
            </w:r>
          </w:p>
        </w:tc>
        <w:tc>
          <w:tcPr>
            <w:tcW w:w="3178" w:type="dxa"/>
            <w:vMerge w:val="restart"/>
            <w:shd w:val="clear" w:color="auto" w:fill="FFFFFF" w:themeFill="background1"/>
            <w:tcMar>
              <w:top w:w="0" w:type="dxa"/>
              <w:left w:w="85" w:type="dxa"/>
              <w:bottom w:w="0" w:type="dxa"/>
              <w:right w:w="57" w:type="dxa"/>
            </w:tcMar>
          </w:tcPr>
          <w:p w14:paraId="1F2A823D"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Carbon dioxide emissions are captured by the general carbon stock change calculation if the fire-damaged area is harvested and replanted. If the stand is allowed to grow on but with a reduced stocking, the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are reported on at the eventual time of harvest. </w:t>
            </w:r>
          </w:p>
        </w:tc>
      </w:tr>
      <w:tr w:rsidR="00502238" w:rsidRPr="00FD12D3" w14:paraId="4F0EF10C" w14:textId="77777777" w:rsidTr="00F32658">
        <w:tc>
          <w:tcPr>
            <w:tcW w:w="1546" w:type="dxa"/>
            <w:tcBorders>
              <w:top w:val="nil"/>
            </w:tcBorders>
            <w:shd w:val="clear" w:color="auto" w:fill="FFFFFF" w:themeFill="background1"/>
            <w:tcMar>
              <w:top w:w="0" w:type="dxa"/>
              <w:left w:w="85" w:type="dxa"/>
              <w:bottom w:w="0" w:type="dxa"/>
              <w:right w:w="57" w:type="dxa"/>
            </w:tcMar>
          </w:tcPr>
          <w:p w14:paraId="0949E107" w14:textId="77777777" w:rsidR="00502238" w:rsidRPr="00FD12D3" w:rsidRDefault="00502238" w:rsidP="00F16E23">
            <w:pPr>
              <w:pStyle w:val="TableText"/>
              <w:spacing w:before="40" w:after="40"/>
              <w:rPr>
                <w:rFonts w:cs="Calibri"/>
                <w:szCs w:val="16"/>
              </w:rPr>
            </w:pPr>
          </w:p>
        </w:tc>
        <w:tc>
          <w:tcPr>
            <w:tcW w:w="1929" w:type="dxa"/>
            <w:tcBorders>
              <w:top w:val="nil"/>
            </w:tcBorders>
            <w:shd w:val="clear" w:color="auto" w:fill="FFFFFF" w:themeFill="background1"/>
            <w:tcMar>
              <w:top w:w="0" w:type="dxa"/>
              <w:left w:w="85" w:type="dxa"/>
              <w:bottom w:w="0" w:type="dxa"/>
              <w:right w:w="57" w:type="dxa"/>
            </w:tcMar>
          </w:tcPr>
          <w:p w14:paraId="724A7BAB" w14:textId="77777777" w:rsidR="00502238" w:rsidRPr="00FD12D3" w:rsidRDefault="00502238" w:rsidP="00F16E23">
            <w:pPr>
              <w:pStyle w:val="TableText"/>
              <w:spacing w:before="40" w:after="40"/>
              <w:rPr>
                <w:rFonts w:cs="Calibri"/>
                <w:szCs w:val="16"/>
              </w:rPr>
            </w:pPr>
            <w:r w:rsidRPr="00FD12D3">
              <w:rPr>
                <w:rFonts w:eastAsia="Calibri" w:cs="Calibri"/>
                <w:szCs w:val="16"/>
              </w:rPr>
              <w:t>Wildfires/Land converted to forest land </w:t>
            </w:r>
          </w:p>
        </w:tc>
        <w:tc>
          <w:tcPr>
            <w:tcW w:w="1841" w:type="dxa"/>
            <w:tcBorders>
              <w:top w:val="nil"/>
            </w:tcBorders>
            <w:shd w:val="clear" w:color="auto" w:fill="FFFFFF" w:themeFill="background1"/>
            <w:tcMar>
              <w:top w:w="0" w:type="dxa"/>
              <w:left w:w="85" w:type="dxa"/>
              <w:bottom w:w="0" w:type="dxa"/>
              <w:right w:w="57" w:type="dxa"/>
            </w:tcMar>
          </w:tcPr>
          <w:p w14:paraId="2E773CD1"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2F64F4C5" w14:textId="77777777" w:rsidR="00502238" w:rsidRPr="00FD12D3" w:rsidRDefault="00502238" w:rsidP="00F16E23">
            <w:pPr>
              <w:pStyle w:val="TableText"/>
              <w:spacing w:before="40" w:after="40"/>
              <w:rPr>
                <w:rFonts w:cs="Calibri"/>
                <w:szCs w:val="16"/>
              </w:rPr>
            </w:pPr>
          </w:p>
        </w:tc>
      </w:tr>
      <w:tr w:rsidR="00502238" w:rsidRPr="00FD12D3" w14:paraId="03947436" w14:textId="77777777" w:rsidTr="00F32658">
        <w:tc>
          <w:tcPr>
            <w:tcW w:w="1546" w:type="dxa"/>
            <w:tcBorders>
              <w:bottom w:val="nil"/>
            </w:tcBorders>
            <w:shd w:val="clear" w:color="auto" w:fill="FFFFFF" w:themeFill="background1"/>
            <w:tcMar>
              <w:top w:w="0" w:type="dxa"/>
              <w:left w:w="85" w:type="dxa"/>
              <w:bottom w:w="0" w:type="dxa"/>
              <w:right w:w="57" w:type="dxa"/>
            </w:tcMar>
          </w:tcPr>
          <w:p w14:paraId="0B423E24" w14:textId="77777777" w:rsidR="00502238" w:rsidRPr="00FD12D3" w:rsidRDefault="00502238" w:rsidP="00F16E23">
            <w:pPr>
              <w:pStyle w:val="TableText"/>
              <w:spacing w:before="40" w:after="40"/>
              <w:rPr>
                <w:rFonts w:cs="Calibri"/>
                <w:szCs w:val="16"/>
              </w:rPr>
            </w:pPr>
            <w:r w:rsidRPr="00FD12D3">
              <w:rPr>
                <w:rFonts w:eastAsia="Calibri" w:cs="Calibri"/>
                <w:szCs w:val="16"/>
              </w:rPr>
              <w:t>4.B.1 </w:t>
            </w:r>
          </w:p>
        </w:tc>
        <w:tc>
          <w:tcPr>
            <w:tcW w:w="1929" w:type="dxa"/>
            <w:tcBorders>
              <w:bottom w:val="nil"/>
            </w:tcBorders>
            <w:shd w:val="clear" w:color="auto" w:fill="FFFFFF" w:themeFill="background1"/>
            <w:tcMar>
              <w:top w:w="0" w:type="dxa"/>
              <w:left w:w="85" w:type="dxa"/>
              <w:bottom w:w="0" w:type="dxa"/>
              <w:right w:w="57" w:type="dxa"/>
            </w:tcMar>
          </w:tcPr>
          <w:p w14:paraId="0756AA52" w14:textId="77777777" w:rsidR="00502238" w:rsidRPr="00FD12D3" w:rsidRDefault="00502238" w:rsidP="00F16E23">
            <w:pPr>
              <w:pStyle w:val="TableText"/>
              <w:spacing w:before="40" w:after="40"/>
              <w:rPr>
                <w:rFonts w:cs="Calibri"/>
                <w:szCs w:val="16"/>
              </w:rPr>
            </w:pPr>
            <w:r w:rsidRPr="00FD12D3">
              <w:rPr>
                <w:rFonts w:eastAsia="Calibri" w:cs="Calibri"/>
                <w:szCs w:val="16"/>
              </w:rPr>
              <w:t>Cropland remaining cropland </w:t>
            </w:r>
          </w:p>
        </w:tc>
        <w:tc>
          <w:tcPr>
            <w:tcW w:w="1841" w:type="dxa"/>
            <w:tcBorders>
              <w:bottom w:val="nil"/>
            </w:tcBorders>
            <w:shd w:val="clear" w:color="auto" w:fill="FFFFFF" w:themeFill="background1"/>
            <w:tcMar>
              <w:top w:w="0" w:type="dxa"/>
              <w:left w:w="85" w:type="dxa"/>
              <w:bottom w:w="0" w:type="dxa"/>
              <w:right w:w="57" w:type="dxa"/>
            </w:tcMar>
          </w:tcPr>
          <w:p w14:paraId="22D0CAF5" w14:textId="77777777" w:rsidR="00502238" w:rsidRPr="00FD12D3" w:rsidRDefault="00502238" w:rsidP="00F16E23">
            <w:pPr>
              <w:pStyle w:val="TableText"/>
              <w:spacing w:before="40" w:after="40"/>
              <w:rPr>
                <w:rFonts w:cs="Calibri"/>
                <w:szCs w:val="16"/>
              </w:rPr>
            </w:pPr>
            <w:r w:rsidRPr="00FD12D3">
              <w:rPr>
                <w:rFonts w:eastAsia="Calibri" w:cs="Calibri"/>
                <w:szCs w:val="16"/>
              </w:rPr>
              <w:t>Cropland remaining cropland </w:t>
            </w:r>
          </w:p>
        </w:tc>
        <w:tc>
          <w:tcPr>
            <w:tcW w:w="3178" w:type="dxa"/>
            <w:vMerge w:val="restart"/>
            <w:shd w:val="clear" w:color="auto" w:fill="FFFFFF" w:themeFill="background1"/>
            <w:tcMar>
              <w:top w:w="0" w:type="dxa"/>
              <w:left w:w="85" w:type="dxa"/>
              <w:bottom w:w="0" w:type="dxa"/>
              <w:right w:w="57" w:type="dxa"/>
            </w:tcMar>
          </w:tcPr>
          <w:p w14:paraId="3F06D133" w14:textId="77777777" w:rsidR="00502238" w:rsidRPr="00FD12D3" w:rsidRDefault="00502238" w:rsidP="00F16E23">
            <w:pPr>
              <w:pStyle w:val="TableText"/>
              <w:spacing w:before="40" w:after="40"/>
              <w:rPr>
                <w:rFonts w:cs="Calibri"/>
                <w:szCs w:val="16"/>
              </w:rPr>
            </w:pPr>
            <w:r w:rsidRPr="00FD12D3">
              <w:rPr>
                <w:rFonts w:eastAsia="Calibri" w:cs="Calibri"/>
                <w:szCs w:val="16"/>
              </w:rPr>
              <w:t>New Zealand uses the stock change approach to estimate biomass emissions; therefore, biomass losses are reported with biomass gains and ‘IE’ is reported. </w:t>
            </w:r>
          </w:p>
        </w:tc>
      </w:tr>
      <w:tr w:rsidR="00502238" w:rsidRPr="00FD12D3" w14:paraId="51EC83C0"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713AF78F" w14:textId="77777777" w:rsidR="00502238" w:rsidRPr="00FD12D3" w:rsidRDefault="00502238" w:rsidP="00F16E23">
            <w:pPr>
              <w:pStyle w:val="TableText"/>
              <w:spacing w:before="40" w:after="40"/>
              <w:rPr>
                <w:rFonts w:cs="Calibri"/>
                <w:szCs w:val="16"/>
              </w:rPr>
            </w:pPr>
            <w:r w:rsidRPr="00FD12D3">
              <w:rPr>
                <w:rFonts w:eastAsia="Calibri" w:cs="Calibri"/>
                <w:szCs w:val="16"/>
              </w:rPr>
              <w:t>4.B.2 </w:t>
            </w:r>
          </w:p>
        </w:tc>
        <w:tc>
          <w:tcPr>
            <w:tcW w:w="1929" w:type="dxa"/>
            <w:tcBorders>
              <w:top w:val="nil"/>
              <w:bottom w:val="nil"/>
            </w:tcBorders>
            <w:shd w:val="clear" w:color="auto" w:fill="FFFFFF" w:themeFill="background1"/>
            <w:tcMar>
              <w:top w:w="0" w:type="dxa"/>
              <w:left w:w="85" w:type="dxa"/>
              <w:bottom w:w="0" w:type="dxa"/>
              <w:right w:w="57" w:type="dxa"/>
            </w:tcMar>
          </w:tcPr>
          <w:p w14:paraId="7E380EC6"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cropland </w:t>
            </w:r>
          </w:p>
        </w:tc>
        <w:tc>
          <w:tcPr>
            <w:tcW w:w="1841" w:type="dxa"/>
            <w:tcBorders>
              <w:top w:val="nil"/>
              <w:bottom w:val="nil"/>
            </w:tcBorders>
            <w:shd w:val="clear" w:color="auto" w:fill="FFFFFF" w:themeFill="background1"/>
            <w:tcMar>
              <w:top w:w="0" w:type="dxa"/>
              <w:left w:w="85" w:type="dxa"/>
              <w:bottom w:w="0" w:type="dxa"/>
              <w:right w:w="57" w:type="dxa"/>
            </w:tcMar>
          </w:tcPr>
          <w:p w14:paraId="479BBC70"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cropland </w:t>
            </w:r>
          </w:p>
        </w:tc>
        <w:tc>
          <w:tcPr>
            <w:tcW w:w="3178" w:type="dxa"/>
            <w:vMerge/>
            <w:tcMar>
              <w:top w:w="0" w:type="dxa"/>
              <w:left w:w="85" w:type="dxa"/>
              <w:bottom w:w="0" w:type="dxa"/>
              <w:right w:w="57" w:type="dxa"/>
            </w:tcMar>
          </w:tcPr>
          <w:p w14:paraId="3C98EDED" w14:textId="77777777" w:rsidR="00502238" w:rsidRPr="00FD12D3" w:rsidRDefault="00502238" w:rsidP="00F16E23">
            <w:pPr>
              <w:pStyle w:val="TableText"/>
              <w:spacing w:before="40" w:after="40"/>
              <w:rPr>
                <w:rFonts w:cs="Calibri"/>
                <w:szCs w:val="16"/>
              </w:rPr>
            </w:pPr>
          </w:p>
        </w:tc>
      </w:tr>
      <w:tr w:rsidR="00502238" w:rsidRPr="00FD12D3" w14:paraId="000D0233" w14:textId="77777777" w:rsidTr="00F32658">
        <w:tc>
          <w:tcPr>
            <w:tcW w:w="1546" w:type="dxa"/>
            <w:tcBorders>
              <w:top w:val="nil"/>
            </w:tcBorders>
            <w:shd w:val="clear" w:color="auto" w:fill="FFFFFF" w:themeFill="background1"/>
            <w:tcMar>
              <w:top w:w="0" w:type="dxa"/>
              <w:left w:w="85" w:type="dxa"/>
              <w:bottom w:w="0" w:type="dxa"/>
              <w:right w:w="57" w:type="dxa"/>
            </w:tcMar>
          </w:tcPr>
          <w:p w14:paraId="798730BE" w14:textId="77777777" w:rsidR="00502238" w:rsidRPr="00FD12D3" w:rsidRDefault="00502238" w:rsidP="00F16E23">
            <w:pPr>
              <w:pStyle w:val="TableText"/>
              <w:spacing w:before="40" w:after="40"/>
              <w:rPr>
                <w:rFonts w:cs="Calibri"/>
                <w:szCs w:val="16"/>
              </w:rPr>
            </w:pPr>
            <w:r w:rsidRPr="00FD12D3">
              <w:rPr>
                <w:rFonts w:eastAsia="Calibri" w:cs="Calibri"/>
                <w:szCs w:val="16"/>
              </w:rPr>
              <w:t>4.C.1 </w:t>
            </w:r>
          </w:p>
        </w:tc>
        <w:tc>
          <w:tcPr>
            <w:tcW w:w="1929" w:type="dxa"/>
            <w:tcBorders>
              <w:top w:val="nil"/>
            </w:tcBorders>
            <w:shd w:val="clear" w:color="auto" w:fill="FFFFFF" w:themeFill="background1"/>
            <w:tcMar>
              <w:top w:w="0" w:type="dxa"/>
              <w:left w:w="85" w:type="dxa"/>
              <w:bottom w:w="0" w:type="dxa"/>
              <w:right w:w="57" w:type="dxa"/>
            </w:tcMar>
          </w:tcPr>
          <w:p w14:paraId="5265DA9D" w14:textId="77777777" w:rsidR="00502238" w:rsidRPr="00FD12D3" w:rsidRDefault="00502238" w:rsidP="00F16E23">
            <w:pPr>
              <w:pStyle w:val="TableText"/>
              <w:spacing w:before="40" w:after="40"/>
              <w:rPr>
                <w:rFonts w:cs="Calibri"/>
                <w:szCs w:val="16"/>
              </w:rPr>
            </w:pPr>
            <w:r w:rsidRPr="00FD12D3">
              <w:rPr>
                <w:rFonts w:eastAsia="Calibri" w:cs="Calibri"/>
                <w:szCs w:val="16"/>
              </w:rPr>
              <w:t>Grassland remaining grassland </w:t>
            </w:r>
          </w:p>
        </w:tc>
        <w:tc>
          <w:tcPr>
            <w:tcW w:w="1841" w:type="dxa"/>
            <w:tcBorders>
              <w:top w:val="nil"/>
            </w:tcBorders>
            <w:shd w:val="clear" w:color="auto" w:fill="FFFFFF" w:themeFill="background1"/>
            <w:tcMar>
              <w:top w:w="0" w:type="dxa"/>
              <w:left w:w="85" w:type="dxa"/>
              <w:bottom w:w="0" w:type="dxa"/>
              <w:right w:w="57" w:type="dxa"/>
            </w:tcMar>
          </w:tcPr>
          <w:p w14:paraId="2880A0F6" w14:textId="77777777" w:rsidR="00502238" w:rsidRPr="00FD12D3" w:rsidRDefault="00502238" w:rsidP="00F16E23">
            <w:pPr>
              <w:pStyle w:val="TableText"/>
              <w:spacing w:before="40" w:after="40"/>
              <w:rPr>
                <w:rFonts w:cs="Calibri"/>
                <w:szCs w:val="16"/>
              </w:rPr>
            </w:pPr>
            <w:r w:rsidRPr="00FD12D3">
              <w:rPr>
                <w:rFonts w:eastAsia="Calibri" w:cs="Calibri"/>
                <w:szCs w:val="16"/>
              </w:rPr>
              <w:t>Grassland remaining grassland </w:t>
            </w:r>
          </w:p>
        </w:tc>
        <w:tc>
          <w:tcPr>
            <w:tcW w:w="3178" w:type="dxa"/>
            <w:vMerge/>
            <w:tcMar>
              <w:top w:w="0" w:type="dxa"/>
              <w:left w:w="85" w:type="dxa"/>
              <w:bottom w:w="0" w:type="dxa"/>
              <w:right w:w="57" w:type="dxa"/>
            </w:tcMar>
          </w:tcPr>
          <w:p w14:paraId="69ABD4BB" w14:textId="77777777" w:rsidR="00502238" w:rsidRPr="00FD12D3" w:rsidRDefault="00502238" w:rsidP="00F16E23">
            <w:pPr>
              <w:pStyle w:val="TableText"/>
              <w:spacing w:before="40" w:after="40"/>
              <w:rPr>
                <w:rFonts w:cs="Calibri"/>
                <w:szCs w:val="16"/>
              </w:rPr>
            </w:pPr>
          </w:p>
        </w:tc>
      </w:tr>
      <w:tr w:rsidR="00502238" w:rsidRPr="00FD12D3" w14:paraId="4AF339E1" w14:textId="77777777" w:rsidTr="00F32658">
        <w:tc>
          <w:tcPr>
            <w:tcW w:w="1546" w:type="dxa"/>
            <w:shd w:val="clear" w:color="auto" w:fill="FFFFFF" w:themeFill="background1"/>
            <w:tcMar>
              <w:top w:w="0" w:type="dxa"/>
              <w:left w:w="85" w:type="dxa"/>
              <w:bottom w:w="0" w:type="dxa"/>
              <w:right w:w="57" w:type="dxa"/>
            </w:tcMar>
          </w:tcPr>
          <w:p w14:paraId="0E1A0019" w14:textId="77777777" w:rsidR="00502238" w:rsidRPr="00FD12D3" w:rsidRDefault="00502238" w:rsidP="00F16E23">
            <w:pPr>
              <w:pStyle w:val="TableText"/>
              <w:spacing w:before="40" w:after="40"/>
              <w:rPr>
                <w:rFonts w:cs="Calibri"/>
                <w:szCs w:val="16"/>
              </w:rPr>
            </w:pPr>
            <w:r w:rsidRPr="00FD12D3">
              <w:rPr>
                <w:rFonts w:eastAsia="Calibri" w:cs="Calibri"/>
                <w:szCs w:val="16"/>
              </w:rPr>
              <w:t>4.C.2 </w:t>
            </w:r>
          </w:p>
        </w:tc>
        <w:tc>
          <w:tcPr>
            <w:tcW w:w="1929" w:type="dxa"/>
            <w:shd w:val="clear" w:color="auto" w:fill="FFFFFF" w:themeFill="background1"/>
            <w:tcMar>
              <w:top w:w="0" w:type="dxa"/>
              <w:left w:w="85" w:type="dxa"/>
              <w:bottom w:w="0" w:type="dxa"/>
              <w:right w:w="57" w:type="dxa"/>
            </w:tcMar>
          </w:tcPr>
          <w:p w14:paraId="168280F3"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grassland </w:t>
            </w:r>
          </w:p>
        </w:tc>
        <w:tc>
          <w:tcPr>
            <w:tcW w:w="1841" w:type="dxa"/>
            <w:shd w:val="clear" w:color="auto" w:fill="FFFFFF" w:themeFill="background1"/>
            <w:tcMar>
              <w:top w:w="0" w:type="dxa"/>
              <w:left w:w="85" w:type="dxa"/>
              <w:bottom w:w="0" w:type="dxa"/>
              <w:right w:w="57" w:type="dxa"/>
            </w:tcMar>
          </w:tcPr>
          <w:p w14:paraId="27999E73"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grassland </w:t>
            </w:r>
          </w:p>
        </w:tc>
        <w:tc>
          <w:tcPr>
            <w:tcW w:w="3178" w:type="dxa"/>
            <w:vMerge/>
            <w:tcMar>
              <w:top w:w="0" w:type="dxa"/>
              <w:left w:w="85" w:type="dxa"/>
              <w:bottom w:w="0" w:type="dxa"/>
              <w:right w:w="57" w:type="dxa"/>
            </w:tcMar>
          </w:tcPr>
          <w:p w14:paraId="4B605D97" w14:textId="77777777" w:rsidR="00502238" w:rsidRPr="00FD12D3" w:rsidRDefault="00502238" w:rsidP="00F16E23">
            <w:pPr>
              <w:pStyle w:val="TableText"/>
              <w:spacing w:before="40" w:after="40"/>
              <w:rPr>
                <w:rFonts w:cs="Calibri"/>
                <w:szCs w:val="16"/>
              </w:rPr>
            </w:pPr>
          </w:p>
        </w:tc>
      </w:tr>
      <w:tr w:rsidR="00502238" w:rsidRPr="00FD12D3" w14:paraId="6B7CEFD4" w14:textId="77777777" w:rsidTr="00F32658">
        <w:tc>
          <w:tcPr>
            <w:tcW w:w="1546" w:type="dxa"/>
            <w:shd w:val="clear" w:color="auto" w:fill="FFFFFF" w:themeFill="background1"/>
            <w:tcMar>
              <w:top w:w="0" w:type="dxa"/>
              <w:left w:w="85" w:type="dxa"/>
              <w:bottom w:w="0" w:type="dxa"/>
              <w:right w:w="57" w:type="dxa"/>
            </w:tcMar>
          </w:tcPr>
          <w:p w14:paraId="70004646" w14:textId="77777777" w:rsidR="00502238" w:rsidRPr="00FD12D3" w:rsidRDefault="00502238" w:rsidP="00F16E23">
            <w:pPr>
              <w:pStyle w:val="TableText"/>
              <w:spacing w:before="40" w:after="40"/>
              <w:rPr>
                <w:rFonts w:cs="Calibri"/>
                <w:szCs w:val="16"/>
              </w:rPr>
            </w:pPr>
            <w:r w:rsidRPr="00FD12D3">
              <w:rPr>
                <w:rFonts w:eastAsia="Calibri" w:cs="Calibri"/>
                <w:szCs w:val="16"/>
              </w:rPr>
              <w:t>4.B.1/4(V) </w:t>
            </w:r>
          </w:p>
        </w:tc>
        <w:tc>
          <w:tcPr>
            <w:tcW w:w="1929" w:type="dxa"/>
            <w:shd w:val="clear" w:color="auto" w:fill="FFFFFF" w:themeFill="background1"/>
            <w:tcMar>
              <w:top w:w="0" w:type="dxa"/>
              <w:left w:w="85" w:type="dxa"/>
              <w:bottom w:w="0" w:type="dxa"/>
              <w:right w:w="57" w:type="dxa"/>
            </w:tcMar>
          </w:tcPr>
          <w:p w14:paraId="5594EDF4"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w:t>
            </w:r>
            <w:r>
              <w:rPr>
                <w:rFonts w:eastAsia="Calibri" w:cs="Calibri"/>
                <w:szCs w:val="16"/>
              </w:rPr>
              <w:t xml:space="preserve"> </w:t>
            </w:r>
            <w:r w:rsidRPr="00FD12D3">
              <w:rPr>
                <w:rFonts w:eastAsia="Calibri" w:cs="Calibri"/>
                <w:szCs w:val="16"/>
              </w:rPr>
              <w:t>Cropland remaining cropland </w:t>
            </w:r>
          </w:p>
        </w:tc>
        <w:tc>
          <w:tcPr>
            <w:tcW w:w="1841" w:type="dxa"/>
            <w:shd w:val="clear" w:color="auto" w:fill="FFFFFF" w:themeFill="background1"/>
            <w:tcMar>
              <w:top w:w="0" w:type="dxa"/>
              <w:left w:w="85" w:type="dxa"/>
              <w:bottom w:w="0" w:type="dxa"/>
              <w:right w:w="57" w:type="dxa"/>
            </w:tcMar>
          </w:tcPr>
          <w:p w14:paraId="4D7993AA" w14:textId="77777777" w:rsidR="00502238" w:rsidRPr="00FD12D3" w:rsidRDefault="00502238" w:rsidP="00F16E23">
            <w:pPr>
              <w:pStyle w:val="TableText"/>
              <w:spacing w:before="40" w:after="40"/>
              <w:rPr>
                <w:rFonts w:cs="Calibri"/>
                <w:szCs w:val="16"/>
              </w:rPr>
            </w:pPr>
            <w:r w:rsidRPr="00FD12D3">
              <w:rPr>
                <w:rFonts w:eastAsia="Calibri" w:cs="Calibri"/>
                <w:szCs w:val="16"/>
              </w:rPr>
              <w:t>Included under the Agriculture sector </w:t>
            </w:r>
          </w:p>
        </w:tc>
        <w:tc>
          <w:tcPr>
            <w:tcW w:w="3178" w:type="dxa"/>
            <w:shd w:val="clear" w:color="auto" w:fill="FFFFFF" w:themeFill="background1"/>
            <w:tcMar>
              <w:top w:w="0" w:type="dxa"/>
              <w:left w:w="85" w:type="dxa"/>
              <w:bottom w:w="0" w:type="dxa"/>
              <w:right w:w="57" w:type="dxa"/>
            </w:tcMar>
          </w:tcPr>
          <w:p w14:paraId="4C22BB6C"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Carbon dioxide and methane (CH</w:t>
            </w:r>
            <w:r w:rsidRPr="00FD12D3">
              <w:rPr>
                <w:rFonts w:eastAsia="Calibri" w:cs="Calibri"/>
                <w:color w:val="000000" w:themeColor="text1"/>
                <w:szCs w:val="16"/>
                <w:vertAlign w:val="subscript"/>
              </w:rPr>
              <w:t>4</w:t>
            </w:r>
            <w:r w:rsidRPr="00FD12D3">
              <w:rPr>
                <w:rFonts w:eastAsia="Calibri" w:cs="Calibri"/>
                <w:color w:val="000000" w:themeColor="text1"/>
                <w:szCs w:val="16"/>
              </w:rPr>
              <w:t>) emissions from burning of crop stubble are reported in the Agriculture sector. </w:t>
            </w:r>
          </w:p>
        </w:tc>
      </w:tr>
      <w:tr w:rsidR="00502238" w:rsidRPr="00FD12D3" w14:paraId="7A34D2E3" w14:textId="77777777" w:rsidTr="00F32658">
        <w:tc>
          <w:tcPr>
            <w:tcW w:w="1546" w:type="dxa"/>
            <w:shd w:val="clear" w:color="auto" w:fill="FFFFFF" w:themeFill="background1"/>
            <w:tcMar>
              <w:top w:w="0" w:type="dxa"/>
              <w:left w:w="85" w:type="dxa"/>
              <w:bottom w:w="0" w:type="dxa"/>
              <w:right w:w="57" w:type="dxa"/>
            </w:tcMar>
          </w:tcPr>
          <w:p w14:paraId="330990CD" w14:textId="77777777" w:rsidR="00502238" w:rsidRPr="00FD12D3" w:rsidRDefault="00502238" w:rsidP="00F16E23">
            <w:pPr>
              <w:pStyle w:val="TableText"/>
              <w:spacing w:before="40" w:after="40"/>
              <w:rPr>
                <w:rFonts w:cs="Calibri"/>
                <w:szCs w:val="16"/>
              </w:rPr>
            </w:pPr>
            <w:r w:rsidRPr="00FD12D3">
              <w:rPr>
                <w:rFonts w:eastAsia="Calibri" w:cs="Calibri"/>
                <w:szCs w:val="16"/>
              </w:rPr>
              <w:t>4.B.1/4(V) </w:t>
            </w:r>
          </w:p>
        </w:tc>
        <w:tc>
          <w:tcPr>
            <w:tcW w:w="1929" w:type="dxa"/>
            <w:shd w:val="clear" w:color="auto" w:fill="FFFFFF" w:themeFill="background1"/>
            <w:tcMar>
              <w:top w:w="0" w:type="dxa"/>
              <w:left w:w="85" w:type="dxa"/>
              <w:bottom w:w="0" w:type="dxa"/>
              <w:right w:w="57" w:type="dxa"/>
            </w:tcMar>
          </w:tcPr>
          <w:p w14:paraId="1104DAD2" w14:textId="77777777" w:rsidR="00502238" w:rsidRPr="00FD12D3" w:rsidRDefault="00502238" w:rsidP="00F16E23">
            <w:pPr>
              <w:pStyle w:val="TableText"/>
              <w:spacing w:before="40" w:after="40"/>
              <w:rPr>
                <w:rFonts w:cs="Calibri"/>
                <w:szCs w:val="16"/>
              </w:rPr>
            </w:pPr>
            <w:r w:rsidRPr="00FD12D3">
              <w:rPr>
                <w:rFonts w:eastAsia="Calibri" w:cs="Calibri"/>
                <w:szCs w:val="16"/>
              </w:rPr>
              <w:t>Wildfires/Cropland remaining cropland </w:t>
            </w:r>
          </w:p>
        </w:tc>
        <w:tc>
          <w:tcPr>
            <w:tcW w:w="1841" w:type="dxa"/>
            <w:shd w:val="clear" w:color="auto" w:fill="FFFFFF" w:themeFill="background1"/>
            <w:tcMar>
              <w:top w:w="0" w:type="dxa"/>
              <w:left w:w="85" w:type="dxa"/>
              <w:bottom w:w="0" w:type="dxa"/>
              <w:right w:w="57" w:type="dxa"/>
            </w:tcMar>
          </w:tcPr>
          <w:p w14:paraId="024B75AC" w14:textId="77777777" w:rsidR="00502238" w:rsidRPr="00FD12D3" w:rsidRDefault="00502238" w:rsidP="00F16E23">
            <w:pPr>
              <w:pStyle w:val="TableText"/>
              <w:spacing w:before="40" w:after="40"/>
              <w:rPr>
                <w:rFonts w:cs="Calibri"/>
                <w:szCs w:val="16"/>
              </w:rPr>
            </w:pPr>
            <w:r w:rsidRPr="00FD12D3">
              <w:rPr>
                <w:rFonts w:eastAsia="Calibri" w:cs="Calibri"/>
                <w:szCs w:val="16"/>
              </w:rPr>
              <w:t>Cropland remaining cropland </w:t>
            </w:r>
          </w:p>
        </w:tc>
        <w:tc>
          <w:tcPr>
            <w:tcW w:w="3178" w:type="dxa"/>
            <w:shd w:val="clear" w:color="auto" w:fill="FFFFFF" w:themeFill="background1"/>
            <w:tcMar>
              <w:top w:w="0" w:type="dxa"/>
              <w:left w:w="85" w:type="dxa"/>
              <w:bottom w:w="0" w:type="dxa"/>
              <w:right w:w="57" w:type="dxa"/>
            </w:tcMar>
          </w:tcPr>
          <w:p w14:paraId="23EDF09F"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Any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from wildfires on non-forest land are assumed to be offset by the subsequent carbon stock gain from the regrowth of biomass, which is also not reported. Alternatively, if the wildfire resulted in land-use change, then any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are captured by the general carbon stock change calculation that is performed when land is converted to a new land use. </w:t>
            </w:r>
          </w:p>
        </w:tc>
      </w:tr>
      <w:tr w:rsidR="00502238" w:rsidRPr="00FD12D3" w14:paraId="1411BBA5" w14:textId="77777777" w:rsidTr="00F32658">
        <w:tc>
          <w:tcPr>
            <w:tcW w:w="1546" w:type="dxa"/>
            <w:tcBorders>
              <w:bottom w:val="nil"/>
            </w:tcBorders>
            <w:shd w:val="clear" w:color="auto" w:fill="FFFFFF" w:themeFill="background1"/>
            <w:tcMar>
              <w:top w:w="0" w:type="dxa"/>
              <w:left w:w="85" w:type="dxa"/>
              <w:bottom w:w="0" w:type="dxa"/>
              <w:right w:w="57" w:type="dxa"/>
            </w:tcMar>
          </w:tcPr>
          <w:p w14:paraId="578B381D" w14:textId="77777777" w:rsidR="00502238" w:rsidRPr="00FD12D3" w:rsidRDefault="00502238" w:rsidP="00F16E23">
            <w:pPr>
              <w:pStyle w:val="TableText"/>
              <w:spacing w:before="40" w:after="40"/>
              <w:rPr>
                <w:rFonts w:cs="Calibri"/>
                <w:szCs w:val="16"/>
              </w:rPr>
            </w:pPr>
            <w:r w:rsidRPr="00FD12D3">
              <w:rPr>
                <w:rFonts w:eastAsia="Calibri" w:cs="Calibri"/>
                <w:szCs w:val="16"/>
              </w:rPr>
              <w:t>4.B.2/4(V) </w:t>
            </w:r>
          </w:p>
        </w:tc>
        <w:tc>
          <w:tcPr>
            <w:tcW w:w="1929" w:type="dxa"/>
            <w:tcBorders>
              <w:bottom w:val="nil"/>
            </w:tcBorders>
            <w:shd w:val="clear" w:color="auto" w:fill="FFFFFF" w:themeFill="background1"/>
            <w:tcMar>
              <w:top w:w="0" w:type="dxa"/>
              <w:left w:w="85" w:type="dxa"/>
              <w:bottom w:w="0" w:type="dxa"/>
              <w:right w:w="57" w:type="dxa"/>
            </w:tcMar>
          </w:tcPr>
          <w:p w14:paraId="12F48EDF" w14:textId="77777777" w:rsidR="00502238" w:rsidRPr="00FD12D3" w:rsidRDefault="00502238" w:rsidP="00F16E23">
            <w:pPr>
              <w:pStyle w:val="TableText"/>
              <w:spacing w:before="40" w:after="40"/>
              <w:rPr>
                <w:rFonts w:cs="Calibri"/>
                <w:szCs w:val="16"/>
              </w:rPr>
            </w:pPr>
            <w:r w:rsidRPr="00FD12D3">
              <w:rPr>
                <w:rFonts w:eastAsia="Calibri" w:cs="Calibri"/>
                <w:szCs w:val="16"/>
              </w:rPr>
              <w:t>Wildfires/Land converted to cropland </w:t>
            </w:r>
          </w:p>
        </w:tc>
        <w:tc>
          <w:tcPr>
            <w:tcW w:w="1841" w:type="dxa"/>
            <w:tcBorders>
              <w:bottom w:val="nil"/>
            </w:tcBorders>
            <w:shd w:val="clear" w:color="auto" w:fill="FFFFFF" w:themeFill="background1"/>
            <w:tcMar>
              <w:top w:w="0" w:type="dxa"/>
              <w:left w:w="85" w:type="dxa"/>
              <w:bottom w:w="0" w:type="dxa"/>
              <w:right w:w="57" w:type="dxa"/>
            </w:tcMar>
          </w:tcPr>
          <w:p w14:paraId="4B19CEC9"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cropland </w:t>
            </w:r>
          </w:p>
        </w:tc>
        <w:tc>
          <w:tcPr>
            <w:tcW w:w="3178" w:type="dxa"/>
            <w:vMerge w:val="restart"/>
            <w:tcBorders>
              <w:bottom w:val="nil"/>
            </w:tcBorders>
            <w:shd w:val="clear" w:color="auto" w:fill="FFFFFF" w:themeFill="background1"/>
            <w:tcMar>
              <w:top w:w="0" w:type="dxa"/>
              <w:left w:w="85" w:type="dxa"/>
              <w:bottom w:w="0" w:type="dxa"/>
              <w:right w:w="57" w:type="dxa"/>
            </w:tcMar>
          </w:tcPr>
          <w:p w14:paraId="381EE3B0"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Any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from wildfires on non-forest land are assumed to be offset by the subsequent carbon stock gain from the regrowth of biomass, which is also not reported. Alternatively, if the wildfire resulted in land-use change, then any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are captured by the general carbon stock change calculation that is performed when land is converted to a new land use. </w:t>
            </w:r>
          </w:p>
        </w:tc>
      </w:tr>
      <w:tr w:rsidR="00502238" w:rsidRPr="00FD12D3" w14:paraId="1FBCA6AC"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07586137" w14:textId="77777777" w:rsidR="00502238" w:rsidRPr="00FD12D3" w:rsidRDefault="00502238" w:rsidP="00F16E23">
            <w:pPr>
              <w:pStyle w:val="TableText"/>
              <w:spacing w:before="40" w:after="40"/>
              <w:rPr>
                <w:rFonts w:cs="Calibri"/>
                <w:szCs w:val="16"/>
              </w:rPr>
            </w:pPr>
            <w:r w:rsidRPr="00FD12D3">
              <w:rPr>
                <w:rFonts w:eastAsia="Calibri" w:cs="Calibri"/>
                <w:szCs w:val="16"/>
              </w:rPr>
              <w:t>4.C.1/4(V) </w:t>
            </w:r>
          </w:p>
        </w:tc>
        <w:tc>
          <w:tcPr>
            <w:tcW w:w="1929" w:type="dxa"/>
            <w:tcBorders>
              <w:top w:val="nil"/>
              <w:bottom w:val="nil"/>
            </w:tcBorders>
            <w:shd w:val="clear" w:color="auto" w:fill="FFFFFF" w:themeFill="background1"/>
            <w:tcMar>
              <w:top w:w="0" w:type="dxa"/>
              <w:left w:w="85" w:type="dxa"/>
              <w:bottom w:w="0" w:type="dxa"/>
              <w:right w:w="57" w:type="dxa"/>
            </w:tcMar>
          </w:tcPr>
          <w:p w14:paraId="64963E44" w14:textId="77777777" w:rsidR="00502238" w:rsidRPr="00FD12D3" w:rsidRDefault="00502238" w:rsidP="00F16E23">
            <w:pPr>
              <w:pStyle w:val="TableText"/>
              <w:spacing w:before="40" w:after="40"/>
              <w:rPr>
                <w:rFonts w:cs="Calibri"/>
                <w:szCs w:val="16"/>
              </w:rPr>
            </w:pPr>
            <w:r w:rsidRPr="00FD12D3">
              <w:rPr>
                <w:rFonts w:eastAsia="Calibri" w:cs="Calibri"/>
                <w:szCs w:val="16"/>
              </w:rPr>
              <w:t>Wildfires/Grassland remaining grassland </w:t>
            </w:r>
          </w:p>
        </w:tc>
        <w:tc>
          <w:tcPr>
            <w:tcW w:w="1841" w:type="dxa"/>
            <w:tcBorders>
              <w:top w:val="nil"/>
              <w:bottom w:val="nil"/>
            </w:tcBorders>
            <w:shd w:val="clear" w:color="auto" w:fill="FFFFFF" w:themeFill="background1"/>
            <w:tcMar>
              <w:top w:w="0" w:type="dxa"/>
              <w:left w:w="85" w:type="dxa"/>
              <w:bottom w:w="0" w:type="dxa"/>
              <w:right w:w="57" w:type="dxa"/>
            </w:tcMar>
          </w:tcPr>
          <w:p w14:paraId="72DF94E3" w14:textId="77777777" w:rsidR="00502238" w:rsidRPr="00FD12D3" w:rsidRDefault="00502238" w:rsidP="00F16E23">
            <w:pPr>
              <w:pStyle w:val="TableText"/>
              <w:spacing w:before="40" w:after="40"/>
              <w:rPr>
                <w:rFonts w:cs="Calibri"/>
                <w:szCs w:val="16"/>
              </w:rPr>
            </w:pPr>
            <w:r w:rsidRPr="00FD12D3">
              <w:rPr>
                <w:rFonts w:eastAsia="Calibri" w:cs="Calibri"/>
                <w:szCs w:val="16"/>
              </w:rPr>
              <w:t>Grassland remaining grassland </w:t>
            </w:r>
          </w:p>
        </w:tc>
        <w:tc>
          <w:tcPr>
            <w:tcW w:w="3178" w:type="dxa"/>
            <w:vMerge/>
            <w:tcBorders>
              <w:top w:val="nil"/>
              <w:bottom w:val="nil"/>
            </w:tcBorders>
            <w:tcMar>
              <w:top w:w="0" w:type="dxa"/>
              <w:left w:w="85" w:type="dxa"/>
              <w:bottom w:w="0" w:type="dxa"/>
              <w:right w:w="57" w:type="dxa"/>
            </w:tcMar>
          </w:tcPr>
          <w:p w14:paraId="065FAEAC" w14:textId="77777777" w:rsidR="00502238" w:rsidRPr="00FD12D3" w:rsidRDefault="00502238" w:rsidP="00F16E23">
            <w:pPr>
              <w:pStyle w:val="TableText"/>
              <w:spacing w:before="40" w:after="40"/>
              <w:rPr>
                <w:rFonts w:cs="Calibri"/>
                <w:szCs w:val="16"/>
              </w:rPr>
            </w:pPr>
          </w:p>
        </w:tc>
      </w:tr>
      <w:tr w:rsidR="00502238" w:rsidRPr="00FD12D3" w14:paraId="4DEF1B59"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2352D214" w14:textId="77777777" w:rsidR="00502238" w:rsidRPr="00FD12D3" w:rsidRDefault="00502238" w:rsidP="00F16E23">
            <w:pPr>
              <w:pStyle w:val="TableText"/>
              <w:spacing w:before="40" w:after="40"/>
              <w:rPr>
                <w:rFonts w:cs="Calibri"/>
                <w:szCs w:val="16"/>
              </w:rPr>
            </w:pPr>
            <w:r w:rsidRPr="00FD12D3">
              <w:rPr>
                <w:rFonts w:eastAsia="Calibri" w:cs="Calibri"/>
                <w:szCs w:val="16"/>
              </w:rPr>
              <w:t>4.C.2/4(V) </w:t>
            </w:r>
          </w:p>
        </w:tc>
        <w:tc>
          <w:tcPr>
            <w:tcW w:w="1929" w:type="dxa"/>
            <w:tcBorders>
              <w:top w:val="nil"/>
              <w:bottom w:val="nil"/>
            </w:tcBorders>
            <w:shd w:val="clear" w:color="auto" w:fill="FFFFFF" w:themeFill="background1"/>
            <w:tcMar>
              <w:top w:w="0" w:type="dxa"/>
              <w:left w:w="85" w:type="dxa"/>
              <w:bottom w:w="0" w:type="dxa"/>
              <w:right w:w="57" w:type="dxa"/>
            </w:tcMar>
          </w:tcPr>
          <w:p w14:paraId="3B520895" w14:textId="77777777" w:rsidR="00502238" w:rsidRPr="00FD12D3" w:rsidRDefault="00502238" w:rsidP="00F16E23">
            <w:pPr>
              <w:pStyle w:val="TableText"/>
              <w:spacing w:before="40" w:after="40"/>
              <w:rPr>
                <w:rFonts w:cs="Calibri"/>
                <w:szCs w:val="16"/>
              </w:rPr>
            </w:pPr>
            <w:r w:rsidRPr="00FD12D3">
              <w:rPr>
                <w:rFonts w:eastAsia="Calibri" w:cs="Calibri"/>
                <w:szCs w:val="16"/>
              </w:rPr>
              <w:t>Wildfires/Land converted to grassland </w:t>
            </w:r>
          </w:p>
        </w:tc>
        <w:tc>
          <w:tcPr>
            <w:tcW w:w="1841" w:type="dxa"/>
            <w:tcBorders>
              <w:top w:val="nil"/>
              <w:bottom w:val="nil"/>
            </w:tcBorders>
            <w:shd w:val="clear" w:color="auto" w:fill="FFFFFF" w:themeFill="background1"/>
            <w:tcMar>
              <w:top w:w="0" w:type="dxa"/>
              <w:left w:w="85" w:type="dxa"/>
              <w:bottom w:w="0" w:type="dxa"/>
              <w:right w:w="57" w:type="dxa"/>
            </w:tcMar>
          </w:tcPr>
          <w:p w14:paraId="55200243"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grassland </w:t>
            </w:r>
          </w:p>
        </w:tc>
        <w:tc>
          <w:tcPr>
            <w:tcW w:w="3178" w:type="dxa"/>
            <w:vMerge/>
            <w:tcBorders>
              <w:top w:val="nil"/>
            </w:tcBorders>
            <w:tcMar>
              <w:top w:w="0" w:type="dxa"/>
              <w:left w:w="85" w:type="dxa"/>
              <w:bottom w:w="0" w:type="dxa"/>
              <w:right w:w="57" w:type="dxa"/>
            </w:tcMar>
          </w:tcPr>
          <w:p w14:paraId="48039EC7" w14:textId="77777777" w:rsidR="00502238" w:rsidRPr="00FD12D3" w:rsidRDefault="00502238" w:rsidP="00F16E23">
            <w:pPr>
              <w:pStyle w:val="TableText"/>
              <w:spacing w:before="40" w:after="40"/>
              <w:rPr>
                <w:rFonts w:cs="Calibri"/>
                <w:szCs w:val="16"/>
              </w:rPr>
            </w:pPr>
          </w:p>
        </w:tc>
      </w:tr>
      <w:tr w:rsidR="00502238" w:rsidRPr="00FD12D3" w14:paraId="533EDBF9" w14:textId="77777777" w:rsidTr="00F32658">
        <w:tc>
          <w:tcPr>
            <w:tcW w:w="1546" w:type="dxa"/>
            <w:tcBorders>
              <w:top w:val="nil"/>
            </w:tcBorders>
            <w:shd w:val="clear" w:color="auto" w:fill="FFFFFF" w:themeFill="background1"/>
            <w:tcMar>
              <w:top w:w="0" w:type="dxa"/>
              <w:left w:w="85" w:type="dxa"/>
              <w:bottom w:w="0" w:type="dxa"/>
              <w:right w:w="57" w:type="dxa"/>
            </w:tcMar>
          </w:tcPr>
          <w:p w14:paraId="68F9041D" w14:textId="77777777" w:rsidR="00502238" w:rsidRPr="00FD12D3" w:rsidRDefault="00502238" w:rsidP="00F16E23">
            <w:pPr>
              <w:pStyle w:val="TableText"/>
              <w:spacing w:before="40" w:after="40"/>
              <w:rPr>
                <w:rFonts w:cs="Calibri"/>
                <w:szCs w:val="16"/>
              </w:rPr>
            </w:pPr>
            <w:r w:rsidRPr="00FD12D3">
              <w:rPr>
                <w:rFonts w:eastAsia="Calibri" w:cs="Calibri"/>
                <w:szCs w:val="16"/>
              </w:rPr>
              <w:t>4.D.2/4(V) </w:t>
            </w:r>
          </w:p>
        </w:tc>
        <w:tc>
          <w:tcPr>
            <w:tcW w:w="1929" w:type="dxa"/>
            <w:tcBorders>
              <w:top w:val="nil"/>
            </w:tcBorders>
            <w:shd w:val="clear" w:color="auto" w:fill="FFFFFF" w:themeFill="background1"/>
            <w:tcMar>
              <w:top w:w="0" w:type="dxa"/>
              <w:left w:w="85" w:type="dxa"/>
              <w:bottom w:w="0" w:type="dxa"/>
              <w:right w:w="57" w:type="dxa"/>
            </w:tcMar>
          </w:tcPr>
          <w:p w14:paraId="341FC41F" w14:textId="77777777" w:rsidR="00502238" w:rsidRPr="00FD12D3" w:rsidRDefault="00502238" w:rsidP="00F16E23">
            <w:pPr>
              <w:pStyle w:val="TableText"/>
              <w:spacing w:before="40" w:after="40"/>
              <w:rPr>
                <w:rFonts w:cs="Calibri"/>
                <w:szCs w:val="16"/>
              </w:rPr>
            </w:pPr>
            <w:r w:rsidRPr="00FD12D3">
              <w:rPr>
                <w:rFonts w:eastAsia="Calibri" w:cs="Calibri"/>
                <w:szCs w:val="16"/>
              </w:rPr>
              <w:t>Wildfires/Land converted to wetlands </w:t>
            </w:r>
          </w:p>
        </w:tc>
        <w:tc>
          <w:tcPr>
            <w:tcW w:w="1841" w:type="dxa"/>
            <w:tcBorders>
              <w:top w:val="nil"/>
            </w:tcBorders>
            <w:shd w:val="clear" w:color="auto" w:fill="FFFFFF" w:themeFill="background1"/>
            <w:tcMar>
              <w:top w:w="0" w:type="dxa"/>
              <w:left w:w="85" w:type="dxa"/>
              <w:bottom w:w="0" w:type="dxa"/>
              <w:right w:w="57" w:type="dxa"/>
            </w:tcMar>
          </w:tcPr>
          <w:p w14:paraId="41B3AF34"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wetlands </w:t>
            </w:r>
          </w:p>
        </w:tc>
        <w:tc>
          <w:tcPr>
            <w:tcW w:w="3178" w:type="dxa"/>
            <w:vMerge/>
            <w:tcMar>
              <w:top w:w="0" w:type="dxa"/>
              <w:left w:w="85" w:type="dxa"/>
              <w:bottom w:w="0" w:type="dxa"/>
              <w:right w:w="57" w:type="dxa"/>
            </w:tcMar>
          </w:tcPr>
          <w:p w14:paraId="255544D8" w14:textId="77777777" w:rsidR="00502238" w:rsidRPr="00FD12D3" w:rsidRDefault="00502238" w:rsidP="00F16E23">
            <w:pPr>
              <w:pStyle w:val="TableText"/>
              <w:spacing w:before="40" w:after="40"/>
              <w:rPr>
                <w:rFonts w:cs="Calibri"/>
                <w:szCs w:val="16"/>
              </w:rPr>
            </w:pPr>
          </w:p>
        </w:tc>
      </w:tr>
      <w:tr w:rsidR="00502238" w:rsidRPr="00FD12D3" w14:paraId="29C3C48A" w14:textId="77777777" w:rsidTr="00F32658">
        <w:tc>
          <w:tcPr>
            <w:tcW w:w="1546" w:type="dxa"/>
            <w:tcBorders>
              <w:bottom w:val="nil"/>
            </w:tcBorders>
            <w:shd w:val="clear" w:color="auto" w:fill="FFFFFF" w:themeFill="background1"/>
            <w:tcMar>
              <w:top w:w="0" w:type="dxa"/>
              <w:left w:w="85" w:type="dxa"/>
              <w:bottom w:w="0" w:type="dxa"/>
              <w:right w:w="57" w:type="dxa"/>
            </w:tcMar>
          </w:tcPr>
          <w:p w14:paraId="2D89C091" w14:textId="77777777" w:rsidR="00502238" w:rsidRPr="00FD12D3" w:rsidRDefault="00502238" w:rsidP="00F16E23">
            <w:pPr>
              <w:pStyle w:val="TableText"/>
              <w:spacing w:before="40" w:after="40"/>
              <w:rPr>
                <w:rFonts w:cs="Calibri"/>
                <w:szCs w:val="16"/>
              </w:rPr>
            </w:pPr>
            <w:r w:rsidRPr="00FD12D3">
              <w:rPr>
                <w:rFonts w:eastAsia="Calibri" w:cs="Calibri"/>
                <w:szCs w:val="16"/>
              </w:rPr>
              <w:t>4.A.1/4(I)</w:t>
            </w:r>
          </w:p>
        </w:tc>
        <w:tc>
          <w:tcPr>
            <w:tcW w:w="1929" w:type="dxa"/>
            <w:tcBorders>
              <w:bottom w:val="nil"/>
            </w:tcBorders>
            <w:shd w:val="clear" w:color="auto" w:fill="FFFFFF" w:themeFill="background1"/>
            <w:tcMar>
              <w:top w:w="0" w:type="dxa"/>
              <w:left w:w="85" w:type="dxa"/>
              <w:bottom w:w="0" w:type="dxa"/>
              <w:right w:w="57" w:type="dxa"/>
            </w:tcMar>
          </w:tcPr>
          <w:p w14:paraId="18AD3DBD"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Direct N</w:t>
            </w:r>
            <w:r w:rsidRPr="00FD12D3">
              <w:rPr>
                <w:rFonts w:eastAsia="Calibri" w:cs="Calibri"/>
                <w:color w:val="000000" w:themeColor="text1"/>
                <w:szCs w:val="16"/>
                <w:vertAlign w:val="subscript"/>
              </w:rPr>
              <w:t>2</w:t>
            </w:r>
            <w:r w:rsidRPr="00FD12D3">
              <w:rPr>
                <w:rFonts w:eastAsia="Calibri" w:cs="Calibri"/>
                <w:color w:val="000000" w:themeColor="text1"/>
                <w:szCs w:val="16"/>
              </w:rPr>
              <w:t>O emissions from nitrogen (N) inputs to managed soils </w:t>
            </w:r>
          </w:p>
        </w:tc>
        <w:tc>
          <w:tcPr>
            <w:tcW w:w="1841" w:type="dxa"/>
            <w:tcBorders>
              <w:bottom w:val="nil"/>
            </w:tcBorders>
            <w:shd w:val="clear" w:color="auto" w:fill="FFFFFF" w:themeFill="background1"/>
            <w:tcMar>
              <w:top w:w="0" w:type="dxa"/>
              <w:left w:w="85" w:type="dxa"/>
              <w:bottom w:w="0" w:type="dxa"/>
              <w:right w:w="57" w:type="dxa"/>
            </w:tcMar>
          </w:tcPr>
          <w:p w14:paraId="492644F1" w14:textId="77777777" w:rsidR="00502238" w:rsidRPr="00FD12D3" w:rsidRDefault="00502238" w:rsidP="00F16E23">
            <w:pPr>
              <w:pStyle w:val="TableText"/>
              <w:spacing w:before="40" w:after="40"/>
              <w:rPr>
                <w:rFonts w:cs="Calibri"/>
                <w:szCs w:val="16"/>
              </w:rPr>
            </w:pPr>
            <w:r w:rsidRPr="00FD12D3">
              <w:rPr>
                <w:rFonts w:eastAsia="Calibri" w:cs="Calibri"/>
                <w:szCs w:val="16"/>
              </w:rPr>
              <w:t>Included under the Agriculture sector </w:t>
            </w:r>
          </w:p>
        </w:tc>
        <w:tc>
          <w:tcPr>
            <w:tcW w:w="3178" w:type="dxa"/>
            <w:vMerge w:val="restart"/>
            <w:shd w:val="clear" w:color="auto" w:fill="FFFFFF" w:themeFill="background1"/>
            <w:tcMar>
              <w:top w:w="0" w:type="dxa"/>
              <w:left w:w="85" w:type="dxa"/>
              <w:bottom w:w="0" w:type="dxa"/>
              <w:right w:w="57" w:type="dxa"/>
            </w:tcMar>
          </w:tcPr>
          <w:p w14:paraId="5C2F9DC0"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New Zealand does not hold disaggregated activity data on nitrogen fertiliser by land use; therefore, all N</w:t>
            </w:r>
            <w:r w:rsidRPr="00FD12D3">
              <w:rPr>
                <w:rFonts w:eastAsia="Calibri" w:cs="Calibri"/>
                <w:color w:val="000000" w:themeColor="text1"/>
                <w:szCs w:val="16"/>
                <w:vertAlign w:val="subscript"/>
              </w:rPr>
              <w:t>2</w:t>
            </w:r>
            <w:r w:rsidRPr="00FD12D3">
              <w:rPr>
                <w:rFonts w:eastAsia="Calibri" w:cs="Calibri"/>
                <w:color w:val="000000" w:themeColor="text1"/>
                <w:szCs w:val="16"/>
              </w:rPr>
              <w:t>O emissions from organic and inorganic fertilisers are reported in the Agriculture sector. </w:t>
            </w:r>
          </w:p>
        </w:tc>
      </w:tr>
      <w:tr w:rsidR="00502238" w:rsidRPr="00FD12D3" w14:paraId="21F248C6"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5657AA4A" w14:textId="77777777" w:rsidR="00502238" w:rsidRPr="00FD12D3" w:rsidRDefault="00502238" w:rsidP="00F16E23">
            <w:pPr>
              <w:pStyle w:val="TableText"/>
              <w:spacing w:before="40" w:after="40"/>
              <w:rPr>
                <w:rFonts w:cs="Calibri"/>
                <w:szCs w:val="16"/>
              </w:rPr>
            </w:pPr>
            <w:r w:rsidRPr="00FD12D3">
              <w:rPr>
                <w:rFonts w:eastAsia="Calibri" w:cs="Calibri"/>
                <w:szCs w:val="16"/>
              </w:rPr>
              <w:t>4.D.1/4(I)</w:t>
            </w:r>
          </w:p>
        </w:tc>
        <w:tc>
          <w:tcPr>
            <w:tcW w:w="1929" w:type="dxa"/>
            <w:tcBorders>
              <w:top w:val="nil"/>
              <w:bottom w:val="nil"/>
            </w:tcBorders>
            <w:shd w:val="clear" w:color="auto" w:fill="FFFFFF" w:themeFill="background1"/>
            <w:tcMar>
              <w:top w:w="0" w:type="dxa"/>
              <w:left w:w="85" w:type="dxa"/>
              <w:bottom w:w="0" w:type="dxa"/>
              <w:right w:w="57" w:type="dxa"/>
            </w:tcMar>
          </w:tcPr>
          <w:p w14:paraId="7C2CAFA5"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Inorganic N fertilisers and Direct N</w:t>
            </w:r>
            <w:r w:rsidRPr="00FD12D3">
              <w:rPr>
                <w:rFonts w:eastAsia="Calibri" w:cs="Calibri"/>
                <w:color w:val="000000" w:themeColor="text1"/>
                <w:szCs w:val="16"/>
                <w:vertAlign w:val="subscript"/>
              </w:rPr>
              <w:t>2</w:t>
            </w:r>
            <w:r w:rsidRPr="00FD12D3">
              <w:rPr>
                <w:rFonts w:eastAsia="Calibri" w:cs="Calibri"/>
                <w:color w:val="000000" w:themeColor="text1"/>
                <w:szCs w:val="16"/>
              </w:rPr>
              <w:t>O emissions from N inputs to managed soils </w:t>
            </w:r>
          </w:p>
        </w:tc>
        <w:tc>
          <w:tcPr>
            <w:tcW w:w="1841" w:type="dxa"/>
            <w:tcBorders>
              <w:top w:val="nil"/>
              <w:bottom w:val="nil"/>
            </w:tcBorders>
            <w:shd w:val="clear" w:color="auto" w:fill="FFFFFF" w:themeFill="background1"/>
            <w:tcMar>
              <w:top w:w="0" w:type="dxa"/>
              <w:left w:w="85" w:type="dxa"/>
              <w:bottom w:w="0" w:type="dxa"/>
              <w:right w:w="57" w:type="dxa"/>
            </w:tcMar>
          </w:tcPr>
          <w:p w14:paraId="595B5A2E"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209F7FB0" w14:textId="77777777" w:rsidR="00502238" w:rsidRPr="00FD12D3" w:rsidRDefault="00502238" w:rsidP="00F16E23">
            <w:pPr>
              <w:pStyle w:val="TableText"/>
              <w:spacing w:before="40" w:after="40"/>
              <w:rPr>
                <w:rFonts w:cs="Calibri"/>
                <w:szCs w:val="16"/>
              </w:rPr>
            </w:pPr>
          </w:p>
        </w:tc>
      </w:tr>
      <w:tr w:rsidR="00502238" w:rsidRPr="00FD12D3" w14:paraId="5A783537"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66DE927E" w14:textId="77777777" w:rsidR="00502238" w:rsidRPr="00FD12D3" w:rsidRDefault="00502238" w:rsidP="00F16E23">
            <w:pPr>
              <w:pStyle w:val="TableText"/>
              <w:spacing w:before="40" w:after="40"/>
              <w:rPr>
                <w:rFonts w:cs="Calibri"/>
                <w:szCs w:val="16"/>
              </w:rPr>
            </w:pPr>
            <w:r w:rsidRPr="00FD12D3">
              <w:rPr>
                <w:rFonts w:eastAsia="Calibri" w:cs="Calibri"/>
                <w:szCs w:val="16"/>
              </w:rPr>
              <w:t>4.D.2/4(I)</w:t>
            </w:r>
          </w:p>
        </w:tc>
        <w:tc>
          <w:tcPr>
            <w:tcW w:w="1929" w:type="dxa"/>
            <w:tcBorders>
              <w:top w:val="nil"/>
              <w:bottom w:val="nil"/>
            </w:tcBorders>
            <w:shd w:val="clear" w:color="auto" w:fill="FFFFFF" w:themeFill="background1"/>
            <w:tcMar>
              <w:top w:w="0" w:type="dxa"/>
              <w:left w:w="85" w:type="dxa"/>
              <w:bottom w:w="0" w:type="dxa"/>
              <w:right w:w="57" w:type="dxa"/>
            </w:tcMar>
          </w:tcPr>
          <w:p w14:paraId="03A6DF51" w14:textId="77777777" w:rsidR="00502238" w:rsidRPr="00FD12D3" w:rsidRDefault="00502238" w:rsidP="00F16E23">
            <w:pPr>
              <w:pStyle w:val="TableText"/>
              <w:spacing w:before="40" w:after="40"/>
              <w:rPr>
                <w:rFonts w:cs="Calibri"/>
                <w:szCs w:val="16"/>
              </w:rPr>
            </w:pPr>
            <w:r w:rsidRPr="00FD12D3">
              <w:rPr>
                <w:rFonts w:eastAsia="Calibri" w:cs="Calibri"/>
                <w:szCs w:val="16"/>
              </w:rPr>
              <w:t>Organic N fertilisers</w:t>
            </w:r>
          </w:p>
        </w:tc>
        <w:tc>
          <w:tcPr>
            <w:tcW w:w="1841" w:type="dxa"/>
            <w:tcBorders>
              <w:top w:val="nil"/>
              <w:bottom w:val="nil"/>
            </w:tcBorders>
            <w:shd w:val="clear" w:color="auto" w:fill="FFFFFF" w:themeFill="background1"/>
            <w:tcMar>
              <w:top w:w="0" w:type="dxa"/>
              <w:left w:w="85" w:type="dxa"/>
              <w:bottom w:w="0" w:type="dxa"/>
              <w:right w:w="57" w:type="dxa"/>
            </w:tcMar>
          </w:tcPr>
          <w:p w14:paraId="33D1DD59"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15257EA5" w14:textId="77777777" w:rsidR="00502238" w:rsidRPr="00FD12D3" w:rsidRDefault="00502238" w:rsidP="00F16E23">
            <w:pPr>
              <w:pStyle w:val="TableText"/>
              <w:spacing w:before="40" w:after="40"/>
              <w:rPr>
                <w:rFonts w:cs="Calibri"/>
                <w:szCs w:val="16"/>
              </w:rPr>
            </w:pPr>
          </w:p>
        </w:tc>
      </w:tr>
      <w:tr w:rsidR="00502238" w:rsidRPr="00FD12D3" w14:paraId="4BB668D1"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509E5E70" w14:textId="77777777" w:rsidR="00502238" w:rsidRPr="00FD12D3" w:rsidRDefault="00502238" w:rsidP="00F16E23">
            <w:pPr>
              <w:pStyle w:val="TableText"/>
              <w:spacing w:before="40" w:after="40"/>
              <w:rPr>
                <w:rFonts w:cs="Calibri"/>
                <w:szCs w:val="16"/>
              </w:rPr>
            </w:pPr>
            <w:r w:rsidRPr="00FD12D3">
              <w:rPr>
                <w:rFonts w:eastAsia="Calibri" w:cs="Calibri"/>
                <w:szCs w:val="16"/>
              </w:rPr>
              <w:t>4.E.1/4(I)</w:t>
            </w:r>
          </w:p>
        </w:tc>
        <w:tc>
          <w:tcPr>
            <w:tcW w:w="1929" w:type="dxa"/>
            <w:tcBorders>
              <w:top w:val="nil"/>
              <w:bottom w:val="nil"/>
            </w:tcBorders>
            <w:shd w:val="clear" w:color="auto" w:fill="FFFFFF" w:themeFill="background1"/>
            <w:tcMar>
              <w:top w:w="0" w:type="dxa"/>
              <w:left w:w="85" w:type="dxa"/>
              <w:bottom w:w="0" w:type="dxa"/>
              <w:right w:w="57" w:type="dxa"/>
            </w:tcMar>
          </w:tcPr>
          <w:p w14:paraId="6699D842" w14:textId="77777777" w:rsidR="00502238" w:rsidRPr="00FD12D3" w:rsidRDefault="00502238" w:rsidP="00F16E23">
            <w:pPr>
              <w:pStyle w:val="TableText"/>
              <w:spacing w:before="40" w:after="40"/>
              <w:rPr>
                <w:rFonts w:cs="Calibri"/>
                <w:szCs w:val="16"/>
              </w:rPr>
            </w:pPr>
            <w:r w:rsidRPr="00FD12D3">
              <w:rPr>
                <w:rFonts w:eastAsia="Calibri" w:cs="Calibri"/>
                <w:szCs w:val="16"/>
              </w:rPr>
              <w:t>In the following categories:</w:t>
            </w:r>
          </w:p>
        </w:tc>
        <w:tc>
          <w:tcPr>
            <w:tcW w:w="1841" w:type="dxa"/>
            <w:tcBorders>
              <w:top w:val="nil"/>
              <w:bottom w:val="nil"/>
            </w:tcBorders>
            <w:shd w:val="clear" w:color="auto" w:fill="FFFFFF" w:themeFill="background1"/>
            <w:tcMar>
              <w:top w:w="0" w:type="dxa"/>
              <w:left w:w="85" w:type="dxa"/>
              <w:bottom w:w="0" w:type="dxa"/>
              <w:right w:w="57" w:type="dxa"/>
            </w:tcMar>
          </w:tcPr>
          <w:p w14:paraId="370A598F"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231A86E9" w14:textId="77777777" w:rsidR="00502238" w:rsidRPr="00FD12D3" w:rsidRDefault="00502238" w:rsidP="00F16E23">
            <w:pPr>
              <w:pStyle w:val="TableText"/>
              <w:spacing w:before="40" w:after="40"/>
              <w:rPr>
                <w:rFonts w:cs="Calibri"/>
                <w:szCs w:val="16"/>
              </w:rPr>
            </w:pPr>
          </w:p>
        </w:tc>
      </w:tr>
      <w:tr w:rsidR="00502238" w:rsidRPr="00FD12D3" w14:paraId="42174ADF"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2FE00167" w14:textId="77777777" w:rsidR="00502238" w:rsidRPr="00FD12D3" w:rsidRDefault="00502238" w:rsidP="00F16E23">
            <w:pPr>
              <w:pStyle w:val="TableText"/>
              <w:spacing w:before="40" w:after="40"/>
              <w:rPr>
                <w:rFonts w:cs="Calibri"/>
                <w:szCs w:val="16"/>
              </w:rPr>
            </w:pPr>
            <w:r w:rsidRPr="00FD12D3">
              <w:rPr>
                <w:rFonts w:eastAsia="Calibri" w:cs="Calibri"/>
                <w:szCs w:val="16"/>
              </w:rPr>
              <w:t>4.E.2/4(I) </w:t>
            </w:r>
          </w:p>
        </w:tc>
        <w:tc>
          <w:tcPr>
            <w:tcW w:w="1929" w:type="dxa"/>
            <w:tcBorders>
              <w:top w:val="nil"/>
              <w:bottom w:val="nil"/>
            </w:tcBorders>
            <w:shd w:val="clear" w:color="auto" w:fill="FFFFFF" w:themeFill="background1"/>
            <w:tcMar>
              <w:top w:w="0" w:type="dxa"/>
              <w:left w:w="85" w:type="dxa"/>
              <w:bottom w:w="0" w:type="dxa"/>
              <w:right w:w="57" w:type="dxa"/>
            </w:tcMar>
          </w:tcPr>
          <w:p w14:paraId="3FA2A057" w14:textId="77777777" w:rsidR="00502238" w:rsidRPr="00FD12D3" w:rsidRDefault="00502238" w:rsidP="00F16E23">
            <w:pPr>
              <w:pStyle w:val="TableText"/>
              <w:spacing w:before="40" w:after="40"/>
              <w:rPr>
                <w:rFonts w:cs="Calibri"/>
                <w:szCs w:val="16"/>
              </w:rPr>
            </w:pPr>
            <w:r w:rsidRPr="00FD12D3">
              <w:rPr>
                <w:rFonts w:eastAsia="Calibri" w:cs="Calibri"/>
                <w:szCs w:val="16"/>
              </w:rPr>
              <w:t>Forest land remaining forest land </w:t>
            </w:r>
          </w:p>
        </w:tc>
        <w:tc>
          <w:tcPr>
            <w:tcW w:w="1841" w:type="dxa"/>
            <w:tcBorders>
              <w:top w:val="nil"/>
              <w:bottom w:val="nil"/>
            </w:tcBorders>
            <w:shd w:val="clear" w:color="auto" w:fill="FFFFFF" w:themeFill="background1"/>
            <w:tcMar>
              <w:top w:w="0" w:type="dxa"/>
              <w:left w:w="85" w:type="dxa"/>
              <w:bottom w:w="0" w:type="dxa"/>
              <w:right w:w="57" w:type="dxa"/>
            </w:tcMar>
          </w:tcPr>
          <w:p w14:paraId="5CEDEDDD"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2ECB2355" w14:textId="77777777" w:rsidR="00502238" w:rsidRPr="00FD12D3" w:rsidRDefault="00502238" w:rsidP="00F16E23">
            <w:pPr>
              <w:pStyle w:val="TableText"/>
              <w:spacing w:before="40" w:after="40"/>
              <w:rPr>
                <w:rFonts w:cs="Calibri"/>
                <w:szCs w:val="16"/>
              </w:rPr>
            </w:pPr>
          </w:p>
        </w:tc>
      </w:tr>
      <w:tr w:rsidR="00502238" w:rsidRPr="00FD12D3" w14:paraId="75E419E7"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12A0226F" w14:textId="77777777" w:rsidR="00502238" w:rsidRPr="00FD12D3" w:rsidRDefault="00502238" w:rsidP="00F16E23">
            <w:pPr>
              <w:pStyle w:val="TableText"/>
              <w:spacing w:before="40" w:after="40"/>
              <w:rPr>
                <w:rFonts w:cs="Calibri"/>
                <w:szCs w:val="16"/>
              </w:rPr>
            </w:pPr>
          </w:p>
        </w:tc>
        <w:tc>
          <w:tcPr>
            <w:tcW w:w="1929" w:type="dxa"/>
            <w:tcBorders>
              <w:top w:val="nil"/>
              <w:bottom w:val="nil"/>
            </w:tcBorders>
            <w:shd w:val="clear" w:color="auto" w:fill="FFFFFF" w:themeFill="background1"/>
            <w:tcMar>
              <w:top w:w="0" w:type="dxa"/>
              <w:left w:w="85" w:type="dxa"/>
              <w:bottom w:w="0" w:type="dxa"/>
              <w:right w:w="57" w:type="dxa"/>
            </w:tcMar>
          </w:tcPr>
          <w:p w14:paraId="2455B280" w14:textId="77777777" w:rsidR="00502238" w:rsidRPr="00FD12D3" w:rsidRDefault="00502238" w:rsidP="00F16E23">
            <w:pPr>
              <w:pStyle w:val="TableText"/>
              <w:spacing w:before="40" w:after="40"/>
              <w:rPr>
                <w:rFonts w:cs="Calibri"/>
                <w:szCs w:val="16"/>
              </w:rPr>
            </w:pPr>
            <w:r w:rsidRPr="00FD12D3">
              <w:rPr>
                <w:rFonts w:eastAsia="Calibri" w:cs="Calibri"/>
                <w:szCs w:val="16"/>
              </w:rPr>
              <w:t>Wetlands remaining wetlands </w:t>
            </w:r>
          </w:p>
        </w:tc>
        <w:tc>
          <w:tcPr>
            <w:tcW w:w="1841" w:type="dxa"/>
            <w:tcBorders>
              <w:top w:val="nil"/>
              <w:bottom w:val="nil"/>
            </w:tcBorders>
            <w:shd w:val="clear" w:color="auto" w:fill="FFFFFF" w:themeFill="background1"/>
            <w:tcMar>
              <w:top w:w="0" w:type="dxa"/>
              <w:left w:w="85" w:type="dxa"/>
              <w:bottom w:w="0" w:type="dxa"/>
              <w:right w:w="57" w:type="dxa"/>
            </w:tcMar>
          </w:tcPr>
          <w:p w14:paraId="06AD987E"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4CBFD1E5" w14:textId="77777777" w:rsidR="00502238" w:rsidRPr="00FD12D3" w:rsidRDefault="00502238" w:rsidP="00F16E23">
            <w:pPr>
              <w:pStyle w:val="TableText"/>
              <w:spacing w:before="40" w:after="40"/>
              <w:rPr>
                <w:rFonts w:cs="Calibri"/>
                <w:szCs w:val="16"/>
              </w:rPr>
            </w:pPr>
          </w:p>
        </w:tc>
      </w:tr>
      <w:tr w:rsidR="00502238" w:rsidRPr="00FD12D3" w14:paraId="75E4ED46"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4AC29958" w14:textId="77777777" w:rsidR="00502238" w:rsidRPr="00FD12D3" w:rsidRDefault="00502238" w:rsidP="00F16E23">
            <w:pPr>
              <w:pStyle w:val="TableText"/>
              <w:spacing w:before="40" w:after="40"/>
              <w:rPr>
                <w:rFonts w:cs="Calibri"/>
                <w:szCs w:val="16"/>
              </w:rPr>
            </w:pPr>
          </w:p>
        </w:tc>
        <w:tc>
          <w:tcPr>
            <w:tcW w:w="1929" w:type="dxa"/>
            <w:tcBorders>
              <w:top w:val="nil"/>
              <w:bottom w:val="nil"/>
            </w:tcBorders>
            <w:shd w:val="clear" w:color="auto" w:fill="FFFFFF" w:themeFill="background1"/>
            <w:tcMar>
              <w:top w:w="0" w:type="dxa"/>
              <w:left w:w="85" w:type="dxa"/>
              <w:bottom w:w="0" w:type="dxa"/>
              <w:right w:w="57" w:type="dxa"/>
            </w:tcMar>
          </w:tcPr>
          <w:p w14:paraId="2681AA80"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wetlands </w:t>
            </w:r>
          </w:p>
        </w:tc>
        <w:tc>
          <w:tcPr>
            <w:tcW w:w="1841" w:type="dxa"/>
            <w:tcBorders>
              <w:top w:val="nil"/>
              <w:bottom w:val="nil"/>
            </w:tcBorders>
            <w:shd w:val="clear" w:color="auto" w:fill="FFFFFF" w:themeFill="background1"/>
            <w:tcMar>
              <w:top w:w="0" w:type="dxa"/>
              <w:left w:w="85" w:type="dxa"/>
              <w:bottom w:w="0" w:type="dxa"/>
              <w:right w:w="57" w:type="dxa"/>
            </w:tcMar>
          </w:tcPr>
          <w:p w14:paraId="5776A8B2"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7E329757" w14:textId="77777777" w:rsidR="00502238" w:rsidRPr="00FD12D3" w:rsidRDefault="00502238" w:rsidP="00F16E23">
            <w:pPr>
              <w:pStyle w:val="TableText"/>
              <w:spacing w:before="40" w:after="40"/>
              <w:rPr>
                <w:rFonts w:cs="Calibri"/>
                <w:szCs w:val="16"/>
              </w:rPr>
            </w:pPr>
          </w:p>
        </w:tc>
      </w:tr>
      <w:tr w:rsidR="00502238" w:rsidRPr="00FD12D3" w14:paraId="266DA546"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6A6F7C41" w14:textId="77777777" w:rsidR="00502238" w:rsidRPr="00FD12D3" w:rsidRDefault="00502238" w:rsidP="00F16E23">
            <w:pPr>
              <w:pStyle w:val="TableText"/>
              <w:spacing w:before="40" w:after="40"/>
              <w:rPr>
                <w:rFonts w:cs="Calibri"/>
                <w:szCs w:val="16"/>
              </w:rPr>
            </w:pPr>
          </w:p>
        </w:tc>
        <w:tc>
          <w:tcPr>
            <w:tcW w:w="1929" w:type="dxa"/>
            <w:tcBorders>
              <w:top w:val="nil"/>
              <w:bottom w:val="nil"/>
            </w:tcBorders>
            <w:shd w:val="clear" w:color="auto" w:fill="FFFFFF" w:themeFill="background1"/>
            <w:tcMar>
              <w:top w:w="0" w:type="dxa"/>
              <w:left w:w="85" w:type="dxa"/>
              <w:bottom w:w="0" w:type="dxa"/>
              <w:right w:w="57" w:type="dxa"/>
            </w:tcMar>
          </w:tcPr>
          <w:p w14:paraId="51FEC41F" w14:textId="77777777" w:rsidR="00502238" w:rsidRPr="00FD12D3" w:rsidRDefault="00502238" w:rsidP="00F16E23">
            <w:pPr>
              <w:pStyle w:val="TableText"/>
              <w:spacing w:before="40" w:after="40"/>
              <w:rPr>
                <w:rFonts w:cs="Calibri"/>
                <w:szCs w:val="16"/>
              </w:rPr>
            </w:pPr>
            <w:r w:rsidRPr="00FD12D3">
              <w:rPr>
                <w:rFonts w:eastAsia="Calibri" w:cs="Calibri"/>
                <w:szCs w:val="16"/>
              </w:rPr>
              <w:t>Settlements remaining settlements </w:t>
            </w:r>
          </w:p>
        </w:tc>
        <w:tc>
          <w:tcPr>
            <w:tcW w:w="1841" w:type="dxa"/>
            <w:tcBorders>
              <w:top w:val="nil"/>
              <w:bottom w:val="nil"/>
            </w:tcBorders>
            <w:shd w:val="clear" w:color="auto" w:fill="FFFFFF" w:themeFill="background1"/>
            <w:tcMar>
              <w:top w:w="0" w:type="dxa"/>
              <w:left w:w="85" w:type="dxa"/>
              <w:bottom w:w="0" w:type="dxa"/>
              <w:right w:w="57" w:type="dxa"/>
            </w:tcMar>
          </w:tcPr>
          <w:p w14:paraId="35B6B26D"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3CE7DF48" w14:textId="77777777" w:rsidR="00502238" w:rsidRPr="00FD12D3" w:rsidRDefault="00502238" w:rsidP="00F16E23">
            <w:pPr>
              <w:pStyle w:val="TableText"/>
              <w:spacing w:before="40" w:after="40"/>
              <w:rPr>
                <w:rFonts w:cs="Calibri"/>
                <w:szCs w:val="16"/>
              </w:rPr>
            </w:pPr>
          </w:p>
        </w:tc>
      </w:tr>
      <w:tr w:rsidR="00502238" w:rsidRPr="00FD12D3" w14:paraId="36A4D03B"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576A3948" w14:textId="77777777" w:rsidR="00502238" w:rsidRPr="00FD12D3" w:rsidRDefault="00502238" w:rsidP="00F16E23">
            <w:pPr>
              <w:pStyle w:val="TableText"/>
              <w:spacing w:before="40" w:after="40"/>
              <w:rPr>
                <w:rFonts w:cs="Calibri"/>
                <w:szCs w:val="16"/>
              </w:rPr>
            </w:pPr>
          </w:p>
        </w:tc>
        <w:tc>
          <w:tcPr>
            <w:tcW w:w="1929" w:type="dxa"/>
            <w:tcBorders>
              <w:top w:val="nil"/>
              <w:bottom w:val="nil"/>
            </w:tcBorders>
            <w:shd w:val="clear" w:color="auto" w:fill="FFFFFF" w:themeFill="background1"/>
            <w:tcMar>
              <w:top w:w="0" w:type="dxa"/>
              <w:left w:w="85" w:type="dxa"/>
              <w:bottom w:w="0" w:type="dxa"/>
              <w:right w:w="57" w:type="dxa"/>
            </w:tcMar>
          </w:tcPr>
          <w:p w14:paraId="21246A9B"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settlements </w:t>
            </w:r>
          </w:p>
        </w:tc>
        <w:tc>
          <w:tcPr>
            <w:tcW w:w="1841" w:type="dxa"/>
            <w:tcBorders>
              <w:top w:val="nil"/>
              <w:bottom w:val="nil"/>
            </w:tcBorders>
            <w:shd w:val="clear" w:color="auto" w:fill="FFFFFF" w:themeFill="background1"/>
            <w:tcMar>
              <w:top w:w="0" w:type="dxa"/>
              <w:left w:w="85" w:type="dxa"/>
              <w:bottom w:w="0" w:type="dxa"/>
              <w:right w:w="57" w:type="dxa"/>
            </w:tcMar>
          </w:tcPr>
          <w:p w14:paraId="0D1A81EC"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4CF6E465" w14:textId="77777777" w:rsidR="00502238" w:rsidRPr="00FD12D3" w:rsidRDefault="00502238" w:rsidP="00F16E23">
            <w:pPr>
              <w:pStyle w:val="TableText"/>
              <w:spacing w:before="40" w:after="40"/>
              <w:rPr>
                <w:rFonts w:cs="Calibri"/>
                <w:szCs w:val="16"/>
              </w:rPr>
            </w:pPr>
          </w:p>
        </w:tc>
      </w:tr>
      <w:tr w:rsidR="00502238" w:rsidRPr="00FD12D3" w14:paraId="0E35210D"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6BD54398" w14:textId="77777777" w:rsidR="00502238" w:rsidRPr="00FD12D3" w:rsidRDefault="00502238" w:rsidP="00F16E23">
            <w:pPr>
              <w:pStyle w:val="TableText"/>
              <w:spacing w:before="40" w:after="40"/>
              <w:rPr>
                <w:rFonts w:cs="Calibri"/>
                <w:szCs w:val="16"/>
              </w:rPr>
            </w:pPr>
          </w:p>
        </w:tc>
        <w:tc>
          <w:tcPr>
            <w:tcW w:w="1929" w:type="dxa"/>
            <w:tcBorders>
              <w:top w:val="nil"/>
              <w:bottom w:val="nil"/>
            </w:tcBorders>
            <w:shd w:val="clear" w:color="auto" w:fill="FFFFFF" w:themeFill="background1"/>
            <w:tcMar>
              <w:top w:w="0" w:type="dxa"/>
              <w:left w:w="85" w:type="dxa"/>
              <w:bottom w:w="0" w:type="dxa"/>
              <w:right w:w="57" w:type="dxa"/>
            </w:tcMar>
          </w:tcPr>
          <w:p w14:paraId="6F8F0817" w14:textId="77777777" w:rsidR="00502238" w:rsidRPr="00FD12D3" w:rsidRDefault="00502238" w:rsidP="00F16E23">
            <w:pPr>
              <w:pStyle w:val="TableText"/>
              <w:spacing w:before="40" w:after="40"/>
              <w:rPr>
                <w:rFonts w:cs="Calibri"/>
                <w:szCs w:val="16"/>
              </w:rPr>
            </w:pPr>
            <w:r w:rsidRPr="00FD12D3">
              <w:rPr>
                <w:rFonts w:eastAsia="Calibri" w:cs="Calibri"/>
                <w:szCs w:val="16"/>
              </w:rPr>
              <w:t>Settlements remaining settlements </w:t>
            </w:r>
          </w:p>
        </w:tc>
        <w:tc>
          <w:tcPr>
            <w:tcW w:w="1841" w:type="dxa"/>
            <w:tcBorders>
              <w:top w:val="nil"/>
              <w:bottom w:val="nil"/>
            </w:tcBorders>
            <w:shd w:val="clear" w:color="auto" w:fill="FFFFFF" w:themeFill="background1"/>
            <w:tcMar>
              <w:top w:w="0" w:type="dxa"/>
              <w:left w:w="85" w:type="dxa"/>
              <w:bottom w:w="0" w:type="dxa"/>
              <w:right w:w="57" w:type="dxa"/>
            </w:tcMar>
          </w:tcPr>
          <w:p w14:paraId="5D364D85"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0748C834" w14:textId="77777777" w:rsidR="00502238" w:rsidRPr="00FD12D3" w:rsidRDefault="00502238" w:rsidP="00F16E23">
            <w:pPr>
              <w:pStyle w:val="TableText"/>
              <w:spacing w:before="40" w:after="40"/>
              <w:rPr>
                <w:rFonts w:cs="Calibri"/>
                <w:szCs w:val="16"/>
              </w:rPr>
            </w:pPr>
          </w:p>
        </w:tc>
      </w:tr>
      <w:tr w:rsidR="00502238" w:rsidRPr="00FD12D3" w14:paraId="6A44F3AB" w14:textId="77777777" w:rsidTr="00F32658">
        <w:tc>
          <w:tcPr>
            <w:tcW w:w="1546" w:type="dxa"/>
            <w:tcBorders>
              <w:top w:val="nil"/>
              <w:bottom w:val="single" w:sz="4" w:space="0" w:color="1B556B" w:themeColor="text2"/>
            </w:tcBorders>
            <w:shd w:val="clear" w:color="auto" w:fill="FFFFFF" w:themeFill="background1"/>
            <w:tcMar>
              <w:top w:w="0" w:type="dxa"/>
              <w:left w:w="85" w:type="dxa"/>
              <w:bottom w:w="0" w:type="dxa"/>
              <w:right w:w="57" w:type="dxa"/>
            </w:tcMar>
          </w:tcPr>
          <w:p w14:paraId="27419F01" w14:textId="77777777" w:rsidR="00502238" w:rsidRPr="00FD12D3" w:rsidRDefault="00502238" w:rsidP="00F16E23">
            <w:pPr>
              <w:pStyle w:val="TableText"/>
              <w:spacing w:before="40" w:after="40"/>
              <w:rPr>
                <w:rFonts w:cs="Calibri"/>
                <w:szCs w:val="16"/>
              </w:rPr>
            </w:pPr>
          </w:p>
        </w:tc>
        <w:tc>
          <w:tcPr>
            <w:tcW w:w="1929" w:type="dxa"/>
            <w:tcBorders>
              <w:top w:val="nil"/>
              <w:bottom w:val="single" w:sz="4" w:space="0" w:color="1B556B" w:themeColor="text2"/>
            </w:tcBorders>
            <w:shd w:val="clear" w:color="auto" w:fill="FFFFFF" w:themeFill="background1"/>
            <w:tcMar>
              <w:top w:w="0" w:type="dxa"/>
              <w:left w:w="85" w:type="dxa"/>
              <w:bottom w:w="0" w:type="dxa"/>
              <w:right w:w="57" w:type="dxa"/>
            </w:tcMar>
          </w:tcPr>
          <w:p w14:paraId="1B7DB472"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settlements </w:t>
            </w:r>
          </w:p>
        </w:tc>
        <w:tc>
          <w:tcPr>
            <w:tcW w:w="1841" w:type="dxa"/>
            <w:tcBorders>
              <w:top w:val="nil"/>
              <w:bottom w:val="single" w:sz="4" w:space="0" w:color="1B556B" w:themeColor="text2"/>
            </w:tcBorders>
            <w:shd w:val="clear" w:color="auto" w:fill="FFFFFF" w:themeFill="background1"/>
            <w:tcMar>
              <w:top w:w="0" w:type="dxa"/>
              <w:left w:w="85" w:type="dxa"/>
              <w:bottom w:w="0" w:type="dxa"/>
              <w:right w:w="57" w:type="dxa"/>
            </w:tcMar>
          </w:tcPr>
          <w:p w14:paraId="40802D0A" w14:textId="77777777" w:rsidR="00502238" w:rsidRPr="00FD12D3" w:rsidRDefault="00502238" w:rsidP="00F16E23">
            <w:pPr>
              <w:pStyle w:val="TableText"/>
              <w:spacing w:before="40" w:after="40"/>
              <w:rPr>
                <w:rFonts w:cs="Calibri"/>
                <w:szCs w:val="16"/>
              </w:rPr>
            </w:pPr>
          </w:p>
        </w:tc>
        <w:tc>
          <w:tcPr>
            <w:tcW w:w="3178" w:type="dxa"/>
            <w:vMerge/>
            <w:tcMar>
              <w:top w:w="0" w:type="dxa"/>
              <w:left w:w="85" w:type="dxa"/>
              <w:bottom w:w="0" w:type="dxa"/>
              <w:right w:w="57" w:type="dxa"/>
            </w:tcMar>
          </w:tcPr>
          <w:p w14:paraId="104CB83F" w14:textId="77777777" w:rsidR="00502238" w:rsidRPr="00FD12D3" w:rsidRDefault="00502238" w:rsidP="00F16E23">
            <w:pPr>
              <w:pStyle w:val="TableText"/>
              <w:spacing w:before="40" w:after="40"/>
              <w:rPr>
                <w:rFonts w:cs="Calibri"/>
                <w:szCs w:val="16"/>
              </w:rPr>
            </w:pPr>
          </w:p>
        </w:tc>
      </w:tr>
      <w:tr w:rsidR="00502238" w:rsidRPr="00FD12D3" w14:paraId="2CB3FBD9" w14:textId="77777777" w:rsidTr="00F32658">
        <w:tc>
          <w:tcPr>
            <w:tcW w:w="1546" w:type="dxa"/>
            <w:tcBorders>
              <w:top w:val="single" w:sz="4" w:space="0" w:color="1B556B" w:themeColor="text2"/>
            </w:tcBorders>
            <w:shd w:val="clear" w:color="auto" w:fill="FFFFFF" w:themeFill="background1"/>
            <w:tcMar>
              <w:top w:w="0" w:type="dxa"/>
              <w:left w:w="85" w:type="dxa"/>
              <w:bottom w:w="0" w:type="dxa"/>
              <w:right w:w="57" w:type="dxa"/>
            </w:tcMar>
          </w:tcPr>
          <w:p w14:paraId="7244DC75" w14:textId="77777777" w:rsidR="00502238" w:rsidRPr="00FD12D3" w:rsidRDefault="00502238" w:rsidP="00F16E23">
            <w:pPr>
              <w:pStyle w:val="TableText"/>
              <w:spacing w:before="40" w:after="40"/>
              <w:rPr>
                <w:rFonts w:cs="Calibri"/>
                <w:szCs w:val="16"/>
              </w:rPr>
            </w:pPr>
            <w:r w:rsidRPr="00FD12D3">
              <w:rPr>
                <w:rFonts w:eastAsia="Calibri" w:cs="Calibri"/>
                <w:szCs w:val="16"/>
              </w:rPr>
              <w:t>4(IV) </w:t>
            </w:r>
          </w:p>
        </w:tc>
        <w:tc>
          <w:tcPr>
            <w:tcW w:w="1929" w:type="dxa"/>
            <w:tcBorders>
              <w:top w:val="single" w:sz="4" w:space="0" w:color="1B556B" w:themeColor="text2"/>
            </w:tcBorders>
            <w:shd w:val="clear" w:color="auto" w:fill="FFFFFF" w:themeFill="background1"/>
            <w:tcMar>
              <w:top w:w="0" w:type="dxa"/>
              <w:left w:w="85" w:type="dxa"/>
              <w:bottom w:w="0" w:type="dxa"/>
              <w:right w:w="57" w:type="dxa"/>
            </w:tcMar>
          </w:tcPr>
          <w:p w14:paraId="56CA5F93"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Indirect N</w:t>
            </w:r>
            <w:r w:rsidRPr="00FD12D3">
              <w:rPr>
                <w:rFonts w:eastAsia="Calibri" w:cs="Calibri"/>
                <w:color w:val="000000" w:themeColor="text1"/>
                <w:szCs w:val="16"/>
                <w:vertAlign w:val="subscript"/>
              </w:rPr>
              <w:t>2</w:t>
            </w:r>
            <w:r w:rsidRPr="00FD12D3">
              <w:rPr>
                <w:rFonts w:eastAsia="Calibri" w:cs="Calibri"/>
                <w:color w:val="000000" w:themeColor="text1"/>
                <w:szCs w:val="16"/>
              </w:rPr>
              <w:t>O emissions from managed soils/</w:t>
            </w:r>
            <w:r>
              <w:rPr>
                <w:rFonts w:eastAsia="Calibri" w:cs="Calibri"/>
                <w:color w:val="000000" w:themeColor="text1"/>
                <w:szCs w:val="16"/>
              </w:rPr>
              <w:t xml:space="preserve"> </w:t>
            </w:r>
            <w:r w:rsidRPr="00FD12D3">
              <w:rPr>
                <w:rFonts w:eastAsia="Calibri" w:cs="Calibri"/>
                <w:color w:val="000000" w:themeColor="text1"/>
                <w:szCs w:val="16"/>
              </w:rPr>
              <w:t>Atmospheric deposition </w:t>
            </w:r>
          </w:p>
        </w:tc>
        <w:tc>
          <w:tcPr>
            <w:tcW w:w="1841" w:type="dxa"/>
            <w:tcBorders>
              <w:top w:val="single" w:sz="4" w:space="0" w:color="1B556B" w:themeColor="text2"/>
            </w:tcBorders>
            <w:shd w:val="clear" w:color="auto" w:fill="FFFFFF" w:themeFill="background1"/>
            <w:tcMar>
              <w:top w:w="0" w:type="dxa"/>
              <w:left w:w="85" w:type="dxa"/>
              <w:bottom w:w="0" w:type="dxa"/>
              <w:right w:w="57" w:type="dxa"/>
            </w:tcMar>
          </w:tcPr>
          <w:p w14:paraId="2CC179F9" w14:textId="77777777" w:rsidR="00502238" w:rsidRPr="00FD12D3" w:rsidRDefault="00502238" w:rsidP="00F16E23">
            <w:pPr>
              <w:pStyle w:val="TableText"/>
              <w:spacing w:before="40" w:after="40"/>
              <w:rPr>
                <w:rFonts w:cs="Calibri"/>
                <w:szCs w:val="16"/>
              </w:rPr>
            </w:pPr>
            <w:r w:rsidRPr="00FD12D3">
              <w:rPr>
                <w:rFonts w:eastAsia="Calibri" w:cs="Calibri"/>
                <w:szCs w:val="16"/>
              </w:rPr>
              <w:t>Included under the Agriculture sector </w:t>
            </w:r>
          </w:p>
        </w:tc>
        <w:tc>
          <w:tcPr>
            <w:tcW w:w="3178" w:type="dxa"/>
            <w:shd w:val="clear" w:color="auto" w:fill="FFFFFF" w:themeFill="background1"/>
            <w:tcMar>
              <w:top w:w="0" w:type="dxa"/>
              <w:left w:w="85" w:type="dxa"/>
              <w:bottom w:w="0" w:type="dxa"/>
              <w:right w:w="57" w:type="dxa"/>
            </w:tcMar>
          </w:tcPr>
          <w:p w14:paraId="15710AB2" w14:textId="139A3357" w:rsidR="00502238" w:rsidRPr="00FD12D3" w:rsidRDefault="00502238" w:rsidP="00F16E23">
            <w:pPr>
              <w:pStyle w:val="TableText"/>
              <w:spacing w:before="40" w:after="40"/>
              <w:rPr>
                <w:rFonts w:cs="Calibri"/>
                <w:szCs w:val="16"/>
              </w:rPr>
            </w:pPr>
            <w:r w:rsidRPr="00FD12D3">
              <w:rPr>
                <w:rFonts w:eastAsia="Calibri" w:cs="Calibri"/>
                <w:szCs w:val="16"/>
              </w:rPr>
              <w:t>Volatilisation of nitrogen (manure, other organic and fertiliser) on pasture range and paddock is reported under Agriculture. This</w:t>
            </w:r>
            <w:r w:rsidR="007863DB">
              <w:rPr>
                <w:rFonts w:eastAsia="Calibri" w:cs="Calibri"/>
                <w:szCs w:val="16"/>
              </w:rPr>
              <w:t> </w:t>
            </w:r>
            <w:r w:rsidRPr="00FD12D3">
              <w:rPr>
                <w:rFonts w:eastAsia="Calibri" w:cs="Calibri"/>
                <w:szCs w:val="16"/>
              </w:rPr>
              <w:t>includes all nitrogen fertiliser used in New</w:t>
            </w:r>
            <w:r w:rsidR="007863DB">
              <w:rPr>
                <w:rFonts w:eastAsia="Calibri" w:cs="Calibri"/>
                <w:szCs w:val="16"/>
              </w:rPr>
              <w:t> </w:t>
            </w:r>
            <w:r w:rsidRPr="00FD12D3">
              <w:rPr>
                <w:rFonts w:eastAsia="Calibri" w:cs="Calibri"/>
                <w:szCs w:val="16"/>
              </w:rPr>
              <w:t>Zealand. </w:t>
            </w:r>
          </w:p>
        </w:tc>
      </w:tr>
      <w:tr w:rsidR="00502238" w:rsidRPr="00FD12D3" w14:paraId="487E6C31" w14:textId="77777777" w:rsidTr="00F32658">
        <w:tc>
          <w:tcPr>
            <w:tcW w:w="1546" w:type="dxa"/>
            <w:tcBorders>
              <w:bottom w:val="single" w:sz="4" w:space="0" w:color="1B556B"/>
            </w:tcBorders>
            <w:shd w:val="clear" w:color="auto" w:fill="FFFFFF" w:themeFill="background1"/>
            <w:tcMar>
              <w:top w:w="0" w:type="dxa"/>
              <w:left w:w="85" w:type="dxa"/>
              <w:bottom w:w="0" w:type="dxa"/>
              <w:right w:w="57" w:type="dxa"/>
            </w:tcMar>
          </w:tcPr>
          <w:p w14:paraId="0FD17B9E" w14:textId="77777777" w:rsidR="00502238" w:rsidRPr="00FD12D3" w:rsidRDefault="00502238" w:rsidP="00F16E23">
            <w:pPr>
              <w:pStyle w:val="TableText"/>
              <w:spacing w:before="40" w:after="40"/>
              <w:rPr>
                <w:rFonts w:cs="Calibri"/>
                <w:szCs w:val="16"/>
              </w:rPr>
            </w:pPr>
            <w:r w:rsidRPr="00FD12D3">
              <w:rPr>
                <w:rFonts w:eastAsia="Calibri" w:cs="Calibri"/>
                <w:szCs w:val="16"/>
              </w:rPr>
              <w:t>4.B.1/4(V) </w:t>
            </w:r>
          </w:p>
        </w:tc>
        <w:tc>
          <w:tcPr>
            <w:tcW w:w="1929" w:type="dxa"/>
            <w:tcBorders>
              <w:bottom w:val="single" w:sz="4" w:space="0" w:color="1B556B"/>
            </w:tcBorders>
            <w:shd w:val="clear" w:color="auto" w:fill="FFFFFF" w:themeFill="background1"/>
            <w:tcMar>
              <w:top w:w="0" w:type="dxa"/>
              <w:left w:w="85" w:type="dxa"/>
              <w:bottom w:w="0" w:type="dxa"/>
              <w:right w:w="57" w:type="dxa"/>
            </w:tcMar>
          </w:tcPr>
          <w:p w14:paraId="72801052"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w:t>
            </w:r>
            <w:r>
              <w:rPr>
                <w:rFonts w:eastAsia="Calibri" w:cs="Calibri"/>
                <w:szCs w:val="16"/>
              </w:rPr>
              <w:t xml:space="preserve"> </w:t>
            </w:r>
            <w:r w:rsidRPr="00FD12D3">
              <w:rPr>
                <w:rFonts w:eastAsia="Calibri" w:cs="Calibri"/>
                <w:szCs w:val="16"/>
              </w:rPr>
              <w:t>Cropland remaining cropland </w:t>
            </w:r>
          </w:p>
        </w:tc>
        <w:tc>
          <w:tcPr>
            <w:tcW w:w="1841" w:type="dxa"/>
            <w:tcBorders>
              <w:bottom w:val="single" w:sz="4" w:space="0" w:color="1B556B"/>
            </w:tcBorders>
            <w:shd w:val="clear" w:color="auto" w:fill="FFFFFF" w:themeFill="background1"/>
            <w:tcMar>
              <w:top w:w="0" w:type="dxa"/>
              <w:left w:w="85" w:type="dxa"/>
              <w:bottom w:w="0" w:type="dxa"/>
              <w:right w:w="57" w:type="dxa"/>
            </w:tcMar>
          </w:tcPr>
          <w:p w14:paraId="35FF1546" w14:textId="77777777" w:rsidR="00502238" w:rsidRPr="00FD12D3" w:rsidRDefault="00502238" w:rsidP="00F16E23">
            <w:pPr>
              <w:pStyle w:val="TableText"/>
              <w:spacing w:before="40" w:after="40"/>
              <w:rPr>
                <w:rFonts w:cs="Calibri"/>
                <w:szCs w:val="16"/>
              </w:rPr>
            </w:pPr>
            <w:r w:rsidRPr="00FD12D3">
              <w:rPr>
                <w:rFonts w:eastAsia="Calibri" w:cs="Calibri"/>
                <w:szCs w:val="16"/>
              </w:rPr>
              <w:t>Included under the Agriculture sector </w:t>
            </w:r>
          </w:p>
        </w:tc>
        <w:tc>
          <w:tcPr>
            <w:tcW w:w="3178" w:type="dxa"/>
            <w:shd w:val="clear" w:color="auto" w:fill="FFFFFF" w:themeFill="background1"/>
            <w:tcMar>
              <w:top w:w="0" w:type="dxa"/>
              <w:left w:w="85" w:type="dxa"/>
              <w:bottom w:w="0" w:type="dxa"/>
              <w:right w:w="57" w:type="dxa"/>
            </w:tcMar>
          </w:tcPr>
          <w:p w14:paraId="15DFDF19" w14:textId="77777777" w:rsidR="00502238" w:rsidRPr="00FD12D3" w:rsidRDefault="00502238" w:rsidP="00F16E23">
            <w:pPr>
              <w:pStyle w:val="TableText"/>
              <w:spacing w:before="40" w:after="40"/>
              <w:rPr>
                <w:rFonts w:cs="Calibri"/>
                <w:szCs w:val="16"/>
              </w:rPr>
            </w:pPr>
            <w:r w:rsidRPr="00FD12D3">
              <w:rPr>
                <w:rFonts w:eastAsia="Calibri" w:cs="Calibri"/>
                <w:szCs w:val="16"/>
              </w:rPr>
              <w:t>All emissions from burning of crop stubble are reported in the Agriculture sector. </w:t>
            </w:r>
          </w:p>
        </w:tc>
      </w:tr>
      <w:tr w:rsidR="00502238" w:rsidRPr="00FD12D3" w14:paraId="35072316" w14:textId="77777777" w:rsidTr="00F32658">
        <w:tc>
          <w:tcPr>
            <w:tcW w:w="1546" w:type="dxa"/>
            <w:tcBorders>
              <w:bottom w:val="nil"/>
            </w:tcBorders>
            <w:shd w:val="clear" w:color="auto" w:fill="FFFFFF" w:themeFill="background1"/>
            <w:tcMar>
              <w:top w:w="0" w:type="dxa"/>
              <w:left w:w="85" w:type="dxa"/>
              <w:bottom w:w="0" w:type="dxa"/>
              <w:right w:w="57" w:type="dxa"/>
            </w:tcMar>
          </w:tcPr>
          <w:p w14:paraId="350970CA" w14:textId="77777777" w:rsidR="00502238" w:rsidRPr="00FD12D3" w:rsidRDefault="00502238" w:rsidP="00F16E23">
            <w:pPr>
              <w:pStyle w:val="TableText"/>
              <w:spacing w:before="40" w:after="40"/>
              <w:rPr>
                <w:rFonts w:cs="Calibri"/>
                <w:szCs w:val="16"/>
              </w:rPr>
            </w:pPr>
            <w:r w:rsidRPr="00FD12D3">
              <w:rPr>
                <w:rFonts w:eastAsia="Calibri" w:cs="Calibri"/>
                <w:szCs w:val="16"/>
              </w:rPr>
              <w:t>4.C.1/4(V) </w:t>
            </w:r>
          </w:p>
        </w:tc>
        <w:tc>
          <w:tcPr>
            <w:tcW w:w="1929" w:type="dxa"/>
            <w:tcBorders>
              <w:bottom w:val="nil"/>
            </w:tcBorders>
            <w:shd w:val="clear" w:color="auto" w:fill="FFFFFF" w:themeFill="background1"/>
            <w:tcMar>
              <w:top w:w="0" w:type="dxa"/>
              <w:left w:w="85" w:type="dxa"/>
              <w:bottom w:w="0" w:type="dxa"/>
              <w:right w:w="57" w:type="dxa"/>
            </w:tcMar>
          </w:tcPr>
          <w:p w14:paraId="4638B8D1"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w:t>
            </w:r>
            <w:r>
              <w:rPr>
                <w:rFonts w:eastAsia="Calibri" w:cs="Calibri"/>
                <w:szCs w:val="16"/>
              </w:rPr>
              <w:t xml:space="preserve"> </w:t>
            </w:r>
            <w:r w:rsidRPr="00FD12D3">
              <w:rPr>
                <w:rFonts w:eastAsia="Calibri" w:cs="Calibri"/>
                <w:szCs w:val="16"/>
              </w:rPr>
              <w:t>Grassland remaining grassland </w:t>
            </w:r>
          </w:p>
        </w:tc>
        <w:tc>
          <w:tcPr>
            <w:tcW w:w="1841" w:type="dxa"/>
            <w:tcBorders>
              <w:bottom w:val="nil"/>
            </w:tcBorders>
            <w:shd w:val="clear" w:color="auto" w:fill="FFFFFF" w:themeFill="background1"/>
            <w:tcMar>
              <w:top w:w="0" w:type="dxa"/>
              <w:left w:w="85" w:type="dxa"/>
              <w:bottom w:w="0" w:type="dxa"/>
              <w:right w:w="57" w:type="dxa"/>
            </w:tcMar>
          </w:tcPr>
          <w:p w14:paraId="0917160D" w14:textId="77777777" w:rsidR="00502238" w:rsidRPr="00FD12D3" w:rsidRDefault="00502238" w:rsidP="00F16E23">
            <w:pPr>
              <w:pStyle w:val="TableText"/>
              <w:spacing w:before="40" w:after="40"/>
              <w:rPr>
                <w:rFonts w:cs="Calibri"/>
                <w:szCs w:val="16"/>
              </w:rPr>
            </w:pPr>
            <w:r w:rsidRPr="00FD12D3">
              <w:rPr>
                <w:rFonts w:eastAsia="Calibri" w:cs="Calibri"/>
                <w:szCs w:val="16"/>
              </w:rPr>
              <w:t>Grassland remaining grassland </w:t>
            </w:r>
          </w:p>
        </w:tc>
        <w:tc>
          <w:tcPr>
            <w:tcW w:w="3178" w:type="dxa"/>
            <w:vMerge w:val="restart"/>
            <w:shd w:val="clear" w:color="auto" w:fill="FFFFFF" w:themeFill="background1"/>
            <w:tcMar>
              <w:top w:w="0" w:type="dxa"/>
              <w:left w:w="85" w:type="dxa"/>
              <w:bottom w:w="0" w:type="dxa"/>
              <w:right w:w="57" w:type="dxa"/>
            </w:tcMar>
          </w:tcPr>
          <w:p w14:paraId="55B5A852" w14:textId="77777777" w:rsidR="00502238" w:rsidRPr="00FD12D3" w:rsidRDefault="00502238" w:rsidP="00F16E23">
            <w:pPr>
              <w:pStyle w:val="TableText"/>
              <w:spacing w:before="40" w:after="40"/>
              <w:rPr>
                <w:rFonts w:cs="Calibri"/>
                <w:szCs w:val="16"/>
              </w:rPr>
            </w:pPr>
            <w:r w:rsidRPr="00FD12D3">
              <w:rPr>
                <w:rFonts w:eastAsia="Calibri" w:cs="Calibri"/>
                <w:color w:val="000000" w:themeColor="text1"/>
                <w:szCs w:val="16"/>
              </w:rPr>
              <w:t>This is not a significant activity in New Zealand due to the country’s temperate climate and rainfall distribution, and any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from burning on non-forest land are assumed to be offset by the subsequent carbon stock gain from the regrowth of biomass, which is also not reported. Alternatively, if the fire resulted in land-use change, then any CO</w:t>
            </w:r>
            <w:r w:rsidRPr="00FD12D3">
              <w:rPr>
                <w:rFonts w:eastAsia="Calibri" w:cs="Calibri"/>
                <w:color w:val="000000" w:themeColor="text1"/>
                <w:szCs w:val="16"/>
                <w:vertAlign w:val="subscript"/>
              </w:rPr>
              <w:t>2</w:t>
            </w:r>
            <w:r w:rsidRPr="00FD12D3">
              <w:rPr>
                <w:rFonts w:eastAsia="Calibri" w:cs="Calibri"/>
                <w:color w:val="000000" w:themeColor="text1"/>
                <w:szCs w:val="16"/>
              </w:rPr>
              <w:t xml:space="preserve"> emissions are captured by the general carbon stock change calculation that is performed when land is converted to a new land use.</w:t>
            </w:r>
          </w:p>
        </w:tc>
      </w:tr>
      <w:tr w:rsidR="00502238" w:rsidRPr="00FD12D3" w14:paraId="7234339D" w14:textId="77777777" w:rsidTr="00F32658">
        <w:tc>
          <w:tcPr>
            <w:tcW w:w="1546" w:type="dxa"/>
            <w:tcBorders>
              <w:top w:val="nil"/>
            </w:tcBorders>
            <w:shd w:val="clear" w:color="auto" w:fill="FFFFFF" w:themeFill="background1"/>
            <w:tcMar>
              <w:top w:w="0" w:type="dxa"/>
              <w:left w:w="85" w:type="dxa"/>
              <w:bottom w:w="0" w:type="dxa"/>
              <w:right w:w="57" w:type="dxa"/>
            </w:tcMar>
          </w:tcPr>
          <w:p w14:paraId="6DD9DFE7" w14:textId="77777777" w:rsidR="00502238" w:rsidRPr="00FD12D3" w:rsidRDefault="00502238" w:rsidP="00F16E23">
            <w:pPr>
              <w:pStyle w:val="TableText"/>
              <w:spacing w:before="40" w:after="40"/>
              <w:rPr>
                <w:rFonts w:cs="Calibri"/>
                <w:szCs w:val="16"/>
              </w:rPr>
            </w:pPr>
            <w:r w:rsidRPr="00FD12D3">
              <w:rPr>
                <w:rFonts w:eastAsia="Calibri" w:cs="Calibri"/>
                <w:szCs w:val="16"/>
              </w:rPr>
              <w:t>4.D.1/4(V) </w:t>
            </w:r>
          </w:p>
        </w:tc>
        <w:tc>
          <w:tcPr>
            <w:tcW w:w="1929" w:type="dxa"/>
            <w:tcBorders>
              <w:top w:val="nil"/>
            </w:tcBorders>
            <w:shd w:val="clear" w:color="auto" w:fill="FFFFFF" w:themeFill="background1"/>
            <w:tcMar>
              <w:top w:w="0" w:type="dxa"/>
              <w:left w:w="85" w:type="dxa"/>
              <w:bottom w:w="0" w:type="dxa"/>
              <w:right w:w="57" w:type="dxa"/>
            </w:tcMar>
          </w:tcPr>
          <w:p w14:paraId="5A6F83BF"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w:t>
            </w:r>
            <w:r>
              <w:rPr>
                <w:rFonts w:eastAsia="Calibri" w:cs="Calibri"/>
                <w:szCs w:val="16"/>
              </w:rPr>
              <w:t xml:space="preserve"> </w:t>
            </w:r>
            <w:r w:rsidRPr="00FD12D3">
              <w:rPr>
                <w:rFonts w:eastAsia="Calibri" w:cs="Calibri"/>
                <w:szCs w:val="16"/>
              </w:rPr>
              <w:t>Wetlands remaining wetlands </w:t>
            </w:r>
          </w:p>
        </w:tc>
        <w:tc>
          <w:tcPr>
            <w:tcW w:w="1841" w:type="dxa"/>
            <w:tcBorders>
              <w:top w:val="nil"/>
            </w:tcBorders>
            <w:shd w:val="clear" w:color="auto" w:fill="FFFFFF" w:themeFill="background1"/>
            <w:tcMar>
              <w:top w:w="0" w:type="dxa"/>
              <w:left w:w="85" w:type="dxa"/>
              <w:bottom w:w="0" w:type="dxa"/>
              <w:right w:w="57" w:type="dxa"/>
            </w:tcMar>
          </w:tcPr>
          <w:p w14:paraId="031E26B5" w14:textId="77777777" w:rsidR="00502238" w:rsidRPr="00FD12D3" w:rsidRDefault="00502238" w:rsidP="00F16E23">
            <w:pPr>
              <w:pStyle w:val="TableText"/>
              <w:spacing w:before="40" w:after="40"/>
              <w:rPr>
                <w:rFonts w:cs="Calibri"/>
                <w:szCs w:val="16"/>
              </w:rPr>
            </w:pPr>
            <w:r w:rsidRPr="00FD12D3">
              <w:rPr>
                <w:rFonts w:eastAsia="Calibri" w:cs="Calibri"/>
                <w:szCs w:val="16"/>
              </w:rPr>
              <w:t>Wetlands remaining wetlands </w:t>
            </w:r>
          </w:p>
        </w:tc>
        <w:tc>
          <w:tcPr>
            <w:tcW w:w="3178" w:type="dxa"/>
            <w:vMerge/>
            <w:tcMar>
              <w:top w:w="0" w:type="dxa"/>
              <w:left w:w="85" w:type="dxa"/>
              <w:bottom w:w="0" w:type="dxa"/>
              <w:right w:w="57" w:type="dxa"/>
            </w:tcMar>
          </w:tcPr>
          <w:p w14:paraId="36BFABF2" w14:textId="77777777" w:rsidR="00502238" w:rsidRPr="00FD12D3" w:rsidRDefault="00502238" w:rsidP="00F16E23">
            <w:pPr>
              <w:pStyle w:val="TableText"/>
              <w:spacing w:before="40" w:after="40"/>
              <w:rPr>
                <w:rFonts w:cs="Calibri"/>
                <w:szCs w:val="16"/>
              </w:rPr>
            </w:pPr>
          </w:p>
        </w:tc>
      </w:tr>
      <w:tr w:rsidR="00502238" w:rsidRPr="00FD12D3" w14:paraId="35F6A394" w14:textId="77777777" w:rsidTr="00F32658">
        <w:tc>
          <w:tcPr>
            <w:tcW w:w="1546" w:type="dxa"/>
            <w:shd w:val="clear" w:color="auto" w:fill="FFFFFF" w:themeFill="background1"/>
            <w:tcMar>
              <w:top w:w="0" w:type="dxa"/>
              <w:left w:w="85" w:type="dxa"/>
              <w:bottom w:w="0" w:type="dxa"/>
              <w:right w:w="57" w:type="dxa"/>
            </w:tcMar>
          </w:tcPr>
          <w:p w14:paraId="57ACF091" w14:textId="77777777" w:rsidR="00502238" w:rsidRPr="00FD12D3" w:rsidRDefault="00502238" w:rsidP="00F16E23">
            <w:pPr>
              <w:pStyle w:val="TableText"/>
              <w:spacing w:before="40" w:after="40"/>
              <w:rPr>
                <w:rFonts w:cs="Calibri"/>
                <w:szCs w:val="16"/>
              </w:rPr>
            </w:pPr>
          </w:p>
        </w:tc>
        <w:tc>
          <w:tcPr>
            <w:tcW w:w="1929" w:type="dxa"/>
            <w:shd w:val="clear" w:color="auto" w:fill="FFFFFF" w:themeFill="background1"/>
            <w:tcMar>
              <w:top w:w="0" w:type="dxa"/>
              <w:left w:w="85" w:type="dxa"/>
              <w:bottom w:w="0" w:type="dxa"/>
              <w:right w:w="57" w:type="dxa"/>
            </w:tcMar>
          </w:tcPr>
          <w:p w14:paraId="2095BF1F" w14:textId="77777777" w:rsidR="00502238" w:rsidRPr="00FD12D3" w:rsidRDefault="00502238" w:rsidP="00F16E23">
            <w:pPr>
              <w:pStyle w:val="TableText"/>
              <w:spacing w:before="40" w:after="40"/>
              <w:rPr>
                <w:rFonts w:cs="Calibri"/>
                <w:szCs w:val="16"/>
              </w:rPr>
            </w:pPr>
            <w:r w:rsidRPr="00FD12D3">
              <w:rPr>
                <w:rFonts w:eastAsia="Calibri" w:cs="Calibri"/>
                <w:szCs w:val="16"/>
              </w:rPr>
              <w:t>Wildfires/Wetlands remaining wetlands </w:t>
            </w:r>
          </w:p>
        </w:tc>
        <w:tc>
          <w:tcPr>
            <w:tcW w:w="1841" w:type="dxa"/>
            <w:shd w:val="clear" w:color="auto" w:fill="FFFFFF" w:themeFill="background1"/>
            <w:tcMar>
              <w:top w:w="0" w:type="dxa"/>
              <w:left w:w="85" w:type="dxa"/>
              <w:bottom w:w="0" w:type="dxa"/>
              <w:right w:w="57" w:type="dxa"/>
            </w:tcMar>
          </w:tcPr>
          <w:p w14:paraId="2BD1D6F0" w14:textId="77777777" w:rsidR="00502238" w:rsidRPr="00FD12D3" w:rsidRDefault="00502238" w:rsidP="00F16E23">
            <w:pPr>
              <w:pStyle w:val="TableText"/>
              <w:spacing w:before="40" w:after="40"/>
              <w:rPr>
                <w:rFonts w:cs="Calibri"/>
                <w:szCs w:val="16"/>
              </w:rPr>
            </w:pPr>
            <w:r w:rsidRPr="00FD12D3">
              <w:rPr>
                <w:rFonts w:eastAsia="Calibri" w:cs="Calibri"/>
                <w:szCs w:val="16"/>
              </w:rPr>
              <w:t>Wetlands remaining wetlands </w:t>
            </w:r>
          </w:p>
        </w:tc>
        <w:tc>
          <w:tcPr>
            <w:tcW w:w="3178" w:type="dxa"/>
            <w:vMerge/>
            <w:tcMar>
              <w:top w:w="0" w:type="dxa"/>
              <w:left w:w="85" w:type="dxa"/>
              <w:bottom w:w="0" w:type="dxa"/>
              <w:right w:w="57" w:type="dxa"/>
            </w:tcMar>
          </w:tcPr>
          <w:p w14:paraId="2C2F8463" w14:textId="77777777" w:rsidR="00502238" w:rsidRPr="00FD12D3" w:rsidRDefault="00502238" w:rsidP="00F16E23">
            <w:pPr>
              <w:pStyle w:val="TableText"/>
              <w:spacing w:before="40" w:after="40"/>
              <w:rPr>
                <w:rFonts w:cs="Calibri"/>
                <w:szCs w:val="16"/>
              </w:rPr>
            </w:pPr>
          </w:p>
        </w:tc>
      </w:tr>
      <w:tr w:rsidR="00502238" w:rsidRPr="00FD12D3" w14:paraId="3DCE19FF" w14:textId="77777777" w:rsidTr="00F32658">
        <w:tc>
          <w:tcPr>
            <w:tcW w:w="1546" w:type="dxa"/>
            <w:tcBorders>
              <w:bottom w:val="nil"/>
            </w:tcBorders>
            <w:shd w:val="clear" w:color="auto" w:fill="FFFFFF" w:themeFill="background1"/>
            <w:tcMar>
              <w:top w:w="0" w:type="dxa"/>
              <w:left w:w="85" w:type="dxa"/>
              <w:bottom w:w="0" w:type="dxa"/>
              <w:right w:w="57" w:type="dxa"/>
            </w:tcMar>
          </w:tcPr>
          <w:p w14:paraId="51EE47E5" w14:textId="77777777" w:rsidR="00502238" w:rsidRPr="00FD12D3" w:rsidRDefault="00502238" w:rsidP="00F16E23">
            <w:pPr>
              <w:pStyle w:val="TableText"/>
              <w:spacing w:before="40" w:after="40"/>
              <w:rPr>
                <w:rFonts w:cs="Calibri"/>
                <w:szCs w:val="16"/>
              </w:rPr>
            </w:pPr>
            <w:r w:rsidRPr="00FD12D3">
              <w:rPr>
                <w:rFonts w:eastAsia="Calibri" w:cs="Calibri"/>
                <w:szCs w:val="16"/>
              </w:rPr>
              <w:t>4.C.2/4(V) </w:t>
            </w:r>
          </w:p>
        </w:tc>
        <w:tc>
          <w:tcPr>
            <w:tcW w:w="1929" w:type="dxa"/>
            <w:tcBorders>
              <w:bottom w:val="nil"/>
            </w:tcBorders>
            <w:shd w:val="clear" w:color="auto" w:fill="FFFFFF" w:themeFill="background1"/>
            <w:tcMar>
              <w:top w:w="0" w:type="dxa"/>
              <w:left w:w="85" w:type="dxa"/>
              <w:bottom w:w="0" w:type="dxa"/>
              <w:right w:w="57" w:type="dxa"/>
            </w:tcMar>
          </w:tcPr>
          <w:p w14:paraId="3D4901F2"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burning/Land converted to grassland </w:t>
            </w:r>
          </w:p>
        </w:tc>
        <w:tc>
          <w:tcPr>
            <w:tcW w:w="1841" w:type="dxa"/>
            <w:tcBorders>
              <w:bottom w:val="nil"/>
            </w:tcBorders>
            <w:shd w:val="clear" w:color="auto" w:fill="FFFFFF" w:themeFill="background1"/>
            <w:tcMar>
              <w:top w:w="0" w:type="dxa"/>
              <w:left w:w="85" w:type="dxa"/>
              <w:bottom w:w="0" w:type="dxa"/>
              <w:right w:w="57" w:type="dxa"/>
            </w:tcMar>
          </w:tcPr>
          <w:p w14:paraId="34DC6E04"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grassland </w:t>
            </w:r>
          </w:p>
        </w:tc>
        <w:tc>
          <w:tcPr>
            <w:tcW w:w="3178" w:type="dxa"/>
            <w:vMerge w:val="restart"/>
            <w:shd w:val="clear" w:color="auto" w:fill="FFFFFF" w:themeFill="background1"/>
            <w:tcMar>
              <w:top w:w="0" w:type="dxa"/>
              <w:left w:w="85" w:type="dxa"/>
              <w:bottom w:w="0" w:type="dxa"/>
              <w:right w:w="57" w:type="dxa"/>
            </w:tcMar>
          </w:tcPr>
          <w:p w14:paraId="077565C6" w14:textId="77777777" w:rsidR="00502238" w:rsidRPr="00FD12D3" w:rsidRDefault="00502238" w:rsidP="00F16E23">
            <w:pPr>
              <w:pStyle w:val="TableText"/>
              <w:spacing w:before="40" w:after="40"/>
              <w:rPr>
                <w:rFonts w:cs="Calibri"/>
                <w:szCs w:val="16"/>
              </w:rPr>
            </w:pPr>
            <w:r w:rsidRPr="00FD12D3">
              <w:rPr>
                <w:rFonts w:eastAsia="Calibri" w:cs="Calibri"/>
                <w:szCs w:val="16"/>
              </w:rPr>
              <w:t>Carbon dioxide emissions from the controlled burning of land converted to this category are captured by the general carbon stock change calculation that is performed when land is converted to a new land use. </w:t>
            </w:r>
          </w:p>
        </w:tc>
      </w:tr>
      <w:tr w:rsidR="00502238" w:rsidRPr="00FD12D3" w14:paraId="2AFEF950"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26C826E7" w14:textId="77777777" w:rsidR="00502238" w:rsidRPr="00FD12D3" w:rsidRDefault="00502238" w:rsidP="00F16E23">
            <w:pPr>
              <w:pStyle w:val="TableText"/>
              <w:spacing w:before="40" w:after="40"/>
              <w:rPr>
                <w:rFonts w:cs="Calibri"/>
                <w:szCs w:val="16"/>
              </w:rPr>
            </w:pPr>
            <w:r w:rsidRPr="00FD12D3">
              <w:rPr>
                <w:rFonts w:eastAsia="Calibri" w:cs="Calibri"/>
                <w:szCs w:val="16"/>
              </w:rPr>
              <w:t>4.D.2/4(V) </w:t>
            </w:r>
          </w:p>
        </w:tc>
        <w:tc>
          <w:tcPr>
            <w:tcW w:w="1929" w:type="dxa"/>
            <w:tcBorders>
              <w:top w:val="nil"/>
              <w:bottom w:val="nil"/>
            </w:tcBorders>
            <w:shd w:val="clear" w:color="auto" w:fill="FFFFFF" w:themeFill="background1"/>
            <w:tcMar>
              <w:top w:w="0" w:type="dxa"/>
              <w:left w:w="85" w:type="dxa"/>
              <w:bottom w:w="0" w:type="dxa"/>
              <w:right w:w="57" w:type="dxa"/>
            </w:tcMar>
          </w:tcPr>
          <w:p w14:paraId="67892888" w14:textId="77777777" w:rsidR="00502238" w:rsidRPr="00FD12D3" w:rsidRDefault="00502238" w:rsidP="00F16E23">
            <w:pPr>
              <w:pStyle w:val="TableText"/>
              <w:spacing w:before="40" w:after="40"/>
              <w:rPr>
                <w:rFonts w:cs="Calibri"/>
                <w:szCs w:val="16"/>
              </w:rPr>
            </w:pPr>
            <w:r w:rsidRPr="00FD12D3">
              <w:rPr>
                <w:rFonts w:eastAsia="Calibri" w:cs="Calibri"/>
                <w:szCs w:val="16"/>
              </w:rPr>
              <w:t>Controlled burning/Land converted to wetlands </w:t>
            </w:r>
          </w:p>
        </w:tc>
        <w:tc>
          <w:tcPr>
            <w:tcW w:w="1841" w:type="dxa"/>
            <w:tcBorders>
              <w:top w:val="nil"/>
              <w:bottom w:val="nil"/>
            </w:tcBorders>
            <w:shd w:val="clear" w:color="auto" w:fill="FFFFFF" w:themeFill="background1"/>
            <w:tcMar>
              <w:top w:w="0" w:type="dxa"/>
              <w:left w:w="85" w:type="dxa"/>
              <w:bottom w:w="0" w:type="dxa"/>
              <w:right w:w="57" w:type="dxa"/>
            </w:tcMar>
          </w:tcPr>
          <w:p w14:paraId="13E4E797"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wetlands </w:t>
            </w:r>
          </w:p>
        </w:tc>
        <w:tc>
          <w:tcPr>
            <w:tcW w:w="3178" w:type="dxa"/>
            <w:vMerge/>
            <w:tcMar>
              <w:top w:w="0" w:type="dxa"/>
              <w:left w:w="85" w:type="dxa"/>
              <w:bottom w:w="0" w:type="dxa"/>
              <w:right w:w="57" w:type="dxa"/>
            </w:tcMar>
          </w:tcPr>
          <w:p w14:paraId="4F953AD6" w14:textId="77777777" w:rsidR="00502238" w:rsidRPr="00FD12D3" w:rsidRDefault="00502238" w:rsidP="00F16E23">
            <w:pPr>
              <w:pStyle w:val="TableText"/>
              <w:spacing w:before="40" w:after="40"/>
              <w:rPr>
                <w:rFonts w:cs="Calibri"/>
                <w:szCs w:val="16"/>
              </w:rPr>
            </w:pPr>
          </w:p>
        </w:tc>
      </w:tr>
      <w:tr w:rsidR="00502238" w:rsidRPr="00FD12D3" w14:paraId="7F273E46" w14:textId="77777777" w:rsidTr="00F32658">
        <w:tc>
          <w:tcPr>
            <w:tcW w:w="1546" w:type="dxa"/>
            <w:tcBorders>
              <w:top w:val="nil"/>
              <w:bottom w:val="nil"/>
            </w:tcBorders>
            <w:shd w:val="clear" w:color="auto" w:fill="FFFFFF" w:themeFill="background1"/>
            <w:tcMar>
              <w:top w:w="0" w:type="dxa"/>
              <w:left w:w="85" w:type="dxa"/>
              <w:bottom w:w="0" w:type="dxa"/>
              <w:right w:w="57" w:type="dxa"/>
            </w:tcMar>
          </w:tcPr>
          <w:p w14:paraId="12AF362D" w14:textId="77777777" w:rsidR="00502238" w:rsidRPr="00FD12D3" w:rsidRDefault="00502238" w:rsidP="00F16E23">
            <w:pPr>
              <w:pStyle w:val="TableText"/>
              <w:spacing w:before="40" w:after="40"/>
              <w:rPr>
                <w:rFonts w:cs="Calibri"/>
                <w:szCs w:val="16"/>
              </w:rPr>
            </w:pPr>
            <w:r w:rsidRPr="00FD12D3">
              <w:rPr>
                <w:rFonts w:eastAsia="Calibri" w:cs="Calibri"/>
                <w:szCs w:val="16"/>
              </w:rPr>
              <w:t>4.E/4(V) </w:t>
            </w:r>
          </w:p>
        </w:tc>
        <w:tc>
          <w:tcPr>
            <w:tcW w:w="1929" w:type="dxa"/>
            <w:tcBorders>
              <w:top w:val="nil"/>
              <w:bottom w:val="nil"/>
            </w:tcBorders>
            <w:shd w:val="clear" w:color="auto" w:fill="FFFFFF" w:themeFill="background1"/>
            <w:tcMar>
              <w:top w:w="0" w:type="dxa"/>
              <w:left w:w="85" w:type="dxa"/>
              <w:bottom w:w="0" w:type="dxa"/>
              <w:right w:w="57" w:type="dxa"/>
            </w:tcMar>
          </w:tcPr>
          <w:p w14:paraId="66BE1418" w14:textId="77777777" w:rsidR="00502238" w:rsidRPr="00FD12D3" w:rsidRDefault="00502238" w:rsidP="00F16E23">
            <w:pPr>
              <w:pStyle w:val="TableText"/>
              <w:spacing w:before="40" w:after="40"/>
              <w:rPr>
                <w:rFonts w:cs="Calibri"/>
                <w:szCs w:val="16"/>
              </w:rPr>
            </w:pPr>
            <w:r w:rsidRPr="00FD12D3">
              <w:rPr>
                <w:rFonts w:eastAsia="Calibri" w:cs="Calibri"/>
                <w:szCs w:val="16"/>
              </w:rPr>
              <w:t>Biomass burning/Land converted to settlements </w:t>
            </w:r>
          </w:p>
        </w:tc>
        <w:tc>
          <w:tcPr>
            <w:tcW w:w="1841" w:type="dxa"/>
            <w:tcBorders>
              <w:top w:val="nil"/>
              <w:bottom w:val="nil"/>
            </w:tcBorders>
            <w:shd w:val="clear" w:color="auto" w:fill="FFFFFF" w:themeFill="background1"/>
            <w:tcMar>
              <w:top w:w="0" w:type="dxa"/>
              <w:left w:w="85" w:type="dxa"/>
              <w:bottom w:w="0" w:type="dxa"/>
              <w:right w:w="57" w:type="dxa"/>
            </w:tcMar>
          </w:tcPr>
          <w:p w14:paraId="2515BBF4"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settlements </w:t>
            </w:r>
          </w:p>
        </w:tc>
        <w:tc>
          <w:tcPr>
            <w:tcW w:w="3178" w:type="dxa"/>
            <w:vMerge/>
            <w:tcMar>
              <w:top w:w="0" w:type="dxa"/>
              <w:left w:w="85" w:type="dxa"/>
              <w:bottom w:w="0" w:type="dxa"/>
              <w:right w:w="57" w:type="dxa"/>
            </w:tcMar>
          </w:tcPr>
          <w:p w14:paraId="4DD8544F" w14:textId="77777777" w:rsidR="00502238" w:rsidRPr="00FD12D3" w:rsidRDefault="00502238" w:rsidP="00F16E23">
            <w:pPr>
              <w:pStyle w:val="TableText"/>
              <w:spacing w:before="40" w:after="40"/>
              <w:rPr>
                <w:rFonts w:cs="Calibri"/>
                <w:szCs w:val="16"/>
              </w:rPr>
            </w:pPr>
          </w:p>
        </w:tc>
      </w:tr>
      <w:tr w:rsidR="00502238" w:rsidRPr="00FD12D3" w14:paraId="62F7019A" w14:textId="77777777" w:rsidTr="00F32658">
        <w:tc>
          <w:tcPr>
            <w:tcW w:w="1546" w:type="dxa"/>
            <w:tcBorders>
              <w:top w:val="nil"/>
            </w:tcBorders>
            <w:shd w:val="clear" w:color="auto" w:fill="FFFFFF" w:themeFill="background1"/>
            <w:tcMar>
              <w:top w:w="0" w:type="dxa"/>
              <w:left w:w="85" w:type="dxa"/>
              <w:bottom w:w="0" w:type="dxa"/>
              <w:right w:w="57" w:type="dxa"/>
            </w:tcMar>
          </w:tcPr>
          <w:p w14:paraId="1F8D12FF" w14:textId="77777777" w:rsidR="00502238" w:rsidRPr="00FD12D3" w:rsidRDefault="00502238" w:rsidP="00F16E23">
            <w:pPr>
              <w:pStyle w:val="TableText"/>
              <w:spacing w:before="40" w:after="40"/>
              <w:rPr>
                <w:rFonts w:cs="Calibri"/>
                <w:szCs w:val="16"/>
              </w:rPr>
            </w:pPr>
            <w:r w:rsidRPr="00FD12D3">
              <w:rPr>
                <w:rFonts w:eastAsia="Calibri" w:cs="Calibri"/>
                <w:szCs w:val="16"/>
              </w:rPr>
              <w:t>4.F/4(V) </w:t>
            </w:r>
          </w:p>
        </w:tc>
        <w:tc>
          <w:tcPr>
            <w:tcW w:w="1929" w:type="dxa"/>
            <w:tcBorders>
              <w:top w:val="nil"/>
            </w:tcBorders>
            <w:shd w:val="clear" w:color="auto" w:fill="FFFFFF" w:themeFill="background1"/>
            <w:tcMar>
              <w:top w:w="0" w:type="dxa"/>
              <w:left w:w="85" w:type="dxa"/>
              <w:bottom w:w="0" w:type="dxa"/>
              <w:right w:w="57" w:type="dxa"/>
            </w:tcMar>
          </w:tcPr>
          <w:p w14:paraId="021E7504" w14:textId="77777777" w:rsidR="00502238" w:rsidRPr="00FD12D3" w:rsidRDefault="00502238" w:rsidP="00F16E23">
            <w:pPr>
              <w:pStyle w:val="TableText"/>
              <w:spacing w:before="40" w:after="40"/>
              <w:rPr>
                <w:rFonts w:cs="Calibri"/>
                <w:szCs w:val="16"/>
              </w:rPr>
            </w:pPr>
            <w:r w:rsidRPr="00FD12D3">
              <w:rPr>
                <w:rFonts w:eastAsia="Calibri" w:cs="Calibri"/>
                <w:szCs w:val="16"/>
              </w:rPr>
              <w:t>Biomass burning/Land converted to other land </w:t>
            </w:r>
          </w:p>
        </w:tc>
        <w:tc>
          <w:tcPr>
            <w:tcW w:w="1841" w:type="dxa"/>
            <w:tcBorders>
              <w:top w:val="nil"/>
            </w:tcBorders>
            <w:shd w:val="clear" w:color="auto" w:fill="FFFFFF" w:themeFill="background1"/>
            <w:tcMar>
              <w:top w:w="0" w:type="dxa"/>
              <w:left w:w="85" w:type="dxa"/>
              <w:bottom w:w="0" w:type="dxa"/>
              <w:right w:w="57" w:type="dxa"/>
            </w:tcMar>
          </w:tcPr>
          <w:p w14:paraId="657BCCA7"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other land </w:t>
            </w:r>
          </w:p>
        </w:tc>
        <w:tc>
          <w:tcPr>
            <w:tcW w:w="3178" w:type="dxa"/>
            <w:vMerge/>
            <w:tcMar>
              <w:top w:w="0" w:type="dxa"/>
              <w:left w:w="85" w:type="dxa"/>
              <w:bottom w:w="0" w:type="dxa"/>
              <w:right w:w="57" w:type="dxa"/>
            </w:tcMar>
          </w:tcPr>
          <w:p w14:paraId="59671755" w14:textId="77777777" w:rsidR="00502238" w:rsidRPr="00FD12D3" w:rsidRDefault="00502238" w:rsidP="00F16E23">
            <w:pPr>
              <w:pStyle w:val="TableText"/>
              <w:spacing w:before="40" w:after="40"/>
              <w:rPr>
                <w:rFonts w:cs="Calibri"/>
                <w:szCs w:val="16"/>
              </w:rPr>
            </w:pPr>
          </w:p>
        </w:tc>
      </w:tr>
      <w:tr w:rsidR="00502238" w:rsidRPr="00FD12D3" w14:paraId="4D3C4483" w14:textId="77777777" w:rsidTr="00F32658">
        <w:tc>
          <w:tcPr>
            <w:tcW w:w="1546" w:type="dxa"/>
            <w:shd w:val="clear" w:color="auto" w:fill="FFFFFF" w:themeFill="background1"/>
            <w:tcMar>
              <w:top w:w="0" w:type="dxa"/>
              <w:left w:w="85" w:type="dxa"/>
              <w:bottom w:w="0" w:type="dxa"/>
              <w:right w:w="57" w:type="dxa"/>
            </w:tcMar>
          </w:tcPr>
          <w:p w14:paraId="39055619" w14:textId="77777777" w:rsidR="00502238" w:rsidRPr="00FD12D3" w:rsidRDefault="00502238" w:rsidP="00F16E23">
            <w:pPr>
              <w:pStyle w:val="TableText"/>
              <w:spacing w:before="40" w:after="40"/>
              <w:rPr>
                <w:rFonts w:cs="Calibri"/>
                <w:szCs w:val="16"/>
              </w:rPr>
            </w:pPr>
            <w:r w:rsidRPr="00FD12D3">
              <w:rPr>
                <w:rFonts w:eastAsia="Calibri" w:cs="Calibri"/>
                <w:szCs w:val="16"/>
              </w:rPr>
              <w:t>4.D.2.2 </w:t>
            </w:r>
          </w:p>
        </w:tc>
        <w:tc>
          <w:tcPr>
            <w:tcW w:w="1929" w:type="dxa"/>
            <w:shd w:val="clear" w:color="auto" w:fill="FFFFFF" w:themeFill="background1"/>
            <w:tcMar>
              <w:top w:w="0" w:type="dxa"/>
              <w:left w:w="85" w:type="dxa"/>
              <w:bottom w:w="0" w:type="dxa"/>
              <w:right w:w="57" w:type="dxa"/>
            </w:tcMar>
          </w:tcPr>
          <w:p w14:paraId="1CC4DF2A"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flooded land </w:t>
            </w:r>
          </w:p>
        </w:tc>
        <w:tc>
          <w:tcPr>
            <w:tcW w:w="1841" w:type="dxa"/>
            <w:shd w:val="clear" w:color="auto" w:fill="FFFFFF" w:themeFill="background1"/>
            <w:tcMar>
              <w:top w:w="0" w:type="dxa"/>
              <w:left w:w="85" w:type="dxa"/>
              <w:bottom w:w="0" w:type="dxa"/>
              <w:right w:w="57" w:type="dxa"/>
            </w:tcMar>
          </w:tcPr>
          <w:p w14:paraId="47B21F2E" w14:textId="77777777" w:rsidR="00502238" w:rsidRPr="00FD12D3" w:rsidRDefault="00502238" w:rsidP="00F16E23">
            <w:pPr>
              <w:pStyle w:val="TableText"/>
              <w:spacing w:before="40" w:after="40"/>
              <w:rPr>
                <w:rFonts w:cs="Calibri"/>
                <w:szCs w:val="16"/>
              </w:rPr>
            </w:pPr>
            <w:r w:rsidRPr="00FD12D3">
              <w:rPr>
                <w:rFonts w:eastAsia="Calibri" w:cs="Calibri"/>
                <w:szCs w:val="16"/>
              </w:rPr>
              <w:t>Land converted to open water </w:t>
            </w:r>
          </w:p>
        </w:tc>
        <w:tc>
          <w:tcPr>
            <w:tcW w:w="3178" w:type="dxa"/>
            <w:shd w:val="clear" w:color="auto" w:fill="FFFFFF" w:themeFill="background1"/>
            <w:tcMar>
              <w:top w:w="0" w:type="dxa"/>
              <w:left w:w="85" w:type="dxa"/>
              <w:bottom w:w="0" w:type="dxa"/>
              <w:right w:w="57" w:type="dxa"/>
            </w:tcMar>
          </w:tcPr>
          <w:p w14:paraId="17630825" w14:textId="77777777" w:rsidR="00502238" w:rsidRPr="00FD12D3" w:rsidRDefault="00502238" w:rsidP="00F16E23">
            <w:pPr>
              <w:pStyle w:val="TableText"/>
              <w:spacing w:before="40" w:after="40"/>
              <w:rPr>
                <w:rFonts w:cs="Calibri"/>
                <w:szCs w:val="16"/>
              </w:rPr>
            </w:pPr>
            <w:r w:rsidRPr="00FD12D3">
              <w:rPr>
                <w:rFonts w:eastAsia="Calibri" w:cs="Calibri"/>
                <w:szCs w:val="16"/>
              </w:rPr>
              <w:t xml:space="preserve">New Zealand has not yet identified what area of land converted to open water meets the definition of </w:t>
            </w:r>
            <w:r w:rsidRPr="00FD12D3">
              <w:rPr>
                <w:rFonts w:eastAsia="Calibri" w:cs="Calibri"/>
                <w:i/>
                <w:iCs/>
                <w:szCs w:val="16"/>
              </w:rPr>
              <w:t>Land converted to flooded land</w:t>
            </w:r>
            <w:r w:rsidRPr="00FD12D3">
              <w:rPr>
                <w:rFonts w:eastAsia="Calibri" w:cs="Calibri"/>
                <w:szCs w:val="16"/>
              </w:rPr>
              <w:t xml:space="preserve">. Emissions associated with the loss of biomass with land conversion to flooded land will be captured under </w:t>
            </w:r>
            <w:r w:rsidRPr="00FD12D3">
              <w:rPr>
                <w:rFonts w:eastAsia="Calibri" w:cs="Calibri"/>
                <w:i/>
                <w:iCs/>
                <w:szCs w:val="16"/>
              </w:rPr>
              <w:t>Land converted to open water</w:t>
            </w:r>
            <w:r w:rsidRPr="00FD12D3">
              <w:rPr>
                <w:rFonts w:eastAsia="Calibri" w:cs="Calibri"/>
                <w:szCs w:val="16"/>
              </w:rPr>
              <w:t>.</w:t>
            </w:r>
          </w:p>
        </w:tc>
      </w:tr>
      <w:tr w:rsidR="00502238" w:rsidRPr="00FD12D3" w14:paraId="5F23CC9B" w14:textId="77777777" w:rsidTr="00F32658">
        <w:tc>
          <w:tcPr>
            <w:tcW w:w="1546" w:type="dxa"/>
            <w:shd w:val="clear" w:color="auto" w:fill="FFFFFF" w:themeFill="background1"/>
            <w:tcMar>
              <w:top w:w="0" w:type="dxa"/>
              <w:left w:w="85" w:type="dxa"/>
              <w:bottom w:w="0" w:type="dxa"/>
              <w:right w:w="57" w:type="dxa"/>
            </w:tcMar>
          </w:tcPr>
          <w:p w14:paraId="1C1D43F6" w14:textId="77777777" w:rsidR="00502238" w:rsidRPr="00FD12D3" w:rsidRDefault="00502238" w:rsidP="00F16E23">
            <w:pPr>
              <w:pStyle w:val="TableText"/>
              <w:spacing w:before="40" w:after="40"/>
              <w:rPr>
                <w:rFonts w:cs="Calibri"/>
                <w:b/>
                <w:bCs/>
                <w:szCs w:val="16"/>
              </w:rPr>
            </w:pPr>
            <w:r w:rsidRPr="00FD12D3">
              <w:rPr>
                <w:rFonts w:eastAsia="Calibri" w:cs="Calibri"/>
                <w:b/>
                <w:bCs/>
                <w:szCs w:val="16"/>
              </w:rPr>
              <w:t>Waste</w:t>
            </w:r>
          </w:p>
        </w:tc>
        <w:tc>
          <w:tcPr>
            <w:tcW w:w="1929" w:type="dxa"/>
            <w:shd w:val="clear" w:color="auto" w:fill="FFFFFF" w:themeFill="background1"/>
            <w:tcMar>
              <w:top w:w="0" w:type="dxa"/>
              <w:left w:w="85" w:type="dxa"/>
              <w:bottom w:w="0" w:type="dxa"/>
              <w:right w:w="57" w:type="dxa"/>
            </w:tcMar>
          </w:tcPr>
          <w:p w14:paraId="29C4FD33" w14:textId="77777777" w:rsidR="00502238" w:rsidRPr="00FD12D3" w:rsidRDefault="00502238" w:rsidP="00F16E23">
            <w:pPr>
              <w:pStyle w:val="TableText"/>
              <w:spacing w:before="40" w:after="40"/>
              <w:rPr>
                <w:rFonts w:cs="Calibri"/>
                <w:b/>
                <w:bCs/>
                <w:szCs w:val="16"/>
              </w:rPr>
            </w:pPr>
          </w:p>
        </w:tc>
        <w:tc>
          <w:tcPr>
            <w:tcW w:w="1841" w:type="dxa"/>
            <w:shd w:val="clear" w:color="auto" w:fill="FFFFFF" w:themeFill="background1"/>
            <w:tcMar>
              <w:top w:w="0" w:type="dxa"/>
              <w:left w:w="85" w:type="dxa"/>
              <w:bottom w:w="0" w:type="dxa"/>
              <w:right w:w="57" w:type="dxa"/>
            </w:tcMar>
          </w:tcPr>
          <w:p w14:paraId="05325649" w14:textId="77777777" w:rsidR="00502238" w:rsidRPr="00FD12D3" w:rsidRDefault="00502238" w:rsidP="00F16E23">
            <w:pPr>
              <w:pStyle w:val="TableText"/>
              <w:spacing w:before="40" w:after="40"/>
              <w:rPr>
                <w:rFonts w:cs="Calibri"/>
                <w:b/>
                <w:bCs/>
                <w:szCs w:val="16"/>
              </w:rPr>
            </w:pPr>
          </w:p>
        </w:tc>
        <w:tc>
          <w:tcPr>
            <w:tcW w:w="3178" w:type="dxa"/>
            <w:shd w:val="clear" w:color="auto" w:fill="FFFFFF" w:themeFill="background1"/>
            <w:tcMar>
              <w:top w:w="0" w:type="dxa"/>
              <w:left w:w="85" w:type="dxa"/>
              <w:bottom w:w="0" w:type="dxa"/>
              <w:right w:w="57" w:type="dxa"/>
            </w:tcMar>
          </w:tcPr>
          <w:p w14:paraId="7724F04E" w14:textId="77777777" w:rsidR="00502238" w:rsidRPr="00FD12D3" w:rsidRDefault="00502238" w:rsidP="00F16E23">
            <w:pPr>
              <w:pStyle w:val="TableText"/>
              <w:spacing w:before="40" w:after="40"/>
              <w:rPr>
                <w:rFonts w:cs="Calibri"/>
                <w:b/>
                <w:bCs/>
                <w:szCs w:val="16"/>
              </w:rPr>
            </w:pPr>
          </w:p>
        </w:tc>
      </w:tr>
      <w:tr w:rsidR="00502238" w:rsidRPr="00FD12D3" w14:paraId="3EA37F05" w14:textId="77777777" w:rsidTr="00F32658">
        <w:tc>
          <w:tcPr>
            <w:tcW w:w="1546" w:type="dxa"/>
            <w:shd w:val="clear" w:color="auto" w:fill="FFFFFF" w:themeFill="background1"/>
            <w:tcMar>
              <w:top w:w="0" w:type="dxa"/>
              <w:left w:w="85" w:type="dxa"/>
              <w:bottom w:w="0" w:type="dxa"/>
              <w:right w:w="57" w:type="dxa"/>
            </w:tcMar>
          </w:tcPr>
          <w:p w14:paraId="7B6D4247" w14:textId="77777777" w:rsidR="00502238" w:rsidRPr="00FD12D3" w:rsidRDefault="00502238" w:rsidP="00F16E23">
            <w:pPr>
              <w:pStyle w:val="TableText"/>
              <w:spacing w:before="40" w:after="40"/>
              <w:rPr>
                <w:rFonts w:cs="Calibri"/>
                <w:szCs w:val="16"/>
              </w:rPr>
            </w:pPr>
            <w:r w:rsidRPr="00FD12D3">
              <w:rPr>
                <w:rFonts w:eastAsia="Calibri" w:cs="Calibri"/>
                <w:szCs w:val="16"/>
              </w:rPr>
              <w:t>5.D.1 </w:t>
            </w:r>
          </w:p>
        </w:tc>
        <w:tc>
          <w:tcPr>
            <w:tcW w:w="1929" w:type="dxa"/>
            <w:shd w:val="clear" w:color="auto" w:fill="FFFFFF" w:themeFill="background1"/>
            <w:tcMar>
              <w:top w:w="0" w:type="dxa"/>
              <w:left w:w="85" w:type="dxa"/>
              <w:bottom w:w="0" w:type="dxa"/>
              <w:right w:w="57" w:type="dxa"/>
            </w:tcMar>
          </w:tcPr>
          <w:p w14:paraId="2994942E" w14:textId="77777777" w:rsidR="00502238" w:rsidRPr="00FD12D3" w:rsidRDefault="00502238" w:rsidP="00F16E23">
            <w:pPr>
              <w:pStyle w:val="TableText"/>
              <w:spacing w:before="40" w:after="40"/>
              <w:rPr>
                <w:rFonts w:cs="Calibri"/>
                <w:szCs w:val="16"/>
              </w:rPr>
            </w:pPr>
            <w:r w:rsidRPr="00FD12D3">
              <w:rPr>
                <w:rFonts w:eastAsia="Calibri" w:cs="Calibri"/>
                <w:szCs w:val="16"/>
              </w:rPr>
              <w:t>Domestic wastewater </w:t>
            </w:r>
          </w:p>
        </w:tc>
        <w:tc>
          <w:tcPr>
            <w:tcW w:w="1841" w:type="dxa"/>
            <w:shd w:val="clear" w:color="auto" w:fill="FFFFFF" w:themeFill="background1"/>
            <w:tcMar>
              <w:top w:w="0" w:type="dxa"/>
              <w:left w:w="85" w:type="dxa"/>
              <w:bottom w:w="0" w:type="dxa"/>
              <w:right w:w="57" w:type="dxa"/>
            </w:tcMar>
          </w:tcPr>
          <w:p w14:paraId="44058240" w14:textId="77777777" w:rsidR="00502238" w:rsidRPr="00FD12D3" w:rsidRDefault="00502238" w:rsidP="00F16E23">
            <w:pPr>
              <w:pStyle w:val="TableText"/>
              <w:spacing w:before="40" w:after="40"/>
              <w:rPr>
                <w:rFonts w:cs="Calibri"/>
                <w:szCs w:val="16"/>
              </w:rPr>
            </w:pPr>
            <w:r w:rsidRPr="00FD12D3">
              <w:rPr>
                <w:rFonts w:eastAsia="Calibri" w:cs="Calibri"/>
                <w:szCs w:val="16"/>
              </w:rPr>
              <w:t>5.A Solid waste </w:t>
            </w:r>
          </w:p>
        </w:tc>
        <w:tc>
          <w:tcPr>
            <w:tcW w:w="3178" w:type="dxa"/>
            <w:shd w:val="clear" w:color="auto" w:fill="FFFFFF" w:themeFill="background1"/>
            <w:tcMar>
              <w:top w:w="0" w:type="dxa"/>
              <w:left w:w="85" w:type="dxa"/>
              <w:bottom w:w="0" w:type="dxa"/>
              <w:right w:w="57" w:type="dxa"/>
            </w:tcMar>
          </w:tcPr>
          <w:p w14:paraId="2262AD6A" w14:textId="77777777" w:rsidR="00502238" w:rsidRPr="00FD12D3" w:rsidRDefault="00502238" w:rsidP="00F16E23">
            <w:pPr>
              <w:pStyle w:val="TableText"/>
              <w:spacing w:before="40" w:after="40"/>
              <w:rPr>
                <w:rFonts w:cs="Calibri"/>
                <w:szCs w:val="16"/>
              </w:rPr>
            </w:pPr>
            <w:r w:rsidRPr="00FD12D3">
              <w:rPr>
                <w:rFonts w:eastAsia="Calibri" w:cs="Calibri"/>
                <w:szCs w:val="16"/>
              </w:rPr>
              <w:t xml:space="preserve">Activity data – sludge amounts are included under </w:t>
            </w:r>
            <w:r w:rsidRPr="00FD12D3">
              <w:rPr>
                <w:rFonts w:eastAsia="Calibri" w:cs="Calibri"/>
                <w:i/>
                <w:iCs/>
                <w:szCs w:val="16"/>
              </w:rPr>
              <w:t>Solid waste disposal</w:t>
            </w:r>
            <w:r w:rsidRPr="00FD12D3">
              <w:rPr>
                <w:rFonts w:eastAsia="Calibri" w:cs="Calibri"/>
                <w:szCs w:val="16"/>
              </w:rPr>
              <w:t xml:space="preserve"> because sludge is disposed to landfill. </w:t>
            </w:r>
          </w:p>
        </w:tc>
      </w:tr>
      <w:tr w:rsidR="00502238" w:rsidRPr="00FD12D3" w14:paraId="50EEB247" w14:textId="77777777" w:rsidTr="00F32658">
        <w:tc>
          <w:tcPr>
            <w:tcW w:w="1546" w:type="dxa"/>
            <w:shd w:val="clear" w:color="auto" w:fill="FFFFFF" w:themeFill="background1"/>
            <w:tcMar>
              <w:top w:w="0" w:type="dxa"/>
              <w:left w:w="85" w:type="dxa"/>
              <w:bottom w:w="0" w:type="dxa"/>
              <w:right w:w="57" w:type="dxa"/>
            </w:tcMar>
          </w:tcPr>
          <w:p w14:paraId="214CAF8C" w14:textId="77777777" w:rsidR="00502238" w:rsidRPr="00FD12D3" w:rsidRDefault="00502238" w:rsidP="00F16E23">
            <w:pPr>
              <w:pStyle w:val="TableText"/>
              <w:spacing w:before="40" w:after="40"/>
              <w:rPr>
                <w:rFonts w:cs="Calibri"/>
                <w:szCs w:val="16"/>
              </w:rPr>
            </w:pPr>
            <w:r w:rsidRPr="00FD12D3">
              <w:rPr>
                <w:rFonts w:eastAsia="Calibri" w:cs="Calibri"/>
                <w:szCs w:val="16"/>
              </w:rPr>
              <w:t>5.D.2 </w:t>
            </w:r>
          </w:p>
        </w:tc>
        <w:tc>
          <w:tcPr>
            <w:tcW w:w="1929" w:type="dxa"/>
            <w:shd w:val="clear" w:color="auto" w:fill="FFFFFF" w:themeFill="background1"/>
            <w:tcMar>
              <w:top w:w="0" w:type="dxa"/>
              <w:left w:w="85" w:type="dxa"/>
              <w:bottom w:w="0" w:type="dxa"/>
              <w:right w:w="57" w:type="dxa"/>
            </w:tcMar>
          </w:tcPr>
          <w:p w14:paraId="15F74157" w14:textId="77777777" w:rsidR="00502238" w:rsidRPr="00FD12D3" w:rsidRDefault="00502238" w:rsidP="00F16E23">
            <w:pPr>
              <w:pStyle w:val="TableText"/>
              <w:spacing w:before="40" w:after="40"/>
              <w:rPr>
                <w:rFonts w:cs="Calibri"/>
                <w:szCs w:val="16"/>
              </w:rPr>
            </w:pPr>
            <w:r w:rsidRPr="00FD12D3">
              <w:rPr>
                <w:rFonts w:eastAsia="Calibri" w:cs="Calibri"/>
                <w:szCs w:val="16"/>
              </w:rPr>
              <w:t>Industrial wastewater </w:t>
            </w:r>
          </w:p>
        </w:tc>
        <w:tc>
          <w:tcPr>
            <w:tcW w:w="1841" w:type="dxa"/>
            <w:shd w:val="clear" w:color="auto" w:fill="FFFFFF" w:themeFill="background1"/>
            <w:tcMar>
              <w:top w:w="0" w:type="dxa"/>
              <w:left w:w="85" w:type="dxa"/>
              <w:bottom w:w="0" w:type="dxa"/>
              <w:right w:w="57" w:type="dxa"/>
            </w:tcMar>
          </w:tcPr>
          <w:p w14:paraId="499251EA" w14:textId="77777777" w:rsidR="00502238" w:rsidRPr="00FD12D3" w:rsidRDefault="00502238" w:rsidP="00F16E23">
            <w:pPr>
              <w:pStyle w:val="TableText"/>
              <w:spacing w:before="40" w:after="40"/>
              <w:rPr>
                <w:rFonts w:cs="Calibri"/>
                <w:szCs w:val="16"/>
              </w:rPr>
            </w:pPr>
            <w:r w:rsidRPr="00FD12D3">
              <w:rPr>
                <w:rFonts w:eastAsia="Calibri" w:cs="Calibri"/>
                <w:szCs w:val="16"/>
              </w:rPr>
              <w:t>5.A Solid waste </w:t>
            </w:r>
          </w:p>
        </w:tc>
        <w:tc>
          <w:tcPr>
            <w:tcW w:w="3178" w:type="dxa"/>
            <w:shd w:val="clear" w:color="auto" w:fill="FFFFFF" w:themeFill="background1"/>
            <w:tcMar>
              <w:top w:w="0" w:type="dxa"/>
              <w:left w:w="85" w:type="dxa"/>
              <w:bottom w:w="0" w:type="dxa"/>
              <w:right w:w="57" w:type="dxa"/>
            </w:tcMar>
          </w:tcPr>
          <w:p w14:paraId="0D5D5767" w14:textId="77777777" w:rsidR="00502238" w:rsidRPr="00FD12D3" w:rsidRDefault="00502238" w:rsidP="00F16E23">
            <w:pPr>
              <w:pStyle w:val="TableText"/>
              <w:spacing w:before="40" w:after="40"/>
              <w:rPr>
                <w:rFonts w:cs="Calibri"/>
                <w:szCs w:val="16"/>
              </w:rPr>
            </w:pPr>
            <w:r w:rsidRPr="00FD12D3">
              <w:rPr>
                <w:rFonts w:eastAsia="Calibri" w:cs="Calibri"/>
                <w:szCs w:val="16"/>
              </w:rPr>
              <w:t xml:space="preserve">Activity data – sludge amounts are included under </w:t>
            </w:r>
            <w:r w:rsidRPr="00FD12D3">
              <w:rPr>
                <w:rFonts w:eastAsia="Calibri" w:cs="Calibri"/>
                <w:i/>
                <w:iCs/>
                <w:szCs w:val="16"/>
              </w:rPr>
              <w:t>Solid waste disposal</w:t>
            </w:r>
            <w:r w:rsidRPr="00FD12D3">
              <w:rPr>
                <w:rFonts w:eastAsia="Calibri" w:cs="Calibri"/>
                <w:szCs w:val="16"/>
              </w:rPr>
              <w:t xml:space="preserve"> because sludge is disposed to landfill.</w:t>
            </w:r>
          </w:p>
        </w:tc>
      </w:tr>
      <w:tr w:rsidR="00502238" w:rsidRPr="00FD12D3" w14:paraId="5B1E3F4A" w14:textId="77777777" w:rsidTr="00F32658">
        <w:tc>
          <w:tcPr>
            <w:tcW w:w="1546" w:type="dxa"/>
            <w:shd w:val="clear" w:color="auto" w:fill="FFFFFF" w:themeFill="background1"/>
            <w:tcMar>
              <w:top w:w="0" w:type="dxa"/>
              <w:left w:w="85" w:type="dxa"/>
              <w:bottom w:w="0" w:type="dxa"/>
              <w:right w:w="57" w:type="dxa"/>
            </w:tcMar>
          </w:tcPr>
          <w:p w14:paraId="703A3FE8" w14:textId="77777777" w:rsidR="00502238" w:rsidRPr="00FD12D3" w:rsidRDefault="00502238" w:rsidP="00F16E23">
            <w:pPr>
              <w:pStyle w:val="TableText"/>
              <w:spacing w:before="40" w:after="40"/>
              <w:rPr>
                <w:rFonts w:cs="Calibri"/>
                <w:szCs w:val="16"/>
              </w:rPr>
            </w:pPr>
            <w:r w:rsidRPr="00FD12D3">
              <w:rPr>
                <w:rFonts w:eastAsia="Calibri" w:cs="Calibri"/>
                <w:szCs w:val="16"/>
              </w:rPr>
              <w:t>5.D.2 </w:t>
            </w:r>
          </w:p>
        </w:tc>
        <w:tc>
          <w:tcPr>
            <w:tcW w:w="1929" w:type="dxa"/>
            <w:shd w:val="clear" w:color="auto" w:fill="FFFFFF" w:themeFill="background1"/>
            <w:tcMar>
              <w:top w:w="0" w:type="dxa"/>
              <w:left w:w="85" w:type="dxa"/>
              <w:bottom w:w="0" w:type="dxa"/>
              <w:right w:w="57" w:type="dxa"/>
            </w:tcMar>
          </w:tcPr>
          <w:p w14:paraId="05B299A0" w14:textId="77777777" w:rsidR="00502238" w:rsidRPr="00FD12D3" w:rsidRDefault="00502238" w:rsidP="00F16E23">
            <w:pPr>
              <w:pStyle w:val="TableText"/>
              <w:spacing w:before="40" w:after="40"/>
              <w:rPr>
                <w:rFonts w:cs="Calibri"/>
                <w:szCs w:val="16"/>
              </w:rPr>
            </w:pPr>
            <w:r w:rsidRPr="00FD12D3">
              <w:rPr>
                <w:rFonts w:eastAsia="Calibri" w:cs="Calibri"/>
                <w:szCs w:val="16"/>
              </w:rPr>
              <w:t>Industrial wastewater </w:t>
            </w:r>
          </w:p>
        </w:tc>
        <w:tc>
          <w:tcPr>
            <w:tcW w:w="1841" w:type="dxa"/>
            <w:shd w:val="clear" w:color="auto" w:fill="FFFFFF" w:themeFill="background1"/>
            <w:tcMar>
              <w:top w:w="0" w:type="dxa"/>
              <w:left w:w="85" w:type="dxa"/>
              <w:bottom w:w="0" w:type="dxa"/>
              <w:right w:w="57" w:type="dxa"/>
            </w:tcMar>
          </w:tcPr>
          <w:p w14:paraId="2FBC49CC" w14:textId="77777777" w:rsidR="00502238" w:rsidRPr="00FD12D3" w:rsidRDefault="00502238" w:rsidP="00F16E23">
            <w:pPr>
              <w:pStyle w:val="TableText"/>
              <w:spacing w:before="40" w:after="40"/>
              <w:rPr>
                <w:rFonts w:cs="Calibri"/>
                <w:szCs w:val="16"/>
              </w:rPr>
            </w:pPr>
            <w:r w:rsidRPr="00FD12D3">
              <w:rPr>
                <w:rFonts w:eastAsia="Calibri" w:cs="Calibri"/>
                <w:szCs w:val="16"/>
              </w:rPr>
              <w:t>1.A.2.e Food processing, beverages and tobacco – Biomass </w:t>
            </w:r>
          </w:p>
        </w:tc>
        <w:tc>
          <w:tcPr>
            <w:tcW w:w="3178" w:type="dxa"/>
            <w:shd w:val="clear" w:color="auto" w:fill="FFFFFF" w:themeFill="background1"/>
            <w:tcMar>
              <w:top w:w="0" w:type="dxa"/>
              <w:left w:w="85" w:type="dxa"/>
              <w:bottom w:w="0" w:type="dxa"/>
              <w:right w:w="57" w:type="dxa"/>
            </w:tcMar>
          </w:tcPr>
          <w:p w14:paraId="6567D333" w14:textId="77777777" w:rsidR="00502238" w:rsidRPr="00FD12D3" w:rsidRDefault="00502238" w:rsidP="00F16E23">
            <w:pPr>
              <w:pStyle w:val="TableText"/>
              <w:spacing w:before="40" w:after="40"/>
              <w:rPr>
                <w:rFonts w:cs="Calibri"/>
                <w:szCs w:val="16"/>
              </w:rPr>
            </w:pPr>
            <w:r w:rsidRPr="00FD12D3">
              <w:rPr>
                <w:rFonts w:eastAsia="Calibri" w:cs="Calibri"/>
                <w:szCs w:val="16"/>
              </w:rPr>
              <w:t>Emissions of CH</w:t>
            </w:r>
            <w:r w:rsidRPr="00FD12D3">
              <w:rPr>
                <w:rFonts w:eastAsia="Calibri" w:cs="Calibri"/>
                <w:szCs w:val="16"/>
                <w:vertAlign w:val="subscript"/>
              </w:rPr>
              <w:t>4</w:t>
            </w:r>
            <w:r w:rsidRPr="00FD12D3">
              <w:rPr>
                <w:rFonts w:eastAsia="Calibri" w:cs="Calibri"/>
                <w:szCs w:val="16"/>
              </w:rPr>
              <w:t xml:space="preserve"> from the combustion of biogas from the Tirau dairy processing plant are reported under 1.A.2.e </w:t>
            </w:r>
            <w:r w:rsidRPr="00FD12D3">
              <w:rPr>
                <w:rFonts w:eastAsia="Calibri" w:cs="Calibri"/>
                <w:i/>
                <w:iCs/>
                <w:szCs w:val="16"/>
              </w:rPr>
              <w:t>Food processing, beverages and tobacco – Biomass</w:t>
            </w:r>
            <w:r w:rsidRPr="00FD12D3">
              <w:rPr>
                <w:rFonts w:eastAsia="Calibri" w:cs="Calibri"/>
                <w:szCs w:val="16"/>
              </w:rPr>
              <w:t>. </w:t>
            </w:r>
          </w:p>
        </w:tc>
      </w:tr>
      <w:tr w:rsidR="00502238" w:rsidRPr="00FD12D3" w14:paraId="79D002A7" w14:textId="77777777" w:rsidTr="00F32658">
        <w:tc>
          <w:tcPr>
            <w:tcW w:w="1546" w:type="dxa"/>
            <w:shd w:val="clear" w:color="auto" w:fill="FFFFFF" w:themeFill="background1"/>
            <w:tcMar>
              <w:top w:w="0" w:type="dxa"/>
              <w:left w:w="85" w:type="dxa"/>
              <w:bottom w:w="0" w:type="dxa"/>
              <w:right w:w="57" w:type="dxa"/>
            </w:tcMar>
          </w:tcPr>
          <w:p w14:paraId="326EEC13" w14:textId="77777777" w:rsidR="00502238" w:rsidRPr="00FD12D3" w:rsidRDefault="00502238" w:rsidP="00F16E23">
            <w:pPr>
              <w:pStyle w:val="TableText"/>
              <w:spacing w:before="40" w:after="40"/>
              <w:rPr>
                <w:rFonts w:cs="Calibri"/>
                <w:szCs w:val="16"/>
              </w:rPr>
            </w:pPr>
            <w:r w:rsidRPr="00FD12D3">
              <w:rPr>
                <w:rFonts w:eastAsia="Calibri" w:cs="Calibri"/>
                <w:szCs w:val="16"/>
              </w:rPr>
              <w:t>Within the Tokelau sector 6, categories 1.A.3.b.i. and 1.A.4.c.iii. were reported elsewhere</w:t>
            </w:r>
          </w:p>
        </w:tc>
        <w:tc>
          <w:tcPr>
            <w:tcW w:w="1929" w:type="dxa"/>
            <w:shd w:val="clear" w:color="auto" w:fill="FFFFFF" w:themeFill="background1"/>
            <w:tcMar>
              <w:top w:w="0" w:type="dxa"/>
              <w:left w:w="85" w:type="dxa"/>
              <w:bottom w:w="0" w:type="dxa"/>
              <w:right w:w="57" w:type="dxa"/>
            </w:tcMar>
          </w:tcPr>
          <w:p w14:paraId="646367D9" w14:textId="77777777" w:rsidR="00502238" w:rsidRPr="00FD12D3" w:rsidRDefault="00502238" w:rsidP="00F16E23">
            <w:pPr>
              <w:pStyle w:val="TableText"/>
              <w:spacing w:before="40" w:after="40"/>
              <w:rPr>
                <w:rFonts w:cs="Calibri"/>
                <w:szCs w:val="16"/>
              </w:rPr>
            </w:pPr>
            <w:r w:rsidRPr="00FD12D3">
              <w:rPr>
                <w:rFonts w:eastAsia="Calibri" w:cs="Calibri"/>
                <w:szCs w:val="16"/>
              </w:rPr>
              <w:t>Road transport/Gasoline and diesel oil </w:t>
            </w:r>
          </w:p>
        </w:tc>
        <w:tc>
          <w:tcPr>
            <w:tcW w:w="1841" w:type="dxa"/>
            <w:shd w:val="clear" w:color="auto" w:fill="FFFFFF" w:themeFill="background1"/>
            <w:tcMar>
              <w:top w:w="0" w:type="dxa"/>
              <w:left w:w="85" w:type="dxa"/>
              <w:bottom w:w="0" w:type="dxa"/>
              <w:right w:w="57" w:type="dxa"/>
            </w:tcMar>
          </w:tcPr>
          <w:p w14:paraId="5493CC98" w14:textId="77777777" w:rsidR="00502238" w:rsidRPr="00FD12D3" w:rsidRDefault="00502238" w:rsidP="00F16E23">
            <w:pPr>
              <w:pStyle w:val="TableText"/>
              <w:spacing w:before="40" w:after="40"/>
              <w:rPr>
                <w:rFonts w:cs="Calibri"/>
                <w:szCs w:val="16"/>
              </w:rPr>
            </w:pPr>
            <w:r w:rsidRPr="00FD12D3">
              <w:rPr>
                <w:rFonts w:eastAsia="Calibri" w:cs="Calibri"/>
                <w:szCs w:val="16"/>
              </w:rPr>
              <w:t>1.A.3.d. Domestic navigation – Gas-diesel oil (within Tokelau sector</w:t>
            </w:r>
            <w:r>
              <w:rPr>
                <w:rFonts w:eastAsia="Calibri" w:cs="Calibri"/>
                <w:szCs w:val="16"/>
              </w:rPr>
              <w:t> </w:t>
            </w:r>
            <w:r w:rsidRPr="00FD12D3">
              <w:rPr>
                <w:rFonts w:eastAsia="Calibri" w:cs="Calibri"/>
                <w:szCs w:val="16"/>
              </w:rPr>
              <w:t>6) </w:t>
            </w:r>
          </w:p>
        </w:tc>
        <w:tc>
          <w:tcPr>
            <w:tcW w:w="3178" w:type="dxa"/>
            <w:shd w:val="clear" w:color="auto" w:fill="FFFFFF" w:themeFill="background1"/>
            <w:tcMar>
              <w:top w:w="0" w:type="dxa"/>
              <w:left w:w="85" w:type="dxa"/>
              <w:bottom w:w="0" w:type="dxa"/>
              <w:right w:w="57" w:type="dxa"/>
            </w:tcMar>
          </w:tcPr>
          <w:p w14:paraId="451CB81D" w14:textId="54BA13FA" w:rsidR="00502238" w:rsidRPr="00FD12D3" w:rsidRDefault="00502238" w:rsidP="00F16E23">
            <w:pPr>
              <w:pStyle w:val="TableText"/>
              <w:spacing w:before="40" w:after="40"/>
              <w:rPr>
                <w:rFonts w:cs="Calibri"/>
                <w:szCs w:val="16"/>
              </w:rPr>
            </w:pPr>
            <w:r w:rsidRPr="00FD12D3">
              <w:rPr>
                <w:rFonts w:eastAsia="Calibri" w:cs="Calibri"/>
                <w:szCs w:val="16"/>
              </w:rPr>
              <w:t>Tokelau has a small petrol car fleet. In 2018 there were about 40 cars and 30 motorbikes, with an entire road network less than 10 kilometres. Fuel use for road transport cannot be distinguished from fuel use for domestic navigation, which is the main means</w:t>
            </w:r>
            <w:r w:rsidR="00CF0815">
              <w:rPr>
                <w:rFonts w:eastAsia="Calibri" w:cs="Calibri"/>
                <w:szCs w:val="16"/>
              </w:rPr>
              <w:t> </w:t>
            </w:r>
            <w:r w:rsidRPr="00FD12D3">
              <w:rPr>
                <w:rFonts w:eastAsia="Calibri" w:cs="Calibri"/>
                <w:szCs w:val="16"/>
              </w:rPr>
              <w:t>of private transport in Tokelau. All sources of emissions from road transport are</w:t>
            </w:r>
            <w:r w:rsidR="00CF0815">
              <w:rPr>
                <w:rFonts w:eastAsia="Calibri" w:cs="Calibri"/>
                <w:szCs w:val="16"/>
              </w:rPr>
              <w:t> </w:t>
            </w:r>
            <w:r w:rsidRPr="00FD12D3">
              <w:rPr>
                <w:rFonts w:eastAsia="Calibri" w:cs="Calibri"/>
                <w:szCs w:val="16"/>
              </w:rPr>
              <w:t>therefore included within </w:t>
            </w:r>
            <w:r w:rsidRPr="00FD12D3">
              <w:rPr>
                <w:rFonts w:eastAsia="Calibri" w:cs="Calibri"/>
                <w:i/>
                <w:iCs/>
                <w:szCs w:val="16"/>
              </w:rPr>
              <w:t>Domestic navigation.</w:t>
            </w:r>
          </w:p>
        </w:tc>
      </w:tr>
      <w:tr w:rsidR="00502238" w:rsidRPr="00FD12D3" w14:paraId="39FB74CB" w14:textId="77777777" w:rsidTr="00F32658">
        <w:tc>
          <w:tcPr>
            <w:tcW w:w="1546" w:type="dxa"/>
            <w:shd w:val="clear" w:color="auto" w:fill="FFFFFF" w:themeFill="background1"/>
            <w:tcMar>
              <w:top w:w="0" w:type="dxa"/>
              <w:left w:w="85" w:type="dxa"/>
              <w:bottom w:w="0" w:type="dxa"/>
              <w:right w:w="57" w:type="dxa"/>
            </w:tcMar>
          </w:tcPr>
          <w:p w14:paraId="3C02C3DE" w14:textId="77777777" w:rsidR="00502238" w:rsidRPr="00FD12D3" w:rsidRDefault="00502238" w:rsidP="00F16E23">
            <w:pPr>
              <w:pStyle w:val="TableText"/>
              <w:spacing w:before="40" w:after="40"/>
              <w:rPr>
                <w:rFonts w:cs="Calibri"/>
                <w:szCs w:val="16"/>
              </w:rPr>
            </w:pPr>
            <w:r w:rsidRPr="00FD12D3">
              <w:rPr>
                <w:rFonts w:eastAsia="Calibri" w:cs="Calibri"/>
                <w:szCs w:val="16"/>
              </w:rPr>
              <w:t>Within the Tokelau sector 6, category 1.A.4.b. Residential is reported elsewhere</w:t>
            </w:r>
          </w:p>
        </w:tc>
        <w:tc>
          <w:tcPr>
            <w:tcW w:w="1929" w:type="dxa"/>
            <w:shd w:val="clear" w:color="auto" w:fill="FFFFFF" w:themeFill="background1"/>
            <w:tcMar>
              <w:top w:w="0" w:type="dxa"/>
              <w:left w:w="85" w:type="dxa"/>
              <w:bottom w:w="0" w:type="dxa"/>
              <w:right w:w="57" w:type="dxa"/>
            </w:tcMar>
          </w:tcPr>
          <w:p w14:paraId="5120F796" w14:textId="77777777" w:rsidR="00502238" w:rsidRPr="00FD12D3" w:rsidRDefault="00502238" w:rsidP="00F16E23">
            <w:pPr>
              <w:pStyle w:val="TableText"/>
              <w:spacing w:before="40" w:after="40"/>
              <w:rPr>
                <w:rFonts w:cs="Calibri"/>
                <w:szCs w:val="16"/>
              </w:rPr>
            </w:pPr>
            <w:r w:rsidRPr="00FD12D3">
              <w:rPr>
                <w:rFonts w:eastAsia="Calibri" w:cs="Calibri"/>
                <w:szCs w:val="16"/>
              </w:rPr>
              <w:t>1.A.4.b. Residential liquid fuels </w:t>
            </w:r>
          </w:p>
        </w:tc>
        <w:tc>
          <w:tcPr>
            <w:tcW w:w="1841" w:type="dxa"/>
            <w:shd w:val="clear" w:color="auto" w:fill="FFFFFF" w:themeFill="background1"/>
            <w:tcMar>
              <w:top w:w="0" w:type="dxa"/>
              <w:left w:w="85" w:type="dxa"/>
              <w:bottom w:w="0" w:type="dxa"/>
              <w:right w:w="57" w:type="dxa"/>
            </w:tcMar>
          </w:tcPr>
          <w:p w14:paraId="78C70A75" w14:textId="77777777" w:rsidR="00502238" w:rsidRPr="00FD12D3" w:rsidRDefault="00502238" w:rsidP="00F16E23">
            <w:pPr>
              <w:pStyle w:val="TableText"/>
              <w:spacing w:before="40" w:after="40"/>
              <w:rPr>
                <w:rFonts w:cs="Calibri"/>
                <w:szCs w:val="16"/>
              </w:rPr>
            </w:pPr>
            <w:r w:rsidRPr="00FD12D3">
              <w:rPr>
                <w:rFonts w:eastAsia="Calibri" w:cs="Calibri"/>
                <w:szCs w:val="16"/>
              </w:rPr>
              <w:t>1.A.3.d. Domestic navigation – Gas-diesel oil (within Tokelau sector</w:t>
            </w:r>
            <w:r>
              <w:rPr>
                <w:rFonts w:eastAsia="Calibri" w:cs="Calibri"/>
                <w:szCs w:val="16"/>
              </w:rPr>
              <w:t> </w:t>
            </w:r>
            <w:r w:rsidRPr="00FD12D3">
              <w:rPr>
                <w:rFonts w:eastAsia="Calibri" w:cs="Calibri"/>
                <w:szCs w:val="16"/>
              </w:rPr>
              <w:t>6) </w:t>
            </w:r>
          </w:p>
        </w:tc>
        <w:tc>
          <w:tcPr>
            <w:tcW w:w="3178" w:type="dxa"/>
            <w:shd w:val="clear" w:color="auto" w:fill="FFFFFF" w:themeFill="background1"/>
            <w:tcMar>
              <w:top w:w="0" w:type="dxa"/>
              <w:left w:w="85" w:type="dxa"/>
              <w:bottom w:w="0" w:type="dxa"/>
              <w:right w:w="57" w:type="dxa"/>
            </w:tcMar>
          </w:tcPr>
          <w:p w14:paraId="06E929F6" w14:textId="2CA3E1F0" w:rsidR="00502238" w:rsidRPr="00FD12D3" w:rsidRDefault="00502238" w:rsidP="00F16E23">
            <w:pPr>
              <w:pStyle w:val="TableText"/>
              <w:spacing w:before="40" w:after="40"/>
              <w:rPr>
                <w:rFonts w:cs="Calibri"/>
                <w:szCs w:val="16"/>
              </w:rPr>
            </w:pPr>
            <w:r w:rsidRPr="00FD12D3">
              <w:rPr>
                <w:rFonts w:eastAsia="Calibri" w:cs="Calibri"/>
                <w:szCs w:val="16"/>
              </w:rPr>
              <w:t>The only emission source of liquid fuel occurring in this category is gas used for cooking. The amount of liquid fuel use in this</w:t>
            </w:r>
            <w:r w:rsidR="00CF0815">
              <w:rPr>
                <w:rFonts w:eastAsia="Calibri" w:cs="Calibri"/>
                <w:szCs w:val="16"/>
              </w:rPr>
              <w:t> </w:t>
            </w:r>
            <w:r w:rsidRPr="00FD12D3">
              <w:rPr>
                <w:rFonts w:eastAsia="Calibri" w:cs="Calibri"/>
                <w:szCs w:val="16"/>
              </w:rPr>
              <w:t>category is small compared with that used</w:t>
            </w:r>
            <w:r w:rsidR="00CF0815">
              <w:rPr>
                <w:rFonts w:eastAsia="Calibri" w:cs="Calibri"/>
                <w:szCs w:val="16"/>
              </w:rPr>
              <w:t> </w:t>
            </w:r>
            <w:r w:rsidRPr="00FD12D3">
              <w:rPr>
                <w:rFonts w:eastAsia="Calibri" w:cs="Calibri"/>
                <w:szCs w:val="16"/>
              </w:rPr>
              <w:t>for </w:t>
            </w:r>
            <w:r w:rsidRPr="00FD12D3">
              <w:rPr>
                <w:rFonts w:eastAsia="Calibri" w:cs="Calibri"/>
                <w:i/>
                <w:iCs/>
                <w:szCs w:val="16"/>
              </w:rPr>
              <w:t>Domestic navigation</w:t>
            </w:r>
            <w:r w:rsidRPr="00FD12D3">
              <w:rPr>
                <w:rFonts w:eastAsia="Calibri" w:cs="Calibri"/>
                <w:szCs w:val="16"/>
              </w:rPr>
              <w:t>, therefore all</w:t>
            </w:r>
            <w:r w:rsidR="00CF0815">
              <w:rPr>
                <w:rFonts w:eastAsia="Calibri" w:cs="Calibri"/>
                <w:szCs w:val="16"/>
              </w:rPr>
              <w:t> </w:t>
            </w:r>
            <w:r w:rsidRPr="00FD12D3">
              <w:rPr>
                <w:rFonts w:eastAsia="Calibri" w:cs="Calibri"/>
                <w:szCs w:val="16"/>
              </w:rPr>
              <w:t>emissions are included in </w:t>
            </w:r>
            <w:r w:rsidRPr="00FD12D3">
              <w:rPr>
                <w:rFonts w:eastAsia="Calibri" w:cs="Calibri"/>
                <w:i/>
                <w:iCs/>
                <w:szCs w:val="16"/>
              </w:rPr>
              <w:t>Domestic navigation.</w:t>
            </w:r>
            <w:r w:rsidRPr="00FD12D3">
              <w:rPr>
                <w:rFonts w:eastAsia="Calibri" w:cs="Calibri"/>
                <w:szCs w:val="16"/>
              </w:rPr>
              <w:t> </w:t>
            </w:r>
          </w:p>
        </w:tc>
      </w:tr>
    </w:tbl>
    <w:p w14:paraId="7EBC72F3" w14:textId="77777777" w:rsidR="00502238" w:rsidRPr="00FD12D3" w:rsidRDefault="00502238" w:rsidP="00502238">
      <w:pPr>
        <w:pStyle w:val="Heading3"/>
        <w:spacing w:before="480"/>
      </w:pPr>
      <w:bookmarkStart w:id="99" w:name="description-of-insignificant-categories"/>
      <w:bookmarkEnd w:id="94"/>
      <w:bookmarkEnd w:id="97"/>
      <w:r w:rsidRPr="00FD12D3">
        <w:t xml:space="preserve">1.7.2 </w:t>
      </w:r>
      <w:r w:rsidRPr="00FD12D3">
        <w:tab/>
        <w:t>Description of insignificant categories</w:t>
      </w:r>
    </w:p>
    <w:p w14:paraId="1E92C100" w14:textId="77777777" w:rsidR="00502238" w:rsidRPr="00FD12D3" w:rsidRDefault="00502238" w:rsidP="00502238">
      <w:pPr>
        <w:pStyle w:val="BodyText"/>
      </w:pPr>
      <w:r w:rsidRPr="00FD12D3">
        <w:t>New Zealand’s omitted insignificant emissions sources are estimated using simple methods, in line with paragraph 32 of the annex to decision 18/CMA.1 (UNFCCC, 2018b).</w:t>
      </w:r>
    </w:p>
    <w:p w14:paraId="7F02E60D" w14:textId="77777777" w:rsidR="00502238" w:rsidRPr="00FD12D3" w:rsidRDefault="00502238" w:rsidP="00502238">
      <w:pPr>
        <w:pStyle w:val="BodyText"/>
      </w:pPr>
      <w:r w:rsidRPr="00FD12D3">
        <w:t>The data and assumptions New Zealand used to derive the likely emissions levels are presented in table 1.7.1.</w:t>
      </w:r>
    </w:p>
    <w:p w14:paraId="2D4084BF" w14:textId="77777777" w:rsidR="00502238" w:rsidRPr="00FD12D3" w:rsidRDefault="00502238" w:rsidP="00502238">
      <w:pPr>
        <w:pStyle w:val="Heading3"/>
      </w:pPr>
      <w:bookmarkStart w:id="100" w:name="X364a7bdef5a57cbbcd080a819093412e1ca8270"/>
      <w:bookmarkEnd w:id="99"/>
      <w:r w:rsidRPr="00FD12D3">
        <w:t xml:space="preserve">1.7.3 </w:t>
      </w:r>
      <w:r w:rsidRPr="00FD12D3">
        <w:tab/>
        <w:t>Total aggregate emissions considered insignificant, if applicable</w:t>
      </w:r>
    </w:p>
    <w:p w14:paraId="1F316F53" w14:textId="77777777" w:rsidR="00502238" w:rsidRPr="00FD12D3" w:rsidRDefault="00502238" w:rsidP="00502238">
      <w:pPr>
        <w:pStyle w:val="BodyText"/>
      </w:pPr>
      <w:r>
        <w:t>The estimate of emissions for all of New Zealand’s source categories considered insignificant is the same as for those reported as ‘NE’ above. The estimate is 2.1 kt CO</w:t>
      </w:r>
      <w:r w:rsidRPr="4490CCA6">
        <w:rPr>
          <w:vertAlign w:val="subscript"/>
        </w:rPr>
        <w:t>2</w:t>
      </w:r>
      <w:r>
        <w:t>e, which is below the 0.1 percent of the total emissions threshold (75.8 kt CO</w:t>
      </w:r>
      <w:r w:rsidRPr="4490CCA6">
        <w:rPr>
          <w:vertAlign w:val="subscript"/>
        </w:rPr>
        <w:t>2</w:t>
      </w:r>
      <w:r>
        <w:t>e).</w:t>
      </w:r>
    </w:p>
    <w:p w14:paraId="4688981F" w14:textId="77777777" w:rsidR="00502238" w:rsidRPr="00FD12D3" w:rsidRDefault="00502238" w:rsidP="00502238">
      <w:pPr>
        <w:pStyle w:val="Heading2"/>
      </w:pPr>
      <w:bookmarkStart w:id="101" w:name="_Toc226460745"/>
      <w:bookmarkStart w:id="102" w:name="metrics"/>
      <w:bookmarkEnd w:id="93"/>
      <w:bookmarkEnd w:id="100"/>
      <w:r w:rsidRPr="00FD12D3">
        <w:t xml:space="preserve">1.8 </w:t>
      </w:r>
      <w:r w:rsidRPr="00FD12D3">
        <w:tab/>
        <w:t>Metrics</w:t>
      </w:r>
      <w:bookmarkEnd w:id="101"/>
    </w:p>
    <w:p w14:paraId="0140B65B" w14:textId="77777777" w:rsidR="00502238" w:rsidRPr="00FD12D3" w:rsidRDefault="00502238" w:rsidP="00502238">
      <w:pPr>
        <w:pStyle w:val="BodyText"/>
      </w:pPr>
      <w:r w:rsidRPr="00FD12D3">
        <w:t>Consistent with decisions 1/CP.24, 18/CMA.1 and 5/CMA.3, this inventory was prepared using 100-year time horizon global warming potential values from the IPCC Fifth Assessment Report (IPCC, 2013).</w:t>
      </w:r>
    </w:p>
    <w:p w14:paraId="2AA07369" w14:textId="77777777" w:rsidR="00502238" w:rsidRPr="00FD12D3" w:rsidRDefault="00502238" w:rsidP="00502238">
      <w:pPr>
        <w:pStyle w:val="BodyText"/>
      </w:pPr>
      <w:bookmarkStart w:id="103" w:name="chapter-1-references"/>
      <w:bookmarkEnd w:id="102"/>
      <w:r w:rsidRPr="00FD12D3">
        <w:br w:type="page"/>
      </w:r>
    </w:p>
    <w:p w14:paraId="68785F61" w14:textId="77777777" w:rsidR="00502238" w:rsidRPr="00FD12D3" w:rsidRDefault="00502238" w:rsidP="00361D6C">
      <w:pPr>
        <w:pStyle w:val="Heading2"/>
        <w:spacing w:before="0" w:after="360"/>
      </w:pPr>
      <w:bookmarkStart w:id="104" w:name="_Toc226460746"/>
      <w:r w:rsidRPr="00FD12D3">
        <w:t>Chapter 1: References</w:t>
      </w:r>
      <w:bookmarkEnd w:id="104"/>
    </w:p>
    <w:p w14:paraId="6CF00894" w14:textId="77777777" w:rsidR="00502238" w:rsidRPr="00FD12D3" w:rsidRDefault="00502238" w:rsidP="00502238">
      <w:pPr>
        <w:pStyle w:val="References"/>
      </w:pPr>
      <w:r w:rsidRPr="00FD12D3">
        <w:t>Cardno. Unpublished. Greenhouse Gas Emissions from Industrial Wastewater Treatment. Report prepared for the Ministry for the Environment in 2015.</w:t>
      </w:r>
    </w:p>
    <w:p w14:paraId="4F861358" w14:textId="77777777" w:rsidR="00502238" w:rsidRPr="00FD12D3" w:rsidRDefault="00502238" w:rsidP="00502238">
      <w:pPr>
        <w:pStyle w:val="References"/>
      </w:pPr>
      <w:r w:rsidRPr="00FD12D3">
        <w:t>CRL Energy Ltd. Unpublished. Hennessy W, Maxwell D. Inventory of HFC, PFC and SF</w:t>
      </w:r>
      <w:r w:rsidRPr="00FD12D3">
        <w:rPr>
          <w:vertAlign w:val="subscript"/>
        </w:rPr>
        <w:t>6</w:t>
      </w:r>
      <w:r w:rsidRPr="00FD12D3">
        <w:t xml:space="preserve"> Emissions for New Zealand 2004–2005. Report prepared for the Ministry for the Environment by CRL Energy Ltd in 2006.</w:t>
      </w:r>
    </w:p>
    <w:p w14:paraId="65A1014A" w14:textId="77777777" w:rsidR="00502238" w:rsidRPr="00FD12D3" w:rsidRDefault="00502238" w:rsidP="00502238">
      <w:pPr>
        <w:pStyle w:val="References"/>
      </w:pPr>
      <w:r w:rsidRPr="00FD12D3">
        <w:t>Eunomia. Unpublished. Improvements to Estimates of Greenhouse Gas Emissions from Landfills. Report prepared for the Ministry for the Environment in 2020.</w:t>
      </w:r>
    </w:p>
    <w:p w14:paraId="6CBB6A6B" w14:textId="77777777" w:rsidR="00502238" w:rsidRPr="00FD12D3" w:rsidRDefault="00502238" w:rsidP="00502238">
      <w:pPr>
        <w:pStyle w:val="References"/>
      </w:pPr>
      <w:r w:rsidRPr="00FD12D3">
        <w:t xml:space="preserve">IPCC. 2006a. Eggleston HS, Buendia L, Miwa K, Ngara T, Tanabe K (eds). </w:t>
      </w:r>
      <w:r w:rsidRPr="00FD12D3">
        <w:rPr>
          <w:i/>
          <w:iCs/>
        </w:rPr>
        <w:t>2006 IPCC Guidelines for National Greenhouse Gas Inventories.</w:t>
      </w:r>
      <w:r w:rsidRPr="00FD12D3">
        <w:t xml:space="preserve"> Prepared by the National Greenhouse Gas Inventories Programme. Japan: IGES, Japan: Institute for Global Environmental Strategies for IPCC.</w:t>
      </w:r>
    </w:p>
    <w:p w14:paraId="6CEE7258" w14:textId="77777777" w:rsidR="00502238" w:rsidRPr="00FD12D3" w:rsidRDefault="00502238" w:rsidP="00502238">
      <w:pPr>
        <w:pStyle w:val="References"/>
      </w:pPr>
      <w:r w:rsidRPr="00FD12D3">
        <w:t xml:space="preserve">IPCC. 2006b. Eggleston HS, Buendia L, Miwa K, Ngara T, Tanabe K (eds). </w:t>
      </w:r>
      <w:r w:rsidRPr="00FD12D3">
        <w:rPr>
          <w:i/>
          <w:iCs/>
        </w:rPr>
        <w:t>2006 IPCC Guidelines for National Greenhouse Gas Inventories. Volume 1. General Guidance and Reporting.</w:t>
      </w:r>
      <w:r w:rsidRPr="00FD12D3">
        <w:t xml:space="preserve"> IPCC National Greenhouse Gas Inventories Programme. Japan: Institute for Global Environmental Strategies for IPCC.</w:t>
      </w:r>
    </w:p>
    <w:p w14:paraId="12A59454" w14:textId="77777777" w:rsidR="00502238" w:rsidRPr="00FD12D3" w:rsidRDefault="00502238" w:rsidP="00502238">
      <w:pPr>
        <w:pStyle w:val="References"/>
      </w:pPr>
      <w:r w:rsidRPr="00FD12D3">
        <w:t xml:space="preserve">IPCC. 2006c. Eggleston HS, Buendia L, Miwa K, Ngara T, Tanabe K (eds). </w:t>
      </w:r>
      <w:r w:rsidRPr="00FD12D3">
        <w:rPr>
          <w:i/>
          <w:iCs/>
        </w:rPr>
        <w:t>2006 IPCC Guidelines for National Greenhouse Gas Inventories. Volume 2. Energy.</w:t>
      </w:r>
      <w:r w:rsidRPr="00FD12D3">
        <w:t xml:space="preserve"> IPCC National Greenhouse Gas Inventories Programme. Japan: Institute for Global Environmental Strategies for IPCC.</w:t>
      </w:r>
    </w:p>
    <w:p w14:paraId="753825D1" w14:textId="77777777" w:rsidR="00502238" w:rsidRPr="00FD12D3" w:rsidRDefault="00502238" w:rsidP="00502238">
      <w:pPr>
        <w:pStyle w:val="References"/>
      </w:pPr>
      <w:r w:rsidRPr="00FD12D3">
        <w:t xml:space="preserve">IPCC. 2006d. Eggleston HS, Buendia L, Miwa K, Ngara T, Tanabe K (eds). </w:t>
      </w:r>
      <w:r w:rsidRPr="00FD12D3">
        <w:rPr>
          <w:i/>
          <w:iCs/>
        </w:rPr>
        <w:t>2006 IPCC Guidelines for National Greenhouse Gas Inventories. Volume 4. Agriculture, Forestry and Other Land Use.</w:t>
      </w:r>
      <w:r w:rsidRPr="00FD12D3">
        <w:t xml:space="preserve"> IPCC National Greenhouse Gas Inventories Programme. Japan: Institute for Global Environmental Strategies for IPCC.</w:t>
      </w:r>
    </w:p>
    <w:p w14:paraId="060FB1D3" w14:textId="77777777" w:rsidR="00502238" w:rsidRPr="00FD12D3" w:rsidRDefault="00502238" w:rsidP="00502238">
      <w:pPr>
        <w:pStyle w:val="References"/>
      </w:pPr>
      <w:r w:rsidRPr="00FD12D3">
        <w:t xml:space="preserve">IPCC. 2006e. Eggleston HS, Buendia L, Miwa K, Ngara T, Tanabe K (eds). </w:t>
      </w:r>
      <w:r w:rsidRPr="00FD12D3">
        <w:rPr>
          <w:i/>
          <w:iCs/>
        </w:rPr>
        <w:t>2006 IPCC Guidelines for National Greenhouse Gas Inventories. Volume 5. Waste.</w:t>
      </w:r>
      <w:r w:rsidRPr="00FD12D3">
        <w:t xml:space="preserve"> IPCC National Greenhouse Gas Inventories Programme. Japan: Institute for Global Environmental Strategies for IPCC.</w:t>
      </w:r>
    </w:p>
    <w:p w14:paraId="23259889" w14:textId="77777777" w:rsidR="00502238" w:rsidRPr="00FD12D3" w:rsidRDefault="00502238" w:rsidP="00502238">
      <w:pPr>
        <w:pStyle w:val="References"/>
      </w:pPr>
      <w:r w:rsidRPr="00FD12D3">
        <w:t xml:space="preserve">IPCC. 2013. Stocker TF, Qin D, Plattner G-K, Tignor M, Allen SK, Boschung J, Nauels A, Xia Y, Bex V, Midgley PM (eds). </w:t>
      </w:r>
      <w:r w:rsidRPr="00FD12D3">
        <w:rPr>
          <w:i/>
          <w:iCs/>
        </w:rPr>
        <w:t>Climate Change 2013: The Physical Science Basis. Contribution of Working Group I to the Fifth Assessment Report of the Intergovernmental Panel on Climate Change.</w:t>
      </w:r>
      <w:r w:rsidRPr="00FD12D3">
        <w:t xml:space="preserve"> Cambridge: Cambridge University Press.</w:t>
      </w:r>
    </w:p>
    <w:p w14:paraId="7459920A" w14:textId="77777777" w:rsidR="00502238" w:rsidRPr="00FD12D3" w:rsidRDefault="00502238" w:rsidP="00502238">
      <w:pPr>
        <w:pStyle w:val="References"/>
      </w:pPr>
      <w:r w:rsidRPr="00FD12D3">
        <w:t xml:space="preserve">IPCC. 2019. Calvo Buendia E, Tanabe K, Kranjc A, Baasansuren J, Fukuda M, Ngarize S, Osako A, Pyrozhenko Y, Shermanau P, Federici S (eds). </w:t>
      </w:r>
      <w:r w:rsidRPr="00FD12D3">
        <w:rPr>
          <w:i/>
          <w:iCs/>
        </w:rPr>
        <w:t>2019 Refinement to the 2006 IPCC Guidelines for National Greenhouse Gas Inventories</w:t>
      </w:r>
      <w:r w:rsidRPr="00FD12D3">
        <w:t>. Switzerland: IPCC.</w:t>
      </w:r>
    </w:p>
    <w:p w14:paraId="2B447468" w14:textId="77777777" w:rsidR="00502238" w:rsidRPr="00FD12D3" w:rsidRDefault="00502238" w:rsidP="00502238">
      <w:pPr>
        <w:pStyle w:val="References"/>
      </w:pPr>
      <w:r w:rsidRPr="00FD12D3">
        <w:t xml:space="preserve">IPCC. 2021. Masson-Delmotte V, Zhai P, Pirani A, Connors SL, Péan C, Berger C, Caud N, Chen Y, Goldfarb L, Gomis MI, Huang M, Leitzell K, Lonnoy E, Matthews JBR, Maycock TK, Waterfield T, Yelekçi O, Yu R, Zhou B (eds). </w:t>
      </w:r>
      <w:r w:rsidRPr="00FD12D3">
        <w:rPr>
          <w:i/>
          <w:iCs/>
        </w:rPr>
        <w:t xml:space="preserve">Climate Change 2021: The Physical Science Basis. </w:t>
      </w:r>
      <w:r w:rsidRPr="00FD12D3">
        <w:t>Contribution of Working Group I to the Sixth Assessment Report of the Intergovernmental Panel on Climate Change. Cambridge: Cambridge University Press.</w:t>
      </w:r>
    </w:p>
    <w:p w14:paraId="7C328D79" w14:textId="77777777" w:rsidR="00502238" w:rsidRPr="00FD12D3" w:rsidRDefault="00502238" w:rsidP="00502238">
      <w:pPr>
        <w:pStyle w:val="References"/>
      </w:pPr>
      <w:r w:rsidRPr="00FD12D3">
        <w:rPr>
          <w:szCs w:val="20"/>
        </w:rPr>
        <w:t xml:space="preserve">MBIE </w:t>
      </w:r>
      <w:r w:rsidRPr="00FD12D3">
        <w:t>(Ministry of Business, Innovation and Employment)</w:t>
      </w:r>
      <w:r w:rsidRPr="00FD12D3">
        <w:rPr>
          <w:szCs w:val="20"/>
        </w:rPr>
        <w:t xml:space="preserve">. 2024. </w:t>
      </w:r>
      <w:r w:rsidRPr="00FD12D3">
        <w:rPr>
          <w:i/>
          <w:iCs/>
          <w:szCs w:val="20"/>
        </w:rPr>
        <w:t>Annual Report 2023/24</w:t>
      </w:r>
      <w:r w:rsidRPr="00FD12D3">
        <w:rPr>
          <w:szCs w:val="20"/>
        </w:rPr>
        <w:t xml:space="preserve">. Wellington: Ministry of Business, Innovation and Employment. </w:t>
      </w:r>
    </w:p>
    <w:p w14:paraId="3A6A570A" w14:textId="77777777" w:rsidR="00502238" w:rsidRPr="00FD12D3" w:rsidRDefault="00502238" w:rsidP="00502238">
      <w:pPr>
        <w:pStyle w:val="References"/>
      </w:pPr>
      <w:r w:rsidRPr="00FD12D3">
        <w:t xml:space="preserve">MBIE. 2025. </w:t>
      </w:r>
      <w:r w:rsidRPr="00FD12D3">
        <w:rPr>
          <w:i/>
          <w:iCs/>
        </w:rPr>
        <w:t>Energy in New Zealand</w:t>
      </w:r>
      <w:r w:rsidRPr="00FD12D3">
        <w:t xml:space="preserve"> 2025. Wellington: Ministry of Business, Innovation and Employment.</w:t>
      </w:r>
    </w:p>
    <w:p w14:paraId="1C99ECAF" w14:textId="77777777" w:rsidR="00502238" w:rsidRPr="00FD12D3" w:rsidRDefault="00502238" w:rsidP="00502238">
      <w:pPr>
        <w:pStyle w:val="References"/>
      </w:pPr>
      <w:r w:rsidRPr="00FD12D3">
        <w:rPr>
          <w:spacing w:val="-2"/>
        </w:rPr>
        <w:t>Paul TSH, Andersen C, Kimberley MO, Dash J, Beets PN. Unpublished(a). Carbon Stock Changes in New Zealand’s Pre-1990 Planted Forests Based on a Periodic Ground Inventory. Report prepared for the Ministry for the Environment by the New Zealand Forest Research Institute Ltd (trading as Scion) in 2016</w:t>
      </w:r>
      <w:r w:rsidRPr="00FD12D3">
        <w:t>.</w:t>
      </w:r>
    </w:p>
    <w:p w14:paraId="5819A514" w14:textId="77777777" w:rsidR="00502238" w:rsidRPr="00FD12D3" w:rsidRDefault="00502238" w:rsidP="00502238">
      <w:pPr>
        <w:pStyle w:val="References"/>
      </w:pPr>
      <w:r w:rsidRPr="00FD12D3">
        <w:t>Paul TSH, Beets PN, Kimberley MO. Unpublished(b). Carbon Stocks in New Zealand’s Post-1989 Natural Forest – Analysis of the 2018/2019 forest inventory data. Report prepared for the Ministry for the Environment by the New Zealand Forest Research Institute Ltd (trading as Scion) in 2020.</w:t>
      </w:r>
    </w:p>
    <w:p w14:paraId="6ADED03F" w14:textId="77777777" w:rsidR="00502238" w:rsidRPr="00FD12D3" w:rsidRDefault="00502238" w:rsidP="00502238">
      <w:pPr>
        <w:pStyle w:val="References"/>
      </w:pPr>
      <w:r w:rsidRPr="00FD12D3">
        <w:t xml:space="preserve">Paul TSH, Kimberley MO, Beets PN. 2021. Natural Forests in New Zealand – A large terrestrial carbon pool in a national state of equilibrium. </w:t>
      </w:r>
      <w:r w:rsidRPr="00FD12D3">
        <w:rPr>
          <w:i/>
          <w:iCs/>
        </w:rPr>
        <w:t>Forest Ecosystem</w:t>
      </w:r>
      <w:r w:rsidRPr="00FD12D3">
        <w:t xml:space="preserve"> 8, 34. </w:t>
      </w:r>
    </w:p>
    <w:p w14:paraId="00E7F4E1" w14:textId="77777777" w:rsidR="00502238" w:rsidRPr="00FD12D3" w:rsidRDefault="00502238" w:rsidP="00502238">
      <w:pPr>
        <w:pStyle w:val="References"/>
      </w:pPr>
      <w:r w:rsidRPr="00FD12D3">
        <w:t>Paul TSH, Kimberley MO, Dodunski C. Unpublished(c). The 2019 NFI Plot Analysis Yield Tables and Carbon Stocks at Measurement. Report prepared for the Ministry for the Environment by New Zealand Forest Research Institute Ltd (trading as Scion) in 2020.</w:t>
      </w:r>
    </w:p>
    <w:p w14:paraId="5DAA161B" w14:textId="77777777" w:rsidR="00502238" w:rsidRPr="00FD12D3" w:rsidRDefault="00502238" w:rsidP="00502238">
      <w:pPr>
        <w:pStyle w:val="References"/>
      </w:pPr>
      <w:r w:rsidRPr="00FD12D3">
        <w:t>Paul TSH, Wakelin SJ. Unpublished. Yield Tables and Approach for Estimating Historic Carbon Stocks in Pre-1990 Planted Forests for Greenhouse Gas Inventory Reporting. Report prepared for the Ministry for the Environment by New Zealand Forest Research Institute Ltd (trading as Scion) in 2020.</w:t>
      </w:r>
    </w:p>
    <w:p w14:paraId="611EF6C1" w14:textId="77777777" w:rsidR="00502238" w:rsidRPr="00FD12D3" w:rsidRDefault="00502238" w:rsidP="00502238">
      <w:pPr>
        <w:pStyle w:val="References"/>
      </w:pPr>
      <w:r w:rsidRPr="00FD12D3">
        <w:t xml:space="preserve">Stats NZ. 2007. </w:t>
      </w:r>
      <w:hyperlink r:id="rId31">
        <w:r w:rsidRPr="00FD12D3">
          <w:rPr>
            <w:rStyle w:val="Hyperlink"/>
            <w:i/>
            <w:iCs/>
          </w:rPr>
          <w:t>Principles and Protocols for Producers of Tier 1 Statistics.</w:t>
        </w:r>
      </w:hyperlink>
      <w:r w:rsidRPr="00FD12D3">
        <w:t xml:space="preserve"> Wellington: Stats New Zealand. Retrieved 12 March 2025.</w:t>
      </w:r>
    </w:p>
    <w:p w14:paraId="7BED3376" w14:textId="77777777" w:rsidR="00502238" w:rsidRPr="00FD12D3" w:rsidRDefault="00502238" w:rsidP="00502238">
      <w:pPr>
        <w:pStyle w:val="References"/>
      </w:pPr>
      <w:r w:rsidRPr="00FD12D3">
        <w:t xml:space="preserve">UNFCCC. 1992. </w:t>
      </w:r>
      <w:hyperlink r:id="rId32">
        <w:r w:rsidRPr="00FD12D3">
          <w:rPr>
            <w:rStyle w:val="Hyperlink"/>
          </w:rPr>
          <w:t xml:space="preserve">FCCC/INFORMAL/84 </w:t>
        </w:r>
        <w:r w:rsidRPr="00FD12D3">
          <w:rPr>
            <w:rStyle w:val="Hyperlink"/>
            <w:i/>
            <w:iCs/>
          </w:rPr>
          <w:t>United Nations Framework Convention on Climate Change</w:t>
        </w:r>
      </w:hyperlink>
      <w:r w:rsidRPr="00FD12D3">
        <w:t xml:space="preserve"> Retrieved 12 March 2025.</w:t>
      </w:r>
    </w:p>
    <w:p w14:paraId="55DC1E8A" w14:textId="77777777" w:rsidR="00502238" w:rsidRPr="00FD12D3" w:rsidRDefault="00502238" w:rsidP="00502238">
      <w:pPr>
        <w:pStyle w:val="References"/>
      </w:pPr>
      <w:r w:rsidRPr="00FD12D3">
        <w:t xml:space="preserve">UNFCCC. 2018a. FCCC/CP/2018/10/Add.1. </w:t>
      </w:r>
      <w:r w:rsidRPr="00FD12D3">
        <w:rPr>
          <w:i/>
          <w:iCs/>
        </w:rPr>
        <w:t>Decision 1/CP.24 Preparations for the implementation of the Paris Agreement and the first session of the Conference of the Parties serving as the meeting of the Parties to the Paris Agreement.</w:t>
      </w:r>
    </w:p>
    <w:p w14:paraId="788C8AE4" w14:textId="77777777" w:rsidR="00502238" w:rsidRPr="00FD12D3" w:rsidRDefault="00502238" w:rsidP="00502238">
      <w:pPr>
        <w:pStyle w:val="References"/>
        <w:rPr>
          <w:i/>
          <w:iCs/>
        </w:rPr>
      </w:pPr>
      <w:r w:rsidRPr="00FD12D3">
        <w:t xml:space="preserve">UNFCCC. 2018b. FCCC/PA/CMA/2018/3/Add.2. </w:t>
      </w:r>
      <w:r w:rsidRPr="00FD12D3">
        <w:rPr>
          <w:i/>
          <w:iCs/>
        </w:rPr>
        <w:t>Report of the Conference of the Parties serving as the meeting of the Parties to the Paris Agreement on the third part of its first session, held in Katowice from 2</w:t>
      </w:r>
      <w:r>
        <w:rPr>
          <w:i/>
          <w:iCs/>
        </w:rPr>
        <w:t> </w:t>
      </w:r>
      <w:r w:rsidRPr="00FD12D3">
        <w:rPr>
          <w:i/>
          <w:iCs/>
        </w:rPr>
        <w:t>to 15 December 2018. Addendum 2. Part two: Action taken by the Conference of the Parties serving as the meeting of the Parties to the Paris Agreement.</w:t>
      </w:r>
    </w:p>
    <w:p w14:paraId="42B94936" w14:textId="77777777" w:rsidR="00502238" w:rsidRPr="00FD12D3" w:rsidRDefault="00502238" w:rsidP="00502238">
      <w:pPr>
        <w:pStyle w:val="References"/>
      </w:pPr>
      <w:r w:rsidRPr="00FD12D3">
        <w:t xml:space="preserve">UNFCCC. 2021. CCC/PA/CMA/2021/10/Add.2. </w:t>
      </w:r>
      <w:r w:rsidRPr="00FD12D3">
        <w:rPr>
          <w:i/>
          <w:iCs/>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r w:rsidRPr="00FD12D3">
        <w:t>.</w:t>
      </w:r>
    </w:p>
    <w:p w14:paraId="593A642C" w14:textId="77777777" w:rsidR="00502238" w:rsidRPr="00FD12D3" w:rsidRDefault="00502238" w:rsidP="00502238">
      <w:pPr>
        <w:pStyle w:val="References"/>
      </w:pPr>
      <w:r w:rsidRPr="00FD12D3">
        <w:t xml:space="preserve">United Nations. 1945. </w:t>
      </w:r>
      <w:hyperlink r:id="rId33" w:history="1">
        <w:r w:rsidRPr="00FD12D3">
          <w:rPr>
            <w:rStyle w:val="Hyperlink"/>
            <w:i/>
            <w:iCs/>
          </w:rPr>
          <w:t>Charter of the United Nations, 1945</w:t>
        </w:r>
      </w:hyperlink>
      <w:r w:rsidRPr="00FD12D3">
        <w:rPr>
          <w:i/>
          <w:iCs/>
        </w:rPr>
        <w:t>.</w:t>
      </w:r>
      <w:r w:rsidRPr="00FD12D3">
        <w:t xml:space="preserve"> Retrieved 12 March 2025.</w:t>
      </w:r>
    </w:p>
    <w:p w14:paraId="3021D7BC" w14:textId="77777777" w:rsidR="00502238" w:rsidRPr="00FD12D3" w:rsidRDefault="00502238" w:rsidP="00502238">
      <w:pPr>
        <w:pStyle w:val="References"/>
      </w:pPr>
      <w:r w:rsidRPr="00FD12D3">
        <w:t>Verum Group Ltd. Unpublished. Hennessy W. Inventory of HFC, SF</w:t>
      </w:r>
      <w:r w:rsidRPr="00FD12D3">
        <w:rPr>
          <w:vertAlign w:val="subscript"/>
        </w:rPr>
        <w:t>6</w:t>
      </w:r>
      <w:r w:rsidRPr="00FD12D3">
        <w:t xml:space="preserve"> and Other Industrial Process Emissions for New Zealand 2024. Report prepared by Verum Group Ltd for the Ministry for the Environment in 2025.</w:t>
      </w:r>
      <w:bookmarkEnd w:id="40"/>
      <w:bookmarkEnd w:id="103"/>
    </w:p>
    <w:p w14:paraId="4991668B" w14:textId="77777777" w:rsidR="00CE253B" w:rsidRDefault="00CE253B" w:rsidP="004B4FD2">
      <w:pPr>
        <w:pStyle w:val="BodyText"/>
      </w:pPr>
    </w:p>
    <w:p w14:paraId="2E39030B" w14:textId="77777777" w:rsidR="00CE253B" w:rsidRDefault="00CE253B" w:rsidP="004B4FD2">
      <w:pPr>
        <w:pStyle w:val="BodyText"/>
      </w:pPr>
    </w:p>
    <w:p w14:paraId="3E58C1B4" w14:textId="77777777" w:rsidR="00157EF6" w:rsidRDefault="00157EF6" w:rsidP="004B4FD2">
      <w:pPr>
        <w:pStyle w:val="BodyText"/>
      </w:pPr>
    </w:p>
    <w:p w14:paraId="5CF44019" w14:textId="77777777" w:rsidR="00157EF6" w:rsidRDefault="00157EF6" w:rsidP="004B4FD2">
      <w:pPr>
        <w:pStyle w:val="BodyText"/>
        <w:sectPr w:rsidR="00157EF6" w:rsidSect="001C0914">
          <w:footerReference w:type="even" r:id="rId34"/>
          <w:footerReference w:type="default" r:id="rId35"/>
          <w:pgSz w:w="11907" w:h="16840" w:code="9"/>
          <w:pgMar w:top="1418" w:right="1701" w:bottom="1418" w:left="1701" w:header="567" w:footer="567" w:gutter="0"/>
          <w:pgNumType w:start="1"/>
          <w:cols w:space="720"/>
        </w:sectPr>
      </w:pPr>
    </w:p>
    <w:p w14:paraId="549046B2" w14:textId="77777777" w:rsidR="00F271C1" w:rsidRPr="00E01C9E" w:rsidRDefault="00F271C1" w:rsidP="00F271C1">
      <w:pPr>
        <w:pStyle w:val="Heading1"/>
      </w:pPr>
      <w:bookmarkStart w:id="105" w:name="_Toc226460747"/>
      <w:bookmarkStart w:id="106" w:name="Xec3344db9503a366b168ee3282f9167df82bc3a"/>
      <w:r w:rsidRPr="00E01C9E">
        <w:t>Chapter 2: Trends in greenhouse gas emissions and removals</w:t>
      </w:r>
      <w:bookmarkEnd w:id="105"/>
    </w:p>
    <w:p w14:paraId="3DF50A62" w14:textId="77777777" w:rsidR="00F271C1" w:rsidRPr="00E01C9E" w:rsidRDefault="00F271C1" w:rsidP="00640572">
      <w:pPr>
        <w:pStyle w:val="Heading2"/>
        <w:spacing w:before="200" w:line="400" w:lineRule="atLeast"/>
      </w:pPr>
      <w:bookmarkStart w:id="107" w:name="_Toc226460748"/>
      <w:bookmarkStart w:id="108" w:name="X153256eac8e62f40526904cb0efe877f09101eb"/>
      <w:r w:rsidRPr="00E01C9E">
        <w:t>2.1</w:t>
      </w:r>
      <w:r w:rsidRPr="00E01C9E">
        <w:tab/>
        <w:t>Description of emission and removal trends for aggregated GHG emissions and removals</w:t>
      </w:r>
      <w:bookmarkEnd w:id="107"/>
    </w:p>
    <w:p w14:paraId="7C9C24C5" w14:textId="77777777" w:rsidR="00F271C1" w:rsidRPr="00E01C9E" w:rsidRDefault="00F271C1" w:rsidP="00F271C1">
      <w:pPr>
        <w:pStyle w:val="Heading4"/>
      </w:pPr>
      <w:r w:rsidRPr="00E01C9E">
        <w:t>Gross emissions</w:t>
      </w:r>
    </w:p>
    <w:p w14:paraId="0D3B8B3C" w14:textId="77777777" w:rsidR="00F271C1" w:rsidRPr="00E01C9E" w:rsidRDefault="00F271C1" w:rsidP="00F271C1">
      <w:pPr>
        <w:pStyle w:val="BodyText"/>
      </w:pPr>
      <w:r w:rsidRPr="00E01C9E">
        <w:t>Gross emissions include those from the Energy, Industrial Processes and Product Use (IPPU), Agriculture and Waste sectors, and from Tokelau, but do not include emissions and removals from the Land Use, Land-Use Change and Forestry (LULUCF) sector.</w:t>
      </w:r>
    </w:p>
    <w:p w14:paraId="40594567" w14:textId="77777777" w:rsidR="00F271C1" w:rsidRPr="00E01C9E" w:rsidRDefault="00F271C1" w:rsidP="00F271C1">
      <w:pPr>
        <w:pStyle w:val="Heading5"/>
      </w:pPr>
      <w:r w:rsidRPr="00E01C9E">
        <w:t>2023–2024</w:t>
      </w:r>
    </w:p>
    <w:p w14:paraId="3BC85AA2" w14:textId="77777777" w:rsidR="00F271C1" w:rsidRPr="00E01C9E" w:rsidRDefault="00F271C1" w:rsidP="00F271C1">
      <w:pPr>
        <w:pStyle w:val="BodyText"/>
      </w:pPr>
      <w:r w:rsidRPr="00E01C9E">
        <w:t>In 2024, gross emissions were 75,811.6 kilotonnes carbon dioxide equivalent (kt CO</w:t>
      </w:r>
      <w:r w:rsidRPr="00E01C9E">
        <w:rPr>
          <w:vertAlign w:val="subscript"/>
        </w:rPr>
        <w:t>2</w:t>
      </w:r>
      <w:r w:rsidRPr="00E01C9E">
        <w:t>e). Between 2023 and 2024, New Zealand’s gross emissions decreased by 0.12 percent (87.3 ktCO</w:t>
      </w:r>
      <w:r w:rsidRPr="00E01C9E">
        <w:rPr>
          <w:vertAlign w:val="subscript"/>
        </w:rPr>
        <w:t>2</w:t>
      </w:r>
      <w:r w:rsidRPr="00E01C9E">
        <w:t>e). Emissions from the IPPU, Agriculture and Waste sectors decreased between years, however, these decreases were mostly offset by an increase in emissions from the Energy sector. The largest decreases occurred in the IPPU sector, taking all categories into consideration, with a 4.1 percent (166.6 kt CO</w:t>
      </w:r>
      <w:r w:rsidRPr="00E01C9E">
        <w:rPr>
          <w:vertAlign w:val="subscript"/>
        </w:rPr>
        <w:t>2</w:t>
      </w:r>
      <w:r w:rsidRPr="00E01C9E">
        <w:t>e) reduction between years. The largest contributors by category to the overall decrease in emissions were from:</w:t>
      </w:r>
    </w:p>
    <w:p w14:paraId="1049C701" w14:textId="77777777" w:rsidR="00F271C1" w:rsidRPr="00E01C9E" w:rsidRDefault="00F271C1" w:rsidP="00F271C1">
      <w:pPr>
        <w:pStyle w:val="Bullet"/>
      </w:pPr>
      <w:r w:rsidRPr="00E01C9E">
        <w:t xml:space="preserve">fuel use in </w:t>
      </w:r>
      <w:r w:rsidRPr="00E01C9E">
        <w:rPr>
          <w:i/>
        </w:rPr>
        <w:t>Manufacturing industries and construction</w:t>
      </w:r>
      <w:r w:rsidRPr="00E01C9E">
        <w:t xml:space="preserve"> (carbon dioxide (CO</w:t>
      </w:r>
      <w:r w:rsidRPr="00E01C9E">
        <w:rPr>
          <w:vertAlign w:val="subscript"/>
        </w:rPr>
        <w:t>2</w:t>
      </w:r>
      <w:r w:rsidRPr="00E01C9E">
        <w:t>))</w:t>
      </w:r>
    </w:p>
    <w:p w14:paraId="79643625" w14:textId="77777777" w:rsidR="00F271C1" w:rsidRPr="00E01C9E" w:rsidRDefault="00F271C1" w:rsidP="00F271C1">
      <w:pPr>
        <w:pStyle w:val="Bullet"/>
      </w:pPr>
      <w:r w:rsidRPr="00E01C9E">
        <w:rPr>
          <w:i/>
        </w:rPr>
        <w:t>Enteric fermentation –</w:t>
      </w:r>
      <w:r w:rsidRPr="00E01C9E">
        <w:t xml:space="preserve"> </w:t>
      </w:r>
      <w:r w:rsidRPr="00E01C9E">
        <w:rPr>
          <w:i/>
        </w:rPr>
        <w:t>Sheep</w:t>
      </w:r>
      <w:r w:rsidRPr="00E01C9E">
        <w:t xml:space="preserve"> (methane (CH</w:t>
      </w:r>
      <w:r w:rsidRPr="00E01C9E">
        <w:rPr>
          <w:vertAlign w:val="subscript"/>
        </w:rPr>
        <w:t>4</w:t>
      </w:r>
      <w:r w:rsidRPr="00E01C9E">
        <w:t>))</w:t>
      </w:r>
    </w:p>
    <w:p w14:paraId="147E1FE8" w14:textId="77777777" w:rsidR="00F271C1" w:rsidRPr="00E01C9E" w:rsidRDefault="00F271C1" w:rsidP="00F271C1">
      <w:pPr>
        <w:pStyle w:val="Bullet"/>
      </w:pPr>
      <w:r w:rsidRPr="00E01C9E">
        <w:rPr>
          <w:i/>
        </w:rPr>
        <w:t>Commercial/institutional</w:t>
      </w:r>
      <w:r w:rsidRPr="00E01C9E">
        <w:t xml:space="preserve"> energy use (CO</w:t>
      </w:r>
      <w:r w:rsidRPr="00E01C9E">
        <w:rPr>
          <w:vertAlign w:val="subscript"/>
        </w:rPr>
        <w:t>2</w:t>
      </w:r>
      <w:r w:rsidRPr="00E01C9E">
        <w:t>)</w:t>
      </w:r>
    </w:p>
    <w:p w14:paraId="459AC180" w14:textId="77777777" w:rsidR="00F271C1" w:rsidRPr="00E01C9E" w:rsidRDefault="00F271C1" w:rsidP="00F271C1">
      <w:pPr>
        <w:pStyle w:val="Bullet"/>
      </w:pPr>
      <w:r w:rsidRPr="00E01C9E">
        <w:rPr>
          <w:i/>
        </w:rPr>
        <w:t>Product uses as substitutes for ozone depleting substances</w:t>
      </w:r>
      <w:r w:rsidRPr="00E01C9E">
        <w:t xml:space="preserve"> (ODS) (hydrofluorocarbons (HFCs)).</w:t>
      </w:r>
    </w:p>
    <w:p w14:paraId="5CFE2A82" w14:textId="77777777" w:rsidR="00F271C1" w:rsidRPr="00E01C9E" w:rsidRDefault="00F271C1" w:rsidP="00F271C1">
      <w:pPr>
        <w:pStyle w:val="BodyText"/>
      </w:pPr>
      <w:r w:rsidRPr="00E01C9E">
        <w:rPr>
          <w:spacing w:val="2"/>
        </w:rPr>
        <w:t>Emissions from the Energy sector increased by 0.8 percent (231.4 kt CO</w:t>
      </w:r>
      <w:r w:rsidRPr="00E01C9E">
        <w:rPr>
          <w:spacing w:val="2"/>
          <w:vertAlign w:val="subscript"/>
        </w:rPr>
        <w:t>2</w:t>
      </w:r>
      <w:r w:rsidRPr="00E01C9E">
        <w:rPr>
          <w:spacing w:val="2"/>
        </w:rPr>
        <w:t xml:space="preserve">e). Emissions from </w:t>
      </w:r>
      <w:r w:rsidRPr="00E01C9E">
        <w:rPr>
          <w:i/>
          <w:iCs/>
          <w:spacing w:val="2"/>
        </w:rPr>
        <w:t>Public electricity and heat production</w:t>
      </w:r>
      <w:r w:rsidRPr="00E01C9E">
        <w:rPr>
          <w:spacing w:val="2"/>
        </w:rPr>
        <w:t xml:space="preserve"> increased (by 970.6 kt CO</w:t>
      </w:r>
      <w:r w:rsidRPr="00E01C9E">
        <w:rPr>
          <w:spacing w:val="2"/>
          <w:vertAlign w:val="subscript"/>
        </w:rPr>
        <w:t>2</w:t>
      </w:r>
      <w:r w:rsidRPr="00E01C9E">
        <w:rPr>
          <w:spacing w:val="2"/>
        </w:rPr>
        <w:t xml:space="preserve">e or 35.5 percent) due to low rainfall resulting in decreased hydroelectricity generation. This increase was partially offset by reductions in emissions from </w:t>
      </w:r>
      <w:r w:rsidRPr="00E01C9E">
        <w:rPr>
          <w:i/>
          <w:iCs/>
          <w:spacing w:val="2"/>
        </w:rPr>
        <w:t>Manufacturing industries and construction</w:t>
      </w:r>
      <w:r w:rsidRPr="00E01C9E">
        <w:rPr>
          <w:spacing w:val="2"/>
        </w:rPr>
        <w:t xml:space="preserve">, in the </w:t>
      </w:r>
      <w:r w:rsidRPr="00E01C9E">
        <w:rPr>
          <w:i/>
          <w:iCs/>
          <w:spacing w:val="2"/>
        </w:rPr>
        <w:t>Chemicals</w:t>
      </w:r>
      <w:r w:rsidRPr="00E01C9E">
        <w:rPr>
          <w:spacing w:val="2"/>
        </w:rPr>
        <w:t xml:space="preserve"> category, which decreased by 590.4 kt CO</w:t>
      </w:r>
      <w:r w:rsidRPr="00E01C9E">
        <w:rPr>
          <w:spacing w:val="2"/>
          <w:vertAlign w:val="subscript"/>
        </w:rPr>
        <w:t>2</w:t>
      </w:r>
      <w:r w:rsidRPr="00E01C9E">
        <w:rPr>
          <w:spacing w:val="2"/>
        </w:rPr>
        <w:t xml:space="preserve">e (45.0 percent), largely due to decreased methanol production, and the </w:t>
      </w:r>
      <w:r w:rsidRPr="00E01C9E">
        <w:rPr>
          <w:i/>
          <w:iCs/>
          <w:spacing w:val="2"/>
        </w:rPr>
        <w:t>Food processing, beverages and tobacco</w:t>
      </w:r>
      <w:r w:rsidRPr="00E01C9E">
        <w:rPr>
          <w:spacing w:val="2"/>
        </w:rPr>
        <w:t xml:space="preserve"> category</w:t>
      </w:r>
      <w:r w:rsidRPr="00E01C9E">
        <w:rPr>
          <w:i/>
          <w:iCs/>
          <w:spacing w:val="2"/>
        </w:rPr>
        <w:t>,</w:t>
      </w:r>
      <w:r w:rsidRPr="00E01C9E">
        <w:rPr>
          <w:spacing w:val="2"/>
        </w:rPr>
        <w:t xml:space="preserve"> which decreased by 205.8 kt CO</w:t>
      </w:r>
      <w:r w:rsidRPr="00E01C9E">
        <w:rPr>
          <w:spacing w:val="2"/>
          <w:vertAlign w:val="subscript"/>
        </w:rPr>
        <w:t>2</w:t>
      </w:r>
      <w:r w:rsidRPr="00E01C9E">
        <w:rPr>
          <w:spacing w:val="2"/>
        </w:rPr>
        <w:t xml:space="preserve">e (7.6 percent) mostly due to reduced coal use. Reductions in </w:t>
      </w:r>
      <w:r w:rsidRPr="00E01C9E">
        <w:rPr>
          <w:i/>
          <w:iCs/>
          <w:spacing w:val="2"/>
        </w:rPr>
        <w:t xml:space="preserve">Commercial/institutional </w:t>
      </w:r>
      <w:r w:rsidRPr="00E01C9E">
        <w:rPr>
          <w:spacing w:val="2"/>
        </w:rPr>
        <w:t>ener</w:t>
      </w:r>
      <w:r w:rsidRPr="00E01C9E">
        <w:t>gy use, which decreased by 89.2 kt CO</w:t>
      </w:r>
      <w:r w:rsidRPr="00E01C9E">
        <w:rPr>
          <w:vertAlign w:val="subscript"/>
        </w:rPr>
        <w:t>2</w:t>
      </w:r>
      <w:r w:rsidRPr="00E01C9E">
        <w:t>e (7.5 percent), were mostly due to reduced use of liquid fuels.</w:t>
      </w:r>
    </w:p>
    <w:p w14:paraId="1DB1A35B" w14:textId="77777777" w:rsidR="00F271C1" w:rsidRPr="00E01C9E" w:rsidRDefault="00F271C1" w:rsidP="00F271C1">
      <w:pPr>
        <w:pStyle w:val="BodyText"/>
        <w:spacing w:before="100" w:after="100"/>
      </w:pPr>
      <w:r w:rsidRPr="00E01C9E">
        <w:t>Emissions from the IPPU sector decreased by 4.1 percent (166.6 kt CO</w:t>
      </w:r>
      <w:r w:rsidRPr="00E01C9E">
        <w:rPr>
          <w:vertAlign w:val="subscript"/>
        </w:rPr>
        <w:t>2</w:t>
      </w:r>
      <w:r w:rsidRPr="00E01C9E">
        <w:t xml:space="preserve">e), mainly due to reductions in emissions in the </w:t>
      </w:r>
      <w:r w:rsidRPr="00E01C9E">
        <w:rPr>
          <w:i/>
          <w:iCs/>
        </w:rPr>
        <w:t>Product uses as substitutes for ODS</w:t>
      </w:r>
      <w:r w:rsidRPr="00E01C9E">
        <w:t xml:space="preserve"> category, along with reductions in </w:t>
      </w:r>
      <w:r w:rsidRPr="00E01C9E">
        <w:rPr>
          <w:i/>
          <w:iCs/>
        </w:rPr>
        <w:t>Chemical industry</w:t>
      </w:r>
      <w:r w:rsidRPr="00E01C9E">
        <w:t xml:space="preserve">, </w:t>
      </w:r>
      <w:r w:rsidRPr="00E01C9E">
        <w:rPr>
          <w:i/>
          <w:iCs/>
        </w:rPr>
        <w:t>Mineral industry</w:t>
      </w:r>
      <w:r w:rsidRPr="00E01C9E">
        <w:t xml:space="preserve"> and </w:t>
      </w:r>
      <w:r w:rsidRPr="00E01C9E">
        <w:rPr>
          <w:i/>
          <w:iCs/>
        </w:rPr>
        <w:t>Metal industry</w:t>
      </w:r>
      <w:r w:rsidRPr="00E01C9E">
        <w:t>.</w:t>
      </w:r>
    </w:p>
    <w:p w14:paraId="42D4A3A3" w14:textId="77777777" w:rsidR="00F271C1" w:rsidRPr="00E01C9E" w:rsidRDefault="00F271C1" w:rsidP="00F271C1">
      <w:pPr>
        <w:pStyle w:val="BodyText"/>
      </w:pPr>
      <w:r w:rsidRPr="00E01C9E">
        <w:t>Emissions from the Agriculture sector decreased by 0.3 percent (138.1 kt CO</w:t>
      </w:r>
      <w:r w:rsidRPr="00E01C9E">
        <w:rPr>
          <w:vertAlign w:val="subscript"/>
        </w:rPr>
        <w:t>2</w:t>
      </w:r>
      <w:r w:rsidRPr="00E01C9E">
        <w:t xml:space="preserve">e), driven by the reduction in emissions from </w:t>
      </w:r>
      <w:r w:rsidRPr="00E01C9E">
        <w:rPr>
          <w:i/>
          <w:iCs/>
        </w:rPr>
        <w:t>Enteric fermentation</w:t>
      </w:r>
      <w:r w:rsidRPr="00E01C9E">
        <w:t xml:space="preserve"> – </w:t>
      </w:r>
      <w:r w:rsidRPr="00E01C9E">
        <w:rPr>
          <w:i/>
          <w:iCs/>
        </w:rPr>
        <w:t>Sheep</w:t>
      </w:r>
      <w:r w:rsidRPr="00E01C9E">
        <w:t xml:space="preserve"> as the sheep population continued to decline. This is a continuation of the long-term trend, which reflects the declining profitability of sheep farming relative to other land uses.</w:t>
      </w:r>
    </w:p>
    <w:p w14:paraId="72968C4A" w14:textId="77777777" w:rsidR="00F271C1" w:rsidRPr="00E01C9E" w:rsidRDefault="00F271C1" w:rsidP="00F271C1">
      <w:pPr>
        <w:pStyle w:val="BodyText"/>
      </w:pPr>
      <w:r w:rsidRPr="00E01C9E">
        <w:t>Emissions from the Waste sector decreased by 0.5 percent (14.1 kt CO</w:t>
      </w:r>
      <w:r w:rsidRPr="00E01C9E">
        <w:rPr>
          <w:vertAlign w:val="subscript"/>
        </w:rPr>
        <w:t>2</w:t>
      </w:r>
      <w:r w:rsidRPr="00E01C9E">
        <w:t>e), mainly due to lower CH</w:t>
      </w:r>
      <w:r w:rsidRPr="00E01C9E">
        <w:rPr>
          <w:vertAlign w:val="subscript"/>
        </w:rPr>
        <w:t>4</w:t>
      </w:r>
      <w:r w:rsidRPr="00E01C9E">
        <w:t xml:space="preserve"> emissions from the </w:t>
      </w:r>
      <w:r w:rsidRPr="00E01C9E">
        <w:rPr>
          <w:i/>
          <w:iCs/>
        </w:rPr>
        <w:t>Managed waste disposal sites</w:t>
      </w:r>
      <w:r w:rsidRPr="00E01C9E">
        <w:t xml:space="preserve"> category. This was driven by improved landfill gas (LFG) capture and changes in waste composition, including reduced garden, food and paper waste. </w:t>
      </w:r>
    </w:p>
    <w:p w14:paraId="1490D830" w14:textId="77777777" w:rsidR="00F271C1" w:rsidRPr="00E01C9E" w:rsidRDefault="00F271C1" w:rsidP="00F271C1">
      <w:pPr>
        <w:pStyle w:val="BodyText"/>
      </w:pPr>
      <w:r w:rsidRPr="00E01C9E">
        <w:t>Emissions from Tokelau increased by 0.01 percent, due to the increase in CH</w:t>
      </w:r>
      <w:r w:rsidRPr="00E01C9E">
        <w:rPr>
          <w:vertAlign w:val="subscript"/>
        </w:rPr>
        <w:t>4</w:t>
      </w:r>
      <w:r w:rsidRPr="00E01C9E">
        <w:t xml:space="preserve"> emissions from </w:t>
      </w:r>
      <w:r w:rsidRPr="00E01C9E">
        <w:rPr>
          <w:i/>
          <w:iCs/>
        </w:rPr>
        <w:t>Solid waste disposal</w:t>
      </w:r>
      <w:r w:rsidRPr="00E01C9E">
        <w:t>.</w:t>
      </w:r>
    </w:p>
    <w:p w14:paraId="13C27318" w14:textId="77777777" w:rsidR="00F271C1" w:rsidRPr="00E01C9E" w:rsidRDefault="00F271C1" w:rsidP="00F271C1">
      <w:pPr>
        <w:pStyle w:val="Heading5"/>
      </w:pPr>
      <w:r w:rsidRPr="00E01C9E">
        <w:t>2005–2024</w:t>
      </w:r>
    </w:p>
    <w:p w14:paraId="25C62867" w14:textId="77777777" w:rsidR="00F271C1" w:rsidRPr="00E01C9E" w:rsidRDefault="00F271C1" w:rsidP="00F271C1">
      <w:pPr>
        <w:pStyle w:val="BodyText"/>
      </w:pPr>
      <w:r w:rsidRPr="00E01C9E">
        <w:t>In 2005, gross emissions were 85,364.3 kt CO</w:t>
      </w:r>
      <w:r w:rsidRPr="00E01C9E">
        <w:rPr>
          <w:vertAlign w:val="subscript"/>
        </w:rPr>
        <w:t>2</w:t>
      </w:r>
      <w:r w:rsidRPr="00E01C9E">
        <w:t>e. Between 2005 and 2024, New Zealand’s gross emissions decreased by 11.2 percent (9,552.7 kt CO</w:t>
      </w:r>
      <w:r w:rsidRPr="00E01C9E">
        <w:rPr>
          <w:vertAlign w:val="subscript"/>
        </w:rPr>
        <w:t>2</w:t>
      </w:r>
      <w:r w:rsidRPr="00E01C9E">
        <w:t>e).</w:t>
      </w:r>
    </w:p>
    <w:p w14:paraId="3E08B23D" w14:textId="77777777" w:rsidR="00F271C1" w:rsidRPr="00E01C9E" w:rsidRDefault="00F271C1" w:rsidP="00F271C1">
      <w:pPr>
        <w:pStyle w:val="BodyText"/>
      </w:pPr>
      <w:r w:rsidRPr="00E01C9E">
        <w:t xml:space="preserve">From 2005 to 2024, the average annual change in gross emissions was -0.6 percent. The emissions categories that contributed the most to this decrease in gross emissions were: </w:t>
      </w:r>
    </w:p>
    <w:p w14:paraId="6EAA9830" w14:textId="77777777" w:rsidR="00F271C1" w:rsidRPr="00E01C9E" w:rsidRDefault="00F271C1" w:rsidP="00F271C1">
      <w:pPr>
        <w:pStyle w:val="Bullet"/>
        <w:rPr>
          <w:rFonts w:eastAsiaTheme="minorEastAsia"/>
        </w:rPr>
      </w:pPr>
      <w:r w:rsidRPr="00E01C9E">
        <w:rPr>
          <w:rFonts w:eastAsiaTheme="minorEastAsia"/>
          <w:i/>
          <w:iCs/>
        </w:rPr>
        <w:t>Public electricity and heat production</w:t>
      </w:r>
      <w:r w:rsidRPr="00E01C9E">
        <w:rPr>
          <w:rFonts w:eastAsiaTheme="minorEastAsia"/>
        </w:rPr>
        <w:t xml:space="preserve"> (CO</w:t>
      </w:r>
      <w:r w:rsidRPr="00E01C9E">
        <w:rPr>
          <w:rFonts w:eastAsiaTheme="minorEastAsia"/>
          <w:vertAlign w:val="subscript"/>
        </w:rPr>
        <w:t>2</w:t>
      </w:r>
      <w:r w:rsidRPr="00E01C9E">
        <w:rPr>
          <w:rFonts w:eastAsiaTheme="minorEastAsia"/>
        </w:rPr>
        <w:t xml:space="preserve">) </w:t>
      </w:r>
    </w:p>
    <w:p w14:paraId="219D54F6" w14:textId="77777777" w:rsidR="00F271C1" w:rsidRPr="00E01C9E" w:rsidRDefault="00F271C1" w:rsidP="00F271C1">
      <w:pPr>
        <w:pStyle w:val="Bullet"/>
        <w:rPr>
          <w:rFonts w:eastAsiaTheme="minorEastAsia"/>
        </w:rPr>
      </w:pPr>
      <w:r w:rsidRPr="00E01C9E">
        <w:rPr>
          <w:rFonts w:eastAsiaTheme="minorEastAsia"/>
          <w:i/>
          <w:iCs/>
        </w:rPr>
        <w:t>Enteric fermentation</w:t>
      </w:r>
      <w:r w:rsidRPr="00E01C9E">
        <w:rPr>
          <w:rFonts w:eastAsiaTheme="minorEastAsia"/>
          <w:vertAlign w:val="superscript"/>
        </w:rPr>
        <w:footnoteReference w:id="16"/>
      </w:r>
      <w:r w:rsidRPr="00E01C9E">
        <w:rPr>
          <w:rFonts w:eastAsiaTheme="minorEastAsia"/>
        </w:rPr>
        <w:t xml:space="preserve"> from </w:t>
      </w:r>
      <w:r w:rsidRPr="00E01C9E">
        <w:rPr>
          <w:rFonts w:eastAsiaTheme="minorEastAsia"/>
          <w:i/>
          <w:iCs/>
        </w:rPr>
        <w:t>Sheep</w:t>
      </w:r>
      <w:r w:rsidRPr="00E01C9E">
        <w:rPr>
          <w:rFonts w:eastAsiaTheme="minorEastAsia"/>
        </w:rPr>
        <w:t xml:space="preserve"> and </w:t>
      </w:r>
      <w:r w:rsidRPr="00E01C9E">
        <w:rPr>
          <w:rFonts w:eastAsiaTheme="minorEastAsia"/>
          <w:i/>
          <w:iCs/>
        </w:rPr>
        <w:t>Non-dairy cattle</w:t>
      </w:r>
      <w:r w:rsidRPr="00E01C9E">
        <w:rPr>
          <w:rFonts w:eastAsiaTheme="minorEastAsia"/>
        </w:rPr>
        <w:t xml:space="preserve"> (CH</w:t>
      </w:r>
      <w:r w:rsidRPr="00E01C9E">
        <w:rPr>
          <w:rFonts w:eastAsiaTheme="minorEastAsia"/>
          <w:vertAlign w:val="subscript"/>
        </w:rPr>
        <w:t>4</w:t>
      </w:r>
      <w:r w:rsidRPr="00E01C9E">
        <w:rPr>
          <w:rFonts w:eastAsiaTheme="minorEastAsia"/>
        </w:rPr>
        <w:t>)</w:t>
      </w:r>
    </w:p>
    <w:p w14:paraId="2BD12E05" w14:textId="77777777" w:rsidR="00F271C1" w:rsidRPr="00E01C9E" w:rsidRDefault="00F271C1" w:rsidP="00F271C1">
      <w:pPr>
        <w:pStyle w:val="Bullet"/>
        <w:rPr>
          <w:rFonts w:eastAsiaTheme="minorEastAsia"/>
        </w:rPr>
      </w:pPr>
      <w:r w:rsidRPr="00E01C9E">
        <w:rPr>
          <w:rFonts w:eastAsiaTheme="minorEastAsia"/>
          <w:i/>
          <w:iCs/>
        </w:rPr>
        <w:t>Solid waste disposal</w:t>
      </w:r>
      <w:r w:rsidRPr="00E01C9E">
        <w:rPr>
          <w:rFonts w:eastAsiaTheme="minorEastAsia"/>
        </w:rPr>
        <w:t xml:space="preserve"> (CH</w:t>
      </w:r>
      <w:r w:rsidRPr="00E01C9E">
        <w:rPr>
          <w:rFonts w:eastAsiaTheme="minorEastAsia"/>
          <w:vertAlign w:val="subscript"/>
        </w:rPr>
        <w:t>4</w:t>
      </w:r>
      <w:r w:rsidRPr="00E01C9E">
        <w:rPr>
          <w:rFonts w:eastAsiaTheme="minorEastAsia"/>
        </w:rPr>
        <w:t>).</w:t>
      </w:r>
    </w:p>
    <w:p w14:paraId="12DF48B1" w14:textId="77777777" w:rsidR="00F271C1" w:rsidRPr="00E01C9E" w:rsidRDefault="00F271C1" w:rsidP="00F271C1">
      <w:pPr>
        <w:pStyle w:val="Heading5"/>
      </w:pPr>
      <w:r w:rsidRPr="00E01C9E">
        <w:t>1990–2024</w:t>
      </w:r>
    </w:p>
    <w:p w14:paraId="1AF45DBC" w14:textId="77777777" w:rsidR="00F271C1" w:rsidRPr="00E01C9E" w:rsidRDefault="00F271C1" w:rsidP="00F271C1">
      <w:pPr>
        <w:pStyle w:val="BodyText"/>
      </w:pPr>
      <w:r w:rsidRPr="00E01C9E">
        <w:t>In 1990, New Zealand’s gross greenhouse gas (GHG) emissions were 67,565.2 kt CO</w:t>
      </w:r>
      <w:r w:rsidRPr="00E01C9E">
        <w:rPr>
          <w:vertAlign w:val="subscript"/>
        </w:rPr>
        <w:t>2</w:t>
      </w:r>
      <w:r w:rsidRPr="00E01C9E">
        <w:t>e. Between 1990 and 2024, GHG emissions increased by 12.2 percent (8,246.4kt CO</w:t>
      </w:r>
      <w:r w:rsidRPr="00E01C9E">
        <w:rPr>
          <w:vertAlign w:val="subscript"/>
        </w:rPr>
        <w:t>2</w:t>
      </w:r>
      <w:r w:rsidRPr="00E01C9E">
        <w:t>e) to 75,811.6 kt CO</w:t>
      </w:r>
      <w:r w:rsidRPr="00E01C9E">
        <w:rPr>
          <w:vertAlign w:val="subscript"/>
        </w:rPr>
        <w:t>2</w:t>
      </w:r>
      <w:r w:rsidRPr="00E01C9E">
        <w:t>e (see figure 2.1.1).</w:t>
      </w:r>
    </w:p>
    <w:p w14:paraId="2BBCA7F3" w14:textId="77777777" w:rsidR="00F271C1" w:rsidRPr="00E01C9E" w:rsidRDefault="00F271C1" w:rsidP="00F271C1">
      <w:pPr>
        <w:pStyle w:val="BodyText"/>
      </w:pPr>
      <w:r w:rsidRPr="00E01C9E">
        <w:t>From 1990 to 2024, the average annual growth in gross emissions was 0.3 percent.</w:t>
      </w:r>
    </w:p>
    <w:p w14:paraId="7F83E705" w14:textId="77777777" w:rsidR="00F271C1" w:rsidRPr="00640572" w:rsidRDefault="00F271C1" w:rsidP="00F271C1">
      <w:pPr>
        <w:pStyle w:val="BodyText"/>
        <w:rPr>
          <w:rFonts w:asciiTheme="minorHAnsi" w:eastAsiaTheme="minorEastAsia" w:hAnsiTheme="minorHAnsi" w:cstheme="minorBidi"/>
        </w:rPr>
      </w:pPr>
      <w:r w:rsidRPr="00E01C9E">
        <w:t xml:space="preserve">The emissions categories that contributed the most to the increase in gross emissions were: </w:t>
      </w:r>
    </w:p>
    <w:p w14:paraId="0242B18B" w14:textId="77777777" w:rsidR="00F271C1" w:rsidRPr="00E01C9E" w:rsidRDefault="00F271C1" w:rsidP="00F271C1">
      <w:pPr>
        <w:pStyle w:val="Bullet"/>
        <w:rPr>
          <w:rFonts w:eastAsiaTheme="minorEastAsia"/>
        </w:rPr>
      </w:pPr>
      <w:r w:rsidRPr="00E01C9E">
        <w:rPr>
          <w:rFonts w:eastAsiaTheme="minorEastAsia"/>
          <w:i/>
          <w:iCs/>
        </w:rPr>
        <w:t>Enteric fermentation</w:t>
      </w:r>
      <w:r w:rsidRPr="00E01C9E">
        <w:rPr>
          <w:rFonts w:eastAsiaTheme="minorEastAsia"/>
          <w:vertAlign w:val="superscript"/>
        </w:rPr>
        <w:t xml:space="preserve"> </w:t>
      </w:r>
      <w:r w:rsidRPr="00E01C9E">
        <w:rPr>
          <w:rFonts w:eastAsiaTheme="minorEastAsia"/>
        </w:rPr>
        <w:t xml:space="preserve">from </w:t>
      </w:r>
      <w:r w:rsidRPr="00E01C9E">
        <w:rPr>
          <w:rFonts w:eastAsiaTheme="minorEastAsia"/>
          <w:i/>
          <w:iCs/>
        </w:rPr>
        <w:t>Dairy cattle</w:t>
      </w:r>
      <w:r w:rsidRPr="00E01C9E">
        <w:rPr>
          <w:rFonts w:eastAsiaTheme="minorEastAsia"/>
        </w:rPr>
        <w:t xml:space="preserve"> (CH</w:t>
      </w:r>
      <w:r w:rsidRPr="00E01C9E">
        <w:rPr>
          <w:rFonts w:eastAsiaTheme="minorEastAsia"/>
          <w:vertAlign w:val="subscript"/>
        </w:rPr>
        <w:t>4</w:t>
      </w:r>
      <w:r w:rsidRPr="00E01C9E">
        <w:rPr>
          <w:rFonts w:eastAsiaTheme="minorEastAsia"/>
        </w:rPr>
        <w:t xml:space="preserve">) </w:t>
      </w:r>
    </w:p>
    <w:p w14:paraId="53A1C563" w14:textId="77777777" w:rsidR="00F271C1" w:rsidRPr="00E01C9E" w:rsidRDefault="00F271C1" w:rsidP="00F271C1">
      <w:pPr>
        <w:pStyle w:val="Bullet"/>
        <w:rPr>
          <w:rFonts w:eastAsiaTheme="minorEastAsia"/>
        </w:rPr>
      </w:pPr>
      <w:r w:rsidRPr="00E01C9E">
        <w:rPr>
          <w:rFonts w:eastAsiaTheme="minorEastAsia"/>
          <w:i/>
          <w:iCs/>
        </w:rPr>
        <w:t>Road transportation</w:t>
      </w:r>
      <w:r w:rsidRPr="00E01C9E">
        <w:rPr>
          <w:rFonts w:eastAsiaTheme="minorEastAsia"/>
        </w:rPr>
        <w:t xml:space="preserve"> (CO</w:t>
      </w:r>
      <w:r w:rsidRPr="00E01C9E">
        <w:rPr>
          <w:rFonts w:eastAsiaTheme="minorEastAsia"/>
          <w:vertAlign w:val="subscript"/>
        </w:rPr>
        <w:t>2</w:t>
      </w:r>
      <w:r w:rsidRPr="00E01C9E">
        <w:rPr>
          <w:rFonts w:eastAsiaTheme="minorEastAsia"/>
        </w:rPr>
        <w:t xml:space="preserve">) </w:t>
      </w:r>
    </w:p>
    <w:p w14:paraId="001E4109" w14:textId="77777777" w:rsidR="00F271C1" w:rsidRPr="00E01C9E" w:rsidRDefault="00F271C1" w:rsidP="00F271C1">
      <w:pPr>
        <w:pStyle w:val="Bullet"/>
        <w:rPr>
          <w:rFonts w:eastAsiaTheme="minorEastAsia"/>
        </w:rPr>
      </w:pPr>
      <w:r w:rsidRPr="00E01C9E">
        <w:rPr>
          <w:rFonts w:eastAsiaTheme="minorEastAsia"/>
          <w:i/>
          <w:iCs/>
        </w:rPr>
        <w:t>Agricultural</w:t>
      </w:r>
      <w:r w:rsidRPr="00E01C9E">
        <w:rPr>
          <w:rFonts w:eastAsiaTheme="minorEastAsia"/>
        </w:rPr>
        <w:t xml:space="preserve"> soils (nitrous oxide (N</w:t>
      </w:r>
      <w:r w:rsidRPr="00E01C9E">
        <w:rPr>
          <w:rFonts w:eastAsiaTheme="minorEastAsia"/>
          <w:vertAlign w:val="subscript"/>
        </w:rPr>
        <w:t>2</w:t>
      </w:r>
      <w:r w:rsidRPr="00E01C9E">
        <w:rPr>
          <w:rFonts w:eastAsiaTheme="minorEastAsia"/>
        </w:rPr>
        <w:t xml:space="preserve">O)) </w:t>
      </w:r>
    </w:p>
    <w:p w14:paraId="23B1A720" w14:textId="77777777" w:rsidR="00F271C1" w:rsidRPr="00E01C9E" w:rsidRDefault="00F271C1" w:rsidP="00F271C1">
      <w:pPr>
        <w:pStyle w:val="Bullet"/>
        <w:rPr>
          <w:rFonts w:eastAsiaTheme="minorEastAsia"/>
        </w:rPr>
      </w:pPr>
      <w:r w:rsidRPr="00E01C9E">
        <w:rPr>
          <w:rFonts w:eastAsiaTheme="minorEastAsia"/>
          <w:i/>
          <w:iCs/>
        </w:rPr>
        <w:t>Product uses as substitutes for ODS</w:t>
      </w:r>
      <w:r w:rsidRPr="00E01C9E">
        <w:rPr>
          <w:rFonts w:eastAsiaTheme="minorEastAsia"/>
        </w:rPr>
        <w:t xml:space="preserve"> (HFCs) </w:t>
      </w:r>
    </w:p>
    <w:p w14:paraId="71653A95" w14:textId="77777777" w:rsidR="00F271C1" w:rsidRPr="00E01C9E" w:rsidRDefault="00F271C1" w:rsidP="00F271C1">
      <w:pPr>
        <w:pStyle w:val="Bullet"/>
        <w:rPr>
          <w:rFonts w:eastAsiaTheme="minorEastAsia"/>
        </w:rPr>
      </w:pPr>
      <w:r w:rsidRPr="00E01C9E">
        <w:rPr>
          <w:rFonts w:eastAsiaTheme="minorEastAsia"/>
          <w:i/>
          <w:iCs/>
        </w:rPr>
        <w:t>Manure management</w:t>
      </w:r>
      <w:r w:rsidRPr="00E01C9E">
        <w:rPr>
          <w:rFonts w:eastAsiaTheme="minorEastAsia"/>
        </w:rPr>
        <w:t xml:space="preserve"> from </w:t>
      </w:r>
      <w:r w:rsidRPr="00E01C9E">
        <w:rPr>
          <w:rFonts w:eastAsiaTheme="minorEastAsia"/>
          <w:i/>
          <w:iCs/>
        </w:rPr>
        <w:t>Dairy cattle</w:t>
      </w:r>
      <w:r w:rsidRPr="00E01C9E">
        <w:rPr>
          <w:rFonts w:eastAsiaTheme="minorEastAsia"/>
        </w:rPr>
        <w:t xml:space="preserve"> (CH</w:t>
      </w:r>
      <w:r w:rsidRPr="00E01C9E">
        <w:rPr>
          <w:rFonts w:eastAsiaTheme="minorEastAsia"/>
          <w:vertAlign w:val="subscript"/>
        </w:rPr>
        <w:t>4</w:t>
      </w:r>
      <w:r w:rsidRPr="00E01C9E">
        <w:rPr>
          <w:rFonts w:eastAsiaTheme="minorEastAsia"/>
        </w:rPr>
        <w:t xml:space="preserve">) </w:t>
      </w:r>
    </w:p>
    <w:p w14:paraId="53856B0D" w14:textId="77777777" w:rsidR="00F271C1" w:rsidRPr="00E01C9E" w:rsidRDefault="00F271C1" w:rsidP="00F271C1">
      <w:pPr>
        <w:pStyle w:val="Bullet"/>
        <w:rPr>
          <w:rFonts w:eastAsiaTheme="minorEastAsia"/>
        </w:rPr>
      </w:pPr>
      <w:r w:rsidRPr="00E01C9E">
        <w:rPr>
          <w:rFonts w:eastAsiaTheme="minorEastAsia"/>
          <w:i/>
          <w:iCs/>
        </w:rPr>
        <w:t>Manufacturing industries and construction</w:t>
      </w:r>
      <w:r w:rsidRPr="00E01C9E">
        <w:rPr>
          <w:rFonts w:eastAsiaTheme="minorEastAsia"/>
        </w:rPr>
        <w:t xml:space="preserve"> (CO</w:t>
      </w:r>
      <w:r w:rsidRPr="00E01C9E">
        <w:rPr>
          <w:rFonts w:eastAsiaTheme="minorEastAsia"/>
          <w:vertAlign w:val="subscript"/>
        </w:rPr>
        <w:t>2</w:t>
      </w:r>
      <w:r w:rsidRPr="00E01C9E">
        <w:rPr>
          <w:rFonts w:eastAsiaTheme="minorEastAsia"/>
        </w:rPr>
        <w:t>).</w:t>
      </w:r>
    </w:p>
    <w:p w14:paraId="4068B48E" w14:textId="77777777" w:rsidR="00F271C1" w:rsidRPr="00E01C9E" w:rsidRDefault="00F271C1" w:rsidP="00F271C1">
      <w:pPr>
        <w:pStyle w:val="Heading4"/>
      </w:pPr>
      <w:r w:rsidRPr="00E01C9E">
        <w:t>Net emissions</w:t>
      </w:r>
    </w:p>
    <w:p w14:paraId="0BE37578" w14:textId="77777777" w:rsidR="00F271C1" w:rsidRPr="00E01C9E" w:rsidRDefault="00F271C1" w:rsidP="00F271C1">
      <w:pPr>
        <w:pStyle w:val="BodyText"/>
      </w:pPr>
      <w:r w:rsidRPr="00E01C9E">
        <w:rPr>
          <w:spacing w:val="-2"/>
        </w:rPr>
        <w:t>Net emissions include gross emissions, as defined above (i.e., from the Energy, IPPU, Agriculture</w:t>
      </w:r>
      <w:r w:rsidRPr="00E01C9E">
        <w:t xml:space="preserve"> and Waste sectors, including Tokelau), and net emissions from the LULUCF sector.</w:t>
      </w:r>
    </w:p>
    <w:p w14:paraId="301E33D1" w14:textId="77777777" w:rsidR="00F271C1" w:rsidRPr="00E01C9E" w:rsidRDefault="00F271C1" w:rsidP="00F271C1">
      <w:pPr>
        <w:pStyle w:val="BodyText"/>
      </w:pPr>
      <w:r w:rsidRPr="00E01C9E">
        <w:t>In 2024, net emissions from the LULUCF sector were -20,977.5 kt CO</w:t>
      </w:r>
      <w:r w:rsidRPr="00E01C9E">
        <w:rPr>
          <w:vertAlign w:val="subscript"/>
        </w:rPr>
        <w:t>2</w:t>
      </w:r>
      <w:r w:rsidRPr="00E01C9E">
        <w:t>e, or 27.7 percent of New Zealand’s gross GHG emissions. This comprised net emissions of -21,217.6 kt CO</w:t>
      </w:r>
      <w:r w:rsidRPr="00E01C9E">
        <w:rPr>
          <w:vertAlign w:val="subscript"/>
        </w:rPr>
        <w:t>2</w:t>
      </w:r>
      <w:r w:rsidRPr="00E01C9E">
        <w:t>, 49.2 kt CO</w:t>
      </w:r>
      <w:r w:rsidRPr="00E01C9E">
        <w:rPr>
          <w:vertAlign w:val="subscript"/>
        </w:rPr>
        <w:t>2</w:t>
      </w:r>
      <w:r w:rsidRPr="00E01C9E">
        <w:t>e of CH</w:t>
      </w:r>
      <w:r w:rsidRPr="00E01C9E">
        <w:rPr>
          <w:vertAlign w:val="subscript"/>
        </w:rPr>
        <w:t>4</w:t>
      </w:r>
      <w:r w:rsidRPr="00E01C9E">
        <w:t xml:space="preserve"> and 191.0 kt CO</w:t>
      </w:r>
      <w:r w:rsidRPr="00E01C9E">
        <w:rPr>
          <w:vertAlign w:val="subscript"/>
        </w:rPr>
        <w:t>2</w:t>
      </w:r>
      <w:r w:rsidRPr="00E01C9E">
        <w:t>e of N</w:t>
      </w:r>
      <w:r w:rsidRPr="00E01C9E">
        <w:rPr>
          <w:vertAlign w:val="subscript"/>
        </w:rPr>
        <w:t>2</w:t>
      </w:r>
      <w:r w:rsidRPr="00E01C9E">
        <w:t>O.</w:t>
      </w:r>
    </w:p>
    <w:p w14:paraId="11B6ADBF" w14:textId="77777777" w:rsidR="00F271C1" w:rsidRPr="00E01C9E" w:rsidRDefault="00F271C1" w:rsidP="00F271C1">
      <w:pPr>
        <w:pStyle w:val="Heading5"/>
      </w:pPr>
      <w:r w:rsidRPr="00E01C9E">
        <w:t>2023–2024</w:t>
      </w:r>
    </w:p>
    <w:p w14:paraId="2834438B" w14:textId="77777777" w:rsidR="00F271C1" w:rsidRPr="00E01C9E" w:rsidRDefault="00F271C1" w:rsidP="00F271C1">
      <w:pPr>
        <w:pStyle w:val="BodyText"/>
      </w:pPr>
      <w:r w:rsidRPr="00E01C9E">
        <w:t>In 2024, New Zealand’s net emissions were 54,834.13 kt CO</w:t>
      </w:r>
      <w:r w:rsidRPr="00E01C9E">
        <w:rPr>
          <w:vertAlign w:val="subscript"/>
        </w:rPr>
        <w:t>2</w:t>
      </w:r>
      <w:r w:rsidRPr="00E01C9E">
        <w:t>e.</w:t>
      </w:r>
    </w:p>
    <w:p w14:paraId="780FE616" w14:textId="77777777" w:rsidR="00F271C1" w:rsidRPr="00E01C9E" w:rsidRDefault="00F271C1" w:rsidP="00F271C1">
      <w:pPr>
        <w:pStyle w:val="BodyText"/>
      </w:pPr>
      <w:r w:rsidRPr="00E01C9E">
        <w:t>Between 2023 and 2024, New Zealand’s net emissions decreased by 2.0 percent (1,098.3 kt CO</w:t>
      </w:r>
      <w:r w:rsidRPr="00E01C9E">
        <w:rPr>
          <w:vertAlign w:val="subscript"/>
        </w:rPr>
        <w:t>2</w:t>
      </w:r>
      <w:r w:rsidRPr="00E01C9E">
        <w:t>e)</w:t>
      </w:r>
      <w:r w:rsidRPr="00E01C9E">
        <w:rPr>
          <w:spacing w:val="-2"/>
        </w:rPr>
        <w:t>. This decrease was dominated by the decrease in net emissions of 5.1 percent</w:t>
      </w:r>
      <w:r w:rsidRPr="00E01C9E">
        <w:t xml:space="preserve"> (</w:t>
      </w:r>
      <w:r w:rsidRPr="00E01C9E">
        <w:noBreakHyphen/>
        <w:t>1,011.0 kt CO</w:t>
      </w:r>
      <w:r w:rsidRPr="00E01C9E">
        <w:rPr>
          <w:vertAlign w:val="subscript"/>
        </w:rPr>
        <w:t>2</w:t>
      </w:r>
      <w:r w:rsidRPr="00E01C9E">
        <w:t>e) from the LULUCF sector. The largest contributors by category to the decrease in net emissions were from:</w:t>
      </w:r>
    </w:p>
    <w:p w14:paraId="14FADBD9" w14:textId="77777777" w:rsidR="00F271C1" w:rsidRPr="00E01C9E" w:rsidRDefault="00F271C1" w:rsidP="00F271C1">
      <w:pPr>
        <w:pStyle w:val="Bullet"/>
      </w:pPr>
      <w:r w:rsidRPr="00E01C9E">
        <w:rPr>
          <w:i/>
          <w:iCs/>
        </w:rPr>
        <w:t>Land converted to forest land</w:t>
      </w:r>
      <w:r w:rsidRPr="00E01C9E">
        <w:t xml:space="preserve"> (CO</w:t>
      </w:r>
      <w:r w:rsidRPr="00E01C9E">
        <w:rPr>
          <w:vertAlign w:val="subscript"/>
        </w:rPr>
        <w:t>2</w:t>
      </w:r>
      <w:r w:rsidRPr="00E01C9E">
        <w:t>)</w:t>
      </w:r>
    </w:p>
    <w:p w14:paraId="76D0BF10" w14:textId="77777777" w:rsidR="00F271C1" w:rsidRPr="00E01C9E" w:rsidRDefault="00F271C1" w:rsidP="00F271C1">
      <w:pPr>
        <w:pStyle w:val="Bullet"/>
      </w:pPr>
      <w:r w:rsidRPr="00E01C9E">
        <w:rPr>
          <w:i/>
          <w:iCs/>
        </w:rPr>
        <w:t>Land converted to grassland</w:t>
      </w:r>
      <w:r w:rsidRPr="00E01C9E">
        <w:t xml:space="preserve"> (CO</w:t>
      </w:r>
      <w:r w:rsidRPr="00E01C9E">
        <w:rPr>
          <w:vertAlign w:val="subscript"/>
        </w:rPr>
        <w:t>2</w:t>
      </w:r>
      <w:r w:rsidRPr="00E01C9E">
        <w:t>)</w:t>
      </w:r>
    </w:p>
    <w:p w14:paraId="413EC199" w14:textId="77777777" w:rsidR="00F271C1" w:rsidRPr="00E01C9E" w:rsidRDefault="00F271C1" w:rsidP="00F271C1">
      <w:pPr>
        <w:pStyle w:val="Bullet"/>
      </w:pPr>
      <w:r w:rsidRPr="00E01C9E">
        <w:rPr>
          <w:i/>
          <w:iCs/>
        </w:rPr>
        <w:t>Manufacturing industries and construction</w:t>
      </w:r>
      <w:r w:rsidRPr="00E01C9E">
        <w:t xml:space="preserve"> (CO</w:t>
      </w:r>
      <w:r w:rsidRPr="00E01C9E">
        <w:rPr>
          <w:vertAlign w:val="subscript"/>
        </w:rPr>
        <w:t>2</w:t>
      </w:r>
      <w:r w:rsidRPr="00E01C9E">
        <w:t>)</w:t>
      </w:r>
    </w:p>
    <w:p w14:paraId="1F95DCEE" w14:textId="77777777" w:rsidR="00F271C1" w:rsidRPr="00E01C9E" w:rsidRDefault="00F271C1" w:rsidP="00F271C1">
      <w:pPr>
        <w:pStyle w:val="Bullet"/>
      </w:pPr>
      <w:r w:rsidRPr="00E01C9E">
        <w:rPr>
          <w:i/>
          <w:iCs/>
        </w:rPr>
        <w:t>Enteric fermentation</w:t>
      </w:r>
      <w:r w:rsidRPr="00E01C9E">
        <w:t xml:space="preserve"> from </w:t>
      </w:r>
      <w:r w:rsidRPr="00E01C9E">
        <w:rPr>
          <w:i/>
          <w:iCs/>
        </w:rPr>
        <w:t>Sheep</w:t>
      </w:r>
      <w:r w:rsidRPr="00E01C9E">
        <w:t xml:space="preserve"> (CH</w:t>
      </w:r>
      <w:r w:rsidRPr="00E01C9E">
        <w:rPr>
          <w:vertAlign w:val="subscript"/>
        </w:rPr>
        <w:t>4</w:t>
      </w:r>
      <w:r w:rsidRPr="00E01C9E">
        <w:t>)</w:t>
      </w:r>
    </w:p>
    <w:p w14:paraId="534961D7" w14:textId="77777777" w:rsidR="00F271C1" w:rsidRPr="00E01C9E" w:rsidRDefault="00F271C1" w:rsidP="00F271C1">
      <w:pPr>
        <w:pStyle w:val="Bullet"/>
      </w:pPr>
      <w:r w:rsidRPr="00E01C9E">
        <w:rPr>
          <w:i/>
          <w:iCs/>
        </w:rPr>
        <w:t>Commercial and institutional</w:t>
      </w:r>
      <w:r w:rsidRPr="00E01C9E">
        <w:t xml:space="preserve"> energy use (CO</w:t>
      </w:r>
      <w:r w:rsidRPr="00E01C9E">
        <w:rPr>
          <w:vertAlign w:val="subscript"/>
        </w:rPr>
        <w:t>2</w:t>
      </w:r>
      <w:r w:rsidRPr="00E01C9E">
        <w:t>).</w:t>
      </w:r>
    </w:p>
    <w:p w14:paraId="413B449B" w14:textId="77777777" w:rsidR="00F271C1" w:rsidRPr="00E01C9E" w:rsidRDefault="00F271C1" w:rsidP="00F271C1">
      <w:pPr>
        <w:pStyle w:val="BodyText"/>
      </w:pPr>
      <w:r w:rsidRPr="00E01C9E">
        <w:t xml:space="preserve">The reductions in net emissions from </w:t>
      </w:r>
      <w:r w:rsidRPr="00E01C9E">
        <w:rPr>
          <w:i/>
          <w:iCs/>
        </w:rPr>
        <w:t xml:space="preserve">Land converted to forest land </w:t>
      </w:r>
      <w:r w:rsidRPr="00E01C9E">
        <w:t xml:space="preserve">were due to an increase in growth-related removals. The reductions in net emissions from </w:t>
      </w:r>
      <w:r w:rsidRPr="00E01C9E">
        <w:rPr>
          <w:i/>
          <w:iCs/>
        </w:rPr>
        <w:t>Land converted to grassland</w:t>
      </w:r>
      <w:r w:rsidRPr="00E01C9E">
        <w:t xml:space="preserve"> were driven by lower deforestation rates.</w:t>
      </w:r>
    </w:p>
    <w:p w14:paraId="19C3BD6F" w14:textId="77777777" w:rsidR="00F271C1" w:rsidRPr="00E01C9E" w:rsidRDefault="00F271C1" w:rsidP="00F271C1">
      <w:pPr>
        <w:pStyle w:val="Heading5"/>
      </w:pPr>
      <w:bookmarkStart w:id="109" w:name="section-4"/>
      <w:r w:rsidRPr="00E01C9E">
        <w:t>2005–2024</w:t>
      </w:r>
    </w:p>
    <w:p w14:paraId="05471DF9" w14:textId="4BA2295E" w:rsidR="00F271C1" w:rsidRPr="00E01C9E" w:rsidRDefault="00F271C1" w:rsidP="00F271C1">
      <w:pPr>
        <w:pStyle w:val="BodyText"/>
      </w:pPr>
      <w:r w:rsidRPr="00E01C9E">
        <w:t>In 2005, New Zealand’s net emissions were 62,225.5 kt CO</w:t>
      </w:r>
      <w:r w:rsidRPr="00E01C9E">
        <w:rPr>
          <w:vertAlign w:val="subscript"/>
        </w:rPr>
        <w:t>2</w:t>
      </w:r>
      <w:r w:rsidRPr="00E01C9E">
        <w:t>e. Between 2005 and 2024, New</w:t>
      </w:r>
      <w:r w:rsidR="00374A4F">
        <w:t> </w:t>
      </w:r>
      <w:r w:rsidRPr="00E01C9E">
        <w:t>Zealand’s net emissions decreased by 11.9 percent (7,391.4 kt CO</w:t>
      </w:r>
      <w:r w:rsidRPr="00E01C9E">
        <w:rPr>
          <w:vertAlign w:val="subscript"/>
        </w:rPr>
        <w:t>2</w:t>
      </w:r>
      <w:r w:rsidRPr="00E01C9E">
        <w:t>e) to 54,834.1</w:t>
      </w:r>
      <w:r w:rsidR="00374A4F">
        <w:t> </w:t>
      </w:r>
      <w:r w:rsidRPr="00E01C9E">
        <w:t>kt</w:t>
      </w:r>
      <w:r w:rsidR="00374A4F">
        <w:t xml:space="preserve"> </w:t>
      </w:r>
      <w:r w:rsidRPr="00E01C9E">
        <w:t>CO</w:t>
      </w:r>
      <w:r w:rsidRPr="00E01C9E">
        <w:rPr>
          <w:vertAlign w:val="subscript"/>
        </w:rPr>
        <w:t>2</w:t>
      </w:r>
      <w:r w:rsidRPr="00E01C9E">
        <w:t>e</w:t>
      </w:r>
      <w:r w:rsidR="00374A4F">
        <w:t> </w:t>
      </w:r>
      <w:r w:rsidRPr="00E01C9E">
        <w:t>(figure 2.1.1).</w:t>
      </w:r>
    </w:p>
    <w:p w14:paraId="14559A59" w14:textId="77777777" w:rsidR="00F271C1" w:rsidRPr="00E01C9E" w:rsidRDefault="00F271C1" w:rsidP="00F271C1">
      <w:pPr>
        <w:pStyle w:val="BodyText"/>
      </w:pPr>
      <w:r w:rsidRPr="00E01C9E">
        <w:t xml:space="preserve">The categories that contributed the most to the decrease in net emissions between 2005 and 2024 were: </w:t>
      </w:r>
    </w:p>
    <w:p w14:paraId="330F0759" w14:textId="77777777" w:rsidR="00F271C1" w:rsidRPr="00E01C9E" w:rsidRDefault="00F271C1" w:rsidP="00F271C1">
      <w:pPr>
        <w:pStyle w:val="Bullet"/>
      </w:pPr>
      <w:r w:rsidRPr="00E01C9E">
        <w:rPr>
          <w:i/>
          <w:iCs/>
        </w:rPr>
        <w:t>Land converted to grassland</w:t>
      </w:r>
      <w:r w:rsidRPr="00E01C9E">
        <w:t xml:space="preserve"> (CO</w:t>
      </w:r>
      <w:r w:rsidRPr="00E01C9E">
        <w:rPr>
          <w:vertAlign w:val="subscript"/>
        </w:rPr>
        <w:t>2</w:t>
      </w:r>
      <w:r w:rsidRPr="00E01C9E">
        <w:t xml:space="preserve">) </w:t>
      </w:r>
    </w:p>
    <w:p w14:paraId="6299B1F4" w14:textId="77777777" w:rsidR="00F271C1" w:rsidRPr="00E01C9E" w:rsidRDefault="00F271C1" w:rsidP="00F271C1">
      <w:pPr>
        <w:pStyle w:val="Bullet"/>
      </w:pPr>
      <w:r w:rsidRPr="00E01C9E">
        <w:rPr>
          <w:i/>
          <w:iCs/>
        </w:rPr>
        <w:t>Public electricity and heat production</w:t>
      </w:r>
      <w:r w:rsidRPr="00E01C9E">
        <w:t xml:space="preserve"> (CO</w:t>
      </w:r>
      <w:r w:rsidRPr="00E01C9E">
        <w:rPr>
          <w:vertAlign w:val="subscript"/>
        </w:rPr>
        <w:t>2</w:t>
      </w:r>
      <w:r w:rsidRPr="00E01C9E">
        <w:t xml:space="preserve">) </w:t>
      </w:r>
    </w:p>
    <w:p w14:paraId="3D4CC890" w14:textId="77777777" w:rsidR="00F271C1" w:rsidRPr="00E01C9E" w:rsidRDefault="00F271C1" w:rsidP="00F271C1">
      <w:pPr>
        <w:pStyle w:val="Bullet"/>
      </w:pPr>
      <w:r w:rsidRPr="00E01C9E">
        <w:rPr>
          <w:i/>
          <w:iCs/>
        </w:rPr>
        <w:t>Enteric fermentation</w:t>
      </w:r>
      <w:r w:rsidRPr="00E01C9E">
        <w:t xml:space="preserve"> from </w:t>
      </w:r>
      <w:r w:rsidRPr="00E01C9E">
        <w:rPr>
          <w:i/>
          <w:iCs/>
        </w:rPr>
        <w:t>Sheep</w:t>
      </w:r>
      <w:r w:rsidRPr="00E01C9E">
        <w:t xml:space="preserve"> (CH</w:t>
      </w:r>
      <w:r w:rsidRPr="00E01C9E">
        <w:rPr>
          <w:vertAlign w:val="subscript"/>
        </w:rPr>
        <w:t>4</w:t>
      </w:r>
      <w:r w:rsidRPr="00E01C9E">
        <w:t>)</w:t>
      </w:r>
    </w:p>
    <w:p w14:paraId="45B71DDE" w14:textId="77777777" w:rsidR="00F271C1" w:rsidRPr="00E01C9E" w:rsidRDefault="00F271C1" w:rsidP="00F271C1">
      <w:pPr>
        <w:pStyle w:val="Bullet"/>
      </w:pPr>
      <w:r w:rsidRPr="00E01C9E">
        <w:rPr>
          <w:i/>
          <w:iCs/>
        </w:rPr>
        <w:t>Forest land remaining forest land</w:t>
      </w:r>
      <w:r w:rsidRPr="00E01C9E">
        <w:t xml:space="preserve"> (CO</w:t>
      </w:r>
      <w:r w:rsidRPr="00E01C9E">
        <w:rPr>
          <w:vertAlign w:val="subscript"/>
        </w:rPr>
        <w:t>2</w:t>
      </w:r>
      <w:r w:rsidRPr="00E01C9E">
        <w:t>)</w:t>
      </w:r>
    </w:p>
    <w:p w14:paraId="1D01BA86" w14:textId="77777777" w:rsidR="00F271C1" w:rsidRPr="00E01C9E" w:rsidRDefault="00F271C1" w:rsidP="00F271C1">
      <w:pPr>
        <w:pStyle w:val="Bullet"/>
      </w:pPr>
      <w:r w:rsidRPr="00E01C9E">
        <w:rPr>
          <w:i/>
          <w:iCs/>
        </w:rPr>
        <w:t>Enteric fermentation</w:t>
      </w:r>
      <w:r w:rsidRPr="00E01C9E">
        <w:t xml:space="preserve"> from </w:t>
      </w:r>
      <w:r w:rsidRPr="00E01C9E">
        <w:rPr>
          <w:i/>
          <w:iCs/>
        </w:rPr>
        <w:t>Non-dairy cattle</w:t>
      </w:r>
      <w:r w:rsidRPr="00E01C9E">
        <w:t xml:space="preserve"> (CH</w:t>
      </w:r>
      <w:r w:rsidRPr="00E01C9E">
        <w:rPr>
          <w:vertAlign w:val="subscript"/>
        </w:rPr>
        <w:t>4</w:t>
      </w:r>
      <w:r w:rsidRPr="00E01C9E">
        <w:t>).</w:t>
      </w:r>
    </w:p>
    <w:p w14:paraId="665D573B" w14:textId="77777777" w:rsidR="00F271C1" w:rsidRPr="00E01C9E" w:rsidRDefault="00F271C1" w:rsidP="00F271C1">
      <w:pPr>
        <w:pStyle w:val="Heading5"/>
      </w:pPr>
      <w:bookmarkStart w:id="110" w:name="section-5"/>
      <w:bookmarkEnd w:id="109"/>
      <w:r w:rsidRPr="00E01C9E">
        <w:t>1990–2024</w:t>
      </w:r>
    </w:p>
    <w:p w14:paraId="25E86740" w14:textId="77777777" w:rsidR="00F271C1" w:rsidRPr="00E01C9E" w:rsidRDefault="00F271C1" w:rsidP="00F271C1">
      <w:pPr>
        <w:pStyle w:val="BodyText"/>
      </w:pPr>
      <w:r w:rsidRPr="00E01C9E">
        <w:t>In 1990, New Zealand’s net emissions were 44,230.7 kt CO</w:t>
      </w:r>
      <w:r w:rsidRPr="00E01C9E">
        <w:rPr>
          <w:vertAlign w:val="subscript"/>
        </w:rPr>
        <w:t>2</w:t>
      </w:r>
      <w:r w:rsidRPr="00E01C9E">
        <w:t>e. Between 1990 and 2024, net GHG emissions increased by 24.0 percent (10,603.4 kt CO</w:t>
      </w:r>
      <w:r w:rsidRPr="00E01C9E">
        <w:rPr>
          <w:vertAlign w:val="subscript"/>
        </w:rPr>
        <w:t>2</w:t>
      </w:r>
      <w:r w:rsidRPr="00E01C9E">
        <w:t>e) to 54,834.1 kt CO</w:t>
      </w:r>
      <w:r w:rsidRPr="00E01C9E">
        <w:rPr>
          <w:vertAlign w:val="subscript"/>
        </w:rPr>
        <w:t>2</w:t>
      </w:r>
      <w:r w:rsidRPr="00E01C9E">
        <w:t>e (figure 2.1.1).</w:t>
      </w:r>
    </w:p>
    <w:p w14:paraId="5FCDBC8B" w14:textId="77777777" w:rsidR="00F271C1" w:rsidRPr="00E01C9E" w:rsidRDefault="00F271C1" w:rsidP="00F271C1">
      <w:pPr>
        <w:pStyle w:val="BodyText"/>
      </w:pPr>
      <w:r w:rsidRPr="00E01C9E">
        <w:t xml:space="preserve">The categories that contributed the most to the increase in net emissions between 1990 and 2024 were: </w:t>
      </w:r>
    </w:p>
    <w:p w14:paraId="72C70679" w14:textId="77777777" w:rsidR="00F271C1" w:rsidRPr="00E01C9E" w:rsidRDefault="00F271C1" w:rsidP="00F271C1">
      <w:pPr>
        <w:pStyle w:val="Bullet"/>
      </w:pPr>
      <w:r w:rsidRPr="00E01C9E">
        <w:rPr>
          <w:i/>
          <w:iCs/>
        </w:rPr>
        <w:t>Land converted to forest land</w:t>
      </w:r>
      <w:r w:rsidRPr="00E01C9E">
        <w:t xml:space="preserve"> (CO</w:t>
      </w:r>
      <w:r w:rsidRPr="00E01C9E">
        <w:rPr>
          <w:vertAlign w:val="subscript"/>
        </w:rPr>
        <w:t>2</w:t>
      </w:r>
      <w:r w:rsidRPr="00E01C9E">
        <w:t>)</w:t>
      </w:r>
    </w:p>
    <w:p w14:paraId="585031F6" w14:textId="77777777" w:rsidR="00F271C1" w:rsidRPr="00E01C9E" w:rsidRDefault="00F271C1" w:rsidP="00F271C1">
      <w:pPr>
        <w:pStyle w:val="Bullet"/>
      </w:pPr>
      <w:r w:rsidRPr="00E01C9E">
        <w:rPr>
          <w:i/>
          <w:iCs/>
        </w:rPr>
        <w:t>Enteric fermentation</w:t>
      </w:r>
      <w:r w:rsidRPr="00E01C9E">
        <w:t xml:space="preserve"> from </w:t>
      </w:r>
      <w:r w:rsidRPr="00E01C9E">
        <w:rPr>
          <w:i/>
          <w:iCs/>
        </w:rPr>
        <w:t>Dairy cattle</w:t>
      </w:r>
      <w:r w:rsidRPr="00E01C9E">
        <w:t xml:space="preserve"> (CH</w:t>
      </w:r>
      <w:r w:rsidRPr="00E01C9E">
        <w:rPr>
          <w:vertAlign w:val="subscript"/>
        </w:rPr>
        <w:t>4</w:t>
      </w:r>
      <w:r w:rsidRPr="00E01C9E">
        <w:t xml:space="preserve">) </w:t>
      </w:r>
    </w:p>
    <w:p w14:paraId="17999AB0" w14:textId="77777777" w:rsidR="00F271C1" w:rsidRPr="00E01C9E" w:rsidRDefault="00F271C1" w:rsidP="00F271C1">
      <w:pPr>
        <w:pStyle w:val="Bullet"/>
      </w:pPr>
      <w:r w:rsidRPr="00E01C9E">
        <w:rPr>
          <w:i/>
          <w:iCs/>
        </w:rPr>
        <w:t>Road transportation</w:t>
      </w:r>
      <w:r w:rsidRPr="00E01C9E">
        <w:t xml:space="preserve"> (CO</w:t>
      </w:r>
      <w:r w:rsidRPr="00E01C9E">
        <w:rPr>
          <w:vertAlign w:val="subscript"/>
        </w:rPr>
        <w:t>2</w:t>
      </w:r>
      <w:r w:rsidRPr="00E01C9E">
        <w:t>)</w:t>
      </w:r>
    </w:p>
    <w:p w14:paraId="7AD01020" w14:textId="77777777" w:rsidR="00F271C1" w:rsidRPr="00E01C9E" w:rsidRDefault="00F271C1" w:rsidP="00F271C1">
      <w:pPr>
        <w:pStyle w:val="Bullet"/>
      </w:pPr>
      <w:r w:rsidRPr="00E01C9E">
        <w:rPr>
          <w:i/>
          <w:iCs/>
        </w:rPr>
        <w:t>Agricultural soils</w:t>
      </w:r>
      <w:r w:rsidRPr="00E01C9E">
        <w:t xml:space="preserve"> (N</w:t>
      </w:r>
      <w:r w:rsidRPr="00E01C9E">
        <w:rPr>
          <w:vertAlign w:val="subscript"/>
        </w:rPr>
        <w:t>2</w:t>
      </w:r>
      <w:r w:rsidRPr="00E01C9E">
        <w:t>O)</w:t>
      </w:r>
    </w:p>
    <w:p w14:paraId="1B0792B0" w14:textId="77777777" w:rsidR="00F271C1" w:rsidRPr="00E01C9E" w:rsidRDefault="00F271C1" w:rsidP="00F271C1">
      <w:pPr>
        <w:pStyle w:val="Bullet"/>
      </w:pPr>
      <w:r w:rsidRPr="00E01C9E">
        <w:rPr>
          <w:i/>
          <w:iCs/>
        </w:rPr>
        <w:t>Product uses as substitutes for ODS</w:t>
      </w:r>
      <w:r w:rsidRPr="00E01C9E">
        <w:t xml:space="preserve"> (HFCs).</w:t>
      </w:r>
    </w:p>
    <w:p w14:paraId="0C93358B" w14:textId="77777777" w:rsidR="00F271C1" w:rsidRPr="00E01C9E" w:rsidRDefault="00F271C1" w:rsidP="00F271C1">
      <w:pPr>
        <w:pStyle w:val="Figure"/>
      </w:pPr>
      <w:bookmarkStart w:id="111" w:name="_Toc226200649"/>
      <w:r w:rsidRPr="00E01C9E">
        <w:t xml:space="preserve">Figure 2.1.1 </w:t>
      </w:r>
      <w:r w:rsidRPr="00E01C9E">
        <w:tab/>
        <w:t>New Zealand’s gross and net emissions, from 1990 to 2024</w:t>
      </w:r>
      <w:bookmarkEnd w:id="111"/>
    </w:p>
    <w:p w14:paraId="0679D38A" w14:textId="77777777" w:rsidR="00F271C1" w:rsidRPr="00E01C9E" w:rsidRDefault="00F271C1" w:rsidP="00F271C1">
      <w:pPr>
        <w:pStyle w:val="BodyText"/>
        <w:spacing w:after="80"/>
      </w:pPr>
      <w:r w:rsidRPr="00E01C9E">
        <w:rPr>
          <w:noProof/>
        </w:rPr>
        <w:drawing>
          <wp:inline distT="0" distB="0" distL="0" distR="0" wp14:anchorId="2E4A073A" wp14:editId="69040E7D">
            <wp:extent cx="5334000" cy="3890325"/>
            <wp:effectExtent l="0" t="0" r="0" b="0"/>
            <wp:docPr id="4667812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81268" name="Picture 466781268"/>
                    <pic:cNvPicPr/>
                  </pic:nvPicPr>
                  <pic:blipFill rotWithShape="1">
                    <a:blip r:embed="rId23">
                      <a:extLst>
                        <a:ext uri="{28A0092B-C50C-407E-A947-70E740481C1C}">
                          <a14:useLocalDpi xmlns:a14="http://schemas.microsoft.com/office/drawing/2010/main"/>
                        </a:ext>
                      </a:extLst>
                    </a:blip>
                    <a:srcRect b="2697"/>
                    <a:stretch>
                      <a:fillRect/>
                    </a:stretch>
                  </pic:blipFill>
                  <pic:spPr bwMode="auto">
                    <a:xfrm>
                      <a:off x="0" y="0"/>
                      <a:ext cx="5334780" cy="3890894"/>
                    </a:xfrm>
                    <a:prstGeom prst="rect">
                      <a:avLst/>
                    </a:prstGeom>
                    <a:ln>
                      <a:noFill/>
                    </a:ln>
                    <a:extLst>
                      <a:ext uri="{53640926-AAD7-44D8-BBD7-CCE9431645EC}">
                        <a14:shadowObscured xmlns:a14="http://schemas.microsoft.com/office/drawing/2010/main"/>
                      </a:ext>
                    </a:extLst>
                  </pic:spPr>
                </pic:pic>
              </a:graphicData>
            </a:graphic>
          </wp:inline>
        </w:drawing>
      </w:r>
    </w:p>
    <w:p w14:paraId="0AB517E6" w14:textId="77777777" w:rsidR="00F271C1" w:rsidRPr="00E01C9E" w:rsidRDefault="00F271C1" w:rsidP="00F271C1">
      <w:pPr>
        <w:pStyle w:val="Heading4"/>
      </w:pPr>
      <w:bookmarkStart w:id="112" w:name="net-target-accounting-emissions"/>
      <w:bookmarkEnd w:id="110"/>
      <w:r w:rsidRPr="00E01C9E">
        <w:t>Net target accounting emissions</w:t>
      </w:r>
    </w:p>
    <w:p w14:paraId="60627FF6" w14:textId="77777777" w:rsidR="00F271C1" w:rsidRPr="00E01C9E" w:rsidRDefault="00F271C1" w:rsidP="00F271C1">
      <w:pPr>
        <w:pStyle w:val="BodyText"/>
      </w:pPr>
      <w:r w:rsidRPr="00E01C9E">
        <w:rPr>
          <w:spacing w:val="-2"/>
        </w:rPr>
        <w:t>New Zealand applies accounting rules to calculate the quantities of net emissions that contribute</w:t>
      </w:r>
      <w:r w:rsidRPr="00E01C9E">
        <w:t xml:space="preserve"> towards meeting emissions reduction targets. While gross emissions are fully accounted for, the contribution from the LULUCF sector is treated differently. Information on how New Zealand accounts for the contribution from the LULUCF sector towards its first Nationally Determined Contribution under the Paris Agreement is provided in volume 2, annex 9. The LULUCF accounting quantities for the period covered by this inventory are also reported in volume 2, annex 9.</w:t>
      </w:r>
    </w:p>
    <w:p w14:paraId="3DD3DD0E" w14:textId="77777777" w:rsidR="00F271C1" w:rsidRPr="00E01C9E" w:rsidRDefault="00F271C1" w:rsidP="00F271C1">
      <w:pPr>
        <w:pStyle w:val="Heading2"/>
      </w:pPr>
      <w:bookmarkStart w:id="113" w:name="_Toc226460749"/>
      <w:bookmarkStart w:id="114" w:name="X4f36d8e6a681b035dde335364a80e947df783c1"/>
      <w:bookmarkEnd w:id="108"/>
      <w:bookmarkEnd w:id="112"/>
      <w:r w:rsidRPr="00E01C9E">
        <w:t xml:space="preserve">2.2 </w:t>
      </w:r>
      <w:r w:rsidRPr="00E01C9E">
        <w:tab/>
        <w:t>Description of emission and removal trends by sector and by gas</w:t>
      </w:r>
      <w:bookmarkEnd w:id="113"/>
    </w:p>
    <w:p w14:paraId="03D43004" w14:textId="77777777" w:rsidR="00F271C1" w:rsidRPr="00E01C9E" w:rsidRDefault="00F271C1" w:rsidP="00F271C1">
      <w:pPr>
        <w:pStyle w:val="BodyText"/>
      </w:pPr>
      <w:r w:rsidRPr="00E01C9E">
        <w:t xml:space="preserve">New Zealand reports emissions and removals for the Energy, IPPU, Agriculture, LULUCF and Waste sectors. Tokelau’s emissions are also reported separately by sector as ‘Other’. New </w:t>
      </w:r>
      <w:r w:rsidRPr="00E01C9E">
        <w:rPr>
          <w:spacing w:val="-2"/>
        </w:rPr>
        <w:t>Zealand reports emissions and removals of CO</w:t>
      </w:r>
      <w:r w:rsidRPr="00E01C9E">
        <w:rPr>
          <w:spacing w:val="-2"/>
          <w:vertAlign w:val="subscript"/>
        </w:rPr>
        <w:t>2</w:t>
      </w:r>
      <w:r w:rsidRPr="00E01C9E">
        <w:rPr>
          <w:spacing w:val="-2"/>
        </w:rPr>
        <w:t>, and emissions from CH</w:t>
      </w:r>
      <w:r w:rsidRPr="00E01C9E">
        <w:rPr>
          <w:spacing w:val="-2"/>
          <w:vertAlign w:val="subscript"/>
        </w:rPr>
        <w:t>4</w:t>
      </w:r>
      <w:r w:rsidRPr="00E01C9E">
        <w:rPr>
          <w:spacing w:val="-2"/>
        </w:rPr>
        <w:t>, HFCs, perfluorocarbons</w:t>
      </w:r>
      <w:r w:rsidRPr="00E01C9E">
        <w:t xml:space="preserve"> (PFCs), sulphur hexafluoride (SF</w:t>
      </w:r>
      <w:r w:rsidRPr="00E01C9E">
        <w:rPr>
          <w:vertAlign w:val="subscript"/>
        </w:rPr>
        <w:t>6</w:t>
      </w:r>
      <w:r w:rsidRPr="00E01C9E">
        <w:t>) and nitrogen trifluoride (NF</w:t>
      </w:r>
      <w:r w:rsidRPr="00E01C9E">
        <w:rPr>
          <w:vertAlign w:val="subscript"/>
        </w:rPr>
        <w:t>3</w:t>
      </w:r>
      <w:r w:rsidRPr="00E01C9E">
        <w:t>).</w:t>
      </w:r>
    </w:p>
    <w:p w14:paraId="7E42B954" w14:textId="77777777" w:rsidR="00F271C1" w:rsidRPr="00E01C9E" w:rsidRDefault="00F271C1" w:rsidP="00F271C1">
      <w:pPr>
        <w:pStyle w:val="Heading3"/>
      </w:pPr>
      <w:bookmarkStart w:id="115" w:name="X187bea1d100134d9d2b416e7672b5c6b44db3c5"/>
      <w:r w:rsidRPr="00E01C9E">
        <w:t xml:space="preserve">2.2.1 </w:t>
      </w:r>
      <w:r w:rsidRPr="00E01C9E">
        <w:tab/>
        <w:t xml:space="preserve">New Zealand’s emissions by sector and by gas in </w:t>
      </w:r>
      <w:r w:rsidRPr="00E01C9E">
        <w:rPr>
          <w:bCs/>
        </w:rPr>
        <w:t>2024</w:t>
      </w:r>
    </w:p>
    <w:p w14:paraId="60CCCE57" w14:textId="77777777" w:rsidR="00F271C1" w:rsidRPr="00E01C9E" w:rsidRDefault="00F271C1" w:rsidP="00F271C1">
      <w:pPr>
        <w:pStyle w:val="BodyText"/>
      </w:pPr>
      <w:r w:rsidRPr="00E01C9E">
        <w:t>New Zealand’s emissions by sector reflect the composition of the national economy (figure 2.2.1). In 2024, New Zealand’s gross emissions were composed of:</w:t>
      </w:r>
    </w:p>
    <w:p w14:paraId="2C14BF24" w14:textId="77777777" w:rsidR="00F271C1" w:rsidRPr="00E01C9E" w:rsidRDefault="00F271C1" w:rsidP="00F271C1">
      <w:pPr>
        <w:pStyle w:val="Bullet"/>
      </w:pPr>
      <w:r w:rsidRPr="00E01C9E">
        <w:t xml:space="preserve">53.0 percent from the Agriculture sector </w:t>
      </w:r>
    </w:p>
    <w:p w14:paraId="32F59242" w14:textId="77777777" w:rsidR="00F271C1" w:rsidRPr="00E01C9E" w:rsidRDefault="00F271C1" w:rsidP="00F271C1">
      <w:pPr>
        <w:pStyle w:val="Bullet"/>
      </w:pPr>
      <w:r w:rsidRPr="00E01C9E">
        <w:t>37.9 percent from the Energy sector</w:t>
      </w:r>
    </w:p>
    <w:p w14:paraId="11F8C113" w14:textId="77777777" w:rsidR="00F271C1" w:rsidRPr="00E01C9E" w:rsidRDefault="00F271C1" w:rsidP="00F271C1">
      <w:pPr>
        <w:pStyle w:val="Bullet"/>
      </w:pPr>
      <w:r w:rsidRPr="00E01C9E">
        <w:t>5.1 percent from the IPPU sector</w:t>
      </w:r>
    </w:p>
    <w:p w14:paraId="0F13BA3E" w14:textId="77777777" w:rsidR="00F271C1" w:rsidRPr="00E01C9E" w:rsidRDefault="00F271C1" w:rsidP="00F271C1">
      <w:pPr>
        <w:pStyle w:val="Bullet"/>
      </w:pPr>
      <w:r w:rsidRPr="00E01C9E">
        <w:t>4.0 per from the Waste sector</w:t>
      </w:r>
    </w:p>
    <w:p w14:paraId="02DC82D1" w14:textId="77777777" w:rsidR="00F271C1" w:rsidRPr="00E01C9E" w:rsidRDefault="00F271C1" w:rsidP="00F271C1">
      <w:pPr>
        <w:pStyle w:val="Bullet"/>
      </w:pPr>
      <w:r w:rsidRPr="00E01C9E">
        <w:t>0.006 percent from Tokelau (Other sector).</w:t>
      </w:r>
    </w:p>
    <w:p w14:paraId="6093386E" w14:textId="77777777" w:rsidR="00F271C1" w:rsidRPr="00E01C9E" w:rsidRDefault="00F271C1" w:rsidP="00F271C1">
      <w:pPr>
        <w:pStyle w:val="BodyText"/>
      </w:pPr>
      <w:r w:rsidRPr="00E01C9E">
        <w:t>The LULUCF sector currently represents a sink, with net emissions of -20,977.5 kt CO</w:t>
      </w:r>
      <w:r w:rsidRPr="00E01C9E">
        <w:rPr>
          <w:vertAlign w:val="subscript"/>
        </w:rPr>
        <w:t>2</w:t>
      </w:r>
      <w:r w:rsidRPr="00E01C9E">
        <w:t>e. In 2024, the LULUCF sector offset 27.7 percent of New Zealand’s gross emissions.</w:t>
      </w:r>
    </w:p>
    <w:p w14:paraId="0AE8D01F" w14:textId="77777777" w:rsidR="00F271C1" w:rsidRPr="00E01C9E" w:rsidRDefault="00F271C1" w:rsidP="00F271C1">
      <w:pPr>
        <w:pStyle w:val="Figure"/>
      </w:pPr>
      <w:bookmarkStart w:id="116" w:name="_Toc226200650"/>
      <w:r w:rsidRPr="00E01C9E">
        <w:t xml:space="preserve">Figure 2.2.1 </w:t>
      </w:r>
      <w:r w:rsidRPr="00E01C9E">
        <w:tab/>
        <w:t>New Zealand’s emissions by sector in 2024</w:t>
      </w:r>
      <w:bookmarkEnd w:id="116"/>
    </w:p>
    <w:p w14:paraId="2084FEEB" w14:textId="77777777" w:rsidR="00F271C1" w:rsidRPr="00E01C9E" w:rsidRDefault="00F271C1" w:rsidP="00F271C1">
      <w:pPr>
        <w:pStyle w:val="BodyText"/>
      </w:pPr>
      <w:r w:rsidRPr="00E01C9E">
        <w:rPr>
          <w:noProof/>
        </w:rPr>
        <w:drawing>
          <wp:inline distT="0" distB="0" distL="0" distR="0" wp14:anchorId="5BACCA1E" wp14:editId="0ED2D2A5">
            <wp:extent cx="5400675" cy="3962400"/>
            <wp:effectExtent l="0" t="0" r="9525" b="0"/>
            <wp:docPr id="18224528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52887" name="Picture 1822452887"/>
                    <pic:cNvPicPr/>
                  </pic:nvPicPr>
                  <pic:blipFill rotWithShape="1">
                    <a:blip r:embed="rId36">
                      <a:extLst>
                        <a:ext uri="{28A0092B-C50C-407E-A947-70E740481C1C}">
                          <a14:useLocalDpi xmlns:a14="http://schemas.microsoft.com/office/drawing/2010/main"/>
                        </a:ext>
                      </a:extLst>
                    </a:blip>
                    <a:srcRect b="2118"/>
                    <a:stretch>
                      <a:fillRect/>
                    </a:stretch>
                  </pic:blipFill>
                  <pic:spPr bwMode="auto">
                    <a:xfrm>
                      <a:off x="0" y="0"/>
                      <a:ext cx="5400675" cy="3962400"/>
                    </a:xfrm>
                    <a:prstGeom prst="rect">
                      <a:avLst/>
                    </a:prstGeom>
                    <a:ln>
                      <a:noFill/>
                    </a:ln>
                    <a:extLst>
                      <a:ext uri="{53640926-AAD7-44D8-BBD7-CCE9431645EC}">
                        <a14:shadowObscured xmlns:a14="http://schemas.microsoft.com/office/drawing/2010/main"/>
                      </a:ext>
                    </a:extLst>
                  </pic:spPr>
                </pic:pic>
              </a:graphicData>
            </a:graphic>
          </wp:inline>
        </w:drawing>
      </w:r>
    </w:p>
    <w:p w14:paraId="2934460E" w14:textId="77777777" w:rsidR="00F271C1" w:rsidRPr="00E01C9E" w:rsidRDefault="00F271C1" w:rsidP="00F271C1">
      <w:pPr>
        <w:pStyle w:val="Noteundertable"/>
      </w:pPr>
      <w:r w:rsidRPr="00E01C9E">
        <w:rPr>
          <w:b/>
          <w:bCs/>
        </w:rPr>
        <w:t>Note:</w:t>
      </w:r>
      <w:r w:rsidRPr="00E01C9E">
        <w:t xml:space="preserve"> </w:t>
      </w:r>
      <w:r w:rsidRPr="00E01C9E">
        <w:tab/>
        <w:t>The percentages may not add up to 100 percent due to rounding. The LULUCF sector, which is not a part of gross emissions, is included here as a negative value. The Tokelau sector is not visible due to its small contribution (4.2 kt CO</w:t>
      </w:r>
      <w:r w:rsidRPr="00E01C9E">
        <w:rPr>
          <w:vertAlign w:val="subscript"/>
        </w:rPr>
        <w:t>2</w:t>
      </w:r>
      <w:r w:rsidRPr="00E01C9E">
        <w:t>e or 0.006 percent of New Zealand’s gross greenhouse emissions).</w:t>
      </w:r>
    </w:p>
    <w:p w14:paraId="557041E7" w14:textId="77777777" w:rsidR="00F271C1" w:rsidRPr="00E01C9E" w:rsidRDefault="00F271C1" w:rsidP="00F271C1">
      <w:pPr>
        <w:pStyle w:val="BodyText"/>
        <w:keepNext/>
      </w:pPr>
      <w:r w:rsidRPr="00E01C9E">
        <w:t>Each of the sectors is dominated by one or two GHGs. Figure 2.2.2 shows New Zealand’s gross emissions by gas.</w:t>
      </w:r>
    </w:p>
    <w:p w14:paraId="4E9D2B4F" w14:textId="77777777" w:rsidR="00F271C1" w:rsidRPr="00E01C9E" w:rsidRDefault="00F271C1" w:rsidP="00F271C1">
      <w:pPr>
        <w:pStyle w:val="Figure"/>
      </w:pPr>
      <w:bookmarkStart w:id="117" w:name="_Toc226200651"/>
      <w:r w:rsidRPr="00E01C9E">
        <w:t xml:space="preserve">Figure 2.2.2 </w:t>
      </w:r>
      <w:r w:rsidRPr="00E01C9E">
        <w:tab/>
        <w:t>New Zealand’s gross emissions by gas in 2024</w:t>
      </w:r>
      <w:bookmarkEnd w:id="117"/>
    </w:p>
    <w:p w14:paraId="7E936138" w14:textId="77777777" w:rsidR="00F271C1" w:rsidRPr="00E01C9E" w:rsidRDefault="00F271C1" w:rsidP="00F271C1">
      <w:pPr>
        <w:pStyle w:val="BodyText"/>
        <w:jc w:val="center"/>
      </w:pPr>
      <w:r w:rsidRPr="00E01C9E">
        <w:rPr>
          <w:noProof/>
        </w:rPr>
        <w:drawing>
          <wp:inline distT="0" distB="0" distL="0" distR="0" wp14:anchorId="48E7AD14" wp14:editId="7AE7A763">
            <wp:extent cx="5400675" cy="3956539"/>
            <wp:effectExtent l="0" t="0" r="0" b="6350"/>
            <wp:docPr id="1201054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5460" name="Picture 120105460"/>
                    <pic:cNvPicPr/>
                  </pic:nvPicPr>
                  <pic:blipFill rotWithShape="1">
                    <a:blip r:embed="rId37">
                      <a:extLst>
                        <a:ext uri="{28A0092B-C50C-407E-A947-70E740481C1C}">
                          <a14:useLocalDpi xmlns:a14="http://schemas.microsoft.com/office/drawing/2010/main"/>
                        </a:ext>
                      </a:extLst>
                    </a:blip>
                    <a:srcRect b="2262"/>
                    <a:stretch>
                      <a:fillRect/>
                    </a:stretch>
                  </pic:blipFill>
                  <pic:spPr bwMode="auto">
                    <a:xfrm>
                      <a:off x="0" y="0"/>
                      <a:ext cx="5400675" cy="3956539"/>
                    </a:xfrm>
                    <a:prstGeom prst="rect">
                      <a:avLst/>
                    </a:prstGeom>
                    <a:ln>
                      <a:noFill/>
                    </a:ln>
                    <a:extLst>
                      <a:ext uri="{53640926-AAD7-44D8-BBD7-CCE9431645EC}">
                        <a14:shadowObscured xmlns:a14="http://schemas.microsoft.com/office/drawing/2010/main"/>
                      </a:ext>
                    </a:extLst>
                  </pic:spPr>
                </pic:pic>
              </a:graphicData>
            </a:graphic>
          </wp:inline>
        </w:drawing>
      </w:r>
    </w:p>
    <w:p w14:paraId="77059448" w14:textId="77777777" w:rsidR="00F271C1" w:rsidRPr="00E01C9E" w:rsidRDefault="00F271C1" w:rsidP="00F271C1">
      <w:pPr>
        <w:pStyle w:val="Noteundertable"/>
      </w:pPr>
      <w:r w:rsidRPr="00E01C9E">
        <w:rPr>
          <w:b/>
          <w:bCs/>
        </w:rPr>
        <w:t>Note</w:t>
      </w:r>
      <w:r w:rsidRPr="00E01C9E">
        <w:t>: The percentages may not add up to 100 percent due to rounding. F-gases = fluorinated gases.</w:t>
      </w:r>
    </w:p>
    <w:p w14:paraId="2C168093" w14:textId="77777777" w:rsidR="00F271C1" w:rsidRPr="00E01C9E" w:rsidRDefault="00F271C1" w:rsidP="00F271C1">
      <w:pPr>
        <w:pStyle w:val="BodyText"/>
        <w:spacing w:before="100" w:after="100"/>
      </w:pPr>
      <w:r w:rsidRPr="00E01C9E">
        <w:rPr>
          <w:spacing w:val="-2"/>
        </w:rPr>
        <w:t>In 2024, CH</w:t>
      </w:r>
      <w:r w:rsidRPr="00E01C9E">
        <w:rPr>
          <w:spacing w:val="-2"/>
          <w:vertAlign w:val="subscript"/>
        </w:rPr>
        <w:t>4</w:t>
      </w:r>
      <w:r w:rsidRPr="00E01C9E">
        <w:rPr>
          <w:spacing w:val="-2"/>
        </w:rPr>
        <w:t xml:space="preserve"> dominated New Zealand’s emissions profile, contributing 48.2 percent (36,514.1 kt</w:t>
      </w:r>
      <w:r w:rsidRPr="00E01C9E">
        <w:t xml:space="preserve"> CO</w:t>
      </w:r>
      <w:r w:rsidRPr="00E01C9E">
        <w:rPr>
          <w:vertAlign w:val="subscript"/>
        </w:rPr>
        <w:t>2</w:t>
      </w:r>
      <w:r w:rsidRPr="00E01C9E">
        <w:t>e) of gross emissions (figure 2.2.2). In 2024, the Agriculture sector contributed 91.0 percent (33,218.6 kt CO</w:t>
      </w:r>
      <w:r w:rsidRPr="00E01C9E">
        <w:rPr>
          <w:vertAlign w:val="subscript"/>
        </w:rPr>
        <w:t>2</w:t>
      </w:r>
      <w:r w:rsidRPr="00E01C9E">
        <w:t>e) of New Zealand’s CH</w:t>
      </w:r>
      <w:r w:rsidRPr="00E01C9E">
        <w:rPr>
          <w:vertAlign w:val="subscript"/>
        </w:rPr>
        <w:t>4</w:t>
      </w:r>
      <w:r w:rsidRPr="00E01C9E">
        <w:t xml:space="preserve"> emissions. The largest source of CH</w:t>
      </w:r>
      <w:r w:rsidRPr="00E01C9E">
        <w:rPr>
          <w:vertAlign w:val="subscript"/>
        </w:rPr>
        <w:t>4</w:t>
      </w:r>
      <w:r w:rsidRPr="00E01C9E">
        <w:t xml:space="preserve"> in the Agriculture sector was </w:t>
      </w:r>
      <w:r w:rsidRPr="00E01C9E">
        <w:rPr>
          <w:i/>
          <w:iCs/>
        </w:rPr>
        <w:t>Enteric fermentation</w:t>
      </w:r>
      <w:r w:rsidRPr="00E01C9E">
        <w:t>, producing 86.5 percent (31,588.3 kt CO</w:t>
      </w:r>
      <w:r w:rsidRPr="00E01C9E">
        <w:rPr>
          <w:vertAlign w:val="subscript"/>
        </w:rPr>
        <w:t>2</w:t>
      </w:r>
      <w:r w:rsidRPr="00E01C9E">
        <w:t>e) of New Zealand’s gross CH</w:t>
      </w:r>
      <w:r w:rsidRPr="00E01C9E">
        <w:rPr>
          <w:vertAlign w:val="subscript"/>
        </w:rPr>
        <w:t>4</w:t>
      </w:r>
      <w:r w:rsidRPr="00E01C9E">
        <w:t xml:space="preserve"> emissions. Methane was also the largest component of New Zealand’s Waste sector emissions, contributing 7.5 percent (2,754.1 kt CO</w:t>
      </w:r>
      <w:r w:rsidRPr="00E01C9E">
        <w:rPr>
          <w:vertAlign w:val="subscript"/>
        </w:rPr>
        <w:t>2</w:t>
      </w:r>
      <w:r w:rsidRPr="00E01C9E">
        <w:t>e) of gross CH</w:t>
      </w:r>
      <w:r w:rsidRPr="00E01C9E">
        <w:rPr>
          <w:vertAlign w:val="subscript"/>
        </w:rPr>
        <w:t xml:space="preserve">4 </w:t>
      </w:r>
      <w:r w:rsidRPr="00E01C9E">
        <w:t>emissions.</w:t>
      </w:r>
    </w:p>
    <w:p w14:paraId="764F48F6" w14:textId="77777777" w:rsidR="00F271C1" w:rsidRPr="00E01C9E" w:rsidRDefault="00F271C1" w:rsidP="00F271C1">
      <w:pPr>
        <w:pStyle w:val="BodyText"/>
        <w:spacing w:before="100" w:after="100"/>
      </w:pPr>
      <w:r w:rsidRPr="00E01C9E">
        <w:rPr>
          <w:spacing w:val="-2"/>
        </w:rPr>
        <w:t>In 2024, CO</w:t>
      </w:r>
      <w:r w:rsidRPr="00E01C9E">
        <w:rPr>
          <w:spacing w:val="-2"/>
          <w:vertAlign w:val="subscript"/>
        </w:rPr>
        <w:t>2</w:t>
      </w:r>
      <w:r w:rsidRPr="00E01C9E">
        <w:rPr>
          <w:spacing w:val="-2"/>
        </w:rPr>
        <w:t xml:space="preserve"> contributed 41.5 percent (31,436.2 kt CO</w:t>
      </w:r>
      <w:r w:rsidRPr="00E01C9E">
        <w:rPr>
          <w:spacing w:val="-2"/>
          <w:vertAlign w:val="subscript"/>
        </w:rPr>
        <w:t>2</w:t>
      </w:r>
      <w:r w:rsidRPr="00E01C9E">
        <w:rPr>
          <w:spacing w:val="-2"/>
        </w:rPr>
        <w:t>) towards New Zealand’s gross emissions</w:t>
      </w:r>
      <w:r w:rsidRPr="00E01C9E">
        <w:t>. In 2024, the Energy sector contributed the largest share of CO</w:t>
      </w:r>
      <w:r w:rsidRPr="00E01C9E">
        <w:rPr>
          <w:vertAlign w:val="subscript"/>
        </w:rPr>
        <w:t>2</w:t>
      </w:r>
      <w:r w:rsidRPr="00E01C9E">
        <w:t>, producing 89.3 percent (28,061.8 kt) of New Zealand’s gross CO</w:t>
      </w:r>
      <w:r w:rsidRPr="00E01C9E">
        <w:rPr>
          <w:vertAlign w:val="subscript"/>
        </w:rPr>
        <w:t>2</w:t>
      </w:r>
      <w:r w:rsidRPr="00E01C9E">
        <w:t xml:space="preserve"> emissions. The categories that contributed most to</w:t>
      </w:r>
      <w:r>
        <w:t> </w:t>
      </w:r>
      <w:r w:rsidRPr="00E01C9E">
        <w:t>CO</w:t>
      </w:r>
      <w:r w:rsidRPr="00E01C9E">
        <w:rPr>
          <w:vertAlign w:val="subscript"/>
        </w:rPr>
        <w:t>2</w:t>
      </w:r>
      <w:r w:rsidRPr="00E01C9E">
        <w:t xml:space="preserve"> emissions in the Energy sector were </w:t>
      </w:r>
      <w:r w:rsidRPr="00E01C9E">
        <w:rPr>
          <w:i/>
          <w:iCs/>
        </w:rPr>
        <w:t>Transport</w:t>
      </w:r>
      <w:r w:rsidRPr="00E01C9E">
        <w:t xml:space="preserve"> (43.4 percent or 13,638.1 kt CO</w:t>
      </w:r>
      <w:r w:rsidRPr="00E01C9E">
        <w:rPr>
          <w:vertAlign w:val="subscript"/>
        </w:rPr>
        <w:t>2</w:t>
      </w:r>
      <w:r w:rsidRPr="00E01C9E">
        <w:t xml:space="preserve">) and </w:t>
      </w:r>
      <w:r w:rsidRPr="00E01C9E">
        <w:rPr>
          <w:i/>
          <w:iCs/>
        </w:rPr>
        <w:t>Manufacturing industries and construction</w:t>
      </w:r>
      <w:r w:rsidRPr="00E01C9E">
        <w:t xml:space="preserve"> (17.0 percent or 5,340.9 kt CO</w:t>
      </w:r>
      <w:r w:rsidRPr="00E01C9E">
        <w:rPr>
          <w:vertAlign w:val="subscript"/>
        </w:rPr>
        <w:t>2</w:t>
      </w:r>
      <w:r w:rsidRPr="00E01C9E">
        <w:t>). In 2024, the LULUCF sector was a net CO</w:t>
      </w:r>
      <w:r w:rsidRPr="00E01C9E">
        <w:rPr>
          <w:vertAlign w:val="subscript"/>
        </w:rPr>
        <w:t>2</w:t>
      </w:r>
      <w:r w:rsidRPr="00E01C9E">
        <w:t xml:space="preserve"> sink, sequestering 67.5 percent (21,217.6 kt CO</w:t>
      </w:r>
      <w:r w:rsidRPr="00E01C9E">
        <w:rPr>
          <w:vertAlign w:val="subscript"/>
        </w:rPr>
        <w:t>2</w:t>
      </w:r>
      <w:r w:rsidRPr="00E01C9E">
        <w:t>) of New Zealand’s CO</w:t>
      </w:r>
      <w:r w:rsidRPr="00E01C9E">
        <w:rPr>
          <w:vertAlign w:val="subscript"/>
        </w:rPr>
        <w:t>2</w:t>
      </w:r>
      <w:r w:rsidRPr="00E01C9E">
        <w:t xml:space="preserve"> emissions. This resulted in net CO</w:t>
      </w:r>
      <w:r w:rsidRPr="00E01C9E">
        <w:rPr>
          <w:vertAlign w:val="subscript"/>
        </w:rPr>
        <w:t>2</w:t>
      </w:r>
      <w:r w:rsidRPr="00E01C9E">
        <w:t xml:space="preserve"> emissions of 10,218.5 kt in 2024.</w:t>
      </w:r>
    </w:p>
    <w:p w14:paraId="5AAF0318" w14:textId="77777777" w:rsidR="00F271C1" w:rsidRPr="00E01C9E" w:rsidRDefault="00F271C1" w:rsidP="00F271C1">
      <w:pPr>
        <w:pStyle w:val="BodyText"/>
        <w:spacing w:before="100" w:after="100"/>
      </w:pPr>
      <w:r w:rsidRPr="00E01C9E">
        <w:t>In 2024, N</w:t>
      </w:r>
      <w:r w:rsidRPr="00E01C9E">
        <w:rPr>
          <w:vertAlign w:val="subscript"/>
        </w:rPr>
        <w:t>2</w:t>
      </w:r>
      <w:r w:rsidRPr="00E01C9E">
        <w:t>O contributed 8.9 percent (6,726.5 kt CO</w:t>
      </w:r>
      <w:r w:rsidRPr="00E01C9E">
        <w:rPr>
          <w:vertAlign w:val="subscript"/>
        </w:rPr>
        <w:t>2</w:t>
      </w:r>
      <w:r w:rsidRPr="00E01C9E">
        <w:t xml:space="preserve">e) of New Zealand’s gross emissions. Emissions from the </w:t>
      </w:r>
      <w:r w:rsidRPr="00E01C9E">
        <w:rPr>
          <w:i/>
          <w:iCs/>
        </w:rPr>
        <w:t>Agricultural soils</w:t>
      </w:r>
      <w:r w:rsidRPr="00E01C9E">
        <w:t xml:space="preserve"> category (from adding nitrogen to soil, for example, through manure or fertiliser) were the largest source of New Zealand’s gross N</w:t>
      </w:r>
      <w:r w:rsidRPr="00E01C9E">
        <w:rPr>
          <w:vertAlign w:val="subscript"/>
        </w:rPr>
        <w:t>2</w:t>
      </w:r>
      <w:r w:rsidRPr="00E01C9E">
        <w:t>O emissions (at 91.1 percent or 6,127.6 kt CO</w:t>
      </w:r>
      <w:r w:rsidRPr="00E01C9E">
        <w:rPr>
          <w:vertAlign w:val="subscript"/>
        </w:rPr>
        <w:t>2</w:t>
      </w:r>
      <w:r w:rsidRPr="00E01C9E">
        <w:t>e). In 2024, the Agriculture sector contributed 92.7 percent of N</w:t>
      </w:r>
      <w:r w:rsidRPr="00E01C9E">
        <w:rPr>
          <w:vertAlign w:val="subscript"/>
        </w:rPr>
        <w:t>2</w:t>
      </w:r>
      <w:r w:rsidRPr="00E01C9E">
        <w:t>O towards New Zealand’s gross N</w:t>
      </w:r>
      <w:r w:rsidRPr="00E01C9E">
        <w:rPr>
          <w:vertAlign w:val="subscript"/>
        </w:rPr>
        <w:t>2</w:t>
      </w:r>
      <w:r w:rsidRPr="00E01C9E">
        <w:t>O emissions totals.</w:t>
      </w:r>
    </w:p>
    <w:p w14:paraId="0716A822" w14:textId="77777777" w:rsidR="00F271C1" w:rsidRPr="00E01C9E" w:rsidRDefault="00F271C1" w:rsidP="00F271C1">
      <w:pPr>
        <w:pStyle w:val="BodyText"/>
      </w:pPr>
      <w:r w:rsidRPr="00E01C9E">
        <w:t>In 2024, fluorinated gases (HFCs, PFCs and SF</w:t>
      </w:r>
      <w:r w:rsidRPr="00E01C9E">
        <w:rPr>
          <w:vertAlign w:val="subscript"/>
        </w:rPr>
        <w:t>6</w:t>
      </w:r>
      <w:r w:rsidRPr="00E01C9E">
        <w:t>) collectively contributed 1.5 percent to New</w:t>
      </w:r>
      <w:r>
        <w:t> </w:t>
      </w:r>
      <w:r w:rsidRPr="00E01C9E">
        <w:t>Zealand’s gross emissions. The IPPU sector is the only source of fluorinated gases in New</w:t>
      </w:r>
      <w:r>
        <w:t> </w:t>
      </w:r>
      <w:r w:rsidRPr="00E01C9E">
        <w:t>Zealand. In 2024, HFCs, PFCs and SF</w:t>
      </w:r>
      <w:r w:rsidRPr="00E01C9E">
        <w:rPr>
          <w:vertAlign w:val="subscript"/>
        </w:rPr>
        <w:t>6</w:t>
      </w:r>
      <w:r w:rsidRPr="00E01C9E">
        <w:t xml:space="preserve"> collectively emitted 1,134.9 kt CO</w:t>
      </w:r>
      <w:r w:rsidRPr="00E01C9E">
        <w:rPr>
          <w:vertAlign w:val="subscript"/>
        </w:rPr>
        <w:t>2</w:t>
      </w:r>
      <w:r w:rsidRPr="00E01C9E">
        <w:t>e. New Zealand does not manufacture any fluorinated gases domestically. Emissions of fluorinated gases were</w:t>
      </w:r>
      <w:r>
        <w:t> </w:t>
      </w:r>
      <w:r w:rsidRPr="00E01C9E">
        <w:t>dominated by HFCs (91.9 percent of all fluorinated gases). The PFCs and SF</w:t>
      </w:r>
      <w:r w:rsidRPr="00E01C9E">
        <w:rPr>
          <w:vertAlign w:val="subscript"/>
        </w:rPr>
        <w:t>6</w:t>
      </w:r>
      <w:r w:rsidRPr="00E01C9E">
        <w:t xml:space="preserve"> contributed 6.9 percent and 1.2 percent to total emissions of fluorinated gases, respectively. Almost all of New Zealand’s PFC emissions (99.99 percent) resulted from aluminium production. </w:t>
      </w:r>
    </w:p>
    <w:p w14:paraId="0B3CCFDC" w14:textId="77777777" w:rsidR="00F271C1" w:rsidRPr="00E01C9E" w:rsidRDefault="00F271C1" w:rsidP="00F271C1">
      <w:pPr>
        <w:pStyle w:val="Heading3"/>
      </w:pPr>
      <w:bookmarkStart w:id="118" w:name="Xec5d92345e08c8e224a08b6402613e4c75ddc48"/>
      <w:bookmarkEnd w:id="115"/>
      <w:r w:rsidRPr="00E01C9E">
        <w:t xml:space="preserve">2.2.2 </w:t>
      </w:r>
      <w:r w:rsidRPr="00E01C9E">
        <w:tab/>
        <w:t>Emission trends by sector from 1990 to 2024</w:t>
      </w:r>
    </w:p>
    <w:p w14:paraId="36FEE48B" w14:textId="77777777" w:rsidR="00F271C1" w:rsidRPr="00E01C9E" w:rsidRDefault="00F271C1" w:rsidP="00F271C1">
      <w:pPr>
        <w:pStyle w:val="BodyText"/>
      </w:pPr>
      <w:r w:rsidRPr="00E01C9E">
        <w:t>Figure 2.2.3 shows the contribution to net emissions that each inventory sector has made since 1990. The Agriculture and Energy sectors have dominated New Zealand’s gross emissions profile. Together, these sectors produced 90.4 percent of New Zealand’s annual gross GHG emissions from 1990 to 2024. The IPPU and Waste sectors produced relatively small amounts of GHGs, each contributing between 3.8 percent and 6.0 percent of annual gross emissions across the time series.</w:t>
      </w:r>
    </w:p>
    <w:p w14:paraId="6B92761F" w14:textId="77777777" w:rsidR="00F271C1" w:rsidRPr="00E01C9E" w:rsidRDefault="00F271C1" w:rsidP="00F271C1">
      <w:pPr>
        <w:pStyle w:val="BodyText"/>
      </w:pPr>
      <w:r w:rsidRPr="00E01C9E">
        <w:t>Conversely, the LULUCF sector was a net sink of GHG emissions between 1990 and 2024.</w:t>
      </w:r>
    </w:p>
    <w:p w14:paraId="6CCA63FE" w14:textId="77777777" w:rsidR="00F271C1" w:rsidRPr="00E01C9E" w:rsidRDefault="00F271C1" w:rsidP="00F271C1">
      <w:pPr>
        <w:pStyle w:val="Figure"/>
      </w:pPr>
      <w:bookmarkStart w:id="119" w:name="_Toc226200652"/>
      <w:r w:rsidRPr="00E01C9E">
        <w:t xml:space="preserve">Figure 2.2.3 </w:t>
      </w:r>
      <w:r w:rsidRPr="00E01C9E">
        <w:tab/>
        <w:t>Trends in New Zealand’s greenhouse gas emissions by sector, from 1990 to 2024</w:t>
      </w:r>
      <w:bookmarkEnd w:id="119"/>
    </w:p>
    <w:p w14:paraId="2B6AF44C" w14:textId="77777777" w:rsidR="00F271C1" w:rsidRPr="00E01C9E" w:rsidRDefault="00F271C1" w:rsidP="00F271C1">
      <w:pPr>
        <w:pStyle w:val="BodyText"/>
      </w:pPr>
      <w:r w:rsidRPr="00E01C9E">
        <w:rPr>
          <w:noProof/>
        </w:rPr>
        <w:drawing>
          <wp:inline distT="0" distB="0" distL="0" distR="0" wp14:anchorId="240D79FA" wp14:editId="340D2CC9">
            <wp:extent cx="5400675" cy="3950677"/>
            <wp:effectExtent l="0" t="0" r="0" b="0"/>
            <wp:docPr id="5620346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034626" name="Picture 562034626"/>
                    <pic:cNvPicPr/>
                  </pic:nvPicPr>
                  <pic:blipFill rotWithShape="1">
                    <a:blip r:embed="rId25">
                      <a:extLst>
                        <a:ext uri="{28A0092B-C50C-407E-A947-70E740481C1C}">
                          <a14:useLocalDpi xmlns:a14="http://schemas.microsoft.com/office/drawing/2010/main"/>
                        </a:ext>
                      </a:extLst>
                    </a:blip>
                    <a:srcRect b="2407"/>
                    <a:stretch>
                      <a:fillRect/>
                    </a:stretch>
                  </pic:blipFill>
                  <pic:spPr bwMode="auto">
                    <a:xfrm>
                      <a:off x="0" y="0"/>
                      <a:ext cx="5400675" cy="3950677"/>
                    </a:xfrm>
                    <a:prstGeom prst="rect">
                      <a:avLst/>
                    </a:prstGeom>
                    <a:ln>
                      <a:noFill/>
                    </a:ln>
                    <a:extLst>
                      <a:ext uri="{53640926-AAD7-44D8-BBD7-CCE9431645EC}">
                        <a14:shadowObscured xmlns:a14="http://schemas.microsoft.com/office/drawing/2010/main"/>
                      </a:ext>
                    </a:extLst>
                  </pic:spPr>
                </pic:pic>
              </a:graphicData>
            </a:graphic>
          </wp:inline>
        </w:drawing>
      </w:r>
    </w:p>
    <w:p w14:paraId="412AC62D" w14:textId="77777777" w:rsidR="00F271C1" w:rsidRPr="00E01C9E" w:rsidRDefault="00F271C1" w:rsidP="00F271C1">
      <w:pPr>
        <w:pStyle w:val="Noteundertable"/>
      </w:pPr>
      <w:r w:rsidRPr="00E01C9E">
        <w:rPr>
          <w:b/>
          <w:bCs/>
        </w:rPr>
        <w:t>Note:</w:t>
      </w:r>
      <w:r w:rsidRPr="00E01C9E">
        <w:t xml:space="preserve"> </w:t>
      </w:r>
      <w:r w:rsidRPr="00E01C9E">
        <w:tab/>
        <w:t>Net removals from the LULUCF sector are as reported under the United Nations Framework Convention on Climate Change (see chapter 6).</w:t>
      </w:r>
    </w:p>
    <w:p w14:paraId="21017987" w14:textId="77777777" w:rsidR="00F271C1" w:rsidRPr="00E01C9E" w:rsidRDefault="00F271C1" w:rsidP="00F271C1">
      <w:pPr>
        <w:pStyle w:val="BodyText"/>
        <w:keepNext/>
      </w:pPr>
      <w:r w:rsidRPr="00E01C9E">
        <w:t>Table 2.2.1 presents New Zealand’s emissions by sector in 1990, 2005 and 2024 and the change between the years in absolute terms and by percentage.</w:t>
      </w:r>
    </w:p>
    <w:p w14:paraId="509FE6F7" w14:textId="77777777" w:rsidR="00F271C1" w:rsidRPr="00E01C9E" w:rsidRDefault="00F271C1" w:rsidP="00F271C1">
      <w:pPr>
        <w:pStyle w:val="Table"/>
      </w:pPr>
      <w:bookmarkStart w:id="120" w:name="_Toc226668949"/>
      <w:r w:rsidRPr="00E01C9E">
        <w:t xml:space="preserve">Table 2.2.1 </w:t>
      </w:r>
      <w:r w:rsidRPr="00E01C9E">
        <w:tab/>
        <w:t>New Zealand’s emissions by sector, comparing 1990, 2005 and 2024</w:t>
      </w:r>
      <w:bookmarkEnd w:id="120"/>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149"/>
        <w:gridCol w:w="910"/>
        <w:gridCol w:w="910"/>
        <w:gridCol w:w="1105"/>
        <w:gridCol w:w="1170"/>
        <w:gridCol w:w="1040"/>
        <w:gridCol w:w="1170"/>
        <w:gridCol w:w="1040"/>
      </w:tblGrid>
      <w:tr w:rsidR="00F271C1" w:rsidRPr="007226B7" w14:paraId="743D227C" w14:textId="77777777" w:rsidTr="00F16E23">
        <w:trPr>
          <w:tblHeader/>
        </w:trPr>
        <w:tc>
          <w:tcPr>
            <w:tcW w:w="1002" w:type="dxa"/>
            <w:shd w:val="clear" w:color="auto" w:fill="1C556C" w:themeFill="accent1"/>
            <w:tcMar>
              <w:top w:w="0" w:type="dxa"/>
              <w:left w:w="85" w:type="dxa"/>
              <w:bottom w:w="0" w:type="dxa"/>
              <w:right w:w="85" w:type="dxa"/>
            </w:tcMar>
            <w:vAlign w:val="bottom"/>
          </w:tcPr>
          <w:p w14:paraId="216C710B" w14:textId="77777777" w:rsidR="00F271C1" w:rsidRPr="007226B7" w:rsidRDefault="00F271C1" w:rsidP="00F16E23">
            <w:pPr>
              <w:pStyle w:val="TableTextBold"/>
              <w:keepNext/>
              <w:spacing w:before="40" w:after="40"/>
              <w:rPr>
                <w:noProof w:val="0"/>
                <w:color w:val="FFFFFF" w:themeColor="background1"/>
                <w:szCs w:val="16"/>
              </w:rPr>
            </w:pPr>
            <w:r w:rsidRPr="007226B7">
              <w:rPr>
                <w:rFonts w:eastAsia="Calibri"/>
                <w:noProof w:val="0"/>
                <w:color w:val="FFFFFF" w:themeColor="background1"/>
                <w:szCs w:val="16"/>
              </w:rPr>
              <w:t>Sector</w:t>
            </w:r>
          </w:p>
        </w:tc>
        <w:tc>
          <w:tcPr>
            <w:tcW w:w="794" w:type="dxa"/>
            <w:shd w:val="clear" w:color="auto" w:fill="1C556C" w:themeFill="accent1"/>
            <w:tcMar>
              <w:top w:w="0" w:type="dxa"/>
              <w:left w:w="85" w:type="dxa"/>
              <w:bottom w:w="0" w:type="dxa"/>
              <w:right w:w="85" w:type="dxa"/>
            </w:tcMar>
            <w:vAlign w:val="bottom"/>
          </w:tcPr>
          <w:p w14:paraId="58396845" w14:textId="77777777" w:rsidR="00F271C1" w:rsidRPr="007226B7" w:rsidRDefault="00F271C1" w:rsidP="00F16E23">
            <w:pPr>
              <w:pStyle w:val="TableTextBold"/>
              <w:keepNext/>
              <w:spacing w:before="40" w:after="40"/>
              <w:jc w:val="right"/>
              <w:rPr>
                <w:noProof w:val="0"/>
                <w:color w:val="FFFFFF" w:themeColor="background1"/>
                <w:szCs w:val="16"/>
              </w:rPr>
            </w:pPr>
            <w:r w:rsidRPr="007226B7">
              <w:rPr>
                <w:rFonts w:eastAsia="Calibri"/>
                <w:noProof w:val="0"/>
                <w:color w:val="FFFFFF" w:themeColor="background1"/>
                <w:szCs w:val="16"/>
              </w:rPr>
              <w:t>1990</w:t>
            </w:r>
          </w:p>
        </w:tc>
        <w:tc>
          <w:tcPr>
            <w:tcW w:w="794" w:type="dxa"/>
            <w:shd w:val="clear" w:color="auto" w:fill="1C556C" w:themeFill="accent1"/>
            <w:tcMar>
              <w:top w:w="0" w:type="dxa"/>
              <w:left w:w="85" w:type="dxa"/>
              <w:bottom w:w="0" w:type="dxa"/>
              <w:right w:w="85" w:type="dxa"/>
            </w:tcMar>
            <w:vAlign w:val="bottom"/>
          </w:tcPr>
          <w:p w14:paraId="2D61FE87" w14:textId="77777777" w:rsidR="00F271C1" w:rsidRPr="007226B7" w:rsidRDefault="00F271C1" w:rsidP="00F16E23">
            <w:pPr>
              <w:pStyle w:val="TableTextBold"/>
              <w:keepNext/>
              <w:spacing w:before="40" w:after="40"/>
              <w:jc w:val="right"/>
              <w:rPr>
                <w:noProof w:val="0"/>
                <w:color w:val="FFFFFF" w:themeColor="background1"/>
                <w:szCs w:val="16"/>
              </w:rPr>
            </w:pPr>
            <w:r w:rsidRPr="007226B7">
              <w:rPr>
                <w:rFonts w:eastAsia="Calibri"/>
                <w:noProof w:val="0"/>
                <w:color w:val="FFFFFF" w:themeColor="background1"/>
                <w:szCs w:val="16"/>
              </w:rPr>
              <w:t>2005</w:t>
            </w:r>
          </w:p>
        </w:tc>
        <w:tc>
          <w:tcPr>
            <w:tcW w:w="964" w:type="dxa"/>
            <w:shd w:val="clear" w:color="auto" w:fill="1C556C" w:themeFill="accent1"/>
            <w:tcMar>
              <w:top w:w="0" w:type="dxa"/>
              <w:left w:w="85" w:type="dxa"/>
              <w:bottom w:w="0" w:type="dxa"/>
              <w:right w:w="85" w:type="dxa"/>
            </w:tcMar>
            <w:vAlign w:val="bottom"/>
          </w:tcPr>
          <w:p w14:paraId="236E4441" w14:textId="77777777" w:rsidR="00F271C1" w:rsidRPr="007226B7" w:rsidRDefault="00F271C1" w:rsidP="00F16E23">
            <w:pPr>
              <w:pStyle w:val="TableTextBold"/>
              <w:keepNext/>
              <w:spacing w:before="40" w:after="40"/>
              <w:jc w:val="right"/>
              <w:rPr>
                <w:noProof w:val="0"/>
                <w:color w:val="FFFFFF" w:themeColor="background1"/>
                <w:szCs w:val="16"/>
              </w:rPr>
            </w:pPr>
            <w:r w:rsidRPr="007226B7">
              <w:rPr>
                <w:rFonts w:eastAsia="Calibri"/>
                <w:noProof w:val="0"/>
                <w:color w:val="FFFFFF" w:themeColor="background1"/>
                <w:szCs w:val="16"/>
              </w:rPr>
              <w:t>2024</w:t>
            </w:r>
          </w:p>
        </w:tc>
        <w:tc>
          <w:tcPr>
            <w:tcW w:w="1021" w:type="dxa"/>
            <w:shd w:val="clear" w:color="auto" w:fill="1C556C" w:themeFill="accent1"/>
            <w:tcMar>
              <w:top w:w="0" w:type="dxa"/>
              <w:left w:w="85" w:type="dxa"/>
              <w:bottom w:w="0" w:type="dxa"/>
              <w:right w:w="85" w:type="dxa"/>
            </w:tcMar>
            <w:vAlign w:val="bottom"/>
          </w:tcPr>
          <w:p w14:paraId="583D48D4" w14:textId="77777777" w:rsidR="00F271C1" w:rsidRPr="007226B7" w:rsidRDefault="00F271C1" w:rsidP="00F16E23">
            <w:pPr>
              <w:pStyle w:val="TableTextBold"/>
              <w:keepNext/>
              <w:spacing w:before="40" w:after="40"/>
              <w:jc w:val="right"/>
              <w:rPr>
                <w:noProof w:val="0"/>
                <w:color w:val="FFFFFF" w:themeColor="background1"/>
                <w:szCs w:val="16"/>
              </w:rPr>
            </w:pPr>
            <w:r w:rsidRPr="007226B7">
              <w:rPr>
                <w:rFonts w:eastAsia="Calibri"/>
                <w:noProof w:val="0"/>
                <w:color w:val="FFFFFF" w:themeColor="background1"/>
                <w:szCs w:val="16"/>
              </w:rPr>
              <w:t>Change from 1990 (kt CO</w:t>
            </w:r>
            <w:r w:rsidRPr="007226B7">
              <w:rPr>
                <w:rFonts w:eastAsia="Calibri"/>
                <w:noProof w:val="0"/>
                <w:color w:val="FFFFFF" w:themeColor="background1"/>
                <w:szCs w:val="16"/>
                <w:vertAlign w:val="subscript"/>
              </w:rPr>
              <w:t>2</w:t>
            </w:r>
            <w:r w:rsidRPr="007226B7">
              <w:rPr>
                <w:rFonts w:eastAsia="Calibri"/>
                <w:noProof w:val="0"/>
                <w:color w:val="FFFFFF" w:themeColor="background1"/>
                <w:szCs w:val="16"/>
              </w:rPr>
              <w:t>e)</w:t>
            </w:r>
          </w:p>
        </w:tc>
        <w:tc>
          <w:tcPr>
            <w:tcW w:w="907" w:type="dxa"/>
            <w:shd w:val="clear" w:color="auto" w:fill="1C556C" w:themeFill="accent1"/>
            <w:tcMar>
              <w:top w:w="0" w:type="dxa"/>
              <w:left w:w="85" w:type="dxa"/>
              <w:bottom w:w="0" w:type="dxa"/>
              <w:right w:w="85" w:type="dxa"/>
            </w:tcMar>
            <w:vAlign w:val="bottom"/>
          </w:tcPr>
          <w:p w14:paraId="421FD757" w14:textId="77777777" w:rsidR="00F271C1" w:rsidRPr="007226B7" w:rsidRDefault="00F271C1" w:rsidP="00F16E23">
            <w:pPr>
              <w:pStyle w:val="TableTextBold"/>
              <w:keepNext/>
              <w:spacing w:before="40" w:after="40"/>
              <w:jc w:val="right"/>
              <w:rPr>
                <w:noProof w:val="0"/>
                <w:color w:val="FFFFFF" w:themeColor="background1"/>
                <w:szCs w:val="16"/>
              </w:rPr>
            </w:pPr>
            <w:r w:rsidRPr="007226B7">
              <w:rPr>
                <w:rFonts w:eastAsia="Calibri"/>
                <w:noProof w:val="0"/>
                <w:color w:val="FFFFFF" w:themeColor="background1"/>
                <w:szCs w:val="16"/>
              </w:rPr>
              <w:t>Change from 1990 (%)</w:t>
            </w:r>
          </w:p>
        </w:tc>
        <w:tc>
          <w:tcPr>
            <w:tcW w:w="1021" w:type="dxa"/>
            <w:shd w:val="clear" w:color="auto" w:fill="1C556C" w:themeFill="accent1"/>
            <w:tcMar>
              <w:top w:w="0" w:type="dxa"/>
              <w:left w:w="85" w:type="dxa"/>
              <w:bottom w:w="0" w:type="dxa"/>
              <w:right w:w="85" w:type="dxa"/>
            </w:tcMar>
            <w:vAlign w:val="bottom"/>
          </w:tcPr>
          <w:p w14:paraId="5A94F4C7" w14:textId="77777777" w:rsidR="00F271C1" w:rsidRPr="007226B7" w:rsidRDefault="00F271C1" w:rsidP="00F16E23">
            <w:pPr>
              <w:pStyle w:val="TableTextBold"/>
              <w:keepNext/>
              <w:spacing w:before="40" w:after="40"/>
              <w:jc w:val="right"/>
              <w:rPr>
                <w:noProof w:val="0"/>
                <w:color w:val="FFFFFF" w:themeColor="background1"/>
                <w:szCs w:val="16"/>
              </w:rPr>
            </w:pPr>
            <w:r w:rsidRPr="007226B7">
              <w:rPr>
                <w:rFonts w:eastAsia="Calibri"/>
                <w:noProof w:val="0"/>
                <w:color w:val="FFFFFF" w:themeColor="background1"/>
                <w:szCs w:val="16"/>
              </w:rPr>
              <w:t>Change from 2005 (kt CO</w:t>
            </w:r>
            <w:r w:rsidRPr="007226B7">
              <w:rPr>
                <w:rFonts w:eastAsia="Calibri"/>
                <w:noProof w:val="0"/>
                <w:color w:val="FFFFFF" w:themeColor="background1"/>
                <w:szCs w:val="16"/>
                <w:vertAlign w:val="subscript"/>
              </w:rPr>
              <w:t>2</w:t>
            </w:r>
            <w:r w:rsidRPr="007226B7">
              <w:rPr>
                <w:rFonts w:eastAsia="Calibri"/>
                <w:noProof w:val="0"/>
                <w:color w:val="FFFFFF" w:themeColor="background1"/>
                <w:szCs w:val="16"/>
              </w:rPr>
              <w:t>e)</w:t>
            </w:r>
          </w:p>
        </w:tc>
        <w:tc>
          <w:tcPr>
            <w:tcW w:w="907" w:type="dxa"/>
            <w:shd w:val="clear" w:color="auto" w:fill="1C556C" w:themeFill="accent1"/>
            <w:tcMar>
              <w:top w:w="0" w:type="dxa"/>
              <w:left w:w="85" w:type="dxa"/>
              <w:bottom w:w="0" w:type="dxa"/>
              <w:right w:w="85" w:type="dxa"/>
            </w:tcMar>
            <w:vAlign w:val="bottom"/>
          </w:tcPr>
          <w:p w14:paraId="1F7F5DC5" w14:textId="77777777" w:rsidR="00F271C1" w:rsidRPr="007226B7" w:rsidRDefault="00F271C1" w:rsidP="00F16E23">
            <w:pPr>
              <w:pStyle w:val="TableTextBold"/>
              <w:keepNext/>
              <w:spacing w:before="40" w:after="40"/>
              <w:jc w:val="right"/>
              <w:rPr>
                <w:noProof w:val="0"/>
                <w:color w:val="FFFFFF" w:themeColor="background1"/>
                <w:szCs w:val="16"/>
              </w:rPr>
            </w:pPr>
            <w:r w:rsidRPr="007226B7">
              <w:rPr>
                <w:rFonts w:eastAsia="Calibri"/>
                <w:noProof w:val="0"/>
                <w:color w:val="FFFFFF" w:themeColor="background1"/>
                <w:szCs w:val="16"/>
              </w:rPr>
              <w:t>Change from 2005 (%)</w:t>
            </w:r>
          </w:p>
        </w:tc>
      </w:tr>
      <w:tr w:rsidR="00F271C1" w:rsidRPr="007226B7" w14:paraId="1AF2CCB7" w14:textId="77777777" w:rsidTr="00F16E23">
        <w:tc>
          <w:tcPr>
            <w:tcW w:w="1002" w:type="dxa"/>
            <w:shd w:val="clear" w:color="auto" w:fill="FFFFFF" w:themeFill="background1"/>
            <w:tcMar>
              <w:top w:w="0" w:type="dxa"/>
              <w:left w:w="85" w:type="dxa"/>
              <w:bottom w:w="0" w:type="dxa"/>
              <w:right w:w="85" w:type="dxa"/>
            </w:tcMar>
            <w:vAlign w:val="center"/>
          </w:tcPr>
          <w:p w14:paraId="6860D9AB" w14:textId="77777777" w:rsidR="00F271C1" w:rsidRPr="007226B7" w:rsidRDefault="00F271C1" w:rsidP="00F16E23">
            <w:pPr>
              <w:pStyle w:val="TableText"/>
              <w:keepNext/>
              <w:spacing w:before="40" w:after="40"/>
              <w:rPr>
                <w:szCs w:val="16"/>
              </w:rPr>
            </w:pPr>
            <w:r w:rsidRPr="007226B7">
              <w:rPr>
                <w:rFonts w:eastAsia="Calibri"/>
                <w:szCs w:val="16"/>
              </w:rPr>
              <w:t>Energy</w:t>
            </w:r>
          </w:p>
        </w:tc>
        <w:tc>
          <w:tcPr>
            <w:tcW w:w="794" w:type="dxa"/>
            <w:shd w:val="clear" w:color="auto" w:fill="FFFFFF" w:themeFill="background1"/>
            <w:tcMar>
              <w:top w:w="0" w:type="dxa"/>
              <w:left w:w="85" w:type="dxa"/>
              <w:bottom w:w="0" w:type="dxa"/>
              <w:right w:w="85" w:type="dxa"/>
            </w:tcMar>
            <w:vAlign w:val="center"/>
          </w:tcPr>
          <w:p w14:paraId="668B613E" w14:textId="77777777" w:rsidR="00F271C1" w:rsidRPr="007226B7" w:rsidRDefault="00F271C1" w:rsidP="00F16E23">
            <w:pPr>
              <w:pStyle w:val="TableText"/>
              <w:keepNext/>
              <w:spacing w:before="40" w:after="40"/>
              <w:jc w:val="right"/>
              <w:rPr>
                <w:szCs w:val="16"/>
              </w:rPr>
            </w:pPr>
            <w:r w:rsidRPr="007226B7">
              <w:rPr>
                <w:rFonts w:eastAsia="Calibri"/>
                <w:szCs w:val="16"/>
              </w:rPr>
              <w:t>23,999.8</w:t>
            </w:r>
          </w:p>
        </w:tc>
        <w:tc>
          <w:tcPr>
            <w:tcW w:w="794" w:type="dxa"/>
            <w:shd w:val="clear" w:color="auto" w:fill="FFFFFF" w:themeFill="background1"/>
            <w:tcMar>
              <w:top w:w="0" w:type="dxa"/>
              <w:left w:w="85" w:type="dxa"/>
              <w:bottom w:w="0" w:type="dxa"/>
              <w:right w:w="85" w:type="dxa"/>
            </w:tcMar>
            <w:vAlign w:val="center"/>
          </w:tcPr>
          <w:p w14:paraId="0C1E657D" w14:textId="77777777" w:rsidR="00F271C1" w:rsidRPr="007226B7" w:rsidRDefault="00F271C1" w:rsidP="00F16E23">
            <w:pPr>
              <w:pStyle w:val="TableText"/>
              <w:keepNext/>
              <w:spacing w:before="40" w:after="40"/>
              <w:jc w:val="right"/>
              <w:rPr>
                <w:szCs w:val="16"/>
              </w:rPr>
            </w:pPr>
            <w:r w:rsidRPr="007226B7">
              <w:rPr>
                <w:rFonts w:eastAsia="Calibri"/>
                <w:szCs w:val="16"/>
              </w:rPr>
              <w:t>34,596.7</w:t>
            </w:r>
          </w:p>
        </w:tc>
        <w:tc>
          <w:tcPr>
            <w:tcW w:w="964" w:type="dxa"/>
            <w:shd w:val="clear" w:color="auto" w:fill="FFFFFF" w:themeFill="background1"/>
            <w:tcMar>
              <w:top w:w="0" w:type="dxa"/>
              <w:left w:w="85" w:type="dxa"/>
              <w:bottom w:w="0" w:type="dxa"/>
              <w:right w:w="85" w:type="dxa"/>
            </w:tcMar>
            <w:vAlign w:val="center"/>
          </w:tcPr>
          <w:p w14:paraId="05281759" w14:textId="77777777" w:rsidR="00F271C1" w:rsidRPr="007226B7" w:rsidRDefault="00F271C1" w:rsidP="00F16E23">
            <w:pPr>
              <w:pStyle w:val="TableText"/>
              <w:keepNext/>
              <w:spacing w:before="40" w:after="40"/>
              <w:jc w:val="right"/>
              <w:rPr>
                <w:szCs w:val="16"/>
              </w:rPr>
            </w:pPr>
            <w:r w:rsidRPr="007226B7">
              <w:rPr>
                <w:rFonts w:eastAsia="Calibri"/>
                <w:szCs w:val="16"/>
              </w:rPr>
              <w:t>28,753.2</w:t>
            </w:r>
          </w:p>
        </w:tc>
        <w:tc>
          <w:tcPr>
            <w:tcW w:w="1021" w:type="dxa"/>
            <w:shd w:val="clear" w:color="auto" w:fill="FFFFFF" w:themeFill="background1"/>
            <w:tcMar>
              <w:top w:w="0" w:type="dxa"/>
              <w:left w:w="85" w:type="dxa"/>
              <w:bottom w:w="0" w:type="dxa"/>
              <w:right w:w="85" w:type="dxa"/>
            </w:tcMar>
            <w:vAlign w:val="center"/>
          </w:tcPr>
          <w:p w14:paraId="6E1467E1" w14:textId="77777777" w:rsidR="00F271C1" w:rsidRPr="007226B7" w:rsidRDefault="00F271C1" w:rsidP="00F16E23">
            <w:pPr>
              <w:pStyle w:val="TableText"/>
              <w:keepNext/>
              <w:spacing w:before="40" w:after="40"/>
              <w:jc w:val="right"/>
              <w:rPr>
                <w:szCs w:val="16"/>
              </w:rPr>
            </w:pPr>
            <w:r w:rsidRPr="007226B7">
              <w:rPr>
                <w:rFonts w:eastAsia="Calibri"/>
                <w:szCs w:val="16"/>
              </w:rPr>
              <w:t>4,753.4</w:t>
            </w:r>
          </w:p>
        </w:tc>
        <w:tc>
          <w:tcPr>
            <w:tcW w:w="907" w:type="dxa"/>
            <w:shd w:val="clear" w:color="auto" w:fill="FFFFFF" w:themeFill="background1"/>
            <w:tcMar>
              <w:top w:w="0" w:type="dxa"/>
              <w:left w:w="85" w:type="dxa"/>
              <w:bottom w:w="0" w:type="dxa"/>
              <w:right w:w="85" w:type="dxa"/>
            </w:tcMar>
            <w:vAlign w:val="center"/>
          </w:tcPr>
          <w:p w14:paraId="1FE20592" w14:textId="77777777" w:rsidR="00F271C1" w:rsidRPr="007226B7" w:rsidRDefault="00F271C1" w:rsidP="00F16E23">
            <w:pPr>
              <w:pStyle w:val="TableText"/>
              <w:keepNext/>
              <w:spacing w:before="40" w:after="40"/>
              <w:jc w:val="right"/>
              <w:rPr>
                <w:szCs w:val="16"/>
              </w:rPr>
            </w:pPr>
            <w:r w:rsidRPr="007226B7">
              <w:rPr>
                <w:rFonts w:eastAsia="Calibri"/>
                <w:szCs w:val="16"/>
              </w:rPr>
              <w:t>19.8</w:t>
            </w:r>
          </w:p>
        </w:tc>
        <w:tc>
          <w:tcPr>
            <w:tcW w:w="1021" w:type="dxa"/>
            <w:shd w:val="clear" w:color="auto" w:fill="FFFFFF" w:themeFill="background1"/>
            <w:tcMar>
              <w:top w:w="0" w:type="dxa"/>
              <w:left w:w="85" w:type="dxa"/>
              <w:bottom w:w="0" w:type="dxa"/>
              <w:right w:w="85" w:type="dxa"/>
            </w:tcMar>
            <w:vAlign w:val="center"/>
          </w:tcPr>
          <w:p w14:paraId="3CFC7BFE" w14:textId="77777777" w:rsidR="00F271C1" w:rsidRPr="007226B7" w:rsidRDefault="00F271C1" w:rsidP="00F16E23">
            <w:pPr>
              <w:pStyle w:val="TableText"/>
              <w:keepNext/>
              <w:spacing w:before="40" w:after="40"/>
              <w:jc w:val="right"/>
              <w:rPr>
                <w:szCs w:val="16"/>
              </w:rPr>
            </w:pPr>
            <w:r w:rsidRPr="007226B7">
              <w:rPr>
                <w:rFonts w:eastAsia="Calibri"/>
                <w:szCs w:val="16"/>
              </w:rPr>
              <w:t>-5,843.4</w:t>
            </w:r>
          </w:p>
        </w:tc>
        <w:tc>
          <w:tcPr>
            <w:tcW w:w="907" w:type="dxa"/>
            <w:shd w:val="clear" w:color="auto" w:fill="FFFFFF" w:themeFill="background1"/>
            <w:tcMar>
              <w:top w:w="0" w:type="dxa"/>
              <w:left w:w="85" w:type="dxa"/>
              <w:bottom w:w="0" w:type="dxa"/>
              <w:right w:w="85" w:type="dxa"/>
            </w:tcMar>
            <w:vAlign w:val="center"/>
          </w:tcPr>
          <w:p w14:paraId="3D2DA3D4" w14:textId="77777777" w:rsidR="00F271C1" w:rsidRPr="007226B7" w:rsidRDefault="00F271C1" w:rsidP="00F16E23">
            <w:pPr>
              <w:pStyle w:val="TableText"/>
              <w:keepNext/>
              <w:spacing w:before="40" w:after="40"/>
              <w:jc w:val="right"/>
              <w:rPr>
                <w:szCs w:val="16"/>
              </w:rPr>
            </w:pPr>
            <w:r w:rsidRPr="007226B7">
              <w:rPr>
                <w:rFonts w:eastAsia="Calibri"/>
                <w:szCs w:val="16"/>
              </w:rPr>
              <w:t>-16.9</w:t>
            </w:r>
          </w:p>
        </w:tc>
      </w:tr>
      <w:tr w:rsidR="00F271C1" w:rsidRPr="007226B7" w14:paraId="41A916C4" w14:textId="77777777" w:rsidTr="00F16E23">
        <w:tc>
          <w:tcPr>
            <w:tcW w:w="1002" w:type="dxa"/>
            <w:shd w:val="clear" w:color="auto" w:fill="FFFFFF" w:themeFill="background1"/>
            <w:tcMar>
              <w:top w:w="0" w:type="dxa"/>
              <w:left w:w="85" w:type="dxa"/>
              <w:bottom w:w="0" w:type="dxa"/>
              <w:right w:w="85" w:type="dxa"/>
            </w:tcMar>
            <w:vAlign w:val="center"/>
          </w:tcPr>
          <w:p w14:paraId="6FA45401" w14:textId="77777777" w:rsidR="00F271C1" w:rsidRPr="007226B7" w:rsidRDefault="00F271C1" w:rsidP="00F16E23">
            <w:pPr>
              <w:pStyle w:val="TableText"/>
              <w:keepNext/>
              <w:spacing w:before="40" w:after="40"/>
              <w:rPr>
                <w:szCs w:val="16"/>
              </w:rPr>
            </w:pPr>
            <w:r w:rsidRPr="007226B7">
              <w:rPr>
                <w:rFonts w:eastAsia="Calibri"/>
                <w:szCs w:val="16"/>
              </w:rPr>
              <w:t>IPPU</w:t>
            </w:r>
          </w:p>
        </w:tc>
        <w:tc>
          <w:tcPr>
            <w:tcW w:w="794" w:type="dxa"/>
            <w:shd w:val="clear" w:color="auto" w:fill="FFFFFF" w:themeFill="background1"/>
            <w:tcMar>
              <w:top w:w="0" w:type="dxa"/>
              <w:left w:w="85" w:type="dxa"/>
              <w:bottom w:w="0" w:type="dxa"/>
              <w:right w:w="85" w:type="dxa"/>
            </w:tcMar>
            <w:vAlign w:val="center"/>
          </w:tcPr>
          <w:p w14:paraId="0E37AE2A" w14:textId="77777777" w:rsidR="00F271C1" w:rsidRPr="007226B7" w:rsidRDefault="00F271C1" w:rsidP="00F16E23">
            <w:pPr>
              <w:pStyle w:val="TableText"/>
              <w:keepNext/>
              <w:spacing w:before="40" w:after="40"/>
              <w:jc w:val="right"/>
              <w:rPr>
                <w:szCs w:val="16"/>
              </w:rPr>
            </w:pPr>
            <w:r w:rsidRPr="007226B7">
              <w:rPr>
                <w:rFonts w:eastAsia="Calibri"/>
                <w:szCs w:val="16"/>
              </w:rPr>
              <w:t>3,483.6</w:t>
            </w:r>
          </w:p>
        </w:tc>
        <w:tc>
          <w:tcPr>
            <w:tcW w:w="794" w:type="dxa"/>
            <w:shd w:val="clear" w:color="auto" w:fill="FFFFFF" w:themeFill="background1"/>
            <w:tcMar>
              <w:top w:w="0" w:type="dxa"/>
              <w:left w:w="85" w:type="dxa"/>
              <w:bottom w:w="0" w:type="dxa"/>
              <w:right w:w="85" w:type="dxa"/>
            </w:tcMar>
            <w:vAlign w:val="center"/>
          </w:tcPr>
          <w:p w14:paraId="09214838" w14:textId="77777777" w:rsidR="00F271C1" w:rsidRPr="007226B7" w:rsidRDefault="00F271C1" w:rsidP="00F16E23">
            <w:pPr>
              <w:pStyle w:val="TableText"/>
              <w:keepNext/>
              <w:spacing w:before="40" w:after="40"/>
              <w:jc w:val="right"/>
              <w:rPr>
                <w:szCs w:val="16"/>
              </w:rPr>
            </w:pPr>
            <w:r w:rsidRPr="007226B7">
              <w:rPr>
                <w:rFonts w:eastAsia="Calibri"/>
                <w:szCs w:val="16"/>
              </w:rPr>
              <w:t>4,046.0</w:t>
            </w:r>
          </w:p>
        </w:tc>
        <w:tc>
          <w:tcPr>
            <w:tcW w:w="964" w:type="dxa"/>
            <w:shd w:val="clear" w:color="auto" w:fill="FFFFFF" w:themeFill="background1"/>
            <w:tcMar>
              <w:top w:w="0" w:type="dxa"/>
              <w:left w:w="85" w:type="dxa"/>
              <w:bottom w:w="0" w:type="dxa"/>
              <w:right w:w="85" w:type="dxa"/>
            </w:tcMar>
            <w:vAlign w:val="center"/>
          </w:tcPr>
          <w:p w14:paraId="5CDC4058" w14:textId="77777777" w:rsidR="00F271C1" w:rsidRPr="007226B7" w:rsidRDefault="00F271C1" w:rsidP="00F16E23">
            <w:pPr>
              <w:pStyle w:val="TableText"/>
              <w:keepNext/>
              <w:spacing w:before="40" w:after="40"/>
              <w:jc w:val="right"/>
              <w:rPr>
                <w:szCs w:val="16"/>
              </w:rPr>
            </w:pPr>
            <w:r w:rsidRPr="007226B7">
              <w:rPr>
                <w:rFonts w:eastAsia="Calibri"/>
                <w:szCs w:val="16"/>
              </w:rPr>
              <w:t>3,896.7</w:t>
            </w:r>
          </w:p>
        </w:tc>
        <w:tc>
          <w:tcPr>
            <w:tcW w:w="1021" w:type="dxa"/>
            <w:shd w:val="clear" w:color="auto" w:fill="FFFFFF" w:themeFill="background1"/>
            <w:tcMar>
              <w:top w:w="0" w:type="dxa"/>
              <w:left w:w="85" w:type="dxa"/>
              <w:bottom w:w="0" w:type="dxa"/>
              <w:right w:w="85" w:type="dxa"/>
            </w:tcMar>
            <w:vAlign w:val="center"/>
          </w:tcPr>
          <w:p w14:paraId="089D4C0F" w14:textId="77777777" w:rsidR="00F271C1" w:rsidRPr="007226B7" w:rsidRDefault="00F271C1" w:rsidP="00F16E23">
            <w:pPr>
              <w:pStyle w:val="TableText"/>
              <w:keepNext/>
              <w:spacing w:before="40" w:after="40"/>
              <w:jc w:val="right"/>
              <w:rPr>
                <w:szCs w:val="16"/>
              </w:rPr>
            </w:pPr>
            <w:r w:rsidRPr="007226B7">
              <w:rPr>
                <w:rFonts w:eastAsia="Calibri"/>
                <w:szCs w:val="16"/>
              </w:rPr>
              <w:t>413.1</w:t>
            </w:r>
          </w:p>
        </w:tc>
        <w:tc>
          <w:tcPr>
            <w:tcW w:w="907" w:type="dxa"/>
            <w:shd w:val="clear" w:color="auto" w:fill="FFFFFF" w:themeFill="background1"/>
            <w:tcMar>
              <w:top w:w="0" w:type="dxa"/>
              <w:left w:w="85" w:type="dxa"/>
              <w:bottom w:w="0" w:type="dxa"/>
              <w:right w:w="85" w:type="dxa"/>
            </w:tcMar>
            <w:vAlign w:val="center"/>
          </w:tcPr>
          <w:p w14:paraId="157B97FF" w14:textId="77777777" w:rsidR="00F271C1" w:rsidRPr="007226B7" w:rsidRDefault="00F271C1" w:rsidP="00F16E23">
            <w:pPr>
              <w:pStyle w:val="TableText"/>
              <w:keepNext/>
              <w:spacing w:before="40" w:after="40"/>
              <w:jc w:val="right"/>
              <w:rPr>
                <w:szCs w:val="16"/>
              </w:rPr>
            </w:pPr>
            <w:r w:rsidRPr="007226B7">
              <w:rPr>
                <w:rFonts w:eastAsia="Calibri"/>
                <w:szCs w:val="16"/>
              </w:rPr>
              <w:t>11.9</w:t>
            </w:r>
          </w:p>
        </w:tc>
        <w:tc>
          <w:tcPr>
            <w:tcW w:w="1021" w:type="dxa"/>
            <w:shd w:val="clear" w:color="auto" w:fill="FFFFFF" w:themeFill="background1"/>
            <w:tcMar>
              <w:top w:w="0" w:type="dxa"/>
              <w:left w:w="85" w:type="dxa"/>
              <w:bottom w:w="0" w:type="dxa"/>
              <w:right w:w="85" w:type="dxa"/>
            </w:tcMar>
            <w:vAlign w:val="center"/>
          </w:tcPr>
          <w:p w14:paraId="4182BC1F" w14:textId="77777777" w:rsidR="00F271C1" w:rsidRPr="007226B7" w:rsidRDefault="00F271C1" w:rsidP="00F16E23">
            <w:pPr>
              <w:pStyle w:val="TableText"/>
              <w:keepNext/>
              <w:spacing w:before="40" w:after="40"/>
              <w:jc w:val="right"/>
              <w:rPr>
                <w:szCs w:val="16"/>
              </w:rPr>
            </w:pPr>
            <w:r w:rsidRPr="007226B7">
              <w:rPr>
                <w:rFonts w:eastAsia="Calibri"/>
                <w:szCs w:val="16"/>
              </w:rPr>
              <w:t>-149.4</w:t>
            </w:r>
          </w:p>
        </w:tc>
        <w:tc>
          <w:tcPr>
            <w:tcW w:w="907" w:type="dxa"/>
            <w:shd w:val="clear" w:color="auto" w:fill="FFFFFF" w:themeFill="background1"/>
            <w:tcMar>
              <w:top w:w="0" w:type="dxa"/>
              <w:left w:w="85" w:type="dxa"/>
              <w:bottom w:w="0" w:type="dxa"/>
              <w:right w:w="85" w:type="dxa"/>
            </w:tcMar>
            <w:vAlign w:val="center"/>
          </w:tcPr>
          <w:p w14:paraId="4F77CABA" w14:textId="77777777" w:rsidR="00F271C1" w:rsidRPr="007226B7" w:rsidRDefault="00F271C1" w:rsidP="00F16E23">
            <w:pPr>
              <w:pStyle w:val="TableText"/>
              <w:keepNext/>
              <w:spacing w:before="40" w:after="40"/>
              <w:jc w:val="right"/>
              <w:rPr>
                <w:szCs w:val="16"/>
              </w:rPr>
            </w:pPr>
            <w:r w:rsidRPr="007226B7">
              <w:rPr>
                <w:rFonts w:eastAsia="Calibri"/>
                <w:szCs w:val="16"/>
              </w:rPr>
              <w:t>-3.7</w:t>
            </w:r>
          </w:p>
        </w:tc>
      </w:tr>
      <w:tr w:rsidR="00F271C1" w:rsidRPr="007226B7" w14:paraId="1A9F60D7" w14:textId="77777777" w:rsidTr="00F16E23">
        <w:tc>
          <w:tcPr>
            <w:tcW w:w="1002" w:type="dxa"/>
            <w:shd w:val="clear" w:color="auto" w:fill="FFFFFF" w:themeFill="background1"/>
            <w:tcMar>
              <w:top w:w="0" w:type="dxa"/>
              <w:left w:w="85" w:type="dxa"/>
              <w:bottom w:w="0" w:type="dxa"/>
              <w:right w:w="85" w:type="dxa"/>
            </w:tcMar>
            <w:vAlign w:val="center"/>
          </w:tcPr>
          <w:p w14:paraId="0EDB24D7" w14:textId="77777777" w:rsidR="00F271C1" w:rsidRPr="007226B7" w:rsidRDefault="00F271C1" w:rsidP="00F16E23">
            <w:pPr>
              <w:pStyle w:val="TableText"/>
              <w:spacing w:before="40" w:after="40"/>
              <w:rPr>
                <w:szCs w:val="16"/>
              </w:rPr>
            </w:pPr>
            <w:r w:rsidRPr="007226B7">
              <w:rPr>
                <w:rFonts w:eastAsia="Calibri"/>
                <w:szCs w:val="16"/>
              </w:rPr>
              <w:t>Agriculture</w:t>
            </w:r>
          </w:p>
        </w:tc>
        <w:tc>
          <w:tcPr>
            <w:tcW w:w="794" w:type="dxa"/>
            <w:shd w:val="clear" w:color="auto" w:fill="FFFFFF" w:themeFill="background1"/>
            <w:tcMar>
              <w:top w:w="0" w:type="dxa"/>
              <w:left w:w="85" w:type="dxa"/>
              <w:bottom w:w="0" w:type="dxa"/>
              <w:right w:w="85" w:type="dxa"/>
            </w:tcMar>
            <w:vAlign w:val="center"/>
          </w:tcPr>
          <w:p w14:paraId="0820F219" w14:textId="77777777" w:rsidR="00F271C1" w:rsidRPr="007226B7" w:rsidRDefault="00F271C1" w:rsidP="00F16E23">
            <w:pPr>
              <w:pStyle w:val="TableText"/>
              <w:spacing w:before="40" w:after="40"/>
              <w:jc w:val="right"/>
              <w:rPr>
                <w:szCs w:val="16"/>
              </w:rPr>
            </w:pPr>
            <w:r w:rsidRPr="007226B7">
              <w:rPr>
                <w:rFonts w:eastAsia="Calibri"/>
                <w:szCs w:val="16"/>
              </w:rPr>
              <w:t>36,750.0</w:t>
            </w:r>
          </w:p>
        </w:tc>
        <w:tc>
          <w:tcPr>
            <w:tcW w:w="794" w:type="dxa"/>
            <w:shd w:val="clear" w:color="auto" w:fill="FFFFFF" w:themeFill="background1"/>
            <w:tcMar>
              <w:top w:w="0" w:type="dxa"/>
              <w:left w:w="85" w:type="dxa"/>
              <w:bottom w:w="0" w:type="dxa"/>
              <w:right w:w="85" w:type="dxa"/>
            </w:tcMar>
            <w:vAlign w:val="center"/>
          </w:tcPr>
          <w:p w14:paraId="72F46014" w14:textId="77777777" w:rsidR="00F271C1" w:rsidRPr="007226B7" w:rsidRDefault="00F271C1" w:rsidP="00F16E23">
            <w:pPr>
              <w:pStyle w:val="TableText"/>
              <w:spacing w:before="40" w:after="40"/>
              <w:jc w:val="right"/>
              <w:rPr>
                <w:szCs w:val="16"/>
              </w:rPr>
            </w:pPr>
            <w:r w:rsidRPr="007226B7">
              <w:rPr>
                <w:rFonts w:eastAsia="Calibri"/>
                <w:szCs w:val="16"/>
              </w:rPr>
              <w:t>42,912.0</w:t>
            </w:r>
          </w:p>
        </w:tc>
        <w:tc>
          <w:tcPr>
            <w:tcW w:w="964" w:type="dxa"/>
            <w:shd w:val="clear" w:color="auto" w:fill="FFFFFF" w:themeFill="background1"/>
            <w:tcMar>
              <w:top w:w="0" w:type="dxa"/>
              <w:left w:w="85" w:type="dxa"/>
              <w:bottom w:w="0" w:type="dxa"/>
              <w:right w:w="85" w:type="dxa"/>
            </w:tcMar>
            <w:vAlign w:val="center"/>
          </w:tcPr>
          <w:p w14:paraId="2416C58B" w14:textId="77777777" w:rsidR="00F271C1" w:rsidRPr="007226B7" w:rsidRDefault="00F271C1" w:rsidP="00F16E23">
            <w:pPr>
              <w:pStyle w:val="TableText"/>
              <w:spacing w:before="40" w:after="40"/>
              <w:jc w:val="right"/>
              <w:rPr>
                <w:szCs w:val="16"/>
              </w:rPr>
            </w:pPr>
            <w:r w:rsidRPr="007226B7">
              <w:rPr>
                <w:rFonts w:eastAsia="Calibri"/>
                <w:szCs w:val="16"/>
              </w:rPr>
              <w:t>40,148.4</w:t>
            </w:r>
          </w:p>
        </w:tc>
        <w:tc>
          <w:tcPr>
            <w:tcW w:w="1021" w:type="dxa"/>
            <w:shd w:val="clear" w:color="auto" w:fill="FFFFFF" w:themeFill="background1"/>
            <w:tcMar>
              <w:top w:w="0" w:type="dxa"/>
              <w:left w:w="85" w:type="dxa"/>
              <w:bottom w:w="0" w:type="dxa"/>
              <w:right w:w="85" w:type="dxa"/>
            </w:tcMar>
            <w:vAlign w:val="center"/>
          </w:tcPr>
          <w:p w14:paraId="18A53D17" w14:textId="77777777" w:rsidR="00F271C1" w:rsidRPr="007226B7" w:rsidRDefault="00F271C1" w:rsidP="00F16E23">
            <w:pPr>
              <w:pStyle w:val="TableText"/>
              <w:spacing w:before="40" w:after="40"/>
              <w:jc w:val="right"/>
              <w:rPr>
                <w:szCs w:val="16"/>
              </w:rPr>
            </w:pPr>
            <w:r w:rsidRPr="007226B7">
              <w:rPr>
                <w:rFonts w:eastAsia="Calibri"/>
                <w:szCs w:val="16"/>
              </w:rPr>
              <w:t>3,398.4</w:t>
            </w:r>
          </w:p>
        </w:tc>
        <w:tc>
          <w:tcPr>
            <w:tcW w:w="907" w:type="dxa"/>
            <w:shd w:val="clear" w:color="auto" w:fill="FFFFFF" w:themeFill="background1"/>
            <w:tcMar>
              <w:top w:w="0" w:type="dxa"/>
              <w:left w:w="85" w:type="dxa"/>
              <w:bottom w:w="0" w:type="dxa"/>
              <w:right w:w="85" w:type="dxa"/>
            </w:tcMar>
            <w:vAlign w:val="center"/>
          </w:tcPr>
          <w:p w14:paraId="16255BCC" w14:textId="77777777" w:rsidR="00F271C1" w:rsidRPr="007226B7" w:rsidRDefault="00F271C1" w:rsidP="00F16E23">
            <w:pPr>
              <w:pStyle w:val="TableText"/>
              <w:spacing w:before="40" w:after="40"/>
              <w:jc w:val="right"/>
              <w:rPr>
                <w:szCs w:val="16"/>
              </w:rPr>
            </w:pPr>
            <w:r w:rsidRPr="007226B7">
              <w:rPr>
                <w:rFonts w:eastAsia="Calibri"/>
                <w:szCs w:val="16"/>
              </w:rPr>
              <w:t>9.2</w:t>
            </w:r>
          </w:p>
        </w:tc>
        <w:tc>
          <w:tcPr>
            <w:tcW w:w="1021" w:type="dxa"/>
            <w:shd w:val="clear" w:color="auto" w:fill="FFFFFF" w:themeFill="background1"/>
            <w:tcMar>
              <w:top w:w="0" w:type="dxa"/>
              <w:left w:w="85" w:type="dxa"/>
              <w:bottom w:w="0" w:type="dxa"/>
              <w:right w:w="85" w:type="dxa"/>
            </w:tcMar>
            <w:vAlign w:val="center"/>
          </w:tcPr>
          <w:p w14:paraId="323F5CAE" w14:textId="77777777" w:rsidR="00F271C1" w:rsidRPr="007226B7" w:rsidRDefault="00F271C1" w:rsidP="00F16E23">
            <w:pPr>
              <w:pStyle w:val="TableText"/>
              <w:spacing w:before="40" w:after="40"/>
              <w:jc w:val="right"/>
              <w:rPr>
                <w:szCs w:val="16"/>
              </w:rPr>
            </w:pPr>
            <w:r w:rsidRPr="007226B7">
              <w:rPr>
                <w:rFonts w:eastAsia="Calibri"/>
                <w:szCs w:val="16"/>
              </w:rPr>
              <w:t>-2,763.6</w:t>
            </w:r>
          </w:p>
        </w:tc>
        <w:tc>
          <w:tcPr>
            <w:tcW w:w="907" w:type="dxa"/>
            <w:shd w:val="clear" w:color="auto" w:fill="FFFFFF" w:themeFill="background1"/>
            <w:tcMar>
              <w:top w:w="0" w:type="dxa"/>
              <w:left w:w="85" w:type="dxa"/>
              <w:bottom w:w="0" w:type="dxa"/>
              <w:right w:w="85" w:type="dxa"/>
            </w:tcMar>
            <w:vAlign w:val="center"/>
          </w:tcPr>
          <w:p w14:paraId="43D34232" w14:textId="77777777" w:rsidR="00F271C1" w:rsidRPr="007226B7" w:rsidRDefault="00F271C1" w:rsidP="00F16E23">
            <w:pPr>
              <w:pStyle w:val="TableText"/>
              <w:spacing w:before="40" w:after="40"/>
              <w:jc w:val="right"/>
              <w:rPr>
                <w:szCs w:val="16"/>
              </w:rPr>
            </w:pPr>
            <w:r w:rsidRPr="007226B7">
              <w:rPr>
                <w:rFonts w:eastAsia="Calibri"/>
                <w:szCs w:val="16"/>
              </w:rPr>
              <w:t>-6.4</w:t>
            </w:r>
          </w:p>
        </w:tc>
      </w:tr>
      <w:tr w:rsidR="00F271C1" w:rsidRPr="007226B7" w14:paraId="204475BE" w14:textId="77777777" w:rsidTr="00F16E23">
        <w:tc>
          <w:tcPr>
            <w:tcW w:w="1002" w:type="dxa"/>
            <w:shd w:val="clear" w:color="auto" w:fill="FFFFFF" w:themeFill="background1"/>
            <w:tcMar>
              <w:top w:w="0" w:type="dxa"/>
              <w:left w:w="85" w:type="dxa"/>
              <w:bottom w:w="0" w:type="dxa"/>
              <w:right w:w="85" w:type="dxa"/>
            </w:tcMar>
            <w:vAlign w:val="center"/>
          </w:tcPr>
          <w:p w14:paraId="6F52E86D" w14:textId="77777777" w:rsidR="00F271C1" w:rsidRPr="007226B7" w:rsidRDefault="00F271C1" w:rsidP="00F16E23">
            <w:pPr>
              <w:pStyle w:val="TableText"/>
              <w:spacing w:before="40" w:after="40"/>
              <w:rPr>
                <w:szCs w:val="16"/>
              </w:rPr>
            </w:pPr>
            <w:r w:rsidRPr="007226B7">
              <w:rPr>
                <w:rFonts w:eastAsia="Calibri"/>
                <w:szCs w:val="16"/>
              </w:rPr>
              <w:t>Waste</w:t>
            </w:r>
          </w:p>
        </w:tc>
        <w:tc>
          <w:tcPr>
            <w:tcW w:w="794" w:type="dxa"/>
            <w:shd w:val="clear" w:color="auto" w:fill="FFFFFF" w:themeFill="background1"/>
            <w:tcMar>
              <w:top w:w="0" w:type="dxa"/>
              <w:left w:w="85" w:type="dxa"/>
              <w:bottom w:w="0" w:type="dxa"/>
              <w:right w:w="85" w:type="dxa"/>
            </w:tcMar>
            <w:vAlign w:val="center"/>
          </w:tcPr>
          <w:p w14:paraId="5AAB9302" w14:textId="77777777" w:rsidR="00F271C1" w:rsidRPr="007226B7" w:rsidRDefault="00F271C1" w:rsidP="00F16E23">
            <w:pPr>
              <w:pStyle w:val="TableText"/>
              <w:spacing w:before="40" w:after="40"/>
              <w:jc w:val="right"/>
              <w:rPr>
                <w:szCs w:val="16"/>
              </w:rPr>
            </w:pPr>
            <w:r w:rsidRPr="007226B7">
              <w:rPr>
                <w:rFonts w:eastAsia="Calibri"/>
                <w:szCs w:val="16"/>
              </w:rPr>
              <w:t>3,328.5</w:t>
            </w:r>
          </w:p>
        </w:tc>
        <w:tc>
          <w:tcPr>
            <w:tcW w:w="794" w:type="dxa"/>
            <w:shd w:val="clear" w:color="auto" w:fill="FFFFFF" w:themeFill="background1"/>
            <w:tcMar>
              <w:top w:w="0" w:type="dxa"/>
              <w:left w:w="85" w:type="dxa"/>
              <w:bottom w:w="0" w:type="dxa"/>
              <w:right w:w="85" w:type="dxa"/>
            </w:tcMar>
            <w:vAlign w:val="center"/>
          </w:tcPr>
          <w:p w14:paraId="0333A5D9" w14:textId="77777777" w:rsidR="00F271C1" w:rsidRPr="007226B7" w:rsidRDefault="00F271C1" w:rsidP="00F16E23">
            <w:pPr>
              <w:pStyle w:val="TableText"/>
              <w:spacing w:before="40" w:after="40"/>
              <w:jc w:val="right"/>
              <w:rPr>
                <w:szCs w:val="16"/>
              </w:rPr>
            </w:pPr>
            <w:r w:rsidRPr="007226B7">
              <w:rPr>
                <w:rFonts w:eastAsia="Calibri"/>
                <w:color w:val="000000" w:themeColor="text1"/>
                <w:szCs w:val="16"/>
              </w:rPr>
              <w:t>3,804.9</w:t>
            </w:r>
          </w:p>
        </w:tc>
        <w:tc>
          <w:tcPr>
            <w:tcW w:w="964" w:type="dxa"/>
            <w:shd w:val="clear" w:color="auto" w:fill="FFFFFF" w:themeFill="background1"/>
            <w:tcMar>
              <w:top w:w="0" w:type="dxa"/>
              <w:left w:w="85" w:type="dxa"/>
              <w:bottom w:w="0" w:type="dxa"/>
              <w:right w:w="85" w:type="dxa"/>
            </w:tcMar>
            <w:vAlign w:val="center"/>
          </w:tcPr>
          <w:p w14:paraId="6F6E1B72" w14:textId="77777777" w:rsidR="00F271C1" w:rsidRPr="007226B7" w:rsidRDefault="00F271C1" w:rsidP="00F16E23">
            <w:pPr>
              <w:pStyle w:val="TableText"/>
              <w:spacing w:before="40" w:after="40"/>
              <w:jc w:val="right"/>
              <w:rPr>
                <w:szCs w:val="16"/>
              </w:rPr>
            </w:pPr>
            <w:r w:rsidRPr="007226B7">
              <w:rPr>
                <w:rFonts w:eastAsia="Calibri"/>
                <w:color w:val="000000" w:themeColor="text1"/>
                <w:szCs w:val="16"/>
              </w:rPr>
              <w:t>3,009.1</w:t>
            </w:r>
          </w:p>
        </w:tc>
        <w:tc>
          <w:tcPr>
            <w:tcW w:w="1021" w:type="dxa"/>
            <w:shd w:val="clear" w:color="auto" w:fill="FFFFFF" w:themeFill="background1"/>
            <w:tcMar>
              <w:top w:w="0" w:type="dxa"/>
              <w:left w:w="85" w:type="dxa"/>
              <w:bottom w:w="0" w:type="dxa"/>
              <w:right w:w="85" w:type="dxa"/>
            </w:tcMar>
            <w:vAlign w:val="center"/>
          </w:tcPr>
          <w:p w14:paraId="6E1FC54C" w14:textId="77777777" w:rsidR="00F271C1" w:rsidRPr="007226B7" w:rsidRDefault="00F271C1" w:rsidP="00F16E23">
            <w:pPr>
              <w:pStyle w:val="TableText"/>
              <w:spacing w:before="40" w:after="40"/>
              <w:jc w:val="right"/>
              <w:rPr>
                <w:szCs w:val="16"/>
              </w:rPr>
            </w:pPr>
            <w:r w:rsidRPr="007226B7">
              <w:rPr>
                <w:rFonts w:eastAsia="Calibri"/>
                <w:color w:val="000000" w:themeColor="text1"/>
                <w:szCs w:val="16"/>
              </w:rPr>
              <w:t>-319.4</w:t>
            </w:r>
          </w:p>
        </w:tc>
        <w:tc>
          <w:tcPr>
            <w:tcW w:w="907" w:type="dxa"/>
            <w:shd w:val="clear" w:color="auto" w:fill="FFFFFF" w:themeFill="background1"/>
            <w:tcMar>
              <w:top w:w="0" w:type="dxa"/>
              <w:left w:w="85" w:type="dxa"/>
              <w:bottom w:w="0" w:type="dxa"/>
              <w:right w:w="85" w:type="dxa"/>
            </w:tcMar>
            <w:vAlign w:val="center"/>
          </w:tcPr>
          <w:p w14:paraId="53E0E021" w14:textId="77777777" w:rsidR="00F271C1" w:rsidRPr="007226B7" w:rsidRDefault="00F271C1" w:rsidP="00F16E23">
            <w:pPr>
              <w:pStyle w:val="TableText"/>
              <w:spacing w:before="40" w:after="40"/>
              <w:jc w:val="right"/>
              <w:rPr>
                <w:szCs w:val="16"/>
              </w:rPr>
            </w:pPr>
            <w:r w:rsidRPr="007226B7">
              <w:rPr>
                <w:rFonts w:eastAsia="Calibri"/>
                <w:color w:val="000000" w:themeColor="text1"/>
                <w:szCs w:val="16"/>
              </w:rPr>
              <w:t>-9.6</w:t>
            </w:r>
          </w:p>
        </w:tc>
        <w:tc>
          <w:tcPr>
            <w:tcW w:w="1021" w:type="dxa"/>
            <w:shd w:val="clear" w:color="auto" w:fill="FFFFFF" w:themeFill="background1"/>
            <w:tcMar>
              <w:top w:w="0" w:type="dxa"/>
              <w:left w:w="85" w:type="dxa"/>
              <w:bottom w:w="0" w:type="dxa"/>
              <w:right w:w="85" w:type="dxa"/>
            </w:tcMar>
            <w:vAlign w:val="center"/>
          </w:tcPr>
          <w:p w14:paraId="75034500" w14:textId="77777777" w:rsidR="00F271C1" w:rsidRPr="007226B7" w:rsidRDefault="00F271C1" w:rsidP="00F16E23">
            <w:pPr>
              <w:pStyle w:val="TableText"/>
              <w:spacing w:before="40" w:after="40"/>
              <w:jc w:val="right"/>
              <w:rPr>
                <w:szCs w:val="16"/>
              </w:rPr>
            </w:pPr>
            <w:r w:rsidRPr="007226B7">
              <w:rPr>
                <w:rFonts w:eastAsia="Calibri"/>
                <w:color w:val="000000" w:themeColor="text1"/>
                <w:szCs w:val="16"/>
              </w:rPr>
              <w:t>-795.8</w:t>
            </w:r>
          </w:p>
        </w:tc>
        <w:tc>
          <w:tcPr>
            <w:tcW w:w="907" w:type="dxa"/>
            <w:shd w:val="clear" w:color="auto" w:fill="FFFFFF" w:themeFill="background1"/>
            <w:tcMar>
              <w:top w:w="0" w:type="dxa"/>
              <w:left w:w="85" w:type="dxa"/>
              <w:bottom w:w="0" w:type="dxa"/>
              <w:right w:w="85" w:type="dxa"/>
            </w:tcMar>
            <w:vAlign w:val="center"/>
          </w:tcPr>
          <w:p w14:paraId="197B0A3D" w14:textId="77777777" w:rsidR="00F271C1" w:rsidRPr="007226B7" w:rsidRDefault="00F271C1" w:rsidP="00F16E23">
            <w:pPr>
              <w:pStyle w:val="TableText"/>
              <w:spacing w:before="40" w:after="40"/>
              <w:jc w:val="right"/>
              <w:rPr>
                <w:szCs w:val="16"/>
              </w:rPr>
            </w:pPr>
            <w:r w:rsidRPr="007226B7">
              <w:rPr>
                <w:rFonts w:eastAsia="Calibri"/>
                <w:color w:val="000000" w:themeColor="text1"/>
                <w:szCs w:val="16"/>
              </w:rPr>
              <w:t>-20.9</w:t>
            </w:r>
          </w:p>
        </w:tc>
      </w:tr>
      <w:tr w:rsidR="00F271C1" w:rsidRPr="007226B7" w14:paraId="0CC308E8" w14:textId="77777777" w:rsidTr="00F16E23">
        <w:tc>
          <w:tcPr>
            <w:tcW w:w="1002" w:type="dxa"/>
            <w:shd w:val="clear" w:color="auto" w:fill="FFFFFF" w:themeFill="background1"/>
            <w:tcMar>
              <w:top w:w="0" w:type="dxa"/>
              <w:left w:w="85" w:type="dxa"/>
              <w:bottom w:w="0" w:type="dxa"/>
              <w:right w:w="85" w:type="dxa"/>
            </w:tcMar>
            <w:vAlign w:val="center"/>
          </w:tcPr>
          <w:p w14:paraId="7D65BA9C" w14:textId="77777777" w:rsidR="00F271C1" w:rsidRPr="007226B7" w:rsidRDefault="00F271C1" w:rsidP="00F16E23">
            <w:pPr>
              <w:pStyle w:val="TableText"/>
              <w:spacing w:before="40" w:after="40"/>
              <w:rPr>
                <w:szCs w:val="16"/>
              </w:rPr>
            </w:pPr>
            <w:r w:rsidRPr="007226B7">
              <w:rPr>
                <w:rFonts w:eastAsia="Calibri"/>
                <w:szCs w:val="16"/>
              </w:rPr>
              <w:t>Tokelau</w:t>
            </w:r>
          </w:p>
        </w:tc>
        <w:tc>
          <w:tcPr>
            <w:tcW w:w="794" w:type="dxa"/>
            <w:shd w:val="clear" w:color="auto" w:fill="FFFFFF" w:themeFill="background1"/>
            <w:tcMar>
              <w:top w:w="0" w:type="dxa"/>
              <w:left w:w="85" w:type="dxa"/>
              <w:bottom w:w="0" w:type="dxa"/>
              <w:right w:w="85" w:type="dxa"/>
            </w:tcMar>
            <w:vAlign w:val="center"/>
          </w:tcPr>
          <w:p w14:paraId="42B4E28A" w14:textId="77777777" w:rsidR="00F271C1" w:rsidRPr="007226B7" w:rsidRDefault="00F271C1" w:rsidP="00F16E23">
            <w:pPr>
              <w:pStyle w:val="TableText"/>
              <w:spacing w:before="40" w:after="40"/>
              <w:jc w:val="right"/>
              <w:rPr>
                <w:szCs w:val="16"/>
              </w:rPr>
            </w:pPr>
            <w:r w:rsidRPr="007226B7">
              <w:rPr>
                <w:rFonts w:eastAsia="Calibri"/>
                <w:szCs w:val="16"/>
              </w:rPr>
              <w:t>3.4</w:t>
            </w:r>
          </w:p>
        </w:tc>
        <w:tc>
          <w:tcPr>
            <w:tcW w:w="794" w:type="dxa"/>
            <w:shd w:val="clear" w:color="auto" w:fill="FFFFFF" w:themeFill="background1"/>
            <w:tcMar>
              <w:top w:w="0" w:type="dxa"/>
              <w:left w:w="85" w:type="dxa"/>
              <w:bottom w:w="0" w:type="dxa"/>
              <w:right w:w="85" w:type="dxa"/>
            </w:tcMar>
            <w:vAlign w:val="center"/>
          </w:tcPr>
          <w:p w14:paraId="3063A951" w14:textId="77777777" w:rsidR="00F271C1" w:rsidRPr="007226B7" w:rsidRDefault="00F271C1" w:rsidP="00F16E23">
            <w:pPr>
              <w:pStyle w:val="TableText"/>
              <w:spacing w:before="40" w:after="40"/>
              <w:jc w:val="right"/>
              <w:rPr>
                <w:szCs w:val="16"/>
              </w:rPr>
            </w:pPr>
            <w:r w:rsidRPr="007226B7">
              <w:rPr>
                <w:rFonts w:eastAsia="Calibri"/>
                <w:szCs w:val="16"/>
              </w:rPr>
              <w:t>4.7</w:t>
            </w:r>
          </w:p>
        </w:tc>
        <w:tc>
          <w:tcPr>
            <w:tcW w:w="964" w:type="dxa"/>
            <w:shd w:val="clear" w:color="auto" w:fill="FFFFFF" w:themeFill="background1"/>
            <w:tcMar>
              <w:top w:w="0" w:type="dxa"/>
              <w:left w:w="85" w:type="dxa"/>
              <w:bottom w:w="0" w:type="dxa"/>
              <w:right w:w="85" w:type="dxa"/>
            </w:tcMar>
            <w:vAlign w:val="center"/>
          </w:tcPr>
          <w:p w14:paraId="7A635274" w14:textId="77777777" w:rsidR="00F271C1" w:rsidRPr="007226B7" w:rsidRDefault="00F271C1" w:rsidP="00F16E23">
            <w:pPr>
              <w:pStyle w:val="TableText"/>
              <w:spacing w:before="40" w:after="40"/>
              <w:jc w:val="right"/>
              <w:rPr>
                <w:szCs w:val="16"/>
              </w:rPr>
            </w:pPr>
            <w:r w:rsidRPr="007226B7">
              <w:rPr>
                <w:rFonts w:eastAsia="Calibri"/>
                <w:szCs w:val="16"/>
              </w:rPr>
              <w:t>4.2</w:t>
            </w:r>
          </w:p>
        </w:tc>
        <w:tc>
          <w:tcPr>
            <w:tcW w:w="1021" w:type="dxa"/>
            <w:shd w:val="clear" w:color="auto" w:fill="FFFFFF" w:themeFill="background1"/>
            <w:tcMar>
              <w:top w:w="0" w:type="dxa"/>
              <w:left w:w="85" w:type="dxa"/>
              <w:bottom w:w="0" w:type="dxa"/>
              <w:right w:w="85" w:type="dxa"/>
            </w:tcMar>
            <w:vAlign w:val="center"/>
          </w:tcPr>
          <w:p w14:paraId="4F5F17AA" w14:textId="77777777" w:rsidR="00F271C1" w:rsidRPr="007226B7" w:rsidRDefault="00F271C1" w:rsidP="00F16E23">
            <w:pPr>
              <w:pStyle w:val="TableText"/>
              <w:spacing w:before="40" w:after="40"/>
              <w:jc w:val="right"/>
              <w:rPr>
                <w:szCs w:val="16"/>
              </w:rPr>
            </w:pPr>
            <w:r w:rsidRPr="007226B7">
              <w:rPr>
                <w:rFonts w:eastAsia="Calibri"/>
                <w:szCs w:val="16"/>
              </w:rPr>
              <w:t>0.8</w:t>
            </w:r>
          </w:p>
        </w:tc>
        <w:tc>
          <w:tcPr>
            <w:tcW w:w="907" w:type="dxa"/>
            <w:shd w:val="clear" w:color="auto" w:fill="FFFFFF" w:themeFill="background1"/>
            <w:tcMar>
              <w:top w:w="0" w:type="dxa"/>
              <w:left w:w="85" w:type="dxa"/>
              <w:bottom w:w="0" w:type="dxa"/>
              <w:right w:w="85" w:type="dxa"/>
            </w:tcMar>
            <w:vAlign w:val="center"/>
          </w:tcPr>
          <w:p w14:paraId="0E1BA16A" w14:textId="77777777" w:rsidR="00F271C1" w:rsidRPr="007226B7" w:rsidRDefault="00F271C1" w:rsidP="00F16E23">
            <w:pPr>
              <w:pStyle w:val="TableText"/>
              <w:spacing w:before="40" w:after="40"/>
              <w:jc w:val="right"/>
              <w:rPr>
                <w:szCs w:val="16"/>
              </w:rPr>
            </w:pPr>
            <w:r w:rsidRPr="007226B7">
              <w:rPr>
                <w:rFonts w:eastAsia="Calibri"/>
                <w:szCs w:val="16"/>
              </w:rPr>
              <w:t>24.8</w:t>
            </w:r>
          </w:p>
        </w:tc>
        <w:tc>
          <w:tcPr>
            <w:tcW w:w="1021" w:type="dxa"/>
            <w:shd w:val="clear" w:color="auto" w:fill="FFFFFF" w:themeFill="background1"/>
            <w:tcMar>
              <w:top w:w="0" w:type="dxa"/>
              <w:left w:w="85" w:type="dxa"/>
              <w:bottom w:w="0" w:type="dxa"/>
              <w:right w:w="85" w:type="dxa"/>
            </w:tcMar>
            <w:vAlign w:val="center"/>
          </w:tcPr>
          <w:p w14:paraId="550C0C04" w14:textId="77777777" w:rsidR="00F271C1" w:rsidRPr="007226B7" w:rsidRDefault="00F271C1" w:rsidP="00F16E23">
            <w:pPr>
              <w:pStyle w:val="TableText"/>
              <w:spacing w:before="40" w:after="40"/>
              <w:jc w:val="right"/>
              <w:rPr>
                <w:szCs w:val="16"/>
              </w:rPr>
            </w:pPr>
            <w:r w:rsidRPr="007226B7">
              <w:rPr>
                <w:rFonts w:eastAsia="Calibri"/>
                <w:szCs w:val="16"/>
              </w:rPr>
              <w:t>-0.5</w:t>
            </w:r>
          </w:p>
        </w:tc>
        <w:tc>
          <w:tcPr>
            <w:tcW w:w="907" w:type="dxa"/>
            <w:shd w:val="clear" w:color="auto" w:fill="FFFFFF" w:themeFill="background1"/>
            <w:tcMar>
              <w:top w:w="0" w:type="dxa"/>
              <w:left w:w="85" w:type="dxa"/>
              <w:bottom w:w="0" w:type="dxa"/>
              <w:right w:w="85" w:type="dxa"/>
            </w:tcMar>
            <w:vAlign w:val="center"/>
          </w:tcPr>
          <w:p w14:paraId="4A35CB3F" w14:textId="77777777" w:rsidR="00F271C1" w:rsidRPr="007226B7" w:rsidRDefault="00F271C1" w:rsidP="00F16E23">
            <w:pPr>
              <w:pStyle w:val="TableText"/>
              <w:spacing w:before="40" w:after="40"/>
              <w:jc w:val="right"/>
              <w:rPr>
                <w:szCs w:val="16"/>
              </w:rPr>
            </w:pPr>
            <w:r w:rsidRPr="007226B7">
              <w:rPr>
                <w:rFonts w:eastAsia="Calibri"/>
                <w:szCs w:val="16"/>
              </w:rPr>
              <w:t>-10.6</w:t>
            </w:r>
          </w:p>
        </w:tc>
      </w:tr>
      <w:tr w:rsidR="00F271C1" w:rsidRPr="007226B7" w14:paraId="1592FE2D" w14:textId="77777777" w:rsidTr="00F16E23">
        <w:tc>
          <w:tcPr>
            <w:tcW w:w="1002" w:type="dxa"/>
            <w:shd w:val="clear" w:color="auto" w:fill="FFFFFF" w:themeFill="background1"/>
            <w:tcMar>
              <w:top w:w="0" w:type="dxa"/>
              <w:left w:w="85" w:type="dxa"/>
              <w:bottom w:w="0" w:type="dxa"/>
              <w:right w:w="85" w:type="dxa"/>
            </w:tcMar>
            <w:vAlign w:val="center"/>
          </w:tcPr>
          <w:p w14:paraId="313957AA" w14:textId="77777777" w:rsidR="00F271C1" w:rsidRPr="007226B7" w:rsidRDefault="00F271C1" w:rsidP="00F16E23">
            <w:pPr>
              <w:pStyle w:val="TableText"/>
              <w:spacing w:before="40" w:after="40"/>
              <w:rPr>
                <w:szCs w:val="16"/>
              </w:rPr>
            </w:pPr>
            <w:r w:rsidRPr="007226B7">
              <w:rPr>
                <w:rFonts w:eastAsia="Calibri"/>
                <w:b/>
                <w:color w:val="1B556B"/>
                <w:szCs w:val="16"/>
              </w:rPr>
              <w:t>Gross</w:t>
            </w:r>
          </w:p>
        </w:tc>
        <w:tc>
          <w:tcPr>
            <w:tcW w:w="794" w:type="dxa"/>
            <w:shd w:val="clear" w:color="auto" w:fill="FFFFFF" w:themeFill="background1"/>
            <w:tcMar>
              <w:top w:w="0" w:type="dxa"/>
              <w:left w:w="85" w:type="dxa"/>
              <w:bottom w:w="0" w:type="dxa"/>
              <w:right w:w="85" w:type="dxa"/>
            </w:tcMar>
            <w:vAlign w:val="center"/>
          </w:tcPr>
          <w:p w14:paraId="7FE4F51D" w14:textId="77777777" w:rsidR="00F271C1" w:rsidRPr="007226B7" w:rsidRDefault="00F271C1" w:rsidP="00F16E23">
            <w:pPr>
              <w:pStyle w:val="TableText"/>
              <w:spacing w:before="40" w:after="40"/>
              <w:jc w:val="right"/>
              <w:rPr>
                <w:szCs w:val="16"/>
              </w:rPr>
            </w:pPr>
            <w:r w:rsidRPr="007226B7">
              <w:rPr>
                <w:rFonts w:eastAsia="Calibri"/>
                <w:b/>
                <w:color w:val="1B556B"/>
                <w:szCs w:val="16"/>
              </w:rPr>
              <w:t>67,565.2</w:t>
            </w:r>
          </w:p>
        </w:tc>
        <w:tc>
          <w:tcPr>
            <w:tcW w:w="794" w:type="dxa"/>
            <w:shd w:val="clear" w:color="auto" w:fill="FFFFFF" w:themeFill="background1"/>
            <w:tcMar>
              <w:top w:w="0" w:type="dxa"/>
              <w:left w:w="85" w:type="dxa"/>
              <w:bottom w:w="0" w:type="dxa"/>
              <w:right w:w="85" w:type="dxa"/>
            </w:tcMar>
            <w:vAlign w:val="center"/>
          </w:tcPr>
          <w:p w14:paraId="0D9C4A02" w14:textId="77777777" w:rsidR="00F271C1" w:rsidRPr="007226B7" w:rsidRDefault="00F271C1" w:rsidP="00F16E23">
            <w:pPr>
              <w:pStyle w:val="TableText"/>
              <w:spacing w:before="40" w:after="40"/>
              <w:jc w:val="right"/>
              <w:rPr>
                <w:rFonts w:eastAsia="Calibri"/>
                <w:b/>
                <w:bCs/>
                <w:color w:val="1B556B"/>
                <w:szCs w:val="16"/>
              </w:rPr>
            </w:pPr>
            <w:r w:rsidRPr="007226B7">
              <w:rPr>
                <w:rFonts w:eastAsia="Calibri"/>
                <w:b/>
                <w:bCs/>
                <w:color w:val="1B556B"/>
                <w:szCs w:val="16"/>
              </w:rPr>
              <w:t>85,364.3</w:t>
            </w:r>
          </w:p>
        </w:tc>
        <w:tc>
          <w:tcPr>
            <w:tcW w:w="964" w:type="dxa"/>
            <w:shd w:val="clear" w:color="auto" w:fill="FFFFFF" w:themeFill="background1"/>
            <w:tcMar>
              <w:top w:w="0" w:type="dxa"/>
              <w:left w:w="85" w:type="dxa"/>
              <w:bottom w:w="0" w:type="dxa"/>
              <w:right w:w="85" w:type="dxa"/>
            </w:tcMar>
            <w:vAlign w:val="center"/>
          </w:tcPr>
          <w:p w14:paraId="3FCFD491" w14:textId="77777777" w:rsidR="00F271C1" w:rsidRPr="007226B7" w:rsidRDefault="00F271C1" w:rsidP="00F16E23">
            <w:pPr>
              <w:pStyle w:val="TableText"/>
              <w:spacing w:before="40" w:after="40"/>
              <w:jc w:val="right"/>
              <w:rPr>
                <w:rFonts w:eastAsia="Calibri"/>
                <w:b/>
                <w:bCs/>
                <w:color w:val="1B556B"/>
                <w:szCs w:val="16"/>
              </w:rPr>
            </w:pPr>
            <w:r w:rsidRPr="007226B7">
              <w:rPr>
                <w:rFonts w:eastAsia="Calibri"/>
                <w:b/>
                <w:bCs/>
                <w:color w:val="1C556C" w:themeColor="accent1"/>
                <w:szCs w:val="16"/>
              </w:rPr>
              <w:t>75,811.6</w:t>
            </w:r>
          </w:p>
        </w:tc>
        <w:tc>
          <w:tcPr>
            <w:tcW w:w="1021" w:type="dxa"/>
            <w:shd w:val="clear" w:color="auto" w:fill="FFFFFF" w:themeFill="background1"/>
            <w:tcMar>
              <w:top w:w="0" w:type="dxa"/>
              <w:left w:w="85" w:type="dxa"/>
              <w:bottom w:w="0" w:type="dxa"/>
              <w:right w:w="85" w:type="dxa"/>
            </w:tcMar>
            <w:vAlign w:val="center"/>
          </w:tcPr>
          <w:p w14:paraId="231A8E1A" w14:textId="77777777" w:rsidR="00F271C1" w:rsidRPr="007226B7" w:rsidRDefault="00F271C1" w:rsidP="00F16E23">
            <w:pPr>
              <w:pStyle w:val="TableText"/>
              <w:spacing w:before="40" w:after="40"/>
              <w:jc w:val="right"/>
              <w:rPr>
                <w:rFonts w:eastAsia="Calibri"/>
                <w:b/>
                <w:bCs/>
                <w:color w:val="1B556B"/>
                <w:szCs w:val="16"/>
              </w:rPr>
            </w:pPr>
            <w:r w:rsidRPr="007226B7">
              <w:rPr>
                <w:rFonts w:eastAsia="Calibri"/>
                <w:b/>
                <w:bCs/>
                <w:color w:val="1C556C" w:themeColor="accent1"/>
                <w:szCs w:val="16"/>
              </w:rPr>
              <w:t>8,246.4</w:t>
            </w:r>
          </w:p>
        </w:tc>
        <w:tc>
          <w:tcPr>
            <w:tcW w:w="907" w:type="dxa"/>
            <w:shd w:val="clear" w:color="auto" w:fill="FFFFFF" w:themeFill="background1"/>
            <w:tcMar>
              <w:top w:w="0" w:type="dxa"/>
              <w:left w:w="85" w:type="dxa"/>
              <w:bottom w:w="0" w:type="dxa"/>
              <w:right w:w="85" w:type="dxa"/>
            </w:tcMar>
            <w:vAlign w:val="center"/>
          </w:tcPr>
          <w:p w14:paraId="4CCA439A" w14:textId="77777777" w:rsidR="00F271C1" w:rsidRPr="007226B7" w:rsidRDefault="00F271C1" w:rsidP="00F16E23">
            <w:pPr>
              <w:pStyle w:val="TableText"/>
              <w:spacing w:before="40" w:after="40"/>
              <w:jc w:val="right"/>
              <w:rPr>
                <w:rFonts w:eastAsia="Calibri"/>
                <w:b/>
                <w:bCs/>
                <w:color w:val="1B556B"/>
                <w:szCs w:val="16"/>
              </w:rPr>
            </w:pPr>
            <w:r w:rsidRPr="007226B7">
              <w:rPr>
                <w:rFonts w:eastAsia="Calibri"/>
                <w:b/>
                <w:bCs/>
                <w:color w:val="1C556C" w:themeColor="accent1"/>
                <w:szCs w:val="16"/>
              </w:rPr>
              <w:t>12.2</w:t>
            </w:r>
          </w:p>
        </w:tc>
        <w:tc>
          <w:tcPr>
            <w:tcW w:w="1021" w:type="dxa"/>
            <w:shd w:val="clear" w:color="auto" w:fill="FFFFFF" w:themeFill="background1"/>
            <w:tcMar>
              <w:top w:w="0" w:type="dxa"/>
              <w:left w:w="85" w:type="dxa"/>
              <w:bottom w:w="0" w:type="dxa"/>
              <w:right w:w="85" w:type="dxa"/>
            </w:tcMar>
            <w:vAlign w:val="center"/>
          </w:tcPr>
          <w:p w14:paraId="069041B7" w14:textId="77777777" w:rsidR="00F271C1" w:rsidRPr="007226B7" w:rsidRDefault="00F271C1" w:rsidP="00F16E23">
            <w:pPr>
              <w:pStyle w:val="TableText"/>
              <w:spacing w:before="40" w:after="40"/>
              <w:jc w:val="right"/>
              <w:rPr>
                <w:rFonts w:eastAsia="Calibri"/>
                <w:b/>
                <w:bCs/>
                <w:color w:val="1B556B"/>
                <w:szCs w:val="16"/>
              </w:rPr>
            </w:pPr>
            <w:r w:rsidRPr="007226B7">
              <w:rPr>
                <w:rFonts w:eastAsia="Calibri"/>
                <w:b/>
                <w:bCs/>
                <w:color w:val="1C556C" w:themeColor="accent1"/>
                <w:szCs w:val="16"/>
              </w:rPr>
              <w:t>-9,552.7</w:t>
            </w:r>
          </w:p>
        </w:tc>
        <w:tc>
          <w:tcPr>
            <w:tcW w:w="907" w:type="dxa"/>
            <w:shd w:val="clear" w:color="auto" w:fill="FFFFFF" w:themeFill="background1"/>
            <w:tcMar>
              <w:top w:w="0" w:type="dxa"/>
              <w:left w:w="85" w:type="dxa"/>
              <w:bottom w:w="0" w:type="dxa"/>
              <w:right w:w="85" w:type="dxa"/>
            </w:tcMar>
            <w:vAlign w:val="center"/>
          </w:tcPr>
          <w:p w14:paraId="6735C9FE" w14:textId="77777777" w:rsidR="00F271C1" w:rsidRPr="007226B7" w:rsidRDefault="00F271C1" w:rsidP="00F16E23">
            <w:pPr>
              <w:pStyle w:val="TableText"/>
              <w:spacing w:before="40" w:after="40"/>
              <w:jc w:val="right"/>
              <w:rPr>
                <w:szCs w:val="16"/>
              </w:rPr>
            </w:pPr>
            <w:r w:rsidRPr="007226B7">
              <w:rPr>
                <w:rFonts w:eastAsia="Calibri"/>
                <w:b/>
                <w:bCs/>
                <w:color w:val="1C556C" w:themeColor="accent1"/>
                <w:szCs w:val="16"/>
              </w:rPr>
              <w:t>-11.2</w:t>
            </w:r>
          </w:p>
        </w:tc>
      </w:tr>
      <w:tr w:rsidR="00F271C1" w:rsidRPr="007226B7" w14:paraId="09F5AD2E" w14:textId="77777777" w:rsidTr="00F16E23">
        <w:tc>
          <w:tcPr>
            <w:tcW w:w="1002" w:type="dxa"/>
            <w:shd w:val="clear" w:color="auto" w:fill="FFFFFF" w:themeFill="background1"/>
            <w:tcMar>
              <w:top w:w="0" w:type="dxa"/>
              <w:left w:w="85" w:type="dxa"/>
              <w:bottom w:w="0" w:type="dxa"/>
              <w:right w:w="85" w:type="dxa"/>
            </w:tcMar>
            <w:vAlign w:val="center"/>
          </w:tcPr>
          <w:p w14:paraId="432DC336" w14:textId="77777777" w:rsidR="00F271C1" w:rsidRPr="007226B7" w:rsidRDefault="00F271C1" w:rsidP="00F16E23">
            <w:pPr>
              <w:pStyle w:val="TableText"/>
              <w:spacing w:before="40" w:after="40"/>
              <w:rPr>
                <w:szCs w:val="16"/>
              </w:rPr>
            </w:pPr>
            <w:r w:rsidRPr="007226B7">
              <w:rPr>
                <w:rFonts w:eastAsia="Calibri"/>
                <w:szCs w:val="16"/>
              </w:rPr>
              <w:t>LULUCF</w:t>
            </w:r>
          </w:p>
        </w:tc>
        <w:tc>
          <w:tcPr>
            <w:tcW w:w="794" w:type="dxa"/>
            <w:shd w:val="clear" w:color="auto" w:fill="FFFFFF" w:themeFill="background1"/>
            <w:tcMar>
              <w:top w:w="0" w:type="dxa"/>
              <w:left w:w="85" w:type="dxa"/>
              <w:bottom w:w="0" w:type="dxa"/>
              <w:right w:w="85" w:type="dxa"/>
            </w:tcMar>
            <w:vAlign w:val="center"/>
          </w:tcPr>
          <w:p w14:paraId="4DA6D7AB" w14:textId="77777777" w:rsidR="00F271C1" w:rsidRPr="007226B7" w:rsidRDefault="00F271C1" w:rsidP="00F16E23">
            <w:pPr>
              <w:pStyle w:val="TableText"/>
              <w:spacing w:before="40" w:after="40"/>
              <w:jc w:val="right"/>
              <w:rPr>
                <w:szCs w:val="16"/>
              </w:rPr>
            </w:pPr>
            <w:r w:rsidRPr="007226B7">
              <w:rPr>
                <w:rFonts w:eastAsia="Calibri"/>
                <w:szCs w:val="16"/>
              </w:rPr>
              <w:t>-23,334.5</w:t>
            </w:r>
          </w:p>
        </w:tc>
        <w:tc>
          <w:tcPr>
            <w:tcW w:w="794" w:type="dxa"/>
            <w:shd w:val="clear" w:color="auto" w:fill="FFFFFF" w:themeFill="background1"/>
            <w:tcMar>
              <w:top w:w="0" w:type="dxa"/>
              <w:left w:w="85" w:type="dxa"/>
              <w:bottom w:w="0" w:type="dxa"/>
              <w:right w:w="85" w:type="dxa"/>
            </w:tcMar>
            <w:vAlign w:val="center"/>
          </w:tcPr>
          <w:p w14:paraId="14AC87ED" w14:textId="77777777" w:rsidR="00F271C1" w:rsidRPr="007226B7" w:rsidRDefault="00F271C1" w:rsidP="00F16E23">
            <w:pPr>
              <w:pStyle w:val="TableText"/>
              <w:spacing w:before="40" w:after="40"/>
              <w:jc w:val="right"/>
              <w:rPr>
                <w:szCs w:val="16"/>
              </w:rPr>
            </w:pPr>
            <w:r w:rsidRPr="007226B7">
              <w:rPr>
                <w:rFonts w:eastAsia="Calibri"/>
                <w:szCs w:val="16"/>
              </w:rPr>
              <w:t>-23,138.8</w:t>
            </w:r>
          </w:p>
        </w:tc>
        <w:tc>
          <w:tcPr>
            <w:tcW w:w="964" w:type="dxa"/>
            <w:shd w:val="clear" w:color="auto" w:fill="FFFFFF" w:themeFill="background1"/>
            <w:tcMar>
              <w:top w:w="0" w:type="dxa"/>
              <w:left w:w="85" w:type="dxa"/>
              <w:bottom w:w="0" w:type="dxa"/>
              <w:right w:w="85" w:type="dxa"/>
            </w:tcMar>
            <w:vAlign w:val="center"/>
          </w:tcPr>
          <w:p w14:paraId="39E7498B" w14:textId="77777777" w:rsidR="00F271C1" w:rsidRPr="007226B7" w:rsidRDefault="00F271C1" w:rsidP="00F16E23">
            <w:pPr>
              <w:pStyle w:val="TableText"/>
              <w:spacing w:before="40" w:after="40"/>
              <w:jc w:val="right"/>
              <w:rPr>
                <w:szCs w:val="16"/>
              </w:rPr>
            </w:pPr>
            <w:r w:rsidRPr="007226B7">
              <w:rPr>
                <w:rFonts w:eastAsia="Calibri"/>
                <w:szCs w:val="16"/>
              </w:rPr>
              <w:t>-20,977.5</w:t>
            </w:r>
          </w:p>
        </w:tc>
        <w:tc>
          <w:tcPr>
            <w:tcW w:w="1021" w:type="dxa"/>
            <w:shd w:val="clear" w:color="auto" w:fill="FFFFFF" w:themeFill="background1"/>
            <w:tcMar>
              <w:top w:w="0" w:type="dxa"/>
              <w:left w:w="85" w:type="dxa"/>
              <w:bottom w:w="0" w:type="dxa"/>
              <w:right w:w="85" w:type="dxa"/>
            </w:tcMar>
            <w:vAlign w:val="center"/>
          </w:tcPr>
          <w:p w14:paraId="78FD270B" w14:textId="77777777" w:rsidR="00F271C1" w:rsidRPr="007226B7" w:rsidRDefault="00F271C1" w:rsidP="00F16E23">
            <w:pPr>
              <w:pStyle w:val="TableText"/>
              <w:spacing w:before="40" w:after="40"/>
              <w:jc w:val="right"/>
              <w:rPr>
                <w:szCs w:val="16"/>
              </w:rPr>
            </w:pPr>
            <w:r w:rsidRPr="007226B7">
              <w:rPr>
                <w:rFonts w:eastAsia="Calibri"/>
                <w:szCs w:val="16"/>
              </w:rPr>
              <w:t>2,357.0</w:t>
            </w:r>
          </w:p>
        </w:tc>
        <w:tc>
          <w:tcPr>
            <w:tcW w:w="907" w:type="dxa"/>
            <w:shd w:val="clear" w:color="auto" w:fill="FFFFFF" w:themeFill="background1"/>
            <w:tcMar>
              <w:top w:w="0" w:type="dxa"/>
              <w:left w:w="85" w:type="dxa"/>
              <w:bottom w:w="0" w:type="dxa"/>
              <w:right w:w="85" w:type="dxa"/>
            </w:tcMar>
            <w:vAlign w:val="center"/>
          </w:tcPr>
          <w:p w14:paraId="22CFD120" w14:textId="77777777" w:rsidR="00F271C1" w:rsidRPr="007226B7" w:rsidRDefault="00F271C1" w:rsidP="00F16E23">
            <w:pPr>
              <w:pStyle w:val="TableText"/>
              <w:spacing w:before="40" w:after="40"/>
              <w:jc w:val="right"/>
              <w:rPr>
                <w:szCs w:val="16"/>
              </w:rPr>
            </w:pPr>
            <w:r w:rsidRPr="007226B7">
              <w:rPr>
                <w:rFonts w:eastAsia="Calibri"/>
                <w:szCs w:val="16"/>
              </w:rPr>
              <w:t>10.1</w:t>
            </w:r>
          </w:p>
        </w:tc>
        <w:tc>
          <w:tcPr>
            <w:tcW w:w="1021" w:type="dxa"/>
            <w:shd w:val="clear" w:color="auto" w:fill="FFFFFF" w:themeFill="background1"/>
            <w:tcMar>
              <w:top w:w="0" w:type="dxa"/>
              <w:left w:w="85" w:type="dxa"/>
              <w:bottom w:w="0" w:type="dxa"/>
              <w:right w:w="85" w:type="dxa"/>
            </w:tcMar>
            <w:vAlign w:val="center"/>
          </w:tcPr>
          <w:p w14:paraId="1996837B" w14:textId="77777777" w:rsidR="00F271C1" w:rsidRPr="007226B7" w:rsidRDefault="00F271C1" w:rsidP="00F16E23">
            <w:pPr>
              <w:pStyle w:val="TableText"/>
              <w:spacing w:before="40" w:after="40"/>
              <w:jc w:val="right"/>
              <w:rPr>
                <w:szCs w:val="16"/>
              </w:rPr>
            </w:pPr>
            <w:r w:rsidRPr="007226B7">
              <w:rPr>
                <w:rFonts w:eastAsia="Calibri"/>
                <w:szCs w:val="16"/>
              </w:rPr>
              <w:t>2,161.3</w:t>
            </w:r>
          </w:p>
        </w:tc>
        <w:tc>
          <w:tcPr>
            <w:tcW w:w="907" w:type="dxa"/>
            <w:shd w:val="clear" w:color="auto" w:fill="FFFFFF" w:themeFill="background1"/>
            <w:tcMar>
              <w:top w:w="0" w:type="dxa"/>
              <w:left w:w="85" w:type="dxa"/>
              <w:bottom w:w="0" w:type="dxa"/>
              <w:right w:w="85" w:type="dxa"/>
            </w:tcMar>
            <w:vAlign w:val="center"/>
          </w:tcPr>
          <w:p w14:paraId="3E3ECAC5" w14:textId="77777777" w:rsidR="00F271C1" w:rsidRPr="007226B7" w:rsidRDefault="00F271C1" w:rsidP="00F16E23">
            <w:pPr>
              <w:pStyle w:val="TableText"/>
              <w:spacing w:before="40" w:after="40"/>
              <w:jc w:val="right"/>
              <w:rPr>
                <w:szCs w:val="16"/>
              </w:rPr>
            </w:pPr>
            <w:r w:rsidRPr="007226B7">
              <w:rPr>
                <w:rFonts w:eastAsia="Calibri"/>
                <w:szCs w:val="16"/>
              </w:rPr>
              <w:t>9.3</w:t>
            </w:r>
          </w:p>
        </w:tc>
      </w:tr>
      <w:tr w:rsidR="00F271C1" w:rsidRPr="007226B7" w14:paraId="2999DC19" w14:textId="77777777" w:rsidTr="00F16E23">
        <w:tc>
          <w:tcPr>
            <w:tcW w:w="1002" w:type="dxa"/>
            <w:shd w:val="clear" w:color="auto" w:fill="FFFFFF" w:themeFill="background1"/>
            <w:tcMar>
              <w:top w:w="0" w:type="dxa"/>
              <w:left w:w="85" w:type="dxa"/>
              <w:bottom w:w="0" w:type="dxa"/>
              <w:right w:w="85" w:type="dxa"/>
            </w:tcMar>
            <w:vAlign w:val="center"/>
          </w:tcPr>
          <w:p w14:paraId="3101675F" w14:textId="77777777" w:rsidR="00F271C1" w:rsidRPr="007226B7" w:rsidRDefault="00F271C1" w:rsidP="00F16E23">
            <w:pPr>
              <w:pStyle w:val="Tableboldblue"/>
              <w:spacing w:before="40" w:after="40"/>
              <w:rPr>
                <w:szCs w:val="16"/>
              </w:rPr>
            </w:pPr>
            <w:r w:rsidRPr="007226B7">
              <w:rPr>
                <w:rFonts w:eastAsia="Calibri"/>
                <w:szCs w:val="16"/>
              </w:rPr>
              <w:t>Net</w:t>
            </w:r>
          </w:p>
        </w:tc>
        <w:tc>
          <w:tcPr>
            <w:tcW w:w="794" w:type="dxa"/>
            <w:shd w:val="clear" w:color="auto" w:fill="FFFFFF" w:themeFill="background1"/>
            <w:tcMar>
              <w:top w:w="0" w:type="dxa"/>
              <w:left w:w="85" w:type="dxa"/>
              <w:bottom w:w="0" w:type="dxa"/>
              <w:right w:w="85" w:type="dxa"/>
            </w:tcMar>
            <w:vAlign w:val="center"/>
          </w:tcPr>
          <w:p w14:paraId="1DE7810E" w14:textId="77777777" w:rsidR="00F271C1" w:rsidRPr="007226B7" w:rsidRDefault="00F271C1" w:rsidP="00F16E23">
            <w:pPr>
              <w:pStyle w:val="Tableboldblue"/>
              <w:spacing w:before="40" w:after="40"/>
              <w:jc w:val="right"/>
              <w:rPr>
                <w:szCs w:val="16"/>
              </w:rPr>
            </w:pPr>
            <w:r w:rsidRPr="007226B7">
              <w:rPr>
                <w:rFonts w:eastAsia="Calibri"/>
                <w:szCs w:val="16"/>
              </w:rPr>
              <w:t>44,230.7</w:t>
            </w:r>
          </w:p>
        </w:tc>
        <w:tc>
          <w:tcPr>
            <w:tcW w:w="794" w:type="dxa"/>
            <w:shd w:val="clear" w:color="auto" w:fill="FFFFFF" w:themeFill="background1"/>
            <w:tcMar>
              <w:top w:w="0" w:type="dxa"/>
              <w:left w:w="85" w:type="dxa"/>
              <w:bottom w:w="0" w:type="dxa"/>
              <w:right w:w="85" w:type="dxa"/>
            </w:tcMar>
            <w:vAlign w:val="center"/>
          </w:tcPr>
          <w:p w14:paraId="554EABE2" w14:textId="77777777" w:rsidR="00F271C1" w:rsidRPr="007226B7" w:rsidRDefault="00F271C1" w:rsidP="00F16E23">
            <w:pPr>
              <w:pStyle w:val="Tableboldblue"/>
              <w:spacing w:before="40" w:after="40"/>
              <w:jc w:val="right"/>
              <w:rPr>
                <w:rFonts w:eastAsia="Calibri"/>
                <w:bCs/>
                <w:szCs w:val="16"/>
              </w:rPr>
            </w:pPr>
            <w:r w:rsidRPr="007226B7">
              <w:rPr>
                <w:rFonts w:eastAsia="Calibri"/>
                <w:bCs/>
                <w:szCs w:val="16"/>
              </w:rPr>
              <w:t>62,225.5</w:t>
            </w:r>
          </w:p>
        </w:tc>
        <w:tc>
          <w:tcPr>
            <w:tcW w:w="964" w:type="dxa"/>
            <w:shd w:val="clear" w:color="auto" w:fill="FFFFFF" w:themeFill="background1"/>
            <w:tcMar>
              <w:top w:w="0" w:type="dxa"/>
              <w:left w:w="85" w:type="dxa"/>
              <w:bottom w:w="0" w:type="dxa"/>
              <w:right w:w="85" w:type="dxa"/>
            </w:tcMar>
            <w:vAlign w:val="center"/>
          </w:tcPr>
          <w:p w14:paraId="4624E6FA" w14:textId="77777777" w:rsidR="00F271C1" w:rsidRPr="007226B7" w:rsidRDefault="00F271C1" w:rsidP="00F16E23">
            <w:pPr>
              <w:pStyle w:val="Tableboldblue"/>
              <w:spacing w:before="40" w:after="40"/>
              <w:jc w:val="right"/>
              <w:rPr>
                <w:rFonts w:eastAsia="Calibri"/>
                <w:szCs w:val="16"/>
              </w:rPr>
            </w:pPr>
            <w:r w:rsidRPr="007226B7">
              <w:rPr>
                <w:rFonts w:eastAsia="Calibri"/>
                <w:szCs w:val="16"/>
              </w:rPr>
              <w:t>54,834.1</w:t>
            </w:r>
          </w:p>
        </w:tc>
        <w:tc>
          <w:tcPr>
            <w:tcW w:w="1021" w:type="dxa"/>
            <w:shd w:val="clear" w:color="auto" w:fill="FFFFFF" w:themeFill="background1"/>
            <w:tcMar>
              <w:top w:w="0" w:type="dxa"/>
              <w:left w:w="85" w:type="dxa"/>
              <w:bottom w:w="0" w:type="dxa"/>
              <w:right w:w="85" w:type="dxa"/>
            </w:tcMar>
            <w:vAlign w:val="center"/>
          </w:tcPr>
          <w:p w14:paraId="10BDD18D" w14:textId="77777777" w:rsidR="00F271C1" w:rsidRPr="007226B7" w:rsidRDefault="00F271C1" w:rsidP="00F16E23">
            <w:pPr>
              <w:pStyle w:val="Tableboldblue"/>
              <w:spacing w:before="40" w:after="40"/>
              <w:jc w:val="right"/>
              <w:rPr>
                <w:rFonts w:eastAsia="Calibri"/>
                <w:szCs w:val="16"/>
              </w:rPr>
            </w:pPr>
            <w:r w:rsidRPr="007226B7">
              <w:rPr>
                <w:rFonts w:eastAsia="Calibri"/>
                <w:szCs w:val="16"/>
              </w:rPr>
              <w:t>10,603.4</w:t>
            </w:r>
          </w:p>
        </w:tc>
        <w:tc>
          <w:tcPr>
            <w:tcW w:w="907" w:type="dxa"/>
            <w:shd w:val="clear" w:color="auto" w:fill="FFFFFF" w:themeFill="background1"/>
            <w:tcMar>
              <w:top w:w="0" w:type="dxa"/>
              <w:left w:w="85" w:type="dxa"/>
              <w:bottom w:w="0" w:type="dxa"/>
              <w:right w:w="85" w:type="dxa"/>
            </w:tcMar>
            <w:vAlign w:val="center"/>
          </w:tcPr>
          <w:p w14:paraId="5D1CC1B2" w14:textId="77777777" w:rsidR="00F271C1" w:rsidRPr="007226B7" w:rsidRDefault="00F271C1" w:rsidP="00F16E23">
            <w:pPr>
              <w:pStyle w:val="Tableboldblue"/>
              <w:spacing w:before="40" w:after="40"/>
              <w:jc w:val="right"/>
              <w:rPr>
                <w:rFonts w:eastAsia="Calibri"/>
                <w:szCs w:val="16"/>
              </w:rPr>
            </w:pPr>
            <w:r w:rsidRPr="007226B7">
              <w:rPr>
                <w:rFonts w:eastAsia="Calibri"/>
                <w:szCs w:val="16"/>
              </w:rPr>
              <w:t>24.0</w:t>
            </w:r>
          </w:p>
        </w:tc>
        <w:tc>
          <w:tcPr>
            <w:tcW w:w="1021" w:type="dxa"/>
            <w:shd w:val="clear" w:color="auto" w:fill="FFFFFF" w:themeFill="background1"/>
            <w:tcMar>
              <w:top w:w="0" w:type="dxa"/>
              <w:left w:w="85" w:type="dxa"/>
              <w:bottom w:w="0" w:type="dxa"/>
              <w:right w:w="85" w:type="dxa"/>
            </w:tcMar>
            <w:vAlign w:val="center"/>
          </w:tcPr>
          <w:p w14:paraId="333FC1B3" w14:textId="77777777" w:rsidR="00F271C1" w:rsidRPr="007226B7" w:rsidRDefault="00F271C1" w:rsidP="00F16E23">
            <w:pPr>
              <w:pStyle w:val="Tableboldblue"/>
              <w:spacing w:before="40" w:after="40"/>
              <w:jc w:val="right"/>
              <w:rPr>
                <w:rFonts w:eastAsia="Calibri"/>
                <w:szCs w:val="16"/>
              </w:rPr>
            </w:pPr>
            <w:r w:rsidRPr="007226B7">
              <w:rPr>
                <w:rFonts w:eastAsia="Calibri"/>
                <w:szCs w:val="16"/>
              </w:rPr>
              <w:t>-7,391.4</w:t>
            </w:r>
          </w:p>
        </w:tc>
        <w:tc>
          <w:tcPr>
            <w:tcW w:w="907" w:type="dxa"/>
            <w:shd w:val="clear" w:color="auto" w:fill="FFFFFF" w:themeFill="background1"/>
            <w:tcMar>
              <w:top w:w="0" w:type="dxa"/>
              <w:left w:w="85" w:type="dxa"/>
              <w:bottom w:w="0" w:type="dxa"/>
              <w:right w:w="85" w:type="dxa"/>
            </w:tcMar>
            <w:vAlign w:val="center"/>
          </w:tcPr>
          <w:p w14:paraId="2FF6C96B" w14:textId="77777777" w:rsidR="00F271C1" w:rsidRPr="007226B7" w:rsidRDefault="00F271C1" w:rsidP="00F16E23">
            <w:pPr>
              <w:pStyle w:val="Tableboldblue"/>
              <w:spacing w:before="40" w:after="40"/>
              <w:jc w:val="right"/>
              <w:rPr>
                <w:szCs w:val="16"/>
              </w:rPr>
            </w:pPr>
            <w:r w:rsidRPr="007226B7">
              <w:rPr>
                <w:rFonts w:eastAsia="Calibri"/>
                <w:szCs w:val="16"/>
              </w:rPr>
              <w:t>-11.9</w:t>
            </w:r>
          </w:p>
        </w:tc>
      </w:tr>
    </w:tbl>
    <w:p w14:paraId="0E9D76D6" w14:textId="77777777" w:rsidR="00F271C1" w:rsidRPr="00E01C9E" w:rsidRDefault="00F271C1" w:rsidP="00F271C1">
      <w:pPr>
        <w:pStyle w:val="Noteundertable"/>
      </w:pPr>
      <w:r w:rsidRPr="00E01C9E">
        <w:rPr>
          <w:b/>
          <w:bCs/>
        </w:rPr>
        <w:t>Note:</w:t>
      </w:r>
      <w:r w:rsidRPr="00E01C9E">
        <w:t xml:space="preserve"> </w:t>
      </w:r>
      <w:r w:rsidRPr="00E01C9E">
        <w:tab/>
        <w:t>Columns may not sum due to rounding. Percentages presented are calculated from unrounded values.</w:t>
      </w:r>
    </w:p>
    <w:p w14:paraId="49E4BBB8" w14:textId="77777777" w:rsidR="00F271C1" w:rsidRPr="00E01C9E" w:rsidRDefault="00F271C1" w:rsidP="00F271C1">
      <w:pPr>
        <w:pStyle w:val="BodyText"/>
      </w:pPr>
      <w:r w:rsidRPr="00E01C9E">
        <w:t>Figure 2.2.4 presents the emissions estimates by sector and the change between 1990, 2005 and 2024 in kt CO</w:t>
      </w:r>
      <w:r w:rsidRPr="00E01C9E">
        <w:rPr>
          <w:vertAlign w:val="subscript"/>
        </w:rPr>
        <w:t>2</w:t>
      </w:r>
      <w:r w:rsidRPr="00E01C9E">
        <w:t>e.</w:t>
      </w:r>
    </w:p>
    <w:p w14:paraId="670262B9" w14:textId="77777777" w:rsidR="00F271C1" w:rsidRPr="00E01C9E" w:rsidRDefault="00F271C1" w:rsidP="00F271C1">
      <w:pPr>
        <w:pStyle w:val="Figure"/>
        <w:spacing w:after="80"/>
      </w:pPr>
      <w:bookmarkStart w:id="121" w:name="_Toc226200653"/>
      <w:r w:rsidRPr="00E01C9E">
        <w:t xml:space="preserve">Figure 2.2.4 </w:t>
      </w:r>
      <w:r w:rsidRPr="00E01C9E">
        <w:tab/>
        <w:t xml:space="preserve">Change in New Zealand’s emissions by sector, comparing </w:t>
      </w:r>
      <w:r w:rsidRPr="00E01C9E">
        <w:rPr>
          <w:bCs/>
        </w:rPr>
        <w:t>1990</w:t>
      </w:r>
      <w:r w:rsidRPr="00E01C9E">
        <w:t xml:space="preserve">, </w:t>
      </w:r>
      <w:r w:rsidRPr="00E01C9E">
        <w:rPr>
          <w:bCs/>
        </w:rPr>
        <w:t>2005</w:t>
      </w:r>
      <w:r w:rsidRPr="00E01C9E">
        <w:t xml:space="preserve"> and </w:t>
      </w:r>
      <w:r w:rsidRPr="00E01C9E">
        <w:rPr>
          <w:bCs/>
        </w:rPr>
        <w:t>2024</w:t>
      </w:r>
      <w:bookmarkEnd w:id="121"/>
    </w:p>
    <w:p w14:paraId="61924E16" w14:textId="77777777" w:rsidR="00F271C1" w:rsidRPr="00E01C9E" w:rsidRDefault="00F271C1" w:rsidP="00F271C1">
      <w:pPr>
        <w:pStyle w:val="BodyText"/>
      </w:pPr>
      <w:r w:rsidRPr="00E01C9E">
        <w:rPr>
          <w:noProof/>
        </w:rPr>
        <w:drawing>
          <wp:inline distT="0" distB="0" distL="0" distR="0" wp14:anchorId="787BE100" wp14:editId="4373AFDD">
            <wp:extent cx="5400675" cy="3968262"/>
            <wp:effectExtent l="0" t="0" r="0" b="0"/>
            <wp:docPr id="16194608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60895" name="Picture 1619460895"/>
                    <pic:cNvPicPr/>
                  </pic:nvPicPr>
                  <pic:blipFill rotWithShape="1">
                    <a:blip r:embed="rId38">
                      <a:extLst>
                        <a:ext uri="{28A0092B-C50C-407E-A947-70E740481C1C}">
                          <a14:useLocalDpi xmlns:a14="http://schemas.microsoft.com/office/drawing/2010/main"/>
                        </a:ext>
                      </a:extLst>
                    </a:blip>
                    <a:srcRect b="1973"/>
                    <a:stretch>
                      <a:fillRect/>
                    </a:stretch>
                  </pic:blipFill>
                  <pic:spPr bwMode="auto">
                    <a:xfrm>
                      <a:off x="0" y="0"/>
                      <a:ext cx="5400675" cy="3968262"/>
                    </a:xfrm>
                    <a:prstGeom prst="rect">
                      <a:avLst/>
                    </a:prstGeom>
                    <a:ln>
                      <a:noFill/>
                    </a:ln>
                    <a:extLst>
                      <a:ext uri="{53640926-AAD7-44D8-BBD7-CCE9431645EC}">
                        <a14:shadowObscured xmlns:a14="http://schemas.microsoft.com/office/drawing/2010/main"/>
                      </a:ext>
                    </a:extLst>
                  </pic:spPr>
                </pic:pic>
              </a:graphicData>
            </a:graphic>
          </wp:inline>
        </w:drawing>
      </w:r>
    </w:p>
    <w:p w14:paraId="44CA9E00" w14:textId="77777777" w:rsidR="00F271C1" w:rsidRPr="00E01C9E" w:rsidRDefault="00F271C1" w:rsidP="00F271C1">
      <w:pPr>
        <w:pStyle w:val="Noteundertable"/>
      </w:pPr>
      <w:r w:rsidRPr="00E01C9E">
        <w:rPr>
          <w:b/>
          <w:bCs/>
        </w:rPr>
        <w:t>Note:</w:t>
      </w:r>
      <w:r w:rsidRPr="00E01C9E">
        <w:t xml:space="preserve"> The Tokelau sector is not visible, due to its small total emissions value.</w:t>
      </w:r>
    </w:p>
    <w:p w14:paraId="2C1C3114" w14:textId="77777777" w:rsidR="00F271C1" w:rsidRPr="00E01C9E" w:rsidRDefault="00F271C1" w:rsidP="00F271C1">
      <w:pPr>
        <w:pStyle w:val="BodyText"/>
      </w:pPr>
      <w:r w:rsidRPr="00E01C9E">
        <w:t>Figure 2.2.5 presents the absolute change in gross emissions for each sector in kt CO</w:t>
      </w:r>
      <w:r w:rsidRPr="00E01C9E">
        <w:rPr>
          <w:vertAlign w:val="subscript"/>
        </w:rPr>
        <w:t>2</w:t>
      </w:r>
      <w:r w:rsidRPr="00E01C9E">
        <w:t>e (LULUCF is excluded from the estimate of gross emissions).</w:t>
      </w:r>
    </w:p>
    <w:p w14:paraId="5093A641" w14:textId="77777777" w:rsidR="00F271C1" w:rsidRPr="00E01C9E" w:rsidRDefault="00F271C1" w:rsidP="00F271C1">
      <w:pPr>
        <w:pStyle w:val="BodyText"/>
        <w:keepLines/>
      </w:pPr>
      <w:r w:rsidRPr="00E01C9E">
        <w:t xml:space="preserve">The figure shows that the main influences on the absolute changes in New Zealand’s gross emissions were changes in the Energy and Agriculture sectors. This is to be expected because they are the largest sectors of the New Zealand economy and show higher sensitivity to changes in global economic conditions, extreme weather conditions and natural disasters. </w:t>
      </w:r>
    </w:p>
    <w:p w14:paraId="4B5DEB39" w14:textId="77777777" w:rsidR="00F271C1" w:rsidRPr="00E01C9E" w:rsidRDefault="00F271C1" w:rsidP="00F271C1">
      <w:pPr>
        <w:pStyle w:val="BodyText"/>
      </w:pPr>
      <w:r w:rsidRPr="00E01C9E">
        <w:t>For example, during droughts, the level of inflow to hydro lakes is low, resulting in lower levels of hydroelectricity production. Consequently, electricity produced from fossil fuels makes a higher contribution to the national electricity grid, resulting in increased emissions from the Energy sector.</w:t>
      </w:r>
    </w:p>
    <w:p w14:paraId="6D15BADA" w14:textId="77777777" w:rsidR="00F271C1" w:rsidRPr="00E01C9E" w:rsidRDefault="00F271C1" w:rsidP="00F271C1">
      <w:pPr>
        <w:pStyle w:val="BodyText"/>
      </w:pPr>
      <w:r w:rsidRPr="00E01C9E">
        <w:t>Droughts also affect the size of the livestock population and livestock productivity, which usually results in reduced emissions from the Agriculture sector as the population and productivity decline.</w:t>
      </w:r>
    </w:p>
    <w:p w14:paraId="75AE3288" w14:textId="77777777" w:rsidR="00F271C1" w:rsidRPr="00E01C9E" w:rsidRDefault="00F271C1" w:rsidP="00F271C1">
      <w:pPr>
        <w:pStyle w:val="BodyText"/>
      </w:pPr>
      <w:r w:rsidRPr="00E01C9E">
        <w:t>Emissions from Tokelau have increased since 1990, mainly due to increases in CO</w:t>
      </w:r>
      <w:r w:rsidRPr="00E01C9E">
        <w:rPr>
          <w:vertAlign w:val="subscript"/>
        </w:rPr>
        <w:t>2</w:t>
      </w:r>
      <w:r w:rsidRPr="00E01C9E">
        <w:t xml:space="preserve"> emissions from the </w:t>
      </w:r>
      <w:r w:rsidRPr="00E01C9E">
        <w:rPr>
          <w:i/>
          <w:iCs/>
        </w:rPr>
        <w:t>Public electricity and heat production</w:t>
      </w:r>
      <w:r w:rsidRPr="00E01C9E">
        <w:t xml:space="preserve"> category (chapter 8, figure 8.3.1).</w:t>
      </w:r>
    </w:p>
    <w:p w14:paraId="36D576A1" w14:textId="77777777" w:rsidR="00F271C1" w:rsidRPr="00E01C9E" w:rsidRDefault="00F271C1" w:rsidP="00F271C1">
      <w:pPr>
        <w:pStyle w:val="Figure"/>
      </w:pPr>
      <w:bookmarkStart w:id="122" w:name="_Toc226200654"/>
      <w:r w:rsidRPr="00E01C9E">
        <w:t xml:space="preserve">Figure 2.2.5 </w:t>
      </w:r>
      <w:r w:rsidRPr="00E01C9E">
        <w:tab/>
        <w:t>Absolute change in New Zealand’s gross emissions by sector, from 1990 to 2024</w:t>
      </w:r>
      <w:bookmarkEnd w:id="122"/>
    </w:p>
    <w:p w14:paraId="3634D5A1" w14:textId="77777777" w:rsidR="00F271C1" w:rsidRPr="00E01C9E" w:rsidRDefault="00F271C1" w:rsidP="00F271C1">
      <w:pPr>
        <w:pStyle w:val="BodyText"/>
      </w:pPr>
      <w:r w:rsidRPr="00E01C9E">
        <w:rPr>
          <w:noProof/>
        </w:rPr>
        <w:drawing>
          <wp:inline distT="0" distB="0" distL="0" distR="0" wp14:anchorId="482E9CA8" wp14:editId="3F3CBE09">
            <wp:extent cx="5400675" cy="3979985"/>
            <wp:effectExtent l="0" t="0" r="0" b="1905"/>
            <wp:docPr id="2495048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04840" name="Picture 249504840"/>
                    <pic:cNvPicPr/>
                  </pic:nvPicPr>
                  <pic:blipFill rotWithShape="1">
                    <a:blip r:embed="rId39">
                      <a:extLst>
                        <a:ext uri="{28A0092B-C50C-407E-A947-70E740481C1C}">
                          <a14:useLocalDpi xmlns:a14="http://schemas.microsoft.com/office/drawing/2010/main"/>
                        </a:ext>
                      </a:extLst>
                    </a:blip>
                    <a:srcRect b="1683"/>
                    <a:stretch>
                      <a:fillRect/>
                    </a:stretch>
                  </pic:blipFill>
                  <pic:spPr bwMode="auto">
                    <a:xfrm>
                      <a:off x="0" y="0"/>
                      <a:ext cx="5400675" cy="3979985"/>
                    </a:xfrm>
                    <a:prstGeom prst="rect">
                      <a:avLst/>
                    </a:prstGeom>
                    <a:ln>
                      <a:noFill/>
                    </a:ln>
                    <a:extLst>
                      <a:ext uri="{53640926-AAD7-44D8-BBD7-CCE9431645EC}">
                        <a14:shadowObscured xmlns:a14="http://schemas.microsoft.com/office/drawing/2010/main"/>
                      </a:ext>
                    </a:extLst>
                  </pic:spPr>
                </pic:pic>
              </a:graphicData>
            </a:graphic>
          </wp:inline>
        </w:drawing>
      </w:r>
    </w:p>
    <w:p w14:paraId="23F464D8" w14:textId="77777777" w:rsidR="00F271C1" w:rsidRPr="00E01C9E" w:rsidRDefault="00F271C1" w:rsidP="00F271C1">
      <w:pPr>
        <w:pStyle w:val="Noteundertable"/>
      </w:pPr>
      <w:r w:rsidRPr="00E01C9E">
        <w:rPr>
          <w:b/>
          <w:bCs/>
        </w:rPr>
        <w:t>Note:</w:t>
      </w:r>
      <w:r w:rsidRPr="00E01C9E">
        <w:t xml:space="preserve"> </w:t>
      </w:r>
      <w:r w:rsidRPr="00E01C9E">
        <w:tab/>
        <w:t>Gross emissions exclude emissions from LULUCF. Because of the small size of the Tokelau sector, the change in emissions over time is not visible in the figure.</w:t>
      </w:r>
    </w:p>
    <w:p w14:paraId="71CD86C3" w14:textId="77777777" w:rsidR="00F271C1" w:rsidRPr="00E01C9E" w:rsidRDefault="00F271C1" w:rsidP="00F271C1">
      <w:pPr>
        <w:pStyle w:val="BodyText"/>
      </w:pPr>
      <w:r w:rsidRPr="00E01C9E">
        <w:rPr>
          <w:spacing w:val="-2"/>
        </w:rPr>
        <w:t>Net emissions from the LULUCF sector fluctuated significantly over the time series. These fluctuations (figure 2.2.6) were mainly influenced by harvesting, afforestation and deforestation</w:t>
      </w:r>
      <w:r w:rsidRPr="00E01C9E">
        <w:t xml:space="preserve"> rates (see the section ‘LULUCF sector’ below).</w:t>
      </w:r>
    </w:p>
    <w:p w14:paraId="74B7CDF0" w14:textId="77777777" w:rsidR="00F271C1" w:rsidRPr="00E01C9E" w:rsidRDefault="00F271C1" w:rsidP="00F271C1">
      <w:pPr>
        <w:pStyle w:val="Figure"/>
      </w:pPr>
      <w:bookmarkStart w:id="123" w:name="_Toc226200655"/>
      <w:r w:rsidRPr="00E01C9E">
        <w:t xml:space="preserve">Figure 2.2.6 </w:t>
      </w:r>
      <w:r w:rsidRPr="00E01C9E">
        <w:tab/>
        <w:t xml:space="preserve">Absolute change in net emissions from the LULUCF sector, from </w:t>
      </w:r>
      <w:r w:rsidRPr="00E01C9E">
        <w:rPr>
          <w:bCs/>
        </w:rPr>
        <w:t>1990</w:t>
      </w:r>
      <w:r w:rsidRPr="00E01C9E">
        <w:t xml:space="preserve"> to </w:t>
      </w:r>
      <w:r w:rsidRPr="00E01C9E">
        <w:rPr>
          <w:bCs/>
        </w:rPr>
        <w:t>2024</w:t>
      </w:r>
      <w:bookmarkEnd w:id="123"/>
    </w:p>
    <w:p w14:paraId="4A646DFE" w14:textId="77777777" w:rsidR="00F271C1" w:rsidRPr="00E01C9E" w:rsidRDefault="00F271C1" w:rsidP="00F271C1">
      <w:pPr>
        <w:pStyle w:val="BodyText"/>
      </w:pPr>
      <w:r w:rsidRPr="00E01C9E">
        <w:rPr>
          <w:noProof/>
        </w:rPr>
        <w:drawing>
          <wp:inline distT="0" distB="0" distL="0" distR="0" wp14:anchorId="1853336B" wp14:editId="4AE842AC">
            <wp:extent cx="5400675" cy="4048125"/>
            <wp:effectExtent l="0" t="0" r="0" b="0"/>
            <wp:docPr id="11917192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19249" name="Picture 1191719249"/>
                    <pic:cNvPicPr/>
                  </pic:nvPicPr>
                  <pic:blipFill>
                    <a:blip r:embed="rId40">
                      <a:extLst>
                        <a:ext uri="{28A0092B-C50C-407E-A947-70E740481C1C}">
                          <a14:useLocalDpi xmlns:a14="http://schemas.microsoft.com/office/drawing/2010/main"/>
                        </a:ext>
                      </a:extLst>
                    </a:blip>
                    <a:stretch>
                      <a:fillRect/>
                    </a:stretch>
                  </pic:blipFill>
                  <pic:spPr>
                    <a:xfrm>
                      <a:off x="0" y="0"/>
                      <a:ext cx="5400675" cy="4048125"/>
                    </a:xfrm>
                    <a:prstGeom prst="rect">
                      <a:avLst/>
                    </a:prstGeom>
                  </pic:spPr>
                </pic:pic>
              </a:graphicData>
            </a:graphic>
          </wp:inline>
        </w:drawing>
      </w:r>
    </w:p>
    <w:p w14:paraId="09DC8238" w14:textId="77777777" w:rsidR="00F271C1" w:rsidRPr="00E01C9E" w:rsidRDefault="00F271C1" w:rsidP="00F271C1">
      <w:pPr>
        <w:pStyle w:val="Heading4"/>
      </w:pPr>
      <w:bookmarkStart w:id="124" w:name="energy-sector"/>
      <w:r w:rsidRPr="00E01C9E">
        <w:t>Energy sector</w:t>
      </w:r>
    </w:p>
    <w:p w14:paraId="6B7C42C2" w14:textId="77777777" w:rsidR="00F271C1" w:rsidRPr="00E01C9E" w:rsidRDefault="00F271C1" w:rsidP="00F271C1">
      <w:pPr>
        <w:pStyle w:val="BodyText"/>
      </w:pPr>
      <w:r w:rsidRPr="00E01C9E">
        <w:t>In 2024, emissions from the Energy sector were dominated by CO</w:t>
      </w:r>
      <w:r w:rsidRPr="00E01C9E">
        <w:rPr>
          <w:vertAlign w:val="subscript"/>
        </w:rPr>
        <w:t>2</w:t>
      </w:r>
      <w:r w:rsidRPr="00E01C9E">
        <w:t xml:space="preserve"> (97.6 percent of all Energy sector emissions on a CO</w:t>
      </w:r>
      <w:r w:rsidRPr="00E01C9E">
        <w:rPr>
          <w:vertAlign w:val="subscript"/>
        </w:rPr>
        <w:t>2</w:t>
      </w:r>
      <w:r w:rsidRPr="00E01C9E">
        <w:t>e basis) and smaller amounts of CH</w:t>
      </w:r>
      <w:r w:rsidRPr="00E01C9E">
        <w:rPr>
          <w:vertAlign w:val="subscript"/>
        </w:rPr>
        <w:t>4</w:t>
      </w:r>
      <w:r w:rsidRPr="00E01C9E">
        <w:t xml:space="preserve"> and N</w:t>
      </w:r>
      <w:r w:rsidRPr="00E01C9E">
        <w:rPr>
          <w:vertAlign w:val="subscript"/>
        </w:rPr>
        <w:t>2</w:t>
      </w:r>
      <w:r w:rsidRPr="00E01C9E">
        <w:t xml:space="preserve">O (around 1.7 percent and 0.7 percent, respectively). The major source categories in the sector were </w:t>
      </w:r>
      <w:r w:rsidRPr="00E01C9E">
        <w:rPr>
          <w:i/>
          <w:iCs/>
        </w:rPr>
        <w:t>Road transportation</w:t>
      </w:r>
      <w:r w:rsidRPr="00E01C9E">
        <w:t xml:space="preserve"> and </w:t>
      </w:r>
      <w:r w:rsidRPr="00E01C9E">
        <w:rPr>
          <w:i/>
          <w:iCs/>
        </w:rPr>
        <w:t>Manufacturing industries and construction</w:t>
      </w:r>
      <w:r w:rsidRPr="00E01C9E">
        <w:t xml:space="preserve">. </w:t>
      </w:r>
    </w:p>
    <w:p w14:paraId="1919F0F5" w14:textId="77777777" w:rsidR="00F271C1" w:rsidRPr="00E01C9E" w:rsidRDefault="00F271C1" w:rsidP="00F271C1">
      <w:pPr>
        <w:pStyle w:val="BodyText"/>
      </w:pPr>
      <w:r w:rsidRPr="00E01C9E">
        <w:t>Emissions in the Energy sector were influenced by not only demand but also climatic conditions. Renewables, mainly hydro power and wind, meet a large proportion of New Zealand’s stationary energy needs. In 2024,</w:t>
      </w:r>
      <w:r w:rsidRPr="00E01C9E">
        <w:rPr>
          <w:b/>
          <w:bCs/>
        </w:rPr>
        <w:t xml:space="preserve"> </w:t>
      </w:r>
      <w:r w:rsidRPr="00E01C9E">
        <w:t>electricity generated from renewable energy sources contributed 85 percent of total generation.</w:t>
      </w:r>
    </w:p>
    <w:p w14:paraId="133DB0D0" w14:textId="77777777" w:rsidR="00F271C1" w:rsidRPr="00E01C9E" w:rsidRDefault="00F271C1" w:rsidP="00F271C1">
      <w:pPr>
        <w:pStyle w:val="Heading5"/>
      </w:pPr>
      <w:bookmarkStart w:id="125" w:name="section-6"/>
      <w:r w:rsidRPr="00E01C9E">
        <w:t>2024</w:t>
      </w:r>
    </w:p>
    <w:p w14:paraId="40B4CBD1" w14:textId="77777777" w:rsidR="00F271C1" w:rsidRPr="00E01C9E" w:rsidRDefault="00F271C1" w:rsidP="00F271C1">
      <w:pPr>
        <w:pStyle w:val="BodyText"/>
      </w:pPr>
      <w:r w:rsidRPr="00E01C9E">
        <w:t>In 2024, emissions from the Energy sector were 28,753.2 kt CO</w:t>
      </w:r>
      <w:r w:rsidRPr="00E01C9E">
        <w:rPr>
          <w:vertAlign w:val="subscript"/>
        </w:rPr>
        <w:t>2</w:t>
      </w:r>
      <w:r w:rsidRPr="00E01C9E">
        <w:t>e, or 37.9 percent of New Zealand’s gross GHG emissions (see figure 2.2.1).</w:t>
      </w:r>
    </w:p>
    <w:p w14:paraId="72FBE9DD" w14:textId="77777777" w:rsidR="00F271C1" w:rsidRPr="00E01C9E" w:rsidRDefault="00F271C1" w:rsidP="00F271C1">
      <w:pPr>
        <w:pStyle w:val="BodyText"/>
      </w:pPr>
      <w:r w:rsidRPr="00E01C9E">
        <w:t>The largest sources of emissions in the Energy sector were the </w:t>
      </w:r>
      <w:r w:rsidRPr="00E01C9E">
        <w:rPr>
          <w:i/>
          <w:iCs/>
        </w:rPr>
        <w:t>Road transportation</w:t>
      </w:r>
      <w:r w:rsidRPr="00E01C9E">
        <w:t xml:space="preserve"> category, contributing 12,555.7 kt CO</w:t>
      </w:r>
      <w:r w:rsidRPr="00E01C9E">
        <w:rPr>
          <w:vertAlign w:val="subscript"/>
        </w:rPr>
        <w:t>2</w:t>
      </w:r>
      <w:r w:rsidRPr="00E01C9E">
        <w:t>e (43.7 percent), and the </w:t>
      </w:r>
      <w:r w:rsidRPr="00E01C9E">
        <w:rPr>
          <w:i/>
          <w:iCs/>
        </w:rPr>
        <w:t>Manufacturing industries and construction</w:t>
      </w:r>
      <w:r w:rsidRPr="00E01C9E">
        <w:t xml:space="preserve"> category, contributing 5,396.5 kt CO</w:t>
      </w:r>
      <w:r w:rsidRPr="00E01C9E">
        <w:rPr>
          <w:vertAlign w:val="subscript"/>
        </w:rPr>
        <w:t>2</w:t>
      </w:r>
      <w:r w:rsidRPr="00E01C9E">
        <w:t>e (18.8 percent) to energy emissions.</w:t>
      </w:r>
    </w:p>
    <w:p w14:paraId="4547B46D" w14:textId="77777777" w:rsidR="00F271C1" w:rsidRPr="00E01C9E" w:rsidRDefault="00F271C1" w:rsidP="00F271C1">
      <w:pPr>
        <w:pStyle w:val="Heading5"/>
      </w:pPr>
      <w:bookmarkStart w:id="126" w:name="section-7"/>
      <w:bookmarkEnd w:id="125"/>
      <w:r w:rsidRPr="00E01C9E">
        <w:t>2023–2024</w:t>
      </w:r>
    </w:p>
    <w:p w14:paraId="6AE19E39" w14:textId="77777777" w:rsidR="00F271C1" w:rsidRPr="00E01C9E" w:rsidRDefault="00F271C1" w:rsidP="00F271C1">
      <w:pPr>
        <w:pStyle w:val="BodyText"/>
      </w:pPr>
      <w:r w:rsidRPr="00E01C9E">
        <w:t>Between 2023 and 2024, emissions from the Energy sector increased by 0.8 percent (231.4 kt CO</w:t>
      </w:r>
      <w:r w:rsidRPr="00E01C9E">
        <w:rPr>
          <w:vertAlign w:val="subscript"/>
        </w:rPr>
        <w:t>2</w:t>
      </w:r>
      <w:r w:rsidRPr="00E01C9E">
        <w:t xml:space="preserve">e). This was primarily due to an increase in </w:t>
      </w:r>
      <w:r w:rsidRPr="00E01C9E">
        <w:rPr>
          <w:i/>
          <w:iCs/>
        </w:rPr>
        <w:t>Public electricity and heat production</w:t>
      </w:r>
      <w:r w:rsidRPr="00E01C9E">
        <w:t xml:space="preserve"> (up 970.6 kt CO</w:t>
      </w:r>
      <w:r w:rsidRPr="00E01C9E">
        <w:rPr>
          <w:vertAlign w:val="subscript"/>
        </w:rPr>
        <w:t>2</w:t>
      </w:r>
      <w:r w:rsidRPr="00E01C9E">
        <w:t xml:space="preserve">e or 35.5 percent). This increase was partially offset by the </w:t>
      </w:r>
      <w:r w:rsidRPr="00E01C9E">
        <w:rPr>
          <w:i/>
          <w:iCs/>
        </w:rPr>
        <w:t>Chemicals</w:t>
      </w:r>
      <w:r w:rsidRPr="00E01C9E">
        <w:t xml:space="preserve"> category, which decreased by 590.4 kt CO</w:t>
      </w:r>
      <w:r w:rsidRPr="00E01C9E">
        <w:rPr>
          <w:vertAlign w:val="subscript"/>
        </w:rPr>
        <w:t>2</w:t>
      </w:r>
      <w:r w:rsidRPr="00E01C9E">
        <w:t xml:space="preserve">e (45.0 percent) and </w:t>
      </w:r>
      <w:r w:rsidRPr="00E01C9E">
        <w:rPr>
          <w:i/>
          <w:iCs/>
        </w:rPr>
        <w:t>Food processing, beverages and tobacco</w:t>
      </w:r>
      <w:r w:rsidRPr="00E01C9E">
        <w:t>, which decreased by 205.8 kt CO</w:t>
      </w:r>
      <w:r w:rsidRPr="00E01C9E">
        <w:rPr>
          <w:vertAlign w:val="subscript"/>
        </w:rPr>
        <w:t>2</w:t>
      </w:r>
      <w:r w:rsidRPr="00E01C9E">
        <w:t>e (7.6 percent). Further information on these changes is provided under the relevant categories of chapter 3, section 3.2.</w:t>
      </w:r>
    </w:p>
    <w:p w14:paraId="6C7FEEBC" w14:textId="77777777" w:rsidR="00F271C1" w:rsidRPr="00E01C9E" w:rsidRDefault="00F271C1" w:rsidP="00F271C1">
      <w:pPr>
        <w:pStyle w:val="BodyText"/>
      </w:pPr>
      <w:r w:rsidRPr="00E01C9E">
        <w:t>National energy consumption in 2024 declined 2.1 percent from the 2023 level, and was 9.9 percent below the pre-COVID-19 peak seen in 2019.</w:t>
      </w:r>
    </w:p>
    <w:p w14:paraId="02F69039" w14:textId="77777777" w:rsidR="00F271C1" w:rsidRPr="00E01C9E" w:rsidRDefault="00F271C1" w:rsidP="00F271C1">
      <w:pPr>
        <w:pStyle w:val="Heading5"/>
      </w:pPr>
      <w:bookmarkStart w:id="127" w:name="section-8"/>
      <w:bookmarkEnd w:id="126"/>
      <w:r w:rsidRPr="00E01C9E">
        <w:t>2005–2024</w:t>
      </w:r>
    </w:p>
    <w:p w14:paraId="480779CD" w14:textId="77777777" w:rsidR="00F271C1" w:rsidRPr="00E01C9E" w:rsidRDefault="00F271C1" w:rsidP="00F271C1">
      <w:pPr>
        <w:pStyle w:val="BodyText"/>
      </w:pPr>
      <w:r w:rsidRPr="00E01C9E">
        <w:t>Between 2005 and 2024, emissions from the Energy sector decreased by 16.9 percent (5,843.4 kt CO</w:t>
      </w:r>
      <w:r w:rsidRPr="00E01C9E">
        <w:rPr>
          <w:vertAlign w:val="subscript"/>
        </w:rPr>
        <w:t>2</w:t>
      </w:r>
      <w:r w:rsidRPr="00E01C9E">
        <w:t xml:space="preserve">e). The largest reduction came from </w:t>
      </w:r>
      <w:r w:rsidRPr="00E01C9E">
        <w:rPr>
          <w:i/>
          <w:iCs/>
        </w:rPr>
        <w:t>Public electricity and heat production</w:t>
      </w:r>
      <w:r w:rsidRPr="00E01C9E">
        <w:t>, which decreased by 5,299.7 kt CO</w:t>
      </w:r>
      <w:r w:rsidRPr="00E01C9E">
        <w:rPr>
          <w:vertAlign w:val="subscript"/>
        </w:rPr>
        <w:t>2</w:t>
      </w:r>
      <w:r w:rsidRPr="00E01C9E">
        <w:t>e (58.8 percent). While total electricity generation grew by 6 percent over the same period, the share from renewable sources increased significantly – from 66 percent to 85 percent – driven by expanded geothermal and wind capacity. This reduction in emissions was partially offset by a 1,338.5 kt CO</w:t>
      </w:r>
      <w:r w:rsidRPr="00E01C9E">
        <w:rPr>
          <w:vertAlign w:val="subscript"/>
        </w:rPr>
        <w:t>2</w:t>
      </w:r>
      <w:r w:rsidRPr="00E01C9E">
        <w:t xml:space="preserve">e (11.9 percent) increase from </w:t>
      </w:r>
      <w:r w:rsidRPr="00E01C9E">
        <w:rPr>
          <w:i/>
          <w:iCs/>
        </w:rPr>
        <w:t>Road transportation</w:t>
      </w:r>
      <w:r w:rsidRPr="00E01C9E">
        <w:t>.</w:t>
      </w:r>
    </w:p>
    <w:p w14:paraId="61D895EC" w14:textId="77777777" w:rsidR="00F271C1" w:rsidRPr="00E01C9E" w:rsidRDefault="00F271C1" w:rsidP="00F271C1">
      <w:pPr>
        <w:pStyle w:val="BodyText"/>
      </w:pPr>
      <w:r w:rsidRPr="00E01C9E">
        <w:t>Restrictions on activity and movement as part of the response to the COVID-19 pandemic during the 2020 calendar year created significant disruption to economic activity throughout New Zealand. The effects on the Energy sector are particularly notable, with national energy consumption remaining below 2019 levels. The sector rebounded slightly during 2021, but energy consumption has remained well below pre-2020 levels in the years following.</w:t>
      </w:r>
    </w:p>
    <w:p w14:paraId="4CFC7785" w14:textId="77777777" w:rsidR="00F271C1" w:rsidRPr="00E01C9E" w:rsidRDefault="00F271C1" w:rsidP="00F271C1">
      <w:pPr>
        <w:pStyle w:val="Heading5"/>
      </w:pPr>
      <w:bookmarkStart w:id="128" w:name="section-9"/>
      <w:bookmarkEnd w:id="127"/>
      <w:r w:rsidRPr="00E01C9E">
        <w:t>1990–2024</w:t>
      </w:r>
    </w:p>
    <w:p w14:paraId="0C81FBAB" w14:textId="77777777" w:rsidR="00F271C1" w:rsidRPr="00E01C9E" w:rsidRDefault="00F271C1" w:rsidP="00F271C1">
      <w:pPr>
        <w:pStyle w:val="BodyText"/>
      </w:pPr>
      <w:r w:rsidRPr="00E01C9E">
        <w:t>In 1990, emissions from the Energy sector were 23,999.8 kt CO</w:t>
      </w:r>
      <w:r w:rsidRPr="00E01C9E">
        <w:rPr>
          <w:vertAlign w:val="subscript"/>
        </w:rPr>
        <w:t>2</w:t>
      </w:r>
      <w:r w:rsidRPr="00E01C9E">
        <w:t>e. Between 1990 and 2024, GHG emissions increased by 19.8 percent (4,753.4 kt CO</w:t>
      </w:r>
      <w:r w:rsidRPr="00E01C9E">
        <w:rPr>
          <w:vertAlign w:val="subscript"/>
        </w:rPr>
        <w:t>2</w:t>
      </w:r>
      <w:r w:rsidRPr="00E01C9E">
        <w:t xml:space="preserve">e). The main contributors to this increase were </w:t>
      </w:r>
      <w:r w:rsidRPr="00E01C9E">
        <w:rPr>
          <w:i/>
          <w:iCs/>
        </w:rPr>
        <w:t>Road transportation</w:t>
      </w:r>
      <w:r w:rsidRPr="00E01C9E">
        <w:t xml:space="preserve"> (up 5,727.3 kt CO</w:t>
      </w:r>
      <w:r w:rsidRPr="00E01C9E">
        <w:rPr>
          <w:vertAlign w:val="subscript"/>
        </w:rPr>
        <w:t>2</w:t>
      </w:r>
      <w:r w:rsidRPr="00E01C9E">
        <w:t xml:space="preserve">e or 83.9 percent), </w:t>
      </w:r>
      <w:r w:rsidRPr="00E01C9E">
        <w:rPr>
          <w:i/>
          <w:iCs/>
        </w:rPr>
        <w:t>Food processing, beverages and tobacco</w:t>
      </w:r>
      <w:r w:rsidRPr="00E01C9E">
        <w:t xml:space="preserve"> (up 823.4 kt CO</w:t>
      </w:r>
      <w:r w:rsidRPr="00E01C9E">
        <w:rPr>
          <w:vertAlign w:val="subscript"/>
        </w:rPr>
        <w:t>2</w:t>
      </w:r>
      <w:r w:rsidRPr="00E01C9E">
        <w:t xml:space="preserve">e or 49.3 percent) and </w:t>
      </w:r>
      <w:r w:rsidRPr="00E01C9E">
        <w:rPr>
          <w:i/>
          <w:iCs/>
        </w:rPr>
        <w:t>Residential</w:t>
      </w:r>
      <w:r w:rsidRPr="00E01C9E">
        <w:t xml:space="preserve"> (up 407.1 kt CO</w:t>
      </w:r>
      <w:r w:rsidRPr="00E01C9E">
        <w:rPr>
          <w:vertAlign w:val="subscript"/>
        </w:rPr>
        <w:t>2</w:t>
      </w:r>
      <w:r w:rsidRPr="00E01C9E">
        <w:t>e or 27.9 percent). While the drivers of these changes are complex, main factors include population growth and increased economic activity.</w:t>
      </w:r>
    </w:p>
    <w:p w14:paraId="71A07422" w14:textId="77777777" w:rsidR="00F271C1" w:rsidRPr="00E01C9E" w:rsidRDefault="00F271C1" w:rsidP="00F271C1">
      <w:pPr>
        <w:pStyle w:val="BodyText"/>
      </w:pPr>
      <w:r w:rsidRPr="00E01C9E">
        <w:t xml:space="preserve">The largest decrease since 1990 occurred in </w:t>
      </w:r>
      <w:r w:rsidRPr="00E01C9E">
        <w:rPr>
          <w:i/>
          <w:iCs/>
        </w:rPr>
        <w:t>Manufacture of solid fuels and other energy industries</w:t>
      </w:r>
      <w:r w:rsidRPr="00E01C9E">
        <w:t>, historically a significant source of emissions. Emissions from this category fell by 1,460.3 kt CO</w:t>
      </w:r>
      <w:r w:rsidRPr="00E01C9E">
        <w:rPr>
          <w:vertAlign w:val="subscript"/>
        </w:rPr>
        <w:t>2</w:t>
      </w:r>
      <w:r w:rsidRPr="00E01C9E">
        <w:t>e (85.7 percent), primarily due to the cessation of synthetic gasoline production in 1997.</w:t>
      </w:r>
    </w:p>
    <w:p w14:paraId="33943237" w14:textId="77777777" w:rsidR="00F271C1" w:rsidRPr="00E01C9E" w:rsidRDefault="00F271C1" w:rsidP="00F271C1">
      <w:pPr>
        <w:pStyle w:val="BodyText"/>
      </w:pPr>
      <w:r w:rsidRPr="00E01C9E">
        <w:t>Figure 2.2.7 shows the time series of Energy sector emissions from 1990 to 2024. Emissions rose steadily between 1990 and 2006, driven by population and economic growth, which in turn increased demand for transport and industrial energy. Road transportation emissions rose sharply due to high reliance on private vehicles and freight trucking. Manufacturing activity, particularly in energy-intensive sectors such as food processing and chemicals, also contributed to the upward trend.</w:t>
      </w:r>
    </w:p>
    <w:p w14:paraId="5757372E" w14:textId="77777777" w:rsidR="00F271C1" w:rsidRPr="00E01C9E" w:rsidRDefault="00F271C1" w:rsidP="00F271C1">
      <w:pPr>
        <w:pStyle w:val="BodyText"/>
      </w:pPr>
      <w:r w:rsidRPr="00E01C9E">
        <w:t>After 2006, emissions declined slightly and then remained stable until 2019. Since 2019, emissions have decreased, mainly due to the effects of the COVID-19 pandemic response and ongoing economic conditions. These factors, combined with lower-than-expected gas supply, have led to reductions in industrial energy use.</w:t>
      </w:r>
    </w:p>
    <w:p w14:paraId="47ECB953" w14:textId="77777777" w:rsidR="00F271C1" w:rsidRPr="00E01C9E" w:rsidRDefault="00F271C1" w:rsidP="00F271C1">
      <w:pPr>
        <w:pStyle w:val="Figure"/>
      </w:pPr>
      <w:bookmarkStart w:id="129" w:name="_Toc226200656"/>
      <w:r w:rsidRPr="00E01C9E">
        <w:t xml:space="preserve">Figure 2.2.7 </w:t>
      </w:r>
      <w:r w:rsidRPr="00E01C9E">
        <w:tab/>
        <w:t xml:space="preserve">New Zealand’s Energy sector emissions, from </w:t>
      </w:r>
      <w:r w:rsidRPr="00E01C9E">
        <w:rPr>
          <w:bCs/>
        </w:rPr>
        <w:t>1990</w:t>
      </w:r>
      <w:r w:rsidRPr="00E01C9E">
        <w:t xml:space="preserve"> to </w:t>
      </w:r>
      <w:r w:rsidRPr="00E01C9E">
        <w:rPr>
          <w:bCs/>
        </w:rPr>
        <w:t>2024</w:t>
      </w:r>
      <w:bookmarkEnd w:id="129"/>
    </w:p>
    <w:p w14:paraId="5F8E8848" w14:textId="77777777" w:rsidR="00F271C1" w:rsidRPr="00E01C9E" w:rsidRDefault="00F271C1" w:rsidP="00F271C1">
      <w:pPr>
        <w:pStyle w:val="BodyText"/>
        <w:jc w:val="center"/>
      </w:pPr>
      <w:r w:rsidRPr="00E01C9E">
        <w:rPr>
          <w:noProof/>
        </w:rPr>
        <w:drawing>
          <wp:inline distT="0" distB="0" distL="0" distR="0" wp14:anchorId="4B52A02B" wp14:editId="3BD769BD">
            <wp:extent cx="5289550" cy="3860800"/>
            <wp:effectExtent l="0" t="0" r="6350" b="6350"/>
            <wp:docPr id="58" name="Picture"/>
            <wp:cNvGraphicFramePr/>
            <a:graphic xmlns:a="http://schemas.openxmlformats.org/drawingml/2006/main">
              <a:graphicData uri="http://schemas.openxmlformats.org/drawingml/2006/picture">
                <pic:pic xmlns:pic="http://schemas.openxmlformats.org/drawingml/2006/picture">
                  <pic:nvPicPr>
                    <pic:cNvPr id="59" name="Picture" descr="code/graphs/images/fig_2_2_7_crf.png"/>
                    <pic:cNvPicPr>
                      <a:picLocks noChangeAspect="1" noChangeArrowheads="1"/>
                    </pic:cNvPicPr>
                  </pic:nvPicPr>
                  <pic:blipFill>
                    <a:blip r:embed="rId41"/>
                    <a:stretch>
                      <a:fillRect/>
                    </a:stretch>
                  </pic:blipFill>
                  <pic:spPr bwMode="auto">
                    <a:xfrm>
                      <a:off x="0" y="0"/>
                      <a:ext cx="5289550" cy="3860800"/>
                    </a:xfrm>
                    <a:prstGeom prst="rect">
                      <a:avLst/>
                    </a:prstGeom>
                    <a:noFill/>
                    <a:ln w="9525">
                      <a:noFill/>
                      <a:headEnd/>
                      <a:tailEnd/>
                    </a:ln>
                  </pic:spPr>
                </pic:pic>
              </a:graphicData>
            </a:graphic>
          </wp:inline>
        </w:drawing>
      </w:r>
    </w:p>
    <w:p w14:paraId="7A0F17E8" w14:textId="77777777" w:rsidR="00F271C1" w:rsidRPr="00E01C9E" w:rsidRDefault="00F271C1" w:rsidP="00F271C1">
      <w:pPr>
        <w:pStyle w:val="Heading4"/>
      </w:pPr>
      <w:bookmarkStart w:id="130" w:name="ippu-sector"/>
      <w:bookmarkEnd w:id="124"/>
      <w:bookmarkEnd w:id="128"/>
      <w:r w:rsidRPr="00E01C9E">
        <w:t>IPPU sector</w:t>
      </w:r>
    </w:p>
    <w:p w14:paraId="301512BF" w14:textId="77777777" w:rsidR="00F271C1" w:rsidRPr="00E01C9E" w:rsidRDefault="00F271C1" w:rsidP="00F271C1">
      <w:pPr>
        <w:pStyle w:val="BodyText"/>
        <w:spacing w:before="100" w:after="100"/>
      </w:pPr>
      <w:r w:rsidRPr="00E01C9E">
        <w:t>In 2024, emissions from the IPPU sector were dominated by CO</w:t>
      </w:r>
      <w:r w:rsidRPr="00E01C9E">
        <w:rPr>
          <w:vertAlign w:val="subscript"/>
        </w:rPr>
        <w:t>2</w:t>
      </w:r>
      <w:r w:rsidRPr="00E01C9E">
        <w:t xml:space="preserve"> (66.2 percent of all IPPU sector emissions on a CO</w:t>
      </w:r>
      <w:r w:rsidRPr="00E01C9E">
        <w:rPr>
          <w:vertAlign w:val="subscript"/>
        </w:rPr>
        <w:t>2</w:t>
      </w:r>
      <w:r w:rsidRPr="00E01C9E">
        <w:t>e basis), fluorinated gases (29.1 percent) and smaller amounts of CH</w:t>
      </w:r>
      <w:r w:rsidRPr="00E01C9E">
        <w:rPr>
          <w:vertAlign w:val="subscript"/>
        </w:rPr>
        <w:t>4</w:t>
      </w:r>
      <w:r w:rsidRPr="00E01C9E">
        <w:t> and N</w:t>
      </w:r>
      <w:r w:rsidRPr="00E01C9E">
        <w:rPr>
          <w:vertAlign w:val="subscript"/>
        </w:rPr>
        <w:t>2</w:t>
      </w:r>
      <w:r w:rsidRPr="00E01C9E">
        <w:t xml:space="preserve">O (around 1.1 percent and 3.6 percent, respectively). The major source categories in the sector were </w:t>
      </w:r>
      <w:r w:rsidRPr="00E01C9E">
        <w:rPr>
          <w:i/>
          <w:iCs/>
        </w:rPr>
        <w:t>Iron and steel production</w:t>
      </w:r>
      <w:r w:rsidRPr="00E01C9E">
        <w:t xml:space="preserve">, </w:t>
      </w:r>
      <w:r w:rsidRPr="00E01C9E">
        <w:rPr>
          <w:i/>
          <w:iCs/>
        </w:rPr>
        <w:t>Refrigeration and air conditioning</w:t>
      </w:r>
      <w:r w:rsidRPr="00E01C9E">
        <w:t xml:space="preserve">, </w:t>
      </w:r>
      <w:r w:rsidRPr="00E01C9E">
        <w:rPr>
          <w:i/>
          <w:iCs/>
        </w:rPr>
        <w:t>Aluminium production</w:t>
      </w:r>
      <w:r w:rsidRPr="00E01C9E">
        <w:t xml:space="preserve"> and </w:t>
      </w:r>
      <w:r w:rsidRPr="00E01C9E">
        <w:rPr>
          <w:i/>
          <w:iCs/>
        </w:rPr>
        <w:t>Cement production</w:t>
      </w:r>
      <w:r w:rsidRPr="00E01C9E">
        <w:t xml:space="preserve">. Coal and natural gas were also used on a significant scale for energy in the </w:t>
      </w:r>
      <w:r w:rsidRPr="00E01C9E">
        <w:rPr>
          <w:i/>
          <w:iCs/>
        </w:rPr>
        <w:t>Mineral industry</w:t>
      </w:r>
      <w:r w:rsidRPr="00E01C9E">
        <w:t xml:space="preserve">, </w:t>
      </w:r>
      <w:r w:rsidRPr="00E01C9E">
        <w:rPr>
          <w:i/>
          <w:iCs/>
        </w:rPr>
        <w:t>Chemical industry</w:t>
      </w:r>
      <w:r w:rsidRPr="00E01C9E">
        <w:t xml:space="preserve"> and </w:t>
      </w:r>
      <w:r w:rsidRPr="00E01C9E">
        <w:rPr>
          <w:i/>
          <w:iCs/>
        </w:rPr>
        <w:t>Metal industry</w:t>
      </w:r>
      <w:r w:rsidRPr="00E01C9E">
        <w:t xml:space="preserve"> categories. Carbon dioxide and any other emissions from combustion of fuels in these industries are reported under the Energy sector.</w:t>
      </w:r>
    </w:p>
    <w:p w14:paraId="337CFFC8" w14:textId="77777777" w:rsidR="00F271C1" w:rsidRPr="00E01C9E" w:rsidRDefault="00F271C1" w:rsidP="00F271C1">
      <w:pPr>
        <w:pStyle w:val="Heading5"/>
      </w:pPr>
      <w:bookmarkStart w:id="131" w:name="section-10"/>
      <w:r w:rsidRPr="00E01C9E">
        <w:t>2024</w:t>
      </w:r>
    </w:p>
    <w:p w14:paraId="5D6D5FB1" w14:textId="77777777" w:rsidR="00F271C1" w:rsidRPr="00E01C9E" w:rsidRDefault="00F271C1" w:rsidP="00F271C1">
      <w:pPr>
        <w:pStyle w:val="BodyText"/>
        <w:spacing w:before="100" w:after="100"/>
      </w:pPr>
      <w:r w:rsidRPr="00E01C9E">
        <w:rPr>
          <w:spacing w:val="-2"/>
        </w:rPr>
        <w:t>In 2024, emissions from the IPPU sector were 3,896.7 kt CO</w:t>
      </w:r>
      <w:r w:rsidRPr="00E01C9E">
        <w:rPr>
          <w:spacing w:val="-2"/>
          <w:vertAlign w:val="subscript"/>
        </w:rPr>
        <w:t>2</w:t>
      </w:r>
      <w:r w:rsidRPr="00E01C9E">
        <w:rPr>
          <w:spacing w:val="-2"/>
        </w:rPr>
        <w:t>e, or 5.1 percent, of New Zealand’</w:t>
      </w:r>
      <w:r w:rsidRPr="00E01C9E">
        <w:t>s gross GHG emissions.</w:t>
      </w:r>
    </w:p>
    <w:p w14:paraId="47FCE071" w14:textId="77777777" w:rsidR="00F271C1" w:rsidRPr="00E01C9E" w:rsidRDefault="00F271C1" w:rsidP="00F271C1">
      <w:pPr>
        <w:pStyle w:val="BodyText"/>
        <w:spacing w:before="100" w:after="100"/>
      </w:pPr>
      <w:r w:rsidRPr="00E01C9E">
        <w:t xml:space="preserve">The </w:t>
      </w:r>
      <w:r w:rsidRPr="00E01C9E">
        <w:rPr>
          <w:i/>
          <w:iCs/>
        </w:rPr>
        <w:t>Metal industry</w:t>
      </w:r>
      <w:r w:rsidRPr="00E01C9E">
        <w:t xml:space="preserve"> was the largest category of emissions, with substantial CO</w:t>
      </w:r>
      <w:r w:rsidRPr="00E01C9E">
        <w:rPr>
          <w:vertAlign w:val="subscript"/>
        </w:rPr>
        <w:t>2</w:t>
      </w:r>
      <w:r w:rsidRPr="00E01C9E">
        <w:t xml:space="preserve"> emissions from the </w:t>
      </w:r>
      <w:r w:rsidRPr="00E01C9E">
        <w:rPr>
          <w:i/>
          <w:iCs/>
        </w:rPr>
        <w:t>Iron and steel production</w:t>
      </w:r>
      <w:r w:rsidRPr="00E01C9E">
        <w:t xml:space="preserve"> and </w:t>
      </w:r>
      <w:r w:rsidRPr="00E01C9E">
        <w:rPr>
          <w:i/>
          <w:iCs/>
        </w:rPr>
        <w:t>Aluminium production</w:t>
      </w:r>
      <w:r w:rsidRPr="00E01C9E">
        <w:t xml:space="preserve"> categories, as well as PFCs from the </w:t>
      </w:r>
      <w:r w:rsidRPr="00E01C9E">
        <w:rPr>
          <w:i/>
          <w:iCs/>
        </w:rPr>
        <w:t>Aluminium production</w:t>
      </w:r>
      <w:r w:rsidRPr="00E01C9E">
        <w:t xml:space="preserve"> category in earlier years. The </w:t>
      </w:r>
      <w:r w:rsidRPr="00E01C9E">
        <w:rPr>
          <w:i/>
          <w:iCs/>
        </w:rPr>
        <w:t>Mineral industry</w:t>
      </w:r>
      <w:r w:rsidRPr="00E01C9E">
        <w:t xml:space="preserve"> and </w:t>
      </w:r>
      <w:r w:rsidRPr="00E01C9E">
        <w:rPr>
          <w:i/>
          <w:iCs/>
        </w:rPr>
        <w:t>Chemical industry</w:t>
      </w:r>
      <w:r w:rsidRPr="00E01C9E">
        <w:t xml:space="preserve"> categories also contributed significant CO</w:t>
      </w:r>
      <w:r w:rsidRPr="00E01C9E">
        <w:rPr>
          <w:vertAlign w:val="subscript"/>
        </w:rPr>
        <w:t>2</w:t>
      </w:r>
      <w:r w:rsidRPr="00E01C9E">
        <w:t xml:space="preserve"> emissions, and most of the non-CO</w:t>
      </w:r>
      <w:r w:rsidRPr="00E01C9E">
        <w:rPr>
          <w:vertAlign w:val="subscript"/>
        </w:rPr>
        <w:t>2</w:t>
      </w:r>
      <w:r w:rsidRPr="00E01C9E">
        <w:t xml:space="preserve"> emissions were from the </w:t>
      </w:r>
      <w:r w:rsidRPr="00E01C9E">
        <w:rPr>
          <w:i/>
          <w:iCs/>
        </w:rPr>
        <w:t>Product uses as substitutes for ODS</w:t>
      </w:r>
      <w:r w:rsidRPr="00E01C9E">
        <w:t xml:space="preserve"> category.</w:t>
      </w:r>
    </w:p>
    <w:p w14:paraId="4B3B3268" w14:textId="77777777" w:rsidR="00F271C1" w:rsidRPr="00E01C9E" w:rsidRDefault="00F271C1" w:rsidP="00F271C1">
      <w:pPr>
        <w:pStyle w:val="BodyText"/>
        <w:spacing w:before="100" w:after="100"/>
      </w:pPr>
      <w:r w:rsidRPr="00E01C9E">
        <w:t>The IPPU sector also produces smaller amounts of CH</w:t>
      </w:r>
      <w:r w:rsidRPr="00E01C9E">
        <w:rPr>
          <w:vertAlign w:val="subscript"/>
        </w:rPr>
        <w:t>4</w:t>
      </w:r>
      <w:r w:rsidRPr="00E01C9E">
        <w:t xml:space="preserve"> from methanol production and N</w:t>
      </w:r>
      <w:r w:rsidRPr="00E01C9E">
        <w:rPr>
          <w:vertAlign w:val="subscript"/>
        </w:rPr>
        <w:t>2</w:t>
      </w:r>
      <w:r w:rsidRPr="00E01C9E">
        <w:t xml:space="preserve">O used for medical applications in the </w:t>
      </w:r>
      <w:r w:rsidRPr="00E01C9E">
        <w:rPr>
          <w:i/>
          <w:iCs/>
        </w:rPr>
        <w:t>Other product manufacture and use</w:t>
      </w:r>
      <w:r w:rsidRPr="00E01C9E">
        <w:t xml:space="preserve"> category.</w:t>
      </w:r>
    </w:p>
    <w:p w14:paraId="39099414" w14:textId="77777777" w:rsidR="00F271C1" w:rsidRPr="00E01C9E" w:rsidRDefault="00F271C1" w:rsidP="00F271C1">
      <w:pPr>
        <w:pStyle w:val="BodyText"/>
        <w:spacing w:before="100"/>
      </w:pPr>
      <w:r w:rsidRPr="00E01C9E">
        <w:t xml:space="preserve">Coal and natural gas were also used for energy generation in these industries, and related emissions were reported under the Energy sector in the </w:t>
      </w:r>
      <w:r w:rsidRPr="00E01C9E">
        <w:rPr>
          <w:i/>
          <w:iCs/>
        </w:rPr>
        <w:t>Manufacturing industries and construction</w:t>
      </w:r>
      <w:r w:rsidRPr="00E01C9E">
        <w:t xml:space="preserve"> category.</w:t>
      </w:r>
    </w:p>
    <w:p w14:paraId="3F828401" w14:textId="77777777" w:rsidR="00F271C1" w:rsidRPr="00E01C9E" w:rsidRDefault="00F271C1" w:rsidP="00F271C1">
      <w:pPr>
        <w:pStyle w:val="Heading5"/>
      </w:pPr>
      <w:bookmarkStart w:id="132" w:name="section-11"/>
      <w:bookmarkEnd w:id="131"/>
      <w:r w:rsidRPr="00E01C9E">
        <w:t>2023–2024</w:t>
      </w:r>
    </w:p>
    <w:p w14:paraId="0D0EF1CF" w14:textId="77777777" w:rsidR="00F271C1" w:rsidRPr="00E01C9E" w:rsidRDefault="00F271C1" w:rsidP="00F271C1">
      <w:pPr>
        <w:pStyle w:val="BodyText"/>
        <w:spacing w:before="100" w:after="100"/>
      </w:pPr>
      <w:r w:rsidRPr="00E01C9E">
        <w:t>Between 2023 and 2024, emissions from the IPPU sector decreased by 166.6 kt CO</w:t>
      </w:r>
      <w:r w:rsidRPr="00E01C9E">
        <w:rPr>
          <w:vertAlign w:val="subscript"/>
        </w:rPr>
        <w:t>2</w:t>
      </w:r>
      <w:r w:rsidRPr="00E01C9E">
        <w:t>e (4.1 percent).</w:t>
      </w:r>
    </w:p>
    <w:p w14:paraId="115F44B4" w14:textId="77777777" w:rsidR="00F271C1" w:rsidRPr="00E01C9E" w:rsidRDefault="00F271C1" w:rsidP="00F271C1">
      <w:pPr>
        <w:pStyle w:val="BodyText"/>
        <w:spacing w:before="100" w:after="100"/>
      </w:pPr>
      <w:r w:rsidRPr="00E01C9E">
        <w:t xml:space="preserve">This change was mainly the result of decreased emissions from the </w:t>
      </w:r>
      <w:r w:rsidRPr="00E01C9E">
        <w:rPr>
          <w:i/>
          <w:iCs/>
        </w:rPr>
        <w:t>Refrigeration and air conditioning</w:t>
      </w:r>
      <w:r w:rsidRPr="00E01C9E">
        <w:t xml:space="preserve">, </w:t>
      </w:r>
      <w:r w:rsidRPr="00E01C9E">
        <w:rPr>
          <w:i/>
          <w:iCs/>
        </w:rPr>
        <w:t>Mineral industry, Chemical industry</w:t>
      </w:r>
      <w:r w:rsidRPr="00E01C9E">
        <w:t xml:space="preserve"> and </w:t>
      </w:r>
      <w:r w:rsidRPr="00E01C9E">
        <w:rPr>
          <w:i/>
          <w:iCs/>
        </w:rPr>
        <w:t>Metal industry</w:t>
      </w:r>
      <w:r w:rsidRPr="00E01C9E">
        <w:t xml:space="preserve"> categories. Although emissions increased elsewhere, the overall result was a net reduction in total IPPU emissions.</w:t>
      </w:r>
    </w:p>
    <w:p w14:paraId="0EDB7134" w14:textId="77777777" w:rsidR="00F271C1" w:rsidRPr="00E01C9E" w:rsidRDefault="00F271C1" w:rsidP="00F271C1">
      <w:pPr>
        <w:pStyle w:val="Heading5"/>
      </w:pPr>
      <w:bookmarkStart w:id="133" w:name="section-12"/>
      <w:bookmarkEnd w:id="132"/>
      <w:r w:rsidRPr="00E01C9E">
        <w:t>2005–2024</w:t>
      </w:r>
    </w:p>
    <w:p w14:paraId="13929A21" w14:textId="77777777" w:rsidR="00F271C1" w:rsidRPr="00E01C9E" w:rsidRDefault="00F271C1" w:rsidP="00F271C1">
      <w:pPr>
        <w:pStyle w:val="BodyText"/>
      </w:pPr>
      <w:r w:rsidRPr="00E01C9E">
        <w:t>Between 2005 and 2024, emissions from the IPPU sector decreased by 149.4 kt CO</w:t>
      </w:r>
      <w:r w:rsidRPr="00E01C9E">
        <w:rPr>
          <w:vertAlign w:val="subscript"/>
        </w:rPr>
        <w:t>2</w:t>
      </w:r>
      <w:r w:rsidRPr="00E01C9E">
        <w:t>e (3.7 percent).</w:t>
      </w:r>
    </w:p>
    <w:p w14:paraId="7A2FAD57" w14:textId="77777777" w:rsidR="00F271C1" w:rsidRPr="00E01C9E" w:rsidRDefault="00F271C1" w:rsidP="00F271C1">
      <w:pPr>
        <w:pStyle w:val="BodyText"/>
      </w:pPr>
      <w:r w:rsidRPr="00E01C9E">
        <w:t xml:space="preserve">Between 2005 and 2024, emissions from </w:t>
      </w:r>
      <w:r w:rsidRPr="00E01C9E">
        <w:rPr>
          <w:i/>
          <w:iCs/>
        </w:rPr>
        <w:t>Product uses as substitutes for ODS</w:t>
      </w:r>
      <w:r w:rsidRPr="00E01C9E">
        <w:t xml:space="preserve"> rose by 369.5 kt CO</w:t>
      </w:r>
      <w:r w:rsidRPr="00E01C9E">
        <w:rPr>
          <w:vertAlign w:val="subscript"/>
        </w:rPr>
        <w:t>2</w:t>
      </w:r>
      <w:r w:rsidRPr="00E01C9E">
        <w:t xml:space="preserve">e (10 percent). However, this increase was offset by decreases in the </w:t>
      </w:r>
      <w:r w:rsidRPr="00E01C9E">
        <w:rPr>
          <w:i/>
          <w:iCs/>
        </w:rPr>
        <w:t>Mineral industry</w:t>
      </w:r>
      <w:r w:rsidRPr="00E01C9E">
        <w:t xml:space="preserve">, </w:t>
      </w:r>
      <w:r w:rsidRPr="00E01C9E">
        <w:rPr>
          <w:i/>
          <w:iCs/>
          <w:spacing w:val="-2"/>
        </w:rPr>
        <w:t>Chemical industry</w:t>
      </w:r>
      <w:r w:rsidRPr="00E01C9E">
        <w:rPr>
          <w:spacing w:val="-2"/>
        </w:rPr>
        <w:t xml:space="preserve"> and </w:t>
      </w:r>
      <w:r w:rsidRPr="00E01C9E">
        <w:rPr>
          <w:i/>
          <w:iCs/>
          <w:spacing w:val="-2"/>
        </w:rPr>
        <w:t>Metal industry</w:t>
      </w:r>
      <w:r w:rsidRPr="00E01C9E">
        <w:rPr>
          <w:spacing w:val="-2"/>
        </w:rPr>
        <w:t xml:space="preserve">. Over the same period, emissions from the </w:t>
      </w:r>
      <w:r w:rsidRPr="00E01C9E">
        <w:rPr>
          <w:i/>
          <w:iCs/>
          <w:spacing w:val="-2"/>
        </w:rPr>
        <w:t>Mineral industry</w:t>
      </w:r>
      <w:r w:rsidRPr="00E01C9E">
        <w:rPr>
          <w:spacing w:val="-2"/>
        </w:rPr>
        <w:t xml:space="preserve"> and </w:t>
      </w:r>
      <w:r w:rsidRPr="00E01C9E">
        <w:rPr>
          <w:i/>
          <w:iCs/>
          <w:spacing w:val="-2"/>
        </w:rPr>
        <w:t>Chemical industries</w:t>
      </w:r>
      <w:r w:rsidRPr="00E01C9E">
        <w:rPr>
          <w:spacing w:val="-2"/>
        </w:rPr>
        <w:t xml:space="preserve"> decreased by 272.1 kt CO</w:t>
      </w:r>
      <w:r w:rsidRPr="00E01C9E">
        <w:rPr>
          <w:spacing w:val="-2"/>
          <w:vertAlign w:val="subscript"/>
        </w:rPr>
        <w:t>2</w:t>
      </w:r>
      <w:r w:rsidRPr="00E01C9E">
        <w:rPr>
          <w:spacing w:val="-2"/>
        </w:rPr>
        <w:t>e (6.5 percent) and 174.9 kt CO</w:t>
      </w:r>
      <w:r w:rsidRPr="00E01C9E">
        <w:rPr>
          <w:spacing w:val="-2"/>
          <w:vertAlign w:val="subscript"/>
        </w:rPr>
        <w:t>2</w:t>
      </w:r>
      <w:r w:rsidRPr="00E01C9E">
        <w:rPr>
          <w:spacing w:val="-2"/>
        </w:rPr>
        <w:t>e (4.3</w:t>
      </w:r>
      <w:r>
        <w:rPr>
          <w:spacing w:val="-2"/>
        </w:rPr>
        <w:t> </w:t>
      </w:r>
      <w:r w:rsidRPr="00E01C9E">
        <w:rPr>
          <w:spacing w:val="-2"/>
        </w:rPr>
        <w:t>percent), respectively.</w:t>
      </w:r>
    </w:p>
    <w:p w14:paraId="1219DC24" w14:textId="77777777" w:rsidR="00F271C1" w:rsidRPr="00E01C9E" w:rsidRDefault="00F271C1" w:rsidP="00F271C1">
      <w:pPr>
        <w:pStyle w:val="BodyText"/>
      </w:pPr>
      <w:r w:rsidRPr="00E01C9E">
        <w:t>Restrictions on activity and movement, as part of the response to the COVID-19 pandemic during the 2020 calendar year, significantly disrupted economic activity throughout New Zealand. Activity levels and emissions from the IPPU sector dropped between 2019 and 2020. The IPPU sector rebounded in 2021; however, activity and emissions continued to drop in the following years.</w:t>
      </w:r>
    </w:p>
    <w:p w14:paraId="051F1C89" w14:textId="77777777" w:rsidR="00F271C1" w:rsidRPr="00E01C9E" w:rsidRDefault="00F271C1" w:rsidP="00F271C1">
      <w:pPr>
        <w:pStyle w:val="BodyText"/>
      </w:pPr>
      <w:r w:rsidRPr="00E01C9E">
        <w:t xml:space="preserve">In addition to COVID-19 pandemic-related restrictions, New Zealand also saw the progressive </w:t>
      </w:r>
      <w:r w:rsidRPr="00E01C9E">
        <w:rPr>
          <w:spacing w:val="-2"/>
        </w:rPr>
        <w:t>shutdown of Methanex, which operates methanol production plants in New Zealand. Methanex</w:t>
      </w:r>
      <w:r w:rsidRPr="00E01C9E">
        <w:t xml:space="preserve"> has two production facilities in New Zealand – Motonui and Waitara Valley. In November 2004, production at the Motunui plant was halted following insufficient gas supply in 2003, with </w:t>
      </w:r>
      <w:r w:rsidRPr="00E01C9E">
        <w:rPr>
          <w:spacing w:val="-2"/>
        </w:rPr>
        <w:t>operations resuming in late 2008. Output further increased at Motonui in 2012, and production</w:t>
      </w:r>
      <w:r w:rsidRPr="00E01C9E">
        <w:t xml:space="preserve"> at full capacity resumed in December 2013. The Waitara Valley plant was shut down in early 2021. A shortage of natural gas supply and energy security concerns also led to no methanol production between August to October 2024 to free up natural gas for use in electricity generation. As a result, emissions from the </w:t>
      </w:r>
      <w:r w:rsidRPr="00E01C9E">
        <w:rPr>
          <w:i/>
          <w:iCs/>
        </w:rPr>
        <w:t>Methanol</w:t>
      </w:r>
      <w:r w:rsidRPr="00E01C9E">
        <w:t xml:space="preserve"> category decreased by 64 percent between 2024 and pre-COVID-19 levels.</w:t>
      </w:r>
    </w:p>
    <w:p w14:paraId="159663E0" w14:textId="77777777" w:rsidR="00F271C1" w:rsidRPr="00E01C9E" w:rsidRDefault="00F271C1" w:rsidP="00F271C1">
      <w:pPr>
        <w:pStyle w:val="BodyText"/>
      </w:pPr>
      <w:r w:rsidRPr="00E01C9E">
        <w:t xml:space="preserve">There was also a 19 percent reduction in emissions of PFCs due to improved management of anode effects in the </w:t>
      </w:r>
      <w:r w:rsidRPr="00E01C9E">
        <w:rPr>
          <w:i/>
          <w:iCs/>
        </w:rPr>
        <w:t>Aluminium production</w:t>
      </w:r>
      <w:r w:rsidRPr="00E01C9E">
        <w:t xml:space="preserve"> category. Emissions of N</w:t>
      </w:r>
      <w:r w:rsidRPr="00E01C9E">
        <w:rPr>
          <w:vertAlign w:val="subscript"/>
        </w:rPr>
        <w:t>2</w:t>
      </w:r>
      <w:r w:rsidRPr="00E01C9E">
        <w:t xml:space="preserve">O used for medical </w:t>
      </w:r>
      <w:r w:rsidRPr="00E01C9E">
        <w:rPr>
          <w:spacing w:val="-2"/>
        </w:rPr>
        <w:t xml:space="preserve">applications in the </w:t>
      </w:r>
      <w:r w:rsidRPr="00E01C9E">
        <w:rPr>
          <w:i/>
          <w:iCs/>
          <w:spacing w:val="-2"/>
        </w:rPr>
        <w:t>Other product manufacture and use</w:t>
      </w:r>
      <w:r w:rsidRPr="00E01C9E">
        <w:rPr>
          <w:spacing w:val="-2"/>
        </w:rPr>
        <w:t xml:space="preserve"> category are nearly four-times higher in</w:t>
      </w:r>
      <w:r w:rsidRPr="00E01C9E">
        <w:t xml:space="preserve"> 2024, compared with 2005. However, several initiatives led by Health New Zealand Te Whatu Ora are seeking to reduce the emissions associated with N</w:t>
      </w:r>
      <w:r w:rsidRPr="00E01C9E">
        <w:rPr>
          <w:vertAlign w:val="subscript"/>
        </w:rPr>
        <w:t>2</w:t>
      </w:r>
      <w:r w:rsidRPr="00E01C9E">
        <w:t>O by removing piped nitrous oxide systems to prevent leakages into the atmosphere.</w:t>
      </w:r>
    </w:p>
    <w:p w14:paraId="45825361" w14:textId="77777777" w:rsidR="00F271C1" w:rsidRPr="00E01C9E" w:rsidRDefault="00F271C1" w:rsidP="00F271C1">
      <w:pPr>
        <w:pStyle w:val="Heading5"/>
      </w:pPr>
      <w:bookmarkStart w:id="134" w:name="section-13"/>
      <w:bookmarkEnd w:id="133"/>
      <w:r w:rsidRPr="00E01C9E">
        <w:t>1990–2024</w:t>
      </w:r>
    </w:p>
    <w:p w14:paraId="33C58343" w14:textId="77777777" w:rsidR="00F271C1" w:rsidRPr="00E01C9E" w:rsidRDefault="00F271C1" w:rsidP="00F271C1">
      <w:pPr>
        <w:pStyle w:val="BodyText"/>
      </w:pPr>
      <w:r w:rsidRPr="00E01C9E">
        <w:t>In 1990, emissions from the IPPU sector were 3,483.6 kt CO</w:t>
      </w:r>
      <w:r w:rsidRPr="00E01C9E">
        <w:rPr>
          <w:vertAlign w:val="subscript"/>
        </w:rPr>
        <w:t>2</w:t>
      </w:r>
      <w:r w:rsidRPr="00E01C9E">
        <w:t>e. Between 1990 and 2024, GHG emissions increased by 11.9 percent (413.1 kt CO</w:t>
      </w:r>
      <w:r w:rsidRPr="00E01C9E">
        <w:rPr>
          <w:vertAlign w:val="subscript"/>
        </w:rPr>
        <w:t>2</w:t>
      </w:r>
      <w:r w:rsidRPr="00E01C9E">
        <w:t xml:space="preserve">e). This increase was mainly driven by increasing emissions from the </w:t>
      </w:r>
      <w:r w:rsidRPr="00E01C9E">
        <w:rPr>
          <w:i/>
          <w:iCs/>
        </w:rPr>
        <w:t>Product uses as substitutes for ODS</w:t>
      </w:r>
      <w:r w:rsidRPr="00E01C9E">
        <w:t xml:space="preserve"> category, due to the introduction of HFCs to replace ODS in refrigeration and air conditioning, and the increased use of household and commercial air conditioning.</w:t>
      </w:r>
    </w:p>
    <w:p w14:paraId="3B495EB5" w14:textId="77777777" w:rsidR="00F271C1" w:rsidRPr="00E01C9E" w:rsidRDefault="00F271C1" w:rsidP="00DC17F9">
      <w:pPr>
        <w:pStyle w:val="BodyText"/>
      </w:pPr>
      <w:r w:rsidRPr="00E01C9E">
        <w:t>The trends for the IPPU sector are shown in figure 2.2.8.</w:t>
      </w:r>
    </w:p>
    <w:p w14:paraId="08C31688" w14:textId="77777777" w:rsidR="00F271C1" w:rsidRPr="00E01C9E" w:rsidRDefault="00F271C1" w:rsidP="00F271C1">
      <w:pPr>
        <w:pStyle w:val="Figure"/>
      </w:pPr>
      <w:bookmarkStart w:id="135" w:name="_Toc226200657"/>
      <w:r w:rsidRPr="00E01C9E">
        <w:t xml:space="preserve">Figure 2.2.8 </w:t>
      </w:r>
      <w:r w:rsidRPr="00E01C9E">
        <w:tab/>
        <w:t>New Zealand’s IPPU sector emissions, from 1990 to 2024</w:t>
      </w:r>
      <w:bookmarkEnd w:id="135"/>
    </w:p>
    <w:p w14:paraId="3F440B8A" w14:textId="77777777" w:rsidR="00F271C1" w:rsidRPr="00E01C9E" w:rsidRDefault="00F271C1" w:rsidP="00DC17F9">
      <w:pPr>
        <w:pStyle w:val="BodyText"/>
        <w:spacing w:before="100" w:after="0"/>
        <w:jc w:val="center"/>
      </w:pPr>
      <w:r w:rsidRPr="00E01C9E">
        <w:rPr>
          <w:noProof/>
        </w:rPr>
        <w:drawing>
          <wp:inline distT="0" distB="0" distL="0" distR="0" wp14:anchorId="52004283" wp14:editId="6F048709">
            <wp:extent cx="5011615" cy="3756502"/>
            <wp:effectExtent l="0" t="0" r="0" b="0"/>
            <wp:docPr id="17933122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12253" name="Picture 1793312253"/>
                    <pic:cNvPicPr/>
                  </pic:nvPicPr>
                  <pic:blipFill>
                    <a:blip r:embed="rId42">
                      <a:extLst>
                        <a:ext uri="{28A0092B-C50C-407E-A947-70E740481C1C}">
                          <a14:useLocalDpi xmlns:a14="http://schemas.microsoft.com/office/drawing/2010/main"/>
                        </a:ext>
                      </a:extLst>
                    </a:blip>
                    <a:stretch>
                      <a:fillRect/>
                    </a:stretch>
                  </pic:blipFill>
                  <pic:spPr>
                    <a:xfrm>
                      <a:off x="0" y="0"/>
                      <a:ext cx="5015198" cy="3759187"/>
                    </a:xfrm>
                    <a:prstGeom prst="rect">
                      <a:avLst/>
                    </a:prstGeom>
                  </pic:spPr>
                </pic:pic>
              </a:graphicData>
            </a:graphic>
          </wp:inline>
        </w:drawing>
      </w:r>
    </w:p>
    <w:p w14:paraId="307B8673" w14:textId="77777777" w:rsidR="00F271C1" w:rsidRPr="00E01C9E" w:rsidRDefault="00F271C1" w:rsidP="00DC17F9">
      <w:pPr>
        <w:pStyle w:val="Heading4"/>
        <w:spacing w:before="180"/>
      </w:pPr>
      <w:bookmarkStart w:id="136" w:name="agriculture-sector"/>
      <w:bookmarkEnd w:id="130"/>
      <w:bookmarkEnd w:id="134"/>
      <w:r w:rsidRPr="00E01C9E">
        <w:t>Agriculture sector</w:t>
      </w:r>
    </w:p>
    <w:p w14:paraId="0DE1B10A" w14:textId="77777777" w:rsidR="00F271C1" w:rsidRPr="00E01C9E" w:rsidRDefault="00F271C1" w:rsidP="00DC17F9">
      <w:pPr>
        <w:pStyle w:val="BodyText"/>
        <w:spacing w:before="80" w:after="100"/>
      </w:pPr>
      <w:r w:rsidRPr="00E01C9E">
        <w:t>The Agriculture sector in New Zealand produces three main GHGs: CH</w:t>
      </w:r>
      <w:r w:rsidRPr="00E01C9E">
        <w:rPr>
          <w:vertAlign w:val="subscript"/>
        </w:rPr>
        <w:t>4</w:t>
      </w:r>
      <w:r w:rsidRPr="00E01C9E">
        <w:t>, N</w:t>
      </w:r>
      <w:r w:rsidRPr="00E01C9E">
        <w:rPr>
          <w:vertAlign w:val="subscript"/>
        </w:rPr>
        <w:t>2</w:t>
      </w:r>
      <w:r w:rsidRPr="00E01C9E">
        <w:t>O and CO</w:t>
      </w:r>
      <w:r w:rsidRPr="00E01C9E">
        <w:rPr>
          <w:vertAlign w:val="subscript"/>
        </w:rPr>
        <w:t>2</w:t>
      </w:r>
      <w:r w:rsidRPr="00E01C9E">
        <w:t xml:space="preserve">, which comprised 82.7 percent, 15.5 percent and 1.7 percent of all Agriculture sector emissions in 2024, respectively. Trends in Agriculture sector emissions are largely driven by the populations of ruminant livestock (dairy cattle, non-dairy (beef) cattle, sheep and deer). The largest contributing categories in the Agriculture sector were </w:t>
      </w:r>
      <w:r w:rsidRPr="00E01C9E">
        <w:rPr>
          <w:i/>
          <w:iCs/>
        </w:rPr>
        <w:t>Enteric fermentation</w:t>
      </w:r>
      <w:r w:rsidRPr="00E01C9E">
        <w:t xml:space="preserve"> and </w:t>
      </w:r>
      <w:r w:rsidRPr="00E01C9E">
        <w:rPr>
          <w:i/>
          <w:iCs/>
        </w:rPr>
        <w:t>Agricultural soils</w:t>
      </w:r>
      <w:r w:rsidRPr="00E01C9E">
        <w:t>. Agriculture emissions reflect the total livestock population, the types of livestock and farming systems, and levels of production. Several drivers affected the emission trends for both CH</w:t>
      </w:r>
      <w:r w:rsidRPr="00E01C9E">
        <w:rPr>
          <w:vertAlign w:val="subscript"/>
        </w:rPr>
        <w:t>4</w:t>
      </w:r>
      <w:r w:rsidRPr="00E01C9E">
        <w:t xml:space="preserve"> and N</w:t>
      </w:r>
      <w:r w:rsidRPr="00E01C9E">
        <w:rPr>
          <w:vertAlign w:val="subscript"/>
        </w:rPr>
        <w:t>2</w:t>
      </w:r>
      <w:r w:rsidRPr="00E01C9E">
        <w:t>O in the sector. These include:</w:t>
      </w:r>
    </w:p>
    <w:p w14:paraId="26517625" w14:textId="77777777" w:rsidR="00F271C1" w:rsidRPr="00E01C9E" w:rsidRDefault="00F271C1" w:rsidP="00DC17F9">
      <w:pPr>
        <w:pStyle w:val="Bullet"/>
        <w:spacing w:after="100"/>
      </w:pPr>
      <w:r w:rsidRPr="00E01C9E">
        <w:t>changes over time to populations of the main livestock types farmed in New Zealand. Since 1990, the dairy cattle population has increased, while sheep and non-dairy (beef) cattle populations have decreased as the profitability of dairy products has risen relative to sheep and beef products (see chapter 5, figures 5.1.3a and figure 5.1.3b)</w:t>
      </w:r>
    </w:p>
    <w:p w14:paraId="1E2E350C" w14:textId="77777777" w:rsidR="00F271C1" w:rsidRPr="00E01C9E" w:rsidRDefault="00F271C1" w:rsidP="00DC17F9">
      <w:pPr>
        <w:pStyle w:val="Bullet"/>
        <w:spacing w:after="100"/>
      </w:pPr>
      <w:r w:rsidRPr="00E01C9E">
        <w:t>increases in livestock productivity (for both milk and meat yield per head of livestock), which have been achieved by New Zealand farmers since 1990. This has resulted in increased feed intake per animal to meet higher energy demands of increased production. Increased feed intake increases CH</w:t>
      </w:r>
      <w:r w:rsidRPr="00E01C9E">
        <w:rPr>
          <w:vertAlign w:val="subscript"/>
        </w:rPr>
        <w:t>4</w:t>
      </w:r>
      <w:r w:rsidRPr="00E01C9E">
        <w:t xml:space="preserve"> (from increased enteric fermentation) and N</w:t>
      </w:r>
      <w:r w:rsidRPr="00E01C9E">
        <w:rPr>
          <w:vertAlign w:val="subscript"/>
        </w:rPr>
        <w:t>2</w:t>
      </w:r>
      <w:r w:rsidRPr="00E01C9E">
        <w:t>O emissions (from increased excreta deposited on pasture) per animal</w:t>
      </w:r>
    </w:p>
    <w:p w14:paraId="6DB5CB66" w14:textId="4D4D500B" w:rsidR="00F271C1" w:rsidRPr="00DC17F9" w:rsidRDefault="00F271C1" w:rsidP="00DC17F9">
      <w:pPr>
        <w:pStyle w:val="Bullet"/>
        <w:spacing w:after="100"/>
        <w:rPr>
          <w:rStyle w:val="FootnoteReference"/>
          <w:spacing w:val="-2"/>
          <w:vertAlign w:val="baseline"/>
        </w:rPr>
      </w:pPr>
      <w:r w:rsidRPr="00E01C9E">
        <w:t xml:space="preserve">incidents of </w:t>
      </w:r>
      <w:r w:rsidRPr="003F51F1">
        <w:t>severe</w:t>
      </w:r>
      <w:r w:rsidRPr="00E01C9E">
        <w:t xml:space="preserve"> drought, which have resulted in reduced livestock productivity and </w:t>
      </w:r>
      <w:r w:rsidRPr="00DC17F9">
        <w:rPr>
          <w:spacing w:val="-2"/>
        </w:rPr>
        <w:t>livestock populations, which in turn reduced livestock-related emissions. The ‘Situation and Outlook for Primary Industries’ reports produced by the Ministry for Primary Industries summarise the effects of events at a sector level and provide short-term forecasts</w:t>
      </w:r>
      <w:r w:rsidRPr="00E01C9E">
        <w:rPr>
          <w:rStyle w:val="FootnoteReference"/>
          <w:spacing w:val="-2"/>
        </w:rPr>
        <w:footnoteReference w:id="17"/>
      </w:r>
    </w:p>
    <w:p w14:paraId="7248F12D" w14:textId="77777777" w:rsidR="00F271C1" w:rsidRPr="00E01C9E" w:rsidRDefault="00F271C1" w:rsidP="00374A4F">
      <w:pPr>
        <w:pStyle w:val="Bullet"/>
        <w:rPr>
          <w:spacing w:val="-2"/>
        </w:rPr>
      </w:pPr>
      <w:r w:rsidRPr="00E01C9E">
        <w:t xml:space="preserve">commodity price fluctuations that drive farmer investment decisions in livestock numbers </w:t>
      </w:r>
      <w:r w:rsidRPr="00E01C9E">
        <w:rPr>
          <w:spacing w:val="-2"/>
        </w:rPr>
        <w:t>and species as well as production inputs. The ‘Situation and Outlook for Primary Industries’ reports also summarise these decisions at a sector level and provide short-term forecasts</w:t>
      </w:r>
    </w:p>
    <w:p w14:paraId="7359458E" w14:textId="77777777" w:rsidR="00F271C1" w:rsidRPr="00E01C9E" w:rsidRDefault="00F271C1" w:rsidP="00374A4F">
      <w:pPr>
        <w:pStyle w:val="Bullet"/>
      </w:pPr>
      <w:r w:rsidRPr="00E01C9E">
        <w:t>shifting land use across different types of livestock farming and other agricultural enterprises, including forestry. The Agriculture sector uses around 34 percent of New Zealand’s land area (Stats NZ, 2025), mostly for grazing of pastoral land. Between 1990 and 2024, the area used for sheep, beef and deer grazing has decreased by approximately 41.6 percent (Beef + Lamb New Zealand Ltd, 2025), while the area used for dairy grazing has increased by 66.4 percent (LIC and DairyNZ, 2025). The amount of synthetic nitrogen fertiliser applied to agricultural land has increased by 534 percent since 1990.</w:t>
      </w:r>
    </w:p>
    <w:p w14:paraId="42CE3C51" w14:textId="77777777" w:rsidR="00F271C1" w:rsidRPr="00E01C9E" w:rsidRDefault="00F271C1" w:rsidP="00F271C1">
      <w:pPr>
        <w:pStyle w:val="BodyText"/>
      </w:pPr>
      <w:r w:rsidRPr="00E01C9E">
        <w:t>The trends for the Agriculture sector are shown in figure 2.2.9.</w:t>
      </w:r>
    </w:p>
    <w:p w14:paraId="7CECC045" w14:textId="77777777" w:rsidR="00F271C1" w:rsidRPr="00E01C9E" w:rsidRDefault="00F271C1" w:rsidP="00F271C1">
      <w:pPr>
        <w:pStyle w:val="Figure"/>
      </w:pPr>
      <w:bookmarkStart w:id="137" w:name="_Toc226200658"/>
      <w:r w:rsidRPr="00E01C9E">
        <w:t xml:space="preserve">Figure 2.2.9 </w:t>
      </w:r>
      <w:r w:rsidRPr="00E01C9E">
        <w:tab/>
        <w:t xml:space="preserve">New Zealand’s Agriculture sector emissions, from </w:t>
      </w:r>
      <w:r w:rsidRPr="00E01C9E">
        <w:rPr>
          <w:bCs/>
        </w:rPr>
        <w:t>1990</w:t>
      </w:r>
      <w:r w:rsidRPr="00E01C9E">
        <w:t xml:space="preserve"> to </w:t>
      </w:r>
      <w:r w:rsidRPr="00E01C9E">
        <w:rPr>
          <w:bCs/>
        </w:rPr>
        <w:t>2024</w:t>
      </w:r>
      <w:bookmarkEnd w:id="137"/>
    </w:p>
    <w:p w14:paraId="219916E5" w14:textId="77777777" w:rsidR="00F271C1" w:rsidRPr="00E01C9E" w:rsidRDefault="00F271C1" w:rsidP="00ED5AF8">
      <w:pPr>
        <w:pStyle w:val="BodyText"/>
        <w:spacing w:after="0"/>
        <w:jc w:val="center"/>
      </w:pPr>
      <w:r w:rsidRPr="00E01C9E">
        <w:rPr>
          <w:noProof/>
        </w:rPr>
        <w:drawing>
          <wp:inline distT="0" distB="0" distL="0" distR="0" wp14:anchorId="1BBD503E" wp14:editId="48BC2A9F">
            <wp:extent cx="5213350" cy="3854450"/>
            <wp:effectExtent l="0" t="0" r="6350" b="0"/>
            <wp:docPr id="73" name="Picture"/>
            <wp:cNvGraphicFramePr/>
            <a:graphic xmlns:a="http://schemas.openxmlformats.org/drawingml/2006/main">
              <a:graphicData uri="http://schemas.openxmlformats.org/drawingml/2006/picture">
                <pic:pic xmlns:pic="http://schemas.openxmlformats.org/drawingml/2006/picture">
                  <pic:nvPicPr>
                    <pic:cNvPr id="74" name="Picture" descr="code/graphs/images/fig_2_2_9_crf.png"/>
                    <pic:cNvPicPr>
                      <a:picLocks noChangeAspect="1" noChangeArrowheads="1"/>
                    </pic:cNvPicPr>
                  </pic:nvPicPr>
                  <pic:blipFill>
                    <a:blip r:embed="rId43"/>
                    <a:stretch>
                      <a:fillRect/>
                    </a:stretch>
                  </pic:blipFill>
                  <pic:spPr bwMode="auto">
                    <a:xfrm>
                      <a:off x="0" y="0"/>
                      <a:ext cx="5213350" cy="3854450"/>
                    </a:xfrm>
                    <a:prstGeom prst="rect">
                      <a:avLst/>
                    </a:prstGeom>
                    <a:noFill/>
                    <a:ln w="9525">
                      <a:noFill/>
                      <a:headEnd/>
                      <a:tailEnd/>
                    </a:ln>
                  </pic:spPr>
                </pic:pic>
              </a:graphicData>
            </a:graphic>
          </wp:inline>
        </w:drawing>
      </w:r>
    </w:p>
    <w:p w14:paraId="0910248A" w14:textId="77777777" w:rsidR="00F271C1" w:rsidRPr="00E01C9E" w:rsidRDefault="00F271C1" w:rsidP="00F271C1">
      <w:pPr>
        <w:pStyle w:val="Heading5"/>
      </w:pPr>
      <w:bookmarkStart w:id="138" w:name="section-14"/>
      <w:r w:rsidRPr="00E01C9E">
        <w:t>2024</w:t>
      </w:r>
    </w:p>
    <w:p w14:paraId="4B567156" w14:textId="77777777" w:rsidR="00F271C1" w:rsidRPr="00E01C9E" w:rsidRDefault="00F271C1" w:rsidP="00F271C1">
      <w:pPr>
        <w:pStyle w:val="BodyText"/>
        <w:keepNext/>
        <w:keepLines/>
        <w:spacing w:before="100" w:after="100"/>
      </w:pPr>
      <w:r w:rsidRPr="00E01C9E">
        <w:t>In 2024, emissions from the Agriculture sector were 40,148.4 kt CO</w:t>
      </w:r>
      <w:r w:rsidRPr="00E01C9E">
        <w:rPr>
          <w:vertAlign w:val="subscript"/>
        </w:rPr>
        <w:t>2</w:t>
      </w:r>
      <w:r w:rsidRPr="00E01C9E">
        <w:t>e, or 53.0 percent, of New Zealand’s gross GHG emissions.</w:t>
      </w:r>
    </w:p>
    <w:p w14:paraId="4E46DAB7" w14:textId="77777777" w:rsidR="00F271C1" w:rsidRPr="00E01C9E" w:rsidRDefault="00F271C1" w:rsidP="00F271C1">
      <w:pPr>
        <w:pStyle w:val="BodyText"/>
        <w:spacing w:before="100" w:after="100"/>
      </w:pPr>
      <w:r w:rsidRPr="00E01C9E">
        <w:t xml:space="preserve">Methane from </w:t>
      </w:r>
      <w:r w:rsidRPr="00E01C9E">
        <w:rPr>
          <w:i/>
          <w:iCs/>
        </w:rPr>
        <w:t>Enteric fermentation</w:t>
      </w:r>
      <w:r w:rsidRPr="00E01C9E">
        <w:t xml:space="preserve"> was the main source of Agriculture emissions, contributing 78.7 percent (31,588.3 kt CO</w:t>
      </w:r>
      <w:r w:rsidRPr="00E01C9E">
        <w:rPr>
          <w:vertAlign w:val="subscript"/>
        </w:rPr>
        <w:t>2</w:t>
      </w:r>
      <w:r w:rsidRPr="00E01C9E">
        <w:t xml:space="preserve">e) of the sector’s emissions. The </w:t>
      </w:r>
      <w:r w:rsidRPr="00E01C9E">
        <w:rPr>
          <w:i/>
          <w:iCs/>
        </w:rPr>
        <w:t>Agricultural soils</w:t>
      </w:r>
      <w:r w:rsidRPr="00E01C9E">
        <w:t xml:space="preserve"> category (15.3 percent) was the second-largest source followed by </w:t>
      </w:r>
      <w:r w:rsidRPr="00E01C9E">
        <w:rPr>
          <w:i/>
          <w:iCs/>
        </w:rPr>
        <w:t>Manure management</w:t>
      </w:r>
      <w:r w:rsidRPr="00E01C9E">
        <w:t xml:space="preserve"> (4.3 percent). Carbon dioxide from </w:t>
      </w:r>
      <w:r w:rsidRPr="00E01C9E">
        <w:rPr>
          <w:i/>
          <w:iCs/>
        </w:rPr>
        <w:t>Urea application</w:t>
      </w:r>
      <w:r w:rsidRPr="00E01C9E">
        <w:t xml:space="preserve"> and </w:t>
      </w:r>
      <w:r w:rsidRPr="00E01C9E">
        <w:rPr>
          <w:i/>
          <w:iCs/>
        </w:rPr>
        <w:t>Liming</w:t>
      </w:r>
      <w:r w:rsidRPr="00E01C9E">
        <w:t xml:space="preserve"> contributed 1.1 percent and 0.6 percent, respectively. </w:t>
      </w:r>
      <w:r w:rsidRPr="00E01C9E">
        <w:rPr>
          <w:i/>
          <w:iCs/>
        </w:rPr>
        <w:t>Field burning of agricultural residues</w:t>
      </w:r>
      <w:r w:rsidRPr="00E01C9E">
        <w:t xml:space="preserve"> contributed less than 0.1 percent.</w:t>
      </w:r>
    </w:p>
    <w:p w14:paraId="0F417C98" w14:textId="77777777" w:rsidR="00F271C1" w:rsidRPr="00E01C9E" w:rsidRDefault="00F271C1" w:rsidP="00F271C1">
      <w:pPr>
        <w:pStyle w:val="BodyText"/>
        <w:spacing w:before="100" w:after="100"/>
      </w:pPr>
      <w:r w:rsidRPr="00E01C9E">
        <w:t xml:space="preserve">Methane emissions from </w:t>
      </w:r>
      <w:r w:rsidRPr="00E01C9E">
        <w:rPr>
          <w:i/>
          <w:iCs/>
        </w:rPr>
        <w:t>Enteric fermentation</w:t>
      </w:r>
      <w:r w:rsidRPr="00E01C9E">
        <w:t xml:space="preserve"> contributed 41.7 percent of New Zealand’s gross emissions, and N</w:t>
      </w:r>
      <w:r w:rsidRPr="00E01C9E">
        <w:rPr>
          <w:vertAlign w:val="subscript"/>
        </w:rPr>
        <w:t>2</w:t>
      </w:r>
      <w:r w:rsidRPr="00E01C9E">
        <w:t>O emissions from the Agricultural soils category contributed 8.1</w:t>
      </w:r>
      <w:r w:rsidRPr="00E01C9E">
        <w:rPr>
          <w:b/>
          <w:bCs/>
        </w:rPr>
        <w:t> </w:t>
      </w:r>
      <w:r w:rsidRPr="00E01C9E">
        <w:t>percent of New Zealand’s gross emissions.</w:t>
      </w:r>
    </w:p>
    <w:p w14:paraId="5E558C16" w14:textId="77777777" w:rsidR="00F271C1" w:rsidRPr="00E01C9E" w:rsidRDefault="00F271C1" w:rsidP="00F271C1">
      <w:pPr>
        <w:pStyle w:val="Heading5"/>
      </w:pPr>
      <w:bookmarkStart w:id="139" w:name="section-15"/>
      <w:bookmarkEnd w:id="138"/>
      <w:r w:rsidRPr="00E01C9E">
        <w:t>2023–2024</w:t>
      </w:r>
    </w:p>
    <w:p w14:paraId="12EC2307" w14:textId="77777777" w:rsidR="00F271C1" w:rsidRPr="00E01C9E" w:rsidRDefault="00F271C1" w:rsidP="00F271C1">
      <w:pPr>
        <w:pStyle w:val="BodyText"/>
        <w:spacing w:after="100"/>
      </w:pPr>
      <w:r w:rsidRPr="00E01C9E">
        <w:t>Between 2023 and 2024, total Agriculture emissions decreased 0.3 percent (138.1 kt CO</w:t>
      </w:r>
      <w:r w:rsidRPr="00E01C9E">
        <w:rPr>
          <w:vertAlign w:val="subscript"/>
        </w:rPr>
        <w:t>2</w:t>
      </w:r>
      <w:r w:rsidRPr="00E01C9E">
        <w:t>e), largely due to a decrease in emissions from sheep and limestone application. Specifically:</w:t>
      </w:r>
    </w:p>
    <w:p w14:paraId="080880C3" w14:textId="77777777" w:rsidR="00F271C1" w:rsidRPr="00E01C9E" w:rsidRDefault="00F271C1" w:rsidP="00F271C1">
      <w:pPr>
        <w:pStyle w:val="Bullet"/>
        <w:spacing w:after="100"/>
      </w:pPr>
      <w:r w:rsidRPr="00E01C9E">
        <w:t>sheep emissions decreased by 3.9 percent (364.4 kt CO</w:t>
      </w:r>
      <w:r w:rsidRPr="00E01C9E">
        <w:rPr>
          <w:vertAlign w:val="subscript"/>
        </w:rPr>
        <w:t>2</w:t>
      </w:r>
      <w:r w:rsidRPr="00E01C9E">
        <w:t>e), due to a continuing decrease in the sheep population</w:t>
      </w:r>
    </w:p>
    <w:p w14:paraId="49407BAD" w14:textId="77777777" w:rsidR="00F271C1" w:rsidRPr="00E01C9E" w:rsidRDefault="00F271C1" w:rsidP="00F271C1">
      <w:pPr>
        <w:pStyle w:val="Bullet"/>
        <w:spacing w:after="100"/>
      </w:pPr>
      <w:r w:rsidRPr="00E01C9E">
        <w:t>emissions from urea decreased by 8.6 percent (43.0 kt CO</w:t>
      </w:r>
      <w:r w:rsidRPr="00E01C9E">
        <w:rPr>
          <w:vertAlign w:val="subscript"/>
        </w:rPr>
        <w:t>2</w:t>
      </w:r>
      <w:r w:rsidRPr="00E01C9E">
        <w:t>e), due to a decrease in the mass of nitrogen applied as urea</w:t>
      </w:r>
    </w:p>
    <w:p w14:paraId="49D57696" w14:textId="77777777" w:rsidR="00F271C1" w:rsidRPr="00E01C9E" w:rsidRDefault="00F271C1" w:rsidP="00F271C1">
      <w:pPr>
        <w:pStyle w:val="Bullet"/>
        <w:spacing w:after="100"/>
      </w:pPr>
      <w:r w:rsidRPr="00E01C9E">
        <w:t>emissions from limestone use decreased by 13.2 percent (36.1 kt CO</w:t>
      </w:r>
      <w:r w:rsidRPr="00E01C9E">
        <w:rPr>
          <w:vertAlign w:val="subscript"/>
        </w:rPr>
        <w:t>2</w:t>
      </w:r>
      <w:r w:rsidRPr="00E01C9E">
        <w:t>e), due to a reduction in the application of limestone.</w:t>
      </w:r>
    </w:p>
    <w:p w14:paraId="1D33310F" w14:textId="77777777" w:rsidR="00F271C1" w:rsidRPr="00E01C9E" w:rsidRDefault="00F271C1" w:rsidP="00F271C1">
      <w:pPr>
        <w:pStyle w:val="BodyText"/>
        <w:spacing w:after="100"/>
      </w:pPr>
      <w:r w:rsidRPr="00E01C9E">
        <w:t>These decreases were partially offset by increased emissions from dairy cattle and non-dairy cattle. Specifically:</w:t>
      </w:r>
    </w:p>
    <w:p w14:paraId="4FEDDAC0" w14:textId="77777777" w:rsidR="00F271C1" w:rsidRPr="00E01C9E" w:rsidRDefault="00F271C1" w:rsidP="00F271C1">
      <w:pPr>
        <w:pStyle w:val="Bullet"/>
        <w:spacing w:after="100"/>
      </w:pPr>
      <w:r w:rsidRPr="00E01C9E">
        <w:t>dairy cattle emissions increased by 1.1 percent (222.2 kt CO</w:t>
      </w:r>
      <w:r w:rsidRPr="00E01C9E">
        <w:rPr>
          <w:vertAlign w:val="subscript"/>
        </w:rPr>
        <w:t>2</w:t>
      </w:r>
      <w:r w:rsidRPr="00E01C9E">
        <w:t>e), due to an increase in milk production. Compared with the 2022–2023 season, there was a 2.3 percent (about 471 million litres) increase in milk volume and a 2.9 percent (55 million kilogram) increase in milk solids processed (LIC and DairyNZ, 2025). These improvements in productivity occurred alongside a 0.5 percent decrease in the dairy cattle population, due to an increase in productivity per animal</w:t>
      </w:r>
    </w:p>
    <w:p w14:paraId="72EDCA78" w14:textId="77777777" w:rsidR="00F271C1" w:rsidRPr="00E01C9E" w:rsidRDefault="00F271C1" w:rsidP="00F271C1">
      <w:pPr>
        <w:pStyle w:val="Bullet"/>
        <w:spacing w:after="100"/>
      </w:pPr>
      <w:r w:rsidRPr="00E01C9E">
        <w:t>non-dairy cattle emissions increased by 0.3 percent (25.6 kt CO</w:t>
      </w:r>
      <w:r w:rsidRPr="00E01C9E">
        <w:rPr>
          <w:vertAlign w:val="subscript"/>
        </w:rPr>
        <w:t>2</w:t>
      </w:r>
      <w:r w:rsidRPr="00E01C9E">
        <w:t>e), due to an increase in the non-dairy (beef) cattle population.</w:t>
      </w:r>
    </w:p>
    <w:p w14:paraId="277D4BD1" w14:textId="77777777" w:rsidR="00F271C1" w:rsidRPr="00E01C9E" w:rsidRDefault="00F271C1" w:rsidP="00F271C1">
      <w:pPr>
        <w:pStyle w:val="BodyText"/>
        <w:spacing w:after="100"/>
      </w:pPr>
      <w:r w:rsidRPr="00E01C9E">
        <w:t>Total emissions from synthetic nitrogen fertiliser (CO</w:t>
      </w:r>
      <w:r w:rsidRPr="00E01C9E">
        <w:rPr>
          <w:vertAlign w:val="subscript"/>
        </w:rPr>
        <w:t>2</w:t>
      </w:r>
      <w:r w:rsidRPr="00E01C9E">
        <w:t xml:space="preserve"> and N</w:t>
      </w:r>
      <w:r w:rsidRPr="00E01C9E">
        <w:rPr>
          <w:vertAlign w:val="subscript"/>
        </w:rPr>
        <w:t>2</w:t>
      </w:r>
      <w:r w:rsidRPr="00E01C9E">
        <w:t>O) increased by 1.5 percent (25.0 kt CO</w:t>
      </w:r>
      <w:r w:rsidRPr="00E01C9E">
        <w:rPr>
          <w:vertAlign w:val="subscript"/>
        </w:rPr>
        <w:t>2</w:t>
      </w:r>
      <w:r w:rsidRPr="00E01C9E">
        <w:t>e). Emissions from non-urea synthetic nitrogen fertilisers increased by 85.2 percent (144.0 kt CO</w:t>
      </w:r>
      <w:r w:rsidRPr="00E01C9E">
        <w:rPr>
          <w:vertAlign w:val="subscript"/>
        </w:rPr>
        <w:t>2</w:t>
      </w:r>
      <w:r w:rsidRPr="00E01C9E">
        <w:t>e), due to an increase of nitrogen application.</w:t>
      </w:r>
    </w:p>
    <w:p w14:paraId="0CD24BE6" w14:textId="77777777" w:rsidR="00F271C1" w:rsidRPr="00E01C9E" w:rsidRDefault="00F271C1" w:rsidP="00F271C1">
      <w:pPr>
        <w:pStyle w:val="Heading5"/>
      </w:pPr>
      <w:bookmarkStart w:id="140" w:name="section-16"/>
      <w:bookmarkEnd w:id="139"/>
      <w:r w:rsidRPr="00E01C9E">
        <w:t>2005–2024</w:t>
      </w:r>
    </w:p>
    <w:p w14:paraId="7AB66827" w14:textId="77777777" w:rsidR="00F271C1" w:rsidRPr="00E01C9E" w:rsidRDefault="00F271C1" w:rsidP="00F271C1">
      <w:pPr>
        <w:pStyle w:val="BodyText"/>
        <w:spacing w:before="100" w:after="100"/>
      </w:pPr>
      <w:r w:rsidRPr="00E01C9E">
        <w:t>Between 2005 and 2024, emissions from the Agriculture sector decreased by 6.4 percent (2,763.6 kt CO</w:t>
      </w:r>
      <w:r w:rsidRPr="00E01C9E">
        <w:rPr>
          <w:vertAlign w:val="subscript"/>
        </w:rPr>
        <w:t>2</w:t>
      </w:r>
      <w:r w:rsidRPr="00E01C9E">
        <w:t>e) (see chapter 5, table 5.1.1).</w:t>
      </w:r>
    </w:p>
    <w:p w14:paraId="42C6A9D0" w14:textId="77777777" w:rsidR="00F271C1" w:rsidRPr="00E01C9E" w:rsidRDefault="00F271C1" w:rsidP="00F271C1">
      <w:pPr>
        <w:pStyle w:val="BodyText"/>
        <w:spacing w:before="100" w:after="100"/>
      </w:pPr>
      <w:r w:rsidRPr="00E01C9E">
        <w:t>In 2005, Agriculture emissions were 42,912.0 kt CO</w:t>
      </w:r>
      <w:r w:rsidRPr="00E01C9E">
        <w:rPr>
          <w:vertAlign w:val="subscript"/>
        </w:rPr>
        <w:t>2</w:t>
      </w:r>
      <w:r w:rsidRPr="00E01C9E">
        <w:t>e. By 2007, emissions had dropped by around 1,300 kt CO</w:t>
      </w:r>
      <w:r w:rsidRPr="00E01C9E">
        <w:rPr>
          <w:vertAlign w:val="subscript"/>
        </w:rPr>
        <w:t>2</w:t>
      </w:r>
      <w:r w:rsidRPr="00E01C9E">
        <w:t>e (3.1 percent below the 2005 value), due to the Global Financial Crisis. By 2008, Agriculture emissions had reduced another 900 kt CO</w:t>
      </w:r>
      <w:r w:rsidRPr="00E01C9E">
        <w:rPr>
          <w:vertAlign w:val="subscript"/>
        </w:rPr>
        <w:t>2</w:t>
      </w:r>
      <w:r w:rsidRPr="00E01C9E">
        <w:t>e (5.3 percent below the 2005 value), due to the compounding effect of a nationwide drought. In the following years, Agriculture emissions recovered, and most recently peaked in 2014 at 42,704.0 kt CO</w:t>
      </w:r>
      <w:r w:rsidRPr="00E01C9E">
        <w:rPr>
          <w:vertAlign w:val="subscript"/>
        </w:rPr>
        <w:t>2</w:t>
      </w:r>
      <w:r w:rsidRPr="00E01C9E">
        <w:t>e (0.5 percent below the 2005 value), corresponding with a peak in overall cattle numbers. In</w:t>
      </w:r>
      <w:r>
        <w:t> </w:t>
      </w:r>
      <w:r w:rsidRPr="00E01C9E">
        <w:t>the</w:t>
      </w:r>
      <w:r>
        <w:t> </w:t>
      </w:r>
      <w:r w:rsidRPr="00E01C9E">
        <w:t>years 2015 to 2021, Agriculture emissions remained slightly below the 2014 peak. In 2022 and 2023, Agriculture emissions dropped significantly. The 2024 level is 0.3 percent below the 2023 level (see chapter 5, figure 5.1.2).</w:t>
      </w:r>
    </w:p>
    <w:p w14:paraId="5A6D5DF6" w14:textId="77777777" w:rsidR="00F271C1" w:rsidRPr="00E01C9E" w:rsidRDefault="00F271C1" w:rsidP="00F271C1">
      <w:pPr>
        <w:pStyle w:val="BodyText"/>
      </w:pPr>
      <w:r w:rsidRPr="00E01C9E">
        <w:t>The greatest absolute contributions to the decrease since 2005 are a 2,817 kt CO</w:t>
      </w:r>
      <w:r w:rsidRPr="00E01C9E">
        <w:rPr>
          <w:vertAlign w:val="subscript"/>
        </w:rPr>
        <w:t>2</w:t>
      </w:r>
      <w:r w:rsidRPr="00E01C9E">
        <w:t xml:space="preserve">e (8.2 percent) decrease in emissions from </w:t>
      </w:r>
      <w:r w:rsidRPr="00E01C9E">
        <w:rPr>
          <w:i/>
          <w:iCs/>
        </w:rPr>
        <w:t>Enteric fermentation</w:t>
      </w:r>
      <w:r w:rsidRPr="00E01C9E">
        <w:t>, a 369.8 kt CO</w:t>
      </w:r>
      <w:r w:rsidRPr="00E01C9E">
        <w:rPr>
          <w:vertAlign w:val="subscript"/>
        </w:rPr>
        <w:t>2</w:t>
      </w:r>
      <w:r w:rsidRPr="00E01C9E">
        <w:t xml:space="preserve">e (60.9 percent) decrease in emissions from </w:t>
      </w:r>
      <w:r w:rsidRPr="00E01C9E">
        <w:rPr>
          <w:i/>
          <w:iCs/>
        </w:rPr>
        <w:t>Liming</w:t>
      </w:r>
      <w:r w:rsidRPr="00E01C9E">
        <w:t>, and a 65.3 kt CO</w:t>
      </w:r>
      <w:r w:rsidRPr="00E01C9E">
        <w:rPr>
          <w:vertAlign w:val="subscript"/>
        </w:rPr>
        <w:t>2</w:t>
      </w:r>
      <w:r w:rsidRPr="00E01C9E">
        <w:t xml:space="preserve">e (1.1 percent) decrease in emissions from </w:t>
      </w:r>
      <w:r w:rsidRPr="00E01C9E">
        <w:rPr>
          <w:i/>
          <w:iCs/>
        </w:rPr>
        <w:t>Agricultural soils</w:t>
      </w:r>
      <w:r w:rsidRPr="00E01C9E">
        <w:t xml:space="preserve"> (see chapter 5, table 5.1.1 and figure 5.1.1).</w:t>
      </w:r>
    </w:p>
    <w:p w14:paraId="30BA988F" w14:textId="77777777" w:rsidR="00F271C1" w:rsidRPr="00E01C9E" w:rsidRDefault="00F271C1" w:rsidP="00F271C1">
      <w:pPr>
        <w:pStyle w:val="BodyText"/>
      </w:pPr>
      <w:r w:rsidRPr="00E01C9E">
        <w:t xml:space="preserve">The decrease in emissions from </w:t>
      </w:r>
      <w:r w:rsidRPr="00E01C9E">
        <w:rPr>
          <w:i/>
          <w:iCs/>
        </w:rPr>
        <w:t>Enteric fermentation</w:t>
      </w:r>
      <w:r w:rsidRPr="00E01C9E">
        <w:t xml:space="preserve"> and </w:t>
      </w:r>
      <w:r w:rsidRPr="00E01C9E">
        <w:rPr>
          <w:i/>
          <w:iCs/>
        </w:rPr>
        <w:t>Agricultural soils</w:t>
      </w:r>
      <w:r w:rsidRPr="00E01C9E">
        <w:t xml:space="preserve"> is primarily a result of decreased livestock populations since 2005.</w:t>
      </w:r>
    </w:p>
    <w:p w14:paraId="017B78E6" w14:textId="2018A018" w:rsidR="00F271C1" w:rsidRPr="00E01C9E" w:rsidRDefault="00F271C1" w:rsidP="00F271C1">
      <w:pPr>
        <w:pStyle w:val="BodyText"/>
      </w:pPr>
      <w:r w:rsidRPr="00E01C9E">
        <w:t>Sheep populations have fallen by 40.9 percent since 2005, resulting in a 38.4 percent decline in</w:t>
      </w:r>
      <w:r w:rsidR="00ED5AF8">
        <w:t> </w:t>
      </w:r>
      <w:r w:rsidRPr="00E01C9E">
        <w:rPr>
          <w:i/>
          <w:iCs/>
        </w:rPr>
        <w:t>Enteric fermentation</w:t>
      </w:r>
      <w:r w:rsidRPr="00E01C9E">
        <w:t xml:space="preserve"> emissions (-5,122.6 kt CO</w:t>
      </w:r>
      <w:r w:rsidRPr="00E01C9E">
        <w:rPr>
          <w:vertAlign w:val="subscript"/>
        </w:rPr>
        <w:t>2</w:t>
      </w:r>
      <w:r w:rsidRPr="00E01C9E">
        <w:t xml:space="preserve">e) and a 37.2 percent decline in </w:t>
      </w:r>
      <w:r w:rsidRPr="00E01C9E">
        <w:rPr>
          <w:i/>
          <w:iCs/>
        </w:rPr>
        <w:t>Agricultural soils</w:t>
      </w:r>
      <w:r w:rsidRPr="00E01C9E">
        <w:t xml:space="preserve"> emissions (-411.6 kt CO</w:t>
      </w:r>
      <w:r w:rsidRPr="00E01C9E">
        <w:rPr>
          <w:vertAlign w:val="subscript"/>
        </w:rPr>
        <w:t>2</w:t>
      </w:r>
      <w:r w:rsidRPr="00E01C9E">
        <w:t>e).</w:t>
      </w:r>
    </w:p>
    <w:p w14:paraId="78D9C5F3" w14:textId="77777777" w:rsidR="00F271C1" w:rsidRPr="00E01C9E" w:rsidRDefault="00F271C1" w:rsidP="00ED5AF8">
      <w:pPr>
        <w:pStyle w:val="BodyText"/>
        <w:spacing w:before="100" w:after="100"/>
      </w:pPr>
      <w:r w:rsidRPr="00E01C9E">
        <w:t xml:space="preserve">Non-dairy cattle populations have declined by 16.8 percent since 2005, resulting in a 14.7 percent decrease in </w:t>
      </w:r>
      <w:r w:rsidRPr="00E01C9E">
        <w:rPr>
          <w:i/>
          <w:iCs/>
        </w:rPr>
        <w:t>Enteric fermentation</w:t>
      </w:r>
      <w:r w:rsidRPr="00E01C9E">
        <w:t xml:space="preserve"> emissions (1,237.3 kt CO</w:t>
      </w:r>
      <w:r w:rsidRPr="00E01C9E">
        <w:rPr>
          <w:vertAlign w:val="subscript"/>
        </w:rPr>
        <w:t>2</w:t>
      </w:r>
      <w:r w:rsidRPr="00E01C9E">
        <w:t xml:space="preserve">e) and a 13.8 percent decrease in </w:t>
      </w:r>
      <w:r w:rsidRPr="00E01C9E">
        <w:rPr>
          <w:i/>
          <w:iCs/>
        </w:rPr>
        <w:t>Agricultural soils</w:t>
      </w:r>
      <w:r w:rsidRPr="00E01C9E">
        <w:t xml:space="preserve"> emissions (152.6 kt CO</w:t>
      </w:r>
      <w:r w:rsidRPr="00E01C9E">
        <w:rPr>
          <w:vertAlign w:val="subscript"/>
        </w:rPr>
        <w:t>2</w:t>
      </w:r>
      <w:r w:rsidRPr="00E01C9E">
        <w:t>e).</w:t>
      </w:r>
    </w:p>
    <w:p w14:paraId="558BF689" w14:textId="77777777" w:rsidR="00F271C1" w:rsidRPr="00E01C9E" w:rsidRDefault="00F271C1" w:rsidP="00ED5AF8">
      <w:pPr>
        <w:pStyle w:val="BodyText"/>
        <w:spacing w:before="100" w:after="100"/>
      </w:pPr>
      <w:r w:rsidRPr="00E01C9E">
        <w:t xml:space="preserve">These reductions have been partially offset by increases in emissions from dairy cattle. Dairy cattle populations have increased 14.7 percent leading to a 34.4 percent increase in </w:t>
      </w:r>
      <w:r w:rsidRPr="00E01C9E">
        <w:rPr>
          <w:i/>
          <w:iCs/>
        </w:rPr>
        <w:t>Enteric fermentation</w:t>
      </w:r>
      <w:r w:rsidRPr="00E01C9E">
        <w:t xml:space="preserve"> emissions (4,035.1 kt CO</w:t>
      </w:r>
      <w:r w:rsidRPr="00E01C9E">
        <w:rPr>
          <w:vertAlign w:val="subscript"/>
        </w:rPr>
        <w:t>2</w:t>
      </w:r>
      <w:r w:rsidRPr="00E01C9E">
        <w:t xml:space="preserve">e) and a 24.0 percent increase in </w:t>
      </w:r>
      <w:r w:rsidRPr="00E01C9E">
        <w:rPr>
          <w:i/>
          <w:iCs/>
        </w:rPr>
        <w:t>Agricultural soils</w:t>
      </w:r>
      <w:r w:rsidRPr="00E01C9E">
        <w:t xml:space="preserve"> emissions (478.2 kt CO</w:t>
      </w:r>
      <w:r w:rsidRPr="00E01C9E">
        <w:rPr>
          <w:vertAlign w:val="subscript"/>
        </w:rPr>
        <w:t>2</w:t>
      </w:r>
      <w:r w:rsidRPr="00E01C9E">
        <w:t xml:space="preserve">e). There has also been a 68.4 percent increase in emissions from dairy cattle </w:t>
      </w:r>
      <w:r w:rsidRPr="00E01C9E">
        <w:rPr>
          <w:i/>
          <w:iCs/>
        </w:rPr>
        <w:t>Manure management</w:t>
      </w:r>
      <w:r w:rsidRPr="00E01C9E">
        <w:t xml:space="preserve"> (588.2 kt CO</w:t>
      </w:r>
      <w:r w:rsidRPr="00E01C9E">
        <w:rPr>
          <w:vertAlign w:val="subscript"/>
        </w:rPr>
        <w:t>2</w:t>
      </w:r>
      <w:r w:rsidRPr="00E01C9E">
        <w:t>e) between 2005 and 2024, due to both the increasing population of dairy cattle and the increased prevalence of anaerobic lagoons as a manure management system rather than pasture.</w:t>
      </w:r>
    </w:p>
    <w:p w14:paraId="757DC380" w14:textId="77777777" w:rsidR="00F271C1" w:rsidRPr="00E01C9E" w:rsidRDefault="00F271C1" w:rsidP="00ED5AF8">
      <w:pPr>
        <w:pStyle w:val="BodyText"/>
        <w:spacing w:before="100" w:after="100"/>
      </w:pPr>
      <w:r w:rsidRPr="00E01C9E">
        <w:t>Changes in livestock populations reflect relative profitability across animal sectors, with dairy farming becoming more profitable than sheep or non-dairy cattle farming over the reporting period. In addition, average emissions per dairy cow have increased over time due to higher milk production per animal, heavier liveweights and increased feed intake, which increases emissions per head.</w:t>
      </w:r>
    </w:p>
    <w:p w14:paraId="74C20E9E" w14:textId="77777777" w:rsidR="00F271C1" w:rsidRPr="00E01C9E" w:rsidRDefault="00F271C1" w:rsidP="00ED5AF8">
      <w:pPr>
        <w:pStyle w:val="BodyText"/>
        <w:spacing w:before="100" w:after="100"/>
      </w:pPr>
      <w:r w:rsidRPr="00E01C9E">
        <w:t xml:space="preserve">The decrease in emissions from </w:t>
      </w:r>
      <w:r w:rsidRPr="00E01C9E">
        <w:rPr>
          <w:i/>
          <w:iCs/>
        </w:rPr>
        <w:t>Liming</w:t>
      </w:r>
      <w:r w:rsidRPr="00E01C9E">
        <w:t xml:space="preserve"> is driven by reduced application of lime and dolomite fertilisers.</w:t>
      </w:r>
    </w:p>
    <w:p w14:paraId="53B7ACD2" w14:textId="77777777" w:rsidR="00F271C1" w:rsidRPr="00E01C9E" w:rsidRDefault="00F271C1" w:rsidP="00ED5AF8">
      <w:pPr>
        <w:pStyle w:val="Heading5"/>
        <w:spacing w:before="180"/>
      </w:pPr>
      <w:bookmarkStart w:id="141" w:name="section-17"/>
      <w:bookmarkEnd w:id="140"/>
      <w:r w:rsidRPr="00E01C9E">
        <w:t>1990–2024</w:t>
      </w:r>
    </w:p>
    <w:p w14:paraId="486DE402" w14:textId="77777777" w:rsidR="00F271C1" w:rsidRPr="00E01C9E" w:rsidRDefault="00F271C1" w:rsidP="00ED5AF8">
      <w:pPr>
        <w:pStyle w:val="BodyText"/>
        <w:spacing w:before="100" w:after="100"/>
      </w:pPr>
      <w:r w:rsidRPr="00E01C9E">
        <w:t>In 1990, emissions from the Agriculture sector were 36,750.0 kt CO</w:t>
      </w:r>
      <w:r w:rsidRPr="00E01C9E">
        <w:rPr>
          <w:vertAlign w:val="subscript"/>
        </w:rPr>
        <w:t>2</w:t>
      </w:r>
      <w:r w:rsidRPr="00E01C9E">
        <w:t>e. Between 1990 and 2024, GHG emissions increased by 9.2 percent (3,398.4 kt CO</w:t>
      </w:r>
      <w:r w:rsidRPr="00E01C9E">
        <w:rPr>
          <w:vertAlign w:val="subscript"/>
        </w:rPr>
        <w:t>2</w:t>
      </w:r>
      <w:r w:rsidRPr="00E01C9E">
        <w:t>e) (chapter 5, table 5.1.1). The greatest contributions to the increase since 1990 are a 1,667.1 kt CO</w:t>
      </w:r>
      <w:r w:rsidRPr="00E01C9E">
        <w:rPr>
          <w:vertAlign w:val="subscript"/>
        </w:rPr>
        <w:t>2</w:t>
      </w:r>
      <w:r w:rsidRPr="00E01C9E">
        <w:t xml:space="preserve">e (37.4 percent) increase in emissions from </w:t>
      </w:r>
      <w:r w:rsidRPr="00E01C9E">
        <w:rPr>
          <w:i/>
          <w:iCs/>
        </w:rPr>
        <w:t>Agricultural soils</w:t>
      </w:r>
      <w:r w:rsidRPr="00E01C9E">
        <w:t>, an 865.9 kt CO</w:t>
      </w:r>
      <w:r w:rsidRPr="00E01C9E">
        <w:rPr>
          <w:vertAlign w:val="subscript"/>
        </w:rPr>
        <w:t>2</w:t>
      </w:r>
      <w:r w:rsidRPr="00E01C9E">
        <w:t xml:space="preserve">e (101.7 percent) increase in emissions from </w:t>
      </w:r>
      <w:r w:rsidRPr="00E01C9E">
        <w:rPr>
          <w:i/>
          <w:iCs/>
        </w:rPr>
        <w:t>Manure management</w:t>
      </w:r>
      <w:r w:rsidRPr="00E01C9E">
        <w:t>, and a 515.1 kt CO</w:t>
      </w:r>
      <w:r w:rsidRPr="00E01C9E">
        <w:rPr>
          <w:vertAlign w:val="subscript"/>
        </w:rPr>
        <w:t>2</w:t>
      </w:r>
      <w:r w:rsidRPr="00E01C9E">
        <w:t xml:space="preserve">e (1.7 percent) increase in emissions from </w:t>
      </w:r>
      <w:r w:rsidRPr="00E01C9E">
        <w:rPr>
          <w:i/>
          <w:iCs/>
        </w:rPr>
        <w:t>Enteric fermentation</w:t>
      </w:r>
      <w:r w:rsidRPr="00E01C9E">
        <w:t xml:space="preserve"> (chapter 5, table 5.1.1 and figure 5.1.1).</w:t>
      </w:r>
    </w:p>
    <w:p w14:paraId="3AD0F3E6" w14:textId="77777777" w:rsidR="00F271C1" w:rsidRPr="00E01C9E" w:rsidRDefault="00F271C1" w:rsidP="00ED5AF8">
      <w:pPr>
        <w:pStyle w:val="BodyText"/>
        <w:spacing w:before="100" w:after="100"/>
      </w:pPr>
      <w:r w:rsidRPr="00E01C9E">
        <w:t>The increase in N</w:t>
      </w:r>
      <w:r w:rsidRPr="00E01C9E">
        <w:rPr>
          <w:vertAlign w:val="subscript"/>
        </w:rPr>
        <w:t>2</w:t>
      </w:r>
      <w:r w:rsidRPr="00E01C9E">
        <w:t xml:space="preserve">O emissions from </w:t>
      </w:r>
      <w:r w:rsidRPr="00E01C9E">
        <w:rPr>
          <w:i/>
          <w:iCs/>
        </w:rPr>
        <w:t>Agricultural soils</w:t>
      </w:r>
      <w:r w:rsidRPr="00E01C9E">
        <w:t xml:space="preserve"> is primarily a result of increased application of synthetic nitrogen fertiliser. This has increased by 553.0 percent since 1990. The increased use of nitrogen fertiliser has been largely driven by the growth and intensification of dairy farming, as well as the increased use of nitrogen on other farm types, such as sheep and non-dairy cattle. The N</w:t>
      </w:r>
      <w:r w:rsidRPr="00E01C9E">
        <w:rPr>
          <w:vertAlign w:val="subscript"/>
        </w:rPr>
        <w:t>2</w:t>
      </w:r>
      <w:r w:rsidRPr="00E01C9E">
        <w:t>O emissions (direct and indirect) from synthetic nitrogen fertiliser use increased by 1,000.0 kt CO</w:t>
      </w:r>
      <w:r w:rsidRPr="00E01C9E">
        <w:rPr>
          <w:vertAlign w:val="subscript"/>
        </w:rPr>
        <w:t>2</w:t>
      </w:r>
      <w:r w:rsidRPr="00E01C9E">
        <w:t xml:space="preserve">e between 1990 and 2024. This is 60.0 percent of the total increase in emissions from </w:t>
      </w:r>
      <w:r w:rsidRPr="00E01C9E">
        <w:rPr>
          <w:i/>
          <w:iCs/>
        </w:rPr>
        <w:t>Agricultural soils</w:t>
      </w:r>
      <w:r w:rsidRPr="00E01C9E">
        <w:t>.</w:t>
      </w:r>
    </w:p>
    <w:p w14:paraId="7D2989DB" w14:textId="77777777" w:rsidR="00F271C1" w:rsidRPr="00E01C9E" w:rsidRDefault="00F271C1" w:rsidP="00ED5AF8">
      <w:pPr>
        <w:pStyle w:val="BodyText"/>
        <w:spacing w:before="100" w:after="100"/>
      </w:pPr>
      <w:r w:rsidRPr="00E01C9E">
        <w:t xml:space="preserve">The increase in emissions from </w:t>
      </w:r>
      <w:r w:rsidRPr="00E01C9E">
        <w:rPr>
          <w:i/>
          <w:iCs/>
        </w:rPr>
        <w:t>Manure management</w:t>
      </w:r>
      <w:r w:rsidRPr="00E01C9E">
        <w:t xml:space="preserve"> and </w:t>
      </w:r>
      <w:r w:rsidRPr="00E01C9E">
        <w:rPr>
          <w:i/>
          <w:iCs/>
        </w:rPr>
        <w:t>Enteric fermentation</w:t>
      </w:r>
      <w:r w:rsidRPr="00E01C9E">
        <w:t xml:space="preserve"> has been driven by an increase in dairy cattle numbers. The increase in dairy </w:t>
      </w:r>
      <w:r w:rsidRPr="00E01C9E">
        <w:rPr>
          <w:i/>
          <w:iCs/>
        </w:rPr>
        <w:t>Enteric fermentation</w:t>
      </w:r>
      <w:r w:rsidRPr="00E01C9E">
        <w:t xml:space="preserve"> emissions is partially offset by a decline in sheep numbers and a decrease in non-dairy (beef) cattle. The change in animal populations since 1990 reflects the relative financial returns in each sector. It has become more profitable to farm dairy cattle than non-dairy cattle or sheep in New Zealand over the reporting period.</w:t>
      </w:r>
    </w:p>
    <w:p w14:paraId="3D9A8574" w14:textId="77777777" w:rsidR="00F271C1" w:rsidRPr="00E01C9E" w:rsidRDefault="00F271C1" w:rsidP="00ED5AF8">
      <w:pPr>
        <w:pStyle w:val="Heading4"/>
        <w:spacing w:before="180"/>
      </w:pPr>
      <w:bookmarkStart w:id="142" w:name="lulucf-sector"/>
      <w:bookmarkEnd w:id="136"/>
      <w:bookmarkEnd w:id="141"/>
      <w:r w:rsidRPr="00E01C9E">
        <w:t>LULUCF sector</w:t>
      </w:r>
    </w:p>
    <w:p w14:paraId="6BFE8662" w14:textId="77777777" w:rsidR="00F271C1" w:rsidRPr="00E01C9E" w:rsidRDefault="00F271C1" w:rsidP="00F271C1">
      <w:pPr>
        <w:pStyle w:val="Heading5"/>
        <w:spacing w:before="180"/>
      </w:pPr>
      <w:bookmarkStart w:id="143" w:name="section-18"/>
      <w:r w:rsidRPr="00E01C9E">
        <w:t>2024</w:t>
      </w:r>
    </w:p>
    <w:p w14:paraId="1E76563D" w14:textId="77777777" w:rsidR="00F271C1" w:rsidRPr="00E01C9E" w:rsidRDefault="00F271C1" w:rsidP="00ED5AF8">
      <w:pPr>
        <w:pStyle w:val="BodyText"/>
        <w:spacing w:before="60" w:after="100"/>
      </w:pPr>
      <w:r w:rsidRPr="00E01C9E">
        <w:t>In 2024, net emissions from the LULUCF sector were -20,977.5 kt CO</w:t>
      </w:r>
      <w:r w:rsidRPr="00E01C9E">
        <w:rPr>
          <w:vertAlign w:val="subscript"/>
        </w:rPr>
        <w:t>2</w:t>
      </w:r>
      <w:r w:rsidRPr="00E01C9E">
        <w:t>e, or 27.7 percent of New Zealand’s gross GHG emissions. This comprises net emissions of -21,217.6 kt CO</w:t>
      </w:r>
      <w:r w:rsidRPr="00E01C9E">
        <w:rPr>
          <w:vertAlign w:val="subscript"/>
        </w:rPr>
        <w:t>2</w:t>
      </w:r>
      <w:r w:rsidRPr="00E01C9E">
        <w:t>, emissions of 49.2 kt CO</w:t>
      </w:r>
      <w:r w:rsidRPr="00E01C9E">
        <w:rPr>
          <w:vertAlign w:val="subscript"/>
        </w:rPr>
        <w:t>2</w:t>
      </w:r>
      <w:r w:rsidRPr="00E01C9E">
        <w:t>e of CH</w:t>
      </w:r>
      <w:r w:rsidRPr="00E01C9E">
        <w:rPr>
          <w:vertAlign w:val="subscript"/>
        </w:rPr>
        <w:t>4</w:t>
      </w:r>
      <w:r w:rsidRPr="00E01C9E">
        <w:t xml:space="preserve"> and 191.0 kt CO</w:t>
      </w:r>
      <w:r w:rsidRPr="00E01C9E">
        <w:rPr>
          <w:vertAlign w:val="subscript"/>
        </w:rPr>
        <w:t>2</w:t>
      </w:r>
      <w:r w:rsidRPr="00E01C9E">
        <w:t>e of N</w:t>
      </w:r>
      <w:r w:rsidRPr="00E01C9E">
        <w:rPr>
          <w:vertAlign w:val="subscript"/>
        </w:rPr>
        <w:t>2</w:t>
      </w:r>
      <w:r w:rsidRPr="00E01C9E">
        <w:t xml:space="preserve">O. The category contributing the most to both removals and emissions is </w:t>
      </w:r>
      <w:r w:rsidRPr="00E01C9E">
        <w:rPr>
          <w:i/>
          <w:iCs/>
        </w:rPr>
        <w:t>Forest land remaining forest land</w:t>
      </w:r>
      <w:r w:rsidRPr="00E01C9E">
        <w:t>. This is because large removals result from the growth of all forests on this land and there are also large emissions from the sustainable harvest of New Zealand’s plantation forests.</w:t>
      </w:r>
    </w:p>
    <w:p w14:paraId="3CD726B8" w14:textId="77777777" w:rsidR="00F271C1" w:rsidRPr="00E01C9E" w:rsidRDefault="00F271C1" w:rsidP="00F271C1">
      <w:pPr>
        <w:pStyle w:val="BodyText"/>
      </w:pPr>
      <w:r w:rsidRPr="00E01C9E">
        <w:t xml:space="preserve">Emissions in the LULUCF sector are primarily driven by the harvest of production forests, deforestation and the decomposition of organic material following these activities. Removals </w:t>
      </w:r>
      <w:r w:rsidRPr="00E01C9E">
        <w:rPr>
          <w:spacing w:val="-2"/>
        </w:rPr>
        <w:t>are mainly from the sequestration of carbon that occurs due to plant growth and the production o</w:t>
      </w:r>
      <w:r w:rsidRPr="00E01C9E">
        <w:t xml:space="preserve">f </w:t>
      </w:r>
      <w:r w:rsidRPr="00E01C9E">
        <w:rPr>
          <w:i/>
          <w:iCs/>
        </w:rPr>
        <w:t>Harvested wood products</w:t>
      </w:r>
      <w:r w:rsidRPr="00E01C9E">
        <w:t>. Nitrous oxide can be emitted from the ecosystem as a by-product of nitrification and denitrification, and the burning of organic matter. Other gases released during biomass burning include CH</w:t>
      </w:r>
      <w:r w:rsidRPr="00E01C9E">
        <w:rPr>
          <w:vertAlign w:val="subscript"/>
        </w:rPr>
        <w:t>4</w:t>
      </w:r>
      <w:r w:rsidRPr="00E01C9E">
        <w:t>, carbon monoxide (CO), other oxides of nitrogen (NO</w:t>
      </w:r>
      <w:r w:rsidRPr="00E01C9E">
        <w:rPr>
          <w:vertAlign w:val="subscript"/>
        </w:rPr>
        <w:t>x</w:t>
      </w:r>
      <w:r w:rsidRPr="00E01C9E">
        <w:t>) and non-methane volatile organic compounds (NMVOCs).</w:t>
      </w:r>
    </w:p>
    <w:p w14:paraId="24F54267" w14:textId="77777777" w:rsidR="00F271C1" w:rsidRPr="00E01C9E" w:rsidRDefault="00F271C1" w:rsidP="00F271C1">
      <w:pPr>
        <w:pStyle w:val="Heading5"/>
      </w:pPr>
      <w:bookmarkStart w:id="144" w:name="section-19"/>
      <w:bookmarkEnd w:id="143"/>
      <w:r w:rsidRPr="00E01C9E">
        <w:t>2023–2024</w:t>
      </w:r>
    </w:p>
    <w:p w14:paraId="70012FEC" w14:textId="77777777" w:rsidR="00F271C1" w:rsidRPr="00E01C9E" w:rsidRDefault="00F271C1" w:rsidP="00F271C1">
      <w:pPr>
        <w:pStyle w:val="BodyText"/>
      </w:pPr>
      <w:r w:rsidRPr="00E01C9E">
        <w:t>Between 2023 and 2024, net emissions from the LULUCF sector decreased by 5.1 percent (1,011.0 kt CO</w:t>
      </w:r>
      <w:r w:rsidRPr="00E01C9E">
        <w:rPr>
          <w:vertAlign w:val="subscript"/>
        </w:rPr>
        <w:t>2</w:t>
      </w:r>
      <w:r w:rsidRPr="00E01C9E">
        <w:t>e) (see chapter 6, table 6.1.1).</w:t>
      </w:r>
    </w:p>
    <w:p w14:paraId="78986E03" w14:textId="77777777" w:rsidR="00F271C1" w:rsidRPr="00E01C9E" w:rsidRDefault="00F271C1" w:rsidP="00F271C1">
      <w:pPr>
        <w:pStyle w:val="BodyText"/>
      </w:pPr>
      <w:r w:rsidRPr="00E01C9E">
        <w:t xml:space="preserve">The largest change occurred in the </w:t>
      </w:r>
      <w:r w:rsidRPr="00E01C9E">
        <w:rPr>
          <w:i/>
          <w:iCs/>
        </w:rPr>
        <w:t>Grassland</w:t>
      </w:r>
      <w:r w:rsidRPr="00E01C9E">
        <w:t xml:space="preserve"> category, with a decrease in emissions of 827.1 kt CO</w:t>
      </w:r>
      <w:r w:rsidRPr="00E01C9E">
        <w:rPr>
          <w:vertAlign w:val="subscript"/>
        </w:rPr>
        <w:t>2</w:t>
      </w:r>
      <w:r w:rsidRPr="00E01C9E">
        <w:t xml:space="preserve">e, driven by less deforestation in 2024 compared to 2023 (chapter 6, figure 6.4.4). </w:t>
      </w:r>
      <w:r w:rsidRPr="00E01C9E">
        <w:rPr>
          <w:i/>
          <w:iCs/>
        </w:rPr>
        <w:t>Forest land</w:t>
      </w:r>
      <w:r w:rsidRPr="00E01C9E">
        <w:t xml:space="preserve"> had the second-largest change, with a decrease in net emissions of 701.2 kt CO</w:t>
      </w:r>
      <w:r w:rsidRPr="00E01C9E">
        <w:rPr>
          <w:vertAlign w:val="subscript"/>
        </w:rPr>
        <w:t>2</w:t>
      </w:r>
      <w:r w:rsidRPr="00E01C9E">
        <w:t xml:space="preserve">e. </w:t>
      </w:r>
      <w:r w:rsidRPr="00E01C9E">
        <w:rPr>
          <w:spacing w:val="-2"/>
        </w:rPr>
        <w:t xml:space="preserve">Interannual variation in </w:t>
      </w:r>
      <w:r w:rsidRPr="00E01C9E">
        <w:rPr>
          <w:i/>
          <w:iCs/>
          <w:spacing w:val="-2"/>
        </w:rPr>
        <w:t>Forest land</w:t>
      </w:r>
      <w:r w:rsidRPr="00E01C9E">
        <w:rPr>
          <w:spacing w:val="-2"/>
        </w:rPr>
        <w:t xml:space="preserve"> is mainly driven by changes within planted forests. In </w:t>
      </w:r>
      <w:r w:rsidRPr="00E01C9E">
        <w:rPr>
          <w:i/>
          <w:iCs/>
          <w:spacing w:val="-2"/>
        </w:rPr>
        <w:t>Forest</w:t>
      </w:r>
      <w:r w:rsidRPr="00E01C9E">
        <w:rPr>
          <w:i/>
          <w:iCs/>
        </w:rPr>
        <w:t xml:space="preserve"> land remaining forest land</w:t>
      </w:r>
      <w:r w:rsidRPr="00E01C9E">
        <w:t xml:space="preserve">, changes in growth-related removals, harvest emissions, and the deadwood carbon pool, increased net emissions in 2024. In </w:t>
      </w:r>
      <w:r w:rsidRPr="00E01C9E">
        <w:rPr>
          <w:i/>
          <w:iCs/>
        </w:rPr>
        <w:t>Land converted to forest land</w:t>
      </w:r>
      <w:r w:rsidRPr="00E01C9E">
        <w:t xml:space="preserve">, this increase was offset by an increase in net removals due to decreased harvest emissions and an increase in growth-related removals. The </w:t>
      </w:r>
      <w:r w:rsidRPr="00E01C9E">
        <w:rPr>
          <w:i/>
          <w:iCs/>
        </w:rPr>
        <w:t>Harvested wood products</w:t>
      </w:r>
      <w:r w:rsidRPr="00E01C9E">
        <w:t xml:space="preserve"> category had the third-largest change, with an increase in emissions of 480.5 kt CO</w:t>
      </w:r>
      <w:r w:rsidRPr="00E01C9E">
        <w:rPr>
          <w:vertAlign w:val="subscript"/>
        </w:rPr>
        <w:t>2</w:t>
      </w:r>
      <w:r w:rsidRPr="00E01C9E">
        <w:t>e due to losses from decay being greater than inputs as harvest stabilised between 2023 and 2024.</w:t>
      </w:r>
    </w:p>
    <w:p w14:paraId="0AC15DE8" w14:textId="77777777" w:rsidR="00F271C1" w:rsidRPr="00E01C9E" w:rsidRDefault="00F271C1" w:rsidP="00F271C1">
      <w:pPr>
        <w:pStyle w:val="Heading5"/>
      </w:pPr>
      <w:bookmarkStart w:id="145" w:name="section-20"/>
      <w:bookmarkEnd w:id="144"/>
      <w:r w:rsidRPr="00E01C9E">
        <w:t>2005–2024</w:t>
      </w:r>
    </w:p>
    <w:p w14:paraId="373C47A7" w14:textId="77777777" w:rsidR="00F271C1" w:rsidRPr="00E01C9E" w:rsidRDefault="00F271C1" w:rsidP="00F271C1">
      <w:pPr>
        <w:pStyle w:val="BodyText"/>
      </w:pPr>
      <w:r w:rsidRPr="00E01C9E">
        <w:t>Between 2005 and 2024, net emissions from the LULUCF sector increased by 9.3 percent (2,161.3 kt CO</w:t>
      </w:r>
      <w:r w:rsidRPr="00E01C9E">
        <w:rPr>
          <w:vertAlign w:val="subscript"/>
        </w:rPr>
        <w:t>2</w:t>
      </w:r>
      <w:r w:rsidRPr="00E01C9E">
        <w:t xml:space="preserve">e) (see chapter 6, table 6.1.2). The largest change occurred in the </w:t>
      </w:r>
      <w:r w:rsidRPr="00E01C9E">
        <w:rPr>
          <w:i/>
          <w:iCs/>
        </w:rPr>
        <w:t>Forest land</w:t>
      </w:r>
      <w:r w:rsidRPr="00E01C9E">
        <w:t xml:space="preserve"> category, with an increase in net emissions of 14,244.3 kt CO</w:t>
      </w:r>
      <w:r w:rsidRPr="00E01C9E">
        <w:rPr>
          <w:vertAlign w:val="subscript"/>
        </w:rPr>
        <w:t>2</w:t>
      </w:r>
      <w:r w:rsidRPr="00E01C9E">
        <w:t xml:space="preserve">e, because a larger proportion of planted forests were harvested in 2024 compared with 2005 levels (chapter 6, figure 6.4.3). The </w:t>
      </w:r>
      <w:r w:rsidRPr="00E01C9E">
        <w:rPr>
          <w:i/>
          <w:iCs/>
        </w:rPr>
        <w:t>Grassland</w:t>
      </w:r>
      <w:r w:rsidRPr="00E01C9E">
        <w:t xml:space="preserve"> category had the second-largest change, with a decrease in emissions of 11,174.7 kt CO</w:t>
      </w:r>
      <w:r w:rsidRPr="00E01C9E">
        <w:rPr>
          <w:vertAlign w:val="subscript"/>
        </w:rPr>
        <w:t>2</w:t>
      </w:r>
      <w:r w:rsidRPr="00E01C9E">
        <w:t xml:space="preserve">e driven by a reduction in conversions from </w:t>
      </w:r>
      <w:r w:rsidRPr="00E01C9E">
        <w:rPr>
          <w:i/>
          <w:iCs/>
        </w:rPr>
        <w:t>Forest land</w:t>
      </w:r>
      <w:r w:rsidRPr="00E01C9E">
        <w:t xml:space="preserve">. The </w:t>
      </w:r>
      <w:r w:rsidRPr="00E01C9E">
        <w:rPr>
          <w:i/>
          <w:iCs/>
        </w:rPr>
        <w:t>Harvested wood products</w:t>
      </w:r>
      <w:r w:rsidRPr="00E01C9E">
        <w:t xml:space="preserve"> category had the third-largest change, with a reduction in emissions of 771.1 kt CO</w:t>
      </w:r>
      <w:r w:rsidRPr="00E01C9E">
        <w:rPr>
          <w:vertAlign w:val="subscript"/>
        </w:rPr>
        <w:t>2</w:t>
      </w:r>
      <w:r w:rsidRPr="00E01C9E">
        <w:t>e. This was driven by an increase in the inputs to the harvested wood products pool following the increased planted forest harvest.</w:t>
      </w:r>
    </w:p>
    <w:p w14:paraId="1E959841" w14:textId="77777777" w:rsidR="00F271C1" w:rsidRPr="00E01C9E" w:rsidRDefault="00F271C1" w:rsidP="00F271C1">
      <w:pPr>
        <w:pStyle w:val="Heading5"/>
      </w:pPr>
      <w:bookmarkStart w:id="146" w:name="section-21"/>
      <w:bookmarkEnd w:id="145"/>
      <w:r w:rsidRPr="00E01C9E">
        <w:t>1990–2024</w:t>
      </w:r>
    </w:p>
    <w:p w14:paraId="6BFEAD22" w14:textId="77777777" w:rsidR="00F271C1" w:rsidRPr="00E01C9E" w:rsidRDefault="00F271C1" w:rsidP="00F271C1">
      <w:pPr>
        <w:pStyle w:val="BodyText"/>
      </w:pPr>
      <w:r w:rsidRPr="00E01C9E">
        <w:t>In</w:t>
      </w:r>
      <w:r w:rsidRPr="00E01C9E">
        <w:rPr>
          <w:b/>
          <w:bCs/>
        </w:rPr>
        <w:t xml:space="preserve"> </w:t>
      </w:r>
      <w:r w:rsidRPr="00E01C9E">
        <w:t>1990, net emissions from the LULUCF sector were -23,334.5 kt CO</w:t>
      </w:r>
      <w:r w:rsidRPr="00E01C9E">
        <w:rPr>
          <w:vertAlign w:val="subscript"/>
        </w:rPr>
        <w:t>2</w:t>
      </w:r>
      <w:r w:rsidRPr="00E01C9E">
        <w:t>e. Between 1990 and 2024, net emissions increased by 10.1 percent (2,357.0 kt CO</w:t>
      </w:r>
      <w:r w:rsidRPr="00E01C9E">
        <w:rPr>
          <w:vertAlign w:val="subscript"/>
        </w:rPr>
        <w:t>2</w:t>
      </w:r>
      <w:r w:rsidRPr="00E01C9E">
        <w:t xml:space="preserve">e) (see chapter 6, table 6.1.3 and figure 6.1.1). </w:t>
      </w:r>
    </w:p>
    <w:p w14:paraId="2444E20C" w14:textId="77777777" w:rsidR="00F271C1" w:rsidRPr="00E01C9E" w:rsidRDefault="00F271C1" w:rsidP="00F271C1">
      <w:pPr>
        <w:pStyle w:val="BodyText"/>
      </w:pPr>
      <w:r w:rsidRPr="00E01C9E">
        <w:t xml:space="preserve">This is largely due to an overall reduction in net removals from </w:t>
      </w:r>
      <w:r w:rsidRPr="00E01C9E">
        <w:rPr>
          <w:i/>
          <w:iCs/>
        </w:rPr>
        <w:t>Forest land</w:t>
      </w:r>
      <w:r w:rsidRPr="00E01C9E">
        <w:t xml:space="preserve"> compared with 1990 levels. The reduction in net removals from </w:t>
      </w:r>
      <w:r w:rsidRPr="00E01C9E">
        <w:rPr>
          <w:i/>
          <w:iCs/>
        </w:rPr>
        <w:t>Forest land</w:t>
      </w:r>
      <w:r w:rsidRPr="00E01C9E">
        <w:t xml:space="preserve"> was driven by relatively high harvest rates (chapter 6, figure 6.4.3) that are a result of significant afforestation beginning in the 1980s and reaching a peak in the mid-1990s (chapter 6, figure 6.4.1). The planted forests that were established during this period have progressively been reaching harvesting age, so while the total area of forest has increased since 1990, a larger proportion of planted forests were harvested in 2024 compared with 1990 levels. Harvesting and replanting cycles of New Zealand’s planted forests will continue to affect the trajectory of New Zealand’s net emissions in the future due to their uneven age-class profile. The increase in emissions is compensated for, to some extent, by a reduction in net emissions in </w:t>
      </w:r>
      <w:r w:rsidRPr="00E01C9E">
        <w:rPr>
          <w:i/>
          <w:iCs/>
        </w:rPr>
        <w:t>Harvested wood products</w:t>
      </w:r>
      <w:r w:rsidRPr="00E01C9E">
        <w:t xml:space="preserve">. Carbon losses in </w:t>
      </w:r>
      <w:r w:rsidRPr="00E01C9E">
        <w:rPr>
          <w:i/>
          <w:iCs/>
        </w:rPr>
        <w:t>Forest land</w:t>
      </w:r>
      <w:r w:rsidRPr="00E01C9E">
        <w:t xml:space="preserve"> due to the harvest of timber are transferred to </w:t>
      </w:r>
      <w:r w:rsidRPr="00E01C9E">
        <w:rPr>
          <w:i/>
          <w:iCs/>
        </w:rPr>
        <w:t>Harvested wood products</w:t>
      </w:r>
      <w:r w:rsidRPr="00E01C9E">
        <w:t xml:space="preserve">, where the carbon is treated as a gain and its decay and emissions to the atmosphere are estimated based on product type. The net fluxes in </w:t>
      </w:r>
      <w:r w:rsidRPr="00E01C9E">
        <w:rPr>
          <w:i/>
          <w:iCs/>
        </w:rPr>
        <w:t>Harvested wood products</w:t>
      </w:r>
      <w:r w:rsidRPr="00E01C9E">
        <w:t xml:space="preserve"> therefore represent the balance between the inputs transferred into the pool and the outputs leaving the pool from decay or disposal over time.</w:t>
      </w:r>
    </w:p>
    <w:p w14:paraId="01A0A108" w14:textId="77777777" w:rsidR="00F271C1" w:rsidRPr="00E01C9E" w:rsidRDefault="00F271C1" w:rsidP="00F271C1">
      <w:pPr>
        <w:pStyle w:val="BodyText"/>
      </w:pPr>
      <w:r w:rsidRPr="00E01C9E">
        <w:t>The fluctuations in net emissions from the LULUCF sector since 1990 (see figure 2.2.10) were primarily influenced by afforestation, harvesting and deforestation rates. Harvesting rates are driven by several factors, particularly forest age and log prices.</w:t>
      </w:r>
    </w:p>
    <w:p w14:paraId="0A4E6C01" w14:textId="77777777" w:rsidR="00F271C1" w:rsidRPr="00E01C9E" w:rsidRDefault="00F271C1" w:rsidP="00F271C1">
      <w:pPr>
        <w:pStyle w:val="BodyText"/>
      </w:pPr>
      <w:r w:rsidRPr="00E01C9E">
        <w:t>Net emissions in the LULUCF sector have been generally increasing over the past decade. Current harvest rates are at near historically high levels due to the significant land-use changes to forest land that occurred from the 1980s and into the early 1990s.</w:t>
      </w:r>
    </w:p>
    <w:p w14:paraId="7D920966" w14:textId="77777777" w:rsidR="00F271C1" w:rsidRPr="00E01C9E" w:rsidRDefault="00F271C1" w:rsidP="00F271C1">
      <w:pPr>
        <w:pStyle w:val="BodyText"/>
      </w:pPr>
      <w:r w:rsidRPr="00E01C9E">
        <w:t>Deforestation rates were driven by the profitability of forestry relative to alternative land uses.</w:t>
      </w:r>
    </w:p>
    <w:p w14:paraId="667F8BBF" w14:textId="77777777" w:rsidR="00F271C1" w:rsidRPr="00E01C9E" w:rsidRDefault="00F271C1" w:rsidP="00F271C1">
      <w:pPr>
        <w:pStyle w:val="Figure"/>
      </w:pPr>
      <w:bookmarkStart w:id="147" w:name="_Toc226200659"/>
      <w:r w:rsidRPr="00E01C9E">
        <w:t xml:space="preserve">Figure 2.2.10 </w:t>
      </w:r>
      <w:r w:rsidRPr="00E01C9E">
        <w:tab/>
        <w:t xml:space="preserve">New Zealand’s LULUCF sector net emissions, from </w:t>
      </w:r>
      <w:r w:rsidRPr="00E01C9E">
        <w:rPr>
          <w:bCs/>
        </w:rPr>
        <w:t>1990</w:t>
      </w:r>
      <w:r w:rsidRPr="00E01C9E">
        <w:t xml:space="preserve"> to </w:t>
      </w:r>
      <w:r w:rsidRPr="00E01C9E">
        <w:rPr>
          <w:bCs/>
        </w:rPr>
        <w:t>2024</w:t>
      </w:r>
      <w:bookmarkEnd w:id="147"/>
    </w:p>
    <w:p w14:paraId="46210005" w14:textId="77777777" w:rsidR="00F271C1" w:rsidRPr="00E01C9E" w:rsidRDefault="00F271C1" w:rsidP="00F271C1">
      <w:pPr>
        <w:pStyle w:val="BodyText"/>
        <w:jc w:val="center"/>
      </w:pPr>
      <w:r w:rsidRPr="00E01C9E">
        <w:rPr>
          <w:noProof/>
        </w:rPr>
        <w:drawing>
          <wp:inline distT="0" distB="0" distL="0" distR="0" wp14:anchorId="75BBF644" wp14:editId="46E38D1B">
            <wp:extent cx="5302250" cy="3994150"/>
            <wp:effectExtent l="0" t="0" r="0" b="6350"/>
            <wp:docPr id="84" name="Picture"/>
            <wp:cNvGraphicFramePr/>
            <a:graphic xmlns:a="http://schemas.openxmlformats.org/drawingml/2006/main">
              <a:graphicData uri="http://schemas.openxmlformats.org/drawingml/2006/picture">
                <pic:pic xmlns:pic="http://schemas.openxmlformats.org/drawingml/2006/picture">
                  <pic:nvPicPr>
                    <pic:cNvPr id="85" name="Picture" descr="code/graphs/images/fig_2_2_10_crf.png"/>
                    <pic:cNvPicPr>
                      <a:picLocks noChangeAspect="1" noChangeArrowheads="1"/>
                    </pic:cNvPicPr>
                  </pic:nvPicPr>
                  <pic:blipFill>
                    <a:blip r:embed="rId44"/>
                    <a:stretch>
                      <a:fillRect/>
                    </a:stretch>
                  </pic:blipFill>
                  <pic:spPr bwMode="auto">
                    <a:xfrm>
                      <a:off x="0" y="0"/>
                      <a:ext cx="5302250" cy="3994150"/>
                    </a:xfrm>
                    <a:prstGeom prst="rect">
                      <a:avLst/>
                    </a:prstGeom>
                    <a:noFill/>
                    <a:ln w="9525">
                      <a:noFill/>
                      <a:headEnd/>
                      <a:tailEnd/>
                    </a:ln>
                  </pic:spPr>
                </pic:pic>
              </a:graphicData>
            </a:graphic>
          </wp:inline>
        </w:drawing>
      </w:r>
    </w:p>
    <w:p w14:paraId="7B0A8D4A" w14:textId="77777777" w:rsidR="00F271C1" w:rsidRPr="00E01C9E" w:rsidRDefault="00F271C1" w:rsidP="00F271C1">
      <w:pPr>
        <w:pStyle w:val="Heading4"/>
      </w:pPr>
      <w:bookmarkStart w:id="148" w:name="waste-sector"/>
      <w:bookmarkEnd w:id="142"/>
      <w:bookmarkEnd w:id="146"/>
      <w:r w:rsidRPr="00E01C9E">
        <w:t>Waste sector</w:t>
      </w:r>
    </w:p>
    <w:p w14:paraId="5EDB490A" w14:textId="77777777" w:rsidR="00F271C1" w:rsidRPr="00E01C9E" w:rsidRDefault="00F271C1" w:rsidP="00F271C1">
      <w:pPr>
        <w:pStyle w:val="BodyText"/>
      </w:pPr>
      <w:r w:rsidRPr="00E01C9E">
        <w:t>The Waste sector in New Zealand produces mainly CH</w:t>
      </w:r>
      <w:r w:rsidRPr="00E01C9E">
        <w:rPr>
          <w:vertAlign w:val="subscript"/>
        </w:rPr>
        <w:t>4</w:t>
      </w:r>
      <w:r w:rsidRPr="00E01C9E">
        <w:t xml:space="preserve"> (91.5 percent) followed by N</w:t>
      </w:r>
      <w:r w:rsidRPr="00E01C9E">
        <w:rPr>
          <w:vertAlign w:val="subscript"/>
        </w:rPr>
        <w:t>2</w:t>
      </w:r>
      <w:r w:rsidRPr="00E01C9E">
        <w:t>O (5.2 percent) and CO</w:t>
      </w:r>
      <w:r w:rsidRPr="00E01C9E">
        <w:rPr>
          <w:vertAlign w:val="subscript"/>
        </w:rPr>
        <w:t>2</w:t>
      </w:r>
      <w:r w:rsidRPr="00E01C9E">
        <w:t xml:space="preserve"> emissions (3.3 percent). The Waste sector produces 7.5 percent of gross CH</w:t>
      </w:r>
      <w:r w:rsidRPr="00E01C9E">
        <w:rPr>
          <w:vertAlign w:val="subscript"/>
        </w:rPr>
        <w:t>4</w:t>
      </w:r>
      <w:r w:rsidRPr="00E01C9E">
        <w:t xml:space="preserve"> emissions in New Zealand. There are also emissions of CO</w:t>
      </w:r>
      <w:r w:rsidRPr="00E01C9E">
        <w:rPr>
          <w:vertAlign w:val="subscript"/>
        </w:rPr>
        <w:t>2</w:t>
      </w:r>
      <w:r w:rsidRPr="00E01C9E">
        <w:t xml:space="preserve"> from the disposal of solid waste, but these are of biogenic origin and are not reported.</w:t>
      </w:r>
    </w:p>
    <w:p w14:paraId="1D8DF9E6" w14:textId="77777777" w:rsidR="00F271C1" w:rsidRPr="00E01C9E" w:rsidRDefault="00F271C1" w:rsidP="00F271C1">
      <w:pPr>
        <w:pStyle w:val="Heading5"/>
      </w:pPr>
      <w:bookmarkStart w:id="149" w:name="section-22"/>
      <w:r w:rsidRPr="00E01C9E">
        <w:t>2024</w:t>
      </w:r>
    </w:p>
    <w:p w14:paraId="6AB8AA4B" w14:textId="1851CE5C" w:rsidR="00F271C1" w:rsidRPr="00E01C9E" w:rsidRDefault="00F271C1" w:rsidP="00F271C1">
      <w:pPr>
        <w:pStyle w:val="BodyText"/>
      </w:pPr>
      <w:r w:rsidRPr="00E01C9E">
        <w:t>In 2024, emissions from the Waste sector were 3,009.1 kt C</w:t>
      </w:r>
      <w:r w:rsidRPr="00E01C9E">
        <w:rPr>
          <w:spacing w:val="-2"/>
        </w:rPr>
        <w:t>O</w:t>
      </w:r>
      <w:r w:rsidRPr="00E01C9E">
        <w:rPr>
          <w:spacing w:val="-2"/>
          <w:vertAlign w:val="subscript"/>
        </w:rPr>
        <w:t>2</w:t>
      </w:r>
      <w:r w:rsidRPr="00E01C9E">
        <w:rPr>
          <w:spacing w:val="-2"/>
        </w:rPr>
        <w:t>e, or 4.0 percent of New</w:t>
      </w:r>
      <w:r w:rsidR="0018152B">
        <w:rPr>
          <w:spacing w:val="-2"/>
        </w:rPr>
        <w:t xml:space="preserve"> </w:t>
      </w:r>
      <w:r w:rsidRPr="00E01C9E">
        <w:rPr>
          <w:spacing w:val="-2"/>
        </w:rPr>
        <w:t>Zealand’s</w:t>
      </w:r>
      <w:r w:rsidRPr="00E01C9E">
        <w:t xml:space="preserve"> gross GHG emissions. The largest source category is </w:t>
      </w:r>
      <w:r w:rsidRPr="00E01C9E">
        <w:rPr>
          <w:i/>
          <w:iCs/>
        </w:rPr>
        <w:t>Solid waste disposal</w:t>
      </w:r>
      <w:r w:rsidRPr="00E01C9E">
        <w:t>, as shown in chapter 7, table 7.1.1.</w:t>
      </w:r>
    </w:p>
    <w:p w14:paraId="4969F2DC" w14:textId="77777777" w:rsidR="00F271C1" w:rsidRPr="00E01C9E" w:rsidRDefault="00F271C1" w:rsidP="00F271C1">
      <w:pPr>
        <w:pStyle w:val="Heading5"/>
      </w:pPr>
      <w:bookmarkStart w:id="150" w:name="section-23"/>
      <w:bookmarkEnd w:id="149"/>
      <w:r w:rsidRPr="00E01C9E">
        <w:t>2023–2024</w:t>
      </w:r>
    </w:p>
    <w:p w14:paraId="0096C62E" w14:textId="77777777" w:rsidR="00F271C1" w:rsidRPr="00E01C9E" w:rsidRDefault="00F271C1" w:rsidP="00F271C1">
      <w:pPr>
        <w:pStyle w:val="BodyText"/>
      </w:pPr>
      <w:r w:rsidRPr="00E01C9E">
        <w:t>Between 2023 and 2024, emissions from the Waste sector decreased by 0.5 percent (14.1 kt CO</w:t>
      </w:r>
      <w:r w:rsidRPr="00E01C9E">
        <w:rPr>
          <w:vertAlign w:val="subscript"/>
        </w:rPr>
        <w:t>2</w:t>
      </w:r>
      <w:r w:rsidRPr="00E01C9E">
        <w:t>e), mainly due to lower CH</w:t>
      </w:r>
      <w:r w:rsidRPr="00E01C9E">
        <w:rPr>
          <w:vertAlign w:val="subscript"/>
        </w:rPr>
        <w:t>4</w:t>
      </w:r>
      <w:r w:rsidRPr="00E01C9E">
        <w:t xml:space="preserve"> emissions from the </w:t>
      </w:r>
      <w:r w:rsidRPr="00E01C9E">
        <w:rPr>
          <w:i/>
          <w:iCs/>
        </w:rPr>
        <w:t>Managed waste disposal sites</w:t>
      </w:r>
      <w:r w:rsidRPr="00E01C9E">
        <w:t xml:space="preserve"> category. This was driven by improved LFG capture and changes in waste composition, including reduced garden, food and paper waste. </w:t>
      </w:r>
    </w:p>
    <w:p w14:paraId="333D8789" w14:textId="77777777" w:rsidR="00F271C1" w:rsidRPr="00E01C9E" w:rsidRDefault="00F271C1" w:rsidP="00F271C1">
      <w:pPr>
        <w:pStyle w:val="Heading5"/>
      </w:pPr>
      <w:bookmarkStart w:id="151" w:name="section-24"/>
      <w:bookmarkEnd w:id="150"/>
      <w:r w:rsidRPr="00E01C9E">
        <w:t>2005–2024</w:t>
      </w:r>
    </w:p>
    <w:p w14:paraId="5A856EC8" w14:textId="77777777" w:rsidR="00F271C1" w:rsidRPr="00E01C9E" w:rsidRDefault="00F271C1" w:rsidP="00F271C1">
      <w:pPr>
        <w:pStyle w:val="BodyText"/>
      </w:pPr>
      <w:r w:rsidRPr="00E01C9E">
        <w:t>Between 2005 and 2024, emissions from the Waste sector decreased by 20.9 percent (795.8 kt CO</w:t>
      </w:r>
      <w:r w:rsidRPr="00E01C9E">
        <w:rPr>
          <w:vertAlign w:val="subscript"/>
        </w:rPr>
        <w:t>2</w:t>
      </w:r>
      <w:r w:rsidRPr="00E01C9E">
        <w:t>e). This sustained reduction in CH</w:t>
      </w:r>
      <w:r w:rsidRPr="00E01C9E">
        <w:rPr>
          <w:vertAlign w:val="subscript"/>
        </w:rPr>
        <w:t>4</w:t>
      </w:r>
      <w:r w:rsidRPr="00E01C9E">
        <w:t xml:space="preserve"> emissions reflects the implementation of improved management practices, such as LFG capture, along with a substantial decrease in the amount of organic waste sent to landfills.</w:t>
      </w:r>
    </w:p>
    <w:p w14:paraId="4BF7D618" w14:textId="77777777" w:rsidR="00F271C1" w:rsidRPr="00E01C9E" w:rsidRDefault="00F271C1" w:rsidP="00F271C1">
      <w:pPr>
        <w:pStyle w:val="Heading5"/>
      </w:pPr>
      <w:bookmarkStart w:id="152" w:name="section-25"/>
      <w:bookmarkEnd w:id="151"/>
      <w:r w:rsidRPr="00E01C9E">
        <w:t>1990–2024</w:t>
      </w:r>
    </w:p>
    <w:p w14:paraId="7DDD3A5F" w14:textId="77777777" w:rsidR="00F271C1" w:rsidRPr="00E01C9E" w:rsidRDefault="00F271C1" w:rsidP="00F271C1">
      <w:pPr>
        <w:pStyle w:val="BodyText"/>
      </w:pPr>
      <w:r w:rsidRPr="00E01C9E">
        <w:t>In 1990, emissions from the Waste sector were 3,328.5 kt CO</w:t>
      </w:r>
      <w:r w:rsidRPr="00E01C9E">
        <w:rPr>
          <w:vertAlign w:val="subscript"/>
        </w:rPr>
        <w:t>2</w:t>
      </w:r>
      <w:r w:rsidRPr="00E01C9E">
        <w:t>e. Between 1990 and 2024, GHG emissions decreased by 9.6 percent (319.4 kt CO</w:t>
      </w:r>
      <w:r w:rsidRPr="00E01C9E">
        <w:rPr>
          <w:vertAlign w:val="subscript"/>
        </w:rPr>
        <w:t>2</w:t>
      </w:r>
      <w:r w:rsidRPr="00E01C9E">
        <w:t>e) (figure 2.2.11).</w:t>
      </w:r>
    </w:p>
    <w:p w14:paraId="2B153EAE" w14:textId="77777777" w:rsidR="00F271C1" w:rsidRPr="00E01C9E" w:rsidRDefault="00F271C1" w:rsidP="00F271C1">
      <w:pPr>
        <w:pStyle w:val="BodyText"/>
      </w:pPr>
      <w:r w:rsidRPr="00E01C9E">
        <w:t>Annual emissions peaked at 3,871.6 kt CO</w:t>
      </w:r>
      <w:r w:rsidRPr="00E01C9E">
        <w:rPr>
          <w:vertAlign w:val="subscript"/>
        </w:rPr>
        <w:t>2</w:t>
      </w:r>
      <w:r w:rsidRPr="00E01C9E">
        <w:t>e in 2002 and have generally declined since then. While population growth and increased economic activity since 1990 have driven an overall rise in the volumes of solid waste and wastewater throughout the time series, ongoing improvements in managed waste disposal sites have contributed to a downward pattern in total Waste sector emissions since 2005. This reduction is primarily attributable to increased CH</w:t>
      </w:r>
      <w:r w:rsidRPr="00E01C9E">
        <w:rPr>
          <w:vertAlign w:val="subscript"/>
        </w:rPr>
        <w:t>4</w:t>
      </w:r>
      <w:r w:rsidRPr="00E01C9E">
        <w:t xml:space="preserve"> recovery through the installation of LFG capture systems, supported by the introduction of National Environmental Standards for Air Quality in 2004 and the inclusion of the Waste sector in the New Zealand Emissions Trading Scheme in 2013. These legislative tools have been complemented by local government efforts to improve kerbside collections, including for organic waste, across the country, and by a central government waste work programme that includes product stewardship, plastic phase-outs and investment in resource recovery infrastructure for organic materials.</w:t>
      </w:r>
    </w:p>
    <w:p w14:paraId="69126FE7" w14:textId="77777777" w:rsidR="00F271C1" w:rsidRPr="00E01C9E" w:rsidRDefault="00F271C1" w:rsidP="00F271C1">
      <w:pPr>
        <w:pStyle w:val="Figure"/>
        <w:spacing w:after="80"/>
      </w:pPr>
      <w:bookmarkStart w:id="153" w:name="_Toc226200660"/>
      <w:r w:rsidRPr="00E01C9E">
        <w:t xml:space="preserve">Figure 2.2.11 </w:t>
      </w:r>
      <w:r w:rsidRPr="00E01C9E">
        <w:tab/>
        <w:t>New Zealand’s Waste sector emissions, from 1990 to 2024</w:t>
      </w:r>
      <w:bookmarkEnd w:id="153"/>
    </w:p>
    <w:p w14:paraId="035BD0D5" w14:textId="77777777" w:rsidR="00F271C1" w:rsidRPr="00E01C9E" w:rsidRDefault="00F271C1" w:rsidP="00AC506C">
      <w:pPr>
        <w:pStyle w:val="BodyText"/>
        <w:spacing w:after="60"/>
        <w:jc w:val="center"/>
      </w:pPr>
      <w:r w:rsidRPr="00E01C9E">
        <w:rPr>
          <w:noProof/>
        </w:rPr>
        <w:drawing>
          <wp:inline distT="0" distB="0" distL="0" distR="0" wp14:anchorId="22A92F22" wp14:editId="48682A3D">
            <wp:extent cx="5130430" cy="3845560"/>
            <wp:effectExtent l="0" t="0" r="0" b="2540"/>
            <wp:docPr id="18406345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34557" name="Picture 1840634557"/>
                    <pic:cNvPicPr/>
                  </pic:nvPicPr>
                  <pic:blipFill>
                    <a:blip r:embed="rId45">
                      <a:extLst>
                        <a:ext uri="{28A0092B-C50C-407E-A947-70E740481C1C}">
                          <a14:useLocalDpi xmlns:a14="http://schemas.microsoft.com/office/drawing/2010/main"/>
                        </a:ext>
                      </a:extLst>
                    </a:blip>
                    <a:stretch>
                      <a:fillRect/>
                    </a:stretch>
                  </pic:blipFill>
                  <pic:spPr>
                    <a:xfrm>
                      <a:off x="0" y="0"/>
                      <a:ext cx="5145972" cy="3857209"/>
                    </a:xfrm>
                    <a:prstGeom prst="rect">
                      <a:avLst/>
                    </a:prstGeom>
                  </pic:spPr>
                </pic:pic>
              </a:graphicData>
            </a:graphic>
          </wp:inline>
        </w:drawing>
      </w:r>
    </w:p>
    <w:p w14:paraId="74671BAC" w14:textId="77777777" w:rsidR="00F271C1" w:rsidRPr="00E01C9E" w:rsidRDefault="00F271C1" w:rsidP="00D22C6C">
      <w:pPr>
        <w:pStyle w:val="Heading4"/>
      </w:pPr>
      <w:bookmarkStart w:id="154" w:name="other-sector-tokelau"/>
      <w:bookmarkEnd w:id="148"/>
      <w:bookmarkEnd w:id="152"/>
      <w:r w:rsidRPr="00E01C9E">
        <w:t>Other sector (Tokelau)</w:t>
      </w:r>
    </w:p>
    <w:p w14:paraId="329D7A57" w14:textId="77777777" w:rsidR="00F271C1" w:rsidRPr="00E01C9E" w:rsidRDefault="00F271C1" w:rsidP="00AC506C">
      <w:pPr>
        <w:pStyle w:val="BodyText"/>
        <w:spacing w:before="80" w:after="100"/>
      </w:pPr>
      <w:r w:rsidRPr="00E01C9E">
        <w:t>New Zealand ratified the United Nations Framework Convention on Climate Change (the Convention) on 16 September 1993 and the Paris Agreement on 4 October 2016. The extension to Tokelau (as of 13 November 2017) of New Zealand’s ratification of the Convention and of the Paris Agreement requires the reporting of Tokelau’s emissions in the Inventory.</w:t>
      </w:r>
    </w:p>
    <w:p w14:paraId="5E6B21F6" w14:textId="77777777" w:rsidR="00F271C1" w:rsidRPr="00E01C9E" w:rsidRDefault="00F271C1" w:rsidP="00AC506C">
      <w:pPr>
        <w:pStyle w:val="BodyText"/>
        <w:keepLines/>
        <w:spacing w:after="100"/>
      </w:pPr>
      <w:r w:rsidRPr="00E01C9E">
        <w:t>Since the 2019 submission, the Inventory has included emissions from Tokelau, an overseas dependent territory of New Zealand. Tokelau is the only such dependent territory of New Zealand. Net and gross emissions are reported by sector from New Zealand’s mainland territory (mainland New Zealand), with Tokelau’s emissions reported separately. Emissions from Tokelau are small, and the methodology used varies greatly between Tokelau’s GHG inventory and the sectoral inventories for mainland New Zealand. This means emissions from Tokelau are reported in the Other sector (CRT sector 6). Tokelau’s contribution to the Inventory in relation to New Zealand’s mainland emissions is provided in table 2.2.2.</w:t>
      </w:r>
    </w:p>
    <w:p w14:paraId="4F02C9B6" w14:textId="77777777" w:rsidR="00F271C1" w:rsidRPr="00E01C9E" w:rsidRDefault="00F271C1" w:rsidP="00AC506C">
      <w:pPr>
        <w:pStyle w:val="BodyText"/>
        <w:spacing w:after="100"/>
      </w:pPr>
      <w:r w:rsidRPr="00E01C9E">
        <w:t>The methods used for compiling Tokelau’s GHG inventory are detailed in chapter 8. Annex 7 (volume 2) provides the common reporting tables of the time series for emissions and activity data, and information on methods and emission factors for each sector and category contributing to the gross emissions from Tokelau.</w:t>
      </w:r>
    </w:p>
    <w:p w14:paraId="390121CF" w14:textId="77777777" w:rsidR="00F271C1" w:rsidRPr="00E01C9E" w:rsidRDefault="00F271C1" w:rsidP="00AC506C">
      <w:pPr>
        <w:pStyle w:val="BodyText"/>
        <w:spacing w:after="100"/>
      </w:pPr>
      <w:r w:rsidRPr="00E01C9E">
        <w:t>Due to the small land size area, small population and absence of industry, Tokelau has a very low impact on the environment and emits very small amounts of GHGs. In relative terms, emissions have increased overall since 1990, driven by higher per capita consumption despite a declining population. Tokelau produces mainly CO</w:t>
      </w:r>
      <w:r w:rsidRPr="00E01C9E">
        <w:rPr>
          <w:vertAlign w:val="subscript"/>
        </w:rPr>
        <w:t>2</w:t>
      </w:r>
      <w:r w:rsidRPr="00E01C9E">
        <w:t xml:space="preserve"> emissions (54.5 percent) and CH</w:t>
      </w:r>
      <w:r w:rsidRPr="00E01C9E">
        <w:rPr>
          <w:vertAlign w:val="subscript"/>
        </w:rPr>
        <w:t>4</w:t>
      </w:r>
      <w:r w:rsidRPr="00E01C9E">
        <w:t xml:space="preserve"> emissions (39.3 percent) followed by HFCs (5.0 percent) and N</w:t>
      </w:r>
      <w:r w:rsidRPr="00E01C9E">
        <w:rPr>
          <w:vertAlign w:val="subscript"/>
        </w:rPr>
        <w:t>2</w:t>
      </w:r>
      <w:r w:rsidRPr="00E01C9E">
        <w:t>O emissions (1.2 percent). Emissions from HFCs largely come from the use of air conditioning.</w:t>
      </w:r>
    </w:p>
    <w:p w14:paraId="7B7AE21B" w14:textId="77777777" w:rsidR="00F271C1" w:rsidRPr="00E01C9E" w:rsidRDefault="00F271C1" w:rsidP="00F271C1">
      <w:pPr>
        <w:pStyle w:val="Table"/>
      </w:pPr>
      <w:bookmarkStart w:id="155" w:name="_Toc226668950"/>
      <w:r w:rsidRPr="00E01C9E">
        <w:t xml:space="preserve">Table 2.2.2 </w:t>
      </w:r>
      <w:r w:rsidRPr="00E01C9E">
        <w:tab/>
        <w:t xml:space="preserve">Emissions from Tokelau, </w:t>
      </w:r>
      <w:r w:rsidRPr="00E01C9E">
        <w:rPr>
          <w:bCs/>
        </w:rPr>
        <w:t>1990</w:t>
      </w:r>
      <w:r w:rsidRPr="00E01C9E">
        <w:t xml:space="preserve">, </w:t>
      </w:r>
      <w:r w:rsidRPr="00E01C9E">
        <w:rPr>
          <w:bCs/>
        </w:rPr>
        <w:t>2005</w:t>
      </w:r>
      <w:r w:rsidRPr="00E01C9E">
        <w:t xml:space="preserve"> and </w:t>
      </w:r>
      <w:r w:rsidRPr="00E01C9E">
        <w:rPr>
          <w:bCs/>
        </w:rPr>
        <w:t>2024</w:t>
      </w:r>
      <w:bookmarkEnd w:id="155"/>
    </w:p>
    <w:tbl>
      <w:tblPr>
        <w:tblW w:w="8494"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1081"/>
        <w:gridCol w:w="540"/>
        <w:gridCol w:w="524"/>
        <w:gridCol w:w="524"/>
        <w:gridCol w:w="901"/>
        <w:gridCol w:w="780"/>
        <w:gridCol w:w="1021"/>
        <w:gridCol w:w="841"/>
        <w:gridCol w:w="1081"/>
        <w:gridCol w:w="1201"/>
      </w:tblGrid>
      <w:tr w:rsidR="00F271C1" w:rsidRPr="00E01C9E" w14:paraId="505C5D57" w14:textId="77777777" w:rsidTr="00F16E23">
        <w:trPr>
          <w:tblHeader/>
        </w:trPr>
        <w:tc>
          <w:tcPr>
            <w:tcW w:w="1021" w:type="dxa"/>
            <w:shd w:val="clear" w:color="auto" w:fill="1B556B"/>
            <w:tcMar>
              <w:top w:w="0" w:type="dxa"/>
              <w:left w:w="85" w:type="dxa"/>
              <w:bottom w:w="0" w:type="dxa"/>
              <w:right w:w="85" w:type="dxa"/>
            </w:tcMar>
            <w:vAlign w:val="bottom"/>
          </w:tcPr>
          <w:p w14:paraId="344112D5" w14:textId="77777777" w:rsidR="00F271C1" w:rsidRPr="00E01C9E" w:rsidRDefault="00F271C1" w:rsidP="00F16E23">
            <w:pPr>
              <w:pStyle w:val="TableTextBold"/>
              <w:spacing w:before="40" w:after="40"/>
              <w:rPr>
                <w:noProof w:val="0"/>
                <w:color w:val="FFFFFF" w:themeColor="background1"/>
                <w:szCs w:val="16"/>
              </w:rPr>
            </w:pPr>
            <w:r w:rsidRPr="00E01C9E">
              <w:rPr>
                <w:rFonts w:eastAsia="Calibri"/>
                <w:noProof w:val="0"/>
                <w:color w:val="FFFFFF" w:themeColor="background1"/>
                <w:szCs w:val="16"/>
              </w:rPr>
              <w:t>Sector</w:t>
            </w:r>
          </w:p>
        </w:tc>
        <w:tc>
          <w:tcPr>
            <w:tcW w:w="510" w:type="dxa"/>
            <w:shd w:val="clear" w:color="auto" w:fill="1B556B"/>
            <w:tcMar>
              <w:top w:w="0" w:type="dxa"/>
              <w:left w:w="85" w:type="dxa"/>
              <w:bottom w:w="0" w:type="dxa"/>
              <w:right w:w="85" w:type="dxa"/>
            </w:tcMar>
            <w:vAlign w:val="bottom"/>
          </w:tcPr>
          <w:p w14:paraId="3F7C33F2"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1990</w:t>
            </w:r>
          </w:p>
        </w:tc>
        <w:tc>
          <w:tcPr>
            <w:tcW w:w="495" w:type="dxa"/>
            <w:shd w:val="clear" w:color="auto" w:fill="1B556B"/>
            <w:tcMar>
              <w:top w:w="0" w:type="dxa"/>
              <w:left w:w="85" w:type="dxa"/>
              <w:bottom w:w="0" w:type="dxa"/>
              <w:right w:w="85" w:type="dxa"/>
            </w:tcMar>
            <w:vAlign w:val="bottom"/>
          </w:tcPr>
          <w:p w14:paraId="1AE19818"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2005</w:t>
            </w:r>
          </w:p>
        </w:tc>
        <w:tc>
          <w:tcPr>
            <w:tcW w:w="495" w:type="dxa"/>
            <w:shd w:val="clear" w:color="auto" w:fill="1B556B"/>
            <w:tcMar>
              <w:top w:w="0" w:type="dxa"/>
              <w:left w:w="85" w:type="dxa"/>
              <w:bottom w:w="0" w:type="dxa"/>
              <w:right w:w="85" w:type="dxa"/>
            </w:tcMar>
            <w:vAlign w:val="bottom"/>
          </w:tcPr>
          <w:p w14:paraId="5B9487A4"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2024</w:t>
            </w:r>
          </w:p>
        </w:tc>
        <w:tc>
          <w:tcPr>
            <w:tcW w:w="851" w:type="dxa"/>
            <w:shd w:val="clear" w:color="auto" w:fill="1B556B"/>
            <w:tcMar>
              <w:top w:w="0" w:type="dxa"/>
              <w:left w:w="85" w:type="dxa"/>
              <w:bottom w:w="0" w:type="dxa"/>
              <w:right w:w="85" w:type="dxa"/>
            </w:tcMar>
            <w:vAlign w:val="bottom"/>
          </w:tcPr>
          <w:p w14:paraId="6C247DE2"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1990 (kt CO</w:t>
            </w:r>
            <w:r w:rsidRPr="00E01C9E">
              <w:rPr>
                <w:rFonts w:eastAsia="Calibri"/>
                <w:noProof w:val="0"/>
                <w:color w:val="FFFFFF" w:themeColor="background1"/>
                <w:szCs w:val="16"/>
                <w:vertAlign w:val="subscript"/>
              </w:rPr>
              <w:t>2</w:t>
            </w:r>
            <w:r w:rsidRPr="00E01C9E">
              <w:rPr>
                <w:rFonts w:eastAsia="Calibri"/>
                <w:noProof w:val="0"/>
                <w:color w:val="FFFFFF" w:themeColor="background1"/>
                <w:szCs w:val="16"/>
              </w:rPr>
              <w:t>e)</w:t>
            </w:r>
          </w:p>
        </w:tc>
        <w:tc>
          <w:tcPr>
            <w:tcW w:w="737" w:type="dxa"/>
            <w:shd w:val="clear" w:color="auto" w:fill="1B556B"/>
            <w:tcMar>
              <w:top w:w="0" w:type="dxa"/>
              <w:left w:w="85" w:type="dxa"/>
              <w:bottom w:w="0" w:type="dxa"/>
              <w:right w:w="85" w:type="dxa"/>
            </w:tcMar>
            <w:vAlign w:val="bottom"/>
          </w:tcPr>
          <w:p w14:paraId="4EFE491A"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1990 (%)</w:t>
            </w:r>
          </w:p>
        </w:tc>
        <w:tc>
          <w:tcPr>
            <w:tcW w:w="964" w:type="dxa"/>
            <w:shd w:val="clear" w:color="auto" w:fill="1B556B"/>
            <w:tcMar>
              <w:top w:w="0" w:type="dxa"/>
              <w:left w:w="85" w:type="dxa"/>
              <w:bottom w:w="0" w:type="dxa"/>
              <w:right w:w="85" w:type="dxa"/>
            </w:tcMar>
            <w:vAlign w:val="bottom"/>
          </w:tcPr>
          <w:p w14:paraId="0C4749FB"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2005 (kt CO</w:t>
            </w:r>
            <w:r w:rsidRPr="00E01C9E">
              <w:rPr>
                <w:rFonts w:eastAsia="Calibri"/>
                <w:noProof w:val="0"/>
                <w:color w:val="FFFFFF" w:themeColor="background1"/>
                <w:szCs w:val="16"/>
                <w:vertAlign w:val="subscript"/>
              </w:rPr>
              <w:t>2</w:t>
            </w:r>
            <w:r w:rsidRPr="00E01C9E">
              <w:rPr>
                <w:rFonts w:eastAsia="Calibri"/>
                <w:noProof w:val="0"/>
                <w:color w:val="FFFFFF" w:themeColor="background1"/>
                <w:szCs w:val="16"/>
              </w:rPr>
              <w:t>e)</w:t>
            </w:r>
          </w:p>
        </w:tc>
        <w:tc>
          <w:tcPr>
            <w:tcW w:w="794" w:type="dxa"/>
            <w:shd w:val="clear" w:color="auto" w:fill="1B556B"/>
            <w:tcMar>
              <w:top w:w="0" w:type="dxa"/>
              <w:left w:w="85" w:type="dxa"/>
              <w:bottom w:w="0" w:type="dxa"/>
              <w:right w:w="85" w:type="dxa"/>
            </w:tcMar>
            <w:vAlign w:val="bottom"/>
          </w:tcPr>
          <w:p w14:paraId="25EDEC5D"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2005 (%)</w:t>
            </w:r>
          </w:p>
        </w:tc>
        <w:tc>
          <w:tcPr>
            <w:tcW w:w="1021" w:type="dxa"/>
            <w:shd w:val="clear" w:color="auto" w:fill="1B556B"/>
            <w:tcMar>
              <w:top w:w="0" w:type="dxa"/>
              <w:left w:w="85" w:type="dxa"/>
              <w:bottom w:w="0" w:type="dxa"/>
              <w:right w:w="85" w:type="dxa"/>
            </w:tcMar>
            <w:vAlign w:val="bottom"/>
          </w:tcPr>
          <w:p w14:paraId="33917EE2"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Contribution to gross for Tokelau (%)</w:t>
            </w:r>
          </w:p>
        </w:tc>
        <w:tc>
          <w:tcPr>
            <w:tcW w:w="1134" w:type="dxa"/>
            <w:shd w:val="clear" w:color="auto" w:fill="1B556B"/>
            <w:tcMar>
              <w:top w:w="0" w:type="dxa"/>
              <w:left w:w="85" w:type="dxa"/>
              <w:bottom w:w="0" w:type="dxa"/>
              <w:right w:w="85" w:type="dxa"/>
            </w:tcMar>
            <w:vAlign w:val="bottom"/>
          </w:tcPr>
          <w:p w14:paraId="6FBD686F"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Contribution to gross NZ (incl Tokelau) (%)</w:t>
            </w:r>
          </w:p>
        </w:tc>
      </w:tr>
      <w:tr w:rsidR="00F271C1" w:rsidRPr="00E01C9E" w14:paraId="609F9E6C" w14:textId="77777777" w:rsidTr="00F16E23">
        <w:tc>
          <w:tcPr>
            <w:tcW w:w="1021" w:type="dxa"/>
            <w:shd w:val="clear" w:color="auto" w:fill="FFFFFF" w:themeFill="background1"/>
            <w:tcMar>
              <w:top w:w="0" w:type="dxa"/>
              <w:left w:w="85" w:type="dxa"/>
              <w:bottom w:w="0" w:type="dxa"/>
              <w:right w:w="85" w:type="dxa"/>
            </w:tcMar>
            <w:vAlign w:val="center"/>
          </w:tcPr>
          <w:p w14:paraId="0275A58E" w14:textId="77777777" w:rsidR="00F271C1" w:rsidRPr="00E01C9E" w:rsidRDefault="00F271C1" w:rsidP="00F16E23">
            <w:pPr>
              <w:pStyle w:val="TableText"/>
              <w:spacing w:before="40" w:after="40"/>
              <w:rPr>
                <w:szCs w:val="16"/>
              </w:rPr>
            </w:pPr>
            <w:r w:rsidRPr="00E01C9E">
              <w:rPr>
                <w:rFonts w:eastAsia="Calibri"/>
                <w:szCs w:val="16"/>
              </w:rPr>
              <w:t>Agriculture for Tokelau</w:t>
            </w:r>
          </w:p>
        </w:tc>
        <w:tc>
          <w:tcPr>
            <w:tcW w:w="510" w:type="dxa"/>
            <w:shd w:val="clear" w:color="auto" w:fill="FFFFFF" w:themeFill="background1"/>
            <w:tcMar>
              <w:top w:w="0" w:type="dxa"/>
              <w:left w:w="85" w:type="dxa"/>
              <w:bottom w:w="0" w:type="dxa"/>
              <w:right w:w="85" w:type="dxa"/>
            </w:tcMar>
            <w:vAlign w:val="bottom"/>
          </w:tcPr>
          <w:p w14:paraId="765CEEFB" w14:textId="77777777" w:rsidR="00F271C1" w:rsidRPr="00E01C9E" w:rsidRDefault="00F271C1" w:rsidP="00F16E23">
            <w:pPr>
              <w:pStyle w:val="TableText"/>
              <w:spacing w:before="40" w:after="40"/>
              <w:jc w:val="right"/>
              <w:rPr>
                <w:szCs w:val="16"/>
              </w:rPr>
            </w:pPr>
            <w:r w:rsidRPr="00E01C9E">
              <w:rPr>
                <w:rFonts w:eastAsia="Calibri"/>
                <w:szCs w:val="16"/>
              </w:rPr>
              <w:t>1.29</w:t>
            </w:r>
          </w:p>
        </w:tc>
        <w:tc>
          <w:tcPr>
            <w:tcW w:w="495" w:type="dxa"/>
            <w:shd w:val="clear" w:color="auto" w:fill="FFFFFF" w:themeFill="background1"/>
            <w:tcMar>
              <w:top w:w="0" w:type="dxa"/>
              <w:left w:w="85" w:type="dxa"/>
              <w:bottom w:w="0" w:type="dxa"/>
              <w:right w:w="85" w:type="dxa"/>
            </w:tcMar>
            <w:vAlign w:val="bottom"/>
          </w:tcPr>
          <w:p w14:paraId="66490E71" w14:textId="77777777" w:rsidR="00F271C1" w:rsidRPr="00E01C9E" w:rsidRDefault="00F271C1" w:rsidP="00F16E23">
            <w:pPr>
              <w:pStyle w:val="TableText"/>
              <w:spacing w:before="40" w:after="40"/>
              <w:jc w:val="right"/>
              <w:rPr>
                <w:szCs w:val="16"/>
              </w:rPr>
            </w:pPr>
            <w:r w:rsidRPr="00E01C9E">
              <w:rPr>
                <w:rFonts w:eastAsia="Calibri"/>
                <w:szCs w:val="16"/>
              </w:rPr>
              <w:t>1.44</w:t>
            </w:r>
          </w:p>
        </w:tc>
        <w:tc>
          <w:tcPr>
            <w:tcW w:w="495" w:type="dxa"/>
            <w:shd w:val="clear" w:color="auto" w:fill="FFFFFF" w:themeFill="background1"/>
            <w:tcMar>
              <w:top w:w="0" w:type="dxa"/>
              <w:left w:w="85" w:type="dxa"/>
              <w:bottom w:w="0" w:type="dxa"/>
              <w:right w:w="85" w:type="dxa"/>
            </w:tcMar>
            <w:vAlign w:val="bottom"/>
          </w:tcPr>
          <w:p w14:paraId="1BBBEE2D" w14:textId="77777777" w:rsidR="00F271C1" w:rsidRPr="00E01C9E" w:rsidRDefault="00F271C1" w:rsidP="00F16E23">
            <w:pPr>
              <w:pStyle w:val="TableText"/>
              <w:spacing w:before="40" w:after="40"/>
              <w:jc w:val="right"/>
              <w:rPr>
                <w:szCs w:val="16"/>
              </w:rPr>
            </w:pPr>
            <w:r w:rsidRPr="00E01C9E">
              <w:rPr>
                <w:rFonts w:eastAsia="Calibri"/>
                <w:szCs w:val="16"/>
              </w:rPr>
              <w:t>0.92</w:t>
            </w:r>
          </w:p>
        </w:tc>
        <w:tc>
          <w:tcPr>
            <w:tcW w:w="851" w:type="dxa"/>
            <w:shd w:val="clear" w:color="auto" w:fill="FFFFFF" w:themeFill="background1"/>
            <w:tcMar>
              <w:top w:w="0" w:type="dxa"/>
              <w:left w:w="85" w:type="dxa"/>
              <w:bottom w:w="0" w:type="dxa"/>
              <w:right w:w="85" w:type="dxa"/>
            </w:tcMar>
            <w:vAlign w:val="bottom"/>
          </w:tcPr>
          <w:p w14:paraId="13AD081F" w14:textId="77777777" w:rsidR="00F271C1" w:rsidRPr="00E01C9E" w:rsidRDefault="00F271C1" w:rsidP="00F16E23">
            <w:pPr>
              <w:pStyle w:val="TableText"/>
              <w:spacing w:before="40" w:after="40"/>
              <w:jc w:val="right"/>
              <w:rPr>
                <w:szCs w:val="16"/>
              </w:rPr>
            </w:pPr>
            <w:r w:rsidRPr="00E01C9E">
              <w:rPr>
                <w:rFonts w:eastAsia="Calibri"/>
                <w:szCs w:val="16"/>
              </w:rPr>
              <w:t>-0.36</w:t>
            </w:r>
          </w:p>
        </w:tc>
        <w:tc>
          <w:tcPr>
            <w:tcW w:w="737" w:type="dxa"/>
            <w:shd w:val="clear" w:color="auto" w:fill="FFFFFF" w:themeFill="background1"/>
            <w:tcMar>
              <w:top w:w="0" w:type="dxa"/>
              <w:left w:w="85" w:type="dxa"/>
              <w:bottom w:w="0" w:type="dxa"/>
              <w:right w:w="85" w:type="dxa"/>
            </w:tcMar>
            <w:vAlign w:val="bottom"/>
          </w:tcPr>
          <w:p w14:paraId="701D4395" w14:textId="77777777" w:rsidR="00F271C1" w:rsidRPr="00E01C9E" w:rsidRDefault="00F271C1" w:rsidP="00F16E23">
            <w:pPr>
              <w:pStyle w:val="TableText"/>
              <w:spacing w:before="40" w:after="40"/>
              <w:jc w:val="right"/>
              <w:rPr>
                <w:szCs w:val="16"/>
              </w:rPr>
            </w:pPr>
            <w:r w:rsidRPr="00E01C9E">
              <w:rPr>
                <w:rFonts w:eastAsia="Calibri"/>
                <w:szCs w:val="16"/>
              </w:rPr>
              <w:t>-28.29</w:t>
            </w:r>
          </w:p>
        </w:tc>
        <w:tc>
          <w:tcPr>
            <w:tcW w:w="964" w:type="dxa"/>
            <w:shd w:val="clear" w:color="auto" w:fill="FFFFFF" w:themeFill="background1"/>
            <w:tcMar>
              <w:top w:w="0" w:type="dxa"/>
              <w:left w:w="85" w:type="dxa"/>
              <w:bottom w:w="0" w:type="dxa"/>
              <w:right w:w="85" w:type="dxa"/>
            </w:tcMar>
            <w:vAlign w:val="bottom"/>
          </w:tcPr>
          <w:p w14:paraId="2DB69F6B" w14:textId="77777777" w:rsidR="00F271C1" w:rsidRPr="00E01C9E" w:rsidRDefault="00F271C1" w:rsidP="00F16E23">
            <w:pPr>
              <w:pStyle w:val="TableText"/>
              <w:spacing w:before="40" w:after="40"/>
              <w:jc w:val="right"/>
              <w:rPr>
                <w:szCs w:val="16"/>
              </w:rPr>
            </w:pPr>
            <w:r w:rsidRPr="00E01C9E">
              <w:rPr>
                <w:rFonts w:eastAsia="Calibri"/>
                <w:szCs w:val="16"/>
              </w:rPr>
              <w:t>-0.52</w:t>
            </w:r>
          </w:p>
        </w:tc>
        <w:tc>
          <w:tcPr>
            <w:tcW w:w="794" w:type="dxa"/>
            <w:shd w:val="clear" w:color="auto" w:fill="FFFFFF" w:themeFill="background1"/>
            <w:tcMar>
              <w:top w:w="0" w:type="dxa"/>
              <w:left w:w="85" w:type="dxa"/>
              <w:bottom w:w="0" w:type="dxa"/>
              <w:right w:w="85" w:type="dxa"/>
            </w:tcMar>
            <w:vAlign w:val="bottom"/>
          </w:tcPr>
          <w:p w14:paraId="520EA21D" w14:textId="77777777" w:rsidR="00F271C1" w:rsidRPr="00E01C9E" w:rsidRDefault="00F271C1" w:rsidP="00F16E23">
            <w:pPr>
              <w:pStyle w:val="TableText"/>
              <w:spacing w:before="40" w:after="40"/>
              <w:jc w:val="right"/>
              <w:rPr>
                <w:szCs w:val="16"/>
              </w:rPr>
            </w:pPr>
            <w:r w:rsidRPr="00E01C9E">
              <w:rPr>
                <w:rFonts w:eastAsia="Calibri"/>
                <w:szCs w:val="16"/>
              </w:rPr>
              <w:t>-36.01</w:t>
            </w:r>
          </w:p>
        </w:tc>
        <w:tc>
          <w:tcPr>
            <w:tcW w:w="1021" w:type="dxa"/>
            <w:shd w:val="clear" w:color="auto" w:fill="FFFFFF" w:themeFill="background1"/>
            <w:tcMar>
              <w:top w:w="0" w:type="dxa"/>
              <w:left w:w="85" w:type="dxa"/>
              <w:bottom w:w="0" w:type="dxa"/>
              <w:right w:w="85" w:type="dxa"/>
            </w:tcMar>
            <w:vAlign w:val="bottom"/>
          </w:tcPr>
          <w:p w14:paraId="166E0F00" w14:textId="77777777" w:rsidR="00F271C1" w:rsidRPr="00E01C9E" w:rsidRDefault="00F271C1" w:rsidP="00F16E23">
            <w:pPr>
              <w:pStyle w:val="TableText"/>
              <w:spacing w:before="40" w:after="40"/>
              <w:jc w:val="right"/>
              <w:rPr>
                <w:szCs w:val="16"/>
              </w:rPr>
            </w:pPr>
            <w:r w:rsidRPr="00E01C9E">
              <w:rPr>
                <w:rFonts w:eastAsia="Calibri"/>
                <w:szCs w:val="16"/>
              </w:rPr>
              <w:t>21.93</w:t>
            </w:r>
          </w:p>
        </w:tc>
        <w:tc>
          <w:tcPr>
            <w:tcW w:w="1134" w:type="dxa"/>
            <w:shd w:val="clear" w:color="auto" w:fill="FFFFFF" w:themeFill="background1"/>
            <w:tcMar>
              <w:top w:w="0" w:type="dxa"/>
              <w:left w:w="85" w:type="dxa"/>
              <w:bottom w:w="0" w:type="dxa"/>
              <w:right w:w="85" w:type="dxa"/>
            </w:tcMar>
            <w:vAlign w:val="bottom"/>
          </w:tcPr>
          <w:p w14:paraId="17422C06" w14:textId="77777777" w:rsidR="00F271C1" w:rsidRPr="00E01C9E" w:rsidRDefault="00F271C1" w:rsidP="00F16E23">
            <w:pPr>
              <w:pStyle w:val="TableText"/>
              <w:spacing w:before="40" w:after="40"/>
              <w:jc w:val="right"/>
              <w:rPr>
                <w:szCs w:val="16"/>
              </w:rPr>
            </w:pPr>
            <w:r w:rsidRPr="00E01C9E">
              <w:rPr>
                <w:rFonts w:eastAsia="Calibri"/>
                <w:szCs w:val="16"/>
              </w:rPr>
              <w:t>0.001</w:t>
            </w:r>
          </w:p>
        </w:tc>
      </w:tr>
      <w:tr w:rsidR="00F271C1" w:rsidRPr="00E01C9E" w14:paraId="52A1857D" w14:textId="77777777" w:rsidTr="00F16E23">
        <w:tc>
          <w:tcPr>
            <w:tcW w:w="1021" w:type="dxa"/>
            <w:shd w:val="clear" w:color="auto" w:fill="FFFFFF" w:themeFill="background1"/>
            <w:tcMar>
              <w:top w:w="0" w:type="dxa"/>
              <w:left w:w="85" w:type="dxa"/>
              <w:bottom w:w="0" w:type="dxa"/>
              <w:right w:w="85" w:type="dxa"/>
            </w:tcMar>
            <w:vAlign w:val="center"/>
          </w:tcPr>
          <w:p w14:paraId="668D7092" w14:textId="77777777" w:rsidR="00F271C1" w:rsidRPr="00E01C9E" w:rsidRDefault="00F271C1" w:rsidP="00F16E23">
            <w:pPr>
              <w:pStyle w:val="TableText"/>
              <w:spacing w:before="40" w:after="40"/>
              <w:rPr>
                <w:szCs w:val="16"/>
              </w:rPr>
            </w:pPr>
            <w:r w:rsidRPr="00E01C9E">
              <w:rPr>
                <w:rFonts w:eastAsia="Calibri"/>
                <w:szCs w:val="16"/>
              </w:rPr>
              <w:t>Energy for Tokelau</w:t>
            </w:r>
          </w:p>
        </w:tc>
        <w:tc>
          <w:tcPr>
            <w:tcW w:w="510" w:type="dxa"/>
            <w:shd w:val="clear" w:color="auto" w:fill="FFFFFF" w:themeFill="background1"/>
            <w:tcMar>
              <w:top w:w="0" w:type="dxa"/>
              <w:left w:w="85" w:type="dxa"/>
              <w:bottom w:w="0" w:type="dxa"/>
              <w:right w:w="85" w:type="dxa"/>
            </w:tcMar>
            <w:vAlign w:val="bottom"/>
          </w:tcPr>
          <w:p w14:paraId="5B247AFD" w14:textId="77777777" w:rsidR="00F271C1" w:rsidRPr="00E01C9E" w:rsidRDefault="00F271C1" w:rsidP="00F16E23">
            <w:pPr>
              <w:pStyle w:val="TableText"/>
              <w:spacing w:before="40" w:after="40"/>
              <w:jc w:val="right"/>
              <w:rPr>
                <w:szCs w:val="16"/>
              </w:rPr>
            </w:pPr>
            <w:r w:rsidRPr="00E01C9E">
              <w:rPr>
                <w:rFonts w:eastAsia="Calibri"/>
                <w:szCs w:val="16"/>
              </w:rPr>
              <w:t>1.26</w:t>
            </w:r>
          </w:p>
        </w:tc>
        <w:tc>
          <w:tcPr>
            <w:tcW w:w="495" w:type="dxa"/>
            <w:shd w:val="clear" w:color="auto" w:fill="FFFFFF" w:themeFill="background1"/>
            <w:tcMar>
              <w:top w:w="0" w:type="dxa"/>
              <w:left w:w="85" w:type="dxa"/>
              <w:bottom w:w="0" w:type="dxa"/>
              <w:right w:w="85" w:type="dxa"/>
            </w:tcMar>
            <w:vAlign w:val="bottom"/>
          </w:tcPr>
          <w:p w14:paraId="218F0F9B" w14:textId="77777777" w:rsidR="00F271C1" w:rsidRPr="00E01C9E" w:rsidRDefault="00F271C1" w:rsidP="00F16E23">
            <w:pPr>
              <w:pStyle w:val="TableText"/>
              <w:spacing w:before="40" w:after="40"/>
              <w:jc w:val="right"/>
              <w:rPr>
                <w:szCs w:val="16"/>
              </w:rPr>
            </w:pPr>
            <w:r w:rsidRPr="00E01C9E">
              <w:rPr>
                <w:rFonts w:eastAsia="Calibri"/>
                <w:szCs w:val="16"/>
              </w:rPr>
              <w:t>2.43</w:t>
            </w:r>
          </w:p>
        </w:tc>
        <w:tc>
          <w:tcPr>
            <w:tcW w:w="495" w:type="dxa"/>
            <w:shd w:val="clear" w:color="auto" w:fill="FFFFFF" w:themeFill="background1"/>
            <w:tcMar>
              <w:top w:w="0" w:type="dxa"/>
              <w:left w:w="85" w:type="dxa"/>
              <w:bottom w:w="0" w:type="dxa"/>
              <w:right w:w="85" w:type="dxa"/>
            </w:tcMar>
            <w:vAlign w:val="bottom"/>
          </w:tcPr>
          <w:p w14:paraId="08568308" w14:textId="77777777" w:rsidR="00F271C1" w:rsidRPr="00E01C9E" w:rsidRDefault="00F271C1" w:rsidP="00F16E23">
            <w:pPr>
              <w:pStyle w:val="TableText"/>
              <w:spacing w:before="40" w:after="40"/>
              <w:jc w:val="right"/>
              <w:rPr>
                <w:szCs w:val="16"/>
              </w:rPr>
            </w:pPr>
            <w:r w:rsidRPr="00E01C9E">
              <w:rPr>
                <w:rFonts w:eastAsia="Calibri"/>
                <w:szCs w:val="16"/>
              </w:rPr>
              <w:t>2.27</w:t>
            </w:r>
          </w:p>
        </w:tc>
        <w:tc>
          <w:tcPr>
            <w:tcW w:w="851" w:type="dxa"/>
            <w:shd w:val="clear" w:color="auto" w:fill="FFFFFF" w:themeFill="background1"/>
            <w:tcMar>
              <w:top w:w="0" w:type="dxa"/>
              <w:left w:w="85" w:type="dxa"/>
              <w:bottom w:w="0" w:type="dxa"/>
              <w:right w:w="85" w:type="dxa"/>
            </w:tcMar>
            <w:vAlign w:val="bottom"/>
          </w:tcPr>
          <w:p w14:paraId="79ED7596" w14:textId="77777777" w:rsidR="00F271C1" w:rsidRPr="00E01C9E" w:rsidRDefault="00F271C1" w:rsidP="00F16E23">
            <w:pPr>
              <w:pStyle w:val="TableText"/>
              <w:spacing w:before="40" w:after="40"/>
              <w:jc w:val="right"/>
              <w:rPr>
                <w:szCs w:val="16"/>
              </w:rPr>
            </w:pPr>
            <w:r w:rsidRPr="00E01C9E">
              <w:rPr>
                <w:rFonts w:eastAsia="Calibri"/>
                <w:szCs w:val="16"/>
              </w:rPr>
              <w:t>1.01</w:t>
            </w:r>
          </w:p>
        </w:tc>
        <w:tc>
          <w:tcPr>
            <w:tcW w:w="737" w:type="dxa"/>
            <w:shd w:val="clear" w:color="auto" w:fill="FFFFFF" w:themeFill="background1"/>
            <w:tcMar>
              <w:top w:w="0" w:type="dxa"/>
              <w:left w:w="85" w:type="dxa"/>
              <w:bottom w:w="0" w:type="dxa"/>
              <w:right w:w="85" w:type="dxa"/>
            </w:tcMar>
            <w:vAlign w:val="bottom"/>
          </w:tcPr>
          <w:p w14:paraId="25C4F7BA" w14:textId="77777777" w:rsidR="00F271C1" w:rsidRPr="00E01C9E" w:rsidRDefault="00F271C1" w:rsidP="00F16E23">
            <w:pPr>
              <w:pStyle w:val="TableText"/>
              <w:spacing w:before="40" w:after="40"/>
              <w:jc w:val="right"/>
              <w:rPr>
                <w:szCs w:val="16"/>
              </w:rPr>
            </w:pPr>
            <w:r w:rsidRPr="00E01C9E">
              <w:rPr>
                <w:rFonts w:eastAsia="Calibri"/>
                <w:szCs w:val="16"/>
              </w:rPr>
              <w:t>79.75</w:t>
            </w:r>
          </w:p>
        </w:tc>
        <w:tc>
          <w:tcPr>
            <w:tcW w:w="964" w:type="dxa"/>
            <w:shd w:val="clear" w:color="auto" w:fill="FFFFFF" w:themeFill="background1"/>
            <w:tcMar>
              <w:top w:w="0" w:type="dxa"/>
              <w:left w:w="85" w:type="dxa"/>
              <w:bottom w:w="0" w:type="dxa"/>
              <w:right w:w="85" w:type="dxa"/>
            </w:tcMar>
            <w:vAlign w:val="bottom"/>
          </w:tcPr>
          <w:p w14:paraId="10605458" w14:textId="77777777" w:rsidR="00F271C1" w:rsidRPr="00E01C9E" w:rsidRDefault="00F271C1" w:rsidP="00F16E23">
            <w:pPr>
              <w:pStyle w:val="TableText"/>
              <w:spacing w:before="40" w:after="40"/>
              <w:jc w:val="right"/>
              <w:rPr>
                <w:szCs w:val="16"/>
              </w:rPr>
            </w:pPr>
            <w:r w:rsidRPr="00E01C9E">
              <w:rPr>
                <w:rFonts w:eastAsia="Calibri"/>
                <w:szCs w:val="16"/>
              </w:rPr>
              <w:t>-0.16</w:t>
            </w:r>
          </w:p>
        </w:tc>
        <w:tc>
          <w:tcPr>
            <w:tcW w:w="794" w:type="dxa"/>
            <w:shd w:val="clear" w:color="auto" w:fill="FFFFFF" w:themeFill="background1"/>
            <w:tcMar>
              <w:top w:w="0" w:type="dxa"/>
              <w:left w:w="85" w:type="dxa"/>
              <w:bottom w:w="0" w:type="dxa"/>
              <w:right w:w="85" w:type="dxa"/>
            </w:tcMar>
            <w:vAlign w:val="bottom"/>
          </w:tcPr>
          <w:p w14:paraId="5A90692B" w14:textId="77777777" w:rsidR="00F271C1" w:rsidRPr="00E01C9E" w:rsidRDefault="00F271C1" w:rsidP="00F16E23">
            <w:pPr>
              <w:pStyle w:val="TableText"/>
              <w:spacing w:before="40" w:after="40"/>
              <w:jc w:val="right"/>
              <w:rPr>
                <w:szCs w:val="16"/>
              </w:rPr>
            </w:pPr>
            <w:r w:rsidRPr="00E01C9E">
              <w:rPr>
                <w:rFonts w:eastAsia="Calibri"/>
                <w:szCs w:val="16"/>
              </w:rPr>
              <w:t>-6.43</w:t>
            </w:r>
          </w:p>
        </w:tc>
        <w:tc>
          <w:tcPr>
            <w:tcW w:w="1021" w:type="dxa"/>
            <w:shd w:val="clear" w:color="auto" w:fill="FFFFFF" w:themeFill="background1"/>
            <w:tcMar>
              <w:top w:w="0" w:type="dxa"/>
              <w:left w:w="85" w:type="dxa"/>
              <w:bottom w:w="0" w:type="dxa"/>
              <w:right w:w="85" w:type="dxa"/>
            </w:tcMar>
            <w:vAlign w:val="bottom"/>
          </w:tcPr>
          <w:p w14:paraId="711F6F1C" w14:textId="77777777" w:rsidR="00F271C1" w:rsidRPr="00E01C9E" w:rsidRDefault="00F271C1" w:rsidP="00F16E23">
            <w:pPr>
              <w:pStyle w:val="TableText"/>
              <w:spacing w:before="40" w:after="40"/>
              <w:jc w:val="right"/>
              <w:rPr>
                <w:szCs w:val="16"/>
              </w:rPr>
            </w:pPr>
            <w:r w:rsidRPr="00E01C9E">
              <w:rPr>
                <w:rFonts w:eastAsia="Calibri"/>
                <w:szCs w:val="16"/>
              </w:rPr>
              <w:t>53.98</w:t>
            </w:r>
          </w:p>
        </w:tc>
        <w:tc>
          <w:tcPr>
            <w:tcW w:w="1134" w:type="dxa"/>
            <w:shd w:val="clear" w:color="auto" w:fill="FFFFFF" w:themeFill="background1"/>
            <w:tcMar>
              <w:top w:w="0" w:type="dxa"/>
              <w:left w:w="85" w:type="dxa"/>
              <w:bottom w:w="0" w:type="dxa"/>
              <w:right w:w="85" w:type="dxa"/>
            </w:tcMar>
            <w:vAlign w:val="bottom"/>
          </w:tcPr>
          <w:p w14:paraId="5DF672DE" w14:textId="77777777" w:rsidR="00F271C1" w:rsidRPr="00E01C9E" w:rsidRDefault="00F271C1" w:rsidP="00F16E23">
            <w:pPr>
              <w:pStyle w:val="TableText"/>
              <w:spacing w:before="40" w:after="40"/>
              <w:jc w:val="right"/>
              <w:rPr>
                <w:szCs w:val="16"/>
              </w:rPr>
            </w:pPr>
            <w:r w:rsidRPr="00E01C9E">
              <w:rPr>
                <w:rFonts w:eastAsia="Calibri"/>
                <w:szCs w:val="16"/>
              </w:rPr>
              <w:t>0.003</w:t>
            </w:r>
          </w:p>
        </w:tc>
      </w:tr>
      <w:tr w:rsidR="00F271C1" w:rsidRPr="00E01C9E" w14:paraId="02CFEFD5" w14:textId="77777777" w:rsidTr="00F16E23">
        <w:tc>
          <w:tcPr>
            <w:tcW w:w="1021" w:type="dxa"/>
            <w:shd w:val="clear" w:color="auto" w:fill="FFFFFF" w:themeFill="background1"/>
            <w:tcMar>
              <w:top w:w="0" w:type="dxa"/>
              <w:left w:w="85" w:type="dxa"/>
              <w:bottom w:w="0" w:type="dxa"/>
              <w:right w:w="85" w:type="dxa"/>
            </w:tcMar>
            <w:vAlign w:val="center"/>
          </w:tcPr>
          <w:p w14:paraId="198AFA42" w14:textId="77777777" w:rsidR="00F271C1" w:rsidRPr="00E01C9E" w:rsidRDefault="00F271C1" w:rsidP="00F16E23">
            <w:pPr>
              <w:pStyle w:val="TableText"/>
              <w:spacing w:before="40" w:after="40"/>
              <w:rPr>
                <w:szCs w:val="16"/>
              </w:rPr>
            </w:pPr>
            <w:r w:rsidRPr="00E01C9E">
              <w:rPr>
                <w:rFonts w:eastAsia="Calibri"/>
                <w:szCs w:val="16"/>
              </w:rPr>
              <w:t>IPPU for Tokelau</w:t>
            </w:r>
          </w:p>
        </w:tc>
        <w:tc>
          <w:tcPr>
            <w:tcW w:w="510" w:type="dxa"/>
            <w:shd w:val="clear" w:color="auto" w:fill="FFFFFF" w:themeFill="background1"/>
            <w:tcMar>
              <w:top w:w="0" w:type="dxa"/>
              <w:left w:w="85" w:type="dxa"/>
              <w:bottom w:w="0" w:type="dxa"/>
              <w:right w:w="85" w:type="dxa"/>
            </w:tcMar>
            <w:vAlign w:val="bottom"/>
          </w:tcPr>
          <w:p w14:paraId="03AF7465" w14:textId="77777777" w:rsidR="00F271C1" w:rsidRPr="00E01C9E" w:rsidRDefault="00F271C1" w:rsidP="00F16E23">
            <w:pPr>
              <w:pStyle w:val="TableText"/>
              <w:spacing w:before="40" w:after="40"/>
              <w:jc w:val="right"/>
              <w:rPr>
                <w:szCs w:val="16"/>
              </w:rPr>
            </w:pPr>
            <w:r w:rsidRPr="00E01C9E">
              <w:rPr>
                <w:rFonts w:eastAsia="Calibri"/>
                <w:szCs w:val="16"/>
              </w:rPr>
              <w:t>0.04</w:t>
            </w:r>
          </w:p>
        </w:tc>
        <w:tc>
          <w:tcPr>
            <w:tcW w:w="495" w:type="dxa"/>
            <w:shd w:val="clear" w:color="auto" w:fill="FFFFFF" w:themeFill="background1"/>
            <w:tcMar>
              <w:top w:w="0" w:type="dxa"/>
              <w:left w:w="85" w:type="dxa"/>
              <w:bottom w:w="0" w:type="dxa"/>
              <w:right w:w="85" w:type="dxa"/>
            </w:tcMar>
            <w:vAlign w:val="bottom"/>
          </w:tcPr>
          <w:p w14:paraId="7D1105ED" w14:textId="77777777" w:rsidR="00F271C1" w:rsidRPr="00E01C9E" w:rsidRDefault="00F271C1" w:rsidP="00F16E23">
            <w:pPr>
              <w:pStyle w:val="TableText"/>
              <w:spacing w:before="40" w:after="40"/>
              <w:jc w:val="right"/>
              <w:rPr>
                <w:szCs w:val="16"/>
              </w:rPr>
            </w:pPr>
            <w:r w:rsidRPr="00E01C9E">
              <w:rPr>
                <w:rFonts w:eastAsia="Calibri"/>
                <w:szCs w:val="16"/>
              </w:rPr>
              <w:t>0.08</w:t>
            </w:r>
          </w:p>
        </w:tc>
        <w:tc>
          <w:tcPr>
            <w:tcW w:w="495" w:type="dxa"/>
            <w:shd w:val="clear" w:color="auto" w:fill="FFFFFF" w:themeFill="background1"/>
            <w:tcMar>
              <w:top w:w="0" w:type="dxa"/>
              <w:left w:w="85" w:type="dxa"/>
              <w:bottom w:w="0" w:type="dxa"/>
              <w:right w:w="85" w:type="dxa"/>
            </w:tcMar>
            <w:vAlign w:val="bottom"/>
          </w:tcPr>
          <w:p w14:paraId="111D60FE" w14:textId="77777777" w:rsidR="00F271C1" w:rsidRPr="00E01C9E" w:rsidRDefault="00F271C1" w:rsidP="00F16E23">
            <w:pPr>
              <w:pStyle w:val="TableText"/>
              <w:spacing w:before="40" w:after="40"/>
              <w:jc w:val="right"/>
              <w:rPr>
                <w:szCs w:val="16"/>
              </w:rPr>
            </w:pPr>
            <w:r w:rsidRPr="00E01C9E">
              <w:rPr>
                <w:rFonts w:eastAsia="Calibri"/>
                <w:szCs w:val="16"/>
              </w:rPr>
              <w:t>0.24</w:t>
            </w:r>
          </w:p>
        </w:tc>
        <w:tc>
          <w:tcPr>
            <w:tcW w:w="851" w:type="dxa"/>
            <w:shd w:val="clear" w:color="auto" w:fill="FFFFFF" w:themeFill="background1"/>
            <w:tcMar>
              <w:top w:w="0" w:type="dxa"/>
              <w:left w:w="85" w:type="dxa"/>
              <w:bottom w:w="0" w:type="dxa"/>
              <w:right w:w="85" w:type="dxa"/>
            </w:tcMar>
            <w:vAlign w:val="bottom"/>
          </w:tcPr>
          <w:p w14:paraId="2F1EA88C" w14:textId="77777777" w:rsidR="00F271C1" w:rsidRPr="00E01C9E" w:rsidRDefault="00F271C1" w:rsidP="00F16E23">
            <w:pPr>
              <w:pStyle w:val="TableText"/>
              <w:spacing w:before="40" w:after="40"/>
              <w:jc w:val="right"/>
              <w:rPr>
                <w:szCs w:val="16"/>
              </w:rPr>
            </w:pPr>
            <w:r w:rsidRPr="00E01C9E">
              <w:rPr>
                <w:rFonts w:eastAsia="Calibri"/>
                <w:szCs w:val="16"/>
              </w:rPr>
              <w:t>0.20</w:t>
            </w:r>
          </w:p>
        </w:tc>
        <w:tc>
          <w:tcPr>
            <w:tcW w:w="737" w:type="dxa"/>
            <w:shd w:val="clear" w:color="auto" w:fill="FFFFFF" w:themeFill="background1"/>
            <w:tcMar>
              <w:top w:w="0" w:type="dxa"/>
              <w:left w:w="85" w:type="dxa"/>
              <w:bottom w:w="0" w:type="dxa"/>
              <w:right w:w="85" w:type="dxa"/>
            </w:tcMar>
            <w:vAlign w:val="bottom"/>
          </w:tcPr>
          <w:p w14:paraId="4634C625" w14:textId="77777777" w:rsidR="00F271C1" w:rsidRPr="00E01C9E" w:rsidRDefault="00F271C1" w:rsidP="00F16E23">
            <w:pPr>
              <w:pStyle w:val="TableText"/>
              <w:spacing w:before="40" w:after="40"/>
              <w:jc w:val="right"/>
              <w:rPr>
                <w:szCs w:val="16"/>
              </w:rPr>
            </w:pPr>
            <w:r w:rsidRPr="00E01C9E">
              <w:rPr>
                <w:rFonts w:eastAsia="Calibri"/>
                <w:szCs w:val="16"/>
              </w:rPr>
              <w:t>484.36</w:t>
            </w:r>
          </w:p>
        </w:tc>
        <w:tc>
          <w:tcPr>
            <w:tcW w:w="964" w:type="dxa"/>
            <w:shd w:val="clear" w:color="auto" w:fill="FFFFFF" w:themeFill="background1"/>
            <w:tcMar>
              <w:top w:w="0" w:type="dxa"/>
              <w:left w:w="85" w:type="dxa"/>
              <w:bottom w:w="0" w:type="dxa"/>
              <w:right w:w="85" w:type="dxa"/>
            </w:tcMar>
            <w:vAlign w:val="bottom"/>
          </w:tcPr>
          <w:p w14:paraId="71A257A0" w14:textId="77777777" w:rsidR="00F271C1" w:rsidRPr="00E01C9E" w:rsidRDefault="00F271C1" w:rsidP="00F16E23">
            <w:pPr>
              <w:pStyle w:val="TableText"/>
              <w:spacing w:before="40" w:after="40"/>
              <w:jc w:val="right"/>
              <w:rPr>
                <w:szCs w:val="16"/>
              </w:rPr>
            </w:pPr>
            <w:r w:rsidRPr="00E01C9E">
              <w:rPr>
                <w:rFonts w:eastAsia="Calibri"/>
                <w:szCs w:val="16"/>
              </w:rPr>
              <w:t>0.16</w:t>
            </w:r>
          </w:p>
        </w:tc>
        <w:tc>
          <w:tcPr>
            <w:tcW w:w="794" w:type="dxa"/>
            <w:shd w:val="clear" w:color="auto" w:fill="FFFFFF" w:themeFill="background1"/>
            <w:tcMar>
              <w:top w:w="0" w:type="dxa"/>
              <w:left w:w="85" w:type="dxa"/>
              <w:bottom w:w="0" w:type="dxa"/>
              <w:right w:w="85" w:type="dxa"/>
            </w:tcMar>
            <w:vAlign w:val="bottom"/>
          </w:tcPr>
          <w:p w14:paraId="7C087B53" w14:textId="77777777" w:rsidR="00F271C1" w:rsidRPr="00E01C9E" w:rsidRDefault="00F271C1" w:rsidP="00F16E23">
            <w:pPr>
              <w:pStyle w:val="TableText"/>
              <w:spacing w:before="40" w:after="40"/>
              <w:jc w:val="right"/>
              <w:rPr>
                <w:szCs w:val="16"/>
              </w:rPr>
            </w:pPr>
            <w:r w:rsidRPr="00E01C9E">
              <w:rPr>
                <w:rFonts w:eastAsia="Calibri"/>
                <w:szCs w:val="16"/>
              </w:rPr>
              <w:t>192.78</w:t>
            </w:r>
          </w:p>
        </w:tc>
        <w:tc>
          <w:tcPr>
            <w:tcW w:w="1021" w:type="dxa"/>
            <w:shd w:val="clear" w:color="auto" w:fill="FFFFFF" w:themeFill="background1"/>
            <w:tcMar>
              <w:top w:w="0" w:type="dxa"/>
              <w:left w:w="85" w:type="dxa"/>
              <w:bottom w:w="0" w:type="dxa"/>
              <w:right w:w="85" w:type="dxa"/>
            </w:tcMar>
            <w:vAlign w:val="bottom"/>
          </w:tcPr>
          <w:p w14:paraId="6C701610" w14:textId="77777777" w:rsidR="00F271C1" w:rsidRPr="00E01C9E" w:rsidRDefault="00F271C1" w:rsidP="00F16E23">
            <w:pPr>
              <w:pStyle w:val="TableText"/>
              <w:spacing w:before="40" w:after="40"/>
              <w:jc w:val="right"/>
              <w:rPr>
                <w:szCs w:val="16"/>
              </w:rPr>
            </w:pPr>
            <w:r w:rsidRPr="00E01C9E">
              <w:rPr>
                <w:rFonts w:eastAsia="Calibri"/>
                <w:szCs w:val="16"/>
              </w:rPr>
              <w:t>5.67</w:t>
            </w:r>
          </w:p>
        </w:tc>
        <w:tc>
          <w:tcPr>
            <w:tcW w:w="1134" w:type="dxa"/>
            <w:shd w:val="clear" w:color="auto" w:fill="FFFFFF" w:themeFill="background1"/>
            <w:tcMar>
              <w:top w:w="0" w:type="dxa"/>
              <w:left w:w="85" w:type="dxa"/>
              <w:bottom w:w="0" w:type="dxa"/>
              <w:right w:w="85" w:type="dxa"/>
            </w:tcMar>
            <w:vAlign w:val="bottom"/>
          </w:tcPr>
          <w:p w14:paraId="230B47D8" w14:textId="77777777" w:rsidR="00F271C1" w:rsidRPr="00E01C9E" w:rsidRDefault="00F271C1" w:rsidP="00F16E23">
            <w:pPr>
              <w:pStyle w:val="TableText"/>
              <w:spacing w:before="40" w:after="40"/>
              <w:jc w:val="right"/>
              <w:rPr>
                <w:szCs w:val="16"/>
              </w:rPr>
            </w:pPr>
            <w:r w:rsidRPr="00E01C9E">
              <w:rPr>
                <w:rFonts w:eastAsia="Calibri"/>
                <w:color w:val="000000" w:themeColor="text1"/>
                <w:szCs w:val="16"/>
              </w:rPr>
              <w:t>0.0003</w:t>
            </w:r>
          </w:p>
        </w:tc>
      </w:tr>
      <w:tr w:rsidR="00F271C1" w:rsidRPr="00E01C9E" w14:paraId="7B0CB885" w14:textId="77777777" w:rsidTr="00F16E23">
        <w:tc>
          <w:tcPr>
            <w:tcW w:w="1021" w:type="dxa"/>
            <w:shd w:val="clear" w:color="auto" w:fill="FFFFFF" w:themeFill="background1"/>
            <w:tcMar>
              <w:top w:w="0" w:type="dxa"/>
              <w:left w:w="85" w:type="dxa"/>
              <w:bottom w:w="0" w:type="dxa"/>
              <w:right w:w="85" w:type="dxa"/>
            </w:tcMar>
            <w:vAlign w:val="center"/>
          </w:tcPr>
          <w:p w14:paraId="7E3060FE" w14:textId="77777777" w:rsidR="00F271C1" w:rsidRPr="00E01C9E" w:rsidRDefault="00F271C1" w:rsidP="00F16E23">
            <w:pPr>
              <w:pStyle w:val="TableText"/>
              <w:spacing w:before="40" w:after="40"/>
              <w:rPr>
                <w:rFonts w:eastAsia="Calibri"/>
                <w:szCs w:val="16"/>
              </w:rPr>
            </w:pPr>
            <w:r w:rsidRPr="00E01C9E">
              <w:rPr>
                <w:rFonts w:eastAsia="Calibri"/>
                <w:szCs w:val="16"/>
              </w:rPr>
              <w:t>Waste for Tokelau</w:t>
            </w:r>
          </w:p>
        </w:tc>
        <w:tc>
          <w:tcPr>
            <w:tcW w:w="510" w:type="dxa"/>
            <w:shd w:val="clear" w:color="auto" w:fill="FFFFFF" w:themeFill="background1"/>
            <w:tcMar>
              <w:top w:w="0" w:type="dxa"/>
              <w:left w:w="85" w:type="dxa"/>
              <w:bottom w:w="0" w:type="dxa"/>
              <w:right w:w="85" w:type="dxa"/>
            </w:tcMar>
            <w:vAlign w:val="bottom"/>
          </w:tcPr>
          <w:p w14:paraId="2105ED55"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0.78</w:t>
            </w:r>
          </w:p>
        </w:tc>
        <w:tc>
          <w:tcPr>
            <w:tcW w:w="495" w:type="dxa"/>
            <w:shd w:val="clear" w:color="auto" w:fill="FFFFFF" w:themeFill="background1"/>
            <w:tcMar>
              <w:top w:w="0" w:type="dxa"/>
              <w:left w:w="85" w:type="dxa"/>
              <w:bottom w:w="0" w:type="dxa"/>
              <w:right w:w="85" w:type="dxa"/>
            </w:tcMar>
            <w:vAlign w:val="bottom"/>
          </w:tcPr>
          <w:p w14:paraId="7B6EA66C"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0.76</w:t>
            </w:r>
          </w:p>
        </w:tc>
        <w:tc>
          <w:tcPr>
            <w:tcW w:w="495" w:type="dxa"/>
            <w:shd w:val="clear" w:color="auto" w:fill="FFFFFF" w:themeFill="background1"/>
            <w:tcMar>
              <w:top w:w="0" w:type="dxa"/>
              <w:left w:w="85" w:type="dxa"/>
              <w:bottom w:w="0" w:type="dxa"/>
              <w:right w:w="85" w:type="dxa"/>
            </w:tcMar>
            <w:vAlign w:val="bottom"/>
          </w:tcPr>
          <w:p w14:paraId="5EF3878D"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0.77</w:t>
            </w:r>
          </w:p>
        </w:tc>
        <w:tc>
          <w:tcPr>
            <w:tcW w:w="851" w:type="dxa"/>
            <w:shd w:val="clear" w:color="auto" w:fill="FFFFFF" w:themeFill="background1"/>
            <w:tcMar>
              <w:top w:w="0" w:type="dxa"/>
              <w:left w:w="85" w:type="dxa"/>
              <w:bottom w:w="0" w:type="dxa"/>
              <w:right w:w="85" w:type="dxa"/>
            </w:tcMar>
            <w:vAlign w:val="bottom"/>
          </w:tcPr>
          <w:p w14:paraId="3FA4120D"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-0.005</w:t>
            </w:r>
          </w:p>
        </w:tc>
        <w:tc>
          <w:tcPr>
            <w:tcW w:w="737" w:type="dxa"/>
            <w:shd w:val="clear" w:color="auto" w:fill="FFFFFF" w:themeFill="background1"/>
            <w:tcMar>
              <w:top w:w="0" w:type="dxa"/>
              <w:left w:w="85" w:type="dxa"/>
              <w:bottom w:w="0" w:type="dxa"/>
              <w:right w:w="85" w:type="dxa"/>
            </w:tcMar>
            <w:vAlign w:val="bottom"/>
          </w:tcPr>
          <w:p w14:paraId="145550CC"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-0.62</w:t>
            </w:r>
          </w:p>
        </w:tc>
        <w:tc>
          <w:tcPr>
            <w:tcW w:w="964" w:type="dxa"/>
            <w:shd w:val="clear" w:color="auto" w:fill="FFFFFF" w:themeFill="background1"/>
            <w:tcMar>
              <w:top w:w="0" w:type="dxa"/>
              <w:left w:w="85" w:type="dxa"/>
              <w:bottom w:w="0" w:type="dxa"/>
              <w:right w:w="85" w:type="dxa"/>
            </w:tcMar>
            <w:vAlign w:val="bottom"/>
          </w:tcPr>
          <w:p w14:paraId="28094DF2"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0.02</w:t>
            </w:r>
          </w:p>
        </w:tc>
        <w:tc>
          <w:tcPr>
            <w:tcW w:w="794" w:type="dxa"/>
            <w:shd w:val="clear" w:color="auto" w:fill="FFFFFF" w:themeFill="background1"/>
            <w:tcMar>
              <w:top w:w="0" w:type="dxa"/>
              <w:left w:w="85" w:type="dxa"/>
              <w:bottom w:w="0" w:type="dxa"/>
              <w:right w:w="85" w:type="dxa"/>
            </w:tcMar>
            <w:vAlign w:val="bottom"/>
          </w:tcPr>
          <w:p w14:paraId="07FFFA5C"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2.51</w:t>
            </w:r>
          </w:p>
        </w:tc>
        <w:tc>
          <w:tcPr>
            <w:tcW w:w="1021" w:type="dxa"/>
            <w:shd w:val="clear" w:color="auto" w:fill="FFFFFF" w:themeFill="background1"/>
            <w:tcMar>
              <w:top w:w="0" w:type="dxa"/>
              <w:left w:w="85" w:type="dxa"/>
              <w:bottom w:w="0" w:type="dxa"/>
              <w:right w:w="85" w:type="dxa"/>
            </w:tcMar>
            <w:vAlign w:val="bottom"/>
          </w:tcPr>
          <w:p w14:paraId="02344CCE"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18.42</w:t>
            </w:r>
          </w:p>
        </w:tc>
        <w:tc>
          <w:tcPr>
            <w:tcW w:w="1134" w:type="dxa"/>
            <w:shd w:val="clear" w:color="auto" w:fill="FFFFFF" w:themeFill="background1"/>
            <w:tcMar>
              <w:top w:w="0" w:type="dxa"/>
              <w:left w:w="85" w:type="dxa"/>
              <w:bottom w:w="0" w:type="dxa"/>
              <w:right w:w="85" w:type="dxa"/>
            </w:tcMar>
            <w:vAlign w:val="bottom"/>
          </w:tcPr>
          <w:p w14:paraId="2B7322D9" w14:textId="77777777" w:rsidR="00F271C1" w:rsidRPr="00E01C9E" w:rsidRDefault="00F271C1" w:rsidP="00F16E23">
            <w:pPr>
              <w:pStyle w:val="TableText"/>
              <w:spacing w:before="40" w:after="40"/>
              <w:jc w:val="right"/>
              <w:rPr>
                <w:rFonts w:eastAsia="Calibri"/>
                <w:szCs w:val="16"/>
              </w:rPr>
            </w:pPr>
            <w:r w:rsidRPr="00E01C9E">
              <w:rPr>
                <w:rFonts w:eastAsia="Calibri"/>
                <w:szCs w:val="16"/>
              </w:rPr>
              <w:t>0.001</w:t>
            </w:r>
          </w:p>
        </w:tc>
      </w:tr>
      <w:tr w:rsidR="00F271C1" w:rsidRPr="00E01C9E" w14:paraId="4AC7EEF0" w14:textId="77777777" w:rsidTr="00F16E23">
        <w:tc>
          <w:tcPr>
            <w:tcW w:w="1021" w:type="dxa"/>
            <w:shd w:val="clear" w:color="auto" w:fill="FFFFFF" w:themeFill="background1"/>
            <w:tcMar>
              <w:top w:w="0" w:type="dxa"/>
              <w:left w:w="85" w:type="dxa"/>
              <w:bottom w:w="0" w:type="dxa"/>
              <w:right w:w="85" w:type="dxa"/>
            </w:tcMar>
            <w:vAlign w:val="center"/>
          </w:tcPr>
          <w:p w14:paraId="320FC76B" w14:textId="77777777" w:rsidR="00F271C1" w:rsidRPr="00E01C9E" w:rsidRDefault="00F271C1" w:rsidP="00F16E23">
            <w:pPr>
              <w:pStyle w:val="Tableboldblue"/>
              <w:spacing w:before="40" w:after="40"/>
              <w:rPr>
                <w:rFonts w:eastAsia="Calibri"/>
                <w:szCs w:val="16"/>
              </w:rPr>
            </w:pPr>
            <w:r w:rsidRPr="00E01C9E">
              <w:rPr>
                <w:rFonts w:eastAsia="Calibri"/>
                <w:szCs w:val="16"/>
              </w:rPr>
              <w:t>Gross emissions for Tokelau</w:t>
            </w:r>
          </w:p>
        </w:tc>
        <w:tc>
          <w:tcPr>
            <w:tcW w:w="510" w:type="dxa"/>
            <w:shd w:val="clear" w:color="auto" w:fill="FFFFFF" w:themeFill="background1"/>
            <w:tcMar>
              <w:top w:w="0" w:type="dxa"/>
              <w:left w:w="85" w:type="dxa"/>
              <w:bottom w:w="0" w:type="dxa"/>
              <w:right w:w="85" w:type="dxa"/>
            </w:tcMar>
            <w:vAlign w:val="bottom"/>
          </w:tcPr>
          <w:p w14:paraId="22622C83"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3.37</w:t>
            </w:r>
          </w:p>
        </w:tc>
        <w:tc>
          <w:tcPr>
            <w:tcW w:w="495" w:type="dxa"/>
            <w:shd w:val="clear" w:color="auto" w:fill="FFFFFF" w:themeFill="background1"/>
            <w:tcMar>
              <w:top w:w="0" w:type="dxa"/>
              <w:left w:w="85" w:type="dxa"/>
              <w:bottom w:w="0" w:type="dxa"/>
              <w:right w:w="85" w:type="dxa"/>
            </w:tcMar>
            <w:vAlign w:val="bottom"/>
          </w:tcPr>
          <w:p w14:paraId="2B5272DC"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4.71</w:t>
            </w:r>
          </w:p>
        </w:tc>
        <w:tc>
          <w:tcPr>
            <w:tcW w:w="495" w:type="dxa"/>
            <w:shd w:val="clear" w:color="auto" w:fill="FFFFFF" w:themeFill="background1"/>
            <w:tcMar>
              <w:top w:w="0" w:type="dxa"/>
              <w:left w:w="85" w:type="dxa"/>
              <w:bottom w:w="0" w:type="dxa"/>
              <w:right w:w="85" w:type="dxa"/>
            </w:tcMar>
            <w:vAlign w:val="bottom"/>
          </w:tcPr>
          <w:p w14:paraId="150D3086"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4.21</w:t>
            </w:r>
          </w:p>
        </w:tc>
        <w:tc>
          <w:tcPr>
            <w:tcW w:w="851" w:type="dxa"/>
            <w:shd w:val="clear" w:color="auto" w:fill="FFFFFF" w:themeFill="background1"/>
            <w:tcMar>
              <w:top w:w="0" w:type="dxa"/>
              <w:left w:w="85" w:type="dxa"/>
              <w:bottom w:w="0" w:type="dxa"/>
              <w:right w:w="85" w:type="dxa"/>
            </w:tcMar>
            <w:vAlign w:val="bottom"/>
          </w:tcPr>
          <w:p w14:paraId="360B4CE9"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0.84</w:t>
            </w:r>
          </w:p>
        </w:tc>
        <w:tc>
          <w:tcPr>
            <w:tcW w:w="737" w:type="dxa"/>
            <w:shd w:val="clear" w:color="auto" w:fill="FFFFFF" w:themeFill="background1"/>
            <w:tcMar>
              <w:top w:w="0" w:type="dxa"/>
              <w:left w:w="85" w:type="dxa"/>
              <w:bottom w:w="0" w:type="dxa"/>
              <w:right w:w="85" w:type="dxa"/>
            </w:tcMar>
            <w:vAlign w:val="bottom"/>
          </w:tcPr>
          <w:p w14:paraId="6A926461"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24.81</w:t>
            </w:r>
          </w:p>
        </w:tc>
        <w:tc>
          <w:tcPr>
            <w:tcW w:w="964" w:type="dxa"/>
            <w:shd w:val="clear" w:color="auto" w:fill="FFFFFF" w:themeFill="background1"/>
            <w:tcMar>
              <w:top w:w="0" w:type="dxa"/>
              <w:left w:w="85" w:type="dxa"/>
              <w:bottom w:w="0" w:type="dxa"/>
              <w:right w:w="85" w:type="dxa"/>
            </w:tcMar>
            <w:vAlign w:val="bottom"/>
          </w:tcPr>
          <w:p w14:paraId="0D21BFFF"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-0.50</w:t>
            </w:r>
          </w:p>
        </w:tc>
        <w:tc>
          <w:tcPr>
            <w:tcW w:w="794" w:type="dxa"/>
            <w:shd w:val="clear" w:color="auto" w:fill="FFFFFF" w:themeFill="background1"/>
            <w:tcMar>
              <w:top w:w="0" w:type="dxa"/>
              <w:left w:w="85" w:type="dxa"/>
              <w:bottom w:w="0" w:type="dxa"/>
              <w:right w:w="85" w:type="dxa"/>
            </w:tcMar>
            <w:vAlign w:val="bottom"/>
          </w:tcPr>
          <w:p w14:paraId="62CF5C8C"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-10.61</w:t>
            </w:r>
          </w:p>
        </w:tc>
        <w:tc>
          <w:tcPr>
            <w:tcW w:w="1021" w:type="dxa"/>
            <w:shd w:val="clear" w:color="auto" w:fill="FFFFFF" w:themeFill="background1"/>
            <w:tcMar>
              <w:top w:w="0" w:type="dxa"/>
              <w:left w:w="85" w:type="dxa"/>
              <w:bottom w:w="0" w:type="dxa"/>
              <w:right w:w="85" w:type="dxa"/>
            </w:tcMar>
            <w:vAlign w:val="bottom"/>
          </w:tcPr>
          <w:p w14:paraId="481E4891"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100.00</w:t>
            </w:r>
          </w:p>
        </w:tc>
        <w:tc>
          <w:tcPr>
            <w:tcW w:w="1134" w:type="dxa"/>
            <w:shd w:val="clear" w:color="auto" w:fill="FFFFFF" w:themeFill="background1"/>
            <w:tcMar>
              <w:top w:w="0" w:type="dxa"/>
              <w:left w:w="85" w:type="dxa"/>
              <w:bottom w:w="0" w:type="dxa"/>
              <w:right w:w="85" w:type="dxa"/>
            </w:tcMar>
            <w:vAlign w:val="bottom"/>
          </w:tcPr>
          <w:p w14:paraId="4CD2B71F" w14:textId="77777777" w:rsidR="00F271C1" w:rsidRPr="00E01C9E" w:rsidRDefault="00F271C1" w:rsidP="00F16E23">
            <w:pPr>
              <w:pStyle w:val="Tableboldblue"/>
              <w:spacing w:before="40" w:after="40"/>
              <w:jc w:val="right"/>
              <w:rPr>
                <w:rFonts w:eastAsia="Calibri"/>
                <w:szCs w:val="16"/>
              </w:rPr>
            </w:pPr>
            <w:r w:rsidRPr="00E01C9E">
              <w:rPr>
                <w:rFonts w:eastAsia="Calibri"/>
                <w:szCs w:val="16"/>
              </w:rPr>
              <w:t>0.006</w:t>
            </w:r>
          </w:p>
        </w:tc>
      </w:tr>
    </w:tbl>
    <w:p w14:paraId="73263C62" w14:textId="77777777" w:rsidR="00F271C1" w:rsidRPr="00E01C9E" w:rsidRDefault="00F271C1" w:rsidP="00F271C1">
      <w:pPr>
        <w:pStyle w:val="Noteundertable"/>
      </w:pPr>
      <w:r w:rsidRPr="00E01C9E">
        <w:rPr>
          <w:b/>
          <w:bCs/>
        </w:rPr>
        <w:t>Note:</w:t>
      </w:r>
      <w:r w:rsidRPr="00E01C9E">
        <w:t xml:space="preserve"> </w:t>
      </w:r>
      <w:r w:rsidRPr="00E01C9E">
        <w:tab/>
        <w:t xml:space="preserve">The 2026 submission includes emissions from Tokelau’s largest contributing sectors, which are the Energy, </w:t>
      </w:r>
      <w:r w:rsidRPr="00E01C9E">
        <w:rPr>
          <w:spacing w:val="-2"/>
        </w:rPr>
        <w:t>IPPU, Agriculture and Waste sectors. The LULUCF sector is not estimated. Tokelau has no planted or managed</w:t>
      </w:r>
      <w:r w:rsidRPr="00E01C9E">
        <w:t xml:space="preserve"> forests; therefore, the LULUCF sector is expected to be insignificant. The percentages may not add up to 100 percent due to rounding.</w:t>
      </w:r>
    </w:p>
    <w:p w14:paraId="1CE77B95" w14:textId="77777777" w:rsidR="00F271C1" w:rsidRPr="00E01C9E" w:rsidRDefault="00F271C1" w:rsidP="00F271C1">
      <w:pPr>
        <w:pStyle w:val="Heading5"/>
      </w:pPr>
      <w:bookmarkStart w:id="156" w:name="section-26"/>
      <w:r w:rsidRPr="00E01C9E">
        <w:t>2024</w:t>
      </w:r>
    </w:p>
    <w:p w14:paraId="777CBFE5" w14:textId="77777777" w:rsidR="00F271C1" w:rsidRPr="00E01C9E" w:rsidRDefault="00F271C1" w:rsidP="00F271C1">
      <w:pPr>
        <w:pStyle w:val="BodyText"/>
      </w:pPr>
      <w:r w:rsidRPr="00E01C9E">
        <w:t>In 2024, emissions from Tokelau were 4.21 kt CO</w:t>
      </w:r>
      <w:r w:rsidRPr="00E01C9E">
        <w:rPr>
          <w:vertAlign w:val="subscript"/>
        </w:rPr>
        <w:t>2</w:t>
      </w:r>
      <w:r w:rsidRPr="00E01C9E">
        <w:t>e, or 0.006 percent of New Zealand’s gross GHG emissions.</w:t>
      </w:r>
    </w:p>
    <w:p w14:paraId="07DA99F3" w14:textId="77777777" w:rsidR="00F271C1" w:rsidRPr="00E01C9E" w:rsidRDefault="00F271C1" w:rsidP="00F271C1">
      <w:pPr>
        <w:pStyle w:val="BodyText"/>
      </w:pPr>
      <w:r w:rsidRPr="00E01C9E">
        <w:t xml:space="preserve">The largest source category was </w:t>
      </w:r>
      <w:r w:rsidRPr="00E01C9E">
        <w:rPr>
          <w:i/>
          <w:iCs/>
        </w:rPr>
        <w:t>Domestic navigation</w:t>
      </w:r>
      <w:r w:rsidRPr="00E01C9E">
        <w:t xml:space="preserve"> (emissions from marine vessels within </w:t>
      </w:r>
      <w:r w:rsidRPr="00E01C9E">
        <w:rPr>
          <w:spacing w:val="-2"/>
        </w:rPr>
        <w:t>Tokelau), which contributed 63.2 percent (1.43 kt CO</w:t>
      </w:r>
      <w:r w:rsidRPr="00E01C9E">
        <w:rPr>
          <w:spacing w:val="-2"/>
          <w:vertAlign w:val="subscript"/>
        </w:rPr>
        <w:t>2</w:t>
      </w:r>
      <w:r w:rsidRPr="00E01C9E">
        <w:rPr>
          <w:spacing w:val="-2"/>
        </w:rPr>
        <w:t>e) of all energy emissions and 34.1 percen</w:t>
      </w:r>
      <w:r w:rsidRPr="00E01C9E">
        <w:t>t of gross emissions from Tokelau.</w:t>
      </w:r>
    </w:p>
    <w:p w14:paraId="6850A62A" w14:textId="77777777" w:rsidR="00F271C1" w:rsidRPr="00E01C9E" w:rsidRDefault="00F271C1" w:rsidP="00F271C1">
      <w:pPr>
        <w:pStyle w:val="BodyText"/>
      </w:pPr>
      <w:r w:rsidRPr="00E01C9E">
        <w:t>Carbon dioxide dominated emissions from Tokelau, contributing 54.5 percent (2.29 kt CO</w:t>
      </w:r>
      <w:r w:rsidRPr="00E01C9E">
        <w:rPr>
          <w:vertAlign w:val="subscript"/>
        </w:rPr>
        <w:t>2</w:t>
      </w:r>
      <w:r w:rsidRPr="00E01C9E">
        <w:t>e) of its total emissions in 2024. At 2.25 kt CO</w:t>
      </w:r>
      <w:r w:rsidRPr="00E01C9E">
        <w:rPr>
          <w:vertAlign w:val="subscript"/>
        </w:rPr>
        <w:t>2</w:t>
      </w:r>
      <w:r w:rsidRPr="00E01C9E">
        <w:t>, the Energy sector contributed 98.3 percent of total CO</w:t>
      </w:r>
      <w:r w:rsidRPr="00E01C9E">
        <w:rPr>
          <w:vertAlign w:val="subscript"/>
        </w:rPr>
        <w:t>2</w:t>
      </w:r>
      <w:r w:rsidRPr="00E01C9E">
        <w:t xml:space="preserve"> emissions, mostly from </w:t>
      </w:r>
      <w:r w:rsidRPr="00E01C9E">
        <w:rPr>
          <w:i/>
          <w:iCs/>
        </w:rPr>
        <w:t>Domestic navigation</w:t>
      </w:r>
      <w:r w:rsidRPr="00E01C9E">
        <w:t xml:space="preserve">; with the remaining 1.7 percent (0.04 kt) coming from </w:t>
      </w:r>
      <w:r w:rsidRPr="00E01C9E">
        <w:rPr>
          <w:i/>
          <w:iCs/>
        </w:rPr>
        <w:t>Open burning of waste</w:t>
      </w:r>
      <w:r w:rsidRPr="00E01C9E">
        <w:t xml:space="preserve"> in the Waste sector.</w:t>
      </w:r>
    </w:p>
    <w:p w14:paraId="79037D82" w14:textId="77777777" w:rsidR="00F271C1" w:rsidRPr="00E01C9E" w:rsidRDefault="00F271C1" w:rsidP="00F271C1">
      <w:pPr>
        <w:pStyle w:val="BodyText"/>
      </w:pPr>
      <w:r w:rsidRPr="00E01C9E">
        <w:t>Methane emissions contributed 39.3 percent (1.66 kt CO</w:t>
      </w:r>
      <w:r w:rsidRPr="00E01C9E">
        <w:rPr>
          <w:vertAlign w:val="subscript"/>
        </w:rPr>
        <w:t>2</w:t>
      </w:r>
      <w:r w:rsidRPr="00E01C9E">
        <w:t>e) to the total emissions from Tokelau. The Agriculture sector in Tokelau contributed 55.8 percent of CH</w:t>
      </w:r>
      <w:r w:rsidRPr="00E01C9E">
        <w:rPr>
          <w:vertAlign w:val="subscript"/>
        </w:rPr>
        <w:t>4</w:t>
      </w:r>
      <w:r w:rsidRPr="00E01C9E">
        <w:t xml:space="preserve"> emissions (0.92 kt CO</w:t>
      </w:r>
      <w:r w:rsidRPr="00E01C9E">
        <w:rPr>
          <w:vertAlign w:val="subscript"/>
        </w:rPr>
        <w:t>2</w:t>
      </w:r>
      <w:r w:rsidRPr="00E01C9E">
        <w:t xml:space="preserve">e), which mostly came from </w:t>
      </w:r>
      <w:r w:rsidRPr="00E01C9E">
        <w:rPr>
          <w:i/>
          <w:iCs/>
        </w:rPr>
        <w:t>Manure management</w:t>
      </w:r>
      <w:r w:rsidRPr="00E01C9E">
        <w:t>. A significant portion of CH</w:t>
      </w:r>
      <w:r w:rsidRPr="00E01C9E">
        <w:rPr>
          <w:vertAlign w:val="subscript"/>
        </w:rPr>
        <w:t>4</w:t>
      </w:r>
      <w:r w:rsidRPr="00E01C9E">
        <w:t xml:space="preserve"> emissions, 43.9 percent (0.73 kt CO</w:t>
      </w:r>
      <w:r w:rsidRPr="00E01C9E">
        <w:rPr>
          <w:vertAlign w:val="subscript"/>
        </w:rPr>
        <w:t>2</w:t>
      </w:r>
      <w:r w:rsidRPr="00E01C9E">
        <w:t xml:space="preserve">e), came from the Waste sector, largely from </w:t>
      </w:r>
      <w:r w:rsidRPr="00E01C9E">
        <w:rPr>
          <w:i/>
          <w:iCs/>
        </w:rPr>
        <w:t>Solid waste disposal</w:t>
      </w:r>
      <w:r w:rsidRPr="00E01C9E">
        <w:t>. The Energy sector contributed the remaining 0.4 percent of CH</w:t>
      </w:r>
      <w:r w:rsidRPr="00E01C9E">
        <w:rPr>
          <w:vertAlign w:val="subscript"/>
        </w:rPr>
        <w:t>4</w:t>
      </w:r>
      <w:r w:rsidRPr="00E01C9E">
        <w:t xml:space="preserve"> emissions (0.01 kt CO</w:t>
      </w:r>
      <w:r w:rsidRPr="00E01C9E">
        <w:rPr>
          <w:vertAlign w:val="subscript"/>
        </w:rPr>
        <w:t>2</w:t>
      </w:r>
      <w:r w:rsidRPr="00E01C9E">
        <w:t xml:space="preserve">e), which mostly came from </w:t>
      </w:r>
      <w:r w:rsidRPr="00E01C9E">
        <w:rPr>
          <w:i/>
          <w:iCs/>
        </w:rPr>
        <w:t>Domestic navigation</w:t>
      </w:r>
      <w:r w:rsidRPr="00E01C9E">
        <w:t>.</w:t>
      </w:r>
    </w:p>
    <w:p w14:paraId="15F2E5C8" w14:textId="77777777" w:rsidR="00F271C1" w:rsidRPr="00E01C9E" w:rsidRDefault="00F271C1" w:rsidP="00F271C1">
      <w:pPr>
        <w:pStyle w:val="BodyText"/>
      </w:pPr>
      <w:r w:rsidRPr="00E01C9E">
        <w:t>Nitrous oxide emissions contributed 1.2 percent (0.05 kt CO</w:t>
      </w:r>
      <w:r w:rsidRPr="00E01C9E">
        <w:rPr>
          <w:vertAlign w:val="subscript"/>
        </w:rPr>
        <w:t>2</w:t>
      </w:r>
      <w:r w:rsidRPr="00E01C9E">
        <w:t>e) to the total emissions from Tokelau. The IPPU sector (</w:t>
      </w:r>
      <w:r w:rsidRPr="00E01C9E">
        <w:rPr>
          <w:i/>
          <w:iCs/>
        </w:rPr>
        <w:t>Medical applications</w:t>
      </w:r>
      <w:r w:rsidRPr="00E01C9E">
        <w:t>) contributed the largest amount of N</w:t>
      </w:r>
      <w:r w:rsidRPr="00E01C9E">
        <w:rPr>
          <w:vertAlign w:val="subscript"/>
        </w:rPr>
        <w:t>2</w:t>
      </w:r>
      <w:r w:rsidRPr="00E01C9E">
        <w:t>O, 55.7 percent (0.03 kt CO</w:t>
      </w:r>
      <w:r w:rsidRPr="00E01C9E">
        <w:rPr>
          <w:vertAlign w:val="subscript"/>
        </w:rPr>
        <w:t>2</w:t>
      </w:r>
      <w:r w:rsidRPr="00E01C9E">
        <w:t>e) of the total N</w:t>
      </w:r>
      <w:r w:rsidRPr="00E01C9E">
        <w:rPr>
          <w:vertAlign w:val="subscript"/>
        </w:rPr>
        <w:t>2</w:t>
      </w:r>
      <w:r w:rsidRPr="00E01C9E">
        <w:t>O. The Energy sector contributed a further 24.1 percent (0.01 kt CO</w:t>
      </w:r>
      <w:r w:rsidRPr="00E01C9E">
        <w:rPr>
          <w:vertAlign w:val="subscript"/>
        </w:rPr>
        <w:t>2</w:t>
      </w:r>
      <w:r w:rsidRPr="00E01C9E">
        <w:t xml:space="preserve">e), which comes largely from </w:t>
      </w:r>
      <w:r w:rsidRPr="00E01C9E">
        <w:rPr>
          <w:i/>
          <w:iCs/>
        </w:rPr>
        <w:t>Domestic navigation</w:t>
      </w:r>
      <w:r w:rsidRPr="00E01C9E">
        <w:t>. The Waste sector contributed the remaining 20.2 percent of N</w:t>
      </w:r>
      <w:r w:rsidRPr="00E01C9E">
        <w:rPr>
          <w:vertAlign w:val="subscript"/>
        </w:rPr>
        <w:t>2</w:t>
      </w:r>
      <w:r w:rsidRPr="00E01C9E">
        <w:t>O (0.01 kt CO</w:t>
      </w:r>
      <w:r w:rsidRPr="00E01C9E">
        <w:rPr>
          <w:vertAlign w:val="subscript"/>
        </w:rPr>
        <w:t>2</w:t>
      </w:r>
      <w:r w:rsidRPr="00E01C9E">
        <w:t xml:space="preserve">e) from </w:t>
      </w:r>
      <w:r w:rsidRPr="00E01C9E">
        <w:rPr>
          <w:i/>
          <w:iCs/>
        </w:rPr>
        <w:t>Open burning of waste</w:t>
      </w:r>
      <w:r w:rsidRPr="00E01C9E">
        <w:t>.</w:t>
      </w:r>
    </w:p>
    <w:p w14:paraId="2265DF62" w14:textId="5AE99F16" w:rsidR="00F271C1" w:rsidRPr="00E01C9E" w:rsidRDefault="00F271C1" w:rsidP="00F271C1">
      <w:pPr>
        <w:pStyle w:val="BodyText"/>
      </w:pPr>
      <w:r w:rsidRPr="00E01C9E">
        <w:t>Emissions of fluorinated gases from Tokelau consisted of HFC emissions only, contributing 5.0 percent (0.21 kt CO</w:t>
      </w:r>
      <w:r w:rsidRPr="00E01C9E">
        <w:rPr>
          <w:vertAlign w:val="subscript"/>
        </w:rPr>
        <w:t>2</w:t>
      </w:r>
      <w:r w:rsidRPr="00E01C9E">
        <w:t>e) to the total emissions from Tokelau. These emissions largely result</w:t>
      </w:r>
      <w:r w:rsidR="00D22C6C">
        <w:t> </w:t>
      </w:r>
      <w:r w:rsidRPr="00E01C9E">
        <w:t xml:space="preserve">from the use of </w:t>
      </w:r>
      <w:r w:rsidRPr="00E01C9E">
        <w:rPr>
          <w:i/>
          <w:iCs/>
        </w:rPr>
        <w:t>Stationary air conditioning</w:t>
      </w:r>
      <w:r w:rsidRPr="00E01C9E">
        <w:t>. Emissions of PFCs, NF</w:t>
      </w:r>
      <w:r w:rsidRPr="00E01C9E">
        <w:rPr>
          <w:vertAlign w:val="subscript"/>
        </w:rPr>
        <w:t>3</w:t>
      </w:r>
      <w:r w:rsidRPr="00E01C9E">
        <w:t xml:space="preserve"> and SF</w:t>
      </w:r>
      <w:r w:rsidRPr="00E01C9E">
        <w:rPr>
          <w:vertAlign w:val="subscript"/>
        </w:rPr>
        <w:t>6</w:t>
      </w:r>
      <w:r w:rsidRPr="00E01C9E">
        <w:t xml:space="preserve"> do not occur</w:t>
      </w:r>
      <w:r w:rsidR="00D22C6C">
        <w:t> </w:t>
      </w:r>
      <w:r w:rsidRPr="00E01C9E">
        <w:t>in Tokelau.</w:t>
      </w:r>
    </w:p>
    <w:p w14:paraId="39376F25" w14:textId="77777777" w:rsidR="00F271C1" w:rsidRPr="00E01C9E" w:rsidRDefault="00F271C1" w:rsidP="00F271C1">
      <w:pPr>
        <w:pStyle w:val="Heading5"/>
      </w:pPr>
      <w:bookmarkStart w:id="157" w:name="section-27"/>
      <w:bookmarkEnd w:id="156"/>
      <w:r w:rsidRPr="00E01C9E">
        <w:t>2023–2024</w:t>
      </w:r>
    </w:p>
    <w:p w14:paraId="1EAFAF4B" w14:textId="77777777" w:rsidR="00F271C1" w:rsidRPr="00E01C9E" w:rsidRDefault="00F271C1" w:rsidP="00F271C1">
      <w:pPr>
        <w:pStyle w:val="BodyText"/>
      </w:pPr>
      <w:r w:rsidRPr="00E01C9E">
        <w:t>Between 2023 and 2024 emissions from Tokelau increased by 0.01 percent (0.0006 kt CO</w:t>
      </w:r>
      <w:r w:rsidRPr="00E01C9E">
        <w:rPr>
          <w:vertAlign w:val="subscript"/>
        </w:rPr>
        <w:t>2</w:t>
      </w:r>
      <w:r w:rsidRPr="00E01C9E">
        <w:t xml:space="preserve">e). Emissions for 2024 are reported as largely unchanged from 2023 due to insufficient quantitative activity data available for the 2024 reporting year. There is anecdotal evidence suggesting that diesel fuel consumption patterns were similar across these years for energy generation in the </w:t>
      </w:r>
      <w:r w:rsidRPr="00E01C9E">
        <w:rPr>
          <w:i/>
          <w:iCs/>
        </w:rPr>
        <w:t>Energy industries – Public electricity and heat production</w:t>
      </w:r>
      <w:r w:rsidRPr="00E01C9E">
        <w:t xml:space="preserve"> category.</w:t>
      </w:r>
    </w:p>
    <w:p w14:paraId="54E48359" w14:textId="77777777" w:rsidR="00F271C1" w:rsidRPr="00E01C9E" w:rsidRDefault="00F271C1" w:rsidP="00F271C1">
      <w:pPr>
        <w:pStyle w:val="BodyText"/>
      </w:pPr>
      <w:r w:rsidRPr="00E01C9E">
        <w:t>While the activity data between these years were unchanged for all categories, the increase in emissions is the result of CH</w:t>
      </w:r>
      <w:r w:rsidRPr="00E01C9E">
        <w:rPr>
          <w:vertAlign w:val="subscript"/>
        </w:rPr>
        <w:t>4</w:t>
      </w:r>
      <w:r w:rsidRPr="00E01C9E">
        <w:t xml:space="preserve"> emissions from </w:t>
      </w:r>
      <w:r w:rsidRPr="00E01C9E">
        <w:rPr>
          <w:i/>
          <w:iCs/>
        </w:rPr>
        <w:t>Solid waste disposal</w:t>
      </w:r>
      <w:r w:rsidRPr="00E01C9E">
        <w:t xml:space="preserve">. Emissions from </w:t>
      </w:r>
      <w:r w:rsidRPr="00E01C9E">
        <w:rPr>
          <w:i/>
          <w:iCs/>
        </w:rPr>
        <w:t>Solid waste disposal</w:t>
      </w:r>
      <w:r w:rsidRPr="00E01C9E">
        <w:t xml:space="preserve"> are calculated using a first order decay model outlined in volume 5 of the </w:t>
      </w:r>
      <w:r w:rsidRPr="00E01C9E">
        <w:rPr>
          <w:i/>
          <w:iCs/>
        </w:rPr>
        <w:t xml:space="preserve">2006 IPCC Guidelines for National Greenhouse Gas Inventories </w:t>
      </w:r>
      <w:r w:rsidRPr="00E01C9E">
        <w:t>(IPCC, 2006), which reflects how buried waste breaks down slowly over time. This means the emissions in any given year depend on the waste disposed in all previous years rather than the waste disposed this year. As a result, emissions change even when the activity data have not changed.</w:t>
      </w:r>
    </w:p>
    <w:p w14:paraId="5D8FC286" w14:textId="77777777" w:rsidR="00F271C1" w:rsidRPr="00E01C9E" w:rsidRDefault="00F271C1" w:rsidP="00F271C1">
      <w:pPr>
        <w:pStyle w:val="Heading5"/>
      </w:pPr>
      <w:bookmarkStart w:id="158" w:name="section-28"/>
      <w:bookmarkEnd w:id="157"/>
      <w:r w:rsidRPr="00E01C9E">
        <w:t>2005–2024</w:t>
      </w:r>
    </w:p>
    <w:p w14:paraId="6F267CAC" w14:textId="77777777" w:rsidR="00F271C1" w:rsidRPr="009737E7" w:rsidRDefault="00F271C1" w:rsidP="00F271C1">
      <w:pPr>
        <w:pStyle w:val="BodyText"/>
        <w:rPr>
          <w:spacing w:val="-2"/>
        </w:rPr>
      </w:pPr>
      <w:r w:rsidRPr="009737E7">
        <w:rPr>
          <w:spacing w:val="-2"/>
        </w:rPr>
        <w:t>Between 2005 and 2024, emissions from Tokelau decreased by 10.6 percent (0.50 kt CO</w:t>
      </w:r>
      <w:r w:rsidRPr="009737E7">
        <w:rPr>
          <w:spacing w:val="-2"/>
          <w:vertAlign w:val="subscript"/>
        </w:rPr>
        <w:t>2</w:t>
      </w:r>
      <w:r w:rsidRPr="009737E7">
        <w:rPr>
          <w:spacing w:val="-2"/>
        </w:rPr>
        <w:t>e) This change was mainly the result of reductions in emissions from the Agriculture sector. This was due to a reduction in the number of both pigs and chickens. Emissions from the Energy sector decreased overall between 2005 and 2024, due to the installation of solar photovoltaic systems in 2012. The increases and decreases in Energy emissions between 2012 and 2024 are further explained in chapter 8, section 8.3.1. Emissions from IPPU increased slightly between 2005 and 2024 primarily due to the growth in the number of air conditioning units during this period. Emissions from the Waste sector for Tokelau have remained steady between 2005 and 2024.</w:t>
      </w:r>
    </w:p>
    <w:p w14:paraId="3289C533" w14:textId="77777777" w:rsidR="00F271C1" w:rsidRPr="00E01C9E" w:rsidRDefault="00F271C1" w:rsidP="00F271C1">
      <w:pPr>
        <w:pStyle w:val="Heading5"/>
      </w:pPr>
      <w:bookmarkStart w:id="159" w:name="section-29"/>
      <w:bookmarkEnd w:id="158"/>
      <w:r w:rsidRPr="00E01C9E">
        <w:t>1990–2024</w:t>
      </w:r>
    </w:p>
    <w:p w14:paraId="6A5F12F6" w14:textId="77777777" w:rsidR="00F271C1" w:rsidRPr="00E01C9E" w:rsidRDefault="00F271C1" w:rsidP="00F271C1">
      <w:pPr>
        <w:pStyle w:val="BodyText"/>
      </w:pPr>
      <w:r w:rsidRPr="00E01C9E">
        <w:t>In 1990, Tokelau’s gross emissions were 3.37 kt CO</w:t>
      </w:r>
      <w:r w:rsidRPr="00E01C9E">
        <w:rPr>
          <w:vertAlign w:val="subscript"/>
        </w:rPr>
        <w:t>2</w:t>
      </w:r>
      <w:r w:rsidRPr="00E01C9E">
        <w:t>e. Between 1990 and 2024, total emissions increased by 24.8 percent (0.84 kt CO</w:t>
      </w:r>
      <w:r w:rsidRPr="00E01C9E">
        <w:rPr>
          <w:vertAlign w:val="subscript"/>
        </w:rPr>
        <w:t>2</w:t>
      </w:r>
      <w:r w:rsidRPr="00E01C9E">
        <w:t>e) to 4.21 kt CO</w:t>
      </w:r>
      <w:r w:rsidRPr="00E01C9E">
        <w:rPr>
          <w:vertAlign w:val="subscript"/>
        </w:rPr>
        <w:t>2</w:t>
      </w:r>
      <w:r w:rsidRPr="00E01C9E">
        <w:t>e (chapter 8, table 8.1.3 and figure 8.1.4). From 1990 to 2024, the average annual increase in gross emissions was 0.87 percent.</w:t>
      </w:r>
    </w:p>
    <w:p w14:paraId="5C67549C" w14:textId="77777777" w:rsidR="00F271C1" w:rsidRPr="00E01C9E" w:rsidRDefault="00F271C1" w:rsidP="00F271C1">
      <w:pPr>
        <w:pStyle w:val="BodyText"/>
      </w:pPr>
      <w:r w:rsidRPr="00E01C9E">
        <w:rPr>
          <w:spacing w:val="-2"/>
        </w:rPr>
        <w:t xml:space="preserve">The emissions increase was largely due to changes in the Energy sector. The emission categories that contributed the most to this change were </w:t>
      </w:r>
      <w:r w:rsidRPr="00E01C9E">
        <w:rPr>
          <w:i/>
          <w:iCs/>
          <w:spacing w:val="-2"/>
        </w:rPr>
        <w:t>Domestic navigation</w:t>
      </w:r>
      <w:r w:rsidRPr="00E01C9E">
        <w:rPr>
          <w:spacing w:val="-2"/>
        </w:rPr>
        <w:t xml:space="preserve"> and </w:t>
      </w:r>
      <w:r w:rsidRPr="00E01C9E">
        <w:rPr>
          <w:i/>
          <w:iCs/>
          <w:spacing w:val="-2"/>
        </w:rPr>
        <w:t>Electricity generation</w:t>
      </w:r>
      <w:r w:rsidRPr="00E01C9E">
        <w:t>.</w:t>
      </w:r>
    </w:p>
    <w:p w14:paraId="0325DE6F" w14:textId="77777777" w:rsidR="00F271C1" w:rsidRPr="00E01C9E" w:rsidRDefault="00F271C1" w:rsidP="00F271C1">
      <w:pPr>
        <w:pStyle w:val="BodyText"/>
      </w:pPr>
      <w:r w:rsidRPr="00E01C9E">
        <w:t xml:space="preserve">The changes in </w:t>
      </w:r>
      <w:r w:rsidRPr="00E01C9E">
        <w:rPr>
          <w:i/>
          <w:iCs/>
        </w:rPr>
        <w:t>Domestic navigation</w:t>
      </w:r>
      <w:r w:rsidRPr="00E01C9E">
        <w:t xml:space="preserve"> are a result of Tokelau gaining ownership and use of the ferry </w:t>
      </w:r>
      <w:r w:rsidRPr="00E01C9E">
        <w:rPr>
          <w:i/>
          <w:iCs/>
        </w:rPr>
        <w:t>Mataliki</w:t>
      </w:r>
      <w:r w:rsidRPr="00E01C9E">
        <w:t xml:space="preserve"> in 2016, cargo vessel </w:t>
      </w:r>
      <w:r w:rsidRPr="00E01C9E">
        <w:rPr>
          <w:i/>
          <w:iCs/>
        </w:rPr>
        <w:t>Kalopaga</w:t>
      </w:r>
      <w:r w:rsidRPr="00E01C9E">
        <w:t xml:space="preserve"> in 2018 and </w:t>
      </w:r>
      <w:r w:rsidRPr="00E01C9E">
        <w:rPr>
          <w:i/>
          <w:iCs/>
        </w:rPr>
        <w:t>Fetu o te Moana</w:t>
      </w:r>
      <w:r w:rsidRPr="00E01C9E">
        <w:t xml:space="preserve"> in 2019, leading to an increasing number of sea voyages between the atolls, which increased transport emissions.</w:t>
      </w:r>
    </w:p>
    <w:p w14:paraId="5ED3022B" w14:textId="77777777" w:rsidR="00F271C1" w:rsidRPr="00E01C9E" w:rsidRDefault="00F271C1" w:rsidP="00F271C1">
      <w:pPr>
        <w:pStyle w:val="BodyText"/>
      </w:pPr>
      <w:r w:rsidRPr="00E01C9E">
        <w:t xml:space="preserve">The changes in Tokelau’s Energy sector emissions from </w:t>
      </w:r>
      <w:r w:rsidRPr="00E01C9E">
        <w:rPr>
          <w:i/>
          <w:iCs/>
        </w:rPr>
        <w:t>Electricity generation</w:t>
      </w:r>
      <w:r w:rsidRPr="00E01C9E">
        <w:t xml:space="preserve"> drive the overall emissions trend observed across most of the time series. Initially, up until 2003, emissions </w:t>
      </w:r>
      <w:r w:rsidRPr="00E01C9E">
        <w:rPr>
          <w:spacing w:val="-2"/>
        </w:rPr>
        <w:t>from this source were relatively stable. A significant increase in emissions (of nearly 400 percent)</w:t>
      </w:r>
      <w:r w:rsidRPr="00E01C9E">
        <w:t xml:space="preserve"> was then observed between 2003 and 2011 due to an increase in the use of diesel generators for electricity production. This was followed by a significant drop in emissions occurring in 2012 and 2013 (by 82.5 percent), when solar electricity generation began. Toward the end of the time series, diesel generator use increased again as the generation from solar power decreased, with emissions increasing accordingly.</w:t>
      </w:r>
    </w:p>
    <w:p w14:paraId="60070E27" w14:textId="77777777" w:rsidR="00F271C1" w:rsidRPr="00E01C9E" w:rsidRDefault="00F271C1" w:rsidP="00F271C1">
      <w:pPr>
        <w:pStyle w:val="BodyText"/>
      </w:pPr>
      <w:r w:rsidRPr="00E01C9E">
        <w:t>Emissions from Tokelau’s IPPU sector have also increased mainly due to the introduction of air conditioning after 2006. Emissions from Tokelau’s Agriculture sector decreased as a result of a reduced population of pigs and chickens.</w:t>
      </w:r>
    </w:p>
    <w:p w14:paraId="09B6D98B" w14:textId="77777777" w:rsidR="00F271C1" w:rsidRPr="00E01C9E" w:rsidRDefault="00F271C1" w:rsidP="00F271C1">
      <w:pPr>
        <w:pStyle w:val="Figure"/>
      </w:pPr>
      <w:bookmarkStart w:id="160" w:name="_Toc226200661"/>
      <w:r w:rsidRPr="00E01C9E">
        <w:t xml:space="preserve">Figure 2.2.12 </w:t>
      </w:r>
      <w:r w:rsidRPr="00E01C9E">
        <w:tab/>
        <w:t xml:space="preserve">Emissions by sector for Tokelau, from </w:t>
      </w:r>
      <w:r w:rsidRPr="00E01C9E">
        <w:rPr>
          <w:bCs/>
        </w:rPr>
        <w:t>1990</w:t>
      </w:r>
      <w:r w:rsidRPr="00E01C9E">
        <w:t xml:space="preserve"> to </w:t>
      </w:r>
      <w:r w:rsidRPr="00E01C9E">
        <w:rPr>
          <w:bCs/>
        </w:rPr>
        <w:t>2024</w:t>
      </w:r>
      <w:bookmarkEnd w:id="160"/>
    </w:p>
    <w:p w14:paraId="46C46823" w14:textId="77777777" w:rsidR="00F271C1" w:rsidRPr="00E01C9E" w:rsidRDefault="00F271C1" w:rsidP="00F271C1">
      <w:pPr>
        <w:pStyle w:val="BodyText"/>
        <w:jc w:val="center"/>
      </w:pPr>
      <w:r w:rsidRPr="00E01C9E">
        <w:rPr>
          <w:noProof/>
        </w:rPr>
        <w:drawing>
          <wp:inline distT="0" distB="0" distL="0" distR="0" wp14:anchorId="489B2B28" wp14:editId="03D37174">
            <wp:extent cx="5364480" cy="3931920"/>
            <wp:effectExtent l="0" t="0" r="7620" b="0"/>
            <wp:docPr id="100" name="Picture"/>
            <wp:cNvGraphicFramePr/>
            <a:graphic xmlns:a="http://schemas.openxmlformats.org/drawingml/2006/main">
              <a:graphicData uri="http://schemas.openxmlformats.org/drawingml/2006/picture">
                <pic:pic xmlns:pic="http://schemas.openxmlformats.org/drawingml/2006/picture">
                  <pic:nvPicPr>
                    <pic:cNvPr id="101" name="Picture" descr="code/graphs/images/fig_2_2_12_crf.png"/>
                    <pic:cNvPicPr>
                      <a:picLocks noChangeAspect="1" noChangeArrowheads="1"/>
                    </pic:cNvPicPr>
                  </pic:nvPicPr>
                  <pic:blipFill rotWithShape="1">
                    <a:blip r:embed="rId46"/>
                    <a:srcRect b="2252"/>
                    <a:stretch>
                      <a:fillRect/>
                    </a:stretch>
                  </pic:blipFill>
                  <pic:spPr bwMode="auto">
                    <a:xfrm>
                      <a:off x="0" y="0"/>
                      <a:ext cx="5364720" cy="3932096"/>
                    </a:xfrm>
                    <a:prstGeom prst="rect">
                      <a:avLst/>
                    </a:prstGeom>
                    <a:noFill/>
                    <a:ln>
                      <a:noFill/>
                    </a:ln>
                    <a:extLst>
                      <a:ext uri="{53640926-AAD7-44D8-BBD7-CCE9431645EC}">
                        <a14:shadowObscured xmlns:a14="http://schemas.microsoft.com/office/drawing/2010/main"/>
                      </a:ext>
                    </a:extLst>
                  </pic:spPr>
                </pic:pic>
              </a:graphicData>
            </a:graphic>
          </wp:inline>
        </w:drawing>
      </w:r>
    </w:p>
    <w:p w14:paraId="77DBDADB" w14:textId="77777777" w:rsidR="00F271C1" w:rsidRPr="00E01C9E" w:rsidRDefault="00F271C1" w:rsidP="00F271C1">
      <w:pPr>
        <w:pStyle w:val="Heading3"/>
      </w:pPr>
      <w:bookmarkStart w:id="161" w:name="emission-trends-by-gas-from-1990-to-2024"/>
      <w:bookmarkEnd w:id="118"/>
      <w:bookmarkEnd w:id="154"/>
      <w:bookmarkEnd w:id="159"/>
      <w:r w:rsidRPr="00E01C9E">
        <w:t xml:space="preserve">2.2.3 </w:t>
      </w:r>
      <w:r w:rsidRPr="00E01C9E">
        <w:tab/>
        <w:t xml:space="preserve">Emission trends by gas from 1990 to </w:t>
      </w:r>
      <w:r w:rsidRPr="00E01C9E">
        <w:rPr>
          <w:bCs/>
        </w:rPr>
        <w:t>2024</w:t>
      </w:r>
    </w:p>
    <w:p w14:paraId="48680316" w14:textId="77777777" w:rsidR="00F271C1" w:rsidRPr="00E01C9E" w:rsidRDefault="00F271C1" w:rsidP="00F271C1">
      <w:pPr>
        <w:pStyle w:val="BodyText"/>
      </w:pPr>
      <w:r w:rsidRPr="00E01C9E">
        <w:t>Inventory reporting under the Paris Agreement and the Convention covers the following direct GHGs: CO</w:t>
      </w:r>
      <w:r w:rsidRPr="00E01C9E">
        <w:rPr>
          <w:vertAlign w:val="subscript"/>
        </w:rPr>
        <w:t>2</w:t>
      </w:r>
      <w:r w:rsidRPr="00E01C9E">
        <w:t>, CH</w:t>
      </w:r>
      <w:r w:rsidRPr="00E01C9E">
        <w:rPr>
          <w:vertAlign w:val="subscript"/>
        </w:rPr>
        <w:t>4</w:t>
      </w:r>
      <w:r w:rsidRPr="00E01C9E">
        <w:t>, N</w:t>
      </w:r>
      <w:r w:rsidRPr="00E01C9E">
        <w:rPr>
          <w:vertAlign w:val="subscript"/>
        </w:rPr>
        <w:t>2</w:t>
      </w:r>
      <w:r w:rsidRPr="00E01C9E">
        <w:t>O, SF</w:t>
      </w:r>
      <w:r w:rsidRPr="00E01C9E">
        <w:rPr>
          <w:vertAlign w:val="subscript"/>
        </w:rPr>
        <w:t>6</w:t>
      </w:r>
      <w:r w:rsidRPr="00E01C9E">
        <w:t>, PFCs, HFCs and NF</w:t>
      </w:r>
      <w:r w:rsidRPr="00E01C9E">
        <w:rPr>
          <w:vertAlign w:val="subscript"/>
        </w:rPr>
        <w:t>3</w:t>
      </w:r>
      <w:r w:rsidRPr="00E01C9E">
        <w:t>. No NF</w:t>
      </w:r>
      <w:r w:rsidRPr="00E01C9E">
        <w:rPr>
          <w:vertAlign w:val="subscript"/>
        </w:rPr>
        <w:t>3</w:t>
      </w:r>
      <w:r w:rsidRPr="00E01C9E">
        <w:t xml:space="preserve"> data are included in this report because NF</w:t>
      </w:r>
      <w:r w:rsidRPr="00E01C9E">
        <w:rPr>
          <w:vertAlign w:val="subscript"/>
        </w:rPr>
        <w:t>3</w:t>
      </w:r>
      <w:r w:rsidRPr="00E01C9E">
        <w:t xml:space="preserve"> emissions do not occur in New Zealand.</w:t>
      </w:r>
    </w:p>
    <w:p w14:paraId="594B42D3" w14:textId="77777777" w:rsidR="00F271C1" w:rsidRPr="00E01C9E" w:rsidRDefault="00F271C1" w:rsidP="00F271C1">
      <w:pPr>
        <w:pStyle w:val="BodyText"/>
      </w:pPr>
      <w:r w:rsidRPr="00E01C9E">
        <w:t>Table 2.2.3 provides a summary of gross emissions for each gas in 1990, 2005 and 2024 and the changes since 1990 and 2005.</w:t>
      </w:r>
    </w:p>
    <w:p w14:paraId="374F7EB5" w14:textId="77777777" w:rsidR="00F271C1" w:rsidRPr="00E01C9E" w:rsidRDefault="00F271C1" w:rsidP="00F271C1">
      <w:pPr>
        <w:pStyle w:val="Table"/>
      </w:pPr>
      <w:bookmarkStart w:id="162" w:name="_Toc226668951"/>
      <w:r w:rsidRPr="00E01C9E">
        <w:t xml:space="preserve">Table 2.2.3 </w:t>
      </w:r>
      <w:r w:rsidRPr="00E01C9E">
        <w:tab/>
        <w:t>New Zealand’s gross emissions by gas in 1990, 2005 and 2024</w:t>
      </w:r>
      <w:bookmarkEnd w:id="16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417"/>
        <w:gridCol w:w="1077"/>
        <w:gridCol w:w="789"/>
        <w:gridCol w:w="789"/>
        <w:gridCol w:w="1134"/>
        <w:gridCol w:w="1077"/>
        <w:gridCol w:w="1134"/>
        <w:gridCol w:w="1077"/>
      </w:tblGrid>
      <w:tr w:rsidR="00F271C1" w:rsidRPr="00E01C9E" w14:paraId="08C13DB2" w14:textId="77777777" w:rsidTr="00F16E23">
        <w:trPr>
          <w:tblHeader/>
        </w:trPr>
        <w:tc>
          <w:tcPr>
            <w:tcW w:w="1418" w:type="dxa"/>
            <w:shd w:val="clear" w:color="auto" w:fill="1C556C" w:themeFill="accent1"/>
            <w:tcMar>
              <w:top w:w="0" w:type="dxa"/>
              <w:left w:w="85" w:type="dxa"/>
              <w:bottom w:w="0" w:type="dxa"/>
              <w:right w:w="85" w:type="dxa"/>
            </w:tcMar>
            <w:vAlign w:val="bottom"/>
          </w:tcPr>
          <w:p w14:paraId="7FBCA85D" w14:textId="77777777" w:rsidR="00F271C1" w:rsidRPr="00E01C9E" w:rsidRDefault="00F271C1" w:rsidP="00F16E23">
            <w:pPr>
              <w:pStyle w:val="TableTextBold"/>
              <w:spacing w:before="40" w:after="40"/>
              <w:rPr>
                <w:noProof w:val="0"/>
                <w:color w:val="FFFFFF" w:themeColor="background1"/>
                <w:szCs w:val="16"/>
              </w:rPr>
            </w:pPr>
            <w:r w:rsidRPr="00E01C9E">
              <w:rPr>
                <w:rFonts w:eastAsia="Calibri"/>
                <w:noProof w:val="0"/>
                <w:color w:val="FFFFFF" w:themeColor="background1"/>
                <w:szCs w:val="16"/>
              </w:rPr>
              <w:t>Direct greenhouse gas emissions</w:t>
            </w:r>
          </w:p>
        </w:tc>
        <w:tc>
          <w:tcPr>
            <w:tcW w:w="1077" w:type="dxa"/>
            <w:shd w:val="clear" w:color="auto" w:fill="1C556C" w:themeFill="accent1"/>
            <w:tcMar>
              <w:top w:w="0" w:type="dxa"/>
              <w:left w:w="85" w:type="dxa"/>
              <w:bottom w:w="0" w:type="dxa"/>
              <w:right w:w="85" w:type="dxa"/>
            </w:tcMar>
            <w:vAlign w:val="bottom"/>
          </w:tcPr>
          <w:p w14:paraId="0393E3FC"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1990</w:t>
            </w:r>
          </w:p>
        </w:tc>
        <w:tc>
          <w:tcPr>
            <w:tcW w:w="0" w:type="auto"/>
            <w:shd w:val="clear" w:color="auto" w:fill="1C556C" w:themeFill="accent1"/>
            <w:tcMar>
              <w:top w:w="0" w:type="dxa"/>
              <w:left w:w="85" w:type="dxa"/>
              <w:bottom w:w="0" w:type="dxa"/>
              <w:right w:w="85" w:type="dxa"/>
            </w:tcMar>
            <w:vAlign w:val="bottom"/>
          </w:tcPr>
          <w:p w14:paraId="5B9DF91C"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2005</w:t>
            </w:r>
          </w:p>
        </w:tc>
        <w:tc>
          <w:tcPr>
            <w:tcW w:w="0" w:type="auto"/>
            <w:shd w:val="clear" w:color="auto" w:fill="1C556C" w:themeFill="accent1"/>
            <w:tcMar>
              <w:top w:w="0" w:type="dxa"/>
              <w:left w:w="85" w:type="dxa"/>
              <w:bottom w:w="0" w:type="dxa"/>
              <w:right w:w="85" w:type="dxa"/>
            </w:tcMar>
            <w:vAlign w:val="bottom"/>
          </w:tcPr>
          <w:p w14:paraId="566A9AB6"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2024</w:t>
            </w:r>
          </w:p>
        </w:tc>
        <w:tc>
          <w:tcPr>
            <w:tcW w:w="1134" w:type="dxa"/>
            <w:shd w:val="clear" w:color="auto" w:fill="1C556C" w:themeFill="accent1"/>
            <w:tcMar>
              <w:top w:w="0" w:type="dxa"/>
              <w:left w:w="85" w:type="dxa"/>
              <w:bottom w:w="0" w:type="dxa"/>
              <w:right w:w="85" w:type="dxa"/>
            </w:tcMar>
            <w:vAlign w:val="bottom"/>
          </w:tcPr>
          <w:p w14:paraId="52BE1567"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1990 (kt CO</w:t>
            </w:r>
            <w:r w:rsidRPr="00E01C9E">
              <w:rPr>
                <w:rFonts w:eastAsia="Calibri"/>
                <w:noProof w:val="0"/>
                <w:color w:val="FFFFFF" w:themeColor="background1"/>
                <w:szCs w:val="16"/>
                <w:vertAlign w:val="subscript"/>
              </w:rPr>
              <w:t>2</w:t>
            </w:r>
            <w:r w:rsidRPr="00E01C9E">
              <w:rPr>
                <w:rFonts w:eastAsia="Calibri"/>
                <w:noProof w:val="0"/>
                <w:color w:val="FFFFFF" w:themeColor="background1"/>
                <w:szCs w:val="16"/>
              </w:rPr>
              <w:t>e)</w:t>
            </w:r>
          </w:p>
        </w:tc>
        <w:tc>
          <w:tcPr>
            <w:tcW w:w="1077" w:type="dxa"/>
            <w:shd w:val="clear" w:color="auto" w:fill="1C556C" w:themeFill="accent1"/>
            <w:tcMar>
              <w:top w:w="0" w:type="dxa"/>
              <w:left w:w="85" w:type="dxa"/>
              <w:bottom w:w="0" w:type="dxa"/>
              <w:right w:w="85" w:type="dxa"/>
            </w:tcMar>
            <w:vAlign w:val="bottom"/>
          </w:tcPr>
          <w:p w14:paraId="6147EFBA"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1990 (%)</w:t>
            </w:r>
          </w:p>
        </w:tc>
        <w:tc>
          <w:tcPr>
            <w:tcW w:w="1134" w:type="dxa"/>
            <w:shd w:val="clear" w:color="auto" w:fill="1C556C" w:themeFill="accent1"/>
            <w:tcMar>
              <w:top w:w="0" w:type="dxa"/>
              <w:left w:w="85" w:type="dxa"/>
              <w:bottom w:w="0" w:type="dxa"/>
              <w:right w:w="85" w:type="dxa"/>
            </w:tcMar>
            <w:vAlign w:val="bottom"/>
          </w:tcPr>
          <w:p w14:paraId="1FC48E36"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2005 (kt CO</w:t>
            </w:r>
            <w:r w:rsidRPr="00E01C9E">
              <w:rPr>
                <w:rFonts w:eastAsia="Calibri"/>
                <w:noProof w:val="0"/>
                <w:color w:val="FFFFFF" w:themeColor="background1"/>
                <w:szCs w:val="16"/>
                <w:vertAlign w:val="subscript"/>
              </w:rPr>
              <w:t>2</w:t>
            </w:r>
            <w:r w:rsidRPr="00E01C9E">
              <w:rPr>
                <w:rFonts w:eastAsia="Calibri"/>
                <w:noProof w:val="0"/>
                <w:color w:val="FFFFFF" w:themeColor="background1"/>
                <w:szCs w:val="16"/>
              </w:rPr>
              <w:t>e)</w:t>
            </w:r>
          </w:p>
        </w:tc>
        <w:tc>
          <w:tcPr>
            <w:tcW w:w="1077" w:type="dxa"/>
            <w:shd w:val="clear" w:color="auto" w:fill="1C556C" w:themeFill="accent1"/>
            <w:tcMar>
              <w:top w:w="0" w:type="dxa"/>
              <w:left w:w="85" w:type="dxa"/>
              <w:bottom w:w="0" w:type="dxa"/>
              <w:right w:w="85" w:type="dxa"/>
            </w:tcMar>
            <w:vAlign w:val="bottom"/>
          </w:tcPr>
          <w:p w14:paraId="529066B6" w14:textId="77777777" w:rsidR="00F271C1" w:rsidRPr="00E01C9E" w:rsidRDefault="00F271C1" w:rsidP="00F16E23">
            <w:pPr>
              <w:pStyle w:val="TableTextBold"/>
              <w:spacing w:before="40" w:after="40"/>
              <w:jc w:val="right"/>
              <w:rPr>
                <w:noProof w:val="0"/>
                <w:color w:val="FFFFFF" w:themeColor="background1"/>
                <w:szCs w:val="16"/>
              </w:rPr>
            </w:pPr>
            <w:r w:rsidRPr="00E01C9E">
              <w:rPr>
                <w:rFonts w:eastAsia="Calibri"/>
                <w:noProof w:val="0"/>
                <w:color w:val="FFFFFF" w:themeColor="background1"/>
                <w:szCs w:val="16"/>
              </w:rPr>
              <w:t>Change from 2005 (%)</w:t>
            </w:r>
          </w:p>
        </w:tc>
      </w:tr>
      <w:tr w:rsidR="00F271C1" w:rsidRPr="00E01C9E" w14:paraId="18A66809" w14:textId="77777777" w:rsidTr="00F16E23">
        <w:tc>
          <w:tcPr>
            <w:tcW w:w="1418" w:type="dxa"/>
            <w:shd w:val="clear" w:color="auto" w:fill="FFFFFF" w:themeFill="background1"/>
            <w:tcMar>
              <w:top w:w="0" w:type="dxa"/>
              <w:left w:w="85" w:type="dxa"/>
              <w:bottom w:w="0" w:type="dxa"/>
              <w:right w:w="85" w:type="dxa"/>
            </w:tcMar>
            <w:vAlign w:val="center"/>
          </w:tcPr>
          <w:p w14:paraId="78688684" w14:textId="77777777" w:rsidR="00F271C1" w:rsidRPr="00E01C9E" w:rsidRDefault="00F271C1" w:rsidP="00F16E23">
            <w:pPr>
              <w:pStyle w:val="TableText"/>
              <w:spacing w:before="40" w:after="40"/>
              <w:rPr>
                <w:szCs w:val="16"/>
              </w:rPr>
            </w:pPr>
            <w:r w:rsidRPr="00E01C9E">
              <w:rPr>
                <w:rFonts w:eastAsia="Calibri"/>
                <w:szCs w:val="16"/>
              </w:rPr>
              <w:t>CO</w:t>
            </w:r>
            <w:r w:rsidRPr="00E01C9E">
              <w:rPr>
                <w:rFonts w:eastAsia="Calibri"/>
                <w:szCs w:val="16"/>
                <w:vertAlign w:val="subscript"/>
              </w:rPr>
              <w:t>2</w:t>
            </w:r>
          </w:p>
        </w:tc>
        <w:tc>
          <w:tcPr>
            <w:tcW w:w="1077" w:type="dxa"/>
            <w:shd w:val="clear" w:color="auto" w:fill="FFFFFF" w:themeFill="background1"/>
            <w:tcMar>
              <w:top w:w="0" w:type="dxa"/>
              <w:left w:w="85" w:type="dxa"/>
              <w:bottom w:w="0" w:type="dxa"/>
              <w:right w:w="85" w:type="dxa"/>
            </w:tcMar>
            <w:vAlign w:val="center"/>
          </w:tcPr>
          <w:p w14:paraId="5CFD6046" w14:textId="77777777" w:rsidR="00F271C1" w:rsidRPr="00E01C9E" w:rsidRDefault="00F271C1" w:rsidP="00F16E23">
            <w:pPr>
              <w:pStyle w:val="TableText"/>
              <w:spacing w:before="40" w:after="40"/>
              <w:jc w:val="right"/>
              <w:rPr>
                <w:szCs w:val="16"/>
              </w:rPr>
            </w:pPr>
            <w:r w:rsidRPr="00E01C9E">
              <w:rPr>
                <w:rFonts w:eastAsia="Calibri"/>
                <w:szCs w:val="16"/>
              </w:rPr>
              <w:t>25,521.7</w:t>
            </w:r>
          </w:p>
        </w:tc>
        <w:tc>
          <w:tcPr>
            <w:tcW w:w="0" w:type="auto"/>
            <w:shd w:val="clear" w:color="auto" w:fill="FFFFFF" w:themeFill="background1"/>
            <w:tcMar>
              <w:top w:w="0" w:type="dxa"/>
              <w:left w:w="85" w:type="dxa"/>
              <w:bottom w:w="0" w:type="dxa"/>
              <w:right w:w="85" w:type="dxa"/>
            </w:tcMar>
            <w:vAlign w:val="center"/>
          </w:tcPr>
          <w:p w14:paraId="7F63540A" w14:textId="77777777" w:rsidR="00F271C1" w:rsidRPr="00E01C9E" w:rsidRDefault="00F271C1" w:rsidP="00F16E23">
            <w:pPr>
              <w:pStyle w:val="TableText"/>
              <w:spacing w:before="40" w:after="40"/>
              <w:jc w:val="right"/>
              <w:rPr>
                <w:szCs w:val="16"/>
              </w:rPr>
            </w:pPr>
            <w:r w:rsidRPr="00E01C9E">
              <w:rPr>
                <w:rFonts w:eastAsia="Calibri"/>
                <w:szCs w:val="16"/>
              </w:rPr>
              <w:t>37,427.1</w:t>
            </w:r>
          </w:p>
        </w:tc>
        <w:tc>
          <w:tcPr>
            <w:tcW w:w="0" w:type="auto"/>
            <w:shd w:val="clear" w:color="auto" w:fill="FFFFFF" w:themeFill="background1"/>
            <w:tcMar>
              <w:top w:w="0" w:type="dxa"/>
              <w:left w:w="85" w:type="dxa"/>
              <w:bottom w:w="0" w:type="dxa"/>
              <w:right w:w="85" w:type="dxa"/>
            </w:tcMar>
            <w:vAlign w:val="center"/>
          </w:tcPr>
          <w:p w14:paraId="209BF214" w14:textId="77777777" w:rsidR="00F271C1" w:rsidRPr="00E01C9E" w:rsidRDefault="00F271C1" w:rsidP="00F16E23">
            <w:pPr>
              <w:pStyle w:val="TableText"/>
              <w:spacing w:before="40" w:after="40"/>
              <w:jc w:val="right"/>
            </w:pPr>
            <w:r w:rsidRPr="00E01C9E">
              <w:rPr>
                <w:rFonts w:eastAsia="Calibri"/>
              </w:rPr>
              <w:t>31,436.2</w:t>
            </w:r>
          </w:p>
        </w:tc>
        <w:tc>
          <w:tcPr>
            <w:tcW w:w="1134" w:type="dxa"/>
            <w:shd w:val="clear" w:color="auto" w:fill="FFFFFF" w:themeFill="background1"/>
            <w:tcMar>
              <w:top w:w="0" w:type="dxa"/>
              <w:left w:w="85" w:type="dxa"/>
              <w:bottom w:w="0" w:type="dxa"/>
              <w:right w:w="85" w:type="dxa"/>
            </w:tcMar>
            <w:vAlign w:val="center"/>
          </w:tcPr>
          <w:p w14:paraId="19A2B937" w14:textId="77777777" w:rsidR="00F271C1" w:rsidRPr="00E01C9E" w:rsidRDefault="00F271C1" w:rsidP="00F16E23">
            <w:pPr>
              <w:pStyle w:val="TableText"/>
              <w:spacing w:before="40" w:after="40"/>
              <w:jc w:val="right"/>
            </w:pPr>
            <w:r w:rsidRPr="00E01C9E">
              <w:rPr>
                <w:rFonts w:eastAsia="Calibri"/>
              </w:rPr>
              <w:t>5,914.4</w:t>
            </w:r>
          </w:p>
        </w:tc>
        <w:tc>
          <w:tcPr>
            <w:tcW w:w="1077" w:type="dxa"/>
            <w:shd w:val="clear" w:color="auto" w:fill="FFFFFF" w:themeFill="background1"/>
            <w:tcMar>
              <w:top w:w="0" w:type="dxa"/>
              <w:left w:w="85" w:type="dxa"/>
              <w:bottom w:w="0" w:type="dxa"/>
              <w:right w:w="85" w:type="dxa"/>
            </w:tcMar>
            <w:vAlign w:val="center"/>
          </w:tcPr>
          <w:p w14:paraId="12A8458E" w14:textId="77777777" w:rsidR="00F271C1" w:rsidRPr="00E01C9E" w:rsidRDefault="00F271C1" w:rsidP="00F16E23">
            <w:pPr>
              <w:pStyle w:val="TableText"/>
              <w:spacing w:before="40" w:after="40"/>
              <w:jc w:val="right"/>
            </w:pPr>
            <w:r w:rsidRPr="00E01C9E">
              <w:rPr>
                <w:rFonts w:eastAsia="Calibri"/>
              </w:rPr>
              <w:t>23.2</w:t>
            </w:r>
          </w:p>
        </w:tc>
        <w:tc>
          <w:tcPr>
            <w:tcW w:w="1134" w:type="dxa"/>
            <w:shd w:val="clear" w:color="auto" w:fill="FFFFFF" w:themeFill="background1"/>
            <w:tcMar>
              <w:top w:w="0" w:type="dxa"/>
              <w:left w:w="85" w:type="dxa"/>
              <w:bottom w:w="0" w:type="dxa"/>
              <w:right w:w="85" w:type="dxa"/>
            </w:tcMar>
            <w:vAlign w:val="center"/>
          </w:tcPr>
          <w:p w14:paraId="5C811281" w14:textId="77777777" w:rsidR="00F271C1" w:rsidRPr="00E01C9E" w:rsidRDefault="00F271C1" w:rsidP="00F16E23">
            <w:pPr>
              <w:pStyle w:val="TableText"/>
              <w:spacing w:before="40" w:after="40"/>
              <w:jc w:val="right"/>
            </w:pPr>
            <w:r w:rsidRPr="00E01C9E">
              <w:rPr>
                <w:rFonts w:eastAsia="Calibri"/>
              </w:rPr>
              <w:t>-5,990.9</w:t>
            </w:r>
          </w:p>
        </w:tc>
        <w:tc>
          <w:tcPr>
            <w:tcW w:w="1077" w:type="dxa"/>
            <w:shd w:val="clear" w:color="auto" w:fill="FFFFFF" w:themeFill="background1"/>
            <w:tcMar>
              <w:top w:w="0" w:type="dxa"/>
              <w:left w:w="85" w:type="dxa"/>
              <w:bottom w:w="0" w:type="dxa"/>
              <w:right w:w="85" w:type="dxa"/>
            </w:tcMar>
            <w:vAlign w:val="center"/>
          </w:tcPr>
          <w:p w14:paraId="5EAFC85C" w14:textId="77777777" w:rsidR="00F271C1" w:rsidRPr="00E01C9E" w:rsidRDefault="00F271C1" w:rsidP="00F16E23">
            <w:pPr>
              <w:pStyle w:val="TableText"/>
              <w:spacing w:before="40" w:after="40"/>
              <w:jc w:val="right"/>
            </w:pPr>
            <w:r w:rsidRPr="00E01C9E">
              <w:rPr>
                <w:rFonts w:eastAsia="Calibri"/>
              </w:rPr>
              <w:t>-16.0</w:t>
            </w:r>
          </w:p>
        </w:tc>
      </w:tr>
      <w:tr w:rsidR="00F271C1" w:rsidRPr="00E01C9E" w14:paraId="5D6D335A" w14:textId="77777777" w:rsidTr="00F16E23">
        <w:tc>
          <w:tcPr>
            <w:tcW w:w="1418" w:type="dxa"/>
            <w:shd w:val="clear" w:color="auto" w:fill="FFFFFF" w:themeFill="background1"/>
            <w:tcMar>
              <w:top w:w="0" w:type="dxa"/>
              <w:left w:w="85" w:type="dxa"/>
              <w:bottom w:w="0" w:type="dxa"/>
              <w:right w:w="85" w:type="dxa"/>
            </w:tcMar>
            <w:vAlign w:val="center"/>
          </w:tcPr>
          <w:p w14:paraId="42F1E95A" w14:textId="77777777" w:rsidR="00F271C1" w:rsidRPr="00E01C9E" w:rsidRDefault="00F271C1" w:rsidP="00F16E23">
            <w:pPr>
              <w:pStyle w:val="TableText"/>
              <w:spacing w:before="40" w:after="40"/>
              <w:rPr>
                <w:szCs w:val="16"/>
              </w:rPr>
            </w:pPr>
            <w:r w:rsidRPr="00E01C9E">
              <w:rPr>
                <w:rFonts w:eastAsia="Calibri"/>
                <w:szCs w:val="16"/>
              </w:rPr>
              <w:t>CH</w:t>
            </w:r>
            <w:r w:rsidRPr="00E01C9E">
              <w:rPr>
                <w:rFonts w:eastAsia="Calibri"/>
                <w:szCs w:val="16"/>
                <w:vertAlign w:val="subscript"/>
              </w:rPr>
              <w:t>4</w:t>
            </w:r>
          </w:p>
        </w:tc>
        <w:tc>
          <w:tcPr>
            <w:tcW w:w="1077" w:type="dxa"/>
            <w:shd w:val="clear" w:color="auto" w:fill="FFFFFF" w:themeFill="background1"/>
            <w:tcMar>
              <w:top w:w="0" w:type="dxa"/>
              <w:left w:w="85" w:type="dxa"/>
              <w:bottom w:w="0" w:type="dxa"/>
              <w:right w:w="85" w:type="dxa"/>
            </w:tcMar>
            <w:vAlign w:val="center"/>
          </w:tcPr>
          <w:p w14:paraId="5591F17E" w14:textId="77777777" w:rsidR="00F271C1" w:rsidRPr="00E01C9E" w:rsidRDefault="00F271C1" w:rsidP="00F16E23">
            <w:pPr>
              <w:pStyle w:val="TableText"/>
              <w:spacing w:before="40" w:after="40"/>
              <w:jc w:val="right"/>
              <w:rPr>
                <w:szCs w:val="16"/>
              </w:rPr>
            </w:pPr>
            <w:r w:rsidRPr="00E01C9E">
              <w:rPr>
                <w:rFonts w:eastAsia="Calibri"/>
                <w:szCs w:val="16"/>
              </w:rPr>
              <w:t>36,318.3</w:t>
            </w:r>
          </w:p>
        </w:tc>
        <w:tc>
          <w:tcPr>
            <w:tcW w:w="0" w:type="auto"/>
            <w:shd w:val="clear" w:color="auto" w:fill="FFFFFF" w:themeFill="background1"/>
            <w:tcMar>
              <w:top w:w="0" w:type="dxa"/>
              <w:left w:w="85" w:type="dxa"/>
              <w:bottom w:w="0" w:type="dxa"/>
              <w:right w:w="85" w:type="dxa"/>
            </w:tcMar>
            <w:vAlign w:val="center"/>
          </w:tcPr>
          <w:p w14:paraId="5AEA59C5" w14:textId="77777777" w:rsidR="00F271C1" w:rsidRPr="00E01C9E" w:rsidRDefault="00F271C1" w:rsidP="00F16E23">
            <w:pPr>
              <w:pStyle w:val="TableText"/>
              <w:spacing w:before="40" w:after="40"/>
              <w:jc w:val="right"/>
              <w:rPr>
                <w:rFonts w:eastAsia="Calibri"/>
                <w:color w:val="000000" w:themeColor="text1"/>
                <w:szCs w:val="16"/>
              </w:rPr>
            </w:pPr>
            <w:r w:rsidRPr="00E01C9E">
              <w:rPr>
                <w:rFonts w:eastAsia="Calibri"/>
                <w:color w:val="000000" w:themeColor="text1"/>
                <w:szCs w:val="16"/>
              </w:rPr>
              <w:t>40,453.2</w:t>
            </w:r>
          </w:p>
        </w:tc>
        <w:tc>
          <w:tcPr>
            <w:tcW w:w="0" w:type="auto"/>
            <w:shd w:val="clear" w:color="auto" w:fill="FFFFFF" w:themeFill="background1"/>
            <w:tcMar>
              <w:top w:w="0" w:type="dxa"/>
              <w:left w:w="85" w:type="dxa"/>
              <w:bottom w:w="0" w:type="dxa"/>
              <w:right w:w="85" w:type="dxa"/>
            </w:tcMar>
            <w:vAlign w:val="center"/>
          </w:tcPr>
          <w:p w14:paraId="6B82C317" w14:textId="77777777" w:rsidR="00F271C1" w:rsidRPr="00E01C9E" w:rsidRDefault="00F271C1" w:rsidP="00F16E23">
            <w:pPr>
              <w:pStyle w:val="TableText"/>
              <w:spacing w:before="40" w:after="40"/>
              <w:jc w:val="right"/>
              <w:rPr>
                <w:rFonts w:eastAsia="Calibri"/>
                <w:color w:val="000000" w:themeColor="text1"/>
                <w:szCs w:val="16"/>
              </w:rPr>
            </w:pPr>
            <w:r w:rsidRPr="00E01C9E">
              <w:rPr>
                <w:rFonts w:eastAsia="Calibri"/>
                <w:color w:val="000000" w:themeColor="text1"/>
                <w:szCs w:val="16"/>
              </w:rPr>
              <w:t>36,514.1</w:t>
            </w:r>
          </w:p>
        </w:tc>
        <w:tc>
          <w:tcPr>
            <w:tcW w:w="1134" w:type="dxa"/>
            <w:shd w:val="clear" w:color="auto" w:fill="FFFFFF" w:themeFill="background1"/>
            <w:tcMar>
              <w:top w:w="0" w:type="dxa"/>
              <w:left w:w="85" w:type="dxa"/>
              <w:bottom w:w="0" w:type="dxa"/>
              <w:right w:w="85" w:type="dxa"/>
            </w:tcMar>
            <w:vAlign w:val="center"/>
          </w:tcPr>
          <w:p w14:paraId="1283321C" w14:textId="77777777" w:rsidR="00F271C1" w:rsidRPr="00E01C9E" w:rsidRDefault="00F271C1" w:rsidP="00F16E23">
            <w:pPr>
              <w:pStyle w:val="TableText"/>
              <w:spacing w:before="40" w:after="40"/>
              <w:jc w:val="right"/>
              <w:rPr>
                <w:rFonts w:eastAsia="Calibri"/>
                <w:color w:val="000000" w:themeColor="text1"/>
                <w:szCs w:val="16"/>
              </w:rPr>
            </w:pPr>
            <w:r w:rsidRPr="00E01C9E">
              <w:rPr>
                <w:rFonts w:eastAsia="Calibri"/>
                <w:color w:val="000000" w:themeColor="text1"/>
                <w:szCs w:val="16"/>
              </w:rPr>
              <w:t>195.8</w:t>
            </w:r>
          </w:p>
        </w:tc>
        <w:tc>
          <w:tcPr>
            <w:tcW w:w="1077" w:type="dxa"/>
            <w:shd w:val="clear" w:color="auto" w:fill="FFFFFF" w:themeFill="background1"/>
            <w:tcMar>
              <w:top w:w="0" w:type="dxa"/>
              <w:left w:w="85" w:type="dxa"/>
              <w:bottom w:w="0" w:type="dxa"/>
              <w:right w:w="85" w:type="dxa"/>
            </w:tcMar>
            <w:vAlign w:val="center"/>
          </w:tcPr>
          <w:p w14:paraId="4E260D40" w14:textId="77777777" w:rsidR="00F271C1" w:rsidRPr="00E01C9E" w:rsidRDefault="00F271C1" w:rsidP="00F16E23">
            <w:pPr>
              <w:pStyle w:val="TableText"/>
              <w:spacing w:before="40" w:after="40"/>
              <w:jc w:val="right"/>
              <w:rPr>
                <w:rFonts w:eastAsia="Calibri"/>
                <w:color w:val="000000" w:themeColor="text1"/>
                <w:szCs w:val="16"/>
              </w:rPr>
            </w:pPr>
            <w:r w:rsidRPr="00E01C9E">
              <w:rPr>
                <w:rFonts w:eastAsia="Calibri"/>
                <w:color w:val="000000" w:themeColor="text1"/>
                <w:szCs w:val="16"/>
              </w:rPr>
              <w:t>0.5</w:t>
            </w:r>
          </w:p>
        </w:tc>
        <w:tc>
          <w:tcPr>
            <w:tcW w:w="1134" w:type="dxa"/>
            <w:shd w:val="clear" w:color="auto" w:fill="FFFFFF" w:themeFill="background1"/>
            <w:tcMar>
              <w:top w:w="0" w:type="dxa"/>
              <w:left w:w="85" w:type="dxa"/>
              <w:bottom w:w="0" w:type="dxa"/>
              <w:right w:w="85" w:type="dxa"/>
            </w:tcMar>
            <w:vAlign w:val="center"/>
          </w:tcPr>
          <w:p w14:paraId="24D7291E" w14:textId="77777777" w:rsidR="00F271C1" w:rsidRPr="00E01C9E" w:rsidRDefault="00F271C1" w:rsidP="00F16E23">
            <w:pPr>
              <w:pStyle w:val="TableText"/>
              <w:spacing w:before="40" w:after="40"/>
              <w:jc w:val="right"/>
              <w:rPr>
                <w:rFonts w:eastAsia="Calibri"/>
                <w:color w:val="000000" w:themeColor="text1"/>
                <w:szCs w:val="16"/>
              </w:rPr>
            </w:pPr>
            <w:r w:rsidRPr="00E01C9E">
              <w:rPr>
                <w:rFonts w:eastAsia="Calibri"/>
                <w:color w:val="000000" w:themeColor="text1"/>
                <w:szCs w:val="16"/>
              </w:rPr>
              <w:t>-3,939.2</w:t>
            </w:r>
          </w:p>
        </w:tc>
        <w:tc>
          <w:tcPr>
            <w:tcW w:w="1077" w:type="dxa"/>
            <w:shd w:val="clear" w:color="auto" w:fill="FFFFFF" w:themeFill="background1"/>
            <w:tcMar>
              <w:top w:w="0" w:type="dxa"/>
              <w:left w:w="85" w:type="dxa"/>
              <w:bottom w:w="0" w:type="dxa"/>
              <w:right w:w="85" w:type="dxa"/>
            </w:tcMar>
            <w:vAlign w:val="center"/>
          </w:tcPr>
          <w:p w14:paraId="6D5127B5" w14:textId="77777777" w:rsidR="00F271C1" w:rsidRPr="00E01C9E" w:rsidRDefault="00F271C1" w:rsidP="00F16E23">
            <w:pPr>
              <w:pStyle w:val="TableText"/>
              <w:spacing w:before="40" w:after="40"/>
              <w:jc w:val="right"/>
              <w:rPr>
                <w:szCs w:val="16"/>
              </w:rPr>
            </w:pPr>
            <w:r w:rsidRPr="00E01C9E">
              <w:rPr>
                <w:rFonts w:eastAsia="Calibri"/>
                <w:szCs w:val="16"/>
              </w:rPr>
              <w:t>-9.7</w:t>
            </w:r>
          </w:p>
        </w:tc>
      </w:tr>
      <w:tr w:rsidR="00F271C1" w:rsidRPr="00E01C9E" w14:paraId="0ECFCC8E" w14:textId="77777777" w:rsidTr="00F16E23">
        <w:tc>
          <w:tcPr>
            <w:tcW w:w="1418" w:type="dxa"/>
            <w:shd w:val="clear" w:color="auto" w:fill="FFFFFF" w:themeFill="background1"/>
            <w:tcMar>
              <w:top w:w="0" w:type="dxa"/>
              <w:left w:w="85" w:type="dxa"/>
              <w:bottom w:w="0" w:type="dxa"/>
              <w:right w:w="85" w:type="dxa"/>
            </w:tcMar>
            <w:vAlign w:val="center"/>
          </w:tcPr>
          <w:p w14:paraId="4157F36A" w14:textId="77777777" w:rsidR="00F271C1" w:rsidRPr="00E01C9E" w:rsidRDefault="00F271C1" w:rsidP="00F16E23">
            <w:pPr>
              <w:pStyle w:val="TableText"/>
              <w:spacing w:before="40" w:after="40"/>
              <w:rPr>
                <w:szCs w:val="16"/>
              </w:rPr>
            </w:pPr>
            <w:r w:rsidRPr="00E01C9E">
              <w:rPr>
                <w:rFonts w:eastAsia="Calibri"/>
                <w:szCs w:val="16"/>
              </w:rPr>
              <w:t>N</w:t>
            </w:r>
            <w:r w:rsidRPr="00E01C9E">
              <w:rPr>
                <w:rFonts w:eastAsia="Calibri"/>
                <w:szCs w:val="16"/>
                <w:vertAlign w:val="subscript"/>
              </w:rPr>
              <w:t>2</w:t>
            </w:r>
            <w:r w:rsidRPr="00E01C9E">
              <w:rPr>
                <w:rFonts w:eastAsia="Calibri"/>
                <w:szCs w:val="16"/>
              </w:rPr>
              <w:t>O</w:t>
            </w:r>
          </w:p>
        </w:tc>
        <w:tc>
          <w:tcPr>
            <w:tcW w:w="1077" w:type="dxa"/>
            <w:shd w:val="clear" w:color="auto" w:fill="FFFFFF" w:themeFill="background1"/>
            <w:tcMar>
              <w:top w:w="0" w:type="dxa"/>
              <w:left w:w="85" w:type="dxa"/>
              <w:bottom w:w="0" w:type="dxa"/>
              <w:right w:w="85" w:type="dxa"/>
            </w:tcMar>
            <w:vAlign w:val="center"/>
          </w:tcPr>
          <w:p w14:paraId="6621FCAD" w14:textId="77777777" w:rsidR="00F271C1" w:rsidRPr="00E01C9E" w:rsidRDefault="00F271C1" w:rsidP="00F16E23">
            <w:pPr>
              <w:pStyle w:val="TableText"/>
              <w:spacing w:before="40" w:after="40"/>
              <w:jc w:val="right"/>
              <w:rPr>
                <w:szCs w:val="16"/>
              </w:rPr>
            </w:pPr>
            <w:r w:rsidRPr="00E01C9E">
              <w:rPr>
                <w:rFonts w:eastAsia="Calibri"/>
                <w:szCs w:val="16"/>
              </w:rPr>
              <w:t>4,886.6</w:t>
            </w:r>
          </w:p>
        </w:tc>
        <w:tc>
          <w:tcPr>
            <w:tcW w:w="0" w:type="auto"/>
            <w:shd w:val="clear" w:color="auto" w:fill="FFFFFF" w:themeFill="background1"/>
            <w:tcMar>
              <w:top w:w="0" w:type="dxa"/>
              <w:left w:w="85" w:type="dxa"/>
              <w:bottom w:w="0" w:type="dxa"/>
              <w:right w:w="85" w:type="dxa"/>
            </w:tcMar>
            <w:vAlign w:val="center"/>
          </w:tcPr>
          <w:p w14:paraId="40E76A84" w14:textId="77777777" w:rsidR="00F271C1" w:rsidRPr="00E01C9E" w:rsidRDefault="00F271C1" w:rsidP="00F16E23">
            <w:pPr>
              <w:pStyle w:val="TableText"/>
              <w:spacing w:before="40" w:after="40"/>
              <w:jc w:val="right"/>
              <w:rPr>
                <w:szCs w:val="16"/>
              </w:rPr>
            </w:pPr>
            <w:r w:rsidRPr="00E01C9E">
              <w:rPr>
                <w:rFonts w:eastAsia="Calibri"/>
                <w:szCs w:val="16"/>
              </w:rPr>
              <w:t>6,722.2</w:t>
            </w:r>
          </w:p>
        </w:tc>
        <w:tc>
          <w:tcPr>
            <w:tcW w:w="0" w:type="auto"/>
            <w:shd w:val="clear" w:color="auto" w:fill="FFFFFF" w:themeFill="background1"/>
            <w:tcMar>
              <w:top w:w="0" w:type="dxa"/>
              <w:left w:w="85" w:type="dxa"/>
              <w:bottom w:w="0" w:type="dxa"/>
              <w:right w:w="85" w:type="dxa"/>
            </w:tcMar>
            <w:vAlign w:val="center"/>
          </w:tcPr>
          <w:p w14:paraId="08EE127D" w14:textId="77777777" w:rsidR="00F271C1" w:rsidRPr="00E01C9E" w:rsidRDefault="00F271C1" w:rsidP="00F16E23">
            <w:pPr>
              <w:pStyle w:val="TableText"/>
              <w:spacing w:before="40" w:after="40"/>
              <w:jc w:val="right"/>
              <w:rPr>
                <w:szCs w:val="16"/>
              </w:rPr>
            </w:pPr>
            <w:r w:rsidRPr="00E01C9E">
              <w:rPr>
                <w:rFonts w:eastAsia="Calibri"/>
                <w:szCs w:val="16"/>
              </w:rPr>
              <w:t>6,726.5</w:t>
            </w:r>
          </w:p>
        </w:tc>
        <w:tc>
          <w:tcPr>
            <w:tcW w:w="1134" w:type="dxa"/>
            <w:shd w:val="clear" w:color="auto" w:fill="FFFFFF" w:themeFill="background1"/>
            <w:tcMar>
              <w:top w:w="0" w:type="dxa"/>
              <w:left w:w="85" w:type="dxa"/>
              <w:bottom w:w="0" w:type="dxa"/>
              <w:right w:w="85" w:type="dxa"/>
            </w:tcMar>
            <w:vAlign w:val="center"/>
          </w:tcPr>
          <w:p w14:paraId="3047F24B" w14:textId="77777777" w:rsidR="00F271C1" w:rsidRPr="00E01C9E" w:rsidRDefault="00F271C1" w:rsidP="00F16E23">
            <w:pPr>
              <w:pStyle w:val="TableText"/>
              <w:spacing w:before="40" w:after="40"/>
              <w:jc w:val="right"/>
              <w:rPr>
                <w:szCs w:val="16"/>
              </w:rPr>
            </w:pPr>
            <w:r w:rsidRPr="00E01C9E">
              <w:rPr>
                <w:rFonts w:eastAsia="Calibri"/>
                <w:szCs w:val="16"/>
              </w:rPr>
              <w:t>1,839.9</w:t>
            </w:r>
          </w:p>
        </w:tc>
        <w:tc>
          <w:tcPr>
            <w:tcW w:w="1077" w:type="dxa"/>
            <w:shd w:val="clear" w:color="auto" w:fill="FFFFFF" w:themeFill="background1"/>
            <w:tcMar>
              <w:top w:w="0" w:type="dxa"/>
              <w:left w:w="85" w:type="dxa"/>
              <w:bottom w:w="0" w:type="dxa"/>
              <w:right w:w="85" w:type="dxa"/>
            </w:tcMar>
            <w:vAlign w:val="center"/>
          </w:tcPr>
          <w:p w14:paraId="5326F984" w14:textId="77777777" w:rsidR="00F271C1" w:rsidRPr="00E01C9E" w:rsidRDefault="00F271C1" w:rsidP="00F16E23">
            <w:pPr>
              <w:pStyle w:val="TableText"/>
              <w:spacing w:before="40" w:after="40"/>
              <w:jc w:val="right"/>
              <w:rPr>
                <w:szCs w:val="16"/>
              </w:rPr>
            </w:pPr>
            <w:r w:rsidRPr="00E01C9E">
              <w:rPr>
                <w:rFonts w:eastAsia="Calibri"/>
                <w:szCs w:val="16"/>
              </w:rPr>
              <w:t>37.7</w:t>
            </w:r>
          </w:p>
        </w:tc>
        <w:tc>
          <w:tcPr>
            <w:tcW w:w="1134" w:type="dxa"/>
            <w:shd w:val="clear" w:color="auto" w:fill="FFFFFF" w:themeFill="background1"/>
            <w:tcMar>
              <w:top w:w="0" w:type="dxa"/>
              <w:left w:w="85" w:type="dxa"/>
              <w:bottom w:w="0" w:type="dxa"/>
              <w:right w:w="85" w:type="dxa"/>
            </w:tcMar>
            <w:vAlign w:val="center"/>
          </w:tcPr>
          <w:p w14:paraId="193F27BB" w14:textId="77777777" w:rsidR="00F271C1" w:rsidRPr="00E01C9E" w:rsidRDefault="00F271C1" w:rsidP="00F16E23">
            <w:pPr>
              <w:pStyle w:val="TableText"/>
              <w:spacing w:before="40" w:after="40"/>
              <w:jc w:val="right"/>
              <w:rPr>
                <w:szCs w:val="16"/>
              </w:rPr>
            </w:pPr>
            <w:r w:rsidRPr="00E01C9E">
              <w:rPr>
                <w:rFonts w:eastAsia="Calibri"/>
                <w:szCs w:val="16"/>
              </w:rPr>
              <w:t>4.3</w:t>
            </w:r>
          </w:p>
        </w:tc>
        <w:tc>
          <w:tcPr>
            <w:tcW w:w="1077" w:type="dxa"/>
            <w:shd w:val="clear" w:color="auto" w:fill="FFFFFF" w:themeFill="background1"/>
            <w:tcMar>
              <w:top w:w="0" w:type="dxa"/>
              <w:left w:w="85" w:type="dxa"/>
              <w:bottom w:w="0" w:type="dxa"/>
              <w:right w:w="85" w:type="dxa"/>
            </w:tcMar>
            <w:vAlign w:val="center"/>
          </w:tcPr>
          <w:p w14:paraId="26E3DE31" w14:textId="77777777" w:rsidR="00F271C1" w:rsidRPr="00E01C9E" w:rsidRDefault="00F271C1" w:rsidP="00F16E23">
            <w:pPr>
              <w:pStyle w:val="TableText"/>
              <w:spacing w:before="40" w:after="40"/>
              <w:jc w:val="right"/>
              <w:rPr>
                <w:szCs w:val="16"/>
              </w:rPr>
            </w:pPr>
            <w:r w:rsidRPr="00E01C9E">
              <w:rPr>
                <w:rFonts w:eastAsia="Calibri"/>
                <w:szCs w:val="16"/>
              </w:rPr>
              <w:t>0.1</w:t>
            </w:r>
          </w:p>
        </w:tc>
      </w:tr>
      <w:tr w:rsidR="00F271C1" w:rsidRPr="00E01C9E" w14:paraId="199DC965" w14:textId="77777777" w:rsidTr="00F16E23">
        <w:tc>
          <w:tcPr>
            <w:tcW w:w="1418" w:type="dxa"/>
            <w:shd w:val="clear" w:color="auto" w:fill="FFFFFF" w:themeFill="background1"/>
            <w:tcMar>
              <w:top w:w="0" w:type="dxa"/>
              <w:left w:w="85" w:type="dxa"/>
              <w:bottom w:w="0" w:type="dxa"/>
              <w:right w:w="85" w:type="dxa"/>
            </w:tcMar>
            <w:vAlign w:val="center"/>
          </w:tcPr>
          <w:p w14:paraId="54E71364" w14:textId="77777777" w:rsidR="00F271C1" w:rsidRPr="00E01C9E" w:rsidRDefault="00F271C1" w:rsidP="00F16E23">
            <w:pPr>
              <w:pStyle w:val="TableText"/>
              <w:spacing w:before="40" w:after="40"/>
              <w:rPr>
                <w:szCs w:val="16"/>
              </w:rPr>
            </w:pPr>
            <w:r w:rsidRPr="00E01C9E">
              <w:rPr>
                <w:rFonts w:eastAsia="Calibri"/>
                <w:szCs w:val="16"/>
              </w:rPr>
              <w:t>HFCs</w:t>
            </w:r>
          </w:p>
        </w:tc>
        <w:tc>
          <w:tcPr>
            <w:tcW w:w="1077" w:type="dxa"/>
            <w:shd w:val="clear" w:color="auto" w:fill="FFFFFF" w:themeFill="background1"/>
            <w:tcMar>
              <w:top w:w="0" w:type="dxa"/>
              <w:left w:w="85" w:type="dxa"/>
              <w:bottom w:w="0" w:type="dxa"/>
              <w:right w:w="85" w:type="dxa"/>
            </w:tcMar>
            <w:vAlign w:val="center"/>
          </w:tcPr>
          <w:p w14:paraId="3FDFB8D2" w14:textId="77777777" w:rsidR="00F271C1" w:rsidRPr="00E01C9E" w:rsidRDefault="00F271C1" w:rsidP="00F16E23">
            <w:pPr>
              <w:pStyle w:val="TableText"/>
              <w:spacing w:before="40" w:after="40"/>
              <w:jc w:val="right"/>
              <w:rPr>
                <w:szCs w:val="16"/>
              </w:rPr>
            </w:pPr>
            <w:r w:rsidRPr="00E01C9E">
              <w:rPr>
                <w:rFonts w:eastAsia="Calibri"/>
                <w:szCs w:val="16"/>
              </w:rPr>
              <w:t>Not occurring</w:t>
            </w:r>
          </w:p>
        </w:tc>
        <w:tc>
          <w:tcPr>
            <w:tcW w:w="0" w:type="auto"/>
            <w:shd w:val="clear" w:color="auto" w:fill="FFFFFF" w:themeFill="background1"/>
            <w:tcMar>
              <w:top w:w="0" w:type="dxa"/>
              <w:left w:w="85" w:type="dxa"/>
              <w:bottom w:w="0" w:type="dxa"/>
              <w:right w:w="85" w:type="dxa"/>
            </w:tcMar>
            <w:vAlign w:val="center"/>
          </w:tcPr>
          <w:p w14:paraId="04C233CC" w14:textId="77777777" w:rsidR="00F271C1" w:rsidRPr="00E01C9E" w:rsidRDefault="00F271C1" w:rsidP="00F16E23">
            <w:pPr>
              <w:pStyle w:val="TableText"/>
              <w:spacing w:before="40" w:after="40"/>
              <w:jc w:val="right"/>
              <w:rPr>
                <w:szCs w:val="16"/>
              </w:rPr>
            </w:pPr>
            <w:r w:rsidRPr="00E01C9E">
              <w:rPr>
                <w:rFonts w:eastAsia="Calibri"/>
                <w:szCs w:val="16"/>
              </w:rPr>
              <w:t>673.1</w:t>
            </w:r>
          </w:p>
        </w:tc>
        <w:tc>
          <w:tcPr>
            <w:tcW w:w="0" w:type="auto"/>
            <w:shd w:val="clear" w:color="auto" w:fill="FFFFFF" w:themeFill="background1"/>
            <w:tcMar>
              <w:top w:w="0" w:type="dxa"/>
              <w:left w:w="85" w:type="dxa"/>
              <w:bottom w:w="0" w:type="dxa"/>
              <w:right w:w="85" w:type="dxa"/>
            </w:tcMar>
            <w:vAlign w:val="center"/>
          </w:tcPr>
          <w:p w14:paraId="2949D4FB" w14:textId="77777777" w:rsidR="00F271C1" w:rsidRPr="00E01C9E" w:rsidRDefault="00F271C1" w:rsidP="00F16E23">
            <w:pPr>
              <w:pStyle w:val="TableText"/>
              <w:spacing w:before="40" w:after="40"/>
              <w:jc w:val="right"/>
              <w:rPr>
                <w:szCs w:val="16"/>
              </w:rPr>
            </w:pPr>
            <w:r w:rsidRPr="00E01C9E">
              <w:rPr>
                <w:rFonts w:eastAsia="Calibri"/>
                <w:szCs w:val="16"/>
              </w:rPr>
              <w:t>1,042.8</w:t>
            </w:r>
          </w:p>
        </w:tc>
        <w:tc>
          <w:tcPr>
            <w:tcW w:w="1134" w:type="dxa"/>
            <w:shd w:val="clear" w:color="auto" w:fill="FFFFFF" w:themeFill="background1"/>
            <w:tcMar>
              <w:top w:w="0" w:type="dxa"/>
              <w:left w:w="85" w:type="dxa"/>
              <w:bottom w:w="0" w:type="dxa"/>
              <w:right w:w="85" w:type="dxa"/>
            </w:tcMar>
            <w:vAlign w:val="center"/>
          </w:tcPr>
          <w:p w14:paraId="107C59AF" w14:textId="77777777" w:rsidR="00F271C1" w:rsidRPr="00E01C9E" w:rsidRDefault="00F271C1" w:rsidP="00F16E23">
            <w:pPr>
              <w:pStyle w:val="TableText"/>
              <w:spacing w:before="40" w:after="40"/>
              <w:jc w:val="right"/>
              <w:rPr>
                <w:szCs w:val="16"/>
              </w:rPr>
            </w:pPr>
            <w:r w:rsidRPr="00E01C9E">
              <w:rPr>
                <w:rFonts w:eastAsia="Calibri"/>
                <w:szCs w:val="16"/>
              </w:rPr>
              <w:t>1,042.8</w:t>
            </w:r>
          </w:p>
        </w:tc>
        <w:tc>
          <w:tcPr>
            <w:tcW w:w="1077" w:type="dxa"/>
            <w:shd w:val="clear" w:color="auto" w:fill="FFFFFF" w:themeFill="background1"/>
            <w:tcMar>
              <w:top w:w="0" w:type="dxa"/>
              <w:left w:w="85" w:type="dxa"/>
              <w:bottom w:w="0" w:type="dxa"/>
              <w:right w:w="85" w:type="dxa"/>
            </w:tcMar>
            <w:vAlign w:val="center"/>
          </w:tcPr>
          <w:p w14:paraId="0D894068" w14:textId="77777777" w:rsidR="00F271C1" w:rsidRPr="00E01C9E" w:rsidRDefault="00F271C1" w:rsidP="00F16E23">
            <w:pPr>
              <w:pStyle w:val="TableText"/>
              <w:spacing w:before="40" w:after="40"/>
              <w:jc w:val="right"/>
              <w:rPr>
                <w:szCs w:val="16"/>
              </w:rPr>
            </w:pPr>
            <w:r w:rsidRPr="00E01C9E">
              <w:rPr>
                <w:rFonts w:eastAsia="Calibri"/>
                <w:szCs w:val="16"/>
              </w:rPr>
              <w:t>NA</w:t>
            </w:r>
          </w:p>
        </w:tc>
        <w:tc>
          <w:tcPr>
            <w:tcW w:w="1134" w:type="dxa"/>
            <w:shd w:val="clear" w:color="auto" w:fill="FFFFFF" w:themeFill="background1"/>
            <w:tcMar>
              <w:top w:w="0" w:type="dxa"/>
              <w:left w:w="85" w:type="dxa"/>
              <w:bottom w:w="0" w:type="dxa"/>
              <w:right w:w="85" w:type="dxa"/>
            </w:tcMar>
            <w:vAlign w:val="center"/>
          </w:tcPr>
          <w:p w14:paraId="6578813D" w14:textId="77777777" w:rsidR="00F271C1" w:rsidRPr="00E01C9E" w:rsidRDefault="00F271C1" w:rsidP="00F16E23">
            <w:pPr>
              <w:pStyle w:val="TableText"/>
              <w:spacing w:before="40" w:after="40"/>
              <w:jc w:val="right"/>
              <w:rPr>
                <w:szCs w:val="16"/>
              </w:rPr>
            </w:pPr>
            <w:r w:rsidRPr="00E01C9E">
              <w:rPr>
                <w:rFonts w:eastAsia="Calibri"/>
                <w:szCs w:val="16"/>
              </w:rPr>
              <w:t>673.1</w:t>
            </w:r>
          </w:p>
        </w:tc>
        <w:tc>
          <w:tcPr>
            <w:tcW w:w="1077" w:type="dxa"/>
            <w:shd w:val="clear" w:color="auto" w:fill="FFFFFF" w:themeFill="background1"/>
            <w:tcMar>
              <w:top w:w="0" w:type="dxa"/>
              <w:left w:w="85" w:type="dxa"/>
              <w:bottom w:w="0" w:type="dxa"/>
              <w:right w:w="85" w:type="dxa"/>
            </w:tcMar>
            <w:vAlign w:val="center"/>
          </w:tcPr>
          <w:p w14:paraId="5B02E87C" w14:textId="77777777" w:rsidR="00F271C1" w:rsidRPr="00E01C9E" w:rsidRDefault="00F271C1" w:rsidP="00F16E23">
            <w:pPr>
              <w:pStyle w:val="TableText"/>
              <w:spacing w:before="40" w:after="40"/>
              <w:jc w:val="right"/>
              <w:rPr>
                <w:szCs w:val="16"/>
              </w:rPr>
            </w:pPr>
            <w:r w:rsidRPr="00E01C9E">
              <w:rPr>
                <w:rFonts w:eastAsia="Calibri"/>
                <w:szCs w:val="16"/>
              </w:rPr>
              <w:t>NA</w:t>
            </w:r>
          </w:p>
        </w:tc>
      </w:tr>
      <w:tr w:rsidR="00F271C1" w:rsidRPr="00E01C9E" w14:paraId="02170326" w14:textId="77777777" w:rsidTr="00F16E23">
        <w:tc>
          <w:tcPr>
            <w:tcW w:w="1418" w:type="dxa"/>
            <w:shd w:val="clear" w:color="auto" w:fill="FFFFFF" w:themeFill="background1"/>
            <w:tcMar>
              <w:top w:w="0" w:type="dxa"/>
              <w:left w:w="85" w:type="dxa"/>
              <w:bottom w:w="0" w:type="dxa"/>
              <w:right w:w="85" w:type="dxa"/>
            </w:tcMar>
            <w:vAlign w:val="center"/>
          </w:tcPr>
          <w:p w14:paraId="5543F431" w14:textId="77777777" w:rsidR="00F271C1" w:rsidRPr="00E01C9E" w:rsidRDefault="00F271C1" w:rsidP="00F16E23">
            <w:pPr>
              <w:pStyle w:val="TableText"/>
              <w:spacing w:before="40" w:after="40"/>
              <w:rPr>
                <w:szCs w:val="16"/>
              </w:rPr>
            </w:pPr>
            <w:r w:rsidRPr="00E01C9E">
              <w:rPr>
                <w:rFonts w:eastAsia="Calibri"/>
                <w:szCs w:val="16"/>
              </w:rPr>
              <w:t>PFCs</w:t>
            </w:r>
          </w:p>
        </w:tc>
        <w:tc>
          <w:tcPr>
            <w:tcW w:w="1077" w:type="dxa"/>
            <w:shd w:val="clear" w:color="auto" w:fill="FFFFFF" w:themeFill="background1"/>
            <w:tcMar>
              <w:top w:w="0" w:type="dxa"/>
              <w:left w:w="85" w:type="dxa"/>
              <w:bottom w:w="0" w:type="dxa"/>
              <w:right w:w="85" w:type="dxa"/>
            </w:tcMar>
            <w:vAlign w:val="center"/>
          </w:tcPr>
          <w:p w14:paraId="2AFBE71A" w14:textId="77777777" w:rsidR="00F271C1" w:rsidRPr="00E01C9E" w:rsidRDefault="00F271C1" w:rsidP="00F16E23">
            <w:pPr>
              <w:pStyle w:val="TableText"/>
              <w:spacing w:before="40" w:after="40"/>
              <w:jc w:val="right"/>
              <w:rPr>
                <w:szCs w:val="16"/>
              </w:rPr>
            </w:pPr>
            <w:r w:rsidRPr="00E01C9E">
              <w:rPr>
                <w:rFonts w:eastAsia="Calibri"/>
                <w:szCs w:val="16"/>
              </w:rPr>
              <w:t>818.0</w:t>
            </w:r>
          </w:p>
        </w:tc>
        <w:tc>
          <w:tcPr>
            <w:tcW w:w="0" w:type="auto"/>
            <w:shd w:val="clear" w:color="auto" w:fill="FFFFFF" w:themeFill="background1"/>
            <w:tcMar>
              <w:top w:w="0" w:type="dxa"/>
              <w:left w:w="85" w:type="dxa"/>
              <w:bottom w:w="0" w:type="dxa"/>
              <w:right w:w="85" w:type="dxa"/>
            </w:tcMar>
            <w:vAlign w:val="center"/>
          </w:tcPr>
          <w:p w14:paraId="1CDD881F" w14:textId="77777777" w:rsidR="00F271C1" w:rsidRPr="00E01C9E" w:rsidRDefault="00F271C1" w:rsidP="00F16E23">
            <w:pPr>
              <w:pStyle w:val="TableText"/>
              <w:spacing w:before="40" w:after="40"/>
              <w:jc w:val="right"/>
              <w:rPr>
                <w:szCs w:val="16"/>
              </w:rPr>
            </w:pPr>
            <w:r w:rsidRPr="00E01C9E">
              <w:rPr>
                <w:rFonts w:eastAsia="Calibri"/>
                <w:szCs w:val="16"/>
              </w:rPr>
              <w:t>62.4</w:t>
            </w:r>
          </w:p>
        </w:tc>
        <w:tc>
          <w:tcPr>
            <w:tcW w:w="0" w:type="auto"/>
            <w:shd w:val="clear" w:color="auto" w:fill="FFFFFF" w:themeFill="background1"/>
            <w:tcMar>
              <w:top w:w="0" w:type="dxa"/>
              <w:left w:w="85" w:type="dxa"/>
              <w:bottom w:w="0" w:type="dxa"/>
              <w:right w:w="85" w:type="dxa"/>
            </w:tcMar>
            <w:vAlign w:val="center"/>
          </w:tcPr>
          <w:p w14:paraId="79BBBF29" w14:textId="77777777" w:rsidR="00F271C1" w:rsidRPr="00E01C9E" w:rsidRDefault="00F271C1" w:rsidP="00F16E23">
            <w:pPr>
              <w:pStyle w:val="TableText"/>
              <w:spacing w:before="40" w:after="40"/>
              <w:jc w:val="right"/>
            </w:pPr>
            <w:r w:rsidRPr="00E01C9E">
              <w:rPr>
                <w:rFonts w:eastAsia="Calibri"/>
              </w:rPr>
              <w:t>78.1</w:t>
            </w:r>
          </w:p>
        </w:tc>
        <w:tc>
          <w:tcPr>
            <w:tcW w:w="1134" w:type="dxa"/>
            <w:shd w:val="clear" w:color="auto" w:fill="FFFFFF" w:themeFill="background1"/>
            <w:tcMar>
              <w:top w:w="0" w:type="dxa"/>
              <w:left w:w="85" w:type="dxa"/>
              <w:bottom w:w="0" w:type="dxa"/>
              <w:right w:w="85" w:type="dxa"/>
            </w:tcMar>
            <w:vAlign w:val="center"/>
          </w:tcPr>
          <w:p w14:paraId="32A1870D" w14:textId="77777777" w:rsidR="00F271C1" w:rsidRPr="00E01C9E" w:rsidRDefault="00F271C1" w:rsidP="00F16E23">
            <w:pPr>
              <w:pStyle w:val="TableText"/>
              <w:spacing w:before="40" w:after="40"/>
              <w:jc w:val="right"/>
            </w:pPr>
            <w:r w:rsidRPr="00E01C9E">
              <w:rPr>
                <w:rFonts w:eastAsia="Calibri"/>
              </w:rPr>
              <w:t>-740.0</w:t>
            </w:r>
          </w:p>
        </w:tc>
        <w:tc>
          <w:tcPr>
            <w:tcW w:w="1077" w:type="dxa"/>
            <w:shd w:val="clear" w:color="auto" w:fill="FFFFFF" w:themeFill="background1"/>
            <w:tcMar>
              <w:top w:w="0" w:type="dxa"/>
              <w:left w:w="85" w:type="dxa"/>
              <w:bottom w:w="0" w:type="dxa"/>
              <w:right w:w="85" w:type="dxa"/>
            </w:tcMar>
            <w:vAlign w:val="center"/>
          </w:tcPr>
          <w:p w14:paraId="79C6BAA3" w14:textId="77777777" w:rsidR="00F271C1" w:rsidRPr="00E01C9E" w:rsidRDefault="00F271C1" w:rsidP="00F16E23">
            <w:pPr>
              <w:pStyle w:val="TableText"/>
              <w:spacing w:before="40" w:after="40"/>
              <w:jc w:val="right"/>
            </w:pPr>
            <w:r w:rsidRPr="00E01C9E">
              <w:rPr>
                <w:rFonts w:eastAsia="Calibri"/>
              </w:rPr>
              <w:t>-90.5</w:t>
            </w:r>
          </w:p>
        </w:tc>
        <w:tc>
          <w:tcPr>
            <w:tcW w:w="1134" w:type="dxa"/>
            <w:shd w:val="clear" w:color="auto" w:fill="FFFFFF" w:themeFill="background1"/>
            <w:tcMar>
              <w:top w:w="0" w:type="dxa"/>
              <w:left w:w="85" w:type="dxa"/>
              <w:bottom w:w="0" w:type="dxa"/>
              <w:right w:w="85" w:type="dxa"/>
            </w:tcMar>
            <w:vAlign w:val="center"/>
          </w:tcPr>
          <w:p w14:paraId="57F2F2E7" w14:textId="77777777" w:rsidR="00F271C1" w:rsidRPr="00E01C9E" w:rsidRDefault="00F271C1" w:rsidP="00F16E23">
            <w:pPr>
              <w:pStyle w:val="TableText"/>
              <w:spacing w:before="40" w:after="40"/>
              <w:jc w:val="right"/>
            </w:pPr>
            <w:r w:rsidRPr="00E01C9E">
              <w:rPr>
                <w:rFonts w:eastAsia="Calibri"/>
              </w:rPr>
              <w:t>15.7</w:t>
            </w:r>
          </w:p>
        </w:tc>
        <w:tc>
          <w:tcPr>
            <w:tcW w:w="1077" w:type="dxa"/>
            <w:shd w:val="clear" w:color="auto" w:fill="FFFFFF" w:themeFill="background1"/>
            <w:tcMar>
              <w:top w:w="0" w:type="dxa"/>
              <w:left w:w="85" w:type="dxa"/>
              <w:bottom w:w="0" w:type="dxa"/>
              <w:right w:w="85" w:type="dxa"/>
            </w:tcMar>
            <w:vAlign w:val="center"/>
          </w:tcPr>
          <w:p w14:paraId="1E5D7325" w14:textId="77777777" w:rsidR="00F271C1" w:rsidRPr="00E01C9E" w:rsidRDefault="00F271C1" w:rsidP="00F16E23">
            <w:pPr>
              <w:pStyle w:val="TableText"/>
              <w:spacing w:before="40" w:after="40"/>
              <w:jc w:val="right"/>
            </w:pPr>
            <w:r w:rsidRPr="00E01C9E">
              <w:rPr>
                <w:rFonts w:eastAsia="Calibri"/>
              </w:rPr>
              <w:t>25.1</w:t>
            </w:r>
          </w:p>
        </w:tc>
      </w:tr>
      <w:tr w:rsidR="00F271C1" w:rsidRPr="00E01C9E" w14:paraId="4E56A240" w14:textId="77777777" w:rsidTr="00F16E23">
        <w:tc>
          <w:tcPr>
            <w:tcW w:w="1418" w:type="dxa"/>
            <w:shd w:val="clear" w:color="auto" w:fill="FFFFFF" w:themeFill="background1"/>
            <w:tcMar>
              <w:top w:w="0" w:type="dxa"/>
              <w:left w:w="85" w:type="dxa"/>
              <w:bottom w:w="0" w:type="dxa"/>
              <w:right w:w="85" w:type="dxa"/>
            </w:tcMar>
            <w:vAlign w:val="center"/>
          </w:tcPr>
          <w:p w14:paraId="47E07ED4" w14:textId="77777777" w:rsidR="00F271C1" w:rsidRPr="00E01C9E" w:rsidRDefault="00F271C1" w:rsidP="00F16E23">
            <w:pPr>
              <w:pStyle w:val="TableText"/>
              <w:spacing w:before="40" w:after="40"/>
              <w:rPr>
                <w:szCs w:val="16"/>
              </w:rPr>
            </w:pPr>
            <w:r w:rsidRPr="00E01C9E">
              <w:rPr>
                <w:rFonts w:eastAsia="Calibri"/>
                <w:szCs w:val="16"/>
              </w:rPr>
              <w:t>SF</w:t>
            </w:r>
            <w:r w:rsidRPr="00E01C9E">
              <w:rPr>
                <w:rFonts w:eastAsia="Calibri"/>
                <w:szCs w:val="16"/>
                <w:vertAlign w:val="subscript"/>
              </w:rPr>
              <w:t>6</w:t>
            </w:r>
          </w:p>
        </w:tc>
        <w:tc>
          <w:tcPr>
            <w:tcW w:w="1077" w:type="dxa"/>
            <w:shd w:val="clear" w:color="auto" w:fill="FFFFFF" w:themeFill="background1"/>
            <w:tcMar>
              <w:top w:w="0" w:type="dxa"/>
              <w:left w:w="85" w:type="dxa"/>
              <w:bottom w:w="0" w:type="dxa"/>
              <w:right w:w="85" w:type="dxa"/>
            </w:tcMar>
            <w:vAlign w:val="center"/>
          </w:tcPr>
          <w:p w14:paraId="0A6E6370" w14:textId="77777777" w:rsidR="00F271C1" w:rsidRPr="00E01C9E" w:rsidRDefault="00F271C1" w:rsidP="00F16E23">
            <w:pPr>
              <w:pStyle w:val="TableText"/>
              <w:spacing w:before="40" w:after="40"/>
              <w:jc w:val="right"/>
              <w:rPr>
                <w:szCs w:val="16"/>
              </w:rPr>
            </w:pPr>
            <w:r w:rsidRPr="00E01C9E">
              <w:rPr>
                <w:rFonts w:eastAsia="Calibri"/>
                <w:szCs w:val="16"/>
              </w:rPr>
              <w:t>20.6</w:t>
            </w:r>
          </w:p>
        </w:tc>
        <w:tc>
          <w:tcPr>
            <w:tcW w:w="0" w:type="auto"/>
            <w:shd w:val="clear" w:color="auto" w:fill="FFFFFF" w:themeFill="background1"/>
            <w:tcMar>
              <w:top w:w="0" w:type="dxa"/>
              <w:left w:w="85" w:type="dxa"/>
              <w:bottom w:w="0" w:type="dxa"/>
              <w:right w:w="85" w:type="dxa"/>
            </w:tcMar>
            <w:vAlign w:val="center"/>
          </w:tcPr>
          <w:p w14:paraId="47E970B1" w14:textId="77777777" w:rsidR="00F271C1" w:rsidRPr="00E01C9E" w:rsidRDefault="00F271C1" w:rsidP="00F16E23">
            <w:pPr>
              <w:pStyle w:val="TableText"/>
              <w:spacing w:before="40" w:after="40"/>
              <w:jc w:val="right"/>
              <w:rPr>
                <w:szCs w:val="16"/>
              </w:rPr>
            </w:pPr>
            <w:r w:rsidRPr="00E01C9E">
              <w:rPr>
                <w:rFonts w:eastAsia="Calibri"/>
                <w:szCs w:val="16"/>
              </w:rPr>
              <w:t>26.2</w:t>
            </w:r>
          </w:p>
        </w:tc>
        <w:tc>
          <w:tcPr>
            <w:tcW w:w="0" w:type="auto"/>
            <w:shd w:val="clear" w:color="auto" w:fill="FFFFFF" w:themeFill="background1"/>
            <w:tcMar>
              <w:top w:w="0" w:type="dxa"/>
              <w:left w:w="85" w:type="dxa"/>
              <w:bottom w:w="0" w:type="dxa"/>
              <w:right w:w="85" w:type="dxa"/>
            </w:tcMar>
            <w:vAlign w:val="center"/>
          </w:tcPr>
          <w:p w14:paraId="61950832" w14:textId="77777777" w:rsidR="00F271C1" w:rsidRPr="00E01C9E" w:rsidRDefault="00F271C1" w:rsidP="00F16E23">
            <w:pPr>
              <w:pStyle w:val="TableText"/>
              <w:spacing w:before="40" w:after="40"/>
              <w:jc w:val="right"/>
              <w:rPr>
                <w:szCs w:val="16"/>
              </w:rPr>
            </w:pPr>
            <w:r w:rsidRPr="00E01C9E">
              <w:rPr>
                <w:rFonts w:eastAsia="Calibri"/>
                <w:szCs w:val="16"/>
              </w:rPr>
              <w:t>14.0</w:t>
            </w:r>
          </w:p>
        </w:tc>
        <w:tc>
          <w:tcPr>
            <w:tcW w:w="1134" w:type="dxa"/>
            <w:shd w:val="clear" w:color="auto" w:fill="FFFFFF" w:themeFill="background1"/>
            <w:tcMar>
              <w:top w:w="0" w:type="dxa"/>
              <w:left w:w="85" w:type="dxa"/>
              <w:bottom w:w="0" w:type="dxa"/>
              <w:right w:w="85" w:type="dxa"/>
            </w:tcMar>
            <w:vAlign w:val="center"/>
          </w:tcPr>
          <w:p w14:paraId="2D685476" w14:textId="77777777" w:rsidR="00F271C1" w:rsidRPr="00E01C9E" w:rsidRDefault="00F271C1" w:rsidP="00F16E23">
            <w:pPr>
              <w:pStyle w:val="TableText"/>
              <w:spacing w:before="40" w:after="40"/>
              <w:jc w:val="right"/>
              <w:rPr>
                <w:szCs w:val="16"/>
              </w:rPr>
            </w:pPr>
            <w:r w:rsidRPr="00E01C9E">
              <w:rPr>
                <w:rFonts w:eastAsia="Calibri"/>
                <w:szCs w:val="16"/>
              </w:rPr>
              <w:t>-6.6</w:t>
            </w:r>
          </w:p>
        </w:tc>
        <w:tc>
          <w:tcPr>
            <w:tcW w:w="1077" w:type="dxa"/>
            <w:shd w:val="clear" w:color="auto" w:fill="FFFFFF" w:themeFill="background1"/>
            <w:tcMar>
              <w:top w:w="0" w:type="dxa"/>
              <w:left w:w="85" w:type="dxa"/>
              <w:bottom w:w="0" w:type="dxa"/>
              <w:right w:w="85" w:type="dxa"/>
            </w:tcMar>
            <w:vAlign w:val="center"/>
          </w:tcPr>
          <w:p w14:paraId="167CF4BB" w14:textId="77777777" w:rsidR="00F271C1" w:rsidRPr="00E01C9E" w:rsidRDefault="00F271C1" w:rsidP="00F16E23">
            <w:pPr>
              <w:pStyle w:val="TableText"/>
              <w:spacing w:before="40" w:after="40"/>
              <w:jc w:val="right"/>
              <w:rPr>
                <w:szCs w:val="16"/>
              </w:rPr>
            </w:pPr>
            <w:r w:rsidRPr="00E01C9E">
              <w:rPr>
                <w:rFonts w:eastAsia="Calibri"/>
                <w:szCs w:val="16"/>
              </w:rPr>
              <w:t>-32.0</w:t>
            </w:r>
          </w:p>
        </w:tc>
        <w:tc>
          <w:tcPr>
            <w:tcW w:w="1134" w:type="dxa"/>
            <w:shd w:val="clear" w:color="auto" w:fill="FFFFFF" w:themeFill="background1"/>
            <w:tcMar>
              <w:top w:w="0" w:type="dxa"/>
              <w:left w:w="85" w:type="dxa"/>
              <w:bottom w:w="0" w:type="dxa"/>
              <w:right w:w="85" w:type="dxa"/>
            </w:tcMar>
            <w:vAlign w:val="center"/>
          </w:tcPr>
          <w:p w14:paraId="52C576CF" w14:textId="77777777" w:rsidR="00F271C1" w:rsidRPr="00E01C9E" w:rsidRDefault="00F271C1" w:rsidP="00F16E23">
            <w:pPr>
              <w:pStyle w:val="TableText"/>
              <w:spacing w:before="40" w:after="40"/>
              <w:jc w:val="right"/>
              <w:rPr>
                <w:szCs w:val="16"/>
              </w:rPr>
            </w:pPr>
            <w:r w:rsidRPr="00E01C9E">
              <w:rPr>
                <w:rFonts w:eastAsia="Calibri"/>
                <w:szCs w:val="16"/>
              </w:rPr>
              <w:t>-12.2</w:t>
            </w:r>
          </w:p>
        </w:tc>
        <w:tc>
          <w:tcPr>
            <w:tcW w:w="1077" w:type="dxa"/>
            <w:shd w:val="clear" w:color="auto" w:fill="FFFFFF" w:themeFill="background1"/>
            <w:tcMar>
              <w:top w:w="0" w:type="dxa"/>
              <w:left w:w="85" w:type="dxa"/>
              <w:bottom w:w="0" w:type="dxa"/>
              <w:right w:w="85" w:type="dxa"/>
            </w:tcMar>
            <w:vAlign w:val="center"/>
          </w:tcPr>
          <w:p w14:paraId="7C6BCAF9" w14:textId="77777777" w:rsidR="00F271C1" w:rsidRPr="00E01C9E" w:rsidRDefault="00F271C1" w:rsidP="00F16E23">
            <w:pPr>
              <w:pStyle w:val="TableText"/>
              <w:spacing w:before="40" w:after="40"/>
              <w:jc w:val="right"/>
              <w:rPr>
                <w:szCs w:val="16"/>
              </w:rPr>
            </w:pPr>
            <w:r w:rsidRPr="00E01C9E">
              <w:rPr>
                <w:rFonts w:eastAsia="Calibri"/>
                <w:szCs w:val="16"/>
              </w:rPr>
              <w:t>-46.6</w:t>
            </w:r>
          </w:p>
        </w:tc>
      </w:tr>
      <w:tr w:rsidR="00F271C1" w:rsidRPr="00E01C9E" w14:paraId="0BF10C00" w14:textId="77777777" w:rsidTr="00F16E23">
        <w:tc>
          <w:tcPr>
            <w:tcW w:w="1418" w:type="dxa"/>
            <w:shd w:val="clear" w:color="auto" w:fill="FFFFFF" w:themeFill="background1"/>
            <w:tcMar>
              <w:top w:w="0" w:type="dxa"/>
              <w:left w:w="85" w:type="dxa"/>
              <w:bottom w:w="0" w:type="dxa"/>
              <w:right w:w="85" w:type="dxa"/>
            </w:tcMar>
            <w:vAlign w:val="center"/>
          </w:tcPr>
          <w:p w14:paraId="6C9B4B63" w14:textId="77777777" w:rsidR="00F271C1" w:rsidRPr="00E01C9E" w:rsidRDefault="00F271C1" w:rsidP="00F16E23">
            <w:pPr>
              <w:pStyle w:val="Tableboldblue"/>
              <w:spacing w:before="40" w:after="40"/>
              <w:rPr>
                <w:szCs w:val="16"/>
              </w:rPr>
            </w:pPr>
            <w:r w:rsidRPr="00E01C9E">
              <w:rPr>
                <w:rFonts w:eastAsia="Calibri"/>
                <w:szCs w:val="16"/>
              </w:rPr>
              <w:t>Gross, all gases</w:t>
            </w:r>
          </w:p>
        </w:tc>
        <w:tc>
          <w:tcPr>
            <w:tcW w:w="1077" w:type="dxa"/>
            <w:shd w:val="clear" w:color="auto" w:fill="FFFFFF" w:themeFill="background1"/>
            <w:tcMar>
              <w:top w:w="0" w:type="dxa"/>
              <w:left w:w="85" w:type="dxa"/>
              <w:bottom w:w="0" w:type="dxa"/>
              <w:right w:w="85" w:type="dxa"/>
            </w:tcMar>
            <w:vAlign w:val="center"/>
          </w:tcPr>
          <w:p w14:paraId="1CA80283" w14:textId="77777777" w:rsidR="00F271C1" w:rsidRPr="00E01C9E" w:rsidRDefault="00F271C1" w:rsidP="00F16E23">
            <w:pPr>
              <w:pStyle w:val="Tableboldblue"/>
              <w:spacing w:before="40" w:after="40"/>
              <w:jc w:val="right"/>
              <w:rPr>
                <w:szCs w:val="16"/>
              </w:rPr>
            </w:pPr>
            <w:r w:rsidRPr="00E01C9E">
              <w:rPr>
                <w:rFonts w:eastAsia="Calibri"/>
                <w:szCs w:val="16"/>
              </w:rPr>
              <w:t>67,565.2</w:t>
            </w:r>
          </w:p>
        </w:tc>
        <w:tc>
          <w:tcPr>
            <w:tcW w:w="0" w:type="auto"/>
            <w:shd w:val="clear" w:color="auto" w:fill="FFFFFF" w:themeFill="background1"/>
            <w:tcMar>
              <w:top w:w="0" w:type="dxa"/>
              <w:left w:w="85" w:type="dxa"/>
              <w:bottom w:w="0" w:type="dxa"/>
              <w:right w:w="85" w:type="dxa"/>
            </w:tcMar>
            <w:vAlign w:val="center"/>
          </w:tcPr>
          <w:p w14:paraId="747524A4" w14:textId="77777777" w:rsidR="00F271C1" w:rsidRPr="00E01C9E" w:rsidRDefault="00F271C1" w:rsidP="00F16E23">
            <w:pPr>
              <w:pStyle w:val="Tableboldblue"/>
              <w:spacing w:before="40" w:after="40"/>
              <w:jc w:val="right"/>
              <w:rPr>
                <w:rFonts w:eastAsia="Calibri"/>
                <w:bCs/>
                <w:szCs w:val="16"/>
              </w:rPr>
            </w:pPr>
            <w:r w:rsidRPr="00E01C9E">
              <w:rPr>
                <w:rFonts w:eastAsia="Calibri"/>
                <w:bCs/>
                <w:szCs w:val="16"/>
              </w:rPr>
              <w:t>85,364.3</w:t>
            </w:r>
          </w:p>
        </w:tc>
        <w:tc>
          <w:tcPr>
            <w:tcW w:w="0" w:type="auto"/>
            <w:shd w:val="clear" w:color="auto" w:fill="FFFFFF" w:themeFill="background1"/>
            <w:tcMar>
              <w:top w:w="0" w:type="dxa"/>
              <w:left w:w="85" w:type="dxa"/>
              <w:bottom w:w="0" w:type="dxa"/>
              <w:right w:w="85" w:type="dxa"/>
            </w:tcMar>
            <w:vAlign w:val="center"/>
          </w:tcPr>
          <w:p w14:paraId="4D0BAB9A" w14:textId="77777777" w:rsidR="00F271C1" w:rsidRPr="00E01C9E" w:rsidRDefault="00F271C1" w:rsidP="00F16E23">
            <w:pPr>
              <w:pStyle w:val="Tableboldblue"/>
              <w:spacing w:before="40" w:after="40"/>
              <w:jc w:val="right"/>
              <w:rPr>
                <w:rFonts w:eastAsia="Calibri"/>
              </w:rPr>
            </w:pPr>
            <w:r w:rsidRPr="00E01C9E">
              <w:rPr>
                <w:rFonts w:eastAsia="Calibri"/>
              </w:rPr>
              <w:t>75,811.6</w:t>
            </w:r>
          </w:p>
        </w:tc>
        <w:tc>
          <w:tcPr>
            <w:tcW w:w="1134" w:type="dxa"/>
            <w:shd w:val="clear" w:color="auto" w:fill="FFFFFF" w:themeFill="background1"/>
            <w:tcMar>
              <w:top w:w="0" w:type="dxa"/>
              <w:left w:w="85" w:type="dxa"/>
              <w:bottom w:w="0" w:type="dxa"/>
              <w:right w:w="85" w:type="dxa"/>
            </w:tcMar>
            <w:vAlign w:val="center"/>
          </w:tcPr>
          <w:p w14:paraId="53C30EE2" w14:textId="77777777" w:rsidR="00F271C1" w:rsidRPr="00E01C9E" w:rsidRDefault="00F271C1" w:rsidP="00F16E23">
            <w:pPr>
              <w:pStyle w:val="Tableboldblue"/>
              <w:spacing w:before="40" w:after="40"/>
              <w:jc w:val="right"/>
              <w:rPr>
                <w:rFonts w:eastAsia="Calibri"/>
              </w:rPr>
            </w:pPr>
            <w:r w:rsidRPr="00E01C9E">
              <w:rPr>
                <w:rFonts w:eastAsia="Calibri"/>
              </w:rPr>
              <w:t>8,246.4</w:t>
            </w:r>
          </w:p>
        </w:tc>
        <w:tc>
          <w:tcPr>
            <w:tcW w:w="1077" w:type="dxa"/>
            <w:shd w:val="clear" w:color="auto" w:fill="FFFFFF" w:themeFill="background1"/>
            <w:tcMar>
              <w:top w:w="0" w:type="dxa"/>
              <w:left w:w="85" w:type="dxa"/>
              <w:bottom w:w="0" w:type="dxa"/>
              <w:right w:w="85" w:type="dxa"/>
            </w:tcMar>
            <w:vAlign w:val="center"/>
          </w:tcPr>
          <w:p w14:paraId="7D1EC911" w14:textId="77777777" w:rsidR="00F271C1" w:rsidRPr="00E01C9E" w:rsidRDefault="00F271C1" w:rsidP="00F16E23">
            <w:pPr>
              <w:pStyle w:val="Tableboldblue"/>
              <w:spacing w:before="40" w:after="40"/>
              <w:jc w:val="right"/>
              <w:rPr>
                <w:rFonts w:eastAsia="Calibri"/>
              </w:rPr>
            </w:pPr>
            <w:r w:rsidRPr="00E01C9E">
              <w:rPr>
                <w:rFonts w:eastAsia="Calibri"/>
              </w:rPr>
              <w:t>12.2</w:t>
            </w:r>
          </w:p>
        </w:tc>
        <w:tc>
          <w:tcPr>
            <w:tcW w:w="1134" w:type="dxa"/>
            <w:shd w:val="clear" w:color="auto" w:fill="FFFFFF" w:themeFill="background1"/>
            <w:tcMar>
              <w:top w:w="0" w:type="dxa"/>
              <w:left w:w="85" w:type="dxa"/>
              <w:bottom w:w="0" w:type="dxa"/>
              <w:right w:w="85" w:type="dxa"/>
            </w:tcMar>
            <w:vAlign w:val="center"/>
          </w:tcPr>
          <w:p w14:paraId="211490A2" w14:textId="77777777" w:rsidR="00F271C1" w:rsidRPr="00E01C9E" w:rsidRDefault="00F271C1" w:rsidP="00F16E23">
            <w:pPr>
              <w:pStyle w:val="Tableboldblue"/>
              <w:spacing w:before="40" w:after="40"/>
              <w:jc w:val="right"/>
              <w:rPr>
                <w:rFonts w:eastAsia="Calibri"/>
              </w:rPr>
            </w:pPr>
            <w:r w:rsidRPr="00E01C9E">
              <w:rPr>
                <w:rFonts w:eastAsia="Calibri"/>
              </w:rPr>
              <w:t>-9,552.7</w:t>
            </w:r>
          </w:p>
        </w:tc>
        <w:tc>
          <w:tcPr>
            <w:tcW w:w="1077" w:type="dxa"/>
            <w:shd w:val="clear" w:color="auto" w:fill="FFFFFF" w:themeFill="background1"/>
            <w:tcMar>
              <w:top w:w="0" w:type="dxa"/>
              <w:left w:w="85" w:type="dxa"/>
              <w:bottom w:w="0" w:type="dxa"/>
              <w:right w:w="85" w:type="dxa"/>
            </w:tcMar>
            <w:vAlign w:val="center"/>
          </w:tcPr>
          <w:p w14:paraId="2CFD4948" w14:textId="77777777" w:rsidR="00F271C1" w:rsidRPr="00E01C9E" w:rsidRDefault="00F271C1" w:rsidP="00F16E23">
            <w:pPr>
              <w:pStyle w:val="Tableboldblue"/>
              <w:spacing w:before="40" w:after="40"/>
              <w:jc w:val="right"/>
            </w:pPr>
            <w:r w:rsidRPr="00E01C9E">
              <w:rPr>
                <w:rFonts w:eastAsia="Calibri"/>
              </w:rPr>
              <w:t>-11.2</w:t>
            </w:r>
          </w:p>
        </w:tc>
      </w:tr>
    </w:tbl>
    <w:p w14:paraId="3966225C" w14:textId="77777777" w:rsidR="00F271C1" w:rsidRPr="00E01C9E" w:rsidRDefault="00F271C1" w:rsidP="00F271C1">
      <w:pPr>
        <w:pStyle w:val="Noteundertable"/>
      </w:pPr>
      <w:r w:rsidRPr="00E01C9E">
        <w:rPr>
          <w:b/>
          <w:bCs/>
        </w:rPr>
        <w:t>Note:</w:t>
      </w:r>
      <w:r w:rsidRPr="00E01C9E">
        <w:t xml:space="preserve"> </w:t>
      </w:r>
      <w:r w:rsidRPr="00E01C9E">
        <w:tab/>
        <w:t xml:space="preserve">Gross emissions exclude net emissions from the LULUCF sector. The percentage change for HFCs is not applicable (NA) because no emissions of HFCs occurred in </w:t>
      </w:r>
      <w:r w:rsidRPr="009B66F4">
        <w:t>1990</w:t>
      </w:r>
      <w:r w:rsidRPr="00E01C9E">
        <w:t>. Columns may not total due to rounding. Percentages presented are calculated from unrounded values.</w:t>
      </w:r>
    </w:p>
    <w:p w14:paraId="1E40EC68" w14:textId="77777777" w:rsidR="00F271C1" w:rsidRPr="00E01C9E" w:rsidRDefault="00F271C1" w:rsidP="00F271C1">
      <w:pPr>
        <w:pStyle w:val="BodyText"/>
        <w:keepLines/>
      </w:pPr>
      <w:r w:rsidRPr="00E01C9E">
        <w:t>In 1990, 2005 and 2024, CH</w:t>
      </w:r>
      <w:r w:rsidRPr="00E01C9E">
        <w:rPr>
          <w:vertAlign w:val="subscript"/>
        </w:rPr>
        <w:t>4</w:t>
      </w:r>
      <w:r w:rsidRPr="00E01C9E">
        <w:t xml:space="preserve"> made the greatest contribution to gross emissions (see table 2.2.3 and figure 2.2.13). While emissions of CH</w:t>
      </w:r>
      <w:r w:rsidRPr="00E01C9E">
        <w:rPr>
          <w:vertAlign w:val="subscript"/>
        </w:rPr>
        <w:t>4</w:t>
      </w:r>
      <w:r w:rsidRPr="00E01C9E">
        <w:t xml:space="preserve"> have increased between these years, the rate of increase in CH</w:t>
      </w:r>
      <w:r w:rsidRPr="00E01C9E">
        <w:rPr>
          <w:vertAlign w:val="subscript"/>
        </w:rPr>
        <w:t>4</w:t>
      </w:r>
      <w:r w:rsidRPr="00E01C9E">
        <w:t xml:space="preserve"> emissions relative to other gases in the Inventory has been lower over the same period. Nitrous oxide and CO</w:t>
      </w:r>
      <w:r w:rsidRPr="00E01C9E">
        <w:rPr>
          <w:vertAlign w:val="subscript"/>
        </w:rPr>
        <w:t>2</w:t>
      </w:r>
      <w:r w:rsidRPr="00E01C9E">
        <w:t xml:space="preserve"> emissions have increased at a greater rate between these years than CH</w:t>
      </w:r>
      <w:r w:rsidRPr="00E01C9E">
        <w:rPr>
          <w:vertAlign w:val="subscript"/>
        </w:rPr>
        <w:t>4</w:t>
      </w:r>
      <w:r w:rsidRPr="00E01C9E">
        <w:t>.</w:t>
      </w:r>
    </w:p>
    <w:p w14:paraId="3BBA021C" w14:textId="77777777" w:rsidR="00F271C1" w:rsidRPr="00E01C9E" w:rsidRDefault="00F271C1" w:rsidP="00F271C1">
      <w:pPr>
        <w:pStyle w:val="BodyText"/>
      </w:pPr>
      <w:r w:rsidRPr="00E01C9E">
        <w:rPr>
          <w:spacing w:val="-2"/>
        </w:rPr>
        <w:t>These trends reflect the changes that have occurred in the main livestock types that are farmed</w:t>
      </w:r>
      <w:r w:rsidRPr="00E01C9E">
        <w:t xml:space="preserve"> in New Zealand and the growth in road transport.</w:t>
      </w:r>
    </w:p>
    <w:p w14:paraId="69EFCC14" w14:textId="77777777" w:rsidR="00F271C1" w:rsidRPr="00E01C9E" w:rsidRDefault="00F271C1" w:rsidP="00F271C1">
      <w:pPr>
        <w:pStyle w:val="Figure"/>
      </w:pPr>
      <w:bookmarkStart w:id="163" w:name="_Toc226200662"/>
      <w:r w:rsidRPr="00E01C9E">
        <w:t xml:space="preserve">Figure 2.2.13 </w:t>
      </w:r>
      <w:r w:rsidRPr="00E01C9E">
        <w:tab/>
        <w:t>New Zealand’s gross emissions by gas in 1990, 2005 and 2024</w:t>
      </w:r>
      <w:bookmarkEnd w:id="163"/>
    </w:p>
    <w:p w14:paraId="2F75084A" w14:textId="77777777" w:rsidR="00F271C1" w:rsidRPr="00E01C9E" w:rsidRDefault="00F271C1" w:rsidP="00F271C1">
      <w:pPr>
        <w:pStyle w:val="BodyText"/>
        <w:jc w:val="center"/>
      </w:pPr>
      <w:r w:rsidRPr="00E01C9E">
        <w:rPr>
          <w:noProof/>
        </w:rPr>
        <w:drawing>
          <wp:inline distT="0" distB="0" distL="0" distR="0" wp14:anchorId="61B43366" wp14:editId="5924BC1A">
            <wp:extent cx="5295900" cy="3969590"/>
            <wp:effectExtent l="0" t="0" r="0" b="0"/>
            <wp:docPr id="8525414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41410" name="Picture 852541410"/>
                    <pic:cNvPicPr/>
                  </pic:nvPicPr>
                  <pic:blipFill>
                    <a:blip r:embed="rId24">
                      <a:extLst>
                        <a:ext uri="{28A0092B-C50C-407E-A947-70E740481C1C}">
                          <a14:useLocalDpi xmlns:a14="http://schemas.microsoft.com/office/drawing/2010/main"/>
                        </a:ext>
                      </a:extLst>
                    </a:blip>
                    <a:stretch>
                      <a:fillRect/>
                    </a:stretch>
                  </pic:blipFill>
                  <pic:spPr>
                    <a:xfrm>
                      <a:off x="0" y="0"/>
                      <a:ext cx="5296678" cy="3970173"/>
                    </a:xfrm>
                    <a:prstGeom prst="rect">
                      <a:avLst/>
                    </a:prstGeom>
                  </pic:spPr>
                </pic:pic>
              </a:graphicData>
            </a:graphic>
          </wp:inline>
        </w:drawing>
      </w:r>
    </w:p>
    <w:p w14:paraId="37CBBD60" w14:textId="77777777" w:rsidR="00F271C1" w:rsidRPr="00E01C9E" w:rsidRDefault="00F271C1" w:rsidP="00F271C1">
      <w:pPr>
        <w:pStyle w:val="Noteundertable"/>
        <w:spacing w:before="80"/>
      </w:pPr>
      <w:r w:rsidRPr="00E01C9E">
        <w:rPr>
          <w:b/>
          <w:bCs/>
        </w:rPr>
        <w:t>Note:</w:t>
      </w:r>
      <w:r w:rsidRPr="00E01C9E">
        <w:t xml:space="preserve"> </w:t>
      </w:r>
      <w:r w:rsidRPr="00E01C9E">
        <w:tab/>
        <w:t>Emissions of sulphur hexafluoride (SF</w:t>
      </w:r>
      <w:r w:rsidRPr="00E01C9E">
        <w:rPr>
          <w:vertAlign w:val="subscript"/>
        </w:rPr>
        <w:t>6</w:t>
      </w:r>
      <w:r w:rsidRPr="00E01C9E">
        <w:t>) are not visible due to its small emissions value and emissions of hydrofluorocarbons (HFCs) did not occur in 1990.</w:t>
      </w:r>
    </w:p>
    <w:p w14:paraId="1E2CD216" w14:textId="77777777" w:rsidR="00F271C1" w:rsidRPr="00E01C9E" w:rsidRDefault="00F271C1" w:rsidP="00F271C1">
      <w:pPr>
        <w:pStyle w:val="BodyText"/>
      </w:pPr>
      <w:r w:rsidRPr="00E01C9E">
        <w:t>A summary of the Inventory by GHG for the period 1990 to 2024 is provided in figure 2.2.14. The LULUCF sector is excluded from this figure because it is a net sink across the time series. The LULUCF sector and its GHG trends are explained in detail in chapter 6.</w:t>
      </w:r>
    </w:p>
    <w:p w14:paraId="38845109" w14:textId="77777777" w:rsidR="00F271C1" w:rsidRPr="00E01C9E" w:rsidRDefault="00F271C1" w:rsidP="00F271C1">
      <w:pPr>
        <w:pStyle w:val="Figure"/>
      </w:pPr>
      <w:bookmarkStart w:id="164" w:name="_Toc226200663"/>
      <w:r w:rsidRPr="00E01C9E">
        <w:t xml:space="preserve">Figure 2.2.14 </w:t>
      </w:r>
      <w:r w:rsidRPr="00E01C9E">
        <w:tab/>
        <w:t>Trends in New Zealand’s gross greenhouse gas emissions by gas, from 1990 to 2024</w:t>
      </w:r>
      <w:bookmarkEnd w:id="164"/>
    </w:p>
    <w:p w14:paraId="0A3F9B0E" w14:textId="77777777" w:rsidR="00F271C1" w:rsidRPr="00E01C9E" w:rsidRDefault="00F271C1" w:rsidP="00F271C1">
      <w:pPr>
        <w:pStyle w:val="BodyText"/>
        <w:spacing w:after="0"/>
      </w:pPr>
      <w:r w:rsidRPr="00E01C9E">
        <w:rPr>
          <w:noProof/>
        </w:rPr>
        <w:drawing>
          <wp:inline distT="0" distB="0" distL="0" distR="0" wp14:anchorId="7151086F" wp14:editId="4CBD861B">
            <wp:extent cx="5400675" cy="3947160"/>
            <wp:effectExtent l="0" t="0" r="9525" b="0"/>
            <wp:docPr id="545345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45040" name="Picture 545345040"/>
                    <pic:cNvPicPr/>
                  </pic:nvPicPr>
                  <pic:blipFill rotWithShape="1">
                    <a:blip r:embed="rId47">
                      <a:extLst>
                        <a:ext uri="{28A0092B-C50C-407E-A947-70E740481C1C}">
                          <a14:useLocalDpi xmlns:a14="http://schemas.microsoft.com/office/drawing/2010/main"/>
                        </a:ext>
                      </a:extLst>
                    </a:blip>
                    <a:srcRect b="2494"/>
                    <a:stretch>
                      <a:fillRect/>
                    </a:stretch>
                  </pic:blipFill>
                  <pic:spPr bwMode="auto">
                    <a:xfrm>
                      <a:off x="0" y="0"/>
                      <a:ext cx="5400675" cy="3947160"/>
                    </a:xfrm>
                    <a:prstGeom prst="rect">
                      <a:avLst/>
                    </a:prstGeom>
                    <a:ln>
                      <a:noFill/>
                    </a:ln>
                    <a:extLst>
                      <a:ext uri="{53640926-AAD7-44D8-BBD7-CCE9431645EC}">
                        <a14:shadowObscured xmlns:a14="http://schemas.microsoft.com/office/drawing/2010/main"/>
                      </a:ext>
                    </a:extLst>
                  </pic:spPr>
                </pic:pic>
              </a:graphicData>
            </a:graphic>
          </wp:inline>
        </w:drawing>
      </w:r>
    </w:p>
    <w:p w14:paraId="452C0F6C" w14:textId="77777777" w:rsidR="00F271C1" w:rsidRPr="00E01C9E" w:rsidRDefault="00F271C1" w:rsidP="00F271C1">
      <w:pPr>
        <w:pStyle w:val="Noteundertable"/>
      </w:pPr>
      <w:r w:rsidRPr="00E01C9E">
        <w:rPr>
          <w:b/>
          <w:bCs/>
        </w:rPr>
        <w:t>Note:</w:t>
      </w:r>
      <w:r w:rsidRPr="00E01C9E">
        <w:t xml:space="preserve"> F-gases = fluorinated gases.</w:t>
      </w:r>
    </w:p>
    <w:p w14:paraId="465889EF" w14:textId="77777777" w:rsidR="00F271C1" w:rsidRPr="00E01C9E" w:rsidRDefault="00F271C1" w:rsidP="00F271C1">
      <w:pPr>
        <w:pStyle w:val="BodyText"/>
      </w:pPr>
      <w:r w:rsidRPr="00E01C9E">
        <w:t>Methane emissions represent the largest source of New Zealand’s gross anthropogenic GHG emissions since 1990 (figure 2.2.14). Most CH</w:t>
      </w:r>
      <w:r w:rsidRPr="00E01C9E">
        <w:rPr>
          <w:vertAlign w:val="subscript"/>
        </w:rPr>
        <w:t>4</w:t>
      </w:r>
      <w:r w:rsidRPr="00E01C9E">
        <w:t xml:space="preserve"> emissions are produced through enteric fermentation, reported in the Agriculture sector. Carbon dioxide emissions are the second-largest source of gross emissions for New Zealand. Most CO</w:t>
      </w:r>
      <w:r w:rsidRPr="00E01C9E">
        <w:rPr>
          <w:vertAlign w:val="subscript"/>
        </w:rPr>
        <w:t>2</w:t>
      </w:r>
      <w:r w:rsidRPr="00E01C9E">
        <w:t xml:space="preserve"> emissions are produced through combustion of fossil fuels in the Energy sector.</w:t>
      </w:r>
    </w:p>
    <w:p w14:paraId="4DB07EA6" w14:textId="77777777" w:rsidR="00F271C1" w:rsidRPr="00E01C9E" w:rsidRDefault="00F271C1" w:rsidP="00F271C1">
      <w:pPr>
        <w:pStyle w:val="BodyText"/>
      </w:pPr>
      <w:r w:rsidRPr="00E01C9E">
        <w:t>Between 1990 and 2024 CH</w:t>
      </w:r>
      <w:r w:rsidRPr="00E01C9E">
        <w:rPr>
          <w:vertAlign w:val="subscript"/>
        </w:rPr>
        <w:t>4</w:t>
      </w:r>
      <w:r w:rsidRPr="00E01C9E">
        <w:t xml:space="preserve"> emissions increased by 0.5 percent. Methane emissions generally tracked upwards between 1990 and 2006, when they reached their peak. Despite fluctuations, CH</w:t>
      </w:r>
      <w:r w:rsidRPr="00E01C9E">
        <w:rPr>
          <w:vertAlign w:val="subscript"/>
        </w:rPr>
        <w:t>4</w:t>
      </w:r>
      <w:r w:rsidRPr="00E01C9E">
        <w:t xml:space="preserve"> emissions have generally been tracking downwards since 2006 and have been declining year on year since 2019. The changes observed in CH</w:t>
      </w:r>
      <w:r w:rsidRPr="00E01C9E">
        <w:rPr>
          <w:vertAlign w:val="subscript"/>
        </w:rPr>
        <w:t>4</w:t>
      </w:r>
      <w:r w:rsidRPr="00E01C9E">
        <w:t xml:space="preserve"> emissions have largely been due to increasing dairy cattle numbers, which have been partially offset by decreasing numbers of non-dairy (beef) cattle and sheep since 1990.</w:t>
      </w:r>
    </w:p>
    <w:p w14:paraId="06F78491" w14:textId="77777777" w:rsidR="00F271C1" w:rsidRPr="00E01C9E" w:rsidRDefault="00F271C1" w:rsidP="00F271C1">
      <w:pPr>
        <w:pStyle w:val="BodyText"/>
      </w:pPr>
      <w:r w:rsidRPr="00E01C9E">
        <w:t>Between 1990 and 2024, CO</w:t>
      </w:r>
      <w:r w:rsidRPr="00E01C9E">
        <w:rPr>
          <w:vertAlign w:val="subscript"/>
        </w:rPr>
        <w:t>2</w:t>
      </w:r>
      <w:r w:rsidRPr="00E01C9E">
        <w:t xml:space="preserve"> emissions have increased by 23.2 percent, peaking in 2008 (figure 2.2.14). Since 2019, the main drivers of the changes observed in gross CO</w:t>
      </w:r>
      <w:r w:rsidRPr="00E01C9E">
        <w:rPr>
          <w:vertAlign w:val="subscript"/>
        </w:rPr>
        <w:t>2</w:t>
      </w:r>
      <w:r w:rsidRPr="00E01C9E">
        <w:t xml:space="preserve"> emissions have been the COVID-19 pandemic, the closure of New Zealand’s sole oil refinery and fluctuating levels of hydro power generation.</w:t>
      </w:r>
    </w:p>
    <w:p w14:paraId="60A5757B" w14:textId="77777777" w:rsidR="00F271C1" w:rsidRPr="00E01C9E" w:rsidRDefault="00F271C1" w:rsidP="00D22C6C">
      <w:pPr>
        <w:pStyle w:val="BodyText"/>
        <w:keepLines/>
      </w:pPr>
      <w:r w:rsidRPr="00E01C9E">
        <w:t>Between 1990 and 2024, N</w:t>
      </w:r>
      <w:r w:rsidRPr="00E01C9E">
        <w:rPr>
          <w:vertAlign w:val="subscript"/>
        </w:rPr>
        <w:t>2</w:t>
      </w:r>
      <w:r w:rsidRPr="00E01C9E">
        <w:t>O emissions have increased by 37.7 percent, most recently peaking in 2020. Emissions from N</w:t>
      </w:r>
      <w:r w:rsidRPr="00E01C9E">
        <w:rPr>
          <w:vertAlign w:val="subscript"/>
        </w:rPr>
        <w:t>2</w:t>
      </w:r>
      <w:r w:rsidRPr="00E01C9E">
        <w:t>O have generally been tracking upwards since 1990, although levels have remained stable since peaking in 2020. The overall increase in N</w:t>
      </w:r>
      <w:r w:rsidRPr="00E01C9E">
        <w:rPr>
          <w:vertAlign w:val="subscript"/>
        </w:rPr>
        <w:t>2</w:t>
      </w:r>
      <w:r w:rsidRPr="00E01C9E">
        <w:t xml:space="preserve">O emissions is primarily a result of the increased use of synthetic nitrogen fertiliser since 1990, due to an increase in dairy farming, as well as increased use on other farm types. </w:t>
      </w:r>
    </w:p>
    <w:p w14:paraId="4698E279" w14:textId="77777777" w:rsidR="00F271C1" w:rsidRPr="00E01C9E" w:rsidRDefault="00F271C1" w:rsidP="00F271C1">
      <w:pPr>
        <w:pStyle w:val="BodyText"/>
      </w:pPr>
      <w:r w:rsidRPr="00E01C9E">
        <w:t>Between 1990 and 2024, combined fluorinated gas emissions have increased by 35.3 percent. This increase was mainly due to the introduction of HFCs to replace ODS in refrigeration and air conditioning and the increased use of household and commercial air conditioning.</w:t>
      </w:r>
    </w:p>
    <w:p w14:paraId="72352049" w14:textId="77777777" w:rsidR="00F271C1" w:rsidRPr="00E01C9E" w:rsidRDefault="00F271C1" w:rsidP="00F271C1">
      <w:pPr>
        <w:pStyle w:val="Heading4"/>
      </w:pPr>
      <w:bookmarkStart w:id="165" w:name="indirect-gases"/>
      <w:r w:rsidRPr="00E01C9E">
        <w:t>Indirect gases</w:t>
      </w:r>
    </w:p>
    <w:p w14:paraId="7B2472AC" w14:textId="77777777" w:rsidR="00F271C1" w:rsidRPr="00E01C9E" w:rsidRDefault="00F271C1" w:rsidP="00F271C1">
      <w:pPr>
        <w:pStyle w:val="BodyText"/>
      </w:pPr>
      <w:r w:rsidRPr="00E01C9E">
        <w:t>New Zealand reports emissions estimates of indirect gases in accordance with IPCC (2006, volume 1, chapter 7). These indirect gases are CO, NO</w:t>
      </w:r>
      <w:r w:rsidRPr="00E01C9E">
        <w:rPr>
          <w:vertAlign w:val="subscript"/>
        </w:rPr>
        <w:t>X</w:t>
      </w:r>
      <w:r w:rsidRPr="00E01C9E">
        <w:t>, NMVOCs and sulphur dioxide (SO</w:t>
      </w:r>
      <w:r w:rsidRPr="00E01C9E">
        <w:rPr>
          <w:vertAlign w:val="subscript"/>
        </w:rPr>
        <w:t>2</w:t>
      </w:r>
      <w:r w:rsidRPr="00E01C9E">
        <w:t>). These gases are not GHGs themselves and are not included in the national emissions totals; however, CO, NO</w:t>
      </w:r>
      <w:r w:rsidRPr="00E01C9E">
        <w:rPr>
          <w:vertAlign w:val="subscript"/>
        </w:rPr>
        <w:t>X</w:t>
      </w:r>
      <w:r w:rsidRPr="00E01C9E">
        <w:t xml:space="preserve"> and NMVOCs chemically alter the atmosphere, leading to an increase in tropospheric ozone concentrations, and SO</w:t>
      </w:r>
      <w:r w:rsidRPr="00E01C9E">
        <w:rPr>
          <w:vertAlign w:val="subscript"/>
        </w:rPr>
        <w:t>2</w:t>
      </w:r>
      <w:r w:rsidRPr="00E01C9E">
        <w:t xml:space="preserve"> contributes to aerosol formation. Table 2.2.4 summarises New Zealand’s indirect GHG emissions in 1990, 2005 and 2024 as well as the change between these years.</w:t>
      </w:r>
    </w:p>
    <w:p w14:paraId="40502EE4" w14:textId="77777777" w:rsidR="00F271C1" w:rsidRPr="00E01C9E" w:rsidRDefault="00F271C1" w:rsidP="00F271C1">
      <w:pPr>
        <w:pStyle w:val="Table"/>
      </w:pPr>
      <w:bookmarkStart w:id="166" w:name="_Toc226668952"/>
      <w:r w:rsidRPr="00E01C9E">
        <w:t xml:space="preserve">Table 2.2.4 </w:t>
      </w:r>
      <w:r w:rsidRPr="00E01C9E">
        <w:tab/>
        <w:t>New Zealand’s indirect greenhouse gas emissions (excluding LULUCF) in 1990, 2005 and 2024</w:t>
      </w:r>
      <w:bookmarkEnd w:id="16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753"/>
        <w:gridCol w:w="535"/>
        <w:gridCol w:w="535"/>
        <w:gridCol w:w="535"/>
        <w:gridCol w:w="1385"/>
        <w:gridCol w:w="1183"/>
        <w:gridCol w:w="1385"/>
        <w:gridCol w:w="1183"/>
      </w:tblGrid>
      <w:tr w:rsidR="00F271C1" w:rsidRPr="00E01C9E" w14:paraId="01E697E9" w14:textId="77777777" w:rsidTr="00F16E23">
        <w:trPr>
          <w:tblHeader/>
        </w:trPr>
        <w:tc>
          <w:tcPr>
            <w:tcW w:w="0" w:type="auto"/>
            <w:shd w:val="clear" w:color="auto" w:fill="1C556C" w:themeFill="accent1"/>
            <w:tcMar>
              <w:top w:w="0" w:type="dxa"/>
              <w:left w:w="85" w:type="dxa"/>
              <w:bottom w:w="0" w:type="dxa"/>
              <w:right w:w="85" w:type="dxa"/>
            </w:tcMar>
            <w:vAlign w:val="center"/>
          </w:tcPr>
          <w:p w14:paraId="5F23A4C9" w14:textId="77777777" w:rsidR="00F271C1" w:rsidRPr="00E01C9E" w:rsidRDefault="00F271C1" w:rsidP="00F16E23">
            <w:pPr>
              <w:pStyle w:val="TableTextBold"/>
              <w:rPr>
                <w:noProof w:val="0"/>
                <w:color w:val="FFFFFF" w:themeColor="background1"/>
              </w:rPr>
            </w:pPr>
            <w:r w:rsidRPr="00E01C9E">
              <w:rPr>
                <w:rFonts w:eastAsia="Calibri"/>
                <w:noProof w:val="0"/>
                <w:color w:val="FFFFFF" w:themeColor="background1"/>
              </w:rPr>
              <w:t>Indirect greenhouse gas emissions</w:t>
            </w:r>
          </w:p>
        </w:tc>
        <w:tc>
          <w:tcPr>
            <w:tcW w:w="0" w:type="auto"/>
            <w:shd w:val="clear" w:color="auto" w:fill="1C556C" w:themeFill="accent1"/>
            <w:tcMar>
              <w:top w:w="0" w:type="dxa"/>
              <w:left w:w="85" w:type="dxa"/>
              <w:bottom w:w="0" w:type="dxa"/>
              <w:right w:w="85" w:type="dxa"/>
            </w:tcMar>
            <w:vAlign w:val="center"/>
          </w:tcPr>
          <w:p w14:paraId="7575A98E" w14:textId="77777777" w:rsidR="00F271C1" w:rsidRPr="00E01C9E" w:rsidRDefault="00F271C1" w:rsidP="00F16E23">
            <w:pPr>
              <w:pStyle w:val="TableTextBold"/>
              <w:jc w:val="right"/>
              <w:rPr>
                <w:noProof w:val="0"/>
                <w:color w:val="FFFFFF" w:themeColor="background1"/>
              </w:rPr>
            </w:pPr>
            <w:r w:rsidRPr="00E01C9E">
              <w:rPr>
                <w:rFonts w:eastAsia="Calibri"/>
                <w:noProof w:val="0"/>
                <w:color w:val="FFFFFF" w:themeColor="background1"/>
              </w:rPr>
              <w:t>1990</w:t>
            </w:r>
          </w:p>
        </w:tc>
        <w:tc>
          <w:tcPr>
            <w:tcW w:w="0" w:type="auto"/>
            <w:shd w:val="clear" w:color="auto" w:fill="1C556C" w:themeFill="accent1"/>
            <w:tcMar>
              <w:top w:w="0" w:type="dxa"/>
              <w:left w:w="85" w:type="dxa"/>
              <w:bottom w:w="0" w:type="dxa"/>
              <w:right w:w="85" w:type="dxa"/>
            </w:tcMar>
            <w:vAlign w:val="center"/>
          </w:tcPr>
          <w:p w14:paraId="3DF69410" w14:textId="77777777" w:rsidR="00F271C1" w:rsidRPr="00E01C9E" w:rsidRDefault="00F271C1" w:rsidP="00F16E23">
            <w:pPr>
              <w:pStyle w:val="TableTextBold"/>
              <w:jc w:val="right"/>
              <w:rPr>
                <w:noProof w:val="0"/>
                <w:color w:val="FFFFFF" w:themeColor="background1"/>
              </w:rPr>
            </w:pPr>
            <w:r w:rsidRPr="00E01C9E">
              <w:rPr>
                <w:rFonts w:eastAsia="Calibri"/>
                <w:noProof w:val="0"/>
                <w:color w:val="FFFFFF" w:themeColor="background1"/>
              </w:rPr>
              <w:t>2005</w:t>
            </w:r>
          </w:p>
        </w:tc>
        <w:tc>
          <w:tcPr>
            <w:tcW w:w="0" w:type="auto"/>
            <w:shd w:val="clear" w:color="auto" w:fill="1C556C" w:themeFill="accent1"/>
            <w:tcMar>
              <w:top w:w="0" w:type="dxa"/>
              <w:left w:w="85" w:type="dxa"/>
              <w:bottom w:w="0" w:type="dxa"/>
              <w:right w:w="85" w:type="dxa"/>
            </w:tcMar>
            <w:vAlign w:val="center"/>
          </w:tcPr>
          <w:p w14:paraId="379AFDCF" w14:textId="77777777" w:rsidR="00F271C1" w:rsidRPr="00E01C9E" w:rsidRDefault="00F271C1" w:rsidP="00F16E23">
            <w:pPr>
              <w:pStyle w:val="TableTextBold"/>
              <w:jc w:val="right"/>
              <w:rPr>
                <w:noProof w:val="0"/>
                <w:color w:val="FFFFFF" w:themeColor="background1"/>
              </w:rPr>
            </w:pPr>
            <w:r w:rsidRPr="00E01C9E">
              <w:rPr>
                <w:rFonts w:eastAsia="Calibri"/>
                <w:noProof w:val="0"/>
                <w:color w:val="FFFFFF" w:themeColor="background1"/>
              </w:rPr>
              <w:t>2024</w:t>
            </w:r>
          </w:p>
        </w:tc>
        <w:tc>
          <w:tcPr>
            <w:tcW w:w="0" w:type="auto"/>
            <w:shd w:val="clear" w:color="auto" w:fill="1C556C" w:themeFill="accent1"/>
            <w:tcMar>
              <w:top w:w="0" w:type="dxa"/>
              <w:left w:w="85" w:type="dxa"/>
              <w:bottom w:w="0" w:type="dxa"/>
              <w:right w:w="85" w:type="dxa"/>
            </w:tcMar>
            <w:vAlign w:val="center"/>
          </w:tcPr>
          <w:p w14:paraId="5007B96D" w14:textId="77777777" w:rsidR="00F271C1" w:rsidRPr="00E01C9E" w:rsidRDefault="00F271C1" w:rsidP="00F16E23">
            <w:pPr>
              <w:pStyle w:val="TableTextBold"/>
              <w:jc w:val="right"/>
              <w:rPr>
                <w:noProof w:val="0"/>
                <w:color w:val="FFFFFF" w:themeColor="background1"/>
              </w:rPr>
            </w:pPr>
            <w:r w:rsidRPr="00E01C9E">
              <w:rPr>
                <w:rFonts w:eastAsia="Calibri"/>
                <w:noProof w:val="0"/>
                <w:color w:val="FFFFFF" w:themeColor="background1"/>
              </w:rPr>
              <w:t>Change from 1990 (kt CO</w:t>
            </w:r>
            <w:r w:rsidRPr="00E01C9E">
              <w:rPr>
                <w:rFonts w:eastAsia="Calibri"/>
                <w:noProof w:val="0"/>
                <w:color w:val="FFFFFF" w:themeColor="background1"/>
                <w:vertAlign w:val="subscript"/>
              </w:rPr>
              <w:t>2</w:t>
            </w:r>
            <w:r w:rsidRPr="00E01C9E">
              <w:rPr>
                <w:rFonts w:eastAsia="Calibri"/>
                <w:noProof w:val="0"/>
                <w:color w:val="FFFFFF" w:themeColor="background1"/>
              </w:rPr>
              <w:t>e)</w:t>
            </w:r>
          </w:p>
        </w:tc>
        <w:tc>
          <w:tcPr>
            <w:tcW w:w="0" w:type="auto"/>
            <w:shd w:val="clear" w:color="auto" w:fill="1C556C" w:themeFill="accent1"/>
            <w:tcMar>
              <w:top w:w="0" w:type="dxa"/>
              <w:left w:w="85" w:type="dxa"/>
              <w:bottom w:w="0" w:type="dxa"/>
              <w:right w:w="85" w:type="dxa"/>
            </w:tcMar>
            <w:vAlign w:val="center"/>
          </w:tcPr>
          <w:p w14:paraId="53617286" w14:textId="77777777" w:rsidR="00F271C1" w:rsidRPr="00E01C9E" w:rsidRDefault="00F271C1" w:rsidP="00F16E23">
            <w:pPr>
              <w:pStyle w:val="TableTextBold"/>
              <w:jc w:val="right"/>
              <w:rPr>
                <w:noProof w:val="0"/>
                <w:color w:val="FFFFFF" w:themeColor="background1"/>
              </w:rPr>
            </w:pPr>
            <w:r w:rsidRPr="00E01C9E">
              <w:rPr>
                <w:rFonts w:eastAsia="Calibri"/>
                <w:noProof w:val="0"/>
                <w:color w:val="FFFFFF" w:themeColor="background1"/>
              </w:rPr>
              <w:t>Change from 1990 (%)</w:t>
            </w:r>
          </w:p>
        </w:tc>
        <w:tc>
          <w:tcPr>
            <w:tcW w:w="0" w:type="auto"/>
            <w:shd w:val="clear" w:color="auto" w:fill="1C556C" w:themeFill="accent1"/>
            <w:tcMar>
              <w:top w:w="0" w:type="dxa"/>
              <w:left w:w="85" w:type="dxa"/>
              <w:bottom w:w="0" w:type="dxa"/>
              <w:right w:w="85" w:type="dxa"/>
            </w:tcMar>
            <w:vAlign w:val="center"/>
          </w:tcPr>
          <w:p w14:paraId="5C73560B" w14:textId="77777777" w:rsidR="00F271C1" w:rsidRPr="00E01C9E" w:rsidRDefault="00F271C1" w:rsidP="00F16E23">
            <w:pPr>
              <w:pStyle w:val="TableTextBold"/>
              <w:jc w:val="right"/>
              <w:rPr>
                <w:noProof w:val="0"/>
                <w:color w:val="FFFFFF" w:themeColor="background1"/>
              </w:rPr>
            </w:pPr>
            <w:r w:rsidRPr="00E01C9E">
              <w:rPr>
                <w:rFonts w:eastAsia="Calibri"/>
                <w:noProof w:val="0"/>
                <w:color w:val="FFFFFF" w:themeColor="background1"/>
              </w:rPr>
              <w:t>Change from 2005 (kt CO</w:t>
            </w:r>
            <w:r w:rsidRPr="00E01C9E">
              <w:rPr>
                <w:rFonts w:eastAsia="Calibri"/>
                <w:noProof w:val="0"/>
                <w:color w:val="FFFFFF" w:themeColor="background1"/>
                <w:vertAlign w:val="subscript"/>
              </w:rPr>
              <w:t>2</w:t>
            </w:r>
            <w:r w:rsidRPr="00E01C9E">
              <w:rPr>
                <w:rFonts w:eastAsia="Calibri"/>
                <w:noProof w:val="0"/>
                <w:color w:val="FFFFFF" w:themeColor="background1"/>
              </w:rPr>
              <w:t>e)</w:t>
            </w:r>
          </w:p>
        </w:tc>
        <w:tc>
          <w:tcPr>
            <w:tcW w:w="0" w:type="auto"/>
            <w:shd w:val="clear" w:color="auto" w:fill="1C556C" w:themeFill="accent1"/>
            <w:tcMar>
              <w:top w:w="0" w:type="dxa"/>
              <w:left w:w="85" w:type="dxa"/>
              <w:bottom w:w="0" w:type="dxa"/>
              <w:right w:w="85" w:type="dxa"/>
            </w:tcMar>
            <w:vAlign w:val="center"/>
          </w:tcPr>
          <w:p w14:paraId="4FB8DC41" w14:textId="77777777" w:rsidR="00F271C1" w:rsidRPr="00E01C9E" w:rsidRDefault="00F271C1" w:rsidP="00F16E23">
            <w:pPr>
              <w:pStyle w:val="TableTextBold"/>
              <w:jc w:val="right"/>
              <w:rPr>
                <w:noProof w:val="0"/>
                <w:color w:val="FFFFFF" w:themeColor="background1"/>
              </w:rPr>
            </w:pPr>
            <w:r w:rsidRPr="00E01C9E">
              <w:rPr>
                <w:rFonts w:eastAsia="Calibri"/>
                <w:noProof w:val="0"/>
                <w:color w:val="FFFFFF" w:themeColor="background1"/>
              </w:rPr>
              <w:t>Change from 2005 (%)</w:t>
            </w:r>
          </w:p>
        </w:tc>
      </w:tr>
      <w:tr w:rsidR="00F271C1" w:rsidRPr="00E01C9E" w14:paraId="284635F8" w14:textId="77777777" w:rsidTr="00F16E23">
        <w:tc>
          <w:tcPr>
            <w:tcW w:w="0" w:type="auto"/>
            <w:shd w:val="clear" w:color="auto" w:fill="FFFFFF" w:themeFill="background1"/>
            <w:tcMar>
              <w:top w:w="0" w:type="dxa"/>
              <w:left w:w="85" w:type="dxa"/>
              <w:bottom w:w="0" w:type="dxa"/>
              <w:right w:w="85" w:type="dxa"/>
            </w:tcMar>
            <w:vAlign w:val="center"/>
          </w:tcPr>
          <w:p w14:paraId="065E8783" w14:textId="77777777" w:rsidR="00F271C1" w:rsidRPr="00E01C9E" w:rsidRDefault="00F271C1" w:rsidP="00F16E23">
            <w:pPr>
              <w:pStyle w:val="TableText"/>
              <w:spacing w:before="40" w:after="40"/>
            </w:pPr>
            <w:r w:rsidRPr="00E01C9E">
              <w:rPr>
                <w:rFonts w:eastAsia="Calibri"/>
              </w:rPr>
              <w:t>CO</w:t>
            </w:r>
          </w:p>
        </w:tc>
        <w:tc>
          <w:tcPr>
            <w:tcW w:w="0" w:type="auto"/>
            <w:shd w:val="clear" w:color="auto" w:fill="FFFFFF" w:themeFill="background1"/>
            <w:tcMar>
              <w:top w:w="0" w:type="dxa"/>
              <w:left w:w="85" w:type="dxa"/>
              <w:bottom w:w="0" w:type="dxa"/>
              <w:right w:w="85" w:type="dxa"/>
            </w:tcMar>
            <w:vAlign w:val="center"/>
          </w:tcPr>
          <w:p w14:paraId="7381531A" w14:textId="77777777" w:rsidR="00F271C1" w:rsidRPr="00E01C9E" w:rsidRDefault="00F271C1" w:rsidP="00F16E23">
            <w:pPr>
              <w:pStyle w:val="TableText"/>
              <w:spacing w:before="40" w:after="40"/>
              <w:jc w:val="right"/>
            </w:pPr>
            <w:r w:rsidRPr="00E01C9E">
              <w:rPr>
                <w:rFonts w:eastAsia="Calibri"/>
              </w:rPr>
              <w:t>622.6</w:t>
            </w:r>
          </w:p>
        </w:tc>
        <w:tc>
          <w:tcPr>
            <w:tcW w:w="0" w:type="auto"/>
            <w:shd w:val="clear" w:color="auto" w:fill="FFFFFF" w:themeFill="background1"/>
            <w:tcMar>
              <w:top w:w="0" w:type="dxa"/>
              <w:left w:w="85" w:type="dxa"/>
              <w:bottom w:w="0" w:type="dxa"/>
              <w:right w:w="85" w:type="dxa"/>
            </w:tcMar>
            <w:vAlign w:val="center"/>
          </w:tcPr>
          <w:p w14:paraId="435E0B37" w14:textId="77777777" w:rsidR="00F271C1" w:rsidRPr="00E01C9E" w:rsidRDefault="00F271C1" w:rsidP="00F16E23">
            <w:pPr>
              <w:pStyle w:val="TableText"/>
              <w:spacing w:before="40" w:after="40"/>
              <w:jc w:val="right"/>
            </w:pPr>
            <w:r w:rsidRPr="00E01C9E">
              <w:rPr>
                <w:rFonts w:eastAsia="Calibri"/>
              </w:rPr>
              <w:t>741.8</w:t>
            </w:r>
          </w:p>
        </w:tc>
        <w:tc>
          <w:tcPr>
            <w:tcW w:w="0" w:type="auto"/>
            <w:shd w:val="clear" w:color="auto" w:fill="FFFFFF" w:themeFill="background1"/>
            <w:tcMar>
              <w:top w:w="0" w:type="dxa"/>
              <w:left w:w="85" w:type="dxa"/>
              <w:bottom w:w="0" w:type="dxa"/>
              <w:right w:w="85" w:type="dxa"/>
            </w:tcMar>
            <w:vAlign w:val="center"/>
          </w:tcPr>
          <w:p w14:paraId="09E11493" w14:textId="77777777" w:rsidR="00F271C1" w:rsidRPr="00E01C9E" w:rsidRDefault="00F271C1" w:rsidP="00F16E23">
            <w:pPr>
              <w:pStyle w:val="TableText"/>
              <w:spacing w:before="40" w:after="40"/>
              <w:jc w:val="right"/>
              <w:rPr>
                <w:rFonts w:eastAsia="Calibri"/>
              </w:rPr>
            </w:pPr>
            <w:r w:rsidRPr="00E01C9E">
              <w:rPr>
                <w:rFonts w:eastAsia="Calibri"/>
              </w:rPr>
              <w:t>650.7</w:t>
            </w:r>
          </w:p>
        </w:tc>
        <w:tc>
          <w:tcPr>
            <w:tcW w:w="0" w:type="auto"/>
            <w:shd w:val="clear" w:color="auto" w:fill="FFFFFF" w:themeFill="background1"/>
            <w:tcMar>
              <w:top w:w="0" w:type="dxa"/>
              <w:left w:w="85" w:type="dxa"/>
              <w:bottom w:w="0" w:type="dxa"/>
              <w:right w:w="85" w:type="dxa"/>
            </w:tcMar>
            <w:vAlign w:val="center"/>
          </w:tcPr>
          <w:p w14:paraId="1ADF0BD8" w14:textId="77777777" w:rsidR="00F271C1" w:rsidRPr="00E01C9E" w:rsidRDefault="00F271C1" w:rsidP="00F16E23">
            <w:pPr>
              <w:pStyle w:val="TableText"/>
              <w:spacing w:before="40" w:after="40"/>
              <w:jc w:val="right"/>
            </w:pPr>
            <w:r w:rsidRPr="00E01C9E">
              <w:rPr>
                <w:rFonts w:eastAsia="Calibri"/>
              </w:rPr>
              <w:t>28.1</w:t>
            </w:r>
          </w:p>
        </w:tc>
        <w:tc>
          <w:tcPr>
            <w:tcW w:w="0" w:type="auto"/>
            <w:shd w:val="clear" w:color="auto" w:fill="FFFFFF" w:themeFill="background1"/>
            <w:tcMar>
              <w:top w:w="0" w:type="dxa"/>
              <w:left w:w="85" w:type="dxa"/>
              <w:bottom w:w="0" w:type="dxa"/>
              <w:right w:w="85" w:type="dxa"/>
            </w:tcMar>
            <w:vAlign w:val="center"/>
          </w:tcPr>
          <w:p w14:paraId="79D61909" w14:textId="77777777" w:rsidR="00F271C1" w:rsidRPr="00E01C9E" w:rsidRDefault="00F271C1" w:rsidP="00F16E23">
            <w:pPr>
              <w:pStyle w:val="TableText"/>
              <w:spacing w:before="40" w:after="40"/>
              <w:jc w:val="right"/>
            </w:pPr>
            <w:r w:rsidRPr="00E01C9E">
              <w:rPr>
                <w:rFonts w:eastAsia="Calibri"/>
              </w:rPr>
              <w:t xml:space="preserve"> 4.5</w:t>
            </w:r>
          </w:p>
        </w:tc>
        <w:tc>
          <w:tcPr>
            <w:tcW w:w="0" w:type="auto"/>
            <w:shd w:val="clear" w:color="auto" w:fill="FFFFFF" w:themeFill="background1"/>
            <w:tcMar>
              <w:top w:w="0" w:type="dxa"/>
              <w:left w:w="85" w:type="dxa"/>
              <w:bottom w:w="0" w:type="dxa"/>
              <w:right w:w="85" w:type="dxa"/>
            </w:tcMar>
            <w:vAlign w:val="center"/>
          </w:tcPr>
          <w:p w14:paraId="258B579F" w14:textId="77777777" w:rsidR="00F271C1" w:rsidRPr="00E01C9E" w:rsidRDefault="00F271C1" w:rsidP="00F16E23">
            <w:pPr>
              <w:pStyle w:val="TableText"/>
              <w:spacing w:before="40" w:after="40"/>
              <w:jc w:val="right"/>
            </w:pPr>
            <w:r w:rsidRPr="00E01C9E">
              <w:rPr>
                <w:rFonts w:eastAsia="Calibri"/>
              </w:rPr>
              <w:t>-91.1</w:t>
            </w:r>
          </w:p>
        </w:tc>
        <w:tc>
          <w:tcPr>
            <w:tcW w:w="0" w:type="auto"/>
            <w:shd w:val="clear" w:color="auto" w:fill="FFFFFF" w:themeFill="background1"/>
            <w:tcMar>
              <w:top w:w="0" w:type="dxa"/>
              <w:left w:w="85" w:type="dxa"/>
              <w:bottom w:w="0" w:type="dxa"/>
              <w:right w:w="85" w:type="dxa"/>
            </w:tcMar>
            <w:vAlign w:val="center"/>
          </w:tcPr>
          <w:p w14:paraId="6DAD3138" w14:textId="77777777" w:rsidR="00F271C1" w:rsidRPr="00E01C9E" w:rsidRDefault="00F271C1" w:rsidP="00F16E23">
            <w:pPr>
              <w:pStyle w:val="TableText"/>
              <w:spacing w:before="40" w:after="40"/>
              <w:jc w:val="right"/>
            </w:pPr>
            <w:r w:rsidRPr="00E01C9E">
              <w:rPr>
                <w:rFonts w:eastAsia="Calibri"/>
              </w:rPr>
              <w:t>-12.3</w:t>
            </w:r>
          </w:p>
        </w:tc>
      </w:tr>
      <w:tr w:rsidR="00F271C1" w:rsidRPr="00E01C9E" w14:paraId="703591AD" w14:textId="77777777" w:rsidTr="00F16E23">
        <w:tc>
          <w:tcPr>
            <w:tcW w:w="0" w:type="auto"/>
            <w:shd w:val="clear" w:color="auto" w:fill="FFFFFF" w:themeFill="background1"/>
            <w:tcMar>
              <w:top w:w="0" w:type="dxa"/>
              <w:left w:w="85" w:type="dxa"/>
              <w:bottom w:w="0" w:type="dxa"/>
              <w:right w:w="85" w:type="dxa"/>
            </w:tcMar>
            <w:vAlign w:val="center"/>
          </w:tcPr>
          <w:p w14:paraId="2891320D" w14:textId="77777777" w:rsidR="00F271C1" w:rsidRPr="00E01C9E" w:rsidRDefault="00F271C1" w:rsidP="00F16E23">
            <w:pPr>
              <w:pStyle w:val="TableText"/>
              <w:spacing w:before="40" w:after="40"/>
            </w:pPr>
            <w:r w:rsidRPr="00E01C9E">
              <w:rPr>
                <w:rFonts w:eastAsia="Calibri"/>
              </w:rPr>
              <w:t>NMVOCs</w:t>
            </w:r>
          </w:p>
        </w:tc>
        <w:tc>
          <w:tcPr>
            <w:tcW w:w="0" w:type="auto"/>
            <w:shd w:val="clear" w:color="auto" w:fill="FFFFFF" w:themeFill="background1"/>
            <w:tcMar>
              <w:top w:w="0" w:type="dxa"/>
              <w:left w:w="85" w:type="dxa"/>
              <w:bottom w:w="0" w:type="dxa"/>
              <w:right w:w="85" w:type="dxa"/>
            </w:tcMar>
            <w:vAlign w:val="center"/>
          </w:tcPr>
          <w:p w14:paraId="6539F716" w14:textId="77777777" w:rsidR="00F271C1" w:rsidRPr="00E01C9E" w:rsidRDefault="00F271C1" w:rsidP="00F16E23">
            <w:pPr>
              <w:pStyle w:val="TableText"/>
              <w:spacing w:before="40" w:after="40"/>
              <w:jc w:val="right"/>
            </w:pPr>
            <w:r w:rsidRPr="00E01C9E">
              <w:rPr>
                <w:rFonts w:eastAsia="Calibri"/>
              </w:rPr>
              <w:t>143.7</w:t>
            </w:r>
          </w:p>
        </w:tc>
        <w:tc>
          <w:tcPr>
            <w:tcW w:w="0" w:type="auto"/>
            <w:shd w:val="clear" w:color="auto" w:fill="FFFFFF" w:themeFill="background1"/>
            <w:tcMar>
              <w:top w:w="0" w:type="dxa"/>
              <w:left w:w="85" w:type="dxa"/>
              <w:bottom w:w="0" w:type="dxa"/>
              <w:right w:w="85" w:type="dxa"/>
            </w:tcMar>
            <w:vAlign w:val="center"/>
          </w:tcPr>
          <w:p w14:paraId="7BC8E313" w14:textId="77777777" w:rsidR="00F271C1" w:rsidRPr="00E01C9E" w:rsidRDefault="00F271C1" w:rsidP="00F16E23">
            <w:pPr>
              <w:pStyle w:val="TableText"/>
              <w:spacing w:before="40" w:after="40"/>
              <w:jc w:val="right"/>
            </w:pPr>
            <w:r w:rsidRPr="00E01C9E">
              <w:rPr>
                <w:rFonts w:eastAsia="Calibri"/>
              </w:rPr>
              <w:t>178.7</w:t>
            </w:r>
          </w:p>
        </w:tc>
        <w:tc>
          <w:tcPr>
            <w:tcW w:w="0" w:type="auto"/>
            <w:shd w:val="clear" w:color="auto" w:fill="FFFFFF" w:themeFill="background1"/>
            <w:tcMar>
              <w:top w:w="0" w:type="dxa"/>
              <w:left w:w="85" w:type="dxa"/>
              <w:bottom w:w="0" w:type="dxa"/>
              <w:right w:w="85" w:type="dxa"/>
            </w:tcMar>
            <w:vAlign w:val="center"/>
          </w:tcPr>
          <w:p w14:paraId="64BC592B" w14:textId="77777777" w:rsidR="00F271C1" w:rsidRPr="00E01C9E" w:rsidRDefault="00F271C1" w:rsidP="00F16E23">
            <w:pPr>
              <w:pStyle w:val="TableText"/>
              <w:spacing w:before="40" w:after="40"/>
              <w:jc w:val="right"/>
            </w:pPr>
            <w:r w:rsidRPr="00E01C9E">
              <w:rPr>
                <w:rFonts w:eastAsia="Calibri"/>
              </w:rPr>
              <w:t>171.1</w:t>
            </w:r>
          </w:p>
        </w:tc>
        <w:tc>
          <w:tcPr>
            <w:tcW w:w="0" w:type="auto"/>
            <w:shd w:val="clear" w:color="auto" w:fill="FFFFFF" w:themeFill="background1"/>
            <w:tcMar>
              <w:top w:w="0" w:type="dxa"/>
              <w:left w:w="85" w:type="dxa"/>
              <w:bottom w:w="0" w:type="dxa"/>
              <w:right w:w="85" w:type="dxa"/>
            </w:tcMar>
            <w:vAlign w:val="center"/>
          </w:tcPr>
          <w:p w14:paraId="28B5BDD5" w14:textId="77777777" w:rsidR="00F271C1" w:rsidRPr="00E01C9E" w:rsidRDefault="00F271C1" w:rsidP="00F16E23">
            <w:pPr>
              <w:pStyle w:val="TableText"/>
              <w:spacing w:before="40" w:after="40"/>
              <w:jc w:val="right"/>
            </w:pPr>
            <w:r w:rsidRPr="00E01C9E">
              <w:rPr>
                <w:rFonts w:eastAsia="Calibri"/>
              </w:rPr>
              <w:t>27.4</w:t>
            </w:r>
          </w:p>
        </w:tc>
        <w:tc>
          <w:tcPr>
            <w:tcW w:w="0" w:type="auto"/>
            <w:shd w:val="clear" w:color="auto" w:fill="FFFFFF" w:themeFill="background1"/>
            <w:tcMar>
              <w:top w:w="0" w:type="dxa"/>
              <w:left w:w="85" w:type="dxa"/>
              <w:bottom w:w="0" w:type="dxa"/>
              <w:right w:w="85" w:type="dxa"/>
            </w:tcMar>
            <w:vAlign w:val="center"/>
          </w:tcPr>
          <w:p w14:paraId="5F406DD7" w14:textId="77777777" w:rsidR="00F271C1" w:rsidRPr="00E01C9E" w:rsidRDefault="00F271C1" w:rsidP="00F16E23">
            <w:pPr>
              <w:pStyle w:val="TableText"/>
              <w:spacing w:before="40" w:after="40"/>
              <w:jc w:val="right"/>
            </w:pPr>
            <w:r w:rsidRPr="00E01C9E">
              <w:rPr>
                <w:rFonts w:eastAsia="Calibri"/>
              </w:rPr>
              <w:t xml:space="preserve"> 19.1</w:t>
            </w:r>
          </w:p>
        </w:tc>
        <w:tc>
          <w:tcPr>
            <w:tcW w:w="0" w:type="auto"/>
            <w:shd w:val="clear" w:color="auto" w:fill="FFFFFF" w:themeFill="background1"/>
            <w:tcMar>
              <w:top w:w="0" w:type="dxa"/>
              <w:left w:w="85" w:type="dxa"/>
              <w:bottom w:w="0" w:type="dxa"/>
              <w:right w:w="85" w:type="dxa"/>
            </w:tcMar>
            <w:vAlign w:val="center"/>
          </w:tcPr>
          <w:p w14:paraId="45C2CCAA" w14:textId="77777777" w:rsidR="00F271C1" w:rsidRPr="00E01C9E" w:rsidRDefault="00F271C1" w:rsidP="00F16E23">
            <w:pPr>
              <w:pStyle w:val="TableText"/>
              <w:spacing w:before="40" w:after="40"/>
              <w:jc w:val="right"/>
            </w:pPr>
            <w:r w:rsidRPr="00E01C9E">
              <w:rPr>
                <w:rFonts w:eastAsia="Calibri"/>
              </w:rPr>
              <w:t xml:space="preserve"> -7.6</w:t>
            </w:r>
          </w:p>
        </w:tc>
        <w:tc>
          <w:tcPr>
            <w:tcW w:w="0" w:type="auto"/>
            <w:shd w:val="clear" w:color="auto" w:fill="FFFFFF" w:themeFill="background1"/>
            <w:tcMar>
              <w:top w:w="0" w:type="dxa"/>
              <w:left w:w="85" w:type="dxa"/>
              <w:bottom w:w="0" w:type="dxa"/>
              <w:right w:w="85" w:type="dxa"/>
            </w:tcMar>
            <w:vAlign w:val="center"/>
          </w:tcPr>
          <w:p w14:paraId="5D325D63" w14:textId="77777777" w:rsidR="00F271C1" w:rsidRPr="00E01C9E" w:rsidRDefault="00F271C1" w:rsidP="00F16E23">
            <w:pPr>
              <w:pStyle w:val="TableText"/>
              <w:spacing w:before="40" w:after="40"/>
              <w:jc w:val="right"/>
            </w:pPr>
            <w:r w:rsidRPr="00E01C9E">
              <w:rPr>
                <w:rFonts w:eastAsia="Calibri"/>
              </w:rPr>
              <w:t xml:space="preserve"> -4.3</w:t>
            </w:r>
          </w:p>
        </w:tc>
      </w:tr>
      <w:tr w:rsidR="00F271C1" w:rsidRPr="00E01C9E" w14:paraId="787B28F1" w14:textId="77777777" w:rsidTr="00F16E23">
        <w:tc>
          <w:tcPr>
            <w:tcW w:w="0" w:type="auto"/>
            <w:shd w:val="clear" w:color="auto" w:fill="FFFFFF" w:themeFill="background1"/>
            <w:tcMar>
              <w:top w:w="0" w:type="dxa"/>
              <w:left w:w="85" w:type="dxa"/>
              <w:bottom w:w="0" w:type="dxa"/>
              <w:right w:w="85" w:type="dxa"/>
            </w:tcMar>
            <w:vAlign w:val="center"/>
          </w:tcPr>
          <w:p w14:paraId="52229D92" w14:textId="77777777" w:rsidR="00F271C1" w:rsidRPr="00E01C9E" w:rsidRDefault="00F271C1" w:rsidP="00F16E23">
            <w:pPr>
              <w:pStyle w:val="TableText"/>
              <w:spacing w:before="40" w:after="40"/>
            </w:pPr>
            <w:r w:rsidRPr="00E01C9E">
              <w:rPr>
                <w:rFonts w:eastAsia="Calibri"/>
              </w:rPr>
              <w:t>NO</w:t>
            </w:r>
            <w:r w:rsidRPr="00E01C9E">
              <w:rPr>
                <w:rFonts w:eastAsia="Calibri"/>
                <w:vertAlign w:val="subscript"/>
              </w:rPr>
              <w:t>X</w:t>
            </w:r>
          </w:p>
        </w:tc>
        <w:tc>
          <w:tcPr>
            <w:tcW w:w="0" w:type="auto"/>
            <w:shd w:val="clear" w:color="auto" w:fill="FFFFFF" w:themeFill="background1"/>
            <w:tcMar>
              <w:top w:w="0" w:type="dxa"/>
              <w:left w:w="85" w:type="dxa"/>
              <w:bottom w:w="0" w:type="dxa"/>
              <w:right w:w="85" w:type="dxa"/>
            </w:tcMar>
            <w:vAlign w:val="center"/>
          </w:tcPr>
          <w:p w14:paraId="1503D078" w14:textId="77777777" w:rsidR="00F271C1" w:rsidRPr="00E01C9E" w:rsidRDefault="00F271C1" w:rsidP="00F16E23">
            <w:pPr>
              <w:pStyle w:val="TableText"/>
              <w:spacing w:before="40" w:after="40"/>
              <w:jc w:val="right"/>
            </w:pPr>
            <w:r w:rsidRPr="00E01C9E">
              <w:rPr>
                <w:rFonts w:eastAsia="Calibri"/>
              </w:rPr>
              <w:t>102.5</w:t>
            </w:r>
          </w:p>
        </w:tc>
        <w:tc>
          <w:tcPr>
            <w:tcW w:w="0" w:type="auto"/>
            <w:shd w:val="clear" w:color="auto" w:fill="FFFFFF" w:themeFill="background1"/>
            <w:tcMar>
              <w:top w:w="0" w:type="dxa"/>
              <w:left w:w="85" w:type="dxa"/>
              <w:bottom w:w="0" w:type="dxa"/>
              <w:right w:w="85" w:type="dxa"/>
            </w:tcMar>
            <w:vAlign w:val="center"/>
          </w:tcPr>
          <w:p w14:paraId="4E614AAF" w14:textId="77777777" w:rsidR="00F271C1" w:rsidRPr="00E01C9E" w:rsidRDefault="00F271C1" w:rsidP="00F16E23">
            <w:pPr>
              <w:pStyle w:val="TableText"/>
              <w:spacing w:before="40" w:after="40"/>
              <w:jc w:val="right"/>
            </w:pPr>
            <w:r w:rsidRPr="00E01C9E">
              <w:rPr>
                <w:rFonts w:eastAsia="Calibri"/>
              </w:rPr>
              <w:t>164.9</w:t>
            </w:r>
          </w:p>
        </w:tc>
        <w:tc>
          <w:tcPr>
            <w:tcW w:w="0" w:type="auto"/>
            <w:shd w:val="clear" w:color="auto" w:fill="FFFFFF" w:themeFill="background1"/>
            <w:tcMar>
              <w:top w:w="0" w:type="dxa"/>
              <w:left w:w="85" w:type="dxa"/>
              <w:bottom w:w="0" w:type="dxa"/>
              <w:right w:w="85" w:type="dxa"/>
            </w:tcMar>
            <w:vAlign w:val="center"/>
          </w:tcPr>
          <w:p w14:paraId="057AF32B" w14:textId="77777777" w:rsidR="00F271C1" w:rsidRPr="00E01C9E" w:rsidRDefault="00F271C1" w:rsidP="00F16E23">
            <w:pPr>
              <w:pStyle w:val="TableText"/>
              <w:spacing w:before="40" w:after="40"/>
              <w:jc w:val="right"/>
            </w:pPr>
            <w:r w:rsidRPr="00E01C9E">
              <w:rPr>
                <w:rFonts w:eastAsia="Calibri"/>
              </w:rPr>
              <w:t>150.0</w:t>
            </w:r>
          </w:p>
        </w:tc>
        <w:tc>
          <w:tcPr>
            <w:tcW w:w="0" w:type="auto"/>
            <w:shd w:val="clear" w:color="auto" w:fill="FFFFFF" w:themeFill="background1"/>
            <w:tcMar>
              <w:top w:w="0" w:type="dxa"/>
              <w:left w:w="85" w:type="dxa"/>
              <w:bottom w:w="0" w:type="dxa"/>
              <w:right w:w="85" w:type="dxa"/>
            </w:tcMar>
            <w:vAlign w:val="center"/>
          </w:tcPr>
          <w:p w14:paraId="58CF790F" w14:textId="77777777" w:rsidR="00F271C1" w:rsidRPr="00E01C9E" w:rsidRDefault="00F271C1" w:rsidP="00F16E23">
            <w:pPr>
              <w:pStyle w:val="TableText"/>
              <w:spacing w:before="40" w:after="40"/>
              <w:jc w:val="right"/>
            </w:pPr>
            <w:r w:rsidRPr="00E01C9E">
              <w:rPr>
                <w:rFonts w:eastAsia="Calibri"/>
              </w:rPr>
              <w:t>47.4</w:t>
            </w:r>
          </w:p>
        </w:tc>
        <w:tc>
          <w:tcPr>
            <w:tcW w:w="0" w:type="auto"/>
            <w:shd w:val="clear" w:color="auto" w:fill="FFFFFF" w:themeFill="background1"/>
            <w:tcMar>
              <w:top w:w="0" w:type="dxa"/>
              <w:left w:w="85" w:type="dxa"/>
              <w:bottom w:w="0" w:type="dxa"/>
              <w:right w:w="85" w:type="dxa"/>
            </w:tcMar>
            <w:vAlign w:val="center"/>
          </w:tcPr>
          <w:p w14:paraId="2A641662" w14:textId="77777777" w:rsidR="00F271C1" w:rsidRPr="00E01C9E" w:rsidRDefault="00F271C1" w:rsidP="00F16E23">
            <w:pPr>
              <w:pStyle w:val="TableText"/>
              <w:spacing w:before="40" w:after="40"/>
              <w:jc w:val="right"/>
            </w:pPr>
            <w:r w:rsidRPr="00E01C9E">
              <w:rPr>
                <w:rFonts w:eastAsia="Calibri"/>
              </w:rPr>
              <w:t xml:space="preserve"> 46.3</w:t>
            </w:r>
          </w:p>
        </w:tc>
        <w:tc>
          <w:tcPr>
            <w:tcW w:w="0" w:type="auto"/>
            <w:shd w:val="clear" w:color="auto" w:fill="FFFFFF" w:themeFill="background1"/>
            <w:tcMar>
              <w:top w:w="0" w:type="dxa"/>
              <w:left w:w="85" w:type="dxa"/>
              <w:bottom w:w="0" w:type="dxa"/>
              <w:right w:w="85" w:type="dxa"/>
            </w:tcMar>
            <w:vAlign w:val="center"/>
          </w:tcPr>
          <w:p w14:paraId="5CBB7096" w14:textId="77777777" w:rsidR="00F271C1" w:rsidRPr="00E01C9E" w:rsidRDefault="00F271C1" w:rsidP="00F16E23">
            <w:pPr>
              <w:pStyle w:val="TableText"/>
              <w:spacing w:before="40" w:after="40"/>
              <w:jc w:val="right"/>
            </w:pPr>
            <w:r w:rsidRPr="00E01C9E">
              <w:rPr>
                <w:rFonts w:eastAsia="Calibri"/>
              </w:rPr>
              <w:t>-14.9</w:t>
            </w:r>
          </w:p>
        </w:tc>
        <w:tc>
          <w:tcPr>
            <w:tcW w:w="0" w:type="auto"/>
            <w:shd w:val="clear" w:color="auto" w:fill="FFFFFF" w:themeFill="background1"/>
            <w:tcMar>
              <w:top w:w="0" w:type="dxa"/>
              <w:left w:w="85" w:type="dxa"/>
              <w:bottom w:w="0" w:type="dxa"/>
              <w:right w:w="85" w:type="dxa"/>
            </w:tcMar>
            <w:vAlign w:val="center"/>
          </w:tcPr>
          <w:p w14:paraId="1DDB132B" w14:textId="77777777" w:rsidR="00F271C1" w:rsidRPr="00E01C9E" w:rsidRDefault="00F271C1" w:rsidP="00F16E23">
            <w:pPr>
              <w:pStyle w:val="TableText"/>
              <w:spacing w:before="40" w:after="40"/>
              <w:jc w:val="right"/>
            </w:pPr>
            <w:r w:rsidRPr="00E01C9E">
              <w:rPr>
                <w:rFonts w:eastAsia="Calibri"/>
              </w:rPr>
              <w:t xml:space="preserve"> -9.0</w:t>
            </w:r>
          </w:p>
        </w:tc>
      </w:tr>
      <w:tr w:rsidR="00F271C1" w:rsidRPr="00E01C9E" w14:paraId="79741C34" w14:textId="77777777" w:rsidTr="00F16E23">
        <w:tc>
          <w:tcPr>
            <w:tcW w:w="0" w:type="auto"/>
            <w:shd w:val="clear" w:color="auto" w:fill="FFFFFF" w:themeFill="background1"/>
            <w:tcMar>
              <w:top w:w="0" w:type="dxa"/>
              <w:left w:w="85" w:type="dxa"/>
              <w:bottom w:w="0" w:type="dxa"/>
              <w:right w:w="85" w:type="dxa"/>
            </w:tcMar>
            <w:vAlign w:val="center"/>
          </w:tcPr>
          <w:p w14:paraId="27DE9AF7" w14:textId="77777777" w:rsidR="00F271C1" w:rsidRPr="00E01C9E" w:rsidRDefault="00F271C1" w:rsidP="00F16E23">
            <w:pPr>
              <w:pStyle w:val="TableText"/>
              <w:spacing w:before="40" w:after="40"/>
            </w:pPr>
            <w:r w:rsidRPr="00E01C9E">
              <w:rPr>
                <w:rFonts w:eastAsia="Calibri"/>
              </w:rPr>
              <w:t>SO</w:t>
            </w:r>
            <w:r w:rsidRPr="00E01C9E">
              <w:rPr>
                <w:rFonts w:eastAsia="Calibri"/>
                <w:vertAlign w:val="subscript"/>
              </w:rPr>
              <w:t>2</w:t>
            </w:r>
          </w:p>
        </w:tc>
        <w:tc>
          <w:tcPr>
            <w:tcW w:w="0" w:type="auto"/>
            <w:shd w:val="clear" w:color="auto" w:fill="FFFFFF" w:themeFill="background1"/>
            <w:tcMar>
              <w:top w:w="0" w:type="dxa"/>
              <w:left w:w="85" w:type="dxa"/>
              <w:bottom w:w="0" w:type="dxa"/>
              <w:right w:w="85" w:type="dxa"/>
            </w:tcMar>
            <w:vAlign w:val="center"/>
          </w:tcPr>
          <w:p w14:paraId="21EBC17C" w14:textId="77777777" w:rsidR="00F271C1" w:rsidRPr="00E01C9E" w:rsidRDefault="00F271C1" w:rsidP="00F16E23">
            <w:pPr>
              <w:pStyle w:val="TableText"/>
              <w:spacing w:before="40" w:after="40"/>
              <w:jc w:val="right"/>
            </w:pPr>
            <w:r w:rsidRPr="00E01C9E">
              <w:rPr>
                <w:rFonts w:eastAsia="Calibri"/>
              </w:rPr>
              <w:t xml:space="preserve"> 58.6</w:t>
            </w:r>
          </w:p>
        </w:tc>
        <w:tc>
          <w:tcPr>
            <w:tcW w:w="0" w:type="auto"/>
            <w:shd w:val="clear" w:color="auto" w:fill="FFFFFF" w:themeFill="background1"/>
            <w:tcMar>
              <w:top w:w="0" w:type="dxa"/>
              <w:left w:w="85" w:type="dxa"/>
              <w:bottom w:w="0" w:type="dxa"/>
              <w:right w:w="85" w:type="dxa"/>
            </w:tcMar>
            <w:vAlign w:val="center"/>
          </w:tcPr>
          <w:p w14:paraId="6C6A7E06" w14:textId="77777777" w:rsidR="00F271C1" w:rsidRPr="00E01C9E" w:rsidRDefault="00F271C1" w:rsidP="00F16E23">
            <w:pPr>
              <w:pStyle w:val="TableText"/>
              <w:spacing w:before="40" w:after="40"/>
              <w:jc w:val="right"/>
            </w:pPr>
            <w:r w:rsidRPr="00E01C9E">
              <w:rPr>
                <w:rFonts w:eastAsia="Calibri"/>
              </w:rPr>
              <w:t xml:space="preserve"> 87.8</w:t>
            </w:r>
          </w:p>
        </w:tc>
        <w:tc>
          <w:tcPr>
            <w:tcW w:w="0" w:type="auto"/>
            <w:shd w:val="clear" w:color="auto" w:fill="FFFFFF" w:themeFill="background1"/>
            <w:tcMar>
              <w:top w:w="0" w:type="dxa"/>
              <w:left w:w="85" w:type="dxa"/>
              <w:bottom w:w="0" w:type="dxa"/>
              <w:right w:w="85" w:type="dxa"/>
            </w:tcMar>
            <w:vAlign w:val="center"/>
          </w:tcPr>
          <w:p w14:paraId="4C718D10" w14:textId="77777777" w:rsidR="00F271C1" w:rsidRPr="00E01C9E" w:rsidRDefault="00F271C1" w:rsidP="00F16E23">
            <w:pPr>
              <w:pStyle w:val="TableText"/>
              <w:spacing w:before="40" w:after="40"/>
              <w:jc w:val="right"/>
            </w:pPr>
            <w:r w:rsidRPr="00E01C9E">
              <w:rPr>
                <w:rFonts w:eastAsia="Calibri"/>
              </w:rPr>
              <w:t xml:space="preserve"> 49.8</w:t>
            </w:r>
          </w:p>
        </w:tc>
        <w:tc>
          <w:tcPr>
            <w:tcW w:w="0" w:type="auto"/>
            <w:shd w:val="clear" w:color="auto" w:fill="FFFFFF" w:themeFill="background1"/>
            <w:tcMar>
              <w:top w:w="0" w:type="dxa"/>
              <w:left w:w="85" w:type="dxa"/>
              <w:bottom w:w="0" w:type="dxa"/>
              <w:right w:w="85" w:type="dxa"/>
            </w:tcMar>
            <w:vAlign w:val="center"/>
          </w:tcPr>
          <w:p w14:paraId="3B3D7368" w14:textId="77777777" w:rsidR="00F271C1" w:rsidRPr="00E01C9E" w:rsidRDefault="00F271C1" w:rsidP="00F16E23">
            <w:pPr>
              <w:pStyle w:val="TableText"/>
              <w:spacing w:before="40" w:after="40"/>
              <w:jc w:val="right"/>
            </w:pPr>
            <w:r w:rsidRPr="00E01C9E">
              <w:rPr>
                <w:rFonts w:eastAsia="Calibri"/>
              </w:rPr>
              <w:t>-8.8</w:t>
            </w:r>
          </w:p>
        </w:tc>
        <w:tc>
          <w:tcPr>
            <w:tcW w:w="0" w:type="auto"/>
            <w:shd w:val="clear" w:color="auto" w:fill="FFFFFF" w:themeFill="background1"/>
            <w:tcMar>
              <w:top w:w="0" w:type="dxa"/>
              <w:left w:w="85" w:type="dxa"/>
              <w:bottom w:w="0" w:type="dxa"/>
              <w:right w:w="85" w:type="dxa"/>
            </w:tcMar>
            <w:vAlign w:val="center"/>
          </w:tcPr>
          <w:p w14:paraId="3F813965" w14:textId="77777777" w:rsidR="00F271C1" w:rsidRPr="00E01C9E" w:rsidRDefault="00F271C1" w:rsidP="00F16E23">
            <w:pPr>
              <w:pStyle w:val="TableText"/>
              <w:spacing w:before="40" w:after="40"/>
              <w:jc w:val="right"/>
            </w:pPr>
            <w:r w:rsidRPr="00E01C9E">
              <w:rPr>
                <w:rFonts w:eastAsia="Calibri"/>
              </w:rPr>
              <w:t>-14.9</w:t>
            </w:r>
          </w:p>
        </w:tc>
        <w:tc>
          <w:tcPr>
            <w:tcW w:w="0" w:type="auto"/>
            <w:shd w:val="clear" w:color="auto" w:fill="FFFFFF" w:themeFill="background1"/>
            <w:tcMar>
              <w:top w:w="0" w:type="dxa"/>
              <w:left w:w="85" w:type="dxa"/>
              <w:bottom w:w="0" w:type="dxa"/>
              <w:right w:w="85" w:type="dxa"/>
            </w:tcMar>
            <w:vAlign w:val="center"/>
          </w:tcPr>
          <w:p w14:paraId="5B839EA6" w14:textId="77777777" w:rsidR="00F271C1" w:rsidRPr="00E01C9E" w:rsidRDefault="00F271C1" w:rsidP="00F16E23">
            <w:pPr>
              <w:pStyle w:val="TableText"/>
              <w:spacing w:before="40" w:after="40"/>
              <w:jc w:val="right"/>
            </w:pPr>
            <w:r w:rsidRPr="00E01C9E">
              <w:rPr>
                <w:rFonts w:eastAsia="Calibri"/>
              </w:rPr>
              <w:t>-38.0</w:t>
            </w:r>
          </w:p>
        </w:tc>
        <w:tc>
          <w:tcPr>
            <w:tcW w:w="0" w:type="auto"/>
            <w:shd w:val="clear" w:color="auto" w:fill="FFFFFF" w:themeFill="background1"/>
            <w:tcMar>
              <w:top w:w="0" w:type="dxa"/>
              <w:left w:w="85" w:type="dxa"/>
              <w:bottom w:w="0" w:type="dxa"/>
              <w:right w:w="85" w:type="dxa"/>
            </w:tcMar>
            <w:vAlign w:val="center"/>
          </w:tcPr>
          <w:p w14:paraId="636A20AB" w14:textId="77777777" w:rsidR="00F271C1" w:rsidRPr="00E01C9E" w:rsidRDefault="00F271C1" w:rsidP="00F16E23">
            <w:pPr>
              <w:pStyle w:val="TableText"/>
              <w:spacing w:before="40" w:after="40"/>
              <w:jc w:val="right"/>
            </w:pPr>
            <w:r w:rsidRPr="00E01C9E">
              <w:rPr>
                <w:rFonts w:eastAsia="Calibri"/>
              </w:rPr>
              <w:t>-43.3</w:t>
            </w:r>
          </w:p>
        </w:tc>
      </w:tr>
    </w:tbl>
    <w:p w14:paraId="766B0028" w14:textId="77777777" w:rsidR="00F271C1" w:rsidRPr="00E01C9E" w:rsidRDefault="00F271C1" w:rsidP="00F271C1">
      <w:pPr>
        <w:pStyle w:val="Noteundertable"/>
      </w:pPr>
      <w:r w:rsidRPr="00E01C9E">
        <w:rPr>
          <w:b/>
          <w:bCs/>
        </w:rPr>
        <w:t>Note:</w:t>
      </w:r>
      <w:r w:rsidRPr="00E01C9E">
        <w:t xml:space="preserve"> </w:t>
      </w:r>
      <w:r w:rsidRPr="00E01C9E">
        <w:tab/>
        <w:t>Columns may not total due to rounding. Percentages presented are calculated from unrounded values.</w:t>
      </w:r>
    </w:p>
    <w:p w14:paraId="01F1F5BF" w14:textId="77777777" w:rsidR="00F271C1" w:rsidRPr="00E01C9E" w:rsidRDefault="00F271C1" w:rsidP="00F271C1">
      <w:r w:rsidRPr="00E01C9E">
        <w:br w:type="page"/>
      </w:r>
    </w:p>
    <w:p w14:paraId="3A6D5390" w14:textId="77777777" w:rsidR="00F271C1" w:rsidRPr="00E01C9E" w:rsidRDefault="00F271C1" w:rsidP="00F271C1">
      <w:pPr>
        <w:pStyle w:val="Heading2"/>
        <w:spacing w:before="0" w:after="360"/>
      </w:pPr>
      <w:bookmarkStart w:id="167" w:name="_Toc226460750"/>
      <w:bookmarkStart w:id="168" w:name="chapter-2-references"/>
      <w:bookmarkEnd w:id="114"/>
      <w:bookmarkEnd w:id="161"/>
      <w:bookmarkEnd w:id="165"/>
      <w:r w:rsidRPr="00E01C9E">
        <w:t>Chapter 2: References</w:t>
      </w:r>
      <w:bookmarkEnd w:id="167"/>
    </w:p>
    <w:p w14:paraId="0F2B977B" w14:textId="7B060F83" w:rsidR="00F271C1" w:rsidRPr="00E01C9E" w:rsidRDefault="00F271C1" w:rsidP="00F271C1">
      <w:pPr>
        <w:pStyle w:val="References"/>
      </w:pPr>
      <w:r w:rsidRPr="00E01C9E">
        <w:t xml:space="preserve">Beef + Lamb New Zealand Ltd. 2025. </w:t>
      </w:r>
      <w:hyperlink r:id="rId48" w:history="1">
        <w:r w:rsidRPr="00297058">
          <w:rPr>
            <w:rStyle w:val="Hyperlink"/>
            <w:i/>
            <w:iCs/>
          </w:rPr>
          <w:t>Annual Report 2024</w:t>
        </w:r>
      </w:hyperlink>
      <w:r w:rsidRPr="00E01C9E">
        <w:rPr>
          <w:i/>
          <w:iCs/>
        </w:rPr>
        <w:t>.</w:t>
      </w:r>
      <w:r w:rsidRPr="00E01C9E">
        <w:t xml:space="preserve"> Retrieved 17 November 2025.</w:t>
      </w:r>
    </w:p>
    <w:p w14:paraId="165EFDD6" w14:textId="77777777" w:rsidR="00F271C1" w:rsidRPr="00E01C9E" w:rsidRDefault="00F271C1" w:rsidP="00F271C1">
      <w:pPr>
        <w:pStyle w:val="References"/>
      </w:pPr>
      <w:r w:rsidRPr="00E01C9E">
        <w:t xml:space="preserve">IPCC. 2006. Eggleston HS, Buendia L, Miwa K, Ngara T, Tanabe K (eds). </w:t>
      </w:r>
      <w:r w:rsidRPr="00E01C9E">
        <w:rPr>
          <w:i/>
          <w:iCs/>
        </w:rPr>
        <w:t>2006 IPCC Guidelines for National Greenhouse Gas Inventories. Volume 1. General Guidance and Reporting.</w:t>
      </w:r>
      <w:r w:rsidRPr="00E01C9E">
        <w:t xml:space="preserve"> IPCC National Greenhouse Gas Inventories Programme. Japan: Institute for Global Environmental Strategies for IPCC.</w:t>
      </w:r>
    </w:p>
    <w:p w14:paraId="553CBE67" w14:textId="77777777" w:rsidR="00F271C1" w:rsidRPr="00E01C9E" w:rsidRDefault="00F271C1" w:rsidP="00F271C1">
      <w:pPr>
        <w:pStyle w:val="References"/>
      </w:pPr>
      <w:r w:rsidRPr="00E01C9E">
        <w:t xml:space="preserve">LIC (Livestock Improvement Corporation Limited) and DairyNZ. 2025. </w:t>
      </w:r>
      <w:hyperlink r:id="rId49" w:history="1">
        <w:r w:rsidRPr="00E01C9E">
          <w:rPr>
            <w:rStyle w:val="Hyperlink"/>
            <w:i/>
            <w:iCs/>
          </w:rPr>
          <w:t xml:space="preserve">New Zealand Dairy Statistics </w:t>
        </w:r>
        <w:r w:rsidRPr="00E01C9E">
          <w:rPr>
            <w:rStyle w:val="Hyperlink"/>
            <w:i/>
            <w:iCs/>
          </w:rPr>
          <w:br/>
          <w:t>2024–25</w:t>
        </w:r>
      </w:hyperlink>
      <w:r w:rsidRPr="00E01C9E">
        <w:rPr>
          <w:i/>
          <w:iCs/>
        </w:rPr>
        <w:t>.</w:t>
      </w:r>
      <w:r w:rsidRPr="00E01C9E">
        <w:t xml:space="preserve"> Hamilton: DairyNZ. Retrieved 7 December 2025.</w:t>
      </w:r>
    </w:p>
    <w:p w14:paraId="16615016" w14:textId="77777777" w:rsidR="00F271C1" w:rsidRPr="00E01C9E" w:rsidRDefault="00F271C1" w:rsidP="00F271C1">
      <w:pPr>
        <w:pStyle w:val="References"/>
      </w:pPr>
      <w:r w:rsidRPr="00E01C9E">
        <w:t xml:space="preserve">Stats NZ. 2025. </w:t>
      </w:r>
      <w:hyperlink r:id="rId50" w:history="1">
        <w:r w:rsidRPr="00E01C9E">
          <w:rPr>
            <w:rStyle w:val="Hyperlink"/>
            <w:i/>
            <w:iCs/>
          </w:rPr>
          <w:t>Agricultural production statistics: Year to June 2024 (final)</w:t>
        </w:r>
      </w:hyperlink>
      <w:r w:rsidRPr="00E01C9E">
        <w:rPr>
          <w:i/>
          <w:iCs/>
        </w:rPr>
        <w:t>.</w:t>
      </w:r>
      <w:r w:rsidRPr="00E01C9E">
        <w:t xml:space="preserve"> Retrieved 21 November 2025.</w:t>
      </w:r>
      <w:bookmarkEnd w:id="106"/>
      <w:bookmarkEnd w:id="168"/>
    </w:p>
    <w:p w14:paraId="589F2B2C" w14:textId="77777777" w:rsidR="00E54840" w:rsidRDefault="00E54840" w:rsidP="004B4FD2">
      <w:pPr>
        <w:pStyle w:val="BodyText"/>
      </w:pPr>
    </w:p>
    <w:p w14:paraId="7C2A8501" w14:textId="77777777" w:rsidR="00E54840" w:rsidRDefault="00E54840" w:rsidP="004B4FD2">
      <w:pPr>
        <w:pStyle w:val="BodyText"/>
        <w:sectPr w:rsidR="00E54840" w:rsidSect="00613F0E">
          <w:footerReference w:type="even" r:id="rId51"/>
          <w:pgSz w:w="11907" w:h="16840" w:code="9"/>
          <w:pgMar w:top="1418" w:right="1701" w:bottom="1418" w:left="1701" w:header="567" w:footer="567" w:gutter="0"/>
          <w:cols w:space="720"/>
        </w:sectPr>
      </w:pPr>
    </w:p>
    <w:p w14:paraId="599DC243" w14:textId="77777777" w:rsidR="0038460F" w:rsidRPr="0060421C" w:rsidRDefault="0038460F" w:rsidP="0038460F">
      <w:pPr>
        <w:pStyle w:val="Heading1"/>
        <w:rPr>
          <w:lang w:eastAsia="en-GB"/>
        </w:rPr>
      </w:pPr>
      <w:bookmarkStart w:id="169" w:name="_Toc36224384"/>
      <w:bookmarkStart w:id="170" w:name="_Toc68786304"/>
      <w:bookmarkStart w:id="171" w:name="_Toc164154173"/>
      <w:bookmarkStart w:id="172" w:name="_Toc194311997"/>
      <w:bookmarkStart w:id="173" w:name="_Toc226460751"/>
      <w:bookmarkStart w:id="174" w:name="_Hlk191030436"/>
      <w:r w:rsidRPr="0060421C">
        <w:rPr>
          <w:lang w:eastAsia="en-GB"/>
        </w:rPr>
        <w:t xml:space="preserve">Chapter 3: </w:t>
      </w:r>
      <w:r w:rsidRPr="0060421C">
        <w:t>Energy</w:t>
      </w:r>
      <w:bookmarkEnd w:id="169"/>
      <w:bookmarkEnd w:id="170"/>
      <w:bookmarkEnd w:id="171"/>
      <w:bookmarkEnd w:id="172"/>
      <w:bookmarkEnd w:id="173"/>
    </w:p>
    <w:p w14:paraId="14325D95" w14:textId="77777777" w:rsidR="0038460F" w:rsidRPr="0060421C" w:rsidRDefault="0038460F" w:rsidP="00BF53D6">
      <w:pPr>
        <w:pStyle w:val="Heading2"/>
        <w:spacing w:before="240"/>
        <w:rPr>
          <w:rFonts w:cs="Calibri"/>
        </w:rPr>
      </w:pPr>
      <w:bookmarkStart w:id="175" w:name="_Toc321398808"/>
      <w:bookmarkStart w:id="176" w:name="_Toc384581634"/>
      <w:bookmarkStart w:id="177" w:name="_Toc448321506"/>
      <w:bookmarkStart w:id="178" w:name="_Toc481751368"/>
      <w:bookmarkStart w:id="179" w:name="_Toc36224385"/>
      <w:bookmarkStart w:id="180" w:name="_Toc68786305"/>
      <w:bookmarkStart w:id="181" w:name="_Toc164154174"/>
      <w:bookmarkStart w:id="182" w:name="_Toc194311998"/>
      <w:bookmarkStart w:id="183" w:name="_Toc226460752"/>
      <w:r w:rsidRPr="0060421C">
        <w:rPr>
          <w:rFonts w:cs="Calibri"/>
        </w:rPr>
        <w:t>3.1</w:t>
      </w:r>
      <w:r w:rsidRPr="0060421C">
        <w:tab/>
      </w:r>
      <w:r w:rsidRPr="0060421C">
        <w:rPr>
          <w:rFonts w:cs="Calibri"/>
        </w:rPr>
        <w:t>Sector overview</w:t>
      </w:r>
      <w:bookmarkEnd w:id="175"/>
      <w:bookmarkEnd w:id="176"/>
      <w:bookmarkEnd w:id="177"/>
      <w:bookmarkEnd w:id="178"/>
      <w:bookmarkEnd w:id="179"/>
      <w:bookmarkEnd w:id="180"/>
      <w:bookmarkEnd w:id="181"/>
      <w:bookmarkEnd w:id="182"/>
      <w:bookmarkEnd w:id="183"/>
    </w:p>
    <w:p w14:paraId="6B3CDD6A" w14:textId="77777777" w:rsidR="0038460F" w:rsidRPr="0060421C" w:rsidRDefault="0038460F" w:rsidP="0038460F">
      <w:pPr>
        <w:pStyle w:val="Heading3"/>
        <w:spacing w:before="240"/>
        <w:rPr>
          <w:rFonts w:cs="Calibri"/>
        </w:rPr>
      </w:pPr>
      <w:r w:rsidRPr="0060421C">
        <w:rPr>
          <w:rFonts w:cs="Calibri"/>
        </w:rPr>
        <w:t>3.1.1</w:t>
      </w:r>
      <w:r w:rsidRPr="0060421C">
        <w:rPr>
          <w:rFonts w:cs="Calibri"/>
        </w:rPr>
        <w:tab/>
        <w:t>Introduction</w:t>
      </w:r>
    </w:p>
    <w:p w14:paraId="190725DE" w14:textId="77777777" w:rsidR="0038460F" w:rsidRPr="0060421C" w:rsidRDefault="0038460F" w:rsidP="0038460F">
      <w:pPr>
        <w:pStyle w:val="BodyText"/>
      </w:pPr>
      <w:r w:rsidRPr="0060421C">
        <w:t xml:space="preserve">The Energy sector covers: </w:t>
      </w:r>
    </w:p>
    <w:p w14:paraId="424480F4" w14:textId="77777777" w:rsidR="0038460F" w:rsidRPr="0060421C" w:rsidRDefault="0038460F" w:rsidP="0038460F">
      <w:pPr>
        <w:pStyle w:val="Bullet"/>
      </w:pPr>
      <w:r w:rsidRPr="0060421C">
        <w:rPr>
          <w:b/>
          <w:bCs/>
        </w:rPr>
        <w:t>combustion emissions</w:t>
      </w:r>
      <w:r w:rsidRPr="0060421C">
        <w:t xml:space="preserve"> – emissions from burning fuel to produce useful energy </w:t>
      </w:r>
    </w:p>
    <w:p w14:paraId="5913D92C" w14:textId="77777777" w:rsidR="0038460F" w:rsidRPr="0060421C" w:rsidRDefault="0038460F" w:rsidP="0038460F">
      <w:pPr>
        <w:pStyle w:val="Bullet"/>
        <w:rPr>
          <w:rFonts w:cs="Calibri"/>
        </w:rPr>
      </w:pPr>
      <w:r w:rsidRPr="0060421C">
        <w:rPr>
          <w:b/>
          <w:bCs/>
        </w:rPr>
        <w:t>fugitive emissions</w:t>
      </w:r>
      <w:r w:rsidRPr="0060421C">
        <w:rPr>
          <w:rFonts w:cs="Calibri"/>
        </w:rPr>
        <w:t>, such as: </w:t>
      </w:r>
    </w:p>
    <w:p w14:paraId="697F403A" w14:textId="77777777" w:rsidR="0038460F" w:rsidRPr="0060421C" w:rsidRDefault="0038460F" w:rsidP="00BA70F6">
      <w:pPr>
        <w:pStyle w:val="Bulletindented"/>
      </w:pPr>
      <w:r w:rsidRPr="0060421C">
        <w:t xml:space="preserve">emissions from the production, transmission and storage of fuels </w:t>
      </w:r>
    </w:p>
    <w:p w14:paraId="51CFE9B4" w14:textId="77777777" w:rsidR="0038460F" w:rsidRPr="0060421C" w:rsidRDefault="0038460F" w:rsidP="00BA70F6">
      <w:pPr>
        <w:pStyle w:val="Bulletindented"/>
      </w:pPr>
      <w:r w:rsidRPr="0060421C">
        <w:t xml:space="preserve">emissions from non-productive combustion </w:t>
      </w:r>
    </w:p>
    <w:p w14:paraId="3045892A" w14:textId="77777777" w:rsidR="0038460F" w:rsidRPr="0060421C" w:rsidRDefault="0038460F" w:rsidP="00BA70F6">
      <w:pPr>
        <w:pStyle w:val="Bulletindented"/>
      </w:pPr>
      <w:r w:rsidRPr="0060421C">
        <w:t>venting of carbon dioxide (CO</w:t>
      </w:r>
      <w:r w:rsidRPr="0060421C">
        <w:rPr>
          <w:vertAlign w:val="subscript"/>
        </w:rPr>
        <w:t>2</w:t>
      </w:r>
      <w:r w:rsidRPr="0060421C">
        <w:t>) at natural gas treatment plants</w:t>
      </w:r>
    </w:p>
    <w:p w14:paraId="76ABE3E0" w14:textId="77777777" w:rsidR="0038460F" w:rsidRPr="0060421C" w:rsidRDefault="0038460F" w:rsidP="00BA70F6">
      <w:pPr>
        <w:pStyle w:val="Bulletindented"/>
      </w:pPr>
      <w:r w:rsidRPr="0060421C">
        <w:t xml:space="preserve">emissions from geothermal fields. </w:t>
      </w:r>
    </w:p>
    <w:p w14:paraId="3B51FD7D" w14:textId="77777777" w:rsidR="0038460F" w:rsidRPr="0060421C" w:rsidRDefault="0038460F" w:rsidP="0038460F">
      <w:pPr>
        <w:pStyle w:val="BodyText"/>
        <w:rPr>
          <w:rFonts w:cs="Calibri"/>
        </w:rPr>
      </w:pPr>
      <w:r w:rsidRPr="0060421C">
        <w:rPr>
          <w:rFonts w:cs="Calibri"/>
        </w:rPr>
        <w:t xml:space="preserve">Combustion emissions from the </w:t>
      </w:r>
      <w:r w:rsidRPr="0060421C">
        <w:rPr>
          <w:i/>
          <w:iCs/>
        </w:rPr>
        <w:t>Road transportation</w:t>
      </w:r>
      <w:r w:rsidRPr="0060421C">
        <w:t xml:space="preserve"> category </w:t>
      </w:r>
      <w:r w:rsidRPr="0060421C">
        <w:rPr>
          <w:rFonts w:cs="Calibri"/>
        </w:rPr>
        <w:t>account for the largest share of</w:t>
      </w:r>
      <w:r>
        <w:t> </w:t>
      </w:r>
      <w:r w:rsidRPr="0060421C">
        <w:rPr>
          <w:rFonts w:cs="Calibri"/>
        </w:rPr>
        <w:t>domestic Energy sector emissions in New Zealand. The country has one of the highest rates of car ownership in the world, as well as a relatively old vehicle fleet. Most freight is moved by trucks, and these factors mean New Zealand’s domestic transport emissions per capita are high compared with many other Annex I countries.</w:t>
      </w:r>
    </w:p>
    <w:p w14:paraId="53767AA7" w14:textId="77777777" w:rsidR="0038460F" w:rsidRPr="0060421C" w:rsidRDefault="0038460F" w:rsidP="0038460F">
      <w:pPr>
        <w:pStyle w:val="BodyText"/>
        <w:rPr>
          <w:rFonts w:cs="Calibri"/>
          <w:spacing w:val="2"/>
        </w:rPr>
      </w:pPr>
      <w:r w:rsidRPr="0060421C">
        <w:rPr>
          <w:rFonts w:cs="Calibri"/>
          <w:spacing w:val="2"/>
        </w:rPr>
        <w:t xml:space="preserve">New Zealand’s electricity generation system relies heavily on renewable energy sources but is supported by coal-, oil- and gas-fired generation. In 2024, fossil fuel thermal plants provided 14.5 percent of the county’s total electricity, a comparatively low share by international standards. Over half of New Zealand’s electricity comes from hydroelectric power generation, and this means that electricity emissions remain sensitive to rainfall in key catchment areas. New Zealand also has relatively low hydro lake storage compared with other hydro-dependent countries. </w:t>
      </w:r>
    </w:p>
    <w:p w14:paraId="034C3522" w14:textId="77777777" w:rsidR="0038460F" w:rsidRPr="0060421C" w:rsidRDefault="0038460F" w:rsidP="0038460F">
      <w:pPr>
        <w:pStyle w:val="BodyText"/>
        <w:rPr>
          <w:rFonts w:cs="Calibri"/>
        </w:rPr>
      </w:pPr>
      <w:r w:rsidRPr="0060421C">
        <w:rPr>
          <w:rFonts w:cs="Calibri"/>
        </w:rPr>
        <w:t>Fugitive emissions form a small share of New Zealand’s energy emissions profile. The main sources are coal mining operations, natural gas production and processing (venting and flaring), and geothermal operations (primarily electricity generation).</w:t>
      </w:r>
    </w:p>
    <w:p w14:paraId="1D9F1260" w14:textId="77777777" w:rsidR="0038460F" w:rsidRPr="0060421C" w:rsidRDefault="0038460F" w:rsidP="0038460F">
      <w:pPr>
        <w:pStyle w:val="BodyText"/>
        <w:rPr>
          <w:sz w:val="19"/>
          <w:szCs w:val="19"/>
        </w:rPr>
      </w:pPr>
      <w:r w:rsidRPr="0060421C">
        <w:rPr>
          <w:rFonts w:cs="Calibri"/>
        </w:rPr>
        <w:t xml:space="preserve">New Zealand reports emissions from Tokelau, which is a dependent territory of New Zealand. Emissions from Tokelau are calculated using significantly different methods, and integrating these with New Zealand’s emissions would be prohibitively complex. Thus, emissions from </w:t>
      </w:r>
      <w:r w:rsidRPr="00331DFE">
        <w:rPr>
          <w:rFonts w:cs="Calibri"/>
          <w:spacing w:val="-2"/>
        </w:rPr>
        <w:t>Tokelau for all activities are reported in chapter 8 and volume 2, annex 7, and within the ‘Other’</w:t>
      </w:r>
      <w:r w:rsidRPr="0060421C">
        <w:rPr>
          <w:rFonts w:cs="Calibri"/>
        </w:rPr>
        <w:t xml:space="preserve"> sector in the common reporting tables (</w:t>
      </w:r>
      <w:r w:rsidRPr="0060421C">
        <w:t>CRTs</w:t>
      </w:r>
      <w:r w:rsidRPr="0060421C">
        <w:rPr>
          <w:rFonts w:cs="Calibri"/>
        </w:rPr>
        <w:t>). All emissions reported under the Energy sector are from New Zealand only and exclude Tokelau. Please see chapter 8 for details of methods applied and the emissions for Tokelau.</w:t>
      </w:r>
    </w:p>
    <w:p w14:paraId="7A90A91E" w14:textId="77777777" w:rsidR="0038460F" w:rsidRPr="0060421C" w:rsidRDefault="0038460F" w:rsidP="0038460F">
      <w:pPr>
        <w:pStyle w:val="Heading4"/>
      </w:pPr>
      <w:r w:rsidRPr="0060421C">
        <w:t>2024</w:t>
      </w:r>
    </w:p>
    <w:p w14:paraId="1AB4D63E" w14:textId="77777777" w:rsidR="0038460F" w:rsidRPr="0060421C" w:rsidRDefault="0038460F" w:rsidP="0038460F">
      <w:pPr>
        <w:pStyle w:val="BodyText"/>
        <w:rPr>
          <w:rFonts w:cs="Calibri"/>
        </w:rPr>
      </w:pPr>
      <w:r w:rsidRPr="0060421C">
        <w:rPr>
          <w:rFonts w:cs="Calibri"/>
        </w:rPr>
        <w:t>In </w:t>
      </w:r>
      <w:r w:rsidRPr="005C080B">
        <w:rPr>
          <w:rStyle w:val="Strong"/>
          <w:rFonts w:cs="Calibri"/>
          <w:b w:val="0"/>
          <w:bCs w:val="0"/>
        </w:rPr>
        <w:t>2024</w:t>
      </w:r>
      <w:r w:rsidRPr="0060421C">
        <w:rPr>
          <w:rFonts w:cs="Calibri"/>
        </w:rPr>
        <w:t>, emissions from the Energy sector contributed 28,753.2 kilotonnes carbon dioxide equivalent (kt CO</w:t>
      </w:r>
      <w:r w:rsidRPr="0060421C">
        <w:rPr>
          <w:vertAlign w:val="subscript"/>
        </w:rPr>
        <w:t>2</w:t>
      </w:r>
      <w:r w:rsidRPr="0060421C">
        <w:rPr>
          <w:rFonts w:cs="Calibri"/>
        </w:rPr>
        <w:t>e), or 37.9 percent of New Zealand’s gross greenhouse gas emissions (see chapter 2, figure 2.2.1).</w:t>
      </w:r>
    </w:p>
    <w:p w14:paraId="268BC332" w14:textId="77777777" w:rsidR="0038460F" w:rsidRPr="0060421C" w:rsidRDefault="0038460F" w:rsidP="0038460F">
      <w:pPr>
        <w:pStyle w:val="BodyText"/>
        <w:rPr>
          <w:rFonts w:cs="Calibri"/>
        </w:rPr>
      </w:pPr>
      <w:r w:rsidRPr="0060421C">
        <w:rPr>
          <w:rFonts w:cs="Calibri"/>
        </w:rPr>
        <w:t>The largest sources of emissions in the Energy sector were the </w:t>
      </w:r>
      <w:r w:rsidRPr="0060421C">
        <w:rPr>
          <w:rStyle w:val="Emphasis"/>
          <w:rFonts w:cs="Calibri"/>
        </w:rPr>
        <w:t>Road transportation</w:t>
      </w:r>
      <w:r w:rsidRPr="0060421C">
        <w:rPr>
          <w:rFonts w:cs="Calibri"/>
        </w:rPr>
        <w:t xml:space="preserve"> category, </w:t>
      </w:r>
      <w:r w:rsidRPr="0060421C">
        <w:rPr>
          <w:rFonts w:cs="Calibri"/>
          <w:spacing w:val="-2"/>
        </w:rPr>
        <w:t>contributing 12,555.7 kt CO</w:t>
      </w:r>
      <w:r w:rsidRPr="0060421C">
        <w:rPr>
          <w:spacing w:val="-2"/>
          <w:vertAlign w:val="subscript"/>
        </w:rPr>
        <w:t>2</w:t>
      </w:r>
      <w:r w:rsidRPr="0060421C">
        <w:rPr>
          <w:rFonts w:cs="Calibri"/>
          <w:spacing w:val="-2"/>
        </w:rPr>
        <w:t>e (43.7 percent), and the </w:t>
      </w:r>
      <w:r w:rsidRPr="0060421C">
        <w:rPr>
          <w:rStyle w:val="Emphasis"/>
          <w:rFonts w:cs="Calibri"/>
          <w:spacing w:val="-2"/>
        </w:rPr>
        <w:t>Manufacturing industries and construction</w:t>
      </w:r>
      <w:r w:rsidRPr="0060421C">
        <w:rPr>
          <w:rStyle w:val="Emphasis"/>
          <w:rFonts w:cs="Calibri"/>
        </w:rPr>
        <w:t xml:space="preserve"> </w:t>
      </w:r>
      <w:r w:rsidRPr="0060421C">
        <w:rPr>
          <w:rFonts w:cs="Calibri"/>
        </w:rPr>
        <w:t>category, contributing 5,396.5 kt CO</w:t>
      </w:r>
      <w:r w:rsidRPr="0060421C">
        <w:rPr>
          <w:vertAlign w:val="subscript"/>
        </w:rPr>
        <w:t>2</w:t>
      </w:r>
      <w:r w:rsidRPr="0060421C">
        <w:rPr>
          <w:rFonts w:cs="Calibri"/>
        </w:rPr>
        <w:t>e (18.8 percent) to energy emissions.</w:t>
      </w:r>
    </w:p>
    <w:p w14:paraId="5ACC1141" w14:textId="77777777" w:rsidR="0038460F" w:rsidRPr="0060421C" w:rsidRDefault="0038460F" w:rsidP="0038460F">
      <w:pPr>
        <w:pStyle w:val="Heading4"/>
      </w:pPr>
      <w:r w:rsidRPr="0060421C">
        <w:t>2023–2024</w:t>
      </w:r>
    </w:p>
    <w:p w14:paraId="61BEDE60" w14:textId="77777777" w:rsidR="0038460F" w:rsidRPr="0060421C" w:rsidRDefault="0038460F" w:rsidP="0038460F">
      <w:pPr>
        <w:pStyle w:val="BodyText"/>
        <w:rPr>
          <w:rFonts w:cs="Calibri"/>
        </w:rPr>
      </w:pPr>
      <w:r w:rsidRPr="0060421C">
        <w:rPr>
          <w:rFonts w:cs="Calibri"/>
        </w:rPr>
        <w:t>Between 2023 and 2024, emissions from the Energy sector increased by 231.4 kt CO</w:t>
      </w:r>
      <w:r w:rsidRPr="0060421C">
        <w:rPr>
          <w:vertAlign w:val="subscript"/>
        </w:rPr>
        <w:t>2</w:t>
      </w:r>
      <w:r w:rsidRPr="0060421C">
        <w:rPr>
          <w:rFonts w:cs="Calibri"/>
        </w:rPr>
        <w:t xml:space="preserve">e (0.8 percent). This was primarily due to an increase in </w:t>
      </w:r>
      <w:r w:rsidRPr="0060421C">
        <w:rPr>
          <w:rFonts w:cs="Calibri"/>
          <w:i/>
          <w:iCs/>
        </w:rPr>
        <w:t>Public electricity and heat production</w:t>
      </w:r>
      <w:r w:rsidRPr="0060421C">
        <w:rPr>
          <w:rFonts w:cs="Calibri"/>
        </w:rPr>
        <w:t xml:space="preserve"> </w:t>
      </w:r>
      <w:r w:rsidRPr="0060421C">
        <w:rPr>
          <w:rFonts w:cs="Calibri"/>
          <w:spacing w:val="-2"/>
        </w:rPr>
        <w:t>(up 970.6 </w:t>
      </w:r>
      <w:r w:rsidRPr="0060421C">
        <w:rPr>
          <w:rFonts w:cs="Calibri"/>
          <w:color w:val="000000" w:themeColor="text1"/>
          <w:spacing w:val="-2"/>
        </w:rPr>
        <w:t xml:space="preserve">kt </w:t>
      </w:r>
      <w:r w:rsidRPr="0060421C">
        <w:rPr>
          <w:rFonts w:cs="Calibri"/>
          <w:spacing w:val="-2"/>
        </w:rPr>
        <w:t>CO</w:t>
      </w:r>
      <w:r w:rsidRPr="0060421C">
        <w:rPr>
          <w:spacing w:val="-2"/>
          <w:vertAlign w:val="subscript"/>
        </w:rPr>
        <w:t>2</w:t>
      </w:r>
      <w:r w:rsidRPr="0060421C">
        <w:rPr>
          <w:rFonts w:cs="Calibri"/>
          <w:spacing w:val="-2"/>
        </w:rPr>
        <w:t>e or 35.5 percent)</w:t>
      </w:r>
      <w:r w:rsidRPr="0060421C">
        <w:rPr>
          <w:rFonts w:cs="Calibri"/>
          <w:color w:val="000000" w:themeColor="text1"/>
          <w:spacing w:val="-2"/>
        </w:rPr>
        <w:t xml:space="preserve">. </w:t>
      </w:r>
      <w:r w:rsidRPr="0060421C">
        <w:rPr>
          <w:rFonts w:cs="Calibri"/>
          <w:spacing w:val="-2"/>
        </w:rPr>
        <w:t xml:space="preserve">This increase was partially offset by </w:t>
      </w:r>
      <w:r w:rsidRPr="0060421C">
        <w:rPr>
          <w:rFonts w:cs="Calibri"/>
          <w:color w:val="000000" w:themeColor="text1"/>
          <w:spacing w:val="-2"/>
        </w:rPr>
        <w:t xml:space="preserve">the </w:t>
      </w:r>
      <w:r w:rsidRPr="0060421C">
        <w:rPr>
          <w:rFonts w:cs="Calibri"/>
          <w:i/>
          <w:iCs/>
          <w:color w:val="000000" w:themeColor="text1"/>
          <w:spacing w:val="-2"/>
        </w:rPr>
        <w:t>Chemicals</w:t>
      </w:r>
      <w:r w:rsidRPr="0060421C">
        <w:rPr>
          <w:rFonts w:cs="Calibri"/>
          <w:color w:val="000000" w:themeColor="text1"/>
          <w:spacing w:val="-2"/>
        </w:rPr>
        <w:t xml:space="preserve"> category</w:t>
      </w:r>
      <w:r w:rsidRPr="0060421C">
        <w:rPr>
          <w:rFonts w:cs="Calibri"/>
        </w:rPr>
        <w:t>, which decreased by 590.4 kt CO</w:t>
      </w:r>
      <w:r w:rsidRPr="0060421C">
        <w:rPr>
          <w:vertAlign w:val="subscript"/>
        </w:rPr>
        <w:t>2</w:t>
      </w:r>
      <w:r w:rsidRPr="0060421C">
        <w:rPr>
          <w:rFonts w:cs="Calibri"/>
        </w:rPr>
        <w:t xml:space="preserve">e (45.0 percent) and </w:t>
      </w:r>
      <w:r w:rsidRPr="0060421C">
        <w:rPr>
          <w:rFonts w:cs="Calibri"/>
          <w:i/>
          <w:iCs/>
        </w:rPr>
        <w:t>Food processing, beverages and tobacco</w:t>
      </w:r>
      <w:r w:rsidRPr="0060421C">
        <w:rPr>
          <w:rFonts w:cs="Calibri"/>
        </w:rPr>
        <w:t>, which decreased by 205.8 kt CO</w:t>
      </w:r>
      <w:r w:rsidRPr="0060421C">
        <w:rPr>
          <w:vertAlign w:val="subscript"/>
        </w:rPr>
        <w:t>2</w:t>
      </w:r>
      <w:r w:rsidRPr="0060421C">
        <w:rPr>
          <w:rFonts w:cs="Calibri"/>
        </w:rPr>
        <w:t>e (7.6 percent). Further information on these changes is provided under the relevant categories of section 3.3.</w:t>
      </w:r>
    </w:p>
    <w:p w14:paraId="7265FB10" w14:textId="77777777" w:rsidR="0038460F" w:rsidRPr="0060421C" w:rsidRDefault="0038460F" w:rsidP="0038460F">
      <w:pPr>
        <w:pStyle w:val="BodyText"/>
        <w:rPr>
          <w:rFonts w:cs="Calibri"/>
        </w:rPr>
      </w:pPr>
      <w:r w:rsidRPr="0060421C">
        <w:rPr>
          <w:rFonts w:cs="Calibri"/>
        </w:rPr>
        <w:t>National energy consumption in 2024 declined 2.1 percent from the 2023 level, and was 9.9 percent below the pre-COVID-19 peak seen in 2019.</w:t>
      </w:r>
    </w:p>
    <w:p w14:paraId="4D5D8E1F" w14:textId="77777777" w:rsidR="0038460F" w:rsidRPr="0060421C" w:rsidRDefault="0038460F" w:rsidP="0038460F">
      <w:pPr>
        <w:pStyle w:val="Heading4"/>
      </w:pPr>
      <w:r w:rsidRPr="0060421C">
        <w:t>2005–2024</w:t>
      </w:r>
    </w:p>
    <w:p w14:paraId="1922181A" w14:textId="77777777" w:rsidR="0038460F" w:rsidRPr="0060421C" w:rsidRDefault="0038460F" w:rsidP="0038460F">
      <w:pPr>
        <w:pStyle w:val="BodyText"/>
        <w:rPr>
          <w:rFonts w:cs="Calibri"/>
        </w:rPr>
      </w:pPr>
      <w:r w:rsidRPr="0060421C">
        <w:rPr>
          <w:rFonts w:cs="Calibri"/>
        </w:rPr>
        <w:t>Between 2005 and 2024, emissions from the Energy sector decreased by 5,843.4 kt CO</w:t>
      </w:r>
      <w:r w:rsidRPr="0060421C">
        <w:rPr>
          <w:vertAlign w:val="subscript"/>
        </w:rPr>
        <w:t>2</w:t>
      </w:r>
      <w:r w:rsidRPr="0060421C">
        <w:rPr>
          <w:rFonts w:cs="Calibri"/>
        </w:rPr>
        <w:t xml:space="preserve">e (16.9 percent). The largest reduction came from </w:t>
      </w:r>
      <w:r w:rsidRPr="0060421C">
        <w:rPr>
          <w:rFonts w:cs="Calibri"/>
          <w:i/>
          <w:iCs/>
        </w:rPr>
        <w:t>Public electricity and heat production</w:t>
      </w:r>
      <w:r w:rsidRPr="0060421C">
        <w:rPr>
          <w:rFonts w:cs="Calibri"/>
        </w:rPr>
        <w:t xml:space="preserve">, which decreased by 5,299.7 </w:t>
      </w:r>
      <w:r w:rsidRPr="0060421C">
        <w:rPr>
          <w:rFonts w:cs="Calibri"/>
          <w:color w:val="000000" w:themeColor="text1"/>
        </w:rPr>
        <w:t xml:space="preserve">kt </w:t>
      </w:r>
      <w:r w:rsidRPr="0060421C">
        <w:rPr>
          <w:rFonts w:cs="Calibri"/>
        </w:rPr>
        <w:t>CO</w:t>
      </w:r>
      <w:r w:rsidRPr="0060421C">
        <w:rPr>
          <w:vertAlign w:val="subscript"/>
        </w:rPr>
        <w:t>2</w:t>
      </w:r>
      <w:r w:rsidRPr="0060421C">
        <w:rPr>
          <w:rFonts w:cs="Calibri"/>
        </w:rPr>
        <w:t>e (58.8 percent). While total electricity generation grew by 6 percent over the same period, the share from renewable sources increased significantly, from 66 percent to 85 percent driven by expanded geothermal and wind capacity. This reduction in emissions was partially offset by a 1,338.5 kt CO</w:t>
      </w:r>
      <w:r w:rsidRPr="0060421C">
        <w:rPr>
          <w:vertAlign w:val="subscript"/>
        </w:rPr>
        <w:t>2</w:t>
      </w:r>
      <w:r w:rsidRPr="0060421C">
        <w:rPr>
          <w:rFonts w:cs="Calibri"/>
        </w:rPr>
        <w:t xml:space="preserve">e (11.9 percent) increase from </w:t>
      </w:r>
      <w:r w:rsidRPr="0060421C">
        <w:rPr>
          <w:rFonts w:cs="Calibri"/>
          <w:i/>
          <w:iCs/>
        </w:rPr>
        <w:t>Road transportation</w:t>
      </w:r>
      <w:r w:rsidRPr="0060421C">
        <w:rPr>
          <w:rFonts w:cs="Calibri"/>
        </w:rPr>
        <w:t>.</w:t>
      </w:r>
    </w:p>
    <w:p w14:paraId="4C0352F2" w14:textId="77777777" w:rsidR="0038460F" w:rsidRPr="0060421C" w:rsidRDefault="0038460F" w:rsidP="0038460F">
      <w:pPr>
        <w:pStyle w:val="BodyText"/>
        <w:rPr>
          <w:rFonts w:cs="Calibri"/>
        </w:rPr>
      </w:pPr>
      <w:r w:rsidRPr="0060421C">
        <w:rPr>
          <w:rFonts w:cs="Calibri"/>
        </w:rPr>
        <w:t>Restrictions on activity and movement as part of the response to the COVID-19 pandemic during the 2020 calendar year saw significant disruption to economic activity throughout New Zealand. The effects on the Energy sector are particularly notable, with national energy consumption over 2020-2024 still remaining below 2019 levels. The sector saw a slight rebound during 2021, but energy consumption has remained well below pre-2020 levels in</w:t>
      </w:r>
      <w:r>
        <w:rPr>
          <w:rFonts w:cs="Calibri"/>
        </w:rPr>
        <w:t> </w:t>
      </w:r>
      <w:r w:rsidRPr="0060421C">
        <w:rPr>
          <w:rFonts w:cs="Calibri"/>
        </w:rPr>
        <w:t>the following years.</w:t>
      </w:r>
    </w:p>
    <w:p w14:paraId="3691DBEA" w14:textId="77777777" w:rsidR="0038460F" w:rsidRPr="0060421C" w:rsidRDefault="0038460F" w:rsidP="0038460F">
      <w:pPr>
        <w:pStyle w:val="Heading4"/>
      </w:pPr>
      <w:r w:rsidRPr="0060421C">
        <w:t>1990–2024</w:t>
      </w:r>
    </w:p>
    <w:p w14:paraId="14AE7D39" w14:textId="77777777" w:rsidR="0038460F" w:rsidRPr="0060421C" w:rsidRDefault="0038460F" w:rsidP="0038460F">
      <w:pPr>
        <w:pStyle w:val="BodyText"/>
        <w:rPr>
          <w:rFonts w:cs="Calibri"/>
        </w:rPr>
      </w:pPr>
      <w:r w:rsidRPr="0060421C">
        <w:rPr>
          <w:rFonts w:cs="Calibri"/>
        </w:rPr>
        <w:t>In 2024, emissions from the Energy sector were 4,753.4 kt CO</w:t>
      </w:r>
      <w:r w:rsidRPr="0060421C">
        <w:rPr>
          <w:vertAlign w:val="subscript"/>
        </w:rPr>
        <w:t>2</w:t>
      </w:r>
      <w:r w:rsidRPr="0060421C">
        <w:rPr>
          <w:rFonts w:cs="Calibri"/>
        </w:rPr>
        <w:t>e (19.8 percent) higher than the 1990 level of 23,999.8 kt CO</w:t>
      </w:r>
      <w:r w:rsidRPr="0060421C">
        <w:rPr>
          <w:vertAlign w:val="subscript"/>
        </w:rPr>
        <w:t>2</w:t>
      </w:r>
      <w:r w:rsidRPr="0060421C">
        <w:rPr>
          <w:rFonts w:cs="Calibri"/>
        </w:rPr>
        <w:t xml:space="preserve">e. The main contributors to this increase were </w:t>
      </w:r>
      <w:r w:rsidRPr="0060421C">
        <w:rPr>
          <w:i/>
          <w:iCs/>
        </w:rPr>
        <w:t>Road transportation</w:t>
      </w:r>
      <w:r w:rsidRPr="0060421C">
        <w:rPr>
          <w:rFonts w:cs="Calibri"/>
        </w:rPr>
        <w:t xml:space="preserve"> (up 5,727.3 kt CO</w:t>
      </w:r>
      <w:r w:rsidRPr="0060421C">
        <w:rPr>
          <w:vertAlign w:val="subscript"/>
        </w:rPr>
        <w:t>2</w:t>
      </w:r>
      <w:r w:rsidRPr="0060421C">
        <w:rPr>
          <w:rFonts w:cs="Calibri"/>
        </w:rPr>
        <w:t xml:space="preserve">e or 83.9 percent), </w:t>
      </w:r>
      <w:r w:rsidRPr="0060421C">
        <w:rPr>
          <w:i/>
          <w:iCs/>
        </w:rPr>
        <w:t>Food processing, beverages and tobacco</w:t>
      </w:r>
      <w:r w:rsidRPr="0060421C">
        <w:rPr>
          <w:rFonts w:cs="Calibri"/>
        </w:rPr>
        <w:t xml:space="preserve"> (up 823.4 kt CO</w:t>
      </w:r>
      <w:r w:rsidRPr="0060421C">
        <w:rPr>
          <w:vertAlign w:val="subscript"/>
        </w:rPr>
        <w:t>2</w:t>
      </w:r>
      <w:r w:rsidRPr="0060421C">
        <w:rPr>
          <w:rFonts w:cs="Calibri"/>
        </w:rPr>
        <w:t xml:space="preserve">e or 49.3 percent), and </w:t>
      </w:r>
      <w:r w:rsidRPr="0060421C">
        <w:rPr>
          <w:i/>
          <w:iCs/>
        </w:rPr>
        <w:t>Residential</w:t>
      </w:r>
      <w:r w:rsidRPr="0060421C">
        <w:rPr>
          <w:rFonts w:cs="Calibri"/>
        </w:rPr>
        <w:t xml:space="preserve"> (up 407.1 kt CO</w:t>
      </w:r>
      <w:r w:rsidRPr="0060421C">
        <w:rPr>
          <w:vertAlign w:val="subscript"/>
        </w:rPr>
        <w:t>2</w:t>
      </w:r>
      <w:r w:rsidRPr="0060421C">
        <w:rPr>
          <w:rFonts w:cs="Calibri"/>
        </w:rPr>
        <w:t>e or 27.9 percent). While the drivers of these changes are complex, key factors include population growth and increased economic activity.</w:t>
      </w:r>
    </w:p>
    <w:p w14:paraId="0506A5B0" w14:textId="77777777" w:rsidR="0038460F" w:rsidRPr="0060421C" w:rsidRDefault="0038460F" w:rsidP="0038460F">
      <w:pPr>
        <w:pStyle w:val="BodyText"/>
        <w:rPr>
          <w:rFonts w:cs="Calibri"/>
        </w:rPr>
      </w:pPr>
      <w:r w:rsidRPr="0060421C">
        <w:rPr>
          <w:rFonts w:cs="Calibri"/>
        </w:rPr>
        <w:t xml:space="preserve">The largest decrease since 1990 occurred in the </w:t>
      </w:r>
      <w:r w:rsidRPr="0060421C">
        <w:rPr>
          <w:i/>
          <w:iCs/>
        </w:rPr>
        <w:t>Manufacture of solid fuels and other energy industries</w:t>
      </w:r>
      <w:r w:rsidRPr="0060421C">
        <w:t xml:space="preserve"> category</w:t>
      </w:r>
      <w:r w:rsidRPr="0060421C">
        <w:rPr>
          <w:rFonts w:cs="Calibri"/>
        </w:rPr>
        <w:t>, historically a significant source of emissions. Emissions from this category fell by 1,460.3 kt CO</w:t>
      </w:r>
      <w:r w:rsidRPr="0060421C">
        <w:rPr>
          <w:vertAlign w:val="subscript"/>
        </w:rPr>
        <w:t>2</w:t>
      </w:r>
      <w:r w:rsidRPr="0060421C">
        <w:rPr>
          <w:rFonts w:cs="Calibri"/>
        </w:rPr>
        <w:t>e (85.7 percent), primarily due to the cessation of synthetic gasoline production in 1997.</w:t>
      </w:r>
    </w:p>
    <w:p w14:paraId="6B0F0A55" w14:textId="77777777" w:rsidR="0038460F" w:rsidRPr="0060421C" w:rsidRDefault="0038460F" w:rsidP="0038460F">
      <w:pPr>
        <w:pStyle w:val="BodyText"/>
      </w:pPr>
      <w:r w:rsidRPr="0060421C">
        <w:rPr>
          <w:rFonts w:cs="Calibri"/>
        </w:rPr>
        <w:t xml:space="preserve">Figure 3.1.1 shows the time series of Energy sector emissions from 1990 to 2024. Emissions rose steadily between 1990 and 2006, </w:t>
      </w:r>
      <w:r w:rsidRPr="0060421C">
        <w:t>driven by population and economic growth, which in turn increased demand for transport and industrial energy. Road transportation emissions rose sharply due to high reliance on private vehicles and freight trucking. Manufacturing activity, particularly in energy-intensive sectors such as food processing and chemicals, also contributed to the upward trend.</w:t>
      </w:r>
    </w:p>
    <w:p w14:paraId="3B0C3DF7" w14:textId="77777777" w:rsidR="0038460F" w:rsidRPr="0060421C" w:rsidRDefault="0038460F" w:rsidP="0038460F">
      <w:pPr>
        <w:pStyle w:val="BodyText"/>
        <w:rPr>
          <w:rFonts w:cs="Calibri"/>
        </w:rPr>
      </w:pPr>
      <w:r w:rsidRPr="0060421C">
        <w:rPr>
          <w:rFonts w:cs="Calibri"/>
        </w:rPr>
        <w:t>After 2006, emissions declined slightly and then remained stable until 2019. Since 2019, emissions have decreased mainly due to the effects of the COVID-19 pandemic response</w:t>
      </w:r>
      <w:r w:rsidRPr="0060421C">
        <w:t xml:space="preserve"> and ongoing economic conditions. These factors, combined with lower-than-expected gas supply, </w:t>
      </w:r>
      <w:r w:rsidRPr="0060421C">
        <w:rPr>
          <w:rFonts w:cs="Calibri"/>
        </w:rPr>
        <w:t xml:space="preserve">have led to reductions in industrial energy use. </w:t>
      </w:r>
    </w:p>
    <w:p w14:paraId="5FB1F389" w14:textId="1BA2F8DE" w:rsidR="0038460F" w:rsidRPr="0060421C" w:rsidRDefault="0038460F" w:rsidP="0038460F">
      <w:pPr>
        <w:pStyle w:val="Figure"/>
        <w:spacing w:after="0"/>
        <w:rPr>
          <w:rFonts w:cs="Calibri"/>
        </w:rPr>
      </w:pPr>
      <w:bookmarkStart w:id="184" w:name="_Toc443060810"/>
      <w:bookmarkStart w:id="185" w:name="_Toc447275667"/>
      <w:bookmarkStart w:id="186" w:name="_Toc481751984"/>
      <w:bookmarkStart w:id="187" w:name="_Toc36292768"/>
      <w:bookmarkStart w:id="188" w:name="_Toc68786633"/>
      <w:bookmarkStart w:id="189" w:name="_Toc95834068"/>
      <w:bookmarkStart w:id="190" w:name="_Toc164154004"/>
      <w:bookmarkStart w:id="191" w:name="_Toc194674837"/>
      <w:bookmarkStart w:id="192" w:name="_Toc226200664"/>
      <w:r w:rsidRPr="0060421C">
        <w:rPr>
          <w:rFonts w:cs="Calibri"/>
        </w:rPr>
        <w:t>Figure 3.1.</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1</w:t>
      </w:r>
      <w:r w:rsidRPr="0060421C">
        <w:rPr>
          <w:rFonts w:cs="Calibri"/>
        </w:rPr>
        <w:fldChar w:fldCharType="end"/>
      </w:r>
      <w:r w:rsidRPr="0060421C">
        <w:rPr>
          <w:rFonts w:cs="Calibri"/>
        </w:rPr>
        <w:tab/>
        <w:t>New Zealand’s Energy sector emissions</w:t>
      </w:r>
      <w:bookmarkEnd w:id="184"/>
      <w:bookmarkEnd w:id="185"/>
      <w:bookmarkEnd w:id="186"/>
      <w:r w:rsidRPr="0060421C">
        <w:rPr>
          <w:rFonts w:cs="Calibri"/>
        </w:rPr>
        <w:t xml:space="preserve">, from 1990 to </w:t>
      </w:r>
      <w:bookmarkEnd w:id="187"/>
      <w:bookmarkEnd w:id="188"/>
      <w:bookmarkEnd w:id="189"/>
      <w:bookmarkEnd w:id="190"/>
      <w:bookmarkEnd w:id="191"/>
      <w:r w:rsidRPr="0060421C">
        <w:rPr>
          <w:rFonts w:cs="Calibri"/>
        </w:rPr>
        <w:t>2024</w:t>
      </w:r>
      <w:bookmarkEnd w:id="192"/>
    </w:p>
    <w:p w14:paraId="48D8C18F" w14:textId="77777777" w:rsidR="0038460F" w:rsidRPr="0060421C" w:rsidRDefault="0038460F" w:rsidP="0038460F">
      <w:pPr>
        <w:pStyle w:val="BodyText"/>
        <w:spacing w:after="60"/>
        <w:rPr>
          <w:rFonts w:cs="Calibri"/>
        </w:rPr>
      </w:pPr>
      <w:r w:rsidRPr="0060421C">
        <w:rPr>
          <w:noProof/>
        </w:rPr>
        <w:drawing>
          <wp:inline distT="0" distB="0" distL="0" distR="0" wp14:anchorId="422D049A" wp14:editId="541656B2">
            <wp:extent cx="5400674" cy="2700337"/>
            <wp:effectExtent l="0" t="0" r="0" b="5080"/>
            <wp:docPr id="1279206840"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06840" name="Graphic 2"/>
                    <pic:cNvPicPr/>
                  </pic:nvPicPr>
                  <pic:blipFill>
                    <a:blip r:embed="rId52">
                      <a:extLst>
                        <a:ext uri="{96DAC541-7B7A-43D3-8B79-37D633B846F1}">
                          <asvg:svgBlip xmlns:asvg="http://schemas.microsoft.com/office/drawing/2016/SVG/main" r:embed="rId53"/>
                        </a:ext>
                      </a:extLst>
                    </a:blip>
                    <a:stretch>
                      <a:fillRect/>
                    </a:stretch>
                  </pic:blipFill>
                  <pic:spPr>
                    <a:xfrm>
                      <a:off x="0" y="0"/>
                      <a:ext cx="5400674" cy="2700337"/>
                    </a:xfrm>
                    <a:prstGeom prst="rect">
                      <a:avLst/>
                    </a:prstGeom>
                  </pic:spPr>
                </pic:pic>
              </a:graphicData>
            </a:graphic>
          </wp:inline>
        </w:drawing>
      </w:r>
    </w:p>
    <w:p w14:paraId="3E866F47" w14:textId="77777777" w:rsidR="0038460F" w:rsidRPr="0060421C" w:rsidRDefault="0038460F" w:rsidP="0038460F">
      <w:pPr>
        <w:pStyle w:val="Heading3"/>
        <w:rPr>
          <w:rFonts w:cs="Calibri"/>
        </w:rPr>
      </w:pPr>
      <w:r w:rsidRPr="0060421C">
        <w:rPr>
          <w:rFonts w:cs="Calibri"/>
        </w:rPr>
        <w:t>3.1.2</w:t>
      </w:r>
      <w:r w:rsidRPr="0060421C">
        <w:rPr>
          <w:rFonts w:cs="Calibri"/>
        </w:rPr>
        <w:tab/>
        <w:t>Key categories for Energy sector emissions</w:t>
      </w:r>
    </w:p>
    <w:p w14:paraId="4667D8F3" w14:textId="77777777" w:rsidR="0038460F" w:rsidRPr="0060421C" w:rsidRDefault="0038460F" w:rsidP="0038460F">
      <w:pPr>
        <w:pStyle w:val="BodyText"/>
        <w:rPr>
          <w:rFonts w:cs="Calibri"/>
        </w:rPr>
      </w:pPr>
      <w:r w:rsidRPr="0060421C">
        <w:rPr>
          <w:rFonts w:cs="Calibri"/>
        </w:rPr>
        <w:t>Details of New Zealand’s key category analysis are provided in volume 2, annex 1. The key categories in the Energy sector are listed in table 3.1.1.</w:t>
      </w:r>
    </w:p>
    <w:p w14:paraId="18FABA2C" w14:textId="77777777" w:rsidR="0038460F" w:rsidRPr="0060421C" w:rsidRDefault="0038460F" w:rsidP="0038460F">
      <w:pPr>
        <w:pStyle w:val="Table"/>
      </w:pPr>
      <w:bookmarkStart w:id="193" w:name="_Toc451176060"/>
      <w:bookmarkStart w:id="194" w:name="_Toc481751486"/>
      <w:bookmarkStart w:id="195" w:name="_Toc507496588"/>
      <w:bookmarkStart w:id="196" w:name="_Toc36224522"/>
      <w:bookmarkStart w:id="197" w:name="_Toc68786403"/>
      <w:bookmarkStart w:id="198" w:name="_Toc164153802"/>
      <w:bookmarkStart w:id="199" w:name="_Toc194241667"/>
      <w:bookmarkStart w:id="200" w:name="_Toc226668953"/>
      <w:bookmarkStart w:id="201" w:name="_Toc384582165"/>
      <w:bookmarkStart w:id="202" w:name="_Toc443060844"/>
      <w:r w:rsidRPr="0060421C">
        <w:t xml:space="preserve">Table 3.1.1 </w:t>
      </w:r>
      <w:r w:rsidRPr="0060421C">
        <w:tab/>
        <w:t>Key categories in the Energy sector</w:t>
      </w:r>
      <w:bookmarkEnd w:id="193"/>
      <w:bookmarkEnd w:id="194"/>
      <w:bookmarkEnd w:id="195"/>
      <w:bookmarkEnd w:id="196"/>
      <w:bookmarkEnd w:id="197"/>
      <w:bookmarkEnd w:id="198"/>
      <w:bookmarkEnd w:id="199"/>
      <w:bookmarkEnd w:id="200"/>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094"/>
        <w:gridCol w:w="5786"/>
        <w:gridCol w:w="547"/>
        <w:gridCol w:w="1078"/>
      </w:tblGrid>
      <w:tr w:rsidR="0038460F" w:rsidRPr="0060421C" w14:paraId="3FA35936" w14:textId="77777777" w:rsidTr="00F16E23">
        <w:trPr>
          <w:tblHeader/>
        </w:trPr>
        <w:tc>
          <w:tcPr>
            <w:tcW w:w="1093" w:type="dxa"/>
            <w:shd w:val="clear" w:color="auto" w:fill="1C556C" w:themeFill="accent1"/>
            <w:noWrap/>
            <w:vAlign w:val="bottom"/>
            <w:hideMark/>
          </w:tcPr>
          <w:p w14:paraId="65C4DFEE" w14:textId="77777777" w:rsidR="0038460F" w:rsidRPr="0060421C" w:rsidRDefault="0038460F" w:rsidP="00F16E23">
            <w:pPr>
              <w:pStyle w:val="TableTextBold"/>
              <w:keepNext/>
              <w:spacing w:before="40" w:after="40"/>
              <w:rPr>
                <w:rFonts w:cs="Calibri"/>
                <w:noProof w:val="0"/>
                <w:color w:val="FFFFFF"/>
                <w:szCs w:val="16"/>
              </w:rPr>
            </w:pPr>
            <w:r w:rsidRPr="0060421C">
              <w:rPr>
                <w:rFonts w:cs="Calibri"/>
                <w:noProof w:val="0"/>
                <w:color w:val="FFFFFF"/>
                <w:szCs w:val="16"/>
              </w:rPr>
              <w:t>CRT category code</w:t>
            </w:r>
          </w:p>
        </w:tc>
        <w:tc>
          <w:tcPr>
            <w:tcW w:w="5783" w:type="dxa"/>
            <w:shd w:val="clear" w:color="auto" w:fill="1C556C" w:themeFill="accent1"/>
            <w:noWrap/>
            <w:vAlign w:val="bottom"/>
            <w:hideMark/>
          </w:tcPr>
          <w:p w14:paraId="4CCFA545" w14:textId="77777777" w:rsidR="0038460F" w:rsidRPr="0060421C" w:rsidRDefault="0038460F" w:rsidP="00F16E23">
            <w:pPr>
              <w:pStyle w:val="TableTextBold"/>
              <w:keepNext/>
              <w:spacing w:before="40" w:after="40"/>
              <w:rPr>
                <w:rFonts w:cs="Calibri"/>
                <w:noProof w:val="0"/>
                <w:color w:val="FFFFFF"/>
                <w:szCs w:val="16"/>
              </w:rPr>
            </w:pPr>
            <w:r w:rsidRPr="0060421C">
              <w:rPr>
                <w:rFonts w:cs="Calibri"/>
                <w:noProof w:val="0"/>
                <w:color w:val="FFFFFF"/>
                <w:szCs w:val="16"/>
              </w:rPr>
              <w:t>IPCC categories</w:t>
            </w:r>
          </w:p>
        </w:tc>
        <w:tc>
          <w:tcPr>
            <w:tcW w:w="547" w:type="dxa"/>
            <w:shd w:val="clear" w:color="auto" w:fill="1C556C" w:themeFill="accent1"/>
            <w:noWrap/>
            <w:vAlign w:val="bottom"/>
            <w:hideMark/>
          </w:tcPr>
          <w:p w14:paraId="550432EA" w14:textId="77777777" w:rsidR="0038460F" w:rsidRPr="0060421C" w:rsidRDefault="0038460F" w:rsidP="00F16E23">
            <w:pPr>
              <w:pStyle w:val="TableTextBold"/>
              <w:keepNext/>
              <w:spacing w:before="40" w:after="40"/>
              <w:jc w:val="center"/>
              <w:rPr>
                <w:rFonts w:cs="Calibri"/>
                <w:noProof w:val="0"/>
                <w:color w:val="FFFFFF"/>
                <w:szCs w:val="16"/>
              </w:rPr>
            </w:pPr>
            <w:r w:rsidRPr="0060421C">
              <w:rPr>
                <w:rFonts w:cs="Calibri"/>
                <w:noProof w:val="0"/>
                <w:color w:val="FFFFFF"/>
                <w:szCs w:val="16"/>
              </w:rPr>
              <w:t>Gas</w:t>
            </w:r>
          </w:p>
        </w:tc>
        <w:tc>
          <w:tcPr>
            <w:tcW w:w="1077" w:type="dxa"/>
            <w:shd w:val="clear" w:color="auto" w:fill="1C556C" w:themeFill="accent1"/>
            <w:noWrap/>
            <w:vAlign w:val="bottom"/>
            <w:hideMark/>
          </w:tcPr>
          <w:p w14:paraId="1D221599" w14:textId="77777777" w:rsidR="0038460F" w:rsidRPr="0060421C" w:rsidRDefault="0038460F" w:rsidP="00F16E23">
            <w:pPr>
              <w:pStyle w:val="TableTextBold"/>
              <w:keepNext/>
              <w:spacing w:before="40" w:after="40"/>
              <w:rPr>
                <w:rFonts w:cs="Calibri"/>
                <w:noProof w:val="0"/>
                <w:color w:val="FFFFFF"/>
                <w:szCs w:val="16"/>
              </w:rPr>
            </w:pPr>
            <w:r w:rsidRPr="0060421C">
              <w:rPr>
                <w:rFonts w:cs="Calibri"/>
                <w:noProof w:val="0"/>
                <w:color w:val="FFFFFF"/>
                <w:szCs w:val="16"/>
              </w:rPr>
              <w:t>Criteria for identification</w:t>
            </w:r>
          </w:p>
        </w:tc>
      </w:tr>
      <w:tr w:rsidR="0038460F" w:rsidRPr="0060421C" w14:paraId="2130B6C4" w14:textId="77777777" w:rsidTr="00F16E23">
        <w:tc>
          <w:tcPr>
            <w:tcW w:w="1093" w:type="dxa"/>
            <w:noWrap/>
          </w:tcPr>
          <w:p w14:paraId="78A24328" w14:textId="77777777" w:rsidR="0038460F" w:rsidRPr="0060421C" w:rsidRDefault="0038460F" w:rsidP="00F16E23">
            <w:pPr>
              <w:pStyle w:val="TableText"/>
              <w:spacing w:before="40" w:after="40"/>
              <w:rPr>
                <w:rFonts w:cs="Calibri"/>
                <w:szCs w:val="16"/>
              </w:rPr>
            </w:pPr>
            <w:r w:rsidRPr="0060421C">
              <w:rPr>
                <w:rFonts w:cs="Calibri"/>
                <w:color w:val="000000"/>
                <w:szCs w:val="16"/>
              </w:rPr>
              <w:t>1.A.1.a.</w:t>
            </w:r>
          </w:p>
        </w:tc>
        <w:tc>
          <w:tcPr>
            <w:tcW w:w="5783" w:type="dxa"/>
            <w:noWrap/>
          </w:tcPr>
          <w:p w14:paraId="03F74DDF" w14:textId="77777777" w:rsidR="0038460F" w:rsidRPr="0060421C" w:rsidRDefault="0038460F" w:rsidP="00F16E23">
            <w:pPr>
              <w:pStyle w:val="TableText"/>
              <w:spacing w:before="40" w:after="40"/>
              <w:rPr>
                <w:rFonts w:cs="Calibri"/>
              </w:rPr>
            </w:pPr>
            <w:r w:rsidRPr="0060421C">
              <w:rPr>
                <w:rFonts w:cs="Calibri"/>
                <w:color w:val="000000" w:themeColor="text1"/>
              </w:rPr>
              <w:t>Energy industries – Public electricity and heat production – Gaseous fuels</w:t>
            </w:r>
          </w:p>
        </w:tc>
        <w:tc>
          <w:tcPr>
            <w:tcW w:w="547" w:type="dxa"/>
            <w:noWrap/>
          </w:tcPr>
          <w:p w14:paraId="41730CB3"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75BAFAB4"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4DF0401A" w14:textId="77777777" w:rsidTr="00F16E23">
        <w:tc>
          <w:tcPr>
            <w:tcW w:w="1093" w:type="dxa"/>
            <w:noWrap/>
          </w:tcPr>
          <w:p w14:paraId="64E03BEB" w14:textId="77777777" w:rsidR="0038460F" w:rsidRPr="0060421C" w:rsidRDefault="0038460F" w:rsidP="00F16E23">
            <w:pPr>
              <w:pStyle w:val="TableText"/>
              <w:spacing w:before="40" w:after="40"/>
              <w:rPr>
                <w:rFonts w:cs="Calibri"/>
              </w:rPr>
            </w:pPr>
            <w:r w:rsidRPr="78E2250F">
              <w:rPr>
                <w:rFonts w:cs="Calibri"/>
                <w:color w:val="000000" w:themeColor="text1"/>
              </w:rPr>
              <w:t>1.A.1.a.</w:t>
            </w:r>
          </w:p>
        </w:tc>
        <w:tc>
          <w:tcPr>
            <w:tcW w:w="5783" w:type="dxa"/>
            <w:noWrap/>
          </w:tcPr>
          <w:p w14:paraId="0967817D" w14:textId="77777777" w:rsidR="0038460F" w:rsidRPr="0060421C" w:rsidRDefault="0038460F" w:rsidP="00F16E23">
            <w:pPr>
              <w:pStyle w:val="TableText"/>
              <w:spacing w:before="40" w:after="40"/>
              <w:rPr>
                <w:rFonts w:cs="Calibri"/>
              </w:rPr>
            </w:pPr>
            <w:r w:rsidRPr="78E2250F">
              <w:rPr>
                <w:rFonts w:cs="Calibri"/>
                <w:color w:val="000000" w:themeColor="text1"/>
              </w:rPr>
              <w:t>Energy industries – Public electricity and heat production – Solid fuels</w:t>
            </w:r>
          </w:p>
        </w:tc>
        <w:tc>
          <w:tcPr>
            <w:tcW w:w="547" w:type="dxa"/>
            <w:noWrap/>
          </w:tcPr>
          <w:p w14:paraId="62DF4717"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2AB71D6A" w14:textId="77777777" w:rsidR="0038460F" w:rsidRPr="0060421C" w:rsidRDefault="0038460F" w:rsidP="00F16E23">
            <w:pPr>
              <w:pStyle w:val="TableText"/>
              <w:spacing w:before="40" w:after="40"/>
              <w:rPr>
                <w:rFonts w:cs="Calibri"/>
              </w:rPr>
            </w:pPr>
            <w:r w:rsidRPr="78E2250F">
              <w:rPr>
                <w:rFonts w:cs="Calibri"/>
                <w:color w:val="000000" w:themeColor="text1"/>
              </w:rPr>
              <w:t>L1, T1</w:t>
            </w:r>
          </w:p>
        </w:tc>
      </w:tr>
      <w:tr w:rsidR="0038460F" w:rsidRPr="0060421C" w14:paraId="67413905" w14:textId="77777777" w:rsidTr="00F16E23">
        <w:tc>
          <w:tcPr>
            <w:tcW w:w="1093" w:type="dxa"/>
            <w:noWrap/>
          </w:tcPr>
          <w:p w14:paraId="14D8020F" w14:textId="77777777" w:rsidR="0038460F" w:rsidRPr="0060421C" w:rsidRDefault="0038460F" w:rsidP="00F16E23">
            <w:pPr>
              <w:pStyle w:val="TableText"/>
              <w:spacing w:before="40" w:after="40"/>
              <w:rPr>
                <w:rFonts w:cs="Calibri"/>
              </w:rPr>
            </w:pPr>
            <w:r w:rsidRPr="78E2250F">
              <w:rPr>
                <w:rFonts w:cs="Calibri"/>
                <w:color w:val="000000" w:themeColor="text1"/>
              </w:rPr>
              <w:t>1.A.1.b.</w:t>
            </w:r>
          </w:p>
        </w:tc>
        <w:tc>
          <w:tcPr>
            <w:tcW w:w="5783" w:type="dxa"/>
            <w:noWrap/>
          </w:tcPr>
          <w:p w14:paraId="3DD3C068" w14:textId="77777777" w:rsidR="0038460F" w:rsidRPr="0060421C" w:rsidRDefault="0038460F" w:rsidP="00F16E23">
            <w:pPr>
              <w:pStyle w:val="TableText"/>
              <w:spacing w:before="40" w:after="40"/>
              <w:rPr>
                <w:rFonts w:cs="Calibri"/>
              </w:rPr>
            </w:pPr>
            <w:r w:rsidRPr="78E2250F">
              <w:rPr>
                <w:rFonts w:cs="Calibri"/>
                <w:color w:val="000000" w:themeColor="text1"/>
              </w:rPr>
              <w:t>Energy industries – Petroleum refining – Liquid fuels</w:t>
            </w:r>
          </w:p>
        </w:tc>
        <w:tc>
          <w:tcPr>
            <w:tcW w:w="547" w:type="dxa"/>
            <w:noWrap/>
          </w:tcPr>
          <w:p w14:paraId="7F893024"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4D08D787" w14:textId="77777777" w:rsidR="0038460F" w:rsidRPr="0060421C" w:rsidRDefault="0038460F" w:rsidP="00F16E23">
            <w:pPr>
              <w:pStyle w:val="TableText"/>
              <w:spacing w:before="40" w:after="40"/>
              <w:rPr>
                <w:rFonts w:cs="Calibri"/>
              </w:rPr>
            </w:pPr>
            <w:r w:rsidRPr="78E2250F">
              <w:rPr>
                <w:rFonts w:cs="Calibri"/>
                <w:color w:val="000000" w:themeColor="text1"/>
              </w:rPr>
              <w:t>T1</w:t>
            </w:r>
          </w:p>
        </w:tc>
      </w:tr>
      <w:tr w:rsidR="0038460F" w:rsidRPr="0060421C" w14:paraId="423723D1" w14:textId="77777777" w:rsidTr="00F16E23">
        <w:tc>
          <w:tcPr>
            <w:tcW w:w="1093" w:type="dxa"/>
            <w:noWrap/>
          </w:tcPr>
          <w:p w14:paraId="4C3572FF" w14:textId="77777777" w:rsidR="0038460F" w:rsidRPr="0060421C" w:rsidRDefault="0038460F" w:rsidP="00F16E23">
            <w:pPr>
              <w:pStyle w:val="TableText"/>
              <w:spacing w:before="40" w:after="40"/>
              <w:rPr>
                <w:rFonts w:cs="Calibri"/>
              </w:rPr>
            </w:pPr>
            <w:r w:rsidRPr="78E2250F">
              <w:rPr>
                <w:rFonts w:cs="Calibri"/>
                <w:color w:val="000000" w:themeColor="text1"/>
              </w:rPr>
              <w:t>1.A.1.c.</w:t>
            </w:r>
          </w:p>
        </w:tc>
        <w:tc>
          <w:tcPr>
            <w:tcW w:w="5783" w:type="dxa"/>
            <w:noWrap/>
          </w:tcPr>
          <w:p w14:paraId="398975FB" w14:textId="77777777" w:rsidR="0038460F" w:rsidRPr="0060421C" w:rsidRDefault="0038460F" w:rsidP="00F16E23">
            <w:pPr>
              <w:pStyle w:val="TableText"/>
              <w:spacing w:before="40" w:after="40"/>
              <w:rPr>
                <w:rFonts w:cs="Calibri"/>
              </w:rPr>
            </w:pPr>
            <w:r w:rsidRPr="78E2250F">
              <w:rPr>
                <w:rFonts w:cs="Calibri"/>
                <w:color w:val="000000" w:themeColor="text1"/>
              </w:rPr>
              <w:t>Energy industries – Manufacture of solid fuels and other energy industries – Gaseous fuels</w:t>
            </w:r>
          </w:p>
        </w:tc>
        <w:tc>
          <w:tcPr>
            <w:tcW w:w="547" w:type="dxa"/>
            <w:noWrap/>
          </w:tcPr>
          <w:p w14:paraId="697FF3C0"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6CB6F738" w14:textId="77777777" w:rsidR="0038460F" w:rsidRPr="0060421C" w:rsidRDefault="0038460F" w:rsidP="00F16E23">
            <w:pPr>
              <w:pStyle w:val="TableText"/>
              <w:spacing w:before="40" w:after="40"/>
              <w:rPr>
                <w:rFonts w:cs="Calibri"/>
              </w:rPr>
            </w:pPr>
            <w:r w:rsidRPr="78E2250F">
              <w:rPr>
                <w:rFonts w:cs="Calibri"/>
                <w:color w:val="000000" w:themeColor="text1"/>
              </w:rPr>
              <w:t>T1</w:t>
            </w:r>
          </w:p>
        </w:tc>
      </w:tr>
      <w:tr w:rsidR="0038460F" w:rsidRPr="0060421C" w14:paraId="417BDF48" w14:textId="77777777" w:rsidTr="00F16E23">
        <w:tc>
          <w:tcPr>
            <w:tcW w:w="1093" w:type="dxa"/>
            <w:noWrap/>
          </w:tcPr>
          <w:p w14:paraId="5865E829" w14:textId="77777777" w:rsidR="0038460F" w:rsidRPr="0060421C" w:rsidRDefault="0038460F" w:rsidP="00F16E23">
            <w:pPr>
              <w:pStyle w:val="TableText"/>
              <w:spacing w:before="40" w:after="40"/>
              <w:rPr>
                <w:rFonts w:cs="Calibri"/>
              </w:rPr>
            </w:pPr>
            <w:r w:rsidRPr="78E2250F">
              <w:rPr>
                <w:rFonts w:cs="Calibri"/>
                <w:color w:val="000000" w:themeColor="text1"/>
              </w:rPr>
              <w:t>1.A.2.c.</w:t>
            </w:r>
          </w:p>
        </w:tc>
        <w:tc>
          <w:tcPr>
            <w:tcW w:w="5783" w:type="dxa"/>
            <w:noWrap/>
          </w:tcPr>
          <w:p w14:paraId="58884190" w14:textId="77777777" w:rsidR="0038460F" w:rsidRPr="0060421C" w:rsidRDefault="0038460F" w:rsidP="00F16E23">
            <w:pPr>
              <w:pStyle w:val="TableText"/>
              <w:spacing w:before="40" w:after="40"/>
              <w:rPr>
                <w:rFonts w:cs="Calibri"/>
              </w:rPr>
            </w:pPr>
            <w:r w:rsidRPr="78E2250F">
              <w:rPr>
                <w:rFonts w:cs="Calibri"/>
                <w:color w:val="000000" w:themeColor="text1"/>
              </w:rPr>
              <w:t>Manufacturing industries and construction – Chemicals – Gaseous fuels</w:t>
            </w:r>
          </w:p>
        </w:tc>
        <w:tc>
          <w:tcPr>
            <w:tcW w:w="547" w:type="dxa"/>
            <w:noWrap/>
          </w:tcPr>
          <w:p w14:paraId="7E4814E4"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2E565807" w14:textId="77777777" w:rsidR="0038460F" w:rsidRPr="0060421C" w:rsidRDefault="0038460F" w:rsidP="00F16E23">
            <w:pPr>
              <w:pStyle w:val="TableText"/>
              <w:spacing w:before="40" w:after="40"/>
              <w:rPr>
                <w:rFonts w:cs="Calibri"/>
              </w:rPr>
            </w:pPr>
            <w:r w:rsidRPr="78E2250F">
              <w:rPr>
                <w:rFonts w:cs="Calibri"/>
                <w:color w:val="000000" w:themeColor="text1"/>
              </w:rPr>
              <w:t>L1, T1</w:t>
            </w:r>
          </w:p>
        </w:tc>
      </w:tr>
      <w:tr w:rsidR="0038460F" w:rsidRPr="0060421C" w14:paraId="61BFF0AF" w14:textId="77777777" w:rsidTr="00F16E23">
        <w:tc>
          <w:tcPr>
            <w:tcW w:w="1093" w:type="dxa"/>
            <w:noWrap/>
          </w:tcPr>
          <w:p w14:paraId="4831A5B9" w14:textId="77777777" w:rsidR="0038460F" w:rsidRPr="0060421C" w:rsidRDefault="0038460F" w:rsidP="00F16E23">
            <w:pPr>
              <w:pStyle w:val="TableText"/>
              <w:spacing w:before="40" w:after="40"/>
              <w:rPr>
                <w:rFonts w:cs="Calibri"/>
              </w:rPr>
            </w:pPr>
            <w:r w:rsidRPr="78E2250F">
              <w:rPr>
                <w:rFonts w:cs="Calibri"/>
                <w:color w:val="000000" w:themeColor="text1"/>
              </w:rPr>
              <w:t>1.A.2.d.</w:t>
            </w:r>
          </w:p>
        </w:tc>
        <w:tc>
          <w:tcPr>
            <w:tcW w:w="5783" w:type="dxa"/>
            <w:noWrap/>
          </w:tcPr>
          <w:p w14:paraId="33AF7882" w14:textId="77777777" w:rsidR="0038460F" w:rsidRPr="0060421C" w:rsidRDefault="0038460F" w:rsidP="00F16E23">
            <w:pPr>
              <w:pStyle w:val="TableText"/>
              <w:spacing w:before="40" w:after="40"/>
              <w:rPr>
                <w:rFonts w:cs="Calibri"/>
              </w:rPr>
            </w:pPr>
            <w:r w:rsidRPr="78E2250F">
              <w:rPr>
                <w:rFonts w:cs="Calibri"/>
                <w:color w:val="000000" w:themeColor="text1"/>
              </w:rPr>
              <w:t>Manufacturing industries and construction – Pulp, paper and print – Gaseous fuels</w:t>
            </w:r>
          </w:p>
        </w:tc>
        <w:tc>
          <w:tcPr>
            <w:tcW w:w="547" w:type="dxa"/>
            <w:noWrap/>
          </w:tcPr>
          <w:p w14:paraId="6DAEE5F2"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69B86322" w14:textId="77777777" w:rsidR="0038460F" w:rsidRPr="0060421C" w:rsidRDefault="0038460F" w:rsidP="00F16E23">
            <w:pPr>
              <w:pStyle w:val="TableText"/>
              <w:spacing w:before="40" w:after="40"/>
              <w:rPr>
                <w:rFonts w:cs="Calibri"/>
              </w:rPr>
            </w:pPr>
            <w:r w:rsidRPr="78E2250F">
              <w:rPr>
                <w:rFonts w:cs="Calibri"/>
                <w:color w:val="000000" w:themeColor="text1"/>
              </w:rPr>
              <w:t>L1, T1</w:t>
            </w:r>
          </w:p>
        </w:tc>
      </w:tr>
      <w:tr w:rsidR="0038460F" w:rsidRPr="0060421C" w14:paraId="0386F617" w14:textId="77777777" w:rsidTr="00F16E23">
        <w:tc>
          <w:tcPr>
            <w:tcW w:w="1093" w:type="dxa"/>
            <w:noWrap/>
          </w:tcPr>
          <w:p w14:paraId="1B81418B" w14:textId="77777777" w:rsidR="0038460F" w:rsidRPr="0060421C" w:rsidRDefault="0038460F" w:rsidP="00F16E23">
            <w:pPr>
              <w:pStyle w:val="TableText"/>
              <w:spacing w:before="40" w:after="40"/>
              <w:rPr>
                <w:rFonts w:cs="Calibri"/>
              </w:rPr>
            </w:pPr>
            <w:r w:rsidRPr="78E2250F">
              <w:rPr>
                <w:rFonts w:cs="Calibri"/>
                <w:color w:val="000000" w:themeColor="text1"/>
              </w:rPr>
              <w:t>1.A.2.d.</w:t>
            </w:r>
          </w:p>
        </w:tc>
        <w:tc>
          <w:tcPr>
            <w:tcW w:w="5783" w:type="dxa"/>
            <w:noWrap/>
          </w:tcPr>
          <w:p w14:paraId="48BC2E6A" w14:textId="77777777" w:rsidR="0038460F" w:rsidRPr="0060421C" w:rsidRDefault="0038460F" w:rsidP="00F16E23">
            <w:pPr>
              <w:pStyle w:val="TableText"/>
              <w:spacing w:before="40" w:after="40"/>
              <w:rPr>
                <w:rFonts w:cs="Calibri"/>
              </w:rPr>
            </w:pPr>
            <w:r w:rsidRPr="78E2250F">
              <w:rPr>
                <w:rFonts w:cs="Calibri"/>
                <w:color w:val="000000" w:themeColor="text1"/>
              </w:rPr>
              <w:t>Manufacturing industries and construction – Pulp, paper and print – Solid fuels</w:t>
            </w:r>
          </w:p>
        </w:tc>
        <w:tc>
          <w:tcPr>
            <w:tcW w:w="547" w:type="dxa"/>
            <w:noWrap/>
          </w:tcPr>
          <w:p w14:paraId="764D65D5"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1248879B" w14:textId="77777777" w:rsidR="0038460F" w:rsidRPr="0060421C" w:rsidRDefault="0038460F" w:rsidP="00F16E23">
            <w:pPr>
              <w:pStyle w:val="TableText"/>
              <w:spacing w:before="40" w:after="40"/>
              <w:rPr>
                <w:rFonts w:cs="Calibri"/>
              </w:rPr>
            </w:pPr>
            <w:r w:rsidRPr="78E2250F">
              <w:rPr>
                <w:rFonts w:cs="Calibri"/>
                <w:color w:val="000000" w:themeColor="text1"/>
              </w:rPr>
              <w:t>T1</w:t>
            </w:r>
          </w:p>
        </w:tc>
      </w:tr>
      <w:tr w:rsidR="0038460F" w:rsidRPr="0060421C" w14:paraId="2186E459" w14:textId="77777777" w:rsidTr="00F16E23">
        <w:tc>
          <w:tcPr>
            <w:tcW w:w="1093" w:type="dxa"/>
            <w:noWrap/>
          </w:tcPr>
          <w:p w14:paraId="6B9B8D58" w14:textId="77777777" w:rsidR="0038460F" w:rsidRPr="0060421C" w:rsidRDefault="0038460F" w:rsidP="00F16E23">
            <w:pPr>
              <w:pStyle w:val="TableText"/>
              <w:spacing w:before="40" w:after="40"/>
              <w:rPr>
                <w:rFonts w:cs="Calibri"/>
              </w:rPr>
            </w:pPr>
            <w:r w:rsidRPr="78E2250F">
              <w:rPr>
                <w:rFonts w:cs="Calibri"/>
                <w:color w:val="000000" w:themeColor="text1"/>
              </w:rPr>
              <w:t>1.A.2.e.</w:t>
            </w:r>
          </w:p>
        </w:tc>
        <w:tc>
          <w:tcPr>
            <w:tcW w:w="5783" w:type="dxa"/>
            <w:noWrap/>
          </w:tcPr>
          <w:p w14:paraId="498A63A0" w14:textId="77777777" w:rsidR="0038460F" w:rsidRPr="0060421C" w:rsidRDefault="0038460F" w:rsidP="00F16E23">
            <w:pPr>
              <w:pStyle w:val="TableText"/>
              <w:spacing w:before="40" w:after="40"/>
              <w:rPr>
                <w:rFonts w:cs="Calibri"/>
              </w:rPr>
            </w:pPr>
            <w:r w:rsidRPr="78E2250F">
              <w:rPr>
                <w:rFonts w:cs="Calibri"/>
                <w:color w:val="000000" w:themeColor="text1"/>
              </w:rPr>
              <w:t>Manufacturing industries and construction – Food processing, beverages and tobacco – Solid fuels</w:t>
            </w:r>
          </w:p>
        </w:tc>
        <w:tc>
          <w:tcPr>
            <w:tcW w:w="547" w:type="dxa"/>
            <w:noWrap/>
          </w:tcPr>
          <w:p w14:paraId="5D1CD84D"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36A2E062" w14:textId="77777777" w:rsidR="0038460F" w:rsidRPr="0060421C" w:rsidRDefault="0038460F" w:rsidP="00F16E23">
            <w:pPr>
              <w:pStyle w:val="TableText"/>
              <w:spacing w:before="40" w:after="40"/>
              <w:rPr>
                <w:rFonts w:cs="Calibri"/>
              </w:rPr>
            </w:pPr>
            <w:r w:rsidRPr="78E2250F">
              <w:rPr>
                <w:rFonts w:cs="Calibri"/>
                <w:color w:val="000000" w:themeColor="text1"/>
              </w:rPr>
              <w:t>L1</w:t>
            </w:r>
          </w:p>
        </w:tc>
      </w:tr>
      <w:tr w:rsidR="0038460F" w:rsidRPr="0060421C" w14:paraId="1B5548FC" w14:textId="77777777" w:rsidTr="00F16E23">
        <w:tc>
          <w:tcPr>
            <w:tcW w:w="1093" w:type="dxa"/>
            <w:noWrap/>
          </w:tcPr>
          <w:p w14:paraId="4EF2EE84" w14:textId="77777777" w:rsidR="0038460F" w:rsidRPr="0060421C" w:rsidRDefault="0038460F" w:rsidP="00F16E23">
            <w:pPr>
              <w:pStyle w:val="TableText"/>
              <w:spacing w:before="40" w:after="40"/>
              <w:rPr>
                <w:rFonts w:cs="Calibri"/>
              </w:rPr>
            </w:pPr>
            <w:r w:rsidRPr="78E2250F">
              <w:rPr>
                <w:rFonts w:cs="Calibri"/>
                <w:color w:val="000000" w:themeColor="text1"/>
              </w:rPr>
              <w:t>1.A.2.e.</w:t>
            </w:r>
          </w:p>
        </w:tc>
        <w:tc>
          <w:tcPr>
            <w:tcW w:w="5783" w:type="dxa"/>
            <w:noWrap/>
          </w:tcPr>
          <w:p w14:paraId="58B52308" w14:textId="77777777" w:rsidR="0038460F" w:rsidRPr="0060421C" w:rsidRDefault="0038460F" w:rsidP="00F16E23">
            <w:pPr>
              <w:pStyle w:val="TableText"/>
              <w:spacing w:before="40" w:after="40"/>
              <w:rPr>
                <w:rFonts w:cs="Calibri"/>
              </w:rPr>
            </w:pPr>
            <w:r w:rsidRPr="78E2250F">
              <w:rPr>
                <w:rFonts w:cs="Calibri"/>
                <w:color w:val="000000" w:themeColor="text1"/>
              </w:rPr>
              <w:t>Manufacturing industries and construction – Food processing, beverages and tobacco – Gaseous fuels</w:t>
            </w:r>
          </w:p>
        </w:tc>
        <w:tc>
          <w:tcPr>
            <w:tcW w:w="547" w:type="dxa"/>
            <w:noWrap/>
          </w:tcPr>
          <w:p w14:paraId="380DC505"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034C25DD" w14:textId="77777777" w:rsidR="0038460F" w:rsidRPr="0060421C" w:rsidRDefault="0038460F" w:rsidP="00F16E23">
            <w:pPr>
              <w:pStyle w:val="TableText"/>
              <w:spacing w:before="40" w:after="40"/>
              <w:rPr>
                <w:rFonts w:cs="Calibri"/>
              </w:rPr>
            </w:pPr>
            <w:r w:rsidRPr="78E2250F">
              <w:rPr>
                <w:rFonts w:cs="Calibri"/>
                <w:color w:val="000000" w:themeColor="text1"/>
              </w:rPr>
              <w:t>L1, T1</w:t>
            </w:r>
          </w:p>
        </w:tc>
      </w:tr>
      <w:tr w:rsidR="0038460F" w:rsidRPr="0060421C" w14:paraId="1987D705" w14:textId="77777777" w:rsidTr="00F16E23">
        <w:tc>
          <w:tcPr>
            <w:tcW w:w="1093" w:type="dxa"/>
            <w:noWrap/>
          </w:tcPr>
          <w:p w14:paraId="31DD99C8" w14:textId="77777777" w:rsidR="0038460F" w:rsidRPr="0060421C" w:rsidRDefault="0038460F" w:rsidP="00F16E23">
            <w:pPr>
              <w:pStyle w:val="TableText"/>
              <w:spacing w:before="40" w:after="40"/>
              <w:rPr>
                <w:rFonts w:cs="Calibri"/>
              </w:rPr>
            </w:pPr>
            <w:r w:rsidRPr="78E2250F">
              <w:rPr>
                <w:rFonts w:cs="Calibri"/>
                <w:color w:val="000000" w:themeColor="text1"/>
              </w:rPr>
              <w:t>1.A.2.e.</w:t>
            </w:r>
          </w:p>
        </w:tc>
        <w:tc>
          <w:tcPr>
            <w:tcW w:w="5783" w:type="dxa"/>
            <w:noWrap/>
          </w:tcPr>
          <w:p w14:paraId="1D615AE9" w14:textId="77777777" w:rsidR="0038460F" w:rsidRPr="0060421C" w:rsidRDefault="0038460F" w:rsidP="00F16E23">
            <w:pPr>
              <w:pStyle w:val="TableText"/>
              <w:spacing w:before="40" w:after="40"/>
              <w:rPr>
                <w:rFonts w:cs="Calibri"/>
              </w:rPr>
            </w:pPr>
            <w:r w:rsidRPr="78E2250F">
              <w:rPr>
                <w:rFonts w:cs="Calibri"/>
                <w:color w:val="000000" w:themeColor="text1"/>
              </w:rPr>
              <w:t>Manufacturing industries and construction – Food processing, beverages and tobacco – Liquid fuels</w:t>
            </w:r>
          </w:p>
        </w:tc>
        <w:tc>
          <w:tcPr>
            <w:tcW w:w="547" w:type="dxa"/>
            <w:noWrap/>
          </w:tcPr>
          <w:p w14:paraId="3AE95A89"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254314F6" w14:textId="77777777" w:rsidR="0038460F" w:rsidRPr="0060421C" w:rsidRDefault="0038460F" w:rsidP="00F16E23">
            <w:pPr>
              <w:pStyle w:val="TableText"/>
              <w:spacing w:before="40" w:after="40"/>
              <w:rPr>
                <w:rFonts w:cs="Calibri"/>
              </w:rPr>
            </w:pPr>
            <w:r w:rsidRPr="78E2250F">
              <w:rPr>
                <w:rFonts w:cs="Calibri"/>
                <w:color w:val="000000" w:themeColor="text1"/>
              </w:rPr>
              <w:t>L1</w:t>
            </w:r>
          </w:p>
        </w:tc>
      </w:tr>
      <w:tr w:rsidR="0038460F" w:rsidRPr="0060421C" w14:paraId="76D03542" w14:textId="77777777" w:rsidTr="00F16E23">
        <w:tc>
          <w:tcPr>
            <w:tcW w:w="1093" w:type="dxa"/>
            <w:noWrap/>
          </w:tcPr>
          <w:p w14:paraId="0B509065" w14:textId="77777777" w:rsidR="0038460F" w:rsidRPr="0060421C" w:rsidRDefault="0038460F" w:rsidP="00F16E23">
            <w:pPr>
              <w:pStyle w:val="TableText"/>
              <w:spacing w:before="40" w:after="40"/>
              <w:rPr>
                <w:rFonts w:cs="Calibri"/>
              </w:rPr>
            </w:pPr>
            <w:r w:rsidRPr="78E2250F">
              <w:rPr>
                <w:rFonts w:cs="Calibri"/>
                <w:color w:val="000000" w:themeColor="text1"/>
              </w:rPr>
              <w:t>1.A.2.f.</w:t>
            </w:r>
          </w:p>
        </w:tc>
        <w:tc>
          <w:tcPr>
            <w:tcW w:w="5783" w:type="dxa"/>
            <w:noWrap/>
          </w:tcPr>
          <w:p w14:paraId="2CC0214C" w14:textId="77777777" w:rsidR="0038460F" w:rsidRPr="0060421C" w:rsidRDefault="0038460F" w:rsidP="00F16E23">
            <w:pPr>
              <w:pStyle w:val="TableText"/>
              <w:spacing w:before="40" w:after="40"/>
              <w:rPr>
                <w:rFonts w:cs="Calibri"/>
              </w:rPr>
            </w:pPr>
            <w:r w:rsidRPr="78E2250F">
              <w:rPr>
                <w:rFonts w:cs="Calibri"/>
                <w:color w:val="000000" w:themeColor="text1"/>
              </w:rPr>
              <w:t>Manufacturing industries and construction – Non-metallic minerals – Solid fuels</w:t>
            </w:r>
          </w:p>
        </w:tc>
        <w:tc>
          <w:tcPr>
            <w:tcW w:w="547" w:type="dxa"/>
            <w:noWrap/>
          </w:tcPr>
          <w:p w14:paraId="61CA39B3"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261460BF" w14:textId="77777777" w:rsidR="0038460F" w:rsidRPr="0060421C" w:rsidRDefault="0038460F" w:rsidP="00F16E23">
            <w:pPr>
              <w:pStyle w:val="TableText"/>
              <w:spacing w:before="40" w:after="40"/>
              <w:rPr>
                <w:rFonts w:cs="Calibri"/>
              </w:rPr>
            </w:pPr>
            <w:r w:rsidRPr="78E2250F">
              <w:rPr>
                <w:rFonts w:cs="Calibri"/>
                <w:color w:val="000000" w:themeColor="text1"/>
              </w:rPr>
              <w:t>L1, T1</w:t>
            </w:r>
          </w:p>
        </w:tc>
      </w:tr>
      <w:tr w:rsidR="0038460F" w:rsidRPr="0060421C" w14:paraId="040C5505" w14:textId="77777777" w:rsidTr="00F16E23">
        <w:tc>
          <w:tcPr>
            <w:tcW w:w="1093" w:type="dxa"/>
            <w:noWrap/>
          </w:tcPr>
          <w:p w14:paraId="2C9815D2" w14:textId="77777777" w:rsidR="0038460F" w:rsidRPr="0060421C" w:rsidRDefault="0038460F" w:rsidP="00F16E23">
            <w:pPr>
              <w:pStyle w:val="TableText"/>
              <w:spacing w:before="40" w:after="40"/>
              <w:rPr>
                <w:rFonts w:cs="Calibri"/>
                <w:szCs w:val="16"/>
              </w:rPr>
            </w:pPr>
            <w:r w:rsidRPr="0060421C">
              <w:rPr>
                <w:rFonts w:cs="Calibri"/>
                <w:color w:val="000000"/>
                <w:szCs w:val="16"/>
              </w:rPr>
              <w:t>1.A.2.g.iii.</w:t>
            </w:r>
          </w:p>
        </w:tc>
        <w:tc>
          <w:tcPr>
            <w:tcW w:w="5783" w:type="dxa"/>
            <w:noWrap/>
          </w:tcPr>
          <w:p w14:paraId="6189E20B" w14:textId="77777777" w:rsidR="0038460F" w:rsidRPr="0060421C" w:rsidRDefault="0038460F" w:rsidP="00F16E23">
            <w:pPr>
              <w:pStyle w:val="TableText"/>
              <w:spacing w:before="40" w:after="40"/>
              <w:rPr>
                <w:rFonts w:cs="Calibri"/>
              </w:rPr>
            </w:pPr>
            <w:r w:rsidRPr="0060421C">
              <w:rPr>
                <w:rFonts w:cs="Calibri"/>
                <w:color w:val="000000" w:themeColor="text1"/>
              </w:rPr>
              <w:t>Other – Mining (excluding fuels) and quarrying – Liquid fuels</w:t>
            </w:r>
          </w:p>
        </w:tc>
        <w:tc>
          <w:tcPr>
            <w:tcW w:w="547" w:type="dxa"/>
            <w:noWrap/>
          </w:tcPr>
          <w:p w14:paraId="01B1A827"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178C7FB7"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708F208D" w14:textId="77777777" w:rsidTr="00F16E23">
        <w:tc>
          <w:tcPr>
            <w:tcW w:w="1093" w:type="dxa"/>
            <w:noWrap/>
          </w:tcPr>
          <w:p w14:paraId="68265A82" w14:textId="77777777" w:rsidR="0038460F" w:rsidRPr="0060421C" w:rsidRDefault="0038460F" w:rsidP="00F16E23">
            <w:pPr>
              <w:pStyle w:val="TableText"/>
              <w:spacing w:before="40" w:after="40"/>
              <w:rPr>
                <w:rFonts w:cs="Calibri"/>
                <w:szCs w:val="16"/>
              </w:rPr>
            </w:pPr>
            <w:r w:rsidRPr="0060421C">
              <w:rPr>
                <w:rFonts w:cs="Calibri"/>
                <w:color w:val="000000"/>
                <w:szCs w:val="16"/>
              </w:rPr>
              <w:t>1.A.2.g.v.</w:t>
            </w:r>
          </w:p>
        </w:tc>
        <w:tc>
          <w:tcPr>
            <w:tcW w:w="5783" w:type="dxa"/>
            <w:noWrap/>
          </w:tcPr>
          <w:p w14:paraId="226B2830" w14:textId="77777777" w:rsidR="0038460F" w:rsidRPr="0060421C" w:rsidRDefault="0038460F" w:rsidP="00F16E23">
            <w:pPr>
              <w:pStyle w:val="TableText"/>
              <w:spacing w:before="40" w:after="40"/>
              <w:rPr>
                <w:rFonts w:cs="Calibri"/>
              </w:rPr>
            </w:pPr>
            <w:r w:rsidRPr="0060421C">
              <w:rPr>
                <w:rFonts w:cs="Calibri"/>
                <w:color w:val="000000" w:themeColor="text1"/>
              </w:rPr>
              <w:t>Other – Construction – Liquid fuels</w:t>
            </w:r>
          </w:p>
        </w:tc>
        <w:tc>
          <w:tcPr>
            <w:tcW w:w="547" w:type="dxa"/>
            <w:noWrap/>
          </w:tcPr>
          <w:p w14:paraId="03F16FB1"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605679E5"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78EAA0F5" w14:textId="77777777" w:rsidTr="00F16E23">
        <w:tc>
          <w:tcPr>
            <w:tcW w:w="1093" w:type="dxa"/>
            <w:noWrap/>
          </w:tcPr>
          <w:p w14:paraId="3DE0C3AC" w14:textId="77777777" w:rsidR="0038460F" w:rsidRPr="0060421C" w:rsidRDefault="0038460F" w:rsidP="00F16E23">
            <w:pPr>
              <w:pStyle w:val="TableText"/>
              <w:spacing w:before="40" w:after="40"/>
              <w:rPr>
                <w:rFonts w:cs="Calibri"/>
                <w:szCs w:val="16"/>
              </w:rPr>
            </w:pPr>
            <w:r w:rsidRPr="0060421C">
              <w:rPr>
                <w:rFonts w:cs="Calibri"/>
                <w:color w:val="000000"/>
                <w:szCs w:val="16"/>
              </w:rPr>
              <w:t>1.A.2.g.viii.</w:t>
            </w:r>
          </w:p>
        </w:tc>
        <w:tc>
          <w:tcPr>
            <w:tcW w:w="5783" w:type="dxa"/>
            <w:noWrap/>
          </w:tcPr>
          <w:p w14:paraId="72BF8076" w14:textId="77777777" w:rsidR="0038460F" w:rsidRPr="0060421C" w:rsidRDefault="0038460F" w:rsidP="00F16E23">
            <w:pPr>
              <w:pStyle w:val="TableText"/>
              <w:spacing w:before="40" w:after="40"/>
              <w:rPr>
                <w:rFonts w:cs="Calibri"/>
              </w:rPr>
            </w:pPr>
            <w:r w:rsidRPr="0060421C">
              <w:rPr>
                <w:rFonts w:cs="Calibri"/>
                <w:color w:val="000000" w:themeColor="text1"/>
              </w:rPr>
              <w:t>Other – Other (please specify) – Liquid fuels</w:t>
            </w:r>
          </w:p>
        </w:tc>
        <w:tc>
          <w:tcPr>
            <w:tcW w:w="547" w:type="dxa"/>
            <w:noWrap/>
          </w:tcPr>
          <w:p w14:paraId="37B02D0C"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7CBCFAB3"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5AD159E6" w14:textId="77777777" w:rsidTr="00F16E23">
        <w:tc>
          <w:tcPr>
            <w:tcW w:w="1093" w:type="dxa"/>
            <w:noWrap/>
          </w:tcPr>
          <w:p w14:paraId="5C2DC1A0" w14:textId="77777777" w:rsidR="0038460F" w:rsidRPr="0060421C" w:rsidRDefault="0038460F" w:rsidP="00F16E23">
            <w:pPr>
              <w:pStyle w:val="TableText"/>
              <w:spacing w:before="40" w:after="40"/>
              <w:rPr>
                <w:rFonts w:cs="Calibri"/>
                <w:szCs w:val="16"/>
              </w:rPr>
            </w:pPr>
            <w:r w:rsidRPr="0060421C">
              <w:rPr>
                <w:rFonts w:cs="Calibri"/>
                <w:color w:val="000000"/>
                <w:szCs w:val="16"/>
              </w:rPr>
              <w:t>1.A.2.g.viii.</w:t>
            </w:r>
          </w:p>
        </w:tc>
        <w:tc>
          <w:tcPr>
            <w:tcW w:w="5783" w:type="dxa"/>
            <w:noWrap/>
          </w:tcPr>
          <w:p w14:paraId="626A033F" w14:textId="77777777" w:rsidR="0038460F" w:rsidRPr="0060421C" w:rsidRDefault="0038460F" w:rsidP="00F16E23">
            <w:pPr>
              <w:pStyle w:val="TableText"/>
              <w:spacing w:before="40" w:after="40"/>
              <w:rPr>
                <w:rFonts w:cs="Calibri"/>
              </w:rPr>
            </w:pPr>
            <w:r w:rsidRPr="0060421C">
              <w:rPr>
                <w:rFonts w:cs="Calibri"/>
                <w:color w:val="000000" w:themeColor="text1"/>
              </w:rPr>
              <w:t>Other – Other (please specify) – Solid fuels</w:t>
            </w:r>
          </w:p>
        </w:tc>
        <w:tc>
          <w:tcPr>
            <w:tcW w:w="547" w:type="dxa"/>
            <w:noWrap/>
          </w:tcPr>
          <w:p w14:paraId="180B65D9"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084F0722"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1D65BE70" w14:textId="77777777" w:rsidTr="00F16E23">
        <w:tc>
          <w:tcPr>
            <w:tcW w:w="1093" w:type="dxa"/>
            <w:noWrap/>
          </w:tcPr>
          <w:p w14:paraId="2C72AF63" w14:textId="77777777" w:rsidR="0038460F" w:rsidRPr="0060421C" w:rsidRDefault="0038460F" w:rsidP="00F16E23">
            <w:pPr>
              <w:pStyle w:val="TableText"/>
              <w:spacing w:before="40" w:after="40"/>
              <w:rPr>
                <w:rFonts w:cs="Calibri"/>
                <w:szCs w:val="16"/>
              </w:rPr>
            </w:pPr>
            <w:r w:rsidRPr="0060421C">
              <w:rPr>
                <w:rFonts w:cs="Calibri"/>
                <w:color w:val="000000"/>
                <w:szCs w:val="16"/>
              </w:rPr>
              <w:t>1.A.3.a.</w:t>
            </w:r>
          </w:p>
        </w:tc>
        <w:tc>
          <w:tcPr>
            <w:tcW w:w="5783" w:type="dxa"/>
            <w:noWrap/>
          </w:tcPr>
          <w:p w14:paraId="46BF32D8" w14:textId="77777777" w:rsidR="0038460F" w:rsidRPr="0060421C" w:rsidRDefault="0038460F" w:rsidP="00F16E23">
            <w:pPr>
              <w:pStyle w:val="TableText"/>
              <w:spacing w:before="40" w:after="40"/>
              <w:rPr>
                <w:rFonts w:cs="Calibri"/>
                <w:szCs w:val="16"/>
              </w:rPr>
            </w:pPr>
            <w:r w:rsidRPr="0060421C">
              <w:rPr>
                <w:rFonts w:cs="Calibri"/>
                <w:color w:val="000000"/>
                <w:szCs w:val="16"/>
              </w:rPr>
              <w:t>Domestic aviation – Jet kerosene</w:t>
            </w:r>
          </w:p>
        </w:tc>
        <w:tc>
          <w:tcPr>
            <w:tcW w:w="547" w:type="dxa"/>
            <w:noWrap/>
          </w:tcPr>
          <w:p w14:paraId="300E660E"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336DFBE8"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3304651E" w14:textId="77777777" w:rsidTr="00F16E23">
        <w:tc>
          <w:tcPr>
            <w:tcW w:w="1093" w:type="dxa"/>
            <w:noWrap/>
          </w:tcPr>
          <w:p w14:paraId="63478948" w14:textId="77777777" w:rsidR="0038460F" w:rsidRPr="0060421C" w:rsidRDefault="0038460F" w:rsidP="00F16E23">
            <w:pPr>
              <w:pStyle w:val="TableText"/>
              <w:spacing w:before="40" w:after="40"/>
              <w:rPr>
                <w:rFonts w:cs="Calibri"/>
                <w:szCs w:val="16"/>
              </w:rPr>
            </w:pPr>
            <w:r w:rsidRPr="0060421C">
              <w:rPr>
                <w:rFonts w:cs="Calibri"/>
                <w:color w:val="000000"/>
                <w:szCs w:val="16"/>
              </w:rPr>
              <w:t>1.A.3.b.</w:t>
            </w:r>
          </w:p>
        </w:tc>
        <w:tc>
          <w:tcPr>
            <w:tcW w:w="5783" w:type="dxa"/>
            <w:noWrap/>
          </w:tcPr>
          <w:p w14:paraId="4A6A6AA5" w14:textId="77777777" w:rsidR="0038460F" w:rsidRPr="0060421C" w:rsidRDefault="0038460F" w:rsidP="00F16E23">
            <w:pPr>
              <w:pStyle w:val="TableText"/>
              <w:spacing w:before="40" w:after="40"/>
              <w:rPr>
                <w:rFonts w:cs="Calibri"/>
              </w:rPr>
            </w:pPr>
            <w:r w:rsidRPr="0060421C">
              <w:rPr>
                <w:rFonts w:cs="Calibri"/>
                <w:color w:val="000000" w:themeColor="text1"/>
              </w:rPr>
              <w:t>Transport – Road transportation – Liquid fuels</w:t>
            </w:r>
          </w:p>
        </w:tc>
        <w:tc>
          <w:tcPr>
            <w:tcW w:w="547" w:type="dxa"/>
            <w:noWrap/>
          </w:tcPr>
          <w:p w14:paraId="6F8A0D76"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1E3359B0"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4596F741" w14:textId="77777777" w:rsidTr="00F16E23">
        <w:tc>
          <w:tcPr>
            <w:tcW w:w="1093" w:type="dxa"/>
            <w:noWrap/>
          </w:tcPr>
          <w:p w14:paraId="4AA801DF" w14:textId="77777777" w:rsidR="0038460F" w:rsidRPr="0060421C" w:rsidRDefault="0038460F" w:rsidP="00F16E23">
            <w:pPr>
              <w:pStyle w:val="TableText"/>
              <w:spacing w:before="40" w:after="40"/>
              <w:rPr>
                <w:rFonts w:cs="Calibri"/>
                <w:szCs w:val="16"/>
              </w:rPr>
            </w:pPr>
            <w:r w:rsidRPr="0060421C">
              <w:rPr>
                <w:rFonts w:cs="Calibri"/>
                <w:color w:val="000000"/>
                <w:szCs w:val="16"/>
              </w:rPr>
              <w:t>1.A.3.b.</w:t>
            </w:r>
          </w:p>
        </w:tc>
        <w:tc>
          <w:tcPr>
            <w:tcW w:w="5783" w:type="dxa"/>
            <w:noWrap/>
          </w:tcPr>
          <w:p w14:paraId="2A5C96EA" w14:textId="77777777" w:rsidR="0038460F" w:rsidRPr="0060421C" w:rsidRDefault="0038460F" w:rsidP="00F16E23">
            <w:pPr>
              <w:pStyle w:val="TableText"/>
              <w:spacing w:before="40" w:after="40"/>
              <w:rPr>
                <w:rFonts w:cs="Calibri"/>
              </w:rPr>
            </w:pPr>
            <w:r w:rsidRPr="0060421C">
              <w:rPr>
                <w:rFonts w:cs="Calibri"/>
                <w:color w:val="000000" w:themeColor="text1"/>
              </w:rPr>
              <w:t>Transport – Road transportation – Gaseous fuels</w:t>
            </w:r>
          </w:p>
        </w:tc>
        <w:tc>
          <w:tcPr>
            <w:tcW w:w="547" w:type="dxa"/>
            <w:noWrap/>
          </w:tcPr>
          <w:p w14:paraId="3D164CC0"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1B8B2F01"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00AB700C" w14:textId="77777777" w:rsidTr="00F16E23">
        <w:tc>
          <w:tcPr>
            <w:tcW w:w="1093" w:type="dxa"/>
            <w:noWrap/>
          </w:tcPr>
          <w:p w14:paraId="4B9853CD" w14:textId="77777777" w:rsidR="0038460F" w:rsidRPr="0060421C" w:rsidRDefault="0038460F" w:rsidP="00F16E23">
            <w:pPr>
              <w:pStyle w:val="TableText"/>
              <w:spacing w:before="40" w:after="40"/>
              <w:rPr>
                <w:rFonts w:cs="Calibri"/>
                <w:szCs w:val="16"/>
              </w:rPr>
            </w:pPr>
            <w:r w:rsidRPr="0060421C">
              <w:rPr>
                <w:rFonts w:cs="Calibri"/>
                <w:color w:val="000000"/>
                <w:szCs w:val="16"/>
              </w:rPr>
              <w:t>1.A.3.d.</w:t>
            </w:r>
          </w:p>
        </w:tc>
        <w:tc>
          <w:tcPr>
            <w:tcW w:w="5783" w:type="dxa"/>
            <w:noWrap/>
          </w:tcPr>
          <w:p w14:paraId="2DD3BB7C" w14:textId="77777777" w:rsidR="0038460F" w:rsidRPr="0060421C" w:rsidRDefault="0038460F" w:rsidP="00F16E23">
            <w:pPr>
              <w:pStyle w:val="TableText"/>
              <w:spacing w:before="40" w:after="40"/>
              <w:rPr>
                <w:rFonts w:cs="Calibri"/>
                <w:szCs w:val="16"/>
              </w:rPr>
            </w:pPr>
            <w:r w:rsidRPr="0060421C">
              <w:rPr>
                <w:rFonts w:cs="Calibri"/>
                <w:color w:val="000000"/>
                <w:szCs w:val="16"/>
              </w:rPr>
              <w:t>Domestic navigation – Residual fuel oil</w:t>
            </w:r>
          </w:p>
        </w:tc>
        <w:tc>
          <w:tcPr>
            <w:tcW w:w="547" w:type="dxa"/>
            <w:noWrap/>
          </w:tcPr>
          <w:p w14:paraId="2ECC5FFC"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718B1B83"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3299F884" w14:textId="77777777" w:rsidTr="00F16E23">
        <w:tc>
          <w:tcPr>
            <w:tcW w:w="1093" w:type="dxa"/>
            <w:noWrap/>
          </w:tcPr>
          <w:p w14:paraId="4BF62EC9" w14:textId="77777777" w:rsidR="0038460F" w:rsidRPr="0060421C" w:rsidRDefault="0038460F" w:rsidP="00F16E23">
            <w:pPr>
              <w:pStyle w:val="TableText"/>
              <w:spacing w:before="40" w:after="40"/>
              <w:rPr>
                <w:rFonts w:cs="Calibri"/>
                <w:szCs w:val="16"/>
              </w:rPr>
            </w:pPr>
            <w:r w:rsidRPr="0060421C">
              <w:rPr>
                <w:rFonts w:cs="Calibri"/>
                <w:color w:val="000000"/>
                <w:szCs w:val="16"/>
              </w:rPr>
              <w:t>1.A.4.a.</w:t>
            </w:r>
          </w:p>
        </w:tc>
        <w:tc>
          <w:tcPr>
            <w:tcW w:w="5783" w:type="dxa"/>
            <w:noWrap/>
          </w:tcPr>
          <w:p w14:paraId="3E6DB83A" w14:textId="77777777" w:rsidR="0038460F" w:rsidRPr="0060421C" w:rsidRDefault="0038460F" w:rsidP="00F16E23">
            <w:pPr>
              <w:pStyle w:val="TableText"/>
              <w:spacing w:before="40" w:after="40"/>
              <w:rPr>
                <w:rFonts w:cs="Calibri"/>
              </w:rPr>
            </w:pPr>
            <w:r w:rsidRPr="0060421C">
              <w:rPr>
                <w:rFonts w:cs="Calibri"/>
                <w:color w:val="000000" w:themeColor="text1"/>
              </w:rPr>
              <w:t>Other sectors – Commercial/institutional – Liquid fuels</w:t>
            </w:r>
          </w:p>
        </w:tc>
        <w:tc>
          <w:tcPr>
            <w:tcW w:w="547" w:type="dxa"/>
            <w:noWrap/>
          </w:tcPr>
          <w:p w14:paraId="12415AE5"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7048C427"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7A07997B" w14:textId="77777777" w:rsidTr="00F16E23">
        <w:tc>
          <w:tcPr>
            <w:tcW w:w="1093" w:type="dxa"/>
            <w:noWrap/>
          </w:tcPr>
          <w:p w14:paraId="57DFAC9B" w14:textId="77777777" w:rsidR="0038460F" w:rsidRPr="0060421C" w:rsidRDefault="0038460F" w:rsidP="00F16E23">
            <w:pPr>
              <w:pStyle w:val="TableText"/>
              <w:spacing w:before="40" w:after="40"/>
              <w:rPr>
                <w:rFonts w:cs="Calibri"/>
                <w:szCs w:val="16"/>
              </w:rPr>
            </w:pPr>
            <w:r w:rsidRPr="0060421C">
              <w:rPr>
                <w:rFonts w:cs="Calibri"/>
                <w:color w:val="000000"/>
                <w:szCs w:val="16"/>
              </w:rPr>
              <w:t>1.A.4.a.</w:t>
            </w:r>
          </w:p>
        </w:tc>
        <w:tc>
          <w:tcPr>
            <w:tcW w:w="5783" w:type="dxa"/>
            <w:noWrap/>
          </w:tcPr>
          <w:p w14:paraId="3AED892E" w14:textId="77777777" w:rsidR="0038460F" w:rsidRPr="0060421C" w:rsidRDefault="0038460F" w:rsidP="00F16E23">
            <w:pPr>
              <w:pStyle w:val="TableText"/>
              <w:spacing w:before="40" w:after="40"/>
              <w:rPr>
                <w:rFonts w:cs="Calibri"/>
              </w:rPr>
            </w:pPr>
            <w:r w:rsidRPr="0060421C">
              <w:rPr>
                <w:rFonts w:cs="Calibri"/>
                <w:color w:val="000000" w:themeColor="text1"/>
              </w:rPr>
              <w:t>Other sectors – Commercial/institutional – Gaseous fuels</w:t>
            </w:r>
          </w:p>
        </w:tc>
        <w:tc>
          <w:tcPr>
            <w:tcW w:w="547" w:type="dxa"/>
            <w:noWrap/>
          </w:tcPr>
          <w:p w14:paraId="45B47F81"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388C50E1"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5321A188" w14:textId="77777777" w:rsidTr="00F16E23">
        <w:tc>
          <w:tcPr>
            <w:tcW w:w="1093" w:type="dxa"/>
            <w:noWrap/>
          </w:tcPr>
          <w:p w14:paraId="10980A68" w14:textId="77777777" w:rsidR="0038460F" w:rsidRPr="0060421C" w:rsidRDefault="0038460F" w:rsidP="00F16E23">
            <w:pPr>
              <w:pStyle w:val="TableText"/>
              <w:spacing w:before="40" w:after="40"/>
              <w:rPr>
                <w:rFonts w:cs="Calibri"/>
                <w:szCs w:val="16"/>
              </w:rPr>
            </w:pPr>
            <w:r w:rsidRPr="0060421C">
              <w:rPr>
                <w:rFonts w:cs="Calibri"/>
                <w:color w:val="000000"/>
                <w:szCs w:val="16"/>
              </w:rPr>
              <w:t>1.A.4.a.</w:t>
            </w:r>
          </w:p>
        </w:tc>
        <w:tc>
          <w:tcPr>
            <w:tcW w:w="5783" w:type="dxa"/>
            <w:noWrap/>
          </w:tcPr>
          <w:p w14:paraId="33D40209" w14:textId="77777777" w:rsidR="0038460F" w:rsidRPr="0060421C" w:rsidRDefault="0038460F" w:rsidP="00F16E23">
            <w:pPr>
              <w:pStyle w:val="TableText"/>
              <w:spacing w:before="40" w:after="40"/>
              <w:rPr>
                <w:rFonts w:cs="Calibri"/>
              </w:rPr>
            </w:pPr>
            <w:r w:rsidRPr="0060421C">
              <w:rPr>
                <w:rFonts w:cs="Calibri"/>
                <w:color w:val="000000" w:themeColor="text1"/>
              </w:rPr>
              <w:t>Other sectors – Commercial/institutional – Solid fuels</w:t>
            </w:r>
          </w:p>
        </w:tc>
        <w:tc>
          <w:tcPr>
            <w:tcW w:w="547" w:type="dxa"/>
            <w:noWrap/>
          </w:tcPr>
          <w:p w14:paraId="675EED55"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3FC3BC75"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0B144B7A" w14:textId="77777777" w:rsidTr="00F16E23">
        <w:tc>
          <w:tcPr>
            <w:tcW w:w="1093" w:type="dxa"/>
            <w:noWrap/>
          </w:tcPr>
          <w:p w14:paraId="4C3EADC1" w14:textId="77777777" w:rsidR="0038460F" w:rsidRPr="0060421C" w:rsidRDefault="0038460F" w:rsidP="00F16E23">
            <w:pPr>
              <w:pStyle w:val="TableText"/>
              <w:spacing w:before="40" w:after="40"/>
              <w:rPr>
                <w:rFonts w:cs="Calibri"/>
                <w:szCs w:val="16"/>
              </w:rPr>
            </w:pPr>
            <w:r w:rsidRPr="0060421C">
              <w:rPr>
                <w:rFonts w:cs="Calibri"/>
                <w:color w:val="000000"/>
                <w:szCs w:val="16"/>
              </w:rPr>
              <w:t>1.A.4.b.</w:t>
            </w:r>
          </w:p>
        </w:tc>
        <w:tc>
          <w:tcPr>
            <w:tcW w:w="5783" w:type="dxa"/>
            <w:noWrap/>
          </w:tcPr>
          <w:p w14:paraId="1B9CACAB" w14:textId="77777777" w:rsidR="0038460F" w:rsidRPr="0060421C" w:rsidRDefault="0038460F" w:rsidP="00F16E23">
            <w:pPr>
              <w:pStyle w:val="TableText"/>
              <w:spacing w:before="40" w:after="40"/>
              <w:rPr>
                <w:rFonts w:cs="Calibri"/>
              </w:rPr>
            </w:pPr>
            <w:r w:rsidRPr="0060421C">
              <w:rPr>
                <w:rFonts w:cs="Calibri"/>
                <w:color w:val="000000" w:themeColor="text1"/>
              </w:rPr>
              <w:t>Other sectors – Residential – Liquid fuels</w:t>
            </w:r>
          </w:p>
        </w:tc>
        <w:tc>
          <w:tcPr>
            <w:tcW w:w="547" w:type="dxa"/>
            <w:noWrap/>
          </w:tcPr>
          <w:p w14:paraId="6498D0A5"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55893071"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2AE4E0E2" w14:textId="77777777" w:rsidTr="00F16E23">
        <w:tc>
          <w:tcPr>
            <w:tcW w:w="1093" w:type="dxa"/>
            <w:noWrap/>
          </w:tcPr>
          <w:p w14:paraId="24A0346E" w14:textId="77777777" w:rsidR="0038460F" w:rsidRPr="0060421C" w:rsidRDefault="0038460F" w:rsidP="00F16E23">
            <w:pPr>
              <w:pStyle w:val="TableText"/>
              <w:spacing w:before="40" w:after="40"/>
              <w:rPr>
                <w:rFonts w:cs="Calibri"/>
                <w:szCs w:val="16"/>
              </w:rPr>
            </w:pPr>
            <w:r w:rsidRPr="0060421C">
              <w:rPr>
                <w:rFonts w:cs="Calibri"/>
                <w:color w:val="000000"/>
                <w:szCs w:val="16"/>
              </w:rPr>
              <w:t>1.A.4.b.</w:t>
            </w:r>
          </w:p>
        </w:tc>
        <w:tc>
          <w:tcPr>
            <w:tcW w:w="5783" w:type="dxa"/>
            <w:noWrap/>
          </w:tcPr>
          <w:p w14:paraId="310820C6" w14:textId="77777777" w:rsidR="0038460F" w:rsidRPr="0060421C" w:rsidRDefault="0038460F" w:rsidP="00F16E23">
            <w:pPr>
              <w:pStyle w:val="TableText"/>
              <w:spacing w:before="40" w:after="40"/>
              <w:rPr>
                <w:rFonts w:cs="Calibri"/>
              </w:rPr>
            </w:pPr>
            <w:r w:rsidRPr="0060421C">
              <w:rPr>
                <w:rFonts w:cs="Calibri"/>
                <w:color w:val="000000" w:themeColor="text1"/>
              </w:rPr>
              <w:t>Other sectors – Residential – Gaseous fuels</w:t>
            </w:r>
          </w:p>
        </w:tc>
        <w:tc>
          <w:tcPr>
            <w:tcW w:w="547" w:type="dxa"/>
            <w:noWrap/>
          </w:tcPr>
          <w:p w14:paraId="1FDE2A57"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290B205A"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570D4606" w14:textId="77777777" w:rsidTr="00F16E23">
        <w:tc>
          <w:tcPr>
            <w:tcW w:w="1093" w:type="dxa"/>
            <w:noWrap/>
          </w:tcPr>
          <w:p w14:paraId="2993FCD1" w14:textId="77777777" w:rsidR="0038460F" w:rsidRPr="0060421C" w:rsidRDefault="0038460F" w:rsidP="00F16E23">
            <w:pPr>
              <w:pStyle w:val="TableText"/>
              <w:spacing w:before="40" w:after="40"/>
              <w:rPr>
                <w:rFonts w:cs="Calibri"/>
                <w:szCs w:val="16"/>
              </w:rPr>
            </w:pPr>
            <w:r w:rsidRPr="0060421C">
              <w:rPr>
                <w:rFonts w:cs="Calibri"/>
                <w:color w:val="000000"/>
                <w:szCs w:val="16"/>
              </w:rPr>
              <w:t>1.A.4.b.</w:t>
            </w:r>
          </w:p>
        </w:tc>
        <w:tc>
          <w:tcPr>
            <w:tcW w:w="5783" w:type="dxa"/>
            <w:noWrap/>
          </w:tcPr>
          <w:p w14:paraId="2D56B90A" w14:textId="77777777" w:rsidR="0038460F" w:rsidRPr="0060421C" w:rsidRDefault="0038460F" w:rsidP="00F16E23">
            <w:pPr>
              <w:pStyle w:val="TableText"/>
              <w:spacing w:before="40" w:after="40"/>
              <w:rPr>
                <w:rFonts w:cs="Calibri"/>
              </w:rPr>
            </w:pPr>
            <w:r w:rsidRPr="0060421C">
              <w:rPr>
                <w:rFonts w:cs="Calibri"/>
                <w:color w:val="000000" w:themeColor="text1"/>
              </w:rPr>
              <w:t>Other sectors – Residential – Solid fuels</w:t>
            </w:r>
          </w:p>
        </w:tc>
        <w:tc>
          <w:tcPr>
            <w:tcW w:w="547" w:type="dxa"/>
            <w:noWrap/>
          </w:tcPr>
          <w:p w14:paraId="730589AC"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367F91E8"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6ABD7F10" w14:textId="77777777" w:rsidTr="00F16E23">
        <w:tc>
          <w:tcPr>
            <w:tcW w:w="1093" w:type="dxa"/>
            <w:noWrap/>
          </w:tcPr>
          <w:p w14:paraId="33443EBB" w14:textId="77777777" w:rsidR="0038460F" w:rsidRPr="0060421C" w:rsidRDefault="0038460F" w:rsidP="00F16E23">
            <w:pPr>
              <w:pStyle w:val="TableText"/>
              <w:spacing w:before="40" w:after="40"/>
              <w:rPr>
                <w:rFonts w:cs="Calibri"/>
              </w:rPr>
            </w:pPr>
            <w:r w:rsidRPr="78E2250F">
              <w:rPr>
                <w:rFonts w:cs="Calibri"/>
                <w:color w:val="000000" w:themeColor="text1"/>
              </w:rPr>
              <w:t>1.A.4.c.</w:t>
            </w:r>
          </w:p>
        </w:tc>
        <w:tc>
          <w:tcPr>
            <w:tcW w:w="5783" w:type="dxa"/>
            <w:noWrap/>
          </w:tcPr>
          <w:p w14:paraId="5C274AA6" w14:textId="77777777" w:rsidR="0038460F" w:rsidRPr="0060421C" w:rsidRDefault="0038460F" w:rsidP="00F16E23">
            <w:pPr>
              <w:pStyle w:val="TableText"/>
              <w:spacing w:before="40" w:after="40"/>
              <w:rPr>
                <w:rFonts w:cs="Calibri"/>
              </w:rPr>
            </w:pPr>
            <w:r w:rsidRPr="78E2250F">
              <w:rPr>
                <w:rFonts w:cs="Calibri"/>
                <w:color w:val="000000" w:themeColor="text1"/>
              </w:rPr>
              <w:t>Other sectors – Agriculture/forestry/fishing – Liquid fuels</w:t>
            </w:r>
          </w:p>
        </w:tc>
        <w:tc>
          <w:tcPr>
            <w:tcW w:w="547" w:type="dxa"/>
            <w:noWrap/>
          </w:tcPr>
          <w:p w14:paraId="6A679D6A" w14:textId="77777777" w:rsidR="0038460F" w:rsidRPr="0060421C" w:rsidRDefault="0038460F" w:rsidP="00F16E23">
            <w:pPr>
              <w:pStyle w:val="TableText"/>
              <w:spacing w:before="40" w:after="40"/>
              <w:jc w:val="center"/>
              <w:rPr>
                <w:rFonts w:cs="Calibri"/>
              </w:rPr>
            </w:pPr>
            <w:r w:rsidRPr="78E2250F">
              <w:rPr>
                <w:rFonts w:cs="Calibri"/>
                <w:color w:val="000000" w:themeColor="text1"/>
              </w:rPr>
              <w:t>CO</w:t>
            </w:r>
            <w:r w:rsidRPr="78E2250F">
              <w:rPr>
                <w:rFonts w:cs="Calibri"/>
                <w:color w:val="000000" w:themeColor="text1"/>
                <w:vertAlign w:val="subscript"/>
              </w:rPr>
              <w:t>2</w:t>
            </w:r>
          </w:p>
        </w:tc>
        <w:tc>
          <w:tcPr>
            <w:tcW w:w="1077" w:type="dxa"/>
            <w:noWrap/>
          </w:tcPr>
          <w:p w14:paraId="240EE6EB" w14:textId="77777777" w:rsidR="0038460F" w:rsidRPr="0060421C" w:rsidRDefault="0038460F" w:rsidP="00F16E23">
            <w:pPr>
              <w:pStyle w:val="TableText"/>
              <w:spacing w:before="40" w:after="40"/>
              <w:rPr>
                <w:rFonts w:cs="Calibri"/>
              </w:rPr>
            </w:pPr>
            <w:r w:rsidRPr="78E2250F">
              <w:rPr>
                <w:rFonts w:cs="Calibri"/>
                <w:color w:val="000000" w:themeColor="text1"/>
              </w:rPr>
              <w:t>L1</w:t>
            </w:r>
          </w:p>
        </w:tc>
      </w:tr>
      <w:tr w:rsidR="0038460F" w:rsidRPr="0060421C" w14:paraId="0C9C5B6F" w14:textId="77777777" w:rsidTr="00F16E23">
        <w:tc>
          <w:tcPr>
            <w:tcW w:w="1093" w:type="dxa"/>
            <w:noWrap/>
          </w:tcPr>
          <w:p w14:paraId="02C083C6" w14:textId="77777777" w:rsidR="0038460F" w:rsidRPr="0060421C" w:rsidRDefault="0038460F" w:rsidP="00F16E23">
            <w:pPr>
              <w:pStyle w:val="TableText"/>
              <w:spacing w:before="40" w:after="40"/>
              <w:rPr>
                <w:rFonts w:cs="Calibri"/>
                <w:szCs w:val="16"/>
              </w:rPr>
            </w:pPr>
            <w:r w:rsidRPr="0060421C">
              <w:rPr>
                <w:rFonts w:cs="Calibri"/>
                <w:color w:val="000000"/>
                <w:szCs w:val="16"/>
              </w:rPr>
              <w:t>1.A.4.c.</w:t>
            </w:r>
          </w:p>
        </w:tc>
        <w:tc>
          <w:tcPr>
            <w:tcW w:w="5783" w:type="dxa"/>
            <w:noWrap/>
          </w:tcPr>
          <w:p w14:paraId="2E8BF92E" w14:textId="77777777" w:rsidR="0038460F" w:rsidRPr="0060421C" w:rsidRDefault="0038460F" w:rsidP="00F16E23">
            <w:pPr>
              <w:pStyle w:val="TableText"/>
              <w:spacing w:before="40" w:after="40"/>
              <w:rPr>
                <w:rFonts w:cs="Calibri"/>
              </w:rPr>
            </w:pPr>
            <w:r w:rsidRPr="0060421C">
              <w:rPr>
                <w:rFonts w:cs="Calibri"/>
                <w:color w:val="000000" w:themeColor="text1"/>
              </w:rPr>
              <w:t>Other sectors – Agriculture/forestry/fishing – Solid fuels</w:t>
            </w:r>
          </w:p>
        </w:tc>
        <w:tc>
          <w:tcPr>
            <w:tcW w:w="547" w:type="dxa"/>
            <w:noWrap/>
          </w:tcPr>
          <w:p w14:paraId="4AE320AC"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0669317E"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2D7021C5" w14:textId="77777777" w:rsidTr="00F16E23">
        <w:tc>
          <w:tcPr>
            <w:tcW w:w="1093" w:type="dxa"/>
            <w:noWrap/>
          </w:tcPr>
          <w:p w14:paraId="656C6EB0" w14:textId="77777777" w:rsidR="0038460F" w:rsidRPr="0060421C" w:rsidRDefault="0038460F" w:rsidP="00F16E23">
            <w:pPr>
              <w:pStyle w:val="TableText"/>
              <w:spacing w:before="40" w:after="40"/>
              <w:rPr>
                <w:rFonts w:cs="Calibri"/>
                <w:szCs w:val="16"/>
              </w:rPr>
            </w:pPr>
            <w:r w:rsidRPr="0060421C">
              <w:rPr>
                <w:rFonts w:cs="Calibri"/>
                <w:color w:val="000000"/>
                <w:szCs w:val="16"/>
              </w:rPr>
              <w:t>1.B.1.a.i.</w:t>
            </w:r>
          </w:p>
        </w:tc>
        <w:tc>
          <w:tcPr>
            <w:tcW w:w="5783" w:type="dxa"/>
            <w:noWrap/>
          </w:tcPr>
          <w:p w14:paraId="0BDF4D14" w14:textId="77777777" w:rsidR="0038460F" w:rsidRPr="0060421C" w:rsidRDefault="0038460F" w:rsidP="00F16E23">
            <w:pPr>
              <w:pStyle w:val="TableText"/>
              <w:spacing w:before="40" w:after="40"/>
              <w:rPr>
                <w:rFonts w:cs="Calibri"/>
                <w:szCs w:val="16"/>
              </w:rPr>
            </w:pPr>
            <w:r w:rsidRPr="0060421C">
              <w:rPr>
                <w:rFonts w:cs="Calibri"/>
                <w:color w:val="000000"/>
                <w:szCs w:val="16"/>
              </w:rPr>
              <w:t>Coal mining and handling – Underground mines</w:t>
            </w:r>
          </w:p>
        </w:tc>
        <w:tc>
          <w:tcPr>
            <w:tcW w:w="547" w:type="dxa"/>
            <w:noWrap/>
          </w:tcPr>
          <w:p w14:paraId="109CA467"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CH</w:t>
            </w:r>
            <w:r w:rsidRPr="0060421C">
              <w:rPr>
                <w:rFonts w:cs="Calibri"/>
                <w:color w:val="000000"/>
                <w:szCs w:val="16"/>
                <w:vertAlign w:val="subscript"/>
              </w:rPr>
              <w:t>4</w:t>
            </w:r>
          </w:p>
        </w:tc>
        <w:tc>
          <w:tcPr>
            <w:tcW w:w="1077" w:type="dxa"/>
            <w:noWrap/>
          </w:tcPr>
          <w:p w14:paraId="645BB65E"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20C9B388" w14:textId="77777777" w:rsidTr="00F16E23">
        <w:tc>
          <w:tcPr>
            <w:tcW w:w="1093" w:type="dxa"/>
            <w:noWrap/>
          </w:tcPr>
          <w:p w14:paraId="41CC5271" w14:textId="77777777" w:rsidR="0038460F" w:rsidRPr="0060421C" w:rsidRDefault="0038460F" w:rsidP="00F16E23">
            <w:pPr>
              <w:pStyle w:val="TableText"/>
              <w:spacing w:before="40" w:after="40"/>
              <w:rPr>
                <w:rFonts w:cs="Calibri"/>
                <w:szCs w:val="16"/>
              </w:rPr>
            </w:pPr>
            <w:r w:rsidRPr="0060421C">
              <w:rPr>
                <w:rFonts w:cs="Calibri"/>
                <w:color w:val="000000"/>
                <w:szCs w:val="16"/>
              </w:rPr>
              <w:t>1.B.2.b.v.</w:t>
            </w:r>
          </w:p>
        </w:tc>
        <w:tc>
          <w:tcPr>
            <w:tcW w:w="5783" w:type="dxa"/>
            <w:noWrap/>
          </w:tcPr>
          <w:p w14:paraId="568384A7" w14:textId="77777777" w:rsidR="0038460F" w:rsidRPr="0060421C" w:rsidRDefault="0038460F" w:rsidP="00F16E23">
            <w:pPr>
              <w:pStyle w:val="TableText"/>
              <w:spacing w:before="40" w:after="40"/>
              <w:rPr>
                <w:rFonts w:cs="Calibri"/>
                <w:szCs w:val="16"/>
              </w:rPr>
            </w:pPr>
            <w:r w:rsidRPr="0060421C">
              <w:rPr>
                <w:rFonts w:cs="Calibri"/>
                <w:color w:val="000000"/>
                <w:szCs w:val="16"/>
              </w:rPr>
              <w:t>Natural gas – Distribution</w:t>
            </w:r>
          </w:p>
        </w:tc>
        <w:tc>
          <w:tcPr>
            <w:tcW w:w="547" w:type="dxa"/>
            <w:noWrap/>
          </w:tcPr>
          <w:p w14:paraId="0E84DF13"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CH</w:t>
            </w:r>
            <w:r w:rsidRPr="0060421C">
              <w:rPr>
                <w:rFonts w:cs="Calibri"/>
                <w:color w:val="000000"/>
                <w:szCs w:val="16"/>
                <w:vertAlign w:val="subscript"/>
              </w:rPr>
              <w:t>4</w:t>
            </w:r>
          </w:p>
        </w:tc>
        <w:tc>
          <w:tcPr>
            <w:tcW w:w="1077" w:type="dxa"/>
            <w:noWrap/>
          </w:tcPr>
          <w:p w14:paraId="1A6E9EAB"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730BF83A" w14:textId="77777777" w:rsidTr="00F16E23">
        <w:tc>
          <w:tcPr>
            <w:tcW w:w="1093" w:type="dxa"/>
            <w:noWrap/>
          </w:tcPr>
          <w:p w14:paraId="74F91EBA" w14:textId="77777777" w:rsidR="0038460F" w:rsidRPr="0060421C" w:rsidRDefault="0038460F" w:rsidP="00F16E23">
            <w:pPr>
              <w:pStyle w:val="TableText"/>
              <w:spacing w:before="40" w:after="40"/>
              <w:rPr>
                <w:rFonts w:cs="Calibri"/>
                <w:szCs w:val="16"/>
              </w:rPr>
            </w:pPr>
            <w:r w:rsidRPr="0060421C">
              <w:rPr>
                <w:rFonts w:cs="Calibri"/>
                <w:color w:val="000000"/>
                <w:szCs w:val="16"/>
              </w:rPr>
              <w:t>1.B.2.c.i.2.</w:t>
            </w:r>
          </w:p>
        </w:tc>
        <w:tc>
          <w:tcPr>
            <w:tcW w:w="5783" w:type="dxa"/>
            <w:noWrap/>
          </w:tcPr>
          <w:p w14:paraId="141CB9DD" w14:textId="77777777" w:rsidR="0038460F" w:rsidRPr="0060421C" w:rsidRDefault="0038460F" w:rsidP="00F16E23">
            <w:pPr>
              <w:pStyle w:val="TableText"/>
              <w:spacing w:before="40" w:after="40"/>
              <w:rPr>
                <w:rFonts w:cs="Calibri"/>
                <w:szCs w:val="16"/>
              </w:rPr>
            </w:pPr>
            <w:r w:rsidRPr="0060421C">
              <w:rPr>
                <w:rFonts w:cs="Calibri"/>
                <w:color w:val="000000"/>
                <w:szCs w:val="16"/>
              </w:rPr>
              <w:t>Venting – Gas</w:t>
            </w:r>
          </w:p>
        </w:tc>
        <w:tc>
          <w:tcPr>
            <w:tcW w:w="547" w:type="dxa"/>
            <w:noWrap/>
          </w:tcPr>
          <w:p w14:paraId="2D13032A"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4D6D3EB8" w14:textId="77777777" w:rsidR="0038460F" w:rsidRPr="0060421C" w:rsidRDefault="0038460F" w:rsidP="00F16E23">
            <w:pPr>
              <w:pStyle w:val="TableText"/>
              <w:spacing w:before="40" w:after="40"/>
              <w:rPr>
                <w:rFonts w:cs="Calibri"/>
                <w:szCs w:val="16"/>
              </w:rPr>
            </w:pPr>
            <w:r w:rsidRPr="0060421C">
              <w:rPr>
                <w:rFonts w:cs="Calibri"/>
                <w:color w:val="000000"/>
                <w:szCs w:val="16"/>
              </w:rPr>
              <w:t>L1, T1</w:t>
            </w:r>
          </w:p>
        </w:tc>
      </w:tr>
      <w:tr w:rsidR="0038460F" w:rsidRPr="0060421C" w14:paraId="75257C17" w14:textId="77777777" w:rsidTr="00F16E23">
        <w:tc>
          <w:tcPr>
            <w:tcW w:w="1093" w:type="dxa"/>
            <w:noWrap/>
          </w:tcPr>
          <w:p w14:paraId="2D3EABAD" w14:textId="77777777" w:rsidR="0038460F" w:rsidRPr="0060421C" w:rsidRDefault="0038460F" w:rsidP="00F16E23">
            <w:pPr>
              <w:pStyle w:val="TableText"/>
              <w:spacing w:before="40" w:after="40"/>
              <w:rPr>
                <w:rFonts w:cs="Calibri"/>
                <w:szCs w:val="16"/>
              </w:rPr>
            </w:pPr>
            <w:r w:rsidRPr="0060421C">
              <w:rPr>
                <w:rFonts w:cs="Calibri"/>
                <w:color w:val="000000"/>
                <w:szCs w:val="16"/>
              </w:rPr>
              <w:t>1.B.2.c.i.3.</w:t>
            </w:r>
          </w:p>
        </w:tc>
        <w:tc>
          <w:tcPr>
            <w:tcW w:w="5783" w:type="dxa"/>
            <w:noWrap/>
          </w:tcPr>
          <w:p w14:paraId="584CE72F" w14:textId="77777777" w:rsidR="0038460F" w:rsidRPr="0060421C" w:rsidRDefault="0038460F" w:rsidP="00F16E23">
            <w:pPr>
              <w:pStyle w:val="TableText"/>
              <w:spacing w:before="40" w:after="40"/>
              <w:rPr>
                <w:rFonts w:cs="Calibri"/>
                <w:szCs w:val="16"/>
              </w:rPr>
            </w:pPr>
            <w:r w:rsidRPr="0060421C">
              <w:rPr>
                <w:rFonts w:cs="Calibri"/>
                <w:color w:val="000000"/>
                <w:szCs w:val="16"/>
              </w:rPr>
              <w:t>Venting – Combined</w:t>
            </w:r>
          </w:p>
        </w:tc>
        <w:tc>
          <w:tcPr>
            <w:tcW w:w="547" w:type="dxa"/>
            <w:noWrap/>
          </w:tcPr>
          <w:p w14:paraId="194DE007" w14:textId="77777777" w:rsidR="0038460F" w:rsidRPr="0060421C" w:rsidRDefault="0038460F" w:rsidP="00F16E23">
            <w:pPr>
              <w:pStyle w:val="TableText"/>
              <w:spacing w:before="40" w:after="40"/>
              <w:jc w:val="center"/>
              <w:rPr>
                <w:rFonts w:cs="Calibri"/>
                <w:szCs w:val="16"/>
              </w:rPr>
            </w:pPr>
            <w:r w:rsidRPr="0060421C">
              <w:rPr>
                <w:rFonts w:cs="Calibri"/>
                <w:color w:val="000000"/>
                <w:szCs w:val="16"/>
              </w:rPr>
              <w:t>CH</w:t>
            </w:r>
            <w:r w:rsidRPr="0060421C">
              <w:rPr>
                <w:rFonts w:cs="Calibri"/>
                <w:color w:val="000000"/>
                <w:szCs w:val="16"/>
                <w:vertAlign w:val="subscript"/>
              </w:rPr>
              <w:t>4</w:t>
            </w:r>
          </w:p>
        </w:tc>
        <w:tc>
          <w:tcPr>
            <w:tcW w:w="1077" w:type="dxa"/>
            <w:noWrap/>
          </w:tcPr>
          <w:p w14:paraId="5B9819E0" w14:textId="77777777" w:rsidR="0038460F" w:rsidRPr="0060421C" w:rsidRDefault="0038460F" w:rsidP="00F16E23">
            <w:pPr>
              <w:pStyle w:val="TableText"/>
              <w:spacing w:before="40" w:after="40"/>
              <w:rPr>
                <w:rFonts w:cs="Calibri"/>
                <w:szCs w:val="16"/>
              </w:rPr>
            </w:pPr>
            <w:r w:rsidRPr="0060421C">
              <w:rPr>
                <w:rFonts w:cs="Calibri"/>
                <w:color w:val="000000"/>
                <w:szCs w:val="16"/>
              </w:rPr>
              <w:t>T1</w:t>
            </w:r>
          </w:p>
        </w:tc>
      </w:tr>
      <w:tr w:rsidR="0038460F" w:rsidRPr="0060421C" w14:paraId="6CF1FC58" w14:textId="77777777" w:rsidTr="00F16E23">
        <w:tc>
          <w:tcPr>
            <w:tcW w:w="1093" w:type="dxa"/>
            <w:noWrap/>
          </w:tcPr>
          <w:p w14:paraId="3A1676C4" w14:textId="77777777" w:rsidR="0038460F" w:rsidRPr="0060421C" w:rsidRDefault="0038460F" w:rsidP="00F16E23">
            <w:pPr>
              <w:pStyle w:val="TableText"/>
              <w:spacing w:before="40" w:after="40"/>
              <w:rPr>
                <w:rFonts w:cs="Calibri"/>
                <w:color w:val="000000"/>
                <w:szCs w:val="16"/>
              </w:rPr>
            </w:pPr>
            <w:r w:rsidRPr="0060421C">
              <w:rPr>
                <w:rFonts w:cs="Calibri"/>
                <w:color w:val="000000"/>
                <w:szCs w:val="16"/>
              </w:rPr>
              <w:t>1.B.2.d.</w:t>
            </w:r>
          </w:p>
        </w:tc>
        <w:tc>
          <w:tcPr>
            <w:tcW w:w="5783" w:type="dxa"/>
            <w:noWrap/>
          </w:tcPr>
          <w:p w14:paraId="0AD71326" w14:textId="77777777" w:rsidR="0038460F" w:rsidRPr="0060421C" w:rsidRDefault="0038460F" w:rsidP="00F16E23">
            <w:pPr>
              <w:pStyle w:val="TableText"/>
              <w:spacing w:before="40" w:after="40"/>
              <w:rPr>
                <w:rFonts w:cs="Calibri"/>
                <w:color w:val="000000"/>
                <w:szCs w:val="16"/>
              </w:rPr>
            </w:pPr>
            <w:r w:rsidRPr="0060421C">
              <w:rPr>
                <w:rFonts w:cs="Calibri"/>
                <w:color w:val="000000"/>
                <w:szCs w:val="16"/>
              </w:rPr>
              <w:t>Other (please specify) – Geothermal</w:t>
            </w:r>
          </w:p>
        </w:tc>
        <w:tc>
          <w:tcPr>
            <w:tcW w:w="547" w:type="dxa"/>
            <w:noWrap/>
          </w:tcPr>
          <w:p w14:paraId="78065964" w14:textId="77777777" w:rsidR="0038460F" w:rsidRPr="0060421C" w:rsidRDefault="0038460F" w:rsidP="00F16E23">
            <w:pPr>
              <w:pStyle w:val="TableText"/>
              <w:spacing w:before="40" w:after="40"/>
              <w:jc w:val="center"/>
              <w:rPr>
                <w:rFonts w:cs="Calibri"/>
                <w:color w:val="000000"/>
                <w:szCs w:val="16"/>
              </w:rPr>
            </w:pPr>
            <w:r w:rsidRPr="0060421C">
              <w:rPr>
                <w:rFonts w:cs="Calibri"/>
                <w:color w:val="000000"/>
                <w:szCs w:val="16"/>
              </w:rPr>
              <w:t>CO</w:t>
            </w:r>
            <w:r w:rsidRPr="0060421C">
              <w:rPr>
                <w:rFonts w:cs="Calibri"/>
                <w:color w:val="000000"/>
                <w:szCs w:val="16"/>
                <w:vertAlign w:val="subscript"/>
              </w:rPr>
              <w:t>2</w:t>
            </w:r>
          </w:p>
        </w:tc>
        <w:tc>
          <w:tcPr>
            <w:tcW w:w="1077" w:type="dxa"/>
            <w:noWrap/>
          </w:tcPr>
          <w:p w14:paraId="26A04133" w14:textId="77777777" w:rsidR="0038460F" w:rsidRPr="0060421C" w:rsidRDefault="0038460F" w:rsidP="00F16E23">
            <w:pPr>
              <w:pStyle w:val="TableText"/>
              <w:spacing w:before="40" w:after="40"/>
              <w:rPr>
                <w:rFonts w:cs="Calibri"/>
                <w:color w:val="000000"/>
                <w:szCs w:val="16"/>
              </w:rPr>
            </w:pPr>
            <w:r w:rsidRPr="0060421C">
              <w:rPr>
                <w:rFonts w:cs="Calibri"/>
                <w:color w:val="000000"/>
                <w:szCs w:val="16"/>
              </w:rPr>
              <w:t>L1, T1</w:t>
            </w:r>
          </w:p>
        </w:tc>
      </w:tr>
    </w:tbl>
    <w:p w14:paraId="1A6AAC5D" w14:textId="77777777" w:rsidR="0038460F" w:rsidRPr="0060421C" w:rsidRDefault="0038460F" w:rsidP="0038460F">
      <w:pPr>
        <w:pStyle w:val="Noteundertable"/>
        <w:spacing w:after="0"/>
        <w:rPr>
          <w:rFonts w:cs="Calibri"/>
        </w:rPr>
      </w:pPr>
      <w:r w:rsidRPr="0060421C">
        <w:rPr>
          <w:rFonts w:cs="Calibri"/>
          <w:b/>
        </w:rPr>
        <w:t>Note</w:t>
      </w:r>
      <w:r w:rsidRPr="0060421C">
        <w:rPr>
          <w:rFonts w:cs="Calibri"/>
        </w:rPr>
        <w:t xml:space="preserve">: </w:t>
      </w:r>
      <w:r w:rsidRPr="0060421C">
        <w:rPr>
          <w:rFonts w:cs="Calibri"/>
        </w:rPr>
        <w:tab/>
        <w:t xml:space="preserve">L1 means a key category is identified under the level analysis – approach 1 and T1 is trend analysis </w:t>
      </w:r>
      <w:r w:rsidRPr="0060421C">
        <w:rPr>
          <w:rFonts w:cs="Calibri"/>
        </w:rPr>
        <w:br/>
        <w:t xml:space="preserve"> – approach 1. See chapter 1 for more information.</w:t>
      </w:r>
      <w:bookmarkEnd w:id="201"/>
      <w:bookmarkEnd w:id="202"/>
    </w:p>
    <w:p w14:paraId="096330F3" w14:textId="77777777" w:rsidR="0038460F" w:rsidRPr="0060421C" w:rsidRDefault="0038460F" w:rsidP="0038460F">
      <w:pPr>
        <w:pStyle w:val="Heading3"/>
        <w:rPr>
          <w:rFonts w:cs="Calibri"/>
        </w:rPr>
      </w:pPr>
      <w:r w:rsidRPr="0060421C">
        <w:rPr>
          <w:rFonts w:cs="Calibri"/>
        </w:rPr>
        <w:t>3.1.3</w:t>
      </w:r>
      <w:r w:rsidRPr="0060421C">
        <w:rPr>
          <w:rFonts w:cs="Calibri"/>
        </w:rPr>
        <w:tab/>
        <w:t>New Zealand sectoral methodology</w:t>
      </w:r>
    </w:p>
    <w:p w14:paraId="3D59807E" w14:textId="77777777" w:rsidR="0038460F" w:rsidRPr="0060421C" w:rsidRDefault="0038460F" w:rsidP="0038460F">
      <w:pPr>
        <w:pStyle w:val="BodyText"/>
      </w:pPr>
      <w:r w:rsidRPr="0060421C">
        <w:t>Greenhouse gas emissions from the Energy sector are calculated using a detailed sectoral approach. This bottom-up approach is demand-based and involves processing energy data collected on a regular basis through various surveys. For verification, New Zealand also applies the Intergovernmental Panel on Climate Change (IPCC) reference approach to estimate CO</w:t>
      </w:r>
      <w:r w:rsidRPr="0060421C">
        <w:rPr>
          <w:vertAlign w:val="subscript"/>
        </w:rPr>
        <w:t>2</w:t>
      </w:r>
      <w:r w:rsidRPr="0060421C">
        <w:t xml:space="preserve"> emissions from fuel combustion for the time series 1990 to 2024 (see volume 2, annex 3). </w:t>
      </w:r>
    </w:p>
    <w:p w14:paraId="2DA32DAD" w14:textId="77777777" w:rsidR="0038460F" w:rsidRPr="0060421C" w:rsidRDefault="0038460F" w:rsidP="0038460F">
      <w:pPr>
        <w:pStyle w:val="BodyText"/>
        <w:rPr>
          <w:rFonts w:cs="Calibri"/>
        </w:rPr>
      </w:pPr>
      <w:r w:rsidRPr="0060421C">
        <w:rPr>
          <w:rFonts w:cs="Calibri"/>
        </w:rPr>
        <w:t xml:space="preserve">The activity data used for the sectoral approach are referred to as </w:t>
      </w:r>
      <w:r w:rsidRPr="0060421C">
        <w:rPr>
          <w:rFonts w:cs="Calibri"/>
          <w:i/>
          <w:iCs/>
        </w:rPr>
        <w:t>observed</w:t>
      </w:r>
      <w:r w:rsidRPr="0060421C">
        <w:rPr>
          <w:rFonts w:cs="Calibri"/>
        </w:rPr>
        <w:t xml:space="preserve"> energy-use figures. These are derived from surveys and questionnaires administered by the Ministry of Business, Innovation and Employment (MBIE). The differences between </w:t>
      </w:r>
      <w:r w:rsidRPr="0060421C">
        <w:rPr>
          <w:rFonts w:cs="Calibri"/>
          <w:i/>
          <w:iCs/>
        </w:rPr>
        <w:t>calculated</w:t>
      </w:r>
      <w:r w:rsidRPr="0060421C">
        <w:rPr>
          <w:rFonts w:cs="Calibri"/>
        </w:rPr>
        <w:t xml:space="preserve"> and </w:t>
      </w:r>
      <w:r w:rsidRPr="0060421C">
        <w:rPr>
          <w:rFonts w:cs="Calibri"/>
          <w:i/>
          <w:iCs/>
        </w:rPr>
        <w:t>observed</w:t>
      </w:r>
      <w:r w:rsidRPr="0060421C">
        <w:rPr>
          <w:rFonts w:cs="Calibri"/>
        </w:rPr>
        <w:t xml:space="preserve"> figures </w:t>
      </w:r>
      <w:r w:rsidRPr="0060421C">
        <w:rPr>
          <w:rFonts w:cs="Calibri"/>
          <w:spacing w:val="2"/>
        </w:rPr>
        <w:t xml:space="preserve">are reported as statistical differences in the energy balance tables published along with </w:t>
      </w:r>
      <w:r w:rsidRPr="0060421C">
        <w:rPr>
          <w:rFonts w:cs="Calibri"/>
          <w:i/>
          <w:iCs/>
          <w:spacing w:val="2"/>
          <w:lang w:eastAsia="en-GB"/>
        </w:rPr>
        <w:t xml:space="preserve">Energy in New Zealand </w:t>
      </w:r>
      <w:r w:rsidRPr="0060421C">
        <w:rPr>
          <w:rFonts w:cs="Calibri"/>
          <w:spacing w:val="2"/>
        </w:rPr>
        <w:t xml:space="preserve">(MBIE, 2025a). Note that, due to the intervening time between the publication of </w:t>
      </w:r>
      <w:r w:rsidRPr="0060421C">
        <w:rPr>
          <w:rFonts w:cs="Calibri"/>
          <w:i/>
          <w:iCs/>
          <w:spacing w:val="2"/>
          <w:lang w:eastAsia="en-GB"/>
        </w:rPr>
        <w:t>Energy in New Zealand</w:t>
      </w:r>
      <w:r w:rsidRPr="0060421C">
        <w:rPr>
          <w:rFonts w:cs="Calibri"/>
          <w:spacing w:val="2"/>
        </w:rPr>
        <w:t xml:space="preserve"> and the preparation of this submission, data revisions may have occur</w:t>
      </w:r>
      <w:r w:rsidRPr="0060421C">
        <w:rPr>
          <w:rFonts w:cs="Calibri"/>
        </w:rPr>
        <w:t>red.</w:t>
      </w:r>
    </w:p>
    <w:p w14:paraId="681C1FC2" w14:textId="77777777" w:rsidR="0038460F" w:rsidRPr="0060421C" w:rsidRDefault="0038460F" w:rsidP="0038460F">
      <w:pPr>
        <w:pStyle w:val="Heading3"/>
        <w:rPr>
          <w:rFonts w:cs="Calibri"/>
        </w:rPr>
      </w:pPr>
      <w:bookmarkStart w:id="203" w:name="_Ref379915380"/>
      <w:r w:rsidRPr="0060421C">
        <w:rPr>
          <w:rFonts w:cs="Calibri"/>
        </w:rPr>
        <w:t>3.1.4</w:t>
      </w:r>
      <w:r w:rsidRPr="0060421C">
        <w:rPr>
          <w:rFonts w:cs="Calibri"/>
        </w:rPr>
        <w:tab/>
        <w:t>International bunker fuels</w:t>
      </w:r>
      <w:bookmarkEnd w:id="203"/>
    </w:p>
    <w:p w14:paraId="19FB547C" w14:textId="77777777" w:rsidR="0038460F" w:rsidRPr="0060421C" w:rsidRDefault="0038460F" w:rsidP="0038460F">
      <w:pPr>
        <w:pStyle w:val="BodyText"/>
        <w:rPr>
          <w:rFonts w:cs="Calibri"/>
        </w:rPr>
      </w:pPr>
      <w:r w:rsidRPr="0060421C">
        <w:rPr>
          <w:rFonts w:cs="Calibri"/>
        </w:rPr>
        <w:t>Fuel-use data for international transportation are collected and published online by MBIE (2024a). These data use information from oil company returns through two surveys conducted by MBIE:</w:t>
      </w:r>
    </w:p>
    <w:p w14:paraId="59E4C7F3" w14:textId="77777777" w:rsidR="0038460F" w:rsidRPr="0060421C" w:rsidRDefault="0038460F" w:rsidP="0038460F">
      <w:pPr>
        <w:pStyle w:val="Bullet"/>
      </w:pPr>
      <w:r w:rsidRPr="0060421C">
        <w:rPr>
          <w:b/>
          <w:bCs/>
          <w:lang w:eastAsia="en-GB"/>
        </w:rPr>
        <w:t>Delivery of Petroleum Fuels by Industry</w:t>
      </w:r>
      <w:r w:rsidRPr="0060421C">
        <w:rPr>
          <w:lang w:eastAsia="en-GB"/>
        </w:rPr>
        <w:t xml:space="preserve"> (DPFI) – </w:t>
      </w:r>
      <w:r w:rsidRPr="0060421C">
        <w:t>a quarterly survey that collects data on observed demand (actual sales figures) by industrial sector</w:t>
      </w:r>
    </w:p>
    <w:p w14:paraId="38D7AA3E" w14:textId="77777777" w:rsidR="0038460F" w:rsidRPr="0060421C" w:rsidRDefault="0038460F" w:rsidP="0038460F">
      <w:pPr>
        <w:pStyle w:val="Bullet"/>
        <w:rPr>
          <w:lang w:eastAsia="en-GB"/>
        </w:rPr>
      </w:pPr>
      <w:r w:rsidRPr="0060421C">
        <w:rPr>
          <w:rFonts w:cs="Calibri"/>
          <w:b/>
        </w:rPr>
        <w:t>Monthly Oil Supply</w:t>
      </w:r>
      <w:r w:rsidRPr="0060421C">
        <w:rPr>
          <w:rFonts w:cs="Calibri"/>
        </w:rPr>
        <w:t xml:space="preserve"> (</w:t>
      </w:r>
      <w:r w:rsidRPr="0060421C">
        <w:rPr>
          <w:lang w:eastAsia="en-GB"/>
        </w:rPr>
        <w:t xml:space="preserve">MOS) – a monthly survey that collects a </w:t>
      </w:r>
      <w:r w:rsidRPr="0060421C">
        <w:rPr>
          <w:rFonts w:cs="Calibri"/>
        </w:rPr>
        <w:t>liquid fuels supply balance from companies selling fuel.</w:t>
      </w:r>
    </w:p>
    <w:p w14:paraId="44AAD4C1" w14:textId="77777777" w:rsidR="0038460F" w:rsidRPr="0060421C" w:rsidRDefault="0038460F" w:rsidP="0038460F">
      <w:pPr>
        <w:pStyle w:val="BodyText"/>
        <w:spacing w:after="100"/>
        <w:rPr>
          <w:rFonts w:cs="Calibri"/>
        </w:rPr>
      </w:pPr>
      <w:r w:rsidRPr="0060421C">
        <w:rPr>
          <w:rFonts w:cs="Calibri"/>
        </w:rPr>
        <w:t xml:space="preserve">Some international bunker data in CRT 1.A(b) are sourced from the MOS survey, while data in CRT 1.D come from the DPFI survey. Companies responding to the DPFI are asked to reconcile their figures with those reported in the MOS. Discrepancies between the surveys are generally very small and are attributed to differences in methodology: the MOS uses a top-down approach, while the DPFI uses a bottom-up approach. Additionally, the surveys are usually completed by different sections within each fuel company. Note that the </w:t>
      </w:r>
      <w:r w:rsidRPr="0060421C">
        <w:rPr>
          <w:rFonts w:cs="Calibri"/>
          <w:i/>
          <w:iCs/>
        </w:rPr>
        <w:t>Other fuels</w:t>
      </w:r>
      <w:r w:rsidRPr="0060421C">
        <w:rPr>
          <w:rFonts w:cs="Calibri"/>
        </w:rPr>
        <w:t> category is not covered by the DPFI, so these data are obtained from the MOS.</w:t>
      </w:r>
    </w:p>
    <w:p w14:paraId="68B0CDD9" w14:textId="77777777" w:rsidR="0038460F" w:rsidRPr="0060421C" w:rsidRDefault="0038460F" w:rsidP="0038460F">
      <w:pPr>
        <w:pStyle w:val="Heading3"/>
        <w:spacing w:before="280"/>
        <w:rPr>
          <w:rFonts w:cs="Calibri"/>
        </w:rPr>
      </w:pPr>
      <w:r w:rsidRPr="0060421C">
        <w:rPr>
          <w:rFonts w:cs="Calibri"/>
        </w:rPr>
        <w:t>3.1.5</w:t>
      </w:r>
      <w:r w:rsidRPr="0060421C">
        <w:rPr>
          <w:rFonts w:cs="Calibri"/>
        </w:rPr>
        <w:tab/>
        <w:t>Feedstock and other non-energy use of fuels</w:t>
      </w:r>
    </w:p>
    <w:p w14:paraId="61D5E096" w14:textId="77777777" w:rsidR="0038460F" w:rsidRPr="0060421C" w:rsidRDefault="0038460F" w:rsidP="0038460F">
      <w:pPr>
        <w:pStyle w:val="BodyText"/>
        <w:spacing w:after="100"/>
        <w:rPr>
          <w:rFonts w:cs="Calibri"/>
          <w:lang w:eastAsia="en-GB"/>
        </w:rPr>
      </w:pPr>
      <w:r w:rsidRPr="0060421C">
        <w:rPr>
          <w:rFonts w:cs="Calibri"/>
          <w:lang w:eastAsia="en-GB"/>
        </w:rPr>
        <w:t>Some industrial fuels are used both for combustion and as feedstocks. For these cases, process-related emissions are calculated by subtracting the fraction of carbon stored in the final product – based on industry production and the chemical composition of the product –</w:t>
      </w:r>
      <w:r>
        <w:rPr>
          <w:rFonts w:cs="Calibri"/>
          <w:lang w:eastAsia="en-GB"/>
        </w:rPr>
        <w:t> </w:t>
      </w:r>
      <w:r w:rsidRPr="0060421C">
        <w:rPr>
          <w:rFonts w:cs="Calibri"/>
          <w:lang w:eastAsia="en-GB"/>
        </w:rPr>
        <w:t>from the total fuel supplied. This remaining carbon is assumed to be emitted as CO</w:t>
      </w:r>
      <w:r w:rsidRPr="0060421C">
        <w:rPr>
          <w:rFonts w:cs="Calibri"/>
          <w:vertAlign w:val="subscript"/>
          <w:lang w:eastAsia="en-GB"/>
        </w:rPr>
        <w:t>2</w:t>
      </w:r>
      <w:r w:rsidRPr="0060421C">
        <w:t xml:space="preserve"> </w:t>
      </w:r>
      <w:r w:rsidRPr="0060421C">
        <w:rPr>
          <w:rFonts w:cs="Calibri"/>
          <w:lang w:eastAsia="en-GB"/>
        </w:rPr>
        <w:t>and is reported under the Industrial Processes and Product Use (IPPU) sector and in CRT 1.AD. Other fuel materials, such as bitumen, also contribute to emissions that are reported under the IPPU sector and, where applicable, in CRT 1.AD.</w:t>
      </w:r>
    </w:p>
    <w:p w14:paraId="6515C3C4" w14:textId="77777777" w:rsidR="0038460F" w:rsidRPr="0060421C" w:rsidRDefault="0038460F" w:rsidP="0038460F">
      <w:pPr>
        <w:pStyle w:val="BodyText"/>
        <w:spacing w:after="100"/>
        <w:rPr>
          <w:rFonts w:cs="Calibri"/>
        </w:rPr>
      </w:pPr>
      <w:r w:rsidRPr="0060421C">
        <w:rPr>
          <w:rFonts w:cs="Calibri"/>
        </w:rPr>
        <w:t>Key non-energy uses in New Zealand include the following.</w:t>
      </w:r>
    </w:p>
    <w:p w14:paraId="0F0417EA" w14:textId="77777777" w:rsidR="0038460F" w:rsidRPr="0060421C" w:rsidRDefault="0038460F" w:rsidP="0038460F">
      <w:pPr>
        <w:pStyle w:val="Bullet"/>
        <w:spacing w:after="100"/>
      </w:pPr>
      <w:r w:rsidRPr="0060421C">
        <w:rPr>
          <w:b/>
          <w:bCs/>
        </w:rPr>
        <w:t>Methanol production</w:t>
      </w:r>
      <w:r w:rsidRPr="0060421C">
        <w:t>: All carbon in natural gas feedstock is stored in the product so there are no associated CO</w:t>
      </w:r>
      <w:r w:rsidRPr="0060421C">
        <w:rPr>
          <w:vertAlign w:val="subscript"/>
        </w:rPr>
        <w:t>2</w:t>
      </w:r>
      <w:r w:rsidRPr="0060421C">
        <w:t xml:space="preserve"> emissions. Emissions from fuel used for energy are reported in CRT category 1.A.2.c. </w:t>
      </w:r>
    </w:p>
    <w:p w14:paraId="2B161A17" w14:textId="77777777" w:rsidR="0038460F" w:rsidRPr="0060421C" w:rsidRDefault="0038460F" w:rsidP="0038460F">
      <w:pPr>
        <w:pStyle w:val="Bullet"/>
        <w:spacing w:after="100"/>
      </w:pPr>
      <w:r w:rsidRPr="0060421C">
        <w:rPr>
          <w:b/>
          <w:bCs/>
        </w:rPr>
        <w:t>Ammonia/urea production</w:t>
      </w:r>
      <w:r w:rsidRPr="0060421C">
        <w:t>: Carbon dioxide emissions from the use of natural gas in ammonia production (feedstock) are reported under the IPPU sector and are included in CRT 1.AD. Emissions from fuel used for energy are reported in CRT category 1.A.2.c.</w:t>
      </w:r>
    </w:p>
    <w:p w14:paraId="09F3B309" w14:textId="77777777" w:rsidR="0038460F" w:rsidRPr="0060421C" w:rsidRDefault="0038460F" w:rsidP="0038460F">
      <w:pPr>
        <w:pStyle w:val="Bullet"/>
        <w:spacing w:after="100"/>
      </w:pPr>
      <w:r w:rsidRPr="0060421C">
        <w:rPr>
          <w:b/>
          <w:bCs/>
        </w:rPr>
        <w:t>Bitumen</w:t>
      </w:r>
      <w:r w:rsidRPr="0060421C">
        <w:t>: Because it is used as a construction material, there are no direct emissions.</w:t>
      </w:r>
    </w:p>
    <w:p w14:paraId="6528091A" w14:textId="77777777" w:rsidR="0038460F" w:rsidRPr="0060421C" w:rsidRDefault="0038460F" w:rsidP="0038460F">
      <w:pPr>
        <w:pStyle w:val="Bullet"/>
        <w:spacing w:after="100"/>
      </w:pPr>
      <w:r w:rsidRPr="0060421C">
        <w:rPr>
          <w:b/>
          <w:bCs/>
        </w:rPr>
        <w:t>Steel production</w:t>
      </w:r>
      <w:r w:rsidRPr="0060421C">
        <w:t>: Coal is used as a reductant, which is a part of an industrial process, so emissions reported are under the IPPU sector.</w:t>
      </w:r>
    </w:p>
    <w:p w14:paraId="4BF22A6C" w14:textId="77777777" w:rsidR="0038460F" w:rsidRPr="0060421C" w:rsidRDefault="0038460F" w:rsidP="0038460F">
      <w:pPr>
        <w:pStyle w:val="BodyText"/>
        <w:spacing w:after="100"/>
        <w:rPr>
          <w:rFonts w:cs="Calibri"/>
          <w:lang w:eastAsia="en-GB"/>
        </w:rPr>
      </w:pPr>
      <w:r w:rsidRPr="0060421C">
        <w:rPr>
          <w:rFonts w:cs="Calibri"/>
          <w:lang w:eastAsia="en-GB"/>
        </w:rPr>
        <w:t>For the four industries using natural gas as feedstock, the fraction of carbon stored is given in table 3.1.2. Emissions for individual products are withheld because of confidentiality concerns.</w:t>
      </w:r>
    </w:p>
    <w:p w14:paraId="2452545E" w14:textId="77777777" w:rsidR="0038460F" w:rsidRPr="0060421C" w:rsidRDefault="0038460F" w:rsidP="0038460F">
      <w:pPr>
        <w:pStyle w:val="Table"/>
        <w:rPr>
          <w:rFonts w:cs="Calibri"/>
        </w:rPr>
      </w:pPr>
      <w:bookmarkStart w:id="204" w:name="_Toc507496589"/>
      <w:bookmarkStart w:id="205" w:name="_Toc36224523"/>
      <w:bookmarkStart w:id="206" w:name="_Toc68786404"/>
      <w:bookmarkStart w:id="207" w:name="_Toc164153803"/>
      <w:bookmarkStart w:id="208" w:name="_Toc194241668"/>
      <w:bookmarkStart w:id="209" w:name="_Toc226668954"/>
      <w:r w:rsidRPr="0060421C">
        <w:rPr>
          <w:rFonts w:cs="Calibri"/>
        </w:rPr>
        <w:t xml:space="preserve">Table 3.1.2 </w:t>
      </w:r>
      <w:r w:rsidRPr="0060421C">
        <w:rPr>
          <w:rFonts w:cs="Calibri"/>
        </w:rPr>
        <w:tab/>
        <w:t>Use of natural gas as a feedstock in New Zealand</w:t>
      </w:r>
      <w:bookmarkEnd w:id="204"/>
      <w:bookmarkEnd w:id="205"/>
      <w:bookmarkEnd w:id="206"/>
      <w:bookmarkEnd w:id="207"/>
      <w:bookmarkEnd w:id="208"/>
      <w:bookmarkEnd w:id="209"/>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0"/>
        <w:gridCol w:w="2421"/>
        <w:gridCol w:w="2253"/>
        <w:gridCol w:w="2591"/>
      </w:tblGrid>
      <w:tr w:rsidR="0038460F" w:rsidRPr="0060421C" w14:paraId="581FD1FE" w14:textId="77777777" w:rsidTr="00F16E23">
        <w:trPr>
          <w:tblHeader/>
        </w:trPr>
        <w:tc>
          <w:tcPr>
            <w:tcW w:w="1129" w:type="dxa"/>
            <w:shd w:val="clear" w:color="auto" w:fill="1B556B"/>
            <w:noWrap/>
            <w:hideMark/>
          </w:tcPr>
          <w:p w14:paraId="057B598B"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Product</w:t>
            </w:r>
          </w:p>
        </w:tc>
        <w:tc>
          <w:tcPr>
            <w:tcW w:w="2203" w:type="dxa"/>
            <w:shd w:val="clear" w:color="auto" w:fill="1B556B"/>
            <w:noWrap/>
            <w:hideMark/>
          </w:tcPr>
          <w:p w14:paraId="6826D03B" w14:textId="77777777" w:rsidR="0038460F" w:rsidRPr="0060421C" w:rsidRDefault="0038460F" w:rsidP="00F16E23">
            <w:pPr>
              <w:pStyle w:val="TableTextBold"/>
              <w:keepNext/>
              <w:spacing w:before="40" w:after="40"/>
              <w:jc w:val="right"/>
              <w:rPr>
                <w:rFonts w:cs="Calibri"/>
                <w:noProof w:val="0"/>
                <w:color w:val="FFFFFF"/>
              </w:rPr>
            </w:pPr>
            <w:r w:rsidRPr="0060421C">
              <w:rPr>
                <w:rFonts w:cs="Calibri"/>
                <w:noProof w:val="0"/>
                <w:color w:val="FFFFFF"/>
              </w:rPr>
              <w:t>Percentage of carbon stored</w:t>
            </w:r>
          </w:p>
        </w:tc>
        <w:tc>
          <w:tcPr>
            <w:tcW w:w="2050" w:type="dxa"/>
            <w:shd w:val="clear" w:color="auto" w:fill="1B556B"/>
            <w:noWrap/>
            <w:hideMark/>
          </w:tcPr>
          <w:p w14:paraId="340F641E"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Energy use reported under</w:t>
            </w:r>
          </w:p>
        </w:tc>
        <w:tc>
          <w:tcPr>
            <w:tcW w:w="2358" w:type="dxa"/>
            <w:shd w:val="clear" w:color="auto" w:fill="1B556B"/>
            <w:noWrap/>
            <w:hideMark/>
          </w:tcPr>
          <w:p w14:paraId="4D808FF7"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Non-energy use reported under</w:t>
            </w:r>
          </w:p>
        </w:tc>
      </w:tr>
      <w:tr w:rsidR="0038460F" w:rsidRPr="0060421C" w14:paraId="04CE3B65" w14:textId="77777777" w:rsidTr="00F16E23">
        <w:tc>
          <w:tcPr>
            <w:tcW w:w="1129" w:type="dxa"/>
            <w:noWrap/>
            <w:hideMark/>
          </w:tcPr>
          <w:p w14:paraId="57C7E041" w14:textId="77777777" w:rsidR="0038460F" w:rsidRPr="0060421C" w:rsidRDefault="0038460F" w:rsidP="00F16E23">
            <w:pPr>
              <w:pStyle w:val="TableText"/>
              <w:spacing w:before="40" w:after="40"/>
            </w:pPr>
            <w:r w:rsidRPr="0060421C">
              <w:t>Methanol</w:t>
            </w:r>
          </w:p>
        </w:tc>
        <w:tc>
          <w:tcPr>
            <w:tcW w:w="2203" w:type="dxa"/>
            <w:noWrap/>
            <w:hideMark/>
          </w:tcPr>
          <w:p w14:paraId="29F2F56E" w14:textId="77777777" w:rsidR="0038460F" w:rsidRPr="0060421C" w:rsidRDefault="0038460F" w:rsidP="00F16E23">
            <w:pPr>
              <w:pStyle w:val="TableText"/>
              <w:spacing w:before="40" w:after="40"/>
              <w:jc w:val="right"/>
            </w:pPr>
            <w:r w:rsidRPr="0060421C">
              <w:t>100</w:t>
            </w:r>
          </w:p>
        </w:tc>
        <w:tc>
          <w:tcPr>
            <w:tcW w:w="2050" w:type="dxa"/>
            <w:noWrap/>
            <w:hideMark/>
          </w:tcPr>
          <w:p w14:paraId="68BE524D" w14:textId="77777777" w:rsidR="0038460F" w:rsidRPr="0060421C" w:rsidRDefault="0038460F" w:rsidP="00F16E23">
            <w:pPr>
              <w:pStyle w:val="TableText"/>
              <w:spacing w:before="40" w:after="40"/>
            </w:pPr>
            <w:r w:rsidRPr="0060421C">
              <w:t>1.A.2.c</w:t>
            </w:r>
          </w:p>
        </w:tc>
        <w:tc>
          <w:tcPr>
            <w:tcW w:w="2358" w:type="dxa"/>
            <w:noWrap/>
            <w:hideMark/>
          </w:tcPr>
          <w:p w14:paraId="68684FE7" w14:textId="77777777" w:rsidR="0038460F" w:rsidRPr="0060421C" w:rsidRDefault="0038460F" w:rsidP="00F16E23">
            <w:pPr>
              <w:pStyle w:val="TableText"/>
              <w:spacing w:before="40" w:after="40"/>
            </w:pPr>
            <w:r w:rsidRPr="0060421C">
              <w:t>NA</w:t>
            </w:r>
          </w:p>
        </w:tc>
      </w:tr>
      <w:tr w:rsidR="0038460F" w:rsidRPr="0060421C" w14:paraId="407071BA" w14:textId="77777777" w:rsidTr="00F16E23">
        <w:tc>
          <w:tcPr>
            <w:tcW w:w="1129" w:type="dxa"/>
            <w:noWrap/>
          </w:tcPr>
          <w:p w14:paraId="76C9496F" w14:textId="77777777" w:rsidR="0038460F" w:rsidRPr="0060421C" w:rsidRDefault="0038460F" w:rsidP="00F16E23">
            <w:pPr>
              <w:pStyle w:val="TableText"/>
              <w:spacing w:before="40" w:after="40"/>
              <w:rPr>
                <w:szCs w:val="16"/>
              </w:rPr>
            </w:pPr>
            <w:r w:rsidRPr="0060421C">
              <w:rPr>
                <w:szCs w:val="16"/>
              </w:rPr>
              <w:t>Urea</w:t>
            </w:r>
          </w:p>
        </w:tc>
        <w:tc>
          <w:tcPr>
            <w:tcW w:w="2203" w:type="dxa"/>
            <w:noWrap/>
          </w:tcPr>
          <w:p w14:paraId="23132CEC" w14:textId="77777777" w:rsidR="0038460F" w:rsidRPr="0060421C" w:rsidRDefault="0038460F" w:rsidP="00F16E23">
            <w:pPr>
              <w:pStyle w:val="TableText"/>
              <w:spacing w:before="40" w:after="40"/>
              <w:jc w:val="right"/>
              <w:rPr>
                <w:szCs w:val="16"/>
              </w:rPr>
            </w:pPr>
            <w:r w:rsidRPr="0060421C">
              <w:rPr>
                <w:szCs w:val="16"/>
              </w:rPr>
              <w:t>80–93</w:t>
            </w:r>
            <w:r w:rsidRPr="0060421C">
              <w:rPr>
                <w:szCs w:val="16"/>
                <w:vertAlign w:val="superscript"/>
              </w:rPr>
              <w:t>1</w:t>
            </w:r>
          </w:p>
        </w:tc>
        <w:tc>
          <w:tcPr>
            <w:tcW w:w="2050" w:type="dxa"/>
            <w:noWrap/>
          </w:tcPr>
          <w:p w14:paraId="31AF2E7B" w14:textId="77777777" w:rsidR="0038460F" w:rsidRPr="0060421C" w:rsidRDefault="0038460F" w:rsidP="00F16E23">
            <w:pPr>
              <w:pStyle w:val="TableText"/>
              <w:spacing w:before="40" w:after="40"/>
              <w:rPr>
                <w:szCs w:val="16"/>
              </w:rPr>
            </w:pPr>
            <w:r w:rsidRPr="0060421C">
              <w:rPr>
                <w:szCs w:val="16"/>
              </w:rPr>
              <w:t>1.A.2.c</w:t>
            </w:r>
          </w:p>
        </w:tc>
        <w:tc>
          <w:tcPr>
            <w:tcW w:w="2358" w:type="dxa"/>
            <w:noWrap/>
          </w:tcPr>
          <w:p w14:paraId="2896E8DF" w14:textId="77777777" w:rsidR="0038460F" w:rsidRPr="0060421C" w:rsidRDefault="0038460F" w:rsidP="00F16E23">
            <w:pPr>
              <w:pStyle w:val="TableText"/>
              <w:spacing w:before="40" w:after="40"/>
              <w:rPr>
                <w:szCs w:val="16"/>
              </w:rPr>
            </w:pPr>
            <w:r w:rsidRPr="0060421C">
              <w:rPr>
                <w:szCs w:val="16"/>
              </w:rPr>
              <w:t>2.B.1</w:t>
            </w:r>
          </w:p>
        </w:tc>
      </w:tr>
      <w:tr w:rsidR="0038460F" w:rsidRPr="0060421C" w14:paraId="6295966F" w14:textId="77777777" w:rsidTr="00F16E23">
        <w:tc>
          <w:tcPr>
            <w:tcW w:w="1129" w:type="dxa"/>
            <w:noWrap/>
          </w:tcPr>
          <w:p w14:paraId="34C7C7AF" w14:textId="77777777" w:rsidR="0038460F" w:rsidRPr="0060421C" w:rsidRDefault="0038460F" w:rsidP="00F16E23">
            <w:pPr>
              <w:pStyle w:val="TableText"/>
              <w:spacing w:before="40" w:after="40"/>
            </w:pPr>
            <w:r w:rsidRPr="0060421C">
              <w:t>Hydrogen</w:t>
            </w:r>
          </w:p>
        </w:tc>
        <w:tc>
          <w:tcPr>
            <w:tcW w:w="2203" w:type="dxa"/>
            <w:noWrap/>
          </w:tcPr>
          <w:p w14:paraId="6F44599E" w14:textId="77777777" w:rsidR="0038460F" w:rsidRPr="0060421C" w:rsidRDefault="0038460F" w:rsidP="00F16E23">
            <w:pPr>
              <w:pStyle w:val="TableText"/>
              <w:spacing w:before="40" w:after="40"/>
              <w:jc w:val="right"/>
            </w:pPr>
            <w:r w:rsidRPr="0060421C">
              <w:t>0</w:t>
            </w:r>
          </w:p>
        </w:tc>
        <w:tc>
          <w:tcPr>
            <w:tcW w:w="2050" w:type="dxa"/>
            <w:noWrap/>
          </w:tcPr>
          <w:p w14:paraId="2C2EE275" w14:textId="77777777" w:rsidR="0038460F" w:rsidRPr="0060421C" w:rsidRDefault="0038460F" w:rsidP="00F16E23">
            <w:pPr>
              <w:pStyle w:val="TableText"/>
              <w:spacing w:before="40" w:after="40"/>
            </w:pPr>
            <w:r w:rsidRPr="0060421C">
              <w:t>1.A.2.c</w:t>
            </w:r>
          </w:p>
        </w:tc>
        <w:tc>
          <w:tcPr>
            <w:tcW w:w="2358" w:type="dxa"/>
            <w:noWrap/>
          </w:tcPr>
          <w:p w14:paraId="1DB27740" w14:textId="77777777" w:rsidR="0038460F" w:rsidRPr="0060421C" w:rsidRDefault="0038460F" w:rsidP="00F16E23">
            <w:pPr>
              <w:pStyle w:val="TableText"/>
              <w:spacing w:before="40" w:after="40"/>
            </w:pPr>
            <w:r w:rsidRPr="0060421C">
              <w:t>2.B.10</w:t>
            </w:r>
          </w:p>
        </w:tc>
      </w:tr>
      <w:tr w:rsidR="0038460F" w:rsidRPr="0060421C" w14:paraId="1F7DA257" w14:textId="77777777" w:rsidTr="00F16E23">
        <w:tc>
          <w:tcPr>
            <w:tcW w:w="1129" w:type="dxa"/>
            <w:noWrap/>
          </w:tcPr>
          <w:p w14:paraId="1FB90568" w14:textId="77777777" w:rsidR="0038460F" w:rsidRPr="0060421C" w:rsidRDefault="0038460F" w:rsidP="00F16E23">
            <w:pPr>
              <w:pStyle w:val="TableText"/>
              <w:spacing w:before="40" w:after="40"/>
            </w:pPr>
            <w:r w:rsidRPr="0060421C">
              <w:t>Steel</w:t>
            </w:r>
          </w:p>
        </w:tc>
        <w:tc>
          <w:tcPr>
            <w:tcW w:w="2203" w:type="dxa"/>
            <w:noWrap/>
          </w:tcPr>
          <w:p w14:paraId="18111B89" w14:textId="77777777" w:rsidR="0038460F" w:rsidRPr="0060421C" w:rsidRDefault="0038460F" w:rsidP="00F16E23">
            <w:pPr>
              <w:pStyle w:val="TableText"/>
              <w:spacing w:before="40" w:after="40"/>
              <w:jc w:val="right"/>
            </w:pPr>
            <w:r w:rsidRPr="0060421C">
              <w:t>0</w:t>
            </w:r>
          </w:p>
        </w:tc>
        <w:tc>
          <w:tcPr>
            <w:tcW w:w="2050" w:type="dxa"/>
            <w:noWrap/>
          </w:tcPr>
          <w:p w14:paraId="635A0573" w14:textId="77777777" w:rsidR="0038460F" w:rsidRPr="0060421C" w:rsidRDefault="0038460F" w:rsidP="00F16E23">
            <w:pPr>
              <w:pStyle w:val="TableText"/>
              <w:spacing w:before="40" w:after="40"/>
            </w:pPr>
            <w:r w:rsidRPr="0060421C">
              <w:t>1.A.2.a</w:t>
            </w:r>
          </w:p>
        </w:tc>
        <w:tc>
          <w:tcPr>
            <w:tcW w:w="2358" w:type="dxa"/>
            <w:noWrap/>
          </w:tcPr>
          <w:p w14:paraId="0F8FECD7" w14:textId="77777777" w:rsidR="0038460F" w:rsidRPr="0060421C" w:rsidRDefault="0038460F" w:rsidP="00F16E23">
            <w:pPr>
              <w:pStyle w:val="TableText"/>
              <w:spacing w:before="40" w:after="40"/>
            </w:pPr>
            <w:r w:rsidRPr="0060421C">
              <w:t>2.C.1</w:t>
            </w:r>
          </w:p>
        </w:tc>
      </w:tr>
    </w:tbl>
    <w:p w14:paraId="31C999DB" w14:textId="77777777" w:rsidR="0038460F" w:rsidRPr="0060421C" w:rsidRDefault="0038460F" w:rsidP="0038460F">
      <w:pPr>
        <w:pStyle w:val="Noteundertable"/>
        <w:rPr>
          <w:rFonts w:cs="Calibri"/>
        </w:rPr>
      </w:pPr>
      <w:r w:rsidRPr="0060421C">
        <w:rPr>
          <w:b/>
          <w:bCs/>
          <w:lang w:eastAsia="en-GB"/>
        </w:rPr>
        <w:t>Notes:</w:t>
      </w:r>
      <w:r w:rsidRPr="0060421C">
        <w:rPr>
          <w:lang w:eastAsia="en-GB"/>
        </w:rPr>
        <w:t xml:space="preserve"> </w:t>
      </w:r>
      <w:r w:rsidRPr="0060421C">
        <w:rPr>
          <w:lang w:eastAsia="en-GB"/>
        </w:rPr>
        <w:tab/>
        <w:t>1. For urea production, the fraction of carbon stored varies across the time series, depending on the composition of the feedstock gas. NA = not applicable.</w:t>
      </w:r>
    </w:p>
    <w:p w14:paraId="1E202D85" w14:textId="77777777" w:rsidR="0038460F" w:rsidRPr="0060421C" w:rsidRDefault="0038460F" w:rsidP="0038460F">
      <w:pPr>
        <w:pStyle w:val="BodyText"/>
        <w:spacing w:before="100" w:after="100"/>
        <w:rPr>
          <w:rFonts w:cs="Calibri"/>
        </w:rPr>
      </w:pPr>
      <w:r w:rsidRPr="0060421C">
        <w:rPr>
          <w:rFonts w:cs="Calibri"/>
        </w:rPr>
        <w:t xml:space="preserve">All ammonia produced in </w:t>
      </w:r>
      <w:r w:rsidRPr="0060421C">
        <w:t>New Zealand</w:t>
      </w:r>
      <w:r w:rsidRPr="0060421C">
        <w:rPr>
          <w:rFonts w:cs="Calibri"/>
        </w:rPr>
        <w:t xml:space="preserve"> is processed into urea, and the split of feedstock gas and fuel gas used in producing urea is provided by the company. Although most of the carbon in feedstock gas used for urea production is stored in the product, this carbon is later emitted when the urea is used on farms as fertiliser. These emissions are reported under urea application in the Agriculture sector.</w:t>
      </w:r>
    </w:p>
    <w:p w14:paraId="537EFB51" w14:textId="77777777" w:rsidR="0038460F" w:rsidRPr="0060421C" w:rsidRDefault="0038460F" w:rsidP="0038460F">
      <w:pPr>
        <w:pStyle w:val="BodyText"/>
        <w:spacing w:before="100" w:after="100"/>
        <w:rPr>
          <w:rFonts w:cs="Calibri"/>
        </w:rPr>
      </w:pPr>
      <w:r w:rsidRPr="0060421C">
        <w:rPr>
          <w:rFonts w:cs="Calibri"/>
        </w:rPr>
        <w:t xml:space="preserve">Emissions from synthetic gasoline production are reported in the </w:t>
      </w:r>
      <w:r w:rsidRPr="0060421C">
        <w:rPr>
          <w:rFonts w:cs="Calibri"/>
          <w:i/>
          <w:lang w:eastAsia="en-GB"/>
        </w:rPr>
        <w:t>Manufacture of solid fuels and other energy industries</w:t>
      </w:r>
      <w:r w:rsidRPr="0060421C">
        <w:rPr>
          <w:rFonts w:cs="Calibri"/>
        </w:rPr>
        <w:t xml:space="preserve"> category. Synthetic gasoline production in </w:t>
      </w:r>
      <w:r w:rsidRPr="0060421C">
        <w:t>New Zealand</w:t>
      </w:r>
      <w:r w:rsidRPr="0060421C">
        <w:rPr>
          <w:rFonts w:cs="Calibri"/>
        </w:rPr>
        <w:t xml:space="preserve"> ceased in 1997.</w:t>
      </w:r>
    </w:p>
    <w:p w14:paraId="497C2E83" w14:textId="77777777" w:rsidR="0038460F" w:rsidRPr="0060421C" w:rsidRDefault="0038460F" w:rsidP="0038460F">
      <w:pPr>
        <w:pStyle w:val="BodyText"/>
        <w:spacing w:before="100" w:after="100"/>
        <w:rPr>
          <w:rFonts w:cs="Calibri"/>
        </w:rPr>
      </w:pPr>
      <w:r w:rsidRPr="0060421C">
        <w:rPr>
          <w:rFonts w:cs="Calibri"/>
        </w:rPr>
        <w:t xml:space="preserve">The allocation of natural gas consumed for energy use versus non-energy use across time is shown in figure 3.1.2, and a table giving the energy versus non-energy use data for natural gas is included in volume 2, annex 5. The trend in natural gas use in the </w:t>
      </w:r>
      <w:r w:rsidRPr="0060421C">
        <w:rPr>
          <w:rFonts w:cs="Calibri"/>
          <w:i/>
          <w:iCs/>
          <w:lang w:eastAsia="en-GB"/>
        </w:rPr>
        <w:t>Chemicals</w:t>
      </w:r>
      <w:r w:rsidRPr="0060421C">
        <w:rPr>
          <w:rFonts w:cs="Calibri"/>
        </w:rPr>
        <w:t xml:space="preserve"> category can be explained partly by events in the methanol production industry in </w:t>
      </w:r>
      <w:r w:rsidRPr="0060421C">
        <w:t>New Zealand</w:t>
      </w:r>
      <w:r w:rsidRPr="0060421C">
        <w:rPr>
          <w:rFonts w:cs="Calibri"/>
        </w:rPr>
        <w:t>.</w:t>
      </w:r>
    </w:p>
    <w:p w14:paraId="3C113A7F" w14:textId="77777777" w:rsidR="0038460F" w:rsidRPr="0060421C" w:rsidRDefault="0038460F" w:rsidP="0038460F">
      <w:pPr>
        <w:pStyle w:val="BodyText"/>
        <w:spacing w:before="100" w:after="100"/>
        <w:rPr>
          <w:lang w:eastAsia="en-GB"/>
        </w:rPr>
      </w:pPr>
      <w:r w:rsidRPr="0060421C">
        <w:rPr>
          <w:rFonts w:cs="Calibri"/>
        </w:rPr>
        <w:t>Methanex New Zealand operates methanol production plants and has historically been the</w:t>
      </w:r>
      <w:r>
        <w:rPr>
          <w:rFonts w:cs="Calibri"/>
        </w:rPr>
        <w:t> </w:t>
      </w:r>
      <w:r w:rsidRPr="0060421C">
        <w:rPr>
          <w:rFonts w:cs="Calibri"/>
        </w:rPr>
        <w:t xml:space="preserve">country’s single largest user of natural gas. </w:t>
      </w:r>
      <w:r w:rsidRPr="0060421C">
        <w:t xml:space="preserve">Methanex has two production facilities in New Zealand: Motonui and Waitara Valley. </w:t>
      </w:r>
      <w:bookmarkStart w:id="210" w:name="_Hlk219293017"/>
      <w:r w:rsidRPr="0060421C">
        <w:t>In November 2004, production at the Motunui plant was halted following insufficient gas supply in 2003, with operations resuming in late 2008</w:t>
      </w:r>
      <w:bookmarkEnd w:id="210"/>
      <w:r w:rsidRPr="0060421C">
        <w:t xml:space="preserve">. </w:t>
      </w:r>
      <w:r w:rsidRPr="0060421C">
        <w:rPr>
          <w:rFonts w:cs="Calibri"/>
        </w:rPr>
        <w:t xml:space="preserve">Output further increased at Motonui in 2012, and production at full capacity resumed in December 2013. The Waitara Valley plant was mothballed in early 2021. </w:t>
      </w:r>
      <w:r w:rsidRPr="0060421C">
        <w:rPr>
          <w:lang w:eastAsia="en-GB"/>
        </w:rPr>
        <w:t>Lower natural gas</w:t>
      </w:r>
      <w:r>
        <w:rPr>
          <w:lang w:eastAsia="en-GB"/>
        </w:rPr>
        <w:t> </w:t>
      </w:r>
      <w:r w:rsidRPr="0060421C">
        <w:rPr>
          <w:lang w:eastAsia="en-GB"/>
        </w:rPr>
        <w:t xml:space="preserve">deliverability saw Methanex cease production completely between August and October 2024 to free up natural gas for use in electricity generation. </w:t>
      </w:r>
    </w:p>
    <w:p w14:paraId="7BFDEAFB" w14:textId="77777777" w:rsidR="0038460F" w:rsidRPr="0060421C" w:rsidRDefault="0038460F" w:rsidP="0038460F">
      <w:pPr>
        <w:pStyle w:val="BodyText"/>
        <w:rPr>
          <w:rFonts w:cs="Calibri"/>
        </w:rPr>
      </w:pPr>
      <w:r w:rsidRPr="0060421C">
        <w:rPr>
          <w:rFonts w:cs="Calibri"/>
        </w:rPr>
        <w:t>Details of natural gas use for the various non-energy uses are covered in chapter 4 (IPPU sector).</w:t>
      </w:r>
    </w:p>
    <w:p w14:paraId="572C9F03" w14:textId="77777777" w:rsidR="0038460F" w:rsidRPr="0060421C" w:rsidRDefault="0038460F" w:rsidP="0038460F">
      <w:pPr>
        <w:pStyle w:val="Figure"/>
        <w:spacing w:after="80"/>
        <w:rPr>
          <w:rFonts w:cs="Calibri"/>
        </w:rPr>
      </w:pPr>
      <w:bookmarkStart w:id="211" w:name="_Toc481751985"/>
      <w:bookmarkStart w:id="212" w:name="_Toc36292769"/>
      <w:bookmarkStart w:id="213" w:name="_Toc68786634"/>
      <w:bookmarkStart w:id="214" w:name="_Toc164154005"/>
      <w:bookmarkStart w:id="215" w:name="_Toc194674838"/>
      <w:bookmarkStart w:id="216" w:name="_Toc226200665"/>
      <w:bookmarkStart w:id="217" w:name="_Toc95834069"/>
      <w:r w:rsidRPr="0060421C">
        <w:rPr>
          <w:rFonts w:cs="Calibri"/>
        </w:rPr>
        <w:t>Figure 3.1.2</w:t>
      </w:r>
      <w:r w:rsidRPr="0060421C">
        <w:tab/>
      </w:r>
      <w:r w:rsidRPr="0060421C">
        <w:rPr>
          <w:rFonts w:cs="Calibri"/>
        </w:rPr>
        <w:t>Natural gas consumption by end use type</w:t>
      </w:r>
      <w:bookmarkEnd w:id="211"/>
      <w:r w:rsidRPr="0060421C">
        <w:rPr>
          <w:rFonts w:cs="Calibri"/>
        </w:rPr>
        <w:t xml:space="preserve">, petajoules (PJ), from 1990 to </w:t>
      </w:r>
      <w:bookmarkEnd w:id="212"/>
      <w:bookmarkEnd w:id="213"/>
      <w:bookmarkEnd w:id="214"/>
      <w:bookmarkEnd w:id="215"/>
      <w:r w:rsidRPr="0060421C">
        <w:rPr>
          <w:rFonts w:cs="Calibri"/>
        </w:rPr>
        <w:t>2024</w:t>
      </w:r>
      <w:bookmarkEnd w:id="216"/>
      <w:r w:rsidRPr="0060421C">
        <w:rPr>
          <w:rFonts w:cs="Calibri"/>
        </w:rPr>
        <w:t xml:space="preserve"> </w:t>
      </w:r>
      <w:bookmarkEnd w:id="217"/>
    </w:p>
    <w:p w14:paraId="65DD0B6E" w14:textId="77777777" w:rsidR="0038460F" w:rsidRPr="0060421C" w:rsidRDefault="0038460F" w:rsidP="0038460F">
      <w:pPr>
        <w:pStyle w:val="BodyText"/>
        <w:spacing w:after="0"/>
        <w:rPr>
          <w:lang w:eastAsia="en-GB"/>
        </w:rPr>
      </w:pPr>
      <w:r w:rsidRPr="0060421C">
        <w:rPr>
          <w:noProof/>
        </w:rPr>
        <w:drawing>
          <wp:inline distT="0" distB="0" distL="0" distR="0" wp14:anchorId="7808C0D4" wp14:editId="02DA80E0">
            <wp:extent cx="5400675" cy="2590800"/>
            <wp:effectExtent l="0" t="0" r="9525" b="0"/>
            <wp:docPr id="14475462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46287" name="Picture 1447546287"/>
                    <pic:cNvPicPr/>
                  </pic:nvPicPr>
                  <pic:blipFill rotWithShape="1">
                    <a:blip r:embed="rId54">
                      <a:extLst>
                        <a:ext uri="{28A0092B-C50C-407E-A947-70E740481C1C}">
                          <a14:useLocalDpi xmlns:a14="http://schemas.microsoft.com/office/drawing/2010/main"/>
                        </a:ext>
                      </a:extLst>
                    </a:blip>
                    <a:srcRect b="4226"/>
                    <a:stretch>
                      <a:fillRect/>
                    </a:stretch>
                  </pic:blipFill>
                  <pic:spPr bwMode="auto">
                    <a:xfrm>
                      <a:off x="0" y="0"/>
                      <a:ext cx="5400675" cy="2590800"/>
                    </a:xfrm>
                    <a:prstGeom prst="rect">
                      <a:avLst/>
                    </a:prstGeom>
                    <a:ln>
                      <a:noFill/>
                    </a:ln>
                    <a:extLst>
                      <a:ext uri="{53640926-AAD7-44D8-BBD7-CCE9431645EC}">
                        <a14:shadowObscured xmlns:a14="http://schemas.microsoft.com/office/drawing/2010/main"/>
                      </a:ext>
                    </a:extLst>
                  </pic:spPr>
                </pic:pic>
              </a:graphicData>
            </a:graphic>
          </wp:inline>
        </w:drawing>
      </w:r>
    </w:p>
    <w:p w14:paraId="6C0C76E4" w14:textId="77777777" w:rsidR="0038460F" w:rsidRPr="0060421C" w:rsidRDefault="0038460F" w:rsidP="0038460F">
      <w:pPr>
        <w:pStyle w:val="Heading3"/>
        <w:spacing w:before="280"/>
        <w:rPr>
          <w:rFonts w:cs="Calibri"/>
        </w:rPr>
      </w:pPr>
      <w:r w:rsidRPr="0060421C">
        <w:rPr>
          <w:rFonts w:cs="Calibri"/>
        </w:rPr>
        <w:t>3.1.6</w:t>
      </w:r>
      <w:r w:rsidRPr="0060421C">
        <w:rPr>
          <w:rFonts w:cs="Calibri"/>
        </w:rPr>
        <w:tab/>
        <w:t>New Zealand energy balance</w:t>
      </w:r>
    </w:p>
    <w:p w14:paraId="3539F34D" w14:textId="77777777" w:rsidR="0038460F" w:rsidRPr="0060421C" w:rsidRDefault="0038460F" w:rsidP="0038460F">
      <w:pPr>
        <w:pStyle w:val="BodyText"/>
        <w:spacing w:before="100" w:after="100"/>
      </w:pPr>
      <w:r w:rsidRPr="0060421C">
        <w:t>New Zealand’s</w:t>
      </w:r>
      <w:r w:rsidRPr="0060421C">
        <w:rPr>
          <w:rFonts w:cs="Calibri"/>
        </w:rPr>
        <w:t xml:space="preserve"> energy balance, along with comprehensive information and analysis of energy supply and demand, is published annually in </w:t>
      </w:r>
      <w:r w:rsidRPr="0060421C">
        <w:rPr>
          <w:rFonts w:cs="Calibri"/>
          <w:i/>
        </w:rPr>
        <w:t>Energy in New Zealand</w:t>
      </w:r>
      <w:r w:rsidRPr="0060421C">
        <w:rPr>
          <w:rFonts w:cs="Calibri"/>
        </w:rPr>
        <w:t xml:space="preserve"> (MBIE, 2025a). It covers energy statistics and includes supply and demand by fuel types, energy balance tables, pricing information and international comparisons. An electronic copy of this report is available online at: </w:t>
      </w:r>
      <w:hyperlink r:id="rId55" w:history="1">
        <w:r w:rsidRPr="0060421C">
          <w:rPr>
            <w:rStyle w:val="Hyperlink"/>
          </w:rPr>
          <w:t>www.mbie.govt.nz/building-and-energy/energy-and-natural-resources/energy-statistics-and-modelling/energy-publications-and-technical-papers/energy-in-new-zealand</w:t>
        </w:r>
      </w:hyperlink>
      <w:r w:rsidRPr="0060421C">
        <w:t>.</w:t>
      </w:r>
    </w:p>
    <w:p w14:paraId="0B37AF29" w14:textId="77777777" w:rsidR="0038460F" w:rsidRPr="0060421C" w:rsidRDefault="0038460F" w:rsidP="0038460F">
      <w:pPr>
        <w:pStyle w:val="BodyText"/>
        <w:spacing w:before="100" w:after="100"/>
        <w:rPr>
          <w:rFonts w:cs="Calibri"/>
          <w:iCs/>
          <w:lang w:eastAsia="en-GB"/>
        </w:rPr>
      </w:pPr>
      <w:r w:rsidRPr="0060421C">
        <w:rPr>
          <w:rFonts w:cs="Calibri"/>
          <w:iCs/>
          <w:lang w:eastAsia="en-GB"/>
        </w:rPr>
        <w:t xml:space="preserve">For the most part, categories and fuels from the energy balance correspond directly with the categories and fuels in CRT 1.A(b). A few special cases occur, as follows, where the structure of the CRT does not align with </w:t>
      </w:r>
      <w:r w:rsidRPr="0060421C">
        <w:t>New Zealand’s</w:t>
      </w:r>
      <w:r w:rsidRPr="0060421C">
        <w:rPr>
          <w:rFonts w:cs="Calibri"/>
          <w:iCs/>
          <w:lang w:eastAsia="en-GB"/>
        </w:rPr>
        <w:t xml:space="preserve"> energy balance.</w:t>
      </w:r>
    </w:p>
    <w:p w14:paraId="724777BB" w14:textId="77777777" w:rsidR="0038460F" w:rsidRPr="0060421C" w:rsidRDefault="0038460F" w:rsidP="0038460F">
      <w:pPr>
        <w:pStyle w:val="Bullet"/>
        <w:rPr>
          <w:lang w:eastAsia="en-GB"/>
        </w:rPr>
      </w:pPr>
      <w:r w:rsidRPr="0060421C">
        <w:rPr>
          <w:lang w:eastAsia="en-GB"/>
        </w:rPr>
        <w:t xml:space="preserve">In the </w:t>
      </w:r>
      <w:r w:rsidRPr="0060421C">
        <w:t>New Zealand</w:t>
      </w:r>
      <w:r w:rsidRPr="0060421C">
        <w:rPr>
          <w:lang w:eastAsia="en-GB"/>
        </w:rPr>
        <w:t xml:space="preserve"> energy balance table, crude oil and refinery feedstocks are combined, whereas in CRT 1.A(b), these are separate line items.</w:t>
      </w:r>
    </w:p>
    <w:p w14:paraId="3AC937D8" w14:textId="77777777" w:rsidR="0038460F" w:rsidRPr="0060421C" w:rsidRDefault="0038460F" w:rsidP="0038460F">
      <w:pPr>
        <w:pStyle w:val="Bullet"/>
        <w:rPr>
          <w:lang w:eastAsia="en-GB"/>
        </w:rPr>
      </w:pPr>
      <w:r w:rsidRPr="0060421C">
        <w:rPr>
          <w:lang w:eastAsia="en-GB"/>
        </w:rPr>
        <w:t xml:space="preserve">In </w:t>
      </w:r>
      <w:r w:rsidRPr="0060421C">
        <w:t>New Zealand</w:t>
      </w:r>
      <w:r w:rsidRPr="0060421C">
        <w:rPr>
          <w:lang w:eastAsia="en-GB"/>
        </w:rPr>
        <w:t>,</w:t>
      </w:r>
      <w:r w:rsidRPr="0060421C">
        <w:t xml:space="preserve"> </w:t>
      </w:r>
      <w:r w:rsidRPr="0060421C">
        <w:rPr>
          <w:lang w:eastAsia="en-GB"/>
        </w:rPr>
        <w:t>liquefied petroleum gas (LPG) is considered a primary fuel and indigenous production is included in the national energy balance as such. The CRT does not allow entry of LPG production, so it is included in natural gas production and then allocated to LPG via stock change.</w:t>
      </w:r>
    </w:p>
    <w:p w14:paraId="54703D7F" w14:textId="77777777" w:rsidR="0038460F" w:rsidRPr="0060421C" w:rsidRDefault="0038460F" w:rsidP="0038460F">
      <w:pPr>
        <w:pStyle w:val="Bullet"/>
        <w:rPr>
          <w:lang w:eastAsia="en-GB"/>
        </w:rPr>
      </w:pPr>
      <w:r w:rsidRPr="0060421C">
        <w:t>New Zealand’s</w:t>
      </w:r>
      <w:r w:rsidRPr="0060421C">
        <w:rPr>
          <w:lang w:eastAsia="en-GB"/>
        </w:rPr>
        <w:t xml:space="preserve"> energy balance includes the production of synthetic gasoline from natural gas under energy transformation. The CRT does not allow entry of synthetic gasoline transformation, so it is included in natural gas production and then allocated to gasoline via stock change.</w:t>
      </w:r>
    </w:p>
    <w:p w14:paraId="70F41DC8" w14:textId="77777777" w:rsidR="0038460F" w:rsidRPr="0060421C" w:rsidRDefault="0038460F" w:rsidP="0038460F">
      <w:pPr>
        <w:pStyle w:val="BodyText"/>
        <w:spacing w:before="100" w:after="100"/>
        <w:rPr>
          <w:rFonts w:cs="Calibri"/>
          <w:iCs/>
          <w:lang w:eastAsia="en-GB"/>
        </w:rPr>
      </w:pPr>
      <w:r w:rsidRPr="0060421C">
        <w:rPr>
          <w:rFonts w:cs="Calibri"/>
          <w:iCs/>
          <w:lang w:eastAsia="en-GB"/>
        </w:rPr>
        <w:t>These allocations allow a more meaningful comparison with the sectoral approach data for liquid and gaseous fuels.</w:t>
      </w:r>
    </w:p>
    <w:p w14:paraId="60276A08" w14:textId="77777777" w:rsidR="0038460F" w:rsidRPr="0060421C" w:rsidRDefault="0038460F" w:rsidP="0038460F">
      <w:pPr>
        <w:pStyle w:val="Heading2"/>
      </w:pPr>
      <w:bookmarkStart w:id="218" w:name="_Toc321398810"/>
      <w:bookmarkStart w:id="219" w:name="_Toc384581636"/>
      <w:bookmarkStart w:id="220" w:name="_Toc448321508"/>
      <w:bookmarkStart w:id="221" w:name="_Toc481751370"/>
      <w:bookmarkStart w:id="222" w:name="_Toc36224387"/>
      <w:bookmarkStart w:id="223" w:name="_Toc68786307"/>
      <w:bookmarkStart w:id="224" w:name="_Toc164154175"/>
      <w:bookmarkStart w:id="225" w:name="_Toc194311999"/>
      <w:bookmarkStart w:id="226" w:name="_Toc226460753"/>
      <w:r w:rsidRPr="0060421C">
        <w:t>3.2</w:t>
      </w:r>
      <w:r w:rsidRPr="0060421C">
        <w:tab/>
        <w:t>Fuel combustion (CRT 1.A)</w:t>
      </w:r>
      <w:bookmarkEnd w:id="218"/>
      <w:bookmarkEnd w:id="219"/>
      <w:bookmarkEnd w:id="220"/>
      <w:bookmarkEnd w:id="221"/>
      <w:bookmarkEnd w:id="222"/>
      <w:bookmarkEnd w:id="223"/>
      <w:bookmarkEnd w:id="224"/>
      <w:bookmarkEnd w:id="225"/>
      <w:bookmarkEnd w:id="226"/>
    </w:p>
    <w:p w14:paraId="631B8FCB" w14:textId="77777777" w:rsidR="0038460F" w:rsidRPr="0060421C" w:rsidRDefault="0038460F" w:rsidP="0038460F">
      <w:pPr>
        <w:pStyle w:val="Heading3"/>
        <w:spacing w:before="240"/>
      </w:pPr>
      <w:bookmarkStart w:id="227" w:name="_Ref442177031"/>
      <w:r w:rsidRPr="0060421C">
        <w:t>3.2.1</w:t>
      </w:r>
      <w:r w:rsidRPr="0060421C">
        <w:tab/>
        <w:t xml:space="preserve">Sector-wide </w:t>
      </w:r>
      <w:bookmarkEnd w:id="227"/>
      <w:r w:rsidRPr="0060421C">
        <w:t>description</w:t>
      </w:r>
    </w:p>
    <w:p w14:paraId="33684540" w14:textId="77777777" w:rsidR="0038460F" w:rsidRPr="0060421C" w:rsidRDefault="0038460F" w:rsidP="0038460F">
      <w:pPr>
        <w:pStyle w:val="BodyText"/>
        <w:rPr>
          <w:rFonts w:cs="Calibri"/>
        </w:rPr>
      </w:pPr>
      <w:r w:rsidRPr="0060421C">
        <w:rPr>
          <w:rFonts w:cs="Calibri"/>
          <w:spacing w:val="-2"/>
        </w:rPr>
        <w:t xml:space="preserve">The </w:t>
      </w:r>
      <w:r w:rsidRPr="0060421C">
        <w:rPr>
          <w:rFonts w:cs="Calibri"/>
          <w:i/>
          <w:iCs/>
          <w:spacing w:val="-2"/>
          <w:lang w:eastAsia="en-GB"/>
        </w:rPr>
        <w:t>Fuel combustion</w:t>
      </w:r>
      <w:r w:rsidRPr="0060421C">
        <w:rPr>
          <w:rFonts w:cs="Calibri"/>
          <w:spacing w:val="-2"/>
        </w:rPr>
        <w:t xml:space="preserve"> category reports all fuel combustion activities from 1.A.1 </w:t>
      </w:r>
      <w:r w:rsidRPr="0060421C">
        <w:rPr>
          <w:rFonts w:cs="Calibri"/>
          <w:i/>
          <w:iCs/>
          <w:spacing w:val="-2"/>
          <w:lang w:eastAsia="en-GB"/>
        </w:rPr>
        <w:t>Energy industries</w:t>
      </w:r>
      <w:r w:rsidRPr="0060421C">
        <w:rPr>
          <w:rFonts w:cs="Calibri"/>
        </w:rPr>
        <w:t xml:space="preserve">, 1.A.2 </w:t>
      </w:r>
      <w:r w:rsidRPr="0060421C">
        <w:rPr>
          <w:rFonts w:cs="Calibri"/>
          <w:i/>
          <w:iCs/>
          <w:lang w:eastAsia="en-GB"/>
        </w:rPr>
        <w:t>Manufacturing industries and construction</w:t>
      </w:r>
      <w:r w:rsidRPr="0060421C">
        <w:rPr>
          <w:rFonts w:cs="Calibri"/>
        </w:rPr>
        <w:t xml:space="preserve">, 1.A.3 </w:t>
      </w:r>
      <w:r w:rsidRPr="0060421C">
        <w:rPr>
          <w:rFonts w:cs="Calibri"/>
          <w:i/>
          <w:iCs/>
          <w:lang w:eastAsia="en-GB"/>
        </w:rPr>
        <w:t>Transport</w:t>
      </w:r>
      <w:r w:rsidRPr="0060421C">
        <w:rPr>
          <w:rFonts w:cs="Calibri"/>
        </w:rPr>
        <w:t xml:space="preserve"> and 1.A.4 </w:t>
      </w:r>
      <w:r w:rsidRPr="0060421C">
        <w:rPr>
          <w:rFonts w:cs="Calibri"/>
          <w:i/>
          <w:iCs/>
          <w:lang w:eastAsia="en-GB"/>
        </w:rPr>
        <w:t>Other sectors</w:t>
      </w:r>
      <w:r w:rsidRPr="0060421C">
        <w:rPr>
          <w:rFonts w:cs="Calibri"/>
        </w:rPr>
        <w:t xml:space="preserve"> categories (figure 3.2.1). These categories use common activity data sources and emission factors. The CRTs require energy emissions to be reported by category. Apportioning energy activity data across categories is not as accurate as apportioning activity data by fuel type because of difficulties in allocating liquid fuel to the appropriate categories.</w:t>
      </w:r>
    </w:p>
    <w:p w14:paraId="42356E4F" w14:textId="77777777" w:rsidR="0038460F" w:rsidRPr="0060421C" w:rsidRDefault="0038460F" w:rsidP="0038460F">
      <w:pPr>
        <w:pStyle w:val="BodyText"/>
        <w:rPr>
          <w:rFonts w:cs="Calibri"/>
        </w:rPr>
      </w:pPr>
      <w:r w:rsidRPr="0060421C">
        <w:rPr>
          <w:rFonts w:cs="Calibri"/>
        </w:rPr>
        <w:t>Information about methodologies, emission factors, uncertainty, and quality control and assurance for each of the categories is discussed below.</w:t>
      </w:r>
    </w:p>
    <w:p w14:paraId="16D5A02C" w14:textId="40A041AE" w:rsidR="0038460F" w:rsidRPr="0060421C" w:rsidRDefault="0038460F" w:rsidP="0038460F">
      <w:pPr>
        <w:pStyle w:val="Figure"/>
        <w:rPr>
          <w:rFonts w:cs="Calibri"/>
        </w:rPr>
      </w:pPr>
      <w:bookmarkStart w:id="228" w:name="_Toc321399324"/>
      <w:bookmarkStart w:id="229" w:name="_Toc384582850"/>
      <w:bookmarkStart w:id="230" w:name="_Toc443060811"/>
      <w:bookmarkStart w:id="231" w:name="_Toc447275668"/>
      <w:bookmarkStart w:id="232" w:name="_Toc481751986"/>
      <w:bookmarkStart w:id="233" w:name="_Toc36292770"/>
      <w:bookmarkStart w:id="234" w:name="_Toc68786635"/>
      <w:bookmarkStart w:id="235" w:name="_Toc95834070"/>
      <w:bookmarkStart w:id="236" w:name="_Toc164154006"/>
      <w:bookmarkStart w:id="237" w:name="_Toc194674839"/>
      <w:bookmarkStart w:id="238" w:name="_Toc226200666"/>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1</w:t>
      </w:r>
      <w:r w:rsidRPr="0060421C">
        <w:rPr>
          <w:rFonts w:cs="Calibri"/>
        </w:rPr>
        <w:fldChar w:fldCharType="end"/>
      </w:r>
      <w:r w:rsidRPr="0060421C">
        <w:tab/>
      </w:r>
      <w:r w:rsidRPr="0060421C">
        <w:rPr>
          <w:rFonts w:cs="Calibri"/>
        </w:rPr>
        <w:t xml:space="preserve">New Zealand’s emissions from the </w:t>
      </w:r>
      <w:r w:rsidRPr="0060421C">
        <w:rPr>
          <w:rFonts w:cs="Calibri"/>
          <w:i/>
          <w:iCs/>
        </w:rPr>
        <w:t>Fuel</w:t>
      </w:r>
      <w:r w:rsidRPr="0060421C">
        <w:rPr>
          <w:rFonts w:cs="Calibri"/>
          <w:i/>
        </w:rPr>
        <w:t xml:space="preserve"> combustion</w:t>
      </w:r>
      <w:r w:rsidRPr="0060421C">
        <w:rPr>
          <w:rFonts w:cs="Calibri"/>
        </w:rPr>
        <w:t xml:space="preserve"> categor</w:t>
      </w:r>
      <w:r w:rsidRPr="0060421C" w:rsidDel="00294228">
        <w:rPr>
          <w:rFonts w:cs="Calibri"/>
        </w:rPr>
        <w:t>ies</w:t>
      </w:r>
      <w:r w:rsidRPr="0060421C">
        <w:rPr>
          <w:rFonts w:cs="Calibri"/>
        </w:rPr>
        <w:t>, 1990</w:t>
      </w:r>
      <w:bookmarkEnd w:id="228"/>
      <w:r w:rsidRPr="0060421C">
        <w:rPr>
          <w:rFonts w:cs="Calibri"/>
        </w:rPr>
        <w:t xml:space="preserve"> versus 2005 and </w:t>
      </w:r>
      <w:bookmarkEnd w:id="229"/>
      <w:bookmarkEnd w:id="230"/>
      <w:bookmarkEnd w:id="231"/>
      <w:bookmarkEnd w:id="232"/>
      <w:bookmarkEnd w:id="233"/>
      <w:bookmarkEnd w:id="234"/>
      <w:bookmarkEnd w:id="235"/>
      <w:bookmarkEnd w:id="236"/>
      <w:bookmarkEnd w:id="237"/>
      <w:r w:rsidRPr="0060421C">
        <w:rPr>
          <w:rFonts w:cs="Calibri"/>
        </w:rPr>
        <w:t>2024</w:t>
      </w:r>
      <w:bookmarkEnd w:id="238"/>
    </w:p>
    <w:p w14:paraId="1C6E78CD" w14:textId="77777777" w:rsidR="0038460F" w:rsidRPr="0060421C" w:rsidRDefault="0038460F" w:rsidP="0038460F">
      <w:pPr>
        <w:pStyle w:val="BodyText"/>
        <w:spacing w:before="100" w:after="0"/>
        <w:rPr>
          <w:rFonts w:cs="Calibri"/>
        </w:rPr>
      </w:pPr>
      <w:r w:rsidRPr="0060421C">
        <w:rPr>
          <w:rFonts w:cs="Calibri"/>
          <w:noProof/>
        </w:rPr>
        <w:drawing>
          <wp:inline distT="0" distB="0" distL="0" distR="0" wp14:anchorId="138ECE98" wp14:editId="6898600E">
            <wp:extent cx="5241151" cy="2490260"/>
            <wp:effectExtent l="0" t="0" r="0" b="5715"/>
            <wp:docPr id="49280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02940" name="Picture 1"/>
                    <pic:cNvPicPr>
                      <a:picLocks noChangeAspect="1" noChangeArrowheads="1"/>
                    </pic:cNvPicPr>
                  </pic:nvPicPr>
                  <pic:blipFill>
                    <a:blip r:embed="rId56">
                      <a:extLst>
                        <a:ext uri="{96DAC541-7B7A-43D3-8B79-37D633B846F1}">
                          <asvg:svgBlip xmlns:asvg="http://schemas.microsoft.com/office/drawing/2016/SVG/main" r:embed="rId57"/>
                        </a:ext>
                      </a:extLst>
                    </a:blip>
                    <a:srcRect t="2486" b="2486"/>
                    <a:stretch>
                      <a:fillRect/>
                    </a:stretch>
                  </pic:blipFill>
                  <pic:spPr bwMode="auto">
                    <a:xfrm>
                      <a:off x="0" y="0"/>
                      <a:ext cx="5241151" cy="2490260"/>
                    </a:xfrm>
                    <a:prstGeom prst="rect">
                      <a:avLst/>
                    </a:prstGeom>
                    <a:extLst>
                      <a:ext uri="{53640926-AAD7-44D8-BBD7-CCE9431645EC}">
                        <a14:shadowObscured xmlns:a14="http://schemas.microsoft.com/office/drawing/2010/main"/>
                      </a:ext>
                    </a:extLst>
                  </pic:spPr>
                </pic:pic>
              </a:graphicData>
            </a:graphic>
          </wp:inline>
        </w:drawing>
      </w:r>
    </w:p>
    <w:p w14:paraId="551D0885" w14:textId="77777777" w:rsidR="0038460F" w:rsidRPr="0060421C" w:rsidRDefault="0038460F" w:rsidP="0038460F">
      <w:pPr>
        <w:pStyle w:val="Heading3"/>
        <w:spacing w:before="280"/>
        <w:rPr>
          <w:rFonts w:cs="Calibri"/>
        </w:rPr>
      </w:pPr>
      <w:r w:rsidRPr="0060421C">
        <w:rPr>
          <w:rFonts w:cs="Calibri"/>
        </w:rPr>
        <w:t>3.2.2</w:t>
      </w:r>
      <w:r w:rsidRPr="0060421C">
        <w:rPr>
          <w:rFonts w:cs="Calibri"/>
        </w:rPr>
        <w:tab/>
        <w:t>Methodology and data sources</w:t>
      </w:r>
    </w:p>
    <w:p w14:paraId="55DCAB0F" w14:textId="77777777" w:rsidR="0038460F" w:rsidRPr="0060421C" w:rsidRDefault="0038460F" w:rsidP="0038460F">
      <w:pPr>
        <w:pStyle w:val="BodyText"/>
        <w:spacing w:before="100" w:after="100"/>
        <w:rPr>
          <w:rFonts w:cs="Calibri"/>
        </w:rPr>
      </w:pPr>
      <w:r w:rsidRPr="0060421C">
        <w:rPr>
          <w:rFonts w:cs="Calibri"/>
        </w:rPr>
        <w:t xml:space="preserve">This section outlines the methodologies used to estimate emissions from fuel combustion in New Zealand’s Energy sector. It describes the data sources and calculation approaches for liquid, solid, gaseous and biomass fuels, as well as electricity auto-production. The section </w:t>
      </w:r>
      <w:r w:rsidRPr="00DF4220">
        <w:rPr>
          <w:rFonts w:cs="Calibri"/>
          <w:spacing w:val="-2"/>
        </w:rPr>
        <w:t>explains how activity data are collected through national energy surveys and industry reporting</w:t>
      </w:r>
      <w:r w:rsidRPr="0060421C">
        <w:rPr>
          <w:rFonts w:cs="Calibri"/>
        </w:rPr>
        <w:t xml:space="preserve">, </w:t>
      </w:r>
      <w:r w:rsidRPr="00E71FCA">
        <w:rPr>
          <w:rFonts w:cs="Calibri"/>
          <w:spacing w:val="-2"/>
        </w:rPr>
        <w:t>and how emission factors are applied using Tier 1 and Tier 2 methods. It also covers adjustments</w:t>
      </w:r>
      <w:r w:rsidRPr="0060421C">
        <w:rPr>
          <w:rFonts w:cs="Calibri"/>
        </w:rPr>
        <w:t xml:space="preserve"> for fuel properties, treatment of international bunker fuels, and improvements made to ensure time-series consistency and sectoral disaggregation. Finally, it details the assumptions and conversion factors used for calorific values and emission factor calculations.</w:t>
      </w:r>
    </w:p>
    <w:p w14:paraId="0D9B4900" w14:textId="77777777" w:rsidR="0038460F" w:rsidRPr="0060421C" w:rsidRDefault="0038460F" w:rsidP="0038460F">
      <w:pPr>
        <w:pStyle w:val="BodyText"/>
        <w:spacing w:before="100" w:after="100"/>
        <w:rPr>
          <w:rFonts w:cs="Calibri"/>
        </w:rPr>
      </w:pPr>
      <w:r w:rsidRPr="0060421C">
        <w:rPr>
          <w:rFonts w:cs="Calibri"/>
        </w:rPr>
        <w:t>Energy emissions are compiled using MBIE’s energy statistics, along with relevant New Zealand-specific emission factors. Unless otherwise noted in the relevant section, CO</w:t>
      </w:r>
      <w:r w:rsidRPr="0060421C">
        <w:rPr>
          <w:rFonts w:cs="Calibri"/>
          <w:vertAlign w:val="subscript"/>
          <w:lang w:eastAsia="en-GB"/>
        </w:rPr>
        <w:t>2</w:t>
      </w:r>
      <w:r w:rsidRPr="0060421C">
        <w:rPr>
          <w:rFonts w:cs="Calibri"/>
        </w:rPr>
        <w:t> emissions are calculated by multiplying a country-specific emission factor for the given fuel by the relevant activity data using an IPCC (2006) Tier 2 method. Non-CO</w:t>
      </w:r>
      <w:r w:rsidRPr="0060421C">
        <w:rPr>
          <w:rFonts w:cs="Calibri"/>
          <w:vertAlign w:val="subscript"/>
          <w:lang w:eastAsia="en-GB"/>
        </w:rPr>
        <w:t>2 </w:t>
      </w:r>
      <w:r w:rsidRPr="0060421C">
        <w:rPr>
          <w:rFonts w:cs="Calibri"/>
        </w:rPr>
        <w:t>emissions are calculated using IPCC (2006) default emission factors, unless otherwise noted.</w:t>
      </w:r>
    </w:p>
    <w:p w14:paraId="194C43B8" w14:textId="77777777" w:rsidR="0038460F" w:rsidRPr="0060421C" w:rsidRDefault="0038460F" w:rsidP="0038460F">
      <w:pPr>
        <w:pStyle w:val="Heading4"/>
        <w:rPr>
          <w:rFonts w:cs="Calibri"/>
        </w:rPr>
      </w:pPr>
      <w:r w:rsidRPr="0060421C">
        <w:rPr>
          <w:lang w:eastAsia="en-GB"/>
        </w:rPr>
        <w:t xml:space="preserve">Activity data </w:t>
      </w:r>
    </w:p>
    <w:p w14:paraId="1DCE9E98" w14:textId="77777777" w:rsidR="0038460F" w:rsidRPr="0060421C" w:rsidRDefault="0038460F" w:rsidP="0038460F">
      <w:pPr>
        <w:pStyle w:val="Heading5"/>
        <w:spacing w:before="180"/>
      </w:pPr>
      <w:r w:rsidRPr="0060421C">
        <w:t>Liquid fuels</w:t>
      </w:r>
    </w:p>
    <w:p w14:paraId="1AA70244" w14:textId="77777777" w:rsidR="0038460F" w:rsidRPr="0060421C" w:rsidRDefault="0038460F" w:rsidP="0038460F">
      <w:pPr>
        <w:pStyle w:val="BodyText"/>
        <w:rPr>
          <w:rFonts w:cs="Calibri"/>
        </w:rPr>
      </w:pPr>
      <w:r w:rsidRPr="0060421C">
        <w:rPr>
          <w:rFonts w:cs="Calibri"/>
        </w:rPr>
        <w:t xml:space="preserve">Liquid fuel consumption data for the Energy sector are taken from MBIE’s national energy balance tables. Most of those data are sourced from the </w:t>
      </w:r>
      <w:r w:rsidRPr="0060421C">
        <w:rPr>
          <w:rFonts w:cs="Calibri"/>
          <w:iCs/>
          <w:lang w:eastAsia="en-GB"/>
        </w:rPr>
        <w:t>DPFI.</w:t>
      </w:r>
      <w:r w:rsidRPr="0060421C">
        <w:rPr>
          <w:rFonts w:cs="Calibri"/>
        </w:rPr>
        <w:t xml:space="preserve"> This quarterly survey includes liquid fuel sales data collected from the five oil companies importing and/or selling fuel. The purpose of the survey is to collect data on the amount of fuel delivered by all oil companies to end users and other distribution outlets. Each oil company in New Zealand supplies MBIE with the volume of petroleum fuels delivered to resellers and the industrial, commercial and residential sectors. The survey was originally conducted by Stats NZ, but MBIE took over responsibility for conducting the survey in 2009.</w:t>
      </w:r>
    </w:p>
    <w:p w14:paraId="140EA467" w14:textId="77777777" w:rsidR="0038460F" w:rsidRPr="0060421C" w:rsidRDefault="0038460F" w:rsidP="0038460F">
      <w:pPr>
        <w:pStyle w:val="BodyText"/>
        <w:rPr>
          <w:rFonts w:cs="Calibri"/>
        </w:rPr>
      </w:pPr>
      <w:r w:rsidRPr="0060421C">
        <w:rPr>
          <w:rFonts w:cs="Calibri"/>
        </w:rPr>
        <w:t xml:space="preserve">Petroleum fuels data are currently collected in volume units (thousand litres). Before 2009, data were collected in metric tonnes. Year-specific calorific values are used for all liquid fuels, reflecting changes in liquid fuel properties over time. Annual fuel property data were formerly provided by New Zealand’s sole refinery (the </w:t>
      </w:r>
      <w:r w:rsidRPr="0060421C">
        <w:t>Marsden Point Oil Refinery)</w:t>
      </w:r>
      <w:r w:rsidRPr="0060421C">
        <w:rPr>
          <w:rFonts w:cs="Calibri"/>
        </w:rPr>
        <w:t>, which ceased operations in March 2022. The properties of imported fuels are now obtained from companies that import fuel and from a national average value calculated using a weighted average of imported fuel properties.</w:t>
      </w:r>
    </w:p>
    <w:p w14:paraId="10C5B1A7" w14:textId="77777777" w:rsidR="0038460F" w:rsidRPr="0060421C" w:rsidRDefault="0038460F" w:rsidP="0038460F">
      <w:pPr>
        <w:pStyle w:val="BodyText"/>
        <w:rPr>
          <w:rFonts w:cs="Calibri"/>
        </w:rPr>
      </w:pPr>
      <w:r w:rsidRPr="0060421C">
        <w:rPr>
          <w:rFonts w:cs="Calibri"/>
        </w:rPr>
        <w:t>Emissions from fuel sold for use in international transport (e.g., international bunker fuels) are reported separately as a memo item, as required (IPCC, 2006).</w:t>
      </w:r>
    </w:p>
    <w:p w14:paraId="0B3D09EB" w14:textId="77777777" w:rsidR="0038460F" w:rsidRPr="0060421C" w:rsidRDefault="0038460F" w:rsidP="0038460F">
      <w:pPr>
        <w:pStyle w:val="BodyText"/>
        <w:rPr>
          <w:rFonts w:cs="Calibri"/>
        </w:rPr>
      </w:pPr>
      <w:r w:rsidRPr="0060421C">
        <w:rPr>
          <w:rFonts w:cs="Calibri"/>
        </w:rPr>
        <w:t xml:space="preserve">An MBIE-commissioned survey (MBIE, 2008) identified that fuel resales by independent fuel distribution companies were being over-allocated to the </w:t>
      </w:r>
      <w:r w:rsidRPr="0060421C">
        <w:rPr>
          <w:rFonts w:cs="Calibri"/>
          <w:i/>
          <w:iCs/>
        </w:rPr>
        <w:t>Transport</w:t>
      </w:r>
      <w:r w:rsidRPr="0060421C">
        <w:rPr>
          <w:rFonts w:cs="Calibri"/>
        </w:rPr>
        <w:t xml:space="preserve"> category, although most of the fuel was used in the </w:t>
      </w:r>
      <w:r w:rsidRPr="0060421C">
        <w:rPr>
          <w:rFonts w:cs="Calibri"/>
          <w:i/>
          <w:iCs/>
        </w:rPr>
        <w:t>Agriculture/forestry/fishing</w:t>
      </w:r>
      <w:r w:rsidRPr="0060421C">
        <w:rPr>
          <w:rFonts w:cs="Calibri"/>
        </w:rPr>
        <w:t xml:space="preserve"> category. In response, the Annual Liquid Fuel Survey began in 2009 to capture sector-specific deliveries of gasoline and diesel. Survey results showed that independent distributions accounted for approximately</w:t>
      </w:r>
      <w:r w:rsidRPr="0060421C">
        <w:rPr>
          <w:rFonts w:cs="Calibri"/>
          <w:spacing w:val="-2"/>
        </w:rPr>
        <w:t xml:space="preserve"> 18 percent of national total diesel consumption and 3 percent </w:t>
      </w:r>
      <w:r w:rsidRPr="0060421C">
        <w:rPr>
          <w:rFonts w:cs="Calibri"/>
        </w:rPr>
        <w:t xml:space="preserve">of gasoline consumption. Historical deliveries (1990–2006) were estimated using backcasting methods, as detailed in </w:t>
      </w:r>
      <w:r w:rsidRPr="0060421C">
        <w:rPr>
          <w:rFonts w:cs="Calibri"/>
          <w:i/>
          <w:iCs/>
        </w:rPr>
        <w:t>Delivering the Diesel – Liquid Fuel Deliveries in New Zealand 1990–2008</w:t>
      </w:r>
      <w:r w:rsidRPr="0060421C">
        <w:rPr>
          <w:rFonts w:cs="Calibri"/>
        </w:rPr>
        <w:t xml:space="preserve"> (MBIE, 2010). The survey</w:t>
      </w:r>
      <w:r w:rsidRPr="0060421C" w:rsidDel="00F60AC2">
        <w:rPr>
          <w:rFonts w:cs="Calibri"/>
        </w:rPr>
        <w:t xml:space="preserve"> </w:t>
      </w:r>
      <w:r w:rsidRPr="0060421C">
        <w:rPr>
          <w:rFonts w:cs="Calibri"/>
        </w:rPr>
        <w:t xml:space="preserve">is now conducted annually, and the results are used to allocate fuel sales across industry subsectors. </w:t>
      </w:r>
    </w:p>
    <w:p w14:paraId="3FB24354" w14:textId="77777777" w:rsidR="0038460F" w:rsidRPr="0060421C" w:rsidRDefault="0038460F" w:rsidP="0038460F">
      <w:pPr>
        <w:pStyle w:val="Heading5"/>
      </w:pPr>
      <w:r w:rsidRPr="0060421C">
        <w:t>Solid fuels</w:t>
      </w:r>
    </w:p>
    <w:p w14:paraId="34CDC7E1" w14:textId="77777777" w:rsidR="0038460F" w:rsidRPr="0060421C" w:rsidRDefault="0038460F" w:rsidP="0038460F">
      <w:pPr>
        <w:pStyle w:val="BodyText"/>
        <w:spacing w:before="80" w:after="100"/>
        <w:rPr>
          <w:rFonts w:cs="Calibri"/>
        </w:rPr>
      </w:pPr>
      <w:r w:rsidRPr="0060421C">
        <w:rPr>
          <w:rFonts w:cs="Calibri"/>
        </w:rPr>
        <w:t>Since 2009, MBIE has conducted the New Zealand Quarterly Statistical Return of Coal Production and Sales, previously conducted by Stats NZ. The survey covers coal mined and sold by coal producers in New Zealand. The three grades of coal surveyed are bituminous, subbituminous and lignite. This survey</w:t>
      </w:r>
      <w:r w:rsidRPr="0060421C">
        <w:rPr>
          <w:rFonts w:cs="Calibri"/>
          <w:i/>
          <w:iCs/>
          <w:lang w:eastAsia="en-GB"/>
        </w:rPr>
        <w:t xml:space="preserve"> </w:t>
      </w:r>
      <w:r w:rsidRPr="0060421C">
        <w:rPr>
          <w:rFonts w:cs="Calibri"/>
        </w:rPr>
        <w:t xml:space="preserve">categorises coal sales by industry, recognising over 20 industries using the Australian and New Zealand Standard Industrial Classification (ANZSIC) 2006 (Australian Bureau of Statistics and Statistics New Zealand, 2006). Before 2009, when Stats NZ ran the survey, coal sales were surveyed for only seven high-level sectors. </w:t>
      </w:r>
    </w:p>
    <w:p w14:paraId="5579DED3" w14:textId="77777777" w:rsidR="0038460F" w:rsidRPr="0060421C" w:rsidRDefault="0038460F" w:rsidP="0038460F">
      <w:pPr>
        <w:pStyle w:val="BodyText"/>
        <w:spacing w:before="100" w:after="100"/>
        <w:rPr>
          <w:rFonts w:cs="Calibri"/>
        </w:rPr>
      </w:pPr>
      <w:r w:rsidRPr="0060421C">
        <w:rPr>
          <w:rFonts w:cs="Calibri"/>
        </w:rPr>
        <w:t>All solid fuel used for iron and steel manufacture is reported under the IPPU sector, to avoid double counting.</w:t>
      </w:r>
    </w:p>
    <w:p w14:paraId="3F66278F" w14:textId="77777777" w:rsidR="0038460F" w:rsidRPr="0060421C" w:rsidRDefault="0038460F" w:rsidP="0038460F">
      <w:pPr>
        <w:pStyle w:val="Heading5"/>
        <w:spacing w:before="180"/>
      </w:pPr>
      <w:r w:rsidRPr="0060421C">
        <w:t>Gaseous fuels</w:t>
      </w:r>
    </w:p>
    <w:p w14:paraId="4D0869CC" w14:textId="77777777" w:rsidR="0038460F" w:rsidRPr="0060421C" w:rsidRDefault="0038460F" w:rsidP="0038460F">
      <w:pPr>
        <w:pStyle w:val="BodyText"/>
        <w:spacing w:before="80" w:after="100"/>
        <w:rPr>
          <w:rFonts w:cs="Calibri"/>
        </w:rPr>
      </w:pPr>
      <w:r w:rsidRPr="0060421C">
        <w:rPr>
          <w:rFonts w:cs="Calibri"/>
        </w:rPr>
        <w:t xml:space="preserve">MBIE receives activity data on gaseous fuels from various sources. Individual natural gas field operators provide information on the amount of gas extracted, vented, flared and for own use at each gas field. The operator of the Kapuni Gas Treatment Plant provides information on processed gas (including at the Kapuni gas field), while gas distribution networks provide information on gas transmission and distribution throughout New Zealand. </w:t>
      </w:r>
    </w:p>
    <w:p w14:paraId="56CF9093" w14:textId="77777777" w:rsidR="0038460F" w:rsidRPr="0060421C" w:rsidRDefault="0038460F" w:rsidP="0038460F">
      <w:pPr>
        <w:pStyle w:val="BodyText"/>
        <w:spacing w:before="100" w:after="100"/>
        <w:rPr>
          <w:rFonts w:cs="Calibri"/>
        </w:rPr>
      </w:pPr>
      <w:r w:rsidRPr="0060421C">
        <w:rPr>
          <w:rFonts w:cs="Calibri"/>
        </w:rPr>
        <w:t>Large users of gas, including electricity generation companies, provide their activity data directly to MBIE. Additionally, MBIE surveys retailers and wholesalers on a quarterly basis to obtain data on sales to industrial, commercial and residential natural gas users.</w:t>
      </w:r>
    </w:p>
    <w:p w14:paraId="73EA2C98" w14:textId="77777777" w:rsidR="0038460F" w:rsidRPr="0060421C" w:rsidRDefault="0038460F" w:rsidP="0038460F">
      <w:pPr>
        <w:pStyle w:val="BodyText"/>
        <w:spacing w:before="100" w:after="100"/>
        <w:rPr>
          <w:rFonts w:cs="Calibri"/>
        </w:rPr>
      </w:pPr>
      <w:r w:rsidRPr="0060421C">
        <w:rPr>
          <w:rFonts w:cs="Calibri"/>
        </w:rPr>
        <w:t xml:space="preserve">In response to expert review team (ERT) recommendations, all fuel combustion for electricity auto-production was disaggregated into the appropriate sector, rather than reported in category 1.A.2.g </w:t>
      </w:r>
      <w:r w:rsidRPr="0060421C">
        <w:rPr>
          <w:rFonts w:cs="Calibri"/>
          <w:i/>
          <w:lang w:eastAsia="en-GB"/>
        </w:rPr>
        <w:t>Manufacturing industries and construction – Other</w:t>
      </w:r>
      <w:r w:rsidRPr="0060421C">
        <w:rPr>
          <w:rFonts w:cs="Calibri"/>
        </w:rPr>
        <w:t>. This improvement was implemented in the 2013 submission and resulted in a reduction in unallocated industrial emissions and increases in various manufacturing and construction categories. For further information, see section 3.2.8.</w:t>
      </w:r>
    </w:p>
    <w:p w14:paraId="79BDB136" w14:textId="77777777" w:rsidR="0038460F" w:rsidRPr="0060421C" w:rsidRDefault="0038460F" w:rsidP="0038460F">
      <w:pPr>
        <w:pStyle w:val="Heading5"/>
        <w:spacing w:before="180"/>
      </w:pPr>
      <w:r w:rsidRPr="0060421C">
        <w:t>Biomass</w:t>
      </w:r>
    </w:p>
    <w:p w14:paraId="7D445754" w14:textId="77777777" w:rsidR="0038460F" w:rsidRPr="0060421C" w:rsidRDefault="0038460F" w:rsidP="0038460F">
      <w:pPr>
        <w:pStyle w:val="BodyText"/>
        <w:spacing w:before="80" w:after="100"/>
        <w:rPr>
          <w:rFonts w:cs="Calibri"/>
        </w:rPr>
      </w:pPr>
      <w:r w:rsidRPr="0060421C">
        <w:rPr>
          <w:rFonts w:cs="Calibri"/>
        </w:rPr>
        <w:t>Activity data for the use of biomass come from several different sources. MBIE receives electricity and co</w:t>
      </w:r>
      <w:r w:rsidRPr="0060421C">
        <w:rPr>
          <w:rFonts w:cs="Calibri"/>
        </w:rPr>
        <w:noBreakHyphen/>
        <w:t xml:space="preserve">generation data from electricity generators. </w:t>
      </w:r>
    </w:p>
    <w:p w14:paraId="41D73551" w14:textId="77777777" w:rsidR="0038460F" w:rsidRPr="0060421C" w:rsidRDefault="0038460F" w:rsidP="0038460F">
      <w:pPr>
        <w:pStyle w:val="Bullet"/>
        <w:spacing w:after="100"/>
        <w:rPr>
          <w:rFonts w:cs="Calibri"/>
        </w:rPr>
      </w:pPr>
      <w:r w:rsidRPr="0060421C">
        <w:rPr>
          <w:rFonts w:cs="Calibri"/>
        </w:rPr>
        <w:t>New Zealand reports emissions from landfill gas, sewage waste gas, sludge gas (derived from cattle effluent at the Tirau dairy processing facility) and commercial biogas use. Before 2013, New Zealand only reported emissions from landfill gas, sewage waste gas and commercial biogas use.</w:t>
      </w:r>
    </w:p>
    <w:p w14:paraId="78252B61" w14:textId="77777777" w:rsidR="0038460F" w:rsidRPr="0060421C" w:rsidRDefault="0038460F" w:rsidP="0038460F">
      <w:pPr>
        <w:pStyle w:val="Bullet"/>
        <w:spacing w:after="100"/>
        <w:rPr>
          <w:rFonts w:cs="Calibri"/>
        </w:rPr>
      </w:pPr>
      <w:r w:rsidRPr="0060421C">
        <w:rPr>
          <w:rFonts w:cs="Calibri"/>
        </w:rPr>
        <w:t>New Zealand’s gas biomass emissions are estimated based on electricity generation data (some of which are also estimated). No direct data are available on gas biomass emissions from landfills or sewage treatment facilities. See below for details of the estimation methodology of landfill gas and sewage waste gas.</w:t>
      </w:r>
    </w:p>
    <w:p w14:paraId="44FE28F7" w14:textId="77777777" w:rsidR="0038460F" w:rsidRPr="0060421C" w:rsidRDefault="0038460F" w:rsidP="0038460F">
      <w:pPr>
        <w:pStyle w:val="Bullet"/>
        <w:spacing w:after="100"/>
        <w:rPr>
          <w:rFonts w:cs="Calibri"/>
        </w:rPr>
      </w:pPr>
      <w:r w:rsidRPr="0060421C">
        <w:rPr>
          <w:rFonts w:cs="Calibri"/>
          <w:spacing w:val="-2"/>
        </w:rPr>
        <w:t>Gas biomass is known to be used by some local government councils, however, exploratory data collection in the past has indicated that such use occurs only in small quantities and produces insignificant emissions. Because MBIE is aware of some use, it continues to report a standard estimate introduced in 2006 to avoid any under</w:t>
      </w:r>
      <w:r w:rsidRPr="0060421C">
        <w:rPr>
          <w:rFonts w:cs="Calibri"/>
          <w:spacing w:val="-2"/>
        </w:rPr>
        <w:noBreakHyphen/>
        <w:t>reportin</w:t>
      </w:r>
      <w:r w:rsidRPr="0060421C">
        <w:rPr>
          <w:rFonts w:cs="Calibri"/>
        </w:rPr>
        <w:t>g.</w:t>
      </w:r>
    </w:p>
    <w:p w14:paraId="657667F7" w14:textId="77777777" w:rsidR="0038460F" w:rsidRPr="0060421C" w:rsidRDefault="0038460F" w:rsidP="0038460F">
      <w:pPr>
        <w:pStyle w:val="Bullet"/>
        <w:spacing w:after="100"/>
        <w:rPr>
          <w:rFonts w:cs="Calibri"/>
        </w:rPr>
      </w:pPr>
      <w:r w:rsidRPr="0060421C">
        <w:rPr>
          <w:rFonts w:cs="Calibri"/>
        </w:rPr>
        <w:t>No information is collected on flared gas biomass.</w:t>
      </w:r>
    </w:p>
    <w:p w14:paraId="0A7F5F93" w14:textId="77777777" w:rsidR="0038460F" w:rsidRPr="0060421C" w:rsidRDefault="0038460F" w:rsidP="0038460F">
      <w:pPr>
        <w:pStyle w:val="Bullet"/>
        <w:spacing w:after="100"/>
        <w:rPr>
          <w:rFonts w:cs="Calibri"/>
        </w:rPr>
      </w:pPr>
      <w:r w:rsidRPr="0060421C">
        <w:rPr>
          <w:rFonts w:cs="Calibri"/>
        </w:rPr>
        <w:t>The only gas biomass direct-use data that have been collected are for the Tirau dairy processing facility (and only one data point, which has been used for all years when it is</w:t>
      </w:r>
      <w:r>
        <w:rPr>
          <w:rFonts w:cs="Calibri"/>
        </w:rPr>
        <w:t> </w:t>
      </w:r>
      <w:r w:rsidRPr="0060421C">
        <w:rPr>
          <w:rFonts w:cs="Calibri"/>
        </w:rPr>
        <w:t>believed the plant has produced emissions).</w:t>
      </w:r>
    </w:p>
    <w:p w14:paraId="53825302" w14:textId="77777777" w:rsidR="0038460F" w:rsidRPr="0060421C" w:rsidRDefault="0038460F" w:rsidP="0038460F">
      <w:pPr>
        <w:pStyle w:val="Heading6"/>
      </w:pPr>
      <w:r w:rsidRPr="0060421C">
        <w:t>Gas biomass emissions estimates are based on electricity generation data</w:t>
      </w:r>
    </w:p>
    <w:p w14:paraId="49B74DF1" w14:textId="77777777" w:rsidR="0038460F" w:rsidRPr="0060421C" w:rsidRDefault="0038460F" w:rsidP="0038460F">
      <w:pPr>
        <w:pStyle w:val="BodyText"/>
        <w:spacing w:before="80" w:after="100"/>
        <w:rPr>
          <w:rFonts w:cs="Calibri"/>
        </w:rPr>
      </w:pPr>
      <w:r w:rsidRPr="0060421C">
        <w:rPr>
          <w:rFonts w:cs="Calibri"/>
        </w:rPr>
        <w:t>Biomass electricity generation data are collected for 14 individual plants. As of 31 December 2024, New Zealand’s gas biomass generation was known to include the following.</w:t>
      </w:r>
    </w:p>
    <w:p w14:paraId="1835E4B4" w14:textId="77777777" w:rsidR="0038460F" w:rsidRPr="0060421C" w:rsidRDefault="0038460F" w:rsidP="0038460F">
      <w:pPr>
        <w:pStyle w:val="Bullet"/>
        <w:spacing w:after="100"/>
        <w:rPr>
          <w:rFonts w:cs="Calibri"/>
        </w:rPr>
      </w:pPr>
      <w:r w:rsidRPr="0060421C">
        <w:rPr>
          <w:rFonts w:cs="Calibri"/>
        </w:rPr>
        <w:t>Eleven landfill facilities</w:t>
      </w:r>
      <w:r w:rsidRPr="0060421C" w:rsidDel="000F4933">
        <w:rPr>
          <w:rFonts w:cs="Calibri"/>
        </w:rPr>
        <w:t>,</w:t>
      </w:r>
      <w:r w:rsidRPr="0060421C">
        <w:rPr>
          <w:rFonts w:cs="Calibri"/>
        </w:rPr>
        <w:t xml:space="preserve"> totalling 40.7 megawatts (MW). These facilities are electricity only. (Some landfill gas was used to heat a swimming pool in Christchurch before the Canterbury earthquake of February 2011, but that facility suffered major earthquake damage and has been removed. A new trigeneration facility has since been built.)</w:t>
      </w:r>
    </w:p>
    <w:p w14:paraId="6693922C" w14:textId="77777777" w:rsidR="0038460F" w:rsidRPr="0060421C" w:rsidRDefault="0038460F" w:rsidP="0038460F">
      <w:pPr>
        <w:pStyle w:val="Bullet"/>
        <w:spacing w:after="100"/>
        <w:rPr>
          <w:rFonts w:cs="Calibri"/>
        </w:rPr>
      </w:pPr>
      <w:r w:rsidRPr="0060421C">
        <w:rPr>
          <w:rFonts w:cs="Calibri"/>
        </w:rPr>
        <w:t>Three wastewater treatment facilities, totalling 10.7 MW. These are all co-generation facilities that provide heat and electricity for processing sewage. No information is held on the exact type of generation plant used at these individual facilities, although they are known to be a combination of gas turbines, internal combustion engines and some steam turbine facilities.</w:t>
      </w:r>
    </w:p>
    <w:p w14:paraId="465B9872" w14:textId="77777777" w:rsidR="0038460F" w:rsidRPr="0060421C" w:rsidRDefault="0038460F" w:rsidP="0038460F">
      <w:pPr>
        <w:pStyle w:val="BodyText"/>
        <w:spacing w:before="100" w:after="100" w:line="240" w:lineRule="atLeast"/>
        <w:rPr>
          <w:rFonts w:cs="Calibri"/>
        </w:rPr>
      </w:pPr>
      <w:r w:rsidRPr="0060421C">
        <w:rPr>
          <w:rFonts w:cs="Calibri"/>
        </w:rPr>
        <w:t>Generation data are collected for each year ending 31 March, with generation assumed to be distributed equally across quarters to estimate December year-end generation. Generation data are usually collected from all these plants. However, in some years, estimates are made based on the previous year’s generation.</w:t>
      </w:r>
    </w:p>
    <w:p w14:paraId="42F42DEC" w14:textId="77777777" w:rsidR="0038460F" w:rsidRPr="0060421C" w:rsidRDefault="0038460F" w:rsidP="0038460F">
      <w:pPr>
        <w:pStyle w:val="BodyText"/>
        <w:spacing w:before="100" w:after="100" w:line="240" w:lineRule="atLeast"/>
        <w:rPr>
          <w:rFonts w:cs="Calibri"/>
        </w:rPr>
      </w:pPr>
      <w:r w:rsidRPr="0060421C">
        <w:rPr>
          <w:rFonts w:cs="Calibri"/>
        </w:rPr>
        <w:t xml:space="preserve">Fuel input information from small generators (those less than 10 MW) is not currently used within the electricity generation data system. Instead, estimates of fuel input are made on the assumption of 30 percent efficiency based on gross generation. </w:t>
      </w:r>
    </w:p>
    <w:p w14:paraId="2C928EC7" w14:textId="77777777" w:rsidR="0038460F" w:rsidRPr="0060421C" w:rsidRDefault="0038460F" w:rsidP="0038460F">
      <w:pPr>
        <w:pStyle w:val="BodyText"/>
        <w:spacing w:before="100" w:after="100" w:line="240" w:lineRule="atLeast"/>
        <w:rPr>
          <w:rFonts w:cs="Calibri"/>
        </w:rPr>
      </w:pPr>
      <w:r w:rsidRPr="0060421C">
        <w:rPr>
          <w:rFonts w:cs="Calibri"/>
        </w:rPr>
        <w:t>All generation data collected are assumed to be net generation (i.e., excluding parasitic load). These values are scaled up using default net-to-gross generation factors sourced from the International Energy Agency. For all thermal generation, the net-to-gross factor is assumed to be 1.07 (i.e., an additional 7 percent of electricity is generated but used within the plant itself). Fuel input estimates are then calculated based on the gross generation using a default electrical efficiency factor of 30 percent. This estimated quantity of biogas is used as total biogas for energy purposes. Biogas use estimates for landfill gas and sewage waste gas are calculated and reported in petajoules (PJ).</w:t>
      </w:r>
    </w:p>
    <w:p w14:paraId="0D7C2C2E" w14:textId="77777777" w:rsidR="0038460F" w:rsidRPr="0060421C" w:rsidRDefault="0038460F" w:rsidP="0038460F">
      <w:pPr>
        <w:pStyle w:val="BodyText"/>
        <w:spacing w:before="100" w:after="100"/>
        <w:rPr>
          <w:rFonts w:cs="Calibri"/>
        </w:rPr>
      </w:pPr>
      <w:r w:rsidRPr="0060421C">
        <w:rPr>
          <w:rFonts w:cs="Calibri"/>
        </w:rPr>
        <w:t>Energy quantities of gas biomass are then converted into greenhouse gas emissions using emission factors derived from the default IPCC (2006) emission factors (table 3.1.3).</w:t>
      </w:r>
    </w:p>
    <w:p w14:paraId="6FB7A9EA" w14:textId="183B9237" w:rsidR="0038460F" w:rsidRPr="0060421C" w:rsidRDefault="0038460F" w:rsidP="0038460F">
      <w:pPr>
        <w:pStyle w:val="Table"/>
      </w:pPr>
      <w:bookmarkStart w:id="239" w:name="_Toc194241669"/>
      <w:bookmarkStart w:id="240" w:name="_Toc226668955"/>
      <w:r w:rsidRPr="0060421C">
        <w:t>Table 3.</w:t>
      </w:r>
      <w:r w:rsidR="006F3B24">
        <w:t>2</w:t>
      </w:r>
      <w:r w:rsidRPr="0060421C">
        <w:t>.</w:t>
      </w:r>
      <w:r w:rsidR="006F3B24">
        <w:t>1</w:t>
      </w:r>
      <w:r w:rsidRPr="0060421C">
        <w:tab/>
        <w:t>Emission factors for gas biomass</w:t>
      </w:r>
      <w:bookmarkEnd w:id="239"/>
      <w:bookmarkEnd w:id="240"/>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479"/>
        <w:gridCol w:w="4026"/>
      </w:tblGrid>
      <w:tr w:rsidR="0038460F" w:rsidRPr="0060421C" w14:paraId="108B7B6B" w14:textId="77777777" w:rsidTr="00F16E23">
        <w:trPr>
          <w:tblHeader/>
        </w:trPr>
        <w:tc>
          <w:tcPr>
            <w:tcW w:w="2633" w:type="pct"/>
            <w:shd w:val="clear" w:color="auto" w:fill="1B556B"/>
            <w:noWrap/>
            <w:vAlign w:val="bottom"/>
            <w:hideMark/>
          </w:tcPr>
          <w:p w14:paraId="73FE619A"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Gas</w:t>
            </w:r>
          </w:p>
        </w:tc>
        <w:tc>
          <w:tcPr>
            <w:tcW w:w="2367" w:type="pct"/>
            <w:shd w:val="clear" w:color="auto" w:fill="1B556B"/>
            <w:noWrap/>
            <w:vAlign w:val="bottom"/>
            <w:hideMark/>
          </w:tcPr>
          <w:p w14:paraId="00F34ADC" w14:textId="77777777" w:rsidR="0038460F" w:rsidRPr="0060421C" w:rsidRDefault="0038460F" w:rsidP="00F16E23">
            <w:pPr>
              <w:pStyle w:val="TableTextBold"/>
              <w:spacing w:before="40" w:after="40"/>
              <w:jc w:val="right"/>
              <w:rPr>
                <w:rFonts w:cs="Calibri"/>
                <w:noProof w:val="0"/>
                <w:color w:val="FFFFFF"/>
              </w:rPr>
            </w:pPr>
            <w:r w:rsidRPr="0060421C">
              <w:rPr>
                <w:rFonts w:cs="Calibri"/>
                <w:noProof w:val="0"/>
                <w:color w:val="FFFFFF"/>
              </w:rPr>
              <w:t>Tonnes per PJ</w:t>
            </w:r>
          </w:p>
        </w:tc>
      </w:tr>
      <w:tr w:rsidR="0038460F" w:rsidRPr="0060421C" w14:paraId="6C9EBA1D" w14:textId="77777777" w:rsidTr="00F16E23">
        <w:tc>
          <w:tcPr>
            <w:tcW w:w="2633" w:type="pct"/>
            <w:noWrap/>
            <w:hideMark/>
          </w:tcPr>
          <w:p w14:paraId="520A72C4" w14:textId="77777777" w:rsidR="0038460F" w:rsidRPr="0060421C" w:rsidRDefault="0038460F" w:rsidP="00F16E23">
            <w:pPr>
              <w:pStyle w:val="TableText"/>
              <w:spacing w:before="40" w:after="40"/>
              <w:rPr>
                <w:rFonts w:cs="Calibri"/>
              </w:rPr>
            </w:pPr>
            <w:r w:rsidRPr="0060421C">
              <w:rPr>
                <w:rFonts w:cs="Calibri"/>
              </w:rPr>
              <w:t>Carbon dioxide</w:t>
            </w:r>
          </w:p>
        </w:tc>
        <w:tc>
          <w:tcPr>
            <w:tcW w:w="2367" w:type="pct"/>
            <w:noWrap/>
            <w:hideMark/>
          </w:tcPr>
          <w:p w14:paraId="75E1A5B3" w14:textId="77777777" w:rsidR="0038460F" w:rsidRPr="0060421C" w:rsidRDefault="0038460F" w:rsidP="00F16E23">
            <w:pPr>
              <w:pStyle w:val="TableText"/>
              <w:spacing w:before="40" w:after="40"/>
              <w:jc w:val="right"/>
              <w:rPr>
                <w:rFonts w:cs="Calibri"/>
              </w:rPr>
            </w:pPr>
            <w:r w:rsidRPr="0060421C">
              <w:rPr>
                <w:rFonts w:cs="Calibri"/>
              </w:rPr>
              <w:t>49,170</w:t>
            </w:r>
          </w:p>
        </w:tc>
      </w:tr>
      <w:tr w:rsidR="0038460F" w:rsidRPr="0060421C" w14:paraId="41FABD40" w14:textId="77777777" w:rsidTr="00F16E23">
        <w:tc>
          <w:tcPr>
            <w:tcW w:w="2633" w:type="pct"/>
            <w:noWrap/>
            <w:hideMark/>
          </w:tcPr>
          <w:p w14:paraId="2056CE91" w14:textId="77777777" w:rsidR="0038460F" w:rsidRPr="0060421C" w:rsidRDefault="0038460F" w:rsidP="00F16E23">
            <w:pPr>
              <w:pStyle w:val="TableText"/>
              <w:spacing w:before="40" w:after="40"/>
              <w:rPr>
                <w:rFonts w:cs="Calibri"/>
              </w:rPr>
            </w:pPr>
            <w:r w:rsidRPr="0060421C">
              <w:rPr>
                <w:rFonts w:cs="Calibri"/>
              </w:rPr>
              <w:t>Methane</w:t>
            </w:r>
          </w:p>
        </w:tc>
        <w:tc>
          <w:tcPr>
            <w:tcW w:w="2367" w:type="pct"/>
            <w:noWrap/>
            <w:hideMark/>
          </w:tcPr>
          <w:p w14:paraId="3D3F5709" w14:textId="77777777" w:rsidR="0038460F" w:rsidRPr="0060421C" w:rsidRDefault="0038460F" w:rsidP="00F16E23">
            <w:pPr>
              <w:pStyle w:val="TableText"/>
              <w:spacing w:before="40" w:after="40"/>
              <w:jc w:val="right"/>
              <w:rPr>
                <w:rFonts w:cs="Calibri"/>
              </w:rPr>
            </w:pPr>
            <w:r w:rsidRPr="0060421C">
              <w:rPr>
                <w:rFonts w:cs="Calibri"/>
              </w:rPr>
              <w:t>0.9</w:t>
            </w:r>
          </w:p>
        </w:tc>
      </w:tr>
      <w:tr w:rsidR="0038460F" w:rsidRPr="0060421C" w14:paraId="5C1AA486" w14:textId="77777777" w:rsidTr="00F16E23">
        <w:tc>
          <w:tcPr>
            <w:tcW w:w="2633" w:type="pct"/>
            <w:noWrap/>
          </w:tcPr>
          <w:p w14:paraId="4B3B16F1" w14:textId="77777777" w:rsidR="0038460F" w:rsidRPr="0060421C" w:rsidRDefault="0038460F" w:rsidP="00F16E23">
            <w:pPr>
              <w:pStyle w:val="TableText"/>
              <w:spacing w:before="40" w:after="40"/>
              <w:rPr>
                <w:rFonts w:cs="Calibri"/>
              </w:rPr>
            </w:pPr>
            <w:r w:rsidRPr="0060421C">
              <w:rPr>
                <w:rFonts w:cs="Calibri"/>
              </w:rPr>
              <w:t>Nitrous oxide</w:t>
            </w:r>
          </w:p>
        </w:tc>
        <w:tc>
          <w:tcPr>
            <w:tcW w:w="2367" w:type="pct"/>
            <w:noWrap/>
          </w:tcPr>
          <w:p w14:paraId="34EBFB76" w14:textId="77777777" w:rsidR="0038460F" w:rsidRPr="0060421C" w:rsidRDefault="0038460F" w:rsidP="00F16E23">
            <w:pPr>
              <w:pStyle w:val="TableText"/>
              <w:spacing w:before="40" w:after="40"/>
              <w:jc w:val="right"/>
              <w:rPr>
                <w:rFonts w:cs="Calibri"/>
              </w:rPr>
            </w:pPr>
            <w:r w:rsidRPr="0060421C">
              <w:rPr>
                <w:rFonts w:cs="Calibri"/>
              </w:rPr>
              <w:t>0.09</w:t>
            </w:r>
          </w:p>
        </w:tc>
      </w:tr>
    </w:tbl>
    <w:p w14:paraId="05268D89" w14:textId="77777777" w:rsidR="0038460F" w:rsidRPr="0060421C" w:rsidRDefault="0038460F" w:rsidP="0038460F">
      <w:pPr>
        <w:pStyle w:val="BodyText"/>
        <w:spacing w:before="240"/>
      </w:pPr>
      <w:r w:rsidRPr="0060421C">
        <w:t>The CO</w:t>
      </w:r>
      <w:r w:rsidRPr="0060421C">
        <w:rPr>
          <w:vertAlign w:val="subscript"/>
        </w:rPr>
        <w:t>2</w:t>
      </w:r>
      <w:r w:rsidRPr="0060421C">
        <w:t xml:space="preserve"> emission factor is derived from the IPCC (2006) default net emission factor; it is assumed that the net emission factor is 10 percent lower than the gross emission factor.</w:t>
      </w:r>
    </w:p>
    <w:p w14:paraId="331086FA" w14:textId="77777777" w:rsidR="0038460F" w:rsidRPr="0060421C" w:rsidRDefault="0038460F" w:rsidP="0038460F">
      <w:pPr>
        <w:pStyle w:val="BodyText"/>
        <w:spacing w:before="100" w:after="100"/>
        <w:rPr>
          <w:rFonts w:cs="Calibri"/>
        </w:rPr>
      </w:pPr>
      <w:r w:rsidRPr="0060421C">
        <w:rPr>
          <w:rFonts w:cs="Calibri"/>
        </w:rPr>
        <w:t>Emissions from gas biomass comprise a very small part of New Zealand’s emissions inventory. Given this situation, MBIE believes the current process is sufficient for estimating emissions from gas biomass and that efforts to improve the quality estimates are better focused on other areas.</w:t>
      </w:r>
    </w:p>
    <w:p w14:paraId="1C17063B" w14:textId="77777777" w:rsidR="0038460F" w:rsidRPr="0060421C" w:rsidRDefault="0038460F" w:rsidP="0038460F">
      <w:pPr>
        <w:pStyle w:val="Heading6"/>
      </w:pPr>
      <w:r w:rsidRPr="0060421C">
        <w:t>Solid biomass</w:t>
      </w:r>
    </w:p>
    <w:p w14:paraId="3A56BE01" w14:textId="77777777" w:rsidR="0038460F" w:rsidRPr="0060421C" w:rsidRDefault="0038460F" w:rsidP="0038460F">
      <w:pPr>
        <w:pStyle w:val="BodyText"/>
        <w:spacing w:before="100" w:line="240" w:lineRule="atLeast"/>
        <w:rPr>
          <w:rFonts w:cs="Calibri"/>
        </w:rPr>
      </w:pPr>
      <w:r w:rsidRPr="0060421C">
        <w:rPr>
          <w:rFonts w:cs="Calibri"/>
        </w:rPr>
        <w:t xml:space="preserve">Residential and industrial solid biomass activity data are taken from the annual </w:t>
      </w:r>
      <w:r w:rsidRPr="0060421C">
        <w:rPr>
          <w:rFonts w:cs="Calibri"/>
          <w:i/>
          <w:lang w:eastAsia="en-GB"/>
        </w:rPr>
        <w:t>Energy in New Zealand</w:t>
      </w:r>
      <w:r w:rsidRPr="0060421C">
        <w:rPr>
          <w:rFonts w:cs="Calibri"/>
        </w:rPr>
        <w:t xml:space="preserve"> publication (MBIE, 2025a). </w:t>
      </w:r>
    </w:p>
    <w:p w14:paraId="2CC40B86" w14:textId="77777777" w:rsidR="0038460F" w:rsidRPr="0060421C" w:rsidRDefault="0038460F" w:rsidP="0038460F">
      <w:pPr>
        <w:pStyle w:val="Heading6"/>
      </w:pPr>
      <w:r w:rsidRPr="0060421C">
        <w:t>Liquid biomass</w:t>
      </w:r>
    </w:p>
    <w:p w14:paraId="77FAE161" w14:textId="77777777" w:rsidR="0038460F" w:rsidRPr="0060421C" w:rsidRDefault="0038460F" w:rsidP="0038460F">
      <w:pPr>
        <w:pStyle w:val="BodyText"/>
        <w:rPr>
          <w:rFonts w:cs="Calibri"/>
        </w:rPr>
      </w:pPr>
      <w:r w:rsidRPr="0060421C">
        <w:rPr>
          <w:rFonts w:cs="Calibri"/>
        </w:rPr>
        <w:t xml:space="preserve">Liquid biofuel activity data are based on information collected under the </w:t>
      </w:r>
      <w:r w:rsidRPr="0060421C">
        <w:rPr>
          <w:rFonts w:cs="Calibri"/>
          <w:lang w:eastAsia="en-GB"/>
        </w:rPr>
        <w:t>Petroleum or Engine Fuel Monitoring Levy,</w:t>
      </w:r>
      <w:r w:rsidRPr="0060421C">
        <w:rPr>
          <w:rFonts w:cs="Calibri"/>
        </w:rPr>
        <w:t xml:space="preserve"> as reported in MBIE quarterly online data releases. </w:t>
      </w:r>
    </w:p>
    <w:p w14:paraId="6EA52DF0" w14:textId="77777777" w:rsidR="0038460F" w:rsidRPr="0060421C" w:rsidRDefault="0038460F" w:rsidP="0038460F">
      <w:pPr>
        <w:pStyle w:val="Heading5"/>
      </w:pPr>
      <w:r w:rsidRPr="0060421C">
        <w:t>Electricity auto-production</w:t>
      </w:r>
    </w:p>
    <w:p w14:paraId="51E03903" w14:textId="77777777" w:rsidR="0038460F" w:rsidRPr="0060421C" w:rsidRDefault="0038460F" w:rsidP="0038460F">
      <w:pPr>
        <w:pStyle w:val="BodyText"/>
        <w:spacing w:before="100"/>
        <w:rPr>
          <w:rFonts w:cs="Calibri"/>
        </w:rPr>
      </w:pPr>
      <w:r w:rsidRPr="0060421C">
        <w:rPr>
          <w:rFonts w:cs="Calibri"/>
        </w:rPr>
        <w:t xml:space="preserve">All combustion activity for electricity auto-production is allocated into the appropriate manufacturing category. </w:t>
      </w:r>
    </w:p>
    <w:p w14:paraId="21F8066D" w14:textId="77777777" w:rsidR="0038460F" w:rsidRPr="0060421C" w:rsidRDefault="0038460F" w:rsidP="0038460F">
      <w:pPr>
        <w:pStyle w:val="Heading4"/>
        <w:rPr>
          <w:rFonts w:cs="Calibri"/>
        </w:rPr>
      </w:pPr>
      <w:r w:rsidRPr="0060421C">
        <w:rPr>
          <w:lang w:eastAsia="en-GB"/>
        </w:rPr>
        <w:t>Emission factors</w:t>
      </w:r>
    </w:p>
    <w:p w14:paraId="431B5160" w14:textId="77777777" w:rsidR="0038460F" w:rsidRPr="0060421C" w:rsidRDefault="0038460F" w:rsidP="0038460F">
      <w:pPr>
        <w:pStyle w:val="BodyText"/>
        <w:rPr>
          <w:rFonts w:cs="Calibri"/>
        </w:rPr>
      </w:pPr>
      <w:r w:rsidRPr="0060421C">
        <w:rPr>
          <w:rFonts w:cs="Calibri"/>
        </w:rPr>
        <w:t>New Zealand emission factors are based on gross calorific values. A list of emission factors for CO</w:t>
      </w:r>
      <w:r w:rsidRPr="0060421C">
        <w:rPr>
          <w:rFonts w:cs="Calibri"/>
          <w:vertAlign w:val="subscript"/>
          <w:lang w:eastAsia="en-GB"/>
        </w:rPr>
        <w:t>2</w:t>
      </w:r>
      <w:r w:rsidRPr="0060421C">
        <w:rPr>
          <w:rFonts w:cs="Calibri"/>
        </w:rPr>
        <w:t>, methane (CH</w:t>
      </w:r>
      <w:r w:rsidRPr="0060421C">
        <w:rPr>
          <w:rFonts w:cs="Calibri"/>
          <w:vertAlign w:val="subscript"/>
        </w:rPr>
        <w:t>4</w:t>
      </w:r>
      <w:r w:rsidRPr="0060421C">
        <w:t>)</w:t>
      </w:r>
      <w:r w:rsidRPr="0060421C">
        <w:rPr>
          <w:rFonts w:cs="Calibri"/>
        </w:rPr>
        <w:t xml:space="preserve"> and nitrous oxide (N</w:t>
      </w:r>
      <w:r w:rsidRPr="0060421C">
        <w:rPr>
          <w:rFonts w:cs="Calibri"/>
          <w:vertAlign w:val="subscript"/>
        </w:rPr>
        <w:t>2</w:t>
      </w:r>
      <w:r w:rsidRPr="0060421C">
        <w:rPr>
          <w:rFonts w:cs="Calibri"/>
        </w:rPr>
        <w:t>O) for all fuel types is provided in volume 2, annex 5. The characteristics of liquid, solid</w:t>
      </w:r>
      <w:r w:rsidRPr="0060421C">
        <w:t> </w:t>
      </w:r>
      <w:r w:rsidRPr="0060421C">
        <w:rPr>
          <w:rFonts w:cs="Calibri"/>
        </w:rPr>
        <w:t>and gaseous fuels and biomass used in New Zealand are described under each of the fuel</w:t>
      </w:r>
      <w:r w:rsidRPr="0060421C">
        <w:t> </w:t>
      </w:r>
      <w:r w:rsidRPr="0060421C">
        <w:rPr>
          <w:rFonts w:cs="Calibri"/>
        </w:rPr>
        <w:t>sections below. Where a New Zealand-specific value is not available, MBIE uses either the IPCC (2006) value that best reflects New Zealand conditions or the mid-point value from the IPCC (2006) range. All emission factors from the IPCC (2006) are converted from net calorific value basis to gross calorific value basis. New Zealand adopts the following assumptions (table 3.1.4) from the Organisation for Economic Co-operation and</w:t>
      </w:r>
      <w:r w:rsidRPr="0060421C">
        <w:t> </w:t>
      </w:r>
      <w:r w:rsidRPr="0060421C">
        <w:rPr>
          <w:rFonts w:cs="Calibri"/>
        </w:rPr>
        <w:t>Development and International Energy Agency to make these conversions.</w:t>
      </w:r>
    </w:p>
    <w:p w14:paraId="0A0D982F" w14:textId="7DDF78D0" w:rsidR="0038460F" w:rsidRPr="0060421C" w:rsidRDefault="0038460F" w:rsidP="0038460F">
      <w:pPr>
        <w:pStyle w:val="Table"/>
      </w:pPr>
      <w:bookmarkStart w:id="241" w:name="_Toc194241670"/>
      <w:bookmarkStart w:id="242" w:name="_Toc226668956"/>
      <w:r w:rsidRPr="0060421C">
        <w:t>Table 3.</w:t>
      </w:r>
      <w:r w:rsidR="006F3B24">
        <w:t>2</w:t>
      </w:r>
      <w:r w:rsidRPr="0060421C">
        <w:t>.</w:t>
      </w:r>
      <w:r w:rsidR="006F3B24">
        <w:t>2</w:t>
      </w:r>
      <w:r w:rsidRPr="0060421C">
        <w:tab/>
        <w:t>Net-to-gross calorific value conversion factors</w:t>
      </w:r>
      <w:bookmarkEnd w:id="241"/>
      <w:bookmarkEnd w:id="242"/>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Look w:val="0420" w:firstRow="1" w:lastRow="0" w:firstColumn="0" w:lastColumn="0" w:noHBand="0" w:noVBand="1"/>
      </w:tblPr>
      <w:tblGrid>
        <w:gridCol w:w="3261"/>
        <w:gridCol w:w="5244"/>
      </w:tblGrid>
      <w:tr w:rsidR="0038460F" w:rsidRPr="0060421C" w14:paraId="271C34BB" w14:textId="77777777" w:rsidTr="00F16E23">
        <w:trPr>
          <w:trHeight w:val="300"/>
          <w:tblHeader/>
        </w:trPr>
        <w:tc>
          <w:tcPr>
            <w:tcW w:w="3261" w:type="dxa"/>
            <w:shd w:val="clear" w:color="auto" w:fill="1B556B" w:themeFill="text2"/>
            <w:noWrap/>
            <w:vAlign w:val="bottom"/>
            <w:hideMark/>
          </w:tcPr>
          <w:p w14:paraId="4694016A"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Fuel type</w:t>
            </w:r>
          </w:p>
        </w:tc>
        <w:tc>
          <w:tcPr>
            <w:tcW w:w="5244" w:type="dxa"/>
            <w:shd w:val="clear" w:color="auto" w:fill="1B556B" w:themeFill="text2"/>
            <w:noWrap/>
            <w:vAlign w:val="bottom"/>
            <w:hideMark/>
          </w:tcPr>
          <w:p w14:paraId="37071E25"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Factor</w:t>
            </w:r>
          </w:p>
        </w:tc>
      </w:tr>
      <w:tr w:rsidR="0038460F" w:rsidRPr="0060421C" w14:paraId="4028A6FA" w14:textId="77777777" w:rsidTr="00F16E23">
        <w:trPr>
          <w:trHeight w:val="300"/>
        </w:trPr>
        <w:tc>
          <w:tcPr>
            <w:tcW w:w="3261" w:type="dxa"/>
            <w:noWrap/>
            <w:hideMark/>
          </w:tcPr>
          <w:p w14:paraId="001FA1C2" w14:textId="77777777" w:rsidR="0038460F" w:rsidRPr="0060421C" w:rsidRDefault="0038460F" w:rsidP="00F16E23">
            <w:pPr>
              <w:pStyle w:val="TableText"/>
              <w:spacing w:before="40" w:after="40"/>
            </w:pPr>
            <w:r w:rsidRPr="0060421C">
              <w:t>Gaseous</w:t>
            </w:r>
          </w:p>
        </w:tc>
        <w:tc>
          <w:tcPr>
            <w:tcW w:w="5244" w:type="dxa"/>
            <w:noWrap/>
            <w:hideMark/>
          </w:tcPr>
          <w:p w14:paraId="588D4F50" w14:textId="77777777" w:rsidR="0038460F" w:rsidRPr="0060421C" w:rsidRDefault="0038460F" w:rsidP="00F16E23">
            <w:pPr>
              <w:pStyle w:val="TableText"/>
              <w:spacing w:before="40" w:after="40"/>
              <w:rPr>
                <w:rFonts w:cs="Calibri"/>
              </w:rPr>
            </w:pPr>
            <w:r w:rsidRPr="0060421C">
              <w:rPr>
                <w:rFonts w:cs="Calibri"/>
              </w:rPr>
              <w:t>0.90</w:t>
            </w:r>
          </w:p>
        </w:tc>
      </w:tr>
      <w:tr w:rsidR="0038460F" w:rsidRPr="0060421C" w14:paraId="74925EDD" w14:textId="77777777" w:rsidTr="00F16E23">
        <w:trPr>
          <w:trHeight w:val="300"/>
        </w:trPr>
        <w:tc>
          <w:tcPr>
            <w:tcW w:w="3261" w:type="dxa"/>
            <w:noWrap/>
            <w:hideMark/>
          </w:tcPr>
          <w:p w14:paraId="729A90CB" w14:textId="77777777" w:rsidR="0038460F" w:rsidRPr="0060421C" w:rsidRDefault="0038460F" w:rsidP="00F16E23">
            <w:pPr>
              <w:pStyle w:val="TableText"/>
              <w:spacing w:before="40" w:after="40"/>
            </w:pPr>
            <w:r w:rsidRPr="0060421C">
              <w:t>Liquid</w:t>
            </w:r>
          </w:p>
        </w:tc>
        <w:tc>
          <w:tcPr>
            <w:tcW w:w="5244" w:type="dxa"/>
            <w:noWrap/>
            <w:hideMark/>
          </w:tcPr>
          <w:p w14:paraId="2EB1C2FE" w14:textId="77777777" w:rsidR="0038460F" w:rsidRPr="0060421C" w:rsidRDefault="0038460F" w:rsidP="00F16E23">
            <w:pPr>
              <w:pStyle w:val="TableText"/>
              <w:spacing w:before="40" w:after="40"/>
              <w:rPr>
                <w:rFonts w:cs="Calibri"/>
              </w:rPr>
            </w:pPr>
            <w:r w:rsidRPr="0060421C">
              <w:rPr>
                <w:rFonts w:cs="Calibri"/>
              </w:rPr>
              <w:t>0.95</w:t>
            </w:r>
          </w:p>
        </w:tc>
      </w:tr>
      <w:tr w:rsidR="0038460F" w:rsidRPr="0060421C" w14:paraId="7448E9F8" w14:textId="77777777" w:rsidTr="00F16E23">
        <w:trPr>
          <w:trHeight w:val="300"/>
        </w:trPr>
        <w:tc>
          <w:tcPr>
            <w:tcW w:w="3261" w:type="dxa"/>
            <w:noWrap/>
          </w:tcPr>
          <w:p w14:paraId="2E4E4743" w14:textId="77777777" w:rsidR="0038460F" w:rsidRPr="0060421C" w:rsidRDefault="0038460F" w:rsidP="00F16E23">
            <w:pPr>
              <w:pStyle w:val="TableText"/>
              <w:spacing w:before="40" w:after="40"/>
            </w:pPr>
            <w:r w:rsidRPr="0060421C">
              <w:t>Solid</w:t>
            </w:r>
          </w:p>
        </w:tc>
        <w:tc>
          <w:tcPr>
            <w:tcW w:w="5244" w:type="dxa"/>
            <w:noWrap/>
          </w:tcPr>
          <w:p w14:paraId="0C109C4D" w14:textId="77777777" w:rsidR="0038460F" w:rsidRPr="0060421C" w:rsidRDefault="0038460F" w:rsidP="00F16E23">
            <w:pPr>
              <w:pStyle w:val="TableText"/>
              <w:spacing w:before="40" w:after="40"/>
              <w:rPr>
                <w:rFonts w:cs="Calibri"/>
              </w:rPr>
            </w:pPr>
            <w:r w:rsidRPr="0060421C">
              <w:rPr>
                <w:rFonts w:cs="Calibri"/>
              </w:rPr>
              <w:t>0.95</w:t>
            </w:r>
          </w:p>
        </w:tc>
      </w:tr>
      <w:tr w:rsidR="0038460F" w:rsidRPr="0060421C" w14:paraId="76DDB422" w14:textId="77777777" w:rsidTr="00F16E23">
        <w:trPr>
          <w:trHeight w:val="300"/>
        </w:trPr>
        <w:tc>
          <w:tcPr>
            <w:tcW w:w="3261" w:type="dxa"/>
            <w:noWrap/>
          </w:tcPr>
          <w:p w14:paraId="2C44D18C" w14:textId="77777777" w:rsidR="0038460F" w:rsidRPr="0060421C" w:rsidRDefault="0038460F" w:rsidP="00F16E23">
            <w:pPr>
              <w:pStyle w:val="TableText"/>
              <w:spacing w:before="40" w:after="40"/>
            </w:pPr>
            <w:r w:rsidRPr="0060421C">
              <w:t>Wood</w:t>
            </w:r>
          </w:p>
        </w:tc>
        <w:tc>
          <w:tcPr>
            <w:tcW w:w="5244" w:type="dxa"/>
            <w:noWrap/>
          </w:tcPr>
          <w:p w14:paraId="6727A479" w14:textId="77777777" w:rsidR="0038460F" w:rsidRPr="0060421C" w:rsidRDefault="0038460F" w:rsidP="00F16E23">
            <w:pPr>
              <w:pStyle w:val="TableText"/>
              <w:spacing w:before="40" w:after="40"/>
              <w:rPr>
                <w:rFonts w:cs="Calibri"/>
              </w:rPr>
            </w:pPr>
            <w:r w:rsidRPr="0060421C">
              <w:rPr>
                <w:rFonts w:cs="Calibri"/>
              </w:rPr>
              <w:t>0.80</w:t>
            </w:r>
          </w:p>
        </w:tc>
      </w:tr>
    </w:tbl>
    <w:p w14:paraId="3254780F" w14:textId="77777777" w:rsidR="0038460F" w:rsidRPr="0060421C" w:rsidRDefault="0038460F" w:rsidP="0038460F">
      <w:pPr>
        <w:pStyle w:val="Heading5"/>
        <w:spacing w:before="360"/>
      </w:pPr>
      <w:r w:rsidRPr="0060421C">
        <w:t>Liquid fuels</w:t>
      </w:r>
    </w:p>
    <w:p w14:paraId="6D8EAD17" w14:textId="77777777" w:rsidR="0038460F" w:rsidRPr="0060421C" w:rsidRDefault="0038460F" w:rsidP="0038460F">
      <w:pPr>
        <w:pStyle w:val="BodyText"/>
        <w:rPr>
          <w:rFonts w:cs="Calibri"/>
        </w:rPr>
      </w:pPr>
      <w:r w:rsidRPr="0060421C">
        <w:rPr>
          <w:rFonts w:cs="Calibri"/>
        </w:rPr>
        <w:t>Where possible, CO</w:t>
      </w:r>
      <w:r w:rsidRPr="0060421C">
        <w:rPr>
          <w:rFonts w:cs="Calibri"/>
          <w:vertAlign w:val="subscript"/>
          <w:lang w:eastAsia="en-GB"/>
        </w:rPr>
        <w:t>2</w:t>
      </w:r>
      <w:r w:rsidRPr="0060421C">
        <w:rPr>
          <w:rFonts w:cs="Calibri"/>
        </w:rPr>
        <w:t xml:space="preserve"> emission factors for liquid fuels are calculated on an annual basis. Carbon dioxide emission factors for 1990 to 2021 were calculated from Refining New Zealand data on the carbon content and calorific values of the fuels that they produced at the country’s only oil refinery. Due to the closure of the refinery, collection of fuel property data from fuel importers started in 2022. For non-CO</w:t>
      </w:r>
      <w:r w:rsidRPr="0060421C">
        <w:rPr>
          <w:rFonts w:cs="Calibri"/>
          <w:vertAlign w:val="subscript"/>
          <w:lang w:eastAsia="en-GB"/>
        </w:rPr>
        <w:t>2</w:t>
      </w:r>
      <w:r w:rsidRPr="0060421C">
        <w:rPr>
          <w:rFonts w:cs="Calibri"/>
        </w:rPr>
        <w:t xml:space="preserve"> emissions, IPCC (2006) default values are used unless otherwise specified in the relevant section. Volume 2, annex 5 provides further information on liquid fuel emission factors, including a time series of gross calorific values.</w:t>
      </w:r>
    </w:p>
    <w:p w14:paraId="15933CCD" w14:textId="77777777" w:rsidR="0038460F" w:rsidRPr="0060421C" w:rsidRDefault="0038460F" w:rsidP="0038460F">
      <w:pPr>
        <w:pStyle w:val="Heading5"/>
      </w:pPr>
      <w:r w:rsidRPr="0060421C">
        <w:t>Solid fuels</w:t>
      </w:r>
    </w:p>
    <w:p w14:paraId="4C90383F" w14:textId="77777777" w:rsidR="0038460F" w:rsidRPr="00463542" w:rsidRDefault="0038460F" w:rsidP="0038460F">
      <w:pPr>
        <w:pStyle w:val="BodyText"/>
        <w:rPr>
          <w:rFonts w:cs="Calibri"/>
          <w:spacing w:val="-2"/>
        </w:rPr>
      </w:pPr>
      <w:r w:rsidRPr="00463542">
        <w:rPr>
          <w:rFonts w:cs="Calibri"/>
          <w:spacing w:val="-2"/>
        </w:rPr>
        <w:t>Emission factors for solid fuels were updated for the 2016 submission across the time series from 1990 to 2008, in response to a 2013 ERT recommendation (FCCC/ARR/2013/NZL, paragraph 32) (UNFCCC, 2014). A comprehensive list of carbon content by coal mine is not available. A review of New Zealand’s coal emission factors in preparation for the New Zealand Emissions Trading Scheme (NZ ETS) (CRL Energy Ltd, 2009) recommended reweighting the current default emission factors to 2007 production rather than continuing with those in the </w:t>
      </w:r>
      <w:r w:rsidRPr="00463542">
        <w:rPr>
          <w:i/>
          <w:iCs/>
          <w:spacing w:val="-2"/>
        </w:rPr>
        <w:t>New Zealand Energy Information Handbook</w:t>
      </w:r>
      <w:r w:rsidRPr="00463542">
        <w:rPr>
          <w:spacing w:val="-2"/>
        </w:rPr>
        <w:t xml:space="preserve"> </w:t>
      </w:r>
      <w:r w:rsidRPr="00463542">
        <w:rPr>
          <w:rFonts w:cs="Calibri"/>
          <w:spacing w:val="-2"/>
        </w:rPr>
        <w:t>(Baines, 1993). However, following the recommendation of the ERT review of New Zealand’s 2013 submission (FCCC/ARR/2013/NZL, paragraph 32) (UNFCCC, 2014), the emission factors between 1990</w:t>
      </w:r>
      <w:r w:rsidRPr="00463542">
        <w:rPr>
          <w:spacing w:val="-2"/>
        </w:rPr>
        <w:t> </w:t>
      </w:r>
      <w:r w:rsidRPr="00463542">
        <w:rPr>
          <w:rFonts w:cs="Calibri"/>
          <w:spacing w:val="-2"/>
        </w:rPr>
        <w:t xml:space="preserve">and 2008 have been interpolated. </w:t>
      </w:r>
    </w:p>
    <w:p w14:paraId="53CAB66E" w14:textId="77777777" w:rsidR="0038460F" w:rsidRPr="0060421C" w:rsidRDefault="0038460F" w:rsidP="0038460F">
      <w:pPr>
        <w:pStyle w:val="BodyText"/>
        <w:rPr>
          <w:rFonts w:cs="Calibri"/>
        </w:rPr>
      </w:pPr>
      <w:r w:rsidRPr="0060421C">
        <w:rPr>
          <w:rFonts w:cs="Calibri"/>
        </w:rPr>
        <w:t>The emission factor used to calculate emissions from coal use in the public electricity and heat production sector has been weighted to reflect the combustion of imported coal. A time series of the effect of this weighting is included in volume 2, annex 5.</w:t>
      </w:r>
    </w:p>
    <w:p w14:paraId="22C5893B" w14:textId="77777777" w:rsidR="0038460F" w:rsidRPr="0060421C" w:rsidRDefault="0038460F" w:rsidP="0038460F">
      <w:pPr>
        <w:pStyle w:val="Heading5"/>
      </w:pPr>
      <w:r w:rsidRPr="0060421C">
        <w:t>Gaseous fuels</w:t>
      </w:r>
    </w:p>
    <w:p w14:paraId="0F2E6C29" w14:textId="77777777" w:rsidR="0038460F" w:rsidRPr="0060421C" w:rsidRDefault="0038460F" w:rsidP="0038460F">
      <w:pPr>
        <w:pStyle w:val="BodyText"/>
        <w:spacing w:before="100" w:after="100"/>
        <w:rPr>
          <w:rFonts w:cs="Calibri"/>
        </w:rPr>
      </w:pPr>
      <w:r w:rsidRPr="0060421C">
        <w:rPr>
          <w:rFonts w:cs="Calibri"/>
        </w:rPr>
        <w:t>New Zealand’s gaseous fuel emission factors are above the IPCC (2006) default range because New Zealand natural gas fields tend to have a higher CO</w:t>
      </w:r>
      <w:r w:rsidRPr="0060421C">
        <w:rPr>
          <w:rFonts w:cs="Calibri"/>
          <w:vertAlign w:val="subscript"/>
          <w:lang w:eastAsia="en-GB"/>
        </w:rPr>
        <w:t>2</w:t>
      </w:r>
      <w:r w:rsidRPr="0060421C">
        <w:rPr>
          <w:rFonts w:cs="Calibri"/>
        </w:rPr>
        <w:t xml:space="preserve"> content than most international gas fields. This is verified by regular gas composition analysis. Emission factors for 2024 from all fields, along with the production-weighted average, are included in volume 2, annex 5.</w:t>
      </w:r>
    </w:p>
    <w:p w14:paraId="02F81E91" w14:textId="77777777" w:rsidR="0038460F" w:rsidRPr="0060421C" w:rsidRDefault="0038460F" w:rsidP="0038460F">
      <w:pPr>
        <w:pStyle w:val="BodyText"/>
        <w:spacing w:before="100" w:after="100"/>
        <w:rPr>
          <w:rFonts w:cs="Calibri"/>
        </w:rPr>
      </w:pPr>
      <w:r w:rsidRPr="0060421C">
        <w:rPr>
          <w:rFonts w:cs="Calibri"/>
        </w:rPr>
        <w:t>The annual gaseous fuel emission factor is calculated as an average of the emission factors of all natural gas fields in New Zealand, weighted by each field’s relative production for the year. This method provides increased accuracy because it considers trends in gas fields’ production rates over time (e.g., the decline in production from both the Māui and Kapuni gas fields). This emission factor fluctuates slightly from year to year, mainly due to the relative production volume at different gas fields.</w:t>
      </w:r>
    </w:p>
    <w:p w14:paraId="03B94099" w14:textId="6FA0D89A" w:rsidR="0038460F" w:rsidRPr="0060421C" w:rsidRDefault="0038460F" w:rsidP="0038460F">
      <w:pPr>
        <w:pStyle w:val="BodyText"/>
        <w:spacing w:before="100" w:after="100"/>
        <w:rPr>
          <w:rFonts w:cs="Calibri"/>
        </w:rPr>
      </w:pPr>
      <w:r w:rsidRPr="0060421C">
        <w:rPr>
          <w:rFonts w:cs="Calibri"/>
        </w:rPr>
        <w:t>Natural gas from the Kapuni gas field has a particularly high CO</w:t>
      </w:r>
      <w:r w:rsidRPr="0060421C">
        <w:rPr>
          <w:rFonts w:cs="Calibri"/>
          <w:vertAlign w:val="subscript"/>
          <w:lang w:eastAsia="en-GB"/>
        </w:rPr>
        <w:t xml:space="preserve">2 </w:t>
      </w:r>
      <w:r w:rsidRPr="0060421C">
        <w:rPr>
          <w:rFonts w:cs="Calibri"/>
        </w:rPr>
        <w:t>content. Historically, this field has been valued by the petrochemicals industry as a feedstock. However, most of the gas</w:t>
      </w:r>
      <w:r w:rsidR="0008536B">
        <w:rPr>
          <w:rFonts w:cs="Calibri"/>
        </w:rPr>
        <w:t> </w:t>
      </w:r>
      <w:r w:rsidRPr="0060421C">
        <w:rPr>
          <w:rFonts w:cs="Calibri"/>
        </w:rPr>
        <w:t>from this field is now treated, and the excess CO</w:t>
      </w:r>
      <w:r w:rsidRPr="0060421C">
        <w:rPr>
          <w:rFonts w:cs="Calibri"/>
          <w:vertAlign w:val="subscript"/>
          <w:lang w:eastAsia="en-GB"/>
        </w:rPr>
        <w:t>2</w:t>
      </w:r>
      <w:r w:rsidRPr="0060421C">
        <w:rPr>
          <w:rFonts w:cs="Calibri"/>
        </w:rPr>
        <w:t xml:space="preserve"> is removed at the Kapuni Gas Treatment Plant. Consequently, separate emission factors were used to calculate emissions from Kapuni treated and untreated gas, due to the difference in carbon content (see volume 2, annex 5). Carbon dioxide removed from raw Kapuni gas (which is then vented) is reported in category 1.B.2.c </w:t>
      </w:r>
      <w:r w:rsidRPr="0060421C">
        <w:rPr>
          <w:rFonts w:cs="Calibri"/>
          <w:i/>
          <w:iCs/>
          <w:lang w:eastAsia="en-GB"/>
        </w:rPr>
        <w:t>Venting and flaring</w:t>
      </w:r>
      <w:r w:rsidRPr="0060421C">
        <w:rPr>
          <w:rFonts w:cs="Calibri"/>
        </w:rPr>
        <w:t>.</w:t>
      </w:r>
    </w:p>
    <w:p w14:paraId="74EFEF98" w14:textId="77777777" w:rsidR="0038460F" w:rsidRPr="0060421C" w:rsidRDefault="0038460F" w:rsidP="0038460F">
      <w:pPr>
        <w:pStyle w:val="Heading5"/>
      </w:pPr>
      <w:r w:rsidRPr="0060421C">
        <w:t>Biomass</w:t>
      </w:r>
    </w:p>
    <w:p w14:paraId="33C78C07" w14:textId="77777777" w:rsidR="0038460F" w:rsidRPr="0060421C" w:rsidRDefault="0038460F" w:rsidP="0038460F">
      <w:pPr>
        <w:pStyle w:val="BodyText"/>
        <w:spacing w:after="100"/>
        <w:rPr>
          <w:rFonts w:cs="Calibri"/>
        </w:rPr>
      </w:pPr>
      <w:r w:rsidRPr="0060421C">
        <w:rPr>
          <w:rFonts w:cs="Calibri"/>
        </w:rPr>
        <w:t xml:space="preserve">Emission factors for wood combustion are calculated from an IPCC (2006) default emission factor and assume that the net calorific value is 20 percent lower than the gross calorific value (IPCC, 2006). Carbon dioxide emissions from wood used for energy production are reported as a memo item and are not included in the estimate of New Zealand’s total greenhouse gas emissions (IPCC, 2006). Carbon dioxide emission factors for liquid biofuels are sourced from the </w:t>
      </w:r>
      <w:r w:rsidRPr="0060421C">
        <w:rPr>
          <w:rFonts w:cs="Calibri"/>
          <w:i/>
          <w:iCs/>
          <w:lang w:eastAsia="en-GB"/>
        </w:rPr>
        <w:t xml:space="preserve">New Zealand Energy Information Handbook </w:t>
      </w:r>
      <w:r w:rsidRPr="0060421C">
        <w:rPr>
          <w:rFonts w:cs="Calibri"/>
        </w:rPr>
        <w:t>(Baines, 1993), while CH</w:t>
      </w:r>
      <w:r w:rsidRPr="0060421C">
        <w:rPr>
          <w:rFonts w:cs="Calibri"/>
          <w:vertAlign w:val="subscript"/>
        </w:rPr>
        <w:t>4</w:t>
      </w:r>
      <w:r w:rsidRPr="0060421C">
        <w:rPr>
          <w:rFonts w:cs="Calibri"/>
        </w:rPr>
        <w:t xml:space="preserve"> and N</w:t>
      </w:r>
      <w:r w:rsidRPr="0060421C">
        <w:rPr>
          <w:rFonts w:cs="Calibri"/>
          <w:vertAlign w:val="subscript"/>
        </w:rPr>
        <w:t>2</w:t>
      </w:r>
      <w:r w:rsidRPr="0060421C">
        <w:rPr>
          <w:rFonts w:cs="Calibri"/>
        </w:rPr>
        <w:t>O emission factors are IPCC (2006) default emission factors.</w:t>
      </w:r>
    </w:p>
    <w:p w14:paraId="0953AFCE" w14:textId="77777777" w:rsidR="0038460F" w:rsidRPr="0060421C" w:rsidRDefault="0038460F" w:rsidP="0038460F">
      <w:pPr>
        <w:pStyle w:val="Heading3"/>
        <w:spacing w:before="320"/>
        <w:rPr>
          <w:rFonts w:cs="Calibri"/>
        </w:rPr>
      </w:pPr>
      <w:r w:rsidRPr="0060421C">
        <w:rPr>
          <w:rFonts w:cs="Calibri"/>
        </w:rPr>
        <w:t>3.2.3</w:t>
      </w:r>
      <w:r w:rsidRPr="0060421C">
        <w:tab/>
      </w:r>
      <w:r w:rsidRPr="0060421C">
        <w:rPr>
          <w:rFonts w:cs="Calibri"/>
        </w:rPr>
        <w:t>Uncertainty assessment and time-series consistency</w:t>
      </w:r>
    </w:p>
    <w:p w14:paraId="6A8C1B58" w14:textId="77777777" w:rsidR="0038460F" w:rsidRPr="0060421C" w:rsidRDefault="0038460F" w:rsidP="0038460F">
      <w:pPr>
        <w:pStyle w:val="BodyText"/>
        <w:spacing w:before="100" w:after="100"/>
        <w:rPr>
          <w:rFonts w:cs="Calibri"/>
          <w:lang w:eastAsia="en-GB"/>
        </w:rPr>
      </w:pPr>
      <w:r w:rsidRPr="0060421C">
        <w:rPr>
          <w:rFonts w:cs="Calibri"/>
          <w:spacing w:val="-2"/>
          <w:lang w:eastAsia="en-GB"/>
        </w:rPr>
        <w:t>Uncertainty in greenhouse gas emissions from fuel combustion varies, depending on the type</w:t>
      </w:r>
      <w:r w:rsidRPr="0060421C">
        <w:rPr>
          <w:rFonts w:cs="Calibri"/>
          <w:lang w:eastAsia="en-GB"/>
        </w:rPr>
        <w:t xml:space="preserve"> of </w:t>
      </w:r>
      <w:r w:rsidRPr="0060421C">
        <w:rPr>
          <w:rFonts w:cs="Calibri"/>
          <w:spacing w:val="-2"/>
          <w:lang w:eastAsia="en-GB"/>
        </w:rPr>
        <w:t>greenhouse gas. The uncertainty in CO</w:t>
      </w:r>
      <w:r w:rsidRPr="0060421C">
        <w:rPr>
          <w:rFonts w:cs="Calibri"/>
          <w:spacing w:val="-2"/>
          <w:vertAlign w:val="subscript"/>
          <w:lang w:eastAsia="en-GB"/>
        </w:rPr>
        <w:t>2</w:t>
      </w:r>
      <w:r w:rsidRPr="0060421C">
        <w:rPr>
          <w:rFonts w:cs="Calibri"/>
          <w:spacing w:val="-2"/>
          <w:sz w:val="14"/>
          <w:szCs w:val="14"/>
          <w:lang w:eastAsia="en-GB"/>
        </w:rPr>
        <w:t xml:space="preserve"> </w:t>
      </w:r>
      <w:r w:rsidRPr="0060421C">
        <w:rPr>
          <w:rFonts w:cs="Calibri"/>
          <w:spacing w:val="-2"/>
          <w:lang w:eastAsia="en-GB"/>
        </w:rPr>
        <w:t>emissions is relatively low. This is important because CO</w:t>
      </w:r>
      <w:r w:rsidRPr="0060421C">
        <w:rPr>
          <w:rFonts w:cs="Calibri"/>
          <w:spacing w:val="-2"/>
          <w:vertAlign w:val="subscript"/>
          <w:lang w:eastAsia="en-GB"/>
        </w:rPr>
        <w:t>2</w:t>
      </w:r>
      <w:r w:rsidRPr="0060421C">
        <w:rPr>
          <w:rFonts w:cs="Calibri"/>
          <w:spacing w:val="-2"/>
          <w:lang w:eastAsia="en-GB"/>
        </w:rPr>
        <w:t xml:space="preserve"> emissions comprise around 96 percent to 97 percent of </w:t>
      </w:r>
      <w:r w:rsidRPr="0060421C">
        <w:rPr>
          <w:rFonts w:cs="Calibri"/>
          <w:spacing w:val="-2"/>
        </w:rPr>
        <w:t>CO</w:t>
      </w:r>
      <w:r w:rsidRPr="0060421C">
        <w:rPr>
          <w:rFonts w:cs="Calibri"/>
          <w:spacing w:val="-2"/>
          <w:vertAlign w:val="subscript"/>
        </w:rPr>
        <w:t>2</w:t>
      </w:r>
      <w:r w:rsidRPr="0060421C">
        <w:rPr>
          <w:rFonts w:cs="Calibri"/>
          <w:spacing w:val="-2"/>
        </w:rPr>
        <w:t>e</w:t>
      </w:r>
      <w:r w:rsidRPr="0060421C">
        <w:rPr>
          <w:rFonts w:cs="Calibri"/>
          <w:spacing w:val="-2"/>
          <w:lang w:eastAsia="en-GB"/>
        </w:rPr>
        <w:t xml:space="preserve"> emissions from fuel combustion</w:t>
      </w:r>
      <w:r w:rsidRPr="0060421C">
        <w:rPr>
          <w:rFonts w:cs="Calibri"/>
          <w:lang w:eastAsia="en-GB"/>
        </w:rPr>
        <w:t xml:space="preserve"> in </w:t>
      </w:r>
      <w:r w:rsidRPr="0060421C">
        <w:rPr>
          <w:rFonts w:cs="Calibri"/>
        </w:rPr>
        <w:t>New Zealand</w:t>
      </w:r>
      <w:r w:rsidRPr="0060421C">
        <w:rPr>
          <w:rFonts w:cs="Calibri"/>
          <w:lang w:eastAsia="en-GB"/>
        </w:rPr>
        <w:t>. In comparison, emissions of the non-</w:t>
      </w:r>
      <w:r w:rsidRPr="0060421C">
        <w:rPr>
          <w:rFonts w:cs="Calibri"/>
        </w:rPr>
        <w:t>CO</w:t>
      </w:r>
      <w:r w:rsidRPr="0060421C">
        <w:rPr>
          <w:rFonts w:cs="Calibri"/>
          <w:vertAlign w:val="subscript"/>
        </w:rPr>
        <w:t>2</w:t>
      </w:r>
      <w:r w:rsidRPr="0060421C">
        <w:rPr>
          <w:rFonts w:cs="Calibri"/>
          <w:sz w:val="14"/>
          <w:szCs w:val="14"/>
          <w:lang w:eastAsia="en-GB"/>
        </w:rPr>
        <w:t xml:space="preserve"> </w:t>
      </w:r>
      <w:r w:rsidRPr="0060421C">
        <w:rPr>
          <w:rFonts w:cs="Calibri"/>
          <w:lang w:eastAsia="en-GB"/>
        </w:rPr>
        <w:t xml:space="preserve">gases are much less certain because emissions of these gases vary with combustion conditions. Uncertainties for </w:t>
      </w:r>
      <w:r w:rsidRPr="0060421C">
        <w:rPr>
          <w:rFonts w:cs="Calibri"/>
        </w:rPr>
        <w:t>CO</w:t>
      </w:r>
      <w:r w:rsidRPr="0060421C">
        <w:rPr>
          <w:rFonts w:cs="Calibri"/>
          <w:vertAlign w:val="subscript"/>
        </w:rPr>
        <w:t>2</w:t>
      </w:r>
      <w:r w:rsidRPr="0060421C">
        <w:rPr>
          <w:rFonts w:cs="Calibri"/>
          <w:lang w:eastAsia="en-GB"/>
        </w:rPr>
        <w:t xml:space="preserve">, </w:t>
      </w:r>
      <w:r w:rsidRPr="0060421C">
        <w:rPr>
          <w:rFonts w:cs="Calibri"/>
        </w:rPr>
        <w:t>CH</w:t>
      </w:r>
      <w:r w:rsidRPr="0060421C">
        <w:rPr>
          <w:rFonts w:cs="Calibri"/>
          <w:vertAlign w:val="subscript"/>
        </w:rPr>
        <w:t>4</w:t>
      </w:r>
      <w:r w:rsidRPr="0060421C">
        <w:rPr>
          <w:rFonts w:cs="Calibri"/>
          <w:lang w:eastAsia="en-GB"/>
        </w:rPr>
        <w:t xml:space="preserve"> and </w:t>
      </w:r>
      <w:r w:rsidRPr="0060421C">
        <w:rPr>
          <w:rFonts w:cs="Calibri"/>
        </w:rPr>
        <w:t>N</w:t>
      </w:r>
      <w:r w:rsidRPr="0060421C">
        <w:rPr>
          <w:rFonts w:cs="Calibri"/>
          <w:vertAlign w:val="subscript"/>
        </w:rPr>
        <w:t>2</w:t>
      </w:r>
      <w:r w:rsidRPr="0060421C">
        <w:rPr>
          <w:rFonts w:cs="Calibri"/>
        </w:rPr>
        <w:t>O</w:t>
      </w:r>
      <w:r w:rsidRPr="0060421C">
        <w:rPr>
          <w:rFonts w:cs="Calibri"/>
          <w:lang w:eastAsia="en-GB"/>
        </w:rPr>
        <w:t xml:space="preserve"> activity data and emission factors are supplied in table 3.2.1. Many of the non</w:t>
      </w:r>
      <w:r w:rsidRPr="0060421C">
        <w:rPr>
          <w:rFonts w:cs="Calibri"/>
          <w:lang w:eastAsia="en-GB"/>
        </w:rPr>
        <w:noBreakHyphen/>
      </w:r>
      <w:r w:rsidRPr="0060421C">
        <w:rPr>
          <w:rFonts w:cs="Calibri"/>
        </w:rPr>
        <w:t>CO</w:t>
      </w:r>
      <w:r w:rsidRPr="0060421C">
        <w:rPr>
          <w:rFonts w:cs="Calibri"/>
          <w:vertAlign w:val="subscript"/>
        </w:rPr>
        <w:t>2</w:t>
      </w:r>
      <w:r w:rsidRPr="0060421C">
        <w:rPr>
          <w:rFonts w:cs="Calibri"/>
          <w:sz w:val="14"/>
          <w:szCs w:val="14"/>
          <w:lang w:eastAsia="en-GB"/>
        </w:rPr>
        <w:t xml:space="preserve"> </w:t>
      </w:r>
      <w:r w:rsidRPr="0060421C">
        <w:rPr>
          <w:rFonts w:cs="Calibri"/>
          <w:lang w:eastAsia="en-GB"/>
        </w:rPr>
        <w:t xml:space="preserve">emission factors used by </w:t>
      </w:r>
      <w:r w:rsidRPr="0060421C">
        <w:rPr>
          <w:rFonts w:cs="Calibri"/>
        </w:rPr>
        <w:t xml:space="preserve">New Zealand </w:t>
      </w:r>
      <w:r w:rsidRPr="0060421C">
        <w:rPr>
          <w:rFonts w:cs="Calibri"/>
          <w:lang w:eastAsia="en-GB"/>
        </w:rPr>
        <w:t>are the IPCC (2006) default values. Further detailed information around uncertainties for each fuel type can be found in volume 2, annex 5.</w:t>
      </w:r>
    </w:p>
    <w:p w14:paraId="1C01F0F0" w14:textId="5D4F4E6F" w:rsidR="0038460F" w:rsidRPr="0060421C" w:rsidRDefault="0038460F" w:rsidP="0038460F">
      <w:pPr>
        <w:pStyle w:val="Table"/>
      </w:pPr>
      <w:bookmarkStart w:id="243" w:name="_Toc384582169"/>
      <w:bookmarkStart w:id="244" w:name="_Toc443060845"/>
      <w:bookmarkStart w:id="245" w:name="_Toc451176061"/>
      <w:bookmarkStart w:id="246" w:name="_Toc481751487"/>
      <w:bookmarkStart w:id="247" w:name="_Toc507496590"/>
      <w:bookmarkStart w:id="248" w:name="_Toc36224524"/>
      <w:bookmarkStart w:id="249" w:name="_Toc68786405"/>
      <w:bookmarkStart w:id="250" w:name="_Toc164153804"/>
      <w:bookmarkStart w:id="251" w:name="_Toc194241671"/>
      <w:bookmarkStart w:id="252" w:name="_Toc226668957"/>
      <w:r w:rsidRPr="0060421C">
        <w:t>Table 3.2.</w:t>
      </w:r>
      <w:r w:rsidR="006F3B24">
        <w:t>3</w:t>
      </w:r>
      <w:r w:rsidRPr="0060421C">
        <w:tab/>
        <w:t>Uncertainty for New Zealand’s Energy sector emission estimates</w:t>
      </w:r>
      <w:bookmarkEnd w:id="243"/>
      <w:bookmarkEnd w:id="244"/>
      <w:bookmarkEnd w:id="245"/>
      <w:bookmarkEnd w:id="246"/>
      <w:bookmarkEnd w:id="247"/>
      <w:bookmarkEnd w:id="248"/>
      <w:r w:rsidRPr="0060421C">
        <w:t xml:space="preserve"> for </w:t>
      </w:r>
      <w:bookmarkEnd w:id="249"/>
      <w:bookmarkEnd w:id="250"/>
      <w:bookmarkEnd w:id="251"/>
      <w:r w:rsidRPr="0060421C">
        <w:t>2024</w:t>
      </w:r>
      <w:bookmarkEnd w:id="252"/>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15"/>
        <w:gridCol w:w="4010"/>
        <w:gridCol w:w="1861"/>
        <w:gridCol w:w="2119"/>
      </w:tblGrid>
      <w:tr w:rsidR="0038460F" w:rsidRPr="0060421C" w14:paraId="229BD884" w14:textId="77777777" w:rsidTr="00331DFE">
        <w:trPr>
          <w:tblHeader/>
        </w:trPr>
        <w:tc>
          <w:tcPr>
            <w:tcW w:w="510" w:type="dxa"/>
            <w:shd w:val="clear" w:color="auto" w:fill="1B556B" w:themeFill="text2"/>
            <w:noWrap/>
            <w:vAlign w:val="bottom"/>
            <w:hideMark/>
          </w:tcPr>
          <w:p w14:paraId="1184E53B" w14:textId="77777777" w:rsidR="0038460F" w:rsidRPr="0060421C" w:rsidRDefault="0038460F" w:rsidP="00F16E23">
            <w:pPr>
              <w:pStyle w:val="TableTextBold"/>
              <w:keepNext/>
              <w:spacing w:before="40" w:after="40"/>
              <w:rPr>
                <w:rFonts w:cs="Calibri"/>
                <w:noProof w:val="0"/>
                <w:color w:val="FFFFFF"/>
              </w:rPr>
            </w:pPr>
          </w:p>
        </w:tc>
        <w:tc>
          <w:tcPr>
            <w:tcW w:w="3969" w:type="dxa"/>
            <w:shd w:val="clear" w:color="auto" w:fill="1B556B" w:themeFill="text2"/>
            <w:noWrap/>
            <w:vAlign w:val="bottom"/>
            <w:hideMark/>
          </w:tcPr>
          <w:p w14:paraId="325ACB32"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 xml:space="preserve">Category </w:t>
            </w:r>
          </w:p>
        </w:tc>
        <w:tc>
          <w:tcPr>
            <w:tcW w:w="1842" w:type="dxa"/>
            <w:shd w:val="clear" w:color="auto" w:fill="1B556B" w:themeFill="text2"/>
            <w:vAlign w:val="bottom"/>
            <w:hideMark/>
          </w:tcPr>
          <w:p w14:paraId="603210EF" w14:textId="77777777" w:rsidR="0038460F" w:rsidRPr="0060421C" w:rsidRDefault="0038460F" w:rsidP="00F16E23">
            <w:pPr>
              <w:pStyle w:val="TableTextBold"/>
              <w:keepNext/>
              <w:spacing w:before="40" w:after="40"/>
              <w:jc w:val="right"/>
              <w:rPr>
                <w:rFonts w:cs="Calibri"/>
                <w:noProof w:val="0"/>
                <w:color w:val="FFFFFF"/>
              </w:rPr>
            </w:pPr>
            <w:r w:rsidRPr="0060421C">
              <w:rPr>
                <w:rFonts w:cs="Calibri"/>
                <w:noProof w:val="0"/>
                <w:color w:val="FFFFFF"/>
              </w:rPr>
              <w:t>Activity data uncertainty (%)</w:t>
            </w:r>
          </w:p>
        </w:tc>
        <w:tc>
          <w:tcPr>
            <w:tcW w:w="2098" w:type="dxa"/>
            <w:shd w:val="clear" w:color="auto" w:fill="1B556B" w:themeFill="text2"/>
            <w:vAlign w:val="bottom"/>
            <w:hideMark/>
          </w:tcPr>
          <w:p w14:paraId="7BC07D82" w14:textId="77777777" w:rsidR="0038460F" w:rsidRPr="0060421C" w:rsidRDefault="0038460F" w:rsidP="00F16E23">
            <w:pPr>
              <w:pStyle w:val="TableTextBold"/>
              <w:keepNext/>
              <w:spacing w:before="40" w:after="40"/>
              <w:jc w:val="right"/>
              <w:rPr>
                <w:rFonts w:cs="Calibri"/>
                <w:noProof w:val="0"/>
                <w:color w:val="FFFFFF"/>
              </w:rPr>
            </w:pPr>
            <w:r w:rsidRPr="0060421C">
              <w:rPr>
                <w:rFonts w:cs="Calibri"/>
                <w:noProof w:val="0"/>
                <w:color w:val="FFFFFF"/>
              </w:rPr>
              <w:t>Emission factor uncertainty (%)</w:t>
            </w:r>
          </w:p>
        </w:tc>
      </w:tr>
      <w:tr w:rsidR="0038460F" w:rsidRPr="0060421C" w14:paraId="1CAFA8B8" w14:textId="77777777" w:rsidTr="00331DFE">
        <w:tc>
          <w:tcPr>
            <w:tcW w:w="510" w:type="dxa"/>
            <w:vMerge w:val="restart"/>
            <w:noWrap/>
            <w:vAlign w:val="center"/>
          </w:tcPr>
          <w:p w14:paraId="4FCE1632" w14:textId="77777777" w:rsidR="0038460F" w:rsidRPr="0060421C" w:rsidRDefault="0038460F" w:rsidP="00F16E23">
            <w:pPr>
              <w:pStyle w:val="TableText"/>
              <w:keepNext/>
              <w:spacing w:before="40" w:after="40"/>
              <w:rPr>
                <w:rFonts w:cs="Calibri"/>
              </w:rPr>
            </w:pPr>
            <w:r w:rsidRPr="0060421C">
              <w:rPr>
                <w:rFonts w:cs="Calibri"/>
              </w:rPr>
              <w:t>CO</w:t>
            </w:r>
            <w:r w:rsidRPr="0060421C">
              <w:rPr>
                <w:rFonts w:cs="Calibri"/>
                <w:vertAlign w:val="subscript"/>
              </w:rPr>
              <w:t>2</w:t>
            </w:r>
          </w:p>
        </w:tc>
        <w:tc>
          <w:tcPr>
            <w:tcW w:w="3969" w:type="dxa"/>
            <w:noWrap/>
          </w:tcPr>
          <w:p w14:paraId="303658A0" w14:textId="77777777" w:rsidR="0038460F" w:rsidRPr="0060421C" w:rsidRDefault="0038460F" w:rsidP="00F16E23">
            <w:pPr>
              <w:pStyle w:val="TableText"/>
              <w:keepNext/>
              <w:spacing w:before="40" w:after="40"/>
              <w:rPr>
                <w:rFonts w:cs="Calibri"/>
              </w:rPr>
            </w:pPr>
            <w:r w:rsidRPr="0060421C">
              <w:t>Gaseous fuels</w:t>
            </w:r>
          </w:p>
        </w:tc>
        <w:tc>
          <w:tcPr>
            <w:tcW w:w="1842" w:type="dxa"/>
            <w:noWrap/>
          </w:tcPr>
          <w:p w14:paraId="2FF2D183" w14:textId="77777777" w:rsidR="0038460F" w:rsidRPr="0060421C" w:rsidRDefault="0038460F" w:rsidP="00F16E23">
            <w:pPr>
              <w:pStyle w:val="TableText"/>
              <w:keepNext/>
              <w:spacing w:before="40" w:after="40"/>
              <w:jc w:val="right"/>
              <w:rPr>
                <w:rFonts w:cs="Calibri"/>
              </w:rPr>
            </w:pPr>
            <w:r w:rsidRPr="0060421C">
              <w:rPr>
                <w:rFonts w:cs="Calibri"/>
              </w:rPr>
              <w:t>±</w:t>
            </w:r>
            <w:r w:rsidRPr="0060421C">
              <w:t>7.3</w:t>
            </w:r>
          </w:p>
        </w:tc>
        <w:tc>
          <w:tcPr>
            <w:tcW w:w="2098" w:type="dxa"/>
            <w:noWrap/>
          </w:tcPr>
          <w:p w14:paraId="115C4AD6" w14:textId="77777777" w:rsidR="0038460F" w:rsidRPr="0060421C" w:rsidRDefault="0038460F" w:rsidP="00F16E23">
            <w:pPr>
              <w:pStyle w:val="TableText"/>
              <w:keepNext/>
              <w:spacing w:before="40" w:after="40"/>
              <w:jc w:val="right"/>
              <w:rPr>
                <w:rFonts w:cs="Calibri"/>
              </w:rPr>
            </w:pPr>
            <w:r w:rsidRPr="0060421C">
              <w:rPr>
                <w:rFonts w:cs="Calibri"/>
              </w:rPr>
              <w:t>±</w:t>
            </w:r>
            <w:r w:rsidRPr="0060421C">
              <w:t>2.4</w:t>
            </w:r>
          </w:p>
        </w:tc>
      </w:tr>
      <w:tr w:rsidR="0038460F" w:rsidRPr="0060421C" w14:paraId="72D434FA" w14:textId="77777777" w:rsidTr="00331DFE">
        <w:tc>
          <w:tcPr>
            <w:tcW w:w="510" w:type="dxa"/>
            <w:vMerge/>
            <w:noWrap/>
          </w:tcPr>
          <w:p w14:paraId="19E85E6F" w14:textId="77777777" w:rsidR="0038460F" w:rsidRPr="0060421C" w:rsidRDefault="0038460F" w:rsidP="00F16E23">
            <w:pPr>
              <w:pStyle w:val="TableText"/>
              <w:keepNext/>
              <w:spacing w:before="40" w:after="40"/>
              <w:rPr>
                <w:rFonts w:cs="Calibri"/>
              </w:rPr>
            </w:pPr>
          </w:p>
        </w:tc>
        <w:tc>
          <w:tcPr>
            <w:tcW w:w="3969" w:type="dxa"/>
            <w:noWrap/>
          </w:tcPr>
          <w:p w14:paraId="027B75A9" w14:textId="77777777" w:rsidR="0038460F" w:rsidRPr="0060421C" w:rsidRDefault="0038460F" w:rsidP="00F16E23">
            <w:pPr>
              <w:pStyle w:val="TableText"/>
              <w:keepNext/>
              <w:spacing w:before="40" w:after="40"/>
              <w:rPr>
                <w:rFonts w:cs="Calibri"/>
              </w:rPr>
            </w:pPr>
            <w:r w:rsidRPr="0060421C">
              <w:t>Liquid fuels</w:t>
            </w:r>
          </w:p>
        </w:tc>
        <w:tc>
          <w:tcPr>
            <w:tcW w:w="1842" w:type="dxa"/>
            <w:noWrap/>
          </w:tcPr>
          <w:p w14:paraId="555D83C0" w14:textId="77777777" w:rsidR="0038460F" w:rsidRPr="0060421C" w:rsidRDefault="0038460F" w:rsidP="00F16E23">
            <w:pPr>
              <w:pStyle w:val="TableText"/>
              <w:keepNext/>
              <w:spacing w:before="40" w:after="40"/>
              <w:jc w:val="right"/>
              <w:rPr>
                <w:rFonts w:cs="Calibri"/>
              </w:rPr>
            </w:pPr>
            <w:r w:rsidRPr="0060421C">
              <w:rPr>
                <w:rFonts w:cs="Calibri"/>
              </w:rPr>
              <w:t>±</w:t>
            </w:r>
            <w:r w:rsidRPr="0060421C">
              <w:t>0.9</w:t>
            </w:r>
          </w:p>
        </w:tc>
        <w:tc>
          <w:tcPr>
            <w:tcW w:w="2098" w:type="dxa"/>
            <w:noWrap/>
          </w:tcPr>
          <w:p w14:paraId="7F942ECC" w14:textId="77777777" w:rsidR="0038460F" w:rsidRPr="0060421C" w:rsidRDefault="0038460F" w:rsidP="00F16E23">
            <w:pPr>
              <w:pStyle w:val="TableText"/>
              <w:keepNext/>
              <w:spacing w:before="40" w:after="40"/>
              <w:jc w:val="right"/>
              <w:rPr>
                <w:rFonts w:cs="Calibri"/>
              </w:rPr>
            </w:pPr>
            <w:r w:rsidRPr="0060421C">
              <w:rPr>
                <w:rFonts w:cs="Calibri"/>
              </w:rPr>
              <w:t>±</w:t>
            </w:r>
            <w:r w:rsidRPr="0060421C">
              <w:t>0.5</w:t>
            </w:r>
          </w:p>
        </w:tc>
      </w:tr>
      <w:tr w:rsidR="0038460F" w:rsidRPr="0060421C" w14:paraId="1A3B60C8" w14:textId="77777777" w:rsidTr="00331DFE">
        <w:tc>
          <w:tcPr>
            <w:tcW w:w="510" w:type="dxa"/>
            <w:vMerge/>
            <w:noWrap/>
          </w:tcPr>
          <w:p w14:paraId="5201582D" w14:textId="77777777" w:rsidR="0038460F" w:rsidRPr="0060421C" w:rsidRDefault="0038460F" w:rsidP="00F16E23">
            <w:pPr>
              <w:pStyle w:val="TableText"/>
              <w:spacing w:before="40" w:after="40"/>
              <w:rPr>
                <w:rFonts w:cs="Calibri"/>
              </w:rPr>
            </w:pPr>
          </w:p>
        </w:tc>
        <w:tc>
          <w:tcPr>
            <w:tcW w:w="3969" w:type="dxa"/>
            <w:noWrap/>
          </w:tcPr>
          <w:p w14:paraId="18A08BD8" w14:textId="77777777" w:rsidR="0038460F" w:rsidRPr="0060421C" w:rsidRDefault="0038460F" w:rsidP="00F16E23">
            <w:pPr>
              <w:pStyle w:val="TableText"/>
              <w:spacing w:before="40" w:after="40"/>
              <w:rPr>
                <w:rFonts w:cs="Calibri"/>
              </w:rPr>
            </w:pPr>
            <w:r w:rsidRPr="0060421C">
              <w:t>Other fossil fuels</w:t>
            </w:r>
          </w:p>
        </w:tc>
        <w:tc>
          <w:tcPr>
            <w:tcW w:w="1842" w:type="dxa"/>
            <w:noWrap/>
          </w:tcPr>
          <w:p w14:paraId="62219A9C"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c>
          <w:tcPr>
            <w:tcW w:w="2098" w:type="dxa"/>
            <w:noWrap/>
          </w:tcPr>
          <w:p w14:paraId="3E3534E7"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r>
      <w:tr w:rsidR="0038460F" w:rsidRPr="0060421C" w14:paraId="5051E256" w14:textId="77777777" w:rsidTr="00331DFE">
        <w:tc>
          <w:tcPr>
            <w:tcW w:w="510" w:type="dxa"/>
            <w:vMerge/>
            <w:noWrap/>
          </w:tcPr>
          <w:p w14:paraId="72FC8A7B" w14:textId="77777777" w:rsidR="0038460F" w:rsidRPr="0060421C" w:rsidRDefault="0038460F" w:rsidP="00F16E23">
            <w:pPr>
              <w:pStyle w:val="TableText"/>
              <w:spacing w:before="40" w:after="40"/>
              <w:rPr>
                <w:rFonts w:cs="Calibri"/>
              </w:rPr>
            </w:pPr>
          </w:p>
        </w:tc>
        <w:tc>
          <w:tcPr>
            <w:tcW w:w="3969" w:type="dxa"/>
            <w:noWrap/>
          </w:tcPr>
          <w:p w14:paraId="5D5988DE" w14:textId="77777777" w:rsidR="0038460F" w:rsidRPr="0060421C" w:rsidRDefault="0038460F" w:rsidP="00F16E23">
            <w:pPr>
              <w:pStyle w:val="TableText"/>
              <w:spacing w:before="40" w:after="40"/>
              <w:rPr>
                <w:rFonts w:cs="Calibri"/>
              </w:rPr>
            </w:pPr>
            <w:r w:rsidRPr="0060421C">
              <w:t>Solid fuels</w:t>
            </w:r>
          </w:p>
        </w:tc>
        <w:tc>
          <w:tcPr>
            <w:tcW w:w="1842" w:type="dxa"/>
            <w:noWrap/>
          </w:tcPr>
          <w:p w14:paraId="4EE493F9" w14:textId="77777777" w:rsidR="0038460F" w:rsidRPr="0060421C" w:rsidRDefault="0038460F" w:rsidP="00F16E23">
            <w:pPr>
              <w:pStyle w:val="TableText"/>
              <w:spacing w:before="40" w:after="40"/>
              <w:jc w:val="right"/>
              <w:rPr>
                <w:rFonts w:cs="Calibri"/>
              </w:rPr>
            </w:pPr>
            <w:r w:rsidRPr="0060421C">
              <w:rPr>
                <w:rFonts w:cs="Calibri"/>
              </w:rPr>
              <w:t>±</w:t>
            </w:r>
            <w:r w:rsidRPr="0060421C">
              <w:t>4.8</w:t>
            </w:r>
          </w:p>
        </w:tc>
        <w:tc>
          <w:tcPr>
            <w:tcW w:w="2098" w:type="dxa"/>
            <w:noWrap/>
          </w:tcPr>
          <w:p w14:paraId="320DA3CE" w14:textId="77777777" w:rsidR="0038460F" w:rsidRPr="0060421C" w:rsidRDefault="0038460F" w:rsidP="00F16E23">
            <w:pPr>
              <w:pStyle w:val="TableText"/>
              <w:spacing w:before="40" w:after="40"/>
              <w:jc w:val="right"/>
              <w:rPr>
                <w:rFonts w:cs="Calibri"/>
              </w:rPr>
            </w:pPr>
            <w:r w:rsidRPr="0060421C">
              <w:rPr>
                <w:rFonts w:cs="Calibri"/>
              </w:rPr>
              <w:t>±</w:t>
            </w:r>
            <w:r w:rsidRPr="0060421C">
              <w:t>2.2</w:t>
            </w:r>
          </w:p>
        </w:tc>
      </w:tr>
      <w:tr w:rsidR="0038460F" w:rsidRPr="0060421C" w14:paraId="50FBC8B5" w14:textId="77777777" w:rsidTr="00331DFE">
        <w:tc>
          <w:tcPr>
            <w:tcW w:w="510" w:type="dxa"/>
            <w:vMerge/>
            <w:noWrap/>
          </w:tcPr>
          <w:p w14:paraId="7064E889" w14:textId="77777777" w:rsidR="0038460F" w:rsidRPr="0060421C" w:rsidRDefault="0038460F" w:rsidP="00F16E23">
            <w:pPr>
              <w:pStyle w:val="TableText"/>
              <w:spacing w:before="40" w:after="40"/>
              <w:rPr>
                <w:rFonts w:cs="Calibri"/>
              </w:rPr>
            </w:pPr>
          </w:p>
        </w:tc>
        <w:tc>
          <w:tcPr>
            <w:tcW w:w="3969" w:type="dxa"/>
            <w:noWrap/>
          </w:tcPr>
          <w:p w14:paraId="6A39D42A" w14:textId="77777777" w:rsidR="0038460F" w:rsidRPr="0060421C" w:rsidRDefault="0038460F" w:rsidP="00F16E23">
            <w:pPr>
              <w:pStyle w:val="TableText"/>
              <w:spacing w:before="40" w:after="40"/>
              <w:rPr>
                <w:rFonts w:cs="Calibri"/>
              </w:rPr>
            </w:pPr>
            <w:r w:rsidRPr="0060421C">
              <w:t>Fugitive – Oil exploration</w:t>
            </w:r>
          </w:p>
        </w:tc>
        <w:tc>
          <w:tcPr>
            <w:tcW w:w="1842" w:type="dxa"/>
            <w:noWrap/>
          </w:tcPr>
          <w:p w14:paraId="478D4DF6"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noWrap/>
          </w:tcPr>
          <w:p w14:paraId="12F4B621"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17D399A0" w14:textId="77777777" w:rsidTr="00331DFE">
        <w:tc>
          <w:tcPr>
            <w:tcW w:w="510" w:type="dxa"/>
            <w:vMerge/>
            <w:noWrap/>
          </w:tcPr>
          <w:p w14:paraId="664FB4D9" w14:textId="77777777" w:rsidR="0038460F" w:rsidRPr="0060421C" w:rsidRDefault="0038460F" w:rsidP="00F16E23">
            <w:pPr>
              <w:pStyle w:val="TableText"/>
              <w:spacing w:before="40" w:after="40"/>
              <w:rPr>
                <w:rFonts w:cs="Calibri"/>
              </w:rPr>
            </w:pPr>
          </w:p>
        </w:tc>
        <w:tc>
          <w:tcPr>
            <w:tcW w:w="3969" w:type="dxa"/>
            <w:noWrap/>
          </w:tcPr>
          <w:p w14:paraId="1AD9D4A8" w14:textId="77777777" w:rsidR="0038460F" w:rsidRPr="0060421C" w:rsidRDefault="0038460F" w:rsidP="00F16E23">
            <w:pPr>
              <w:pStyle w:val="TableText"/>
              <w:spacing w:before="40" w:after="40"/>
              <w:rPr>
                <w:rFonts w:cs="Calibri"/>
              </w:rPr>
            </w:pPr>
            <w:r w:rsidRPr="0060421C">
              <w:t>Fugitive – Oil production</w:t>
            </w:r>
          </w:p>
        </w:tc>
        <w:tc>
          <w:tcPr>
            <w:tcW w:w="1842" w:type="dxa"/>
            <w:noWrap/>
          </w:tcPr>
          <w:p w14:paraId="31BFF31F"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noWrap/>
          </w:tcPr>
          <w:p w14:paraId="2BDEA7AE"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6622CD89" w14:textId="77777777" w:rsidTr="00331DFE">
        <w:tc>
          <w:tcPr>
            <w:tcW w:w="510" w:type="dxa"/>
            <w:vMerge/>
            <w:noWrap/>
          </w:tcPr>
          <w:p w14:paraId="2BB959AE" w14:textId="77777777" w:rsidR="0038460F" w:rsidRPr="0060421C" w:rsidRDefault="0038460F" w:rsidP="00F16E23">
            <w:pPr>
              <w:pStyle w:val="TableText"/>
              <w:spacing w:before="40" w:after="40"/>
              <w:rPr>
                <w:rFonts w:cs="Calibri"/>
              </w:rPr>
            </w:pPr>
          </w:p>
        </w:tc>
        <w:tc>
          <w:tcPr>
            <w:tcW w:w="3969" w:type="dxa"/>
            <w:noWrap/>
          </w:tcPr>
          <w:p w14:paraId="00B237CA" w14:textId="77777777" w:rsidR="0038460F" w:rsidRPr="0060421C" w:rsidRDefault="0038460F" w:rsidP="00F16E23">
            <w:pPr>
              <w:pStyle w:val="TableText"/>
              <w:spacing w:before="40" w:after="40"/>
              <w:rPr>
                <w:rFonts w:cs="Calibri"/>
              </w:rPr>
            </w:pPr>
            <w:r w:rsidRPr="0060421C">
              <w:t>Fugitive – Oil transport</w:t>
            </w:r>
          </w:p>
        </w:tc>
        <w:tc>
          <w:tcPr>
            <w:tcW w:w="1842" w:type="dxa"/>
            <w:noWrap/>
          </w:tcPr>
          <w:p w14:paraId="5012F01D"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noWrap/>
          </w:tcPr>
          <w:p w14:paraId="01925711"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03693803" w14:textId="77777777" w:rsidTr="00331DFE">
        <w:tc>
          <w:tcPr>
            <w:tcW w:w="510" w:type="dxa"/>
            <w:vMerge/>
            <w:noWrap/>
          </w:tcPr>
          <w:p w14:paraId="603400F9" w14:textId="77777777" w:rsidR="0038460F" w:rsidRPr="0060421C" w:rsidRDefault="0038460F" w:rsidP="00F16E23">
            <w:pPr>
              <w:pStyle w:val="TableText"/>
              <w:spacing w:before="40" w:after="40"/>
              <w:rPr>
                <w:rFonts w:cs="Calibri"/>
              </w:rPr>
            </w:pPr>
          </w:p>
        </w:tc>
        <w:tc>
          <w:tcPr>
            <w:tcW w:w="3969" w:type="dxa"/>
            <w:noWrap/>
          </w:tcPr>
          <w:p w14:paraId="46162D98" w14:textId="77777777" w:rsidR="0038460F" w:rsidRPr="0060421C" w:rsidRDefault="0038460F" w:rsidP="00F16E23">
            <w:pPr>
              <w:pStyle w:val="TableText"/>
              <w:spacing w:before="40" w:after="40"/>
              <w:rPr>
                <w:rFonts w:cs="Calibri"/>
              </w:rPr>
            </w:pPr>
            <w:r w:rsidRPr="0060421C">
              <w:t>Fugitive – Gas production</w:t>
            </w:r>
          </w:p>
        </w:tc>
        <w:tc>
          <w:tcPr>
            <w:tcW w:w="1842" w:type="dxa"/>
            <w:noWrap/>
          </w:tcPr>
          <w:p w14:paraId="5BDFF197"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noWrap/>
          </w:tcPr>
          <w:p w14:paraId="394411BC"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2A9BD11C" w14:textId="77777777" w:rsidTr="00331DFE">
        <w:tc>
          <w:tcPr>
            <w:tcW w:w="510" w:type="dxa"/>
            <w:vMerge/>
            <w:noWrap/>
          </w:tcPr>
          <w:p w14:paraId="76966EFA" w14:textId="77777777" w:rsidR="0038460F" w:rsidRPr="0060421C" w:rsidRDefault="0038460F" w:rsidP="00F16E23">
            <w:pPr>
              <w:pStyle w:val="TableText"/>
              <w:spacing w:before="40" w:after="40"/>
              <w:rPr>
                <w:rFonts w:cs="Calibri"/>
              </w:rPr>
            </w:pPr>
          </w:p>
        </w:tc>
        <w:tc>
          <w:tcPr>
            <w:tcW w:w="3969" w:type="dxa"/>
            <w:noWrap/>
          </w:tcPr>
          <w:p w14:paraId="042C6D40" w14:textId="77777777" w:rsidR="0038460F" w:rsidRPr="0060421C" w:rsidRDefault="0038460F" w:rsidP="00F16E23">
            <w:pPr>
              <w:pStyle w:val="TableText"/>
              <w:spacing w:before="40" w:after="40"/>
              <w:rPr>
                <w:rFonts w:cs="Calibri"/>
              </w:rPr>
            </w:pPr>
            <w:r w:rsidRPr="0060421C">
              <w:t>Fugitive – Gas transmission and storage</w:t>
            </w:r>
          </w:p>
        </w:tc>
        <w:tc>
          <w:tcPr>
            <w:tcW w:w="1842" w:type="dxa"/>
            <w:noWrap/>
          </w:tcPr>
          <w:p w14:paraId="3767F09D"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noWrap/>
          </w:tcPr>
          <w:p w14:paraId="29869200"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0A447071" w14:textId="77777777" w:rsidTr="00331DFE">
        <w:tc>
          <w:tcPr>
            <w:tcW w:w="510" w:type="dxa"/>
            <w:vMerge/>
            <w:noWrap/>
          </w:tcPr>
          <w:p w14:paraId="36B1E11C" w14:textId="77777777" w:rsidR="0038460F" w:rsidRPr="0060421C" w:rsidRDefault="0038460F" w:rsidP="00F16E23">
            <w:pPr>
              <w:pStyle w:val="TableText"/>
              <w:spacing w:before="40" w:after="40"/>
              <w:rPr>
                <w:rFonts w:cs="Calibri"/>
              </w:rPr>
            </w:pPr>
          </w:p>
        </w:tc>
        <w:tc>
          <w:tcPr>
            <w:tcW w:w="3969" w:type="dxa"/>
            <w:noWrap/>
          </w:tcPr>
          <w:p w14:paraId="6115C304" w14:textId="77777777" w:rsidR="0038460F" w:rsidRPr="0060421C" w:rsidRDefault="0038460F" w:rsidP="00F16E23">
            <w:pPr>
              <w:pStyle w:val="TableText"/>
              <w:spacing w:before="40" w:after="40"/>
              <w:rPr>
                <w:rFonts w:cs="Calibri"/>
              </w:rPr>
            </w:pPr>
            <w:r w:rsidRPr="0060421C">
              <w:t>Fugitive – Gas distribution</w:t>
            </w:r>
          </w:p>
        </w:tc>
        <w:tc>
          <w:tcPr>
            <w:tcW w:w="1842" w:type="dxa"/>
            <w:noWrap/>
          </w:tcPr>
          <w:p w14:paraId="1AE7541C"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noWrap/>
          </w:tcPr>
          <w:p w14:paraId="37927FFA"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5CE8C6BB" w14:textId="77777777" w:rsidTr="00331DFE">
        <w:tc>
          <w:tcPr>
            <w:tcW w:w="510" w:type="dxa"/>
            <w:vMerge/>
            <w:noWrap/>
          </w:tcPr>
          <w:p w14:paraId="7E9A51A0" w14:textId="77777777" w:rsidR="0038460F" w:rsidRPr="0060421C" w:rsidRDefault="0038460F" w:rsidP="00F16E23">
            <w:pPr>
              <w:pStyle w:val="TableText"/>
              <w:spacing w:before="40" w:after="40"/>
              <w:rPr>
                <w:rFonts w:cs="Calibri"/>
              </w:rPr>
            </w:pPr>
          </w:p>
        </w:tc>
        <w:tc>
          <w:tcPr>
            <w:tcW w:w="3969" w:type="dxa"/>
            <w:noWrap/>
          </w:tcPr>
          <w:p w14:paraId="013A5845" w14:textId="77777777" w:rsidR="0038460F" w:rsidRPr="0060421C" w:rsidRDefault="0038460F" w:rsidP="00F16E23">
            <w:pPr>
              <w:pStyle w:val="TableText"/>
              <w:spacing w:before="40" w:after="40"/>
              <w:rPr>
                <w:rFonts w:cs="Calibri"/>
              </w:rPr>
            </w:pPr>
            <w:r w:rsidRPr="0060421C">
              <w:t>Fugitive – Venting and flaring</w:t>
            </w:r>
          </w:p>
        </w:tc>
        <w:tc>
          <w:tcPr>
            <w:tcW w:w="1842" w:type="dxa"/>
            <w:noWrap/>
          </w:tcPr>
          <w:p w14:paraId="36590D55"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noWrap/>
          </w:tcPr>
          <w:p w14:paraId="11614D8D" w14:textId="77777777" w:rsidR="0038460F" w:rsidRPr="0060421C" w:rsidRDefault="0038460F" w:rsidP="00F16E23">
            <w:pPr>
              <w:pStyle w:val="TableText"/>
              <w:spacing w:before="40" w:after="40"/>
              <w:jc w:val="right"/>
              <w:rPr>
                <w:rFonts w:cs="Calibri"/>
              </w:rPr>
            </w:pPr>
            <w:r w:rsidRPr="0060421C">
              <w:rPr>
                <w:rFonts w:cs="Calibri"/>
              </w:rPr>
              <w:t>±</w:t>
            </w:r>
            <w:r w:rsidRPr="0060421C">
              <w:t>2.4</w:t>
            </w:r>
          </w:p>
        </w:tc>
      </w:tr>
      <w:tr w:rsidR="0038460F" w:rsidRPr="0060421C" w14:paraId="4D75896C" w14:textId="77777777" w:rsidTr="00331DFE">
        <w:tc>
          <w:tcPr>
            <w:tcW w:w="510" w:type="dxa"/>
            <w:vMerge/>
            <w:tcBorders>
              <w:bottom w:val="single" w:sz="4" w:space="0" w:color="1B556B"/>
            </w:tcBorders>
            <w:noWrap/>
          </w:tcPr>
          <w:p w14:paraId="691CC9B9" w14:textId="77777777" w:rsidR="0038460F" w:rsidRPr="0060421C" w:rsidRDefault="0038460F" w:rsidP="00F16E23">
            <w:pPr>
              <w:pStyle w:val="TableText"/>
              <w:spacing w:before="40" w:after="40"/>
              <w:rPr>
                <w:rFonts w:cs="Calibri"/>
              </w:rPr>
            </w:pPr>
          </w:p>
        </w:tc>
        <w:tc>
          <w:tcPr>
            <w:tcW w:w="3969" w:type="dxa"/>
            <w:tcBorders>
              <w:bottom w:val="single" w:sz="4" w:space="0" w:color="1B556B"/>
            </w:tcBorders>
            <w:noWrap/>
          </w:tcPr>
          <w:p w14:paraId="1073BD97" w14:textId="77777777" w:rsidR="0038460F" w:rsidRPr="0060421C" w:rsidRDefault="0038460F" w:rsidP="00F16E23">
            <w:pPr>
              <w:pStyle w:val="TableText"/>
              <w:spacing w:before="40" w:after="40"/>
              <w:rPr>
                <w:rFonts w:cs="Calibri"/>
              </w:rPr>
            </w:pPr>
            <w:r w:rsidRPr="0060421C">
              <w:t>Fugitive – Other forms of energy production (geothermal)</w:t>
            </w:r>
          </w:p>
        </w:tc>
        <w:tc>
          <w:tcPr>
            <w:tcW w:w="1842" w:type="dxa"/>
            <w:tcBorders>
              <w:bottom w:val="single" w:sz="4" w:space="0" w:color="1B556B"/>
            </w:tcBorders>
            <w:noWrap/>
          </w:tcPr>
          <w:p w14:paraId="433CF53D"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c>
          <w:tcPr>
            <w:tcW w:w="2098" w:type="dxa"/>
            <w:tcBorders>
              <w:bottom w:val="single" w:sz="4" w:space="0" w:color="1B556B"/>
            </w:tcBorders>
            <w:noWrap/>
          </w:tcPr>
          <w:p w14:paraId="14990585"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r>
      <w:tr w:rsidR="0038460F" w:rsidRPr="0060421C" w14:paraId="4D013CAF" w14:textId="77777777" w:rsidTr="00331DFE">
        <w:tc>
          <w:tcPr>
            <w:tcW w:w="510" w:type="dxa"/>
            <w:vMerge w:val="restart"/>
            <w:shd w:val="clear" w:color="auto" w:fill="D2DDE1"/>
            <w:noWrap/>
            <w:vAlign w:val="center"/>
          </w:tcPr>
          <w:p w14:paraId="3125C05D" w14:textId="77777777" w:rsidR="0038460F" w:rsidRPr="0060421C" w:rsidRDefault="0038460F" w:rsidP="00F16E23">
            <w:pPr>
              <w:pStyle w:val="TableText"/>
              <w:spacing w:before="40" w:after="40"/>
              <w:rPr>
                <w:rFonts w:cs="Calibri"/>
              </w:rPr>
            </w:pPr>
            <w:r w:rsidRPr="0060421C">
              <w:rPr>
                <w:rFonts w:cs="Calibri"/>
              </w:rPr>
              <w:t>CH</w:t>
            </w:r>
            <w:r w:rsidRPr="0060421C">
              <w:rPr>
                <w:rFonts w:cs="Calibri"/>
                <w:vertAlign w:val="subscript"/>
              </w:rPr>
              <w:t>4</w:t>
            </w:r>
          </w:p>
        </w:tc>
        <w:tc>
          <w:tcPr>
            <w:tcW w:w="3969" w:type="dxa"/>
            <w:tcBorders>
              <w:bottom w:val="single" w:sz="4" w:space="0" w:color="1B556B"/>
            </w:tcBorders>
            <w:shd w:val="clear" w:color="auto" w:fill="D2DDE1"/>
            <w:noWrap/>
          </w:tcPr>
          <w:p w14:paraId="1051783E" w14:textId="77777777" w:rsidR="0038460F" w:rsidRPr="0060421C" w:rsidRDefault="0038460F" w:rsidP="00F16E23">
            <w:pPr>
              <w:pStyle w:val="TableText"/>
              <w:spacing w:before="40" w:after="40"/>
              <w:rPr>
                <w:rFonts w:cs="Calibri"/>
              </w:rPr>
            </w:pPr>
            <w:r w:rsidRPr="0060421C">
              <w:t>Gaseous fuels</w:t>
            </w:r>
          </w:p>
        </w:tc>
        <w:tc>
          <w:tcPr>
            <w:tcW w:w="1842" w:type="dxa"/>
            <w:tcBorders>
              <w:bottom w:val="single" w:sz="4" w:space="0" w:color="1B556B"/>
            </w:tcBorders>
            <w:shd w:val="clear" w:color="auto" w:fill="D2DDE1"/>
            <w:noWrap/>
          </w:tcPr>
          <w:p w14:paraId="207EAECD"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tcBorders>
              <w:bottom w:val="single" w:sz="4" w:space="0" w:color="1B556B"/>
            </w:tcBorders>
            <w:shd w:val="clear" w:color="auto" w:fill="D2DDE1"/>
            <w:noWrap/>
          </w:tcPr>
          <w:p w14:paraId="3704C4DE"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21E110F5" w14:textId="77777777" w:rsidTr="00331DFE">
        <w:tc>
          <w:tcPr>
            <w:tcW w:w="510" w:type="dxa"/>
            <w:vMerge/>
            <w:noWrap/>
          </w:tcPr>
          <w:p w14:paraId="4381DCB7"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67FD3BD5" w14:textId="77777777" w:rsidR="0038460F" w:rsidRPr="0060421C" w:rsidRDefault="0038460F" w:rsidP="00F16E23">
            <w:pPr>
              <w:pStyle w:val="TableText"/>
              <w:spacing w:before="40" w:after="40"/>
              <w:rPr>
                <w:rFonts w:cs="Calibri"/>
              </w:rPr>
            </w:pPr>
            <w:r w:rsidRPr="0060421C">
              <w:t>Liquid fuels</w:t>
            </w:r>
          </w:p>
        </w:tc>
        <w:tc>
          <w:tcPr>
            <w:tcW w:w="1842" w:type="dxa"/>
            <w:shd w:val="clear" w:color="auto" w:fill="D2DDE1" w:themeFill="background2"/>
            <w:noWrap/>
          </w:tcPr>
          <w:p w14:paraId="78ED5509"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shd w:val="clear" w:color="auto" w:fill="D2DDE1" w:themeFill="background2"/>
            <w:noWrap/>
          </w:tcPr>
          <w:p w14:paraId="43E4215F"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79549A51" w14:textId="77777777" w:rsidTr="00331DFE">
        <w:tc>
          <w:tcPr>
            <w:tcW w:w="510" w:type="dxa"/>
            <w:vMerge/>
            <w:noWrap/>
          </w:tcPr>
          <w:p w14:paraId="52543981"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042EF40A" w14:textId="77777777" w:rsidR="0038460F" w:rsidRPr="0060421C" w:rsidRDefault="0038460F" w:rsidP="00F16E23">
            <w:pPr>
              <w:pStyle w:val="TableText"/>
              <w:spacing w:before="40" w:after="40"/>
              <w:rPr>
                <w:rFonts w:cs="Calibri"/>
              </w:rPr>
            </w:pPr>
            <w:r w:rsidRPr="0060421C">
              <w:t>Other fossil fuels</w:t>
            </w:r>
          </w:p>
        </w:tc>
        <w:tc>
          <w:tcPr>
            <w:tcW w:w="1842" w:type="dxa"/>
            <w:shd w:val="clear" w:color="auto" w:fill="D2DDE1" w:themeFill="background2"/>
            <w:noWrap/>
          </w:tcPr>
          <w:p w14:paraId="1854E5DF"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c>
          <w:tcPr>
            <w:tcW w:w="2098" w:type="dxa"/>
            <w:shd w:val="clear" w:color="auto" w:fill="D2DDE1" w:themeFill="background2"/>
            <w:noWrap/>
          </w:tcPr>
          <w:p w14:paraId="0C03655F"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57A3D8C1" w14:textId="77777777" w:rsidTr="00331DFE">
        <w:tc>
          <w:tcPr>
            <w:tcW w:w="510" w:type="dxa"/>
            <w:vMerge/>
            <w:noWrap/>
          </w:tcPr>
          <w:p w14:paraId="3DB10718"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4B69EC53" w14:textId="77777777" w:rsidR="0038460F" w:rsidRPr="0060421C" w:rsidRDefault="0038460F" w:rsidP="00F16E23">
            <w:pPr>
              <w:pStyle w:val="TableText"/>
              <w:spacing w:before="40" w:after="40"/>
              <w:rPr>
                <w:rFonts w:cs="Calibri"/>
              </w:rPr>
            </w:pPr>
            <w:r w:rsidRPr="0060421C">
              <w:t>Solid fuels</w:t>
            </w:r>
          </w:p>
        </w:tc>
        <w:tc>
          <w:tcPr>
            <w:tcW w:w="1842" w:type="dxa"/>
            <w:shd w:val="clear" w:color="auto" w:fill="D2DDE1" w:themeFill="background2"/>
            <w:noWrap/>
          </w:tcPr>
          <w:p w14:paraId="399C065E" w14:textId="77777777" w:rsidR="0038460F" w:rsidRPr="0060421C" w:rsidRDefault="0038460F" w:rsidP="00F16E23">
            <w:pPr>
              <w:pStyle w:val="TableText"/>
              <w:spacing w:before="40" w:after="40"/>
              <w:jc w:val="right"/>
              <w:rPr>
                <w:rFonts w:cs="Calibri"/>
              </w:rPr>
            </w:pPr>
            <w:r w:rsidRPr="0060421C">
              <w:rPr>
                <w:rFonts w:cs="Calibri"/>
              </w:rPr>
              <w:t>±</w:t>
            </w:r>
            <w:r w:rsidRPr="0060421C">
              <w:t>4.8</w:t>
            </w:r>
          </w:p>
        </w:tc>
        <w:tc>
          <w:tcPr>
            <w:tcW w:w="2098" w:type="dxa"/>
            <w:shd w:val="clear" w:color="auto" w:fill="D2DDE1" w:themeFill="background2"/>
            <w:noWrap/>
          </w:tcPr>
          <w:p w14:paraId="31AD124D"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5DE46DDB" w14:textId="77777777" w:rsidTr="00331DFE">
        <w:tc>
          <w:tcPr>
            <w:tcW w:w="510" w:type="dxa"/>
            <w:vMerge/>
            <w:noWrap/>
          </w:tcPr>
          <w:p w14:paraId="43BF5A93"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1F0299EA" w14:textId="77777777" w:rsidR="0038460F" w:rsidRPr="0060421C" w:rsidRDefault="0038460F" w:rsidP="00F16E23">
            <w:pPr>
              <w:pStyle w:val="TableText"/>
              <w:spacing w:before="40" w:after="40"/>
              <w:rPr>
                <w:rFonts w:cs="Calibri"/>
              </w:rPr>
            </w:pPr>
            <w:r w:rsidRPr="0060421C">
              <w:t>Biomass</w:t>
            </w:r>
          </w:p>
        </w:tc>
        <w:tc>
          <w:tcPr>
            <w:tcW w:w="1842" w:type="dxa"/>
            <w:shd w:val="clear" w:color="auto" w:fill="D2DDE1" w:themeFill="background2"/>
            <w:noWrap/>
          </w:tcPr>
          <w:p w14:paraId="41D757AF"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c>
          <w:tcPr>
            <w:tcW w:w="2098" w:type="dxa"/>
            <w:shd w:val="clear" w:color="auto" w:fill="D2DDE1" w:themeFill="background2"/>
            <w:noWrap/>
          </w:tcPr>
          <w:p w14:paraId="7D4BBED2"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4C6349AA" w14:textId="77777777" w:rsidTr="00331DFE">
        <w:tc>
          <w:tcPr>
            <w:tcW w:w="510" w:type="dxa"/>
            <w:vMerge/>
            <w:noWrap/>
          </w:tcPr>
          <w:p w14:paraId="1F57563C"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7493EFF2" w14:textId="77777777" w:rsidR="0038460F" w:rsidRPr="0060421C" w:rsidRDefault="0038460F" w:rsidP="00F16E23">
            <w:pPr>
              <w:pStyle w:val="TableText"/>
              <w:spacing w:before="40" w:after="40"/>
              <w:rPr>
                <w:rFonts w:cs="Calibri"/>
              </w:rPr>
            </w:pPr>
            <w:r w:rsidRPr="0060421C">
              <w:t>Fugitive – Coal handling</w:t>
            </w:r>
          </w:p>
        </w:tc>
        <w:tc>
          <w:tcPr>
            <w:tcW w:w="1842" w:type="dxa"/>
            <w:shd w:val="clear" w:color="auto" w:fill="D2DDE1" w:themeFill="background2"/>
            <w:noWrap/>
          </w:tcPr>
          <w:p w14:paraId="6A6900EF" w14:textId="77777777" w:rsidR="0038460F" w:rsidRPr="0060421C" w:rsidRDefault="0038460F" w:rsidP="00F16E23">
            <w:pPr>
              <w:pStyle w:val="TableText"/>
              <w:spacing w:before="40" w:after="40"/>
              <w:jc w:val="right"/>
              <w:rPr>
                <w:rFonts w:cs="Calibri"/>
              </w:rPr>
            </w:pPr>
            <w:r w:rsidRPr="0060421C">
              <w:rPr>
                <w:rFonts w:cs="Calibri"/>
              </w:rPr>
              <w:t>±</w:t>
            </w:r>
            <w:r w:rsidRPr="0060421C">
              <w:t>4.8</w:t>
            </w:r>
          </w:p>
        </w:tc>
        <w:tc>
          <w:tcPr>
            <w:tcW w:w="2098" w:type="dxa"/>
            <w:shd w:val="clear" w:color="auto" w:fill="D2DDE1" w:themeFill="background2"/>
            <w:noWrap/>
          </w:tcPr>
          <w:p w14:paraId="5955D1ED"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10A623C9" w14:textId="77777777" w:rsidTr="00331DFE">
        <w:tc>
          <w:tcPr>
            <w:tcW w:w="510" w:type="dxa"/>
            <w:vMerge/>
            <w:noWrap/>
          </w:tcPr>
          <w:p w14:paraId="180DCD10"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64808B2B" w14:textId="77777777" w:rsidR="0038460F" w:rsidRPr="0060421C" w:rsidRDefault="0038460F" w:rsidP="00F16E23">
            <w:pPr>
              <w:pStyle w:val="TableText"/>
              <w:spacing w:before="40" w:after="40"/>
              <w:rPr>
                <w:rFonts w:cs="Calibri"/>
              </w:rPr>
            </w:pPr>
            <w:r w:rsidRPr="0060421C">
              <w:t>Fugitive – Oil exploration</w:t>
            </w:r>
          </w:p>
        </w:tc>
        <w:tc>
          <w:tcPr>
            <w:tcW w:w="1842" w:type="dxa"/>
            <w:shd w:val="clear" w:color="auto" w:fill="D2DDE1" w:themeFill="background2"/>
            <w:noWrap/>
          </w:tcPr>
          <w:p w14:paraId="3267DED7"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shd w:val="clear" w:color="auto" w:fill="D2DDE1" w:themeFill="background2"/>
            <w:noWrap/>
          </w:tcPr>
          <w:p w14:paraId="55DCBF5D"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6595EE2B" w14:textId="77777777" w:rsidTr="00331DFE">
        <w:tc>
          <w:tcPr>
            <w:tcW w:w="510" w:type="dxa"/>
            <w:vMerge/>
            <w:noWrap/>
          </w:tcPr>
          <w:p w14:paraId="50B7970E"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2E2AE767" w14:textId="77777777" w:rsidR="0038460F" w:rsidRPr="0060421C" w:rsidRDefault="0038460F" w:rsidP="00F16E23">
            <w:pPr>
              <w:pStyle w:val="TableText"/>
              <w:spacing w:before="40" w:after="40"/>
              <w:rPr>
                <w:rFonts w:cs="Calibri"/>
              </w:rPr>
            </w:pPr>
            <w:r w:rsidRPr="0060421C">
              <w:t>Fugitive – Oil production</w:t>
            </w:r>
          </w:p>
        </w:tc>
        <w:tc>
          <w:tcPr>
            <w:tcW w:w="1842" w:type="dxa"/>
            <w:shd w:val="clear" w:color="auto" w:fill="D2DDE1" w:themeFill="background2"/>
            <w:noWrap/>
          </w:tcPr>
          <w:p w14:paraId="3EFC22CD"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shd w:val="clear" w:color="auto" w:fill="D2DDE1" w:themeFill="background2"/>
            <w:noWrap/>
          </w:tcPr>
          <w:p w14:paraId="69CFD7C7"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3A7C71BD" w14:textId="77777777" w:rsidTr="00331DFE">
        <w:tc>
          <w:tcPr>
            <w:tcW w:w="510" w:type="dxa"/>
            <w:vMerge/>
            <w:noWrap/>
          </w:tcPr>
          <w:p w14:paraId="43DED1A5"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561D819B" w14:textId="77777777" w:rsidR="0038460F" w:rsidRPr="0060421C" w:rsidRDefault="0038460F" w:rsidP="00F16E23">
            <w:pPr>
              <w:pStyle w:val="TableText"/>
              <w:spacing w:before="40" w:after="40"/>
              <w:rPr>
                <w:rFonts w:cs="Calibri"/>
              </w:rPr>
            </w:pPr>
            <w:r w:rsidRPr="0060421C">
              <w:t>Fugitive – Oil transport</w:t>
            </w:r>
          </w:p>
        </w:tc>
        <w:tc>
          <w:tcPr>
            <w:tcW w:w="1842" w:type="dxa"/>
            <w:shd w:val="clear" w:color="auto" w:fill="D2DDE1" w:themeFill="background2"/>
            <w:noWrap/>
          </w:tcPr>
          <w:p w14:paraId="4501E8E8"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shd w:val="clear" w:color="auto" w:fill="D2DDE1" w:themeFill="background2"/>
            <w:noWrap/>
          </w:tcPr>
          <w:p w14:paraId="7550DEB3"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0B68395B" w14:textId="77777777" w:rsidTr="00331DFE">
        <w:tc>
          <w:tcPr>
            <w:tcW w:w="510" w:type="dxa"/>
            <w:vMerge/>
            <w:noWrap/>
          </w:tcPr>
          <w:p w14:paraId="53242B1D"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2D96CE01" w14:textId="77777777" w:rsidR="0038460F" w:rsidRPr="0060421C" w:rsidRDefault="0038460F" w:rsidP="00F16E23">
            <w:pPr>
              <w:pStyle w:val="TableText"/>
              <w:spacing w:before="40" w:after="40"/>
              <w:rPr>
                <w:rFonts w:cs="Calibri"/>
              </w:rPr>
            </w:pPr>
            <w:r w:rsidRPr="0060421C">
              <w:t>Fugitive – Oil refining</w:t>
            </w:r>
          </w:p>
        </w:tc>
        <w:tc>
          <w:tcPr>
            <w:tcW w:w="1842" w:type="dxa"/>
            <w:shd w:val="clear" w:color="auto" w:fill="D2DDE1" w:themeFill="background2"/>
            <w:noWrap/>
          </w:tcPr>
          <w:p w14:paraId="0D69C75F"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shd w:val="clear" w:color="auto" w:fill="D2DDE1" w:themeFill="background2"/>
            <w:noWrap/>
          </w:tcPr>
          <w:p w14:paraId="2E12342C"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7C990CE5" w14:textId="77777777" w:rsidTr="00331DFE">
        <w:tc>
          <w:tcPr>
            <w:tcW w:w="510" w:type="dxa"/>
            <w:vMerge/>
            <w:noWrap/>
          </w:tcPr>
          <w:p w14:paraId="386D0278"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49048817" w14:textId="77777777" w:rsidR="0038460F" w:rsidRPr="0060421C" w:rsidRDefault="0038460F" w:rsidP="00F16E23">
            <w:pPr>
              <w:pStyle w:val="TableText"/>
              <w:spacing w:before="40" w:after="40"/>
              <w:rPr>
                <w:rFonts w:cs="Calibri"/>
              </w:rPr>
            </w:pPr>
            <w:r w:rsidRPr="0060421C">
              <w:t>Fugitive – Gas production</w:t>
            </w:r>
          </w:p>
        </w:tc>
        <w:tc>
          <w:tcPr>
            <w:tcW w:w="1842" w:type="dxa"/>
            <w:shd w:val="clear" w:color="auto" w:fill="D2DDE1" w:themeFill="background2"/>
            <w:noWrap/>
          </w:tcPr>
          <w:p w14:paraId="4DE5B3AB"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shd w:val="clear" w:color="auto" w:fill="D2DDE1" w:themeFill="background2"/>
            <w:noWrap/>
          </w:tcPr>
          <w:p w14:paraId="002A94BF"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2A7E202E" w14:textId="77777777" w:rsidTr="00331DFE">
        <w:tc>
          <w:tcPr>
            <w:tcW w:w="510" w:type="dxa"/>
            <w:vMerge/>
            <w:noWrap/>
          </w:tcPr>
          <w:p w14:paraId="16909F29"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4536B465" w14:textId="77777777" w:rsidR="0038460F" w:rsidRPr="0060421C" w:rsidRDefault="0038460F" w:rsidP="00F16E23">
            <w:pPr>
              <w:pStyle w:val="TableText"/>
              <w:spacing w:before="40" w:after="40"/>
              <w:rPr>
                <w:rFonts w:cs="Calibri"/>
              </w:rPr>
            </w:pPr>
            <w:r w:rsidRPr="0060421C">
              <w:t>Fugitive – Gas transmission and storage</w:t>
            </w:r>
          </w:p>
        </w:tc>
        <w:tc>
          <w:tcPr>
            <w:tcW w:w="1842" w:type="dxa"/>
            <w:shd w:val="clear" w:color="auto" w:fill="D2DDE1" w:themeFill="background2"/>
            <w:noWrap/>
          </w:tcPr>
          <w:p w14:paraId="5EB371FD"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shd w:val="clear" w:color="auto" w:fill="D2DDE1" w:themeFill="background2"/>
            <w:noWrap/>
          </w:tcPr>
          <w:p w14:paraId="2528D4F2"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56B573A5" w14:textId="77777777" w:rsidTr="00331DFE">
        <w:tc>
          <w:tcPr>
            <w:tcW w:w="510" w:type="dxa"/>
            <w:vMerge/>
            <w:noWrap/>
          </w:tcPr>
          <w:p w14:paraId="43A55D80"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3A00DAB5" w14:textId="77777777" w:rsidR="0038460F" w:rsidRPr="0060421C" w:rsidRDefault="0038460F" w:rsidP="00F16E23">
            <w:pPr>
              <w:pStyle w:val="TableText"/>
              <w:spacing w:before="40" w:after="40"/>
              <w:rPr>
                <w:rFonts w:cs="Calibri"/>
              </w:rPr>
            </w:pPr>
            <w:r w:rsidRPr="0060421C">
              <w:t>Fugitive – Gas distribution</w:t>
            </w:r>
          </w:p>
        </w:tc>
        <w:tc>
          <w:tcPr>
            <w:tcW w:w="1842" w:type="dxa"/>
            <w:shd w:val="clear" w:color="auto" w:fill="D2DDE1" w:themeFill="background2"/>
            <w:noWrap/>
          </w:tcPr>
          <w:p w14:paraId="4DD3181C"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shd w:val="clear" w:color="auto" w:fill="D2DDE1" w:themeFill="background2"/>
            <w:noWrap/>
          </w:tcPr>
          <w:p w14:paraId="3650D984"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r w:rsidR="0038460F" w:rsidRPr="0060421C" w14:paraId="4ECB08DE" w14:textId="77777777" w:rsidTr="00331DFE">
        <w:tc>
          <w:tcPr>
            <w:tcW w:w="510" w:type="dxa"/>
            <w:vMerge/>
            <w:noWrap/>
          </w:tcPr>
          <w:p w14:paraId="0A2260DA"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63EA51DA" w14:textId="77777777" w:rsidR="0038460F" w:rsidRPr="0060421C" w:rsidRDefault="0038460F" w:rsidP="00F16E23">
            <w:pPr>
              <w:pStyle w:val="TableText"/>
              <w:spacing w:before="40" w:after="40"/>
              <w:rPr>
                <w:rFonts w:cs="Calibri"/>
              </w:rPr>
            </w:pPr>
            <w:r w:rsidRPr="0060421C">
              <w:t>Fugitive – Venting and flaring</w:t>
            </w:r>
          </w:p>
        </w:tc>
        <w:tc>
          <w:tcPr>
            <w:tcW w:w="1842" w:type="dxa"/>
            <w:shd w:val="clear" w:color="auto" w:fill="D2DDE1" w:themeFill="background2"/>
            <w:noWrap/>
          </w:tcPr>
          <w:p w14:paraId="2F52FD0D"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shd w:val="clear" w:color="auto" w:fill="D2DDE1" w:themeFill="background2"/>
            <w:noWrap/>
          </w:tcPr>
          <w:p w14:paraId="1DC2A1EF"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63EF1AD7" w14:textId="77777777" w:rsidTr="00331DFE">
        <w:tc>
          <w:tcPr>
            <w:tcW w:w="510" w:type="dxa"/>
            <w:vMerge/>
            <w:noWrap/>
          </w:tcPr>
          <w:p w14:paraId="5E200B95" w14:textId="77777777" w:rsidR="0038460F" w:rsidRPr="0060421C" w:rsidRDefault="0038460F" w:rsidP="00F16E23">
            <w:pPr>
              <w:pStyle w:val="TableText"/>
              <w:spacing w:before="40" w:after="40"/>
              <w:rPr>
                <w:rFonts w:cs="Calibri"/>
              </w:rPr>
            </w:pPr>
          </w:p>
        </w:tc>
        <w:tc>
          <w:tcPr>
            <w:tcW w:w="3969" w:type="dxa"/>
            <w:shd w:val="clear" w:color="auto" w:fill="D2DDE1" w:themeFill="background2"/>
            <w:noWrap/>
          </w:tcPr>
          <w:p w14:paraId="0E69324B" w14:textId="77777777" w:rsidR="0038460F" w:rsidRPr="0060421C" w:rsidRDefault="0038460F" w:rsidP="00F16E23">
            <w:pPr>
              <w:pStyle w:val="TableText"/>
              <w:spacing w:before="40" w:after="40"/>
              <w:rPr>
                <w:rFonts w:cs="Calibri"/>
              </w:rPr>
            </w:pPr>
            <w:r w:rsidRPr="0060421C">
              <w:t>Fugitive – Other forms of energy production (geothermal)</w:t>
            </w:r>
          </w:p>
        </w:tc>
        <w:tc>
          <w:tcPr>
            <w:tcW w:w="1842" w:type="dxa"/>
            <w:shd w:val="clear" w:color="auto" w:fill="D2DDE1" w:themeFill="background2"/>
            <w:noWrap/>
          </w:tcPr>
          <w:p w14:paraId="74BB0E95"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c>
          <w:tcPr>
            <w:tcW w:w="2098" w:type="dxa"/>
            <w:shd w:val="clear" w:color="auto" w:fill="D2DDE1" w:themeFill="background2"/>
            <w:noWrap/>
          </w:tcPr>
          <w:p w14:paraId="472B51D4"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r>
      <w:tr w:rsidR="0038460F" w:rsidRPr="0060421C" w14:paraId="281D080A" w14:textId="77777777" w:rsidTr="00331DFE">
        <w:tc>
          <w:tcPr>
            <w:tcW w:w="510" w:type="dxa"/>
            <w:vMerge w:val="restart"/>
            <w:noWrap/>
            <w:vAlign w:val="center"/>
          </w:tcPr>
          <w:p w14:paraId="66E5885D" w14:textId="77777777" w:rsidR="0038460F" w:rsidRPr="0060421C" w:rsidRDefault="0038460F" w:rsidP="00F16E23">
            <w:pPr>
              <w:pStyle w:val="TableText"/>
              <w:spacing w:before="40" w:after="40"/>
              <w:rPr>
                <w:rFonts w:cs="Calibri"/>
              </w:rPr>
            </w:pPr>
            <w:r w:rsidRPr="0060421C">
              <w:rPr>
                <w:rFonts w:cs="Calibri"/>
              </w:rPr>
              <w:t>N</w:t>
            </w:r>
            <w:r w:rsidRPr="0060421C">
              <w:rPr>
                <w:rFonts w:cs="Calibri"/>
                <w:vertAlign w:val="subscript"/>
              </w:rPr>
              <w:t>2</w:t>
            </w:r>
            <w:r w:rsidRPr="0060421C">
              <w:rPr>
                <w:rFonts w:cs="Calibri"/>
              </w:rPr>
              <w:t>O</w:t>
            </w:r>
          </w:p>
        </w:tc>
        <w:tc>
          <w:tcPr>
            <w:tcW w:w="3969" w:type="dxa"/>
            <w:noWrap/>
          </w:tcPr>
          <w:p w14:paraId="0EAD44F6" w14:textId="77777777" w:rsidR="0038460F" w:rsidRPr="0060421C" w:rsidRDefault="0038460F" w:rsidP="00F16E23">
            <w:pPr>
              <w:pStyle w:val="TableText"/>
              <w:spacing w:before="40" w:after="40"/>
              <w:rPr>
                <w:rFonts w:cs="Calibri"/>
              </w:rPr>
            </w:pPr>
            <w:r w:rsidRPr="0060421C">
              <w:t>Gaseous fuels</w:t>
            </w:r>
          </w:p>
        </w:tc>
        <w:tc>
          <w:tcPr>
            <w:tcW w:w="1842" w:type="dxa"/>
            <w:noWrap/>
          </w:tcPr>
          <w:p w14:paraId="283B376F"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noWrap/>
          </w:tcPr>
          <w:p w14:paraId="02CA5B4B" w14:textId="77777777" w:rsidR="0038460F" w:rsidRPr="0060421C" w:rsidRDefault="0038460F" w:rsidP="00F16E23">
            <w:pPr>
              <w:pStyle w:val="TableText"/>
              <w:spacing w:before="40" w:after="40"/>
              <w:jc w:val="right"/>
              <w:rPr>
                <w:rFonts w:cs="Calibri"/>
              </w:rPr>
            </w:pPr>
            <w:r w:rsidRPr="0060421C">
              <w:t>±50.0</w:t>
            </w:r>
          </w:p>
        </w:tc>
      </w:tr>
      <w:tr w:rsidR="0038460F" w:rsidRPr="0060421C" w14:paraId="5BE309E6" w14:textId="77777777" w:rsidTr="00331DFE">
        <w:tc>
          <w:tcPr>
            <w:tcW w:w="510" w:type="dxa"/>
            <w:vMerge/>
            <w:noWrap/>
          </w:tcPr>
          <w:p w14:paraId="7CCA3F86" w14:textId="77777777" w:rsidR="0038460F" w:rsidRPr="0060421C" w:rsidRDefault="0038460F" w:rsidP="00F16E23">
            <w:pPr>
              <w:pStyle w:val="TableText"/>
              <w:spacing w:before="40" w:after="40"/>
              <w:rPr>
                <w:rFonts w:cs="Calibri"/>
              </w:rPr>
            </w:pPr>
          </w:p>
        </w:tc>
        <w:tc>
          <w:tcPr>
            <w:tcW w:w="3969" w:type="dxa"/>
            <w:noWrap/>
          </w:tcPr>
          <w:p w14:paraId="75F3EAFE" w14:textId="77777777" w:rsidR="0038460F" w:rsidRPr="0060421C" w:rsidRDefault="0038460F" w:rsidP="00F16E23">
            <w:pPr>
              <w:pStyle w:val="TableText"/>
              <w:spacing w:before="40" w:after="40"/>
              <w:rPr>
                <w:rFonts w:cs="Calibri"/>
              </w:rPr>
            </w:pPr>
            <w:r w:rsidRPr="0060421C">
              <w:t>Liquid fuels</w:t>
            </w:r>
          </w:p>
        </w:tc>
        <w:tc>
          <w:tcPr>
            <w:tcW w:w="1842" w:type="dxa"/>
            <w:noWrap/>
          </w:tcPr>
          <w:p w14:paraId="298B0118" w14:textId="77777777" w:rsidR="0038460F" w:rsidRPr="0060421C" w:rsidRDefault="0038460F" w:rsidP="00F16E23">
            <w:pPr>
              <w:pStyle w:val="TableText"/>
              <w:spacing w:before="40" w:after="40"/>
              <w:jc w:val="right"/>
              <w:rPr>
                <w:rFonts w:cs="Calibri"/>
              </w:rPr>
            </w:pPr>
            <w:r w:rsidRPr="0060421C">
              <w:rPr>
                <w:rFonts w:cs="Calibri"/>
              </w:rPr>
              <w:t>±0.9</w:t>
            </w:r>
          </w:p>
        </w:tc>
        <w:tc>
          <w:tcPr>
            <w:tcW w:w="2098" w:type="dxa"/>
            <w:noWrap/>
          </w:tcPr>
          <w:p w14:paraId="54B5C212"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68EF4147" w14:textId="77777777" w:rsidTr="00331DFE">
        <w:tc>
          <w:tcPr>
            <w:tcW w:w="510" w:type="dxa"/>
            <w:vMerge/>
            <w:noWrap/>
          </w:tcPr>
          <w:p w14:paraId="2FFFA2D5" w14:textId="77777777" w:rsidR="0038460F" w:rsidRPr="0060421C" w:rsidRDefault="0038460F" w:rsidP="00F16E23">
            <w:pPr>
              <w:pStyle w:val="TableText"/>
              <w:spacing w:before="40" w:after="40"/>
              <w:rPr>
                <w:rFonts w:cs="Calibri"/>
              </w:rPr>
            </w:pPr>
          </w:p>
        </w:tc>
        <w:tc>
          <w:tcPr>
            <w:tcW w:w="3969" w:type="dxa"/>
            <w:noWrap/>
          </w:tcPr>
          <w:p w14:paraId="7D169CE4" w14:textId="77777777" w:rsidR="0038460F" w:rsidRPr="0060421C" w:rsidRDefault="0038460F" w:rsidP="00F16E23">
            <w:pPr>
              <w:pStyle w:val="TableText"/>
              <w:spacing w:before="40" w:after="40"/>
              <w:rPr>
                <w:rFonts w:cs="Calibri"/>
              </w:rPr>
            </w:pPr>
            <w:r w:rsidRPr="0060421C">
              <w:t>Other fossil fuels</w:t>
            </w:r>
          </w:p>
        </w:tc>
        <w:tc>
          <w:tcPr>
            <w:tcW w:w="1842" w:type="dxa"/>
            <w:noWrap/>
          </w:tcPr>
          <w:p w14:paraId="678DDD06" w14:textId="77777777" w:rsidR="0038460F" w:rsidRPr="0060421C" w:rsidRDefault="0038460F" w:rsidP="00F16E23">
            <w:pPr>
              <w:pStyle w:val="TableText"/>
              <w:spacing w:before="40" w:after="40"/>
              <w:jc w:val="right"/>
              <w:rPr>
                <w:rFonts w:cs="Calibri"/>
              </w:rPr>
            </w:pPr>
            <w:r w:rsidRPr="0060421C">
              <w:rPr>
                <w:rFonts w:cs="Calibri"/>
              </w:rPr>
              <w:t>±</w:t>
            </w:r>
            <w:r w:rsidRPr="0060421C">
              <w:t>5.0</w:t>
            </w:r>
          </w:p>
        </w:tc>
        <w:tc>
          <w:tcPr>
            <w:tcW w:w="2098" w:type="dxa"/>
            <w:noWrap/>
          </w:tcPr>
          <w:p w14:paraId="4865154F"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59EBF2EF" w14:textId="77777777" w:rsidTr="00331DFE">
        <w:tc>
          <w:tcPr>
            <w:tcW w:w="510" w:type="dxa"/>
            <w:vMerge/>
            <w:noWrap/>
          </w:tcPr>
          <w:p w14:paraId="3DA828DE" w14:textId="77777777" w:rsidR="0038460F" w:rsidRPr="0060421C" w:rsidRDefault="0038460F" w:rsidP="00F16E23">
            <w:pPr>
              <w:pStyle w:val="TableText"/>
              <w:spacing w:before="40" w:after="40"/>
              <w:rPr>
                <w:rFonts w:cs="Calibri"/>
              </w:rPr>
            </w:pPr>
          </w:p>
        </w:tc>
        <w:tc>
          <w:tcPr>
            <w:tcW w:w="3969" w:type="dxa"/>
            <w:noWrap/>
          </w:tcPr>
          <w:p w14:paraId="7734B1F3" w14:textId="77777777" w:rsidR="0038460F" w:rsidRPr="0060421C" w:rsidRDefault="0038460F" w:rsidP="00F16E23">
            <w:pPr>
              <w:pStyle w:val="TableText"/>
              <w:spacing w:before="40" w:after="40"/>
              <w:rPr>
                <w:rFonts w:cs="Calibri"/>
              </w:rPr>
            </w:pPr>
            <w:r w:rsidRPr="0060421C">
              <w:t>Solid fuels</w:t>
            </w:r>
          </w:p>
        </w:tc>
        <w:tc>
          <w:tcPr>
            <w:tcW w:w="1842" w:type="dxa"/>
            <w:noWrap/>
          </w:tcPr>
          <w:p w14:paraId="3B9BA74C" w14:textId="77777777" w:rsidR="0038460F" w:rsidRPr="0060421C" w:rsidRDefault="0038460F" w:rsidP="00F16E23">
            <w:pPr>
              <w:pStyle w:val="TableText"/>
              <w:spacing w:before="40" w:after="40"/>
              <w:jc w:val="right"/>
              <w:rPr>
                <w:rFonts w:cs="Calibri"/>
              </w:rPr>
            </w:pPr>
            <w:r w:rsidRPr="0060421C">
              <w:rPr>
                <w:rFonts w:cs="Calibri"/>
              </w:rPr>
              <w:t>±</w:t>
            </w:r>
            <w:r w:rsidRPr="0060421C">
              <w:t>4.8</w:t>
            </w:r>
          </w:p>
        </w:tc>
        <w:tc>
          <w:tcPr>
            <w:tcW w:w="2098" w:type="dxa"/>
            <w:noWrap/>
          </w:tcPr>
          <w:p w14:paraId="5D6DD75D"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61B00842" w14:textId="77777777" w:rsidTr="00331DFE">
        <w:tc>
          <w:tcPr>
            <w:tcW w:w="510" w:type="dxa"/>
            <w:vMerge/>
            <w:noWrap/>
          </w:tcPr>
          <w:p w14:paraId="4BD3A718" w14:textId="77777777" w:rsidR="0038460F" w:rsidRPr="0060421C" w:rsidRDefault="0038460F" w:rsidP="00F16E23">
            <w:pPr>
              <w:pStyle w:val="TableText"/>
              <w:spacing w:before="40" w:after="40"/>
              <w:rPr>
                <w:rFonts w:cs="Calibri"/>
              </w:rPr>
            </w:pPr>
          </w:p>
        </w:tc>
        <w:tc>
          <w:tcPr>
            <w:tcW w:w="3969" w:type="dxa"/>
            <w:noWrap/>
          </w:tcPr>
          <w:p w14:paraId="11BE2F9E" w14:textId="77777777" w:rsidR="0038460F" w:rsidRPr="0060421C" w:rsidRDefault="0038460F" w:rsidP="00F16E23">
            <w:pPr>
              <w:pStyle w:val="TableText"/>
              <w:spacing w:before="40" w:after="40"/>
              <w:rPr>
                <w:rFonts w:cs="Calibri"/>
              </w:rPr>
            </w:pPr>
            <w:r w:rsidRPr="0060421C">
              <w:t>Biomass</w:t>
            </w:r>
          </w:p>
        </w:tc>
        <w:tc>
          <w:tcPr>
            <w:tcW w:w="1842" w:type="dxa"/>
            <w:noWrap/>
          </w:tcPr>
          <w:p w14:paraId="48358974"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c>
          <w:tcPr>
            <w:tcW w:w="2098" w:type="dxa"/>
            <w:noWrap/>
          </w:tcPr>
          <w:p w14:paraId="48E704CD" w14:textId="77777777" w:rsidR="0038460F" w:rsidRPr="0060421C" w:rsidRDefault="0038460F" w:rsidP="00F16E23">
            <w:pPr>
              <w:pStyle w:val="TableText"/>
              <w:spacing w:before="40" w:after="40"/>
              <w:jc w:val="right"/>
              <w:rPr>
                <w:rFonts w:cs="Calibri"/>
              </w:rPr>
            </w:pPr>
            <w:r w:rsidRPr="0060421C">
              <w:rPr>
                <w:rFonts w:cs="Calibri"/>
              </w:rPr>
              <w:t>±</w:t>
            </w:r>
            <w:r w:rsidRPr="0060421C">
              <w:t>50.0</w:t>
            </w:r>
          </w:p>
        </w:tc>
      </w:tr>
      <w:tr w:rsidR="0038460F" w:rsidRPr="0060421C" w14:paraId="06BD1861" w14:textId="77777777" w:rsidTr="00331DFE">
        <w:tc>
          <w:tcPr>
            <w:tcW w:w="510" w:type="dxa"/>
            <w:vMerge/>
            <w:noWrap/>
          </w:tcPr>
          <w:p w14:paraId="3939B95F" w14:textId="77777777" w:rsidR="0038460F" w:rsidRPr="0060421C" w:rsidRDefault="0038460F" w:rsidP="00F16E23">
            <w:pPr>
              <w:pStyle w:val="TableText"/>
              <w:spacing w:before="40" w:after="40"/>
              <w:rPr>
                <w:rFonts w:cs="Calibri"/>
              </w:rPr>
            </w:pPr>
          </w:p>
        </w:tc>
        <w:tc>
          <w:tcPr>
            <w:tcW w:w="3969" w:type="dxa"/>
            <w:noWrap/>
          </w:tcPr>
          <w:p w14:paraId="768952D7" w14:textId="77777777" w:rsidR="0038460F" w:rsidRPr="0060421C" w:rsidRDefault="0038460F" w:rsidP="00F16E23">
            <w:pPr>
              <w:pStyle w:val="TableText"/>
              <w:spacing w:before="40" w:after="40"/>
              <w:rPr>
                <w:rFonts w:cs="Calibri"/>
              </w:rPr>
            </w:pPr>
            <w:r w:rsidRPr="0060421C">
              <w:t>Fugitive – Venting and flaring</w:t>
            </w:r>
          </w:p>
        </w:tc>
        <w:tc>
          <w:tcPr>
            <w:tcW w:w="1842" w:type="dxa"/>
            <w:noWrap/>
          </w:tcPr>
          <w:p w14:paraId="0D3C0070" w14:textId="77777777" w:rsidR="0038460F" w:rsidRPr="0060421C" w:rsidRDefault="0038460F" w:rsidP="00F16E23">
            <w:pPr>
              <w:pStyle w:val="TableText"/>
              <w:spacing w:before="40" w:after="40"/>
              <w:jc w:val="right"/>
              <w:rPr>
                <w:rFonts w:cs="Calibri"/>
              </w:rPr>
            </w:pPr>
            <w:r w:rsidRPr="0060421C">
              <w:rPr>
                <w:rFonts w:cs="Calibri"/>
              </w:rPr>
              <w:t>±</w:t>
            </w:r>
            <w:r w:rsidRPr="0060421C">
              <w:t>7.3</w:t>
            </w:r>
          </w:p>
        </w:tc>
        <w:tc>
          <w:tcPr>
            <w:tcW w:w="2098" w:type="dxa"/>
            <w:noWrap/>
          </w:tcPr>
          <w:p w14:paraId="51E985C1" w14:textId="77777777" w:rsidR="0038460F" w:rsidRPr="0060421C" w:rsidRDefault="0038460F" w:rsidP="00F16E23">
            <w:pPr>
              <w:pStyle w:val="TableText"/>
              <w:spacing w:before="40" w:after="40"/>
              <w:jc w:val="right"/>
              <w:rPr>
                <w:rFonts w:cs="Calibri"/>
              </w:rPr>
            </w:pPr>
            <w:r w:rsidRPr="0060421C">
              <w:rPr>
                <w:rFonts w:cs="Calibri"/>
              </w:rPr>
              <w:t>±</w:t>
            </w:r>
            <w:r w:rsidRPr="0060421C">
              <w:t>100.0</w:t>
            </w:r>
          </w:p>
        </w:tc>
      </w:tr>
    </w:tbl>
    <w:p w14:paraId="1F5CFDDC" w14:textId="77777777" w:rsidR="0038460F" w:rsidRPr="0060421C" w:rsidRDefault="0038460F" w:rsidP="0038460F">
      <w:pPr>
        <w:pStyle w:val="BodyText"/>
        <w:spacing w:before="240" w:after="100"/>
        <w:rPr>
          <w:rFonts w:cs="Calibri"/>
        </w:rPr>
      </w:pPr>
      <w:r w:rsidRPr="0060421C">
        <w:rPr>
          <w:rFonts w:cs="Calibri"/>
          <w:lang w:eastAsia="en-GB"/>
        </w:rPr>
        <w:t>To estimate activity data uncertainty, we use the percentage difference between annual calculated consumer energy from supply-side surveys and annual observed consumer energy from demand-side surveys. As a result, activity data uncertainty can vary significantly from year to year.</w:t>
      </w:r>
    </w:p>
    <w:p w14:paraId="4D839260" w14:textId="77777777" w:rsidR="0038460F" w:rsidRPr="0060421C" w:rsidRDefault="0038460F" w:rsidP="0038460F">
      <w:pPr>
        <w:pStyle w:val="Heading3"/>
        <w:spacing w:before="280"/>
        <w:rPr>
          <w:rFonts w:cs="Calibri"/>
        </w:rPr>
      </w:pPr>
      <w:r w:rsidRPr="0060421C">
        <w:rPr>
          <w:rFonts w:cs="Calibri"/>
        </w:rPr>
        <w:t>3.2.4</w:t>
      </w:r>
      <w:r w:rsidRPr="0060421C">
        <w:rPr>
          <w:rFonts w:cs="Calibri"/>
        </w:rPr>
        <w:tab/>
        <w:t>Sector-wide QA/QC and verification</w:t>
      </w:r>
    </w:p>
    <w:p w14:paraId="4B934238" w14:textId="77777777" w:rsidR="0038460F" w:rsidRPr="0060421C" w:rsidRDefault="0038460F" w:rsidP="0038460F">
      <w:pPr>
        <w:pStyle w:val="BodyText"/>
        <w:rPr>
          <w:rFonts w:cs="Calibri"/>
        </w:rPr>
      </w:pPr>
      <w:r w:rsidRPr="0060421C">
        <w:rPr>
          <w:rFonts w:cs="Calibri"/>
          <w:lang w:eastAsia="en-GB"/>
        </w:rPr>
        <w:t xml:space="preserve">In the preparation of this inventory, the </w:t>
      </w:r>
      <w:r w:rsidRPr="0060421C">
        <w:rPr>
          <w:rFonts w:cs="Calibri"/>
          <w:i/>
          <w:iCs/>
          <w:lang w:eastAsia="en-GB"/>
        </w:rPr>
        <w:t>Fugitive emissions</w:t>
      </w:r>
      <w:r w:rsidRPr="0060421C">
        <w:rPr>
          <w:rFonts w:cs="Calibri"/>
          <w:lang w:eastAsia="en-GB"/>
        </w:rPr>
        <w:t xml:space="preserve"> category underwent Tier 1 quality-assurance and quality-control checks, as recommended in the </w:t>
      </w:r>
      <w:r w:rsidRPr="0060421C">
        <w:rPr>
          <w:rFonts w:cs="Calibri"/>
          <w:i/>
          <w:iCs/>
          <w:lang w:eastAsia="en-GB"/>
        </w:rPr>
        <w:t>2006 IPCC Guidelines for National Greenhouse Gas Inventories</w:t>
      </w:r>
      <w:r w:rsidRPr="0060421C">
        <w:rPr>
          <w:rFonts w:cs="Calibri"/>
          <w:lang w:eastAsia="en-GB"/>
        </w:rPr>
        <w:t xml:space="preserve"> (2006 IPCC Guidelines) (volume 2, Energy) (IPCC, 2006). These include regular control sums throughout systems to verify system integrity, time-series consistency checks on activity data and consistency checks on implied emission factors at the industry–plant level, where possible. </w:t>
      </w:r>
      <w:r w:rsidRPr="0060421C">
        <w:rPr>
          <w:rFonts w:cs="Calibri"/>
        </w:rPr>
        <w:t>Figure 3.2.2</w:t>
      </w:r>
      <w:r w:rsidRPr="0060421C">
        <w:rPr>
          <w:rFonts w:cs="Calibri"/>
          <w:lang w:eastAsia="en-GB"/>
        </w:rPr>
        <w:t xml:space="preserve"> presents the quality control process map for the Energy sector.</w:t>
      </w:r>
    </w:p>
    <w:p w14:paraId="6B6033E9" w14:textId="4FD64007" w:rsidR="0038460F" w:rsidRPr="0060421C" w:rsidRDefault="0038460F" w:rsidP="0038460F">
      <w:pPr>
        <w:pStyle w:val="Figure"/>
        <w:spacing w:after="60"/>
        <w:rPr>
          <w:rFonts w:cs="Calibri"/>
        </w:rPr>
      </w:pPr>
      <w:bookmarkStart w:id="253" w:name="_Ref442370883"/>
      <w:bookmarkStart w:id="254" w:name="_Toc384582852"/>
      <w:bookmarkStart w:id="255" w:name="_Ref442370874"/>
      <w:bookmarkStart w:id="256" w:name="_Toc443060812"/>
      <w:bookmarkStart w:id="257" w:name="_Toc447275669"/>
      <w:bookmarkStart w:id="258" w:name="_Toc481751987"/>
      <w:bookmarkStart w:id="259" w:name="_Toc36292771"/>
      <w:bookmarkStart w:id="260" w:name="_Toc68786636"/>
      <w:bookmarkStart w:id="261" w:name="_Toc95834071"/>
      <w:bookmarkStart w:id="262" w:name="_Toc164154007"/>
      <w:bookmarkStart w:id="263" w:name="_Toc194674840"/>
      <w:bookmarkStart w:id="264" w:name="_Toc226200667"/>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2</w:t>
      </w:r>
      <w:r w:rsidRPr="0060421C">
        <w:rPr>
          <w:rFonts w:cs="Calibri"/>
        </w:rPr>
        <w:fldChar w:fldCharType="end"/>
      </w:r>
      <w:bookmarkEnd w:id="253"/>
      <w:r w:rsidRPr="0060421C">
        <w:rPr>
          <w:rFonts w:cs="Calibri"/>
        </w:rPr>
        <w:t xml:space="preserve"> </w:t>
      </w:r>
      <w:r w:rsidRPr="0060421C">
        <w:tab/>
      </w:r>
      <w:r w:rsidRPr="0060421C">
        <w:rPr>
          <w:rFonts w:cs="Calibri"/>
        </w:rPr>
        <w:t>Energy sector quality control process map</w:t>
      </w:r>
      <w:bookmarkEnd w:id="254"/>
      <w:bookmarkEnd w:id="255"/>
      <w:bookmarkEnd w:id="256"/>
      <w:bookmarkEnd w:id="257"/>
      <w:bookmarkEnd w:id="258"/>
      <w:bookmarkEnd w:id="259"/>
      <w:bookmarkEnd w:id="260"/>
      <w:bookmarkEnd w:id="261"/>
      <w:bookmarkEnd w:id="262"/>
      <w:bookmarkEnd w:id="263"/>
      <w:bookmarkEnd w:id="264"/>
    </w:p>
    <w:p w14:paraId="64B45C1E" w14:textId="77777777" w:rsidR="0038460F" w:rsidRPr="0060421C" w:rsidRDefault="0038460F" w:rsidP="0038460F">
      <w:pPr>
        <w:pStyle w:val="BodyText"/>
        <w:jc w:val="center"/>
      </w:pPr>
      <w:r w:rsidRPr="0060421C">
        <w:rPr>
          <w:noProof/>
        </w:rPr>
        <w:drawing>
          <wp:inline distT="0" distB="0" distL="0" distR="0" wp14:anchorId="38A9EAD4" wp14:editId="16A1982D">
            <wp:extent cx="5334635" cy="7419109"/>
            <wp:effectExtent l="0" t="0" r="0" b="0"/>
            <wp:docPr id="740847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hqprint">
                      <a:extLst>
                        <a:ext uri="{28A0092B-C50C-407E-A947-70E740481C1C}">
                          <a14:useLocalDpi xmlns:a14="http://schemas.microsoft.com/office/drawing/2010/main" val="0"/>
                        </a:ext>
                      </a:extLst>
                    </a:blip>
                    <a:srcRect/>
                    <a:stretch>
                      <a:fillRect/>
                    </a:stretch>
                  </pic:blipFill>
                  <pic:spPr bwMode="auto">
                    <a:xfrm>
                      <a:off x="0" y="0"/>
                      <a:ext cx="5334635" cy="7419109"/>
                    </a:xfrm>
                    <a:prstGeom prst="rect">
                      <a:avLst/>
                    </a:prstGeom>
                    <a:noFill/>
                    <a:ln>
                      <a:noFill/>
                    </a:ln>
                    <a:extLst>
                      <a:ext uri="{53640926-AAD7-44D8-BBD7-CCE9431645EC}">
                        <a14:shadowObscured xmlns:a14="http://schemas.microsoft.com/office/drawing/2010/main"/>
                      </a:ext>
                    </a:extLst>
                  </pic:spPr>
                </pic:pic>
              </a:graphicData>
            </a:graphic>
          </wp:inline>
        </w:drawing>
      </w:r>
    </w:p>
    <w:p w14:paraId="763EC915" w14:textId="77777777" w:rsidR="0038460F" w:rsidRPr="0060421C" w:rsidRDefault="0038460F" w:rsidP="0038460F">
      <w:pPr>
        <w:pStyle w:val="BodyText"/>
        <w:spacing w:after="100"/>
        <w:rPr>
          <w:rFonts w:cs="Calibri"/>
        </w:rPr>
      </w:pPr>
      <w:r w:rsidRPr="0060421C">
        <w:rPr>
          <w:rFonts w:cs="Calibri"/>
          <w:lang w:eastAsia="en-GB"/>
        </w:rPr>
        <w:t xml:space="preserve">As discussed in section 3.1, the reference approach provides a good, high-level quality check for activity data. A significant deviation (greater than 5 percent) indicates a likely issue. </w:t>
      </w:r>
    </w:p>
    <w:p w14:paraId="61B510D4" w14:textId="77777777" w:rsidR="0038460F" w:rsidRPr="0060421C" w:rsidRDefault="0038460F" w:rsidP="0038460F">
      <w:pPr>
        <w:pStyle w:val="BodyText"/>
        <w:spacing w:before="100" w:after="100"/>
        <w:rPr>
          <w:rFonts w:cs="Calibri"/>
          <w:lang w:eastAsia="en-GB"/>
        </w:rPr>
      </w:pPr>
      <w:r w:rsidRPr="0060421C">
        <w:rPr>
          <w:rFonts w:cs="Calibri"/>
          <w:lang w:eastAsia="en-GB"/>
        </w:rPr>
        <w:t>Implied CO</w:t>
      </w:r>
      <w:r w:rsidRPr="0060421C">
        <w:rPr>
          <w:rFonts w:cs="Calibri"/>
          <w:vertAlign w:val="subscript"/>
          <w:lang w:eastAsia="en-GB"/>
        </w:rPr>
        <w:t>2</w:t>
      </w:r>
      <w:r w:rsidRPr="0060421C">
        <w:rPr>
          <w:rFonts w:cs="Calibri"/>
          <w:lang w:eastAsia="en-GB"/>
        </w:rPr>
        <w:t xml:space="preserve"> emission factors for combustion of liquid, solid and gaseous fuels from this inventory were compared with those in the IPCC Emission Factor Database and converted to gross values for comparability with the New Zealand energy system. </w:t>
      </w:r>
    </w:p>
    <w:p w14:paraId="7A538BEC" w14:textId="77777777" w:rsidR="0038460F" w:rsidRPr="0060421C" w:rsidRDefault="0038460F" w:rsidP="0038460F">
      <w:pPr>
        <w:pStyle w:val="BodyText"/>
        <w:spacing w:before="100" w:after="100"/>
        <w:rPr>
          <w:rFonts w:cs="Calibri"/>
          <w:lang w:eastAsia="en-GB"/>
        </w:rPr>
      </w:pPr>
      <w:r w:rsidRPr="0060421C">
        <w:t>Figures 3.2.3, 3.2.4</w:t>
      </w:r>
      <w:r w:rsidRPr="0060421C">
        <w:rPr>
          <w:lang w:eastAsia="en-GB"/>
        </w:rPr>
        <w:t xml:space="preserve"> </w:t>
      </w:r>
      <w:r w:rsidRPr="0060421C">
        <w:t>and 3.2.5</w:t>
      </w:r>
      <w:r w:rsidRPr="0060421C">
        <w:rPr>
          <w:lang w:eastAsia="en-GB"/>
        </w:rPr>
        <w:t xml:space="preserve"> show the upper, lower and middle IPCC (2006) emission factor ranges for liquid, solid and gaseous fuel combustion, and compare the implied emission factors according to observed </w:t>
      </w:r>
      <w:r w:rsidRPr="0060421C">
        <w:t>fuel</w:t>
      </w:r>
      <w:r w:rsidRPr="0060421C">
        <w:rPr>
          <w:lang w:eastAsia="en-GB"/>
        </w:rPr>
        <w:t xml:space="preserve"> consumption in </w:t>
      </w:r>
      <w:r w:rsidRPr="0060421C">
        <w:rPr>
          <w:rFonts w:cs="Calibri"/>
          <w:lang w:eastAsia="en-GB"/>
        </w:rPr>
        <w:t>New Zealand</w:t>
      </w:r>
      <w:r w:rsidRPr="0060421C">
        <w:rPr>
          <w:lang w:eastAsia="en-GB"/>
        </w:rPr>
        <w:t xml:space="preserve"> for the given year. </w:t>
      </w:r>
      <w:r w:rsidRPr="0060421C">
        <w:rPr>
          <w:rFonts w:cs="Calibri"/>
          <w:lang w:eastAsia="en-GB"/>
        </w:rPr>
        <w:t xml:space="preserve">Each fuel type falls within the IPCC (2006) default range, except for gaseous fuels. This is because, as discussed in section 3.2.2, </w:t>
      </w:r>
      <w:r w:rsidRPr="0060421C">
        <w:rPr>
          <w:rFonts w:cs="Calibri"/>
        </w:rPr>
        <w:t>CO</w:t>
      </w:r>
      <w:r w:rsidRPr="0060421C">
        <w:rPr>
          <w:rFonts w:cs="Calibri"/>
          <w:vertAlign w:val="subscript"/>
        </w:rPr>
        <w:t>2</w:t>
      </w:r>
      <w:r w:rsidRPr="0060421C">
        <w:rPr>
          <w:rFonts w:cs="Calibri"/>
        </w:rPr>
        <w:t xml:space="preserve"> emission factors for </w:t>
      </w:r>
      <w:r w:rsidRPr="0060421C">
        <w:rPr>
          <w:rFonts w:cs="Calibri"/>
          <w:lang w:eastAsia="en-GB"/>
        </w:rPr>
        <w:t>New Zealand</w:t>
      </w:r>
      <w:r w:rsidRPr="0060421C">
        <w:rPr>
          <w:rFonts w:cs="Calibri"/>
        </w:rPr>
        <w:t xml:space="preserve"> natural gas fields are established through gas composition analysis and are known to be high by international standards.</w:t>
      </w:r>
    </w:p>
    <w:p w14:paraId="722BE70D" w14:textId="2426037B" w:rsidR="0038460F" w:rsidRPr="0060421C" w:rsidRDefault="0038460F" w:rsidP="0038460F">
      <w:pPr>
        <w:pStyle w:val="Figure"/>
        <w:spacing w:after="0"/>
        <w:rPr>
          <w:rFonts w:cs="Calibri"/>
        </w:rPr>
      </w:pPr>
      <w:bookmarkStart w:id="265" w:name="_Ref442369949"/>
      <w:bookmarkStart w:id="266" w:name="_Toc321399325"/>
      <w:bookmarkStart w:id="267" w:name="_Toc384582853"/>
      <w:bookmarkStart w:id="268" w:name="_Toc443060813"/>
      <w:bookmarkStart w:id="269" w:name="_Toc447275670"/>
      <w:bookmarkStart w:id="270" w:name="_Toc481751988"/>
      <w:bookmarkStart w:id="271" w:name="_Toc36292772"/>
      <w:bookmarkStart w:id="272" w:name="_Toc68786637"/>
      <w:bookmarkStart w:id="273" w:name="_Toc95834072"/>
      <w:bookmarkStart w:id="274" w:name="_Toc164154008"/>
      <w:bookmarkStart w:id="275" w:name="_Toc194674841"/>
      <w:bookmarkStart w:id="276" w:name="_Toc226200668"/>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3</w:t>
      </w:r>
      <w:r w:rsidRPr="0060421C">
        <w:rPr>
          <w:rFonts w:cs="Calibri"/>
        </w:rPr>
        <w:fldChar w:fldCharType="end"/>
      </w:r>
      <w:bookmarkEnd w:id="265"/>
      <w:r w:rsidRPr="0060421C">
        <w:rPr>
          <w:rFonts w:cs="Calibri"/>
        </w:rPr>
        <w:t xml:space="preserve"> </w:t>
      </w:r>
      <w:r w:rsidRPr="0060421C">
        <w:tab/>
      </w:r>
      <w:r w:rsidRPr="0060421C">
        <w:rPr>
          <w:rFonts w:cs="Calibri"/>
        </w:rPr>
        <w:t>Liquid fuel combustion, from 1990 to 2024 – carbon dioxide implied emission factor (IEF) (tonnes CH</w:t>
      </w:r>
      <w:r w:rsidRPr="0060421C">
        <w:rPr>
          <w:rFonts w:cs="Calibri"/>
          <w:vertAlign w:val="subscript"/>
        </w:rPr>
        <w:t>4</w:t>
      </w:r>
      <w:r w:rsidRPr="0060421C">
        <w:rPr>
          <w:rFonts w:cs="Calibri"/>
        </w:rPr>
        <w:t xml:space="preserve"> per terajoule (t CH</w:t>
      </w:r>
      <w:r w:rsidRPr="0060421C">
        <w:rPr>
          <w:rFonts w:cs="Calibri"/>
          <w:vertAlign w:val="subscript"/>
        </w:rPr>
        <w:t>4</w:t>
      </w:r>
      <w:r w:rsidRPr="0060421C">
        <w:rPr>
          <w:rFonts w:cs="Calibri"/>
        </w:rPr>
        <w:t>/TJ</w:t>
      </w:r>
      <w:bookmarkEnd w:id="266"/>
      <w:bookmarkEnd w:id="267"/>
      <w:bookmarkEnd w:id="268"/>
      <w:bookmarkEnd w:id="269"/>
      <w:bookmarkEnd w:id="270"/>
      <w:bookmarkEnd w:id="271"/>
      <w:bookmarkEnd w:id="272"/>
      <w:bookmarkEnd w:id="273"/>
      <w:bookmarkEnd w:id="274"/>
      <w:bookmarkEnd w:id="275"/>
      <w:r w:rsidRPr="0060421C">
        <w:rPr>
          <w:rFonts w:cs="Calibri"/>
        </w:rPr>
        <w:t>))</w:t>
      </w:r>
      <w:bookmarkEnd w:id="276"/>
      <w:r w:rsidRPr="0060421C">
        <w:rPr>
          <w:rFonts w:cs="Calibri"/>
        </w:rPr>
        <w:t xml:space="preserve"> </w:t>
      </w:r>
    </w:p>
    <w:p w14:paraId="194BC38E" w14:textId="77777777" w:rsidR="0038460F" w:rsidRPr="0060421C" w:rsidRDefault="0038460F" w:rsidP="0038460F">
      <w:pPr>
        <w:pStyle w:val="BodyText"/>
        <w:rPr>
          <w:rFonts w:cs="Calibri"/>
        </w:rPr>
      </w:pPr>
      <w:r w:rsidRPr="0060421C">
        <w:rPr>
          <w:noProof/>
        </w:rPr>
        <w:drawing>
          <wp:inline distT="0" distB="0" distL="0" distR="0" wp14:anchorId="1D751514" wp14:editId="2FB672EA">
            <wp:extent cx="5399108" cy="2472690"/>
            <wp:effectExtent l="0" t="0" r="0" b="3810"/>
            <wp:docPr id="13420486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048638" name="Picture 1342048638"/>
                    <pic:cNvPicPr/>
                  </pic:nvPicPr>
                  <pic:blipFill rotWithShape="1">
                    <a:blip r:embed="rId59">
                      <a:extLst>
                        <a:ext uri="{28A0092B-C50C-407E-A947-70E740481C1C}">
                          <a14:useLocalDpi xmlns:a14="http://schemas.microsoft.com/office/drawing/2010/main"/>
                        </a:ext>
                      </a:extLst>
                    </a:blip>
                    <a:srcRect t="2819" b="5747"/>
                    <a:stretch>
                      <a:fillRect/>
                    </a:stretch>
                  </pic:blipFill>
                  <pic:spPr bwMode="auto">
                    <a:xfrm>
                      <a:off x="0" y="0"/>
                      <a:ext cx="5400675" cy="2473408"/>
                    </a:xfrm>
                    <a:prstGeom prst="rect">
                      <a:avLst/>
                    </a:prstGeom>
                    <a:ln>
                      <a:noFill/>
                    </a:ln>
                    <a:extLst>
                      <a:ext uri="{53640926-AAD7-44D8-BBD7-CCE9431645EC}">
                        <a14:shadowObscured xmlns:a14="http://schemas.microsoft.com/office/drawing/2010/main"/>
                      </a:ext>
                    </a:extLst>
                  </pic:spPr>
                </pic:pic>
              </a:graphicData>
            </a:graphic>
          </wp:inline>
        </w:drawing>
      </w:r>
    </w:p>
    <w:p w14:paraId="0A99CC5F" w14:textId="67D10038" w:rsidR="0038460F" w:rsidRPr="0060421C" w:rsidRDefault="0038460F" w:rsidP="0038460F">
      <w:pPr>
        <w:pStyle w:val="Figure"/>
        <w:spacing w:after="0"/>
        <w:rPr>
          <w:rFonts w:cs="Calibri"/>
        </w:rPr>
      </w:pPr>
      <w:bookmarkStart w:id="277" w:name="_Ref442369961"/>
      <w:bookmarkStart w:id="278" w:name="_Toc321399326"/>
      <w:bookmarkStart w:id="279" w:name="_Toc384582854"/>
      <w:bookmarkStart w:id="280" w:name="_Toc443060814"/>
      <w:bookmarkStart w:id="281" w:name="_Toc447275671"/>
      <w:bookmarkStart w:id="282" w:name="_Toc481751989"/>
      <w:bookmarkStart w:id="283" w:name="_Toc36292773"/>
      <w:bookmarkStart w:id="284" w:name="_Toc68786638"/>
      <w:bookmarkStart w:id="285" w:name="_Toc95834073"/>
      <w:bookmarkStart w:id="286" w:name="_Toc164154009"/>
      <w:bookmarkStart w:id="287" w:name="_Toc194674842"/>
      <w:bookmarkStart w:id="288" w:name="_Toc226200669"/>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4</w:t>
      </w:r>
      <w:r w:rsidRPr="0060421C">
        <w:rPr>
          <w:rFonts w:cs="Calibri"/>
        </w:rPr>
        <w:fldChar w:fldCharType="end"/>
      </w:r>
      <w:bookmarkEnd w:id="277"/>
      <w:r w:rsidRPr="0060421C">
        <w:rPr>
          <w:rFonts w:cs="Calibri"/>
        </w:rPr>
        <w:t xml:space="preserve"> </w:t>
      </w:r>
      <w:r w:rsidRPr="0060421C">
        <w:tab/>
      </w:r>
      <w:r w:rsidRPr="0060421C">
        <w:rPr>
          <w:rFonts w:cs="Calibri"/>
        </w:rPr>
        <w:t xml:space="preserve">Solid fuel combustion, from 1990 to 2024 – </w:t>
      </w:r>
      <w:bookmarkEnd w:id="278"/>
      <w:bookmarkEnd w:id="279"/>
      <w:bookmarkEnd w:id="280"/>
      <w:bookmarkEnd w:id="281"/>
      <w:bookmarkEnd w:id="282"/>
      <w:bookmarkEnd w:id="283"/>
      <w:bookmarkEnd w:id="284"/>
      <w:bookmarkEnd w:id="285"/>
      <w:bookmarkEnd w:id="286"/>
      <w:bookmarkEnd w:id="287"/>
      <w:r w:rsidRPr="0060421C">
        <w:rPr>
          <w:rFonts w:cs="Calibri"/>
        </w:rPr>
        <w:t>carbon dioxide IEF (t CH</w:t>
      </w:r>
      <w:r w:rsidRPr="0060421C">
        <w:rPr>
          <w:rFonts w:cs="Calibri"/>
          <w:vertAlign w:val="subscript"/>
        </w:rPr>
        <w:t>4</w:t>
      </w:r>
      <w:r w:rsidRPr="0060421C">
        <w:rPr>
          <w:rFonts w:cs="Calibri"/>
        </w:rPr>
        <w:t>/TJ)</w:t>
      </w:r>
      <w:bookmarkEnd w:id="288"/>
      <w:r w:rsidRPr="0060421C">
        <w:rPr>
          <w:rFonts w:cs="Calibri"/>
        </w:rPr>
        <w:t xml:space="preserve"> </w:t>
      </w:r>
    </w:p>
    <w:p w14:paraId="49420B50" w14:textId="77777777" w:rsidR="0038460F" w:rsidRPr="0060421C" w:rsidRDefault="0038460F" w:rsidP="0038460F">
      <w:pPr>
        <w:pStyle w:val="BodyText"/>
      </w:pPr>
      <w:r w:rsidRPr="0060421C">
        <w:rPr>
          <w:noProof/>
        </w:rPr>
        <w:drawing>
          <wp:inline distT="0" distB="0" distL="0" distR="0" wp14:anchorId="05633BE6" wp14:editId="4AFDA592">
            <wp:extent cx="5400675" cy="2514600"/>
            <wp:effectExtent l="0" t="0" r="9525" b="0"/>
            <wp:docPr id="19147469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46987" name="Picture 1914746987"/>
                    <pic:cNvPicPr/>
                  </pic:nvPicPr>
                  <pic:blipFill rotWithShape="1">
                    <a:blip r:embed="rId60">
                      <a:extLst>
                        <a:ext uri="{28A0092B-C50C-407E-A947-70E740481C1C}">
                          <a14:useLocalDpi xmlns:a14="http://schemas.microsoft.com/office/drawing/2010/main"/>
                        </a:ext>
                      </a:extLst>
                    </a:blip>
                    <a:srcRect t="2817" b="4226"/>
                    <a:stretch>
                      <a:fillRect/>
                    </a:stretch>
                  </pic:blipFill>
                  <pic:spPr bwMode="auto">
                    <a:xfrm>
                      <a:off x="0" y="0"/>
                      <a:ext cx="5400675" cy="2514600"/>
                    </a:xfrm>
                    <a:prstGeom prst="rect">
                      <a:avLst/>
                    </a:prstGeom>
                    <a:ln>
                      <a:noFill/>
                    </a:ln>
                    <a:extLst>
                      <a:ext uri="{53640926-AAD7-44D8-BBD7-CCE9431645EC}">
                        <a14:shadowObscured xmlns:a14="http://schemas.microsoft.com/office/drawing/2010/main"/>
                      </a:ext>
                    </a:extLst>
                  </pic:spPr>
                </pic:pic>
              </a:graphicData>
            </a:graphic>
          </wp:inline>
        </w:drawing>
      </w:r>
    </w:p>
    <w:p w14:paraId="05B8DBC0" w14:textId="3F473128" w:rsidR="0038460F" w:rsidRPr="0060421C" w:rsidRDefault="0038460F" w:rsidP="0038460F">
      <w:pPr>
        <w:pStyle w:val="Figure"/>
        <w:spacing w:before="0" w:after="0"/>
        <w:rPr>
          <w:rFonts w:cs="Calibri"/>
          <w:lang w:eastAsia="en-GB"/>
        </w:rPr>
      </w:pPr>
      <w:bookmarkStart w:id="289" w:name="_Ref442369964"/>
      <w:bookmarkStart w:id="290" w:name="_Toc321399327"/>
      <w:bookmarkStart w:id="291" w:name="_Toc384582855"/>
      <w:bookmarkStart w:id="292" w:name="_Toc443060815"/>
      <w:bookmarkStart w:id="293" w:name="_Toc447275672"/>
      <w:bookmarkStart w:id="294" w:name="_Toc481751990"/>
      <w:bookmarkStart w:id="295" w:name="_Toc36292774"/>
      <w:bookmarkStart w:id="296" w:name="_Toc68786639"/>
      <w:bookmarkStart w:id="297" w:name="_Toc95834074"/>
      <w:bookmarkStart w:id="298" w:name="_Toc164154010"/>
      <w:bookmarkStart w:id="299" w:name="_Toc194674843"/>
      <w:bookmarkStart w:id="300" w:name="_Toc226200670"/>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5</w:t>
      </w:r>
      <w:r w:rsidRPr="0060421C">
        <w:rPr>
          <w:rFonts w:cs="Calibri"/>
        </w:rPr>
        <w:fldChar w:fldCharType="end"/>
      </w:r>
      <w:bookmarkEnd w:id="289"/>
      <w:r w:rsidRPr="0060421C">
        <w:tab/>
      </w:r>
      <w:r w:rsidRPr="0060421C">
        <w:rPr>
          <w:rFonts w:cs="Calibri"/>
          <w:lang w:eastAsia="en-GB"/>
        </w:rPr>
        <w:t xml:space="preserve">Gaseous fuel combustion, </w:t>
      </w:r>
      <w:r w:rsidRPr="0060421C">
        <w:rPr>
          <w:rFonts w:cs="Calibri"/>
        </w:rPr>
        <w:t xml:space="preserve">from 1990 to 2024 – </w:t>
      </w:r>
      <w:bookmarkEnd w:id="290"/>
      <w:bookmarkEnd w:id="291"/>
      <w:bookmarkEnd w:id="292"/>
      <w:bookmarkEnd w:id="293"/>
      <w:bookmarkEnd w:id="294"/>
      <w:bookmarkEnd w:id="295"/>
      <w:bookmarkEnd w:id="296"/>
      <w:bookmarkEnd w:id="297"/>
      <w:bookmarkEnd w:id="298"/>
      <w:bookmarkEnd w:id="299"/>
      <w:r w:rsidRPr="0060421C">
        <w:rPr>
          <w:rFonts w:cs="Calibri"/>
        </w:rPr>
        <w:t>c</w:t>
      </w:r>
      <w:r w:rsidRPr="0060421C">
        <w:rPr>
          <w:rFonts w:cs="Calibri"/>
          <w:lang w:eastAsia="en-GB"/>
        </w:rPr>
        <w:t xml:space="preserve">arbon dioxide </w:t>
      </w:r>
      <w:r w:rsidRPr="0060421C">
        <w:rPr>
          <w:rFonts w:cs="Calibri"/>
        </w:rPr>
        <w:t>IEF</w:t>
      </w:r>
      <w:r w:rsidRPr="0060421C">
        <w:rPr>
          <w:rFonts w:cs="Calibri"/>
          <w:lang w:eastAsia="en-GB"/>
        </w:rPr>
        <w:t xml:space="preserve"> </w:t>
      </w:r>
      <w:r w:rsidRPr="0060421C">
        <w:rPr>
          <w:rFonts w:cs="Calibri"/>
        </w:rPr>
        <w:t>(t CH</w:t>
      </w:r>
      <w:r w:rsidRPr="0060421C">
        <w:rPr>
          <w:rFonts w:cs="Calibri"/>
          <w:vertAlign w:val="subscript"/>
        </w:rPr>
        <w:t>4</w:t>
      </w:r>
      <w:r w:rsidRPr="0060421C">
        <w:rPr>
          <w:rFonts w:cs="Calibri"/>
        </w:rPr>
        <w:t>/TJ)</w:t>
      </w:r>
      <w:bookmarkEnd w:id="300"/>
      <w:r w:rsidRPr="0060421C">
        <w:rPr>
          <w:rFonts w:cs="Calibri"/>
        </w:rPr>
        <w:t xml:space="preserve"> </w:t>
      </w:r>
    </w:p>
    <w:p w14:paraId="1FD30681" w14:textId="77777777" w:rsidR="0038460F" w:rsidRPr="0060421C" w:rsidRDefault="0038460F" w:rsidP="0038460F">
      <w:pPr>
        <w:pStyle w:val="BodyText"/>
      </w:pPr>
      <w:r w:rsidRPr="0060421C">
        <w:rPr>
          <w:noProof/>
        </w:rPr>
        <w:drawing>
          <wp:inline distT="0" distB="0" distL="0" distR="0" wp14:anchorId="7FC5A2A9" wp14:editId="6E32E567">
            <wp:extent cx="5461171" cy="2549770"/>
            <wp:effectExtent l="0" t="0" r="6350" b="3175"/>
            <wp:docPr id="18637509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50924" name="Picture 1863750924"/>
                    <pic:cNvPicPr/>
                  </pic:nvPicPr>
                  <pic:blipFill rotWithShape="1">
                    <a:blip r:embed="rId61">
                      <a:extLst>
                        <a:ext uri="{28A0092B-C50C-407E-A947-70E740481C1C}">
                          <a14:useLocalDpi xmlns:a14="http://schemas.microsoft.com/office/drawing/2010/main"/>
                        </a:ext>
                      </a:extLst>
                    </a:blip>
                    <a:srcRect t="2048" b="4738"/>
                    <a:stretch>
                      <a:fillRect/>
                    </a:stretch>
                  </pic:blipFill>
                  <pic:spPr bwMode="auto">
                    <a:xfrm>
                      <a:off x="0" y="0"/>
                      <a:ext cx="5475726" cy="2556566"/>
                    </a:xfrm>
                    <a:prstGeom prst="rect">
                      <a:avLst/>
                    </a:prstGeom>
                    <a:ln>
                      <a:noFill/>
                    </a:ln>
                    <a:extLst>
                      <a:ext uri="{53640926-AAD7-44D8-BBD7-CCE9431645EC}">
                        <a14:shadowObscured xmlns:a14="http://schemas.microsoft.com/office/drawing/2010/main"/>
                      </a:ext>
                    </a:extLst>
                  </pic:spPr>
                </pic:pic>
              </a:graphicData>
            </a:graphic>
          </wp:inline>
        </w:drawing>
      </w:r>
    </w:p>
    <w:p w14:paraId="7DAD4DB7" w14:textId="77777777" w:rsidR="0038460F" w:rsidRPr="0060421C" w:rsidRDefault="0038460F" w:rsidP="006A7ECF">
      <w:pPr>
        <w:pStyle w:val="Noteundertable"/>
        <w:spacing w:before="0"/>
        <w:rPr>
          <w:rFonts w:cs="Calibri"/>
        </w:rPr>
      </w:pPr>
      <w:r w:rsidRPr="0060421C">
        <w:rPr>
          <w:rFonts w:cs="Calibri"/>
          <w:b/>
          <w:bCs/>
        </w:rPr>
        <w:t>Note:</w:t>
      </w:r>
      <w:r w:rsidRPr="0060421C">
        <w:rPr>
          <w:rFonts w:cs="Calibri"/>
        </w:rPr>
        <w:t xml:space="preserve"> </w:t>
      </w:r>
      <w:r w:rsidRPr="0060421C">
        <w:tab/>
      </w:r>
      <w:r w:rsidRPr="0060421C">
        <w:rPr>
          <w:rFonts w:cs="Calibri"/>
        </w:rPr>
        <w:t xml:space="preserve">As discussed in section 3.2.2 under ‘Emission factors’, carbon dioxide emission factors for New Zealand natural gas fields are established through gas composition analysis and are known to be high by international standards. </w:t>
      </w:r>
    </w:p>
    <w:p w14:paraId="7C8B50ED" w14:textId="77777777" w:rsidR="0038460F" w:rsidRPr="0060421C" w:rsidRDefault="0038460F" w:rsidP="006A7ECF">
      <w:pPr>
        <w:pStyle w:val="Heading3"/>
        <w:spacing w:before="320"/>
        <w:rPr>
          <w:rFonts w:cs="Calibri"/>
        </w:rPr>
      </w:pPr>
      <w:r w:rsidRPr="0060421C">
        <w:rPr>
          <w:rFonts w:cs="Calibri"/>
        </w:rPr>
        <w:t>3.2.5</w:t>
      </w:r>
      <w:r w:rsidRPr="0060421C">
        <w:rPr>
          <w:rFonts w:cs="Calibri"/>
        </w:rPr>
        <w:tab/>
        <w:t>Sector-wide recalculations</w:t>
      </w:r>
    </w:p>
    <w:p w14:paraId="07AC8039" w14:textId="77777777" w:rsidR="0038460F" w:rsidRPr="0060421C" w:rsidRDefault="0038460F" w:rsidP="006A7ECF">
      <w:pPr>
        <w:pStyle w:val="BodyText"/>
      </w:pPr>
      <w:r w:rsidRPr="0060421C">
        <w:t xml:space="preserve">There have been no sector-wide recalculations. Any category-specific recalculations are described in their relevant sections. </w:t>
      </w:r>
    </w:p>
    <w:p w14:paraId="7FBFC260" w14:textId="77777777" w:rsidR="0038460F" w:rsidRPr="0060421C" w:rsidRDefault="0038460F" w:rsidP="0038460F">
      <w:pPr>
        <w:pStyle w:val="Heading3"/>
        <w:spacing w:before="320"/>
        <w:rPr>
          <w:rFonts w:cs="Calibri"/>
        </w:rPr>
      </w:pPr>
      <w:r w:rsidRPr="0060421C">
        <w:rPr>
          <w:rFonts w:cs="Calibri"/>
        </w:rPr>
        <w:t>3.2.6</w:t>
      </w:r>
      <w:r w:rsidRPr="0060421C">
        <w:rPr>
          <w:rFonts w:cs="Calibri"/>
        </w:rPr>
        <w:tab/>
        <w:t>Sector-wide planned improvements</w:t>
      </w:r>
    </w:p>
    <w:p w14:paraId="7A90DB80" w14:textId="77777777" w:rsidR="0038460F" w:rsidRPr="0060421C" w:rsidRDefault="0038460F" w:rsidP="006A7ECF">
      <w:pPr>
        <w:pStyle w:val="BodyText"/>
      </w:pPr>
      <w:r w:rsidRPr="0060421C">
        <w:t xml:space="preserve">There are no sector-wide planned improvements. All category-specific planned improvements are discussed in their </w:t>
      </w:r>
      <w:r w:rsidRPr="006A7ECF">
        <w:t>corresponding</w:t>
      </w:r>
      <w:r w:rsidRPr="0060421C">
        <w:t xml:space="preserve"> sections. </w:t>
      </w:r>
    </w:p>
    <w:p w14:paraId="2241BCCE" w14:textId="77777777" w:rsidR="0038460F" w:rsidRPr="0060421C" w:rsidRDefault="0038460F" w:rsidP="0038460F">
      <w:pPr>
        <w:pStyle w:val="Heading3"/>
        <w:spacing w:before="320"/>
      </w:pPr>
      <w:bookmarkStart w:id="301" w:name="_Ref189640217"/>
      <w:r w:rsidRPr="0060421C">
        <w:t>3.2.7</w:t>
      </w:r>
      <w:r w:rsidRPr="0060421C">
        <w:tab/>
        <w:t>Fuel combustion: Energy industries (CRT 1.A.1)</w:t>
      </w:r>
      <w:bookmarkEnd w:id="301"/>
    </w:p>
    <w:p w14:paraId="4EF4F5B0" w14:textId="77777777" w:rsidR="0038460F" w:rsidRPr="0060421C" w:rsidRDefault="0038460F" w:rsidP="006A7ECF">
      <w:pPr>
        <w:pStyle w:val="Heading4"/>
      </w:pPr>
      <w:r w:rsidRPr="0060421C">
        <w:t>Category description</w:t>
      </w:r>
    </w:p>
    <w:p w14:paraId="26824C63" w14:textId="77777777" w:rsidR="0038460F" w:rsidRPr="0060421C" w:rsidRDefault="0038460F" w:rsidP="006A7ECF">
      <w:pPr>
        <w:pStyle w:val="BodyText"/>
        <w:rPr>
          <w:lang w:eastAsia="en-GB"/>
        </w:rPr>
      </w:pPr>
      <w:r w:rsidRPr="0060421C">
        <w:rPr>
          <w:lang w:eastAsia="en-GB"/>
        </w:rPr>
        <w:t xml:space="preserve">This category includes combustion for public electricity and heat production, petroleum refining, the manufacture of solid fuels and other energy industries. The latter category includes estimates </w:t>
      </w:r>
      <w:r w:rsidRPr="006A7ECF">
        <w:t>for</w:t>
      </w:r>
      <w:r w:rsidRPr="0060421C">
        <w:rPr>
          <w:lang w:eastAsia="en-GB"/>
        </w:rPr>
        <w:t xml:space="preserve"> natural gas in oil and gas extraction and from natural gas used in synthetic gasoline production. </w:t>
      </w:r>
    </w:p>
    <w:p w14:paraId="6FB93792" w14:textId="77777777" w:rsidR="0038460F" w:rsidRPr="0060421C" w:rsidRDefault="0038460F" w:rsidP="006A7ECF">
      <w:pPr>
        <w:pStyle w:val="BodyText"/>
        <w:rPr>
          <w:lang w:eastAsia="en-GB"/>
        </w:rPr>
      </w:pPr>
      <w:r w:rsidRPr="0060421C">
        <w:rPr>
          <w:lang w:eastAsia="en-GB"/>
        </w:rPr>
        <w:t xml:space="preserve">In </w:t>
      </w:r>
      <w:r w:rsidRPr="0060421C">
        <w:t>2024</w:t>
      </w:r>
      <w:r w:rsidRPr="0060421C">
        <w:rPr>
          <w:lang w:eastAsia="en-GB"/>
        </w:rPr>
        <w:t xml:space="preserve">, emissions in category 1.A.1 </w:t>
      </w:r>
      <w:r w:rsidRPr="0060421C">
        <w:rPr>
          <w:i/>
          <w:lang w:eastAsia="en-GB"/>
        </w:rPr>
        <w:t>Energy industries</w:t>
      </w:r>
      <w:r w:rsidRPr="0060421C">
        <w:rPr>
          <w:lang w:eastAsia="en-GB"/>
        </w:rPr>
        <w:t xml:space="preserve"> totalled 3,951.9</w:t>
      </w:r>
      <w:r w:rsidRPr="0060421C">
        <w:t xml:space="preserve"> </w:t>
      </w:r>
      <w:r w:rsidRPr="0060421C">
        <w:rPr>
          <w:lang w:eastAsia="en-GB"/>
        </w:rPr>
        <w:t>kt CO</w:t>
      </w:r>
      <w:r w:rsidRPr="0060421C">
        <w:rPr>
          <w:vertAlign w:val="subscript"/>
          <w:lang w:eastAsia="en-GB"/>
        </w:rPr>
        <w:t>2</w:t>
      </w:r>
      <w:r w:rsidRPr="0060421C">
        <w:rPr>
          <w:lang w:eastAsia="en-GB"/>
        </w:rPr>
        <w:t>e (</w:t>
      </w:r>
      <w:r w:rsidRPr="0060421C">
        <w:t>13.7 percent</w:t>
      </w:r>
      <w:r w:rsidRPr="0060421C">
        <w:rPr>
          <w:lang w:eastAsia="en-GB"/>
        </w:rPr>
        <w:t xml:space="preserve"> </w:t>
      </w:r>
      <w:r w:rsidRPr="0060421C">
        <w:rPr>
          <w:spacing w:val="-2"/>
          <w:lang w:eastAsia="en-GB"/>
        </w:rPr>
        <w:t>of the Energy sector emissions). Emissions from energy industries in 2024 were</w:t>
      </w:r>
      <w:r w:rsidRPr="0060421C">
        <w:rPr>
          <w:spacing w:val="-2"/>
        </w:rPr>
        <w:t xml:space="preserve"> 2,022.2 </w:t>
      </w:r>
      <w:r w:rsidRPr="0060421C">
        <w:rPr>
          <w:spacing w:val="-2"/>
          <w:lang w:eastAsia="en-GB"/>
        </w:rPr>
        <w:t>kt CO</w:t>
      </w:r>
      <w:r w:rsidRPr="0060421C">
        <w:rPr>
          <w:spacing w:val="-2"/>
          <w:vertAlign w:val="subscript"/>
          <w:lang w:eastAsia="en-GB"/>
        </w:rPr>
        <w:t>2</w:t>
      </w:r>
      <w:r w:rsidRPr="0060421C">
        <w:rPr>
          <w:spacing w:val="-2"/>
          <w:lang w:eastAsia="en-GB"/>
        </w:rPr>
        <w:t>e</w:t>
      </w:r>
      <w:r w:rsidRPr="0060421C">
        <w:rPr>
          <w:lang w:eastAsia="en-GB"/>
        </w:rPr>
        <w:t xml:space="preserve"> (33.8</w:t>
      </w:r>
      <w:r w:rsidRPr="0060421C">
        <w:t xml:space="preserve"> percent</w:t>
      </w:r>
      <w:r w:rsidRPr="0060421C">
        <w:rPr>
          <w:lang w:eastAsia="en-GB"/>
        </w:rPr>
        <w:t xml:space="preserve">) lower than </w:t>
      </w:r>
      <w:r w:rsidRPr="006A7ECF">
        <w:t>the</w:t>
      </w:r>
      <w:r w:rsidRPr="0060421C">
        <w:rPr>
          <w:lang w:eastAsia="en-GB"/>
        </w:rPr>
        <w:t xml:space="preserve"> 1990 level of </w:t>
      </w:r>
      <w:r w:rsidRPr="0060421C">
        <w:t xml:space="preserve">5,974.1 </w:t>
      </w:r>
      <w:r w:rsidRPr="0060421C">
        <w:rPr>
          <w:lang w:eastAsia="en-GB"/>
        </w:rPr>
        <w:t>kt CO</w:t>
      </w:r>
      <w:r w:rsidRPr="0060421C">
        <w:rPr>
          <w:vertAlign w:val="subscript"/>
          <w:lang w:eastAsia="en-GB"/>
        </w:rPr>
        <w:t>2</w:t>
      </w:r>
      <w:r w:rsidRPr="0060421C">
        <w:rPr>
          <w:lang w:eastAsia="en-GB"/>
        </w:rPr>
        <w:t xml:space="preserve">e and 6,096.1 </w:t>
      </w:r>
      <w:r w:rsidRPr="0060421C">
        <w:rPr>
          <w:spacing w:val="-2"/>
          <w:lang w:eastAsia="en-GB"/>
        </w:rPr>
        <w:t>kt CO</w:t>
      </w:r>
      <w:r w:rsidRPr="0060421C">
        <w:rPr>
          <w:spacing w:val="-2"/>
          <w:vertAlign w:val="subscript"/>
          <w:lang w:eastAsia="en-GB"/>
        </w:rPr>
        <w:t>2</w:t>
      </w:r>
      <w:r w:rsidRPr="0060421C">
        <w:rPr>
          <w:spacing w:val="-2"/>
          <w:lang w:eastAsia="en-GB"/>
        </w:rPr>
        <w:t>e</w:t>
      </w:r>
      <w:r w:rsidRPr="0060421C">
        <w:rPr>
          <w:lang w:eastAsia="en-GB"/>
        </w:rPr>
        <w:t xml:space="preserve"> (60.7</w:t>
      </w:r>
      <w:r w:rsidRPr="0060421C">
        <w:t xml:space="preserve"> percent</w:t>
      </w:r>
      <w:r w:rsidRPr="0060421C">
        <w:rPr>
          <w:lang w:eastAsia="en-GB"/>
        </w:rPr>
        <w:t>) lower than the 2005 level of 10,048.1</w:t>
      </w:r>
      <w:r w:rsidRPr="0060421C">
        <w:t xml:space="preserve"> </w:t>
      </w:r>
      <w:r w:rsidRPr="0060421C">
        <w:rPr>
          <w:lang w:eastAsia="en-GB"/>
        </w:rPr>
        <w:t>kt CO</w:t>
      </w:r>
      <w:r w:rsidRPr="0060421C">
        <w:rPr>
          <w:vertAlign w:val="subscript"/>
          <w:lang w:eastAsia="en-GB"/>
        </w:rPr>
        <w:t>2</w:t>
      </w:r>
      <w:r w:rsidRPr="0060421C">
        <w:rPr>
          <w:lang w:eastAsia="en-GB"/>
        </w:rPr>
        <w:t xml:space="preserve">e. Category 1.A.1.a </w:t>
      </w:r>
      <w:r w:rsidRPr="0060421C">
        <w:rPr>
          <w:i/>
          <w:lang w:eastAsia="en-GB"/>
        </w:rPr>
        <w:t xml:space="preserve">Public electricity and heat </w:t>
      </w:r>
      <w:r w:rsidRPr="0060421C">
        <w:rPr>
          <w:i/>
          <w:spacing w:val="-2"/>
          <w:lang w:eastAsia="en-GB"/>
        </w:rPr>
        <w:t>production</w:t>
      </w:r>
      <w:r w:rsidRPr="0060421C">
        <w:rPr>
          <w:spacing w:val="-2"/>
          <w:lang w:eastAsia="en-GB"/>
        </w:rPr>
        <w:t xml:space="preserve"> was the largest contributor to this sector, accounting for 3,708.0 kt CO</w:t>
      </w:r>
      <w:r w:rsidRPr="0060421C">
        <w:rPr>
          <w:spacing w:val="-2"/>
          <w:vertAlign w:val="subscript"/>
          <w:lang w:eastAsia="en-GB"/>
        </w:rPr>
        <w:t>2</w:t>
      </w:r>
      <w:r w:rsidRPr="0060421C">
        <w:rPr>
          <w:spacing w:val="-2"/>
          <w:lang w:eastAsia="en-GB"/>
        </w:rPr>
        <w:t xml:space="preserve">e of emissions from the </w:t>
      </w:r>
      <w:r w:rsidRPr="0060421C">
        <w:rPr>
          <w:i/>
          <w:spacing w:val="-2"/>
          <w:lang w:eastAsia="en-GB"/>
        </w:rPr>
        <w:t>Energy industries</w:t>
      </w:r>
      <w:r w:rsidRPr="0060421C">
        <w:rPr>
          <w:spacing w:val="-2"/>
          <w:lang w:eastAsia="en-GB"/>
        </w:rPr>
        <w:t xml:space="preserve"> category in </w:t>
      </w:r>
      <w:r w:rsidRPr="0060421C">
        <w:rPr>
          <w:spacing w:val="-2"/>
        </w:rPr>
        <w:t>2024</w:t>
      </w:r>
      <w:r w:rsidRPr="0060421C">
        <w:rPr>
          <w:spacing w:val="-2"/>
          <w:lang w:eastAsia="en-GB"/>
        </w:rPr>
        <w:t>. This is 218.1</w:t>
      </w:r>
      <w:r w:rsidRPr="0060421C">
        <w:rPr>
          <w:spacing w:val="-2"/>
        </w:rPr>
        <w:t> </w:t>
      </w:r>
      <w:r w:rsidRPr="0060421C">
        <w:rPr>
          <w:spacing w:val="-2"/>
          <w:lang w:eastAsia="en-GB"/>
        </w:rPr>
        <w:t>kt CO</w:t>
      </w:r>
      <w:r w:rsidRPr="0060421C">
        <w:rPr>
          <w:spacing w:val="-2"/>
          <w:vertAlign w:val="subscript"/>
          <w:lang w:eastAsia="en-GB"/>
        </w:rPr>
        <w:t>2</w:t>
      </w:r>
      <w:r w:rsidRPr="0060421C">
        <w:rPr>
          <w:spacing w:val="-2"/>
          <w:lang w:eastAsia="en-GB"/>
        </w:rPr>
        <w:t>e</w:t>
      </w:r>
      <w:r w:rsidRPr="0060421C">
        <w:rPr>
          <w:lang w:eastAsia="en-GB"/>
        </w:rPr>
        <w:t xml:space="preserve"> (6.2</w:t>
      </w:r>
      <w:r w:rsidRPr="0060421C">
        <w:t> percent</w:t>
      </w:r>
      <w:r w:rsidRPr="0060421C">
        <w:rPr>
          <w:lang w:eastAsia="en-GB"/>
        </w:rPr>
        <w:t xml:space="preserve">) higher than the 1990 level of </w:t>
      </w:r>
      <w:r w:rsidRPr="0060421C">
        <w:t>3,489.9 </w:t>
      </w:r>
      <w:r w:rsidRPr="0060421C">
        <w:rPr>
          <w:lang w:eastAsia="en-GB"/>
        </w:rPr>
        <w:t>kt CO</w:t>
      </w:r>
      <w:r w:rsidRPr="0060421C">
        <w:rPr>
          <w:vertAlign w:val="subscript"/>
          <w:lang w:eastAsia="en-GB"/>
        </w:rPr>
        <w:t>2</w:t>
      </w:r>
      <w:r w:rsidRPr="0060421C">
        <w:rPr>
          <w:lang w:eastAsia="en-GB"/>
        </w:rPr>
        <w:t xml:space="preserve">e and </w:t>
      </w:r>
      <w:r w:rsidRPr="0060421C">
        <w:rPr>
          <w:spacing w:val="-2"/>
          <w:lang w:eastAsia="en-GB"/>
        </w:rPr>
        <w:t>5,299.7</w:t>
      </w:r>
      <w:r w:rsidRPr="0060421C">
        <w:rPr>
          <w:spacing w:val="-2"/>
        </w:rPr>
        <w:t> </w:t>
      </w:r>
      <w:r w:rsidRPr="0060421C">
        <w:rPr>
          <w:spacing w:val="-2"/>
          <w:lang w:eastAsia="en-GB"/>
        </w:rPr>
        <w:t>kt CO</w:t>
      </w:r>
      <w:r w:rsidRPr="0060421C">
        <w:rPr>
          <w:spacing w:val="-2"/>
          <w:vertAlign w:val="subscript"/>
          <w:lang w:eastAsia="en-GB"/>
        </w:rPr>
        <w:t>2</w:t>
      </w:r>
      <w:r w:rsidRPr="0060421C">
        <w:rPr>
          <w:spacing w:val="-2"/>
          <w:lang w:eastAsia="en-GB"/>
        </w:rPr>
        <w:t>e</w:t>
      </w:r>
      <w:r w:rsidRPr="0060421C">
        <w:rPr>
          <w:lang w:eastAsia="en-GB"/>
        </w:rPr>
        <w:t xml:space="preserve"> (58.8</w:t>
      </w:r>
      <w:r w:rsidRPr="0060421C">
        <w:t> percent</w:t>
      </w:r>
      <w:r w:rsidRPr="0060421C">
        <w:rPr>
          <w:lang w:eastAsia="en-GB"/>
        </w:rPr>
        <w:t xml:space="preserve">) lower than the 2005 level of </w:t>
      </w:r>
      <w:r w:rsidRPr="0060421C">
        <w:t>9,007.6 </w:t>
      </w:r>
      <w:r w:rsidRPr="0060421C">
        <w:rPr>
          <w:lang w:eastAsia="en-GB"/>
        </w:rPr>
        <w:t>kt CO</w:t>
      </w:r>
      <w:r w:rsidRPr="0060421C">
        <w:rPr>
          <w:vertAlign w:val="subscript"/>
          <w:lang w:eastAsia="en-GB"/>
        </w:rPr>
        <w:t>2</w:t>
      </w:r>
      <w:r w:rsidRPr="0060421C">
        <w:rPr>
          <w:lang w:eastAsia="en-GB"/>
        </w:rPr>
        <w:t>e.</w:t>
      </w:r>
    </w:p>
    <w:p w14:paraId="2F95D26D" w14:textId="77777777" w:rsidR="0038460F" w:rsidRPr="0060421C" w:rsidRDefault="0038460F" w:rsidP="0038460F">
      <w:pPr>
        <w:pStyle w:val="Heading4"/>
      </w:pPr>
      <w:r w:rsidRPr="0060421C">
        <w:rPr>
          <w:lang w:eastAsia="en-GB"/>
        </w:rPr>
        <w:t xml:space="preserve">Changes in emissions between </w:t>
      </w:r>
      <w:r w:rsidRPr="0060421C">
        <w:t xml:space="preserve">2023 </w:t>
      </w:r>
      <w:r w:rsidRPr="0060421C">
        <w:rPr>
          <w:lang w:eastAsia="en-GB"/>
        </w:rPr>
        <w:t xml:space="preserve">and </w:t>
      </w:r>
      <w:r w:rsidRPr="0060421C">
        <w:t>2024</w:t>
      </w:r>
    </w:p>
    <w:p w14:paraId="21B67924" w14:textId="77777777" w:rsidR="0038460F" w:rsidRPr="0060421C" w:rsidRDefault="0038460F" w:rsidP="006A7ECF">
      <w:pPr>
        <w:pStyle w:val="BodyText"/>
        <w:rPr>
          <w:lang w:eastAsia="en-GB"/>
        </w:rPr>
      </w:pPr>
      <w:r w:rsidRPr="0060421C">
        <w:rPr>
          <w:spacing w:val="-2"/>
          <w:lang w:eastAsia="en-GB"/>
        </w:rPr>
        <w:t xml:space="preserve">Between </w:t>
      </w:r>
      <w:r w:rsidRPr="0060421C">
        <w:rPr>
          <w:spacing w:val="-2"/>
        </w:rPr>
        <w:t xml:space="preserve">2023 </w:t>
      </w:r>
      <w:r w:rsidRPr="0060421C">
        <w:rPr>
          <w:spacing w:val="-2"/>
          <w:lang w:eastAsia="en-GB"/>
        </w:rPr>
        <w:t xml:space="preserve">and </w:t>
      </w:r>
      <w:r w:rsidRPr="0060421C">
        <w:rPr>
          <w:spacing w:val="-2"/>
        </w:rPr>
        <w:t>2024</w:t>
      </w:r>
      <w:r w:rsidRPr="0060421C">
        <w:rPr>
          <w:spacing w:val="-2"/>
          <w:lang w:eastAsia="en-GB"/>
        </w:rPr>
        <w:t xml:space="preserve">, </w:t>
      </w:r>
      <w:r w:rsidRPr="006A7ECF">
        <w:t>emissions</w:t>
      </w:r>
      <w:r w:rsidRPr="0060421C">
        <w:rPr>
          <w:spacing w:val="-2"/>
          <w:lang w:eastAsia="en-GB"/>
        </w:rPr>
        <w:t xml:space="preserve"> from 1.A.1.a </w:t>
      </w:r>
      <w:r w:rsidRPr="0060421C">
        <w:rPr>
          <w:i/>
          <w:spacing w:val="-2"/>
          <w:lang w:eastAsia="en-GB"/>
        </w:rPr>
        <w:t>Public electricity and heat production</w:t>
      </w:r>
      <w:r w:rsidRPr="0060421C">
        <w:rPr>
          <w:spacing w:val="-2"/>
          <w:lang w:eastAsia="en-GB"/>
        </w:rPr>
        <w:t xml:space="preserve"> </w:t>
      </w:r>
      <w:r w:rsidRPr="0060421C">
        <w:rPr>
          <w:spacing w:val="-2"/>
        </w:rPr>
        <w:t>increased</w:t>
      </w:r>
      <w:r w:rsidRPr="0060421C">
        <w:t xml:space="preserve"> by 970.6 </w:t>
      </w:r>
      <w:r w:rsidRPr="0060421C">
        <w:rPr>
          <w:lang w:eastAsia="en-GB"/>
        </w:rPr>
        <w:t>kt CO</w:t>
      </w:r>
      <w:r w:rsidRPr="0060421C">
        <w:rPr>
          <w:vertAlign w:val="subscript"/>
          <w:lang w:eastAsia="en-GB"/>
        </w:rPr>
        <w:t>2</w:t>
      </w:r>
      <w:r w:rsidRPr="0060421C">
        <w:rPr>
          <w:lang w:eastAsia="en-GB"/>
        </w:rPr>
        <w:t>e (35.5</w:t>
      </w:r>
      <w:r w:rsidRPr="0060421C">
        <w:t xml:space="preserve"> percent</w:t>
      </w:r>
      <w:r w:rsidRPr="0060421C">
        <w:rPr>
          <w:lang w:eastAsia="en-GB"/>
        </w:rPr>
        <w:t>). The</w:t>
      </w:r>
      <w:r w:rsidRPr="0060421C">
        <w:t xml:space="preserve"> share of electricity generated from renewable energy sources decreased from 88 percent to 85 percent over this period, due mainly to lower hydro </w:t>
      </w:r>
      <w:r w:rsidRPr="0060421C">
        <w:rPr>
          <w:spacing w:val="-2"/>
        </w:rPr>
        <w:t>generation in response to reduced hydro inflows. The drop in renewable generation necessitated</w:t>
      </w:r>
      <w:r w:rsidRPr="0060421C">
        <w:t xml:space="preserve"> an increase in gas and coal-fired generation, which together </w:t>
      </w:r>
      <w:r w:rsidRPr="0060421C">
        <w:rPr>
          <w:lang w:eastAsia="en-GB"/>
        </w:rPr>
        <w:t xml:space="preserve">rose 23 percent from </w:t>
      </w:r>
      <w:r w:rsidRPr="0060421C">
        <w:t>2023</w:t>
      </w:r>
      <w:r w:rsidRPr="0060421C">
        <w:rPr>
          <w:lang w:eastAsia="en-GB"/>
        </w:rPr>
        <w:t>.</w:t>
      </w:r>
    </w:p>
    <w:p w14:paraId="70520FE0" w14:textId="77777777" w:rsidR="0038460F" w:rsidRPr="0060421C" w:rsidRDefault="0038460F" w:rsidP="006A7ECF">
      <w:pPr>
        <w:pStyle w:val="BodyText"/>
      </w:pPr>
      <w:r w:rsidRPr="0060421C">
        <w:t xml:space="preserve">Key categories identified </w:t>
      </w:r>
      <w:r w:rsidRPr="006A7ECF">
        <w:t>in</w:t>
      </w:r>
      <w:r w:rsidRPr="0060421C">
        <w:t xml:space="preserve"> the 2024 level and trend assessment for the </w:t>
      </w:r>
      <w:r w:rsidRPr="0060421C">
        <w:rPr>
          <w:i/>
        </w:rPr>
        <w:t>Energy industries</w:t>
      </w:r>
      <w:r w:rsidRPr="0060421C">
        <w:t xml:space="preserve"> category are given in table 3.2.2.</w:t>
      </w:r>
    </w:p>
    <w:p w14:paraId="1737EE40" w14:textId="58840173" w:rsidR="0038460F" w:rsidRPr="0060421C" w:rsidRDefault="0038460F" w:rsidP="0038460F">
      <w:pPr>
        <w:pStyle w:val="Table"/>
      </w:pPr>
      <w:bookmarkStart w:id="302" w:name="_Toc68786406"/>
      <w:bookmarkStart w:id="303" w:name="_Toc164153805"/>
      <w:bookmarkStart w:id="304" w:name="_Toc194241672"/>
      <w:bookmarkStart w:id="305" w:name="_Toc226668958"/>
      <w:r w:rsidRPr="0060421C">
        <w:t>Table 3.2.</w:t>
      </w:r>
      <w:r w:rsidR="006F3B24">
        <w:t>4</w:t>
      </w:r>
      <w:r w:rsidRPr="0060421C">
        <w:tab/>
        <w:t xml:space="preserve">Key categories for 1.A.1 </w:t>
      </w:r>
      <w:r w:rsidRPr="0060421C">
        <w:rPr>
          <w:i/>
          <w:iCs/>
        </w:rPr>
        <w:t>Energy industries</w:t>
      </w:r>
      <w:bookmarkEnd w:id="302"/>
      <w:bookmarkEnd w:id="303"/>
      <w:bookmarkEnd w:id="304"/>
      <w:bookmarkEnd w:id="305"/>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788"/>
        <w:gridCol w:w="1267"/>
        <w:gridCol w:w="1266"/>
        <w:gridCol w:w="1184"/>
      </w:tblGrid>
      <w:tr w:rsidR="0038460F" w:rsidRPr="0060421C" w14:paraId="6FC3D744" w14:textId="77777777" w:rsidTr="00F16E23">
        <w:trPr>
          <w:tblHeader/>
        </w:trPr>
        <w:tc>
          <w:tcPr>
            <w:tcW w:w="2815" w:type="pct"/>
            <w:shd w:val="clear" w:color="auto" w:fill="1B556B" w:themeFill="text2"/>
            <w:noWrap/>
            <w:vAlign w:val="bottom"/>
            <w:hideMark/>
          </w:tcPr>
          <w:p w14:paraId="57BBDA0D"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themeColor="background1"/>
              </w:rPr>
              <w:t>Category</w:t>
            </w:r>
          </w:p>
        </w:tc>
        <w:tc>
          <w:tcPr>
            <w:tcW w:w="745" w:type="pct"/>
            <w:shd w:val="clear" w:color="auto" w:fill="1B556B" w:themeFill="text2"/>
            <w:noWrap/>
            <w:vAlign w:val="bottom"/>
            <w:hideMark/>
          </w:tcPr>
          <w:p w14:paraId="5CA90587"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Liquid fuels</w:t>
            </w:r>
          </w:p>
        </w:tc>
        <w:tc>
          <w:tcPr>
            <w:tcW w:w="744" w:type="pct"/>
            <w:shd w:val="clear" w:color="auto" w:fill="1B556B" w:themeFill="text2"/>
            <w:vAlign w:val="bottom"/>
            <w:hideMark/>
          </w:tcPr>
          <w:p w14:paraId="5B45FFF5"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Solid fuels</w:t>
            </w:r>
          </w:p>
        </w:tc>
        <w:tc>
          <w:tcPr>
            <w:tcW w:w="696" w:type="pct"/>
            <w:shd w:val="clear" w:color="auto" w:fill="1B556B" w:themeFill="text2"/>
            <w:vAlign w:val="bottom"/>
            <w:hideMark/>
          </w:tcPr>
          <w:p w14:paraId="277933C5"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Gaseous fuels</w:t>
            </w:r>
          </w:p>
        </w:tc>
      </w:tr>
      <w:tr w:rsidR="0038460F" w:rsidRPr="0060421C" w14:paraId="14EBD830" w14:textId="77777777" w:rsidTr="00F16E23">
        <w:tc>
          <w:tcPr>
            <w:tcW w:w="2815" w:type="pct"/>
            <w:noWrap/>
            <w:hideMark/>
          </w:tcPr>
          <w:p w14:paraId="47264F94" w14:textId="77777777" w:rsidR="0038460F" w:rsidRPr="0060421C" w:rsidRDefault="0038460F" w:rsidP="00F16E23">
            <w:pPr>
              <w:pStyle w:val="TableText"/>
              <w:spacing w:before="40" w:after="40"/>
              <w:rPr>
                <w:rFonts w:cs="Calibri"/>
              </w:rPr>
            </w:pPr>
            <w:r w:rsidRPr="0060421C">
              <w:rPr>
                <w:rFonts w:cs="Calibri"/>
              </w:rPr>
              <w:t>Public electricity and heat production – CO</w:t>
            </w:r>
            <w:r w:rsidRPr="0060421C">
              <w:rPr>
                <w:rFonts w:cs="Calibri"/>
                <w:vertAlign w:val="subscript"/>
              </w:rPr>
              <w:t>2</w:t>
            </w:r>
          </w:p>
        </w:tc>
        <w:tc>
          <w:tcPr>
            <w:tcW w:w="745" w:type="pct"/>
            <w:noWrap/>
            <w:hideMark/>
          </w:tcPr>
          <w:p w14:paraId="23C7AE9E" w14:textId="77777777" w:rsidR="0038460F" w:rsidRPr="0060421C" w:rsidRDefault="0038460F" w:rsidP="00F16E23">
            <w:pPr>
              <w:pStyle w:val="TableText"/>
              <w:spacing w:before="40" w:after="40"/>
              <w:rPr>
                <w:rFonts w:cs="Calibri"/>
              </w:rPr>
            </w:pPr>
            <w:r w:rsidRPr="0060421C">
              <w:rPr>
                <w:rFonts w:cs="Calibri"/>
              </w:rPr>
              <w:t>–</w:t>
            </w:r>
          </w:p>
        </w:tc>
        <w:tc>
          <w:tcPr>
            <w:tcW w:w="744" w:type="pct"/>
            <w:noWrap/>
            <w:hideMark/>
          </w:tcPr>
          <w:p w14:paraId="3E82B2AC" w14:textId="77777777" w:rsidR="0038460F" w:rsidRPr="0060421C" w:rsidRDefault="0038460F" w:rsidP="00F16E23">
            <w:pPr>
              <w:pStyle w:val="TableText"/>
              <w:spacing w:before="40" w:after="40"/>
              <w:rPr>
                <w:rFonts w:cs="Calibri"/>
              </w:rPr>
            </w:pPr>
            <w:r w:rsidRPr="0060421C">
              <w:rPr>
                <w:rFonts w:cs="Calibri"/>
              </w:rPr>
              <w:t>Level</w:t>
            </w:r>
          </w:p>
        </w:tc>
        <w:tc>
          <w:tcPr>
            <w:tcW w:w="696" w:type="pct"/>
            <w:noWrap/>
            <w:hideMark/>
          </w:tcPr>
          <w:p w14:paraId="370D5111" w14:textId="77777777" w:rsidR="0038460F" w:rsidRPr="0060421C" w:rsidRDefault="0038460F" w:rsidP="00F16E23">
            <w:pPr>
              <w:pStyle w:val="TableText"/>
              <w:spacing w:before="40" w:after="40"/>
              <w:rPr>
                <w:rFonts w:cs="Calibri"/>
              </w:rPr>
            </w:pPr>
            <w:r w:rsidRPr="0060421C">
              <w:rPr>
                <w:rFonts w:cs="Calibri"/>
              </w:rPr>
              <w:t>Level, trend</w:t>
            </w:r>
          </w:p>
        </w:tc>
      </w:tr>
      <w:tr w:rsidR="0038460F" w:rsidRPr="0060421C" w14:paraId="5EED4840" w14:textId="77777777" w:rsidTr="00F16E23">
        <w:tc>
          <w:tcPr>
            <w:tcW w:w="2815" w:type="pct"/>
            <w:noWrap/>
            <w:hideMark/>
          </w:tcPr>
          <w:p w14:paraId="36D16934" w14:textId="77777777" w:rsidR="0038460F" w:rsidRPr="0060421C" w:rsidRDefault="0038460F" w:rsidP="00F16E23">
            <w:pPr>
              <w:pStyle w:val="TableText"/>
              <w:spacing w:before="40" w:after="40"/>
              <w:rPr>
                <w:rFonts w:cs="Calibri"/>
              </w:rPr>
            </w:pPr>
            <w:r w:rsidRPr="0060421C">
              <w:rPr>
                <w:rFonts w:cs="Calibri"/>
              </w:rPr>
              <w:t>Petroleum refining – CO</w:t>
            </w:r>
            <w:r w:rsidRPr="0060421C">
              <w:rPr>
                <w:rFonts w:cs="Calibri"/>
                <w:vertAlign w:val="subscript"/>
              </w:rPr>
              <w:t>2</w:t>
            </w:r>
          </w:p>
        </w:tc>
        <w:tc>
          <w:tcPr>
            <w:tcW w:w="745" w:type="pct"/>
            <w:noWrap/>
            <w:hideMark/>
          </w:tcPr>
          <w:p w14:paraId="1ABDB979" w14:textId="77777777" w:rsidR="0038460F" w:rsidRPr="0060421C" w:rsidRDefault="0038460F" w:rsidP="00F16E23">
            <w:pPr>
              <w:pStyle w:val="TableText"/>
              <w:spacing w:before="40" w:after="40"/>
              <w:rPr>
                <w:rFonts w:cs="Calibri"/>
              </w:rPr>
            </w:pPr>
            <w:r w:rsidRPr="0060421C">
              <w:rPr>
                <w:rFonts w:cs="Calibri"/>
              </w:rPr>
              <w:t>Trend</w:t>
            </w:r>
          </w:p>
        </w:tc>
        <w:tc>
          <w:tcPr>
            <w:tcW w:w="744" w:type="pct"/>
            <w:noWrap/>
          </w:tcPr>
          <w:p w14:paraId="7B8118AA" w14:textId="77777777" w:rsidR="0038460F" w:rsidRPr="0060421C" w:rsidRDefault="0038460F" w:rsidP="00F16E23">
            <w:pPr>
              <w:pStyle w:val="TableText"/>
              <w:spacing w:before="40" w:after="40"/>
              <w:rPr>
                <w:rFonts w:cs="Calibri"/>
              </w:rPr>
            </w:pPr>
            <w:r w:rsidRPr="0060421C">
              <w:rPr>
                <w:rFonts w:cs="Calibri"/>
              </w:rPr>
              <w:t>–</w:t>
            </w:r>
          </w:p>
        </w:tc>
        <w:tc>
          <w:tcPr>
            <w:tcW w:w="696" w:type="pct"/>
            <w:noWrap/>
            <w:hideMark/>
          </w:tcPr>
          <w:p w14:paraId="229C3D6D" w14:textId="77777777" w:rsidR="0038460F" w:rsidRPr="0060421C" w:rsidRDefault="0038460F" w:rsidP="00F16E23">
            <w:pPr>
              <w:pStyle w:val="TableText"/>
              <w:spacing w:before="40" w:after="40"/>
              <w:rPr>
                <w:rFonts w:cs="Calibri"/>
              </w:rPr>
            </w:pPr>
            <w:r w:rsidRPr="0060421C">
              <w:rPr>
                <w:rFonts w:cs="Calibri"/>
              </w:rPr>
              <w:t>–</w:t>
            </w:r>
          </w:p>
        </w:tc>
      </w:tr>
      <w:tr w:rsidR="0038460F" w:rsidRPr="0060421C" w14:paraId="01E0A0FB" w14:textId="77777777" w:rsidTr="00F16E23">
        <w:tc>
          <w:tcPr>
            <w:tcW w:w="2815" w:type="pct"/>
            <w:noWrap/>
          </w:tcPr>
          <w:p w14:paraId="4FF9AE4B" w14:textId="77777777" w:rsidR="0038460F" w:rsidRPr="0060421C" w:rsidRDefault="0038460F" w:rsidP="00F16E23">
            <w:pPr>
              <w:pStyle w:val="TableText"/>
              <w:spacing w:before="40" w:after="40"/>
              <w:rPr>
                <w:rFonts w:cs="Calibri"/>
              </w:rPr>
            </w:pPr>
            <w:r w:rsidRPr="0060421C">
              <w:rPr>
                <w:rFonts w:cs="Calibri"/>
              </w:rPr>
              <w:t>Manufacture of solid fuels and other energy industries – CO</w:t>
            </w:r>
            <w:r w:rsidRPr="0060421C">
              <w:rPr>
                <w:rFonts w:cs="Calibri"/>
                <w:vertAlign w:val="subscript"/>
              </w:rPr>
              <w:t>2</w:t>
            </w:r>
          </w:p>
        </w:tc>
        <w:tc>
          <w:tcPr>
            <w:tcW w:w="745" w:type="pct"/>
            <w:noWrap/>
          </w:tcPr>
          <w:p w14:paraId="38A0546E" w14:textId="77777777" w:rsidR="0038460F" w:rsidRPr="0060421C" w:rsidRDefault="0038460F" w:rsidP="00F16E23">
            <w:pPr>
              <w:pStyle w:val="TableText"/>
              <w:spacing w:before="40" w:after="40"/>
              <w:rPr>
                <w:rFonts w:cs="Calibri"/>
              </w:rPr>
            </w:pPr>
            <w:r w:rsidRPr="0060421C">
              <w:rPr>
                <w:rFonts w:cs="Calibri"/>
              </w:rPr>
              <w:t>–</w:t>
            </w:r>
          </w:p>
        </w:tc>
        <w:tc>
          <w:tcPr>
            <w:tcW w:w="744" w:type="pct"/>
            <w:noWrap/>
          </w:tcPr>
          <w:p w14:paraId="79D3C9FD" w14:textId="77777777" w:rsidR="0038460F" w:rsidRPr="0060421C" w:rsidRDefault="0038460F" w:rsidP="00F16E23">
            <w:pPr>
              <w:pStyle w:val="TableText"/>
              <w:spacing w:before="40" w:after="40"/>
              <w:rPr>
                <w:rFonts w:cs="Calibri"/>
              </w:rPr>
            </w:pPr>
            <w:r w:rsidRPr="0060421C">
              <w:rPr>
                <w:rFonts w:cs="Calibri"/>
              </w:rPr>
              <w:t>–</w:t>
            </w:r>
          </w:p>
        </w:tc>
        <w:tc>
          <w:tcPr>
            <w:tcW w:w="696" w:type="pct"/>
            <w:noWrap/>
          </w:tcPr>
          <w:p w14:paraId="4CF8DA6F" w14:textId="77777777" w:rsidR="0038460F" w:rsidRPr="0060421C" w:rsidRDefault="0038460F" w:rsidP="00F16E23">
            <w:pPr>
              <w:pStyle w:val="TableText"/>
              <w:spacing w:before="40" w:after="40"/>
              <w:rPr>
                <w:rFonts w:cs="Calibri"/>
              </w:rPr>
            </w:pPr>
            <w:r w:rsidRPr="0060421C">
              <w:rPr>
                <w:rFonts w:cs="Calibri"/>
              </w:rPr>
              <w:t>Trend</w:t>
            </w:r>
          </w:p>
        </w:tc>
      </w:tr>
    </w:tbl>
    <w:p w14:paraId="218C69B1" w14:textId="77777777" w:rsidR="0038460F" w:rsidRPr="0060421C" w:rsidRDefault="0038460F" w:rsidP="0038460F">
      <w:pPr>
        <w:pStyle w:val="BodyText"/>
        <w:spacing w:before="240"/>
      </w:pPr>
      <w:r w:rsidRPr="0060421C">
        <w:t>Electricity generation in New Zealand is dominated by hydroelectric generation. For the 2024 calendar year, hydro generation provided 53.5 percent of New Zealand’s electricity generation. A further 19.9 percent came from geothermal, 8.9 percent from wind, 1.7 percent from biomass and 1.4 percent from solar. The remaining 14.5 percent was provided by fossil fuel thermal generation plants using natural gas, coal and oil (MBIE, 2025a).</w:t>
      </w:r>
    </w:p>
    <w:p w14:paraId="22BF8119" w14:textId="77777777" w:rsidR="0038460F" w:rsidRPr="0060421C" w:rsidRDefault="0038460F" w:rsidP="0038460F">
      <w:pPr>
        <w:pStyle w:val="BodyText"/>
        <w:rPr>
          <w:lang w:eastAsia="en-GB"/>
        </w:rPr>
      </w:pPr>
      <w:r w:rsidRPr="0060421C">
        <w:rPr>
          <w:lang w:eastAsia="en-GB"/>
        </w:rPr>
        <w:t>Greenhouse</w:t>
      </w:r>
      <w:r w:rsidRPr="0060421C">
        <w:t xml:space="preserve"> </w:t>
      </w:r>
      <w:r w:rsidRPr="0060421C">
        <w:rPr>
          <w:lang w:eastAsia="en-GB"/>
        </w:rPr>
        <w:t xml:space="preserve">gas emissions </w:t>
      </w:r>
      <w:r w:rsidRPr="0060421C">
        <w:t>from</w:t>
      </w:r>
      <w:r w:rsidRPr="0060421C">
        <w:rPr>
          <w:lang w:eastAsia="en-GB"/>
        </w:rPr>
        <w:t xml:space="preserve"> the </w:t>
      </w:r>
      <w:r w:rsidRPr="0060421C">
        <w:rPr>
          <w:i/>
          <w:lang w:eastAsia="en-GB"/>
        </w:rPr>
        <w:t>Public electricity and heat production</w:t>
      </w:r>
      <w:r w:rsidRPr="0060421C">
        <w:rPr>
          <w:lang w:eastAsia="en-GB"/>
        </w:rPr>
        <w:t xml:space="preserve"> category show large year-to-year fluctuations between 1990 and </w:t>
      </w:r>
      <w:r w:rsidRPr="0060421C">
        <w:t>2024</w:t>
      </w:r>
      <w:r w:rsidRPr="0060421C">
        <w:rPr>
          <w:lang w:eastAsia="en-GB"/>
        </w:rPr>
        <w:t xml:space="preserve">. These fluctuations can also be seen over the time series of New Zealand’s gross emissions. The fluctuations are influenced by the close </w:t>
      </w:r>
      <w:r w:rsidRPr="0060421C">
        <w:rPr>
          <w:spacing w:val="-2"/>
          <w:lang w:eastAsia="en-GB"/>
        </w:rPr>
        <w:t xml:space="preserve">inverse relationship between thermal and renewable generation (see </w:t>
      </w:r>
      <w:r w:rsidRPr="0060421C">
        <w:rPr>
          <w:spacing w:val="-2"/>
        </w:rPr>
        <w:t>figure 3.2.6</w:t>
      </w:r>
      <w:r w:rsidRPr="0060421C">
        <w:rPr>
          <w:spacing w:val="-2"/>
          <w:lang w:eastAsia="en-GB"/>
        </w:rPr>
        <w:t>). In a dry year</w:t>
      </w:r>
      <w:r w:rsidRPr="0060421C">
        <w:rPr>
          <w:lang w:eastAsia="en-GB"/>
        </w:rPr>
        <w:t xml:space="preserve">, </w:t>
      </w:r>
      <w:r w:rsidRPr="0060421C">
        <w:rPr>
          <w:spacing w:val="-2"/>
          <w:lang w:eastAsia="en-GB"/>
        </w:rPr>
        <w:t>when low rainfall reduces most of New Zealand’s hydro lake levels, any shortfall in hydroelectric</w:t>
      </w:r>
      <w:r w:rsidRPr="0060421C">
        <w:rPr>
          <w:lang w:eastAsia="en-GB"/>
        </w:rPr>
        <w:t xml:space="preserve"> generation is made up by increased thermal electricity generation. </w:t>
      </w:r>
      <w:r w:rsidRPr="0060421C">
        <w:rPr>
          <w:rFonts w:cs="Calibri"/>
          <w:lang w:eastAsia="en-GB"/>
        </w:rPr>
        <w:t>New Zealand’s</w:t>
      </w:r>
      <w:r w:rsidRPr="0060421C">
        <w:rPr>
          <w:lang w:eastAsia="en-GB"/>
        </w:rPr>
        <w:t xml:space="preserve"> hydro resources have limited storage capacity; total reservoir storage is only around 10 percent of New Zealand’s annual demand. Hence, regular rainfall throughout the year is needed to sustain a high level of hydro generation. Electricity generation in a ‘normal’ hydro year does not require significant use of natural gas and coal, while a ‘dry’ hydro year requires greater use of natural gas and coal.</w:t>
      </w:r>
    </w:p>
    <w:p w14:paraId="27C865BD" w14:textId="71BFB0DE" w:rsidR="0038460F" w:rsidRPr="0060421C" w:rsidRDefault="0038460F" w:rsidP="0038460F">
      <w:pPr>
        <w:pStyle w:val="Figure"/>
        <w:rPr>
          <w:rFonts w:cs="Calibri"/>
          <w:lang w:eastAsia="en-GB"/>
        </w:rPr>
      </w:pPr>
      <w:bookmarkStart w:id="306" w:name="_Ref442370451"/>
      <w:bookmarkStart w:id="307" w:name="_Toc321399328"/>
      <w:bookmarkStart w:id="308" w:name="_Toc384582856"/>
      <w:bookmarkStart w:id="309" w:name="_Toc443060816"/>
      <w:bookmarkStart w:id="310" w:name="_Toc447275673"/>
      <w:bookmarkStart w:id="311" w:name="_Toc481751991"/>
      <w:bookmarkStart w:id="312" w:name="_Toc36292775"/>
      <w:bookmarkStart w:id="313" w:name="_Toc68786640"/>
      <w:bookmarkStart w:id="314" w:name="_Toc95834075"/>
      <w:bookmarkStart w:id="315" w:name="_Toc164154011"/>
      <w:bookmarkStart w:id="316" w:name="_Toc194674844"/>
      <w:bookmarkStart w:id="317" w:name="_Toc226200671"/>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6</w:t>
      </w:r>
      <w:r w:rsidRPr="0060421C">
        <w:rPr>
          <w:rFonts w:cs="Calibri"/>
        </w:rPr>
        <w:fldChar w:fldCharType="end"/>
      </w:r>
      <w:bookmarkEnd w:id="306"/>
      <w:r w:rsidRPr="0060421C">
        <w:tab/>
      </w:r>
      <w:r w:rsidRPr="0060421C">
        <w:rPr>
          <w:rFonts w:cs="Calibri"/>
          <w:lang w:eastAsia="en-GB"/>
        </w:rPr>
        <w:t xml:space="preserve">New Zealand’s </w:t>
      </w:r>
      <w:r w:rsidRPr="0060421C">
        <w:rPr>
          <w:rFonts w:cs="Calibri"/>
        </w:rPr>
        <w:t>electricity</w:t>
      </w:r>
      <w:r w:rsidRPr="0060421C">
        <w:rPr>
          <w:rFonts w:cs="Calibri"/>
          <w:lang w:eastAsia="en-GB"/>
        </w:rPr>
        <w:t xml:space="preserve"> generation by source</w:t>
      </w:r>
      <w:bookmarkEnd w:id="307"/>
      <w:bookmarkEnd w:id="308"/>
      <w:bookmarkEnd w:id="309"/>
      <w:bookmarkEnd w:id="310"/>
      <w:bookmarkEnd w:id="311"/>
      <w:bookmarkEnd w:id="312"/>
      <w:r w:rsidRPr="0060421C">
        <w:rPr>
          <w:rFonts w:cs="Calibri"/>
          <w:lang w:eastAsia="en-GB"/>
        </w:rPr>
        <w:t xml:space="preserve">, from 1990 to </w:t>
      </w:r>
      <w:bookmarkEnd w:id="313"/>
      <w:bookmarkEnd w:id="314"/>
      <w:bookmarkEnd w:id="315"/>
      <w:bookmarkEnd w:id="316"/>
      <w:r w:rsidRPr="0060421C">
        <w:rPr>
          <w:rFonts w:cs="Calibri"/>
          <w:lang w:eastAsia="en-GB"/>
        </w:rPr>
        <w:t>2024</w:t>
      </w:r>
      <w:bookmarkEnd w:id="317"/>
    </w:p>
    <w:p w14:paraId="4DF3CC57" w14:textId="77777777" w:rsidR="0038460F" w:rsidRPr="0060421C" w:rsidRDefault="0038460F" w:rsidP="0038460F">
      <w:pPr>
        <w:pStyle w:val="BodyText"/>
        <w:spacing w:after="60"/>
        <w:rPr>
          <w:rFonts w:cs="Calibri"/>
          <w:sz w:val="26"/>
          <w:szCs w:val="26"/>
        </w:rPr>
      </w:pPr>
      <w:r w:rsidRPr="0060421C">
        <w:rPr>
          <w:rFonts w:cs="Calibri"/>
          <w:noProof/>
          <w:sz w:val="26"/>
          <w:szCs w:val="26"/>
        </w:rPr>
        <w:drawing>
          <wp:inline distT="0" distB="0" distL="0" distR="0" wp14:anchorId="3DF7BD0F" wp14:editId="6D0C9449">
            <wp:extent cx="5400577" cy="2479618"/>
            <wp:effectExtent l="0" t="0" r="0" b="0"/>
            <wp:docPr id="1177853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hqprint">
                      <a:extLst>
                        <a:ext uri="{28A0092B-C50C-407E-A947-70E740481C1C}">
                          <a14:useLocalDpi xmlns:a14="http://schemas.microsoft.com/office/drawing/2010/main" val="0"/>
                        </a:ext>
                      </a:extLst>
                    </a:blip>
                    <a:srcRect/>
                    <a:stretch>
                      <a:fillRect/>
                    </a:stretch>
                  </pic:blipFill>
                  <pic:spPr bwMode="auto">
                    <a:xfrm>
                      <a:off x="0" y="0"/>
                      <a:ext cx="5401310" cy="2479955"/>
                    </a:xfrm>
                    <a:prstGeom prst="rect">
                      <a:avLst/>
                    </a:prstGeom>
                    <a:noFill/>
                    <a:ln>
                      <a:noFill/>
                    </a:ln>
                    <a:extLst>
                      <a:ext uri="{53640926-AAD7-44D8-BBD7-CCE9431645EC}">
                        <a14:shadowObscured xmlns:a14="http://schemas.microsoft.com/office/drawing/2010/main"/>
                      </a:ext>
                    </a:extLst>
                  </pic:spPr>
                </pic:pic>
              </a:graphicData>
            </a:graphic>
          </wp:inline>
        </w:drawing>
      </w:r>
    </w:p>
    <w:p w14:paraId="1CF306CA" w14:textId="77777777" w:rsidR="0038460F" w:rsidRPr="0060421C" w:rsidRDefault="0038460F" w:rsidP="0038460F">
      <w:pPr>
        <w:pStyle w:val="Heading4"/>
      </w:pPr>
      <w:r w:rsidRPr="0060421C">
        <w:t>Methodological issues</w:t>
      </w:r>
    </w:p>
    <w:p w14:paraId="32583D6A" w14:textId="77777777" w:rsidR="0038460F" w:rsidRPr="0060421C" w:rsidRDefault="0038460F" w:rsidP="0038460F">
      <w:pPr>
        <w:pStyle w:val="Heading5"/>
        <w:spacing w:before="180"/>
        <w:rPr>
          <w:sz w:val="26"/>
        </w:rPr>
      </w:pPr>
      <w:r w:rsidRPr="0060421C">
        <w:rPr>
          <w:lang w:eastAsia="en-GB"/>
        </w:rPr>
        <w:t>1.A.1.c Manufacture of solid fuels and other energy industries</w:t>
      </w:r>
    </w:p>
    <w:p w14:paraId="7E38D0AA" w14:textId="77777777" w:rsidR="0038460F" w:rsidRPr="0060421C" w:rsidRDefault="0038460F" w:rsidP="0038460F">
      <w:pPr>
        <w:pStyle w:val="BodyText"/>
        <w:rPr>
          <w:rFonts w:cs="Calibri"/>
          <w:lang w:eastAsia="en-GB"/>
        </w:rPr>
      </w:pPr>
      <w:r w:rsidRPr="0060421C">
        <w:rPr>
          <w:rFonts w:cs="Calibri"/>
          <w:lang w:eastAsia="en-GB"/>
        </w:rPr>
        <w:t>Methanex New Zealand produced synthetic gasoline until 1997. A Tier 2 methodology was used to estimate CO</w:t>
      </w:r>
      <w:r w:rsidRPr="0060421C">
        <w:rPr>
          <w:rFonts w:cs="Calibri"/>
          <w:vertAlign w:val="subscript"/>
          <w:lang w:eastAsia="en-GB"/>
        </w:rPr>
        <w:t>2</w:t>
      </w:r>
      <w:r w:rsidRPr="0060421C">
        <w:rPr>
          <w:rFonts w:cs="Calibri"/>
          <w:lang w:eastAsia="en-GB"/>
        </w:rPr>
        <w:t xml:space="preserve"> emissions based on the annual weighted average gas emission factor. </w:t>
      </w:r>
    </w:p>
    <w:p w14:paraId="64A9FCB2" w14:textId="77777777" w:rsidR="0038460F" w:rsidRPr="0060421C" w:rsidRDefault="0038460F" w:rsidP="0038460F">
      <w:pPr>
        <w:pStyle w:val="BodyText"/>
        <w:rPr>
          <w:rFonts w:cs="Calibri"/>
          <w:lang w:eastAsia="en-GB"/>
        </w:rPr>
      </w:pPr>
      <w:r w:rsidRPr="0060421C">
        <w:rPr>
          <w:rFonts w:cs="Calibri"/>
          <w:lang w:eastAsia="en-GB"/>
        </w:rPr>
        <w:t xml:space="preserve">Domestically produced liquid CO₂ is reported as CO₂ capture under category 1.A.1 </w:t>
      </w:r>
      <w:r w:rsidRPr="0060421C">
        <w:rPr>
          <w:rFonts w:cs="Calibri"/>
          <w:i/>
          <w:iCs/>
          <w:lang w:eastAsia="en-GB"/>
        </w:rPr>
        <w:t>Energy industries</w:t>
      </w:r>
      <w:r w:rsidRPr="0060421C">
        <w:rPr>
          <w:rFonts w:cs="Calibri"/>
          <w:lang w:eastAsia="en-GB"/>
        </w:rPr>
        <w:t>. The consumption of domestically produced liquid CO₂ is reported under the IPPU sector, consistent with the treatment of imported liquid CO₂.</w:t>
      </w:r>
    </w:p>
    <w:p w14:paraId="68502B14" w14:textId="77777777" w:rsidR="0038460F" w:rsidRPr="0060421C" w:rsidRDefault="0038460F" w:rsidP="0038460F">
      <w:pPr>
        <w:pStyle w:val="BodyText"/>
        <w:rPr>
          <w:rFonts w:cs="Calibri"/>
          <w:lang w:eastAsia="en-GB"/>
        </w:rPr>
      </w:pPr>
      <w:r w:rsidRPr="0060421C">
        <w:rPr>
          <w:rFonts w:cs="Calibri"/>
          <w:lang w:eastAsia="en-GB"/>
        </w:rPr>
        <w:t xml:space="preserve">Liquid CO₂ is used in a variety of applications, including brewing and the production of dry ice. Dry ice is commonly used for applications such as preserving perishable goods during shipping – including food, flowers and human organs for transplant – creating fog effects for entertainment and for the freeze-branding of livestock. Emissions from the consumption of products derived from liquid CO₂ are reported under IPPU category 2.H.3 </w:t>
      </w:r>
      <w:r w:rsidRPr="0060421C">
        <w:rPr>
          <w:rFonts w:cs="Calibri"/>
          <w:i/>
          <w:iCs/>
          <w:lang w:eastAsia="en-GB"/>
        </w:rPr>
        <w:t>Other</w:t>
      </w:r>
      <w:r w:rsidRPr="0060421C">
        <w:rPr>
          <w:rFonts w:cs="Calibri"/>
          <w:lang w:eastAsia="en-GB"/>
        </w:rPr>
        <w:t xml:space="preserve"> </w:t>
      </w:r>
      <w:r w:rsidRPr="0060421C">
        <w:rPr>
          <w:rFonts w:cs="Calibri"/>
          <w:i/>
          <w:iCs/>
          <w:lang w:eastAsia="en-GB"/>
        </w:rPr>
        <w:t>(carbon dioxide consumption)</w:t>
      </w:r>
      <w:r w:rsidRPr="0060421C">
        <w:rPr>
          <w:rFonts w:cs="Calibri"/>
          <w:lang w:eastAsia="en-GB"/>
        </w:rPr>
        <w:t>.</w:t>
      </w:r>
    </w:p>
    <w:p w14:paraId="6691861D" w14:textId="77777777" w:rsidR="0038460F" w:rsidRPr="0060421C" w:rsidRDefault="0038460F" w:rsidP="0038460F">
      <w:pPr>
        <w:pStyle w:val="Heading4"/>
        <w:rPr>
          <w:lang w:eastAsia="en-GB"/>
        </w:rPr>
      </w:pPr>
      <w:r w:rsidRPr="0060421C">
        <w:rPr>
          <w:lang w:eastAsia="en-GB"/>
        </w:rPr>
        <w:t>Activity data</w:t>
      </w:r>
    </w:p>
    <w:p w14:paraId="77D2FD4B" w14:textId="77777777" w:rsidR="0038460F" w:rsidRPr="0060421C" w:rsidRDefault="0038460F" w:rsidP="0038460F">
      <w:pPr>
        <w:pStyle w:val="Heading5"/>
        <w:spacing w:before="180"/>
        <w:rPr>
          <w:sz w:val="26"/>
        </w:rPr>
      </w:pPr>
      <w:r w:rsidRPr="0060421C">
        <w:rPr>
          <w:lang w:eastAsia="en-GB"/>
        </w:rPr>
        <w:t>1.A.1.a Public electricity and heat production</w:t>
      </w:r>
    </w:p>
    <w:p w14:paraId="744C22A0" w14:textId="77777777" w:rsidR="0038460F" w:rsidRPr="0060421C" w:rsidRDefault="0038460F" w:rsidP="0038460F">
      <w:pPr>
        <w:pStyle w:val="BodyText"/>
        <w:rPr>
          <w:rFonts w:cs="Calibri"/>
          <w:lang w:eastAsia="en-GB"/>
        </w:rPr>
      </w:pPr>
      <w:r w:rsidRPr="0060421C">
        <w:rPr>
          <w:rFonts w:cs="Calibri"/>
          <w:lang w:eastAsia="en-GB"/>
        </w:rPr>
        <w:t xml:space="preserve">All thermal electricity generators report to MBIE the quantities of coal, natural gas and oil used for electricity generation. Greenhouse gas emissions from geothermal electricity generation are reported in </w:t>
      </w:r>
      <w:r w:rsidRPr="0060421C">
        <w:rPr>
          <w:rFonts w:cs="Calibri"/>
        </w:rPr>
        <w:t xml:space="preserve">category </w:t>
      </w:r>
      <w:r w:rsidRPr="0060421C">
        <w:rPr>
          <w:rFonts w:cs="Calibri"/>
          <w:lang w:eastAsia="en-GB"/>
        </w:rPr>
        <w:t xml:space="preserve">1.B.2.d </w:t>
      </w:r>
      <w:r w:rsidRPr="0060421C">
        <w:rPr>
          <w:rFonts w:cs="Calibri"/>
          <w:i/>
          <w:iCs/>
          <w:lang w:eastAsia="en-GB"/>
        </w:rPr>
        <w:t>Fugitive emissions – Geothermal</w:t>
      </w:r>
      <w:r w:rsidRPr="0060421C">
        <w:rPr>
          <w:rFonts w:cs="Calibri"/>
          <w:lang w:eastAsia="en-GB"/>
        </w:rPr>
        <w:t>.</w:t>
      </w:r>
    </w:p>
    <w:p w14:paraId="27D9420C" w14:textId="77777777" w:rsidR="0038460F" w:rsidRPr="0060421C" w:rsidRDefault="0038460F" w:rsidP="0038460F">
      <w:pPr>
        <w:pStyle w:val="BodyText"/>
        <w:rPr>
          <w:rFonts w:cs="Calibri"/>
          <w:lang w:eastAsia="en-GB"/>
        </w:rPr>
      </w:pPr>
      <w:r w:rsidRPr="0060421C">
        <w:rPr>
          <w:rFonts w:cs="Calibri"/>
          <w:lang w:eastAsia="en-GB"/>
        </w:rPr>
        <w:t xml:space="preserve">Around 5 percent of New Zealand’s electricity is supplied by co-generation (also known as combined heat and power) (MBIE, 2025a). Most major co-generation plants are attached to large industrial facilities that consume most of the generated electricity and heat. </w:t>
      </w:r>
    </w:p>
    <w:p w14:paraId="54C78BD1" w14:textId="77777777" w:rsidR="0038460F" w:rsidRPr="0060421C" w:rsidRDefault="0038460F" w:rsidP="0038460F">
      <w:pPr>
        <w:pStyle w:val="BodyText"/>
        <w:rPr>
          <w:rFonts w:cs="Calibri"/>
          <w:lang w:eastAsia="en-GB"/>
        </w:rPr>
      </w:pPr>
      <w:r w:rsidRPr="0060421C">
        <w:rPr>
          <w:rFonts w:cs="Calibri"/>
          <w:lang w:eastAsia="en-GB"/>
        </w:rPr>
        <w:t xml:space="preserve">Six co-generation plants that fit the IPCC (2006) definition of public electricity and heat production produce electricity as their primary purpose. The emissions from these plants are included in category 1.A.1.a </w:t>
      </w:r>
      <w:r w:rsidRPr="0060421C">
        <w:rPr>
          <w:rFonts w:cs="Calibri"/>
          <w:i/>
          <w:lang w:eastAsia="en-GB"/>
        </w:rPr>
        <w:t>Public electricity and heat production</w:t>
      </w:r>
      <w:r w:rsidRPr="0060421C">
        <w:rPr>
          <w:rFonts w:cs="Calibri"/>
          <w:lang w:eastAsia="en-GB"/>
        </w:rPr>
        <w:t>, while emissions from other co</w:t>
      </w:r>
      <w:r w:rsidRPr="0060421C">
        <w:rPr>
          <w:rFonts w:cs="Calibri"/>
          <w:lang w:eastAsia="en-GB"/>
        </w:rPr>
        <w:noBreakHyphen/>
        <w:t xml:space="preserve">generation plants are included in category 1.A.2 </w:t>
      </w:r>
      <w:r w:rsidRPr="0060421C">
        <w:rPr>
          <w:rFonts w:cs="Calibri"/>
          <w:i/>
          <w:lang w:eastAsia="en-GB"/>
        </w:rPr>
        <w:t>Manufacturing industries and construction</w:t>
      </w:r>
      <w:r w:rsidRPr="0060421C">
        <w:rPr>
          <w:rFonts w:cs="Calibri"/>
          <w:lang w:eastAsia="en-GB"/>
        </w:rPr>
        <w:t xml:space="preserve"> (section 3.2.8). </w:t>
      </w:r>
    </w:p>
    <w:p w14:paraId="064BB961" w14:textId="77777777" w:rsidR="0038460F" w:rsidRPr="0060421C" w:rsidRDefault="0038460F" w:rsidP="0038460F">
      <w:pPr>
        <w:pStyle w:val="BodyText"/>
        <w:rPr>
          <w:rFonts w:cs="Calibri"/>
          <w:lang w:eastAsia="en-GB"/>
        </w:rPr>
      </w:pPr>
      <w:r w:rsidRPr="0060421C">
        <w:rPr>
          <w:rFonts w:cs="Calibri"/>
          <w:lang w:eastAsia="en-GB"/>
        </w:rPr>
        <w:t>To establish a consistent approach to on-site generation, MBIE developed a decision tree to guide the allocation of associated fuel consumption and identify whether the plant is a main activity electricity generator or an autoproducer (figure 3.2.7).</w:t>
      </w:r>
    </w:p>
    <w:p w14:paraId="221379A9" w14:textId="0AC4CD81" w:rsidR="0038460F" w:rsidRPr="0060421C" w:rsidRDefault="0038460F" w:rsidP="0038460F">
      <w:pPr>
        <w:pStyle w:val="Figure"/>
        <w:spacing w:after="0"/>
        <w:rPr>
          <w:rFonts w:cs="Calibri"/>
          <w:lang w:eastAsia="en-GB"/>
        </w:rPr>
      </w:pPr>
      <w:bookmarkStart w:id="318" w:name="_Ref442370479"/>
      <w:bookmarkStart w:id="319" w:name="_Toc321399329"/>
      <w:bookmarkStart w:id="320" w:name="_Toc384582857"/>
      <w:bookmarkStart w:id="321" w:name="_Toc443060817"/>
      <w:bookmarkStart w:id="322" w:name="_Toc447275674"/>
      <w:bookmarkStart w:id="323" w:name="_Toc481751992"/>
      <w:bookmarkStart w:id="324" w:name="_Toc36292776"/>
      <w:bookmarkStart w:id="325" w:name="_Toc68786641"/>
      <w:bookmarkStart w:id="326" w:name="_Toc95834076"/>
      <w:bookmarkStart w:id="327" w:name="_Toc164154012"/>
      <w:bookmarkStart w:id="328" w:name="_Toc194674845"/>
      <w:bookmarkStart w:id="329" w:name="_Toc226200672"/>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7</w:t>
      </w:r>
      <w:r w:rsidRPr="0060421C">
        <w:rPr>
          <w:rFonts w:cs="Calibri"/>
        </w:rPr>
        <w:fldChar w:fldCharType="end"/>
      </w:r>
      <w:bookmarkEnd w:id="318"/>
      <w:r w:rsidRPr="0060421C">
        <w:rPr>
          <w:rFonts w:cs="Calibri"/>
          <w:lang w:eastAsia="en-GB"/>
        </w:rPr>
        <w:tab/>
        <w:t xml:space="preserve">Decision tree </w:t>
      </w:r>
      <w:bookmarkEnd w:id="319"/>
      <w:r w:rsidRPr="0060421C">
        <w:rPr>
          <w:rFonts w:cs="Calibri"/>
          <w:lang w:eastAsia="en-GB"/>
        </w:rPr>
        <w:t>to identify a main activity electricity generator or an autoproducer</w:t>
      </w:r>
      <w:bookmarkEnd w:id="320"/>
      <w:bookmarkEnd w:id="321"/>
      <w:bookmarkEnd w:id="322"/>
      <w:bookmarkEnd w:id="323"/>
      <w:bookmarkEnd w:id="324"/>
      <w:bookmarkEnd w:id="325"/>
      <w:bookmarkEnd w:id="326"/>
      <w:bookmarkEnd w:id="327"/>
      <w:bookmarkEnd w:id="328"/>
      <w:bookmarkEnd w:id="329"/>
    </w:p>
    <w:p w14:paraId="602EFD71" w14:textId="77777777" w:rsidR="0038460F" w:rsidRPr="0060421C" w:rsidRDefault="0038460F" w:rsidP="0038460F">
      <w:pPr>
        <w:pStyle w:val="BodyText"/>
        <w:jc w:val="center"/>
        <w:rPr>
          <w:lang w:eastAsia="en-GB"/>
        </w:rPr>
      </w:pPr>
      <w:r w:rsidRPr="0060421C">
        <w:rPr>
          <w:noProof/>
          <w:lang w:eastAsia="en-GB"/>
        </w:rPr>
        <w:drawing>
          <wp:inline distT="0" distB="0" distL="0" distR="0" wp14:anchorId="3C7C17E5" wp14:editId="7FAD7B03">
            <wp:extent cx="4229100" cy="3133319"/>
            <wp:effectExtent l="0" t="0" r="0" b="0"/>
            <wp:docPr id="967793812"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93812" name="Graphic 967793812"/>
                    <pic:cNvPicPr/>
                  </pic:nvPicPr>
                  <pic:blipFill rotWithShape="1">
                    <a:blip r:embed="rId63">
                      <a:extLst>
                        <a:ext uri="{96DAC541-7B7A-43D3-8B79-37D633B846F1}">
                          <asvg:svgBlip xmlns:asvg="http://schemas.microsoft.com/office/drawing/2016/SVG/main" r:embed="rId64"/>
                        </a:ext>
                      </a:extLst>
                    </a:blip>
                    <a:srcRect t="4392" b="51157"/>
                    <a:stretch>
                      <a:fillRect/>
                    </a:stretch>
                  </pic:blipFill>
                  <pic:spPr bwMode="auto">
                    <a:xfrm>
                      <a:off x="0" y="0"/>
                      <a:ext cx="4229100" cy="3133319"/>
                    </a:xfrm>
                    <a:prstGeom prst="rect">
                      <a:avLst/>
                    </a:prstGeom>
                    <a:ln>
                      <a:noFill/>
                    </a:ln>
                    <a:extLst>
                      <a:ext uri="{53640926-AAD7-44D8-BBD7-CCE9431645EC}">
                        <a14:shadowObscured xmlns:a14="http://schemas.microsoft.com/office/drawing/2010/main"/>
                      </a:ext>
                    </a:extLst>
                  </pic:spPr>
                </pic:pic>
              </a:graphicData>
            </a:graphic>
          </wp:inline>
        </w:drawing>
      </w:r>
    </w:p>
    <w:p w14:paraId="05BDC8F9" w14:textId="77777777" w:rsidR="0038460F" w:rsidRPr="0060421C" w:rsidRDefault="0038460F" w:rsidP="0038460F">
      <w:pPr>
        <w:pStyle w:val="Heading5"/>
        <w:rPr>
          <w:sz w:val="26"/>
        </w:rPr>
      </w:pPr>
      <w:r w:rsidRPr="0060421C">
        <w:rPr>
          <w:lang w:eastAsia="en-GB"/>
        </w:rPr>
        <w:t xml:space="preserve">1.A.1.b </w:t>
      </w:r>
      <w:r w:rsidRPr="0060421C">
        <w:t>Petroleum</w:t>
      </w:r>
      <w:r w:rsidRPr="0060421C">
        <w:rPr>
          <w:lang w:eastAsia="en-GB"/>
        </w:rPr>
        <w:t xml:space="preserve"> refining</w:t>
      </w:r>
    </w:p>
    <w:p w14:paraId="5CD3A1AB" w14:textId="77777777" w:rsidR="0038460F" w:rsidRPr="0060421C" w:rsidRDefault="0038460F" w:rsidP="0038460F">
      <w:pPr>
        <w:pStyle w:val="BodyText"/>
        <w:keepLines/>
        <w:rPr>
          <w:rFonts w:cs="Calibri"/>
          <w:lang w:eastAsia="en-GB"/>
        </w:rPr>
      </w:pPr>
      <w:r w:rsidRPr="0060421C">
        <w:rPr>
          <w:rFonts w:cs="Calibri"/>
          <w:lang w:eastAsia="en-GB"/>
        </w:rPr>
        <w:t xml:space="preserve">Petroleum refining in New Zealand occurred up until March 2022 at only one site: the Marsden Point Oil Refinery, owned by Refining New Zealand. Refining New Zealand formerly provided annual activity data and emission factors for each type of fuel consumed at the site. </w:t>
      </w:r>
    </w:p>
    <w:p w14:paraId="3DEDF337" w14:textId="77777777" w:rsidR="0038460F" w:rsidRPr="0060421C" w:rsidRDefault="0038460F" w:rsidP="0038460F">
      <w:pPr>
        <w:pStyle w:val="Heading5"/>
        <w:rPr>
          <w:lang w:eastAsia="en-GB"/>
        </w:rPr>
      </w:pPr>
      <w:r w:rsidRPr="0060421C">
        <w:rPr>
          <w:lang w:eastAsia="en-GB"/>
        </w:rPr>
        <w:t>1.A.1.c.ii Manufacture of solid fuels and other energy industries – Other energy industries</w:t>
      </w:r>
    </w:p>
    <w:p w14:paraId="6C985381" w14:textId="77777777" w:rsidR="0038460F" w:rsidRPr="0060421C" w:rsidRDefault="0038460F" w:rsidP="0038460F">
      <w:pPr>
        <w:pStyle w:val="BodyText"/>
        <w:rPr>
          <w:rFonts w:cs="Calibri"/>
          <w:lang w:eastAsia="en-GB"/>
        </w:rPr>
      </w:pPr>
      <w:r w:rsidRPr="0060421C">
        <w:rPr>
          <w:rFonts w:cs="Calibri"/>
          <w:lang w:eastAsia="en-GB"/>
        </w:rPr>
        <w:t xml:space="preserve">Activity data for the own-use combustion of natural gas during oil and gas extraction are reported to MBIE by individual gas and/or oil field operators. Some crude oil is also combusted for own use during oil and gas extraction, and these quantities are reported in NZ ETS returns. </w:t>
      </w:r>
    </w:p>
    <w:p w14:paraId="2AC8637E" w14:textId="77777777" w:rsidR="0038460F" w:rsidRPr="0060421C" w:rsidRDefault="0038460F" w:rsidP="0038460F">
      <w:pPr>
        <w:pStyle w:val="BodyText"/>
        <w:rPr>
          <w:rFonts w:cs="Calibri"/>
          <w:lang w:eastAsia="en-GB"/>
        </w:rPr>
      </w:pPr>
      <w:r w:rsidRPr="0060421C">
        <w:rPr>
          <w:rFonts w:cs="Calibri"/>
          <w:lang w:eastAsia="en-GB"/>
        </w:rPr>
        <w:t>Emissions from natural gas combustion for natural gas transmission are reported directly to MBIE by the transmission network operator. Similarly, emissions from natural gas combustion for natural gas processing are reported directly to MBIE by the plant operator.</w:t>
      </w:r>
    </w:p>
    <w:p w14:paraId="649D9457" w14:textId="77777777" w:rsidR="0038460F" w:rsidRPr="0060421C" w:rsidRDefault="0038460F" w:rsidP="0038460F">
      <w:pPr>
        <w:pStyle w:val="BodyText"/>
        <w:rPr>
          <w:rFonts w:cs="Calibri"/>
          <w:lang w:eastAsia="en-GB"/>
        </w:rPr>
      </w:pPr>
      <w:r w:rsidRPr="0060421C">
        <w:rPr>
          <w:rFonts w:cs="Calibri"/>
          <w:lang w:eastAsia="en-GB"/>
        </w:rPr>
        <w:t>Losses and own use of coal by coal mining entities are reported as a single aggregated item, so data on on</w:t>
      </w:r>
      <w:r w:rsidRPr="0060421C">
        <w:rPr>
          <w:rFonts w:cs="Calibri"/>
          <w:lang w:eastAsia="en-GB"/>
        </w:rPr>
        <w:noBreakHyphen/>
        <w:t>site coal use are unavailable. Historically, coal mines would use their own coal to fuel on</w:t>
      </w:r>
      <w:r w:rsidRPr="0060421C">
        <w:rPr>
          <w:rFonts w:cs="Calibri"/>
          <w:lang w:eastAsia="en-GB"/>
        </w:rPr>
        <w:noBreakHyphen/>
        <w:t>site water boilers. However, the last such boiler at the Stockton mine closed in the mid-1980s, and the expert opinion of coal industry specialists indicates that any remaining on</w:t>
      </w:r>
      <w:r w:rsidRPr="0060421C">
        <w:rPr>
          <w:rFonts w:cs="Calibri"/>
          <w:lang w:eastAsia="en-GB"/>
        </w:rPr>
        <w:noBreakHyphen/>
        <w:t>site boilers are now fuelled by natural gas or electricity.</w:t>
      </w:r>
    </w:p>
    <w:p w14:paraId="0C50B6F5" w14:textId="77777777" w:rsidR="0038460F" w:rsidRPr="0060421C" w:rsidRDefault="0038460F" w:rsidP="0038460F">
      <w:pPr>
        <w:pStyle w:val="Heading4"/>
        <w:rPr>
          <w:rFonts w:cs="Calibri"/>
          <w:sz w:val="26"/>
        </w:rPr>
      </w:pPr>
      <w:r w:rsidRPr="0060421C">
        <w:rPr>
          <w:lang w:eastAsia="en-GB"/>
        </w:rPr>
        <w:t>Emission factors</w:t>
      </w:r>
    </w:p>
    <w:p w14:paraId="0F879752" w14:textId="77777777" w:rsidR="0038460F" w:rsidRPr="0060421C" w:rsidRDefault="0038460F" w:rsidP="0038460F">
      <w:pPr>
        <w:pStyle w:val="Heading5"/>
        <w:spacing w:before="180"/>
        <w:rPr>
          <w:sz w:val="26"/>
        </w:rPr>
      </w:pPr>
      <w:r w:rsidRPr="0060421C">
        <w:rPr>
          <w:lang w:eastAsia="en-GB"/>
        </w:rPr>
        <w:t>Gaseous fuels</w:t>
      </w:r>
    </w:p>
    <w:p w14:paraId="5FC4CEBF" w14:textId="77777777" w:rsidR="0038460F" w:rsidRPr="0060421C" w:rsidRDefault="0038460F" w:rsidP="0038460F">
      <w:pPr>
        <w:pStyle w:val="BodyText"/>
        <w:rPr>
          <w:rFonts w:cs="Calibri"/>
          <w:sz w:val="16"/>
          <w:szCs w:val="16"/>
          <w:lang w:eastAsia="en-GB"/>
        </w:rPr>
      </w:pPr>
      <w:r w:rsidRPr="0060421C">
        <w:rPr>
          <w:rFonts w:cs="Calibri"/>
          <w:lang w:eastAsia="en-GB"/>
        </w:rPr>
        <w:t>As mentioned in section 3.2.2, New Zealand’s CO</w:t>
      </w:r>
      <w:r w:rsidRPr="0060421C">
        <w:rPr>
          <w:rFonts w:cs="Calibri"/>
          <w:vertAlign w:val="subscript"/>
          <w:lang w:eastAsia="en-GB"/>
        </w:rPr>
        <w:t>2</w:t>
      </w:r>
      <w:r w:rsidRPr="0060421C">
        <w:rPr>
          <w:rFonts w:cs="Calibri"/>
          <w:lang w:eastAsia="en-GB"/>
        </w:rPr>
        <w:t xml:space="preserve"> emission factor for natural gas fluctuates from year to year, reflecting the relative amount of gas produced from the various gas fields each year. New Zealand gas fields also have higher CO</w:t>
      </w:r>
      <w:r w:rsidRPr="0060421C">
        <w:rPr>
          <w:rFonts w:cs="Calibri"/>
          <w:vertAlign w:val="subscript"/>
          <w:lang w:eastAsia="en-GB"/>
        </w:rPr>
        <w:t>2</w:t>
      </w:r>
      <w:r w:rsidRPr="0060421C">
        <w:rPr>
          <w:rFonts w:cs="Calibri"/>
          <w:lang w:eastAsia="en-GB"/>
        </w:rPr>
        <w:t xml:space="preserve"> content than most international gas fields. This is particularly evident in category 1.A.1.a </w:t>
      </w:r>
      <w:r w:rsidRPr="0060421C">
        <w:rPr>
          <w:rFonts w:cs="Calibri"/>
          <w:i/>
          <w:lang w:eastAsia="en-GB"/>
        </w:rPr>
        <w:t>Public electricity and heat production</w:t>
      </w:r>
      <w:r w:rsidRPr="0060421C">
        <w:rPr>
          <w:rFonts w:cs="Calibri"/>
          <w:lang w:eastAsia="en-GB"/>
        </w:rPr>
        <w:t>.</w:t>
      </w:r>
      <w:r w:rsidRPr="0060421C">
        <w:rPr>
          <w:rFonts w:cs="Calibri"/>
          <w:sz w:val="16"/>
          <w:szCs w:val="16"/>
          <w:lang w:eastAsia="en-GB"/>
        </w:rPr>
        <w:t xml:space="preserve"> </w:t>
      </w:r>
    </w:p>
    <w:p w14:paraId="1C3C6ACD" w14:textId="77777777" w:rsidR="0038460F" w:rsidRPr="0060421C" w:rsidRDefault="0038460F" w:rsidP="0038460F">
      <w:pPr>
        <w:pStyle w:val="Heading4"/>
      </w:pPr>
      <w:r w:rsidRPr="0060421C">
        <w:t>Uncertainty assessment and time-series consistency</w:t>
      </w:r>
    </w:p>
    <w:p w14:paraId="54DA0626"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Uncertainties in emissions and activity data estimates for this category are relevant to the entire </w:t>
      </w:r>
      <w:r w:rsidRPr="0060421C">
        <w:rPr>
          <w:rFonts w:cs="Calibri"/>
          <w:i/>
          <w:lang w:eastAsia="en-GB"/>
        </w:rPr>
        <w:t>Fuel combustion</w:t>
      </w:r>
      <w:r w:rsidRPr="0060421C">
        <w:rPr>
          <w:rFonts w:cs="Calibri"/>
          <w:lang w:eastAsia="en-GB"/>
        </w:rPr>
        <w:t xml:space="preserve"> category (see table 3.2.1).</w:t>
      </w:r>
    </w:p>
    <w:p w14:paraId="4B2ACB2D" w14:textId="77777777" w:rsidR="0038460F" w:rsidRPr="0060421C" w:rsidRDefault="0038460F" w:rsidP="0038460F">
      <w:pPr>
        <w:pStyle w:val="Heading4"/>
      </w:pPr>
      <w:r w:rsidRPr="0060421C">
        <w:t>Category-specific QA/QC and verification</w:t>
      </w:r>
    </w:p>
    <w:p w14:paraId="43C1625A"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In the preparation of this inventory, the </w:t>
      </w:r>
      <w:r w:rsidRPr="0060421C">
        <w:rPr>
          <w:rFonts w:cs="Calibri"/>
          <w:i/>
          <w:iCs/>
          <w:lang w:eastAsia="en-GB"/>
        </w:rPr>
        <w:t>Energy industries</w:t>
      </w:r>
      <w:r w:rsidRPr="0060421C">
        <w:rPr>
          <w:rFonts w:cs="Calibri"/>
          <w:lang w:eastAsia="en-GB"/>
        </w:rPr>
        <w:t xml:space="preserve"> category underwent Tier 1 quality-assurance and quality-control checks as recommended in the 2006 IPCC Guidelines (IPCC, 2006). These include regular control sums throughout systems to verify system integrity and consistency checks on implied emission factors.</w:t>
      </w:r>
    </w:p>
    <w:p w14:paraId="6CE6EAD6" w14:textId="77777777" w:rsidR="0038460F" w:rsidRPr="0060421C" w:rsidRDefault="0038460F" w:rsidP="0038460F">
      <w:pPr>
        <w:pStyle w:val="Heading4"/>
      </w:pPr>
      <w:bookmarkStart w:id="330" w:name="_Ref189640253"/>
      <w:r w:rsidRPr="0060421C">
        <w:t>Category-specific recalculations</w:t>
      </w:r>
      <w:bookmarkEnd w:id="330"/>
    </w:p>
    <w:p w14:paraId="71CC1344"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Some historical data on fuel consumption for electricity generation have been revised in the national energy balance tables. This has resulted in minor revisions to activity data and recalculations of the corresponding emissions for some recent years. </w:t>
      </w:r>
    </w:p>
    <w:p w14:paraId="3D0C1DE6" w14:textId="77777777" w:rsidR="0038460F" w:rsidRPr="0060421C" w:rsidRDefault="0038460F" w:rsidP="0038460F">
      <w:pPr>
        <w:pStyle w:val="Heading4"/>
      </w:pPr>
      <w:bookmarkStart w:id="331" w:name="_Ref442360713"/>
      <w:r w:rsidRPr="0060421C">
        <w:t>Category-specific planned improvements</w:t>
      </w:r>
    </w:p>
    <w:p w14:paraId="14E3E6AF" w14:textId="77777777" w:rsidR="0038460F" w:rsidRPr="0060421C" w:rsidRDefault="0038460F" w:rsidP="0038460F">
      <w:pPr>
        <w:pStyle w:val="BodyText"/>
        <w:rPr>
          <w:rFonts w:cs="Calibri"/>
          <w:lang w:eastAsia="en-GB"/>
        </w:rPr>
      </w:pPr>
      <w:r w:rsidRPr="0060421C">
        <w:rPr>
          <w:rFonts w:cs="Calibri"/>
          <w:lang w:eastAsia="en-GB"/>
        </w:rPr>
        <w:t>There are no planned improvements for this category.</w:t>
      </w:r>
    </w:p>
    <w:p w14:paraId="06159128" w14:textId="77777777" w:rsidR="0038460F" w:rsidRPr="0060421C" w:rsidRDefault="0038460F" w:rsidP="0038460F">
      <w:pPr>
        <w:pStyle w:val="Heading3"/>
        <w:spacing w:before="320"/>
      </w:pPr>
      <w:r w:rsidRPr="0060421C">
        <w:t>3.2.8</w:t>
      </w:r>
      <w:r w:rsidRPr="0060421C">
        <w:tab/>
        <w:t>Fuel combustion: Manufacturing industries and construction (CRT 1.A.2)</w:t>
      </w:r>
      <w:bookmarkEnd w:id="331"/>
    </w:p>
    <w:p w14:paraId="046E6D3F" w14:textId="77777777" w:rsidR="0038460F" w:rsidRPr="0060421C" w:rsidRDefault="0038460F" w:rsidP="0038460F">
      <w:pPr>
        <w:pStyle w:val="Heading4"/>
        <w:spacing w:before="200"/>
      </w:pPr>
      <w:r w:rsidRPr="0060421C">
        <w:t>Category description</w:t>
      </w:r>
    </w:p>
    <w:p w14:paraId="1B61C8D4" w14:textId="77777777" w:rsidR="0038460F" w:rsidRPr="0060421C" w:rsidRDefault="0038460F" w:rsidP="0038460F">
      <w:pPr>
        <w:pStyle w:val="BodyText"/>
        <w:spacing w:before="100" w:after="100"/>
        <w:rPr>
          <w:rFonts w:cs="Calibri"/>
        </w:rPr>
      </w:pPr>
      <w:r w:rsidRPr="0060421C">
        <w:rPr>
          <w:rFonts w:cs="Calibri"/>
        </w:rPr>
        <w:t>This category comprises emissions from fossil fuels combusted in the manufacture of iron and steel, other nonferrous metals, chemicals, pulp, paper and print, food processing, beverages and tobacco, and in other manufacturing-related activities. Emissions from cogeneration plants that do not meet the definition of cogeneration as provided in the 2006 IPCC Guidelines are included in this category (IPCC, 2006).</w:t>
      </w:r>
    </w:p>
    <w:p w14:paraId="116236AC" w14:textId="77777777" w:rsidR="0038460F" w:rsidRPr="0060421C" w:rsidRDefault="0038460F" w:rsidP="0038460F">
      <w:pPr>
        <w:pStyle w:val="BodyText"/>
        <w:spacing w:before="100" w:after="100"/>
        <w:rPr>
          <w:rFonts w:cs="Calibri"/>
        </w:rPr>
      </w:pPr>
      <w:r w:rsidRPr="0060421C">
        <w:rPr>
          <w:rFonts w:cs="Calibri"/>
        </w:rPr>
        <w:t xml:space="preserve">In 2024, emissions from the 1.A.2 </w:t>
      </w:r>
      <w:r w:rsidRPr="0060421C">
        <w:rPr>
          <w:rFonts w:cs="Calibri"/>
          <w:i/>
          <w:lang w:eastAsia="en-GB"/>
        </w:rPr>
        <w:t>Manufacturing industries and construction</w:t>
      </w:r>
      <w:r w:rsidRPr="0060421C">
        <w:rPr>
          <w:rFonts w:cs="Calibri"/>
        </w:rPr>
        <w:t xml:space="preserve"> category accounted for 5,396.5 kt CO</w:t>
      </w:r>
      <w:r w:rsidRPr="0060421C">
        <w:rPr>
          <w:rFonts w:cs="Calibri"/>
          <w:vertAlign w:val="subscript"/>
          <w:lang w:eastAsia="en-GB"/>
        </w:rPr>
        <w:t>2</w:t>
      </w:r>
      <w:r w:rsidRPr="0060421C">
        <w:rPr>
          <w:rFonts w:cs="Calibri"/>
        </w:rPr>
        <w:t xml:space="preserve">e (18.8 percent) of emissions from the Energy sector. The largest contributors were </w:t>
      </w:r>
      <w:r w:rsidRPr="0060421C">
        <w:rPr>
          <w:rFonts w:cs="Calibri"/>
          <w:i/>
          <w:iCs/>
          <w:lang w:eastAsia="en-GB"/>
        </w:rPr>
        <w:t>Food processing</w:t>
      </w:r>
      <w:r w:rsidRPr="0060421C">
        <w:rPr>
          <w:rFonts w:cs="Calibri"/>
        </w:rPr>
        <w:t xml:space="preserve"> (2,495.1 kt CO</w:t>
      </w:r>
      <w:r w:rsidRPr="0060421C">
        <w:rPr>
          <w:rFonts w:cs="Calibri"/>
          <w:vertAlign w:val="subscript"/>
          <w:lang w:eastAsia="en-GB"/>
        </w:rPr>
        <w:t>2</w:t>
      </w:r>
      <w:r w:rsidRPr="0060421C">
        <w:rPr>
          <w:rFonts w:cs="Calibri"/>
        </w:rPr>
        <w:t xml:space="preserve">e) and </w:t>
      </w:r>
      <w:r w:rsidRPr="0060421C">
        <w:rPr>
          <w:rFonts w:cs="Calibri"/>
          <w:i/>
          <w:iCs/>
          <w:lang w:eastAsia="en-GB"/>
        </w:rPr>
        <w:t>Chemicals</w:t>
      </w:r>
      <w:r w:rsidRPr="0060421C">
        <w:rPr>
          <w:rFonts w:cs="Calibri"/>
        </w:rPr>
        <w:t xml:space="preserve"> (722.2 kt CO</w:t>
      </w:r>
      <w:r w:rsidRPr="0060421C">
        <w:rPr>
          <w:rFonts w:cs="Calibri"/>
          <w:vertAlign w:val="subscript"/>
          <w:lang w:eastAsia="en-GB"/>
        </w:rPr>
        <w:t>2</w:t>
      </w:r>
      <w:r w:rsidRPr="0060421C">
        <w:rPr>
          <w:rFonts w:cs="Calibri"/>
        </w:rPr>
        <w:t xml:space="preserve">e). </w:t>
      </w:r>
    </w:p>
    <w:p w14:paraId="7FD82D29" w14:textId="77777777" w:rsidR="0038460F" w:rsidRPr="0060421C" w:rsidRDefault="0038460F" w:rsidP="0038460F">
      <w:pPr>
        <w:pStyle w:val="Heading4"/>
        <w:rPr>
          <w:lang w:eastAsia="en-GB"/>
        </w:rPr>
      </w:pPr>
      <w:r w:rsidRPr="0060421C">
        <w:rPr>
          <w:lang w:eastAsia="en-GB"/>
        </w:rPr>
        <w:t xml:space="preserve">Changes in emissions between </w:t>
      </w:r>
      <w:r w:rsidRPr="0060421C">
        <w:rPr>
          <w:rFonts w:cs="Calibri"/>
        </w:rPr>
        <w:t xml:space="preserve">1990 </w:t>
      </w:r>
      <w:r w:rsidRPr="0060421C">
        <w:rPr>
          <w:lang w:eastAsia="en-GB"/>
        </w:rPr>
        <w:t xml:space="preserve">and </w:t>
      </w:r>
      <w:r w:rsidRPr="0060421C">
        <w:rPr>
          <w:rFonts w:cs="Calibri"/>
        </w:rPr>
        <w:t>2024</w:t>
      </w:r>
    </w:p>
    <w:p w14:paraId="23498571" w14:textId="77777777" w:rsidR="0038460F" w:rsidRPr="0060421C" w:rsidRDefault="0038460F" w:rsidP="0038460F">
      <w:pPr>
        <w:pStyle w:val="BodyText"/>
        <w:spacing w:before="80" w:after="100"/>
        <w:rPr>
          <w:rFonts w:cs="Calibri"/>
        </w:rPr>
      </w:pPr>
      <w:r w:rsidRPr="0060421C">
        <w:rPr>
          <w:rFonts w:cs="Calibri"/>
          <w:spacing w:val="-2"/>
        </w:rPr>
        <w:t>Between 1990 and 2024, emissions from this category increased by 640.5 kt CO</w:t>
      </w:r>
      <w:r w:rsidRPr="0060421C">
        <w:rPr>
          <w:rFonts w:cs="Calibri"/>
          <w:spacing w:val="-2"/>
          <w:vertAlign w:val="subscript"/>
          <w:lang w:eastAsia="en-GB"/>
        </w:rPr>
        <w:t>2</w:t>
      </w:r>
      <w:r w:rsidRPr="0060421C">
        <w:rPr>
          <w:rFonts w:cs="Calibri"/>
          <w:spacing w:val="-2"/>
        </w:rPr>
        <w:t>e (13.5 percent)</w:t>
      </w:r>
      <w:r w:rsidRPr="0060421C">
        <w:rPr>
          <w:rFonts w:cs="Calibri"/>
        </w:rPr>
        <w:t xml:space="preserve"> compared with the 1990 level of 4,756.0 kt CO</w:t>
      </w:r>
      <w:r w:rsidRPr="0060421C">
        <w:rPr>
          <w:rFonts w:cs="Calibri"/>
          <w:vertAlign w:val="subscript"/>
          <w:lang w:eastAsia="en-GB"/>
        </w:rPr>
        <w:t>2</w:t>
      </w:r>
      <w:r w:rsidRPr="0060421C">
        <w:rPr>
          <w:rFonts w:cs="Calibri"/>
        </w:rPr>
        <w:t xml:space="preserve">e. The largest contributors to this rise were </w:t>
      </w:r>
      <w:r w:rsidRPr="0060421C">
        <w:rPr>
          <w:rFonts w:cs="Calibri"/>
          <w:i/>
          <w:iCs/>
          <w:lang w:eastAsia="en-GB"/>
        </w:rPr>
        <w:t xml:space="preserve">Food processing, </w:t>
      </w:r>
      <w:r w:rsidRPr="0060421C">
        <w:rPr>
          <w:rFonts w:cs="Calibri"/>
          <w:lang w:eastAsia="en-GB"/>
        </w:rPr>
        <w:t>which grew by</w:t>
      </w:r>
      <w:r w:rsidRPr="0060421C">
        <w:rPr>
          <w:rFonts w:cs="Calibri"/>
        </w:rPr>
        <w:t xml:space="preserve"> 823.4 kt CO</w:t>
      </w:r>
      <w:r w:rsidRPr="0060421C">
        <w:rPr>
          <w:rFonts w:cs="Calibri"/>
          <w:vertAlign w:val="subscript"/>
          <w:lang w:eastAsia="en-GB"/>
        </w:rPr>
        <w:t>2</w:t>
      </w:r>
      <w:r w:rsidRPr="0060421C">
        <w:rPr>
          <w:rFonts w:cs="Calibri"/>
        </w:rPr>
        <w:t xml:space="preserve">e (49.3 percent) and </w:t>
      </w:r>
      <w:r w:rsidRPr="0060421C">
        <w:rPr>
          <w:rFonts w:cs="Calibri"/>
          <w:i/>
          <w:iCs/>
          <w:lang w:eastAsia="en-GB"/>
        </w:rPr>
        <w:t xml:space="preserve">Mining, </w:t>
      </w:r>
      <w:r w:rsidRPr="0060421C">
        <w:rPr>
          <w:rFonts w:cs="Calibri"/>
          <w:lang w:eastAsia="en-GB"/>
        </w:rPr>
        <w:t>which increased</w:t>
      </w:r>
      <w:r w:rsidRPr="0060421C">
        <w:rPr>
          <w:rFonts w:cs="Calibri"/>
          <w:i/>
          <w:iCs/>
          <w:lang w:eastAsia="en-GB"/>
        </w:rPr>
        <w:t xml:space="preserve"> </w:t>
      </w:r>
      <w:r w:rsidRPr="0060421C">
        <w:rPr>
          <w:rFonts w:cs="Calibri"/>
          <w:lang w:eastAsia="en-GB"/>
        </w:rPr>
        <w:t xml:space="preserve">by </w:t>
      </w:r>
      <w:r w:rsidRPr="0060421C">
        <w:rPr>
          <w:rFonts w:cs="Calibri"/>
        </w:rPr>
        <w:t>318.4 kt CO</w:t>
      </w:r>
      <w:r w:rsidRPr="0060421C">
        <w:rPr>
          <w:rFonts w:cs="Calibri"/>
          <w:vertAlign w:val="subscript"/>
          <w:lang w:eastAsia="en-GB"/>
        </w:rPr>
        <w:t>2</w:t>
      </w:r>
      <w:r w:rsidRPr="0060421C">
        <w:rPr>
          <w:rFonts w:cs="Calibri"/>
        </w:rPr>
        <w:t>e (268.0 percent).</w:t>
      </w:r>
    </w:p>
    <w:p w14:paraId="56910A27" w14:textId="77777777" w:rsidR="0038460F" w:rsidRPr="0060421C" w:rsidRDefault="0038460F" w:rsidP="0038460F">
      <w:pPr>
        <w:pStyle w:val="BodyText"/>
        <w:spacing w:before="100" w:after="100"/>
        <w:rPr>
          <w:rFonts w:cs="Calibri"/>
        </w:rPr>
      </w:pPr>
      <w:r w:rsidRPr="0060421C">
        <w:rPr>
          <w:rFonts w:cs="Calibri"/>
          <w:spacing w:val="-2"/>
        </w:rPr>
        <w:t>A decline in methanol production from 2003 to 2004 caused a significant reduction in emissions</w:t>
      </w:r>
      <w:r w:rsidRPr="0060421C">
        <w:rPr>
          <w:rFonts w:cs="Calibri"/>
        </w:rPr>
        <w:t xml:space="preserve"> from this category. Methanol production was the largest source of emissions in category 1.A.2.c </w:t>
      </w:r>
      <w:r w:rsidRPr="0060421C">
        <w:rPr>
          <w:rFonts w:cs="Calibri"/>
          <w:i/>
          <w:iCs/>
          <w:lang w:eastAsia="en-GB"/>
        </w:rPr>
        <w:t>Chemicals</w:t>
      </w:r>
      <w:r w:rsidRPr="0060421C">
        <w:rPr>
          <w:rFonts w:cs="Calibri"/>
        </w:rPr>
        <w:t>. Methanex New Zealand restarted previously mothballed plants in 2012/13 (the resulting increase in gas use can be seen in figure 3.1.2), but then mothballed the Waitara Valley plant in early 2021.</w:t>
      </w:r>
    </w:p>
    <w:p w14:paraId="153F6CA9" w14:textId="5EB9619E" w:rsidR="0038460F" w:rsidRPr="0060421C" w:rsidRDefault="0038460F" w:rsidP="0038460F">
      <w:pPr>
        <w:pStyle w:val="BodyText"/>
        <w:spacing w:before="100" w:after="100"/>
        <w:rPr>
          <w:rFonts w:cs="Calibri"/>
        </w:rPr>
      </w:pPr>
      <w:r w:rsidRPr="0060421C">
        <w:rPr>
          <w:rFonts w:cs="Calibri"/>
        </w:rPr>
        <w:t xml:space="preserve">Energy use in the </w:t>
      </w:r>
      <w:r w:rsidRPr="0060421C">
        <w:rPr>
          <w:rFonts w:cs="Calibri"/>
          <w:i/>
          <w:iCs/>
        </w:rPr>
        <w:t>Wood, pulp and paper</w:t>
      </w:r>
      <w:r w:rsidRPr="0060421C">
        <w:rPr>
          <w:rFonts w:cs="Calibri"/>
        </w:rPr>
        <w:t xml:space="preserve"> subsector has declined since 2016, driven by the closure of several processing facilities. Following a pause in operations in August 2024, Winstone Pulp International announced the closure of its Karioi pulp mill and Tangiwai sawmill in September 2024. Oji Fibre Solutions also shut its Penrose paper recycling mill in</w:t>
      </w:r>
      <w:r w:rsidR="0008536B">
        <w:t> </w:t>
      </w:r>
      <w:r w:rsidRPr="0060421C">
        <w:rPr>
          <w:rFonts w:cs="Calibri"/>
        </w:rPr>
        <w:t>December 2024.</w:t>
      </w:r>
    </w:p>
    <w:p w14:paraId="3D3857DA" w14:textId="77777777" w:rsidR="0038460F" w:rsidRPr="0060421C" w:rsidRDefault="0038460F" w:rsidP="0038460F">
      <w:pPr>
        <w:pStyle w:val="Heading4"/>
        <w:rPr>
          <w:lang w:eastAsia="en-GB"/>
        </w:rPr>
      </w:pPr>
      <w:r w:rsidRPr="0060421C">
        <w:rPr>
          <w:lang w:eastAsia="en-GB"/>
        </w:rPr>
        <w:t>Changes in emissions between 2005</w:t>
      </w:r>
      <w:r w:rsidRPr="0060421C">
        <w:rPr>
          <w:rFonts w:cs="Calibri"/>
        </w:rPr>
        <w:t xml:space="preserve"> </w:t>
      </w:r>
      <w:r w:rsidRPr="0060421C">
        <w:rPr>
          <w:lang w:eastAsia="en-GB"/>
        </w:rPr>
        <w:t xml:space="preserve">and </w:t>
      </w:r>
      <w:r w:rsidRPr="0060421C">
        <w:rPr>
          <w:rFonts w:cs="Calibri"/>
        </w:rPr>
        <w:t>2024</w:t>
      </w:r>
    </w:p>
    <w:p w14:paraId="358F1279" w14:textId="77777777" w:rsidR="0038460F" w:rsidRPr="0060421C" w:rsidRDefault="0038460F" w:rsidP="0038460F">
      <w:pPr>
        <w:pStyle w:val="BodyText"/>
        <w:rPr>
          <w:rFonts w:cs="Calibri"/>
          <w:spacing w:val="-2"/>
        </w:rPr>
      </w:pPr>
      <w:r w:rsidRPr="0060421C">
        <w:rPr>
          <w:rFonts w:cs="Calibri"/>
          <w:spacing w:val="-2"/>
        </w:rPr>
        <w:t>Emissions from this category were 311.8 kt CO</w:t>
      </w:r>
      <w:r w:rsidRPr="0060421C">
        <w:rPr>
          <w:rFonts w:cs="Calibri"/>
          <w:spacing w:val="-2"/>
          <w:vertAlign w:val="subscript"/>
          <w:lang w:eastAsia="en-GB"/>
        </w:rPr>
        <w:t>2</w:t>
      </w:r>
      <w:r w:rsidRPr="0060421C">
        <w:rPr>
          <w:rFonts w:cs="Calibri"/>
          <w:spacing w:val="-2"/>
        </w:rPr>
        <w:t>e (6.1 percent) higher than the 2005 level of 5,084.7 kt CO</w:t>
      </w:r>
      <w:r w:rsidRPr="0060421C">
        <w:rPr>
          <w:rFonts w:cs="Calibri"/>
          <w:spacing w:val="-2"/>
          <w:vertAlign w:val="subscript"/>
          <w:lang w:eastAsia="en-GB"/>
        </w:rPr>
        <w:t>2</w:t>
      </w:r>
      <w:r w:rsidRPr="0060421C">
        <w:rPr>
          <w:rFonts w:cs="Calibri"/>
          <w:spacing w:val="-2"/>
        </w:rPr>
        <w:t xml:space="preserve">e. The most significant categories contributing to this increase were </w:t>
      </w:r>
      <w:r w:rsidRPr="0060421C">
        <w:rPr>
          <w:rFonts w:cs="Calibri"/>
          <w:i/>
          <w:iCs/>
          <w:spacing w:val="-2"/>
          <w:lang w:eastAsia="en-GB"/>
        </w:rPr>
        <w:t>Food processing</w:t>
      </w:r>
      <w:r w:rsidRPr="0060421C">
        <w:rPr>
          <w:rFonts w:cs="Calibri"/>
          <w:spacing w:val="-2"/>
        </w:rPr>
        <w:t xml:space="preserve"> (up 524.7 kt CO</w:t>
      </w:r>
      <w:r w:rsidRPr="0060421C">
        <w:rPr>
          <w:rFonts w:cs="Calibri"/>
          <w:spacing w:val="-2"/>
          <w:vertAlign w:val="subscript"/>
          <w:lang w:eastAsia="en-GB"/>
        </w:rPr>
        <w:t>2</w:t>
      </w:r>
      <w:r w:rsidRPr="0060421C">
        <w:rPr>
          <w:rFonts w:cs="Calibri"/>
          <w:spacing w:val="-2"/>
        </w:rPr>
        <w:t xml:space="preserve">e or 26.6 percent) and </w:t>
      </w:r>
      <w:r w:rsidRPr="0060421C">
        <w:rPr>
          <w:rFonts w:cs="Calibri"/>
          <w:i/>
          <w:iCs/>
          <w:spacing w:val="-2"/>
        </w:rPr>
        <w:t>Chemicals</w:t>
      </w:r>
      <w:r w:rsidRPr="0060421C">
        <w:rPr>
          <w:rFonts w:cs="Calibri"/>
          <w:spacing w:val="-2"/>
        </w:rPr>
        <w:t xml:space="preserve"> (up 270.2 kt CO</w:t>
      </w:r>
      <w:r w:rsidRPr="0060421C">
        <w:rPr>
          <w:rFonts w:cs="Calibri"/>
          <w:spacing w:val="-2"/>
          <w:vertAlign w:val="subscript"/>
          <w:lang w:eastAsia="en-GB"/>
        </w:rPr>
        <w:t>2</w:t>
      </w:r>
      <w:r w:rsidRPr="0060421C">
        <w:rPr>
          <w:rFonts w:cs="Calibri"/>
          <w:spacing w:val="-2"/>
        </w:rPr>
        <w:t>e or 59.8 percent).</w:t>
      </w:r>
    </w:p>
    <w:p w14:paraId="4CC48259" w14:textId="77777777" w:rsidR="0038460F" w:rsidRPr="0060421C" w:rsidRDefault="0038460F" w:rsidP="0038460F">
      <w:pPr>
        <w:pStyle w:val="Heading4"/>
        <w:rPr>
          <w:lang w:eastAsia="en-GB"/>
        </w:rPr>
      </w:pPr>
      <w:r w:rsidRPr="0060421C">
        <w:rPr>
          <w:lang w:eastAsia="en-GB"/>
        </w:rPr>
        <w:t xml:space="preserve">Changes in emissions between </w:t>
      </w:r>
      <w:r w:rsidRPr="0060421C">
        <w:rPr>
          <w:rFonts w:cs="Calibri"/>
        </w:rPr>
        <w:t xml:space="preserve">2023 </w:t>
      </w:r>
      <w:r w:rsidRPr="0060421C">
        <w:rPr>
          <w:lang w:eastAsia="en-GB"/>
        </w:rPr>
        <w:t xml:space="preserve">and </w:t>
      </w:r>
      <w:r w:rsidRPr="0060421C">
        <w:rPr>
          <w:rFonts w:cs="Calibri"/>
        </w:rPr>
        <w:t>2024</w:t>
      </w:r>
    </w:p>
    <w:p w14:paraId="29C97ABB" w14:textId="77777777" w:rsidR="0038460F" w:rsidRPr="0060421C" w:rsidRDefault="0038460F" w:rsidP="0038460F">
      <w:pPr>
        <w:pStyle w:val="BodyText"/>
        <w:spacing w:before="100" w:after="100"/>
        <w:rPr>
          <w:lang w:eastAsia="en-GB"/>
        </w:rPr>
      </w:pPr>
      <w:r w:rsidRPr="0060421C">
        <w:rPr>
          <w:spacing w:val="-2"/>
          <w:lang w:eastAsia="en-GB"/>
        </w:rPr>
        <w:t xml:space="preserve">Between </w:t>
      </w:r>
      <w:r w:rsidRPr="0060421C">
        <w:rPr>
          <w:rFonts w:cs="Calibri"/>
          <w:spacing w:val="-2"/>
        </w:rPr>
        <w:t>2023</w:t>
      </w:r>
      <w:r w:rsidRPr="0060421C">
        <w:rPr>
          <w:spacing w:val="-2"/>
          <w:lang w:eastAsia="en-GB"/>
        </w:rPr>
        <w:t xml:space="preserve"> and </w:t>
      </w:r>
      <w:r w:rsidRPr="0060421C">
        <w:rPr>
          <w:rFonts w:cs="Calibri"/>
          <w:spacing w:val="-2"/>
        </w:rPr>
        <w:t>2024</w:t>
      </w:r>
      <w:r w:rsidRPr="0060421C">
        <w:rPr>
          <w:spacing w:val="-2"/>
          <w:lang w:eastAsia="en-GB"/>
        </w:rPr>
        <w:t xml:space="preserve">, </w:t>
      </w:r>
      <w:r w:rsidRPr="0060421C">
        <w:rPr>
          <w:rFonts w:cs="Calibri"/>
          <w:spacing w:val="-2"/>
        </w:rPr>
        <w:t>emissions</w:t>
      </w:r>
      <w:r w:rsidRPr="0060421C">
        <w:rPr>
          <w:spacing w:val="-2"/>
          <w:lang w:eastAsia="en-GB"/>
        </w:rPr>
        <w:t xml:space="preserve"> from the </w:t>
      </w:r>
      <w:r w:rsidRPr="0060421C">
        <w:rPr>
          <w:i/>
          <w:iCs/>
          <w:spacing w:val="-2"/>
          <w:lang w:eastAsia="en-GB"/>
        </w:rPr>
        <w:t>Manufacturing industries and construction</w:t>
      </w:r>
      <w:r w:rsidRPr="0060421C">
        <w:rPr>
          <w:spacing w:val="-2"/>
          <w:lang w:eastAsia="en-GB"/>
        </w:rPr>
        <w:t xml:space="preserve"> category decreased by </w:t>
      </w:r>
      <w:r w:rsidRPr="0060421C">
        <w:rPr>
          <w:rFonts w:cs="Calibri"/>
          <w:spacing w:val="-2"/>
        </w:rPr>
        <w:t xml:space="preserve">729.7 </w:t>
      </w:r>
      <w:r w:rsidRPr="0060421C">
        <w:rPr>
          <w:spacing w:val="-2"/>
          <w:lang w:eastAsia="en-GB"/>
        </w:rPr>
        <w:t>kt CO</w:t>
      </w:r>
      <w:r w:rsidRPr="0060421C">
        <w:rPr>
          <w:spacing w:val="-2"/>
          <w:vertAlign w:val="subscript"/>
          <w:lang w:eastAsia="en-GB"/>
        </w:rPr>
        <w:t>2</w:t>
      </w:r>
      <w:r w:rsidRPr="0060421C">
        <w:rPr>
          <w:spacing w:val="-2"/>
          <w:lang w:eastAsia="en-GB"/>
        </w:rPr>
        <w:t>e (</w:t>
      </w:r>
      <w:r w:rsidRPr="0060421C">
        <w:rPr>
          <w:rFonts w:cs="Calibri"/>
          <w:spacing w:val="-2"/>
        </w:rPr>
        <w:t>11.9 percent</w:t>
      </w:r>
      <w:r w:rsidRPr="0060421C">
        <w:rPr>
          <w:spacing w:val="-2"/>
          <w:lang w:eastAsia="en-GB"/>
        </w:rPr>
        <w:t>). The main driver was a reduction in emissions</w:t>
      </w:r>
      <w:r w:rsidRPr="0060421C">
        <w:rPr>
          <w:lang w:eastAsia="en-GB"/>
        </w:rPr>
        <w:t xml:space="preserve"> from the </w:t>
      </w:r>
      <w:r w:rsidRPr="0060421C">
        <w:rPr>
          <w:i/>
          <w:iCs/>
          <w:lang w:eastAsia="en-GB"/>
        </w:rPr>
        <w:t>Chemicals</w:t>
      </w:r>
      <w:r w:rsidRPr="0060421C">
        <w:rPr>
          <w:lang w:eastAsia="en-GB"/>
        </w:rPr>
        <w:t xml:space="preserve"> category, which fell by 590.4</w:t>
      </w:r>
      <w:r w:rsidRPr="0060421C">
        <w:rPr>
          <w:rFonts w:cs="Calibri"/>
        </w:rPr>
        <w:t xml:space="preserve"> </w:t>
      </w:r>
      <w:r w:rsidRPr="0060421C">
        <w:rPr>
          <w:lang w:eastAsia="en-GB"/>
        </w:rPr>
        <w:t>kt CO</w:t>
      </w:r>
      <w:r w:rsidRPr="0060421C">
        <w:rPr>
          <w:vertAlign w:val="subscript"/>
          <w:lang w:eastAsia="en-GB"/>
        </w:rPr>
        <w:t>2</w:t>
      </w:r>
      <w:r w:rsidRPr="0060421C">
        <w:rPr>
          <w:lang w:eastAsia="en-GB"/>
        </w:rPr>
        <w:t>e (45.0</w:t>
      </w:r>
      <w:r w:rsidRPr="0060421C">
        <w:rPr>
          <w:rFonts w:cs="Calibri"/>
        </w:rPr>
        <w:t xml:space="preserve"> percent</w:t>
      </w:r>
      <w:r w:rsidRPr="0060421C">
        <w:rPr>
          <w:lang w:eastAsia="en-GB"/>
        </w:rPr>
        <w:t xml:space="preserve">) compared with 2023. This decline was primarily due to lower methanol production. In 2024, production was reduced following a temporary shutdown of operations at Methanex </w:t>
      </w:r>
      <w:r w:rsidRPr="0060421C">
        <w:rPr>
          <w:rFonts w:cs="Calibri"/>
        </w:rPr>
        <w:t>New Zealand</w:t>
      </w:r>
      <w:r w:rsidRPr="0060421C">
        <w:rPr>
          <w:lang w:eastAsia="en-GB"/>
        </w:rPr>
        <w:t xml:space="preserve"> from August to October, during which contracted natural gas was redirected to the New Zealand electricity market under short-term commercial arrangements in response to low gas deliverability.</w:t>
      </w:r>
    </w:p>
    <w:p w14:paraId="31762F14" w14:textId="77777777" w:rsidR="0038460F" w:rsidRPr="0060421C" w:rsidRDefault="0038460F" w:rsidP="0038460F">
      <w:pPr>
        <w:pStyle w:val="BodyText"/>
        <w:spacing w:before="100" w:after="100"/>
        <w:rPr>
          <w:rFonts w:cs="Calibri"/>
        </w:rPr>
      </w:pPr>
      <w:r w:rsidRPr="0060421C">
        <w:rPr>
          <w:rFonts w:cs="Calibri"/>
        </w:rPr>
        <w:t xml:space="preserve">Key categories identified in the 2024 level and trend assessment for the </w:t>
      </w:r>
      <w:r w:rsidRPr="0060421C">
        <w:rPr>
          <w:rFonts w:cs="Calibri"/>
          <w:i/>
        </w:rPr>
        <w:t>Manufacturing industries and construction</w:t>
      </w:r>
      <w:r w:rsidRPr="0060421C">
        <w:rPr>
          <w:rFonts w:cs="Calibri"/>
        </w:rPr>
        <w:t xml:space="preserve"> category are given in table 3.2.3.</w:t>
      </w:r>
    </w:p>
    <w:p w14:paraId="1DF8CF42" w14:textId="23A27A42" w:rsidR="0038460F" w:rsidRPr="0060421C" w:rsidRDefault="0038460F" w:rsidP="0038460F">
      <w:pPr>
        <w:pStyle w:val="Table"/>
        <w:rPr>
          <w:rFonts w:cs="Calibri"/>
        </w:rPr>
      </w:pPr>
      <w:bookmarkStart w:id="332" w:name="_Toc68786407"/>
      <w:bookmarkStart w:id="333" w:name="_Toc164153806"/>
      <w:bookmarkStart w:id="334" w:name="_Toc194241673"/>
      <w:bookmarkStart w:id="335" w:name="_Toc226668959"/>
      <w:r w:rsidRPr="0060421C">
        <w:rPr>
          <w:rFonts w:cs="Calibri"/>
        </w:rPr>
        <w:t>Table 3.2.</w:t>
      </w:r>
      <w:r w:rsidR="006F3B24">
        <w:rPr>
          <w:rFonts w:cs="Calibri"/>
        </w:rPr>
        <w:t>5</w:t>
      </w:r>
      <w:r w:rsidRPr="0060421C">
        <w:tab/>
      </w:r>
      <w:r w:rsidRPr="0060421C">
        <w:rPr>
          <w:rFonts w:cs="Calibri"/>
        </w:rPr>
        <w:t xml:space="preserve">Key categories for 1.A.2 </w:t>
      </w:r>
      <w:r w:rsidRPr="0060421C">
        <w:rPr>
          <w:i/>
          <w:iCs/>
        </w:rPr>
        <w:t>Manufacturing industries and construction</w:t>
      </w:r>
      <w:bookmarkEnd w:id="332"/>
      <w:bookmarkEnd w:id="333"/>
      <w:bookmarkEnd w:id="334"/>
      <w:bookmarkEnd w:id="335"/>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4233"/>
        <w:gridCol w:w="1407"/>
        <w:gridCol w:w="1225"/>
        <w:gridCol w:w="1640"/>
      </w:tblGrid>
      <w:tr w:rsidR="0038460F" w:rsidRPr="0060421C" w14:paraId="5DC49EE4" w14:textId="77777777" w:rsidTr="00F16E23">
        <w:trPr>
          <w:tblHeader/>
        </w:trPr>
        <w:tc>
          <w:tcPr>
            <w:tcW w:w="2489" w:type="pct"/>
            <w:shd w:val="clear" w:color="auto" w:fill="1B556B"/>
            <w:noWrap/>
            <w:vAlign w:val="bottom"/>
            <w:hideMark/>
          </w:tcPr>
          <w:p w14:paraId="6D33EB45"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 xml:space="preserve">Category </w:t>
            </w:r>
          </w:p>
        </w:tc>
        <w:tc>
          <w:tcPr>
            <w:tcW w:w="827" w:type="pct"/>
            <w:shd w:val="clear" w:color="auto" w:fill="1B556B"/>
            <w:noWrap/>
            <w:vAlign w:val="bottom"/>
            <w:hideMark/>
          </w:tcPr>
          <w:p w14:paraId="7BD59D2A"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Liquid fuels</w:t>
            </w:r>
          </w:p>
        </w:tc>
        <w:tc>
          <w:tcPr>
            <w:tcW w:w="720" w:type="pct"/>
            <w:shd w:val="clear" w:color="auto" w:fill="1B556B"/>
            <w:vAlign w:val="bottom"/>
            <w:hideMark/>
          </w:tcPr>
          <w:p w14:paraId="4CFB5210"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Solid fuels</w:t>
            </w:r>
          </w:p>
        </w:tc>
        <w:tc>
          <w:tcPr>
            <w:tcW w:w="964" w:type="pct"/>
            <w:shd w:val="clear" w:color="auto" w:fill="1B556B"/>
            <w:vAlign w:val="bottom"/>
            <w:hideMark/>
          </w:tcPr>
          <w:p w14:paraId="608808C0"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Gaseous fuels</w:t>
            </w:r>
          </w:p>
        </w:tc>
      </w:tr>
      <w:tr w:rsidR="0038460F" w:rsidRPr="0060421C" w14:paraId="73BDA7B3" w14:textId="77777777" w:rsidTr="00F16E23">
        <w:tc>
          <w:tcPr>
            <w:tcW w:w="2489" w:type="pct"/>
            <w:noWrap/>
          </w:tcPr>
          <w:p w14:paraId="5B10754E" w14:textId="77777777" w:rsidR="0038460F" w:rsidRPr="0060421C" w:rsidRDefault="0038460F" w:rsidP="00F16E23">
            <w:pPr>
              <w:pStyle w:val="TableText"/>
              <w:spacing w:before="40" w:after="40"/>
              <w:rPr>
                <w:rFonts w:cs="Calibri"/>
              </w:rPr>
            </w:pPr>
            <w:r w:rsidRPr="0060421C">
              <w:rPr>
                <w:rFonts w:cs="Calibri"/>
              </w:rPr>
              <w:t>Chemicals – CO</w:t>
            </w:r>
            <w:r w:rsidRPr="0060421C">
              <w:rPr>
                <w:rFonts w:cs="Calibri"/>
                <w:vertAlign w:val="subscript"/>
              </w:rPr>
              <w:t>2</w:t>
            </w:r>
          </w:p>
        </w:tc>
        <w:tc>
          <w:tcPr>
            <w:tcW w:w="827" w:type="pct"/>
            <w:noWrap/>
          </w:tcPr>
          <w:p w14:paraId="2171216E" w14:textId="77777777" w:rsidR="0038460F" w:rsidRPr="0060421C" w:rsidRDefault="0038460F" w:rsidP="00F16E23">
            <w:pPr>
              <w:pStyle w:val="TableText"/>
              <w:spacing w:before="40" w:after="40"/>
              <w:rPr>
                <w:rFonts w:cs="Calibri"/>
              </w:rPr>
            </w:pPr>
            <w:r w:rsidRPr="0060421C">
              <w:rPr>
                <w:rFonts w:cs="Calibri"/>
              </w:rPr>
              <w:t>–</w:t>
            </w:r>
          </w:p>
        </w:tc>
        <w:tc>
          <w:tcPr>
            <w:tcW w:w="720" w:type="pct"/>
            <w:noWrap/>
          </w:tcPr>
          <w:p w14:paraId="0C1C489D" w14:textId="77777777" w:rsidR="0038460F" w:rsidRPr="0060421C" w:rsidRDefault="0038460F" w:rsidP="00F16E23">
            <w:pPr>
              <w:pStyle w:val="TableText"/>
              <w:spacing w:before="40" w:after="40"/>
              <w:rPr>
                <w:rFonts w:cs="Calibri"/>
              </w:rPr>
            </w:pPr>
            <w:r w:rsidRPr="0060421C">
              <w:rPr>
                <w:rFonts w:cs="Calibri"/>
              </w:rPr>
              <w:t>–</w:t>
            </w:r>
          </w:p>
        </w:tc>
        <w:tc>
          <w:tcPr>
            <w:tcW w:w="964" w:type="pct"/>
            <w:noWrap/>
          </w:tcPr>
          <w:p w14:paraId="341A65BC" w14:textId="77777777" w:rsidR="0038460F" w:rsidRPr="0060421C" w:rsidRDefault="0038460F" w:rsidP="00F16E23">
            <w:pPr>
              <w:pStyle w:val="TableText"/>
              <w:spacing w:before="40" w:after="40"/>
              <w:rPr>
                <w:rFonts w:cs="Calibri"/>
              </w:rPr>
            </w:pPr>
            <w:r w:rsidRPr="0060421C">
              <w:rPr>
                <w:rFonts w:cs="Calibri"/>
              </w:rPr>
              <w:t>Level, trend</w:t>
            </w:r>
          </w:p>
        </w:tc>
      </w:tr>
      <w:tr w:rsidR="0038460F" w:rsidRPr="0060421C" w14:paraId="70FC5DAD" w14:textId="77777777" w:rsidTr="00F16E23">
        <w:tc>
          <w:tcPr>
            <w:tcW w:w="2489" w:type="pct"/>
            <w:noWrap/>
            <w:hideMark/>
          </w:tcPr>
          <w:p w14:paraId="4DD76607" w14:textId="77777777" w:rsidR="0038460F" w:rsidRPr="0060421C" w:rsidRDefault="0038460F" w:rsidP="00F16E23">
            <w:pPr>
              <w:pStyle w:val="TableText"/>
              <w:spacing w:before="40" w:after="40"/>
              <w:rPr>
                <w:rFonts w:cs="Calibri"/>
              </w:rPr>
            </w:pPr>
            <w:r w:rsidRPr="0060421C">
              <w:rPr>
                <w:rFonts w:cs="Calibri"/>
              </w:rPr>
              <w:t>Pulp, paper and print – CO</w:t>
            </w:r>
            <w:r w:rsidRPr="0060421C">
              <w:rPr>
                <w:rFonts w:cs="Calibri"/>
                <w:vertAlign w:val="subscript"/>
              </w:rPr>
              <w:t>2</w:t>
            </w:r>
          </w:p>
        </w:tc>
        <w:tc>
          <w:tcPr>
            <w:tcW w:w="827" w:type="pct"/>
            <w:noWrap/>
            <w:hideMark/>
          </w:tcPr>
          <w:p w14:paraId="5B71F8E0" w14:textId="77777777" w:rsidR="0038460F" w:rsidRPr="0060421C" w:rsidRDefault="0038460F" w:rsidP="00F16E23">
            <w:pPr>
              <w:pStyle w:val="TableText"/>
              <w:spacing w:before="40" w:after="40"/>
              <w:rPr>
                <w:rFonts w:cs="Calibri"/>
              </w:rPr>
            </w:pPr>
            <w:r w:rsidRPr="0060421C">
              <w:rPr>
                <w:rFonts w:cs="Calibri"/>
              </w:rPr>
              <w:t>–</w:t>
            </w:r>
          </w:p>
        </w:tc>
        <w:tc>
          <w:tcPr>
            <w:tcW w:w="720" w:type="pct"/>
            <w:noWrap/>
          </w:tcPr>
          <w:p w14:paraId="3E659D84" w14:textId="77777777" w:rsidR="0038460F" w:rsidRPr="0060421C" w:rsidRDefault="0038460F" w:rsidP="00F16E23">
            <w:pPr>
              <w:pStyle w:val="TableText"/>
              <w:spacing w:before="40" w:after="40"/>
              <w:rPr>
                <w:rFonts w:cs="Calibri"/>
              </w:rPr>
            </w:pPr>
            <w:r w:rsidRPr="0060421C">
              <w:rPr>
                <w:rFonts w:cs="Calibri"/>
              </w:rPr>
              <w:t>Trend</w:t>
            </w:r>
          </w:p>
        </w:tc>
        <w:tc>
          <w:tcPr>
            <w:tcW w:w="964" w:type="pct"/>
            <w:noWrap/>
            <w:hideMark/>
          </w:tcPr>
          <w:p w14:paraId="5B589942" w14:textId="77777777" w:rsidR="0038460F" w:rsidRPr="0060421C" w:rsidRDefault="0038460F" w:rsidP="00F16E23">
            <w:pPr>
              <w:pStyle w:val="TableText"/>
              <w:spacing w:before="40" w:after="40"/>
              <w:rPr>
                <w:rFonts w:cs="Calibri"/>
              </w:rPr>
            </w:pPr>
            <w:r w:rsidRPr="0060421C">
              <w:rPr>
                <w:rFonts w:cs="Calibri"/>
              </w:rPr>
              <w:t>Level, trend</w:t>
            </w:r>
          </w:p>
        </w:tc>
      </w:tr>
      <w:tr w:rsidR="0038460F" w:rsidRPr="0060421C" w14:paraId="240C5222" w14:textId="77777777" w:rsidTr="00F16E23">
        <w:tc>
          <w:tcPr>
            <w:tcW w:w="2489" w:type="pct"/>
            <w:noWrap/>
          </w:tcPr>
          <w:p w14:paraId="1CA2BAD9" w14:textId="77777777" w:rsidR="0038460F" w:rsidRPr="0060421C" w:rsidRDefault="0038460F" w:rsidP="00F16E23">
            <w:pPr>
              <w:pStyle w:val="TableText"/>
              <w:spacing w:before="40" w:after="40"/>
              <w:rPr>
                <w:rFonts w:cs="Calibri"/>
              </w:rPr>
            </w:pPr>
            <w:r w:rsidRPr="0060421C">
              <w:rPr>
                <w:rFonts w:cs="Calibri"/>
              </w:rPr>
              <w:t>Food processing, beverages and tobacco – CO</w:t>
            </w:r>
            <w:r w:rsidRPr="0060421C">
              <w:rPr>
                <w:rFonts w:cs="Calibri"/>
                <w:vertAlign w:val="subscript"/>
              </w:rPr>
              <w:t>2</w:t>
            </w:r>
          </w:p>
        </w:tc>
        <w:tc>
          <w:tcPr>
            <w:tcW w:w="827" w:type="pct"/>
            <w:noWrap/>
          </w:tcPr>
          <w:p w14:paraId="29E6DA32" w14:textId="77777777" w:rsidR="0038460F" w:rsidRPr="0060421C" w:rsidRDefault="0038460F" w:rsidP="00F16E23">
            <w:pPr>
              <w:pStyle w:val="TableText"/>
              <w:spacing w:before="40" w:after="40"/>
              <w:rPr>
                <w:rFonts w:cs="Calibri"/>
              </w:rPr>
            </w:pPr>
            <w:r w:rsidRPr="0060421C">
              <w:rPr>
                <w:rFonts w:cs="Calibri"/>
              </w:rPr>
              <w:t>Level</w:t>
            </w:r>
          </w:p>
        </w:tc>
        <w:tc>
          <w:tcPr>
            <w:tcW w:w="720" w:type="pct"/>
            <w:noWrap/>
          </w:tcPr>
          <w:p w14:paraId="184D6EF5" w14:textId="77777777" w:rsidR="0038460F" w:rsidRPr="0060421C" w:rsidRDefault="0038460F" w:rsidP="00F16E23">
            <w:pPr>
              <w:pStyle w:val="TableText"/>
              <w:spacing w:before="40" w:after="40"/>
              <w:rPr>
                <w:rFonts w:cs="Calibri"/>
              </w:rPr>
            </w:pPr>
            <w:r w:rsidRPr="0060421C">
              <w:rPr>
                <w:rFonts w:cs="Calibri"/>
              </w:rPr>
              <w:t>Level, trend</w:t>
            </w:r>
          </w:p>
        </w:tc>
        <w:tc>
          <w:tcPr>
            <w:tcW w:w="964" w:type="pct"/>
            <w:noWrap/>
          </w:tcPr>
          <w:p w14:paraId="6DA668B8" w14:textId="77777777" w:rsidR="0038460F" w:rsidRPr="0060421C" w:rsidRDefault="0038460F" w:rsidP="00F16E23">
            <w:pPr>
              <w:pStyle w:val="TableText"/>
              <w:spacing w:before="40" w:after="40"/>
              <w:rPr>
                <w:rFonts w:cs="Calibri"/>
              </w:rPr>
            </w:pPr>
            <w:r w:rsidRPr="0060421C">
              <w:rPr>
                <w:rFonts w:cs="Calibri"/>
              </w:rPr>
              <w:t>Level, trend</w:t>
            </w:r>
          </w:p>
        </w:tc>
      </w:tr>
      <w:tr w:rsidR="0038460F" w:rsidRPr="0060421C" w14:paraId="1647F540" w14:textId="77777777" w:rsidTr="00F16E23">
        <w:tc>
          <w:tcPr>
            <w:tcW w:w="2489" w:type="pct"/>
            <w:noWrap/>
          </w:tcPr>
          <w:p w14:paraId="07B79C6D" w14:textId="77777777" w:rsidR="0038460F" w:rsidRPr="0060421C" w:rsidRDefault="0038460F" w:rsidP="00F16E23">
            <w:pPr>
              <w:pStyle w:val="TableText"/>
              <w:spacing w:before="40" w:after="40"/>
              <w:rPr>
                <w:rFonts w:cs="Calibri"/>
              </w:rPr>
            </w:pPr>
            <w:r w:rsidRPr="0060421C">
              <w:rPr>
                <w:rFonts w:cs="Calibri"/>
              </w:rPr>
              <w:t>Non-metallic minerals – CO</w:t>
            </w:r>
            <w:r w:rsidRPr="0060421C">
              <w:rPr>
                <w:rFonts w:cs="Calibri"/>
                <w:vertAlign w:val="subscript"/>
              </w:rPr>
              <w:t>2</w:t>
            </w:r>
          </w:p>
        </w:tc>
        <w:tc>
          <w:tcPr>
            <w:tcW w:w="827" w:type="pct"/>
            <w:noWrap/>
          </w:tcPr>
          <w:p w14:paraId="29F8AC4F" w14:textId="77777777" w:rsidR="0038460F" w:rsidRPr="0060421C" w:rsidRDefault="0038460F" w:rsidP="00F16E23">
            <w:pPr>
              <w:pStyle w:val="TableText"/>
              <w:spacing w:before="40" w:after="40"/>
              <w:rPr>
                <w:rFonts w:cs="Calibri"/>
              </w:rPr>
            </w:pPr>
            <w:r w:rsidRPr="0060421C">
              <w:rPr>
                <w:rFonts w:cs="Calibri"/>
              </w:rPr>
              <w:t>–</w:t>
            </w:r>
          </w:p>
        </w:tc>
        <w:tc>
          <w:tcPr>
            <w:tcW w:w="720" w:type="pct"/>
            <w:noWrap/>
          </w:tcPr>
          <w:p w14:paraId="43F71AB5" w14:textId="77777777" w:rsidR="0038460F" w:rsidRPr="0060421C" w:rsidRDefault="0038460F" w:rsidP="00F16E23">
            <w:pPr>
              <w:pStyle w:val="TableText"/>
              <w:spacing w:before="40" w:after="40"/>
              <w:rPr>
                <w:rFonts w:cs="Calibri"/>
              </w:rPr>
            </w:pPr>
            <w:r w:rsidRPr="0060421C">
              <w:rPr>
                <w:rFonts w:cs="Calibri"/>
              </w:rPr>
              <w:t>Trend</w:t>
            </w:r>
          </w:p>
        </w:tc>
        <w:tc>
          <w:tcPr>
            <w:tcW w:w="964" w:type="pct"/>
            <w:noWrap/>
          </w:tcPr>
          <w:p w14:paraId="79C85A95" w14:textId="77777777" w:rsidR="0038460F" w:rsidRPr="0060421C" w:rsidRDefault="0038460F" w:rsidP="00F16E23">
            <w:pPr>
              <w:pStyle w:val="TableText"/>
              <w:spacing w:before="40" w:after="40"/>
              <w:rPr>
                <w:rFonts w:cs="Calibri"/>
              </w:rPr>
            </w:pPr>
            <w:r w:rsidRPr="0060421C">
              <w:rPr>
                <w:rFonts w:cs="Calibri"/>
              </w:rPr>
              <w:t>–</w:t>
            </w:r>
          </w:p>
        </w:tc>
      </w:tr>
      <w:tr w:rsidR="0038460F" w:rsidRPr="0060421C" w14:paraId="51037E65" w14:textId="77777777" w:rsidTr="00F16E23">
        <w:tc>
          <w:tcPr>
            <w:tcW w:w="2489" w:type="pct"/>
            <w:noWrap/>
          </w:tcPr>
          <w:p w14:paraId="61985A1C" w14:textId="77777777" w:rsidR="0038460F" w:rsidRPr="0060421C" w:rsidRDefault="0038460F" w:rsidP="00F16E23">
            <w:pPr>
              <w:pStyle w:val="TableText"/>
              <w:spacing w:before="40" w:after="40"/>
              <w:rPr>
                <w:rFonts w:cs="Calibri"/>
              </w:rPr>
            </w:pPr>
            <w:r w:rsidRPr="0060421C">
              <w:rPr>
                <w:rFonts w:cs="Calibri"/>
              </w:rPr>
              <w:t>Other – Mining and quarrying – CO</w:t>
            </w:r>
            <w:r w:rsidRPr="0060421C">
              <w:rPr>
                <w:rFonts w:cs="Calibri"/>
                <w:vertAlign w:val="subscript"/>
              </w:rPr>
              <w:t>2</w:t>
            </w:r>
          </w:p>
        </w:tc>
        <w:tc>
          <w:tcPr>
            <w:tcW w:w="827" w:type="pct"/>
            <w:noWrap/>
          </w:tcPr>
          <w:p w14:paraId="2CC5D76A" w14:textId="77777777" w:rsidR="0038460F" w:rsidRPr="0060421C" w:rsidRDefault="0038460F" w:rsidP="00F16E23">
            <w:pPr>
              <w:pStyle w:val="TableText"/>
              <w:spacing w:before="40" w:after="40"/>
              <w:rPr>
                <w:rFonts w:cs="Calibri"/>
              </w:rPr>
            </w:pPr>
            <w:r w:rsidRPr="0060421C">
              <w:rPr>
                <w:rFonts w:cs="Calibri"/>
              </w:rPr>
              <w:t>Level, trend</w:t>
            </w:r>
          </w:p>
        </w:tc>
        <w:tc>
          <w:tcPr>
            <w:tcW w:w="720" w:type="pct"/>
            <w:noWrap/>
          </w:tcPr>
          <w:p w14:paraId="3CE5BEEC" w14:textId="77777777" w:rsidR="0038460F" w:rsidRPr="0060421C" w:rsidRDefault="0038460F" w:rsidP="00F16E23">
            <w:pPr>
              <w:pStyle w:val="TableText"/>
              <w:spacing w:before="40" w:after="40"/>
              <w:rPr>
                <w:rFonts w:cs="Calibri"/>
              </w:rPr>
            </w:pPr>
            <w:r w:rsidRPr="0060421C">
              <w:rPr>
                <w:rFonts w:cs="Calibri"/>
              </w:rPr>
              <w:t>–</w:t>
            </w:r>
          </w:p>
        </w:tc>
        <w:tc>
          <w:tcPr>
            <w:tcW w:w="964" w:type="pct"/>
            <w:noWrap/>
          </w:tcPr>
          <w:p w14:paraId="54DA2D2A" w14:textId="77777777" w:rsidR="0038460F" w:rsidRPr="0060421C" w:rsidRDefault="0038460F" w:rsidP="00F16E23">
            <w:pPr>
              <w:pStyle w:val="TableText"/>
              <w:spacing w:before="40" w:after="40"/>
              <w:rPr>
                <w:rFonts w:cs="Calibri"/>
              </w:rPr>
            </w:pPr>
            <w:r w:rsidRPr="0060421C">
              <w:rPr>
                <w:rFonts w:cs="Calibri"/>
              </w:rPr>
              <w:t>–</w:t>
            </w:r>
          </w:p>
        </w:tc>
      </w:tr>
      <w:tr w:rsidR="0038460F" w:rsidRPr="0060421C" w14:paraId="1DC919C7" w14:textId="77777777" w:rsidTr="00F16E23">
        <w:tc>
          <w:tcPr>
            <w:tcW w:w="2489" w:type="pct"/>
            <w:noWrap/>
          </w:tcPr>
          <w:p w14:paraId="0E14D63D" w14:textId="77777777" w:rsidR="0038460F" w:rsidRPr="0060421C" w:rsidRDefault="0038460F" w:rsidP="00F16E23">
            <w:pPr>
              <w:pStyle w:val="TableText"/>
              <w:spacing w:before="40" w:after="40"/>
              <w:rPr>
                <w:rFonts w:cs="Calibri"/>
              </w:rPr>
            </w:pPr>
            <w:r w:rsidRPr="0060421C">
              <w:rPr>
                <w:rFonts w:cs="Calibri"/>
              </w:rPr>
              <w:t>Other – Construction – CO</w:t>
            </w:r>
            <w:r w:rsidRPr="0060421C">
              <w:rPr>
                <w:rFonts w:cs="Calibri"/>
                <w:szCs w:val="16"/>
                <w:vertAlign w:val="subscript"/>
              </w:rPr>
              <w:t>2</w:t>
            </w:r>
            <w:r w:rsidRPr="0060421C">
              <w:rPr>
                <w:rFonts w:cs="Calibri"/>
              </w:rPr>
              <w:t>*</w:t>
            </w:r>
          </w:p>
        </w:tc>
        <w:tc>
          <w:tcPr>
            <w:tcW w:w="827" w:type="pct"/>
            <w:noWrap/>
          </w:tcPr>
          <w:p w14:paraId="506BAB11" w14:textId="77777777" w:rsidR="0038460F" w:rsidRPr="0060421C" w:rsidRDefault="0038460F" w:rsidP="00F16E23">
            <w:pPr>
              <w:pStyle w:val="TableText"/>
              <w:spacing w:before="40" w:after="40"/>
              <w:rPr>
                <w:rFonts w:cs="Calibri"/>
              </w:rPr>
            </w:pPr>
            <w:r w:rsidRPr="0060421C">
              <w:rPr>
                <w:rFonts w:cs="Calibri"/>
              </w:rPr>
              <w:t>Level, trend</w:t>
            </w:r>
          </w:p>
        </w:tc>
        <w:tc>
          <w:tcPr>
            <w:tcW w:w="720" w:type="pct"/>
            <w:noWrap/>
          </w:tcPr>
          <w:p w14:paraId="4D8E7AE6" w14:textId="77777777" w:rsidR="0038460F" w:rsidRPr="0060421C" w:rsidRDefault="0038460F" w:rsidP="00F16E23">
            <w:pPr>
              <w:pStyle w:val="TableText"/>
              <w:spacing w:before="40" w:after="40"/>
              <w:rPr>
                <w:rFonts w:cs="Calibri"/>
              </w:rPr>
            </w:pPr>
            <w:r w:rsidRPr="0060421C">
              <w:rPr>
                <w:rFonts w:cs="Calibri"/>
              </w:rPr>
              <w:t>–</w:t>
            </w:r>
          </w:p>
        </w:tc>
        <w:tc>
          <w:tcPr>
            <w:tcW w:w="964" w:type="pct"/>
            <w:noWrap/>
          </w:tcPr>
          <w:p w14:paraId="6E0DAD95" w14:textId="77777777" w:rsidR="0038460F" w:rsidRPr="0060421C" w:rsidRDefault="0038460F" w:rsidP="00F16E23">
            <w:pPr>
              <w:pStyle w:val="TableText"/>
              <w:spacing w:before="40" w:after="40"/>
              <w:rPr>
                <w:rFonts w:cs="Calibri"/>
              </w:rPr>
            </w:pPr>
            <w:r w:rsidRPr="0060421C">
              <w:rPr>
                <w:rFonts w:cs="Calibri"/>
              </w:rPr>
              <w:t>–</w:t>
            </w:r>
          </w:p>
        </w:tc>
      </w:tr>
      <w:tr w:rsidR="0038460F" w:rsidRPr="0060421C" w14:paraId="4FAAD0DA" w14:textId="77777777" w:rsidTr="00F16E23">
        <w:tc>
          <w:tcPr>
            <w:tcW w:w="2489" w:type="pct"/>
            <w:noWrap/>
          </w:tcPr>
          <w:p w14:paraId="46EEA974" w14:textId="77777777" w:rsidR="0038460F" w:rsidRPr="0060421C" w:rsidRDefault="0038460F" w:rsidP="00F16E23">
            <w:pPr>
              <w:pStyle w:val="TableText"/>
              <w:spacing w:before="40" w:after="40"/>
              <w:rPr>
                <w:rFonts w:cs="Calibri"/>
              </w:rPr>
            </w:pPr>
            <w:r w:rsidRPr="0060421C">
              <w:rPr>
                <w:rFonts w:cs="Calibri"/>
              </w:rPr>
              <w:t>Other – Other non-specified – CO</w:t>
            </w:r>
            <w:r w:rsidRPr="0060421C">
              <w:rPr>
                <w:rFonts w:cs="Calibri"/>
                <w:vertAlign w:val="subscript"/>
              </w:rPr>
              <w:t>2</w:t>
            </w:r>
          </w:p>
        </w:tc>
        <w:tc>
          <w:tcPr>
            <w:tcW w:w="827" w:type="pct"/>
            <w:noWrap/>
          </w:tcPr>
          <w:p w14:paraId="4CE7AFE4" w14:textId="77777777" w:rsidR="0038460F" w:rsidRPr="0060421C" w:rsidRDefault="0038460F" w:rsidP="00F16E23">
            <w:pPr>
              <w:pStyle w:val="TableText"/>
              <w:spacing w:before="40" w:after="40"/>
              <w:rPr>
                <w:rFonts w:cs="Calibri"/>
              </w:rPr>
            </w:pPr>
            <w:r w:rsidRPr="0060421C" w:rsidDel="00B177AC">
              <w:rPr>
                <w:rFonts w:cs="Calibri"/>
              </w:rPr>
              <w:t>Level, trend</w:t>
            </w:r>
          </w:p>
        </w:tc>
        <w:tc>
          <w:tcPr>
            <w:tcW w:w="720" w:type="pct"/>
            <w:noWrap/>
          </w:tcPr>
          <w:p w14:paraId="6F53951E" w14:textId="77777777" w:rsidR="0038460F" w:rsidRPr="0060421C" w:rsidRDefault="0038460F" w:rsidP="00F16E23">
            <w:pPr>
              <w:pStyle w:val="TableText"/>
              <w:spacing w:before="40" w:after="40"/>
              <w:rPr>
                <w:rFonts w:cs="Calibri"/>
              </w:rPr>
            </w:pPr>
            <w:r w:rsidRPr="0060421C">
              <w:rPr>
                <w:rFonts w:cs="Calibri"/>
              </w:rPr>
              <w:t>Trend</w:t>
            </w:r>
          </w:p>
        </w:tc>
        <w:tc>
          <w:tcPr>
            <w:tcW w:w="964" w:type="pct"/>
            <w:noWrap/>
          </w:tcPr>
          <w:p w14:paraId="748C9130" w14:textId="77777777" w:rsidR="0038460F" w:rsidRPr="0060421C" w:rsidRDefault="0038460F" w:rsidP="00F16E23">
            <w:pPr>
              <w:pStyle w:val="TableText"/>
              <w:spacing w:before="40" w:after="40"/>
              <w:rPr>
                <w:rFonts w:cs="Calibri"/>
              </w:rPr>
            </w:pPr>
            <w:r w:rsidRPr="0060421C">
              <w:rPr>
                <w:rFonts w:cs="Calibri"/>
              </w:rPr>
              <w:t>–</w:t>
            </w:r>
          </w:p>
        </w:tc>
      </w:tr>
    </w:tbl>
    <w:p w14:paraId="671B231E" w14:textId="77777777" w:rsidR="0038460F" w:rsidRPr="0060421C" w:rsidRDefault="0038460F" w:rsidP="0038460F">
      <w:pPr>
        <w:pStyle w:val="Noteundertable"/>
        <w:spacing w:after="60"/>
        <w:rPr>
          <w:lang w:eastAsia="en-GB"/>
        </w:rPr>
      </w:pPr>
      <w:r w:rsidRPr="0060421C">
        <w:rPr>
          <w:b/>
          <w:bCs/>
          <w:lang w:eastAsia="en-GB"/>
        </w:rPr>
        <w:t>Note:</w:t>
      </w:r>
      <w:r w:rsidRPr="0060421C">
        <w:rPr>
          <w:lang w:eastAsia="en-GB"/>
        </w:rPr>
        <w:tab/>
        <w:t>*</w:t>
      </w:r>
      <w:r w:rsidRPr="0060421C">
        <w:rPr>
          <w:szCs w:val="19"/>
        </w:rPr>
        <w:t xml:space="preserve"> This key category is calculated using emissions that do not distinguish by fuel type; however, it is known to be primarily liquid fuels.</w:t>
      </w:r>
    </w:p>
    <w:p w14:paraId="171F33A2" w14:textId="77777777" w:rsidR="0038460F" w:rsidRPr="0060421C" w:rsidRDefault="0038460F" w:rsidP="0038460F">
      <w:pPr>
        <w:pStyle w:val="Heading4"/>
      </w:pPr>
      <w:r w:rsidRPr="0060421C">
        <w:t>Methodological issues</w:t>
      </w:r>
    </w:p>
    <w:p w14:paraId="230C7963"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Some emissions from the use of solid fuels and gaseous fuels are excluded from the </w:t>
      </w:r>
      <w:r w:rsidRPr="0060421C">
        <w:rPr>
          <w:rFonts w:cs="Calibri"/>
          <w:i/>
          <w:iCs/>
          <w:lang w:eastAsia="en-GB"/>
        </w:rPr>
        <w:t>Manufacturing industries and construction</w:t>
      </w:r>
      <w:r w:rsidRPr="0060421C">
        <w:rPr>
          <w:rFonts w:cs="Calibri"/>
          <w:lang w:eastAsia="en-GB"/>
        </w:rPr>
        <w:t xml:space="preserve"> category because they are accounted for under</w:t>
      </w:r>
      <w:r>
        <w:rPr>
          <w:rFonts w:cs="Calibri"/>
          <w:lang w:eastAsia="en-GB"/>
        </w:rPr>
        <w:t> </w:t>
      </w:r>
      <w:r w:rsidRPr="0060421C">
        <w:rPr>
          <w:rFonts w:cs="Calibri"/>
          <w:lang w:eastAsia="en-GB"/>
        </w:rPr>
        <w:t>the IPPU sector. These include the following.</w:t>
      </w:r>
    </w:p>
    <w:p w14:paraId="309992E6" w14:textId="77777777" w:rsidR="0038460F" w:rsidRPr="0060421C" w:rsidRDefault="0038460F" w:rsidP="0038460F">
      <w:pPr>
        <w:pStyle w:val="Bullet"/>
        <w:spacing w:after="100"/>
        <w:rPr>
          <w:lang w:eastAsia="en-GB"/>
        </w:rPr>
      </w:pPr>
      <w:r w:rsidRPr="0060421C">
        <w:rPr>
          <w:lang w:eastAsia="en-GB"/>
        </w:rPr>
        <w:t>New Zealand Steel Limited uses coal as a reducing agent in the steel-making process. In accordance with the 2006 IPCC Guidelines (IPCC, 2006), the emissions from this are included under the IPPU sector rather than the Energy sector.</w:t>
      </w:r>
    </w:p>
    <w:p w14:paraId="0EA5436C" w14:textId="77777777" w:rsidR="0038460F" w:rsidRPr="0060421C" w:rsidRDefault="0038460F" w:rsidP="0038460F">
      <w:pPr>
        <w:pStyle w:val="Bullet"/>
        <w:spacing w:after="100"/>
        <w:rPr>
          <w:lang w:eastAsia="en-GB"/>
        </w:rPr>
      </w:pPr>
      <w:r w:rsidRPr="0060421C">
        <w:rPr>
          <w:lang w:eastAsia="en-GB"/>
        </w:rPr>
        <w:t xml:space="preserve">In several instances, natural gas is excluded from the </w:t>
      </w:r>
      <w:r w:rsidRPr="0060421C">
        <w:rPr>
          <w:i/>
          <w:lang w:eastAsia="en-GB"/>
        </w:rPr>
        <w:t>Manufacturing industries and construction</w:t>
      </w:r>
      <w:r w:rsidRPr="0060421C">
        <w:rPr>
          <w:lang w:eastAsia="en-GB"/>
        </w:rPr>
        <w:t xml:space="preserve"> category because it is accounted </w:t>
      </w:r>
      <w:r w:rsidRPr="0060421C">
        <w:rPr>
          <w:spacing w:val="-2"/>
          <w:lang w:eastAsia="en-GB"/>
        </w:rPr>
        <w:t>for under the IPPU sector. Among the emissions excluded are those from urea production, hydrogen production and some of the</w:t>
      </w:r>
      <w:r>
        <w:rPr>
          <w:lang w:eastAsia="en-GB"/>
        </w:rPr>
        <w:t> </w:t>
      </w:r>
      <w:r w:rsidRPr="0060421C">
        <w:rPr>
          <w:spacing w:val="-2"/>
          <w:lang w:eastAsia="en-GB"/>
        </w:rPr>
        <w:t>natural gas used by New Zealand Steel (New Zealand Steel separately reports its emissions from</w:t>
      </w:r>
      <w:r w:rsidRPr="0060421C">
        <w:rPr>
          <w:lang w:eastAsia="en-GB"/>
        </w:rPr>
        <w:t xml:space="preserve"> natural gas as part of the combustion process and natural gas as part of</w:t>
      </w:r>
      <w:r>
        <w:rPr>
          <w:lang w:eastAsia="en-GB"/>
        </w:rPr>
        <w:t> </w:t>
      </w:r>
      <w:r w:rsidRPr="0060421C">
        <w:rPr>
          <w:lang w:eastAsia="en-GB"/>
        </w:rPr>
        <w:t>the chemical process).</w:t>
      </w:r>
    </w:p>
    <w:p w14:paraId="75182CBF" w14:textId="77777777" w:rsidR="0038460F" w:rsidRPr="0060421C" w:rsidRDefault="0038460F" w:rsidP="0038460F">
      <w:pPr>
        <w:pStyle w:val="Heading4"/>
        <w:rPr>
          <w:lang w:eastAsia="en-GB"/>
        </w:rPr>
      </w:pPr>
      <w:r w:rsidRPr="0060421C">
        <w:rPr>
          <w:lang w:eastAsia="en-GB"/>
        </w:rPr>
        <w:t>Activity data</w:t>
      </w:r>
    </w:p>
    <w:p w14:paraId="3B79832A" w14:textId="77777777" w:rsidR="0038460F" w:rsidRPr="0060421C" w:rsidRDefault="0038460F" w:rsidP="0038460F">
      <w:pPr>
        <w:pStyle w:val="BodyText"/>
        <w:spacing w:before="80"/>
        <w:rPr>
          <w:rFonts w:cs="Calibri"/>
          <w:spacing w:val="-2"/>
        </w:rPr>
      </w:pPr>
      <w:r w:rsidRPr="0060421C">
        <w:rPr>
          <w:rFonts w:cs="Calibri"/>
          <w:spacing w:val="-2"/>
        </w:rPr>
        <w:t xml:space="preserve">Energy balance tables released with </w:t>
      </w:r>
      <w:r w:rsidRPr="0060421C">
        <w:rPr>
          <w:rFonts w:cs="Calibri"/>
          <w:i/>
          <w:iCs/>
          <w:spacing w:val="-2"/>
        </w:rPr>
        <w:t>Energy in</w:t>
      </w:r>
      <w:r w:rsidRPr="0060421C">
        <w:rPr>
          <w:rFonts w:cs="Calibri"/>
          <w:spacing w:val="-2"/>
        </w:rPr>
        <w:t xml:space="preserve"> </w:t>
      </w:r>
      <w:r w:rsidRPr="0060421C">
        <w:rPr>
          <w:rFonts w:cs="Calibri"/>
          <w:i/>
          <w:iCs/>
          <w:spacing w:val="-2"/>
        </w:rPr>
        <w:t xml:space="preserve">New Zealand </w:t>
      </w:r>
      <w:r w:rsidRPr="0060421C">
        <w:rPr>
          <w:rFonts w:cs="Calibri"/>
          <w:spacing w:val="-2"/>
        </w:rPr>
        <w:t xml:space="preserve">(MBIE, 2025a) categorise industrial uses of energy using ANZSIC 2006. From 2009, MBIE started to collect more detailed information on the industry of fuel use in the various surveys used to compile its balance tables, and this has allowed MBIE to further disaggregate the </w:t>
      </w:r>
      <w:r w:rsidRPr="0060421C">
        <w:rPr>
          <w:rFonts w:cs="Calibri"/>
          <w:i/>
          <w:iCs/>
          <w:spacing w:val="-2"/>
        </w:rPr>
        <w:t>Manufacturing industries and construction</w:t>
      </w:r>
      <w:r w:rsidRPr="0060421C">
        <w:rPr>
          <w:rFonts w:cs="Calibri"/>
          <w:spacing w:val="-2"/>
        </w:rPr>
        <w:t xml:space="preserve"> category. Where actual survey data are not available at the required level, estimates of the energy use across these categories have been made to ensure time-series consistency. These are described in further detail below.</w:t>
      </w:r>
    </w:p>
    <w:p w14:paraId="3FA9ABC3" w14:textId="77777777" w:rsidR="0038460F" w:rsidRPr="0060421C" w:rsidRDefault="0038460F" w:rsidP="0038460F">
      <w:pPr>
        <w:pStyle w:val="Heading5"/>
      </w:pPr>
      <w:r w:rsidRPr="0060421C">
        <w:t>Solid fuels</w:t>
      </w:r>
    </w:p>
    <w:p w14:paraId="6B2F38F2" w14:textId="77777777" w:rsidR="0038460F" w:rsidRPr="0060421C" w:rsidRDefault="0038460F" w:rsidP="0038460F">
      <w:pPr>
        <w:pStyle w:val="BodyText"/>
        <w:spacing w:before="100" w:after="100"/>
      </w:pPr>
      <w:r w:rsidRPr="0060421C">
        <w:t xml:space="preserve">Prior to 2010, coal use in the </w:t>
      </w:r>
      <w:r w:rsidRPr="0060421C">
        <w:rPr>
          <w:i/>
        </w:rPr>
        <w:t>Manufacturing industries and construction</w:t>
      </w:r>
      <w:r w:rsidRPr="0060421C">
        <w:t xml:space="preserve"> category could not be further disaggregated, because no data existed to allow for more detailed categorisation. However, in 2010, MBIE implemented disaggregation for coal use in this category based on the improved industry use data mentioned above. This disaggregation was applied from 2009 onwards, and the percentage splits (based on 2009 data) were applied to activity data for the annual inventory submission across the whole time series (back to 1990). However, during 2014, the coal data system at MBIE was revised to internally disaggregate manufacturing industries based on a 2011 survey of major coal users. Therefore, applying the disaggregation procedure previously used within the greenhouse gas data system is no longer necessary. </w:t>
      </w:r>
    </w:p>
    <w:p w14:paraId="0DA88557" w14:textId="77777777" w:rsidR="0038460F" w:rsidRPr="0060421C" w:rsidRDefault="0038460F" w:rsidP="0038460F">
      <w:pPr>
        <w:pStyle w:val="BodyText"/>
        <w:spacing w:before="100" w:after="100"/>
      </w:pPr>
      <w:r w:rsidRPr="0060421C">
        <w:t xml:space="preserve">From 2009 onwards, the coal sales survey conducted by MBIE provides data at a more disaggregated level. </w:t>
      </w:r>
    </w:p>
    <w:p w14:paraId="151023F7" w14:textId="77777777" w:rsidR="0038460F" w:rsidRPr="0060421C" w:rsidRDefault="0038460F" w:rsidP="0038460F">
      <w:pPr>
        <w:pStyle w:val="Heading5"/>
      </w:pPr>
      <w:r w:rsidRPr="0060421C">
        <w:t>Solid biomass</w:t>
      </w:r>
    </w:p>
    <w:p w14:paraId="2740678A" w14:textId="77777777" w:rsidR="0038460F" w:rsidRPr="0060421C" w:rsidRDefault="0038460F" w:rsidP="0038460F">
      <w:pPr>
        <w:pStyle w:val="BodyText"/>
        <w:spacing w:before="100" w:after="100" w:line="240" w:lineRule="atLeast"/>
        <w:rPr>
          <w:rFonts w:cs="Calibri"/>
        </w:rPr>
      </w:pPr>
      <w:r w:rsidRPr="0060421C">
        <w:rPr>
          <w:rFonts w:cs="Calibri"/>
        </w:rPr>
        <w:t xml:space="preserve">The activity data for the industrial use of solid biomass are taken from the annual </w:t>
      </w:r>
      <w:r w:rsidRPr="0060421C">
        <w:rPr>
          <w:rFonts w:cs="Calibri"/>
          <w:i/>
          <w:iCs/>
          <w:lang w:eastAsia="en-GB"/>
        </w:rPr>
        <w:t>Energy in New Zealand</w:t>
      </w:r>
      <w:r w:rsidRPr="0060421C">
        <w:rPr>
          <w:rFonts w:cs="Calibri"/>
        </w:rPr>
        <w:t xml:space="preserve"> publication (MBIE, 2025a). This dataset is estimated based on several sources. The main source used is a database of wood processors in New Zealand, which is maintained by Scion. Scion is a group that operates under the New Zealand Institute for Bioeconomy Science and specialises in forestry, wood products and other biomaterial sectors. Scion’s wood processing database covers the majority of large-scale wood processors in the country and contains a range of information, including estimates of energy demand by sites. Annual estimates of wood residue and black liquor use are sourced from the </w:t>
      </w:r>
      <w:r w:rsidRPr="0060421C">
        <w:rPr>
          <w:rFonts w:cs="Calibri"/>
          <w:spacing w:val="-2"/>
        </w:rPr>
        <w:t>database. Because these data are collected every couple of years, estimated data are carried forward</w:t>
      </w:r>
      <w:r w:rsidRPr="0060421C">
        <w:rPr>
          <w:rFonts w:cs="Calibri"/>
        </w:rPr>
        <w:t xml:space="preserve"> using data published by the Ministry for Primary Industries on activity by wood processors for years when MBIE has not received an updated wood processing database.</w:t>
      </w:r>
    </w:p>
    <w:p w14:paraId="6CD0E46F" w14:textId="77777777" w:rsidR="0038460F" w:rsidRPr="0060421C" w:rsidRDefault="0038460F" w:rsidP="0038460F">
      <w:pPr>
        <w:pStyle w:val="BodyText"/>
        <w:spacing w:before="100" w:after="100"/>
      </w:pPr>
      <w:r w:rsidRPr="0060421C">
        <w:t xml:space="preserve">The Bioenergy Association of New Zealand conducted the 2006 Heat Plant Survey of </w:t>
      </w:r>
      <w:r w:rsidRPr="0060421C">
        <w:rPr>
          <w:lang w:eastAsia="en-GB"/>
        </w:rPr>
        <w:t>New Zealand (</w:t>
      </w:r>
      <w:r w:rsidRPr="0060421C">
        <w:t>Bioenergy Association of New Zealand, 2011)</w:t>
      </w:r>
      <w:r w:rsidRPr="0060421C">
        <w:rPr>
          <w:lang w:eastAsia="en-GB"/>
        </w:rPr>
        <w:t xml:space="preserve"> to gain information on heat plant (boiler) capacity and use in New Zealand. One area this survey examined was solid biomass use in New Zealand industrial companies (see table 3.2.4). The survey showed that most solid biomass in New Zealand is used by the wood processing industry. The industrial allocations from the survey were used to separate out solid biomass activity data for the inventory. These splits were applied across the whole time series (back to 1990) for activity data and </w:t>
      </w:r>
      <w:r w:rsidRPr="0060421C">
        <w:t>CO</w:t>
      </w:r>
      <w:r w:rsidRPr="0060421C">
        <w:rPr>
          <w:vertAlign w:val="subscript"/>
        </w:rPr>
        <w:t>2</w:t>
      </w:r>
      <w:r w:rsidRPr="0060421C">
        <w:t>, CH</w:t>
      </w:r>
      <w:r w:rsidRPr="0060421C">
        <w:rPr>
          <w:vertAlign w:val="subscript"/>
        </w:rPr>
        <w:t>4</w:t>
      </w:r>
      <w:r w:rsidRPr="0060421C">
        <w:t> and N</w:t>
      </w:r>
      <w:r w:rsidRPr="0060421C">
        <w:rPr>
          <w:vertAlign w:val="subscript"/>
        </w:rPr>
        <w:t>2</w:t>
      </w:r>
      <w:r w:rsidRPr="0060421C">
        <w:t>O emissions.</w:t>
      </w:r>
    </w:p>
    <w:p w14:paraId="24D86538" w14:textId="41F65216" w:rsidR="0038460F" w:rsidRPr="0060421C" w:rsidRDefault="0038460F" w:rsidP="0038460F">
      <w:pPr>
        <w:pStyle w:val="Table"/>
        <w:rPr>
          <w:rFonts w:cs="Calibri"/>
        </w:rPr>
      </w:pPr>
      <w:bookmarkStart w:id="336" w:name="_Toc321399159"/>
      <w:bookmarkStart w:id="337" w:name="_Toc384582171"/>
      <w:bookmarkStart w:id="338" w:name="_Toc443060846"/>
      <w:bookmarkStart w:id="339" w:name="_Toc451176062"/>
      <w:bookmarkStart w:id="340" w:name="_Toc481751488"/>
      <w:bookmarkStart w:id="341" w:name="_Toc507496591"/>
      <w:bookmarkStart w:id="342" w:name="_Toc36224525"/>
      <w:bookmarkStart w:id="343" w:name="_Toc68786408"/>
      <w:bookmarkStart w:id="344" w:name="_Toc164153807"/>
      <w:bookmarkStart w:id="345" w:name="_Toc194241674"/>
      <w:bookmarkStart w:id="346" w:name="_Toc226668960"/>
      <w:r w:rsidRPr="0060421C">
        <w:rPr>
          <w:rFonts w:cs="Calibri"/>
        </w:rPr>
        <w:t>Table 3.2.</w:t>
      </w:r>
      <w:r w:rsidR="006F3B24">
        <w:rPr>
          <w:rFonts w:cs="Calibri"/>
        </w:rPr>
        <w:t>6</w:t>
      </w:r>
      <w:r w:rsidRPr="0060421C">
        <w:rPr>
          <w:rFonts w:cs="Calibri"/>
        </w:rPr>
        <w:t xml:space="preserve"> </w:t>
      </w:r>
      <w:r w:rsidRPr="0060421C">
        <w:rPr>
          <w:rFonts w:cs="Calibri"/>
        </w:rPr>
        <w:tab/>
        <w:t xml:space="preserve">Solid biomass splits for 2006 that were used to disaggregate the </w:t>
      </w:r>
      <w:r w:rsidRPr="0060421C">
        <w:rPr>
          <w:rFonts w:cs="Calibri"/>
          <w:i/>
          <w:iCs/>
        </w:rPr>
        <w:t>Manufacturing industries</w:t>
      </w:r>
      <w:r w:rsidRPr="0060421C">
        <w:rPr>
          <w:rFonts w:cs="Calibri"/>
          <w:i/>
          <w:iCs/>
        </w:rPr>
        <w:br/>
        <w:t>and construction</w:t>
      </w:r>
      <w:r w:rsidRPr="0060421C">
        <w:rPr>
          <w:rFonts w:cs="Calibri"/>
        </w:rPr>
        <w:t xml:space="preserve"> category between 1990 and </w:t>
      </w:r>
      <w:bookmarkEnd w:id="336"/>
      <w:bookmarkEnd w:id="337"/>
      <w:bookmarkEnd w:id="338"/>
      <w:bookmarkEnd w:id="339"/>
      <w:bookmarkEnd w:id="340"/>
      <w:bookmarkEnd w:id="341"/>
      <w:bookmarkEnd w:id="342"/>
      <w:bookmarkEnd w:id="343"/>
      <w:bookmarkEnd w:id="344"/>
      <w:bookmarkEnd w:id="345"/>
      <w:r w:rsidRPr="0060421C">
        <w:rPr>
          <w:rFonts w:cs="Calibri"/>
        </w:rPr>
        <w:t>2024</w:t>
      </w:r>
      <w:bookmarkEnd w:id="346"/>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991"/>
        <w:gridCol w:w="5246"/>
        <w:gridCol w:w="1268"/>
      </w:tblGrid>
      <w:tr w:rsidR="0038460F" w:rsidRPr="0060421C" w14:paraId="0DFB0DAE" w14:textId="77777777" w:rsidTr="00F16E23">
        <w:trPr>
          <w:tblHeader/>
        </w:trPr>
        <w:tc>
          <w:tcPr>
            <w:tcW w:w="1560" w:type="dxa"/>
            <w:shd w:val="clear" w:color="auto" w:fill="1B556B"/>
            <w:vAlign w:val="bottom"/>
          </w:tcPr>
          <w:p w14:paraId="1CAFE897" w14:textId="77777777" w:rsidR="0038460F" w:rsidRPr="0060421C" w:rsidRDefault="0038460F" w:rsidP="00B926B8">
            <w:pPr>
              <w:pStyle w:val="TableTextBold"/>
              <w:keepNext/>
              <w:spacing w:before="40" w:after="40"/>
              <w:rPr>
                <w:rFonts w:cs="Calibri"/>
                <w:bCs/>
                <w:noProof w:val="0"/>
                <w:color w:val="FFFFFF"/>
              </w:rPr>
            </w:pPr>
            <w:r w:rsidRPr="0060421C">
              <w:rPr>
                <w:rFonts w:cs="Calibri"/>
                <w:bCs/>
                <w:noProof w:val="0"/>
                <w:color w:val="FFFFFF"/>
              </w:rPr>
              <w:t>CRT category code</w:t>
            </w:r>
          </w:p>
        </w:tc>
        <w:tc>
          <w:tcPr>
            <w:tcW w:w="4110" w:type="dxa"/>
            <w:shd w:val="clear" w:color="auto" w:fill="1B556B"/>
            <w:vAlign w:val="bottom"/>
          </w:tcPr>
          <w:p w14:paraId="237ABB21" w14:textId="77777777" w:rsidR="0038460F" w:rsidRPr="0060421C" w:rsidRDefault="0038460F" w:rsidP="00B926B8">
            <w:pPr>
              <w:pStyle w:val="TableTextBold"/>
              <w:keepNext/>
              <w:spacing w:before="40" w:after="40"/>
              <w:rPr>
                <w:rFonts w:cs="Calibri"/>
                <w:bCs/>
                <w:noProof w:val="0"/>
                <w:color w:val="FFFFFF"/>
              </w:rPr>
            </w:pPr>
            <w:r w:rsidRPr="0060421C">
              <w:rPr>
                <w:rFonts w:cs="Calibri"/>
                <w:bCs/>
                <w:noProof w:val="0"/>
                <w:color w:val="FFFFFF"/>
              </w:rPr>
              <w:t>Manufacturing industries and construction category</w:t>
            </w:r>
          </w:p>
        </w:tc>
        <w:tc>
          <w:tcPr>
            <w:tcW w:w="993" w:type="dxa"/>
            <w:shd w:val="clear" w:color="auto" w:fill="1B556B"/>
            <w:vAlign w:val="bottom"/>
          </w:tcPr>
          <w:p w14:paraId="3669A566" w14:textId="77777777" w:rsidR="0038460F" w:rsidRPr="0060421C" w:rsidRDefault="0038460F" w:rsidP="00B926B8">
            <w:pPr>
              <w:pStyle w:val="TableTextBold"/>
              <w:keepNext/>
              <w:spacing w:before="40" w:after="40"/>
              <w:jc w:val="right"/>
              <w:rPr>
                <w:rFonts w:cs="Calibri"/>
                <w:noProof w:val="0"/>
                <w:color w:val="FFFFFF"/>
              </w:rPr>
            </w:pPr>
            <w:r w:rsidRPr="0060421C">
              <w:rPr>
                <w:rFonts w:cs="Calibri"/>
                <w:noProof w:val="0"/>
                <w:color w:val="FFFFFF"/>
              </w:rPr>
              <w:t>Percent</w:t>
            </w:r>
          </w:p>
        </w:tc>
      </w:tr>
      <w:tr w:rsidR="0038460F" w:rsidRPr="0060421C" w14:paraId="50509BC5" w14:textId="77777777" w:rsidTr="00F16E23">
        <w:tc>
          <w:tcPr>
            <w:tcW w:w="1560" w:type="dxa"/>
            <w:vAlign w:val="center"/>
          </w:tcPr>
          <w:p w14:paraId="73487498" w14:textId="77777777" w:rsidR="0038460F" w:rsidRPr="0060421C" w:rsidRDefault="0038460F" w:rsidP="00B926B8">
            <w:pPr>
              <w:pStyle w:val="TableText"/>
              <w:keepNext/>
              <w:spacing w:before="40" w:after="40"/>
              <w:rPr>
                <w:rFonts w:cs="Calibri"/>
                <w:bCs/>
              </w:rPr>
            </w:pPr>
            <w:r w:rsidRPr="0060421C">
              <w:rPr>
                <w:rFonts w:cs="Calibri"/>
                <w:bCs/>
              </w:rPr>
              <w:t>1.A.2.a</w:t>
            </w:r>
          </w:p>
        </w:tc>
        <w:tc>
          <w:tcPr>
            <w:tcW w:w="4110" w:type="dxa"/>
            <w:vAlign w:val="center"/>
          </w:tcPr>
          <w:p w14:paraId="3DADE7C0" w14:textId="77777777" w:rsidR="0038460F" w:rsidRPr="0060421C" w:rsidRDefault="0038460F" w:rsidP="00B926B8">
            <w:pPr>
              <w:pStyle w:val="TableText"/>
              <w:keepNext/>
              <w:spacing w:before="40" w:after="40"/>
              <w:rPr>
                <w:rFonts w:cs="Calibri"/>
                <w:lang w:eastAsia="en-GB"/>
              </w:rPr>
            </w:pPr>
            <w:r w:rsidRPr="0060421C">
              <w:rPr>
                <w:rFonts w:cs="Calibri"/>
              </w:rPr>
              <w:t>Iron and steel</w:t>
            </w:r>
          </w:p>
        </w:tc>
        <w:tc>
          <w:tcPr>
            <w:tcW w:w="993" w:type="dxa"/>
            <w:vAlign w:val="center"/>
          </w:tcPr>
          <w:p w14:paraId="53A08664" w14:textId="77777777" w:rsidR="0038460F" w:rsidRPr="0060421C" w:rsidRDefault="0038460F" w:rsidP="00B926B8">
            <w:pPr>
              <w:pStyle w:val="TableText"/>
              <w:keepNext/>
              <w:spacing w:before="40" w:after="40"/>
              <w:jc w:val="right"/>
            </w:pPr>
            <w:r w:rsidRPr="0060421C">
              <w:t>NO</w:t>
            </w:r>
          </w:p>
        </w:tc>
      </w:tr>
      <w:tr w:rsidR="0038460F" w:rsidRPr="0060421C" w14:paraId="6206841C" w14:textId="77777777" w:rsidTr="00F16E23">
        <w:tc>
          <w:tcPr>
            <w:tcW w:w="1560" w:type="dxa"/>
            <w:vAlign w:val="center"/>
          </w:tcPr>
          <w:p w14:paraId="3F74AE8E" w14:textId="77777777" w:rsidR="0038460F" w:rsidRPr="0060421C" w:rsidRDefault="0038460F" w:rsidP="00B926B8">
            <w:pPr>
              <w:pStyle w:val="TableText"/>
              <w:keepNext/>
              <w:spacing w:before="40" w:after="40"/>
              <w:rPr>
                <w:rFonts w:cs="Calibri"/>
                <w:bCs/>
              </w:rPr>
            </w:pPr>
            <w:r w:rsidRPr="0060421C">
              <w:rPr>
                <w:rFonts w:cs="Calibri"/>
                <w:bCs/>
              </w:rPr>
              <w:t>1.A.2.b</w:t>
            </w:r>
          </w:p>
        </w:tc>
        <w:tc>
          <w:tcPr>
            <w:tcW w:w="4110" w:type="dxa"/>
            <w:vAlign w:val="center"/>
          </w:tcPr>
          <w:p w14:paraId="7A595D31" w14:textId="77777777" w:rsidR="0038460F" w:rsidRPr="0060421C" w:rsidRDefault="0038460F" w:rsidP="00B926B8">
            <w:pPr>
              <w:pStyle w:val="TableText"/>
              <w:keepNext/>
              <w:spacing w:before="40" w:after="40"/>
              <w:rPr>
                <w:rFonts w:cs="Calibri"/>
              </w:rPr>
            </w:pPr>
            <w:r w:rsidRPr="0060421C">
              <w:rPr>
                <w:rFonts w:cs="Calibri"/>
              </w:rPr>
              <w:t>Non-ferrous metals</w:t>
            </w:r>
          </w:p>
        </w:tc>
        <w:tc>
          <w:tcPr>
            <w:tcW w:w="993" w:type="dxa"/>
            <w:vAlign w:val="center"/>
          </w:tcPr>
          <w:p w14:paraId="51591850" w14:textId="77777777" w:rsidR="0038460F" w:rsidRPr="0060421C" w:rsidRDefault="0038460F" w:rsidP="00B926B8">
            <w:pPr>
              <w:pStyle w:val="TableText"/>
              <w:keepNext/>
              <w:spacing w:before="40" w:after="40"/>
              <w:jc w:val="right"/>
            </w:pPr>
            <w:r w:rsidRPr="0060421C">
              <w:t>NO</w:t>
            </w:r>
          </w:p>
        </w:tc>
      </w:tr>
      <w:tr w:rsidR="0038460F" w:rsidRPr="0060421C" w14:paraId="0914C528" w14:textId="77777777" w:rsidTr="00F16E23">
        <w:tc>
          <w:tcPr>
            <w:tcW w:w="1560" w:type="dxa"/>
            <w:vAlign w:val="center"/>
          </w:tcPr>
          <w:p w14:paraId="2F071837" w14:textId="77777777" w:rsidR="0038460F" w:rsidRPr="0060421C" w:rsidRDefault="0038460F" w:rsidP="00B926B8">
            <w:pPr>
              <w:pStyle w:val="TableText"/>
              <w:keepNext/>
              <w:spacing w:before="40" w:after="40"/>
              <w:rPr>
                <w:rFonts w:cs="Calibri"/>
                <w:bCs/>
              </w:rPr>
            </w:pPr>
            <w:r w:rsidRPr="0060421C">
              <w:rPr>
                <w:rFonts w:cs="Calibri"/>
                <w:bCs/>
              </w:rPr>
              <w:t>1.A.2.c</w:t>
            </w:r>
          </w:p>
        </w:tc>
        <w:tc>
          <w:tcPr>
            <w:tcW w:w="4110" w:type="dxa"/>
            <w:vAlign w:val="center"/>
          </w:tcPr>
          <w:p w14:paraId="3E38BAFD" w14:textId="77777777" w:rsidR="0038460F" w:rsidRPr="0060421C" w:rsidRDefault="0038460F" w:rsidP="00B926B8">
            <w:pPr>
              <w:pStyle w:val="TableText"/>
              <w:keepNext/>
              <w:spacing w:before="40" w:after="40"/>
              <w:rPr>
                <w:rFonts w:cs="Calibri"/>
                <w:lang w:eastAsia="en-GB"/>
              </w:rPr>
            </w:pPr>
            <w:r w:rsidRPr="0060421C">
              <w:rPr>
                <w:rFonts w:cs="Calibri"/>
              </w:rPr>
              <w:t>Chemicals</w:t>
            </w:r>
          </w:p>
        </w:tc>
        <w:tc>
          <w:tcPr>
            <w:tcW w:w="993" w:type="dxa"/>
            <w:vAlign w:val="center"/>
          </w:tcPr>
          <w:p w14:paraId="216A60EA" w14:textId="77777777" w:rsidR="0038460F" w:rsidRPr="0060421C" w:rsidRDefault="0038460F" w:rsidP="00B926B8">
            <w:pPr>
              <w:pStyle w:val="TableText"/>
              <w:keepNext/>
              <w:spacing w:before="40" w:after="40"/>
              <w:jc w:val="right"/>
            </w:pPr>
            <w:r w:rsidRPr="0060421C">
              <w:t>NO</w:t>
            </w:r>
          </w:p>
        </w:tc>
      </w:tr>
      <w:tr w:rsidR="0038460F" w:rsidRPr="0060421C" w14:paraId="0FCE28B0" w14:textId="77777777" w:rsidTr="00F16E23">
        <w:tc>
          <w:tcPr>
            <w:tcW w:w="1560" w:type="dxa"/>
            <w:vAlign w:val="center"/>
          </w:tcPr>
          <w:p w14:paraId="7CDC4254" w14:textId="77777777" w:rsidR="0038460F" w:rsidRPr="0060421C" w:rsidRDefault="0038460F" w:rsidP="00B926B8">
            <w:pPr>
              <w:pStyle w:val="TableText"/>
              <w:keepNext/>
              <w:spacing w:before="40" w:after="40"/>
              <w:rPr>
                <w:rFonts w:cs="Calibri"/>
                <w:bCs/>
              </w:rPr>
            </w:pPr>
            <w:r w:rsidRPr="0060421C">
              <w:rPr>
                <w:rFonts w:cs="Calibri"/>
                <w:bCs/>
              </w:rPr>
              <w:t>1.A.2.d</w:t>
            </w:r>
          </w:p>
        </w:tc>
        <w:tc>
          <w:tcPr>
            <w:tcW w:w="4110" w:type="dxa"/>
            <w:vAlign w:val="center"/>
          </w:tcPr>
          <w:p w14:paraId="28E99690" w14:textId="77777777" w:rsidR="0038460F" w:rsidRPr="0060421C" w:rsidRDefault="0038460F" w:rsidP="00B926B8">
            <w:pPr>
              <w:pStyle w:val="TableText"/>
              <w:keepNext/>
              <w:spacing w:before="40" w:after="40"/>
              <w:rPr>
                <w:rFonts w:cs="Calibri"/>
                <w:lang w:eastAsia="en-GB"/>
              </w:rPr>
            </w:pPr>
            <w:r w:rsidRPr="0060421C">
              <w:rPr>
                <w:rFonts w:cs="Calibri"/>
              </w:rPr>
              <w:t>Pulp, paper and print</w:t>
            </w:r>
          </w:p>
        </w:tc>
        <w:tc>
          <w:tcPr>
            <w:tcW w:w="993" w:type="dxa"/>
            <w:vAlign w:val="center"/>
          </w:tcPr>
          <w:p w14:paraId="2441EA81" w14:textId="77777777" w:rsidR="0038460F" w:rsidRPr="0060421C" w:rsidRDefault="0038460F" w:rsidP="00B926B8">
            <w:pPr>
              <w:pStyle w:val="TableText"/>
              <w:keepNext/>
              <w:spacing w:before="40" w:after="40"/>
              <w:jc w:val="right"/>
            </w:pPr>
            <w:r w:rsidRPr="0060421C">
              <w:t>99.94</w:t>
            </w:r>
          </w:p>
        </w:tc>
      </w:tr>
      <w:tr w:rsidR="0038460F" w:rsidRPr="0060421C" w14:paraId="088E38EA" w14:textId="77777777" w:rsidTr="00F16E23">
        <w:tc>
          <w:tcPr>
            <w:tcW w:w="1560" w:type="dxa"/>
            <w:vAlign w:val="center"/>
          </w:tcPr>
          <w:p w14:paraId="72FBA8E6" w14:textId="77777777" w:rsidR="0038460F" w:rsidRPr="0060421C" w:rsidRDefault="0038460F" w:rsidP="00B926B8">
            <w:pPr>
              <w:pStyle w:val="TableText"/>
              <w:keepNext/>
              <w:spacing w:before="40" w:after="40"/>
              <w:rPr>
                <w:rFonts w:cs="Calibri"/>
                <w:bCs/>
              </w:rPr>
            </w:pPr>
            <w:r w:rsidRPr="0060421C">
              <w:rPr>
                <w:rFonts w:cs="Calibri"/>
                <w:bCs/>
              </w:rPr>
              <w:t>1.A.2.e</w:t>
            </w:r>
          </w:p>
        </w:tc>
        <w:tc>
          <w:tcPr>
            <w:tcW w:w="4110" w:type="dxa"/>
            <w:vAlign w:val="center"/>
          </w:tcPr>
          <w:p w14:paraId="3B8B6BE7" w14:textId="77777777" w:rsidR="0038460F" w:rsidRPr="0060421C" w:rsidRDefault="0038460F" w:rsidP="00B926B8">
            <w:pPr>
              <w:pStyle w:val="TableText"/>
              <w:keepNext/>
              <w:spacing w:before="40" w:after="40"/>
              <w:rPr>
                <w:rFonts w:cs="Calibri"/>
                <w:lang w:eastAsia="en-GB"/>
              </w:rPr>
            </w:pPr>
            <w:r w:rsidRPr="0060421C">
              <w:rPr>
                <w:rFonts w:cs="Calibri"/>
              </w:rPr>
              <w:t>Food processing, beverages and tobacco</w:t>
            </w:r>
          </w:p>
        </w:tc>
        <w:tc>
          <w:tcPr>
            <w:tcW w:w="993" w:type="dxa"/>
            <w:vAlign w:val="center"/>
          </w:tcPr>
          <w:p w14:paraId="6EB74991" w14:textId="77777777" w:rsidR="0038460F" w:rsidRPr="0060421C" w:rsidRDefault="0038460F" w:rsidP="00B926B8">
            <w:pPr>
              <w:pStyle w:val="TableText"/>
              <w:keepNext/>
              <w:spacing w:before="40" w:after="40"/>
              <w:jc w:val="right"/>
            </w:pPr>
            <w:r w:rsidRPr="0060421C">
              <w:t>0.05</w:t>
            </w:r>
          </w:p>
        </w:tc>
      </w:tr>
      <w:tr w:rsidR="0038460F" w:rsidRPr="0060421C" w14:paraId="7AF45F7A" w14:textId="77777777" w:rsidTr="00F16E23">
        <w:tc>
          <w:tcPr>
            <w:tcW w:w="1560" w:type="dxa"/>
            <w:vAlign w:val="center"/>
          </w:tcPr>
          <w:p w14:paraId="532A1896" w14:textId="77777777" w:rsidR="0038460F" w:rsidRPr="0060421C" w:rsidRDefault="0038460F" w:rsidP="00B926B8">
            <w:pPr>
              <w:pStyle w:val="TableText"/>
              <w:keepNext/>
              <w:spacing w:before="40" w:after="40"/>
              <w:rPr>
                <w:rFonts w:cs="Calibri"/>
                <w:bCs/>
              </w:rPr>
            </w:pPr>
            <w:r w:rsidRPr="0060421C">
              <w:rPr>
                <w:rFonts w:cs="Calibri"/>
                <w:bCs/>
              </w:rPr>
              <w:t>1.A.2.g</w:t>
            </w:r>
          </w:p>
        </w:tc>
        <w:tc>
          <w:tcPr>
            <w:tcW w:w="4110" w:type="dxa"/>
            <w:vAlign w:val="center"/>
          </w:tcPr>
          <w:p w14:paraId="10FE1972" w14:textId="77777777" w:rsidR="0038460F" w:rsidRPr="0060421C" w:rsidRDefault="0038460F" w:rsidP="00B926B8">
            <w:pPr>
              <w:pStyle w:val="TableText"/>
              <w:keepNext/>
              <w:spacing w:before="40" w:after="40"/>
              <w:rPr>
                <w:rFonts w:cs="Calibri"/>
                <w:lang w:eastAsia="en-GB"/>
              </w:rPr>
            </w:pPr>
            <w:r w:rsidRPr="0060421C">
              <w:rPr>
                <w:rFonts w:cs="Calibri"/>
              </w:rPr>
              <w:t>Other – Mining and construction</w:t>
            </w:r>
          </w:p>
        </w:tc>
        <w:tc>
          <w:tcPr>
            <w:tcW w:w="993" w:type="dxa"/>
            <w:vAlign w:val="center"/>
          </w:tcPr>
          <w:p w14:paraId="7F22F3EA" w14:textId="77777777" w:rsidR="0038460F" w:rsidRPr="0060421C" w:rsidRDefault="0038460F" w:rsidP="00B926B8">
            <w:pPr>
              <w:pStyle w:val="TableText"/>
              <w:keepNext/>
              <w:spacing w:before="40" w:after="40"/>
              <w:jc w:val="right"/>
            </w:pPr>
            <w:r w:rsidRPr="0060421C">
              <w:t>NO</w:t>
            </w:r>
          </w:p>
        </w:tc>
      </w:tr>
      <w:tr w:rsidR="0038460F" w:rsidRPr="0060421C" w14:paraId="7446119D" w14:textId="77777777" w:rsidTr="00F16E23">
        <w:tc>
          <w:tcPr>
            <w:tcW w:w="1560" w:type="dxa"/>
            <w:vAlign w:val="center"/>
          </w:tcPr>
          <w:p w14:paraId="0BFFB4BF" w14:textId="77777777" w:rsidR="0038460F" w:rsidRPr="0060421C" w:rsidRDefault="0038460F" w:rsidP="00B926B8">
            <w:pPr>
              <w:pStyle w:val="TableText"/>
              <w:keepNext/>
              <w:spacing w:before="40" w:after="40"/>
              <w:rPr>
                <w:rFonts w:cs="Calibri"/>
                <w:bCs/>
              </w:rPr>
            </w:pPr>
            <w:r w:rsidRPr="0060421C">
              <w:rPr>
                <w:rFonts w:cs="Calibri"/>
                <w:bCs/>
              </w:rPr>
              <w:t>1.A.2.g</w:t>
            </w:r>
          </w:p>
        </w:tc>
        <w:tc>
          <w:tcPr>
            <w:tcW w:w="4110" w:type="dxa"/>
            <w:vAlign w:val="center"/>
          </w:tcPr>
          <w:p w14:paraId="6BC5CCBD" w14:textId="77777777" w:rsidR="0038460F" w:rsidRPr="0060421C" w:rsidRDefault="0038460F" w:rsidP="00B926B8">
            <w:pPr>
              <w:pStyle w:val="TableText"/>
              <w:keepNext/>
              <w:spacing w:before="40" w:after="40"/>
              <w:rPr>
                <w:rFonts w:cs="Calibri"/>
                <w:lang w:eastAsia="en-GB"/>
              </w:rPr>
            </w:pPr>
            <w:r w:rsidRPr="0060421C">
              <w:rPr>
                <w:rFonts w:cs="Calibri"/>
              </w:rPr>
              <w:t>Other – Textiles</w:t>
            </w:r>
          </w:p>
        </w:tc>
        <w:tc>
          <w:tcPr>
            <w:tcW w:w="993" w:type="dxa"/>
            <w:vAlign w:val="center"/>
          </w:tcPr>
          <w:p w14:paraId="1E4C6832" w14:textId="77777777" w:rsidR="0038460F" w:rsidRPr="0060421C" w:rsidRDefault="0038460F" w:rsidP="00B926B8">
            <w:pPr>
              <w:pStyle w:val="TableText"/>
              <w:keepNext/>
              <w:spacing w:before="40" w:after="40"/>
              <w:jc w:val="right"/>
            </w:pPr>
            <w:r w:rsidRPr="0060421C">
              <w:t>NO</w:t>
            </w:r>
          </w:p>
        </w:tc>
      </w:tr>
      <w:tr w:rsidR="0038460F" w:rsidRPr="0060421C" w14:paraId="41002373" w14:textId="77777777" w:rsidTr="00F16E23">
        <w:tc>
          <w:tcPr>
            <w:tcW w:w="1560" w:type="dxa"/>
            <w:vAlign w:val="center"/>
          </w:tcPr>
          <w:p w14:paraId="3F1EB0DE" w14:textId="77777777" w:rsidR="0038460F" w:rsidRPr="0060421C" w:rsidRDefault="0038460F" w:rsidP="00F16E23">
            <w:pPr>
              <w:pStyle w:val="TableText"/>
              <w:spacing w:before="40" w:after="40"/>
              <w:rPr>
                <w:rFonts w:cs="Calibri"/>
                <w:bCs/>
              </w:rPr>
            </w:pPr>
            <w:r w:rsidRPr="0060421C">
              <w:rPr>
                <w:rFonts w:cs="Calibri"/>
                <w:bCs/>
              </w:rPr>
              <w:t>1.A.2.f</w:t>
            </w:r>
          </w:p>
        </w:tc>
        <w:tc>
          <w:tcPr>
            <w:tcW w:w="4110" w:type="dxa"/>
            <w:vAlign w:val="center"/>
          </w:tcPr>
          <w:p w14:paraId="1773FFCE" w14:textId="77777777" w:rsidR="0038460F" w:rsidRPr="0060421C" w:rsidRDefault="0038460F" w:rsidP="00F16E23">
            <w:pPr>
              <w:pStyle w:val="TableText"/>
              <w:spacing w:before="40" w:after="40"/>
              <w:rPr>
                <w:rFonts w:cs="Calibri"/>
                <w:lang w:eastAsia="en-GB"/>
              </w:rPr>
            </w:pPr>
            <w:r w:rsidRPr="0060421C">
              <w:rPr>
                <w:rFonts w:cs="Calibri"/>
              </w:rPr>
              <w:t>Other – Non-metallic minerals</w:t>
            </w:r>
          </w:p>
        </w:tc>
        <w:tc>
          <w:tcPr>
            <w:tcW w:w="993" w:type="dxa"/>
            <w:vAlign w:val="center"/>
          </w:tcPr>
          <w:p w14:paraId="58293C6E" w14:textId="77777777" w:rsidR="0038460F" w:rsidRPr="0060421C" w:rsidRDefault="0038460F" w:rsidP="00F16E23">
            <w:pPr>
              <w:pStyle w:val="TableText"/>
              <w:spacing w:before="40" w:after="40"/>
              <w:jc w:val="right"/>
            </w:pPr>
            <w:r w:rsidRPr="0060421C">
              <w:t>NO</w:t>
            </w:r>
          </w:p>
        </w:tc>
      </w:tr>
      <w:tr w:rsidR="0038460F" w:rsidRPr="0060421C" w14:paraId="28FBE42E" w14:textId="77777777" w:rsidTr="00F16E23">
        <w:tc>
          <w:tcPr>
            <w:tcW w:w="1560" w:type="dxa"/>
            <w:vAlign w:val="center"/>
          </w:tcPr>
          <w:p w14:paraId="3D5CC44D" w14:textId="77777777" w:rsidR="0038460F" w:rsidRPr="0060421C" w:rsidRDefault="0038460F" w:rsidP="00F16E23">
            <w:pPr>
              <w:pStyle w:val="TableText"/>
              <w:spacing w:before="40" w:after="40"/>
              <w:rPr>
                <w:rFonts w:cs="Calibri"/>
                <w:bCs/>
              </w:rPr>
            </w:pPr>
            <w:r w:rsidRPr="0060421C">
              <w:rPr>
                <w:rFonts w:cs="Calibri"/>
                <w:bCs/>
              </w:rPr>
              <w:t>1.A.2.f</w:t>
            </w:r>
          </w:p>
        </w:tc>
        <w:tc>
          <w:tcPr>
            <w:tcW w:w="4110" w:type="dxa"/>
            <w:vAlign w:val="center"/>
          </w:tcPr>
          <w:p w14:paraId="2AE3896D" w14:textId="77777777" w:rsidR="0038460F" w:rsidRPr="0060421C" w:rsidRDefault="0038460F" w:rsidP="00F16E23">
            <w:pPr>
              <w:pStyle w:val="TableText"/>
              <w:spacing w:before="40" w:after="40"/>
              <w:rPr>
                <w:rFonts w:cs="Calibri"/>
                <w:lang w:eastAsia="en-GB"/>
              </w:rPr>
            </w:pPr>
            <w:r w:rsidRPr="0060421C">
              <w:rPr>
                <w:rFonts w:cs="Calibri"/>
              </w:rPr>
              <w:t xml:space="preserve">Other – Manufacturing of machinery </w:t>
            </w:r>
          </w:p>
        </w:tc>
        <w:tc>
          <w:tcPr>
            <w:tcW w:w="993" w:type="dxa"/>
            <w:vAlign w:val="center"/>
          </w:tcPr>
          <w:p w14:paraId="761BF110" w14:textId="77777777" w:rsidR="0038460F" w:rsidRPr="0060421C" w:rsidRDefault="0038460F" w:rsidP="00F16E23">
            <w:pPr>
              <w:pStyle w:val="TableText"/>
              <w:spacing w:before="40" w:after="40"/>
              <w:jc w:val="right"/>
            </w:pPr>
            <w:r w:rsidRPr="0060421C">
              <w:t>NO</w:t>
            </w:r>
          </w:p>
        </w:tc>
      </w:tr>
      <w:tr w:rsidR="0038460F" w:rsidRPr="0060421C" w14:paraId="1A320E1C" w14:textId="77777777" w:rsidTr="00F16E23">
        <w:tc>
          <w:tcPr>
            <w:tcW w:w="1560" w:type="dxa"/>
            <w:vAlign w:val="center"/>
          </w:tcPr>
          <w:p w14:paraId="626D8BCE" w14:textId="77777777" w:rsidR="0038460F" w:rsidRPr="0060421C" w:rsidRDefault="0038460F" w:rsidP="00F16E23">
            <w:pPr>
              <w:pStyle w:val="TableText"/>
              <w:spacing w:before="40" w:after="40"/>
              <w:rPr>
                <w:rFonts w:cs="Calibri"/>
                <w:bCs/>
              </w:rPr>
            </w:pPr>
            <w:r w:rsidRPr="0060421C">
              <w:rPr>
                <w:rFonts w:cs="Calibri"/>
                <w:bCs/>
              </w:rPr>
              <w:t>1.A.2.g</w:t>
            </w:r>
          </w:p>
        </w:tc>
        <w:tc>
          <w:tcPr>
            <w:tcW w:w="4110" w:type="dxa"/>
            <w:vAlign w:val="center"/>
          </w:tcPr>
          <w:p w14:paraId="1F994889" w14:textId="77777777" w:rsidR="0038460F" w:rsidRPr="0060421C" w:rsidRDefault="0038460F" w:rsidP="00F16E23">
            <w:pPr>
              <w:pStyle w:val="TableText"/>
              <w:spacing w:before="40" w:after="40"/>
              <w:rPr>
                <w:rFonts w:cs="Calibri"/>
                <w:lang w:eastAsia="en-GB"/>
              </w:rPr>
            </w:pPr>
            <w:r w:rsidRPr="0060421C">
              <w:rPr>
                <w:rFonts w:cs="Calibri"/>
              </w:rPr>
              <w:t>Other – Not specified</w:t>
            </w:r>
          </w:p>
        </w:tc>
        <w:tc>
          <w:tcPr>
            <w:tcW w:w="993" w:type="dxa"/>
            <w:vAlign w:val="center"/>
          </w:tcPr>
          <w:p w14:paraId="56807C6C" w14:textId="77777777" w:rsidR="0038460F" w:rsidRPr="0060421C" w:rsidRDefault="0038460F" w:rsidP="00F16E23">
            <w:pPr>
              <w:pStyle w:val="TableText"/>
              <w:spacing w:before="40" w:after="40"/>
              <w:jc w:val="right"/>
            </w:pPr>
            <w:r w:rsidRPr="0060421C">
              <w:t>0.01</w:t>
            </w:r>
          </w:p>
        </w:tc>
      </w:tr>
    </w:tbl>
    <w:p w14:paraId="0D53F79B" w14:textId="77777777" w:rsidR="0038460F" w:rsidRPr="0060421C" w:rsidRDefault="0038460F" w:rsidP="0038460F">
      <w:pPr>
        <w:pStyle w:val="Noteundertable"/>
        <w:spacing w:after="0"/>
        <w:rPr>
          <w:rFonts w:cs="Calibri"/>
        </w:rPr>
      </w:pPr>
      <w:r w:rsidRPr="0060421C">
        <w:rPr>
          <w:rFonts w:cs="Calibri"/>
          <w:b/>
        </w:rPr>
        <w:t>Note:</w:t>
      </w:r>
      <w:r w:rsidRPr="0060421C">
        <w:rPr>
          <w:rFonts w:cs="Calibri"/>
        </w:rPr>
        <w:t xml:space="preserve"> </w:t>
      </w:r>
      <w:r w:rsidRPr="0060421C">
        <w:rPr>
          <w:rFonts w:cs="Calibri"/>
        </w:rPr>
        <w:tab/>
        <w:t>NO = not occurring. Survey data indicate that solid biomass combustion does not occur in the sectors.</w:t>
      </w:r>
    </w:p>
    <w:p w14:paraId="694EA7F5" w14:textId="77777777" w:rsidR="0038460F" w:rsidRPr="0060421C" w:rsidRDefault="0038460F" w:rsidP="0038460F">
      <w:pPr>
        <w:pStyle w:val="Heading5"/>
      </w:pPr>
      <w:r w:rsidRPr="0060421C">
        <w:t>Gas biomass</w:t>
      </w:r>
    </w:p>
    <w:p w14:paraId="098E5A1E" w14:textId="77777777" w:rsidR="0038460F" w:rsidRPr="0060421C" w:rsidRDefault="0038460F" w:rsidP="005E22B7">
      <w:pPr>
        <w:pStyle w:val="BodyText"/>
        <w:spacing w:before="100" w:after="100"/>
      </w:pPr>
      <w:r w:rsidRPr="0060421C">
        <w:t xml:space="preserve">Sludge gas is produced at the Tirau dairy processing facility. Cattle effluent is used to produce sludge gas that is used to raise heat for the milk processing facility, which is open from </w:t>
      </w:r>
      <w:r w:rsidRPr="0060421C">
        <w:rPr>
          <w:spacing w:val="-2"/>
        </w:rPr>
        <w:t>September through to December each year. See section 3.2.2 (Biomass) for further information.</w:t>
      </w:r>
    </w:p>
    <w:p w14:paraId="3523EAE5" w14:textId="77777777" w:rsidR="0038460F" w:rsidRPr="0060421C" w:rsidRDefault="0038460F" w:rsidP="005E22B7">
      <w:pPr>
        <w:pStyle w:val="BodyText"/>
        <w:spacing w:before="100" w:after="100"/>
      </w:pPr>
      <w:r w:rsidRPr="0060421C">
        <w:t>Sludge gas is not metered or analysed at the site, but estimates of flow rate and CH</w:t>
      </w:r>
      <w:r w:rsidRPr="0060421C">
        <w:rPr>
          <w:vertAlign w:val="subscript"/>
        </w:rPr>
        <w:t>4</w:t>
      </w:r>
      <w:r w:rsidRPr="0060421C">
        <w:t xml:space="preserve"> content were obtained from the facility manager for the 2011 reporting year. MBIE then used these data to calculate an estimate of the total energy content, which was then confirmed by the facility manager. </w:t>
      </w:r>
    </w:p>
    <w:p w14:paraId="3DF71D4C" w14:textId="77777777" w:rsidR="0038460F" w:rsidRPr="0060421C" w:rsidRDefault="0038460F" w:rsidP="005E22B7">
      <w:pPr>
        <w:pStyle w:val="BodyText"/>
        <w:spacing w:before="100" w:after="100"/>
        <w:rPr>
          <w:rFonts w:cs="Calibri"/>
          <w:spacing w:val="-2"/>
        </w:rPr>
      </w:pPr>
      <w:r w:rsidRPr="0060421C">
        <w:rPr>
          <w:rFonts w:cs="Calibri"/>
          <w:spacing w:val="-2"/>
        </w:rPr>
        <w:t>The facility has operated in the same fashion since its construction in the late 1980s. Therefore, this estimate is assumed to be valid across the time series.</w:t>
      </w:r>
    </w:p>
    <w:p w14:paraId="4C2BB8BC" w14:textId="77777777" w:rsidR="0038460F" w:rsidRPr="0060421C" w:rsidRDefault="0038460F" w:rsidP="0038460F">
      <w:pPr>
        <w:pStyle w:val="Heading5"/>
      </w:pPr>
      <w:r w:rsidRPr="0060421C">
        <w:t>Liquid fuels</w:t>
      </w:r>
    </w:p>
    <w:p w14:paraId="445AF31E" w14:textId="77777777" w:rsidR="0038460F" w:rsidRPr="0060421C" w:rsidRDefault="0038460F" w:rsidP="005E22B7">
      <w:pPr>
        <w:pStyle w:val="BodyText"/>
        <w:spacing w:before="100" w:after="100"/>
        <w:rPr>
          <w:rFonts w:cs="Calibri"/>
        </w:rPr>
      </w:pPr>
      <w:r w:rsidRPr="0060421C">
        <w:rPr>
          <w:rFonts w:cs="Calibri"/>
        </w:rPr>
        <w:t xml:space="preserve">As mentioned in section 3.2.2 (‘Liquid fuels’), </w:t>
      </w:r>
      <w:r w:rsidRPr="0060421C">
        <w:rPr>
          <w:rFonts w:cs="Calibri"/>
          <w:lang w:eastAsia="en-GB"/>
        </w:rPr>
        <w:t>New Zealand</w:t>
      </w:r>
      <w:r w:rsidRPr="0060421C">
        <w:rPr>
          <w:rFonts w:cs="Calibri"/>
        </w:rPr>
        <w:t xml:space="preserve"> uses the </w:t>
      </w:r>
      <w:r w:rsidRPr="0060421C">
        <w:rPr>
          <w:rFonts w:cs="Calibri"/>
          <w:iCs/>
        </w:rPr>
        <w:t>Annual Liquid Fuel Survey </w:t>
      </w:r>
      <w:r w:rsidRPr="0060421C">
        <w:rPr>
          <w:rFonts w:cs="Calibri"/>
        </w:rPr>
        <w:t xml:space="preserve">to capture sales by independent distributors. With this information, some liquid fuel demand that </w:t>
      </w:r>
      <w:r w:rsidRPr="0060421C">
        <w:rPr>
          <w:rFonts w:cs="Calibri"/>
          <w:spacing w:val="-2"/>
        </w:rPr>
        <w:t>would otherwise be allocated to national transport is reallocated to the correct sector.</w:t>
      </w:r>
      <w:r w:rsidRPr="0060421C">
        <w:rPr>
          <w:rFonts w:cs="Calibri"/>
        </w:rPr>
        <w:t xml:space="preserve"> As a result of this reallocation, emissions attributed to category 1.A.3 </w:t>
      </w:r>
      <w:r w:rsidRPr="0060421C">
        <w:rPr>
          <w:rFonts w:cs="Calibri"/>
          <w:i/>
        </w:rPr>
        <w:t>Transport</w:t>
      </w:r>
      <w:r w:rsidRPr="0060421C">
        <w:rPr>
          <w:rFonts w:cs="Calibri"/>
        </w:rPr>
        <w:t xml:space="preserve"> decreased by around 20 percent, and emissions </w:t>
      </w:r>
      <w:r w:rsidRPr="0060421C">
        <w:rPr>
          <w:rFonts w:cs="Calibri"/>
          <w:spacing w:val="-2"/>
        </w:rPr>
        <w:t>attributed to other categories, such as 1.A.4.c </w:t>
      </w:r>
      <w:r w:rsidRPr="0060421C">
        <w:rPr>
          <w:rFonts w:cs="Calibri"/>
          <w:i/>
          <w:spacing w:val="-2"/>
        </w:rPr>
        <w:t>Agriculture/forestry/fishing</w:t>
      </w:r>
      <w:r w:rsidRPr="0060421C">
        <w:rPr>
          <w:rFonts w:cs="Calibri"/>
          <w:spacing w:val="-2"/>
        </w:rPr>
        <w:t>, increased significantly.</w:t>
      </w:r>
    </w:p>
    <w:p w14:paraId="702D922C" w14:textId="77777777" w:rsidR="0038460F" w:rsidRPr="0060421C" w:rsidRDefault="0038460F" w:rsidP="005E22B7">
      <w:pPr>
        <w:pStyle w:val="BodyText"/>
        <w:spacing w:before="100" w:after="100"/>
        <w:rPr>
          <w:rFonts w:cs="Calibri"/>
        </w:rPr>
      </w:pPr>
      <w:r w:rsidRPr="0060421C">
        <w:rPr>
          <w:rFonts w:cs="Calibri"/>
        </w:rPr>
        <w:t xml:space="preserve">Following ERT recommendations (in the 2007 in-country review), </w:t>
      </w:r>
      <w:r w:rsidRPr="0060421C">
        <w:rPr>
          <w:rFonts w:cs="Calibri"/>
          <w:lang w:eastAsia="en-GB"/>
        </w:rPr>
        <w:t>New Zealand</w:t>
      </w:r>
      <w:r w:rsidRPr="0060421C">
        <w:rPr>
          <w:rFonts w:cs="Calibri"/>
        </w:rPr>
        <w:t xml:space="preserve"> began to disaggregate liquid fuel combustion in the 1.A.2 </w:t>
      </w:r>
      <w:r w:rsidRPr="0060421C">
        <w:rPr>
          <w:rFonts w:cs="Calibri"/>
          <w:i/>
        </w:rPr>
        <w:t>Manufacturing industries and construction</w:t>
      </w:r>
      <w:r w:rsidRPr="0060421C">
        <w:rPr>
          <w:rFonts w:cs="Calibri"/>
        </w:rPr>
        <w:t xml:space="preserve"> category for the 2011 inventory. Diesel and gasoline consumption were disaggregated for the 2012 submission, and the method was subsequently extended to include fuel oil.</w:t>
      </w:r>
    </w:p>
    <w:p w14:paraId="1F4D9EBE" w14:textId="77777777" w:rsidR="0038460F" w:rsidRPr="0060421C" w:rsidRDefault="0038460F" w:rsidP="005E22B7">
      <w:pPr>
        <w:pStyle w:val="BodyText"/>
        <w:spacing w:before="100" w:after="100"/>
        <w:rPr>
          <w:rFonts w:cs="Calibri"/>
        </w:rPr>
      </w:pPr>
      <w:r w:rsidRPr="0060421C">
        <w:rPr>
          <w:rFonts w:cs="Calibri"/>
        </w:rPr>
        <w:t xml:space="preserve">While data are not collected at this level of detail in energy surveys for liquid fuels, </w:t>
      </w:r>
      <w:r w:rsidRPr="0060421C">
        <w:rPr>
          <w:rFonts w:cs="Calibri"/>
          <w:lang w:eastAsia="en-GB"/>
        </w:rPr>
        <w:t>New</w:t>
      </w:r>
      <w:r>
        <w:rPr>
          <w:rFonts w:cs="Calibri"/>
          <w:lang w:eastAsia="en-GB"/>
        </w:rPr>
        <w:t xml:space="preserve"> </w:t>
      </w:r>
      <w:r w:rsidRPr="0060421C">
        <w:rPr>
          <w:rFonts w:cs="Calibri"/>
          <w:lang w:eastAsia="en-GB"/>
        </w:rPr>
        <w:t>Zealand</w:t>
      </w:r>
      <w:r w:rsidRPr="0060421C">
        <w:rPr>
          <w:rFonts w:cs="Calibri"/>
        </w:rPr>
        <w:t xml:space="preserve"> has produced estimates based on Stats NZ survey data. Stats NZ conducted an</w:t>
      </w:r>
      <w:r>
        <w:rPr>
          <w:rFonts w:cs="Calibri"/>
        </w:rPr>
        <w:t xml:space="preserve"> </w:t>
      </w:r>
      <w:r w:rsidRPr="0060421C">
        <w:rPr>
          <w:rFonts w:cs="Calibri"/>
        </w:rPr>
        <w:t xml:space="preserve">industrial and trade energy use survey (Stats NZ, 2018), which assessed energy consumption and end use across manufacturing industries for the 2016 calendar year. Proportions of liquid energy end use were then determined across the manufacturing industries. These proportions, along with category gross domestic product (GDP) data from Stats NZ for the period, were used to calculate implied energy intensities (PJ per unit of GDP) for each category for diesel, gasoline and fuel oil (table 3.2.5). These intensities were then applied to Stats NZ GDP data across the time series and scaled to match the fuel sales reported for all manufacturing industries and construction, to estimate activity data for each category. </w:t>
      </w:r>
    </w:p>
    <w:p w14:paraId="7FCFA321" w14:textId="2AC8B569" w:rsidR="0038460F" w:rsidRPr="0060421C" w:rsidRDefault="0038460F" w:rsidP="0038460F">
      <w:pPr>
        <w:pStyle w:val="Table"/>
        <w:rPr>
          <w:rFonts w:cs="Calibri"/>
        </w:rPr>
      </w:pPr>
      <w:bookmarkStart w:id="347" w:name="_Toc226668961"/>
      <w:bookmarkStart w:id="348" w:name="_Toc68786409"/>
      <w:bookmarkStart w:id="349" w:name="_Toc164153808"/>
      <w:bookmarkStart w:id="350" w:name="_Toc194241675"/>
      <w:r w:rsidRPr="0060421C">
        <w:rPr>
          <w:rFonts w:cs="Calibri"/>
        </w:rPr>
        <w:t>Table 3.2.</w:t>
      </w:r>
      <w:r w:rsidR="006F3B24">
        <w:rPr>
          <w:rFonts w:cs="Calibri"/>
        </w:rPr>
        <w:t>7</w:t>
      </w:r>
      <w:r w:rsidRPr="0060421C">
        <w:rPr>
          <w:rFonts w:cs="Calibri"/>
        </w:rPr>
        <w:t xml:space="preserve"> </w:t>
      </w:r>
      <w:r w:rsidRPr="0060421C">
        <w:tab/>
      </w:r>
      <w:r w:rsidRPr="0060421C">
        <w:rPr>
          <w:rFonts w:cs="Calibri"/>
        </w:rPr>
        <w:t>Energy intensity values used to disaggregate liquid fuel use for manufacturing</w:t>
      </w:r>
      <w:bookmarkEnd w:id="347"/>
      <w:r w:rsidRPr="0060421C">
        <w:rPr>
          <w:rFonts w:cs="Calibri"/>
        </w:rPr>
        <w:t xml:space="preserve"> </w:t>
      </w:r>
      <w:bookmarkEnd w:id="348"/>
      <w:bookmarkEnd w:id="349"/>
      <w:bookmarkEnd w:id="350"/>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4050"/>
        <w:gridCol w:w="1620"/>
        <w:gridCol w:w="1418"/>
        <w:gridCol w:w="1417"/>
      </w:tblGrid>
      <w:tr w:rsidR="0038460F" w:rsidRPr="0060421C" w14:paraId="7BCA9ABB" w14:textId="77777777" w:rsidTr="001C7F9C">
        <w:trPr>
          <w:tblHeader/>
        </w:trPr>
        <w:tc>
          <w:tcPr>
            <w:tcW w:w="4050" w:type="dxa"/>
            <w:shd w:val="clear" w:color="auto" w:fill="1B556B" w:themeFill="text2"/>
            <w:vAlign w:val="bottom"/>
          </w:tcPr>
          <w:p w14:paraId="5BB22D76" w14:textId="2E7B4812" w:rsidR="0038460F" w:rsidRPr="0060421C" w:rsidRDefault="0038460F" w:rsidP="00F16E23">
            <w:pPr>
              <w:pStyle w:val="TableTextBold"/>
              <w:spacing w:before="40" w:after="0"/>
              <w:rPr>
                <w:noProof w:val="0"/>
                <w:color w:val="FFFFFF"/>
              </w:rPr>
            </w:pPr>
          </w:p>
        </w:tc>
        <w:tc>
          <w:tcPr>
            <w:tcW w:w="1620" w:type="dxa"/>
            <w:shd w:val="clear" w:color="auto" w:fill="1B556B" w:themeFill="text2"/>
            <w:vAlign w:val="bottom"/>
          </w:tcPr>
          <w:p w14:paraId="5D86E719" w14:textId="77777777" w:rsidR="0038460F" w:rsidRPr="0060421C" w:rsidRDefault="0038460F" w:rsidP="00F16E23">
            <w:pPr>
              <w:pStyle w:val="TableTextBold"/>
              <w:spacing w:before="40" w:after="0"/>
              <w:jc w:val="right"/>
              <w:rPr>
                <w:noProof w:val="0"/>
                <w:color w:val="FFFFFF"/>
              </w:rPr>
            </w:pPr>
            <w:r w:rsidRPr="0060421C">
              <w:rPr>
                <w:noProof w:val="0"/>
                <w:color w:val="FFFFFF" w:themeColor="background1"/>
              </w:rPr>
              <w:t>Gasoline</w:t>
            </w:r>
          </w:p>
        </w:tc>
        <w:tc>
          <w:tcPr>
            <w:tcW w:w="1418" w:type="dxa"/>
            <w:shd w:val="clear" w:color="auto" w:fill="1B556B" w:themeFill="text2"/>
            <w:vAlign w:val="bottom"/>
          </w:tcPr>
          <w:p w14:paraId="1B5CA51E" w14:textId="77777777" w:rsidR="0038460F" w:rsidRPr="0060421C" w:rsidRDefault="0038460F" w:rsidP="00F16E23">
            <w:pPr>
              <w:pStyle w:val="TableTextBold"/>
              <w:spacing w:before="40" w:after="0"/>
              <w:jc w:val="right"/>
              <w:rPr>
                <w:noProof w:val="0"/>
                <w:color w:val="FFFFFF"/>
              </w:rPr>
            </w:pPr>
            <w:r w:rsidRPr="0060421C">
              <w:rPr>
                <w:noProof w:val="0"/>
                <w:color w:val="FFFFFF"/>
              </w:rPr>
              <w:t>Diesel</w:t>
            </w:r>
          </w:p>
        </w:tc>
        <w:tc>
          <w:tcPr>
            <w:tcW w:w="1417" w:type="dxa"/>
            <w:shd w:val="clear" w:color="auto" w:fill="1B556B" w:themeFill="text2"/>
            <w:vAlign w:val="bottom"/>
          </w:tcPr>
          <w:p w14:paraId="4C372D1D" w14:textId="77777777" w:rsidR="0038460F" w:rsidRPr="0060421C" w:rsidRDefault="0038460F" w:rsidP="00F16E23">
            <w:pPr>
              <w:pStyle w:val="TableTextBold"/>
              <w:spacing w:before="40" w:after="0"/>
              <w:jc w:val="right"/>
              <w:rPr>
                <w:noProof w:val="0"/>
                <w:color w:val="FFFFFF"/>
              </w:rPr>
            </w:pPr>
            <w:r w:rsidRPr="0060421C">
              <w:rPr>
                <w:noProof w:val="0"/>
                <w:color w:val="FFFFFF"/>
              </w:rPr>
              <w:t>Fuel oil</w:t>
            </w:r>
          </w:p>
        </w:tc>
      </w:tr>
      <w:tr w:rsidR="0038460F" w:rsidRPr="0060421C" w14:paraId="02440DEB" w14:textId="77777777" w:rsidTr="00F16E23">
        <w:trPr>
          <w:tblHeader/>
        </w:trPr>
        <w:tc>
          <w:tcPr>
            <w:tcW w:w="4050" w:type="dxa"/>
            <w:shd w:val="clear" w:color="auto" w:fill="1B556B" w:themeFill="text2"/>
          </w:tcPr>
          <w:p w14:paraId="269EF909" w14:textId="4A88B19B" w:rsidR="0038460F" w:rsidRPr="0060421C" w:rsidRDefault="00514A82" w:rsidP="00F16E23">
            <w:pPr>
              <w:pStyle w:val="TableTextBold"/>
              <w:spacing w:before="0" w:after="40"/>
              <w:rPr>
                <w:noProof w:val="0"/>
                <w:color w:val="FFFFFF"/>
              </w:rPr>
            </w:pPr>
            <w:r w:rsidRPr="0060421C">
              <w:rPr>
                <w:noProof w:val="0"/>
                <w:color w:val="FFFFFF"/>
              </w:rPr>
              <w:t>Category</w:t>
            </w:r>
          </w:p>
        </w:tc>
        <w:tc>
          <w:tcPr>
            <w:tcW w:w="4455" w:type="dxa"/>
            <w:gridSpan w:val="3"/>
            <w:shd w:val="clear" w:color="auto" w:fill="1B556B" w:themeFill="text2"/>
          </w:tcPr>
          <w:p w14:paraId="3BC4A6E9" w14:textId="77777777" w:rsidR="0038460F" w:rsidRPr="0060421C" w:rsidRDefault="0038460F" w:rsidP="00F16E23">
            <w:pPr>
              <w:pStyle w:val="TableTextBold"/>
              <w:spacing w:before="0" w:after="40"/>
              <w:jc w:val="center"/>
              <w:rPr>
                <w:noProof w:val="0"/>
                <w:color w:val="FFFFFF"/>
              </w:rPr>
            </w:pPr>
            <w:r w:rsidRPr="0060421C">
              <w:rPr>
                <w:rFonts w:cs="Calibri"/>
                <w:noProof w:val="0"/>
                <w:color w:val="FFFFFF" w:themeColor="background1"/>
              </w:rPr>
              <w:t>Gigajoules </w:t>
            </w:r>
            <w:r w:rsidRPr="0060421C">
              <w:rPr>
                <w:noProof w:val="0"/>
                <w:color w:val="FFFFFF" w:themeColor="background1"/>
              </w:rPr>
              <w:t>per </w:t>
            </w:r>
            <w:r w:rsidRPr="0060421C">
              <w:rPr>
                <w:rFonts w:cs="Calibri"/>
                <w:noProof w:val="0"/>
                <w:color w:val="FFFFFF" w:themeColor="background1"/>
              </w:rPr>
              <w:t>gross domestic product index</w:t>
            </w:r>
          </w:p>
        </w:tc>
      </w:tr>
      <w:tr w:rsidR="0038460F" w:rsidRPr="0060421C" w14:paraId="70854BC0" w14:textId="77777777" w:rsidTr="00F16E23">
        <w:tc>
          <w:tcPr>
            <w:tcW w:w="4050" w:type="dxa"/>
          </w:tcPr>
          <w:p w14:paraId="07D6989D" w14:textId="77777777" w:rsidR="0038460F" w:rsidRPr="0060421C" w:rsidRDefault="0038460F" w:rsidP="00F16E23">
            <w:pPr>
              <w:pStyle w:val="TableText"/>
              <w:keepNext/>
              <w:spacing w:before="40" w:after="40"/>
            </w:pPr>
            <w:r w:rsidRPr="0060421C">
              <w:t>Mining</w:t>
            </w:r>
          </w:p>
        </w:tc>
        <w:tc>
          <w:tcPr>
            <w:tcW w:w="1620" w:type="dxa"/>
          </w:tcPr>
          <w:p w14:paraId="4EA960E8" w14:textId="77777777" w:rsidR="0038460F" w:rsidRPr="0060421C" w:rsidRDefault="0038460F" w:rsidP="00F16E23">
            <w:pPr>
              <w:pStyle w:val="TableText"/>
              <w:keepNext/>
              <w:tabs>
                <w:tab w:val="decimal" w:pos="27"/>
              </w:tabs>
              <w:spacing w:before="40" w:after="40"/>
              <w:jc w:val="right"/>
            </w:pPr>
            <w:r w:rsidRPr="0060421C">
              <w:t>2.4</w:t>
            </w:r>
          </w:p>
        </w:tc>
        <w:tc>
          <w:tcPr>
            <w:tcW w:w="1418" w:type="dxa"/>
          </w:tcPr>
          <w:p w14:paraId="52F772A5" w14:textId="77777777" w:rsidR="0038460F" w:rsidRPr="0060421C" w:rsidRDefault="0038460F" w:rsidP="00F16E23">
            <w:pPr>
              <w:pStyle w:val="TableText"/>
              <w:keepNext/>
              <w:tabs>
                <w:tab w:val="decimal" w:pos="244"/>
              </w:tabs>
              <w:spacing w:before="40" w:after="40"/>
              <w:jc w:val="right"/>
            </w:pPr>
            <w:r w:rsidRPr="0060421C">
              <w:t>1,117.9</w:t>
            </w:r>
          </w:p>
        </w:tc>
        <w:tc>
          <w:tcPr>
            <w:tcW w:w="1417" w:type="dxa"/>
          </w:tcPr>
          <w:p w14:paraId="79F614B5" w14:textId="77777777" w:rsidR="0038460F" w:rsidRPr="0060421C" w:rsidRDefault="0038460F" w:rsidP="00F16E23">
            <w:pPr>
              <w:pStyle w:val="TableText"/>
              <w:keepNext/>
              <w:tabs>
                <w:tab w:val="decimal" w:pos="147"/>
              </w:tabs>
              <w:spacing w:before="40" w:after="40"/>
              <w:jc w:val="right"/>
            </w:pPr>
            <w:r w:rsidRPr="0060421C">
              <w:t>19.6</w:t>
            </w:r>
          </w:p>
        </w:tc>
      </w:tr>
      <w:tr w:rsidR="0038460F" w:rsidRPr="0060421C" w14:paraId="4E0D5051" w14:textId="77777777" w:rsidTr="00F16E23">
        <w:tc>
          <w:tcPr>
            <w:tcW w:w="4050" w:type="dxa"/>
          </w:tcPr>
          <w:p w14:paraId="44B80973" w14:textId="77777777" w:rsidR="0038460F" w:rsidRPr="0060421C" w:rsidRDefault="0038460F" w:rsidP="00F16E23">
            <w:pPr>
              <w:pStyle w:val="TableText"/>
              <w:keepNext/>
              <w:spacing w:before="40" w:after="40"/>
            </w:pPr>
            <w:r w:rsidRPr="0060421C">
              <w:t xml:space="preserve">Building and construction </w:t>
            </w:r>
          </w:p>
        </w:tc>
        <w:tc>
          <w:tcPr>
            <w:tcW w:w="1620" w:type="dxa"/>
          </w:tcPr>
          <w:p w14:paraId="634F4EA0" w14:textId="77777777" w:rsidR="0038460F" w:rsidRPr="0060421C" w:rsidRDefault="0038460F" w:rsidP="00F16E23">
            <w:pPr>
              <w:pStyle w:val="TableText"/>
              <w:keepNext/>
              <w:tabs>
                <w:tab w:val="decimal" w:pos="27"/>
              </w:tabs>
              <w:spacing w:before="40" w:after="40"/>
              <w:jc w:val="right"/>
            </w:pPr>
            <w:r w:rsidRPr="0060421C">
              <w:t>30.5</w:t>
            </w:r>
          </w:p>
        </w:tc>
        <w:tc>
          <w:tcPr>
            <w:tcW w:w="1418" w:type="dxa"/>
          </w:tcPr>
          <w:p w14:paraId="748845C2" w14:textId="77777777" w:rsidR="0038460F" w:rsidRPr="0060421C" w:rsidRDefault="0038460F" w:rsidP="00F16E23">
            <w:pPr>
              <w:pStyle w:val="TableText"/>
              <w:keepNext/>
              <w:tabs>
                <w:tab w:val="decimal" w:pos="244"/>
              </w:tabs>
              <w:spacing w:before="40" w:after="40"/>
              <w:jc w:val="right"/>
            </w:pPr>
            <w:r w:rsidRPr="0060421C">
              <w:t>334.8</w:t>
            </w:r>
          </w:p>
        </w:tc>
        <w:tc>
          <w:tcPr>
            <w:tcW w:w="1417" w:type="dxa"/>
          </w:tcPr>
          <w:p w14:paraId="2AE92A6D" w14:textId="77777777" w:rsidR="0038460F" w:rsidRPr="0060421C" w:rsidRDefault="0038460F" w:rsidP="00F16E23">
            <w:pPr>
              <w:pStyle w:val="TableText"/>
              <w:keepNext/>
              <w:tabs>
                <w:tab w:val="decimal" w:pos="147"/>
              </w:tabs>
              <w:spacing w:before="40" w:after="40"/>
              <w:jc w:val="right"/>
            </w:pPr>
            <w:r w:rsidRPr="0060421C">
              <w:t>2.7</w:t>
            </w:r>
          </w:p>
        </w:tc>
      </w:tr>
      <w:tr w:rsidR="0038460F" w:rsidRPr="0060421C" w14:paraId="76F5FECE" w14:textId="77777777" w:rsidTr="00F16E23">
        <w:tc>
          <w:tcPr>
            <w:tcW w:w="4050" w:type="dxa"/>
          </w:tcPr>
          <w:p w14:paraId="6FCF2085" w14:textId="77777777" w:rsidR="0038460F" w:rsidRPr="0060421C" w:rsidRDefault="0038460F" w:rsidP="00F16E23">
            <w:pPr>
              <w:pStyle w:val="TableText"/>
              <w:keepNext/>
              <w:spacing w:before="40" w:after="40"/>
            </w:pPr>
            <w:r w:rsidRPr="0060421C">
              <w:t>Food processing</w:t>
            </w:r>
          </w:p>
        </w:tc>
        <w:tc>
          <w:tcPr>
            <w:tcW w:w="1620" w:type="dxa"/>
          </w:tcPr>
          <w:p w14:paraId="781F7A23" w14:textId="77777777" w:rsidR="0038460F" w:rsidRPr="0060421C" w:rsidRDefault="0038460F" w:rsidP="00F16E23">
            <w:pPr>
              <w:pStyle w:val="TableText"/>
              <w:keepNext/>
              <w:tabs>
                <w:tab w:val="decimal" w:pos="27"/>
              </w:tabs>
              <w:spacing w:before="40" w:after="40"/>
              <w:jc w:val="right"/>
            </w:pPr>
            <w:r w:rsidRPr="0060421C">
              <w:t>1.4</w:t>
            </w:r>
          </w:p>
        </w:tc>
        <w:tc>
          <w:tcPr>
            <w:tcW w:w="1418" w:type="dxa"/>
          </w:tcPr>
          <w:p w14:paraId="6A9D793D" w14:textId="77777777" w:rsidR="0038460F" w:rsidRPr="0060421C" w:rsidRDefault="0038460F" w:rsidP="00F16E23">
            <w:pPr>
              <w:pStyle w:val="TableText"/>
              <w:keepNext/>
              <w:tabs>
                <w:tab w:val="decimal" w:pos="244"/>
              </w:tabs>
              <w:spacing w:before="40" w:after="40"/>
              <w:jc w:val="right"/>
            </w:pPr>
            <w:r w:rsidRPr="0060421C">
              <w:t>475.6</w:t>
            </w:r>
          </w:p>
        </w:tc>
        <w:tc>
          <w:tcPr>
            <w:tcW w:w="1417" w:type="dxa"/>
          </w:tcPr>
          <w:p w14:paraId="364101FC" w14:textId="77777777" w:rsidR="0038460F" w:rsidRPr="0060421C" w:rsidRDefault="0038460F" w:rsidP="00F16E23">
            <w:pPr>
              <w:pStyle w:val="TableText"/>
              <w:keepNext/>
              <w:tabs>
                <w:tab w:val="decimal" w:pos="147"/>
              </w:tabs>
              <w:spacing w:before="40" w:after="40"/>
              <w:jc w:val="right"/>
            </w:pPr>
            <w:r w:rsidRPr="0060421C">
              <w:t>243.5</w:t>
            </w:r>
          </w:p>
        </w:tc>
      </w:tr>
      <w:tr w:rsidR="0038460F" w:rsidRPr="0060421C" w14:paraId="281D3257" w14:textId="77777777" w:rsidTr="00F16E23">
        <w:tc>
          <w:tcPr>
            <w:tcW w:w="4050" w:type="dxa"/>
          </w:tcPr>
          <w:p w14:paraId="563D1201" w14:textId="77777777" w:rsidR="0038460F" w:rsidRPr="0060421C" w:rsidRDefault="0038460F" w:rsidP="00F16E23">
            <w:pPr>
              <w:pStyle w:val="TableText"/>
              <w:keepNext/>
              <w:spacing w:before="40" w:after="40"/>
            </w:pPr>
            <w:r w:rsidRPr="0060421C">
              <w:t>Textiles</w:t>
            </w:r>
          </w:p>
        </w:tc>
        <w:tc>
          <w:tcPr>
            <w:tcW w:w="1620" w:type="dxa"/>
          </w:tcPr>
          <w:p w14:paraId="7FE8A33A" w14:textId="77777777" w:rsidR="0038460F" w:rsidRPr="0060421C" w:rsidRDefault="0038460F" w:rsidP="00F16E23">
            <w:pPr>
              <w:pStyle w:val="TableText"/>
              <w:keepNext/>
              <w:tabs>
                <w:tab w:val="decimal" w:pos="27"/>
              </w:tabs>
              <w:spacing w:before="40" w:after="40"/>
              <w:jc w:val="right"/>
            </w:pPr>
            <w:r w:rsidRPr="0060421C">
              <w:t>0.9</w:t>
            </w:r>
          </w:p>
        </w:tc>
        <w:tc>
          <w:tcPr>
            <w:tcW w:w="1418" w:type="dxa"/>
          </w:tcPr>
          <w:p w14:paraId="1ACAD35F" w14:textId="77777777" w:rsidR="0038460F" w:rsidRPr="0060421C" w:rsidRDefault="0038460F" w:rsidP="00F16E23">
            <w:pPr>
              <w:pStyle w:val="TableText"/>
              <w:keepNext/>
              <w:tabs>
                <w:tab w:val="decimal" w:pos="244"/>
              </w:tabs>
              <w:spacing w:before="40" w:after="40"/>
              <w:jc w:val="right"/>
            </w:pPr>
            <w:r w:rsidRPr="0060421C">
              <w:t>12.8</w:t>
            </w:r>
          </w:p>
        </w:tc>
        <w:tc>
          <w:tcPr>
            <w:tcW w:w="1417" w:type="dxa"/>
          </w:tcPr>
          <w:p w14:paraId="721B9B2E" w14:textId="77777777" w:rsidR="0038460F" w:rsidRPr="0060421C" w:rsidRDefault="0038460F" w:rsidP="00F16E23">
            <w:pPr>
              <w:pStyle w:val="TableText"/>
              <w:keepNext/>
              <w:tabs>
                <w:tab w:val="decimal" w:pos="147"/>
              </w:tabs>
              <w:spacing w:before="40" w:after="40"/>
              <w:jc w:val="right"/>
            </w:pPr>
            <w:r w:rsidRPr="0060421C">
              <w:t>158.6</w:t>
            </w:r>
          </w:p>
        </w:tc>
      </w:tr>
      <w:tr w:rsidR="0038460F" w:rsidRPr="0060421C" w14:paraId="45E186A3" w14:textId="77777777" w:rsidTr="00F16E23">
        <w:tc>
          <w:tcPr>
            <w:tcW w:w="4050" w:type="dxa"/>
          </w:tcPr>
          <w:p w14:paraId="03210C8D" w14:textId="77777777" w:rsidR="0038460F" w:rsidRPr="0060421C" w:rsidRDefault="0038460F" w:rsidP="00F16E23">
            <w:pPr>
              <w:pStyle w:val="TableText"/>
              <w:keepNext/>
              <w:spacing w:before="40" w:after="40"/>
            </w:pPr>
            <w:r w:rsidRPr="0060421C">
              <w:t>Wood, pulp, paper and printing</w:t>
            </w:r>
          </w:p>
        </w:tc>
        <w:tc>
          <w:tcPr>
            <w:tcW w:w="1620" w:type="dxa"/>
          </w:tcPr>
          <w:p w14:paraId="25EB21A4" w14:textId="77777777" w:rsidR="0038460F" w:rsidRPr="0060421C" w:rsidRDefault="0038460F" w:rsidP="00F16E23">
            <w:pPr>
              <w:pStyle w:val="TableText"/>
              <w:keepNext/>
              <w:tabs>
                <w:tab w:val="decimal" w:pos="27"/>
              </w:tabs>
              <w:spacing w:before="40" w:after="40"/>
              <w:jc w:val="right"/>
            </w:pPr>
            <w:r w:rsidRPr="0060421C">
              <w:t>1.1</w:t>
            </w:r>
          </w:p>
        </w:tc>
        <w:tc>
          <w:tcPr>
            <w:tcW w:w="1418" w:type="dxa"/>
          </w:tcPr>
          <w:p w14:paraId="48764EB2" w14:textId="77777777" w:rsidR="0038460F" w:rsidRPr="0060421C" w:rsidRDefault="0038460F" w:rsidP="00F16E23">
            <w:pPr>
              <w:pStyle w:val="TableText"/>
              <w:keepNext/>
              <w:tabs>
                <w:tab w:val="decimal" w:pos="244"/>
              </w:tabs>
              <w:spacing w:before="40" w:after="40"/>
              <w:jc w:val="right"/>
            </w:pPr>
            <w:r w:rsidRPr="0060421C">
              <w:t>199.5</w:t>
            </w:r>
          </w:p>
        </w:tc>
        <w:tc>
          <w:tcPr>
            <w:tcW w:w="1417" w:type="dxa"/>
          </w:tcPr>
          <w:p w14:paraId="7DB5E365" w14:textId="77777777" w:rsidR="0038460F" w:rsidRPr="0060421C" w:rsidRDefault="0038460F" w:rsidP="00F16E23">
            <w:pPr>
              <w:pStyle w:val="TableText"/>
              <w:keepNext/>
              <w:tabs>
                <w:tab w:val="decimal" w:pos="147"/>
              </w:tabs>
              <w:spacing w:before="40" w:after="40"/>
              <w:jc w:val="right"/>
            </w:pPr>
            <w:r w:rsidRPr="0060421C">
              <w:t>43.7</w:t>
            </w:r>
          </w:p>
        </w:tc>
      </w:tr>
      <w:tr w:rsidR="0038460F" w:rsidRPr="0060421C" w14:paraId="3606F193" w14:textId="77777777" w:rsidTr="00F16E23">
        <w:tc>
          <w:tcPr>
            <w:tcW w:w="4050" w:type="dxa"/>
          </w:tcPr>
          <w:p w14:paraId="77F6F93F" w14:textId="77777777" w:rsidR="0038460F" w:rsidRPr="0060421C" w:rsidRDefault="0038460F" w:rsidP="00F16E23">
            <w:pPr>
              <w:pStyle w:val="TableText"/>
              <w:spacing w:before="40" w:after="40"/>
            </w:pPr>
            <w:r w:rsidRPr="0060421C">
              <w:t>Chemicals</w:t>
            </w:r>
          </w:p>
        </w:tc>
        <w:tc>
          <w:tcPr>
            <w:tcW w:w="1620" w:type="dxa"/>
          </w:tcPr>
          <w:p w14:paraId="58C4E484" w14:textId="77777777" w:rsidR="0038460F" w:rsidRPr="0060421C" w:rsidRDefault="0038460F" w:rsidP="00F16E23">
            <w:pPr>
              <w:pStyle w:val="TableText"/>
              <w:tabs>
                <w:tab w:val="decimal" w:pos="27"/>
              </w:tabs>
              <w:spacing w:before="40" w:after="40"/>
              <w:jc w:val="right"/>
            </w:pPr>
            <w:r w:rsidRPr="0060421C">
              <w:t>0.2</w:t>
            </w:r>
          </w:p>
        </w:tc>
        <w:tc>
          <w:tcPr>
            <w:tcW w:w="1418" w:type="dxa"/>
          </w:tcPr>
          <w:p w14:paraId="147F74E5" w14:textId="77777777" w:rsidR="0038460F" w:rsidRPr="0060421C" w:rsidRDefault="0038460F" w:rsidP="00F16E23">
            <w:pPr>
              <w:pStyle w:val="TableText"/>
              <w:tabs>
                <w:tab w:val="decimal" w:pos="244"/>
              </w:tabs>
              <w:spacing w:before="40" w:after="40"/>
              <w:jc w:val="right"/>
            </w:pPr>
            <w:r w:rsidRPr="0060421C">
              <w:t>36.3</w:t>
            </w:r>
          </w:p>
        </w:tc>
        <w:tc>
          <w:tcPr>
            <w:tcW w:w="1417" w:type="dxa"/>
          </w:tcPr>
          <w:p w14:paraId="78B43FF7" w14:textId="77777777" w:rsidR="0038460F" w:rsidRPr="0060421C" w:rsidRDefault="0038460F" w:rsidP="00F16E23">
            <w:pPr>
              <w:pStyle w:val="TableText"/>
              <w:tabs>
                <w:tab w:val="decimal" w:pos="147"/>
              </w:tabs>
              <w:spacing w:before="40" w:after="40"/>
              <w:jc w:val="right"/>
            </w:pPr>
            <w:r w:rsidRPr="0060421C">
              <w:t>2.0</w:t>
            </w:r>
          </w:p>
        </w:tc>
      </w:tr>
      <w:tr w:rsidR="0038460F" w:rsidRPr="0060421C" w14:paraId="48261838" w14:textId="77777777" w:rsidTr="00F16E23">
        <w:tc>
          <w:tcPr>
            <w:tcW w:w="4050" w:type="dxa"/>
          </w:tcPr>
          <w:p w14:paraId="436E5E35" w14:textId="77777777" w:rsidR="0038460F" w:rsidRPr="0060421C" w:rsidRDefault="0038460F" w:rsidP="00F16E23">
            <w:pPr>
              <w:pStyle w:val="TableText"/>
              <w:spacing w:before="40" w:after="40"/>
            </w:pPr>
            <w:r w:rsidRPr="0060421C">
              <w:t>Non-metallic minerals</w:t>
            </w:r>
          </w:p>
        </w:tc>
        <w:tc>
          <w:tcPr>
            <w:tcW w:w="1620" w:type="dxa"/>
          </w:tcPr>
          <w:p w14:paraId="7C20EDDE" w14:textId="77777777" w:rsidR="0038460F" w:rsidRPr="0060421C" w:rsidRDefault="0038460F" w:rsidP="00F16E23">
            <w:pPr>
              <w:pStyle w:val="TableText"/>
              <w:tabs>
                <w:tab w:val="decimal" w:pos="27"/>
              </w:tabs>
              <w:spacing w:before="40" w:after="40"/>
              <w:jc w:val="right"/>
            </w:pPr>
            <w:r w:rsidRPr="0060421C">
              <w:t>0.7</w:t>
            </w:r>
          </w:p>
        </w:tc>
        <w:tc>
          <w:tcPr>
            <w:tcW w:w="1418" w:type="dxa"/>
          </w:tcPr>
          <w:p w14:paraId="16525CF4" w14:textId="77777777" w:rsidR="0038460F" w:rsidRPr="0060421C" w:rsidRDefault="0038460F" w:rsidP="00F16E23">
            <w:pPr>
              <w:pStyle w:val="TableText"/>
              <w:tabs>
                <w:tab w:val="decimal" w:pos="244"/>
              </w:tabs>
              <w:spacing w:before="40" w:after="40"/>
              <w:jc w:val="right"/>
            </w:pPr>
            <w:r w:rsidRPr="0060421C">
              <w:t>587.4</w:t>
            </w:r>
          </w:p>
        </w:tc>
        <w:tc>
          <w:tcPr>
            <w:tcW w:w="1417" w:type="dxa"/>
          </w:tcPr>
          <w:p w14:paraId="70C4C77E" w14:textId="77777777" w:rsidR="0038460F" w:rsidRPr="0060421C" w:rsidRDefault="0038460F" w:rsidP="00F16E23">
            <w:pPr>
              <w:pStyle w:val="TableText"/>
              <w:tabs>
                <w:tab w:val="decimal" w:pos="147"/>
              </w:tabs>
              <w:spacing w:before="40" w:after="40"/>
              <w:jc w:val="right"/>
            </w:pPr>
            <w:r w:rsidRPr="0060421C">
              <w:t>263.9</w:t>
            </w:r>
          </w:p>
        </w:tc>
      </w:tr>
      <w:tr w:rsidR="0038460F" w:rsidRPr="0060421C" w14:paraId="50CF4DE2" w14:textId="77777777" w:rsidTr="00F16E23">
        <w:tc>
          <w:tcPr>
            <w:tcW w:w="4050" w:type="dxa"/>
          </w:tcPr>
          <w:p w14:paraId="787C0876" w14:textId="77777777" w:rsidR="0038460F" w:rsidRPr="0060421C" w:rsidRDefault="0038460F" w:rsidP="00F16E23">
            <w:pPr>
              <w:pStyle w:val="TableText"/>
              <w:spacing w:before="40" w:after="40"/>
            </w:pPr>
            <w:r w:rsidRPr="0060421C">
              <w:t>Basic metals</w:t>
            </w:r>
          </w:p>
        </w:tc>
        <w:tc>
          <w:tcPr>
            <w:tcW w:w="1620" w:type="dxa"/>
          </w:tcPr>
          <w:p w14:paraId="495D9B31" w14:textId="77777777" w:rsidR="0038460F" w:rsidRPr="0060421C" w:rsidRDefault="0038460F" w:rsidP="00F16E23">
            <w:pPr>
              <w:pStyle w:val="TableText"/>
              <w:tabs>
                <w:tab w:val="decimal" w:pos="27"/>
              </w:tabs>
              <w:spacing w:before="40" w:after="40"/>
              <w:jc w:val="right"/>
            </w:pPr>
            <w:r w:rsidRPr="0060421C">
              <w:t>1.2</w:t>
            </w:r>
          </w:p>
        </w:tc>
        <w:tc>
          <w:tcPr>
            <w:tcW w:w="1418" w:type="dxa"/>
          </w:tcPr>
          <w:p w14:paraId="27177840" w14:textId="77777777" w:rsidR="0038460F" w:rsidRPr="0060421C" w:rsidRDefault="0038460F" w:rsidP="00F16E23">
            <w:pPr>
              <w:pStyle w:val="TableText"/>
              <w:tabs>
                <w:tab w:val="decimal" w:pos="244"/>
              </w:tabs>
              <w:spacing w:before="40" w:after="40"/>
              <w:jc w:val="right"/>
            </w:pPr>
            <w:r w:rsidRPr="0060421C">
              <w:t>88.1</w:t>
            </w:r>
          </w:p>
        </w:tc>
        <w:tc>
          <w:tcPr>
            <w:tcW w:w="1417" w:type="dxa"/>
          </w:tcPr>
          <w:p w14:paraId="4A6CF3BC" w14:textId="77777777" w:rsidR="0038460F" w:rsidRPr="0060421C" w:rsidRDefault="0038460F" w:rsidP="00F16E23">
            <w:pPr>
              <w:pStyle w:val="TableText"/>
              <w:tabs>
                <w:tab w:val="decimal" w:pos="147"/>
              </w:tabs>
              <w:spacing w:before="40" w:after="40"/>
              <w:jc w:val="right"/>
            </w:pPr>
            <w:r w:rsidRPr="0060421C">
              <w:t>0.4</w:t>
            </w:r>
          </w:p>
        </w:tc>
      </w:tr>
      <w:tr w:rsidR="0038460F" w:rsidRPr="0060421C" w14:paraId="0EB4AF7A" w14:textId="77777777" w:rsidTr="00F16E23">
        <w:tc>
          <w:tcPr>
            <w:tcW w:w="4050" w:type="dxa"/>
          </w:tcPr>
          <w:p w14:paraId="3BEBC818" w14:textId="77777777" w:rsidR="0038460F" w:rsidRPr="0060421C" w:rsidRDefault="0038460F" w:rsidP="00F16E23">
            <w:pPr>
              <w:pStyle w:val="TableText"/>
              <w:spacing w:before="40" w:after="40"/>
            </w:pPr>
            <w:r w:rsidRPr="0060421C">
              <w:t>Mechanical/electrical equipment</w:t>
            </w:r>
          </w:p>
        </w:tc>
        <w:tc>
          <w:tcPr>
            <w:tcW w:w="1620" w:type="dxa"/>
          </w:tcPr>
          <w:p w14:paraId="5F681742" w14:textId="77777777" w:rsidR="0038460F" w:rsidRPr="0060421C" w:rsidRDefault="0038460F" w:rsidP="00F16E23">
            <w:pPr>
              <w:pStyle w:val="TableText"/>
              <w:tabs>
                <w:tab w:val="decimal" w:pos="27"/>
              </w:tabs>
              <w:spacing w:before="40" w:after="40"/>
              <w:jc w:val="right"/>
            </w:pPr>
            <w:r w:rsidRPr="0060421C">
              <w:t>2.6</w:t>
            </w:r>
          </w:p>
        </w:tc>
        <w:tc>
          <w:tcPr>
            <w:tcW w:w="1418" w:type="dxa"/>
          </w:tcPr>
          <w:p w14:paraId="37513750" w14:textId="77777777" w:rsidR="0038460F" w:rsidRPr="0060421C" w:rsidRDefault="0038460F" w:rsidP="00F16E23">
            <w:pPr>
              <w:pStyle w:val="TableText"/>
              <w:tabs>
                <w:tab w:val="decimal" w:pos="244"/>
              </w:tabs>
              <w:spacing w:before="40" w:after="40"/>
              <w:jc w:val="right"/>
            </w:pPr>
            <w:r w:rsidRPr="0060421C">
              <w:t>23.6</w:t>
            </w:r>
          </w:p>
        </w:tc>
        <w:tc>
          <w:tcPr>
            <w:tcW w:w="1417" w:type="dxa"/>
          </w:tcPr>
          <w:p w14:paraId="41C3C6F6" w14:textId="77777777" w:rsidR="0038460F" w:rsidRPr="0060421C" w:rsidRDefault="0038460F" w:rsidP="00F16E23">
            <w:pPr>
              <w:pStyle w:val="TableText"/>
              <w:tabs>
                <w:tab w:val="decimal" w:pos="147"/>
              </w:tabs>
              <w:spacing w:before="40" w:after="40"/>
              <w:jc w:val="right"/>
            </w:pPr>
            <w:r w:rsidRPr="0060421C">
              <w:t>0.9</w:t>
            </w:r>
          </w:p>
        </w:tc>
      </w:tr>
      <w:tr w:rsidR="0038460F" w:rsidRPr="0060421C" w14:paraId="21ABA141" w14:textId="77777777" w:rsidTr="00F16E23">
        <w:tc>
          <w:tcPr>
            <w:tcW w:w="4050" w:type="dxa"/>
          </w:tcPr>
          <w:p w14:paraId="44BC8235" w14:textId="77777777" w:rsidR="0038460F" w:rsidRPr="0060421C" w:rsidRDefault="0038460F" w:rsidP="00F16E23">
            <w:pPr>
              <w:pStyle w:val="TableText"/>
              <w:spacing w:before="40" w:after="40"/>
            </w:pPr>
            <w:r w:rsidRPr="0060421C">
              <w:t>Industry unallocated</w:t>
            </w:r>
          </w:p>
        </w:tc>
        <w:tc>
          <w:tcPr>
            <w:tcW w:w="1620" w:type="dxa"/>
          </w:tcPr>
          <w:p w14:paraId="0EDC0F83" w14:textId="77777777" w:rsidR="0038460F" w:rsidRPr="0060421C" w:rsidRDefault="0038460F" w:rsidP="00F16E23">
            <w:pPr>
              <w:pStyle w:val="TableText"/>
              <w:tabs>
                <w:tab w:val="decimal" w:pos="27"/>
              </w:tabs>
              <w:spacing w:before="40" w:after="40"/>
              <w:jc w:val="right"/>
            </w:pPr>
            <w:r w:rsidRPr="0060421C">
              <w:t>0.7</w:t>
            </w:r>
          </w:p>
        </w:tc>
        <w:tc>
          <w:tcPr>
            <w:tcW w:w="1418" w:type="dxa"/>
          </w:tcPr>
          <w:p w14:paraId="2B4BC96A" w14:textId="77777777" w:rsidR="0038460F" w:rsidRPr="0060421C" w:rsidRDefault="0038460F" w:rsidP="00F16E23">
            <w:pPr>
              <w:pStyle w:val="TableText"/>
              <w:tabs>
                <w:tab w:val="decimal" w:pos="244"/>
              </w:tabs>
              <w:spacing w:before="40" w:after="40"/>
              <w:jc w:val="right"/>
            </w:pPr>
            <w:r w:rsidRPr="0060421C">
              <w:t>2.7</w:t>
            </w:r>
          </w:p>
        </w:tc>
        <w:tc>
          <w:tcPr>
            <w:tcW w:w="1417" w:type="dxa"/>
          </w:tcPr>
          <w:p w14:paraId="157AC386" w14:textId="77777777" w:rsidR="0038460F" w:rsidRPr="0060421C" w:rsidRDefault="0038460F" w:rsidP="00F16E23">
            <w:pPr>
              <w:pStyle w:val="TableText"/>
              <w:tabs>
                <w:tab w:val="decimal" w:pos="147"/>
              </w:tabs>
              <w:spacing w:before="40" w:after="40"/>
              <w:jc w:val="right"/>
            </w:pPr>
            <w:r w:rsidRPr="0060421C">
              <w:t>0.5</w:t>
            </w:r>
          </w:p>
        </w:tc>
      </w:tr>
    </w:tbl>
    <w:p w14:paraId="50560F95" w14:textId="77777777" w:rsidR="0038460F" w:rsidRPr="0060421C" w:rsidRDefault="0038460F" w:rsidP="0038460F">
      <w:pPr>
        <w:pStyle w:val="BodyText"/>
        <w:spacing w:before="240"/>
        <w:rPr>
          <w:rFonts w:cs="Calibri"/>
        </w:rPr>
      </w:pPr>
      <w:r w:rsidRPr="0060421C">
        <w:rPr>
          <w:rFonts w:cs="Calibri"/>
        </w:rPr>
        <w:t>By disaggregating into categories, more accurate estimates of stationary versus mobile combustion for diesel were also able to be made, resulting in small changes to the emissions from manufacturing industries and construction.</w:t>
      </w:r>
    </w:p>
    <w:p w14:paraId="10A0A039" w14:textId="77777777" w:rsidR="0038460F" w:rsidRPr="0060421C" w:rsidRDefault="0038460F" w:rsidP="0038460F">
      <w:pPr>
        <w:pStyle w:val="BodyText"/>
        <w:rPr>
          <w:rFonts w:cs="Calibri"/>
        </w:rPr>
      </w:pPr>
      <w:r w:rsidRPr="0060421C">
        <w:rPr>
          <w:rFonts w:cs="Calibri"/>
        </w:rPr>
        <w:t xml:space="preserve">Disaggregating the </w:t>
      </w:r>
      <w:r w:rsidRPr="0060421C">
        <w:rPr>
          <w:rFonts w:cs="Calibri"/>
          <w:i/>
        </w:rPr>
        <w:t>Manufacturing industries and construction</w:t>
      </w:r>
      <w:r w:rsidRPr="0060421C">
        <w:rPr>
          <w:rFonts w:cs="Calibri"/>
        </w:rPr>
        <w:t xml:space="preserve"> category for solid fuels, solid biomass, gasoline and diesel has led to a significant decrease in the </w:t>
      </w:r>
      <w:r w:rsidRPr="0060421C">
        <w:rPr>
          <w:rFonts w:cs="Calibri"/>
          <w:i/>
        </w:rPr>
        <w:t>Other – not specified</w:t>
      </w:r>
      <w:r w:rsidRPr="0060421C">
        <w:rPr>
          <w:rFonts w:cs="Calibri"/>
        </w:rPr>
        <w:t xml:space="preserve"> category (1.A.2.g) under </w:t>
      </w:r>
      <w:r w:rsidRPr="0060421C">
        <w:rPr>
          <w:rFonts w:cs="Calibri"/>
          <w:i/>
        </w:rPr>
        <w:t>Manufacturing industries and construction</w:t>
      </w:r>
      <w:r w:rsidRPr="0060421C">
        <w:rPr>
          <w:rFonts w:cs="Calibri"/>
        </w:rPr>
        <w:t>. The proportions are shown in figure 3.2.8 and figure 3.2.9.</w:t>
      </w:r>
    </w:p>
    <w:p w14:paraId="7D2F5D0E" w14:textId="2A7E7D90" w:rsidR="0038460F" w:rsidRPr="0060421C" w:rsidRDefault="0038460F" w:rsidP="0038460F">
      <w:pPr>
        <w:pStyle w:val="Figure"/>
        <w:spacing w:after="0"/>
        <w:rPr>
          <w:rFonts w:cs="Calibri"/>
        </w:rPr>
      </w:pPr>
      <w:bookmarkStart w:id="351" w:name="_Ref445300349"/>
      <w:bookmarkStart w:id="352" w:name="_Toc36292777"/>
      <w:bookmarkStart w:id="353" w:name="_Toc321399330"/>
      <w:bookmarkStart w:id="354" w:name="_Toc384582858"/>
      <w:bookmarkStart w:id="355" w:name="_Toc443060818"/>
      <w:bookmarkStart w:id="356" w:name="_Toc447275675"/>
      <w:bookmarkStart w:id="357" w:name="_Toc481751993"/>
      <w:bookmarkStart w:id="358" w:name="_Toc68786642"/>
      <w:bookmarkStart w:id="359" w:name="_Toc95834077"/>
      <w:bookmarkStart w:id="360" w:name="_Toc164154013"/>
      <w:bookmarkStart w:id="361" w:name="_Toc194674846"/>
      <w:bookmarkStart w:id="362" w:name="_Toc226200673"/>
      <w:r w:rsidRPr="0060421C">
        <w:t>Figure 3.2.</w:t>
      </w:r>
      <w:r w:rsidRPr="0060421C">
        <w:fldChar w:fldCharType="begin"/>
      </w:r>
      <w:r w:rsidRPr="0060421C">
        <w:instrText>SEQ Figure \* ARABIC \s 2</w:instrText>
      </w:r>
      <w:r w:rsidRPr="0060421C">
        <w:fldChar w:fldCharType="separate"/>
      </w:r>
      <w:r w:rsidR="00831581">
        <w:rPr>
          <w:noProof/>
        </w:rPr>
        <w:t>8</w:t>
      </w:r>
      <w:r w:rsidRPr="0060421C">
        <w:fldChar w:fldCharType="end"/>
      </w:r>
      <w:bookmarkEnd w:id="351"/>
      <w:r w:rsidRPr="0060421C">
        <w:t xml:space="preserve"> </w:t>
      </w:r>
      <w:r w:rsidRPr="0060421C">
        <w:tab/>
        <w:t xml:space="preserve">Proportions used for </w:t>
      </w:r>
      <w:r w:rsidRPr="0060421C">
        <w:rPr>
          <w:i/>
          <w:iCs/>
        </w:rPr>
        <w:t>Manufacturing industries and construction</w:t>
      </w:r>
      <w:r w:rsidRPr="0060421C">
        <w:t xml:space="preserve"> category – Gasoline, from 1990 to </w:t>
      </w:r>
      <w:bookmarkEnd w:id="352"/>
      <w:bookmarkEnd w:id="353"/>
      <w:bookmarkEnd w:id="354"/>
      <w:bookmarkEnd w:id="355"/>
      <w:bookmarkEnd w:id="356"/>
      <w:bookmarkEnd w:id="357"/>
      <w:bookmarkEnd w:id="358"/>
      <w:bookmarkEnd w:id="359"/>
      <w:bookmarkEnd w:id="360"/>
      <w:bookmarkEnd w:id="361"/>
      <w:r w:rsidRPr="0060421C">
        <w:t>2024</w:t>
      </w:r>
      <w:bookmarkEnd w:id="362"/>
    </w:p>
    <w:p w14:paraId="1D11E4B0" w14:textId="77777777" w:rsidR="0038460F" w:rsidRPr="0060421C" w:rsidRDefault="0038460F" w:rsidP="0038460F">
      <w:pPr>
        <w:pStyle w:val="BodyText"/>
      </w:pPr>
      <w:r w:rsidRPr="0060421C">
        <w:rPr>
          <w:noProof/>
        </w:rPr>
        <w:drawing>
          <wp:inline distT="0" distB="0" distL="0" distR="0" wp14:anchorId="3D552597" wp14:editId="068FE34E">
            <wp:extent cx="5367131" cy="2528613"/>
            <wp:effectExtent l="0" t="0" r="5080" b="5080"/>
            <wp:docPr id="603459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59137" name="Picture 7"/>
                    <pic:cNvPicPr/>
                  </pic:nvPicPr>
                  <pic:blipFill>
                    <a:blip r:embed="rId65">
                      <a:extLst>
                        <a:ext uri="{96DAC541-7B7A-43D3-8B79-37D633B846F1}">
                          <asvg:svgBlip xmlns:asvg="http://schemas.microsoft.com/office/drawing/2016/SVG/main" r:embed="rId66"/>
                        </a:ext>
                      </a:extLst>
                    </a:blip>
                    <a:srcRect t="2887" b="2887"/>
                    <a:stretch>
                      <a:fillRect/>
                    </a:stretch>
                  </pic:blipFill>
                  <pic:spPr bwMode="auto">
                    <a:xfrm>
                      <a:off x="0" y="0"/>
                      <a:ext cx="5367131" cy="2528613"/>
                    </a:xfrm>
                    <a:prstGeom prst="rect">
                      <a:avLst/>
                    </a:prstGeom>
                    <a:extLst>
                      <a:ext uri="{53640926-AAD7-44D8-BBD7-CCE9431645EC}">
                        <a14:shadowObscured xmlns:a14="http://schemas.microsoft.com/office/drawing/2010/main"/>
                      </a:ext>
                    </a:extLst>
                  </pic:spPr>
                </pic:pic>
              </a:graphicData>
            </a:graphic>
          </wp:inline>
        </w:drawing>
      </w:r>
    </w:p>
    <w:p w14:paraId="527EFE7E" w14:textId="0331CE3E" w:rsidR="0038460F" w:rsidRPr="0060421C" w:rsidRDefault="0038460F" w:rsidP="0038460F">
      <w:pPr>
        <w:pStyle w:val="Figure"/>
        <w:spacing w:before="240" w:after="80"/>
      </w:pPr>
      <w:bookmarkStart w:id="363" w:name="_Ref445300362"/>
      <w:bookmarkStart w:id="364" w:name="_Toc321399331"/>
      <w:bookmarkStart w:id="365" w:name="_Toc384582859"/>
      <w:bookmarkStart w:id="366" w:name="_Toc443060819"/>
      <w:bookmarkStart w:id="367" w:name="_Toc447275676"/>
      <w:bookmarkStart w:id="368" w:name="_Toc481751994"/>
      <w:bookmarkStart w:id="369" w:name="_Toc36292778"/>
      <w:bookmarkStart w:id="370" w:name="_Toc68786643"/>
      <w:bookmarkStart w:id="371" w:name="_Toc95834078"/>
      <w:bookmarkStart w:id="372" w:name="_Toc164154014"/>
      <w:bookmarkStart w:id="373" w:name="_Toc194674847"/>
      <w:bookmarkStart w:id="374" w:name="_Toc226200674"/>
      <w:r w:rsidRPr="0060421C">
        <w:t>Figure 3.2.</w:t>
      </w:r>
      <w:r w:rsidRPr="0060421C">
        <w:fldChar w:fldCharType="begin"/>
      </w:r>
      <w:r w:rsidRPr="0060421C">
        <w:instrText>SEQ Figure \* ARABIC \s 2</w:instrText>
      </w:r>
      <w:r w:rsidRPr="0060421C">
        <w:fldChar w:fldCharType="separate"/>
      </w:r>
      <w:r w:rsidR="00831581">
        <w:rPr>
          <w:noProof/>
        </w:rPr>
        <w:t>9</w:t>
      </w:r>
      <w:r w:rsidRPr="0060421C">
        <w:fldChar w:fldCharType="end"/>
      </w:r>
      <w:bookmarkEnd w:id="363"/>
      <w:r w:rsidRPr="0060421C">
        <w:t xml:space="preserve"> </w:t>
      </w:r>
      <w:r w:rsidRPr="0060421C">
        <w:tab/>
      </w:r>
      <w:bookmarkStart w:id="375" w:name="_Hlk66695051"/>
      <w:r w:rsidRPr="0060421C">
        <w:t xml:space="preserve">Proportions used for </w:t>
      </w:r>
      <w:r w:rsidRPr="0060421C">
        <w:rPr>
          <w:i/>
          <w:iCs/>
        </w:rPr>
        <w:t>Manufacturing industries and construction</w:t>
      </w:r>
      <w:r w:rsidRPr="0060421C">
        <w:t xml:space="preserve"> category – Diesel,</w:t>
      </w:r>
      <w:bookmarkEnd w:id="364"/>
      <w:bookmarkEnd w:id="365"/>
      <w:bookmarkEnd w:id="366"/>
      <w:bookmarkEnd w:id="367"/>
      <w:bookmarkEnd w:id="368"/>
      <w:r w:rsidRPr="0060421C">
        <w:t> from 1990 to </w:t>
      </w:r>
      <w:bookmarkEnd w:id="369"/>
      <w:bookmarkEnd w:id="370"/>
      <w:bookmarkEnd w:id="371"/>
      <w:bookmarkEnd w:id="372"/>
      <w:bookmarkEnd w:id="373"/>
      <w:bookmarkEnd w:id="375"/>
      <w:r w:rsidRPr="0060421C">
        <w:t>2024</w:t>
      </w:r>
      <w:bookmarkEnd w:id="374"/>
    </w:p>
    <w:p w14:paraId="6CF5F758" w14:textId="77777777" w:rsidR="0038460F" w:rsidRPr="0060421C" w:rsidRDefault="0038460F" w:rsidP="0038460F">
      <w:pPr>
        <w:pStyle w:val="BodyText"/>
        <w:rPr>
          <w:rFonts w:cs="Calibri"/>
        </w:rPr>
      </w:pPr>
      <w:r w:rsidRPr="0060421C">
        <w:rPr>
          <w:rFonts w:cs="Calibri"/>
          <w:noProof/>
        </w:rPr>
        <w:drawing>
          <wp:inline distT="0" distB="0" distL="0" distR="0" wp14:anchorId="590FEBD2" wp14:editId="52D6B1E0">
            <wp:extent cx="5400675" cy="2505160"/>
            <wp:effectExtent l="0" t="0" r="0" b="9525"/>
            <wp:docPr id="8409846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84612" name="Picture 8"/>
                    <pic:cNvPicPr/>
                  </pic:nvPicPr>
                  <pic:blipFill>
                    <a:blip r:embed="rId67">
                      <a:extLst>
                        <a:ext uri="{96DAC541-7B7A-43D3-8B79-37D633B846F1}">
                          <asvg:svgBlip xmlns:asvg="http://schemas.microsoft.com/office/drawing/2016/SVG/main" r:embed="rId68"/>
                        </a:ext>
                      </a:extLst>
                    </a:blip>
                    <a:srcRect t="3614" b="3614"/>
                    <a:stretch>
                      <a:fillRect/>
                    </a:stretch>
                  </pic:blipFill>
                  <pic:spPr bwMode="auto">
                    <a:xfrm>
                      <a:off x="0" y="0"/>
                      <a:ext cx="5400675" cy="2505160"/>
                    </a:xfrm>
                    <a:prstGeom prst="rect">
                      <a:avLst/>
                    </a:prstGeom>
                    <a:extLst>
                      <a:ext uri="{53640926-AAD7-44D8-BBD7-CCE9431645EC}">
                        <a14:shadowObscured xmlns:a14="http://schemas.microsoft.com/office/drawing/2010/main"/>
                      </a:ext>
                    </a:extLst>
                  </pic:spPr>
                </pic:pic>
              </a:graphicData>
            </a:graphic>
          </wp:inline>
        </w:drawing>
      </w:r>
    </w:p>
    <w:p w14:paraId="331EE76D" w14:textId="77777777" w:rsidR="0038460F" w:rsidRPr="0060421C" w:rsidRDefault="0038460F" w:rsidP="0038460F">
      <w:pPr>
        <w:pStyle w:val="Heading5"/>
        <w:spacing w:before="120"/>
      </w:pPr>
      <w:r w:rsidRPr="0060421C">
        <w:t>Gaseous fuels</w:t>
      </w:r>
    </w:p>
    <w:p w14:paraId="43A10F33" w14:textId="77777777" w:rsidR="0038460F" w:rsidRPr="0060421C" w:rsidRDefault="0038460F" w:rsidP="0038460F">
      <w:pPr>
        <w:pStyle w:val="BodyText"/>
      </w:pPr>
      <w:r w:rsidRPr="0060421C">
        <w:t xml:space="preserve">Annual natural gas consumption statistics are published by MBIE (2025a). In 2011, MBIE undertook a review of the allocation of natural gas consumption data to address time-series discontinuities in sectoral breakdowns prior to </w:t>
      </w:r>
      <w:r w:rsidRPr="0060421C">
        <w:rPr>
          <w:spacing w:val="-2"/>
        </w:rPr>
        <w:t>2006. The review identified inconsistencies in sector reporting and gaps in sectoral data. Discrepancies from 2003 to 2005 were attributed to change</w:t>
      </w:r>
      <w:r w:rsidRPr="0060421C">
        <w:t>s in survey design, while inconsistencies and missing data before 2003 were reworked and re-estimated. These missing data represented around 40 percent of total natural gas use; total consumption was not altered, with adjustments applied only to sectoral allocations.</w:t>
      </w:r>
    </w:p>
    <w:p w14:paraId="14D0DFC3" w14:textId="77777777" w:rsidR="0038460F" w:rsidRPr="0060421C" w:rsidRDefault="0038460F" w:rsidP="0038460F">
      <w:pPr>
        <w:pStyle w:val="BodyText"/>
      </w:pPr>
      <w:r w:rsidRPr="0060421C">
        <w:t>Where necessary, new estimates of gas consumption were made, depending on data availability. The chosen data source in order of preference was as follows.</w:t>
      </w:r>
    </w:p>
    <w:p w14:paraId="2C24F337" w14:textId="03AB0EFE" w:rsidR="0038460F" w:rsidRPr="0060421C" w:rsidRDefault="0038460F" w:rsidP="0038460F">
      <w:pPr>
        <w:pStyle w:val="Bullet"/>
      </w:pPr>
      <w:r w:rsidRPr="0060421C">
        <w:t>Data from major consumers of natural gas were used if available because these data are</w:t>
      </w:r>
      <w:r w:rsidR="0008536B">
        <w:t> </w:t>
      </w:r>
      <w:r w:rsidRPr="0060421C">
        <w:t>more reliable and accurate, and more easily classified by sector.</w:t>
      </w:r>
    </w:p>
    <w:p w14:paraId="20934160" w14:textId="77777777" w:rsidR="0038460F" w:rsidRPr="0060421C" w:rsidRDefault="0038460F" w:rsidP="0038460F">
      <w:pPr>
        <w:pStyle w:val="Bullet"/>
      </w:pPr>
      <w:r w:rsidRPr="0060421C">
        <w:t>Where these data were not available, natural gas retailers’ reported sales by sector were used.</w:t>
      </w:r>
    </w:p>
    <w:p w14:paraId="4C3FC2C9" w14:textId="77777777" w:rsidR="0038460F" w:rsidRPr="0060421C" w:rsidRDefault="0038460F" w:rsidP="0038460F">
      <w:pPr>
        <w:pStyle w:val="Bullet"/>
      </w:pPr>
      <w:r w:rsidRPr="0060421C">
        <w:t xml:space="preserve">If these data were also not available, then estimates based on regressions using GDP data were used. GDP output and production data were used along with assumptions about energy intensity and consumption of categories (to the most detailed level possible). </w:t>
      </w:r>
    </w:p>
    <w:p w14:paraId="45207ABA" w14:textId="77777777" w:rsidR="0038460F" w:rsidRPr="0060421C" w:rsidRDefault="0038460F" w:rsidP="0038460F">
      <w:pPr>
        <w:pStyle w:val="BodyText"/>
      </w:pPr>
      <w:r w:rsidRPr="0060421C">
        <w:t xml:space="preserve">Several categories are represented by only one or two major natural gas consumers: for some of these cases, data from major consumers were directly used. Where there are industries with many major natural gas consumers, gas retailers’ reported sales by sector were used, though these can, at times, exhibit data quality issues. </w:t>
      </w:r>
    </w:p>
    <w:p w14:paraId="0A110605" w14:textId="77777777" w:rsidR="0038460F" w:rsidRPr="0060421C" w:rsidRDefault="0038460F" w:rsidP="0038460F">
      <w:pPr>
        <w:pStyle w:val="BodyText"/>
      </w:pPr>
      <w:r w:rsidRPr="0060421C">
        <w:t>A review was also undertaken in 2014 by MBIE covering data going back to 1999. Several sales previously identified as wholesale sales (i.e., gas bought to be on-sold) were, in fact, sold to consumers, but at ‘wholesale’ (lower) prices. Work was done to correct the classifications of these sales, based on customer name, to reflect their relevant sectors.</w:t>
      </w:r>
    </w:p>
    <w:p w14:paraId="4A209621" w14:textId="77777777" w:rsidR="0038460F" w:rsidRPr="0060421C" w:rsidRDefault="0038460F" w:rsidP="0038460F">
      <w:pPr>
        <w:pStyle w:val="Heading5"/>
      </w:pPr>
      <w:r w:rsidRPr="0060421C">
        <w:t>Other fossil fuels</w:t>
      </w:r>
    </w:p>
    <w:p w14:paraId="5F2C3F30" w14:textId="77777777" w:rsidR="0038460F" w:rsidRPr="0060421C" w:rsidRDefault="0038460F" w:rsidP="0038460F">
      <w:pPr>
        <w:pStyle w:val="BodyText"/>
        <w:spacing w:before="100" w:after="100"/>
        <w:rPr>
          <w:rFonts w:cs="Calibri"/>
        </w:rPr>
      </w:pPr>
      <w:r w:rsidRPr="0060421C">
        <w:rPr>
          <w:rFonts w:cs="Calibri"/>
          <w:spacing w:val="-2"/>
        </w:rPr>
        <w:t>This category includes waste oil and tyre-derived fuel. Activity data are sourced from the NZ ETS</w:t>
      </w:r>
      <w:r w:rsidRPr="0060421C">
        <w:rPr>
          <w:rFonts w:cs="Calibri"/>
        </w:rPr>
        <w:t xml:space="preserve">. </w:t>
      </w:r>
      <w:r w:rsidRPr="0060421C">
        <w:rPr>
          <w:lang w:eastAsia="en-GB"/>
        </w:rPr>
        <w:t>A Tier 2 methodology was used to estimate CO</w:t>
      </w:r>
      <w:r w:rsidRPr="0060421C">
        <w:rPr>
          <w:vertAlign w:val="subscript"/>
          <w:lang w:eastAsia="en-GB"/>
        </w:rPr>
        <w:t>2</w:t>
      </w:r>
      <w:r w:rsidRPr="0060421C">
        <w:rPr>
          <w:lang w:eastAsia="en-GB"/>
        </w:rPr>
        <w:t xml:space="preserve"> emissions based on an emission factor of 1</w:t>
      </w:r>
      <w:r w:rsidRPr="0060421C">
        <w:t>,668 kilograms CO</w:t>
      </w:r>
      <w:r w:rsidRPr="0060421C">
        <w:rPr>
          <w:vertAlign w:val="subscript"/>
        </w:rPr>
        <w:t>2</w:t>
      </w:r>
      <w:r w:rsidRPr="0060421C">
        <w:t xml:space="preserve"> per tonne (the Annex I average), while Tier 1 methodologies</w:t>
      </w:r>
      <w:r w:rsidRPr="0060421C">
        <w:rPr>
          <w:lang w:eastAsia="en-GB"/>
        </w:rPr>
        <w:t xml:space="preserve"> were used for CH</w:t>
      </w:r>
      <w:r w:rsidRPr="0060421C">
        <w:rPr>
          <w:vertAlign w:val="subscript"/>
          <w:lang w:eastAsia="en-GB"/>
        </w:rPr>
        <w:t xml:space="preserve">4 </w:t>
      </w:r>
      <w:r w:rsidRPr="0060421C">
        <w:rPr>
          <w:lang w:eastAsia="en-GB"/>
        </w:rPr>
        <w:t>and N</w:t>
      </w:r>
      <w:r w:rsidRPr="0060421C">
        <w:rPr>
          <w:vertAlign w:val="subscript"/>
          <w:lang w:eastAsia="en-GB"/>
        </w:rPr>
        <w:t>2</w:t>
      </w:r>
      <w:r w:rsidRPr="0060421C">
        <w:rPr>
          <w:lang w:eastAsia="en-GB"/>
        </w:rPr>
        <w:t>O based on default IPCC (2006) emission factors for industrial wastes.</w:t>
      </w:r>
    </w:p>
    <w:p w14:paraId="3F80EE0D" w14:textId="77777777" w:rsidR="0038460F" w:rsidRPr="0060421C" w:rsidRDefault="0038460F" w:rsidP="0038460F">
      <w:pPr>
        <w:pStyle w:val="Heading5"/>
        <w:rPr>
          <w:lang w:eastAsia="en-GB"/>
        </w:rPr>
      </w:pPr>
      <w:r w:rsidRPr="0060421C">
        <w:rPr>
          <w:lang w:eastAsia="en-GB"/>
        </w:rPr>
        <w:t>1.A.2.a Iron and steel</w:t>
      </w:r>
    </w:p>
    <w:p w14:paraId="50394BDA"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Activity data for coal used in iron and steel production are reported to MBIE by New Zealand Steel Limited. A considerable amount of coal is used in the production of iron. Most of the coal is used in the direct reduction process to remove oxygen from iron-sand. However, all emissions from the use of coal are reported under the IPPU sector because the primary purpose of the coal is to produce iron (IPCC, 2006). A small amount of </w:t>
      </w:r>
      <w:r w:rsidRPr="0060421C">
        <w:rPr>
          <w:rFonts w:cs="Calibri"/>
        </w:rPr>
        <w:t xml:space="preserve">natural </w:t>
      </w:r>
      <w:r w:rsidRPr="0060421C">
        <w:rPr>
          <w:rFonts w:cs="Calibri"/>
          <w:lang w:eastAsia="en-GB"/>
        </w:rPr>
        <w:t xml:space="preserve">gas is used in the production of iron and steel to provide energy for the process: this is reported under the Energy sector in category 1.A.2.a </w:t>
      </w:r>
      <w:r w:rsidRPr="0060421C">
        <w:rPr>
          <w:rFonts w:cs="Calibri"/>
          <w:i/>
          <w:iCs/>
          <w:lang w:eastAsia="en-GB"/>
        </w:rPr>
        <w:t>Iron and steel</w:t>
      </w:r>
      <w:r w:rsidRPr="0060421C">
        <w:rPr>
          <w:rFonts w:cs="Calibri"/>
          <w:lang w:eastAsia="en-GB"/>
        </w:rPr>
        <w:t>.</w:t>
      </w:r>
    </w:p>
    <w:p w14:paraId="411FCFF3" w14:textId="77777777" w:rsidR="0038460F" w:rsidRPr="0060421C" w:rsidRDefault="0038460F" w:rsidP="0038460F">
      <w:pPr>
        <w:pStyle w:val="Heading5"/>
        <w:rPr>
          <w:lang w:eastAsia="en-GB"/>
        </w:rPr>
      </w:pPr>
      <w:r w:rsidRPr="0060421C">
        <w:rPr>
          <w:lang w:eastAsia="en-GB"/>
        </w:rPr>
        <w:t>1.A.2.c Chemicals</w:t>
      </w:r>
    </w:p>
    <w:p w14:paraId="7C796A60" w14:textId="77777777" w:rsidR="0038460F" w:rsidRPr="0060421C" w:rsidRDefault="0038460F" w:rsidP="0038460F">
      <w:pPr>
        <w:pStyle w:val="BodyText"/>
        <w:spacing w:after="100"/>
        <w:rPr>
          <w:lang w:eastAsia="en-GB"/>
        </w:rPr>
      </w:pPr>
      <w:r w:rsidRPr="0060421C">
        <w:rPr>
          <w:lang w:eastAsia="en-GB"/>
        </w:rPr>
        <w:t xml:space="preserve">The </w:t>
      </w:r>
      <w:r w:rsidRPr="0060421C">
        <w:rPr>
          <w:i/>
          <w:lang w:eastAsia="en-GB"/>
        </w:rPr>
        <w:t>Chemicals</w:t>
      </w:r>
      <w:r w:rsidRPr="0060421C">
        <w:rPr>
          <w:lang w:eastAsia="en-GB"/>
        </w:rPr>
        <w:t xml:space="preserve"> category includes estimates from the following </w:t>
      </w:r>
      <w:r w:rsidRPr="0060421C">
        <w:t>sub</w:t>
      </w:r>
      <w:r w:rsidRPr="0060421C">
        <w:rPr>
          <w:lang w:eastAsia="en-GB"/>
        </w:rPr>
        <w:t>-industries:</w:t>
      </w:r>
    </w:p>
    <w:p w14:paraId="58F2E18E" w14:textId="77777777" w:rsidR="0038460F" w:rsidRPr="0060421C" w:rsidRDefault="0038460F" w:rsidP="0038460F">
      <w:pPr>
        <w:pStyle w:val="Bullet"/>
        <w:spacing w:after="100"/>
      </w:pPr>
      <w:r w:rsidRPr="0060421C">
        <w:t>industrial gases and synthetic resin</w:t>
      </w:r>
    </w:p>
    <w:p w14:paraId="78C3E803" w14:textId="77777777" w:rsidR="0038460F" w:rsidRPr="0060421C" w:rsidRDefault="0038460F" w:rsidP="0038460F">
      <w:pPr>
        <w:pStyle w:val="Bullet"/>
        <w:spacing w:after="100"/>
      </w:pPr>
      <w:r w:rsidRPr="0060421C">
        <w:t>organic industrial chemicals</w:t>
      </w:r>
    </w:p>
    <w:p w14:paraId="0EA8BCB8" w14:textId="77777777" w:rsidR="0038460F" w:rsidRPr="0060421C" w:rsidRDefault="0038460F" w:rsidP="0038460F">
      <w:pPr>
        <w:pStyle w:val="Bullet"/>
        <w:spacing w:after="100"/>
      </w:pPr>
      <w:r w:rsidRPr="0060421C">
        <w:t>inorganic industrial chemicals, other chemical production, rubber and plastic products.</w:t>
      </w:r>
    </w:p>
    <w:p w14:paraId="7A5C9B9B" w14:textId="77777777" w:rsidR="0038460F" w:rsidRPr="0060421C" w:rsidRDefault="0038460F" w:rsidP="0038460F">
      <w:pPr>
        <w:pStyle w:val="BodyText"/>
        <w:spacing w:after="100"/>
      </w:pPr>
      <w:r w:rsidRPr="0060421C">
        <w:t xml:space="preserve">The quantity of natural gas used for the production of methanol and ammonia (and, subsequently, urea) has been split into energy-use gas (which is included in category 1.A.2.c </w:t>
      </w:r>
      <w:r w:rsidRPr="0060421C">
        <w:rPr>
          <w:i/>
          <w:iCs/>
        </w:rPr>
        <w:t>Chemicals</w:t>
      </w:r>
      <w:r w:rsidRPr="0060421C">
        <w:t>) and feedstock gas (which is included in the IPPU sector under 2.B.8.a for methanol and 2.B.1 for ammonia). See chapter 4 for further information.</w:t>
      </w:r>
    </w:p>
    <w:p w14:paraId="4DCA956D" w14:textId="77777777" w:rsidR="0038460F" w:rsidRPr="0060421C" w:rsidRDefault="0038460F" w:rsidP="0038460F">
      <w:pPr>
        <w:pStyle w:val="BodyText"/>
        <w:spacing w:after="100"/>
      </w:pPr>
      <w:r w:rsidRPr="0060421C">
        <w:t>Activity data for methanol production are provided directly by Methanex New Zealand. For a</w:t>
      </w:r>
      <w:r>
        <w:t> </w:t>
      </w:r>
      <w:r w:rsidRPr="0060421C">
        <w:t>detailed description of historical trends in methanol production, refer to section 3.1.5.</w:t>
      </w:r>
    </w:p>
    <w:p w14:paraId="6FD343D9" w14:textId="77777777" w:rsidR="0038460F" w:rsidRPr="0060421C" w:rsidRDefault="0038460F" w:rsidP="0038460F">
      <w:pPr>
        <w:pStyle w:val="BodyText"/>
        <w:spacing w:after="100"/>
      </w:pPr>
      <w:r w:rsidRPr="0060421C">
        <w:t xml:space="preserve">Methanex New Zealand is the sole methanol producer in New Zealand and considers its natural gas </w:t>
      </w:r>
      <w:r w:rsidRPr="0060421C">
        <w:rPr>
          <w:spacing w:val="-2"/>
        </w:rPr>
        <w:t xml:space="preserve">consumption to be commercially sensitive information. </w:t>
      </w:r>
      <w:r w:rsidRPr="0060421C">
        <w:rPr>
          <w:spacing w:val="-2"/>
          <w:lang w:eastAsia="en-GB"/>
        </w:rPr>
        <w:t>New Zealand</w:t>
      </w:r>
      <w:r w:rsidRPr="0060421C">
        <w:rPr>
          <w:spacing w:val="-2"/>
        </w:rPr>
        <w:t xml:space="preserve"> takes a Tier 2 (IPCC, 2006</w:t>
      </w:r>
      <w:r w:rsidRPr="0060421C">
        <w:t xml:space="preserve">) approach to estimating emissions from methanol production. This approach uses natural gas consumption at the plant along with country- and field-specific emission factors to calculate potential emissions before deducting the carbon sequestered in the end product. </w:t>
      </w:r>
    </w:p>
    <w:p w14:paraId="16DEC017" w14:textId="77777777" w:rsidR="0038460F" w:rsidRPr="0060421C" w:rsidRDefault="0038460F" w:rsidP="0038460F">
      <w:pPr>
        <w:pStyle w:val="BodyText"/>
      </w:pPr>
      <w:r w:rsidRPr="0060421C">
        <w:t>The major non-fuel-related emissions from the methanol process are CH</w:t>
      </w:r>
      <w:r w:rsidRPr="0060421C">
        <w:rPr>
          <w:vertAlign w:val="subscript"/>
        </w:rPr>
        <w:t>4</w:t>
      </w:r>
      <w:r w:rsidRPr="0060421C">
        <w:t xml:space="preserve"> (reported under the IPPU sector) and non-methane volatile organic compounds.</w:t>
      </w:r>
    </w:p>
    <w:p w14:paraId="7A7BE754" w14:textId="77777777" w:rsidR="0038460F" w:rsidRPr="0060421C" w:rsidRDefault="0038460F" w:rsidP="0038460F">
      <w:pPr>
        <w:pStyle w:val="BodyText"/>
      </w:pPr>
      <w:r w:rsidRPr="0060421C">
        <w:t xml:space="preserve">Superphosphate fertiliser is commonly used in </w:t>
      </w:r>
      <w:r w:rsidRPr="0060421C">
        <w:rPr>
          <w:rFonts w:cs="Calibri"/>
          <w:lang w:eastAsia="en-GB"/>
        </w:rPr>
        <w:t>New Zealand</w:t>
      </w:r>
      <w:r w:rsidRPr="0060421C">
        <w:t xml:space="preserve"> to ensure that soil has a sufficiently high phosphorous content. It is manufactured from the reaction between sulphuric acid and phosphate rock.</w:t>
      </w:r>
      <w:r w:rsidRPr="0060421C">
        <w:rPr>
          <w:rStyle w:val="FootnoteReference"/>
          <w:rFonts w:cs="Calibri"/>
        </w:rPr>
        <w:footnoteReference w:id="18"/>
      </w:r>
      <w:r w:rsidRPr="0060421C">
        <w:t xml:space="preserve"> During the process, the heat generated by the exothermic reaction between molten sulphur and oxygen is recovered in a waste-heat boiler to produce steam that is then used for process heating and to drive a steam turbine that produces electricity. The electricity is used on site, and generally any excess is exported to the local power supplier. Because the exothermic reaction is not based on the combustion of fossil fuels, there are no associated emissions to report in the Energy sector.</w:t>
      </w:r>
    </w:p>
    <w:p w14:paraId="7E666B76" w14:textId="77777777" w:rsidR="0038460F" w:rsidRPr="0060421C" w:rsidRDefault="0038460F" w:rsidP="0038460F">
      <w:pPr>
        <w:pStyle w:val="Heading5"/>
        <w:rPr>
          <w:lang w:eastAsia="en-GB"/>
        </w:rPr>
      </w:pPr>
      <w:r w:rsidRPr="0060421C">
        <w:rPr>
          <w:lang w:eastAsia="en-GB"/>
        </w:rPr>
        <w:t>On-site electricity generation</w:t>
      </w:r>
    </w:p>
    <w:p w14:paraId="3A358813" w14:textId="77777777" w:rsidR="0038460F" w:rsidRPr="0060421C" w:rsidRDefault="0038460F" w:rsidP="0038460F">
      <w:pPr>
        <w:pStyle w:val="BodyText"/>
        <w:rPr>
          <w:lang w:eastAsia="en-GB"/>
        </w:rPr>
      </w:pPr>
      <w:r w:rsidRPr="0060421C">
        <w:rPr>
          <w:lang w:eastAsia="en-GB"/>
        </w:rPr>
        <w:t xml:space="preserve">As mentioned in section </w:t>
      </w:r>
      <w:r w:rsidRPr="0060421C">
        <w:t>3.2.2</w:t>
      </w:r>
      <w:r w:rsidRPr="0060421C">
        <w:rPr>
          <w:lang w:eastAsia="en-GB"/>
        </w:rPr>
        <w:t xml:space="preserve">, on-site </w:t>
      </w:r>
      <w:r w:rsidRPr="0060421C">
        <w:t>electricity</w:t>
      </w:r>
      <w:r w:rsidRPr="0060421C">
        <w:rPr>
          <w:lang w:eastAsia="en-GB"/>
        </w:rPr>
        <w:t xml:space="preserve"> generation is allocated to either the </w:t>
      </w:r>
      <w:r w:rsidRPr="0060421C">
        <w:rPr>
          <w:i/>
          <w:lang w:eastAsia="en-GB"/>
        </w:rPr>
        <w:t>Public electricity and heat production</w:t>
      </w:r>
      <w:r w:rsidRPr="0060421C">
        <w:rPr>
          <w:lang w:eastAsia="en-GB"/>
        </w:rPr>
        <w:t xml:space="preserve"> category or the sector in which the associated plant operates, using the decision tree shown in figure</w:t>
      </w:r>
      <w:r w:rsidRPr="0060421C">
        <w:t xml:space="preserve"> 3.2.7</w:t>
      </w:r>
      <w:r w:rsidRPr="0060421C">
        <w:rPr>
          <w:lang w:eastAsia="en-GB"/>
        </w:rPr>
        <w:t xml:space="preserve">. </w:t>
      </w:r>
    </w:p>
    <w:p w14:paraId="32B224A2" w14:textId="77777777" w:rsidR="0038460F" w:rsidRPr="0060421C" w:rsidRDefault="0038460F" w:rsidP="0038460F">
      <w:pPr>
        <w:pStyle w:val="Heading4"/>
        <w:rPr>
          <w:lang w:eastAsia="en-GB"/>
        </w:rPr>
      </w:pPr>
      <w:r w:rsidRPr="0060421C">
        <w:rPr>
          <w:lang w:eastAsia="en-GB"/>
        </w:rPr>
        <w:t>Uncertainty assessment and time-series consistency</w:t>
      </w:r>
    </w:p>
    <w:p w14:paraId="77342B9F" w14:textId="77777777" w:rsidR="0038460F" w:rsidRPr="0060421C" w:rsidRDefault="0038460F" w:rsidP="0038460F">
      <w:pPr>
        <w:pStyle w:val="BodyText"/>
        <w:rPr>
          <w:lang w:eastAsia="en-GB"/>
        </w:rPr>
      </w:pPr>
      <w:r w:rsidRPr="0060421C">
        <w:rPr>
          <w:lang w:eastAsia="en-GB"/>
        </w:rPr>
        <w:t>Uncertainties in emission and activity data estimates are those relevant to the entire Energy sector (volume 2, annex 5).</w:t>
      </w:r>
    </w:p>
    <w:p w14:paraId="277A6B9F" w14:textId="77777777" w:rsidR="0038460F" w:rsidRPr="0060421C" w:rsidRDefault="0038460F" w:rsidP="0038460F">
      <w:pPr>
        <w:pStyle w:val="Heading4"/>
        <w:rPr>
          <w:lang w:eastAsia="en-GB"/>
        </w:rPr>
      </w:pPr>
      <w:r w:rsidRPr="0060421C">
        <w:rPr>
          <w:lang w:eastAsia="en-GB"/>
        </w:rPr>
        <w:t>Category-specific QA/QC and verification</w:t>
      </w:r>
    </w:p>
    <w:p w14:paraId="1E7F8C27" w14:textId="77777777" w:rsidR="0038460F" w:rsidRPr="0060421C" w:rsidRDefault="0038460F" w:rsidP="0038460F">
      <w:pPr>
        <w:pStyle w:val="BodyText"/>
        <w:rPr>
          <w:lang w:eastAsia="en-GB"/>
        </w:rPr>
      </w:pPr>
      <w:r w:rsidRPr="0060421C">
        <w:rPr>
          <w:lang w:eastAsia="en-GB"/>
        </w:rPr>
        <w:t xml:space="preserve">In the preparation of this inventory, the </w:t>
      </w:r>
      <w:r w:rsidRPr="0060421C">
        <w:rPr>
          <w:i/>
          <w:iCs/>
          <w:lang w:eastAsia="en-GB"/>
        </w:rPr>
        <w:t>Manufacturing industries and construction</w:t>
      </w:r>
      <w:r w:rsidRPr="0060421C">
        <w:rPr>
          <w:lang w:eastAsia="en-GB"/>
        </w:rPr>
        <w:t xml:space="preserve"> category underwent Tier 1 quality-assurance and quality-control checks, as recommended in the 2006 IPCC Guidelines (IPCC, 2006). These include regular control sums </w:t>
      </w:r>
      <w:r w:rsidRPr="0060421C">
        <w:t>throughout</w:t>
      </w:r>
      <w:r w:rsidRPr="0060421C">
        <w:rPr>
          <w:lang w:eastAsia="en-GB"/>
        </w:rPr>
        <w:t xml:space="preserve"> systems, to verify system integrity, and time-series consistency checks.</w:t>
      </w:r>
    </w:p>
    <w:p w14:paraId="1E308265" w14:textId="77777777" w:rsidR="0038460F" w:rsidRPr="0060421C" w:rsidRDefault="0038460F" w:rsidP="0038460F">
      <w:pPr>
        <w:pStyle w:val="Heading4"/>
        <w:rPr>
          <w:lang w:eastAsia="en-GB"/>
        </w:rPr>
      </w:pPr>
      <w:r w:rsidRPr="0060421C">
        <w:rPr>
          <w:lang w:eastAsia="en-GB"/>
        </w:rPr>
        <w:t>Category-specific recalculations</w:t>
      </w:r>
    </w:p>
    <w:p w14:paraId="46072872" w14:textId="77777777" w:rsidR="0038460F" w:rsidRPr="0060421C" w:rsidRDefault="0038460F" w:rsidP="0038460F">
      <w:pPr>
        <w:pStyle w:val="BodyText"/>
        <w:rPr>
          <w:lang w:eastAsia="en-GB"/>
        </w:rPr>
      </w:pPr>
      <w:r w:rsidRPr="0060421C">
        <w:rPr>
          <w:lang w:eastAsia="en-GB"/>
        </w:rPr>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1BA76965" w14:textId="77777777" w:rsidR="0038460F" w:rsidRPr="0060421C" w:rsidRDefault="0038460F" w:rsidP="0038460F">
      <w:pPr>
        <w:pStyle w:val="Heading4"/>
        <w:rPr>
          <w:lang w:eastAsia="en-GB"/>
        </w:rPr>
      </w:pPr>
      <w:r w:rsidRPr="0060421C">
        <w:rPr>
          <w:lang w:eastAsia="en-GB"/>
        </w:rPr>
        <w:t>Category-specific planned improvements</w:t>
      </w:r>
    </w:p>
    <w:p w14:paraId="00830237" w14:textId="77777777" w:rsidR="0038460F" w:rsidRPr="0060421C" w:rsidRDefault="0038460F" w:rsidP="0038460F">
      <w:pPr>
        <w:pStyle w:val="BodyText"/>
        <w:rPr>
          <w:rFonts w:cs="Calibri"/>
          <w:lang w:eastAsia="en-GB"/>
        </w:rPr>
      </w:pPr>
      <w:r w:rsidRPr="0060421C">
        <w:rPr>
          <w:rFonts w:cs="Calibri"/>
          <w:lang w:eastAsia="en-GB"/>
        </w:rPr>
        <w:t>There are no planned improvements for this category.</w:t>
      </w:r>
    </w:p>
    <w:p w14:paraId="3CF8A623" w14:textId="77777777" w:rsidR="0038460F" w:rsidRPr="0060421C" w:rsidRDefault="0038460F" w:rsidP="0038460F">
      <w:pPr>
        <w:pStyle w:val="Heading3"/>
      </w:pPr>
      <w:r w:rsidRPr="0060421C">
        <w:t>3.2.9</w:t>
      </w:r>
      <w:r w:rsidRPr="0060421C">
        <w:tab/>
        <w:t>Fuel combustion: Transport (CRT 1.A.3)</w:t>
      </w:r>
    </w:p>
    <w:p w14:paraId="2A0A625C" w14:textId="77777777" w:rsidR="0038460F" w:rsidRPr="0060421C" w:rsidRDefault="0038460F" w:rsidP="0038460F">
      <w:pPr>
        <w:pStyle w:val="Heading4"/>
      </w:pPr>
      <w:r w:rsidRPr="0060421C">
        <w:t>Category description</w:t>
      </w:r>
    </w:p>
    <w:p w14:paraId="6B6C39F6" w14:textId="77777777" w:rsidR="0038460F" w:rsidRPr="0060421C" w:rsidRDefault="0038460F" w:rsidP="0038460F">
      <w:pPr>
        <w:pStyle w:val="BodyText"/>
        <w:rPr>
          <w:lang w:eastAsia="en-GB"/>
        </w:rPr>
      </w:pPr>
      <w:r w:rsidRPr="0060421C">
        <w:rPr>
          <w:lang w:eastAsia="en-GB"/>
        </w:rPr>
        <w:t xml:space="preserve">This category includes emissions from fuels </w:t>
      </w:r>
      <w:r w:rsidRPr="0060421C">
        <w:t>combusted</w:t>
      </w:r>
      <w:r w:rsidRPr="0060421C">
        <w:rPr>
          <w:lang w:eastAsia="en-GB"/>
        </w:rPr>
        <w:t xml:space="preserve"> during domestic transportation, such as civil aviation, road, rail and domestic marine transport. Emissions from international marine and aviation bunkers are reported as memo items and are not included in </w:t>
      </w:r>
      <w:r w:rsidRPr="0060421C">
        <w:rPr>
          <w:rFonts w:cs="Calibri"/>
          <w:lang w:eastAsia="en-GB"/>
        </w:rPr>
        <w:t>New Zealand’s</w:t>
      </w:r>
      <w:r w:rsidRPr="0060421C">
        <w:rPr>
          <w:lang w:eastAsia="en-GB"/>
        </w:rPr>
        <w:t xml:space="preserve"> total emissions.</w:t>
      </w:r>
    </w:p>
    <w:p w14:paraId="31F88AB4" w14:textId="77777777" w:rsidR="0038460F" w:rsidRPr="0060421C" w:rsidRDefault="0038460F" w:rsidP="0038460F">
      <w:pPr>
        <w:pStyle w:val="BodyText"/>
        <w:rPr>
          <w:rFonts w:cs="Calibri"/>
        </w:rPr>
      </w:pPr>
      <w:r w:rsidRPr="0060421C">
        <w:rPr>
          <w:rFonts w:cs="Calibri"/>
          <w:lang w:eastAsia="en-GB"/>
        </w:rPr>
        <w:t xml:space="preserve">In </w:t>
      </w:r>
      <w:r w:rsidRPr="0060421C">
        <w:rPr>
          <w:rFonts w:cs="Calibri"/>
        </w:rPr>
        <w:t>2024</w:t>
      </w:r>
      <w:r w:rsidRPr="0060421C">
        <w:rPr>
          <w:rFonts w:cs="Calibri"/>
          <w:lang w:eastAsia="en-GB"/>
        </w:rPr>
        <w:t xml:space="preserve">, category 1.A.3 </w:t>
      </w:r>
      <w:r w:rsidRPr="0060421C">
        <w:rPr>
          <w:rFonts w:cs="Calibri"/>
          <w:i/>
          <w:iCs/>
          <w:lang w:eastAsia="en-GB"/>
        </w:rPr>
        <w:t>Transport</w:t>
      </w:r>
      <w:r w:rsidRPr="0060421C">
        <w:rPr>
          <w:rFonts w:cs="Calibri"/>
          <w:lang w:eastAsia="en-GB"/>
        </w:rPr>
        <w:t xml:space="preserve"> accounted for 13,744.8</w:t>
      </w:r>
      <w:r w:rsidRPr="0060421C">
        <w:rPr>
          <w:rFonts w:cs="Calibri"/>
        </w:rPr>
        <w:t xml:space="preserve"> </w:t>
      </w:r>
      <w:r w:rsidRPr="0060421C">
        <w:rPr>
          <w:rFonts w:cs="Calibri"/>
          <w:lang w:eastAsia="en-GB"/>
        </w:rPr>
        <w:t>kt CO</w:t>
      </w:r>
      <w:r w:rsidRPr="0060421C">
        <w:rPr>
          <w:rFonts w:cs="Calibri"/>
          <w:vertAlign w:val="subscript"/>
          <w:lang w:eastAsia="en-GB"/>
        </w:rPr>
        <w:t>2</w:t>
      </w:r>
      <w:r w:rsidRPr="0060421C">
        <w:rPr>
          <w:rFonts w:cs="Calibri"/>
          <w:lang w:eastAsia="en-GB"/>
        </w:rPr>
        <w:t xml:space="preserve">e, representing 47.8 </w:t>
      </w:r>
      <w:r w:rsidRPr="0060421C">
        <w:rPr>
          <w:rFonts w:cs="Calibri"/>
        </w:rPr>
        <w:t>percent</w:t>
      </w:r>
      <w:r w:rsidRPr="0060421C">
        <w:rPr>
          <w:rFonts w:cs="Calibri"/>
          <w:lang w:eastAsia="en-GB"/>
        </w:rPr>
        <w:t xml:space="preserve"> of Energy sector emissions. </w:t>
      </w:r>
      <w:r w:rsidRPr="0060421C">
        <w:rPr>
          <w:rFonts w:cs="Calibri"/>
          <w:i/>
          <w:iCs/>
          <w:lang w:eastAsia="en-GB"/>
        </w:rPr>
        <w:t xml:space="preserve">Road transportation </w:t>
      </w:r>
      <w:r w:rsidRPr="0060421C">
        <w:rPr>
          <w:rFonts w:cs="Calibri"/>
          <w:lang w:eastAsia="en-GB"/>
        </w:rPr>
        <w:t>dominated this profile, contributing 12,555.7</w:t>
      </w:r>
      <w:r w:rsidRPr="0060421C">
        <w:rPr>
          <w:rFonts w:cs="Calibri"/>
        </w:rPr>
        <w:t> </w:t>
      </w:r>
      <w:r w:rsidRPr="0060421C">
        <w:rPr>
          <w:rFonts w:cs="Calibri"/>
          <w:lang w:eastAsia="en-GB"/>
        </w:rPr>
        <w:t>kt CO</w:t>
      </w:r>
      <w:r w:rsidRPr="0060421C">
        <w:rPr>
          <w:rFonts w:cs="Calibri"/>
          <w:vertAlign w:val="subscript"/>
          <w:lang w:eastAsia="en-GB"/>
        </w:rPr>
        <w:t>2</w:t>
      </w:r>
      <w:r w:rsidRPr="0060421C">
        <w:rPr>
          <w:rFonts w:cs="Calibri"/>
          <w:lang w:eastAsia="en-GB"/>
        </w:rPr>
        <w:t>e or 91.3</w:t>
      </w:r>
      <w:r w:rsidRPr="0060421C">
        <w:rPr>
          <w:rFonts w:cs="Calibri"/>
        </w:rPr>
        <w:t> percent</w:t>
      </w:r>
      <w:r w:rsidRPr="0060421C">
        <w:rPr>
          <w:rFonts w:cs="Calibri"/>
          <w:lang w:eastAsia="en-GB"/>
        </w:rPr>
        <w:t xml:space="preserve"> of total transport emissions. New Zealand has a </w:t>
      </w:r>
      <w:r w:rsidRPr="0060421C">
        <w:rPr>
          <w:rFonts w:cs="Calibri"/>
        </w:rPr>
        <w:t xml:space="preserve">relatively old vehicle fleet, with the average age of the light passenger vehicles around 15 years, consistently two to four years older than in comparable countries. The country has one of the highest rates of car ownership in the world, driven by its dispersed population, rural-based economy and limited public transport infrastructure. Most freight is moved by trucks, with smaller volumes transported by rail and coastal shipping. These factors mean New Zealand’s domestic transport emissions per capita are high compared with many other Annex I countries. </w:t>
      </w:r>
    </w:p>
    <w:p w14:paraId="26EDEA71" w14:textId="77777777" w:rsidR="0038460F" w:rsidRPr="0060421C" w:rsidRDefault="0038460F" w:rsidP="0038460F">
      <w:pPr>
        <w:pStyle w:val="BodyText"/>
      </w:pPr>
      <w:r w:rsidRPr="0060421C">
        <w:rPr>
          <w:rFonts w:cs="Calibri"/>
          <w:spacing w:val="-2"/>
          <w:lang w:eastAsia="en-GB"/>
        </w:rPr>
        <w:t>Since 1990, transport emissions have risen by 5,621.3</w:t>
      </w:r>
      <w:r w:rsidRPr="0060421C">
        <w:rPr>
          <w:rFonts w:cs="Calibri"/>
          <w:spacing w:val="-2"/>
        </w:rPr>
        <w:t xml:space="preserve"> </w:t>
      </w:r>
      <w:r w:rsidRPr="0060421C">
        <w:rPr>
          <w:rFonts w:cs="Calibri"/>
          <w:spacing w:val="-2"/>
          <w:lang w:eastAsia="en-GB"/>
        </w:rPr>
        <w:t>kt CO</w:t>
      </w:r>
      <w:r w:rsidRPr="0060421C">
        <w:rPr>
          <w:rFonts w:cs="Calibri"/>
          <w:spacing w:val="-2"/>
          <w:vertAlign w:val="subscript"/>
          <w:lang w:eastAsia="en-GB"/>
        </w:rPr>
        <w:t>2</w:t>
      </w:r>
      <w:r w:rsidRPr="0060421C">
        <w:rPr>
          <w:rFonts w:cs="Calibri"/>
          <w:spacing w:val="-2"/>
          <w:lang w:eastAsia="en-GB"/>
        </w:rPr>
        <w:t>e (69.2</w:t>
      </w:r>
      <w:r w:rsidRPr="0060421C">
        <w:rPr>
          <w:rFonts w:cs="Calibri"/>
          <w:spacing w:val="-2"/>
        </w:rPr>
        <w:t xml:space="preserve"> percent</w:t>
      </w:r>
      <w:r w:rsidRPr="0060421C">
        <w:rPr>
          <w:rFonts w:cs="Calibri"/>
          <w:spacing w:val="-2"/>
          <w:lang w:eastAsia="en-GB"/>
        </w:rPr>
        <w:t xml:space="preserve">) from </w:t>
      </w:r>
      <w:r w:rsidRPr="0060421C">
        <w:rPr>
          <w:rFonts w:cs="Calibri"/>
          <w:spacing w:val="-2"/>
        </w:rPr>
        <w:t xml:space="preserve">8,123.5 </w:t>
      </w:r>
      <w:r w:rsidRPr="0060421C">
        <w:rPr>
          <w:rFonts w:cs="Calibri"/>
          <w:spacing w:val="-2"/>
          <w:lang w:eastAsia="en-GB"/>
        </w:rPr>
        <w:t>kt CO</w:t>
      </w:r>
      <w:r w:rsidRPr="0060421C">
        <w:rPr>
          <w:rFonts w:cs="Calibri"/>
          <w:spacing w:val="-2"/>
          <w:vertAlign w:val="subscript"/>
          <w:lang w:eastAsia="en-GB"/>
        </w:rPr>
        <w:t>2</w:t>
      </w:r>
      <w:r w:rsidRPr="0060421C">
        <w:rPr>
          <w:rFonts w:cs="Calibri"/>
          <w:spacing w:val="-2"/>
          <w:lang w:eastAsia="en-GB"/>
        </w:rPr>
        <w:t xml:space="preserve">e. </w:t>
      </w:r>
      <w:r w:rsidRPr="0060421C">
        <w:rPr>
          <w:rFonts w:cs="Calibri"/>
          <w:i/>
          <w:spacing w:val="-2"/>
          <w:lang w:eastAsia="en-GB"/>
        </w:rPr>
        <w:t>Road transportation</w:t>
      </w:r>
      <w:r w:rsidRPr="0060421C">
        <w:rPr>
          <w:rFonts w:cs="Calibri"/>
          <w:spacing w:val="-2"/>
          <w:lang w:eastAsia="en-GB"/>
        </w:rPr>
        <w:t xml:space="preserve"> alone increased by </w:t>
      </w:r>
      <w:r w:rsidRPr="0060421C">
        <w:rPr>
          <w:rFonts w:cs="Calibri"/>
          <w:spacing w:val="-2"/>
        </w:rPr>
        <w:t xml:space="preserve">5,727.3 </w:t>
      </w:r>
      <w:r w:rsidRPr="0060421C">
        <w:rPr>
          <w:rFonts w:cs="Calibri"/>
          <w:spacing w:val="-2"/>
          <w:lang w:eastAsia="en-GB"/>
        </w:rPr>
        <w:t>kt CO</w:t>
      </w:r>
      <w:r w:rsidRPr="0060421C">
        <w:rPr>
          <w:rFonts w:cs="Calibri"/>
          <w:spacing w:val="-2"/>
          <w:vertAlign w:val="subscript"/>
          <w:lang w:eastAsia="en-GB"/>
        </w:rPr>
        <w:t>2</w:t>
      </w:r>
      <w:r w:rsidRPr="0060421C">
        <w:rPr>
          <w:rFonts w:cs="Calibri"/>
          <w:spacing w:val="-2"/>
          <w:lang w:eastAsia="en-GB"/>
        </w:rPr>
        <w:t>e (</w:t>
      </w:r>
      <w:r w:rsidRPr="0060421C">
        <w:rPr>
          <w:rFonts w:cs="Calibri"/>
          <w:spacing w:val="-2"/>
        </w:rPr>
        <w:t>83.9 percent</w:t>
      </w:r>
      <w:r w:rsidRPr="0060421C">
        <w:rPr>
          <w:rFonts w:cs="Calibri"/>
          <w:spacing w:val="-2"/>
          <w:lang w:eastAsia="en-GB"/>
        </w:rPr>
        <w:t xml:space="preserve">) over the same period, </w:t>
      </w:r>
      <w:r w:rsidRPr="0060421C">
        <w:rPr>
          <w:spacing w:val="-2"/>
        </w:rPr>
        <w:t>driven by factors such as population growth and increased economic activit</w:t>
      </w:r>
      <w:r w:rsidRPr="0060421C">
        <w:t>y.</w:t>
      </w:r>
    </w:p>
    <w:p w14:paraId="1047BCBB" w14:textId="77777777" w:rsidR="0038460F" w:rsidRPr="0060421C" w:rsidRDefault="0038460F" w:rsidP="0038460F">
      <w:pPr>
        <w:pStyle w:val="BodyText"/>
        <w:rPr>
          <w:lang w:eastAsia="en-GB"/>
        </w:rPr>
      </w:pPr>
      <w:r w:rsidRPr="0060421C">
        <w:rPr>
          <w:lang w:eastAsia="en-GB"/>
        </w:rPr>
        <w:t>Compared with 2005, transport emissions in 2024 were 697.9</w:t>
      </w:r>
      <w:r w:rsidRPr="0060421C">
        <w:t xml:space="preserve"> </w:t>
      </w:r>
      <w:r w:rsidRPr="0060421C">
        <w:rPr>
          <w:lang w:eastAsia="en-GB"/>
        </w:rPr>
        <w:t>kt CO</w:t>
      </w:r>
      <w:r w:rsidRPr="0060421C">
        <w:rPr>
          <w:vertAlign w:val="subscript"/>
          <w:lang w:eastAsia="en-GB"/>
        </w:rPr>
        <w:t>2</w:t>
      </w:r>
      <w:r w:rsidRPr="0060421C">
        <w:rPr>
          <w:lang w:eastAsia="en-GB"/>
        </w:rPr>
        <w:t>e (5.3</w:t>
      </w:r>
      <w:r w:rsidRPr="0060421C">
        <w:t xml:space="preserve"> percent</w:t>
      </w:r>
      <w:r w:rsidRPr="0060421C">
        <w:rPr>
          <w:lang w:eastAsia="en-GB"/>
        </w:rPr>
        <w:t xml:space="preserve">) higher than the </w:t>
      </w:r>
      <w:r w:rsidRPr="0060421C">
        <w:t xml:space="preserve">13,046.9 </w:t>
      </w:r>
      <w:r w:rsidRPr="0060421C">
        <w:rPr>
          <w:lang w:eastAsia="en-GB"/>
        </w:rPr>
        <w:t>kt CO</w:t>
      </w:r>
      <w:r w:rsidRPr="0060421C">
        <w:rPr>
          <w:vertAlign w:val="subscript"/>
          <w:lang w:eastAsia="en-GB"/>
        </w:rPr>
        <w:t>2</w:t>
      </w:r>
      <w:r w:rsidRPr="0060421C">
        <w:rPr>
          <w:lang w:eastAsia="en-GB"/>
        </w:rPr>
        <w:t xml:space="preserve">e reported for that year. </w:t>
      </w:r>
      <w:r w:rsidRPr="0060421C">
        <w:rPr>
          <w:i/>
          <w:iCs/>
          <w:lang w:eastAsia="en-GB"/>
        </w:rPr>
        <w:t>Road transportation</w:t>
      </w:r>
      <w:r w:rsidRPr="0060421C">
        <w:rPr>
          <w:lang w:eastAsia="en-GB"/>
        </w:rPr>
        <w:t xml:space="preserve"> contributed most of this change, climbing by </w:t>
      </w:r>
      <w:r w:rsidRPr="0060421C">
        <w:t xml:space="preserve">1,338.5 </w:t>
      </w:r>
      <w:r w:rsidRPr="0060421C">
        <w:rPr>
          <w:lang w:eastAsia="en-GB"/>
        </w:rPr>
        <w:t>kt CO</w:t>
      </w:r>
      <w:r w:rsidRPr="0060421C">
        <w:rPr>
          <w:vertAlign w:val="subscript"/>
          <w:lang w:eastAsia="en-GB"/>
        </w:rPr>
        <w:t>2</w:t>
      </w:r>
      <w:r w:rsidRPr="0060421C">
        <w:rPr>
          <w:lang w:eastAsia="en-GB"/>
        </w:rPr>
        <w:t>e (</w:t>
      </w:r>
      <w:r w:rsidRPr="0060421C">
        <w:t>11.9 percent</w:t>
      </w:r>
      <w:r w:rsidRPr="0060421C">
        <w:rPr>
          <w:lang w:eastAsia="en-GB"/>
        </w:rPr>
        <w:t>), reflecting similar underlying drivers</w:t>
      </w:r>
      <w:r w:rsidRPr="0060421C">
        <w:t>.</w:t>
      </w:r>
    </w:p>
    <w:p w14:paraId="2B2016F2" w14:textId="77777777" w:rsidR="0038460F" w:rsidRPr="0060421C" w:rsidRDefault="0038460F" w:rsidP="0038460F">
      <w:pPr>
        <w:pStyle w:val="Heading4"/>
        <w:rPr>
          <w:lang w:eastAsia="en-GB"/>
        </w:rPr>
      </w:pPr>
      <w:r w:rsidRPr="0060421C">
        <w:rPr>
          <w:lang w:eastAsia="en-GB"/>
        </w:rPr>
        <w:t xml:space="preserve">Changes in emissions between </w:t>
      </w:r>
      <w:r w:rsidRPr="0060421C">
        <w:t>2023</w:t>
      </w:r>
      <w:r w:rsidRPr="0060421C">
        <w:rPr>
          <w:lang w:eastAsia="en-GB"/>
        </w:rPr>
        <w:t xml:space="preserve"> and </w:t>
      </w:r>
      <w:r w:rsidRPr="0060421C">
        <w:t>2024</w:t>
      </w:r>
    </w:p>
    <w:p w14:paraId="091D008F" w14:textId="77777777" w:rsidR="0038460F" w:rsidRPr="0060421C" w:rsidRDefault="0038460F" w:rsidP="0038460F">
      <w:pPr>
        <w:pStyle w:val="BodyText"/>
      </w:pPr>
      <w:r w:rsidRPr="0060421C">
        <w:rPr>
          <w:rFonts w:cs="Calibri"/>
          <w:lang w:eastAsia="en-GB"/>
        </w:rPr>
        <w:t xml:space="preserve">Between </w:t>
      </w:r>
      <w:r w:rsidRPr="0060421C">
        <w:rPr>
          <w:rFonts w:cs="Calibri"/>
        </w:rPr>
        <w:t>2023</w:t>
      </w:r>
      <w:r w:rsidRPr="0060421C">
        <w:rPr>
          <w:rFonts w:cs="Calibri"/>
          <w:lang w:eastAsia="en-GB"/>
        </w:rPr>
        <w:t xml:space="preserve"> and </w:t>
      </w:r>
      <w:r w:rsidRPr="0060421C">
        <w:rPr>
          <w:rFonts w:cs="Calibri"/>
        </w:rPr>
        <w:t>2024</w:t>
      </w:r>
      <w:r w:rsidRPr="0060421C">
        <w:rPr>
          <w:rFonts w:cs="Calibri"/>
          <w:lang w:eastAsia="en-GB"/>
        </w:rPr>
        <w:t>, emissions from transport decreased by 64.2</w:t>
      </w:r>
      <w:r w:rsidRPr="0060421C">
        <w:rPr>
          <w:rFonts w:cs="Calibri"/>
        </w:rPr>
        <w:t xml:space="preserve"> </w:t>
      </w:r>
      <w:r w:rsidRPr="0060421C">
        <w:rPr>
          <w:rFonts w:cs="Calibri"/>
          <w:lang w:eastAsia="en-GB"/>
        </w:rPr>
        <w:t>kt CO</w:t>
      </w:r>
      <w:r w:rsidRPr="0060421C">
        <w:rPr>
          <w:rFonts w:cs="Calibri"/>
          <w:vertAlign w:val="subscript"/>
          <w:lang w:eastAsia="en-GB"/>
        </w:rPr>
        <w:t>2</w:t>
      </w:r>
      <w:r w:rsidRPr="0060421C">
        <w:rPr>
          <w:rFonts w:cs="Calibri"/>
          <w:lang w:eastAsia="en-GB"/>
        </w:rPr>
        <w:t>e (0.5</w:t>
      </w:r>
      <w:r w:rsidRPr="0060421C">
        <w:rPr>
          <w:rFonts w:cs="Calibri"/>
        </w:rPr>
        <w:t> percent</w:t>
      </w:r>
      <w:r w:rsidRPr="0060421C">
        <w:rPr>
          <w:rFonts w:cs="Calibri"/>
          <w:lang w:eastAsia="en-GB"/>
        </w:rPr>
        <w:t>).</w:t>
      </w:r>
      <w:r w:rsidRPr="0060421C" w:rsidDel="004B2054">
        <w:rPr>
          <w:rFonts w:cs="Calibri"/>
          <w:lang w:eastAsia="en-GB"/>
        </w:rPr>
        <w:t xml:space="preserve"> </w:t>
      </w:r>
      <w:r w:rsidRPr="0060421C">
        <w:rPr>
          <w:spacing w:val="-2"/>
        </w:rPr>
        <w:t xml:space="preserve">This was primarily due to decreases in </w:t>
      </w:r>
      <w:r w:rsidRPr="0060421C">
        <w:rPr>
          <w:i/>
          <w:spacing w:val="-2"/>
        </w:rPr>
        <w:t>Road transportation</w:t>
      </w:r>
      <w:r w:rsidRPr="0060421C" w:rsidDel="0056292E">
        <w:rPr>
          <w:rFonts w:cs="Calibri"/>
          <w:i/>
          <w:iCs/>
          <w:color w:val="000000"/>
        </w:rPr>
        <w:t xml:space="preserve"> </w:t>
      </w:r>
      <w:r w:rsidRPr="0060421C">
        <w:rPr>
          <w:iCs/>
          <w:spacing w:val="-2"/>
        </w:rPr>
        <w:t xml:space="preserve">(down 44.0 </w:t>
      </w:r>
      <w:r w:rsidRPr="0060421C">
        <w:rPr>
          <w:rFonts w:cs="Calibri"/>
          <w:spacing w:val="-2"/>
        </w:rPr>
        <w:t>kt CO</w:t>
      </w:r>
      <w:r w:rsidRPr="0060421C">
        <w:rPr>
          <w:rFonts w:cs="Calibri"/>
          <w:spacing w:val="-2"/>
          <w:vertAlign w:val="subscript"/>
        </w:rPr>
        <w:t>2</w:t>
      </w:r>
      <w:r w:rsidRPr="0060421C">
        <w:rPr>
          <w:rFonts w:cs="Calibri"/>
          <w:spacing w:val="-2"/>
        </w:rPr>
        <w:t>e or 0.3 percent</w:t>
      </w:r>
      <w:r w:rsidRPr="0060421C">
        <w:rPr>
          <w:iCs/>
          <w:spacing w:val="-2"/>
        </w:rPr>
        <w:t>) and</w:t>
      </w:r>
      <w:r w:rsidRPr="0060421C">
        <w:rPr>
          <w:i/>
          <w:spacing w:val="-2"/>
        </w:rPr>
        <w:t xml:space="preserve"> </w:t>
      </w:r>
      <w:r w:rsidRPr="0060421C">
        <w:rPr>
          <w:rFonts w:cs="Calibri"/>
          <w:i/>
          <w:iCs/>
          <w:color w:val="000000"/>
        </w:rPr>
        <w:t>Domestic aviation</w:t>
      </w:r>
      <w:r w:rsidRPr="0060421C">
        <w:rPr>
          <w:i/>
          <w:spacing w:val="-2"/>
        </w:rPr>
        <w:t xml:space="preserve"> </w:t>
      </w:r>
      <w:r w:rsidRPr="0060421C">
        <w:rPr>
          <w:spacing w:val="-2"/>
        </w:rPr>
        <w:t>(down 14.2</w:t>
      </w:r>
      <w:r w:rsidRPr="0060421C">
        <w:rPr>
          <w:rFonts w:cs="Calibri"/>
          <w:spacing w:val="-2"/>
        </w:rPr>
        <w:t> kt CO</w:t>
      </w:r>
      <w:r w:rsidRPr="0060421C">
        <w:rPr>
          <w:rFonts w:cs="Calibri"/>
          <w:spacing w:val="-2"/>
          <w:vertAlign w:val="subscript"/>
        </w:rPr>
        <w:t>2</w:t>
      </w:r>
      <w:r w:rsidRPr="0060421C">
        <w:rPr>
          <w:rFonts w:cs="Calibri"/>
          <w:spacing w:val="-2"/>
        </w:rPr>
        <w:t>e or 1.5 percent)</w:t>
      </w:r>
      <w:r w:rsidRPr="0060421C">
        <w:rPr>
          <w:rFonts w:cs="Calibri"/>
          <w:color w:val="000000"/>
          <w:spacing w:val="-2"/>
        </w:rPr>
        <w:t>.</w:t>
      </w:r>
      <w:r w:rsidRPr="0060421C">
        <w:rPr>
          <w:rFonts w:cs="Calibri"/>
          <w:color w:val="000000"/>
        </w:rPr>
        <w:t xml:space="preserve"> </w:t>
      </w:r>
      <w:r w:rsidRPr="0060421C">
        <w:t>The factors behind these movements vary by mode, but a key contributor is lower fuel consumption, driven by reduced travel demand and improvements in vehicle efficiency.</w:t>
      </w:r>
    </w:p>
    <w:p w14:paraId="38AB1BBB" w14:textId="77777777" w:rsidR="0038460F" w:rsidRPr="0060421C" w:rsidRDefault="0038460F" w:rsidP="0038460F">
      <w:pPr>
        <w:pStyle w:val="BodyText"/>
        <w:rPr>
          <w:rFonts w:cs="Calibri"/>
        </w:rPr>
      </w:pPr>
      <w:r w:rsidRPr="0060421C">
        <w:rPr>
          <w:rFonts w:cs="Calibri"/>
        </w:rPr>
        <w:t xml:space="preserve">Key categories identified in the 2024 level and trend assessment for the </w:t>
      </w:r>
      <w:r w:rsidRPr="0060421C">
        <w:rPr>
          <w:rFonts w:cs="Calibri"/>
          <w:i/>
          <w:lang w:eastAsia="en-GB"/>
        </w:rPr>
        <w:t>Transport</w:t>
      </w:r>
      <w:r w:rsidRPr="0060421C">
        <w:rPr>
          <w:rFonts w:cs="Calibri"/>
        </w:rPr>
        <w:t xml:space="preserve"> category are given in table 3.2.6.</w:t>
      </w:r>
    </w:p>
    <w:p w14:paraId="1753AE1A" w14:textId="021ADC89" w:rsidR="0038460F" w:rsidRPr="0060421C" w:rsidRDefault="0038460F" w:rsidP="0038460F">
      <w:pPr>
        <w:pStyle w:val="Table"/>
      </w:pPr>
      <w:bookmarkStart w:id="376" w:name="_Toc68786410"/>
      <w:bookmarkStart w:id="377" w:name="_Toc164153809"/>
      <w:bookmarkStart w:id="378" w:name="_Toc194241676"/>
      <w:bookmarkStart w:id="379" w:name="_Toc226668962"/>
      <w:r w:rsidRPr="0060421C">
        <w:t>Table 3.2.</w:t>
      </w:r>
      <w:r w:rsidR="006F3B24">
        <w:t>8</w:t>
      </w:r>
      <w:r w:rsidRPr="0060421C">
        <w:tab/>
        <w:t xml:space="preserve">Key categories for 1.A.3 </w:t>
      </w:r>
      <w:r w:rsidRPr="0060421C">
        <w:rPr>
          <w:i/>
          <w:iCs/>
        </w:rPr>
        <w:t>Transport</w:t>
      </w:r>
      <w:bookmarkEnd w:id="376"/>
      <w:bookmarkEnd w:id="377"/>
      <w:bookmarkEnd w:id="378"/>
      <w:bookmarkEnd w:id="379"/>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038"/>
        <w:gridCol w:w="1820"/>
        <w:gridCol w:w="1621"/>
        <w:gridCol w:w="2026"/>
      </w:tblGrid>
      <w:tr w:rsidR="0038460F" w:rsidRPr="0060421C" w14:paraId="7151B751" w14:textId="77777777" w:rsidTr="00F16E23">
        <w:trPr>
          <w:cantSplit/>
          <w:tblHeader/>
        </w:trPr>
        <w:tc>
          <w:tcPr>
            <w:tcW w:w="1786" w:type="pct"/>
            <w:shd w:val="clear" w:color="auto" w:fill="1B556B"/>
            <w:noWrap/>
            <w:vAlign w:val="bottom"/>
            <w:hideMark/>
          </w:tcPr>
          <w:p w14:paraId="004AD4C5"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Category</w:t>
            </w:r>
          </w:p>
        </w:tc>
        <w:tc>
          <w:tcPr>
            <w:tcW w:w="1070" w:type="pct"/>
            <w:shd w:val="clear" w:color="auto" w:fill="1B556B"/>
            <w:noWrap/>
            <w:vAlign w:val="bottom"/>
            <w:hideMark/>
          </w:tcPr>
          <w:p w14:paraId="51D13B51"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Liquid fuels</w:t>
            </w:r>
          </w:p>
        </w:tc>
        <w:tc>
          <w:tcPr>
            <w:tcW w:w="953" w:type="pct"/>
            <w:shd w:val="clear" w:color="auto" w:fill="1B556B"/>
            <w:vAlign w:val="bottom"/>
            <w:hideMark/>
          </w:tcPr>
          <w:p w14:paraId="62DD83A4"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Solid fuels</w:t>
            </w:r>
          </w:p>
        </w:tc>
        <w:tc>
          <w:tcPr>
            <w:tcW w:w="1191" w:type="pct"/>
            <w:shd w:val="clear" w:color="auto" w:fill="1B556B"/>
            <w:vAlign w:val="bottom"/>
            <w:hideMark/>
          </w:tcPr>
          <w:p w14:paraId="67102469"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Gaseous fuels</w:t>
            </w:r>
          </w:p>
        </w:tc>
      </w:tr>
      <w:tr w:rsidR="0038460F" w:rsidRPr="0060421C" w14:paraId="1B2DE8A7" w14:textId="77777777" w:rsidTr="00F16E23">
        <w:trPr>
          <w:cantSplit/>
        </w:trPr>
        <w:tc>
          <w:tcPr>
            <w:tcW w:w="1786" w:type="pct"/>
            <w:noWrap/>
            <w:hideMark/>
          </w:tcPr>
          <w:p w14:paraId="66F2A332" w14:textId="77777777" w:rsidR="0038460F" w:rsidRPr="0060421C" w:rsidRDefault="0038460F" w:rsidP="00F16E23">
            <w:pPr>
              <w:pStyle w:val="TableText"/>
              <w:spacing w:before="40" w:after="40"/>
              <w:rPr>
                <w:rFonts w:cs="Calibri"/>
              </w:rPr>
            </w:pPr>
            <w:r w:rsidRPr="0060421C">
              <w:rPr>
                <w:rFonts w:cs="Calibri"/>
              </w:rPr>
              <w:t>Domestic aviation – CO</w:t>
            </w:r>
            <w:r w:rsidRPr="0060421C">
              <w:rPr>
                <w:rFonts w:cs="Calibri"/>
                <w:vertAlign w:val="subscript"/>
              </w:rPr>
              <w:t>2</w:t>
            </w:r>
          </w:p>
        </w:tc>
        <w:tc>
          <w:tcPr>
            <w:tcW w:w="1070" w:type="pct"/>
            <w:noWrap/>
            <w:hideMark/>
          </w:tcPr>
          <w:p w14:paraId="056BB046" w14:textId="77777777" w:rsidR="0038460F" w:rsidRPr="0060421C" w:rsidRDefault="0038460F" w:rsidP="00F16E23">
            <w:pPr>
              <w:pStyle w:val="TableText"/>
              <w:spacing w:before="40" w:after="40"/>
              <w:rPr>
                <w:rFonts w:cs="Calibri"/>
              </w:rPr>
            </w:pPr>
            <w:r w:rsidRPr="0060421C">
              <w:rPr>
                <w:rFonts w:cs="Calibri"/>
              </w:rPr>
              <w:t>Level, trend</w:t>
            </w:r>
          </w:p>
        </w:tc>
        <w:tc>
          <w:tcPr>
            <w:tcW w:w="953" w:type="pct"/>
            <w:noWrap/>
            <w:hideMark/>
          </w:tcPr>
          <w:p w14:paraId="0F56319E" w14:textId="77777777" w:rsidR="0038460F" w:rsidRPr="0060421C" w:rsidRDefault="0038460F" w:rsidP="00F16E23">
            <w:pPr>
              <w:pStyle w:val="TableText"/>
              <w:spacing w:before="40" w:after="40"/>
              <w:rPr>
                <w:rFonts w:cs="Calibri"/>
              </w:rPr>
            </w:pPr>
            <w:r w:rsidRPr="0060421C">
              <w:rPr>
                <w:rFonts w:cs="Calibri"/>
              </w:rPr>
              <w:t>–</w:t>
            </w:r>
          </w:p>
        </w:tc>
        <w:tc>
          <w:tcPr>
            <w:tcW w:w="1191" w:type="pct"/>
            <w:noWrap/>
            <w:hideMark/>
          </w:tcPr>
          <w:p w14:paraId="78BA391C" w14:textId="77777777" w:rsidR="0038460F" w:rsidRPr="0060421C" w:rsidRDefault="0038460F" w:rsidP="00F16E23">
            <w:pPr>
              <w:pStyle w:val="TableText"/>
              <w:spacing w:before="40" w:after="40"/>
              <w:rPr>
                <w:rFonts w:cs="Calibri"/>
              </w:rPr>
            </w:pPr>
            <w:r w:rsidRPr="0060421C">
              <w:rPr>
                <w:rFonts w:cs="Calibri"/>
              </w:rPr>
              <w:t>–</w:t>
            </w:r>
          </w:p>
        </w:tc>
      </w:tr>
      <w:tr w:rsidR="0038460F" w:rsidRPr="0060421C" w14:paraId="2ED01A4A" w14:textId="77777777" w:rsidTr="00F16E23">
        <w:trPr>
          <w:cantSplit/>
        </w:trPr>
        <w:tc>
          <w:tcPr>
            <w:tcW w:w="1786" w:type="pct"/>
            <w:noWrap/>
            <w:hideMark/>
          </w:tcPr>
          <w:p w14:paraId="4B42FD59" w14:textId="77777777" w:rsidR="0038460F" w:rsidRPr="0060421C" w:rsidRDefault="0038460F" w:rsidP="00F16E23">
            <w:pPr>
              <w:pStyle w:val="TableText"/>
              <w:spacing w:before="40" w:after="40"/>
              <w:rPr>
                <w:rFonts w:cs="Calibri"/>
              </w:rPr>
            </w:pPr>
            <w:r w:rsidRPr="0060421C">
              <w:rPr>
                <w:rFonts w:cs="Calibri"/>
              </w:rPr>
              <w:t>Road transportation – CO</w:t>
            </w:r>
            <w:r w:rsidRPr="0060421C">
              <w:rPr>
                <w:rFonts w:cs="Calibri"/>
                <w:vertAlign w:val="subscript"/>
              </w:rPr>
              <w:t>2</w:t>
            </w:r>
          </w:p>
        </w:tc>
        <w:tc>
          <w:tcPr>
            <w:tcW w:w="1070" w:type="pct"/>
            <w:noWrap/>
            <w:hideMark/>
          </w:tcPr>
          <w:p w14:paraId="63FE1F63" w14:textId="77777777" w:rsidR="0038460F" w:rsidRPr="0060421C" w:rsidRDefault="0038460F" w:rsidP="00F16E23">
            <w:pPr>
              <w:pStyle w:val="TableText"/>
              <w:spacing w:before="40" w:after="40"/>
              <w:rPr>
                <w:rFonts w:cs="Calibri"/>
              </w:rPr>
            </w:pPr>
            <w:r w:rsidRPr="0060421C">
              <w:rPr>
                <w:rFonts w:cs="Calibri"/>
              </w:rPr>
              <w:t>Level, trend</w:t>
            </w:r>
          </w:p>
        </w:tc>
        <w:tc>
          <w:tcPr>
            <w:tcW w:w="953" w:type="pct"/>
            <w:noWrap/>
          </w:tcPr>
          <w:p w14:paraId="270713ED" w14:textId="77777777" w:rsidR="0038460F" w:rsidRPr="0060421C" w:rsidRDefault="0038460F" w:rsidP="00F16E23">
            <w:pPr>
              <w:pStyle w:val="TableText"/>
              <w:spacing w:before="40" w:after="40"/>
              <w:rPr>
                <w:rFonts w:cs="Calibri"/>
              </w:rPr>
            </w:pPr>
            <w:r w:rsidRPr="0060421C">
              <w:rPr>
                <w:rFonts w:cs="Calibri"/>
              </w:rPr>
              <w:t>–</w:t>
            </w:r>
          </w:p>
        </w:tc>
        <w:tc>
          <w:tcPr>
            <w:tcW w:w="1191" w:type="pct"/>
            <w:noWrap/>
            <w:hideMark/>
          </w:tcPr>
          <w:p w14:paraId="55942158" w14:textId="77777777" w:rsidR="0038460F" w:rsidRPr="0060421C" w:rsidRDefault="0038460F" w:rsidP="00F16E23">
            <w:pPr>
              <w:pStyle w:val="TableText"/>
              <w:spacing w:before="40" w:after="40"/>
              <w:rPr>
                <w:rFonts w:cs="Calibri"/>
              </w:rPr>
            </w:pPr>
            <w:r w:rsidRPr="0060421C">
              <w:rPr>
                <w:rFonts w:cs="Calibri"/>
              </w:rPr>
              <w:t>Trend</w:t>
            </w:r>
          </w:p>
        </w:tc>
      </w:tr>
      <w:tr w:rsidR="0038460F" w:rsidRPr="0060421C" w14:paraId="32380688" w14:textId="77777777" w:rsidTr="00F16E23">
        <w:trPr>
          <w:cantSplit/>
        </w:trPr>
        <w:tc>
          <w:tcPr>
            <w:tcW w:w="1786" w:type="pct"/>
            <w:noWrap/>
          </w:tcPr>
          <w:p w14:paraId="008D6340" w14:textId="77777777" w:rsidR="0038460F" w:rsidRPr="0060421C" w:rsidRDefault="0038460F" w:rsidP="00F16E23">
            <w:pPr>
              <w:pStyle w:val="TableText"/>
              <w:spacing w:before="40" w:after="40"/>
              <w:rPr>
                <w:rFonts w:cs="Calibri"/>
              </w:rPr>
            </w:pPr>
            <w:r w:rsidRPr="0060421C">
              <w:rPr>
                <w:rFonts w:cs="Calibri"/>
              </w:rPr>
              <w:t>Domestic navigation – CO</w:t>
            </w:r>
            <w:r w:rsidRPr="0060421C">
              <w:rPr>
                <w:rFonts w:cs="Calibri"/>
                <w:vertAlign w:val="subscript"/>
              </w:rPr>
              <w:t>2</w:t>
            </w:r>
          </w:p>
        </w:tc>
        <w:tc>
          <w:tcPr>
            <w:tcW w:w="1070" w:type="pct"/>
            <w:noWrap/>
          </w:tcPr>
          <w:p w14:paraId="4B2543F9" w14:textId="77777777" w:rsidR="0038460F" w:rsidRPr="0060421C" w:rsidRDefault="0038460F" w:rsidP="00F16E23">
            <w:pPr>
              <w:pStyle w:val="TableText"/>
              <w:spacing w:before="40" w:after="40"/>
              <w:rPr>
                <w:rFonts w:cs="Calibri"/>
              </w:rPr>
            </w:pPr>
            <w:r w:rsidRPr="0060421C">
              <w:rPr>
                <w:rFonts w:cs="Calibri"/>
              </w:rPr>
              <w:t>Trend</w:t>
            </w:r>
          </w:p>
        </w:tc>
        <w:tc>
          <w:tcPr>
            <w:tcW w:w="953" w:type="pct"/>
            <w:noWrap/>
          </w:tcPr>
          <w:p w14:paraId="6FAD8A5C" w14:textId="77777777" w:rsidR="0038460F" w:rsidRPr="0060421C" w:rsidRDefault="0038460F" w:rsidP="00F16E23">
            <w:pPr>
              <w:pStyle w:val="TableText"/>
              <w:spacing w:before="40" w:after="40"/>
              <w:rPr>
                <w:rFonts w:cs="Calibri"/>
              </w:rPr>
            </w:pPr>
            <w:r w:rsidRPr="0060421C">
              <w:rPr>
                <w:rFonts w:cs="Calibri"/>
              </w:rPr>
              <w:t>–</w:t>
            </w:r>
          </w:p>
        </w:tc>
        <w:tc>
          <w:tcPr>
            <w:tcW w:w="1191" w:type="pct"/>
            <w:noWrap/>
          </w:tcPr>
          <w:p w14:paraId="6FA1EE18" w14:textId="77777777" w:rsidR="0038460F" w:rsidRPr="0060421C" w:rsidRDefault="0038460F" w:rsidP="00F16E23">
            <w:pPr>
              <w:pStyle w:val="TableText"/>
              <w:spacing w:before="40" w:after="40"/>
              <w:rPr>
                <w:rFonts w:cs="Calibri"/>
              </w:rPr>
            </w:pPr>
            <w:r w:rsidRPr="0060421C">
              <w:rPr>
                <w:rFonts w:cs="Calibri"/>
              </w:rPr>
              <w:t>–</w:t>
            </w:r>
          </w:p>
        </w:tc>
      </w:tr>
    </w:tbl>
    <w:p w14:paraId="2A5F53F8" w14:textId="77777777" w:rsidR="0038460F" w:rsidRPr="0060421C" w:rsidRDefault="0038460F" w:rsidP="0038460F">
      <w:pPr>
        <w:pStyle w:val="Heading4"/>
        <w:spacing w:before="360"/>
      </w:pPr>
      <w:r w:rsidRPr="0060421C">
        <w:t>Methodological issues</w:t>
      </w:r>
    </w:p>
    <w:p w14:paraId="26250C4A" w14:textId="77777777" w:rsidR="0038460F" w:rsidRPr="0060421C" w:rsidRDefault="0038460F" w:rsidP="0038460F">
      <w:pPr>
        <w:pStyle w:val="Heading5"/>
        <w:spacing w:before="180"/>
      </w:pPr>
      <w:r w:rsidRPr="0060421C">
        <w:rPr>
          <w:lang w:eastAsia="en-GB"/>
        </w:rPr>
        <w:t xml:space="preserve">1.A.3.a </w:t>
      </w:r>
      <w:r w:rsidRPr="0060421C">
        <w:t>Civil</w:t>
      </w:r>
      <w:r w:rsidRPr="0060421C">
        <w:rPr>
          <w:lang w:eastAsia="en-GB"/>
        </w:rPr>
        <w:t xml:space="preserve"> aviation</w:t>
      </w:r>
    </w:p>
    <w:p w14:paraId="76553963"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A Tier 1 approach (IPCC, 2006) that does not use landing and take-off cycles has been taken to estimate emissions from the </w:t>
      </w:r>
      <w:r w:rsidRPr="0060421C">
        <w:rPr>
          <w:rFonts w:cs="Calibri"/>
          <w:i/>
          <w:lang w:eastAsia="en-GB"/>
        </w:rPr>
        <w:t>Civil aviation</w:t>
      </w:r>
      <w:r w:rsidRPr="0060421C">
        <w:rPr>
          <w:rFonts w:cs="Calibri"/>
          <w:lang w:eastAsia="en-GB"/>
        </w:rPr>
        <w:t xml:space="preserve"> category. Given the uncertainty surrounding </w:t>
      </w:r>
      <w:r w:rsidRPr="0060421C">
        <w:rPr>
          <w:rFonts w:cs="Calibri"/>
        </w:rPr>
        <w:t>CH</w:t>
      </w:r>
      <w:r w:rsidRPr="0060421C">
        <w:rPr>
          <w:rFonts w:cs="Calibri"/>
          <w:vertAlign w:val="subscript"/>
        </w:rPr>
        <w:t>4</w:t>
      </w:r>
      <w:r w:rsidRPr="0060421C">
        <w:rPr>
          <w:rFonts w:cs="Calibri"/>
          <w:lang w:eastAsia="en-GB"/>
        </w:rPr>
        <w:t xml:space="preserve"> and </w:t>
      </w:r>
      <w:r w:rsidRPr="0060421C">
        <w:rPr>
          <w:rFonts w:cs="Calibri"/>
        </w:rPr>
        <w:t>N</w:t>
      </w:r>
      <w:r w:rsidRPr="0060421C">
        <w:rPr>
          <w:rFonts w:cs="Calibri"/>
          <w:vertAlign w:val="subscript"/>
        </w:rPr>
        <w:t>2</w:t>
      </w:r>
      <w:r w:rsidRPr="0060421C">
        <w:rPr>
          <w:rFonts w:cs="Calibri"/>
        </w:rPr>
        <w:t>O</w:t>
      </w:r>
      <w:r w:rsidRPr="0060421C">
        <w:rPr>
          <w:rFonts w:cs="Calibri"/>
          <w:lang w:eastAsia="en-GB"/>
        </w:rPr>
        <w:t xml:space="preserve"> emission factors for landing and take-off cycles, a Tier 2 approach to estimating non-CO</w:t>
      </w:r>
      <w:r w:rsidRPr="0060421C">
        <w:rPr>
          <w:rFonts w:cs="Calibri"/>
          <w:vertAlign w:val="subscript"/>
          <w:lang w:eastAsia="en-GB"/>
        </w:rPr>
        <w:t>2</w:t>
      </w:r>
      <w:r w:rsidRPr="0060421C">
        <w:rPr>
          <w:rFonts w:cs="Calibri"/>
          <w:lang w:eastAsia="en-GB"/>
        </w:rPr>
        <w:t xml:space="preserve"> emissions would not necessarily reduce uncertainty (IPCC, 2006).</w:t>
      </w:r>
    </w:p>
    <w:p w14:paraId="3E87883F"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Hot air ballooning is considered a form of adventure aviation rather than transport and is included in category 1.A.4.a </w:t>
      </w:r>
      <w:r w:rsidRPr="0060421C">
        <w:rPr>
          <w:rFonts w:cs="Calibri"/>
          <w:i/>
          <w:iCs/>
          <w:lang w:eastAsia="en-GB"/>
        </w:rPr>
        <w:t>Commercial/institutional</w:t>
      </w:r>
      <w:r w:rsidRPr="0060421C">
        <w:rPr>
          <w:rFonts w:cs="Calibri"/>
          <w:lang w:eastAsia="en-GB"/>
        </w:rPr>
        <w:t xml:space="preserve">. </w:t>
      </w:r>
    </w:p>
    <w:p w14:paraId="7082A756" w14:textId="77777777" w:rsidR="0038460F" w:rsidRPr="0060421C" w:rsidRDefault="0038460F" w:rsidP="0038460F">
      <w:pPr>
        <w:pStyle w:val="Heading5"/>
        <w:rPr>
          <w:lang w:eastAsia="en-GB"/>
        </w:rPr>
      </w:pPr>
      <w:r w:rsidRPr="0060421C">
        <w:rPr>
          <w:szCs w:val="22"/>
        </w:rPr>
        <w:t xml:space="preserve">1.A.3.b </w:t>
      </w:r>
      <w:r w:rsidRPr="0060421C">
        <w:rPr>
          <w:lang w:eastAsia="en-GB"/>
        </w:rPr>
        <w:t xml:space="preserve">Road </w:t>
      </w:r>
      <w:r w:rsidRPr="0060421C">
        <w:t>transportation</w:t>
      </w:r>
    </w:p>
    <w:p w14:paraId="5F5A6EE6"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The IPCC (2006) Tier 2 approach was used to calculate </w:t>
      </w:r>
      <w:r w:rsidRPr="0060421C">
        <w:rPr>
          <w:rFonts w:cs="Calibri"/>
        </w:rPr>
        <w:t>CO</w:t>
      </w:r>
      <w:r w:rsidRPr="0060421C">
        <w:rPr>
          <w:rFonts w:cs="Calibri"/>
          <w:vertAlign w:val="subscript"/>
        </w:rPr>
        <w:t>2</w:t>
      </w:r>
      <w:r w:rsidRPr="0060421C">
        <w:rPr>
          <w:rFonts w:cs="Calibri"/>
          <w:sz w:val="14"/>
          <w:szCs w:val="14"/>
          <w:lang w:eastAsia="en-GB"/>
        </w:rPr>
        <w:t xml:space="preserve"> </w:t>
      </w:r>
      <w:r w:rsidRPr="0060421C">
        <w:rPr>
          <w:rFonts w:cs="Calibri"/>
          <w:lang w:eastAsia="en-GB"/>
        </w:rPr>
        <w:t xml:space="preserve">emissions from </w:t>
      </w:r>
      <w:r w:rsidRPr="0060421C">
        <w:rPr>
          <w:rFonts w:cs="Calibri"/>
          <w:i/>
          <w:iCs/>
          <w:lang w:eastAsia="en-GB"/>
        </w:rPr>
        <w:t>Road transportation</w:t>
      </w:r>
      <w:r w:rsidRPr="0060421C">
        <w:rPr>
          <w:rFonts w:cs="Calibri"/>
          <w:lang w:eastAsia="en-GB"/>
        </w:rPr>
        <w:t xml:space="preserve"> using New Zealand-specific emission factors. Emission factors for oil products were derived from refinery data (up until 2021) and fuel importer data (from 2022 onwards). The emission factor for compressed natural gas (CNG) is based on the weighted average emission factor of New Zealand </w:t>
      </w:r>
      <w:r w:rsidRPr="0060421C">
        <w:rPr>
          <w:rFonts w:cs="Calibri"/>
        </w:rPr>
        <w:t xml:space="preserve">natural </w:t>
      </w:r>
      <w:r w:rsidRPr="0060421C">
        <w:rPr>
          <w:rFonts w:cs="Calibri"/>
          <w:lang w:eastAsia="en-GB"/>
        </w:rPr>
        <w:t xml:space="preserve">gas fields. </w:t>
      </w:r>
    </w:p>
    <w:p w14:paraId="2B5D53AF" w14:textId="77777777" w:rsidR="0038460F" w:rsidRPr="0060421C" w:rsidRDefault="0038460F" w:rsidP="0038460F">
      <w:pPr>
        <w:pStyle w:val="BodyText"/>
        <w:spacing w:before="100"/>
        <w:rPr>
          <w:rFonts w:cs="Calibri"/>
          <w:lang w:eastAsia="en-GB"/>
        </w:rPr>
      </w:pPr>
      <w:r w:rsidRPr="0060421C">
        <w:rPr>
          <w:rFonts w:cs="Calibri"/>
          <w:lang w:eastAsia="en-GB"/>
        </w:rPr>
        <w:t xml:space="preserve">Methane and </w:t>
      </w:r>
      <w:r w:rsidRPr="0060421C">
        <w:rPr>
          <w:rFonts w:cs="Calibri"/>
        </w:rPr>
        <w:t>N</w:t>
      </w:r>
      <w:r w:rsidRPr="0060421C">
        <w:rPr>
          <w:rFonts w:cs="Calibri"/>
          <w:vertAlign w:val="subscript"/>
        </w:rPr>
        <w:t>2</w:t>
      </w:r>
      <w:r w:rsidRPr="0060421C">
        <w:rPr>
          <w:rFonts w:cs="Calibri"/>
        </w:rPr>
        <w:t>O</w:t>
      </w:r>
      <w:r w:rsidRPr="0060421C">
        <w:rPr>
          <w:rFonts w:cs="Calibri"/>
          <w:lang w:eastAsia="en-GB"/>
        </w:rPr>
        <w:t xml:space="preserve"> emissions</w:t>
      </w:r>
      <w:r w:rsidRPr="0060421C" w:rsidDel="004164C8">
        <w:rPr>
          <w:rFonts w:cs="Calibri"/>
          <w:lang w:eastAsia="en-GB"/>
        </w:rPr>
        <w:t xml:space="preserve"> </w:t>
      </w:r>
      <w:r w:rsidRPr="0060421C">
        <w:rPr>
          <w:rFonts w:cs="Calibri"/>
          <w:lang w:eastAsia="en-GB"/>
        </w:rPr>
        <w:t>are estimated using a Tier 3 approach.</w:t>
      </w:r>
      <w:r w:rsidRPr="0060421C">
        <w:rPr>
          <w:rFonts w:cs="Calibri"/>
        </w:rPr>
        <w:t xml:space="preserve"> Volume 2, annex 5</w:t>
      </w:r>
      <w:r w:rsidRPr="0060421C">
        <w:rPr>
          <w:rFonts w:cs="Calibri"/>
          <w:lang w:eastAsia="en-GB"/>
        </w:rPr>
        <w:t xml:space="preserve"> provides i</w:t>
      </w:r>
      <w:r w:rsidRPr="0060421C">
        <w:rPr>
          <w:rFonts w:cs="Calibri"/>
        </w:rPr>
        <w:t>nformation on non</w:t>
      </w:r>
      <w:r w:rsidRPr="0060421C">
        <w:rPr>
          <w:rFonts w:cs="Calibri"/>
        </w:rPr>
        <w:noBreakHyphen/>
        <w:t>CO</w:t>
      </w:r>
      <w:r w:rsidRPr="0060421C">
        <w:rPr>
          <w:rFonts w:cs="Calibri"/>
          <w:vertAlign w:val="subscript"/>
        </w:rPr>
        <w:t>2</w:t>
      </w:r>
      <w:r w:rsidRPr="0060421C">
        <w:rPr>
          <w:rFonts w:cs="Calibri"/>
        </w:rPr>
        <w:t xml:space="preserve"> emission factors.</w:t>
      </w:r>
    </w:p>
    <w:p w14:paraId="36602A28" w14:textId="77777777" w:rsidR="0038460F" w:rsidRPr="0060421C" w:rsidRDefault="0038460F" w:rsidP="0038460F">
      <w:pPr>
        <w:pStyle w:val="BodyText"/>
        <w:spacing w:before="100"/>
        <w:rPr>
          <w:rFonts w:cs="Calibri"/>
          <w:lang w:eastAsia="en-GB"/>
        </w:rPr>
      </w:pPr>
      <w:r w:rsidRPr="0060421C">
        <w:rPr>
          <w:rFonts w:cs="Calibri"/>
          <w:lang w:eastAsia="en-GB"/>
        </w:rPr>
        <w:t xml:space="preserve">Data collected by New Zealand’s Ministry of Transport provide comprehensive information on vehicle-kilometres-travelled by vehicle class and fuel type from 2001 onwards. </w:t>
      </w:r>
      <w:r w:rsidRPr="0060421C">
        <w:rPr>
          <w:rFonts w:cs="Calibri"/>
        </w:rPr>
        <w:t xml:space="preserve">Vehicle-kilometres-travelled were sourced from national warrant of fitness inspections. </w:t>
      </w:r>
      <w:r w:rsidRPr="0060421C">
        <w:rPr>
          <w:rFonts w:cs="Calibri"/>
          <w:spacing w:val="-2"/>
        </w:rPr>
        <w:t>These were further split into travel type (urban, rural, highway, motorway) using </w:t>
      </w:r>
      <w:r w:rsidRPr="0060421C">
        <w:rPr>
          <w:rFonts w:cs="Calibri"/>
          <w:spacing w:val="-2"/>
          <w:lang w:eastAsia="en-GB"/>
        </w:rPr>
        <w:t>New Zealand’</w:t>
      </w:r>
      <w:r w:rsidRPr="0060421C">
        <w:rPr>
          <w:rFonts w:cs="Calibri"/>
          <w:lang w:eastAsia="en-GB"/>
        </w:rPr>
        <w:t>s</w:t>
      </w:r>
      <w:r w:rsidRPr="0060421C">
        <w:rPr>
          <w:rFonts w:cs="Calibri"/>
        </w:rPr>
        <w:t xml:space="preserve"> Road Assessment and Maintenance Management system. The New Zealand Travel Survey (Ministry of Transport, 2010) is used to further split the ‘urban’ travel type into cold and hot starts. This survey provides detailed trip-by-trip information on travel type. These data were used to establish the percentages of light-vehicle urban travel that comprise cold starts and hot starts. </w:t>
      </w:r>
      <w:r w:rsidRPr="0060421C">
        <w:rPr>
          <w:rFonts w:cs="Calibri"/>
          <w:lang w:eastAsia="en-GB"/>
        </w:rPr>
        <w:t>Before 2001, insufficient data were available, so good practice guidance was used in choosing the splicing method to ensure time</w:t>
      </w:r>
      <w:r w:rsidRPr="0060421C">
        <w:rPr>
          <w:rFonts w:cs="Calibri"/>
          <w:lang w:eastAsia="en-GB"/>
        </w:rPr>
        <w:noBreakHyphen/>
        <w:t>series consistency.</w:t>
      </w:r>
    </w:p>
    <w:p w14:paraId="223E023F" w14:textId="77777777" w:rsidR="0038460F" w:rsidRPr="0060421C" w:rsidRDefault="0038460F" w:rsidP="0038460F">
      <w:pPr>
        <w:pStyle w:val="BodyText"/>
        <w:keepNext/>
      </w:pPr>
      <w:r w:rsidRPr="0060421C">
        <w:t xml:space="preserve">The current </w:t>
      </w:r>
      <w:r w:rsidRPr="0060421C">
        <w:rPr>
          <w:rFonts w:cs="Calibri"/>
          <w:lang w:eastAsia="en-GB"/>
        </w:rPr>
        <w:t xml:space="preserve">New </w:t>
      </w:r>
      <w:r w:rsidRPr="0060421C">
        <w:t>Zealand vehicle fleet is split relatively evenly between vehicles:</w:t>
      </w:r>
    </w:p>
    <w:p w14:paraId="3FE8E9D4" w14:textId="77777777" w:rsidR="0038460F" w:rsidRPr="0060421C" w:rsidRDefault="0038460F" w:rsidP="0038460F">
      <w:pPr>
        <w:pStyle w:val="Bullet"/>
      </w:pPr>
      <w:r w:rsidRPr="0060421C">
        <w:t>imported for sale as new vehicles</w:t>
      </w:r>
    </w:p>
    <w:p w14:paraId="655F33AB" w14:textId="77777777" w:rsidR="0038460F" w:rsidRPr="0060421C" w:rsidRDefault="0038460F" w:rsidP="0038460F">
      <w:pPr>
        <w:pStyle w:val="Bullet"/>
      </w:pPr>
      <w:r w:rsidRPr="0060421C">
        <w:t xml:space="preserve">produced and used in Japan and then imported into </w:t>
      </w:r>
      <w:r w:rsidRPr="0060421C">
        <w:rPr>
          <w:rFonts w:cs="Calibri"/>
          <w:lang w:eastAsia="en-GB"/>
        </w:rPr>
        <w:t>New Zealand</w:t>
      </w:r>
      <w:r w:rsidRPr="0060421C">
        <w:t>.</w:t>
      </w:r>
    </w:p>
    <w:p w14:paraId="104E162B" w14:textId="77777777" w:rsidR="0038460F" w:rsidRPr="0060421C" w:rsidRDefault="0038460F" w:rsidP="0038460F">
      <w:pPr>
        <w:pStyle w:val="BodyText"/>
      </w:pPr>
      <w:r w:rsidRPr="0060421C">
        <w:t xml:space="preserve">For this reason, estimates of emissions from road transport split the </w:t>
      </w:r>
      <w:r w:rsidRPr="0060421C">
        <w:rPr>
          <w:rFonts w:cs="Calibri"/>
          <w:lang w:eastAsia="en-GB"/>
        </w:rPr>
        <w:t>New Zealand</w:t>
      </w:r>
      <w:r w:rsidRPr="0060421C">
        <w:t xml:space="preserve"> vehicle fleet into sub-fleets: the ‘new vehicle fleet’ and the ‘used vehicle fleet’. This allocation is based on a vehicle’s year of manufacture rather than when it was first added to the </w:t>
      </w:r>
      <w:r w:rsidRPr="0060421C">
        <w:rPr>
          <w:rFonts w:cs="Calibri"/>
          <w:lang w:eastAsia="en-GB"/>
        </w:rPr>
        <w:t>New Zealand</w:t>
      </w:r>
      <w:r w:rsidRPr="0060421C">
        <w:t xml:space="preserve"> fleet. </w:t>
      </w:r>
    </w:p>
    <w:p w14:paraId="1EB52A71" w14:textId="77777777" w:rsidR="0038460F" w:rsidRPr="0060421C" w:rsidRDefault="0038460F" w:rsidP="0038460F">
      <w:pPr>
        <w:pStyle w:val="BodyText"/>
      </w:pPr>
      <w:r w:rsidRPr="0060421C">
        <w:t>New vehicles are allocated an appropriate vehicle class from the COPERT 4 model (European Environment Agency, 2007), and used Japanese vehicles are allocated emission factors as per categories from the Japanese Ministry of the Environment. These emission factors are broken down by:</w:t>
      </w:r>
    </w:p>
    <w:p w14:paraId="2729FB15" w14:textId="77777777" w:rsidR="0038460F" w:rsidRPr="0060421C" w:rsidRDefault="0038460F" w:rsidP="0038460F">
      <w:pPr>
        <w:pStyle w:val="Bullet"/>
      </w:pPr>
      <w:r w:rsidRPr="0060421C">
        <w:t>vehicle type</w:t>
      </w:r>
    </w:p>
    <w:p w14:paraId="109219CA" w14:textId="77777777" w:rsidR="0038460F" w:rsidRPr="0060421C" w:rsidRDefault="0038460F" w:rsidP="0038460F">
      <w:pPr>
        <w:pStyle w:val="Bullet"/>
      </w:pPr>
      <w:r w:rsidRPr="0060421C">
        <w:t xml:space="preserve">fuel type </w:t>
      </w:r>
    </w:p>
    <w:p w14:paraId="4FF426F5" w14:textId="77777777" w:rsidR="0038460F" w:rsidRPr="0060421C" w:rsidRDefault="0038460F" w:rsidP="0038460F">
      <w:pPr>
        <w:pStyle w:val="Bullet"/>
      </w:pPr>
      <w:r w:rsidRPr="0060421C">
        <w:t xml:space="preserve">vehicle weight class </w:t>
      </w:r>
    </w:p>
    <w:p w14:paraId="64877745" w14:textId="77777777" w:rsidR="0038460F" w:rsidRPr="0060421C" w:rsidRDefault="0038460F" w:rsidP="0038460F">
      <w:pPr>
        <w:pStyle w:val="Bullet"/>
      </w:pPr>
      <w:r w:rsidRPr="0060421C">
        <w:t>year of manufacture.</w:t>
      </w:r>
    </w:p>
    <w:p w14:paraId="3BF76BFB" w14:textId="77777777" w:rsidR="0038460F" w:rsidRPr="0060421C" w:rsidRDefault="0038460F" w:rsidP="0038460F">
      <w:pPr>
        <w:pStyle w:val="BodyText"/>
      </w:pPr>
      <w:r w:rsidRPr="0060421C">
        <w:t xml:space="preserve">Due to the presence of expensive catalysts, many used vehicles imported into </w:t>
      </w:r>
      <w:r w:rsidRPr="0060421C">
        <w:rPr>
          <w:lang w:eastAsia="en-GB"/>
        </w:rPr>
        <w:t>New Zealand</w:t>
      </w:r>
      <w:r w:rsidRPr="0060421C">
        <w:t xml:space="preserve"> have</w:t>
      </w:r>
      <w:r>
        <w:t xml:space="preserve"> </w:t>
      </w:r>
      <w:r w:rsidRPr="0060421C">
        <w:t xml:space="preserve">their catalytic converters removed before being exported from Japan. The Ministry of Transport undertook several testing studies to determine the proportion of catalytic converters that are removed in Japan before export. </w:t>
      </w:r>
    </w:p>
    <w:p w14:paraId="1DF654D3" w14:textId="77777777" w:rsidR="0038460F" w:rsidRPr="0060421C" w:rsidRDefault="0038460F" w:rsidP="0038460F">
      <w:pPr>
        <w:pStyle w:val="BodyText"/>
        <w:rPr>
          <w:lang w:eastAsia="en-US"/>
        </w:rPr>
      </w:pPr>
      <w:r w:rsidRPr="0060421C">
        <w:rPr>
          <w:lang w:eastAsia="en-GB"/>
        </w:rPr>
        <w:t>For the 2018 submission, the Ministry of Transport implemented several improvements for its estimates of non-CO</w:t>
      </w:r>
      <w:r w:rsidRPr="0060421C">
        <w:rPr>
          <w:vertAlign w:val="subscript"/>
          <w:lang w:eastAsia="en-GB"/>
        </w:rPr>
        <w:t>2</w:t>
      </w:r>
      <w:r w:rsidRPr="0060421C">
        <w:rPr>
          <w:lang w:eastAsia="en-GB"/>
        </w:rPr>
        <w:t xml:space="preserve"> emissions from road transport. First, new emission factors for Euro 5 and 6 vehicles have been used, where previously these vehicles were treated as Euro 4/IV. Second, t</w:t>
      </w:r>
      <w:r w:rsidRPr="0060421C">
        <w:t xml:space="preserve">he European Monitoring and Evaluation Programme/European Environment Agency emission inventory guidebook was updated in late 2016 (European Environment Agency, 2016). Some of the emission factors for Euro 4 and earlier vehicles were also updated in this version of the guidebook. Moreover, detailed emission factors were provided for heavy-duty trucks in different gross vehicle mass bands. </w:t>
      </w:r>
    </w:p>
    <w:p w14:paraId="0E20F7ED" w14:textId="77777777" w:rsidR="0038460F" w:rsidRPr="0060421C" w:rsidRDefault="0038460F" w:rsidP="0038460F">
      <w:pPr>
        <w:pStyle w:val="Heading6"/>
      </w:pPr>
      <w:r w:rsidRPr="0060421C">
        <w:t>Time-series consistency</w:t>
      </w:r>
    </w:p>
    <w:p w14:paraId="21D3E756" w14:textId="77777777" w:rsidR="0038460F" w:rsidRPr="0060421C" w:rsidRDefault="0038460F" w:rsidP="0038460F">
      <w:pPr>
        <w:pStyle w:val="BodyText"/>
        <w:spacing w:before="100" w:after="100"/>
        <w:rPr>
          <w:rFonts w:cs="Calibri"/>
          <w:lang w:eastAsia="en-GB"/>
        </w:rPr>
      </w:pPr>
      <w:bookmarkStart w:id="380" w:name="_Toc321399334"/>
      <w:r w:rsidRPr="0060421C">
        <w:rPr>
          <w:rFonts w:cs="Calibri"/>
          <w:lang w:eastAsia="en-GB"/>
        </w:rPr>
        <w:t>Insufficient data exist to apply the Tier 3 methodology before 2001. To maintain time series consistency, New Zealand combined methods following IPCC (2006) guidance on splicing techniques (volume 1, section 5.3.3). Emissions for 2001 to 2016 were calculated using both Tier 1 and Tier 3 approaches to establish the relationship between the two series (figure 3.2.10). This analysis informed the selection of the most appropriate splicing method, in line with IPCC guidelines (IPCC, 2006, volume 2, table 5.1).</w:t>
      </w:r>
    </w:p>
    <w:p w14:paraId="595E9679"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 </w:t>
      </w:r>
    </w:p>
    <w:p w14:paraId="1CBF7DB2" w14:textId="3FF6EF5D" w:rsidR="0038460F" w:rsidRPr="0060421C" w:rsidRDefault="0038460F" w:rsidP="0038460F">
      <w:pPr>
        <w:pStyle w:val="Figure"/>
        <w:spacing w:after="80"/>
        <w:rPr>
          <w:rFonts w:cs="Calibri"/>
        </w:rPr>
      </w:pPr>
      <w:bookmarkStart w:id="381" w:name="_Ref442370701"/>
      <w:bookmarkStart w:id="382" w:name="_Toc384582863"/>
      <w:bookmarkStart w:id="383" w:name="_Toc443060823"/>
      <w:bookmarkStart w:id="384" w:name="_Toc447275680"/>
      <w:bookmarkStart w:id="385" w:name="_Toc481751998"/>
      <w:bookmarkStart w:id="386" w:name="_Toc36292780"/>
      <w:bookmarkStart w:id="387" w:name="_Toc68786645"/>
      <w:bookmarkStart w:id="388" w:name="_Toc95834080"/>
      <w:bookmarkStart w:id="389" w:name="_Toc164154015"/>
      <w:bookmarkStart w:id="390" w:name="_Toc194674848"/>
      <w:bookmarkStart w:id="391" w:name="_Toc226200675"/>
      <w:r w:rsidRPr="0060421C">
        <w:rPr>
          <w:rFonts w:cs="Calibri"/>
        </w:rPr>
        <w:t>Figure 3.2.</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10</w:t>
      </w:r>
      <w:r w:rsidRPr="0060421C">
        <w:rPr>
          <w:rFonts w:cs="Calibri"/>
        </w:rPr>
        <w:fldChar w:fldCharType="end"/>
      </w:r>
      <w:bookmarkEnd w:id="381"/>
      <w:r w:rsidRPr="0060421C">
        <w:rPr>
          <w:rFonts w:cs="Calibri"/>
          <w:lang w:eastAsia="en-GB"/>
        </w:rPr>
        <w:t xml:space="preserve"> </w:t>
      </w:r>
      <w:r w:rsidRPr="0060421C">
        <w:rPr>
          <w:rFonts w:cs="Calibri"/>
          <w:lang w:eastAsia="en-GB"/>
        </w:rPr>
        <w:tab/>
        <w:t>Splicing method decision tree for gasoline emissions</w:t>
      </w:r>
      <w:bookmarkEnd w:id="380"/>
      <w:bookmarkEnd w:id="382"/>
      <w:bookmarkEnd w:id="383"/>
      <w:bookmarkEnd w:id="384"/>
      <w:bookmarkEnd w:id="385"/>
      <w:bookmarkEnd w:id="386"/>
      <w:bookmarkEnd w:id="387"/>
      <w:bookmarkEnd w:id="388"/>
      <w:bookmarkEnd w:id="389"/>
      <w:bookmarkEnd w:id="390"/>
      <w:bookmarkEnd w:id="391"/>
    </w:p>
    <w:p w14:paraId="7945D20E" w14:textId="77777777" w:rsidR="0038460F" w:rsidRPr="0060421C" w:rsidRDefault="0038460F" w:rsidP="0038460F">
      <w:pPr>
        <w:pStyle w:val="BodyText"/>
        <w:jc w:val="center"/>
      </w:pPr>
      <w:r w:rsidRPr="0060421C">
        <w:rPr>
          <w:noProof/>
        </w:rPr>
        <w:drawing>
          <wp:inline distT="0" distB="0" distL="0" distR="0" wp14:anchorId="1172CF5F" wp14:editId="233402D4">
            <wp:extent cx="5141343" cy="4160494"/>
            <wp:effectExtent l="0" t="0" r="2540" b="0"/>
            <wp:docPr id="1025526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26065" name="Picture 1025526065"/>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5149850" cy="4167378"/>
                    </a:xfrm>
                    <a:prstGeom prst="rect">
                      <a:avLst/>
                    </a:prstGeom>
                    <a:ln>
                      <a:noFill/>
                    </a:ln>
                    <a:extLst>
                      <a:ext uri="{53640926-AAD7-44D8-BBD7-CCE9431645EC}">
                        <a14:shadowObscured xmlns:a14="http://schemas.microsoft.com/office/drawing/2010/main"/>
                      </a:ext>
                    </a:extLst>
                  </pic:spPr>
                </pic:pic>
              </a:graphicData>
            </a:graphic>
          </wp:inline>
        </w:drawing>
      </w:r>
    </w:p>
    <w:p w14:paraId="06984C5D" w14:textId="77777777" w:rsidR="0038460F" w:rsidRPr="0060421C" w:rsidRDefault="0038460F" w:rsidP="0038460F">
      <w:pPr>
        <w:pStyle w:val="BodyText"/>
        <w:spacing w:before="100" w:after="100"/>
        <w:rPr>
          <w:rFonts w:cs="Calibri"/>
        </w:rPr>
      </w:pPr>
      <w:r w:rsidRPr="0060421C">
        <w:rPr>
          <w:rFonts w:cs="Calibri"/>
          <w:lang w:eastAsia="en-GB"/>
        </w:rPr>
        <w:t>For all fuels, interpolation was considered inappropriate due to the size of the block of unavailable data and the lack of data from before the missing bloc</w:t>
      </w:r>
      <w:r w:rsidRPr="0060421C">
        <w:rPr>
          <w:rFonts w:cs="Calibri"/>
        </w:rPr>
        <w:t xml:space="preserve">k (1990–2000). </w:t>
      </w:r>
    </w:p>
    <w:p w14:paraId="1BB64735" w14:textId="77777777" w:rsidR="0038460F" w:rsidRPr="0060421C" w:rsidRDefault="0038460F" w:rsidP="0038460F">
      <w:pPr>
        <w:pStyle w:val="BodyText"/>
        <w:spacing w:before="100" w:after="100"/>
        <w:rPr>
          <w:rFonts w:cs="Calibri"/>
        </w:rPr>
      </w:pPr>
      <w:r w:rsidRPr="0060421C">
        <w:rPr>
          <w:rFonts w:cs="Calibri"/>
        </w:rPr>
        <w:t xml:space="preserve">For emission estimates from </w:t>
      </w:r>
      <w:r w:rsidRPr="0060421C">
        <w:rPr>
          <w:rFonts w:cs="Calibri"/>
          <w:lang w:eastAsia="en-GB"/>
        </w:rPr>
        <w:t xml:space="preserve">LPG, the relationship between Tier 1 and Tier 3 appears nearly constant for both </w:t>
      </w:r>
      <w:r w:rsidRPr="0060421C">
        <w:rPr>
          <w:rFonts w:cs="Calibri"/>
        </w:rPr>
        <w:t>N</w:t>
      </w:r>
      <w:r w:rsidRPr="0060421C">
        <w:rPr>
          <w:rFonts w:cs="Calibri"/>
          <w:vertAlign w:val="subscript"/>
        </w:rPr>
        <w:t>2</w:t>
      </w:r>
      <w:r w:rsidRPr="0060421C">
        <w:rPr>
          <w:rFonts w:cs="Calibri"/>
        </w:rPr>
        <w:t>O</w:t>
      </w:r>
      <w:r w:rsidRPr="0060421C">
        <w:rPr>
          <w:rFonts w:cs="Calibri"/>
          <w:lang w:eastAsia="en-GB"/>
        </w:rPr>
        <w:t xml:space="preserve"> and </w:t>
      </w:r>
      <w:r w:rsidRPr="0060421C">
        <w:rPr>
          <w:rFonts w:cs="Calibri"/>
        </w:rPr>
        <w:t>CH</w:t>
      </w:r>
      <w:r w:rsidRPr="0060421C">
        <w:rPr>
          <w:rFonts w:cs="Calibri"/>
          <w:vertAlign w:val="subscript"/>
        </w:rPr>
        <w:t>4</w:t>
      </w:r>
      <w:r w:rsidRPr="0060421C">
        <w:rPr>
          <w:rFonts w:cs="Calibri"/>
          <w:lang w:eastAsia="en-GB"/>
        </w:rPr>
        <w:t xml:space="preserve"> from 2001 until 2002. As a result, the overlap method was used (IPCC, 2006), with:</w:t>
      </w:r>
    </w:p>
    <w:p w14:paraId="3AD6714E" w14:textId="77777777" w:rsidR="0038460F" w:rsidRPr="0060421C" w:rsidRDefault="00000000" w:rsidP="0038460F">
      <w:pPr>
        <w:pStyle w:val="BodyText"/>
        <w:spacing w:before="0" w:after="180"/>
        <w:jc w:val="center"/>
        <w:rPr>
          <w:rFonts w:cs="Calibri"/>
          <w:lang w:eastAsia="en-GB"/>
        </w:rPr>
      </w:pPr>
      <m:oMathPara>
        <m:oMath>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t</m:t>
              </m:r>
            </m:sub>
          </m:sSub>
          <m:r>
            <w:rPr>
              <w:rFonts w:ascii="Cambria Math" w:hAnsi="Cambria Math" w:cs="Calibri"/>
              <w:sz w:val="24"/>
              <w:lang w:eastAsia="en-GB"/>
            </w:rPr>
            <m:t>=</m:t>
          </m:r>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t</m:t>
              </m:r>
            </m:sub>
          </m:sSub>
          <m:d>
            <m:dPr>
              <m:ctrlPr>
                <w:rPr>
                  <w:rFonts w:ascii="Cambria Math" w:hAnsi="Cambria Math" w:cs="Calibri"/>
                  <w:i/>
                  <w:iCs/>
                  <w:sz w:val="24"/>
                  <w:lang w:eastAsia="en-GB"/>
                </w:rPr>
              </m:ctrlPr>
            </m:dPr>
            <m:e>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i</m:t>
                      </m:r>
                    </m:sub>
                  </m:sSub>
                </m:e>
              </m:nary>
              <m:r>
                <w:rPr>
                  <w:rFonts w:ascii="Cambria Math" w:hAnsi="Cambria Math" w:cs="Calibri"/>
                  <w:sz w:val="24"/>
                  <w:lang w:eastAsia="en-GB"/>
                </w:rPr>
                <m:t>/</m:t>
              </m:r>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i</m:t>
                      </m:r>
                    </m:sub>
                  </m:sSub>
                </m:e>
              </m:nary>
            </m:e>
          </m:d>
        </m:oMath>
      </m:oMathPara>
    </w:p>
    <w:p w14:paraId="4FC587E4" w14:textId="77777777" w:rsidR="0038460F" w:rsidRPr="0060421C" w:rsidRDefault="0038460F" w:rsidP="0038460F">
      <w:pPr>
        <w:pStyle w:val="BodyText"/>
        <w:spacing w:after="0"/>
        <w:ind w:left="964" w:hanging="964"/>
        <w:rPr>
          <w:rFonts w:cs="Calibri"/>
        </w:rPr>
      </w:pPr>
      <w:r w:rsidRPr="0060421C">
        <w:rPr>
          <w:rFonts w:cs="Calibri"/>
          <w:lang w:eastAsia="en-GB"/>
        </w:rPr>
        <w:t xml:space="preserve">Where: </w:t>
      </w:r>
      <w:r w:rsidRPr="0060421C">
        <w:rPr>
          <w:rFonts w:cs="Calibri"/>
          <w:lang w:eastAsia="en-GB"/>
        </w:rPr>
        <w:tab/>
      </w:r>
      <w:r w:rsidRPr="0060421C">
        <w:rPr>
          <w:rFonts w:cs="Calibri"/>
          <w:i/>
        </w:rPr>
        <w:t>y</w:t>
      </w:r>
      <w:r w:rsidRPr="0060421C">
        <w:rPr>
          <w:rFonts w:cs="Calibri"/>
          <w:vertAlign w:val="subscript"/>
        </w:rPr>
        <w:t>t</w:t>
      </w:r>
      <w:r w:rsidRPr="0060421C">
        <w:rPr>
          <w:rFonts w:cs="Calibri"/>
        </w:rPr>
        <w:t xml:space="preserve"> is the recalculated emission estimate computed using the overlap method</w:t>
      </w:r>
    </w:p>
    <w:p w14:paraId="67FB0566" w14:textId="77777777" w:rsidR="0038460F" w:rsidRPr="0060421C" w:rsidRDefault="0038460F" w:rsidP="0038460F">
      <w:pPr>
        <w:pStyle w:val="BodyText"/>
        <w:spacing w:before="80" w:after="0"/>
        <w:ind w:left="993" w:hanging="993"/>
      </w:pPr>
      <w:r w:rsidRPr="0060421C">
        <w:tab/>
      </w:r>
      <w:r w:rsidRPr="0060421C">
        <w:rPr>
          <w:i/>
        </w:rPr>
        <w:t>x</w:t>
      </w:r>
      <w:r w:rsidRPr="0060421C">
        <w:rPr>
          <w:vertAlign w:val="subscript"/>
        </w:rPr>
        <w:t>t</w:t>
      </w:r>
      <w:r w:rsidRPr="0060421C">
        <w:t xml:space="preserve"> is the estimate developed using the previous method</w:t>
      </w:r>
    </w:p>
    <w:p w14:paraId="240B1683" w14:textId="77777777" w:rsidR="0038460F" w:rsidRPr="0060421C" w:rsidRDefault="0038460F" w:rsidP="0038460F">
      <w:pPr>
        <w:pStyle w:val="BodyText"/>
        <w:spacing w:before="80"/>
        <w:ind w:left="993" w:hanging="993"/>
      </w:pPr>
      <w:r w:rsidRPr="0060421C">
        <w:tab/>
      </w:r>
      <w:r w:rsidRPr="0060421C">
        <w:rPr>
          <w:i/>
        </w:rPr>
        <w:t>y</w:t>
      </w:r>
      <w:r w:rsidRPr="0060421C">
        <w:rPr>
          <w:i/>
          <w:vertAlign w:val="subscript"/>
        </w:rPr>
        <w:t>i</w:t>
      </w:r>
      <w:r w:rsidRPr="0060421C">
        <w:t xml:space="preserve"> and </w:t>
      </w:r>
      <w:r w:rsidRPr="0060421C">
        <w:rPr>
          <w:i/>
        </w:rPr>
        <w:t>x</w:t>
      </w:r>
      <w:r w:rsidRPr="0060421C">
        <w:rPr>
          <w:i/>
          <w:vertAlign w:val="subscript"/>
        </w:rPr>
        <w:t>i</w:t>
      </w:r>
      <w:r w:rsidRPr="0060421C">
        <w:t xml:space="preserve"> are the estimates prepared using the new and previously used methods during the period of overlap, as denoted by years </w:t>
      </w:r>
      <w:r w:rsidRPr="0060421C">
        <w:rPr>
          <w:i/>
        </w:rPr>
        <w:t>m</w:t>
      </w:r>
      <w:r w:rsidRPr="0060421C">
        <w:t xml:space="preserve"> through </w:t>
      </w:r>
      <w:r w:rsidRPr="0060421C">
        <w:rPr>
          <w:i/>
        </w:rPr>
        <w:t>n</w:t>
      </w:r>
      <w:r w:rsidRPr="0060421C">
        <w:t>.</w:t>
      </w:r>
    </w:p>
    <w:p w14:paraId="586B6E1D" w14:textId="77777777" w:rsidR="0038460F" w:rsidRPr="0060421C" w:rsidRDefault="0038460F" w:rsidP="0038460F">
      <w:pPr>
        <w:pStyle w:val="BodyText"/>
        <w:spacing w:after="0"/>
        <w:rPr>
          <w:lang w:eastAsia="en-GB"/>
        </w:rPr>
      </w:pPr>
      <w:r w:rsidRPr="0060421C">
        <w:rPr>
          <w:lang w:eastAsia="en-GB"/>
        </w:rPr>
        <w:t xml:space="preserve">However, for gasoline and diesel vehicles, the ratio Tier 3:Tier 1 appears to change approximately linearly with time. While surrogates for Ministry of Transport data were available (fuel </w:t>
      </w:r>
      <w:r w:rsidRPr="0060421C">
        <w:t>consumption</w:t>
      </w:r>
      <w:r w:rsidRPr="0060421C">
        <w:rPr>
          <w:lang w:eastAsia="en-GB"/>
        </w:rPr>
        <w:t>), their use resulted in a step change that is unlikely to be representative of road transport emissions for the period. While the trend in emissions was not consistent over time, the trend of the Tier 3:Tier 1 ratio emission estimates showed a strong linear relationship with time. As a result, a hybrid method of overlap and trend extrapolation was chosen with:</w:t>
      </w:r>
    </w:p>
    <w:p w14:paraId="2C6C362A" w14:textId="77777777" w:rsidR="0038460F" w:rsidRPr="0060421C" w:rsidRDefault="00000000" w:rsidP="0038460F">
      <w:pPr>
        <w:pStyle w:val="BodyText"/>
        <w:spacing w:after="180"/>
        <w:jc w:val="center"/>
        <w:rPr>
          <w:i/>
          <w:sz w:val="24"/>
        </w:rPr>
      </w:pPr>
      <m:oMathPara>
        <m:oMath>
          <m:sSub>
            <m:sSubPr>
              <m:ctrlPr>
                <w:rPr>
                  <w:rFonts w:ascii="Cambria Math" w:hAnsi="Cambria Math"/>
                  <w:i/>
                  <w:iCs/>
                  <w:sz w:val="24"/>
                  <w:lang w:eastAsia="en-GB"/>
                </w:rPr>
              </m:ctrlPr>
            </m:sSubPr>
            <m:e>
              <m:r>
                <w:rPr>
                  <w:rFonts w:ascii="Cambria Math" w:hAnsi="Cambria Math"/>
                  <w:sz w:val="24"/>
                  <w:lang w:eastAsia="en-GB"/>
                </w:rPr>
                <m:t>y</m:t>
              </m:r>
            </m:e>
            <m:sub>
              <m:r>
                <w:rPr>
                  <w:rFonts w:ascii="Cambria Math" w:hAnsi="Cambria Math"/>
                  <w:sz w:val="24"/>
                  <w:lang w:eastAsia="en-GB"/>
                </w:rPr>
                <m:t>t</m:t>
              </m:r>
            </m:sub>
          </m:sSub>
          <m:r>
            <w:rPr>
              <w:rFonts w:ascii="Cambria Math" w:hAnsi="Cambria Math"/>
              <w:sz w:val="24"/>
              <w:lang w:eastAsia="en-GB"/>
            </w:rPr>
            <m:t>=(at+b)</m:t>
          </m:r>
          <m:sSub>
            <m:sSubPr>
              <m:ctrlPr>
                <w:rPr>
                  <w:rFonts w:ascii="Cambria Math" w:hAnsi="Cambria Math"/>
                  <w:i/>
                  <w:iCs/>
                  <w:sz w:val="24"/>
                  <w:lang w:eastAsia="en-GB"/>
                </w:rPr>
              </m:ctrlPr>
            </m:sSubPr>
            <m:e>
              <m:r>
                <w:rPr>
                  <w:rFonts w:ascii="Cambria Math" w:hAnsi="Cambria Math"/>
                  <w:sz w:val="24"/>
                  <w:lang w:eastAsia="en-GB"/>
                </w:rPr>
                <m:t>x</m:t>
              </m:r>
            </m:e>
            <m:sub>
              <m:r>
                <w:rPr>
                  <w:rFonts w:ascii="Cambria Math" w:hAnsi="Cambria Math"/>
                  <w:sz w:val="24"/>
                  <w:lang w:eastAsia="en-GB"/>
                </w:rPr>
                <m:t>t</m:t>
              </m:r>
            </m:sub>
          </m:sSub>
        </m:oMath>
      </m:oMathPara>
    </w:p>
    <w:p w14:paraId="4E66A4C0" w14:textId="77777777" w:rsidR="0038460F" w:rsidRPr="0060421C" w:rsidRDefault="0038460F" w:rsidP="0038460F">
      <w:pPr>
        <w:pStyle w:val="BodyText"/>
        <w:spacing w:before="80" w:after="0"/>
        <w:ind w:left="907" w:hanging="907"/>
      </w:pPr>
      <w:r w:rsidRPr="0060421C">
        <w:rPr>
          <w:lang w:eastAsia="en-GB"/>
        </w:rPr>
        <w:t xml:space="preserve">Where: </w:t>
      </w:r>
      <w:r w:rsidRPr="0060421C">
        <w:rPr>
          <w:lang w:eastAsia="en-GB"/>
        </w:rPr>
        <w:tab/>
      </w:r>
      <w:r w:rsidRPr="0060421C">
        <w:rPr>
          <w:i/>
        </w:rPr>
        <w:t>t</w:t>
      </w:r>
      <w:r w:rsidRPr="0060421C">
        <w:t xml:space="preserve"> is the year for which a new estimate is required</w:t>
      </w:r>
    </w:p>
    <w:p w14:paraId="52CB3C21" w14:textId="77777777" w:rsidR="0038460F" w:rsidRPr="0060421C" w:rsidRDefault="0038460F" w:rsidP="0038460F">
      <w:pPr>
        <w:pStyle w:val="BodyText"/>
        <w:spacing w:before="80" w:after="0"/>
        <w:ind w:left="907" w:hanging="907"/>
      </w:pPr>
      <w:r w:rsidRPr="0060421C">
        <w:rPr>
          <w:i/>
        </w:rPr>
        <w:tab/>
        <w:t>a</w:t>
      </w:r>
      <w:r w:rsidRPr="0060421C">
        <w:t xml:space="preserve"> is the slope of the line achieved by regressing Tier 3:Tier 1 for the overlap period</w:t>
      </w:r>
    </w:p>
    <w:p w14:paraId="59CEAAC8" w14:textId="77777777" w:rsidR="0038460F" w:rsidRPr="0060421C" w:rsidRDefault="0038460F" w:rsidP="0038460F">
      <w:pPr>
        <w:pStyle w:val="BodyText"/>
        <w:spacing w:before="80" w:after="0"/>
        <w:ind w:left="907" w:hanging="907"/>
        <w:rPr>
          <w:spacing w:val="-2"/>
        </w:rPr>
      </w:pPr>
      <w:r w:rsidRPr="0060421C">
        <w:rPr>
          <w:i/>
        </w:rPr>
        <w:tab/>
      </w:r>
      <w:r w:rsidRPr="0060421C">
        <w:rPr>
          <w:i/>
          <w:spacing w:val="-2"/>
        </w:rPr>
        <w:t>b</w:t>
      </w:r>
      <w:r w:rsidRPr="0060421C">
        <w:rPr>
          <w:spacing w:val="-2"/>
        </w:rPr>
        <w:t xml:space="preserve"> is the intercept of the line achieved by regressing Tier 3:Tier 1 for the overlap period</w:t>
      </w:r>
    </w:p>
    <w:p w14:paraId="687AB0F7" w14:textId="77777777" w:rsidR="0038460F" w:rsidRPr="0060421C" w:rsidRDefault="0038460F" w:rsidP="0038460F">
      <w:pPr>
        <w:pStyle w:val="BodyText"/>
        <w:spacing w:before="80"/>
        <w:ind w:left="907" w:hanging="907"/>
      </w:pPr>
      <w:r w:rsidRPr="0060421C">
        <w:tab/>
      </w:r>
      <w:r w:rsidRPr="0060421C">
        <w:rPr>
          <w:i/>
        </w:rPr>
        <w:t>x</w:t>
      </w:r>
      <w:r w:rsidRPr="0060421C">
        <w:rPr>
          <w:i/>
          <w:vertAlign w:val="subscript"/>
        </w:rPr>
        <w:t>t</w:t>
      </w:r>
      <w:r w:rsidRPr="0060421C">
        <w:t xml:space="preserve"> is the estimate for year </w:t>
      </w:r>
      <w:r w:rsidRPr="0060421C">
        <w:rPr>
          <w:i/>
        </w:rPr>
        <w:t>t</w:t>
      </w:r>
      <w:r w:rsidRPr="0060421C">
        <w:t xml:space="preserve"> using the previous methodology.</w:t>
      </w:r>
    </w:p>
    <w:p w14:paraId="45E3ECAA" w14:textId="77777777" w:rsidR="0038460F" w:rsidRPr="0060421C" w:rsidRDefault="0038460F" w:rsidP="0038460F">
      <w:pPr>
        <w:pStyle w:val="BodyText"/>
        <w:rPr>
          <w:lang w:eastAsia="en-GB"/>
        </w:rPr>
      </w:pPr>
      <w:r w:rsidRPr="0060421C">
        <w:rPr>
          <w:lang w:eastAsia="en-GB"/>
        </w:rPr>
        <w:t>The relationship between Tier 3 and Tier 1 emissions is linear from 2001 to 2005 (inclusive) for both CH</w:t>
      </w:r>
      <w:r w:rsidRPr="0060421C">
        <w:rPr>
          <w:vertAlign w:val="subscript"/>
          <w:lang w:eastAsia="en-GB"/>
        </w:rPr>
        <w:t>4</w:t>
      </w:r>
      <w:r w:rsidRPr="0060421C">
        <w:rPr>
          <w:lang w:eastAsia="en-GB"/>
        </w:rPr>
        <w:t xml:space="preserve"> and N</w:t>
      </w:r>
      <w:r w:rsidRPr="0060421C">
        <w:rPr>
          <w:vertAlign w:val="subscript"/>
          <w:lang w:eastAsia="en-GB"/>
        </w:rPr>
        <w:t>2</w:t>
      </w:r>
      <w:r w:rsidRPr="0060421C">
        <w:rPr>
          <w:lang w:eastAsia="en-GB"/>
        </w:rPr>
        <w:t>O. This relationship was extrapolated back to the beginning of the time series to derive a factor by which to multiply the Tier 1 estimate for a given year.</w:t>
      </w:r>
    </w:p>
    <w:p w14:paraId="53FB160A" w14:textId="77777777" w:rsidR="0038460F" w:rsidRPr="0060421C" w:rsidRDefault="0038460F" w:rsidP="0038460F">
      <w:pPr>
        <w:pStyle w:val="Heading6"/>
      </w:pPr>
      <w:r w:rsidRPr="0060421C">
        <w:t>Dual-fuel vehicles</w:t>
      </w:r>
    </w:p>
    <w:p w14:paraId="62896721" w14:textId="77777777" w:rsidR="0038460F" w:rsidRPr="0060421C" w:rsidRDefault="0038460F" w:rsidP="0038460F">
      <w:pPr>
        <w:pStyle w:val="BodyText"/>
        <w:rPr>
          <w:lang w:eastAsia="en-GB"/>
        </w:rPr>
      </w:pPr>
      <w:r w:rsidRPr="0060421C">
        <w:t xml:space="preserve">Historically, the </w:t>
      </w:r>
      <w:r w:rsidRPr="0060421C">
        <w:rPr>
          <w:lang w:eastAsia="en-GB"/>
        </w:rPr>
        <w:t xml:space="preserve">New Zealand </w:t>
      </w:r>
      <w:r w:rsidRPr="0060421C">
        <w:t xml:space="preserve">Government encouraged the production and use of dual fuels (CNG–gasoline and LPG–gasoline) in transport as a strategy to reduce </w:t>
      </w:r>
      <w:r w:rsidRPr="0060421C">
        <w:rPr>
          <w:lang w:eastAsia="en-GB"/>
        </w:rPr>
        <w:t>New Zealand’s</w:t>
      </w:r>
      <w:r w:rsidRPr="0060421C">
        <w:t xml:space="preserve"> dependence on imported oil. </w:t>
      </w:r>
      <w:r w:rsidRPr="0060421C">
        <w:rPr>
          <w:lang w:eastAsia="en-GB"/>
        </w:rPr>
        <w:t>New Zealand</w:t>
      </w:r>
      <w:r w:rsidRPr="0060421C">
        <w:t xml:space="preserve"> saw significant use of dual fuels in vehicles until 1987, when government subsidies were removed. Since then, dual fuel use has decreased, due both to the removal of subsidies and to falling oil prices. The last recorded use of dual fuels in </w:t>
      </w:r>
      <w:r w:rsidRPr="0060421C">
        <w:rPr>
          <w:lang w:eastAsia="en-GB"/>
        </w:rPr>
        <w:t>New Zealand</w:t>
      </w:r>
      <w:r w:rsidRPr="0060421C">
        <w:t xml:space="preserve"> was a Hamilton bus company, which continued using CNG in its bus fleet until 2017. Use of CNG or LPG for transport has not been recorded since.</w:t>
      </w:r>
    </w:p>
    <w:p w14:paraId="4C465399" w14:textId="77777777" w:rsidR="0038460F" w:rsidRPr="0060421C" w:rsidRDefault="0038460F" w:rsidP="0038460F">
      <w:pPr>
        <w:pStyle w:val="BodyText"/>
        <w:rPr>
          <w:rFonts w:cs="Calibri"/>
          <w:lang w:eastAsia="en-GB"/>
        </w:rPr>
      </w:pPr>
      <w:r w:rsidRPr="0060421C">
        <w:rPr>
          <w:rFonts w:cs="Calibri"/>
          <w:spacing w:val="-2"/>
          <w:lang w:eastAsia="en-GB"/>
        </w:rPr>
        <w:t xml:space="preserve">The vehicle-kilometres-travelled data provided by the Ministry of Transport allocate all vehicles using dual fuels (LPG–gasoline and CNG–gasoline) to the </w:t>
      </w:r>
      <w:r w:rsidRPr="0060421C">
        <w:rPr>
          <w:rFonts w:cs="Calibri"/>
          <w:i/>
          <w:iCs/>
          <w:spacing w:val="-2"/>
          <w:lang w:eastAsia="en-GB"/>
        </w:rPr>
        <w:t>Gasoline</w:t>
      </w:r>
      <w:r w:rsidRPr="0060421C">
        <w:rPr>
          <w:rFonts w:cs="Calibri"/>
          <w:spacing w:val="-2"/>
          <w:lang w:eastAsia="en-GB"/>
        </w:rPr>
        <w:t xml:space="preserve"> category. Historically, non-CO</w:t>
      </w:r>
      <w:r w:rsidRPr="0060421C">
        <w:rPr>
          <w:rFonts w:cs="Calibri"/>
          <w:spacing w:val="-2"/>
          <w:vertAlign w:val="subscript"/>
          <w:lang w:eastAsia="en-GB"/>
        </w:rPr>
        <w:t>2</w:t>
      </w:r>
      <w:r w:rsidRPr="0060421C">
        <w:rPr>
          <w:rFonts w:cs="Calibri"/>
          <w:spacing w:val="-2"/>
          <w:lang w:eastAsia="en-GB"/>
        </w:rPr>
        <w:t xml:space="preserve"> emission factors have been lower for LPG than for gasoline, and correctly allocating dual fuel activity data between gasoline and LPG would result in a slight decrease in overall emissions. As a</w:t>
      </w:r>
      <w:r>
        <w:rPr>
          <w:lang w:eastAsia="en-GB"/>
        </w:rPr>
        <w:t> </w:t>
      </w:r>
      <w:r w:rsidRPr="0060421C">
        <w:rPr>
          <w:rFonts w:cs="Calibri"/>
          <w:spacing w:val="-2"/>
          <w:lang w:eastAsia="en-GB"/>
        </w:rPr>
        <w:t>result, activity data for LPG–gasoline dual-fuel vehicles were not reallocated due to a desire to be conservative when applying methods that would lead to net emission reductions</w:t>
      </w:r>
      <w:r w:rsidRPr="0060421C">
        <w:rPr>
          <w:rFonts w:cs="Calibri"/>
          <w:lang w:eastAsia="en-GB"/>
        </w:rPr>
        <w:t>.</w:t>
      </w:r>
    </w:p>
    <w:p w14:paraId="41020307" w14:textId="77777777" w:rsidR="0038460F" w:rsidRPr="0060421C" w:rsidRDefault="0038460F" w:rsidP="0038460F">
      <w:pPr>
        <w:pStyle w:val="BodyText"/>
        <w:rPr>
          <w:lang w:eastAsia="en-GB"/>
        </w:rPr>
      </w:pPr>
      <w:r w:rsidRPr="0060421C">
        <w:rPr>
          <w:lang w:eastAsia="en-GB"/>
        </w:rPr>
        <w:t xml:space="preserve">To ensure that emissions were not </w:t>
      </w:r>
      <w:r w:rsidRPr="0060421C">
        <w:t>underestimated</w:t>
      </w:r>
      <w:r w:rsidRPr="0060421C">
        <w:rPr>
          <w:lang w:eastAsia="en-GB"/>
        </w:rPr>
        <w:t>, an estimate of the fuel used in CNG buses was also made. The remaining natural gas was then assumed to be combusted in converted light passenger vehicles, and an IPCC default emission factor was used to estimate the associated emissions.</w:t>
      </w:r>
    </w:p>
    <w:p w14:paraId="053AF358" w14:textId="77777777" w:rsidR="0038460F" w:rsidRPr="0060421C" w:rsidRDefault="0038460F" w:rsidP="0038460F">
      <w:pPr>
        <w:pStyle w:val="Heading6"/>
      </w:pPr>
      <w:r w:rsidRPr="0060421C">
        <w:t>Blended biofuels</w:t>
      </w:r>
    </w:p>
    <w:p w14:paraId="41963B9A" w14:textId="77777777" w:rsidR="0038460F" w:rsidRPr="0060421C" w:rsidRDefault="0038460F" w:rsidP="0038460F">
      <w:pPr>
        <w:pStyle w:val="BodyText"/>
        <w:rPr>
          <w:lang w:eastAsia="en-GB"/>
        </w:rPr>
      </w:pPr>
      <w:r w:rsidRPr="0060421C">
        <w:rPr>
          <w:lang w:eastAsia="en-GB"/>
        </w:rPr>
        <w:t xml:space="preserve">Since 2007, some fuel retailers have sold small volumes of biogasoline and biodiesel blended with fossil oil products (data on these exist from 2007 onwards). These fuels are categorised under 1.A.3.b </w:t>
      </w:r>
      <w:r w:rsidRPr="0060421C">
        <w:rPr>
          <w:i/>
          <w:lang w:eastAsia="en-GB"/>
        </w:rPr>
        <w:t>Road transportation</w:t>
      </w:r>
      <w:r w:rsidRPr="0060421C">
        <w:rPr>
          <w:lang w:eastAsia="en-GB"/>
        </w:rPr>
        <w:t xml:space="preserve">. To ensure that liquid biofuel combustion is considered correctly in the inventory, the energy split (i.e., gasoline as a share of combined gasoline and biogasoline or mineral diesel as a share of mineral diesel and biodiesel) was calculated first, and then the new estimate was multiplied by this factor to account for the biofuel proportion of the fuel. The emissions from the combustion of biofuels were then estimated using a Tier 1 methodology, as in previous inventories. </w:t>
      </w:r>
    </w:p>
    <w:p w14:paraId="3B796B79" w14:textId="77777777" w:rsidR="0038460F" w:rsidRPr="0060421C" w:rsidRDefault="0038460F" w:rsidP="0038460F">
      <w:pPr>
        <w:pStyle w:val="Heading6"/>
      </w:pPr>
      <w:r w:rsidRPr="0060421C">
        <w:t>Biodiesel</w:t>
      </w:r>
    </w:p>
    <w:p w14:paraId="3C1CC358" w14:textId="77777777" w:rsidR="0038460F" w:rsidRPr="0060421C" w:rsidRDefault="0038460F" w:rsidP="0038460F">
      <w:pPr>
        <w:pStyle w:val="BodyText"/>
        <w:rPr>
          <w:lang w:eastAsia="en-GB"/>
        </w:rPr>
      </w:pPr>
      <w:r w:rsidRPr="0060421C">
        <w:rPr>
          <w:lang w:eastAsia="en-GB"/>
        </w:rPr>
        <w:t xml:space="preserve">Blended biodiesel has been disaggregated into biogenic and </w:t>
      </w:r>
      <w:r w:rsidRPr="0060421C">
        <w:t>fossil</w:t>
      </w:r>
      <w:r w:rsidRPr="0060421C">
        <w:rPr>
          <w:lang w:eastAsia="en-GB"/>
        </w:rPr>
        <w:t xml:space="preserve"> fractions in our reporting. The biodiesel biogenic fraction continues to be classified as </w:t>
      </w:r>
      <w:r w:rsidRPr="0060421C">
        <w:rPr>
          <w:i/>
          <w:lang w:eastAsia="en-GB"/>
        </w:rPr>
        <w:t>Biomass</w:t>
      </w:r>
      <w:r w:rsidRPr="0060421C">
        <w:rPr>
          <w:lang w:eastAsia="en-GB"/>
        </w:rPr>
        <w:t xml:space="preserve">, while the biodiesel fossil fraction is classified as </w:t>
      </w:r>
      <w:r w:rsidRPr="0060421C">
        <w:rPr>
          <w:i/>
          <w:lang w:eastAsia="en-GB"/>
        </w:rPr>
        <w:t>Other fossil fuels</w:t>
      </w:r>
      <w:r w:rsidRPr="0060421C">
        <w:rPr>
          <w:lang w:eastAsia="en-GB"/>
        </w:rPr>
        <w:t>.</w:t>
      </w:r>
    </w:p>
    <w:p w14:paraId="367EDE43" w14:textId="77777777" w:rsidR="0038460F" w:rsidRPr="0060421C" w:rsidRDefault="0038460F" w:rsidP="0038460F">
      <w:pPr>
        <w:pStyle w:val="BodyText"/>
        <w:rPr>
          <w:lang w:eastAsia="en-GB"/>
        </w:rPr>
      </w:pPr>
      <w:r w:rsidRPr="0060421C">
        <w:rPr>
          <w:lang w:eastAsia="en-GB"/>
        </w:rPr>
        <w:t>Biodiesel produced and consumed in New Zealand is generally fatty acid methyl ester (</w:t>
      </w:r>
      <w:r w:rsidRPr="0060421C">
        <w:t>FAME</w:t>
      </w:r>
      <w:r w:rsidRPr="0060421C">
        <w:rPr>
          <w:lang w:eastAsia="en-GB"/>
        </w:rPr>
        <w:t xml:space="preserve">). </w:t>
      </w:r>
      <w:r w:rsidRPr="0060421C">
        <w:rPr>
          <w:spacing w:val="-2"/>
          <w:lang w:eastAsia="en-GB"/>
        </w:rPr>
        <w:t>To produce FAME, vegetable oil or animal fat is trans-esterified with methanol, which is assumed</w:t>
      </w:r>
      <w:r w:rsidRPr="0060421C">
        <w:rPr>
          <w:lang w:eastAsia="en-GB"/>
        </w:rPr>
        <w:t xml:space="preserve"> to be of fossil origin. Consequently, every single molecule of FAME contains one fossil carbon </w:t>
      </w:r>
      <w:r w:rsidRPr="0060421C">
        <w:rPr>
          <w:spacing w:val="-2"/>
          <w:lang w:eastAsia="en-GB"/>
        </w:rPr>
        <w:t>atom. While the exact fraction of fossil carbon in FAME depends on the nature of the feedstock</w:t>
      </w:r>
      <w:r w:rsidRPr="0060421C">
        <w:rPr>
          <w:lang w:eastAsia="en-GB"/>
        </w:rPr>
        <w:t xml:space="preserve"> oil, a value of 5.4 percent is assumed based on measurements of a range of biodiesels from Reddy et al. (2008). As a result, part of the CO</w:t>
      </w:r>
      <w:r w:rsidRPr="0060421C">
        <w:rPr>
          <w:vertAlign w:val="subscript"/>
          <w:lang w:eastAsia="en-GB"/>
        </w:rPr>
        <w:t>2</w:t>
      </w:r>
      <w:r w:rsidRPr="0060421C">
        <w:rPr>
          <w:lang w:eastAsia="en-GB"/>
        </w:rPr>
        <w:t xml:space="preserve"> emissions previously reported as biomass memo items are now included in the national total emissions.</w:t>
      </w:r>
    </w:p>
    <w:p w14:paraId="3C217B45" w14:textId="77777777" w:rsidR="0038460F" w:rsidRPr="0060421C" w:rsidRDefault="0038460F" w:rsidP="0038460F">
      <w:pPr>
        <w:pStyle w:val="Heading5"/>
        <w:spacing w:before="220"/>
      </w:pPr>
      <w:r w:rsidRPr="0060421C">
        <w:rPr>
          <w:lang w:eastAsia="en-GB"/>
        </w:rPr>
        <w:t>1.A.3.c Railways</w:t>
      </w:r>
    </w:p>
    <w:p w14:paraId="6B82D21E" w14:textId="77777777" w:rsidR="0038460F" w:rsidRPr="0060421C" w:rsidRDefault="0038460F" w:rsidP="0038460F">
      <w:pPr>
        <w:pStyle w:val="BodyText"/>
        <w:spacing w:before="100" w:after="100"/>
        <w:rPr>
          <w:rFonts w:cs="Calibri"/>
          <w:lang w:eastAsia="en-GB"/>
        </w:rPr>
      </w:pPr>
      <w:r w:rsidRPr="0060421C">
        <w:rPr>
          <w:rFonts w:cs="Calibri"/>
          <w:lang w:eastAsia="en-GB"/>
        </w:rPr>
        <w:t>Non-CO</w:t>
      </w:r>
      <w:r w:rsidRPr="0060421C">
        <w:rPr>
          <w:rFonts w:cs="Calibri"/>
          <w:vertAlign w:val="subscript"/>
          <w:lang w:eastAsia="en-GB"/>
        </w:rPr>
        <w:t>2</w:t>
      </w:r>
      <w:r w:rsidRPr="0060421C">
        <w:rPr>
          <w:rFonts w:cs="Calibri"/>
          <w:lang w:eastAsia="en-GB"/>
        </w:rPr>
        <w:t xml:space="preserve"> emissions from the </w:t>
      </w:r>
      <w:r w:rsidRPr="0060421C">
        <w:rPr>
          <w:rFonts w:cs="Calibri"/>
          <w:i/>
          <w:lang w:eastAsia="en-GB"/>
        </w:rPr>
        <w:t>Railways</w:t>
      </w:r>
      <w:r w:rsidRPr="0060421C">
        <w:rPr>
          <w:rFonts w:cs="Calibri"/>
          <w:lang w:eastAsia="en-GB"/>
        </w:rPr>
        <w:t xml:space="preserve"> category (including both liquid and solid fuels) were estimated using a Tier 1 approach (IPCC, 2006).</w:t>
      </w:r>
    </w:p>
    <w:p w14:paraId="14C3B0C1" w14:textId="77777777" w:rsidR="0038460F" w:rsidRPr="0060421C" w:rsidRDefault="0038460F" w:rsidP="0038460F">
      <w:pPr>
        <w:pStyle w:val="Heading5"/>
        <w:spacing w:before="220"/>
        <w:rPr>
          <w:lang w:eastAsia="en-GB"/>
        </w:rPr>
      </w:pPr>
      <w:r w:rsidRPr="0060421C">
        <w:rPr>
          <w:lang w:eastAsia="en-GB"/>
        </w:rPr>
        <w:t>1.A.3.d Navigation (domestic marine transport)</w:t>
      </w:r>
    </w:p>
    <w:p w14:paraId="3260864D" w14:textId="77777777" w:rsidR="0038460F" w:rsidRPr="0060421C" w:rsidRDefault="0038460F" w:rsidP="0038460F">
      <w:pPr>
        <w:pStyle w:val="BodyText"/>
        <w:spacing w:before="100" w:after="100"/>
        <w:rPr>
          <w:rFonts w:cs="Calibri"/>
          <w:lang w:eastAsia="en-GB"/>
        </w:rPr>
      </w:pPr>
      <w:r w:rsidRPr="0060421C">
        <w:rPr>
          <w:rFonts w:cs="Calibri"/>
          <w:lang w:eastAsia="en-GB"/>
        </w:rPr>
        <w:t>Non-CO</w:t>
      </w:r>
      <w:r w:rsidRPr="0060421C">
        <w:rPr>
          <w:rFonts w:cs="Calibri"/>
          <w:vertAlign w:val="subscript"/>
          <w:lang w:eastAsia="en-GB"/>
        </w:rPr>
        <w:t>2</w:t>
      </w:r>
      <w:r w:rsidRPr="0060421C">
        <w:rPr>
          <w:rFonts w:cs="Calibri"/>
          <w:lang w:eastAsia="en-GB"/>
        </w:rPr>
        <w:t xml:space="preserve"> emissions from the </w:t>
      </w:r>
      <w:r w:rsidRPr="0060421C">
        <w:rPr>
          <w:rFonts w:cs="Calibri"/>
          <w:i/>
          <w:lang w:eastAsia="en-GB"/>
        </w:rPr>
        <w:t>Navigation</w:t>
      </w:r>
      <w:r w:rsidRPr="0060421C">
        <w:rPr>
          <w:rFonts w:cs="Calibri"/>
          <w:lang w:eastAsia="en-GB"/>
        </w:rPr>
        <w:t xml:space="preserve"> category in New Zealand were estimated using a Tier 1 approach (IPCC, 2006).</w:t>
      </w:r>
    </w:p>
    <w:p w14:paraId="3C0CF590" w14:textId="77777777" w:rsidR="0038460F" w:rsidRPr="0060421C" w:rsidRDefault="0038460F" w:rsidP="0038460F">
      <w:pPr>
        <w:pStyle w:val="Heading5"/>
        <w:spacing w:before="220"/>
        <w:rPr>
          <w:lang w:eastAsia="en-GB"/>
        </w:rPr>
      </w:pPr>
      <w:r w:rsidRPr="0060421C">
        <w:rPr>
          <w:lang w:eastAsia="en-GB"/>
        </w:rPr>
        <w:t>1.A.3.e Other transportation</w:t>
      </w:r>
    </w:p>
    <w:p w14:paraId="58357AFD"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Combustion related to pipeline transport has been recategorised from 1.A.1.c </w:t>
      </w:r>
      <w:r w:rsidRPr="0060421C">
        <w:rPr>
          <w:rFonts w:cs="Calibri"/>
          <w:i/>
          <w:iCs/>
          <w:lang w:eastAsia="en-GB"/>
        </w:rPr>
        <w:t>Manufacture of solid fuels and other energy industries</w:t>
      </w:r>
      <w:r w:rsidRPr="0060421C">
        <w:rPr>
          <w:rFonts w:cs="Calibri"/>
          <w:lang w:eastAsia="en-GB"/>
        </w:rPr>
        <w:t xml:space="preserve"> to 1.A.3.e.i </w:t>
      </w:r>
      <w:r w:rsidRPr="0060421C">
        <w:rPr>
          <w:rFonts w:cs="Calibri"/>
          <w:i/>
          <w:lang w:eastAsia="en-GB"/>
        </w:rPr>
        <w:t>Pipeline transport</w:t>
      </w:r>
      <w:r w:rsidRPr="0060421C">
        <w:rPr>
          <w:rFonts w:cs="Calibri"/>
          <w:iCs/>
          <w:lang w:eastAsia="en-GB"/>
        </w:rPr>
        <w:t>,</w:t>
      </w:r>
      <w:r w:rsidRPr="0060421C">
        <w:rPr>
          <w:rFonts w:cs="Calibri"/>
          <w:lang w:eastAsia="en-GB"/>
        </w:rPr>
        <w:t xml:space="preserve"> in response to feedback received from the ERT during the 2018 centralised review.</w:t>
      </w:r>
    </w:p>
    <w:p w14:paraId="16BC2869" w14:textId="77777777" w:rsidR="0038460F" w:rsidRPr="0060421C" w:rsidRDefault="0038460F" w:rsidP="0038460F">
      <w:pPr>
        <w:pStyle w:val="BodyText"/>
        <w:spacing w:before="100" w:after="100"/>
        <w:rPr>
          <w:rFonts w:cs="Calibri"/>
        </w:rPr>
      </w:pPr>
      <w:r w:rsidRPr="0060421C">
        <w:rPr>
          <w:rFonts w:cs="Calibri"/>
        </w:rPr>
        <w:t xml:space="preserve">A recent development in </w:t>
      </w:r>
      <w:r w:rsidRPr="0060421C">
        <w:rPr>
          <w:rFonts w:cs="Calibri"/>
          <w:lang w:eastAsia="en-GB"/>
        </w:rPr>
        <w:t>New Zealand</w:t>
      </w:r>
      <w:r w:rsidRPr="0060421C">
        <w:rPr>
          <w:rFonts w:cs="Calibri"/>
        </w:rPr>
        <w:t xml:space="preserve"> is the emergence of a growing aerospace industry, with the number of rockets launched from New Zealand increasing from 3 in 2019 to 16 in 2024 (MBIE, 2025c). In </w:t>
      </w:r>
      <w:r w:rsidRPr="0060421C">
        <w:rPr>
          <w:rFonts w:cs="Calibri"/>
          <w:lang w:eastAsia="en-GB"/>
        </w:rPr>
        <w:t>New Zealand</w:t>
      </w:r>
      <w:r w:rsidRPr="0060421C">
        <w:rPr>
          <w:rFonts w:cs="Calibri"/>
        </w:rPr>
        <w:t xml:space="preserve">, space-related activities (launches into outer space, launch facilities, high-altitude vehicles and payloads) are overseen by the New Zealand Space Agency, based within MBIE, as regulated in legislation by the Outer Space and High-altitude Activities Act 2017. Currently, one private company, Rocket Lab, is </w:t>
      </w:r>
      <w:r w:rsidRPr="0060421C">
        <w:rPr>
          <w:rFonts w:eastAsia="Segoe UI" w:cs="Calibri"/>
        </w:rPr>
        <w:t xml:space="preserve">operating an ongoing programme </w:t>
      </w:r>
      <w:r w:rsidRPr="0060421C">
        <w:rPr>
          <w:rFonts w:cs="Calibri"/>
        </w:rPr>
        <w:t>of</w:t>
      </w:r>
      <w:r>
        <w:rPr>
          <w:rFonts w:cs="Calibri"/>
        </w:rPr>
        <w:t> </w:t>
      </w:r>
      <w:r w:rsidRPr="0060421C">
        <w:rPr>
          <w:rFonts w:cs="Calibri"/>
        </w:rPr>
        <w:t>launching rockets from a launch complex on the Māhia Peninsula (on the east coast of</w:t>
      </w:r>
      <w:r w:rsidRPr="0060421C">
        <w:rPr>
          <w:rFonts w:cs="Calibri"/>
          <w:lang w:eastAsia="en-GB"/>
        </w:rPr>
        <w:t xml:space="preserve"> New</w:t>
      </w:r>
      <w:r>
        <w:rPr>
          <w:rFonts w:cs="Calibri"/>
          <w:lang w:eastAsia="en-GB"/>
        </w:rPr>
        <w:t> </w:t>
      </w:r>
      <w:r w:rsidRPr="0060421C">
        <w:rPr>
          <w:rFonts w:cs="Calibri"/>
          <w:lang w:eastAsia="en-GB"/>
        </w:rPr>
        <w:t>Zealand’s</w:t>
      </w:r>
      <w:r w:rsidRPr="0060421C">
        <w:rPr>
          <w:rFonts w:cs="Calibri"/>
        </w:rPr>
        <w:t xml:space="preserve"> North Island) to put small satellites in orbit around Earth. The rockets use liquid</w:t>
      </w:r>
      <w:r>
        <w:rPr>
          <w:rFonts w:cs="Calibri"/>
        </w:rPr>
        <w:t> </w:t>
      </w:r>
      <w:r w:rsidRPr="0060421C">
        <w:rPr>
          <w:rFonts w:cs="Calibri"/>
        </w:rPr>
        <w:t xml:space="preserve">oxygen and RP-1 (a form of highly refined kerosene) as propellants. </w:t>
      </w:r>
    </w:p>
    <w:p w14:paraId="4B66F838" w14:textId="77777777" w:rsidR="0038460F" w:rsidRPr="0060421C" w:rsidRDefault="0038460F" w:rsidP="0038460F">
      <w:pPr>
        <w:pStyle w:val="BodyText"/>
        <w:spacing w:before="100" w:after="100"/>
        <w:rPr>
          <w:rFonts w:cs="Calibri"/>
        </w:rPr>
      </w:pPr>
      <w:r w:rsidRPr="0060421C">
        <w:rPr>
          <w:rFonts w:cs="Calibri"/>
          <w:spacing w:val="-2"/>
        </w:rPr>
        <w:t>The specific categorisation of aerospace activity within energy statistics is yet to be determined</w:t>
      </w:r>
      <w:r w:rsidRPr="0060421C">
        <w:rPr>
          <w:rFonts w:cs="Calibri"/>
        </w:rPr>
        <w:t xml:space="preserve">, although this type of kerosene is likely classified as jet kerosene under ANZSIC code </w:t>
      </w:r>
      <w:r w:rsidRPr="0060421C">
        <w:rPr>
          <w:rFonts w:cs="Calibri"/>
          <w:i/>
          <w:iCs/>
        </w:rPr>
        <w:t>I49 Air and Space Transport</w:t>
      </w:r>
      <w:r w:rsidRPr="0060421C">
        <w:rPr>
          <w:rFonts w:cs="Calibri"/>
        </w:rPr>
        <w:t>, and so would be included in category 1.A.3.a</w:t>
      </w:r>
      <w:r w:rsidRPr="0060421C">
        <w:rPr>
          <w:rFonts w:cs="Calibri"/>
          <w:i/>
          <w:iCs/>
        </w:rPr>
        <w:t xml:space="preserve"> Civil aviation</w:t>
      </w:r>
      <w:r w:rsidRPr="0060421C">
        <w:rPr>
          <w:rFonts w:cs="Calibri"/>
        </w:rPr>
        <w:t>. While the combustion characteristics of rocket engines are likely to differ somewhat from other jet</w:t>
      </w:r>
      <w:r w:rsidRPr="0060421C">
        <w:rPr>
          <w:rFonts w:cs="Calibri"/>
        </w:rPr>
        <w:noBreakHyphen/>
        <w:t xml:space="preserve">fuelled activities, no specific emission factors are provided in the 2006 IPCC Guidelines (IPCC, 2006). </w:t>
      </w:r>
    </w:p>
    <w:p w14:paraId="484D5F66" w14:textId="5E20D395" w:rsidR="0038460F" w:rsidRPr="0060421C" w:rsidRDefault="0038460F" w:rsidP="0038460F">
      <w:pPr>
        <w:pStyle w:val="BodyText"/>
      </w:pPr>
      <w:r w:rsidRPr="0060421C">
        <w:t>The 2006 IPCC Guidelines cover emissions from civil aviation but do not specifically refer to aeronautics or aerospace. Ballistic vehicles, such as rockets, are usually considered to be included under aeronautics but not aviation. While the 2006 IPCC Guidelines (IPCC, 2006, volume 2, table 3.1.1) state that emissions from all remaining transport activities should be reported in category 1.A.3.e</w:t>
      </w:r>
      <w:r w:rsidRPr="0060421C">
        <w:rPr>
          <w:i/>
          <w:iCs/>
        </w:rPr>
        <w:t xml:space="preserve"> Other transportation</w:t>
      </w:r>
      <w:r w:rsidRPr="0060421C">
        <w:t>, as mentioned above, the aerospace fuel</w:t>
      </w:r>
      <w:r w:rsidR="00A25D4D">
        <w:t xml:space="preserve"> </w:t>
      </w:r>
      <w:r w:rsidRPr="0060421C">
        <w:t xml:space="preserve">activity data are currently included in category 1.A.3.a </w:t>
      </w:r>
      <w:r w:rsidRPr="0060421C">
        <w:rPr>
          <w:i/>
          <w:iCs/>
        </w:rPr>
        <w:t>Civil aviation</w:t>
      </w:r>
      <w:r w:rsidRPr="0060421C">
        <w:t>. Further justification for not disaggregating the category is that commercial data confidentiality is a concern due to the small number of companies operating in the sector.</w:t>
      </w:r>
    </w:p>
    <w:p w14:paraId="5B51AAD6" w14:textId="77777777" w:rsidR="0038460F" w:rsidRPr="0060421C" w:rsidRDefault="0038460F" w:rsidP="0038460F">
      <w:pPr>
        <w:pStyle w:val="Heading4"/>
        <w:rPr>
          <w:lang w:eastAsia="en-GB"/>
        </w:rPr>
      </w:pPr>
      <w:r w:rsidRPr="0060421C">
        <w:t>Activity</w:t>
      </w:r>
      <w:r w:rsidRPr="0060421C">
        <w:rPr>
          <w:lang w:eastAsia="en-GB"/>
        </w:rPr>
        <w:t xml:space="preserve"> data</w:t>
      </w:r>
    </w:p>
    <w:p w14:paraId="6713CB53" w14:textId="77777777" w:rsidR="0038460F" w:rsidRPr="0060421C" w:rsidRDefault="0038460F" w:rsidP="0038460F">
      <w:pPr>
        <w:pStyle w:val="Heading5"/>
        <w:spacing w:before="180"/>
        <w:rPr>
          <w:lang w:eastAsia="en-GB"/>
        </w:rPr>
      </w:pPr>
      <w:r w:rsidRPr="0060421C">
        <w:rPr>
          <w:lang w:eastAsia="en-GB"/>
        </w:rPr>
        <w:t>1.A.3.a Civil aviation</w:t>
      </w:r>
    </w:p>
    <w:p w14:paraId="7D6C2B74" w14:textId="77777777" w:rsidR="0038460F" w:rsidRPr="0060421C" w:rsidRDefault="0038460F" w:rsidP="0038460F">
      <w:pPr>
        <w:pStyle w:val="BodyText"/>
      </w:pPr>
      <w:r w:rsidRPr="0060421C">
        <w:rPr>
          <w:lang w:eastAsia="en-GB"/>
        </w:rPr>
        <w:t xml:space="preserve">MBIE </w:t>
      </w:r>
      <w:r w:rsidRPr="0060421C">
        <w:t xml:space="preserve">currently collects data on domestic and international aviation fuel use through the </w:t>
      </w:r>
      <w:r w:rsidRPr="0060421C">
        <w:rPr>
          <w:spacing w:val="-2"/>
          <w:lang w:eastAsia="en-GB"/>
        </w:rPr>
        <w:t>DPFI</w:t>
      </w:r>
      <w:r w:rsidRPr="0060421C">
        <w:t xml:space="preserve">. The respondents to this survey are </w:t>
      </w:r>
      <w:r w:rsidRPr="0060421C">
        <w:rPr>
          <w:lang w:eastAsia="en-GB"/>
        </w:rPr>
        <w:t>New Zealand’s</w:t>
      </w:r>
      <w:r w:rsidRPr="0060421C">
        <w:t xml:space="preserve"> five main oil companies, namely: BP, Z Energy, ExxonMobil, Timaru Oil Services Limited and Gull. (Gull and Timaru Oil Services Limited do not supply fuel for aviation.)</w:t>
      </w:r>
    </w:p>
    <w:p w14:paraId="39CC0E75" w14:textId="77777777" w:rsidR="0038460F" w:rsidRPr="0060421C" w:rsidRDefault="0038460F" w:rsidP="0038460F">
      <w:pPr>
        <w:pStyle w:val="BodyText"/>
        <w:spacing w:before="100"/>
        <w:rPr>
          <w:rFonts w:cs="Calibri"/>
        </w:rPr>
      </w:pPr>
      <w:r w:rsidRPr="0060421C">
        <w:rPr>
          <w:rFonts w:cs="Calibri"/>
          <w:lang w:eastAsia="en-GB"/>
        </w:rPr>
        <w:t xml:space="preserve">Our distinction between domestic and international flights is based on refuelling at the domestic and international terminals of New Zealand airports. </w:t>
      </w:r>
      <w:r w:rsidRPr="0060421C">
        <w:rPr>
          <w:rFonts w:cs="Calibri"/>
        </w:rPr>
        <w:t>The allocation of aviation fuels between domestic and international segments has previously been raised by the ERT. A previous centralised review stated (UNFCCC, 2009):</w:t>
      </w:r>
    </w:p>
    <w:p w14:paraId="64536828" w14:textId="77777777" w:rsidR="0038460F" w:rsidRPr="0060421C" w:rsidRDefault="0038460F" w:rsidP="005A29DC">
      <w:pPr>
        <w:pStyle w:val="Quote"/>
        <w:spacing w:before="60" w:line="240" w:lineRule="atLeast"/>
      </w:pPr>
      <w:r w:rsidRPr="0060421C">
        <w:t>The National Inventory Report (NIR) reports that the allocation of fuel consumption between domestic and international air transport is based on refuelling at the domestic and international terminals of New Zealand’s airports. Currently splitting the domestic and international components of fuels used for international flights with a domestic segment was not considered; however, the number of international flights with a domestic segment is considered to be negligible. The Expert Review Team (ERT) notes that in 2006, New Zealand began consultations with the airlines to clarify the situation and improve the relevant Activity Data (AD), and is currently working on a methodology that will allow for better international and domestic fuel use allocation. New Zealand is encouraged to adopt the new approach and report the outcome in its 2010 submissions.</w:t>
      </w:r>
    </w:p>
    <w:p w14:paraId="6ECFB593" w14:textId="77777777" w:rsidR="0038460F" w:rsidRPr="0060421C" w:rsidRDefault="0038460F" w:rsidP="0038460F">
      <w:pPr>
        <w:pStyle w:val="BodyText"/>
        <w:spacing w:before="100" w:after="100"/>
        <w:rPr>
          <w:rFonts w:cs="Calibri"/>
        </w:rPr>
      </w:pPr>
      <w:r w:rsidRPr="0060421C">
        <w:rPr>
          <w:rFonts w:cs="Calibri"/>
        </w:rPr>
        <w:t xml:space="preserve">In the </w:t>
      </w:r>
      <w:r w:rsidRPr="0060421C">
        <w:rPr>
          <w:rFonts w:cs="Calibri"/>
          <w:iCs/>
          <w:spacing w:val="-2"/>
          <w:lang w:eastAsia="en-GB"/>
        </w:rPr>
        <w:t>DPFI</w:t>
      </w:r>
      <w:r w:rsidRPr="0060421C">
        <w:rPr>
          <w:rFonts w:cs="Calibri"/>
        </w:rPr>
        <w:t xml:space="preserve">, the oil companies report quantities of different fuels (jet A1, aviation gasoline and kerosene, among others) used for the purposes of international and domestic transport. The companies have indicated that they allocate the fuel to international or domestic transport based on whether they are legally required to charge goods and services tax (GST) on the activity (GST is zero rated when the destination of a flight is outside of </w:t>
      </w:r>
      <w:r w:rsidRPr="0060421C">
        <w:rPr>
          <w:rFonts w:cs="Calibri"/>
          <w:lang w:eastAsia="en-GB"/>
        </w:rPr>
        <w:t>New Zealand)</w:t>
      </w:r>
      <w:r w:rsidRPr="0060421C">
        <w:rPr>
          <w:rFonts w:cs="Calibri"/>
        </w:rPr>
        <w:t>.</w:t>
      </w:r>
    </w:p>
    <w:p w14:paraId="3175A996" w14:textId="77777777" w:rsidR="0038460F" w:rsidRPr="0060421C" w:rsidRDefault="0038460F" w:rsidP="0038460F">
      <w:pPr>
        <w:pStyle w:val="BodyText"/>
        <w:spacing w:before="100" w:after="100"/>
        <w:rPr>
          <w:rFonts w:cs="Calibri"/>
        </w:rPr>
      </w:pPr>
      <w:r w:rsidRPr="0060421C">
        <w:rPr>
          <w:rFonts w:cs="Calibri"/>
        </w:rPr>
        <w:t xml:space="preserve">Historically, some international flights from </w:t>
      </w:r>
      <w:r w:rsidRPr="0060421C">
        <w:rPr>
          <w:rFonts w:cs="Calibri"/>
          <w:lang w:eastAsia="en-GB"/>
        </w:rPr>
        <w:t>New Zealand</w:t>
      </w:r>
      <w:r w:rsidRPr="0060421C">
        <w:rPr>
          <w:rFonts w:cs="Calibri"/>
        </w:rPr>
        <w:t xml:space="preserve"> contained a domestic leg, for example, Christchurch–Auckland–Tokyo. Industry practice is to refuel at both points with </w:t>
      </w:r>
      <w:r w:rsidRPr="0060421C">
        <w:rPr>
          <w:rFonts w:cs="Calibri"/>
          <w:spacing w:val="-2"/>
        </w:rPr>
        <w:t>sufficient fuel to reach the next destination so that the domestic leg will be coded appropriately</w:t>
      </w:r>
      <w:r w:rsidRPr="0060421C">
        <w:rPr>
          <w:rFonts w:cs="Calibri"/>
        </w:rPr>
        <w:t>. By this logic, the domestic leg will attract GST so the fuel use will therefore be coded as domestic, and the international leg, which does not attract GST, will be coded as international.</w:t>
      </w:r>
    </w:p>
    <w:p w14:paraId="09F7A99A" w14:textId="77777777" w:rsidR="0038460F" w:rsidRPr="0060421C" w:rsidRDefault="0038460F" w:rsidP="0038460F">
      <w:pPr>
        <w:pStyle w:val="BodyText"/>
        <w:spacing w:before="100" w:after="100"/>
        <w:rPr>
          <w:rFonts w:cs="Calibri"/>
        </w:rPr>
      </w:pPr>
      <w:r w:rsidRPr="0060421C">
        <w:rPr>
          <w:rFonts w:cs="Calibri"/>
        </w:rPr>
        <w:t xml:space="preserve">This sales-based approach is appropriate because just three companies (BP, Z Energy and ExxonMobil) supply 100 percent of the aviation fuels market in </w:t>
      </w:r>
      <w:r w:rsidRPr="0060421C">
        <w:rPr>
          <w:rFonts w:cs="Calibri"/>
          <w:lang w:eastAsia="en-GB"/>
        </w:rPr>
        <w:t>New Zealand, and the accuracy of the international–domestic split relies solely on the reporting from these three respondents</w:t>
      </w:r>
      <w:r w:rsidRPr="0060421C">
        <w:rPr>
          <w:rFonts w:cs="Calibri"/>
        </w:rPr>
        <w:t xml:space="preserve">. </w:t>
      </w:r>
    </w:p>
    <w:p w14:paraId="7D321EB5" w14:textId="77777777" w:rsidR="0038460F" w:rsidRPr="0060421C" w:rsidRDefault="0038460F" w:rsidP="0038460F">
      <w:pPr>
        <w:pStyle w:val="Heading5"/>
        <w:rPr>
          <w:lang w:eastAsia="en-GB"/>
        </w:rPr>
      </w:pPr>
      <w:r w:rsidRPr="0060421C">
        <w:rPr>
          <w:lang w:eastAsia="en-GB"/>
        </w:rPr>
        <w:t>1.A.3.b Road transportation</w:t>
      </w:r>
    </w:p>
    <w:p w14:paraId="06D0F494"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Activity data for the </w:t>
      </w:r>
      <w:r w:rsidRPr="0060421C">
        <w:rPr>
          <w:rFonts w:cs="Calibri"/>
          <w:i/>
          <w:lang w:eastAsia="en-GB"/>
        </w:rPr>
        <w:t>Road transportation</w:t>
      </w:r>
      <w:r w:rsidRPr="0060421C">
        <w:rPr>
          <w:rFonts w:cs="Calibri"/>
          <w:lang w:eastAsia="en-GB"/>
        </w:rPr>
        <w:t xml:space="preserve"> category are provided by the Ministry of Transport’s six-monthly fleet data and MBIE’s national energy statistics. For more information on the use of vehicle fleet data for estimating non-CO</w:t>
      </w:r>
      <w:r w:rsidRPr="0060421C">
        <w:rPr>
          <w:rFonts w:cs="Calibri"/>
          <w:vertAlign w:val="subscript"/>
          <w:lang w:eastAsia="en-GB"/>
        </w:rPr>
        <w:t xml:space="preserve">2 </w:t>
      </w:r>
      <w:r w:rsidRPr="0060421C">
        <w:rPr>
          <w:rFonts w:cs="Calibri"/>
          <w:lang w:eastAsia="en-GB"/>
        </w:rPr>
        <w:t>emissions, see ‘Methodological issues’ above.</w:t>
      </w:r>
    </w:p>
    <w:p w14:paraId="194377C2"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Activity data for the </w:t>
      </w:r>
      <w:r w:rsidRPr="0060421C">
        <w:rPr>
          <w:rFonts w:cs="Calibri"/>
          <w:i/>
          <w:lang w:eastAsia="en-GB"/>
        </w:rPr>
        <w:t>Transport</w:t>
      </w:r>
      <w:r w:rsidRPr="0060421C">
        <w:rPr>
          <w:rFonts w:cs="Calibri"/>
          <w:lang w:eastAsia="en-GB"/>
        </w:rPr>
        <w:t xml:space="preserve"> category were sourced from the </w:t>
      </w:r>
      <w:r w:rsidRPr="0060421C">
        <w:rPr>
          <w:rFonts w:cs="Calibri"/>
          <w:iCs/>
          <w:spacing w:val="-2"/>
          <w:lang w:eastAsia="en-GB"/>
        </w:rPr>
        <w:t>DPFI</w:t>
      </w:r>
      <w:r w:rsidRPr="0060421C">
        <w:rPr>
          <w:rFonts w:cs="Calibri"/>
          <w:iCs/>
          <w:lang w:eastAsia="en-GB"/>
        </w:rPr>
        <w:t xml:space="preserve"> </w:t>
      </w:r>
      <w:r w:rsidRPr="0060421C">
        <w:rPr>
          <w:rFonts w:cs="Calibri"/>
          <w:lang w:eastAsia="en-GB"/>
        </w:rPr>
        <w:t xml:space="preserve">conducted by MBIE. LPG and CNG consumption figures are reported </w:t>
      </w:r>
      <w:r w:rsidRPr="0060421C">
        <w:rPr>
          <w:rFonts w:cs="Calibri"/>
          <w:iCs/>
          <w:lang w:eastAsia="en-GB"/>
        </w:rPr>
        <w:t>online by</w:t>
      </w:r>
      <w:r w:rsidRPr="0060421C">
        <w:rPr>
          <w:rFonts w:cs="Calibri"/>
        </w:rPr>
        <w:t> </w:t>
      </w:r>
      <w:r w:rsidRPr="0060421C">
        <w:rPr>
          <w:rFonts w:cs="Calibri"/>
          <w:lang w:eastAsia="en-GB"/>
        </w:rPr>
        <w:t>MBIE.</w:t>
      </w:r>
    </w:p>
    <w:p w14:paraId="4C560479" w14:textId="77777777" w:rsidR="0038460F" w:rsidRPr="0060421C" w:rsidRDefault="0038460F" w:rsidP="0038460F">
      <w:pPr>
        <w:pStyle w:val="BodyText"/>
        <w:spacing w:before="100" w:after="100"/>
        <w:rPr>
          <w:rFonts w:cs="Calibri"/>
        </w:rPr>
      </w:pPr>
      <w:r w:rsidRPr="0060421C">
        <w:rPr>
          <w:rFonts w:cs="Calibri"/>
          <w:spacing w:val="-2"/>
        </w:rPr>
        <w:t xml:space="preserve">As mentioned in section 3.2.2, this inventory continues to use the results of the </w:t>
      </w:r>
      <w:r w:rsidRPr="0060421C">
        <w:rPr>
          <w:rFonts w:cs="Calibri"/>
          <w:iCs/>
          <w:spacing w:val="-2"/>
        </w:rPr>
        <w:t>Annual Liquid Fuel Survey</w:t>
      </w:r>
      <w:r w:rsidRPr="0060421C">
        <w:rPr>
          <w:rFonts w:cs="Calibri"/>
          <w:spacing w:val="-2"/>
        </w:rPr>
        <w:t xml:space="preserve"> that began in 2009. The purpose of this survey is to capture the allocation of fuel resold by small independent resellers. In recent years, these independent resellers have accounted for around 30 percent of national diesel sales and around 8 percent of national gasoline sales.</w:t>
      </w:r>
      <w:r w:rsidRPr="0060421C">
        <w:rPr>
          <w:rFonts w:cs="Calibri"/>
        </w:rPr>
        <w:t xml:space="preserve"> </w:t>
      </w:r>
    </w:p>
    <w:p w14:paraId="1AF67C3D" w14:textId="77777777" w:rsidR="0038460F" w:rsidRPr="0060421C" w:rsidRDefault="0038460F" w:rsidP="0038460F">
      <w:pPr>
        <w:pStyle w:val="BodyText"/>
        <w:spacing w:before="100" w:after="100"/>
        <w:rPr>
          <w:rFonts w:cs="Calibri"/>
        </w:rPr>
      </w:pPr>
      <w:r w:rsidRPr="0060421C">
        <w:rPr>
          <w:rFonts w:cs="Calibri"/>
        </w:rPr>
        <w:t xml:space="preserve">As a result of resale data captured by this survey, emissions that would otherwise be reported in category 1.A.3.b </w:t>
      </w:r>
      <w:r w:rsidRPr="0060421C">
        <w:rPr>
          <w:rFonts w:cs="Calibri"/>
          <w:i/>
        </w:rPr>
        <w:t>Road transportation</w:t>
      </w:r>
      <w:r w:rsidRPr="0060421C">
        <w:rPr>
          <w:rFonts w:cs="Calibri"/>
        </w:rPr>
        <w:t xml:space="preserve"> are allocated to their correct category. For time-series consistency, these reallocations were also made from 1990 to 2008, before the collection of data on the resale of liquid fuel by independent distributors.</w:t>
      </w:r>
    </w:p>
    <w:p w14:paraId="7D08E14F" w14:textId="77777777" w:rsidR="0038460F" w:rsidRPr="0060421C" w:rsidRDefault="0038460F" w:rsidP="0038460F">
      <w:pPr>
        <w:pStyle w:val="BodyText"/>
        <w:spacing w:before="100" w:after="100"/>
        <w:rPr>
          <w:rFonts w:cs="Calibri"/>
        </w:rPr>
      </w:pPr>
      <w:r w:rsidRPr="0060421C">
        <w:rPr>
          <w:rFonts w:cs="Calibri"/>
          <w:spacing w:val="-2"/>
        </w:rPr>
        <w:t xml:space="preserve">The diesel activity data for the </w:t>
      </w:r>
      <w:r w:rsidRPr="0060421C">
        <w:rPr>
          <w:rFonts w:cs="Calibri"/>
          <w:i/>
          <w:spacing w:val="-2"/>
        </w:rPr>
        <w:t>Road transport</w:t>
      </w:r>
      <w:r w:rsidRPr="0060421C">
        <w:rPr>
          <w:rFonts w:cs="Calibri"/>
          <w:spacing w:val="-2"/>
        </w:rPr>
        <w:t xml:space="preserve"> category are assumed to be the diesel reported for domestic transport, less that reported by KiwiRail</w:t>
      </w:r>
      <w:r w:rsidRPr="0060421C">
        <w:rPr>
          <w:rFonts w:cs="Calibri"/>
          <w:spacing w:val="-2"/>
          <w:lang w:eastAsia="en-GB"/>
        </w:rPr>
        <w:t>, the operator of national rail services in New Zealand,</w:t>
      </w:r>
      <w:r w:rsidRPr="0060421C">
        <w:rPr>
          <w:rFonts w:cs="Calibri"/>
          <w:spacing w:val="-2"/>
        </w:rPr>
        <w:t xml:space="preserve"> in the categories 1.A.3.c </w:t>
      </w:r>
      <w:r w:rsidRPr="0060421C">
        <w:rPr>
          <w:rFonts w:cs="Calibri"/>
          <w:i/>
          <w:spacing w:val="-2"/>
        </w:rPr>
        <w:t>Railways</w:t>
      </w:r>
      <w:r w:rsidRPr="0060421C">
        <w:rPr>
          <w:rFonts w:cs="Calibri"/>
          <w:spacing w:val="-2"/>
        </w:rPr>
        <w:t xml:space="preserve"> and 1.A.3.d </w:t>
      </w:r>
      <w:r w:rsidRPr="0060421C">
        <w:rPr>
          <w:rFonts w:cs="Calibri"/>
          <w:i/>
          <w:spacing w:val="-2"/>
        </w:rPr>
        <w:t>Domestic navigation</w:t>
      </w:r>
      <w:r w:rsidRPr="0060421C">
        <w:rPr>
          <w:rFonts w:cs="Calibri"/>
          <w:spacing w:val="-2"/>
        </w:rPr>
        <w:t>, discussed belo</w:t>
      </w:r>
      <w:r w:rsidRPr="0060421C">
        <w:rPr>
          <w:rFonts w:cs="Calibri"/>
        </w:rPr>
        <w:t xml:space="preserve">w. </w:t>
      </w:r>
    </w:p>
    <w:p w14:paraId="58B899E5" w14:textId="77777777" w:rsidR="0038460F" w:rsidRPr="0060421C" w:rsidRDefault="0038460F" w:rsidP="0038460F">
      <w:pPr>
        <w:pStyle w:val="BodyText"/>
        <w:spacing w:before="100" w:after="100"/>
        <w:rPr>
          <w:rFonts w:cs="Calibri"/>
        </w:rPr>
      </w:pPr>
      <w:r w:rsidRPr="0060421C">
        <w:rPr>
          <w:rFonts w:cs="Calibri"/>
        </w:rPr>
        <w:t>The fuel sold data have been validated against estimated fuel consumption derived from vehicle-kilometres-travelled using a vehicle fleet model. Over the past decade, the fuel quantities from fuel-use data have consistently exceeded estimates based on kilometres travelled. This discrepancy can be attributed to factors such as fuel sold for off-road use and differences between real-world vehicle fuel efficiencies and model assumptions.</w:t>
      </w:r>
    </w:p>
    <w:p w14:paraId="3CF4CC52" w14:textId="77777777" w:rsidR="0038460F" w:rsidRPr="0060421C" w:rsidRDefault="0038460F" w:rsidP="0038460F">
      <w:pPr>
        <w:pStyle w:val="BodyText"/>
        <w:spacing w:before="100" w:after="100"/>
        <w:rPr>
          <w:rFonts w:cs="Calibri"/>
        </w:rPr>
      </w:pPr>
      <w:r w:rsidRPr="0060421C">
        <w:rPr>
          <w:rFonts w:cs="Calibri"/>
        </w:rPr>
        <w:t>Across the 2001 to 2015 time series, the average difference was 1.5 percent for gasoline and</w:t>
      </w:r>
      <w:r>
        <w:rPr>
          <w:rFonts w:cs="Calibri"/>
        </w:rPr>
        <w:t> </w:t>
      </w:r>
      <w:r w:rsidRPr="0060421C">
        <w:rPr>
          <w:rFonts w:cs="Calibri"/>
        </w:rPr>
        <w:t>4.8 percent for diesel, indicating close alignment between the two methods. This level of</w:t>
      </w:r>
      <w:r>
        <w:rPr>
          <w:rFonts w:cs="Calibri"/>
        </w:rPr>
        <w:t> </w:t>
      </w:r>
      <w:r w:rsidRPr="0060421C">
        <w:rPr>
          <w:rFonts w:cs="Calibri"/>
        </w:rPr>
        <w:t>agreement compares favourably with the fuel data of other countries.</w:t>
      </w:r>
    </w:p>
    <w:p w14:paraId="164F2F5F" w14:textId="77777777" w:rsidR="0038460F" w:rsidRPr="0060421C" w:rsidRDefault="0038460F" w:rsidP="0038460F">
      <w:pPr>
        <w:pStyle w:val="BodyText"/>
        <w:spacing w:before="100" w:after="100"/>
        <w:rPr>
          <w:rFonts w:cs="Calibri"/>
        </w:rPr>
      </w:pPr>
      <w:r w:rsidRPr="0060421C">
        <w:t xml:space="preserve">MBIE receives import–export and excise data on liquid biofuels from the New Zealand Customs </w:t>
      </w:r>
      <w:r w:rsidRPr="0060421C">
        <w:rPr>
          <w:spacing w:val="-2"/>
        </w:rPr>
        <w:t>Service and sales data from major fuel companies. In December 2012 the Biofuel Sales Obligation</w:t>
      </w:r>
      <w:r w:rsidRPr="0060421C">
        <w:t xml:space="preserve"> was abolished and in June 2012 the Biodiesels Grant Scheme was removed. Following the removal of these initiatives, biodiesel use fell significantly and has remained relatively stagnant since.</w:t>
      </w:r>
    </w:p>
    <w:p w14:paraId="76D91139" w14:textId="77777777" w:rsidR="0038460F" w:rsidRPr="0060421C" w:rsidRDefault="0038460F" w:rsidP="0038460F">
      <w:pPr>
        <w:pStyle w:val="Heading5"/>
        <w:rPr>
          <w:lang w:eastAsia="en-GB"/>
        </w:rPr>
      </w:pPr>
      <w:r w:rsidRPr="0060421C">
        <w:rPr>
          <w:lang w:eastAsia="en-GB"/>
        </w:rPr>
        <w:t>1.A.3.c Railways</w:t>
      </w:r>
    </w:p>
    <w:p w14:paraId="00769D04"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Activity data for fuel used in this category are obtained directly from KiwiRail. This category also includes diesel sold to the metropolitan service operated in Auckland. </w:t>
      </w:r>
    </w:p>
    <w:p w14:paraId="617245BE" w14:textId="77777777" w:rsidR="0038460F" w:rsidRPr="0060421C" w:rsidRDefault="0038460F" w:rsidP="0038460F">
      <w:pPr>
        <w:pStyle w:val="Heading5"/>
      </w:pPr>
      <w:r w:rsidRPr="0060421C">
        <w:rPr>
          <w:lang w:eastAsia="en-GB"/>
        </w:rPr>
        <w:t xml:space="preserve">1.A.3.d Domestic navigation </w:t>
      </w:r>
    </w:p>
    <w:p w14:paraId="77EA7911" w14:textId="77777777" w:rsidR="0038460F" w:rsidRPr="0060421C" w:rsidRDefault="0038460F" w:rsidP="0038460F">
      <w:pPr>
        <w:pStyle w:val="BodyText"/>
        <w:spacing w:before="100" w:after="100"/>
        <w:rPr>
          <w:rFonts w:cs="Calibri"/>
          <w:lang w:eastAsia="en-GB"/>
        </w:rPr>
      </w:pPr>
      <w:r w:rsidRPr="0060421C">
        <w:rPr>
          <w:rFonts w:cs="Calibri"/>
          <w:lang w:eastAsia="en-GB"/>
        </w:rPr>
        <w:t xml:space="preserve">Activity data for fuel oil use in domestic transport are sourced from the quarterly </w:t>
      </w:r>
      <w:r w:rsidRPr="0060421C">
        <w:rPr>
          <w:rFonts w:cs="Calibri"/>
          <w:iCs/>
          <w:spacing w:val="-2"/>
          <w:lang w:eastAsia="en-GB"/>
        </w:rPr>
        <w:t>DPFI</w:t>
      </w:r>
      <w:r w:rsidRPr="0060421C">
        <w:rPr>
          <w:rFonts w:cs="Calibri"/>
          <w:lang w:eastAsia="en-GB"/>
        </w:rPr>
        <w:t xml:space="preserve"> conducted by MBIE. KiwiRail (as the operator of the Interislander ferry service) provides data on diesel consumption each year. New Zealand-specific emission factors have been used to estimate </w:t>
      </w:r>
      <w:r w:rsidRPr="0060421C">
        <w:rPr>
          <w:rFonts w:cs="Calibri"/>
        </w:rPr>
        <w:t>CO</w:t>
      </w:r>
      <w:r w:rsidRPr="0060421C">
        <w:rPr>
          <w:rFonts w:cs="Calibri"/>
          <w:vertAlign w:val="subscript"/>
        </w:rPr>
        <w:t>2</w:t>
      </w:r>
      <w:r w:rsidRPr="0060421C">
        <w:rPr>
          <w:rFonts w:cs="Calibri"/>
          <w:sz w:val="14"/>
          <w:szCs w:val="14"/>
          <w:lang w:eastAsia="en-GB"/>
        </w:rPr>
        <w:t xml:space="preserve"> </w:t>
      </w:r>
      <w:r w:rsidRPr="0060421C">
        <w:rPr>
          <w:rFonts w:cs="Calibri"/>
          <w:lang w:eastAsia="en-GB"/>
        </w:rPr>
        <w:t xml:space="preserve">emissions and, because of insufficient </w:t>
      </w:r>
      <w:r w:rsidRPr="0060421C">
        <w:rPr>
          <w:rFonts w:cs="Calibri"/>
          <w:spacing w:val="-2"/>
          <w:lang w:eastAsia="en-GB"/>
        </w:rPr>
        <w:t xml:space="preserve">data, the IPCC (2006) default emission factors have been used to estimate </w:t>
      </w:r>
      <w:r w:rsidRPr="0060421C">
        <w:rPr>
          <w:rFonts w:cs="Calibri"/>
          <w:spacing w:val="-2"/>
        </w:rPr>
        <w:t>CH</w:t>
      </w:r>
      <w:r w:rsidRPr="0060421C">
        <w:rPr>
          <w:rFonts w:cs="Calibri"/>
          <w:spacing w:val="-2"/>
          <w:vertAlign w:val="subscript"/>
        </w:rPr>
        <w:t>4</w:t>
      </w:r>
      <w:r w:rsidRPr="0060421C">
        <w:rPr>
          <w:rFonts w:cs="Calibri"/>
          <w:spacing w:val="-2"/>
          <w:sz w:val="14"/>
          <w:szCs w:val="14"/>
          <w:lang w:eastAsia="en-GB"/>
        </w:rPr>
        <w:t xml:space="preserve"> </w:t>
      </w:r>
      <w:r w:rsidRPr="0060421C">
        <w:rPr>
          <w:rFonts w:cs="Calibri"/>
          <w:spacing w:val="-2"/>
          <w:lang w:eastAsia="en-GB"/>
        </w:rPr>
        <w:t xml:space="preserve">and </w:t>
      </w:r>
      <w:r w:rsidRPr="0060421C">
        <w:rPr>
          <w:rFonts w:cs="Calibri"/>
          <w:spacing w:val="-2"/>
        </w:rPr>
        <w:t>N</w:t>
      </w:r>
      <w:r w:rsidRPr="0060421C">
        <w:rPr>
          <w:rFonts w:cs="Calibri"/>
          <w:spacing w:val="-2"/>
          <w:vertAlign w:val="subscript"/>
        </w:rPr>
        <w:t>2</w:t>
      </w:r>
      <w:r w:rsidRPr="0060421C">
        <w:rPr>
          <w:rFonts w:cs="Calibri"/>
          <w:spacing w:val="-2"/>
        </w:rPr>
        <w:t>O</w:t>
      </w:r>
      <w:r w:rsidRPr="0060421C">
        <w:rPr>
          <w:rFonts w:cs="Calibri"/>
          <w:spacing w:val="-2"/>
          <w:lang w:eastAsia="en-GB"/>
        </w:rPr>
        <w:t xml:space="preserve"> emissions</w:t>
      </w:r>
      <w:r w:rsidRPr="0060421C">
        <w:rPr>
          <w:rFonts w:cs="Calibri"/>
          <w:lang w:eastAsia="en-GB"/>
        </w:rPr>
        <w:t>.</w:t>
      </w:r>
    </w:p>
    <w:p w14:paraId="79336DD2" w14:textId="77777777" w:rsidR="0038460F" w:rsidRPr="0060421C" w:rsidRDefault="0038460F" w:rsidP="0038460F">
      <w:pPr>
        <w:pStyle w:val="BodyText"/>
        <w:spacing w:before="100" w:after="100"/>
        <w:rPr>
          <w:rFonts w:cs="Calibri"/>
        </w:rPr>
      </w:pPr>
      <w:r w:rsidRPr="0060421C">
        <w:rPr>
          <w:rFonts w:cs="Calibri"/>
          <w:lang w:eastAsia="en-GB"/>
        </w:rPr>
        <w:t xml:space="preserve">Fuel sales to international marine bunkers are reported separately in national energy data surveys. </w:t>
      </w:r>
    </w:p>
    <w:p w14:paraId="4508F9D0" w14:textId="77777777" w:rsidR="0038460F" w:rsidRPr="0060421C" w:rsidRDefault="0038460F" w:rsidP="0038460F">
      <w:pPr>
        <w:pStyle w:val="BodyText"/>
        <w:spacing w:before="100" w:after="100"/>
        <w:rPr>
          <w:rFonts w:cs="Calibri"/>
        </w:rPr>
      </w:pPr>
      <w:r w:rsidRPr="0060421C">
        <w:rPr>
          <w:rFonts w:cs="Calibri"/>
        </w:rPr>
        <w:t xml:space="preserve">Historically, the Marsden Point Oil Refinery produced marine diesel oil (MDO). Production of </w:t>
      </w:r>
      <w:r w:rsidRPr="0060421C">
        <w:rPr>
          <w:rFonts w:cs="Calibri"/>
          <w:spacing w:val="-2"/>
        </w:rPr>
        <w:t>MDO at the refinery stopped in late 2006. Data collected from the operators of the Interislander</w:t>
      </w:r>
      <w:r w:rsidRPr="0060421C">
        <w:rPr>
          <w:rFonts w:cs="Calibri"/>
        </w:rPr>
        <w:t xml:space="preserve"> ferry service (KiwiRail) have not included MDO use since 2006. The end of the collection of these data coincided with this operator ceasing a ‘fast ferry’ service (which ran on MDO) between the North Island and South Island. </w:t>
      </w:r>
    </w:p>
    <w:p w14:paraId="04648964" w14:textId="77777777" w:rsidR="0038460F" w:rsidRPr="0060421C" w:rsidRDefault="0038460F" w:rsidP="0038460F">
      <w:pPr>
        <w:pStyle w:val="BodyText"/>
        <w:spacing w:before="100" w:after="100"/>
        <w:rPr>
          <w:rFonts w:cs="Calibri"/>
          <w:lang w:eastAsia="en-GB"/>
        </w:rPr>
      </w:pPr>
      <w:r w:rsidRPr="0060421C">
        <w:rPr>
          <w:rFonts w:cs="Calibri"/>
        </w:rPr>
        <w:t xml:space="preserve">It is difficult to quantify the precise volume of diesel used for commercial domestic navigation in </w:t>
      </w:r>
      <w:r w:rsidRPr="0060421C">
        <w:rPr>
          <w:rFonts w:cs="Calibri"/>
          <w:lang w:eastAsia="en-GB"/>
        </w:rPr>
        <w:t>New Zealand</w:t>
      </w:r>
      <w:r w:rsidRPr="0060421C">
        <w:rPr>
          <w:rFonts w:cs="Calibri"/>
        </w:rPr>
        <w:t>. Currently, the DPFI only differentiates sales of diesel to the level of domestic transport. MBIE’s oil data system subcategorises diesel sold for domestic transport as being used for road transport.</w:t>
      </w:r>
    </w:p>
    <w:p w14:paraId="1FF7793A" w14:textId="77777777" w:rsidR="0038460F" w:rsidRPr="0060421C" w:rsidRDefault="0038460F" w:rsidP="0038460F">
      <w:pPr>
        <w:pStyle w:val="Heading4"/>
      </w:pPr>
      <w:r w:rsidRPr="0060421C">
        <w:t>Uncertainty assessment and time-series consistency</w:t>
      </w:r>
    </w:p>
    <w:p w14:paraId="73F26CE0" w14:textId="77777777" w:rsidR="0038460F" w:rsidRPr="0060421C" w:rsidRDefault="0038460F" w:rsidP="0038460F">
      <w:pPr>
        <w:pStyle w:val="BodyText"/>
        <w:rPr>
          <w:lang w:eastAsia="en-GB"/>
        </w:rPr>
      </w:pPr>
      <w:r w:rsidRPr="0060421C">
        <w:rPr>
          <w:lang w:eastAsia="en-GB"/>
        </w:rPr>
        <w:t xml:space="preserve">Uncertainties in </w:t>
      </w:r>
      <w:r w:rsidRPr="0060421C">
        <w:t>emission</w:t>
      </w:r>
      <w:r w:rsidRPr="0060421C">
        <w:rPr>
          <w:lang w:eastAsia="en-GB"/>
        </w:rPr>
        <w:t xml:space="preserve"> estimates from the </w:t>
      </w:r>
      <w:r w:rsidRPr="0060421C">
        <w:rPr>
          <w:i/>
          <w:iCs/>
          <w:lang w:eastAsia="en-GB"/>
        </w:rPr>
        <w:t>Transport</w:t>
      </w:r>
      <w:r w:rsidRPr="0060421C">
        <w:rPr>
          <w:lang w:eastAsia="en-GB"/>
        </w:rPr>
        <w:t xml:space="preserve"> category are relevant to the entire </w:t>
      </w:r>
      <w:r w:rsidRPr="0060421C">
        <w:rPr>
          <w:i/>
          <w:iCs/>
          <w:lang w:eastAsia="en-GB"/>
        </w:rPr>
        <w:t>Fuel combustion</w:t>
      </w:r>
      <w:r w:rsidRPr="0060421C">
        <w:rPr>
          <w:lang w:eastAsia="en-GB"/>
        </w:rPr>
        <w:t xml:space="preserve"> category (see table 3.2.1).</w:t>
      </w:r>
    </w:p>
    <w:p w14:paraId="3647C02B" w14:textId="77777777" w:rsidR="0038460F" w:rsidRPr="0060421C" w:rsidRDefault="0038460F" w:rsidP="0038460F">
      <w:pPr>
        <w:pStyle w:val="Heading4"/>
      </w:pPr>
      <w:r w:rsidRPr="0060421C">
        <w:t>Category-specific QA/QC and verification</w:t>
      </w:r>
    </w:p>
    <w:p w14:paraId="79A3EF95" w14:textId="77777777" w:rsidR="0038460F" w:rsidRPr="0060421C" w:rsidRDefault="0038460F" w:rsidP="00794131">
      <w:pPr>
        <w:pStyle w:val="BodyText"/>
        <w:spacing w:after="100"/>
      </w:pPr>
      <w:r w:rsidRPr="0060421C">
        <w:rPr>
          <w:spacing w:val="-2"/>
          <w:lang w:eastAsia="en-GB"/>
        </w:rPr>
        <w:t xml:space="preserve">In the preparation of this inventory, the </w:t>
      </w:r>
      <w:r w:rsidRPr="0060421C">
        <w:rPr>
          <w:i/>
          <w:iCs/>
          <w:spacing w:val="-2"/>
          <w:lang w:eastAsia="en-GB"/>
        </w:rPr>
        <w:t>Transport</w:t>
      </w:r>
      <w:r w:rsidRPr="0060421C">
        <w:rPr>
          <w:spacing w:val="-2"/>
          <w:lang w:eastAsia="en-GB"/>
        </w:rPr>
        <w:t xml:space="preserve"> category underwent Tier 1 quality-assurance</w:t>
      </w:r>
      <w:r w:rsidRPr="0060421C">
        <w:rPr>
          <w:lang w:eastAsia="en-GB"/>
        </w:rPr>
        <w:t xml:space="preserve"> and quality-control checks as recommended in the 2006 IPCC Guidelines (IPCC, 2006). These include regular control sums throughout systems, to verify system integrity, and time-series consistency checks.</w:t>
      </w:r>
    </w:p>
    <w:p w14:paraId="212B2FA7" w14:textId="77777777" w:rsidR="0038460F" w:rsidRPr="0060421C" w:rsidRDefault="0038460F" w:rsidP="00794131">
      <w:pPr>
        <w:pStyle w:val="BodyText"/>
        <w:spacing w:after="100"/>
        <w:rPr>
          <w:lang w:eastAsia="en-GB"/>
        </w:rPr>
      </w:pPr>
      <w:r w:rsidRPr="0060421C">
        <w:rPr>
          <w:lang w:eastAsia="en-GB"/>
        </w:rPr>
        <w:t xml:space="preserve">Comparisons of international implied emission factors across the time series (1990–2012), and those resulting from the new Tier 3 methodology for </w:t>
      </w:r>
      <w:r w:rsidRPr="0060421C">
        <w:t>CH</w:t>
      </w:r>
      <w:r w:rsidRPr="0060421C">
        <w:rPr>
          <w:vertAlign w:val="subscript"/>
        </w:rPr>
        <w:t>4</w:t>
      </w:r>
      <w:r w:rsidRPr="0060421C">
        <w:rPr>
          <w:lang w:eastAsia="en-GB"/>
        </w:rPr>
        <w:t xml:space="preserve"> and </w:t>
      </w:r>
      <w:r w:rsidRPr="0060421C">
        <w:t>N</w:t>
      </w:r>
      <w:r w:rsidRPr="0060421C">
        <w:rPr>
          <w:vertAlign w:val="subscript"/>
        </w:rPr>
        <w:t>2</w:t>
      </w:r>
      <w:r w:rsidRPr="0060421C">
        <w:t>O</w:t>
      </w:r>
      <w:r w:rsidRPr="0060421C">
        <w:rPr>
          <w:lang w:eastAsia="en-GB"/>
        </w:rPr>
        <w:t xml:space="preserve"> emissions from road transport, were made using data from the United Nations Framework Convention on Climate Change website. </w:t>
      </w:r>
    </w:p>
    <w:p w14:paraId="10CFCB59" w14:textId="77777777" w:rsidR="0038460F" w:rsidRPr="0060421C" w:rsidRDefault="0038460F" w:rsidP="0038460F">
      <w:pPr>
        <w:pStyle w:val="Heading4"/>
      </w:pPr>
      <w:r w:rsidRPr="0060421C">
        <w:t>Category-specific recalculations</w:t>
      </w:r>
    </w:p>
    <w:p w14:paraId="0EB8D938" w14:textId="77777777" w:rsidR="0038460F" w:rsidRPr="0060421C" w:rsidRDefault="0038460F" w:rsidP="0038460F">
      <w:r w:rsidRPr="0060421C">
        <w:t>Revisions to data provided by fuel companies have resulted in changes to the allocation of jet A1 between international and domestic aviation for the period January 2022 to September 2024.</w:t>
      </w:r>
    </w:p>
    <w:p w14:paraId="6472028C" w14:textId="77777777" w:rsidR="0038460F" w:rsidRPr="0060421C" w:rsidRDefault="0038460F" w:rsidP="0038460F">
      <w:pPr>
        <w:pStyle w:val="BodyText"/>
        <w:rPr>
          <w:lang w:eastAsia="en-GB"/>
        </w:rPr>
      </w:pPr>
      <w:r w:rsidRPr="0060421C">
        <w:rPr>
          <w:lang w:eastAsia="en-GB"/>
        </w:rPr>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04D8A076" w14:textId="77777777" w:rsidR="0038460F" w:rsidRPr="0060421C" w:rsidRDefault="0038460F" w:rsidP="0038460F">
      <w:pPr>
        <w:pStyle w:val="Heading4"/>
      </w:pPr>
      <w:r w:rsidRPr="0060421C">
        <w:t>Category-specific planned improvements</w:t>
      </w:r>
    </w:p>
    <w:p w14:paraId="05907C0E" w14:textId="77777777" w:rsidR="0038460F" w:rsidRPr="0060421C" w:rsidRDefault="0038460F" w:rsidP="0038460F">
      <w:pPr>
        <w:pStyle w:val="BodyText"/>
      </w:pPr>
      <w:r w:rsidRPr="0060421C">
        <w:rPr>
          <w:lang w:eastAsia="en-GB"/>
        </w:rPr>
        <w:t>MBIE and the Ministry of Transport are considering incorporating the results of a new aviation emissions model in the inventory estimates (for CH</w:t>
      </w:r>
      <w:r w:rsidRPr="0060421C">
        <w:rPr>
          <w:vertAlign w:val="subscript"/>
          <w:lang w:eastAsia="en-GB"/>
        </w:rPr>
        <w:t>4</w:t>
      </w:r>
      <w:r w:rsidRPr="0060421C">
        <w:rPr>
          <w:lang w:eastAsia="en-GB"/>
        </w:rPr>
        <w:t xml:space="preserve"> and N</w:t>
      </w:r>
      <w:r w:rsidRPr="0060421C">
        <w:rPr>
          <w:vertAlign w:val="subscript"/>
          <w:lang w:eastAsia="en-GB"/>
        </w:rPr>
        <w:t>2</w:t>
      </w:r>
      <w:r w:rsidRPr="0060421C">
        <w:rPr>
          <w:lang w:eastAsia="en-GB"/>
        </w:rPr>
        <w:t xml:space="preserve">O emissions). This will </w:t>
      </w:r>
      <w:r w:rsidRPr="0060421C">
        <w:t>require</w:t>
      </w:r>
      <w:r w:rsidRPr="0060421C">
        <w:rPr>
          <w:lang w:eastAsia="en-GB"/>
        </w:rPr>
        <w:t xml:space="preserve"> time and resources to progress if it is deemed to be a worthwhile improvement. </w:t>
      </w:r>
    </w:p>
    <w:p w14:paraId="12F3C682" w14:textId="77777777" w:rsidR="0038460F" w:rsidRPr="0060421C" w:rsidRDefault="0038460F" w:rsidP="0038460F">
      <w:pPr>
        <w:pStyle w:val="Heading3"/>
        <w:tabs>
          <w:tab w:val="clear" w:pos="851"/>
          <w:tab w:val="left" w:pos="993"/>
        </w:tabs>
      </w:pPr>
      <w:r w:rsidRPr="0060421C">
        <w:t>3.2.10</w:t>
      </w:r>
      <w:r w:rsidRPr="0060421C">
        <w:tab/>
        <w:t>Fuel combustion: Other sectors (CRT 1.A.4)</w:t>
      </w:r>
    </w:p>
    <w:p w14:paraId="2D131D27" w14:textId="77777777" w:rsidR="0038460F" w:rsidRPr="0060421C" w:rsidRDefault="0038460F" w:rsidP="0038460F">
      <w:pPr>
        <w:pStyle w:val="Heading4"/>
      </w:pPr>
      <w:r w:rsidRPr="0060421C">
        <w:t>Category description</w:t>
      </w:r>
    </w:p>
    <w:p w14:paraId="51523649" w14:textId="77777777" w:rsidR="0038460F" w:rsidRPr="0060421C" w:rsidRDefault="0038460F" w:rsidP="0038460F">
      <w:pPr>
        <w:pStyle w:val="BodyText"/>
        <w:rPr>
          <w:lang w:eastAsia="en-GB"/>
        </w:rPr>
      </w:pPr>
      <w:r w:rsidRPr="0060421C">
        <w:rPr>
          <w:lang w:eastAsia="en-GB"/>
        </w:rPr>
        <w:t xml:space="preserve">The category 1.A.4 </w:t>
      </w:r>
      <w:r w:rsidRPr="0060421C">
        <w:rPr>
          <w:i/>
          <w:lang w:eastAsia="en-GB"/>
        </w:rPr>
        <w:t>Other sectors</w:t>
      </w:r>
      <w:r w:rsidRPr="0060421C">
        <w:rPr>
          <w:lang w:eastAsia="en-GB"/>
        </w:rPr>
        <w:t xml:space="preserve"> comprises emissions from fuels combusted in the </w:t>
      </w:r>
      <w:r w:rsidRPr="0060421C">
        <w:rPr>
          <w:i/>
          <w:lang w:eastAsia="en-GB"/>
        </w:rPr>
        <w:t>Commercial/institutional</w:t>
      </w:r>
      <w:r w:rsidRPr="0060421C">
        <w:rPr>
          <w:lang w:eastAsia="en-GB"/>
        </w:rPr>
        <w:t xml:space="preserve">, </w:t>
      </w:r>
      <w:r w:rsidRPr="0060421C">
        <w:rPr>
          <w:i/>
          <w:lang w:eastAsia="en-GB"/>
        </w:rPr>
        <w:t>Residential</w:t>
      </w:r>
      <w:r w:rsidRPr="0060421C">
        <w:rPr>
          <w:lang w:eastAsia="en-GB"/>
        </w:rPr>
        <w:t xml:space="preserve"> and </w:t>
      </w:r>
      <w:r w:rsidRPr="0060421C">
        <w:rPr>
          <w:i/>
          <w:lang w:eastAsia="en-GB"/>
        </w:rPr>
        <w:t>Agriculture/forestry/fishing</w:t>
      </w:r>
      <w:r w:rsidRPr="0060421C">
        <w:rPr>
          <w:lang w:eastAsia="en-GB"/>
        </w:rPr>
        <w:t xml:space="preserve"> categories.</w:t>
      </w:r>
    </w:p>
    <w:p w14:paraId="59F9758B" w14:textId="77777777" w:rsidR="0038460F" w:rsidRPr="0060421C" w:rsidRDefault="0038460F" w:rsidP="0038460F">
      <w:pPr>
        <w:pStyle w:val="BodyText"/>
      </w:pPr>
      <w:r w:rsidRPr="0060421C">
        <w:rPr>
          <w:lang w:eastAsia="en-GB"/>
        </w:rPr>
        <w:t xml:space="preserve">In </w:t>
      </w:r>
      <w:r w:rsidRPr="0060421C">
        <w:t>2024</w:t>
      </w:r>
      <w:r w:rsidRPr="0060421C">
        <w:rPr>
          <w:lang w:eastAsia="en-GB"/>
        </w:rPr>
        <w:t xml:space="preserve">, the </w:t>
      </w:r>
      <w:r w:rsidRPr="0060421C">
        <w:rPr>
          <w:i/>
          <w:lang w:eastAsia="en-GB"/>
        </w:rPr>
        <w:t>Fuel combustion – Other sectors</w:t>
      </w:r>
      <w:r w:rsidRPr="0060421C">
        <w:rPr>
          <w:lang w:eastAsia="en-GB"/>
        </w:rPr>
        <w:t xml:space="preserve"> category accounted for 4,449.6</w:t>
      </w:r>
      <w:r w:rsidRPr="0060421C">
        <w:t xml:space="preserve"> </w:t>
      </w:r>
      <w:r w:rsidRPr="0060421C">
        <w:rPr>
          <w:lang w:eastAsia="en-GB"/>
        </w:rPr>
        <w:t>kt CO</w:t>
      </w:r>
      <w:r w:rsidRPr="0060421C">
        <w:rPr>
          <w:vertAlign w:val="subscript"/>
          <w:lang w:eastAsia="en-GB"/>
        </w:rPr>
        <w:t>2</w:t>
      </w:r>
      <w:r w:rsidRPr="0060421C">
        <w:rPr>
          <w:lang w:eastAsia="en-GB"/>
        </w:rPr>
        <w:t>e (</w:t>
      </w:r>
      <w:r w:rsidRPr="0060421C">
        <w:t>15.5 percent</w:t>
      </w:r>
      <w:r w:rsidRPr="0060421C">
        <w:rPr>
          <w:lang w:eastAsia="en-GB"/>
        </w:rPr>
        <w:t xml:space="preserve"> of the emissions from the Energy sector). This was 865.7 kt CO</w:t>
      </w:r>
      <w:r w:rsidRPr="0060421C">
        <w:rPr>
          <w:vertAlign w:val="subscript"/>
          <w:lang w:eastAsia="en-GB"/>
        </w:rPr>
        <w:t>2</w:t>
      </w:r>
      <w:r w:rsidRPr="0060421C">
        <w:rPr>
          <w:lang w:eastAsia="en-GB"/>
        </w:rPr>
        <w:t>e (</w:t>
      </w:r>
      <w:r w:rsidRPr="0060421C">
        <w:t>24.2 percent</w:t>
      </w:r>
      <w:r w:rsidRPr="0060421C">
        <w:rPr>
          <w:lang w:eastAsia="en-GB"/>
        </w:rPr>
        <w:t xml:space="preserve">) higher than the 1990 value of </w:t>
      </w:r>
      <w:r w:rsidRPr="0060421C">
        <w:t xml:space="preserve">3,583.9 </w:t>
      </w:r>
      <w:r w:rsidRPr="0060421C">
        <w:rPr>
          <w:lang w:eastAsia="en-GB"/>
        </w:rPr>
        <w:t>kt CO</w:t>
      </w:r>
      <w:r w:rsidRPr="0060421C">
        <w:rPr>
          <w:vertAlign w:val="subscript"/>
          <w:lang w:eastAsia="en-GB"/>
        </w:rPr>
        <w:t>2</w:t>
      </w:r>
      <w:r w:rsidRPr="0060421C">
        <w:rPr>
          <w:lang w:eastAsia="en-GB"/>
        </w:rPr>
        <w:t xml:space="preserve">e. The main contributors to these increases were </w:t>
      </w:r>
      <w:r w:rsidRPr="0060421C">
        <w:rPr>
          <w:i/>
          <w:spacing w:val="-2"/>
          <w:lang w:eastAsia="en-GB"/>
        </w:rPr>
        <w:t>Residential</w:t>
      </w:r>
      <w:r w:rsidRPr="0060421C">
        <w:rPr>
          <w:spacing w:val="-2"/>
          <w:lang w:eastAsia="en-GB"/>
        </w:rPr>
        <w:t xml:space="preserve"> (up 407.1 kt CO</w:t>
      </w:r>
      <w:r w:rsidRPr="0060421C">
        <w:rPr>
          <w:spacing w:val="-2"/>
          <w:vertAlign w:val="subscript"/>
          <w:lang w:eastAsia="en-GB"/>
        </w:rPr>
        <w:t>2</w:t>
      </w:r>
      <w:r w:rsidRPr="0060421C">
        <w:rPr>
          <w:spacing w:val="-2"/>
          <w:lang w:eastAsia="en-GB"/>
        </w:rPr>
        <w:t xml:space="preserve">e or 27.9 percent) and </w:t>
      </w:r>
      <w:r w:rsidRPr="0060421C">
        <w:rPr>
          <w:i/>
          <w:spacing w:val="-2"/>
          <w:lang w:eastAsia="en-GB"/>
        </w:rPr>
        <w:t>Agriculture/forestry/fishing</w:t>
      </w:r>
      <w:r w:rsidRPr="0060421C">
        <w:rPr>
          <w:spacing w:val="-2"/>
          <w:lang w:eastAsia="en-GB"/>
        </w:rPr>
        <w:t xml:space="preserve"> (up 237.1 kt CO</w:t>
      </w:r>
      <w:r w:rsidRPr="0060421C">
        <w:rPr>
          <w:spacing w:val="-2"/>
          <w:vertAlign w:val="subscript"/>
          <w:lang w:eastAsia="en-GB"/>
        </w:rPr>
        <w:t>2</w:t>
      </w:r>
      <w:r w:rsidRPr="0060421C">
        <w:rPr>
          <w:spacing w:val="-2"/>
          <w:lang w:eastAsia="en-GB"/>
        </w:rPr>
        <w:t>e</w:t>
      </w:r>
      <w:r w:rsidRPr="0060421C">
        <w:rPr>
          <w:lang w:eastAsia="en-GB"/>
        </w:rPr>
        <w:t xml:space="preserve"> or 19.1 percent). Since 2005, the </w:t>
      </w:r>
      <w:r w:rsidRPr="0060421C">
        <w:rPr>
          <w:i/>
          <w:iCs/>
          <w:lang w:eastAsia="en-GB"/>
        </w:rPr>
        <w:t>Other sectors</w:t>
      </w:r>
      <w:r w:rsidRPr="0060421C">
        <w:rPr>
          <w:lang w:eastAsia="en-GB"/>
        </w:rPr>
        <w:t xml:space="preserve"> category has increased by 40.2 kt CO</w:t>
      </w:r>
      <w:r w:rsidRPr="0060421C">
        <w:rPr>
          <w:vertAlign w:val="subscript"/>
          <w:lang w:eastAsia="en-GB"/>
        </w:rPr>
        <w:t>2</w:t>
      </w:r>
      <w:r w:rsidRPr="0060421C">
        <w:rPr>
          <w:lang w:eastAsia="en-GB"/>
        </w:rPr>
        <w:t>e (</w:t>
      </w:r>
      <w:r w:rsidRPr="0060421C">
        <w:t>0.9 percent</w:t>
      </w:r>
      <w:r w:rsidRPr="0060421C">
        <w:rPr>
          <w:lang w:eastAsia="en-GB"/>
        </w:rPr>
        <w:t>).</w:t>
      </w:r>
    </w:p>
    <w:p w14:paraId="521F4C55" w14:textId="77777777" w:rsidR="0038460F" w:rsidRPr="0060421C" w:rsidRDefault="0038460F" w:rsidP="0038460F">
      <w:pPr>
        <w:pStyle w:val="Heading4"/>
        <w:rPr>
          <w:lang w:eastAsia="en-GB"/>
        </w:rPr>
      </w:pPr>
      <w:r w:rsidRPr="0060421C">
        <w:rPr>
          <w:lang w:eastAsia="en-GB"/>
        </w:rPr>
        <w:t xml:space="preserve">Changes in emissions between </w:t>
      </w:r>
      <w:r w:rsidRPr="0060421C">
        <w:t>2023</w:t>
      </w:r>
      <w:r w:rsidRPr="0060421C">
        <w:rPr>
          <w:lang w:eastAsia="en-GB"/>
        </w:rPr>
        <w:t xml:space="preserve"> and </w:t>
      </w:r>
      <w:r w:rsidRPr="0060421C">
        <w:t>2024</w:t>
      </w:r>
    </w:p>
    <w:p w14:paraId="15C035DE" w14:textId="77777777" w:rsidR="0038460F" w:rsidRPr="0060421C" w:rsidRDefault="0038460F" w:rsidP="0038460F">
      <w:pPr>
        <w:pStyle w:val="BodyText"/>
        <w:rPr>
          <w:lang w:eastAsia="en-GB"/>
        </w:rPr>
      </w:pPr>
      <w:r w:rsidRPr="0060421C">
        <w:rPr>
          <w:lang w:eastAsia="en-GB"/>
        </w:rPr>
        <w:t xml:space="preserve">Between </w:t>
      </w:r>
      <w:r w:rsidRPr="0060421C">
        <w:t xml:space="preserve">2023 </w:t>
      </w:r>
      <w:r w:rsidRPr="0060421C">
        <w:rPr>
          <w:lang w:eastAsia="en-GB"/>
        </w:rPr>
        <w:t xml:space="preserve">and </w:t>
      </w:r>
      <w:r w:rsidRPr="0060421C">
        <w:t>2024</w:t>
      </w:r>
      <w:r w:rsidRPr="0060421C">
        <w:rPr>
          <w:lang w:eastAsia="en-GB"/>
        </w:rPr>
        <w:t xml:space="preserve">, emissions from 1.A.4 </w:t>
      </w:r>
      <w:r w:rsidRPr="0060421C">
        <w:rPr>
          <w:i/>
          <w:lang w:eastAsia="en-GB"/>
        </w:rPr>
        <w:t>Other sectors</w:t>
      </w:r>
      <w:r w:rsidRPr="0060421C">
        <w:rPr>
          <w:lang w:eastAsia="en-GB"/>
        </w:rPr>
        <w:t xml:space="preserve"> </w:t>
      </w:r>
      <w:r w:rsidRPr="0060421C">
        <w:t>decreased by 6.0 </w:t>
      </w:r>
      <w:r w:rsidRPr="0060421C">
        <w:rPr>
          <w:lang w:eastAsia="en-GB"/>
        </w:rPr>
        <w:t>kt CO</w:t>
      </w:r>
      <w:r w:rsidRPr="0060421C">
        <w:rPr>
          <w:vertAlign w:val="subscript"/>
          <w:lang w:eastAsia="en-GB"/>
        </w:rPr>
        <w:t>2</w:t>
      </w:r>
      <w:r w:rsidRPr="0060421C">
        <w:rPr>
          <w:lang w:eastAsia="en-GB"/>
        </w:rPr>
        <w:t>e (0.1</w:t>
      </w:r>
      <w:r w:rsidRPr="0060421C">
        <w:t> percent</w:t>
      </w:r>
      <w:r w:rsidRPr="0060421C">
        <w:rPr>
          <w:lang w:eastAsia="en-GB"/>
        </w:rPr>
        <w:t>). A decrease of 89.2 kt CO</w:t>
      </w:r>
      <w:r w:rsidRPr="0060421C">
        <w:rPr>
          <w:vertAlign w:val="subscript"/>
          <w:lang w:eastAsia="en-GB"/>
        </w:rPr>
        <w:t>2</w:t>
      </w:r>
      <w:r w:rsidRPr="0060421C">
        <w:rPr>
          <w:lang w:eastAsia="en-GB"/>
        </w:rPr>
        <w:t xml:space="preserve">e from </w:t>
      </w:r>
      <w:r w:rsidRPr="0060421C">
        <w:rPr>
          <w:i/>
          <w:iCs/>
          <w:lang w:eastAsia="en-GB"/>
        </w:rPr>
        <w:t>Commercial/institutional</w:t>
      </w:r>
      <w:r w:rsidRPr="0060421C">
        <w:rPr>
          <w:lang w:eastAsia="en-GB"/>
        </w:rPr>
        <w:t xml:space="preserve"> was partially offset by a 59.5 kt CO</w:t>
      </w:r>
      <w:r w:rsidRPr="0060421C">
        <w:rPr>
          <w:vertAlign w:val="subscript"/>
          <w:lang w:eastAsia="en-GB"/>
        </w:rPr>
        <w:t>2</w:t>
      </w:r>
      <w:r w:rsidRPr="0060421C">
        <w:rPr>
          <w:lang w:eastAsia="en-GB"/>
        </w:rPr>
        <w:t xml:space="preserve">e increase from </w:t>
      </w:r>
      <w:r w:rsidRPr="0060421C">
        <w:rPr>
          <w:i/>
          <w:iCs/>
          <w:lang w:eastAsia="en-GB"/>
        </w:rPr>
        <w:t>Agriculture/forestry/fishing</w:t>
      </w:r>
      <w:r w:rsidRPr="0060421C">
        <w:rPr>
          <w:lang w:eastAsia="en-GB"/>
        </w:rPr>
        <w:t>.</w:t>
      </w:r>
    </w:p>
    <w:p w14:paraId="09DF4916" w14:textId="77777777" w:rsidR="0038460F" w:rsidRPr="0060421C" w:rsidRDefault="0038460F" w:rsidP="0038460F">
      <w:pPr>
        <w:pStyle w:val="BodyText"/>
      </w:pPr>
      <w:r w:rsidRPr="0060421C">
        <w:t xml:space="preserve">Key categories identified in the 2024 level and trend assessment for the </w:t>
      </w:r>
      <w:r w:rsidRPr="0060421C">
        <w:rPr>
          <w:i/>
        </w:rPr>
        <w:t>Other sectors</w:t>
      </w:r>
      <w:r w:rsidRPr="0060421C">
        <w:t xml:space="preserve"> category are given in table 3.2.7.</w:t>
      </w:r>
    </w:p>
    <w:p w14:paraId="560396C0" w14:textId="02DAFFAC" w:rsidR="0038460F" w:rsidRPr="0060421C" w:rsidRDefault="0038460F" w:rsidP="0038460F">
      <w:pPr>
        <w:pStyle w:val="Table"/>
      </w:pPr>
      <w:bookmarkStart w:id="392" w:name="_Toc68786411"/>
      <w:bookmarkStart w:id="393" w:name="_Toc164153810"/>
      <w:bookmarkStart w:id="394" w:name="_Toc194241677"/>
      <w:bookmarkStart w:id="395" w:name="_Toc226668963"/>
      <w:r w:rsidRPr="0060421C">
        <w:t>Table 3.2.</w:t>
      </w:r>
      <w:r w:rsidR="006F3B24">
        <w:t>9</w:t>
      </w:r>
      <w:r w:rsidRPr="0060421C">
        <w:tab/>
        <w:t xml:space="preserve">Key categories for 1.A.4 </w:t>
      </w:r>
      <w:r w:rsidRPr="0060421C">
        <w:rPr>
          <w:i/>
          <w:iCs/>
          <w:lang w:eastAsia="en-GB"/>
        </w:rPr>
        <w:t>Other sectors</w:t>
      </w:r>
      <w:bookmarkEnd w:id="392"/>
      <w:bookmarkEnd w:id="393"/>
      <w:bookmarkEnd w:id="394"/>
      <w:bookmarkEnd w:id="395"/>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644"/>
        <w:gridCol w:w="1621"/>
        <w:gridCol w:w="1417"/>
        <w:gridCol w:w="1823"/>
      </w:tblGrid>
      <w:tr w:rsidR="0038460F" w:rsidRPr="0060421C" w14:paraId="16ED7D46" w14:textId="77777777" w:rsidTr="00F16E23">
        <w:trPr>
          <w:tblHeader/>
        </w:trPr>
        <w:tc>
          <w:tcPr>
            <w:tcW w:w="2142" w:type="pct"/>
            <w:shd w:val="clear" w:color="auto" w:fill="1B556B"/>
            <w:noWrap/>
            <w:vAlign w:val="bottom"/>
            <w:hideMark/>
          </w:tcPr>
          <w:p w14:paraId="62BB21B5" w14:textId="77777777" w:rsidR="0038460F" w:rsidRPr="0060421C" w:rsidRDefault="0038460F" w:rsidP="00B80462">
            <w:pPr>
              <w:pStyle w:val="TableTextBold"/>
              <w:keepNext/>
              <w:spacing w:before="40" w:after="40"/>
              <w:rPr>
                <w:rFonts w:cs="Calibri"/>
                <w:noProof w:val="0"/>
                <w:color w:val="FFFFFF"/>
              </w:rPr>
            </w:pPr>
            <w:r w:rsidRPr="0060421C">
              <w:rPr>
                <w:rFonts w:cs="Calibri"/>
                <w:noProof w:val="0"/>
                <w:color w:val="FFFFFF"/>
              </w:rPr>
              <w:t>Category</w:t>
            </w:r>
          </w:p>
        </w:tc>
        <w:tc>
          <w:tcPr>
            <w:tcW w:w="953" w:type="pct"/>
            <w:shd w:val="clear" w:color="auto" w:fill="1B556B"/>
            <w:noWrap/>
            <w:vAlign w:val="bottom"/>
            <w:hideMark/>
          </w:tcPr>
          <w:p w14:paraId="4009146A" w14:textId="77777777" w:rsidR="0038460F" w:rsidRPr="0060421C" w:rsidRDefault="0038460F" w:rsidP="00B80462">
            <w:pPr>
              <w:pStyle w:val="TableTextBold"/>
              <w:keepNext/>
              <w:spacing w:before="40" w:after="40"/>
              <w:rPr>
                <w:rFonts w:cs="Calibri"/>
                <w:noProof w:val="0"/>
                <w:color w:val="FFFFFF"/>
              </w:rPr>
            </w:pPr>
            <w:r w:rsidRPr="0060421C">
              <w:rPr>
                <w:rFonts w:cs="Calibri"/>
                <w:noProof w:val="0"/>
                <w:color w:val="FFFFFF"/>
              </w:rPr>
              <w:t>Liquid fuels</w:t>
            </w:r>
          </w:p>
        </w:tc>
        <w:tc>
          <w:tcPr>
            <w:tcW w:w="833" w:type="pct"/>
            <w:shd w:val="clear" w:color="auto" w:fill="1B556B"/>
            <w:vAlign w:val="bottom"/>
            <w:hideMark/>
          </w:tcPr>
          <w:p w14:paraId="3761036B" w14:textId="77777777" w:rsidR="0038460F" w:rsidRPr="0060421C" w:rsidRDefault="0038460F" w:rsidP="00B80462">
            <w:pPr>
              <w:pStyle w:val="TableTextBold"/>
              <w:keepNext/>
              <w:spacing w:before="40" w:after="40"/>
              <w:rPr>
                <w:rFonts w:cs="Calibri"/>
                <w:noProof w:val="0"/>
                <w:color w:val="FFFFFF"/>
              </w:rPr>
            </w:pPr>
            <w:r w:rsidRPr="0060421C">
              <w:rPr>
                <w:rFonts w:cs="Calibri"/>
                <w:noProof w:val="0"/>
                <w:color w:val="FFFFFF"/>
              </w:rPr>
              <w:t>Solid fuels</w:t>
            </w:r>
          </w:p>
        </w:tc>
        <w:tc>
          <w:tcPr>
            <w:tcW w:w="1072" w:type="pct"/>
            <w:shd w:val="clear" w:color="auto" w:fill="1B556B"/>
            <w:vAlign w:val="bottom"/>
            <w:hideMark/>
          </w:tcPr>
          <w:p w14:paraId="1FCD02B4" w14:textId="77777777" w:rsidR="0038460F" w:rsidRPr="0060421C" w:rsidRDefault="0038460F" w:rsidP="00B80462">
            <w:pPr>
              <w:pStyle w:val="TableTextBold"/>
              <w:keepNext/>
              <w:spacing w:before="40" w:after="40"/>
              <w:rPr>
                <w:rFonts w:cs="Calibri"/>
                <w:noProof w:val="0"/>
                <w:color w:val="FFFFFF"/>
              </w:rPr>
            </w:pPr>
            <w:r w:rsidRPr="0060421C">
              <w:rPr>
                <w:rFonts w:cs="Calibri"/>
                <w:noProof w:val="0"/>
                <w:color w:val="FFFFFF"/>
              </w:rPr>
              <w:t>Gaseous fuels</w:t>
            </w:r>
          </w:p>
        </w:tc>
      </w:tr>
      <w:tr w:rsidR="0038460F" w:rsidRPr="0060421C" w14:paraId="47063D6D" w14:textId="77777777" w:rsidTr="00F16E23">
        <w:tc>
          <w:tcPr>
            <w:tcW w:w="2142" w:type="pct"/>
            <w:noWrap/>
            <w:hideMark/>
          </w:tcPr>
          <w:p w14:paraId="2FEB9DA7" w14:textId="77777777" w:rsidR="0038460F" w:rsidRPr="0060421C" w:rsidRDefault="0038460F" w:rsidP="00B80462">
            <w:pPr>
              <w:pStyle w:val="TableText"/>
              <w:keepNext/>
              <w:spacing w:before="40" w:after="40"/>
              <w:rPr>
                <w:rFonts w:cs="Calibri"/>
              </w:rPr>
            </w:pPr>
            <w:r w:rsidRPr="0060421C">
              <w:rPr>
                <w:rFonts w:cs="Calibri"/>
              </w:rPr>
              <w:t>Commercial/institutional – CO</w:t>
            </w:r>
            <w:r w:rsidRPr="0060421C">
              <w:rPr>
                <w:rFonts w:cs="Calibri"/>
                <w:vertAlign w:val="subscript"/>
              </w:rPr>
              <w:t>2</w:t>
            </w:r>
          </w:p>
        </w:tc>
        <w:tc>
          <w:tcPr>
            <w:tcW w:w="953" w:type="pct"/>
            <w:noWrap/>
            <w:hideMark/>
          </w:tcPr>
          <w:p w14:paraId="7D0BE47C" w14:textId="77777777" w:rsidR="0038460F" w:rsidRPr="0060421C" w:rsidRDefault="0038460F" w:rsidP="00B80462">
            <w:pPr>
              <w:pStyle w:val="TableText"/>
              <w:keepNext/>
              <w:spacing w:before="40" w:after="40"/>
              <w:rPr>
                <w:rFonts w:cs="Calibri"/>
              </w:rPr>
            </w:pPr>
            <w:r w:rsidRPr="0060421C">
              <w:rPr>
                <w:rFonts w:cs="Calibri"/>
              </w:rPr>
              <w:t>Level, trend</w:t>
            </w:r>
          </w:p>
        </w:tc>
        <w:tc>
          <w:tcPr>
            <w:tcW w:w="833" w:type="pct"/>
            <w:noWrap/>
            <w:hideMark/>
          </w:tcPr>
          <w:p w14:paraId="4C495A90" w14:textId="77777777" w:rsidR="0038460F" w:rsidRPr="0060421C" w:rsidRDefault="0038460F" w:rsidP="00B80462">
            <w:pPr>
              <w:pStyle w:val="TableText"/>
              <w:keepNext/>
              <w:spacing w:before="40" w:after="40"/>
              <w:rPr>
                <w:rFonts w:cs="Calibri"/>
              </w:rPr>
            </w:pPr>
            <w:r w:rsidRPr="0060421C">
              <w:rPr>
                <w:rFonts w:cs="Calibri"/>
              </w:rPr>
              <w:t>Trend</w:t>
            </w:r>
          </w:p>
        </w:tc>
        <w:tc>
          <w:tcPr>
            <w:tcW w:w="1072" w:type="pct"/>
            <w:noWrap/>
            <w:hideMark/>
          </w:tcPr>
          <w:p w14:paraId="35242758" w14:textId="77777777" w:rsidR="0038460F" w:rsidRPr="0060421C" w:rsidRDefault="0038460F" w:rsidP="00B80462">
            <w:pPr>
              <w:pStyle w:val="TableText"/>
              <w:keepNext/>
              <w:spacing w:before="40" w:after="40"/>
              <w:rPr>
                <w:rFonts w:cs="Calibri"/>
              </w:rPr>
            </w:pPr>
            <w:r w:rsidRPr="0060421C">
              <w:rPr>
                <w:rFonts w:cs="Calibri"/>
              </w:rPr>
              <w:t>Level, trend</w:t>
            </w:r>
          </w:p>
        </w:tc>
      </w:tr>
      <w:tr w:rsidR="0038460F" w:rsidRPr="0060421C" w14:paraId="2684EAE2" w14:textId="77777777" w:rsidTr="00F16E23">
        <w:tc>
          <w:tcPr>
            <w:tcW w:w="2142" w:type="pct"/>
            <w:noWrap/>
            <w:hideMark/>
          </w:tcPr>
          <w:p w14:paraId="556F4BFF" w14:textId="77777777" w:rsidR="0038460F" w:rsidRPr="0060421C" w:rsidRDefault="0038460F" w:rsidP="00F16E23">
            <w:pPr>
              <w:pStyle w:val="TableText"/>
              <w:spacing w:before="40" w:after="40"/>
              <w:rPr>
                <w:rFonts w:cs="Calibri"/>
              </w:rPr>
            </w:pPr>
            <w:r w:rsidRPr="0060421C">
              <w:rPr>
                <w:rFonts w:cs="Calibri"/>
              </w:rPr>
              <w:t>Residential – CO</w:t>
            </w:r>
            <w:r w:rsidRPr="0060421C">
              <w:rPr>
                <w:rFonts w:cs="Calibri"/>
                <w:vertAlign w:val="subscript"/>
              </w:rPr>
              <w:t>2</w:t>
            </w:r>
          </w:p>
        </w:tc>
        <w:tc>
          <w:tcPr>
            <w:tcW w:w="953" w:type="pct"/>
            <w:noWrap/>
            <w:hideMark/>
          </w:tcPr>
          <w:p w14:paraId="29C367D4" w14:textId="77777777" w:rsidR="0038460F" w:rsidRPr="0060421C" w:rsidRDefault="0038460F" w:rsidP="00F16E23">
            <w:pPr>
              <w:pStyle w:val="TableText"/>
              <w:spacing w:before="40" w:after="40"/>
              <w:rPr>
                <w:rFonts w:cs="Calibri"/>
              </w:rPr>
            </w:pPr>
            <w:r w:rsidRPr="0060421C">
              <w:rPr>
                <w:rFonts w:cs="Calibri"/>
              </w:rPr>
              <w:t>Level, trend</w:t>
            </w:r>
          </w:p>
        </w:tc>
        <w:tc>
          <w:tcPr>
            <w:tcW w:w="833" w:type="pct"/>
            <w:noWrap/>
          </w:tcPr>
          <w:p w14:paraId="487302F6" w14:textId="77777777" w:rsidR="0038460F" w:rsidRPr="0060421C" w:rsidRDefault="0038460F" w:rsidP="00F16E23">
            <w:pPr>
              <w:pStyle w:val="TableText"/>
              <w:spacing w:before="40" w:after="40"/>
              <w:rPr>
                <w:rFonts w:cs="Calibri"/>
              </w:rPr>
            </w:pPr>
            <w:r w:rsidRPr="0060421C">
              <w:rPr>
                <w:rFonts w:cs="Calibri"/>
              </w:rPr>
              <w:t>Trend</w:t>
            </w:r>
          </w:p>
        </w:tc>
        <w:tc>
          <w:tcPr>
            <w:tcW w:w="1072" w:type="pct"/>
            <w:noWrap/>
            <w:hideMark/>
          </w:tcPr>
          <w:p w14:paraId="7F457420" w14:textId="77777777" w:rsidR="0038460F" w:rsidRPr="0060421C" w:rsidRDefault="0038460F" w:rsidP="00F16E23">
            <w:pPr>
              <w:pStyle w:val="TableText"/>
              <w:spacing w:before="40" w:after="40"/>
              <w:rPr>
                <w:rFonts w:cs="Calibri"/>
              </w:rPr>
            </w:pPr>
            <w:r w:rsidRPr="0060421C">
              <w:rPr>
                <w:rFonts w:cs="Calibri"/>
              </w:rPr>
              <w:t>Level, trend</w:t>
            </w:r>
          </w:p>
        </w:tc>
      </w:tr>
      <w:tr w:rsidR="0038460F" w:rsidRPr="0060421C" w14:paraId="58E943D0" w14:textId="77777777" w:rsidTr="00F16E23">
        <w:tc>
          <w:tcPr>
            <w:tcW w:w="2142" w:type="pct"/>
            <w:noWrap/>
          </w:tcPr>
          <w:p w14:paraId="5433B24C" w14:textId="77777777" w:rsidR="0038460F" w:rsidRPr="0060421C" w:rsidRDefault="0038460F" w:rsidP="00F16E23">
            <w:pPr>
              <w:pStyle w:val="TableText"/>
              <w:spacing w:before="40" w:after="40"/>
              <w:rPr>
                <w:rFonts w:cs="Calibri"/>
              </w:rPr>
            </w:pPr>
            <w:r w:rsidRPr="0060421C">
              <w:rPr>
                <w:rFonts w:cs="Calibri"/>
              </w:rPr>
              <w:t>Agriculture/forestry/fishing – CO</w:t>
            </w:r>
            <w:r w:rsidRPr="0060421C">
              <w:rPr>
                <w:rFonts w:cs="Calibri"/>
                <w:vertAlign w:val="subscript"/>
              </w:rPr>
              <w:t>2</w:t>
            </w:r>
          </w:p>
        </w:tc>
        <w:tc>
          <w:tcPr>
            <w:tcW w:w="953" w:type="pct"/>
            <w:noWrap/>
          </w:tcPr>
          <w:p w14:paraId="5E4BF16A" w14:textId="77777777" w:rsidR="0038460F" w:rsidRPr="0060421C" w:rsidRDefault="0038460F" w:rsidP="00F16E23">
            <w:pPr>
              <w:pStyle w:val="TableText"/>
              <w:spacing w:before="40" w:after="40"/>
              <w:rPr>
                <w:rFonts w:cs="Calibri"/>
              </w:rPr>
            </w:pPr>
            <w:r w:rsidRPr="0060421C">
              <w:rPr>
                <w:rFonts w:cs="Calibri"/>
              </w:rPr>
              <w:t>Level, trend</w:t>
            </w:r>
          </w:p>
        </w:tc>
        <w:tc>
          <w:tcPr>
            <w:tcW w:w="833" w:type="pct"/>
            <w:noWrap/>
          </w:tcPr>
          <w:p w14:paraId="22794740" w14:textId="77777777" w:rsidR="0038460F" w:rsidRPr="0060421C" w:rsidRDefault="0038460F" w:rsidP="00F16E23">
            <w:pPr>
              <w:pStyle w:val="TableText"/>
              <w:spacing w:before="40" w:after="40"/>
              <w:rPr>
                <w:rFonts w:cs="Calibri"/>
              </w:rPr>
            </w:pPr>
            <w:r w:rsidRPr="0060421C">
              <w:rPr>
                <w:rFonts w:cs="Calibri"/>
              </w:rPr>
              <w:t>Trend</w:t>
            </w:r>
          </w:p>
        </w:tc>
        <w:tc>
          <w:tcPr>
            <w:tcW w:w="1072" w:type="pct"/>
            <w:noWrap/>
          </w:tcPr>
          <w:p w14:paraId="21AF30A1" w14:textId="77777777" w:rsidR="0038460F" w:rsidRPr="0060421C" w:rsidRDefault="0038460F" w:rsidP="00F16E23">
            <w:pPr>
              <w:pStyle w:val="TableText"/>
              <w:spacing w:before="40" w:after="40"/>
              <w:rPr>
                <w:rFonts w:cs="Calibri"/>
              </w:rPr>
            </w:pPr>
            <w:r w:rsidRPr="0060421C">
              <w:rPr>
                <w:rFonts w:cs="Calibri"/>
              </w:rPr>
              <w:t>–</w:t>
            </w:r>
          </w:p>
        </w:tc>
      </w:tr>
    </w:tbl>
    <w:p w14:paraId="07DB6CAA" w14:textId="77777777" w:rsidR="0038460F" w:rsidRPr="0060421C" w:rsidRDefault="0038460F" w:rsidP="0038460F">
      <w:pPr>
        <w:pStyle w:val="Heading4"/>
        <w:spacing w:before="360"/>
      </w:pPr>
      <w:r w:rsidRPr="0060421C">
        <w:t>Methodological issues</w:t>
      </w:r>
    </w:p>
    <w:p w14:paraId="07E47108" w14:textId="77777777" w:rsidR="0038460F" w:rsidRPr="0060421C" w:rsidRDefault="0038460F" w:rsidP="0038460F">
      <w:pPr>
        <w:pStyle w:val="Heading5"/>
        <w:spacing w:before="180"/>
      </w:pPr>
      <w:r w:rsidRPr="0060421C">
        <w:t>Solid biomass</w:t>
      </w:r>
    </w:p>
    <w:p w14:paraId="61D0E704" w14:textId="77777777" w:rsidR="0038460F" w:rsidRPr="0060421C" w:rsidRDefault="0038460F" w:rsidP="0038460F">
      <w:pPr>
        <w:pStyle w:val="BodyText"/>
        <w:spacing w:before="80" w:after="100"/>
        <w:rPr>
          <w:rFonts w:cs="Calibri"/>
        </w:rPr>
      </w:pPr>
      <w:r w:rsidRPr="0060421C">
        <w:rPr>
          <w:rFonts w:cs="Calibri"/>
        </w:rPr>
        <w:t xml:space="preserve">Outdoor combustion of biomass (e.g., bonfires, barbecues, campfires, pizza ovens, braziers, chimeneas, or in preparation for traditional methods of cooking food such as hāngī, umu and lovo) is common in </w:t>
      </w:r>
      <w:r w:rsidRPr="0060421C">
        <w:rPr>
          <w:rFonts w:cs="Calibri"/>
          <w:lang w:eastAsia="en-GB"/>
        </w:rPr>
        <w:t>New Zealand</w:t>
      </w:r>
      <w:r w:rsidRPr="0060421C">
        <w:rPr>
          <w:rFonts w:cs="Calibri"/>
        </w:rPr>
        <w:t>. These activities are distinct from open burning of unwanted biomass that is not used for energy purposes, and that would be reported under the Waste sector. Activity data are not available; however, expert judgement indicates that the likely level of activity is relatively minor compared with indoor residential biomass combustion. Therefore, emissions associated with these outdoor activities have not been estimated.</w:t>
      </w:r>
    </w:p>
    <w:p w14:paraId="263B7D9D" w14:textId="77777777" w:rsidR="0038460F" w:rsidRPr="0060421C" w:rsidRDefault="0038460F" w:rsidP="0038460F">
      <w:pPr>
        <w:pStyle w:val="Heading5"/>
      </w:pPr>
      <w:r w:rsidRPr="0060421C">
        <w:t>Solid fossil fuels</w:t>
      </w:r>
    </w:p>
    <w:p w14:paraId="534EBEDC" w14:textId="77777777" w:rsidR="0038460F" w:rsidRPr="0060421C" w:rsidRDefault="0038460F" w:rsidP="0038460F">
      <w:pPr>
        <w:pStyle w:val="BodyText"/>
        <w:spacing w:before="80" w:after="100"/>
      </w:pPr>
      <w:r w:rsidRPr="0060421C">
        <w:t>Several synthetic solid fuels are used as lightweight cooking fuels by hikers and the military. Examples include hexamethylenetetramine, metaldehyde and trioxane, which are derived from chemical feedstocks, such as aldehydes and ammonia, and contain fossil carbon. These fuels are not covered by the national energy balance, and the emissions associated with their combustion have not been estimated.</w:t>
      </w:r>
    </w:p>
    <w:p w14:paraId="0EFCDB10" w14:textId="77777777" w:rsidR="0038460F" w:rsidRPr="0060421C" w:rsidRDefault="0038460F" w:rsidP="0038460F">
      <w:pPr>
        <w:pStyle w:val="Heading5"/>
        <w:rPr>
          <w:lang w:eastAsia="en-GB"/>
        </w:rPr>
      </w:pPr>
      <w:r w:rsidRPr="0060421C">
        <w:rPr>
          <w:lang w:eastAsia="en-GB"/>
        </w:rPr>
        <w:t>Other fossil fuels</w:t>
      </w:r>
    </w:p>
    <w:p w14:paraId="156C9FD3" w14:textId="77777777" w:rsidR="0038460F" w:rsidRPr="0060421C" w:rsidRDefault="0038460F" w:rsidP="0038460F">
      <w:pPr>
        <w:pStyle w:val="BodyText"/>
        <w:spacing w:before="80" w:after="100"/>
      </w:pPr>
      <w:r w:rsidRPr="0060421C">
        <w:t>Chafing fuels, typically containing methanol, ethanol or diethylene glycol, are used for food warming in the commercial sector and occasionally for emergency heating or outdoor cooking. These fuels are often sold in small canisters and burned directly within them. A source of appropriate activity data is being investigated, and an update will be provided in future submissions.</w:t>
      </w:r>
    </w:p>
    <w:p w14:paraId="033C1F2C" w14:textId="77777777" w:rsidR="0038460F" w:rsidRPr="0060421C" w:rsidRDefault="0038460F" w:rsidP="0038460F">
      <w:pPr>
        <w:pStyle w:val="Heading4"/>
        <w:rPr>
          <w:lang w:eastAsia="en-GB"/>
        </w:rPr>
      </w:pPr>
      <w:r w:rsidRPr="0060421C">
        <w:rPr>
          <w:lang w:eastAsia="en-GB"/>
        </w:rPr>
        <w:t>Activity data</w:t>
      </w:r>
    </w:p>
    <w:p w14:paraId="34849355" w14:textId="77777777" w:rsidR="0038460F" w:rsidRPr="0060421C" w:rsidRDefault="0038460F" w:rsidP="0038460F">
      <w:pPr>
        <w:pStyle w:val="Heading5"/>
        <w:spacing w:before="180"/>
      </w:pPr>
      <w:r w:rsidRPr="0060421C">
        <w:t>Liquid fuels</w:t>
      </w:r>
    </w:p>
    <w:p w14:paraId="5D14EE22" w14:textId="77777777" w:rsidR="0038460F" w:rsidRPr="0060421C" w:rsidRDefault="0038460F" w:rsidP="0038460F">
      <w:pPr>
        <w:pStyle w:val="BodyText"/>
        <w:spacing w:before="80" w:after="100"/>
        <w:rPr>
          <w:rFonts w:cs="Calibri"/>
        </w:rPr>
      </w:pPr>
      <w:r w:rsidRPr="0060421C">
        <w:rPr>
          <w:rFonts w:cs="Calibri"/>
        </w:rPr>
        <w:t xml:space="preserve">As mentioned in section 3.2.2, this inventory uses the results of the </w:t>
      </w:r>
      <w:r w:rsidRPr="0060421C">
        <w:rPr>
          <w:rFonts w:cs="Calibri"/>
          <w:iCs/>
        </w:rPr>
        <w:t>Annual Liquid Fuel Survey</w:t>
      </w:r>
      <w:r w:rsidRPr="0060421C">
        <w:rPr>
          <w:rFonts w:cs="Calibri"/>
        </w:rPr>
        <w:t xml:space="preserve"> that began in 2009. The purpose of the survey is to capture the allocation of fuel resold by small independent resellers. In recent years, these independent resellers accounted for around 30 percent of national diesel deliveries and around 8 percent of national gasoline deliveries. </w:t>
      </w:r>
    </w:p>
    <w:p w14:paraId="07007F6C" w14:textId="77777777" w:rsidR="0038460F" w:rsidRPr="0060421C" w:rsidRDefault="0038460F" w:rsidP="0038460F">
      <w:pPr>
        <w:pStyle w:val="BodyText"/>
        <w:spacing w:before="100" w:after="100"/>
        <w:rPr>
          <w:rFonts w:cs="Calibri"/>
        </w:rPr>
      </w:pPr>
      <w:r w:rsidRPr="0060421C">
        <w:rPr>
          <w:rFonts w:cs="Calibri"/>
        </w:rPr>
        <w:t xml:space="preserve">As the result of resale data captured by the </w:t>
      </w:r>
      <w:r w:rsidRPr="0060421C">
        <w:rPr>
          <w:rFonts w:cs="Calibri"/>
          <w:iCs/>
        </w:rPr>
        <w:t>Annual Liquid Fuel Survey</w:t>
      </w:r>
      <w:r w:rsidRPr="0060421C">
        <w:rPr>
          <w:rFonts w:cs="Calibri"/>
        </w:rPr>
        <w:t xml:space="preserve">, emissions that would otherwise be reported in category 1.A.3.b </w:t>
      </w:r>
      <w:r w:rsidRPr="0060421C">
        <w:rPr>
          <w:rFonts w:cs="Calibri"/>
          <w:i/>
        </w:rPr>
        <w:t>Road transportation</w:t>
      </w:r>
      <w:r w:rsidRPr="0060421C">
        <w:rPr>
          <w:rFonts w:cs="Calibri"/>
        </w:rPr>
        <w:t xml:space="preserve"> are allocated to their correct category. For time-series consistency, these reallocations are also made from 1990 to 2008, before the collection of data on the resale of liquid fuel by small, independent distributors began.</w:t>
      </w:r>
    </w:p>
    <w:p w14:paraId="39250962" w14:textId="77777777" w:rsidR="0038460F" w:rsidRPr="0060421C" w:rsidRDefault="0038460F" w:rsidP="0038460F">
      <w:pPr>
        <w:pStyle w:val="BodyText"/>
        <w:spacing w:before="100" w:after="100"/>
        <w:rPr>
          <w:rFonts w:cs="Calibri"/>
        </w:rPr>
      </w:pPr>
      <w:r w:rsidRPr="0060421C">
        <w:rPr>
          <w:rFonts w:cs="Calibri"/>
        </w:rPr>
        <w:t>Historical national energy sales surveys captured fuel use by mining operations under ‘other primary industry’. For consistency with the 2006 IPCC Guidelines (IPCC, 2006), this inventory uses data provided by Stats NZ’s Energy Use Survey (</w:t>
      </w:r>
      <w:r w:rsidRPr="0060421C">
        <w:rPr>
          <w:rFonts w:cs="Calibri"/>
          <w:lang w:eastAsia="en-GB"/>
        </w:rPr>
        <w:t xml:space="preserve">Stats NZ, 2018) </w:t>
      </w:r>
      <w:r w:rsidRPr="0060421C">
        <w:rPr>
          <w:rFonts w:cs="Calibri"/>
        </w:rPr>
        <w:t>to estimate the split of historical ‘other primary industry’ activity for fuel oil between forestry and logging, and mining (table 3.2.8). The historical data are insufficient to extrapolate a historical trend for this split: instead, activity splits are interpolated between the two surveys and assumed to be constant for the period 1990 to 2008.</w:t>
      </w:r>
    </w:p>
    <w:p w14:paraId="5CE5C273" w14:textId="6794FDE8" w:rsidR="0038460F" w:rsidRPr="0060421C" w:rsidRDefault="0038460F" w:rsidP="0038460F">
      <w:pPr>
        <w:pStyle w:val="Table"/>
      </w:pPr>
      <w:bookmarkStart w:id="396" w:name="_Toc321399160"/>
      <w:bookmarkStart w:id="397" w:name="_Toc384582867"/>
      <w:bookmarkStart w:id="398" w:name="_Toc443060847"/>
      <w:bookmarkStart w:id="399" w:name="_Toc451176063"/>
      <w:bookmarkStart w:id="400" w:name="_Toc481751489"/>
      <w:bookmarkStart w:id="401" w:name="_Toc507496592"/>
      <w:bookmarkStart w:id="402" w:name="_Toc36224526"/>
      <w:bookmarkStart w:id="403" w:name="_Toc68786412"/>
      <w:bookmarkStart w:id="404" w:name="_Toc164153811"/>
      <w:bookmarkStart w:id="405" w:name="_Toc194241678"/>
      <w:bookmarkStart w:id="406" w:name="_Toc226668964"/>
      <w:r w:rsidRPr="0060421C">
        <w:t>Table 3.2.</w:t>
      </w:r>
      <w:r w:rsidR="006F3B24">
        <w:t>10</w:t>
      </w:r>
      <w:r w:rsidRPr="0060421C">
        <w:t xml:space="preserve"> </w:t>
      </w:r>
      <w:r w:rsidRPr="0060421C">
        <w:tab/>
        <w:t>Split of fuel oil activity for ‘other primary industry’</w:t>
      </w:r>
      <w:bookmarkEnd w:id="396"/>
      <w:bookmarkEnd w:id="397"/>
      <w:bookmarkEnd w:id="398"/>
      <w:bookmarkEnd w:id="399"/>
      <w:bookmarkEnd w:id="400"/>
      <w:bookmarkEnd w:id="401"/>
      <w:bookmarkEnd w:id="402"/>
      <w:bookmarkEnd w:id="403"/>
      <w:bookmarkEnd w:id="404"/>
      <w:bookmarkEnd w:id="405"/>
      <w:bookmarkEnd w:id="406"/>
      <w:r w:rsidRPr="0060421C">
        <w:rPr>
          <w:color w:val="FFFFFF"/>
        </w:rPr>
        <w:t xml:space="preserve"> </w:t>
      </w:r>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320"/>
        <w:gridCol w:w="3091"/>
        <w:gridCol w:w="3094"/>
      </w:tblGrid>
      <w:tr w:rsidR="0038460F" w:rsidRPr="0060421C" w14:paraId="681D94C8" w14:textId="77777777" w:rsidTr="00F16E23">
        <w:trPr>
          <w:cantSplit/>
        </w:trPr>
        <w:tc>
          <w:tcPr>
            <w:tcW w:w="1364" w:type="pct"/>
            <w:shd w:val="clear" w:color="auto" w:fill="1B556B"/>
            <w:vAlign w:val="bottom"/>
          </w:tcPr>
          <w:p w14:paraId="7561AB69"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Activity</w:t>
            </w:r>
          </w:p>
        </w:tc>
        <w:tc>
          <w:tcPr>
            <w:tcW w:w="1817" w:type="pct"/>
            <w:shd w:val="clear" w:color="auto" w:fill="1B556B"/>
            <w:vAlign w:val="bottom"/>
          </w:tcPr>
          <w:p w14:paraId="3EF9E217" w14:textId="77777777" w:rsidR="0038460F" w:rsidRPr="0060421C" w:rsidRDefault="0038460F" w:rsidP="00F16E23">
            <w:pPr>
              <w:pStyle w:val="TableTextBold"/>
              <w:keepNext/>
              <w:spacing w:before="40" w:after="40"/>
              <w:jc w:val="right"/>
              <w:rPr>
                <w:rFonts w:cs="Calibri"/>
                <w:noProof w:val="0"/>
                <w:color w:val="FFFFFF"/>
              </w:rPr>
            </w:pPr>
            <w:r w:rsidRPr="0060421C">
              <w:rPr>
                <w:rFonts w:cs="Calibri"/>
                <w:noProof w:val="0"/>
                <w:color w:val="FFFFFF"/>
              </w:rPr>
              <w:t>Energy Use Survey 2008 (%)</w:t>
            </w:r>
          </w:p>
        </w:tc>
        <w:tc>
          <w:tcPr>
            <w:tcW w:w="1819" w:type="pct"/>
            <w:shd w:val="clear" w:color="auto" w:fill="1B556B"/>
            <w:vAlign w:val="bottom"/>
          </w:tcPr>
          <w:p w14:paraId="13636B71" w14:textId="77777777" w:rsidR="0038460F" w:rsidRPr="0060421C" w:rsidRDefault="0038460F" w:rsidP="00F16E23">
            <w:pPr>
              <w:pStyle w:val="TableTextBold"/>
              <w:keepNext/>
              <w:spacing w:before="40" w:after="40"/>
              <w:jc w:val="right"/>
              <w:rPr>
                <w:rFonts w:cs="Calibri"/>
                <w:noProof w:val="0"/>
                <w:color w:val="FFFFFF"/>
              </w:rPr>
            </w:pPr>
            <w:r w:rsidRPr="0060421C">
              <w:rPr>
                <w:rFonts w:cs="Calibri"/>
                <w:noProof w:val="0"/>
                <w:color w:val="FFFFFF"/>
              </w:rPr>
              <w:t>Energy Use Survey 2016 (%)</w:t>
            </w:r>
          </w:p>
        </w:tc>
      </w:tr>
      <w:tr w:rsidR="0038460F" w:rsidRPr="0060421C" w14:paraId="436094BF" w14:textId="77777777" w:rsidTr="00F16E23">
        <w:trPr>
          <w:cantSplit/>
          <w:trHeight w:val="250"/>
        </w:trPr>
        <w:tc>
          <w:tcPr>
            <w:tcW w:w="1364" w:type="pct"/>
          </w:tcPr>
          <w:p w14:paraId="51E1A87A" w14:textId="77777777" w:rsidR="0038460F" w:rsidRPr="0060421C" w:rsidRDefault="0038460F" w:rsidP="00F16E23">
            <w:pPr>
              <w:pStyle w:val="TableText"/>
              <w:keepNext/>
              <w:spacing w:before="40" w:after="40"/>
              <w:rPr>
                <w:rFonts w:cs="Calibri"/>
              </w:rPr>
            </w:pPr>
            <w:r w:rsidRPr="0060421C">
              <w:rPr>
                <w:rFonts w:cs="Calibri"/>
              </w:rPr>
              <w:t>Forestry and logging</w:t>
            </w:r>
          </w:p>
        </w:tc>
        <w:tc>
          <w:tcPr>
            <w:tcW w:w="1817" w:type="pct"/>
            <w:vAlign w:val="center"/>
          </w:tcPr>
          <w:p w14:paraId="590938C5" w14:textId="77777777" w:rsidR="0038460F" w:rsidRPr="0060421C" w:rsidRDefault="0038460F" w:rsidP="00F16E23">
            <w:pPr>
              <w:pStyle w:val="TableText"/>
              <w:keepNext/>
              <w:spacing w:before="40" w:after="40"/>
              <w:jc w:val="right"/>
              <w:rPr>
                <w:rFonts w:cs="Calibri"/>
              </w:rPr>
            </w:pPr>
            <w:r w:rsidRPr="0060421C">
              <w:rPr>
                <w:rFonts w:cs="Calibri"/>
              </w:rPr>
              <w:t>51.3</w:t>
            </w:r>
          </w:p>
        </w:tc>
        <w:tc>
          <w:tcPr>
            <w:tcW w:w="1819" w:type="pct"/>
            <w:vAlign w:val="center"/>
          </w:tcPr>
          <w:p w14:paraId="51D3BF59" w14:textId="77777777" w:rsidR="0038460F" w:rsidRPr="0060421C" w:rsidRDefault="0038460F" w:rsidP="00F16E23">
            <w:pPr>
              <w:pStyle w:val="TableText"/>
              <w:keepNext/>
              <w:spacing w:before="40" w:after="40"/>
              <w:jc w:val="right"/>
              <w:rPr>
                <w:rFonts w:cs="Calibri"/>
              </w:rPr>
            </w:pPr>
            <w:r w:rsidRPr="0060421C">
              <w:rPr>
                <w:rFonts w:cs="Calibri"/>
              </w:rPr>
              <w:t>9.1</w:t>
            </w:r>
          </w:p>
        </w:tc>
      </w:tr>
      <w:tr w:rsidR="0038460F" w:rsidRPr="0060421C" w14:paraId="241A941D" w14:textId="77777777" w:rsidTr="00F16E23">
        <w:trPr>
          <w:cantSplit/>
        </w:trPr>
        <w:tc>
          <w:tcPr>
            <w:tcW w:w="1364" w:type="pct"/>
          </w:tcPr>
          <w:p w14:paraId="6B372DF0" w14:textId="608DAF8C" w:rsidR="00936CAE" w:rsidRPr="006F3B24" w:rsidRDefault="0038460F" w:rsidP="006F3B24">
            <w:pPr>
              <w:pStyle w:val="TableText"/>
              <w:spacing w:before="40" w:after="40"/>
              <w:rPr>
                <w:rFonts w:cs="Calibri"/>
              </w:rPr>
            </w:pPr>
            <w:r w:rsidRPr="0060421C">
              <w:rPr>
                <w:rFonts w:cs="Calibri"/>
              </w:rPr>
              <w:t>Mining</w:t>
            </w:r>
          </w:p>
        </w:tc>
        <w:tc>
          <w:tcPr>
            <w:tcW w:w="1817" w:type="pct"/>
            <w:vAlign w:val="center"/>
          </w:tcPr>
          <w:p w14:paraId="3EEA4620" w14:textId="77777777" w:rsidR="0038460F" w:rsidRPr="0060421C" w:rsidRDefault="0038460F" w:rsidP="00F16E23">
            <w:pPr>
              <w:pStyle w:val="TableText"/>
              <w:spacing w:before="40" w:after="40"/>
              <w:jc w:val="right"/>
              <w:rPr>
                <w:rFonts w:cs="Calibri"/>
              </w:rPr>
            </w:pPr>
            <w:r w:rsidRPr="0060421C">
              <w:rPr>
                <w:rFonts w:cs="Calibri"/>
              </w:rPr>
              <w:t>48.7</w:t>
            </w:r>
          </w:p>
        </w:tc>
        <w:tc>
          <w:tcPr>
            <w:tcW w:w="1819" w:type="pct"/>
            <w:vAlign w:val="center"/>
          </w:tcPr>
          <w:p w14:paraId="3C910FDE" w14:textId="77777777" w:rsidR="0038460F" w:rsidRPr="0060421C" w:rsidRDefault="0038460F" w:rsidP="00F16E23">
            <w:pPr>
              <w:pStyle w:val="TableText"/>
              <w:spacing w:before="40" w:after="40"/>
              <w:jc w:val="right"/>
              <w:rPr>
                <w:rFonts w:cs="Calibri"/>
              </w:rPr>
            </w:pPr>
            <w:r w:rsidRPr="0060421C">
              <w:rPr>
                <w:rFonts w:cs="Calibri"/>
              </w:rPr>
              <w:t>90.9</w:t>
            </w:r>
          </w:p>
        </w:tc>
      </w:tr>
    </w:tbl>
    <w:p w14:paraId="2AB0D58F" w14:textId="77777777" w:rsidR="0038460F" w:rsidRPr="0060421C" w:rsidRDefault="0038460F" w:rsidP="0038460F">
      <w:pPr>
        <w:pStyle w:val="Heading5"/>
      </w:pPr>
      <w:r w:rsidRPr="0060421C">
        <w:t>Solid biomass</w:t>
      </w:r>
    </w:p>
    <w:p w14:paraId="5CFD8B31" w14:textId="77777777" w:rsidR="0038460F" w:rsidRPr="0060421C" w:rsidRDefault="0038460F" w:rsidP="0038460F">
      <w:pPr>
        <w:pStyle w:val="BodyText"/>
        <w:spacing w:before="80" w:after="100"/>
        <w:rPr>
          <w:rFonts w:cs="Calibri"/>
        </w:rPr>
      </w:pPr>
      <w:r w:rsidRPr="0060421C">
        <w:rPr>
          <w:rFonts w:cs="Calibri"/>
        </w:rPr>
        <w:t xml:space="preserve">Residential solid biomass includes imported charcoal and domestically produced firewood. The residential combustion of firewood is estimated by MBIE using household number estimates from Stats NZ, along with five-yearly census figures estimating the percentage of households using biomass for heating. Interpolation is used to estimate shares for intermediate years. The average energy content of biomass burned in each household that uses wood for heating was estimated by the study </w:t>
      </w:r>
      <w:r w:rsidRPr="0060421C">
        <w:rPr>
          <w:rFonts w:cs="Calibri"/>
          <w:i/>
        </w:rPr>
        <w:t>Energy Use in New Zealand Households</w:t>
      </w:r>
      <w:r w:rsidRPr="0060421C">
        <w:rPr>
          <w:rFonts w:cs="Calibri"/>
        </w:rPr>
        <w:t xml:space="preserve"> (BRANZ, 2002). The census data indicate that the popularity of woodburners is decreasing slowly over time. </w:t>
      </w:r>
    </w:p>
    <w:p w14:paraId="05D1B224" w14:textId="77777777" w:rsidR="0038460F" w:rsidRPr="0060421C" w:rsidRDefault="0038460F" w:rsidP="0038460F">
      <w:pPr>
        <w:pStyle w:val="Heading5"/>
      </w:pPr>
      <w:r w:rsidRPr="0060421C">
        <w:t>Gaseous fuels</w:t>
      </w:r>
    </w:p>
    <w:p w14:paraId="58ABD2AA" w14:textId="77777777" w:rsidR="0038460F" w:rsidRPr="0060421C" w:rsidRDefault="0038460F" w:rsidP="0038460F">
      <w:pPr>
        <w:pStyle w:val="BodyText"/>
        <w:spacing w:before="80" w:after="100"/>
        <w:rPr>
          <w:rFonts w:cs="Calibri"/>
        </w:rPr>
      </w:pPr>
      <w:r w:rsidRPr="0060421C">
        <w:rPr>
          <w:rFonts w:cs="Calibri"/>
        </w:rPr>
        <w:t>Annual natural gas consumption statistics are published by MBIE (2025a). Reviews of all natural gas consumption data were undertaken in 2011 and 2014 by MBIE. For further information, see section 3.2.8 (‘Gaseous fuels’ under ‘Activity data’).</w:t>
      </w:r>
    </w:p>
    <w:p w14:paraId="52BD9774" w14:textId="77777777" w:rsidR="0038460F" w:rsidRPr="0060421C" w:rsidRDefault="0038460F" w:rsidP="0038460F">
      <w:pPr>
        <w:pStyle w:val="Heading5"/>
        <w:rPr>
          <w:lang w:eastAsia="en-GB"/>
        </w:rPr>
      </w:pPr>
      <w:r w:rsidRPr="0060421C">
        <w:rPr>
          <w:lang w:eastAsia="en-GB"/>
        </w:rPr>
        <w:t>Other fossil fuels</w:t>
      </w:r>
    </w:p>
    <w:p w14:paraId="4E6812DC" w14:textId="77777777" w:rsidR="0038460F" w:rsidRPr="0060421C" w:rsidRDefault="0038460F" w:rsidP="0038460F">
      <w:pPr>
        <w:pStyle w:val="BodyText"/>
        <w:spacing w:before="80" w:after="100"/>
        <w:rPr>
          <w:rFonts w:cs="Calibri"/>
        </w:rPr>
      </w:pPr>
      <w:r w:rsidRPr="0060421C">
        <w:rPr>
          <w:rFonts w:cs="Calibri"/>
        </w:rPr>
        <w:t xml:space="preserve">Mixtures of fossil fuels are combined with a wide range of metal, organic and non-organic compounds in the formulation of fireworks. In </w:t>
      </w:r>
      <w:r w:rsidRPr="0060421C">
        <w:rPr>
          <w:rFonts w:cs="Calibri"/>
          <w:lang w:eastAsia="en-GB"/>
        </w:rPr>
        <w:t>New Zealand</w:t>
      </w:r>
      <w:r w:rsidRPr="0060421C">
        <w:rPr>
          <w:rFonts w:cs="Calibri"/>
        </w:rPr>
        <w:t>, most towns and cities hold public fireworks displays for Guy Fawkes Night (5 November) and increasingly on other days to celebrate religious and cultural festivals, such as Diwali, Matariki and the Lunar New Year, as well as at major sporting events. Fireworks are imported from overseas, generally China, and there is no domestic production. Common fossil–carbon based fuels include carbon black, coal, asphaltum and gilsonite. In addition to CO</w:t>
      </w:r>
      <w:r w:rsidRPr="0060421C">
        <w:rPr>
          <w:rFonts w:cs="Calibri"/>
          <w:vertAlign w:val="subscript"/>
        </w:rPr>
        <w:t>2</w:t>
      </w:r>
      <w:r w:rsidRPr="0060421C">
        <w:rPr>
          <w:rFonts w:cs="Calibri"/>
        </w:rPr>
        <w:t>, greenhouse gas emissions also include CH</w:t>
      </w:r>
      <w:r w:rsidRPr="0060421C">
        <w:rPr>
          <w:rFonts w:cs="Calibri"/>
          <w:vertAlign w:val="subscript"/>
        </w:rPr>
        <w:t>4</w:t>
      </w:r>
      <w:r w:rsidRPr="0060421C">
        <w:rPr>
          <w:rFonts w:cs="Calibri"/>
        </w:rPr>
        <w:t> and N</w:t>
      </w:r>
      <w:r w:rsidRPr="0060421C">
        <w:rPr>
          <w:rFonts w:cs="Calibri"/>
          <w:vertAlign w:val="subscript"/>
        </w:rPr>
        <w:t>2</w:t>
      </w:r>
      <w:r w:rsidRPr="0060421C">
        <w:rPr>
          <w:rFonts w:cs="Calibri"/>
        </w:rPr>
        <w:t xml:space="preserve">O. </w:t>
      </w:r>
    </w:p>
    <w:p w14:paraId="09A853F9" w14:textId="77777777" w:rsidR="0038460F" w:rsidRPr="0060421C" w:rsidRDefault="0038460F" w:rsidP="0038460F">
      <w:pPr>
        <w:pStyle w:val="BodyText"/>
        <w:spacing w:before="100" w:after="100"/>
        <w:rPr>
          <w:rFonts w:cs="Calibri"/>
        </w:rPr>
      </w:pPr>
      <w:r w:rsidRPr="0060421C">
        <w:rPr>
          <w:rFonts w:cs="Calibri"/>
        </w:rPr>
        <w:t xml:space="preserve">The annual gross weight of imported fireworks was used as activity data. Emission factors were sourced from the Danish national inventory report. </w:t>
      </w:r>
    </w:p>
    <w:p w14:paraId="19AA26F7" w14:textId="77777777" w:rsidR="0038460F" w:rsidRPr="0060421C" w:rsidRDefault="0038460F" w:rsidP="0038460F">
      <w:pPr>
        <w:pStyle w:val="Heading4"/>
      </w:pPr>
      <w:r w:rsidRPr="0060421C">
        <w:t>Uncertainty assessment and time-series consistency</w:t>
      </w:r>
    </w:p>
    <w:p w14:paraId="2FA58B5A" w14:textId="77777777" w:rsidR="0038460F" w:rsidRPr="0060421C" w:rsidRDefault="0038460F" w:rsidP="0038460F">
      <w:pPr>
        <w:pStyle w:val="BodyText"/>
        <w:rPr>
          <w:lang w:eastAsia="en-GB"/>
        </w:rPr>
      </w:pPr>
      <w:r w:rsidRPr="0060421C">
        <w:rPr>
          <w:lang w:eastAsia="en-GB"/>
        </w:rPr>
        <w:t>Uncertainties in emission estimates for data from other sectors are relevant to the entire Energy sector (see table 3.2.1).</w:t>
      </w:r>
    </w:p>
    <w:p w14:paraId="7CDFC951" w14:textId="77777777" w:rsidR="0038460F" w:rsidRPr="0060421C" w:rsidRDefault="0038460F" w:rsidP="0038460F">
      <w:pPr>
        <w:pStyle w:val="Heading4"/>
      </w:pPr>
      <w:r w:rsidRPr="0060421C">
        <w:t>Category-specific QA/QC and verification</w:t>
      </w:r>
    </w:p>
    <w:p w14:paraId="303B2F86" w14:textId="77777777" w:rsidR="0038460F" w:rsidRPr="0060421C" w:rsidRDefault="0038460F" w:rsidP="0038460F">
      <w:pPr>
        <w:pStyle w:val="BodyText"/>
        <w:spacing w:before="100" w:after="100"/>
        <w:rPr>
          <w:lang w:eastAsia="en-GB"/>
        </w:rPr>
      </w:pPr>
      <w:r w:rsidRPr="0060421C">
        <w:rPr>
          <w:lang w:eastAsia="en-GB"/>
        </w:rPr>
        <w:t xml:space="preserve">In the preparation of this inventory, the </w:t>
      </w:r>
      <w:r w:rsidRPr="0060421C">
        <w:rPr>
          <w:rFonts w:cs="Calibri"/>
          <w:i/>
          <w:iCs/>
          <w:lang w:eastAsia="en-GB"/>
        </w:rPr>
        <w:t>Other sectors</w:t>
      </w:r>
      <w:r w:rsidRPr="0060421C">
        <w:rPr>
          <w:lang w:eastAsia="en-GB"/>
        </w:rPr>
        <w:t xml:space="preserve"> category underwent Tier 1 quality-assurance and quality-control checks as recommended in the 2006 IPCC Guidelines (IPCC, 2006). These include regular control sums throughout systems, to verify system integrity, and consistency checks of implied emission factors.</w:t>
      </w:r>
    </w:p>
    <w:p w14:paraId="699AEE56" w14:textId="77777777" w:rsidR="0038460F" w:rsidRPr="0060421C" w:rsidRDefault="0038460F" w:rsidP="0038460F">
      <w:pPr>
        <w:pStyle w:val="Heading4"/>
      </w:pPr>
      <w:r w:rsidRPr="0060421C">
        <w:t>Category-specific recalculations</w:t>
      </w:r>
    </w:p>
    <w:p w14:paraId="77B63E18" w14:textId="77777777" w:rsidR="0038460F" w:rsidRPr="0060421C" w:rsidRDefault="0038460F" w:rsidP="0038460F">
      <w:pPr>
        <w:pStyle w:val="BodyText"/>
        <w:spacing w:before="100" w:after="100"/>
        <w:rPr>
          <w:lang w:eastAsia="en-GB"/>
        </w:rPr>
      </w:pPr>
      <w:r w:rsidRPr="0060421C">
        <w:rPr>
          <w:lang w:eastAsia="en-GB"/>
        </w:rPr>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25790B4B" w14:textId="77777777" w:rsidR="0038460F" w:rsidRPr="0060421C" w:rsidRDefault="0038460F" w:rsidP="0038460F">
      <w:pPr>
        <w:pStyle w:val="Heading4"/>
        <w:rPr>
          <w:lang w:eastAsia="en-GB"/>
        </w:rPr>
      </w:pPr>
      <w:r w:rsidRPr="0060421C">
        <w:t>Category</w:t>
      </w:r>
      <w:r w:rsidRPr="0060421C">
        <w:rPr>
          <w:lang w:eastAsia="en-GB"/>
        </w:rPr>
        <w:t>-specific planned improvements</w:t>
      </w:r>
    </w:p>
    <w:p w14:paraId="2FB2F75E" w14:textId="77777777" w:rsidR="0038460F" w:rsidRPr="0060421C" w:rsidRDefault="0038460F" w:rsidP="0038460F">
      <w:pPr>
        <w:pStyle w:val="BodyText"/>
        <w:rPr>
          <w:rFonts w:cs="Calibri"/>
          <w:b/>
          <w:bCs/>
          <w:szCs w:val="24"/>
          <w:lang w:eastAsia="en-GB"/>
        </w:rPr>
      </w:pPr>
      <w:r w:rsidRPr="0060421C">
        <w:rPr>
          <w:rFonts w:cs="Calibri"/>
          <w:lang w:eastAsia="en-GB"/>
        </w:rPr>
        <w:t xml:space="preserve">No improvements are planned for this category. </w:t>
      </w:r>
    </w:p>
    <w:p w14:paraId="7FC890AF" w14:textId="77777777" w:rsidR="0038460F" w:rsidRPr="0060421C" w:rsidRDefault="0038460F" w:rsidP="0038460F">
      <w:pPr>
        <w:pStyle w:val="Heading2"/>
        <w:rPr>
          <w:rFonts w:cs="Calibri"/>
        </w:rPr>
      </w:pPr>
      <w:bookmarkStart w:id="407" w:name="_Toc321398811"/>
      <w:bookmarkStart w:id="408" w:name="_Toc384581637"/>
      <w:bookmarkStart w:id="409" w:name="_Toc448321509"/>
      <w:bookmarkStart w:id="410" w:name="_Toc481751371"/>
      <w:bookmarkStart w:id="411" w:name="_Toc36224388"/>
      <w:bookmarkStart w:id="412" w:name="_Toc68786308"/>
      <w:bookmarkStart w:id="413" w:name="_Toc164154176"/>
      <w:bookmarkStart w:id="414" w:name="_Toc194312000"/>
      <w:bookmarkStart w:id="415" w:name="_Toc226460754"/>
      <w:r w:rsidRPr="0060421C">
        <w:rPr>
          <w:rFonts w:cs="Calibri"/>
        </w:rPr>
        <w:t>3.3</w:t>
      </w:r>
      <w:r w:rsidRPr="0060421C">
        <w:rPr>
          <w:rFonts w:cs="Calibri"/>
        </w:rPr>
        <w:tab/>
        <w:t>Fugitive emissions from solid fuels and oil and natural gas and other emissions from energy production (CRT 1.B)</w:t>
      </w:r>
      <w:bookmarkEnd w:id="407"/>
      <w:bookmarkEnd w:id="408"/>
      <w:bookmarkEnd w:id="409"/>
      <w:bookmarkEnd w:id="410"/>
      <w:bookmarkEnd w:id="411"/>
      <w:bookmarkEnd w:id="412"/>
      <w:bookmarkEnd w:id="413"/>
      <w:bookmarkEnd w:id="414"/>
      <w:bookmarkEnd w:id="415"/>
    </w:p>
    <w:p w14:paraId="4C638AFA" w14:textId="77777777" w:rsidR="0038460F" w:rsidRPr="0060421C" w:rsidRDefault="0038460F" w:rsidP="0038460F">
      <w:pPr>
        <w:pStyle w:val="Heading4"/>
      </w:pPr>
      <w:r w:rsidRPr="0060421C">
        <w:t>Category description</w:t>
      </w:r>
    </w:p>
    <w:p w14:paraId="21D766F9" w14:textId="77777777" w:rsidR="0038460F" w:rsidRPr="0060421C" w:rsidRDefault="0038460F" w:rsidP="0038460F">
      <w:pPr>
        <w:pStyle w:val="BodyText"/>
        <w:rPr>
          <w:rFonts w:cs="Calibri"/>
          <w:lang w:eastAsia="en-GB"/>
        </w:rPr>
      </w:pPr>
      <w:r w:rsidRPr="0060421C">
        <w:rPr>
          <w:rFonts w:cs="Calibri"/>
          <w:lang w:eastAsia="en-GB"/>
        </w:rPr>
        <w:t xml:space="preserve">Fugitive emissions arise from the production, processing, transmission, storage and use of fossil fuels, and from non-productive combustion. This category comprises two categories: </w:t>
      </w:r>
      <w:r w:rsidRPr="0060421C">
        <w:rPr>
          <w:rFonts w:cs="Calibri"/>
          <w:i/>
          <w:lang w:eastAsia="en-GB"/>
        </w:rPr>
        <w:t>Solid fuels</w:t>
      </w:r>
      <w:r w:rsidRPr="0060421C">
        <w:rPr>
          <w:rFonts w:cs="Calibri"/>
          <w:lang w:eastAsia="en-GB"/>
        </w:rPr>
        <w:t xml:space="preserve"> and </w:t>
      </w:r>
      <w:r w:rsidRPr="0060421C">
        <w:rPr>
          <w:rFonts w:cs="Calibri"/>
          <w:i/>
          <w:lang w:eastAsia="en-GB"/>
        </w:rPr>
        <w:t>Oil and natural gas</w:t>
      </w:r>
      <w:r w:rsidRPr="0060421C">
        <w:rPr>
          <w:rFonts w:cs="Calibri"/>
          <w:lang w:eastAsia="en-GB"/>
        </w:rPr>
        <w:t>.</w:t>
      </w:r>
    </w:p>
    <w:p w14:paraId="5F96233D" w14:textId="77777777" w:rsidR="0038460F" w:rsidRPr="0060421C" w:rsidRDefault="0038460F" w:rsidP="0038460F">
      <w:pPr>
        <w:pStyle w:val="BodyText"/>
        <w:rPr>
          <w:rFonts w:cs="Calibri"/>
          <w:lang w:eastAsia="en-GB"/>
        </w:rPr>
      </w:pPr>
      <w:r w:rsidRPr="0060421C">
        <w:rPr>
          <w:rFonts w:cs="Calibri"/>
          <w:lang w:eastAsia="en-GB"/>
        </w:rPr>
        <w:t xml:space="preserve">In </w:t>
      </w:r>
      <w:r w:rsidRPr="0060421C">
        <w:rPr>
          <w:rFonts w:cs="Calibri"/>
        </w:rPr>
        <w:t>2024</w:t>
      </w:r>
      <w:r w:rsidRPr="0060421C">
        <w:rPr>
          <w:rFonts w:cs="Calibri"/>
          <w:lang w:eastAsia="en-GB"/>
        </w:rPr>
        <w:t xml:space="preserve">, </w:t>
      </w:r>
      <w:r w:rsidRPr="0060421C">
        <w:rPr>
          <w:rFonts w:cs="Calibri"/>
          <w:i/>
          <w:iCs/>
          <w:lang w:eastAsia="en-GB"/>
        </w:rPr>
        <w:t>Fugitive</w:t>
      </w:r>
      <w:r w:rsidRPr="0060421C">
        <w:rPr>
          <w:rFonts w:cs="Calibri"/>
          <w:lang w:eastAsia="en-GB"/>
        </w:rPr>
        <w:t xml:space="preserve"> </w:t>
      </w:r>
      <w:r w:rsidRPr="0060421C">
        <w:rPr>
          <w:rFonts w:cs="Calibri"/>
          <w:i/>
          <w:lang w:eastAsia="en-GB"/>
        </w:rPr>
        <w:t>emissions</w:t>
      </w:r>
      <w:r w:rsidRPr="0060421C">
        <w:rPr>
          <w:rFonts w:cs="Calibri"/>
          <w:lang w:eastAsia="en-GB"/>
        </w:rPr>
        <w:t xml:space="preserve"> from fuels accounted for </w:t>
      </w:r>
      <w:r w:rsidRPr="0060421C">
        <w:rPr>
          <w:rFonts w:cs="Calibri"/>
        </w:rPr>
        <w:t xml:space="preserve">1,210.5 </w:t>
      </w:r>
      <w:r w:rsidRPr="0060421C">
        <w:rPr>
          <w:rFonts w:cs="Calibri"/>
          <w:lang w:eastAsia="en-GB"/>
        </w:rPr>
        <w:t>kt CO</w:t>
      </w:r>
      <w:r w:rsidRPr="0060421C">
        <w:rPr>
          <w:rFonts w:cs="Calibri"/>
          <w:vertAlign w:val="subscript"/>
          <w:lang w:eastAsia="en-GB"/>
        </w:rPr>
        <w:t>2</w:t>
      </w:r>
      <w:r w:rsidRPr="0060421C">
        <w:rPr>
          <w:rFonts w:cs="Calibri"/>
          <w:lang w:eastAsia="en-GB"/>
        </w:rPr>
        <w:t>e (</w:t>
      </w:r>
      <w:r w:rsidRPr="0060421C">
        <w:rPr>
          <w:rFonts w:cs="Calibri"/>
        </w:rPr>
        <w:t>4.2 percent</w:t>
      </w:r>
      <w:r w:rsidRPr="0060421C">
        <w:rPr>
          <w:rFonts w:cs="Calibri"/>
          <w:lang w:eastAsia="en-GB"/>
        </w:rPr>
        <w:t xml:space="preserve">) of emissions from the Energy sector. This was </w:t>
      </w:r>
      <w:r w:rsidRPr="0060421C">
        <w:rPr>
          <w:rFonts w:cs="Calibri"/>
        </w:rPr>
        <w:t xml:space="preserve">351.9 </w:t>
      </w:r>
      <w:r w:rsidRPr="0060421C">
        <w:rPr>
          <w:rFonts w:cs="Calibri"/>
          <w:lang w:eastAsia="en-GB"/>
        </w:rPr>
        <w:t>kt CO</w:t>
      </w:r>
      <w:r w:rsidRPr="0060421C">
        <w:rPr>
          <w:rFonts w:cs="Calibri"/>
          <w:vertAlign w:val="subscript"/>
          <w:lang w:eastAsia="en-GB"/>
        </w:rPr>
        <w:t>2</w:t>
      </w:r>
      <w:r w:rsidRPr="0060421C">
        <w:rPr>
          <w:rFonts w:cs="Calibri"/>
          <w:lang w:eastAsia="en-GB"/>
        </w:rPr>
        <w:t>e (</w:t>
      </w:r>
      <w:r w:rsidRPr="0060421C">
        <w:rPr>
          <w:rFonts w:cs="Calibri"/>
        </w:rPr>
        <w:t>22.5 percent</w:t>
      </w:r>
      <w:r w:rsidRPr="0060421C">
        <w:rPr>
          <w:rFonts w:cs="Calibri"/>
          <w:lang w:eastAsia="en-GB"/>
        </w:rPr>
        <w:t xml:space="preserve">) lower than the 1990 level of </w:t>
      </w:r>
      <w:r w:rsidRPr="0060421C">
        <w:rPr>
          <w:rFonts w:cs="Calibri"/>
        </w:rPr>
        <w:t xml:space="preserve">1,562.4 </w:t>
      </w:r>
      <w:r w:rsidRPr="0060421C">
        <w:rPr>
          <w:rFonts w:cs="Calibri"/>
          <w:lang w:eastAsia="en-GB"/>
        </w:rPr>
        <w:t>kt CO</w:t>
      </w:r>
      <w:r w:rsidRPr="0060421C">
        <w:rPr>
          <w:rFonts w:cs="Calibri"/>
          <w:vertAlign w:val="subscript"/>
          <w:lang w:eastAsia="en-GB"/>
        </w:rPr>
        <w:t>2</w:t>
      </w:r>
      <w:r w:rsidRPr="0060421C">
        <w:rPr>
          <w:rFonts w:cs="Calibri"/>
          <w:lang w:eastAsia="en-GB"/>
        </w:rPr>
        <w:t xml:space="preserve">e and </w:t>
      </w:r>
      <w:r w:rsidRPr="0060421C">
        <w:rPr>
          <w:rFonts w:cs="Calibri"/>
        </w:rPr>
        <w:t xml:space="preserve">797.1 </w:t>
      </w:r>
      <w:r w:rsidRPr="0060421C">
        <w:rPr>
          <w:rFonts w:cs="Calibri"/>
          <w:lang w:eastAsia="en-GB"/>
        </w:rPr>
        <w:t>kt CO</w:t>
      </w:r>
      <w:r w:rsidRPr="0060421C">
        <w:rPr>
          <w:rFonts w:cs="Calibri"/>
          <w:vertAlign w:val="subscript"/>
          <w:lang w:eastAsia="en-GB"/>
        </w:rPr>
        <w:t>2</w:t>
      </w:r>
      <w:r w:rsidRPr="0060421C">
        <w:rPr>
          <w:rFonts w:cs="Calibri"/>
          <w:lang w:eastAsia="en-GB"/>
        </w:rPr>
        <w:t>e (39.7</w:t>
      </w:r>
      <w:r w:rsidRPr="0060421C">
        <w:rPr>
          <w:rFonts w:cs="Calibri"/>
        </w:rPr>
        <w:t xml:space="preserve"> percent</w:t>
      </w:r>
      <w:r w:rsidRPr="0060421C">
        <w:rPr>
          <w:rFonts w:cs="Calibri"/>
          <w:lang w:eastAsia="en-GB"/>
        </w:rPr>
        <w:t>) lower than the 2005 level of 2,007.6</w:t>
      </w:r>
      <w:r w:rsidRPr="0060421C">
        <w:rPr>
          <w:rFonts w:cs="Calibri"/>
        </w:rPr>
        <w:t xml:space="preserve"> </w:t>
      </w:r>
      <w:r w:rsidRPr="0060421C">
        <w:rPr>
          <w:rFonts w:cs="Calibri"/>
          <w:lang w:eastAsia="en-GB"/>
        </w:rPr>
        <w:t>kt CO</w:t>
      </w:r>
      <w:r w:rsidRPr="0060421C">
        <w:rPr>
          <w:rFonts w:cs="Calibri"/>
          <w:vertAlign w:val="subscript"/>
          <w:lang w:eastAsia="en-GB"/>
        </w:rPr>
        <w:t>2</w:t>
      </w:r>
      <w:r w:rsidRPr="0060421C">
        <w:rPr>
          <w:rFonts w:cs="Calibri"/>
          <w:lang w:eastAsia="en-GB"/>
        </w:rPr>
        <w:t>e.</w:t>
      </w:r>
    </w:p>
    <w:p w14:paraId="1DD2D1A0" w14:textId="77777777" w:rsidR="0038460F" w:rsidRPr="0060421C" w:rsidRDefault="0038460F" w:rsidP="0038460F">
      <w:pPr>
        <w:pStyle w:val="Heading4"/>
        <w:rPr>
          <w:lang w:eastAsia="en-GB"/>
        </w:rPr>
      </w:pPr>
      <w:r w:rsidRPr="0060421C">
        <w:rPr>
          <w:lang w:eastAsia="en-GB"/>
        </w:rPr>
        <w:t xml:space="preserve">Changes in emissions </w:t>
      </w:r>
      <w:r w:rsidRPr="0060421C">
        <w:t>between</w:t>
      </w:r>
      <w:r w:rsidRPr="0060421C">
        <w:rPr>
          <w:lang w:eastAsia="en-GB"/>
        </w:rPr>
        <w:t xml:space="preserve"> </w:t>
      </w:r>
      <w:r w:rsidRPr="0060421C">
        <w:t xml:space="preserve">2023 </w:t>
      </w:r>
      <w:r w:rsidRPr="0060421C">
        <w:rPr>
          <w:lang w:eastAsia="en-GB"/>
        </w:rPr>
        <w:t xml:space="preserve">and </w:t>
      </w:r>
      <w:r w:rsidRPr="0060421C">
        <w:t>2024</w:t>
      </w:r>
    </w:p>
    <w:p w14:paraId="3BC0A145" w14:textId="77777777" w:rsidR="0038460F" w:rsidRPr="0060421C" w:rsidRDefault="0038460F" w:rsidP="0038460F">
      <w:pPr>
        <w:pStyle w:val="BodyText"/>
        <w:rPr>
          <w:rFonts w:cs="Calibri"/>
        </w:rPr>
      </w:pPr>
      <w:r w:rsidRPr="0060421C">
        <w:rPr>
          <w:rFonts w:cs="Calibri"/>
          <w:lang w:eastAsia="en-GB"/>
        </w:rPr>
        <w:t xml:space="preserve">Between </w:t>
      </w:r>
      <w:r w:rsidRPr="0060421C">
        <w:rPr>
          <w:rFonts w:cs="Calibri"/>
        </w:rPr>
        <w:t>2023</w:t>
      </w:r>
      <w:r w:rsidRPr="0060421C">
        <w:rPr>
          <w:rFonts w:cs="Calibri"/>
          <w:lang w:eastAsia="en-GB"/>
        </w:rPr>
        <w:t xml:space="preserve"> and </w:t>
      </w:r>
      <w:r w:rsidRPr="0060421C">
        <w:rPr>
          <w:rFonts w:cs="Calibri"/>
        </w:rPr>
        <w:t>2024</w:t>
      </w:r>
      <w:r w:rsidRPr="0060421C">
        <w:rPr>
          <w:rFonts w:cs="Calibri"/>
          <w:lang w:eastAsia="en-GB"/>
        </w:rPr>
        <w:t xml:space="preserve">, </w:t>
      </w:r>
      <w:r w:rsidRPr="0060421C">
        <w:rPr>
          <w:rFonts w:cs="Calibri"/>
          <w:i/>
          <w:iCs/>
          <w:lang w:eastAsia="en-GB"/>
        </w:rPr>
        <w:t>Fugitive</w:t>
      </w:r>
      <w:r w:rsidRPr="0060421C">
        <w:rPr>
          <w:rFonts w:cs="Calibri"/>
          <w:lang w:eastAsia="en-GB"/>
        </w:rPr>
        <w:t xml:space="preserve"> </w:t>
      </w:r>
      <w:r w:rsidRPr="0060421C">
        <w:rPr>
          <w:rFonts w:cs="Calibri"/>
          <w:i/>
          <w:lang w:eastAsia="en-GB"/>
        </w:rPr>
        <w:t>emissions</w:t>
      </w:r>
      <w:r w:rsidRPr="0060421C">
        <w:rPr>
          <w:rFonts w:cs="Calibri"/>
          <w:lang w:eastAsia="en-GB"/>
        </w:rPr>
        <w:t xml:space="preserve"> from fuels</w:t>
      </w:r>
      <w:r w:rsidRPr="0060421C">
        <w:rPr>
          <w:rFonts w:cs="Calibri"/>
        </w:rPr>
        <w:t xml:space="preserve"> increased by 38.1 </w:t>
      </w:r>
      <w:r w:rsidRPr="0060421C">
        <w:rPr>
          <w:rFonts w:cs="Calibri"/>
          <w:lang w:eastAsia="en-GB"/>
        </w:rPr>
        <w:t>kt CO</w:t>
      </w:r>
      <w:r w:rsidRPr="0060421C">
        <w:rPr>
          <w:rFonts w:cs="Calibri"/>
          <w:szCs w:val="14"/>
          <w:vertAlign w:val="subscript"/>
          <w:lang w:eastAsia="en-GB"/>
        </w:rPr>
        <w:t>2</w:t>
      </w:r>
      <w:r w:rsidRPr="0060421C">
        <w:rPr>
          <w:rFonts w:cs="Calibri"/>
          <w:lang w:eastAsia="en-GB"/>
        </w:rPr>
        <w:t>e (</w:t>
      </w:r>
      <w:r w:rsidRPr="0060421C">
        <w:rPr>
          <w:rFonts w:cs="Calibri"/>
        </w:rPr>
        <w:t>3.2 percent</w:t>
      </w:r>
      <w:r w:rsidRPr="0060421C">
        <w:rPr>
          <w:rFonts w:cs="Calibri"/>
          <w:lang w:eastAsia="en-GB"/>
        </w:rPr>
        <w:t xml:space="preserve">). This was primarily the result of increased activity in category 1.B.2.c. </w:t>
      </w:r>
      <w:r w:rsidRPr="0060421C">
        <w:rPr>
          <w:rFonts w:cs="Calibri"/>
          <w:i/>
          <w:lang w:eastAsia="en-GB"/>
        </w:rPr>
        <w:t>Venting and flaring</w:t>
      </w:r>
      <w:r w:rsidRPr="0060421C">
        <w:rPr>
          <w:rFonts w:cs="Calibri"/>
          <w:i/>
        </w:rPr>
        <w:t>.</w:t>
      </w:r>
    </w:p>
    <w:p w14:paraId="67F7AC1B" w14:textId="77777777" w:rsidR="0038460F" w:rsidRPr="0060421C" w:rsidRDefault="0038460F" w:rsidP="0038460F">
      <w:pPr>
        <w:pStyle w:val="BodyText"/>
        <w:rPr>
          <w:rFonts w:cs="Calibri"/>
        </w:rPr>
      </w:pPr>
      <w:r w:rsidRPr="0060421C">
        <w:rPr>
          <w:rFonts w:cs="Calibri"/>
        </w:rPr>
        <w:t xml:space="preserve">Key categories identified in the 2024 level and trend assessment for the </w:t>
      </w:r>
      <w:r w:rsidRPr="0060421C">
        <w:rPr>
          <w:rFonts w:cs="Calibri"/>
          <w:i/>
          <w:lang w:eastAsia="en-GB"/>
        </w:rPr>
        <w:t>Fugitive emissions</w:t>
      </w:r>
      <w:r w:rsidRPr="0060421C">
        <w:rPr>
          <w:rFonts w:cs="Calibri"/>
        </w:rPr>
        <w:t xml:space="preserve"> category are given in table 3.3.1.</w:t>
      </w:r>
    </w:p>
    <w:p w14:paraId="2392720F" w14:textId="77777777" w:rsidR="0038460F" w:rsidRPr="0060421C" w:rsidRDefault="0038460F" w:rsidP="0038460F">
      <w:pPr>
        <w:pStyle w:val="Table"/>
      </w:pPr>
      <w:bookmarkStart w:id="416" w:name="_Toc68786413"/>
      <w:bookmarkStart w:id="417" w:name="_Toc164153812"/>
      <w:bookmarkStart w:id="418" w:name="_Toc194241679"/>
      <w:bookmarkStart w:id="419" w:name="_Toc226668965"/>
      <w:r w:rsidRPr="0060421C">
        <w:t>Table 3.3.1</w:t>
      </w:r>
      <w:r w:rsidRPr="0060421C">
        <w:tab/>
        <w:t xml:space="preserve">Key categories for 1.B </w:t>
      </w:r>
      <w:r w:rsidRPr="0060421C">
        <w:rPr>
          <w:i/>
          <w:iCs/>
        </w:rPr>
        <w:t>Fugitive emissions</w:t>
      </w:r>
      <w:bookmarkEnd w:id="416"/>
      <w:bookmarkEnd w:id="417"/>
      <w:bookmarkEnd w:id="418"/>
      <w:bookmarkEnd w:id="419"/>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5060"/>
        <w:gridCol w:w="2028"/>
        <w:gridCol w:w="1417"/>
      </w:tblGrid>
      <w:tr w:rsidR="0038460F" w:rsidRPr="0060421C" w14:paraId="53780F08" w14:textId="77777777" w:rsidTr="00F16E23">
        <w:trPr>
          <w:cantSplit/>
          <w:tblHeader/>
        </w:trPr>
        <w:tc>
          <w:tcPr>
            <w:tcW w:w="2975" w:type="pct"/>
            <w:shd w:val="clear" w:color="auto" w:fill="1B556B"/>
            <w:noWrap/>
            <w:vAlign w:val="bottom"/>
            <w:hideMark/>
          </w:tcPr>
          <w:p w14:paraId="442E72A7"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Category</w:t>
            </w:r>
          </w:p>
        </w:tc>
        <w:tc>
          <w:tcPr>
            <w:tcW w:w="1192" w:type="pct"/>
            <w:shd w:val="clear" w:color="auto" w:fill="1B556B"/>
            <w:noWrap/>
            <w:vAlign w:val="bottom"/>
            <w:hideMark/>
          </w:tcPr>
          <w:p w14:paraId="44F15C44"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CO</w:t>
            </w:r>
            <w:r w:rsidRPr="0060421C">
              <w:rPr>
                <w:rFonts w:cs="Calibri"/>
                <w:noProof w:val="0"/>
                <w:color w:val="FFFFFF"/>
                <w:vertAlign w:val="subscript"/>
              </w:rPr>
              <w:t>2</w:t>
            </w:r>
          </w:p>
        </w:tc>
        <w:tc>
          <w:tcPr>
            <w:tcW w:w="833" w:type="pct"/>
            <w:shd w:val="clear" w:color="auto" w:fill="1B556B"/>
            <w:vAlign w:val="bottom"/>
            <w:hideMark/>
          </w:tcPr>
          <w:p w14:paraId="7A6D703F"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CH</w:t>
            </w:r>
            <w:r w:rsidRPr="0060421C">
              <w:rPr>
                <w:rFonts w:cs="Calibri"/>
                <w:noProof w:val="0"/>
                <w:color w:val="FFFFFF"/>
                <w:vertAlign w:val="subscript"/>
              </w:rPr>
              <w:t>4</w:t>
            </w:r>
          </w:p>
        </w:tc>
      </w:tr>
      <w:tr w:rsidR="0038460F" w:rsidRPr="0060421C" w14:paraId="3A4573F4" w14:textId="77777777" w:rsidTr="00F16E23">
        <w:trPr>
          <w:cantSplit/>
        </w:trPr>
        <w:tc>
          <w:tcPr>
            <w:tcW w:w="2975" w:type="pct"/>
            <w:noWrap/>
            <w:hideMark/>
          </w:tcPr>
          <w:p w14:paraId="3FE58058" w14:textId="77777777" w:rsidR="0038460F" w:rsidRPr="0060421C" w:rsidRDefault="0038460F" w:rsidP="00F16E23">
            <w:pPr>
              <w:pStyle w:val="TableText"/>
              <w:spacing w:before="40" w:after="40"/>
              <w:rPr>
                <w:rFonts w:cs="Calibri"/>
              </w:rPr>
            </w:pPr>
            <w:r w:rsidRPr="0060421C">
              <w:rPr>
                <w:rFonts w:cs="Calibri"/>
              </w:rPr>
              <w:t>Coal mining and handling – Underground mines</w:t>
            </w:r>
          </w:p>
        </w:tc>
        <w:tc>
          <w:tcPr>
            <w:tcW w:w="1192" w:type="pct"/>
            <w:noWrap/>
            <w:hideMark/>
          </w:tcPr>
          <w:p w14:paraId="62799306" w14:textId="77777777" w:rsidR="0038460F" w:rsidRPr="0060421C" w:rsidRDefault="0038460F" w:rsidP="00F16E23">
            <w:pPr>
              <w:pStyle w:val="TableText"/>
              <w:spacing w:before="40" w:after="40"/>
              <w:rPr>
                <w:rFonts w:cs="Calibri"/>
              </w:rPr>
            </w:pPr>
            <w:r w:rsidRPr="0060421C">
              <w:rPr>
                <w:rFonts w:cs="Calibri"/>
              </w:rPr>
              <w:t>–</w:t>
            </w:r>
          </w:p>
        </w:tc>
        <w:tc>
          <w:tcPr>
            <w:tcW w:w="833" w:type="pct"/>
            <w:noWrap/>
            <w:hideMark/>
          </w:tcPr>
          <w:p w14:paraId="6D0A2BF6" w14:textId="77777777" w:rsidR="0038460F" w:rsidRPr="0060421C" w:rsidRDefault="0038460F" w:rsidP="00F16E23">
            <w:pPr>
              <w:pStyle w:val="TableText"/>
              <w:spacing w:before="40" w:after="40"/>
              <w:rPr>
                <w:rFonts w:cs="Calibri"/>
              </w:rPr>
            </w:pPr>
            <w:r w:rsidRPr="0060421C">
              <w:rPr>
                <w:rFonts w:cs="Calibri"/>
              </w:rPr>
              <w:t>Trend</w:t>
            </w:r>
          </w:p>
        </w:tc>
      </w:tr>
      <w:tr w:rsidR="0038460F" w:rsidRPr="0060421C" w14:paraId="392D0076" w14:textId="77777777" w:rsidTr="00F16E23">
        <w:trPr>
          <w:cantSplit/>
        </w:trPr>
        <w:tc>
          <w:tcPr>
            <w:tcW w:w="2975" w:type="pct"/>
            <w:noWrap/>
            <w:hideMark/>
          </w:tcPr>
          <w:p w14:paraId="157E2D96" w14:textId="77777777" w:rsidR="0038460F" w:rsidRPr="0060421C" w:rsidRDefault="0038460F" w:rsidP="00F16E23">
            <w:pPr>
              <w:pStyle w:val="TableText"/>
              <w:spacing w:before="40" w:after="40"/>
              <w:rPr>
                <w:rFonts w:cs="Calibri"/>
              </w:rPr>
            </w:pPr>
            <w:r w:rsidRPr="0060421C">
              <w:rPr>
                <w:rFonts w:cs="Calibri"/>
              </w:rPr>
              <w:t>Natural gas – Distribution</w:t>
            </w:r>
          </w:p>
        </w:tc>
        <w:tc>
          <w:tcPr>
            <w:tcW w:w="1192" w:type="pct"/>
            <w:noWrap/>
            <w:hideMark/>
          </w:tcPr>
          <w:p w14:paraId="24A79415" w14:textId="77777777" w:rsidR="0038460F" w:rsidRPr="0060421C" w:rsidRDefault="0038460F" w:rsidP="00F16E23">
            <w:pPr>
              <w:pStyle w:val="TableText"/>
              <w:spacing w:before="40" w:after="40"/>
              <w:rPr>
                <w:rFonts w:cs="Calibri"/>
              </w:rPr>
            </w:pPr>
            <w:r w:rsidRPr="0060421C">
              <w:rPr>
                <w:rFonts w:cs="Calibri"/>
              </w:rPr>
              <w:t>–</w:t>
            </w:r>
          </w:p>
        </w:tc>
        <w:tc>
          <w:tcPr>
            <w:tcW w:w="833" w:type="pct"/>
            <w:noWrap/>
          </w:tcPr>
          <w:p w14:paraId="4BE8B322" w14:textId="77777777" w:rsidR="0038460F" w:rsidRPr="0060421C" w:rsidRDefault="0038460F" w:rsidP="00F16E23">
            <w:pPr>
              <w:pStyle w:val="TableText"/>
              <w:spacing w:before="40" w:after="40"/>
              <w:rPr>
                <w:rFonts w:cs="Calibri"/>
              </w:rPr>
            </w:pPr>
            <w:r w:rsidRPr="0060421C">
              <w:rPr>
                <w:rFonts w:cs="Calibri"/>
              </w:rPr>
              <w:t>Trend</w:t>
            </w:r>
          </w:p>
        </w:tc>
      </w:tr>
      <w:tr w:rsidR="0038460F" w:rsidRPr="0060421C" w14:paraId="3FE0117F" w14:textId="77777777" w:rsidTr="00F16E23">
        <w:trPr>
          <w:cantSplit/>
        </w:trPr>
        <w:tc>
          <w:tcPr>
            <w:tcW w:w="2975" w:type="pct"/>
            <w:noWrap/>
          </w:tcPr>
          <w:p w14:paraId="0E7771EE" w14:textId="77777777" w:rsidR="0038460F" w:rsidRPr="0060421C" w:rsidRDefault="0038460F" w:rsidP="00F16E23">
            <w:pPr>
              <w:pStyle w:val="TableText"/>
              <w:spacing w:before="40" w:after="40"/>
              <w:rPr>
                <w:rFonts w:cs="Calibri"/>
              </w:rPr>
            </w:pPr>
            <w:r w:rsidRPr="0060421C">
              <w:rPr>
                <w:rFonts w:cs="Calibri"/>
              </w:rPr>
              <w:t>Venting – Gas</w:t>
            </w:r>
          </w:p>
        </w:tc>
        <w:tc>
          <w:tcPr>
            <w:tcW w:w="1192" w:type="pct"/>
            <w:noWrap/>
          </w:tcPr>
          <w:p w14:paraId="175A80BE" w14:textId="77777777" w:rsidR="0038460F" w:rsidRPr="0060421C" w:rsidRDefault="0038460F" w:rsidP="00F16E23">
            <w:pPr>
              <w:pStyle w:val="TableText"/>
              <w:spacing w:before="40" w:after="40"/>
              <w:rPr>
                <w:rFonts w:cs="Calibri"/>
              </w:rPr>
            </w:pPr>
            <w:r w:rsidRPr="0060421C">
              <w:rPr>
                <w:rFonts w:cs="Calibri"/>
              </w:rPr>
              <w:t>Level, trend</w:t>
            </w:r>
          </w:p>
        </w:tc>
        <w:tc>
          <w:tcPr>
            <w:tcW w:w="833" w:type="pct"/>
            <w:noWrap/>
          </w:tcPr>
          <w:p w14:paraId="0609C53B" w14:textId="77777777" w:rsidR="0038460F" w:rsidRPr="0060421C" w:rsidRDefault="0038460F" w:rsidP="00F16E23">
            <w:pPr>
              <w:pStyle w:val="TableText"/>
              <w:spacing w:before="40" w:after="40"/>
              <w:rPr>
                <w:rFonts w:cs="Calibri"/>
              </w:rPr>
            </w:pPr>
            <w:r w:rsidRPr="0060421C">
              <w:rPr>
                <w:rFonts w:cs="Calibri"/>
              </w:rPr>
              <w:t>–</w:t>
            </w:r>
          </w:p>
        </w:tc>
      </w:tr>
      <w:tr w:rsidR="0038460F" w:rsidRPr="0060421C" w14:paraId="21D0E6B5" w14:textId="77777777" w:rsidTr="00F16E23">
        <w:trPr>
          <w:cantSplit/>
        </w:trPr>
        <w:tc>
          <w:tcPr>
            <w:tcW w:w="2975" w:type="pct"/>
            <w:noWrap/>
          </w:tcPr>
          <w:p w14:paraId="120BFD4C" w14:textId="77777777" w:rsidR="0038460F" w:rsidRPr="0060421C" w:rsidRDefault="0038460F" w:rsidP="00F16E23">
            <w:pPr>
              <w:pStyle w:val="TableText"/>
              <w:spacing w:before="40" w:after="40"/>
              <w:rPr>
                <w:rFonts w:cs="Calibri"/>
              </w:rPr>
            </w:pPr>
            <w:r w:rsidRPr="0060421C">
              <w:rPr>
                <w:rFonts w:cs="Calibri"/>
                <w:color w:val="000000"/>
              </w:rPr>
              <w:t>Venting – Combined</w:t>
            </w:r>
          </w:p>
        </w:tc>
        <w:tc>
          <w:tcPr>
            <w:tcW w:w="1192" w:type="pct"/>
            <w:noWrap/>
          </w:tcPr>
          <w:p w14:paraId="7100FD03" w14:textId="77777777" w:rsidR="0038460F" w:rsidRPr="0060421C" w:rsidRDefault="0038460F" w:rsidP="00F16E23">
            <w:pPr>
              <w:pStyle w:val="TableText"/>
              <w:spacing w:before="40" w:after="40"/>
              <w:rPr>
                <w:rFonts w:cs="Calibri"/>
              </w:rPr>
            </w:pPr>
            <w:r w:rsidRPr="0060421C">
              <w:rPr>
                <w:rFonts w:cs="Calibri"/>
              </w:rPr>
              <w:t>–</w:t>
            </w:r>
          </w:p>
        </w:tc>
        <w:tc>
          <w:tcPr>
            <w:tcW w:w="833" w:type="pct"/>
            <w:noWrap/>
          </w:tcPr>
          <w:p w14:paraId="4DF742F7" w14:textId="77777777" w:rsidR="0038460F" w:rsidRPr="0060421C" w:rsidRDefault="0038460F" w:rsidP="00F16E23">
            <w:pPr>
              <w:pStyle w:val="TableText"/>
              <w:spacing w:before="40" w:after="40"/>
              <w:rPr>
                <w:rFonts w:cs="Calibri"/>
              </w:rPr>
            </w:pPr>
            <w:r w:rsidRPr="0060421C">
              <w:rPr>
                <w:rFonts w:cs="Calibri"/>
              </w:rPr>
              <w:t>Trend</w:t>
            </w:r>
          </w:p>
        </w:tc>
      </w:tr>
      <w:tr w:rsidR="0038460F" w:rsidRPr="0060421C" w14:paraId="68B9FB6E" w14:textId="77777777" w:rsidTr="00F16E23">
        <w:trPr>
          <w:cantSplit/>
        </w:trPr>
        <w:tc>
          <w:tcPr>
            <w:tcW w:w="2975" w:type="pct"/>
            <w:noWrap/>
          </w:tcPr>
          <w:p w14:paraId="662F7396" w14:textId="77777777" w:rsidR="0038460F" w:rsidRPr="0060421C" w:rsidRDefault="0038460F" w:rsidP="00F16E23">
            <w:pPr>
              <w:pStyle w:val="TableText"/>
              <w:spacing w:before="40" w:after="40"/>
              <w:rPr>
                <w:rFonts w:cs="Calibri"/>
              </w:rPr>
            </w:pPr>
            <w:r w:rsidRPr="0060421C">
              <w:rPr>
                <w:rFonts w:cs="Calibri"/>
                <w:color w:val="000000"/>
              </w:rPr>
              <w:t>Flaring – Combined</w:t>
            </w:r>
          </w:p>
        </w:tc>
        <w:tc>
          <w:tcPr>
            <w:tcW w:w="1192" w:type="pct"/>
            <w:noWrap/>
          </w:tcPr>
          <w:p w14:paraId="4572266C" w14:textId="77777777" w:rsidR="0038460F" w:rsidRPr="0060421C" w:rsidRDefault="0038460F" w:rsidP="00F16E23">
            <w:pPr>
              <w:pStyle w:val="TableText"/>
              <w:spacing w:before="40" w:after="40"/>
              <w:rPr>
                <w:rFonts w:cs="Calibri"/>
              </w:rPr>
            </w:pPr>
            <w:r w:rsidRPr="0060421C">
              <w:rPr>
                <w:rFonts w:cs="Calibri"/>
              </w:rPr>
              <w:t>Trend</w:t>
            </w:r>
          </w:p>
        </w:tc>
        <w:tc>
          <w:tcPr>
            <w:tcW w:w="833" w:type="pct"/>
            <w:noWrap/>
          </w:tcPr>
          <w:p w14:paraId="4738CA69" w14:textId="77777777" w:rsidR="0038460F" w:rsidRPr="0060421C" w:rsidRDefault="0038460F" w:rsidP="00F16E23">
            <w:pPr>
              <w:pStyle w:val="TableText"/>
              <w:spacing w:before="40" w:after="40"/>
              <w:rPr>
                <w:rFonts w:cs="Calibri"/>
              </w:rPr>
            </w:pPr>
            <w:r w:rsidRPr="0060421C">
              <w:rPr>
                <w:rFonts w:cs="Calibri"/>
              </w:rPr>
              <w:t>–</w:t>
            </w:r>
          </w:p>
        </w:tc>
      </w:tr>
      <w:tr w:rsidR="0038460F" w:rsidRPr="0060421C" w14:paraId="4154DA68" w14:textId="77777777" w:rsidTr="00F16E23">
        <w:trPr>
          <w:cantSplit/>
        </w:trPr>
        <w:tc>
          <w:tcPr>
            <w:tcW w:w="2975" w:type="pct"/>
            <w:noWrap/>
          </w:tcPr>
          <w:p w14:paraId="41EF8A45" w14:textId="77777777" w:rsidR="0038460F" w:rsidRPr="0060421C" w:rsidRDefault="0038460F" w:rsidP="00F16E23">
            <w:pPr>
              <w:pStyle w:val="TableText"/>
              <w:spacing w:before="40" w:after="40"/>
              <w:rPr>
                <w:rFonts w:cs="Calibri"/>
              </w:rPr>
            </w:pPr>
            <w:r w:rsidRPr="0060421C">
              <w:rPr>
                <w:rFonts w:cs="Calibri"/>
              </w:rPr>
              <w:t>Other – Geothermal</w:t>
            </w:r>
          </w:p>
        </w:tc>
        <w:tc>
          <w:tcPr>
            <w:tcW w:w="1192" w:type="pct"/>
            <w:noWrap/>
          </w:tcPr>
          <w:p w14:paraId="1D9854B5" w14:textId="77777777" w:rsidR="0038460F" w:rsidRPr="0060421C" w:rsidRDefault="0038460F" w:rsidP="00F16E23">
            <w:pPr>
              <w:pStyle w:val="TableText"/>
              <w:spacing w:before="40" w:after="40"/>
              <w:rPr>
                <w:rFonts w:cs="Calibri"/>
              </w:rPr>
            </w:pPr>
            <w:r w:rsidRPr="0060421C">
              <w:rPr>
                <w:rFonts w:cs="Calibri"/>
              </w:rPr>
              <w:t>Level, trend</w:t>
            </w:r>
          </w:p>
        </w:tc>
        <w:tc>
          <w:tcPr>
            <w:tcW w:w="833" w:type="pct"/>
            <w:noWrap/>
          </w:tcPr>
          <w:p w14:paraId="77F65CD9" w14:textId="77777777" w:rsidR="0038460F" w:rsidRPr="0060421C" w:rsidRDefault="0038460F" w:rsidP="00F16E23">
            <w:pPr>
              <w:pStyle w:val="TableText"/>
              <w:spacing w:before="40" w:after="40"/>
              <w:rPr>
                <w:rFonts w:cs="Calibri"/>
              </w:rPr>
            </w:pPr>
            <w:r w:rsidRPr="0060421C">
              <w:rPr>
                <w:rFonts w:cs="Calibri"/>
              </w:rPr>
              <w:t>–</w:t>
            </w:r>
          </w:p>
        </w:tc>
      </w:tr>
    </w:tbl>
    <w:p w14:paraId="6F4B9F12" w14:textId="77777777" w:rsidR="0038460F" w:rsidRPr="0060421C" w:rsidRDefault="0038460F" w:rsidP="0038460F">
      <w:pPr>
        <w:pStyle w:val="Heading3"/>
        <w:spacing w:before="480"/>
      </w:pPr>
      <w:r w:rsidRPr="0060421C">
        <w:t>3.3.1</w:t>
      </w:r>
      <w:r w:rsidRPr="0060421C">
        <w:tab/>
        <w:t>Fugitive emissions from fuels: Solid fuels (CRT 1.B.1)</w:t>
      </w:r>
    </w:p>
    <w:p w14:paraId="432266D5" w14:textId="77777777" w:rsidR="0038460F" w:rsidRPr="0060421C" w:rsidRDefault="0038460F" w:rsidP="0038460F">
      <w:pPr>
        <w:pStyle w:val="Heading4"/>
        <w:spacing w:before="200"/>
      </w:pPr>
      <w:r w:rsidRPr="0060421C">
        <w:t>Category description</w:t>
      </w:r>
    </w:p>
    <w:p w14:paraId="19CFC56F" w14:textId="77777777" w:rsidR="0038460F" w:rsidRPr="0060421C" w:rsidRDefault="0038460F" w:rsidP="0038460F">
      <w:pPr>
        <w:pStyle w:val="BodyText"/>
        <w:rPr>
          <w:lang w:eastAsia="en-GB"/>
        </w:rPr>
      </w:pPr>
      <w:r w:rsidRPr="0060421C">
        <w:rPr>
          <w:spacing w:val="-2"/>
          <w:lang w:eastAsia="en-GB"/>
        </w:rPr>
        <w:t xml:space="preserve">In </w:t>
      </w:r>
      <w:r w:rsidRPr="0060421C">
        <w:rPr>
          <w:rFonts w:cs="Calibri"/>
          <w:spacing w:val="-2"/>
        </w:rPr>
        <w:t>2024</w:t>
      </w:r>
      <w:r w:rsidRPr="0060421C">
        <w:rPr>
          <w:spacing w:val="-2"/>
          <w:lang w:eastAsia="en-GB"/>
        </w:rPr>
        <w:t xml:space="preserve">, fugitive emissions from the </w:t>
      </w:r>
      <w:r w:rsidRPr="0060421C">
        <w:rPr>
          <w:rFonts w:cs="Calibri"/>
          <w:i/>
          <w:iCs/>
          <w:spacing w:val="-2"/>
          <w:lang w:eastAsia="en-GB"/>
        </w:rPr>
        <w:t>Solid fuels</w:t>
      </w:r>
      <w:r w:rsidRPr="0060421C">
        <w:rPr>
          <w:spacing w:val="-2"/>
          <w:lang w:eastAsia="en-GB"/>
        </w:rPr>
        <w:t xml:space="preserve"> category accounted for </w:t>
      </w:r>
      <w:r w:rsidRPr="0060421C">
        <w:rPr>
          <w:rFonts w:cs="Calibri"/>
          <w:spacing w:val="-2"/>
        </w:rPr>
        <w:t xml:space="preserve">61.2 </w:t>
      </w:r>
      <w:r w:rsidRPr="0060421C">
        <w:rPr>
          <w:spacing w:val="-2"/>
          <w:lang w:eastAsia="en-GB"/>
        </w:rPr>
        <w:t>kt CO</w:t>
      </w:r>
      <w:r w:rsidRPr="0060421C">
        <w:rPr>
          <w:rFonts w:cs="Calibri"/>
          <w:spacing w:val="-2"/>
          <w:vertAlign w:val="subscript"/>
          <w:lang w:eastAsia="en-GB"/>
        </w:rPr>
        <w:t>2</w:t>
      </w:r>
      <w:r w:rsidRPr="0060421C">
        <w:rPr>
          <w:spacing w:val="-2"/>
          <w:lang w:eastAsia="en-GB"/>
        </w:rPr>
        <w:t>e (</w:t>
      </w:r>
      <w:r w:rsidRPr="0060421C">
        <w:rPr>
          <w:rFonts w:cs="Calibri"/>
          <w:spacing w:val="-2"/>
        </w:rPr>
        <w:t>5.1 percent</w:t>
      </w:r>
      <w:r w:rsidRPr="0060421C">
        <w:rPr>
          <w:spacing w:val="-2"/>
          <w:lang w:eastAsia="en-GB"/>
        </w:rPr>
        <w:t>)</w:t>
      </w:r>
      <w:r w:rsidRPr="0060421C">
        <w:rPr>
          <w:lang w:eastAsia="en-GB"/>
        </w:rPr>
        <w:t xml:space="preserve"> of emissions from the </w:t>
      </w:r>
      <w:r w:rsidRPr="0060421C">
        <w:rPr>
          <w:rFonts w:cs="Calibri"/>
          <w:i/>
          <w:iCs/>
          <w:lang w:eastAsia="en-GB"/>
        </w:rPr>
        <w:t>Fugitive emissions</w:t>
      </w:r>
      <w:r w:rsidRPr="0060421C">
        <w:rPr>
          <w:lang w:eastAsia="en-GB"/>
        </w:rPr>
        <w:t xml:space="preserve"> category. This is 306.2 kt CO</w:t>
      </w:r>
      <w:r w:rsidRPr="0060421C">
        <w:rPr>
          <w:rFonts w:cs="Calibri"/>
          <w:vertAlign w:val="subscript"/>
          <w:lang w:eastAsia="en-GB"/>
        </w:rPr>
        <w:t>2</w:t>
      </w:r>
      <w:r w:rsidRPr="0060421C">
        <w:rPr>
          <w:lang w:eastAsia="en-GB"/>
        </w:rPr>
        <w:t>e (</w:t>
      </w:r>
      <w:r w:rsidRPr="0060421C">
        <w:rPr>
          <w:rFonts w:cs="Calibri"/>
        </w:rPr>
        <w:t>83.3 percent</w:t>
      </w:r>
      <w:r w:rsidRPr="0060421C">
        <w:rPr>
          <w:lang w:eastAsia="en-GB"/>
        </w:rPr>
        <w:t xml:space="preserve">) lower than the </w:t>
      </w:r>
      <w:r w:rsidRPr="0060421C">
        <w:rPr>
          <w:rFonts w:cs="Calibri"/>
        </w:rPr>
        <w:t xml:space="preserve">367.4 </w:t>
      </w:r>
      <w:r w:rsidRPr="0060421C">
        <w:rPr>
          <w:lang w:eastAsia="en-GB"/>
        </w:rPr>
        <w:t>kt CO</w:t>
      </w:r>
      <w:r w:rsidRPr="0060421C">
        <w:rPr>
          <w:rFonts w:cs="Calibri"/>
          <w:vertAlign w:val="subscript"/>
          <w:lang w:eastAsia="en-GB"/>
        </w:rPr>
        <w:t>2</w:t>
      </w:r>
      <w:r w:rsidRPr="0060421C">
        <w:rPr>
          <w:lang w:eastAsia="en-GB"/>
        </w:rPr>
        <w:t>e reported for 1990. The factors behind this decrease include changes in the amount and type of coal produced, as well as in its method of extraction (open</w:t>
      </w:r>
      <w:r w:rsidRPr="0060421C">
        <w:rPr>
          <w:lang w:eastAsia="en-GB"/>
        </w:rPr>
        <w:noBreakHyphen/>
        <w:t>cast versus underground).</w:t>
      </w:r>
    </w:p>
    <w:p w14:paraId="52D5F4D0" w14:textId="77777777" w:rsidR="0038460F" w:rsidRPr="0060421C" w:rsidRDefault="0038460F" w:rsidP="0038460F">
      <w:pPr>
        <w:pStyle w:val="BodyText"/>
        <w:rPr>
          <w:lang w:eastAsia="en-GB"/>
        </w:rPr>
      </w:pPr>
      <w:r w:rsidRPr="0060421C">
        <w:rPr>
          <w:lang w:eastAsia="en-GB"/>
        </w:rPr>
        <w:t xml:space="preserve">Between </w:t>
      </w:r>
      <w:r w:rsidRPr="0060421C">
        <w:rPr>
          <w:rFonts w:cs="Calibri"/>
        </w:rPr>
        <w:t xml:space="preserve">2023 </w:t>
      </w:r>
      <w:r w:rsidRPr="0060421C">
        <w:rPr>
          <w:lang w:eastAsia="en-GB"/>
        </w:rPr>
        <w:t xml:space="preserve">and </w:t>
      </w:r>
      <w:r w:rsidRPr="0060421C">
        <w:rPr>
          <w:rFonts w:cs="Calibri"/>
        </w:rPr>
        <w:t>2024</w:t>
      </w:r>
      <w:r w:rsidRPr="0060421C">
        <w:rPr>
          <w:lang w:eastAsia="en-GB"/>
        </w:rPr>
        <w:t xml:space="preserve">, fugitive emissions from the </w:t>
      </w:r>
      <w:r w:rsidRPr="0060421C">
        <w:rPr>
          <w:rFonts w:cs="Calibri"/>
          <w:i/>
          <w:lang w:eastAsia="en-GB"/>
        </w:rPr>
        <w:t>Solid fuels</w:t>
      </w:r>
      <w:r w:rsidRPr="0060421C">
        <w:rPr>
          <w:lang w:eastAsia="en-GB"/>
        </w:rPr>
        <w:t xml:space="preserve"> category </w:t>
      </w:r>
      <w:r w:rsidRPr="0060421C">
        <w:rPr>
          <w:rFonts w:cs="Calibri"/>
        </w:rPr>
        <w:t>decreased by 2.2 </w:t>
      </w:r>
      <w:r w:rsidRPr="0060421C">
        <w:rPr>
          <w:lang w:eastAsia="en-GB"/>
        </w:rPr>
        <w:t>kt CO</w:t>
      </w:r>
      <w:r w:rsidRPr="0060421C">
        <w:rPr>
          <w:rFonts w:cs="Calibri"/>
          <w:vertAlign w:val="subscript"/>
          <w:lang w:eastAsia="en-GB"/>
        </w:rPr>
        <w:t>2</w:t>
      </w:r>
      <w:r w:rsidRPr="0060421C">
        <w:rPr>
          <w:lang w:eastAsia="en-GB"/>
        </w:rPr>
        <w:t xml:space="preserve">e (3.5 </w:t>
      </w:r>
      <w:r w:rsidRPr="0060421C">
        <w:rPr>
          <w:rFonts w:cs="Calibri"/>
        </w:rPr>
        <w:t>percent</w:t>
      </w:r>
      <w:r w:rsidRPr="0060421C">
        <w:rPr>
          <w:lang w:eastAsia="en-GB"/>
        </w:rPr>
        <w:t>) due to decreased coal production.</w:t>
      </w:r>
    </w:p>
    <w:p w14:paraId="751D9FF5" w14:textId="77777777" w:rsidR="0038460F" w:rsidRPr="0060421C" w:rsidRDefault="0038460F" w:rsidP="0038460F">
      <w:pPr>
        <w:pStyle w:val="BodyText"/>
        <w:rPr>
          <w:lang w:eastAsia="en-GB"/>
        </w:rPr>
      </w:pPr>
      <w:r w:rsidRPr="0060421C">
        <w:rPr>
          <w:lang w:eastAsia="en-GB"/>
        </w:rPr>
        <w:t xml:space="preserve">New Zealand’s fugitive emissions from the </w:t>
      </w:r>
      <w:r w:rsidRPr="0060421C">
        <w:rPr>
          <w:rFonts w:cs="Calibri"/>
          <w:i/>
          <w:lang w:eastAsia="en-GB"/>
        </w:rPr>
        <w:t>Solid fuels</w:t>
      </w:r>
      <w:r w:rsidRPr="0060421C">
        <w:rPr>
          <w:lang w:eastAsia="en-GB"/>
        </w:rPr>
        <w:t xml:space="preserve"> category are a by-product of coal mining operations. Methane is created during coal formation and released when coal is mined. The amount of </w:t>
      </w:r>
      <w:r w:rsidRPr="0060421C">
        <w:rPr>
          <w:rFonts w:cs="Calibri"/>
        </w:rPr>
        <w:t>CH</w:t>
      </w:r>
      <w:r w:rsidRPr="0060421C">
        <w:rPr>
          <w:rFonts w:cs="Calibri"/>
          <w:vertAlign w:val="subscript"/>
        </w:rPr>
        <w:t>4</w:t>
      </w:r>
      <w:r w:rsidRPr="0060421C">
        <w:rPr>
          <w:lang w:eastAsia="en-GB"/>
        </w:rPr>
        <w:t xml:space="preserve"> released </w:t>
      </w:r>
      <w:r w:rsidRPr="0060421C">
        <w:t>during</w:t>
      </w:r>
      <w:r w:rsidRPr="0060421C">
        <w:rPr>
          <w:lang w:eastAsia="en-GB"/>
        </w:rPr>
        <w:t xml:space="preserve"> coal mining is dependent on the coal grade and the depth of the coal seam. Emissions also occur due to post-underground mining activities, such as coal processing, transportation and use.</w:t>
      </w:r>
    </w:p>
    <w:p w14:paraId="0C8E7663" w14:textId="77777777" w:rsidR="0038460F" w:rsidRPr="0060421C" w:rsidRDefault="0038460F" w:rsidP="0038460F">
      <w:pPr>
        <w:pStyle w:val="BodyText"/>
        <w:rPr>
          <w:spacing w:val="-2"/>
          <w:lang w:eastAsia="en-GB"/>
        </w:rPr>
      </w:pPr>
      <w:r w:rsidRPr="0060421C">
        <w:rPr>
          <w:spacing w:val="-2"/>
          <w:lang w:eastAsia="en-GB"/>
        </w:rPr>
        <w:t xml:space="preserve">In </w:t>
      </w:r>
      <w:r w:rsidRPr="0060421C">
        <w:rPr>
          <w:rFonts w:cs="Calibri"/>
          <w:spacing w:val="-2"/>
        </w:rPr>
        <w:t>2024</w:t>
      </w:r>
      <w:r w:rsidRPr="0060421C">
        <w:rPr>
          <w:spacing w:val="-2"/>
          <w:lang w:eastAsia="en-GB"/>
        </w:rPr>
        <w:t xml:space="preserve">, New Zealand’s total coal production was 2.5 million tonnes. Twelve </w:t>
      </w:r>
      <w:r w:rsidRPr="0060421C">
        <w:rPr>
          <w:rFonts w:cs="Calibri"/>
          <w:spacing w:val="-2"/>
        </w:rPr>
        <w:t xml:space="preserve">active coal mines were operating, and, as of 2024, none were underground. The two largest open-cast operations, at Stockton and Rotowaro, account for most of the national production. For further information and data on the coal mining industry, refer to </w:t>
      </w:r>
      <w:r w:rsidRPr="0060421C">
        <w:rPr>
          <w:rFonts w:cs="Calibri"/>
          <w:i/>
          <w:iCs/>
          <w:spacing w:val="-2"/>
        </w:rPr>
        <w:t>Energy in New Zealand</w:t>
      </w:r>
      <w:r w:rsidRPr="0060421C">
        <w:rPr>
          <w:rFonts w:cs="Calibri"/>
          <w:spacing w:val="-2"/>
        </w:rPr>
        <w:t xml:space="preserve"> (MBIE, 2025a).</w:t>
      </w:r>
    </w:p>
    <w:p w14:paraId="50607B85" w14:textId="77777777" w:rsidR="0038460F" w:rsidRPr="0060421C" w:rsidRDefault="0038460F" w:rsidP="0038460F">
      <w:pPr>
        <w:pStyle w:val="BodyText"/>
        <w:rPr>
          <w:lang w:eastAsia="en-GB"/>
        </w:rPr>
      </w:pPr>
      <w:r w:rsidRPr="0060421C">
        <w:rPr>
          <w:lang w:eastAsia="en-GB"/>
        </w:rPr>
        <w:t xml:space="preserve">At the end of </w:t>
      </w:r>
      <w:r w:rsidRPr="0060421C">
        <w:rPr>
          <w:rFonts w:cs="Calibri"/>
        </w:rPr>
        <w:t>2024</w:t>
      </w:r>
      <w:r w:rsidRPr="0060421C">
        <w:rPr>
          <w:lang w:eastAsia="en-GB"/>
        </w:rPr>
        <w:t xml:space="preserve">, no known flaring or capture of </w:t>
      </w:r>
      <w:r w:rsidRPr="0060421C">
        <w:rPr>
          <w:rFonts w:cs="Calibri"/>
        </w:rPr>
        <w:t>CH</w:t>
      </w:r>
      <w:r w:rsidRPr="0060421C">
        <w:rPr>
          <w:rFonts w:cs="Calibri"/>
          <w:vertAlign w:val="subscript"/>
        </w:rPr>
        <w:t>4</w:t>
      </w:r>
      <w:r w:rsidRPr="0060421C">
        <w:rPr>
          <w:rFonts w:cs="Calibri"/>
        </w:rPr>
        <w:t xml:space="preserve"> was occurring </w:t>
      </w:r>
      <w:r w:rsidRPr="0060421C">
        <w:rPr>
          <w:lang w:eastAsia="en-GB"/>
        </w:rPr>
        <w:t>at coal mines in New Zealand. Pilot schemes of both coal seam gas and underground coal gasification began in 2012, but these projects have not progressed.</w:t>
      </w:r>
    </w:p>
    <w:p w14:paraId="206F8911" w14:textId="77777777" w:rsidR="0038460F" w:rsidRPr="0060421C" w:rsidRDefault="0038460F" w:rsidP="0038460F">
      <w:pPr>
        <w:pStyle w:val="Heading4"/>
        <w:spacing w:before="200"/>
      </w:pPr>
      <w:r w:rsidRPr="0060421C">
        <w:t>Methodological issues</w:t>
      </w:r>
    </w:p>
    <w:p w14:paraId="71EA0C4B" w14:textId="77777777" w:rsidR="0038460F" w:rsidRPr="0060421C" w:rsidRDefault="0038460F" w:rsidP="0038460F">
      <w:pPr>
        <w:pStyle w:val="BodyText"/>
        <w:rPr>
          <w:rFonts w:cs="Calibri"/>
          <w:lang w:eastAsia="ko-KR"/>
        </w:rPr>
      </w:pPr>
      <w:r w:rsidRPr="0060421C">
        <w:rPr>
          <w:lang w:eastAsia="en-GB"/>
        </w:rPr>
        <w:t xml:space="preserve">The New Zealand-specific emission factor for underground mining of sub-bituminous coal is used to calculate </w:t>
      </w:r>
      <w:r w:rsidRPr="0060421C">
        <w:rPr>
          <w:rFonts w:cs="Calibri"/>
        </w:rPr>
        <w:t>CH</w:t>
      </w:r>
      <w:r w:rsidRPr="0060421C">
        <w:rPr>
          <w:rFonts w:cs="Calibri"/>
          <w:vertAlign w:val="subscript"/>
        </w:rPr>
        <w:t>4</w:t>
      </w:r>
      <w:r w:rsidRPr="0060421C">
        <w:rPr>
          <w:rFonts w:cs="Calibri"/>
          <w:sz w:val="14"/>
          <w:szCs w:val="14"/>
          <w:lang w:eastAsia="en-GB"/>
        </w:rPr>
        <w:t xml:space="preserve"> </w:t>
      </w:r>
      <w:r w:rsidRPr="0060421C">
        <w:rPr>
          <w:lang w:eastAsia="en-GB"/>
        </w:rPr>
        <w:t>emissions (Beamish and Vance, 1992). T</w:t>
      </w:r>
      <w:r w:rsidRPr="0060421C">
        <w:rPr>
          <w:rFonts w:cs="Calibri"/>
          <w:lang w:eastAsia="ko-KR"/>
        </w:rPr>
        <w:t xml:space="preserve">he sub-bituminous emission factor derived from Beamish and Vance is considered to be reliable because the emission factor (12.1 tonnes of </w:t>
      </w:r>
      <w:r w:rsidRPr="0060421C">
        <w:rPr>
          <w:rFonts w:cs="Calibri"/>
        </w:rPr>
        <w:t>CH</w:t>
      </w:r>
      <w:r w:rsidRPr="0060421C">
        <w:rPr>
          <w:rFonts w:cs="Calibri"/>
          <w:vertAlign w:val="subscript"/>
        </w:rPr>
        <w:t>4</w:t>
      </w:r>
      <w:r w:rsidRPr="0060421C">
        <w:rPr>
          <w:rFonts w:cs="Calibri"/>
          <w:lang w:eastAsia="ko-KR"/>
        </w:rPr>
        <w:t xml:space="preserve"> per kilotonne of coal (t/kt)) is:</w:t>
      </w:r>
    </w:p>
    <w:p w14:paraId="3AE67F26" w14:textId="77777777" w:rsidR="0038460F" w:rsidRPr="0060421C" w:rsidRDefault="0038460F" w:rsidP="0038460F">
      <w:pPr>
        <w:pStyle w:val="Bullet"/>
        <w:rPr>
          <w:lang w:eastAsia="en-GB"/>
        </w:rPr>
      </w:pPr>
      <w:r w:rsidRPr="0060421C">
        <w:rPr>
          <w:lang w:eastAsia="en-GB"/>
        </w:rPr>
        <w:t>well within the IPCC (2006) default range of 6.7–16.75 t/kt</w:t>
      </w:r>
    </w:p>
    <w:p w14:paraId="37A8AFD8" w14:textId="77777777" w:rsidR="0038460F" w:rsidRPr="0060421C" w:rsidRDefault="0038460F" w:rsidP="0038460F">
      <w:pPr>
        <w:pStyle w:val="Bullet"/>
        <w:rPr>
          <w:lang w:eastAsia="en-GB"/>
        </w:rPr>
      </w:pPr>
      <w:r w:rsidRPr="0060421C">
        <w:rPr>
          <w:lang w:eastAsia="en-GB"/>
        </w:rPr>
        <w:t>largely based on data for the most significant sub-bituminous coal mine in New Zealand (Huntly East mine), which was in continuous operation from 1988 to 2017 and the most significant producing mine.</w:t>
      </w:r>
    </w:p>
    <w:p w14:paraId="5D6EBF8B" w14:textId="77777777" w:rsidR="0038460F" w:rsidRPr="0060421C" w:rsidRDefault="0038460F" w:rsidP="0038460F">
      <w:pPr>
        <w:pStyle w:val="BodyText"/>
        <w:rPr>
          <w:lang w:eastAsia="ko-KR"/>
        </w:rPr>
      </w:pPr>
      <w:r w:rsidRPr="0060421C">
        <w:rPr>
          <w:lang w:eastAsia="ko-KR"/>
        </w:rPr>
        <w:t>The emission factor for underground mining of bituminous coal is taken from the 2006 IPCC Guidelines (IPCC, 2006). It is noted that any bituminous emission factor derived from Beamish and Vance (1992) would not be reliable, and should not be used, for the following reasons.</w:t>
      </w:r>
    </w:p>
    <w:p w14:paraId="7CB71BAC" w14:textId="2BD844D2" w:rsidR="0038460F" w:rsidRPr="0060421C" w:rsidRDefault="003950E6" w:rsidP="003950E6">
      <w:pPr>
        <w:pStyle w:val="Numberedparagraph"/>
        <w:numPr>
          <w:ilvl w:val="0"/>
          <w:numId w:val="0"/>
        </w:numPr>
        <w:ind w:left="397" w:hanging="397"/>
      </w:pPr>
      <w:r>
        <w:t>1.</w:t>
      </w:r>
      <w:r>
        <w:tab/>
      </w:r>
      <w:r w:rsidR="0038460F" w:rsidRPr="0060421C">
        <w:t>The derived emission factor (35.28 t CH</w:t>
      </w:r>
      <w:r w:rsidR="0038460F" w:rsidRPr="0060421C">
        <w:rPr>
          <w:vertAlign w:val="subscript"/>
        </w:rPr>
        <w:t>4</w:t>
      </w:r>
      <w:r w:rsidR="0038460F" w:rsidRPr="0060421C">
        <w:t>/kt) is more than double the high default IPCC (2006) value. Using such an emission factor that is so far out of line with the default values would require a strong justification.</w:t>
      </w:r>
    </w:p>
    <w:p w14:paraId="17AD9012" w14:textId="4464AABA" w:rsidR="0038460F" w:rsidRPr="0060421C" w:rsidRDefault="003950E6" w:rsidP="003950E6">
      <w:pPr>
        <w:pStyle w:val="Numberedparagraph"/>
        <w:numPr>
          <w:ilvl w:val="0"/>
          <w:numId w:val="0"/>
        </w:numPr>
        <w:ind w:left="397" w:hanging="397"/>
      </w:pPr>
      <w:r>
        <w:t>2.</w:t>
      </w:r>
      <w:r>
        <w:tab/>
      </w:r>
      <w:r w:rsidR="0038460F" w:rsidRPr="0060421C">
        <w:t>New Zealand already has the highest implied emission factor for underground mining among Annex I Parties. Dramatically increasing the emission factor further still would not be in the interests of comparability.</w:t>
      </w:r>
    </w:p>
    <w:p w14:paraId="787CBC4E" w14:textId="0F74E709" w:rsidR="0038460F" w:rsidRPr="0060421C" w:rsidRDefault="003950E6" w:rsidP="003950E6">
      <w:pPr>
        <w:pStyle w:val="Numberedparagraph"/>
        <w:numPr>
          <w:ilvl w:val="0"/>
          <w:numId w:val="0"/>
        </w:numPr>
        <w:ind w:left="397" w:hanging="397"/>
      </w:pPr>
      <w:r>
        <w:t>3.</w:t>
      </w:r>
      <w:r>
        <w:tab/>
      </w:r>
      <w:r w:rsidR="0038460F" w:rsidRPr="0060421C">
        <w:t>The bituminous data are based on production (in 1988) of only 125 kt and so represent a very small sample size (compared with the sub-bituminous mines, where the data are based on production of 655 kt). The small sample size significantly increases the uncertainty.</w:t>
      </w:r>
    </w:p>
    <w:p w14:paraId="6450FE42" w14:textId="44F66E65" w:rsidR="0038460F" w:rsidRPr="0060421C" w:rsidRDefault="003950E6" w:rsidP="003950E6">
      <w:pPr>
        <w:pStyle w:val="Numberedparagraph"/>
        <w:numPr>
          <w:ilvl w:val="0"/>
          <w:numId w:val="0"/>
        </w:numPr>
        <w:ind w:left="397" w:hanging="397"/>
      </w:pPr>
      <w:r>
        <w:t>4.</w:t>
      </w:r>
      <w:r>
        <w:tab/>
      </w:r>
      <w:r w:rsidR="0038460F" w:rsidRPr="0060421C">
        <w:t>Beamish and Vance’s (1992) study is based on data from 1988, for just eight bituminous coal mines. These data are out of date because all of these mines are no longer producing, and bituminous coal production comes from entirely different underground mines, to which the suggested emission factors may not be applicable.</w:t>
      </w:r>
    </w:p>
    <w:p w14:paraId="123728FC" w14:textId="77777777" w:rsidR="0038460F" w:rsidRPr="0060421C" w:rsidRDefault="0038460F" w:rsidP="0038460F">
      <w:pPr>
        <w:pStyle w:val="BodyText"/>
        <w:rPr>
          <w:lang w:eastAsia="en-GB"/>
        </w:rPr>
      </w:pPr>
      <w:r w:rsidRPr="0060421C">
        <w:rPr>
          <w:lang w:eastAsia="en-GB"/>
        </w:rPr>
        <w:t>Emission factors for the other categories, for example, surface mining, are sourced from the 2006 IPCC Guidelines (IPCC, 2006).</w:t>
      </w:r>
    </w:p>
    <w:p w14:paraId="692BFA73" w14:textId="77777777" w:rsidR="0038460F" w:rsidRPr="0060421C" w:rsidRDefault="0038460F" w:rsidP="0038460F">
      <w:pPr>
        <w:pStyle w:val="Heading4"/>
        <w:rPr>
          <w:lang w:eastAsia="en-GB"/>
        </w:rPr>
      </w:pPr>
      <w:r w:rsidRPr="0060421C">
        <w:rPr>
          <w:lang w:eastAsia="en-GB"/>
        </w:rPr>
        <w:t>Activity data</w:t>
      </w:r>
    </w:p>
    <w:p w14:paraId="573402BD" w14:textId="77777777" w:rsidR="0038460F" w:rsidRPr="0060421C" w:rsidRDefault="0038460F" w:rsidP="0038460F">
      <w:pPr>
        <w:pStyle w:val="BodyText"/>
        <w:rPr>
          <w:lang w:eastAsia="en-GB"/>
        </w:rPr>
      </w:pPr>
      <w:r w:rsidRPr="0060421C">
        <w:rPr>
          <w:lang w:eastAsia="en-GB"/>
        </w:rPr>
        <w:t>Activity data for this category are collected from MBIE’s coal production survey. This survey gathers quarterly data on coal production by mine type (underground and/or surface) and rank (coking, bituminous, sub-bituminous, lignite).</w:t>
      </w:r>
    </w:p>
    <w:p w14:paraId="0159FB42" w14:textId="77777777" w:rsidR="0038460F" w:rsidRPr="0060421C" w:rsidRDefault="0038460F" w:rsidP="0038460F">
      <w:pPr>
        <w:pStyle w:val="Heading5"/>
        <w:rPr>
          <w:lang w:eastAsia="en-GB"/>
        </w:rPr>
      </w:pPr>
      <w:r w:rsidRPr="0060421C">
        <w:rPr>
          <w:lang w:eastAsia="en-GB"/>
        </w:rPr>
        <w:t>Abandoned underground mines (1.B.1.a.1.iii)</w:t>
      </w:r>
    </w:p>
    <w:p w14:paraId="7408CA59" w14:textId="77777777" w:rsidR="0038460F" w:rsidRPr="0060421C" w:rsidRDefault="0038460F" w:rsidP="0038460F">
      <w:pPr>
        <w:pStyle w:val="BodyText"/>
        <w:spacing w:before="80" w:after="100"/>
        <w:rPr>
          <w:lang w:eastAsia="en-GB"/>
        </w:rPr>
      </w:pPr>
      <w:r w:rsidRPr="0060421C">
        <w:rPr>
          <w:lang w:eastAsia="en-GB"/>
        </w:rPr>
        <w:t>MBIE has investigated whether there was any activity in this category. According to the 2006 IPCC Guidelines, mines of only a few acres in size should be disregarded, and, additionally, non-gassy mines and flooded mines are presumed to have negligible emissions (IPCC, 2006). Most New Zealand mines are small by European standards and can be disregarded. The first</w:t>
      </w:r>
      <w:r>
        <w:rPr>
          <w:lang w:eastAsia="en-GB"/>
        </w:rPr>
        <w:t xml:space="preserve"> </w:t>
      </w:r>
      <w:r w:rsidRPr="0060421C">
        <w:rPr>
          <w:lang w:eastAsia="en-GB"/>
        </w:rPr>
        <w:t>stage of the project was completed in 2016 and concluded that the activity is not occurring</w:t>
      </w:r>
      <w:r>
        <w:rPr>
          <w:lang w:eastAsia="en-GB"/>
        </w:rPr>
        <w:t xml:space="preserve"> </w:t>
      </w:r>
      <w:r w:rsidRPr="0060421C">
        <w:rPr>
          <w:lang w:eastAsia="en-GB"/>
        </w:rPr>
        <w:t>(NO) in the North Island: details are given in table 3.3.2. The second stage of the project,</w:t>
      </w:r>
      <w:r>
        <w:rPr>
          <w:lang w:eastAsia="en-GB"/>
        </w:rPr>
        <w:t xml:space="preserve"> </w:t>
      </w:r>
      <w:r w:rsidRPr="0060421C">
        <w:rPr>
          <w:lang w:eastAsia="en-GB"/>
        </w:rPr>
        <w:t>focusing on collating and digitising mine data for the South Island, commenced in December 2019. A mine plans database has been made available online (WorkSafe et al., no date),</w:t>
      </w:r>
      <w:r w:rsidRPr="0060421C">
        <w:rPr>
          <w:rStyle w:val="FootnoteReference"/>
          <w:color w:val="32809C" w:themeColor="accent2"/>
          <w:lang w:eastAsia="en-GB"/>
        </w:rPr>
        <w:t xml:space="preserve"> </w:t>
      </w:r>
      <w:r w:rsidRPr="0060421C">
        <w:rPr>
          <w:lang w:eastAsia="en-GB"/>
        </w:rPr>
        <w:t>although this is still a work in progress. An online exploration database is also available (</w:t>
      </w:r>
      <w:r w:rsidRPr="0060421C">
        <w:t>New</w:t>
      </w:r>
      <w:r>
        <w:t> </w:t>
      </w:r>
      <w:r w:rsidRPr="0060421C">
        <w:t>Zealand Petroleum and Minerals, no date)</w:t>
      </w:r>
      <w:r w:rsidRPr="0060421C">
        <w:rPr>
          <w:lang w:eastAsia="en-GB"/>
        </w:rPr>
        <w:t>.</w:t>
      </w:r>
    </w:p>
    <w:p w14:paraId="10479B18" w14:textId="77777777" w:rsidR="0038460F" w:rsidRPr="0060421C" w:rsidRDefault="0038460F" w:rsidP="0038460F">
      <w:pPr>
        <w:pStyle w:val="BodyText"/>
        <w:spacing w:before="100" w:after="100"/>
        <w:rPr>
          <w:lang w:eastAsia="en-GB"/>
        </w:rPr>
      </w:pPr>
      <w:r w:rsidRPr="0060421C">
        <w:rPr>
          <w:lang w:eastAsia="en-GB"/>
        </w:rPr>
        <w:t>During 2021, a contractor was employed to review all the coal reports within MBIE’s online coal mine databases and record the following details:</w:t>
      </w:r>
    </w:p>
    <w:p w14:paraId="26158FCF" w14:textId="77777777" w:rsidR="0038460F" w:rsidRPr="0060421C" w:rsidRDefault="0038460F" w:rsidP="0038460F">
      <w:pPr>
        <w:pStyle w:val="Bullet"/>
      </w:pPr>
      <w:r w:rsidRPr="0060421C">
        <w:t>mine name</w:t>
      </w:r>
    </w:p>
    <w:p w14:paraId="243AB27F" w14:textId="77777777" w:rsidR="0038460F" w:rsidRPr="0060421C" w:rsidRDefault="0038460F" w:rsidP="0038460F">
      <w:pPr>
        <w:pStyle w:val="Bullet"/>
      </w:pPr>
      <w:r w:rsidRPr="0060421C">
        <w:t>mine number</w:t>
      </w:r>
    </w:p>
    <w:p w14:paraId="7ADE71BF" w14:textId="77777777" w:rsidR="0038460F" w:rsidRPr="0060421C" w:rsidRDefault="0038460F" w:rsidP="0038460F">
      <w:pPr>
        <w:pStyle w:val="Bullet"/>
      </w:pPr>
      <w:r w:rsidRPr="0060421C">
        <w:t>coalfield</w:t>
      </w:r>
    </w:p>
    <w:p w14:paraId="42BEB4C2" w14:textId="77777777" w:rsidR="0038460F" w:rsidRPr="0060421C" w:rsidRDefault="0038460F" w:rsidP="0038460F">
      <w:pPr>
        <w:pStyle w:val="Bullet"/>
      </w:pPr>
      <w:r w:rsidRPr="0060421C">
        <w:t>mining method</w:t>
      </w:r>
    </w:p>
    <w:p w14:paraId="2929406F" w14:textId="77777777" w:rsidR="0038460F" w:rsidRPr="0060421C" w:rsidRDefault="0038460F" w:rsidP="0038460F">
      <w:pPr>
        <w:pStyle w:val="Bullet"/>
      </w:pPr>
      <w:r w:rsidRPr="0060421C">
        <w:t>location of the mine (grid reference or coordinates)</w:t>
      </w:r>
    </w:p>
    <w:p w14:paraId="2E99A084" w14:textId="77777777" w:rsidR="0038460F" w:rsidRPr="0060421C" w:rsidRDefault="0038460F" w:rsidP="0038460F">
      <w:pPr>
        <w:pStyle w:val="Bullet"/>
      </w:pPr>
      <w:r w:rsidRPr="0060421C">
        <w:t>mine start year</w:t>
      </w:r>
    </w:p>
    <w:p w14:paraId="56AFB8A6" w14:textId="77777777" w:rsidR="0038460F" w:rsidRPr="0060421C" w:rsidRDefault="0038460F" w:rsidP="0038460F">
      <w:pPr>
        <w:pStyle w:val="Bullet"/>
      </w:pPr>
      <w:r w:rsidRPr="0060421C">
        <w:t>mine closure year</w:t>
      </w:r>
    </w:p>
    <w:p w14:paraId="2E4BAA32" w14:textId="77777777" w:rsidR="0038460F" w:rsidRPr="0060421C" w:rsidRDefault="0038460F" w:rsidP="0038460F">
      <w:pPr>
        <w:pStyle w:val="Bullet"/>
      </w:pPr>
      <w:r w:rsidRPr="0060421C">
        <w:t>details of production</w:t>
      </w:r>
    </w:p>
    <w:p w14:paraId="27CD1D9A" w14:textId="77777777" w:rsidR="0038460F" w:rsidRPr="0060421C" w:rsidRDefault="0038460F" w:rsidP="0038460F">
      <w:pPr>
        <w:pStyle w:val="Bullet"/>
      </w:pPr>
      <w:r w:rsidRPr="0060421C">
        <w:t>whether the mine was gassy (mentions of problems with gas)</w:t>
      </w:r>
    </w:p>
    <w:p w14:paraId="02F563D5" w14:textId="77777777" w:rsidR="0038460F" w:rsidRPr="0060421C" w:rsidRDefault="0038460F" w:rsidP="0038460F">
      <w:pPr>
        <w:pStyle w:val="Bullet"/>
        <w:rPr>
          <w:lang w:eastAsia="en-GB"/>
        </w:rPr>
      </w:pPr>
      <w:r w:rsidRPr="0060421C">
        <w:t>whether the mine wa</w:t>
      </w:r>
      <w:r w:rsidRPr="0060421C">
        <w:rPr>
          <w:lang w:eastAsia="en-GB"/>
        </w:rPr>
        <w:t>s flooded or had water problems that would indicate it is now flooded.</w:t>
      </w:r>
    </w:p>
    <w:p w14:paraId="1B038F6A" w14:textId="77777777" w:rsidR="0038460F" w:rsidRPr="0060421C" w:rsidRDefault="0038460F" w:rsidP="0038460F">
      <w:pPr>
        <w:pStyle w:val="BodyText"/>
        <w:rPr>
          <w:rFonts w:cs="Arial"/>
        </w:rPr>
      </w:pPr>
      <w:r w:rsidRPr="0060421C">
        <w:rPr>
          <w:lang w:eastAsia="en-GB"/>
        </w:rPr>
        <w:t xml:space="preserve">A long list of historical mines was collated. Only 63 mines had information on whether the mine is now flooded and only 30 mines had information on whether the mine </w:t>
      </w:r>
      <w:r w:rsidRPr="0060421C">
        <w:t>was</w:t>
      </w:r>
      <w:r w:rsidRPr="0060421C">
        <w:rPr>
          <w:lang w:eastAsia="en-GB"/>
        </w:rPr>
        <w:t xml:space="preserve"> gassy. Further data collection and processing are required before we can make a meaningful assessment of fugitive emissions. In particular, we still need to collect:</w:t>
      </w:r>
    </w:p>
    <w:p w14:paraId="72A18F5A" w14:textId="77777777" w:rsidR="0038460F" w:rsidRPr="0060421C" w:rsidRDefault="0038460F" w:rsidP="0038460F">
      <w:pPr>
        <w:pStyle w:val="Bullet"/>
        <w:rPr>
          <w:lang w:eastAsia="en-GB"/>
        </w:rPr>
      </w:pPr>
      <w:r w:rsidRPr="0060421C">
        <w:t>elevation data</w:t>
      </w:r>
      <w:r w:rsidRPr="0060421C">
        <w:rPr>
          <w:lang w:eastAsia="en-GB"/>
        </w:rPr>
        <w:t xml:space="preserve"> to determine likely flooded or unflooded status</w:t>
      </w:r>
    </w:p>
    <w:p w14:paraId="3B05693B" w14:textId="77777777" w:rsidR="0038460F" w:rsidRPr="0060421C" w:rsidRDefault="0038460F" w:rsidP="0038460F">
      <w:pPr>
        <w:pStyle w:val="Bullet"/>
        <w:rPr>
          <w:lang w:eastAsia="en-GB"/>
        </w:rPr>
      </w:pPr>
      <w:r w:rsidRPr="0060421C">
        <w:rPr>
          <w:lang w:eastAsia="en-GB"/>
        </w:rPr>
        <w:t xml:space="preserve">data on </w:t>
      </w:r>
      <w:r w:rsidRPr="0060421C">
        <w:t>mine size</w:t>
      </w:r>
      <w:r w:rsidRPr="0060421C">
        <w:rPr>
          <w:lang w:eastAsia="en-GB"/>
        </w:rPr>
        <w:t xml:space="preserve"> to be used in applying a cut-off threshold.</w:t>
      </w:r>
    </w:p>
    <w:p w14:paraId="59A2C7E3" w14:textId="77777777" w:rsidR="0038460F" w:rsidRPr="0060421C" w:rsidRDefault="0038460F" w:rsidP="0038460F">
      <w:pPr>
        <w:pStyle w:val="BodyText"/>
        <w:rPr>
          <w:lang w:eastAsia="en-GB"/>
        </w:rPr>
      </w:pPr>
      <w:r w:rsidRPr="0060421C">
        <w:rPr>
          <w:lang w:eastAsia="en-GB"/>
        </w:rPr>
        <w:t>Activity data in the form of CH</w:t>
      </w:r>
      <w:r w:rsidRPr="0060421C">
        <w:rPr>
          <w:rFonts w:cs="Calibri"/>
          <w:vertAlign w:val="subscript"/>
          <w:lang w:eastAsia="en-GB"/>
        </w:rPr>
        <w:t>4</w:t>
      </w:r>
      <w:r w:rsidRPr="0060421C">
        <w:rPr>
          <w:lang w:eastAsia="en-GB"/>
        </w:rPr>
        <w:t xml:space="preserve"> output derived from mine ventilation measurements have been obtained from mine operators for those mines where data exist. Those mines have now closed and are flooded. Category-specific details are not provided, to </w:t>
      </w:r>
      <w:r w:rsidRPr="0060421C">
        <w:t>maintain</w:t>
      </w:r>
      <w:r w:rsidRPr="0060421C">
        <w:rPr>
          <w:lang w:eastAsia="en-GB"/>
        </w:rPr>
        <w:t xml:space="preserve"> confidentiality. Recovery and/or flaring of CH</w:t>
      </w:r>
      <w:r w:rsidRPr="0060421C">
        <w:rPr>
          <w:rFonts w:cs="Calibri"/>
          <w:vertAlign w:val="subscript"/>
          <w:lang w:eastAsia="en-GB"/>
        </w:rPr>
        <w:t>4</w:t>
      </w:r>
      <w:r w:rsidRPr="0060421C">
        <w:rPr>
          <w:lang w:eastAsia="en-GB"/>
        </w:rPr>
        <w:t xml:space="preserve"> from abandoned mines does not occur.</w:t>
      </w:r>
    </w:p>
    <w:p w14:paraId="54DB25EE" w14:textId="77777777" w:rsidR="0038460F" w:rsidRPr="0060421C" w:rsidRDefault="0038460F" w:rsidP="0038460F">
      <w:pPr>
        <w:pStyle w:val="Table"/>
        <w:rPr>
          <w:lang w:eastAsia="en-GB"/>
        </w:rPr>
      </w:pPr>
      <w:bookmarkStart w:id="420" w:name="_Toc443060848"/>
      <w:bookmarkStart w:id="421" w:name="_Toc451176064"/>
      <w:bookmarkStart w:id="422" w:name="_Toc481751490"/>
      <w:bookmarkStart w:id="423" w:name="_Toc507496593"/>
      <w:bookmarkStart w:id="424" w:name="_Toc36224527"/>
      <w:bookmarkStart w:id="425" w:name="_Toc68786414"/>
      <w:bookmarkStart w:id="426" w:name="_Toc164153813"/>
      <w:bookmarkStart w:id="427" w:name="_Toc194241680"/>
      <w:bookmarkStart w:id="428" w:name="_Toc226668966"/>
      <w:r w:rsidRPr="0060421C">
        <w:rPr>
          <w:rFonts w:cs="Calibri"/>
        </w:rPr>
        <w:t xml:space="preserve">Table 3.3.2 </w:t>
      </w:r>
      <w:r w:rsidRPr="0060421C">
        <w:rPr>
          <w:rFonts w:cs="Calibri"/>
        </w:rPr>
        <w:tab/>
        <w:t>Details of abandoned underground mines in the North Island</w:t>
      </w:r>
      <w:bookmarkEnd w:id="420"/>
      <w:bookmarkEnd w:id="421"/>
      <w:bookmarkEnd w:id="422"/>
      <w:bookmarkEnd w:id="423"/>
      <w:bookmarkEnd w:id="424"/>
      <w:bookmarkEnd w:id="425"/>
      <w:bookmarkEnd w:id="426"/>
      <w:bookmarkEnd w:id="427"/>
      <w:bookmarkEnd w:id="428"/>
      <w:r w:rsidRPr="0060421C">
        <w:rPr>
          <w:lang w:eastAsia="en-GB"/>
        </w:rPr>
        <w:t xml:space="preserve"> </w:t>
      </w:r>
    </w:p>
    <w:tbl>
      <w:tblPr>
        <w:tblW w:w="8505" w:type="dxa"/>
        <w:tblBorders>
          <w:top w:val="single" w:sz="4" w:space="0" w:color="365F91"/>
          <w:bottom w:val="single" w:sz="4" w:space="0" w:color="365F91"/>
          <w:insideH w:val="single" w:sz="4" w:space="0" w:color="365F91"/>
        </w:tblBorders>
        <w:tblLayout w:type="fixed"/>
        <w:tblCellMar>
          <w:right w:w="85" w:type="dxa"/>
        </w:tblCellMar>
        <w:tblLook w:val="04A0" w:firstRow="1" w:lastRow="0" w:firstColumn="1" w:lastColumn="0" w:noHBand="0" w:noVBand="1"/>
      </w:tblPr>
      <w:tblGrid>
        <w:gridCol w:w="1557"/>
        <w:gridCol w:w="1645"/>
        <w:gridCol w:w="5303"/>
      </w:tblGrid>
      <w:tr w:rsidR="0038460F" w:rsidRPr="0060421C" w14:paraId="0B598DC7" w14:textId="77777777" w:rsidTr="00F16E23">
        <w:trPr>
          <w:cantSplit/>
        </w:trPr>
        <w:tc>
          <w:tcPr>
            <w:tcW w:w="1474" w:type="dxa"/>
            <w:tcBorders>
              <w:top w:val="single" w:sz="4" w:space="0" w:color="1B556B" w:themeColor="text2"/>
              <w:bottom w:val="single" w:sz="4" w:space="0" w:color="1B556B" w:themeColor="text2"/>
            </w:tcBorders>
            <w:shd w:val="clear" w:color="auto" w:fill="1B556B" w:themeFill="text2"/>
            <w:vAlign w:val="bottom"/>
          </w:tcPr>
          <w:p w14:paraId="764B0CD3" w14:textId="77777777" w:rsidR="0038460F" w:rsidRPr="0060421C" w:rsidRDefault="0038460F" w:rsidP="00F16E23">
            <w:pPr>
              <w:pStyle w:val="TableTextBold"/>
              <w:keepNext/>
              <w:spacing w:before="40" w:after="40"/>
              <w:rPr>
                <w:rFonts w:cs="Calibri"/>
                <w:noProof w:val="0"/>
                <w:color w:val="FFFFFF"/>
              </w:rPr>
            </w:pPr>
            <w:r w:rsidRPr="0060421C">
              <w:rPr>
                <w:rFonts w:cs="Calibri"/>
                <w:noProof w:val="0"/>
                <w:color w:val="FFFFFF"/>
              </w:rPr>
              <w:t>Region/coalfield</w:t>
            </w:r>
          </w:p>
        </w:tc>
        <w:tc>
          <w:tcPr>
            <w:tcW w:w="1557" w:type="dxa"/>
            <w:tcBorders>
              <w:top w:val="single" w:sz="4" w:space="0" w:color="1B556B" w:themeColor="text2"/>
              <w:bottom w:val="single" w:sz="4" w:space="0" w:color="1B556B" w:themeColor="text2"/>
            </w:tcBorders>
            <w:shd w:val="clear" w:color="auto" w:fill="1B556B" w:themeFill="text2"/>
            <w:vAlign w:val="bottom"/>
          </w:tcPr>
          <w:p w14:paraId="3837F409"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themeColor="background1"/>
              </w:rPr>
              <w:t>Significant mine(s)</w:t>
            </w:r>
          </w:p>
        </w:tc>
        <w:tc>
          <w:tcPr>
            <w:tcW w:w="5019" w:type="dxa"/>
            <w:tcBorders>
              <w:top w:val="single" w:sz="4" w:space="0" w:color="1B556B" w:themeColor="text2"/>
              <w:bottom w:val="single" w:sz="4" w:space="0" w:color="1B556B" w:themeColor="text2"/>
            </w:tcBorders>
            <w:shd w:val="clear" w:color="auto" w:fill="1B556B" w:themeFill="text2"/>
            <w:vAlign w:val="bottom"/>
          </w:tcPr>
          <w:p w14:paraId="5599E100" w14:textId="77777777" w:rsidR="0038460F" w:rsidRPr="0060421C" w:rsidRDefault="0038460F" w:rsidP="00F16E23">
            <w:pPr>
              <w:pStyle w:val="TableTextBold"/>
              <w:spacing w:before="40" w:after="40"/>
              <w:rPr>
                <w:rFonts w:cs="Calibri"/>
                <w:noProof w:val="0"/>
                <w:color w:val="FFFFFF"/>
              </w:rPr>
            </w:pPr>
            <w:r w:rsidRPr="0060421C">
              <w:rPr>
                <w:rFonts w:cs="Calibri"/>
                <w:noProof w:val="0"/>
                <w:color w:val="FFFFFF"/>
              </w:rPr>
              <w:t>Status</w:t>
            </w:r>
          </w:p>
        </w:tc>
      </w:tr>
      <w:tr w:rsidR="0038460F" w:rsidRPr="0060421C" w14:paraId="3C832994" w14:textId="77777777" w:rsidTr="00F16E23">
        <w:trPr>
          <w:cantSplit/>
          <w:trHeight w:val="250"/>
        </w:trPr>
        <w:tc>
          <w:tcPr>
            <w:tcW w:w="1474" w:type="dxa"/>
            <w:tcBorders>
              <w:top w:val="single" w:sz="4" w:space="0" w:color="1B556B" w:themeColor="text2"/>
              <w:bottom w:val="single" w:sz="4" w:space="0" w:color="1B556B" w:themeColor="text2"/>
            </w:tcBorders>
          </w:tcPr>
          <w:p w14:paraId="05A0B76E" w14:textId="77777777" w:rsidR="0038460F" w:rsidRPr="0060421C" w:rsidRDefault="0038460F" w:rsidP="00F16E23">
            <w:pPr>
              <w:pStyle w:val="TableText"/>
              <w:keepNext/>
              <w:spacing w:before="40" w:after="40"/>
              <w:rPr>
                <w:rFonts w:cs="Calibri"/>
              </w:rPr>
            </w:pPr>
            <w:r w:rsidRPr="0060421C">
              <w:rPr>
                <w:rFonts w:cs="Calibri"/>
              </w:rPr>
              <w:t>Northland</w:t>
            </w:r>
          </w:p>
        </w:tc>
        <w:tc>
          <w:tcPr>
            <w:tcW w:w="1557" w:type="dxa"/>
            <w:tcBorders>
              <w:top w:val="single" w:sz="4" w:space="0" w:color="1B556B" w:themeColor="text2"/>
              <w:bottom w:val="single" w:sz="4" w:space="0" w:color="1B556B" w:themeColor="text2"/>
            </w:tcBorders>
          </w:tcPr>
          <w:p w14:paraId="01A9A9EB" w14:textId="77777777" w:rsidR="0038460F" w:rsidRPr="0060421C" w:rsidRDefault="0038460F" w:rsidP="00F16E23">
            <w:pPr>
              <w:pStyle w:val="TableText"/>
              <w:spacing w:before="40" w:after="40"/>
              <w:rPr>
                <w:rFonts w:cs="Calibri"/>
              </w:rPr>
            </w:pPr>
            <w:r w:rsidRPr="0060421C">
              <w:rPr>
                <w:rFonts w:cs="Calibri"/>
              </w:rPr>
              <w:t>Kamo</w:t>
            </w:r>
          </w:p>
        </w:tc>
        <w:tc>
          <w:tcPr>
            <w:tcW w:w="5019" w:type="dxa"/>
            <w:tcBorders>
              <w:top w:val="single" w:sz="4" w:space="0" w:color="1B556B" w:themeColor="text2"/>
              <w:bottom w:val="single" w:sz="4" w:space="0" w:color="1B556B" w:themeColor="text2"/>
            </w:tcBorders>
          </w:tcPr>
          <w:p w14:paraId="64E83D43" w14:textId="77777777" w:rsidR="0038460F" w:rsidRPr="0060421C" w:rsidRDefault="0038460F" w:rsidP="00F16E23">
            <w:pPr>
              <w:pStyle w:val="TableText"/>
              <w:spacing w:before="40" w:after="40"/>
              <w:rPr>
                <w:rFonts w:cs="Calibri"/>
              </w:rPr>
            </w:pPr>
            <w:r w:rsidRPr="0060421C">
              <w:rPr>
                <w:rFonts w:cs="Calibri"/>
              </w:rPr>
              <w:t>Only one significant mine; flooded</w:t>
            </w:r>
          </w:p>
        </w:tc>
      </w:tr>
      <w:tr w:rsidR="0038460F" w:rsidRPr="0060421C" w14:paraId="171A5B21" w14:textId="77777777" w:rsidTr="00F16E23">
        <w:trPr>
          <w:cantSplit/>
        </w:trPr>
        <w:tc>
          <w:tcPr>
            <w:tcW w:w="1474" w:type="dxa"/>
            <w:tcBorders>
              <w:top w:val="single" w:sz="4" w:space="0" w:color="1B556B" w:themeColor="text2"/>
              <w:bottom w:val="nil"/>
            </w:tcBorders>
          </w:tcPr>
          <w:p w14:paraId="0EDEE9D6" w14:textId="77777777" w:rsidR="0038460F" w:rsidRPr="0060421C" w:rsidRDefault="0038460F" w:rsidP="00F16E23">
            <w:pPr>
              <w:pStyle w:val="TableText"/>
              <w:spacing w:before="40" w:after="40"/>
              <w:rPr>
                <w:rFonts w:cs="Calibri"/>
              </w:rPr>
            </w:pPr>
            <w:r w:rsidRPr="0060421C">
              <w:rPr>
                <w:rFonts w:cs="Calibri"/>
              </w:rPr>
              <w:t>Waikato</w:t>
            </w:r>
          </w:p>
        </w:tc>
        <w:tc>
          <w:tcPr>
            <w:tcW w:w="1557" w:type="dxa"/>
            <w:tcBorders>
              <w:top w:val="single" w:sz="4" w:space="0" w:color="1B556B" w:themeColor="text2"/>
              <w:bottom w:val="single" w:sz="4" w:space="0" w:color="1B556B" w:themeColor="text2"/>
            </w:tcBorders>
          </w:tcPr>
          <w:p w14:paraId="18BD6CC5" w14:textId="77777777" w:rsidR="0038460F" w:rsidRPr="0060421C" w:rsidRDefault="0038460F" w:rsidP="00F16E23">
            <w:pPr>
              <w:pStyle w:val="TableText"/>
              <w:spacing w:before="40" w:after="40"/>
              <w:rPr>
                <w:rFonts w:cs="Calibri"/>
              </w:rPr>
            </w:pPr>
            <w:r w:rsidRPr="0060421C">
              <w:rPr>
                <w:rFonts w:cs="Calibri"/>
              </w:rPr>
              <w:t>Rotowaro mines</w:t>
            </w:r>
          </w:p>
        </w:tc>
        <w:tc>
          <w:tcPr>
            <w:tcW w:w="5019" w:type="dxa"/>
            <w:tcBorders>
              <w:top w:val="single" w:sz="4" w:space="0" w:color="1B556B" w:themeColor="text2"/>
              <w:bottom w:val="single" w:sz="4" w:space="0" w:color="1B556B" w:themeColor="text2"/>
            </w:tcBorders>
          </w:tcPr>
          <w:p w14:paraId="3602739F" w14:textId="77777777" w:rsidR="0038460F" w:rsidRPr="0060421C" w:rsidRDefault="0038460F" w:rsidP="00F16E23">
            <w:pPr>
              <w:pStyle w:val="TableText"/>
              <w:spacing w:before="40" w:after="40"/>
              <w:rPr>
                <w:rFonts w:cs="Calibri"/>
              </w:rPr>
            </w:pPr>
            <w:r w:rsidRPr="0060421C">
              <w:rPr>
                <w:rFonts w:cs="Calibri"/>
              </w:rPr>
              <w:t>Underground mines either flooded or subsequently open-cast mined</w:t>
            </w:r>
          </w:p>
        </w:tc>
      </w:tr>
      <w:tr w:rsidR="0038460F" w:rsidRPr="0060421C" w14:paraId="24796CF8" w14:textId="77777777" w:rsidTr="00F16E23">
        <w:trPr>
          <w:cantSplit/>
        </w:trPr>
        <w:tc>
          <w:tcPr>
            <w:tcW w:w="1474" w:type="dxa"/>
            <w:tcBorders>
              <w:top w:val="nil"/>
              <w:bottom w:val="nil"/>
            </w:tcBorders>
          </w:tcPr>
          <w:p w14:paraId="6926B596" w14:textId="77777777" w:rsidR="0038460F" w:rsidRPr="0060421C" w:rsidRDefault="0038460F" w:rsidP="00F16E23">
            <w:pPr>
              <w:pStyle w:val="TableText"/>
              <w:spacing w:before="40" w:after="40"/>
              <w:rPr>
                <w:rFonts w:cs="Calibri"/>
              </w:rPr>
            </w:pPr>
          </w:p>
        </w:tc>
        <w:tc>
          <w:tcPr>
            <w:tcW w:w="1557" w:type="dxa"/>
            <w:tcBorders>
              <w:top w:val="single" w:sz="4" w:space="0" w:color="1B556B" w:themeColor="text2"/>
              <w:bottom w:val="single" w:sz="4" w:space="0" w:color="1B556B" w:themeColor="text2"/>
            </w:tcBorders>
          </w:tcPr>
          <w:p w14:paraId="0D1128F7" w14:textId="77777777" w:rsidR="0038460F" w:rsidRPr="0060421C" w:rsidRDefault="0038460F" w:rsidP="00F16E23">
            <w:pPr>
              <w:pStyle w:val="TableText"/>
              <w:spacing w:before="40" w:after="40"/>
              <w:rPr>
                <w:rFonts w:cs="Calibri"/>
              </w:rPr>
            </w:pPr>
            <w:r w:rsidRPr="0060421C">
              <w:rPr>
                <w:rFonts w:cs="Calibri"/>
              </w:rPr>
              <w:t>Huntly West</w:t>
            </w:r>
          </w:p>
        </w:tc>
        <w:tc>
          <w:tcPr>
            <w:tcW w:w="5019" w:type="dxa"/>
            <w:tcBorders>
              <w:top w:val="single" w:sz="4" w:space="0" w:color="1B556B" w:themeColor="text2"/>
              <w:bottom w:val="single" w:sz="4" w:space="0" w:color="1B556B" w:themeColor="text2"/>
            </w:tcBorders>
          </w:tcPr>
          <w:p w14:paraId="665D4DAA" w14:textId="77777777" w:rsidR="0038460F" w:rsidRPr="0060421C" w:rsidRDefault="0038460F" w:rsidP="00F16E23">
            <w:pPr>
              <w:pStyle w:val="TableText"/>
              <w:spacing w:before="40" w:after="40"/>
              <w:rPr>
                <w:rFonts w:cs="Calibri"/>
              </w:rPr>
            </w:pPr>
            <w:r w:rsidRPr="0060421C">
              <w:rPr>
                <w:rFonts w:cs="Calibri"/>
              </w:rPr>
              <w:t>Flooded</w:t>
            </w:r>
          </w:p>
        </w:tc>
      </w:tr>
      <w:tr w:rsidR="0038460F" w:rsidRPr="0060421C" w14:paraId="1C38D604" w14:textId="77777777" w:rsidTr="00F16E23">
        <w:trPr>
          <w:cantSplit/>
        </w:trPr>
        <w:tc>
          <w:tcPr>
            <w:tcW w:w="1474" w:type="dxa"/>
            <w:tcBorders>
              <w:top w:val="nil"/>
              <w:bottom w:val="single" w:sz="4" w:space="0" w:color="1B556B" w:themeColor="text2"/>
            </w:tcBorders>
          </w:tcPr>
          <w:p w14:paraId="61562362" w14:textId="77777777" w:rsidR="0038460F" w:rsidRPr="0060421C" w:rsidRDefault="0038460F" w:rsidP="00F16E23">
            <w:pPr>
              <w:pStyle w:val="TableText"/>
              <w:spacing w:before="40" w:after="40"/>
              <w:rPr>
                <w:rFonts w:cs="Calibri"/>
              </w:rPr>
            </w:pPr>
          </w:p>
        </w:tc>
        <w:tc>
          <w:tcPr>
            <w:tcW w:w="1557" w:type="dxa"/>
            <w:tcBorders>
              <w:top w:val="single" w:sz="4" w:space="0" w:color="1B556B" w:themeColor="text2"/>
              <w:bottom w:val="single" w:sz="4" w:space="0" w:color="1B556B" w:themeColor="text2"/>
            </w:tcBorders>
          </w:tcPr>
          <w:p w14:paraId="409856C5" w14:textId="77777777" w:rsidR="0038460F" w:rsidRPr="0060421C" w:rsidRDefault="0038460F" w:rsidP="00F16E23">
            <w:pPr>
              <w:pStyle w:val="TableText"/>
              <w:spacing w:before="40" w:after="40"/>
              <w:rPr>
                <w:rFonts w:cs="Calibri"/>
              </w:rPr>
            </w:pPr>
            <w:r w:rsidRPr="0060421C">
              <w:rPr>
                <w:rFonts w:cs="Calibri"/>
              </w:rPr>
              <w:t>Taupiri/Ralphs</w:t>
            </w:r>
          </w:p>
        </w:tc>
        <w:tc>
          <w:tcPr>
            <w:tcW w:w="5019" w:type="dxa"/>
            <w:tcBorders>
              <w:top w:val="single" w:sz="4" w:space="0" w:color="1B556B" w:themeColor="text2"/>
              <w:bottom w:val="single" w:sz="4" w:space="0" w:color="1B556B" w:themeColor="text2"/>
            </w:tcBorders>
          </w:tcPr>
          <w:p w14:paraId="2F459A2F" w14:textId="77777777" w:rsidR="0038460F" w:rsidRPr="0060421C" w:rsidRDefault="0038460F" w:rsidP="00F16E23">
            <w:pPr>
              <w:pStyle w:val="TableText"/>
              <w:spacing w:before="40" w:after="40"/>
              <w:rPr>
                <w:rFonts w:cs="Calibri"/>
              </w:rPr>
            </w:pPr>
            <w:r w:rsidRPr="0060421C">
              <w:rPr>
                <w:rFonts w:cs="Calibri"/>
              </w:rPr>
              <w:t>Mines under Huntly township; flooded</w:t>
            </w:r>
          </w:p>
        </w:tc>
      </w:tr>
      <w:tr w:rsidR="0038460F" w:rsidRPr="0060421C" w14:paraId="7BE9D14E" w14:textId="77777777" w:rsidTr="00F16E23">
        <w:trPr>
          <w:cantSplit/>
        </w:trPr>
        <w:tc>
          <w:tcPr>
            <w:tcW w:w="1474" w:type="dxa"/>
            <w:tcBorders>
              <w:top w:val="single" w:sz="4" w:space="0" w:color="1B556B" w:themeColor="text2"/>
              <w:bottom w:val="single" w:sz="4" w:space="0" w:color="1B556B" w:themeColor="text2"/>
            </w:tcBorders>
          </w:tcPr>
          <w:p w14:paraId="4B77223B" w14:textId="77777777" w:rsidR="0038460F" w:rsidRPr="0060421C" w:rsidRDefault="0038460F" w:rsidP="00F16E23">
            <w:pPr>
              <w:pStyle w:val="TableText"/>
              <w:spacing w:before="40" w:after="40"/>
              <w:rPr>
                <w:rFonts w:cs="Calibri"/>
              </w:rPr>
            </w:pPr>
            <w:r w:rsidRPr="0060421C">
              <w:rPr>
                <w:rFonts w:cs="Calibri"/>
              </w:rPr>
              <w:t>Taranaki</w:t>
            </w:r>
          </w:p>
        </w:tc>
        <w:tc>
          <w:tcPr>
            <w:tcW w:w="1557" w:type="dxa"/>
            <w:tcBorders>
              <w:top w:val="single" w:sz="4" w:space="0" w:color="1B556B" w:themeColor="text2"/>
              <w:bottom w:val="single" w:sz="4" w:space="0" w:color="1B556B" w:themeColor="text2"/>
            </w:tcBorders>
          </w:tcPr>
          <w:p w14:paraId="346915EA" w14:textId="77777777" w:rsidR="0038460F" w:rsidRPr="0060421C" w:rsidRDefault="0038460F" w:rsidP="00F16E23">
            <w:pPr>
              <w:pStyle w:val="TableText"/>
              <w:spacing w:before="40" w:after="40"/>
              <w:rPr>
                <w:rFonts w:cs="Calibri"/>
              </w:rPr>
            </w:pPr>
            <w:r w:rsidRPr="0060421C">
              <w:rPr>
                <w:rFonts w:cs="Calibri"/>
              </w:rPr>
              <w:t>Tatu</w:t>
            </w:r>
          </w:p>
        </w:tc>
        <w:tc>
          <w:tcPr>
            <w:tcW w:w="5019" w:type="dxa"/>
            <w:tcBorders>
              <w:top w:val="single" w:sz="4" w:space="0" w:color="1B556B" w:themeColor="text2"/>
              <w:bottom w:val="single" w:sz="4" w:space="0" w:color="1B556B" w:themeColor="text2"/>
            </w:tcBorders>
          </w:tcPr>
          <w:p w14:paraId="3E7A7BBD" w14:textId="77777777" w:rsidR="0038460F" w:rsidRPr="0060421C" w:rsidRDefault="0038460F" w:rsidP="00F16E23">
            <w:pPr>
              <w:pStyle w:val="TableText"/>
              <w:spacing w:before="40" w:after="40"/>
              <w:rPr>
                <w:rFonts w:cs="Calibri"/>
              </w:rPr>
            </w:pPr>
            <w:r w:rsidRPr="0060421C">
              <w:rPr>
                <w:rFonts w:cs="Calibri"/>
              </w:rPr>
              <w:t>Only one significant mine; flooded</w:t>
            </w:r>
          </w:p>
        </w:tc>
      </w:tr>
    </w:tbl>
    <w:p w14:paraId="540FA0C2" w14:textId="77777777" w:rsidR="0038460F" w:rsidRPr="0060421C" w:rsidRDefault="0038460F" w:rsidP="0038460F">
      <w:pPr>
        <w:pStyle w:val="Heading4"/>
        <w:spacing w:before="360"/>
        <w:rPr>
          <w:lang w:eastAsia="en-GB"/>
        </w:rPr>
      </w:pPr>
      <w:r w:rsidRPr="0060421C">
        <w:rPr>
          <w:lang w:eastAsia="en-GB"/>
        </w:rPr>
        <w:t>Uncertainty assessment and time-series consistency</w:t>
      </w:r>
    </w:p>
    <w:p w14:paraId="76972364" w14:textId="77777777" w:rsidR="0038460F" w:rsidRPr="0060421C" w:rsidRDefault="0038460F" w:rsidP="0038460F">
      <w:pPr>
        <w:pStyle w:val="BodyText"/>
        <w:rPr>
          <w:rFonts w:cs="Calibri"/>
          <w:spacing w:val="-2"/>
          <w:lang w:eastAsia="en-GB"/>
        </w:rPr>
      </w:pPr>
      <w:r w:rsidRPr="0060421C">
        <w:rPr>
          <w:rFonts w:cs="Calibri"/>
          <w:spacing w:val="-2"/>
          <w:lang w:eastAsia="en-GB"/>
        </w:rPr>
        <w:t>Uncertainties in fugitive emissions are relevant to the entire Energy sector (see table 3.2.1).</w:t>
      </w:r>
    </w:p>
    <w:p w14:paraId="1F35A945" w14:textId="77777777" w:rsidR="0038460F" w:rsidRPr="0060421C" w:rsidRDefault="0038460F" w:rsidP="0038460F">
      <w:pPr>
        <w:pStyle w:val="Heading4"/>
        <w:spacing w:before="200"/>
        <w:rPr>
          <w:lang w:eastAsia="en-GB"/>
        </w:rPr>
      </w:pPr>
      <w:r w:rsidRPr="0060421C">
        <w:rPr>
          <w:lang w:eastAsia="en-GB"/>
        </w:rPr>
        <w:t>Category-specific QA/QC and verification</w:t>
      </w:r>
    </w:p>
    <w:p w14:paraId="68AB6BF2" w14:textId="77777777" w:rsidR="0038460F" w:rsidRPr="0060421C" w:rsidRDefault="0038460F" w:rsidP="0038460F">
      <w:pPr>
        <w:pStyle w:val="BodyText"/>
        <w:spacing w:before="100" w:after="100"/>
        <w:rPr>
          <w:lang w:eastAsia="en-GB"/>
        </w:rPr>
      </w:pPr>
      <w:r w:rsidRPr="0060421C">
        <w:rPr>
          <w:lang w:eastAsia="en-GB"/>
        </w:rPr>
        <w:t xml:space="preserve">In the preparation of this inventory, the </w:t>
      </w:r>
      <w:r w:rsidRPr="0060421C">
        <w:rPr>
          <w:rFonts w:cs="Calibri"/>
          <w:i/>
          <w:iCs/>
          <w:lang w:eastAsia="en-GB"/>
        </w:rPr>
        <w:t>Fugitive emissions</w:t>
      </w:r>
      <w:r w:rsidRPr="0060421C">
        <w:rPr>
          <w:lang w:eastAsia="en-GB"/>
        </w:rPr>
        <w:t xml:space="preserve"> category underwent Tier 1 quality-assurance and quality-control checks, as recommended in the 2006 IPCC Guidelines (IPCC, 2006). These include regular control sums throughout systems, to verify system integrity, and consistency checks of implied emission factors.</w:t>
      </w:r>
    </w:p>
    <w:p w14:paraId="1358FF61" w14:textId="77777777" w:rsidR="0038460F" w:rsidRPr="0060421C" w:rsidRDefault="0038460F" w:rsidP="0038460F">
      <w:pPr>
        <w:pStyle w:val="Heading4"/>
        <w:rPr>
          <w:lang w:eastAsia="en-GB"/>
        </w:rPr>
      </w:pPr>
      <w:r w:rsidRPr="0060421C">
        <w:rPr>
          <w:lang w:eastAsia="en-GB"/>
        </w:rPr>
        <w:t>Category-specific recalculations</w:t>
      </w:r>
    </w:p>
    <w:p w14:paraId="5849E542" w14:textId="77777777" w:rsidR="0038460F" w:rsidRPr="0060421C" w:rsidRDefault="0038460F" w:rsidP="0038460F">
      <w:pPr>
        <w:pStyle w:val="BodyText"/>
        <w:spacing w:before="100" w:after="100"/>
        <w:rPr>
          <w:lang w:eastAsia="en-GB"/>
        </w:rPr>
      </w:pPr>
      <w:r w:rsidRPr="0060421C">
        <w:rPr>
          <w:lang w:eastAsia="en-GB"/>
        </w:rPr>
        <w:t xml:space="preserve">Some historical geothermal emissions data have been revised due to updated data provided by plant operators. This has resulted in minor recalculations to emissions for some years. </w:t>
      </w:r>
    </w:p>
    <w:p w14:paraId="25ECF796" w14:textId="77777777" w:rsidR="0038460F" w:rsidRPr="0060421C" w:rsidRDefault="0038460F" w:rsidP="0038460F">
      <w:pPr>
        <w:pStyle w:val="Heading4"/>
        <w:rPr>
          <w:lang w:eastAsia="en-GB"/>
        </w:rPr>
      </w:pPr>
      <w:r w:rsidRPr="0060421C">
        <w:t>Category</w:t>
      </w:r>
      <w:r w:rsidRPr="0060421C">
        <w:rPr>
          <w:lang w:eastAsia="en-GB"/>
        </w:rPr>
        <w:t>-specific planned improvements</w:t>
      </w:r>
    </w:p>
    <w:p w14:paraId="0EE2EA78" w14:textId="77777777" w:rsidR="0038460F" w:rsidRPr="0060421C" w:rsidRDefault="0038460F" w:rsidP="0038460F">
      <w:pPr>
        <w:pStyle w:val="BodyText"/>
        <w:spacing w:before="100" w:after="100"/>
        <w:rPr>
          <w:rFonts w:cs="Calibri"/>
          <w:b/>
          <w:bCs/>
          <w:szCs w:val="24"/>
          <w:lang w:eastAsia="en-GB"/>
        </w:rPr>
      </w:pPr>
      <w:r w:rsidRPr="0060421C">
        <w:rPr>
          <w:rFonts w:cs="Calibri"/>
          <w:lang w:eastAsia="en-GB"/>
        </w:rPr>
        <w:t xml:space="preserve">There are no planned improvements for this category. </w:t>
      </w:r>
    </w:p>
    <w:p w14:paraId="3249C12E" w14:textId="77777777" w:rsidR="0038460F" w:rsidRPr="0060421C" w:rsidRDefault="0038460F" w:rsidP="0038460F">
      <w:pPr>
        <w:pStyle w:val="Heading3"/>
      </w:pPr>
      <w:r w:rsidRPr="0060421C">
        <w:t>3.3.2</w:t>
      </w:r>
      <w:r w:rsidRPr="0060421C">
        <w:tab/>
        <w:t>Fugitive emissions from fuels: Oil and natural gas and other emissions from energy production (CRT 1.B.2)</w:t>
      </w:r>
    </w:p>
    <w:p w14:paraId="5284D568" w14:textId="77777777" w:rsidR="0038460F" w:rsidRPr="0060421C" w:rsidRDefault="0038460F" w:rsidP="0038460F">
      <w:pPr>
        <w:pStyle w:val="Heading4"/>
        <w:rPr>
          <w:lang w:eastAsia="en-GB"/>
        </w:rPr>
      </w:pPr>
      <w:r w:rsidRPr="0060421C">
        <w:t>Category</w:t>
      </w:r>
      <w:r w:rsidRPr="0060421C">
        <w:rPr>
          <w:lang w:eastAsia="en-GB"/>
        </w:rPr>
        <w:t xml:space="preserve"> description</w:t>
      </w:r>
    </w:p>
    <w:p w14:paraId="4CFBCC80" w14:textId="77777777" w:rsidR="0038460F" w:rsidRPr="0060421C" w:rsidRDefault="0038460F" w:rsidP="0038460F">
      <w:pPr>
        <w:pStyle w:val="BodyText"/>
        <w:spacing w:before="100" w:after="100"/>
        <w:rPr>
          <w:rFonts w:cs="Calibri"/>
          <w:spacing w:val="-2"/>
        </w:rPr>
      </w:pPr>
      <w:r w:rsidRPr="00FA78D6">
        <w:rPr>
          <w:lang w:eastAsia="en-GB"/>
        </w:rPr>
        <w:t xml:space="preserve">In </w:t>
      </w:r>
      <w:r w:rsidRPr="00FA78D6">
        <w:rPr>
          <w:rFonts w:cs="Calibri"/>
        </w:rPr>
        <w:t>2024</w:t>
      </w:r>
      <w:r w:rsidRPr="00FA78D6">
        <w:rPr>
          <w:lang w:eastAsia="en-GB"/>
        </w:rPr>
        <w:t xml:space="preserve">, fugitive emissions from the </w:t>
      </w:r>
      <w:r w:rsidRPr="00FA78D6">
        <w:rPr>
          <w:rFonts w:cs="Calibri"/>
          <w:i/>
          <w:lang w:eastAsia="en-GB"/>
        </w:rPr>
        <w:t>Oil and natural gas</w:t>
      </w:r>
      <w:r w:rsidRPr="00FA78D6">
        <w:rPr>
          <w:lang w:eastAsia="en-GB"/>
        </w:rPr>
        <w:t xml:space="preserve"> category were 1,149.3</w:t>
      </w:r>
      <w:r w:rsidRPr="00FA78D6">
        <w:rPr>
          <w:rFonts w:cs="Calibri"/>
        </w:rPr>
        <w:t> </w:t>
      </w:r>
      <w:r w:rsidRPr="00FA78D6">
        <w:rPr>
          <w:lang w:eastAsia="en-GB"/>
        </w:rPr>
        <w:t>kt CO</w:t>
      </w:r>
      <w:r w:rsidRPr="00FA78D6">
        <w:rPr>
          <w:rFonts w:cs="Calibri"/>
          <w:vertAlign w:val="subscript"/>
          <w:lang w:eastAsia="en-GB"/>
        </w:rPr>
        <w:t>2</w:t>
      </w:r>
      <w:r w:rsidRPr="00FA78D6">
        <w:rPr>
          <w:lang w:eastAsia="en-GB"/>
        </w:rPr>
        <w:t>e (94.9 </w:t>
      </w:r>
      <w:r w:rsidRPr="00FA78D6">
        <w:rPr>
          <w:rFonts w:cs="Calibri"/>
        </w:rPr>
        <w:t>percent</w:t>
      </w:r>
      <w:r w:rsidRPr="00FA78D6">
        <w:rPr>
          <w:lang w:eastAsia="en-GB"/>
        </w:rPr>
        <w:t>).</w:t>
      </w:r>
      <w:r w:rsidRPr="0060421C">
        <w:rPr>
          <w:spacing w:val="-2"/>
          <w:lang w:eastAsia="en-GB"/>
        </w:rPr>
        <w:t xml:space="preserve"> This was 45.7</w:t>
      </w:r>
      <w:r w:rsidRPr="0060421C">
        <w:rPr>
          <w:rFonts w:cs="Calibri"/>
          <w:spacing w:val="-2"/>
        </w:rPr>
        <w:t xml:space="preserve"> </w:t>
      </w:r>
      <w:r w:rsidRPr="0060421C">
        <w:rPr>
          <w:spacing w:val="-2"/>
          <w:lang w:eastAsia="en-GB"/>
        </w:rPr>
        <w:t>kt CO</w:t>
      </w:r>
      <w:r w:rsidRPr="0060421C">
        <w:rPr>
          <w:rFonts w:cs="Calibri"/>
          <w:spacing w:val="-2"/>
          <w:vertAlign w:val="subscript"/>
          <w:lang w:eastAsia="en-GB"/>
        </w:rPr>
        <w:t>2</w:t>
      </w:r>
      <w:r w:rsidRPr="0060421C">
        <w:rPr>
          <w:spacing w:val="-2"/>
          <w:lang w:eastAsia="en-GB"/>
        </w:rPr>
        <w:t>e (3.8</w:t>
      </w:r>
      <w:r w:rsidRPr="0060421C">
        <w:rPr>
          <w:rFonts w:cs="Calibri"/>
          <w:spacing w:val="-2"/>
        </w:rPr>
        <w:t> percent</w:t>
      </w:r>
      <w:r w:rsidRPr="0060421C">
        <w:rPr>
          <w:spacing w:val="-2"/>
          <w:lang w:eastAsia="en-GB"/>
        </w:rPr>
        <w:t xml:space="preserve">) lower than the 1990 level of </w:t>
      </w:r>
      <w:r w:rsidRPr="0060421C">
        <w:rPr>
          <w:rFonts w:cs="Calibri"/>
          <w:spacing w:val="-2"/>
        </w:rPr>
        <w:t>1,195.0 </w:t>
      </w:r>
      <w:r w:rsidRPr="0060421C">
        <w:rPr>
          <w:spacing w:val="-2"/>
          <w:lang w:eastAsia="en-GB"/>
        </w:rPr>
        <w:t>kt CO</w:t>
      </w:r>
      <w:r w:rsidRPr="0060421C">
        <w:rPr>
          <w:rFonts w:cs="Calibri"/>
          <w:spacing w:val="-2"/>
          <w:vertAlign w:val="subscript"/>
          <w:lang w:eastAsia="en-GB"/>
        </w:rPr>
        <w:t>2</w:t>
      </w:r>
      <w:r w:rsidRPr="0060421C">
        <w:rPr>
          <w:spacing w:val="-2"/>
          <w:lang w:eastAsia="en-GB"/>
        </w:rPr>
        <w:t xml:space="preserve">e. </w:t>
      </w:r>
    </w:p>
    <w:p w14:paraId="72E11C8B" w14:textId="77777777" w:rsidR="0038460F" w:rsidRPr="0060421C" w:rsidRDefault="0038460F" w:rsidP="0038460F">
      <w:pPr>
        <w:pStyle w:val="BodyText"/>
        <w:spacing w:before="100" w:after="100"/>
        <w:rPr>
          <w:lang w:eastAsia="en-GB"/>
        </w:rPr>
      </w:pPr>
      <w:r w:rsidRPr="0060421C">
        <w:rPr>
          <w:lang w:eastAsia="en-GB"/>
        </w:rPr>
        <w:t xml:space="preserve">A source of emissions from the production and processing of natural gas is the Kapuni Gas Treatment Plant. The plant removes </w:t>
      </w:r>
      <w:r w:rsidRPr="0060421C">
        <w:rPr>
          <w:rFonts w:cs="Calibri"/>
        </w:rPr>
        <w:t>CO</w:t>
      </w:r>
      <w:r w:rsidRPr="0060421C">
        <w:rPr>
          <w:rFonts w:cs="Calibri"/>
          <w:vertAlign w:val="subscript"/>
        </w:rPr>
        <w:t>2</w:t>
      </w:r>
      <w:r w:rsidRPr="0060421C">
        <w:rPr>
          <w:rFonts w:cs="Calibri"/>
          <w:sz w:val="14"/>
          <w:szCs w:val="14"/>
          <w:lang w:eastAsia="en-GB"/>
        </w:rPr>
        <w:t xml:space="preserve"> </w:t>
      </w:r>
      <w:r w:rsidRPr="0060421C">
        <w:rPr>
          <w:lang w:eastAsia="en-GB"/>
        </w:rPr>
        <w:t>from a portion of the Kapuni gas (a natural gas high in </w:t>
      </w:r>
      <w:r w:rsidRPr="0060421C">
        <w:rPr>
          <w:rFonts w:cs="Calibri"/>
        </w:rPr>
        <w:t>CO</w:t>
      </w:r>
      <w:r w:rsidRPr="0060421C">
        <w:rPr>
          <w:rFonts w:cs="Calibri"/>
          <w:vertAlign w:val="subscript"/>
        </w:rPr>
        <w:t>2</w:t>
      </w:r>
      <w:r w:rsidRPr="0060421C">
        <w:rPr>
          <w:lang w:eastAsia="en-GB"/>
        </w:rPr>
        <w:t xml:space="preserve"> when untreated) before it enters the national transmission network. This activity is reported in CRT 1.B.2.c.2.</w:t>
      </w:r>
    </w:p>
    <w:p w14:paraId="4110FCBA" w14:textId="77777777" w:rsidR="0038460F" w:rsidRPr="0060421C" w:rsidRDefault="0038460F" w:rsidP="0038460F">
      <w:pPr>
        <w:pStyle w:val="BodyText"/>
        <w:spacing w:before="100" w:after="100"/>
        <w:rPr>
          <w:lang w:eastAsia="en-GB"/>
        </w:rPr>
      </w:pPr>
      <w:r w:rsidRPr="0060421C">
        <w:rPr>
          <w:lang w:eastAsia="en-GB"/>
        </w:rPr>
        <w:t xml:space="preserve">The large increase in </w:t>
      </w:r>
      <w:r w:rsidRPr="0060421C">
        <w:rPr>
          <w:rFonts w:cs="Calibri"/>
        </w:rPr>
        <w:t>CO</w:t>
      </w:r>
      <w:r w:rsidRPr="0060421C">
        <w:rPr>
          <w:rFonts w:cs="Calibri"/>
          <w:vertAlign w:val="subscript"/>
        </w:rPr>
        <w:t>2</w:t>
      </w:r>
      <w:r w:rsidRPr="0060421C">
        <w:rPr>
          <w:rFonts w:cs="Calibri"/>
          <w:sz w:val="14"/>
          <w:szCs w:val="14"/>
          <w:lang w:eastAsia="en-GB"/>
        </w:rPr>
        <w:t xml:space="preserve"> </w:t>
      </w:r>
      <w:r w:rsidRPr="0060421C">
        <w:rPr>
          <w:lang w:eastAsia="en-GB"/>
        </w:rPr>
        <w:t>emissions from the Kapuni plant between 2003 and 2005 is related to the drop in methanol production. Carbon dioxide previously sequestered during this separation process was instead released as fugitive emissions from venting at the plant.</w:t>
      </w:r>
    </w:p>
    <w:p w14:paraId="43BC4BB4" w14:textId="77777777" w:rsidR="0038460F" w:rsidRPr="0060421C" w:rsidRDefault="0038460F" w:rsidP="0038460F">
      <w:pPr>
        <w:pStyle w:val="BodyText"/>
        <w:spacing w:before="100" w:after="100"/>
        <w:rPr>
          <w:lang w:eastAsia="en-GB"/>
        </w:rPr>
      </w:pPr>
      <w:r w:rsidRPr="0060421C">
        <w:rPr>
          <w:lang w:eastAsia="en-GB"/>
        </w:rPr>
        <w:t>While emissions from the Kapuni plant may include traces of CH</w:t>
      </w:r>
      <w:r w:rsidRPr="0060421C">
        <w:rPr>
          <w:rFonts w:cs="Calibri"/>
          <w:vertAlign w:val="subscript"/>
          <w:lang w:eastAsia="en-GB"/>
        </w:rPr>
        <w:t>4</w:t>
      </w:r>
      <w:r w:rsidRPr="0060421C">
        <w:rPr>
          <w:lang w:eastAsia="en-GB"/>
        </w:rPr>
        <w:t>, the level of these emissions has been determined to be insignificant in comparison with national emissions: a conservative estimate (using default emission factors from the 2006 IPCC Guidelines (IPCC,2006)) gives nearly 1.5 kt CO</w:t>
      </w:r>
      <w:r w:rsidRPr="0060421C">
        <w:rPr>
          <w:rFonts w:cs="Calibri"/>
          <w:vertAlign w:val="subscript"/>
          <w:lang w:eastAsia="en-GB"/>
        </w:rPr>
        <w:t>2</w:t>
      </w:r>
      <w:r w:rsidRPr="0060421C">
        <w:rPr>
          <w:lang w:eastAsia="en-GB"/>
        </w:rPr>
        <w:t>e per year.</w:t>
      </w:r>
    </w:p>
    <w:p w14:paraId="29B113F4" w14:textId="77777777" w:rsidR="0038460F" w:rsidRPr="0060421C" w:rsidRDefault="0038460F" w:rsidP="0038460F">
      <w:pPr>
        <w:pStyle w:val="BodyText"/>
        <w:spacing w:before="100" w:after="100"/>
        <w:rPr>
          <w:lang w:eastAsia="en-GB"/>
        </w:rPr>
      </w:pPr>
      <w:r w:rsidRPr="0060421C">
        <w:rPr>
          <w:lang w:eastAsia="en-GB"/>
        </w:rPr>
        <w:t xml:space="preserve">Carbon dioxide is also produced when natural gas is flared at the wellheads of other fields. The combustion efficiency of flaring is 95 percent to 99 percent, leaving some fugitive </w:t>
      </w:r>
      <w:r w:rsidRPr="0060421C">
        <w:rPr>
          <w:rFonts w:cs="Calibri"/>
        </w:rPr>
        <w:t>CH</w:t>
      </w:r>
      <w:r w:rsidRPr="0060421C">
        <w:rPr>
          <w:rFonts w:cs="Calibri"/>
          <w:vertAlign w:val="subscript"/>
        </w:rPr>
        <w:t>4</w:t>
      </w:r>
      <w:r w:rsidRPr="0060421C">
        <w:rPr>
          <w:lang w:eastAsia="en-GB"/>
        </w:rPr>
        <w:t xml:space="preserve"> emissions due to incomplete combustion. </w:t>
      </w:r>
    </w:p>
    <w:p w14:paraId="09575022" w14:textId="77777777" w:rsidR="0038460F" w:rsidRPr="0060421C" w:rsidRDefault="0038460F" w:rsidP="0038460F">
      <w:pPr>
        <w:pStyle w:val="BodyText"/>
        <w:spacing w:before="100" w:after="100"/>
        <w:rPr>
          <w:lang w:eastAsia="en-GB"/>
        </w:rPr>
      </w:pPr>
      <w:r w:rsidRPr="0060421C">
        <w:rPr>
          <w:lang w:eastAsia="en-GB"/>
        </w:rPr>
        <w:t xml:space="preserve">Fugitive emissions also occur in transmission and distribution within the </w:t>
      </w:r>
      <w:r w:rsidRPr="0060421C">
        <w:rPr>
          <w:rFonts w:cs="Calibri"/>
        </w:rPr>
        <w:t xml:space="preserve">natural </w:t>
      </w:r>
      <w:r w:rsidRPr="0060421C">
        <w:rPr>
          <w:lang w:eastAsia="en-GB"/>
        </w:rPr>
        <w:t>gas transmission pipeline system. However, these emissions are relatively minor compared with those from venting and flaring.</w:t>
      </w:r>
    </w:p>
    <w:p w14:paraId="75A9EFAE" w14:textId="77777777" w:rsidR="0038460F" w:rsidRPr="0060421C" w:rsidRDefault="0038460F" w:rsidP="0038460F">
      <w:pPr>
        <w:pStyle w:val="BodyText"/>
        <w:spacing w:before="100" w:after="100"/>
        <w:rPr>
          <w:lang w:eastAsia="en-GB"/>
        </w:rPr>
      </w:pPr>
      <w:r w:rsidRPr="0060421C">
        <w:rPr>
          <w:lang w:eastAsia="en-GB"/>
        </w:rPr>
        <w:t xml:space="preserve">The </w:t>
      </w:r>
      <w:r w:rsidRPr="0060421C">
        <w:rPr>
          <w:rFonts w:cs="Calibri"/>
          <w:i/>
          <w:iCs/>
          <w:lang w:eastAsia="en-GB"/>
        </w:rPr>
        <w:t>Oil and natural gas</w:t>
      </w:r>
      <w:r w:rsidRPr="0060421C">
        <w:rPr>
          <w:lang w:eastAsia="en-GB"/>
        </w:rPr>
        <w:t xml:space="preserve"> </w:t>
      </w:r>
      <w:r w:rsidRPr="0060421C">
        <w:rPr>
          <w:i/>
          <w:iCs/>
          <w:lang w:eastAsia="en-GB"/>
        </w:rPr>
        <w:t>and other emissions from energy production</w:t>
      </w:r>
      <w:r w:rsidRPr="0060421C">
        <w:rPr>
          <w:lang w:eastAsia="en-GB"/>
        </w:rPr>
        <w:t xml:space="preserve"> category also includes </w:t>
      </w:r>
      <w:r w:rsidRPr="0060421C">
        <w:rPr>
          <w:spacing w:val="-2"/>
          <w:lang w:eastAsia="en-GB"/>
        </w:rPr>
        <w:t>estimates of emissions from geothermal operations. While some of the energy from geotherma</w:t>
      </w:r>
      <w:r w:rsidRPr="0060421C">
        <w:rPr>
          <w:lang w:eastAsia="en-GB"/>
        </w:rPr>
        <w:t xml:space="preserve">l fields is transformed into electricity, emissions from geothermal electricity generation are reported in the </w:t>
      </w:r>
      <w:r w:rsidRPr="0060421C">
        <w:rPr>
          <w:rFonts w:cs="Calibri"/>
          <w:i/>
          <w:iCs/>
          <w:lang w:eastAsia="en-GB"/>
        </w:rPr>
        <w:t>Fugitive emissions</w:t>
      </w:r>
      <w:r w:rsidRPr="0060421C">
        <w:rPr>
          <w:lang w:eastAsia="en-GB"/>
        </w:rPr>
        <w:t xml:space="preserve"> category because they are not the result of fuel combustion. Geothermal facilities supplying geothermal fluid for generating electricity or industrial heat are subject to the Climate Change (Stationary Energy and Industrial Processes) Regulations 2009 and are required to participate in the NZ ETS. Geothermal sites whose geothermal steam is not used for energy production have been excluded from the I</w:t>
      </w:r>
      <w:r>
        <w:rPr>
          <w:lang w:eastAsia="en-GB"/>
        </w:rPr>
        <w:t>n</w:t>
      </w:r>
      <w:r w:rsidRPr="0060421C">
        <w:rPr>
          <w:lang w:eastAsia="en-GB"/>
        </w:rPr>
        <w:t xml:space="preserve">ventory. Operations falling outside </w:t>
      </w:r>
      <w:r w:rsidRPr="0060421C">
        <w:rPr>
          <w:spacing w:val="-2"/>
          <w:lang w:eastAsia="en-GB"/>
        </w:rPr>
        <w:t>the scope of the regulations are not included in the Inventory due to a lack of data, methodology</w:t>
      </w:r>
      <w:r w:rsidRPr="0060421C">
        <w:rPr>
          <w:lang w:eastAsia="en-GB"/>
        </w:rPr>
        <w:t xml:space="preserve"> and emission factors. Besides this, such sites – rather than using high-temperature geothermal steam – use low-temperature hot water, which does not carry high levels of dissolved gases, and any emissions are considered negligible. Naturally occurring sites do not contribute any anthropogenic emissions.</w:t>
      </w:r>
    </w:p>
    <w:p w14:paraId="135CE36B" w14:textId="77777777" w:rsidR="0038460F" w:rsidRPr="0060421C" w:rsidRDefault="0038460F" w:rsidP="0038460F">
      <w:pPr>
        <w:pStyle w:val="BodyText"/>
        <w:spacing w:before="100" w:after="100"/>
        <w:rPr>
          <w:lang w:eastAsia="en-GB"/>
        </w:rPr>
      </w:pPr>
      <w:r w:rsidRPr="0060421C">
        <w:rPr>
          <w:lang w:eastAsia="en-GB"/>
        </w:rPr>
        <w:t xml:space="preserve">In </w:t>
      </w:r>
      <w:r w:rsidRPr="0060421C">
        <w:rPr>
          <w:rFonts w:cs="Calibri"/>
        </w:rPr>
        <w:t>2024</w:t>
      </w:r>
      <w:r w:rsidRPr="0060421C">
        <w:rPr>
          <w:lang w:eastAsia="en-GB"/>
        </w:rPr>
        <w:t xml:space="preserve">, emissions from geothermal operations were </w:t>
      </w:r>
      <w:r w:rsidRPr="0060421C">
        <w:rPr>
          <w:rFonts w:cs="Calibri"/>
        </w:rPr>
        <w:t xml:space="preserve">478.4 </w:t>
      </w:r>
      <w:r w:rsidRPr="0060421C">
        <w:rPr>
          <w:lang w:eastAsia="en-GB"/>
        </w:rPr>
        <w:t>kt CO</w:t>
      </w:r>
      <w:r w:rsidRPr="0060421C">
        <w:rPr>
          <w:rFonts w:cs="Calibri"/>
          <w:vertAlign w:val="subscript"/>
          <w:lang w:eastAsia="en-GB"/>
        </w:rPr>
        <w:t>2</w:t>
      </w:r>
      <w:r w:rsidRPr="0060421C">
        <w:rPr>
          <w:lang w:eastAsia="en-GB"/>
        </w:rPr>
        <w:t>e, which is 188.5</w:t>
      </w:r>
      <w:r w:rsidRPr="0060421C">
        <w:rPr>
          <w:rFonts w:cs="Calibri"/>
        </w:rPr>
        <w:t> </w:t>
      </w:r>
      <w:r w:rsidRPr="0060421C">
        <w:rPr>
          <w:lang w:eastAsia="en-GB"/>
        </w:rPr>
        <w:t>kt CO</w:t>
      </w:r>
      <w:r w:rsidRPr="0060421C">
        <w:rPr>
          <w:rFonts w:cs="Calibri"/>
          <w:vertAlign w:val="subscript"/>
          <w:lang w:eastAsia="en-GB"/>
        </w:rPr>
        <w:t>2</w:t>
      </w:r>
      <w:r w:rsidRPr="0060421C">
        <w:rPr>
          <w:lang w:eastAsia="en-GB"/>
        </w:rPr>
        <w:t>e (65.0</w:t>
      </w:r>
      <w:r w:rsidRPr="0060421C">
        <w:rPr>
          <w:rFonts w:cs="Calibri"/>
        </w:rPr>
        <w:t xml:space="preserve"> percent</w:t>
      </w:r>
      <w:r w:rsidRPr="0060421C">
        <w:rPr>
          <w:lang w:eastAsia="en-GB"/>
        </w:rPr>
        <w:t xml:space="preserve">) higher than the 1990 level of </w:t>
      </w:r>
      <w:r w:rsidRPr="0060421C">
        <w:rPr>
          <w:rFonts w:cs="Calibri"/>
        </w:rPr>
        <w:t xml:space="preserve">289.9 </w:t>
      </w:r>
      <w:r w:rsidRPr="0060421C">
        <w:rPr>
          <w:lang w:eastAsia="en-GB"/>
        </w:rPr>
        <w:t>kt CO</w:t>
      </w:r>
      <w:r w:rsidRPr="0060421C">
        <w:rPr>
          <w:rFonts w:cs="Calibri"/>
          <w:vertAlign w:val="subscript"/>
          <w:lang w:eastAsia="en-GB"/>
        </w:rPr>
        <w:t>2</w:t>
      </w:r>
      <w:r w:rsidRPr="0060421C">
        <w:rPr>
          <w:lang w:eastAsia="en-GB"/>
        </w:rPr>
        <w:t xml:space="preserve">e. Over the same period, electricity generation from geothermal sources more than quadrupled. </w:t>
      </w:r>
      <w:r w:rsidRPr="0060421C">
        <w:rPr>
          <w:rFonts w:cs="Calibri"/>
        </w:rPr>
        <w:t xml:space="preserve">A steady decline in emissions occurred between 2015 and 2023 as newer fields underwent degassing. Degassing is a commonly observed natural process in geothermal reservoirs where dissolved gases in geothermal fluids are gradually released over time, leading to lower emissions as the system reaches equilibrium. Further details on the degassing of </w:t>
      </w:r>
      <w:r w:rsidRPr="0060421C">
        <w:rPr>
          <w:lang w:eastAsia="en-GB"/>
        </w:rPr>
        <w:t>New Zealand</w:t>
      </w:r>
      <w:r w:rsidRPr="0060421C">
        <w:rPr>
          <w:rFonts w:cs="Calibri"/>
        </w:rPr>
        <w:t xml:space="preserve"> geothermal fields are provided in McLean and </w:t>
      </w:r>
      <w:r w:rsidRPr="0060421C">
        <w:t>Richardson</w:t>
      </w:r>
      <w:r w:rsidRPr="0060421C">
        <w:rPr>
          <w:rFonts w:cs="Calibri"/>
        </w:rPr>
        <w:t xml:space="preserve"> (2019).</w:t>
      </w:r>
    </w:p>
    <w:p w14:paraId="6D8D476D" w14:textId="205DC47E" w:rsidR="0038460F" w:rsidRPr="0060421C" w:rsidRDefault="0038460F" w:rsidP="0038460F">
      <w:pPr>
        <w:pStyle w:val="BodyText"/>
        <w:spacing w:before="100" w:after="100"/>
        <w:rPr>
          <w:rFonts w:cs="Calibri"/>
        </w:rPr>
      </w:pPr>
      <w:r w:rsidRPr="0060421C">
        <w:rPr>
          <w:rFonts w:cs="Calibri"/>
        </w:rPr>
        <w:t xml:space="preserve">Between 2023 and 2024, emissions from geothermal sources increased by 3.1 </w:t>
      </w:r>
      <w:r w:rsidRPr="0060421C">
        <w:rPr>
          <w:lang w:eastAsia="en-GB"/>
        </w:rPr>
        <w:t>kt CO</w:t>
      </w:r>
      <w:r w:rsidRPr="0060421C">
        <w:rPr>
          <w:rFonts w:cs="Calibri"/>
          <w:vertAlign w:val="subscript"/>
          <w:lang w:eastAsia="en-GB"/>
        </w:rPr>
        <w:t>2</w:t>
      </w:r>
      <w:r w:rsidRPr="0060421C">
        <w:rPr>
          <w:lang w:eastAsia="en-GB"/>
        </w:rPr>
        <w:t>e</w:t>
      </w:r>
      <w:r w:rsidRPr="0060421C">
        <w:rPr>
          <w:rFonts w:cs="Calibri"/>
        </w:rPr>
        <w:t xml:space="preserve"> (0.7 percent). Geothermal generation reached a record 8,741 gigawatt hours in 2024, up</w:t>
      </w:r>
      <w:r w:rsidR="007C0A83">
        <w:rPr>
          <w:rFonts w:cs="Calibri"/>
        </w:rPr>
        <w:t> </w:t>
      </w:r>
      <w:r w:rsidRPr="0060421C">
        <w:rPr>
          <w:rFonts w:cs="Calibri"/>
        </w:rPr>
        <w:t>13 percent from 2023. This growth was supported by the commissioning of two new geothermal power plants: Tauhara, which began operating in May 2024, and Te Huka 3, which</w:t>
      </w:r>
      <w:r w:rsidRPr="0060421C">
        <w:t> </w:t>
      </w:r>
      <w:r w:rsidRPr="0060421C">
        <w:rPr>
          <w:rFonts w:cs="Calibri"/>
        </w:rPr>
        <w:t xml:space="preserve">came online in October 2024. Together, these plants added approximately 225 MW of generation capacity. </w:t>
      </w:r>
    </w:p>
    <w:p w14:paraId="5FFA0C58" w14:textId="77777777" w:rsidR="0038460F" w:rsidRPr="0060421C" w:rsidRDefault="0038460F" w:rsidP="0038460F">
      <w:pPr>
        <w:pStyle w:val="Heading4"/>
        <w:rPr>
          <w:lang w:eastAsia="en-GB"/>
        </w:rPr>
      </w:pPr>
      <w:r w:rsidRPr="0060421C">
        <w:t>Methodological</w:t>
      </w:r>
      <w:r w:rsidRPr="0060421C">
        <w:rPr>
          <w:lang w:eastAsia="en-GB"/>
        </w:rPr>
        <w:t xml:space="preserve"> issues</w:t>
      </w:r>
    </w:p>
    <w:p w14:paraId="16B86D9A" w14:textId="77777777" w:rsidR="0038460F" w:rsidRPr="0060421C" w:rsidRDefault="0038460F" w:rsidP="0038460F">
      <w:pPr>
        <w:pStyle w:val="BodyText"/>
        <w:spacing w:before="100" w:after="100"/>
        <w:rPr>
          <w:lang w:eastAsia="en-GB"/>
        </w:rPr>
      </w:pPr>
      <w:r w:rsidRPr="0060421C">
        <w:rPr>
          <w:lang w:eastAsia="en-GB"/>
        </w:rPr>
        <w:t>Unless noted otherwise, CO</w:t>
      </w:r>
      <w:r w:rsidRPr="0060421C">
        <w:rPr>
          <w:rFonts w:cs="Calibri"/>
          <w:vertAlign w:val="subscript"/>
          <w:lang w:eastAsia="en-GB"/>
        </w:rPr>
        <w:t>2</w:t>
      </w:r>
      <w:r w:rsidRPr="0060421C">
        <w:rPr>
          <w:lang w:eastAsia="en-GB"/>
        </w:rPr>
        <w:t xml:space="preserve"> and CH</w:t>
      </w:r>
      <w:r w:rsidRPr="0060421C">
        <w:rPr>
          <w:rFonts w:cs="Calibri"/>
          <w:vertAlign w:val="subscript"/>
          <w:lang w:eastAsia="en-GB"/>
        </w:rPr>
        <w:t>4</w:t>
      </w:r>
      <w:r w:rsidRPr="0060421C">
        <w:rPr>
          <w:lang w:eastAsia="en-GB"/>
        </w:rPr>
        <w:t xml:space="preserve"> emissions from sources within this category have been calculated using the IPCC Tier 2 approach, and N</w:t>
      </w:r>
      <w:r w:rsidRPr="0060421C">
        <w:rPr>
          <w:rFonts w:cs="Calibri"/>
          <w:vertAlign w:val="subscript"/>
          <w:lang w:eastAsia="en-GB"/>
        </w:rPr>
        <w:t>2</w:t>
      </w:r>
      <w:r w:rsidRPr="0060421C">
        <w:rPr>
          <w:lang w:eastAsia="en-GB"/>
        </w:rPr>
        <w:t>O emissions were calculated using the default Tier 1 approach (IPCC, 2006).</w:t>
      </w:r>
    </w:p>
    <w:p w14:paraId="3C517A6C" w14:textId="77777777" w:rsidR="0038460F" w:rsidRPr="0060421C" w:rsidRDefault="0038460F" w:rsidP="0038460F">
      <w:pPr>
        <w:pStyle w:val="Heading5"/>
        <w:rPr>
          <w:lang w:eastAsia="en-GB"/>
        </w:rPr>
      </w:pPr>
      <w:r w:rsidRPr="0060421C">
        <w:rPr>
          <w:lang w:eastAsia="en-GB"/>
        </w:rPr>
        <w:t>Ozone precursors and sulphur dioxide from oil refining</w:t>
      </w:r>
    </w:p>
    <w:p w14:paraId="1CD25408" w14:textId="77777777" w:rsidR="0038460F" w:rsidRPr="0060421C" w:rsidRDefault="0038460F" w:rsidP="0038460F">
      <w:pPr>
        <w:pStyle w:val="BodyText"/>
        <w:spacing w:before="100" w:after="100"/>
        <w:rPr>
          <w:lang w:eastAsia="en-GB"/>
        </w:rPr>
      </w:pPr>
      <w:r w:rsidRPr="0060421C">
        <w:rPr>
          <w:lang w:eastAsia="en-GB"/>
        </w:rPr>
        <w:t xml:space="preserve">New Zealand had only one oil refinery, which closed in March 2022. This </w:t>
      </w:r>
      <w:r w:rsidRPr="0060421C">
        <w:t>refinery</w:t>
      </w:r>
      <w:r w:rsidRPr="0060421C">
        <w:rPr>
          <w:lang w:eastAsia="en-GB"/>
        </w:rPr>
        <w:t xml:space="preserve"> used a hydro cracker rather than a catalytic cracker and thus produced no emissions from fluid catalytic cracking. However, emissions were produced from sulphur recovery plants and storage and handling.</w:t>
      </w:r>
    </w:p>
    <w:p w14:paraId="4BEE85BB" w14:textId="77777777" w:rsidR="0038460F" w:rsidRPr="0060421C" w:rsidRDefault="0038460F" w:rsidP="0038460F">
      <w:pPr>
        <w:pStyle w:val="Heading5"/>
      </w:pPr>
      <w:r w:rsidRPr="0060421C">
        <w:t>1.B.2.c Venting and flaring</w:t>
      </w:r>
    </w:p>
    <w:p w14:paraId="188D3412" w14:textId="77777777" w:rsidR="0038460F" w:rsidRPr="0060421C" w:rsidRDefault="0038460F" w:rsidP="0038460F">
      <w:pPr>
        <w:pStyle w:val="BodyText"/>
        <w:spacing w:before="100" w:after="100"/>
      </w:pPr>
      <w:r w:rsidRPr="0060421C">
        <w:t xml:space="preserve">Oil and natural gas fields in </w:t>
      </w:r>
      <w:r w:rsidRPr="0060421C">
        <w:rPr>
          <w:lang w:eastAsia="en-GB"/>
        </w:rPr>
        <w:t>New Zealand</w:t>
      </w:r>
      <w:r w:rsidRPr="0060421C">
        <w:t xml:space="preserve"> produce a mixture of natural gas, crude oil, condensate and natural gas liquids (at varying ratios). Hence, emissions for this category are reported under ‘combined’. The activity data are directly reported by field operators.</w:t>
      </w:r>
    </w:p>
    <w:p w14:paraId="7C1367E8" w14:textId="77777777" w:rsidR="0038460F" w:rsidRPr="0060421C" w:rsidRDefault="0038460F" w:rsidP="0038460F">
      <w:pPr>
        <w:pStyle w:val="BodyText"/>
        <w:spacing w:before="100" w:after="100"/>
        <w:rPr>
          <w:rFonts w:cs="Calibri"/>
        </w:rPr>
      </w:pPr>
      <w:r w:rsidRPr="0060421C">
        <w:rPr>
          <w:rFonts w:cs="Calibri"/>
        </w:rPr>
        <w:t>Venting of CO</w:t>
      </w:r>
      <w:r w:rsidRPr="0060421C">
        <w:rPr>
          <w:rFonts w:cs="Calibri"/>
          <w:vertAlign w:val="subscript"/>
        </w:rPr>
        <w:t>2</w:t>
      </w:r>
      <w:r w:rsidRPr="0060421C">
        <w:rPr>
          <w:rFonts w:cs="Calibri"/>
        </w:rPr>
        <w:t xml:space="preserve"> resulting from hydrogen production at oil refineries is included under the IPPU sector, to protect the confidentiality of individual companies (see chapter 4 for further information).</w:t>
      </w:r>
    </w:p>
    <w:p w14:paraId="0F863987" w14:textId="77777777" w:rsidR="0038460F" w:rsidRPr="0060421C" w:rsidRDefault="0038460F" w:rsidP="0038460F">
      <w:pPr>
        <w:pStyle w:val="Heading5"/>
        <w:rPr>
          <w:rFonts w:cs="Calibri"/>
        </w:rPr>
      </w:pPr>
      <w:r w:rsidRPr="0060421C">
        <w:rPr>
          <w:rFonts w:cs="Calibri"/>
        </w:rPr>
        <w:t xml:space="preserve">1.B.2.d </w:t>
      </w:r>
      <w:r w:rsidRPr="0060421C">
        <w:rPr>
          <w:lang w:eastAsia="en-GB"/>
        </w:rPr>
        <w:t>Geothermal</w:t>
      </w:r>
    </w:p>
    <w:p w14:paraId="2B59A877" w14:textId="77777777" w:rsidR="0038460F" w:rsidRPr="0060421C" w:rsidRDefault="0038460F" w:rsidP="0038460F">
      <w:pPr>
        <w:pStyle w:val="BodyText"/>
        <w:spacing w:before="100" w:after="100"/>
        <w:rPr>
          <w:rFonts w:cs="Calibri"/>
        </w:rPr>
      </w:pPr>
      <w:r w:rsidRPr="0060421C">
        <w:rPr>
          <w:rFonts w:cs="Calibri"/>
        </w:rPr>
        <w:t>When geothermal fluid is discharged, some CO</w:t>
      </w:r>
      <w:r w:rsidRPr="0060421C">
        <w:rPr>
          <w:rFonts w:cs="Calibri"/>
          <w:vertAlign w:val="subscript"/>
        </w:rPr>
        <w:t>2</w:t>
      </w:r>
      <w:r w:rsidRPr="0060421C">
        <w:rPr>
          <w:rFonts w:cs="Calibri"/>
        </w:rPr>
        <w:t xml:space="preserve"> and small amounts of CH</w:t>
      </w:r>
      <w:r w:rsidRPr="0060421C">
        <w:rPr>
          <w:rFonts w:cs="Calibri"/>
          <w:vertAlign w:val="subscript"/>
        </w:rPr>
        <w:t>4</w:t>
      </w:r>
      <w:r w:rsidRPr="0060421C">
        <w:rPr>
          <w:rFonts w:cs="Calibri"/>
        </w:rPr>
        <w:t xml:space="preserve"> are also released. The emissions released during electricity generation using geothermal fluid are reported in this inventory. Figure 3.3.1 shows a schematic diagram of a typical </w:t>
      </w:r>
      <w:r w:rsidRPr="0060421C">
        <w:rPr>
          <w:lang w:eastAsia="en-GB"/>
        </w:rPr>
        <w:t>New Zealand</w:t>
      </w:r>
      <w:r w:rsidRPr="0060421C">
        <w:rPr>
          <w:rFonts w:cs="Calibri"/>
        </w:rPr>
        <w:t xml:space="preserve"> geothermal flash power station. </w:t>
      </w:r>
    </w:p>
    <w:p w14:paraId="29A0AE74" w14:textId="77777777" w:rsidR="0038460F" w:rsidRPr="0060421C" w:rsidRDefault="0038460F" w:rsidP="0038460F">
      <w:pPr>
        <w:pStyle w:val="BodyText"/>
        <w:spacing w:before="100" w:after="100"/>
        <w:rPr>
          <w:rFonts w:cs="Calibri"/>
        </w:rPr>
      </w:pPr>
      <w:r w:rsidRPr="0060421C">
        <w:rPr>
          <w:rFonts w:cs="Calibri"/>
        </w:rPr>
        <w:t>Estimates of CO</w:t>
      </w:r>
      <w:r w:rsidRPr="0060421C">
        <w:rPr>
          <w:rFonts w:cs="Calibri"/>
          <w:vertAlign w:val="subscript"/>
        </w:rPr>
        <w:t>2</w:t>
      </w:r>
      <w:r w:rsidRPr="0060421C">
        <w:rPr>
          <w:rFonts w:cs="Calibri"/>
        </w:rPr>
        <w:t xml:space="preserve"> and CH</w:t>
      </w:r>
      <w:r w:rsidRPr="0060421C">
        <w:rPr>
          <w:rFonts w:cs="Calibri"/>
          <w:vertAlign w:val="subscript"/>
        </w:rPr>
        <w:t>4</w:t>
      </w:r>
      <w:r w:rsidRPr="0060421C">
        <w:rPr>
          <w:rFonts w:cs="Calibri"/>
        </w:rPr>
        <w:t xml:space="preserve"> emissions for the </w:t>
      </w:r>
      <w:r w:rsidRPr="0060421C">
        <w:rPr>
          <w:rFonts w:cs="Calibri"/>
          <w:i/>
        </w:rPr>
        <w:t>Geothermal</w:t>
      </w:r>
      <w:r w:rsidRPr="0060421C">
        <w:rPr>
          <w:rFonts w:cs="Calibri"/>
        </w:rPr>
        <w:t xml:space="preserve"> category are obtained directly from geothermal power companies. </w:t>
      </w:r>
      <w:r w:rsidRPr="0060421C">
        <w:rPr>
          <w:lang w:eastAsia="en-GB"/>
        </w:rPr>
        <w:t>New Zealand</w:t>
      </w:r>
      <w:r w:rsidRPr="0060421C">
        <w:rPr>
          <w:rFonts w:cs="Calibri"/>
        </w:rPr>
        <w:t xml:space="preserve"> currently has around 15 geothermal power stations and most of these are owned (or partly owned) by two major power companies. Two examples of methodologies used to estimate emissions by these companies are explained below.</w:t>
      </w:r>
    </w:p>
    <w:p w14:paraId="14516E16" w14:textId="611A7222" w:rsidR="0038460F" w:rsidRPr="0060421C" w:rsidRDefault="0038460F" w:rsidP="0038460F">
      <w:pPr>
        <w:pStyle w:val="Figure"/>
        <w:spacing w:after="0"/>
        <w:rPr>
          <w:rFonts w:cs="Calibri"/>
        </w:rPr>
      </w:pPr>
      <w:bookmarkStart w:id="429" w:name="_Ref442370730"/>
      <w:bookmarkStart w:id="430" w:name="_Toc321399339"/>
      <w:bookmarkStart w:id="431" w:name="_Toc384582868"/>
      <w:bookmarkStart w:id="432" w:name="_Toc443060827"/>
      <w:bookmarkStart w:id="433" w:name="_Toc447275684"/>
      <w:bookmarkStart w:id="434" w:name="_Toc481752001"/>
      <w:bookmarkStart w:id="435" w:name="_Toc36292781"/>
      <w:bookmarkStart w:id="436" w:name="_Toc68786646"/>
      <w:bookmarkStart w:id="437" w:name="_Toc95834081"/>
      <w:bookmarkStart w:id="438" w:name="_Toc164154016"/>
      <w:bookmarkStart w:id="439" w:name="_Toc194674849"/>
      <w:bookmarkStart w:id="440" w:name="_Toc226200676"/>
      <w:r w:rsidRPr="0060421C">
        <w:rPr>
          <w:rFonts w:cs="Calibri"/>
        </w:rPr>
        <w:t>Figure 3.3.</w:t>
      </w:r>
      <w:r w:rsidRPr="0060421C">
        <w:rPr>
          <w:rFonts w:cs="Calibri"/>
        </w:rPr>
        <w:fldChar w:fldCharType="begin"/>
      </w:r>
      <w:r w:rsidRPr="0060421C">
        <w:rPr>
          <w:rFonts w:cs="Calibri"/>
        </w:rPr>
        <w:instrText xml:space="preserve"> SEQ Figure \* ARABIC \s 2 </w:instrText>
      </w:r>
      <w:r w:rsidRPr="0060421C">
        <w:rPr>
          <w:rFonts w:cs="Calibri"/>
        </w:rPr>
        <w:fldChar w:fldCharType="separate"/>
      </w:r>
      <w:r w:rsidR="00831581">
        <w:rPr>
          <w:rFonts w:cs="Calibri"/>
          <w:noProof/>
        </w:rPr>
        <w:t>1</w:t>
      </w:r>
      <w:r w:rsidRPr="0060421C">
        <w:rPr>
          <w:rFonts w:cs="Calibri"/>
        </w:rPr>
        <w:fldChar w:fldCharType="end"/>
      </w:r>
      <w:bookmarkEnd w:id="429"/>
      <w:r w:rsidRPr="0060421C">
        <w:rPr>
          <w:rFonts w:cs="Calibri"/>
        </w:rPr>
        <w:t xml:space="preserve"> </w:t>
      </w:r>
      <w:r w:rsidRPr="0060421C">
        <w:rPr>
          <w:rFonts w:cs="Calibri"/>
        </w:rPr>
        <w:tab/>
        <w:t>Schematic diagram of the use of geothermal fluid for electricity generation – as at Wairakei and Ohaaki geothermal stations (New Zealand Institute of Chemistry, 1998)</w:t>
      </w:r>
      <w:bookmarkEnd w:id="430"/>
      <w:bookmarkEnd w:id="431"/>
      <w:bookmarkEnd w:id="432"/>
      <w:bookmarkEnd w:id="433"/>
      <w:bookmarkEnd w:id="434"/>
      <w:bookmarkEnd w:id="435"/>
      <w:bookmarkEnd w:id="436"/>
      <w:bookmarkEnd w:id="437"/>
      <w:bookmarkEnd w:id="438"/>
      <w:bookmarkEnd w:id="439"/>
      <w:bookmarkEnd w:id="440"/>
    </w:p>
    <w:p w14:paraId="12F90295" w14:textId="0B41EC19" w:rsidR="0038460F" w:rsidRPr="0060421C" w:rsidRDefault="0038460F" w:rsidP="0038460F">
      <w:pPr>
        <w:pStyle w:val="BodyText"/>
        <w:spacing w:after="160"/>
        <w:jc w:val="center"/>
        <w:rPr>
          <w:rFonts w:cs="Calibri"/>
        </w:rPr>
      </w:pPr>
      <w:r>
        <w:rPr>
          <w:rFonts w:cs="Calibri"/>
          <w:noProof/>
        </w:rPr>
        <w:drawing>
          <wp:inline distT="0" distB="0" distL="0" distR="0" wp14:anchorId="23CBB9A5" wp14:editId="1220B163">
            <wp:extent cx="4197985" cy="3886200"/>
            <wp:effectExtent l="0" t="0" r="0" b="0"/>
            <wp:docPr id="495357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7985" cy="3886200"/>
                    </a:xfrm>
                    <a:prstGeom prst="rect">
                      <a:avLst/>
                    </a:prstGeom>
                    <a:noFill/>
                    <a:ln>
                      <a:noFill/>
                    </a:ln>
                  </pic:spPr>
                </pic:pic>
              </a:graphicData>
            </a:graphic>
          </wp:inline>
        </w:drawing>
      </w:r>
    </w:p>
    <w:p w14:paraId="75E4D7A1" w14:textId="77777777" w:rsidR="0038460F" w:rsidRPr="0060421C" w:rsidRDefault="0038460F" w:rsidP="0038460F">
      <w:pPr>
        <w:pStyle w:val="BodyText"/>
        <w:spacing w:after="100"/>
        <w:rPr>
          <w:rFonts w:cs="Calibri"/>
        </w:rPr>
      </w:pPr>
      <w:r w:rsidRPr="0060421C">
        <w:rPr>
          <w:rFonts w:cs="Calibri"/>
        </w:rPr>
        <w:t>Emissions from geothermal activities increased up until around 2015. The increases were related to electricity generation, particularly with the additions of the 100 MW Kawerau geothermal plant since late 2008, Nga Awa Purua and Te Huka since 2010, Nga Tamariki since 2013 and Te Mihi since 2014.</w:t>
      </w:r>
    </w:p>
    <w:p w14:paraId="673142F5" w14:textId="77777777" w:rsidR="0038460F" w:rsidRPr="0060421C" w:rsidRDefault="0038460F" w:rsidP="0038460F">
      <w:pPr>
        <w:pStyle w:val="BodyText"/>
        <w:spacing w:before="100" w:after="100"/>
        <w:rPr>
          <w:lang w:eastAsia="en-GB"/>
        </w:rPr>
      </w:pPr>
      <w:r w:rsidRPr="0060421C">
        <w:rPr>
          <w:lang w:eastAsia="en-GB"/>
        </w:rPr>
        <w:t xml:space="preserve">The schedules to the Climate Change Response Act 2002 create obligations for people carrying out certain activities to report greenhouse gas emissions as part of the NZ ETS. The Climate Change (Stationary Energy and Industrial Processes) Regulations 2009 and Climate Change (Liquid Fossil Fuels) Amendment Regulations 2009 set out the data-collection requirements and methods for participants in those sectors to calculate their emissions, including prescribed default emission factors. </w:t>
      </w:r>
    </w:p>
    <w:p w14:paraId="67E29A6D" w14:textId="77777777" w:rsidR="0038460F" w:rsidRPr="0060421C" w:rsidRDefault="0038460F" w:rsidP="0038460F">
      <w:pPr>
        <w:pStyle w:val="BodyText"/>
        <w:spacing w:before="100" w:after="100"/>
        <w:rPr>
          <w:lang w:eastAsia="en-GB"/>
        </w:rPr>
      </w:pPr>
      <w:r w:rsidRPr="0060421C">
        <w:rPr>
          <w:lang w:eastAsia="en-GB"/>
        </w:rPr>
        <w:t xml:space="preserve">The Climate Change (Unique Emissions Factors) Regulations 2009 outline requirements for participants in certain sectors to calculate a unique emission factor (UEF) and apply for approval to use it in place of a default emission factor to calculate and report on emissions. Users of geothermal fluid are eligible to apply for a UEF. </w:t>
      </w:r>
    </w:p>
    <w:p w14:paraId="7B4B373D" w14:textId="77777777" w:rsidR="0038460F" w:rsidRPr="0060421C" w:rsidRDefault="0038460F" w:rsidP="0038460F">
      <w:pPr>
        <w:pStyle w:val="BodyText"/>
        <w:rPr>
          <w:lang w:eastAsia="en-GB"/>
        </w:rPr>
      </w:pPr>
      <w:r w:rsidRPr="0060421C">
        <w:rPr>
          <w:lang w:eastAsia="en-GB"/>
        </w:rPr>
        <w:t xml:space="preserve">Operators could first apply for UEFs in 2010. MBIE received five applications relating to the use of UEFs for geothermal fluid for that calendar year. These five approved UEFs were then adopted for the Inventory after careful assessment of the impact on the level of emissions and the time-series consistency. </w:t>
      </w:r>
    </w:p>
    <w:p w14:paraId="0F9311BB" w14:textId="77777777" w:rsidR="0038460F" w:rsidRPr="0060421C" w:rsidRDefault="0038460F" w:rsidP="0038460F">
      <w:pPr>
        <w:pStyle w:val="BodyText"/>
        <w:rPr>
          <w:lang w:eastAsia="en-GB"/>
        </w:rPr>
      </w:pPr>
      <w:r w:rsidRPr="0060421C">
        <w:rPr>
          <w:lang w:eastAsia="en-GB"/>
        </w:rPr>
        <w:t>Because 2010 was the introduction year, MBIE decided that the UEF would apply only to years for which sufficient data are available, that is, from 2010 onward. This submission continues with this approach. From 1990 to 2009, emissions are calculated using field-specific default emission factors. Emissions from 2010 onwards are calculated using UEFs where available and field-specific default emission factors otherwise.</w:t>
      </w:r>
    </w:p>
    <w:p w14:paraId="181BDC12" w14:textId="77777777" w:rsidR="0038460F" w:rsidRPr="0060421C" w:rsidRDefault="0038460F" w:rsidP="0038460F">
      <w:pPr>
        <w:pStyle w:val="BodyText"/>
        <w:spacing w:after="240"/>
        <w:rPr>
          <w:lang w:eastAsia="en-GB"/>
        </w:rPr>
      </w:pPr>
      <w:r w:rsidRPr="0060421C">
        <w:rPr>
          <w:lang w:eastAsia="en-GB"/>
        </w:rPr>
        <w:t>When a sufficient number of years of UEF data are available for comparison, the 1990 to 2009 emission factors for each affected field will be reviewed.</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38460F" w:rsidRPr="0060421C" w14:paraId="1A6CFC7B" w14:textId="77777777" w:rsidTr="00F16E23">
        <w:tc>
          <w:tcPr>
            <w:tcW w:w="7938" w:type="dxa"/>
          </w:tcPr>
          <w:p w14:paraId="7FD66DA9" w14:textId="77777777" w:rsidR="0038460F" w:rsidRPr="0060421C" w:rsidRDefault="0038460F" w:rsidP="00F16E23">
            <w:pPr>
              <w:pStyle w:val="BodyText"/>
              <w:spacing w:before="240" w:after="0"/>
              <w:ind w:left="284"/>
              <w:rPr>
                <w:rFonts w:eastAsia="Calibri"/>
                <w:b/>
                <w:bCs/>
              </w:rPr>
            </w:pPr>
            <w:r w:rsidRPr="0060421C">
              <w:rPr>
                <w:rFonts w:eastAsia="Calibri"/>
                <w:b/>
                <w:bCs/>
              </w:rPr>
              <w:t>Geothermal methodology for Company A</w:t>
            </w:r>
          </w:p>
          <w:p w14:paraId="6039E567" w14:textId="77777777" w:rsidR="0038460F" w:rsidRPr="0060421C" w:rsidRDefault="0038460F" w:rsidP="00F16E23">
            <w:pPr>
              <w:pStyle w:val="BodyText"/>
              <w:spacing w:before="100" w:after="80"/>
              <w:ind w:left="284" w:right="284"/>
              <w:rPr>
                <w:rFonts w:eastAsia="Calibri" w:cs="Calibri"/>
                <w:sz w:val="20"/>
              </w:rPr>
            </w:pPr>
            <w:r w:rsidRPr="0060421C">
              <w:rPr>
                <w:rFonts w:eastAsia="Calibri" w:cs="Calibri"/>
                <w:sz w:val="20"/>
              </w:rPr>
              <w:t>At Company A, quarterly gas sampling analysis is conducted to measure the amount of carbon dioxide (</w:t>
            </w:r>
            <w:r w:rsidRPr="0060421C">
              <w:rPr>
                <w:rFonts w:cs="Calibri"/>
                <w:sz w:val="20"/>
              </w:rPr>
              <w:t>CO</w:t>
            </w:r>
            <w:r w:rsidRPr="0060421C">
              <w:rPr>
                <w:rFonts w:cs="Calibri"/>
                <w:sz w:val="20"/>
                <w:vertAlign w:val="subscript"/>
              </w:rPr>
              <w:t>2</w:t>
            </w:r>
            <w:r w:rsidRPr="0060421C">
              <w:rPr>
                <w:rFonts w:cs="Calibri"/>
                <w:sz w:val="20"/>
              </w:rPr>
              <w:t>)</w:t>
            </w:r>
            <w:r w:rsidRPr="0060421C">
              <w:rPr>
                <w:rFonts w:eastAsia="Calibri" w:cs="Calibri"/>
                <w:sz w:val="20"/>
              </w:rPr>
              <w:t xml:space="preserve"> and methane (</w:t>
            </w:r>
            <w:r w:rsidRPr="0060421C">
              <w:rPr>
                <w:rFonts w:cs="Calibri"/>
                <w:sz w:val="20"/>
              </w:rPr>
              <w:t>CH</w:t>
            </w:r>
            <w:r w:rsidRPr="0060421C">
              <w:rPr>
                <w:rFonts w:cs="Calibri"/>
                <w:sz w:val="20"/>
                <w:vertAlign w:val="subscript"/>
              </w:rPr>
              <w:t>4</w:t>
            </w:r>
            <w:r w:rsidRPr="0060421C">
              <w:rPr>
                <w:rFonts w:cs="Calibri"/>
                <w:sz w:val="20"/>
              </w:rPr>
              <w:t>)</w:t>
            </w:r>
            <w:r w:rsidRPr="0060421C">
              <w:rPr>
                <w:rFonts w:eastAsia="Calibri" w:cs="Calibri"/>
                <w:sz w:val="20"/>
              </w:rPr>
              <w:t xml:space="preserve"> in the steam. Gas samples are collected at the inlet to the electricity generation station and at the extraction process when gas is dissolved in the condensate (wastewater).</w:t>
            </w:r>
          </w:p>
          <w:p w14:paraId="282287BF" w14:textId="77777777" w:rsidR="0038460F" w:rsidRPr="0060421C" w:rsidRDefault="0038460F" w:rsidP="00F16E23">
            <w:pPr>
              <w:pStyle w:val="BodyText"/>
              <w:ind w:left="284" w:right="284"/>
              <w:rPr>
                <w:rFonts w:eastAsia="Calibri" w:cs="Calibri"/>
                <w:sz w:val="20"/>
              </w:rPr>
            </w:pPr>
            <w:r w:rsidRPr="0060421C">
              <w:rPr>
                <w:rFonts w:eastAsia="Calibri" w:cs="Calibri"/>
                <w:sz w:val="20"/>
              </w:rPr>
              <w:t xml:space="preserve">The concentration of </w:t>
            </w:r>
            <w:r w:rsidRPr="0060421C">
              <w:rPr>
                <w:rFonts w:cs="Calibri"/>
                <w:sz w:val="20"/>
              </w:rPr>
              <w:t>CO</w:t>
            </w:r>
            <w:r w:rsidRPr="0060421C">
              <w:rPr>
                <w:rFonts w:cs="Calibri"/>
                <w:sz w:val="20"/>
                <w:vertAlign w:val="subscript"/>
              </w:rPr>
              <w:t>2</w:t>
            </w:r>
            <w:r w:rsidRPr="0060421C">
              <w:rPr>
                <w:rFonts w:eastAsia="Calibri" w:cs="Calibri"/>
                <w:sz w:val="20"/>
              </w:rPr>
              <w:t xml:space="preserve"> (e.g., 0.612 percent) and </w:t>
            </w:r>
            <w:r w:rsidRPr="0060421C">
              <w:rPr>
                <w:rFonts w:cs="Calibri"/>
                <w:sz w:val="20"/>
              </w:rPr>
              <w:t>CH</w:t>
            </w:r>
            <w:r w:rsidRPr="0060421C">
              <w:rPr>
                <w:rFonts w:cs="Calibri"/>
                <w:sz w:val="20"/>
                <w:vertAlign w:val="subscript"/>
              </w:rPr>
              <w:t>4</w:t>
            </w:r>
            <w:r w:rsidRPr="0060421C">
              <w:rPr>
                <w:rFonts w:eastAsia="Calibri" w:cs="Calibri"/>
                <w:sz w:val="20"/>
              </w:rPr>
              <w:t xml:space="preserve"> (e.g., 0.0029 percent) by weight of discharged steam is then calculated by carrying out a mass balance.</w:t>
            </w:r>
          </w:p>
          <w:p w14:paraId="4FBE705E" w14:textId="77777777" w:rsidR="0038460F" w:rsidRPr="0060421C" w:rsidRDefault="0038460F" w:rsidP="00F16E23">
            <w:pPr>
              <w:spacing w:before="60"/>
              <w:ind w:left="284" w:right="284"/>
              <w:jc w:val="center"/>
              <w:rPr>
                <w:rFonts w:eastAsia="Calibri" w:cs="Calibri"/>
                <w:i/>
                <w:sz w:val="20"/>
              </w:rPr>
            </w:pPr>
            <w:r w:rsidRPr="0060421C">
              <w:rPr>
                <w:rFonts w:eastAsia="Calibri" w:cs="Calibri"/>
                <w:i/>
                <w:sz w:val="20"/>
              </w:rPr>
              <w:t xml:space="preserve">‘Gas discharged to atmosphere’ = ‘Gas to electricity generation station’ </w:t>
            </w:r>
            <w:r w:rsidRPr="0060421C">
              <w:rPr>
                <w:rFonts w:cs="Calibri"/>
                <w:sz w:val="20"/>
              </w:rPr>
              <w:t>–</w:t>
            </w:r>
            <w:r w:rsidRPr="0060421C">
              <w:rPr>
                <w:rFonts w:eastAsia="Calibri" w:cs="Calibri"/>
                <w:i/>
                <w:sz w:val="20"/>
              </w:rPr>
              <w:t xml:space="preserve"> ‘Gas dissolved in condensate’</w:t>
            </w:r>
          </w:p>
          <w:p w14:paraId="57E9B903" w14:textId="77777777" w:rsidR="0038460F" w:rsidRPr="0060421C" w:rsidRDefault="0038460F" w:rsidP="00F16E23">
            <w:pPr>
              <w:pStyle w:val="BodyText"/>
              <w:spacing w:after="80"/>
              <w:ind w:left="284" w:right="284"/>
              <w:rPr>
                <w:rFonts w:eastAsia="Calibri" w:cs="Calibri"/>
                <w:sz w:val="20"/>
              </w:rPr>
            </w:pPr>
            <w:r w:rsidRPr="0060421C">
              <w:rPr>
                <w:rFonts w:eastAsia="Calibri" w:cs="Calibri"/>
                <w:sz w:val="20"/>
              </w:rPr>
              <w:t xml:space="preserve">Company A also collects information on the average steam flow (tonnes of steam per hour) to the electricity generation station. This average steam flow is based on an annual average (e.g., 582.3 tonnes of steam per hour). </w:t>
            </w:r>
          </w:p>
          <w:p w14:paraId="3C6B9363" w14:textId="77777777" w:rsidR="0038460F" w:rsidRPr="0060421C" w:rsidRDefault="0038460F" w:rsidP="00F16E23">
            <w:pPr>
              <w:pStyle w:val="BodyText"/>
              <w:spacing w:before="80" w:after="80"/>
              <w:ind w:left="284" w:right="284"/>
              <w:rPr>
                <w:rFonts w:eastAsia="Calibri" w:cs="Calibri"/>
                <w:sz w:val="20"/>
              </w:rPr>
            </w:pPr>
            <w:r w:rsidRPr="0060421C">
              <w:rPr>
                <w:rFonts w:eastAsia="Calibri" w:cs="Calibri"/>
                <w:sz w:val="20"/>
              </w:rPr>
              <w:t xml:space="preserve">Therefore, working out </w:t>
            </w:r>
            <w:r w:rsidRPr="0060421C">
              <w:rPr>
                <w:rFonts w:cs="Calibri"/>
                <w:sz w:val="20"/>
              </w:rPr>
              <w:t>CO</w:t>
            </w:r>
            <w:r w:rsidRPr="0060421C">
              <w:rPr>
                <w:rFonts w:cs="Calibri"/>
                <w:sz w:val="20"/>
                <w:vertAlign w:val="subscript"/>
              </w:rPr>
              <w:t>2</w:t>
            </w:r>
            <w:r w:rsidRPr="0060421C">
              <w:rPr>
                <w:rFonts w:eastAsia="Calibri" w:cs="Calibri"/>
                <w:sz w:val="20"/>
              </w:rPr>
              <w:t xml:space="preserve"> emissions discharged to the atmosphere involves the following calculations.</w:t>
            </w:r>
          </w:p>
          <w:p w14:paraId="06021B01" w14:textId="77777777" w:rsidR="0038460F" w:rsidRPr="0060421C" w:rsidRDefault="0038460F" w:rsidP="00F16E23">
            <w:pPr>
              <w:pStyle w:val="BodyText"/>
              <w:keepNext/>
              <w:spacing w:before="80" w:after="80"/>
              <w:ind w:left="284" w:right="284"/>
              <w:rPr>
                <w:rFonts w:eastAsia="Calibri" w:cs="Calibri"/>
                <w:sz w:val="20"/>
              </w:rPr>
            </w:pPr>
            <w:r w:rsidRPr="0060421C">
              <w:rPr>
                <w:rFonts w:eastAsia="Calibri" w:cs="Calibri"/>
                <w:sz w:val="20"/>
              </w:rPr>
              <w:t xml:space="preserve">Average discharge per hour is calculated as: </w:t>
            </w:r>
          </w:p>
          <w:p w14:paraId="19D2A745" w14:textId="77777777" w:rsidR="0038460F" w:rsidRPr="0060421C" w:rsidRDefault="0038460F" w:rsidP="00F16E23">
            <w:pPr>
              <w:ind w:right="284"/>
              <w:jc w:val="center"/>
              <w:rPr>
                <w:rFonts w:eastAsia="Calibri"/>
                <w:sz w:val="20"/>
                <w:szCs w:val="20"/>
              </w:rPr>
            </w:pPr>
            <m:oMathPara>
              <m:oMath>
                <m:r>
                  <w:rPr>
                    <w:rFonts w:ascii="Cambria Math" w:hAnsi="Cambria Math"/>
                    <w:sz w:val="20"/>
                    <w:szCs w:val="20"/>
                  </w:rPr>
                  <m:t>582.3</m:t>
                </m:r>
                <m:f>
                  <m:fPr>
                    <m:ctrlPr>
                      <w:rPr>
                        <w:rFonts w:ascii="Cambria Math" w:hAnsi="Cambria Math"/>
                        <w:sz w:val="20"/>
                        <w:szCs w:val="20"/>
                      </w:rPr>
                    </m:ctrlPr>
                  </m:fPr>
                  <m:num>
                    <m:r>
                      <w:rPr>
                        <w:rFonts w:ascii="Cambria Math" w:hAnsi="Cambria Math"/>
                        <w:sz w:val="20"/>
                        <w:szCs w:val="20"/>
                      </w:rPr>
                      <m:t>tonnes of steam</m:t>
                    </m:r>
                  </m:num>
                  <m:den>
                    <m:r>
                      <w:rPr>
                        <w:rFonts w:ascii="Cambria Math" w:hAnsi="Cambria Math"/>
                        <w:sz w:val="20"/>
                        <w:szCs w:val="20"/>
                      </w:rPr>
                      <m:t>hour</m:t>
                    </m:r>
                  </m:den>
                </m:f>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0.612</m:t>
                    </m:r>
                  </m:num>
                  <m:den>
                    <m:r>
                      <w:rPr>
                        <w:rFonts w:ascii="Cambria Math" w:hAnsi="Cambria Math"/>
                        <w:sz w:val="20"/>
                        <w:szCs w:val="20"/>
                      </w:rPr>
                      <m:t>100</m:t>
                    </m:r>
                  </m:den>
                </m:f>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tonnes of steam</m:t>
                    </m:r>
                  </m:den>
                </m:f>
                <m:r>
                  <w:rPr>
                    <w:rFonts w:ascii="Cambria Math" w:hAnsi="Cambria Math"/>
                    <w:sz w:val="20"/>
                    <w:szCs w:val="20"/>
                  </w:rPr>
                  <m:t>=3.565</m:t>
                </m:r>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hour</m:t>
                    </m:r>
                  </m:den>
                </m:f>
              </m:oMath>
            </m:oMathPara>
          </w:p>
          <w:p w14:paraId="4167B47E" w14:textId="77777777" w:rsidR="0038460F" w:rsidRPr="0060421C" w:rsidRDefault="0038460F" w:rsidP="00F16E23">
            <w:pPr>
              <w:spacing w:before="120" w:after="120"/>
              <w:ind w:left="284" w:right="284"/>
              <w:rPr>
                <w:rFonts w:eastAsia="Calibri" w:cs="Calibri"/>
                <w:sz w:val="20"/>
              </w:rPr>
            </w:pPr>
            <w:r w:rsidRPr="0060421C">
              <w:rPr>
                <w:rFonts w:eastAsia="Calibri" w:cs="Calibri"/>
                <w:sz w:val="20"/>
              </w:rPr>
              <w:t>And the total discharge per year is:</w:t>
            </w:r>
          </w:p>
          <w:p w14:paraId="428428FB" w14:textId="77777777" w:rsidR="0038460F" w:rsidRPr="0060421C" w:rsidRDefault="0038460F" w:rsidP="00F16E23">
            <w:pPr>
              <w:ind w:right="284"/>
              <w:jc w:val="center"/>
              <w:rPr>
                <w:rFonts w:eastAsia="Calibri" w:cs="Calibri"/>
                <w:sz w:val="18"/>
                <w:szCs w:val="18"/>
              </w:rPr>
            </w:pPr>
            <m:oMathPara>
              <m:oMath>
                <m:r>
                  <w:rPr>
                    <w:rFonts w:ascii="Cambria Math" w:hAnsi="Cambria Math"/>
                    <w:sz w:val="20"/>
                    <w:szCs w:val="20"/>
                  </w:rPr>
                  <m:t>3.565</m:t>
                </m:r>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hour</m:t>
                    </m:r>
                  </m:den>
                </m:f>
                <m:r>
                  <w:rPr>
                    <w:rFonts w:ascii="Cambria Math" w:hAnsi="Cambria Math"/>
                    <w:sz w:val="20"/>
                    <w:szCs w:val="20"/>
                  </w:rPr>
                  <m:t>×</m:t>
                </m:r>
                <m:r>
                  <w:rPr>
                    <w:rFonts w:ascii="Cambria Math" w:eastAsia="Calibri" w:hAnsi="Cambria Math"/>
                    <w:sz w:val="20"/>
                    <w:szCs w:val="20"/>
                  </w:rPr>
                  <m:t>8,760</m:t>
                </m:r>
                <m:f>
                  <m:fPr>
                    <m:ctrlPr>
                      <w:rPr>
                        <w:rFonts w:ascii="Cambria Math" w:hAnsi="Cambria Math"/>
                        <w:sz w:val="20"/>
                        <w:szCs w:val="20"/>
                      </w:rPr>
                    </m:ctrlPr>
                  </m:fPr>
                  <m:num>
                    <m:r>
                      <w:rPr>
                        <w:rFonts w:ascii="Cambria Math" w:eastAsia="Calibri" w:hAnsi="Cambria Math"/>
                        <w:sz w:val="20"/>
                        <w:szCs w:val="20"/>
                      </w:rPr>
                      <m:t>hours</m:t>
                    </m:r>
                  </m:num>
                  <m:den>
                    <m:r>
                      <w:rPr>
                        <w:rFonts w:ascii="Cambria Math" w:eastAsia="Calibri" w:hAnsi="Cambria Math"/>
                        <w:sz w:val="20"/>
                        <w:szCs w:val="20"/>
                      </w:rPr>
                      <m:t>year</m:t>
                    </m:r>
                  </m:den>
                </m:f>
                <m:r>
                  <w:rPr>
                    <w:rFonts w:ascii="Cambria Math" w:eastAsia="Calibri" w:hAnsi="Cambria Math"/>
                    <w:sz w:val="20"/>
                    <w:szCs w:val="20"/>
                  </w:rPr>
                  <m:t>=31,230</m:t>
                </m:r>
                <m:r>
                  <w:rPr>
                    <w:rFonts w:ascii="Cambria Math" w:hAnsi="Cambria Math"/>
                    <w:sz w:val="20"/>
                    <w:szCs w:val="20"/>
                  </w:rPr>
                  <m:t> </m:t>
                </m:r>
                <m:r>
                  <w:rPr>
                    <w:rFonts w:ascii="Cambria Math" w:eastAsia="Calibri" w:hAnsi="Cambria Math"/>
                    <w:sz w:val="20"/>
                    <w:szCs w:val="20"/>
                  </w:rPr>
                  <m:t>tonnes</m:t>
                </m:r>
                <m:r>
                  <w:rPr>
                    <w:rFonts w:ascii="Cambria Math" w:hAnsi="Cambria Math"/>
                    <w:sz w:val="20"/>
                    <w:szCs w:val="20"/>
                  </w:rPr>
                  <m:t> </m:t>
                </m:r>
                <m:r>
                  <w:rPr>
                    <w:rFonts w:ascii="Cambria Math" w:eastAsia="Calibri" w:hAnsi="Cambria Math"/>
                    <w:sz w:val="20"/>
                    <w:szCs w:val="20"/>
                  </w:rPr>
                  <m:t>of</m:t>
                </m:r>
                <m:r>
                  <w:rPr>
                    <w:rFonts w:ascii="Cambria Math" w:hAnsi="Cambria Math"/>
                    <w:sz w:val="20"/>
                    <w:szCs w:val="20"/>
                  </w:rPr>
                  <m:t> </m:t>
                </m:r>
                <m:r>
                  <w:rPr>
                    <w:rFonts w:ascii="Cambria Math" w:eastAsia="Calibri" w:hAnsi="Cambria Math"/>
                    <w:sz w:val="20"/>
                    <w:szCs w:val="20"/>
                  </w:rPr>
                  <m:t>C</m:t>
                </m:r>
                <m:sSub>
                  <m:sSubPr>
                    <m:ctrlPr>
                      <w:rPr>
                        <w:rFonts w:ascii="Cambria Math" w:hAnsi="Cambria Math"/>
                        <w:sz w:val="20"/>
                        <w:szCs w:val="20"/>
                      </w:rPr>
                    </m:ctrlPr>
                  </m:sSubPr>
                  <m:e>
                    <m:r>
                      <w:rPr>
                        <w:rFonts w:ascii="Cambria Math" w:eastAsia="Calibri" w:hAnsi="Cambria Math"/>
                        <w:sz w:val="20"/>
                        <w:szCs w:val="20"/>
                      </w:rPr>
                      <m:t>O</m:t>
                    </m:r>
                  </m:e>
                  <m:sub>
                    <m:r>
                      <w:rPr>
                        <w:rFonts w:ascii="Cambria Math" w:eastAsia="Calibri" w:hAnsi="Cambria Math"/>
                        <w:sz w:val="20"/>
                        <w:szCs w:val="20"/>
                      </w:rPr>
                      <m:t>2</m:t>
                    </m:r>
                  </m:sub>
                </m:sSub>
              </m:oMath>
            </m:oMathPara>
          </w:p>
          <w:p w14:paraId="6324EB8A" w14:textId="77777777" w:rsidR="0038460F" w:rsidRPr="0060421C" w:rsidRDefault="0038460F" w:rsidP="00F16E23">
            <w:pPr>
              <w:spacing w:before="120" w:after="180"/>
              <w:ind w:left="284" w:right="284"/>
              <w:rPr>
                <w:rFonts w:eastAsia="Calibri" w:cs="Calibri"/>
                <w:sz w:val="20"/>
                <w:highlight w:val="yellow"/>
              </w:rPr>
            </w:pPr>
            <w:r w:rsidRPr="0060421C">
              <w:rPr>
                <w:rFonts w:eastAsia="Calibri" w:cs="Calibri"/>
                <w:sz w:val="20"/>
              </w:rPr>
              <w:t xml:space="preserve">Using the same methodology above will yield 149 tonnes of </w:t>
            </w:r>
            <w:r w:rsidRPr="0060421C">
              <w:rPr>
                <w:rFonts w:cs="Calibri"/>
                <w:sz w:val="20"/>
              </w:rPr>
              <w:t>CH</w:t>
            </w:r>
            <w:r w:rsidRPr="0060421C">
              <w:rPr>
                <w:rFonts w:cs="Calibri"/>
                <w:sz w:val="20"/>
                <w:vertAlign w:val="subscript"/>
              </w:rPr>
              <w:t>4</w:t>
            </w:r>
            <w:r w:rsidRPr="0060421C">
              <w:rPr>
                <w:rFonts w:eastAsia="Calibri" w:cs="Calibri"/>
                <w:sz w:val="20"/>
              </w:rPr>
              <w:t xml:space="preserve">. The overall emission for Company A is therefore 35,402 tonnes of </w:t>
            </w:r>
            <w:r w:rsidRPr="0060421C">
              <w:rPr>
                <w:rFonts w:cs="Calibri"/>
                <w:sz w:val="20"/>
              </w:rPr>
              <w:t>CO</w:t>
            </w:r>
            <w:r w:rsidRPr="0060421C">
              <w:rPr>
                <w:rFonts w:cs="Calibri"/>
                <w:sz w:val="20"/>
                <w:vertAlign w:val="subscript"/>
              </w:rPr>
              <w:t>2</w:t>
            </w:r>
            <w:r w:rsidRPr="0060421C">
              <w:rPr>
                <w:rFonts w:eastAsia="Calibri" w:cs="Calibri"/>
                <w:sz w:val="20"/>
              </w:rPr>
              <w:t xml:space="preserve">e emissions. </w:t>
            </w:r>
          </w:p>
        </w:tc>
      </w:tr>
    </w:tbl>
    <w:p w14:paraId="621EAB03" w14:textId="77777777" w:rsidR="0038460F" w:rsidRPr="0060421C" w:rsidRDefault="0038460F" w:rsidP="0038460F">
      <w:pPr>
        <w:pStyle w:val="BodyText"/>
        <w:spacing w:before="40" w:after="60"/>
        <w:rPr>
          <w:rFonts w:cs="Calibri"/>
        </w:rPr>
      </w:pP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38460F" w:rsidRPr="0060421C" w14:paraId="261C81E3" w14:textId="77777777" w:rsidTr="00F16E23">
        <w:tc>
          <w:tcPr>
            <w:tcW w:w="7938" w:type="dxa"/>
          </w:tcPr>
          <w:p w14:paraId="4D9371FF" w14:textId="77777777" w:rsidR="0038460F" w:rsidRPr="0060421C" w:rsidRDefault="0038460F" w:rsidP="00F16E23">
            <w:pPr>
              <w:pStyle w:val="BodyText"/>
              <w:spacing w:before="180" w:after="0"/>
              <w:ind w:left="284"/>
              <w:rPr>
                <w:rFonts w:eastAsia="Calibri"/>
                <w:b/>
                <w:bCs/>
              </w:rPr>
            </w:pPr>
            <w:r w:rsidRPr="0060421C">
              <w:rPr>
                <w:rFonts w:eastAsia="Calibri"/>
                <w:b/>
                <w:bCs/>
              </w:rPr>
              <w:t>Geothermal methodology for Company B</w:t>
            </w:r>
          </w:p>
          <w:p w14:paraId="2C8930A9" w14:textId="77777777" w:rsidR="0038460F" w:rsidRPr="0060421C" w:rsidRDefault="0038460F" w:rsidP="00F16E23">
            <w:pPr>
              <w:pStyle w:val="BodyText"/>
              <w:spacing w:before="100" w:after="180"/>
              <w:ind w:left="284" w:right="284"/>
              <w:rPr>
                <w:rFonts w:eastAsia="Calibri" w:cs="Calibri"/>
                <w:sz w:val="20"/>
              </w:rPr>
            </w:pPr>
            <w:r w:rsidRPr="0060421C">
              <w:rPr>
                <w:rFonts w:eastAsia="Calibri" w:cs="Calibri"/>
                <w:sz w:val="20"/>
              </w:rPr>
              <w:t xml:space="preserve">At Company B, spot measurements of both </w:t>
            </w:r>
            <w:r w:rsidRPr="0060421C">
              <w:rPr>
                <w:rFonts w:cs="Calibri"/>
                <w:sz w:val="20"/>
              </w:rPr>
              <w:t>carbon dioxide</w:t>
            </w:r>
            <w:r w:rsidRPr="0060421C">
              <w:rPr>
                <w:rFonts w:eastAsia="Calibri" w:cs="Calibri"/>
                <w:sz w:val="20"/>
              </w:rPr>
              <w:t xml:space="preserve"> and </w:t>
            </w:r>
            <w:r w:rsidRPr="0060421C">
              <w:rPr>
                <w:rFonts w:cs="Calibri"/>
                <w:sz w:val="20"/>
              </w:rPr>
              <w:t xml:space="preserve">methane </w:t>
            </w:r>
            <w:r w:rsidRPr="0060421C">
              <w:rPr>
                <w:rFonts w:eastAsia="Calibri" w:cs="Calibri"/>
                <w:sz w:val="20"/>
              </w:rPr>
              <w:t>concentrations are taken at the inlet steam when the power stations are operating normally. The net megawatt hours of electricity generated that day are then used to calculate the emission factor. This implied emission factor is then multiplied by the annual amount of electricity generated to work out the annual emissions for each power station.</w:t>
            </w:r>
          </w:p>
        </w:tc>
      </w:tr>
    </w:tbl>
    <w:p w14:paraId="2EAFA7AD" w14:textId="77777777" w:rsidR="0038460F" w:rsidRPr="0060421C" w:rsidRDefault="0038460F" w:rsidP="0038460F">
      <w:pPr>
        <w:pStyle w:val="Heading4"/>
        <w:spacing w:before="320"/>
        <w:rPr>
          <w:lang w:eastAsia="en-GB"/>
        </w:rPr>
      </w:pPr>
      <w:r w:rsidRPr="0060421C">
        <w:rPr>
          <w:lang w:eastAsia="en-GB"/>
        </w:rPr>
        <w:t>Activity data</w:t>
      </w:r>
    </w:p>
    <w:p w14:paraId="23C052E5" w14:textId="77777777" w:rsidR="0038460F" w:rsidRPr="0060421C" w:rsidRDefault="0038460F" w:rsidP="0038460F">
      <w:pPr>
        <w:pStyle w:val="Heading5"/>
        <w:spacing w:before="180"/>
        <w:rPr>
          <w:lang w:eastAsia="en-GB"/>
        </w:rPr>
      </w:pPr>
      <w:r w:rsidRPr="0060421C">
        <w:rPr>
          <w:lang w:eastAsia="en-GB"/>
        </w:rPr>
        <w:t>1.B.2.a.1 Exploration</w:t>
      </w:r>
    </w:p>
    <w:p w14:paraId="2438D3C4" w14:textId="77777777" w:rsidR="0038460F" w:rsidRPr="0060421C" w:rsidRDefault="0038460F" w:rsidP="0038460F">
      <w:pPr>
        <w:pStyle w:val="BodyText"/>
        <w:spacing w:before="100" w:after="100"/>
        <w:rPr>
          <w:lang w:eastAsia="en-GB"/>
        </w:rPr>
      </w:pPr>
      <w:r w:rsidRPr="0060421C">
        <w:rPr>
          <w:lang w:eastAsia="en-GB"/>
        </w:rPr>
        <w:t>Activity data are the number of wells drilled in each year as reported by New Zealand Petroleum and Minerals (MBIE, 2025b). Data were only available for the years from 2001 onwards, so estimates were made by extrapolation for the years preceding 2001.</w:t>
      </w:r>
    </w:p>
    <w:p w14:paraId="3320BF00" w14:textId="77777777" w:rsidR="0038460F" w:rsidRPr="0060421C" w:rsidRDefault="0038460F" w:rsidP="0038460F">
      <w:pPr>
        <w:pStyle w:val="Heading5"/>
        <w:spacing w:before="220"/>
        <w:rPr>
          <w:lang w:eastAsia="en-GB"/>
        </w:rPr>
      </w:pPr>
      <w:r w:rsidRPr="0060421C">
        <w:rPr>
          <w:lang w:eastAsia="en-GB"/>
        </w:rPr>
        <w:t>1.B.2.a.3 Transport</w:t>
      </w:r>
    </w:p>
    <w:p w14:paraId="0A4C30B4" w14:textId="77777777" w:rsidR="0038460F" w:rsidRPr="0060421C" w:rsidRDefault="0038460F" w:rsidP="0038460F">
      <w:pPr>
        <w:pStyle w:val="BodyText"/>
        <w:rPr>
          <w:rFonts w:cs="Calibri"/>
        </w:rPr>
      </w:pPr>
      <w:r w:rsidRPr="0060421C">
        <w:rPr>
          <w:lang w:eastAsia="en-GB"/>
        </w:rPr>
        <w:t xml:space="preserve">The activity data are New </w:t>
      </w:r>
      <w:r w:rsidRPr="0060421C">
        <w:t>Zealand’s</w:t>
      </w:r>
      <w:r w:rsidRPr="0060421C">
        <w:rPr>
          <w:lang w:eastAsia="en-GB"/>
        </w:rPr>
        <w:t xml:space="preserve"> total </w:t>
      </w:r>
      <w:r w:rsidRPr="0060421C">
        <w:t>production</w:t>
      </w:r>
      <w:r w:rsidRPr="0060421C">
        <w:rPr>
          <w:lang w:eastAsia="en-GB"/>
        </w:rPr>
        <w:t xml:space="preserve"> of crude oil (MBIE, 2025a). </w:t>
      </w:r>
    </w:p>
    <w:p w14:paraId="27F52ABB" w14:textId="77777777" w:rsidR="0038460F" w:rsidRPr="0060421C" w:rsidRDefault="0038460F" w:rsidP="0038460F">
      <w:pPr>
        <w:pStyle w:val="Heading5"/>
        <w:spacing w:before="220"/>
        <w:rPr>
          <w:lang w:eastAsia="en-GB"/>
        </w:rPr>
      </w:pPr>
      <w:r w:rsidRPr="0060421C">
        <w:rPr>
          <w:lang w:eastAsia="en-GB"/>
        </w:rPr>
        <w:t>1.B.2.a.4 Refining</w:t>
      </w:r>
    </w:p>
    <w:p w14:paraId="03750A66" w14:textId="77777777" w:rsidR="0038460F" w:rsidRPr="0060421C" w:rsidRDefault="0038460F" w:rsidP="0038460F">
      <w:pPr>
        <w:pStyle w:val="BodyText"/>
      </w:pPr>
      <w:r w:rsidRPr="0060421C">
        <w:rPr>
          <w:lang w:eastAsia="en-GB"/>
        </w:rPr>
        <w:t xml:space="preserve">Activity data are total intake at New </w:t>
      </w:r>
      <w:r w:rsidRPr="0060421C">
        <w:t>Zealand’s</w:t>
      </w:r>
      <w:r w:rsidRPr="0060421C">
        <w:rPr>
          <w:lang w:eastAsia="en-GB"/>
        </w:rPr>
        <w:t xml:space="preserve"> Marsden Point Oil Refinery (MBIE, 2025a). </w:t>
      </w:r>
    </w:p>
    <w:p w14:paraId="3C1CA2F4" w14:textId="77777777" w:rsidR="0038460F" w:rsidRPr="0060421C" w:rsidRDefault="0038460F" w:rsidP="0038460F">
      <w:pPr>
        <w:pStyle w:val="Heading5"/>
        <w:spacing w:before="220"/>
        <w:rPr>
          <w:lang w:eastAsia="en-GB"/>
        </w:rPr>
      </w:pPr>
      <w:r w:rsidRPr="0060421C">
        <w:rPr>
          <w:lang w:eastAsia="en-GB"/>
        </w:rPr>
        <w:t>1.B.2.a.5 Distribution of oil products</w:t>
      </w:r>
    </w:p>
    <w:p w14:paraId="31A43173" w14:textId="77777777" w:rsidR="0038460F" w:rsidRPr="0060421C" w:rsidRDefault="0038460F" w:rsidP="0038460F">
      <w:pPr>
        <w:pStyle w:val="BodyText"/>
      </w:pPr>
      <w:r w:rsidRPr="0060421C">
        <w:rPr>
          <w:lang w:eastAsia="en-GB"/>
        </w:rPr>
        <w:t xml:space="preserve">Activity data are New Zealand’s total consumption </w:t>
      </w:r>
      <w:r w:rsidRPr="0060421C">
        <w:t>of</w:t>
      </w:r>
      <w:r w:rsidRPr="0060421C">
        <w:rPr>
          <w:lang w:eastAsia="en-GB"/>
        </w:rPr>
        <w:t xml:space="preserve"> gasoline (MBIE, 2025a).</w:t>
      </w:r>
    </w:p>
    <w:p w14:paraId="0309D535" w14:textId="77777777" w:rsidR="0038460F" w:rsidRPr="0060421C" w:rsidRDefault="0038460F" w:rsidP="0038460F">
      <w:pPr>
        <w:pStyle w:val="Heading5"/>
        <w:spacing w:before="220"/>
        <w:rPr>
          <w:lang w:eastAsia="en-GB"/>
        </w:rPr>
      </w:pPr>
      <w:r w:rsidRPr="0060421C">
        <w:rPr>
          <w:lang w:eastAsia="en-GB"/>
        </w:rPr>
        <w:t>1.B.2.b.3 Processing</w:t>
      </w:r>
    </w:p>
    <w:p w14:paraId="2B451039" w14:textId="77777777" w:rsidR="0038460F" w:rsidRPr="0060421C" w:rsidRDefault="0038460F" w:rsidP="0038460F">
      <w:pPr>
        <w:pStyle w:val="BodyText"/>
        <w:rPr>
          <w:lang w:eastAsia="en-GB"/>
        </w:rPr>
      </w:pPr>
      <w:r w:rsidRPr="0060421C">
        <w:rPr>
          <w:lang w:eastAsia="en-GB"/>
        </w:rPr>
        <w:t>Venting of CO</w:t>
      </w:r>
      <w:r w:rsidRPr="0060421C">
        <w:rPr>
          <w:rFonts w:cs="Calibri"/>
          <w:vertAlign w:val="subscript"/>
          <w:lang w:eastAsia="en-GB"/>
        </w:rPr>
        <w:t>2</w:t>
      </w:r>
      <w:r w:rsidRPr="0060421C">
        <w:rPr>
          <w:lang w:eastAsia="en-GB"/>
        </w:rPr>
        <w:t xml:space="preserve"> is reported in CRT category 1.B.2.c.2, in accordance with a previous ERT recommendation. No activity data are available.</w:t>
      </w:r>
    </w:p>
    <w:p w14:paraId="138C1681" w14:textId="77777777" w:rsidR="0038460F" w:rsidRPr="0060421C" w:rsidRDefault="0038460F" w:rsidP="0038460F">
      <w:pPr>
        <w:pStyle w:val="Heading5"/>
        <w:spacing w:before="220"/>
        <w:rPr>
          <w:lang w:eastAsia="en-GB"/>
        </w:rPr>
      </w:pPr>
      <w:r w:rsidRPr="0060421C">
        <w:rPr>
          <w:lang w:eastAsia="en-GB"/>
        </w:rPr>
        <w:t>1.B.2.b.4 Transmission and 1.B.2.b.5 Distribution</w:t>
      </w:r>
    </w:p>
    <w:p w14:paraId="00481B66" w14:textId="77777777" w:rsidR="0038460F" w:rsidRPr="0060421C" w:rsidRDefault="0038460F" w:rsidP="0038460F">
      <w:pPr>
        <w:pStyle w:val="BodyText"/>
        <w:rPr>
          <w:lang w:eastAsia="en-GB"/>
        </w:rPr>
      </w:pPr>
      <w:r w:rsidRPr="0060421C">
        <w:rPr>
          <w:lang w:eastAsia="en-GB"/>
        </w:rPr>
        <w:t xml:space="preserve">Carbon dioxide and </w:t>
      </w:r>
      <w:r w:rsidRPr="0060421C">
        <w:rPr>
          <w:rFonts w:cs="Calibri"/>
        </w:rPr>
        <w:t>CH</w:t>
      </w:r>
      <w:r w:rsidRPr="0060421C">
        <w:rPr>
          <w:rFonts w:cs="Calibri"/>
          <w:vertAlign w:val="subscript"/>
        </w:rPr>
        <w:t>4</w:t>
      </w:r>
      <w:r w:rsidRPr="0060421C">
        <w:rPr>
          <w:rFonts w:cs="Calibri"/>
          <w:sz w:val="14"/>
          <w:szCs w:val="14"/>
          <w:lang w:eastAsia="en-GB"/>
        </w:rPr>
        <w:t xml:space="preserve"> </w:t>
      </w:r>
      <w:r w:rsidRPr="0060421C">
        <w:rPr>
          <w:lang w:eastAsia="en-GB"/>
        </w:rPr>
        <w:t xml:space="preserve">emissions from gas </w:t>
      </w:r>
      <w:r w:rsidRPr="0060421C">
        <w:t>leakage</w:t>
      </w:r>
      <w:r w:rsidRPr="0060421C">
        <w:rPr>
          <w:lang w:eastAsia="en-GB"/>
        </w:rPr>
        <w:t xml:space="preserve"> primarily occur in low-pressure distribution pipelines rather than from high-pressure transmission pipelines. </w:t>
      </w:r>
      <w:r w:rsidRPr="0060421C">
        <w:t>Emissions</w:t>
      </w:r>
      <w:r w:rsidRPr="0060421C">
        <w:rPr>
          <w:lang w:eastAsia="en-GB"/>
        </w:rPr>
        <w:t xml:space="preserve"> from transmission and distribution are reported separately. </w:t>
      </w:r>
    </w:p>
    <w:p w14:paraId="694FC4EF" w14:textId="77777777" w:rsidR="0038460F" w:rsidRPr="0060421C" w:rsidRDefault="0038460F" w:rsidP="0038460F">
      <w:pPr>
        <w:pStyle w:val="BodyText"/>
      </w:pPr>
      <w:r w:rsidRPr="0060421C">
        <w:rPr>
          <w:lang w:eastAsia="en-GB"/>
        </w:rPr>
        <w:t>Data on emissions from the high-pressure transmission system were provided by the system operator. T</w:t>
      </w:r>
      <w:r w:rsidRPr="0060421C">
        <w:t>ransmission losses include both direct leakage of CH</w:t>
      </w:r>
      <w:r w:rsidRPr="0060421C">
        <w:rPr>
          <w:vertAlign w:val="subscript"/>
        </w:rPr>
        <w:t>4</w:t>
      </w:r>
      <w:r w:rsidRPr="0060421C">
        <w:t xml:space="preserve"> and CO</w:t>
      </w:r>
      <w:r w:rsidRPr="0060421C">
        <w:rPr>
          <w:vertAlign w:val="subscript"/>
        </w:rPr>
        <w:t>2</w:t>
      </w:r>
      <w:r w:rsidRPr="0060421C">
        <w:t xml:space="preserve"> and gas lost or used during compressor start-up. Data are reported in gigajoules (GJ) of CH</w:t>
      </w:r>
      <w:r w:rsidRPr="0060421C">
        <w:rPr>
          <w:vertAlign w:val="subscript"/>
        </w:rPr>
        <w:t>4</w:t>
      </w:r>
      <w:r w:rsidRPr="0060421C">
        <w:t xml:space="preserve"> and tonnes of CO</w:t>
      </w:r>
      <w:r w:rsidRPr="0060421C">
        <w:rPr>
          <w:vertAlign w:val="subscript"/>
        </w:rPr>
        <w:t>2</w:t>
      </w:r>
      <w:r w:rsidRPr="0060421C">
        <w:t>, with CH</w:t>
      </w:r>
      <w:r w:rsidRPr="0060421C">
        <w:rPr>
          <w:vertAlign w:val="subscript"/>
        </w:rPr>
        <w:t>4</w:t>
      </w:r>
      <w:r w:rsidRPr="0060421C">
        <w:t xml:space="preserve"> converted to tonnes using a factor of 55.6 GJ/t.</w:t>
      </w:r>
    </w:p>
    <w:p w14:paraId="3442FD76" w14:textId="77777777" w:rsidR="0038460F" w:rsidRPr="0060421C" w:rsidRDefault="0038460F" w:rsidP="0038460F">
      <w:pPr>
        <w:pStyle w:val="BodyText"/>
      </w:pPr>
      <w:r w:rsidRPr="0060421C">
        <w:t>New Zealand’s high-pressure transmission network is nearly 3,500 kilometres in length, connecting most North Island cities (reticulated natural gas is available only in </w:t>
      </w:r>
      <w:r w:rsidRPr="0060421C">
        <w:rPr>
          <w:lang w:eastAsia="en-GB"/>
        </w:rPr>
        <w:t>the</w:t>
      </w:r>
      <w:r w:rsidRPr="0060421C">
        <w:t xml:space="preserve"> North Island). No time series of the total length of the transmission lines is available; however, expert opinion is that it has remained nearly constant since 1990.</w:t>
      </w:r>
    </w:p>
    <w:p w14:paraId="09026AAB" w14:textId="77777777" w:rsidR="0038460F" w:rsidRPr="0060421C" w:rsidRDefault="0038460F" w:rsidP="0038460F">
      <w:pPr>
        <w:pStyle w:val="BodyText"/>
      </w:pPr>
      <w:r w:rsidRPr="0060421C">
        <w:t>Distribution loss emissions are estimated based on administrative data collected at the ‘gas gate’ for gas entering the distribution network. New Zealand does not use the alternative approach of using survey data from gas retailers on metered sales to individual customers.</w:t>
      </w:r>
    </w:p>
    <w:p w14:paraId="3CC2CA95" w14:textId="77777777" w:rsidR="0038460F" w:rsidRPr="0060421C" w:rsidRDefault="0038460F" w:rsidP="0038460F">
      <w:pPr>
        <w:pStyle w:val="BodyText"/>
        <w:rPr>
          <w:lang w:eastAsia="en-GB"/>
        </w:rPr>
      </w:pPr>
      <w:r w:rsidRPr="0060421C">
        <w:t>For the 2023 submission, New</w:t>
      </w:r>
      <w:r w:rsidRPr="0060421C">
        <w:rPr>
          <w:lang w:eastAsia="en-GB"/>
        </w:rPr>
        <w:t xml:space="preserve"> Zealand improved its estimation of leakage from distribution networks by moving from a Tier 2 methodology to a Tier 3 approach using industry-derived data. The previous methodology assumed a constant leakage rate of 1.75 percent of total reticulated natural gas, based on a mid-1990s estimate by the Natural Gas Corporation. A</w:t>
      </w:r>
      <w:r>
        <w:rPr>
          <w:lang w:eastAsia="en-GB"/>
        </w:rPr>
        <w:t> </w:t>
      </w:r>
      <w:r w:rsidRPr="0060421C">
        <w:rPr>
          <w:lang w:eastAsia="en-GB"/>
        </w:rPr>
        <w:t>2022</w:t>
      </w:r>
      <w:r>
        <w:rPr>
          <w:lang w:eastAsia="en-GB"/>
        </w:rPr>
        <w:t> </w:t>
      </w:r>
      <w:r w:rsidRPr="0060421C">
        <w:rPr>
          <w:lang w:eastAsia="en-GB"/>
        </w:rPr>
        <w:t xml:space="preserve">review found this rate outdated. Engagement with industry experts indicated that leakage from modernised distribution pipelines averaged 0.35 percent from 2017 to 2021. </w:t>
      </w:r>
    </w:p>
    <w:p w14:paraId="17E29344" w14:textId="77777777" w:rsidR="0038460F" w:rsidRPr="0060421C" w:rsidRDefault="0038460F" w:rsidP="0038460F">
      <w:pPr>
        <w:pStyle w:val="BodyText"/>
        <w:rPr>
          <w:lang w:eastAsia="en-GB"/>
        </w:rPr>
      </w:pPr>
      <w:r w:rsidRPr="0060421C">
        <w:rPr>
          <w:lang w:eastAsia="en-GB"/>
        </w:rPr>
        <w:t>The new Tier 3 approach uses facility-level</w:t>
      </w:r>
      <w:r w:rsidRPr="0060421C" w:rsidDel="00A65BF7">
        <w:rPr>
          <w:lang w:eastAsia="en-GB"/>
        </w:rPr>
        <w:t xml:space="preserve"> </w:t>
      </w:r>
      <w:r w:rsidRPr="0060421C">
        <w:rPr>
          <w:lang w:eastAsia="en-GB"/>
        </w:rPr>
        <w:t>emission factors and an industry-developed model based on the Marcogaz estimating template. It incorporates internationally published emission rates (American Petroleum Institute Compendium) and company-specific asset data to provide a bottom-up estimate. Industry now conducts annual asset-level leakage measurements to validate the emissions rates and estimates.</w:t>
      </w:r>
    </w:p>
    <w:p w14:paraId="6A386913" w14:textId="77777777" w:rsidR="0038460F" w:rsidRPr="0060421C" w:rsidRDefault="0038460F" w:rsidP="0038460F">
      <w:pPr>
        <w:pStyle w:val="BodyText"/>
        <w:rPr>
          <w:lang w:eastAsia="en-GB"/>
        </w:rPr>
      </w:pPr>
      <w:r w:rsidRPr="0060421C">
        <w:rPr>
          <w:lang w:eastAsia="en-GB"/>
        </w:rPr>
        <w:t>The Tier 3 methodology applies from 2017 onwards. To maintain time-series consistency and avoid discontinuities, data splicing was applied: leakage rates were interpolated back to the 1990 value of 1.75 percent for earlier years.</w:t>
      </w:r>
    </w:p>
    <w:p w14:paraId="1123E1C9" w14:textId="77777777" w:rsidR="0038460F" w:rsidRPr="0060421C" w:rsidRDefault="0038460F" w:rsidP="0038460F">
      <w:pPr>
        <w:pStyle w:val="Heading5"/>
        <w:spacing w:before="220"/>
        <w:rPr>
          <w:lang w:eastAsia="en-GB"/>
        </w:rPr>
      </w:pPr>
      <w:r w:rsidRPr="0060421C">
        <w:rPr>
          <w:lang w:eastAsia="en-GB"/>
        </w:rPr>
        <w:t xml:space="preserve">1.B.2.b.4 Natural gas storage </w:t>
      </w:r>
    </w:p>
    <w:p w14:paraId="2899945E" w14:textId="77777777" w:rsidR="0038460F" w:rsidRPr="0060421C" w:rsidRDefault="0038460F" w:rsidP="0038460F">
      <w:pPr>
        <w:pStyle w:val="BodyText"/>
      </w:pPr>
      <w:r w:rsidRPr="0060421C">
        <w:t>Natural gas storage occurs at the Ahuroa gas storage facility. Ahuroa is a depleted gas field that can hold 5 PJ to 10 PJ of natural gas at any one point. A significant portion of this gas is used to run Contact Energy’s Stratford gas peaking plant, which consists of two 100 MW open</w:t>
      </w:r>
      <w:r w:rsidRPr="0060421C">
        <w:noBreakHyphen/>
        <w:t xml:space="preserve">cycle gas turbine units. </w:t>
      </w:r>
    </w:p>
    <w:p w14:paraId="26DDA467" w14:textId="77777777" w:rsidR="0038460F" w:rsidRPr="0060421C" w:rsidRDefault="0038460F" w:rsidP="0038460F">
      <w:pPr>
        <w:pStyle w:val="Heading5"/>
        <w:rPr>
          <w:lang w:eastAsia="en-GB"/>
        </w:rPr>
      </w:pPr>
      <w:r w:rsidRPr="0060421C">
        <w:rPr>
          <w:lang w:eastAsia="en-GB"/>
        </w:rPr>
        <w:t>1.B.2.c Venting and fla</w:t>
      </w:r>
      <w:r w:rsidRPr="0060421C">
        <w:rPr>
          <w:rFonts w:cs="Calibri"/>
        </w:rPr>
        <w:t>r</w:t>
      </w:r>
      <w:r w:rsidRPr="0060421C">
        <w:rPr>
          <w:lang w:eastAsia="en-GB"/>
        </w:rPr>
        <w:t>ing</w:t>
      </w:r>
    </w:p>
    <w:p w14:paraId="1FF8DD7C" w14:textId="77777777" w:rsidR="0038460F" w:rsidRPr="0060421C" w:rsidRDefault="0038460F" w:rsidP="0038460F">
      <w:pPr>
        <w:pStyle w:val="BodyText"/>
      </w:pPr>
      <w:r w:rsidRPr="0060421C">
        <w:rPr>
          <w:lang w:eastAsia="en-GB"/>
        </w:rPr>
        <w:t xml:space="preserve">Data on </w:t>
      </w:r>
      <w:r w:rsidRPr="0060421C">
        <w:rPr>
          <w:rFonts w:cs="Calibri"/>
        </w:rPr>
        <w:t xml:space="preserve">natural </w:t>
      </w:r>
      <w:r w:rsidRPr="0060421C">
        <w:rPr>
          <w:lang w:eastAsia="en-GB"/>
        </w:rPr>
        <w:t xml:space="preserve">gas flaring, </w:t>
      </w:r>
      <w:r w:rsidRPr="0060421C">
        <w:t xml:space="preserve">losses and own use are reported directly by gas field operators. </w:t>
      </w:r>
    </w:p>
    <w:p w14:paraId="29559E43" w14:textId="77777777" w:rsidR="0038460F" w:rsidRPr="0060421C" w:rsidRDefault="0038460F" w:rsidP="0038460F">
      <w:pPr>
        <w:pStyle w:val="BodyText"/>
        <w:rPr>
          <w:lang w:eastAsia="en-GB"/>
        </w:rPr>
      </w:pPr>
      <w:r w:rsidRPr="0060421C">
        <w:t>The operator of the Kapuni Ga</w:t>
      </w:r>
      <w:r w:rsidRPr="0060421C">
        <w:rPr>
          <w:lang w:eastAsia="en-GB"/>
        </w:rPr>
        <w:t xml:space="preserve">s Treatment Plant supplies estimates of </w:t>
      </w:r>
      <w:r w:rsidRPr="0060421C">
        <w:rPr>
          <w:rFonts w:cs="Calibri"/>
        </w:rPr>
        <w:t>CO</w:t>
      </w:r>
      <w:r w:rsidRPr="0060421C">
        <w:rPr>
          <w:rFonts w:cs="Calibri"/>
          <w:vertAlign w:val="subscript"/>
        </w:rPr>
        <w:t>2</w:t>
      </w:r>
      <w:r w:rsidRPr="0060421C">
        <w:rPr>
          <w:lang w:eastAsia="en-GB"/>
        </w:rPr>
        <w:t xml:space="preserve"> vented during the processing of natural gas.</w:t>
      </w:r>
    </w:p>
    <w:p w14:paraId="54A53D5D" w14:textId="77777777" w:rsidR="0038460F" w:rsidRPr="0060421C" w:rsidRDefault="0038460F" w:rsidP="0038460F">
      <w:pPr>
        <w:pStyle w:val="BodyText"/>
        <w:rPr>
          <w:lang w:eastAsia="en-GB"/>
        </w:rPr>
      </w:pPr>
      <w:r w:rsidRPr="0060421C">
        <w:rPr>
          <w:lang w:eastAsia="en-GB"/>
        </w:rPr>
        <w:t xml:space="preserve">In response to an ERT </w:t>
      </w:r>
      <w:r w:rsidRPr="0060421C">
        <w:t>recommendation</w:t>
      </w:r>
      <w:r w:rsidRPr="0060421C">
        <w:rPr>
          <w:lang w:eastAsia="en-GB"/>
        </w:rPr>
        <w:t xml:space="preserve">, flaring of refinery gas has been reallocated from 1.B.2.a </w:t>
      </w:r>
      <w:r w:rsidRPr="0060421C">
        <w:rPr>
          <w:i/>
          <w:iCs/>
          <w:lang w:eastAsia="en-GB"/>
        </w:rPr>
        <w:t>Oil</w:t>
      </w:r>
      <w:r w:rsidRPr="0060421C">
        <w:rPr>
          <w:lang w:eastAsia="en-GB"/>
        </w:rPr>
        <w:t xml:space="preserve"> to 1.B.2.c </w:t>
      </w:r>
      <w:r w:rsidRPr="0060421C">
        <w:rPr>
          <w:i/>
          <w:iCs/>
          <w:lang w:eastAsia="en-GB"/>
        </w:rPr>
        <w:t>Venting and flaring</w:t>
      </w:r>
      <w:r w:rsidRPr="0060421C">
        <w:rPr>
          <w:lang w:eastAsia="en-GB"/>
        </w:rPr>
        <w:t>.</w:t>
      </w:r>
    </w:p>
    <w:p w14:paraId="62300E7F" w14:textId="77777777" w:rsidR="0038460F" w:rsidRPr="0060421C" w:rsidRDefault="0038460F" w:rsidP="0038460F">
      <w:pPr>
        <w:pStyle w:val="Heading4"/>
        <w:rPr>
          <w:lang w:eastAsia="en-GB"/>
        </w:rPr>
      </w:pPr>
      <w:r w:rsidRPr="0060421C">
        <w:rPr>
          <w:lang w:eastAsia="en-GB"/>
        </w:rPr>
        <w:t>Emission factors</w:t>
      </w:r>
    </w:p>
    <w:p w14:paraId="68A905AF" w14:textId="77777777" w:rsidR="0038460F" w:rsidRPr="0060421C" w:rsidRDefault="0038460F" w:rsidP="0038460F">
      <w:pPr>
        <w:pStyle w:val="BodyText"/>
        <w:rPr>
          <w:lang w:eastAsia="en-GB"/>
        </w:rPr>
      </w:pPr>
      <w:r w:rsidRPr="0060421C">
        <w:rPr>
          <w:lang w:eastAsia="en-GB"/>
        </w:rPr>
        <w:t xml:space="preserve">Unless noted </w:t>
      </w:r>
      <w:r w:rsidRPr="0060421C">
        <w:t>otherwise</w:t>
      </w:r>
      <w:r w:rsidRPr="0060421C">
        <w:rPr>
          <w:lang w:eastAsia="en-GB"/>
        </w:rPr>
        <w:t>, default IPCC (2006) emission factors have been used.</w:t>
      </w:r>
    </w:p>
    <w:p w14:paraId="374C0BD4" w14:textId="77777777" w:rsidR="0038460F" w:rsidRPr="0060421C" w:rsidRDefault="0038460F" w:rsidP="0038460F">
      <w:pPr>
        <w:pStyle w:val="Heading4"/>
        <w:rPr>
          <w:lang w:eastAsia="en-GB"/>
        </w:rPr>
      </w:pPr>
      <w:r w:rsidRPr="0060421C">
        <w:t>Uncertainty</w:t>
      </w:r>
      <w:r w:rsidRPr="0060421C">
        <w:rPr>
          <w:lang w:eastAsia="en-GB"/>
        </w:rPr>
        <w:t xml:space="preserve"> assessment and time-series consistency</w:t>
      </w:r>
    </w:p>
    <w:p w14:paraId="7B6E8427" w14:textId="77777777" w:rsidR="0038460F" w:rsidRPr="0060421C" w:rsidRDefault="0038460F" w:rsidP="0038460F">
      <w:pPr>
        <w:pStyle w:val="BodyText"/>
        <w:rPr>
          <w:lang w:eastAsia="en-GB"/>
        </w:rPr>
      </w:pPr>
      <w:r w:rsidRPr="0060421C">
        <w:rPr>
          <w:lang w:eastAsia="en-GB"/>
        </w:rPr>
        <w:t>Time-series data from various geothermal fields vary in completeness, and some historical data are not available. Individual geothermal fields each produce varying levels of output and emissions, so the overall implied emission factors display a certain amount of natural variation.</w:t>
      </w:r>
    </w:p>
    <w:p w14:paraId="59D0B897" w14:textId="77777777" w:rsidR="0038460F" w:rsidRPr="0060421C" w:rsidRDefault="0038460F" w:rsidP="0038460F">
      <w:pPr>
        <w:pStyle w:val="Heading4"/>
        <w:rPr>
          <w:lang w:eastAsia="en-GB"/>
        </w:rPr>
      </w:pPr>
      <w:r w:rsidRPr="0060421C">
        <w:t>Category</w:t>
      </w:r>
      <w:r w:rsidRPr="0060421C">
        <w:rPr>
          <w:lang w:eastAsia="en-GB"/>
        </w:rPr>
        <w:t>-specific QA/QC and verification</w:t>
      </w:r>
    </w:p>
    <w:p w14:paraId="37464C67" w14:textId="77777777" w:rsidR="0038460F" w:rsidRPr="0060421C" w:rsidRDefault="0038460F" w:rsidP="0038460F">
      <w:pPr>
        <w:pStyle w:val="BodyText"/>
        <w:rPr>
          <w:lang w:eastAsia="en-GB"/>
        </w:rPr>
      </w:pPr>
      <w:r w:rsidRPr="0060421C">
        <w:rPr>
          <w:lang w:eastAsia="en-GB"/>
        </w:rPr>
        <w:t xml:space="preserve">In the preparation of this inventory, the </w:t>
      </w:r>
      <w:r w:rsidRPr="0060421C">
        <w:rPr>
          <w:rFonts w:cs="Calibri"/>
          <w:i/>
          <w:iCs/>
          <w:lang w:eastAsia="en-GB"/>
        </w:rPr>
        <w:t>Fugitive emissions</w:t>
      </w:r>
      <w:r w:rsidRPr="0060421C">
        <w:rPr>
          <w:lang w:eastAsia="en-GB"/>
        </w:rPr>
        <w:t xml:space="preserve"> category underwent Tier 1 quality</w:t>
      </w:r>
      <w:r>
        <w:rPr>
          <w:lang w:eastAsia="en-GB"/>
        </w:rPr>
        <w:noBreakHyphen/>
      </w:r>
      <w:r w:rsidRPr="0060421C">
        <w:rPr>
          <w:lang w:eastAsia="en-GB"/>
        </w:rPr>
        <w:t>assurance and quality-control checks as recommended in the 2006 IPCC Guidelines (IPCC, 2006). These include regular control sums throughout systems, to verify system integrity, and</w:t>
      </w:r>
      <w:r w:rsidRPr="00EE10C5">
        <w:rPr>
          <w:lang w:eastAsia="en-GB"/>
        </w:rPr>
        <w:t xml:space="preserve"> </w:t>
      </w:r>
      <w:r w:rsidRPr="0060421C">
        <w:rPr>
          <w:lang w:eastAsia="en-GB"/>
        </w:rPr>
        <w:t>consistency checks of implied emission factors.</w:t>
      </w:r>
    </w:p>
    <w:p w14:paraId="1EEDD334" w14:textId="77777777" w:rsidR="0038460F" w:rsidRPr="0060421C" w:rsidRDefault="0038460F" w:rsidP="0038460F">
      <w:pPr>
        <w:pStyle w:val="Heading4"/>
        <w:rPr>
          <w:lang w:eastAsia="en-GB"/>
        </w:rPr>
      </w:pPr>
      <w:r w:rsidRPr="0060421C">
        <w:t>Category</w:t>
      </w:r>
      <w:r w:rsidRPr="0060421C">
        <w:rPr>
          <w:lang w:eastAsia="en-GB"/>
        </w:rPr>
        <w:t>-specific recalculations</w:t>
      </w:r>
    </w:p>
    <w:p w14:paraId="24CC25D1" w14:textId="77777777" w:rsidR="0038460F" w:rsidRPr="0060421C" w:rsidRDefault="0038460F" w:rsidP="0038460F">
      <w:pPr>
        <w:pStyle w:val="BodyText"/>
        <w:rPr>
          <w:lang w:eastAsia="en-GB"/>
        </w:rPr>
      </w:pPr>
      <w:r w:rsidRPr="0060421C">
        <w:rPr>
          <w:lang w:eastAsia="en-GB"/>
        </w:rPr>
        <w:t>Historical energy production and processing data in MBIE’s oil and gas data system are occasionally revised from year to year. This may result in minor revisions to activity data and recalculations to the corresponding emissions for some years in some categories.</w:t>
      </w:r>
    </w:p>
    <w:p w14:paraId="46D3980B" w14:textId="77777777" w:rsidR="0038460F" w:rsidRPr="0060421C" w:rsidRDefault="0038460F" w:rsidP="0038460F">
      <w:pPr>
        <w:pStyle w:val="BodyText"/>
        <w:rPr>
          <w:lang w:eastAsia="en-GB"/>
        </w:rPr>
      </w:pPr>
      <w:r w:rsidRPr="0060421C">
        <w:rPr>
          <w:lang w:eastAsia="en-GB"/>
        </w:rPr>
        <w:t xml:space="preserve">Updated data sourced from field operators have been used to improve the accuracy of emission estimates for geothermal activities. </w:t>
      </w:r>
    </w:p>
    <w:p w14:paraId="3E7CC506" w14:textId="77777777" w:rsidR="0038460F" w:rsidRPr="0060421C" w:rsidRDefault="0038460F" w:rsidP="0038460F">
      <w:pPr>
        <w:pStyle w:val="Heading4"/>
      </w:pPr>
      <w:r w:rsidRPr="0060421C">
        <w:t>Category-specific planned improvements</w:t>
      </w:r>
    </w:p>
    <w:p w14:paraId="539F47A7" w14:textId="77777777" w:rsidR="0038460F" w:rsidRPr="0060421C" w:rsidRDefault="0038460F" w:rsidP="0038460F">
      <w:pPr>
        <w:pStyle w:val="BodyText"/>
        <w:rPr>
          <w:rFonts w:cs="Calibri"/>
          <w:lang w:eastAsia="en-GB"/>
        </w:rPr>
      </w:pPr>
      <w:r w:rsidRPr="0060421C">
        <w:rPr>
          <w:rFonts w:cs="Calibri"/>
          <w:lang w:eastAsia="en-GB"/>
        </w:rPr>
        <w:t xml:space="preserve">Updated estimates of distribution losses will be incorporated as and when Tier 3 estimates from industry models become available. This is dependent on sufficiently detailed and disaggregated information on the historical state of distribution network infrastructure and assets. </w:t>
      </w:r>
    </w:p>
    <w:p w14:paraId="208CAEA8" w14:textId="77777777" w:rsidR="0038460F" w:rsidRPr="0060421C" w:rsidRDefault="0038460F" w:rsidP="0038460F">
      <w:pPr>
        <w:pStyle w:val="BodyText"/>
        <w:rPr>
          <w:rFonts w:cs="Calibri"/>
          <w:lang w:eastAsia="en-GB"/>
        </w:rPr>
      </w:pPr>
      <w:r w:rsidRPr="0060421C">
        <w:rPr>
          <w:rFonts w:cs="Calibri"/>
          <w:lang w:eastAsia="en-GB"/>
        </w:rPr>
        <w:t>As the dataset of verified UEFs for individual geothermal fields and coal mines obtained from the NZ ETS grows, New Zealand will consider methods of incorporating these data to improve the accuracy of estimates.</w:t>
      </w:r>
    </w:p>
    <w:p w14:paraId="50152677" w14:textId="77777777" w:rsidR="0038460F" w:rsidRPr="0060421C" w:rsidRDefault="0038460F" w:rsidP="00C95D66">
      <w:pPr>
        <w:pStyle w:val="Heading2"/>
        <w:spacing w:line="400" w:lineRule="atLeast"/>
        <w:rPr>
          <w:rFonts w:cs="Calibri"/>
        </w:rPr>
      </w:pPr>
      <w:bookmarkStart w:id="441" w:name="_Toc164154177"/>
      <w:bookmarkStart w:id="442" w:name="_Toc194312001"/>
      <w:bookmarkStart w:id="443" w:name="_Toc226460755"/>
      <w:r w:rsidRPr="0060421C">
        <w:rPr>
          <w:rFonts w:cs="Calibri"/>
        </w:rPr>
        <w:t>3.4</w:t>
      </w:r>
      <w:r w:rsidRPr="0060421C">
        <w:rPr>
          <w:rFonts w:cs="Calibri"/>
        </w:rPr>
        <w:tab/>
        <w:t>Carbon dioxide transport and storage (CRT 1.C)</w:t>
      </w:r>
      <w:bookmarkEnd w:id="441"/>
      <w:bookmarkEnd w:id="442"/>
      <w:bookmarkEnd w:id="443"/>
    </w:p>
    <w:p w14:paraId="56718F5A" w14:textId="77777777" w:rsidR="0038460F" w:rsidRPr="0060421C" w:rsidRDefault="0038460F" w:rsidP="0038460F">
      <w:pPr>
        <w:pStyle w:val="BodyText"/>
        <w:rPr>
          <w:lang w:eastAsia="en-GB"/>
        </w:rPr>
      </w:pPr>
      <w:r w:rsidRPr="0060421C">
        <w:rPr>
          <w:lang w:eastAsia="en-GB"/>
        </w:rPr>
        <w:t>In New Zealand, CO</w:t>
      </w:r>
      <w:r w:rsidRPr="0060421C">
        <w:rPr>
          <w:vertAlign w:val="subscript"/>
          <w:lang w:eastAsia="en-GB"/>
        </w:rPr>
        <w:t>2</w:t>
      </w:r>
      <w:r w:rsidRPr="0060421C">
        <w:rPr>
          <w:lang w:eastAsia="en-GB"/>
        </w:rPr>
        <w:t xml:space="preserve"> is transported in bulk by ship. Pipeline transport does not occur. The total quantity of international trade (reported in kilotonnes) is used as the activity data. As default IPCC (2006) emission factors for fugitive emissions from CO</w:t>
      </w:r>
      <w:r w:rsidRPr="0060421C">
        <w:rPr>
          <w:vertAlign w:val="subscript"/>
          <w:lang w:eastAsia="en-GB"/>
        </w:rPr>
        <w:t>2</w:t>
      </w:r>
      <w:r w:rsidRPr="0060421C">
        <w:rPr>
          <w:lang w:eastAsia="en-GB"/>
        </w:rPr>
        <w:t xml:space="preserve"> transport by ship have not been provided, these emissions have not been estimated.</w:t>
      </w:r>
    </w:p>
    <w:p w14:paraId="5D954DA7" w14:textId="77777777" w:rsidR="0038460F" w:rsidRPr="0060421C" w:rsidRDefault="0038460F" w:rsidP="0038460F">
      <w:pPr>
        <w:pStyle w:val="BodyText"/>
        <w:rPr>
          <w:lang w:eastAsia="en-GB"/>
        </w:rPr>
      </w:pPr>
      <w:r w:rsidRPr="0060421C">
        <w:rPr>
          <w:lang w:eastAsia="en-GB"/>
        </w:rPr>
        <w:t>No known CO</w:t>
      </w:r>
      <w:r w:rsidRPr="0060421C">
        <w:rPr>
          <w:vertAlign w:val="subscript"/>
          <w:lang w:eastAsia="en-GB"/>
        </w:rPr>
        <w:t>2</w:t>
      </w:r>
      <w:r w:rsidRPr="0060421C">
        <w:rPr>
          <w:lang w:eastAsia="en-GB"/>
        </w:rPr>
        <w:t xml:space="preserve"> storage occurred in New Zealand between 1990 and </w:t>
      </w:r>
      <w:r w:rsidRPr="0060421C">
        <w:t>2024</w:t>
      </w:r>
      <w:r w:rsidRPr="0060421C">
        <w:rPr>
          <w:lang w:eastAsia="en-GB"/>
        </w:rPr>
        <w:t>. During 2024, the Government proposed a regulatory regime for carbon capture, utilisation and storage (MBIE, 2024).</w:t>
      </w:r>
    </w:p>
    <w:p w14:paraId="43D0F754" w14:textId="77777777" w:rsidR="0038460F" w:rsidRPr="0060421C" w:rsidRDefault="0038460F" w:rsidP="007C0A83">
      <w:pPr>
        <w:pStyle w:val="Heading2"/>
        <w:spacing w:before="0" w:after="320"/>
        <w:rPr>
          <w:rFonts w:cs="Calibri"/>
          <w:b w:val="0"/>
        </w:rPr>
      </w:pPr>
      <w:r w:rsidRPr="0060421C">
        <w:rPr>
          <w:rFonts w:cs="Calibri"/>
        </w:rPr>
        <w:br w:type="page"/>
      </w:r>
      <w:bookmarkStart w:id="444" w:name="_Toc384581638"/>
      <w:bookmarkStart w:id="445" w:name="_Toc448321510"/>
      <w:bookmarkStart w:id="446" w:name="_Toc481751372"/>
      <w:bookmarkStart w:id="447" w:name="_Toc36224389"/>
      <w:bookmarkStart w:id="448" w:name="_Toc68786309"/>
      <w:bookmarkStart w:id="449" w:name="_Toc164154178"/>
      <w:bookmarkStart w:id="450" w:name="_Toc194312002"/>
      <w:bookmarkStart w:id="451" w:name="_Toc226460756"/>
      <w:r w:rsidRPr="0060421C">
        <w:rPr>
          <w:rStyle w:val="Heading2Char"/>
          <w:b/>
        </w:rPr>
        <w:t>Chapter 3: References</w:t>
      </w:r>
      <w:bookmarkEnd w:id="444"/>
      <w:bookmarkEnd w:id="445"/>
      <w:bookmarkEnd w:id="446"/>
      <w:bookmarkEnd w:id="447"/>
      <w:bookmarkEnd w:id="448"/>
      <w:bookmarkEnd w:id="449"/>
      <w:bookmarkEnd w:id="450"/>
      <w:bookmarkEnd w:id="451"/>
    </w:p>
    <w:p w14:paraId="42AD2E6D" w14:textId="77777777" w:rsidR="0038460F" w:rsidRPr="0060421C" w:rsidRDefault="0038460F" w:rsidP="0038460F">
      <w:pPr>
        <w:pStyle w:val="References"/>
        <w:rPr>
          <w:rFonts w:cs="Calibri"/>
          <w:lang w:eastAsia="en-GB"/>
        </w:rPr>
      </w:pPr>
      <w:r w:rsidRPr="0060421C">
        <w:rPr>
          <w:rFonts w:cs="Calibri"/>
          <w:lang w:eastAsia="en-GB"/>
        </w:rPr>
        <w:t xml:space="preserve">Australian Bureau of Statistics and Statistics New Zealand. 2006. </w:t>
      </w:r>
      <w:r w:rsidRPr="0060421C">
        <w:rPr>
          <w:rFonts w:cs="Calibri"/>
          <w:i/>
          <w:iCs/>
          <w:lang w:eastAsia="en-GB"/>
        </w:rPr>
        <w:t xml:space="preserve">Australian and New Zealand Standard Industrial Classification Revision 1.0. </w:t>
      </w:r>
      <w:r w:rsidRPr="0060421C">
        <w:rPr>
          <w:rFonts w:cs="Calibri"/>
          <w:lang w:eastAsia="en-GB"/>
        </w:rPr>
        <w:t>Canberra: Australian Bureau of Statistics.</w:t>
      </w:r>
    </w:p>
    <w:p w14:paraId="08DAEE6F" w14:textId="77777777" w:rsidR="0038460F" w:rsidRPr="0060421C" w:rsidRDefault="0038460F" w:rsidP="0038460F">
      <w:pPr>
        <w:pStyle w:val="References"/>
        <w:rPr>
          <w:rFonts w:cs="Calibri"/>
          <w:lang w:eastAsia="en-GB"/>
        </w:rPr>
      </w:pPr>
      <w:r w:rsidRPr="0060421C">
        <w:rPr>
          <w:rFonts w:cs="Calibri"/>
          <w:lang w:eastAsia="en-GB"/>
        </w:rPr>
        <w:t xml:space="preserve">Baines JT. 1993. </w:t>
      </w:r>
      <w:r w:rsidRPr="0060421C">
        <w:rPr>
          <w:rFonts w:cs="Calibri"/>
          <w:i/>
          <w:iCs/>
          <w:lang w:eastAsia="en-GB"/>
        </w:rPr>
        <w:t>New Zealand Energy Information Handbook</w:t>
      </w:r>
      <w:r w:rsidRPr="0060421C">
        <w:rPr>
          <w:rFonts w:cs="Calibri"/>
          <w:lang w:eastAsia="en-GB"/>
        </w:rPr>
        <w:t>. Christchurch: Taylor Baines and Associates.</w:t>
      </w:r>
    </w:p>
    <w:p w14:paraId="51F9BBD7" w14:textId="77777777" w:rsidR="0038460F" w:rsidRPr="0060421C" w:rsidRDefault="0038460F" w:rsidP="0038460F">
      <w:pPr>
        <w:pStyle w:val="References"/>
        <w:rPr>
          <w:rFonts w:cs="Calibri"/>
          <w:lang w:eastAsia="en-GB"/>
        </w:rPr>
      </w:pPr>
      <w:r w:rsidRPr="0060421C">
        <w:rPr>
          <w:rFonts w:cs="Calibri"/>
          <w:lang w:eastAsia="en-GB"/>
        </w:rPr>
        <w:t>Beamish BB, Vance WE. 1992. Greenhouse gas contributions from coal mining in Australia and New</w:t>
      </w:r>
      <w:r>
        <w:rPr>
          <w:rFonts w:cs="Calibri"/>
          <w:lang w:eastAsia="en-GB"/>
        </w:rPr>
        <w:t xml:space="preserve"> </w:t>
      </w:r>
      <w:r w:rsidRPr="0060421C">
        <w:rPr>
          <w:rFonts w:cs="Calibri"/>
          <w:lang w:eastAsia="en-GB"/>
        </w:rPr>
        <w:t xml:space="preserve">Zealand. </w:t>
      </w:r>
      <w:r w:rsidRPr="0060421C">
        <w:rPr>
          <w:rFonts w:cs="Calibri"/>
          <w:i/>
          <w:iCs/>
          <w:lang w:eastAsia="en-GB"/>
        </w:rPr>
        <w:t xml:space="preserve">Journal of the Royal Society of New Zealand </w:t>
      </w:r>
      <w:r w:rsidRPr="0060421C">
        <w:rPr>
          <w:rFonts w:cs="Calibri"/>
          <w:lang w:eastAsia="en-GB"/>
        </w:rPr>
        <w:t>22(2).</w:t>
      </w:r>
    </w:p>
    <w:p w14:paraId="74A804B0" w14:textId="77777777" w:rsidR="0038460F" w:rsidRPr="0060421C" w:rsidRDefault="0038460F" w:rsidP="0038460F">
      <w:pPr>
        <w:pStyle w:val="References"/>
        <w:rPr>
          <w:rFonts w:cs="Calibri"/>
          <w:lang w:eastAsia="en-GB"/>
        </w:rPr>
      </w:pPr>
      <w:r w:rsidRPr="0060421C">
        <w:rPr>
          <w:rFonts w:cs="Calibri"/>
          <w:lang w:eastAsia="en-GB"/>
        </w:rPr>
        <w:t xml:space="preserve">Bioenergy Association of New Zealand. 2011. </w:t>
      </w:r>
      <w:hyperlink r:id="rId71" w:history="1">
        <w:r w:rsidRPr="0060421C">
          <w:rPr>
            <w:rStyle w:val="Hyperlink"/>
            <w:rFonts w:cs="Calibri"/>
            <w:i/>
            <w:lang w:eastAsia="en-GB"/>
          </w:rPr>
          <w:t>Heat Plant in New Zealand</w:t>
        </w:r>
      </w:hyperlink>
      <w:r w:rsidRPr="0060421C">
        <w:rPr>
          <w:rFonts w:cs="Calibri"/>
          <w:lang w:eastAsia="en-GB"/>
        </w:rPr>
        <w:t>. Retrieved</w:t>
      </w:r>
      <w:r w:rsidRPr="0060421C">
        <w:rPr>
          <w:rFonts w:cs="Calibri"/>
        </w:rPr>
        <w:t xml:space="preserve"> 20 February 2025. </w:t>
      </w:r>
    </w:p>
    <w:p w14:paraId="6CC8CF1E" w14:textId="77777777" w:rsidR="0038460F" w:rsidRPr="0060421C" w:rsidRDefault="0038460F" w:rsidP="0038460F">
      <w:pPr>
        <w:pStyle w:val="References"/>
        <w:rPr>
          <w:rFonts w:cs="Calibri"/>
          <w:lang w:eastAsia="en-GB"/>
        </w:rPr>
      </w:pPr>
      <w:r w:rsidRPr="0060421C">
        <w:rPr>
          <w:rFonts w:cs="Calibri"/>
          <w:lang w:eastAsia="en-GB"/>
        </w:rPr>
        <w:t xml:space="preserve">BRANZ. 2002. </w:t>
      </w:r>
      <w:r w:rsidRPr="0060421C">
        <w:rPr>
          <w:rFonts w:cs="Calibri"/>
          <w:i/>
          <w:iCs/>
          <w:lang w:eastAsia="en-GB"/>
        </w:rPr>
        <w:t>Energy Use in New Zealand Households</w:t>
      </w:r>
      <w:r w:rsidRPr="0060421C">
        <w:rPr>
          <w:rFonts w:cs="Calibri"/>
          <w:lang w:eastAsia="en-GB"/>
        </w:rPr>
        <w:t>. Porirua, Wellington: Building Research Association of New Zealand.</w:t>
      </w:r>
    </w:p>
    <w:p w14:paraId="6EBEA36A" w14:textId="77777777" w:rsidR="0038460F" w:rsidRPr="0060421C" w:rsidRDefault="0038460F" w:rsidP="0038460F">
      <w:pPr>
        <w:pStyle w:val="References"/>
        <w:rPr>
          <w:rFonts w:cs="Calibri"/>
          <w:lang w:eastAsia="en-GB"/>
        </w:rPr>
      </w:pPr>
      <w:r w:rsidRPr="0060421C">
        <w:rPr>
          <w:rFonts w:cs="Calibri"/>
          <w:lang w:eastAsia="en-GB"/>
        </w:rPr>
        <w:t xml:space="preserve">CRL Energy Ltd. 2009. </w:t>
      </w:r>
      <w:hyperlink r:id="rId72" w:history="1">
        <w:r w:rsidRPr="0060421C">
          <w:rPr>
            <w:rStyle w:val="Hyperlink"/>
            <w:rFonts w:cs="Calibri"/>
            <w:i/>
            <w:iCs/>
            <w:lang w:eastAsia="en-GB"/>
          </w:rPr>
          <w:t>Review of Default Emission Factors in Draft Stationary Energy and Industrial Processes: Coal</w:t>
        </w:r>
      </w:hyperlink>
      <w:r w:rsidRPr="0060421C">
        <w:t xml:space="preserve">. Contract report prepared for the Ministry for the Environment. Wellington: Ministry for the Environment. Retrieved </w:t>
      </w:r>
      <w:r w:rsidRPr="0060421C">
        <w:rPr>
          <w:rFonts w:cs="Calibri"/>
        </w:rPr>
        <w:t>20 February 2025</w:t>
      </w:r>
      <w:r w:rsidRPr="0060421C">
        <w:rPr>
          <w:rFonts w:cs="Calibri"/>
          <w:lang w:eastAsia="en-GB"/>
        </w:rPr>
        <w:t>.</w:t>
      </w:r>
    </w:p>
    <w:p w14:paraId="228FFA8B" w14:textId="77777777" w:rsidR="0038460F" w:rsidRPr="0060421C" w:rsidRDefault="0038460F" w:rsidP="0038460F">
      <w:pPr>
        <w:pStyle w:val="References"/>
        <w:rPr>
          <w:rFonts w:cs="Calibri"/>
          <w:lang w:eastAsia="en-GB"/>
        </w:rPr>
      </w:pPr>
      <w:r w:rsidRPr="0060421C">
        <w:rPr>
          <w:rFonts w:cs="Calibri"/>
          <w:lang w:eastAsia="en-GB"/>
        </w:rPr>
        <w:t xml:space="preserve">European Environment Agency. 2007. </w:t>
      </w:r>
      <w:r w:rsidRPr="0060421C">
        <w:rPr>
          <w:rFonts w:cs="Calibri"/>
          <w:i/>
          <w:iCs/>
          <w:lang w:eastAsia="en-GB"/>
        </w:rPr>
        <w:t>EMEP/CORINAIR Emission Inventory Guidebook – 2007</w:t>
      </w:r>
      <w:r w:rsidRPr="0060421C">
        <w:rPr>
          <w:rFonts w:cs="Calibri"/>
          <w:iCs/>
          <w:lang w:eastAsia="en-GB"/>
        </w:rPr>
        <w:t>. Copenhagen:</w:t>
      </w:r>
      <w:r w:rsidRPr="0060421C">
        <w:rPr>
          <w:rFonts w:cs="Calibri"/>
          <w:lang w:eastAsia="en-GB"/>
        </w:rPr>
        <w:t xml:space="preserve"> European Environment Agency.</w:t>
      </w:r>
    </w:p>
    <w:p w14:paraId="088B62AB" w14:textId="77777777" w:rsidR="0038460F" w:rsidRPr="0060421C" w:rsidRDefault="0038460F" w:rsidP="0038460F">
      <w:pPr>
        <w:pStyle w:val="References"/>
        <w:rPr>
          <w:rFonts w:cs="Calibri"/>
          <w:lang w:eastAsia="en-GB"/>
        </w:rPr>
      </w:pPr>
      <w:r w:rsidRPr="0060421C">
        <w:rPr>
          <w:rFonts w:cs="Calibri"/>
          <w:lang w:eastAsia="en-GB"/>
        </w:rPr>
        <w:t xml:space="preserve">European Environment Agency. 2016. </w:t>
      </w:r>
      <w:r w:rsidRPr="0060421C">
        <w:rPr>
          <w:rFonts w:cs="Calibri"/>
          <w:i/>
          <w:lang w:eastAsia="en-GB"/>
        </w:rPr>
        <w:t xml:space="preserve">EMEP/EEA Air Pollutant Emission Inventory Guidebook 2016: </w:t>
      </w:r>
      <w:r w:rsidRPr="0060421C">
        <w:rPr>
          <w:rFonts w:cs="Calibri"/>
          <w:i/>
          <w:spacing w:val="-2"/>
          <w:lang w:eastAsia="en-GB"/>
        </w:rPr>
        <w:t>Technical guidance to prepare national emission inventories</w:t>
      </w:r>
      <w:r w:rsidRPr="0060421C">
        <w:rPr>
          <w:rFonts w:cs="Calibri"/>
          <w:spacing w:val="-2"/>
          <w:lang w:eastAsia="en-GB"/>
        </w:rPr>
        <w:t xml:space="preserve">. </w:t>
      </w:r>
      <w:r w:rsidRPr="0060421C">
        <w:rPr>
          <w:rFonts w:cs="Calibri"/>
          <w:iCs/>
          <w:spacing w:val="-2"/>
          <w:lang w:eastAsia="en-GB"/>
        </w:rPr>
        <w:t>Copenhagen</w:t>
      </w:r>
      <w:r w:rsidRPr="0060421C">
        <w:rPr>
          <w:rFonts w:cs="Calibri"/>
          <w:spacing w:val="-2"/>
          <w:lang w:eastAsia="en-GB"/>
        </w:rPr>
        <w:t>: European Environment Agency.</w:t>
      </w:r>
    </w:p>
    <w:p w14:paraId="6654E820" w14:textId="77777777" w:rsidR="0038460F" w:rsidRPr="0060421C" w:rsidRDefault="0038460F" w:rsidP="0038460F">
      <w:pPr>
        <w:pStyle w:val="References"/>
        <w:rPr>
          <w:rFonts w:cs="Calibri"/>
        </w:rPr>
      </w:pPr>
      <w:r w:rsidRPr="0060421C">
        <w:rPr>
          <w:rFonts w:cs="Calibri"/>
        </w:rPr>
        <w:t xml:space="preserve">IPCC. 2006. Eggleston HS, Buendia L, Miwa K, Ngara T, Tanabe K (eds). </w:t>
      </w:r>
      <w:r w:rsidRPr="0060421C">
        <w:rPr>
          <w:rFonts w:cs="Calibri"/>
          <w:i/>
        </w:rPr>
        <w:t>2006 IPCC Guidelines for National Greenhouse Gas Inventories. Volume 2. Energy</w:t>
      </w:r>
      <w:r w:rsidRPr="0060421C">
        <w:rPr>
          <w:rFonts w:cs="Calibri"/>
        </w:rPr>
        <w:t xml:space="preserve">. IPCC National Greenhouse Gas Inventories Programme. Japan: </w:t>
      </w:r>
      <w:r w:rsidRPr="0060421C">
        <w:t xml:space="preserve">Published for the IPCC by the </w:t>
      </w:r>
      <w:r w:rsidRPr="0060421C">
        <w:rPr>
          <w:rFonts w:cs="Calibri"/>
        </w:rPr>
        <w:t>Institute for Global Environmental Strategies for IPCC.</w:t>
      </w:r>
    </w:p>
    <w:p w14:paraId="625A01B1" w14:textId="77777777" w:rsidR="0038460F" w:rsidRPr="0060421C" w:rsidRDefault="0038460F" w:rsidP="0038460F">
      <w:pPr>
        <w:pStyle w:val="References"/>
        <w:rPr>
          <w:rFonts w:cs="Calibri"/>
        </w:rPr>
      </w:pPr>
      <w:r w:rsidRPr="0060421C">
        <w:rPr>
          <w:rFonts w:cs="Calibri"/>
        </w:rPr>
        <w:t xml:space="preserve">MBIE (Ministry of Business, Innovation and Employment). 2008. </w:t>
      </w:r>
      <w:hyperlink r:id="rId73">
        <w:r w:rsidRPr="0060421C">
          <w:rPr>
            <w:rStyle w:val="Hyperlink"/>
            <w:rFonts w:cs="Calibri"/>
            <w:i/>
            <w:iCs/>
          </w:rPr>
          <w:t>Liquid Fuel Use in New Zealand</w:t>
        </w:r>
      </w:hyperlink>
      <w:r w:rsidRPr="0060421C">
        <w:rPr>
          <w:rFonts w:cs="Calibri"/>
        </w:rPr>
        <w:t xml:space="preserve">. </w:t>
      </w:r>
      <w:r w:rsidRPr="0060421C">
        <w:rPr>
          <w:rFonts w:cs="Calibri"/>
          <w:lang w:eastAsia="en-GB"/>
        </w:rPr>
        <w:t xml:space="preserve">Wellington: </w:t>
      </w:r>
      <w:r w:rsidRPr="0060421C">
        <w:rPr>
          <w:rFonts w:cs="Calibri"/>
        </w:rPr>
        <w:t>Ministry of Business, Innovation and Employment</w:t>
      </w:r>
      <w:r w:rsidRPr="0060421C">
        <w:rPr>
          <w:rFonts w:cs="Calibri"/>
          <w:lang w:eastAsia="en-GB"/>
        </w:rPr>
        <w:t xml:space="preserve">. </w:t>
      </w:r>
      <w:r w:rsidRPr="0060421C">
        <w:rPr>
          <w:rFonts w:cs="Calibri"/>
        </w:rPr>
        <w:t>Retrieved 20 February 2025.</w:t>
      </w:r>
    </w:p>
    <w:p w14:paraId="31FFDCFC" w14:textId="77777777" w:rsidR="0038460F" w:rsidRPr="0060421C" w:rsidRDefault="0038460F" w:rsidP="0038460F">
      <w:pPr>
        <w:pStyle w:val="References"/>
        <w:rPr>
          <w:rFonts w:cs="Calibri"/>
        </w:rPr>
      </w:pPr>
      <w:r w:rsidRPr="0060421C">
        <w:rPr>
          <w:rFonts w:cs="Calibri"/>
        </w:rPr>
        <w:t xml:space="preserve">MBIE. 2010. </w:t>
      </w:r>
      <w:hyperlink r:id="rId74" w:history="1">
        <w:r w:rsidRPr="0060421C">
          <w:rPr>
            <w:rStyle w:val="Hyperlink"/>
            <w:rFonts w:cs="Calibri"/>
            <w:i/>
          </w:rPr>
          <w:t>Delivering the Diesel – Liquid Fuel Deliveries in New Zealand 1990–2008</w:t>
        </w:r>
      </w:hyperlink>
      <w:r w:rsidRPr="0060421C">
        <w:rPr>
          <w:rFonts w:cs="Calibri"/>
        </w:rPr>
        <w:t xml:space="preserve">. </w:t>
      </w:r>
      <w:r w:rsidRPr="0060421C">
        <w:rPr>
          <w:rFonts w:cs="Calibri"/>
          <w:lang w:eastAsia="en-GB"/>
        </w:rPr>
        <w:t xml:space="preserve">Wellington: </w:t>
      </w:r>
      <w:r w:rsidRPr="0060421C">
        <w:t xml:space="preserve">Ministry of Business, Innovation and Employment. Retrieved </w:t>
      </w:r>
      <w:r w:rsidRPr="0060421C">
        <w:rPr>
          <w:rFonts w:cs="Calibri"/>
        </w:rPr>
        <w:t>20 February 2025.</w:t>
      </w:r>
    </w:p>
    <w:p w14:paraId="3FCD88C9" w14:textId="4C5D77B3" w:rsidR="0038460F" w:rsidRPr="0060421C" w:rsidRDefault="0038460F" w:rsidP="0038460F">
      <w:pPr>
        <w:pStyle w:val="References"/>
      </w:pPr>
      <w:r w:rsidRPr="0060421C">
        <w:rPr>
          <w:rFonts w:cs="Calibri"/>
          <w:lang w:eastAsia="en-GB"/>
        </w:rPr>
        <w:t>M</w:t>
      </w:r>
      <w:r w:rsidRPr="0060421C">
        <w:rPr>
          <w:rFonts w:cs="Calibri"/>
        </w:rPr>
        <w:t>BIE</w:t>
      </w:r>
      <w:r w:rsidRPr="0060421C">
        <w:rPr>
          <w:rFonts w:cs="Calibri"/>
          <w:lang w:eastAsia="en-GB"/>
        </w:rPr>
        <w:t xml:space="preserve">. 2025a. </w:t>
      </w:r>
      <w:hyperlink r:id="rId75" w:history="1">
        <w:r w:rsidRPr="009F2A72">
          <w:rPr>
            <w:rStyle w:val="Hyperlink"/>
            <w:rFonts w:cs="Calibri"/>
            <w:i/>
            <w:iCs/>
            <w:lang w:eastAsia="en-GB"/>
          </w:rPr>
          <w:t>Energy in New Zealand</w:t>
        </w:r>
      </w:hyperlink>
      <w:r w:rsidRPr="0060421C">
        <w:rPr>
          <w:rFonts w:cs="Calibri"/>
          <w:lang w:eastAsia="en-GB"/>
        </w:rPr>
        <w:t xml:space="preserve">. Wellington: </w:t>
      </w:r>
      <w:r w:rsidRPr="0060421C">
        <w:rPr>
          <w:rFonts w:cs="Calibri"/>
        </w:rPr>
        <w:t>Ministry of Business, Innovation and Employment</w:t>
      </w:r>
      <w:r w:rsidRPr="0060421C">
        <w:rPr>
          <w:rFonts w:cs="Calibri"/>
          <w:lang w:eastAsia="en-GB"/>
        </w:rPr>
        <w:t xml:space="preserve">. </w:t>
      </w:r>
      <w:r w:rsidRPr="0060421C">
        <w:rPr>
          <w:rFonts w:cs="Calibri"/>
        </w:rPr>
        <w:t xml:space="preserve">Retrieved </w:t>
      </w:r>
      <w:r w:rsidRPr="0060421C">
        <w:t>20 December 2025.</w:t>
      </w:r>
    </w:p>
    <w:p w14:paraId="4B056DAC" w14:textId="77777777" w:rsidR="0038460F" w:rsidRPr="0060421C" w:rsidRDefault="0038460F" w:rsidP="0038460F">
      <w:pPr>
        <w:pStyle w:val="References"/>
      </w:pPr>
      <w:r w:rsidRPr="0060421C">
        <w:t xml:space="preserve">MBIE. 2025b. </w:t>
      </w:r>
      <w:hyperlink r:id="rId76" w:history="1">
        <w:r w:rsidRPr="0060421C">
          <w:rPr>
            <w:rStyle w:val="Hyperlink"/>
            <w:i/>
          </w:rPr>
          <w:t xml:space="preserve">Petroleum </w:t>
        </w:r>
        <w:r w:rsidRPr="0060421C">
          <w:rPr>
            <w:rStyle w:val="Hyperlink"/>
            <w:i/>
            <w:iCs/>
          </w:rPr>
          <w:t>Reserves D</w:t>
        </w:r>
        <w:r w:rsidRPr="0060421C">
          <w:rPr>
            <w:rStyle w:val="Hyperlink"/>
            <w:i/>
          </w:rPr>
          <w:t>ata</w:t>
        </w:r>
      </w:hyperlink>
      <w:r w:rsidRPr="0060421C">
        <w:t>. Retrieved 20 December 2025.</w:t>
      </w:r>
    </w:p>
    <w:p w14:paraId="2A4D337B" w14:textId="77777777" w:rsidR="0038460F" w:rsidRPr="0060421C" w:rsidRDefault="0038460F" w:rsidP="0038460F">
      <w:pPr>
        <w:pStyle w:val="References"/>
      </w:pPr>
      <w:r w:rsidRPr="0060421C">
        <w:t xml:space="preserve">MBIE. 2025c. </w:t>
      </w:r>
      <w:hyperlink r:id="rId77">
        <w:r w:rsidRPr="0060421C">
          <w:rPr>
            <w:rStyle w:val="Hyperlink"/>
            <w:i/>
            <w:iCs/>
          </w:rPr>
          <w:t>Innovation for growth: Charting the Space and Advanced Aviation sectors</w:t>
        </w:r>
      </w:hyperlink>
      <w:r w:rsidRPr="0060421C">
        <w:t xml:space="preserve">. Wellington: </w:t>
      </w:r>
      <w:r w:rsidRPr="0060421C">
        <w:rPr>
          <w:rFonts w:cs="Calibri"/>
        </w:rPr>
        <w:t xml:space="preserve">Ministry of Business, Innovation and Employment. </w:t>
      </w:r>
      <w:r w:rsidRPr="0060421C">
        <w:t>Retrieved 14 January 2026.</w:t>
      </w:r>
    </w:p>
    <w:p w14:paraId="6EBCC0E9" w14:textId="77777777" w:rsidR="0038460F" w:rsidRPr="0060421C" w:rsidRDefault="0038460F" w:rsidP="0038460F">
      <w:pPr>
        <w:pStyle w:val="References"/>
      </w:pPr>
      <w:r w:rsidRPr="0060421C">
        <w:t>MBIE. 2024.</w:t>
      </w:r>
      <w:r w:rsidRPr="0060421C">
        <w:rPr>
          <w:i/>
          <w:iCs/>
        </w:rPr>
        <w:t xml:space="preserve"> </w:t>
      </w:r>
      <w:hyperlink r:id="rId78">
        <w:r w:rsidRPr="0060421C">
          <w:rPr>
            <w:rStyle w:val="Hyperlink"/>
            <w:i/>
            <w:iCs/>
          </w:rPr>
          <w:t>Proposed Regulatory Regime for Carbon Capture, Utilisation, and Storage (CCUS)</w:t>
        </w:r>
      </w:hyperlink>
      <w:r w:rsidRPr="0060421C">
        <w:t xml:space="preserve">. </w:t>
      </w:r>
      <w:r w:rsidRPr="0060421C">
        <w:rPr>
          <w:rFonts w:cs="Calibri"/>
        </w:rPr>
        <w:t xml:space="preserve">Retrieved 20 </w:t>
      </w:r>
      <w:r w:rsidRPr="0060421C">
        <w:t>February 2025.</w:t>
      </w:r>
    </w:p>
    <w:p w14:paraId="5A419292" w14:textId="77777777" w:rsidR="0038460F" w:rsidRPr="0060421C" w:rsidRDefault="0038460F" w:rsidP="0038460F">
      <w:pPr>
        <w:pStyle w:val="References"/>
      </w:pPr>
      <w:r w:rsidRPr="0060421C">
        <w:rPr>
          <w:spacing w:val="-2"/>
        </w:rPr>
        <w:t>McLean K, Richardson I. 2019. Greenhouse gas emissions from New Zealand geothermal power generation</w:t>
      </w:r>
      <w:r w:rsidRPr="0060421C">
        <w:t xml:space="preserve"> in context. In: </w:t>
      </w:r>
      <w:r w:rsidRPr="0060421C">
        <w:rPr>
          <w:i/>
          <w:iCs/>
        </w:rPr>
        <w:t>Proceedings of the 41st New Zealand Geothermal Workshop, 25–27 November 2019</w:t>
      </w:r>
      <w:r w:rsidRPr="0060421C">
        <w:t xml:space="preserve">. Auckland. </w:t>
      </w:r>
    </w:p>
    <w:p w14:paraId="20A0C27C" w14:textId="77777777" w:rsidR="0038460F" w:rsidRPr="0060421C" w:rsidRDefault="0038460F" w:rsidP="0038460F">
      <w:pPr>
        <w:pStyle w:val="References"/>
        <w:rPr>
          <w:rFonts w:cs="Calibri"/>
        </w:rPr>
      </w:pPr>
      <w:r w:rsidRPr="0060421C">
        <w:rPr>
          <w:rFonts w:cs="Calibri"/>
        </w:rPr>
        <w:t xml:space="preserve">Ministry of Transport. 2010. </w:t>
      </w:r>
      <w:hyperlink r:id="rId79">
        <w:r w:rsidRPr="0060421C">
          <w:rPr>
            <w:rStyle w:val="Hyperlink"/>
            <w:rFonts w:cs="Calibri"/>
            <w:i/>
            <w:iCs/>
          </w:rPr>
          <w:t>New Zealand Travel Survey</w:t>
        </w:r>
      </w:hyperlink>
      <w:r w:rsidRPr="0060421C">
        <w:rPr>
          <w:rFonts w:cs="Calibri"/>
          <w:i/>
          <w:iCs/>
        </w:rPr>
        <w:t xml:space="preserve">. </w:t>
      </w:r>
      <w:r w:rsidRPr="0060421C">
        <w:rPr>
          <w:rFonts w:cs="Calibri"/>
          <w:lang w:eastAsia="en-GB"/>
        </w:rPr>
        <w:t xml:space="preserve">Wellington: </w:t>
      </w:r>
      <w:r w:rsidRPr="0060421C">
        <w:rPr>
          <w:rFonts w:cs="Calibri"/>
        </w:rPr>
        <w:t>Ministry of Transport. Retrieved 20 February 2025.</w:t>
      </w:r>
    </w:p>
    <w:p w14:paraId="5251C18C" w14:textId="77777777" w:rsidR="0038460F" w:rsidRPr="0060421C" w:rsidRDefault="0038460F" w:rsidP="0038460F">
      <w:pPr>
        <w:pStyle w:val="References"/>
        <w:rPr>
          <w:rFonts w:cs="Calibri"/>
        </w:rPr>
      </w:pPr>
      <w:r w:rsidRPr="0060421C">
        <w:rPr>
          <w:rFonts w:cs="Calibri"/>
        </w:rPr>
        <w:t xml:space="preserve">New Zealand Institute of Chemistry. 1998. </w:t>
      </w:r>
      <w:r w:rsidRPr="0060421C">
        <w:rPr>
          <w:rFonts w:cs="Calibri"/>
          <w:i/>
          <w:iCs/>
        </w:rPr>
        <w:t>Chemical Processes in New Zealand</w:t>
      </w:r>
      <w:r w:rsidRPr="0060421C">
        <w:rPr>
          <w:rFonts w:cs="Calibri"/>
        </w:rPr>
        <w:t>. Auckland: New Zealand Institute of Chemistry.</w:t>
      </w:r>
    </w:p>
    <w:p w14:paraId="257B0209" w14:textId="77777777" w:rsidR="0038460F" w:rsidRPr="0060421C" w:rsidRDefault="0038460F" w:rsidP="0038460F">
      <w:pPr>
        <w:pStyle w:val="References"/>
      </w:pPr>
      <w:r w:rsidRPr="0060421C">
        <w:t xml:space="preserve">New Zealand Petroleum and Minerals. No date. </w:t>
      </w:r>
      <w:hyperlink r:id="rId80" w:history="1">
        <w:r w:rsidRPr="0060421C">
          <w:rPr>
            <w:rStyle w:val="Hyperlink"/>
            <w:i/>
            <w:iCs/>
          </w:rPr>
          <w:t>Geodata Catalogue</w:t>
        </w:r>
      </w:hyperlink>
      <w:r w:rsidRPr="0060421C">
        <w:t>. Retrieved 20 February 2025.</w:t>
      </w:r>
    </w:p>
    <w:p w14:paraId="7B09D581" w14:textId="77777777" w:rsidR="0038460F" w:rsidRPr="0060421C" w:rsidRDefault="0038460F" w:rsidP="0038460F">
      <w:pPr>
        <w:pStyle w:val="References"/>
        <w:rPr>
          <w:rFonts w:cs="Calibri"/>
        </w:rPr>
      </w:pPr>
      <w:r w:rsidRPr="0060421C">
        <w:rPr>
          <w:rFonts w:cs="Calibri"/>
        </w:rPr>
        <w:t xml:space="preserve">Reddy CM, DeMello JA, Carmichael CA, Peacock EE, Xu L, Arey JS. 2008. Determination of biodiesel blending percentages using natural abundance radiocarbon analysis: Testing the accuracy of retail biodiesel blends. </w:t>
      </w:r>
      <w:r w:rsidRPr="0060421C">
        <w:rPr>
          <w:rFonts w:cs="Calibri"/>
          <w:i/>
        </w:rPr>
        <w:t>Environmental Science Technology</w:t>
      </w:r>
      <w:r w:rsidRPr="0060421C">
        <w:rPr>
          <w:rFonts w:cs="Calibri"/>
        </w:rPr>
        <w:t xml:space="preserve"> 42(7): 2476–2482.</w:t>
      </w:r>
    </w:p>
    <w:p w14:paraId="4350A595" w14:textId="77777777" w:rsidR="0038460F" w:rsidRPr="0060421C" w:rsidRDefault="0038460F" w:rsidP="0038460F">
      <w:pPr>
        <w:pStyle w:val="References"/>
        <w:rPr>
          <w:rFonts w:cs="Calibri"/>
          <w:lang w:eastAsia="en-GB"/>
        </w:rPr>
      </w:pPr>
      <w:r w:rsidRPr="0060421C">
        <w:rPr>
          <w:rFonts w:cs="Calibri"/>
          <w:lang w:eastAsia="en-GB"/>
        </w:rPr>
        <w:t xml:space="preserve">Stats NZ. 2018. </w:t>
      </w:r>
      <w:hyperlink r:id="rId81" w:history="1">
        <w:r w:rsidRPr="0060421C">
          <w:rPr>
            <w:rStyle w:val="Hyperlink"/>
            <w:rFonts w:cs="Calibri"/>
            <w:i/>
            <w:lang w:eastAsia="en-GB"/>
          </w:rPr>
          <w:t>Energy Use Survey</w:t>
        </w:r>
      </w:hyperlink>
      <w:r w:rsidRPr="0060421C">
        <w:rPr>
          <w:rFonts w:cs="Calibri"/>
          <w:lang w:eastAsia="en-GB"/>
        </w:rPr>
        <w:t>. Retrieved 20 February 2025.</w:t>
      </w:r>
    </w:p>
    <w:p w14:paraId="07ED1861" w14:textId="77777777" w:rsidR="0038460F" w:rsidRPr="0060421C" w:rsidRDefault="0038460F" w:rsidP="0038460F">
      <w:pPr>
        <w:pStyle w:val="References"/>
        <w:rPr>
          <w:rFonts w:cs="Calibri"/>
        </w:rPr>
      </w:pPr>
      <w:r w:rsidRPr="0060421C">
        <w:rPr>
          <w:rFonts w:cs="Calibri"/>
        </w:rPr>
        <w:t xml:space="preserve">UNFCCC. 2009. FCCC/ARR/2008/NZL. </w:t>
      </w:r>
      <w:r w:rsidRPr="0060421C">
        <w:rPr>
          <w:rFonts w:cs="Calibri"/>
          <w:i/>
        </w:rPr>
        <w:t>Report of the Individual Review of the Greenhouse Gas Inventories of New Zealand Submitted in 2007 and 2008</w:t>
      </w:r>
      <w:r w:rsidRPr="0060421C">
        <w:rPr>
          <w:rFonts w:cs="Calibri"/>
        </w:rPr>
        <w:t>. Centralised Review.</w:t>
      </w:r>
    </w:p>
    <w:p w14:paraId="2DCCED26" w14:textId="77777777" w:rsidR="0038460F" w:rsidRPr="0060421C" w:rsidRDefault="0038460F" w:rsidP="0038460F">
      <w:pPr>
        <w:pStyle w:val="References"/>
      </w:pPr>
      <w:r w:rsidRPr="0060421C">
        <w:t xml:space="preserve">UNFCCC. 2014. FCCC/ARR/2013/NZL. </w:t>
      </w:r>
      <w:r w:rsidRPr="0060421C">
        <w:rPr>
          <w:rFonts w:cs="Calibri"/>
          <w:i/>
          <w:szCs w:val="20"/>
        </w:rPr>
        <w:t>Report of the individual review of the annual submission of New Zealand submitted in 2013</w:t>
      </w:r>
      <w:r w:rsidRPr="0060421C">
        <w:t>. Centralised Review.</w:t>
      </w:r>
    </w:p>
    <w:p w14:paraId="29B28F37" w14:textId="77777777" w:rsidR="0038460F" w:rsidRPr="0060421C" w:rsidRDefault="0038460F" w:rsidP="0038460F">
      <w:pPr>
        <w:pStyle w:val="References"/>
        <w:rPr>
          <w:szCs w:val="20"/>
        </w:rPr>
      </w:pPr>
      <w:r w:rsidRPr="0060421C">
        <w:t xml:space="preserve">WorkSafe, New Zealand Petroleum and Minerals, MBIE. No date. </w:t>
      </w:r>
      <w:hyperlink r:id="rId82" w:history="1">
        <w:r w:rsidRPr="0060421C">
          <w:rPr>
            <w:rStyle w:val="Hyperlink"/>
            <w:i/>
            <w:iCs/>
          </w:rPr>
          <w:t>NZ Mine Plans</w:t>
        </w:r>
      </w:hyperlink>
      <w:r w:rsidRPr="0060421C">
        <w:t xml:space="preserve">. Retrieved </w:t>
      </w:r>
      <w:r>
        <w:br/>
      </w:r>
      <w:r w:rsidRPr="0060421C">
        <w:t>20 February 2025.</w:t>
      </w:r>
      <w:bookmarkEnd w:id="174"/>
    </w:p>
    <w:p w14:paraId="5E04C495" w14:textId="77777777" w:rsidR="0088239D" w:rsidRDefault="0088239D" w:rsidP="00873B7D">
      <w:pPr>
        <w:pStyle w:val="BodyText"/>
      </w:pPr>
    </w:p>
    <w:p w14:paraId="706B06A7" w14:textId="77777777" w:rsidR="0088239D" w:rsidRDefault="0088239D" w:rsidP="00873B7D">
      <w:pPr>
        <w:pStyle w:val="BodyText"/>
        <w:sectPr w:rsidR="0088239D" w:rsidSect="0038460F">
          <w:footerReference w:type="even" r:id="rId83"/>
          <w:footerReference w:type="default" r:id="rId84"/>
          <w:pgSz w:w="11907" w:h="16840" w:code="9"/>
          <w:pgMar w:top="1418" w:right="1701" w:bottom="1418" w:left="1701" w:header="567" w:footer="567" w:gutter="0"/>
          <w:cols w:space="720"/>
        </w:sectPr>
      </w:pPr>
    </w:p>
    <w:p w14:paraId="7248B383" w14:textId="77777777" w:rsidR="003A5396" w:rsidRPr="001F4265" w:rsidRDefault="003A5396" w:rsidP="003A5396">
      <w:pPr>
        <w:pStyle w:val="Heading1"/>
      </w:pPr>
      <w:bookmarkStart w:id="452" w:name="_Toc226460757"/>
      <w:bookmarkStart w:id="453" w:name="Xfe3e662230991eecf43d5b5e72e4f8320726a62"/>
      <w:r w:rsidRPr="001F4265">
        <w:t>Chapter 4: Industrial Processes and Product Use (IPPU)</w:t>
      </w:r>
      <w:bookmarkEnd w:id="452"/>
    </w:p>
    <w:p w14:paraId="6A1B8FC4" w14:textId="77777777" w:rsidR="003A5396" w:rsidRPr="001F4265" w:rsidRDefault="003A5396" w:rsidP="003A5396">
      <w:pPr>
        <w:pStyle w:val="Heading2"/>
        <w:spacing w:before="240"/>
      </w:pPr>
      <w:bookmarkStart w:id="454" w:name="_Toc226460758"/>
      <w:r w:rsidRPr="001F4265">
        <w:t xml:space="preserve">4.1 </w:t>
      </w:r>
      <w:r w:rsidRPr="001F4265">
        <w:tab/>
        <w:t>Sector overview</w:t>
      </w:r>
      <w:bookmarkEnd w:id="454"/>
    </w:p>
    <w:p w14:paraId="3E6730B0" w14:textId="77777777" w:rsidR="003A5396" w:rsidRPr="001F4265" w:rsidRDefault="003A5396" w:rsidP="003A5396">
      <w:pPr>
        <w:pStyle w:val="BodyText"/>
        <w:rPr>
          <w:spacing w:val="-2"/>
        </w:rPr>
      </w:pPr>
      <w:r w:rsidRPr="001F4265">
        <w:rPr>
          <w:spacing w:val="-2"/>
        </w:rPr>
        <w:t>The Industrial Processes and Product Use (IPPU) sector reports greenhouse gas emissions as by</w:t>
      </w:r>
      <w:r w:rsidRPr="001F4265">
        <w:rPr>
          <w:spacing w:val="-2"/>
        </w:rPr>
        <w:noBreakHyphen/>
        <w:t>products of chemical, metal and mineral productions. The sector also covers emissions of synthetic greenhouse gases used in products such as refrigerators, air conditioners and aerosols.</w:t>
      </w:r>
    </w:p>
    <w:p w14:paraId="17C3ABA7" w14:textId="77777777" w:rsidR="003A5396" w:rsidRPr="001F4265" w:rsidRDefault="003A5396" w:rsidP="003A5396">
      <w:pPr>
        <w:pStyle w:val="Heading3"/>
      </w:pPr>
      <w:bookmarkStart w:id="455" w:name="ippu-sector-in-new-zealand"/>
      <w:r w:rsidRPr="001F4265">
        <w:t xml:space="preserve">4.1.1 </w:t>
      </w:r>
      <w:r w:rsidRPr="001F4265">
        <w:tab/>
        <w:t>IPPU sector in New Zealand</w:t>
      </w:r>
    </w:p>
    <w:p w14:paraId="489CE5BB" w14:textId="77777777" w:rsidR="003A5396" w:rsidRPr="001F4265" w:rsidRDefault="003A5396" w:rsidP="003A5396">
      <w:pPr>
        <w:pStyle w:val="BodyText"/>
      </w:pPr>
      <w:r w:rsidRPr="001F4265">
        <w:t>New Zealand has a relatively small number of industrial processing plants that emit non-energy related greenhouse gases. Carbon dioxide (CO</w:t>
      </w:r>
      <w:r w:rsidRPr="001F4265">
        <w:rPr>
          <w:vertAlign w:val="subscript"/>
        </w:rPr>
        <w:t>2</w:t>
      </w:r>
      <w:r w:rsidRPr="001F4265">
        <w:t>), methane (CH</w:t>
      </w:r>
      <w:r w:rsidRPr="001F4265">
        <w:rPr>
          <w:vertAlign w:val="subscript"/>
        </w:rPr>
        <w:t>4</w:t>
      </w:r>
      <w:r w:rsidRPr="001F4265">
        <w:t>) and nitrous oxide (N</w:t>
      </w:r>
      <w:r w:rsidRPr="001F4265">
        <w:rPr>
          <w:vertAlign w:val="subscript"/>
        </w:rPr>
        <w:t>2</w:t>
      </w:r>
      <w:r w:rsidRPr="001F4265">
        <w:t>O) emissions from eight distinct industrial processes in New Zealand are reported under the IPPU sector. These are:</w:t>
      </w:r>
    </w:p>
    <w:p w14:paraId="46261C63" w14:textId="77777777" w:rsidR="003A5396" w:rsidRPr="001F4265" w:rsidRDefault="003A5396" w:rsidP="003A5396">
      <w:pPr>
        <w:pStyle w:val="Bullet"/>
      </w:pPr>
      <w:r w:rsidRPr="001F4265">
        <w:t>calcination of limestone in cement production</w:t>
      </w:r>
    </w:p>
    <w:p w14:paraId="3F1BD98E" w14:textId="77777777" w:rsidR="003A5396" w:rsidRPr="001F4265" w:rsidRDefault="003A5396" w:rsidP="003A5396">
      <w:pPr>
        <w:pStyle w:val="Bullet"/>
      </w:pPr>
      <w:r w:rsidRPr="001F4265">
        <w:t>calcination of limestone in burnt and slaked lime production</w:t>
      </w:r>
    </w:p>
    <w:p w14:paraId="2A760364" w14:textId="77777777" w:rsidR="003A5396" w:rsidRPr="001F4265" w:rsidRDefault="003A5396" w:rsidP="003A5396">
      <w:pPr>
        <w:pStyle w:val="Bullet"/>
      </w:pPr>
      <w:r w:rsidRPr="001F4265">
        <w:t>production of ammonia, which is further processed into urea</w:t>
      </w:r>
    </w:p>
    <w:p w14:paraId="0C6CCEE6" w14:textId="77777777" w:rsidR="003A5396" w:rsidRPr="001F4265" w:rsidRDefault="003A5396" w:rsidP="003A5396">
      <w:pPr>
        <w:pStyle w:val="Bullet"/>
      </w:pPr>
      <w:r w:rsidRPr="001F4265">
        <w:t>production of methanol</w:t>
      </w:r>
    </w:p>
    <w:p w14:paraId="454A108A" w14:textId="77777777" w:rsidR="003A5396" w:rsidRPr="001F4265" w:rsidRDefault="003A5396" w:rsidP="003A5396">
      <w:pPr>
        <w:pStyle w:val="Bullet"/>
      </w:pPr>
      <w:r w:rsidRPr="001F4265">
        <w:t>production of hydrogen in oil refining and for making hydrogen peroxide</w:t>
      </w:r>
    </w:p>
    <w:p w14:paraId="456966CF" w14:textId="77777777" w:rsidR="003A5396" w:rsidRPr="001F4265" w:rsidRDefault="003A5396" w:rsidP="003A5396">
      <w:pPr>
        <w:pStyle w:val="Bullet"/>
      </w:pPr>
      <w:r w:rsidRPr="001F4265">
        <w:t>production of steel, from iron sand and scrap steel</w:t>
      </w:r>
    </w:p>
    <w:p w14:paraId="7799E385" w14:textId="77777777" w:rsidR="003A5396" w:rsidRPr="001F4265" w:rsidRDefault="003A5396" w:rsidP="003A5396">
      <w:pPr>
        <w:pStyle w:val="Bullet"/>
      </w:pPr>
      <w:r w:rsidRPr="001F4265">
        <w:t>oxidation of anodes in aluminium smelting</w:t>
      </w:r>
    </w:p>
    <w:p w14:paraId="65BA5ABA" w14:textId="77777777" w:rsidR="003A5396" w:rsidRPr="001F4265" w:rsidRDefault="003A5396" w:rsidP="003A5396">
      <w:pPr>
        <w:pStyle w:val="Bullet"/>
      </w:pPr>
      <w:r w:rsidRPr="001F4265">
        <w:t>use of soda ash and limestone in glass making.</w:t>
      </w:r>
    </w:p>
    <w:p w14:paraId="393783B0" w14:textId="77777777" w:rsidR="003A5396" w:rsidRPr="001F4265" w:rsidRDefault="003A5396" w:rsidP="003A5396">
      <w:pPr>
        <w:pStyle w:val="BodyText"/>
      </w:pPr>
      <w:r w:rsidRPr="001F4265">
        <w:t>Hydrofluorocarbons (HFCs) and perfluorocarbons (PFCs) are used in many products, including refrigeration and air conditioning equipment. Some recovered HFCs are exported for destruction. Perfluorocarbons are also emitted because of anode effects in aluminium smelting. Sulphur hexafluoride (SF</w:t>
      </w:r>
      <w:r w:rsidRPr="001F4265">
        <w:rPr>
          <w:vertAlign w:val="subscript"/>
        </w:rPr>
        <w:t>6</w:t>
      </w:r>
      <w:r w:rsidRPr="001F4265">
        <w:t>) is used in the electricity distribution sector and for small</w:t>
      </w:r>
      <w:r w:rsidRPr="001F4265">
        <w:noBreakHyphen/>
        <w:t>scale medical and scientific applications. Historically, a very small amount of SF</w:t>
      </w:r>
      <w:r w:rsidRPr="001F4265">
        <w:rPr>
          <w:vertAlign w:val="subscript"/>
        </w:rPr>
        <w:t>6</w:t>
      </w:r>
      <w:r w:rsidRPr="001F4265">
        <w:t xml:space="preserve"> has been used for magnesium casting. No fluorinated chemicals are produced in New Zealand; they are all imported.</w:t>
      </w:r>
    </w:p>
    <w:p w14:paraId="21C3C2EB" w14:textId="77777777" w:rsidR="003A5396" w:rsidRPr="001F4265" w:rsidRDefault="003A5396" w:rsidP="003A5396">
      <w:pPr>
        <w:pStyle w:val="BodyText"/>
      </w:pPr>
      <w:r w:rsidRPr="001F4265">
        <w:t>Small amounts of CO</w:t>
      </w:r>
      <w:r w:rsidRPr="001F4265">
        <w:rPr>
          <w:vertAlign w:val="subscript"/>
        </w:rPr>
        <w:t>2</w:t>
      </w:r>
      <w:r w:rsidRPr="001F4265">
        <w:t xml:space="preserve"> are reported from the use of lubricants and paraffin wax, imported calcium carbide, carbonates in kaolin clay used for ceramics production, and secondary lead production (recycling of lead-acid batteries). No other emission sources for direct greenhouse gases are applicable to New Zealand, and no other activity data are available. Some indirect greenhouse gas emissions are reported from fertiliser, formaldehyde and other industries.</w:t>
      </w:r>
    </w:p>
    <w:p w14:paraId="6E196BE3" w14:textId="77777777" w:rsidR="003A5396" w:rsidRPr="001F4265" w:rsidRDefault="003A5396" w:rsidP="003A5396">
      <w:pPr>
        <w:pStyle w:val="BodyText"/>
      </w:pPr>
      <w:r w:rsidRPr="001F4265">
        <w:t>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Inventory. Therefore, all emissions reported in this sector exclude Tokelau. See chapter 8 and annex 7 for details of methods applied and the emissions for Tokelau.</w:t>
      </w:r>
    </w:p>
    <w:bookmarkEnd w:id="455"/>
    <w:p w14:paraId="604CDE58" w14:textId="77777777" w:rsidR="003A5396" w:rsidRPr="001F4265" w:rsidRDefault="003A5396" w:rsidP="003A5396">
      <w:pPr>
        <w:pStyle w:val="Heading3"/>
      </w:pPr>
      <w:r w:rsidRPr="001F4265">
        <w:t xml:space="preserve">4.1.2 </w:t>
      </w:r>
      <w:r w:rsidRPr="001F4265">
        <w:tab/>
        <w:t>Emissions summary</w:t>
      </w:r>
    </w:p>
    <w:p w14:paraId="7FFAD1F9" w14:textId="2E60DA8F" w:rsidR="003A5396" w:rsidRPr="001F4265" w:rsidRDefault="003A5396" w:rsidP="003A5396">
      <w:pPr>
        <w:pStyle w:val="BodyText"/>
      </w:pPr>
      <w:r w:rsidRPr="001F4265">
        <w:t>The IPPU sector in New Zealand produces CO</w:t>
      </w:r>
      <w:r w:rsidRPr="001F4265">
        <w:rPr>
          <w:vertAlign w:val="subscript"/>
        </w:rPr>
        <w:t>2</w:t>
      </w:r>
      <w:r w:rsidRPr="001F4265">
        <w:t xml:space="preserve"> emissions (66.2 percent of total IPPU sector emissions), fluorinated gases (29.1 percent of total IPPU sector emissions) and smaller amounts of CH</w:t>
      </w:r>
      <w:r w:rsidRPr="001F4265">
        <w:rPr>
          <w:vertAlign w:val="subscript"/>
        </w:rPr>
        <w:t>4</w:t>
      </w:r>
      <w:r w:rsidRPr="001F4265">
        <w:t xml:space="preserve"> and N</w:t>
      </w:r>
      <w:r w:rsidRPr="001F4265">
        <w:rPr>
          <w:vertAlign w:val="subscript"/>
        </w:rPr>
        <w:t>2</w:t>
      </w:r>
      <w:r w:rsidRPr="001F4265">
        <w:t xml:space="preserve">O (1.1 percent and 3.6 percent, respectively). The major categories in the IPPU sector are </w:t>
      </w:r>
      <w:r w:rsidRPr="001F4265">
        <w:rPr>
          <w:i/>
          <w:iCs/>
        </w:rPr>
        <w:t>Iron and steel production</w:t>
      </w:r>
      <w:r w:rsidRPr="001F4265">
        <w:t xml:space="preserve">, </w:t>
      </w:r>
      <w:r w:rsidRPr="001F4265">
        <w:rPr>
          <w:i/>
          <w:iCs/>
        </w:rPr>
        <w:t>Refrigeration and air conditioning</w:t>
      </w:r>
      <w:r w:rsidRPr="001F4265">
        <w:t xml:space="preserve">, </w:t>
      </w:r>
      <w:r w:rsidRPr="001F4265">
        <w:rPr>
          <w:i/>
          <w:iCs/>
        </w:rPr>
        <w:t>Aluminium production</w:t>
      </w:r>
      <w:r w:rsidRPr="001F4265">
        <w:t xml:space="preserve"> and </w:t>
      </w:r>
      <w:r w:rsidRPr="001F4265">
        <w:rPr>
          <w:i/>
          <w:iCs/>
        </w:rPr>
        <w:t>Cement production</w:t>
      </w:r>
      <w:r w:rsidRPr="001F4265">
        <w:t>. Coal and natural gas are also used on a significant scale for</w:t>
      </w:r>
      <w:r w:rsidR="00361943">
        <w:t> </w:t>
      </w:r>
      <w:r w:rsidRPr="001F4265">
        <w:t xml:space="preserve">energy in the </w:t>
      </w:r>
      <w:r w:rsidRPr="001F4265">
        <w:rPr>
          <w:i/>
          <w:iCs/>
        </w:rPr>
        <w:t>Mineral industry</w:t>
      </w:r>
      <w:r w:rsidRPr="001F4265">
        <w:t xml:space="preserve">, </w:t>
      </w:r>
      <w:r w:rsidRPr="001F4265">
        <w:rPr>
          <w:i/>
          <w:iCs/>
        </w:rPr>
        <w:t>Chemical industry</w:t>
      </w:r>
      <w:r w:rsidRPr="001F4265">
        <w:t xml:space="preserve"> and </w:t>
      </w:r>
      <w:r w:rsidRPr="001F4265">
        <w:rPr>
          <w:i/>
          <w:iCs/>
        </w:rPr>
        <w:t>Metal industry</w:t>
      </w:r>
      <w:r w:rsidRPr="001F4265">
        <w:t xml:space="preserve"> categories. Carbon dioxide and any other emissions from combustion of fuels in these industries are reported under the Energy sector.</w:t>
      </w:r>
    </w:p>
    <w:p w14:paraId="54562EE6" w14:textId="77777777" w:rsidR="003A5396" w:rsidRPr="001F4265" w:rsidRDefault="003A5396" w:rsidP="003A5396">
      <w:pPr>
        <w:pStyle w:val="Heading5"/>
      </w:pPr>
      <w:r w:rsidRPr="001F4265">
        <w:t>2024</w:t>
      </w:r>
    </w:p>
    <w:p w14:paraId="095207B2" w14:textId="77777777" w:rsidR="003A5396" w:rsidRPr="001F4265" w:rsidRDefault="003A5396" w:rsidP="003A5396">
      <w:pPr>
        <w:pStyle w:val="BodyText"/>
      </w:pPr>
      <w:r w:rsidRPr="001F4265">
        <w:t>In 2024, emissions from the IPPU sector were 3,896.7 kilotonnes carbon dioxide equivalent (kt CO</w:t>
      </w:r>
      <w:r w:rsidRPr="001F4265">
        <w:rPr>
          <w:vertAlign w:val="subscript"/>
        </w:rPr>
        <w:t>2</w:t>
      </w:r>
      <w:r w:rsidRPr="001F4265">
        <w:t>e), or 5.1 percent, of New Zealand’s gross greenhouse gas emissions.</w:t>
      </w:r>
    </w:p>
    <w:p w14:paraId="2AFDFED9" w14:textId="77777777" w:rsidR="003A5396" w:rsidRPr="001F4265" w:rsidRDefault="003A5396" w:rsidP="003A5396">
      <w:pPr>
        <w:pStyle w:val="BodyText"/>
      </w:pPr>
      <w:r w:rsidRPr="001F4265">
        <w:t xml:space="preserve">The </w:t>
      </w:r>
      <w:r w:rsidRPr="001F4265">
        <w:rPr>
          <w:i/>
          <w:iCs/>
        </w:rPr>
        <w:t>Metal industry</w:t>
      </w:r>
      <w:r w:rsidRPr="001F4265">
        <w:t xml:space="preserve"> was the largest category of emissions, with substantial CO</w:t>
      </w:r>
      <w:r w:rsidRPr="001F4265">
        <w:rPr>
          <w:vertAlign w:val="subscript"/>
        </w:rPr>
        <w:t>2</w:t>
      </w:r>
      <w:r w:rsidRPr="001F4265">
        <w:t xml:space="preserve"> emissions from the </w:t>
      </w:r>
      <w:r w:rsidRPr="001F4265">
        <w:rPr>
          <w:i/>
          <w:iCs/>
        </w:rPr>
        <w:t>Iron and steel production</w:t>
      </w:r>
      <w:r w:rsidRPr="001F4265">
        <w:t xml:space="preserve"> and </w:t>
      </w:r>
      <w:r w:rsidRPr="001F4265">
        <w:rPr>
          <w:i/>
          <w:iCs/>
        </w:rPr>
        <w:t>Aluminium production</w:t>
      </w:r>
      <w:r w:rsidRPr="001F4265">
        <w:t xml:space="preserve"> categories, as well as PFCs from the </w:t>
      </w:r>
      <w:r w:rsidRPr="001F4265">
        <w:rPr>
          <w:i/>
          <w:iCs/>
        </w:rPr>
        <w:t>Aluminium production</w:t>
      </w:r>
      <w:r w:rsidRPr="001F4265">
        <w:t xml:space="preserve"> category in earlier years. The </w:t>
      </w:r>
      <w:r w:rsidRPr="001F4265">
        <w:rPr>
          <w:i/>
          <w:iCs/>
        </w:rPr>
        <w:t>Mineral industry</w:t>
      </w:r>
      <w:r w:rsidRPr="001F4265">
        <w:t xml:space="preserve"> and </w:t>
      </w:r>
      <w:r w:rsidRPr="001F4265">
        <w:rPr>
          <w:i/>
          <w:iCs/>
        </w:rPr>
        <w:t>Chemical industry</w:t>
      </w:r>
      <w:r w:rsidRPr="001F4265">
        <w:t xml:space="preserve"> categories also contributed significant CO</w:t>
      </w:r>
      <w:r w:rsidRPr="001F4265">
        <w:rPr>
          <w:vertAlign w:val="subscript"/>
        </w:rPr>
        <w:t>2</w:t>
      </w:r>
      <w:r w:rsidRPr="001F4265">
        <w:t xml:space="preserve"> emissions, and most of the non-CO</w:t>
      </w:r>
      <w:r w:rsidRPr="001F4265">
        <w:rPr>
          <w:vertAlign w:val="subscript"/>
        </w:rPr>
        <w:t>2</w:t>
      </w:r>
      <w:r w:rsidRPr="001F4265">
        <w:t xml:space="preserve"> emissions were from the </w:t>
      </w:r>
      <w:r w:rsidRPr="001F4265">
        <w:rPr>
          <w:i/>
          <w:iCs/>
        </w:rPr>
        <w:t>Product uses as substitutes for ozone depleting substances (ODS)</w:t>
      </w:r>
      <w:r w:rsidRPr="001F4265">
        <w:t xml:space="preserve"> category.</w:t>
      </w:r>
    </w:p>
    <w:p w14:paraId="6D2693BC" w14:textId="77777777" w:rsidR="003A5396" w:rsidRPr="001F4265" w:rsidRDefault="003A5396" w:rsidP="003A5396">
      <w:pPr>
        <w:pStyle w:val="BodyText"/>
      </w:pPr>
      <w:r w:rsidRPr="001F4265">
        <w:t>The IPPU sector also produces smaller amounts of CH</w:t>
      </w:r>
      <w:r w:rsidRPr="001F4265">
        <w:rPr>
          <w:vertAlign w:val="subscript"/>
        </w:rPr>
        <w:t>4</w:t>
      </w:r>
      <w:r w:rsidRPr="001F4265">
        <w:t xml:space="preserve"> from methanol production and N</w:t>
      </w:r>
      <w:r w:rsidRPr="001F4265">
        <w:rPr>
          <w:vertAlign w:val="subscript"/>
        </w:rPr>
        <w:t>2</w:t>
      </w:r>
      <w:r w:rsidRPr="001F4265">
        <w:t xml:space="preserve">O used for medical applications in the </w:t>
      </w:r>
      <w:r w:rsidRPr="001F4265">
        <w:rPr>
          <w:i/>
          <w:iCs/>
        </w:rPr>
        <w:t>Other product manufacture and use</w:t>
      </w:r>
      <w:r w:rsidRPr="001F4265">
        <w:t xml:space="preserve"> category.</w:t>
      </w:r>
    </w:p>
    <w:p w14:paraId="7BFE8961" w14:textId="77777777" w:rsidR="003A5396" w:rsidRPr="001F4265" w:rsidRDefault="003A5396" w:rsidP="003A5396">
      <w:pPr>
        <w:pStyle w:val="BodyText"/>
      </w:pPr>
      <w:r w:rsidRPr="001F4265">
        <w:t xml:space="preserve">Coal and natural gas were also used for energy generation in these industries, and related emissions were reported under the Energy sector in the </w:t>
      </w:r>
      <w:r w:rsidRPr="001F4265">
        <w:rPr>
          <w:i/>
          <w:iCs/>
        </w:rPr>
        <w:t>Manufacturing industries and construction</w:t>
      </w:r>
      <w:r w:rsidRPr="001F4265">
        <w:t xml:space="preserve"> category.</w:t>
      </w:r>
    </w:p>
    <w:p w14:paraId="6EE958A1" w14:textId="77777777" w:rsidR="003A5396" w:rsidRPr="001F4265" w:rsidRDefault="003A5396" w:rsidP="003A5396">
      <w:pPr>
        <w:pStyle w:val="BodyText"/>
      </w:pPr>
      <w:r w:rsidRPr="001F4265">
        <w:t>The emissions by category are shown in table 4.1.1.</w:t>
      </w:r>
    </w:p>
    <w:p w14:paraId="08FA0537" w14:textId="77777777" w:rsidR="003A5396" w:rsidRPr="001F4265" w:rsidRDefault="003A5396" w:rsidP="003A5396">
      <w:pPr>
        <w:pStyle w:val="Heading5"/>
      </w:pPr>
      <w:r w:rsidRPr="001F4265">
        <w:t>2023–2024</w:t>
      </w:r>
    </w:p>
    <w:p w14:paraId="7AA6B1AB" w14:textId="77777777" w:rsidR="003A5396" w:rsidRPr="001F4265" w:rsidRDefault="003A5396" w:rsidP="003A5396">
      <w:pPr>
        <w:pStyle w:val="BodyText"/>
      </w:pPr>
      <w:r w:rsidRPr="001F4265">
        <w:t>Between 2023 and 2024, emissions from the IPPU sector decreased by 166.6 kt CO</w:t>
      </w:r>
      <w:r w:rsidRPr="001F4265">
        <w:rPr>
          <w:vertAlign w:val="subscript"/>
        </w:rPr>
        <w:t>2</w:t>
      </w:r>
      <w:r w:rsidRPr="001F4265">
        <w:t>e (4.1 percent).</w:t>
      </w:r>
    </w:p>
    <w:p w14:paraId="67FAF125" w14:textId="77777777" w:rsidR="003A5396" w:rsidRPr="001F4265" w:rsidRDefault="003A5396" w:rsidP="003A5396">
      <w:pPr>
        <w:pStyle w:val="BodyText"/>
        <w:spacing w:before="100" w:after="100"/>
      </w:pPr>
      <w:r w:rsidRPr="001F4265">
        <w:t xml:space="preserve">This change was mainly the result of decreased emissions from the </w:t>
      </w:r>
      <w:r w:rsidRPr="001F4265">
        <w:rPr>
          <w:i/>
          <w:iCs/>
        </w:rPr>
        <w:t>Refrigeration and air conditioning, Chemical industry, Mineral industry</w:t>
      </w:r>
      <w:r w:rsidRPr="001F4265">
        <w:t xml:space="preserve"> and </w:t>
      </w:r>
      <w:r w:rsidRPr="001F4265">
        <w:rPr>
          <w:i/>
          <w:iCs/>
        </w:rPr>
        <w:t>Metal industry</w:t>
      </w:r>
      <w:r w:rsidRPr="001F4265">
        <w:t xml:space="preserve"> categories. Although emissions increased elsewhere, the overall result was a net reduction in total IPPU emissions. </w:t>
      </w:r>
    </w:p>
    <w:p w14:paraId="2101F461" w14:textId="77777777" w:rsidR="003A5396" w:rsidRPr="001F4265" w:rsidRDefault="003A5396" w:rsidP="003A5396">
      <w:pPr>
        <w:pStyle w:val="Heading5"/>
      </w:pPr>
      <w:r w:rsidRPr="001F4265">
        <w:t>2005–2024</w:t>
      </w:r>
    </w:p>
    <w:p w14:paraId="63090235" w14:textId="77777777" w:rsidR="003A5396" w:rsidRPr="001F4265" w:rsidRDefault="003A5396" w:rsidP="003A5396">
      <w:pPr>
        <w:pStyle w:val="BodyText"/>
      </w:pPr>
      <w:r w:rsidRPr="001F4265">
        <w:t>Between 2005 and 2024, emissions from the IPPU sector decreased by 149.4 kt CO</w:t>
      </w:r>
      <w:r w:rsidRPr="001F4265">
        <w:rPr>
          <w:vertAlign w:val="subscript"/>
        </w:rPr>
        <w:t>2</w:t>
      </w:r>
      <w:r w:rsidRPr="001F4265">
        <w:t>e (3.7 percent).</w:t>
      </w:r>
    </w:p>
    <w:p w14:paraId="6BA68457" w14:textId="77777777" w:rsidR="003A5396" w:rsidRPr="001F4265" w:rsidRDefault="003A5396" w:rsidP="003A5396">
      <w:pPr>
        <w:pStyle w:val="BodyText"/>
      </w:pPr>
      <w:r w:rsidRPr="001F4265">
        <w:t xml:space="preserve">Between 2005 and 2024, while emissions from </w:t>
      </w:r>
      <w:r w:rsidRPr="001F4265">
        <w:rPr>
          <w:i/>
          <w:iCs/>
        </w:rPr>
        <w:t>Product uses as substitutes for ODS</w:t>
      </w:r>
      <w:r w:rsidRPr="001F4265">
        <w:t xml:space="preserve"> rose by 369.5 kt CO</w:t>
      </w:r>
      <w:r w:rsidRPr="001F4265">
        <w:rPr>
          <w:vertAlign w:val="subscript"/>
        </w:rPr>
        <w:t>2</w:t>
      </w:r>
      <w:r w:rsidRPr="001F4265">
        <w:t xml:space="preserve">e, this increase was offset by the </w:t>
      </w:r>
      <w:r w:rsidRPr="001F4265">
        <w:rPr>
          <w:i/>
          <w:iCs/>
        </w:rPr>
        <w:t>Mineral industry</w:t>
      </w:r>
      <w:r w:rsidRPr="001F4265">
        <w:t xml:space="preserve"> and </w:t>
      </w:r>
      <w:r w:rsidRPr="001F4265">
        <w:rPr>
          <w:i/>
          <w:iCs/>
        </w:rPr>
        <w:t>Chemical industry</w:t>
      </w:r>
      <w:r w:rsidRPr="001F4265">
        <w:t xml:space="preserve"> categories, which decreased by 272.1 kt CO</w:t>
      </w:r>
      <w:r w:rsidRPr="001F4265">
        <w:rPr>
          <w:vertAlign w:val="subscript"/>
        </w:rPr>
        <w:t>2</w:t>
      </w:r>
      <w:r w:rsidRPr="001F4265">
        <w:t>e and 174.9 kt CO</w:t>
      </w:r>
      <w:r w:rsidRPr="001F4265">
        <w:rPr>
          <w:vertAlign w:val="subscript"/>
        </w:rPr>
        <w:t>2</w:t>
      </w:r>
      <w:r w:rsidRPr="001F4265">
        <w:t>e , respectively.</w:t>
      </w:r>
    </w:p>
    <w:p w14:paraId="6E2FFCAE" w14:textId="77777777" w:rsidR="003A5396" w:rsidRPr="001F4265" w:rsidRDefault="003A5396" w:rsidP="003A5396">
      <w:pPr>
        <w:pStyle w:val="BodyText"/>
      </w:pPr>
      <w:r w:rsidRPr="001F4265">
        <w:t>Restrictions on activity and movement, as part of the response to the COVID-19 pandemic during the 2020 calendar year, significantly disrupted economic activity throughout New Zealand. Activity levels and emissions from the IPPU sector dropped between 2019 and 2020. The IPPU sector rebounded in 2021, however, activity and emissions continued to drop in the years following.</w:t>
      </w:r>
    </w:p>
    <w:p w14:paraId="41FDA1D0" w14:textId="77777777" w:rsidR="003A5396" w:rsidRPr="001F4265" w:rsidRDefault="003A5396" w:rsidP="003A5396">
      <w:pPr>
        <w:pStyle w:val="BodyText"/>
      </w:pPr>
      <w:r w:rsidRPr="001F4265">
        <w:t>In addition to COVID-19 pandemic-related restrictions, New Zealand’s methanol production has also been subject to disruption over this period. Methanex New Zealand has operated two methanol production facilities:</w:t>
      </w:r>
      <w:r w:rsidRPr="001F4265" w:rsidDel="00F440CE">
        <w:t xml:space="preserve"> </w:t>
      </w:r>
      <w:r w:rsidRPr="001F4265">
        <w:t xml:space="preserve">Motonui and Waitara Valley. In November 2004, production at the Motunui plant was halted following insufficient gas supply in 2003, with operations resuming in late 2008. Output further increased at Motonui in 2012, and production at full capacity resumed in December 2013. The Waitara Valley plant was shut down in early 2021. A shortage of natural gas supply and energy security concerns led to a halt in methanol production between August to October 2024 to free up natural gas for use in electricity generation. As a result, emissions from the </w:t>
      </w:r>
      <w:r w:rsidRPr="001F4265">
        <w:rPr>
          <w:i/>
        </w:rPr>
        <w:t>Methanol</w:t>
      </w:r>
      <w:r w:rsidRPr="001F4265">
        <w:t xml:space="preserve"> category decreased by 64 percent between 2019 (i.e., pre-COVID-19 levels) and 2024.</w:t>
      </w:r>
    </w:p>
    <w:p w14:paraId="3A35731E" w14:textId="77777777" w:rsidR="003A5396" w:rsidRPr="001F4265" w:rsidRDefault="003A5396" w:rsidP="003A5396">
      <w:pPr>
        <w:pStyle w:val="BodyText"/>
      </w:pPr>
      <w:r w:rsidRPr="001F4265">
        <w:t xml:space="preserve">There was also a reduction in emissions of PFCs by 25.1 percent due to improved management of anode effects in the </w:t>
      </w:r>
      <w:r w:rsidRPr="001F4265">
        <w:rPr>
          <w:i/>
          <w:iCs/>
        </w:rPr>
        <w:t>Aluminium production</w:t>
      </w:r>
      <w:r w:rsidRPr="001F4265">
        <w:t xml:space="preserve"> category. Emissions of N</w:t>
      </w:r>
      <w:r w:rsidRPr="001F4265">
        <w:rPr>
          <w:vertAlign w:val="subscript"/>
        </w:rPr>
        <w:t>2</w:t>
      </w:r>
      <w:r w:rsidRPr="001F4265">
        <w:t xml:space="preserve">O used for medical applications in the </w:t>
      </w:r>
      <w:r w:rsidRPr="001F4265">
        <w:rPr>
          <w:i/>
          <w:iCs/>
        </w:rPr>
        <w:t>Other product manufacture and use</w:t>
      </w:r>
      <w:r w:rsidRPr="001F4265">
        <w:t xml:space="preserve"> category is nearly four times higher in 2024 compared with 2005. However, several initiatives led by Health New Zealand Te Whatu Ora are seeking to reduce the emissions associated with N</w:t>
      </w:r>
      <w:r w:rsidRPr="001F4265">
        <w:rPr>
          <w:vertAlign w:val="subscript"/>
        </w:rPr>
        <w:t>2</w:t>
      </w:r>
      <w:r w:rsidRPr="001F4265">
        <w:t>O by removing piped nitrous oxide systems to prevent leaks into the atmosphere.</w:t>
      </w:r>
    </w:p>
    <w:p w14:paraId="2F8E1579" w14:textId="77777777" w:rsidR="003A5396" w:rsidRPr="001F4265" w:rsidRDefault="003A5396" w:rsidP="003A5396">
      <w:pPr>
        <w:pStyle w:val="Heading5"/>
      </w:pPr>
      <w:r w:rsidRPr="001F4265">
        <w:t>1990–2024</w:t>
      </w:r>
    </w:p>
    <w:p w14:paraId="78DA990C" w14:textId="77777777" w:rsidR="003A5396" w:rsidRPr="001F4265" w:rsidRDefault="003A5396" w:rsidP="003A5396">
      <w:pPr>
        <w:pStyle w:val="BodyText"/>
      </w:pPr>
      <w:r w:rsidRPr="001F4265">
        <w:t>In 2024, emissions from the IPPU sector were 413.1 kt CO</w:t>
      </w:r>
      <w:r w:rsidRPr="001F4265">
        <w:rPr>
          <w:vertAlign w:val="subscript"/>
        </w:rPr>
        <w:t>2</w:t>
      </w:r>
      <w:r w:rsidRPr="001F4265">
        <w:t>e (11.9 percent) higher than emissions in 1990 (3,483.6 kt CO</w:t>
      </w:r>
      <w:r w:rsidRPr="001F4265">
        <w:rPr>
          <w:vertAlign w:val="subscript"/>
        </w:rPr>
        <w:t>2</w:t>
      </w:r>
      <w:r w:rsidRPr="001F4265">
        <w:t xml:space="preserve">e). This increase was mainly driven by increasing emissions from the </w:t>
      </w:r>
      <w:r w:rsidRPr="001F4265">
        <w:rPr>
          <w:i/>
          <w:iCs/>
        </w:rPr>
        <w:t>Product uses as substitutes for ODS</w:t>
      </w:r>
      <w:r w:rsidRPr="001F4265">
        <w:t xml:space="preserve"> category, due to the introduction of HFCs to replace ODS in refrigeration and air conditioning, and the increased use of household and commercial air conditioning.</w:t>
      </w:r>
    </w:p>
    <w:p w14:paraId="752E563F" w14:textId="77777777" w:rsidR="003A5396" w:rsidRPr="001F4265" w:rsidRDefault="003A5396" w:rsidP="003A5396">
      <w:pPr>
        <w:pStyle w:val="BodyText"/>
      </w:pPr>
      <w:r w:rsidRPr="001F4265">
        <w:t xml:space="preserve">There were large drops in PFC emissions from the </w:t>
      </w:r>
      <w:r w:rsidRPr="001F4265">
        <w:rPr>
          <w:i/>
          <w:iCs/>
        </w:rPr>
        <w:t>Aluminium production</w:t>
      </w:r>
      <w:r w:rsidRPr="001F4265">
        <w:t xml:space="preserve"> category. The biggest reductions occurred between 1990 and 1993, where emissions decreased by 77 percent. This </w:t>
      </w:r>
      <w:r w:rsidRPr="001F4265">
        <w:rPr>
          <w:spacing w:val="-2"/>
        </w:rPr>
        <w:t>was due to better operational practices in the industry that decreased anode effects emissions.</w:t>
      </w:r>
    </w:p>
    <w:p w14:paraId="0DAF9684" w14:textId="77777777" w:rsidR="003A5396" w:rsidRPr="001F4265" w:rsidRDefault="003A5396" w:rsidP="003A5396">
      <w:pPr>
        <w:pStyle w:val="BodyText"/>
      </w:pPr>
      <w:r w:rsidRPr="001F4265">
        <w:t>The trends are shown in figure 4.1.1 and figure 4.1.2.</w:t>
      </w:r>
    </w:p>
    <w:p w14:paraId="242E0186" w14:textId="77777777" w:rsidR="003A5396" w:rsidRPr="001F4265" w:rsidRDefault="003A5396" w:rsidP="003A5396">
      <w:pPr>
        <w:pStyle w:val="Table"/>
      </w:pPr>
      <w:bookmarkStart w:id="456" w:name="_Toc226668967"/>
      <w:r w:rsidRPr="001F4265">
        <w:t xml:space="preserve">Table 4.1.1 </w:t>
      </w:r>
      <w:r w:rsidRPr="001F4265">
        <w:tab/>
        <w:t>New Zealand’s greenhouse gas emissions for the IPPU sector by category in 1990, 2005 and 2024</w:t>
      </w:r>
      <w:bookmarkEnd w:id="456"/>
    </w:p>
    <w:tbl>
      <w:tblPr>
        <w:tblW w:w="8562" w:type="dxa"/>
        <w:tblBorders>
          <w:top w:val="single" w:sz="4" w:space="0" w:color="1C556C" w:themeColor="accent1"/>
          <w:bottom w:val="single" w:sz="4" w:space="0" w:color="1C556C" w:themeColor="accent1"/>
          <w:insideH w:val="single" w:sz="4" w:space="0" w:color="1C556C" w:themeColor="accent1"/>
        </w:tblBorders>
        <w:tblCellMar>
          <w:left w:w="85" w:type="dxa"/>
          <w:right w:w="57" w:type="dxa"/>
        </w:tblCellMar>
        <w:tblLook w:val="0420" w:firstRow="1" w:lastRow="0" w:firstColumn="0" w:lastColumn="0" w:noHBand="0" w:noVBand="1"/>
      </w:tblPr>
      <w:tblGrid>
        <w:gridCol w:w="1977"/>
        <w:gridCol w:w="794"/>
        <w:gridCol w:w="632"/>
        <w:gridCol w:w="632"/>
        <w:gridCol w:w="835"/>
        <w:gridCol w:w="680"/>
        <w:gridCol w:w="794"/>
        <w:gridCol w:w="669"/>
        <w:gridCol w:w="615"/>
        <w:gridCol w:w="467"/>
        <w:gridCol w:w="467"/>
      </w:tblGrid>
      <w:tr w:rsidR="003A5396" w:rsidRPr="001F4265" w14:paraId="1F8E7415" w14:textId="77777777" w:rsidTr="00F16E23">
        <w:trPr>
          <w:tblHeader/>
        </w:trPr>
        <w:tc>
          <w:tcPr>
            <w:tcW w:w="0" w:type="auto"/>
            <w:shd w:val="clear" w:color="auto" w:fill="1C556C" w:themeFill="accent1"/>
            <w:tcMar>
              <w:top w:w="0" w:type="dxa"/>
              <w:left w:w="85" w:type="dxa"/>
              <w:bottom w:w="0" w:type="dxa"/>
              <w:right w:w="57" w:type="dxa"/>
            </w:tcMar>
            <w:vAlign w:val="bottom"/>
          </w:tcPr>
          <w:p w14:paraId="13FD34AB" w14:textId="77777777" w:rsidR="003A5396" w:rsidRPr="001F4265" w:rsidRDefault="003A5396" w:rsidP="00F16E23">
            <w:pPr>
              <w:pStyle w:val="TableTextBold"/>
              <w:spacing w:before="40" w:after="0"/>
              <w:rPr>
                <w:noProof w:val="0"/>
                <w:color w:val="FFFFFF" w:themeColor="background1"/>
                <w:szCs w:val="16"/>
              </w:rPr>
            </w:pPr>
          </w:p>
        </w:tc>
        <w:tc>
          <w:tcPr>
            <w:tcW w:w="794" w:type="dxa"/>
            <w:shd w:val="clear" w:color="auto" w:fill="1C556C" w:themeFill="accent1"/>
            <w:tcMar>
              <w:top w:w="0" w:type="dxa"/>
              <w:left w:w="85" w:type="dxa"/>
              <w:bottom w:w="0" w:type="dxa"/>
              <w:right w:w="57" w:type="dxa"/>
            </w:tcMar>
            <w:vAlign w:val="bottom"/>
          </w:tcPr>
          <w:p w14:paraId="73DA466E" w14:textId="77777777" w:rsidR="003A5396" w:rsidRPr="001F4265" w:rsidRDefault="003A5396" w:rsidP="00F16E23">
            <w:pPr>
              <w:pStyle w:val="TableTextBold"/>
              <w:spacing w:before="40" w:after="0"/>
              <w:jc w:val="right"/>
              <w:rPr>
                <w:noProof w:val="0"/>
                <w:color w:val="FFFFFF" w:themeColor="background1"/>
                <w:szCs w:val="16"/>
              </w:rPr>
            </w:pPr>
            <w:r w:rsidRPr="001F4265">
              <w:rPr>
                <w:rFonts w:eastAsia="Calibri" w:cs="Calibri"/>
                <w:noProof w:val="0"/>
                <w:color w:val="FFFFFF" w:themeColor="background1"/>
                <w:szCs w:val="16"/>
              </w:rPr>
              <w:t>Emissions (kt CO</w:t>
            </w:r>
            <w:r w:rsidRPr="001F4265">
              <w:rPr>
                <w:rFonts w:eastAsia="Calibri" w:cs="Calibri"/>
                <w:noProof w:val="0"/>
                <w:color w:val="FFFFFF" w:themeColor="background1"/>
                <w:szCs w:val="16"/>
                <w:vertAlign w:val="subscript"/>
              </w:rPr>
              <w:t>2</w:t>
            </w:r>
            <w:r w:rsidRPr="001F4265">
              <w:rPr>
                <w:rFonts w:eastAsia="Calibri" w:cs="Calibri"/>
                <w:noProof w:val="0"/>
                <w:color w:val="FFFFFF" w:themeColor="background1"/>
                <w:szCs w:val="16"/>
              </w:rPr>
              <w:t xml:space="preserve">e) </w:t>
            </w:r>
          </w:p>
        </w:tc>
        <w:tc>
          <w:tcPr>
            <w:tcW w:w="632" w:type="dxa"/>
            <w:shd w:val="clear" w:color="auto" w:fill="1C556C" w:themeFill="accent1"/>
            <w:tcMar>
              <w:top w:w="0" w:type="dxa"/>
              <w:left w:w="85" w:type="dxa"/>
              <w:bottom w:w="0" w:type="dxa"/>
              <w:right w:w="57" w:type="dxa"/>
            </w:tcMar>
            <w:vAlign w:val="bottom"/>
          </w:tcPr>
          <w:p w14:paraId="17CCE0A6" w14:textId="77777777" w:rsidR="003A5396" w:rsidRPr="001F4265" w:rsidRDefault="003A5396" w:rsidP="00F16E23">
            <w:pPr>
              <w:pStyle w:val="TableTextBold"/>
              <w:spacing w:before="40" w:after="0"/>
              <w:jc w:val="right"/>
              <w:rPr>
                <w:noProof w:val="0"/>
                <w:color w:val="FFFFFF" w:themeColor="background1"/>
                <w:szCs w:val="16"/>
              </w:rPr>
            </w:pPr>
          </w:p>
        </w:tc>
        <w:tc>
          <w:tcPr>
            <w:tcW w:w="632" w:type="dxa"/>
            <w:shd w:val="clear" w:color="auto" w:fill="1C556C" w:themeFill="accent1"/>
            <w:tcMar>
              <w:top w:w="0" w:type="dxa"/>
              <w:left w:w="85" w:type="dxa"/>
              <w:bottom w:w="0" w:type="dxa"/>
              <w:right w:w="57" w:type="dxa"/>
            </w:tcMar>
            <w:vAlign w:val="bottom"/>
          </w:tcPr>
          <w:p w14:paraId="29D30F5B" w14:textId="77777777" w:rsidR="003A5396" w:rsidRPr="001F4265" w:rsidRDefault="003A5396" w:rsidP="00F16E23">
            <w:pPr>
              <w:pStyle w:val="TableTextBold"/>
              <w:spacing w:before="40" w:after="0"/>
              <w:jc w:val="right"/>
              <w:rPr>
                <w:noProof w:val="0"/>
                <w:color w:val="FFFFFF" w:themeColor="background1"/>
                <w:szCs w:val="16"/>
              </w:rPr>
            </w:pPr>
          </w:p>
        </w:tc>
        <w:tc>
          <w:tcPr>
            <w:tcW w:w="835" w:type="dxa"/>
            <w:shd w:val="clear" w:color="auto" w:fill="1C556C" w:themeFill="accent1"/>
            <w:tcMar>
              <w:top w:w="0" w:type="dxa"/>
              <w:left w:w="85" w:type="dxa"/>
              <w:bottom w:w="0" w:type="dxa"/>
              <w:right w:w="57" w:type="dxa"/>
            </w:tcMar>
            <w:vAlign w:val="bottom"/>
          </w:tcPr>
          <w:p w14:paraId="2100E1BD" w14:textId="77777777" w:rsidR="003A5396" w:rsidRPr="001F4265" w:rsidRDefault="003A5396" w:rsidP="00F16E23">
            <w:pPr>
              <w:pStyle w:val="TableTextBold"/>
              <w:spacing w:before="40" w:after="0"/>
              <w:jc w:val="right"/>
              <w:rPr>
                <w:noProof w:val="0"/>
                <w:color w:val="FFFFFF" w:themeColor="background1"/>
                <w:szCs w:val="16"/>
              </w:rPr>
            </w:pPr>
            <w:r w:rsidRPr="001F4265">
              <w:rPr>
                <w:rFonts w:eastAsia="Calibri" w:cs="Calibri"/>
                <w:noProof w:val="0"/>
                <w:color w:val="FFFFFF" w:themeColor="background1"/>
                <w:szCs w:val="16"/>
              </w:rPr>
              <w:t>Difference (kt CO</w:t>
            </w:r>
            <w:r w:rsidRPr="001F4265">
              <w:rPr>
                <w:rFonts w:eastAsia="Calibri" w:cs="Calibri"/>
                <w:noProof w:val="0"/>
                <w:color w:val="FFFFFF" w:themeColor="background1"/>
                <w:szCs w:val="16"/>
                <w:vertAlign w:val="subscript"/>
              </w:rPr>
              <w:t>2</w:t>
            </w:r>
            <w:r w:rsidRPr="001F4265">
              <w:rPr>
                <w:rFonts w:eastAsia="Calibri" w:cs="Calibri"/>
                <w:noProof w:val="0"/>
                <w:color w:val="FFFFFF" w:themeColor="background1"/>
                <w:szCs w:val="16"/>
              </w:rPr>
              <w:t>e)</w:t>
            </w:r>
          </w:p>
        </w:tc>
        <w:tc>
          <w:tcPr>
            <w:tcW w:w="680" w:type="dxa"/>
            <w:shd w:val="clear" w:color="auto" w:fill="1C556C" w:themeFill="accent1"/>
            <w:tcMar>
              <w:top w:w="0" w:type="dxa"/>
              <w:left w:w="85" w:type="dxa"/>
              <w:bottom w:w="0" w:type="dxa"/>
              <w:right w:w="57" w:type="dxa"/>
            </w:tcMar>
            <w:vAlign w:val="bottom"/>
          </w:tcPr>
          <w:p w14:paraId="39E0D4AB" w14:textId="77777777" w:rsidR="003A5396" w:rsidRPr="001F4265" w:rsidRDefault="003A5396" w:rsidP="00F16E23">
            <w:pPr>
              <w:pStyle w:val="TableTextBold"/>
              <w:spacing w:before="40" w:after="0"/>
              <w:jc w:val="right"/>
              <w:rPr>
                <w:noProof w:val="0"/>
                <w:color w:val="FFFFFF" w:themeColor="background1"/>
                <w:szCs w:val="16"/>
              </w:rPr>
            </w:pPr>
          </w:p>
        </w:tc>
        <w:tc>
          <w:tcPr>
            <w:tcW w:w="794" w:type="dxa"/>
            <w:shd w:val="clear" w:color="auto" w:fill="1C556C" w:themeFill="accent1"/>
            <w:tcMar>
              <w:top w:w="0" w:type="dxa"/>
              <w:left w:w="85" w:type="dxa"/>
              <w:bottom w:w="0" w:type="dxa"/>
              <w:right w:w="57" w:type="dxa"/>
            </w:tcMar>
            <w:vAlign w:val="bottom"/>
          </w:tcPr>
          <w:p w14:paraId="014B8921" w14:textId="77777777" w:rsidR="003A5396" w:rsidRPr="001F4265" w:rsidRDefault="003A5396" w:rsidP="00F16E23">
            <w:pPr>
              <w:pStyle w:val="TableTextBold"/>
              <w:spacing w:before="40" w:after="0"/>
              <w:jc w:val="right"/>
              <w:rPr>
                <w:noProof w:val="0"/>
                <w:color w:val="FFFFFF" w:themeColor="background1"/>
                <w:szCs w:val="16"/>
              </w:rPr>
            </w:pPr>
            <w:r w:rsidRPr="001F4265">
              <w:rPr>
                <w:rFonts w:eastAsia="Calibri" w:cs="Calibri"/>
                <w:noProof w:val="0"/>
                <w:color w:val="FFFFFF" w:themeColor="background1"/>
                <w:szCs w:val="16"/>
              </w:rPr>
              <w:t>Change (%)</w:t>
            </w:r>
          </w:p>
        </w:tc>
        <w:tc>
          <w:tcPr>
            <w:tcW w:w="0" w:type="auto"/>
            <w:shd w:val="clear" w:color="auto" w:fill="1C556C" w:themeFill="accent1"/>
            <w:tcMar>
              <w:top w:w="0" w:type="dxa"/>
              <w:left w:w="85" w:type="dxa"/>
              <w:bottom w:w="0" w:type="dxa"/>
              <w:right w:w="57" w:type="dxa"/>
            </w:tcMar>
            <w:vAlign w:val="bottom"/>
          </w:tcPr>
          <w:p w14:paraId="49D864C5" w14:textId="77777777" w:rsidR="003A5396" w:rsidRPr="001F4265" w:rsidRDefault="003A5396" w:rsidP="00F16E23">
            <w:pPr>
              <w:pStyle w:val="TableTextBold"/>
              <w:spacing w:before="40" w:after="0"/>
              <w:jc w:val="right"/>
              <w:rPr>
                <w:noProof w:val="0"/>
                <w:color w:val="FFFFFF" w:themeColor="background1"/>
                <w:szCs w:val="16"/>
              </w:rPr>
            </w:pPr>
          </w:p>
        </w:tc>
        <w:tc>
          <w:tcPr>
            <w:tcW w:w="0" w:type="auto"/>
            <w:shd w:val="clear" w:color="auto" w:fill="1C556C" w:themeFill="accent1"/>
            <w:tcMar>
              <w:top w:w="0" w:type="dxa"/>
              <w:left w:w="85" w:type="dxa"/>
              <w:bottom w:w="0" w:type="dxa"/>
              <w:right w:w="57" w:type="dxa"/>
            </w:tcMar>
            <w:vAlign w:val="bottom"/>
          </w:tcPr>
          <w:p w14:paraId="0D9EB2BC" w14:textId="77777777" w:rsidR="003A5396" w:rsidRPr="001F4265" w:rsidRDefault="003A5396" w:rsidP="00F16E23">
            <w:pPr>
              <w:pStyle w:val="TableTextBold"/>
              <w:spacing w:before="40" w:after="0"/>
              <w:jc w:val="right"/>
              <w:rPr>
                <w:noProof w:val="0"/>
                <w:color w:val="FFFFFF" w:themeColor="background1"/>
                <w:szCs w:val="16"/>
              </w:rPr>
            </w:pPr>
            <w:r w:rsidRPr="001F4265">
              <w:rPr>
                <w:rFonts w:eastAsia="Calibri" w:cs="Calibri"/>
                <w:noProof w:val="0"/>
                <w:color w:val="FFFFFF" w:themeColor="background1"/>
                <w:szCs w:val="16"/>
              </w:rPr>
              <w:t>Share (%)</w:t>
            </w:r>
          </w:p>
        </w:tc>
        <w:tc>
          <w:tcPr>
            <w:tcW w:w="0" w:type="auto"/>
            <w:shd w:val="clear" w:color="auto" w:fill="1C556C" w:themeFill="accent1"/>
            <w:tcMar>
              <w:top w:w="0" w:type="dxa"/>
              <w:left w:w="85" w:type="dxa"/>
              <w:bottom w:w="0" w:type="dxa"/>
              <w:right w:w="57" w:type="dxa"/>
            </w:tcMar>
            <w:vAlign w:val="bottom"/>
          </w:tcPr>
          <w:p w14:paraId="1C3B9B15" w14:textId="77777777" w:rsidR="003A5396" w:rsidRPr="001F4265" w:rsidRDefault="003A5396" w:rsidP="00F16E23">
            <w:pPr>
              <w:pStyle w:val="TableTextBold"/>
              <w:spacing w:before="40" w:after="0"/>
              <w:jc w:val="right"/>
              <w:rPr>
                <w:noProof w:val="0"/>
                <w:color w:val="FFFFFF" w:themeColor="background1"/>
                <w:szCs w:val="16"/>
              </w:rPr>
            </w:pPr>
          </w:p>
        </w:tc>
        <w:tc>
          <w:tcPr>
            <w:tcW w:w="0" w:type="auto"/>
            <w:shd w:val="clear" w:color="auto" w:fill="1C556C" w:themeFill="accent1"/>
            <w:tcMar>
              <w:top w:w="0" w:type="dxa"/>
              <w:left w:w="85" w:type="dxa"/>
              <w:bottom w:w="0" w:type="dxa"/>
              <w:right w:w="57" w:type="dxa"/>
            </w:tcMar>
            <w:vAlign w:val="bottom"/>
          </w:tcPr>
          <w:p w14:paraId="35B944BA" w14:textId="77777777" w:rsidR="003A5396" w:rsidRPr="001F4265" w:rsidRDefault="003A5396" w:rsidP="00F16E23">
            <w:pPr>
              <w:pStyle w:val="TableTextBold"/>
              <w:spacing w:before="40" w:after="0"/>
              <w:jc w:val="right"/>
              <w:rPr>
                <w:noProof w:val="0"/>
                <w:color w:val="FFFFFF" w:themeColor="background1"/>
                <w:szCs w:val="16"/>
              </w:rPr>
            </w:pPr>
          </w:p>
        </w:tc>
      </w:tr>
      <w:tr w:rsidR="003A5396" w:rsidRPr="001F4265" w14:paraId="540B1612" w14:textId="77777777" w:rsidTr="00F16E23">
        <w:trPr>
          <w:tblHeader/>
        </w:trPr>
        <w:tc>
          <w:tcPr>
            <w:tcW w:w="0" w:type="auto"/>
            <w:shd w:val="clear" w:color="auto" w:fill="1C556C" w:themeFill="accent1"/>
            <w:tcMar>
              <w:top w:w="0" w:type="dxa"/>
              <w:left w:w="85" w:type="dxa"/>
              <w:bottom w:w="0" w:type="dxa"/>
              <w:right w:w="57" w:type="dxa"/>
            </w:tcMar>
            <w:vAlign w:val="bottom"/>
          </w:tcPr>
          <w:p w14:paraId="3707FB4F" w14:textId="77777777" w:rsidR="003A5396" w:rsidRPr="001F4265" w:rsidRDefault="003A5396" w:rsidP="00F16E23">
            <w:pPr>
              <w:pStyle w:val="TableTextBold"/>
              <w:spacing w:before="0" w:after="40"/>
              <w:rPr>
                <w:noProof w:val="0"/>
                <w:color w:val="FFFFFF" w:themeColor="background1"/>
                <w:szCs w:val="16"/>
              </w:rPr>
            </w:pPr>
            <w:r w:rsidRPr="001F4265">
              <w:rPr>
                <w:rFonts w:eastAsia="Calibri" w:cs="Calibri"/>
                <w:noProof w:val="0"/>
                <w:color w:val="FFFFFF" w:themeColor="background1"/>
                <w:szCs w:val="16"/>
              </w:rPr>
              <w:t>Source category</w:t>
            </w:r>
          </w:p>
        </w:tc>
        <w:tc>
          <w:tcPr>
            <w:tcW w:w="794" w:type="dxa"/>
            <w:shd w:val="clear" w:color="auto" w:fill="1C556C" w:themeFill="accent1"/>
            <w:tcMar>
              <w:top w:w="0" w:type="dxa"/>
              <w:left w:w="85" w:type="dxa"/>
              <w:bottom w:w="0" w:type="dxa"/>
              <w:right w:w="57" w:type="dxa"/>
            </w:tcMar>
            <w:vAlign w:val="bottom"/>
          </w:tcPr>
          <w:p w14:paraId="4840C996"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noProof w:val="0"/>
                <w:color w:val="FFFFFF" w:themeColor="background1"/>
                <w:szCs w:val="16"/>
              </w:rPr>
              <w:t>1990</w:t>
            </w:r>
          </w:p>
        </w:tc>
        <w:tc>
          <w:tcPr>
            <w:tcW w:w="632" w:type="dxa"/>
            <w:shd w:val="clear" w:color="auto" w:fill="1C556C" w:themeFill="accent1"/>
            <w:tcMar>
              <w:top w:w="0" w:type="dxa"/>
              <w:left w:w="85" w:type="dxa"/>
              <w:bottom w:w="0" w:type="dxa"/>
              <w:right w:w="57" w:type="dxa"/>
            </w:tcMar>
            <w:vAlign w:val="bottom"/>
          </w:tcPr>
          <w:p w14:paraId="788248B2"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noProof w:val="0"/>
                <w:color w:val="FFFFFF" w:themeColor="background1"/>
                <w:szCs w:val="16"/>
              </w:rPr>
              <w:t>2005</w:t>
            </w:r>
          </w:p>
        </w:tc>
        <w:tc>
          <w:tcPr>
            <w:tcW w:w="632" w:type="dxa"/>
            <w:shd w:val="clear" w:color="auto" w:fill="1C556C" w:themeFill="accent1"/>
            <w:tcMar>
              <w:top w:w="0" w:type="dxa"/>
              <w:left w:w="85" w:type="dxa"/>
              <w:bottom w:w="0" w:type="dxa"/>
              <w:right w:w="57" w:type="dxa"/>
            </w:tcMar>
            <w:vAlign w:val="bottom"/>
          </w:tcPr>
          <w:p w14:paraId="392BC043"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noProof w:val="0"/>
                <w:color w:val="FFFFFF" w:themeColor="background1"/>
                <w:szCs w:val="16"/>
              </w:rPr>
              <w:t>2024</w:t>
            </w:r>
          </w:p>
        </w:tc>
        <w:tc>
          <w:tcPr>
            <w:tcW w:w="835" w:type="dxa"/>
            <w:shd w:val="clear" w:color="auto" w:fill="1C556C" w:themeFill="accent1"/>
            <w:tcMar>
              <w:top w:w="0" w:type="dxa"/>
              <w:left w:w="85" w:type="dxa"/>
              <w:bottom w:w="0" w:type="dxa"/>
              <w:right w:w="57" w:type="dxa"/>
            </w:tcMar>
            <w:vAlign w:val="bottom"/>
          </w:tcPr>
          <w:p w14:paraId="5E7B9DE2"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bCs/>
                <w:noProof w:val="0"/>
                <w:color w:val="FFFFFF" w:themeColor="background1"/>
                <w:szCs w:val="16"/>
              </w:rPr>
              <w:t>1990–2024</w:t>
            </w:r>
          </w:p>
        </w:tc>
        <w:tc>
          <w:tcPr>
            <w:tcW w:w="680" w:type="dxa"/>
            <w:shd w:val="clear" w:color="auto" w:fill="1C556C" w:themeFill="accent1"/>
            <w:tcMar>
              <w:top w:w="0" w:type="dxa"/>
              <w:left w:w="85" w:type="dxa"/>
              <w:bottom w:w="0" w:type="dxa"/>
              <w:right w:w="57" w:type="dxa"/>
            </w:tcMar>
            <w:vAlign w:val="bottom"/>
          </w:tcPr>
          <w:p w14:paraId="4764D53F"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bCs/>
                <w:noProof w:val="0"/>
                <w:color w:val="FFFFFF" w:themeColor="background1"/>
                <w:szCs w:val="16"/>
              </w:rPr>
              <w:t>2005–2024</w:t>
            </w:r>
          </w:p>
        </w:tc>
        <w:tc>
          <w:tcPr>
            <w:tcW w:w="794" w:type="dxa"/>
            <w:shd w:val="clear" w:color="auto" w:fill="1C556C" w:themeFill="accent1"/>
            <w:tcMar>
              <w:top w:w="0" w:type="dxa"/>
              <w:left w:w="85" w:type="dxa"/>
              <w:bottom w:w="0" w:type="dxa"/>
              <w:right w:w="57" w:type="dxa"/>
            </w:tcMar>
            <w:vAlign w:val="bottom"/>
          </w:tcPr>
          <w:p w14:paraId="0255AC2E"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bCs/>
                <w:noProof w:val="0"/>
                <w:color w:val="FFFFFF" w:themeColor="background1"/>
                <w:szCs w:val="16"/>
              </w:rPr>
              <w:t>1990–2024</w:t>
            </w:r>
          </w:p>
        </w:tc>
        <w:tc>
          <w:tcPr>
            <w:tcW w:w="0" w:type="auto"/>
            <w:shd w:val="clear" w:color="auto" w:fill="1C556C" w:themeFill="accent1"/>
            <w:tcMar>
              <w:top w:w="0" w:type="dxa"/>
              <w:left w:w="85" w:type="dxa"/>
              <w:bottom w:w="0" w:type="dxa"/>
              <w:right w:w="57" w:type="dxa"/>
            </w:tcMar>
            <w:vAlign w:val="bottom"/>
          </w:tcPr>
          <w:p w14:paraId="2BBB0F78"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bCs/>
                <w:noProof w:val="0"/>
                <w:color w:val="FFFFFF" w:themeColor="background1"/>
                <w:szCs w:val="16"/>
              </w:rPr>
              <w:t>2005–2024</w:t>
            </w:r>
          </w:p>
        </w:tc>
        <w:tc>
          <w:tcPr>
            <w:tcW w:w="0" w:type="auto"/>
            <w:shd w:val="clear" w:color="auto" w:fill="1C556C" w:themeFill="accent1"/>
            <w:tcMar>
              <w:top w:w="0" w:type="dxa"/>
              <w:left w:w="85" w:type="dxa"/>
              <w:bottom w:w="0" w:type="dxa"/>
              <w:right w:w="57" w:type="dxa"/>
            </w:tcMar>
            <w:vAlign w:val="bottom"/>
          </w:tcPr>
          <w:p w14:paraId="424D2F42"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noProof w:val="0"/>
                <w:color w:val="FFFFFF" w:themeColor="background1"/>
                <w:szCs w:val="16"/>
              </w:rPr>
              <w:t>1990</w:t>
            </w:r>
          </w:p>
        </w:tc>
        <w:tc>
          <w:tcPr>
            <w:tcW w:w="0" w:type="auto"/>
            <w:shd w:val="clear" w:color="auto" w:fill="1C556C" w:themeFill="accent1"/>
            <w:tcMar>
              <w:top w:w="0" w:type="dxa"/>
              <w:left w:w="85" w:type="dxa"/>
              <w:bottom w:w="0" w:type="dxa"/>
              <w:right w:w="57" w:type="dxa"/>
            </w:tcMar>
            <w:vAlign w:val="bottom"/>
          </w:tcPr>
          <w:p w14:paraId="261ADE74"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noProof w:val="0"/>
                <w:color w:val="FFFFFF" w:themeColor="background1"/>
                <w:szCs w:val="16"/>
              </w:rPr>
              <w:t>2005</w:t>
            </w:r>
          </w:p>
        </w:tc>
        <w:tc>
          <w:tcPr>
            <w:tcW w:w="0" w:type="auto"/>
            <w:shd w:val="clear" w:color="auto" w:fill="1C556C" w:themeFill="accent1"/>
            <w:tcMar>
              <w:top w:w="0" w:type="dxa"/>
              <w:left w:w="85" w:type="dxa"/>
              <w:bottom w:w="0" w:type="dxa"/>
              <w:right w:w="57" w:type="dxa"/>
            </w:tcMar>
            <w:vAlign w:val="bottom"/>
          </w:tcPr>
          <w:p w14:paraId="6FD4DC0F" w14:textId="77777777" w:rsidR="003A5396" w:rsidRPr="001F4265" w:rsidRDefault="003A5396" w:rsidP="00F16E23">
            <w:pPr>
              <w:pStyle w:val="TableTextBold"/>
              <w:spacing w:before="0" w:after="40"/>
              <w:jc w:val="right"/>
              <w:rPr>
                <w:noProof w:val="0"/>
                <w:color w:val="FFFFFF" w:themeColor="background1"/>
                <w:szCs w:val="16"/>
              </w:rPr>
            </w:pPr>
            <w:r w:rsidRPr="001F4265">
              <w:rPr>
                <w:rFonts w:eastAsia="Calibri" w:cs="Calibri"/>
                <w:noProof w:val="0"/>
                <w:color w:val="FFFFFF" w:themeColor="background1"/>
                <w:szCs w:val="16"/>
              </w:rPr>
              <w:t>2024</w:t>
            </w:r>
          </w:p>
        </w:tc>
      </w:tr>
      <w:tr w:rsidR="003A5396" w:rsidRPr="001F4265" w14:paraId="5316E1AC" w14:textId="77777777" w:rsidTr="00F16E23">
        <w:tc>
          <w:tcPr>
            <w:tcW w:w="0" w:type="auto"/>
            <w:shd w:val="clear" w:color="auto" w:fill="FFFFFF" w:themeFill="background1"/>
            <w:tcMar>
              <w:top w:w="0" w:type="dxa"/>
              <w:left w:w="85" w:type="dxa"/>
              <w:bottom w:w="0" w:type="dxa"/>
              <w:right w:w="57" w:type="dxa"/>
            </w:tcMar>
            <w:vAlign w:val="center"/>
          </w:tcPr>
          <w:p w14:paraId="485A9CA9" w14:textId="77777777" w:rsidR="003A5396" w:rsidRPr="001F4265" w:rsidRDefault="003A5396" w:rsidP="00F16E23">
            <w:pPr>
              <w:pStyle w:val="TableText"/>
              <w:spacing w:before="40" w:after="40"/>
              <w:rPr>
                <w:szCs w:val="16"/>
              </w:rPr>
            </w:pPr>
            <w:r w:rsidRPr="001F4265">
              <w:rPr>
                <w:rFonts w:eastAsia="Calibri"/>
                <w:szCs w:val="16"/>
              </w:rPr>
              <w:t>Mineral industry (2.A)</w:t>
            </w:r>
          </w:p>
        </w:tc>
        <w:tc>
          <w:tcPr>
            <w:tcW w:w="794" w:type="dxa"/>
            <w:shd w:val="clear" w:color="auto" w:fill="FFFFFF" w:themeFill="background1"/>
            <w:tcMar>
              <w:top w:w="0" w:type="dxa"/>
              <w:left w:w="85" w:type="dxa"/>
              <w:bottom w:w="0" w:type="dxa"/>
              <w:right w:w="57" w:type="dxa"/>
            </w:tcMar>
            <w:vAlign w:val="center"/>
          </w:tcPr>
          <w:p w14:paraId="5738DD5B" w14:textId="77777777" w:rsidR="003A5396" w:rsidRPr="001F4265" w:rsidRDefault="003A5396" w:rsidP="00F16E23">
            <w:pPr>
              <w:pStyle w:val="TableText"/>
              <w:spacing w:before="40" w:after="40"/>
              <w:jc w:val="right"/>
              <w:rPr>
                <w:szCs w:val="16"/>
              </w:rPr>
            </w:pPr>
            <w:r w:rsidRPr="001F4265">
              <w:rPr>
                <w:rFonts w:eastAsia="Calibri"/>
                <w:szCs w:val="16"/>
              </w:rPr>
              <w:t>561.9</w:t>
            </w:r>
          </w:p>
        </w:tc>
        <w:tc>
          <w:tcPr>
            <w:tcW w:w="632" w:type="dxa"/>
            <w:shd w:val="clear" w:color="auto" w:fill="FFFFFF" w:themeFill="background1"/>
            <w:tcMar>
              <w:top w:w="0" w:type="dxa"/>
              <w:left w:w="85" w:type="dxa"/>
              <w:bottom w:w="0" w:type="dxa"/>
              <w:right w:w="57" w:type="dxa"/>
            </w:tcMar>
            <w:vAlign w:val="center"/>
          </w:tcPr>
          <w:p w14:paraId="3B90BD5B" w14:textId="77777777" w:rsidR="003A5396" w:rsidRPr="001F4265" w:rsidRDefault="003A5396" w:rsidP="00F16E23">
            <w:pPr>
              <w:pStyle w:val="TableText"/>
              <w:spacing w:before="40" w:after="40"/>
              <w:jc w:val="right"/>
              <w:rPr>
                <w:szCs w:val="16"/>
              </w:rPr>
            </w:pPr>
            <w:r w:rsidRPr="001F4265">
              <w:rPr>
                <w:rFonts w:eastAsia="Calibri"/>
                <w:szCs w:val="16"/>
              </w:rPr>
              <w:t>756.2</w:t>
            </w:r>
          </w:p>
        </w:tc>
        <w:tc>
          <w:tcPr>
            <w:tcW w:w="632" w:type="dxa"/>
            <w:shd w:val="clear" w:color="auto" w:fill="FFFFFF" w:themeFill="background1"/>
            <w:tcMar>
              <w:top w:w="0" w:type="dxa"/>
              <w:left w:w="85" w:type="dxa"/>
              <w:bottom w:w="0" w:type="dxa"/>
              <w:right w:w="57" w:type="dxa"/>
            </w:tcMar>
            <w:vAlign w:val="center"/>
          </w:tcPr>
          <w:p w14:paraId="3ABD28F8" w14:textId="77777777" w:rsidR="003A5396" w:rsidRPr="001F4265" w:rsidRDefault="003A5396" w:rsidP="00F16E23">
            <w:pPr>
              <w:pStyle w:val="TableText"/>
              <w:spacing w:before="40" w:after="40"/>
              <w:jc w:val="right"/>
            </w:pPr>
            <w:r w:rsidRPr="001F4265">
              <w:rPr>
                <w:rFonts w:eastAsia="Calibri"/>
              </w:rPr>
              <w:t>484.0</w:t>
            </w:r>
          </w:p>
        </w:tc>
        <w:tc>
          <w:tcPr>
            <w:tcW w:w="835" w:type="dxa"/>
            <w:shd w:val="clear" w:color="auto" w:fill="FFFFFF" w:themeFill="background1"/>
            <w:tcMar>
              <w:top w:w="0" w:type="dxa"/>
              <w:left w:w="85" w:type="dxa"/>
              <w:bottom w:w="0" w:type="dxa"/>
              <w:right w:w="57" w:type="dxa"/>
            </w:tcMar>
            <w:vAlign w:val="center"/>
          </w:tcPr>
          <w:p w14:paraId="05D994EE" w14:textId="77777777" w:rsidR="003A5396" w:rsidRPr="001F4265" w:rsidRDefault="003A5396" w:rsidP="00F16E23">
            <w:pPr>
              <w:pStyle w:val="TableText"/>
              <w:spacing w:before="40" w:after="40"/>
              <w:jc w:val="right"/>
              <w:rPr>
                <w:szCs w:val="16"/>
              </w:rPr>
            </w:pPr>
            <w:r w:rsidRPr="001F4265">
              <w:rPr>
                <w:rFonts w:eastAsia="Calibri"/>
                <w:szCs w:val="16"/>
              </w:rPr>
              <w:t>-77.8</w:t>
            </w:r>
          </w:p>
        </w:tc>
        <w:tc>
          <w:tcPr>
            <w:tcW w:w="680" w:type="dxa"/>
            <w:shd w:val="clear" w:color="auto" w:fill="FFFFFF" w:themeFill="background1"/>
            <w:tcMar>
              <w:top w:w="0" w:type="dxa"/>
              <w:left w:w="85" w:type="dxa"/>
              <w:bottom w:w="0" w:type="dxa"/>
              <w:right w:w="57" w:type="dxa"/>
            </w:tcMar>
            <w:vAlign w:val="center"/>
          </w:tcPr>
          <w:p w14:paraId="073311FB" w14:textId="77777777" w:rsidR="003A5396" w:rsidRPr="001F4265" w:rsidRDefault="003A5396" w:rsidP="00F16E23">
            <w:pPr>
              <w:pStyle w:val="TableText"/>
              <w:spacing w:before="40" w:after="40"/>
              <w:jc w:val="right"/>
              <w:rPr>
                <w:szCs w:val="16"/>
              </w:rPr>
            </w:pPr>
            <w:r w:rsidRPr="001F4265">
              <w:rPr>
                <w:rFonts w:eastAsia="Calibri"/>
                <w:szCs w:val="16"/>
              </w:rPr>
              <w:t>-272.1</w:t>
            </w:r>
          </w:p>
        </w:tc>
        <w:tc>
          <w:tcPr>
            <w:tcW w:w="794" w:type="dxa"/>
            <w:shd w:val="clear" w:color="auto" w:fill="FFFFFF" w:themeFill="background1"/>
            <w:tcMar>
              <w:top w:w="0" w:type="dxa"/>
              <w:left w:w="85" w:type="dxa"/>
              <w:bottom w:w="0" w:type="dxa"/>
              <w:right w:w="57" w:type="dxa"/>
            </w:tcMar>
            <w:vAlign w:val="center"/>
          </w:tcPr>
          <w:p w14:paraId="4D458168" w14:textId="77777777" w:rsidR="003A5396" w:rsidRPr="001F4265" w:rsidRDefault="003A5396" w:rsidP="00F16E23">
            <w:pPr>
              <w:pStyle w:val="TableText"/>
              <w:spacing w:before="40" w:after="40"/>
              <w:jc w:val="right"/>
            </w:pPr>
            <w:r w:rsidRPr="001F4265">
              <w:rPr>
                <w:rFonts w:eastAsia="Calibri"/>
              </w:rPr>
              <w:t>-13.9</w:t>
            </w:r>
          </w:p>
        </w:tc>
        <w:tc>
          <w:tcPr>
            <w:tcW w:w="0" w:type="auto"/>
            <w:shd w:val="clear" w:color="auto" w:fill="FFFFFF" w:themeFill="background1"/>
            <w:tcMar>
              <w:top w:w="0" w:type="dxa"/>
              <w:left w:w="85" w:type="dxa"/>
              <w:bottom w:w="0" w:type="dxa"/>
              <w:right w:w="57" w:type="dxa"/>
            </w:tcMar>
            <w:vAlign w:val="center"/>
          </w:tcPr>
          <w:p w14:paraId="7E824799" w14:textId="77777777" w:rsidR="003A5396" w:rsidRPr="001F4265" w:rsidRDefault="003A5396" w:rsidP="00F16E23">
            <w:pPr>
              <w:pStyle w:val="TableText"/>
              <w:spacing w:before="40" w:after="40"/>
              <w:jc w:val="right"/>
              <w:rPr>
                <w:szCs w:val="16"/>
              </w:rPr>
            </w:pPr>
            <w:r w:rsidRPr="001F4265">
              <w:rPr>
                <w:rFonts w:eastAsia="Calibri"/>
                <w:szCs w:val="16"/>
              </w:rPr>
              <w:t>-36.0</w:t>
            </w:r>
          </w:p>
        </w:tc>
        <w:tc>
          <w:tcPr>
            <w:tcW w:w="0" w:type="auto"/>
            <w:shd w:val="clear" w:color="auto" w:fill="FFFFFF" w:themeFill="background1"/>
            <w:tcMar>
              <w:top w:w="0" w:type="dxa"/>
              <w:left w:w="85" w:type="dxa"/>
              <w:bottom w:w="0" w:type="dxa"/>
              <w:right w:w="57" w:type="dxa"/>
            </w:tcMar>
            <w:vAlign w:val="center"/>
          </w:tcPr>
          <w:p w14:paraId="6701AA19" w14:textId="77777777" w:rsidR="003A5396" w:rsidRPr="001F4265" w:rsidRDefault="003A5396" w:rsidP="00F16E23">
            <w:pPr>
              <w:pStyle w:val="TableText"/>
              <w:spacing w:before="40" w:after="40"/>
              <w:jc w:val="right"/>
              <w:rPr>
                <w:szCs w:val="16"/>
              </w:rPr>
            </w:pPr>
            <w:r w:rsidRPr="001F4265">
              <w:rPr>
                <w:rFonts w:eastAsia="Calibri"/>
                <w:szCs w:val="16"/>
              </w:rPr>
              <w:t>16.1</w:t>
            </w:r>
          </w:p>
        </w:tc>
        <w:tc>
          <w:tcPr>
            <w:tcW w:w="0" w:type="auto"/>
            <w:shd w:val="clear" w:color="auto" w:fill="FFFFFF" w:themeFill="background1"/>
            <w:tcMar>
              <w:top w:w="0" w:type="dxa"/>
              <w:left w:w="85" w:type="dxa"/>
              <w:bottom w:w="0" w:type="dxa"/>
              <w:right w:w="57" w:type="dxa"/>
            </w:tcMar>
            <w:vAlign w:val="center"/>
          </w:tcPr>
          <w:p w14:paraId="45E7621D" w14:textId="77777777" w:rsidR="003A5396" w:rsidRPr="001F4265" w:rsidRDefault="003A5396" w:rsidP="00F16E23">
            <w:pPr>
              <w:pStyle w:val="TableText"/>
              <w:spacing w:before="40" w:after="40"/>
              <w:jc w:val="right"/>
              <w:rPr>
                <w:szCs w:val="16"/>
              </w:rPr>
            </w:pPr>
            <w:r w:rsidRPr="001F4265">
              <w:rPr>
                <w:rFonts w:eastAsia="Calibri"/>
                <w:szCs w:val="16"/>
              </w:rPr>
              <w:t>18.7</w:t>
            </w:r>
          </w:p>
        </w:tc>
        <w:tc>
          <w:tcPr>
            <w:tcW w:w="0" w:type="auto"/>
            <w:shd w:val="clear" w:color="auto" w:fill="FFFFFF" w:themeFill="background1"/>
            <w:tcMar>
              <w:top w:w="0" w:type="dxa"/>
              <w:left w:w="85" w:type="dxa"/>
              <w:bottom w:w="0" w:type="dxa"/>
              <w:right w:w="57" w:type="dxa"/>
            </w:tcMar>
            <w:vAlign w:val="center"/>
          </w:tcPr>
          <w:p w14:paraId="58ABD4FD" w14:textId="77777777" w:rsidR="003A5396" w:rsidRPr="001F4265" w:rsidRDefault="003A5396" w:rsidP="00F16E23">
            <w:pPr>
              <w:pStyle w:val="TableText"/>
              <w:spacing w:before="40" w:after="40"/>
              <w:jc w:val="right"/>
            </w:pPr>
            <w:r w:rsidRPr="001F4265">
              <w:rPr>
                <w:rFonts w:eastAsia="Calibri"/>
              </w:rPr>
              <w:t>12.4</w:t>
            </w:r>
          </w:p>
        </w:tc>
      </w:tr>
      <w:tr w:rsidR="003A5396" w:rsidRPr="001F4265" w14:paraId="67AD7432" w14:textId="77777777" w:rsidTr="00F16E23">
        <w:tc>
          <w:tcPr>
            <w:tcW w:w="0" w:type="auto"/>
            <w:shd w:val="clear" w:color="auto" w:fill="FFFFFF" w:themeFill="background1"/>
            <w:tcMar>
              <w:top w:w="0" w:type="dxa"/>
              <w:left w:w="85" w:type="dxa"/>
              <w:bottom w:w="0" w:type="dxa"/>
              <w:right w:w="57" w:type="dxa"/>
            </w:tcMar>
            <w:vAlign w:val="center"/>
          </w:tcPr>
          <w:p w14:paraId="2FDC75AD" w14:textId="77777777" w:rsidR="003A5396" w:rsidRPr="001F4265" w:rsidRDefault="003A5396" w:rsidP="00F16E23">
            <w:pPr>
              <w:pStyle w:val="TableText"/>
              <w:spacing w:before="40" w:after="40"/>
              <w:rPr>
                <w:szCs w:val="16"/>
              </w:rPr>
            </w:pPr>
            <w:r w:rsidRPr="001F4265">
              <w:rPr>
                <w:rFonts w:eastAsia="Calibri"/>
                <w:szCs w:val="16"/>
              </w:rPr>
              <w:t>Chemical industry (2.B)</w:t>
            </w:r>
          </w:p>
        </w:tc>
        <w:tc>
          <w:tcPr>
            <w:tcW w:w="794" w:type="dxa"/>
            <w:shd w:val="clear" w:color="auto" w:fill="FFFFFF" w:themeFill="background1"/>
            <w:tcMar>
              <w:top w:w="0" w:type="dxa"/>
              <w:left w:w="85" w:type="dxa"/>
              <w:bottom w:w="0" w:type="dxa"/>
              <w:right w:w="57" w:type="dxa"/>
            </w:tcMar>
            <w:vAlign w:val="center"/>
          </w:tcPr>
          <w:p w14:paraId="379B40CB" w14:textId="77777777" w:rsidR="003A5396" w:rsidRPr="001F4265" w:rsidRDefault="003A5396" w:rsidP="00F16E23">
            <w:pPr>
              <w:pStyle w:val="TableText"/>
              <w:spacing w:before="40" w:after="40"/>
              <w:jc w:val="right"/>
              <w:rPr>
                <w:szCs w:val="16"/>
              </w:rPr>
            </w:pPr>
            <w:r w:rsidRPr="001F4265">
              <w:rPr>
                <w:rFonts w:eastAsia="Calibri"/>
                <w:szCs w:val="16"/>
              </w:rPr>
              <w:t>206.3</w:t>
            </w:r>
          </w:p>
        </w:tc>
        <w:tc>
          <w:tcPr>
            <w:tcW w:w="632" w:type="dxa"/>
            <w:shd w:val="clear" w:color="auto" w:fill="FFFFFF" w:themeFill="background1"/>
            <w:tcMar>
              <w:top w:w="0" w:type="dxa"/>
              <w:left w:w="85" w:type="dxa"/>
              <w:bottom w:w="0" w:type="dxa"/>
              <w:right w:w="57" w:type="dxa"/>
            </w:tcMar>
            <w:vAlign w:val="center"/>
          </w:tcPr>
          <w:p w14:paraId="5A118882" w14:textId="77777777" w:rsidR="003A5396" w:rsidRPr="001F4265" w:rsidRDefault="003A5396" w:rsidP="00F16E23">
            <w:pPr>
              <w:pStyle w:val="TableText"/>
              <w:spacing w:before="40" w:after="40"/>
              <w:jc w:val="right"/>
              <w:rPr>
                <w:szCs w:val="16"/>
              </w:rPr>
            </w:pPr>
            <w:r w:rsidRPr="001F4265">
              <w:rPr>
                <w:rFonts w:eastAsia="Calibri"/>
                <w:szCs w:val="16"/>
              </w:rPr>
              <w:t>251.2</w:t>
            </w:r>
          </w:p>
        </w:tc>
        <w:tc>
          <w:tcPr>
            <w:tcW w:w="632" w:type="dxa"/>
            <w:shd w:val="clear" w:color="auto" w:fill="FFFFFF" w:themeFill="background1"/>
            <w:tcMar>
              <w:top w:w="0" w:type="dxa"/>
              <w:left w:w="85" w:type="dxa"/>
              <w:bottom w:w="0" w:type="dxa"/>
              <w:right w:w="57" w:type="dxa"/>
            </w:tcMar>
            <w:vAlign w:val="center"/>
          </w:tcPr>
          <w:p w14:paraId="6DAEB81E" w14:textId="77777777" w:rsidR="003A5396" w:rsidRPr="001F4265" w:rsidRDefault="003A5396" w:rsidP="00F16E23">
            <w:pPr>
              <w:pStyle w:val="TableText"/>
              <w:spacing w:before="40" w:after="40"/>
              <w:jc w:val="right"/>
              <w:rPr>
                <w:szCs w:val="16"/>
              </w:rPr>
            </w:pPr>
            <w:r w:rsidRPr="001F4265">
              <w:rPr>
                <w:rFonts w:eastAsia="Calibri"/>
                <w:szCs w:val="16"/>
              </w:rPr>
              <w:t>76.3</w:t>
            </w:r>
          </w:p>
        </w:tc>
        <w:tc>
          <w:tcPr>
            <w:tcW w:w="835" w:type="dxa"/>
            <w:shd w:val="clear" w:color="auto" w:fill="FFFFFF" w:themeFill="background1"/>
            <w:tcMar>
              <w:top w:w="0" w:type="dxa"/>
              <w:left w:w="85" w:type="dxa"/>
              <w:bottom w:w="0" w:type="dxa"/>
              <w:right w:w="57" w:type="dxa"/>
            </w:tcMar>
            <w:vAlign w:val="center"/>
          </w:tcPr>
          <w:p w14:paraId="62DA4F62" w14:textId="77777777" w:rsidR="003A5396" w:rsidRPr="001F4265" w:rsidRDefault="003A5396" w:rsidP="00F16E23">
            <w:pPr>
              <w:pStyle w:val="TableText"/>
              <w:spacing w:before="40" w:after="40"/>
              <w:jc w:val="right"/>
              <w:rPr>
                <w:szCs w:val="16"/>
              </w:rPr>
            </w:pPr>
            <w:r w:rsidRPr="001F4265">
              <w:rPr>
                <w:rFonts w:eastAsia="Calibri"/>
                <w:szCs w:val="16"/>
              </w:rPr>
              <w:t>-130.0</w:t>
            </w:r>
          </w:p>
        </w:tc>
        <w:tc>
          <w:tcPr>
            <w:tcW w:w="680" w:type="dxa"/>
            <w:shd w:val="clear" w:color="auto" w:fill="FFFFFF" w:themeFill="background1"/>
            <w:tcMar>
              <w:top w:w="0" w:type="dxa"/>
              <w:left w:w="85" w:type="dxa"/>
              <w:bottom w:w="0" w:type="dxa"/>
              <w:right w:w="57" w:type="dxa"/>
            </w:tcMar>
            <w:vAlign w:val="center"/>
          </w:tcPr>
          <w:p w14:paraId="6C243F6F" w14:textId="77777777" w:rsidR="003A5396" w:rsidRPr="001F4265" w:rsidRDefault="003A5396" w:rsidP="00F16E23">
            <w:pPr>
              <w:pStyle w:val="TableText"/>
              <w:spacing w:before="40" w:after="40"/>
              <w:jc w:val="right"/>
              <w:rPr>
                <w:szCs w:val="16"/>
              </w:rPr>
            </w:pPr>
            <w:r w:rsidRPr="001F4265">
              <w:rPr>
                <w:rFonts w:eastAsia="Calibri"/>
                <w:szCs w:val="16"/>
              </w:rPr>
              <w:t>-174.9</w:t>
            </w:r>
          </w:p>
        </w:tc>
        <w:tc>
          <w:tcPr>
            <w:tcW w:w="794" w:type="dxa"/>
            <w:shd w:val="clear" w:color="auto" w:fill="FFFFFF" w:themeFill="background1"/>
            <w:tcMar>
              <w:top w:w="0" w:type="dxa"/>
              <w:left w:w="85" w:type="dxa"/>
              <w:bottom w:w="0" w:type="dxa"/>
              <w:right w:w="57" w:type="dxa"/>
            </w:tcMar>
            <w:vAlign w:val="center"/>
          </w:tcPr>
          <w:p w14:paraId="45A2878D" w14:textId="77777777" w:rsidR="003A5396" w:rsidRPr="001F4265" w:rsidRDefault="003A5396" w:rsidP="00F16E23">
            <w:pPr>
              <w:pStyle w:val="TableText"/>
              <w:spacing w:before="40" w:after="40"/>
              <w:jc w:val="right"/>
              <w:rPr>
                <w:szCs w:val="16"/>
              </w:rPr>
            </w:pPr>
            <w:r w:rsidRPr="001F4265">
              <w:rPr>
                <w:rFonts w:eastAsia="Calibri"/>
                <w:szCs w:val="16"/>
              </w:rPr>
              <w:t>-63.0</w:t>
            </w:r>
          </w:p>
        </w:tc>
        <w:tc>
          <w:tcPr>
            <w:tcW w:w="0" w:type="auto"/>
            <w:shd w:val="clear" w:color="auto" w:fill="FFFFFF" w:themeFill="background1"/>
            <w:tcMar>
              <w:top w:w="0" w:type="dxa"/>
              <w:left w:w="85" w:type="dxa"/>
              <w:bottom w:w="0" w:type="dxa"/>
              <w:right w:w="57" w:type="dxa"/>
            </w:tcMar>
            <w:vAlign w:val="center"/>
          </w:tcPr>
          <w:p w14:paraId="0736FA60" w14:textId="77777777" w:rsidR="003A5396" w:rsidRPr="001F4265" w:rsidRDefault="003A5396" w:rsidP="00F16E23">
            <w:pPr>
              <w:pStyle w:val="TableText"/>
              <w:spacing w:before="40" w:after="40"/>
              <w:jc w:val="right"/>
              <w:rPr>
                <w:szCs w:val="16"/>
              </w:rPr>
            </w:pPr>
            <w:r w:rsidRPr="001F4265">
              <w:rPr>
                <w:rFonts w:eastAsia="Calibri"/>
                <w:szCs w:val="16"/>
              </w:rPr>
              <w:t>-69.6</w:t>
            </w:r>
          </w:p>
        </w:tc>
        <w:tc>
          <w:tcPr>
            <w:tcW w:w="0" w:type="auto"/>
            <w:shd w:val="clear" w:color="auto" w:fill="FFFFFF" w:themeFill="background1"/>
            <w:tcMar>
              <w:top w:w="0" w:type="dxa"/>
              <w:left w:w="85" w:type="dxa"/>
              <w:bottom w:w="0" w:type="dxa"/>
              <w:right w:w="57" w:type="dxa"/>
            </w:tcMar>
            <w:vAlign w:val="center"/>
          </w:tcPr>
          <w:p w14:paraId="632FF9A8" w14:textId="77777777" w:rsidR="003A5396" w:rsidRPr="001F4265" w:rsidRDefault="003A5396" w:rsidP="00F16E23">
            <w:pPr>
              <w:pStyle w:val="TableText"/>
              <w:spacing w:before="40" w:after="40"/>
              <w:jc w:val="right"/>
              <w:rPr>
                <w:szCs w:val="16"/>
              </w:rPr>
            </w:pPr>
            <w:r w:rsidRPr="001F4265">
              <w:rPr>
                <w:rFonts w:eastAsia="Calibri"/>
                <w:szCs w:val="16"/>
              </w:rPr>
              <w:t>5.9</w:t>
            </w:r>
          </w:p>
        </w:tc>
        <w:tc>
          <w:tcPr>
            <w:tcW w:w="0" w:type="auto"/>
            <w:shd w:val="clear" w:color="auto" w:fill="FFFFFF" w:themeFill="background1"/>
            <w:tcMar>
              <w:top w:w="0" w:type="dxa"/>
              <w:left w:w="85" w:type="dxa"/>
              <w:bottom w:w="0" w:type="dxa"/>
              <w:right w:w="57" w:type="dxa"/>
            </w:tcMar>
            <w:vAlign w:val="center"/>
          </w:tcPr>
          <w:p w14:paraId="4289987E" w14:textId="77777777" w:rsidR="003A5396" w:rsidRPr="001F4265" w:rsidRDefault="003A5396" w:rsidP="00F16E23">
            <w:pPr>
              <w:pStyle w:val="TableText"/>
              <w:spacing w:before="40" w:after="40"/>
              <w:jc w:val="right"/>
              <w:rPr>
                <w:szCs w:val="16"/>
              </w:rPr>
            </w:pPr>
            <w:r w:rsidRPr="001F4265">
              <w:rPr>
                <w:rFonts w:eastAsia="Calibri"/>
                <w:szCs w:val="16"/>
              </w:rPr>
              <w:t>6.2</w:t>
            </w:r>
          </w:p>
        </w:tc>
        <w:tc>
          <w:tcPr>
            <w:tcW w:w="0" w:type="auto"/>
            <w:shd w:val="clear" w:color="auto" w:fill="FFFFFF" w:themeFill="background1"/>
            <w:tcMar>
              <w:top w:w="0" w:type="dxa"/>
              <w:left w:w="85" w:type="dxa"/>
              <w:bottom w:w="0" w:type="dxa"/>
              <w:right w:w="57" w:type="dxa"/>
            </w:tcMar>
            <w:vAlign w:val="center"/>
          </w:tcPr>
          <w:p w14:paraId="33ABFA48" w14:textId="77777777" w:rsidR="003A5396" w:rsidRPr="001F4265" w:rsidRDefault="003A5396" w:rsidP="00F16E23">
            <w:pPr>
              <w:pStyle w:val="TableText"/>
              <w:spacing w:before="40" w:after="40"/>
              <w:jc w:val="right"/>
            </w:pPr>
            <w:r w:rsidRPr="001F4265">
              <w:rPr>
                <w:rFonts w:eastAsia="Calibri"/>
              </w:rPr>
              <w:t>2.0</w:t>
            </w:r>
          </w:p>
        </w:tc>
      </w:tr>
      <w:tr w:rsidR="003A5396" w:rsidRPr="001F4265" w14:paraId="1DA912FB" w14:textId="77777777" w:rsidTr="00F16E23">
        <w:tc>
          <w:tcPr>
            <w:tcW w:w="0" w:type="auto"/>
            <w:shd w:val="clear" w:color="auto" w:fill="FFFFFF" w:themeFill="background1"/>
            <w:tcMar>
              <w:top w:w="0" w:type="dxa"/>
              <w:left w:w="85" w:type="dxa"/>
              <w:bottom w:w="0" w:type="dxa"/>
              <w:right w:w="57" w:type="dxa"/>
            </w:tcMar>
            <w:vAlign w:val="center"/>
          </w:tcPr>
          <w:p w14:paraId="044F8C6B" w14:textId="77777777" w:rsidR="003A5396" w:rsidRPr="001F4265" w:rsidRDefault="003A5396" w:rsidP="00F16E23">
            <w:pPr>
              <w:pStyle w:val="TableText"/>
              <w:spacing w:before="40" w:after="40"/>
              <w:rPr>
                <w:szCs w:val="16"/>
              </w:rPr>
            </w:pPr>
            <w:r w:rsidRPr="001F4265">
              <w:rPr>
                <w:rFonts w:eastAsia="Calibri"/>
                <w:szCs w:val="16"/>
              </w:rPr>
              <w:t>Metal industry (2.C)</w:t>
            </w:r>
          </w:p>
        </w:tc>
        <w:tc>
          <w:tcPr>
            <w:tcW w:w="794" w:type="dxa"/>
            <w:shd w:val="clear" w:color="auto" w:fill="FFFFFF" w:themeFill="background1"/>
            <w:tcMar>
              <w:top w:w="0" w:type="dxa"/>
              <w:left w:w="85" w:type="dxa"/>
              <w:bottom w:w="0" w:type="dxa"/>
              <w:right w:w="57" w:type="dxa"/>
            </w:tcMar>
            <w:vAlign w:val="center"/>
          </w:tcPr>
          <w:p w14:paraId="7ACA87B6" w14:textId="77777777" w:rsidR="003A5396" w:rsidRPr="001F4265" w:rsidRDefault="003A5396" w:rsidP="00F16E23">
            <w:pPr>
              <w:pStyle w:val="TableText"/>
              <w:spacing w:before="40" w:after="40"/>
              <w:jc w:val="right"/>
              <w:rPr>
                <w:szCs w:val="16"/>
              </w:rPr>
            </w:pPr>
            <w:r w:rsidRPr="001F4265">
              <w:rPr>
                <w:rFonts w:eastAsia="Calibri"/>
                <w:szCs w:val="16"/>
              </w:rPr>
              <w:t>2,578.3</w:t>
            </w:r>
          </w:p>
        </w:tc>
        <w:tc>
          <w:tcPr>
            <w:tcW w:w="632" w:type="dxa"/>
            <w:shd w:val="clear" w:color="auto" w:fill="FFFFFF" w:themeFill="background1"/>
            <w:tcMar>
              <w:top w:w="0" w:type="dxa"/>
              <w:left w:w="85" w:type="dxa"/>
              <w:bottom w:w="0" w:type="dxa"/>
              <w:right w:w="57" w:type="dxa"/>
            </w:tcMar>
            <w:vAlign w:val="center"/>
          </w:tcPr>
          <w:p w14:paraId="46C53CB7" w14:textId="77777777" w:rsidR="003A5396" w:rsidRPr="001F4265" w:rsidRDefault="003A5396" w:rsidP="00F16E23">
            <w:pPr>
              <w:pStyle w:val="TableText"/>
              <w:spacing w:before="40" w:after="40"/>
              <w:jc w:val="right"/>
              <w:rPr>
                <w:szCs w:val="16"/>
              </w:rPr>
            </w:pPr>
            <w:r w:rsidRPr="001F4265">
              <w:rPr>
                <w:rFonts w:eastAsia="Calibri"/>
                <w:szCs w:val="16"/>
              </w:rPr>
              <w:t>2,247.8</w:t>
            </w:r>
          </w:p>
        </w:tc>
        <w:tc>
          <w:tcPr>
            <w:tcW w:w="632" w:type="dxa"/>
            <w:shd w:val="clear" w:color="auto" w:fill="FFFFFF" w:themeFill="background1"/>
            <w:tcMar>
              <w:top w:w="0" w:type="dxa"/>
              <w:left w:w="85" w:type="dxa"/>
              <w:bottom w:w="0" w:type="dxa"/>
              <w:right w:w="57" w:type="dxa"/>
            </w:tcMar>
            <w:vAlign w:val="center"/>
          </w:tcPr>
          <w:p w14:paraId="17B70C07" w14:textId="77777777" w:rsidR="003A5396" w:rsidRPr="001F4265" w:rsidRDefault="003A5396" w:rsidP="00F16E23">
            <w:pPr>
              <w:pStyle w:val="TableText"/>
              <w:spacing w:before="40" w:after="40"/>
              <w:jc w:val="right"/>
            </w:pPr>
            <w:r w:rsidRPr="001F4265">
              <w:rPr>
                <w:rFonts w:eastAsia="Calibri"/>
              </w:rPr>
              <w:t>2,077.8</w:t>
            </w:r>
          </w:p>
        </w:tc>
        <w:tc>
          <w:tcPr>
            <w:tcW w:w="835" w:type="dxa"/>
            <w:shd w:val="clear" w:color="auto" w:fill="FFFFFF" w:themeFill="background1"/>
            <w:tcMar>
              <w:top w:w="0" w:type="dxa"/>
              <w:left w:w="85" w:type="dxa"/>
              <w:bottom w:w="0" w:type="dxa"/>
              <w:right w:w="57" w:type="dxa"/>
            </w:tcMar>
            <w:vAlign w:val="center"/>
          </w:tcPr>
          <w:p w14:paraId="64553053" w14:textId="77777777" w:rsidR="003A5396" w:rsidRPr="001F4265" w:rsidRDefault="003A5396" w:rsidP="00F16E23">
            <w:pPr>
              <w:pStyle w:val="TableText"/>
              <w:spacing w:before="40" w:after="40"/>
              <w:jc w:val="right"/>
            </w:pPr>
            <w:r w:rsidRPr="001F4265">
              <w:rPr>
                <w:rFonts w:eastAsia="Calibri"/>
              </w:rPr>
              <w:t>-500.5</w:t>
            </w:r>
          </w:p>
        </w:tc>
        <w:tc>
          <w:tcPr>
            <w:tcW w:w="680" w:type="dxa"/>
            <w:shd w:val="clear" w:color="auto" w:fill="FFFFFF" w:themeFill="background1"/>
            <w:tcMar>
              <w:top w:w="0" w:type="dxa"/>
              <w:left w:w="85" w:type="dxa"/>
              <w:bottom w:w="0" w:type="dxa"/>
              <w:right w:w="57" w:type="dxa"/>
            </w:tcMar>
            <w:vAlign w:val="center"/>
          </w:tcPr>
          <w:p w14:paraId="332BBA71" w14:textId="77777777" w:rsidR="003A5396" w:rsidRPr="001F4265" w:rsidRDefault="003A5396" w:rsidP="00F16E23">
            <w:pPr>
              <w:pStyle w:val="TableText"/>
              <w:spacing w:before="40" w:after="40"/>
              <w:jc w:val="right"/>
            </w:pPr>
            <w:r w:rsidRPr="001F4265">
              <w:rPr>
                <w:rFonts w:eastAsia="Calibri"/>
              </w:rPr>
              <w:t>-170.0</w:t>
            </w:r>
          </w:p>
        </w:tc>
        <w:tc>
          <w:tcPr>
            <w:tcW w:w="794" w:type="dxa"/>
            <w:shd w:val="clear" w:color="auto" w:fill="FFFFFF" w:themeFill="background1"/>
            <w:tcMar>
              <w:top w:w="0" w:type="dxa"/>
              <w:left w:w="85" w:type="dxa"/>
              <w:bottom w:w="0" w:type="dxa"/>
              <w:right w:w="57" w:type="dxa"/>
            </w:tcMar>
            <w:vAlign w:val="center"/>
          </w:tcPr>
          <w:p w14:paraId="2F9C562C" w14:textId="77777777" w:rsidR="003A5396" w:rsidRPr="001F4265" w:rsidRDefault="003A5396" w:rsidP="00F16E23">
            <w:pPr>
              <w:pStyle w:val="TableText"/>
              <w:spacing w:before="40" w:after="40"/>
              <w:jc w:val="right"/>
            </w:pPr>
            <w:r w:rsidRPr="001F4265">
              <w:rPr>
                <w:rFonts w:eastAsia="Calibri"/>
              </w:rPr>
              <w:t>-19.4</w:t>
            </w:r>
          </w:p>
        </w:tc>
        <w:tc>
          <w:tcPr>
            <w:tcW w:w="0" w:type="auto"/>
            <w:shd w:val="clear" w:color="auto" w:fill="FFFFFF" w:themeFill="background1"/>
            <w:tcMar>
              <w:top w:w="0" w:type="dxa"/>
              <w:left w:w="85" w:type="dxa"/>
              <w:bottom w:w="0" w:type="dxa"/>
              <w:right w:w="57" w:type="dxa"/>
            </w:tcMar>
            <w:vAlign w:val="center"/>
          </w:tcPr>
          <w:p w14:paraId="1BA296A6" w14:textId="77777777" w:rsidR="003A5396" w:rsidRPr="001F4265" w:rsidRDefault="003A5396" w:rsidP="00F16E23">
            <w:pPr>
              <w:pStyle w:val="TableText"/>
              <w:spacing w:before="40" w:after="40"/>
              <w:jc w:val="right"/>
            </w:pPr>
            <w:r w:rsidRPr="001F4265">
              <w:rPr>
                <w:rFonts w:eastAsia="Calibri"/>
              </w:rPr>
              <w:t>-7.6</w:t>
            </w:r>
          </w:p>
        </w:tc>
        <w:tc>
          <w:tcPr>
            <w:tcW w:w="0" w:type="auto"/>
            <w:shd w:val="clear" w:color="auto" w:fill="FFFFFF" w:themeFill="background1"/>
            <w:tcMar>
              <w:top w:w="0" w:type="dxa"/>
              <w:left w:w="85" w:type="dxa"/>
              <w:bottom w:w="0" w:type="dxa"/>
              <w:right w:w="57" w:type="dxa"/>
            </w:tcMar>
            <w:vAlign w:val="center"/>
          </w:tcPr>
          <w:p w14:paraId="477A2EC7" w14:textId="77777777" w:rsidR="003A5396" w:rsidRPr="001F4265" w:rsidRDefault="003A5396" w:rsidP="00F16E23">
            <w:pPr>
              <w:pStyle w:val="TableText"/>
              <w:spacing w:before="40" w:after="40"/>
              <w:jc w:val="right"/>
              <w:rPr>
                <w:szCs w:val="16"/>
              </w:rPr>
            </w:pPr>
            <w:r w:rsidRPr="001F4265">
              <w:rPr>
                <w:rFonts w:eastAsia="Calibri"/>
                <w:szCs w:val="16"/>
              </w:rPr>
              <w:t>74.0</w:t>
            </w:r>
          </w:p>
        </w:tc>
        <w:tc>
          <w:tcPr>
            <w:tcW w:w="0" w:type="auto"/>
            <w:shd w:val="clear" w:color="auto" w:fill="FFFFFF" w:themeFill="background1"/>
            <w:tcMar>
              <w:top w:w="0" w:type="dxa"/>
              <w:left w:w="85" w:type="dxa"/>
              <w:bottom w:w="0" w:type="dxa"/>
              <w:right w:w="57" w:type="dxa"/>
            </w:tcMar>
            <w:vAlign w:val="center"/>
          </w:tcPr>
          <w:p w14:paraId="35616548" w14:textId="77777777" w:rsidR="003A5396" w:rsidRPr="001F4265" w:rsidRDefault="003A5396" w:rsidP="00F16E23">
            <w:pPr>
              <w:pStyle w:val="TableText"/>
              <w:spacing w:before="40" w:after="40"/>
              <w:jc w:val="right"/>
              <w:rPr>
                <w:szCs w:val="16"/>
              </w:rPr>
            </w:pPr>
            <w:r w:rsidRPr="001F4265">
              <w:rPr>
                <w:rFonts w:eastAsia="Calibri"/>
                <w:szCs w:val="16"/>
              </w:rPr>
              <w:t>55.6</w:t>
            </w:r>
          </w:p>
        </w:tc>
        <w:tc>
          <w:tcPr>
            <w:tcW w:w="0" w:type="auto"/>
            <w:shd w:val="clear" w:color="auto" w:fill="FFFFFF" w:themeFill="background1"/>
            <w:tcMar>
              <w:top w:w="0" w:type="dxa"/>
              <w:left w:w="85" w:type="dxa"/>
              <w:bottom w:w="0" w:type="dxa"/>
              <w:right w:w="57" w:type="dxa"/>
            </w:tcMar>
            <w:vAlign w:val="center"/>
          </w:tcPr>
          <w:p w14:paraId="74773E97" w14:textId="77777777" w:rsidR="003A5396" w:rsidRPr="001F4265" w:rsidRDefault="003A5396" w:rsidP="00F16E23">
            <w:pPr>
              <w:pStyle w:val="TableText"/>
              <w:spacing w:before="40" w:after="40"/>
              <w:jc w:val="right"/>
            </w:pPr>
            <w:r w:rsidRPr="001F4265">
              <w:rPr>
                <w:rFonts w:eastAsia="Calibri"/>
              </w:rPr>
              <w:t>53.3</w:t>
            </w:r>
          </w:p>
        </w:tc>
      </w:tr>
      <w:tr w:rsidR="003A5396" w:rsidRPr="001F4265" w14:paraId="75A1E41A" w14:textId="77777777" w:rsidTr="00877BFB">
        <w:tc>
          <w:tcPr>
            <w:tcW w:w="0" w:type="auto"/>
            <w:shd w:val="clear" w:color="auto" w:fill="FFFFFF" w:themeFill="background1"/>
            <w:tcMar>
              <w:top w:w="0" w:type="dxa"/>
              <w:left w:w="85" w:type="dxa"/>
              <w:bottom w:w="0" w:type="dxa"/>
              <w:right w:w="57" w:type="dxa"/>
            </w:tcMar>
            <w:vAlign w:val="center"/>
          </w:tcPr>
          <w:p w14:paraId="7A49DEDA" w14:textId="77777777" w:rsidR="003A5396" w:rsidRPr="001F4265" w:rsidRDefault="003A5396" w:rsidP="00F16E23">
            <w:pPr>
              <w:pStyle w:val="TableText"/>
              <w:spacing w:before="40" w:after="40"/>
              <w:rPr>
                <w:szCs w:val="16"/>
              </w:rPr>
            </w:pPr>
            <w:r w:rsidRPr="001F4265">
              <w:rPr>
                <w:rFonts w:eastAsia="Calibri"/>
                <w:szCs w:val="16"/>
              </w:rPr>
              <w:t>Non-energy products from fuels and solvent use (2.D)</w:t>
            </w:r>
          </w:p>
        </w:tc>
        <w:tc>
          <w:tcPr>
            <w:tcW w:w="794" w:type="dxa"/>
            <w:shd w:val="clear" w:color="auto" w:fill="FFFFFF" w:themeFill="background1"/>
            <w:tcMar>
              <w:top w:w="0" w:type="dxa"/>
              <w:left w:w="85" w:type="dxa"/>
              <w:bottom w:w="0" w:type="dxa"/>
              <w:right w:w="57" w:type="dxa"/>
            </w:tcMar>
            <w:vAlign w:val="bottom"/>
          </w:tcPr>
          <w:p w14:paraId="7EF74FD2" w14:textId="77777777" w:rsidR="003A5396" w:rsidRPr="001F4265" w:rsidRDefault="003A5396" w:rsidP="00F16E23">
            <w:pPr>
              <w:pStyle w:val="TableText"/>
              <w:spacing w:before="40" w:after="40"/>
              <w:jc w:val="right"/>
              <w:rPr>
                <w:szCs w:val="16"/>
              </w:rPr>
            </w:pPr>
            <w:r w:rsidRPr="001F4265">
              <w:rPr>
                <w:rFonts w:eastAsia="Calibri"/>
                <w:szCs w:val="16"/>
              </w:rPr>
              <w:t>18.0</w:t>
            </w:r>
          </w:p>
        </w:tc>
        <w:tc>
          <w:tcPr>
            <w:tcW w:w="632" w:type="dxa"/>
            <w:shd w:val="clear" w:color="auto" w:fill="FFFFFF" w:themeFill="background1"/>
            <w:tcMar>
              <w:top w:w="0" w:type="dxa"/>
              <w:left w:w="85" w:type="dxa"/>
              <w:bottom w:w="0" w:type="dxa"/>
              <w:right w:w="57" w:type="dxa"/>
            </w:tcMar>
            <w:vAlign w:val="bottom"/>
          </w:tcPr>
          <w:p w14:paraId="70BE2A97" w14:textId="77777777" w:rsidR="003A5396" w:rsidRPr="001F4265" w:rsidRDefault="003A5396" w:rsidP="00F16E23">
            <w:pPr>
              <w:pStyle w:val="TableText"/>
              <w:spacing w:before="40" w:after="40"/>
              <w:jc w:val="right"/>
              <w:rPr>
                <w:szCs w:val="16"/>
              </w:rPr>
            </w:pPr>
            <w:r w:rsidRPr="001F4265">
              <w:rPr>
                <w:rFonts w:eastAsia="Calibri"/>
                <w:szCs w:val="16"/>
              </w:rPr>
              <w:t>15.8</w:t>
            </w:r>
          </w:p>
        </w:tc>
        <w:tc>
          <w:tcPr>
            <w:tcW w:w="632" w:type="dxa"/>
            <w:shd w:val="clear" w:color="auto" w:fill="FFFFFF" w:themeFill="background1"/>
            <w:tcMar>
              <w:top w:w="0" w:type="dxa"/>
              <w:left w:w="85" w:type="dxa"/>
              <w:bottom w:w="0" w:type="dxa"/>
              <w:right w:w="57" w:type="dxa"/>
            </w:tcMar>
            <w:vAlign w:val="bottom"/>
          </w:tcPr>
          <w:p w14:paraId="4A74D412" w14:textId="77777777" w:rsidR="003A5396" w:rsidRPr="001F4265" w:rsidRDefault="003A5396" w:rsidP="00F16E23">
            <w:pPr>
              <w:pStyle w:val="TableText"/>
              <w:spacing w:before="40" w:after="40"/>
              <w:jc w:val="right"/>
              <w:rPr>
                <w:szCs w:val="16"/>
              </w:rPr>
            </w:pPr>
            <w:r w:rsidRPr="001F4265">
              <w:rPr>
                <w:rFonts w:eastAsia="Calibri"/>
                <w:szCs w:val="16"/>
              </w:rPr>
              <w:t>31.2</w:t>
            </w:r>
          </w:p>
        </w:tc>
        <w:tc>
          <w:tcPr>
            <w:tcW w:w="835" w:type="dxa"/>
            <w:shd w:val="clear" w:color="auto" w:fill="FFFFFF" w:themeFill="background1"/>
            <w:tcMar>
              <w:top w:w="0" w:type="dxa"/>
              <w:left w:w="85" w:type="dxa"/>
              <w:bottom w:w="0" w:type="dxa"/>
              <w:right w:w="57" w:type="dxa"/>
            </w:tcMar>
            <w:vAlign w:val="bottom"/>
          </w:tcPr>
          <w:p w14:paraId="7EF8A20F" w14:textId="77777777" w:rsidR="003A5396" w:rsidRPr="001F4265" w:rsidRDefault="003A5396" w:rsidP="00F16E23">
            <w:pPr>
              <w:pStyle w:val="TableText"/>
              <w:spacing w:before="40" w:after="40"/>
              <w:jc w:val="right"/>
              <w:rPr>
                <w:szCs w:val="16"/>
              </w:rPr>
            </w:pPr>
            <w:r w:rsidRPr="001F4265">
              <w:rPr>
                <w:rFonts w:eastAsia="Calibri"/>
                <w:szCs w:val="16"/>
              </w:rPr>
              <w:t>13.2</w:t>
            </w:r>
          </w:p>
        </w:tc>
        <w:tc>
          <w:tcPr>
            <w:tcW w:w="680" w:type="dxa"/>
            <w:shd w:val="clear" w:color="auto" w:fill="FFFFFF" w:themeFill="background1"/>
            <w:tcMar>
              <w:top w:w="0" w:type="dxa"/>
              <w:left w:w="85" w:type="dxa"/>
              <w:bottom w:w="0" w:type="dxa"/>
              <w:right w:w="57" w:type="dxa"/>
            </w:tcMar>
            <w:vAlign w:val="bottom"/>
          </w:tcPr>
          <w:p w14:paraId="236E0C64" w14:textId="77777777" w:rsidR="003A5396" w:rsidRPr="001F4265" w:rsidRDefault="003A5396" w:rsidP="00F16E23">
            <w:pPr>
              <w:pStyle w:val="TableText"/>
              <w:spacing w:before="40" w:after="40"/>
              <w:jc w:val="right"/>
              <w:rPr>
                <w:szCs w:val="16"/>
              </w:rPr>
            </w:pPr>
            <w:r w:rsidRPr="001F4265">
              <w:rPr>
                <w:rFonts w:eastAsia="Calibri"/>
                <w:szCs w:val="16"/>
              </w:rPr>
              <w:t>15.4</w:t>
            </w:r>
          </w:p>
        </w:tc>
        <w:tc>
          <w:tcPr>
            <w:tcW w:w="794" w:type="dxa"/>
            <w:shd w:val="clear" w:color="auto" w:fill="FFFFFF" w:themeFill="background1"/>
            <w:tcMar>
              <w:top w:w="0" w:type="dxa"/>
              <w:left w:w="85" w:type="dxa"/>
              <w:bottom w:w="0" w:type="dxa"/>
              <w:right w:w="57" w:type="dxa"/>
            </w:tcMar>
            <w:vAlign w:val="bottom"/>
          </w:tcPr>
          <w:p w14:paraId="4FDE2461" w14:textId="77777777" w:rsidR="003A5396" w:rsidRPr="001F4265" w:rsidRDefault="003A5396" w:rsidP="00F16E23">
            <w:pPr>
              <w:pStyle w:val="TableText"/>
              <w:spacing w:before="40" w:after="40"/>
              <w:jc w:val="right"/>
              <w:rPr>
                <w:szCs w:val="16"/>
              </w:rPr>
            </w:pPr>
            <w:r w:rsidRPr="001F4265">
              <w:rPr>
                <w:rFonts w:eastAsia="Calibri"/>
                <w:szCs w:val="16"/>
              </w:rPr>
              <w:t>73.2</w:t>
            </w:r>
          </w:p>
        </w:tc>
        <w:tc>
          <w:tcPr>
            <w:tcW w:w="0" w:type="auto"/>
            <w:shd w:val="clear" w:color="auto" w:fill="FFFFFF" w:themeFill="background1"/>
            <w:tcMar>
              <w:top w:w="0" w:type="dxa"/>
              <w:left w:w="85" w:type="dxa"/>
              <w:bottom w:w="0" w:type="dxa"/>
              <w:right w:w="57" w:type="dxa"/>
            </w:tcMar>
            <w:vAlign w:val="bottom"/>
          </w:tcPr>
          <w:p w14:paraId="18268517" w14:textId="77777777" w:rsidR="003A5396" w:rsidRPr="001F4265" w:rsidRDefault="003A5396" w:rsidP="00F16E23">
            <w:pPr>
              <w:pStyle w:val="TableText"/>
              <w:spacing w:before="40" w:after="40"/>
              <w:jc w:val="right"/>
              <w:rPr>
                <w:szCs w:val="16"/>
              </w:rPr>
            </w:pPr>
            <w:r w:rsidRPr="001F4265">
              <w:rPr>
                <w:rFonts w:eastAsia="Calibri"/>
                <w:szCs w:val="16"/>
              </w:rPr>
              <w:t>98.0</w:t>
            </w:r>
          </w:p>
        </w:tc>
        <w:tc>
          <w:tcPr>
            <w:tcW w:w="0" w:type="auto"/>
            <w:shd w:val="clear" w:color="auto" w:fill="FFFFFF" w:themeFill="background1"/>
            <w:tcMar>
              <w:top w:w="0" w:type="dxa"/>
              <w:left w:w="85" w:type="dxa"/>
              <w:bottom w:w="0" w:type="dxa"/>
              <w:right w:w="57" w:type="dxa"/>
            </w:tcMar>
            <w:vAlign w:val="bottom"/>
          </w:tcPr>
          <w:p w14:paraId="18CC93C2" w14:textId="77777777" w:rsidR="003A5396" w:rsidRPr="001F4265" w:rsidRDefault="003A5396" w:rsidP="00F16E23">
            <w:pPr>
              <w:pStyle w:val="TableText"/>
              <w:spacing w:before="40" w:after="40"/>
              <w:jc w:val="right"/>
              <w:rPr>
                <w:szCs w:val="16"/>
              </w:rPr>
            </w:pPr>
            <w:r w:rsidRPr="001F4265">
              <w:rPr>
                <w:rFonts w:eastAsia="Calibri"/>
                <w:szCs w:val="16"/>
              </w:rPr>
              <w:t>0.5</w:t>
            </w:r>
          </w:p>
        </w:tc>
        <w:tc>
          <w:tcPr>
            <w:tcW w:w="0" w:type="auto"/>
            <w:shd w:val="clear" w:color="auto" w:fill="FFFFFF" w:themeFill="background1"/>
            <w:tcMar>
              <w:top w:w="0" w:type="dxa"/>
              <w:left w:w="85" w:type="dxa"/>
              <w:bottom w:w="0" w:type="dxa"/>
              <w:right w:w="57" w:type="dxa"/>
            </w:tcMar>
            <w:vAlign w:val="bottom"/>
          </w:tcPr>
          <w:p w14:paraId="7B4D2921" w14:textId="77777777" w:rsidR="003A5396" w:rsidRPr="001F4265" w:rsidRDefault="003A5396" w:rsidP="00F16E23">
            <w:pPr>
              <w:pStyle w:val="TableText"/>
              <w:spacing w:before="40" w:after="40"/>
              <w:jc w:val="right"/>
              <w:rPr>
                <w:szCs w:val="16"/>
              </w:rPr>
            </w:pPr>
            <w:r w:rsidRPr="001F4265">
              <w:rPr>
                <w:rFonts w:eastAsia="Calibri"/>
                <w:szCs w:val="16"/>
              </w:rPr>
              <w:t>0.4</w:t>
            </w:r>
          </w:p>
        </w:tc>
        <w:tc>
          <w:tcPr>
            <w:tcW w:w="0" w:type="auto"/>
            <w:shd w:val="clear" w:color="auto" w:fill="FFFFFF" w:themeFill="background1"/>
            <w:tcMar>
              <w:top w:w="0" w:type="dxa"/>
              <w:left w:w="85" w:type="dxa"/>
              <w:bottom w:w="0" w:type="dxa"/>
              <w:right w:w="57" w:type="dxa"/>
            </w:tcMar>
            <w:vAlign w:val="bottom"/>
          </w:tcPr>
          <w:p w14:paraId="5A2FC4E8" w14:textId="77777777" w:rsidR="003A5396" w:rsidRPr="001F4265" w:rsidRDefault="003A5396" w:rsidP="00F16E23">
            <w:pPr>
              <w:pStyle w:val="TableText"/>
              <w:spacing w:before="40" w:after="40"/>
              <w:jc w:val="right"/>
              <w:rPr>
                <w:szCs w:val="16"/>
              </w:rPr>
            </w:pPr>
            <w:r w:rsidRPr="001F4265">
              <w:rPr>
                <w:rFonts w:eastAsia="Calibri"/>
                <w:szCs w:val="16"/>
              </w:rPr>
              <w:t>0.8</w:t>
            </w:r>
          </w:p>
        </w:tc>
      </w:tr>
      <w:tr w:rsidR="003A5396" w:rsidRPr="001F4265" w14:paraId="17DC3653" w14:textId="77777777" w:rsidTr="00877BFB">
        <w:tc>
          <w:tcPr>
            <w:tcW w:w="0" w:type="auto"/>
            <w:shd w:val="clear" w:color="auto" w:fill="FFFFFF" w:themeFill="background1"/>
            <w:tcMar>
              <w:top w:w="0" w:type="dxa"/>
              <w:left w:w="85" w:type="dxa"/>
              <w:bottom w:w="0" w:type="dxa"/>
              <w:right w:w="57" w:type="dxa"/>
            </w:tcMar>
            <w:vAlign w:val="center"/>
          </w:tcPr>
          <w:p w14:paraId="5EB8A1E5" w14:textId="77777777" w:rsidR="003A5396" w:rsidRPr="001F4265" w:rsidRDefault="003A5396" w:rsidP="00F16E23">
            <w:pPr>
              <w:pStyle w:val="TableText"/>
              <w:spacing w:before="40" w:after="40"/>
              <w:rPr>
                <w:szCs w:val="16"/>
              </w:rPr>
            </w:pPr>
            <w:r w:rsidRPr="001F4265">
              <w:rPr>
                <w:rFonts w:eastAsia="Calibri"/>
                <w:szCs w:val="16"/>
              </w:rPr>
              <w:t>Product uses as substitutes for ODS (2.F)</w:t>
            </w:r>
          </w:p>
        </w:tc>
        <w:tc>
          <w:tcPr>
            <w:tcW w:w="794" w:type="dxa"/>
            <w:shd w:val="clear" w:color="auto" w:fill="FFFFFF" w:themeFill="background1"/>
            <w:tcMar>
              <w:top w:w="0" w:type="dxa"/>
              <w:left w:w="85" w:type="dxa"/>
              <w:bottom w:w="0" w:type="dxa"/>
              <w:right w:w="57" w:type="dxa"/>
            </w:tcMar>
            <w:vAlign w:val="bottom"/>
          </w:tcPr>
          <w:p w14:paraId="6C27B01F" w14:textId="77777777" w:rsidR="003A5396" w:rsidRPr="001F4265" w:rsidRDefault="003A5396" w:rsidP="00F16E23">
            <w:pPr>
              <w:pStyle w:val="TableText"/>
              <w:spacing w:before="40" w:after="40"/>
              <w:jc w:val="right"/>
              <w:rPr>
                <w:szCs w:val="16"/>
              </w:rPr>
            </w:pPr>
            <w:r w:rsidRPr="001F4265">
              <w:rPr>
                <w:rFonts w:eastAsia="Calibri"/>
                <w:color w:val="000000" w:themeColor="text1"/>
                <w:szCs w:val="16"/>
              </w:rPr>
              <w:t>–</w:t>
            </w:r>
          </w:p>
        </w:tc>
        <w:tc>
          <w:tcPr>
            <w:tcW w:w="632" w:type="dxa"/>
            <w:shd w:val="clear" w:color="auto" w:fill="FFFFFF" w:themeFill="background1"/>
            <w:tcMar>
              <w:top w:w="0" w:type="dxa"/>
              <w:left w:w="85" w:type="dxa"/>
              <w:bottom w:w="0" w:type="dxa"/>
              <w:right w:w="57" w:type="dxa"/>
            </w:tcMar>
            <w:vAlign w:val="bottom"/>
          </w:tcPr>
          <w:p w14:paraId="499C7E9C" w14:textId="77777777" w:rsidR="003A5396" w:rsidRPr="001F4265" w:rsidRDefault="003A5396" w:rsidP="00F16E23">
            <w:pPr>
              <w:pStyle w:val="TableText"/>
              <w:spacing w:before="40" w:after="40"/>
              <w:jc w:val="right"/>
              <w:rPr>
                <w:szCs w:val="16"/>
              </w:rPr>
            </w:pPr>
            <w:r w:rsidRPr="001F4265">
              <w:rPr>
                <w:rFonts w:eastAsia="Calibri"/>
                <w:szCs w:val="16"/>
              </w:rPr>
              <w:t>673.1</w:t>
            </w:r>
          </w:p>
        </w:tc>
        <w:tc>
          <w:tcPr>
            <w:tcW w:w="632" w:type="dxa"/>
            <w:shd w:val="clear" w:color="auto" w:fill="FFFFFF" w:themeFill="background1"/>
            <w:tcMar>
              <w:top w:w="0" w:type="dxa"/>
              <w:left w:w="85" w:type="dxa"/>
              <w:bottom w:w="0" w:type="dxa"/>
              <w:right w:w="57" w:type="dxa"/>
            </w:tcMar>
            <w:vAlign w:val="bottom"/>
          </w:tcPr>
          <w:p w14:paraId="13B20F80" w14:textId="77777777" w:rsidR="003A5396" w:rsidRPr="001F4265" w:rsidRDefault="003A5396" w:rsidP="00F16E23">
            <w:pPr>
              <w:pStyle w:val="TableText"/>
              <w:spacing w:before="40" w:after="40"/>
              <w:jc w:val="right"/>
              <w:rPr>
                <w:szCs w:val="16"/>
              </w:rPr>
            </w:pPr>
            <w:r w:rsidRPr="001F4265">
              <w:rPr>
                <w:rFonts w:eastAsia="Calibri"/>
                <w:szCs w:val="16"/>
              </w:rPr>
              <w:t>1,042.6</w:t>
            </w:r>
          </w:p>
        </w:tc>
        <w:tc>
          <w:tcPr>
            <w:tcW w:w="835" w:type="dxa"/>
            <w:shd w:val="clear" w:color="auto" w:fill="FFFFFF" w:themeFill="background1"/>
            <w:tcMar>
              <w:top w:w="0" w:type="dxa"/>
              <w:left w:w="85" w:type="dxa"/>
              <w:bottom w:w="0" w:type="dxa"/>
              <w:right w:w="57" w:type="dxa"/>
            </w:tcMar>
            <w:vAlign w:val="bottom"/>
          </w:tcPr>
          <w:p w14:paraId="31095966" w14:textId="77777777" w:rsidR="003A5396" w:rsidRPr="001F4265" w:rsidRDefault="003A5396" w:rsidP="00F16E23">
            <w:pPr>
              <w:pStyle w:val="TableText"/>
              <w:spacing w:before="40" w:after="40"/>
              <w:jc w:val="right"/>
              <w:rPr>
                <w:szCs w:val="16"/>
              </w:rPr>
            </w:pPr>
            <w:r w:rsidRPr="001F4265">
              <w:rPr>
                <w:rFonts w:eastAsia="Calibri"/>
                <w:szCs w:val="16"/>
              </w:rPr>
              <w:t>1,042.6</w:t>
            </w:r>
          </w:p>
        </w:tc>
        <w:tc>
          <w:tcPr>
            <w:tcW w:w="680" w:type="dxa"/>
            <w:shd w:val="clear" w:color="auto" w:fill="FFFFFF" w:themeFill="background1"/>
            <w:tcMar>
              <w:top w:w="0" w:type="dxa"/>
              <w:left w:w="85" w:type="dxa"/>
              <w:bottom w:w="0" w:type="dxa"/>
              <w:right w:w="57" w:type="dxa"/>
            </w:tcMar>
            <w:vAlign w:val="bottom"/>
          </w:tcPr>
          <w:p w14:paraId="4EB764DD" w14:textId="77777777" w:rsidR="003A5396" w:rsidRPr="001F4265" w:rsidRDefault="003A5396" w:rsidP="00F16E23">
            <w:pPr>
              <w:pStyle w:val="TableText"/>
              <w:spacing w:before="40" w:after="40"/>
              <w:jc w:val="right"/>
              <w:rPr>
                <w:szCs w:val="16"/>
              </w:rPr>
            </w:pPr>
            <w:r w:rsidRPr="001F4265">
              <w:rPr>
                <w:rFonts w:eastAsia="Calibri"/>
                <w:szCs w:val="16"/>
              </w:rPr>
              <w:t>369.5</w:t>
            </w:r>
          </w:p>
        </w:tc>
        <w:tc>
          <w:tcPr>
            <w:tcW w:w="794" w:type="dxa"/>
            <w:shd w:val="clear" w:color="auto" w:fill="FFFFFF" w:themeFill="background1"/>
            <w:tcMar>
              <w:top w:w="0" w:type="dxa"/>
              <w:left w:w="85" w:type="dxa"/>
              <w:bottom w:w="0" w:type="dxa"/>
              <w:right w:w="57" w:type="dxa"/>
            </w:tcMar>
            <w:vAlign w:val="bottom"/>
          </w:tcPr>
          <w:p w14:paraId="6CA53EB6" w14:textId="77777777" w:rsidR="003A5396" w:rsidRPr="001F4265" w:rsidRDefault="003A5396" w:rsidP="00F16E23">
            <w:pPr>
              <w:pStyle w:val="TableText"/>
              <w:spacing w:before="40" w:after="40"/>
              <w:jc w:val="right"/>
              <w:rPr>
                <w:szCs w:val="16"/>
              </w:rPr>
            </w:pPr>
            <w:r w:rsidRPr="001F4265">
              <w:rPr>
                <w:rFonts w:eastAsia="Calibri"/>
                <w:color w:val="000000" w:themeColor="text1"/>
                <w:szCs w:val="16"/>
              </w:rPr>
              <w:t>–</w:t>
            </w:r>
          </w:p>
        </w:tc>
        <w:tc>
          <w:tcPr>
            <w:tcW w:w="0" w:type="auto"/>
            <w:shd w:val="clear" w:color="auto" w:fill="FFFFFF" w:themeFill="background1"/>
            <w:tcMar>
              <w:top w:w="0" w:type="dxa"/>
              <w:left w:w="85" w:type="dxa"/>
              <w:bottom w:w="0" w:type="dxa"/>
              <w:right w:w="57" w:type="dxa"/>
            </w:tcMar>
            <w:vAlign w:val="bottom"/>
          </w:tcPr>
          <w:p w14:paraId="1A63B073" w14:textId="77777777" w:rsidR="003A5396" w:rsidRPr="001F4265" w:rsidRDefault="003A5396" w:rsidP="00F16E23">
            <w:pPr>
              <w:pStyle w:val="TableText"/>
              <w:spacing w:before="40" w:after="40"/>
              <w:jc w:val="right"/>
              <w:rPr>
                <w:szCs w:val="16"/>
              </w:rPr>
            </w:pPr>
            <w:r w:rsidRPr="001F4265">
              <w:rPr>
                <w:rFonts w:eastAsia="Calibri"/>
                <w:szCs w:val="16"/>
              </w:rPr>
              <w:t>54.9</w:t>
            </w:r>
          </w:p>
        </w:tc>
        <w:tc>
          <w:tcPr>
            <w:tcW w:w="0" w:type="auto"/>
            <w:shd w:val="clear" w:color="auto" w:fill="FFFFFF" w:themeFill="background1"/>
            <w:tcMar>
              <w:top w:w="0" w:type="dxa"/>
              <w:left w:w="85" w:type="dxa"/>
              <w:bottom w:w="0" w:type="dxa"/>
              <w:right w:w="57" w:type="dxa"/>
            </w:tcMar>
            <w:vAlign w:val="bottom"/>
          </w:tcPr>
          <w:p w14:paraId="7D74E7A4" w14:textId="77777777" w:rsidR="003A5396" w:rsidRPr="001F4265" w:rsidRDefault="003A5396" w:rsidP="00F16E23">
            <w:pPr>
              <w:pStyle w:val="TableText"/>
              <w:spacing w:before="40" w:after="40"/>
              <w:jc w:val="right"/>
              <w:rPr>
                <w:rFonts w:eastAsia="Calibri"/>
                <w:color w:val="000000" w:themeColor="text1"/>
                <w:szCs w:val="16"/>
              </w:rPr>
            </w:pPr>
            <w:r w:rsidRPr="001F4265">
              <w:rPr>
                <w:rFonts w:eastAsia="Calibri"/>
                <w:color w:val="000000" w:themeColor="text1"/>
                <w:szCs w:val="16"/>
              </w:rPr>
              <w:t>–</w:t>
            </w:r>
          </w:p>
        </w:tc>
        <w:tc>
          <w:tcPr>
            <w:tcW w:w="0" w:type="auto"/>
            <w:shd w:val="clear" w:color="auto" w:fill="FFFFFF" w:themeFill="background1"/>
            <w:tcMar>
              <w:top w:w="0" w:type="dxa"/>
              <w:left w:w="85" w:type="dxa"/>
              <w:bottom w:w="0" w:type="dxa"/>
              <w:right w:w="57" w:type="dxa"/>
            </w:tcMar>
            <w:vAlign w:val="bottom"/>
          </w:tcPr>
          <w:p w14:paraId="08E783CE" w14:textId="77777777" w:rsidR="003A5396" w:rsidRPr="001F4265" w:rsidRDefault="003A5396" w:rsidP="00F16E23">
            <w:pPr>
              <w:pStyle w:val="TableText"/>
              <w:spacing w:before="40" w:after="40"/>
              <w:jc w:val="right"/>
              <w:rPr>
                <w:szCs w:val="16"/>
              </w:rPr>
            </w:pPr>
            <w:r w:rsidRPr="001F4265">
              <w:rPr>
                <w:rFonts w:eastAsia="Calibri"/>
                <w:szCs w:val="16"/>
              </w:rPr>
              <w:t>16.6</w:t>
            </w:r>
          </w:p>
        </w:tc>
        <w:tc>
          <w:tcPr>
            <w:tcW w:w="0" w:type="auto"/>
            <w:shd w:val="clear" w:color="auto" w:fill="FFFFFF" w:themeFill="background1"/>
            <w:tcMar>
              <w:top w:w="0" w:type="dxa"/>
              <w:left w:w="85" w:type="dxa"/>
              <w:bottom w:w="0" w:type="dxa"/>
              <w:right w:w="57" w:type="dxa"/>
            </w:tcMar>
            <w:vAlign w:val="bottom"/>
          </w:tcPr>
          <w:p w14:paraId="34B827D0" w14:textId="77777777" w:rsidR="003A5396" w:rsidRPr="001F4265" w:rsidRDefault="003A5396" w:rsidP="00F16E23">
            <w:pPr>
              <w:pStyle w:val="TableText"/>
              <w:spacing w:before="40" w:after="40"/>
              <w:jc w:val="right"/>
            </w:pPr>
            <w:r w:rsidRPr="001F4265">
              <w:rPr>
                <w:rFonts w:eastAsia="Calibri"/>
              </w:rPr>
              <w:t>26.8</w:t>
            </w:r>
          </w:p>
        </w:tc>
      </w:tr>
      <w:tr w:rsidR="003A5396" w:rsidRPr="001F4265" w14:paraId="146F6ED5" w14:textId="77777777" w:rsidTr="00877BFB">
        <w:tc>
          <w:tcPr>
            <w:tcW w:w="0" w:type="auto"/>
            <w:shd w:val="clear" w:color="auto" w:fill="FFFFFF" w:themeFill="background1"/>
            <w:tcMar>
              <w:top w:w="0" w:type="dxa"/>
              <w:left w:w="85" w:type="dxa"/>
              <w:bottom w:w="0" w:type="dxa"/>
              <w:right w:w="57" w:type="dxa"/>
            </w:tcMar>
            <w:vAlign w:val="center"/>
          </w:tcPr>
          <w:p w14:paraId="761CC6DF" w14:textId="77777777" w:rsidR="003A5396" w:rsidRPr="001F4265" w:rsidRDefault="003A5396" w:rsidP="00F16E23">
            <w:pPr>
              <w:pStyle w:val="TableText"/>
              <w:spacing w:before="40" w:after="40"/>
              <w:rPr>
                <w:szCs w:val="16"/>
              </w:rPr>
            </w:pPr>
            <w:r w:rsidRPr="001F4265">
              <w:rPr>
                <w:rFonts w:eastAsia="Calibri"/>
                <w:szCs w:val="16"/>
              </w:rPr>
              <w:t>Other product manufacture and use (2.G)</w:t>
            </w:r>
          </w:p>
        </w:tc>
        <w:tc>
          <w:tcPr>
            <w:tcW w:w="794" w:type="dxa"/>
            <w:shd w:val="clear" w:color="auto" w:fill="FFFFFF" w:themeFill="background1"/>
            <w:tcMar>
              <w:top w:w="0" w:type="dxa"/>
              <w:left w:w="85" w:type="dxa"/>
              <w:bottom w:w="0" w:type="dxa"/>
              <w:right w:w="57" w:type="dxa"/>
            </w:tcMar>
            <w:vAlign w:val="bottom"/>
          </w:tcPr>
          <w:p w14:paraId="4906461B" w14:textId="77777777" w:rsidR="003A5396" w:rsidRPr="001F4265" w:rsidRDefault="003A5396" w:rsidP="00F16E23">
            <w:pPr>
              <w:pStyle w:val="TableText"/>
              <w:spacing w:before="40" w:after="40"/>
              <w:jc w:val="right"/>
              <w:rPr>
                <w:szCs w:val="16"/>
              </w:rPr>
            </w:pPr>
            <w:r w:rsidRPr="001F4265">
              <w:rPr>
                <w:rFonts w:eastAsia="Calibri"/>
                <w:szCs w:val="16"/>
              </w:rPr>
              <w:t>106.5</w:t>
            </w:r>
          </w:p>
        </w:tc>
        <w:tc>
          <w:tcPr>
            <w:tcW w:w="632" w:type="dxa"/>
            <w:shd w:val="clear" w:color="auto" w:fill="FFFFFF" w:themeFill="background1"/>
            <w:tcMar>
              <w:top w:w="0" w:type="dxa"/>
              <w:left w:w="85" w:type="dxa"/>
              <w:bottom w:w="0" w:type="dxa"/>
              <w:right w:w="57" w:type="dxa"/>
            </w:tcMar>
            <w:vAlign w:val="bottom"/>
          </w:tcPr>
          <w:p w14:paraId="10BC65A2" w14:textId="77777777" w:rsidR="003A5396" w:rsidRPr="001F4265" w:rsidRDefault="003A5396" w:rsidP="00F16E23">
            <w:pPr>
              <w:pStyle w:val="TableText"/>
              <w:spacing w:before="40" w:after="40"/>
              <w:jc w:val="right"/>
              <w:rPr>
                <w:szCs w:val="16"/>
              </w:rPr>
            </w:pPr>
            <w:r w:rsidRPr="001F4265">
              <w:rPr>
                <w:rFonts w:eastAsia="Calibri"/>
                <w:szCs w:val="16"/>
              </w:rPr>
              <w:t>65.8</w:t>
            </w:r>
          </w:p>
        </w:tc>
        <w:tc>
          <w:tcPr>
            <w:tcW w:w="632" w:type="dxa"/>
            <w:shd w:val="clear" w:color="auto" w:fill="FFFFFF" w:themeFill="background1"/>
            <w:tcMar>
              <w:top w:w="0" w:type="dxa"/>
              <w:left w:w="85" w:type="dxa"/>
              <w:bottom w:w="0" w:type="dxa"/>
              <w:right w:w="57" w:type="dxa"/>
            </w:tcMar>
            <w:vAlign w:val="bottom"/>
          </w:tcPr>
          <w:p w14:paraId="2693B9F1" w14:textId="77777777" w:rsidR="003A5396" w:rsidRPr="001F4265" w:rsidRDefault="003A5396" w:rsidP="00F16E23">
            <w:pPr>
              <w:pStyle w:val="TableText"/>
              <w:spacing w:before="40" w:after="40"/>
              <w:jc w:val="right"/>
              <w:rPr>
                <w:szCs w:val="16"/>
              </w:rPr>
            </w:pPr>
            <w:r w:rsidRPr="001F4265">
              <w:rPr>
                <w:rFonts w:eastAsia="Calibri"/>
                <w:szCs w:val="16"/>
              </w:rPr>
              <w:t>154.2</w:t>
            </w:r>
          </w:p>
        </w:tc>
        <w:tc>
          <w:tcPr>
            <w:tcW w:w="835" w:type="dxa"/>
            <w:shd w:val="clear" w:color="auto" w:fill="FFFFFF" w:themeFill="background1"/>
            <w:tcMar>
              <w:top w:w="0" w:type="dxa"/>
              <w:left w:w="85" w:type="dxa"/>
              <w:bottom w:w="0" w:type="dxa"/>
              <w:right w:w="57" w:type="dxa"/>
            </w:tcMar>
            <w:vAlign w:val="bottom"/>
          </w:tcPr>
          <w:p w14:paraId="0C510DF9" w14:textId="77777777" w:rsidR="003A5396" w:rsidRPr="001F4265" w:rsidRDefault="003A5396" w:rsidP="00F16E23">
            <w:pPr>
              <w:pStyle w:val="TableText"/>
              <w:spacing w:before="40" w:after="40"/>
              <w:jc w:val="right"/>
              <w:rPr>
                <w:szCs w:val="16"/>
              </w:rPr>
            </w:pPr>
            <w:r w:rsidRPr="001F4265">
              <w:rPr>
                <w:rFonts w:eastAsia="Calibri"/>
                <w:szCs w:val="16"/>
              </w:rPr>
              <w:t>47.7</w:t>
            </w:r>
          </w:p>
        </w:tc>
        <w:tc>
          <w:tcPr>
            <w:tcW w:w="680" w:type="dxa"/>
            <w:shd w:val="clear" w:color="auto" w:fill="FFFFFF" w:themeFill="background1"/>
            <w:tcMar>
              <w:top w:w="0" w:type="dxa"/>
              <w:left w:w="85" w:type="dxa"/>
              <w:bottom w:w="0" w:type="dxa"/>
              <w:right w:w="57" w:type="dxa"/>
            </w:tcMar>
            <w:vAlign w:val="bottom"/>
          </w:tcPr>
          <w:p w14:paraId="1C91BE82" w14:textId="77777777" w:rsidR="003A5396" w:rsidRPr="001F4265" w:rsidRDefault="003A5396" w:rsidP="00F16E23">
            <w:pPr>
              <w:pStyle w:val="TableText"/>
              <w:spacing w:before="40" w:after="40"/>
              <w:jc w:val="right"/>
              <w:rPr>
                <w:szCs w:val="16"/>
              </w:rPr>
            </w:pPr>
            <w:r w:rsidRPr="001F4265">
              <w:rPr>
                <w:rFonts w:eastAsia="Calibri"/>
                <w:szCs w:val="16"/>
              </w:rPr>
              <w:t>88.4</w:t>
            </w:r>
          </w:p>
        </w:tc>
        <w:tc>
          <w:tcPr>
            <w:tcW w:w="794" w:type="dxa"/>
            <w:shd w:val="clear" w:color="auto" w:fill="FFFFFF" w:themeFill="background1"/>
            <w:tcMar>
              <w:top w:w="0" w:type="dxa"/>
              <w:left w:w="85" w:type="dxa"/>
              <w:bottom w:w="0" w:type="dxa"/>
              <w:right w:w="57" w:type="dxa"/>
            </w:tcMar>
            <w:vAlign w:val="bottom"/>
          </w:tcPr>
          <w:p w14:paraId="1E464BC8" w14:textId="77777777" w:rsidR="003A5396" w:rsidRPr="001F4265" w:rsidRDefault="003A5396" w:rsidP="00F16E23">
            <w:pPr>
              <w:pStyle w:val="TableText"/>
              <w:spacing w:before="40" w:after="40"/>
              <w:jc w:val="right"/>
              <w:rPr>
                <w:szCs w:val="16"/>
              </w:rPr>
            </w:pPr>
            <w:r w:rsidRPr="001F4265">
              <w:rPr>
                <w:rFonts w:eastAsia="Calibri"/>
                <w:szCs w:val="16"/>
              </w:rPr>
              <w:t>44.7</w:t>
            </w:r>
          </w:p>
        </w:tc>
        <w:tc>
          <w:tcPr>
            <w:tcW w:w="0" w:type="auto"/>
            <w:shd w:val="clear" w:color="auto" w:fill="FFFFFF" w:themeFill="background1"/>
            <w:tcMar>
              <w:top w:w="0" w:type="dxa"/>
              <w:left w:w="85" w:type="dxa"/>
              <w:bottom w:w="0" w:type="dxa"/>
              <w:right w:w="57" w:type="dxa"/>
            </w:tcMar>
            <w:vAlign w:val="bottom"/>
          </w:tcPr>
          <w:p w14:paraId="09D6073C" w14:textId="77777777" w:rsidR="003A5396" w:rsidRPr="001F4265" w:rsidRDefault="003A5396" w:rsidP="00F16E23">
            <w:pPr>
              <w:pStyle w:val="TableText"/>
              <w:spacing w:before="40" w:after="40"/>
              <w:jc w:val="right"/>
              <w:rPr>
                <w:szCs w:val="16"/>
              </w:rPr>
            </w:pPr>
            <w:r w:rsidRPr="001F4265">
              <w:rPr>
                <w:rFonts w:eastAsia="Calibri"/>
                <w:szCs w:val="16"/>
              </w:rPr>
              <w:t>134.3</w:t>
            </w:r>
          </w:p>
        </w:tc>
        <w:tc>
          <w:tcPr>
            <w:tcW w:w="0" w:type="auto"/>
            <w:shd w:val="clear" w:color="auto" w:fill="FFFFFF" w:themeFill="background1"/>
            <w:tcMar>
              <w:top w:w="0" w:type="dxa"/>
              <w:left w:w="85" w:type="dxa"/>
              <w:bottom w:w="0" w:type="dxa"/>
              <w:right w:w="57" w:type="dxa"/>
            </w:tcMar>
            <w:vAlign w:val="bottom"/>
          </w:tcPr>
          <w:p w14:paraId="72E03886" w14:textId="77777777" w:rsidR="003A5396" w:rsidRPr="001F4265" w:rsidRDefault="003A5396" w:rsidP="00F16E23">
            <w:pPr>
              <w:pStyle w:val="TableText"/>
              <w:spacing w:before="40" w:after="40"/>
              <w:jc w:val="right"/>
              <w:rPr>
                <w:szCs w:val="16"/>
              </w:rPr>
            </w:pPr>
            <w:r w:rsidRPr="001F4265">
              <w:rPr>
                <w:rFonts w:eastAsia="Calibri"/>
                <w:szCs w:val="16"/>
              </w:rPr>
              <w:t>3.1</w:t>
            </w:r>
          </w:p>
        </w:tc>
        <w:tc>
          <w:tcPr>
            <w:tcW w:w="0" w:type="auto"/>
            <w:shd w:val="clear" w:color="auto" w:fill="FFFFFF" w:themeFill="background1"/>
            <w:tcMar>
              <w:top w:w="0" w:type="dxa"/>
              <w:left w:w="85" w:type="dxa"/>
              <w:bottom w:w="0" w:type="dxa"/>
              <w:right w:w="57" w:type="dxa"/>
            </w:tcMar>
            <w:vAlign w:val="bottom"/>
          </w:tcPr>
          <w:p w14:paraId="1EE56192" w14:textId="77777777" w:rsidR="003A5396" w:rsidRPr="001F4265" w:rsidRDefault="003A5396" w:rsidP="00F16E23">
            <w:pPr>
              <w:pStyle w:val="TableText"/>
              <w:spacing w:before="40" w:after="40"/>
              <w:jc w:val="right"/>
              <w:rPr>
                <w:szCs w:val="16"/>
              </w:rPr>
            </w:pPr>
            <w:r w:rsidRPr="001F4265">
              <w:rPr>
                <w:rFonts w:eastAsia="Calibri"/>
                <w:szCs w:val="16"/>
              </w:rPr>
              <w:t>1.6</w:t>
            </w:r>
          </w:p>
        </w:tc>
        <w:tc>
          <w:tcPr>
            <w:tcW w:w="0" w:type="auto"/>
            <w:shd w:val="clear" w:color="auto" w:fill="FFFFFF" w:themeFill="background1"/>
            <w:tcMar>
              <w:top w:w="0" w:type="dxa"/>
              <w:left w:w="85" w:type="dxa"/>
              <w:bottom w:w="0" w:type="dxa"/>
              <w:right w:w="57" w:type="dxa"/>
            </w:tcMar>
            <w:vAlign w:val="bottom"/>
          </w:tcPr>
          <w:p w14:paraId="60DCDF4D" w14:textId="77777777" w:rsidR="003A5396" w:rsidRPr="001F4265" w:rsidRDefault="003A5396" w:rsidP="00F16E23">
            <w:pPr>
              <w:pStyle w:val="TableText"/>
              <w:spacing w:before="40" w:after="40"/>
              <w:jc w:val="right"/>
            </w:pPr>
            <w:r w:rsidRPr="001F4265">
              <w:rPr>
                <w:rFonts w:eastAsia="Calibri"/>
              </w:rPr>
              <w:t>4.0</w:t>
            </w:r>
          </w:p>
        </w:tc>
      </w:tr>
      <w:tr w:rsidR="003A5396" w:rsidRPr="001F4265" w14:paraId="7F548066" w14:textId="77777777" w:rsidTr="00F16E23">
        <w:tc>
          <w:tcPr>
            <w:tcW w:w="0" w:type="auto"/>
            <w:shd w:val="clear" w:color="auto" w:fill="FFFFFF" w:themeFill="background1"/>
            <w:tcMar>
              <w:top w:w="0" w:type="dxa"/>
              <w:left w:w="85" w:type="dxa"/>
              <w:bottom w:w="0" w:type="dxa"/>
              <w:right w:w="57" w:type="dxa"/>
            </w:tcMar>
            <w:vAlign w:val="center"/>
          </w:tcPr>
          <w:p w14:paraId="11FB9D66" w14:textId="77777777" w:rsidR="003A5396" w:rsidRPr="001F4265" w:rsidRDefault="003A5396" w:rsidP="00F16E23">
            <w:pPr>
              <w:pStyle w:val="TableText"/>
              <w:spacing w:before="40" w:after="40"/>
              <w:rPr>
                <w:szCs w:val="16"/>
              </w:rPr>
            </w:pPr>
            <w:r w:rsidRPr="001F4265">
              <w:rPr>
                <w:rFonts w:eastAsia="Calibri"/>
                <w:szCs w:val="16"/>
              </w:rPr>
              <w:t>Other (2.H)</w:t>
            </w:r>
          </w:p>
        </w:tc>
        <w:tc>
          <w:tcPr>
            <w:tcW w:w="794" w:type="dxa"/>
            <w:shd w:val="clear" w:color="auto" w:fill="FFFFFF" w:themeFill="background1"/>
            <w:tcMar>
              <w:top w:w="0" w:type="dxa"/>
              <w:left w:w="85" w:type="dxa"/>
              <w:bottom w:w="0" w:type="dxa"/>
              <w:right w:w="57" w:type="dxa"/>
            </w:tcMar>
            <w:vAlign w:val="center"/>
          </w:tcPr>
          <w:p w14:paraId="7CD2187C" w14:textId="77777777" w:rsidR="003A5396" w:rsidRPr="001F4265" w:rsidRDefault="003A5396" w:rsidP="00F16E23">
            <w:pPr>
              <w:pStyle w:val="TableText"/>
              <w:spacing w:before="40" w:after="40"/>
              <w:jc w:val="right"/>
              <w:rPr>
                <w:szCs w:val="16"/>
              </w:rPr>
            </w:pPr>
            <w:r w:rsidRPr="001F4265">
              <w:rPr>
                <w:rFonts w:eastAsia="Calibri"/>
                <w:szCs w:val="16"/>
              </w:rPr>
              <w:t>12.5</w:t>
            </w:r>
          </w:p>
        </w:tc>
        <w:tc>
          <w:tcPr>
            <w:tcW w:w="632" w:type="dxa"/>
            <w:shd w:val="clear" w:color="auto" w:fill="FFFFFF" w:themeFill="background1"/>
            <w:tcMar>
              <w:top w:w="0" w:type="dxa"/>
              <w:left w:w="85" w:type="dxa"/>
              <w:bottom w:w="0" w:type="dxa"/>
              <w:right w:w="57" w:type="dxa"/>
            </w:tcMar>
            <w:vAlign w:val="center"/>
          </w:tcPr>
          <w:p w14:paraId="2302435C" w14:textId="77777777" w:rsidR="003A5396" w:rsidRPr="001F4265" w:rsidRDefault="003A5396" w:rsidP="00F16E23">
            <w:pPr>
              <w:pStyle w:val="TableText"/>
              <w:spacing w:before="40" w:after="40"/>
              <w:jc w:val="right"/>
              <w:rPr>
                <w:szCs w:val="16"/>
              </w:rPr>
            </w:pPr>
            <w:r w:rsidRPr="001F4265">
              <w:rPr>
                <w:rFonts w:eastAsia="Calibri"/>
                <w:szCs w:val="16"/>
              </w:rPr>
              <w:t>36.2</w:t>
            </w:r>
          </w:p>
        </w:tc>
        <w:tc>
          <w:tcPr>
            <w:tcW w:w="632" w:type="dxa"/>
            <w:shd w:val="clear" w:color="auto" w:fill="FFFFFF" w:themeFill="background1"/>
            <w:tcMar>
              <w:top w:w="0" w:type="dxa"/>
              <w:left w:w="85" w:type="dxa"/>
              <w:bottom w:w="0" w:type="dxa"/>
              <w:right w:w="57" w:type="dxa"/>
            </w:tcMar>
            <w:vAlign w:val="center"/>
          </w:tcPr>
          <w:p w14:paraId="28DEF312" w14:textId="77777777" w:rsidR="003A5396" w:rsidRPr="001F4265" w:rsidRDefault="003A5396" w:rsidP="00F16E23">
            <w:pPr>
              <w:pStyle w:val="TableText"/>
              <w:spacing w:before="40" w:after="40"/>
              <w:jc w:val="right"/>
              <w:rPr>
                <w:szCs w:val="16"/>
              </w:rPr>
            </w:pPr>
            <w:r w:rsidRPr="001F4265">
              <w:rPr>
                <w:rFonts w:eastAsia="Calibri"/>
                <w:szCs w:val="16"/>
              </w:rPr>
              <w:t>30.5</w:t>
            </w:r>
          </w:p>
        </w:tc>
        <w:tc>
          <w:tcPr>
            <w:tcW w:w="835" w:type="dxa"/>
            <w:shd w:val="clear" w:color="auto" w:fill="FFFFFF" w:themeFill="background1"/>
            <w:tcMar>
              <w:top w:w="0" w:type="dxa"/>
              <w:left w:w="85" w:type="dxa"/>
              <w:bottom w:w="0" w:type="dxa"/>
              <w:right w:w="57" w:type="dxa"/>
            </w:tcMar>
            <w:vAlign w:val="center"/>
          </w:tcPr>
          <w:p w14:paraId="0C1FBA6E" w14:textId="77777777" w:rsidR="003A5396" w:rsidRPr="001F4265" w:rsidRDefault="003A5396" w:rsidP="00F16E23">
            <w:pPr>
              <w:pStyle w:val="TableText"/>
              <w:spacing w:before="40" w:after="40"/>
              <w:jc w:val="right"/>
              <w:rPr>
                <w:szCs w:val="16"/>
              </w:rPr>
            </w:pPr>
            <w:r w:rsidRPr="001F4265">
              <w:rPr>
                <w:rFonts w:eastAsia="Calibri"/>
                <w:szCs w:val="16"/>
              </w:rPr>
              <w:t>18.0</w:t>
            </w:r>
          </w:p>
        </w:tc>
        <w:tc>
          <w:tcPr>
            <w:tcW w:w="680" w:type="dxa"/>
            <w:shd w:val="clear" w:color="auto" w:fill="FFFFFF" w:themeFill="background1"/>
            <w:tcMar>
              <w:top w:w="0" w:type="dxa"/>
              <w:left w:w="85" w:type="dxa"/>
              <w:bottom w:w="0" w:type="dxa"/>
              <w:right w:w="57" w:type="dxa"/>
            </w:tcMar>
            <w:vAlign w:val="center"/>
          </w:tcPr>
          <w:p w14:paraId="383FCCFA" w14:textId="77777777" w:rsidR="003A5396" w:rsidRPr="001F4265" w:rsidRDefault="003A5396" w:rsidP="00F16E23">
            <w:pPr>
              <w:pStyle w:val="TableText"/>
              <w:spacing w:before="40" w:after="40"/>
              <w:jc w:val="right"/>
              <w:rPr>
                <w:szCs w:val="16"/>
              </w:rPr>
            </w:pPr>
            <w:r w:rsidRPr="001F4265">
              <w:rPr>
                <w:rFonts w:eastAsia="Calibri"/>
                <w:szCs w:val="16"/>
              </w:rPr>
              <w:t>-5.7</w:t>
            </w:r>
          </w:p>
        </w:tc>
        <w:tc>
          <w:tcPr>
            <w:tcW w:w="794" w:type="dxa"/>
            <w:shd w:val="clear" w:color="auto" w:fill="FFFFFF" w:themeFill="background1"/>
            <w:tcMar>
              <w:top w:w="0" w:type="dxa"/>
              <w:left w:w="85" w:type="dxa"/>
              <w:bottom w:w="0" w:type="dxa"/>
              <w:right w:w="57" w:type="dxa"/>
            </w:tcMar>
            <w:vAlign w:val="center"/>
          </w:tcPr>
          <w:p w14:paraId="02A76372" w14:textId="77777777" w:rsidR="003A5396" w:rsidRPr="001F4265" w:rsidRDefault="003A5396" w:rsidP="00F16E23">
            <w:pPr>
              <w:pStyle w:val="TableText"/>
              <w:spacing w:before="40" w:after="40"/>
              <w:jc w:val="right"/>
              <w:rPr>
                <w:szCs w:val="16"/>
              </w:rPr>
            </w:pPr>
            <w:r w:rsidRPr="001F4265">
              <w:rPr>
                <w:rFonts w:eastAsia="Calibri"/>
                <w:szCs w:val="16"/>
              </w:rPr>
              <w:t>144.0</w:t>
            </w:r>
          </w:p>
        </w:tc>
        <w:tc>
          <w:tcPr>
            <w:tcW w:w="0" w:type="auto"/>
            <w:shd w:val="clear" w:color="auto" w:fill="FFFFFF" w:themeFill="background1"/>
            <w:tcMar>
              <w:top w:w="0" w:type="dxa"/>
              <w:left w:w="85" w:type="dxa"/>
              <w:bottom w:w="0" w:type="dxa"/>
              <w:right w:w="57" w:type="dxa"/>
            </w:tcMar>
            <w:vAlign w:val="center"/>
          </w:tcPr>
          <w:p w14:paraId="6A9ED0F9" w14:textId="77777777" w:rsidR="003A5396" w:rsidRPr="001F4265" w:rsidRDefault="003A5396" w:rsidP="00F16E23">
            <w:pPr>
              <w:pStyle w:val="TableText"/>
              <w:spacing w:before="40" w:after="40"/>
              <w:jc w:val="right"/>
              <w:rPr>
                <w:szCs w:val="16"/>
              </w:rPr>
            </w:pPr>
            <w:r w:rsidRPr="001F4265">
              <w:rPr>
                <w:rFonts w:eastAsia="Calibri"/>
                <w:szCs w:val="16"/>
              </w:rPr>
              <w:t>-15.8</w:t>
            </w:r>
          </w:p>
        </w:tc>
        <w:tc>
          <w:tcPr>
            <w:tcW w:w="0" w:type="auto"/>
            <w:shd w:val="clear" w:color="auto" w:fill="FFFFFF" w:themeFill="background1"/>
            <w:tcMar>
              <w:top w:w="0" w:type="dxa"/>
              <w:left w:w="85" w:type="dxa"/>
              <w:bottom w:w="0" w:type="dxa"/>
              <w:right w:w="57" w:type="dxa"/>
            </w:tcMar>
            <w:vAlign w:val="center"/>
          </w:tcPr>
          <w:p w14:paraId="69C3C204" w14:textId="77777777" w:rsidR="003A5396" w:rsidRPr="001F4265" w:rsidRDefault="003A5396" w:rsidP="00F16E23">
            <w:pPr>
              <w:pStyle w:val="TableText"/>
              <w:spacing w:before="40" w:after="40"/>
              <w:jc w:val="right"/>
              <w:rPr>
                <w:szCs w:val="16"/>
              </w:rPr>
            </w:pPr>
            <w:r w:rsidRPr="001F4265">
              <w:rPr>
                <w:rFonts w:eastAsia="Calibri"/>
                <w:szCs w:val="16"/>
              </w:rPr>
              <w:t>0.4</w:t>
            </w:r>
          </w:p>
        </w:tc>
        <w:tc>
          <w:tcPr>
            <w:tcW w:w="0" w:type="auto"/>
            <w:shd w:val="clear" w:color="auto" w:fill="FFFFFF" w:themeFill="background1"/>
            <w:tcMar>
              <w:top w:w="0" w:type="dxa"/>
              <w:left w:w="85" w:type="dxa"/>
              <w:bottom w:w="0" w:type="dxa"/>
              <w:right w:w="57" w:type="dxa"/>
            </w:tcMar>
            <w:vAlign w:val="center"/>
          </w:tcPr>
          <w:p w14:paraId="15F6F0F7" w14:textId="77777777" w:rsidR="003A5396" w:rsidRPr="001F4265" w:rsidRDefault="003A5396" w:rsidP="00F16E23">
            <w:pPr>
              <w:pStyle w:val="TableText"/>
              <w:spacing w:before="40" w:after="40"/>
              <w:jc w:val="right"/>
              <w:rPr>
                <w:szCs w:val="16"/>
              </w:rPr>
            </w:pPr>
            <w:r w:rsidRPr="001F4265">
              <w:rPr>
                <w:rFonts w:eastAsia="Calibri"/>
                <w:szCs w:val="16"/>
              </w:rPr>
              <w:t>0.9</w:t>
            </w:r>
          </w:p>
        </w:tc>
        <w:tc>
          <w:tcPr>
            <w:tcW w:w="0" w:type="auto"/>
            <w:shd w:val="clear" w:color="auto" w:fill="FFFFFF" w:themeFill="background1"/>
            <w:tcMar>
              <w:top w:w="0" w:type="dxa"/>
              <w:left w:w="85" w:type="dxa"/>
              <w:bottom w:w="0" w:type="dxa"/>
              <w:right w:w="57" w:type="dxa"/>
            </w:tcMar>
            <w:vAlign w:val="center"/>
          </w:tcPr>
          <w:p w14:paraId="3D870195" w14:textId="77777777" w:rsidR="003A5396" w:rsidRPr="001F4265" w:rsidRDefault="003A5396" w:rsidP="00F16E23">
            <w:pPr>
              <w:pStyle w:val="TableText"/>
              <w:spacing w:before="40" w:after="40"/>
              <w:jc w:val="right"/>
              <w:rPr>
                <w:szCs w:val="16"/>
              </w:rPr>
            </w:pPr>
            <w:r w:rsidRPr="001F4265">
              <w:rPr>
                <w:rFonts w:eastAsia="Calibri"/>
                <w:szCs w:val="16"/>
              </w:rPr>
              <w:t>0.8</w:t>
            </w:r>
          </w:p>
        </w:tc>
      </w:tr>
      <w:tr w:rsidR="003A5396" w:rsidRPr="001F4265" w14:paraId="6BDF9FC2" w14:textId="77777777" w:rsidTr="00F16E23">
        <w:tc>
          <w:tcPr>
            <w:tcW w:w="0" w:type="auto"/>
            <w:shd w:val="clear" w:color="auto" w:fill="FFFFFF" w:themeFill="background1"/>
            <w:tcMar>
              <w:top w:w="0" w:type="dxa"/>
              <w:left w:w="85" w:type="dxa"/>
              <w:bottom w:w="0" w:type="dxa"/>
              <w:right w:w="57" w:type="dxa"/>
            </w:tcMar>
            <w:vAlign w:val="center"/>
          </w:tcPr>
          <w:p w14:paraId="67CED000" w14:textId="77777777" w:rsidR="003A5396" w:rsidRPr="001F4265" w:rsidRDefault="003A5396" w:rsidP="00F16E23">
            <w:pPr>
              <w:pStyle w:val="Tableboldblue"/>
              <w:spacing w:before="40" w:after="40"/>
              <w:rPr>
                <w:szCs w:val="16"/>
              </w:rPr>
            </w:pPr>
            <w:r w:rsidRPr="001F4265">
              <w:rPr>
                <w:rFonts w:eastAsia="Calibri"/>
                <w:szCs w:val="16"/>
              </w:rPr>
              <w:t>Total</w:t>
            </w:r>
          </w:p>
        </w:tc>
        <w:tc>
          <w:tcPr>
            <w:tcW w:w="794" w:type="dxa"/>
            <w:shd w:val="clear" w:color="auto" w:fill="FFFFFF" w:themeFill="background1"/>
            <w:tcMar>
              <w:top w:w="0" w:type="dxa"/>
              <w:left w:w="85" w:type="dxa"/>
              <w:bottom w:w="0" w:type="dxa"/>
              <w:right w:w="57" w:type="dxa"/>
            </w:tcMar>
            <w:vAlign w:val="center"/>
          </w:tcPr>
          <w:p w14:paraId="040E6F17" w14:textId="77777777" w:rsidR="003A5396" w:rsidRPr="001F4265" w:rsidRDefault="003A5396" w:rsidP="00F16E23">
            <w:pPr>
              <w:pStyle w:val="Tableboldblue"/>
              <w:spacing w:before="40" w:after="40"/>
              <w:jc w:val="right"/>
              <w:rPr>
                <w:szCs w:val="16"/>
              </w:rPr>
            </w:pPr>
            <w:r w:rsidRPr="001F4265">
              <w:rPr>
                <w:rFonts w:eastAsia="Calibri"/>
                <w:szCs w:val="16"/>
              </w:rPr>
              <w:t>3,483.6</w:t>
            </w:r>
          </w:p>
        </w:tc>
        <w:tc>
          <w:tcPr>
            <w:tcW w:w="632" w:type="dxa"/>
            <w:shd w:val="clear" w:color="auto" w:fill="FFFFFF" w:themeFill="background1"/>
            <w:tcMar>
              <w:top w:w="0" w:type="dxa"/>
              <w:left w:w="85" w:type="dxa"/>
              <w:bottom w:w="0" w:type="dxa"/>
              <w:right w:w="57" w:type="dxa"/>
            </w:tcMar>
            <w:vAlign w:val="center"/>
          </w:tcPr>
          <w:p w14:paraId="38C865BA" w14:textId="77777777" w:rsidR="003A5396" w:rsidRPr="001F4265" w:rsidRDefault="003A5396" w:rsidP="00F16E23">
            <w:pPr>
              <w:pStyle w:val="Tableboldblue"/>
              <w:spacing w:before="40" w:after="40"/>
              <w:jc w:val="right"/>
              <w:rPr>
                <w:szCs w:val="16"/>
              </w:rPr>
            </w:pPr>
            <w:r w:rsidRPr="001F4265">
              <w:rPr>
                <w:rFonts w:eastAsia="Calibri"/>
                <w:szCs w:val="16"/>
              </w:rPr>
              <w:t>4,046.0</w:t>
            </w:r>
          </w:p>
        </w:tc>
        <w:tc>
          <w:tcPr>
            <w:tcW w:w="632" w:type="dxa"/>
            <w:shd w:val="clear" w:color="auto" w:fill="FFFFFF" w:themeFill="background1"/>
            <w:tcMar>
              <w:top w:w="0" w:type="dxa"/>
              <w:left w:w="85" w:type="dxa"/>
              <w:bottom w:w="0" w:type="dxa"/>
              <w:right w:w="57" w:type="dxa"/>
            </w:tcMar>
            <w:vAlign w:val="center"/>
          </w:tcPr>
          <w:p w14:paraId="7AF35607" w14:textId="77777777" w:rsidR="003A5396" w:rsidRPr="001F4265" w:rsidRDefault="003A5396" w:rsidP="00F16E23">
            <w:pPr>
              <w:pStyle w:val="Tableboldblue"/>
              <w:spacing w:before="40" w:after="40"/>
              <w:jc w:val="right"/>
              <w:rPr>
                <w:rFonts w:eastAsia="Calibri"/>
              </w:rPr>
            </w:pPr>
            <w:r w:rsidRPr="001F4265">
              <w:rPr>
                <w:rFonts w:eastAsia="Calibri" w:cs="Calibri"/>
                <w:color w:val="1C556C" w:themeColor="accent1"/>
              </w:rPr>
              <w:t>3,896.7</w:t>
            </w:r>
          </w:p>
        </w:tc>
        <w:tc>
          <w:tcPr>
            <w:tcW w:w="835" w:type="dxa"/>
            <w:shd w:val="clear" w:color="auto" w:fill="FFFFFF" w:themeFill="background1"/>
            <w:tcMar>
              <w:top w:w="0" w:type="dxa"/>
              <w:left w:w="85" w:type="dxa"/>
              <w:bottom w:w="0" w:type="dxa"/>
              <w:right w:w="57" w:type="dxa"/>
            </w:tcMar>
            <w:vAlign w:val="center"/>
          </w:tcPr>
          <w:p w14:paraId="643832FE" w14:textId="77777777" w:rsidR="003A5396" w:rsidRPr="001F4265" w:rsidRDefault="003A5396" w:rsidP="00F16E23">
            <w:pPr>
              <w:pStyle w:val="Tableboldblue"/>
              <w:spacing w:before="40" w:after="40"/>
              <w:jc w:val="right"/>
              <w:rPr>
                <w:rFonts w:eastAsia="Calibri"/>
              </w:rPr>
            </w:pPr>
            <w:r w:rsidRPr="001F4265">
              <w:rPr>
                <w:rFonts w:eastAsia="Calibri" w:cs="Calibri"/>
                <w:color w:val="1C556C" w:themeColor="accent1"/>
              </w:rPr>
              <w:t>413.1</w:t>
            </w:r>
          </w:p>
        </w:tc>
        <w:tc>
          <w:tcPr>
            <w:tcW w:w="680" w:type="dxa"/>
            <w:shd w:val="clear" w:color="auto" w:fill="FFFFFF" w:themeFill="background1"/>
            <w:tcMar>
              <w:top w:w="0" w:type="dxa"/>
              <w:left w:w="85" w:type="dxa"/>
              <w:bottom w:w="0" w:type="dxa"/>
              <w:right w:w="57" w:type="dxa"/>
            </w:tcMar>
            <w:vAlign w:val="center"/>
          </w:tcPr>
          <w:p w14:paraId="5B091C34" w14:textId="77777777" w:rsidR="003A5396" w:rsidRPr="001F4265" w:rsidRDefault="003A5396" w:rsidP="00F16E23">
            <w:pPr>
              <w:pStyle w:val="Tableboldblue"/>
              <w:spacing w:before="40" w:after="40"/>
              <w:jc w:val="right"/>
              <w:rPr>
                <w:rFonts w:eastAsia="Calibri"/>
              </w:rPr>
            </w:pPr>
            <w:r w:rsidRPr="001F4265">
              <w:rPr>
                <w:rFonts w:eastAsia="Calibri" w:cs="Calibri"/>
                <w:color w:val="1C556C" w:themeColor="accent1"/>
              </w:rPr>
              <w:t>-149.4</w:t>
            </w:r>
          </w:p>
        </w:tc>
        <w:tc>
          <w:tcPr>
            <w:tcW w:w="794" w:type="dxa"/>
            <w:shd w:val="clear" w:color="auto" w:fill="FFFFFF" w:themeFill="background1"/>
            <w:tcMar>
              <w:top w:w="0" w:type="dxa"/>
              <w:left w:w="85" w:type="dxa"/>
              <w:bottom w:w="0" w:type="dxa"/>
              <w:right w:w="57" w:type="dxa"/>
            </w:tcMar>
            <w:vAlign w:val="center"/>
          </w:tcPr>
          <w:p w14:paraId="078BE03E" w14:textId="77777777" w:rsidR="003A5396" w:rsidRPr="001F4265" w:rsidRDefault="003A5396" w:rsidP="00F16E23">
            <w:pPr>
              <w:pStyle w:val="Tableboldblue"/>
              <w:spacing w:before="40" w:after="40"/>
              <w:jc w:val="right"/>
              <w:rPr>
                <w:rFonts w:eastAsia="Calibri"/>
              </w:rPr>
            </w:pPr>
            <w:r w:rsidRPr="001F4265">
              <w:rPr>
                <w:rFonts w:eastAsia="Calibri" w:cs="Calibri"/>
                <w:color w:val="1C556C" w:themeColor="accent1"/>
              </w:rPr>
              <w:t>11.9</w:t>
            </w:r>
          </w:p>
        </w:tc>
        <w:tc>
          <w:tcPr>
            <w:tcW w:w="0" w:type="auto"/>
            <w:shd w:val="clear" w:color="auto" w:fill="FFFFFF" w:themeFill="background1"/>
            <w:tcMar>
              <w:top w:w="0" w:type="dxa"/>
              <w:left w:w="85" w:type="dxa"/>
              <w:bottom w:w="0" w:type="dxa"/>
              <w:right w:w="57" w:type="dxa"/>
            </w:tcMar>
            <w:vAlign w:val="center"/>
          </w:tcPr>
          <w:p w14:paraId="1C266CD6" w14:textId="77777777" w:rsidR="003A5396" w:rsidRPr="001F4265" w:rsidRDefault="003A5396" w:rsidP="00F16E23">
            <w:pPr>
              <w:pStyle w:val="Tableboldblue"/>
              <w:spacing w:before="40" w:after="40"/>
              <w:jc w:val="right"/>
              <w:rPr>
                <w:rFonts w:eastAsia="Calibri"/>
              </w:rPr>
            </w:pPr>
            <w:r w:rsidRPr="001F4265">
              <w:rPr>
                <w:rFonts w:eastAsia="Calibri" w:cs="Calibri"/>
                <w:color w:val="1C556C" w:themeColor="accent1"/>
              </w:rPr>
              <w:t>-3.7</w:t>
            </w:r>
          </w:p>
        </w:tc>
        <w:tc>
          <w:tcPr>
            <w:tcW w:w="0" w:type="auto"/>
            <w:shd w:val="clear" w:color="auto" w:fill="FFFFFF" w:themeFill="background1"/>
            <w:tcMar>
              <w:top w:w="0" w:type="dxa"/>
              <w:left w:w="85" w:type="dxa"/>
              <w:bottom w:w="0" w:type="dxa"/>
              <w:right w:w="57" w:type="dxa"/>
            </w:tcMar>
            <w:vAlign w:val="center"/>
          </w:tcPr>
          <w:p w14:paraId="092A1E12" w14:textId="77777777" w:rsidR="003A5396" w:rsidRPr="001F4265" w:rsidRDefault="003A5396" w:rsidP="00F16E23">
            <w:pPr>
              <w:pStyle w:val="Tableboldblue"/>
              <w:spacing w:before="40" w:after="40"/>
              <w:jc w:val="right"/>
              <w:rPr>
                <w:szCs w:val="16"/>
              </w:rPr>
            </w:pPr>
            <w:r w:rsidRPr="001F4265">
              <w:rPr>
                <w:rFonts w:eastAsia="Calibri"/>
                <w:bCs/>
                <w:color w:val="1C556C" w:themeColor="accent1"/>
                <w:szCs w:val="16"/>
              </w:rPr>
              <w:t>–</w:t>
            </w:r>
          </w:p>
        </w:tc>
        <w:tc>
          <w:tcPr>
            <w:tcW w:w="0" w:type="auto"/>
            <w:shd w:val="clear" w:color="auto" w:fill="FFFFFF" w:themeFill="background1"/>
            <w:tcMar>
              <w:top w:w="0" w:type="dxa"/>
              <w:left w:w="85" w:type="dxa"/>
              <w:bottom w:w="0" w:type="dxa"/>
              <w:right w:w="57" w:type="dxa"/>
            </w:tcMar>
            <w:vAlign w:val="center"/>
          </w:tcPr>
          <w:p w14:paraId="2FD0413A" w14:textId="77777777" w:rsidR="003A5396" w:rsidRPr="001F4265" w:rsidRDefault="003A5396" w:rsidP="00F16E23">
            <w:pPr>
              <w:pStyle w:val="Tableboldblue"/>
              <w:spacing w:before="40" w:after="40"/>
              <w:jc w:val="right"/>
              <w:rPr>
                <w:szCs w:val="16"/>
              </w:rPr>
            </w:pPr>
            <w:r w:rsidRPr="001F4265">
              <w:rPr>
                <w:rFonts w:eastAsia="Calibri"/>
                <w:bCs/>
                <w:color w:val="1C556C" w:themeColor="accent1"/>
                <w:szCs w:val="16"/>
              </w:rPr>
              <w:t>–</w:t>
            </w:r>
          </w:p>
        </w:tc>
        <w:tc>
          <w:tcPr>
            <w:tcW w:w="0" w:type="auto"/>
            <w:shd w:val="clear" w:color="auto" w:fill="FFFFFF" w:themeFill="background1"/>
            <w:tcMar>
              <w:top w:w="0" w:type="dxa"/>
              <w:left w:w="85" w:type="dxa"/>
              <w:bottom w:w="0" w:type="dxa"/>
              <w:right w:w="57" w:type="dxa"/>
            </w:tcMar>
            <w:vAlign w:val="center"/>
          </w:tcPr>
          <w:p w14:paraId="636319BF" w14:textId="77777777" w:rsidR="003A5396" w:rsidRPr="001F4265" w:rsidRDefault="003A5396" w:rsidP="00F16E23">
            <w:pPr>
              <w:pStyle w:val="Tableboldblue"/>
              <w:spacing w:before="40" w:after="40"/>
              <w:jc w:val="right"/>
              <w:rPr>
                <w:szCs w:val="16"/>
              </w:rPr>
            </w:pPr>
            <w:r w:rsidRPr="001F4265">
              <w:rPr>
                <w:rFonts w:eastAsia="Calibri"/>
                <w:bCs/>
                <w:color w:val="1C556C" w:themeColor="accent1"/>
                <w:szCs w:val="16"/>
              </w:rPr>
              <w:t>–</w:t>
            </w:r>
          </w:p>
        </w:tc>
      </w:tr>
    </w:tbl>
    <w:p w14:paraId="7D00BA7A" w14:textId="77777777" w:rsidR="003A5396" w:rsidRPr="001F4265" w:rsidRDefault="003A5396" w:rsidP="003A5396">
      <w:pPr>
        <w:pStyle w:val="Noteundertable"/>
      </w:pPr>
      <w:r w:rsidRPr="001F4265">
        <w:rPr>
          <w:b/>
          <w:bCs/>
        </w:rPr>
        <w:t>Note:</w:t>
      </w:r>
      <w:r w:rsidRPr="001F4265">
        <w:t xml:space="preserve"> </w:t>
      </w:r>
      <w:r w:rsidRPr="001F4265">
        <w:tab/>
        <w:t>Columns may not sum to total due to rounding.</w:t>
      </w:r>
    </w:p>
    <w:p w14:paraId="1FFED4D5" w14:textId="77777777" w:rsidR="003A5396" w:rsidRPr="001F4265" w:rsidRDefault="003A5396" w:rsidP="003A5396">
      <w:pPr>
        <w:pStyle w:val="Figure"/>
      </w:pPr>
      <w:bookmarkStart w:id="457" w:name="_Toc226200677"/>
      <w:r w:rsidRPr="001F4265">
        <w:t xml:space="preserve">Figure 4.1.1 </w:t>
      </w:r>
      <w:r w:rsidRPr="001F4265">
        <w:tab/>
        <w:t>New Zealand’s annual emissions from the IPPU sector, from 1990 to 2024</w:t>
      </w:r>
      <w:bookmarkEnd w:id="457"/>
    </w:p>
    <w:p w14:paraId="0E37A242" w14:textId="77777777" w:rsidR="003A5396" w:rsidRPr="001F4265" w:rsidRDefault="003A5396" w:rsidP="000B5C05">
      <w:pPr>
        <w:pStyle w:val="BodyText"/>
        <w:spacing w:after="240"/>
      </w:pPr>
      <w:r w:rsidRPr="001F4265">
        <w:rPr>
          <w:noProof/>
        </w:rPr>
        <w:drawing>
          <wp:inline distT="0" distB="0" distL="0" distR="0" wp14:anchorId="27374010" wp14:editId="6B5D562B">
            <wp:extent cx="5220000" cy="3912698"/>
            <wp:effectExtent l="0" t="0" r="0" b="0"/>
            <wp:docPr id="1805755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5558" name="Picture 180575558"/>
                    <pic:cNvPicPr/>
                  </pic:nvPicPr>
                  <pic:blipFill>
                    <a:blip r:embed="rId42">
                      <a:extLst>
                        <a:ext uri="{28A0092B-C50C-407E-A947-70E740481C1C}">
                          <a14:useLocalDpi xmlns:a14="http://schemas.microsoft.com/office/drawing/2010/main"/>
                        </a:ext>
                      </a:extLst>
                    </a:blip>
                    <a:stretch>
                      <a:fillRect/>
                    </a:stretch>
                  </pic:blipFill>
                  <pic:spPr>
                    <a:xfrm>
                      <a:off x="0" y="0"/>
                      <a:ext cx="5220000" cy="3912698"/>
                    </a:xfrm>
                    <a:prstGeom prst="rect">
                      <a:avLst/>
                    </a:prstGeom>
                  </pic:spPr>
                </pic:pic>
              </a:graphicData>
            </a:graphic>
          </wp:inline>
        </w:drawing>
      </w:r>
    </w:p>
    <w:p w14:paraId="68F0CAB2" w14:textId="77777777" w:rsidR="003A5396" w:rsidRPr="001F4265" w:rsidRDefault="003A5396" w:rsidP="003A5396">
      <w:pPr>
        <w:pStyle w:val="Figure"/>
      </w:pPr>
      <w:bookmarkStart w:id="458" w:name="_Toc226200678"/>
      <w:r w:rsidRPr="001F4265">
        <w:t xml:space="preserve">Figure 4.1.2 </w:t>
      </w:r>
      <w:r w:rsidRPr="001F4265">
        <w:tab/>
        <w:t>New Zealand’s emissions from the IPPU sector in 1990, 2005 and 2024</w:t>
      </w:r>
      <w:bookmarkEnd w:id="458"/>
    </w:p>
    <w:p w14:paraId="789D0041" w14:textId="77777777" w:rsidR="003A5396" w:rsidRPr="001F4265" w:rsidRDefault="003A5396" w:rsidP="000B5C05">
      <w:pPr>
        <w:pStyle w:val="BodyText"/>
        <w:keepNext/>
        <w:spacing w:after="80"/>
      </w:pPr>
      <w:r w:rsidRPr="001F4265">
        <w:rPr>
          <w:noProof/>
        </w:rPr>
        <w:drawing>
          <wp:inline distT="0" distB="0" distL="0" distR="0" wp14:anchorId="053B3768" wp14:editId="5CCCBD31">
            <wp:extent cx="5292000" cy="3882666"/>
            <wp:effectExtent l="0" t="0" r="4445" b="3810"/>
            <wp:docPr id="6923225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22519" name="Picture 692322519"/>
                    <pic:cNvPicPr/>
                  </pic:nvPicPr>
                  <pic:blipFill rotWithShape="1">
                    <a:blip r:embed="rId85">
                      <a:extLst>
                        <a:ext uri="{28A0092B-C50C-407E-A947-70E740481C1C}">
                          <a14:useLocalDpi xmlns:a14="http://schemas.microsoft.com/office/drawing/2010/main"/>
                        </a:ext>
                      </a:extLst>
                    </a:blip>
                    <a:srcRect b="2118"/>
                    <a:stretch>
                      <a:fillRect/>
                    </a:stretch>
                  </pic:blipFill>
                  <pic:spPr bwMode="auto">
                    <a:xfrm>
                      <a:off x="0" y="0"/>
                      <a:ext cx="5292000" cy="3882666"/>
                    </a:xfrm>
                    <a:prstGeom prst="rect">
                      <a:avLst/>
                    </a:prstGeom>
                    <a:ln>
                      <a:noFill/>
                    </a:ln>
                    <a:extLst>
                      <a:ext uri="{53640926-AAD7-44D8-BBD7-CCE9431645EC}">
                        <a14:shadowObscured xmlns:a14="http://schemas.microsoft.com/office/drawing/2010/main"/>
                      </a:ext>
                    </a:extLst>
                  </pic:spPr>
                </pic:pic>
              </a:graphicData>
            </a:graphic>
          </wp:inline>
        </w:drawing>
      </w:r>
    </w:p>
    <w:p w14:paraId="3A1FA58A" w14:textId="77777777" w:rsidR="003A5396" w:rsidRPr="001F4265" w:rsidRDefault="003A5396" w:rsidP="000B5C05">
      <w:pPr>
        <w:pStyle w:val="Noteundertable"/>
        <w:spacing w:before="60"/>
      </w:pPr>
      <w:r w:rsidRPr="001F4265">
        <w:rPr>
          <w:b/>
          <w:bCs/>
        </w:rPr>
        <w:t>Note:</w:t>
      </w:r>
      <w:r w:rsidRPr="001F4265">
        <w:t xml:space="preserve"> </w:t>
      </w:r>
      <w:r w:rsidRPr="001F4265">
        <w:tab/>
        <w:t xml:space="preserve">Emissions from the </w:t>
      </w:r>
      <w:r w:rsidRPr="001F4265">
        <w:rPr>
          <w:i/>
          <w:iCs/>
        </w:rPr>
        <w:t>Electronics industry</w:t>
      </w:r>
      <w:r w:rsidRPr="001F4265">
        <w:t xml:space="preserve"> are not occurring (NO).</w:t>
      </w:r>
    </w:p>
    <w:p w14:paraId="6B1E7692" w14:textId="77777777" w:rsidR="003A5396" w:rsidRPr="001F4265" w:rsidRDefault="003A5396" w:rsidP="003A5396">
      <w:pPr>
        <w:pStyle w:val="Heading3"/>
      </w:pPr>
      <w:bookmarkStart w:id="459" w:name="key-categories-for-ippu-sector-emissions"/>
      <w:r w:rsidRPr="001F4265">
        <w:t xml:space="preserve">4.1.3 </w:t>
      </w:r>
      <w:r w:rsidRPr="001F4265">
        <w:tab/>
        <w:t>Key categories for IPPU sector emissions</w:t>
      </w:r>
    </w:p>
    <w:p w14:paraId="0AB7BE45" w14:textId="77777777" w:rsidR="003A5396" w:rsidRPr="001F4265" w:rsidRDefault="003A5396" w:rsidP="003A5396">
      <w:pPr>
        <w:pStyle w:val="BodyText"/>
      </w:pPr>
      <w:r w:rsidRPr="001F4265">
        <w:t>Details of New Zealand’s key category analysis are given in chapter 1, section 1.4. The key categories in the IPPU sector are listed in table 4.1.2.</w:t>
      </w:r>
    </w:p>
    <w:p w14:paraId="460B2107" w14:textId="77777777" w:rsidR="003A5396" w:rsidRPr="001F4265" w:rsidRDefault="003A5396" w:rsidP="003A5396">
      <w:pPr>
        <w:pStyle w:val="Table"/>
      </w:pPr>
      <w:bookmarkStart w:id="460" w:name="_Toc226668968"/>
      <w:r w:rsidRPr="001F4265">
        <w:t>Table 4.1.2</w:t>
      </w:r>
      <w:r w:rsidRPr="001F4265">
        <w:tab/>
        <w:t>Key categories in the IPPU sector</w:t>
      </w:r>
      <w:bookmarkEnd w:id="460"/>
    </w:p>
    <w:tbl>
      <w:tblPr>
        <w:tblW w:w="8494" w:type="dxa"/>
        <w:tblBorders>
          <w:top w:val="single" w:sz="4" w:space="0" w:color="1C556C" w:themeColor="accent1"/>
          <w:bottom w:val="single" w:sz="4" w:space="0" w:color="1C556C" w:themeColor="accent1"/>
          <w:insideH w:val="single" w:sz="4" w:space="0" w:color="1C556C" w:themeColor="accent1"/>
        </w:tblBorders>
        <w:tblLook w:val="0420" w:firstRow="1" w:lastRow="0" w:firstColumn="0" w:lastColumn="0" w:noHBand="0" w:noVBand="1"/>
      </w:tblPr>
      <w:tblGrid>
        <w:gridCol w:w="1134"/>
        <w:gridCol w:w="5056"/>
        <w:gridCol w:w="492"/>
        <w:gridCol w:w="1812"/>
      </w:tblGrid>
      <w:tr w:rsidR="003A5396" w:rsidRPr="001F4265" w14:paraId="171BD91C" w14:textId="77777777" w:rsidTr="00F16E23">
        <w:trPr>
          <w:tblHeader/>
        </w:trPr>
        <w:tc>
          <w:tcPr>
            <w:tcW w:w="1134" w:type="dxa"/>
            <w:shd w:val="clear" w:color="auto" w:fill="1C556C" w:themeFill="accent1"/>
            <w:tcMar>
              <w:top w:w="0" w:type="dxa"/>
              <w:left w:w="85" w:type="dxa"/>
              <w:bottom w:w="0" w:type="dxa"/>
              <w:right w:w="85" w:type="dxa"/>
            </w:tcMar>
            <w:vAlign w:val="bottom"/>
          </w:tcPr>
          <w:p w14:paraId="33FED9B8"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CRT category code</w:t>
            </w:r>
          </w:p>
        </w:tc>
        <w:tc>
          <w:tcPr>
            <w:tcW w:w="5056" w:type="dxa"/>
            <w:shd w:val="clear" w:color="auto" w:fill="1C556C" w:themeFill="accent1"/>
            <w:tcMar>
              <w:top w:w="0" w:type="dxa"/>
              <w:left w:w="85" w:type="dxa"/>
              <w:bottom w:w="0" w:type="dxa"/>
              <w:right w:w="85" w:type="dxa"/>
            </w:tcMar>
            <w:vAlign w:val="bottom"/>
          </w:tcPr>
          <w:p w14:paraId="52F328F5"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IPCC categories</w:t>
            </w:r>
          </w:p>
        </w:tc>
        <w:tc>
          <w:tcPr>
            <w:tcW w:w="0" w:type="auto"/>
            <w:shd w:val="clear" w:color="auto" w:fill="1C556C" w:themeFill="accent1"/>
            <w:tcMar>
              <w:top w:w="0" w:type="dxa"/>
              <w:left w:w="85" w:type="dxa"/>
              <w:bottom w:w="0" w:type="dxa"/>
              <w:right w:w="85" w:type="dxa"/>
            </w:tcMar>
            <w:vAlign w:val="bottom"/>
          </w:tcPr>
          <w:p w14:paraId="557712EC"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Gas</w:t>
            </w:r>
          </w:p>
        </w:tc>
        <w:tc>
          <w:tcPr>
            <w:tcW w:w="0" w:type="auto"/>
            <w:shd w:val="clear" w:color="auto" w:fill="1C556C" w:themeFill="accent1"/>
            <w:tcMar>
              <w:top w:w="0" w:type="dxa"/>
              <w:left w:w="85" w:type="dxa"/>
              <w:bottom w:w="0" w:type="dxa"/>
              <w:right w:w="85" w:type="dxa"/>
            </w:tcMar>
            <w:vAlign w:val="bottom"/>
          </w:tcPr>
          <w:p w14:paraId="541DD25B"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Criteria for identification</w:t>
            </w:r>
          </w:p>
        </w:tc>
      </w:tr>
      <w:tr w:rsidR="003A5396" w:rsidRPr="001F4265" w14:paraId="77898232" w14:textId="77777777" w:rsidTr="00F16E23">
        <w:tc>
          <w:tcPr>
            <w:tcW w:w="1134" w:type="dxa"/>
            <w:shd w:val="clear" w:color="auto" w:fill="FFFFFF" w:themeFill="background1"/>
            <w:tcMar>
              <w:top w:w="0" w:type="dxa"/>
              <w:left w:w="85" w:type="dxa"/>
              <w:bottom w:w="0" w:type="dxa"/>
              <w:right w:w="85" w:type="dxa"/>
            </w:tcMar>
            <w:vAlign w:val="center"/>
          </w:tcPr>
          <w:p w14:paraId="2264B7CD" w14:textId="77777777" w:rsidR="003A5396" w:rsidRPr="001F4265" w:rsidRDefault="003A5396" w:rsidP="00F16E23">
            <w:pPr>
              <w:pStyle w:val="TableText"/>
              <w:spacing w:before="40" w:after="40"/>
            </w:pPr>
            <w:r w:rsidRPr="001F4265">
              <w:rPr>
                <w:rFonts w:eastAsia="Calibri"/>
              </w:rPr>
              <w:t>2.A.1.</w:t>
            </w:r>
          </w:p>
        </w:tc>
        <w:tc>
          <w:tcPr>
            <w:tcW w:w="5056" w:type="dxa"/>
            <w:shd w:val="clear" w:color="auto" w:fill="FFFFFF" w:themeFill="background1"/>
            <w:tcMar>
              <w:top w:w="0" w:type="dxa"/>
              <w:left w:w="85" w:type="dxa"/>
              <w:bottom w:w="0" w:type="dxa"/>
              <w:right w:w="85" w:type="dxa"/>
            </w:tcMar>
            <w:vAlign w:val="center"/>
          </w:tcPr>
          <w:p w14:paraId="0CEC08E5" w14:textId="77777777" w:rsidR="003A5396" w:rsidRPr="001F4265" w:rsidRDefault="003A5396" w:rsidP="00F16E23">
            <w:pPr>
              <w:pStyle w:val="TableText"/>
              <w:spacing w:before="40" w:after="40"/>
            </w:pPr>
            <w:r w:rsidRPr="001F4265">
              <w:rPr>
                <w:rFonts w:eastAsia="Calibri"/>
              </w:rPr>
              <w:t>Mineral industry – Cement production</w:t>
            </w:r>
          </w:p>
        </w:tc>
        <w:tc>
          <w:tcPr>
            <w:tcW w:w="0" w:type="auto"/>
            <w:shd w:val="clear" w:color="auto" w:fill="FFFFFF" w:themeFill="background1"/>
            <w:tcMar>
              <w:top w:w="0" w:type="dxa"/>
              <w:left w:w="85" w:type="dxa"/>
              <w:bottom w:w="0" w:type="dxa"/>
              <w:right w:w="85" w:type="dxa"/>
            </w:tcMar>
            <w:vAlign w:val="center"/>
          </w:tcPr>
          <w:p w14:paraId="561DEF5D" w14:textId="77777777" w:rsidR="003A5396" w:rsidRPr="001F4265" w:rsidRDefault="003A5396" w:rsidP="00F16E23">
            <w:pPr>
              <w:pStyle w:val="TableText"/>
              <w:spacing w:before="40" w:after="40"/>
            </w:pPr>
            <w:r w:rsidRPr="001F4265">
              <w:rPr>
                <w:rFonts w:eastAsia="Calibri"/>
              </w:rPr>
              <w:t>CO₂</w:t>
            </w:r>
          </w:p>
        </w:tc>
        <w:tc>
          <w:tcPr>
            <w:tcW w:w="0" w:type="auto"/>
            <w:shd w:val="clear" w:color="auto" w:fill="FFFFFF" w:themeFill="background1"/>
            <w:tcMar>
              <w:top w:w="0" w:type="dxa"/>
              <w:left w:w="85" w:type="dxa"/>
              <w:bottom w:w="0" w:type="dxa"/>
              <w:right w:w="85" w:type="dxa"/>
            </w:tcMar>
            <w:vAlign w:val="center"/>
          </w:tcPr>
          <w:p w14:paraId="5574A923" w14:textId="77777777" w:rsidR="003A5396" w:rsidRPr="001F4265" w:rsidRDefault="003A5396" w:rsidP="00F16E23">
            <w:pPr>
              <w:pStyle w:val="TableText"/>
              <w:spacing w:before="40" w:after="40"/>
            </w:pPr>
            <w:r w:rsidRPr="001F4265">
              <w:rPr>
                <w:rFonts w:eastAsia="Calibri"/>
              </w:rPr>
              <w:t>L1, T1</w:t>
            </w:r>
          </w:p>
        </w:tc>
      </w:tr>
      <w:tr w:rsidR="003A5396" w:rsidRPr="001F4265" w14:paraId="5B68178E" w14:textId="77777777" w:rsidTr="00F16E23">
        <w:tc>
          <w:tcPr>
            <w:tcW w:w="1134" w:type="dxa"/>
            <w:shd w:val="clear" w:color="auto" w:fill="FFFFFF" w:themeFill="background1"/>
            <w:tcMar>
              <w:top w:w="0" w:type="dxa"/>
              <w:left w:w="85" w:type="dxa"/>
              <w:bottom w:w="0" w:type="dxa"/>
              <w:right w:w="85" w:type="dxa"/>
            </w:tcMar>
            <w:vAlign w:val="center"/>
          </w:tcPr>
          <w:p w14:paraId="7154BA3D" w14:textId="77777777" w:rsidR="003A5396" w:rsidRPr="001F4265" w:rsidRDefault="003A5396" w:rsidP="00F16E23">
            <w:pPr>
              <w:pStyle w:val="TableText"/>
              <w:spacing w:before="40" w:after="40"/>
            </w:pPr>
            <w:r w:rsidRPr="001F4265">
              <w:rPr>
                <w:rFonts w:eastAsia="Calibri"/>
              </w:rPr>
              <w:t>2.B.10.</w:t>
            </w:r>
          </w:p>
        </w:tc>
        <w:tc>
          <w:tcPr>
            <w:tcW w:w="5056" w:type="dxa"/>
            <w:shd w:val="clear" w:color="auto" w:fill="FFFFFF" w:themeFill="background1"/>
            <w:tcMar>
              <w:top w:w="0" w:type="dxa"/>
              <w:left w:w="85" w:type="dxa"/>
              <w:bottom w:w="0" w:type="dxa"/>
              <w:right w:w="85" w:type="dxa"/>
            </w:tcMar>
            <w:vAlign w:val="center"/>
          </w:tcPr>
          <w:p w14:paraId="5A799C96" w14:textId="77777777" w:rsidR="003A5396" w:rsidRPr="001F4265" w:rsidRDefault="003A5396" w:rsidP="00F16E23">
            <w:pPr>
              <w:pStyle w:val="TableText"/>
              <w:spacing w:before="40" w:after="40"/>
            </w:pPr>
            <w:r w:rsidRPr="001F4265">
              <w:rPr>
                <w:rFonts w:eastAsia="Calibri"/>
              </w:rPr>
              <w:t>Chemical industry – Other</w:t>
            </w:r>
          </w:p>
        </w:tc>
        <w:tc>
          <w:tcPr>
            <w:tcW w:w="0" w:type="auto"/>
            <w:shd w:val="clear" w:color="auto" w:fill="FFFFFF" w:themeFill="background1"/>
            <w:tcMar>
              <w:top w:w="0" w:type="dxa"/>
              <w:left w:w="85" w:type="dxa"/>
              <w:bottom w:w="0" w:type="dxa"/>
              <w:right w:w="85" w:type="dxa"/>
            </w:tcMar>
            <w:vAlign w:val="center"/>
          </w:tcPr>
          <w:p w14:paraId="06790C06" w14:textId="77777777" w:rsidR="003A5396" w:rsidRPr="001F4265" w:rsidRDefault="003A5396" w:rsidP="00F16E23">
            <w:pPr>
              <w:pStyle w:val="TableText"/>
              <w:spacing w:before="40" w:after="40"/>
            </w:pPr>
            <w:r w:rsidRPr="001F4265">
              <w:rPr>
                <w:rFonts w:eastAsia="Calibri"/>
              </w:rPr>
              <w:t>CO₂</w:t>
            </w:r>
          </w:p>
        </w:tc>
        <w:tc>
          <w:tcPr>
            <w:tcW w:w="0" w:type="auto"/>
            <w:shd w:val="clear" w:color="auto" w:fill="FFFFFF" w:themeFill="background1"/>
            <w:tcMar>
              <w:top w:w="0" w:type="dxa"/>
              <w:left w:w="85" w:type="dxa"/>
              <w:bottom w:w="0" w:type="dxa"/>
              <w:right w:w="85" w:type="dxa"/>
            </w:tcMar>
            <w:vAlign w:val="center"/>
          </w:tcPr>
          <w:p w14:paraId="6CCEFA60" w14:textId="77777777" w:rsidR="003A5396" w:rsidRPr="001F4265" w:rsidRDefault="003A5396" w:rsidP="00F16E23">
            <w:pPr>
              <w:pStyle w:val="TableText"/>
              <w:spacing w:before="40" w:after="40"/>
            </w:pPr>
            <w:r w:rsidRPr="001F4265">
              <w:rPr>
                <w:rFonts w:eastAsia="Calibri"/>
              </w:rPr>
              <w:t>T1</w:t>
            </w:r>
          </w:p>
        </w:tc>
      </w:tr>
      <w:tr w:rsidR="003A5396" w:rsidRPr="001F4265" w14:paraId="44A5A6C0" w14:textId="77777777" w:rsidTr="00F16E23">
        <w:tc>
          <w:tcPr>
            <w:tcW w:w="1134" w:type="dxa"/>
            <w:shd w:val="clear" w:color="auto" w:fill="FFFFFF" w:themeFill="background1"/>
            <w:tcMar>
              <w:top w:w="0" w:type="dxa"/>
              <w:left w:w="85" w:type="dxa"/>
              <w:bottom w:w="0" w:type="dxa"/>
              <w:right w:w="85" w:type="dxa"/>
            </w:tcMar>
            <w:vAlign w:val="center"/>
          </w:tcPr>
          <w:p w14:paraId="435C84F8" w14:textId="77777777" w:rsidR="003A5396" w:rsidRPr="001F4265" w:rsidRDefault="003A5396" w:rsidP="00F16E23">
            <w:pPr>
              <w:pStyle w:val="TableText"/>
              <w:spacing w:before="40" w:after="40"/>
            </w:pPr>
            <w:r w:rsidRPr="001F4265">
              <w:rPr>
                <w:rFonts w:eastAsia="Calibri"/>
              </w:rPr>
              <w:t>2.C.1.</w:t>
            </w:r>
          </w:p>
        </w:tc>
        <w:tc>
          <w:tcPr>
            <w:tcW w:w="5056" w:type="dxa"/>
            <w:shd w:val="clear" w:color="auto" w:fill="FFFFFF" w:themeFill="background1"/>
            <w:tcMar>
              <w:top w:w="0" w:type="dxa"/>
              <w:left w:w="85" w:type="dxa"/>
              <w:bottom w:w="0" w:type="dxa"/>
              <w:right w:w="85" w:type="dxa"/>
            </w:tcMar>
            <w:vAlign w:val="center"/>
          </w:tcPr>
          <w:p w14:paraId="4F65E487" w14:textId="77777777" w:rsidR="003A5396" w:rsidRPr="001F4265" w:rsidRDefault="003A5396" w:rsidP="00F16E23">
            <w:pPr>
              <w:pStyle w:val="TableText"/>
              <w:spacing w:before="40" w:after="40"/>
            </w:pPr>
            <w:r w:rsidRPr="001F4265">
              <w:rPr>
                <w:rFonts w:eastAsia="Calibri"/>
              </w:rPr>
              <w:t>Metal industry – Iron and steel production</w:t>
            </w:r>
          </w:p>
        </w:tc>
        <w:tc>
          <w:tcPr>
            <w:tcW w:w="0" w:type="auto"/>
            <w:shd w:val="clear" w:color="auto" w:fill="FFFFFF" w:themeFill="background1"/>
            <w:tcMar>
              <w:top w:w="0" w:type="dxa"/>
              <w:left w:w="85" w:type="dxa"/>
              <w:bottom w:w="0" w:type="dxa"/>
              <w:right w:w="85" w:type="dxa"/>
            </w:tcMar>
            <w:vAlign w:val="center"/>
          </w:tcPr>
          <w:p w14:paraId="12FCDEFF" w14:textId="77777777" w:rsidR="003A5396" w:rsidRPr="001F4265" w:rsidRDefault="003A5396" w:rsidP="00F16E23">
            <w:pPr>
              <w:pStyle w:val="TableText"/>
              <w:spacing w:before="40" w:after="40"/>
            </w:pPr>
            <w:r w:rsidRPr="001F4265">
              <w:rPr>
                <w:rFonts w:eastAsia="Calibri"/>
              </w:rPr>
              <w:t>CO₂</w:t>
            </w:r>
          </w:p>
        </w:tc>
        <w:tc>
          <w:tcPr>
            <w:tcW w:w="0" w:type="auto"/>
            <w:shd w:val="clear" w:color="auto" w:fill="FFFFFF" w:themeFill="background1"/>
            <w:tcMar>
              <w:top w:w="0" w:type="dxa"/>
              <w:left w:w="85" w:type="dxa"/>
              <w:bottom w:w="0" w:type="dxa"/>
              <w:right w:w="85" w:type="dxa"/>
            </w:tcMar>
            <w:vAlign w:val="center"/>
          </w:tcPr>
          <w:p w14:paraId="0A0388D9" w14:textId="77777777" w:rsidR="003A5396" w:rsidRPr="001F4265" w:rsidRDefault="003A5396" w:rsidP="00F16E23">
            <w:pPr>
              <w:pStyle w:val="TableText"/>
              <w:spacing w:before="40" w:after="40"/>
              <w:rPr>
                <w:rFonts w:eastAsia="Calibri"/>
                <w:color w:val="000000" w:themeColor="text1"/>
              </w:rPr>
            </w:pPr>
            <w:r w:rsidRPr="001F4265">
              <w:rPr>
                <w:rFonts w:eastAsia="Calibri"/>
                <w:color w:val="000000" w:themeColor="text1"/>
              </w:rPr>
              <w:t>L1</w:t>
            </w:r>
          </w:p>
        </w:tc>
      </w:tr>
      <w:tr w:rsidR="003A5396" w:rsidRPr="001F4265" w14:paraId="6377DC18" w14:textId="77777777" w:rsidTr="00F16E23">
        <w:tc>
          <w:tcPr>
            <w:tcW w:w="1134" w:type="dxa"/>
            <w:shd w:val="clear" w:color="auto" w:fill="FFFFFF" w:themeFill="background1"/>
            <w:tcMar>
              <w:top w:w="0" w:type="dxa"/>
              <w:left w:w="85" w:type="dxa"/>
              <w:bottom w:w="0" w:type="dxa"/>
              <w:right w:w="85" w:type="dxa"/>
            </w:tcMar>
            <w:vAlign w:val="center"/>
          </w:tcPr>
          <w:p w14:paraId="21FAFD40" w14:textId="77777777" w:rsidR="003A5396" w:rsidRPr="001F4265" w:rsidRDefault="003A5396" w:rsidP="00F16E23">
            <w:pPr>
              <w:pStyle w:val="TableText"/>
              <w:spacing w:before="40" w:after="40"/>
            </w:pPr>
            <w:r w:rsidRPr="001F4265">
              <w:rPr>
                <w:rFonts w:eastAsia="Calibri"/>
              </w:rPr>
              <w:t>2.C.3.</w:t>
            </w:r>
          </w:p>
        </w:tc>
        <w:tc>
          <w:tcPr>
            <w:tcW w:w="5056" w:type="dxa"/>
            <w:shd w:val="clear" w:color="auto" w:fill="FFFFFF" w:themeFill="background1"/>
            <w:tcMar>
              <w:top w:w="0" w:type="dxa"/>
              <w:left w:w="85" w:type="dxa"/>
              <w:bottom w:w="0" w:type="dxa"/>
              <w:right w:w="85" w:type="dxa"/>
            </w:tcMar>
            <w:vAlign w:val="center"/>
          </w:tcPr>
          <w:p w14:paraId="34D25080" w14:textId="77777777" w:rsidR="003A5396" w:rsidRPr="001F4265" w:rsidRDefault="003A5396" w:rsidP="00F16E23">
            <w:pPr>
              <w:pStyle w:val="TableText"/>
              <w:spacing w:before="40" w:after="40"/>
            </w:pPr>
            <w:r w:rsidRPr="001F4265">
              <w:rPr>
                <w:rFonts w:eastAsia="Calibri"/>
              </w:rPr>
              <w:t>Metal industry – Aluminium production</w:t>
            </w:r>
          </w:p>
        </w:tc>
        <w:tc>
          <w:tcPr>
            <w:tcW w:w="0" w:type="auto"/>
            <w:shd w:val="clear" w:color="auto" w:fill="FFFFFF" w:themeFill="background1"/>
            <w:tcMar>
              <w:top w:w="0" w:type="dxa"/>
              <w:left w:w="85" w:type="dxa"/>
              <w:bottom w:w="0" w:type="dxa"/>
              <w:right w:w="85" w:type="dxa"/>
            </w:tcMar>
            <w:vAlign w:val="center"/>
          </w:tcPr>
          <w:p w14:paraId="03670696" w14:textId="77777777" w:rsidR="003A5396" w:rsidRPr="001F4265" w:rsidRDefault="003A5396" w:rsidP="00F16E23">
            <w:pPr>
              <w:pStyle w:val="TableText"/>
              <w:spacing w:before="40" w:after="40"/>
            </w:pPr>
            <w:r w:rsidRPr="001F4265">
              <w:rPr>
                <w:rFonts w:eastAsia="Calibri"/>
              </w:rPr>
              <w:t>CO₂</w:t>
            </w:r>
          </w:p>
        </w:tc>
        <w:tc>
          <w:tcPr>
            <w:tcW w:w="0" w:type="auto"/>
            <w:shd w:val="clear" w:color="auto" w:fill="FFFFFF" w:themeFill="background1"/>
            <w:tcMar>
              <w:top w:w="0" w:type="dxa"/>
              <w:left w:w="85" w:type="dxa"/>
              <w:bottom w:w="0" w:type="dxa"/>
              <w:right w:w="85" w:type="dxa"/>
            </w:tcMar>
            <w:vAlign w:val="center"/>
          </w:tcPr>
          <w:p w14:paraId="227451EE" w14:textId="77777777" w:rsidR="003A5396" w:rsidRPr="001F4265" w:rsidRDefault="003A5396" w:rsidP="00F16E23">
            <w:pPr>
              <w:pStyle w:val="TableText"/>
              <w:spacing w:before="40" w:after="40"/>
              <w:rPr>
                <w:rFonts w:eastAsia="Calibri"/>
                <w:color w:val="000000" w:themeColor="text1"/>
              </w:rPr>
            </w:pPr>
            <w:r w:rsidRPr="001F4265">
              <w:rPr>
                <w:rFonts w:eastAsia="Calibri"/>
                <w:color w:val="000000" w:themeColor="text1"/>
              </w:rPr>
              <w:t>L1</w:t>
            </w:r>
          </w:p>
        </w:tc>
      </w:tr>
      <w:tr w:rsidR="003A5396" w:rsidRPr="001F4265" w14:paraId="0EE4EEC5" w14:textId="77777777" w:rsidTr="00F16E23">
        <w:tc>
          <w:tcPr>
            <w:tcW w:w="1134" w:type="dxa"/>
            <w:shd w:val="clear" w:color="auto" w:fill="FFFFFF" w:themeFill="background1"/>
            <w:tcMar>
              <w:top w:w="0" w:type="dxa"/>
              <w:left w:w="85" w:type="dxa"/>
              <w:bottom w:w="0" w:type="dxa"/>
              <w:right w:w="85" w:type="dxa"/>
            </w:tcMar>
            <w:vAlign w:val="center"/>
          </w:tcPr>
          <w:p w14:paraId="08436D3F" w14:textId="77777777" w:rsidR="003A5396" w:rsidRPr="001F4265" w:rsidRDefault="003A5396" w:rsidP="00F16E23">
            <w:pPr>
              <w:pStyle w:val="TableText"/>
              <w:spacing w:before="40" w:after="40"/>
            </w:pPr>
            <w:r w:rsidRPr="001F4265">
              <w:rPr>
                <w:rFonts w:eastAsia="Calibri"/>
              </w:rPr>
              <w:t>2.C.3.</w:t>
            </w:r>
          </w:p>
        </w:tc>
        <w:tc>
          <w:tcPr>
            <w:tcW w:w="5056" w:type="dxa"/>
            <w:shd w:val="clear" w:color="auto" w:fill="FFFFFF" w:themeFill="background1"/>
            <w:tcMar>
              <w:top w:w="0" w:type="dxa"/>
              <w:left w:w="85" w:type="dxa"/>
              <w:bottom w:w="0" w:type="dxa"/>
              <w:right w:w="85" w:type="dxa"/>
            </w:tcMar>
            <w:vAlign w:val="center"/>
          </w:tcPr>
          <w:p w14:paraId="1DC2CC47" w14:textId="77777777" w:rsidR="003A5396" w:rsidRPr="001F4265" w:rsidRDefault="003A5396" w:rsidP="00F16E23">
            <w:pPr>
              <w:pStyle w:val="TableText"/>
              <w:spacing w:before="40" w:after="40"/>
            </w:pPr>
            <w:r w:rsidRPr="001F4265">
              <w:rPr>
                <w:rFonts w:eastAsia="Calibri"/>
              </w:rPr>
              <w:t>Metal industry – Aluminium production</w:t>
            </w:r>
          </w:p>
        </w:tc>
        <w:tc>
          <w:tcPr>
            <w:tcW w:w="0" w:type="auto"/>
            <w:shd w:val="clear" w:color="auto" w:fill="FFFFFF" w:themeFill="background1"/>
            <w:tcMar>
              <w:top w:w="0" w:type="dxa"/>
              <w:left w:w="85" w:type="dxa"/>
              <w:bottom w:w="0" w:type="dxa"/>
              <w:right w:w="85" w:type="dxa"/>
            </w:tcMar>
            <w:vAlign w:val="center"/>
          </w:tcPr>
          <w:p w14:paraId="552370B8" w14:textId="77777777" w:rsidR="003A5396" w:rsidRPr="001F4265" w:rsidRDefault="003A5396" w:rsidP="00F16E23">
            <w:pPr>
              <w:pStyle w:val="TableText"/>
              <w:spacing w:before="40" w:after="40"/>
            </w:pPr>
            <w:r w:rsidRPr="001F4265">
              <w:rPr>
                <w:rFonts w:eastAsia="Calibri"/>
              </w:rPr>
              <w:t>PFCs</w:t>
            </w:r>
          </w:p>
        </w:tc>
        <w:tc>
          <w:tcPr>
            <w:tcW w:w="0" w:type="auto"/>
            <w:shd w:val="clear" w:color="auto" w:fill="FFFFFF" w:themeFill="background1"/>
            <w:tcMar>
              <w:top w:w="0" w:type="dxa"/>
              <w:left w:w="85" w:type="dxa"/>
              <w:bottom w:w="0" w:type="dxa"/>
              <w:right w:w="85" w:type="dxa"/>
            </w:tcMar>
            <w:vAlign w:val="center"/>
          </w:tcPr>
          <w:p w14:paraId="4BA83423" w14:textId="77777777" w:rsidR="003A5396" w:rsidRPr="001F4265" w:rsidRDefault="003A5396" w:rsidP="00F16E23">
            <w:pPr>
              <w:pStyle w:val="TableText"/>
              <w:spacing w:before="40" w:after="40"/>
            </w:pPr>
            <w:r w:rsidRPr="001F4265">
              <w:rPr>
                <w:rFonts w:eastAsia="Calibri"/>
              </w:rPr>
              <w:t>T1</w:t>
            </w:r>
          </w:p>
        </w:tc>
      </w:tr>
      <w:tr w:rsidR="003A5396" w:rsidRPr="001F4265" w14:paraId="6C1C5F92" w14:textId="77777777" w:rsidTr="00F16E23">
        <w:tc>
          <w:tcPr>
            <w:tcW w:w="1134" w:type="dxa"/>
            <w:shd w:val="clear" w:color="auto" w:fill="FFFFFF" w:themeFill="background1"/>
            <w:tcMar>
              <w:top w:w="0" w:type="dxa"/>
              <w:left w:w="85" w:type="dxa"/>
              <w:bottom w:w="0" w:type="dxa"/>
              <w:right w:w="85" w:type="dxa"/>
            </w:tcMar>
            <w:vAlign w:val="center"/>
          </w:tcPr>
          <w:p w14:paraId="7FA8BD0D" w14:textId="77777777" w:rsidR="003A5396" w:rsidRPr="001F4265" w:rsidRDefault="003A5396" w:rsidP="00F16E23">
            <w:pPr>
              <w:pStyle w:val="TableText"/>
              <w:spacing w:before="40" w:after="40"/>
            </w:pPr>
            <w:r w:rsidRPr="001F4265">
              <w:rPr>
                <w:rFonts w:eastAsia="Calibri"/>
              </w:rPr>
              <w:t>2.F.1.</w:t>
            </w:r>
          </w:p>
        </w:tc>
        <w:tc>
          <w:tcPr>
            <w:tcW w:w="5056" w:type="dxa"/>
            <w:shd w:val="clear" w:color="auto" w:fill="FFFFFF" w:themeFill="background1"/>
            <w:tcMar>
              <w:top w:w="0" w:type="dxa"/>
              <w:left w:w="85" w:type="dxa"/>
              <w:bottom w:w="0" w:type="dxa"/>
              <w:right w:w="85" w:type="dxa"/>
            </w:tcMar>
            <w:vAlign w:val="center"/>
          </w:tcPr>
          <w:p w14:paraId="0769927D" w14:textId="77777777" w:rsidR="003A5396" w:rsidRPr="001F4265" w:rsidRDefault="003A5396" w:rsidP="00F16E23">
            <w:pPr>
              <w:pStyle w:val="TableText"/>
              <w:spacing w:before="40" w:after="40"/>
            </w:pPr>
            <w:r w:rsidRPr="001F4265">
              <w:rPr>
                <w:rFonts w:eastAsia="Calibri"/>
              </w:rPr>
              <w:t>Product uses as substitutes for ODS – Refrigeration and air-conditioning</w:t>
            </w:r>
          </w:p>
        </w:tc>
        <w:tc>
          <w:tcPr>
            <w:tcW w:w="0" w:type="auto"/>
            <w:shd w:val="clear" w:color="auto" w:fill="FFFFFF" w:themeFill="background1"/>
            <w:tcMar>
              <w:top w:w="0" w:type="dxa"/>
              <w:left w:w="85" w:type="dxa"/>
              <w:bottom w:w="0" w:type="dxa"/>
              <w:right w:w="85" w:type="dxa"/>
            </w:tcMar>
            <w:vAlign w:val="center"/>
          </w:tcPr>
          <w:p w14:paraId="78257523" w14:textId="77777777" w:rsidR="003A5396" w:rsidRPr="001F4265" w:rsidRDefault="003A5396" w:rsidP="00F16E23">
            <w:pPr>
              <w:pStyle w:val="TableText"/>
              <w:spacing w:before="40" w:after="40"/>
            </w:pPr>
            <w:r w:rsidRPr="001F4265">
              <w:rPr>
                <w:rFonts w:eastAsia="Calibri"/>
              </w:rPr>
              <w:t>HFCs</w:t>
            </w:r>
          </w:p>
        </w:tc>
        <w:tc>
          <w:tcPr>
            <w:tcW w:w="0" w:type="auto"/>
            <w:shd w:val="clear" w:color="auto" w:fill="FFFFFF" w:themeFill="background1"/>
            <w:tcMar>
              <w:top w:w="0" w:type="dxa"/>
              <w:left w:w="85" w:type="dxa"/>
              <w:bottom w:w="0" w:type="dxa"/>
              <w:right w:w="85" w:type="dxa"/>
            </w:tcMar>
            <w:vAlign w:val="center"/>
          </w:tcPr>
          <w:p w14:paraId="500BB49A" w14:textId="77777777" w:rsidR="003A5396" w:rsidRPr="001F4265" w:rsidRDefault="003A5396" w:rsidP="00F16E23">
            <w:pPr>
              <w:pStyle w:val="TableText"/>
              <w:spacing w:before="40" w:after="40"/>
            </w:pPr>
            <w:r w:rsidRPr="001F4265">
              <w:rPr>
                <w:rFonts w:eastAsia="Calibri"/>
              </w:rPr>
              <w:t>L1, T1</w:t>
            </w:r>
          </w:p>
        </w:tc>
      </w:tr>
    </w:tbl>
    <w:p w14:paraId="178B45E6" w14:textId="3780CF06" w:rsidR="003A5396" w:rsidRPr="001F4265" w:rsidRDefault="003A5396" w:rsidP="003A5396">
      <w:pPr>
        <w:pStyle w:val="Noteundertable"/>
      </w:pPr>
      <w:r w:rsidRPr="001F4265">
        <w:rPr>
          <w:b/>
          <w:bCs/>
        </w:rPr>
        <w:t>Note:</w:t>
      </w:r>
      <w:r w:rsidRPr="001F4265">
        <w:t xml:space="preserve"> </w:t>
      </w:r>
      <w:r w:rsidRPr="001F4265">
        <w:tab/>
        <w:t>L1 means a key category is identified under the level analysis – approach 1 and T1 is trend analysis –</w:t>
      </w:r>
      <w:r w:rsidR="003200C2">
        <w:t> </w:t>
      </w:r>
      <w:r w:rsidRPr="001F4265">
        <w:t>approach 1. See chapter 1, section 1.4, for more information.</w:t>
      </w:r>
    </w:p>
    <w:p w14:paraId="550544B9" w14:textId="77777777" w:rsidR="003A5396" w:rsidRPr="001F4265" w:rsidRDefault="003A5396" w:rsidP="003A5396">
      <w:pPr>
        <w:pStyle w:val="Heading3"/>
      </w:pPr>
      <w:bookmarkStart w:id="461" w:name="X57fcd64d9210984563e62d3973700db8c8d4db7"/>
      <w:bookmarkEnd w:id="459"/>
      <w:r w:rsidRPr="001F4265">
        <w:t xml:space="preserve">4.1.4 </w:t>
      </w:r>
      <w:r w:rsidRPr="001F4265">
        <w:tab/>
        <w:t>Methodological issues for the IPPU sector</w:t>
      </w:r>
    </w:p>
    <w:p w14:paraId="462A4194" w14:textId="77777777" w:rsidR="003A5396" w:rsidRPr="001F4265" w:rsidRDefault="003A5396" w:rsidP="003A5396">
      <w:pPr>
        <w:pStyle w:val="BodyText"/>
      </w:pPr>
      <w:r w:rsidRPr="001F4265">
        <w:t xml:space="preserve">Activity data in the IPPU sector have been derived from a variety of sources. In the </w:t>
      </w:r>
      <w:r w:rsidRPr="001F4265">
        <w:rPr>
          <w:i/>
          <w:iCs/>
        </w:rPr>
        <w:t>Mineral industry</w:t>
      </w:r>
      <w:r w:rsidRPr="001F4265">
        <w:t xml:space="preserve"> category, the primary data source is emissions data reported under the New Zealand Emissions Trading Scheme (NZ ETS). For the </w:t>
      </w:r>
      <w:r w:rsidRPr="001F4265">
        <w:rPr>
          <w:i/>
          <w:iCs/>
        </w:rPr>
        <w:t>Chemical industry</w:t>
      </w:r>
      <w:r w:rsidRPr="001F4265">
        <w:t xml:space="preserve"> and </w:t>
      </w:r>
      <w:r w:rsidRPr="001F4265">
        <w:rPr>
          <w:i/>
          <w:iCs/>
        </w:rPr>
        <w:t>Metal industry</w:t>
      </w:r>
      <w:r w:rsidRPr="001F4265">
        <w:t xml:space="preserve"> categories, data (including activity data) are provided to the Ministry of Business, Innovation and Employment (MBIE) in response to an annual survey.</w:t>
      </w:r>
    </w:p>
    <w:p w14:paraId="5E229278" w14:textId="77777777" w:rsidR="003A5396" w:rsidRPr="001F4265" w:rsidRDefault="003A5396" w:rsidP="003A5396">
      <w:pPr>
        <w:pStyle w:val="BodyText"/>
      </w:pPr>
      <w:r w:rsidRPr="001F4265">
        <w:t>The small scale of New Zealand’s industry sector means some activities are carried out by only one or two companies. As a result, the data and emissions information supplied by these companies, in response to surveys, are frequently bound by confidentiality obligations, preventing the publication of their specific activity. The implications for reporting of activity data and emissions are as follows:</w:t>
      </w:r>
    </w:p>
    <w:p w14:paraId="6F59FF46" w14:textId="77777777" w:rsidR="003A5396" w:rsidRPr="001F4265" w:rsidRDefault="003A5396" w:rsidP="003A5396">
      <w:pPr>
        <w:pStyle w:val="Bullet"/>
      </w:pPr>
      <w:r w:rsidRPr="001F4265">
        <w:t>activity data for cement, steel and glass production are reported as confidential in the common reporting tables (CRT)</w:t>
      </w:r>
    </w:p>
    <w:p w14:paraId="6AA32008" w14:textId="77777777" w:rsidR="003A5396" w:rsidRPr="001F4265" w:rsidRDefault="003A5396" w:rsidP="003A5396">
      <w:pPr>
        <w:pStyle w:val="Bullet"/>
      </w:pPr>
      <w:r w:rsidRPr="001F4265">
        <w:t xml:space="preserve">emissions data for </w:t>
      </w:r>
      <w:r w:rsidRPr="001F4265">
        <w:rPr>
          <w:i/>
          <w:iCs/>
        </w:rPr>
        <w:t>Glass production</w:t>
      </w:r>
      <w:r w:rsidRPr="001F4265">
        <w:t xml:space="preserve"> (2.A.3) are reported in </w:t>
      </w:r>
      <w:r w:rsidRPr="001F4265">
        <w:rPr>
          <w:i/>
          <w:iCs/>
        </w:rPr>
        <w:t>Other process uses of carbonates</w:t>
      </w:r>
      <w:r w:rsidRPr="001F4265">
        <w:t xml:space="preserve"> category (2.A.4)</w:t>
      </w:r>
    </w:p>
    <w:p w14:paraId="0F10B9A3" w14:textId="77777777" w:rsidR="003A5396" w:rsidRPr="001F4265" w:rsidRDefault="003A5396" w:rsidP="003A5396">
      <w:pPr>
        <w:pStyle w:val="Bullet"/>
      </w:pPr>
      <w:r w:rsidRPr="001F4265">
        <w:t xml:space="preserve">emissions from gas used for energy purposes in ammonia production are reported in the </w:t>
      </w:r>
      <w:r w:rsidRPr="001F4265">
        <w:rPr>
          <w:i/>
          <w:iCs/>
        </w:rPr>
        <w:t>Manufacturing industries and construction</w:t>
      </w:r>
      <w:r w:rsidRPr="001F4265">
        <w:t xml:space="preserve"> category in the Energy sector (1.A.2.c) where this information can be aggregated with other companies. Only chemical feedstock gas is reported in the </w:t>
      </w:r>
      <w:r w:rsidRPr="001F4265">
        <w:rPr>
          <w:i/>
          <w:iCs/>
        </w:rPr>
        <w:t>Chemical industry</w:t>
      </w:r>
      <w:r w:rsidRPr="001F4265">
        <w:t xml:space="preserve"> category. Total energy use for the ammonia–urea plant is not disclosed</w:t>
      </w:r>
    </w:p>
    <w:p w14:paraId="0FAE56D1" w14:textId="77777777" w:rsidR="003A5396" w:rsidRPr="001F4265" w:rsidRDefault="003A5396" w:rsidP="003A5396">
      <w:pPr>
        <w:pStyle w:val="Bullet"/>
      </w:pPr>
      <w:r w:rsidRPr="001F4265">
        <w:t>fuel-related emissions from ammonia production are reported in the Energy sector.</w:t>
      </w:r>
    </w:p>
    <w:p w14:paraId="2E455709" w14:textId="77777777" w:rsidR="003A5396" w:rsidRPr="001F4265" w:rsidRDefault="003A5396" w:rsidP="003A5396">
      <w:pPr>
        <w:pStyle w:val="BodyText"/>
      </w:pPr>
      <w:r w:rsidRPr="001F4265">
        <w:t>New Zealand uses a combination of Intergovernmental Panel on Climate Change (IPCC) Tier 1 and Tier 2 methods for the IPPU sector. Tier 2 methods are used for all key categories. Country-specific emission factors are used where available, including for emissions of indirect greenhouse gases.</w:t>
      </w:r>
    </w:p>
    <w:p w14:paraId="3528B635" w14:textId="77777777" w:rsidR="003A5396" w:rsidRPr="001F4265" w:rsidRDefault="003A5396" w:rsidP="003A5396">
      <w:pPr>
        <w:pStyle w:val="BodyText"/>
      </w:pPr>
      <w:r w:rsidRPr="001F4265">
        <w:t xml:space="preserve">For the </w:t>
      </w:r>
      <w:r w:rsidRPr="001F4265">
        <w:rPr>
          <w:i/>
          <w:iCs/>
        </w:rPr>
        <w:t>Product uses as substitutes for ODS</w:t>
      </w:r>
      <w:r w:rsidRPr="001F4265">
        <w:t xml:space="preserve"> category, updated activity data are obtained through a detailed annual survey covering the electrical, refrigeration and other industry participants (Verum Group Ltd, unpublished), as well as importers of HFCs and other substances in this category.</w:t>
      </w:r>
    </w:p>
    <w:p w14:paraId="75E2E318" w14:textId="77777777" w:rsidR="003A5396" w:rsidRPr="001F4265" w:rsidRDefault="003A5396" w:rsidP="003A5396">
      <w:pPr>
        <w:pStyle w:val="BodyText"/>
      </w:pPr>
      <w:r w:rsidRPr="001F4265">
        <w:t xml:space="preserve">For small amounts of indirect greenhouse gas emissions reported in the </w:t>
      </w:r>
      <w:r w:rsidRPr="001F4265">
        <w:rPr>
          <w:i/>
          <w:iCs/>
        </w:rPr>
        <w:t>Chemical industry</w:t>
      </w:r>
      <w:r w:rsidRPr="001F4265">
        <w:t xml:space="preserve"> category and </w:t>
      </w:r>
      <w:r w:rsidRPr="001F4265">
        <w:rPr>
          <w:i/>
          <w:iCs/>
        </w:rPr>
        <w:t>Other product manufacture and use</w:t>
      </w:r>
      <w:r w:rsidRPr="001F4265">
        <w:t xml:space="preserve"> category, data were obtained by a detailed industry survey and analysis in 2006 (CRL Energy, unpublished(a)). Emissions and activity data have been extrapolated for the years since that time.</w:t>
      </w:r>
    </w:p>
    <w:bookmarkEnd w:id="461"/>
    <w:p w14:paraId="1C2F19BD" w14:textId="77777777" w:rsidR="003A5396" w:rsidRPr="001F4265" w:rsidRDefault="003A5396" w:rsidP="003A5396">
      <w:pPr>
        <w:pStyle w:val="Heading3"/>
      </w:pPr>
      <w:r w:rsidRPr="001F4265">
        <w:t xml:space="preserve">4.1.5 </w:t>
      </w:r>
      <w:r w:rsidRPr="001F4265">
        <w:tab/>
        <w:t>Uncertainties</w:t>
      </w:r>
    </w:p>
    <w:p w14:paraId="55FB319D" w14:textId="77777777" w:rsidR="003A5396" w:rsidRPr="001F4265" w:rsidRDefault="003A5396" w:rsidP="003A5396">
      <w:pPr>
        <w:pStyle w:val="BodyText"/>
      </w:pPr>
      <w:r w:rsidRPr="001F4265">
        <w:t>Each category addresses specific uncertainties, with the default uncertainties from the IPCC being applied in almost all instances.</w:t>
      </w:r>
    </w:p>
    <w:p w14:paraId="20AB3897" w14:textId="77777777" w:rsidR="003A5396" w:rsidRPr="001F4265" w:rsidRDefault="003A5396" w:rsidP="003A5396">
      <w:pPr>
        <w:pStyle w:val="BodyText"/>
      </w:pPr>
      <w:r w:rsidRPr="001F4265">
        <w:t xml:space="preserve">Country-specific estimates of uncertainty have been made in the </w:t>
      </w:r>
      <w:r w:rsidRPr="001F4265">
        <w:rPr>
          <w:i/>
          <w:iCs/>
        </w:rPr>
        <w:t>Product uses as substitutes for ODS</w:t>
      </w:r>
      <w:r w:rsidRPr="001F4265">
        <w:t xml:space="preserve"> category, reflecting the quality of data provided by survey respondents, and have been updated as needed for this submission.</w:t>
      </w:r>
    </w:p>
    <w:p w14:paraId="63A6C98D" w14:textId="77777777" w:rsidR="003A5396" w:rsidRPr="001F4265" w:rsidRDefault="003A5396" w:rsidP="003A5396">
      <w:pPr>
        <w:pStyle w:val="Heading3"/>
      </w:pPr>
      <w:r w:rsidRPr="001F4265">
        <w:t xml:space="preserve">4.1.6 </w:t>
      </w:r>
      <w:r w:rsidRPr="001F4265">
        <w:tab/>
        <w:t>Verification</w:t>
      </w:r>
    </w:p>
    <w:p w14:paraId="108F181E" w14:textId="77777777" w:rsidR="003A5396" w:rsidRPr="001F4265" w:rsidRDefault="003A5396" w:rsidP="003A5396">
      <w:pPr>
        <w:pStyle w:val="BodyText"/>
      </w:pPr>
      <w:r w:rsidRPr="001F4265">
        <w:t>The inventory agency (the Ministry for the Environment) verified information on CO</w:t>
      </w:r>
      <w:r w:rsidRPr="001F4265">
        <w:rPr>
          <w:vertAlign w:val="subscript"/>
        </w:rPr>
        <w:t>2</w:t>
      </w:r>
      <w:r w:rsidRPr="001F4265">
        <w:t xml:space="preserve"> emissions reported in the </w:t>
      </w:r>
      <w:r w:rsidRPr="001F4265">
        <w:rPr>
          <w:i/>
          <w:iCs/>
        </w:rPr>
        <w:t>Iron and steel production</w:t>
      </w:r>
      <w:r w:rsidRPr="001F4265">
        <w:t xml:space="preserve"> category against information provided by these industries as participants in the NZ ETS.</w:t>
      </w:r>
    </w:p>
    <w:p w14:paraId="5C9CEDF8" w14:textId="77777777" w:rsidR="003A5396" w:rsidRPr="001F4265" w:rsidRDefault="003A5396" w:rsidP="003A5396">
      <w:pPr>
        <w:pStyle w:val="BodyText"/>
      </w:pPr>
      <w:r w:rsidRPr="001F4265">
        <w:t xml:space="preserve">For PFCs in the </w:t>
      </w:r>
      <w:r w:rsidRPr="001F4265">
        <w:rPr>
          <w:i/>
          <w:iCs/>
        </w:rPr>
        <w:t>Aluminium production</w:t>
      </w:r>
      <w:r w:rsidRPr="001F4265">
        <w:t xml:space="preserve"> category and for CO</w:t>
      </w:r>
      <w:r w:rsidRPr="001F4265">
        <w:rPr>
          <w:vertAlign w:val="subscript"/>
        </w:rPr>
        <w:t>2</w:t>
      </w:r>
      <w:r w:rsidRPr="001F4265">
        <w:t xml:space="preserve"> in the </w:t>
      </w:r>
      <w:r w:rsidRPr="001F4265">
        <w:rPr>
          <w:i/>
          <w:iCs/>
        </w:rPr>
        <w:t>Mineral industry</w:t>
      </w:r>
      <w:r w:rsidRPr="001F4265">
        <w:t xml:space="preserve"> category, the NZ ETS is used as the primary data source. Verification is done over time as ETS returns are verified by the Environmental Protection Authority (EPA), the agency that administers the NZ ETS.</w:t>
      </w:r>
    </w:p>
    <w:p w14:paraId="0B623058" w14:textId="77777777" w:rsidR="003A5396" w:rsidRPr="001F4265" w:rsidRDefault="003A5396" w:rsidP="003A5396">
      <w:pPr>
        <w:pStyle w:val="BodyText"/>
      </w:pPr>
      <w:r w:rsidRPr="001F4265">
        <w:t xml:space="preserve">All data supplied in response to annual surveys (for the </w:t>
      </w:r>
      <w:r w:rsidRPr="001F4265">
        <w:rPr>
          <w:i/>
          <w:iCs/>
        </w:rPr>
        <w:t>Chemical industry</w:t>
      </w:r>
      <w:r w:rsidRPr="001F4265">
        <w:t xml:space="preserve">, </w:t>
      </w:r>
      <w:r w:rsidRPr="001F4265">
        <w:rPr>
          <w:i/>
          <w:iCs/>
        </w:rPr>
        <w:t>Metal industry</w:t>
      </w:r>
      <w:r w:rsidRPr="001F4265">
        <w:t xml:space="preserve"> and </w:t>
      </w:r>
      <w:r w:rsidRPr="001F4265">
        <w:rPr>
          <w:i/>
          <w:iCs/>
        </w:rPr>
        <w:t>Product uses as substitutes for ODS</w:t>
      </w:r>
      <w:r w:rsidRPr="001F4265">
        <w:t xml:space="preserve"> categories) were verified against national totals or other publicly available information. Where possible, anomalous data were followed up and checked.</w:t>
      </w:r>
    </w:p>
    <w:p w14:paraId="50E54D00" w14:textId="77777777" w:rsidR="003A5396" w:rsidRPr="001F4265" w:rsidRDefault="003A5396" w:rsidP="003A5396">
      <w:pPr>
        <w:pStyle w:val="Heading3"/>
      </w:pPr>
      <w:r w:rsidRPr="001F4265">
        <w:t xml:space="preserve">4.1.7 </w:t>
      </w:r>
      <w:r w:rsidRPr="001F4265">
        <w:tab/>
        <w:t>Recalculations and improvements</w:t>
      </w:r>
    </w:p>
    <w:p w14:paraId="07C7D936" w14:textId="77777777" w:rsidR="003A5396" w:rsidRPr="001F4265" w:rsidRDefault="003A5396" w:rsidP="003A5396">
      <w:pPr>
        <w:pStyle w:val="BodyText"/>
      </w:pPr>
      <w:r w:rsidRPr="001F4265">
        <w:t>Improvements and recalculations made to the IPPU sector since the last submission have resulted in an increase of 0.01 percent (0.5 kt CO</w:t>
      </w:r>
      <w:r w:rsidRPr="001F4265">
        <w:rPr>
          <w:vertAlign w:val="subscript"/>
        </w:rPr>
        <w:t>2</w:t>
      </w:r>
      <w:r w:rsidRPr="001F4265">
        <w:t>e) in estimated IPPU emissions in 1990, an increase of 0.6 percent (25.9 kt CO</w:t>
      </w:r>
      <w:r w:rsidRPr="001F4265">
        <w:rPr>
          <w:vertAlign w:val="subscript"/>
        </w:rPr>
        <w:t>2</w:t>
      </w:r>
      <w:r w:rsidRPr="001F4265">
        <w:t>e) in estimated IPPU emissions in 2005 and an increase of 0.8 percent (31.7 kt CO</w:t>
      </w:r>
      <w:r w:rsidRPr="001F4265">
        <w:rPr>
          <w:vertAlign w:val="subscript"/>
        </w:rPr>
        <w:t>2</w:t>
      </w:r>
      <w:r w:rsidRPr="001F4265">
        <w:t>e) in estimated IPPU emissions in 2023 (see chapter 10, figure 10.3.4).</w:t>
      </w:r>
    </w:p>
    <w:p w14:paraId="18E4A8CA" w14:textId="77777777" w:rsidR="003A5396" w:rsidRPr="001F4265" w:rsidRDefault="003A5396" w:rsidP="003A5396">
      <w:pPr>
        <w:pStyle w:val="BodyText"/>
      </w:pPr>
      <w:r w:rsidRPr="001F4265">
        <w:t xml:space="preserve">Several improvements in the </w:t>
      </w:r>
      <w:r w:rsidRPr="001F4265">
        <w:rPr>
          <w:i/>
          <w:iCs/>
        </w:rPr>
        <w:t>Refrigeration and air conditioning</w:t>
      </w:r>
      <w:r w:rsidRPr="001F4265">
        <w:t xml:space="preserve"> category were made, to better account for changes in stocks held by importers and users. These included:</w:t>
      </w:r>
    </w:p>
    <w:p w14:paraId="172BFB64" w14:textId="77777777" w:rsidR="003A5396" w:rsidRPr="001F4265" w:rsidRDefault="003A5396" w:rsidP="003A5396">
      <w:pPr>
        <w:pStyle w:val="Bullet"/>
      </w:pPr>
      <w:r w:rsidRPr="001F4265">
        <w:t>changes to activity data for the early retirement of dairy farm systems and coolstores (an increase)</w:t>
      </w:r>
    </w:p>
    <w:p w14:paraId="0D57F30A" w14:textId="77777777" w:rsidR="003A5396" w:rsidRPr="001F4265" w:rsidRDefault="003A5396" w:rsidP="003A5396">
      <w:pPr>
        <w:pStyle w:val="Bullet"/>
      </w:pPr>
      <w:r w:rsidRPr="001F4265">
        <w:t>reassessment of historical emissions between 1994 and 2024</w:t>
      </w:r>
    </w:p>
    <w:p w14:paraId="02137398" w14:textId="77777777" w:rsidR="003A5396" w:rsidRPr="001F4265" w:rsidRDefault="003A5396" w:rsidP="003A5396">
      <w:pPr>
        <w:pStyle w:val="Bullet"/>
      </w:pPr>
      <w:r w:rsidRPr="001F4265">
        <w:t>changes to HFC refrigerant imports between 2020 and 2024 (an increase)</w:t>
      </w:r>
    </w:p>
    <w:p w14:paraId="3F464118" w14:textId="77777777" w:rsidR="003A5396" w:rsidRPr="001F4265" w:rsidRDefault="003A5396" w:rsidP="003A5396">
      <w:pPr>
        <w:pStyle w:val="Bullet"/>
      </w:pPr>
      <w:r w:rsidRPr="001F4265">
        <w:t>changes to refrigerant mix of new installations between 2019 and 2023</w:t>
      </w:r>
    </w:p>
    <w:p w14:paraId="053C1C60" w14:textId="77777777" w:rsidR="003A5396" w:rsidRPr="001F4265" w:rsidRDefault="003A5396" w:rsidP="003A5396">
      <w:pPr>
        <w:pStyle w:val="Bullet"/>
      </w:pPr>
      <w:r w:rsidRPr="001F4265">
        <w:t>changes to leakage rate for commercial refrigeration in 2023 (a reduction)</w:t>
      </w:r>
    </w:p>
    <w:p w14:paraId="6E195382" w14:textId="77777777" w:rsidR="003A5396" w:rsidRPr="001F4265" w:rsidRDefault="003A5396" w:rsidP="003A5396">
      <w:pPr>
        <w:pStyle w:val="Bullet"/>
      </w:pPr>
      <w:r w:rsidRPr="001F4265">
        <w:t>changes to transport refrigeration net equipment stock adjustments (a reduction).</w:t>
      </w:r>
    </w:p>
    <w:p w14:paraId="5CA58AC0" w14:textId="77777777" w:rsidR="003A5396" w:rsidRPr="001F4265" w:rsidRDefault="003A5396" w:rsidP="003200C2">
      <w:pPr>
        <w:pStyle w:val="BodyText"/>
        <w:keepNext/>
      </w:pPr>
      <w:r w:rsidRPr="001F4265">
        <w:t xml:space="preserve">Other minor changes were made to: </w:t>
      </w:r>
    </w:p>
    <w:p w14:paraId="55C8D093" w14:textId="77777777" w:rsidR="003A5396" w:rsidRPr="001F4265" w:rsidRDefault="003A5396" w:rsidP="003A5396">
      <w:pPr>
        <w:pStyle w:val="Bullet"/>
      </w:pPr>
      <w:r w:rsidRPr="001F4265">
        <w:t>cement production with more accurate numbers reported between 2018 and 2023</w:t>
      </w:r>
    </w:p>
    <w:p w14:paraId="13F675AA" w14:textId="77777777" w:rsidR="003A5396" w:rsidRPr="001F4265" w:rsidRDefault="003A5396" w:rsidP="003A5396">
      <w:pPr>
        <w:pStyle w:val="Bullet"/>
      </w:pPr>
      <w:r w:rsidRPr="001F4265">
        <w:t>lime production with minor corrections between 2021 and 2023</w:t>
      </w:r>
    </w:p>
    <w:p w14:paraId="710CC190" w14:textId="77777777" w:rsidR="003A5396" w:rsidRPr="001F4265" w:rsidRDefault="003A5396" w:rsidP="003A5396">
      <w:pPr>
        <w:pStyle w:val="Bullet"/>
      </w:pPr>
      <w:r w:rsidRPr="001F4265">
        <w:t>ammonia production with minor corrections for 2020 and 2023</w:t>
      </w:r>
    </w:p>
    <w:p w14:paraId="116AA41B" w14:textId="77777777" w:rsidR="003A5396" w:rsidRPr="001F4265" w:rsidRDefault="003A5396" w:rsidP="003A5396">
      <w:pPr>
        <w:pStyle w:val="Bullet"/>
      </w:pPr>
      <w:r w:rsidRPr="001F4265">
        <w:t>aluminium production with minor corrections for 2016 and 2020</w:t>
      </w:r>
    </w:p>
    <w:p w14:paraId="43265DC6" w14:textId="77777777" w:rsidR="003A5396" w:rsidRPr="001F4265" w:rsidRDefault="003A5396" w:rsidP="003A5396">
      <w:pPr>
        <w:pStyle w:val="Bullet"/>
      </w:pPr>
      <w:r w:rsidRPr="001F4265">
        <w:t>correction to Other uses of non-energy products from fuels and solvent use of Non</w:t>
      </w:r>
      <w:r w:rsidRPr="001F4265">
        <w:rPr>
          <w:rFonts w:ascii="Cambria Math" w:hAnsi="Cambria Math" w:cs="Cambria Math"/>
        </w:rPr>
        <w:t>‑</w:t>
      </w:r>
      <w:r w:rsidRPr="001F4265">
        <w:t>Methane Volatile Organic Compounds (NMVOC) values for 2021.</w:t>
      </w:r>
    </w:p>
    <w:p w14:paraId="31E85716" w14:textId="77777777" w:rsidR="003A5396" w:rsidRPr="001F4265" w:rsidRDefault="003A5396" w:rsidP="003A5396">
      <w:pPr>
        <w:pStyle w:val="BodyText"/>
      </w:pPr>
      <w:r w:rsidRPr="001F4265">
        <w:t>Table 4.1.3 provides explanations and justifications for the recalculations.</w:t>
      </w:r>
    </w:p>
    <w:p w14:paraId="3961BEE2" w14:textId="77777777" w:rsidR="003A5396" w:rsidRPr="001F4265" w:rsidRDefault="003A5396" w:rsidP="003A5396">
      <w:pPr>
        <w:pStyle w:val="Table"/>
      </w:pPr>
      <w:bookmarkStart w:id="462" w:name="_Toc226668969"/>
      <w:r w:rsidRPr="001F4265">
        <w:t xml:space="preserve">Table 4.1.3 </w:t>
      </w:r>
      <w:r w:rsidRPr="001F4265">
        <w:tab/>
        <w:t>Explanations and justifications for recalculations</w:t>
      </w:r>
      <w:bookmarkEnd w:id="462"/>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11"/>
        <w:gridCol w:w="4492"/>
        <w:gridCol w:w="1276"/>
        <w:gridCol w:w="2183"/>
      </w:tblGrid>
      <w:tr w:rsidR="003A5396" w:rsidRPr="001F4265" w14:paraId="00218486" w14:textId="77777777" w:rsidTr="00F16E23">
        <w:trPr>
          <w:tblHeader/>
        </w:trPr>
        <w:tc>
          <w:tcPr>
            <w:tcW w:w="0" w:type="auto"/>
            <w:shd w:val="clear" w:color="auto" w:fill="1B556B"/>
            <w:tcMar>
              <w:top w:w="0" w:type="dxa"/>
              <w:left w:w="85" w:type="dxa"/>
              <w:bottom w:w="0" w:type="dxa"/>
              <w:right w:w="85" w:type="dxa"/>
            </w:tcMar>
            <w:vAlign w:val="bottom"/>
          </w:tcPr>
          <w:p w14:paraId="75E4C069"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CRT</w:t>
            </w:r>
          </w:p>
        </w:tc>
        <w:tc>
          <w:tcPr>
            <w:tcW w:w="4492" w:type="dxa"/>
            <w:shd w:val="clear" w:color="auto" w:fill="1B556B"/>
            <w:tcMar>
              <w:top w:w="0" w:type="dxa"/>
              <w:left w:w="85" w:type="dxa"/>
              <w:bottom w:w="0" w:type="dxa"/>
              <w:right w:w="85" w:type="dxa"/>
            </w:tcMar>
            <w:vAlign w:val="bottom"/>
          </w:tcPr>
          <w:p w14:paraId="63B673F4"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Explanation of recalculation</w:t>
            </w:r>
          </w:p>
        </w:tc>
        <w:tc>
          <w:tcPr>
            <w:tcW w:w="1276" w:type="dxa"/>
            <w:shd w:val="clear" w:color="auto" w:fill="1B556B"/>
            <w:tcMar>
              <w:top w:w="0" w:type="dxa"/>
              <w:left w:w="85" w:type="dxa"/>
              <w:bottom w:w="0" w:type="dxa"/>
              <w:right w:w="85" w:type="dxa"/>
            </w:tcMar>
            <w:vAlign w:val="bottom"/>
          </w:tcPr>
          <w:p w14:paraId="698B4290"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Underpinning IPCC principle</w:t>
            </w:r>
          </w:p>
        </w:tc>
        <w:tc>
          <w:tcPr>
            <w:tcW w:w="2183" w:type="dxa"/>
            <w:shd w:val="clear" w:color="auto" w:fill="1B556B"/>
            <w:tcMar>
              <w:top w:w="0" w:type="dxa"/>
              <w:left w:w="85" w:type="dxa"/>
              <w:bottom w:w="0" w:type="dxa"/>
              <w:right w:w="85" w:type="dxa"/>
            </w:tcMar>
            <w:vAlign w:val="bottom"/>
          </w:tcPr>
          <w:p w14:paraId="1E856FDF"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Additional justification</w:t>
            </w:r>
          </w:p>
        </w:tc>
      </w:tr>
      <w:tr w:rsidR="003A5396" w:rsidRPr="001F4265" w14:paraId="75E59EF8" w14:textId="77777777" w:rsidTr="00F16E23">
        <w:tc>
          <w:tcPr>
            <w:tcW w:w="0" w:type="auto"/>
            <w:shd w:val="clear" w:color="auto" w:fill="FFFFFF"/>
            <w:tcMar>
              <w:top w:w="0" w:type="dxa"/>
              <w:left w:w="85" w:type="dxa"/>
              <w:bottom w:w="0" w:type="dxa"/>
              <w:right w:w="85" w:type="dxa"/>
            </w:tcMar>
          </w:tcPr>
          <w:p w14:paraId="20E5B93C" w14:textId="77777777" w:rsidR="003A5396" w:rsidRPr="001F4265" w:rsidRDefault="003A5396" w:rsidP="00F16E23">
            <w:pPr>
              <w:pStyle w:val="TableText"/>
              <w:spacing w:before="40" w:after="40"/>
            </w:pPr>
            <w:r w:rsidRPr="001F4265">
              <w:rPr>
                <w:rFonts w:eastAsia="Calibri"/>
              </w:rPr>
              <w:t>2.D.1</w:t>
            </w:r>
          </w:p>
        </w:tc>
        <w:tc>
          <w:tcPr>
            <w:tcW w:w="4492" w:type="dxa"/>
            <w:shd w:val="clear" w:color="auto" w:fill="FFFFFF"/>
            <w:tcMar>
              <w:top w:w="0" w:type="dxa"/>
              <w:left w:w="85" w:type="dxa"/>
              <w:bottom w:w="0" w:type="dxa"/>
              <w:right w:w="85" w:type="dxa"/>
            </w:tcMar>
          </w:tcPr>
          <w:p w14:paraId="28000140" w14:textId="77777777" w:rsidR="003A5396" w:rsidRPr="001F4265" w:rsidRDefault="003A5396" w:rsidP="00F16E23">
            <w:pPr>
              <w:pStyle w:val="TableText"/>
              <w:spacing w:before="40" w:after="40"/>
            </w:pPr>
            <w:r w:rsidRPr="001F4265">
              <w:rPr>
                <w:rFonts w:eastAsia="Calibri"/>
              </w:rPr>
              <w:t>Updated lubricant activity data.</w:t>
            </w:r>
          </w:p>
        </w:tc>
        <w:tc>
          <w:tcPr>
            <w:tcW w:w="1276" w:type="dxa"/>
            <w:shd w:val="clear" w:color="auto" w:fill="FFFFFF"/>
            <w:tcMar>
              <w:top w:w="0" w:type="dxa"/>
              <w:left w:w="85" w:type="dxa"/>
              <w:bottom w:w="0" w:type="dxa"/>
              <w:right w:w="85" w:type="dxa"/>
            </w:tcMar>
          </w:tcPr>
          <w:p w14:paraId="233CBCEF" w14:textId="77777777" w:rsidR="003A5396" w:rsidRPr="001F4265" w:rsidRDefault="003A5396" w:rsidP="00F16E23">
            <w:pPr>
              <w:pStyle w:val="TableText"/>
              <w:spacing w:before="40" w:after="40"/>
            </w:pPr>
            <w:r w:rsidRPr="001F4265">
              <w:rPr>
                <w:rFonts w:eastAsia="Calibri"/>
              </w:rPr>
              <w:t>Accuracy</w:t>
            </w:r>
          </w:p>
        </w:tc>
        <w:tc>
          <w:tcPr>
            <w:tcW w:w="2183" w:type="dxa"/>
            <w:shd w:val="clear" w:color="auto" w:fill="FFFFFF"/>
            <w:tcMar>
              <w:top w:w="0" w:type="dxa"/>
              <w:left w:w="85" w:type="dxa"/>
              <w:bottom w:w="0" w:type="dxa"/>
              <w:right w:w="85" w:type="dxa"/>
            </w:tcMar>
          </w:tcPr>
          <w:p w14:paraId="6C28D7A4" w14:textId="77777777" w:rsidR="003A5396" w:rsidRPr="001F4265" w:rsidRDefault="003A5396" w:rsidP="00F16E23">
            <w:pPr>
              <w:pStyle w:val="TableText"/>
              <w:spacing w:before="40" w:after="40"/>
            </w:pPr>
            <w:r w:rsidRPr="001F4265">
              <w:rPr>
                <w:rFonts w:eastAsia="Calibri"/>
              </w:rPr>
              <w:t>Improved data availability</w:t>
            </w:r>
          </w:p>
        </w:tc>
      </w:tr>
      <w:tr w:rsidR="003A5396" w:rsidRPr="001F4265" w14:paraId="1A4CCF1B" w14:textId="77777777" w:rsidTr="00F16E23">
        <w:tc>
          <w:tcPr>
            <w:tcW w:w="0" w:type="auto"/>
            <w:shd w:val="clear" w:color="auto" w:fill="FFFFFF"/>
            <w:tcMar>
              <w:top w:w="0" w:type="dxa"/>
              <w:left w:w="85" w:type="dxa"/>
              <w:bottom w:w="0" w:type="dxa"/>
              <w:right w:w="85" w:type="dxa"/>
            </w:tcMar>
          </w:tcPr>
          <w:p w14:paraId="05107B9F" w14:textId="77777777" w:rsidR="003A5396" w:rsidRPr="001F4265" w:rsidRDefault="003A5396" w:rsidP="00F16E23">
            <w:pPr>
              <w:pStyle w:val="TableText"/>
              <w:spacing w:before="40" w:after="40"/>
            </w:pPr>
            <w:r w:rsidRPr="001F4265">
              <w:rPr>
                <w:rFonts w:eastAsia="Calibri"/>
              </w:rPr>
              <w:t>2.F.1</w:t>
            </w:r>
          </w:p>
        </w:tc>
        <w:tc>
          <w:tcPr>
            <w:tcW w:w="4492" w:type="dxa"/>
            <w:shd w:val="clear" w:color="auto" w:fill="FFFFFF"/>
            <w:tcMar>
              <w:top w:w="0" w:type="dxa"/>
              <w:left w:w="85" w:type="dxa"/>
              <w:bottom w:w="0" w:type="dxa"/>
              <w:right w:w="85" w:type="dxa"/>
            </w:tcMar>
          </w:tcPr>
          <w:p w14:paraId="6463290C" w14:textId="77777777" w:rsidR="003A5396" w:rsidRPr="001F4265" w:rsidRDefault="003A5396" w:rsidP="00F16E23">
            <w:pPr>
              <w:pStyle w:val="TableText"/>
              <w:spacing w:before="40" w:after="40"/>
            </w:pPr>
            <w:r w:rsidRPr="001F4265">
              <w:rPr>
                <w:rFonts w:eastAsia="Calibri"/>
              </w:rPr>
              <w:t>Correction of minor calculation errors for hydrofluorocarbon foam blowing manufacturing chemicals re-exported.</w:t>
            </w:r>
          </w:p>
        </w:tc>
        <w:tc>
          <w:tcPr>
            <w:tcW w:w="1276" w:type="dxa"/>
            <w:shd w:val="clear" w:color="auto" w:fill="FFFFFF"/>
            <w:tcMar>
              <w:top w:w="0" w:type="dxa"/>
              <w:left w:w="85" w:type="dxa"/>
              <w:bottom w:w="0" w:type="dxa"/>
              <w:right w:w="85" w:type="dxa"/>
            </w:tcMar>
          </w:tcPr>
          <w:p w14:paraId="4B2AAA98" w14:textId="77777777" w:rsidR="003A5396" w:rsidRPr="001F4265" w:rsidRDefault="003A5396" w:rsidP="00F16E23">
            <w:pPr>
              <w:pStyle w:val="TableText"/>
              <w:spacing w:before="40" w:after="40"/>
            </w:pPr>
            <w:r w:rsidRPr="001F4265">
              <w:rPr>
                <w:rFonts w:eastAsia="Calibri"/>
              </w:rPr>
              <w:t>Accuracy</w:t>
            </w:r>
          </w:p>
        </w:tc>
        <w:tc>
          <w:tcPr>
            <w:tcW w:w="2183" w:type="dxa"/>
            <w:shd w:val="clear" w:color="auto" w:fill="FFFFFF"/>
            <w:tcMar>
              <w:top w:w="0" w:type="dxa"/>
              <w:left w:w="85" w:type="dxa"/>
              <w:bottom w:w="0" w:type="dxa"/>
              <w:right w:w="85" w:type="dxa"/>
            </w:tcMar>
          </w:tcPr>
          <w:p w14:paraId="3EDF5F03" w14:textId="77777777" w:rsidR="003A5396" w:rsidRPr="001F4265" w:rsidRDefault="003A5396" w:rsidP="00F16E23">
            <w:pPr>
              <w:pStyle w:val="TableText"/>
              <w:spacing w:before="40" w:after="40"/>
            </w:pPr>
            <w:r w:rsidRPr="001F4265">
              <w:rPr>
                <w:rFonts w:eastAsia="Calibri"/>
              </w:rPr>
              <w:t>Correction of errors</w:t>
            </w:r>
          </w:p>
        </w:tc>
      </w:tr>
      <w:tr w:rsidR="003A5396" w:rsidRPr="001F4265" w14:paraId="448A5C5F" w14:textId="77777777" w:rsidTr="00F16E23">
        <w:tc>
          <w:tcPr>
            <w:tcW w:w="0" w:type="auto"/>
            <w:shd w:val="clear" w:color="auto" w:fill="FFFFFF"/>
            <w:tcMar>
              <w:top w:w="0" w:type="dxa"/>
              <w:left w:w="85" w:type="dxa"/>
              <w:bottom w:w="0" w:type="dxa"/>
              <w:right w:w="85" w:type="dxa"/>
            </w:tcMar>
          </w:tcPr>
          <w:p w14:paraId="0FB2108F" w14:textId="77777777" w:rsidR="003A5396" w:rsidRPr="001F4265" w:rsidRDefault="003A5396" w:rsidP="00F16E23">
            <w:pPr>
              <w:pStyle w:val="TableText"/>
              <w:spacing w:before="40" w:after="40"/>
            </w:pPr>
            <w:r w:rsidRPr="001F4265">
              <w:rPr>
                <w:rFonts w:eastAsia="Calibri"/>
              </w:rPr>
              <w:t>2.F.1.a</w:t>
            </w:r>
          </w:p>
        </w:tc>
        <w:tc>
          <w:tcPr>
            <w:tcW w:w="4492" w:type="dxa"/>
            <w:shd w:val="clear" w:color="auto" w:fill="FFFFFF"/>
            <w:tcMar>
              <w:top w:w="0" w:type="dxa"/>
              <w:left w:w="85" w:type="dxa"/>
              <w:bottom w:w="0" w:type="dxa"/>
              <w:right w:w="85" w:type="dxa"/>
            </w:tcMar>
          </w:tcPr>
          <w:p w14:paraId="3D31F7F2" w14:textId="77777777" w:rsidR="003A5396" w:rsidRPr="001F4265" w:rsidRDefault="003A5396" w:rsidP="00F16E23">
            <w:pPr>
              <w:pStyle w:val="TableText"/>
              <w:spacing w:before="40" w:after="40"/>
            </w:pPr>
            <w:r w:rsidRPr="001F4265">
              <w:rPr>
                <w:rFonts w:eastAsia="Calibri"/>
              </w:rPr>
              <w:t>Error correction in commercial refrigerant-related emissions.</w:t>
            </w:r>
          </w:p>
        </w:tc>
        <w:tc>
          <w:tcPr>
            <w:tcW w:w="1276" w:type="dxa"/>
            <w:shd w:val="clear" w:color="auto" w:fill="FFFFFF"/>
            <w:tcMar>
              <w:top w:w="0" w:type="dxa"/>
              <w:left w:w="85" w:type="dxa"/>
              <w:bottom w:w="0" w:type="dxa"/>
              <w:right w:w="85" w:type="dxa"/>
            </w:tcMar>
          </w:tcPr>
          <w:p w14:paraId="4101C905" w14:textId="77777777" w:rsidR="003A5396" w:rsidRPr="001F4265" w:rsidRDefault="003A5396" w:rsidP="00F16E23">
            <w:pPr>
              <w:pStyle w:val="TableText"/>
              <w:spacing w:before="40" w:after="40"/>
            </w:pPr>
            <w:r w:rsidRPr="001F4265">
              <w:rPr>
                <w:rFonts w:eastAsia="Calibri"/>
              </w:rPr>
              <w:t>Accuracy</w:t>
            </w:r>
          </w:p>
        </w:tc>
        <w:tc>
          <w:tcPr>
            <w:tcW w:w="2183" w:type="dxa"/>
            <w:shd w:val="clear" w:color="auto" w:fill="FFFFFF"/>
            <w:tcMar>
              <w:top w:w="0" w:type="dxa"/>
              <w:left w:w="85" w:type="dxa"/>
              <w:bottom w:w="0" w:type="dxa"/>
              <w:right w:w="85" w:type="dxa"/>
            </w:tcMar>
          </w:tcPr>
          <w:p w14:paraId="7C8990F1" w14:textId="77777777" w:rsidR="003A5396" w:rsidRPr="001F4265" w:rsidRDefault="003A5396" w:rsidP="00F16E23">
            <w:pPr>
              <w:pStyle w:val="TableText"/>
              <w:spacing w:before="40" w:after="40"/>
            </w:pPr>
            <w:r w:rsidRPr="001F4265">
              <w:rPr>
                <w:rFonts w:eastAsia="Calibri"/>
              </w:rPr>
              <w:t>Correction of errors</w:t>
            </w:r>
          </w:p>
        </w:tc>
      </w:tr>
      <w:tr w:rsidR="003A5396" w:rsidRPr="001F4265" w14:paraId="7E3F81C0" w14:textId="77777777" w:rsidTr="00F16E23">
        <w:tc>
          <w:tcPr>
            <w:tcW w:w="0" w:type="auto"/>
            <w:shd w:val="clear" w:color="auto" w:fill="FFFFFF"/>
            <w:tcMar>
              <w:top w:w="0" w:type="dxa"/>
              <w:left w:w="85" w:type="dxa"/>
              <w:bottom w:w="0" w:type="dxa"/>
              <w:right w:w="85" w:type="dxa"/>
            </w:tcMar>
          </w:tcPr>
          <w:p w14:paraId="0B0674DE" w14:textId="77777777" w:rsidR="003A5396" w:rsidRPr="001F4265" w:rsidRDefault="003A5396" w:rsidP="00F16E23">
            <w:pPr>
              <w:pStyle w:val="TableText"/>
              <w:spacing w:before="40" w:after="40"/>
            </w:pPr>
            <w:r w:rsidRPr="001F4265">
              <w:rPr>
                <w:rFonts w:eastAsia="Calibri"/>
              </w:rPr>
              <w:t>2.F.1.f</w:t>
            </w:r>
          </w:p>
        </w:tc>
        <w:tc>
          <w:tcPr>
            <w:tcW w:w="4492" w:type="dxa"/>
            <w:shd w:val="clear" w:color="auto" w:fill="FFFFFF"/>
            <w:tcMar>
              <w:top w:w="0" w:type="dxa"/>
              <w:left w:w="85" w:type="dxa"/>
              <w:bottom w:w="0" w:type="dxa"/>
              <w:right w:w="85" w:type="dxa"/>
            </w:tcMar>
          </w:tcPr>
          <w:p w14:paraId="11BE1FA6" w14:textId="77777777" w:rsidR="003A5396" w:rsidRPr="001F4265" w:rsidRDefault="003A5396" w:rsidP="00F16E23">
            <w:pPr>
              <w:pStyle w:val="TableText"/>
              <w:spacing w:before="40" w:after="40"/>
            </w:pPr>
            <w:r w:rsidRPr="001F4265">
              <w:rPr>
                <w:rFonts w:eastAsia="Calibri"/>
              </w:rPr>
              <w:t>Minor error correction in stationary refrigerant-related emissions.</w:t>
            </w:r>
          </w:p>
        </w:tc>
        <w:tc>
          <w:tcPr>
            <w:tcW w:w="1276" w:type="dxa"/>
            <w:shd w:val="clear" w:color="auto" w:fill="FFFFFF"/>
            <w:tcMar>
              <w:top w:w="0" w:type="dxa"/>
              <w:left w:w="85" w:type="dxa"/>
              <w:bottom w:w="0" w:type="dxa"/>
              <w:right w:w="85" w:type="dxa"/>
            </w:tcMar>
          </w:tcPr>
          <w:p w14:paraId="45D0E338" w14:textId="77777777" w:rsidR="003A5396" w:rsidRPr="001F4265" w:rsidRDefault="003A5396" w:rsidP="00F16E23">
            <w:pPr>
              <w:pStyle w:val="TableText"/>
              <w:spacing w:before="40" w:after="40"/>
            </w:pPr>
            <w:r w:rsidRPr="001F4265">
              <w:rPr>
                <w:rFonts w:eastAsia="Calibri"/>
              </w:rPr>
              <w:t>Accuracy</w:t>
            </w:r>
          </w:p>
        </w:tc>
        <w:tc>
          <w:tcPr>
            <w:tcW w:w="2183" w:type="dxa"/>
            <w:shd w:val="clear" w:color="auto" w:fill="FFFFFF"/>
            <w:tcMar>
              <w:top w:w="0" w:type="dxa"/>
              <w:left w:w="85" w:type="dxa"/>
              <w:bottom w:w="0" w:type="dxa"/>
              <w:right w:w="85" w:type="dxa"/>
            </w:tcMar>
          </w:tcPr>
          <w:p w14:paraId="79A9B2DB" w14:textId="77777777" w:rsidR="003A5396" w:rsidRPr="001F4265" w:rsidRDefault="003A5396" w:rsidP="00F16E23">
            <w:pPr>
              <w:pStyle w:val="TableText"/>
              <w:spacing w:before="40" w:after="40"/>
            </w:pPr>
            <w:r w:rsidRPr="001F4265">
              <w:rPr>
                <w:rFonts w:eastAsia="Calibri"/>
              </w:rPr>
              <w:t>Correction of errors</w:t>
            </w:r>
          </w:p>
        </w:tc>
      </w:tr>
      <w:tr w:rsidR="003A5396" w:rsidRPr="001F4265" w14:paraId="28768C5D" w14:textId="77777777" w:rsidTr="00F16E23">
        <w:tc>
          <w:tcPr>
            <w:tcW w:w="0" w:type="auto"/>
            <w:shd w:val="clear" w:color="auto" w:fill="FFFFFF"/>
            <w:tcMar>
              <w:top w:w="0" w:type="dxa"/>
              <w:left w:w="85" w:type="dxa"/>
              <w:bottom w:w="0" w:type="dxa"/>
              <w:right w:w="85" w:type="dxa"/>
            </w:tcMar>
          </w:tcPr>
          <w:p w14:paraId="6561AF3D" w14:textId="77777777" w:rsidR="003A5396" w:rsidRPr="001F4265" w:rsidRDefault="003A5396" w:rsidP="00F16E23">
            <w:pPr>
              <w:pStyle w:val="TableText"/>
              <w:spacing w:before="40" w:after="40"/>
            </w:pPr>
            <w:r w:rsidRPr="001F4265">
              <w:rPr>
                <w:rFonts w:eastAsia="Calibri"/>
              </w:rPr>
              <w:t>2.F.1.d</w:t>
            </w:r>
          </w:p>
        </w:tc>
        <w:tc>
          <w:tcPr>
            <w:tcW w:w="4492" w:type="dxa"/>
            <w:shd w:val="clear" w:color="auto" w:fill="FFFFFF"/>
            <w:tcMar>
              <w:top w:w="0" w:type="dxa"/>
              <w:left w:w="85" w:type="dxa"/>
              <w:bottom w:w="0" w:type="dxa"/>
              <w:right w:w="85" w:type="dxa"/>
            </w:tcMar>
          </w:tcPr>
          <w:p w14:paraId="6F8CA72D" w14:textId="77777777" w:rsidR="003A5396" w:rsidRPr="001F4265" w:rsidRDefault="003A5396" w:rsidP="00F16E23">
            <w:pPr>
              <w:pStyle w:val="TableText"/>
              <w:spacing w:before="40" w:after="40"/>
            </w:pPr>
            <w:r w:rsidRPr="001F4265">
              <w:rPr>
                <w:rFonts w:eastAsia="Calibri"/>
              </w:rPr>
              <w:t>Transport refrigeration net equipment stock adjustments.</w:t>
            </w:r>
          </w:p>
        </w:tc>
        <w:tc>
          <w:tcPr>
            <w:tcW w:w="1276" w:type="dxa"/>
            <w:shd w:val="clear" w:color="auto" w:fill="FFFFFF"/>
            <w:tcMar>
              <w:top w:w="0" w:type="dxa"/>
              <w:left w:w="85" w:type="dxa"/>
              <w:bottom w:w="0" w:type="dxa"/>
              <w:right w:w="85" w:type="dxa"/>
            </w:tcMar>
          </w:tcPr>
          <w:p w14:paraId="01F65865" w14:textId="77777777" w:rsidR="003A5396" w:rsidRPr="001F4265" w:rsidRDefault="003A5396" w:rsidP="00F16E23">
            <w:pPr>
              <w:pStyle w:val="TableText"/>
              <w:spacing w:before="40" w:after="40"/>
            </w:pPr>
            <w:r w:rsidRPr="001F4265">
              <w:rPr>
                <w:rFonts w:eastAsia="Calibri"/>
              </w:rPr>
              <w:t>Accuracy</w:t>
            </w:r>
          </w:p>
        </w:tc>
        <w:tc>
          <w:tcPr>
            <w:tcW w:w="2183" w:type="dxa"/>
            <w:shd w:val="clear" w:color="auto" w:fill="FFFFFF"/>
            <w:tcMar>
              <w:top w:w="0" w:type="dxa"/>
              <w:left w:w="85" w:type="dxa"/>
              <w:bottom w:w="0" w:type="dxa"/>
              <w:right w:w="85" w:type="dxa"/>
            </w:tcMar>
          </w:tcPr>
          <w:p w14:paraId="62A9D5A8" w14:textId="77777777" w:rsidR="003A5396" w:rsidRPr="001F4265" w:rsidRDefault="003A5396" w:rsidP="00F16E23">
            <w:pPr>
              <w:pStyle w:val="TableText"/>
              <w:spacing w:before="40" w:after="40"/>
            </w:pPr>
            <w:r w:rsidRPr="001F4265">
              <w:rPr>
                <w:rFonts w:eastAsia="Calibri"/>
              </w:rPr>
              <w:t>Improved data availability</w:t>
            </w:r>
          </w:p>
        </w:tc>
      </w:tr>
      <w:tr w:rsidR="003A5396" w:rsidRPr="001F4265" w14:paraId="2D3F702C" w14:textId="77777777" w:rsidTr="00F16E23">
        <w:tc>
          <w:tcPr>
            <w:tcW w:w="0" w:type="auto"/>
            <w:shd w:val="clear" w:color="auto" w:fill="FFFFFF"/>
            <w:tcMar>
              <w:top w:w="0" w:type="dxa"/>
              <w:left w:w="85" w:type="dxa"/>
              <w:bottom w:w="0" w:type="dxa"/>
              <w:right w:w="85" w:type="dxa"/>
            </w:tcMar>
          </w:tcPr>
          <w:p w14:paraId="66F39FB4" w14:textId="77777777" w:rsidR="003A5396" w:rsidRPr="001F4265" w:rsidRDefault="003A5396" w:rsidP="00F16E23">
            <w:pPr>
              <w:pStyle w:val="TableText"/>
              <w:spacing w:before="40" w:after="40"/>
            </w:pPr>
            <w:r w:rsidRPr="001F4265">
              <w:rPr>
                <w:rFonts w:eastAsia="Calibri"/>
              </w:rPr>
              <w:t>2.F.1.d</w:t>
            </w:r>
          </w:p>
        </w:tc>
        <w:tc>
          <w:tcPr>
            <w:tcW w:w="4492" w:type="dxa"/>
            <w:shd w:val="clear" w:color="auto" w:fill="FFFFFF"/>
            <w:tcMar>
              <w:top w:w="0" w:type="dxa"/>
              <w:left w:w="85" w:type="dxa"/>
              <w:bottom w:w="0" w:type="dxa"/>
              <w:right w:w="85" w:type="dxa"/>
            </w:tcMar>
          </w:tcPr>
          <w:p w14:paraId="2B42A704" w14:textId="77777777" w:rsidR="003A5396" w:rsidRPr="001F4265" w:rsidRDefault="003A5396" w:rsidP="00F16E23">
            <w:pPr>
              <w:pStyle w:val="TableText"/>
              <w:spacing w:before="40" w:after="40"/>
            </w:pPr>
            <w:r w:rsidRPr="001F4265">
              <w:rPr>
                <w:rFonts w:eastAsia="Calibri"/>
              </w:rPr>
              <w:t>Minor error correction in transport refrigerant-related emissions.</w:t>
            </w:r>
          </w:p>
        </w:tc>
        <w:tc>
          <w:tcPr>
            <w:tcW w:w="1276" w:type="dxa"/>
            <w:shd w:val="clear" w:color="auto" w:fill="FFFFFF"/>
            <w:tcMar>
              <w:top w:w="0" w:type="dxa"/>
              <w:left w:w="85" w:type="dxa"/>
              <w:bottom w:w="0" w:type="dxa"/>
              <w:right w:w="85" w:type="dxa"/>
            </w:tcMar>
          </w:tcPr>
          <w:p w14:paraId="370E0A23" w14:textId="77777777" w:rsidR="003A5396" w:rsidRPr="001F4265" w:rsidRDefault="003A5396" w:rsidP="00F16E23">
            <w:pPr>
              <w:pStyle w:val="TableText"/>
              <w:spacing w:before="40" w:after="40"/>
            </w:pPr>
            <w:r w:rsidRPr="001F4265">
              <w:rPr>
                <w:rFonts w:eastAsia="Calibri"/>
              </w:rPr>
              <w:t>Accuracy</w:t>
            </w:r>
          </w:p>
        </w:tc>
        <w:tc>
          <w:tcPr>
            <w:tcW w:w="2183" w:type="dxa"/>
            <w:shd w:val="clear" w:color="auto" w:fill="FFFFFF"/>
            <w:tcMar>
              <w:top w:w="0" w:type="dxa"/>
              <w:left w:w="85" w:type="dxa"/>
              <w:bottom w:w="0" w:type="dxa"/>
              <w:right w:w="85" w:type="dxa"/>
            </w:tcMar>
          </w:tcPr>
          <w:p w14:paraId="30A7B7B5" w14:textId="77777777" w:rsidR="003A5396" w:rsidRPr="001F4265" w:rsidRDefault="003A5396" w:rsidP="00F16E23">
            <w:pPr>
              <w:pStyle w:val="TableText"/>
              <w:spacing w:before="40" w:after="40"/>
            </w:pPr>
            <w:r w:rsidRPr="001F4265">
              <w:rPr>
                <w:rFonts w:eastAsia="Calibri"/>
              </w:rPr>
              <w:t>Correction of errors</w:t>
            </w:r>
          </w:p>
        </w:tc>
      </w:tr>
    </w:tbl>
    <w:p w14:paraId="75BF2485" w14:textId="77777777" w:rsidR="003A5396" w:rsidRPr="001F4265" w:rsidRDefault="003A5396" w:rsidP="003A5396">
      <w:pPr>
        <w:pStyle w:val="Heading3"/>
        <w:spacing w:before="440"/>
      </w:pPr>
      <w:r w:rsidRPr="001F4265">
        <w:t xml:space="preserve">4.1.8 </w:t>
      </w:r>
      <w:r w:rsidRPr="001F4265">
        <w:tab/>
        <w:t>Quality-assurance/quality-control (QA/QC) processes</w:t>
      </w:r>
    </w:p>
    <w:p w14:paraId="40E8E8AB" w14:textId="77777777" w:rsidR="003A5396" w:rsidRPr="001F4265" w:rsidRDefault="003A5396" w:rsidP="003A5396">
      <w:pPr>
        <w:pStyle w:val="BodyText"/>
      </w:pPr>
      <w:r w:rsidRPr="001F4265">
        <w:t>Tier 1 quality checks were carried out on all data collected for this sector, with minor exceptions where data did not require updating. Figure 4.1.3 describes the quality control process map for the IPPU sector. Verification against independent data sources was possible only in specific cases, such as the comparison of NZ ETS returns against data submitted in response to surveys.</w:t>
      </w:r>
    </w:p>
    <w:p w14:paraId="4232C6C1" w14:textId="77777777" w:rsidR="003A5396" w:rsidRPr="001F4265" w:rsidRDefault="003A5396" w:rsidP="003A5396">
      <w:pPr>
        <w:pStyle w:val="Figure"/>
      </w:pPr>
      <w:bookmarkStart w:id="463" w:name="_Toc226200679"/>
      <w:r w:rsidRPr="001F4265">
        <w:t xml:space="preserve">Figure 4.1.3 </w:t>
      </w:r>
      <w:r w:rsidRPr="001F4265">
        <w:tab/>
        <w:t>Example: Tier 1 quality checks for the IPPU sector</w:t>
      </w:r>
      <w:bookmarkEnd w:id="463"/>
    </w:p>
    <w:p w14:paraId="30FFC3C3" w14:textId="77777777" w:rsidR="003A5396" w:rsidRPr="001F4265" w:rsidRDefault="003A5396" w:rsidP="003A5396">
      <w:pPr>
        <w:pStyle w:val="BodyText"/>
      </w:pPr>
      <w:r w:rsidRPr="001F4265">
        <w:rPr>
          <w:noProof/>
        </w:rPr>
        <w:drawing>
          <wp:inline distT="0" distB="0" distL="0" distR="0" wp14:anchorId="050435DE" wp14:editId="0D9327F8">
            <wp:extent cx="5140569" cy="6529754"/>
            <wp:effectExtent l="0" t="0" r="3175" b="4445"/>
            <wp:docPr id="2085585991" name="Picture"/>
            <wp:cNvGraphicFramePr/>
            <a:graphic xmlns:a="http://schemas.openxmlformats.org/drawingml/2006/main">
              <a:graphicData uri="http://schemas.openxmlformats.org/drawingml/2006/picture">
                <pic:pic xmlns:pic="http://schemas.openxmlformats.org/drawingml/2006/picture">
                  <pic:nvPicPr>
                    <pic:cNvPr id="39" name="Picture" descr="images/fig_4_1_3.png"/>
                    <pic:cNvPicPr>
                      <a:picLocks noChangeAspect="1" noChangeArrowheads="1"/>
                    </pic:cNvPicPr>
                  </pic:nvPicPr>
                  <pic:blipFill>
                    <a:blip r:embed="rId86"/>
                    <a:stretch>
                      <a:fillRect/>
                    </a:stretch>
                  </pic:blipFill>
                  <pic:spPr bwMode="auto">
                    <a:xfrm>
                      <a:off x="0" y="0"/>
                      <a:ext cx="5149113" cy="6540607"/>
                    </a:xfrm>
                    <a:prstGeom prst="rect">
                      <a:avLst/>
                    </a:prstGeom>
                    <a:noFill/>
                    <a:ln w="9525">
                      <a:noFill/>
                      <a:headEnd/>
                      <a:tailEnd/>
                    </a:ln>
                  </pic:spPr>
                </pic:pic>
              </a:graphicData>
            </a:graphic>
          </wp:inline>
        </w:drawing>
      </w:r>
    </w:p>
    <w:p w14:paraId="5F05EE06" w14:textId="77777777" w:rsidR="003A5396" w:rsidRPr="001F4265" w:rsidRDefault="003A5396" w:rsidP="003A5396">
      <w:pPr>
        <w:pStyle w:val="Noteundertable"/>
      </w:pPr>
      <w:r w:rsidRPr="001F4265">
        <w:rPr>
          <w:b/>
          <w:bCs/>
        </w:rPr>
        <w:t>Note:</w:t>
      </w:r>
      <w:r w:rsidRPr="001F4265">
        <w:t xml:space="preserve"> IPCC = Intergovernmental Panel on Climate Change.</w:t>
      </w:r>
    </w:p>
    <w:p w14:paraId="01894263" w14:textId="77777777" w:rsidR="003A5396" w:rsidRPr="001F4265" w:rsidRDefault="003A5396" w:rsidP="003A5396">
      <w:pPr>
        <w:pStyle w:val="Heading3"/>
      </w:pPr>
      <w:r w:rsidRPr="001F4265">
        <w:t xml:space="preserve">4.1.9 </w:t>
      </w:r>
      <w:r w:rsidRPr="001F4265">
        <w:tab/>
        <w:t>Information on completeness</w:t>
      </w:r>
    </w:p>
    <w:p w14:paraId="09C47A27" w14:textId="77777777" w:rsidR="003A5396" w:rsidRPr="001F4265" w:rsidRDefault="003A5396" w:rsidP="003A5396">
      <w:pPr>
        <w:pStyle w:val="Heading4"/>
        <w:spacing w:before="180"/>
      </w:pPr>
      <w:r w:rsidRPr="001F4265">
        <w:t>Emissions reported as ‘NE’ or ‘not estimated’</w:t>
      </w:r>
    </w:p>
    <w:p w14:paraId="518EE7C2" w14:textId="77777777" w:rsidR="003A5396" w:rsidRPr="001F4265" w:rsidRDefault="003A5396" w:rsidP="003A5396">
      <w:pPr>
        <w:pStyle w:val="BodyText"/>
      </w:pPr>
      <w:r w:rsidRPr="001F4265">
        <w:t xml:space="preserve">Table 4.1.4 summarises New Zealand’s direct greenhouse emissions for the IPPU sector reported as ‘NE’ in the </w:t>
      </w:r>
      <w:r w:rsidRPr="003200C2">
        <w:t>2026</w:t>
      </w:r>
      <w:r w:rsidRPr="001F4265">
        <w:t xml:space="preserve"> submission.</w:t>
      </w:r>
    </w:p>
    <w:p w14:paraId="725DEEA7" w14:textId="77777777" w:rsidR="003A5396" w:rsidRPr="001F4265" w:rsidRDefault="003A5396" w:rsidP="003A5396">
      <w:pPr>
        <w:pStyle w:val="Table"/>
      </w:pPr>
      <w:bookmarkStart w:id="464" w:name="_Toc226668970"/>
      <w:r w:rsidRPr="001F4265">
        <w:t xml:space="preserve">Table 4.1.4 </w:t>
      </w:r>
      <w:r w:rsidRPr="001F4265">
        <w:tab/>
        <w:t>Summary of ‘NE’ or ‘not estimated’ entries for the IPPU sector in the 2026 submission</w:t>
      </w:r>
      <w:bookmarkEnd w:id="464"/>
    </w:p>
    <w:tbl>
      <w:tblPr>
        <w:tblW w:w="8562" w:type="dxa"/>
        <w:tblBorders>
          <w:top w:val="single" w:sz="4" w:space="0" w:color="1C556C" w:themeColor="accent1"/>
          <w:bottom w:val="single" w:sz="4" w:space="0" w:color="1C556C" w:themeColor="accent1"/>
          <w:insideH w:val="single" w:sz="4" w:space="0" w:color="1C556C" w:themeColor="accent1"/>
        </w:tblBorders>
        <w:tblLook w:val="0420" w:firstRow="1" w:lastRow="0" w:firstColumn="0" w:lastColumn="0" w:noHBand="0" w:noVBand="1"/>
      </w:tblPr>
      <w:tblGrid>
        <w:gridCol w:w="1701"/>
        <w:gridCol w:w="1555"/>
        <w:gridCol w:w="431"/>
        <w:gridCol w:w="4875"/>
      </w:tblGrid>
      <w:tr w:rsidR="003A5396" w:rsidRPr="001F4265" w14:paraId="2E289C09" w14:textId="77777777" w:rsidTr="00C97586">
        <w:trPr>
          <w:tblHeader/>
        </w:trPr>
        <w:tc>
          <w:tcPr>
            <w:tcW w:w="1701" w:type="dxa"/>
            <w:shd w:val="clear" w:color="auto" w:fill="1C556C" w:themeFill="accent1"/>
            <w:tcMar>
              <w:top w:w="0" w:type="dxa"/>
              <w:left w:w="85" w:type="dxa"/>
              <w:bottom w:w="0" w:type="dxa"/>
              <w:right w:w="85" w:type="dxa"/>
            </w:tcMar>
            <w:vAlign w:val="center"/>
          </w:tcPr>
          <w:p w14:paraId="189977DA"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CRT category code</w:t>
            </w:r>
          </w:p>
        </w:tc>
        <w:tc>
          <w:tcPr>
            <w:tcW w:w="1555" w:type="dxa"/>
            <w:shd w:val="clear" w:color="auto" w:fill="1C556C" w:themeFill="accent1"/>
            <w:tcMar>
              <w:top w:w="0" w:type="dxa"/>
              <w:left w:w="85" w:type="dxa"/>
              <w:bottom w:w="0" w:type="dxa"/>
              <w:right w:w="85" w:type="dxa"/>
            </w:tcMar>
            <w:vAlign w:val="center"/>
          </w:tcPr>
          <w:p w14:paraId="5297B159"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Category</w:t>
            </w:r>
          </w:p>
        </w:tc>
        <w:tc>
          <w:tcPr>
            <w:tcW w:w="431" w:type="dxa"/>
            <w:shd w:val="clear" w:color="auto" w:fill="1C556C" w:themeFill="accent1"/>
            <w:tcMar>
              <w:top w:w="0" w:type="dxa"/>
              <w:left w:w="85" w:type="dxa"/>
              <w:bottom w:w="0" w:type="dxa"/>
              <w:right w:w="85" w:type="dxa"/>
            </w:tcMar>
            <w:vAlign w:val="center"/>
          </w:tcPr>
          <w:p w14:paraId="207B844B"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Gas</w:t>
            </w:r>
          </w:p>
        </w:tc>
        <w:tc>
          <w:tcPr>
            <w:tcW w:w="4875" w:type="dxa"/>
            <w:shd w:val="clear" w:color="auto" w:fill="1C556C" w:themeFill="accent1"/>
            <w:tcMar>
              <w:top w:w="0" w:type="dxa"/>
              <w:left w:w="85" w:type="dxa"/>
              <w:bottom w:w="0" w:type="dxa"/>
              <w:right w:w="85" w:type="dxa"/>
            </w:tcMar>
            <w:vAlign w:val="center"/>
          </w:tcPr>
          <w:p w14:paraId="3D8EE65F"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Explanation</w:t>
            </w:r>
          </w:p>
        </w:tc>
      </w:tr>
      <w:tr w:rsidR="003A5396" w:rsidRPr="001F4265" w14:paraId="1C8331B6" w14:textId="77777777" w:rsidTr="00C97586">
        <w:tc>
          <w:tcPr>
            <w:tcW w:w="1701" w:type="dxa"/>
            <w:shd w:val="clear" w:color="auto" w:fill="FFFFFF" w:themeFill="background1"/>
            <w:tcMar>
              <w:top w:w="0" w:type="dxa"/>
              <w:left w:w="85" w:type="dxa"/>
              <w:bottom w:w="0" w:type="dxa"/>
              <w:right w:w="85" w:type="dxa"/>
            </w:tcMar>
            <w:vAlign w:val="center"/>
          </w:tcPr>
          <w:p w14:paraId="66F6D0B8" w14:textId="77777777" w:rsidR="003A5396" w:rsidRPr="001F4265" w:rsidRDefault="003A5396" w:rsidP="00F16E23">
            <w:pPr>
              <w:pStyle w:val="TableText"/>
              <w:spacing w:before="40" w:after="40"/>
            </w:pPr>
            <w:r w:rsidRPr="001F4265">
              <w:rPr>
                <w:rFonts w:eastAsia="Calibri"/>
              </w:rPr>
              <w:t>Industrial Processes and Product Use</w:t>
            </w:r>
          </w:p>
        </w:tc>
        <w:tc>
          <w:tcPr>
            <w:tcW w:w="1555" w:type="dxa"/>
            <w:shd w:val="clear" w:color="auto" w:fill="FFFFFF" w:themeFill="background1"/>
            <w:tcMar>
              <w:top w:w="0" w:type="dxa"/>
              <w:left w:w="85" w:type="dxa"/>
              <w:bottom w:w="0" w:type="dxa"/>
              <w:right w:w="85" w:type="dxa"/>
            </w:tcMar>
            <w:vAlign w:val="center"/>
          </w:tcPr>
          <w:p w14:paraId="25B21FAD" w14:textId="77777777" w:rsidR="003A5396" w:rsidRPr="001F4265" w:rsidRDefault="003A5396" w:rsidP="00F16E23">
            <w:pPr>
              <w:pStyle w:val="TableText"/>
              <w:spacing w:before="40" w:after="40"/>
            </w:pPr>
          </w:p>
        </w:tc>
        <w:tc>
          <w:tcPr>
            <w:tcW w:w="431" w:type="dxa"/>
            <w:shd w:val="clear" w:color="auto" w:fill="FFFFFF" w:themeFill="background1"/>
            <w:tcMar>
              <w:top w:w="0" w:type="dxa"/>
              <w:left w:w="85" w:type="dxa"/>
              <w:bottom w:w="0" w:type="dxa"/>
              <w:right w:w="85" w:type="dxa"/>
            </w:tcMar>
            <w:vAlign w:val="center"/>
          </w:tcPr>
          <w:p w14:paraId="3D75FADA" w14:textId="77777777" w:rsidR="003A5396" w:rsidRPr="001F4265" w:rsidRDefault="003A5396" w:rsidP="00F16E23">
            <w:pPr>
              <w:pStyle w:val="TableText"/>
              <w:spacing w:before="40" w:after="40"/>
            </w:pPr>
          </w:p>
        </w:tc>
        <w:tc>
          <w:tcPr>
            <w:tcW w:w="4875" w:type="dxa"/>
            <w:shd w:val="clear" w:color="auto" w:fill="FFFFFF" w:themeFill="background1"/>
            <w:tcMar>
              <w:top w:w="0" w:type="dxa"/>
              <w:left w:w="85" w:type="dxa"/>
              <w:bottom w:w="0" w:type="dxa"/>
              <w:right w:w="85" w:type="dxa"/>
            </w:tcMar>
            <w:vAlign w:val="center"/>
          </w:tcPr>
          <w:p w14:paraId="72255037" w14:textId="77777777" w:rsidR="003A5396" w:rsidRPr="001F4265" w:rsidRDefault="003A5396" w:rsidP="00F16E23">
            <w:pPr>
              <w:pStyle w:val="TableText"/>
              <w:spacing w:before="40" w:after="40"/>
            </w:pPr>
          </w:p>
        </w:tc>
      </w:tr>
      <w:tr w:rsidR="003A5396" w:rsidRPr="001F4265" w14:paraId="2EAA3538" w14:textId="77777777" w:rsidTr="00C97586">
        <w:tc>
          <w:tcPr>
            <w:tcW w:w="1701" w:type="dxa"/>
            <w:shd w:val="clear" w:color="auto" w:fill="FFFFFF" w:themeFill="background1"/>
            <w:tcMar>
              <w:top w:w="0" w:type="dxa"/>
              <w:left w:w="85" w:type="dxa"/>
              <w:bottom w:w="0" w:type="dxa"/>
              <w:right w:w="85" w:type="dxa"/>
            </w:tcMar>
            <w:vAlign w:val="center"/>
          </w:tcPr>
          <w:p w14:paraId="7016E3F6" w14:textId="77777777" w:rsidR="003A5396" w:rsidRPr="001F4265" w:rsidRDefault="003A5396" w:rsidP="00F16E23">
            <w:pPr>
              <w:pStyle w:val="TableText"/>
              <w:spacing w:before="40" w:after="40"/>
            </w:pPr>
            <w:r w:rsidRPr="001F4265">
              <w:rPr>
                <w:rFonts w:eastAsia="Calibri"/>
              </w:rPr>
              <w:t>2.G.2.e</w:t>
            </w:r>
          </w:p>
        </w:tc>
        <w:tc>
          <w:tcPr>
            <w:tcW w:w="1555" w:type="dxa"/>
            <w:shd w:val="clear" w:color="auto" w:fill="FFFFFF" w:themeFill="background1"/>
            <w:tcMar>
              <w:top w:w="0" w:type="dxa"/>
              <w:left w:w="85" w:type="dxa"/>
              <w:bottom w:w="0" w:type="dxa"/>
              <w:right w:w="85" w:type="dxa"/>
            </w:tcMar>
            <w:vAlign w:val="center"/>
          </w:tcPr>
          <w:p w14:paraId="39345432" w14:textId="77777777" w:rsidR="003A5396" w:rsidRPr="001F4265" w:rsidRDefault="003A5396" w:rsidP="00F16E23">
            <w:pPr>
              <w:pStyle w:val="TableText"/>
              <w:spacing w:before="40" w:after="40"/>
            </w:pPr>
            <w:r w:rsidRPr="001F4265">
              <w:rPr>
                <w:rFonts w:eastAsia="Calibri"/>
              </w:rPr>
              <w:t>Medical and other product use</w:t>
            </w:r>
          </w:p>
        </w:tc>
        <w:tc>
          <w:tcPr>
            <w:tcW w:w="431" w:type="dxa"/>
            <w:shd w:val="clear" w:color="auto" w:fill="FFFFFF" w:themeFill="background1"/>
            <w:tcMar>
              <w:top w:w="0" w:type="dxa"/>
              <w:left w:w="85" w:type="dxa"/>
              <w:bottom w:w="0" w:type="dxa"/>
              <w:right w:w="85" w:type="dxa"/>
            </w:tcMar>
            <w:vAlign w:val="center"/>
          </w:tcPr>
          <w:p w14:paraId="278ED782" w14:textId="77777777" w:rsidR="003A5396" w:rsidRPr="001F4265" w:rsidRDefault="003A5396" w:rsidP="00F16E23">
            <w:pPr>
              <w:pStyle w:val="TableText"/>
              <w:spacing w:before="40" w:after="40"/>
            </w:pPr>
            <w:r w:rsidRPr="001F4265">
              <w:rPr>
                <w:rFonts w:eastAsia="Calibri"/>
                <w:color w:val="000000" w:themeColor="text1"/>
              </w:rPr>
              <w:t>C</w:t>
            </w:r>
            <w:r w:rsidRPr="001F4265">
              <w:rPr>
                <w:rFonts w:eastAsia="Calibri"/>
                <w:color w:val="000000" w:themeColor="text1"/>
                <w:vertAlign w:val="subscript"/>
              </w:rPr>
              <w:t>2</w:t>
            </w:r>
            <w:r w:rsidRPr="001F4265">
              <w:rPr>
                <w:rFonts w:eastAsia="Calibri"/>
                <w:color w:val="000000" w:themeColor="text1"/>
              </w:rPr>
              <w:t>F</w:t>
            </w:r>
            <w:r w:rsidRPr="001F4265">
              <w:rPr>
                <w:rFonts w:eastAsia="Calibri"/>
                <w:color w:val="000000" w:themeColor="text1"/>
                <w:vertAlign w:val="subscript"/>
              </w:rPr>
              <w:t>6</w:t>
            </w:r>
          </w:p>
        </w:tc>
        <w:tc>
          <w:tcPr>
            <w:tcW w:w="4875" w:type="dxa"/>
            <w:shd w:val="clear" w:color="auto" w:fill="FFFFFF" w:themeFill="background1"/>
            <w:tcMar>
              <w:top w:w="0" w:type="dxa"/>
              <w:left w:w="85" w:type="dxa"/>
              <w:bottom w:w="0" w:type="dxa"/>
              <w:right w:w="85" w:type="dxa"/>
            </w:tcMar>
            <w:vAlign w:val="center"/>
          </w:tcPr>
          <w:p w14:paraId="2DEE6BCC" w14:textId="77777777" w:rsidR="003A5396" w:rsidRPr="001F4265" w:rsidRDefault="003A5396" w:rsidP="00F16E23">
            <w:pPr>
              <w:pStyle w:val="TableText"/>
              <w:spacing w:before="40" w:after="40"/>
            </w:pPr>
            <w:r w:rsidRPr="001F4265">
              <w:rPr>
                <w:rFonts w:eastAsia="Calibri"/>
                <w:color w:val="000000" w:themeColor="text1"/>
              </w:rPr>
              <w:t>In accordance with chapter II of the Annex to the decision 18/CMA.1 (UNFCCC, 2018), this category is not mandatory. The level of emissions from this source has been determined to be insignificant in comparison with national emissions. No activity data are available before 2011. Based on 2011 to 2022 data, emissions of perfluoroethane (C</w:t>
            </w:r>
            <w:r w:rsidRPr="001F4265">
              <w:rPr>
                <w:rFonts w:eastAsia="Calibri"/>
                <w:color w:val="000000" w:themeColor="text1"/>
                <w:vertAlign w:val="subscript"/>
              </w:rPr>
              <w:t>2</w:t>
            </w:r>
            <w:r w:rsidRPr="001F4265">
              <w:rPr>
                <w:rFonts w:eastAsia="Calibri"/>
                <w:color w:val="000000" w:themeColor="text1"/>
              </w:rPr>
              <w:t>F</w:t>
            </w:r>
            <w:r w:rsidRPr="001F4265">
              <w:rPr>
                <w:rFonts w:eastAsia="Calibri"/>
                <w:color w:val="000000" w:themeColor="text1"/>
                <w:vertAlign w:val="subscript"/>
              </w:rPr>
              <w:t>6</w:t>
            </w:r>
            <w:r w:rsidRPr="001F4265">
              <w:rPr>
                <w:rFonts w:eastAsia="Calibri"/>
                <w:color w:val="000000" w:themeColor="text1"/>
              </w:rPr>
              <w:t xml:space="preserve">) from </w:t>
            </w:r>
            <w:r w:rsidRPr="001F4265">
              <w:rPr>
                <w:rFonts w:eastAsia="Calibri"/>
                <w:i/>
                <w:iCs/>
                <w:color w:val="000000" w:themeColor="text1"/>
              </w:rPr>
              <w:t>Medical and other product use</w:t>
            </w:r>
            <w:r w:rsidRPr="001F4265">
              <w:rPr>
                <w:rFonts w:eastAsia="Calibri"/>
                <w:color w:val="000000" w:themeColor="text1"/>
              </w:rPr>
              <w:t xml:space="preserve"> are estimated to be approximately 2.6 tonnes carbon dioxide equivalent (t CO</w:t>
            </w:r>
            <w:r w:rsidRPr="001F4265">
              <w:rPr>
                <w:rFonts w:eastAsia="Calibri"/>
                <w:color w:val="000000" w:themeColor="text1"/>
                <w:vertAlign w:val="subscript"/>
              </w:rPr>
              <w:t>2</w:t>
            </w:r>
            <w:r w:rsidRPr="001F4265">
              <w:rPr>
                <w:rFonts w:eastAsia="Calibri"/>
                <w:color w:val="000000" w:themeColor="text1"/>
              </w:rPr>
              <w:t>e) per annum, which is below the significance threshold.</w:t>
            </w:r>
          </w:p>
        </w:tc>
      </w:tr>
      <w:tr w:rsidR="003A5396" w:rsidRPr="001F4265" w14:paraId="4065C0D8" w14:textId="77777777" w:rsidTr="00C97586">
        <w:tc>
          <w:tcPr>
            <w:tcW w:w="1701" w:type="dxa"/>
            <w:shd w:val="clear" w:color="auto" w:fill="FFFFFF" w:themeFill="background1"/>
            <w:tcMar>
              <w:top w:w="0" w:type="dxa"/>
              <w:left w:w="85" w:type="dxa"/>
              <w:bottom w:w="0" w:type="dxa"/>
              <w:right w:w="85" w:type="dxa"/>
            </w:tcMar>
            <w:vAlign w:val="center"/>
          </w:tcPr>
          <w:p w14:paraId="52C88374" w14:textId="77777777" w:rsidR="003A5396" w:rsidRPr="001F4265" w:rsidRDefault="003A5396" w:rsidP="00F16E23">
            <w:pPr>
              <w:pStyle w:val="TableText"/>
              <w:spacing w:before="40" w:after="40"/>
            </w:pPr>
            <w:r w:rsidRPr="001F4265">
              <w:rPr>
                <w:rFonts w:eastAsia="Calibri"/>
              </w:rPr>
              <w:t>2.G.2.e</w:t>
            </w:r>
          </w:p>
        </w:tc>
        <w:tc>
          <w:tcPr>
            <w:tcW w:w="1555" w:type="dxa"/>
            <w:shd w:val="clear" w:color="auto" w:fill="FFFFFF" w:themeFill="background1"/>
            <w:tcMar>
              <w:top w:w="0" w:type="dxa"/>
              <w:left w:w="85" w:type="dxa"/>
              <w:bottom w:w="0" w:type="dxa"/>
              <w:right w:w="85" w:type="dxa"/>
            </w:tcMar>
            <w:vAlign w:val="center"/>
          </w:tcPr>
          <w:p w14:paraId="7167D85F" w14:textId="77777777" w:rsidR="003A5396" w:rsidRPr="001F4265" w:rsidRDefault="003A5396" w:rsidP="00F16E23">
            <w:pPr>
              <w:pStyle w:val="TableText"/>
              <w:spacing w:before="40" w:after="40"/>
            </w:pPr>
            <w:r w:rsidRPr="001F4265">
              <w:rPr>
                <w:rFonts w:eastAsia="Calibri"/>
              </w:rPr>
              <w:t>Medical and other product use</w:t>
            </w:r>
          </w:p>
        </w:tc>
        <w:tc>
          <w:tcPr>
            <w:tcW w:w="431" w:type="dxa"/>
            <w:shd w:val="clear" w:color="auto" w:fill="FFFFFF" w:themeFill="background1"/>
            <w:tcMar>
              <w:top w:w="0" w:type="dxa"/>
              <w:left w:w="85" w:type="dxa"/>
              <w:bottom w:w="0" w:type="dxa"/>
              <w:right w:w="85" w:type="dxa"/>
            </w:tcMar>
            <w:vAlign w:val="center"/>
          </w:tcPr>
          <w:p w14:paraId="37E4AF8B" w14:textId="77777777" w:rsidR="003A5396" w:rsidRPr="001F4265" w:rsidRDefault="003A5396" w:rsidP="00F16E23">
            <w:pPr>
              <w:pStyle w:val="TableText"/>
              <w:spacing w:before="40" w:after="40"/>
            </w:pPr>
            <w:r w:rsidRPr="001F4265">
              <w:rPr>
                <w:rFonts w:eastAsia="Calibri"/>
                <w:color w:val="000000" w:themeColor="text1"/>
              </w:rPr>
              <w:t>C</w:t>
            </w:r>
            <w:r w:rsidRPr="001F4265">
              <w:rPr>
                <w:rFonts w:eastAsia="Calibri"/>
                <w:color w:val="000000" w:themeColor="text1"/>
                <w:vertAlign w:val="subscript"/>
              </w:rPr>
              <w:t>3</w:t>
            </w:r>
            <w:r w:rsidRPr="001F4265">
              <w:rPr>
                <w:rFonts w:eastAsia="Calibri"/>
                <w:color w:val="000000" w:themeColor="text1"/>
              </w:rPr>
              <w:t>F</w:t>
            </w:r>
            <w:r w:rsidRPr="001F4265">
              <w:rPr>
                <w:rFonts w:eastAsia="Calibri"/>
                <w:color w:val="000000" w:themeColor="text1"/>
                <w:vertAlign w:val="subscript"/>
              </w:rPr>
              <w:t>8</w:t>
            </w:r>
          </w:p>
        </w:tc>
        <w:tc>
          <w:tcPr>
            <w:tcW w:w="4875" w:type="dxa"/>
            <w:shd w:val="clear" w:color="auto" w:fill="FFFFFF" w:themeFill="background1"/>
            <w:tcMar>
              <w:top w:w="0" w:type="dxa"/>
              <w:left w:w="85" w:type="dxa"/>
              <w:bottom w:w="0" w:type="dxa"/>
              <w:right w:w="85" w:type="dxa"/>
            </w:tcMar>
            <w:vAlign w:val="center"/>
          </w:tcPr>
          <w:p w14:paraId="5B2F4B39" w14:textId="77777777" w:rsidR="003A5396" w:rsidRPr="001F4265" w:rsidRDefault="003A5396" w:rsidP="00F16E23">
            <w:pPr>
              <w:pStyle w:val="TableText"/>
              <w:spacing w:before="40" w:after="40"/>
            </w:pPr>
            <w:r w:rsidRPr="001F4265">
              <w:rPr>
                <w:rFonts w:eastAsia="Calibri"/>
                <w:color w:val="000000" w:themeColor="text1"/>
              </w:rPr>
              <w:t>In accordance with chapter II of the Annex to the decision 18/CMA.1 (UNFCCC, 2018), this category is not mandatory. The level of emissions from this source has been determined to be insignificant in comparison with national emissions. No activity data are available before 2011. Based on 2011 to 2022 data, emissions of perfluoropropane (C</w:t>
            </w:r>
            <w:r w:rsidRPr="001F4265">
              <w:rPr>
                <w:rFonts w:eastAsia="Calibri"/>
                <w:color w:val="000000" w:themeColor="text1"/>
                <w:vertAlign w:val="subscript"/>
              </w:rPr>
              <w:t>3</w:t>
            </w:r>
            <w:r w:rsidRPr="001F4265">
              <w:rPr>
                <w:rFonts w:eastAsia="Calibri"/>
                <w:color w:val="000000" w:themeColor="text1"/>
              </w:rPr>
              <w:t>F</w:t>
            </w:r>
            <w:r w:rsidRPr="001F4265">
              <w:rPr>
                <w:rFonts w:eastAsia="Calibri"/>
                <w:color w:val="000000" w:themeColor="text1"/>
                <w:vertAlign w:val="subscript"/>
              </w:rPr>
              <w:t>8</w:t>
            </w:r>
            <w:r w:rsidRPr="001F4265">
              <w:rPr>
                <w:rFonts w:eastAsia="Calibri"/>
                <w:color w:val="000000" w:themeColor="text1"/>
              </w:rPr>
              <w:t xml:space="preserve">) from </w:t>
            </w:r>
            <w:r w:rsidRPr="001F4265">
              <w:rPr>
                <w:rFonts w:eastAsia="Calibri"/>
                <w:i/>
                <w:iCs/>
                <w:color w:val="000000" w:themeColor="text1"/>
              </w:rPr>
              <w:t>Medical</w:t>
            </w:r>
            <w:r w:rsidRPr="001F4265">
              <w:rPr>
                <w:rFonts w:eastAsia="Calibri"/>
                <w:color w:val="000000" w:themeColor="text1"/>
              </w:rPr>
              <w:t xml:space="preserve"> </w:t>
            </w:r>
            <w:r w:rsidRPr="001F4265">
              <w:rPr>
                <w:rFonts w:eastAsia="Calibri"/>
                <w:i/>
                <w:iCs/>
                <w:color w:val="000000" w:themeColor="text1"/>
              </w:rPr>
              <w:t>and other product use</w:t>
            </w:r>
            <w:r w:rsidRPr="001F4265">
              <w:rPr>
                <w:rFonts w:eastAsia="Calibri"/>
                <w:color w:val="000000" w:themeColor="text1"/>
              </w:rPr>
              <w:t xml:space="preserve"> are estimated to be approximately 2.7 t CO</w:t>
            </w:r>
            <w:r w:rsidRPr="001F4265">
              <w:rPr>
                <w:rFonts w:eastAsia="Calibri"/>
                <w:color w:val="000000" w:themeColor="text1"/>
                <w:vertAlign w:val="subscript"/>
              </w:rPr>
              <w:t>2</w:t>
            </w:r>
            <w:r w:rsidRPr="001F4265">
              <w:rPr>
                <w:rFonts w:eastAsia="Calibri"/>
                <w:color w:val="000000" w:themeColor="text1"/>
              </w:rPr>
              <w:t>e per annum, which is below the significance threshold.</w:t>
            </w:r>
          </w:p>
        </w:tc>
      </w:tr>
    </w:tbl>
    <w:p w14:paraId="1AA3F0F8" w14:textId="77777777" w:rsidR="003A5396" w:rsidRPr="001F4265" w:rsidRDefault="003A5396" w:rsidP="003A5396">
      <w:pPr>
        <w:pStyle w:val="Heading4"/>
        <w:spacing w:before="440"/>
      </w:pPr>
      <w:r w:rsidRPr="001F4265">
        <w:t>Emissions reported as ‘IE’ or included elsewhere</w:t>
      </w:r>
    </w:p>
    <w:p w14:paraId="1E600D0C" w14:textId="77777777" w:rsidR="003A5396" w:rsidRPr="001F4265" w:rsidRDefault="003A5396" w:rsidP="003A5396">
      <w:pPr>
        <w:pStyle w:val="BodyText"/>
      </w:pPr>
      <w:r w:rsidRPr="001F4265">
        <w:t>Table 4.1.5 details where the notation key ‘IE’ or ‘included elsewhere’ has been used in this submission of the Inventory for the IPPU sector.</w:t>
      </w:r>
    </w:p>
    <w:p w14:paraId="65E14C9D" w14:textId="77777777" w:rsidR="003A5396" w:rsidRPr="001F4265" w:rsidRDefault="003A5396" w:rsidP="003A5396">
      <w:pPr>
        <w:pStyle w:val="Table"/>
      </w:pPr>
      <w:bookmarkStart w:id="465" w:name="_Toc226668971"/>
      <w:r w:rsidRPr="001F4265">
        <w:t xml:space="preserve">Table 4.1.5 </w:t>
      </w:r>
      <w:r w:rsidRPr="001F4265">
        <w:tab/>
        <w:t>Emissions reported using the ‘IE’ or included elsewhere notation key in the 2026 submission for the IPPU sector</w:t>
      </w:r>
      <w:bookmarkEnd w:id="465"/>
    </w:p>
    <w:tbl>
      <w:tblPr>
        <w:tblW w:w="8494"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1560"/>
        <w:gridCol w:w="1275"/>
        <w:gridCol w:w="1701"/>
        <w:gridCol w:w="3958"/>
      </w:tblGrid>
      <w:tr w:rsidR="003A5396" w:rsidRPr="001F4265" w14:paraId="3583BA6C" w14:textId="77777777" w:rsidTr="00F16E23">
        <w:trPr>
          <w:tblHeader/>
        </w:trPr>
        <w:tc>
          <w:tcPr>
            <w:tcW w:w="1560" w:type="dxa"/>
            <w:shd w:val="clear" w:color="auto" w:fill="1B556B"/>
            <w:tcMar>
              <w:top w:w="0" w:type="dxa"/>
              <w:left w:w="85" w:type="dxa"/>
              <w:bottom w:w="0" w:type="dxa"/>
              <w:right w:w="85" w:type="dxa"/>
            </w:tcMar>
            <w:vAlign w:val="bottom"/>
          </w:tcPr>
          <w:p w14:paraId="0F451946"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CRT category code </w:t>
            </w:r>
          </w:p>
        </w:tc>
        <w:tc>
          <w:tcPr>
            <w:tcW w:w="1275" w:type="dxa"/>
            <w:shd w:val="clear" w:color="auto" w:fill="1B556B"/>
            <w:tcMar>
              <w:top w:w="0" w:type="dxa"/>
              <w:left w:w="85" w:type="dxa"/>
              <w:bottom w:w="0" w:type="dxa"/>
              <w:right w:w="85" w:type="dxa"/>
            </w:tcMar>
            <w:vAlign w:val="bottom"/>
          </w:tcPr>
          <w:p w14:paraId="68E75E08"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Category </w:t>
            </w:r>
          </w:p>
        </w:tc>
        <w:tc>
          <w:tcPr>
            <w:tcW w:w="1701" w:type="dxa"/>
            <w:shd w:val="clear" w:color="auto" w:fill="1B556B"/>
            <w:tcMar>
              <w:top w:w="0" w:type="dxa"/>
              <w:left w:w="85" w:type="dxa"/>
              <w:bottom w:w="0" w:type="dxa"/>
              <w:right w:w="85" w:type="dxa"/>
            </w:tcMar>
            <w:vAlign w:val="bottom"/>
          </w:tcPr>
          <w:p w14:paraId="0F0F3D50"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Source category reported under</w:t>
            </w:r>
          </w:p>
        </w:tc>
        <w:tc>
          <w:tcPr>
            <w:tcW w:w="3958" w:type="dxa"/>
            <w:shd w:val="clear" w:color="auto" w:fill="1B556B"/>
            <w:tcMar>
              <w:top w:w="0" w:type="dxa"/>
              <w:left w:w="85" w:type="dxa"/>
              <w:bottom w:w="0" w:type="dxa"/>
              <w:right w:w="85" w:type="dxa"/>
            </w:tcMar>
            <w:vAlign w:val="bottom"/>
          </w:tcPr>
          <w:p w14:paraId="56AFE8D3"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Notation key explanation </w:t>
            </w:r>
          </w:p>
        </w:tc>
      </w:tr>
      <w:tr w:rsidR="003A5396" w:rsidRPr="001F4265" w14:paraId="14FA863C" w14:textId="77777777" w:rsidTr="00F16E23">
        <w:tc>
          <w:tcPr>
            <w:tcW w:w="1560" w:type="dxa"/>
            <w:shd w:val="clear" w:color="auto" w:fill="FFFFFF"/>
            <w:tcMar>
              <w:top w:w="0" w:type="dxa"/>
              <w:left w:w="85" w:type="dxa"/>
              <w:bottom w:w="0" w:type="dxa"/>
              <w:right w:w="85" w:type="dxa"/>
            </w:tcMar>
            <w:vAlign w:val="center"/>
          </w:tcPr>
          <w:p w14:paraId="19939DEC" w14:textId="77777777" w:rsidR="003A5396" w:rsidRPr="001F4265" w:rsidRDefault="003A5396" w:rsidP="00F16E23">
            <w:pPr>
              <w:pStyle w:val="TableText"/>
            </w:pPr>
            <w:r w:rsidRPr="001F4265">
              <w:rPr>
                <w:rFonts w:eastAsia="Calibri"/>
              </w:rPr>
              <w:t>Industrial Processes and Product Use</w:t>
            </w:r>
          </w:p>
        </w:tc>
        <w:tc>
          <w:tcPr>
            <w:tcW w:w="1275" w:type="dxa"/>
            <w:shd w:val="clear" w:color="auto" w:fill="FFFFFF"/>
            <w:tcMar>
              <w:top w:w="0" w:type="dxa"/>
              <w:left w:w="85" w:type="dxa"/>
              <w:bottom w:w="0" w:type="dxa"/>
              <w:right w:w="85" w:type="dxa"/>
            </w:tcMar>
          </w:tcPr>
          <w:p w14:paraId="4F1E34A9" w14:textId="77777777" w:rsidR="003A5396" w:rsidRPr="001F4265" w:rsidRDefault="003A5396" w:rsidP="00F16E23">
            <w:pPr>
              <w:pStyle w:val="TableText"/>
            </w:pPr>
          </w:p>
        </w:tc>
        <w:tc>
          <w:tcPr>
            <w:tcW w:w="1701" w:type="dxa"/>
            <w:shd w:val="clear" w:color="auto" w:fill="FFFFFF"/>
            <w:tcMar>
              <w:top w:w="0" w:type="dxa"/>
              <w:left w:w="85" w:type="dxa"/>
              <w:bottom w:w="0" w:type="dxa"/>
              <w:right w:w="85" w:type="dxa"/>
            </w:tcMar>
          </w:tcPr>
          <w:p w14:paraId="54D70DA3" w14:textId="77777777" w:rsidR="003A5396" w:rsidRPr="001F4265" w:rsidRDefault="003A5396" w:rsidP="00F16E23">
            <w:pPr>
              <w:pStyle w:val="TableText"/>
            </w:pPr>
          </w:p>
        </w:tc>
        <w:tc>
          <w:tcPr>
            <w:tcW w:w="3958" w:type="dxa"/>
            <w:shd w:val="clear" w:color="auto" w:fill="FFFFFF"/>
            <w:tcMar>
              <w:top w:w="0" w:type="dxa"/>
              <w:left w:w="85" w:type="dxa"/>
              <w:bottom w:w="0" w:type="dxa"/>
              <w:right w:w="85" w:type="dxa"/>
            </w:tcMar>
          </w:tcPr>
          <w:p w14:paraId="593302AD" w14:textId="77777777" w:rsidR="003A5396" w:rsidRPr="001F4265" w:rsidRDefault="003A5396" w:rsidP="00F16E23">
            <w:pPr>
              <w:pStyle w:val="TableText"/>
            </w:pPr>
          </w:p>
        </w:tc>
      </w:tr>
      <w:tr w:rsidR="003A5396" w:rsidRPr="001F4265" w14:paraId="54F5AF05" w14:textId="77777777" w:rsidTr="00F16E23">
        <w:tc>
          <w:tcPr>
            <w:tcW w:w="1560" w:type="dxa"/>
            <w:shd w:val="clear" w:color="auto" w:fill="FFFFFF"/>
            <w:tcMar>
              <w:top w:w="0" w:type="dxa"/>
              <w:left w:w="85" w:type="dxa"/>
              <w:bottom w:w="0" w:type="dxa"/>
              <w:right w:w="85" w:type="dxa"/>
            </w:tcMar>
            <w:vAlign w:val="center"/>
          </w:tcPr>
          <w:p w14:paraId="69FC6809" w14:textId="77777777" w:rsidR="003A5396" w:rsidRPr="001F4265" w:rsidRDefault="003A5396" w:rsidP="00F16E23">
            <w:pPr>
              <w:pStyle w:val="TableText"/>
            </w:pPr>
            <w:r w:rsidRPr="001F4265">
              <w:rPr>
                <w:rFonts w:eastAsia="Calibri"/>
              </w:rPr>
              <w:t>2.A.3 </w:t>
            </w:r>
          </w:p>
        </w:tc>
        <w:tc>
          <w:tcPr>
            <w:tcW w:w="1275" w:type="dxa"/>
            <w:shd w:val="clear" w:color="auto" w:fill="FFFFFF"/>
            <w:tcMar>
              <w:top w:w="0" w:type="dxa"/>
              <w:left w:w="85" w:type="dxa"/>
              <w:bottom w:w="0" w:type="dxa"/>
              <w:right w:w="85" w:type="dxa"/>
            </w:tcMar>
            <w:vAlign w:val="center"/>
          </w:tcPr>
          <w:p w14:paraId="133022F9" w14:textId="77777777" w:rsidR="003A5396" w:rsidRPr="001F4265" w:rsidRDefault="003A5396" w:rsidP="00F16E23">
            <w:pPr>
              <w:pStyle w:val="TableText"/>
            </w:pPr>
            <w:r w:rsidRPr="001F4265">
              <w:rPr>
                <w:rFonts w:eastAsia="Calibri"/>
              </w:rPr>
              <w:t>Glass production</w:t>
            </w:r>
          </w:p>
        </w:tc>
        <w:tc>
          <w:tcPr>
            <w:tcW w:w="1701" w:type="dxa"/>
            <w:shd w:val="clear" w:color="auto" w:fill="FFFFFF"/>
            <w:tcMar>
              <w:top w:w="0" w:type="dxa"/>
              <w:left w:w="85" w:type="dxa"/>
              <w:bottom w:w="0" w:type="dxa"/>
              <w:right w:w="85" w:type="dxa"/>
            </w:tcMar>
            <w:vAlign w:val="center"/>
          </w:tcPr>
          <w:p w14:paraId="38BA6E0B" w14:textId="77777777" w:rsidR="003A5396" w:rsidRPr="001F4265" w:rsidRDefault="003A5396" w:rsidP="00F16E23">
            <w:pPr>
              <w:pStyle w:val="TableText"/>
            </w:pPr>
            <w:r w:rsidRPr="001F4265">
              <w:rPr>
                <w:rFonts w:eastAsia="Calibri"/>
              </w:rPr>
              <w:t>2.A.4.b – Other process uses of carbonates/ Other uses of soda ash</w:t>
            </w:r>
          </w:p>
        </w:tc>
        <w:tc>
          <w:tcPr>
            <w:tcW w:w="3958" w:type="dxa"/>
            <w:shd w:val="clear" w:color="auto" w:fill="FFFFFF"/>
            <w:tcMar>
              <w:top w:w="0" w:type="dxa"/>
              <w:left w:w="85" w:type="dxa"/>
              <w:bottom w:w="0" w:type="dxa"/>
              <w:right w:w="85" w:type="dxa"/>
            </w:tcMar>
          </w:tcPr>
          <w:p w14:paraId="631C6FB0" w14:textId="77777777" w:rsidR="003A5396" w:rsidRPr="001F4265" w:rsidRDefault="003A5396" w:rsidP="00F16E23">
            <w:pPr>
              <w:pStyle w:val="TableText"/>
            </w:pPr>
            <w:r w:rsidRPr="001F4265">
              <w:rPr>
                <w:rFonts w:eastAsia="Calibri"/>
              </w:rPr>
              <w:t>Carbon dioxide emissions are reported in 2.A.4.b because this aggregates emissions from glass production with other uses of carbonates, due to confidentiality concerns for both glass and aluminium production. A very small number of firms in New Zealand are involved in these activities and using carbonates. </w:t>
            </w:r>
          </w:p>
        </w:tc>
      </w:tr>
    </w:tbl>
    <w:p w14:paraId="704824DC" w14:textId="77777777" w:rsidR="003A5396" w:rsidRPr="001F4265" w:rsidRDefault="003A5396" w:rsidP="003A5396">
      <w:pPr>
        <w:pStyle w:val="Heading2"/>
        <w:spacing w:before="480"/>
      </w:pPr>
      <w:bookmarkStart w:id="466" w:name="_Toc226460759"/>
      <w:bookmarkStart w:id="467" w:name="mineral-industry-2.a"/>
      <w:r w:rsidRPr="001F4265">
        <w:t xml:space="preserve">4.2 </w:t>
      </w:r>
      <w:r w:rsidRPr="001F4265">
        <w:tab/>
        <w:t>Mineral industry (2.A)</w:t>
      </w:r>
      <w:bookmarkEnd w:id="466"/>
    </w:p>
    <w:p w14:paraId="1ABB0828" w14:textId="77777777" w:rsidR="003A5396" w:rsidRPr="001F4265" w:rsidRDefault="003A5396" w:rsidP="003A5396">
      <w:pPr>
        <w:pStyle w:val="Heading3"/>
        <w:spacing w:before="240"/>
      </w:pPr>
      <w:r w:rsidRPr="001F4265">
        <w:t xml:space="preserve">4.2.1 </w:t>
      </w:r>
      <w:r w:rsidRPr="001F4265">
        <w:tab/>
        <w:t>Description</w:t>
      </w:r>
    </w:p>
    <w:p w14:paraId="1434A04E" w14:textId="77777777" w:rsidR="003A5396" w:rsidRPr="001F4265" w:rsidRDefault="003A5396" w:rsidP="003A5396">
      <w:pPr>
        <w:pStyle w:val="BodyText"/>
      </w:pPr>
      <w:r w:rsidRPr="001F4265">
        <w:t xml:space="preserve">Emissions from the </w:t>
      </w:r>
      <w:r w:rsidRPr="001F4265">
        <w:rPr>
          <w:i/>
          <w:iCs/>
        </w:rPr>
        <w:t>Mineral industry</w:t>
      </w:r>
      <w:r w:rsidRPr="001F4265">
        <w:t xml:space="preserve"> category include CO</w:t>
      </w:r>
      <w:r w:rsidRPr="001F4265">
        <w:rPr>
          <w:vertAlign w:val="subscript"/>
        </w:rPr>
        <w:t>2</w:t>
      </w:r>
      <w:r w:rsidRPr="001F4265">
        <w:t xml:space="preserve"> from the calcination of limestone for cement and lime, and from the use of soda ash and limestone in the production of glass, aluminium, and iron and steel. Only CO</w:t>
      </w:r>
      <w:r w:rsidRPr="001F4265">
        <w:rPr>
          <w:vertAlign w:val="subscript"/>
        </w:rPr>
        <w:t>2</w:t>
      </w:r>
      <w:r w:rsidRPr="001F4265">
        <w:t xml:space="preserve"> from calcination is reported here. Any emissions from the combustion of fuel to provide heat for these activities are reported under the Energy sector.</w:t>
      </w:r>
    </w:p>
    <w:p w14:paraId="41F68589" w14:textId="77777777" w:rsidR="003A5396" w:rsidRPr="001F4265" w:rsidRDefault="003A5396" w:rsidP="003A5396">
      <w:pPr>
        <w:pStyle w:val="BodyText"/>
      </w:pPr>
      <w:r w:rsidRPr="001F4265">
        <w:t>Only one cement production facility is now operating in New Zealand, a dry-process plant operated by Golden Bay Cement Ltd near Whangārei. Holcim New Zealand Ltd operated a wet process cement plant at Cape Foulwind, on the West Coast of the South Island, but this plant was closed at the end of June 2016 and Holcim is now marketing cement made from imported clinker. Another smaller cement company (Lee Cement Ltd) operated only from 1995 to 1998. The New Zealand cement industry produces clinker from the calcination of limestone and processes it into Portland cement or general-purpose cement.</w:t>
      </w:r>
    </w:p>
    <w:p w14:paraId="296DB143" w14:textId="77777777" w:rsidR="003A5396" w:rsidRPr="001F4265" w:rsidRDefault="003A5396" w:rsidP="003A5396">
      <w:pPr>
        <w:pStyle w:val="BodyText"/>
      </w:pPr>
      <w:r w:rsidRPr="001F4265">
        <w:rPr>
          <w:spacing w:val="-2"/>
        </w:rPr>
        <w:t>Three companies (McDonald’s Lime Ltd, Websters Hydrated Lime Company and Perry Resources</w:t>
      </w:r>
      <w:r w:rsidRPr="001F4265">
        <w:t xml:space="preserve"> Ltd) have a history of making burnt and slaked lime at five different facilities in New Zealand. The industry has been consolidated over time and two companies (Graymont New Zealand and Websters Hydrated Lime Company) now produce most of New Zealand’s burnt and slaked lime. Another company (Lee Processors Limited) reported a small amount of emissions for the 2024 year.</w:t>
      </w:r>
    </w:p>
    <w:p w14:paraId="70361EAB" w14:textId="77777777" w:rsidR="003A5396" w:rsidRPr="001F4265" w:rsidRDefault="003A5396" w:rsidP="003A5396">
      <w:pPr>
        <w:pStyle w:val="BodyText"/>
      </w:pPr>
      <w:r w:rsidRPr="001F4265">
        <w:t>Small amounts of indirect emissions (sulphur dioxide (SO</w:t>
      </w:r>
      <w:r w:rsidRPr="001F4265">
        <w:rPr>
          <w:vertAlign w:val="subscript"/>
        </w:rPr>
        <w:t>2</w:t>
      </w:r>
      <w:r w:rsidRPr="001F4265">
        <w:t xml:space="preserve">) only) from the </w:t>
      </w:r>
      <w:r w:rsidRPr="001F4265">
        <w:rPr>
          <w:i/>
          <w:iCs/>
        </w:rPr>
        <w:t>Cement production</w:t>
      </w:r>
      <w:r w:rsidRPr="001F4265">
        <w:t xml:space="preserve"> category are also reported. Some emissions of SO</w:t>
      </w:r>
      <w:r w:rsidRPr="001F4265">
        <w:rPr>
          <w:vertAlign w:val="subscript"/>
        </w:rPr>
        <w:t>2</w:t>
      </w:r>
      <w:r w:rsidRPr="001F4265">
        <w:t xml:space="preserve"> from the </w:t>
      </w:r>
      <w:r w:rsidRPr="001F4265">
        <w:rPr>
          <w:i/>
          <w:iCs/>
        </w:rPr>
        <w:t>Lime production</w:t>
      </w:r>
      <w:r w:rsidRPr="001F4265">
        <w:t xml:space="preserve"> category were estimated in 2006 (CRL Energy, unpublished(a)), but there is currently no provision in the CRTs to report this. Some additional SO</w:t>
      </w:r>
      <w:r w:rsidRPr="001F4265">
        <w:rPr>
          <w:vertAlign w:val="subscript"/>
        </w:rPr>
        <w:t>2</w:t>
      </w:r>
      <w:r w:rsidRPr="001F4265">
        <w:t xml:space="preserve"> is derived from sulphur in coal or waste oil used as fuel in cement and lime kilns, and this is reported under the Energy sector.</w:t>
      </w:r>
    </w:p>
    <w:p w14:paraId="67438353" w14:textId="77777777" w:rsidR="003A5396" w:rsidRPr="001F4265" w:rsidRDefault="003A5396" w:rsidP="003A5396">
      <w:pPr>
        <w:pStyle w:val="BodyText"/>
      </w:pPr>
      <w:r w:rsidRPr="001F4265">
        <w:t>Two companies make glass in New Zealand, with emissions from the use of soda ash and limestone generated in the process. VISY Glass (formerly O-I) New Zealand makes container glass and Tasman Insulation New Zealand Ltd makes smaller amounts of glass for building insulation products.</w:t>
      </w:r>
    </w:p>
    <w:p w14:paraId="2411F513" w14:textId="77777777" w:rsidR="003A5396" w:rsidRPr="001F4265" w:rsidRDefault="003A5396" w:rsidP="003A5396">
      <w:pPr>
        <w:pStyle w:val="BodyText"/>
      </w:pPr>
      <w:r w:rsidRPr="001F4265">
        <w:t xml:space="preserve">Limestone and soda ash are also used in the steel and aluminium industries and would normally be reported in the </w:t>
      </w:r>
      <w:r w:rsidRPr="001F4265">
        <w:rPr>
          <w:i/>
          <w:iCs/>
        </w:rPr>
        <w:t>Metal industry</w:t>
      </w:r>
      <w:r w:rsidRPr="001F4265">
        <w:t xml:space="preserve"> category. Emissions from this use of mineral inputs are reported in the </w:t>
      </w:r>
      <w:r w:rsidRPr="001F4265">
        <w:rPr>
          <w:i/>
          <w:iCs/>
        </w:rPr>
        <w:t>Mineral industry</w:t>
      </w:r>
      <w:r w:rsidRPr="001F4265">
        <w:t xml:space="preserve"> category (see section 4.2.2); the data are aggregated to protect the confidentiality of data provided by these two glass companies.</w:t>
      </w:r>
    </w:p>
    <w:p w14:paraId="5FF39F49" w14:textId="77777777" w:rsidR="003A5396" w:rsidRPr="001F4265" w:rsidRDefault="003A5396" w:rsidP="003A5396">
      <w:pPr>
        <w:pStyle w:val="BodyText"/>
      </w:pPr>
      <w:r w:rsidRPr="001F4265">
        <w:t>A very small amount of CO</w:t>
      </w:r>
      <w:r w:rsidRPr="001F4265">
        <w:rPr>
          <w:vertAlign w:val="subscript"/>
        </w:rPr>
        <w:t>2</w:t>
      </w:r>
      <w:r w:rsidRPr="001F4265">
        <w:t xml:space="preserve"> is reported from the use of kaolin clays in ceramics production.</w:t>
      </w:r>
    </w:p>
    <w:p w14:paraId="20329501" w14:textId="77777777" w:rsidR="003A5396" w:rsidRPr="001F4265" w:rsidRDefault="003A5396" w:rsidP="003A5396">
      <w:pPr>
        <w:pStyle w:val="BodyText"/>
      </w:pPr>
      <w:r w:rsidRPr="001F4265">
        <w:t xml:space="preserve">The only key category in the </w:t>
      </w:r>
      <w:r w:rsidRPr="001F4265">
        <w:rPr>
          <w:i/>
        </w:rPr>
        <w:t>Mineral industry</w:t>
      </w:r>
      <w:r w:rsidRPr="001F4265">
        <w:t xml:space="preserve"> category is CO</w:t>
      </w:r>
      <w:r w:rsidRPr="001F4265">
        <w:rPr>
          <w:vertAlign w:val="subscript"/>
        </w:rPr>
        <w:t>2</w:t>
      </w:r>
      <w:r w:rsidRPr="001F4265">
        <w:t xml:space="preserve"> emissions from the </w:t>
      </w:r>
      <w:r w:rsidRPr="001F4265">
        <w:rPr>
          <w:i/>
          <w:iCs/>
        </w:rPr>
        <w:t>Cement production</w:t>
      </w:r>
      <w:r w:rsidRPr="001F4265">
        <w:t xml:space="preserve"> category (level and trend assessment).</w:t>
      </w:r>
    </w:p>
    <w:p w14:paraId="4F8B06E7" w14:textId="77777777" w:rsidR="003A5396" w:rsidRPr="001F4265" w:rsidRDefault="003A5396" w:rsidP="003A5396">
      <w:pPr>
        <w:pStyle w:val="BodyText"/>
      </w:pPr>
      <w:r w:rsidRPr="001F4265">
        <w:t xml:space="preserve">In 2024, emissions from the </w:t>
      </w:r>
      <w:r w:rsidRPr="001F4265">
        <w:rPr>
          <w:i/>
          <w:iCs/>
        </w:rPr>
        <w:t>Mineral industry</w:t>
      </w:r>
      <w:r w:rsidRPr="001F4265">
        <w:t xml:space="preserve"> category were 484.0 kt CO</w:t>
      </w:r>
      <w:r w:rsidRPr="001F4265">
        <w:rPr>
          <w:vertAlign w:val="subscript"/>
        </w:rPr>
        <w:t>2</w:t>
      </w:r>
      <w:r w:rsidRPr="001F4265">
        <w:t>e, or 12.4 percent of emissions from the IPPU sector. This is 77.8 kt (13.9 percent) below the 1990 emissions and 272.1 kt (36.0 percent) below the emissions level in 2005. Production of cement, lime and glass containers had previously increased over time, with a peak in 2015 of 869.3 kt CO</w:t>
      </w:r>
      <w:r w:rsidRPr="001F4265">
        <w:rPr>
          <w:vertAlign w:val="subscript"/>
        </w:rPr>
        <w:t>2</w:t>
      </w:r>
      <w:r w:rsidRPr="001F4265">
        <w:t>e. Emissions decreased after 2015 due to the closure of the Holcim cement plant.</w:t>
      </w:r>
    </w:p>
    <w:p w14:paraId="2394A6F5" w14:textId="77777777" w:rsidR="003A5396" w:rsidRPr="001F4265" w:rsidRDefault="003A5396" w:rsidP="003A5396">
      <w:pPr>
        <w:pStyle w:val="Heading3"/>
      </w:pPr>
      <w:r w:rsidRPr="001F4265">
        <w:t xml:space="preserve">4.2.2 </w:t>
      </w:r>
      <w:r w:rsidRPr="001F4265">
        <w:tab/>
        <w:t>Methodological issues</w:t>
      </w:r>
    </w:p>
    <w:p w14:paraId="18D5D315" w14:textId="77777777" w:rsidR="003A5396" w:rsidRPr="001F4265" w:rsidRDefault="003A5396" w:rsidP="003A5396">
      <w:pPr>
        <w:pStyle w:val="Heading4"/>
        <w:spacing w:before="200"/>
      </w:pPr>
      <w:r w:rsidRPr="001F4265">
        <w:t>Choice of activity data</w:t>
      </w:r>
    </w:p>
    <w:p w14:paraId="5E0F8A71" w14:textId="77777777" w:rsidR="003A5396" w:rsidRPr="001F4265" w:rsidRDefault="003A5396" w:rsidP="003A5396">
      <w:pPr>
        <w:pStyle w:val="Heading5"/>
        <w:spacing w:before="180"/>
      </w:pPr>
      <w:bookmarkStart w:id="468" w:name="use-of-nz-ets-data"/>
      <w:r w:rsidRPr="001F4265">
        <w:t>Use of NZ ETS data</w:t>
      </w:r>
    </w:p>
    <w:p w14:paraId="153F0BA3" w14:textId="77777777" w:rsidR="003A5396" w:rsidRPr="001F4265" w:rsidRDefault="003A5396" w:rsidP="003A5396">
      <w:pPr>
        <w:pStyle w:val="BodyText"/>
      </w:pPr>
      <w:r w:rsidRPr="001F4265">
        <w:t>Firms that use limestone or soda ash in the production of clinker, cement, burnt or slaked lime, or glass have had emission reporting obligations under the NZ ETS since 2010. The emission returns submitted by participants in the NZ ETS are the primary source of data for CO</w:t>
      </w:r>
      <w:r w:rsidRPr="001F4265">
        <w:rPr>
          <w:vertAlign w:val="subscript"/>
        </w:rPr>
        <w:t>2</w:t>
      </w:r>
      <w:r w:rsidRPr="001F4265">
        <w:t xml:space="preserve"> emissions from these categories.</w:t>
      </w:r>
    </w:p>
    <w:p w14:paraId="2EAE25FC" w14:textId="77777777" w:rsidR="003A5396" w:rsidRPr="001F4265" w:rsidRDefault="003A5396" w:rsidP="003A5396">
      <w:pPr>
        <w:pStyle w:val="BodyText"/>
      </w:pPr>
      <w:r w:rsidRPr="001F4265">
        <w:t>The EPA administers and audits the emission returns submitted by participants. Data submitted by NZ ETS participants are protected by stringent provisions relating to commercial confidentiality. However, under section 32 and section 149 of the Climate Change Response Act 2002, the inventory agency may request information from the EPA for the purpose of compiling New Zealand’s annual National Inventory Report.</w:t>
      </w:r>
    </w:p>
    <w:p w14:paraId="69F4101B" w14:textId="77777777" w:rsidR="003A5396" w:rsidRPr="001F4265" w:rsidRDefault="003A5396" w:rsidP="003A5396">
      <w:pPr>
        <w:pStyle w:val="BodyText"/>
      </w:pPr>
      <w:r w:rsidRPr="001F4265">
        <w:t>All NZ ETS participants must report their emissions in the calendar year but not all receive or apply for ETS units. This encompasses production of clinker, container glass and burnt lime, including any burnt lime that is subsequently made into slaked lime (calcium hydroxide).</w:t>
      </w:r>
    </w:p>
    <w:p w14:paraId="531ADAA9" w14:textId="77777777" w:rsidR="003A5396" w:rsidRPr="001F4265" w:rsidRDefault="003A5396" w:rsidP="003A5396">
      <w:pPr>
        <w:pStyle w:val="Heading5"/>
      </w:pPr>
      <w:bookmarkStart w:id="469" w:name="cement-production-2.a.1"/>
      <w:bookmarkEnd w:id="468"/>
      <w:r w:rsidRPr="001F4265">
        <w:t>Cement production (2.A.1)</w:t>
      </w:r>
    </w:p>
    <w:p w14:paraId="48437317" w14:textId="77777777" w:rsidR="003A5396" w:rsidRPr="001F4265" w:rsidRDefault="003A5396" w:rsidP="003A5396">
      <w:pPr>
        <w:pStyle w:val="BodyText"/>
      </w:pPr>
      <w:r w:rsidRPr="001F4265">
        <w:t xml:space="preserve">In 2024, emissions from the </w:t>
      </w:r>
      <w:r w:rsidRPr="001F4265">
        <w:rPr>
          <w:i/>
          <w:iCs/>
        </w:rPr>
        <w:t>Cement production</w:t>
      </w:r>
      <w:r w:rsidRPr="001F4265">
        <w:t xml:space="preserve"> category were 349.8 kt CO</w:t>
      </w:r>
      <w:r w:rsidRPr="001F4265">
        <w:rPr>
          <w:vertAlign w:val="subscript"/>
        </w:rPr>
        <w:t>2</w:t>
      </w:r>
      <w:r w:rsidRPr="001F4265">
        <w:t xml:space="preserve">e, or 72.3 percent, of emissions from the </w:t>
      </w:r>
      <w:r w:rsidRPr="001F4265">
        <w:rPr>
          <w:i/>
          <w:iCs/>
        </w:rPr>
        <w:t>Mineral industry</w:t>
      </w:r>
      <w:r w:rsidRPr="001F4265">
        <w:t xml:space="preserve"> category. The activity data used are the amounts of clinker produced by the cement plants. Calculation of emissions from clinker production is done on a plant-specific basis by the companies in preparing their NZ ETS returns. Because historically only two companies have been making cement in New Zealand, and now there is only one, the activity data for the </w:t>
      </w:r>
      <w:r w:rsidRPr="001F4265">
        <w:rPr>
          <w:i/>
          <w:iCs/>
        </w:rPr>
        <w:t>Cement production</w:t>
      </w:r>
      <w:r w:rsidRPr="001F4265">
        <w:t xml:space="preserve"> category are not reported and have been shown as confidential in the CRTs. For the years up to 2009, activity and emissions data were supplied by the cement companies to MBIE. From 2010, the companies’ NZ ETS returns have been used as the data source.</w:t>
      </w:r>
    </w:p>
    <w:p w14:paraId="5EA31032" w14:textId="77777777" w:rsidR="003A5396" w:rsidRPr="001F4265" w:rsidRDefault="003A5396" w:rsidP="003A5396">
      <w:pPr>
        <w:pStyle w:val="Heading5"/>
      </w:pPr>
      <w:bookmarkStart w:id="470" w:name="lime-production-2.a.2"/>
      <w:bookmarkEnd w:id="469"/>
      <w:r w:rsidRPr="001F4265">
        <w:t>Lime production (2.A.2)</w:t>
      </w:r>
    </w:p>
    <w:p w14:paraId="30B13C03" w14:textId="77777777" w:rsidR="003A5396" w:rsidRPr="001F4265" w:rsidRDefault="003A5396" w:rsidP="003A5396">
      <w:pPr>
        <w:pStyle w:val="BodyText"/>
      </w:pPr>
      <w:r w:rsidRPr="001F4265">
        <w:t xml:space="preserve">In 2024, emissions from the </w:t>
      </w:r>
      <w:r w:rsidRPr="001F4265">
        <w:rPr>
          <w:i/>
          <w:iCs/>
        </w:rPr>
        <w:t>Lime production</w:t>
      </w:r>
      <w:r w:rsidRPr="001F4265">
        <w:t xml:space="preserve"> category were 79.6 kt CO</w:t>
      </w:r>
      <w:r w:rsidRPr="001F4265">
        <w:rPr>
          <w:vertAlign w:val="subscript"/>
        </w:rPr>
        <w:t>2</w:t>
      </w:r>
      <w:r w:rsidRPr="001F4265">
        <w:t xml:space="preserve">e, or 16.4 percent, of emissions from the </w:t>
      </w:r>
      <w:r w:rsidRPr="001F4265">
        <w:rPr>
          <w:i/>
          <w:iCs/>
        </w:rPr>
        <w:t>Mineral industry</w:t>
      </w:r>
      <w:r w:rsidRPr="001F4265">
        <w:t xml:space="preserve"> category. The activity data used are the amounts of burnt lime produced, reported as tonnes of pure calcium oxide (CaO), as required in NZ ETS returns. This measure is used regardless of whether the lime is subsequently hydrated to make calcium hydroxide (Ca(OH)</w:t>
      </w:r>
      <w:r w:rsidRPr="001F4265">
        <w:rPr>
          <w:vertAlign w:val="subscript"/>
        </w:rPr>
        <w:t>2</w:t>
      </w:r>
      <w:r w:rsidRPr="001F4265">
        <w:t>).</w:t>
      </w:r>
    </w:p>
    <w:p w14:paraId="1A57FD82" w14:textId="77777777" w:rsidR="003A5396" w:rsidRPr="001F4265" w:rsidRDefault="003A5396" w:rsidP="003A5396">
      <w:pPr>
        <w:pStyle w:val="BodyText"/>
      </w:pPr>
      <w:r w:rsidRPr="001F4265">
        <w:t>Activity and emissions data were supplied annually by the lime companies to MBIE until 2009. This included the amount of burnt lime produced each year. From 2010, lime companies have reported CO</w:t>
      </w:r>
      <w:r w:rsidRPr="001F4265">
        <w:rPr>
          <w:vertAlign w:val="subscript"/>
        </w:rPr>
        <w:t>2</w:t>
      </w:r>
      <w:r w:rsidRPr="001F4265">
        <w:t xml:space="preserve"> emissions and the amounts of pure CaO in the lime that they produce in their reporting to the EPA.</w:t>
      </w:r>
    </w:p>
    <w:p w14:paraId="3CA52377" w14:textId="77777777" w:rsidR="003A5396" w:rsidRPr="001F4265" w:rsidRDefault="003A5396" w:rsidP="003A5396">
      <w:pPr>
        <w:pStyle w:val="Heading5"/>
      </w:pPr>
      <w:bookmarkStart w:id="471" w:name="glass-production-2.a.3"/>
      <w:bookmarkEnd w:id="470"/>
      <w:r w:rsidRPr="001F4265">
        <w:t>Glass production (2.A.3)</w:t>
      </w:r>
    </w:p>
    <w:p w14:paraId="264E71C3" w14:textId="77777777" w:rsidR="003A5396" w:rsidRPr="001F4265" w:rsidRDefault="003A5396" w:rsidP="003A5396">
      <w:pPr>
        <w:pStyle w:val="BodyText"/>
      </w:pPr>
      <w:r w:rsidRPr="001F4265">
        <w:t xml:space="preserve">Activity and emissions data for the </w:t>
      </w:r>
      <w:r w:rsidRPr="001F4265">
        <w:rPr>
          <w:i/>
          <w:iCs/>
        </w:rPr>
        <w:t>Glass production</w:t>
      </w:r>
      <w:r w:rsidRPr="001F4265">
        <w:t xml:space="preserve"> category are not reported in 2.A.3. Instead, emissions from the use of soda ash and limestone in glass making are reported in the </w:t>
      </w:r>
      <w:r w:rsidRPr="001F4265">
        <w:rPr>
          <w:i/>
          <w:iCs/>
        </w:rPr>
        <w:t>Other process uses of carbonates</w:t>
      </w:r>
      <w:r w:rsidRPr="001F4265">
        <w:t xml:space="preserve"> (2.A.4) category due to confidentiality concerns. These are aggregated with other relatively small amounts of CO</w:t>
      </w:r>
      <w:r w:rsidRPr="001F4265">
        <w:rPr>
          <w:vertAlign w:val="subscript"/>
        </w:rPr>
        <w:t>2</w:t>
      </w:r>
      <w:r w:rsidRPr="001F4265">
        <w:t xml:space="preserve"> emissions that derive from the calcination of limestone and soda ash.</w:t>
      </w:r>
    </w:p>
    <w:p w14:paraId="2A6EFE0A" w14:textId="77777777" w:rsidR="003A5396" w:rsidRPr="001F4265" w:rsidRDefault="003A5396" w:rsidP="003A5396">
      <w:pPr>
        <w:pStyle w:val="Heading5"/>
      </w:pPr>
      <w:bookmarkStart w:id="472" w:name="other-process-uses-of-carbonates-2.a.4"/>
      <w:bookmarkEnd w:id="471"/>
      <w:r w:rsidRPr="001F4265">
        <w:t>Other process uses of carbonates (2.A.4)</w:t>
      </w:r>
    </w:p>
    <w:p w14:paraId="7F1481F2" w14:textId="77777777" w:rsidR="003A5396" w:rsidRPr="001F4265" w:rsidRDefault="003A5396" w:rsidP="003A5396">
      <w:pPr>
        <w:pStyle w:val="BodyText"/>
      </w:pPr>
      <w:r w:rsidRPr="001F4265">
        <w:t xml:space="preserve">The data reported in the </w:t>
      </w:r>
      <w:r w:rsidRPr="001F4265">
        <w:rPr>
          <w:i/>
          <w:iCs/>
        </w:rPr>
        <w:t>Glass production</w:t>
      </w:r>
      <w:r w:rsidRPr="001F4265">
        <w:t xml:space="preserve"> category have been aggregated, as follows, and reported in the </w:t>
      </w:r>
      <w:r w:rsidRPr="001F4265">
        <w:rPr>
          <w:i/>
          <w:iCs/>
        </w:rPr>
        <w:t>Other process uses of carbonates</w:t>
      </w:r>
      <w:r w:rsidRPr="001F4265">
        <w:t xml:space="preserve"> category.</w:t>
      </w:r>
    </w:p>
    <w:p w14:paraId="50CA2995" w14:textId="77777777" w:rsidR="003A5396" w:rsidRPr="001F4265" w:rsidRDefault="003A5396" w:rsidP="003A5396">
      <w:pPr>
        <w:pStyle w:val="Bullet"/>
      </w:pPr>
      <w:r w:rsidRPr="001F4265">
        <w:t>Emissions from a relatively small amount of soda ash used by New Zealand Aluminium Smelters Ltd (NZAS) at the Tiwai Point smelter are reported in 2.A.4.b (</w:t>
      </w:r>
      <w:r w:rsidRPr="001F4265">
        <w:rPr>
          <w:i/>
          <w:iCs/>
        </w:rPr>
        <w:t>Other uses of soda ash</w:t>
      </w:r>
      <w:r w:rsidRPr="001F4265">
        <w:t>) and aggregated with the CO</w:t>
      </w:r>
      <w:r w:rsidRPr="001F4265">
        <w:rPr>
          <w:vertAlign w:val="subscript"/>
        </w:rPr>
        <w:t>2</w:t>
      </w:r>
      <w:r w:rsidRPr="001F4265">
        <w:t xml:space="preserve"> emissions from soda ash used in glass making.</w:t>
      </w:r>
    </w:p>
    <w:p w14:paraId="76AA1EF4" w14:textId="77777777" w:rsidR="003A5396" w:rsidRPr="001F4265" w:rsidRDefault="003A5396" w:rsidP="003A5396">
      <w:pPr>
        <w:pStyle w:val="Bullet"/>
      </w:pPr>
      <w:r w:rsidRPr="001F4265">
        <w:t>Emissions from a relatively small amount of limestone used by New Zealand Steel Limited are reported in 2.A.4.d (</w:t>
      </w:r>
      <w:r w:rsidRPr="001F4265">
        <w:rPr>
          <w:i/>
          <w:iCs/>
        </w:rPr>
        <w:t>Other</w:t>
      </w:r>
      <w:r w:rsidRPr="001F4265">
        <w:t>) and aggregated with emissions from limestone used in glass making.</w:t>
      </w:r>
    </w:p>
    <w:p w14:paraId="77727112" w14:textId="77777777" w:rsidR="003A5396" w:rsidRPr="001F4265" w:rsidRDefault="003A5396" w:rsidP="003A5396">
      <w:pPr>
        <w:pStyle w:val="BodyText"/>
      </w:pPr>
      <w:r w:rsidRPr="001F4265">
        <w:t>The amounts of soda ash and limestone used are reported as activity data in these two CRTs. Also, because the limestone emissions cannot be fully disaggregated in early data provided by New Zealand Steel Limited, an extremely small amount of CO</w:t>
      </w:r>
      <w:r w:rsidRPr="001F4265">
        <w:rPr>
          <w:vertAlign w:val="subscript"/>
        </w:rPr>
        <w:t>2</w:t>
      </w:r>
      <w:r w:rsidRPr="001F4265">
        <w:t xml:space="preserve"> from coke and electrode use at the steel plant is also included (see section 4.4.2).</w:t>
      </w:r>
    </w:p>
    <w:p w14:paraId="7C68B83F" w14:textId="77777777" w:rsidR="003A5396" w:rsidRPr="001F4265" w:rsidRDefault="003A5396" w:rsidP="003A5396">
      <w:pPr>
        <w:pStyle w:val="BodyText"/>
        <w:spacing w:before="100" w:after="100"/>
      </w:pPr>
      <w:r w:rsidRPr="001F4265">
        <w:t>Data on glass making for the years up to 2006 were provided by the companies and updated for the years 2007 to 2009 by survey requests from MBIE. Data on limestone and soda ash use were based on the companies’ records where available. In the case of one glass-making facility, some historical emissions data had to be estimated based only on glass production rates, because actual limestone and soda ash use was not recorded before 2006.</w:t>
      </w:r>
    </w:p>
    <w:p w14:paraId="58713AB4" w14:textId="77777777" w:rsidR="003A5396" w:rsidRPr="001F4265" w:rsidRDefault="003A5396" w:rsidP="003A5396">
      <w:pPr>
        <w:pStyle w:val="BodyText"/>
        <w:spacing w:before="100" w:after="100"/>
      </w:pPr>
      <w:r w:rsidRPr="001F4265">
        <w:t>From 2010 to 2024, the glass companies’ NZ ETS returns are used.</w:t>
      </w:r>
    </w:p>
    <w:p w14:paraId="0AE5E1F0" w14:textId="77777777" w:rsidR="003A5396" w:rsidRPr="001F4265" w:rsidRDefault="003A5396" w:rsidP="003A5396">
      <w:pPr>
        <w:pStyle w:val="BodyText"/>
        <w:spacing w:before="100" w:after="100"/>
      </w:pPr>
      <w:r w:rsidRPr="001F4265">
        <w:t>A very small amount of CO</w:t>
      </w:r>
      <w:r w:rsidRPr="001F4265">
        <w:rPr>
          <w:vertAlign w:val="subscript"/>
        </w:rPr>
        <w:t>2</w:t>
      </w:r>
      <w:r w:rsidRPr="001F4265">
        <w:t xml:space="preserve"> is reported from the use of kaolin clays in ceramics production (2.A.4.a). The activity data used are the approximate amount of kaolin clay produced for this purpose (Christie et al., 1999). In the absence of better data, the rate of production is assumed constant for the whole time series. Emissions from ground limestone used in liming agricultural soils are reported under the Agriculture sector.</w:t>
      </w:r>
    </w:p>
    <w:bookmarkEnd w:id="472"/>
    <w:p w14:paraId="30195FCC" w14:textId="77777777" w:rsidR="003A5396" w:rsidRPr="001F4265" w:rsidRDefault="003A5396" w:rsidP="003A5396">
      <w:pPr>
        <w:pStyle w:val="Heading4"/>
      </w:pPr>
      <w:r w:rsidRPr="001F4265">
        <w:t>Choice of methods</w:t>
      </w:r>
    </w:p>
    <w:p w14:paraId="587CE402" w14:textId="77777777" w:rsidR="003A5396" w:rsidRPr="001F4265" w:rsidRDefault="003A5396" w:rsidP="003A5396">
      <w:pPr>
        <w:pStyle w:val="BodyText"/>
        <w:spacing w:before="100" w:after="100"/>
      </w:pPr>
      <w:r w:rsidRPr="001F4265">
        <w:t xml:space="preserve">For the years up to 2009, cement emissions were calculated using the methodology specified in the </w:t>
      </w:r>
      <w:r w:rsidRPr="001F4265">
        <w:rPr>
          <w:i/>
          <w:iCs/>
        </w:rPr>
        <w:t>Cement CO</w:t>
      </w:r>
      <w:r w:rsidRPr="001F4265">
        <w:rPr>
          <w:i/>
          <w:iCs/>
          <w:vertAlign w:val="subscript"/>
        </w:rPr>
        <w:t>2</w:t>
      </w:r>
      <w:r w:rsidRPr="001F4265">
        <w:rPr>
          <w:i/>
          <w:iCs/>
        </w:rPr>
        <w:t xml:space="preserve"> Protocol</w:t>
      </w:r>
      <w:r w:rsidRPr="001F4265">
        <w:t xml:space="preserve"> (World Business Council for Sustainable Development, 2005), which uses plant-specific emission factors based on the CaO and magnesium oxide (MgO) content of clinker produced. This also includes an adjustment for emissions due to cement kiln dust. This calculation is consistent with the IPCC Tier 2 method (IPCC, 2006b).</w:t>
      </w:r>
    </w:p>
    <w:p w14:paraId="4A4404D5" w14:textId="77777777" w:rsidR="003A5396" w:rsidRPr="001F4265" w:rsidRDefault="003A5396" w:rsidP="003A5396">
      <w:pPr>
        <w:pStyle w:val="BodyText"/>
        <w:spacing w:before="100" w:after="100"/>
      </w:pPr>
      <w:r w:rsidRPr="001F4265">
        <w:t>Emissions for lime up to 2009 were calculated using the IPCC Tier 1 method and the default emission factor of 0.75 tonnes CO</w:t>
      </w:r>
      <w:r w:rsidRPr="001F4265">
        <w:rPr>
          <w:vertAlign w:val="subscript"/>
        </w:rPr>
        <w:t>2</w:t>
      </w:r>
      <w:r w:rsidRPr="001F4265">
        <w:t xml:space="preserve"> per tonne of burnt lime produced. For glass making, the IPCC Tier 1 method and default emission factors were also used for the years up to 2009.</w:t>
      </w:r>
    </w:p>
    <w:p w14:paraId="2E7A2CA2" w14:textId="77777777" w:rsidR="003A5396" w:rsidRPr="001F4265" w:rsidRDefault="003A5396" w:rsidP="003A5396">
      <w:pPr>
        <w:pStyle w:val="BodyText"/>
        <w:spacing w:before="100" w:after="100"/>
      </w:pPr>
      <w:r w:rsidRPr="001F4265">
        <w:t xml:space="preserve">For NZ ETS reporting in the </w:t>
      </w:r>
      <w:r w:rsidRPr="001F4265">
        <w:rPr>
          <w:i/>
          <w:iCs/>
        </w:rPr>
        <w:t>Mineral industry</w:t>
      </w:r>
      <w:r w:rsidRPr="001F4265">
        <w:t xml:space="preserve"> category (from 2010), the methods used are specified in the Climate Change (Stationary Energy and Industrial Processes) Regulations 2009. These methods require firms making clinker or burnt lime to report CO</w:t>
      </w:r>
      <w:r w:rsidRPr="001F4265">
        <w:rPr>
          <w:vertAlign w:val="subscript"/>
        </w:rPr>
        <w:t>2</w:t>
      </w:r>
      <w:r w:rsidRPr="001F4265">
        <w:t xml:space="preserve"> emissions calculated from the amount of pure product made from calcination. In calculating their emissions, NZ ETS participants who make clinker or lime are required to determine and report the amounts of pure CaO and MgO in the clinker or burnt lime produced, and in kiln dust, if relevant. The emissions are calculated from this chemical composition. The calculation of total emissions (TE) can be summarised as:</w:t>
      </w:r>
    </w:p>
    <w:p w14:paraId="200F00BF" w14:textId="77777777" w:rsidR="003A5396" w:rsidRPr="001F4265" w:rsidRDefault="003A5396" w:rsidP="003A5396">
      <w:pPr>
        <w:pStyle w:val="BodyText"/>
      </w:pPr>
      <m:oMathPara>
        <m:oMathParaPr>
          <m:jc m:val="center"/>
        </m:oMathParaPr>
        <m:oMath>
          <m:r>
            <m:rPr>
              <m:nor/>
            </m:rPr>
            <m:t>TE</m:t>
          </m:r>
          <m:r>
            <w:rPr>
              <w:rFonts w:ascii="Cambria Math" w:hAnsi="Cambria Math"/>
            </w:rPr>
            <m:t> </m:t>
          </m:r>
          <m:r>
            <m:rPr>
              <m:sty m:val="p"/>
            </m:rPr>
            <w:rPr>
              <w:rFonts w:ascii="Cambria Math" w:hAnsi="Cambria Math"/>
            </w:rPr>
            <m:t>=</m:t>
          </m:r>
          <m:r>
            <w:rPr>
              <w:rFonts w:ascii="Cambria Math" w:hAnsi="Cambria Math"/>
            </w:rPr>
            <m:t>0.7848 </m:t>
          </m:r>
          <m:r>
            <m:rPr>
              <m:sty m:val="p"/>
            </m:rPr>
            <w:rPr>
              <w:rFonts w:ascii="Cambria Math" w:hAnsi="Cambria Math"/>
            </w:rPr>
            <m:t>×</m:t>
          </m:r>
          <m:r>
            <m:rPr>
              <m:nor/>
            </m:rPr>
            <m:t>A</m:t>
          </m:r>
          <m:r>
            <m:rPr>
              <m:sty m:val="p"/>
            </m:rPr>
            <w:rPr>
              <w:rFonts w:ascii="Cambria Math" w:hAnsi="Cambria Math"/>
            </w:rPr>
            <m:t>+</m:t>
          </m:r>
          <m:r>
            <w:rPr>
              <w:rFonts w:ascii="Cambria Math" w:hAnsi="Cambria Math"/>
            </w:rPr>
            <m:t>1.0919 </m:t>
          </m:r>
          <m:r>
            <m:rPr>
              <m:sty m:val="p"/>
            </m:rPr>
            <w:rPr>
              <w:rFonts w:ascii="Cambria Math" w:hAnsi="Cambria Math"/>
            </w:rPr>
            <m:t>×</m:t>
          </m:r>
          <m:r>
            <w:rPr>
              <w:rFonts w:ascii="Cambria Math" w:hAnsi="Cambria Math"/>
            </w:rPr>
            <m:t> </m:t>
          </m:r>
          <m:r>
            <m:rPr>
              <m:nor/>
            </m:rPr>
            <m:t>B</m:t>
          </m:r>
          <m:r>
            <w:rPr>
              <w:rFonts w:ascii="Cambria Math" w:hAnsi="Cambria Math"/>
            </w:rPr>
            <m:t> </m:t>
          </m:r>
          <m:r>
            <m:rPr>
              <m:sty m:val="p"/>
            </m:rPr>
            <w:rPr>
              <w:rFonts w:ascii="Cambria Math" w:hAnsi="Cambria Math"/>
            </w:rPr>
            <m:t>+</m:t>
          </m:r>
          <m:r>
            <w:rPr>
              <w:rFonts w:ascii="Cambria Math" w:hAnsi="Cambria Math"/>
            </w:rPr>
            <m:t>0.7848</m:t>
          </m:r>
          <m:r>
            <m:rPr>
              <m:sty m:val="p"/>
            </m:rPr>
            <w:rPr>
              <w:rFonts w:ascii="Cambria Math" w:hAnsi="Cambria Math"/>
            </w:rPr>
            <m:t>×</m:t>
          </m:r>
          <m:r>
            <w:rPr>
              <w:rFonts w:ascii="Cambria Math" w:hAnsi="Cambria Math"/>
            </w:rPr>
            <m:t> </m:t>
          </m:r>
          <m:r>
            <m:rPr>
              <m:nor/>
            </m:rPr>
            <m:t>C</m:t>
          </m:r>
          <m:r>
            <w:rPr>
              <w:rFonts w:ascii="Cambria Math" w:hAnsi="Cambria Math"/>
            </w:rPr>
            <m:t> </m:t>
          </m:r>
        </m:oMath>
      </m:oMathPara>
    </w:p>
    <w:p w14:paraId="7A9C5435" w14:textId="77777777" w:rsidR="003A5396" w:rsidRPr="001F4265" w:rsidRDefault="003A5396" w:rsidP="003A5396">
      <w:pPr>
        <w:pStyle w:val="BodyText"/>
        <w:spacing w:before="80" w:after="40"/>
        <w:ind w:left="851" w:hanging="851"/>
      </w:pPr>
      <w:r w:rsidRPr="001F4265">
        <w:t xml:space="preserve">Where: </w:t>
      </w:r>
      <w:r w:rsidRPr="001F4265">
        <w:tab/>
        <w:t>A is the amount of CaO in clinker or burnt lime produced</w:t>
      </w:r>
    </w:p>
    <w:p w14:paraId="5A5777A1" w14:textId="77777777" w:rsidR="003A5396" w:rsidRPr="001F4265" w:rsidRDefault="003A5396" w:rsidP="003A5396">
      <w:pPr>
        <w:pStyle w:val="BodyText"/>
        <w:spacing w:before="40" w:after="40"/>
        <w:ind w:left="1702" w:hanging="851"/>
      </w:pPr>
      <w:r w:rsidRPr="001F4265">
        <w:t>B is the amount of MgO in clinker or burnt lime produced</w:t>
      </w:r>
    </w:p>
    <w:p w14:paraId="6895376C" w14:textId="77777777" w:rsidR="003A5396" w:rsidRPr="001F4265" w:rsidRDefault="003A5396" w:rsidP="003A5396">
      <w:pPr>
        <w:pStyle w:val="BodyText"/>
        <w:spacing w:before="40"/>
        <w:ind w:left="1702" w:hanging="851"/>
      </w:pPr>
      <w:r w:rsidRPr="001F4265">
        <w:t>C is the amount of calcium oxide and magnesium oxide in kiln dust produced.</w:t>
      </w:r>
    </w:p>
    <w:p w14:paraId="3F7C2591" w14:textId="77777777" w:rsidR="003A5396" w:rsidRPr="001F4265" w:rsidRDefault="003A5396" w:rsidP="003A5396">
      <w:pPr>
        <w:pStyle w:val="BodyText"/>
      </w:pPr>
      <w:r w:rsidRPr="001F4265">
        <w:rPr>
          <w:spacing w:val="-2"/>
        </w:rPr>
        <w:t>Similarly, based on the Climate Change (Stationary Energy and Industrial Processes) Regulations</w:t>
      </w:r>
      <w:r w:rsidRPr="001F4265">
        <w:t xml:space="preserve"> 2009, NZ ETS participants who make glass report the amounts of pure limestone, dolomite and soda ash that they use in the process. This is consistent with the Tier 3 methods in the </w:t>
      </w:r>
      <w:r w:rsidRPr="001F4265">
        <w:rPr>
          <w:i/>
          <w:iCs/>
        </w:rPr>
        <w:t>2006 IPCC Guidelines for National Greenhouse Gas Inventories</w:t>
      </w:r>
      <w:r w:rsidRPr="001F4265">
        <w:t xml:space="preserve"> </w:t>
      </w:r>
      <w:r w:rsidRPr="001F4265">
        <w:rPr>
          <w:rFonts w:cs="Calibri"/>
          <w:lang w:eastAsia="en-GB"/>
        </w:rPr>
        <w:t>(2006 IPCC Guidelines) (</w:t>
      </w:r>
      <w:r w:rsidRPr="001F4265">
        <w:t>volume 3, Industrial Processes and Product Use) (IPCC, 2006b) but is described as country specific in the CRT because of a minor discrepancy: NZ ETS participants are not required to report separately very small amounts of kiln dust or MgO.</w:t>
      </w:r>
    </w:p>
    <w:p w14:paraId="18BA04C5" w14:textId="77777777" w:rsidR="003A5396" w:rsidRPr="001F4265" w:rsidRDefault="003A5396" w:rsidP="003A5396">
      <w:pPr>
        <w:pStyle w:val="BodyText"/>
      </w:pPr>
      <w:r w:rsidRPr="001F4265">
        <w:rPr>
          <w:spacing w:val="-2"/>
        </w:rPr>
        <w:t>NZ ETS participants in this category are not required to report annually on the specific methods</w:t>
      </w:r>
      <w:r w:rsidRPr="001F4265">
        <w:t xml:space="preserve"> that they have used to determine the amounts of pure CaO, MgO and other compounds that they report in their NZ ETS returns. They are required to keep this information available and it can be requested and verified by the EPA as required.</w:t>
      </w:r>
    </w:p>
    <w:p w14:paraId="3355ABEB" w14:textId="77777777" w:rsidR="003A5396" w:rsidRPr="001F4265" w:rsidRDefault="003A5396" w:rsidP="003A5396">
      <w:pPr>
        <w:pStyle w:val="BodyText"/>
        <w:spacing w:before="100" w:after="100"/>
      </w:pPr>
      <w:r w:rsidRPr="001F4265">
        <w:t>All other emissions estimates use Tier 1 methods. This includes the small amount of SO</w:t>
      </w:r>
      <w:r w:rsidRPr="001F4265">
        <w:rPr>
          <w:vertAlign w:val="subscript"/>
        </w:rPr>
        <w:t>2</w:t>
      </w:r>
      <w:r w:rsidRPr="001F4265">
        <w:t xml:space="preserve"> emissions reported for cement production. Emissions of SO</w:t>
      </w:r>
      <w:r w:rsidRPr="001F4265">
        <w:rPr>
          <w:vertAlign w:val="subscript"/>
        </w:rPr>
        <w:t>2</w:t>
      </w:r>
      <w:r w:rsidRPr="001F4265">
        <w:t xml:space="preserve"> from lime production were also estimated (CRL Energy, unpublished(a)). These used a country-specific emission factor of 0.5 kilograms SO</w:t>
      </w:r>
      <w:r w:rsidRPr="001F4265">
        <w:rPr>
          <w:vertAlign w:val="subscript"/>
        </w:rPr>
        <w:t>2</w:t>
      </w:r>
      <w:r w:rsidRPr="001F4265">
        <w:t xml:space="preserve"> per tonne of burnt lime produced, derived from plant measurements carried out in earlier years. There is no provision, however, in the CRT to report these emissions.</w:t>
      </w:r>
    </w:p>
    <w:p w14:paraId="78B1329B" w14:textId="77777777" w:rsidR="003A5396" w:rsidRPr="001F4265" w:rsidRDefault="003A5396" w:rsidP="003A5396">
      <w:pPr>
        <w:pStyle w:val="Heading4"/>
      </w:pPr>
      <w:r w:rsidRPr="001F4265">
        <w:t>Choice of emission factors and parameters</w:t>
      </w:r>
    </w:p>
    <w:p w14:paraId="40EF5527" w14:textId="77777777" w:rsidR="003A5396" w:rsidRPr="001F4265" w:rsidRDefault="003A5396" w:rsidP="003A5396">
      <w:pPr>
        <w:pStyle w:val="BodyText"/>
        <w:spacing w:before="80" w:after="100"/>
      </w:pPr>
      <w:r w:rsidRPr="001F4265">
        <w:t xml:space="preserve">All calculations made for NZ ETS reporting and used in the </w:t>
      </w:r>
      <w:r w:rsidRPr="001F4265">
        <w:rPr>
          <w:i/>
          <w:iCs/>
        </w:rPr>
        <w:t>Mineral industry</w:t>
      </w:r>
      <w:r w:rsidRPr="001F4265">
        <w:t xml:space="preserve"> category are based on plant-specific analysis.</w:t>
      </w:r>
    </w:p>
    <w:p w14:paraId="38A281ED" w14:textId="77777777" w:rsidR="003A5396" w:rsidRPr="001F4265" w:rsidRDefault="003A5396" w:rsidP="003A5396">
      <w:pPr>
        <w:pStyle w:val="BodyText"/>
        <w:spacing w:before="100" w:after="100"/>
      </w:pPr>
      <w:r w:rsidRPr="001F4265">
        <w:t>The small amounts of SO</w:t>
      </w:r>
      <w:r w:rsidRPr="001F4265">
        <w:rPr>
          <w:vertAlign w:val="subscript"/>
        </w:rPr>
        <w:t>2</w:t>
      </w:r>
      <w:r w:rsidRPr="001F4265">
        <w:t xml:space="preserve"> emitted in the </w:t>
      </w:r>
      <w:r w:rsidRPr="001F4265">
        <w:rPr>
          <w:i/>
          <w:iCs/>
        </w:rPr>
        <w:t>Cement production</w:t>
      </w:r>
      <w:r w:rsidRPr="001F4265">
        <w:t xml:space="preserve"> category are estimated using plant-specific emission factors taken from mass balance data derived for the two cement plants in 2002 and 2005 (CRL Energy, unpublished(a)).</w:t>
      </w:r>
    </w:p>
    <w:p w14:paraId="4D5F22E2" w14:textId="77777777" w:rsidR="003A5396" w:rsidRPr="001F4265" w:rsidRDefault="003A5396" w:rsidP="003A5396">
      <w:pPr>
        <w:pStyle w:val="BodyText"/>
        <w:spacing w:before="100" w:after="100"/>
      </w:pPr>
      <w:r w:rsidRPr="001F4265">
        <w:t>For the very small emissions of CO</w:t>
      </w:r>
      <w:r w:rsidRPr="001F4265">
        <w:rPr>
          <w:vertAlign w:val="subscript"/>
        </w:rPr>
        <w:t>2</w:t>
      </w:r>
      <w:r w:rsidRPr="001F4265">
        <w:t xml:space="preserve"> from the </w:t>
      </w:r>
      <w:r w:rsidRPr="001F4265">
        <w:rPr>
          <w:i/>
          <w:iCs/>
        </w:rPr>
        <w:t>Ceramics</w:t>
      </w:r>
      <w:r w:rsidRPr="001F4265">
        <w:t xml:space="preserve"> (2.A.4.a) category, a country-specific emission factor of 0.1 percent of carbonates (as equivalent calcium carbonate) in local kaolin clay is used.</w:t>
      </w:r>
    </w:p>
    <w:p w14:paraId="55CA245F" w14:textId="77777777" w:rsidR="003A5396" w:rsidRPr="001F4265" w:rsidRDefault="003A5396" w:rsidP="003A5396">
      <w:pPr>
        <w:pStyle w:val="BodyText"/>
        <w:spacing w:before="100" w:after="100"/>
      </w:pPr>
      <w:r w:rsidRPr="001F4265">
        <w:t>Other emission factors used are IPCC defaults.</w:t>
      </w:r>
    </w:p>
    <w:p w14:paraId="46E23C69" w14:textId="77777777" w:rsidR="003A5396" w:rsidRPr="001F4265" w:rsidRDefault="003A5396" w:rsidP="003A5396">
      <w:pPr>
        <w:pStyle w:val="Heading3"/>
      </w:pPr>
      <w:r w:rsidRPr="001F4265">
        <w:t xml:space="preserve">4.2.3 </w:t>
      </w:r>
      <w:r w:rsidRPr="001F4265">
        <w:tab/>
        <w:t>Uncertainty assessment and time-series consistency</w:t>
      </w:r>
    </w:p>
    <w:p w14:paraId="70345132" w14:textId="77777777" w:rsidR="003A5396" w:rsidRPr="001F4265" w:rsidRDefault="003A5396" w:rsidP="003A5396">
      <w:pPr>
        <w:pStyle w:val="Heading4"/>
        <w:spacing w:before="180"/>
      </w:pPr>
      <w:r w:rsidRPr="001F4265">
        <w:t>Uncertainties</w:t>
      </w:r>
    </w:p>
    <w:p w14:paraId="221BEF31" w14:textId="77777777" w:rsidR="003A5396" w:rsidRPr="001F4265" w:rsidRDefault="003A5396" w:rsidP="003A5396">
      <w:pPr>
        <w:pStyle w:val="BodyText"/>
        <w:spacing w:before="80" w:after="100"/>
      </w:pPr>
      <w:r w:rsidRPr="001F4265">
        <w:t>IPCC default uncertainties have been used for all CO</w:t>
      </w:r>
      <w:r w:rsidRPr="001F4265">
        <w:rPr>
          <w:vertAlign w:val="subscript"/>
        </w:rPr>
        <w:t>2</w:t>
      </w:r>
      <w:r w:rsidRPr="001F4265">
        <w:t xml:space="preserve"> emissions from the </w:t>
      </w:r>
      <w:r w:rsidRPr="001F4265">
        <w:rPr>
          <w:i/>
          <w:iCs/>
        </w:rPr>
        <w:t>Mineral industry</w:t>
      </w:r>
      <w:r w:rsidRPr="001F4265">
        <w:t xml:space="preserve"> category (see table 4.2.1), except ceramics for which there is substantial uncertainty in the activity data and in the composition of clay. Cement kiln dust is not relevant for 2017 to </w:t>
      </w:r>
      <w:r w:rsidRPr="00E37671">
        <w:t>2024</w:t>
      </w:r>
      <w:r w:rsidRPr="001F4265">
        <w:t xml:space="preserve"> because the cement plant now operating reports no significant kiln dust produced. For SO</w:t>
      </w:r>
      <w:r w:rsidRPr="001F4265">
        <w:rPr>
          <w:vertAlign w:val="subscript"/>
        </w:rPr>
        <w:t>2</w:t>
      </w:r>
      <w:r w:rsidRPr="001F4265">
        <w:t xml:space="preserve"> emissions in the </w:t>
      </w:r>
      <w:r w:rsidRPr="001F4265">
        <w:rPr>
          <w:i/>
          <w:iCs/>
        </w:rPr>
        <w:t>Cement production</w:t>
      </w:r>
      <w:r w:rsidRPr="001F4265">
        <w:t xml:space="preserve"> category, an uncertainty of ±40 percent was estimated based on the variance between surveys when these emissions were determined (CRL Energy, unpublished(a)).</w:t>
      </w:r>
    </w:p>
    <w:p w14:paraId="24B3E060" w14:textId="77777777" w:rsidR="003A5396" w:rsidRPr="001F4265" w:rsidRDefault="003A5396" w:rsidP="003A5396">
      <w:pPr>
        <w:pStyle w:val="Table"/>
      </w:pPr>
      <w:bookmarkStart w:id="473" w:name="_Toc226668972"/>
      <w:r w:rsidRPr="001F4265">
        <w:t xml:space="preserve">Table 4.2.1 </w:t>
      </w:r>
      <w:r w:rsidRPr="001F4265">
        <w:tab/>
        <w:t>Uncertainty in emissions from mineral products</w:t>
      </w:r>
      <w:bookmarkEnd w:id="473"/>
    </w:p>
    <w:tbl>
      <w:tblPr>
        <w:tblW w:w="8494" w:type="dxa"/>
        <w:tblBorders>
          <w:top w:val="single" w:sz="4" w:space="0" w:color="1C556C" w:themeColor="accent1"/>
          <w:bottom w:val="single" w:sz="4" w:space="0" w:color="1C556C" w:themeColor="accent1"/>
          <w:insideH w:val="single" w:sz="4" w:space="0" w:color="1C556C" w:themeColor="accent1"/>
        </w:tblBorders>
        <w:tblLayout w:type="fixed"/>
        <w:tblLook w:val="0420" w:firstRow="1" w:lastRow="0" w:firstColumn="0" w:lastColumn="0" w:noHBand="0" w:noVBand="1"/>
      </w:tblPr>
      <w:tblGrid>
        <w:gridCol w:w="2634"/>
        <w:gridCol w:w="2780"/>
        <w:gridCol w:w="3080"/>
      </w:tblGrid>
      <w:tr w:rsidR="003A5396" w:rsidRPr="001F4265" w14:paraId="4392E5FF" w14:textId="77777777" w:rsidTr="00F16E23">
        <w:trPr>
          <w:tblHeader/>
        </w:trPr>
        <w:tc>
          <w:tcPr>
            <w:tcW w:w="2634" w:type="dxa"/>
            <w:shd w:val="clear" w:color="auto" w:fill="1C556C" w:themeFill="accent1"/>
            <w:tcMar>
              <w:top w:w="0" w:type="dxa"/>
              <w:left w:w="85" w:type="dxa"/>
              <w:bottom w:w="0" w:type="dxa"/>
              <w:right w:w="85" w:type="dxa"/>
            </w:tcMar>
            <w:vAlign w:val="center"/>
          </w:tcPr>
          <w:p w14:paraId="23B397D9"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Mineral product</w:t>
            </w:r>
          </w:p>
        </w:tc>
        <w:tc>
          <w:tcPr>
            <w:tcW w:w="2780" w:type="dxa"/>
            <w:shd w:val="clear" w:color="auto" w:fill="1C556C" w:themeFill="accent1"/>
            <w:tcMar>
              <w:top w:w="0" w:type="dxa"/>
              <w:left w:w="85" w:type="dxa"/>
              <w:bottom w:w="0" w:type="dxa"/>
              <w:right w:w="85" w:type="dxa"/>
            </w:tcMar>
            <w:vAlign w:val="center"/>
          </w:tcPr>
          <w:p w14:paraId="3BD5128F"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activity data (%)</w:t>
            </w:r>
          </w:p>
        </w:tc>
        <w:tc>
          <w:tcPr>
            <w:tcW w:w="3080" w:type="dxa"/>
            <w:shd w:val="clear" w:color="auto" w:fill="1C556C" w:themeFill="accent1"/>
            <w:tcMar>
              <w:top w:w="0" w:type="dxa"/>
              <w:left w:w="85" w:type="dxa"/>
              <w:bottom w:w="0" w:type="dxa"/>
              <w:right w:w="85" w:type="dxa"/>
            </w:tcMar>
            <w:vAlign w:val="center"/>
          </w:tcPr>
          <w:p w14:paraId="7835D0A9"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emission factors (%)</w:t>
            </w:r>
          </w:p>
        </w:tc>
      </w:tr>
      <w:tr w:rsidR="003A5396" w:rsidRPr="001F4265" w14:paraId="53DFA96F" w14:textId="77777777" w:rsidTr="00F16E23">
        <w:tc>
          <w:tcPr>
            <w:tcW w:w="2634" w:type="dxa"/>
            <w:shd w:val="clear" w:color="auto" w:fill="FFFFFF" w:themeFill="background1"/>
            <w:tcMar>
              <w:top w:w="0" w:type="dxa"/>
              <w:left w:w="85" w:type="dxa"/>
              <w:bottom w:w="0" w:type="dxa"/>
              <w:right w:w="85" w:type="dxa"/>
            </w:tcMar>
            <w:vAlign w:val="center"/>
          </w:tcPr>
          <w:p w14:paraId="758E3230" w14:textId="77777777" w:rsidR="003A5396" w:rsidRPr="001F4265" w:rsidRDefault="003A5396" w:rsidP="00F16E23">
            <w:pPr>
              <w:pStyle w:val="TableText"/>
              <w:spacing w:before="40" w:after="40"/>
            </w:pPr>
            <w:r w:rsidRPr="001F4265">
              <w:rPr>
                <w:rFonts w:eastAsia="Calibri"/>
              </w:rPr>
              <w:t>Cement (CO</w:t>
            </w:r>
            <w:r w:rsidRPr="001F4265">
              <w:rPr>
                <w:rFonts w:eastAsia="Calibri"/>
                <w:vertAlign w:val="subscript"/>
              </w:rPr>
              <w:t>2</w:t>
            </w:r>
            <w:r w:rsidRPr="001F4265">
              <w:rPr>
                <w:rFonts w:eastAsia="Calibri"/>
              </w:rPr>
              <w:t>)</w:t>
            </w:r>
          </w:p>
        </w:tc>
        <w:tc>
          <w:tcPr>
            <w:tcW w:w="2780" w:type="dxa"/>
            <w:shd w:val="clear" w:color="auto" w:fill="FFFFFF" w:themeFill="background1"/>
            <w:tcMar>
              <w:top w:w="0" w:type="dxa"/>
              <w:left w:w="85" w:type="dxa"/>
              <w:bottom w:w="0" w:type="dxa"/>
              <w:right w:w="85" w:type="dxa"/>
            </w:tcMar>
            <w:vAlign w:val="center"/>
          </w:tcPr>
          <w:p w14:paraId="6B28515F" w14:textId="77777777" w:rsidR="003A5396" w:rsidRPr="001F4265" w:rsidRDefault="003A5396" w:rsidP="00F16E23">
            <w:pPr>
              <w:pStyle w:val="TableText"/>
              <w:spacing w:before="40" w:after="40"/>
              <w:jc w:val="right"/>
            </w:pPr>
            <w:r w:rsidRPr="001F4265">
              <w:rPr>
                <w:rFonts w:eastAsia="Calibri"/>
              </w:rPr>
              <w:t>±1</w:t>
            </w:r>
          </w:p>
        </w:tc>
        <w:tc>
          <w:tcPr>
            <w:tcW w:w="3080" w:type="dxa"/>
            <w:shd w:val="clear" w:color="auto" w:fill="FFFFFF" w:themeFill="background1"/>
            <w:tcMar>
              <w:top w:w="0" w:type="dxa"/>
              <w:left w:w="85" w:type="dxa"/>
              <w:bottom w:w="0" w:type="dxa"/>
              <w:right w:w="85" w:type="dxa"/>
            </w:tcMar>
            <w:vAlign w:val="center"/>
          </w:tcPr>
          <w:p w14:paraId="04C6A61F" w14:textId="77777777" w:rsidR="003A5396" w:rsidRPr="001F4265" w:rsidRDefault="003A5396" w:rsidP="00F16E23">
            <w:pPr>
              <w:pStyle w:val="TableText"/>
              <w:spacing w:before="40" w:after="40"/>
              <w:jc w:val="right"/>
            </w:pPr>
            <w:r w:rsidRPr="001F4265">
              <w:rPr>
                <w:rFonts w:eastAsia="Calibri"/>
              </w:rPr>
              <w:t>±1</w:t>
            </w:r>
          </w:p>
        </w:tc>
      </w:tr>
      <w:tr w:rsidR="003A5396" w:rsidRPr="001F4265" w14:paraId="72BFC348" w14:textId="77777777" w:rsidTr="00F16E23">
        <w:tc>
          <w:tcPr>
            <w:tcW w:w="2634" w:type="dxa"/>
            <w:shd w:val="clear" w:color="auto" w:fill="FFFFFF" w:themeFill="background1"/>
            <w:tcMar>
              <w:top w:w="0" w:type="dxa"/>
              <w:left w:w="85" w:type="dxa"/>
              <w:bottom w:w="0" w:type="dxa"/>
              <w:right w:w="85" w:type="dxa"/>
            </w:tcMar>
            <w:vAlign w:val="center"/>
          </w:tcPr>
          <w:p w14:paraId="4673EDAD" w14:textId="77777777" w:rsidR="003A5396" w:rsidRPr="001F4265" w:rsidRDefault="003A5396" w:rsidP="00F16E23">
            <w:pPr>
              <w:pStyle w:val="TableText"/>
              <w:spacing w:before="40" w:after="40"/>
            </w:pPr>
            <w:r w:rsidRPr="001F4265">
              <w:rPr>
                <w:rFonts w:eastAsia="Calibri"/>
                <w:color w:val="000000" w:themeColor="text1"/>
              </w:rPr>
              <w:t>Cement kiln dust (CO</w:t>
            </w:r>
            <w:r w:rsidRPr="001F4265">
              <w:rPr>
                <w:rFonts w:eastAsia="Calibri"/>
                <w:color w:val="000000" w:themeColor="text1"/>
                <w:vertAlign w:val="subscript"/>
              </w:rPr>
              <w:t>2</w:t>
            </w:r>
            <w:r w:rsidRPr="001F4265">
              <w:rPr>
                <w:rFonts w:eastAsia="Calibri"/>
                <w:color w:val="000000" w:themeColor="text1"/>
              </w:rPr>
              <w:t>)</w:t>
            </w:r>
          </w:p>
        </w:tc>
        <w:tc>
          <w:tcPr>
            <w:tcW w:w="2780" w:type="dxa"/>
            <w:shd w:val="clear" w:color="auto" w:fill="FFFFFF" w:themeFill="background1"/>
            <w:tcMar>
              <w:top w:w="0" w:type="dxa"/>
              <w:left w:w="85" w:type="dxa"/>
              <w:bottom w:w="0" w:type="dxa"/>
              <w:right w:w="85" w:type="dxa"/>
            </w:tcMar>
            <w:vAlign w:val="center"/>
          </w:tcPr>
          <w:p w14:paraId="6871E455" w14:textId="77777777" w:rsidR="003A5396" w:rsidRPr="001F4265" w:rsidRDefault="003A5396" w:rsidP="00F16E23">
            <w:pPr>
              <w:pStyle w:val="TableText"/>
              <w:spacing w:before="40" w:after="40"/>
              <w:jc w:val="right"/>
            </w:pPr>
            <w:r w:rsidRPr="001F4265">
              <w:rPr>
                <w:rFonts w:eastAsia="Calibri"/>
              </w:rPr>
              <w:t>±1</w:t>
            </w:r>
          </w:p>
        </w:tc>
        <w:tc>
          <w:tcPr>
            <w:tcW w:w="3080" w:type="dxa"/>
            <w:shd w:val="clear" w:color="auto" w:fill="FFFFFF" w:themeFill="background1"/>
            <w:tcMar>
              <w:top w:w="0" w:type="dxa"/>
              <w:left w:w="85" w:type="dxa"/>
              <w:bottom w:w="0" w:type="dxa"/>
              <w:right w:w="85" w:type="dxa"/>
            </w:tcMar>
            <w:vAlign w:val="center"/>
          </w:tcPr>
          <w:p w14:paraId="74516C97" w14:textId="77777777" w:rsidR="003A5396" w:rsidRPr="001F4265" w:rsidRDefault="003A5396" w:rsidP="00F16E23">
            <w:pPr>
              <w:pStyle w:val="TableText"/>
              <w:spacing w:before="40" w:after="40"/>
              <w:jc w:val="right"/>
            </w:pPr>
            <w:r w:rsidRPr="001F4265">
              <w:rPr>
                <w:rFonts w:eastAsia="Calibri"/>
              </w:rPr>
              <w:t>±5</w:t>
            </w:r>
          </w:p>
        </w:tc>
      </w:tr>
      <w:tr w:rsidR="003A5396" w:rsidRPr="001F4265" w14:paraId="1BBA241B" w14:textId="77777777" w:rsidTr="00F16E23">
        <w:tc>
          <w:tcPr>
            <w:tcW w:w="2634" w:type="dxa"/>
            <w:shd w:val="clear" w:color="auto" w:fill="FFFFFF" w:themeFill="background1"/>
            <w:tcMar>
              <w:top w:w="0" w:type="dxa"/>
              <w:left w:w="85" w:type="dxa"/>
              <w:bottom w:w="0" w:type="dxa"/>
              <w:right w:w="85" w:type="dxa"/>
            </w:tcMar>
            <w:vAlign w:val="center"/>
          </w:tcPr>
          <w:p w14:paraId="41B386AF" w14:textId="77777777" w:rsidR="003A5396" w:rsidRPr="001F4265" w:rsidRDefault="003A5396" w:rsidP="00F16E23">
            <w:pPr>
              <w:pStyle w:val="TableText"/>
              <w:spacing w:before="40" w:after="40"/>
            </w:pPr>
            <w:r w:rsidRPr="001F4265">
              <w:rPr>
                <w:rFonts w:eastAsia="Calibri"/>
              </w:rPr>
              <w:t>Cement (SO</w:t>
            </w:r>
            <w:r w:rsidRPr="001F4265">
              <w:rPr>
                <w:rFonts w:eastAsia="Calibri"/>
                <w:vertAlign w:val="subscript"/>
              </w:rPr>
              <w:t>2</w:t>
            </w:r>
            <w:r w:rsidRPr="001F4265">
              <w:rPr>
                <w:rFonts w:eastAsia="Calibri"/>
              </w:rPr>
              <w:t>)</w:t>
            </w:r>
          </w:p>
        </w:tc>
        <w:tc>
          <w:tcPr>
            <w:tcW w:w="2780" w:type="dxa"/>
            <w:shd w:val="clear" w:color="auto" w:fill="FFFFFF" w:themeFill="background1"/>
            <w:tcMar>
              <w:top w:w="0" w:type="dxa"/>
              <w:left w:w="85" w:type="dxa"/>
              <w:bottom w:w="0" w:type="dxa"/>
              <w:right w:w="85" w:type="dxa"/>
            </w:tcMar>
            <w:vAlign w:val="center"/>
          </w:tcPr>
          <w:p w14:paraId="1F42C636" w14:textId="77777777" w:rsidR="003A5396" w:rsidRPr="001F4265" w:rsidRDefault="003A5396" w:rsidP="00F16E23">
            <w:pPr>
              <w:pStyle w:val="TableText"/>
              <w:spacing w:before="40" w:after="40"/>
              <w:jc w:val="right"/>
            </w:pPr>
            <w:r w:rsidRPr="001F4265">
              <w:rPr>
                <w:rFonts w:eastAsia="Calibri"/>
              </w:rPr>
              <w:t>±1</w:t>
            </w:r>
          </w:p>
        </w:tc>
        <w:tc>
          <w:tcPr>
            <w:tcW w:w="3080" w:type="dxa"/>
            <w:shd w:val="clear" w:color="auto" w:fill="FFFFFF" w:themeFill="background1"/>
            <w:tcMar>
              <w:top w:w="0" w:type="dxa"/>
              <w:left w:w="85" w:type="dxa"/>
              <w:bottom w:w="0" w:type="dxa"/>
              <w:right w:w="85" w:type="dxa"/>
            </w:tcMar>
            <w:vAlign w:val="center"/>
          </w:tcPr>
          <w:p w14:paraId="5FBAC8E7" w14:textId="77777777" w:rsidR="003A5396" w:rsidRPr="001F4265" w:rsidRDefault="003A5396" w:rsidP="00F16E23">
            <w:pPr>
              <w:pStyle w:val="TableText"/>
              <w:spacing w:before="40" w:after="40"/>
              <w:jc w:val="right"/>
            </w:pPr>
            <w:r w:rsidRPr="001F4265">
              <w:rPr>
                <w:rFonts w:eastAsia="Calibri"/>
              </w:rPr>
              <w:t>±40</w:t>
            </w:r>
          </w:p>
        </w:tc>
      </w:tr>
      <w:tr w:rsidR="003A5396" w:rsidRPr="001F4265" w14:paraId="2FC015A2" w14:textId="77777777" w:rsidTr="00F16E23">
        <w:tc>
          <w:tcPr>
            <w:tcW w:w="2634" w:type="dxa"/>
            <w:shd w:val="clear" w:color="auto" w:fill="FFFFFF" w:themeFill="background1"/>
            <w:tcMar>
              <w:top w:w="0" w:type="dxa"/>
              <w:left w:w="85" w:type="dxa"/>
              <w:bottom w:w="0" w:type="dxa"/>
              <w:right w:w="85" w:type="dxa"/>
            </w:tcMar>
            <w:vAlign w:val="center"/>
          </w:tcPr>
          <w:p w14:paraId="4F07DFA6" w14:textId="77777777" w:rsidR="003A5396" w:rsidRPr="001F4265" w:rsidRDefault="003A5396" w:rsidP="00F16E23">
            <w:pPr>
              <w:pStyle w:val="TableText"/>
              <w:spacing w:before="40" w:after="40"/>
            </w:pPr>
            <w:r w:rsidRPr="001F4265">
              <w:rPr>
                <w:rFonts w:eastAsia="Calibri"/>
              </w:rPr>
              <w:t>Lime (CO</w:t>
            </w:r>
            <w:r w:rsidRPr="001F4265">
              <w:rPr>
                <w:rFonts w:eastAsia="Calibri"/>
                <w:vertAlign w:val="subscript"/>
              </w:rPr>
              <w:t>2</w:t>
            </w:r>
            <w:r w:rsidRPr="001F4265">
              <w:rPr>
                <w:rFonts w:eastAsia="Calibri"/>
              </w:rPr>
              <w:t>)</w:t>
            </w:r>
          </w:p>
        </w:tc>
        <w:tc>
          <w:tcPr>
            <w:tcW w:w="2780" w:type="dxa"/>
            <w:shd w:val="clear" w:color="auto" w:fill="FFFFFF" w:themeFill="background1"/>
            <w:tcMar>
              <w:top w:w="0" w:type="dxa"/>
              <w:left w:w="85" w:type="dxa"/>
              <w:bottom w:w="0" w:type="dxa"/>
              <w:right w:w="85" w:type="dxa"/>
            </w:tcMar>
            <w:vAlign w:val="center"/>
          </w:tcPr>
          <w:p w14:paraId="7C1BB3D9" w14:textId="77777777" w:rsidR="003A5396" w:rsidRPr="001F4265" w:rsidRDefault="003A5396" w:rsidP="00F16E23">
            <w:pPr>
              <w:pStyle w:val="TableText"/>
              <w:spacing w:before="40" w:after="40"/>
              <w:jc w:val="right"/>
            </w:pPr>
            <w:r w:rsidRPr="001F4265">
              <w:rPr>
                <w:rFonts w:eastAsia="Calibri"/>
              </w:rPr>
              <w:t>±2</w:t>
            </w:r>
          </w:p>
        </w:tc>
        <w:tc>
          <w:tcPr>
            <w:tcW w:w="3080" w:type="dxa"/>
            <w:shd w:val="clear" w:color="auto" w:fill="FFFFFF" w:themeFill="background1"/>
            <w:tcMar>
              <w:top w:w="0" w:type="dxa"/>
              <w:left w:w="85" w:type="dxa"/>
              <w:bottom w:w="0" w:type="dxa"/>
              <w:right w:w="85" w:type="dxa"/>
            </w:tcMar>
            <w:vAlign w:val="center"/>
          </w:tcPr>
          <w:p w14:paraId="4DCF9626" w14:textId="77777777" w:rsidR="003A5396" w:rsidRPr="001F4265" w:rsidRDefault="003A5396" w:rsidP="00F16E23">
            <w:pPr>
              <w:pStyle w:val="TableText"/>
              <w:spacing w:before="40" w:after="40"/>
              <w:jc w:val="right"/>
            </w:pPr>
            <w:r w:rsidRPr="001F4265">
              <w:rPr>
                <w:rFonts w:eastAsia="Calibri"/>
              </w:rPr>
              <w:t>±2</w:t>
            </w:r>
          </w:p>
        </w:tc>
      </w:tr>
      <w:tr w:rsidR="003A5396" w:rsidRPr="001F4265" w14:paraId="03A70C65" w14:textId="77777777" w:rsidTr="00F16E23">
        <w:tc>
          <w:tcPr>
            <w:tcW w:w="2634" w:type="dxa"/>
            <w:shd w:val="clear" w:color="auto" w:fill="FFFFFF" w:themeFill="background1"/>
            <w:tcMar>
              <w:top w:w="0" w:type="dxa"/>
              <w:left w:w="85" w:type="dxa"/>
              <w:bottom w:w="0" w:type="dxa"/>
              <w:right w:w="85" w:type="dxa"/>
            </w:tcMar>
            <w:vAlign w:val="center"/>
          </w:tcPr>
          <w:p w14:paraId="770ABBEB" w14:textId="77777777" w:rsidR="003A5396" w:rsidRPr="001F4265" w:rsidRDefault="003A5396" w:rsidP="00F16E23">
            <w:pPr>
              <w:pStyle w:val="TableText"/>
              <w:spacing w:before="40" w:after="40"/>
            </w:pPr>
            <w:r w:rsidRPr="001F4265">
              <w:rPr>
                <w:rFonts w:eastAsia="Calibri"/>
              </w:rPr>
              <w:t>Glass (SO</w:t>
            </w:r>
            <w:r w:rsidRPr="001F4265">
              <w:rPr>
                <w:rFonts w:eastAsia="Calibri"/>
                <w:vertAlign w:val="subscript"/>
              </w:rPr>
              <w:t>2</w:t>
            </w:r>
            <w:r w:rsidRPr="001F4265">
              <w:rPr>
                <w:rFonts w:eastAsia="Calibri"/>
              </w:rPr>
              <w:t>)</w:t>
            </w:r>
          </w:p>
        </w:tc>
        <w:tc>
          <w:tcPr>
            <w:tcW w:w="2780" w:type="dxa"/>
            <w:shd w:val="clear" w:color="auto" w:fill="FFFFFF" w:themeFill="background1"/>
            <w:tcMar>
              <w:top w:w="0" w:type="dxa"/>
              <w:left w:w="85" w:type="dxa"/>
              <w:bottom w:w="0" w:type="dxa"/>
              <w:right w:w="85" w:type="dxa"/>
            </w:tcMar>
            <w:vAlign w:val="center"/>
          </w:tcPr>
          <w:p w14:paraId="71D81EEE" w14:textId="77777777" w:rsidR="003A5396" w:rsidRPr="001F4265" w:rsidRDefault="003A5396" w:rsidP="00F16E23">
            <w:pPr>
              <w:pStyle w:val="TableText"/>
              <w:spacing w:before="40" w:after="40"/>
              <w:jc w:val="right"/>
            </w:pPr>
            <w:r w:rsidRPr="001F4265">
              <w:rPr>
                <w:rFonts w:eastAsia="Calibri"/>
              </w:rPr>
              <w:t>±5</w:t>
            </w:r>
          </w:p>
        </w:tc>
        <w:tc>
          <w:tcPr>
            <w:tcW w:w="3080" w:type="dxa"/>
            <w:shd w:val="clear" w:color="auto" w:fill="FFFFFF" w:themeFill="background1"/>
            <w:tcMar>
              <w:top w:w="0" w:type="dxa"/>
              <w:left w:w="85" w:type="dxa"/>
              <w:bottom w:w="0" w:type="dxa"/>
              <w:right w:w="85" w:type="dxa"/>
            </w:tcMar>
            <w:vAlign w:val="center"/>
          </w:tcPr>
          <w:p w14:paraId="0B277458" w14:textId="77777777" w:rsidR="003A5396" w:rsidRPr="001F4265" w:rsidRDefault="003A5396" w:rsidP="00F16E23">
            <w:pPr>
              <w:pStyle w:val="TableText"/>
              <w:spacing w:before="40" w:after="40"/>
              <w:jc w:val="right"/>
            </w:pPr>
            <w:r w:rsidRPr="001F4265">
              <w:rPr>
                <w:rFonts w:eastAsia="Calibri"/>
              </w:rPr>
              <w:t>±10</w:t>
            </w:r>
          </w:p>
        </w:tc>
      </w:tr>
      <w:tr w:rsidR="003A5396" w:rsidRPr="001F4265" w14:paraId="5C67C71F" w14:textId="77777777" w:rsidTr="00F16E23">
        <w:tc>
          <w:tcPr>
            <w:tcW w:w="2634" w:type="dxa"/>
            <w:shd w:val="clear" w:color="auto" w:fill="FFFFFF" w:themeFill="background1"/>
            <w:tcMar>
              <w:top w:w="0" w:type="dxa"/>
              <w:left w:w="85" w:type="dxa"/>
              <w:bottom w:w="0" w:type="dxa"/>
              <w:right w:w="85" w:type="dxa"/>
            </w:tcMar>
            <w:vAlign w:val="center"/>
          </w:tcPr>
          <w:p w14:paraId="3A93298D" w14:textId="77777777" w:rsidR="003A5396" w:rsidRPr="001F4265" w:rsidRDefault="003A5396" w:rsidP="00F16E23">
            <w:pPr>
              <w:pStyle w:val="TableText"/>
              <w:spacing w:before="40" w:after="40"/>
            </w:pPr>
            <w:r w:rsidRPr="001F4265">
              <w:rPr>
                <w:rFonts w:eastAsia="Calibri"/>
              </w:rPr>
              <w:t>Glass (NMVOC)</w:t>
            </w:r>
          </w:p>
        </w:tc>
        <w:tc>
          <w:tcPr>
            <w:tcW w:w="2780" w:type="dxa"/>
            <w:shd w:val="clear" w:color="auto" w:fill="FFFFFF" w:themeFill="background1"/>
            <w:tcMar>
              <w:top w:w="0" w:type="dxa"/>
              <w:left w:w="85" w:type="dxa"/>
              <w:bottom w:w="0" w:type="dxa"/>
              <w:right w:w="85" w:type="dxa"/>
            </w:tcMar>
            <w:vAlign w:val="center"/>
          </w:tcPr>
          <w:p w14:paraId="3AADDC2B" w14:textId="77777777" w:rsidR="003A5396" w:rsidRPr="001F4265" w:rsidRDefault="003A5396" w:rsidP="00F16E23">
            <w:pPr>
              <w:pStyle w:val="TableText"/>
              <w:spacing w:before="40" w:after="40"/>
              <w:jc w:val="right"/>
            </w:pPr>
            <w:r w:rsidRPr="001F4265">
              <w:rPr>
                <w:rFonts w:eastAsia="Calibri"/>
              </w:rPr>
              <w:t>±5</w:t>
            </w:r>
          </w:p>
        </w:tc>
        <w:tc>
          <w:tcPr>
            <w:tcW w:w="3080" w:type="dxa"/>
            <w:shd w:val="clear" w:color="auto" w:fill="FFFFFF" w:themeFill="background1"/>
            <w:tcMar>
              <w:top w:w="0" w:type="dxa"/>
              <w:left w:w="85" w:type="dxa"/>
              <w:bottom w:w="0" w:type="dxa"/>
              <w:right w:w="85" w:type="dxa"/>
            </w:tcMar>
            <w:vAlign w:val="center"/>
          </w:tcPr>
          <w:p w14:paraId="3AE41E36" w14:textId="77777777" w:rsidR="003A5396" w:rsidRPr="001F4265" w:rsidRDefault="003A5396" w:rsidP="00F16E23">
            <w:pPr>
              <w:pStyle w:val="TableText"/>
              <w:spacing w:before="40" w:after="40"/>
              <w:jc w:val="right"/>
            </w:pPr>
            <w:r w:rsidRPr="001F4265">
              <w:rPr>
                <w:rFonts w:eastAsia="Calibri"/>
              </w:rPr>
              <w:t>±50</w:t>
            </w:r>
          </w:p>
        </w:tc>
      </w:tr>
      <w:tr w:rsidR="003A5396" w:rsidRPr="001F4265" w14:paraId="54F3E1C6" w14:textId="77777777" w:rsidTr="00F16E23">
        <w:tc>
          <w:tcPr>
            <w:tcW w:w="2634" w:type="dxa"/>
            <w:shd w:val="clear" w:color="auto" w:fill="FFFFFF" w:themeFill="background1"/>
            <w:tcMar>
              <w:top w:w="0" w:type="dxa"/>
              <w:left w:w="85" w:type="dxa"/>
              <w:bottom w:w="0" w:type="dxa"/>
              <w:right w:w="85" w:type="dxa"/>
            </w:tcMar>
            <w:vAlign w:val="center"/>
          </w:tcPr>
          <w:p w14:paraId="144ED15F" w14:textId="77777777" w:rsidR="003A5396" w:rsidRPr="001F4265" w:rsidRDefault="003A5396" w:rsidP="00F16E23">
            <w:pPr>
              <w:pStyle w:val="TableText"/>
              <w:spacing w:before="40" w:after="40"/>
            </w:pPr>
            <w:r w:rsidRPr="001F4265">
              <w:rPr>
                <w:rFonts w:eastAsia="Calibri"/>
              </w:rPr>
              <w:t>Ceramics (CO</w:t>
            </w:r>
            <w:r w:rsidRPr="001F4265">
              <w:rPr>
                <w:rFonts w:eastAsia="Calibri"/>
                <w:vertAlign w:val="subscript"/>
              </w:rPr>
              <w:t>2</w:t>
            </w:r>
            <w:r w:rsidRPr="001F4265">
              <w:rPr>
                <w:rFonts w:eastAsia="Calibri"/>
              </w:rPr>
              <w:t>)</w:t>
            </w:r>
          </w:p>
        </w:tc>
        <w:tc>
          <w:tcPr>
            <w:tcW w:w="2780" w:type="dxa"/>
            <w:shd w:val="clear" w:color="auto" w:fill="FFFFFF" w:themeFill="background1"/>
            <w:tcMar>
              <w:top w:w="0" w:type="dxa"/>
              <w:left w:w="85" w:type="dxa"/>
              <w:bottom w:w="0" w:type="dxa"/>
              <w:right w:w="85" w:type="dxa"/>
            </w:tcMar>
            <w:vAlign w:val="center"/>
          </w:tcPr>
          <w:p w14:paraId="2EC2EC93" w14:textId="77777777" w:rsidR="003A5396" w:rsidRPr="001F4265" w:rsidRDefault="003A5396" w:rsidP="00F16E23">
            <w:pPr>
              <w:pStyle w:val="TableText"/>
              <w:spacing w:before="40" w:after="40"/>
              <w:jc w:val="right"/>
            </w:pPr>
            <w:r w:rsidRPr="001F4265">
              <w:rPr>
                <w:rFonts w:eastAsia="Calibri"/>
              </w:rPr>
              <w:t>±50</w:t>
            </w:r>
          </w:p>
        </w:tc>
        <w:tc>
          <w:tcPr>
            <w:tcW w:w="3080" w:type="dxa"/>
            <w:shd w:val="clear" w:color="auto" w:fill="FFFFFF" w:themeFill="background1"/>
            <w:tcMar>
              <w:top w:w="0" w:type="dxa"/>
              <w:left w:w="85" w:type="dxa"/>
              <w:bottom w:w="0" w:type="dxa"/>
              <w:right w:w="85" w:type="dxa"/>
            </w:tcMar>
            <w:vAlign w:val="center"/>
          </w:tcPr>
          <w:p w14:paraId="06FA8CB0" w14:textId="77777777" w:rsidR="003A5396" w:rsidRPr="001F4265" w:rsidRDefault="003A5396" w:rsidP="00F16E23">
            <w:pPr>
              <w:pStyle w:val="TableText"/>
              <w:spacing w:before="40" w:after="40"/>
              <w:jc w:val="right"/>
            </w:pPr>
            <w:r w:rsidRPr="001F4265">
              <w:rPr>
                <w:rFonts w:eastAsia="Calibri"/>
              </w:rPr>
              <w:t>±20</w:t>
            </w:r>
          </w:p>
        </w:tc>
      </w:tr>
      <w:tr w:rsidR="003A5396" w:rsidRPr="001F4265" w14:paraId="7CB54D3A" w14:textId="77777777" w:rsidTr="00F16E23">
        <w:tc>
          <w:tcPr>
            <w:tcW w:w="2634" w:type="dxa"/>
            <w:shd w:val="clear" w:color="auto" w:fill="FFFFFF" w:themeFill="background1"/>
            <w:tcMar>
              <w:top w:w="0" w:type="dxa"/>
              <w:left w:w="85" w:type="dxa"/>
              <w:bottom w:w="0" w:type="dxa"/>
              <w:right w:w="85" w:type="dxa"/>
            </w:tcMar>
            <w:vAlign w:val="center"/>
          </w:tcPr>
          <w:p w14:paraId="2B295EB8" w14:textId="77777777" w:rsidR="003A5396" w:rsidRPr="001F4265" w:rsidRDefault="003A5396" w:rsidP="00F16E23">
            <w:pPr>
              <w:pStyle w:val="TableText"/>
              <w:spacing w:before="40" w:after="40"/>
            </w:pPr>
            <w:r w:rsidRPr="001F4265">
              <w:rPr>
                <w:rFonts w:eastAsia="Calibri"/>
              </w:rPr>
              <w:t>Other uses of soda ash (CO</w:t>
            </w:r>
            <w:r w:rsidRPr="001F4265">
              <w:rPr>
                <w:rFonts w:eastAsia="Calibri"/>
                <w:vertAlign w:val="subscript"/>
              </w:rPr>
              <w:t>2</w:t>
            </w:r>
            <w:r w:rsidRPr="001F4265">
              <w:rPr>
                <w:rFonts w:eastAsia="Calibri"/>
              </w:rPr>
              <w:t>)</w:t>
            </w:r>
          </w:p>
        </w:tc>
        <w:tc>
          <w:tcPr>
            <w:tcW w:w="2780" w:type="dxa"/>
            <w:shd w:val="clear" w:color="auto" w:fill="FFFFFF" w:themeFill="background1"/>
            <w:tcMar>
              <w:top w:w="0" w:type="dxa"/>
              <w:left w:w="85" w:type="dxa"/>
              <w:bottom w:w="0" w:type="dxa"/>
              <w:right w:w="85" w:type="dxa"/>
            </w:tcMar>
            <w:vAlign w:val="center"/>
          </w:tcPr>
          <w:p w14:paraId="6D2380FF" w14:textId="77777777" w:rsidR="003A5396" w:rsidRPr="001F4265" w:rsidRDefault="003A5396" w:rsidP="00F16E23">
            <w:pPr>
              <w:pStyle w:val="TableText"/>
              <w:spacing w:before="40" w:after="40"/>
              <w:jc w:val="right"/>
            </w:pPr>
            <w:r w:rsidRPr="001F4265">
              <w:rPr>
                <w:rFonts w:eastAsia="Calibri"/>
              </w:rPr>
              <w:t>±3</w:t>
            </w:r>
          </w:p>
        </w:tc>
        <w:tc>
          <w:tcPr>
            <w:tcW w:w="3080" w:type="dxa"/>
            <w:shd w:val="clear" w:color="auto" w:fill="FFFFFF" w:themeFill="background1"/>
            <w:tcMar>
              <w:top w:w="0" w:type="dxa"/>
              <w:left w:w="85" w:type="dxa"/>
              <w:bottom w:w="0" w:type="dxa"/>
              <w:right w:w="85" w:type="dxa"/>
            </w:tcMar>
            <w:vAlign w:val="center"/>
          </w:tcPr>
          <w:p w14:paraId="0618B3C5" w14:textId="77777777" w:rsidR="003A5396" w:rsidRPr="001F4265" w:rsidRDefault="003A5396" w:rsidP="00F16E23">
            <w:pPr>
              <w:pStyle w:val="TableText"/>
              <w:spacing w:before="40" w:after="40"/>
              <w:jc w:val="right"/>
            </w:pPr>
            <w:r w:rsidRPr="001F4265">
              <w:rPr>
                <w:rFonts w:eastAsia="Calibri"/>
              </w:rPr>
              <w:t>±2</w:t>
            </w:r>
          </w:p>
        </w:tc>
      </w:tr>
      <w:tr w:rsidR="003A5396" w:rsidRPr="001F4265" w14:paraId="5712E967" w14:textId="77777777" w:rsidTr="00F16E23">
        <w:tc>
          <w:tcPr>
            <w:tcW w:w="2634" w:type="dxa"/>
            <w:shd w:val="clear" w:color="auto" w:fill="FFFFFF" w:themeFill="background1"/>
            <w:tcMar>
              <w:top w:w="0" w:type="dxa"/>
              <w:left w:w="85" w:type="dxa"/>
              <w:bottom w:w="0" w:type="dxa"/>
              <w:right w:w="85" w:type="dxa"/>
            </w:tcMar>
            <w:vAlign w:val="center"/>
          </w:tcPr>
          <w:p w14:paraId="5260A0E8" w14:textId="77777777" w:rsidR="003A5396" w:rsidRPr="001F4265" w:rsidRDefault="003A5396" w:rsidP="00F16E23">
            <w:pPr>
              <w:pStyle w:val="TableText"/>
              <w:spacing w:before="40" w:after="40"/>
            </w:pPr>
            <w:r w:rsidRPr="001F4265">
              <w:rPr>
                <w:rFonts w:eastAsia="Calibri"/>
              </w:rPr>
              <w:t>Other uses of limestone (CO</w:t>
            </w:r>
            <w:r w:rsidRPr="001F4265">
              <w:rPr>
                <w:rFonts w:eastAsia="Calibri"/>
                <w:vertAlign w:val="subscript"/>
              </w:rPr>
              <w:t>2</w:t>
            </w:r>
            <w:r w:rsidRPr="001F4265">
              <w:rPr>
                <w:rFonts w:eastAsia="Calibri"/>
              </w:rPr>
              <w:t>)</w:t>
            </w:r>
          </w:p>
        </w:tc>
        <w:tc>
          <w:tcPr>
            <w:tcW w:w="2780" w:type="dxa"/>
            <w:shd w:val="clear" w:color="auto" w:fill="FFFFFF" w:themeFill="background1"/>
            <w:tcMar>
              <w:top w:w="0" w:type="dxa"/>
              <w:left w:w="85" w:type="dxa"/>
              <w:bottom w:w="0" w:type="dxa"/>
              <w:right w:w="85" w:type="dxa"/>
            </w:tcMar>
            <w:vAlign w:val="center"/>
          </w:tcPr>
          <w:p w14:paraId="6009C16A" w14:textId="77777777" w:rsidR="003A5396" w:rsidRPr="001F4265" w:rsidRDefault="003A5396" w:rsidP="00F16E23">
            <w:pPr>
              <w:pStyle w:val="TableText"/>
              <w:spacing w:before="40" w:after="40"/>
              <w:jc w:val="right"/>
            </w:pPr>
            <w:r w:rsidRPr="001F4265">
              <w:rPr>
                <w:rFonts w:eastAsia="Calibri"/>
              </w:rPr>
              <w:t>±3</w:t>
            </w:r>
          </w:p>
        </w:tc>
        <w:tc>
          <w:tcPr>
            <w:tcW w:w="3080" w:type="dxa"/>
            <w:shd w:val="clear" w:color="auto" w:fill="FFFFFF" w:themeFill="background1"/>
            <w:tcMar>
              <w:top w:w="0" w:type="dxa"/>
              <w:left w:w="85" w:type="dxa"/>
              <w:bottom w:w="0" w:type="dxa"/>
              <w:right w:w="85" w:type="dxa"/>
            </w:tcMar>
            <w:vAlign w:val="center"/>
          </w:tcPr>
          <w:p w14:paraId="714DF73E" w14:textId="77777777" w:rsidR="003A5396" w:rsidRPr="001F4265" w:rsidRDefault="003A5396" w:rsidP="00F16E23">
            <w:pPr>
              <w:pStyle w:val="TableText"/>
              <w:spacing w:before="40" w:after="40"/>
              <w:jc w:val="right"/>
            </w:pPr>
            <w:r w:rsidRPr="001F4265">
              <w:rPr>
                <w:rFonts w:eastAsia="Calibri"/>
              </w:rPr>
              <w:t>±2</w:t>
            </w:r>
          </w:p>
        </w:tc>
      </w:tr>
    </w:tbl>
    <w:p w14:paraId="0B90F335" w14:textId="77777777" w:rsidR="003A5396" w:rsidRPr="001F4265" w:rsidRDefault="003A5396" w:rsidP="003A5396">
      <w:pPr>
        <w:pStyle w:val="Heading4"/>
        <w:spacing w:before="400"/>
      </w:pPr>
      <w:r w:rsidRPr="001F4265">
        <w:t>Time-series consistency</w:t>
      </w:r>
    </w:p>
    <w:p w14:paraId="52CEE31D" w14:textId="77777777" w:rsidR="003A5396" w:rsidRPr="001F4265" w:rsidRDefault="003A5396" w:rsidP="003A5396">
      <w:pPr>
        <w:pStyle w:val="BodyText"/>
      </w:pPr>
      <w:r w:rsidRPr="001F4265">
        <w:t>In previous inventory submissions, the reported activity data for lime production have not been fully consistent through the time series because of the change to using NZ ETS data and the use of different calculation methods for these emissions. A consistent approach, based on the methods that companies are required to use for NZ ETS reporting, is now applied for the entire time series.</w:t>
      </w:r>
    </w:p>
    <w:p w14:paraId="65EBA57A" w14:textId="77777777" w:rsidR="003A5396" w:rsidRPr="001F4265" w:rsidRDefault="003A5396" w:rsidP="003A5396">
      <w:pPr>
        <w:pStyle w:val="Heading3"/>
      </w:pPr>
      <w:bookmarkStart w:id="474" w:name="category-specific-qaqc-verification"/>
      <w:r w:rsidRPr="001F4265">
        <w:t xml:space="preserve">4.2.4 </w:t>
      </w:r>
      <w:r w:rsidRPr="001F4265">
        <w:tab/>
        <w:t>Category-specific QA/QC verification</w:t>
      </w:r>
    </w:p>
    <w:p w14:paraId="1C382046" w14:textId="77777777" w:rsidR="003A5396" w:rsidRPr="001F4265" w:rsidRDefault="003A5396" w:rsidP="003A5396">
      <w:pPr>
        <w:pStyle w:val="BodyText"/>
      </w:pPr>
      <w:r w:rsidRPr="001F4265">
        <w:t>For this submission, data for all CO</w:t>
      </w:r>
      <w:r w:rsidRPr="001F4265">
        <w:rPr>
          <w:vertAlign w:val="subscript"/>
        </w:rPr>
        <w:t>2</w:t>
      </w:r>
      <w:r w:rsidRPr="001F4265">
        <w:t xml:space="preserve"> emissions in the </w:t>
      </w:r>
      <w:r w:rsidRPr="001F4265">
        <w:rPr>
          <w:i/>
          <w:iCs/>
        </w:rPr>
        <w:t>Mineral industry</w:t>
      </w:r>
      <w:r w:rsidRPr="001F4265">
        <w:t xml:space="preserve"> category underwent Tier 1 quality checks in the preparation of this inventory. The only key category in the </w:t>
      </w:r>
      <w:r w:rsidRPr="001F4265">
        <w:rPr>
          <w:i/>
        </w:rPr>
        <w:t>Mineral industry</w:t>
      </w:r>
      <w:r w:rsidRPr="001F4265">
        <w:t xml:space="preserve"> category is CO</w:t>
      </w:r>
      <w:r w:rsidRPr="001F4265">
        <w:rPr>
          <w:vertAlign w:val="subscript"/>
        </w:rPr>
        <w:t>2</w:t>
      </w:r>
      <w:r w:rsidRPr="001F4265">
        <w:t xml:space="preserve"> emissions from </w:t>
      </w:r>
      <w:r w:rsidRPr="001F4265">
        <w:rPr>
          <w:i/>
          <w:iCs/>
        </w:rPr>
        <w:t>Cement production</w:t>
      </w:r>
      <w:r w:rsidRPr="001F4265">
        <w:t xml:space="preserve"> (level and trend assessment).</w:t>
      </w:r>
    </w:p>
    <w:p w14:paraId="303AE6F0" w14:textId="77777777" w:rsidR="003A5396" w:rsidRPr="001F4265" w:rsidRDefault="003A5396" w:rsidP="003A5396">
      <w:pPr>
        <w:pStyle w:val="BodyText"/>
      </w:pPr>
      <w:r w:rsidRPr="001F4265">
        <w:t>Verification of activity data from independent sources is not currently possible. The EPA carries out verification of NZ ETS participants’ submitted data on a rotating basis and, as these verifications occur, the inventory agency (the Ministry for the Environment) will make use of the resulting information to verify the emissions data where possible.</w:t>
      </w:r>
    </w:p>
    <w:bookmarkEnd w:id="474"/>
    <w:p w14:paraId="5EBA3FEE" w14:textId="77777777" w:rsidR="003A5396" w:rsidRPr="001F4265" w:rsidRDefault="003A5396" w:rsidP="003A5396">
      <w:pPr>
        <w:pStyle w:val="Heading3"/>
      </w:pPr>
      <w:r w:rsidRPr="001F4265">
        <w:t xml:space="preserve">4.2.5 </w:t>
      </w:r>
      <w:r w:rsidRPr="001F4265">
        <w:tab/>
        <w:t>Category-specific recalculations</w:t>
      </w:r>
    </w:p>
    <w:p w14:paraId="2A3376E3" w14:textId="77777777" w:rsidR="003A5396" w:rsidRPr="001F4265" w:rsidRDefault="003A5396" w:rsidP="003A5396">
      <w:pPr>
        <w:pStyle w:val="BodyText"/>
      </w:pPr>
      <w:r w:rsidRPr="001F4265">
        <w:t>There are no recalculations of direct gases for this category. There are some minor recalculations of SO</w:t>
      </w:r>
      <w:r w:rsidRPr="001F4265">
        <w:rPr>
          <w:vertAlign w:val="subscript"/>
        </w:rPr>
        <w:t>2</w:t>
      </w:r>
      <w:r w:rsidRPr="001F4265">
        <w:t xml:space="preserve"> averaging 0.02 tonne per annum between 1990 and 2023.</w:t>
      </w:r>
    </w:p>
    <w:p w14:paraId="1364ABBF" w14:textId="77777777" w:rsidR="003A5396" w:rsidRPr="001F4265" w:rsidRDefault="003A5396" w:rsidP="003A5396">
      <w:pPr>
        <w:pStyle w:val="Heading3"/>
      </w:pPr>
      <w:r w:rsidRPr="001F4265">
        <w:t xml:space="preserve">4.2.6 </w:t>
      </w:r>
      <w:r w:rsidRPr="001F4265">
        <w:tab/>
        <w:t>Category-specific planned improvements</w:t>
      </w:r>
    </w:p>
    <w:p w14:paraId="181D8A97" w14:textId="77777777" w:rsidR="003A5396" w:rsidRPr="001F4265" w:rsidRDefault="003A5396" w:rsidP="003A5396">
      <w:pPr>
        <w:pStyle w:val="BodyText"/>
      </w:pPr>
      <w:r w:rsidRPr="001F4265">
        <w:t xml:space="preserve">The inventory agency has worked with the companies in the </w:t>
      </w:r>
      <w:r w:rsidRPr="001F4265">
        <w:rPr>
          <w:i/>
          <w:iCs/>
        </w:rPr>
        <w:t>Mineral industry</w:t>
      </w:r>
      <w:r w:rsidRPr="001F4265">
        <w:t xml:space="preserve"> category to improve transparency and robustness in the data provided. Concerns about the confidentiality of data provided by the glass industry remain a barrier to improving transparency further.</w:t>
      </w:r>
    </w:p>
    <w:p w14:paraId="405A9248" w14:textId="77777777" w:rsidR="003A5396" w:rsidRPr="001F4265" w:rsidRDefault="003A5396" w:rsidP="003A5396">
      <w:pPr>
        <w:pStyle w:val="Heading2"/>
      </w:pPr>
      <w:bookmarkStart w:id="475" w:name="_Toc226460760"/>
      <w:bookmarkStart w:id="476" w:name="chemical-industry-2.b"/>
      <w:bookmarkEnd w:id="467"/>
      <w:r w:rsidRPr="001F4265">
        <w:t xml:space="preserve">4.3 </w:t>
      </w:r>
      <w:r w:rsidRPr="001F4265">
        <w:tab/>
        <w:t>Chemical industry (2.B)</w:t>
      </w:r>
      <w:bookmarkEnd w:id="475"/>
    </w:p>
    <w:p w14:paraId="6DAA9C4F" w14:textId="77777777" w:rsidR="003A5396" w:rsidRPr="001F4265" w:rsidRDefault="003A5396" w:rsidP="003A5396">
      <w:pPr>
        <w:pStyle w:val="Heading3"/>
        <w:spacing w:before="240"/>
      </w:pPr>
      <w:r w:rsidRPr="001F4265">
        <w:t xml:space="preserve">4.3.1 </w:t>
      </w:r>
      <w:r w:rsidRPr="001F4265">
        <w:tab/>
        <w:t>Description</w:t>
      </w:r>
    </w:p>
    <w:p w14:paraId="453B7FD4" w14:textId="77777777" w:rsidR="003A5396" w:rsidRPr="001F4265" w:rsidRDefault="003A5396" w:rsidP="003A5396">
      <w:pPr>
        <w:pStyle w:val="BodyText"/>
      </w:pPr>
      <w:r w:rsidRPr="001F4265">
        <w:t xml:space="preserve">The significant chemical processes occurring in New Zealand are the production of urea, methanol, superphosphate fertiliser, hydrogen peroxide, formaldehyde and ethanol. In addition, a substantial amount of hydrogen was made at the Marsden Point Oil Refinery until the refinery closed in March 2022. Carbon dioxide emissions from this process are reported in the </w:t>
      </w:r>
      <w:r w:rsidRPr="001F4265">
        <w:rPr>
          <w:i/>
          <w:iCs/>
        </w:rPr>
        <w:t>Chemical industry</w:t>
      </w:r>
      <w:r w:rsidRPr="001F4265">
        <w:t xml:space="preserve"> category. No other relevant chemical products (such as nitric acid, adipic acid, ethylene or fluorochemicals) are produced in New Zealand.</w:t>
      </w:r>
    </w:p>
    <w:p w14:paraId="16A3CF0B" w14:textId="77777777" w:rsidR="003A5396" w:rsidRPr="001F4265" w:rsidRDefault="003A5396" w:rsidP="003A5396">
      <w:pPr>
        <w:pStyle w:val="BodyText"/>
      </w:pPr>
      <w:r w:rsidRPr="001F4265">
        <w:t>Ammonia is made at one site in Taranaki by the catalytic steam reforming of natural gas. The ammonia produced is further processed into urea. The emissions of CO</w:t>
      </w:r>
      <w:r w:rsidRPr="001F4265">
        <w:rPr>
          <w:vertAlign w:val="subscript"/>
        </w:rPr>
        <w:t>2</w:t>
      </w:r>
      <w:r w:rsidRPr="001F4265">
        <w:t xml:space="preserve"> reported in this category arise from the fraction of chemical feedstock CO</w:t>
      </w:r>
      <w:r w:rsidRPr="001F4265">
        <w:rPr>
          <w:vertAlign w:val="subscript"/>
        </w:rPr>
        <w:t>2</w:t>
      </w:r>
      <w:r w:rsidRPr="001F4265">
        <w:t xml:space="preserve"> that is not recovered for urea production. Emissions from combustion at this site are reported separately under the Energy sector (1.A.2.c). Nearly all of the urea produced is used as a fertiliser in New Zealand. The emissions associated with agricultural use of urea (both manufactured in New Zealand and imported) are reported under the Agriculture sector (3.H). A small amount of urea is also used for catalytic reduction of diesel exhaust emissions. The emissions of CO</w:t>
      </w:r>
      <w:r w:rsidRPr="001F4265">
        <w:rPr>
          <w:vertAlign w:val="subscript"/>
        </w:rPr>
        <w:t>2</w:t>
      </w:r>
      <w:r w:rsidRPr="001F4265">
        <w:t xml:space="preserve"> from this use of urea are reported in the </w:t>
      </w:r>
      <w:r w:rsidRPr="001F4265">
        <w:rPr>
          <w:i/>
          <w:iCs/>
        </w:rPr>
        <w:t>Non-energy products from fuels and solvent use</w:t>
      </w:r>
      <w:r w:rsidRPr="001F4265">
        <w:t xml:space="preserve"> category (2.D.3).</w:t>
      </w:r>
    </w:p>
    <w:p w14:paraId="254AA979" w14:textId="77777777" w:rsidR="003A5396" w:rsidRPr="001F4265" w:rsidRDefault="003A5396" w:rsidP="003A5396">
      <w:pPr>
        <w:pStyle w:val="BodyText"/>
      </w:pPr>
      <w:r w:rsidRPr="001F4265">
        <w:t>Methane emissions are reported from the production of methanol, which is made from natural gas feedstock at two sites in Taranaki. From 1990 to 1997, a large proportion of the methanol made in New Zealand was processed into synthetic gasoline for transport use. All emissions associated with the production of gasoline, including the synthetic gasoline produced from 1990 to 1997, are reported under the Energy sector (1.A.1). From 1998, all methanol made in New Zealand has been chemical methanol for export and, therefore, all process emissions from the methanol plants have been reported under the IPPU sector.</w:t>
      </w:r>
    </w:p>
    <w:p w14:paraId="3C543D95" w14:textId="77777777" w:rsidR="003A5396" w:rsidRPr="001F4265" w:rsidRDefault="003A5396" w:rsidP="003A5396">
      <w:pPr>
        <w:pStyle w:val="BodyText"/>
      </w:pPr>
      <w:r w:rsidRPr="001F4265">
        <w:t>A small amount of CO</w:t>
      </w:r>
      <w:r w:rsidRPr="001F4265">
        <w:rPr>
          <w:vertAlign w:val="subscript"/>
        </w:rPr>
        <w:t>2</w:t>
      </w:r>
      <w:r w:rsidRPr="001F4265">
        <w:t xml:space="preserve"> is reported from the use of imported calcium carbide, which is used to produce acetylene for welding. No carbides are manufactured in New Zealand.</w:t>
      </w:r>
    </w:p>
    <w:p w14:paraId="06CB4091" w14:textId="77777777" w:rsidR="003A5396" w:rsidRPr="001F4265" w:rsidRDefault="003A5396" w:rsidP="003A5396">
      <w:pPr>
        <w:pStyle w:val="BodyText"/>
      </w:pPr>
      <w:r w:rsidRPr="001F4265">
        <w:t>Some indirect emissions (oxides of nitrogen (NO</w:t>
      </w:r>
      <w:r w:rsidRPr="001F4265">
        <w:rPr>
          <w:vertAlign w:val="subscript"/>
        </w:rPr>
        <w:t>x</w:t>
      </w:r>
      <w:r w:rsidRPr="001F4265">
        <w:t>), carbon monoxide (CO), NMVOCs and SO</w:t>
      </w:r>
      <w:r w:rsidRPr="001F4265">
        <w:rPr>
          <w:vertAlign w:val="subscript"/>
        </w:rPr>
        <w:t>2</w:t>
      </w:r>
      <w:r w:rsidRPr="001F4265">
        <w:t>) are reported from methanol, formaldehyde, ethanol and superphosphate fertiliser production.</w:t>
      </w:r>
    </w:p>
    <w:p w14:paraId="3E78C06F" w14:textId="77777777" w:rsidR="003A5396" w:rsidRPr="001F4265" w:rsidRDefault="003A5396" w:rsidP="003A5396">
      <w:pPr>
        <w:pStyle w:val="BodyText"/>
      </w:pPr>
      <w:r w:rsidRPr="001F4265">
        <w:t xml:space="preserve">In 2024, emissions from the </w:t>
      </w:r>
      <w:r w:rsidRPr="001F4265">
        <w:rPr>
          <w:i/>
          <w:iCs/>
        </w:rPr>
        <w:t>Chemical industry</w:t>
      </w:r>
      <w:r w:rsidRPr="001F4265">
        <w:t xml:space="preserve"> category were 76.3 kt CO</w:t>
      </w:r>
      <w:r w:rsidRPr="001F4265">
        <w:rPr>
          <w:vertAlign w:val="subscript"/>
        </w:rPr>
        <w:t>2</w:t>
      </w:r>
      <w:r w:rsidRPr="001F4265">
        <w:t>e, or 2.0 percent of emissions from the IPPU sector. This is 130.0 kt CO</w:t>
      </w:r>
      <w:r w:rsidRPr="001F4265">
        <w:rPr>
          <w:vertAlign w:val="subscript"/>
        </w:rPr>
        <w:t>2</w:t>
      </w:r>
      <w:r w:rsidRPr="001F4265">
        <w:t>e (63.0 percent) below the 1990 level and 174.9 kt CO</w:t>
      </w:r>
      <w:r w:rsidRPr="001F4265">
        <w:rPr>
          <w:vertAlign w:val="subscript"/>
        </w:rPr>
        <w:t>2</w:t>
      </w:r>
      <w:r w:rsidRPr="001F4265">
        <w:t>e (69.6 percent) below the 2005 level. The reduction occurred from 2020 and was driven by a decrease in emissions from the Marsden Point Oil Refinery. The refinery company outputs remained low as it prepared for its closure in March 2022 and due to COVID</w:t>
      </w:r>
      <w:r w:rsidRPr="001F4265">
        <w:noBreakHyphen/>
        <w:t>19 pandemic restrictions. Additionally, Methanex New Zealand, which operates methanol production plants, shut down its Waitara Valley plant in early 2021 due to natural gas supply constraints.</w:t>
      </w:r>
    </w:p>
    <w:p w14:paraId="397B4049" w14:textId="77777777" w:rsidR="003A5396" w:rsidRPr="001F4265" w:rsidRDefault="003A5396" w:rsidP="003A5396">
      <w:pPr>
        <w:pStyle w:val="BodyText"/>
      </w:pPr>
      <w:r w:rsidRPr="001F4265">
        <w:t xml:space="preserve">The only key category in the </w:t>
      </w:r>
      <w:r w:rsidRPr="001F4265">
        <w:rPr>
          <w:i/>
        </w:rPr>
        <w:t>Chemical industry</w:t>
      </w:r>
      <w:r w:rsidRPr="001F4265">
        <w:t xml:space="preserve"> category is CO</w:t>
      </w:r>
      <w:r w:rsidRPr="001F4265">
        <w:rPr>
          <w:vertAlign w:val="subscript"/>
        </w:rPr>
        <w:t>2</w:t>
      </w:r>
      <w:r w:rsidRPr="001F4265">
        <w:t xml:space="preserve"> emissions from the </w:t>
      </w:r>
      <w:r w:rsidRPr="001F4265">
        <w:rPr>
          <w:i/>
          <w:iCs/>
        </w:rPr>
        <w:t>Other</w:t>
      </w:r>
      <w:r w:rsidRPr="001F4265">
        <w:t xml:space="preserve"> category (trend assessment).</w:t>
      </w:r>
    </w:p>
    <w:p w14:paraId="485E01D1" w14:textId="77777777" w:rsidR="003A5396" w:rsidRPr="001F4265" w:rsidRDefault="003A5396" w:rsidP="003A5396">
      <w:pPr>
        <w:pStyle w:val="Heading3"/>
      </w:pPr>
      <w:r w:rsidRPr="001F4265">
        <w:t xml:space="preserve">4.3.2 </w:t>
      </w:r>
      <w:r w:rsidRPr="001F4265">
        <w:tab/>
        <w:t>Methodological issues</w:t>
      </w:r>
    </w:p>
    <w:p w14:paraId="59788BD6" w14:textId="77777777" w:rsidR="003A5396" w:rsidRPr="001F4265" w:rsidRDefault="003A5396" w:rsidP="003A5396">
      <w:pPr>
        <w:pStyle w:val="Heading4"/>
      </w:pPr>
      <w:r w:rsidRPr="001F4265">
        <w:t>Choice of activity data</w:t>
      </w:r>
    </w:p>
    <w:p w14:paraId="00997394" w14:textId="77777777" w:rsidR="003A5396" w:rsidRPr="001F4265" w:rsidRDefault="003A5396" w:rsidP="003A5396">
      <w:pPr>
        <w:pStyle w:val="Heading5"/>
        <w:spacing w:before="180"/>
      </w:pPr>
      <w:bookmarkStart w:id="477" w:name="ammonia-and-urea-2.b.1"/>
      <w:r w:rsidRPr="001F4265">
        <w:t>Ammonia and urea (2.B.1)</w:t>
      </w:r>
    </w:p>
    <w:p w14:paraId="19F39849" w14:textId="77777777" w:rsidR="003A5396" w:rsidRPr="001F4265" w:rsidRDefault="003A5396" w:rsidP="003A5396">
      <w:pPr>
        <w:pStyle w:val="BodyText"/>
      </w:pPr>
      <w:r w:rsidRPr="001F4265">
        <w:t>Data on the production of urea are supplied to MBIE by Ballance Agri-Nutrients Limited, which operates the ammonia–urea production plant. The activity data reported are the production of ammonia, which is back-estimated from the amount of urea produced on the basis of a site</w:t>
      </w:r>
      <w:r w:rsidRPr="001F4265">
        <w:noBreakHyphen/>
        <w:t>specific conversion factor that reflects the actual rate of conversion of ammonia to urea achieved in this plant. From 2020 onwards, urea output is estimated using feedstock gas and a conversion factor.</w:t>
      </w:r>
    </w:p>
    <w:p w14:paraId="3125DFBE" w14:textId="77777777" w:rsidR="003A5396" w:rsidRPr="001F4265" w:rsidRDefault="003A5396" w:rsidP="003A5396">
      <w:pPr>
        <w:pStyle w:val="Heading5"/>
      </w:pPr>
      <w:bookmarkStart w:id="478" w:name="calcium-carbide-2.b.5.b"/>
      <w:bookmarkEnd w:id="477"/>
      <w:r w:rsidRPr="001F4265">
        <w:t>Calcium carbide (2.B.5.b)</w:t>
      </w:r>
    </w:p>
    <w:p w14:paraId="15055C59" w14:textId="77777777" w:rsidR="003A5396" w:rsidRPr="001F4265" w:rsidRDefault="003A5396" w:rsidP="003A5396">
      <w:pPr>
        <w:pStyle w:val="BodyText"/>
      </w:pPr>
      <w:r w:rsidRPr="001F4265">
        <w:t>A small amount of calcium carbide is imported to New Zealand and used to produce acetylene gas for welding. The approximate amount of calcium carbide imported is assumed to be fully consumed, and therefore used as activity data.</w:t>
      </w:r>
    </w:p>
    <w:p w14:paraId="09B475C6" w14:textId="77777777" w:rsidR="003A5396" w:rsidRPr="001F4265" w:rsidRDefault="003A5396" w:rsidP="003A5396">
      <w:pPr>
        <w:pStyle w:val="Heading5"/>
      </w:pPr>
      <w:bookmarkStart w:id="479" w:name="methanol-2.b.8.a"/>
      <w:bookmarkEnd w:id="478"/>
      <w:r w:rsidRPr="001F4265">
        <w:t>Methanol (2.B.8.a)</w:t>
      </w:r>
    </w:p>
    <w:p w14:paraId="6B16E7EF" w14:textId="77777777" w:rsidR="003A5396" w:rsidRPr="001F4265" w:rsidRDefault="003A5396" w:rsidP="003A5396">
      <w:pPr>
        <w:pStyle w:val="BodyText"/>
      </w:pPr>
      <w:r w:rsidRPr="001F4265">
        <w:t>Data on methanol production (chemical methanol produced for export) are supplied to MBIE by Methanex.</w:t>
      </w:r>
    </w:p>
    <w:p w14:paraId="68CCAA74" w14:textId="77777777" w:rsidR="003A5396" w:rsidRPr="001F4265" w:rsidRDefault="003A5396" w:rsidP="003A5396">
      <w:pPr>
        <w:pStyle w:val="Heading5"/>
      </w:pPr>
      <w:bookmarkStart w:id="480" w:name="hydrogen-2.b.10"/>
      <w:bookmarkEnd w:id="479"/>
      <w:r w:rsidRPr="001F4265">
        <w:t>Hydrogen (2.B.10)</w:t>
      </w:r>
    </w:p>
    <w:p w14:paraId="0EB418A8" w14:textId="77777777" w:rsidR="003A5396" w:rsidRPr="001F4265" w:rsidRDefault="003A5396" w:rsidP="003A5396">
      <w:pPr>
        <w:pStyle w:val="BodyText"/>
      </w:pPr>
      <w:r w:rsidRPr="001F4265">
        <w:t>With the closure of Refining New Zealand Ltd at the Marsden Point Oil Refinery in March 2022, Evonik Limited has become the only company that produces a small amount of hydrogen, which is converted to hydrogen peroxide. The hydrogen is produced from CH</w:t>
      </w:r>
      <w:r w:rsidRPr="001F4265">
        <w:rPr>
          <w:vertAlign w:val="subscript"/>
        </w:rPr>
        <w:t>4</w:t>
      </w:r>
      <w:r w:rsidRPr="001F4265">
        <w:t xml:space="preserve"> (from refinery gas and natural gas) and steam. Carbon dioxide is a by-product of the reaction and is vented to the atmosphere.</w:t>
      </w:r>
    </w:p>
    <w:p w14:paraId="2E22A9D1" w14:textId="77777777" w:rsidR="003A5396" w:rsidRPr="001F4265" w:rsidRDefault="003A5396" w:rsidP="003A5396">
      <w:pPr>
        <w:pStyle w:val="BodyText"/>
      </w:pPr>
      <w:r w:rsidRPr="001F4265">
        <w:t>The activity data reported are the amounts of hydrogen produced, as reported to MBIE by the plant operators.</w:t>
      </w:r>
    </w:p>
    <w:p w14:paraId="02D98707" w14:textId="77777777" w:rsidR="003A5396" w:rsidRPr="001F4265" w:rsidRDefault="003A5396" w:rsidP="003A5396">
      <w:pPr>
        <w:pStyle w:val="Heading5"/>
      </w:pPr>
      <w:bookmarkStart w:id="481" w:name="Xbc527a7de768077f9b950de1119dbfc6f99cb7f"/>
      <w:bookmarkEnd w:id="480"/>
      <w:r w:rsidRPr="001F4265">
        <w:t>Fertiliser, formaldehyde and ethanol (2.B.10)</w:t>
      </w:r>
    </w:p>
    <w:p w14:paraId="6E1DD1AF" w14:textId="77777777" w:rsidR="003A5396" w:rsidRPr="001F4265" w:rsidRDefault="003A5396" w:rsidP="003A5396">
      <w:pPr>
        <w:pStyle w:val="BodyText"/>
      </w:pPr>
      <w:r w:rsidRPr="001F4265">
        <w:t>Some indirect emissions (SO</w:t>
      </w:r>
      <w:r w:rsidRPr="001F4265">
        <w:rPr>
          <w:vertAlign w:val="subscript"/>
        </w:rPr>
        <w:t>2</w:t>
      </w:r>
      <w:r w:rsidRPr="001F4265">
        <w:t xml:space="preserve"> and NMVOCs) are also reported from the production of ethanol for purposes other than food and drink, superphosphate fertiliser and formaldehyde.</w:t>
      </w:r>
    </w:p>
    <w:bookmarkEnd w:id="481"/>
    <w:p w14:paraId="090224FC" w14:textId="77777777" w:rsidR="003A5396" w:rsidRPr="001F4265" w:rsidRDefault="003A5396" w:rsidP="003A5396">
      <w:pPr>
        <w:pStyle w:val="Heading4"/>
      </w:pPr>
      <w:r w:rsidRPr="001F4265">
        <w:t>Choice of methods</w:t>
      </w:r>
    </w:p>
    <w:p w14:paraId="32518C13" w14:textId="77777777" w:rsidR="003A5396" w:rsidRPr="001F4265" w:rsidRDefault="003A5396" w:rsidP="003A5396">
      <w:pPr>
        <w:pStyle w:val="Heading5"/>
      </w:pPr>
      <w:bookmarkStart w:id="482" w:name="ammonia-and-urea-2.b.1-1"/>
      <w:r w:rsidRPr="001F4265">
        <w:t>Ammonia and urea (2.B.1)</w:t>
      </w:r>
    </w:p>
    <w:p w14:paraId="7D77750A" w14:textId="77777777" w:rsidR="003A5396" w:rsidRPr="001F4265" w:rsidRDefault="003A5396" w:rsidP="003A5396">
      <w:pPr>
        <w:pStyle w:val="BodyText"/>
      </w:pPr>
      <w:r w:rsidRPr="001F4265">
        <w:t>The CO</w:t>
      </w:r>
      <w:r w:rsidRPr="001F4265">
        <w:rPr>
          <w:vertAlign w:val="subscript"/>
        </w:rPr>
        <w:t>2</w:t>
      </w:r>
      <w:r w:rsidRPr="001F4265">
        <w:t xml:space="preserve"> emissions are estimated from a Tier 2 carbon balance, based on the feedstock gas </w:t>
      </w:r>
      <w:r w:rsidRPr="001F4265">
        <w:rPr>
          <w:spacing w:val="-2"/>
        </w:rPr>
        <w:t>used. The emissions are derived from all carbon in the feedstock gas used, less carbon recovered for urea production and remaining in the urea product (IPCC, 2006b). Note that only gas used as feedstock is included in this calculation. There are also significant CO</w:t>
      </w:r>
      <w:r w:rsidRPr="001F4265">
        <w:rPr>
          <w:spacing w:val="-2"/>
          <w:vertAlign w:val="subscript"/>
        </w:rPr>
        <w:t>2</w:t>
      </w:r>
      <w:r w:rsidRPr="001F4265">
        <w:rPr>
          <w:spacing w:val="-2"/>
        </w:rPr>
        <w:t xml:space="preserve"> emissions from gas used for combustion, which are reported under the Energy sector in the </w:t>
      </w:r>
      <w:r w:rsidRPr="001F4265">
        <w:rPr>
          <w:i/>
          <w:iCs/>
          <w:spacing w:val="-2"/>
        </w:rPr>
        <w:t>Manufacturing</w:t>
      </w:r>
      <w:r w:rsidRPr="001F4265">
        <w:rPr>
          <w:i/>
          <w:iCs/>
        </w:rPr>
        <w:t xml:space="preserve"> industries and construction</w:t>
      </w:r>
      <w:r w:rsidRPr="001F4265">
        <w:t xml:space="preserve"> category (1.A.2.c) and aggregated with other data. This method has been used to allow data on the total gas used at the plant to remain confidential.</w:t>
      </w:r>
    </w:p>
    <w:p w14:paraId="6AD1ED0D" w14:textId="77777777" w:rsidR="003A5396" w:rsidRPr="001F4265" w:rsidRDefault="003A5396" w:rsidP="003A5396">
      <w:pPr>
        <w:pStyle w:val="Heading5"/>
      </w:pPr>
      <w:bookmarkStart w:id="483" w:name="calcium-carbide-2.b.5.b-1"/>
      <w:bookmarkEnd w:id="482"/>
      <w:r w:rsidRPr="001F4265">
        <w:t>Calcium carbide (2.B.5.b)</w:t>
      </w:r>
    </w:p>
    <w:p w14:paraId="128005A2" w14:textId="77777777" w:rsidR="003A5396" w:rsidRPr="001F4265" w:rsidRDefault="003A5396" w:rsidP="003A5396">
      <w:pPr>
        <w:pStyle w:val="BodyText"/>
      </w:pPr>
      <w:r w:rsidRPr="001F4265">
        <w:t>The Tier 1 method was used.</w:t>
      </w:r>
    </w:p>
    <w:p w14:paraId="5464DFB5" w14:textId="77777777" w:rsidR="003A5396" w:rsidRPr="001F4265" w:rsidRDefault="003A5396" w:rsidP="003A5396">
      <w:pPr>
        <w:pStyle w:val="Heading5"/>
      </w:pPr>
      <w:bookmarkStart w:id="484" w:name="methanol-2.b.8-and-2.b.8.a"/>
      <w:bookmarkEnd w:id="483"/>
      <w:r w:rsidRPr="001F4265">
        <w:t>Methanol (2.B.8 and 2.B.8.a)</w:t>
      </w:r>
    </w:p>
    <w:p w14:paraId="3CE70403" w14:textId="77777777" w:rsidR="003A5396" w:rsidRPr="001F4265" w:rsidRDefault="003A5396" w:rsidP="003A5396">
      <w:pPr>
        <w:pStyle w:val="BodyText"/>
      </w:pPr>
      <w:r w:rsidRPr="001F4265">
        <w:t>Data on the natural gas used for methanol production are also supplied to MBIE by the plant operators. However, the available data on gas supplied to the methanol plants do not allow for any separate feedstock to be clearly distinguished from gas used for combustion. Also, close to 100 percent of the carbon in feedstock gas is converted to methanol. Therefore, no significant CO</w:t>
      </w:r>
      <w:r w:rsidRPr="001F4265">
        <w:rPr>
          <w:vertAlign w:val="subscript"/>
        </w:rPr>
        <w:t>2</w:t>
      </w:r>
      <w:r w:rsidRPr="001F4265">
        <w:t xml:space="preserve"> emissions can be clearly related to the process. The 2006 IPCC Guidelines do not provide a </w:t>
      </w:r>
      <w:r w:rsidRPr="001F4265">
        <w:rPr>
          <w:spacing w:val="-2"/>
        </w:rPr>
        <w:t>method for estimation of any CO</w:t>
      </w:r>
      <w:r w:rsidRPr="001F4265">
        <w:rPr>
          <w:spacing w:val="-2"/>
          <w:vertAlign w:val="subscript"/>
        </w:rPr>
        <w:t>2</w:t>
      </w:r>
      <w:r w:rsidRPr="001F4265">
        <w:rPr>
          <w:spacing w:val="-2"/>
        </w:rPr>
        <w:t xml:space="preserve"> emissions from this process (IPCC, 2006b). Any small amounts</w:t>
      </w:r>
      <w:r w:rsidRPr="001F4265">
        <w:t xml:space="preserve"> of chemical process CO</w:t>
      </w:r>
      <w:r w:rsidRPr="001F4265">
        <w:rPr>
          <w:vertAlign w:val="subscript"/>
        </w:rPr>
        <w:t>2</w:t>
      </w:r>
      <w:r w:rsidRPr="001F4265">
        <w:t xml:space="preserve"> emissions from the methanol production process are included under the Energy sector (1.A.2), along with the much larger amount of combustion-related emissions from the methanol plants.</w:t>
      </w:r>
    </w:p>
    <w:p w14:paraId="0591B817" w14:textId="77777777" w:rsidR="003A5396" w:rsidRPr="001F4265" w:rsidRDefault="003A5396" w:rsidP="003A5396">
      <w:pPr>
        <w:pStyle w:val="BodyText"/>
      </w:pPr>
      <w:r w:rsidRPr="001F4265">
        <w:t>Fugitive CH</w:t>
      </w:r>
      <w:r w:rsidRPr="001F4265">
        <w:rPr>
          <w:vertAlign w:val="subscript"/>
        </w:rPr>
        <w:t>4</w:t>
      </w:r>
      <w:r w:rsidRPr="001F4265">
        <w:t xml:space="preserve"> from the methanol manufacturing process is estimated using the Tier 1 method. Emissions of NO</w:t>
      </w:r>
      <w:r w:rsidRPr="001F4265">
        <w:rPr>
          <w:vertAlign w:val="subscript"/>
        </w:rPr>
        <w:t>x</w:t>
      </w:r>
      <w:r w:rsidRPr="001F4265">
        <w:t>, CO and NMVOC are also reported.</w:t>
      </w:r>
    </w:p>
    <w:p w14:paraId="42500B65" w14:textId="77777777" w:rsidR="003A5396" w:rsidRPr="001F4265" w:rsidRDefault="003A5396" w:rsidP="003A5396">
      <w:pPr>
        <w:pStyle w:val="Heading5"/>
      </w:pPr>
      <w:bookmarkStart w:id="485" w:name="hydrogen-2.b.10-1"/>
      <w:bookmarkEnd w:id="484"/>
      <w:r w:rsidRPr="001F4265">
        <w:t>Hydrogen (2.B.10)</w:t>
      </w:r>
    </w:p>
    <w:p w14:paraId="13D1EEA5" w14:textId="77777777" w:rsidR="003A5396" w:rsidRPr="001F4265" w:rsidRDefault="003A5396" w:rsidP="003A5396">
      <w:pPr>
        <w:pStyle w:val="BodyText"/>
      </w:pPr>
      <w:r w:rsidRPr="001F4265">
        <w:t>Emissions of CO</w:t>
      </w:r>
      <w:r w:rsidRPr="001F4265">
        <w:rPr>
          <w:vertAlign w:val="subscript"/>
        </w:rPr>
        <w:t>2</w:t>
      </w:r>
      <w:r w:rsidRPr="001F4265">
        <w:t xml:space="preserve"> from hydrogen production are calculated using the Tier 2 methodology, based on feedstock composition (IPCC, 2006b). The required data are supplied by MBIE.</w:t>
      </w:r>
    </w:p>
    <w:bookmarkEnd w:id="485"/>
    <w:p w14:paraId="77BCF852" w14:textId="77777777" w:rsidR="003A5396" w:rsidRPr="001F4265" w:rsidRDefault="003A5396" w:rsidP="003A5396">
      <w:pPr>
        <w:pStyle w:val="Heading4"/>
      </w:pPr>
      <w:r w:rsidRPr="001F4265">
        <w:t>Choice of emission factors</w:t>
      </w:r>
    </w:p>
    <w:p w14:paraId="278F4D76" w14:textId="77777777" w:rsidR="003A5396" w:rsidRPr="001F4265" w:rsidRDefault="003A5396" w:rsidP="003A5396">
      <w:pPr>
        <w:pStyle w:val="Heading5"/>
        <w:spacing w:before="180"/>
      </w:pPr>
      <w:bookmarkStart w:id="486" w:name="carbon-dioxide-and-methane"/>
      <w:r w:rsidRPr="001F4265">
        <w:t>Carbon dioxide and methane</w:t>
      </w:r>
    </w:p>
    <w:p w14:paraId="3F9B8275" w14:textId="77777777" w:rsidR="003A5396" w:rsidRPr="001F4265" w:rsidRDefault="003A5396" w:rsidP="003A5396">
      <w:pPr>
        <w:pStyle w:val="BodyText"/>
      </w:pPr>
      <w:r w:rsidRPr="001F4265">
        <w:t>For ammonia production, the carbon content of each type of natural gas (up to three types taken from different natural gas fields, and mixed pipeline gas) used as feedstock determines country-specific CO</w:t>
      </w:r>
      <w:r w:rsidRPr="001F4265">
        <w:rPr>
          <w:vertAlign w:val="subscript"/>
        </w:rPr>
        <w:t>2</w:t>
      </w:r>
      <w:r w:rsidRPr="001F4265">
        <w:t xml:space="preserve"> emission factors.</w:t>
      </w:r>
    </w:p>
    <w:p w14:paraId="4BE88D22" w14:textId="77777777" w:rsidR="003A5396" w:rsidRPr="001F4265" w:rsidRDefault="003A5396" w:rsidP="003A5396">
      <w:pPr>
        <w:pStyle w:val="BodyText"/>
      </w:pPr>
      <w:r w:rsidRPr="001F4265">
        <w:t>In some years, these emission factors are higher than Tier 1 default emission factors, due to the use of untreated high-CO</w:t>
      </w:r>
      <w:r w:rsidRPr="001F4265">
        <w:rPr>
          <w:vertAlign w:val="subscript"/>
        </w:rPr>
        <w:t>2</w:t>
      </w:r>
      <w:r w:rsidRPr="001F4265">
        <w:t xml:space="preserve"> gas from the Kapuni field as part of the feedstock at this plant. This gas has a carbon content factor (CCF</w:t>
      </w:r>
      <w:r w:rsidRPr="001F4265">
        <w:rPr>
          <w:vertAlign w:val="subscript"/>
        </w:rPr>
        <w:t>i</w:t>
      </w:r>
      <w:r w:rsidRPr="001F4265">
        <w:t>) of approximately 22.5 kilograms per gigajoule in comparison with the default of 15.3 kilograms per gigajoule. Kapuni gas has not been used since 2014.</w:t>
      </w:r>
    </w:p>
    <w:p w14:paraId="337B27E5" w14:textId="77777777" w:rsidR="003A5396" w:rsidRPr="001F4265" w:rsidRDefault="003A5396" w:rsidP="003A5396">
      <w:pPr>
        <w:pStyle w:val="BodyText"/>
      </w:pPr>
      <w:r w:rsidRPr="001F4265">
        <w:t>For hydrogen production, site-specific (for refinery gas) and field-specific (for natural gas) emission factors are used to determine the CO</w:t>
      </w:r>
      <w:r w:rsidRPr="001F4265">
        <w:rPr>
          <w:vertAlign w:val="subscript"/>
        </w:rPr>
        <w:t>2</w:t>
      </w:r>
      <w:r w:rsidRPr="001F4265">
        <w:t xml:space="preserve"> emissions from the feedstock gas streams used.</w:t>
      </w:r>
    </w:p>
    <w:p w14:paraId="16B64E2A" w14:textId="77777777" w:rsidR="003A5396" w:rsidRPr="001F4265" w:rsidRDefault="003A5396" w:rsidP="003A5396">
      <w:pPr>
        <w:pStyle w:val="BodyText"/>
      </w:pPr>
      <w:r w:rsidRPr="001F4265">
        <w:t>IPCC default emission factors are used to estimate emissions of CH</w:t>
      </w:r>
      <w:r w:rsidRPr="001F4265">
        <w:rPr>
          <w:vertAlign w:val="subscript"/>
        </w:rPr>
        <w:t>4</w:t>
      </w:r>
      <w:r w:rsidRPr="001F4265">
        <w:t xml:space="preserve"> from methanol manufacture and CO</w:t>
      </w:r>
      <w:r w:rsidRPr="001F4265">
        <w:rPr>
          <w:vertAlign w:val="subscript"/>
        </w:rPr>
        <w:t>2</w:t>
      </w:r>
      <w:r w:rsidRPr="001F4265">
        <w:t xml:space="preserve"> from calcium carbide use (IPCC, 2006b). No other information on these emission sources is available.</w:t>
      </w:r>
    </w:p>
    <w:p w14:paraId="6AE17028" w14:textId="77777777" w:rsidR="003A5396" w:rsidRPr="001F4265" w:rsidRDefault="003A5396" w:rsidP="003A5396">
      <w:pPr>
        <w:pStyle w:val="Heading5"/>
      </w:pPr>
      <w:bookmarkStart w:id="487" w:name="indirect-emissions"/>
      <w:bookmarkEnd w:id="486"/>
      <w:r w:rsidRPr="001F4265">
        <w:t>Indirect emissions</w:t>
      </w:r>
    </w:p>
    <w:p w14:paraId="659892A2" w14:textId="77777777" w:rsidR="003A5396" w:rsidRPr="001F4265" w:rsidRDefault="003A5396" w:rsidP="003A5396">
      <w:pPr>
        <w:pStyle w:val="BodyText"/>
      </w:pPr>
      <w:r w:rsidRPr="001F4265">
        <w:t>Indirect emissions of NO</w:t>
      </w:r>
      <w:r w:rsidRPr="001F4265">
        <w:rPr>
          <w:vertAlign w:val="subscript"/>
        </w:rPr>
        <w:t>x</w:t>
      </w:r>
      <w:r w:rsidRPr="001F4265">
        <w:t>, CO and NMVOC from methanol production are reported (2.B.8) with emission factors estimated by Methanex (CRL Energy, unpublished(a)). The emission factors for NO</w:t>
      </w:r>
      <w:r w:rsidRPr="001F4265">
        <w:rPr>
          <w:vertAlign w:val="subscript"/>
        </w:rPr>
        <w:t>x</w:t>
      </w:r>
      <w:r w:rsidRPr="001F4265">
        <w:t xml:space="preserve"> and CO were derived from site measurements, and the emission factor for NMVOC is based on American Petroleum Institute methods for estimating vapour emissions from storage tanks. Some indirect greenhouse gas emissions are also reported for superphosphate fertiliser, formaldehyde and ethanol production (2.B.10). The emission factors used are country specific (CRL Energy unpublished(a)) and are as shown in table 4.3.1.</w:t>
      </w:r>
    </w:p>
    <w:p w14:paraId="293E4478" w14:textId="77777777" w:rsidR="003A5396" w:rsidRPr="001F4265" w:rsidRDefault="003A5396" w:rsidP="003A5396">
      <w:pPr>
        <w:pStyle w:val="Table"/>
      </w:pPr>
      <w:bookmarkStart w:id="488" w:name="_Toc226668973"/>
      <w:r w:rsidRPr="001F4265">
        <w:t xml:space="preserve">Table 4.3.1 </w:t>
      </w:r>
      <w:r w:rsidRPr="001F4265">
        <w:tab/>
        <w:t>Country-specific emission factors for indirect emissions</w:t>
      </w:r>
      <w:bookmarkEnd w:id="48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742"/>
        <w:gridCol w:w="1335"/>
        <w:gridCol w:w="3417"/>
      </w:tblGrid>
      <w:tr w:rsidR="003A5396" w:rsidRPr="001F4265" w14:paraId="7E03C722" w14:textId="77777777" w:rsidTr="00F16E23">
        <w:trPr>
          <w:tblHeader/>
        </w:trPr>
        <w:tc>
          <w:tcPr>
            <w:tcW w:w="0" w:type="auto"/>
            <w:shd w:val="clear" w:color="auto" w:fill="1B556B"/>
            <w:tcMar>
              <w:top w:w="0" w:type="dxa"/>
              <w:left w:w="85" w:type="dxa"/>
              <w:bottom w:w="0" w:type="dxa"/>
              <w:right w:w="85" w:type="dxa"/>
            </w:tcMar>
            <w:vAlign w:val="center"/>
          </w:tcPr>
          <w:p w14:paraId="54D56D7C"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Activity</w:t>
            </w:r>
          </w:p>
        </w:tc>
        <w:tc>
          <w:tcPr>
            <w:tcW w:w="0" w:type="auto"/>
            <w:shd w:val="clear" w:color="auto" w:fill="1B556B"/>
            <w:tcMar>
              <w:top w:w="0" w:type="dxa"/>
              <w:left w:w="85" w:type="dxa"/>
              <w:bottom w:w="0" w:type="dxa"/>
              <w:right w:w="85" w:type="dxa"/>
            </w:tcMar>
            <w:vAlign w:val="center"/>
          </w:tcPr>
          <w:p w14:paraId="1AD6093D"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Type of gas</w:t>
            </w:r>
          </w:p>
        </w:tc>
        <w:tc>
          <w:tcPr>
            <w:tcW w:w="0" w:type="auto"/>
            <w:shd w:val="clear" w:color="auto" w:fill="1B556B"/>
            <w:tcMar>
              <w:top w:w="0" w:type="dxa"/>
              <w:left w:w="85" w:type="dxa"/>
              <w:bottom w:w="0" w:type="dxa"/>
              <w:right w:w="85" w:type="dxa"/>
            </w:tcMar>
            <w:vAlign w:val="center"/>
          </w:tcPr>
          <w:p w14:paraId="202D1ED0"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Emission factor</w:t>
            </w:r>
          </w:p>
        </w:tc>
      </w:tr>
      <w:tr w:rsidR="003A5396" w:rsidRPr="001F4265" w14:paraId="321673D9" w14:textId="77777777" w:rsidTr="00F16E23">
        <w:tc>
          <w:tcPr>
            <w:tcW w:w="0" w:type="auto"/>
            <w:shd w:val="clear" w:color="auto" w:fill="FFFFFF"/>
            <w:tcMar>
              <w:top w:w="0" w:type="dxa"/>
              <w:left w:w="85" w:type="dxa"/>
              <w:bottom w:w="0" w:type="dxa"/>
              <w:right w:w="85" w:type="dxa"/>
            </w:tcMar>
            <w:vAlign w:val="center"/>
          </w:tcPr>
          <w:p w14:paraId="71FB5EAE" w14:textId="77777777" w:rsidR="003A5396" w:rsidRPr="001F4265" w:rsidRDefault="003A5396" w:rsidP="00F16E23">
            <w:pPr>
              <w:pStyle w:val="TableText"/>
              <w:spacing w:before="40" w:after="40"/>
            </w:pPr>
            <w:r w:rsidRPr="001F4265">
              <w:rPr>
                <w:rFonts w:eastAsia="Calibri"/>
              </w:rPr>
              <w:t>Superphosphate fertiliser production</w:t>
            </w:r>
          </w:p>
        </w:tc>
        <w:tc>
          <w:tcPr>
            <w:tcW w:w="0" w:type="auto"/>
            <w:shd w:val="clear" w:color="auto" w:fill="FFFFFF"/>
            <w:tcMar>
              <w:top w:w="0" w:type="dxa"/>
              <w:left w:w="85" w:type="dxa"/>
              <w:bottom w:w="0" w:type="dxa"/>
              <w:right w:w="85" w:type="dxa"/>
            </w:tcMar>
            <w:vAlign w:val="center"/>
          </w:tcPr>
          <w:p w14:paraId="536C38D0" w14:textId="77777777" w:rsidR="003A5396" w:rsidRPr="001F4265" w:rsidRDefault="003A5396" w:rsidP="00F16E23">
            <w:pPr>
              <w:pStyle w:val="TableText"/>
              <w:spacing w:before="40" w:after="40"/>
            </w:pPr>
            <w:r w:rsidRPr="001F4265">
              <w:rPr>
                <w:rFonts w:eastAsia="Calibri"/>
              </w:rPr>
              <w:t>SO</w:t>
            </w:r>
            <w:r w:rsidRPr="001F4265">
              <w:rPr>
                <w:rFonts w:eastAsia="Calibri"/>
                <w:vertAlign w:val="subscript"/>
              </w:rPr>
              <w:t>2</w:t>
            </w:r>
          </w:p>
        </w:tc>
        <w:tc>
          <w:tcPr>
            <w:tcW w:w="0" w:type="auto"/>
            <w:shd w:val="clear" w:color="auto" w:fill="FFFFFF"/>
            <w:tcMar>
              <w:top w:w="0" w:type="dxa"/>
              <w:left w:w="85" w:type="dxa"/>
              <w:bottom w:w="0" w:type="dxa"/>
              <w:right w:w="85" w:type="dxa"/>
            </w:tcMar>
            <w:vAlign w:val="center"/>
          </w:tcPr>
          <w:p w14:paraId="79CC6A49" w14:textId="77777777" w:rsidR="003A5396" w:rsidRPr="001F4265" w:rsidRDefault="003A5396" w:rsidP="00F16E23">
            <w:pPr>
              <w:pStyle w:val="TableText"/>
              <w:spacing w:before="40" w:after="40"/>
            </w:pPr>
            <w:r w:rsidRPr="001F4265">
              <w:rPr>
                <w:rFonts w:eastAsia="Calibri"/>
              </w:rPr>
              <w:t>1.5 kg per tonne of H</w:t>
            </w:r>
            <w:r w:rsidRPr="001F4265">
              <w:rPr>
                <w:rFonts w:eastAsia="Calibri"/>
                <w:vertAlign w:val="subscript"/>
              </w:rPr>
              <w:t>2</w:t>
            </w:r>
            <w:r w:rsidRPr="001F4265">
              <w:rPr>
                <w:rFonts w:eastAsia="Calibri"/>
              </w:rPr>
              <w:t>SO</w:t>
            </w:r>
            <w:r w:rsidRPr="001F4265">
              <w:rPr>
                <w:rFonts w:eastAsia="Calibri"/>
                <w:vertAlign w:val="subscript"/>
              </w:rPr>
              <w:t>4</w:t>
            </w:r>
          </w:p>
        </w:tc>
      </w:tr>
      <w:tr w:rsidR="003A5396" w:rsidRPr="001F4265" w14:paraId="0275A5AD" w14:textId="77777777" w:rsidTr="00F16E23">
        <w:tc>
          <w:tcPr>
            <w:tcW w:w="0" w:type="auto"/>
            <w:shd w:val="clear" w:color="auto" w:fill="FFFFFF"/>
            <w:tcMar>
              <w:top w:w="0" w:type="dxa"/>
              <w:left w:w="85" w:type="dxa"/>
              <w:bottom w:w="0" w:type="dxa"/>
              <w:right w:w="85" w:type="dxa"/>
            </w:tcMar>
            <w:vAlign w:val="center"/>
          </w:tcPr>
          <w:p w14:paraId="22671317" w14:textId="77777777" w:rsidR="003A5396" w:rsidRPr="001F4265" w:rsidRDefault="003A5396" w:rsidP="00F16E23">
            <w:pPr>
              <w:pStyle w:val="TableText"/>
              <w:spacing w:before="40" w:after="40"/>
            </w:pPr>
            <w:r w:rsidRPr="001F4265">
              <w:rPr>
                <w:rFonts w:eastAsia="Calibri"/>
              </w:rPr>
              <w:t>Formaldehyde production</w:t>
            </w:r>
          </w:p>
        </w:tc>
        <w:tc>
          <w:tcPr>
            <w:tcW w:w="0" w:type="auto"/>
            <w:shd w:val="clear" w:color="auto" w:fill="FFFFFF"/>
            <w:tcMar>
              <w:top w:w="0" w:type="dxa"/>
              <w:left w:w="85" w:type="dxa"/>
              <w:bottom w:w="0" w:type="dxa"/>
              <w:right w:w="85" w:type="dxa"/>
            </w:tcMar>
            <w:vAlign w:val="center"/>
          </w:tcPr>
          <w:p w14:paraId="6754293A" w14:textId="77777777" w:rsidR="003A5396" w:rsidRPr="001F4265" w:rsidRDefault="003A5396" w:rsidP="00F16E23">
            <w:pPr>
              <w:pStyle w:val="TableText"/>
              <w:spacing w:before="40" w:after="40"/>
            </w:pPr>
            <w:r w:rsidRPr="001F4265">
              <w:rPr>
                <w:rFonts w:eastAsia="Calibri"/>
              </w:rPr>
              <w:t>NMVOCs</w:t>
            </w:r>
          </w:p>
        </w:tc>
        <w:tc>
          <w:tcPr>
            <w:tcW w:w="0" w:type="auto"/>
            <w:shd w:val="clear" w:color="auto" w:fill="FFFFFF"/>
            <w:tcMar>
              <w:top w:w="0" w:type="dxa"/>
              <w:left w:w="85" w:type="dxa"/>
              <w:bottom w:w="0" w:type="dxa"/>
              <w:right w:w="85" w:type="dxa"/>
            </w:tcMar>
            <w:vAlign w:val="center"/>
          </w:tcPr>
          <w:p w14:paraId="22BE880A" w14:textId="77777777" w:rsidR="003A5396" w:rsidRPr="001F4265" w:rsidRDefault="003A5396" w:rsidP="00F16E23">
            <w:pPr>
              <w:pStyle w:val="TableText"/>
              <w:spacing w:before="40" w:after="40"/>
            </w:pPr>
            <w:r w:rsidRPr="001F4265">
              <w:rPr>
                <w:rFonts w:eastAsia="Calibri"/>
              </w:rPr>
              <w:t>1.5 kg per tonne of formaldehyde</w:t>
            </w:r>
          </w:p>
        </w:tc>
      </w:tr>
      <w:tr w:rsidR="003A5396" w:rsidRPr="001F4265" w14:paraId="2F4C2BC1" w14:textId="77777777" w:rsidTr="00F16E23">
        <w:tc>
          <w:tcPr>
            <w:tcW w:w="0" w:type="auto"/>
            <w:shd w:val="clear" w:color="auto" w:fill="FFFFFF"/>
            <w:tcMar>
              <w:top w:w="0" w:type="dxa"/>
              <w:left w:w="85" w:type="dxa"/>
              <w:bottom w:w="0" w:type="dxa"/>
              <w:right w:w="85" w:type="dxa"/>
            </w:tcMar>
            <w:vAlign w:val="center"/>
          </w:tcPr>
          <w:p w14:paraId="7661A09B" w14:textId="77777777" w:rsidR="003A5396" w:rsidRPr="001F4265" w:rsidRDefault="003A5396" w:rsidP="00F16E23">
            <w:pPr>
              <w:pStyle w:val="TableText"/>
              <w:spacing w:before="40" w:after="40"/>
            </w:pPr>
            <w:r w:rsidRPr="001F4265">
              <w:rPr>
                <w:rFonts w:eastAsia="Calibri"/>
              </w:rPr>
              <w:t>Ethanol production</w:t>
            </w:r>
          </w:p>
        </w:tc>
        <w:tc>
          <w:tcPr>
            <w:tcW w:w="0" w:type="auto"/>
            <w:shd w:val="clear" w:color="auto" w:fill="FFFFFF"/>
            <w:tcMar>
              <w:top w:w="0" w:type="dxa"/>
              <w:left w:w="85" w:type="dxa"/>
              <w:bottom w:w="0" w:type="dxa"/>
              <w:right w:w="85" w:type="dxa"/>
            </w:tcMar>
            <w:vAlign w:val="center"/>
          </w:tcPr>
          <w:p w14:paraId="1A5B5472" w14:textId="77777777" w:rsidR="003A5396" w:rsidRPr="001F4265" w:rsidRDefault="003A5396" w:rsidP="00F16E23">
            <w:pPr>
              <w:pStyle w:val="TableText"/>
              <w:spacing w:before="40" w:after="40"/>
            </w:pPr>
            <w:r w:rsidRPr="001F4265">
              <w:rPr>
                <w:rFonts w:eastAsia="Calibri"/>
              </w:rPr>
              <w:t>NMVOCs</w:t>
            </w:r>
          </w:p>
        </w:tc>
        <w:tc>
          <w:tcPr>
            <w:tcW w:w="0" w:type="auto"/>
            <w:shd w:val="clear" w:color="auto" w:fill="FFFFFF"/>
            <w:tcMar>
              <w:top w:w="0" w:type="dxa"/>
              <w:left w:w="85" w:type="dxa"/>
              <w:bottom w:w="0" w:type="dxa"/>
              <w:right w:w="85" w:type="dxa"/>
            </w:tcMar>
            <w:vAlign w:val="center"/>
          </w:tcPr>
          <w:p w14:paraId="3CC366D1" w14:textId="77777777" w:rsidR="003A5396" w:rsidRPr="001F4265" w:rsidRDefault="003A5396" w:rsidP="00F16E23">
            <w:pPr>
              <w:pStyle w:val="TableText"/>
              <w:spacing w:before="40" w:after="40"/>
            </w:pPr>
            <w:r w:rsidRPr="001F4265">
              <w:rPr>
                <w:rFonts w:eastAsia="Calibri"/>
              </w:rPr>
              <w:t>6 g NMVOC per litre of ethanol</w:t>
            </w:r>
          </w:p>
        </w:tc>
      </w:tr>
    </w:tbl>
    <w:bookmarkEnd w:id="487"/>
    <w:p w14:paraId="18375E10" w14:textId="77777777" w:rsidR="003A5396" w:rsidRPr="001F4265" w:rsidRDefault="003A5396" w:rsidP="003A5396">
      <w:pPr>
        <w:pStyle w:val="Heading3"/>
        <w:spacing w:before="440"/>
      </w:pPr>
      <w:r w:rsidRPr="001F4265">
        <w:t xml:space="preserve">4.3.3 </w:t>
      </w:r>
      <w:r w:rsidRPr="001F4265">
        <w:tab/>
        <w:t>Uncertainty assessment and time-series consistency</w:t>
      </w:r>
    </w:p>
    <w:p w14:paraId="1F204236" w14:textId="77777777" w:rsidR="003A5396" w:rsidRPr="001F4265" w:rsidRDefault="003A5396" w:rsidP="003A5396">
      <w:pPr>
        <w:pStyle w:val="Heading4"/>
      </w:pPr>
      <w:r w:rsidRPr="001F4265">
        <w:t>Uncertainties</w:t>
      </w:r>
    </w:p>
    <w:p w14:paraId="3398E683" w14:textId="77777777" w:rsidR="003A5396" w:rsidRPr="001F4265" w:rsidRDefault="003A5396" w:rsidP="003A5396">
      <w:pPr>
        <w:pStyle w:val="BodyText"/>
      </w:pPr>
      <w:r w:rsidRPr="001F4265">
        <w:t>The IPCC default uncertainties have been used for CO</w:t>
      </w:r>
      <w:r w:rsidRPr="001F4265">
        <w:rPr>
          <w:vertAlign w:val="subscript"/>
        </w:rPr>
        <w:t>2</w:t>
      </w:r>
      <w:r w:rsidRPr="001F4265">
        <w:t xml:space="preserve"> and most non-CO</w:t>
      </w:r>
      <w:r w:rsidRPr="001F4265">
        <w:rPr>
          <w:vertAlign w:val="subscript"/>
        </w:rPr>
        <w:t>2</w:t>
      </w:r>
      <w:r w:rsidRPr="001F4265">
        <w:t xml:space="preserve"> emissions from this category, as shown in table 4.3.2.</w:t>
      </w:r>
    </w:p>
    <w:p w14:paraId="0BD001B7" w14:textId="77777777" w:rsidR="003A5396" w:rsidRPr="001F4265" w:rsidRDefault="003A5396" w:rsidP="003A5396">
      <w:pPr>
        <w:pStyle w:val="Table"/>
      </w:pPr>
      <w:bookmarkStart w:id="489" w:name="_Toc226668974"/>
      <w:r w:rsidRPr="001F4265">
        <w:t xml:space="preserve">Table 4.3.2 </w:t>
      </w:r>
      <w:r w:rsidRPr="001F4265">
        <w:tab/>
        <w:t xml:space="preserve">Uncertainty in emissions from the </w:t>
      </w:r>
      <w:r w:rsidRPr="001F4265">
        <w:rPr>
          <w:i/>
          <w:iCs/>
        </w:rPr>
        <w:t>Chemical industry</w:t>
      </w:r>
      <w:r w:rsidRPr="001F4265">
        <w:t xml:space="preserve"> category</w:t>
      </w:r>
      <w:bookmarkEnd w:id="48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717"/>
        <w:gridCol w:w="2728"/>
        <w:gridCol w:w="3049"/>
      </w:tblGrid>
      <w:tr w:rsidR="003A5396" w:rsidRPr="001F4265" w14:paraId="03009C80" w14:textId="77777777" w:rsidTr="00F16E23">
        <w:trPr>
          <w:tblHeader/>
        </w:trPr>
        <w:tc>
          <w:tcPr>
            <w:tcW w:w="0" w:type="auto"/>
            <w:shd w:val="clear" w:color="auto" w:fill="1B556B"/>
            <w:tcMar>
              <w:top w:w="0" w:type="dxa"/>
              <w:left w:w="85" w:type="dxa"/>
              <w:bottom w:w="0" w:type="dxa"/>
              <w:right w:w="85" w:type="dxa"/>
            </w:tcMar>
            <w:vAlign w:val="center"/>
          </w:tcPr>
          <w:p w14:paraId="45DE7FF4" w14:textId="77777777" w:rsidR="003A5396" w:rsidRPr="001F4265" w:rsidRDefault="003A5396" w:rsidP="00F16E23">
            <w:pPr>
              <w:pStyle w:val="TableTextBold"/>
              <w:keepNext/>
              <w:spacing w:before="40" w:after="40"/>
              <w:rPr>
                <w:noProof w:val="0"/>
                <w:color w:val="FFFFFF" w:themeColor="background1"/>
              </w:rPr>
            </w:pPr>
            <w:r w:rsidRPr="001F4265">
              <w:rPr>
                <w:rFonts w:eastAsia="Calibri"/>
                <w:noProof w:val="0"/>
                <w:color w:val="FFFFFF" w:themeColor="background1"/>
              </w:rPr>
              <w:t>Product</w:t>
            </w:r>
          </w:p>
        </w:tc>
        <w:tc>
          <w:tcPr>
            <w:tcW w:w="0" w:type="auto"/>
            <w:shd w:val="clear" w:color="auto" w:fill="1B556B"/>
            <w:tcMar>
              <w:top w:w="0" w:type="dxa"/>
              <w:left w:w="85" w:type="dxa"/>
              <w:bottom w:w="0" w:type="dxa"/>
              <w:right w:w="85" w:type="dxa"/>
            </w:tcMar>
            <w:vAlign w:val="center"/>
          </w:tcPr>
          <w:p w14:paraId="03DF8F82" w14:textId="77777777" w:rsidR="003A5396" w:rsidRPr="001F4265" w:rsidRDefault="003A5396" w:rsidP="00F16E23">
            <w:pPr>
              <w:pStyle w:val="TableTextBold"/>
              <w:keepNext/>
              <w:spacing w:before="40" w:after="40"/>
              <w:jc w:val="right"/>
              <w:rPr>
                <w:noProof w:val="0"/>
                <w:color w:val="FFFFFF" w:themeColor="background1"/>
              </w:rPr>
            </w:pPr>
            <w:r w:rsidRPr="001F4265">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329115DD" w14:textId="77777777" w:rsidR="003A5396" w:rsidRPr="001F4265" w:rsidRDefault="003A5396" w:rsidP="00F16E23">
            <w:pPr>
              <w:pStyle w:val="TableTextBold"/>
              <w:keepNext/>
              <w:spacing w:before="40" w:after="40"/>
              <w:jc w:val="right"/>
              <w:rPr>
                <w:noProof w:val="0"/>
                <w:color w:val="FFFFFF" w:themeColor="background1"/>
              </w:rPr>
            </w:pPr>
            <w:r w:rsidRPr="001F4265">
              <w:rPr>
                <w:rFonts w:eastAsia="Calibri"/>
                <w:noProof w:val="0"/>
                <w:color w:val="FFFFFF" w:themeColor="background1"/>
              </w:rPr>
              <w:t>Uncertainty in emission factors (%)</w:t>
            </w:r>
          </w:p>
        </w:tc>
      </w:tr>
      <w:tr w:rsidR="003A5396" w:rsidRPr="001F4265" w14:paraId="332585BA" w14:textId="77777777" w:rsidTr="00F16E23">
        <w:tc>
          <w:tcPr>
            <w:tcW w:w="0" w:type="auto"/>
            <w:shd w:val="clear" w:color="auto" w:fill="FFFFFF"/>
            <w:tcMar>
              <w:top w:w="0" w:type="dxa"/>
              <w:left w:w="85" w:type="dxa"/>
              <w:bottom w:w="0" w:type="dxa"/>
              <w:right w:w="85" w:type="dxa"/>
            </w:tcMar>
            <w:vAlign w:val="center"/>
          </w:tcPr>
          <w:p w14:paraId="49808C7A" w14:textId="77777777" w:rsidR="003A5396" w:rsidRPr="001F4265" w:rsidRDefault="003A5396" w:rsidP="00F16E23">
            <w:pPr>
              <w:pStyle w:val="TableText"/>
              <w:keepNext/>
              <w:spacing w:before="40" w:after="40"/>
            </w:pPr>
            <w:r w:rsidRPr="001F4265">
              <w:rPr>
                <w:rFonts w:eastAsia="Calibri"/>
              </w:rPr>
              <w:t>Ammonia (CO</w:t>
            </w:r>
            <w:r w:rsidRPr="001F4265">
              <w:rPr>
                <w:rFonts w:eastAsia="Calibri"/>
                <w:vertAlign w:val="subscript"/>
              </w:rPr>
              <w:t>2</w:t>
            </w:r>
            <w:r w:rsidRPr="001F4265">
              <w:rPr>
                <w:rFonts w:eastAsia="Calibri"/>
              </w:rPr>
              <w:t>)</w:t>
            </w:r>
          </w:p>
        </w:tc>
        <w:tc>
          <w:tcPr>
            <w:tcW w:w="0" w:type="auto"/>
            <w:shd w:val="clear" w:color="auto" w:fill="FFFFFF"/>
            <w:tcMar>
              <w:top w:w="0" w:type="dxa"/>
              <w:left w:w="85" w:type="dxa"/>
              <w:bottom w:w="0" w:type="dxa"/>
              <w:right w:w="85" w:type="dxa"/>
            </w:tcMar>
            <w:vAlign w:val="center"/>
          </w:tcPr>
          <w:p w14:paraId="639A0414" w14:textId="77777777" w:rsidR="003A5396" w:rsidRPr="001F4265" w:rsidRDefault="003A5396" w:rsidP="00F16E23">
            <w:pPr>
              <w:pStyle w:val="TableText"/>
              <w:keepNext/>
              <w:spacing w:before="40" w:after="40"/>
              <w:jc w:val="right"/>
            </w:pPr>
            <w:r w:rsidRPr="001F4265">
              <w:rPr>
                <w:rFonts w:eastAsia="Calibri"/>
              </w:rPr>
              <w:t>±2</w:t>
            </w:r>
          </w:p>
        </w:tc>
        <w:tc>
          <w:tcPr>
            <w:tcW w:w="0" w:type="auto"/>
            <w:shd w:val="clear" w:color="auto" w:fill="FFFFFF"/>
            <w:tcMar>
              <w:top w:w="0" w:type="dxa"/>
              <w:left w:w="85" w:type="dxa"/>
              <w:bottom w:w="0" w:type="dxa"/>
              <w:right w:w="85" w:type="dxa"/>
            </w:tcMar>
            <w:vAlign w:val="center"/>
          </w:tcPr>
          <w:p w14:paraId="269B695B" w14:textId="77777777" w:rsidR="003A5396" w:rsidRPr="001F4265" w:rsidRDefault="003A5396" w:rsidP="00F16E23">
            <w:pPr>
              <w:pStyle w:val="TableText"/>
              <w:keepNext/>
              <w:spacing w:before="40" w:after="40"/>
              <w:jc w:val="right"/>
            </w:pPr>
            <w:r w:rsidRPr="001F4265">
              <w:rPr>
                <w:rFonts w:eastAsia="Calibri"/>
              </w:rPr>
              <w:t>±6</w:t>
            </w:r>
          </w:p>
        </w:tc>
      </w:tr>
      <w:tr w:rsidR="003A5396" w:rsidRPr="001F4265" w14:paraId="09B4B2BC" w14:textId="77777777" w:rsidTr="00F16E23">
        <w:tc>
          <w:tcPr>
            <w:tcW w:w="0" w:type="auto"/>
            <w:shd w:val="clear" w:color="auto" w:fill="FFFFFF"/>
            <w:tcMar>
              <w:top w:w="0" w:type="dxa"/>
              <w:left w:w="85" w:type="dxa"/>
              <w:bottom w:w="0" w:type="dxa"/>
              <w:right w:w="85" w:type="dxa"/>
            </w:tcMar>
            <w:vAlign w:val="center"/>
          </w:tcPr>
          <w:p w14:paraId="4187F6DA" w14:textId="77777777" w:rsidR="003A5396" w:rsidRPr="001F4265" w:rsidRDefault="003A5396" w:rsidP="00F16E23">
            <w:pPr>
              <w:pStyle w:val="TableText"/>
              <w:keepNext/>
              <w:spacing w:before="40" w:after="40"/>
            </w:pPr>
            <w:r w:rsidRPr="001F4265">
              <w:rPr>
                <w:rFonts w:eastAsia="Calibri"/>
              </w:rPr>
              <w:t>Calcium carbide</w:t>
            </w:r>
          </w:p>
        </w:tc>
        <w:tc>
          <w:tcPr>
            <w:tcW w:w="0" w:type="auto"/>
            <w:shd w:val="clear" w:color="auto" w:fill="FFFFFF"/>
            <w:tcMar>
              <w:top w:w="0" w:type="dxa"/>
              <w:left w:w="85" w:type="dxa"/>
              <w:bottom w:w="0" w:type="dxa"/>
              <w:right w:w="85" w:type="dxa"/>
            </w:tcMar>
            <w:vAlign w:val="center"/>
          </w:tcPr>
          <w:p w14:paraId="1815F193" w14:textId="77777777" w:rsidR="003A5396" w:rsidRPr="001F4265" w:rsidRDefault="003A5396" w:rsidP="00F16E23">
            <w:pPr>
              <w:pStyle w:val="TableText"/>
              <w:keepNext/>
              <w:spacing w:before="40" w:after="40"/>
              <w:jc w:val="right"/>
            </w:pPr>
            <w:r w:rsidRPr="001F4265">
              <w:rPr>
                <w:rFonts w:eastAsia="Calibri"/>
              </w:rPr>
              <w:t>±50</w:t>
            </w:r>
          </w:p>
        </w:tc>
        <w:tc>
          <w:tcPr>
            <w:tcW w:w="0" w:type="auto"/>
            <w:shd w:val="clear" w:color="auto" w:fill="FFFFFF"/>
            <w:tcMar>
              <w:top w:w="0" w:type="dxa"/>
              <w:left w:w="85" w:type="dxa"/>
              <w:bottom w:w="0" w:type="dxa"/>
              <w:right w:w="85" w:type="dxa"/>
            </w:tcMar>
            <w:vAlign w:val="center"/>
          </w:tcPr>
          <w:p w14:paraId="1CE148DB" w14:textId="77777777" w:rsidR="003A5396" w:rsidRPr="001F4265" w:rsidRDefault="003A5396" w:rsidP="00F16E23">
            <w:pPr>
              <w:pStyle w:val="TableText"/>
              <w:keepNext/>
              <w:spacing w:before="40" w:after="40"/>
              <w:jc w:val="right"/>
            </w:pPr>
            <w:r w:rsidRPr="001F4265">
              <w:rPr>
                <w:rFonts w:eastAsia="Calibri"/>
              </w:rPr>
              <w:t>±50</w:t>
            </w:r>
          </w:p>
        </w:tc>
      </w:tr>
      <w:tr w:rsidR="003A5396" w:rsidRPr="001F4265" w14:paraId="33D701F6" w14:textId="77777777" w:rsidTr="00F16E23">
        <w:tc>
          <w:tcPr>
            <w:tcW w:w="0" w:type="auto"/>
            <w:shd w:val="clear" w:color="auto" w:fill="FFFFFF"/>
            <w:tcMar>
              <w:top w:w="0" w:type="dxa"/>
              <w:left w:w="85" w:type="dxa"/>
              <w:bottom w:w="0" w:type="dxa"/>
              <w:right w:w="85" w:type="dxa"/>
            </w:tcMar>
            <w:vAlign w:val="center"/>
          </w:tcPr>
          <w:p w14:paraId="74397A1C" w14:textId="77777777" w:rsidR="003A5396" w:rsidRPr="001F4265" w:rsidRDefault="003A5396" w:rsidP="00F16E23">
            <w:pPr>
              <w:pStyle w:val="TableText"/>
              <w:spacing w:before="40" w:after="40"/>
            </w:pPr>
            <w:r w:rsidRPr="001F4265">
              <w:rPr>
                <w:rFonts w:eastAsia="Calibri"/>
              </w:rPr>
              <w:t>Formaldehyde (NMVOCs)</w:t>
            </w:r>
          </w:p>
        </w:tc>
        <w:tc>
          <w:tcPr>
            <w:tcW w:w="0" w:type="auto"/>
            <w:shd w:val="clear" w:color="auto" w:fill="FFFFFF"/>
            <w:tcMar>
              <w:top w:w="0" w:type="dxa"/>
              <w:left w:w="85" w:type="dxa"/>
              <w:bottom w:w="0" w:type="dxa"/>
              <w:right w:w="85" w:type="dxa"/>
            </w:tcMar>
            <w:vAlign w:val="center"/>
          </w:tcPr>
          <w:p w14:paraId="5C0E7DA1" w14:textId="77777777" w:rsidR="003A5396" w:rsidRPr="001F4265" w:rsidRDefault="003A5396" w:rsidP="00F16E23">
            <w:pPr>
              <w:pStyle w:val="TableText"/>
              <w:spacing w:before="40" w:after="40"/>
              <w:jc w:val="right"/>
            </w:pPr>
            <w:r w:rsidRPr="001F4265">
              <w:rPr>
                <w:rFonts w:eastAsia="Calibri"/>
              </w:rPr>
              <w:t>±2</w:t>
            </w:r>
          </w:p>
        </w:tc>
        <w:tc>
          <w:tcPr>
            <w:tcW w:w="0" w:type="auto"/>
            <w:shd w:val="clear" w:color="auto" w:fill="FFFFFF"/>
            <w:tcMar>
              <w:top w:w="0" w:type="dxa"/>
              <w:left w:w="85" w:type="dxa"/>
              <w:bottom w:w="0" w:type="dxa"/>
              <w:right w:w="85" w:type="dxa"/>
            </w:tcMar>
            <w:vAlign w:val="center"/>
          </w:tcPr>
          <w:p w14:paraId="32F67443" w14:textId="77777777" w:rsidR="003A5396" w:rsidRPr="001F4265" w:rsidRDefault="003A5396" w:rsidP="00F16E23">
            <w:pPr>
              <w:pStyle w:val="TableText"/>
              <w:spacing w:before="40" w:after="40"/>
              <w:jc w:val="right"/>
            </w:pPr>
            <w:r w:rsidRPr="001F4265">
              <w:rPr>
                <w:rFonts w:eastAsia="Calibri"/>
              </w:rPr>
              <w:t>±50</w:t>
            </w:r>
          </w:p>
        </w:tc>
      </w:tr>
      <w:tr w:rsidR="003A5396" w:rsidRPr="001F4265" w14:paraId="3DC6AAA0" w14:textId="77777777" w:rsidTr="00F16E23">
        <w:tc>
          <w:tcPr>
            <w:tcW w:w="0" w:type="auto"/>
            <w:shd w:val="clear" w:color="auto" w:fill="FFFFFF"/>
            <w:tcMar>
              <w:top w:w="0" w:type="dxa"/>
              <w:left w:w="85" w:type="dxa"/>
              <w:bottom w:w="0" w:type="dxa"/>
              <w:right w:w="85" w:type="dxa"/>
            </w:tcMar>
            <w:vAlign w:val="center"/>
          </w:tcPr>
          <w:p w14:paraId="5A73091E" w14:textId="77777777" w:rsidR="003A5396" w:rsidRPr="001F4265" w:rsidRDefault="003A5396" w:rsidP="00F16E23">
            <w:pPr>
              <w:pStyle w:val="TableText"/>
              <w:spacing w:before="40" w:after="40"/>
            </w:pPr>
            <w:r w:rsidRPr="001F4265">
              <w:rPr>
                <w:rFonts w:eastAsia="Calibri"/>
              </w:rPr>
              <w:t>Hydrogen</w:t>
            </w:r>
          </w:p>
        </w:tc>
        <w:tc>
          <w:tcPr>
            <w:tcW w:w="0" w:type="auto"/>
            <w:shd w:val="clear" w:color="auto" w:fill="FFFFFF"/>
            <w:tcMar>
              <w:top w:w="0" w:type="dxa"/>
              <w:left w:w="85" w:type="dxa"/>
              <w:bottom w:w="0" w:type="dxa"/>
              <w:right w:w="85" w:type="dxa"/>
            </w:tcMar>
            <w:vAlign w:val="center"/>
          </w:tcPr>
          <w:p w14:paraId="0A319A12" w14:textId="77777777" w:rsidR="003A5396" w:rsidRPr="001F4265" w:rsidRDefault="003A5396" w:rsidP="00F16E23">
            <w:pPr>
              <w:pStyle w:val="TableText"/>
              <w:spacing w:before="40" w:after="40"/>
              <w:jc w:val="right"/>
            </w:pPr>
            <w:r w:rsidRPr="001F4265">
              <w:rPr>
                <w:rFonts w:eastAsia="Calibri"/>
              </w:rPr>
              <w:t>±2</w:t>
            </w:r>
          </w:p>
        </w:tc>
        <w:tc>
          <w:tcPr>
            <w:tcW w:w="0" w:type="auto"/>
            <w:shd w:val="clear" w:color="auto" w:fill="FFFFFF"/>
            <w:tcMar>
              <w:top w:w="0" w:type="dxa"/>
              <w:left w:w="85" w:type="dxa"/>
              <w:bottom w:w="0" w:type="dxa"/>
              <w:right w:w="85" w:type="dxa"/>
            </w:tcMar>
            <w:vAlign w:val="center"/>
          </w:tcPr>
          <w:p w14:paraId="2BF053AC" w14:textId="77777777" w:rsidR="003A5396" w:rsidRPr="001F4265" w:rsidRDefault="003A5396" w:rsidP="00F16E23">
            <w:pPr>
              <w:pStyle w:val="TableText"/>
              <w:spacing w:before="40" w:after="40"/>
              <w:jc w:val="right"/>
            </w:pPr>
            <w:r w:rsidRPr="001F4265">
              <w:rPr>
                <w:rFonts w:eastAsia="Calibri"/>
              </w:rPr>
              <w:t>±6</w:t>
            </w:r>
          </w:p>
        </w:tc>
      </w:tr>
      <w:tr w:rsidR="003A5396" w:rsidRPr="001F4265" w14:paraId="7B0D3835" w14:textId="77777777" w:rsidTr="00F16E23">
        <w:tc>
          <w:tcPr>
            <w:tcW w:w="0" w:type="auto"/>
            <w:shd w:val="clear" w:color="auto" w:fill="FFFFFF"/>
            <w:tcMar>
              <w:top w:w="0" w:type="dxa"/>
              <w:left w:w="85" w:type="dxa"/>
              <w:bottom w:w="0" w:type="dxa"/>
              <w:right w:w="85" w:type="dxa"/>
            </w:tcMar>
            <w:vAlign w:val="center"/>
          </w:tcPr>
          <w:p w14:paraId="098C9E5C" w14:textId="77777777" w:rsidR="003A5396" w:rsidRPr="001F4265" w:rsidRDefault="003A5396" w:rsidP="00F16E23">
            <w:pPr>
              <w:pStyle w:val="TableText"/>
              <w:spacing w:before="40" w:after="40"/>
            </w:pPr>
            <w:r w:rsidRPr="001F4265">
              <w:rPr>
                <w:rFonts w:eastAsia="Calibri"/>
              </w:rPr>
              <w:t>Methanol (NO</w:t>
            </w:r>
            <w:r w:rsidRPr="001F4265">
              <w:rPr>
                <w:rFonts w:eastAsia="Calibri"/>
                <w:vertAlign w:val="subscript"/>
              </w:rPr>
              <w:t>x</w:t>
            </w:r>
            <w:r w:rsidRPr="001F4265">
              <w:rPr>
                <w:rFonts w:eastAsia="Calibri"/>
              </w:rPr>
              <w:t xml:space="preserve"> and CO)</w:t>
            </w:r>
          </w:p>
        </w:tc>
        <w:tc>
          <w:tcPr>
            <w:tcW w:w="0" w:type="auto"/>
            <w:shd w:val="clear" w:color="auto" w:fill="FFFFFF"/>
            <w:tcMar>
              <w:top w:w="0" w:type="dxa"/>
              <w:left w:w="85" w:type="dxa"/>
              <w:bottom w:w="0" w:type="dxa"/>
              <w:right w:w="85" w:type="dxa"/>
            </w:tcMar>
            <w:vAlign w:val="center"/>
          </w:tcPr>
          <w:p w14:paraId="72A3E7EA" w14:textId="77777777" w:rsidR="003A5396" w:rsidRPr="001F4265" w:rsidRDefault="003A5396" w:rsidP="00F16E23">
            <w:pPr>
              <w:pStyle w:val="TableText"/>
              <w:spacing w:before="40" w:after="40"/>
              <w:jc w:val="right"/>
            </w:pPr>
            <w:r w:rsidRPr="001F4265">
              <w:rPr>
                <w:rFonts w:eastAsia="Calibri"/>
              </w:rPr>
              <w:t>±2</w:t>
            </w:r>
          </w:p>
        </w:tc>
        <w:tc>
          <w:tcPr>
            <w:tcW w:w="0" w:type="auto"/>
            <w:shd w:val="clear" w:color="auto" w:fill="FFFFFF"/>
            <w:tcMar>
              <w:top w:w="0" w:type="dxa"/>
              <w:left w:w="85" w:type="dxa"/>
              <w:bottom w:w="0" w:type="dxa"/>
              <w:right w:w="85" w:type="dxa"/>
            </w:tcMar>
            <w:vAlign w:val="center"/>
          </w:tcPr>
          <w:p w14:paraId="1504FA91" w14:textId="77777777" w:rsidR="003A5396" w:rsidRPr="001F4265" w:rsidRDefault="003A5396" w:rsidP="00F16E23">
            <w:pPr>
              <w:pStyle w:val="TableText"/>
              <w:spacing w:before="40" w:after="40"/>
              <w:jc w:val="right"/>
            </w:pPr>
            <w:r w:rsidRPr="001F4265">
              <w:rPr>
                <w:rFonts w:eastAsia="Calibri"/>
              </w:rPr>
              <w:t>±50</w:t>
            </w:r>
          </w:p>
        </w:tc>
      </w:tr>
      <w:tr w:rsidR="003A5396" w:rsidRPr="001F4265" w14:paraId="6CBC326C" w14:textId="77777777" w:rsidTr="00F16E23">
        <w:tc>
          <w:tcPr>
            <w:tcW w:w="0" w:type="auto"/>
            <w:shd w:val="clear" w:color="auto" w:fill="FFFFFF"/>
            <w:tcMar>
              <w:top w:w="0" w:type="dxa"/>
              <w:left w:w="85" w:type="dxa"/>
              <w:bottom w:w="0" w:type="dxa"/>
              <w:right w:w="85" w:type="dxa"/>
            </w:tcMar>
            <w:vAlign w:val="center"/>
          </w:tcPr>
          <w:p w14:paraId="4532378C" w14:textId="77777777" w:rsidR="003A5396" w:rsidRPr="001F4265" w:rsidRDefault="003A5396" w:rsidP="00F16E23">
            <w:pPr>
              <w:pStyle w:val="TableText"/>
              <w:spacing w:before="40" w:after="40"/>
            </w:pPr>
            <w:r w:rsidRPr="001F4265">
              <w:rPr>
                <w:rFonts w:eastAsia="Calibri"/>
              </w:rPr>
              <w:t>Methanol (NMVOCs)</w:t>
            </w:r>
          </w:p>
        </w:tc>
        <w:tc>
          <w:tcPr>
            <w:tcW w:w="0" w:type="auto"/>
            <w:shd w:val="clear" w:color="auto" w:fill="FFFFFF"/>
            <w:tcMar>
              <w:top w:w="0" w:type="dxa"/>
              <w:left w:w="85" w:type="dxa"/>
              <w:bottom w:w="0" w:type="dxa"/>
              <w:right w:w="85" w:type="dxa"/>
            </w:tcMar>
            <w:vAlign w:val="center"/>
          </w:tcPr>
          <w:p w14:paraId="3289DE16" w14:textId="77777777" w:rsidR="003A5396" w:rsidRPr="001F4265" w:rsidRDefault="003A5396" w:rsidP="00F16E23">
            <w:pPr>
              <w:pStyle w:val="TableText"/>
              <w:spacing w:before="40" w:after="40"/>
              <w:jc w:val="right"/>
            </w:pPr>
            <w:r w:rsidRPr="001F4265">
              <w:rPr>
                <w:rFonts w:eastAsia="Calibri"/>
              </w:rPr>
              <w:t>±2</w:t>
            </w:r>
          </w:p>
        </w:tc>
        <w:tc>
          <w:tcPr>
            <w:tcW w:w="0" w:type="auto"/>
            <w:shd w:val="clear" w:color="auto" w:fill="FFFFFF"/>
            <w:tcMar>
              <w:top w:w="0" w:type="dxa"/>
              <w:left w:w="85" w:type="dxa"/>
              <w:bottom w:w="0" w:type="dxa"/>
              <w:right w:w="85" w:type="dxa"/>
            </w:tcMar>
            <w:vAlign w:val="center"/>
          </w:tcPr>
          <w:p w14:paraId="6E19BEDE" w14:textId="77777777" w:rsidR="003A5396" w:rsidRPr="001F4265" w:rsidRDefault="003A5396" w:rsidP="00F16E23">
            <w:pPr>
              <w:pStyle w:val="TableText"/>
              <w:spacing w:before="40" w:after="40"/>
              <w:jc w:val="right"/>
            </w:pPr>
            <w:r w:rsidRPr="001F4265">
              <w:rPr>
                <w:rFonts w:eastAsia="Calibri"/>
              </w:rPr>
              <w:t>±30</w:t>
            </w:r>
          </w:p>
        </w:tc>
      </w:tr>
      <w:tr w:rsidR="003A5396" w:rsidRPr="001F4265" w14:paraId="612B9879" w14:textId="77777777" w:rsidTr="00F16E23">
        <w:tc>
          <w:tcPr>
            <w:tcW w:w="0" w:type="auto"/>
            <w:shd w:val="clear" w:color="auto" w:fill="FFFFFF"/>
            <w:tcMar>
              <w:top w:w="0" w:type="dxa"/>
              <w:left w:w="85" w:type="dxa"/>
              <w:bottom w:w="0" w:type="dxa"/>
              <w:right w:w="85" w:type="dxa"/>
            </w:tcMar>
            <w:vAlign w:val="center"/>
          </w:tcPr>
          <w:p w14:paraId="0AE7491B" w14:textId="77777777" w:rsidR="003A5396" w:rsidRPr="001F4265" w:rsidRDefault="003A5396" w:rsidP="00F16E23">
            <w:pPr>
              <w:pStyle w:val="TableText"/>
              <w:spacing w:before="40" w:after="40"/>
            </w:pPr>
            <w:r w:rsidRPr="001F4265">
              <w:rPr>
                <w:rFonts w:eastAsia="Calibri"/>
              </w:rPr>
              <w:t>Methanol (CH</w:t>
            </w:r>
            <w:r w:rsidRPr="001F4265">
              <w:rPr>
                <w:rFonts w:eastAsia="Calibri"/>
                <w:vertAlign w:val="subscript"/>
              </w:rPr>
              <w:t>4</w:t>
            </w:r>
            <w:r w:rsidRPr="001F4265">
              <w:rPr>
                <w:rFonts w:eastAsia="Calibri"/>
              </w:rPr>
              <w:t>)</w:t>
            </w:r>
          </w:p>
        </w:tc>
        <w:tc>
          <w:tcPr>
            <w:tcW w:w="0" w:type="auto"/>
            <w:shd w:val="clear" w:color="auto" w:fill="FFFFFF"/>
            <w:tcMar>
              <w:top w:w="0" w:type="dxa"/>
              <w:left w:w="85" w:type="dxa"/>
              <w:bottom w:w="0" w:type="dxa"/>
              <w:right w:w="85" w:type="dxa"/>
            </w:tcMar>
            <w:vAlign w:val="center"/>
          </w:tcPr>
          <w:p w14:paraId="65EC4BA0" w14:textId="77777777" w:rsidR="003A5396" w:rsidRPr="001F4265" w:rsidRDefault="003A5396" w:rsidP="00F16E23">
            <w:pPr>
              <w:pStyle w:val="TableText"/>
              <w:spacing w:before="40" w:after="40"/>
              <w:jc w:val="right"/>
            </w:pPr>
            <w:r w:rsidRPr="001F4265">
              <w:rPr>
                <w:rFonts w:eastAsia="Calibri"/>
              </w:rPr>
              <w:t>±2</w:t>
            </w:r>
          </w:p>
        </w:tc>
        <w:tc>
          <w:tcPr>
            <w:tcW w:w="0" w:type="auto"/>
            <w:shd w:val="clear" w:color="auto" w:fill="FFFFFF"/>
            <w:tcMar>
              <w:top w:w="0" w:type="dxa"/>
              <w:left w:w="85" w:type="dxa"/>
              <w:bottom w:w="0" w:type="dxa"/>
              <w:right w:w="85" w:type="dxa"/>
            </w:tcMar>
            <w:vAlign w:val="center"/>
          </w:tcPr>
          <w:p w14:paraId="351E2985" w14:textId="77777777" w:rsidR="003A5396" w:rsidRPr="001F4265" w:rsidRDefault="003A5396" w:rsidP="00F16E23">
            <w:pPr>
              <w:pStyle w:val="TableText"/>
              <w:spacing w:before="40" w:after="40"/>
              <w:jc w:val="right"/>
            </w:pPr>
            <w:r w:rsidRPr="001F4265">
              <w:rPr>
                <w:rFonts w:eastAsia="Calibri"/>
              </w:rPr>
              <w:t>±80</w:t>
            </w:r>
          </w:p>
        </w:tc>
      </w:tr>
      <w:tr w:rsidR="003A5396" w:rsidRPr="001F4265" w14:paraId="5B3F9283" w14:textId="77777777" w:rsidTr="00F16E23">
        <w:tc>
          <w:tcPr>
            <w:tcW w:w="0" w:type="auto"/>
            <w:shd w:val="clear" w:color="auto" w:fill="FFFFFF"/>
            <w:tcMar>
              <w:top w:w="0" w:type="dxa"/>
              <w:left w:w="85" w:type="dxa"/>
              <w:bottom w:w="0" w:type="dxa"/>
              <w:right w:w="85" w:type="dxa"/>
            </w:tcMar>
            <w:vAlign w:val="center"/>
          </w:tcPr>
          <w:p w14:paraId="60854CE5" w14:textId="77777777" w:rsidR="003A5396" w:rsidRPr="001F4265" w:rsidRDefault="003A5396" w:rsidP="00F16E23">
            <w:pPr>
              <w:pStyle w:val="TableText"/>
              <w:spacing w:before="40" w:after="40"/>
            </w:pPr>
            <w:r w:rsidRPr="001F4265">
              <w:rPr>
                <w:rFonts w:eastAsia="Calibri"/>
              </w:rPr>
              <w:t>Superphosphate (varies by site)</w:t>
            </w:r>
          </w:p>
        </w:tc>
        <w:tc>
          <w:tcPr>
            <w:tcW w:w="0" w:type="auto"/>
            <w:shd w:val="clear" w:color="auto" w:fill="FFFFFF"/>
            <w:tcMar>
              <w:top w:w="0" w:type="dxa"/>
              <w:left w:w="85" w:type="dxa"/>
              <w:bottom w:w="0" w:type="dxa"/>
              <w:right w:w="85" w:type="dxa"/>
            </w:tcMar>
            <w:vAlign w:val="center"/>
          </w:tcPr>
          <w:p w14:paraId="74E3DF74" w14:textId="77777777" w:rsidR="003A5396" w:rsidRPr="001F4265" w:rsidRDefault="003A5396" w:rsidP="00F16E23">
            <w:pPr>
              <w:pStyle w:val="TableText"/>
              <w:spacing w:before="40" w:after="40"/>
              <w:jc w:val="right"/>
            </w:pPr>
            <w:r w:rsidRPr="001F4265">
              <w:rPr>
                <w:rFonts w:eastAsia="Calibri"/>
              </w:rPr>
              <w:t>±10</w:t>
            </w:r>
          </w:p>
        </w:tc>
        <w:tc>
          <w:tcPr>
            <w:tcW w:w="0" w:type="auto"/>
            <w:shd w:val="clear" w:color="auto" w:fill="FFFFFF"/>
            <w:tcMar>
              <w:top w:w="0" w:type="dxa"/>
              <w:left w:w="85" w:type="dxa"/>
              <w:bottom w:w="0" w:type="dxa"/>
              <w:right w:w="85" w:type="dxa"/>
            </w:tcMar>
            <w:vAlign w:val="center"/>
          </w:tcPr>
          <w:p w14:paraId="6500656A" w14:textId="77777777" w:rsidR="003A5396" w:rsidRPr="001F4265" w:rsidRDefault="003A5396" w:rsidP="00F16E23">
            <w:pPr>
              <w:pStyle w:val="TableText"/>
              <w:spacing w:before="40" w:after="40"/>
              <w:jc w:val="right"/>
            </w:pPr>
            <w:r w:rsidRPr="001F4265">
              <w:rPr>
                <w:rFonts w:eastAsia="Calibri"/>
              </w:rPr>
              <w:t>±25–60</w:t>
            </w:r>
          </w:p>
        </w:tc>
      </w:tr>
      <w:tr w:rsidR="003A5396" w:rsidRPr="001F4265" w14:paraId="2B5CAA62" w14:textId="77777777" w:rsidTr="00F16E23">
        <w:tc>
          <w:tcPr>
            <w:tcW w:w="0" w:type="auto"/>
            <w:shd w:val="clear" w:color="auto" w:fill="FFFFFF"/>
            <w:tcMar>
              <w:top w:w="0" w:type="dxa"/>
              <w:left w:w="85" w:type="dxa"/>
              <w:bottom w:w="0" w:type="dxa"/>
              <w:right w:w="85" w:type="dxa"/>
            </w:tcMar>
            <w:vAlign w:val="center"/>
          </w:tcPr>
          <w:p w14:paraId="30E480DC" w14:textId="77777777" w:rsidR="003A5396" w:rsidRPr="001F4265" w:rsidRDefault="003A5396" w:rsidP="00F16E23">
            <w:pPr>
              <w:pStyle w:val="TableText"/>
              <w:spacing w:before="40" w:after="40"/>
            </w:pPr>
            <w:r w:rsidRPr="001F4265">
              <w:rPr>
                <w:rFonts w:eastAsia="Calibri"/>
              </w:rPr>
              <w:t>Sulphuric acid</w:t>
            </w:r>
          </w:p>
        </w:tc>
        <w:tc>
          <w:tcPr>
            <w:tcW w:w="0" w:type="auto"/>
            <w:shd w:val="clear" w:color="auto" w:fill="FFFFFF"/>
            <w:tcMar>
              <w:top w:w="0" w:type="dxa"/>
              <w:left w:w="85" w:type="dxa"/>
              <w:bottom w:w="0" w:type="dxa"/>
              <w:right w:w="85" w:type="dxa"/>
            </w:tcMar>
            <w:vAlign w:val="center"/>
          </w:tcPr>
          <w:p w14:paraId="49304685" w14:textId="77777777" w:rsidR="003A5396" w:rsidRPr="001F4265" w:rsidRDefault="003A5396" w:rsidP="00F16E23">
            <w:pPr>
              <w:pStyle w:val="TableText"/>
              <w:spacing w:before="40" w:after="40"/>
              <w:jc w:val="right"/>
            </w:pPr>
            <w:r w:rsidRPr="001F4265">
              <w:rPr>
                <w:rFonts w:eastAsia="Calibri"/>
              </w:rPr>
              <w:t>±10</w:t>
            </w:r>
          </w:p>
        </w:tc>
        <w:tc>
          <w:tcPr>
            <w:tcW w:w="0" w:type="auto"/>
            <w:shd w:val="clear" w:color="auto" w:fill="FFFFFF"/>
            <w:tcMar>
              <w:top w:w="0" w:type="dxa"/>
              <w:left w:w="85" w:type="dxa"/>
              <w:bottom w:w="0" w:type="dxa"/>
              <w:right w:w="85" w:type="dxa"/>
            </w:tcMar>
            <w:vAlign w:val="center"/>
          </w:tcPr>
          <w:p w14:paraId="5C0E4AE9" w14:textId="77777777" w:rsidR="003A5396" w:rsidRPr="001F4265" w:rsidRDefault="003A5396" w:rsidP="00F16E23">
            <w:pPr>
              <w:pStyle w:val="TableText"/>
              <w:spacing w:before="40" w:after="40"/>
              <w:jc w:val="right"/>
            </w:pPr>
            <w:r w:rsidRPr="001F4265">
              <w:rPr>
                <w:rFonts w:eastAsia="Calibri"/>
              </w:rPr>
              <w:t>±15</w:t>
            </w:r>
          </w:p>
        </w:tc>
      </w:tr>
    </w:tbl>
    <w:p w14:paraId="1D012DFF" w14:textId="77777777" w:rsidR="003A5396" w:rsidRPr="001F4265" w:rsidRDefault="003A5396" w:rsidP="003A5396">
      <w:pPr>
        <w:pStyle w:val="Heading4"/>
        <w:spacing w:before="440"/>
      </w:pPr>
      <w:r w:rsidRPr="001F4265">
        <w:t>Time-series consistency</w:t>
      </w:r>
    </w:p>
    <w:p w14:paraId="514E528C" w14:textId="77777777" w:rsidR="003A5396" w:rsidRPr="001F4265" w:rsidRDefault="003A5396" w:rsidP="003A5396">
      <w:pPr>
        <w:pStyle w:val="BodyText"/>
      </w:pPr>
      <w:r w:rsidRPr="001F4265">
        <w:t>The implied emission factor for CO</w:t>
      </w:r>
      <w:r w:rsidRPr="001F4265">
        <w:rPr>
          <w:vertAlign w:val="subscript"/>
        </w:rPr>
        <w:t>2</w:t>
      </w:r>
      <w:r w:rsidRPr="001F4265">
        <w:t xml:space="preserve"> in ammonia production has reduced by about 5.0 percent through the time series, reflecting higher plant utilisation and some improvements in plant efficiency. Because ammonia is made at a single site in New Zealand, the implied emission factor may also vary from year to year as a result of maintenance shutdowns and other events that affect plant performance.</w:t>
      </w:r>
    </w:p>
    <w:p w14:paraId="44C1A691" w14:textId="77777777" w:rsidR="003A5396" w:rsidRPr="001F4265" w:rsidRDefault="003A5396" w:rsidP="003A5396">
      <w:pPr>
        <w:pStyle w:val="BodyText"/>
      </w:pPr>
      <w:r w:rsidRPr="001F4265">
        <w:t>The implied emission factor for hydrogen production (2.B.10) also varies from year to year mainly due to changes in refinery gas composition. Other implied emission factors in this category only reflect the default emission factors used.</w:t>
      </w:r>
    </w:p>
    <w:p w14:paraId="541FDD1E" w14:textId="77777777" w:rsidR="003A5396" w:rsidRPr="001F4265" w:rsidRDefault="003A5396" w:rsidP="003A5396">
      <w:pPr>
        <w:pStyle w:val="Heading3"/>
      </w:pPr>
      <w:r w:rsidRPr="001F4265">
        <w:t xml:space="preserve">4.3.4 </w:t>
      </w:r>
      <w:r w:rsidRPr="001F4265">
        <w:tab/>
        <w:t>Category-specific QA/QC and verification</w:t>
      </w:r>
    </w:p>
    <w:p w14:paraId="6572BCEF" w14:textId="77777777" w:rsidR="003A5396" w:rsidRPr="001F4265" w:rsidRDefault="003A5396" w:rsidP="003A5396">
      <w:pPr>
        <w:pStyle w:val="BodyText"/>
      </w:pPr>
      <w:r w:rsidRPr="001F4265">
        <w:t>For this submission, data for all CO</w:t>
      </w:r>
      <w:r w:rsidRPr="001F4265">
        <w:rPr>
          <w:vertAlign w:val="subscript"/>
        </w:rPr>
        <w:t>2</w:t>
      </w:r>
      <w:r w:rsidRPr="001F4265">
        <w:t xml:space="preserve"> emissions in the </w:t>
      </w:r>
      <w:r w:rsidRPr="001F4265">
        <w:rPr>
          <w:i/>
          <w:iCs/>
        </w:rPr>
        <w:t>Chemical industry</w:t>
      </w:r>
      <w:r w:rsidRPr="001F4265">
        <w:t xml:space="preserve"> category underwent Tier 1 quality checks in the preparation of this inventory. The only key category in the </w:t>
      </w:r>
      <w:r w:rsidRPr="001F4265">
        <w:rPr>
          <w:i/>
        </w:rPr>
        <w:t>Chemical industry</w:t>
      </w:r>
      <w:r w:rsidRPr="001F4265">
        <w:t xml:space="preserve"> category is CO</w:t>
      </w:r>
      <w:r w:rsidRPr="001F4265">
        <w:rPr>
          <w:vertAlign w:val="subscript"/>
        </w:rPr>
        <w:t>2</w:t>
      </w:r>
      <w:r w:rsidRPr="001F4265">
        <w:t xml:space="preserve"> emissions from </w:t>
      </w:r>
      <w:r w:rsidRPr="001F4265">
        <w:rPr>
          <w:i/>
          <w:iCs/>
        </w:rPr>
        <w:t>Other</w:t>
      </w:r>
      <w:r w:rsidRPr="001F4265">
        <w:t xml:space="preserve"> (hydrogen production) (trend assessment).</w:t>
      </w:r>
    </w:p>
    <w:p w14:paraId="7DC71262" w14:textId="77777777" w:rsidR="003A5396" w:rsidRPr="001F4265" w:rsidRDefault="003A5396" w:rsidP="003A5396">
      <w:pPr>
        <w:pStyle w:val="Heading3"/>
      </w:pPr>
      <w:r w:rsidRPr="001F4265">
        <w:t xml:space="preserve">4.3.5 </w:t>
      </w:r>
      <w:r w:rsidRPr="001F4265">
        <w:tab/>
        <w:t>Category-specific recalculations</w:t>
      </w:r>
    </w:p>
    <w:p w14:paraId="59193994" w14:textId="77777777" w:rsidR="003A5396" w:rsidRPr="001F4265" w:rsidRDefault="003A5396" w:rsidP="003A5396">
      <w:pPr>
        <w:pStyle w:val="BodyText"/>
      </w:pPr>
      <w:r w:rsidRPr="001F4265">
        <w:t>There were no recalculations for this category.</w:t>
      </w:r>
    </w:p>
    <w:p w14:paraId="37C2C5E6" w14:textId="77777777" w:rsidR="003A5396" w:rsidRPr="001F4265" w:rsidRDefault="003A5396" w:rsidP="003A5396">
      <w:pPr>
        <w:pStyle w:val="Heading3"/>
      </w:pPr>
      <w:r w:rsidRPr="001F4265">
        <w:t xml:space="preserve">4.3.6 </w:t>
      </w:r>
      <w:r w:rsidRPr="001F4265">
        <w:tab/>
        <w:t>Category-specific planned improvements</w:t>
      </w:r>
    </w:p>
    <w:p w14:paraId="462EC7F2" w14:textId="77777777" w:rsidR="003A5396" w:rsidRPr="001F4265" w:rsidRDefault="003A5396" w:rsidP="003A5396">
      <w:pPr>
        <w:pStyle w:val="BodyText"/>
      </w:pPr>
      <w:r w:rsidRPr="001F4265">
        <w:t>There are no planned improvements for this category.</w:t>
      </w:r>
    </w:p>
    <w:p w14:paraId="0BB95C05" w14:textId="77777777" w:rsidR="003A5396" w:rsidRPr="001F4265" w:rsidRDefault="003A5396" w:rsidP="003A5396">
      <w:pPr>
        <w:pStyle w:val="Heading2"/>
      </w:pPr>
      <w:bookmarkStart w:id="490" w:name="_Toc226460761"/>
      <w:bookmarkStart w:id="491" w:name="metal-industry-2.c"/>
      <w:bookmarkEnd w:id="476"/>
      <w:r w:rsidRPr="001F4265">
        <w:t xml:space="preserve">4.4 </w:t>
      </w:r>
      <w:r w:rsidRPr="001F4265">
        <w:tab/>
        <w:t>Metal industry (2.C)</w:t>
      </w:r>
      <w:bookmarkEnd w:id="490"/>
    </w:p>
    <w:p w14:paraId="610BDBC5" w14:textId="77777777" w:rsidR="003A5396" w:rsidRPr="001F4265" w:rsidRDefault="003A5396" w:rsidP="003A5396">
      <w:pPr>
        <w:pStyle w:val="Heading3"/>
        <w:spacing w:before="240"/>
      </w:pPr>
      <w:r w:rsidRPr="001F4265">
        <w:t xml:space="preserve">4.4.1 </w:t>
      </w:r>
      <w:r w:rsidRPr="001F4265">
        <w:tab/>
        <w:t>Description</w:t>
      </w:r>
    </w:p>
    <w:p w14:paraId="1EFAF800" w14:textId="77777777" w:rsidR="003A5396" w:rsidRPr="001F4265" w:rsidRDefault="003A5396" w:rsidP="003A5396">
      <w:pPr>
        <w:pStyle w:val="BodyText"/>
      </w:pPr>
      <w:r w:rsidRPr="001F4265">
        <w:t xml:space="preserve">The main emissions in the </w:t>
      </w:r>
      <w:r w:rsidRPr="001F4265">
        <w:rPr>
          <w:i/>
          <w:iCs/>
        </w:rPr>
        <w:t>Metal industry</w:t>
      </w:r>
      <w:r w:rsidRPr="001F4265">
        <w:t xml:space="preserve"> category in New Zealand are from iron and steel production (from iron sand and historically from recycled scrap steel) and from aluminium production. New Zealand has no production of coke, sinter or ferroalloys.</w:t>
      </w:r>
    </w:p>
    <w:p w14:paraId="1D08CCE7" w14:textId="77777777" w:rsidR="003A5396" w:rsidRPr="001F4265" w:rsidRDefault="003A5396" w:rsidP="003A5396">
      <w:pPr>
        <w:pStyle w:val="BodyText"/>
      </w:pPr>
      <w:r w:rsidRPr="001F4265">
        <w:t>New Zealand Steel Limited produces iron using an ‘alternative iron-making process’, from titanomagnetite iron sand (Ure, 2000). This iron-making process involves the direct reduction of iron oxide contained in the sand, with sub-bituminous coal (which forms a reactive char) as the reductant. There is no coke production and no use of blast furnaces. The iron produced is then processed into steel.</w:t>
      </w:r>
    </w:p>
    <w:p w14:paraId="75A97688" w14:textId="77777777" w:rsidR="003A5396" w:rsidRPr="001F4265" w:rsidRDefault="003A5396" w:rsidP="003A5396">
      <w:pPr>
        <w:pStyle w:val="BodyText"/>
      </w:pPr>
      <w:r w:rsidRPr="001F4265">
        <w:t>Until 2015, Pacific Steel Limited operated an electric arc furnace at a separate site to process recycled scrap steel. The owners of New Zealand Steel Limited bought the Pacific Steel Limited production assets in 2015, and all of New Zealand’s steel-making capacity is now integrated at the New Zealand Steel site. Steel billet production at the Pacific Steel plant, using recycled scrap, stopped in October 2015. As a result, production in New Zealand is now focused on newly produced iron rather than recycled steel scrap.</w:t>
      </w:r>
    </w:p>
    <w:p w14:paraId="01353D97" w14:textId="77777777" w:rsidR="003A5396" w:rsidRPr="001F4265" w:rsidRDefault="003A5396" w:rsidP="003A5396">
      <w:pPr>
        <w:pStyle w:val="BodyText"/>
      </w:pPr>
      <w:r w:rsidRPr="001F4265">
        <w:t xml:space="preserve">Limestone and soda ash are also used in the steel and aluminium industries and would normally be reported in the </w:t>
      </w:r>
      <w:r w:rsidRPr="001F4265">
        <w:rPr>
          <w:i/>
          <w:iCs/>
        </w:rPr>
        <w:t>Metal industry</w:t>
      </w:r>
      <w:r w:rsidRPr="001F4265">
        <w:t xml:space="preserve"> category. Emissions from this use of mineral inputs are reported in the </w:t>
      </w:r>
      <w:r w:rsidRPr="001F4265">
        <w:rPr>
          <w:i/>
          <w:iCs/>
        </w:rPr>
        <w:t>Mineral industry</w:t>
      </w:r>
      <w:r w:rsidRPr="001F4265">
        <w:t xml:space="preserve"> category (see section 4.2.2); the data have been aggregated to protect the confidentiality of data provided by these two glass companies.</w:t>
      </w:r>
    </w:p>
    <w:p w14:paraId="728878D5" w14:textId="77777777" w:rsidR="003A5396" w:rsidRPr="001F4265" w:rsidRDefault="003A5396" w:rsidP="003A5396">
      <w:pPr>
        <w:pStyle w:val="BodyText"/>
      </w:pPr>
      <w:r w:rsidRPr="001F4265">
        <w:t>There is one aluminium smelter in New Zealand, operated by NZAS. The plant produces aluminium by smelting imported bauxite using centre-work prebake technology, resulting in CO</w:t>
      </w:r>
      <w:r w:rsidRPr="001F4265">
        <w:rPr>
          <w:vertAlign w:val="subscript"/>
        </w:rPr>
        <w:t>2</w:t>
      </w:r>
      <w:r w:rsidRPr="001F4265">
        <w:t xml:space="preserve"> and PFC emissions.</w:t>
      </w:r>
    </w:p>
    <w:p w14:paraId="78907F4F" w14:textId="77777777" w:rsidR="003A5396" w:rsidRPr="001F4265" w:rsidRDefault="003A5396" w:rsidP="003A5396">
      <w:pPr>
        <w:pStyle w:val="BodyText"/>
      </w:pPr>
      <w:r w:rsidRPr="001F4265">
        <w:t>Very small amounts of emissions are also reported from secondary lead production (from the recycling of lead-acid batteries) from 1990 to 2015 and from use of SF</w:t>
      </w:r>
      <w:r w:rsidRPr="001F4265">
        <w:rPr>
          <w:vertAlign w:val="subscript"/>
        </w:rPr>
        <w:t>6</w:t>
      </w:r>
      <w:r w:rsidRPr="001F4265">
        <w:t xml:space="preserve"> in a magnesium foundry from 1990 to 1999.</w:t>
      </w:r>
    </w:p>
    <w:p w14:paraId="5A70EFB6" w14:textId="77777777" w:rsidR="003A5396" w:rsidRPr="001F4265" w:rsidRDefault="003A5396" w:rsidP="003A5396">
      <w:pPr>
        <w:pStyle w:val="BodyText"/>
      </w:pPr>
      <w:r w:rsidRPr="001F4265">
        <w:t xml:space="preserve">Key categories in the </w:t>
      </w:r>
      <w:r w:rsidRPr="001F4265">
        <w:rPr>
          <w:i/>
          <w:iCs/>
        </w:rPr>
        <w:t>Metal industry</w:t>
      </w:r>
      <w:r w:rsidRPr="001F4265">
        <w:t xml:space="preserve"> category are CO</w:t>
      </w:r>
      <w:r w:rsidRPr="001F4265">
        <w:rPr>
          <w:vertAlign w:val="subscript"/>
        </w:rPr>
        <w:t>2</w:t>
      </w:r>
      <w:r w:rsidRPr="001F4265">
        <w:t xml:space="preserve"> emissions from </w:t>
      </w:r>
      <w:r w:rsidRPr="001F4265">
        <w:rPr>
          <w:i/>
          <w:iCs/>
        </w:rPr>
        <w:t>Iron and steel production</w:t>
      </w:r>
      <w:r w:rsidRPr="001F4265">
        <w:t xml:space="preserve"> (level and trend assessment) and </w:t>
      </w:r>
      <w:r w:rsidRPr="001F4265">
        <w:rPr>
          <w:i/>
          <w:iCs/>
        </w:rPr>
        <w:t>Aluminium production</w:t>
      </w:r>
      <w:r w:rsidRPr="001F4265">
        <w:t xml:space="preserve"> (level assessment), and PFCs from </w:t>
      </w:r>
      <w:r w:rsidRPr="001F4265">
        <w:rPr>
          <w:i/>
          <w:iCs/>
        </w:rPr>
        <w:t>Aluminium production</w:t>
      </w:r>
      <w:r w:rsidRPr="001F4265">
        <w:t xml:space="preserve"> (trend assessment).</w:t>
      </w:r>
    </w:p>
    <w:p w14:paraId="39A8F641" w14:textId="77777777" w:rsidR="003A5396" w:rsidRPr="001F4265" w:rsidRDefault="003A5396" w:rsidP="003A5396">
      <w:pPr>
        <w:pStyle w:val="BodyText"/>
      </w:pPr>
      <w:r w:rsidRPr="001F4265">
        <w:t xml:space="preserve">In 2024, emissions from the </w:t>
      </w:r>
      <w:r w:rsidRPr="001F4265">
        <w:rPr>
          <w:i/>
          <w:iCs/>
        </w:rPr>
        <w:t>Metal industry</w:t>
      </w:r>
      <w:r w:rsidRPr="001F4265">
        <w:t xml:space="preserve"> category were 2,077.8 kt CO</w:t>
      </w:r>
      <w:r w:rsidRPr="001F4265">
        <w:rPr>
          <w:vertAlign w:val="subscript"/>
        </w:rPr>
        <w:t>2</w:t>
      </w:r>
      <w:r w:rsidRPr="001F4265">
        <w:t>e, or 53.3 percent of emissions from the IPPU sector. This is 500.5 kt CO</w:t>
      </w:r>
      <w:r w:rsidRPr="001F4265">
        <w:rPr>
          <w:vertAlign w:val="subscript"/>
        </w:rPr>
        <w:t>2</w:t>
      </w:r>
      <w:r w:rsidRPr="001F4265">
        <w:t>e (19.4 percent) below the 1990 level and 170.0 kt CO</w:t>
      </w:r>
      <w:r w:rsidRPr="001F4265">
        <w:rPr>
          <w:vertAlign w:val="subscript"/>
        </w:rPr>
        <w:t>2</w:t>
      </w:r>
      <w:r w:rsidRPr="001F4265">
        <w:t>e (7.6 percent) below the 2005 level. The decrease was driven by a reduction in emissions of PFCs in aluminium smelting, which has been partly offset by increasing CO</w:t>
      </w:r>
      <w:r w:rsidRPr="001F4265">
        <w:rPr>
          <w:vertAlign w:val="subscript"/>
        </w:rPr>
        <w:t>2</w:t>
      </w:r>
      <w:r w:rsidRPr="001F4265">
        <w:t> emissions due to increasing production of steel and aluminium. A small decrease in emissions occurred in 2016 due to the closure of the Pacific Steel plant and the cessation of lead battery recycling.</w:t>
      </w:r>
    </w:p>
    <w:p w14:paraId="21FBECFD" w14:textId="77777777" w:rsidR="003A5396" w:rsidRPr="001F4265" w:rsidRDefault="003A5396" w:rsidP="003A5396">
      <w:pPr>
        <w:pStyle w:val="BodyText"/>
      </w:pPr>
      <w:r w:rsidRPr="001F4265">
        <w:t>The New Zealand Steel site was closed from 26 March to 27 April 2020, due to COVID-19 pandemic restrictions.</w:t>
      </w:r>
    </w:p>
    <w:p w14:paraId="58BF636D" w14:textId="77777777" w:rsidR="003A5396" w:rsidRPr="001F4265" w:rsidRDefault="003A5396" w:rsidP="003A5396">
      <w:pPr>
        <w:pStyle w:val="BodyText"/>
      </w:pPr>
      <w:r w:rsidRPr="001F4265">
        <w:t xml:space="preserve">The New Zealand Aluminium Smelter (Tiwai Point) is New Zealand’s largest electricity user. During winter 2024, Tiwai Point reduced its activities due to an electricity fuel shortage. The reduced consumption of electricity from Tiwai Point allowed New Zealand to conserve hydro storage during periods of low rainfall and declining gas production. Tiwai Point was part of a demand response effort in 2023 as well, therefore, New Zealand did not see large reductions in emissions in 2024 in the </w:t>
      </w:r>
      <w:r w:rsidRPr="001F4265">
        <w:rPr>
          <w:i/>
          <w:iCs/>
        </w:rPr>
        <w:t>Aluminium production</w:t>
      </w:r>
      <w:r w:rsidRPr="001F4265">
        <w:t xml:space="preserve"> category.</w:t>
      </w:r>
    </w:p>
    <w:p w14:paraId="41562B4F" w14:textId="77777777" w:rsidR="003A5396" w:rsidRPr="001F4265" w:rsidRDefault="003A5396" w:rsidP="003A5396">
      <w:pPr>
        <w:pStyle w:val="Heading3"/>
      </w:pPr>
      <w:r w:rsidRPr="001F4265">
        <w:t xml:space="preserve">4.4.2 </w:t>
      </w:r>
      <w:r w:rsidRPr="001F4265">
        <w:tab/>
        <w:t>Methodological issues</w:t>
      </w:r>
    </w:p>
    <w:p w14:paraId="21C83FF5" w14:textId="77777777" w:rsidR="003A5396" w:rsidRPr="001F4265" w:rsidRDefault="003A5396" w:rsidP="003A5396">
      <w:pPr>
        <w:pStyle w:val="Heading4"/>
      </w:pPr>
      <w:r w:rsidRPr="001F4265">
        <w:t>Choice of activity data</w:t>
      </w:r>
    </w:p>
    <w:p w14:paraId="1A4A4DB5" w14:textId="77777777" w:rsidR="003A5396" w:rsidRPr="001F4265" w:rsidRDefault="003A5396" w:rsidP="003A5396">
      <w:pPr>
        <w:pStyle w:val="Heading5"/>
        <w:spacing w:before="180"/>
      </w:pPr>
      <w:bookmarkStart w:id="492" w:name="X97250b938e5bd94c94bc4f7556b7abbd09c4f3f"/>
      <w:r w:rsidRPr="001F4265">
        <w:t>Iron and steel production (2.C.1 and 2.C.1.a)</w:t>
      </w:r>
    </w:p>
    <w:p w14:paraId="2F93D8F8" w14:textId="77777777" w:rsidR="003A5396" w:rsidRPr="001F4265" w:rsidRDefault="003A5396" w:rsidP="003A5396">
      <w:pPr>
        <w:pStyle w:val="BodyText"/>
      </w:pPr>
      <w:r w:rsidRPr="001F4265">
        <w:rPr>
          <w:spacing w:val="-2"/>
        </w:rPr>
        <w:t xml:space="preserve">In 2024, emissions from the </w:t>
      </w:r>
      <w:r w:rsidRPr="001F4265">
        <w:rPr>
          <w:i/>
          <w:iCs/>
          <w:spacing w:val="-2"/>
        </w:rPr>
        <w:t>Iron and steel production</w:t>
      </w:r>
      <w:r w:rsidRPr="001F4265">
        <w:rPr>
          <w:spacing w:val="-2"/>
        </w:rPr>
        <w:t xml:space="preserve"> category were 1,524.6 kt CO</w:t>
      </w:r>
      <w:r w:rsidRPr="001F4265">
        <w:rPr>
          <w:spacing w:val="-2"/>
          <w:vertAlign w:val="subscript"/>
        </w:rPr>
        <w:t>2</w:t>
      </w:r>
      <w:r w:rsidRPr="001F4265">
        <w:rPr>
          <w:spacing w:val="-2"/>
        </w:rPr>
        <w:t xml:space="preserve">e, or </w:t>
      </w:r>
      <w:r w:rsidRPr="001F4265">
        <w:t>73.4 </w:t>
      </w:r>
      <w:r w:rsidRPr="001F4265">
        <w:rPr>
          <w:spacing w:val="-2"/>
        </w:rPr>
        <w:t xml:space="preserve">percent of emissions from the </w:t>
      </w:r>
      <w:r w:rsidRPr="001F4265">
        <w:rPr>
          <w:i/>
          <w:iCs/>
          <w:spacing w:val="-2"/>
        </w:rPr>
        <w:t>Metal industry</w:t>
      </w:r>
      <w:r w:rsidRPr="001F4265">
        <w:rPr>
          <w:spacing w:val="-2"/>
        </w:rPr>
        <w:t xml:space="preserve"> category. The activity data (tonnes of steel produced) provided to MBIE came from two steel producers up to 2015 and now come from one; they are regarded as commercially confidential and are reported as confidential in the CRT.</w:t>
      </w:r>
    </w:p>
    <w:p w14:paraId="55F76F1E" w14:textId="77777777" w:rsidR="003A5396" w:rsidRPr="001F4265" w:rsidRDefault="003A5396" w:rsidP="003A5396">
      <w:pPr>
        <w:pStyle w:val="BodyText"/>
      </w:pPr>
      <w:r w:rsidRPr="001F4265">
        <w:t>Most of the CO</w:t>
      </w:r>
      <w:r w:rsidRPr="001F4265">
        <w:rPr>
          <w:vertAlign w:val="subscript"/>
        </w:rPr>
        <w:t>2</w:t>
      </w:r>
      <w:r w:rsidRPr="001F4265">
        <w:t xml:space="preserve"> emissions from the </w:t>
      </w:r>
      <w:r w:rsidRPr="001F4265">
        <w:rPr>
          <w:i/>
          <w:iCs/>
        </w:rPr>
        <w:t>Iron and steel production</w:t>
      </w:r>
      <w:r w:rsidRPr="001F4265">
        <w:t xml:space="preserve"> category are produced through the production of iron from titanomagnetite iron sand. Nearly all of the emissions in this process come from the use of sub-bituminous coal as a reducing agent. There is no carbon in the iron sand used by New Zealand Steel Limited (see table 4.4.1). Figure 4.4.1 shows a simplified illustration of steel production in New Zealand.</w:t>
      </w:r>
    </w:p>
    <w:p w14:paraId="106EC79D" w14:textId="77777777" w:rsidR="003A5396" w:rsidRPr="001F4265" w:rsidRDefault="003A5396" w:rsidP="003A5396">
      <w:pPr>
        <w:pStyle w:val="Table"/>
      </w:pPr>
      <w:bookmarkStart w:id="493" w:name="_Toc226668975"/>
      <w:r w:rsidRPr="001F4265">
        <w:t xml:space="preserve">Table 4.4.1 </w:t>
      </w:r>
      <w:r w:rsidRPr="001F4265">
        <w:tab/>
        <w:t>Typical analysis from New Zealand Steel Limited of the primary concentrate</w:t>
      </w:r>
      <w:r w:rsidRPr="001F4265">
        <w:br/>
        <w:t>(provided by New Zealand Steel Limited)</w:t>
      </w:r>
      <w:bookmarkEnd w:id="49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925"/>
        <w:gridCol w:w="4569"/>
      </w:tblGrid>
      <w:tr w:rsidR="003A5396" w:rsidRPr="001F4265" w14:paraId="522DC9B8" w14:textId="77777777" w:rsidTr="00F16E23">
        <w:trPr>
          <w:tblHeader/>
        </w:trPr>
        <w:tc>
          <w:tcPr>
            <w:tcW w:w="0" w:type="auto"/>
            <w:shd w:val="clear" w:color="auto" w:fill="1B556B"/>
            <w:tcMar>
              <w:top w:w="0" w:type="dxa"/>
              <w:left w:w="85" w:type="dxa"/>
              <w:bottom w:w="0" w:type="dxa"/>
              <w:right w:w="85" w:type="dxa"/>
            </w:tcMar>
            <w:vAlign w:val="center"/>
          </w:tcPr>
          <w:p w14:paraId="04EC933A" w14:textId="77777777" w:rsidR="003A5396" w:rsidRPr="001F4265" w:rsidRDefault="003A5396" w:rsidP="00F16E23">
            <w:pPr>
              <w:pStyle w:val="TableTextBold"/>
              <w:keepNext/>
              <w:spacing w:before="40" w:after="40"/>
              <w:rPr>
                <w:noProof w:val="0"/>
                <w:color w:val="FFFFFF" w:themeColor="background1"/>
              </w:rPr>
            </w:pPr>
            <w:r w:rsidRPr="001F4265">
              <w:rPr>
                <w:rFonts w:eastAsia="Calibri"/>
                <w:noProof w:val="0"/>
                <w:color w:val="FFFFFF" w:themeColor="background1"/>
              </w:rPr>
              <w:t>Element</w:t>
            </w:r>
          </w:p>
        </w:tc>
        <w:tc>
          <w:tcPr>
            <w:tcW w:w="0" w:type="auto"/>
            <w:shd w:val="clear" w:color="auto" w:fill="1B556B"/>
            <w:tcMar>
              <w:top w:w="0" w:type="dxa"/>
              <w:left w:w="85" w:type="dxa"/>
              <w:bottom w:w="0" w:type="dxa"/>
              <w:right w:w="85" w:type="dxa"/>
            </w:tcMar>
            <w:vAlign w:val="center"/>
          </w:tcPr>
          <w:p w14:paraId="02D8CC99" w14:textId="77777777" w:rsidR="003A5396" w:rsidRPr="001F4265" w:rsidRDefault="003A5396" w:rsidP="00F16E23">
            <w:pPr>
              <w:pStyle w:val="TableTextBold"/>
              <w:keepNext/>
              <w:spacing w:before="40" w:after="40"/>
              <w:rPr>
                <w:noProof w:val="0"/>
                <w:color w:val="FFFFFF" w:themeColor="background1"/>
              </w:rPr>
            </w:pPr>
            <w:r w:rsidRPr="001F4265">
              <w:rPr>
                <w:rFonts w:eastAsia="Calibri"/>
                <w:noProof w:val="0"/>
                <w:color w:val="FFFFFF" w:themeColor="background1"/>
              </w:rPr>
              <w:t>Result (%)</w:t>
            </w:r>
          </w:p>
        </w:tc>
      </w:tr>
      <w:tr w:rsidR="003A5396" w:rsidRPr="001F4265" w14:paraId="64F60F75" w14:textId="77777777" w:rsidTr="00F16E23">
        <w:tc>
          <w:tcPr>
            <w:tcW w:w="0" w:type="auto"/>
            <w:shd w:val="clear" w:color="auto" w:fill="FFFFFF"/>
            <w:tcMar>
              <w:top w:w="0" w:type="dxa"/>
              <w:left w:w="85" w:type="dxa"/>
              <w:bottom w:w="0" w:type="dxa"/>
              <w:right w:w="85" w:type="dxa"/>
            </w:tcMar>
            <w:vAlign w:val="center"/>
          </w:tcPr>
          <w:p w14:paraId="41A08444" w14:textId="77777777" w:rsidR="003A5396" w:rsidRPr="001F4265" w:rsidRDefault="003A5396" w:rsidP="00F16E23">
            <w:pPr>
              <w:pStyle w:val="TableText"/>
              <w:keepNext/>
              <w:spacing w:before="40" w:after="40"/>
            </w:pPr>
            <w:r w:rsidRPr="001F4265">
              <w:rPr>
                <w:rFonts w:eastAsia="Calibri"/>
              </w:rPr>
              <w:t>Fe</w:t>
            </w:r>
            <w:r w:rsidRPr="001F4265">
              <w:rPr>
                <w:rFonts w:eastAsia="Calibri"/>
                <w:vertAlign w:val="subscript"/>
              </w:rPr>
              <w:t>3</w:t>
            </w:r>
            <w:r w:rsidRPr="001F4265">
              <w:rPr>
                <w:rFonts w:eastAsia="Calibri"/>
              </w:rPr>
              <w:t>O</w:t>
            </w:r>
            <w:r w:rsidRPr="001F4265">
              <w:rPr>
                <w:rFonts w:eastAsia="Calibri"/>
                <w:vertAlign w:val="subscript"/>
              </w:rPr>
              <w:t>4</w:t>
            </w:r>
          </w:p>
        </w:tc>
        <w:tc>
          <w:tcPr>
            <w:tcW w:w="0" w:type="auto"/>
            <w:shd w:val="clear" w:color="auto" w:fill="FFFFFF"/>
            <w:tcMar>
              <w:top w:w="0" w:type="dxa"/>
              <w:left w:w="85" w:type="dxa"/>
              <w:bottom w:w="0" w:type="dxa"/>
              <w:right w:w="85" w:type="dxa"/>
            </w:tcMar>
            <w:vAlign w:val="center"/>
          </w:tcPr>
          <w:p w14:paraId="45FF0F2D" w14:textId="77777777" w:rsidR="003A5396" w:rsidRPr="001F4265" w:rsidRDefault="003A5396" w:rsidP="00F16E23">
            <w:pPr>
              <w:pStyle w:val="TableText"/>
              <w:keepNext/>
              <w:spacing w:before="40" w:after="40"/>
            </w:pPr>
            <w:r w:rsidRPr="001F4265">
              <w:rPr>
                <w:rFonts w:eastAsia="Calibri"/>
              </w:rPr>
              <w:t>81.4</w:t>
            </w:r>
          </w:p>
        </w:tc>
      </w:tr>
      <w:tr w:rsidR="003A5396" w:rsidRPr="001F4265" w14:paraId="3C46CF19" w14:textId="77777777" w:rsidTr="00F16E23">
        <w:tc>
          <w:tcPr>
            <w:tcW w:w="0" w:type="auto"/>
            <w:shd w:val="clear" w:color="auto" w:fill="FFFFFF"/>
            <w:tcMar>
              <w:top w:w="0" w:type="dxa"/>
              <w:left w:w="85" w:type="dxa"/>
              <w:bottom w:w="0" w:type="dxa"/>
              <w:right w:w="85" w:type="dxa"/>
            </w:tcMar>
            <w:vAlign w:val="center"/>
          </w:tcPr>
          <w:p w14:paraId="4EBBDABD" w14:textId="77777777" w:rsidR="003A5396" w:rsidRPr="001F4265" w:rsidRDefault="003A5396" w:rsidP="00F16E23">
            <w:pPr>
              <w:pStyle w:val="TableText"/>
              <w:spacing w:before="40" w:after="40"/>
            </w:pPr>
            <w:r w:rsidRPr="001F4265">
              <w:rPr>
                <w:rFonts w:eastAsia="Calibri"/>
              </w:rPr>
              <w:t>TiO</w:t>
            </w:r>
            <w:r w:rsidRPr="001F4265">
              <w:rPr>
                <w:rFonts w:eastAsia="Calibri"/>
                <w:vertAlign w:val="subscript"/>
              </w:rPr>
              <w:t>2</w:t>
            </w:r>
          </w:p>
        </w:tc>
        <w:tc>
          <w:tcPr>
            <w:tcW w:w="0" w:type="auto"/>
            <w:shd w:val="clear" w:color="auto" w:fill="FFFFFF"/>
            <w:tcMar>
              <w:top w:w="0" w:type="dxa"/>
              <w:left w:w="85" w:type="dxa"/>
              <w:bottom w:w="0" w:type="dxa"/>
              <w:right w:w="85" w:type="dxa"/>
            </w:tcMar>
            <w:vAlign w:val="center"/>
          </w:tcPr>
          <w:p w14:paraId="17C35955" w14:textId="77777777" w:rsidR="003A5396" w:rsidRPr="001F4265" w:rsidRDefault="003A5396" w:rsidP="00F16E23">
            <w:pPr>
              <w:pStyle w:val="TableText"/>
              <w:spacing w:before="40" w:after="40"/>
            </w:pPr>
            <w:r w:rsidRPr="001F4265">
              <w:rPr>
                <w:rFonts w:eastAsia="Calibri"/>
              </w:rPr>
              <w:t>7.9</w:t>
            </w:r>
          </w:p>
        </w:tc>
      </w:tr>
      <w:tr w:rsidR="003A5396" w:rsidRPr="001F4265" w14:paraId="687FE8BC" w14:textId="77777777" w:rsidTr="00F16E23">
        <w:tc>
          <w:tcPr>
            <w:tcW w:w="0" w:type="auto"/>
            <w:shd w:val="clear" w:color="auto" w:fill="FFFFFF"/>
            <w:tcMar>
              <w:top w:w="0" w:type="dxa"/>
              <w:left w:w="85" w:type="dxa"/>
              <w:bottom w:w="0" w:type="dxa"/>
              <w:right w:w="85" w:type="dxa"/>
            </w:tcMar>
            <w:vAlign w:val="center"/>
          </w:tcPr>
          <w:p w14:paraId="0383B4EC" w14:textId="77777777" w:rsidR="003A5396" w:rsidRPr="001F4265" w:rsidRDefault="003A5396" w:rsidP="00F16E23">
            <w:pPr>
              <w:pStyle w:val="TableText"/>
              <w:spacing w:before="40" w:after="40"/>
            </w:pPr>
            <w:r w:rsidRPr="001F4265">
              <w:rPr>
                <w:rFonts w:eastAsia="Calibri"/>
              </w:rPr>
              <w:t>Al</w:t>
            </w:r>
            <w:r w:rsidRPr="001F4265">
              <w:rPr>
                <w:rFonts w:eastAsia="Calibri"/>
                <w:vertAlign w:val="subscript"/>
              </w:rPr>
              <w:t>2</w:t>
            </w:r>
            <w:r w:rsidRPr="001F4265">
              <w:rPr>
                <w:rFonts w:eastAsia="Calibri"/>
              </w:rPr>
              <w:t>O</w:t>
            </w:r>
            <w:r w:rsidRPr="001F4265">
              <w:rPr>
                <w:rFonts w:eastAsia="Calibri"/>
                <w:vertAlign w:val="subscript"/>
              </w:rPr>
              <w:t>3</w:t>
            </w:r>
          </w:p>
        </w:tc>
        <w:tc>
          <w:tcPr>
            <w:tcW w:w="0" w:type="auto"/>
            <w:shd w:val="clear" w:color="auto" w:fill="FFFFFF"/>
            <w:tcMar>
              <w:top w:w="0" w:type="dxa"/>
              <w:left w:w="85" w:type="dxa"/>
              <w:bottom w:w="0" w:type="dxa"/>
              <w:right w:w="85" w:type="dxa"/>
            </w:tcMar>
            <w:vAlign w:val="center"/>
          </w:tcPr>
          <w:p w14:paraId="6EC0761B" w14:textId="77777777" w:rsidR="003A5396" w:rsidRPr="001F4265" w:rsidRDefault="003A5396" w:rsidP="00F16E23">
            <w:pPr>
              <w:pStyle w:val="TableText"/>
              <w:spacing w:before="40" w:after="40"/>
            </w:pPr>
            <w:r w:rsidRPr="001F4265">
              <w:rPr>
                <w:rFonts w:eastAsia="Calibri"/>
              </w:rPr>
              <w:t>3.7</w:t>
            </w:r>
          </w:p>
        </w:tc>
      </w:tr>
      <w:tr w:rsidR="003A5396" w:rsidRPr="001F4265" w14:paraId="7873A5FD" w14:textId="77777777" w:rsidTr="00F16E23">
        <w:tc>
          <w:tcPr>
            <w:tcW w:w="0" w:type="auto"/>
            <w:shd w:val="clear" w:color="auto" w:fill="FFFFFF"/>
            <w:tcMar>
              <w:top w:w="0" w:type="dxa"/>
              <w:left w:w="85" w:type="dxa"/>
              <w:bottom w:w="0" w:type="dxa"/>
              <w:right w:w="85" w:type="dxa"/>
            </w:tcMar>
            <w:vAlign w:val="center"/>
          </w:tcPr>
          <w:p w14:paraId="0E10691D" w14:textId="77777777" w:rsidR="003A5396" w:rsidRPr="001F4265" w:rsidRDefault="003A5396" w:rsidP="00F16E23">
            <w:pPr>
              <w:pStyle w:val="TableText"/>
              <w:spacing w:before="40" w:after="40"/>
            </w:pPr>
            <w:r w:rsidRPr="001F4265">
              <w:rPr>
                <w:rFonts w:eastAsia="Calibri"/>
              </w:rPr>
              <w:t>MgO</w:t>
            </w:r>
          </w:p>
        </w:tc>
        <w:tc>
          <w:tcPr>
            <w:tcW w:w="0" w:type="auto"/>
            <w:shd w:val="clear" w:color="auto" w:fill="FFFFFF"/>
            <w:tcMar>
              <w:top w:w="0" w:type="dxa"/>
              <w:left w:w="85" w:type="dxa"/>
              <w:bottom w:w="0" w:type="dxa"/>
              <w:right w:w="85" w:type="dxa"/>
            </w:tcMar>
            <w:vAlign w:val="center"/>
          </w:tcPr>
          <w:p w14:paraId="269D37D5" w14:textId="77777777" w:rsidR="003A5396" w:rsidRPr="001F4265" w:rsidRDefault="003A5396" w:rsidP="00F16E23">
            <w:pPr>
              <w:pStyle w:val="TableText"/>
              <w:spacing w:before="40" w:after="40"/>
            </w:pPr>
            <w:r w:rsidRPr="001F4265">
              <w:rPr>
                <w:rFonts w:eastAsia="Calibri"/>
              </w:rPr>
              <w:t>2.9</w:t>
            </w:r>
          </w:p>
        </w:tc>
      </w:tr>
      <w:tr w:rsidR="003A5396" w:rsidRPr="001F4265" w14:paraId="2A6E15BA" w14:textId="77777777" w:rsidTr="00F16E23">
        <w:tc>
          <w:tcPr>
            <w:tcW w:w="0" w:type="auto"/>
            <w:shd w:val="clear" w:color="auto" w:fill="FFFFFF"/>
            <w:tcMar>
              <w:top w:w="0" w:type="dxa"/>
              <w:left w:w="85" w:type="dxa"/>
              <w:bottom w:w="0" w:type="dxa"/>
              <w:right w:w="85" w:type="dxa"/>
            </w:tcMar>
            <w:vAlign w:val="center"/>
          </w:tcPr>
          <w:p w14:paraId="07B3E349" w14:textId="77777777" w:rsidR="003A5396" w:rsidRPr="001F4265" w:rsidRDefault="003A5396" w:rsidP="00F16E23">
            <w:pPr>
              <w:pStyle w:val="TableText"/>
              <w:spacing w:before="40" w:after="40"/>
            </w:pPr>
            <w:r w:rsidRPr="001F4265">
              <w:rPr>
                <w:rFonts w:eastAsia="Calibri"/>
              </w:rPr>
              <w:t>SiO</w:t>
            </w:r>
            <w:r w:rsidRPr="001F4265">
              <w:rPr>
                <w:rFonts w:eastAsia="Calibri"/>
                <w:vertAlign w:val="subscript"/>
              </w:rPr>
              <w:t>2</w:t>
            </w:r>
          </w:p>
        </w:tc>
        <w:tc>
          <w:tcPr>
            <w:tcW w:w="0" w:type="auto"/>
            <w:shd w:val="clear" w:color="auto" w:fill="FFFFFF"/>
            <w:tcMar>
              <w:top w:w="0" w:type="dxa"/>
              <w:left w:w="85" w:type="dxa"/>
              <w:bottom w:w="0" w:type="dxa"/>
              <w:right w:w="85" w:type="dxa"/>
            </w:tcMar>
            <w:vAlign w:val="center"/>
          </w:tcPr>
          <w:p w14:paraId="1B230B1D" w14:textId="77777777" w:rsidR="003A5396" w:rsidRPr="001F4265" w:rsidRDefault="003A5396" w:rsidP="00F16E23">
            <w:pPr>
              <w:pStyle w:val="TableText"/>
              <w:spacing w:before="40" w:after="40"/>
            </w:pPr>
            <w:r w:rsidRPr="001F4265">
              <w:rPr>
                <w:rFonts w:eastAsia="Calibri"/>
              </w:rPr>
              <w:t>2.3</w:t>
            </w:r>
          </w:p>
        </w:tc>
      </w:tr>
      <w:tr w:rsidR="003A5396" w:rsidRPr="001F4265" w14:paraId="320797A8" w14:textId="77777777" w:rsidTr="00F16E23">
        <w:tc>
          <w:tcPr>
            <w:tcW w:w="0" w:type="auto"/>
            <w:shd w:val="clear" w:color="auto" w:fill="FFFFFF"/>
            <w:tcMar>
              <w:top w:w="0" w:type="dxa"/>
              <w:left w:w="85" w:type="dxa"/>
              <w:bottom w:w="0" w:type="dxa"/>
              <w:right w:w="85" w:type="dxa"/>
            </w:tcMar>
            <w:vAlign w:val="center"/>
          </w:tcPr>
          <w:p w14:paraId="5C445144" w14:textId="77777777" w:rsidR="003A5396" w:rsidRPr="001F4265" w:rsidRDefault="003A5396" w:rsidP="00F16E23">
            <w:pPr>
              <w:pStyle w:val="TableText"/>
              <w:spacing w:before="40" w:after="40"/>
            </w:pPr>
            <w:r w:rsidRPr="001F4265">
              <w:rPr>
                <w:rFonts w:eastAsia="Calibri"/>
              </w:rPr>
              <w:t>MnO</w:t>
            </w:r>
          </w:p>
        </w:tc>
        <w:tc>
          <w:tcPr>
            <w:tcW w:w="0" w:type="auto"/>
            <w:shd w:val="clear" w:color="auto" w:fill="FFFFFF"/>
            <w:tcMar>
              <w:top w:w="0" w:type="dxa"/>
              <w:left w:w="85" w:type="dxa"/>
              <w:bottom w:w="0" w:type="dxa"/>
              <w:right w:w="85" w:type="dxa"/>
            </w:tcMar>
            <w:vAlign w:val="center"/>
          </w:tcPr>
          <w:p w14:paraId="43EE8F98" w14:textId="77777777" w:rsidR="003A5396" w:rsidRPr="001F4265" w:rsidRDefault="003A5396" w:rsidP="00F16E23">
            <w:pPr>
              <w:pStyle w:val="TableText"/>
              <w:spacing w:before="40" w:after="40"/>
            </w:pPr>
            <w:r w:rsidRPr="001F4265">
              <w:rPr>
                <w:rFonts w:eastAsia="Calibri"/>
              </w:rPr>
              <w:t>0.6</w:t>
            </w:r>
          </w:p>
        </w:tc>
      </w:tr>
      <w:tr w:rsidR="003A5396" w:rsidRPr="001F4265" w14:paraId="16AAE1A1" w14:textId="77777777" w:rsidTr="00F16E23">
        <w:tc>
          <w:tcPr>
            <w:tcW w:w="0" w:type="auto"/>
            <w:shd w:val="clear" w:color="auto" w:fill="FFFFFF"/>
            <w:tcMar>
              <w:top w:w="0" w:type="dxa"/>
              <w:left w:w="85" w:type="dxa"/>
              <w:bottom w:w="0" w:type="dxa"/>
              <w:right w:w="85" w:type="dxa"/>
            </w:tcMar>
            <w:vAlign w:val="center"/>
          </w:tcPr>
          <w:p w14:paraId="6851CEE9" w14:textId="77777777" w:rsidR="003A5396" w:rsidRPr="001F4265" w:rsidRDefault="003A5396" w:rsidP="00F16E23">
            <w:pPr>
              <w:pStyle w:val="TableText"/>
              <w:spacing w:before="40" w:after="40"/>
            </w:pPr>
            <w:r w:rsidRPr="001F4265">
              <w:rPr>
                <w:rFonts w:eastAsia="Calibri"/>
              </w:rPr>
              <w:t>CaO</w:t>
            </w:r>
          </w:p>
        </w:tc>
        <w:tc>
          <w:tcPr>
            <w:tcW w:w="0" w:type="auto"/>
            <w:shd w:val="clear" w:color="auto" w:fill="FFFFFF"/>
            <w:tcMar>
              <w:top w:w="0" w:type="dxa"/>
              <w:left w:w="85" w:type="dxa"/>
              <w:bottom w:w="0" w:type="dxa"/>
              <w:right w:w="85" w:type="dxa"/>
            </w:tcMar>
            <w:vAlign w:val="center"/>
          </w:tcPr>
          <w:p w14:paraId="257BBA68" w14:textId="77777777" w:rsidR="003A5396" w:rsidRPr="001F4265" w:rsidRDefault="003A5396" w:rsidP="00F16E23">
            <w:pPr>
              <w:pStyle w:val="TableText"/>
              <w:spacing w:before="40" w:after="40"/>
            </w:pPr>
            <w:r w:rsidRPr="001F4265">
              <w:rPr>
                <w:rFonts w:eastAsia="Calibri"/>
              </w:rPr>
              <w:t>0.5</w:t>
            </w:r>
          </w:p>
        </w:tc>
      </w:tr>
      <w:tr w:rsidR="003A5396" w:rsidRPr="001F4265" w14:paraId="2A8BB520" w14:textId="77777777" w:rsidTr="00F16E23">
        <w:tc>
          <w:tcPr>
            <w:tcW w:w="0" w:type="auto"/>
            <w:shd w:val="clear" w:color="auto" w:fill="FFFFFF"/>
            <w:tcMar>
              <w:top w:w="0" w:type="dxa"/>
              <w:left w:w="85" w:type="dxa"/>
              <w:bottom w:w="0" w:type="dxa"/>
              <w:right w:w="85" w:type="dxa"/>
            </w:tcMar>
            <w:vAlign w:val="center"/>
          </w:tcPr>
          <w:p w14:paraId="349E99A8" w14:textId="77777777" w:rsidR="003A5396" w:rsidRPr="001F4265" w:rsidRDefault="003A5396" w:rsidP="00F16E23">
            <w:pPr>
              <w:pStyle w:val="TableText"/>
              <w:spacing w:before="40" w:after="40"/>
            </w:pPr>
            <w:r w:rsidRPr="001F4265">
              <w:rPr>
                <w:rFonts w:eastAsia="Calibri"/>
              </w:rPr>
              <w:t>V</w:t>
            </w:r>
            <w:r w:rsidRPr="001F4265">
              <w:rPr>
                <w:rFonts w:eastAsia="Calibri"/>
                <w:vertAlign w:val="subscript"/>
              </w:rPr>
              <w:t>2</w:t>
            </w:r>
            <w:r w:rsidRPr="001F4265">
              <w:rPr>
                <w:rFonts w:eastAsia="Calibri"/>
              </w:rPr>
              <w:t>O</w:t>
            </w:r>
            <w:r w:rsidRPr="001F4265">
              <w:rPr>
                <w:rFonts w:eastAsia="Calibri"/>
                <w:vertAlign w:val="subscript"/>
              </w:rPr>
              <w:t>3</w:t>
            </w:r>
          </w:p>
        </w:tc>
        <w:tc>
          <w:tcPr>
            <w:tcW w:w="0" w:type="auto"/>
            <w:shd w:val="clear" w:color="auto" w:fill="FFFFFF"/>
            <w:tcMar>
              <w:top w:w="0" w:type="dxa"/>
              <w:left w:w="85" w:type="dxa"/>
              <w:bottom w:w="0" w:type="dxa"/>
              <w:right w:w="85" w:type="dxa"/>
            </w:tcMar>
            <w:vAlign w:val="center"/>
          </w:tcPr>
          <w:p w14:paraId="43799667" w14:textId="77777777" w:rsidR="003A5396" w:rsidRPr="001F4265" w:rsidRDefault="003A5396" w:rsidP="00F16E23">
            <w:pPr>
              <w:pStyle w:val="TableText"/>
              <w:spacing w:before="40" w:after="40"/>
            </w:pPr>
            <w:r w:rsidRPr="001F4265">
              <w:rPr>
                <w:rFonts w:eastAsia="Calibri"/>
              </w:rPr>
              <w:t>0.5</w:t>
            </w:r>
          </w:p>
        </w:tc>
      </w:tr>
      <w:tr w:rsidR="003A5396" w:rsidRPr="001F4265" w14:paraId="13D5DED3" w14:textId="77777777" w:rsidTr="00F16E23">
        <w:tc>
          <w:tcPr>
            <w:tcW w:w="0" w:type="auto"/>
            <w:shd w:val="clear" w:color="auto" w:fill="FFFFFF"/>
            <w:tcMar>
              <w:top w:w="0" w:type="dxa"/>
              <w:left w:w="85" w:type="dxa"/>
              <w:bottom w:w="0" w:type="dxa"/>
              <w:right w:w="85" w:type="dxa"/>
            </w:tcMar>
            <w:vAlign w:val="center"/>
          </w:tcPr>
          <w:p w14:paraId="4CB05FF2" w14:textId="77777777" w:rsidR="003A5396" w:rsidRPr="001F4265" w:rsidRDefault="003A5396" w:rsidP="00F16E23">
            <w:pPr>
              <w:pStyle w:val="TableText"/>
              <w:spacing w:before="40" w:after="40"/>
            </w:pPr>
            <w:r w:rsidRPr="001F4265">
              <w:rPr>
                <w:rFonts w:eastAsia="Calibri"/>
              </w:rPr>
              <w:t>Zn</w:t>
            </w:r>
          </w:p>
        </w:tc>
        <w:tc>
          <w:tcPr>
            <w:tcW w:w="0" w:type="auto"/>
            <w:shd w:val="clear" w:color="auto" w:fill="FFFFFF"/>
            <w:tcMar>
              <w:top w:w="0" w:type="dxa"/>
              <w:left w:w="85" w:type="dxa"/>
              <w:bottom w:w="0" w:type="dxa"/>
              <w:right w:w="85" w:type="dxa"/>
            </w:tcMar>
            <w:vAlign w:val="center"/>
          </w:tcPr>
          <w:p w14:paraId="255DA028" w14:textId="77777777" w:rsidR="003A5396" w:rsidRPr="001F4265" w:rsidRDefault="003A5396" w:rsidP="00F16E23">
            <w:pPr>
              <w:pStyle w:val="TableText"/>
              <w:spacing w:before="40" w:after="40"/>
            </w:pPr>
            <w:r w:rsidRPr="001F4265">
              <w:rPr>
                <w:rFonts w:eastAsia="Calibri"/>
              </w:rPr>
              <w:t>0.1</w:t>
            </w:r>
          </w:p>
        </w:tc>
      </w:tr>
      <w:tr w:rsidR="003A5396" w:rsidRPr="001F4265" w14:paraId="290B7850" w14:textId="77777777" w:rsidTr="00F16E23">
        <w:tc>
          <w:tcPr>
            <w:tcW w:w="0" w:type="auto"/>
            <w:shd w:val="clear" w:color="auto" w:fill="FFFFFF"/>
            <w:tcMar>
              <w:top w:w="0" w:type="dxa"/>
              <w:left w:w="85" w:type="dxa"/>
              <w:bottom w:w="0" w:type="dxa"/>
              <w:right w:w="85" w:type="dxa"/>
            </w:tcMar>
            <w:vAlign w:val="center"/>
          </w:tcPr>
          <w:p w14:paraId="0ED1F249" w14:textId="77777777" w:rsidR="003A5396" w:rsidRPr="001F4265" w:rsidRDefault="003A5396" w:rsidP="00F16E23">
            <w:pPr>
              <w:pStyle w:val="TableText"/>
              <w:spacing w:before="40" w:after="40"/>
            </w:pPr>
            <w:r w:rsidRPr="001F4265">
              <w:rPr>
                <w:rFonts w:eastAsia="Calibri"/>
              </w:rPr>
              <w:t>Na</w:t>
            </w:r>
            <w:r w:rsidRPr="001F4265">
              <w:rPr>
                <w:rFonts w:eastAsia="Calibri"/>
                <w:vertAlign w:val="subscript"/>
              </w:rPr>
              <w:t>2</w:t>
            </w:r>
            <w:r w:rsidRPr="001F4265">
              <w:rPr>
                <w:rFonts w:eastAsia="Calibri"/>
              </w:rPr>
              <w:t>O</w:t>
            </w:r>
          </w:p>
        </w:tc>
        <w:tc>
          <w:tcPr>
            <w:tcW w:w="0" w:type="auto"/>
            <w:shd w:val="clear" w:color="auto" w:fill="FFFFFF"/>
            <w:tcMar>
              <w:top w:w="0" w:type="dxa"/>
              <w:left w:w="85" w:type="dxa"/>
              <w:bottom w:w="0" w:type="dxa"/>
              <w:right w:w="85" w:type="dxa"/>
            </w:tcMar>
            <w:vAlign w:val="center"/>
          </w:tcPr>
          <w:p w14:paraId="2748A5C0" w14:textId="77777777" w:rsidR="003A5396" w:rsidRPr="001F4265" w:rsidRDefault="003A5396" w:rsidP="00F16E23">
            <w:pPr>
              <w:pStyle w:val="TableText"/>
              <w:spacing w:before="40" w:after="40"/>
            </w:pPr>
            <w:r w:rsidRPr="001F4265">
              <w:rPr>
                <w:rFonts w:eastAsia="Calibri"/>
              </w:rPr>
              <w:t>0.1</w:t>
            </w:r>
          </w:p>
        </w:tc>
      </w:tr>
      <w:tr w:rsidR="003A5396" w:rsidRPr="001F4265" w14:paraId="403C84DA" w14:textId="77777777" w:rsidTr="00F16E23">
        <w:tc>
          <w:tcPr>
            <w:tcW w:w="0" w:type="auto"/>
            <w:shd w:val="clear" w:color="auto" w:fill="FFFFFF"/>
            <w:tcMar>
              <w:top w:w="0" w:type="dxa"/>
              <w:left w:w="85" w:type="dxa"/>
              <w:bottom w:w="0" w:type="dxa"/>
              <w:right w:w="85" w:type="dxa"/>
            </w:tcMar>
            <w:vAlign w:val="center"/>
          </w:tcPr>
          <w:p w14:paraId="38136C6E" w14:textId="77777777" w:rsidR="003A5396" w:rsidRPr="001F4265" w:rsidRDefault="003A5396" w:rsidP="00F16E23">
            <w:pPr>
              <w:pStyle w:val="TableText"/>
              <w:spacing w:before="40" w:after="40"/>
            </w:pPr>
            <w:r w:rsidRPr="001F4265">
              <w:rPr>
                <w:rFonts w:eastAsia="Calibri"/>
              </w:rPr>
              <w:t>Cr</w:t>
            </w:r>
          </w:p>
        </w:tc>
        <w:tc>
          <w:tcPr>
            <w:tcW w:w="0" w:type="auto"/>
            <w:shd w:val="clear" w:color="auto" w:fill="FFFFFF"/>
            <w:tcMar>
              <w:top w:w="0" w:type="dxa"/>
              <w:left w:w="85" w:type="dxa"/>
              <w:bottom w:w="0" w:type="dxa"/>
              <w:right w:w="85" w:type="dxa"/>
            </w:tcMar>
            <w:vAlign w:val="center"/>
          </w:tcPr>
          <w:p w14:paraId="5C3389DB" w14:textId="77777777" w:rsidR="003A5396" w:rsidRPr="001F4265" w:rsidRDefault="003A5396" w:rsidP="00F16E23">
            <w:pPr>
              <w:pStyle w:val="TableText"/>
              <w:spacing w:before="40" w:after="40"/>
            </w:pPr>
            <w:r w:rsidRPr="001F4265">
              <w:rPr>
                <w:rFonts w:eastAsia="Calibri"/>
              </w:rPr>
              <w:t>0.0</w:t>
            </w:r>
          </w:p>
        </w:tc>
      </w:tr>
      <w:tr w:rsidR="003A5396" w:rsidRPr="001F4265" w14:paraId="3F9EA519" w14:textId="77777777" w:rsidTr="00F16E23">
        <w:tc>
          <w:tcPr>
            <w:tcW w:w="0" w:type="auto"/>
            <w:shd w:val="clear" w:color="auto" w:fill="FFFFFF"/>
            <w:tcMar>
              <w:top w:w="0" w:type="dxa"/>
              <w:left w:w="85" w:type="dxa"/>
              <w:bottom w:w="0" w:type="dxa"/>
              <w:right w:w="85" w:type="dxa"/>
            </w:tcMar>
            <w:vAlign w:val="center"/>
          </w:tcPr>
          <w:p w14:paraId="6CC1876B" w14:textId="77777777" w:rsidR="003A5396" w:rsidRPr="001F4265" w:rsidRDefault="003A5396" w:rsidP="00F16E23">
            <w:pPr>
              <w:pStyle w:val="TableText"/>
              <w:spacing w:before="40" w:after="40"/>
            </w:pPr>
            <w:r w:rsidRPr="001F4265">
              <w:rPr>
                <w:rFonts w:eastAsia="Calibri"/>
              </w:rPr>
              <w:t>P</w:t>
            </w:r>
          </w:p>
        </w:tc>
        <w:tc>
          <w:tcPr>
            <w:tcW w:w="0" w:type="auto"/>
            <w:shd w:val="clear" w:color="auto" w:fill="FFFFFF"/>
            <w:tcMar>
              <w:top w:w="0" w:type="dxa"/>
              <w:left w:w="85" w:type="dxa"/>
              <w:bottom w:w="0" w:type="dxa"/>
              <w:right w:w="85" w:type="dxa"/>
            </w:tcMar>
            <w:vAlign w:val="center"/>
          </w:tcPr>
          <w:p w14:paraId="5775071C" w14:textId="77777777" w:rsidR="003A5396" w:rsidRPr="001F4265" w:rsidRDefault="003A5396" w:rsidP="00F16E23">
            <w:pPr>
              <w:pStyle w:val="TableText"/>
              <w:spacing w:before="40" w:after="40"/>
            </w:pPr>
            <w:r w:rsidRPr="001F4265">
              <w:rPr>
                <w:rFonts w:eastAsia="Calibri"/>
              </w:rPr>
              <w:t>0.0</w:t>
            </w:r>
          </w:p>
        </w:tc>
      </w:tr>
      <w:tr w:rsidR="003A5396" w:rsidRPr="001F4265" w14:paraId="01C46CC8" w14:textId="77777777" w:rsidTr="00F16E23">
        <w:tc>
          <w:tcPr>
            <w:tcW w:w="0" w:type="auto"/>
            <w:shd w:val="clear" w:color="auto" w:fill="FFFFFF"/>
            <w:tcMar>
              <w:top w:w="0" w:type="dxa"/>
              <w:left w:w="85" w:type="dxa"/>
              <w:bottom w:w="0" w:type="dxa"/>
              <w:right w:w="85" w:type="dxa"/>
            </w:tcMar>
            <w:vAlign w:val="center"/>
          </w:tcPr>
          <w:p w14:paraId="44308773" w14:textId="77777777" w:rsidR="003A5396" w:rsidRPr="001F4265" w:rsidRDefault="003A5396" w:rsidP="00F16E23">
            <w:pPr>
              <w:pStyle w:val="TableText"/>
              <w:spacing w:before="40" w:after="40"/>
            </w:pPr>
            <w:r w:rsidRPr="001F4265">
              <w:rPr>
                <w:rFonts w:eastAsia="Calibri"/>
              </w:rPr>
              <w:t>K</w:t>
            </w:r>
            <w:r w:rsidRPr="001F4265">
              <w:rPr>
                <w:rFonts w:eastAsia="Calibri"/>
                <w:vertAlign w:val="subscript"/>
              </w:rPr>
              <w:t>2</w:t>
            </w:r>
            <w:r w:rsidRPr="001F4265">
              <w:rPr>
                <w:rFonts w:eastAsia="Calibri"/>
              </w:rPr>
              <w:t>O</w:t>
            </w:r>
          </w:p>
        </w:tc>
        <w:tc>
          <w:tcPr>
            <w:tcW w:w="0" w:type="auto"/>
            <w:shd w:val="clear" w:color="auto" w:fill="FFFFFF"/>
            <w:tcMar>
              <w:top w:w="0" w:type="dxa"/>
              <w:left w:w="85" w:type="dxa"/>
              <w:bottom w:w="0" w:type="dxa"/>
              <w:right w:w="85" w:type="dxa"/>
            </w:tcMar>
            <w:vAlign w:val="center"/>
          </w:tcPr>
          <w:p w14:paraId="14C918AD" w14:textId="77777777" w:rsidR="003A5396" w:rsidRPr="001F4265" w:rsidRDefault="003A5396" w:rsidP="00F16E23">
            <w:pPr>
              <w:pStyle w:val="TableText"/>
              <w:spacing w:before="40" w:after="40"/>
            </w:pPr>
            <w:r w:rsidRPr="001F4265">
              <w:rPr>
                <w:rFonts w:eastAsia="Calibri"/>
              </w:rPr>
              <w:t>0.0</w:t>
            </w:r>
          </w:p>
        </w:tc>
      </w:tr>
      <w:tr w:rsidR="003A5396" w:rsidRPr="001F4265" w14:paraId="78CE6B94" w14:textId="77777777" w:rsidTr="00F16E23">
        <w:tc>
          <w:tcPr>
            <w:tcW w:w="0" w:type="auto"/>
            <w:shd w:val="clear" w:color="auto" w:fill="FFFFFF"/>
            <w:tcMar>
              <w:top w:w="0" w:type="dxa"/>
              <w:left w:w="85" w:type="dxa"/>
              <w:bottom w:w="0" w:type="dxa"/>
              <w:right w:w="85" w:type="dxa"/>
            </w:tcMar>
            <w:vAlign w:val="center"/>
          </w:tcPr>
          <w:p w14:paraId="678DF684" w14:textId="77777777" w:rsidR="003A5396" w:rsidRPr="001F4265" w:rsidRDefault="003A5396" w:rsidP="00F16E23">
            <w:pPr>
              <w:pStyle w:val="TableText"/>
              <w:spacing w:before="40" w:after="40"/>
            </w:pPr>
            <w:r w:rsidRPr="001F4265">
              <w:rPr>
                <w:rFonts w:eastAsia="Calibri"/>
              </w:rPr>
              <w:t>Cu</w:t>
            </w:r>
          </w:p>
        </w:tc>
        <w:tc>
          <w:tcPr>
            <w:tcW w:w="0" w:type="auto"/>
            <w:shd w:val="clear" w:color="auto" w:fill="FFFFFF"/>
            <w:tcMar>
              <w:top w:w="0" w:type="dxa"/>
              <w:left w:w="85" w:type="dxa"/>
              <w:bottom w:w="0" w:type="dxa"/>
              <w:right w:w="85" w:type="dxa"/>
            </w:tcMar>
            <w:vAlign w:val="center"/>
          </w:tcPr>
          <w:p w14:paraId="4C371932" w14:textId="77777777" w:rsidR="003A5396" w:rsidRPr="001F4265" w:rsidRDefault="003A5396" w:rsidP="00F16E23">
            <w:pPr>
              <w:pStyle w:val="TableText"/>
              <w:spacing w:before="40" w:after="40"/>
            </w:pPr>
            <w:r w:rsidRPr="001F4265">
              <w:rPr>
                <w:rFonts w:eastAsia="Calibri"/>
              </w:rPr>
              <w:t>0.0</w:t>
            </w:r>
          </w:p>
        </w:tc>
      </w:tr>
      <w:tr w:rsidR="003A5396" w:rsidRPr="001F4265" w14:paraId="1C8A10A4" w14:textId="77777777" w:rsidTr="00F16E23">
        <w:tc>
          <w:tcPr>
            <w:tcW w:w="0" w:type="auto"/>
            <w:shd w:val="clear" w:color="auto" w:fill="FFFFFF"/>
            <w:tcMar>
              <w:top w:w="0" w:type="dxa"/>
              <w:left w:w="85" w:type="dxa"/>
              <w:bottom w:w="0" w:type="dxa"/>
              <w:right w:w="85" w:type="dxa"/>
            </w:tcMar>
            <w:vAlign w:val="center"/>
          </w:tcPr>
          <w:p w14:paraId="2201F37F" w14:textId="77777777" w:rsidR="003A5396" w:rsidRPr="001F4265" w:rsidRDefault="003A5396" w:rsidP="00F16E23">
            <w:pPr>
              <w:pStyle w:val="TableText"/>
              <w:spacing w:before="40" w:after="40"/>
            </w:pPr>
            <w:r w:rsidRPr="001F4265">
              <w:rPr>
                <w:rFonts w:eastAsia="Calibri"/>
                <w:b/>
              </w:rPr>
              <w:t>Total</w:t>
            </w:r>
          </w:p>
        </w:tc>
        <w:tc>
          <w:tcPr>
            <w:tcW w:w="0" w:type="auto"/>
            <w:shd w:val="clear" w:color="auto" w:fill="FFFFFF"/>
            <w:tcMar>
              <w:top w:w="0" w:type="dxa"/>
              <w:left w:w="85" w:type="dxa"/>
              <w:bottom w:w="0" w:type="dxa"/>
              <w:right w:w="85" w:type="dxa"/>
            </w:tcMar>
            <w:vAlign w:val="center"/>
          </w:tcPr>
          <w:p w14:paraId="3FE703D0" w14:textId="77777777" w:rsidR="003A5396" w:rsidRPr="001F4265" w:rsidRDefault="003A5396" w:rsidP="00F16E23">
            <w:pPr>
              <w:pStyle w:val="TableText"/>
              <w:spacing w:before="40" w:after="40"/>
            </w:pPr>
            <w:r w:rsidRPr="001F4265">
              <w:rPr>
                <w:rFonts w:eastAsia="Calibri"/>
                <w:b/>
              </w:rPr>
              <w:t>100.0</w:t>
            </w:r>
          </w:p>
        </w:tc>
      </w:tr>
    </w:tbl>
    <w:p w14:paraId="77AD2164" w14:textId="77777777" w:rsidR="003A5396" w:rsidRPr="001F4265" w:rsidRDefault="003A5396" w:rsidP="003A5396">
      <w:pPr>
        <w:pStyle w:val="Figure"/>
        <w:spacing w:before="360"/>
      </w:pPr>
      <w:bookmarkStart w:id="494" w:name="_Toc226200680"/>
      <w:r w:rsidRPr="001F4265">
        <w:t xml:space="preserve">Figure 4.4.1 </w:t>
      </w:r>
      <w:r w:rsidRPr="001F4265">
        <w:tab/>
        <w:t>Simplified schematic of steel production in New Zealand</w:t>
      </w:r>
      <w:bookmarkEnd w:id="494"/>
    </w:p>
    <w:p w14:paraId="47E6F3E9" w14:textId="77777777" w:rsidR="003A5396" w:rsidRPr="001F4265" w:rsidRDefault="003A5396" w:rsidP="003A5396">
      <w:pPr>
        <w:pStyle w:val="BodyText"/>
      </w:pPr>
      <w:r w:rsidRPr="001F4265">
        <w:rPr>
          <w:noProof/>
        </w:rPr>
        <w:drawing>
          <wp:inline distT="0" distB="0" distL="0" distR="0" wp14:anchorId="61710FE9" wp14:editId="497C4E09">
            <wp:extent cx="5400675" cy="3108960"/>
            <wp:effectExtent l="0" t="0" r="9525" b="0"/>
            <wp:docPr id="1828032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675" cy="3108960"/>
                    </a:xfrm>
                    <a:prstGeom prst="rect">
                      <a:avLst/>
                    </a:prstGeom>
                    <a:noFill/>
                    <a:ln>
                      <a:noFill/>
                    </a:ln>
                  </pic:spPr>
                </pic:pic>
              </a:graphicData>
            </a:graphic>
          </wp:inline>
        </w:drawing>
      </w:r>
    </w:p>
    <w:p w14:paraId="022811C8" w14:textId="77777777" w:rsidR="003A5396" w:rsidRPr="001F4265" w:rsidRDefault="003A5396" w:rsidP="003A5396">
      <w:pPr>
        <w:pStyle w:val="BodyText"/>
      </w:pPr>
      <w:r w:rsidRPr="001F4265">
        <w:t>Nearly all the carbon entering the process is from coal used as a reductant in the iron-making process, and nearly all of this is emitted as CO</w:t>
      </w:r>
      <w:r w:rsidRPr="001F4265">
        <w:rPr>
          <w:vertAlign w:val="subscript"/>
        </w:rPr>
        <w:t>2</w:t>
      </w:r>
      <w:r w:rsidRPr="001F4265">
        <w:t xml:space="preserve"> in two waste gas streams:</w:t>
      </w:r>
    </w:p>
    <w:p w14:paraId="563EDADB" w14:textId="77777777" w:rsidR="003A5396" w:rsidRPr="001F4265" w:rsidRDefault="003A5396" w:rsidP="003A5396">
      <w:pPr>
        <w:pStyle w:val="Bullet"/>
      </w:pPr>
      <w:r w:rsidRPr="001F4265">
        <w:t>gas generated in multi-hearth furnaces used to heat and dry concentrated iron sand and coal – this gas contains excess volatiles from the coal</w:t>
      </w:r>
    </w:p>
    <w:p w14:paraId="445EDC0D" w14:textId="77777777" w:rsidR="003A5396" w:rsidRPr="001F4265" w:rsidRDefault="003A5396" w:rsidP="003A5396">
      <w:pPr>
        <w:pStyle w:val="Bullet"/>
      </w:pPr>
      <w:r w:rsidRPr="001F4265">
        <w:t>gas generated in rotary reduction kilns used to convert oxide in the iron sand to iron – this gas is rich in CO.</w:t>
      </w:r>
    </w:p>
    <w:p w14:paraId="062CBD10" w14:textId="77777777" w:rsidR="003A5396" w:rsidRPr="001F4265" w:rsidRDefault="003A5396" w:rsidP="003A5396">
      <w:pPr>
        <w:pStyle w:val="BodyText"/>
      </w:pPr>
      <w:r w:rsidRPr="001F4265">
        <w:t xml:space="preserve">All this waste gas is combusted in ‘afterburners’ and used for electricity production. It would </w:t>
      </w:r>
      <w:r w:rsidRPr="001F4265">
        <w:rPr>
          <w:spacing w:val="-2"/>
        </w:rPr>
        <w:t>not be acceptable for gas containing coal volatiles or CO to be emitted without this combustion</w:t>
      </w:r>
      <w:r w:rsidRPr="001F4265">
        <w:t xml:space="preserve"> stage. There is no other flaring or disposal mode for the waste gases. Emissions from supplementary natural gas used in this plant are reported under the Energy sector (1.A.2.a). New Zealand Steel reported in the past (CRL Energy Ltd unpublished(b)) that there were no detectable CH</w:t>
      </w:r>
      <w:r w:rsidRPr="001F4265">
        <w:rPr>
          <w:vertAlign w:val="subscript"/>
        </w:rPr>
        <w:t>4</w:t>
      </w:r>
      <w:r w:rsidRPr="001F4265">
        <w:t xml:space="preserve"> emissions from this plant. No updated information is currently available.</w:t>
      </w:r>
    </w:p>
    <w:p w14:paraId="7D5DB639" w14:textId="77777777" w:rsidR="003A5396" w:rsidRPr="001F4265" w:rsidRDefault="003A5396" w:rsidP="003A5396">
      <w:pPr>
        <w:pStyle w:val="BodyText"/>
      </w:pPr>
      <w:r w:rsidRPr="001F4265">
        <w:t>Much smaller amounts of CO</w:t>
      </w:r>
      <w:r w:rsidRPr="001F4265">
        <w:rPr>
          <w:vertAlign w:val="subscript"/>
        </w:rPr>
        <w:t>2</w:t>
      </w:r>
      <w:r w:rsidRPr="001F4265">
        <w:t xml:space="preserve"> are derived from limestone added to the multi-hearth furnaces, and from additives and natural gas used in melters and steel making.</w:t>
      </w:r>
    </w:p>
    <w:p w14:paraId="0F249761" w14:textId="77777777" w:rsidR="003A5396" w:rsidRPr="001F4265" w:rsidRDefault="003A5396" w:rsidP="003A5396">
      <w:pPr>
        <w:pStyle w:val="BodyText"/>
      </w:pPr>
      <w:r w:rsidRPr="001F4265">
        <w:t>New Zealand Steel’s iron and steel manufacturing processes do not generate or emit CH</w:t>
      </w:r>
      <w:r w:rsidRPr="001F4265">
        <w:rPr>
          <w:vertAlign w:val="subscript"/>
        </w:rPr>
        <w:t>4</w:t>
      </w:r>
      <w:r w:rsidRPr="001F4265">
        <w:t>.</w:t>
      </w:r>
    </w:p>
    <w:p w14:paraId="09D022A8" w14:textId="77777777" w:rsidR="003A5396" w:rsidRPr="001F4265" w:rsidRDefault="003A5396" w:rsidP="003A5396">
      <w:pPr>
        <w:pStyle w:val="Heading5"/>
      </w:pPr>
      <w:bookmarkStart w:id="495" w:name="aluminium-production-2.c.3"/>
      <w:bookmarkEnd w:id="492"/>
      <w:r w:rsidRPr="001F4265">
        <w:t>Aluminium production (2.C.3)</w:t>
      </w:r>
    </w:p>
    <w:p w14:paraId="10CE4646" w14:textId="77777777" w:rsidR="003A5396" w:rsidRPr="001F4265" w:rsidRDefault="003A5396" w:rsidP="003A5396">
      <w:pPr>
        <w:pStyle w:val="BodyText"/>
      </w:pPr>
      <w:r w:rsidRPr="001F4265">
        <w:t>Carbon dioxide is emitted during the oxidation of carbon anodes. The two PFCs perfluoromethane (CF</w:t>
      </w:r>
      <w:r w:rsidRPr="001F4265">
        <w:rPr>
          <w:vertAlign w:val="subscript"/>
        </w:rPr>
        <w:t>4</w:t>
      </w:r>
      <w:r w:rsidRPr="001F4265">
        <w:t>) and perfluoroethane (C</w:t>
      </w:r>
      <w:r w:rsidRPr="001F4265">
        <w:rPr>
          <w:vertAlign w:val="subscript"/>
        </w:rPr>
        <w:t>2</w:t>
      </w:r>
      <w:r w:rsidRPr="001F4265">
        <w:t>F</w:t>
      </w:r>
      <w:r w:rsidRPr="001F4265">
        <w:rPr>
          <w:vertAlign w:val="subscript"/>
        </w:rPr>
        <w:t>6</w:t>
      </w:r>
      <w:r w:rsidRPr="001F4265">
        <w:t>) are emitted from the reduction cells used for smelting during anode effects. An anode effect occurs when the aluminium oxide concentration in the cell is low. The emissions from combustion of various fuels used in aluminium production (heavy fuel oil, liquefied petroleum gas, petrol and diesel) are reported under the Energy sector.</w:t>
      </w:r>
    </w:p>
    <w:p w14:paraId="546AAA98" w14:textId="77777777" w:rsidR="003A5396" w:rsidRPr="001F4265" w:rsidRDefault="003A5396" w:rsidP="003A5396">
      <w:pPr>
        <w:pStyle w:val="BodyText"/>
      </w:pPr>
      <w:r w:rsidRPr="001F4265">
        <w:t xml:space="preserve">In 2024, the </w:t>
      </w:r>
      <w:r w:rsidRPr="001F4265">
        <w:rPr>
          <w:i/>
          <w:iCs/>
        </w:rPr>
        <w:t>Aluminium production</w:t>
      </w:r>
      <w:r w:rsidRPr="001F4265">
        <w:t xml:space="preserve"> category accounted for 553.2kt CO</w:t>
      </w:r>
      <w:r w:rsidRPr="001F4265">
        <w:rPr>
          <w:vertAlign w:val="subscript"/>
        </w:rPr>
        <w:t>2</w:t>
      </w:r>
      <w:r w:rsidRPr="001F4265">
        <w:t xml:space="preserve">e (26.6 percent) of emissions from the </w:t>
      </w:r>
      <w:r w:rsidRPr="001F4265">
        <w:rPr>
          <w:i/>
          <w:iCs/>
        </w:rPr>
        <w:t>Metal industry</w:t>
      </w:r>
      <w:r w:rsidRPr="001F4265">
        <w:t xml:space="preserve"> category. Activity data (production of hot metal aluminium from the smelter) and estimates of CO</w:t>
      </w:r>
      <w:r w:rsidRPr="001F4265">
        <w:rPr>
          <w:vertAlign w:val="subscript"/>
        </w:rPr>
        <w:t>2</w:t>
      </w:r>
      <w:r w:rsidRPr="001F4265">
        <w:t xml:space="preserve"> and PFC emissions were supplied by NZAS to MBIE until 2010. From 2011 to 2024, the CO</w:t>
      </w:r>
      <w:r w:rsidRPr="001F4265">
        <w:rPr>
          <w:vertAlign w:val="subscript"/>
        </w:rPr>
        <w:t>2</w:t>
      </w:r>
      <w:r w:rsidRPr="001F4265">
        <w:t xml:space="preserve"> and PFC emissions data and activity data were sourced from the company’s NZ ETS reporting.</w:t>
      </w:r>
    </w:p>
    <w:p w14:paraId="1B1F67C8" w14:textId="77777777" w:rsidR="003A5396" w:rsidRPr="001F4265" w:rsidRDefault="003A5396" w:rsidP="003A5396">
      <w:pPr>
        <w:pStyle w:val="Heading5"/>
      </w:pPr>
      <w:bookmarkStart w:id="496" w:name="magnesium-and-other-metal-production"/>
      <w:bookmarkEnd w:id="495"/>
      <w:r w:rsidRPr="001F4265">
        <w:t>Magnesium and other metal production</w:t>
      </w:r>
    </w:p>
    <w:p w14:paraId="1EDD1FFA" w14:textId="77777777" w:rsidR="003A5396" w:rsidRPr="001F4265" w:rsidRDefault="003A5396" w:rsidP="003A5396">
      <w:pPr>
        <w:pStyle w:val="BodyText"/>
      </w:pPr>
      <w:r w:rsidRPr="001F4265">
        <w:t>From 1990 to 1999 a very small amount of SF</w:t>
      </w:r>
      <w:r w:rsidRPr="001F4265">
        <w:rPr>
          <w:vertAlign w:val="subscript"/>
        </w:rPr>
        <w:t>6</w:t>
      </w:r>
      <w:r w:rsidRPr="001F4265">
        <w:t xml:space="preserve"> was used as a cover gas in a magnesium foundry. Emissions are estimated based on an approximate estimate of the amount of SF</w:t>
      </w:r>
      <w:r w:rsidRPr="001F4265">
        <w:rPr>
          <w:vertAlign w:val="subscript"/>
        </w:rPr>
        <w:t>6</w:t>
      </w:r>
      <w:r w:rsidRPr="001F4265">
        <w:t xml:space="preserve"> that was used (2.C.4). No other activity data are available (CRL Energy, unpublished(b)).</w:t>
      </w:r>
    </w:p>
    <w:p w14:paraId="242075C4" w14:textId="77777777" w:rsidR="003A5396" w:rsidRPr="001F4265" w:rsidRDefault="003A5396" w:rsidP="003A5396">
      <w:pPr>
        <w:pStyle w:val="BodyText"/>
      </w:pPr>
      <w:r w:rsidRPr="001F4265">
        <w:t>A very small amount of CO</w:t>
      </w:r>
      <w:r w:rsidRPr="001F4265">
        <w:rPr>
          <w:vertAlign w:val="subscript"/>
        </w:rPr>
        <w:t>2</w:t>
      </w:r>
      <w:r w:rsidRPr="001F4265">
        <w:t xml:space="preserve"> emissions was also reported from secondary lead production between 1990 and 2015, with the approximate recycled lead output as the activity data. This production has now stopped. The only other metal production that occurs in New Zealand is gold and silver mining. No emissions are reported from these activities.</w:t>
      </w:r>
    </w:p>
    <w:bookmarkEnd w:id="496"/>
    <w:p w14:paraId="0C529FAC" w14:textId="77777777" w:rsidR="003A5396" w:rsidRPr="001F4265" w:rsidRDefault="003A5396" w:rsidP="003A5396">
      <w:pPr>
        <w:pStyle w:val="Heading4"/>
      </w:pPr>
      <w:r w:rsidRPr="001F4265">
        <w:t>Choice of methods</w:t>
      </w:r>
    </w:p>
    <w:p w14:paraId="58C43730" w14:textId="77777777" w:rsidR="003A5396" w:rsidRPr="001F4265" w:rsidRDefault="003A5396" w:rsidP="003A5396">
      <w:pPr>
        <w:pStyle w:val="Heading5"/>
        <w:spacing w:before="180"/>
      </w:pPr>
      <w:bookmarkStart w:id="497" w:name="Xac89373557bcdcd952c7e893036ad51683ed227"/>
      <w:r w:rsidRPr="001F4265">
        <w:t>Iron and steel production (2.C.1 and 2.C.1.a)</w:t>
      </w:r>
    </w:p>
    <w:p w14:paraId="7A8624FE" w14:textId="77777777" w:rsidR="003A5396" w:rsidRPr="001F4265" w:rsidRDefault="003A5396" w:rsidP="003A5396">
      <w:pPr>
        <w:pStyle w:val="BodyText"/>
      </w:pPr>
      <w:r w:rsidRPr="001F4265">
        <w:t>The IPCC Tier 2 approach is used for calculating CO</w:t>
      </w:r>
      <w:r w:rsidRPr="001F4265">
        <w:rPr>
          <w:vertAlign w:val="subscript"/>
        </w:rPr>
        <w:t>2</w:t>
      </w:r>
      <w:r w:rsidRPr="001F4265">
        <w:t xml:space="preserve"> emissions from the iron and steel plant operated by New Zealand Steel Limited. Emissions from pig iron and steel production are not estimated separately because all of the iron made is processed into steel. This is a mass balance approach in which all carbon in the inputs are assumed to be emitted, except the small amount sequestered in the steel produced.</w:t>
      </w:r>
    </w:p>
    <w:p w14:paraId="07462E72" w14:textId="77777777" w:rsidR="003A5396" w:rsidRPr="001F4265" w:rsidRDefault="003A5396" w:rsidP="003A5396">
      <w:pPr>
        <w:pStyle w:val="BodyText"/>
      </w:pPr>
      <w:r w:rsidRPr="001F4265">
        <w:t>Most of the input carbon comes from the coal used as a reductant. There are also some CO</w:t>
      </w:r>
      <w:r w:rsidRPr="001F4265">
        <w:rPr>
          <w:vertAlign w:val="subscript"/>
        </w:rPr>
        <w:t>2</w:t>
      </w:r>
      <w:r w:rsidRPr="001F4265">
        <w:t xml:space="preserve"> emissions from the use of limestone in iron and steel production. These emissions are reported in the </w:t>
      </w:r>
      <w:r w:rsidRPr="001F4265">
        <w:rPr>
          <w:i/>
          <w:iCs/>
        </w:rPr>
        <w:t>Mineral industry</w:t>
      </w:r>
      <w:r w:rsidRPr="001F4265">
        <w:t xml:space="preserve"> category (2.A.4.d), to preserve the confidentiality of data on limestone use supplied by companies in the </w:t>
      </w:r>
      <w:r w:rsidRPr="001F4265">
        <w:rPr>
          <w:i/>
          <w:iCs/>
        </w:rPr>
        <w:t>Glass production</w:t>
      </w:r>
      <w:r w:rsidRPr="001F4265">
        <w:t xml:space="preserve"> category. A very small amount of CO</w:t>
      </w:r>
      <w:r w:rsidRPr="001F4265">
        <w:rPr>
          <w:vertAlign w:val="subscript"/>
        </w:rPr>
        <w:t>2</w:t>
      </w:r>
      <w:r w:rsidRPr="001F4265">
        <w:t xml:space="preserve"> from other carbon-containing inputs (coke and electrodes) is also included, and the carbon in steel produced is subtracted.</w:t>
      </w:r>
    </w:p>
    <w:p w14:paraId="2A707CCB" w14:textId="77777777" w:rsidR="003A5396" w:rsidRPr="001F4265" w:rsidRDefault="003A5396" w:rsidP="003A5396">
      <w:pPr>
        <w:pStyle w:val="BodyText"/>
      </w:pPr>
      <w:r w:rsidRPr="001F4265">
        <w:t xml:space="preserve">Emissions from the production of steel by Pacific Steel Limited were also estimated using a Tier 2 mass balance approach. The average carbon content (0.2 percent by mass) in the finished product is subtracted from the total carbon in the inputs to obtain the amount of carbon emitted. Due to limited process data collected and retained by Pacific Steel Limited </w:t>
      </w:r>
      <w:r w:rsidRPr="001F4265" w:rsidDel="00072480">
        <w:t>in</w:t>
      </w:r>
      <w:r w:rsidRPr="001F4265">
        <w:t> the past, emissions for the years 1990 to 1999 were calculated using the average of the implied emission factors for 2000 to 2008 based on production volume.</w:t>
      </w:r>
    </w:p>
    <w:p w14:paraId="3870461F" w14:textId="77777777" w:rsidR="003A5396" w:rsidRPr="001F4265" w:rsidRDefault="003A5396" w:rsidP="003A5396">
      <w:pPr>
        <w:pStyle w:val="Heading5"/>
      </w:pPr>
      <w:bookmarkStart w:id="498" w:name="aluminium-production-2.c.3-1"/>
      <w:bookmarkEnd w:id="497"/>
      <w:r w:rsidRPr="001F4265">
        <w:t>Aluminium production (2.C.3)</w:t>
      </w:r>
    </w:p>
    <w:p w14:paraId="463EECF3" w14:textId="77777777" w:rsidR="003A5396" w:rsidRPr="001F4265" w:rsidRDefault="003A5396" w:rsidP="00D4638E">
      <w:pPr>
        <w:pStyle w:val="BodyText"/>
        <w:keepLines/>
      </w:pPr>
      <w:r w:rsidRPr="001F4265">
        <w:t>NZAS calculates the process CO</w:t>
      </w:r>
      <w:r w:rsidRPr="001F4265">
        <w:rPr>
          <w:vertAlign w:val="subscript"/>
        </w:rPr>
        <w:t>2</w:t>
      </w:r>
      <w:r w:rsidRPr="001F4265">
        <w:t xml:space="preserve"> emissions using the International Aluminium Institute’s Tier 3 method (International Aluminium Institute, 2006, equations 1–3), which is compliant with the IPCC Tier 2 method (IPPC, 2006a). The same method is used in NZ ETS reporting for aluminium smelting. This method breaks the prebake anode process into three stages: baked anode consumption, pitch volatiles consumption and packing coke consumption.</w:t>
      </w:r>
    </w:p>
    <w:p w14:paraId="7715105F" w14:textId="77777777" w:rsidR="003A5396" w:rsidRPr="001F4265" w:rsidRDefault="003A5396" w:rsidP="003A5396">
      <w:pPr>
        <w:pStyle w:val="BodyText"/>
      </w:pPr>
      <w:r w:rsidRPr="001F4265">
        <w:t>Also, NZAS adds soda ash to the reduction cells to maintain the electrolyte chemical composition. This results in CO</w:t>
      </w:r>
      <w:r w:rsidRPr="001F4265">
        <w:rPr>
          <w:vertAlign w:val="subscript"/>
        </w:rPr>
        <w:t>2</w:t>
      </w:r>
      <w:r w:rsidRPr="001F4265">
        <w:t xml:space="preserve"> emissions as a by-product. These emissions are reported in the </w:t>
      </w:r>
      <w:r w:rsidRPr="001F4265">
        <w:rPr>
          <w:i/>
          <w:iCs/>
        </w:rPr>
        <w:t>Mineral industry</w:t>
      </w:r>
      <w:r w:rsidRPr="001F4265">
        <w:t xml:space="preserve"> category (2.A.4.b) to preserve the confidentiality of data on soda ash use supplied by companies in the </w:t>
      </w:r>
      <w:r w:rsidRPr="001F4265">
        <w:rPr>
          <w:i/>
          <w:iCs/>
        </w:rPr>
        <w:t>Glass production</w:t>
      </w:r>
      <w:r w:rsidRPr="001F4265">
        <w:t xml:space="preserve"> category.</w:t>
      </w:r>
    </w:p>
    <w:p w14:paraId="7E221481" w14:textId="77777777" w:rsidR="003A5396" w:rsidRPr="001F4265" w:rsidRDefault="003A5396" w:rsidP="003A5396">
      <w:pPr>
        <w:pStyle w:val="BodyText"/>
      </w:pPr>
      <w:r w:rsidRPr="001F4265">
        <w:t>Data on the duration of anode effects at the smelter are available for 1993 and later years. Perfluorocarbon (CF</w:t>
      </w:r>
      <w:r w:rsidRPr="001F4265">
        <w:rPr>
          <w:vertAlign w:val="subscript"/>
        </w:rPr>
        <w:t>4</w:t>
      </w:r>
      <w:r w:rsidRPr="001F4265">
        <w:t xml:space="preserve"> and C</w:t>
      </w:r>
      <w:r w:rsidRPr="001F4265">
        <w:rPr>
          <w:vertAlign w:val="subscript"/>
        </w:rPr>
        <w:t>2</w:t>
      </w:r>
      <w:r w:rsidRPr="001F4265">
        <w:t>F</w:t>
      </w:r>
      <w:r w:rsidRPr="001F4265">
        <w:rPr>
          <w:vertAlign w:val="subscript"/>
        </w:rPr>
        <w:t>6</w:t>
      </w:r>
      <w:r w:rsidRPr="001F4265">
        <w:t>) emissions from aluminium production are estimated using:</w:t>
      </w:r>
    </w:p>
    <w:p w14:paraId="7C798CC6" w14:textId="77777777" w:rsidR="003A5396" w:rsidRPr="001F4265" w:rsidRDefault="003A5396" w:rsidP="003A5396">
      <w:pPr>
        <w:pStyle w:val="Bullet"/>
      </w:pPr>
      <w:r w:rsidRPr="001F4265">
        <w:t>the IPCC Tier 1 method for the years 1990 and 1991. The data needed to apply a Tier 2 method are not available</w:t>
      </w:r>
    </w:p>
    <w:p w14:paraId="5E1A8821" w14:textId="77777777" w:rsidR="003A5396" w:rsidRPr="001F4265" w:rsidRDefault="003A5396" w:rsidP="003A5396">
      <w:pPr>
        <w:pStyle w:val="Bullet"/>
      </w:pPr>
      <w:r w:rsidRPr="001F4265">
        <w:t>interpolation for 1992; at this time, there was still no recording of anode effect duration</w:t>
      </w:r>
    </w:p>
    <w:p w14:paraId="3AE55219" w14:textId="77777777" w:rsidR="003A5396" w:rsidRPr="001F4265" w:rsidRDefault="003A5396" w:rsidP="003A5396">
      <w:pPr>
        <w:pStyle w:val="Bullet"/>
      </w:pPr>
      <w:r w:rsidRPr="001F4265">
        <w:t>the IPCC Tier 2 method (using slope coefficients) from 1993 to 2024. This method is applied in the reporting requirements the company now uses in its NZ ETS returns.</w:t>
      </w:r>
    </w:p>
    <w:p w14:paraId="0A8B6972" w14:textId="77777777" w:rsidR="003A5396" w:rsidRPr="001F4265" w:rsidRDefault="003A5396" w:rsidP="003A5396">
      <w:pPr>
        <w:pStyle w:val="BodyText"/>
      </w:pPr>
      <w:r w:rsidRPr="001F4265">
        <w:t>There is no history of direct measurement of PFC emissions at the smelter, so site-specific slope coefficients (required for the use of Tier 3) are not currently available.</w:t>
      </w:r>
    </w:p>
    <w:p w14:paraId="2158DE28" w14:textId="77777777" w:rsidR="003A5396" w:rsidRPr="001F4265" w:rsidRDefault="003A5396" w:rsidP="003A5396">
      <w:pPr>
        <w:pStyle w:val="Heading5"/>
      </w:pPr>
      <w:bookmarkStart w:id="499" w:name="magnesium-production-2.c.4"/>
      <w:bookmarkEnd w:id="498"/>
      <w:r w:rsidRPr="001F4265">
        <w:t>Magnesium production (2.C.4)</w:t>
      </w:r>
    </w:p>
    <w:p w14:paraId="694F70A8" w14:textId="77777777" w:rsidR="003A5396" w:rsidRPr="001F4265" w:rsidRDefault="003A5396" w:rsidP="003A5396">
      <w:pPr>
        <w:pStyle w:val="BodyText"/>
      </w:pPr>
      <w:r w:rsidRPr="001F4265">
        <w:t>Emissions are estimated based on an approximate estimate of the amount of SF</w:t>
      </w:r>
      <w:r w:rsidRPr="001F4265">
        <w:rPr>
          <w:vertAlign w:val="subscript"/>
        </w:rPr>
        <w:t>6</w:t>
      </w:r>
      <w:r w:rsidRPr="001F4265">
        <w:t xml:space="preserve"> that was used as cover gas and on the basis that all SF</w:t>
      </w:r>
      <w:r w:rsidRPr="001F4265">
        <w:rPr>
          <w:vertAlign w:val="subscript"/>
        </w:rPr>
        <w:t>6</w:t>
      </w:r>
      <w:r w:rsidRPr="001F4265">
        <w:t xml:space="preserve"> used is emitted. The method is Tier 1.</w:t>
      </w:r>
    </w:p>
    <w:p w14:paraId="27A1CBDA" w14:textId="77777777" w:rsidR="003A5396" w:rsidRPr="001F4265" w:rsidRDefault="003A5396" w:rsidP="003A5396">
      <w:pPr>
        <w:pStyle w:val="Heading5"/>
      </w:pPr>
      <w:bookmarkStart w:id="500" w:name="lead-production-2.c.5"/>
      <w:bookmarkEnd w:id="499"/>
      <w:r w:rsidRPr="001F4265">
        <w:t>Lead production (2.C.5)</w:t>
      </w:r>
    </w:p>
    <w:p w14:paraId="0516367A" w14:textId="77777777" w:rsidR="003A5396" w:rsidRPr="001F4265" w:rsidRDefault="003A5396" w:rsidP="003A5396">
      <w:pPr>
        <w:pStyle w:val="BodyText"/>
      </w:pPr>
      <w:r w:rsidRPr="001F4265">
        <w:t>The Tier 1 method was used.</w:t>
      </w:r>
    </w:p>
    <w:bookmarkEnd w:id="500"/>
    <w:p w14:paraId="4034965A" w14:textId="77777777" w:rsidR="003A5396" w:rsidRPr="001F4265" w:rsidRDefault="003A5396" w:rsidP="003A5396">
      <w:pPr>
        <w:pStyle w:val="Heading4"/>
      </w:pPr>
      <w:r w:rsidRPr="001F4265">
        <w:t>Choice of emission factors</w:t>
      </w:r>
    </w:p>
    <w:p w14:paraId="3C78BEBB" w14:textId="77777777" w:rsidR="003A5396" w:rsidRPr="001F4265" w:rsidRDefault="003A5396" w:rsidP="003A5396">
      <w:pPr>
        <w:pStyle w:val="Heading5"/>
        <w:spacing w:before="180"/>
      </w:pPr>
      <w:bookmarkStart w:id="501" w:name="carbon-dioxide"/>
      <w:r w:rsidRPr="001F4265">
        <w:t>Carbon dioxide</w:t>
      </w:r>
    </w:p>
    <w:p w14:paraId="7F39E312" w14:textId="77777777" w:rsidR="003A5396" w:rsidRPr="001F4265" w:rsidRDefault="003A5396" w:rsidP="003A5396">
      <w:pPr>
        <w:pStyle w:val="BodyText"/>
      </w:pPr>
      <w:r w:rsidRPr="001F4265">
        <w:t>Plant-specific emission factors are applied for the sub-bituminous coal used as a reducing agent in iron and steel production. For the early years, the coal emission factor was 0.0937 tonnes of CO</w:t>
      </w:r>
      <w:r w:rsidRPr="001F4265">
        <w:rPr>
          <w:vertAlign w:val="subscript"/>
        </w:rPr>
        <w:t>2</w:t>
      </w:r>
      <w:r w:rsidRPr="001F4265">
        <w:t xml:space="preserve"> per gigajoule, as supplied by the steel company. Plant-specific emission factors are also used for other carbon-containing inputs in both the </w:t>
      </w:r>
      <w:r w:rsidRPr="001F4265">
        <w:rPr>
          <w:i/>
          <w:iCs/>
        </w:rPr>
        <w:t>Iron and steel production</w:t>
      </w:r>
      <w:r w:rsidRPr="001F4265">
        <w:t xml:space="preserve"> and </w:t>
      </w:r>
      <w:r w:rsidRPr="001F4265">
        <w:rPr>
          <w:i/>
          <w:iCs/>
        </w:rPr>
        <w:t>Aluminium production</w:t>
      </w:r>
      <w:r w:rsidRPr="001F4265">
        <w:t xml:space="preserve"> categories.</w:t>
      </w:r>
    </w:p>
    <w:p w14:paraId="6AC93341" w14:textId="77777777" w:rsidR="003A5396" w:rsidRPr="001F4265" w:rsidRDefault="003A5396" w:rsidP="003A5396">
      <w:pPr>
        <w:pStyle w:val="BodyText"/>
      </w:pPr>
      <w:r w:rsidRPr="001F4265">
        <w:t>The changes of implied emission factors for steel production across the time series are mainly caused by the changes of input mixture from year to year.</w:t>
      </w:r>
    </w:p>
    <w:p w14:paraId="43C03F6C" w14:textId="77777777" w:rsidR="003A5396" w:rsidRPr="001F4265" w:rsidRDefault="003A5396" w:rsidP="003A5396">
      <w:pPr>
        <w:pStyle w:val="BodyText"/>
      </w:pPr>
      <w:r w:rsidRPr="001F4265">
        <w:t>For secondary lead production, the IPCC default emission factor (0.2 tonnes of CO</w:t>
      </w:r>
      <w:r w:rsidRPr="001F4265">
        <w:rPr>
          <w:vertAlign w:val="subscript"/>
        </w:rPr>
        <w:t>2</w:t>
      </w:r>
      <w:r w:rsidRPr="001F4265">
        <w:t xml:space="preserve"> per tonne of lead recycled) is used.</w:t>
      </w:r>
    </w:p>
    <w:p w14:paraId="414DE0FC" w14:textId="77777777" w:rsidR="003A5396" w:rsidRPr="001F4265" w:rsidRDefault="003A5396" w:rsidP="003A5396">
      <w:pPr>
        <w:pStyle w:val="Heading5"/>
      </w:pPr>
      <w:bookmarkStart w:id="502" w:name="Xb61b7f380fbc8569361cc7c34018f119caaff5a"/>
      <w:bookmarkEnd w:id="501"/>
      <w:r w:rsidRPr="001F4265">
        <w:t>Perfluorocarbons and sulphur hexafluoride</w:t>
      </w:r>
    </w:p>
    <w:p w14:paraId="63BCF9B6" w14:textId="77777777" w:rsidR="003A5396" w:rsidRPr="001F4265" w:rsidRDefault="003A5396" w:rsidP="003A5396">
      <w:pPr>
        <w:pStyle w:val="BodyText"/>
      </w:pPr>
      <w:r w:rsidRPr="001F4265">
        <w:t>Default emission factors (slope coefficients) are used for emissions of CF</w:t>
      </w:r>
      <w:r w:rsidRPr="001F4265">
        <w:rPr>
          <w:vertAlign w:val="subscript"/>
        </w:rPr>
        <w:t>4</w:t>
      </w:r>
      <w:r w:rsidRPr="001F4265">
        <w:t xml:space="preserve"> and C</w:t>
      </w:r>
      <w:r w:rsidRPr="001F4265">
        <w:rPr>
          <w:vertAlign w:val="subscript"/>
        </w:rPr>
        <w:t>2</w:t>
      </w:r>
      <w:r w:rsidRPr="001F4265">
        <w:t>F</w:t>
      </w:r>
      <w:r w:rsidRPr="001F4265">
        <w:rPr>
          <w:vertAlign w:val="subscript"/>
        </w:rPr>
        <w:t>6</w:t>
      </w:r>
      <w:r w:rsidRPr="001F4265">
        <w:t xml:space="preserve"> from aluminium production. Data on the duration of anode effects are not available for the years 1990 to 1992 and for those years a Tier 1 method is used, with the default emission factors of 0.4 kilograms CF</w:t>
      </w:r>
      <w:r w:rsidRPr="001F4265">
        <w:rPr>
          <w:vertAlign w:val="subscript"/>
        </w:rPr>
        <w:t>4</w:t>
      </w:r>
      <w:r w:rsidRPr="001F4265">
        <w:t xml:space="preserve"> and 0.04 kilograms C</w:t>
      </w:r>
      <w:r w:rsidRPr="001F4265">
        <w:rPr>
          <w:vertAlign w:val="subscript"/>
        </w:rPr>
        <w:t>2</w:t>
      </w:r>
      <w:r w:rsidRPr="001F4265">
        <w:t>F</w:t>
      </w:r>
      <w:r w:rsidRPr="001F4265">
        <w:rPr>
          <w:vertAlign w:val="subscript"/>
        </w:rPr>
        <w:t>6</w:t>
      </w:r>
      <w:r w:rsidRPr="001F4265">
        <w:t xml:space="preserve"> per tonne of aluminium.</w:t>
      </w:r>
    </w:p>
    <w:p w14:paraId="63C4B6F9" w14:textId="77777777" w:rsidR="003A5396" w:rsidRPr="001F4265" w:rsidRDefault="003A5396" w:rsidP="003A5396">
      <w:pPr>
        <w:pStyle w:val="BodyText"/>
      </w:pPr>
      <w:r w:rsidRPr="001F4265">
        <w:t>Emissions of SF</w:t>
      </w:r>
      <w:r w:rsidRPr="001F4265">
        <w:rPr>
          <w:vertAlign w:val="subscript"/>
        </w:rPr>
        <w:t>6</w:t>
      </w:r>
      <w:r w:rsidRPr="001F4265">
        <w:t xml:space="preserve"> used in magnesium casting are immediate.</w:t>
      </w:r>
    </w:p>
    <w:p w14:paraId="0CAC51F7" w14:textId="77777777" w:rsidR="003A5396" w:rsidRPr="001F4265" w:rsidRDefault="003A5396" w:rsidP="003A5396">
      <w:pPr>
        <w:pStyle w:val="Heading5"/>
      </w:pPr>
      <w:bookmarkStart w:id="503" w:name="indirect-emissions-1"/>
      <w:bookmarkEnd w:id="502"/>
      <w:r w:rsidRPr="001F4265">
        <w:t>Indirect emissions</w:t>
      </w:r>
    </w:p>
    <w:p w14:paraId="49D12C99" w14:textId="77777777" w:rsidR="003A5396" w:rsidRPr="001F4265" w:rsidRDefault="003A5396" w:rsidP="003A5396">
      <w:pPr>
        <w:pStyle w:val="BodyText"/>
      </w:pPr>
      <w:r w:rsidRPr="001F4265">
        <w:t>Emissions of indirect greenhouse gases (CO, SO</w:t>
      </w:r>
      <w:r w:rsidRPr="001F4265">
        <w:rPr>
          <w:vertAlign w:val="subscript"/>
        </w:rPr>
        <w:t>2</w:t>
      </w:r>
      <w:r w:rsidRPr="001F4265">
        <w:t xml:space="preserve"> and NO</w:t>
      </w:r>
      <w:r w:rsidRPr="001F4265">
        <w:rPr>
          <w:vertAlign w:val="subscript"/>
        </w:rPr>
        <w:t>x</w:t>
      </w:r>
      <w:r w:rsidRPr="001F4265">
        <w:t xml:space="preserve">) are reported for the </w:t>
      </w:r>
      <w:r w:rsidRPr="001F4265">
        <w:rPr>
          <w:i/>
          <w:iCs/>
        </w:rPr>
        <w:t>Iron and steel production</w:t>
      </w:r>
      <w:r w:rsidRPr="001F4265">
        <w:t xml:space="preserve"> and </w:t>
      </w:r>
      <w:r w:rsidRPr="001F4265">
        <w:rPr>
          <w:i/>
          <w:iCs/>
        </w:rPr>
        <w:t>Aluminium production</w:t>
      </w:r>
      <w:r w:rsidRPr="001F4265">
        <w:t xml:space="preserve"> categories. These are based on a mass balance calculation (for SO</w:t>
      </w:r>
      <w:r w:rsidRPr="001F4265">
        <w:rPr>
          <w:vertAlign w:val="subscript"/>
        </w:rPr>
        <w:t>2</w:t>
      </w:r>
      <w:r w:rsidRPr="001F4265">
        <w:t>) and a mix of plant-specific emission factors and IPCC defaults for other gases (CRL Energy, unpublished(a)).</w:t>
      </w:r>
    </w:p>
    <w:bookmarkEnd w:id="503"/>
    <w:p w14:paraId="78A8C870" w14:textId="77777777" w:rsidR="003A5396" w:rsidRPr="001F4265" w:rsidRDefault="003A5396" w:rsidP="003A5396">
      <w:pPr>
        <w:pStyle w:val="Heading3"/>
      </w:pPr>
      <w:r w:rsidRPr="001F4265">
        <w:t xml:space="preserve">4.4.3 </w:t>
      </w:r>
      <w:r w:rsidRPr="001F4265">
        <w:tab/>
        <w:t>Uncertainty assessment and time-series consistency</w:t>
      </w:r>
    </w:p>
    <w:p w14:paraId="7E1E6F3D" w14:textId="77777777" w:rsidR="003A5396" w:rsidRPr="001F4265" w:rsidRDefault="003A5396" w:rsidP="003A5396">
      <w:pPr>
        <w:pStyle w:val="Heading4"/>
      </w:pPr>
      <w:r w:rsidRPr="001F4265">
        <w:t>Uncertainties</w:t>
      </w:r>
    </w:p>
    <w:p w14:paraId="709E6F6B" w14:textId="77777777" w:rsidR="003A5396" w:rsidRPr="001F4265" w:rsidRDefault="003A5396" w:rsidP="003A5396">
      <w:pPr>
        <w:pStyle w:val="BodyText"/>
      </w:pPr>
      <w:r w:rsidRPr="001F4265">
        <w:t>IPCC default uncertainties have been used for activity data (see table 4.4.2). For the CO</w:t>
      </w:r>
      <w:r w:rsidRPr="001F4265">
        <w:rPr>
          <w:vertAlign w:val="subscript"/>
        </w:rPr>
        <w:t>2</w:t>
      </w:r>
      <w:r w:rsidRPr="001F4265">
        <w:t xml:space="preserve"> emission factors in the </w:t>
      </w:r>
      <w:r w:rsidRPr="001F4265">
        <w:rPr>
          <w:i/>
          <w:iCs/>
        </w:rPr>
        <w:t>Iron and steel production</w:t>
      </w:r>
      <w:r w:rsidRPr="001F4265">
        <w:t xml:space="preserve"> category, an uncertainty of ±7 percent was assessed to reflect some uncertainty in the carbon content of the product. An uncertainty of ±30 percent was assessed for PFCs reflecting the use of Tier 1 methods for the first three years. The uncertainties for indirect gases were assessed on a site-specific basis at the time the data were collected (CRL Energy, unpublished(a)). For magnesium casting, the uncertainty of ±100 percent represents the approximate activity data (SF</w:t>
      </w:r>
      <w:r w:rsidRPr="001F4265">
        <w:rPr>
          <w:vertAlign w:val="subscript"/>
        </w:rPr>
        <w:t>6</w:t>
      </w:r>
      <w:r w:rsidRPr="001F4265">
        <w:t xml:space="preserve"> usage) available. This activity was already historical when the data were collected.</w:t>
      </w:r>
    </w:p>
    <w:p w14:paraId="09254A3F" w14:textId="77777777" w:rsidR="003A5396" w:rsidRPr="001F4265" w:rsidRDefault="003A5396" w:rsidP="003A5396">
      <w:pPr>
        <w:pStyle w:val="Table"/>
      </w:pPr>
      <w:bookmarkStart w:id="504" w:name="_Toc226668976"/>
      <w:r w:rsidRPr="001F4265">
        <w:t xml:space="preserve">Table 4.4.2 </w:t>
      </w:r>
      <w:r w:rsidRPr="001F4265">
        <w:tab/>
        <w:t>Uncertainty in emissions from the metal industry</w:t>
      </w:r>
      <w:bookmarkEnd w:id="50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997"/>
        <w:gridCol w:w="3068"/>
        <w:gridCol w:w="3429"/>
      </w:tblGrid>
      <w:tr w:rsidR="003A5396" w:rsidRPr="001F4265" w14:paraId="4D843597" w14:textId="77777777" w:rsidTr="00F16E23">
        <w:trPr>
          <w:tblHeader/>
        </w:trPr>
        <w:tc>
          <w:tcPr>
            <w:tcW w:w="0" w:type="auto"/>
            <w:shd w:val="clear" w:color="auto" w:fill="1B556B"/>
            <w:tcMar>
              <w:top w:w="0" w:type="dxa"/>
              <w:left w:w="85" w:type="dxa"/>
              <w:bottom w:w="0" w:type="dxa"/>
              <w:right w:w="85" w:type="dxa"/>
            </w:tcMar>
            <w:vAlign w:val="center"/>
          </w:tcPr>
          <w:p w14:paraId="769DF56D"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Category</w:t>
            </w:r>
          </w:p>
        </w:tc>
        <w:tc>
          <w:tcPr>
            <w:tcW w:w="0" w:type="auto"/>
            <w:shd w:val="clear" w:color="auto" w:fill="1B556B"/>
            <w:tcMar>
              <w:top w:w="0" w:type="dxa"/>
              <w:left w:w="85" w:type="dxa"/>
              <w:bottom w:w="0" w:type="dxa"/>
              <w:right w:w="85" w:type="dxa"/>
            </w:tcMar>
            <w:vAlign w:val="center"/>
          </w:tcPr>
          <w:p w14:paraId="24DD4CB0"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58D3B99A"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emission factors (%)</w:t>
            </w:r>
          </w:p>
        </w:tc>
      </w:tr>
      <w:tr w:rsidR="003A5396" w:rsidRPr="001F4265" w14:paraId="2886BD6A" w14:textId="77777777" w:rsidTr="00F16E23">
        <w:tc>
          <w:tcPr>
            <w:tcW w:w="0" w:type="auto"/>
            <w:shd w:val="clear" w:color="auto" w:fill="FFFFFF"/>
            <w:tcMar>
              <w:top w:w="0" w:type="dxa"/>
              <w:left w:w="85" w:type="dxa"/>
              <w:bottom w:w="0" w:type="dxa"/>
              <w:right w:w="85" w:type="dxa"/>
            </w:tcMar>
            <w:vAlign w:val="center"/>
          </w:tcPr>
          <w:p w14:paraId="6408CA3B" w14:textId="77777777" w:rsidR="003A5396" w:rsidRPr="001F4265" w:rsidRDefault="003A5396" w:rsidP="00F16E23">
            <w:pPr>
              <w:pStyle w:val="TableText"/>
              <w:spacing w:before="40" w:after="40"/>
            </w:pPr>
            <w:r w:rsidRPr="001F4265">
              <w:rPr>
                <w:rFonts w:eastAsia="Calibri"/>
              </w:rPr>
              <w:t>Iron and steel (CO</w:t>
            </w:r>
            <w:r w:rsidRPr="001F4265">
              <w:rPr>
                <w:rFonts w:eastAsia="Calibri"/>
                <w:vertAlign w:val="subscript"/>
              </w:rPr>
              <w:t>2</w:t>
            </w:r>
            <w:r w:rsidRPr="001F4265">
              <w:rPr>
                <w:rFonts w:eastAsia="Calibri"/>
              </w:rPr>
              <w:t>)</w:t>
            </w:r>
          </w:p>
        </w:tc>
        <w:tc>
          <w:tcPr>
            <w:tcW w:w="0" w:type="auto"/>
            <w:shd w:val="clear" w:color="auto" w:fill="FFFFFF"/>
            <w:tcMar>
              <w:top w:w="0" w:type="dxa"/>
              <w:left w:w="85" w:type="dxa"/>
              <w:bottom w:w="0" w:type="dxa"/>
              <w:right w:w="85" w:type="dxa"/>
            </w:tcMar>
            <w:vAlign w:val="center"/>
          </w:tcPr>
          <w:p w14:paraId="4043143F"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686C946B" w14:textId="77777777" w:rsidR="003A5396" w:rsidRPr="001F4265" w:rsidRDefault="003A5396" w:rsidP="00F16E23">
            <w:pPr>
              <w:pStyle w:val="TableText"/>
              <w:spacing w:before="40" w:after="40"/>
              <w:jc w:val="right"/>
            </w:pPr>
            <w:r w:rsidRPr="001F4265">
              <w:rPr>
                <w:rFonts w:eastAsia="Calibri"/>
              </w:rPr>
              <w:t>±7</w:t>
            </w:r>
          </w:p>
        </w:tc>
      </w:tr>
      <w:tr w:rsidR="003A5396" w:rsidRPr="001F4265" w14:paraId="7D748C16" w14:textId="77777777" w:rsidTr="00F16E23">
        <w:tc>
          <w:tcPr>
            <w:tcW w:w="0" w:type="auto"/>
            <w:shd w:val="clear" w:color="auto" w:fill="FFFFFF"/>
            <w:tcMar>
              <w:top w:w="0" w:type="dxa"/>
              <w:left w:w="85" w:type="dxa"/>
              <w:bottom w:w="0" w:type="dxa"/>
              <w:right w:w="85" w:type="dxa"/>
            </w:tcMar>
            <w:vAlign w:val="center"/>
          </w:tcPr>
          <w:p w14:paraId="541D5E9A" w14:textId="77777777" w:rsidR="003A5396" w:rsidRPr="001F4265" w:rsidRDefault="003A5396" w:rsidP="00F16E23">
            <w:pPr>
              <w:pStyle w:val="TableText"/>
              <w:spacing w:before="40" w:after="40"/>
            </w:pPr>
            <w:r w:rsidRPr="001F4265">
              <w:rPr>
                <w:rFonts w:eastAsia="Calibri"/>
              </w:rPr>
              <w:t>Iron and steel (CO)</w:t>
            </w:r>
          </w:p>
        </w:tc>
        <w:tc>
          <w:tcPr>
            <w:tcW w:w="0" w:type="auto"/>
            <w:shd w:val="clear" w:color="auto" w:fill="FFFFFF"/>
            <w:tcMar>
              <w:top w:w="0" w:type="dxa"/>
              <w:left w:w="85" w:type="dxa"/>
              <w:bottom w:w="0" w:type="dxa"/>
              <w:right w:w="85" w:type="dxa"/>
            </w:tcMar>
            <w:vAlign w:val="center"/>
          </w:tcPr>
          <w:p w14:paraId="05C324A6"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2A619A98" w14:textId="77777777" w:rsidR="003A5396" w:rsidRPr="001F4265" w:rsidRDefault="003A5396" w:rsidP="00F16E23">
            <w:pPr>
              <w:pStyle w:val="TableText"/>
              <w:spacing w:before="40" w:after="40"/>
              <w:jc w:val="right"/>
            </w:pPr>
            <w:r w:rsidRPr="001F4265">
              <w:rPr>
                <w:rFonts w:eastAsia="Calibri"/>
              </w:rPr>
              <w:t>±30</w:t>
            </w:r>
          </w:p>
        </w:tc>
      </w:tr>
      <w:tr w:rsidR="003A5396" w:rsidRPr="001F4265" w14:paraId="4AE67363" w14:textId="77777777" w:rsidTr="00F16E23">
        <w:tc>
          <w:tcPr>
            <w:tcW w:w="0" w:type="auto"/>
            <w:shd w:val="clear" w:color="auto" w:fill="FFFFFF"/>
            <w:tcMar>
              <w:top w:w="0" w:type="dxa"/>
              <w:left w:w="85" w:type="dxa"/>
              <w:bottom w:w="0" w:type="dxa"/>
              <w:right w:w="85" w:type="dxa"/>
            </w:tcMar>
            <w:vAlign w:val="center"/>
          </w:tcPr>
          <w:p w14:paraId="7B2F2425" w14:textId="77777777" w:rsidR="003A5396" w:rsidRPr="001F4265" w:rsidRDefault="003A5396" w:rsidP="00F16E23">
            <w:pPr>
              <w:pStyle w:val="TableText"/>
              <w:spacing w:before="40" w:after="40"/>
            </w:pPr>
            <w:r w:rsidRPr="001F4265">
              <w:rPr>
                <w:rFonts w:eastAsia="Calibri"/>
              </w:rPr>
              <w:t>Iron and steel (NO</w:t>
            </w:r>
            <w:r w:rsidRPr="001F4265">
              <w:rPr>
                <w:rFonts w:eastAsia="Calibri"/>
                <w:vertAlign w:val="subscript"/>
              </w:rPr>
              <w:t>x</w:t>
            </w:r>
            <w:r w:rsidRPr="001F4265">
              <w:rPr>
                <w:rFonts w:eastAsia="Calibri"/>
              </w:rPr>
              <w:t>)</w:t>
            </w:r>
          </w:p>
        </w:tc>
        <w:tc>
          <w:tcPr>
            <w:tcW w:w="0" w:type="auto"/>
            <w:shd w:val="clear" w:color="auto" w:fill="FFFFFF"/>
            <w:tcMar>
              <w:top w:w="0" w:type="dxa"/>
              <w:left w:w="85" w:type="dxa"/>
              <w:bottom w:w="0" w:type="dxa"/>
              <w:right w:w="85" w:type="dxa"/>
            </w:tcMar>
            <w:vAlign w:val="center"/>
          </w:tcPr>
          <w:p w14:paraId="5A8A9EE5"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12FE8FFC" w14:textId="77777777" w:rsidR="003A5396" w:rsidRPr="001F4265" w:rsidRDefault="003A5396" w:rsidP="00F16E23">
            <w:pPr>
              <w:pStyle w:val="TableText"/>
              <w:spacing w:before="40" w:after="40"/>
              <w:jc w:val="right"/>
            </w:pPr>
            <w:r w:rsidRPr="001F4265">
              <w:rPr>
                <w:rFonts w:eastAsia="Calibri"/>
              </w:rPr>
              <w:t>±70</w:t>
            </w:r>
          </w:p>
        </w:tc>
      </w:tr>
      <w:tr w:rsidR="003A5396" w:rsidRPr="001F4265" w14:paraId="0B6270B9" w14:textId="77777777" w:rsidTr="00F16E23">
        <w:tc>
          <w:tcPr>
            <w:tcW w:w="0" w:type="auto"/>
            <w:shd w:val="clear" w:color="auto" w:fill="FFFFFF"/>
            <w:tcMar>
              <w:top w:w="0" w:type="dxa"/>
              <w:left w:w="85" w:type="dxa"/>
              <w:bottom w:w="0" w:type="dxa"/>
              <w:right w:w="85" w:type="dxa"/>
            </w:tcMar>
            <w:vAlign w:val="center"/>
          </w:tcPr>
          <w:p w14:paraId="05E589B1" w14:textId="77777777" w:rsidR="003A5396" w:rsidRPr="001F4265" w:rsidRDefault="003A5396" w:rsidP="00F16E23">
            <w:pPr>
              <w:pStyle w:val="TableText"/>
              <w:spacing w:before="40" w:after="40"/>
            </w:pPr>
            <w:r w:rsidRPr="001F4265">
              <w:rPr>
                <w:rFonts w:eastAsia="Calibri"/>
              </w:rPr>
              <w:t>Aluminium (CO</w:t>
            </w:r>
            <w:r w:rsidRPr="001F4265">
              <w:rPr>
                <w:rFonts w:eastAsia="Calibri"/>
                <w:vertAlign w:val="subscript"/>
              </w:rPr>
              <w:t>2</w:t>
            </w:r>
            <w:r w:rsidRPr="001F4265">
              <w:rPr>
                <w:rFonts w:eastAsia="Calibri"/>
              </w:rPr>
              <w:t>)</w:t>
            </w:r>
          </w:p>
        </w:tc>
        <w:tc>
          <w:tcPr>
            <w:tcW w:w="0" w:type="auto"/>
            <w:shd w:val="clear" w:color="auto" w:fill="FFFFFF"/>
            <w:tcMar>
              <w:top w:w="0" w:type="dxa"/>
              <w:left w:w="85" w:type="dxa"/>
              <w:bottom w:w="0" w:type="dxa"/>
              <w:right w:w="85" w:type="dxa"/>
            </w:tcMar>
            <w:vAlign w:val="center"/>
          </w:tcPr>
          <w:p w14:paraId="51DFEDEB"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16B72711" w14:textId="77777777" w:rsidR="003A5396" w:rsidRPr="001F4265" w:rsidRDefault="003A5396" w:rsidP="00F16E23">
            <w:pPr>
              <w:pStyle w:val="TableText"/>
              <w:spacing w:before="40" w:after="40"/>
              <w:jc w:val="right"/>
            </w:pPr>
            <w:r w:rsidRPr="001F4265">
              <w:rPr>
                <w:rFonts w:eastAsia="Calibri"/>
              </w:rPr>
              <w:t>±2</w:t>
            </w:r>
          </w:p>
        </w:tc>
      </w:tr>
      <w:tr w:rsidR="003A5396" w:rsidRPr="001F4265" w14:paraId="6DDAB6ED" w14:textId="77777777" w:rsidTr="00F16E23">
        <w:tc>
          <w:tcPr>
            <w:tcW w:w="0" w:type="auto"/>
            <w:shd w:val="clear" w:color="auto" w:fill="FFFFFF"/>
            <w:tcMar>
              <w:top w:w="0" w:type="dxa"/>
              <w:left w:w="85" w:type="dxa"/>
              <w:bottom w:w="0" w:type="dxa"/>
              <w:right w:w="85" w:type="dxa"/>
            </w:tcMar>
            <w:vAlign w:val="center"/>
          </w:tcPr>
          <w:p w14:paraId="5A8B2FDD" w14:textId="77777777" w:rsidR="003A5396" w:rsidRPr="001F4265" w:rsidRDefault="003A5396" w:rsidP="00F16E23">
            <w:pPr>
              <w:pStyle w:val="TableText"/>
              <w:spacing w:before="40" w:after="40"/>
            </w:pPr>
            <w:r w:rsidRPr="001F4265">
              <w:rPr>
                <w:rFonts w:eastAsia="Calibri"/>
              </w:rPr>
              <w:t>Aluminium (PFCs)</w:t>
            </w:r>
          </w:p>
        </w:tc>
        <w:tc>
          <w:tcPr>
            <w:tcW w:w="0" w:type="auto"/>
            <w:shd w:val="clear" w:color="auto" w:fill="FFFFFF"/>
            <w:tcMar>
              <w:top w:w="0" w:type="dxa"/>
              <w:left w:w="85" w:type="dxa"/>
              <w:bottom w:w="0" w:type="dxa"/>
              <w:right w:w="85" w:type="dxa"/>
            </w:tcMar>
            <w:vAlign w:val="center"/>
          </w:tcPr>
          <w:p w14:paraId="28B81624"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39362949" w14:textId="77777777" w:rsidR="003A5396" w:rsidRPr="001F4265" w:rsidRDefault="003A5396" w:rsidP="00F16E23">
            <w:pPr>
              <w:pStyle w:val="TableText"/>
              <w:spacing w:before="40" w:after="40"/>
              <w:jc w:val="right"/>
            </w:pPr>
            <w:r w:rsidRPr="001F4265">
              <w:rPr>
                <w:rFonts w:eastAsia="Calibri"/>
              </w:rPr>
              <w:t>±30</w:t>
            </w:r>
          </w:p>
        </w:tc>
      </w:tr>
      <w:tr w:rsidR="003A5396" w:rsidRPr="001F4265" w14:paraId="11A9BED7" w14:textId="77777777" w:rsidTr="00F16E23">
        <w:tc>
          <w:tcPr>
            <w:tcW w:w="0" w:type="auto"/>
            <w:shd w:val="clear" w:color="auto" w:fill="FFFFFF"/>
            <w:tcMar>
              <w:top w:w="0" w:type="dxa"/>
              <w:left w:w="85" w:type="dxa"/>
              <w:bottom w:w="0" w:type="dxa"/>
              <w:right w:w="85" w:type="dxa"/>
            </w:tcMar>
            <w:vAlign w:val="center"/>
          </w:tcPr>
          <w:p w14:paraId="7AA88107" w14:textId="77777777" w:rsidR="003A5396" w:rsidRPr="001F4265" w:rsidRDefault="003A5396" w:rsidP="00F16E23">
            <w:pPr>
              <w:pStyle w:val="TableText"/>
              <w:spacing w:before="40" w:after="40"/>
            </w:pPr>
            <w:r w:rsidRPr="001F4265">
              <w:rPr>
                <w:rFonts w:eastAsia="Calibri"/>
              </w:rPr>
              <w:t>Aluminium (SO</w:t>
            </w:r>
            <w:r w:rsidRPr="001F4265">
              <w:rPr>
                <w:rFonts w:eastAsia="Calibri"/>
                <w:vertAlign w:val="subscript"/>
              </w:rPr>
              <w:t>2</w:t>
            </w:r>
            <w:r w:rsidRPr="001F4265">
              <w:rPr>
                <w:rFonts w:eastAsia="Calibri"/>
              </w:rPr>
              <w:t>)</w:t>
            </w:r>
          </w:p>
        </w:tc>
        <w:tc>
          <w:tcPr>
            <w:tcW w:w="0" w:type="auto"/>
            <w:shd w:val="clear" w:color="auto" w:fill="FFFFFF"/>
            <w:tcMar>
              <w:top w:w="0" w:type="dxa"/>
              <w:left w:w="85" w:type="dxa"/>
              <w:bottom w:w="0" w:type="dxa"/>
              <w:right w:w="85" w:type="dxa"/>
            </w:tcMar>
            <w:vAlign w:val="center"/>
          </w:tcPr>
          <w:p w14:paraId="2D6AEF24"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7A650CD2" w14:textId="77777777" w:rsidR="003A5396" w:rsidRPr="001F4265" w:rsidRDefault="003A5396" w:rsidP="00F16E23">
            <w:pPr>
              <w:pStyle w:val="TableText"/>
              <w:spacing w:before="40" w:after="40"/>
              <w:jc w:val="right"/>
            </w:pPr>
            <w:r w:rsidRPr="001F4265">
              <w:rPr>
                <w:rFonts w:eastAsia="Calibri"/>
              </w:rPr>
              <w:t>±5</w:t>
            </w:r>
          </w:p>
        </w:tc>
      </w:tr>
      <w:tr w:rsidR="003A5396" w:rsidRPr="001F4265" w14:paraId="0A3EFA56" w14:textId="77777777" w:rsidTr="00F16E23">
        <w:tc>
          <w:tcPr>
            <w:tcW w:w="0" w:type="auto"/>
            <w:shd w:val="clear" w:color="auto" w:fill="FFFFFF"/>
            <w:tcMar>
              <w:top w:w="0" w:type="dxa"/>
              <w:left w:w="85" w:type="dxa"/>
              <w:bottom w:w="0" w:type="dxa"/>
              <w:right w:w="85" w:type="dxa"/>
            </w:tcMar>
            <w:vAlign w:val="center"/>
          </w:tcPr>
          <w:p w14:paraId="380AFCF9" w14:textId="77777777" w:rsidR="003A5396" w:rsidRPr="001F4265" w:rsidRDefault="003A5396" w:rsidP="00F16E23">
            <w:pPr>
              <w:pStyle w:val="TableText"/>
              <w:spacing w:before="40" w:after="40"/>
            </w:pPr>
            <w:r w:rsidRPr="001F4265">
              <w:rPr>
                <w:rFonts w:eastAsia="Calibri"/>
              </w:rPr>
              <w:t>Aluminium (CO)</w:t>
            </w:r>
          </w:p>
        </w:tc>
        <w:tc>
          <w:tcPr>
            <w:tcW w:w="0" w:type="auto"/>
            <w:shd w:val="clear" w:color="auto" w:fill="FFFFFF"/>
            <w:tcMar>
              <w:top w:w="0" w:type="dxa"/>
              <w:left w:w="85" w:type="dxa"/>
              <w:bottom w:w="0" w:type="dxa"/>
              <w:right w:w="85" w:type="dxa"/>
            </w:tcMar>
            <w:vAlign w:val="center"/>
          </w:tcPr>
          <w:p w14:paraId="18979F25"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0BC11B3F" w14:textId="77777777" w:rsidR="003A5396" w:rsidRPr="001F4265" w:rsidRDefault="003A5396" w:rsidP="00F16E23">
            <w:pPr>
              <w:pStyle w:val="TableText"/>
              <w:spacing w:before="40" w:after="40"/>
              <w:jc w:val="right"/>
            </w:pPr>
            <w:r w:rsidRPr="001F4265">
              <w:rPr>
                <w:rFonts w:eastAsia="Calibri"/>
              </w:rPr>
              <w:t>±40</w:t>
            </w:r>
          </w:p>
        </w:tc>
      </w:tr>
      <w:tr w:rsidR="003A5396" w:rsidRPr="001F4265" w14:paraId="0C31A5F2" w14:textId="77777777" w:rsidTr="00F16E23">
        <w:tc>
          <w:tcPr>
            <w:tcW w:w="0" w:type="auto"/>
            <w:shd w:val="clear" w:color="auto" w:fill="FFFFFF"/>
            <w:tcMar>
              <w:top w:w="0" w:type="dxa"/>
              <w:left w:w="85" w:type="dxa"/>
              <w:bottom w:w="0" w:type="dxa"/>
              <w:right w:w="85" w:type="dxa"/>
            </w:tcMar>
            <w:vAlign w:val="center"/>
          </w:tcPr>
          <w:p w14:paraId="2D165C6E" w14:textId="77777777" w:rsidR="003A5396" w:rsidRPr="001F4265" w:rsidRDefault="003A5396" w:rsidP="00F16E23">
            <w:pPr>
              <w:pStyle w:val="TableText"/>
              <w:spacing w:before="40" w:after="40"/>
            </w:pPr>
            <w:r w:rsidRPr="001F4265">
              <w:rPr>
                <w:rFonts w:eastAsia="Calibri"/>
              </w:rPr>
              <w:t>Aluminium (NO</w:t>
            </w:r>
            <w:r w:rsidRPr="001F4265">
              <w:rPr>
                <w:rFonts w:eastAsia="Calibri"/>
                <w:vertAlign w:val="subscript"/>
              </w:rPr>
              <w:t>x</w:t>
            </w:r>
            <w:r w:rsidRPr="001F4265">
              <w:rPr>
                <w:rFonts w:eastAsia="Calibri"/>
              </w:rPr>
              <w:t>)</w:t>
            </w:r>
          </w:p>
        </w:tc>
        <w:tc>
          <w:tcPr>
            <w:tcW w:w="0" w:type="auto"/>
            <w:shd w:val="clear" w:color="auto" w:fill="FFFFFF"/>
            <w:tcMar>
              <w:top w:w="0" w:type="dxa"/>
              <w:left w:w="85" w:type="dxa"/>
              <w:bottom w:w="0" w:type="dxa"/>
              <w:right w:w="85" w:type="dxa"/>
            </w:tcMar>
            <w:vAlign w:val="center"/>
          </w:tcPr>
          <w:p w14:paraId="4DE4C1B9" w14:textId="77777777" w:rsidR="003A5396" w:rsidRPr="001F4265" w:rsidRDefault="003A5396" w:rsidP="00F16E23">
            <w:pPr>
              <w:pStyle w:val="TableText"/>
              <w:spacing w:before="40" w:after="40"/>
              <w:jc w:val="right"/>
            </w:pPr>
            <w:r w:rsidRPr="001F4265">
              <w:rPr>
                <w:rFonts w:eastAsia="Calibri"/>
              </w:rPr>
              <w:t>±5</w:t>
            </w:r>
          </w:p>
        </w:tc>
        <w:tc>
          <w:tcPr>
            <w:tcW w:w="0" w:type="auto"/>
            <w:shd w:val="clear" w:color="auto" w:fill="FFFFFF"/>
            <w:tcMar>
              <w:top w:w="0" w:type="dxa"/>
              <w:left w:w="85" w:type="dxa"/>
              <w:bottom w:w="0" w:type="dxa"/>
              <w:right w:w="85" w:type="dxa"/>
            </w:tcMar>
            <w:vAlign w:val="center"/>
          </w:tcPr>
          <w:p w14:paraId="5BE8C746" w14:textId="77777777" w:rsidR="003A5396" w:rsidRPr="001F4265" w:rsidRDefault="003A5396" w:rsidP="00F16E23">
            <w:pPr>
              <w:pStyle w:val="TableText"/>
              <w:spacing w:before="40" w:after="40"/>
              <w:jc w:val="right"/>
            </w:pPr>
            <w:r w:rsidRPr="001F4265">
              <w:rPr>
                <w:rFonts w:eastAsia="Calibri"/>
              </w:rPr>
              <w:t>±50</w:t>
            </w:r>
          </w:p>
        </w:tc>
      </w:tr>
      <w:tr w:rsidR="003A5396" w:rsidRPr="001F4265" w14:paraId="350CC51D" w14:textId="77777777" w:rsidTr="00F16E23">
        <w:tc>
          <w:tcPr>
            <w:tcW w:w="0" w:type="auto"/>
            <w:shd w:val="clear" w:color="auto" w:fill="FFFFFF"/>
            <w:tcMar>
              <w:top w:w="0" w:type="dxa"/>
              <w:left w:w="85" w:type="dxa"/>
              <w:bottom w:w="0" w:type="dxa"/>
              <w:right w:w="85" w:type="dxa"/>
            </w:tcMar>
            <w:vAlign w:val="center"/>
          </w:tcPr>
          <w:p w14:paraId="67B7DC66" w14:textId="77777777" w:rsidR="003A5396" w:rsidRPr="001F4265" w:rsidRDefault="003A5396" w:rsidP="00F16E23">
            <w:pPr>
              <w:pStyle w:val="TableText"/>
              <w:spacing w:before="40" w:after="40"/>
            </w:pPr>
            <w:r w:rsidRPr="001F4265">
              <w:rPr>
                <w:rFonts w:eastAsia="Calibri"/>
              </w:rPr>
              <w:t>Magnesium (SF</w:t>
            </w:r>
            <w:r w:rsidRPr="001F4265">
              <w:rPr>
                <w:rFonts w:eastAsia="Calibri"/>
                <w:vertAlign w:val="subscript"/>
              </w:rPr>
              <w:t>6</w:t>
            </w:r>
            <w:r w:rsidRPr="001F4265">
              <w:rPr>
                <w:rFonts w:eastAsia="Calibri"/>
              </w:rPr>
              <w:t>)</w:t>
            </w:r>
          </w:p>
        </w:tc>
        <w:tc>
          <w:tcPr>
            <w:tcW w:w="0" w:type="auto"/>
            <w:shd w:val="clear" w:color="auto" w:fill="FFFFFF"/>
            <w:tcMar>
              <w:top w:w="0" w:type="dxa"/>
              <w:left w:w="85" w:type="dxa"/>
              <w:bottom w:w="0" w:type="dxa"/>
              <w:right w:w="85" w:type="dxa"/>
            </w:tcMar>
            <w:vAlign w:val="center"/>
          </w:tcPr>
          <w:p w14:paraId="138F2AB2" w14:textId="77777777" w:rsidR="003A5396" w:rsidRPr="001F4265" w:rsidRDefault="003A5396" w:rsidP="00F16E23">
            <w:pPr>
              <w:pStyle w:val="TableText"/>
              <w:spacing w:before="40" w:after="40"/>
              <w:jc w:val="right"/>
            </w:pPr>
            <w:r w:rsidRPr="001F4265">
              <w:rPr>
                <w:rFonts w:eastAsia="Calibri"/>
              </w:rPr>
              <w:t>±100</w:t>
            </w:r>
          </w:p>
        </w:tc>
        <w:tc>
          <w:tcPr>
            <w:tcW w:w="0" w:type="auto"/>
            <w:shd w:val="clear" w:color="auto" w:fill="FFFFFF"/>
            <w:tcMar>
              <w:top w:w="0" w:type="dxa"/>
              <w:left w:w="85" w:type="dxa"/>
              <w:bottom w:w="0" w:type="dxa"/>
              <w:right w:w="85" w:type="dxa"/>
            </w:tcMar>
            <w:vAlign w:val="center"/>
          </w:tcPr>
          <w:p w14:paraId="7665A8E1" w14:textId="77777777" w:rsidR="003A5396" w:rsidRPr="001F4265" w:rsidRDefault="003A5396" w:rsidP="00F16E23">
            <w:pPr>
              <w:pStyle w:val="TableText"/>
              <w:spacing w:before="40" w:after="40"/>
              <w:jc w:val="right"/>
            </w:pPr>
            <w:r w:rsidRPr="001F4265">
              <w:rPr>
                <w:rFonts w:eastAsia="Calibri"/>
              </w:rPr>
              <w:t>±30</w:t>
            </w:r>
          </w:p>
        </w:tc>
      </w:tr>
      <w:tr w:rsidR="003A5396" w:rsidRPr="001F4265" w14:paraId="68F105E9" w14:textId="77777777" w:rsidTr="00F16E23">
        <w:tc>
          <w:tcPr>
            <w:tcW w:w="0" w:type="auto"/>
            <w:shd w:val="clear" w:color="auto" w:fill="FFFFFF"/>
            <w:tcMar>
              <w:top w:w="0" w:type="dxa"/>
              <w:left w:w="85" w:type="dxa"/>
              <w:bottom w:w="0" w:type="dxa"/>
              <w:right w:w="85" w:type="dxa"/>
            </w:tcMar>
            <w:vAlign w:val="center"/>
          </w:tcPr>
          <w:p w14:paraId="45F2A94D" w14:textId="77777777" w:rsidR="003A5396" w:rsidRPr="001F4265" w:rsidRDefault="003A5396" w:rsidP="00F16E23">
            <w:pPr>
              <w:pStyle w:val="TableText"/>
              <w:spacing w:before="40" w:after="40"/>
            </w:pPr>
            <w:r w:rsidRPr="001F4265">
              <w:rPr>
                <w:rFonts w:eastAsia="Calibri"/>
              </w:rPr>
              <w:t>Lead (CO</w:t>
            </w:r>
            <w:r w:rsidRPr="001F4265">
              <w:rPr>
                <w:rFonts w:eastAsia="Calibri"/>
                <w:vertAlign w:val="subscript"/>
              </w:rPr>
              <w:t>2</w:t>
            </w:r>
            <w:r w:rsidRPr="001F4265">
              <w:rPr>
                <w:rFonts w:eastAsia="Calibri"/>
              </w:rPr>
              <w:t>)</w:t>
            </w:r>
          </w:p>
        </w:tc>
        <w:tc>
          <w:tcPr>
            <w:tcW w:w="0" w:type="auto"/>
            <w:shd w:val="clear" w:color="auto" w:fill="FFFFFF"/>
            <w:tcMar>
              <w:top w:w="0" w:type="dxa"/>
              <w:left w:w="85" w:type="dxa"/>
              <w:bottom w:w="0" w:type="dxa"/>
              <w:right w:w="85" w:type="dxa"/>
            </w:tcMar>
            <w:vAlign w:val="center"/>
          </w:tcPr>
          <w:p w14:paraId="0955B88E" w14:textId="77777777" w:rsidR="003A5396" w:rsidRPr="001F4265" w:rsidRDefault="003A5396" w:rsidP="00F16E23">
            <w:pPr>
              <w:pStyle w:val="TableText"/>
              <w:spacing w:before="40" w:after="40"/>
              <w:jc w:val="right"/>
            </w:pPr>
            <w:r w:rsidRPr="001F4265">
              <w:rPr>
                <w:rFonts w:eastAsia="Calibri"/>
              </w:rPr>
              <w:t>±50</w:t>
            </w:r>
          </w:p>
        </w:tc>
        <w:tc>
          <w:tcPr>
            <w:tcW w:w="0" w:type="auto"/>
            <w:shd w:val="clear" w:color="auto" w:fill="FFFFFF"/>
            <w:tcMar>
              <w:top w:w="0" w:type="dxa"/>
              <w:left w:w="85" w:type="dxa"/>
              <w:bottom w:w="0" w:type="dxa"/>
              <w:right w:w="85" w:type="dxa"/>
            </w:tcMar>
            <w:vAlign w:val="center"/>
          </w:tcPr>
          <w:p w14:paraId="3895E14D" w14:textId="77777777" w:rsidR="003A5396" w:rsidRPr="001F4265" w:rsidRDefault="003A5396" w:rsidP="00F16E23">
            <w:pPr>
              <w:pStyle w:val="TableText"/>
              <w:spacing w:before="40" w:after="40"/>
              <w:jc w:val="right"/>
            </w:pPr>
            <w:r w:rsidRPr="001F4265">
              <w:rPr>
                <w:rFonts w:eastAsia="Calibri"/>
              </w:rPr>
              <w:t>±50</w:t>
            </w:r>
          </w:p>
        </w:tc>
      </w:tr>
    </w:tbl>
    <w:p w14:paraId="017CABAB" w14:textId="77777777" w:rsidR="003A5396" w:rsidRPr="001F4265" w:rsidRDefault="003A5396" w:rsidP="003A5396">
      <w:pPr>
        <w:pStyle w:val="Heading4"/>
        <w:spacing w:before="440"/>
      </w:pPr>
      <w:r w:rsidRPr="001F4265">
        <w:t>Time-series consistency</w:t>
      </w:r>
    </w:p>
    <w:p w14:paraId="26D26171" w14:textId="77777777" w:rsidR="003A5396" w:rsidRPr="001F4265" w:rsidRDefault="003A5396" w:rsidP="003A5396">
      <w:pPr>
        <w:pStyle w:val="BodyText"/>
      </w:pPr>
      <w:r w:rsidRPr="001F4265">
        <w:t>The implied emission factors for PFC emissions from aluminium production fluctuated over the time series between 1990 and 1998. The introduction of monitoring at the aluminium smelter in 1993 contributed to process and management improvements that reduced the frequency and duration of anode effects. This improvement process continued until about 1998. Since that time, emissions have been lower and relatively stable, due to the much better control of anode effects (see table 4.4.3).</w:t>
      </w:r>
    </w:p>
    <w:p w14:paraId="6FF0E6DE" w14:textId="77777777" w:rsidR="003A5396" w:rsidRPr="001F4265" w:rsidRDefault="003A5396" w:rsidP="003A5396">
      <w:pPr>
        <w:pStyle w:val="Table"/>
      </w:pPr>
      <w:bookmarkStart w:id="505" w:name="_Toc226668977"/>
      <w:r w:rsidRPr="001F4265">
        <w:t xml:space="preserve">Table 4.4.3 </w:t>
      </w:r>
      <w:r w:rsidRPr="001F4265">
        <w:tab/>
        <w:t>Explanation of variations in New Zealand’s aluminium emissions</w:t>
      </w:r>
      <w:bookmarkEnd w:id="505"/>
    </w:p>
    <w:tbl>
      <w:tblPr>
        <w:tblW w:w="8494" w:type="dxa"/>
        <w:tblBorders>
          <w:top w:val="single" w:sz="4" w:space="0" w:color="1C556C" w:themeColor="accent1"/>
          <w:bottom w:val="single" w:sz="4" w:space="0" w:color="1C556C" w:themeColor="accent1"/>
          <w:insideH w:val="single" w:sz="4" w:space="0" w:color="1C556C" w:themeColor="accent1"/>
        </w:tblBorders>
        <w:tblLook w:val="0420" w:firstRow="1" w:lastRow="0" w:firstColumn="0" w:lastColumn="0" w:noHBand="0" w:noVBand="1"/>
      </w:tblPr>
      <w:tblGrid>
        <w:gridCol w:w="3261"/>
        <w:gridCol w:w="5233"/>
      </w:tblGrid>
      <w:tr w:rsidR="003A5396" w:rsidRPr="001F4265" w14:paraId="2738B343" w14:textId="77777777" w:rsidTr="00F16E23">
        <w:trPr>
          <w:tblHeader/>
        </w:trPr>
        <w:tc>
          <w:tcPr>
            <w:tcW w:w="3261" w:type="dxa"/>
            <w:shd w:val="clear" w:color="auto" w:fill="1C556C" w:themeFill="accent1"/>
            <w:tcMar>
              <w:top w:w="0" w:type="dxa"/>
              <w:left w:w="85" w:type="dxa"/>
              <w:bottom w:w="0" w:type="dxa"/>
              <w:right w:w="85" w:type="dxa"/>
            </w:tcMar>
          </w:tcPr>
          <w:p w14:paraId="07D5CE8C" w14:textId="77777777" w:rsidR="003A5396" w:rsidRPr="001F4265" w:rsidRDefault="003A5396" w:rsidP="00D4638E">
            <w:pPr>
              <w:pStyle w:val="TableTextBold"/>
              <w:keepNext/>
              <w:spacing w:before="40" w:after="40"/>
              <w:rPr>
                <w:noProof w:val="0"/>
                <w:color w:val="FFFFFF" w:themeColor="background1"/>
              </w:rPr>
            </w:pPr>
            <w:r w:rsidRPr="001F4265">
              <w:rPr>
                <w:rFonts w:eastAsia="Calibri"/>
                <w:noProof w:val="0"/>
                <w:color w:val="FFFFFF" w:themeColor="background1"/>
              </w:rPr>
              <w:t>Variation in emissions</w:t>
            </w:r>
          </w:p>
        </w:tc>
        <w:tc>
          <w:tcPr>
            <w:tcW w:w="5233" w:type="dxa"/>
            <w:shd w:val="clear" w:color="auto" w:fill="1C556C" w:themeFill="accent1"/>
            <w:tcMar>
              <w:top w:w="0" w:type="dxa"/>
              <w:left w:w="85" w:type="dxa"/>
              <w:bottom w:w="0" w:type="dxa"/>
              <w:right w:w="85" w:type="dxa"/>
            </w:tcMar>
          </w:tcPr>
          <w:p w14:paraId="30617E58" w14:textId="77777777" w:rsidR="003A5396" w:rsidRPr="001F4265" w:rsidRDefault="003A5396" w:rsidP="00D4638E">
            <w:pPr>
              <w:pStyle w:val="TableTextBold"/>
              <w:keepNext/>
              <w:spacing w:before="40" w:after="40"/>
              <w:rPr>
                <w:noProof w:val="0"/>
                <w:color w:val="FFFFFF" w:themeColor="background1"/>
              </w:rPr>
            </w:pPr>
            <w:r w:rsidRPr="001F4265">
              <w:rPr>
                <w:rFonts w:eastAsia="Calibri"/>
                <w:noProof w:val="0"/>
                <w:color w:val="FFFFFF" w:themeColor="background1"/>
              </w:rPr>
              <w:t>Reason for variation</w:t>
            </w:r>
          </w:p>
        </w:tc>
      </w:tr>
      <w:tr w:rsidR="003A5396" w:rsidRPr="001F4265" w14:paraId="0FACA564" w14:textId="77777777" w:rsidTr="00F16E23">
        <w:tc>
          <w:tcPr>
            <w:tcW w:w="3261" w:type="dxa"/>
            <w:shd w:val="clear" w:color="auto" w:fill="FFFFFF" w:themeFill="background1"/>
            <w:tcMar>
              <w:top w:w="0" w:type="dxa"/>
              <w:left w:w="85" w:type="dxa"/>
              <w:bottom w:w="0" w:type="dxa"/>
              <w:right w:w="85" w:type="dxa"/>
            </w:tcMar>
          </w:tcPr>
          <w:p w14:paraId="4541DB25" w14:textId="77777777" w:rsidR="003A5396" w:rsidRPr="001F4265" w:rsidRDefault="003A5396" w:rsidP="00D4638E">
            <w:pPr>
              <w:pStyle w:val="TableText"/>
              <w:keepNext/>
              <w:spacing w:before="40" w:after="40"/>
            </w:pPr>
            <w:r w:rsidRPr="001F4265">
              <w:rPr>
                <w:rFonts w:eastAsia="Calibri"/>
              </w:rPr>
              <w:t>Increase in CO</w:t>
            </w:r>
            <w:r w:rsidRPr="001F4265">
              <w:rPr>
                <w:rFonts w:eastAsia="Calibri"/>
                <w:vertAlign w:val="subscript"/>
              </w:rPr>
              <w:t>2</w:t>
            </w:r>
            <w:r w:rsidRPr="001F4265">
              <w:rPr>
                <w:rFonts w:eastAsia="Calibri"/>
              </w:rPr>
              <w:t xml:space="preserve"> and PFC emissions in 1996</w:t>
            </w:r>
          </w:p>
        </w:tc>
        <w:tc>
          <w:tcPr>
            <w:tcW w:w="5233" w:type="dxa"/>
            <w:shd w:val="clear" w:color="auto" w:fill="FFFFFF" w:themeFill="background1"/>
            <w:tcMar>
              <w:top w:w="0" w:type="dxa"/>
              <w:left w:w="85" w:type="dxa"/>
              <w:bottom w:w="0" w:type="dxa"/>
              <w:right w:w="85" w:type="dxa"/>
            </w:tcMar>
          </w:tcPr>
          <w:p w14:paraId="0A80F110" w14:textId="77777777" w:rsidR="003A5396" w:rsidRPr="001F4265" w:rsidRDefault="003A5396" w:rsidP="00D4638E">
            <w:pPr>
              <w:pStyle w:val="TableText"/>
              <w:keepNext/>
              <w:spacing w:before="40" w:after="40"/>
            </w:pPr>
            <w:r w:rsidRPr="001F4265">
              <w:rPr>
                <w:rFonts w:eastAsia="Calibri"/>
                <w:color w:val="000000" w:themeColor="text1"/>
              </w:rPr>
              <w:t>Commissioning of Line 4 cells.</w:t>
            </w:r>
          </w:p>
        </w:tc>
      </w:tr>
      <w:tr w:rsidR="003A5396" w:rsidRPr="001F4265" w14:paraId="65E088AF" w14:textId="77777777" w:rsidTr="00F16E23">
        <w:tc>
          <w:tcPr>
            <w:tcW w:w="3261" w:type="dxa"/>
            <w:shd w:val="clear" w:color="auto" w:fill="FFFFFF" w:themeFill="background1"/>
            <w:tcMar>
              <w:top w:w="0" w:type="dxa"/>
              <w:left w:w="85" w:type="dxa"/>
              <w:bottom w:w="0" w:type="dxa"/>
              <w:right w:w="85" w:type="dxa"/>
            </w:tcMar>
          </w:tcPr>
          <w:p w14:paraId="6D51B81B" w14:textId="77777777" w:rsidR="003A5396" w:rsidRPr="001F4265" w:rsidRDefault="003A5396" w:rsidP="00F16E23">
            <w:pPr>
              <w:pStyle w:val="TableText"/>
              <w:spacing w:before="40" w:after="40"/>
            </w:pPr>
            <w:r w:rsidRPr="001F4265">
              <w:rPr>
                <w:rFonts w:eastAsia="Calibri"/>
              </w:rPr>
              <w:t>Decrease in CO</w:t>
            </w:r>
            <w:r w:rsidRPr="001F4265">
              <w:rPr>
                <w:rFonts w:eastAsia="Calibri"/>
                <w:vertAlign w:val="subscript"/>
              </w:rPr>
              <w:t>2</w:t>
            </w:r>
            <w:r w:rsidRPr="001F4265">
              <w:rPr>
                <w:rFonts w:eastAsia="Calibri"/>
              </w:rPr>
              <w:t xml:space="preserve"> emissions in 1995</w:t>
            </w:r>
          </w:p>
        </w:tc>
        <w:tc>
          <w:tcPr>
            <w:tcW w:w="5233" w:type="dxa"/>
            <w:shd w:val="clear" w:color="auto" w:fill="FFFFFF" w:themeFill="background1"/>
            <w:tcMar>
              <w:top w:w="0" w:type="dxa"/>
              <w:left w:w="85" w:type="dxa"/>
              <w:bottom w:w="0" w:type="dxa"/>
              <w:right w:w="85" w:type="dxa"/>
            </w:tcMar>
          </w:tcPr>
          <w:p w14:paraId="7310C849" w14:textId="77777777" w:rsidR="003A5396" w:rsidRPr="001F4265" w:rsidRDefault="003A5396" w:rsidP="00F16E23">
            <w:pPr>
              <w:pStyle w:val="TableText"/>
              <w:spacing w:before="40" w:after="40"/>
            </w:pPr>
            <w:r w:rsidRPr="001F4265">
              <w:rPr>
                <w:rFonts w:eastAsia="Calibri"/>
                <w:color w:val="000000" w:themeColor="text1"/>
              </w:rPr>
              <w:t>Good anode performance, compared with 1994 and 1996.</w:t>
            </w:r>
          </w:p>
        </w:tc>
      </w:tr>
      <w:tr w:rsidR="003A5396" w:rsidRPr="001F4265" w14:paraId="03D71DB7" w14:textId="77777777" w:rsidTr="00F16E23">
        <w:tc>
          <w:tcPr>
            <w:tcW w:w="3261" w:type="dxa"/>
            <w:shd w:val="clear" w:color="auto" w:fill="FFFFFF" w:themeFill="background1"/>
            <w:tcMar>
              <w:top w:w="0" w:type="dxa"/>
              <w:left w:w="85" w:type="dxa"/>
              <w:bottom w:w="0" w:type="dxa"/>
              <w:right w:w="85" w:type="dxa"/>
            </w:tcMar>
          </w:tcPr>
          <w:p w14:paraId="71E89EA0" w14:textId="77777777" w:rsidR="003A5396" w:rsidRPr="001F4265" w:rsidRDefault="003A5396" w:rsidP="00F16E23">
            <w:pPr>
              <w:pStyle w:val="TableText"/>
              <w:spacing w:before="40" w:after="40"/>
            </w:pPr>
            <w:r w:rsidRPr="001F4265">
              <w:rPr>
                <w:rFonts w:eastAsia="Calibri"/>
              </w:rPr>
              <w:t>Decrease in CO</w:t>
            </w:r>
            <w:r w:rsidRPr="001F4265">
              <w:rPr>
                <w:rFonts w:eastAsia="Calibri"/>
                <w:vertAlign w:val="subscript"/>
              </w:rPr>
              <w:t>2</w:t>
            </w:r>
            <w:r w:rsidRPr="001F4265">
              <w:rPr>
                <w:rFonts w:eastAsia="Calibri"/>
              </w:rPr>
              <w:t xml:space="preserve"> emissions in 1998</w:t>
            </w:r>
          </w:p>
        </w:tc>
        <w:tc>
          <w:tcPr>
            <w:tcW w:w="5233" w:type="dxa"/>
            <w:shd w:val="clear" w:color="auto" w:fill="FFFFFF" w:themeFill="background1"/>
            <w:tcMar>
              <w:top w:w="0" w:type="dxa"/>
              <w:left w:w="85" w:type="dxa"/>
              <w:bottom w:w="0" w:type="dxa"/>
              <w:right w:w="85" w:type="dxa"/>
            </w:tcMar>
          </w:tcPr>
          <w:p w14:paraId="041A6667" w14:textId="77777777" w:rsidR="003A5396" w:rsidRPr="001F4265" w:rsidRDefault="003A5396" w:rsidP="00F16E23">
            <w:pPr>
              <w:pStyle w:val="TableText"/>
              <w:spacing w:before="40" w:after="40"/>
            </w:pPr>
            <w:r w:rsidRPr="001F4265">
              <w:rPr>
                <w:rFonts w:eastAsia="Calibri"/>
                <w:color w:val="000000" w:themeColor="text1"/>
              </w:rPr>
              <w:t>Good anode performance.</w:t>
            </w:r>
          </w:p>
        </w:tc>
      </w:tr>
      <w:tr w:rsidR="003A5396" w:rsidRPr="001F4265" w14:paraId="4402E43D" w14:textId="77777777" w:rsidTr="00F16E23">
        <w:tc>
          <w:tcPr>
            <w:tcW w:w="3261" w:type="dxa"/>
            <w:shd w:val="clear" w:color="auto" w:fill="FFFFFF" w:themeFill="background1"/>
            <w:tcMar>
              <w:top w:w="0" w:type="dxa"/>
              <w:left w:w="85" w:type="dxa"/>
              <w:bottom w:w="0" w:type="dxa"/>
              <w:right w:w="85" w:type="dxa"/>
            </w:tcMar>
          </w:tcPr>
          <w:p w14:paraId="6E9BB3F8" w14:textId="77777777" w:rsidR="003A5396" w:rsidRPr="001F4265" w:rsidRDefault="003A5396" w:rsidP="00F16E23">
            <w:pPr>
              <w:pStyle w:val="TableText"/>
              <w:spacing w:before="40" w:after="40"/>
            </w:pPr>
            <w:r w:rsidRPr="001F4265">
              <w:rPr>
                <w:rFonts w:eastAsia="Calibri"/>
              </w:rPr>
              <w:t>Decrease in CO</w:t>
            </w:r>
            <w:r w:rsidRPr="001F4265">
              <w:rPr>
                <w:rFonts w:eastAsia="Calibri"/>
                <w:vertAlign w:val="subscript"/>
              </w:rPr>
              <w:t>2</w:t>
            </w:r>
            <w:r w:rsidRPr="001F4265">
              <w:rPr>
                <w:rFonts w:eastAsia="Calibri"/>
              </w:rPr>
              <w:t xml:space="preserve"> emissions in 2001, 2003 and 2006</w:t>
            </w:r>
          </w:p>
        </w:tc>
        <w:tc>
          <w:tcPr>
            <w:tcW w:w="5233" w:type="dxa"/>
            <w:shd w:val="clear" w:color="auto" w:fill="FFFFFF" w:themeFill="background1"/>
            <w:tcMar>
              <w:top w:w="0" w:type="dxa"/>
              <w:left w:w="85" w:type="dxa"/>
              <w:bottom w:w="0" w:type="dxa"/>
              <w:right w:w="85" w:type="dxa"/>
            </w:tcMar>
          </w:tcPr>
          <w:p w14:paraId="66541DAA" w14:textId="77777777" w:rsidR="003A5396" w:rsidRPr="001F4265" w:rsidRDefault="003A5396" w:rsidP="00F16E23">
            <w:pPr>
              <w:pStyle w:val="TableText"/>
              <w:spacing w:before="40" w:after="40"/>
            </w:pPr>
            <w:r w:rsidRPr="001F4265">
              <w:rPr>
                <w:rFonts w:eastAsia="Calibri"/>
                <w:color w:val="000000" w:themeColor="text1"/>
              </w:rPr>
              <w:t>Fewer cells operating from reduced aluminium production due to reduced electricity supply.</w:t>
            </w:r>
          </w:p>
        </w:tc>
      </w:tr>
      <w:tr w:rsidR="003A5396" w:rsidRPr="001F4265" w14:paraId="35160746" w14:textId="77777777" w:rsidTr="00F16E23">
        <w:tc>
          <w:tcPr>
            <w:tcW w:w="3261" w:type="dxa"/>
            <w:shd w:val="clear" w:color="auto" w:fill="FFFFFF" w:themeFill="background1"/>
            <w:tcMar>
              <w:top w:w="0" w:type="dxa"/>
              <w:left w:w="85" w:type="dxa"/>
              <w:bottom w:w="0" w:type="dxa"/>
              <w:right w:w="85" w:type="dxa"/>
            </w:tcMar>
          </w:tcPr>
          <w:p w14:paraId="3DFADE10" w14:textId="77777777" w:rsidR="003A5396" w:rsidRPr="001F4265" w:rsidRDefault="003A5396" w:rsidP="00F16E23">
            <w:pPr>
              <w:pStyle w:val="TableText"/>
              <w:spacing w:before="40" w:after="40"/>
            </w:pPr>
          </w:p>
        </w:tc>
        <w:tc>
          <w:tcPr>
            <w:tcW w:w="5233" w:type="dxa"/>
            <w:shd w:val="clear" w:color="auto" w:fill="FFFFFF" w:themeFill="background1"/>
            <w:tcMar>
              <w:top w:w="0" w:type="dxa"/>
              <w:left w:w="85" w:type="dxa"/>
              <w:bottom w:w="0" w:type="dxa"/>
              <w:right w:w="85" w:type="dxa"/>
            </w:tcMar>
          </w:tcPr>
          <w:p w14:paraId="5C25E6D9" w14:textId="77777777" w:rsidR="003A5396" w:rsidRPr="001F4265" w:rsidRDefault="003A5396" w:rsidP="00F16E23">
            <w:pPr>
              <w:pStyle w:val="TableText"/>
              <w:spacing w:before="40" w:after="40"/>
            </w:pPr>
            <w:r w:rsidRPr="001F4265">
              <w:rPr>
                <w:rFonts w:eastAsia="Calibri"/>
                <w:color w:val="000000" w:themeColor="text1"/>
              </w:rPr>
              <w:t>Good anode performance contributed in 2001.</w:t>
            </w:r>
          </w:p>
        </w:tc>
      </w:tr>
      <w:tr w:rsidR="003A5396" w:rsidRPr="001F4265" w14:paraId="351872F1" w14:textId="77777777" w:rsidTr="00F16E23">
        <w:tc>
          <w:tcPr>
            <w:tcW w:w="3261" w:type="dxa"/>
            <w:shd w:val="clear" w:color="auto" w:fill="FFFFFF" w:themeFill="background1"/>
            <w:tcMar>
              <w:top w:w="0" w:type="dxa"/>
              <w:left w:w="85" w:type="dxa"/>
              <w:bottom w:w="0" w:type="dxa"/>
              <w:right w:w="85" w:type="dxa"/>
            </w:tcMar>
          </w:tcPr>
          <w:p w14:paraId="2921C63F" w14:textId="77777777" w:rsidR="003A5396" w:rsidRPr="001F4265" w:rsidRDefault="003A5396" w:rsidP="00F16E23">
            <w:pPr>
              <w:pStyle w:val="TableText"/>
              <w:spacing w:before="40" w:after="40"/>
            </w:pPr>
            <w:r w:rsidRPr="001F4265">
              <w:rPr>
                <w:rFonts w:eastAsia="Calibri"/>
              </w:rPr>
              <w:t>Decrease in CO</w:t>
            </w:r>
            <w:r w:rsidRPr="001F4265">
              <w:rPr>
                <w:rFonts w:eastAsia="Calibri"/>
                <w:vertAlign w:val="subscript"/>
              </w:rPr>
              <w:t>2</w:t>
            </w:r>
            <w:r w:rsidRPr="001F4265">
              <w:rPr>
                <w:rFonts w:eastAsia="Calibri"/>
              </w:rPr>
              <w:t xml:space="preserve"> emissions in 1996</w:t>
            </w:r>
          </w:p>
        </w:tc>
        <w:tc>
          <w:tcPr>
            <w:tcW w:w="5233" w:type="dxa"/>
            <w:shd w:val="clear" w:color="auto" w:fill="FFFFFF" w:themeFill="background1"/>
            <w:tcMar>
              <w:top w:w="0" w:type="dxa"/>
              <w:left w:w="85" w:type="dxa"/>
              <w:bottom w:w="0" w:type="dxa"/>
              <w:right w:w="85" w:type="dxa"/>
            </w:tcMar>
          </w:tcPr>
          <w:p w14:paraId="0FBF331C" w14:textId="77777777" w:rsidR="003A5396" w:rsidRPr="001F4265" w:rsidRDefault="003A5396" w:rsidP="00F16E23">
            <w:pPr>
              <w:pStyle w:val="TableText"/>
              <w:spacing w:before="40" w:after="40"/>
            </w:pPr>
            <w:r w:rsidRPr="001F4265">
              <w:rPr>
                <w:rFonts w:eastAsia="Calibri"/>
                <w:color w:val="000000" w:themeColor="text1"/>
              </w:rPr>
              <w:t>All cells operating, including introduction of additional cells.</w:t>
            </w:r>
          </w:p>
        </w:tc>
      </w:tr>
      <w:tr w:rsidR="003A5396" w:rsidRPr="001F4265" w14:paraId="5E655BE0" w14:textId="77777777" w:rsidTr="00F16E23">
        <w:tc>
          <w:tcPr>
            <w:tcW w:w="3261" w:type="dxa"/>
            <w:shd w:val="clear" w:color="auto" w:fill="FFFFFF" w:themeFill="background1"/>
            <w:tcMar>
              <w:top w:w="0" w:type="dxa"/>
              <w:left w:w="85" w:type="dxa"/>
              <w:bottom w:w="0" w:type="dxa"/>
              <w:right w:w="85" w:type="dxa"/>
            </w:tcMar>
          </w:tcPr>
          <w:p w14:paraId="05FE631E" w14:textId="77777777" w:rsidR="003A5396" w:rsidRPr="001F4265" w:rsidRDefault="003A5396" w:rsidP="00F16E23">
            <w:pPr>
              <w:pStyle w:val="TableText"/>
              <w:spacing w:before="40" w:after="40"/>
            </w:pPr>
          </w:p>
        </w:tc>
        <w:tc>
          <w:tcPr>
            <w:tcW w:w="5233" w:type="dxa"/>
            <w:shd w:val="clear" w:color="auto" w:fill="FFFFFF" w:themeFill="background1"/>
            <w:tcMar>
              <w:top w:w="0" w:type="dxa"/>
              <w:left w:w="85" w:type="dxa"/>
              <w:bottom w:w="0" w:type="dxa"/>
              <w:right w:w="85" w:type="dxa"/>
            </w:tcMar>
          </w:tcPr>
          <w:p w14:paraId="0B2D2807" w14:textId="77777777" w:rsidR="003A5396" w:rsidRPr="001F4265" w:rsidRDefault="003A5396" w:rsidP="00F16E23">
            <w:pPr>
              <w:pStyle w:val="TableText"/>
              <w:spacing w:before="40" w:after="40"/>
            </w:pPr>
            <w:r w:rsidRPr="001F4265">
              <w:rPr>
                <w:rFonts w:eastAsia="Calibri"/>
                <w:color w:val="000000" w:themeColor="text1"/>
              </w:rPr>
              <w:t>Increasing aluminium production rate from the cells.</w:t>
            </w:r>
          </w:p>
        </w:tc>
      </w:tr>
      <w:tr w:rsidR="003A5396" w:rsidRPr="001F4265" w14:paraId="50899194" w14:textId="77777777" w:rsidTr="00F16E23">
        <w:tc>
          <w:tcPr>
            <w:tcW w:w="3261" w:type="dxa"/>
            <w:shd w:val="clear" w:color="auto" w:fill="FFFFFF" w:themeFill="background1"/>
            <w:tcMar>
              <w:top w:w="0" w:type="dxa"/>
              <w:left w:w="85" w:type="dxa"/>
              <w:bottom w:w="0" w:type="dxa"/>
              <w:right w:w="85" w:type="dxa"/>
            </w:tcMar>
          </w:tcPr>
          <w:p w14:paraId="71827737" w14:textId="77777777" w:rsidR="003A5396" w:rsidRPr="001F4265" w:rsidRDefault="003A5396" w:rsidP="00F16E23">
            <w:pPr>
              <w:pStyle w:val="TableText"/>
              <w:spacing w:before="40" w:after="40"/>
            </w:pPr>
            <w:r w:rsidRPr="001F4265">
              <w:rPr>
                <w:rFonts w:eastAsia="Calibri"/>
              </w:rPr>
              <w:t>Decrease in PFC emissions in 1995</w:t>
            </w:r>
          </w:p>
        </w:tc>
        <w:tc>
          <w:tcPr>
            <w:tcW w:w="5233" w:type="dxa"/>
            <w:shd w:val="clear" w:color="auto" w:fill="FFFFFF" w:themeFill="background1"/>
            <w:tcMar>
              <w:top w:w="0" w:type="dxa"/>
              <w:left w:w="85" w:type="dxa"/>
              <w:bottom w:w="0" w:type="dxa"/>
              <w:right w:w="85" w:type="dxa"/>
            </w:tcMar>
          </w:tcPr>
          <w:p w14:paraId="352466D4" w14:textId="77777777" w:rsidR="003A5396" w:rsidRPr="001F4265" w:rsidRDefault="003A5396" w:rsidP="00F16E23">
            <w:pPr>
              <w:pStyle w:val="TableText"/>
              <w:spacing w:before="40" w:after="40"/>
            </w:pPr>
            <w:r w:rsidRPr="001F4265">
              <w:rPr>
                <w:rFonts w:eastAsia="Calibri"/>
                <w:color w:val="000000" w:themeColor="text1"/>
              </w:rPr>
              <w:t>Reduced anode frequencies.</w:t>
            </w:r>
          </w:p>
        </w:tc>
      </w:tr>
      <w:tr w:rsidR="003A5396" w:rsidRPr="001F4265" w14:paraId="03E7AA13" w14:textId="77777777" w:rsidTr="00F16E23">
        <w:tc>
          <w:tcPr>
            <w:tcW w:w="3261" w:type="dxa"/>
            <w:shd w:val="clear" w:color="auto" w:fill="FFFFFF" w:themeFill="background1"/>
            <w:tcMar>
              <w:top w:w="0" w:type="dxa"/>
              <w:left w:w="85" w:type="dxa"/>
              <w:bottom w:w="0" w:type="dxa"/>
              <w:right w:w="85" w:type="dxa"/>
            </w:tcMar>
          </w:tcPr>
          <w:p w14:paraId="48A2CE4E" w14:textId="77777777" w:rsidR="003A5396" w:rsidRPr="001F4265" w:rsidRDefault="003A5396" w:rsidP="00F16E23">
            <w:pPr>
              <w:pStyle w:val="TableText"/>
              <w:spacing w:before="40" w:after="40"/>
            </w:pPr>
          </w:p>
        </w:tc>
        <w:tc>
          <w:tcPr>
            <w:tcW w:w="5233" w:type="dxa"/>
            <w:shd w:val="clear" w:color="auto" w:fill="FFFFFF" w:themeFill="background1"/>
            <w:tcMar>
              <w:top w:w="0" w:type="dxa"/>
              <w:left w:w="85" w:type="dxa"/>
              <w:bottom w:w="0" w:type="dxa"/>
              <w:right w:w="85" w:type="dxa"/>
            </w:tcMar>
          </w:tcPr>
          <w:p w14:paraId="28D163A0" w14:textId="77777777" w:rsidR="003A5396" w:rsidRPr="001F4265" w:rsidRDefault="003A5396" w:rsidP="00F16E23">
            <w:pPr>
              <w:pStyle w:val="TableText"/>
              <w:spacing w:before="40" w:after="40"/>
            </w:pPr>
            <w:r w:rsidRPr="001F4265">
              <w:rPr>
                <w:rFonts w:eastAsia="Calibri"/>
                <w:color w:val="000000" w:themeColor="text1"/>
              </w:rPr>
              <w:t>The implementation of the change control strategy to all reduction cells.</w:t>
            </w:r>
          </w:p>
        </w:tc>
      </w:tr>
      <w:tr w:rsidR="003A5396" w:rsidRPr="001F4265" w14:paraId="35FCA169" w14:textId="77777777" w:rsidTr="00F16E23">
        <w:tc>
          <w:tcPr>
            <w:tcW w:w="3261" w:type="dxa"/>
            <w:shd w:val="clear" w:color="auto" w:fill="FFFFFF" w:themeFill="background1"/>
            <w:tcMar>
              <w:top w:w="0" w:type="dxa"/>
              <w:left w:w="85" w:type="dxa"/>
              <w:bottom w:w="0" w:type="dxa"/>
              <w:right w:w="85" w:type="dxa"/>
            </w:tcMar>
          </w:tcPr>
          <w:p w14:paraId="6974502D" w14:textId="77777777" w:rsidR="003A5396" w:rsidRPr="001F4265" w:rsidRDefault="003A5396" w:rsidP="00F16E23">
            <w:pPr>
              <w:pStyle w:val="TableText"/>
              <w:spacing w:before="40" w:after="40"/>
            </w:pPr>
          </w:p>
        </w:tc>
        <w:tc>
          <w:tcPr>
            <w:tcW w:w="5233" w:type="dxa"/>
            <w:shd w:val="clear" w:color="auto" w:fill="FFFFFF" w:themeFill="background1"/>
            <w:tcMar>
              <w:top w:w="0" w:type="dxa"/>
              <w:left w:w="85" w:type="dxa"/>
              <w:bottom w:w="0" w:type="dxa"/>
              <w:right w:w="85" w:type="dxa"/>
            </w:tcMar>
          </w:tcPr>
          <w:p w14:paraId="2E34ADCF" w14:textId="77777777" w:rsidR="003A5396" w:rsidRPr="001F4265" w:rsidRDefault="003A5396" w:rsidP="00F16E23">
            <w:pPr>
              <w:pStyle w:val="TableText"/>
              <w:spacing w:before="40" w:after="40"/>
            </w:pPr>
            <w:r w:rsidRPr="001F4265">
              <w:rPr>
                <w:rFonts w:eastAsia="Calibri"/>
                <w:color w:val="000000" w:themeColor="text1"/>
              </w:rPr>
              <w:t>Repairs made to cells exerting higher frequencies.</w:t>
            </w:r>
          </w:p>
        </w:tc>
      </w:tr>
      <w:tr w:rsidR="003A5396" w:rsidRPr="001F4265" w14:paraId="181C0690" w14:textId="77777777" w:rsidTr="00F16E23">
        <w:tc>
          <w:tcPr>
            <w:tcW w:w="3261" w:type="dxa"/>
            <w:shd w:val="clear" w:color="auto" w:fill="FFFFFF" w:themeFill="background1"/>
            <w:tcMar>
              <w:top w:w="0" w:type="dxa"/>
              <w:left w:w="85" w:type="dxa"/>
              <w:bottom w:w="0" w:type="dxa"/>
              <w:right w:w="85" w:type="dxa"/>
            </w:tcMar>
          </w:tcPr>
          <w:p w14:paraId="37C9105D" w14:textId="77777777" w:rsidR="003A5396" w:rsidRPr="001F4265" w:rsidRDefault="003A5396" w:rsidP="00F16E23">
            <w:pPr>
              <w:pStyle w:val="TableText"/>
              <w:spacing w:before="40" w:after="40"/>
            </w:pPr>
            <w:r w:rsidRPr="001F4265">
              <w:rPr>
                <w:rFonts w:eastAsia="Calibri"/>
              </w:rPr>
              <w:t>Perfluorocarbon emissions remained high in 1997</w:t>
            </w:r>
          </w:p>
        </w:tc>
        <w:tc>
          <w:tcPr>
            <w:tcW w:w="5233" w:type="dxa"/>
            <w:shd w:val="clear" w:color="auto" w:fill="FFFFFF" w:themeFill="background1"/>
            <w:tcMar>
              <w:top w:w="0" w:type="dxa"/>
              <w:left w:w="85" w:type="dxa"/>
              <w:bottom w:w="0" w:type="dxa"/>
              <w:right w:w="85" w:type="dxa"/>
            </w:tcMar>
          </w:tcPr>
          <w:p w14:paraId="378583BF" w14:textId="77777777" w:rsidR="003A5396" w:rsidRPr="001F4265" w:rsidRDefault="003A5396" w:rsidP="00F16E23">
            <w:pPr>
              <w:pStyle w:val="TableText"/>
              <w:spacing w:before="40" w:after="40"/>
            </w:pPr>
            <w:r w:rsidRPr="001F4265">
              <w:rPr>
                <w:rFonts w:eastAsia="Calibri"/>
                <w:color w:val="000000" w:themeColor="text1"/>
              </w:rPr>
              <w:t>Instability over the whole plant as the operating parameters were tuned for the material coming from the newly commissioned dry scrubbing equipment (removes the fluoride and particulate from the main stack discharge).</w:t>
            </w:r>
          </w:p>
        </w:tc>
      </w:tr>
      <w:tr w:rsidR="003A5396" w:rsidRPr="001F4265" w14:paraId="29C07294" w14:textId="77777777" w:rsidTr="00F16E23">
        <w:tc>
          <w:tcPr>
            <w:tcW w:w="3261" w:type="dxa"/>
            <w:shd w:val="clear" w:color="auto" w:fill="FFFFFF" w:themeFill="background1"/>
            <w:tcMar>
              <w:top w:w="0" w:type="dxa"/>
              <w:left w:w="85" w:type="dxa"/>
              <w:bottom w:w="0" w:type="dxa"/>
              <w:right w:w="85" w:type="dxa"/>
            </w:tcMar>
          </w:tcPr>
          <w:p w14:paraId="0634836E" w14:textId="77777777" w:rsidR="003A5396" w:rsidRPr="001F4265" w:rsidRDefault="003A5396" w:rsidP="00F16E23">
            <w:pPr>
              <w:pStyle w:val="TableText"/>
              <w:spacing w:before="40" w:after="40"/>
            </w:pPr>
            <w:r w:rsidRPr="001F4265">
              <w:rPr>
                <w:rFonts w:eastAsia="Calibri"/>
              </w:rPr>
              <w:t>Decrease in PFC emissions in 1998</w:t>
            </w:r>
          </w:p>
        </w:tc>
        <w:tc>
          <w:tcPr>
            <w:tcW w:w="5233" w:type="dxa"/>
            <w:shd w:val="clear" w:color="auto" w:fill="FFFFFF" w:themeFill="background1"/>
            <w:tcMar>
              <w:top w:w="0" w:type="dxa"/>
              <w:left w:w="85" w:type="dxa"/>
              <w:bottom w:w="0" w:type="dxa"/>
              <w:right w:w="85" w:type="dxa"/>
            </w:tcMar>
          </w:tcPr>
          <w:p w14:paraId="27A2C085" w14:textId="77777777" w:rsidR="003A5396" w:rsidRPr="001F4265" w:rsidRDefault="003A5396" w:rsidP="00F16E23">
            <w:pPr>
              <w:pStyle w:val="TableText"/>
              <w:spacing w:before="40" w:after="40"/>
            </w:pPr>
            <w:r w:rsidRPr="001F4265">
              <w:rPr>
                <w:rFonts w:eastAsia="Calibri"/>
                <w:color w:val="000000" w:themeColor="text1"/>
              </w:rPr>
              <w:t>Cell operating parameter control from the introduction of modified software. This software has improved the detection of an anode-effect onset and will initiate actions to prevent the anode effect.</w:t>
            </w:r>
          </w:p>
        </w:tc>
      </w:tr>
      <w:tr w:rsidR="003A5396" w:rsidRPr="001F4265" w14:paraId="746CE9FB" w14:textId="77777777" w:rsidTr="00F16E23">
        <w:tc>
          <w:tcPr>
            <w:tcW w:w="3261" w:type="dxa"/>
            <w:shd w:val="clear" w:color="auto" w:fill="FFFFFF" w:themeFill="background1"/>
            <w:tcMar>
              <w:top w:w="0" w:type="dxa"/>
              <w:left w:w="85" w:type="dxa"/>
              <w:bottom w:w="0" w:type="dxa"/>
              <w:right w:w="85" w:type="dxa"/>
            </w:tcMar>
          </w:tcPr>
          <w:p w14:paraId="56F85D73" w14:textId="77777777" w:rsidR="003A5396" w:rsidRPr="001F4265" w:rsidRDefault="003A5396" w:rsidP="00F16E23">
            <w:pPr>
              <w:pStyle w:val="TableText"/>
              <w:spacing w:before="40" w:after="40"/>
            </w:pPr>
            <w:r w:rsidRPr="001F4265">
              <w:rPr>
                <w:rFonts w:eastAsia="Calibri"/>
                <w:color w:val="000000" w:themeColor="text1"/>
              </w:rPr>
              <w:t>Perfluorocarbons emissions remained relatively static in 2001, 2003 and 2006</w:t>
            </w:r>
          </w:p>
        </w:tc>
        <w:tc>
          <w:tcPr>
            <w:tcW w:w="5233" w:type="dxa"/>
            <w:shd w:val="clear" w:color="auto" w:fill="FFFFFF" w:themeFill="background1"/>
            <w:tcMar>
              <w:top w:w="0" w:type="dxa"/>
              <w:left w:w="85" w:type="dxa"/>
              <w:bottom w:w="0" w:type="dxa"/>
              <w:right w:w="85" w:type="dxa"/>
            </w:tcMar>
          </w:tcPr>
          <w:p w14:paraId="1125DBC6" w14:textId="77777777" w:rsidR="003A5396" w:rsidRPr="001F4265" w:rsidRDefault="003A5396" w:rsidP="00F16E23">
            <w:pPr>
              <w:pStyle w:val="TableText"/>
              <w:spacing w:before="40" w:after="40"/>
            </w:pPr>
            <w:r w:rsidRPr="001F4265">
              <w:rPr>
                <w:rFonts w:eastAsia="Calibri"/>
                <w:color w:val="000000" w:themeColor="text1"/>
              </w:rPr>
              <w:t>Increased emissions from restarting the cells.</w:t>
            </w:r>
          </w:p>
        </w:tc>
      </w:tr>
    </w:tbl>
    <w:p w14:paraId="11594516" w14:textId="77777777" w:rsidR="003A5396" w:rsidRPr="001F4265" w:rsidRDefault="003A5396" w:rsidP="003A5396">
      <w:pPr>
        <w:pStyle w:val="BodyText"/>
        <w:spacing w:before="240"/>
      </w:pPr>
      <w:r w:rsidRPr="001F4265">
        <w:t>The activities of lead-acid battery recycling and use of SF</w:t>
      </w:r>
      <w:r w:rsidRPr="001F4265">
        <w:rPr>
          <w:vertAlign w:val="subscript"/>
        </w:rPr>
        <w:t>6</w:t>
      </w:r>
      <w:r w:rsidRPr="001F4265">
        <w:t xml:space="preserve"> in a magnesium foundry ceased during the time series resulting in zero emissions after 1999 and 2015 respectively.</w:t>
      </w:r>
    </w:p>
    <w:p w14:paraId="28BC1D0F" w14:textId="77777777" w:rsidR="003A5396" w:rsidRPr="001F4265" w:rsidRDefault="003A5396" w:rsidP="003A5396">
      <w:pPr>
        <w:pStyle w:val="Heading3"/>
      </w:pPr>
      <w:r w:rsidRPr="001F4265">
        <w:t xml:space="preserve">4.4.4 </w:t>
      </w:r>
      <w:r w:rsidRPr="001F4265">
        <w:tab/>
        <w:t>Category-specific QA/QC and verification</w:t>
      </w:r>
    </w:p>
    <w:p w14:paraId="53B3878A" w14:textId="77777777" w:rsidR="003A5396" w:rsidRPr="001F4265" w:rsidRDefault="003A5396" w:rsidP="003A5396">
      <w:pPr>
        <w:pStyle w:val="BodyText"/>
      </w:pPr>
      <w:r w:rsidRPr="001F4265">
        <w:t xml:space="preserve">The three key categories in the </w:t>
      </w:r>
      <w:r w:rsidRPr="001F4265">
        <w:rPr>
          <w:i/>
        </w:rPr>
        <w:t>Metal industry</w:t>
      </w:r>
      <w:r w:rsidRPr="001F4265">
        <w:t xml:space="preserve"> category are CO</w:t>
      </w:r>
      <w:r w:rsidRPr="001F4265">
        <w:rPr>
          <w:vertAlign w:val="subscript"/>
        </w:rPr>
        <w:t>2</w:t>
      </w:r>
      <w:r w:rsidRPr="001F4265">
        <w:t xml:space="preserve"> emissions from </w:t>
      </w:r>
      <w:r w:rsidRPr="001F4265">
        <w:rPr>
          <w:i/>
        </w:rPr>
        <w:t>Iron and steel production</w:t>
      </w:r>
      <w:r w:rsidRPr="001F4265">
        <w:t xml:space="preserve"> (level and trend assessment), </w:t>
      </w:r>
      <w:r w:rsidRPr="001F4265">
        <w:rPr>
          <w:i/>
        </w:rPr>
        <w:t>Aluminium production</w:t>
      </w:r>
      <w:r w:rsidRPr="001F4265">
        <w:t xml:space="preserve"> (level assessment) and PFCs from </w:t>
      </w:r>
      <w:r w:rsidRPr="001F4265">
        <w:rPr>
          <w:i/>
        </w:rPr>
        <w:t>Aluminium production</w:t>
      </w:r>
      <w:r w:rsidRPr="001F4265">
        <w:t xml:space="preserve"> (trend assessment). The data for all direct emissions in this category underwent Tier 1 quality checks in the preparation of this inventory.</w:t>
      </w:r>
    </w:p>
    <w:p w14:paraId="296390BA" w14:textId="77777777" w:rsidR="003A5396" w:rsidRPr="001F4265" w:rsidRDefault="003A5396" w:rsidP="003A5396">
      <w:pPr>
        <w:pStyle w:val="Heading3"/>
      </w:pPr>
      <w:r w:rsidRPr="001F4265">
        <w:t xml:space="preserve">4.4.5 </w:t>
      </w:r>
      <w:r w:rsidRPr="001F4265">
        <w:tab/>
        <w:t>Category-specific recalculations</w:t>
      </w:r>
    </w:p>
    <w:p w14:paraId="6BB3F002" w14:textId="77777777" w:rsidR="003A5396" w:rsidRPr="001F4265" w:rsidRDefault="003A5396" w:rsidP="003A5396">
      <w:pPr>
        <w:pStyle w:val="BodyText"/>
      </w:pPr>
      <w:r w:rsidRPr="001F4265">
        <w:t>There were no recalculations for this category.</w:t>
      </w:r>
    </w:p>
    <w:p w14:paraId="710B5EA8" w14:textId="77777777" w:rsidR="003A5396" w:rsidRPr="001F4265" w:rsidRDefault="003A5396" w:rsidP="003A5396">
      <w:pPr>
        <w:pStyle w:val="Heading3"/>
        <w:spacing w:before="320"/>
      </w:pPr>
      <w:r w:rsidRPr="001F4265">
        <w:t xml:space="preserve">4.4.6 </w:t>
      </w:r>
      <w:r w:rsidRPr="001F4265">
        <w:tab/>
        <w:t>Category-specific planned improvements</w:t>
      </w:r>
    </w:p>
    <w:p w14:paraId="5C3B3C74" w14:textId="77777777" w:rsidR="003A5396" w:rsidRPr="001F4265" w:rsidRDefault="003A5396" w:rsidP="003A5396">
      <w:pPr>
        <w:pStyle w:val="BodyText"/>
      </w:pPr>
      <w:r w:rsidRPr="001F4265">
        <w:t>There were no planned improvements for this category.</w:t>
      </w:r>
    </w:p>
    <w:p w14:paraId="678B1DDB" w14:textId="77777777" w:rsidR="003A5396" w:rsidRPr="001F4265" w:rsidRDefault="003A5396" w:rsidP="003A5396">
      <w:pPr>
        <w:pStyle w:val="Heading2"/>
        <w:spacing w:before="320"/>
      </w:pPr>
      <w:bookmarkStart w:id="506" w:name="_Toc226460762"/>
      <w:bookmarkStart w:id="507" w:name="Xf829b7d5893da9cb21d5d040b0002c1505c12d8"/>
      <w:bookmarkEnd w:id="491"/>
      <w:r w:rsidRPr="001F4265">
        <w:t xml:space="preserve">4.5 </w:t>
      </w:r>
      <w:r w:rsidRPr="001F4265">
        <w:tab/>
        <w:t>Non-energy products from fuels and solvent use (2.D)</w:t>
      </w:r>
      <w:bookmarkEnd w:id="506"/>
    </w:p>
    <w:p w14:paraId="5F055417" w14:textId="77777777" w:rsidR="003A5396" w:rsidRPr="001F4265" w:rsidRDefault="003A5396" w:rsidP="003A5396">
      <w:pPr>
        <w:pStyle w:val="Heading3"/>
        <w:spacing w:before="240"/>
      </w:pPr>
      <w:r w:rsidRPr="001F4265">
        <w:t xml:space="preserve">4.5.1 </w:t>
      </w:r>
      <w:r w:rsidRPr="001F4265">
        <w:tab/>
        <w:t>Description</w:t>
      </w:r>
    </w:p>
    <w:p w14:paraId="6A77E805" w14:textId="77777777" w:rsidR="003A5396" w:rsidRPr="001F4265" w:rsidRDefault="003A5396" w:rsidP="003A5396">
      <w:pPr>
        <w:pStyle w:val="BodyText"/>
        <w:spacing w:after="100"/>
      </w:pPr>
      <w:r w:rsidRPr="001F4265">
        <w:t xml:space="preserve">In 2024, emissions reported in the </w:t>
      </w:r>
      <w:r w:rsidRPr="001F4265">
        <w:rPr>
          <w:i/>
          <w:iCs/>
        </w:rPr>
        <w:t>Non-energy products from fuels and solvent use</w:t>
      </w:r>
      <w:r w:rsidRPr="001F4265">
        <w:t xml:space="preserve"> category include CO</w:t>
      </w:r>
      <w:r w:rsidRPr="001F4265">
        <w:rPr>
          <w:vertAlign w:val="subscript"/>
        </w:rPr>
        <w:t>2</w:t>
      </w:r>
      <w:r w:rsidRPr="001F4265">
        <w:t xml:space="preserve"> from the use of lubricants and a very small amount from the use of paraffin wax, some of which is likely to be used for candles.</w:t>
      </w:r>
    </w:p>
    <w:p w14:paraId="150CF6B7" w14:textId="77777777" w:rsidR="003A5396" w:rsidRPr="001F4265" w:rsidRDefault="003A5396" w:rsidP="00D4638E">
      <w:pPr>
        <w:pStyle w:val="BodyText"/>
        <w:keepLines/>
        <w:spacing w:after="100"/>
      </w:pPr>
      <w:r w:rsidRPr="001F4265">
        <w:t>In addition, a small amount of CO</w:t>
      </w:r>
      <w:r w:rsidRPr="001F4265">
        <w:rPr>
          <w:vertAlign w:val="subscript"/>
        </w:rPr>
        <w:t>2</w:t>
      </w:r>
      <w:r w:rsidRPr="001F4265">
        <w:t xml:space="preserve"> is reported from the use of urea-based catalysts in diesel exhaust fluid (DEF) for control of NO</w:t>
      </w:r>
      <w:r w:rsidRPr="001F4265">
        <w:rPr>
          <w:vertAlign w:val="subscript"/>
        </w:rPr>
        <w:t>x</w:t>
      </w:r>
      <w:r w:rsidRPr="001F4265">
        <w:t xml:space="preserve"> emissions in diesel engine exhaust gas. These emissions are associated with transport, and the method used is given in volume 2, </w:t>
      </w:r>
      <w:r w:rsidRPr="001F4265">
        <w:rPr>
          <w:i/>
          <w:iCs/>
        </w:rPr>
        <w:t>Energy</w:t>
      </w:r>
      <w:r w:rsidRPr="001F4265">
        <w:t>, of the 2006 IPCC Guidelines (IPCC, 2006a); however, the CRT does not appear to allow for them to be reported under the Energy sector, so they are placed in 2.D.3.</w:t>
      </w:r>
    </w:p>
    <w:p w14:paraId="2D61775D" w14:textId="77777777" w:rsidR="003A5396" w:rsidRPr="001F4265" w:rsidRDefault="003A5396" w:rsidP="003A5396">
      <w:pPr>
        <w:pStyle w:val="BodyText"/>
        <w:spacing w:after="100"/>
      </w:pPr>
      <w:r w:rsidRPr="001F4265">
        <w:t>Some emissions of indirect greenhouse gases (mainly NMVOCs) are estimated and reported from:</w:t>
      </w:r>
    </w:p>
    <w:p w14:paraId="0F2CFD0F" w14:textId="77777777" w:rsidR="003A5396" w:rsidRPr="001F4265" w:rsidRDefault="003A5396" w:rsidP="003A5396">
      <w:pPr>
        <w:pStyle w:val="Bullet"/>
        <w:spacing w:after="100"/>
      </w:pPr>
      <w:r w:rsidRPr="001F4265">
        <w:t>the use of asphalt in road paving and roofing applications</w:t>
      </w:r>
    </w:p>
    <w:p w14:paraId="4BF4ECDC" w14:textId="77777777" w:rsidR="003A5396" w:rsidRPr="001F4265" w:rsidRDefault="003A5396" w:rsidP="003A5396">
      <w:pPr>
        <w:pStyle w:val="Bullet"/>
        <w:spacing w:after="100"/>
      </w:pPr>
      <w:r w:rsidRPr="001F4265">
        <w:t>painting</w:t>
      </w:r>
    </w:p>
    <w:p w14:paraId="0E2F878C" w14:textId="77777777" w:rsidR="003A5396" w:rsidRPr="001F4265" w:rsidRDefault="003A5396" w:rsidP="003A5396">
      <w:pPr>
        <w:pStyle w:val="Bullet"/>
        <w:spacing w:after="100"/>
      </w:pPr>
      <w:r w:rsidRPr="001F4265">
        <w:t>degreasing and dry cleaning</w:t>
      </w:r>
    </w:p>
    <w:p w14:paraId="506FAE3F" w14:textId="77777777" w:rsidR="003A5396" w:rsidRPr="001F4265" w:rsidRDefault="003A5396" w:rsidP="003A5396">
      <w:pPr>
        <w:pStyle w:val="Bullet"/>
        <w:spacing w:after="100"/>
      </w:pPr>
      <w:r w:rsidRPr="001F4265">
        <w:t>use of solvents in printing</w:t>
      </w:r>
    </w:p>
    <w:p w14:paraId="677C7D0D" w14:textId="77777777" w:rsidR="003A5396" w:rsidRPr="001F4265" w:rsidRDefault="003A5396" w:rsidP="003A5396">
      <w:pPr>
        <w:pStyle w:val="Bullet"/>
      </w:pPr>
      <w:r w:rsidRPr="001F4265">
        <w:t>general domestic and commercial use of solvents.</w:t>
      </w:r>
    </w:p>
    <w:p w14:paraId="2DD65795" w14:textId="77777777" w:rsidR="003A5396" w:rsidRPr="001F4265" w:rsidRDefault="003A5396" w:rsidP="003A5396">
      <w:pPr>
        <w:pStyle w:val="BodyText"/>
      </w:pPr>
      <w:r w:rsidRPr="001F4265">
        <w:t xml:space="preserve">In 2024, emissions from the </w:t>
      </w:r>
      <w:r w:rsidRPr="001F4265">
        <w:rPr>
          <w:i/>
          <w:iCs/>
        </w:rPr>
        <w:t>Non-energy products from fuels and solvent use</w:t>
      </w:r>
      <w:r w:rsidRPr="001F4265">
        <w:t xml:space="preserve"> category </w:t>
      </w:r>
      <w:r w:rsidRPr="001F4265" w:rsidDel="007C5FB8">
        <w:t>were</w:t>
      </w:r>
      <w:r w:rsidRPr="001F4265">
        <w:t> 31.2 kt CO</w:t>
      </w:r>
      <w:r w:rsidRPr="001F4265">
        <w:rPr>
          <w:vertAlign w:val="subscript"/>
        </w:rPr>
        <w:t>2</w:t>
      </w:r>
      <w:r w:rsidRPr="001F4265">
        <w:t>e, or 0.8 percent of emissions from the IPPU sector. This is 13.2 kt CO</w:t>
      </w:r>
      <w:r w:rsidRPr="001F4265">
        <w:rPr>
          <w:vertAlign w:val="subscript"/>
        </w:rPr>
        <w:t>2</w:t>
      </w:r>
      <w:r w:rsidRPr="001F4265">
        <w:t>e (73.2 percent) above the 1990 level and 15.4 kt CO</w:t>
      </w:r>
      <w:r w:rsidRPr="001F4265">
        <w:rPr>
          <w:vertAlign w:val="subscript"/>
        </w:rPr>
        <w:t>2</w:t>
      </w:r>
      <w:r w:rsidRPr="001F4265">
        <w:t>e (98.0 percent) above the 2005 level.</w:t>
      </w:r>
    </w:p>
    <w:p w14:paraId="12EAAC46" w14:textId="77777777" w:rsidR="003A5396" w:rsidRPr="001F4265" w:rsidRDefault="003A5396" w:rsidP="003A5396">
      <w:pPr>
        <w:pStyle w:val="BodyText"/>
      </w:pPr>
      <w:r w:rsidRPr="001F4265">
        <w:t>No key categories were identified in this category.</w:t>
      </w:r>
    </w:p>
    <w:p w14:paraId="4FDFB54C" w14:textId="77777777" w:rsidR="003A5396" w:rsidRPr="001F4265" w:rsidRDefault="003A5396" w:rsidP="003A5396">
      <w:pPr>
        <w:pStyle w:val="Heading3"/>
        <w:spacing w:before="320"/>
      </w:pPr>
      <w:r w:rsidRPr="001F4265">
        <w:t xml:space="preserve">4.5.2 </w:t>
      </w:r>
      <w:r w:rsidRPr="001F4265">
        <w:tab/>
        <w:t>Methodological issues</w:t>
      </w:r>
    </w:p>
    <w:p w14:paraId="543B0378" w14:textId="77777777" w:rsidR="003A5396" w:rsidRPr="001F4265" w:rsidRDefault="003A5396" w:rsidP="003A5396">
      <w:pPr>
        <w:pStyle w:val="Heading4"/>
        <w:spacing w:before="180"/>
      </w:pPr>
      <w:r w:rsidRPr="001F4265">
        <w:t>Choice of activity data</w:t>
      </w:r>
    </w:p>
    <w:p w14:paraId="7700EAC8" w14:textId="77777777" w:rsidR="003A5396" w:rsidRPr="001F4265" w:rsidRDefault="003A5396" w:rsidP="003A5396">
      <w:pPr>
        <w:pStyle w:val="Heading5"/>
        <w:spacing w:before="180"/>
      </w:pPr>
      <w:bookmarkStart w:id="508" w:name="lubricant-use-2.d.1"/>
      <w:r w:rsidRPr="001F4265">
        <w:t>Lubricant use (2.D.1)</w:t>
      </w:r>
    </w:p>
    <w:p w14:paraId="793BF2D7" w14:textId="77777777" w:rsidR="003A5396" w:rsidRPr="001F4265" w:rsidRDefault="003A5396" w:rsidP="003A5396">
      <w:pPr>
        <w:pStyle w:val="BodyText"/>
      </w:pPr>
      <w:r w:rsidRPr="001F4265">
        <w:t>Activity data for the years between 2018 and 2024 are provided by MBIE. However, this information is not available for the years before 2018. For earlier years, the activity data have been estimated by assuming that the amount of lubricant used was proportional to the amount of ‘other petroleum products’</w:t>
      </w:r>
      <w:r w:rsidRPr="001F4265">
        <w:rPr>
          <w:rStyle w:val="FootnoteReference"/>
        </w:rPr>
        <w:footnoteReference w:id="19"/>
      </w:r>
      <w:r w:rsidRPr="001F4265">
        <w:t xml:space="preserve"> used in New Zealand in the year.</w:t>
      </w:r>
    </w:p>
    <w:p w14:paraId="0BE0096F" w14:textId="77777777" w:rsidR="003A5396" w:rsidRPr="001F4265" w:rsidRDefault="003A5396" w:rsidP="003A5396">
      <w:pPr>
        <w:pStyle w:val="Heading5"/>
      </w:pPr>
      <w:bookmarkStart w:id="509" w:name="paraffin-wax-use-2.d.2"/>
      <w:bookmarkEnd w:id="508"/>
      <w:r w:rsidRPr="001F4265">
        <w:t>Paraffin wax use (2.D.2)</w:t>
      </w:r>
    </w:p>
    <w:p w14:paraId="2CD6AD62" w14:textId="77777777" w:rsidR="003A5396" w:rsidRPr="001F4265" w:rsidRDefault="003A5396" w:rsidP="003A5396">
      <w:pPr>
        <w:pStyle w:val="BodyText"/>
      </w:pPr>
      <w:r w:rsidRPr="001F4265">
        <w:t>A small amount of paraffin wax is imported into New Zealand. There were no reliable data on import volumes, so the activity data have been estimated from an estimate of the value of imports. This is only available for 2005 to 2011, and the activity data for other years have been assumed to be the same.</w:t>
      </w:r>
    </w:p>
    <w:p w14:paraId="42C65C12" w14:textId="77777777" w:rsidR="003A5396" w:rsidRPr="001F4265" w:rsidRDefault="003A5396" w:rsidP="003A5396">
      <w:pPr>
        <w:pStyle w:val="Heading5"/>
      </w:pPr>
      <w:bookmarkStart w:id="510" w:name="X53dc6432fdb869336adf4e31274caaba582fc1e"/>
      <w:bookmarkEnd w:id="509"/>
      <w:r w:rsidRPr="001F4265">
        <w:t>Use of urea-based catalysts in transport (2.D.3)</w:t>
      </w:r>
    </w:p>
    <w:p w14:paraId="4EC705B7" w14:textId="77777777" w:rsidR="003A5396" w:rsidRPr="001F4265" w:rsidRDefault="003A5396" w:rsidP="003A5396">
      <w:pPr>
        <w:pStyle w:val="BodyText"/>
      </w:pPr>
      <w:r w:rsidRPr="001F4265">
        <w:t>The activity data (quantity of DEF used) are estimated from total sales of diesel, with the assessment that 33 percent of fuel is used in heavy vehicles and 51 percent of the heavy vehicle fleet currently uses DEF. The amounts for years up to 2016 are estimated by back casting the uptake of vehicles that require DEF over time. There was no use of urea catalysts before 2008.</w:t>
      </w:r>
    </w:p>
    <w:p w14:paraId="44331BE4" w14:textId="77777777" w:rsidR="003A5396" w:rsidRPr="001F4265" w:rsidRDefault="003A5396" w:rsidP="003A5396">
      <w:pPr>
        <w:pStyle w:val="Heading5"/>
      </w:pPr>
      <w:bookmarkStart w:id="511" w:name="X5a2ff4389a61f28f24ab5c4134095d3d95f1ebf"/>
      <w:bookmarkEnd w:id="510"/>
      <w:r w:rsidRPr="001F4265">
        <w:t>Asphalt paving and roofing and solvent use (2.D.3)</w:t>
      </w:r>
    </w:p>
    <w:p w14:paraId="77C1CE92" w14:textId="77777777" w:rsidR="003A5396" w:rsidRPr="001F4265" w:rsidRDefault="003A5396" w:rsidP="00314842">
      <w:pPr>
        <w:pStyle w:val="BodyText"/>
        <w:spacing w:before="80" w:after="100"/>
      </w:pPr>
      <w:r w:rsidRPr="001F4265">
        <w:t>Three main bitumen production companies that provide materials for road paving are operating in New Zealand. Data on bitumen production and emission rates were provided by these companies (CRL Energy, unpublished(a)). One company is also manufacturing asphalt roofing in New Zealand.</w:t>
      </w:r>
    </w:p>
    <w:p w14:paraId="611EA196" w14:textId="77777777" w:rsidR="003A5396" w:rsidRPr="001F4265" w:rsidRDefault="003A5396" w:rsidP="003A5396">
      <w:pPr>
        <w:pStyle w:val="BodyText"/>
      </w:pPr>
      <w:r w:rsidRPr="001F4265">
        <w:t>Solvent use was estimated in 2006 (CRL Energy, unpublished(a)) and, for all of these sources, activity data for the years up to 2005 have been extrapolated for 2006 to 2024 in the absence of any updated information.</w:t>
      </w:r>
    </w:p>
    <w:bookmarkEnd w:id="511"/>
    <w:p w14:paraId="6F29DCB8" w14:textId="77777777" w:rsidR="003A5396" w:rsidRPr="001F4265" w:rsidRDefault="003A5396" w:rsidP="003A5396">
      <w:pPr>
        <w:pStyle w:val="Heading4"/>
      </w:pPr>
      <w:r w:rsidRPr="001F4265">
        <w:t>Choice of methods</w:t>
      </w:r>
    </w:p>
    <w:p w14:paraId="340567E5" w14:textId="77777777" w:rsidR="003A5396" w:rsidRPr="001F4265" w:rsidRDefault="003A5396" w:rsidP="00314842">
      <w:pPr>
        <w:pStyle w:val="BodyText"/>
        <w:spacing w:before="80" w:after="100"/>
      </w:pPr>
      <w:r w:rsidRPr="001F4265">
        <w:t>Tier 1 methods (IPCC, 2006a, 2006b) are used to estimate all emissions in this category. Only approximate activity data are available, with no country-specific information on the amounts of lubricant and paraffin wax used for specific applications.</w:t>
      </w:r>
    </w:p>
    <w:p w14:paraId="4E6F8924" w14:textId="77777777" w:rsidR="003A5396" w:rsidRPr="001F4265" w:rsidRDefault="003A5396" w:rsidP="003A5396">
      <w:pPr>
        <w:pStyle w:val="Heading4"/>
      </w:pPr>
      <w:r w:rsidRPr="001F4265">
        <w:t>Choice of emission factors</w:t>
      </w:r>
    </w:p>
    <w:p w14:paraId="27ED18D3" w14:textId="77777777" w:rsidR="003A5396" w:rsidRPr="001F4265" w:rsidRDefault="003A5396" w:rsidP="003A5396">
      <w:pPr>
        <w:pStyle w:val="Heading5"/>
        <w:spacing w:before="180"/>
      </w:pPr>
      <w:bookmarkStart w:id="512" w:name="X07c9d37066ae676aeb1a63ade4f6e018c873acc"/>
      <w:r w:rsidRPr="001F4265">
        <w:t>Lubricant use (2.D.1) and paraffin wax use (2.D.2)</w:t>
      </w:r>
    </w:p>
    <w:p w14:paraId="4DDE1BF6" w14:textId="77777777" w:rsidR="003A5396" w:rsidRPr="001F4265" w:rsidRDefault="003A5396" w:rsidP="00314842">
      <w:pPr>
        <w:pStyle w:val="BodyText"/>
        <w:spacing w:before="80" w:after="100"/>
      </w:pPr>
      <w:r w:rsidRPr="001F4265">
        <w:t>Default emission factors (carbon content and ‘oxidised during use’ factor) are used for these categories.</w:t>
      </w:r>
    </w:p>
    <w:p w14:paraId="5CE386E1" w14:textId="77777777" w:rsidR="003A5396" w:rsidRPr="001F4265" w:rsidRDefault="003A5396" w:rsidP="003A5396">
      <w:pPr>
        <w:pStyle w:val="Heading5"/>
      </w:pPr>
      <w:bookmarkStart w:id="513" w:name="Xd865a9ffeb62c328969c34b256eb2fb99d580d5"/>
      <w:bookmarkEnd w:id="512"/>
      <w:r w:rsidRPr="001F4265">
        <w:t>Use of urea-based catalysts in transport (2.D.3)</w:t>
      </w:r>
    </w:p>
    <w:p w14:paraId="1FBA4FC4" w14:textId="77777777" w:rsidR="003A5396" w:rsidRPr="001F4265" w:rsidRDefault="003A5396" w:rsidP="00314842">
      <w:pPr>
        <w:pStyle w:val="BodyText"/>
        <w:spacing w:before="80"/>
      </w:pPr>
      <w:r w:rsidRPr="001F4265">
        <w:t>Default emission factors are used. DEF sold in New Zealand conforms with international norms and contains 32.5 percent urea, which is the default value.</w:t>
      </w:r>
    </w:p>
    <w:p w14:paraId="4992C681" w14:textId="77777777" w:rsidR="003A5396" w:rsidRPr="001F4265" w:rsidRDefault="003A5396" w:rsidP="003A5396">
      <w:pPr>
        <w:pStyle w:val="Heading5"/>
      </w:pPr>
      <w:bookmarkStart w:id="514" w:name="X7e5c19f314da272d173de1f7d800ff53200023f"/>
      <w:bookmarkEnd w:id="513"/>
      <w:r w:rsidRPr="001F4265">
        <w:t>Asphalt paving and roofing and solvent use (2.D.3)</w:t>
      </w:r>
    </w:p>
    <w:p w14:paraId="1ED61476" w14:textId="77777777" w:rsidR="003A5396" w:rsidRPr="001F4265" w:rsidRDefault="003A5396" w:rsidP="00314842">
      <w:pPr>
        <w:pStyle w:val="BodyText"/>
        <w:spacing w:before="80" w:after="100"/>
      </w:pPr>
      <w:r w:rsidRPr="001F4265">
        <w:t>The bitumen content of road paving used in New Zealand is about 6 percent, which is lower than commonly used in most countries. The NMVOC emissions from road paving are calculated using a country-specific method based on the fraction of bitumen in asphalt used in road paving material, the fraction of solvent added to bitumen and an assessment that 75 percent of the solvent added will be emitted (see table 4.5.1).</w:t>
      </w:r>
    </w:p>
    <w:p w14:paraId="15DBC54B" w14:textId="77777777" w:rsidR="003A5396" w:rsidRPr="001F4265" w:rsidRDefault="003A5396" w:rsidP="003A5396">
      <w:pPr>
        <w:pStyle w:val="Table"/>
      </w:pPr>
      <w:bookmarkStart w:id="515" w:name="_Toc226668978"/>
      <w:r w:rsidRPr="001F4265">
        <w:t xml:space="preserve">Table 4.5.1 </w:t>
      </w:r>
      <w:r w:rsidRPr="001F4265">
        <w:tab/>
        <w:t>Calculation of non-methane volatile organic compound (NMVOC) emissions from road paving</w:t>
      </w:r>
      <w:bookmarkEnd w:id="515"/>
    </w:p>
    <w:tbl>
      <w:tblPr>
        <w:tblW w:w="8494"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8494"/>
      </w:tblGrid>
      <w:tr w:rsidR="003A5396" w:rsidRPr="001F4265" w14:paraId="6459F4CF" w14:textId="77777777" w:rsidTr="00F16E23">
        <w:trPr>
          <w:tblHeader/>
        </w:trPr>
        <w:tc>
          <w:tcPr>
            <w:tcW w:w="0" w:type="auto"/>
            <w:shd w:val="clear" w:color="auto" w:fill="1B556B"/>
            <w:tcMar>
              <w:top w:w="0" w:type="dxa"/>
              <w:left w:w="85" w:type="dxa"/>
              <w:bottom w:w="0" w:type="dxa"/>
              <w:right w:w="85" w:type="dxa"/>
            </w:tcMar>
            <w:vAlign w:val="center"/>
          </w:tcPr>
          <w:p w14:paraId="2B2C7A3B"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Calculation of NMVOC emissions from road paving</w:t>
            </w:r>
          </w:p>
        </w:tc>
      </w:tr>
      <w:tr w:rsidR="003A5396" w:rsidRPr="001F4265" w14:paraId="410FF7F0" w14:textId="77777777" w:rsidTr="00F16E23">
        <w:tc>
          <w:tcPr>
            <w:tcW w:w="0" w:type="auto"/>
            <w:shd w:val="clear" w:color="auto" w:fill="FFFFFF"/>
            <w:tcMar>
              <w:top w:w="0" w:type="dxa"/>
              <w:left w:w="85" w:type="dxa"/>
              <w:bottom w:w="0" w:type="dxa"/>
              <w:right w:w="85" w:type="dxa"/>
            </w:tcMar>
            <w:vAlign w:val="center"/>
          </w:tcPr>
          <w:p w14:paraId="6A119F0F" w14:textId="77777777" w:rsidR="003A5396" w:rsidRPr="001F4265" w:rsidRDefault="003A5396" w:rsidP="00F16E23">
            <w:pPr>
              <w:pStyle w:val="TableText"/>
              <w:spacing w:before="40" w:after="40"/>
            </w:pPr>
            <w:r w:rsidRPr="001F4265">
              <w:rPr>
                <w:rFonts w:eastAsia="Calibri"/>
              </w:rPr>
              <w:t>NMVOC emitted = A × B × C × D</w:t>
            </w:r>
          </w:p>
        </w:tc>
      </w:tr>
      <w:tr w:rsidR="003A5396" w:rsidRPr="001F4265" w14:paraId="619FC6A1" w14:textId="77777777" w:rsidTr="00F16E23">
        <w:tc>
          <w:tcPr>
            <w:tcW w:w="0" w:type="auto"/>
            <w:shd w:val="clear" w:color="auto" w:fill="FFFFFF"/>
            <w:tcMar>
              <w:top w:w="0" w:type="dxa"/>
              <w:left w:w="85" w:type="dxa"/>
              <w:bottom w:w="0" w:type="dxa"/>
              <w:right w:w="85" w:type="dxa"/>
            </w:tcMar>
            <w:vAlign w:val="center"/>
          </w:tcPr>
          <w:p w14:paraId="1CA784D6" w14:textId="77777777" w:rsidR="003A5396" w:rsidRPr="001F4265" w:rsidRDefault="003A5396" w:rsidP="00F16E23">
            <w:pPr>
              <w:pStyle w:val="TableText"/>
              <w:spacing w:before="40" w:after="40"/>
            </w:pPr>
            <w:r w:rsidRPr="001F4265">
              <w:rPr>
                <w:rFonts w:eastAsia="Calibri"/>
              </w:rPr>
              <w:t>Where:</w:t>
            </w:r>
          </w:p>
        </w:tc>
      </w:tr>
      <w:tr w:rsidR="003A5396" w:rsidRPr="001F4265" w14:paraId="4BFF5C45" w14:textId="77777777" w:rsidTr="00F16E23">
        <w:tc>
          <w:tcPr>
            <w:tcW w:w="0" w:type="auto"/>
            <w:shd w:val="clear" w:color="auto" w:fill="FFFFFF"/>
            <w:tcMar>
              <w:top w:w="0" w:type="dxa"/>
              <w:left w:w="85" w:type="dxa"/>
              <w:bottom w:w="0" w:type="dxa"/>
              <w:right w:w="85" w:type="dxa"/>
            </w:tcMar>
            <w:vAlign w:val="center"/>
          </w:tcPr>
          <w:p w14:paraId="4993F3DE" w14:textId="77777777" w:rsidR="003A5396" w:rsidRPr="001F4265" w:rsidRDefault="003A5396" w:rsidP="00F16E23">
            <w:pPr>
              <w:pStyle w:val="TableText"/>
              <w:spacing w:before="40" w:after="40"/>
              <w:ind w:left="170"/>
            </w:pPr>
            <w:r w:rsidRPr="001F4265">
              <w:rPr>
                <w:rFonts w:eastAsia="Calibri"/>
              </w:rPr>
              <w:t>A = road paving material used (kilotonnes)</w:t>
            </w:r>
          </w:p>
        </w:tc>
      </w:tr>
      <w:tr w:rsidR="003A5396" w:rsidRPr="001F4265" w14:paraId="3CB6A478" w14:textId="77777777" w:rsidTr="00F16E23">
        <w:tc>
          <w:tcPr>
            <w:tcW w:w="0" w:type="auto"/>
            <w:shd w:val="clear" w:color="auto" w:fill="FFFFFF"/>
            <w:tcMar>
              <w:top w:w="0" w:type="dxa"/>
              <w:left w:w="85" w:type="dxa"/>
              <w:bottom w:w="0" w:type="dxa"/>
              <w:right w:w="85" w:type="dxa"/>
            </w:tcMar>
            <w:vAlign w:val="center"/>
          </w:tcPr>
          <w:p w14:paraId="1E83ADFE" w14:textId="77777777" w:rsidR="003A5396" w:rsidRPr="001F4265" w:rsidRDefault="003A5396" w:rsidP="00F16E23">
            <w:pPr>
              <w:pStyle w:val="TableText"/>
              <w:spacing w:before="40" w:after="40"/>
              <w:ind w:left="170"/>
            </w:pPr>
            <w:r w:rsidRPr="001F4265">
              <w:rPr>
                <w:rFonts w:eastAsia="Calibri"/>
              </w:rPr>
              <w:t>B = fraction by weight of bitumen in asphalt</w:t>
            </w:r>
          </w:p>
        </w:tc>
      </w:tr>
      <w:tr w:rsidR="003A5396" w:rsidRPr="001F4265" w14:paraId="6483FA5C" w14:textId="77777777" w:rsidTr="00F16E23">
        <w:tc>
          <w:tcPr>
            <w:tcW w:w="0" w:type="auto"/>
            <w:shd w:val="clear" w:color="auto" w:fill="FFFFFF"/>
            <w:tcMar>
              <w:top w:w="0" w:type="dxa"/>
              <w:left w:w="85" w:type="dxa"/>
              <w:bottom w:w="0" w:type="dxa"/>
              <w:right w:w="85" w:type="dxa"/>
            </w:tcMar>
            <w:vAlign w:val="center"/>
          </w:tcPr>
          <w:p w14:paraId="45D0561A" w14:textId="77777777" w:rsidR="003A5396" w:rsidRPr="001F4265" w:rsidRDefault="003A5396" w:rsidP="00F16E23">
            <w:pPr>
              <w:pStyle w:val="TableText"/>
              <w:spacing w:before="40" w:after="40"/>
              <w:ind w:left="170"/>
            </w:pPr>
            <w:r w:rsidRPr="001F4265">
              <w:rPr>
                <w:rFonts w:eastAsia="Calibri"/>
              </w:rPr>
              <w:t>C = fraction of solvent added to bitumen (0.04)</w:t>
            </w:r>
          </w:p>
        </w:tc>
      </w:tr>
      <w:tr w:rsidR="003A5396" w:rsidRPr="001F4265" w14:paraId="4D322E74" w14:textId="77777777" w:rsidTr="00F16E23">
        <w:tc>
          <w:tcPr>
            <w:tcW w:w="0" w:type="auto"/>
            <w:shd w:val="clear" w:color="auto" w:fill="FFFFFF"/>
            <w:tcMar>
              <w:top w:w="0" w:type="dxa"/>
              <w:left w:w="85" w:type="dxa"/>
              <w:bottom w:w="0" w:type="dxa"/>
              <w:right w:w="85" w:type="dxa"/>
            </w:tcMar>
            <w:vAlign w:val="center"/>
          </w:tcPr>
          <w:p w14:paraId="3628903C" w14:textId="77777777" w:rsidR="003A5396" w:rsidRPr="001F4265" w:rsidRDefault="003A5396" w:rsidP="00F16E23">
            <w:pPr>
              <w:pStyle w:val="TableText"/>
              <w:spacing w:before="40" w:after="40"/>
              <w:ind w:left="170"/>
            </w:pPr>
            <w:r w:rsidRPr="001F4265">
              <w:rPr>
                <w:rFonts w:eastAsia="Calibri"/>
              </w:rPr>
              <w:t>D = fraction of solvent emitted (0.75)</w:t>
            </w:r>
          </w:p>
        </w:tc>
      </w:tr>
    </w:tbl>
    <w:p w14:paraId="192CFE1F" w14:textId="77777777" w:rsidR="003A5396" w:rsidRPr="001F4265" w:rsidRDefault="003A5396" w:rsidP="003A5396">
      <w:pPr>
        <w:pStyle w:val="BodyText"/>
        <w:spacing w:before="240"/>
      </w:pPr>
      <w:r w:rsidRPr="001F4265">
        <w:t>The fraction of bitumen in asphalt used in road paving materials was reduced over time as methods of laying roading improved (see table 4.5.2).</w:t>
      </w:r>
    </w:p>
    <w:p w14:paraId="6E1DA6E7" w14:textId="77777777" w:rsidR="003A5396" w:rsidRPr="001F4265" w:rsidRDefault="003A5396" w:rsidP="003A5396">
      <w:pPr>
        <w:pStyle w:val="Table"/>
      </w:pPr>
      <w:bookmarkStart w:id="516" w:name="_Toc226668979"/>
      <w:r w:rsidRPr="001F4265">
        <w:t xml:space="preserve">Table 4.5.2 </w:t>
      </w:r>
      <w:r w:rsidRPr="001F4265">
        <w:tab/>
        <w:t>Fraction of bitumen in road paving material</w:t>
      </w:r>
      <w:bookmarkEnd w:id="51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19"/>
        <w:gridCol w:w="6675"/>
      </w:tblGrid>
      <w:tr w:rsidR="003A5396" w:rsidRPr="001F4265" w14:paraId="3A0D0344" w14:textId="77777777" w:rsidTr="00F16E23">
        <w:trPr>
          <w:tblHeader/>
        </w:trPr>
        <w:tc>
          <w:tcPr>
            <w:tcW w:w="0" w:type="auto"/>
            <w:shd w:val="clear" w:color="auto" w:fill="1B556B"/>
            <w:tcMar>
              <w:top w:w="0" w:type="dxa"/>
              <w:left w:w="85" w:type="dxa"/>
              <w:bottom w:w="0" w:type="dxa"/>
              <w:right w:w="85" w:type="dxa"/>
            </w:tcMar>
            <w:vAlign w:val="center"/>
          </w:tcPr>
          <w:p w14:paraId="0298DC3D"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Reporting years</w:t>
            </w:r>
          </w:p>
        </w:tc>
        <w:tc>
          <w:tcPr>
            <w:tcW w:w="0" w:type="auto"/>
            <w:shd w:val="clear" w:color="auto" w:fill="1B556B"/>
            <w:tcMar>
              <w:top w:w="0" w:type="dxa"/>
              <w:left w:w="85" w:type="dxa"/>
              <w:bottom w:w="0" w:type="dxa"/>
              <w:right w:w="85" w:type="dxa"/>
            </w:tcMar>
            <w:vAlign w:val="center"/>
          </w:tcPr>
          <w:p w14:paraId="3D45CE6D"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Fraction by weight of bitumen in asphalt (B above, in table 4.5.1)</w:t>
            </w:r>
          </w:p>
        </w:tc>
      </w:tr>
      <w:tr w:rsidR="003A5396" w:rsidRPr="001F4265" w14:paraId="3EC9BD57" w14:textId="77777777" w:rsidTr="00F16E23">
        <w:tc>
          <w:tcPr>
            <w:tcW w:w="0" w:type="auto"/>
            <w:shd w:val="clear" w:color="auto" w:fill="FFFFFF"/>
            <w:tcMar>
              <w:top w:w="0" w:type="dxa"/>
              <w:left w:w="85" w:type="dxa"/>
              <w:bottom w:w="0" w:type="dxa"/>
              <w:right w:w="85" w:type="dxa"/>
            </w:tcMar>
            <w:vAlign w:val="center"/>
          </w:tcPr>
          <w:p w14:paraId="2043261D" w14:textId="77777777" w:rsidR="003A5396" w:rsidRPr="001F4265" w:rsidRDefault="003A5396" w:rsidP="00F16E23">
            <w:pPr>
              <w:pStyle w:val="TableText"/>
              <w:spacing w:before="40" w:after="40"/>
            </w:pPr>
            <w:r w:rsidRPr="001F4265">
              <w:rPr>
                <w:rFonts w:eastAsia="Calibri"/>
              </w:rPr>
              <w:t>1990–2001</w:t>
            </w:r>
          </w:p>
        </w:tc>
        <w:tc>
          <w:tcPr>
            <w:tcW w:w="0" w:type="auto"/>
            <w:shd w:val="clear" w:color="auto" w:fill="FFFFFF"/>
            <w:tcMar>
              <w:top w:w="0" w:type="dxa"/>
              <w:left w:w="85" w:type="dxa"/>
              <w:bottom w:w="0" w:type="dxa"/>
              <w:right w:w="85" w:type="dxa"/>
            </w:tcMar>
            <w:vAlign w:val="center"/>
          </w:tcPr>
          <w:p w14:paraId="4B19FB47" w14:textId="77777777" w:rsidR="003A5396" w:rsidRPr="001F4265" w:rsidRDefault="003A5396" w:rsidP="00F16E23">
            <w:pPr>
              <w:pStyle w:val="TableText"/>
              <w:spacing w:before="40" w:after="40"/>
            </w:pPr>
            <w:r w:rsidRPr="001F4265">
              <w:rPr>
                <w:rFonts w:eastAsia="Calibri"/>
              </w:rPr>
              <w:t>0.8</w:t>
            </w:r>
          </w:p>
        </w:tc>
      </w:tr>
      <w:tr w:rsidR="003A5396" w:rsidRPr="001F4265" w14:paraId="5FFC07FB" w14:textId="77777777" w:rsidTr="00F16E23">
        <w:tc>
          <w:tcPr>
            <w:tcW w:w="0" w:type="auto"/>
            <w:shd w:val="clear" w:color="auto" w:fill="FFFFFF"/>
            <w:tcMar>
              <w:top w:w="0" w:type="dxa"/>
              <w:left w:w="85" w:type="dxa"/>
              <w:bottom w:w="0" w:type="dxa"/>
              <w:right w:w="85" w:type="dxa"/>
            </w:tcMar>
            <w:vAlign w:val="center"/>
          </w:tcPr>
          <w:p w14:paraId="5C7197AF" w14:textId="77777777" w:rsidR="003A5396" w:rsidRPr="001F4265" w:rsidRDefault="003A5396" w:rsidP="00F16E23">
            <w:pPr>
              <w:pStyle w:val="TableText"/>
              <w:spacing w:before="40" w:after="40"/>
            </w:pPr>
            <w:r w:rsidRPr="001F4265">
              <w:rPr>
                <w:rFonts w:eastAsia="Calibri"/>
              </w:rPr>
              <w:t>2002–2003</w:t>
            </w:r>
          </w:p>
        </w:tc>
        <w:tc>
          <w:tcPr>
            <w:tcW w:w="0" w:type="auto"/>
            <w:shd w:val="clear" w:color="auto" w:fill="FFFFFF"/>
            <w:tcMar>
              <w:top w:w="0" w:type="dxa"/>
              <w:left w:w="85" w:type="dxa"/>
              <w:bottom w:w="0" w:type="dxa"/>
              <w:right w:w="85" w:type="dxa"/>
            </w:tcMar>
            <w:vAlign w:val="center"/>
          </w:tcPr>
          <w:p w14:paraId="0CD4EFB1" w14:textId="77777777" w:rsidR="003A5396" w:rsidRPr="001F4265" w:rsidRDefault="003A5396" w:rsidP="00F16E23">
            <w:pPr>
              <w:pStyle w:val="TableText"/>
              <w:spacing w:before="40" w:after="40"/>
            </w:pPr>
            <w:r w:rsidRPr="001F4265">
              <w:rPr>
                <w:rFonts w:eastAsia="Calibri"/>
              </w:rPr>
              <w:t>0.7</w:t>
            </w:r>
          </w:p>
        </w:tc>
      </w:tr>
      <w:tr w:rsidR="003A5396" w:rsidRPr="001F4265" w14:paraId="2905E683" w14:textId="77777777" w:rsidTr="00F16E23">
        <w:tc>
          <w:tcPr>
            <w:tcW w:w="0" w:type="auto"/>
            <w:shd w:val="clear" w:color="auto" w:fill="FFFFFF"/>
            <w:tcMar>
              <w:top w:w="0" w:type="dxa"/>
              <w:left w:w="85" w:type="dxa"/>
              <w:bottom w:w="0" w:type="dxa"/>
              <w:right w:w="85" w:type="dxa"/>
            </w:tcMar>
            <w:vAlign w:val="center"/>
          </w:tcPr>
          <w:p w14:paraId="62CB083D" w14:textId="77777777" w:rsidR="003A5396" w:rsidRPr="001F4265" w:rsidRDefault="003A5396" w:rsidP="00F16E23">
            <w:pPr>
              <w:pStyle w:val="TableText"/>
              <w:spacing w:before="40" w:after="40"/>
            </w:pPr>
            <w:r w:rsidRPr="001F4265">
              <w:rPr>
                <w:rFonts w:eastAsia="Calibri"/>
              </w:rPr>
              <w:t>2004–2024</w:t>
            </w:r>
          </w:p>
        </w:tc>
        <w:tc>
          <w:tcPr>
            <w:tcW w:w="0" w:type="auto"/>
            <w:shd w:val="clear" w:color="auto" w:fill="FFFFFF"/>
            <w:tcMar>
              <w:top w:w="0" w:type="dxa"/>
              <w:left w:w="85" w:type="dxa"/>
              <w:bottom w:w="0" w:type="dxa"/>
              <w:right w:w="85" w:type="dxa"/>
            </w:tcMar>
            <w:vAlign w:val="center"/>
          </w:tcPr>
          <w:p w14:paraId="2208071F" w14:textId="77777777" w:rsidR="003A5396" w:rsidRPr="001F4265" w:rsidRDefault="003A5396" w:rsidP="00F16E23">
            <w:pPr>
              <w:pStyle w:val="TableText"/>
              <w:spacing w:before="40" w:after="40"/>
            </w:pPr>
            <w:r w:rsidRPr="001F4265">
              <w:rPr>
                <w:rFonts w:eastAsia="Calibri"/>
              </w:rPr>
              <w:t>0.6</w:t>
            </w:r>
          </w:p>
        </w:tc>
      </w:tr>
    </w:tbl>
    <w:p w14:paraId="6268F68C" w14:textId="77777777" w:rsidR="003A5396" w:rsidRPr="001F4265" w:rsidRDefault="003A5396" w:rsidP="003A5396">
      <w:pPr>
        <w:pStyle w:val="BodyText"/>
        <w:spacing w:before="240"/>
      </w:pPr>
      <w:r w:rsidRPr="001F4265">
        <w:t>For asphalt used as roofing material, IPCC default emission factors of 0.05 kilograms NMVOC and 0.0095 kilograms CO per tonne of product have been used.</w:t>
      </w:r>
    </w:p>
    <w:bookmarkEnd w:id="514"/>
    <w:p w14:paraId="6FC73338" w14:textId="77777777" w:rsidR="003A5396" w:rsidRPr="001F4265" w:rsidRDefault="003A5396" w:rsidP="003A5396">
      <w:pPr>
        <w:pStyle w:val="Heading3"/>
      </w:pPr>
      <w:r w:rsidRPr="001F4265">
        <w:t xml:space="preserve">4.5.3 </w:t>
      </w:r>
      <w:r w:rsidRPr="001F4265">
        <w:tab/>
        <w:t>Uncertainty assessment and time-series consistency</w:t>
      </w:r>
    </w:p>
    <w:p w14:paraId="4804EDCB" w14:textId="77777777" w:rsidR="003A5396" w:rsidRPr="001F4265" w:rsidRDefault="003A5396" w:rsidP="003A5396">
      <w:pPr>
        <w:pStyle w:val="Heading4"/>
      </w:pPr>
      <w:r w:rsidRPr="001F4265">
        <w:t>Uncertainties</w:t>
      </w:r>
    </w:p>
    <w:p w14:paraId="002367BB" w14:textId="77777777" w:rsidR="003A5396" w:rsidRPr="001F4265" w:rsidRDefault="003A5396" w:rsidP="003A5396">
      <w:pPr>
        <w:pStyle w:val="BodyText"/>
      </w:pPr>
      <w:r w:rsidRPr="001F4265">
        <w:t>IPCC default uncertainty is estimated for CO</w:t>
      </w:r>
      <w:r w:rsidRPr="001F4265">
        <w:rPr>
          <w:vertAlign w:val="subscript"/>
        </w:rPr>
        <w:t>2</w:t>
      </w:r>
      <w:r w:rsidRPr="001F4265">
        <w:t xml:space="preserve"> from lubricant use. The uncertainties used for indirect emissions in this category are a mix of defaults and country specific. These uncertainties are shown in table 4.5.3.</w:t>
      </w:r>
    </w:p>
    <w:p w14:paraId="694F2262" w14:textId="77777777" w:rsidR="003A5396" w:rsidRPr="001F4265" w:rsidRDefault="003A5396" w:rsidP="003A5396">
      <w:pPr>
        <w:pStyle w:val="Table"/>
      </w:pPr>
      <w:bookmarkStart w:id="517" w:name="_Toc226668980"/>
      <w:r w:rsidRPr="001F4265">
        <w:t xml:space="preserve">Table 4.5.3 </w:t>
      </w:r>
      <w:r w:rsidRPr="001F4265">
        <w:tab/>
        <w:t>Uncertainty in emissions in non-energy products from fuels and solvent use</w:t>
      </w:r>
      <w:bookmarkEnd w:id="51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132"/>
        <w:gridCol w:w="2532"/>
        <w:gridCol w:w="2830"/>
      </w:tblGrid>
      <w:tr w:rsidR="003A5396" w:rsidRPr="001F4265" w14:paraId="0D0FFB78" w14:textId="77777777" w:rsidTr="00F16E23">
        <w:trPr>
          <w:tblHeader/>
        </w:trPr>
        <w:tc>
          <w:tcPr>
            <w:tcW w:w="0" w:type="auto"/>
            <w:shd w:val="clear" w:color="auto" w:fill="1B556B"/>
            <w:tcMar>
              <w:top w:w="0" w:type="dxa"/>
              <w:left w:w="85" w:type="dxa"/>
              <w:bottom w:w="0" w:type="dxa"/>
              <w:right w:w="85" w:type="dxa"/>
            </w:tcMar>
            <w:vAlign w:val="center"/>
          </w:tcPr>
          <w:p w14:paraId="1BE70550"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Category</w:t>
            </w:r>
          </w:p>
        </w:tc>
        <w:tc>
          <w:tcPr>
            <w:tcW w:w="0" w:type="auto"/>
            <w:shd w:val="clear" w:color="auto" w:fill="1B556B"/>
            <w:tcMar>
              <w:top w:w="0" w:type="dxa"/>
              <w:left w:w="85" w:type="dxa"/>
              <w:bottom w:w="0" w:type="dxa"/>
              <w:right w:w="85" w:type="dxa"/>
            </w:tcMar>
            <w:vAlign w:val="center"/>
          </w:tcPr>
          <w:p w14:paraId="08C38BA8"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50D16B58"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emission factors (%)</w:t>
            </w:r>
          </w:p>
        </w:tc>
      </w:tr>
      <w:tr w:rsidR="003A5396" w:rsidRPr="001F4265" w14:paraId="0CCE2394" w14:textId="77777777" w:rsidTr="00F16E23">
        <w:tc>
          <w:tcPr>
            <w:tcW w:w="0" w:type="auto"/>
            <w:shd w:val="clear" w:color="auto" w:fill="FFFFFF"/>
            <w:tcMar>
              <w:top w:w="0" w:type="dxa"/>
              <w:left w:w="85" w:type="dxa"/>
              <w:bottom w:w="0" w:type="dxa"/>
              <w:right w:w="85" w:type="dxa"/>
            </w:tcMar>
            <w:vAlign w:val="center"/>
          </w:tcPr>
          <w:p w14:paraId="392EDEAB" w14:textId="77777777" w:rsidR="003A5396" w:rsidRPr="001F4265" w:rsidRDefault="003A5396" w:rsidP="00F16E23">
            <w:pPr>
              <w:pStyle w:val="TableText"/>
              <w:spacing w:before="40" w:after="40"/>
            </w:pPr>
            <w:r w:rsidRPr="001F4265">
              <w:rPr>
                <w:rFonts w:eastAsia="Calibri"/>
              </w:rPr>
              <w:t>Lubricant use</w:t>
            </w:r>
          </w:p>
        </w:tc>
        <w:tc>
          <w:tcPr>
            <w:tcW w:w="0" w:type="auto"/>
            <w:shd w:val="clear" w:color="auto" w:fill="FFFFFF"/>
            <w:tcMar>
              <w:top w:w="0" w:type="dxa"/>
              <w:left w:w="85" w:type="dxa"/>
              <w:bottom w:w="0" w:type="dxa"/>
              <w:right w:w="85" w:type="dxa"/>
            </w:tcMar>
            <w:vAlign w:val="center"/>
          </w:tcPr>
          <w:p w14:paraId="5621292D" w14:textId="77777777" w:rsidR="003A5396" w:rsidRPr="001F4265" w:rsidRDefault="003A5396" w:rsidP="00F16E23">
            <w:pPr>
              <w:pStyle w:val="TableText"/>
              <w:spacing w:before="40" w:after="40"/>
              <w:jc w:val="right"/>
            </w:pPr>
            <w:r w:rsidRPr="001F4265">
              <w:rPr>
                <w:rFonts w:eastAsia="Calibri"/>
              </w:rPr>
              <w:t>±20</w:t>
            </w:r>
          </w:p>
        </w:tc>
        <w:tc>
          <w:tcPr>
            <w:tcW w:w="0" w:type="auto"/>
            <w:shd w:val="clear" w:color="auto" w:fill="FFFFFF"/>
            <w:tcMar>
              <w:top w:w="0" w:type="dxa"/>
              <w:left w:w="85" w:type="dxa"/>
              <w:bottom w:w="0" w:type="dxa"/>
              <w:right w:w="85" w:type="dxa"/>
            </w:tcMar>
            <w:vAlign w:val="center"/>
          </w:tcPr>
          <w:p w14:paraId="51358222" w14:textId="77777777" w:rsidR="003A5396" w:rsidRPr="001F4265" w:rsidRDefault="003A5396" w:rsidP="00F16E23">
            <w:pPr>
              <w:pStyle w:val="TableText"/>
              <w:spacing w:before="40" w:after="40"/>
              <w:jc w:val="right"/>
            </w:pPr>
            <w:r w:rsidRPr="001F4265">
              <w:rPr>
                <w:rFonts w:eastAsia="Calibri"/>
              </w:rPr>
              <w:t>±50</w:t>
            </w:r>
          </w:p>
        </w:tc>
      </w:tr>
      <w:tr w:rsidR="003A5396" w:rsidRPr="001F4265" w14:paraId="44CD5A58" w14:textId="77777777" w:rsidTr="00F16E23">
        <w:tc>
          <w:tcPr>
            <w:tcW w:w="0" w:type="auto"/>
            <w:shd w:val="clear" w:color="auto" w:fill="FFFFFF"/>
            <w:tcMar>
              <w:top w:w="0" w:type="dxa"/>
              <w:left w:w="85" w:type="dxa"/>
              <w:bottom w:w="0" w:type="dxa"/>
              <w:right w:w="85" w:type="dxa"/>
            </w:tcMar>
            <w:vAlign w:val="center"/>
          </w:tcPr>
          <w:p w14:paraId="5B379458" w14:textId="77777777" w:rsidR="003A5396" w:rsidRPr="001F4265" w:rsidRDefault="003A5396" w:rsidP="00F16E23">
            <w:pPr>
              <w:pStyle w:val="TableText"/>
              <w:spacing w:before="40" w:after="40"/>
            </w:pPr>
            <w:r w:rsidRPr="001F4265">
              <w:rPr>
                <w:rFonts w:eastAsia="Calibri"/>
              </w:rPr>
              <w:t>Paraffin wax use</w:t>
            </w:r>
          </w:p>
        </w:tc>
        <w:tc>
          <w:tcPr>
            <w:tcW w:w="0" w:type="auto"/>
            <w:shd w:val="clear" w:color="auto" w:fill="FFFFFF"/>
            <w:tcMar>
              <w:top w:w="0" w:type="dxa"/>
              <w:left w:w="85" w:type="dxa"/>
              <w:bottom w:w="0" w:type="dxa"/>
              <w:right w:w="85" w:type="dxa"/>
            </w:tcMar>
            <w:vAlign w:val="center"/>
          </w:tcPr>
          <w:p w14:paraId="7E42DAEB" w14:textId="77777777" w:rsidR="003A5396" w:rsidRPr="001F4265" w:rsidRDefault="003A5396" w:rsidP="00F16E23">
            <w:pPr>
              <w:pStyle w:val="TableText"/>
              <w:spacing w:before="40" w:after="40"/>
              <w:jc w:val="right"/>
            </w:pPr>
            <w:r w:rsidRPr="001F4265">
              <w:rPr>
                <w:rFonts w:eastAsia="Calibri"/>
              </w:rPr>
              <w:t>±20</w:t>
            </w:r>
          </w:p>
        </w:tc>
        <w:tc>
          <w:tcPr>
            <w:tcW w:w="0" w:type="auto"/>
            <w:shd w:val="clear" w:color="auto" w:fill="FFFFFF"/>
            <w:tcMar>
              <w:top w:w="0" w:type="dxa"/>
              <w:left w:w="85" w:type="dxa"/>
              <w:bottom w:w="0" w:type="dxa"/>
              <w:right w:w="85" w:type="dxa"/>
            </w:tcMar>
            <w:vAlign w:val="center"/>
          </w:tcPr>
          <w:p w14:paraId="65D5593D" w14:textId="77777777" w:rsidR="003A5396" w:rsidRPr="001F4265" w:rsidRDefault="003A5396" w:rsidP="00F16E23">
            <w:pPr>
              <w:pStyle w:val="TableText"/>
              <w:spacing w:before="40" w:after="40"/>
              <w:jc w:val="right"/>
            </w:pPr>
            <w:r w:rsidRPr="001F4265">
              <w:rPr>
                <w:rFonts w:eastAsia="Calibri"/>
              </w:rPr>
              <w:t>±100</w:t>
            </w:r>
          </w:p>
        </w:tc>
      </w:tr>
      <w:tr w:rsidR="003A5396" w:rsidRPr="001F4265" w14:paraId="51EC83DC" w14:textId="77777777" w:rsidTr="00F16E23">
        <w:tc>
          <w:tcPr>
            <w:tcW w:w="0" w:type="auto"/>
            <w:shd w:val="clear" w:color="auto" w:fill="FFFFFF"/>
            <w:tcMar>
              <w:top w:w="0" w:type="dxa"/>
              <w:left w:w="85" w:type="dxa"/>
              <w:bottom w:w="0" w:type="dxa"/>
              <w:right w:w="85" w:type="dxa"/>
            </w:tcMar>
            <w:vAlign w:val="center"/>
          </w:tcPr>
          <w:p w14:paraId="150FAC00" w14:textId="77777777" w:rsidR="003A5396" w:rsidRPr="001F4265" w:rsidRDefault="003A5396" w:rsidP="00F16E23">
            <w:pPr>
              <w:pStyle w:val="TableText"/>
              <w:spacing w:before="40" w:after="40"/>
            </w:pPr>
            <w:r w:rsidRPr="001F4265">
              <w:rPr>
                <w:rFonts w:eastAsia="Calibri"/>
              </w:rPr>
              <w:t>Use of urea-based catalysts in transport</w:t>
            </w:r>
          </w:p>
        </w:tc>
        <w:tc>
          <w:tcPr>
            <w:tcW w:w="0" w:type="auto"/>
            <w:shd w:val="clear" w:color="auto" w:fill="FFFFFF"/>
            <w:tcMar>
              <w:top w:w="0" w:type="dxa"/>
              <w:left w:w="85" w:type="dxa"/>
              <w:bottom w:w="0" w:type="dxa"/>
              <w:right w:w="85" w:type="dxa"/>
            </w:tcMar>
            <w:vAlign w:val="center"/>
          </w:tcPr>
          <w:p w14:paraId="15464129" w14:textId="77777777" w:rsidR="003A5396" w:rsidRPr="001F4265" w:rsidRDefault="003A5396" w:rsidP="00F16E23">
            <w:pPr>
              <w:pStyle w:val="TableText"/>
              <w:spacing w:before="40" w:after="40"/>
              <w:jc w:val="right"/>
            </w:pPr>
            <w:r w:rsidRPr="001F4265">
              <w:rPr>
                <w:rFonts w:eastAsia="Calibri"/>
              </w:rPr>
              <w:t>±50</w:t>
            </w:r>
          </w:p>
        </w:tc>
        <w:tc>
          <w:tcPr>
            <w:tcW w:w="0" w:type="auto"/>
            <w:shd w:val="clear" w:color="auto" w:fill="FFFFFF"/>
            <w:tcMar>
              <w:top w:w="0" w:type="dxa"/>
              <w:left w:w="85" w:type="dxa"/>
              <w:bottom w:w="0" w:type="dxa"/>
              <w:right w:w="85" w:type="dxa"/>
            </w:tcMar>
            <w:vAlign w:val="center"/>
          </w:tcPr>
          <w:p w14:paraId="433E8E79" w14:textId="77777777" w:rsidR="003A5396" w:rsidRPr="001F4265" w:rsidRDefault="003A5396" w:rsidP="00F16E23">
            <w:pPr>
              <w:pStyle w:val="TableText"/>
              <w:spacing w:before="40" w:after="40"/>
              <w:jc w:val="right"/>
            </w:pPr>
            <w:r w:rsidRPr="001F4265">
              <w:rPr>
                <w:rFonts w:eastAsia="Calibri"/>
              </w:rPr>
              <w:t>±10</w:t>
            </w:r>
          </w:p>
        </w:tc>
      </w:tr>
      <w:tr w:rsidR="003A5396" w:rsidRPr="001F4265" w14:paraId="1FC6CF8F" w14:textId="77777777" w:rsidTr="00F16E23">
        <w:tc>
          <w:tcPr>
            <w:tcW w:w="0" w:type="auto"/>
            <w:shd w:val="clear" w:color="auto" w:fill="FFFFFF"/>
            <w:tcMar>
              <w:top w:w="0" w:type="dxa"/>
              <w:left w:w="85" w:type="dxa"/>
              <w:bottom w:w="0" w:type="dxa"/>
              <w:right w:w="85" w:type="dxa"/>
            </w:tcMar>
            <w:vAlign w:val="center"/>
          </w:tcPr>
          <w:p w14:paraId="798B68D5" w14:textId="77777777" w:rsidR="003A5396" w:rsidRPr="001F4265" w:rsidRDefault="003A5396" w:rsidP="00F16E23">
            <w:pPr>
              <w:pStyle w:val="TableText"/>
              <w:spacing w:before="40" w:after="40"/>
            </w:pPr>
            <w:r w:rsidRPr="001F4265">
              <w:rPr>
                <w:rFonts w:eastAsia="Calibri"/>
              </w:rPr>
              <w:t>Asphalt road paving</w:t>
            </w:r>
          </w:p>
        </w:tc>
        <w:tc>
          <w:tcPr>
            <w:tcW w:w="0" w:type="auto"/>
            <w:shd w:val="clear" w:color="auto" w:fill="FFFFFF"/>
            <w:tcMar>
              <w:top w:w="0" w:type="dxa"/>
              <w:left w:w="85" w:type="dxa"/>
              <w:bottom w:w="0" w:type="dxa"/>
              <w:right w:w="85" w:type="dxa"/>
            </w:tcMar>
            <w:vAlign w:val="center"/>
          </w:tcPr>
          <w:p w14:paraId="7441B261" w14:textId="77777777" w:rsidR="003A5396" w:rsidRPr="001F4265" w:rsidRDefault="003A5396" w:rsidP="00F16E23">
            <w:pPr>
              <w:pStyle w:val="TableText"/>
              <w:spacing w:before="40" w:after="40"/>
              <w:jc w:val="right"/>
            </w:pPr>
            <w:r w:rsidRPr="001F4265">
              <w:rPr>
                <w:rFonts w:eastAsia="Calibri"/>
              </w:rPr>
              <w:t>±40</w:t>
            </w:r>
          </w:p>
        </w:tc>
        <w:tc>
          <w:tcPr>
            <w:tcW w:w="0" w:type="auto"/>
            <w:shd w:val="clear" w:color="auto" w:fill="FFFFFF"/>
            <w:tcMar>
              <w:top w:w="0" w:type="dxa"/>
              <w:left w:w="85" w:type="dxa"/>
              <w:bottom w:w="0" w:type="dxa"/>
              <w:right w:w="85" w:type="dxa"/>
            </w:tcMar>
            <w:vAlign w:val="center"/>
          </w:tcPr>
          <w:p w14:paraId="17652EF3" w14:textId="77777777" w:rsidR="003A5396" w:rsidRPr="001F4265" w:rsidRDefault="003A5396" w:rsidP="00F16E23">
            <w:pPr>
              <w:pStyle w:val="TableText"/>
              <w:spacing w:before="40" w:after="40"/>
              <w:jc w:val="right"/>
            </w:pPr>
            <w:r w:rsidRPr="001F4265">
              <w:rPr>
                <w:rFonts w:eastAsia="Calibri"/>
              </w:rPr>
              <w:t>±40</w:t>
            </w:r>
          </w:p>
        </w:tc>
      </w:tr>
      <w:tr w:rsidR="003A5396" w:rsidRPr="001F4265" w14:paraId="0E4AB99B" w14:textId="77777777" w:rsidTr="00F16E23">
        <w:tc>
          <w:tcPr>
            <w:tcW w:w="0" w:type="auto"/>
            <w:shd w:val="clear" w:color="auto" w:fill="FFFFFF"/>
            <w:tcMar>
              <w:top w:w="0" w:type="dxa"/>
              <w:left w:w="85" w:type="dxa"/>
              <w:bottom w:w="0" w:type="dxa"/>
              <w:right w:w="85" w:type="dxa"/>
            </w:tcMar>
            <w:vAlign w:val="center"/>
          </w:tcPr>
          <w:p w14:paraId="29156C07" w14:textId="77777777" w:rsidR="003A5396" w:rsidRPr="001F4265" w:rsidRDefault="003A5396" w:rsidP="00F16E23">
            <w:pPr>
              <w:pStyle w:val="TableText"/>
              <w:spacing w:before="40" w:after="40"/>
            </w:pPr>
            <w:r w:rsidRPr="001F4265">
              <w:rPr>
                <w:rFonts w:eastAsia="Calibri"/>
              </w:rPr>
              <w:t>Asphalt roofing</w:t>
            </w:r>
          </w:p>
        </w:tc>
        <w:tc>
          <w:tcPr>
            <w:tcW w:w="0" w:type="auto"/>
            <w:shd w:val="clear" w:color="auto" w:fill="FFFFFF"/>
            <w:tcMar>
              <w:top w:w="0" w:type="dxa"/>
              <w:left w:w="85" w:type="dxa"/>
              <w:bottom w:w="0" w:type="dxa"/>
              <w:right w:w="85" w:type="dxa"/>
            </w:tcMar>
            <w:vAlign w:val="center"/>
          </w:tcPr>
          <w:p w14:paraId="35DE2288" w14:textId="77777777" w:rsidR="003A5396" w:rsidRPr="001F4265" w:rsidRDefault="003A5396" w:rsidP="00F16E23">
            <w:pPr>
              <w:pStyle w:val="TableText"/>
              <w:spacing w:before="40" w:after="40"/>
              <w:jc w:val="right"/>
            </w:pPr>
            <w:r w:rsidRPr="001F4265">
              <w:rPr>
                <w:rFonts w:eastAsia="Calibri"/>
              </w:rPr>
              <w:t>±50</w:t>
            </w:r>
          </w:p>
        </w:tc>
        <w:tc>
          <w:tcPr>
            <w:tcW w:w="0" w:type="auto"/>
            <w:shd w:val="clear" w:color="auto" w:fill="FFFFFF"/>
            <w:tcMar>
              <w:top w:w="0" w:type="dxa"/>
              <w:left w:w="85" w:type="dxa"/>
              <w:bottom w:w="0" w:type="dxa"/>
              <w:right w:w="85" w:type="dxa"/>
            </w:tcMar>
            <w:vAlign w:val="center"/>
          </w:tcPr>
          <w:p w14:paraId="25DF9B04" w14:textId="77777777" w:rsidR="003A5396" w:rsidRPr="001F4265" w:rsidRDefault="003A5396" w:rsidP="00F16E23">
            <w:pPr>
              <w:pStyle w:val="TableText"/>
              <w:spacing w:before="40" w:after="40"/>
              <w:jc w:val="right"/>
            </w:pPr>
            <w:r w:rsidRPr="001F4265">
              <w:rPr>
                <w:rFonts w:eastAsia="Calibri"/>
              </w:rPr>
              <w:t>±40</w:t>
            </w:r>
          </w:p>
        </w:tc>
      </w:tr>
      <w:tr w:rsidR="003A5396" w:rsidRPr="001F4265" w14:paraId="55878420" w14:textId="77777777" w:rsidTr="00F16E23">
        <w:tc>
          <w:tcPr>
            <w:tcW w:w="0" w:type="auto"/>
            <w:shd w:val="clear" w:color="auto" w:fill="FFFFFF"/>
            <w:tcMar>
              <w:top w:w="0" w:type="dxa"/>
              <w:left w:w="85" w:type="dxa"/>
              <w:bottom w:w="0" w:type="dxa"/>
              <w:right w:w="85" w:type="dxa"/>
            </w:tcMar>
            <w:vAlign w:val="center"/>
          </w:tcPr>
          <w:p w14:paraId="63BF17EB" w14:textId="77777777" w:rsidR="003A5396" w:rsidRPr="001F4265" w:rsidRDefault="003A5396" w:rsidP="00F16E23">
            <w:pPr>
              <w:pStyle w:val="TableText"/>
              <w:spacing w:before="40" w:after="40"/>
            </w:pPr>
            <w:r w:rsidRPr="001F4265">
              <w:rPr>
                <w:rFonts w:eastAsia="Calibri"/>
              </w:rPr>
              <w:t>Paint application</w:t>
            </w:r>
          </w:p>
        </w:tc>
        <w:tc>
          <w:tcPr>
            <w:tcW w:w="0" w:type="auto"/>
            <w:shd w:val="clear" w:color="auto" w:fill="FFFFFF"/>
            <w:tcMar>
              <w:top w:w="0" w:type="dxa"/>
              <w:left w:w="85" w:type="dxa"/>
              <w:bottom w:w="0" w:type="dxa"/>
              <w:right w:w="85" w:type="dxa"/>
            </w:tcMar>
            <w:vAlign w:val="center"/>
          </w:tcPr>
          <w:p w14:paraId="35057D72" w14:textId="77777777" w:rsidR="003A5396" w:rsidRPr="001F4265" w:rsidRDefault="003A5396" w:rsidP="00F16E23">
            <w:pPr>
              <w:pStyle w:val="TableText"/>
              <w:spacing w:before="40" w:after="40"/>
              <w:jc w:val="right"/>
            </w:pPr>
            <w:r w:rsidRPr="001F4265">
              <w:rPr>
                <w:rFonts w:eastAsia="Calibri"/>
              </w:rPr>
              <w:t>±40</w:t>
            </w:r>
          </w:p>
        </w:tc>
        <w:tc>
          <w:tcPr>
            <w:tcW w:w="0" w:type="auto"/>
            <w:shd w:val="clear" w:color="auto" w:fill="FFFFFF"/>
            <w:tcMar>
              <w:top w:w="0" w:type="dxa"/>
              <w:left w:w="85" w:type="dxa"/>
              <w:bottom w:w="0" w:type="dxa"/>
              <w:right w:w="85" w:type="dxa"/>
            </w:tcMar>
            <w:vAlign w:val="center"/>
          </w:tcPr>
          <w:p w14:paraId="2EAA478C" w14:textId="77777777" w:rsidR="003A5396" w:rsidRPr="001F4265" w:rsidRDefault="003A5396" w:rsidP="00F16E23">
            <w:pPr>
              <w:pStyle w:val="TableText"/>
              <w:spacing w:before="40" w:after="40"/>
              <w:jc w:val="right"/>
            </w:pPr>
            <w:r w:rsidRPr="001F4265">
              <w:rPr>
                <w:rFonts w:eastAsia="Calibri"/>
              </w:rPr>
              <w:t>±50</w:t>
            </w:r>
          </w:p>
        </w:tc>
      </w:tr>
      <w:tr w:rsidR="003A5396" w:rsidRPr="001F4265" w14:paraId="15F91D0C" w14:textId="77777777" w:rsidTr="00F16E23">
        <w:tc>
          <w:tcPr>
            <w:tcW w:w="0" w:type="auto"/>
            <w:shd w:val="clear" w:color="auto" w:fill="FFFFFF"/>
            <w:tcMar>
              <w:top w:w="0" w:type="dxa"/>
              <w:left w:w="85" w:type="dxa"/>
              <w:bottom w:w="0" w:type="dxa"/>
              <w:right w:w="85" w:type="dxa"/>
            </w:tcMar>
            <w:vAlign w:val="center"/>
          </w:tcPr>
          <w:p w14:paraId="4AE4974A" w14:textId="77777777" w:rsidR="003A5396" w:rsidRPr="001F4265" w:rsidRDefault="003A5396" w:rsidP="00F16E23">
            <w:pPr>
              <w:pStyle w:val="TableText"/>
              <w:spacing w:before="40" w:after="40"/>
            </w:pPr>
            <w:r w:rsidRPr="001F4265">
              <w:rPr>
                <w:rFonts w:eastAsia="Calibri"/>
              </w:rPr>
              <w:t>Degreasing and dry cleaning</w:t>
            </w:r>
          </w:p>
        </w:tc>
        <w:tc>
          <w:tcPr>
            <w:tcW w:w="0" w:type="auto"/>
            <w:shd w:val="clear" w:color="auto" w:fill="FFFFFF"/>
            <w:tcMar>
              <w:top w:w="0" w:type="dxa"/>
              <w:left w:w="85" w:type="dxa"/>
              <w:bottom w:w="0" w:type="dxa"/>
              <w:right w:w="85" w:type="dxa"/>
            </w:tcMar>
            <w:vAlign w:val="center"/>
          </w:tcPr>
          <w:p w14:paraId="3E8CDFA7" w14:textId="77777777" w:rsidR="003A5396" w:rsidRPr="001F4265" w:rsidRDefault="003A5396" w:rsidP="00F16E23">
            <w:pPr>
              <w:pStyle w:val="TableText"/>
              <w:spacing w:before="40" w:after="40"/>
              <w:jc w:val="right"/>
            </w:pPr>
            <w:r w:rsidRPr="001F4265">
              <w:rPr>
                <w:rFonts w:eastAsia="Calibri"/>
              </w:rPr>
              <w:t>±40</w:t>
            </w:r>
          </w:p>
        </w:tc>
        <w:tc>
          <w:tcPr>
            <w:tcW w:w="0" w:type="auto"/>
            <w:shd w:val="clear" w:color="auto" w:fill="FFFFFF"/>
            <w:tcMar>
              <w:top w:w="0" w:type="dxa"/>
              <w:left w:w="85" w:type="dxa"/>
              <w:bottom w:w="0" w:type="dxa"/>
              <w:right w:w="85" w:type="dxa"/>
            </w:tcMar>
            <w:vAlign w:val="center"/>
          </w:tcPr>
          <w:p w14:paraId="3D6CE77B" w14:textId="77777777" w:rsidR="003A5396" w:rsidRPr="001F4265" w:rsidRDefault="003A5396" w:rsidP="00F16E23">
            <w:pPr>
              <w:pStyle w:val="TableText"/>
              <w:spacing w:before="40" w:after="40"/>
              <w:jc w:val="right"/>
            </w:pPr>
            <w:r w:rsidRPr="001F4265">
              <w:rPr>
                <w:rFonts w:eastAsia="Calibri"/>
              </w:rPr>
              <w:t>±60</w:t>
            </w:r>
          </w:p>
        </w:tc>
      </w:tr>
      <w:tr w:rsidR="003A5396" w:rsidRPr="001F4265" w14:paraId="53C5E666" w14:textId="77777777" w:rsidTr="00F16E23">
        <w:tc>
          <w:tcPr>
            <w:tcW w:w="0" w:type="auto"/>
            <w:shd w:val="clear" w:color="auto" w:fill="FFFFFF"/>
            <w:tcMar>
              <w:top w:w="0" w:type="dxa"/>
              <w:left w:w="85" w:type="dxa"/>
              <w:bottom w:w="0" w:type="dxa"/>
              <w:right w:w="85" w:type="dxa"/>
            </w:tcMar>
            <w:vAlign w:val="center"/>
          </w:tcPr>
          <w:p w14:paraId="10DC1427" w14:textId="77777777" w:rsidR="003A5396" w:rsidRPr="001F4265" w:rsidRDefault="003A5396" w:rsidP="00F16E23">
            <w:pPr>
              <w:pStyle w:val="TableText"/>
              <w:spacing w:before="40" w:after="40"/>
            </w:pPr>
            <w:r w:rsidRPr="001F4265">
              <w:rPr>
                <w:rFonts w:eastAsia="Calibri"/>
              </w:rPr>
              <w:t>Printing</w:t>
            </w:r>
          </w:p>
        </w:tc>
        <w:tc>
          <w:tcPr>
            <w:tcW w:w="0" w:type="auto"/>
            <w:shd w:val="clear" w:color="auto" w:fill="FFFFFF"/>
            <w:tcMar>
              <w:top w:w="0" w:type="dxa"/>
              <w:left w:w="85" w:type="dxa"/>
              <w:bottom w:w="0" w:type="dxa"/>
              <w:right w:w="85" w:type="dxa"/>
            </w:tcMar>
            <w:vAlign w:val="center"/>
          </w:tcPr>
          <w:p w14:paraId="65FDD7E2" w14:textId="77777777" w:rsidR="003A5396" w:rsidRPr="001F4265" w:rsidRDefault="003A5396" w:rsidP="00F16E23">
            <w:pPr>
              <w:pStyle w:val="TableText"/>
              <w:spacing w:before="40" w:after="40"/>
              <w:jc w:val="right"/>
            </w:pPr>
            <w:r w:rsidRPr="001F4265">
              <w:rPr>
                <w:rFonts w:eastAsia="Calibri"/>
              </w:rPr>
              <w:t>±50</w:t>
            </w:r>
          </w:p>
        </w:tc>
        <w:tc>
          <w:tcPr>
            <w:tcW w:w="0" w:type="auto"/>
            <w:shd w:val="clear" w:color="auto" w:fill="FFFFFF"/>
            <w:tcMar>
              <w:top w:w="0" w:type="dxa"/>
              <w:left w:w="85" w:type="dxa"/>
              <w:bottom w:w="0" w:type="dxa"/>
              <w:right w:w="85" w:type="dxa"/>
            </w:tcMar>
            <w:vAlign w:val="center"/>
          </w:tcPr>
          <w:p w14:paraId="564FF063" w14:textId="77777777" w:rsidR="003A5396" w:rsidRPr="001F4265" w:rsidRDefault="003A5396" w:rsidP="00F16E23">
            <w:pPr>
              <w:pStyle w:val="TableText"/>
              <w:spacing w:before="40" w:after="40"/>
              <w:jc w:val="right"/>
            </w:pPr>
            <w:r w:rsidRPr="001F4265">
              <w:rPr>
                <w:rFonts w:eastAsia="Calibri"/>
              </w:rPr>
              <w:t>±50</w:t>
            </w:r>
          </w:p>
        </w:tc>
      </w:tr>
      <w:tr w:rsidR="003A5396" w:rsidRPr="001F4265" w14:paraId="19F5F05A" w14:textId="77777777" w:rsidTr="00F16E23">
        <w:tc>
          <w:tcPr>
            <w:tcW w:w="0" w:type="auto"/>
            <w:shd w:val="clear" w:color="auto" w:fill="FFFFFF"/>
            <w:tcMar>
              <w:top w:w="0" w:type="dxa"/>
              <w:left w:w="85" w:type="dxa"/>
              <w:bottom w:w="0" w:type="dxa"/>
              <w:right w:w="85" w:type="dxa"/>
            </w:tcMar>
            <w:vAlign w:val="center"/>
          </w:tcPr>
          <w:p w14:paraId="6A24A820" w14:textId="77777777" w:rsidR="003A5396" w:rsidRPr="001F4265" w:rsidRDefault="003A5396" w:rsidP="00F16E23">
            <w:pPr>
              <w:pStyle w:val="TableText"/>
              <w:spacing w:before="40" w:after="40"/>
            </w:pPr>
            <w:r w:rsidRPr="001F4265">
              <w:rPr>
                <w:rFonts w:eastAsia="Calibri"/>
              </w:rPr>
              <w:t>Domestic and commercial solvent use</w:t>
            </w:r>
          </w:p>
        </w:tc>
        <w:tc>
          <w:tcPr>
            <w:tcW w:w="0" w:type="auto"/>
            <w:shd w:val="clear" w:color="auto" w:fill="FFFFFF"/>
            <w:tcMar>
              <w:top w:w="0" w:type="dxa"/>
              <w:left w:w="85" w:type="dxa"/>
              <w:bottom w:w="0" w:type="dxa"/>
              <w:right w:w="85" w:type="dxa"/>
            </w:tcMar>
            <w:vAlign w:val="center"/>
          </w:tcPr>
          <w:p w14:paraId="1B52C1FF" w14:textId="77777777" w:rsidR="003A5396" w:rsidRPr="001F4265" w:rsidRDefault="003A5396" w:rsidP="00F16E23">
            <w:pPr>
              <w:pStyle w:val="TableText"/>
              <w:spacing w:before="40" w:after="40"/>
              <w:jc w:val="right"/>
            </w:pPr>
            <w:r w:rsidRPr="001F4265">
              <w:rPr>
                <w:rFonts w:eastAsia="Calibri"/>
              </w:rPr>
              <w:t>±50</w:t>
            </w:r>
          </w:p>
        </w:tc>
        <w:tc>
          <w:tcPr>
            <w:tcW w:w="0" w:type="auto"/>
            <w:shd w:val="clear" w:color="auto" w:fill="FFFFFF"/>
            <w:tcMar>
              <w:top w:w="0" w:type="dxa"/>
              <w:left w:w="85" w:type="dxa"/>
              <w:bottom w:w="0" w:type="dxa"/>
              <w:right w:w="85" w:type="dxa"/>
            </w:tcMar>
            <w:vAlign w:val="center"/>
          </w:tcPr>
          <w:p w14:paraId="50E91C77" w14:textId="77777777" w:rsidR="003A5396" w:rsidRPr="001F4265" w:rsidRDefault="003A5396" w:rsidP="00F16E23">
            <w:pPr>
              <w:pStyle w:val="TableText"/>
              <w:spacing w:before="40" w:after="40"/>
              <w:jc w:val="right"/>
            </w:pPr>
            <w:r w:rsidRPr="001F4265">
              <w:rPr>
                <w:rFonts w:eastAsia="Calibri"/>
              </w:rPr>
              <w:t>±60</w:t>
            </w:r>
          </w:p>
        </w:tc>
      </w:tr>
    </w:tbl>
    <w:p w14:paraId="0B126E7C" w14:textId="77777777" w:rsidR="003A5396" w:rsidRPr="001F4265" w:rsidRDefault="003A5396" w:rsidP="003A5396">
      <w:pPr>
        <w:pStyle w:val="Heading4"/>
        <w:spacing w:before="440"/>
      </w:pPr>
      <w:r w:rsidRPr="001F4265">
        <w:t>Time-series consistency</w:t>
      </w:r>
    </w:p>
    <w:p w14:paraId="5D2550F4" w14:textId="77777777" w:rsidR="003A5396" w:rsidRPr="001F4265" w:rsidRDefault="003A5396" w:rsidP="003A5396">
      <w:pPr>
        <w:pStyle w:val="BodyText"/>
      </w:pPr>
      <w:r w:rsidRPr="001F4265">
        <w:t>For CO</w:t>
      </w:r>
      <w:r w:rsidRPr="001F4265">
        <w:rPr>
          <w:vertAlign w:val="subscript"/>
        </w:rPr>
        <w:t>2</w:t>
      </w:r>
      <w:r w:rsidRPr="001F4265">
        <w:t xml:space="preserve"> emissions in this category, the activity data have been extrapolated and emission factors are defaults. The implied emission factors and time-series consistency reflect this.</w:t>
      </w:r>
    </w:p>
    <w:p w14:paraId="7B9F8C89" w14:textId="77777777" w:rsidR="003A5396" w:rsidRPr="001F4265" w:rsidRDefault="003A5396" w:rsidP="003A5396">
      <w:pPr>
        <w:pStyle w:val="Heading3"/>
      </w:pPr>
      <w:r w:rsidRPr="001F4265">
        <w:t xml:space="preserve">4.5.4 </w:t>
      </w:r>
      <w:r w:rsidRPr="001F4265">
        <w:tab/>
        <w:t>Category-specific QA/QC and verification</w:t>
      </w:r>
    </w:p>
    <w:p w14:paraId="32DF5330" w14:textId="77777777" w:rsidR="003A5396" w:rsidRPr="001F4265" w:rsidRDefault="003A5396" w:rsidP="003A5396">
      <w:pPr>
        <w:pStyle w:val="BodyText"/>
      </w:pPr>
      <w:r w:rsidRPr="001F4265">
        <w:t>Verification of the data from independent sources was not feasible.</w:t>
      </w:r>
    </w:p>
    <w:p w14:paraId="3C87362C" w14:textId="77777777" w:rsidR="003A5396" w:rsidRPr="001F4265" w:rsidRDefault="003A5396" w:rsidP="003A5396">
      <w:pPr>
        <w:pStyle w:val="Heading3"/>
      </w:pPr>
      <w:r w:rsidRPr="001F4265">
        <w:t xml:space="preserve">4.5.5 </w:t>
      </w:r>
      <w:r w:rsidRPr="001F4265">
        <w:tab/>
        <w:t>Category-specific recalculations</w:t>
      </w:r>
    </w:p>
    <w:p w14:paraId="2A3618BE" w14:textId="77777777" w:rsidR="003A5396" w:rsidRPr="001F4265" w:rsidRDefault="003A5396" w:rsidP="003A5396">
      <w:pPr>
        <w:pStyle w:val="BodyText"/>
      </w:pPr>
      <w:r w:rsidRPr="001F4265">
        <w:t>Changes made in the lubricant activity data have led to a decrease of average annual emissions by 16.7 kt in this category between 1990 and 2023.</w:t>
      </w:r>
    </w:p>
    <w:p w14:paraId="785FF3EE" w14:textId="77777777" w:rsidR="003A5396" w:rsidRPr="001F4265" w:rsidRDefault="003A5396" w:rsidP="003A5396">
      <w:pPr>
        <w:pStyle w:val="Heading3"/>
      </w:pPr>
      <w:r w:rsidRPr="001F4265">
        <w:t xml:space="preserve">4.5.6 </w:t>
      </w:r>
      <w:r w:rsidRPr="001F4265">
        <w:tab/>
        <w:t>Category-specific planned improvements</w:t>
      </w:r>
    </w:p>
    <w:p w14:paraId="141DF989" w14:textId="77777777" w:rsidR="003A5396" w:rsidRPr="001F4265" w:rsidRDefault="003A5396" w:rsidP="003A5396">
      <w:pPr>
        <w:pStyle w:val="BodyText"/>
      </w:pPr>
      <w:r w:rsidRPr="001F4265">
        <w:t>This category is not a priority for improvement, due to the small scale of emissions. The inventory agency will make use of improved activity data where possible, particularly for lubricants and urea-based catalysts.</w:t>
      </w:r>
    </w:p>
    <w:p w14:paraId="5CFAAAD9" w14:textId="77777777" w:rsidR="003A5396" w:rsidRPr="001F4265" w:rsidRDefault="003A5396" w:rsidP="003A5396">
      <w:pPr>
        <w:pStyle w:val="Heading2"/>
      </w:pPr>
      <w:bookmarkStart w:id="518" w:name="_Toc226460763"/>
      <w:bookmarkStart w:id="519" w:name="electronics-industry-2.e"/>
      <w:bookmarkEnd w:id="507"/>
      <w:r w:rsidRPr="001F4265">
        <w:t xml:space="preserve">4.6 </w:t>
      </w:r>
      <w:r w:rsidRPr="001F4265">
        <w:tab/>
        <w:t>Electronics industry (2.E)</w:t>
      </w:r>
      <w:bookmarkEnd w:id="518"/>
    </w:p>
    <w:p w14:paraId="17793BDF" w14:textId="77777777" w:rsidR="003A5396" w:rsidRPr="001F4265" w:rsidRDefault="003A5396" w:rsidP="003A5396">
      <w:pPr>
        <w:pStyle w:val="BodyText"/>
      </w:pPr>
      <w:r w:rsidRPr="001F4265">
        <w:t>New Zealand has no significant industry engaged in the manufacture of electronic products, and no emissions are reported in this category.</w:t>
      </w:r>
    </w:p>
    <w:p w14:paraId="20FAA937" w14:textId="77777777" w:rsidR="003A5396" w:rsidRPr="001F4265" w:rsidRDefault="003A5396" w:rsidP="003A5396">
      <w:pPr>
        <w:pStyle w:val="Heading2"/>
      </w:pPr>
      <w:bookmarkStart w:id="520" w:name="_Toc226460764"/>
      <w:bookmarkStart w:id="521" w:name="product-uses-as-substitutes-for-ods-2.f"/>
      <w:bookmarkEnd w:id="519"/>
      <w:r w:rsidRPr="001F4265">
        <w:t xml:space="preserve">4.7 </w:t>
      </w:r>
      <w:r w:rsidRPr="001F4265">
        <w:tab/>
        <w:t>Product uses as substitutes for ODS (2.F)</w:t>
      </w:r>
      <w:bookmarkEnd w:id="520"/>
    </w:p>
    <w:p w14:paraId="4B3A563B" w14:textId="77777777" w:rsidR="003A5396" w:rsidRPr="001F4265" w:rsidRDefault="003A5396" w:rsidP="003A5396">
      <w:pPr>
        <w:pStyle w:val="Heading3"/>
        <w:spacing w:before="240"/>
      </w:pPr>
      <w:r w:rsidRPr="001F4265">
        <w:t xml:space="preserve">4.7.1 </w:t>
      </w:r>
      <w:r w:rsidRPr="001F4265">
        <w:tab/>
        <w:t>Description</w:t>
      </w:r>
    </w:p>
    <w:p w14:paraId="180AF891" w14:textId="77777777" w:rsidR="003A5396" w:rsidRPr="001F4265" w:rsidRDefault="003A5396" w:rsidP="003A5396">
      <w:pPr>
        <w:pStyle w:val="BodyText"/>
      </w:pPr>
      <w:r w:rsidRPr="001F4265">
        <w:rPr>
          <w:spacing w:val="-2"/>
        </w:rPr>
        <w:t>Hydrofluorocarbons are used in a wide range of equipment and products, including refrigeration</w:t>
      </w:r>
      <w:r w:rsidRPr="001F4265">
        <w:t xml:space="preserve"> and air conditioning systems and aerosols. Small amounts of PFCs have also been used in these </w:t>
      </w:r>
      <w:r w:rsidRPr="001F4265">
        <w:rPr>
          <w:spacing w:val="-2"/>
        </w:rPr>
        <w:t>applications in some years. No HFCs or PFCs are manufactured in New Zealand. Perfluorocarbons</w:t>
      </w:r>
      <w:r w:rsidRPr="001F4265">
        <w:t xml:space="preserve"> are also emitted from the aluminium-smelting process and these emissions are reported in the </w:t>
      </w:r>
      <w:r w:rsidRPr="001F4265">
        <w:rPr>
          <w:i/>
          <w:iCs/>
        </w:rPr>
        <w:t>Metal industry</w:t>
      </w:r>
      <w:r w:rsidRPr="001F4265">
        <w:t xml:space="preserve"> category (2.C.3.b).</w:t>
      </w:r>
    </w:p>
    <w:p w14:paraId="77EE9210" w14:textId="77777777" w:rsidR="003A5396" w:rsidRPr="001F4265" w:rsidRDefault="003A5396" w:rsidP="003A5396">
      <w:pPr>
        <w:pStyle w:val="BodyText"/>
      </w:pPr>
      <w:r w:rsidRPr="001F4265">
        <w:t>The use of HFCs in New Zealand began in 1992 and has increased since the mid-1990s when chlorofluorocarbons (CFCs) and hydrochlorofluorocarbons (HCFCs) began to be phased out under the Montreal Protocol. The Ozone Layer Protection Act 1996 set out a programme for phasing out the use of ODS in New Zealand. New Zealand is a signatory to the Kigali Amendment to the Montreal Protocol and is now phasing down the consumption of HFCs. The phase-down is being implemented through a permitting system for imports, which began on 1 January 2020.</w:t>
      </w:r>
    </w:p>
    <w:p w14:paraId="16666348" w14:textId="77777777" w:rsidR="003A5396" w:rsidRPr="001F4265" w:rsidRDefault="003A5396" w:rsidP="003A5396">
      <w:pPr>
        <w:pStyle w:val="BodyText"/>
      </w:pPr>
      <w:r w:rsidRPr="001F4265">
        <w:t xml:space="preserve">In 2024, emissions from the </w:t>
      </w:r>
      <w:r w:rsidRPr="001F4265">
        <w:rPr>
          <w:i/>
          <w:iCs/>
        </w:rPr>
        <w:t>Product uses as substitutes for ODS</w:t>
      </w:r>
      <w:r w:rsidRPr="001F4265">
        <w:t xml:space="preserve"> category were 1,042.6 kt CO</w:t>
      </w:r>
      <w:r w:rsidRPr="001F4265">
        <w:rPr>
          <w:vertAlign w:val="subscript"/>
        </w:rPr>
        <w:t>2</w:t>
      </w:r>
      <w:r w:rsidRPr="001F4265">
        <w:t>e or 26.8 percent of emissions from the IPPU sector. This was an increase of 369.5 kt CO</w:t>
      </w:r>
      <w:r w:rsidRPr="001F4265">
        <w:rPr>
          <w:vertAlign w:val="subscript"/>
        </w:rPr>
        <w:t>2</w:t>
      </w:r>
      <w:r w:rsidRPr="001F4265">
        <w:t>e (54.9 percent) from the 2005 level of 673.1 kt CO</w:t>
      </w:r>
      <w:r w:rsidRPr="001F4265">
        <w:rPr>
          <w:vertAlign w:val="subscript"/>
        </w:rPr>
        <w:t>2</w:t>
      </w:r>
      <w:r w:rsidRPr="001F4265">
        <w:t>e. No HFCs or PFCs were used in 1990. The first consumption of HFCs in New Zealand was reported in 1992 and the first consumption of PFCs in 1995.</w:t>
      </w:r>
    </w:p>
    <w:p w14:paraId="70FB712F" w14:textId="77777777" w:rsidR="003A5396" w:rsidRPr="001F4265" w:rsidRDefault="003A5396" w:rsidP="003A5396">
      <w:pPr>
        <w:pStyle w:val="BodyText"/>
      </w:pPr>
      <w:r w:rsidRPr="001F4265">
        <w:t xml:space="preserve">Most of these emissions come from the use of HFCs in the </w:t>
      </w:r>
      <w:r w:rsidRPr="001F4265">
        <w:rPr>
          <w:i/>
          <w:iCs/>
        </w:rPr>
        <w:t>Refrigeration and air conditioning</w:t>
      </w:r>
      <w:r w:rsidRPr="001F4265">
        <w:t xml:space="preserve"> category. Emissions from the use of HFCs in the </w:t>
      </w:r>
      <w:r w:rsidRPr="001F4265">
        <w:rPr>
          <w:i/>
          <w:iCs/>
        </w:rPr>
        <w:t>Refrigeration and air conditioning</w:t>
      </w:r>
      <w:r w:rsidRPr="001F4265">
        <w:t xml:space="preserve"> category (level and trend assessment) were identified as a key category.</w:t>
      </w:r>
    </w:p>
    <w:p w14:paraId="79320278" w14:textId="77777777" w:rsidR="003A5396" w:rsidRPr="001F4265" w:rsidRDefault="003A5396" w:rsidP="003A5396">
      <w:pPr>
        <w:pStyle w:val="Heading3"/>
      </w:pPr>
      <w:r w:rsidRPr="001F4265">
        <w:t xml:space="preserve">4.7.2 </w:t>
      </w:r>
      <w:r w:rsidRPr="001F4265">
        <w:tab/>
        <w:t>Methodological issues</w:t>
      </w:r>
    </w:p>
    <w:p w14:paraId="0E95B31A" w14:textId="77777777" w:rsidR="003A5396" w:rsidRPr="001F4265" w:rsidRDefault="003A5396" w:rsidP="003A5396">
      <w:pPr>
        <w:pStyle w:val="Heading4"/>
        <w:spacing w:before="180"/>
      </w:pPr>
      <w:bookmarkStart w:id="522" w:name="choice-of-activity-data-4"/>
      <w:r w:rsidRPr="001F4265">
        <w:t>Choice of activity data</w:t>
      </w:r>
    </w:p>
    <w:p w14:paraId="2004A984" w14:textId="77777777" w:rsidR="003A5396" w:rsidRPr="001F4265" w:rsidRDefault="003A5396" w:rsidP="003A5396">
      <w:pPr>
        <w:pStyle w:val="BodyText"/>
      </w:pPr>
      <w:r w:rsidRPr="001F4265">
        <w:t>New Zealand imports substantial amounts of new HFCs, mainly for use as refrigerants, both in bulk and in factory-charged equipment. Both bulk chemicals and equipment charged in New Zealand are exported, but on a much smaller scale.</w:t>
      </w:r>
    </w:p>
    <w:p w14:paraId="6DE7E1DA" w14:textId="77777777" w:rsidR="003A5396" w:rsidRPr="001F4265" w:rsidRDefault="003A5396" w:rsidP="003A5396">
      <w:pPr>
        <w:pStyle w:val="BodyText"/>
      </w:pPr>
      <w:r w:rsidRPr="001F4265">
        <w:t xml:space="preserve">Most of the activity data for the </w:t>
      </w:r>
      <w:r w:rsidRPr="001F4265">
        <w:rPr>
          <w:i/>
          <w:iCs/>
        </w:rPr>
        <w:t>Product uses as substitutes for ODS</w:t>
      </w:r>
      <w:r w:rsidRPr="001F4265">
        <w:t xml:space="preserve"> category are collected using annual surveys of companies that import, distribute and export refrigerants and other synthetic gases, manufacture or import products containing them or use them on a significant scale (Verum Group, unpublished).</w:t>
      </w:r>
    </w:p>
    <w:p w14:paraId="73D04B2C" w14:textId="77777777" w:rsidR="003A5396" w:rsidRPr="001F4265" w:rsidRDefault="003A5396" w:rsidP="003A5396">
      <w:pPr>
        <w:pStyle w:val="BodyText"/>
      </w:pPr>
      <w:r w:rsidRPr="001F4265">
        <w:t>Data on bulk imports and exports of refrigerant, and factory-charged imported and exported equipment, were obtained using a survey. Detailed information on the supplies and banks of chemical in each sub-application was obtained from survey questionnaires and follow-up calls to request specific data. The survey included:</w:t>
      </w:r>
    </w:p>
    <w:p w14:paraId="18E0D53E" w14:textId="77777777" w:rsidR="003A5396" w:rsidRPr="001F4265" w:rsidRDefault="003A5396" w:rsidP="003A5396">
      <w:pPr>
        <w:pStyle w:val="Bullet"/>
      </w:pPr>
      <w:r w:rsidRPr="001F4265">
        <w:t>14 companies known to be significant importers and distributors of HFCs and PFCs</w:t>
      </w:r>
    </w:p>
    <w:p w14:paraId="0461618D" w14:textId="77777777" w:rsidR="003A5396" w:rsidRPr="001F4265" w:rsidRDefault="003A5396" w:rsidP="003A5396">
      <w:pPr>
        <w:pStyle w:val="Bullet"/>
      </w:pPr>
      <w:r w:rsidRPr="001F4265">
        <w:t>approximately 50 manufacturers, exporters, importers and significant users of air conditioning and refrigeration systems and equipment</w:t>
      </w:r>
    </w:p>
    <w:p w14:paraId="26E81047" w14:textId="77777777" w:rsidR="003A5396" w:rsidRPr="001F4265" w:rsidRDefault="003A5396" w:rsidP="003A5396">
      <w:pPr>
        <w:pStyle w:val="Bullet"/>
      </w:pPr>
      <w:r w:rsidRPr="001F4265">
        <w:t>importers, service agents and installers of vehicle air conditioners, and their trade association</w:t>
      </w:r>
    </w:p>
    <w:p w14:paraId="2FC53428" w14:textId="77777777" w:rsidR="003A5396" w:rsidRPr="001F4265" w:rsidRDefault="003A5396" w:rsidP="003A5396">
      <w:pPr>
        <w:pStyle w:val="Bullet"/>
      </w:pPr>
      <w:r w:rsidRPr="001F4265">
        <w:t>the three companies that supply fire protection equipment</w:t>
      </w:r>
    </w:p>
    <w:p w14:paraId="3B6EBD7F" w14:textId="77777777" w:rsidR="003A5396" w:rsidRPr="001F4265" w:rsidRDefault="003A5396" w:rsidP="003A5396">
      <w:pPr>
        <w:pStyle w:val="Bullet"/>
      </w:pPr>
      <w:r w:rsidRPr="001F4265">
        <w:t>five foam blowing companies and their suppliers</w:t>
      </w:r>
    </w:p>
    <w:p w14:paraId="2268783F" w14:textId="77777777" w:rsidR="003A5396" w:rsidRPr="001F4265" w:rsidRDefault="003A5396" w:rsidP="003A5396">
      <w:pPr>
        <w:pStyle w:val="Bullet"/>
      </w:pPr>
      <w:r w:rsidRPr="001F4265">
        <w:t>the government pharmaceutical purchasing agency (Pharmac)</w:t>
      </w:r>
    </w:p>
    <w:p w14:paraId="1CD9CAD3" w14:textId="77777777" w:rsidR="003A5396" w:rsidRPr="001F4265" w:rsidRDefault="003A5396" w:rsidP="003A5396">
      <w:pPr>
        <w:pStyle w:val="Bullet"/>
      </w:pPr>
      <w:r w:rsidRPr="001F4265">
        <w:t>aerosol importers</w:t>
      </w:r>
    </w:p>
    <w:p w14:paraId="6A46D47F" w14:textId="77777777" w:rsidR="003A5396" w:rsidRPr="001F4265" w:rsidRDefault="003A5396" w:rsidP="003A5396">
      <w:pPr>
        <w:pStyle w:val="Bullet"/>
      </w:pPr>
      <w:r w:rsidRPr="001F4265">
        <w:t>four past importers of SF</w:t>
      </w:r>
      <w:r w:rsidRPr="001F4265">
        <w:rPr>
          <w:vertAlign w:val="subscript"/>
        </w:rPr>
        <w:t>6</w:t>
      </w:r>
    </w:p>
    <w:p w14:paraId="3A52EFCB" w14:textId="77777777" w:rsidR="003A5396" w:rsidRPr="001F4265" w:rsidRDefault="003A5396" w:rsidP="003A5396">
      <w:pPr>
        <w:pStyle w:val="Bullet"/>
      </w:pPr>
      <w:r w:rsidRPr="001F4265">
        <w:t>eighteen main SF</w:t>
      </w:r>
      <w:r w:rsidRPr="001F4265">
        <w:rPr>
          <w:vertAlign w:val="subscript"/>
        </w:rPr>
        <w:t>6</w:t>
      </w:r>
      <w:r w:rsidRPr="001F4265">
        <w:t xml:space="preserve"> electrical users.</w:t>
      </w:r>
    </w:p>
    <w:p w14:paraId="1AC6088E" w14:textId="77777777" w:rsidR="003A5396" w:rsidRPr="001F4265" w:rsidRDefault="003A5396" w:rsidP="003A5396">
      <w:pPr>
        <w:pStyle w:val="BodyText"/>
      </w:pPr>
      <w:r w:rsidRPr="001F4265">
        <w:t>Equipment sales data are also sourced from the Energy Efficiency and Conservation Authority for equipment reported under New Zealand’s mandatory energy efficiency labelling scheme. Import data are sourced from Stats NZ and the EPA for information derived from the NZ ETS and climate change levy.</w:t>
      </w:r>
    </w:p>
    <w:p w14:paraId="3A42DFD7" w14:textId="77777777" w:rsidR="003A5396" w:rsidRPr="001F4265" w:rsidRDefault="003A5396" w:rsidP="003A5396">
      <w:pPr>
        <w:pStyle w:val="Heading5"/>
      </w:pPr>
      <w:bookmarkStart w:id="523" w:name="refrigeration-and-air-conditioning-2.f.1"/>
      <w:r w:rsidRPr="001F4265">
        <w:t>Refrigeration and air conditioning (2.F.1)</w:t>
      </w:r>
    </w:p>
    <w:p w14:paraId="3292140C" w14:textId="77777777" w:rsidR="003A5396" w:rsidRPr="001F4265" w:rsidRDefault="003A5396" w:rsidP="003A5396">
      <w:pPr>
        <w:pStyle w:val="BodyText"/>
      </w:pPr>
      <w:r w:rsidRPr="001F4265">
        <w:t>Data are used to estimate the annual sales of new refrigerant and the total charge of new equipment, for input into the mass balance equation used to estimate emissions of each compound for each sub-application.</w:t>
      </w:r>
    </w:p>
    <w:p w14:paraId="2917DB24" w14:textId="77777777" w:rsidR="003A5396" w:rsidRPr="001F4265" w:rsidRDefault="003A5396" w:rsidP="003A5396">
      <w:pPr>
        <w:pStyle w:val="BodyText"/>
      </w:pPr>
      <w:r w:rsidRPr="001F4265">
        <w:t>This information has been used to assess the mass balance for each sub-application. However, the attribution of bulk chemical to individual sub-applications is less accurate than the data on total amounts of each chemical imported. It is consistently challenging to attribute bulk chemical accurately to each of the six specific sub-applications.</w:t>
      </w:r>
    </w:p>
    <w:p w14:paraId="133EB232" w14:textId="77777777" w:rsidR="003A5396" w:rsidRPr="001F4265" w:rsidRDefault="003A5396" w:rsidP="003A5396">
      <w:pPr>
        <w:pStyle w:val="BodyText"/>
        <w:spacing w:after="100"/>
      </w:pPr>
      <w:r w:rsidRPr="001F4265">
        <w:t>The accurate attribution of bulk chemical to a specific year of use is also challenging, due to large year-to-year variations in the amounts imported. Imports to New Zealand are variable at any time, due to the small amounts of some refrigerants that are used. In addition, import volumes have fluctuated at various times. Significant stockpiling of refrigerant gases occurred in anticipation of NZ ETS obligations in 2013. Stockpiling also appears to have occurred in other years, in response to various price and policy changes. Stock changes are an important factor in applying the mass balance approach to calculate emissions.</w:t>
      </w:r>
    </w:p>
    <w:p w14:paraId="6746F1E4" w14:textId="77777777" w:rsidR="003A5396" w:rsidRPr="001F4265" w:rsidRDefault="003A5396" w:rsidP="003A5396">
      <w:pPr>
        <w:pStyle w:val="BodyText"/>
        <w:spacing w:before="100" w:after="100"/>
      </w:pPr>
      <w:r w:rsidRPr="001F4265">
        <w:t>Care is also needed to avoid double counting of chemical that is sold more than once by wholesalers and other owners before it is used.</w:t>
      </w:r>
    </w:p>
    <w:p w14:paraId="27BAADD8" w14:textId="77777777" w:rsidR="003A5396" w:rsidRPr="001F4265" w:rsidRDefault="003A5396" w:rsidP="003A5396">
      <w:pPr>
        <w:pStyle w:val="BodyText"/>
        <w:spacing w:before="100" w:after="100"/>
      </w:pPr>
      <w:r w:rsidRPr="001F4265">
        <w:t>Additionally, the data on the imports of refrigerant in pre-charged equipment are incomplete and inaccurate. Total reported imports do not appear to fully account for the quantities in equipment that is sold, as indicated by New Zealand’s mandatory product labelling scheme. The number of vehicles imported is known accurately (</w:t>
      </w:r>
      <w:r w:rsidRPr="001F4265">
        <w:rPr>
          <w:i/>
          <w:iCs/>
        </w:rPr>
        <w:t>Mobile air conditioning</w:t>
      </w:r>
      <w:r w:rsidRPr="001F4265">
        <w:t>) but there is significant uncertainty in the quantities of refrigerant in each vehicle due to the variety of new and second-hand models imported.</w:t>
      </w:r>
    </w:p>
    <w:p w14:paraId="3FABEE2B" w14:textId="77777777" w:rsidR="003A5396" w:rsidRPr="001F4265" w:rsidRDefault="003A5396" w:rsidP="003A5396">
      <w:pPr>
        <w:pStyle w:val="BodyText"/>
        <w:spacing w:before="100" w:after="100"/>
      </w:pPr>
      <w:r w:rsidRPr="001F4265">
        <w:t>As a result of these challenges, several expert judgements were made to attribute activity data for each HFC over time and across sub-applications. These are documented in the report by Verum Group (unpublished) and in the stock models used to calculate emissions.</w:t>
      </w:r>
    </w:p>
    <w:p w14:paraId="41DCB206" w14:textId="77777777" w:rsidR="003A5396" w:rsidRPr="001F4265" w:rsidRDefault="003A5396" w:rsidP="003A5396">
      <w:pPr>
        <w:pStyle w:val="BodyText"/>
        <w:spacing w:before="100" w:after="100"/>
      </w:pPr>
      <w:r w:rsidRPr="001F4265">
        <w:t xml:space="preserve">For the </w:t>
      </w:r>
      <w:r w:rsidRPr="001F4265">
        <w:rPr>
          <w:i/>
          <w:iCs/>
        </w:rPr>
        <w:t>Mobile air conditioning</w:t>
      </w:r>
      <w:r w:rsidRPr="001F4265">
        <w:t xml:space="preserve"> sub-application, only HFC-134a is used in New Zealand and has been since 1994. Data on vehicle registrations and fleet numbers are provided by the New Zealand Transport Agency. Estimates of the annual amount added to the bank, and first fill emissions, are based on information on the number of new cars, trucks and buses with air conditioning added to the fleet each year. The results of the survey of bulk importers and distributors were also used to help determine the amount of HFC-134a sold for mobile air conditioning.</w:t>
      </w:r>
    </w:p>
    <w:p w14:paraId="4AA6782E" w14:textId="77777777" w:rsidR="003A5396" w:rsidRPr="001F4265" w:rsidRDefault="003A5396" w:rsidP="003A5396">
      <w:pPr>
        <w:pStyle w:val="BodyText"/>
        <w:spacing w:before="100" w:after="100"/>
      </w:pPr>
      <w:r w:rsidRPr="001F4265">
        <w:t>In 2009, the average charge of HFC-134a in vehicle air conditioning systems added to the bank at that time was estimated to be as shown in table 4.7.1, based on IPCC defaults and information from the industry.</w:t>
      </w:r>
    </w:p>
    <w:p w14:paraId="6F5D5B0B" w14:textId="77777777" w:rsidR="003A5396" w:rsidRPr="001F4265" w:rsidRDefault="003A5396" w:rsidP="003A5396">
      <w:pPr>
        <w:pStyle w:val="Table"/>
      </w:pPr>
      <w:bookmarkStart w:id="524" w:name="_Toc226668981"/>
      <w:r w:rsidRPr="001F4265">
        <w:t xml:space="preserve">Table 4.7.1 </w:t>
      </w:r>
      <w:r w:rsidRPr="001F4265">
        <w:tab/>
        <w:t>Average charge (grams) of HFC-134a in mobile air conditioners, 2009</w:t>
      </w:r>
      <w:bookmarkEnd w:id="524"/>
    </w:p>
    <w:tbl>
      <w:tblPr>
        <w:tblW w:w="8494" w:type="dxa"/>
        <w:tblLook w:val="0420" w:firstRow="1" w:lastRow="0" w:firstColumn="0" w:lastColumn="0" w:noHBand="0" w:noVBand="1"/>
      </w:tblPr>
      <w:tblGrid>
        <w:gridCol w:w="3128"/>
        <w:gridCol w:w="3041"/>
        <w:gridCol w:w="2325"/>
      </w:tblGrid>
      <w:tr w:rsidR="003A5396" w:rsidRPr="001F4265" w14:paraId="53BCE09A" w14:textId="77777777" w:rsidTr="00F16E23">
        <w:trPr>
          <w:tblHeader/>
        </w:trPr>
        <w:tc>
          <w:tcPr>
            <w:tcW w:w="0" w:type="auto"/>
            <w:tcBorders>
              <w:top w:val="single" w:sz="4" w:space="0" w:color="1C556C" w:themeColor="accent1"/>
              <w:left w:val="single" w:sz="4" w:space="0" w:color="FFFFFF" w:themeColor="background1"/>
              <w:bottom w:val="single" w:sz="4" w:space="0" w:color="1C556C" w:themeColor="accent1"/>
              <w:right w:val="none" w:sz="0" w:space="0" w:color="000000" w:themeColor="text1"/>
            </w:tcBorders>
            <w:shd w:val="clear" w:color="auto" w:fill="1C556C" w:themeFill="accent1"/>
            <w:tcMar>
              <w:top w:w="0" w:type="dxa"/>
              <w:left w:w="85" w:type="dxa"/>
              <w:bottom w:w="0" w:type="dxa"/>
              <w:right w:w="85" w:type="dxa"/>
            </w:tcMar>
            <w:vAlign w:val="center"/>
          </w:tcPr>
          <w:p w14:paraId="6B7AA922"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Charge for cars and vans (g)</w:t>
            </w:r>
          </w:p>
        </w:tc>
        <w:tc>
          <w:tcPr>
            <w:tcW w:w="0" w:type="auto"/>
            <w:tcBorders>
              <w:top w:val="single" w:sz="4" w:space="0" w:color="1C556C" w:themeColor="accent1"/>
              <w:left w:val="none" w:sz="0" w:space="0" w:color="000000" w:themeColor="text1"/>
              <w:bottom w:val="single" w:sz="4" w:space="0" w:color="1C556C" w:themeColor="accent1"/>
              <w:right w:val="none" w:sz="0" w:space="0" w:color="000000" w:themeColor="text1"/>
            </w:tcBorders>
            <w:shd w:val="clear" w:color="auto" w:fill="1C556C" w:themeFill="accent1"/>
            <w:tcMar>
              <w:top w:w="0" w:type="dxa"/>
              <w:left w:w="85" w:type="dxa"/>
              <w:bottom w:w="0" w:type="dxa"/>
              <w:right w:w="85" w:type="dxa"/>
            </w:tcMar>
            <w:vAlign w:val="center"/>
          </w:tcPr>
          <w:p w14:paraId="5BB76C2B"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Charge for heavy trucks (g)</w:t>
            </w:r>
          </w:p>
        </w:tc>
        <w:tc>
          <w:tcPr>
            <w:tcW w:w="0" w:type="auto"/>
            <w:tcBorders>
              <w:top w:val="single" w:sz="4" w:space="0" w:color="1C556C" w:themeColor="accent1"/>
              <w:left w:val="none" w:sz="0" w:space="0" w:color="000000" w:themeColor="text1"/>
              <w:bottom w:val="single" w:sz="4" w:space="0" w:color="1C556C" w:themeColor="accent1"/>
              <w:right w:val="single" w:sz="4" w:space="0" w:color="FFFFFF" w:themeColor="background1"/>
            </w:tcBorders>
            <w:shd w:val="clear" w:color="auto" w:fill="1C556C" w:themeFill="accent1"/>
            <w:tcMar>
              <w:top w:w="0" w:type="dxa"/>
              <w:left w:w="85" w:type="dxa"/>
              <w:bottom w:w="0" w:type="dxa"/>
              <w:right w:w="85" w:type="dxa"/>
            </w:tcMar>
            <w:vAlign w:val="center"/>
          </w:tcPr>
          <w:p w14:paraId="26BDA057"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Charge for buses (g)</w:t>
            </w:r>
          </w:p>
        </w:tc>
      </w:tr>
      <w:tr w:rsidR="003A5396" w:rsidRPr="001F4265" w14:paraId="571FCA2F" w14:textId="77777777" w:rsidTr="00F16E23">
        <w:tc>
          <w:tcPr>
            <w:tcW w:w="0" w:type="auto"/>
            <w:tcBorders>
              <w:top w:val="single" w:sz="4" w:space="0" w:color="1C556C" w:themeColor="accent1"/>
              <w:left w:val="single" w:sz="4" w:space="0" w:color="FFFFFF" w:themeColor="background1"/>
              <w:bottom w:val="single" w:sz="4" w:space="0" w:color="1C556C" w:themeColor="accent1"/>
              <w:right w:val="none" w:sz="0" w:space="0" w:color="000000" w:themeColor="text1"/>
            </w:tcBorders>
            <w:shd w:val="clear" w:color="auto" w:fill="FFFFFF" w:themeFill="background1"/>
            <w:tcMar>
              <w:top w:w="0" w:type="dxa"/>
              <w:left w:w="85" w:type="dxa"/>
              <w:bottom w:w="0" w:type="dxa"/>
              <w:right w:w="85" w:type="dxa"/>
            </w:tcMar>
            <w:vAlign w:val="center"/>
          </w:tcPr>
          <w:p w14:paraId="10015A3A" w14:textId="77777777" w:rsidR="003A5396" w:rsidRPr="001F4265" w:rsidRDefault="003A5396" w:rsidP="00F16E23">
            <w:pPr>
              <w:pStyle w:val="TableText"/>
              <w:spacing w:before="40" w:after="40"/>
            </w:pPr>
            <w:r w:rsidRPr="001F4265">
              <w:rPr>
                <w:rFonts w:eastAsia="Calibri"/>
              </w:rPr>
              <w:t>600</w:t>
            </w:r>
          </w:p>
        </w:tc>
        <w:tc>
          <w:tcPr>
            <w:tcW w:w="0" w:type="auto"/>
            <w:tcBorders>
              <w:top w:val="single" w:sz="4" w:space="0" w:color="1C556C" w:themeColor="accent1"/>
              <w:left w:val="none" w:sz="0" w:space="0" w:color="000000" w:themeColor="text1"/>
              <w:bottom w:val="single" w:sz="4" w:space="0" w:color="1C556C" w:themeColor="accent1"/>
              <w:right w:val="none" w:sz="0" w:space="0" w:color="000000" w:themeColor="text1"/>
            </w:tcBorders>
            <w:shd w:val="clear" w:color="auto" w:fill="FFFFFF" w:themeFill="background1"/>
            <w:tcMar>
              <w:top w:w="0" w:type="dxa"/>
              <w:left w:w="85" w:type="dxa"/>
              <w:bottom w:w="0" w:type="dxa"/>
              <w:right w:w="85" w:type="dxa"/>
            </w:tcMar>
            <w:vAlign w:val="center"/>
          </w:tcPr>
          <w:p w14:paraId="1EEF143A" w14:textId="77777777" w:rsidR="003A5396" w:rsidRPr="001F4265" w:rsidRDefault="003A5396" w:rsidP="00F16E23">
            <w:pPr>
              <w:pStyle w:val="TableText"/>
              <w:spacing w:before="40" w:after="40"/>
              <w:jc w:val="right"/>
            </w:pPr>
            <w:r w:rsidRPr="001F4265">
              <w:rPr>
                <w:rFonts w:eastAsia="Calibri"/>
              </w:rPr>
              <w:t>800</w:t>
            </w:r>
          </w:p>
        </w:tc>
        <w:tc>
          <w:tcPr>
            <w:tcW w:w="0" w:type="auto"/>
            <w:tcBorders>
              <w:top w:val="single" w:sz="4" w:space="0" w:color="1C556C" w:themeColor="accent1"/>
              <w:left w:val="none" w:sz="0" w:space="0" w:color="000000" w:themeColor="text1"/>
              <w:bottom w:val="single" w:sz="4" w:space="0" w:color="1C556C" w:themeColor="accent1"/>
              <w:right w:val="single" w:sz="4" w:space="0" w:color="FFFFFF" w:themeColor="background1"/>
            </w:tcBorders>
            <w:shd w:val="clear" w:color="auto" w:fill="FFFFFF" w:themeFill="background1"/>
            <w:tcMar>
              <w:top w:w="0" w:type="dxa"/>
              <w:left w:w="85" w:type="dxa"/>
              <w:bottom w:w="0" w:type="dxa"/>
              <w:right w:w="85" w:type="dxa"/>
            </w:tcMar>
            <w:vAlign w:val="center"/>
          </w:tcPr>
          <w:p w14:paraId="54E7AE8A" w14:textId="77777777" w:rsidR="003A5396" w:rsidRPr="001F4265" w:rsidRDefault="003A5396" w:rsidP="00F16E23">
            <w:pPr>
              <w:pStyle w:val="TableText"/>
              <w:spacing w:before="40" w:after="40"/>
              <w:jc w:val="right"/>
            </w:pPr>
            <w:r w:rsidRPr="001F4265">
              <w:rPr>
                <w:rFonts w:eastAsia="Calibri"/>
                <w:color w:val="000000" w:themeColor="text1"/>
              </w:rPr>
              <w:t>4,000</w:t>
            </w:r>
          </w:p>
        </w:tc>
      </w:tr>
    </w:tbl>
    <w:p w14:paraId="799C560C" w14:textId="77777777" w:rsidR="003A5396" w:rsidRPr="001F4265" w:rsidRDefault="003A5396" w:rsidP="003A5396">
      <w:pPr>
        <w:pStyle w:val="BodyText"/>
        <w:spacing w:before="240" w:after="100"/>
      </w:pPr>
      <w:r w:rsidRPr="001F4265">
        <w:t>These amounts were higher in earlier years, with the charge in a car air conditioner at approximately 700 grams in 2000. New Zealand imports a wide variety of vehicles, many of them used cars, and it is not feasible to obtain accurate and up-to-date statistics on their refrigerant charge. Based on this earlier trend, the average charges in new vehicles added to the fleet were assessed to reduce by 2.0 percent per year for 2010 to 2024. Discussion with importers in 2018 indicated that the ongoing trend to reduce these charges has continued (Verum Group, unpublished).</w:t>
      </w:r>
    </w:p>
    <w:p w14:paraId="7D9DF68D" w14:textId="77777777" w:rsidR="003A5396" w:rsidRPr="001F4265" w:rsidRDefault="003A5396" w:rsidP="003A5396">
      <w:pPr>
        <w:pStyle w:val="Heading5"/>
      </w:pPr>
      <w:bookmarkStart w:id="525" w:name="foam-blowing-agents-2.f.2"/>
      <w:bookmarkEnd w:id="523"/>
      <w:r w:rsidRPr="001F4265">
        <w:t>Foam blowing agents (2.F.2)</w:t>
      </w:r>
    </w:p>
    <w:p w14:paraId="30088A84" w14:textId="77777777" w:rsidR="003A5396" w:rsidRPr="001F4265" w:rsidRDefault="003A5396" w:rsidP="003A5396">
      <w:pPr>
        <w:pStyle w:val="BodyText"/>
        <w:spacing w:before="80" w:after="100"/>
      </w:pPr>
      <w:r w:rsidRPr="001F4265">
        <w:t>Only closed-cell foams are produced in New Zealand. Companies importing and using HFCs for foam blowing have provided data on the gas imported and used, in response to the annual survey. Survey data showed a growing trend in the utilisation of commercial HFC blends up until 2019. During 2021 and 2023, foam companies have moved to the increasing use of hydrofluoroolefin (HFO) blowing agents. Small quantities of HFC-245fa are estimated to be contained in insulating foam in refrigerators and freezers that are imported from Mexico and the United States of America. Imported items from other source countries are unlikely to contain HFCs.</w:t>
      </w:r>
    </w:p>
    <w:p w14:paraId="52B6B734" w14:textId="77777777" w:rsidR="003A5396" w:rsidRPr="001F4265" w:rsidRDefault="003A5396" w:rsidP="003A5396">
      <w:pPr>
        <w:pStyle w:val="Heading5"/>
      </w:pPr>
      <w:bookmarkStart w:id="526" w:name="fire-protection-2.f.3"/>
      <w:bookmarkEnd w:id="525"/>
      <w:r w:rsidRPr="001F4265">
        <w:t>Fire protection (2.F.3)</w:t>
      </w:r>
    </w:p>
    <w:p w14:paraId="469F2A25" w14:textId="77777777" w:rsidR="003A5396" w:rsidRPr="001F4265" w:rsidRDefault="003A5396" w:rsidP="003A5396">
      <w:pPr>
        <w:pStyle w:val="BodyText"/>
      </w:pPr>
      <w:r w:rsidRPr="001F4265">
        <w:t>Three companies in New Zealand have imported and supplied fire protection equipment that contains HFC-227ea, with two other firms installing small amounts in marine fire protection systems. This gas has been used since 1994 as a substitute for ODS. No other HFCs or PFCs are used. The companies have provided data on the amount imported in equipment, in response to the annual survey. There have been no new installations in recent years. Current stocks and recovered chemical are used to replace leakage.</w:t>
      </w:r>
    </w:p>
    <w:p w14:paraId="6320A8A1" w14:textId="77777777" w:rsidR="003A5396" w:rsidRPr="001F4265" w:rsidRDefault="003A5396" w:rsidP="003A5396">
      <w:pPr>
        <w:pStyle w:val="Heading5"/>
      </w:pPr>
      <w:bookmarkStart w:id="527" w:name="aerosols-2.f.4"/>
      <w:bookmarkEnd w:id="526"/>
      <w:r w:rsidRPr="001F4265">
        <w:t>Aerosols (2.F.4)</w:t>
      </w:r>
    </w:p>
    <w:p w14:paraId="76F2047F" w14:textId="77777777" w:rsidR="003A5396" w:rsidRPr="001F4265" w:rsidRDefault="003A5396" w:rsidP="003A5396">
      <w:pPr>
        <w:pStyle w:val="BodyText"/>
      </w:pPr>
      <w:r w:rsidRPr="001F4265">
        <w:t>Most of the HFC use and emissions in this category are for medical use in metered dose inhalers (MDIs). MDIs that use HFC-134a were introduced in 1995, and all MDIs sold in New Zealand from 2012, if they have used any propellant, have used HFCs. Most of the MDIs imported and sold in New Zealand contain either 200 or 120 doses and either 15 grams or 9.5 grams of HFC-134a propellant per inhaler. A small proportion use HFC-227ea. Also, approximately 12.0 percent of MDIs now sold do not use a propellant at all.</w:t>
      </w:r>
    </w:p>
    <w:p w14:paraId="3DA37E70" w14:textId="77777777" w:rsidR="003A5396" w:rsidRPr="001F4265" w:rsidRDefault="003A5396" w:rsidP="003A5396">
      <w:pPr>
        <w:pStyle w:val="BodyText"/>
      </w:pPr>
      <w:r w:rsidRPr="001F4265">
        <w:t>All MDIs used in New Zealand are imported. Pharmac supplies annual data on the sales of MDIs, measured as millions of doses for HFC and non-propellant inhalers.</w:t>
      </w:r>
    </w:p>
    <w:p w14:paraId="443663BB" w14:textId="77777777" w:rsidR="003A5396" w:rsidRPr="001F4265" w:rsidRDefault="003A5396" w:rsidP="003A5396">
      <w:pPr>
        <w:pStyle w:val="BodyText"/>
      </w:pPr>
      <w:r w:rsidRPr="001F4265">
        <w:t>An approximate weighted average is used to estimate emissions per dose for each propellant. This average amount of propellant per dose has changed over time due to a changing mix of inhaler types (120 and 200 dose inhalers) as shown in table 4.7.2.</w:t>
      </w:r>
    </w:p>
    <w:p w14:paraId="759CDCFD" w14:textId="77777777" w:rsidR="003A5396" w:rsidRPr="001F4265" w:rsidRDefault="003A5396" w:rsidP="003A5396">
      <w:pPr>
        <w:pStyle w:val="Table"/>
      </w:pPr>
      <w:bookmarkStart w:id="528" w:name="_Toc226668982"/>
      <w:r w:rsidRPr="001F4265">
        <w:t xml:space="preserve">Table 4.7.2 </w:t>
      </w:r>
      <w:r w:rsidRPr="001F4265">
        <w:tab/>
        <w:t>Average emissions per dose in metered dose inhalers (milligrams)</w:t>
      </w:r>
      <w:bookmarkEnd w:id="52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699"/>
        <w:gridCol w:w="3322"/>
        <w:gridCol w:w="3473"/>
      </w:tblGrid>
      <w:tr w:rsidR="003A5396" w:rsidRPr="001F4265" w14:paraId="1FF58DDE" w14:textId="77777777" w:rsidTr="00F16E23">
        <w:trPr>
          <w:tblHeader/>
        </w:trPr>
        <w:tc>
          <w:tcPr>
            <w:tcW w:w="0" w:type="auto"/>
            <w:shd w:val="clear" w:color="auto" w:fill="1B556B"/>
            <w:tcMar>
              <w:top w:w="0" w:type="dxa"/>
              <w:left w:w="85" w:type="dxa"/>
              <w:bottom w:w="0" w:type="dxa"/>
              <w:right w:w="85" w:type="dxa"/>
            </w:tcMar>
            <w:vAlign w:val="center"/>
          </w:tcPr>
          <w:p w14:paraId="1DD6D0DF"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Propellant</w:t>
            </w:r>
          </w:p>
        </w:tc>
        <w:tc>
          <w:tcPr>
            <w:tcW w:w="0" w:type="auto"/>
            <w:shd w:val="clear" w:color="auto" w:fill="1B556B"/>
            <w:tcMar>
              <w:top w:w="0" w:type="dxa"/>
              <w:left w:w="85" w:type="dxa"/>
              <w:bottom w:w="0" w:type="dxa"/>
              <w:right w:w="85" w:type="dxa"/>
            </w:tcMar>
            <w:vAlign w:val="center"/>
          </w:tcPr>
          <w:p w14:paraId="5517B155" w14:textId="77777777" w:rsidR="003A5396" w:rsidRPr="001F4265" w:rsidRDefault="003A5396" w:rsidP="00F16E23">
            <w:pPr>
              <w:pStyle w:val="TableTextBold"/>
              <w:jc w:val="right"/>
              <w:rPr>
                <w:noProof w:val="0"/>
                <w:color w:val="FFFFFF" w:themeColor="background1"/>
              </w:rPr>
            </w:pPr>
            <w:r w:rsidRPr="001F4265">
              <w:rPr>
                <w:rFonts w:eastAsia="Calibri"/>
                <w:noProof w:val="0"/>
                <w:color w:val="FFFFFF" w:themeColor="background1"/>
              </w:rPr>
              <w:t>Inhalers using HFC-134a</w:t>
            </w:r>
          </w:p>
        </w:tc>
        <w:tc>
          <w:tcPr>
            <w:tcW w:w="0" w:type="auto"/>
            <w:shd w:val="clear" w:color="auto" w:fill="1B556B"/>
            <w:tcMar>
              <w:top w:w="0" w:type="dxa"/>
              <w:left w:w="85" w:type="dxa"/>
              <w:bottom w:w="0" w:type="dxa"/>
              <w:right w:w="85" w:type="dxa"/>
            </w:tcMar>
            <w:vAlign w:val="center"/>
          </w:tcPr>
          <w:p w14:paraId="08FAFE2C" w14:textId="77777777" w:rsidR="003A5396" w:rsidRPr="001F4265" w:rsidRDefault="003A5396" w:rsidP="00F16E23">
            <w:pPr>
              <w:pStyle w:val="TableTextBold"/>
              <w:jc w:val="right"/>
              <w:rPr>
                <w:noProof w:val="0"/>
                <w:color w:val="FFFFFF" w:themeColor="background1"/>
              </w:rPr>
            </w:pPr>
            <w:r w:rsidRPr="001F4265">
              <w:rPr>
                <w:rFonts w:eastAsia="Calibri"/>
                <w:noProof w:val="0"/>
                <w:color w:val="FFFFFF" w:themeColor="background1"/>
              </w:rPr>
              <w:t>Inhalers using HFC-227ea</w:t>
            </w:r>
          </w:p>
        </w:tc>
      </w:tr>
      <w:tr w:rsidR="003A5396" w:rsidRPr="001F4265" w14:paraId="40EE2852" w14:textId="77777777" w:rsidTr="00F16E23">
        <w:tc>
          <w:tcPr>
            <w:tcW w:w="0" w:type="auto"/>
            <w:shd w:val="clear" w:color="auto" w:fill="FFFFFF"/>
            <w:tcMar>
              <w:top w:w="0" w:type="dxa"/>
              <w:left w:w="85" w:type="dxa"/>
              <w:bottom w:w="0" w:type="dxa"/>
              <w:right w:w="85" w:type="dxa"/>
            </w:tcMar>
            <w:vAlign w:val="center"/>
          </w:tcPr>
          <w:p w14:paraId="2A5033C0" w14:textId="77777777" w:rsidR="003A5396" w:rsidRPr="001F4265" w:rsidRDefault="003A5396" w:rsidP="00F16E23">
            <w:pPr>
              <w:pStyle w:val="TableText"/>
              <w:spacing w:before="40" w:after="40"/>
            </w:pPr>
            <w:r w:rsidRPr="001F4265">
              <w:rPr>
                <w:rFonts w:eastAsia="Calibri"/>
              </w:rPr>
              <w:t>1995–2015</w:t>
            </w:r>
          </w:p>
        </w:tc>
        <w:tc>
          <w:tcPr>
            <w:tcW w:w="0" w:type="auto"/>
            <w:shd w:val="clear" w:color="auto" w:fill="FFFFFF"/>
            <w:tcMar>
              <w:top w:w="0" w:type="dxa"/>
              <w:left w:w="85" w:type="dxa"/>
              <w:bottom w:w="0" w:type="dxa"/>
              <w:right w:w="85" w:type="dxa"/>
            </w:tcMar>
            <w:vAlign w:val="center"/>
          </w:tcPr>
          <w:p w14:paraId="61DE05C5" w14:textId="77777777" w:rsidR="003A5396" w:rsidRPr="001F4265" w:rsidRDefault="003A5396" w:rsidP="00F16E23">
            <w:pPr>
              <w:pStyle w:val="TableText"/>
              <w:spacing w:before="40" w:after="40"/>
              <w:jc w:val="right"/>
            </w:pPr>
            <w:r w:rsidRPr="001F4265">
              <w:rPr>
                <w:rFonts w:eastAsia="Calibri"/>
              </w:rPr>
              <w:t>81.4</w:t>
            </w:r>
          </w:p>
        </w:tc>
        <w:tc>
          <w:tcPr>
            <w:tcW w:w="0" w:type="auto"/>
            <w:shd w:val="clear" w:color="auto" w:fill="FFFFFF"/>
            <w:tcMar>
              <w:top w:w="0" w:type="dxa"/>
              <w:left w:w="85" w:type="dxa"/>
              <w:bottom w:w="0" w:type="dxa"/>
              <w:right w:w="85" w:type="dxa"/>
            </w:tcMar>
            <w:vAlign w:val="center"/>
          </w:tcPr>
          <w:p w14:paraId="1D90392D" w14:textId="77777777" w:rsidR="003A5396" w:rsidRPr="001F4265" w:rsidRDefault="003A5396" w:rsidP="00F16E23">
            <w:pPr>
              <w:pStyle w:val="TableText"/>
              <w:spacing w:before="40" w:after="40"/>
              <w:jc w:val="right"/>
            </w:pPr>
            <w:r w:rsidRPr="001F4265">
              <w:rPr>
                <w:rFonts w:eastAsia="Calibri"/>
              </w:rPr>
              <w:t>66.9</w:t>
            </w:r>
          </w:p>
        </w:tc>
      </w:tr>
      <w:tr w:rsidR="003A5396" w:rsidRPr="001F4265" w14:paraId="04D1B958" w14:textId="77777777" w:rsidTr="00F16E23">
        <w:tc>
          <w:tcPr>
            <w:tcW w:w="0" w:type="auto"/>
            <w:shd w:val="clear" w:color="auto" w:fill="FFFFFF"/>
            <w:tcMar>
              <w:top w:w="0" w:type="dxa"/>
              <w:left w:w="85" w:type="dxa"/>
              <w:bottom w:w="0" w:type="dxa"/>
              <w:right w:w="85" w:type="dxa"/>
            </w:tcMar>
            <w:vAlign w:val="center"/>
          </w:tcPr>
          <w:p w14:paraId="0B8DBBBE" w14:textId="77777777" w:rsidR="003A5396" w:rsidRPr="001F4265" w:rsidRDefault="003A5396" w:rsidP="00F16E23">
            <w:pPr>
              <w:pStyle w:val="TableText"/>
              <w:spacing w:before="40" w:after="40"/>
            </w:pPr>
            <w:r w:rsidRPr="001F4265">
              <w:rPr>
                <w:rFonts w:eastAsia="Calibri"/>
              </w:rPr>
              <w:t>2016</w:t>
            </w:r>
          </w:p>
        </w:tc>
        <w:tc>
          <w:tcPr>
            <w:tcW w:w="0" w:type="auto"/>
            <w:shd w:val="clear" w:color="auto" w:fill="FFFFFF"/>
            <w:tcMar>
              <w:top w:w="0" w:type="dxa"/>
              <w:left w:w="85" w:type="dxa"/>
              <w:bottom w:w="0" w:type="dxa"/>
              <w:right w:w="85" w:type="dxa"/>
            </w:tcMar>
            <w:vAlign w:val="center"/>
          </w:tcPr>
          <w:p w14:paraId="5768155B" w14:textId="77777777" w:rsidR="003A5396" w:rsidRPr="001F4265" w:rsidRDefault="003A5396" w:rsidP="00F16E23">
            <w:pPr>
              <w:pStyle w:val="TableText"/>
              <w:spacing w:before="40" w:after="40"/>
              <w:jc w:val="right"/>
            </w:pPr>
            <w:r w:rsidRPr="001F4265">
              <w:rPr>
                <w:rFonts w:eastAsia="Calibri"/>
              </w:rPr>
              <w:t>80.2</w:t>
            </w:r>
          </w:p>
        </w:tc>
        <w:tc>
          <w:tcPr>
            <w:tcW w:w="0" w:type="auto"/>
            <w:shd w:val="clear" w:color="auto" w:fill="FFFFFF"/>
            <w:tcMar>
              <w:top w:w="0" w:type="dxa"/>
              <w:left w:w="85" w:type="dxa"/>
              <w:bottom w:w="0" w:type="dxa"/>
              <w:right w:w="85" w:type="dxa"/>
            </w:tcMar>
            <w:vAlign w:val="center"/>
          </w:tcPr>
          <w:p w14:paraId="4F0819C7" w14:textId="77777777" w:rsidR="003A5396" w:rsidRPr="001F4265" w:rsidRDefault="003A5396" w:rsidP="00F16E23">
            <w:pPr>
              <w:pStyle w:val="TableText"/>
              <w:spacing w:before="40" w:after="40"/>
              <w:jc w:val="right"/>
            </w:pPr>
            <w:r w:rsidRPr="001F4265">
              <w:rPr>
                <w:rFonts w:eastAsia="Calibri"/>
              </w:rPr>
              <w:t>68.1</w:t>
            </w:r>
          </w:p>
        </w:tc>
      </w:tr>
      <w:tr w:rsidR="003A5396" w:rsidRPr="001F4265" w14:paraId="28330B07" w14:textId="77777777" w:rsidTr="00F16E23">
        <w:tc>
          <w:tcPr>
            <w:tcW w:w="0" w:type="auto"/>
            <w:shd w:val="clear" w:color="auto" w:fill="FFFFFF"/>
            <w:tcMar>
              <w:top w:w="0" w:type="dxa"/>
              <w:left w:w="85" w:type="dxa"/>
              <w:bottom w:w="0" w:type="dxa"/>
              <w:right w:w="85" w:type="dxa"/>
            </w:tcMar>
            <w:vAlign w:val="center"/>
          </w:tcPr>
          <w:p w14:paraId="7CC01478" w14:textId="77777777" w:rsidR="003A5396" w:rsidRPr="001F4265" w:rsidRDefault="003A5396" w:rsidP="00F16E23">
            <w:pPr>
              <w:pStyle w:val="TableText"/>
              <w:spacing w:before="40" w:after="40"/>
            </w:pPr>
            <w:r w:rsidRPr="001F4265">
              <w:rPr>
                <w:rFonts w:eastAsia="Calibri"/>
              </w:rPr>
              <w:t>2017</w:t>
            </w:r>
          </w:p>
        </w:tc>
        <w:tc>
          <w:tcPr>
            <w:tcW w:w="0" w:type="auto"/>
            <w:shd w:val="clear" w:color="auto" w:fill="FFFFFF"/>
            <w:tcMar>
              <w:top w:w="0" w:type="dxa"/>
              <w:left w:w="85" w:type="dxa"/>
              <w:bottom w:w="0" w:type="dxa"/>
              <w:right w:w="85" w:type="dxa"/>
            </w:tcMar>
            <w:vAlign w:val="center"/>
          </w:tcPr>
          <w:p w14:paraId="6FDE45F0" w14:textId="77777777" w:rsidR="003A5396" w:rsidRPr="001F4265" w:rsidRDefault="003A5396" w:rsidP="00F16E23">
            <w:pPr>
              <w:pStyle w:val="TableText"/>
              <w:spacing w:before="40" w:after="40"/>
              <w:jc w:val="right"/>
            </w:pPr>
            <w:r w:rsidRPr="001F4265">
              <w:rPr>
                <w:rFonts w:eastAsia="Calibri"/>
              </w:rPr>
              <w:t>79.5</w:t>
            </w:r>
          </w:p>
        </w:tc>
        <w:tc>
          <w:tcPr>
            <w:tcW w:w="0" w:type="auto"/>
            <w:shd w:val="clear" w:color="auto" w:fill="FFFFFF"/>
            <w:tcMar>
              <w:top w:w="0" w:type="dxa"/>
              <w:left w:w="85" w:type="dxa"/>
              <w:bottom w:w="0" w:type="dxa"/>
              <w:right w:w="85" w:type="dxa"/>
            </w:tcMar>
            <w:vAlign w:val="center"/>
          </w:tcPr>
          <w:p w14:paraId="3D2DFC40" w14:textId="77777777" w:rsidR="003A5396" w:rsidRPr="001F4265" w:rsidRDefault="003A5396" w:rsidP="00F16E23">
            <w:pPr>
              <w:pStyle w:val="TableText"/>
              <w:spacing w:before="40" w:after="40"/>
              <w:jc w:val="right"/>
            </w:pPr>
            <w:r w:rsidRPr="001F4265">
              <w:rPr>
                <w:rFonts w:eastAsia="Calibri"/>
              </w:rPr>
              <w:t>68.5</w:t>
            </w:r>
          </w:p>
        </w:tc>
      </w:tr>
      <w:tr w:rsidR="003A5396" w:rsidRPr="001F4265" w14:paraId="1D05AA43" w14:textId="77777777" w:rsidTr="00F16E23">
        <w:tc>
          <w:tcPr>
            <w:tcW w:w="0" w:type="auto"/>
            <w:shd w:val="clear" w:color="auto" w:fill="FFFFFF"/>
            <w:tcMar>
              <w:top w:w="0" w:type="dxa"/>
              <w:left w:w="85" w:type="dxa"/>
              <w:bottom w:w="0" w:type="dxa"/>
              <w:right w:w="85" w:type="dxa"/>
            </w:tcMar>
            <w:vAlign w:val="center"/>
          </w:tcPr>
          <w:p w14:paraId="493AD4F9" w14:textId="77777777" w:rsidR="003A5396" w:rsidRPr="001F4265" w:rsidRDefault="003A5396" w:rsidP="00F16E23">
            <w:pPr>
              <w:pStyle w:val="TableText"/>
              <w:spacing w:before="40" w:after="40"/>
            </w:pPr>
            <w:r w:rsidRPr="001F4265">
              <w:rPr>
                <w:rFonts w:eastAsia="Calibri"/>
              </w:rPr>
              <w:t>2018</w:t>
            </w:r>
          </w:p>
        </w:tc>
        <w:tc>
          <w:tcPr>
            <w:tcW w:w="0" w:type="auto"/>
            <w:shd w:val="clear" w:color="auto" w:fill="FFFFFF"/>
            <w:tcMar>
              <w:top w:w="0" w:type="dxa"/>
              <w:left w:w="85" w:type="dxa"/>
              <w:bottom w:w="0" w:type="dxa"/>
              <w:right w:w="85" w:type="dxa"/>
            </w:tcMar>
            <w:vAlign w:val="center"/>
          </w:tcPr>
          <w:p w14:paraId="71092E98" w14:textId="77777777" w:rsidR="003A5396" w:rsidRPr="001F4265" w:rsidRDefault="003A5396" w:rsidP="00F16E23">
            <w:pPr>
              <w:pStyle w:val="TableText"/>
              <w:spacing w:before="40" w:after="40"/>
              <w:jc w:val="right"/>
            </w:pPr>
            <w:r w:rsidRPr="001F4265">
              <w:rPr>
                <w:rFonts w:eastAsia="Calibri"/>
              </w:rPr>
              <w:t>78.3</w:t>
            </w:r>
          </w:p>
        </w:tc>
        <w:tc>
          <w:tcPr>
            <w:tcW w:w="0" w:type="auto"/>
            <w:shd w:val="clear" w:color="auto" w:fill="FFFFFF"/>
            <w:tcMar>
              <w:top w:w="0" w:type="dxa"/>
              <w:left w:w="85" w:type="dxa"/>
              <w:bottom w:w="0" w:type="dxa"/>
              <w:right w:w="85" w:type="dxa"/>
            </w:tcMar>
            <w:vAlign w:val="center"/>
          </w:tcPr>
          <w:p w14:paraId="084D6AC5" w14:textId="77777777" w:rsidR="003A5396" w:rsidRPr="001F4265" w:rsidRDefault="003A5396" w:rsidP="00F16E23">
            <w:pPr>
              <w:pStyle w:val="TableText"/>
              <w:spacing w:before="40" w:after="40"/>
              <w:jc w:val="right"/>
            </w:pPr>
            <w:r w:rsidRPr="001F4265">
              <w:rPr>
                <w:rFonts w:eastAsia="Calibri"/>
              </w:rPr>
              <w:t>70.3</w:t>
            </w:r>
          </w:p>
        </w:tc>
      </w:tr>
      <w:tr w:rsidR="003A5396" w:rsidRPr="001F4265" w14:paraId="4269DCE5" w14:textId="77777777" w:rsidTr="00F16E23">
        <w:tc>
          <w:tcPr>
            <w:tcW w:w="0" w:type="auto"/>
            <w:shd w:val="clear" w:color="auto" w:fill="FFFFFF"/>
            <w:tcMar>
              <w:top w:w="0" w:type="dxa"/>
              <w:left w:w="85" w:type="dxa"/>
              <w:bottom w:w="0" w:type="dxa"/>
              <w:right w:w="85" w:type="dxa"/>
            </w:tcMar>
            <w:vAlign w:val="center"/>
          </w:tcPr>
          <w:p w14:paraId="7D6183A2" w14:textId="77777777" w:rsidR="003A5396" w:rsidRPr="001F4265" w:rsidRDefault="003A5396" w:rsidP="00F16E23">
            <w:pPr>
              <w:pStyle w:val="TableText"/>
              <w:spacing w:before="40" w:after="40"/>
            </w:pPr>
            <w:r w:rsidRPr="001F4265">
              <w:rPr>
                <w:rFonts w:eastAsia="Calibri"/>
              </w:rPr>
              <w:t>2019</w:t>
            </w:r>
          </w:p>
        </w:tc>
        <w:tc>
          <w:tcPr>
            <w:tcW w:w="0" w:type="auto"/>
            <w:shd w:val="clear" w:color="auto" w:fill="FFFFFF"/>
            <w:tcMar>
              <w:top w:w="0" w:type="dxa"/>
              <w:left w:w="85" w:type="dxa"/>
              <w:bottom w:w="0" w:type="dxa"/>
              <w:right w:w="85" w:type="dxa"/>
            </w:tcMar>
            <w:vAlign w:val="center"/>
          </w:tcPr>
          <w:p w14:paraId="2103E001" w14:textId="77777777" w:rsidR="003A5396" w:rsidRPr="001F4265" w:rsidRDefault="003A5396" w:rsidP="00F16E23">
            <w:pPr>
              <w:pStyle w:val="TableText"/>
              <w:spacing w:before="40" w:after="40"/>
              <w:jc w:val="right"/>
            </w:pPr>
            <w:r w:rsidRPr="001F4265">
              <w:rPr>
                <w:rFonts w:eastAsia="Calibri"/>
              </w:rPr>
              <w:t>77.9</w:t>
            </w:r>
          </w:p>
        </w:tc>
        <w:tc>
          <w:tcPr>
            <w:tcW w:w="0" w:type="auto"/>
            <w:shd w:val="clear" w:color="auto" w:fill="FFFFFF"/>
            <w:tcMar>
              <w:top w:w="0" w:type="dxa"/>
              <w:left w:w="85" w:type="dxa"/>
              <w:bottom w:w="0" w:type="dxa"/>
              <w:right w:w="85" w:type="dxa"/>
            </w:tcMar>
            <w:vAlign w:val="center"/>
          </w:tcPr>
          <w:p w14:paraId="2CB54D79" w14:textId="77777777" w:rsidR="003A5396" w:rsidRPr="001F4265" w:rsidRDefault="003A5396" w:rsidP="00F16E23">
            <w:pPr>
              <w:pStyle w:val="TableText"/>
              <w:spacing w:before="40" w:after="40"/>
              <w:jc w:val="right"/>
            </w:pPr>
            <w:r w:rsidRPr="001F4265">
              <w:rPr>
                <w:rFonts w:eastAsia="Calibri"/>
              </w:rPr>
              <w:t>73.5</w:t>
            </w:r>
          </w:p>
        </w:tc>
      </w:tr>
      <w:tr w:rsidR="003A5396" w:rsidRPr="001F4265" w14:paraId="576C9E5A" w14:textId="77777777" w:rsidTr="00F16E23">
        <w:tc>
          <w:tcPr>
            <w:tcW w:w="0" w:type="auto"/>
            <w:shd w:val="clear" w:color="auto" w:fill="FFFFFF"/>
            <w:tcMar>
              <w:top w:w="0" w:type="dxa"/>
              <w:left w:w="85" w:type="dxa"/>
              <w:bottom w:w="0" w:type="dxa"/>
              <w:right w:w="85" w:type="dxa"/>
            </w:tcMar>
            <w:vAlign w:val="center"/>
          </w:tcPr>
          <w:p w14:paraId="724C1109" w14:textId="77777777" w:rsidR="003A5396" w:rsidRPr="001F4265" w:rsidRDefault="003A5396" w:rsidP="00F16E23">
            <w:pPr>
              <w:pStyle w:val="TableText"/>
              <w:spacing w:before="40" w:after="40"/>
            </w:pPr>
            <w:r w:rsidRPr="001F4265">
              <w:rPr>
                <w:rFonts w:eastAsia="Calibri"/>
              </w:rPr>
              <w:t>2020</w:t>
            </w:r>
          </w:p>
        </w:tc>
        <w:tc>
          <w:tcPr>
            <w:tcW w:w="0" w:type="auto"/>
            <w:shd w:val="clear" w:color="auto" w:fill="FFFFFF"/>
            <w:tcMar>
              <w:top w:w="0" w:type="dxa"/>
              <w:left w:w="85" w:type="dxa"/>
              <w:bottom w:w="0" w:type="dxa"/>
              <w:right w:w="85" w:type="dxa"/>
            </w:tcMar>
            <w:vAlign w:val="center"/>
          </w:tcPr>
          <w:p w14:paraId="6B3669EC" w14:textId="77777777" w:rsidR="003A5396" w:rsidRPr="001F4265" w:rsidRDefault="003A5396" w:rsidP="00F16E23">
            <w:pPr>
              <w:pStyle w:val="TableText"/>
              <w:spacing w:before="40" w:after="40"/>
              <w:jc w:val="right"/>
            </w:pPr>
            <w:r w:rsidRPr="001F4265">
              <w:rPr>
                <w:rFonts w:eastAsia="Calibri"/>
              </w:rPr>
              <w:t>77.5</w:t>
            </w:r>
          </w:p>
        </w:tc>
        <w:tc>
          <w:tcPr>
            <w:tcW w:w="0" w:type="auto"/>
            <w:shd w:val="clear" w:color="auto" w:fill="FFFFFF"/>
            <w:tcMar>
              <w:top w:w="0" w:type="dxa"/>
              <w:left w:w="85" w:type="dxa"/>
              <w:bottom w:w="0" w:type="dxa"/>
              <w:right w:w="85" w:type="dxa"/>
            </w:tcMar>
            <w:vAlign w:val="center"/>
          </w:tcPr>
          <w:p w14:paraId="218A730E" w14:textId="77777777" w:rsidR="003A5396" w:rsidRPr="001F4265" w:rsidRDefault="003A5396" w:rsidP="00F16E23">
            <w:pPr>
              <w:pStyle w:val="TableText"/>
              <w:spacing w:before="40" w:after="40"/>
              <w:jc w:val="right"/>
            </w:pPr>
            <w:r w:rsidRPr="001F4265">
              <w:rPr>
                <w:rFonts w:eastAsia="Calibri"/>
              </w:rPr>
              <w:t>83.2</w:t>
            </w:r>
          </w:p>
        </w:tc>
      </w:tr>
      <w:tr w:rsidR="003A5396" w:rsidRPr="001F4265" w14:paraId="23D3BC45" w14:textId="77777777" w:rsidTr="00F16E23">
        <w:tc>
          <w:tcPr>
            <w:tcW w:w="0" w:type="auto"/>
            <w:shd w:val="clear" w:color="auto" w:fill="FFFFFF"/>
            <w:tcMar>
              <w:top w:w="0" w:type="dxa"/>
              <w:left w:w="85" w:type="dxa"/>
              <w:bottom w:w="0" w:type="dxa"/>
              <w:right w:w="85" w:type="dxa"/>
            </w:tcMar>
            <w:vAlign w:val="center"/>
          </w:tcPr>
          <w:p w14:paraId="7D03BA5C" w14:textId="77777777" w:rsidR="003A5396" w:rsidRPr="001F4265" w:rsidRDefault="003A5396" w:rsidP="00F16E23">
            <w:pPr>
              <w:pStyle w:val="TableText"/>
              <w:spacing w:before="40" w:after="40"/>
            </w:pPr>
            <w:r w:rsidRPr="001F4265">
              <w:rPr>
                <w:rFonts w:eastAsia="Calibri"/>
              </w:rPr>
              <w:t>2021</w:t>
            </w:r>
          </w:p>
        </w:tc>
        <w:tc>
          <w:tcPr>
            <w:tcW w:w="0" w:type="auto"/>
            <w:shd w:val="clear" w:color="auto" w:fill="FFFFFF"/>
            <w:tcMar>
              <w:top w:w="0" w:type="dxa"/>
              <w:left w:w="85" w:type="dxa"/>
              <w:bottom w:w="0" w:type="dxa"/>
              <w:right w:w="85" w:type="dxa"/>
            </w:tcMar>
            <w:vAlign w:val="center"/>
          </w:tcPr>
          <w:p w14:paraId="13114932" w14:textId="77777777" w:rsidR="003A5396" w:rsidRPr="001F4265" w:rsidRDefault="003A5396" w:rsidP="00F16E23">
            <w:pPr>
              <w:pStyle w:val="TableText"/>
              <w:spacing w:before="40" w:after="40"/>
              <w:jc w:val="right"/>
            </w:pPr>
            <w:r w:rsidRPr="001F4265">
              <w:rPr>
                <w:rFonts w:eastAsia="Calibri"/>
              </w:rPr>
              <w:t>76.9</w:t>
            </w:r>
          </w:p>
        </w:tc>
        <w:tc>
          <w:tcPr>
            <w:tcW w:w="0" w:type="auto"/>
            <w:shd w:val="clear" w:color="auto" w:fill="FFFFFF"/>
            <w:tcMar>
              <w:top w:w="0" w:type="dxa"/>
              <w:left w:w="85" w:type="dxa"/>
              <w:bottom w:w="0" w:type="dxa"/>
              <w:right w:w="85" w:type="dxa"/>
            </w:tcMar>
            <w:vAlign w:val="center"/>
          </w:tcPr>
          <w:p w14:paraId="1931BAB0" w14:textId="77777777" w:rsidR="003A5396" w:rsidRPr="001F4265" w:rsidRDefault="003A5396" w:rsidP="00F16E23">
            <w:pPr>
              <w:pStyle w:val="TableText"/>
              <w:spacing w:before="40" w:after="40"/>
              <w:jc w:val="right"/>
            </w:pPr>
            <w:r w:rsidRPr="001F4265">
              <w:rPr>
                <w:rFonts w:eastAsia="Calibri"/>
              </w:rPr>
              <w:t>87.8</w:t>
            </w:r>
          </w:p>
        </w:tc>
      </w:tr>
    </w:tbl>
    <w:p w14:paraId="0CEA5DBD" w14:textId="77777777" w:rsidR="003A5396" w:rsidRPr="001F4265" w:rsidRDefault="003A5396" w:rsidP="003A5396">
      <w:pPr>
        <w:pStyle w:val="BodyText"/>
        <w:spacing w:before="240" w:after="100"/>
      </w:pPr>
      <w:r w:rsidRPr="001F4265">
        <w:t>HFC-134a is the predominant HFC propellant used in non-medical aerosols in New Zealand. A small amount of HFC-152a has been used from 2015. A very small amount of HFC-43-10mee was reported between 2020 and 2024, mixed with HFC-134a in a specialised aerosol product.</w:t>
      </w:r>
    </w:p>
    <w:p w14:paraId="161AD7C1" w14:textId="77777777" w:rsidR="003A5396" w:rsidRPr="001F4265" w:rsidRDefault="003A5396" w:rsidP="003A5396">
      <w:pPr>
        <w:pStyle w:val="BodyText"/>
        <w:spacing w:before="100" w:after="100"/>
      </w:pPr>
      <w:r w:rsidRPr="001F4265">
        <w:t>All non-MDI aerosols used in New Zealand now are imported, with the propellant charge already in place. Up until 2014, one company loaded specialised aerosols in New Zealand with HFC-134a as the propellant. This activity is no longer carried out.</w:t>
      </w:r>
    </w:p>
    <w:p w14:paraId="1ED3D484" w14:textId="77777777" w:rsidR="003A5396" w:rsidRPr="001F4265" w:rsidRDefault="003A5396" w:rsidP="003A5396">
      <w:pPr>
        <w:pStyle w:val="BodyText"/>
        <w:spacing w:before="100" w:after="100"/>
      </w:pPr>
      <w:r w:rsidRPr="001F4265">
        <w:t>Nearly all the aerosol cans that are imported and sold in New Zealand use hydrocarbon propellants, while only a few specialised applications use HFCs.</w:t>
      </w:r>
    </w:p>
    <w:p w14:paraId="3F8C97C8" w14:textId="77777777" w:rsidR="003A5396" w:rsidRPr="001F4265" w:rsidRDefault="003A5396" w:rsidP="003A5396">
      <w:pPr>
        <w:pStyle w:val="BodyText"/>
        <w:spacing w:before="100" w:after="100"/>
      </w:pPr>
      <w:r w:rsidRPr="001F4265">
        <w:t>Information on the importation, manufacture and use of non-MDI aerosol products has been sourced from the survey data, which has been supplied by importers, from the one New Zealand aerosol manufacturer that previously used HFC-134a and from their industry association.</w:t>
      </w:r>
    </w:p>
    <w:p w14:paraId="0FA7A69B" w14:textId="77777777" w:rsidR="003A5396" w:rsidRPr="001F4265" w:rsidRDefault="003A5396" w:rsidP="003A5396">
      <w:pPr>
        <w:pStyle w:val="BodyText"/>
        <w:spacing w:after="100"/>
      </w:pPr>
      <w:r w:rsidRPr="001F4265">
        <w:t>Import data, irrespective of the source, are not complete or reliable due to the diffuse nature of the aerosol market. The available data do not clearly differentiate aerosols containing HFCs from the significantly larger number that contain hydrocarbons.</w:t>
      </w:r>
    </w:p>
    <w:p w14:paraId="2DAF3EB5" w14:textId="77777777" w:rsidR="003A5396" w:rsidRPr="001F4265" w:rsidRDefault="003A5396" w:rsidP="003A5396">
      <w:pPr>
        <w:pStyle w:val="BodyText"/>
        <w:spacing w:after="100"/>
      </w:pPr>
      <w:r w:rsidRPr="001F4265">
        <w:t>Survey data have provided some incomplete estimates of imports containing HFCs, for example, they accounted for 6.6 tonnes of HFC-134a in 2006. By combining this information with data from the New Zealand manufacturer, an assessment has been made of the proportions of HFC-134a in aerosol products sold in New Zealand:</w:t>
      </w:r>
    </w:p>
    <w:p w14:paraId="37057AA6" w14:textId="77777777" w:rsidR="003A5396" w:rsidRPr="001F4265" w:rsidRDefault="003A5396" w:rsidP="003A5396">
      <w:pPr>
        <w:pStyle w:val="Bullet"/>
        <w:spacing w:after="100"/>
      </w:pPr>
      <w:r w:rsidRPr="001F4265">
        <w:t>zero from 1990 to 1995, when HFC propellant had not yet been introduced</w:t>
      </w:r>
    </w:p>
    <w:p w14:paraId="683F046D" w14:textId="77777777" w:rsidR="003A5396" w:rsidRPr="001F4265" w:rsidRDefault="003A5396" w:rsidP="003A5396">
      <w:pPr>
        <w:pStyle w:val="Bullet"/>
        <w:spacing w:after="100"/>
      </w:pPr>
      <w:r w:rsidRPr="001F4265">
        <w:t>phased in from 1996 to 2000, reaching 1 percent in 2000</w:t>
      </w:r>
    </w:p>
    <w:p w14:paraId="5499A66F" w14:textId="77777777" w:rsidR="003A5396" w:rsidRPr="001F4265" w:rsidRDefault="003A5396" w:rsidP="003A5396">
      <w:pPr>
        <w:pStyle w:val="Bullet"/>
        <w:spacing w:after="100"/>
      </w:pPr>
      <w:r w:rsidRPr="001F4265">
        <w:t>1 percent (approximately 17 tonnes of HFC-134a annually) from 2001 to 2016</w:t>
      </w:r>
    </w:p>
    <w:p w14:paraId="2592CC30" w14:textId="77777777" w:rsidR="003A5396" w:rsidRPr="001F4265" w:rsidRDefault="003A5396" w:rsidP="003A5396">
      <w:pPr>
        <w:pStyle w:val="Bullet"/>
        <w:spacing w:after="100"/>
      </w:pPr>
      <w:r w:rsidRPr="001F4265">
        <w:t>phasing down by 0.1 percent each year from 2017 to 2019, driven by introduction of HFOs</w:t>
      </w:r>
    </w:p>
    <w:p w14:paraId="0BB01B71" w14:textId="77777777" w:rsidR="003A5396" w:rsidRPr="001F4265" w:rsidRDefault="003A5396" w:rsidP="003A5396">
      <w:pPr>
        <w:pStyle w:val="Bullet"/>
        <w:spacing w:after="100"/>
      </w:pPr>
      <w:r w:rsidRPr="001F4265">
        <w:t>remaining at 0.7 percent for 2020</w:t>
      </w:r>
    </w:p>
    <w:p w14:paraId="7E1974E5" w14:textId="77777777" w:rsidR="003A5396" w:rsidRPr="001F4265" w:rsidRDefault="003A5396" w:rsidP="003A5396">
      <w:pPr>
        <w:pStyle w:val="Bullet"/>
        <w:spacing w:after="100"/>
      </w:pPr>
      <w:r w:rsidRPr="001F4265">
        <w:t>0.6 percent in 2024 due to a further increase in the use of HFOs.</w:t>
      </w:r>
    </w:p>
    <w:p w14:paraId="31A673E5" w14:textId="77777777" w:rsidR="003A5396" w:rsidRPr="001F4265" w:rsidRDefault="003A5396" w:rsidP="003A5396">
      <w:pPr>
        <w:pStyle w:val="BodyText"/>
        <w:spacing w:after="100"/>
      </w:pPr>
      <w:r w:rsidRPr="001F4265">
        <w:t>For all non-MDI aerosol products using HFC-134a as the propellant, the average propellant charge is assessed to be 84 grams.</w:t>
      </w:r>
    </w:p>
    <w:p w14:paraId="59B8F806" w14:textId="77777777" w:rsidR="003A5396" w:rsidRPr="001F4265" w:rsidRDefault="003A5396" w:rsidP="003A5396">
      <w:pPr>
        <w:pStyle w:val="Heading4"/>
      </w:pPr>
      <w:bookmarkStart w:id="529" w:name="choice-of-methods-4"/>
      <w:bookmarkEnd w:id="522"/>
      <w:bookmarkEnd w:id="527"/>
      <w:r w:rsidRPr="001F4265">
        <w:t>Choice of methods</w:t>
      </w:r>
    </w:p>
    <w:p w14:paraId="280FE43C" w14:textId="77777777" w:rsidR="003A5396" w:rsidRPr="001F4265" w:rsidRDefault="003A5396" w:rsidP="003A5396">
      <w:pPr>
        <w:pStyle w:val="Heading5"/>
        <w:spacing w:before="180"/>
      </w:pPr>
      <w:bookmarkStart w:id="530" w:name="X2a0b4f98fb268b5ee5bb40534f221a9a267d986"/>
      <w:r w:rsidRPr="001F4265">
        <w:t>Refrigeration and air conditioning (2.F.1)</w:t>
      </w:r>
    </w:p>
    <w:p w14:paraId="04B39469" w14:textId="77777777" w:rsidR="003A5396" w:rsidRPr="001F4265" w:rsidRDefault="003A5396" w:rsidP="003A5396">
      <w:pPr>
        <w:pStyle w:val="BodyText"/>
        <w:spacing w:before="100" w:after="100"/>
      </w:pPr>
      <w:r w:rsidRPr="001F4265">
        <w:t xml:space="preserve">A mix of Tier 2a and Tier 2b methods was used to estimate emissions from the </w:t>
      </w:r>
      <w:r w:rsidRPr="001F4265">
        <w:rPr>
          <w:i/>
          <w:iCs/>
        </w:rPr>
        <w:t>Refrigeration and air conditioning</w:t>
      </w:r>
      <w:r w:rsidRPr="001F4265">
        <w:t xml:space="preserve"> category. Commercial refrigeration HFC-143a, industrial refrigeration HFC</w:t>
      </w:r>
      <w:r w:rsidRPr="001F4265">
        <w:noBreakHyphen/>
        <w:t>134a, stationary air conditioning HFC-32 and mobile air conditioning HFC-134a use a Tier 2b approach based on equipment retirement models. Other sub-applications use a Tier 2a approach.</w:t>
      </w:r>
    </w:p>
    <w:p w14:paraId="785145F9" w14:textId="77777777" w:rsidR="003A5396" w:rsidRPr="001F4265" w:rsidRDefault="003A5396" w:rsidP="003A5396">
      <w:pPr>
        <w:pStyle w:val="BodyText"/>
        <w:spacing w:before="100" w:after="100"/>
      </w:pPr>
      <w:r w:rsidRPr="001F4265">
        <w:t>Annual sales and the charge in new equipment are calculated as shown in box 7.3 in the 2006 IPCC Guidelines (IPCC, 2006b) (see box 4.1). Total charge of new equipment includes equipment that is later exported.</w:t>
      </w:r>
    </w:p>
    <w:p w14:paraId="60F66CBF" w14:textId="77777777" w:rsidR="003A5396" w:rsidRPr="001F4265" w:rsidRDefault="003A5396" w:rsidP="003A5396">
      <w:pPr>
        <w:pStyle w:val="BodyText"/>
      </w:pPr>
      <w:r w:rsidRPr="001F4265">
        <w:rPr>
          <w:b/>
          <w:bCs/>
        </w:rPr>
        <w:t>Box 4.1</w:t>
      </w:r>
      <w:r w:rsidRPr="001F4265">
        <w:t xml:space="preserve"> </w:t>
      </w:r>
    </w:p>
    <w:tbl>
      <w:tblPr>
        <w:tblStyle w:val="TableGrid"/>
        <w:tblW w:w="0" w:type="auto"/>
        <w:tblLook w:val="04A0" w:firstRow="1" w:lastRow="0" w:firstColumn="1" w:lastColumn="0" w:noHBand="0" w:noVBand="1"/>
      </w:tblPr>
      <w:tblGrid>
        <w:gridCol w:w="8495"/>
      </w:tblGrid>
      <w:tr w:rsidR="003A5396" w:rsidRPr="001F4265" w14:paraId="025F1A88" w14:textId="77777777" w:rsidTr="00F16E23">
        <w:tc>
          <w:tcPr>
            <w:tcW w:w="8495" w:type="dxa"/>
          </w:tcPr>
          <w:p w14:paraId="68B6CF00" w14:textId="77777777" w:rsidR="003A5396" w:rsidRPr="001F4265" w:rsidRDefault="003A5396" w:rsidP="00F16E23">
            <w:pPr>
              <w:pStyle w:val="BodyText"/>
              <w:jc w:val="center"/>
              <w:rPr>
                <w:b/>
                <w:bCs/>
              </w:rPr>
            </w:pPr>
            <w:r w:rsidRPr="001F4265">
              <w:rPr>
                <w:b/>
                <w:bCs/>
                <w:i/>
                <w:iCs/>
              </w:rPr>
              <w:t>IPCC (2006b) first equation in box 7.3</w:t>
            </w:r>
          </w:p>
          <w:p w14:paraId="48301741" w14:textId="77777777" w:rsidR="003A5396" w:rsidRPr="001F4265" w:rsidRDefault="003A5396" w:rsidP="00F16E23">
            <w:pPr>
              <w:pStyle w:val="BodyText"/>
              <w:spacing w:before="80" w:after="80"/>
              <w:jc w:val="center"/>
              <w:rPr>
                <w:rFonts w:ascii="Cambria Math" w:hAnsi="Cambria Math"/>
              </w:rPr>
            </w:pPr>
            <w:r w:rsidRPr="001F4265">
              <w:rPr>
                <w:rFonts w:ascii="Cambria Math" w:hAnsi="Cambria Math"/>
                <w:b/>
                <w:i/>
              </w:rPr>
              <w:t>Annual Sales of New Refrigerant</w:t>
            </w:r>
          </w:p>
          <w:p w14:paraId="77F8F3CC" w14:textId="77777777" w:rsidR="003A5396" w:rsidRPr="001F4265" w:rsidRDefault="003A5396" w:rsidP="00F16E23">
            <w:pPr>
              <w:pStyle w:val="BodyText"/>
              <w:spacing w:before="60" w:after="60"/>
              <w:jc w:val="center"/>
              <w:rPr>
                <w:rFonts w:ascii="Cambria Math" w:hAnsi="Cambria Math"/>
              </w:rPr>
            </w:pPr>
            <w:r w:rsidRPr="001F4265">
              <w:rPr>
                <w:rFonts w:ascii="Cambria Math" w:hAnsi="Cambria Math"/>
                <w:i/>
              </w:rPr>
              <w:t>= Domestically Manufactured Chemical</w:t>
            </w:r>
          </w:p>
          <w:p w14:paraId="24ADDB7D" w14:textId="77777777" w:rsidR="003A5396" w:rsidRPr="001F4265" w:rsidRDefault="003A5396" w:rsidP="00F16E23">
            <w:pPr>
              <w:pStyle w:val="BodyText"/>
              <w:spacing w:before="60" w:after="60"/>
              <w:jc w:val="center"/>
              <w:rPr>
                <w:rFonts w:ascii="Cambria Math" w:hAnsi="Cambria Math"/>
              </w:rPr>
            </w:pPr>
            <w:r w:rsidRPr="001F4265">
              <w:rPr>
                <w:rFonts w:ascii="Cambria Math" w:hAnsi="Cambria Math"/>
                <w:i/>
              </w:rPr>
              <w:t>+ Imported Bulk Chemical ― Exported Bulk Chemical</w:t>
            </w:r>
          </w:p>
          <w:p w14:paraId="3CC9FFFC" w14:textId="77777777" w:rsidR="003A5396" w:rsidRPr="001F4265" w:rsidRDefault="003A5396" w:rsidP="00F16E23">
            <w:pPr>
              <w:pStyle w:val="BodyText"/>
              <w:spacing w:before="60" w:after="60"/>
              <w:jc w:val="center"/>
              <w:rPr>
                <w:rFonts w:ascii="Cambria Math" w:hAnsi="Cambria Math"/>
              </w:rPr>
            </w:pPr>
            <w:r w:rsidRPr="001F4265">
              <w:rPr>
                <w:rFonts w:ascii="Cambria Math" w:hAnsi="Cambria Math"/>
                <w:i/>
              </w:rPr>
              <w:t>+ Chemical Contained in Factory Charged Imported Equipment</w:t>
            </w:r>
          </w:p>
          <w:p w14:paraId="2C6E3B84" w14:textId="77777777" w:rsidR="003A5396" w:rsidRPr="001F4265" w:rsidRDefault="003A5396" w:rsidP="00F16E23">
            <w:pPr>
              <w:pStyle w:val="BodyText"/>
              <w:spacing w:before="60" w:after="60"/>
              <w:jc w:val="center"/>
              <w:rPr>
                <w:rFonts w:ascii="Cambria Math" w:hAnsi="Cambria Math"/>
              </w:rPr>
            </w:pPr>
            <w:r w:rsidRPr="001F4265">
              <w:rPr>
                <w:rFonts w:ascii="Cambria Math" w:hAnsi="Cambria Math"/>
                <w:i/>
              </w:rPr>
              <w:t>– Chemical Contained in Factory Charged Exported Equipment.</w:t>
            </w:r>
          </w:p>
          <w:p w14:paraId="1BEE100C" w14:textId="77777777" w:rsidR="003A5396" w:rsidRPr="001F4265" w:rsidRDefault="003A5396" w:rsidP="00F16E23">
            <w:pPr>
              <w:pStyle w:val="BodyText"/>
              <w:spacing w:after="60"/>
              <w:jc w:val="center"/>
              <w:rPr>
                <w:rFonts w:ascii="Cambria Math" w:hAnsi="Cambria Math"/>
              </w:rPr>
            </w:pPr>
            <w:r w:rsidRPr="001F4265">
              <w:rPr>
                <w:rFonts w:ascii="Cambria Math" w:hAnsi="Cambria Math"/>
                <w:b/>
              </w:rPr>
              <w:t>Total Charge of New Equipment</w:t>
            </w:r>
          </w:p>
          <w:p w14:paraId="16EA4EB7" w14:textId="77777777" w:rsidR="003A5396" w:rsidRPr="001F4265" w:rsidRDefault="003A5396" w:rsidP="00F16E23">
            <w:pPr>
              <w:pStyle w:val="BodyText"/>
              <w:spacing w:before="80" w:after="60"/>
              <w:jc w:val="center"/>
              <w:rPr>
                <w:rFonts w:ascii="Cambria Math" w:hAnsi="Cambria Math"/>
              </w:rPr>
            </w:pPr>
            <w:r w:rsidRPr="001F4265">
              <w:rPr>
                <w:rFonts w:ascii="Cambria Math" w:hAnsi="Cambria Math"/>
                <w:i/>
              </w:rPr>
              <w:t>= Chemical to Charge Domestically Manufactured Equipment that is not Factory Charged</w:t>
            </w:r>
          </w:p>
          <w:p w14:paraId="35DA785B" w14:textId="77777777" w:rsidR="003A5396" w:rsidRPr="001F4265" w:rsidRDefault="003A5396" w:rsidP="00F16E23">
            <w:pPr>
              <w:pStyle w:val="BodyText"/>
              <w:spacing w:before="60" w:after="60"/>
              <w:jc w:val="center"/>
              <w:rPr>
                <w:rFonts w:ascii="Cambria Math" w:hAnsi="Cambria Math"/>
              </w:rPr>
            </w:pPr>
            <w:r w:rsidRPr="001F4265">
              <w:rPr>
                <w:rFonts w:ascii="Cambria Math" w:hAnsi="Cambria Math"/>
                <w:i/>
              </w:rPr>
              <w:t>+ Chemical to Charge Domestically Manufactured Equipment that is Factory Charged</w:t>
            </w:r>
          </w:p>
          <w:p w14:paraId="1948058A" w14:textId="77777777" w:rsidR="003A5396" w:rsidRPr="001F4265" w:rsidRDefault="003A5396" w:rsidP="00F16E23">
            <w:pPr>
              <w:pStyle w:val="BodyText"/>
              <w:spacing w:before="60" w:after="60"/>
              <w:jc w:val="center"/>
              <w:rPr>
                <w:rFonts w:ascii="Cambria Math" w:hAnsi="Cambria Math"/>
              </w:rPr>
            </w:pPr>
            <w:r w:rsidRPr="001F4265">
              <w:rPr>
                <w:rFonts w:ascii="Cambria Math" w:hAnsi="Cambria Math"/>
                <w:i/>
              </w:rPr>
              <w:t>+ Chemical to Charge Imported Equipment that is not Factory Charged</w:t>
            </w:r>
          </w:p>
          <w:p w14:paraId="7B0947BC" w14:textId="77777777" w:rsidR="003A5396" w:rsidRPr="001F4265" w:rsidRDefault="003A5396" w:rsidP="00F16E23">
            <w:pPr>
              <w:pStyle w:val="BodyText"/>
              <w:spacing w:before="60" w:after="60"/>
              <w:jc w:val="center"/>
              <w:rPr>
                <w:rFonts w:ascii="Cambria Math" w:hAnsi="Cambria Math"/>
              </w:rPr>
            </w:pPr>
            <w:r w:rsidRPr="001F4265">
              <w:rPr>
                <w:rFonts w:ascii="Cambria Math" w:hAnsi="Cambria Math"/>
                <w:i/>
              </w:rPr>
              <w:t>+ Chemical Contained in Factory Charged Imported Equipment</w:t>
            </w:r>
          </w:p>
          <w:p w14:paraId="2E11F7E0" w14:textId="77777777" w:rsidR="003A5396" w:rsidRPr="001F4265" w:rsidRDefault="003A5396" w:rsidP="00F16E23">
            <w:pPr>
              <w:pStyle w:val="BodyText"/>
              <w:spacing w:before="60"/>
              <w:jc w:val="center"/>
            </w:pPr>
            <w:r w:rsidRPr="001F4265">
              <w:rPr>
                <w:rFonts w:ascii="Cambria Math" w:hAnsi="Cambria Math"/>
                <w:i/>
              </w:rPr>
              <w:t>– Chemical Contained in Factory Charged Exported Equipment.</w:t>
            </w:r>
          </w:p>
        </w:tc>
      </w:tr>
    </w:tbl>
    <w:p w14:paraId="158971D4" w14:textId="77777777" w:rsidR="003A5396" w:rsidRPr="001F4265" w:rsidRDefault="003A5396" w:rsidP="003A5396">
      <w:pPr>
        <w:pStyle w:val="BodyText"/>
        <w:spacing w:before="240"/>
      </w:pPr>
      <w:r w:rsidRPr="001F4265">
        <w:t>The mass balance approach uses equation 7.9 in the 2006 IPCC Guidelines (IPCC, 2006b) (box 4.2).</w:t>
      </w:r>
    </w:p>
    <w:p w14:paraId="54E0A21E" w14:textId="77777777" w:rsidR="003A5396" w:rsidRPr="001F4265" w:rsidRDefault="003A5396" w:rsidP="003A5396">
      <w:pPr>
        <w:pStyle w:val="BodyText"/>
        <w:keepNext/>
      </w:pPr>
      <w:r w:rsidRPr="001F4265">
        <w:rPr>
          <w:b/>
          <w:bCs/>
        </w:rPr>
        <w:t>Box 4.2</w:t>
      </w:r>
      <w:r w:rsidRPr="001F4265">
        <w:t xml:space="preserve"> </w:t>
      </w:r>
    </w:p>
    <w:tbl>
      <w:tblPr>
        <w:tblStyle w:val="TableGrid"/>
        <w:tblW w:w="0" w:type="auto"/>
        <w:tblLook w:val="04A0" w:firstRow="1" w:lastRow="0" w:firstColumn="1" w:lastColumn="0" w:noHBand="0" w:noVBand="1"/>
      </w:tblPr>
      <w:tblGrid>
        <w:gridCol w:w="8495"/>
      </w:tblGrid>
      <w:tr w:rsidR="003A5396" w:rsidRPr="001F4265" w14:paraId="0004F0F5" w14:textId="77777777" w:rsidTr="00F16E23">
        <w:tc>
          <w:tcPr>
            <w:tcW w:w="8495" w:type="dxa"/>
          </w:tcPr>
          <w:p w14:paraId="48B82A0C" w14:textId="77777777" w:rsidR="003A5396" w:rsidRPr="001F4265" w:rsidRDefault="003A5396" w:rsidP="00F16E23">
            <w:pPr>
              <w:pStyle w:val="BodyText"/>
              <w:spacing w:after="60"/>
              <w:jc w:val="center"/>
              <w:rPr>
                <w:b/>
                <w:bCs/>
              </w:rPr>
            </w:pPr>
            <w:r w:rsidRPr="001F4265">
              <w:rPr>
                <w:b/>
                <w:bCs/>
                <w:i/>
                <w:iCs/>
              </w:rPr>
              <w:t>IPCC (2006b) equation 7.9</w:t>
            </w:r>
          </w:p>
          <w:p w14:paraId="5C31DD55" w14:textId="77777777" w:rsidR="003A5396" w:rsidRPr="001F4265" w:rsidRDefault="003A5396" w:rsidP="00F16E23">
            <w:pPr>
              <w:pStyle w:val="BodyText"/>
              <w:jc w:val="center"/>
              <w:rPr>
                <w:rFonts w:ascii="Cambria Math" w:hAnsi="Cambria Math"/>
              </w:rPr>
            </w:pPr>
            <w:r w:rsidRPr="001F4265">
              <w:rPr>
                <w:rFonts w:ascii="Cambria Math" w:hAnsi="Cambria Math"/>
                <w:b/>
                <w:i/>
              </w:rPr>
              <w:t>Emissions </w:t>
            </w:r>
            <w:r w:rsidRPr="001F4265">
              <w:rPr>
                <w:rFonts w:ascii="Cambria Math" w:hAnsi="Cambria Math"/>
                <w:i/>
              </w:rPr>
              <w:t>= Annual Sales of New Refrigerant ― Total Charge of New Equipment + Original Total Charge of Retiring Equipment ― Amount of Intentional Destruction</w:t>
            </w:r>
          </w:p>
        </w:tc>
      </w:tr>
    </w:tbl>
    <w:p w14:paraId="589C89C5" w14:textId="77777777" w:rsidR="003A5396" w:rsidRPr="001F4265" w:rsidRDefault="003A5396" w:rsidP="003A5396">
      <w:pPr>
        <w:pStyle w:val="BodyText"/>
        <w:spacing w:before="240"/>
      </w:pPr>
      <w:r w:rsidRPr="001F4265">
        <w:t xml:space="preserve">Spreadsheet models have been used to represent the refrigerant consumption and banks. Estimates have been made for the six sub-applications: </w:t>
      </w:r>
      <w:r w:rsidRPr="001F4265">
        <w:rPr>
          <w:i/>
          <w:iCs/>
        </w:rPr>
        <w:t>Household refrigeration</w:t>
      </w:r>
      <w:r w:rsidRPr="001F4265">
        <w:t xml:space="preserve">, </w:t>
      </w:r>
      <w:r w:rsidRPr="001F4265">
        <w:rPr>
          <w:i/>
          <w:iCs/>
        </w:rPr>
        <w:t>Commercial refrigeration</w:t>
      </w:r>
      <w:r w:rsidRPr="001F4265">
        <w:t xml:space="preserve">, </w:t>
      </w:r>
      <w:r w:rsidRPr="001F4265">
        <w:rPr>
          <w:i/>
          <w:iCs/>
        </w:rPr>
        <w:t>Industrial refrigeration</w:t>
      </w:r>
      <w:r w:rsidRPr="001F4265">
        <w:t xml:space="preserve">, </w:t>
      </w:r>
      <w:r w:rsidRPr="001F4265">
        <w:rPr>
          <w:i/>
          <w:iCs/>
        </w:rPr>
        <w:t>Transport refrigeration</w:t>
      </w:r>
      <w:r w:rsidRPr="001F4265">
        <w:t xml:space="preserve">, </w:t>
      </w:r>
      <w:r w:rsidRPr="001F4265">
        <w:rPr>
          <w:i/>
          <w:iCs/>
        </w:rPr>
        <w:t xml:space="preserve">Stationary air conditioning </w:t>
      </w:r>
      <w:r w:rsidRPr="001F4265">
        <w:t>and</w:t>
      </w:r>
      <w:r w:rsidRPr="001F4265">
        <w:rPr>
          <w:i/>
          <w:iCs/>
        </w:rPr>
        <w:t xml:space="preserve"> Mobile air conditioning</w:t>
      </w:r>
      <w:r w:rsidRPr="001F4265">
        <w:t>. For commercial and industrial refrigeration, where the required data are available, the models distinguish and calculate separately:</w:t>
      </w:r>
    </w:p>
    <w:p w14:paraId="085E2F33" w14:textId="77777777" w:rsidR="003A5396" w:rsidRPr="001F4265" w:rsidRDefault="003A5396" w:rsidP="003A5396">
      <w:pPr>
        <w:pStyle w:val="Bullet"/>
      </w:pPr>
      <w:r w:rsidRPr="001F4265">
        <w:t>recovery for destruction</w:t>
      </w:r>
    </w:p>
    <w:p w14:paraId="204576B2" w14:textId="77777777" w:rsidR="003A5396" w:rsidRPr="001F4265" w:rsidRDefault="003A5396" w:rsidP="003A5396">
      <w:pPr>
        <w:pStyle w:val="Bullet"/>
      </w:pPr>
      <w:r w:rsidRPr="001F4265">
        <w:t>recovery for reuse of the refrigerant.</w:t>
      </w:r>
    </w:p>
    <w:p w14:paraId="23E742DD" w14:textId="77777777" w:rsidR="003A5396" w:rsidRPr="001F4265" w:rsidRDefault="003A5396" w:rsidP="003A5396">
      <w:pPr>
        <w:pStyle w:val="BodyText"/>
      </w:pPr>
      <w:r w:rsidRPr="001F4265">
        <w:t>Country-specific assessments for the lifetime of equipment have been made to calculate the ‘original total charge of retiring equipment’. These assessments include progressive retirement of air conditioning equipment in years 8 to 19, and dehumidifiers in years 6 to 15. The analysis also takes into account the impact of the 2011 Canterbury earthquake, which resulted in emissions from demolition of damaged buildings in the years following.</w:t>
      </w:r>
    </w:p>
    <w:p w14:paraId="79FCD499" w14:textId="77777777" w:rsidR="003A5396" w:rsidRPr="001F4265" w:rsidRDefault="003A5396" w:rsidP="003A5396">
      <w:pPr>
        <w:pStyle w:val="BodyText"/>
      </w:pPr>
      <w:r w:rsidRPr="001F4265">
        <w:t>There is currently no facility for the intentional destruction of HFCs or PFCs from this application operating in New Zealand. Some HFCs are exported for destruction in Australia, and the amounts recovered for destruction are reported.</w:t>
      </w:r>
    </w:p>
    <w:p w14:paraId="7374FA40" w14:textId="77777777" w:rsidR="003A5396" w:rsidRPr="001F4265" w:rsidRDefault="003A5396" w:rsidP="003A5396">
      <w:pPr>
        <w:pStyle w:val="BodyText"/>
      </w:pPr>
      <w:r w:rsidRPr="001F4265">
        <w:t>Table 4.7.3 summarises the methodological tiers that are used for each sub-application.</w:t>
      </w:r>
    </w:p>
    <w:p w14:paraId="69B14F13" w14:textId="77777777" w:rsidR="003A5396" w:rsidRPr="001F4265" w:rsidRDefault="003A5396" w:rsidP="003A5396">
      <w:pPr>
        <w:pStyle w:val="Table"/>
      </w:pPr>
      <w:bookmarkStart w:id="531" w:name="_Toc226668983"/>
      <w:r w:rsidRPr="001F4265">
        <w:t xml:space="preserve">Table 4.7.3 </w:t>
      </w:r>
      <w:r w:rsidRPr="001F4265">
        <w:tab/>
        <w:t>Summary of methodological tiers by sub-application</w:t>
      </w:r>
      <w:bookmarkEnd w:id="53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358"/>
        <w:gridCol w:w="1417"/>
        <w:gridCol w:w="3719"/>
      </w:tblGrid>
      <w:tr w:rsidR="003A5396" w:rsidRPr="001F4265" w14:paraId="7A3D40B7" w14:textId="77777777" w:rsidTr="00F16E23">
        <w:trPr>
          <w:trHeight w:val="20"/>
          <w:tblHeader/>
        </w:trPr>
        <w:tc>
          <w:tcPr>
            <w:tcW w:w="0" w:type="auto"/>
            <w:shd w:val="clear" w:color="auto" w:fill="1B556B"/>
            <w:tcMar>
              <w:top w:w="0" w:type="dxa"/>
              <w:left w:w="85" w:type="dxa"/>
              <w:bottom w:w="0" w:type="dxa"/>
              <w:right w:w="85" w:type="dxa"/>
            </w:tcMar>
            <w:vAlign w:val="center"/>
          </w:tcPr>
          <w:p w14:paraId="52338669"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Sub-application</w:t>
            </w:r>
          </w:p>
        </w:tc>
        <w:tc>
          <w:tcPr>
            <w:tcW w:w="0" w:type="auto"/>
            <w:shd w:val="clear" w:color="auto" w:fill="1B556B"/>
            <w:tcMar>
              <w:top w:w="0" w:type="dxa"/>
              <w:left w:w="85" w:type="dxa"/>
              <w:bottom w:w="0" w:type="dxa"/>
              <w:right w:w="85" w:type="dxa"/>
            </w:tcMar>
            <w:vAlign w:val="center"/>
          </w:tcPr>
          <w:p w14:paraId="1DB84350"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Chemical</w:t>
            </w:r>
          </w:p>
        </w:tc>
        <w:tc>
          <w:tcPr>
            <w:tcW w:w="0" w:type="auto"/>
            <w:shd w:val="clear" w:color="auto" w:fill="1B556B"/>
            <w:tcMar>
              <w:top w:w="0" w:type="dxa"/>
              <w:left w:w="85" w:type="dxa"/>
              <w:bottom w:w="0" w:type="dxa"/>
              <w:right w:w="85" w:type="dxa"/>
            </w:tcMar>
            <w:vAlign w:val="center"/>
          </w:tcPr>
          <w:p w14:paraId="40FB0D62" w14:textId="77777777" w:rsidR="003A5396" w:rsidRPr="001F4265" w:rsidRDefault="003A5396" w:rsidP="00F16E23">
            <w:pPr>
              <w:pStyle w:val="TableTextBold"/>
              <w:rPr>
                <w:noProof w:val="0"/>
                <w:color w:val="FFFFFF" w:themeColor="background1"/>
              </w:rPr>
            </w:pPr>
            <w:r w:rsidRPr="001F4265">
              <w:rPr>
                <w:rFonts w:eastAsia="Calibri"/>
                <w:noProof w:val="0"/>
                <w:color w:val="FFFFFF" w:themeColor="background1"/>
              </w:rPr>
              <w:t>Method used (Tier)</w:t>
            </w:r>
          </w:p>
        </w:tc>
      </w:tr>
      <w:tr w:rsidR="003A5396" w:rsidRPr="001F4265" w14:paraId="0686145C" w14:textId="77777777" w:rsidTr="00F16E23">
        <w:trPr>
          <w:trHeight w:val="20"/>
        </w:trPr>
        <w:tc>
          <w:tcPr>
            <w:tcW w:w="0" w:type="auto"/>
            <w:shd w:val="clear" w:color="auto" w:fill="FFFFFF"/>
            <w:tcMar>
              <w:top w:w="0" w:type="dxa"/>
              <w:left w:w="85" w:type="dxa"/>
              <w:bottom w:w="0" w:type="dxa"/>
              <w:right w:w="85" w:type="dxa"/>
            </w:tcMar>
            <w:vAlign w:val="center"/>
          </w:tcPr>
          <w:p w14:paraId="1AE89DB3" w14:textId="77777777" w:rsidR="003A5396" w:rsidRPr="001F4265" w:rsidRDefault="003A5396" w:rsidP="00F16E23">
            <w:pPr>
              <w:pStyle w:val="TableText"/>
              <w:spacing w:before="40" w:after="40"/>
              <w:rPr>
                <w:szCs w:val="16"/>
              </w:rPr>
            </w:pPr>
            <w:r w:rsidRPr="001F4265">
              <w:rPr>
                <w:rFonts w:eastAsia="Calibri"/>
                <w:szCs w:val="16"/>
              </w:rPr>
              <w:t>Household refrigeration</w:t>
            </w:r>
          </w:p>
        </w:tc>
        <w:tc>
          <w:tcPr>
            <w:tcW w:w="0" w:type="auto"/>
            <w:shd w:val="clear" w:color="auto" w:fill="FFFFFF"/>
            <w:tcMar>
              <w:top w:w="0" w:type="dxa"/>
              <w:left w:w="85" w:type="dxa"/>
              <w:bottom w:w="0" w:type="dxa"/>
              <w:right w:w="85" w:type="dxa"/>
            </w:tcMar>
            <w:vAlign w:val="center"/>
          </w:tcPr>
          <w:p w14:paraId="68F6A12F" w14:textId="77777777" w:rsidR="003A5396" w:rsidRPr="001F4265" w:rsidRDefault="003A5396" w:rsidP="00F16E23">
            <w:pPr>
              <w:pStyle w:val="TableText"/>
              <w:spacing w:before="40" w:after="40"/>
              <w:rPr>
                <w:szCs w:val="16"/>
              </w:rPr>
            </w:pPr>
            <w:r w:rsidRPr="001F4265">
              <w:rPr>
                <w:rFonts w:eastAsia="Calibri"/>
                <w:szCs w:val="16"/>
              </w:rPr>
              <w:t>HFC-134a</w:t>
            </w:r>
          </w:p>
        </w:tc>
        <w:tc>
          <w:tcPr>
            <w:tcW w:w="0" w:type="auto"/>
            <w:shd w:val="clear" w:color="auto" w:fill="FFFFFF"/>
            <w:tcMar>
              <w:top w:w="0" w:type="dxa"/>
              <w:left w:w="85" w:type="dxa"/>
              <w:bottom w:w="0" w:type="dxa"/>
              <w:right w:w="85" w:type="dxa"/>
            </w:tcMar>
            <w:vAlign w:val="center"/>
          </w:tcPr>
          <w:p w14:paraId="58927B03"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11A6004C" w14:textId="77777777" w:rsidTr="00F16E23">
        <w:trPr>
          <w:trHeight w:val="20"/>
        </w:trPr>
        <w:tc>
          <w:tcPr>
            <w:tcW w:w="0" w:type="auto"/>
            <w:shd w:val="clear" w:color="auto" w:fill="FFFFFF"/>
            <w:tcMar>
              <w:top w:w="0" w:type="dxa"/>
              <w:left w:w="85" w:type="dxa"/>
              <w:bottom w:w="0" w:type="dxa"/>
              <w:right w:w="85" w:type="dxa"/>
            </w:tcMar>
            <w:vAlign w:val="center"/>
          </w:tcPr>
          <w:p w14:paraId="60C7C0F9" w14:textId="77777777" w:rsidR="003A5396" w:rsidRPr="001F4265" w:rsidRDefault="003A5396" w:rsidP="00F16E23">
            <w:pPr>
              <w:pStyle w:val="TableText"/>
              <w:spacing w:before="40" w:after="40"/>
              <w:rPr>
                <w:szCs w:val="16"/>
              </w:rPr>
            </w:pPr>
            <w:r w:rsidRPr="001F4265">
              <w:rPr>
                <w:rFonts w:eastAsia="Calibri"/>
                <w:szCs w:val="16"/>
              </w:rPr>
              <w:t>Commercial refrigeration</w:t>
            </w:r>
          </w:p>
        </w:tc>
        <w:tc>
          <w:tcPr>
            <w:tcW w:w="0" w:type="auto"/>
            <w:shd w:val="clear" w:color="auto" w:fill="FFFFFF"/>
            <w:tcMar>
              <w:top w:w="0" w:type="dxa"/>
              <w:left w:w="85" w:type="dxa"/>
              <w:bottom w:w="0" w:type="dxa"/>
              <w:right w:w="85" w:type="dxa"/>
            </w:tcMar>
            <w:vAlign w:val="center"/>
          </w:tcPr>
          <w:p w14:paraId="6A42E918" w14:textId="77777777" w:rsidR="003A5396" w:rsidRPr="001F4265" w:rsidRDefault="003A5396" w:rsidP="00F16E23">
            <w:pPr>
              <w:pStyle w:val="TableText"/>
              <w:spacing w:before="40" w:after="40"/>
              <w:rPr>
                <w:szCs w:val="16"/>
              </w:rPr>
            </w:pPr>
            <w:r w:rsidRPr="001F4265">
              <w:rPr>
                <w:rFonts w:eastAsia="Calibri"/>
                <w:szCs w:val="16"/>
              </w:rPr>
              <w:t>HFC-32</w:t>
            </w:r>
          </w:p>
        </w:tc>
        <w:tc>
          <w:tcPr>
            <w:tcW w:w="0" w:type="auto"/>
            <w:shd w:val="clear" w:color="auto" w:fill="FFFFFF"/>
            <w:tcMar>
              <w:top w:w="0" w:type="dxa"/>
              <w:left w:w="85" w:type="dxa"/>
              <w:bottom w:w="0" w:type="dxa"/>
              <w:right w:w="85" w:type="dxa"/>
            </w:tcMar>
            <w:vAlign w:val="center"/>
          </w:tcPr>
          <w:p w14:paraId="23F5395A"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02E9A75A" w14:textId="77777777" w:rsidTr="00F16E23">
        <w:trPr>
          <w:trHeight w:val="20"/>
        </w:trPr>
        <w:tc>
          <w:tcPr>
            <w:tcW w:w="0" w:type="auto"/>
            <w:shd w:val="clear" w:color="auto" w:fill="FFFFFF"/>
            <w:tcMar>
              <w:top w:w="0" w:type="dxa"/>
              <w:left w:w="85" w:type="dxa"/>
              <w:bottom w:w="0" w:type="dxa"/>
              <w:right w:w="85" w:type="dxa"/>
            </w:tcMar>
            <w:vAlign w:val="center"/>
          </w:tcPr>
          <w:p w14:paraId="28662BD8"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72ACB4D7" w14:textId="77777777" w:rsidR="003A5396" w:rsidRPr="001F4265" w:rsidRDefault="003A5396" w:rsidP="00F16E23">
            <w:pPr>
              <w:pStyle w:val="TableText"/>
              <w:spacing w:before="40" w:after="40"/>
              <w:rPr>
                <w:szCs w:val="16"/>
              </w:rPr>
            </w:pPr>
            <w:r w:rsidRPr="001F4265">
              <w:rPr>
                <w:rFonts w:eastAsia="Calibri"/>
                <w:szCs w:val="16"/>
              </w:rPr>
              <w:t>HFC-125</w:t>
            </w:r>
          </w:p>
        </w:tc>
        <w:tc>
          <w:tcPr>
            <w:tcW w:w="0" w:type="auto"/>
            <w:shd w:val="clear" w:color="auto" w:fill="FFFFFF"/>
            <w:tcMar>
              <w:top w:w="0" w:type="dxa"/>
              <w:left w:w="85" w:type="dxa"/>
              <w:bottom w:w="0" w:type="dxa"/>
              <w:right w:w="85" w:type="dxa"/>
            </w:tcMar>
            <w:vAlign w:val="center"/>
          </w:tcPr>
          <w:p w14:paraId="66A27EDC" w14:textId="77777777" w:rsidR="003A5396" w:rsidRPr="001F4265" w:rsidRDefault="003A5396" w:rsidP="00F16E23">
            <w:pPr>
              <w:pStyle w:val="TableText"/>
              <w:spacing w:before="40" w:after="40"/>
              <w:rPr>
                <w:szCs w:val="16"/>
              </w:rPr>
            </w:pPr>
            <w:r w:rsidRPr="001F4265">
              <w:rPr>
                <w:rFonts w:eastAsia="Calibri"/>
                <w:szCs w:val="16"/>
              </w:rPr>
              <w:t>2b to 2006, 2a for 2007–2021</w:t>
            </w:r>
          </w:p>
        </w:tc>
      </w:tr>
      <w:tr w:rsidR="003A5396" w:rsidRPr="001F4265" w14:paraId="051A1EF3" w14:textId="77777777" w:rsidTr="00F16E23">
        <w:trPr>
          <w:trHeight w:val="20"/>
        </w:trPr>
        <w:tc>
          <w:tcPr>
            <w:tcW w:w="0" w:type="auto"/>
            <w:shd w:val="clear" w:color="auto" w:fill="FFFFFF"/>
            <w:tcMar>
              <w:top w:w="0" w:type="dxa"/>
              <w:left w:w="85" w:type="dxa"/>
              <w:bottom w:w="0" w:type="dxa"/>
              <w:right w:w="85" w:type="dxa"/>
            </w:tcMar>
            <w:vAlign w:val="center"/>
          </w:tcPr>
          <w:p w14:paraId="58C5CA9C"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36FAB53E" w14:textId="77777777" w:rsidR="003A5396" w:rsidRPr="001F4265" w:rsidRDefault="003A5396" w:rsidP="00F16E23">
            <w:pPr>
              <w:pStyle w:val="TableText"/>
              <w:spacing w:before="40" w:after="40"/>
              <w:rPr>
                <w:szCs w:val="16"/>
              </w:rPr>
            </w:pPr>
            <w:r w:rsidRPr="001F4265">
              <w:rPr>
                <w:rFonts w:eastAsia="Calibri"/>
                <w:szCs w:val="16"/>
              </w:rPr>
              <w:t>HFC-134a</w:t>
            </w:r>
          </w:p>
        </w:tc>
        <w:tc>
          <w:tcPr>
            <w:tcW w:w="0" w:type="auto"/>
            <w:shd w:val="clear" w:color="auto" w:fill="FFFFFF"/>
            <w:tcMar>
              <w:top w:w="0" w:type="dxa"/>
              <w:left w:w="85" w:type="dxa"/>
              <w:bottom w:w="0" w:type="dxa"/>
              <w:right w:w="85" w:type="dxa"/>
            </w:tcMar>
            <w:vAlign w:val="center"/>
          </w:tcPr>
          <w:p w14:paraId="4B07CB96"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58E7B05C" w14:textId="77777777" w:rsidTr="00F16E23">
        <w:trPr>
          <w:trHeight w:val="20"/>
        </w:trPr>
        <w:tc>
          <w:tcPr>
            <w:tcW w:w="0" w:type="auto"/>
            <w:shd w:val="clear" w:color="auto" w:fill="FFFFFF"/>
            <w:tcMar>
              <w:top w:w="0" w:type="dxa"/>
              <w:left w:w="85" w:type="dxa"/>
              <w:bottom w:w="0" w:type="dxa"/>
              <w:right w:w="85" w:type="dxa"/>
            </w:tcMar>
            <w:vAlign w:val="center"/>
          </w:tcPr>
          <w:p w14:paraId="56220181"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71A098AA" w14:textId="77777777" w:rsidR="003A5396" w:rsidRPr="001F4265" w:rsidRDefault="003A5396" w:rsidP="00F16E23">
            <w:pPr>
              <w:pStyle w:val="TableText"/>
              <w:spacing w:before="40" w:after="40"/>
              <w:rPr>
                <w:szCs w:val="16"/>
              </w:rPr>
            </w:pPr>
            <w:r w:rsidRPr="001F4265">
              <w:rPr>
                <w:rFonts w:eastAsia="Calibri"/>
                <w:szCs w:val="16"/>
              </w:rPr>
              <w:t>HFC-143a</w:t>
            </w:r>
          </w:p>
        </w:tc>
        <w:tc>
          <w:tcPr>
            <w:tcW w:w="0" w:type="auto"/>
            <w:shd w:val="clear" w:color="auto" w:fill="FFFFFF"/>
            <w:tcMar>
              <w:top w:w="0" w:type="dxa"/>
              <w:left w:w="85" w:type="dxa"/>
              <w:bottom w:w="0" w:type="dxa"/>
              <w:right w:w="85" w:type="dxa"/>
            </w:tcMar>
            <w:vAlign w:val="center"/>
          </w:tcPr>
          <w:p w14:paraId="390D93B1" w14:textId="77777777" w:rsidR="003A5396" w:rsidRPr="001F4265" w:rsidRDefault="003A5396" w:rsidP="00F16E23">
            <w:pPr>
              <w:pStyle w:val="TableText"/>
              <w:spacing w:before="40" w:after="40"/>
              <w:rPr>
                <w:szCs w:val="16"/>
              </w:rPr>
            </w:pPr>
            <w:r w:rsidRPr="001F4265">
              <w:rPr>
                <w:rFonts w:eastAsia="Calibri"/>
                <w:szCs w:val="16"/>
              </w:rPr>
              <w:t>2b</w:t>
            </w:r>
          </w:p>
        </w:tc>
      </w:tr>
      <w:tr w:rsidR="003A5396" w:rsidRPr="001F4265" w14:paraId="6E2D9EE9" w14:textId="77777777" w:rsidTr="00F16E23">
        <w:trPr>
          <w:trHeight w:val="20"/>
        </w:trPr>
        <w:tc>
          <w:tcPr>
            <w:tcW w:w="0" w:type="auto"/>
            <w:shd w:val="clear" w:color="auto" w:fill="FFFFFF"/>
            <w:tcMar>
              <w:top w:w="0" w:type="dxa"/>
              <w:left w:w="85" w:type="dxa"/>
              <w:bottom w:w="0" w:type="dxa"/>
              <w:right w:w="85" w:type="dxa"/>
            </w:tcMar>
            <w:vAlign w:val="center"/>
          </w:tcPr>
          <w:p w14:paraId="4B65A911" w14:textId="77777777" w:rsidR="003A5396" w:rsidRPr="001F4265" w:rsidRDefault="003A5396" w:rsidP="00F16E23">
            <w:pPr>
              <w:pStyle w:val="TableText"/>
              <w:spacing w:before="40" w:after="40"/>
              <w:rPr>
                <w:szCs w:val="16"/>
              </w:rPr>
            </w:pPr>
            <w:r w:rsidRPr="001F4265">
              <w:rPr>
                <w:rFonts w:eastAsia="Calibri"/>
                <w:szCs w:val="16"/>
              </w:rPr>
              <w:t>Industrial refrigeration</w:t>
            </w:r>
          </w:p>
        </w:tc>
        <w:tc>
          <w:tcPr>
            <w:tcW w:w="0" w:type="auto"/>
            <w:shd w:val="clear" w:color="auto" w:fill="FFFFFF"/>
            <w:tcMar>
              <w:top w:w="0" w:type="dxa"/>
              <w:left w:w="85" w:type="dxa"/>
              <w:bottom w:w="0" w:type="dxa"/>
              <w:right w:w="85" w:type="dxa"/>
            </w:tcMar>
            <w:vAlign w:val="center"/>
          </w:tcPr>
          <w:p w14:paraId="1613BD61" w14:textId="77777777" w:rsidR="003A5396" w:rsidRPr="001F4265" w:rsidRDefault="003A5396" w:rsidP="00F16E23">
            <w:pPr>
              <w:pStyle w:val="TableText"/>
              <w:spacing w:before="40" w:after="40"/>
              <w:rPr>
                <w:szCs w:val="16"/>
              </w:rPr>
            </w:pPr>
            <w:r w:rsidRPr="001F4265">
              <w:rPr>
                <w:rFonts w:eastAsia="Calibri"/>
                <w:szCs w:val="16"/>
              </w:rPr>
              <w:t>HFC-32</w:t>
            </w:r>
          </w:p>
        </w:tc>
        <w:tc>
          <w:tcPr>
            <w:tcW w:w="0" w:type="auto"/>
            <w:shd w:val="clear" w:color="auto" w:fill="FFFFFF"/>
            <w:tcMar>
              <w:top w:w="0" w:type="dxa"/>
              <w:left w:w="85" w:type="dxa"/>
              <w:bottom w:w="0" w:type="dxa"/>
              <w:right w:w="85" w:type="dxa"/>
            </w:tcMar>
            <w:vAlign w:val="center"/>
          </w:tcPr>
          <w:p w14:paraId="0E5501AA"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6D95534E" w14:textId="77777777" w:rsidTr="00F16E23">
        <w:trPr>
          <w:trHeight w:val="20"/>
        </w:trPr>
        <w:tc>
          <w:tcPr>
            <w:tcW w:w="0" w:type="auto"/>
            <w:shd w:val="clear" w:color="auto" w:fill="FFFFFF"/>
            <w:tcMar>
              <w:top w:w="0" w:type="dxa"/>
              <w:left w:w="85" w:type="dxa"/>
              <w:bottom w:w="0" w:type="dxa"/>
              <w:right w:w="85" w:type="dxa"/>
            </w:tcMar>
            <w:vAlign w:val="center"/>
          </w:tcPr>
          <w:p w14:paraId="67364DC6"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29528BF5" w14:textId="77777777" w:rsidR="003A5396" w:rsidRPr="001F4265" w:rsidRDefault="003A5396" w:rsidP="00F16E23">
            <w:pPr>
              <w:pStyle w:val="TableText"/>
              <w:spacing w:before="40" w:after="40"/>
              <w:rPr>
                <w:szCs w:val="16"/>
              </w:rPr>
            </w:pPr>
            <w:r w:rsidRPr="001F4265">
              <w:rPr>
                <w:rFonts w:eastAsia="Calibri"/>
                <w:szCs w:val="16"/>
              </w:rPr>
              <w:t>HFC-125</w:t>
            </w:r>
          </w:p>
        </w:tc>
        <w:tc>
          <w:tcPr>
            <w:tcW w:w="0" w:type="auto"/>
            <w:shd w:val="clear" w:color="auto" w:fill="FFFFFF"/>
            <w:tcMar>
              <w:top w:w="0" w:type="dxa"/>
              <w:left w:w="85" w:type="dxa"/>
              <w:bottom w:w="0" w:type="dxa"/>
              <w:right w:w="85" w:type="dxa"/>
            </w:tcMar>
            <w:vAlign w:val="center"/>
          </w:tcPr>
          <w:p w14:paraId="5ED0067A"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327E94AB" w14:textId="77777777" w:rsidTr="00F16E23">
        <w:trPr>
          <w:trHeight w:val="20"/>
        </w:trPr>
        <w:tc>
          <w:tcPr>
            <w:tcW w:w="0" w:type="auto"/>
            <w:shd w:val="clear" w:color="auto" w:fill="FFFFFF"/>
            <w:tcMar>
              <w:top w:w="0" w:type="dxa"/>
              <w:left w:w="85" w:type="dxa"/>
              <w:bottom w:w="0" w:type="dxa"/>
              <w:right w:w="85" w:type="dxa"/>
            </w:tcMar>
            <w:vAlign w:val="center"/>
          </w:tcPr>
          <w:p w14:paraId="14A9C123"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4F632179" w14:textId="77777777" w:rsidR="003A5396" w:rsidRPr="001F4265" w:rsidRDefault="003A5396" w:rsidP="00F16E23">
            <w:pPr>
              <w:pStyle w:val="TableText"/>
              <w:spacing w:before="40" w:after="40"/>
              <w:rPr>
                <w:szCs w:val="16"/>
              </w:rPr>
            </w:pPr>
            <w:r w:rsidRPr="001F4265">
              <w:rPr>
                <w:rFonts w:eastAsia="Calibri"/>
                <w:szCs w:val="16"/>
              </w:rPr>
              <w:t>HFC-134a</w:t>
            </w:r>
          </w:p>
        </w:tc>
        <w:tc>
          <w:tcPr>
            <w:tcW w:w="0" w:type="auto"/>
            <w:shd w:val="clear" w:color="auto" w:fill="FFFFFF"/>
            <w:tcMar>
              <w:top w:w="0" w:type="dxa"/>
              <w:left w:w="85" w:type="dxa"/>
              <w:bottom w:w="0" w:type="dxa"/>
              <w:right w:w="85" w:type="dxa"/>
            </w:tcMar>
            <w:vAlign w:val="center"/>
          </w:tcPr>
          <w:p w14:paraId="2907FCEB" w14:textId="77777777" w:rsidR="003A5396" w:rsidRPr="001F4265" w:rsidRDefault="003A5396" w:rsidP="00F16E23">
            <w:pPr>
              <w:pStyle w:val="TableText"/>
              <w:spacing w:before="40" w:after="40"/>
              <w:rPr>
                <w:szCs w:val="16"/>
              </w:rPr>
            </w:pPr>
            <w:r w:rsidRPr="001F4265">
              <w:rPr>
                <w:rFonts w:eastAsia="Calibri"/>
                <w:szCs w:val="16"/>
              </w:rPr>
              <w:t>2b</w:t>
            </w:r>
          </w:p>
        </w:tc>
      </w:tr>
      <w:tr w:rsidR="003A5396" w:rsidRPr="001F4265" w14:paraId="291379B8" w14:textId="77777777" w:rsidTr="00F16E23">
        <w:trPr>
          <w:trHeight w:val="20"/>
        </w:trPr>
        <w:tc>
          <w:tcPr>
            <w:tcW w:w="0" w:type="auto"/>
            <w:shd w:val="clear" w:color="auto" w:fill="FFFFFF"/>
            <w:tcMar>
              <w:top w:w="0" w:type="dxa"/>
              <w:left w:w="85" w:type="dxa"/>
              <w:bottom w:w="0" w:type="dxa"/>
              <w:right w:w="85" w:type="dxa"/>
            </w:tcMar>
            <w:vAlign w:val="center"/>
          </w:tcPr>
          <w:p w14:paraId="3D1A4108"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333DB2BD" w14:textId="77777777" w:rsidR="003A5396" w:rsidRPr="001F4265" w:rsidRDefault="003A5396" w:rsidP="00F16E23">
            <w:pPr>
              <w:pStyle w:val="TableText"/>
              <w:spacing w:before="40" w:after="40"/>
              <w:rPr>
                <w:szCs w:val="16"/>
              </w:rPr>
            </w:pPr>
            <w:r w:rsidRPr="001F4265">
              <w:rPr>
                <w:rFonts w:eastAsia="Calibri"/>
                <w:szCs w:val="16"/>
              </w:rPr>
              <w:t>HFC-143a</w:t>
            </w:r>
          </w:p>
        </w:tc>
        <w:tc>
          <w:tcPr>
            <w:tcW w:w="0" w:type="auto"/>
            <w:shd w:val="clear" w:color="auto" w:fill="FFFFFF"/>
            <w:tcMar>
              <w:top w:w="0" w:type="dxa"/>
              <w:left w:w="85" w:type="dxa"/>
              <w:bottom w:w="0" w:type="dxa"/>
              <w:right w:w="85" w:type="dxa"/>
            </w:tcMar>
            <w:vAlign w:val="center"/>
          </w:tcPr>
          <w:p w14:paraId="60FEC68A"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5CBBBE4D" w14:textId="77777777" w:rsidTr="00F16E23">
        <w:trPr>
          <w:trHeight w:val="20"/>
        </w:trPr>
        <w:tc>
          <w:tcPr>
            <w:tcW w:w="0" w:type="auto"/>
            <w:shd w:val="clear" w:color="auto" w:fill="FFFFFF"/>
            <w:tcMar>
              <w:top w:w="0" w:type="dxa"/>
              <w:left w:w="85" w:type="dxa"/>
              <w:bottom w:w="0" w:type="dxa"/>
              <w:right w:w="85" w:type="dxa"/>
            </w:tcMar>
            <w:vAlign w:val="center"/>
          </w:tcPr>
          <w:p w14:paraId="6B315CA9" w14:textId="77777777" w:rsidR="003A5396" w:rsidRPr="001F4265" w:rsidRDefault="003A5396" w:rsidP="00F16E23">
            <w:pPr>
              <w:pStyle w:val="TableText"/>
              <w:spacing w:before="40" w:after="40"/>
              <w:rPr>
                <w:szCs w:val="16"/>
              </w:rPr>
            </w:pPr>
            <w:r w:rsidRPr="001F4265">
              <w:rPr>
                <w:rFonts w:eastAsia="Calibri"/>
                <w:szCs w:val="16"/>
              </w:rPr>
              <w:t>Transport refrigeration</w:t>
            </w:r>
          </w:p>
        </w:tc>
        <w:tc>
          <w:tcPr>
            <w:tcW w:w="0" w:type="auto"/>
            <w:shd w:val="clear" w:color="auto" w:fill="FFFFFF"/>
            <w:tcMar>
              <w:top w:w="0" w:type="dxa"/>
              <w:left w:w="85" w:type="dxa"/>
              <w:bottom w:w="0" w:type="dxa"/>
              <w:right w:w="85" w:type="dxa"/>
            </w:tcMar>
            <w:vAlign w:val="center"/>
          </w:tcPr>
          <w:p w14:paraId="5FBCB0E9" w14:textId="77777777" w:rsidR="003A5396" w:rsidRPr="001F4265" w:rsidRDefault="003A5396" w:rsidP="00F16E23">
            <w:pPr>
              <w:pStyle w:val="TableText"/>
              <w:spacing w:before="40" w:after="40"/>
              <w:rPr>
                <w:szCs w:val="16"/>
              </w:rPr>
            </w:pPr>
            <w:r w:rsidRPr="001F4265">
              <w:rPr>
                <w:rFonts w:eastAsia="Calibri"/>
                <w:szCs w:val="16"/>
              </w:rPr>
              <w:t>HFC-32</w:t>
            </w:r>
          </w:p>
        </w:tc>
        <w:tc>
          <w:tcPr>
            <w:tcW w:w="0" w:type="auto"/>
            <w:shd w:val="clear" w:color="auto" w:fill="FFFFFF"/>
            <w:tcMar>
              <w:top w:w="0" w:type="dxa"/>
              <w:left w:w="85" w:type="dxa"/>
              <w:bottom w:w="0" w:type="dxa"/>
              <w:right w:w="85" w:type="dxa"/>
            </w:tcMar>
            <w:vAlign w:val="center"/>
          </w:tcPr>
          <w:p w14:paraId="64DBBBAD"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63EE32D1" w14:textId="77777777" w:rsidTr="00F16E23">
        <w:trPr>
          <w:trHeight w:val="20"/>
        </w:trPr>
        <w:tc>
          <w:tcPr>
            <w:tcW w:w="0" w:type="auto"/>
            <w:shd w:val="clear" w:color="auto" w:fill="FFFFFF"/>
            <w:tcMar>
              <w:top w:w="0" w:type="dxa"/>
              <w:left w:w="85" w:type="dxa"/>
              <w:bottom w:w="0" w:type="dxa"/>
              <w:right w:w="85" w:type="dxa"/>
            </w:tcMar>
            <w:vAlign w:val="center"/>
          </w:tcPr>
          <w:p w14:paraId="298083BD"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424AB57D" w14:textId="77777777" w:rsidR="003A5396" w:rsidRPr="001F4265" w:rsidRDefault="003A5396" w:rsidP="00F16E23">
            <w:pPr>
              <w:pStyle w:val="TableText"/>
              <w:spacing w:before="40" w:after="40"/>
              <w:rPr>
                <w:szCs w:val="16"/>
              </w:rPr>
            </w:pPr>
            <w:r w:rsidRPr="001F4265">
              <w:rPr>
                <w:rFonts w:eastAsia="Calibri"/>
                <w:szCs w:val="16"/>
              </w:rPr>
              <w:t>HFC-125</w:t>
            </w:r>
          </w:p>
        </w:tc>
        <w:tc>
          <w:tcPr>
            <w:tcW w:w="0" w:type="auto"/>
            <w:shd w:val="clear" w:color="auto" w:fill="FFFFFF"/>
            <w:tcMar>
              <w:top w:w="0" w:type="dxa"/>
              <w:left w:w="85" w:type="dxa"/>
              <w:bottom w:w="0" w:type="dxa"/>
              <w:right w:w="85" w:type="dxa"/>
            </w:tcMar>
            <w:vAlign w:val="center"/>
          </w:tcPr>
          <w:p w14:paraId="47214F5B"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0D4FC2DE" w14:textId="77777777" w:rsidTr="00F16E23">
        <w:trPr>
          <w:trHeight w:val="20"/>
        </w:trPr>
        <w:tc>
          <w:tcPr>
            <w:tcW w:w="0" w:type="auto"/>
            <w:shd w:val="clear" w:color="auto" w:fill="FFFFFF"/>
            <w:tcMar>
              <w:top w:w="0" w:type="dxa"/>
              <w:left w:w="85" w:type="dxa"/>
              <w:bottom w:w="0" w:type="dxa"/>
              <w:right w:w="85" w:type="dxa"/>
            </w:tcMar>
            <w:vAlign w:val="center"/>
          </w:tcPr>
          <w:p w14:paraId="4420772F"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2C891832" w14:textId="77777777" w:rsidR="003A5396" w:rsidRPr="001F4265" w:rsidRDefault="003A5396" w:rsidP="00F16E23">
            <w:pPr>
              <w:pStyle w:val="TableText"/>
              <w:spacing w:before="40" w:after="40"/>
              <w:rPr>
                <w:szCs w:val="16"/>
              </w:rPr>
            </w:pPr>
            <w:r w:rsidRPr="001F4265">
              <w:rPr>
                <w:rFonts w:eastAsia="Calibri"/>
                <w:szCs w:val="16"/>
              </w:rPr>
              <w:t>HFC-134a</w:t>
            </w:r>
          </w:p>
        </w:tc>
        <w:tc>
          <w:tcPr>
            <w:tcW w:w="0" w:type="auto"/>
            <w:shd w:val="clear" w:color="auto" w:fill="FFFFFF"/>
            <w:tcMar>
              <w:top w:w="0" w:type="dxa"/>
              <w:left w:w="85" w:type="dxa"/>
              <w:bottom w:w="0" w:type="dxa"/>
              <w:right w:w="85" w:type="dxa"/>
            </w:tcMar>
            <w:vAlign w:val="center"/>
          </w:tcPr>
          <w:p w14:paraId="22721301"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765DF62F" w14:textId="77777777" w:rsidTr="00F16E23">
        <w:trPr>
          <w:trHeight w:val="20"/>
        </w:trPr>
        <w:tc>
          <w:tcPr>
            <w:tcW w:w="0" w:type="auto"/>
            <w:shd w:val="clear" w:color="auto" w:fill="FFFFFF"/>
            <w:tcMar>
              <w:top w:w="0" w:type="dxa"/>
              <w:left w:w="85" w:type="dxa"/>
              <w:bottom w:w="0" w:type="dxa"/>
              <w:right w:w="85" w:type="dxa"/>
            </w:tcMar>
            <w:vAlign w:val="center"/>
          </w:tcPr>
          <w:p w14:paraId="47F36649"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5FA7DBBB" w14:textId="77777777" w:rsidR="003A5396" w:rsidRPr="001F4265" w:rsidRDefault="003A5396" w:rsidP="00F16E23">
            <w:pPr>
              <w:pStyle w:val="TableText"/>
              <w:spacing w:before="40" w:after="40"/>
              <w:rPr>
                <w:szCs w:val="16"/>
              </w:rPr>
            </w:pPr>
            <w:r w:rsidRPr="001F4265">
              <w:rPr>
                <w:rFonts w:eastAsia="Calibri"/>
                <w:szCs w:val="16"/>
              </w:rPr>
              <w:t>HFC-143a</w:t>
            </w:r>
          </w:p>
        </w:tc>
        <w:tc>
          <w:tcPr>
            <w:tcW w:w="0" w:type="auto"/>
            <w:shd w:val="clear" w:color="auto" w:fill="FFFFFF"/>
            <w:tcMar>
              <w:top w:w="0" w:type="dxa"/>
              <w:left w:w="85" w:type="dxa"/>
              <w:bottom w:w="0" w:type="dxa"/>
              <w:right w:w="85" w:type="dxa"/>
            </w:tcMar>
            <w:vAlign w:val="center"/>
          </w:tcPr>
          <w:p w14:paraId="45A56D46"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2BBA1A13" w14:textId="77777777" w:rsidTr="00F16E23">
        <w:trPr>
          <w:trHeight w:val="20"/>
        </w:trPr>
        <w:tc>
          <w:tcPr>
            <w:tcW w:w="0" w:type="auto"/>
            <w:shd w:val="clear" w:color="auto" w:fill="FFFFFF"/>
            <w:tcMar>
              <w:top w:w="0" w:type="dxa"/>
              <w:left w:w="85" w:type="dxa"/>
              <w:bottom w:w="0" w:type="dxa"/>
              <w:right w:w="85" w:type="dxa"/>
            </w:tcMar>
            <w:vAlign w:val="center"/>
          </w:tcPr>
          <w:p w14:paraId="0DBA6E86" w14:textId="77777777" w:rsidR="003A5396" w:rsidRPr="001F4265" w:rsidRDefault="003A5396" w:rsidP="00F16E23">
            <w:pPr>
              <w:pStyle w:val="TableText"/>
              <w:spacing w:before="40" w:after="40"/>
              <w:rPr>
                <w:szCs w:val="16"/>
              </w:rPr>
            </w:pPr>
            <w:r w:rsidRPr="001F4265">
              <w:rPr>
                <w:rFonts w:eastAsia="Calibri"/>
                <w:szCs w:val="16"/>
              </w:rPr>
              <w:t>Stationary air conditioning</w:t>
            </w:r>
          </w:p>
        </w:tc>
        <w:tc>
          <w:tcPr>
            <w:tcW w:w="0" w:type="auto"/>
            <w:shd w:val="clear" w:color="auto" w:fill="FFFFFF"/>
            <w:tcMar>
              <w:top w:w="0" w:type="dxa"/>
              <w:left w:w="85" w:type="dxa"/>
              <w:bottom w:w="0" w:type="dxa"/>
              <w:right w:w="85" w:type="dxa"/>
            </w:tcMar>
            <w:vAlign w:val="center"/>
          </w:tcPr>
          <w:p w14:paraId="442ED17D" w14:textId="77777777" w:rsidR="003A5396" w:rsidRPr="001F4265" w:rsidRDefault="003A5396" w:rsidP="00F16E23">
            <w:pPr>
              <w:pStyle w:val="TableText"/>
              <w:spacing w:before="40" w:after="40"/>
              <w:rPr>
                <w:szCs w:val="16"/>
              </w:rPr>
            </w:pPr>
            <w:r w:rsidRPr="001F4265">
              <w:rPr>
                <w:rFonts w:eastAsia="Calibri"/>
                <w:szCs w:val="16"/>
              </w:rPr>
              <w:t>HFC-32</w:t>
            </w:r>
          </w:p>
        </w:tc>
        <w:tc>
          <w:tcPr>
            <w:tcW w:w="0" w:type="auto"/>
            <w:shd w:val="clear" w:color="auto" w:fill="FFFFFF"/>
            <w:tcMar>
              <w:top w:w="0" w:type="dxa"/>
              <w:left w:w="85" w:type="dxa"/>
              <w:bottom w:w="0" w:type="dxa"/>
              <w:right w:w="85" w:type="dxa"/>
            </w:tcMar>
            <w:vAlign w:val="center"/>
          </w:tcPr>
          <w:p w14:paraId="532774D6" w14:textId="77777777" w:rsidR="003A5396" w:rsidRPr="001F4265" w:rsidRDefault="003A5396" w:rsidP="00F16E23">
            <w:pPr>
              <w:pStyle w:val="TableText"/>
              <w:spacing w:before="40" w:after="40"/>
              <w:rPr>
                <w:szCs w:val="16"/>
              </w:rPr>
            </w:pPr>
            <w:r w:rsidRPr="001F4265">
              <w:rPr>
                <w:rFonts w:eastAsia="Calibri"/>
                <w:szCs w:val="16"/>
              </w:rPr>
              <w:t>2b</w:t>
            </w:r>
          </w:p>
        </w:tc>
      </w:tr>
      <w:tr w:rsidR="003A5396" w:rsidRPr="001F4265" w14:paraId="0495C201" w14:textId="77777777" w:rsidTr="00F16E23">
        <w:trPr>
          <w:trHeight w:val="20"/>
        </w:trPr>
        <w:tc>
          <w:tcPr>
            <w:tcW w:w="0" w:type="auto"/>
            <w:shd w:val="clear" w:color="auto" w:fill="FFFFFF"/>
            <w:tcMar>
              <w:top w:w="0" w:type="dxa"/>
              <w:left w:w="85" w:type="dxa"/>
              <w:bottom w:w="0" w:type="dxa"/>
              <w:right w:w="85" w:type="dxa"/>
            </w:tcMar>
            <w:vAlign w:val="center"/>
          </w:tcPr>
          <w:p w14:paraId="1D8706B3"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6018B28E" w14:textId="77777777" w:rsidR="003A5396" w:rsidRPr="001F4265" w:rsidRDefault="003A5396" w:rsidP="00F16E23">
            <w:pPr>
              <w:pStyle w:val="TableText"/>
              <w:spacing w:before="40" w:after="40"/>
              <w:rPr>
                <w:szCs w:val="16"/>
              </w:rPr>
            </w:pPr>
            <w:r w:rsidRPr="001F4265">
              <w:rPr>
                <w:rFonts w:eastAsia="Calibri"/>
                <w:szCs w:val="16"/>
              </w:rPr>
              <w:t>HFC-125</w:t>
            </w:r>
          </w:p>
        </w:tc>
        <w:tc>
          <w:tcPr>
            <w:tcW w:w="0" w:type="auto"/>
            <w:shd w:val="clear" w:color="auto" w:fill="FFFFFF"/>
            <w:tcMar>
              <w:top w:w="0" w:type="dxa"/>
              <w:left w:w="85" w:type="dxa"/>
              <w:bottom w:w="0" w:type="dxa"/>
              <w:right w:w="85" w:type="dxa"/>
            </w:tcMar>
            <w:vAlign w:val="center"/>
          </w:tcPr>
          <w:p w14:paraId="2E86CDE6" w14:textId="77777777" w:rsidR="003A5396" w:rsidRPr="001F4265" w:rsidRDefault="003A5396" w:rsidP="00F16E23">
            <w:pPr>
              <w:pStyle w:val="TableText"/>
              <w:spacing w:before="40" w:after="40"/>
              <w:rPr>
                <w:szCs w:val="16"/>
              </w:rPr>
            </w:pPr>
            <w:r w:rsidRPr="001F4265">
              <w:rPr>
                <w:rFonts w:eastAsia="Calibri"/>
                <w:szCs w:val="16"/>
              </w:rPr>
              <w:t>2a to 2006, 2b for 2007–2021</w:t>
            </w:r>
          </w:p>
        </w:tc>
      </w:tr>
      <w:tr w:rsidR="003A5396" w:rsidRPr="001F4265" w14:paraId="33CF0337" w14:textId="77777777" w:rsidTr="00F16E23">
        <w:trPr>
          <w:trHeight w:val="20"/>
        </w:trPr>
        <w:tc>
          <w:tcPr>
            <w:tcW w:w="0" w:type="auto"/>
            <w:shd w:val="clear" w:color="auto" w:fill="FFFFFF"/>
            <w:tcMar>
              <w:top w:w="0" w:type="dxa"/>
              <w:left w:w="85" w:type="dxa"/>
              <w:bottom w:w="0" w:type="dxa"/>
              <w:right w:w="85" w:type="dxa"/>
            </w:tcMar>
            <w:vAlign w:val="center"/>
          </w:tcPr>
          <w:p w14:paraId="004064DA" w14:textId="77777777" w:rsidR="003A5396" w:rsidRPr="001F4265" w:rsidRDefault="003A5396" w:rsidP="00F16E23">
            <w:pPr>
              <w:pStyle w:val="TableText"/>
              <w:spacing w:before="40" w:after="40"/>
              <w:rPr>
                <w:szCs w:val="16"/>
              </w:rPr>
            </w:pPr>
          </w:p>
        </w:tc>
        <w:tc>
          <w:tcPr>
            <w:tcW w:w="0" w:type="auto"/>
            <w:shd w:val="clear" w:color="auto" w:fill="FFFFFF"/>
            <w:tcMar>
              <w:top w:w="0" w:type="dxa"/>
              <w:left w:w="85" w:type="dxa"/>
              <w:bottom w:w="0" w:type="dxa"/>
              <w:right w:w="85" w:type="dxa"/>
            </w:tcMar>
            <w:vAlign w:val="center"/>
          </w:tcPr>
          <w:p w14:paraId="4169B36C" w14:textId="77777777" w:rsidR="003A5396" w:rsidRPr="001F4265" w:rsidRDefault="003A5396" w:rsidP="00F16E23">
            <w:pPr>
              <w:pStyle w:val="TableText"/>
              <w:spacing w:before="40" w:after="40"/>
              <w:rPr>
                <w:szCs w:val="16"/>
              </w:rPr>
            </w:pPr>
            <w:r w:rsidRPr="001F4265">
              <w:rPr>
                <w:rFonts w:eastAsia="Calibri"/>
                <w:szCs w:val="16"/>
              </w:rPr>
              <w:t>HFC 134a</w:t>
            </w:r>
          </w:p>
        </w:tc>
        <w:tc>
          <w:tcPr>
            <w:tcW w:w="0" w:type="auto"/>
            <w:shd w:val="clear" w:color="auto" w:fill="FFFFFF"/>
            <w:tcMar>
              <w:top w:w="0" w:type="dxa"/>
              <w:left w:w="85" w:type="dxa"/>
              <w:bottom w:w="0" w:type="dxa"/>
              <w:right w:w="85" w:type="dxa"/>
            </w:tcMar>
            <w:vAlign w:val="center"/>
          </w:tcPr>
          <w:p w14:paraId="0F1500DE" w14:textId="77777777" w:rsidR="003A5396" w:rsidRPr="001F4265" w:rsidRDefault="003A5396" w:rsidP="00F16E23">
            <w:pPr>
              <w:pStyle w:val="TableText"/>
              <w:spacing w:before="40" w:after="40"/>
              <w:rPr>
                <w:szCs w:val="16"/>
              </w:rPr>
            </w:pPr>
            <w:r w:rsidRPr="001F4265">
              <w:rPr>
                <w:rFonts w:eastAsia="Calibri"/>
                <w:szCs w:val="16"/>
              </w:rPr>
              <w:t>2a</w:t>
            </w:r>
          </w:p>
        </w:tc>
      </w:tr>
      <w:tr w:rsidR="003A5396" w:rsidRPr="001F4265" w14:paraId="1B1E4370" w14:textId="77777777" w:rsidTr="00F16E23">
        <w:trPr>
          <w:trHeight w:val="20"/>
        </w:trPr>
        <w:tc>
          <w:tcPr>
            <w:tcW w:w="0" w:type="auto"/>
            <w:shd w:val="clear" w:color="auto" w:fill="FFFFFF"/>
            <w:tcMar>
              <w:top w:w="0" w:type="dxa"/>
              <w:left w:w="85" w:type="dxa"/>
              <w:bottom w:w="0" w:type="dxa"/>
              <w:right w:w="85" w:type="dxa"/>
            </w:tcMar>
            <w:vAlign w:val="center"/>
          </w:tcPr>
          <w:p w14:paraId="27BB2229" w14:textId="77777777" w:rsidR="003A5396" w:rsidRPr="001F4265" w:rsidRDefault="003A5396" w:rsidP="00F16E23">
            <w:pPr>
              <w:pStyle w:val="TableText"/>
              <w:spacing w:before="40" w:after="40"/>
              <w:rPr>
                <w:szCs w:val="16"/>
              </w:rPr>
            </w:pPr>
            <w:r w:rsidRPr="001F4265">
              <w:rPr>
                <w:rFonts w:eastAsia="Calibri"/>
                <w:szCs w:val="16"/>
              </w:rPr>
              <w:t>Mobile air conditioning</w:t>
            </w:r>
          </w:p>
        </w:tc>
        <w:tc>
          <w:tcPr>
            <w:tcW w:w="0" w:type="auto"/>
            <w:shd w:val="clear" w:color="auto" w:fill="FFFFFF"/>
            <w:tcMar>
              <w:top w:w="0" w:type="dxa"/>
              <w:left w:w="85" w:type="dxa"/>
              <w:bottom w:w="0" w:type="dxa"/>
              <w:right w:w="85" w:type="dxa"/>
            </w:tcMar>
            <w:vAlign w:val="center"/>
          </w:tcPr>
          <w:p w14:paraId="511A35D1" w14:textId="77777777" w:rsidR="003A5396" w:rsidRPr="001F4265" w:rsidRDefault="003A5396" w:rsidP="00F16E23">
            <w:pPr>
              <w:pStyle w:val="TableText"/>
              <w:spacing w:before="40" w:after="40"/>
              <w:rPr>
                <w:szCs w:val="16"/>
              </w:rPr>
            </w:pPr>
            <w:r w:rsidRPr="001F4265">
              <w:rPr>
                <w:rFonts w:eastAsia="Calibri"/>
                <w:szCs w:val="16"/>
              </w:rPr>
              <w:t>HFC-134a</w:t>
            </w:r>
          </w:p>
        </w:tc>
        <w:tc>
          <w:tcPr>
            <w:tcW w:w="0" w:type="auto"/>
            <w:shd w:val="clear" w:color="auto" w:fill="FFFFFF"/>
            <w:tcMar>
              <w:top w:w="0" w:type="dxa"/>
              <w:left w:w="85" w:type="dxa"/>
              <w:bottom w:w="0" w:type="dxa"/>
              <w:right w:w="85" w:type="dxa"/>
            </w:tcMar>
            <w:vAlign w:val="center"/>
          </w:tcPr>
          <w:p w14:paraId="758F723B" w14:textId="77777777" w:rsidR="003A5396" w:rsidRPr="001F4265" w:rsidRDefault="003A5396" w:rsidP="00F16E23">
            <w:pPr>
              <w:pStyle w:val="TableText"/>
              <w:spacing w:before="40" w:after="40"/>
              <w:rPr>
                <w:szCs w:val="16"/>
              </w:rPr>
            </w:pPr>
            <w:r w:rsidRPr="001F4265">
              <w:rPr>
                <w:rFonts w:eastAsia="Calibri"/>
                <w:szCs w:val="16"/>
              </w:rPr>
              <w:t>2b</w:t>
            </w:r>
          </w:p>
        </w:tc>
      </w:tr>
    </w:tbl>
    <w:p w14:paraId="730DD8DB" w14:textId="77777777" w:rsidR="003A5396" w:rsidRPr="001F4265" w:rsidRDefault="003A5396" w:rsidP="003A5396">
      <w:pPr>
        <w:pStyle w:val="Heading5"/>
        <w:spacing w:before="400"/>
      </w:pPr>
      <w:bookmarkStart w:id="532" w:name="other-2.f.2-2.f.3-and-2.f.4"/>
      <w:bookmarkEnd w:id="530"/>
      <w:r w:rsidRPr="001F4265">
        <w:t>Other (2.F.2, 2.F.3 and 2.F.4)</w:t>
      </w:r>
    </w:p>
    <w:p w14:paraId="75453A19" w14:textId="77777777" w:rsidR="003A5396" w:rsidRPr="001F4265" w:rsidRDefault="003A5396" w:rsidP="003A5396">
      <w:pPr>
        <w:pStyle w:val="BodyText"/>
      </w:pPr>
      <w:r w:rsidRPr="001F4265">
        <w:t>The IPCC Tier 1a method was used for foam blowing agents and fire protection equipment.</w:t>
      </w:r>
    </w:p>
    <w:p w14:paraId="7BD2CAB0" w14:textId="77777777" w:rsidR="003A5396" w:rsidRPr="001F4265" w:rsidRDefault="003A5396" w:rsidP="003A5396">
      <w:pPr>
        <w:pStyle w:val="BodyText"/>
      </w:pPr>
      <w:r w:rsidRPr="001F4265">
        <w:t>Aerosol emissions are calculated using the IPCC Tier 1a and Tier 2a method (IPCC, 2006b, equation 7.6). Tier 2a requires subdividing these emissions by sub-application. In this submission, emissions from MDIs are reported separately as a sub-application (2.F.4.a). Insufficient data are available to further subdivide aerosol products by sub-application and all other aerosol products are reported together (2.F.4.b).</w:t>
      </w:r>
    </w:p>
    <w:p w14:paraId="60B6BAA5" w14:textId="77777777" w:rsidR="003A5396" w:rsidRPr="001F4265" w:rsidRDefault="003A5396" w:rsidP="003A5396">
      <w:pPr>
        <w:pStyle w:val="Heading4"/>
      </w:pPr>
      <w:bookmarkStart w:id="533" w:name="choice-of-emission-factors-3"/>
      <w:bookmarkEnd w:id="529"/>
      <w:bookmarkEnd w:id="532"/>
      <w:r w:rsidRPr="001F4265">
        <w:t>Choice of emission factors</w:t>
      </w:r>
    </w:p>
    <w:p w14:paraId="5D233DC2" w14:textId="77777777" w:rsidR="003A5396" w:rsidRPr="001F4265" w:rsidRDefault="003A5396" w:rsidP="003A5396">
      <w:pPr>
        <w:pStyle w:val="Heading5"/>
        <w:spacing w:before="180"/>
      </w:pPr>
      <w:bookmarkStart w:id="534" w:name="X5ee48ed4561621277b4b20c214d7e73c7fbd5de"/>
      <w:r w:rsidRPr="001F4265">
        <w:t>Refrigeration and air conditioning (2.F.1)</w:t>
      </w:r>
    </w:p>
    <w:p w14:paraId="2C0511F2" w14:textId="77777777" w:rsidR="003A5396" w:rsidRPr="001F4265" w:rsidRDefault="003A5396" w:rsidP="003A5396">
      <w:pPr>
        <w:pStyle w:val="BodyText"/>
      </w:pPr>
      <w:r w:rsidRPr="001F4265">
        <w:t xml:space="preserve">The emission factors used in each sub-application (other than </w:t>
      </w:r>
      <w:r w:rsidRPr="001F4265">
        <w:rPr>
          <w:i/>
          <w:iCs/>
        </w:rPr>
        <w:t>Mobile air conditioning</w:t>
      </w:r>
      <w:r w:rsidRPr="001F4265">
        <w:t>) were assessed using a combination of IPCC defaults, information from the New Zealand industry and expert judgement.</w:t>
      </w:r>
    </w:p>
    <w:p w14:paraId="598E3BEB" w14:textId="77777777" w:rsidR="003A5396" w:rsidRPr="001F4265" w:rsidRDefault="003A5396" w:rsidP="003A5396">
      <w:pPr>
        <w:pStyle w:val="BodyText"/>
      </w:pPr>
      <w:r w:rsidRPr="001F4265">
        <w:t>In addition, the annual leakage rates were adjusted in some cases, to ensure that the total results for all sub-applications were consistent with the much more complete and accurate data available to estimate the total mass balance (for all five sub-applications) for each chemical. For each chemical, use of the Tier 2b method means that emission factors only affect the attribution of emissions among these five sub-applications, not the total emissions. Attribution to any one sub-application is subject to high uncertainties and may, consequently, be subject to significant apparent year-to-year variations.</w:t>
      </w:r>
    </w:p>
    <w:p w14:paraId="409D7964" w14:textId="77777777" w:rsidR="003A5396" w:rsidRPr="001F4265" w:rsidRDefault="003A5396" w:rsidP="00001C11">
      <w:pPr>
        <w:pStyle w:val="BodyText"/>
        <w:spacing w:before="100" w:after="100"/>
      </w:pPr>
      <w:r w:rsidRPr="001F4265">
        <w:t>These emission factors are detailed in the report by Verum Group (unpublished) and in the stock models used to calculate emissions.</w:t>
      </w:r>
    </w:p>
    <w:p w14:paraId="7446D50E" w14:textId="77777777" w:rsidR="003A5396" w:rsidRPr="001F4265" w:rsidRDefault="003A5396" w:rsidP="00001C11">
      <w:pPr>
        <w:pStyle w:val="BodyText"/>
        <w:spacing w:before="100" w:after="100"/>
      </w:pPr>
      <w:r w:rsidRPr="001F4265">
        <w:t xml:space="preserve">For </w:t>
      </w:r>
      <w:r w:rsidRPr="001F4265">
        <w:rPr>
          <w:i/>
          <w:iCs/>
        </w:rPr>
        <w:t>Mobile air conditioning</w:t>
      </w:r>
      <w:r w:rsidRPr="001F4265">
        <w:t>, the model distinguishes between leakage that is replaced in regular servicing (3.0 percent of the bank each year) and refrigerant that leaks but is not replaced because owners do not have the air conditioning units serviced. The overall average amount of loss for the fleet is assessed to be 15±10 percent; that is, at any time a notional ‘average vehicle’ will have 85±10 percent of the charge that it would have if there was no leakage. There is also some uncertainty in the proportion of bulk imports of HFC-134a used in </w:t>
      </w:r>
      <w:r w:rsidRPr="001F4265">
        <w:rPr>
          <w:i/>
          <w:iCs/>
        </w:rPr>
        <w:t>Mobile air conditioning</w:t>
      </w:r>
      <w:r w:rsidRPr="001F4265">
        <w:t xml:space="preserve"> as opposed to the other sub-applications.</w:t>
      </w:r>
    </w:p>
    <w:p w14:paraId="5C687138" w14:textId="77777777" w:rsidR="003A5396" w:rsidRPr="001F4265" w:rsidRDefault="003A5396" w:rsidP="00871263">
      <w:pPr>
        <w:pStyle w:val="Heading5"/>
        <w:spacing w:before="180"/>
      </w:pPr>
      <w:bookmarkStart w:id="535" w:name="foam-blowing-agents-2.f.2-1"/>
      <w:bookmarkEnd w:id="534"/>
      <w:r w:rsidRPr="001F4265">
        <w:t>Foam blowing agents (2.F.2)</w:t>
      </w:r>
    </w:p>
    <w:p w14:paraId="2DCC6A5B" w14:textId="77777777" w:rsidR="003A5396" w:rsidRPr="001F4265" w:rsidRDefault="003A5396" w:rsidP="00001C11">
      <w:pPr>
        <w:pStyle w:val="BodyText"/>
        <w:spacing w:before="80" w:after="100"/>
      </w:pPr>
      <w:r w:rsidRPr="001F4265">
        <w:t>The IPCC default emission factors for closed-cell foam are used, that is, assuming 10.0 percent loss in the first year of use and 4.5 percent in each of the following 20 years.</w:t>
      </w:r>
    </w:p>
    <w:p w14:paraId="1618E5F3" w14:textId="77777777" w:rsidR="003A5396" w:rsidRPr="001F4265" w:rsidRDefault="003A5396" w:rsidP="00871263">
      <w:pPr>
        <w:pStyle w:val="Heading5"/>
        <w:spacing w:before="180"/>
      </w:pPr>
      <w:bookmarkStart w:id="536" w:name="fire-protection-2.f.3-1"/>
      <w:bookmarkEnd w:id="535"/>
      <w:r w:rsidRPr="001F4265">
        <w:t>Fire protection (2.F.3)</w:t>
      </w:r>
    </w:p>
    <w:p w14:paraId="543A5A4B" w14:textId="77777777" w:rsidR="003A5396" w:rsidRPr="001F4265" w:rsidRDefault="003A5396" w:rsidP="00001C11">
      <w:pPr>
        <w:pStyle w:val="BodyText"/>
        <w:spacing w:before="80" w:after="100"/>
      </w:pPr>
      <w:r w:rsidRPr="001F4265">
        <w:t>For fire protection equipment, a country-specific emission factor of 0.015 (1.5 percent of the charge lost in leakage each year (Verum Group, unpublished)) is used. This estimate is based on information from one major supplier of these systems, which was able to supply records of the amount of HFC-227ea it used to replace leakage and accidental discharges. Fire protection systems have a long life and retirements are rare. Based on information from the system suppliers, it is assessed that all refrigerant present on decommissioning is recovered.</w:t>
      </w:r>
    </w:p>
    <w:p w14:paraId="5DA6BFDE" w14:textId="77777777" w:rsidR="003A5396" w:rsidRPr="001F4265" w:rsidRDefault="003A5396" w:rsidP="00871263">
      <w:pPr>
        <w:pStyle w:val="Heading5"/>
        <w:spacing w:before="180"/>
      </w:pPr>
      <w:bookmarkStart w:id="537" w:name="aerosols-2.f.4-1"/>
      <w:bookmarkEnd w:id="536"/>
      <w:r w:rsidRPr="001F4265">
        <w:t>Aerosols (2.F.4)</w:t>
      </w:r>
    </w:p>
    <w:p w14:paraId="611B9292" w14:textId="77777777" w:rsidR="003A5396" w:rsidRPr="001F4265" w:rsidRDefault="003A5396" w:rsidP="00001C11">
      <w:pPr>
        <w:pStyle w:val="BodyText"/>
        <w:spacing w:before="80" w:after="100"/>
      </w:pPr>
      <w:r w:rsidRPr="001F4265">
        <w:t>Aerosol emissions are considered to be prompt (emitted in the first year or two after manufacture or import) and so the default emission factor of 50.0 percent of the initial charge emitted per year is applied.</w:t>
      </w:r>
    </w:p>
    <w:bookmarkEnd w:id="533"/>
    <w:bookmarkEnd w:id="537"/>
    <w:p w14:paraId="79D2CC98" w14:textId="77777777" w:rsidR="003A5396" w:rsidRPr="001F4265" w:rsidRDefault="003A5396" w:rsidP="003A5396">
      <w:pPr>
        <w:pStyle w:val="Heading3"/>
      </w:pPr>
      <w:r w:rsidRPr="001F4265">
        <w:t xml:space="preserve">4.7.3 </w:t>
      </w:r>
      <w:r w:rsidRPr="001F4265">
        <w:tab/>
        <w:t>Uncertainty assessment and time-series consistency</w:t>
      </w:r>
    </w:p>
    <w:p w14:paraId="26FFD017" w14:textId="77777777" w:rsidR="003A5396" w:rsidRPr="001F4265" w:rsidRDefault="003A5396" w:rsidP="00001C11">
      <w:pPr>
        <w:pStyle w:val="Heading4"/>
        <w:spacing w:before="180"/>
      </w:pPr>
      <w:bookmarkStart w:id="538" w:name="uncertainties-5"/>
      <w:r w:rsidRPr="001F4265">
        <w:t>Uncertainties</w:t>
      </w:r>
    </w:p>
    <w:p w14:paraId="3EDED959" w14:textId="77777777" w:rsidR="003A5396" w:rsidRPr="001F4265" w:rsidRDefault="003A5396" w:rsidP="00001C11">
      <w:pPr>
        <w:pStyle w:val="BodyText"/>
        <w:spacing w:before="80" w:after="100"/>
      </w:pPr>
      <w:r w:rsidRPr="001F4265">
        <w:t xml:space="preserve">Data on bulk imports of refrigerant gases in the </w:t>
      </w:r>
      <w:r w:rsidRPr="001F4265">
        <w:rPr>
          <w:i/>
          <w:iCs/>
        </w:rPr>
        <w:t>Refrigeration and air conditioning</w:t>
      </w:r>
      <w:r w:rsidRPr="001F4265">
        <w:t xml:space="preserve"> category are complete and accurate, with uncertainty of ±5 percent. Data on the amount imported in factory-charged equipment, and the amount in retired equipment, are much less accurate, and uncertainties are estimated with some use of expert judgement.</w:t>
      </w:r>
    </w:p>
    <w:p w14:paraId="064500C1" w14:textId="77777777" w:rsidR="003A5396" w:rsidRPr="001F4265" w:rsidRDefault="003A5396" w:rsidP="00001C11">
      <w:pPr>
        <w:pStyle w:val="BodyText"/>
        <w:spacing w:before="100" w:after="100"/>
      </w:pPr>
      <w:r w:rsidRPr="001F4265">
        <w:t xml:space="preserve">Table 4.7.4 summarises the uncertainties for each category. For the </w:t>
      </w:r>
      <w:r w:rsidRPr="001F4265">
        <w:rPr>
          <w:i/>
          <w:iCs/>
        </w:rPr>
        <w:t>Refrigeration and air conditioning</w:t>
      </w:r>
      <w:r w:rsidRPr="001F4265">
        <w:t xml:space="preserve"> category, uncertainty is attributed only to the activity data and is updated annually to reflect the share of different equipment types in the latest reported year. Uncertainties in this category have also been estimated for each sub-application. However, these reflect the uncertain attribution of emissions between sub-applications, which does not contribute to the overall uncertainty given for this category.</w:t>
      </w:r>
    </w:p>
    <w:p w14:paraId="203AA24A" w14:textId="77777777" w:rsidR="003A5396" w:rsidRPr="001F4265" w:rsidRDefault="003A5396" w:rsidP="003A5396">
      <w:pPr>
        <w:pStyle w:val="Table"/>
      </w:pPr>
      <w:bookmarkStart w:id="539" w:name="_Toc226668984"/>
      <w:r w:rsidRPr="001F4265">
        <w:t xml:space="preserve">Table 4.7.4 </w:t>
      </w:r>
      <w:r w:rsidRPr="001F4265">
        <w:tab/>
        <w:t xml:space="preserve">New Zealand’s uncertainties in </w:t>
      </w:r>
      <w:r w:rsidRPr="001F4265">
        <w:rPr>
          <w:i/>
          <w:iCs/>
        </w:rPr>
        <w:t>Product uses as substitutes for ODS</w:t>
      </w:r>
      <w:bookmarkEnd w:id="53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1"/>
        <w:gridCol w:w="2674"/>
        <w:gridCol w:w="2989"/>
      </w:tblGrid>
      <w:tr w:rsidR="003A5396" w:rsidRPr="001F4265" w14:paraId="5B64A342" w14:textId="77777777" w:rsidTr="00F16E23">
        <w:trPr>
          <w:tblHeader/>
        </w:trPr>
        <w:tc>
          <w:tcPr>
            <w:tcW w:w="0" w:type="auto"/>
            <w:shd w:val="clear" w:color="auto" w:fill="1B556B"/>
            <w:tcMar>
              <w:top w:w="0" w:type="dxa"/>
              <w:left w:w="85" w:type="dxa"/>
              <w:bottom w:w="0" w:type="dxa"/>
              <w:right w:w="85" w:type="dxa"/>
            </w:tcMar>
            <w:vAlign w:val="center"/>
          </w:tcPr>
          <w:p w14:paraId="0470B0E0" w14:textId="77777777" w:rsidR="003A5396" w:rsidRPr="001F4265" w:rsidRDefault="003A5396" w:rsidP="00001C11">
            <w:pPr>
              <w:pStyle w:val="TableTextBold"/>
              <w:spacing w:before="30" w:after="30"/>
              <w:rPr>
                <w:noProof w:val="0"/>
                <w:color w:val="FFFFFF" w:themeColor="background1"/>
              </w:rPr>
            </w:pPr>
            <w:r w:rsidRPr="001F4265">
              <w:rPr>
                <w:rFonts w:eastAsia="Calibri"/>
                <w:noProof w:val="0"/>
                <w:color w:val="FFFFFF" w:themeColor="background1"/>
              </w:rPr>
              <w:t>Category</w:t>
            </w:r>
          </w:p>
        </w:tc>
        <w:tc>
          <w:tcPr>
            <w:tcW w:w="0" w:type="auto"/>
            <w:shd w:val="clear" w:color="auto" w:fill="1B556B"/>
            <w:tcMar>
              <w:top w:w="0" w:type="dxa"/>
              <w:left w:w="85" w:type="dxa"/>
              <w:bottom w:w="0" w:type="dxa"/>
              <w:right w:w="85" w:type="dxa"/>
            </w:tcMar>
            <w:vAlign w:val="center"/>
          </w:tcPr>
          <w:p w14:paraId="723E397E" w14:textId="77777777" w:rsidR="003A5396" w:rsidRPr="001F4265" w:rsidRDefault="003A5396" w:rsidP="00001C11">
            <w:pPr>
              <w:pStyle w:val="TableTextBold"/>
              <w:spacing w:before="30" w:after="30"/>
              <w:jc w:val="right"/>
              <w:rPr>
                <w:noProof w:val="0"/>
                <w:color w:val="FFFFFF" w:themeColor="background1"/>
              </w:rPr>
            </w:pPr>
            <w:r w:rsidRPr="001F4265">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583098D9" w14:textId="77777777" w:rsidR="003A5396" w:rsidRPr="001F4265" w:rsidRDefault="003A5396" w:rsidP="00001C11">
            <w:pPr>
              <w:pStyle w:val="TableTextBold"/>
              <w:spacing w:before="30" w:after="30"/>
              <w:jc w:val="right"/>
              <w:rPr>
                <w:noProof w:val="0"/>
                <w:color w:val="FFFFFF" w:themeColor="background1"/>
              </w:rPr>
            </w:pPr>
            <w:r w:rsidRPr="001F4265">
              <w:rPr>
                <w:rFonts w:eastAsia="Calibri"/>
                <w:noProof w:val="0"/>
                <w:color w:val="FFFFFF" w:themeColor="background1"/>
              </w:rPr>
              <w:t>Uncertainty in emission factors (%)</w:t>
            </w:r>
          </w:p>
        </w:tc>
      </w:tr>
      <w:tr w:rsidR="003A5396" w:rsidRPr="001F4265" w14:paraId="5B1FDB1C" w14:textId="77777777" w:rsidTr="00F16E23">
        <w:tc>
          <w:tcPr>
            <w:tcW w:w="0" w:type="auto"/>
            <w:shd w:val="clear" w:color="auto" w:fill="FFFFFF"/>
            <w:tcMar>
              <w:top w:w="0" w:type="dxa"/>
              <w:left w:w="85" w:type="dxa"/>
              <w:bottom w:w="0" w:type="dxa"/>
              <w:right w:w="85" w:type="dxa"/>
            </w:tcMar>
            <w:vAlign w:val="center"/>
          </w:tcPr>
          <w:p w14:paraId="3ED8006E" w14:textId="77777777" w:rsidR="003A5396" w:rsidRPr="001F4265" w:rsidRDefault="003A5396" w:rsidP="00001C11">
            <w:pPr>
              <w:pStyle w:val="TableText"/>
              <w:spacing w:before="30" w:after="30"/>
            </w:pPr>
            <w:r w:rsidRPr="001F4265">
              <w:rPr>
                <w:rFonts w:eastAsia="Calibri"/>
              </w:rPr>
              <w:t>Refrigeration and air conditioning</w:t>
            </w:r>
          </w:p>
        </w:tc>
        <w:tc>
          <w:tcPr>
            <w:tcW w:w="0" w:type="auto"/>
            <w:shd w:val="clear" w:color="auto" w:fill="FFFFFF"/>
            <w:tcMar>
              <w:top w:w="0" w:type="dxa"/>
              <w:left w:w="85" w:type="dxa"/>
              <w:bottom w:w="0" w:type="dxa"/>
              <w:right w:w="85" w:type="dxa"/>
            </w:tcMar>
            <w:vAlign w:val="center"/>
          </w:tcPr>
          <w:p w14:paraId="7F95538C" w14:textId="77777777" w:rsidR="003A5396" w:rsidRPr="001F4265" w:rsidRDefault="003A5396" w:rsidP="00001C11">
            <w:pPr>
              <w:pStyle w:val="TableText"/>
              <w:spacing w:before="30" w:after="30"/>
              <w:jc w:val="right"/>
            </w:pPr>
            <w:r w:rsidRPr="001F4265">
              <w:rPr>
                <w:rFonts w:eastAsia="Calibri"/>
              </w:rPr>
              <w:t>±24</w:t>
            </w:r>
          </w:p>
        </w:tc>
        <w:tc>
          <w:tcPr>
            <w:tcW w:w="0" w:type="auto"/>
            <w:shd w:val="clear" w:color="auto" w:fill="FFFFFF"/>
            <w:tcMar>
              <w:top w:w="0" w:type="dxa"/>
              <w:left w:w="85" w:type="dxa"/>
              <w:bottom w:w="0" w:type="dxa"/>
              <w:right w:w="85" w:type="dxa"/>
            </w:tcMar>
            <w:vAlign w:val="center"/>
          </w:tcPr>
          <w:p w14:paraId="1EB32F07" w14:textId="77777777" w:rsidR="003A5396" w:rsidRPr="001F4265" w:rsidRDefault="003A5396" w:rsidP="00001C11">
            <w:pPr>
              <w:pStyle w:val="TableText"/>
              <w:spacing w:before="30" w:after="30"/>
              <w:jc w:val="right"/>
            </w:pPr>
            <w:r w:rsidRPr="001F4265">
              <w:rPr>
                <w:rFonts w:eastAsia="Calibri"/>
              </w:rPr>
              <w:t>NA</w:t>
            </w:r>
          </w:p>
        </w:tc>
      </w:tr>
      <w:tr w:rsidR="003A5396" w:rsidRPr="001F4265" w14:paraId="7A345493" w14:textId="77777777" w:rsidTr="00F16E23">
        <w:tc>
          <w:tcPr>
            <w:tcW w:w="0" w:type="auto"/>
            <w:shd w:val="clear" w:color="auto" w:fill="FFFFFF"/>
            <w:tcMar>
              <w:top w:w="0" w:type="dxa"/>
              <w:left w:w="85" w:type="dxa"/>
              <w:bottom w:w="0" w:type="dxa"/>
              <w:right w:w="85" w:type="dxa"/>
            </w:tcMar>
            <w:vAlign w:val="center"/>
          </w:tcPr>
          <w:p w14:paraId="7025AA85" w14:textId="77777777" w:rsidR="003A5396" w:rsidRPr="001F4265" w:rsidRDefault="003A5396" w:rsidP="00001C11">
            <w:pPr>
              <w:pStyle w:val="TableText"/>
              <w:spacing w:before="30" w:after="30"/>
            </w:pPr>
            <w:r w:rsidRPr="001F4265">
              <w:rPr>
                <w:rFonts w:eastAsia="Calibri"/>
              </w:rPr>
              <w:t>Foam blowing agents</w:t>
            </w:r>
          </w:p>
        </w:tc>
        <w:tc>
          <w:tcPr>
            <w:tcW w:w="0" w:type="auto"/>
            <w:shd w:val="clear" w:color="auto" w:fill="FFFFFF"/>
            <w:tcMar>
              <w:top w:w="0" w:type="dxa"/>
              <w:left w:w="85" w:type="dxa"/>
              <w:bottom w:w="0" w:type="dxa"/>
              <w:right w:w="85" w:type="dxa"/>
            </w:tcMar>
            <w:vAlign w:val="center"/>
          </w:tcPr>
          <w:p w14:paraId="700B98FD" w14:textId="77777777" w:rsidR="003A5396" w:rsidRPr="001F4265" w:rsidRDefault="003A5396" w:rsidP="00001C11">
            <w:pPr>
              <w:pStyle w:val="TableText"/>
              <w:spacing w:before="30" w:after="30"/>
              <w:jc w:val="right"/>
            </w:pPr>
            <w:r w:rsidRPr="001F4265">
              <w:rPr>
                <w:rFonts w:eastAsia="Calibri"/>
              </w:rPr>
              <w:t>±12</w:t>
            </w:r>
          </w:p>
        </w:tc>
        <w:tc>
          <w:tcPr>
            <w:tcW w:w="0" w:type="auto"/>
            <w:shd w:val="clear" w:color="auto" w:fill="FFFFFF"/>
            <w:tcMar>
              <w:top w:w="0" w:type="dxa"/>
              <w:left w:w="85" w:type="dxa"/>
              <w:bottom w:w="0" w:type="dxa"/>
              <w:right w:w="85" w:type="dxa"/>
            </w:tcMar>
            <w:vAlign w:val="center"/>
          </w:tcPr>
          <w:p w14:paraId="07F918AD" w14:textId="77777777" w:rsidR="003A5396" w:rsidRPr="001F4265" w:rsidRDefault="003A5396" w:rsidP="00001C11">
            <w:pPr>
              <w:pStyle w:val="TableText"/>
              <w:spacing w:before="30" w:after="30"/>
              <w:jc w:val="right"/>
            </w:pPr>
            <w:r w:rsidRPr="001F4265">
              <w:rPr>
                <w:rFonts w:eastAsia="Calibri"/>
              </w:rPr>
              <w:t>±50</w:t>
            </w:r>
          </w:p>
        </w:tc>
      </w:tr>
      <w:tr w:rsidR="003A5396" w:rsidRPr="001F4265" w14:paraId="250FBF03" w14:textId="77777777" w:rsidTr="00F16E23">
        <w:tc>
          <w:tcPr>
            <w:tcW w:w="0" w:type="auto"/>
            <w:shd w:val="clear" w:color="auto" w:fill="FFFFFF"/>
            <w:tcMar>
              <w:top w:w="0" w:type="dxa"/>
              <w:left w:w="85" w:type="dxa"/>
              <w:bottom w:w="0" w:type="dxa"/>
              <w:right w:w="85" w:type="dxa"/>
            </w:tcMar>
            <w:vAlign w:val="center"/>
          </w:tcPr>
          <w:p w14:paraId="449D804A" w14:textId="77777777" w:rsidR="003A5396" w:rsidRPr="001F4265" w:rsidRDefault="003A5396" w:rsidP="00001C11">
            <w:pPr>
              <w:pStyle w:val="TableText"/>
              <w:spacing w:before="30" w:after="30"/>
            </w:pPr>
            <w:r w:rsidRPr="001F4265">
              <w:rPr>
                <w:rFonts w:eastAsia="Calibri"/>
              </w:rPr>
              <w:t>Aerosols</w:t>
            </w:r>
          </w:p>
        </w:tc>
        <w:tc>
          <w:tcPr>
            <w:tcW w:w="0" w:type="auto"/>
            <w:shd w:val="clear" w:color="auto" w:fill="FFFFFF"/>
            <w:tcMar>
              <w:top w:w="0" w:type="dxa"/>
              <w:left w:w="85" w:type="dxa"/>
              <w:bottom w:w="0" w:type="dxa"/>
              <w:right w:w="85" w:type="dxa"/>
            </w:tcMar>
            <w:vAlign w:val="center"/>
          </w:tcPr>
          <w:p w14:paraId="694F7E82" w14:textId="77777777" w:rsidR="003A5396" w:rsidRPr="001F4265" w:rsidRDefault="003A5396" w:rsidP="00001C11">
            <w:pPr>
              <w:pStyle w:val="TableText"/>
              <w:spacing w:before="30" w:after="30"/>
              <w:jc w:val="right"/>
            </w:pPr>
            <w:r w:rsidRPr="001F4265">
              <w:rPr>
                <w:rFonts w:eastAsia="Calibri"/>
              </w:rPr>
              <w:t>±25</w:t>
            </w:r>
          </w:p>
        </w:tc>
        <w:tc>
          <w:tcPr>
            <w:tcW w:w="0" w:type="auto"/>
            <w:shd w:val="clear" w:color="auto" w:fill="FFFFFF"/>
            <w:tcMar>
              <w:top w:w="0" w:type="dxa"/>
              <w:left w:w="85" w:type="dxa"/>
              <w:bottom w:w="0" w:type="dxa"/>
              <w:right w:w="85" w:type="dxa"/>
            </w:tcMar>
            <w:vAlign w:val="center"/>
          </w:tcPr>
          <w:p w14:paraId="29B52316" w14:textId="77777777" w:rsidR="003A5396" w:rsidRPr="001F4265" w:rsidRDefault="003A5396" w:rsidP="00001C11">
            <w:pPr>
              <w:pStyle w:val="TableText"/>
              <w:spacing w:before="30" w:after="30"/>
              <w:jc w:val="right"/>
            </w:pPr>
            <w:r w:rsidRPr="001F4265">
              <w:rPr>
                <w:rFonts w:eastAsia="Calibri"/>
              </w:rPr>
              <w:t>±10</w:t>
            </w:r>
          </w:p>
        </w:tc>
      </w:tr>
      <w:tr w:rsidR="003A5396" w:rsidRPr="001F4265" w14:paraId="733276BB" w14:textId="77777777" w:rsidTr="00F16E23">
        <w:tc>
          <w:tcPr>
            <w:tcW w:w="0" w:type="auto"/>
            <w:shd w:val="clear" w:color="auto" w:fill="FFFFFF"/>
            <w:tcMar>
              <w:top w:w="0" w:type="dxa"/>
              <w:left w:w="85" w:type="dxa"/>
              <w:bottom w:w="0" w:type="dxa"/>
              <w:right w:w="85" w:type="dxa"/>
            </w:tcMar>
            <w:vAlign w:val="center"/>
          </w:tcPr>
          <w:p w14:paraId="681F9C85" w14:textId="77777777" w:rsidR="003A5396" w:rsidRPr="001F4265" w:rsidRDefault="003A5396" w:rsidP="00001C11">
            <w:pPr>
              <w:pStyle w:val="TableText"/>
              <w:spacing w:before="30" w:after="30"/>
            </w:pPr>
            <w:r w:rsidRPr="001F4265">
              <w:rPr>
                <w:rFonts w:eastAsia="Calibri"/>
              </w:rPr>
              <w:t>Fire protection</w:t>
            </w:r>
          </w:p>
        </w:tc>
        <w:tc>
          <w:tcPr>
            <w:tcW w:w="0" w:type="auto"/>
            <w:shd w:val="clear" w:color="auto" w:fill="FFFFFF"/>
            <w:tcMar>
              <w:top w:w="0" w:type="dxa"/>
              <w:left w:w="85" w:type="dxa"/>
              <w:bottom w:w="0" w:type="dxa"/>
              <w:right w:w="85" w:type="dxa"/>
            </w:tcMar>
            <w:vAlign w:val="center"/>
          </w:tcPr>
          <w:p w14:paraId="1FC490A1" w14:textId="77777777" w:rsidR="003A5396" w:rsidRPr="001F4265" w:rsidRDefault="003A5396" w:rsidP="00001C11">
            <w:pPr>
              <w:pStyle w:val="TableText"/>
              <w:spacing w:before="30" w:after="30"/>
              <w:jc w:val="right"/>
            </w:pPr>
            <w:r w:rsidRPr="001F4265">
              <w:rPr>
                <w:rFonts w:eastAsia="Calibri"/>
              </w:rPr>
              <w:t>±30</w:t>
            </w:r>
          </w:p>
        </w:tc>
        <w:tc>
          <w:tcPr>
            <w:tcW w:w="0" w:type="auto"/>
            <w:shd w:val="clear" w:color="auto" w:fill="FFFFFF"/>
            <w:tcMar>
              <w:top w:w="0" w:type="dxa"/>
              <w:left w:w="85" w:type="dxa"/>
              <w:bottom w:w="0" w:type="dxa"/>
              <w:right w:w="85" w:type="dxa"/>
            </w:tcMar>
            <w:vAlign w:val="center"/>
          </w:tcPr>
          <w:p w14:paraId="52ED430F" w14:textId="77777777" w:rsidR="003A5396" w:rsidRPr="001F4265" w:rsidRDefault="003A5396" w:rsidP="00001C11">
            <w:pPr>
              <w:pStyle w:val="TableText"/>
              <w:spacing w:before="30" w:after="30"/>
              <w:jc w:val="right"/>
            </w:pPr>
            <w:r w:rsidRPr="001F4265">
              <w:rPr>
                <w:rFonts w:eastAsia="Calibri"/>
              </w:rPr>
              <w:t>±30</w:t>
            </w:r>
          </w:p>
        </w:tc>
      </w:tr>
    </w:tbl>
    <w:p w14:paraId="7201CD6E" w14:textId="77777777" w:rsidR="003A5396" w:rsidRPr="001F4265" w:rsidRDefault="003A5396" w:rsidP="00871263">
      <w:pPr>
        <w:pStyle w:val="Noteundertable"/>
      </w:pPr>
      <w:r w:rsidRPr="001F4265">
        <w:rPr>
          <w:b/>
          <w:bCs/>
        </w:rPr>
        <w:t>Note:</w:t>
      </w:r>
      <w:r w:rsidRPr="001F4265">
        <w:t xml:space="preserve"> </w:t>
      </w:r>
      <w:r w:rsidRPr="001F4265">
        <w:tab/>
        <w:t>NA = not applicable.</w:t>
      </w:r>
    </w:p>
    <w:p w14:paraId="4A32EB92" w14:textId="77777777" w:rsidR="003A5396" w:rsidRPr="001F4265" w:rsidRDefault="003A5396" w:rsidP="003A5396">
      <w:pPr>
        <w:pStyle w:val="Heading4"/>
      </w:pPr>
      <w:bookmarkStart w:id="540" w:name="time-series-consistency-4"/>
      <w:bookmarkEnd w:id="538"/>
      <w:r w:rsidRPr="001F4265">
        <w:t>Time-series consistency</w:t>
      </w:r>
    </w:p>
    <w:p w14:paraId="1E842E90" w14:textId="77777777" w:rsidR="003A5396" w:rsidRPr="001F4265" w:rsidRDefault="003A5396" w:rsidP="003A5396">
      <w:pPr>
        <w:pStyle w:val="BodyText"/>
      </w:pPr>
      <w:r w:rsidRPr="001F4265">
        <w:t>There is substantial variation over the time series due to the introduction and increasing use of HFCs as replacements for CFCs and HCFCs. In previous submissions, year-to-year variation in the calculated emissions from refrigeration and air conditioning has been driven by changes in stocks from year to year. Recalculations made for this submission have reduced this apparent variance.</w:t>
      </w:r>
    </w:p>
    <w:p w14:paraId="4FFAFAB7" w14:textId="77777777" w:rsidR="003A5396" w:rsidRPr="001F4265" w:rsidRDefault="003A5396" w:rsidP="003A5396">
      <w:pPr>
        <w:pStyle w:val="BodyText"/>
      </w:pPr>
      <w:r w:rsidRPr="001F4265">
        <w:t>Calculated annual HFC emissions have increased at a consistent rate from 1,010.5 kt CO</w:t>
      </w:r>
      <w:r w:rsidRPr="001F4265">
        <w:rPr>
          <w:vertAlign w:val="subscript"/>
        </w:rPr>
        <w:t>2</w:t>
      </w:r>
      <w:r w:rsidRPr="001F4265">
        <w:t>e in 2010 to 1,042.6 kt CO</w:t>
      </w:r>
      <w:r w:rsidRPr="001F4265">
        <w:rPr>
          <w:vertAlign w:val="subscript"/>
        </w:rPr>
        <w:t>2</w:t>
      </w:r>
      <w:r w:rsidRPr="001F4265">
        <w:t>e in 2024. The banks of HFCs in operating equipment are also increasing over time, particularly in air conditioners. Future emissions will depend on the maintenance and eventual retirement of this equipment.</w:t>
      </w:r>
    </w:p>
    <w:bookmarkEnd w:id="540"/>
    <w:p w14:paraId="6A71255B" w14:textId="77777777" w:rsidR="003A5396" w:rsidRPr="001F4265" w:rsidRDefault="003A5396" w:rsidP="003A5396">
      <w:pPr>
        <w:pStyle w:val="Heading3"/>
      </w:pPr>
      <w:r w:rsidRPr="001F4265">
        <w:t xml:space="preserve">4.7.4 </w:t>
      </w:r>
      <w:r w:rsidRPr="001F4265">
        <w:tab/>
        <w:t>Category-specific QA/QC and verification</w:t>
      </w:r>
    </w:p>
    <w:p w14:paraId="11B2FCF6" w14:textId="77777777" w:rsidR="003A5396" w:rsidRPr="001F4265" w:rsidRDefault="003A5396" w:rsidP="003A5396">
      <w:pPr>
        <w:pStyle w:val="Heading4"/>
      </w:pPr>
      <w:bookmarkStart w:id="541" w:name="Xe9bd00ae0ea4fa766aa0aa1d0da6758b8332234"/>
      <w:r w:rsidRPr="001F4265">
        <w:t>Refrigeration and air conditioning (2.F.1)</w:t>
      </w:r>
    </w:p>
    <w:p w14:paraId="1A9F283C" w14:textId="77777777" w:rsidR="003A5396" w:rsidRPr="001F4265" w:rsidRDefault="003A5396" w:rsidP="003A5396">
      <w:pPr>
        <w:pStyle w:val="BodyText"/>
      </w:pPr>
      <w:r w:rsidRPr="001F4265">
        <w:t xml:space="preserve">Use of HFCs in </w:t>
      </w:r>
      <w:r w:rsidRPr="001F4265">
        <w:rPr>
          <w:i/>
          <w:iCs/>
        </w:rPr>
        <w:t>Refrigeration and air conditioning</w:t>
      </w:r>
      <w:r w:rsidRPr="001F4265">
        <w:t xml:space="preserve"> was a key category (level and trend assessment). In the preparation of this inventory, the data on HFCs underwent Tier 1 quality checks. During data collection and calculation, activity data provided by industry were verified against national totals where possible, and unreturned questionnaires and anomalous data were followed up and verified to ensure a complete and accurate record of activity data.</w:t>
      </w:r>
    </w:p>
    <w:p w14:paraId="66D7487B" w14:textId="77777777" w:rsidR="003A5396" w:rsidRPr="001F4265" w:rsidRDefault="003A5396" w:rsidP="003A5396">
      <w:pPr>
        <w:pStyle w:val="BodyText"/>
      </w:pPr>
      <w:r w:rsidRPr="001F4265">
        <w:t xml:space="preserve">For the years up to 2001, the survey data supplied by importers on bulk HFC imports were </w:t>
      </w:r>
      <w:r w:rsidRPr="001F4265">
        <w:rPr>
          <w:spacing w:val="-2"/>
        </w:rPr>
        <w:t>verified by comparison with import data supplied by Stats NZ. The former Ministry of Economic</w:t>
      </w:r>
      <w:r w:rsidRPr="001F4265">
        <w:t xml:space="preserve"> Development compiled a detailed breakdown of bulk HFCs using these data and information from import licences for a range of mixtures, such as HFCs and HCFCs. This analysis has not been carried out since 2001, due to restricted access to commercially sensitive import data. Consequently, this independent check on the total imports reported by bulk chemical suppliers became unavailable after that year.</w:t>
      </w:r>
    </w:p>
    <w:p w14:paraId="6C0489D9" w14:textId="77777777" w:rsidR="003A5396" w:rsidRPr="001F4265" w:rsidRDefault="003A5396" w:rsidP="003A5396">
      <w:pPr>
        <w:pStyle w:val="BodyText"/>
      </w:pPr>
      <w:r w:rsidRPr="001F4265">
        <w:t>Survey data provided by Fisher and Paykel Limited (the largest importer and manufacturer in New Zealand) were used to compare with total import data, where possible. In addition, bulk importers submit NZ ETS returns, which are used to verify survey information on import volumes where possible.</w:t>
      </w:r>
    </w:p>
    <w:p w14:paraId="05292AA5" w14:textId="77777777" w:rsidR="003A5396" w:rsidRPr="001F4265" w:rsidRDefault="003A5396" w:rsidP="003A5396">
      <w:pPr>
        <w:pStyle w:val="BodyText"/>
      </w:pPr>
      <w:r w:rsidRPr="001F4265">
        <w:t xml:space="preserve">No other key categories were identified in </w:t>
      </w:r>
      <w:r w:rsidRPr="001F4265">
        <w:rPr>
          <w:i/>
          <w:iCs/>
        </w:rPr>
        <w:t>Product uses as substitutes for ODS</w:t>
      </w:r>
      <w:r w:rsidRPr="001F4265">
        <w:t>. The data underwent Tier 1 quality checks.</w:t>
      </w:r>
    </w:p>
    <w:bookmarkEnd w:id="541"/>
    <w:p w14:paraId="1755A322" w14:textId="77777777" w:rsidR="003A5396" w:rsidRPr="001F4265" w:rsidRDefault="003A5396" w:rsidP="003A5396">
      <w:pPr>
        <w:pStyle w:val="Heading3"/>
      </w:pPr>
      <w:r w:rsidRPr="001F4265">
        <w:t xml:space="preserve">4.7.5 </w:t>
      </w:r>
      <w:r w:rsidRPr="001F4265">
        <w:tab/>
        <w:t>Category-specific recalculations</w:t>
      </w:r>
    </w:p>
    <w:p w14:paraId="4B6002C1" w14:textId="77777777" w:rsidR="003A5396" w:rsidRPr="001F4265" w:rsidRDefault="003A5396" w:rsidP="003A5396">
      <w:pPr>
        <w:pStyle w:val="BodyText"/>
      </w:pPr>
      <w:r w:rsidRPr="001F4265">
        <w:t>In this submission, the following was recalculated.</w:t>
      </w:r>
    </w:p>
    <w:p w14:paraId="3D5670D1" w14:textId="77777777" w:rsidR="003A5396" w:rsidRPr="001F4265" w:rsidRDefault="003A5396" w:rsidP="003A5396">
      <w:pPr>
        <w:pStyle w:val="Bullet"/>
      </w:pPr>
      <w:r w:rsidRPr="001F4265">
        <w:t>Illegal HFC refrigerant imports estimates were reassessed. The estimate for 2023 was revised from 3 tonnes to 15 tonnes of HFC-134a, This affects CRT 2.F.1.a and 2.F.1.f.</w:t>
      </w:r>
    </w:p>
    <w:p w14:paraId="3832DF70" w14:textId="77777777" w:rsidR="003A5396" w:rsidRPr="001F4265" w:rsidRDefault="003A5396" w:rsidP="00BA70F6">
      <w:pPr>
        <w:pStyle w:val="Sub-bullet"/>
      </w:pPr>
      <w:r w:rsidRPr="001F4265">
        <w:t xml:space="preserve">Commercial </w:t>
      </w:r>
      <w:r w:rsidRPr="00A55739">
        <w:t>refrigeration</w:t>
      </w:r>
      <w:r w:rsidRPr="001F4265">
        <w:t xml:space="preserve"> used in dairy farms and small to medium scale non-supermarket coolstores were recalculated. From 2022 onwards, the refrigerant mix was revised from 90/10 split between R407F and R404A to a 50/50 split. This affects CRT 2.F.1.a. The direct impact of this change reduced the size of the coolstores equipment HFC bank, and consequently the amount of leakage.</w:t>
      </w:r>
    </w:p>
    <w:p w14:paraId="12B2998B" w14:textId="77777777" w:rsidR="003A5396" w:rsidRPr="001F4265" w:rsidRDefault="003A5396" w:rsidP="00BA70F6">
      <w:pPr>
        <w:pStyle w:val="Sub-bullet"/>
        <w:numPr>
          <w:ilvl w:val="0"/>
          <w:numId w:val="120"/>
        </w:numPr>
      </w:pPr>
      <w:r w:rsidRPr="001F4265">
        <w:t>Corrections were applied to annual stock calculations of HFC-134a for commercial refrigeration. This affects CRT 2.F.1.a.</w:t>
      </w:r>
    </w:p>
    <w:p w14:paraId="68B91268" w14:textId="77777777" w:rsidR="003A5396" w:rsidRPr="001F4265" w:rsidRDefault="003A5396" w:rsidP="00BA70F6">
      <w:pPr>
        <w:pStyle w:val="Sub-bullet"/>
      </w:pPr>
      <w:r w:rsidRPr="001F4265">
        <w:t>The fast rate of conversion of HFC Industrial refrigeration plants and large commercial coolstores were reassessed. For 2023, the retirement for HFC-134a was revised from 5 tonnes to 12 tonnes; HFC-407f was revised from 5 tonnes to 8 tonnes. This affects CRT 2.F.1.a.</w:t>
      </w:r>
    </w:p>
    <w:p w14:paraId="1F04005E" w14:textId="77777777" w:rsidR="003A5396" w:rsidRPr="001F4265" w:rsidRDefault="003A5396" w:rsidP="00BA70F6">
      <w:pPr>
        <w:pStyle w:val="Sub-bullet"/>
      </w:pPr>
      <w:r w:rsidRPr="001F4265">
        <w:t>The default rate of average annual equipment stocks was revised from 15 percent to 13 percent. This affects CRT 2.F.1.a and 2.F.1.c.</w:t>
      </w:r>
    </w:p>
    <w:p w14:paraId="778ECECB" w14:textId="77777777" w:rsidR="003A5396" w:rsidRPr="001F4265" w:rsidRDefault="003A5396" w:rsidP="003A5396">
      <w:pPr>
        <w:pStyle w:val="Bullet"/>
      </w:pPr>
      <w:r w:rsidRPr="001F4265">
        <w:t>The manager of one of the two major suppliers of refrigerated trucks and trailers in New Zealand has provided assessments of the total New Zealand market for the calendar years 2006 to 2022. From 2023 that company has provided only its own data while the other company has regularly responded to our survey since 2020. There has been an increasing disparity between the two estimates in recent years. We have assessed that the best compromise is from 2022 to shift the proportion of imported trailers and self-powered units from 75 percent to 50 percent pre-charged, with the consequent increase of those units filled in New Zealand (with bulk refrigerants) from 25 percent to 50 percent from 2022. Of the pre-charged trailers, 90 percent were filled with R452A and the remainder with R404A in used vehicles until 2021 (transitioning to a 95/5 split from 2022 to 2024). There appeared to be no shift in the lower pre-charged proportion for smaller off engine refrigerated trucks and vans (imported new and used), which are assessed to continue at 25 percent pre-charged and 75 percent filled in New Zealand (the last filling with a small proportion of R404A in 2022). This affects CRT 2.F.1.d</w:t>
      </w:r>
    </w:p>
    <w:p w14:paraId="3CA027E0" w14:textId="77777777" w:rsidR="003A5396" w:rsidRPr="001F4265" w:rsidRDefault="003A5396" w:rsidP="003A5396">
      <w:pPr>
        <w:pStyle w:val="Bullet"/>
      </w:pPr>
      <w:r w:rsidRPr="001F4265">
        <w:t>The methodology for estimating stationary air conditioning was changed. The previous submissions used an approach that resulted in a disparity between the air conditioning equipment bank accumulating to about 240 tonnes of under-estimation of R410a when compared with EPA data. By altering the theoretical sales and refrigerant mix for 2018 to 2023 and applying different correction factors from ones used in the past, we managed to reduce the under-estimate to just 40 tonnes (2.2 percent of the 900 tonne R410A bank remaining by the end of 2024). This affects CRT 2.F.1.e.</w:t>
      </w:r>
    </w:p>
    <w:p w14:paraId="67268607" w14:textId="77777777" w:rsidR="003A5396" w:rsidRPr="001F4265" w:rsidRDefault="003A5396" w:rsidP="00BA70F6">
      <w:pPr>
        <w:pStyle w:val="Sub-bullet"/>
      </w:pPr>
      <w:r w:rsidRPr="001F4265">
        <w:t>The total stationary air conditioning emissions of each of the four main HFCs were reassessed to smooth discontinuities in the emissions trend by estimating the bulk refrigerant stock levels.</w:t>
      </w:r>
    </w:p>
    <w:p w14:paraId="4BF0A996" w14:textId="77777777" w:rsidR="003A5396" w:rsidRPr="001F4265" w:rsidRDefault="003A5396" w:rsidP="003A5396">
      <w:pPr>
        <w:pStyle w:val="Heading3"/>
      </w:pPr>
      <w:r w:rsidRPr="001F4265">
        <w:t xml:space="preserve">4.7.6 </w:t>
      </w:r>
      <w:r w:rsidRPr="001F4265">
        <w:tab/>
        <w:t>Category-specific planned improvements</w:t>
      </w:r>
    </w:p>
    <w:p w14:paraId="6AA6C0AC" w14:textId="77777777" w:rsidR="003A5396" w:rsidRPr="001F4265" w:rsidRDefault="003A5396" w:rsidP="003A5396">
      <w:pPr>
        <w:pStyle w:val="BodyText"/>
      </w:pPr>
      <w:r w:rsidRPr="001F4265">
        <w:t xml:space="preserve">No specific improvements are planned for this category. There are still some unexplained year-to-year variations in emissions from the </w:t>
      </w:r>
      <w:r w:rsidRPr="001F4265">
        <w:rPr>
          <w:i/>
          <w:iCs/>
        </w:rPr>
        <w:t>Refrigeration and air conditioning</w:t>
      </w:r>
      <w:r w:rsidRPr="001F4265">
        <w:t xml:space="preserve"> category, which is an indication that further improvements can be made by better accounting for stockpiling of bulk chemical. Future submissions will continue to address this issue.</w:t>
      </w:r>
    </w:p>
    <w:p w14:paraId="1A3A76E1" w14:textId="77777777" w:rsidR="003A5396" w:rsidRPr="001F4265" w:rsidRDefault="003A5396" w:rsidP="003A5396">
      <w:pPr>
        <w:pStyle w:val="Heading2"/>
      </w:pPr>
      <w:bookmarkStart w:id="542" w:name="_Toc226460765"/>
      <w:bookmarkStart w:id="543" w:name="other-product-manufacture-and-use-2.g"/>
      <w:bookmarkEnd w:id="521"/>
      <w:r w:rsidRPr="001F4265">
        <w:t xml:space="preserve">4.8 </w:t>
      </w:r>
      <w:r w:rsidRPr="001F4265">
        <w:tab/>
        <w:t>Other product manufacture and use (2.G)</w:t>
      </w:r>
      <w:bookmarkEnd w:id="542"/>
    </w:p>
    <w:p w14:paraId="4FEF5AE5" w14:textId="77777777" w:rsidR="003A5396" w:rsidRPr="001F4265" w:rsidRDefault="003A5396" w:rsidP="003A5396">
      <w:pPr>
        <w:pStyle w:val="Heading3"/>
        <w:spacing w:before="240"/>
      </w:pPr>
      <w:r w:rsidRPr="001F4265">
        <w:t xml:space="preserve">4.8.1 </w:t>
      </w:r>
      <w:r w:rsidRPr="001F4265">
        <w:tab/>
        <w:t>Description</w:t>
      </w:r>
    </w:p>
    <w:p w14:paraId="2C7EF622" w14:textId="77777777" w:rsidR="003A5396" w:rsidRPr="001F4265" w:rsidRDefault="003A5396" w:rsidP="003A5396">
      <w:pPr>
        <w:pStyle w:val="BodyText"/>
      </w:pPr>
      <w:r w:rsidRPr="001F4265">
        <w:t xml:space="preserve">The </w:t>
      </w:r>
      <w:r w:rsidRPr="001F4265">
        <w:rPr>
          <w:i/>
          <w:iCs/>
        </w:rPr>
        <w:t>Other product manufacture and use</w:t>
      </w:r>
      <w:r w:rsidRPr="001F4265">
        <w:t xml:space="preserve"> category in New Zealand comprises emissions from:</w:t>
      </w:r>
    </w:p>
    <w:p w14:paraId="1DB54242" w14:textId="77777777" w:rsidR="003A5396" w:rsidRPr="001F4265" w:rsidRDefault="003A5396" w:rsidP="003A5396">
      <w:pPr>
        <w:pStyle w:val="Bullet"/>
      </w:pPr>
      <w:r w:rsidRPr="001F4265">
        <w:t>use of SF</w:t>
      </w:r>
      <w:r w:rsidRPr="001F4265">
        <w:rPr>
          <w:vertAlign w:val="subscript"/>
        </w:rPr>
        <w:t>6</w:t>
      </w:r>
      <w:r w:rsidRPr="001F4265">
        <w:t xml:space="preserve"> as an insulant and arc-extinguishing agent in electrical switchgear</w:t>
      </w:r>
    </w:p>
    <w:p w14:paraId="4DBB9187" w14:textId="77777777" w:rsidR="003A5396" w:rsidRPr="001F4265" w:rsidRDefault="003A5396" w:rsidP="003A5396">
      <w:pPr>
        <w:pStyle w:val="Bullet"/>
      </w:pPr>
      <w:r w:rsidRPr="001F4265">
        <w:t>use of SF</w:t>
      </w:r>
      <w:r w:rsidRPr="001F4265">
        <w:rPr>
          <w:vertAlign w:val="subscript"/>
        </w:rPr>
        <w:t>6</w:t>
      </w:r>
      <w:r w:rsidRPr="001F4265">
        <w:t xml:space="preserve"> in eye surgery</w:t>
      </w:r>
    </w:p>
    <w:p w14:paraId="2FCAC0AF" w14:textId="77777777" w:rsidR="003A5396" w:rsidRPr="001F4265" w:rsidRDefault="003A5396" w:rsidP="003A5396">
      <w:pPr>
        <w:pStyle w:val="Bullet"/>
      </w:pPr>
      <w:r w:rsidRPr="001F4265">
        <w:t>use of PFCs (C</w:t>
      </w:r>
      <w:r w:rsidRPr="001F4265">
        <w:rPr>
          <w:vertAlign w:val="subscript"/>
        </w:rPr>
        <w:t>2</w:t>
      </w:r>
      <w:r w:rsidRPr="001F4265">
        <w:t>F</w:t>
      </w:r>
      <w:r w:rsidRPr="001F4265">
        <w:rPr>
          <w:vertAlign w:val="subscript"/>
        </w:rPr>
        <w:t>6</w:t>
      </w:r>
      <w:r w:rsidRPr="001F4265">
        <w:t xml:space="preserve"> and perfluoropropane (C</w:t>
      </w:r>
      <w:r w:rsidRPr="001F4265">
        <w:rPr>
          <w:vertAlign w:val="subscript"/>
        </w:rPr>
        <w:t>3</w:t>
      </w:r>
      <w:r w:rsidRPr="001F4265">
        <w:t>F</w:t>
      </w:r>
      <w:r w:rsidRPr="001F4265">
        <w:rPr>
          <w:vertAlign w:val="subscript"/>
        </w:rPr>
        <w:t>8</w:t>
      </w:r>
      <w:r w:rsidRPr="001F4265">
        <w:t>)) in eye surgery</w:t>
      </w:r>
    </w:p>
    <w:p w14:paraId="104ECED9" w14:textId="77777777" w:rsidR="003A5396" w:rsidRPr="001F4265" w:rsidRDefault="003A5396" w:rsidP="003A5396">
      <w:pPr>
        <w:pStyle w:val="Bullet"/>
      </w:pPr>
      <w:r w:rsidRPr="001F4265">
        <w:t>use of SF</w:t>
      </w:r>
      <w:r w:rsidRPr="001F4265">
        <w:rPr>
          <w:vertAlign w:val="subscript"/>
        </w:rPr>
        <w:t>6</w:t>
      </w:r>
      <w:r w:rsidRPr="001F4265">
        <w:t xml:space="preserve"> as a tracer gas in scientific experiments</w:t>
      </w:r>
    </w:p>
    <w:p w14:paraId="3A620312" w14:textId="77777777" w:rsidR="003A5396" w:rsidRPr="001F4265" w:rsidRDefault="003A5396" w:rsidP="003A5396">
      <w:pPr>
        <w:pStyle w:val="Bullet"/>
      </w:pPr>
      <w:r w:rsidRPr="001F4265">
        <w:t>possible other uses of SF</w:t>
      </w:r>
      <w:r w:rsidRPr="001F4265">
        <w:rPr>
          <w:vertAlign w:val="subscript"/>
        </w:rPr>
        <w:t>6</w:t>
      </w:r>
      <w:r w:rsidRPr="001F4265">
        <w:t>, such as in vehicle tyres and industrial equipment</w:t>
      </w:r>
    </w:p>
    <w:p w14:paraId="5D1C91C5" w14:textId="77777777" w:rsidR="003A5396" w:rsidRPr="001F4265" w:rsidRDefault="003A5396" w:rsidP="003A5396">
      <w:pPr>
        <w:pStyle w:val="Bullet"/>
      </w:pPr>
      <w:r w:rsidRPr="001F4265">
        <w:t>medical uses of N</w:t>
      </w:r>
      <w:r w:rsidRPr="001F4265">
        <w:rPr>
          <w:vertAlign w:val="subscript"/>
        </w:rPr>
        <w:t>2</w:t>
      </w:r>
      <w:r w:rsidRPr="001F4265">
        <w:t>O.</w:t>
      </w:r>
    </w:p>
    <w:p w14:paraId="2C11104E" w14:textId="77777777" w:rsidR="003A5396" w:rsidRPr="001F4265" w:rsidRDefault="003A5396" w:rsidP="003A5396">
      <w:pPr>
        <w:pStyle w:val="BodyText"/>
      </w:pPr>
      <w:r w:rsidRPr="001F4265">
        <w:t>There were no emissions of nitrogen trifluoride (NF</w:t>
      </w:r>
      <w:r w:rsidRPr="001F4265">
        <w:rPr>
          <w:vertAlign w:val="subscript"/>
        </w:rPr>
        <w:t>3</w:t>
      </w:r>
      <w:r w:rsidRPr="001F4265">
        <w:t>) in New Zealand.</w:t>
      </w:r>
    </w:p>
    <w:p w14:paraId="25AB3CBB" w14:textId="77777777" w:rsidR="003A5396" w:rsidRPr="001F4265" w:rsidRDefault="003A5396" w:rsidP="003A5396">
      <w:pPr>
        <w:pStyle w:val="BodyText"/>
      </w:pPr>
      <w:r w:rsidRPr="001F4265">
        <w:t>No key categories were identified in this category.</w:t>
      </w:r>
    </w:p>
    <w:p w14:paraId="354594D8" w14:textId="77777777" w:rsidR="003A5396" w:rsidRPr="001F4265" w:rsidRDefault="003A5396" w:rsidP="003A5396">
      <w:pPr>
        <w:pStyle w:val="BodyText"/>
      </w:pPr>
      <w:r w:rsidRPr="001F4265">
        <w:t xml:space="preserve">In 2024, emissions from the </w:t>
      </w:r>
      <w:r w:rsidRPr="001F4265">
        <w:rPr>
          <w:i/>
          <w:iCs/>
        </w:rPr>
        <w:t>Other product manufacture and use</w:t>
      </w:r>
      <w:r w:rsidRPr="001F4265">
        <w:t xml:space="preserve"> category were 154.2 kt CO</w:t>
      </w:r>
      <w:r w:rsidRPr="001F4265">
        <w:rPr>
          <w:vertAlign w:val="subscript"/>
        </w:rPr>
        <w:t>2</w:t>
      </w:r>
      <w:r w:rsidRPr="001F4265">
        <w:t>e or 4.0 percent of emissions from the IPPU sector. This is an increase of 47.7 kt (44.7 percent) from the emissions in 1990, driven by a slight increase in the importation and use of N</w:t>
      </w:r>
      <w:r w:rsidRPr="001F4265">
        <w:rPr>
          <w:vertAlign w:val="subscript"/>
        </w:rPr>
        <w:t>2</w:t>
      </w:r>
      <w:r w:rsidRPr="001F4265">
        <w:t>O in 2024 and an increase of 88.4 kt (134.3 percent) from the emissions in 2005.</w:t>
      </w:r>
    </w:p>
    <w:p w14:paraId="496C042D" w14:textId="77777777" w:rsidR="003A5396" w:rsidRPr="001F4265" w:rsidRDefault="003A5396" w:rsidP="003A5396">
      <w:pPr>
        <w:pStyle w:val="Heading3"/>
      </w:pPr>
      <w:r w:rsidRPr="001F4265">
        <w:t xml:space="preserve">4.8.2 </w:t>
      </w:r>
      <w:r w:rsidRPr="001F4265">
        <w:tab/>
        <w:t>Methodological issues</w:t>
      </w:r>
    </w:p>
    <w:p w14:paraId="4FE906CB" w14:textId="77777777" w:rsidR="003A5396" w:rsidRPr="001F4265" w:rsidRDefault="003A5396" w:rsidP="003A5396">
      <w:pPr>
        <w:pStyle w:val="Heading4"/>
      </w:pPr>
      <w:bookmarkStart w:id="544" w:name="choice-of-activity-data-5"/>
      <w:r w:rsidRPr="001F4265">
        <w:t>Choice of activity data</w:t>
      </w:r>
    </w:p>
    <w:p w14:paraId="39B6686C" w14:textId="77777777" w:rsidR="003A5396" w:rsidRPr="001F4265" w:rsidRDefault="003A5396" w:rsidP="003A5396">
      <w:pPr>
        <w:pStyle w:val="BodyText"/>
      </w:pPr>
      <w:r w:rsidRPr="001F4265">
        <w:t>Companies importing or using SF</w:t>
      </w:r>
      <w:r w:rsidRPr="001F4265">
        <w:rPr>
          <w:vertAlign w:val="subscript"/>
        </w:rPr>
        <w:t>6</w:t>
      </w:r>
      <w:r w:rsidRPr="001F4265">
        <w:t xml:space="preserve"> and N</w:t>
      </w:r>
      <w:r w:rsidRPr="001F4265">
        <w:rPr>
          <w:vertAlign w:val="subscript"/>
        </w:rPr>
        <w:t>2</w:t>
      </w:r>
      <w:r w:rsidRPr="001F4265">
        <w:t>O provided data on their imports and holdings in response to an annual survey. This included all significant electricity companies, equipment manufacturers and industrial electricity users. In addition, companies report their holdings and emissions in NZ ETS returns if they use SF</w:t>
      </w:r>
      <w:r w:rsidRPr="001F4265">
        <w:rPr>
          <w:vertAlign w:val="subscript"/>
        </w:rPr>
        <w:t>6</w:t>
      </w:r>
      <w:r w:rsidRPr="001F4265">
        <w:t xml:space="preserve"> in electrical equipment and have at least 1 tonne of the gas in operating equipment.</w:t>
      </w:r>
    </w:p>
    <w:p w14:paraId="25D0C66F" w14:textId="77777777" w:rsidR="003A5396" w:rsidRPr="001F4265" w:rsidRDefault="003A5396" w:rsidP="003A5396">
      <w:pPr>
        <w:pStyle w:val="Heading5"/>
      </w:pPr>
      <w:bookmarkStart w:id="545" w:name="electrical-equipment-2.g.1"/>
      <w:r w:rsidRPr="001F4265">
        <w:t>Electrical equipment (2.G.1)</w:t>
      </w:r>
    </w:p>
    <w:p w14:paraId="555969F0" w14:textId="77777777" w:rsidR="003A5396" w:rsidRPr="001F4265" w:rsidRDefault="003A5396" w:rsidP="003A5396">
      <w:pPr>
        <w:pStyle w:val="BodyText"/>
      </w:pPr>
      <w:r w:rsidRPr="001F4265">
        <w:t>Data on bulk imports of SF</w:t>
      </w:r>
      <w:r w:rsidRPr="001F4265">
        <w:rPr>
          <w:vertAlign w:val="subscript"/>
        </w:rPr>
        <w:t>6</w:t>
      </w:r>
      <w:r w:rsidRPr="001F4265">
        <w:t xml:space="preserve"> and the charge in installed equipment were supplied by New Zealand’s only manufacturer of relevant electrical equipment (ABB Limited) and by the electricity transmission and generation companies. The transmission and generation companies import SF</w:t>
      </w:r>
      <w:r w:rsidRPr="001F4265">
        <w:rPr>
          <w:vertAlign w:val="subscript"/>
        </w:rPr>
        <w:t>6</w:t>
      </w:r>
      <w:r w:rsidRPr="001F4265">
        <w:t xml:space="preserve"> for their own use.</w:t>
      </w:r>
    </w:p>
    <w:p w14:paraId="6241FF51" w14:textId="77777777" w:rsidR="003A5396" w:rsidRPr="001F4265" w:rsidRDefault="003A5396" w:rsidP="003A5396">
      <w:pPr>
        <w:pStyle w:val="Heading5"/>
      </w:pPr>
      <w:bookmarkStart w:id="546" w:name="X56f8e3e830fdefd5cc36ab5ab24885285d80220"/>
      <w:bookmarkEnd w:id="545"/>
      <w:r w:rsidRPr="001F4265">
        <w:t>Sulphur hexafluoride and perfluorocarbons from other product use (2.G.2)</w:t>
      </w:r>
    </w:p>
    <w:p w14:paraId="18ECAC2E" w14:textId="77777777" w:rsidR="003A5396" w:rsidRPr="001F4265" w:rsidRDefault="003A5396" w:rsidP="003A5396">
      <w:pPr>
        <w:pStyle w:val="BodyText"/>
      </w:pPr>
      <w:r w:rsidRPr="001F4265">
        <w:t>One company (BOC Limited) imported SF</w:t>
      </w:r>
      <w:r w:rsidRPr="001F4265">
        <w:rPr>
          <w:vertAlign w:val="subscript"/>
        </w:rPr>
        <w:t>6</w:t>
      </w:r>
      <w:r w:rsidRPr="001F4265">
        <w:t xml:space="preserve"> into New Zealand (for uses other than electrical switchgear) until 2012. There is no other known importer, and some users appear to have been using previously imported supplies since that time. The current usage rate is assessed (from earlier importation rates) to be approximately 120 kilograms per year. This is made up of 30 kilograms for medical use, 50 kilograms for scientific use and 40 kilograms for other uses.</w:t>
      </w:r>
    </w:p>
    <w:p w14:paraId="4A962DD0" w14:textId="77777777" w:rsidR="003A5396" w:rsidRPr="001F4265" w:rsidRDefault="003A5396" w:rsidP="003A5396">
      <w:pPr>
        <w:pStyle w:val="BodyText"/>
      </w:pPr>
      <w:r w:rsidRPr="001F4265">
        <w:t>Extremely small amounts of C</w:t>
      </w:r>
      <w:r w:rsidRPr="001F4265">
        <w:rPr>
          <w:vertAlign w:val="subscript"/>
        </w:rPr>
        <w:t>2</w:t>
      </w:r>
      <w:r w:rsidRPr="001F4265">
        <w:t>F</w:t>
      </w:r>
      <w:r w:rsidRPr="001F4265">
        <w:rPr>
          <w:vertAlign w:val="subscript"/>
        </w:rPr>
        <w:t>6</w:t>
      </w:r>
      <w:r w:rsidRPr="001F4265">
        <w:t xml:space="preserve"> and C</w:t>
      </w:r>
      <w:r w:rsidRPr="001F4265">
        <w:rPr>
          <w:vertAlign w:val="subscript"/>
        </w:rPr>
        <w:t>3</w:t>
      </w:r>
      <w:r w:rsidRPr="001F4265">
        <w:t>F</w:t>
      </w:r>
      <w:r w:rsidRPr="001F4265">
        <w:rPr>
          <w:vertAlign w:val="subscript"/>
        </w:rPr>
        <w:t>8</w:t>
      </w:r>
      <w:r w:rsidRPr="001F4265">
        <w:t xml:space="preserve"> have been imported into New Zealand from 2011, for use in a specialised type of eye surgery. The importer provided information on the amount imported: between 0.1 kilograms and 0.3 kilograms per year. Enquiries to importers and the tyre industry have indicated that there is no use of SF</w:t>
      </w:r>
      <w:r w:rsidRPr="001F4265">
        <w:rPr>
          <w:vertAlign w:val="subscript"/>
        </w:rPr>
        <w:t>6</w:t>
      </w:r>
      <w:r w:rsidRPr="001F4265">
        <w:t xml:space="preserve"> in New Zealand for other applications such as double-glazed windows, tyres and shoes.</w:t>
      </w:r>
    </w:p>
    <w:p w14:paraId="7E685AE0" w14:textId="77777777" w:rsidR="003A5396" w:rsidRPr="001F4265" w:rsidRDefault="003A5396" w:rsidP="003A5396">
      <w:pPr>
        <w:pStyle w:val="Heading5"/>
      </w:pPr>
      <w:bookmarkStart w:id="547" w:name="nitrous-oxide-from-product-uses-2.g.3"/>
      <w:bookmarkEnd w:id="546"/>
      <w:r w:rsidRPr="001F4265">
        <w:t>Nitrous oxide from product uses (2.G.3)</w:t>
      </w:r>
    </w:p>
    <w:p w14:paraId="04734D2C" w14:textId="77777777" w:rsidR="003A5396" w:rsidRPr="001F4265" w:rsidRDefault="003A5396" w:rsidP="003A5396">
      <w:pPr>
        <w:pStyle w:val="BodyText"/>
      </w:pPr>
      <w:r w:rsidRPr="001F4265">
        <w:t>Data on the import quantities of N</w:t>
      </w:r>
      <w:r w:rsidRPr="001F4265">
        <w:rPr>
          <w:vertAlign w:val="subscript"/>
        </w:rPr>
        <w:t>2</w:t>
      </w:r>
      <w:r w:rsidRPr="001F4265">
        <w:t>O were available from the New Zealand Customs Service and Stats NZ from 2005, but some of these are considered unreliable due to classification errors by importers. Survey responses from companies that sell N</w:t>
      </w:r>
      <w:r w:rsidRPr="001F4265">
        <w:rPr>
          <w:vertAlign w:val="subscript"/>
        </w:rPr>
        <w:t>2</w:t>
      </w:r>
      <w:r w:rsidRPr="001F4265">
        <w:t>O and from import data have been assessed together to estimate the total imports, which vary between 181 tonnes and 205 tonnes per year (CRL Energy, unpublished(b)).</w:t>
      </w:r>
    </w:p>
    <w:p w14:paraId="566445F5" w14:textId="77777777" w:rsidR="003A5396" w:rsidRPr="001F4265" w:rsidRDefault="003A5396" w:rsidP="003A5396">
      <w:pPr>
        <w:pStyle w:val="Heading4"/>
      </w:pPr>
      <w:bookmarkStart w:id="548" w:name="choice-of-methods-5"/>
      <w:bookmarkEnd w:id="544"/>
      <w:bookmarkEnd w:id="547"/>
      <w:r w:rsidRPr="001F4265">
        <w:t>Choice of methods</w:t>
      </w:r>
    </w:p>
    <w:p w14:paraId="5FDCB1F3" w14:textId="77777777" w:rsidR="003A5396" w:rsidRPr="001F4265" w:rsidRDefault="003A5396" w:rsidP="003A5396">
      <w:pPr>
        <w:pStyle w:val="Heading5"/>
        <w:spacing w:before="180"/>
      </w:pPr>
      <w:bookmarkStart w:id="549" w:name="electrical-equipment-2.g.1-1"/>
      <w:r w:rsidRPr="001F4265">
        <w:t>Electrical equipment (2.G.1)</w:t>
      </w:r>
    </w:p>
    <w:p w14:paraId="30A3B156" w14:textId="77777777" w:rsidR="003A5396" w:rsidRPr="001F4265" w:rsidRDefault="003A5396" w:rsidP="003A5396">
      <w:pPr>
        <w:pStyle w:val="BodyText"/>
      </w:pPr>
      <w:r w:rsidRPr="001F4265">
        <w:t>The national grid company, Transpower, and several of the larger electricity generation companies have supplied stocks and usage data that are detailed enough to allow the use of a Tier 3 approach for the years 2003 to 2019. This uses a mass balance calculation for closed pressure equipment and an emission factor calculation for sealed pressure equipment.</w:t>
      </w:r>
    </w:p>
    <w:p w14:paraId="12D705F7" w14:textId="77777777" w:rsidR="003A5396" w:rsidRPr="001F4265" w:rsidRDefault="003A5396" w:rsidP="003A5396">
      <w:pPr>
        <w:pStyle w:val="BodyText"/>
      </w:pPr>
      <w:r w:rsidRPr="001F4265">
        <w:t>For all data prior to 2003, and for the other distribution companies that do not have ETS reporting obligations and have not provided detailed data, a Tier 1 approach is used.</w:t>
      </w:r>
    </w:p>
    <w:p w14:paraId="5E0C806A" w14:textId="77777777" w:rsidR="003A5396" w:rsidRPr="001F4265" w:rsidRDefault="003A5396" w:rsidP="003A5396">
      <w:pPr>
        <w:pStyle w:val="BodyText"/>
      </w:pPr>
      <w:r w:rsidRPr="001F4265">
        <w:t>Both approaches account for emissions from the operation and disposal of equipment.</w:t>
      </w:r>
    </w:p>
    <w:p w14:paraId="20A73861" w14:textId="77777777" w:rsidR="003A5396" w:rsidRPr="001F4265" w:rsidRDefault="003A5396" w:rsidP="003A5396">
      <w:pPr>
        <w:pStyle w:val="Heading5"/>
      </w:pPr>
      <w:bookmarkStart w:id="550" w:name="other"/>
      <w:bookmarkEnd w:id="549"/>
      <w:r w:rsidRPr="001F4265">
        <w:t>Other</w:t>
      </w:r>
    </w:p>
    <w:p w14:paraId="4A2A9ADC" w14:textId="77777777" w:rsidR="003A5396" w:rsidRPr="001F4265" w:rsidRDefault="003A5396" w:rsidP="003A5396">
      <w:pPr>
        <w:pStyle w:val="BodyText"/>
      </w:pPr>
      <w:r w:rsidRPr="001F4265">
        <w:t>Because the quantities are small and the emissions are all considered to be prompt, Tier 1 methods are used for all other emissions in this category. All SF</w:t>
      </w:r>
      <w:r w:rsidRPr="001F4265">
        <w:rPr>
          <w:vertAlign w:val="subscript"/>
        </w:rPr>
        <w:t>6</w:t>
      </w:r>
      <w:r w:rsidRPr="001F4265">
        <w:t xml:space="preserve"> or N</w:t>
      </w:r>
      <w:r w:rsidRPr="001F4265">
        <w:rPr>
          <w:vertAlign w:val="subscript"/>
        </w:rPr>
        <w:t>2</w:t>
      </w:r>
      <w:r w:rsidRPr="001F4265">
        <w:t>O that is imported is assumed to be sold and emitted.</w:t>
      </w:r>
    </w:p>
    <w:p w14:paraId="5F83B78C" w14:textId="77777777" w:rsidR="003A5396" w:rsidRPr="001F4265" w:rsidRDefault="003A5396" w:rsidP="003A5396">
      <w:pPr>
        <w:pStyle w:val="Heading4"/>
      </w:pPr>
      <w:bookmarkStart w:id="551" w:name="choice-of-emission-factors-4"/>
      <w:bookmarkEnd w:id="548"/>
      <w:bookmarkEnd w:id="550"/>
      <w:r w:rsidRPr="001F4265">
        <w:t>Choice of emission factors</w:t>
      </w:r>
    </w:p>
    <w:p w14:paraId="5B255697" w14:textId="77777777" w:rsidR="003A5396" w:rsidRPr="001F4265" w:rsidRDefault="003A5396" w:rsidP="003A5396">
      <w:pPr>
        <w:pStyle w:val="Heading5"/>
        <w:spacing w:before="180"/>
      </w:pPr>
      <w:bookmarkStart w:id="552" w:name="electrical-equipment-2.g.1-2"/>
      <w:r w:rsidRPr="001F4265">
        <w:t>Electrical equipment (2.G.1)</w:t>
      </w:r>
    </w:p>
    <w:p w14:paraId="4277CBCD" w14:textId="77777777" w:rsidR="003A5396" w:rsidRPr="001F4265" w:rsidRDefault="003A5396" w:rsidP="003A5396">
      <w:pPr>
        <w:pStyle w:val="BodyText"/>
        <w:rPr>
          <w:spacing w:val="-2"/>
        </w:rPr>
      </w:pPr>
      <w:r w:rsidRPr="001F4265">
        <w:t xml:space="preserve">Default loss rates have been used, where required, for sealed pressure equipment and where a Tier 1 method has had to be used. Factors based on Europe have been used, because these are </w:t>
      </w:r>
      <w:r w:rsidRPr="001F4265">
        <w:rPr>
          <w:spacing w:val="-2"/>
        </w:rPr>
        <w:t>based on a study that distinguished between sealed and closed equipment types (IPCC, 2006b).</w:t>
      </w:r>
    </w:p>
    <w:p w14:paraId="08D2555D" w14:textId="77777777" w:rsidR="003A5396" w:rsidRPr="001F4265" w:rsidRDefault="003A5396" w:rsidP="003A5396">
      <w:pPr>
        <w:pStyle w:val="BodyText"/>
      </w:pPr>
      <w:r w:rsidRPr="001F4265">
        <w:t xml:space="preserve">Improved information from surveys has allowed the use of these two different equipment types in New Zealand to be better disaggregated over time, and the choice of emission factors </w:t>
      </w:r>
      <w:r w:rsidRPr="001F4265">
        <w:rPr>
          <w:spacing w:val="-2"/>
        </w:rPr>
        <w:t>has become progressively more accurate (Verum Group, unpublished). However, this distinction</w:t>
      </w:r>
      <w:r w:rsidRPr="001F4265">
        <w:t xml:space="preserve"> is not always clear and remains a source of uncertainty. Units that are described as sealed can sometimes be topped up with SF</w:t>
      </w:r>
      <w:r w:rsidRPr="001F4265">
        <w:rPr>
          <w:vertAlign w:val="subscript"/>
        </w:rPr>
        <w:t>6</w:t>
      </w:r>
      <w:r w:rsidRPr="001F4265">
        <w:t xml:space="preserve"> in service.</w:t>
      </w:r>
    </w:p>
    <w:p w14:paraId="082174C1" w14:textId="77777777" w:rsidR="003A5396" w:rsidRPr="001F4265" w:rsidRDefault="003A5396" w:rsidP="003A5396">
      <w:pPr>
        <w:pStyle w:val="BodyText"/>
      </w:pPr>
      <w:r w:rsidRPr="001F4265">
        <w:t xml:space="preserve">Losses on disposal are assessed as 95.0 percent if a service agent is not used, and 5.0 percent </w:t>
      </w:r>
      <w:r w:rsidRPr="001F4265">
        <w:rPr>
          <w:spacing w:val="-2"/>
        </w:rPr>
        <w:t>when service agents carry out the disposal and implement good recovery practices. No recovery</w:t>
      </w:r>
      <w:r w:rsidRPr="001F4265">
        <w:t xml:space="preserve"> of SF</w:t>
      </w:r>
      <w:r w:rsidRPr="001F4265">
        <w:rPr>
          <w:vertAlign w:val="subscript"/>
        </w:rPr>
        <w:t>6</w:t>
      </w:r>
      <w:r w:rsidRPr="001F4265">
        <w:t xml:space="preserve"> was reported before the year 2000.</w:t>
      </w:r>
    </w:p>
    <w:p w14:paraId="0688CAC9" w14:textId="77777777" w:rsidR="003A5396" w:rsidRPr="001F4265" w:rsidRDefault="003A5396" w:rsidP="003A5396">
      <w:pPr>
        <w:pStyle w:val="Heading5"/>
      </w:pPr>
      <w:bookmarkStart w:id="553" w:name="other-1"/>
      <w:bookmarkEnd w:id="552"/>
      <w:r w:rsidRPr="001F4265">
        <w:t>Other</w:t>
      </w:r>
    </w:p>
    <w:p w14:paraId="48D83D1D" w14:textId="77777777" w:rsidR="003A5396" w:rsidRPr="001F4265" w:rsidRDefault="003A5396" w:rsidP="003A5396">
      <w:pPr>
        <w:pStyle w:val="BodyText"/>
      </w:pPr>
      <w:r w:rsidRPr="001F4265">
        <w:t>Emissions of SF</w:t>
      </w:r>
      <w:r w:rsidRPr="001F4265">
        <w:rPr>
          <w:vertAlign w:val="subscript"/>
        </w:rPr>
        <w:t>6</w:t>
      </w:r>
      <w:r w:rsidRPr="001F4265">
        <w:t xml:space="preserve"> and other gases for all other applications are assumed to be prompt, and an emission factor of either 50.0 percent or 100.0 percent is used, as appropriate.</w:t>
      </w:r>
    </w:p>
    <w:bookmarkEnd w:id="551"/>
    <w:bookmarkEnd w:id="553"/>
    <w:p w14:paraId="2AAD4EF0" w14:textId="77777777" w:rsidR="003A5396" w:rsidRPr="001F4265" w:rsidRDefault="003A5396" w:rsidP="003A5396">
      <w:pPr>
        <w:pStyle w:val="Heading3"/>
      </w:pPr>
      <w:r w:rsidRPr="001F4265">
        <w:t xml:space="preserve">4.8.3 </w:t>
      </w:r>
      <w:r w:rsidRPr="001F4265">
        <w:tab/>
        <w:t>Uncertainty assessment and time-series consistency</w:t>
      </w:r>
    </w:p>
    <w:p w14:paraId="55BA1904" w14:textId="77777777" w:rsidR="003A5396" w:rsidRPr="001F4265" w:rsidRDefault="003A5396" w:rsidP="003A5396">
      <w:pPr>
        <w:pStyle w:val="Heading4"/>
      </w:pPr>
      <w:bookmarkStart w:id="554" w:name="uncertainties-6"/>
      <w:r w:rsidRPr="001F4265">
        <w:t>Uncertainties</w:t>
      </w:r>
    </w:p>
    <w:p w14:paraId="5F5E8166" w14:textId="77777777" w:rsidR="003A5396" w:rsidRPr="001F4265" w:rsidRDefault="003A5396" w:rsidP="003A5396">
      <w:pPr>
        <w:pStyle w:val="BodyText"/>
      </w:pPr>
      <w:r w:rsidRPr="001F4265">
        <w:t>A mix of expert judgement and IPCC default uncertainties has been used for emissions in this category (see table 4.8.1). The IPCC (2006b) recommends the use of expert judgement for sources such as N</w:t>
      </w:r>
      <w:r w:rsidRPr="001F4265">
        <w:rPr>
          <w:vertAlign w:val="subscript"/>
        </w:rPr>
        <w:t>2</w:t>
      </w:r>
      <w:r w:rsidRPr="001F4265">
        <w:t xml:space="preserve">O from product uses, because the uncertainties vary from country to country. For categories other than </w:t>
      </w:r>
      <w:r w:rsidRPr="001F4265">
        <w:rPr>
          <w:i/>
          <w:iCs/>
        </w:rPr>
        <w:t>Electrical equipment</w:t>
      </w:r>
      <w:r w:rsidRPr="001F4265">
        <w:t>, there is no uncertainty in emission factors because emissions are immediate.</w:t>
      </w:r>
    </w:p>
    <w:p w14:paraId="479702D1" w14:textId="77777777" w:rsidR="003A5396" w:rsidRPr="001F4265" w:rsidRDefault="003A5396" w:rsidP="003A5396">
      <w:pPr>
        <w:pStyle w:val="Table"/>
      </w:pPr>
      <w:bookmarkStart w:id="555" w:name="_Toc226668985"/>
      <w:r w:rsidRPr="001F4265">
        <w:t xml:space="preserve">Table 4.8.1 </w:t>
      </w:r>
      <w:r w:rsidRPr="001F4265">
        <w:tab/>
        <w:t xml:space="preserve">Uncertainty in emissions from </w:t>
      </w:r>
      <w:r w:rsidRPr="001F4265">
        <w:rPr>
          <w:i/>
          <w:iCs/>
        </w:rPr>
        <w:t>Other product manufacture and use</w:t>
      </w:r>
      <w:bookmarkEnd w:id="555"/>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064"/>
        <w:gridCol w:w="2564"/>
        <w:gridCol w:w="2866"/>
      </w:tblGrid>
      <w:tr w:rsidR="003A5396" w:rsidRPr="001F4265" w14:paraId="3D312B0C" w14:textId="77777777" w:rsidTr="00F16E23">
        <w:trPr>
          <w:tblHeader/>
        </w:trPr>
        <w:tc>
          <w:tcPr>
            <w:tcW w:w="0" w:type="auto"/>
            <w:shd w:val="clear" w:color="auto" w:fill="1B556B"/>
            <w:tcMar>
              <w:top w:w="0" w:type="dxa"/>
              <w:left w:w="85" w:type="dxa"/>
              <w:bottom w:w="0" w:type="dxa"/>
              <w:right w:w="85" w:type="dxa"/>
            </w:tcMar>
            <w:vAlign w:val="center"/>
          </w:tcPr>
          <w:p w14:paraId="0753E0D3" w14:textId="77777777" w:rsidR="003A5396" w:rsidRPr="001F4265" w:rsidRDefault="003A5396" w:rsidP="00F16E23">
            <w:pPr>
              <w:pStyle w:val="TableTextBold"/>
              <w:spacing w:before="40" w:after="40"/>
              <w:rPr>
                <w:noProof w:val="0"/>
                <w:color w:val="FFFFFF" w:themeColor="background1"/>
              </w:rPr>
            </w:pPr>
            <w:r w:rsidRPr="001F4265">
              <w:rPr>
                <w:rFonts w:eastAsia="Calibri"/>
                <w:noProof w:val="0"/>
                <w:color w:val="FFFFFF" w:themeColor="background1"/>
              </w:rPr>
              <w:t>Category</w:t>
            </w:r>
          </w:p>
        </w:tc>
        <w:tc>
          <w:tcPr>
            <w:tcW w:w="0" w:type="auto"/>
            <w:shd w:val="clear" w:color="auto" w:fill="1B556B"/>
            <w:tcMar>
              <w:top w:w="0" w:type="dxa"/>
              <w:left w:w="85" w:type="dxa"/>
              <w:bottom w:w="0" w:type="dxa"/>
              <w:right w:w="85" w:type="dxa"/>
            </w:tcMar>
            <w:vAlign w:val="center"/>
          </w:tcPr>
          <w:p w14:paraId="37E4AA69"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5A6A5AFB" w14:textId="77777777" w:rsidR="003A5396" w:rsidRPr="001F4265" w:rsidRDefault="003A5396" w:rsidP="00F16E23">
            <w:pPr>
              <w:pStyle w:val="TableTextBold"/>
              <w:spacing w:before="40" w:after="40"/>
              <w:jc w:val="right"/>
              <w:rPr>
                <w:noProof w:val="0"/>
                <w:color w:val="FFFFFF" w:themeColor="background1"/>
              </w:rPr>
            </w:pPr>
            <w:r w:rsidRPr="001F4265">
              <w:rPr>
                <w:rFonts w:eastAsia="Calibri"/>
                <w:noProof w:val="0"/>
                <w:color w:val="FFFFFF" w:themeColor="background1"/>
              </w:rPr>
              <w:t>Uncertainty in emission factors (%)</w:t>
            </w:r>
          </w:p>
        </w:tc>
      </w:tr>
      <w:tr w:rsidR="003A5396" w:rsidRPr="001F4265" w14:paraId="43AEED8F" w14:textId="77777777" w:rsidTr="00F16E23">
        <w:tc>
          <w:tcPr>
            <w:tcW w:w="0" w:type="auto"/>
            <w:shd w:val="clear" w:color="auto" w:fill="FFFFFF"/>
            <w:tcMar>
              <w:top w:w="0" w:type="dxa"/>
              <w:left w:w="85" w:type="dxa"/>
              <w:bottom w:w="0" w:type="dxa"/>
              <w:right w:w="85" w:type="dxa"/>
            </w:tcMar>
            <w:vAlign w:val="center"/>
          </w:tcPr>
          <w:p w14:paraId="224D395D" w14:textId="77777777" w:rsidR="003A5396" w:rsidRPr="001F4265" w:rsidRDefault="003A5396" w:rsidP="00F16E23">
            <w:pPr>
              <w:pStyle w:val="TableText"/>
              <w:spacing w:before="40" w:after="40"/>
            </w:pPr>
            <w:r w:rsidRPr="001F4265">
              <w:rPr>
                <w:rFonts w:eastAsia="Calibri"/>
              </w:rPr>
              <w:t>Electrical equipment</w:t>
            </w:r>
          </w:p>
        </w:tc>
        <w:tc>
          <w:tcPr>
            <w:tcW w:w="0" w:type="auto"/>
            <w:shd w:val="clear" w:color="auto" w:fill="FFFFFF"/>
            <w:tcMar>
              <w:top w:w="0" w:type="dxa"/>
              <w:left w:w="85" w:type="dxa"/>
              <w:bottom w:w="0" w:type="dxa"/>
              <w:right w:w="85" w:type="dxa"/>
            </w:tcMar>
            <w:vAlign w:val="center"/>
          </w:tcPr>
          <w:p w14:paraId="079E5BA3" w14:textId="77777777" w:rsidR="003A5396" w:rsidRPr="001F4265" w:rsidRDefault="003A5396" w:rsidP="00F16E23">
            <w:pPr>
              <w:pStyle w:val="TableText"/>
              <w:spacing w:before="40" w:after="40"/>
              <w:jc w:val="right"/>
            </w:pPr>
            <w:r w:rsidRPr="001F4265">
              <w:rPr>
                <w:rFonts w:eastAsia="Calibri"/>
              </w:rPr>
              <w:t>±20</w:t>
            </w:r>
          </w:p>
        </w:tc>
        <w:tc>
          <w:tcPr>
            <w:tcW w:w="0" w:type="auto"/>
            <w:shd w:val="clear" w:color="auto" w:fill="FFFFFF"/>
            <w:tcMar>
              <w:top w:w="0" w:type="dxa"/>
              <w:left w:w="85" w:type="dxa"/>
              <w:bottom w:w="0" w:type="dxa"/>
              <w:right w:w="85" w:type="dxa"/>
            </w:tcMar>
            <w:vAlign w:val="center"/>
          </w:tcPr>
          <w:p w14:paraId="612E2E31" w14:textId="77777777" w:rsidR="003A5396" w:rsidRPr="001F4265" w:rsidRDefault="003A5396" w:rsidP="00F16E23">
            <w:pPr>
              <w:pStyle w:val="TableText"/>
              <w:spacing w:before="40" w:after="40"/>
              <w:jc w:val="right"/>
            </w:pPr>
            <w:r w:rsidRPr="001F4265">
              <w:rPr>
                <w:rFonts w:eastAsia="Calibri"/>
              </w:rPr>
              <w:t>±30</w:t>
            </w:r>
          </w:p>
        </w:tc>
      </w:tr>
      <w:tr w:rsidR="003A5396" w:rsidRPr="001F4265" w14:paraId="7374DDBC" w14:textId="77777777" w:rsidTr="00F16E23">
        <w:tc>
          <w:tcPr>
            <w:tcW w:w="0" w:type="auto"/>
            <w:shd w:val="clear" w:color="auto" w:fill="FFFFFF"/>
            <w:tcMar>
              <w:top w:w="0" w:type="dxa"/>
              <w:left w:w="85" w:type="dxa"/>
              <w:bottom w:w="0" w:type="dxa"/>
              <w:right w:w="85" w:type="dxa"/>
            </w:tcMar>
            <w:vAlign w:val="center"/>
          </w:tcPr>
          <w:p w14:paraId="28DC6609" w14:textId="77777777" w:rsidR="003A5396" w:rsidRPr="001F4265" w:rsidRDefault="003A5396" w:rsidP="00F16E23">
            <w:pPr>
              <w:pStyle w:val="TableText"/>
              <w:spacing w:before="40" w:after="40"/>
            </w:pPr>
            <w:r w:rsidRPr="001F4265">
              <w:rPr>
                <w:rFonts w:eastAsia="Calibri"/>
              </w:rPr>
              <w:t>Medical and other product use (SF6)</w:t>
            </w:r>
          </w:p>
        </w:tc>
        <w:tc>
          <w:tcPr>
            <w:tcW w:w="0" w:type="auto"/>
            <w:shd w:val="clear" w:color="auto" w:fill="FFFFFF"/>
            <w:tcMar>
              <w:top w:w="0" w:type="dxa"/>
              <w:left w:w="85" w:type="dxa"/>
              <w:bottom w:w="0" w:type="dxa"/>
              <w:right w:w="85" w:type="dxa"/>
            </w:tcMar>
            <w:vAlign w:val="center"/>
          </w:tcPr>
          <w:p w14:paraId="2A432E01" w14:textId="77777777" w:rsidR="003A5396" w:rsidRPr="001F4265" w:rsidRDefault="003A5396" w:rsidP="00F16E23">
            <w:pPr>
              <w:pStyle w:val="TableText"/>
              <w:spacing w:before="40" w:after="40"/>
              <w:jc w:val="right"/>
            </w:pPr>
            <w:r w:rsidRPr="001F4265">
              <w:rPr>
                <w:rFonts w:eastAsia="Calibri"/>
              </w:rPr>
              <w:t>±80</w:t>
            </w:r>
          </w:p>
        </w:tc>
        <w:tc>
          <w:tcPr>
            <w:tcW w:w="0" w:type="auto"/>
            <w:shd w:val="clear" w:color="auto" w:fill="FFFFFF"/>
            <w:tcMar>
              <w:top w:w="0" w:type="dxa"/>
              <w:left w:w="85" w:type="dxa"/>
              <w:bottom w:w="0" w:type="dxa"/>
              <w:right w:w="85" w:type="dxa"/>
            </w:tcMar>
            <w:vAlign w:val="center"/>
          </w:tcPr>
          <w:p w14:paraId="6E48A1D2" w14:textId="77777777" w:rsidR="003A5396" w:rsidRPr="001F4265" w:rsidRDefault="003A5396" w:rsidP="00F16E23">
            <w:pPr>
              <w:pStyle w:val="TableText"/>
              <w:spacing w:before="40" w:after="40"/>
              <w:jc w:val="right"/>
            </w:pPr>
            <w:r w:rsidRPr="001F4265">
              <w:rPr>
                <w:rFonts w:eastAsia="Calibri"/>
              </w:rPr>
              <w:t>–</w:t>
            </w:r>
          </w:p>
        </w:tc>
      </w:tr>
      <w:tr w:rsidR="003A5396" w:rsidRPr="001F4265" w14:paraId="700AC6E3" w14:textId="77777777" w:rsidTr="00F16E23">
        <w:tc>
          <w:tcPr>
            <w:tcW w:w="0" w:type="auto"/>
            <w:shd w:val="clear" w:color="auto" w:fill="FFFFFF"/>
            <w:tcMar>
              <w:top w:w="0" w:type="dxa"/>
              <w:left w:w="85" w:type="dxa"/>
              <w:bottom w:w="0" w:type="dxa"/>
              <w:right w:w="85" w:type="dxa"/>
            </w:tcMar>
            <w:vAlign w:val="center"/>
          </w:tcPr>
          <w:p w14:paraId="656B7D97" w14:textId="77777777" w:rsidR="003A5396" w:rsidRPr="001F4265" w:rsidRDefault="003A5396" w:rsidP="00F16E23">
            <w:pPr>
              <w:pStyle w:val="TableText"/>
              <w:spacing w:before="40" w:after="40"/>
            </w:pPr>
            <w:r w:rsidRPr="001F4265">
              <w:rPr>
                <w:rFonts w:eastAsia="Calibri"/>
              </w:rPr>
              <w:t>Medical and other product use (PFCs)</w:t>
            </w:r>
          </w:p>
        </w:tc>
        <w:tc>
          <w:tcPr>
            <w:tcW w:w="0" w:type="auto"/>
            <w:shd w:val="clear" w:color="auto" w:fill="FFFFFF"/>
            <w:tcMar>
              <w:top w:w="0" w:type="dxa"/>
              <w:left w:w="85" w:type="dxa"/>
              <w:bottom w:w="0" w:type="dxa"/>
              <w:right w:w="85" w:type="dxa"/>
            </w:tcMar>
            <w:vAlign w:val="center"/>
          </w:tcPr>
          <w:p w14:paraId="67BDF347" w14:textId="77777777" w:rsidR="003A5396" w:rsidRPr="001F4265" w:rsidRDefault="003A5396" w:rsidP="00F16E23">
            <w:pPr>
              <w:pStyle w:val="TableText"/>
              <w:spacing w:before="40" w:after="40"/>
              <w:jc w:val="right"/>
            </w:pPr>
            <w:r w:rsidRPr="001F4265">
              <w:rPr>
                <w:rFonts w:eastAsia="Calibri"/>
              </w:rPr>
              <w:t>±80</w:t>
            </w:r>
          </w:p>
        </w:tc>
        <w:tc>
          <w:tcPr>
            <w:tcW w:w="0" w:type="auto"/>
            <w:shd w:val="clear" w:color="auto" w:fill="FFFFFF"/>
            <w:tcMar>
              <w:top w:w="0" w:type="dxa"/>
              <w:left w:w="85" w:type="dxa"/>
              <w:bottom w:w="0" w:type="dxa"/>
              <w:right w:w="85" w:type="dxa"/>
            </w:tcMar>
            <w:vAlign w:val="center"/>
          </w:tcPr>
          <w:p w14:paraId="7D2ADA6F" w14:textId="77777777" w:rsidR="003A5396" w:rsidRPr="001F4265" w:rsidRDefault="003A5396" w:rsidP="00F16E23">
            <w:pPr>
              <w:pStyle w:val="TableText"/>
              <w:spacing w:before="40" w:after="40"/>
              <w:jc w:val="right"/>
            </w:pPr>
            <w:r w:rsidRPr="001F4265">
              <w:rPr>
                <w:rFonts w:eastAsia="Calibri"/>
              </w:rPr>
              <w:t>–</w:t>
            </w:r>
          </w:p>
        </w:tc>
      </w:tr>
      <w:tr w:rsidR="003A5396" w:rsidRPr="001F4265" w14:paraId="2C47BEDA" w14:textId="77777777" w:rsidTr="00F16E23">
        <w:tc>
          <w:tcPr>
            <w:tcW w:w="0" w:type="auto"/>
            <w:shd w:val="clear" w:color="auto" w:fill="FFFFFF"/>
            <w:tcMar>
              <w:top w:w="0" w:type="dxa"/>
              <w:left w:w="85" w:type="dxa"/>
              <w:bottom w:w="0" w:type="dxa"/>
              <w:right w:w="85" w:type="dxa"/>
            </w:tcMar>
            <w:vAlign w:val="center"/>
          </w:tcPr>
          <w:p w14:paraId="687CE853" w14:textId="77777777" w:rsidR="003A5396" w:rsidRPr="001F4265" w:rsidRDefault="003A5396" w:rsidP="00F16E23">
            <w:pPr>
              <w:pStyle w:val="TableText"/>
              <w:spacing w:before="40" w:after="40"/>
            </w:pPr>
            <w:r w:rsidRPr="001F4265">
              <w:rPr>
                <w:rFonts w:eastAsia="Calibri"/>
              </w:rPr>
              <w:t>Nitrous oxide from other product uses</w:t>
            </w:r>
          </w:p>
        </w:tc>
        <w:tc>
          <w:tcPr>
            <w:tcW w:w="0" w:type="auto"/>
            <w:shd w:val="clear" w:color="auto" w:fill="FFFFFF"/>
            <w:tcMar>
              <w:top w:w="0" w:type="dxa"/>
              <w:left w:w="85" w:type="dxa"/>
              <w:bottom w:w="0" w:type="dxa"/>
              <w:right w:w="85" w:type="dxa"/>
            </w:tcMar>
            <w:vAlign w:val="center"/>
          </w:tcPr>
          <w:p w14:paraId="1AE9ADB8" w14:textId="77777777" w:rsidR="003A5396" w:rsidRPr="001F4265" w:rsidRDefault="003A5396" w:rsidP="00F16E23">
            <w:pPr>
              <w:pStyle w:val="TableText"/>
              <w:spacing w:before="40" w:after="40"/>
              <w:jc w:val="right"/>
            </w:pPr>
            <w:r w:rsidRPr="001F4265">
              <w:rPr>
                <w:rFonts w:eastAsia="Calibri"/>
              </w:rPr>
              <w:t>±15</w:t>
            </w:r>
          </w:p>
        </w:tc>
        <w:tc>
          <w:tcPr>
            <w:tcW w:w="0" w:type="auto"/>
            <w:shd w:val="clear" w:color="auto" w:fill="FFFFFF"/>
            <w:tcMar>
              <w:top w:w="0" w:type="dxa"/>
              <w:left w:w="85" w:type="dxa"/>
              <w:bottom w:w="0" w:type="dxa"/>
              <w:right w:w="85" w:type="dxa"/>
            </w:tcMar>
            <w:vAlign w:val="center"/>
          </w:tcPr>
          <w:p w14:paraId="11BA1F19" w14:textId="77777777" w:rsidR="003A5396" w:rsidRPr="001F4265" w:rsidRDefault="003A5396" w:rsidP="00F16E23">
            <w:pPr>
              <w:pStyle w:val="TableText"/>
              <w:spacing w:before="40" w:after="40"/>
              <w:jc w:val="right"/>
            </w:pPr>
            <w:r w:rsidRPr="001F4265">
              <w:rPr>
                <w:rFonts w:eastAsia="Calibri"/>
              </w:rPr>
              <w:t>–</w:t>
            </w:r>
          </w:p>
        </w:tc>
      </w:tr>
    </w:tbl>
    <w:p w14:paraId="57717095" w14:textId="77777777" w:rsidR="003A5396" w:rsidRPr="001F4265" w:rsidRDefault="003A5396" w:rsidP="003A5396">
      <w:pPr>
        <w:pStyle w:val="Heading4"/>
        <w:spacing w:before="400"/>
      </w:pPr>
      <w:bookmarkStart w:id="556" w:name="time-series-consistency-5"/>
      <w:bookmarkEnd w:id="554"/>
      <w:r w:rsidRPr="001F4265">
        <w:t>Time-series consistency</w:t>
      </w:r>
    </w:p>
    <w:p w14:paraId="35F8F798" w14:textId="77777777" w:rsidR="003A5396" w:rsidRPr="001F4265" w:rsidRDefault="003A5396" w:rsidP="003A5396">
      <w:pPr>
        <w:pStyle w:val="BodyText"/>
      </w:pPr>
      <w:r w:rsidRPr="001F4265">
        <w:t xml:space="preserve">The implied emission factors for the </w:t>
      </w:r>
      <w:r w:rsidRPr="001F4265">
        <w:rPr>
          <w:i/>
          <w:iCs/>
        </w:rPr>
        <w:t>Electrical equipment</w:t>
      </w:r>
      <w:r w:rsidRPr="001F4265">
        <w:t xml:space="preserve"> category have declined, due to improvements both in data quality and in the actual management of SF</w:t>
      </w:r>
      <w:r w:rsidRPr="001F4265">
        <w:rPr>
          <w:vertAlign w:val="subscript"/>
        </w:rPr>
        <w:t>6</w:t>
      </w:r>
      <w:r w:rsidRPr="001F4265">
        <w:t xml:space="preserve"> utilisation and recovery by Transpower and other users over time. Recovery did not occur before 2000. Imports of SF</w:t>
      </w:r>
      <w:r w:rsidRPr="001F4265">
        <w:rPr>
          <w:vertAlign w:val="subscript"/>
        </w:rPr>
        <w:t>6</w:t>
      </w:r>
      <w:r w:rsidRPr="001F4265">
        <w:t xml:space="preserve"> and N</w:t>
      </w:r>
      <w:r w:rsidRPr="001F4265">
        <w:rPr>
          <w:vertAlign w:val="subscript"/>
        </w:rPr>
        <w:t>2</w:t>
      </w:r>
      <w:r w:rsidRPr="001F4265">
        <w:t>O for other purposes have varied over time.</w:t>
      </w:r>
    </w:p>
    <w:bookmarkEnd w:id="556"/>
    <w:p w14:paraId="2B3F588A" w14:textId="77777777" w:rsidR="003A5396" w:rsidRPr="001F4265" w:rsidRDefault="003A5396" w:rsidP="003A5396">
      <w:pPr>
        <w:pStyle w:val="Heading3"/>
      </w:pPr>
      <w:r w:rsidRPr="001F4265">
        <w:t xml:space="preserve">4.8.4 </w:t>
      </w:r>
      <w:r w:rsidRPr="001F4265">
        <w:tab/>
        <w:t>Category-specific QA/QC and verification</w:t>
      </w:r>
    </w:p>
    <w:p w14:paraId="38346333" w14:textId="77777777" w:rsidR="003A5396" w:rsidRPr="001F4265" w:rsidRDefault="003A5396" w:rsidP="003A5396">
      <w:pPr>
        <w:pStyle w:val="BodyText"/>
      </w:pPr>
      <w:r w:rsidRPr="001F4265">
        <w:t xml:space="preserve">No key categories were identified in the </w:t>
      </w:r>
      <w:r w:rsidRPr="001F4265">
        <w:rPr>
          <w:i/>
          <w:iCs/>
        </w:rPr>
        <w:t>Other product manufacture and use</w:t>
      </w:r>
      <w:r w:rsidRPr="001F4265">
        <w:t xml:space="preserve"> category.</w:t>
      </w:r>
    </w:p>
    <w:p w14:paraId="4CCE76CA" w14:textId="77777777" w:rsidR="003A5396" w:rsidRPr="001F4265" w:rsidRDefault="003A5396" w:rsidP="003A5396">
      <w:pPr>
        <w:pStyle w:val="Heading3"/>
      </w:pPr>
      <w:r w:rsidRPr="001F4265">
        <w:t xml:space="preserve">4.8.5 </w:t>
      </w:r>
      <w:r w:rsidRPr="001F4265">
        <w:tab/>
        <w:t>Category-specific recalculations</w:t>
      </w:r>
    </w:p>
    <w:p w14:paraId="27B0065D" w14:textId="77777777" w:rsidR="003A5396" w:rsidRPr="001F4265" w:rsidRDefault="003A5396" w:rsidP="003A5396">
      <w:pPr>
        <w:pStyle w:val="BodyText"/>
        <w:spacing w:before="100" w:after="100"/>
      </w:pPr>
      <w:r w:rsidRPr="001F4265">
        <w:t>There were no recalculations for the 2026 submission.</w:t>
      </w:r>
    </w:p>
    <w:p w14:paraId="26F0F59A" w14:textId="77777777" w:rsidR="003A5396" w:rsidRPr="001F4265" w:rsidRDefault="003A5396" w:rsidP="003A5396">
      <w:pPr>
        <w:pStyle w:val="Heading3"/>
      </w:pPr>
      <w:r w:rsidRPr="001F4265">
        <w:t xml:space="preserve">4.8.6 </w:t>
      </w:r>
      <w:r w:rsidRPr="001F4265">
        <w:tab/>
        <w:t>Category-specific planned improvements</w:t>
      </w:r>
    </w:p>
    <w:p w14:paraId="050AEA4B" w14:textId="77777777" w:rsidR="003A5396" w:rsidRPr="001F4265" w:rsidRDefault="003A5396" w:rsidP="003A5396">
      <w:pPr>
        <w:pStyle w:val="BodyText"/>
        <w:spacing w:before="100" w:after="100"/>
      </w:pPr>
      <w:r w:rsidRPr="001F4265">
        <w:t xml:space="preserve">For the </w:t>
      </w:r>
      <w:r w:rsidRPr="001F4265">
        <w:rPr>
          <w:i/>
          <w:iCs/>
        </w:rPr>
        <w:t>Electrical equipment</w:t>
      </w:r>
      <w:r w:rsidRPr="001F4265">
        <w:t xml:space="preserve"> category, it is expected that further improved activity data and more detailed reporting on stocks of SF</w:t>
      </w:r>
      <w:r w:rsidRPr="001F4265">
        <w:rPr>
          <w:vertAlign w:val="subscript"/>
        </w:rPr>
        <w:t>6</w:t>
      </w:r>
      <w:r w:rsidRPr="001F4265">
        <w:t xml:space="preserve"> will become available over time from NZ ETS reporting and from surveys, as SF</w:t>
      </w:r>
      <w:r w:rsidRPr="001F4265">
        <w:rPr>
          <w:vertAlign w:val="subscript"/>
        </w:rPr>
        <w:t>6</w:t>
      </w:r>
      <w:r w:rsidRPr="001F4265">
        <w:t xml:space="preserve"> handling practices in the industry improve. Better information may enable the consistent use of Tier 2 or Tier 3 methods for this category in future submissions.</w:t>
      </w:r>
    </w:p>
    <w:p w14:paraId="0ECAEE74" w14:textId="77777777" w:rsidR="003A5396" w:rsidRPr="001F4265" w:rsidRDefault="003A5396" w:rsidP="003A5396">
      <w:pPr>
        <w:pStyle w:val="Heading2"/>
      </w:pPr>
      <w:bookmarkStart w:id="557" w:name="_Toc226460766"/>
      <w:bookmarkStart w:id="558" w:name="other-2.h"/>
      <w:bookmarkEnd w:id="543"/>
      <w:r w:rsidRPr="001F4265">
        <w:t xml:space="preserve">4.9 </w:t>
      </w:r>
      <w:r w:rsidRPr="001F4265">
        <w:tab/>
        <w:t>Other (2.H)</w:t>
      </w:r>
      <w:bookmarkEnd w:id="557"/>
    </w:p>
    <w:p w14:paraId="1A2A9C41" w14:textId="77777777" w:rsidR="003A5396" w:rsidRPr="001F4265" w:rsidRDefault="003A5396" w:rsidP="003A5396">
      <w:pPr>
        <w:pStyle w:val="Heading3"/>
        <w:spacing w:before="240"/>
      </w:pPr>
      <w:r w:rsidRPr="001F4265">
        <w:t xml:space="preserve">4.9.1 </w:t>
      </w:r>
      <w:r w:rsidRPr="001F4265">
        <w:tab/>
        <w:t>Description</w:t>
      </w:r>
    </w:p>
    <w:p w14:paraId="6FB9215B" w14:textId="77777777" w:rsidR="003A5396" w:rsidRPr="001F4265" w:rsidRDefault="003A5396" w:rsidP="003A5396">
      <w:pPr>
        <w:pStyle w:val="BodyText"/>
        <w:spacing w:after="100"/>
      </w:pPr>
      <w:r w:rsidRPr="001F4265">
        <w:t>This is a new category for New Zealand.</w:t>
      </w:r>
    </w:p>
    <w:p w14:paraId="2C41A5A8" w14:textId="77777777" w:rsidR="003A5396" w:rsidRPr="001F4265" w:rsidRDefault="003A5396" w:rsidP="003A5396">
      <w:pPr>
        <w:pStyle w:val="BodyText"/>
        <w:spacing w:after="100"/>
      </w:pPr>
      <w:r w:rsidRPr="001F4265">
        <w:t xml:space="preserve">The </w:t>
      </w:r>
      <w:r w:rsidRPr="001F4265">
        <w:rPr>
          <w:i/>
          <w:iCs/>
        </w:rPr>
        <w:t>Other</w:t>
      </w:r>
      <w:r w:rsidRPr="001F4265">
        <w:t xml:space="preserve"> category in New Zealand comprises emissions from:</w:t>
      </w:r>
    </w:p>
    <w:p w14:paraId="6D7CF2C6" w14:textId="77777777" w:rsidR="003A5396" w:rsidRPr="001F4265" w:rsidRDefault="003A5396" w:rsidP="003A5396">
      <w:pPr>
        <w:pStyle w:val="Bullet"/>
        <w:spacing w:after="100"/>
      </w:pPr>
      <w:r w:rsidRPr="001F4265">
        <w:t>pulp and paper production</w:t>
      </w:r>
    </w:p>
    <w:p w14:paraId="6D7A807A" w14:textId="77777777" w:rsidR="003A5396" w:rsidRPr="001F4265" w:rsidRDefault="003A5396" w:rsidP="003A5396">
      <w:pPr>
        <w:pStyle w:val="Bullet"/>
        <w:spacing w:after="100"/>
      </w:pPr>
      <w:r w:rsidRPr="001F4265">
        <w:t>food and beverage production</w:t>
      </w:r>
    </w:p>
    <w:p w14:paraId="0F9FAD8D" w14:textId="77777777" w:rsidR="003A5396" w:rsidRPr="001F4265" w:rsidRDefault="003A5396" w:rsidP="003A5396">
      <w:pPr>
        <w:pStyle w:val="Bullet"/>
        <w:spacing w:after="100"/>
      </w:pPr>
      <w:r w:rsidRPr="001F4265">
        <w:t>fibreboard production</w:t>
      </w:r>
    </w:p>
    <w:p w14:paraId="7BD1BCFB" w14:textId="77777777" w:rsidR="003A5396" w:rsidRPr="001F4265" w:rsidRDefault="003A5396" w:rsidP="003A5396">
      <w:pPr>
        <w:pStyle w:val="Bullet"/>
        <w:spacing w:after="100"/>
      </w:pPr>
      <w:r w:rsidRPr="001F4265">
        <w:t>particleboard production</w:t>
      </w:r>
    </w:p>
    <w:p w14:paraId="384BE351" w14:textId="77777777" w:rsidR="003A5396" w:rsidRPr="001F4265" w:rsidRDefault="003A5396" w:rsidP="003A5396">
      <w:pPr>
        <w:pStyle w:val="Bullet"/>
        <w:spacing w:after="100"/>
      </w:pPr>
      <w:r w:rsidRPr="001F4265">
        <w:t>liquid CO</w:t>
      </w:r>
      <w:r w:rsidRPr="001F4265">
        <w:rPr>
          <w:vertAlign w:val="subscript"/>
        </w:rPr>
        <w:t>2</w:t>
      </w:r>
      <w:r w:rsidRPr="001F4265">
        <w:t xml:space="preserve"> consumption.</w:t>
      </w:r>
    </w:p>
    <w:p w14:paraId="525C7743" w14:textId="77777777" w:rsidR="003A5396" w:rsidRPr="001F4265" w:rsidRDefault="003A5396" w:rsidP="003A5396">
      <w:pPr>
        <w:pStyle w:val="BodyText"/>
        <w:spacing w:after="100"/>
      </w:pPr>
      <w:r w:rsidRPr="001F4265">
        <w:t xml:space="preserve">Pulp and paper production, food and beverage production, fibreboard production and particleboard production were reported under 2.G </w:t>
      </w:r>
      <w:r w:rsidRPr="001F4265">
        <w:rPr>
          <w:i/>
          <w:iCs/>
        </w:rPr>
        <w:t>Other product manufacture and use</w:t>
      </w:r>
      <w:r w:rsidRPr="001F4265">
        <w:t xml:space="preserve"> in previous inventories and now are moved under 2.H to comply with the CRT format.</w:t>
      </w:r>
    </w:p>
    <w:p w14:paraId="40582134" w14:textId="162F032C" w:rsidR="003A5396" w:rsidRPr="001F4265" w:rsidRDefault="003A5396" w:rsidP="003A5396">
      <w:pPr>
        <w:pStyle w:val="BodyText"/>
        <w:spacing w:after="100"/>
      </w:pPr>
      <w:r w:rsidRPr="001F4265">
        <w:t>Small amounts of indirect emissions (NMVOCs and SO</w:t>
      </w:r>
      <w:r w:rsidRPr="001F4265">
        <w:rPr>
          <w:vertAlign w:val="subscript"/>
        </w:rPr>
        <w:t>2</w:t>
      </w:r>
      <w:r w:rsidRPr="001F4265">
        <w:t>) are reported from the manufacture of</w:t>
      </w:r>
      <w:r w:rsidR="00684915">
        <w:t> </w:t>
      </w:r>
      <w:r w:rsidRPr="001F4265">
        <w:t>food and drink, pulp and paper, and board products (fibreboard and particleboard).</w:t>
      </w:r>
    </w:p>
    <w:p w14:paraId="0FFE95E5" w14:textId="77777777" w:rsidR="003A5396" w:rsidRPr="001F4265" w:rsidRDefault="003A5396" w:rsidP="003A5396">
      <w:pPr>
        <w:pStyle w:val="BodyText"/>
        <w:spacing w:after="100"/>
      </w:pPr>
      <w:r w:rsidRPr="001F4265">
        <w:t>Imported liquid CO</w:t>
      </w:r>
      <w:r w:rsidRPr="001F4265">
        <w:rPr>
          <w:vertAlign w:val="subscript"/>
        </w:rPr>
        <w:t>2</w:t>
      </w:r>
      <w:r w:rsidRPr="001F4265">
        <w:t xml:space="preserve"> has now been added in the national inventory, along with domestic production of liquid CO</w:t>
      </w:r>
      <w:r w:rsidRPr="001F4265">
        <w:rPr>
          <w:vertAlign w:val="subscript"/>
        </w:rPr>
        <w:t>2</w:t>
      </w:r>
      <w:r w:rsidRPr="001F4265">
        <w:t xml:space="preserve"> that was previously included under the Energy sector category 1.A.1 </w:t>
      </w:r>
      <w:r w:rsidRPr="001F4265">
        <w:rPr>
          <w:i/>
          <w:iCs/>
        </w:rPr>
        <w:t>Energy industries</w:t>
      </w:r>
      <w:r w:rsidRPr="001F4265">
        <w:t>.</w:t>
      </w:r>
    </w:p>
    <w:p w14:paraId="34C9290A" w14:textId="77777777" w:rsidR="003A5396" w:rsidRPr="001F4265" w:rsidRDefault="003A5396" w:rsidP="003A5396">
      <w:pPr>
        <w:pStyle w:val="BodyText"/>
      </w:pPr>
      <w:r w:rsidRPr="001F4265">
        <w:t xml:space="preserve">In 2024, emissions from the 2.H </w:t>
      </w:r>
      <w:r w:rsidRPr="001F4265">
        <w:rPr>
          <w:i/>
          <w:iCs/>
        </w:rPr>
        <w:t>Other</w:t>
      </w:r>
      <w:r w:rsidRPr="001F4265">
        <w:t xml:space="preserve"> category were 30.5 kt CO</w:t>
      </w:r>
      <w:r w:rsidRPr="001F4265">
        <w:rPr>
          <w:vertAlign w:val="subscript"/>
        </w:rPr>
        <w:t>2</w:t>
      </w:r>
      <w:r w:rsidRPr="001F4265">
        <w:t>e, or 0.8 percent of emissions, from the IPPU sector. This is an increase of 18.0 kt (144.0 percent) from the emissions in 1990 and a decrease of 5.7 kt (15.8 percent) from the emissions in 2005.</w:t>
      </w:r>
    </w:p>
    <w:p w14:paraId="24383CFA" w14:textId="77777777" w:rsidR="003A5396" w:rsidRPr="001F4265" w:rsidRDefault="003A5396" w:rsidP="003A5396">
      <w:pPr>
        <w:pStyle w:val="BodyText"/>
      </w:pPr>
      <w:r w:rsidRPr="001F4265">
        <w:t>No key categories were identified in this category.</w:t>
      </w:r>
    </w:p>
    <w:p w14:paraId="1C87FC38" w14:textId="77777777" w:rsidR="003A5396" w:rsidRPr="001F4265" w:rsidRDefault="003A5396" w:rsidP="003A5396">
      <w:pPr>
        <w:pStyle w:val="Heading3"/>
      </w:pPr>
      <w:r w:rsidRPr="001F4265">
        <w:t xml:space="preserve">4.9.2 </w:t>
      </w:r>
      <w:r w:rsidRPr="001F4265">
        <w:tab/>
        <w:t>Methodological issues</w:t>
      </w:r>
    </w:p>
    <w:p w14:paraId="27E3A911" w14:textId="77777777" w:rsidR="003A5396" w:rsidRPr="001F4265" w:rsidRDefault="003A5396" w:rsidP="003A5396">
      <w:pPr>
        <w:pStyle w:val="Heading4"/>
      </w:pPr>
      <w:bookmarkStart w:id="559" w:name="choice-of-activity-data-6"/>
      <w:r w:rsidRPr="001F4265">
        <w:t>Choice of activity data</w:t>
      </w:r>
    </w:p>
    <w:p w14:paraId="63D9B7E8" w14:textId="77777777" w:rsidR="003A5396" w:rsidRPr="001F4265" w:rsidRDefault="003A5396" w:rsidP="003A5396">
      <w:pPr>
        <w:pStyle w:val="Heading5"/>
        <w:spacing w:before="180"/>
      </w:pPr>
      <w:bookmarkStart w:id="560" w:name="carbon-dioxide-consumption-2.h.3"/>
      <w:r w:rsidRPr="001F4265">
        <w:t>Carbon dioxide consumption (2.H.3)</w:t>
      </w:r>
    </w:p>
    <w:p w14:paraId="32712B1B" w14:textId="77777777" w:rsidR="003A5396" w:rsidRPr="001F4265" w:rsidRDefault="003A5396" w:rsidP="003A5396">
      <w:pPr>
        <w:pStyle w:val="BodyText"/>
      </w:pPr>
      <w:r w:rsidRPr="001F4265">
        <w:t>The activity data (tonnes of liquid CO</w:t>
      </w:r>
      <w:r w:rsidRPr="001F4265">
        <w:rPr>
          <w:vertAlign w:val="subscript"/>
        </w:rPr>
        <w:t>2</w:t>
      </w:r>
      <w:r w:rsidRPr="001F4265">
        <w:t>) are provided by MBIE. The data is the sum of imported liquid CO</w:t>
      </w:r>
      <w:r w:rsidRPr="001F4265">
        <w:rPr>
          <w:vertAlign w:val="subscript"/>
        </w:rPr>
        <w:t>2</w:t>
      </w:r>
      <w:r w:rsidRPr="001F4265">
        <w:t xml:space="preserve"> and domestic production of liquid CO</w:t>
      </w:r>
      <w:r w:rsidRPr="001F4265">
        <w:rPr>
          <w:vertAlign w:val="subscript"/>
        </w:rPr>
        <w:t>2</w:t>
      </w:r>
      <w:r w:rsidRPr="001F4265">
        <w:t xml:space="preserve">, which was previously included as an emission at the point of manufacture and reported under the Energy sector category 1.A.1 </w:t>
      </w:r>
      <w:r w:rsidRPr="001F4265">
        <w:rPr>
          <w:i/>
          <w:iCs/>
        </w:rPr>
        <w:t>Energy industries</w:t>
      </w:r>
      <w:r w:rsidRPr="001F4265">
        <w:t>.</w:t>
      </w:r>
    </w:p>
    <w:p w14:paraId="3A8F6CE5" w14:textId="77777777" w:rsidR="003A5396" w:rsidRPr="001F4265" w:rsidRDefault="003A5396" w:rsidP="003A5396">
      <w:pPr>
        <w:pStyle w:val="Heading4"/>
      </w:pPr>
      <w:bookmarkStart w:id="561" w:name="choice-of-methods-6"/>
      <w:bookmarkEnd w:id="559"/>
      <w:bookmarkEnd w:id="560"/>
      <w:r w:rsidRPr="001F4265">
        <w:t>Choice of methods</w:t>
      </w:r>
    </w:p>
    <w:p w14:paraId="2B516EF9" w14:textId="77777777" w:rsidR="003A5396" w:rsidRPr="001F4265" w:rsidRDefault="003A5396" w:rsidP="003A5396">
      <w:pPr>
        <w:pStyle w:val="Heading5"/>
        <w:spacing w:before="180"/>
      </w:pPr>
      <w:bookmarkStart w:id="562" w:name="carbon-dioxide-consumption-2.h.3-1"/>
      <w:r w:rsidRPr="001F4265">
        <w:t>Carbon dioxide consumption (2.H.3)</w:t>
      </w:r>
    </w:p>
    <w:p w14:paraId="6E1B21DE" w14:textId="77777777" w:rsidR="003A5396" w:rsidRPr="001F4265" w:rsidRDefault="003A5396" w:rsidP="003A5396">
      <w:pPr>
        <w:pStyle w:val="BodyText"/>
      </w:pPr>
      <w:r w:rsidRPr="001F4265">
        <w:t>No set method was provided by the IPCC (2006b). In this case, no calculation was needed.</w:t>
      </w:r>
    </w:p>
    <w:p w14:paraId="21EF3291" w14:textId="77777777" w:rsidR="003A5396" w:rsidRPr="001F4265" w:rsidRDefault="003A5396" w:rsidP="003A5396">
      <w:pPr>
        <w:pStyle w:val="Heading4"/>
      </w:pPr>
      <w:bookmarkStart w:id="563" w:name="choice-of-emission-factors-5"/>
      <w:bookmarkEnd w:id="561"/>
      <w:bookmarkEnd w:id="562"/>
      <w:r w:rsidRPr="001F4265">
        <w:t>Choice of emission factors</w:t>
      </w:r>
    </w:p>
    <w:p w14:paraId="7073B452" w14:textId="77777777" w:rsidR="003A5396" w:rsidRPr="001F4265" w:rsidRDefault="003A5396" w:rsidP="003A5396">
      <w:pPr>
        <w:pStyle w:val="Heading5"/>
        <w:spacing w:before="180"/>
      </w:pPr>
      <w:bookmarkStart w:id="564" w:name="carbon-dioxide-consumption-2.h.3-2"/>
      <w:r w:rsidRPr="001F4265">
        <w:t>Carbon dioxide consumption (2.H.3)</w:t>
      </w:r>
    </w:p>
    <w:p w14:paraId="21D9B137" w14:textId="77777777" w:rsidR="003A5396" w:rsidRPr="001F4265" w:rsidRDefault="003A5396" w:rsidP="003A5396">
      <w:pPr>
        <w:pStyle w:val="BodyText"/>
      </w:pPr>
      <w:r w:rsidRPr="001F4265">
        <w:t>Carbon dioxide has a default of emission factor of 1.</w:t>
      </w:r>
    </w:p>
    <w:bookmarkEnd w:id="563"/>
    <w:bookmarkEnd w:id="564"/>
    <w:p w14:paraId="37705589" w14:textId="77777777" w:rsidR="003A5396" w:rsidRPr="001F4265" w:rsidRDefault="003A5396" w:rsidP="003A5396">
      <w:pPr>
        <w:pStyle w:val="Heading3"/>
      </w:pPr>
      <w:r w:rsidRPr="001F4265">
        <w:t xml:space="preserve">4.9.3 </w:t>
      </w:r>
      <w:r w:rsidRPr="001F4265">
        <w:tab/>
        <w:t>Uncertainty assessment and time-series consistency</w:t>
      </w:r>
    </w:p>
    <w:p w14:paraId="6B8E3857" w14:textId="77777777" w:rsidR="003A5396" w:rsidRPr="001F4265" w:rsidRDefault="003A5396" w:rsidP="003A5396">
      <w:pPr>
        <w:pStyle w:val="Heading4"/>
      </w:pPr>
      <w:bookmarkStart w:id="565" w:name="X6635123360185df853d6a54f453c915df67c336"/>
      <w:r w:rsidRPr="001F4265">
        <w:t>Uncertainties and time-series consistency</w:t>
      </w:r>
    </w:p>
    <w:p w14:paraId="4A145E10" w14:textId="77777777" w:rsidR="003A5396" w:rsidRPr="001F4265" w:rsidRDefault="003A5396" w:rsidP="003A5396">
      <w:pPr>
        <w:pStyle w:val="BodyText"/>
      </w:pPr>
      <w:r w:rsidRPr="001F4265">
        <w:t>No IPCC default uncertainties were given. Imports of liquid CO</w:t>
      </w:r>
      <w:r w:rsidRPr="001F4265">
        <w:rPr>
          <w:vertAlign w:val="subscript"/>
        </w:rPr>
        <w:t>2</w:t>
      </w:r>
      <w:r w:rsidRPr="001F4265">
        <w:t xml:space="preserve"> for consumption have varied over time.</w:t>
      </w:r>
    </w:p>
    <w:bookmarkEnd w:id="565"/>
    <w:p w14:paraId="0A695A6A" w14:textId="77777777" w:rsidR="003A5396" w:rsidRPr="001F4265" w:rsidRDefault="003A5396" w:rsidP="003A5396">
      <w:pPr>
        <w:pStyle w:val="Heading3"/>
      </w:pPr>
      <w:r w:rsidRPr="001F4265">
        <w:t xml:space="preserve">4.9.4 </w:t>
      </w:r>
      <w:r w:rsidRPr="001F4265">
        <w:tab/>
        <w:t>Category-specific QA/QC and verification</w:t>
      </w:r>
    </w:p>
    <w:p w14:paraId="06BE5CBE" w14:textId="77777777" w:rsidR="003A5396" w:rsidRPr="001F4265" w:rsidRDefault="003A5396" w:rsidP="003A5396">
      <w:pPr>
        <w:pStyle w:val="BodyText"/>
      </w:pPr>
      <w:r w:rsidRPr="001F4265">
        <w:t>No key categories were identified in this category.</w:t>
      </w:r>
    </w:p>
    <w:p w14:paraId="4FF89C65" w14:textId="77777777" w:rsidR="003A5396" w:rsidRPr="001F4265" w:rsidRDefault="003A5396" w:rsidP="003A5396">
      <w:pPr>
        <w:pStyle w:val="Heading3"/>
      </w:pPr>
      <w:r w:rsidRPr="001F4265">
        <w:t xml:space="preserve">4.9.5 </w:t>
      </w:r>
      <w:r w:rsidRPr="001F4265">
        <w:tab/>
        <w:t>Category-specific recalculations</w:t>
      </w:r>
    </w:p>
    <w:p w14:paraId="0F94B173" w14:textId="77777777" w:rsidR="003A5396" w:rsidRPr="001F4265" w:rsidRDefault="003A5396" w:rsidP="003A5396">
      <w:pPr>
        <w:pStyle w:val="BodyText"/>
      </w:pPr>
      <w:r w:rsidRPr="001F4265">
        <w:t>There are no recalculations for the 2026 submission.</w:t>
      </w:r>
    </w:p>
    <w:p w14:paraId="56684BB0" w14:textId="77777777" w:rsidR="003A5396" w:rsidRPr="001F4265" w:rsidRDefault="003A5396" w:rsidP="003A5396">
      <w:pPr>
        <w:pStyle w:val="Heading3"/>
      </w:pPr>
      <w:r w:rsidRPr="001F4265">
        <w:t xml:space="preserve">4.9.6 </w:t>
      </w:r>
      <w:r w:rsidRPr="001F4265">
        <w:tab/>
        <w:t>Category-specific planned improvements</w:t>
      </w:r>
    </w:p>
    <w:p w14:paraId="18500E63" w14:textId="3B43C14F" w:rsidR="003A5396" w:rsidRPr="001F4265" w:rsidRDefault="003A5396" w:rsidP="00684915">
      <w:pPr>
        <w:pStyle w:val="BodyText"/>
      </w:pPr>
      <w:r w:rsidRPr="001F4265">
        <w:t>There were no planned improvements for this category.</w:t>
      </w:r>
      <w:r w:rsidR="00684915">
        <w:t xml:space="preserve"> </w:t>
      </w:r>
      <w:r w:rsidRPr="001F4265">
        <w:br w:type="page"/>
      </w:r>
    </w:p>
    <w:p w14:paraId="5244BAB7" w14:textId="77777777" w:rsidR="003A5396" w:rsidRPr="001F4265" w:rsidRDefault="003A5396" w:rsidP="003A5396">
      <w:pPr>
        <w:pStyle w:val="Heading2"/>
        <w:spacing w:after="360"/>
      </w:pPr>
      <w:bookmarkStart w:id="566" w:name="_Toc226460767"/>
      <w:bookmarkStart w:id="567" w:name="chapter-4-references"/>
      <w:bookmarkEnd w:id="558"/>
      <w:r w:rsidRPr="001F4265">
        <w:t>Chapter 4: References</w:t>
      </w:r>
      <w:bookmarkEnd w:id="566"/>
    </w:p>
    <w:p w14:paraId="31BBD4A6" w14:textId="77777777" w:rsidR="003A5396" w:rsidRPr="001F4265" w:rsidRDefault="003A5396" w:rsidP="003A5396">
      <w:pPr>
        <w:pStyle w:val="References"/>
      </w:pPr>
      <w:r w:rsidRPr="001F4265">
        <w:t xml:space="preserve">Christie T, Thompson B, Brathwaite B. 1999. </w:t>
      </w:r>
      <w:r w:rsidRPr="001F4265">
        <w:rPr>
          <w:i/>
          <w:iCs/>
        </w:rPr>
        <w:t>Mineral Commodity Report 20 – Clays</w:t>
      </w:r>
      <w:r w:rsidRPr="001F4265">
        <w:t>. Wellington: Institute of Geological and Nuclear Sciences.</w:t>
      </w:r>
    </w:p>
    <w:p w14:paraId="0DD9B9CD" w14:textId="77777777" w:rsidR="003A5396" w:rsidRPr="001F4265" w:rsidRDefault="003A5396" w:rsidP="003A5396">
      <w:pPr>
        <w:pStyle w:val="References"/>
      </w:pPr>
      <w:r w:rsidRPr="001F4265">
        <w:t>CRL Energy Ltd. Unpublished(a). Hennessy W, Maxwell D. Inventory of HFC, PFC and SF</w:t>
      </w:r>
      <w:r w:rsidRPr="001F4265">
        <w:rPr>
          <w:vertAlign w:val="subscript"/>
        </w:rPr>
        <w:t>6</w:t>
      </w:r>
      <w:r w:rsidRPr="001F4265">
        <w:t xml:space="preserve"> Emissions for New Zealand 2004–2005. A report by CRL Energy Ltd to the Ministry for the Environment in 2006.</w:t>
      </w:r>
    </w:p>
    <w:p w14:paraId="74B9AA9C" w14:textId="77777777" w:rsidR="003A5396" w:rsidRPr="001F4265" w:rsidRDefault="003A5396" w:rsidP="003A5396">
      <w:pPr>
        <w:pStyle w:val="References"/>
      </w:pPr>
      <w:r w:rsidRPr="001F4265">
        <w:t>CRL Energy Ltd. Unpublished(b). Hennessy W, Maxwell D. Inventory of Non-CO</w:t>
      </w:r>
      <w:r w:rsidRPr="001F4265">
        <w:rPr>
          <w:vertAlign w:val="subscript"/>
        </w:rPr>
        <w:t>2</w:t>
      </w:r>
      <w:r w:rsidRPr="001F4265">
        <w:t xml:space="preserve"> Greenhouse Gas Emissions from Industrial Sources and Solvents for New Zealand 2004–2005. A report by CRL Energy Ltd to the Ministry for the Environment in 2006.</w:t>
      </w:r>
    </w:p>
    <w:p w14:paraId="11D32B45" w14:textId="77777777" w:rsidR="003A5396" w:rsidRPr="001F4265" w:rsidRDefault="003A5396" w:rsidP="003A5396">
      <w:pPr>
        <w:pStyle w:val="References"/>
      </w:pPr>
      <w:r w:rsidRPr="001F4265">
        <w:t xml:space="preserve">International Aluminium Institute. 2006. </w:t>
      </w:r>
      <w:r w:rsidRPr="001F4265">
        <w:rPr>
          <w:i/>
          <w:iCs/>
        </w:rPr>
        <w:t>The Aluminium Sector Greenhouse Gas Protocol</w:t>
      </w:r>
      <w:r w:rsidRPr="001F4265">
        <w:t>. London: International Aluminium Institute.</w:t>
      </w:r>
    </w:p>
    <w:p w14:paraId="6D2FAEA3" w14:textId="77777777" w:rsidR="003A5396" w:rsidRPr="001F4265" w:rsidRDefault="003A5396" w:rsidP="003A5396">
      <w:pPr>
        <w:pStyle w:val="References"/>
      </w:pPr>
      <w:r w:rsidRPr="001F4265">
        <w:t xml:space="preserve">IPCC. 2006a. Eggleston HS, Buendia L, Miwa K, Ngara T, Tanabe K (eds). </w:t>
      </w:r>
      <w:r w:rsidRPr="001F4265">
        <w:rPr>
          <w:i/>
          <w:iCs/>
        </w:rPr>
        <w:t>2006 IPCC Guidelines for National Greenhouse Gas Inventories. Volume 2. Energy.</w:t>
      </w:r>
      <w:r w:rsidRPr="001F4265">
        <w:t xml:space="preserve"> IPCC National Greenhouse Gas Inventories Programme. Japan: Institute for Global Environmental Strategies for IPCC.</w:t>
      </w:r>
    </w:p>
    <w:p w14:paraId="594B825F" w14:textId="77777777" w:rsidR="003A5396" w:rsidRPr="001F4265" w:rsidRDefault="003A5396" w:rsidP="003A5396">
      <w:pPr>
        <w:pStyle w:val="References"/>
      </w:pPr>
      <w:r w:rsidRPr="001F4265">
        <w:t xml:space="preserve">IPCC. 2006b. Eggleston HS, Buendia L, Miwa K, Ngara T, Tanabe K (eds). </w:t>
      </w:r>
      <w:r w:rsidRPr="001F4265">
        <w:rPr>
          <w:i/>
          <w:iCs/>
        </w:rPr>
        <w:t>2006 IPCC Guidelines for National Greenhouse Gas Inventories. Volume 3. Industrial Processes and Product Use</w:t>
      </w:r>
      <w:r w:rsidRPr="001F4265">
        <w:t>. IPCC National Greenhouse Gas Inventories Programme. Japan: Institute for Global Environmental Strategies for IPCC.</w:t>
      </w:r>
    </w:p>
    <w:p w14:paraId="40D56ABA" w14:textId="77777777" w:rsidR="003A5396" w:rsidRPr="001F4265" w:rsidRDefault="003A5396" w:rsidP="003A5396">
      <w:pPr>
        <w:pStyle w:val="References"/>
      </w:pPr>
      <w:r w:rsidRPr="001F4265">
        <w:t xml:space="preserve">UNFCCC. 2018. FCCC/PA/CMA/2018/3/Add.2. </w:t>
      </w:r>
      <w:r w:rsidRPr="001F4265">
        <w:rPr>
          <w:i/>
          <w:iCs/>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r w:rsidRPr="001F4265">
        <w:t>.</w:t>
      </w:r>
    </w:p>
    <w:p w14:paraId="566C30D8" w14:textId="77777777" w:rsidR="003A5396" w:rsidRPr="001F4265" w:rsidRDefault="003A5396" w:rsidP="003A5396">
      <w:pPr>
        <w:pStyle w:val="References"/>
      </w:pPr>
      <w:r w:rsidRPr="001F4265">
        <w:t xml:space="preserve">Ure CR. 2000. Alternative Iron-making at BHP New Zealand Steel. In: </w:t>
      </w:r>
      <w:r w:rsidRPr="001F4265">
        <w:rPr>
          <w:i/>
          <w:iCs/>
        </w:rPr>
        <w:t>58th Electric Furnace Conference and 17th Process Technology Conference Proceedings.</w:t>
      </w:r>
      <w:r w:rsidRPr="001F4265">
        <w:t xml:space="preserve"> Orlando, FL: Iron and Steel Society. </w:t>
      </w:r>
      <w:r w:rsidRPr="001F4265">
        <w:br/>
        <w:t>12–15 November 2000. pp 535–546.</w:t>
      </w:r>
    </w:p>
    <w:p w14:paraId="0F9AAF0E" w14:textId="77777777" w:rsidR="003A5396" w:rsidRPr="001F4265" w:rsidRDefault="003A5396" w:rsidP="003A5396">
      <w:pPr>
        <w:pStyle w:val="References"/>
      </w:pPr>
      <w:r w:rsidRPr="001F4265">
        <w:t>Verum Group Ltd. Unpublished. Hennessy W. Inventory of HFC, SF</w:t>
      </w:r>
      <w:r w:rsidRPr="001F4265">
        <w:rPr>
          <w:vertAlign w:val="subscript"/>
        </w:rPr>
        <w:t>6</w:t>
      </w:r>
      <w:r w:rsidRPr="001F4265">
        <w:t xml:space="preserve"> and Other Industrial Process Emissions for New Zealand 2024. A report by Verum Group Ltd to the Ministry for the Environment in 2024.</w:t>
      </w:r>
    </w:p>
    <w:p w14:paraId="3C3A64BB" w14:textId="77777777" w:rsidR="003A5396" w:rsidRPr="001F4265" w:rsidRDefault="003A5396" w:rsidP="003A5396">
      <w:pPr>
        <w:pStyle w:val="References"/>
      </w:pPr>
      <w:r w:rsidRPr="001F4265">
        <w:t xml:space="preserve">World Business Council for Sustainable Development. 2005. </w:t>
      </w:r>
      <w:r w:rsidRPr="001F4265">
        <w:rPr>
          <w:i/>
          <w:iCs/>
        </w:rPr>
        <w:t>The Cement CO</w:t>
      </w:r>
      <w:r w:rsidRPr="001F4265">
        <w:rPr>
          <w:i/>
          <w:iCs/>
          <w:vertAlign w:val="subscript"/>
        </w:rPr>
        <w:t>2</w:t>
      </w:r>
      <w:r w:rsidRPr="001F4265">
        <w:rPr>
          <w:i/>
          <w:iCs/>
        </w:rPr>
        <w:t xml:space="preserve"> Protocol: CO</w:t>
      </w:r>
      <w:r w:rsidRPr="001F4265">
        <w:rPr>
          <w:i/>
          <w:iCs/>
          <w:vertAlign w:val="subscript"/>
        </w:rPr>
        <w:t>2</w:t>
      </w:r>
      <w:r w:rsidRPr="001F4265">
        <w:rPr>
          <w:i/>
          <w:iCs/>
        </w:rPr>
        <w:t xml:space="preserve"> Accounting and Reporting Standard for the Cement Industry.</w:t>
      </w:r>
      <w:r w:rsidRPr="001F4265">
        <w:t xml:space="preserve"> Switzerland: World Business Council for Sustainable Development.</w:t>
      </w:r>
      <w:bookmarkEnd w:id="453"/>
      <w:bookmarkEnd w:id="567"/>
    </w:p>
    <w:p w14:paraId="11281934" w14:textId="77777777" w:rsidR="001752E1" w:rsidRDefault="001752E1" w:rsidP="00873B7D">
      <w:pPr>
        <w:pStyle w:val="BodyText"/>
      </w:pPr>
    </w:p>
    <w:p w14:paraId="0CD6F5A3" w14:textId="77777777" w:rsidR="001752E1" w:rsidRDefault="001752E1" w:rsidP="00873B7D">
      <w:pPr>
        <w:pStyle w:val="BodyText"/>
        <w:sectPr w:rsidR="001752E1" w:rsidSect="0038460F">
          <w:footerReference w:type="even" r:id="rId88"/>
          <w:pgSz w:w="11907" w:h="16840" w:code="9"/>
          <w:pgMar w:top="1418" w:right="1701" w:bottom="1418" w:left="1701" w:header="567" w:footer="567" w:gutter="0"/>
          <w:cols w:space="720"/>
        </w:sectPr>
      </w:pPr>
    </w:p>
    <w:p w14:paraId="648D4F91" w14:textId="77777777" w:rsidR="00E46639" w:rsidRPr="0028033B" w:rsidRDefault="00E46639" w:rsidP="00E46639">
      <w:pPr>
        <w:pStyle w:val="Heading1"/>
      </w:pPr>
      <w:bookmarkStart w:id="568" w:name="_Toc36224400"/>
      <w:bookmarkStart w:id="569" w:name="_Toc68786320"/>
      <w:bookmarkStart w:id="570" w:name="_Toc131591235"/>
      <w:bookmarkStart w:id="571" w:name="_Toc164154189"/>
      <w:bookmarkStart w:id="572" w:name="_Toc226460768"/>
      <w:bookmarkStart w:id="573" w:name="_Toc481751384"/>
      <w:bookmarkStart w:id="574" w:name="_Toc511116599"/>
      <w:bookmarkStart w:id="575" w:name="_Toc5269361"/>
      <w:bookmarkStart w:id="576" w:name="_Toc32570642"/>
      <w:bookmarkStart w:id="577" w:name="_Toc36224401"/>
      <w:bookmarkStart w:id="578" w:name="_Toc68786321"/>
      <w:bookmarkStart w:id="579" w:name="_Toc131591236"/>
      <w:r w:rsidRPr="0028033B">
        <w:t>Chapter 5: Agriculture</w:t>
      </w:r>
      <w:bookmarkEnd w:id="568"/>
      <w:bookmarkEnd w:id="569"/>
      <w:bookmarkEnd w:id="570"/>
      <w:bookmarkEnd w:id="571"/>
      <w:bookmarkEnd w:id="572"/>
    </w:p>
    <w:p w14:paraId="1C3269AF" w14:textId="77777777" w:rsidR="00E46639" w:rsidRPr="0028033B" w:rsidRDefault="00E46639" w:rsidP="00E46639">
      <w:pPr>
        <w:pStyle w:val="Heading2"/>
        <w:spacing w:before="240"/>
      </w:pPr>
      <w:bookmarkStart w:id="580" w:name="_Toc164154190"/>
      <w:bookmarkStart w:id="581" w:name="_Toc226460769"/>
      <w:bookmarkEnd w:id="573"/>
      <w:bookmarkEnd w:id="574"/>
      <w:bookmarkEnd w:id="575"/>
      <w:bookmarkEnd w:id="576"/>
      <w:bookmarkEnd w:id="577"/>
      <w:bookmarkEnd w:id="578"/>
      <w:bookmarkEnd w:id="579"/>
      <w:r w:rsidRPr="0028033B">
        <w:t xml:space="preserve">5.1 </w:t>
      </w:r>
      <w:r w:rsidRPr="0028033B">
        <w:tab/>
        <w:t>Sector overview</w:t>
      </w:r>
      <w:bookmarkEnd w:id="580"/>
      <w:bookmarkEnd w:id="581"/>
    </w:p>
    <w:p w14:paraId="550D29A7" w14:textId="3C7D2050" w:rsidR="00E46639" w:rsidRPr="0028033B" w:rsidRDefault="00E46639" w:rsidP="00E46639">
      <w:pPr>
        <w:pStyle w:val="Heading4"/>
        <w:spacing w:before="200"/>
      </w:pPr>
      <w:r w:rsidRPr="0028033B">
        <w:t>Emissions summary</w:t>
      </w:r>
    </w:p>
    <w:p w14:paraId="7503C5A7" w14:textId="77777777" w:rsidR="00E46639" w:rsidRPr="0028033B" w:rsidRDefault="00E46639" w:rsidP="00E46639">
      <w:pPr>
        <w:pStyle w:val="Heading5"/>
      </w:pPr>
      <w:r w:rsidRPr="0028033B">
        <w:t>2024</w:t>
      </w:r>
    </w:p>
    <w:p w14:paraId="2CC29DA4" w14:textId="77777777" w:rsidR="00E46639" w:rsidRPr="0028033B" w:rsidRDefault="00E46639" w:rsidP="00E46639">
      <w:pPr>
        <w:pStyle w:val="BodyText"/>
      </w:pPr>
      <w:r w:rsidRPr="0028033B">
        <w:t>In 2024, emissions from the Agriculture sector totalled 40,148.4 kilotonnes carbon dioxide</w:t>
      </w:r>
      <w:r w:rsidRPr="0028033B">
        <w:rPr>
          <w:color w:val="0D0D0D" w:themeColor="text1" w:themeTint="F2"/>
        </w:rPr>
        <w:t xml:space="preserve"> equivalent (kt CO</w:t>
      </w:r>
      <w:r w:rsidRPr="0028033B">
        <w:rPr>
          <w:color w:val="0D0D0D" w:themeColor="text1" w:themeTint="F2"/>
          <w:vertAlign w:val="subscript"/>
        </w:rPr>
        <w:t>2</w:t>
      </w:r>
      <w:r w:rsidRPr="0028033B">
        <w:rPr>
          <w:color w:val="0D0D0D" w:themeColor="text1" w:themeTint="F2"/>
        </w:rPr>
        <w:t xml:space="preserve">e), </w:t>
      </w:r>
      <w:r w:rsidRPr="0028033B">
        <w:t xml:space="preserve">representing </w:t>
      </w:r>
      <w:r>
        <w:t>53.0</w:t>
      </w:r>
      <w:r w:rsidRPr="0028033B">
        <w:t xml:space="preserve"> percent of New</w:t>
      </w:r>
      <w:r w:rsidRPr="0028033B">
        <w:rPr>
          <w:color w:val="0D0D0D" w:themeColor="text1" w:themeTint="F2"/>
        </w:rPr>
        <w:t xml:space="preserve"> Zealand’s gross emissions. </w:t>
      </w:r>
    </w:p>
    <w:p w14:paraId="41266DBA" w14:textId="77777777" w:rsidR="00E46639" w:rsidRPr="0028033B" w:rsidRDefault="00E46639" w:rsidP="00E46639">
      <w:pPr>
        <w:pStyle w:val="BodyText"/>
      </w:pPr>
      <w:r w:rsidRPr="0028033B">
        <w:t xml:space="preserve">Methane from </w:t>
      </w:r>
      <w:r w:rsidRPr="0028033B">
        <w:rPr>
          <w:i/>
          <w:iCs/>
        </w:rPr>
        <w:t>Enteric fermentation</w:t>
      </w:r>
      <w:r w:rsidRPr="0028033B">
        <w:t xml:space="preserve"> was the main source of Agriculture emissions, contributing 78.7 percent (31,588.3 kt CO</w:t>
      </w:r>
      <w:r w:rsidRPr="0028033B">
        <w:rPr>
          <w:vertAlign w:val="subscript"/>
        </w:rPr>
        <w:t>2</w:t>
      </w:r>
      <w:r w:rsidRPr="0028033B">
        <w:t xml:space="preserve">e) of the sector’s emissions. The </w:t>
      </w:r>
      <w:r w:rsidRPr="0028033B">
        <w:rPr>
          <w:i/>
        </w:rPr>
        <w:t xml:space="preserve">Agricultural soils </w:t>
      </w:r>
      <w:r w:rsidRPr="0028033B">
        <w:rPr>
          <w:iCs/>
        </w:rPr>
        <w:t xml:space="preserve">category </w:t>
      </w:r>
      <w:r w:rsidRPr="0028033B">
        <w:t xml:space="preserve">(15.3 percent) was the second-largest source followed by </w:t>
      </w:r>
      <w:r w:rsidRPr="0028033B">
        <w:rPr>
          <w:i/>
        </w:rPr>
        <w:t xml:space="preserve">Manure management </w:t>
      </w:r>
      <w:r w:rsidRPr="0028033B">
        <w:t xml:space="preserve">(4.3 percent). </w:t>
      </w:r>
      <w:r w:rsidRPr="0028033B">
        <w:rPr>
          <w:i/>
          <w:spacing w:val="-2"/>
        </w:rPr>
        <w:t xml:space="preserve">Urea application </w:t>
      </w:r>
      <w:r w:rsidRPr="0028033B">
        <w:rPr>
          <w:spacing w:val="-2"/>
        </w:rPr>
        <w:t xml:space="preserve">and </w:t>
      </w:r>
      <w:r w:rsidRPr="0028033B">
        <w:rPr>
          <w:i/>
          <w:spacing w:val="-2"/>
        </w:rPr>
        <w:t>Liming</w:t>
      </w:r>
      <w:r w:rsidRPr="0028033B">
        <w:rPr>
          <w:spacing w:val="-2"/>
        </w:rPr>
        <w:t xml:space="preserve"> contributed 1.1 percent and 0.6 percent respectivel</w:t>
      </w:r>
      <w:bookmarkStart w:id="582" w:name="statsNZref"/>
      <w:bookmarkEnd w:id="582"/>
      <w:r w:rsidRPr="0028033B">
        <w:rPr>
          <w:spacing w:val="-2"/>
        </w:rPr>
        <w:t xml:space="preserve">y. </w:t>
      </w:r>
      <w:r w:rsidRPr="0028033B">
        <w:rPr>
          <w:i/>
          <w:spacing w:val="-2"/>
        </w:rPr>
        <w:t>Field burning</w:t>
      </w:r>
      <w:r w:rsidRPr="0028033B">
        <w:rPr>
          <w:i/>
        </w:rPr>
        <w:t xml:space="preserve"> of agricultural residues</w:t>
      </w:r>
      <w:r w:rsidRPr="0028033B">
        <w:t xml:space="preserve"> contributed less than 0.1 percent. </w:t>
      </w:r>
    </w:p>
    <w:p w14:paraId="7A4C478B" w14:textId="77777777" w:rsidR="00E46639" w:rsidRPr="0028033B" w:rsidRDefault="00E46639" w:rsidP="00E46639">
      <w:pPr>
        <w:pStyle w:val="BodyText"/>
      </w:pPr>
      <w:r w:rsidRPr="0028033B">
        <w:rPr>
          <w:spacing w:val="-2"/>
        </w:rPr>
        <w:t>Methane (CH</w:t>
      </w:r>
      <w:r w:rsidRPr="0028033B">
        <w:rPr>
          <w:spacing w:val="-2"/>
          <w:vertAlign w:val="subscript"/>
        </w:rPr>
        <w:t>4</w:t>
      </w:r>
      <w:r w:rsidRPr="0028033B">
        <w:rPr>
          <w:spacing w:val="-2"/>
        </w:rPr>
        <w:t xml:space="preserve">) emissions from </w:t>
      </w:r>
      <w:r w:rsidRPr="0028033B">
        <w:rPr>
          <w:i/>
          <w:iCs/>
          <w:spacing w:val="-2"/>
        </w:rPr>
        <w:t>Enteric fermentation</w:t>
      </w:r>
      <w:r w:rsidRPr="0028033B">
        <w:rPr>
          <w:spacing w:val="-2"/>
        </w:rPr>
        <w:t xml:space="preserve"> contributed </w:t>
      </w:r>
      <w:r>
        <w:t>41.7</w:t>
      </w:r>
      <w:r w:rsidRPr="0028033B">
        <w:rPr>
          <w:spacing w:val="-2"/>
        </w:rPr>
        <w:t xml:space="preserve"> percent of </w:t>
      </w:r>
      <w:r w:rsidRPr="0028033B">
        <w:t>New Zealand’s gross emissions, and nitrous oxide (N</w:t>
      </w:r>
      <w:r w:rsidRPr="0028033B">
        <w:rPr>
          <w:vertAlign w:val="subscript"/>
        </w:rPr>
        <w:t>2</w:t>
      </w:r>
      <w:r w:rsidRPr="0028033B">
        <w:t xml:space="preserve">O) emissions from the </w:t>
      </w:r>
      <w:r w:rsidRPr="0028033B">
        <w:rPr>
          <w:i/>
          <w:iCs/>
        </w:rPr>
        <w:t>Agricultural soils</w:t>
      </w:r>
      <w:r w:rsidRPr="0028033B">
        <w:t xml:space="preserve"> category contributed </w:t>
      </w:r>
      <w:r>
        <w:t>8.1</w:t>
      </w:r>
      <w:r w:rsidRPr="0028033B">
        <w:t xml:space="preserve"> percent of New Zealand’s gross emissions.</w:t>
      </w:r>
    </w:p>
    <w:p w14:paraId="5B618A91" w14:textId="77777777" w:rsidR="00E46639" w:rsidRPr="0028033B" w:rsidRDefault="00E46639" w:rsidP="00E46639">
      <w:pPr>
        <w:pStyle w:val="BodyText"/>
      </w:pPr>
      <w:r w:rsidRPr="0028033B">
        <w:t>New Zealand reports emissions from Tokelau, which is a dependent territory of New Zealand. Due to the application of different methods and the complexity of integrating emissions within the main sectors, Tokelau emissions are reported for all activities under the ‘Other’ sector of New Zealand’s Greenhouse Gas Inventory (the Inventory). All emissions reported in the Agriculture sector exclude Tokelau. Please refer to chapter 8 and Volume 2, annex 7 for details of methods applied and the emissions for Tokelau.</w:t>
      </w:r>
    </w:p>
    <w:p w14:paraId="480DCC3E" w14:textId="77777777" w:rsidR="00E46639" w:rsidRPr="0028033B" w:rsidRDefault="00E46639" w:rsidP="00E46639">
      <w:pPr>
        <w:pStyle w:val="Heading5"/>
      </w:pPr>
      <w:r w:rsidRPr="0028033B">
        <w:t>2023–2024</w:t>
      </w:r>
    </w:p>
    <w:p w14:paraId="5461521F" w14:textId="77777777" w:rsidR="00E46639" w:rsidRPr="0028033B" w:rsidRDefault="00E46639" w:rsidP="00E46639">
      <w:pPr>
        <w:pStyle w:val="BodyText"/>
        <w:rPr>
          <w:color w:val="0D0D0D" w:themeColor="text1" w:themeTint="F2"/>
        </w:rPr>
      </w:pPr>
      <w:r w:rsidRPr="0028033B">
        <w:t>Between 2023 and 2024, total Agriculture emissions decreased 0.3 percent (138.1 kt CO</w:t>
      </w:r>
      <w:r w:rsidRPr="0028033B">
        <w:rPr>
          <w:vertAlign w:val="subscript"/>
        </w:rPr>
        <w:t>2</w:t>
      </w:r>
      <w:r w:rsidRPr="0028033B">
        <w:t xml:space="preserve">e), </w:t>
      </w:r>
      <w:r w:rsidRPr="0028033B">
        <w:rPr>
          <w:color w:val="0D0D0D" w:themeColor="text1" w:themeTint="F2"/>
        </w:rPr>
        <w:t>largely due to a decrease in emissions from sheep and limestone application. Specifically:</w:t>
      </w:r>
    </w:p>
    <w:p w14:paraId="349842CF" w14:textId="77777777" w:rsidR="00E46639" w:rsidRPr="0028033B" w:rsidRDefault="00E46639" w:rsidP="00E46639">
      <w:pPr>
        <w:pStyle w:val="Bullet"/>
      </w:pPr>
      <w:r w:rsidRPr="0028033B">
        <w:t>sheep emissions decreased by 3.9 percent (364.4 kt CO</w:t>
      </w:r>
      <w:r w:rsidRPr="0028033B">
        <w:rPr>
          <w:vertAlign w:val="subscript"/>
        </w:rPr>
        <w:t>2</w:t>
      </w:r>
      <w:r w:rsidRPr="0028033B">
        <w:t xml:space="preserve">e) due to </w:t>
      </w:r>
      <w:r w:rsidRPr="0028033B" w:rsidDel="008E6959">
        <w:t xml:space="preserve">a </w:t>
      </w:r>
      <w:r w:rsidRPr="0028033B">
        <w:t>continuing decrease in the sheep population</w:t>
      </w:r>
    </w:p>
    <w:p w14:paraId="5047C6FB" w14:textId="77777777" w:rsidR="00E46639" w:rsidRPr="0028033B" w:rsidRDefault="00E46639" w:rsidP="00E46639">
      <w:pPr>
        <w:pStyle w:val="Bullet"/>
      </w:pPr>
      <w:r w:rsidRPr="0028033B">
        <w:t>emissions from urea decreased by 8.6 percent (43.0 kt CO</w:t>
      </w:r>
      <w:r w:rsidRPr="0028033B">
        <w:rPr>
          <w:vertAlign w:val="subscript"/>
        </w:rPr>
        <w:t>2</w:t>
      </w:r>
      <w:r w:rsidRPr="0028033B">
        <w:t>e), due to a decrease in the mass of nitrogen applied as urea</w:t>
      </w:r>
    </w:p>
    <w:p w14:paraId="6CA96578" w14:textId="77777777" w:rsidR="00E46639" w:rsidRPr="0028033B" w:rsidRDefault="00E46639" w:rsidP="00E46639">
      <w:pPr>
        <w:pStyle w:val="Bullet"/>
      </w:pPr>
      <w:r w:rsidRPr="0028033B">
        <w:t>emissions from limestone use decreased by 13.2 percent (36.1 kt CO</w:t>
      </w:r>
      <w:r w:rsidRPr="0028033B">
        <w:rPr>
          <w:vertAlign w:val="subscript"/>
        </w:rPr>
        <w:t>2</w:t>
      </w:r>
      <w:r w:rsidRPr="0028033B">
        <w:t>e) due to a reduction in the application of limestone.</w:t>
      </w:r>
    </w:p>
    <w:p w14:paraId="39A6A814" w14:textId="77777777" w:rsidR="00E46639" w:rsidRPr="0028033B" w:rsidRDefault="00E46639" w:rsidP="00E46639">
      <w:pPr>
        <w:pStyle w:val="BodyText"/>
      </w:pPr>
      <w:r w:rsidRPr="0028033B">
        <w:t xml:space="preserve">These decreases were partially offset by increased emissions from dairy cattle and non-dairy (beef) cattle. Specifically: </w:t>
      </w:r>
    </w:p>
    <w:p w14:paraId="498AC7EE" w14:textId="77777777" w:rsidR="00E46639" w:rsidRPr="0028033B" w:rsidRDefault="00E46639" w:rsidP="00E46639">
      <w:pPr>
        <w:pStyle w:val="Bullet"/>
      </w:pPr>
      <w:r w:rsidRPr="0028033B">
        <w:t>dairy cattle emissions increased by 1.1 percent (222.2 kt CO</w:t>
      </w:r>
      <w:r w:rsidRPr="0028033B">
        <w:rPr>
          <w:vertAlign w:val="subscript"/>
        </w:rPr>
        <w:t>2</w:t>
      </w:r>
      <w:r w:rsidRPr="0028033B">
        <w:t>e) due to an increase in milk production. Compared with the 2022 to 2023 season, there was a 2.3 percent (about 471 million litres) increase in milk volume and a 2.9 percent (55 million kilograms) increase in milksolids processed (LIC and DairyNZ, 2025). These improvements in productivity occurred alongside a 0.5 percent decrease in the dairy cattle population.</w:t>
      </w:r>
    </w:p>
    <w:p w14:paraId="6C24C5EE" w14:textId="77777777" w:rsidR="00E46639" w:rsidRPr="0028033B" w:rsidRDefault="00E46639" w:rsidP="00E46639">
      <w:pPr>
        <w:pStyle w:val="Bullet"/>
      </w:pPr>
      <w:r w:rsidRPr="0028033B">
        <w:t>non-dairy (beef) cattle emissions increased by 0.3 percent (25.6 kt CO</w:t>
      </w:r>
      <w:r w:rsidRPr="0028033B">
        <w:rPr>
          <w:vertAlign w:val="subscript"/>
        </w:rPr>
        <w:t>2</w:t>
      </w:r>
      <w:r w:rsidRPr="0028033B">
        <w:t>e) due to an increase in the non-dairy (beef) cattle population.</w:t>
      </w:r>
    </w:p>
    <w:p w14:paraId="59CA3ECF" w14:textId="77777777" w:rsidR="00E46639" w:rsidRPr="0028033B" w:rsidRDefault="00E46639" w:rsidP="00E46639">
      <w:pPr>
        <w:pStyle w:val="BodyText"/>
      </w:pPr>
      <w:r w:rsidRPr="0028033B">
        <w:t>Total emissions from synthetic nitrogen fertiliser (carbon dioxide and nitrous oxide) increased by 1.5 percent (25.0 kt CO</w:t>
      </w:r>
      <w:r w:rsidRPr="0028033B">
        <w:rPr>
          <w:vertAlign w:val="subscript"/>
        </w:rPr>
        <w:t>2</w:t>
      </w:r>
      <w:r w:rsidRPr="0028033B">
        <w:t>e). Emissions from non-urea synthetic nitrogen fertilisers increased by 85.2 percent (144.0 kt CO</w:t>
      </w:r>
      <w:r w:rsidRPr="0028033B">
        <w:rPr>
          <w:vertAlign w:val="subscript"/>
        </w:rPr>
        <w:t>2</w:t>
      </w:r>
      <w:r w:rsidRPr="0028033B">
        <w:t xml:space="preserve">e), due to an increase in nitrogen application. </w:t>
      </w:r>
    </w:p>
    <w:p w14:paraId="3ED87513" w14:textId="77777777" w:rsidR="00E46639" w:rsidRPr="0028033B" w:rsidRDefault="00E46639" w:rsidP="00E46639">
      <w:pPr>
        <w:pStyle w:val="Heading5"/>
      </w:pPr>
      <w:r w:rsidRPr="0028033B">
        <w:t>2005–2024</w:t>
      </w:r>
    </w:p>
    <w:p w14:paraId="111026A2" w14:textId="77777777" w:rsidR="00E46639" w:rsidRPr="0028033B" w:rsidRDefault="00E46639" w:rsidP="00E46639">
      <w:pPr>
        <w:pStyle w:val="BodyText"/>
      </w:pPr>
      <w:r w:rsidRPr="0028033B">
        <w:t xml:space="preserve">In 2024, New Zealand’s Agriculture sector emissions were 6.4 percent (2,763.6 kt </w:t>
      </w:r>
      <w:r w:rsidRPr="0028033B">
        <w:rPr>
          <w:spacing w:val="-2"/>
        </w:rPr>
        <w:t>CO</w:t>
      </w:r>
      <w:r w:rsidRPr="0028033B">
        <w:rPr>
          <w:spacing w:val="-2"/>
          <w:vertAlign w:val="subscript"/>
        </w:rPr>
        <w:t>2</w:t>
      </w:r>
      <w:r w:rsidRPr="0028033B">
        <w:rPr>
          <w:spacing w:val="-2"/>
        </w:rPr>
        <w:t>e</w:t>
      </w:r>
      <w:r w:rsidRPr="0028033B">
        <w:t xml:space="preserve">) below the 2005 level (42,911.9 kt </w:t>
      </w:r>
      <w:r w:rsidRPr="0028033B">
        <w:rPr>
          <w:spacing w:val="-2"/>
        </w:rPr>
        <w:t>CO</w:t>
      </w:r>
      <w:r w:rsidRPr="0028033B">
        <w:rPr>
          <w:spacing w:val="-2"/>
          <w:vertAlign w:val="subscript"/>
        </w:rPr>
        <w:t>2</w:t>
      </w:r>
      <w:r w:rsidRPr="0028033B">
        <w:rPr>
          <w:spacing w:val="-2"/>
        </w:rPr>
        <w:t>e</w:t>
      </w:r>
      <w:r w:rsidRPr="0028033B">
        <w:t>) (table 5.1.1).</w:t>
      </w:r>
    </w:p>
    <w:p w14:paraId="33A6C854" w14:textId="77777777" w:rsidR="00E46639" w:rsidRPr="0028033B" w:rsidRDefault="00E46639" w:rsidP="00E46639">
      <w:pPr>
        <w:pStyle w:val="BodyText"/>
      </w:pPr>
      <w:r w:rsidRPr="0028033B">
        <w:t>In 2005, Agriculture</w:t>
      </w:r>
      <w:r w:rsidRPr="0028033B">
        <w:rPr>
          <w:i/>
        </w:rPr>
        <w:t xml:space="preserve"> </w:t>
      </w:r>
      <w:r w:rsidRPr="0028033B">
        <w:t>emissions were 42,911.9 kt CO</w:t>
      </w:r>
      <w:r w:rsidRPr="0028033B">
        <w:rPr>
          <w:vertAlign w:val="subscript"/>
        </w:rPr>
        <w:t>2</w:t>
      </w:r>
      <w:r w:rsidRPr="0028033B">
        <w:t>e. By 2007, emissions dropped by around 1,300 kt CO</w:t>
      </w:r>
      <w:r w:rsidRPr="0028033B">
        <w:rPr>
          <w:vertAlign w:val="subscript"/>
        </w:rPr>
        <w:t>2</w:t>
      </w:r>
      <w:r w:rsidRPr="0028033B">
        <w:t>e (3.1 percent below the 2005 value) due to the Global Financial Crisis. By 2008, Agriculture emissions had reduced by another 900 kt CO</w:t>
      </w:r>
      <w:r w:rsidRPr="0028033B">
        <w:rPr>
          <w:vertAlign w:val="subscript"/>
        </w:rPr>
        <w:t>2</w:t>
      </w:r>
      <w:r w:rsidRPr="0028033B">
        <w:t xml:space="preserve">e (5.3 percent below the 2005 value) due to the compounding effect of a nationwide drought. In the following years, </w:t>
      </w:r>
      <w:r w:rsidRPr="0028033B">
        <w:rPr>
          <w:rFonts w:cs="Calibri"/>
        </w:rPr>
        <w:t xml:space="preserve">Agriculture emissions recovered, and most recently peaked in 2014 at 42,704.0 kt </w:t>
      </w:r>
      <w:r w:rsidRPr="0028033B">
        <w:t>CO</w:t>
      </w:r>
      <w:r w:rsidRPr="0028033B">
        <w:rPr>
          <w:vertAlign w:val="subscript"/>
        </w:rPr>
        <w:t>2</w:t>
      </w:r>
      <w:r w:rsidRPr="0028033B">
        <w:t>e (0.5 percent below the 2005 value), corresponding with a peak in overall cattle numbers. In the years 2015 to 2021, Agriculture emissions remained slightly below the 2014 peak. In 2022 and 2023, Agriculture emissions dropped significantly. The 2024 level is 0.3 percent below the 2023 level (figure 5.1.2).</w:t>
      </w:r>
    </w:p>
    <w:p w14:paraId="20601031" w14:textId="77777777" w:rsidR="00E46639" w:rsidRPr="0028033B" w:rsidRDefault="00E46639" w:rsidP="00E46639">
      <w:pPr>
        <w:pStyle w:val="BodyText"/>
        <w:rPr>
          <w:rFonts w:cs="Calibri"/>
          <w:spacing w:val="-2"/>
        </w:rPr>
      </w:pPr>
      <w:r w:rsidRPr="0028033B">
        <w:rPr>
          <w:rFonts w:cs="Calibri"/>
          <w:spacing w:val="-2"/>
        </w:rPr>
        <w:t>The greatest absolute contributions to the decrease since 2005 are a 2,817 kt CO</w:t>
      </w:r>
      <w:r w:rsidRPr="0028033B">
        <w:rPr>
          <w:rFonts w:cs="Calibri"/>
          <w:spacing w:val="-2"/>
          <w:vertAlign w:val="subscript"/>
        </w:rPr>
        <w:t>2</w:t>
      </w:r>
      <w:r w:rsidRPr="0028033B">
        <w:rPr>
          <w:rFonts w:cs="Calibri"/>
          <w:spacing w:val="-2"/>
        </w:rPr>
        <w:t>e (8.2</w:t>
      </w:r>
      <w:r w:rsidRPr="0028033B">
        <w:rPr>
          <w:spacing w:val="-2"/>
        </w:rPr>
        <w:t> percent</w:t>
      </w:r>
      <w:r w:rsidRPr="0028033B">
        <w:rPr>
          <w:rFonts w:cs="Calibri"/>
          <w:spacing w:val="-2"/>
        </w:rPr>
        <w:t xml:space="preserve">) decrease in emissions from </w:t>
      </w:r>
      <w:r w:rsidRPr="0028033B">
        <w:rPr>
          <w:rFonts w:cs="Calibri"/>
          <w:i/>
          <w:spacing w:val="-2"/>
        </w:rPr>
        <w:t>Enteric fermentation</w:t>
      </w:r>
      <w:r w:rsidRPr="0028033B">
        <w:rPr>
          <w:rFonts w:cs="Calibri"/>
        </w:rPr>
        <w:t xml:space="preserve">, </w:t>
      </w:r>
      <w:r w:rsidRPr="0028033B">
        <w:rPr>
          <w:rFonts w:cs="Calibri"/>
          <w:spacing w:val="-2"/>
        </w:rPr>
        <w:t>a 369.8</w:t>
      </w:r>
      <w:r w:rsidRPr="0028033B">
        <w:rPr>
          <w:spacing w:val="-2"/>
        </w:rPr>
        <w:t xml:space="preserve"> </w:t>
      </w:r>
      <w:r w:rsidRPr="0028033B">
        <w:rPr>
          <w:rFonts w:cs="Calibri"/>
          <w:spacing w:val="-2"/>
        </w:rPr>
        <w:t>kt CO</w:t>
      </w:r>
      <w:r w:rsidRPr="0028033B">
        <w:rPr>
          <w:rFonts w:cs="Calibri"/>
          <w:spacing w:val="-2"/>
          <w:vertAlign w:val="subscript"/>
        </w:rPr>
        <w:t>2</w:t>
      </w:r>
      <w:r w:rsidRPr="0028033B">
        <w:rPr>
          <w:rFonts w:cs="Calibri"/>
          <w:spacing w:val="-2"/>
        </w:rPr>
        <w:t xml:space="preserve">e </w:t>
      </w:r>
      <w:r w:rsidRPr="0028033B">
        <w:t xml:space="preserve">(60.9 percent) decrease in emissions from </w:t>
      </w:r>
      <w:r w:rsidRPr="0028033B">
        <w:rPr>
          <w:i/>
        </w:rPr>
        <w:t>Liming</w:t>
      </w:r>
      <w:r w:rsidRPr="0028033B">
        <w:t xml:space="preserve">, and a 65.3 </w:t>
      </w:r>
      <w:r w:rsidRPr="0028033B">
        <w:rPr>
          <w:rFonts w:cs="Calibri"/>
          <w:spacing w:val="-2"/>
        </w:rPr>
        <w:t>kt CO</w:t>
      </w:r>
      <w:r w:rsidRPr="0028033B">
        <w:rPr>
          <w:rFonts w:cs="Calibri"/>
          <w:spacing w:val="-2"/>
          <w:vertAlign w:val="subscript"/>
        </w:rPr>
        <w:t>2</w:t>
      </w:r>
      <w:r w:rsidRPr="0028033B">
        <w:rPr>
          <w:rFonts w:cs="Calibri"/>
          <w:spacing w:val="-2"/>
        </w:rPr>
        <w:t xml:space="preserve">e (1.1 percent) decrease in emissions from </w:t>
      </w:r>
      <w:r w:rsidRPr="0028033B">
        <w:rPr>
          <w:rFonts w:cs="Calibri"/>
          <w:i/>
          <w:szCs w:val="16"/>
        </w:rPr>
        <w:t xml:space="preserve">Agricultural soils </w:t>
      </w:r>
      <w:r w:rsidRPr="0028033B">
        <w:rPr>
          <w:rFonts w:cs="Calibri"/>
        </w:rPr>
        <w:t xml:space="preserve">(table 5.1.1 and figure 5.1.1). </w:t>
      </w:r>
    </w:p>
    <w:p w14:paraId="2059DAD4" w14:textId="77777777" w:rsidR="00E46639" w:rsidRPr="0028033B" w:rsidRDefault="00E46639" w:rsidP="00E46639">
      <w:pPr>
        <w:pStyle w:val="BodyText"/>
        <w:rPr>
          <w:rFonts w:cs="Calibri"/>
          <w:color w:val="0D0D0D" w:themeColor="text1" w:themeTint="F2"/>
        </w:rPr>
      </w:pPr>
      <w:r w:rsidRPr="0028033B">
        <w:rPr>
          <w:rFonts w:cs="Calibri"/>
          <w:spacing w:val="-2"/>
        </w:rPr>
        <w:t xml:space="preserve">The decrease in emissions from </w:t>
      </w:r>
      <w:r w:rsidRPr="0028033B">
        <w:rPr>
          <w:rFonts w:cs="Calibri"/>
          <w:i/>
          <w:iCs/>
          <w:spacing w:val="-2"/>
        </w:rPr>
        <w:t>Enteric fermentation</w:t>
      </w:r>
      <w:r w:rsidRPr="0028033B">
        <w:rPr>
          <w:rFonts w:cs="Calibri"/>
          <w:spacing w:val="-2"/>
        </w:rPr>
        <w:t xml:space="preserve"> and </w:t>
      </w:r>
      <w:r w:rsidRPr="0028033B">
        <w:rPr>
          <w:rFonts w:cs="Calibri"/>
          <w:i/>
          <w:color w:val="0D0D0D" w:themeColor="text1" w:themeTint="F2"/>
        </w:rPr>
        <w:t>Agricultural soils</w:t>
      </w:r>
      <w:r w:rsidRPr="0028033B">
        <w:rPr>
          <w:rFonts w:cs="Calibri"/>
          <w:color w:val="0D0D0D" w:themeColor="text1" w:themeTint="F2"/>
        </w:rPr>
        <w:t xml:space="preserve"> </w:t>
      </w:r>
      <w:r w:rsidRPr="0028033B">
        <w:rPr>
          <w:rFonts w:cs="Calibri"/>
          <w:spacing w:val="-2"/>
        </w:rPr>
        <w:t>is primarily a result of decreased livestock populations</w:t>
      </w:r>
      <w:r w:rsidRPr="0028033B">
        <w:rPr>
          <w:rFonts w:cs="Calibri"/>
          <w:color w:val="F46CD4"/>
        </w:rPr>
        <w:t xml:space="preserve"> </w:t>
      </w:r>
      <w:r w:rsidRPr="0028033B">
        <w:rPr>
          <w:rFonts w:cs="Calibri"/>
          <w:color w:val="0D0D0D" w:themeColor="text1" w:themeTint="F2"/>
        </w:rPr>
        <w:t xml:space="preserve">since 2005. </w:t>
      </w:r>
    </w:p>
    <w:p w14:paraId="322CC53E" w14:textId="77777777" w:rsidR="00E46639" w:rsidRPr="0028033B" w:rsidRDefault="00E46639" w:rsidP="00E46639">
      <w:pPr>
        <w:pStyle w:val="Bullet"/>
      </w:pPr>
      <w:r w:rsidRPr="0028033B">
        <w:rPr>
          <w:color w:val="000000" w:themeColor="text1"/>
        </w:rPr>
        <w:t xml:space="preserve">Sheep populations have fallen by </w:t>
      </w:r>
      <w:r w:rsidRPr="0028033B">
        <w:t>40.9 percent since 2005</w:t>
      </w:r>
      <w:r w:rsidRPr="0028033B">
        <w:rPr>
          <w:color w:val="000000" w:themeColor="text1"/>
        </w:rPr>
        <w:t xml:space="preserve">, resulting in a </w:t>
      </w:r>
      <w:r w:rsidRPr="0028033B">
        <w:t xml:space="preserve">38.4 percent decline in </w:t>
      </w:r>
      <w:r w:rsidRPr="0028033B">
        <w:rPr>
          <w:i/>
        </w:rPr>
        <w:t>Enteric fermentation</w:t>
      </w:r>
      <w:r w:rsidRPr="0028033B">
        <w:t xml:space="preserve"> emissions (-5,122.6 </w:t>
      </w:r>
      <w:r w:rsidRPr="0028033B">
        <w:rPr>
          <w:spacing w:val="-2"/>
        </w:rPr>
        <w:t>kt CO</w:t>
      </w:r>
      <w:r w:rsidRPr="0028033B">
        <w:rPr>
          <w:spacing w:val="-2"/>
          <w:vertAlign w:val="subscript"/>
        </w:rPr>
        <w:t>2</w:t>
      </w:r>
      <w:r w:rsidRPr="0028033B">
        <w:rPr>
          <w:spacing w:val="-2"/>
        </w:rPr>
        <w:t xml:space="preserve">e) and </w:t>
      </w:r>
      <w:r w:rsidRPr="0028033B">
        <w:t>a 37.2 percent decline in </w:t>
      </w:r>
      <w:r w:rsidRPr="0028033B">
        <w:rPr>
          <w:i/>
        </w:rPr>
        <w:t>Agricultural soils</w:t>
      </w:r>
      <w:r w:rsidRPr="0028033B">
        <w:t xml:space="preserve"> emissions (-411.6 </w:t>
      </w:r>
      <w:r w:rsidRPr="0028033B">
        <w:rPr>
          <w:spacing w:val="-2"/>
        </w:rPr>
        <w:t>kt CO</w:t>
      </w:r>
      <w:r w:rsidRPr="0028033B">
        <w:rPr>
          <w:spacing w:val="-2"/>
          <w:vertAlign w:val="subscript"/>
        </w:rPr>
        <w:t>2</w:t>
      </w:r>
      <w:r w:rsidRPr="0028033B">
        <w:rPr>
          <w:spacing w:val="-2"/>
        </w:rPr>
        <w:t>e)</w:t>
      </w:r>
      <w:r w:rsidRPr="0028033B">
        <w:rPr>
          <w:color w:val="000000" w:themeColor="text1"/>
          <w:spacing w:val="-2"/>
        </w:rPr>
        <w:t>.</w:t>
      </w:r>
    </w:p>
    <w:p w14:paraId="7A97A746" w14:textId="77777777" w:rsidR="00E46639" w:rsidRPr="0028033B" w:rsidRDefault="00E46639" w:rsidP="00E46639">
      <w:pPr>
        <w:pStyle w:val="Bullet"/>
        <w:rPr>
          <w:color w:val="000000" w:themeColor="text1"/>
        </w:rPr>
      </w:pPr>
      <w:r w:rsidRPr="0028033B">
        <w:rPr>
          <w:color w:val="0D0D0D" w:themeColor="text1" w:themeTint="F2"/>
        </w:rPr>
        <w:t>Non-dairy (beef) cattle</w:t>
      </w:r>
      <w:r w:rsidRPr="0028033B">
        <w:rPr>
          <w:color w:val="000000" w:themeColor="text1"/>
        </w:rPr>
        <w:t xml:space="preserve"> populations have declined by </w:t>
      </w:r>
      <w:r w:rsidRPr="0028033B">
        <w:t>16.8 percent since 2005</w:t>
      </w:r>
      <w:r w:rsidRPr="0028033B">
        <w:rPr>
          <w:color w:val="000000" w:themeColor="text1"/>
        </w:rPr>
        <w:t xml:space="preserve">, resulting in a </w:t>
      </w:r>
      <w:r w:rsidRPr="0028033B">
        <w:t xml:space="preserve">14.7 percent decrease in </w:t>
      </w:r>
      <w:r w:rsidRPr="0028033B">
        <w:rPr>
          <w:i/>
        </w:rPr>
        <w:t>Enteric fermentation</w:t>
      </w:r>
      <w:r w:rsidRPr="0028033B">
        <w:t xml:space="preserve"> emissions (-1,237.3 </w:t>
      </w:r>
      <w:r w:rsidRPr="0028033B">
        <w:rPr>
          <w:spacing w:val="-2"/>
        </w:rPr>
        <w:t>kt CO</w:t>
      </w:r>
      <w:r w:rsidRPr="0028033B">
        <w:rPr>
          <w:spacing w:val="-2"/>
          <w:vertAlign w:val="subscript"/>
        </w:rPr>
        <w:t>2</w:t>
      </w:r>
      <w:r w:rsidRPr="0028033B">
        <w:rPr>
          <w:spacing w:val="-2"/>
        </w:rPr>
        <w:t xml:space="preserve">e) and </w:t>
      </w:r>
      <w:r w:rsidRPr="0028033B">
        <w:rPr>
          <w:color w:val="000000" w:themeColor="text1"/>
        </w:rPr>
        <w:t xml:space="preserve">a </w:t>
      </w:r>
      <w:r w:rsidRPr="0028033B">
        <w:t>13.8 percent decrease</w:t>
      </w:r>
      <w:r w:rsidRPr="0028033B">
        <w:rPr>
          <w:color w:val="FFC000"/>
        </w:rPr>
        <w:t xml:space="preserve"> </w:t>
      </w:r>
      <w:r w:rsidRPr="0028033B">
        <w:t xml:space="preserve">in </w:t>
      </w:r>
      <w:r w:rsidRPr="0028033B">
        <w:rPr>
          <w:i/>
        </w:rPr>
        <w:t>Agricultural soils</w:t>
      </w:r>
      <w:r w:rsidRPr="0028033B">
        <w:t xml:space="preserve"> emissions (-152.6 </w:t>
      </w:r>
      <w:r w:rsidRPr="0028033B">
        <w:rPr>
          <w:spacing w:val="-2"/>
        </w:rPr>
        <w:t>kt CO</w:t>
      </w:r>
      <w:r w:rsidRPr="0028033B">
        <w:rPr>
          <w:spacing w:val="-2"/>
          <w:vertAlign w:val="subscript"/>
        </w:rPr>
        <w:t>2</w:t>
      </w:r>
      <w:r w:rsidRPr="0028033B">
        <w:rPr>
          <w:spacing w:val="-2"/>
        </w:rPr>
        <w:t>e)</w:t>
      </w:r>
      <w:r w:rsidRPr="0028033B">
        <w:rPr>
          <w:color w:val="000000" w:themeColor="text1"/>
          <w:spacing w:val="-2"/>
        </w:rPr>
        <w:t>.</w:t>
      </w:r>
    </w:p>
    <w:p w14:paraId="26F91AC6" w14:textId="77777777" w:rsidR="00E46639" w:rsidRPr="0028033B" w:rsidRDefault="00E46639" w:rsidP="00E46639">
      <w:pPr>
        <w:pStyle w:val="BodyText"/>
      </w:pPr>
      <w:r w:rsidRPr="0028033B">
        <w:t xml:space="preserve">These reductions have been partially offset by increases in emissions from dairy cattle. Dairy cattle populations have increased 14.7 percent leading to a 34.4 percent increase in </w:t>
      </w:r>
      <w:r w:rsidRPr="0028033B">
        <w:rPr>
          <w:i/>
        </w:rPr>
        <w:t xml:space="preserve">Enteric fermentation </w:t>
      </w:r>
      <w:r w:rsidRPr="0028033B">
        <w:t xml:space="preserve">emissions (4,035.1 </w:t>
      </w:r>
      <w:r w:rsidRPr="0028033B">
        <w:rPr>
          <w:spacing w:val="-2"/>
        </w:rPr>
        <w:t>kt CO</w:t>
      </w:r>
      <w:r w:rsidRPr="0028033B">
        <w:rPr>
          <w:spacing w:val="-2"/>
          <w:vertAlign w:val="subscript"/>
        </w:rPr>
        <w:t>2</w:t>
      </w:r>
      <w:r w:rsidRPr="0028033B">
        <w:rPr>
          <w:spacing w:val="-2"/>
        </w:rPr>
        <w:t>e</w:t>
      </w:r>
      <w:r w:rsidRPr="0028033B">
        <w:t xml:space="preserve">) and a 24.0 percent increase in </w:t>
      </w:r>
      <w:r w:rsidRPr="0028033B">
        <w:rPr>
          <w:i/>
        </w:rPr>
        <w:t>Agricultural soils</w:t>
      </w:r>
      <w:r w:rsidRPr="0028033B">
        <w:t xml:space="preserve"> emissions (478.2 </w:t>
      </w:r>
      <w:r w:rsidRPr="0028033B">
        <w:rPr>
          <w:spacing w:val="-2"/>
        </w:rPr>
        <w:t>kt CO</w:t>
      </w:r>
      <w:r w:rsidRPr="0028033B">
        <w:rPr>
          <w:spacing w:val="-2"/>
          <w:vertAlign w:val="subscript"/>
        </w:rPr>
        <w:t>2</w:t>
      </w:r>
      <w:r w:rsidRPr="0028033B">
        <w:rPr>
          <w:spacing w:val="-2"/>
        </w:rPr>
        <w:t>e</w:t>
      </w:r>
      <w:r w:rsidRPr="0028033B">
        <w:t xml:space="preserve">). There has also been a 68.4 percent increase in emissions from dairy cattle </w:t>
      </w:r>
      <w:r w:rsidRPr="0028033B">
        <w:rPr>
          <w:i/>
        </w:rPr>
        <w:t>Manure management</w:t>
      </w:r>
      <w:r w:rsidRPr="0028033B">
        <w:t xml:space="preserve"> (588.2 </w:t>
      </w:r>
      <w:r w:rsidRPr="0028033B">
        <w:rPr>
          <w:spacing w:val="-2"/>
        </w:rPr>
        <w:t>kt CO</w:t>
      </w:r>
      <w:r w:rsidRPr="0028033B">
        <w:rPr>
          <w:spacing w:val="-2"/>
          <w:vertAlign w:val="subscript"/>
        </w:rPr>
        <w:t>2</w:t>
      </w:r>
      <w:r w:rsidRPr="0028033B">
        <w:rPr>
          <w:spacing w:val="-2"/>
        </w:rPr>
        <w:t xml:space="preserve">e) between 2005 and 2024 due to both the increasing population of dairy cattle and the increased prevalence of anaerobic lagoons as a manure management system rather than pasture. </w:t>
      </w:r>
    </w:p>
    <w:p w14:paraId="3D84D899" w14:textId="77777777" w:rsidR="00E46639" w:rsidRPr="0028033B" w:rsidRDefault="00E46639" w:rsidP="00E46639">
      <w:pPr>
        <w:pStyle w:val="BodyText"/>
        <w:rPr>
          <w:rFonts w:cs="Calibri"/>
          <w:spacing w:val="-2"/>
        </w:rPr>
      </w:pPr>
      <w:r w:rsidRPr="0028033B">
        <w:rPr>
          <w:rFonts w:cs="Calibri"/>
          <w:spacing w:val="-2"/>
        </w:rPr>
        <w:t>Changes in livestock populations reflect relative profitability across animal sectors, with dairy farming becoming more profitable than sheep or non-dairy cattle farming over the reporting period. In addition, average emissions per dairy cow have increased over time due to higher milk production per animal, heavier liveweights and increased feed intake, which increases emissions per head.</w:t>
      </w:r>
    </w:p>
    <w:p w14:paraId="2C76480A" w14:textId="77777777" w:rsidR="00E46639" w:rsidRPr="0028033B" w:rsidRDefault="00E46639" w:rsidP="00E46639">
      <w:pPr>
        <w:pStyle w:val="BodyText"/>
        <w:rPr>
          <w:rFonts w:cs="Calibri"/>
        </w:rPr>
      </w:pPr>
      <w:r w:rsidRPr="0028033B">
        <w:rPr>
          <w:rFonts w:cs="Calibri"/>
          <w:spacing w:val="-2"/>
        </w:rPr>
        <w:t xml:space="preserve">The decrease in emissions from </w:t>
      </w:r>
      <w:r w:rsidRPr="0028033B">
        <w:rPr>
          <w:rFonts w:cs="Calibri"/>
          <w:i/>
        </w:rPr>
        <w:t>Liming</w:t>
      </w:r>
      <w:r w:rsidRPr="0028033B">
        <w:rPr>
          <w:rFonts w:cs="Calibri"/>
        </w:rPr>
        <w:t xml:space="preserve"> is driven by reduced application of </w:t>
      </w:r>
      <w:r w:rsidRPr="0028033B">
        <w:t>lime and dolomite fertilisers.</w:t>
      </w:r>
    </w:p>
    <w:p w14:paraId="50B67508" w14:textId="77777777" w:rsidR="00E46639" w:rsidRPr="0028033B" w:rsidRDefault="00E46639" w:rsidP="00E46639">
      <w:pPr>
        <w:pStyle w:val="Heading5"/>
      </w:pPr>
      <w:r w:rsidRPr="0028033B">
        <w:t>1990–2024</w:t>
      </w:r>
    </w:p>
    <w:p w14:paraId="02B4A61A" w14:textId="77777777" w:rsidR="00E46639" w:rsidRPr="0028033B" w:rsidRDefault="00E46639" w:rsidP="00E46639">
      <w:pPr>
        <w:pStyle w:val="BodyText"/>
      </w:pPr>
      <w:r w:rsidRPr="0028033B">
        <w:t xml:space="preserve">In 2024, New Zealand’s Agriculture sector emissions were 9.2 percent (3,398.4 kt </w:t>
      </w:r>
      <w:r w:rsidRPr="0028033B">
        <w:rPr>
          <w:spacing w:val="-2"/>
        </w:rPr>
        <w:t>CO</w:t>
      </w:r>
      <w:r w:rsidRPr="0028033B">
        <w:rPr>
          <w:spacing w:val="-2"/>
          <w:vertAlign w:val="subscript"/>
        </w:rPr>
        <w:t>2</w:t>
      </w:r>
      <w:r w:rsidRPr="0028033B">
        <w:rPr>
          <w:spacing w:val="-2"/>
        </w:rPr>
        <w:t>e</w:t>
      </w:r>
      <w:r w:rsidRPr="0028033B">
        <w:t xml:space="preserve">) above the 1990 level (36,750.0 kt </w:t>
      </w:r>
      <w:r w:rsidRPr="0028033B">
        <w:rPr>
          <w:spacing w:val="-2"/>
        </w:rPr>
        <w:t>CO</w:t>
      </w:r>
      <w:r w:rsidRPr="0028033B">
        <w:rPr>
          <w:spacing w:val="-2"/>
          <w:vertAlign w:val="subscript"/>
        </w:rPr>
        <w:t>2</w:t>
      </w:r>
      <w:r w:rsidRPr="0028033B">
        <w:rPr>
          <w:spacing w:val="-2"/>
        </w:rPr>
        <w:t>e</w:t>
      </w:r>
      <w:r w:rsidRPr="0028033B">
        <w:t>) (table 5.1.1).</w:t>
      </w:r>
    </w:p>
    <w:p w14:paraId="6754E007" w14:textId="77777777" w:rsidR="00E46639" w:rsidRPr="0028033B" w:rsidRDefault="00E46639" w:rsidP="00E46639">
      <w:pPr>
        <w:pStyle w:val="Table"/>
      </w:pPr>
      <w:bookmarkStart w:id="583" w:name="_Toc32570909"/>
      <w:bookmarkStart w:id="584" w:name="_Toc36224544"/>
      <w:bookmarkStart w:id="585" w:name="_Toc68786430"/>
      <w:bookmarkStart w:id="586" w:name="_Toc95574065"/>
      <w:bookmarkStart w:id="587" w:name="_Toc127458248"/>
      <w:bookmarkStart w:id="588" w:name="_Toc131591344"/>
      <w:bookmarkStart w:id="589" w:name="_Toc160114434"/>
      <w:bookmarkStart w:id="590" w:name="_Toc164153830"/>
      <w:bookmarkStart w:id="591" w:name="_Toc222407611"/>
      <w:bookmarkStart w:id="592" w:name="_Toc226668986"/>
      <w:r w:rsidRPr="0028033B">
        <w:rPr>
          <w:rFonts w:cs="Calibri"/>
        </w:rPr>
        <w:t xml:space="preserve">Table 5.1.1 </w:t>
      </w:r>
      <w:r w:rsidRPr="0028033B">
        <w:rPr>
          <w:rFonts w:cs="Calibri"/>
        </w:rPr>
        <w:tab/>
        <w:t xml:space="preserve">Trends and relative contribution of </w:t>
      </w:r>
      <w:r w:rsidRPr="0028033B">
        <w:t>New Zealand’s</w:t>
      </w:r>
      <w:r w:rsidRPr="0028033B">
        <w:rPr>
          <w:rFonts w:cs="Calibri"/>
        </w:rPr>
        <w:t xml:space="preserve"> agricultural greenhouse gas emissions </w:t>
      </w:r>
      <w:r w:rsidRPr="0028033B">
        <w:t>by category between 1990 and </w:t>
      </w:r>
      <w:bookmarkEnd w:id="583"/>
      <w:bookmarkEnd w:id="584"/>
      <w:bookmarkEnd w:id="585"/>
      <w:bookmarkEnd w:id="586"/>
      <w:bookmarkEnd w:id="587"/>
      <w:bookmarkEnd w:id="588"/>
      <w:bookmarkEnd w:id="589"/>
      <w:bookmarkEnd w:id="590"/>
      <w:r w:rsidRPr="0028033B">
        <w:t>2024</w:t>
      </w:r>
      <w:bookmarkEnd w:id="591"/>
      <w:bookmarkEnd w:id="592"/>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1310"/>
        <w:gridCol w:w="31"/>
        <w:gridCol w:w="695"/>
        <w:gridCol w:w="695"/>
        <w:gridCol w:w="695"/>
        <w:gridCol w:w="103"/>
        <w:gridCol w:w="767"/>
        <w:gridCol w:w="880"/>
        <w:gridCol w:w="74"/>
        <w:gridCol w:w="806"/>
        <w:gridCol w:w="880"/>
        <w:gridCol w:w="34"/>
        <w:gridCol w:w="482"/>
        <w:gridCol w:w="537"/>
        <w:gridCol w:w="516"/>
      </w:tblGrid>
      <w:tr w:rsidR="00E46639" w:rsidRPr="0028033B" w14:paraId="7EC68D6F" w14:textId="77777777" w:rsidTr="00F16E23">
        <w:tc>
          <w:tcPr>
            <w:tcW w:w="1310" w:type="dxa"/>
            <w:tcBorders>
              <w:bottom w:val="nil"/>
            </w:tcBorders>
            <w:shd w:val="clear" w:color="auto" w:fill="1B556B" w:themeFill="text2"/>
            <w:vAlign w:val="bottom"/>
          </w:tcPr>
          <w:p w14:paraId="3E23494F" w14:textId="77777777" w:rsidR="00E46639" w:rsidRPr="0028033B" w:rsidRDefault="00E46639" w:rsidP="00F16E23">
            <w:pPr>
              <w:pStyle w:val="TableTextBold"/>
              <w:spacing w:before="50" w:after="0"/>
              <w:rPr>
                <w:rFonts w:cs="Calibri"/>
                <w:noProof w:val="0"/>
                <w:color w:val="FFFFFF" w:themeColor="background1"/>
                <w:szCs w:val="16"/>
              </w:rPr>
            </w:pPr>
            <w:bookmarkStart w:id="593" w:name="_Hlk153455080"/>
          </w:p>
        </w:tc>
        <w:tc>
          <w:tcPr>
            <w:tcW w:w="2219" w:type="dxa"/>
            <w:gridSpan w:val="5"/>
            <w:tcBorders>
              <w:bottom w:val="nil"/>
            </w:tcBorders>
            <w:shd w:val="clear" w:color="auto" w:fill="1B556B" w:themeFill="text2"/>
            <w:vAlign w:val="bottom"/>
          </w:tcPr>
          <w:p w14:paraId="6AC0213B" w14:textId="77777777" w:rsidR="00E46639" w:rsidRPr="0028033B" w:rsidRDefault="00E46639" w:rsidP="00F16E23">
            <w:pPr>
              <w:pStyle w:val="TableTextBold"/>
              <w:spacing w:before="50" w:after="0"/>
              <w:jc w:val="center"/>
              <w:rPr>
                <w:rFonts w:cs="Calibri"/>
                <w:noProof w:val="0"/>
                <w:color w:val="FFFFFF" w:themeColor="background1"/>
                <w:szCs w:val="16"/>
              </w:rPr>
            </w:pPr>
            <w:r w:rsidRPr="0028033B">
              <w:rPr>
                <w:rFonts w:cs="Calibri"/>
                <w:noProof w:val="0"/>
                <w:color w:val="FFFFFF" w:themeColor="background1"/>
                <w:szCs w:val="16"/>
              </w:rPr>
              <w:t>Emissions</w:t>
            </w:r>
            <w:r w:rsidRPr="0028033B">
              <w:rPr>
                <w:rFonts w:cs="Calibri"/>
                <w:noProof w:val="0"/>
                <w:color w:val="FFFFFF" w:themeColor="background1"/>
                <w:szCs w:val="16"/>
              </w:rPr>
              <w:b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1721" w:type="dxa"/>
            <w:gridSpan w:val="3"/>
            <w:tcBorders>
              <w:bottom w:val="nil"/>
            </w:tcBorders>
            <w:shd w:val="clear" w:color="auto" w:fill="1B556B" w:themeFill="text2"/>
            <w:vAlign w:val="bottom"/>
          </w:tcPr>
          <w:p w14:paraId="67C7C3DA" w14:textId="77777777" w:rsidR="00E46639" w:rsidRPr="0028033B" w:rsidRDefault="00E46639" w:rsidP="00F16E23">
            <w:pPr>
              <w:pStyle w:val="TableTextBold"/>
              <w:spacing w:before="50" w:after="0"/>
              <w:jc w:val="center"/>
              <w:rPr>
                <w:rFonts w:cs="Calibri"/>
                <w:noProof w:val="0"/>
                <w:color w:val="FFFFFF" w:themeColor="background1"/>
                <w:szCs w:val="16"/>
              </w:rPr>
            </w:pPr>
            <w:r w:rsidRPr="0028033B">
              <w:rPr>
                <w:rFonts w:cs="Calibri"/>
                <w:noProof w:val="0"/>
                <w:color w:val="FFFFFF" w:themeColor="background1"/>
                <w:szCs w:val="16"/>
              </w:rPr>
              <w:t>Change</w:t>
            </w:r>
            <w:r w:rsidRPr="0028033B">
              <w:rPr>
                <w:rFonts w:cs="Calibri"/>
                <w:noProof w:val="0"/>
                <w:color w:val="FFFFFF" w:themeColor="background1"/>
                <w:szCs w:val="16"/>
              </w:rPr>
              <w:br/>
              <w:t>(%)</w:t>
            </w:r>
          </w:p>
        </w:tc>
        <w:tc>
          <w:tcPr>
            <w:tcW w:w="1720" w:type="dxa"/>
            <w:gridSpan w:val="3"/>
            <w:tcBorders>
              <w:bottom w:val="nil"/>
            </w:tcBorders>
            <w:shd w:val="clear" w:color="auto" w:fill="1B556B" w:themeFill="text2"/>
            <w:vAlign w:val="bottom"/>
          </w:tcPr>
          <w:p w14:paraId="75B15FDA" w14:textId="77777777" w:rsidR="00E46639" w:rsidRPr="0028033B" w:rsidRDefault="00E46639" w:rsidP="00F16E23">
            <w:pPr>
              <w:pStyle w:val="TableTextBold"/>
              <w:spacing w:before="50" w:after="0"/>
              <w:jc w:val="center"/>
              <w:rPr>
                <w:rFonts w:cs="Calibri"/>
                <w:noProof w:val="0"/>
                <w:color w:val="FFFFFF" w:themeColor="background1"/>
                <w:szCs w:val="16"/>
              </w:rPr>
            </w:pPr>
            <w:r w:rsidRPr="0028033B">
              <w:rPr>
                <w:rFonts w:cs="Calibri"/>
                <w:noProof w:val="0"/>
                <w:color w:val="FFFFFF" w:themeColor="background1"/>
                <w:szCs w:val="16"/>
              </w:rPr>
              <w:t>Difference</w:t>
            </w:r>
            <w:r w:rsidRPr="0028033B">
              <w:rPr>
                <w:rFonts w:cs="Calibri"/>
                <w:noProof w:val="0"/>
                <w:color w:val="FFFFFF" w:themeColor="background1"/>
                <w:szCs w:val="16"/>
              </w:rPr>
              <w:b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1535" w:type="dxa"/>
            <w:gridSpan w:val="3"/>
            <w:tcBorders>
              <w:bottom w:val="nil"/>
            </w:tcBorders>
            <w:shd w:val="clear" w:color="auto" w:fill="1B556B" w:themeFill="text2"/>
            <w:vAlign w:val="bottom"/>
          </w:tcPr>
          <w:p w14:paraId="30B73059" w14:textId="77777777" w:rsidR="00E46639" w:rsidRPr="0028033B" w:rsidRDefault="00E46639" w:rsidP="00F16E23">
            <w:pPr>
              <w:pStyle w:val="TableTextBold"/>
              <w:spacing w:before="50" w:after="0"/>
              <w:jc w:val="center"/>
              <w:rPr>
                <w:rFonts w:cs="Calibri"/>
                <w:noProof w:val="0"/>
                <w:color w:val="FFFFFF" w:themeColor="background1"/>
                <w:szCs w:val="16"/>
              </w:rPr>
            </w:pPr>
            <w:r w:rsidRPr="0028033B">
              <w:rPr>
                <w:rFonts w:cs="Calibri"/>
                <w:noProof w:val="0"/>
                <w:color w:val="FFFFFF" w:themeColor="background1"/>
                <w:szCs w:val="16"/>
              </w:rPr>
              <w:t>Share (%) of sector</w:t>
            </w:r>
          </w:p>
        </w:tc>
      </w:tr>
      <w:tr w:rsidR="00E46639" w:rsidRPr="0028033B" w14:paraId="1E1E5DE5" w14:textId="77777777" w:rsidTr="00F16E23">
        <w:tc>
          <w:tcPr>
            <w:tcW w:w="1341" w:type="dxa"/>
            <w:gridSpan w:val="2"/>
            <w:tcBorders>
              <w:top w:val="nil"/>
            </w:tcBorders>
            <w:shd w:val="clear" w:color="auto" w:fill="1B556B" w:themeFill="text2"/>
          </w:tcPr>
          <w:p w14:paraId="222CE9FD" w14:textId="77777777" w:rsidR="00E46639" w:rsidRPr="0028033B" w:rsidRDefault="00E46639" w:rsidP="00F16E23">
            <w:pPr>
              <w:pStyle w:val="TableTextBold"/>
              <w:spacing w:before="50" w:after="50"/>
              <w:rPr>
                <w:rFonts w:cs="Calibri"/>
                <w:noProof w:val="0"/>
                <w:color w:val="FFFFFF" w:themeColor="background1"/>
                <w:szCs w:val="16"/>
              </w:rPr>
            </w:pPr>
            <w:r w:rsidRPr="0028033B">
              <w:rPr>
                <w:rFonts w:cs="Calibri"/>
                <w:noProof w:val="0"/>
                <w:color w:val="FFFFFF" w:themeColor="background1"/>
                <w:szCs w:val="16"/>
              </w:rPr>
              <w:t>Category</w:t>
            </w:r>
          </w:p>
        </w:tc>
        <w:tc>
          <w:tcPr>
            <w:tcW w:w="695" w:type="dxa"/>
            <w:tcBorders>
              <w:top w:val="nil"/>
            </w:tcBorders>
            <w:shd w:val="clear" w:color="auto" w:fill="1B556B" w:themeFill="text2"/>
            <w:vAlign w:val="bottom"/>
          </w:tcPr>
          <w:p w14:paraId="301962C2"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1990</w:t>
            </w:r>
          </w:p>
        </w:tc>
        <w:tc>
          <w:tcPr>
            <w:tcW w:w="695" w:type="dxa"/>
            <w:tcBorders>
              <w:top w:val="nil"/>
            </w:tcBorders>
            <w:shd w:val="clear" w:color="auto" w:fill="1B556B" w:themeFill="text2"/>
          </w:tcPr>
          <w:p w14:paraId="58EE69C4"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2005</w:t>
            </w:r>
          </w:p>
        </w:tc>
        <w:tc>
          <w:tcPr>
            <w:tcW w:w="695" w:type="dxa"/>
            <w:tcBorders>
              <w:top w:val="nil"/>
            </w:tcBorders>
            <w:shd w:val="clear" w:color="auto" w:fill="1B556B" w:themeFill="text2"/>
            <w:vAlign w:val="bottom"/>
          </w:tcPr>
          <w:p w14:paraId="4D5C745F"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2024</w:t>
            </w:r>
          </w:p>
        </w:tc>
        <w:tc>
          <w:tcPr>
            <w:tcW w:w="870" w:type="dxa"/>
            <w:gridSpan w:val="2"/>
            <w:tcBorders>
              <w:top w:val="nil"/>
            </w:tcBorders>
            <w:shd w:val="clear" w:color="auto" w:fill="1B556B" w:themeFill="text2"/>
            <w:vAlign w:val="bottom"/>
          </w:tcPr>
          <w:p w14:paraId="6EE93720"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1990–2024</w:t>
            </w:r>
          </w:p>
        </w:tc>
        <w:tc>
          <w:tcPr>
            <w:tcW w:w="880" w:type="dxa"/>
            <w:tcBorders>
              <w:top w:val="nil"/>
            </w:tcBorders>
            <w:shd w:val="clear" w:color="auto" w:fill="1B556B" w:themeFill="text2"/>
          </w:tcPr>
          <w:p w14:paraId="03F4C5EF"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2005–2024</w:t>
            </w:r>
          </w:p>
        </w:tc>
        <w:tc>
          <w:tcPr>
            <w:tcW w:w="880" w:type="dxa"/>
            <w:gridSpan w:val="2"/>
            <w:tcBorders>
              <w:top w:val="nil"/>
            </w:tcBorders>
            <w:shd w:val="clear" w:color="auto" w:fill="1B556B" w:themeFill="text2"/>
            <w:vAlign w:val="bottom"/>
          </w:tcPr>
          <w:p w14:paraId="605A0650"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1990–2024</w:t>
            </w:r>
          </w:p>
        </w:tc>
        <w:tc>
          <w:tcPr>
            <w:tcW w:w="880" w:type="dxa"/>
            <w:tcBorders>
              <w:top w:val="nil"/>
            </w:tcBorders>
            <w:shd w:val="clear" w:color="auto" w:fill="1B556B" w:themeFill="text2"/>
          </w:tcPr>
          <w:p w14:paraId="78B11682"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2005–2024</w:t>
            </w:r>
          </w:p>
        </w:tc>
        <w:tc>
          <w:tcPr>
            <w:tcW w:w="516" w:type="dxa"/>
            <w:gridSpan w:val="2"/>
            <w:tcBorders>
              <w:top w:val="nil"/>
            </w:tcBorders>
            <w:shd w:val="clear" w:color="auto" w:fill="1B556B" w:themeFill="text2"/>
            <w:tcMar>
              <w:right w:w="85" w:type="dxa"/>
            </w:tcMar>
          </w:tcPr>
          <w:p w14:paraId="3CB96533"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1990</w:t>
            </w:r>
          </w:p>
        </w:tc>
        <w:tc>
          <w:tcPr>
            <w:tcW w:w="537" w:type="dxa"/>
            <w:tcBorders>
              <w:top w:val="nil"/>
            </w:tcBorders>
            <w:shd w:val="clear" w:color="auto" w:fill="1B556B" w:themeFill="text2"/>
          </w:tcPr>
          <w:p w14:paraId="2F6C25A1"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2005</w:t>
            </w:r>
          </w:p>
        </w:tc>
        <w:tc>
          <w:tcPr>
            <w:tcW w:w="516" w:type="dxa"/>
            <w:tcBorders>
              <w:top w:val="nil"/>
            </w:tcBorders>
            <w:shd w:val="clear" w:color="auto" w:fill="1B556B" w:themeFill="text2"/>
            <w:tcMar>
              <w:right w:w="85" w:type="dxa"/>
            </w:tcMar>
          </w:tcPr>
          <w:p w14:paraId="62EC4BA1" w14:textId="77777777" w:rsidR="00E46639" w:rsidRPr="0028033B" w:rsidRDefault="00E46639" w:rsidP="00F16E23">
            <w:pPr>
              <w:pStyle w:val="TableTextBold"/>
              <w:spacing w:before="50" w:after="50"/>
              <w:jc w:val="right"/>
              <w:rPr>
                <w:rFonts w:cs="Calibri"/>
                <w:noProof w:val="0"/>
                <w:color w:val="FFFFFF" w:themeColor="background1"/>
                <w:szCs w:val="16"/>
              </w:rPr>
            </w:pPr>
            <w:r w:rsidRPr="0028033B">
              <w:rPr>
                <w:rFonts w:cs="Calibri"/>
                <w:noProof w:val="0"/>
                <w:color w:val="FFFFFF" w:themeColor="background1"/>
                <w:szCs w:val="16"/>
              </w:rPr>
              <w:t>2024</w:t>
            </w:r>
          </w:p>
        </w:tc>
      </w:tr>
      <w:tr w:rsidR="00E46639" w:rsidRPr="0028033B" w14:paraId="42E94DF7" w14:textId="77777777" w:rsidTr="00F16E23">
        <w:tc>
          <w:tcPr>
            <w:tcW w:w="1341" w:type="dxa"/>
            <w:gridSpan w:val="2"/>
            <w:vAlign w:val="bottom"/>
          </w:tcPr>
          <w:p w14:paraId="0E04DE14" w14:textId="77777777" w:rsidR="00E46639" w:rsidRPr="0028033B" w:rsidRDefault="00E46639" w:rsidP="00F16E23">
            <w:pPr>
              <w:pStyle w:val="TableText"/>
              <w:spacing w:before="50" w:after="50"/>
              <w:rPr>
                <w:rFonts w:cs="Calibri"/>
                <w:szCs w:val="16"/>
              </w:rPr>
            </w:pPr>
            <w:r w:rsidRPr="0028033B">
              <w:rPr>
                <w:rFonts w:cs="Calibri"/>
                <w:szCs w:val="16"/>
              </w:rPr>
              <w:t>Enteric fermentation (3.A)</w:t>
            </w:r>
          </w:p>
        </w:tc>
        <w:tc>
          <w:tcPr>
            <w:tcW w:w="695" w:type="dxa"/>
          </w:tcPr>
          <w:p w14:paraId="6BC86E78" w14:textId="77777777" w:rsidR="00E46639" w:rsidRPr="0028033B" w:rsidRDefault="00E46639" w:rsidP="00F16E23">
            <w:pPr>
              <w:pStyle w:val="TableText"/>
              <w:spacing w:before="50" w:after="50"/>
              <w:jc w:val="right"/>
              <w:rPr>
                <w:rFonts w:cs="Calibri"/>
                <w:szCs w:val="16"/>
              </w:rPr>
            </w:pPr>
            <w:r w:rsidRPr="0028033B">
              <w:rPr>
                <w:rFonts w:cs="Calibri"/>
                <w:szCs w:val="16"/>
              </w:rPr>
              <w:t>31,073.2</w:t>
            </w:r>
          </w:p>
        </w:tc>
        <w:tc>
          <w:tcPr>
            <w:tcW w:w="695" w:type="dxa"/>
          </w:tcPr>
          <w:p w14:paraId="0342DD32" w14:textId="77777777" w:rsidR="00E46639" w:rsidRPr="0028033B" w:rsidRDefault="00E46639" w:rsidP="00F16E23">
            <w:pPr>
              <w:pStyle w:val="TableText"/>
              <w:spacing w:before="50" w:after="50"/>
              <w:jc w:val="right"/>
              <w:rPr>
                <w:rFonts w:cs="Calibri"/>
                <w:szCs w:val="16"/>
              </w:rPr>
            </w:pPr>
            <w:r w:rsidRPr="0028033B">
              <w:rPr>
                <w:rFonts w:cs="Calibri"/>
                <w:szCs w:val="16"/>
              </w:rPr>
              <w:t>34,405.3</w:t>
            </w:r>
          </w:p>
        </w:tc>
        <w:tc>
          <w:tcPr>
            <w:tcW w:w="695" w:type="dxa"/>
          </w:tcPr>
          <w:p w14:paraId="372C7459" w14:textId="77777777" w:rsidR="00E46639" w:rsidRPr="0028033B" w:rsidRDefault="00E46639" w:rsidP="00F16E23">
            <w:pPr>
              <w:pStyle w:val="TableText"/>
              <w:spacing w:before="50" w:after="50"/>
              <w:jc w:val="right"/>
              <w:rPr>
                <w:rFonts w:cs="Calibri"/>
                <w:szCs w:val="16"/>
              </w:rPr>
            </w:pPr>
            <w:r w:rsidRPr="0028033B">
              <w:rPr>
                <w:rFonts w:cs="Calibri"/>
                <w:szCs w:val="16"/>
              </w:rPr>
              <w:t>31,588.3</w:t>
            </w:r>
          </w:p>
        </w:tc>
        <w:tc>
          <w:tcPr>
            <w:tcW w:w="870" w:type="dxa"/>
            <w:gridSpan w:val="2"/>
          </w:tcPr>
          <w:p w14:paraId="3F78421E" w14:textId="77777777" w:rsidR="00E46639" w:rsidRPr="0028033B" w:rsidRDefault="00E46639" w:rsidP="00F16E23">
            <w:pPr>
              <w:pStyle w:val="TableText"/>
              <w:spacing w:before="50" w:after="50"/>
              <w:jc w:val="right"/>
              <w:rPr>
                <w:rFonts w:cs="Calibri"/>
                <w:szCs w:val="16"/>
              </w:rPr>
            </w:pPr>
            <w:r w:rsidRPr="0028033B">
              <w:rPr>
                <w:rFonts w:cs="Calibri"/>
                <w:szCs w:val="16"/>
              </w:rPr>
              <w:t>1.7</w:t>
            </w:r>
          </w:p>
        </w:tc>
        <w:tc>
          <w:tcPr>
            <w:tcW w:w="880" w:type="dxa"/>
          </w:tcPr>
          <w:p w14:paraId="038D43D5" w14:textId="77777777" w:rsidR="00E46639" w:rsidRPr="0028033B" w:rsidRDefault="00E46639" w:rsidP="00F16E23">
            <w:pPr>
              <w:pStyle w:val="TableText"/>
              <w:spacing w:before="50" w:after="50"/>
              <w:jc w:val="right"/>
              <w:rPr>
                <w:rFonts w:cs="Calibri"/>
                <w:szCs w:val="16"/>
              </w:rPr>
            </w:pPr>
            <w:r w:rsidRPr="0028033B">
              <w:rPr>
                <w:rFonts w:cs="Calibri"/>
                <w:szCs w:val="16"/>
              </w:rPr>
              <w:t>-8.2</w:t>
            </w:r>
          </w:p>
        </w:tc>
        <w:tc>
          <w:tcPr>
            <w:tcW w:w="880" w:type="dxa"/>
            <w:gridSpan w:val="2"/>
          </w:tcPr>
          <w:p w14:paraId="5D6FE811" w14:textId="77777777" w:rsidR="00E46639" w:rsidRPr="0028033B" w:rsidRDefault="00E46639" w:rsidP="00F16E23">
            <w:pPr>
              <w:pStyle w:val="TableText"/>
              <w:spacing w:before="50" w:after="50"/>
              <w:jc w:val="right"/>
              <w:rPr>
                <w:rFonts w:cs="Calibri"/>
                <w:szCs w:val="16"/>
              </w:rPr>
            </w:pPr>
            <w:r w:rsidRPr="0028033B">
              <w:rPr>
                <w:rFonts w:cs="Calibri"/>
                <w:szCs w:val="16"/>
              </w:rPr>
              <w:t>515.1</w:t>
            </w:r>
          </w:p>
        </w:tc>
        <w:tc>
          <w:tcPr>
            <w:tcW w:w="880" w:type="dxa"/>
          </w:tcPr>
          <w:p w14:paraId="2926BC07" w14:textId="77777777" w:rsidR="00E46639" w:rsidRPr="0028033B" w:rsidRDefault="00E46639" w:rsidP="00F16E23">
            <w:pPr>
              <w:pStyle w:val="TableText"/>
              <w:spacing w:before="50" w:after="50"/>
              <w:jc w:val="right"/>
              <w:rPr>
                <w:rFonts w:cs="Calibri"/>
                <w:szCs w:val="16"/>
              </w:rPr>
            </w:pPr>
            <w:r w:rsidRPr="0028033B">
              <w:rPr>
                <w:rFonts w:cs="Calibri"/>
                <w:szCs w:val="16"/>
              </w:rPr>
              <w:t>-2,817.0</w:t>
            </w:r>
          </w:p>
        </w:tc>
        <w:tc>
          <w:tcPr>
            <w:tcW w:w="516" w:type="dxa"/>
            <w:gridSpan w:val="2"/>
          </w:tcPr>
          <w:p w14:paraId="4E0828F1" w14:textId="77777777" w:rsidR="00E46639" w:rsidRPr="0028033B" w:rsidRDefault="00E46639" w:rsidP="00F16E23">
            <w:pPr>
              <w:pStyle w:val="TableText"/>
              <w:spacing w:before="50" w:after="50"/>
              <w:jc w:val="right"/>
              <w:rPr>
                <w:rFonts w:cs="Calibri"/>
                <w:szCs w:val="16"/>
              </w:rPr>
            </w:pPr>
            <w:r w:rsidRPr="0028033B">
              <w:rPr>
                <w:rFonts w:cs="Calibri"/>
                <w:szCs w:val="16"/>
              </w:rPr>
              <w:t>84.6</w:t>
            </w:r>
          </w:p>
        </w:tc>
        <w:tc>
          <w:tcPr>
            <w:tcW w:w="537" w:type="dxa"/>
          </w:tcPr>
          <w:p w14:paraId="2A177B92" w14:textId="77777777" w:rsidR="00E46639" w:rsidRPr="0028033B" w:rsidRDefault="00E46639" w:rsidP="00F16E23">
            <w:pPr>
              <w:pStyle w:val="TableText"/>
              <w:spacing w:before="50" w:after="50"/>
              <w:jc w:val="right"/>
              <w:rPr>
                <w:rFonts w:cs="Calibri"/>
                <w:szCs w:val="16"/>
              </w:rPr>
            </w:pPr>
            <w:r w:rsidRPr="0028033B">
              <w:rPr>
                <w:rFonts w:cs="Calibri"/>
                <w:szCs w:val="16"/>
              </w:rPr>
              <w:t>80.2</w:t>
            </w:r>
          </w:p>
        </w:tc>
        <w:tc>
          <w:tcPr>
            <w:tcW w:w="516" w:type="dxa"/>
          </w:tcPr>
          <w:p w14:paraId="61EC5798" w14:textId="77777777" w:rsidR="00E46639" w:rsidRPr="0028033B" w:rsidRDefault="00E46639" w:rsidP="00F16E23">
            <w:pPr>
              <w:pStyle w:val="TableText"/>
              <w:spacing w:before="50" w:after="50"/>
              <w:jc w:val="right"/>
              <w:rPr>
                <w:rFonts w:cs="Calibri"/>
                <w:szCs w:val="16"/>
              </w:rPr>
            </w:pPr>
            <w:r w:rsidRPr="0028033B">
              <w:rPr>
                <w:rFonts w:cs="Calibri"/>
                <w:szCs w:val="16"/>
              </w:rPr>
              <w:t>78.7</w:t>
            </w:r>
          </w:p>
        </w:tc>
      </w:tr>
      <w:tr w:rsidR="00E46639" w:rsidRPr="0028033B" w14:paraId="24C972D1" w14:textId="77777777" w:rsidTr="00F16E23">
        <w:tc>
          <w:tcPr>
            <w:tcW w:w="1341" w:type="dxa"/>
            <w:gridSpan w:val="2"/>
            <w:vAlign w:val="bottom"/>
          </w:tcPr>
          <w:p w14:paraId="0B60DE37" w14:textId="77777777" w:rsidR="00E46639" w:rsidRPr="0028033B" w:rsidRDefault="00E46639" w:rsidP="00F16E23">
            <w:pPr>
              <w:pStyle w:val="TableText"/>
              <w:spacing w:before="50" w:after="50"/>
              <w:rPr>
                <w:rFonts w:cs="Calibri"/>
                <w:szCs w:val="16"/>
              </w:rPr>
            </w:pPr>
            <w:r w:rsidRPr="0028033B">
              <w:rPr>
                <w:rFonts w:cs="Calibri"/>
                <w:szCs w:val="16"/>
              </w:rPr>
              <w:t>Manure management (3.B)</w:t>
            </w:r>
          </w:p>
        </w:tc>
        <w:tc>
          <w:tcPr>
            <w:tcW w:w="695" w:type="dxa"/>
          </w:tcPr>
          <w:p w14:paraId="1E39A386" w14:textId="77777777" w:rsidR="00E46639" w:rsidRPr="0028033B" w:rsidRDefault="00E46639" w:rsidP="00F16E23">
            <w:pPr>
              <w:pStyle w:val="TableText"/>
              <w:spacing w:before="50" w:after="50"/>
              <w:jc w:val="right"/>
              <w:rPr>
                <w:rFonts w:cs="Calibri"/>
                <w:szCs w:val="16"/>
              </w:rPr>
            </w:pPr>
            <w:r w:rsidRPr="0028033B">
              <w:rPr>
                <w:rFonts w:cs="Calibri"/>
                <w:szCs w:val="16"/>
              </w:rPr>
              <w:t>851.1</w:t>
            </w:r>
          </w:p>
        </w:tc>
        <w:tc>
          <w:tcPr>
            <w:tcW w:w="695" w:type="dxa"/>
          </w:tcPr>
          <w:p w14:paraId="2443005B" w14:textId="77777777" w:rsidR="00E46639" w:rsidRPr="0028033B" w:rsidRDefault="00E46639" w:rsidP="00F16E23">
            <w:pPr>
              <w:pStyle w:val="TableText"/>
              <w:spacing w:before="50" w:after="50"/>
              <w:jc w:val="right"/>
              <w:rPr>
                <w:rFonts w:cs="Calibri"/>
                <w:szCs w:val="16"/>
              </w:rPr>
            </w:pPr>
            <w:r w:rsidRPr="0028033B">
              <w:rPr>
                <w:rFonts w:cs="Calibri"/>
                <w:szCs w:val="16"/>
              </w:rPr>
              <w:t>1,221.2</w:t>
            </w:r>
          </w:p>
        </w:tc>
        <w:tc>
          <w:tcPr>
            <w:tcW w:w="695" w:type="dxa"/>
          </w:tcPr>
          <w:p w14:paraId="39717122" w14:textId="77777777" w:rsidR="00E46639" w:rsidRPr="0028033B" w:rsidRDefault="00E46639" w:rsidP="00F16E23">
            <w:pPr>
              <w:pStyle w:val="TableText"/>
              <w:spacing w:before="50" w:after="50"/>
              <w:jc w:val="right"/>
              <w:rPr>
                <w:rFonts w:cs="Calibri"/>
                <w:szCs w:val="16"/>
              </w:rPr>
            </w:pPr>
            <w:r w:rsidRPr="0028033B">
              <w:rPr>
                <w:rFonts w:cs="Calibri"/>
                <w:szCs w:val="16"/>
              </w:rPr>
              <w:t>1,717.0</w:t>
            </w:r>
          </w:p>
        </w:tc>
        <w:tc>
          <w:tcPr>
            <w:tcW w:w="870" w:type="dxa"/>
            <w:gridSpan w:val="2"/>
          </w:tcPr>
          <w:p w14:paraId="500E0988" w14:textId="77777777" w:rsidR="00E46639" w:rsidRPr="0028033B" w:rsidRDefault="00E46639" w:rsidP="00F16E23">
            <w:pPr>
              <w:pStyle w:val="TableText"/>
              <w:spacing w:before="50" w:after="50"/>
              <w:jc w:val="right"/>
              <w:rPr>
                <w:rFonts w:cs="Calibri"/>
                <w:szCs w:val="16"/>
              </w:rPr>
            </w:pPr>
            <w:r w:rsidRPr="0028033B">
              <w:rPr>
                <w:rFonts w:cs="Calibri"/>
                <w:szCs w:val="16"/>
              </w:rPr>
              <w:t>101.7</w:t>
            </w:r>
          </w:p>
        </w:tc>
        <w:tc>
          <w:tcPr>
            <w:tcW w:w="880" w:type="dxa"/>
          </w:tcPr>
          <w:p w14:paraId="45907AA0" w14:textId="77777777" w:rsidR="00E46639" w:rsidRPr="0028033B" w:rsidRDefault="00E46639" w:rsidP="00F16E23">
            <w:pPr>
              <w:pStyle w:val="TableText"/>
              <w:spacing w:before="50" w:after="50"/>
              <w:jc w:val="right"/>
              <w:rPr>
                <w:rFonts w:cs="Calibri"/>
                <w:szCs w:val="16"/>
              </w:rPr>
            </w:pPr>
            <w:r w:rsidRPr="0028033B">
              <w:rPr>
                <w:rFonts w:cs="Calibri"/>
                <w:szCs w:val="16"/>
              </w:rPr>
              <w:t>40.6</w:t>
            </w:r>
          </w:p>
        </w:tc>
        <w:tc>
          <w:tcPr>
            <w:tcW w:w="880" w:type="dxa"/>
            <w:gridSpan w:val="2"/>
          </w:tcPr>
          <w:p w14:paraId="52BD2C42" w14:textId="77777777" w:rsidR="00E46639" w:rsidRPr="0028033B" w:rsidRDefault="00E46639" w:rsidP="00F16E23">
            <w:pPr>
              <w:pStyle w:val="TableText"/>
              <w:spacing w:before="50" w:after="50"/>
              <w:jc w:val="right"/>
              <w:rPr>
                <w:rFonts w:cs="Calibri"/>
                <w:szCs w:val="16"/>
              </w:rPr>
            </w:pPr>
            <w:r w:rsidRPr="0028033B">
              <w:rPr>
                <w:rFonts w:cs="Calibri"/>
                <w:szCs w:val="16"/>
              </w:rPr>
              <w:t>865.9</w:t>
            </w:r>
          </w:p>
        </w:tc>
        <w:tc>
          <w:tcPr>
            <w:tcW w:w="880" w:type="dxa"/>
          </w:tcPr>
          <w:p w14:paraId="3E57BB8A" w14:textId="77777777" w:rsidR="00E46639" w:rsidRPr="0028033B" w:rsidRDefault="00E46639" w:rsidP="00F16E23">
            <w:pPr>
              <w:pStyle w:val="TableText"/>
              <w:spacing w:before="50" w:after="50"/>
              <w:jc w:val="right"/>
              <w:rPr>
                <w:rFonts w:cs="Calibri"/>
                <w:szCs w:val="16"/>
              </w:rPr>
            </w:pPr>
            <w:r w:rsidRPr="0028033B">
              <w:rPr>
                <w:rFonts w:cs="Calibri"/>
                <w:szCs w:val="16"/>
              </w:rPr>
              <w:t>495.9</w:t>
            </w:r>
          </w:p>
        </w:tc>
        <w:tc>
          <w:tcPr>
            <w:tcW w:w="516" w:type="dxa"/>
            <w:gridSpan w:val="2"/>
          </w:tcPr>
          <w:p w14:paraId="46C2759F" w14:textId="77777777" w:rsidR="00E46639" w:rsidRPr="0028033B" w:rsidRDefault="00E46639" w:rsidP="00F16E23">
            <w:pPr>
              <w:pStyle w:val="TableText"/>
              <w:spacing w:before="50" w:after="50"/>
              <w:jc w:val="right"/>
              <w:rPr>
                <w:rFonts w:cs="Calibri"/>
                <w:szCs w:val="16"/>
              </w:rPr>
            </w:pPr>
            <w:r w:rsidRPr="0028033B">
              <w:rPr>
                <w:rFonts w:cs="Calibri"/>
                <w:szCs w:val="16"/>
              </w:rPr>
              <w:t>2.3</w:t>
            </w:r>
          </w:p>
        </w:tc>
        <w:tc>
          <w:tcPr>
            <w:tcW w:w="537" w:type="dxa"/>
          </w:tcPr>
          <w:p w14:paraId="2D274275" w14:textId="77777777" w:rsidR="00E46639" w:rsidRPr="0028033B" w:rsidRDefault="00E46639" w:rsidP="00F16E23">
            <w:pPr>
              <w:pStyle w:val="TableText"/>
              <w:spacing w:before="50" w:after="50"/>
              <w:jc w:val="right"/>
              <w:rPr>
                <w:rFonts w:cs="Calibri"/>
                <w:szCs w:val="16"/>
              </w:rPr>
            </w:pPr>
            <w:r w:rsidRPr="0028033B">
              <w:rPr>
                <w:rFonts w:cs="Calibri"/>
                <w:szCs w:val="16"/>
              </w:rPr>
              <w:t>2.8</w:t>
            </w:r>
          </w:p>
        </w:tc>
        <w:tc>
          <w:tcPr>
            <w:tcW w:w="516" w:type="dxa"/>
          </w:tcPr>
          <w:p w14:paraId="562D5958" w14:textId="77777777" w:rsidR="00E46639" w:rsidRPr="0028033B" w:rsidRDefault="00E46639" w:rsidP="00F16E23">
            <w:pPr>
              <w:pStyle w:val="TableText"/>
              <w:spacing w:before="50" w:after="50"/>
              <w:jc w:val="right"/>
              <w:rPr>
                <w:rFonts w:cs="Calibri"/>
                <w:szCs w:val="16"/>
              </w:rPr>
            </w:pPr>
            <w:r w:rsidRPr="0028033B">
              <w:rPr>
                <w:rFonts w:cs="Calibri"/>
                <w:szCs w:val="16"/>
              </w:rPr>
              <w:t>4.3</w:t>
            </w:r>
          </w:p>
        </w:tc>
      </w:tr>
      <w:tr w:rsidR="00E46639" w:rsidRPr="0028033B" w14:paraId="1492D9EE" w14:textId="77777777" w:rsidTr="00F16E23">
        <w:tc>
          <w:tcPr>
            <w:tcW w:w="1341" w:type="dxa"/>
            <w:gridSpan w:val="2"/>
            <w:vAlign w:val="bottom"/>
          </w:tcPr>
          <w:p w14:paraId="5F467A57" w14:textId="77777777" w:rsidR="00E46639" w:rsidRPr="0028033B" w:rsidRDefault="00E46639" w:rsidP="00F16E23">
            <w:pPr>
              <w:pStyle w:val="TableText"/>
              <w:spacing w:before="50" w:after="50"/>
              <w:rPr>
                <w:rFonts w:cs="Calibri"/>
                <w:szCs w:val="16"/>
              </w:rPr>
            </w:pPr>
            <w:r w:rsidRPr="0028033B">
              <w:rPr>
                <w:rFonts w:cs="Calibri"/>
                <w:szCs w:val="16"/>
              </w:rPr>
              <w:t>Rice cultivation (3.C)</w:t>
            </w:r>
          </w:p>
        </w:tc>
        <w:tc>
          <w:tcPr>
            <w:tcW w:w="695" w:type="dxa"/>
          </w:tcPr>
          <w:p w14:paraId="2DD04136" w14:textId="77777777" w:rsidR="00E46639" w:rsidRPr="0028033B" w:rsidRDefault="00E46639" w:rsidP="00F16E23">
            <w:pPr>
              <w:pStyle w:val="TableText"/>
              <w:spacing w:before="50" w:after="50"/>
              <w:jc w:val="right"/>
              <w:rPr>
                <w:rFonts w:cs="Calibri"/>
                <w:szCs w:val="16"/>
              </w:rPr>
            </w:pPr>
            <w:r w:rsidRPr="0028033B">
              <w:rPr>
                <w:rFonts w:cs="Calibri"/>
                <w:szCs w:val="16"/>
              </w:rPr>
              <w:t>NO</w:t>
            </w:r>
          </w:p>
        </w:tc>
        <w:tc>
          <w:tcPr>
            <w:tcW w:w="695" w:type="dxa"/>
          </w:tcPr>
          <w:p w14:paraId="296273C9" w14:textId="77777777" w:rsidR="00E46639" w:rsidRPr="0028033B" w:rsidRDefault="00E46639" w:rsidP="00F16E23">
            <w:pPr>
              <w:pStyle w:val="TableText"/>
              <w:spacing w:before="50" w:after="50"/>
              <w:jc w:val="right"/>
              <w:rPr>
                <w:rFonts w:cs="Calibri"/>
                <w:szCs w:val="16"/>
              </w:rPr>
            </w:pPr>
            <w:r w:rsidRPr="0028033B">
              <w:rPr>
                <w:rFonts w:cs="Calibri"/>
                <w:szCs w:val="16"/>
              </w:rPr>
              <w:t>NO</w:t>
            </w:r>
          </w:p>
        </w:tc>
        <w:tc>
          <w:tcPr>
            <w:tcW w:w="695" w:type="dxa"/>
          </w:tcPr>
          <w:p w14:paraId="41009E37" w14:textId="77777777" w:rsidR="00E46639" w:rsidRPr="0028033B" w:rsidRDefault="00E46639" w:rsidP="00F16E23">
            <w:pPr>
              <w:pStyle w:val="TableText"/>
              <w:spacing w:before="50" w:after="50"/>
              <w:jc w:val="right"/>
              <w:rPr>
                <w:rFonts w:cs="Calibri"/>
                <w:szCs w:val="16"/>
              </w:rPr>
            </w:pPr>
            <w:r w:rsidRPr="0028033B">
              <w:rPr>
                <w:rFonts w:cs="Calibri"/>
                <w:szCs w:val="16"/>
              </w:rPr>
              <w:t>NO</w:t>
            </w:r>
          </w:p>
        </w:tc>
        <w:tc>
          <w:tcPr>
            <w:tcW w:w="870" w:type="dxa"/>
            <w:gridSpan w:val="2"/>
          </w:tcPr>
          <w:p w14:paraId="4FC286A9"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tcPr>
          <w:p w14:paraId="74B4E3B3"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gridSpan w:val="2"/>
          </w:tcPr>
          <w:p w14:paraId="5A902FDB"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tcPr>
          <w:p w14:paraId="6888B8B3"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16" w:type="dxa"/>
            <w:gridSpan w:val="2"/>
          </w:tcPr>
          <w:p w14:paraId="6022AA8E"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37" w:type="dxa"/>
          </w:tcPr>
          <w:p w14:paraId="2CF5E945"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16" w:type="dxa"/>
          </w:tcPr>
          <w:p w14:paraId="7102D42E"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r>
      <w:tr w:rsidR="00E46639" w:rsidRPr="0028033B" w14:paraId="70A47CB9" w14:textId="77777777" w:rsidTr="00F16E23">
        <w:tc>
          <w:tcPr>
            <w:tcW w:w="1341" w:type="dxa"/>
            <w:gridSpan w:val="2"/>
            <w:vAlign w:val="bottom"/>
          </w:tcPr>
          <w:p w14:paraId="60BF449E" w14:textId="77777777" w:rsidR="00E46639" w:rsidRPr="0028033B" w:rsidRDefault="00E46639" w:rsidP="00F16E23">
            <w:pPr>
              <w:pStyle w:val="TableText"/>
              <w:spacing w:before="50" w:after="50"/>
              <w:rPr>
                <w:rFonts w:cs="Calibri"/>
                <w:szCs w:val="16"/>
              </w:rPr>
            </w:pPr>
            <w:r w:rsidRPr="0028033B">
              <w:rPr>
                <w:rFonts w:cs="Calibri"/>
                <w:szCs w:val="16"/>
              </w:rPr>
              <w:t>Agricultural soils (3.D)</w:t>
            </w:r>
          </w:p>
        </w:tc>
        <w:tc>
          <w:tcPr>
            <w:tcW w:w="695" w:type="dxa"/>
          </w:tcPr>
          <w:p w14:paraId="24B85457" w14:textId="77777777" w:rsidR="00E46639" w:rsidRPr="0028033B" w:rsidRDefault="00E46639" w:rsidP="00F16E23">
            <w:pPr>
              <w:pStyle w:val="TableText"/>
              <w:spacing w:before="50" w:after="50"/>
              <w:jc w:val="right"/>
              <w:rPr>
                <w:rFonts w:cs="Calibri"/>
                <w:szCs w:val="16"/>
              </w:rPr>
            </w:pPr>
            <w:r w:rsidRPr="0028033B">
              <w:rPr>
                <w:rFonts w:cs="Calibri"/>
                <w:szCs w:val="16"/>
              </w:rPr>
              <w:t>4,460.4</w:t>
            </w:r>
          </w:p>
        </w:tc>
        <w:tc>
          <w:tcPr>
            <w:tcW w:w="695" w:type="dxa"/>
          </w:tcPr>
          <w:p w14:paraId="4E885982" w14:textId="77777777" w:rsidR="00E46639" w:rsidRPr="0028033B" w:rsidRDefault="00E46639" w:rsidP="00F16E23">
            <w:pPr>
              <w:pStyle w:val="TableText"/>
              <w:spacing w:before="50" w:after="50"/>
              <w:jc w:val="right"/>
              <w:rPr>
                <w:rFonts w:cs="Calibri"/>
                <w:szCs w:val="16"/>
              </w:rPr>
            </w:pPr>
            <w:r w:rsidRPr="0028033B">
              <w:rPr>
                <w:rFonts w:cs="Calibri"/>
                <w:szCs w:val="16"/>
              </w:rPr>
              <w:t>6,192.9</w:t>
            </w:r>
          </w:p>
        </w:tc>
        <w:tc>
          <w:tcPr>
            <w:tcW w:w="695" w:type="dxa"/>
          </w:tcPr>
          <w:p w14:paraId="5FDEAA24" w14:textId="77777777" w:rsidR="00E46639" w:rsidRPr="0028033B" w:rsidRDefault="00E46639" w:rsidP="00F16E23">
            <w:pPr>
              <w:pStyle w:val="TableText"/>
              <w:spacing w:before="50" w:after="50"/>
              <w:jc w:val="right"/>
              <w:rPr>
                <w:rFonts w:cs="Calibri"/>
                <w:szCs w:val="16"/>
              </w:rPr>
            </w:pPr>
            <w:r w:rsidRPr="0028033B">
              <w:rPr>
                <w:rFonts w:cs="Calibri"/>
                <w:szCs w:val="16"/>
              </w:rPr>
              <w:t>6,127.6</w:t>
            </w:r>
          </w:p>
        </w:tc>
        <w:tc>
          <w:tcPr>
            <w:tcW w:w="870" w:type="dxa"/>
            <w:gridSpan w:val="2"/>
          </w:tcPr>
          <w:p w14:paraId="7C31FFB7" w14:textId="77777777" w:rsidR="00E46639" w:rsidRPr="0028033B" w:rsidRDefault="00E46639" w:rsidP="00F16E23">
            <w:pPr>
              <w:pStyle w:val="TableText"/>
              <w:spacing w:before="50" w:after="50"/>
              <w:jc w:val="right"/>
              <w:rPr>
                <w:rFonts w:cs="Calibri"/>
                <w:szCs w:val="16"/>
              </w:rPr>
            </w:pPr>
            <w:r w:rsidRPr="0028033B">
              <w:rPr>
                <w:rFonts w:cs="Calibri"/>
                <w:szCs w:val="16"/>
              </w:rPr>
              <w:t>37.4</w:t>
            </w:r>
          </w:p>
        </w:tc>
        <w:tc>
          <w:tcPr>
            <w:tcW w:w="880" w:type="dxa"/>
          </w:tcPr>
          <w:p w14:paraId="252C0B1D" w14:textId="77777777" w:rsidR="00E46639" w:rsidRPr="0028033B" w:rsidRDefault="00E46639" w:rsidP="00F16E23">
            <w:pPr>
              <w:pStyle w:val="TableText"/>
              <w:spacing w:before="50" w:after="50"/>
              <w:jc w:val="right"/>
              <w:rPr>
                <w:rFonts w:cs="Calibri"/>
                <w:szCs w:val="16"/>
              </w:rPr>
            </w:pPr>
            <w:r w:rsidRPr="0028033B">
              <w:rPr>
                <w:rFonts w:cs="Calibri"/>
                <w:szCs w:val="16"/>
              </w:rPr>
              <w:t>-1.1</w:t>
            </w:r>
          </w:p>
        </w:tc>
        <w:tc>
          <w:tcPr>
            <w:tcW w:w="880" w:type="dxa"/>
            <w:gridSpan w:val="2"/>
          </w:tcPr>
          <w:p w14:paraId="25B32649" w14:textId="77777777" w:rsidR="00E46639" w:rsidRPr="0028033B" w:rsidRDefault="00E46639" w:rsidP="00F16E23">
            <w:pPr>
              <w:pStyle w:val="TableText"/>
              <w:spacing w:before="50" w:after="50"/>
              <w:jc w:val="right"/>
              <w:rPr>
                <w:rFonts w:cs="Calibri"/>
                <w:szCs w:val="16"/>
              </w:rPr>
            </w:pPr>
            <w:r w:rsidRPr="0028033B">
              <w:rPr>
                <w:rFonts w:cs="Calibri"/>
                <w:szCs w:val="16"/>
              </w:rPr>
              <w:t>1,667.1</w:t>
            </w:r>
          </w:p>
        </w:tc>
        <w:tc>
          <w:tcPr>
            <w:tcW w:w="880" w:type="dxa"/>
          </w:tcPr>
          <w:p w14:paraId="64D094AF" w14:textId="77777777" w:rsidR="00E46639" w:rsidRPr="0028033B" w:rsidRDefault="00E46639" w:rsidP="00F16E23">
            <w:pPr>
              <w:pStyle w:val="TableText"/>
              <w:spacing w:before="50" w:after="50"/>
              <w:jc w:val="right"/>
              <w:rPr>
                <w:rFonts w:cs="Calibri"/>
                <w:szCs w:val="16"/>
              </w:rPr>
            </w:pPr>
            <w:r w:rsidRPr="0028033B">
              <w:rPr>
                <w:rFonts w:cs="Calibri"/>
                <w:szCs w:val="16"/>
              </w:rPr>
              <w:t>-65.3</w:t>
            </w:r>
          </w:p>
        </w:tc>
        <w:tc>
          <w:tcPr>
            <w:tcW w:w="516" w:type="dxa"/>
            <w:gridSpan w:val="2"/>
          </w:tcPr>
          <w:p w14:paraId="30E4F96F" w14:textId="77777777" w:rsidR="00E46639" w:rsidRPr="0028033B" w:rsidRDefault="00E46639" w:rsidP="00F16E23">
            <w:pPr>
              <w:pStyle w:val="TableText"/>
              <w:spacing w:before="50" w:after="50"/>
              <w:jc w:val="right"/>
              <w:rPr>
                <w:rFonts w:cs="Calibri"/>
                <w:szCs w:val="16"/>
              </w:rPr>
            </w:pPr>
            <w:r w:rsidRPr="0028033B">
              <w:rPr>
                <w:rFonts w:cs="Calibri"/>
                <w:szCs w:val="16"/>
              </w:rPr>
              <w:t>12.1</w:t>
            </w:r>
          </w:p>
        </w:tc>
        <w:tc>
          <w:tcPr>
            <w:tcW w:w="537" w:type="dxa"/>
          </w:tcPr>
          <w:p w14:paraId="5B41D477" w14:textId="77777777" w:rsidR="00E46639" w:rsidRPr="0028033B" w:rsidRDefault="00E46639" w:rsidP="00F16E23">
            <w:pPr>
              <w:pStyle w:val="TableText"/>
              <w:spacing w:before="50" w:after="50"/>
              <w:jc w:val="right"/>
              <w:rPr>
                <w:rFonts w:cs="Calibri"/>
                <w:szCs w:val="16"/>
              </w:rPr>
            </w:pPr>
            <w:r w:rsidRPr="0028033B">
              <w:rPr>
                <w:rFonts w:cs="Calibri"/>
                <w:szCs w:val="16"/>
              </w:rPr>
              <w:t>14.4</w:t>
            </w:r>
          </w:p>
        </w:tc>
        <w:tc>
          <w:tcPr>
            <w:tcW w:w="516" w:type="dxa"/>
          </w:tcPr>
          <w:p w14:paraId="0780BB77" w14:textId="77777777" w:rsidR="00E46639" w:rsidRPr="0028033B" w:rsidRDefault="00E46639" w:rsidP="00F16E23">
            <w:pPr>
              <w:pStyle w:val="TableText"/>
              <w:spacing w:before="50" w:after="50"/>
              <w:jc w:val="right"/>
              <w:rPr>
                <w:rFonts w:cs="Calibri"/>
                <w:szCs w:val="16"/>
              </w:rPr>
            </w:pPr>
            <w:r w:rsidRPr="0028033B">
              <w:rPr>
                <w:rFonts w:cs="Calibri"/>
                <w:szCs w:val="16"/>
              </w:rPr>
              <w:t>15.3</w:t>
            </w:r>
          </w:p>
        </w:tc>
      </w:tr>
      <w:tr w:rsidR="00E46639" w:rsidRPr="0028033B" w14:paraId="45441666" w14:textId="77777777" w:rsidTr="00F16E23">
        <w:tc>
          <w:tcPr>
            <w:tcW w:w="1341" w:type="dxa"/>
            <w:gridSpan w:val="2"/>
            <w:vAlign w:val="bottom"/>
          </w:tcPr>
          <w:p w14:paraId="7151C3C2" w14:textId="77777777" w:rsidR="00E46639" w:rsidRPr="0028033B" w:rsidRDefault="00E46639" w:rsidP="00F16E23">
            <w:pPr>
              <w:pStyle w:val="TableText"/>
              <w:spacing w:before="50" w:after="50"/>
              <w:rPr>
                <w:rFonts w:cs="Calibri"/>
                <w:szCs w:val="16"/>
              </w:rPr>
            </w:pPr>
            <w:r w:rsidRPr="0028033B">
              <w:rPr>
                <w:rFonts w:cs="Calibri"/>
                <w:szCs w:val="16"/>
              </w:rPr>
              <w:t>Prescribed burning of savanna (3.E)</w:t>
            </w:r>
          </w:p>
        </w:tc>
        <w:tc>
          <w:tcPr>
            <w:tcW w:w="695" w:type="dxa"/>
          </w:tcPr>
          <w:p w14:paraId="68CFE1BC" w14:textId="77777777" w:rsidR="00E46639" w:rsidRPr="0028033B" w:rsidRDefault="00E46639" w:rsidP="00F16E23">
            <w:pPr>
              <w:pStyle w:val="TableText"/>
              <w:spacing w:before="50" w:after="50"/>
              <w:jc w:val="right"/>
              <w:rPr>
                <w:rFonts w:cs="Calibri"/>
                <w:szCs w:val="16"/>
              </w:rPr>
            </w:pPr>
            <w:r w:rsidRPr="0028033B">
              <w:rPr>
                <w:rFonts w:cs="Calibri"/>
                <w:szCs w:val="16"/>
              </w:rPr>
              <w:t>IE</w:t>
            </w:r>
          </w:p>
        </w:tc>
        <w:tc>
          <w:tcPr>
            <w:tcW w:w="695" w:type="dxa"/>
          </w:tcPr>
          <w:p w14:paraId="0A13D7AB" w14:textId="77777777" w:rsidR="00E46639" w:rsidRPr="0028033B" w:rsidRDefault="00E46639" w:rsidP="00F16E23">
            <w:pPr>
              <w:pStyle w:val="TableText"/>
              <w:spacing w:before="50" w:after="50"/>
              <w:jc w:val="right"/>
              <w:rPr>
                <w:rFonts w:cs="Calibri"/>
                <w:szCs w:val="16"/>
              </w:rPr>
            </w:pPr>
            <w:r w:rsidRPr="0028033B">
              <w:rPr>
                <w:rFonts w:cs="Calibri"/>
                <w:szCs w:val="16"/>
              </w:rPr>
              <w:t>IE</w:t>
            </w:r>
          </w:p>
        </w:tc>
        <w:tc>
          <w:tcPr>
            <w:tcW w:w="695" w:type="dxa"/>
          </w:tcPr>
          <w:p w14:paraId="364583F4" w14:textId="77777777" w:rsidR="00E46639" w:rsidRPr="0028033B" w:rsidRDefault="00E46639" w:rsidP="00F16E23">
            <w:pPr>
              <w:pStyle w:val="TableText"/>
              <w:spacing w:before="50" w:after="50"/>
              <w:jc w:val="right"/>
              <w:rPr>
                <w:rFonts w:cs="Calibri"/>
                <w:szCs w:val="16"/>
              </w:rPr>
            </w:pPr>
            <w:r w:rsidRPr="0028033B">
              <w:rPr>
                <w:rFonts w:cs="Calibri"/>
                <w:szCs w:val="16"/>
              </w:rPr>
              <w:t>IE</w:t>
            </w:r>
          </w:p>
        </w:tc>
        <w:tc>
          <w:tcPr>
            <w:tcW w:w="870" w:type="dxa"/>
            <w:gridSpan w:val="2"/>
          </w:tcPr>
          <w:p w14:paraId="23E3F066"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tcPr>
          <w:p w14:paraId="7A8A3AD7"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gridSpan w:val="2"/>
          </w:tcPr>
          <w:p w14:paraId="24003661"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tcPr>
          <w:p w14:paraId="3732ECD9"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16" w:type="dxa"/>
            <w:gridSpan w:val="2"/>
          </w:tcPr>
          <w:p w14:paraId="37B510DB"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37" w:type="dxa"/>
          </w:tcPr>
          <w:p w14:paraId="38547B19"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16" w:type="dxa"/>
          </w:tcPr>
          <w:p w14:paraId="1C034A3F"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r>
      <w:tr w:rsidR="00E46639" w:rsidRPr="0028033B" w14:paraId="4E361B2D" w14:textId="77777777" w:rsidTr="00F16E23">
        <w:tc>
          <w:tcPr>
            <w:tcW w:w="1341" w:type="dxa"/>
            <w:gridSpan w:val="2"/>
            <w:vAlign w:val="bottom"/>
          </w:tcPr>
          <w:p w14:paraId="601C13C8" w14:textId="77777777" w:rsidR="00E46639" w:rsidRPr="0028033B" w:rsidRDefault="00E46639" w:rsidP="00F16E23">
            <w:pPr>
              <w:pStyle w:val="TableText"/>
              <w:spacing w:before="50" w:after="50"/>
              <w:rPr>
                <w:rFonts w:cs="Calibri"/>
                <w:szCs w:val="16"/>
              </w:rPr>
            </w:pPr>
            <w:r w:rsidRPr="0028033B">
              <w:rPr>
                <w:rFonts w:cs="Calibri"/>
                <w:szCs w:val="16"/>
              </w:rPr>
              <w:t>Field burning of agricultural residues (3.F)</w:t>
            </w:r>
          </w:p>
        </w:tc>
        <w:tc>
          <w:tcPr>
            <w:tcW w:w="695" w:type="dxa"/>
          </w:tcPr>
          <w:p w14:paraId="302FB97F" w14:textId="77777777" w:rsidR="00E46639" w:rsidRPr="0028033B" w:rsidRDefault="00E46639" w:rsidP="00F16E23">
            <w:pPr>
              <w:pStyle w:val="TableText"/>
              <w:spacing w:before="50" w:after="50"/>
              <w:jc w:val="right"/>
              <w:rPr>
                <w:rFonts w:cs="Calibri"/>
                <w:szCs w:val="16"/>
              </w:rPr>
            </w:pPr>
            <w:r w:rsidRPr="0028033B">
              <w:rPr>
                <w:rFonts w:cs="Calibri"/>
                <w:szCs w:val="16"/>
              </w:rPr>
              <w:t>29.6</w:t>
            </w:r>
          </w:p>
        </w:tc>
        <w:tc>
          <w:tcPr>
            <w:tcW w:w="695" w:type="dxa"/>
          </w:tcPr>
          <w:p w14:paraId="31EC0ECF" w14:textId="77777777" w:rsidR="00E46639" w:rsidRPr="0028033B" w:rsidRDefault="00E46639" w:rsidP="00F16E23">
            <w:pPr>
              <w:pStyle w:val="TableText"/>
              <w:spacing w:before="50" w:after="50"/>
              <w:jc w:val="right"/>
              <w:rPr>
                <w:rFonts w:cs="Calibri"/>
                <w:szCs w:val="16"/>
              </w:rPr>
            </w:pPr>
            <w:r w:rsidRPr="0028033B">
              <w:rPr>
                <w:rFonts w:cs="Calibri"/>
                <w:szCs w:val="16"/>
              </w:rPr>
              <w:t>28.5</w:t>
            </w:r>
          </w:p>
        </w:tc>
        <w:tc>
          <w:tcPr>
            <w:tcW w:w="695" w:type="dxa"/>
          </w:tcPr>
          <w:p w14:paraId="4800F497" w14:textId="77777777" w:rsidR="00E46639" w:rsidRPr="0028033B" w:rsidRDefault="00E46639" w:rsidP="00F16E23">
            <w:pPr>
              <w:pStyle w:val="TableText"/>
              <w:spacing w:before="50" w:after="50"/>
              <w:jc w:val="right"/>
              <w:rPr>
                <w:rFonts w:cs="Calibri"/>
                <w:szCs w:val="16"/>
              </w:rPr>
            </w:pPr>
            <w:r w:rsidRPr="0028033B">
              <w:rPr>
                <w:rFonts w:cs="Calibri"/>
                <w:szCs w:val="16"/>
              </w:rPr>
              <w:t>20.3</w:t>
            </w:r>
          </w:p>
        </w:tc>
        <w:tc>
          <w:tcPr>
            <w:tcW w:w="870" w:type="dxa"/>
            <w:gridSpan w:val="2"/>
          </w:tcPr>
          <w:p w14:paraId="67B41314" w14:textId="77777777" w:rsidR="00E46639" w:rsidRPr="0028033B" w:rsidRDefault="00E46639" w:rsidP="00F16E23">
            <w:pPr>
              <w:pStyle w:val="TableText"/>
              <w:spacing w:before="50" w:after="50"/>
              <w:jc w:val="right"/>
              <w:rPr>
                <w:rFonts w:cs="Calibri"/>
                <w:szCs w:val="16"/>
              </w:rPr>
            </w:pPr>
            <w:r w:rsidRPr="0028033B">
              <w:rPr>
                <w:rFonts w:cs="Calibri"/>
                <w:szCs w:val="16"/>
              </w:rPr>
              <w:t>-31.4</w:t>
            </w:r>
          </w:p>
        </w:tc>
        <w:tc>
          <w:tcPr>
            <w:tcW w:w="880" w:type="dxa"/>
          </w:tcPr>
          <w:p w14:paraId="024CD863" w14:textId="77777777" w:rsidR="00E46639" w:rsidRPr="0028033B" w:rsidRDefault="00E46639" w:rsidP="00F16E23">
            <w:pPr>
              <w:pStyle w:val="TableText"/>
              <w:spacing w:before="50" w:after="50"/>
              <w:jc w:val="right"/>
              <w:rPr>
                <w:rFonts w:cs="Calibri"/>
                <w:szCs w:val="16"/>
              </w:rPr>
            </w:pPr>
            <w:r w:rsidRPr="0028033B">
              <w:rPr>
                <w:rFonts w:cs="Calibri"/>
                <w:szCs w:val="16"/>
              </w:rPr>
              <w:t>-28.9</w:t>
            </w:r>
          </w:p>
        </w:tc>
        <w:tc>
          <w:tcPr>
            <w:tcW w:w="880" w:type="dxa"/>
            <w:gridSpan w:val="2"/>
          </w:tcPr>
          <w:p w14:paraId="5915F394" w14:textId="77777777" w:rsidR="00E46639" w:rsidRPr="0028033B" w:rsidRDefault="00E46639" w:rsidP="00F16E23">
            <w:pPr>
              <w:pStyle w:val="TableText"/>
              <w:spacing w:before="50" w:after="50"/>
              <w:jc w:val="right"/>
              <w:rPr>
                <w:rFonts w:cs="Calibri"/>
                <w:szCs w:val="16"/>
              </w:rPr>
            </w:pPr>
            <w:r w:rsidRPr="0028033B">
              <w:rPr>
                <w:rFonts w:cs="Calibri"/>
                <w:szCs w:val="16"/>
              </w:rPr>
              <w:t>-9.3</w:t>
            </w:r>
          </w:p>
        </w:tc>
        <w:tc>
          <w:tcPr>
            <w:tcW w:w="880" w:type="dxa"/>
          </w:tcPr>
          <w:p w14:paraId="3A2E55A7" w14:textId="77777777" w:rsidR="00E46639" w:rsidRPr="0028033B" w:rsidRDefault="00E46639" w:rsidP="00F16E23">
            <w:pPr>
              <w:pStyle w:val="TableText"/>
              <w:spacing w:before="50" w:after="50"/>
              <w:jc w:val="right"/>
              <w:rPr>
                <w:rFonts w:cs="Calibri"/>
                <w:szCs w:val="16"/>
              </w:rPr>
            </w:pPr>
            <w:r w:rsidRPr="0028033B">
              <w:rPr>
                <w:rFonts w:cs="Calibri"/>
                <w:szCs w:val="16"/>
              </w:rPr>
              <w:t>-8.3</w:t>
            </w:r>
          </w:p>
        </w:tc>
        <w:tc>
          <w:tcPr>
            <w:tcW w:w="516" w:type="dxa"/>
            <w:gridSpan w:val="2"/>
          </w:tcPr>
          <w:p w14:paraId="1E98ACD4"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c>
          <w:tcPr>
            <w:tcW w:w="537" w:type="dxa"/>
          </w:tcPr>
          <w:p w14:paraId="622B0D97"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c>
          <w:tcPr>
            <w:tcW w:w="516" w:type="dxa"/>
          </w:tcPr>
          <w:p w14:paraId="28B54C1F"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r>
      <w:tr w:rsidR="00E46639" w:rsidRPr="0028033B" w14:paraId="0EDDA21B" w14:textId="77777777" w:rsidTr="00F16E23">
        <w:tc>
          <w:tcPr>
            <w:tcW w:w="1341" w:type="dxa"/>
            <w:gridSpan w:val="2"/>
            <w:vAlign w:val="bottom"/>
          </w:tcPr>
          <w:p w14:paraId="0CBD65FE" w14:textId="77777777" w:rsidR="00E46639" w:rsidRPr="0028033B" w:rsidRDefault="00E46639" w:rsidP="00F16E23">
            <w:pPr>
              <w:pStyle w:val="TableText"/>
              <w:spacing w:before="50" w:after="50"/>
              <w:rPr>
                <w:rFonts w:cs="Calibri"/>
                <w:szCs w:val="16"/>
              </w:rPr>
            </w:pPr>
            <w:r w:rsidRPr="0028033B">
              <w:rPr>
                <w:rFonts w:cs="Calibri"/>
                <w:szCs w:val="16"/>
              </w:rPr>
              <w:t>Liming CO</w:t>
            </w:r>
            <w:r w:rsidRPr="0028033B">
              <w:rPr>
                <w:rFonts w:cs="Calibri"/>
                <w:szCs w:val="16"/>
                <w:vertAlign w:val="subscript"/>
              </w:rPr>
              <w:t>2</w:t>
            </w:r>
            <w:r w:rsidRPr="0028033B">
              <w:rPr>
                <w:rFonts w:cs="Calibri"/>
                <w:szCs w:val="16"/>
              </w:rPr>
              <w:t xml:space="preserve"> emissions (3.G)</w:t>
            </w:r>
          </w:p>
        </w:tc>
        <w:tc>
          <w:tcPr>
            <w:tcW w:w="695" w:type="dxa"/>
          </w:tcPr>
          <w:p w14:paraId="58FE702D" w14:textId="77777777" w:rsidR="00E46639" w:rsidRPr="0028033B" w:rsidRDefault="00E46639" w:rsidP="00F16E23">
            <w:pPr>
              <w:pStyle w:val="TableText"/>
              <w:spacing w:before="50" w:after="50"/>
              <w:jc w:val="right"/>
              <w:rPr>
                <w:rFonts w:cs="Calibri"/>
                <w:szCs w:val="16"/>
              </w:rPr>
            </w:pPr>
            <w:r w:rsidRPr="0028033B">
              <w:rPr>
                <w:rFonts w:cs="Calibri"/>
                <w:szCs w:val="16"/>
              </w:rPr>
              <w:t>296.5</w:t>
            </w:r>
          </w:p>
        </w:tc>
        <w:tc>
          <w:tcPr>
            <w:tcW w:w="695" w:type="dxa"/>
          </w:tcPr>
          <w:p w14:paraId="34226350" w14:textId="77777777" w:rsidR="00E46639" w:rsidRPr="0028033B" w:rsidRDefault="00E46639" w:rsidP="00F16E23">
            <w:pPr>
              <w:pStyle w:val="TableText"/>
              <w:spacing w:before="50" w:after="50"/>
              <w:jc w:val="right"/>
              <w:rPr>
                <w:rFonts w:cs="Calibri"/>
                <w:szCs w:val="16"/>
              </w:rPr>
            </w:pPr>
            <w:r w:rsidRPr="0028033B">
              <w:rPr>
                <w:rFonts w:cs="Calibri"/>
                <w:szCs w:val="16"/>
              </w:rPr>
              <w:t>607.5</w:t>
            </w:r>
          </w:p>
        </w:tc>
        <w:tc>
          <w:tcPr>
            <w:tcW w:w="695" w:type="dxa"/>
          </w:tcPr>
          <w:p w14:paraId="2648BC4C" w14:textId="77777777" w:rsidR="00E46639" w:rsidRPr="0028033B" w:rsidRDefault="00E46639" w:rsidP="00F16E23">
            <w:pPr>
              <w:pStyle w:val="TableText"/>
              <w:spacing w:before="50" w:after="50"/>
              <w:jc w:val="right"/>
              <w:rPr>
                <w:rFonts w:cs="Calibri"/>
                <w:szCs w:val="16"/>
              </w:rPr>
            </w:pPr>
            <w:r w:rsidRPr="0028033B">
              <w:rPr>
                <w:rFonts w:cs="Calibri"/>
                <w:szCs w:val="16"/>
              </w:rPr>
              <w:t>237.7</w:t>
            </w:r>
          </w:p>
        </w:tc>
        <w:tc>
          <w:tcPr>
            <w:tcW w:w="870" w:type="dxa"/>
            <w:gridSpan w:val="2"/>
          </w:tcPr>
          <w:p w14:paraId="4F6C66FB" w14:textId="77777777" w:rsidR="00E46639" w:rsidRPr="0028033B" w:rsidRDefault="00E46639" w:rsidP="00F16E23">
            <w:pPr>
              <w:pStyle w:val="TableText"/>
              <w:spacing w:before="50" w:after="50"/>
              <w:jc w:val="right"/>
              <w:rPr>
                <w:rFonts w:cs="Calibri"/>
                <w:szCs w:val="16"/>
              </w:rPr>
            </w:pPr>
            <w:r w:rsidRPr="0028033B">
              <w:rPr>
                <w:rFonts w:cs="Calibri"/>
                <w:szCs w:val="16"/>
              </w:rPr>
              <w:t>-19.8</w:t>
            </w:r>
          </w:p>
        </w:tc>
        <w:tc>
          <w:tcPr>
            <w:tcW w:w="880" w:type="dxa"/>
          </w:tcPr>
          <w:p w14:paraId="0CB78DF1" w14:textId="77777777" w:rsidR="00E46639" w:rsidRPr="0028033B" w:rsidRDefault="00E46639" w:rsidP="00F16E23">
            <w:pPr>
              <w:pStyle w:val="TableText"/>
              <w:spacing w:before="50" w:after="50"/>
              <w:jc w:val="right"/>
              <w:rPr>
                <w:rFonts w:cs="Calibri"/>
                <w:szCs w:val="16"/>
              </w:rPr>
            </w:pPr>
            <w:r w:rsidRPr="0028033B">
              <w:rPr>
                <w:rFonts w:cs="Calibri"/>
                <w:szCs w:val="16"/>
              </w:rPr>
              <w:t>-60.9</w:t>
            </w:r>
          </w:p>
        </w:tc>
        <w:tc>
          <w:tcPr>
            <w:tcW w:w="880" w:type="dxa"/>
            <w:gridSpan w:val="2"/>
          </w:tcPr>
          <w:p w14:paraId="78CD1975" w14:textId="77777777" w:rsidR="00E46639" w:rsidRPr="0028033B" w:rsidRDefault="00E46639" w:rsidP="00F16E23">
            <w:pPr>
              <w:pStyle w:val="TableText"/>
              <w:spacing w:before="50" w:after="50"/>
              <w:jc w:val="right"/>
              <w:rPr>
                <w:rFonts w:cs="Calibri"/>
                <w:szCs w:val="16"/>
              </w:rPr>
            </w:pPr>
            <w:r w:rsidRPr="0028033B">
              <w:rPr>
                <w:rFonts w:cs="Calibri"/>
                <w:szCs w:val="16"/>
              </w:rPr>
              <w:t>-58.8</w:t>
            </w:r>
          </w:p>
        </w:tc>
        <w:tc>
          <w:tcPr>
            <w:tcW w:w="880" w:type="dxa"/>
          </w:tcPr>
          <w:p w14:paraId="6F56A592" w14:textId="77777777" w:rsidR="00E46639" w:rsidRPr="0028033B" w:rsidRDefault="00E46639" w:rsidP="00F16E23">
            <w:pPr>
              <w:pStyle w:val="TableText"/>
              <w:spacing w:before="50" w:after="50"/>
              <w:jc w:val="right"/>
              <w:rPr>
                <w:rFonts w:cs="Calibri"/>
                <w:szCs w:val="16"/>
              </w:rPr>
            </w:pPr>
            <w:r w:rsidRPr="0028033B">
              <w:rPr>
                <w:rFonts w:cs="Calibri"/>
                <w:szCs w:val="16"/>
              </w:rPr>
              <w:t>-369.8</w:t>
            </w:r>
          </w:p>
        </w:tc>
        <w:tc>
          <w:tcPr>
            <w:tcW w:w="516" w:type="dxa"/>
            <w:gridSpan w:val="2"/>
          </w:tcPr>
          <w:p w14:paraId="6A1ACCD8" w14:textId="77777777" w:rsidR="00E46639" w:rsidRPr="0028033B" w:rsidRDefault="00E46639" w:rsidP="00F16E23">
            <w:pPr>
              <w:pStyle w:val="TableText"/>
              <w:spacing w:before="50" w:after="50"/>
              <w:jc w:val="right"/>
              <w:rPr>
                <w:rFonts w:cs="Calibri"/>
                <w:szCs w:val="16"/>
              </w:rPr>
            </w:pPr>
            <w:r w:rsidRPr="0028033B">
              <w:rPr>
                <w:rFonts w:cs="Calibri"/>
                <w:szCs w:val="16"/>
              </w:rPr>
              <w:t>0.8</w:t>
            </w:r>
          </w:p>
        </w:tc>
        <w:tc>
          <w:tcPr>
            <w:tcW w:w="537" w:type="dxa"/>
          </w:tcPr>
          <w:p w14:paraId="21316F95" w14:textId="77777777" w:rsidR="00E46639" w:rsidRPr="0028033B" w:rsidRDefault="00E46639" w:rsidP="00F16E23">
            <w:pPr>
              <w:pStyle w:val="TableText"/>
              <w:spacing w:before="50" w:after="50"/>
              <w:jc w:val="right"/>
              <w:rPr>
                <w:rFonts w:cs="Calibri"/>
                <w:szCs w:val="16"/>
              </w:rPr>
            </w:pPr>
            <w:r w:rsidRPr="0028033B">
              <w:rPr>
                <w:rFonts w:cs="Calibri"/>
                <w:szCs w:val="16"/>
              </w:rPr>
              <w:t>1.4</w:t>
            </w:r>
          </w:p>
        </w:tc>
        <w:tc>
          <w:tcPr>
            <w:tcW w:w="516" w:type="dxa"/>
          </w:tcPr>
          <w:p w14:paraId="00927D4D" w14:textId="77777777" w:rsidR="00E46639" w:rsidRPr="0028033B" w:rsidRDefault="00E46639" w:rsidP="00F16E23">
            <w:pPr>
              <w:pStyle w:val="TableText"/>
              <w:spacing w:before="50" w:after="50"/>
              <w:jc w:val="right"/>
              <w:rPr>
                <w:rFonts w:cs="Calibri"/>
                <w:szCs w:val="16"/>
              </w:rPr>
            </w:pPr>
            <w:r w:rsidRPr="0028033B">
              <w:rPr>
                <w:rFonts w:cs="Calibri"/>
                <w:szCs w:val="16"/>
              </w:rPr>
              <w:t>0.6</w:t>
            </w:r>
          </w:p>
        </w:tc>
      </w:tr>
      <w:tr w:rsidR="00E46639" w:rsidRPr="0028033B" w14:paraId="288F1ED1" w14:textId="77777777" w:rsidTr="00F16E23">
        <w:tc>
          <w:tcPr>
            <w:tcW w:w="1341" w:type="dxa"/>
            <w:gridSpan w:val="2"/>
            <w:vAlign w:val="bottom"/>
          </w:tcPr>
          <w:p w14:paraId="67A0A2F3" w14:textId="77777777" w:rsidR="00E46639" w:rsidRPr="0028033B" w:rsidRDefault="00E46639" w:rsidP="00F16E23">
            <w:pPr>
              <w:pStyle w:val="TableText"/>
              <w:spacing w:before="50" w:after="50"/>
              <w:rPr>
                <w:rFonts w:cs="Calibri"/>
                <w:szCs w:val="16"/>
              </w:rPr>
            </w:pPr>
            <w:r w:rsidRPr="0028033B">
              <w:rPr>
                <w:rFonts w:cs="Calibri"/>
                <w:szCs w:val="16"/>
              </w:rPr>
              <w:t>Urea application CO</w:t>
            </w:r>
            <w:r w:rsidRPr="0028033B">
              <w:rPr>
                <w:rFonts w:cs="Calibri"/>
                <w:szCs w:val="16"/>
                <w:vertAlign w:val="subscript"/>
              </w:rPr>
              <w:t>2</w:t>
            </w:r>
            <w:r w:rsidRPr="0028033B">
              <w:rPr>
                <w:rFonts w:cs="Calibri"/>
                <w:szCs w:val="16"/>
              </w:rPr>
              <w:t xml:space="preserve"> emissions (3.H)</w:t>
            </w:r>
          </w:p>
        </w:tc>
        <w:tc>
          <w:tcPr>
            <w:tcW w:w="695" w:type="dxa"/>
          </w:tcPr>
          <w:p w14:paraId="18983203" w14:textId="77777777" w:rsidR="00E46639" w:rsidRPr="0028033B" w:rsidRDefault="00E46639" w:rsidP="00F16E23">
            <w:pPr>
              <w:pStyle w:val="TableText"/>
              <w:spacing w:before="50" w:after="50"/>
              <w:jc w:val="right"/>
              <w:rPr>
                <w:rFonts w:cs="Calibri"/>
                <w:szCs w:val="16"/>
              </w:rPr>
            </w:pPr>
            <w:r w:rsidRPr="0028033B">
              <w:rPr>
                <w:rFonts w:cs="Calibri"/>
                <w:szCs w:val="16"/>
              </w:rPr>
              <w:t>39.2</w:t>
            </w:r>
          </w:p>
        </w:tc>
        <w:tc>
          <w:tcPr>
            <w:tcW w:w="695" w:type="dxa"/>
          </w:tcPr>
          <w:p w14:paraId="21C36446" w14:textId="77777777" w:rsidR="00E46639" w:rsidRPr="0028033B" w:rsidRDefault="00E46639" w:rsidP="00F16E23">
            <w:pPr>
              <w:pStyle w:val="TableText"/>
              <w:spacing w:before="50" w:after="50"/>
              <w:jc w:val="right"/>
              <w:rPr>
                <w:rFonts w:cs="Calibri"/>
                <w:szCs w:val="16"/>
              </w:rPr>
            </w:pPr>
            <w:r w:rsidRPr="0028033B">
              <w:rPr>
                <w:rFonts w:cs="Calibri"/>
                <w:szCs w:val="16"/>
              </w:rPr>
              <w:t>456.6</w:t>
            </w:r>
          </w:p>
        </w:tc>
        <w:tc>
          <w:tcPr>
            <w:tcW w:w="695" w:type="dxa"/>
          </w:tcPr>
          <w:p w14:paraId="5FEA9A55" w14:textId="77777777" w:rsidR="00E46639" w:rsidRPr="0028033B" w:rsidRDefault="00E46639" w:rsidP="00F16E23">
            <w:pPr>
              <w:pStyle w:val="TableText"/>
              <w:spacing w:before="50" w:after="50"/>
              <w:jc w:val="right"/>
              <w:rPr>
                <w:rFonts w:cs="Calibri"/>
                <w:szCs w:val="16"/>
              </w:rPr>
            </w:pPr>
            <w:r w:rsidRPr="0028033B">
              <w:rPr>
                <w:rFonts w:cs="Calibri"/>
                <w:szCs w:val="16"/>
              </w:rPr>
              <w:t>457.5</w:t>
            </w:r>
          </w:p>
        </w:tc>
        <w:tc>
          <w:tcPr>
            <w:tcW w:w="870" w:type="dxa"/>
            <w:gridSpan w:val="2"/>
          </w:tcPr>
          <w:p w14:paraId="462FA4F7" w14:textId="77777777" w:rsidR="00E46639" w:rsidRPr="0028033B" w:rsidRDefault="00E46639" w:rsidP="00F16E23">
            <w:pPr>
              <w:pStyle w:val="TableText"/>
              <w:spacing w:before="50" w:after="50"/>
              <w:jc w:val="right"/>
              <w:rPr>
                <w:rFonts w:cs="Calibri"/>
                <w:szCs w:val="16"/>
              </w:rPr>
            </w:pPr>
            <w:r w:rsidRPr="0028033B">
              <w:rPr>
                <w:rFonts w:cs="Calibri"/>
                <w:szCs w:val="16"/>
              </w:rPr>
              <w:t>1,067.3</w:t>
            </w:r>
          </w:p>
        </w:tc>
        <w:tc>
          <w:tcPr>
            <w:tcW w:w="880" w:type="dxa"/>
          </w:tcPr>
          <w:p w14:paraId="2CD87BC3" w14:textId="77777777" w:rsidR="00E46639" w:rsidRPr="0028033B" w:rsidRDefault="00E46639" w:rsidP="00F16E23">
            <w:pPr>
              <w:pStyle w:val="TableText"/>
              <w:spacing w:before="50" w:after="50"/>
              <w:jc w:val="right"/>
              <w:rPr>
                <w:rFonts w:cs="Calibri"/>
                <w:szCs w:val="16"/>
              </w:rPr>
            </w:pPr>
            <w:r w:rsidRPr="0028033B">
              <w:rPr>
                <w:rFonts w:cs="Calibri"/>
                <w:szCs w:val="16"/>
              </w:rPr>
              <w:t>0.2</w:t>
            </w:r>
          </w:p>
        </w:tc>
        <w:tc>
          <w:tcPr>
            <w:tcW w:w="880" w:type="dxa"/>
            <w:gridSpan w:val="2"/>
          </w:tcPr>
          <w:p w14:paraId="0810AE20" w14:textId="77777777" w:rsidR="00E46639" w:rsidRPr="0028033B" w:rsidRDefault="00E46639" w:rsidP="00F16E23">
            <w:pPr>
              <w:pStyle w:val="TableText"/>
              <w:spacing w:before="50" w:after="50"/>
              <w:jc w:val="right"/>
              <w:rPr>
                <w:rFonts w:cs="Calibri"/>
                <w:szCs w:val="16"/>
              </w:rPr>
            </w:pPr>
            <w:r w:rsidRPr="0028033B">
              <w:rPr>
                <w:rFonts w:cs="Calibri"/>
                <w:szCs w:val="16"/>
              </w:rPr>
              <w:t>418.3</w:t>
            </w:r>
          </w:p>
        </w:tc>
        <w:tc>
          <w:tcPr>
            <w:tcW w:w="880" w:type="dxa"/>
          </w:tcPr>
          <w:p w14:paraId="02F4C3A4" w14:textId="77777777" w:rsidR="00E46639" w:rsidRPr="0028033B" w:rsidRDefault="00E46639" w:rsidP="00F16E23">
            <w:pPr>
              <w:pStyle w:val="TableText"/>
              <w:spacing w:before="50" w:after="50"/>
              <w:jc w:val="right"/>
              <w:rPr>
                <w:rFonts w:cs="Calibri"/>
                <w:szCs w:val="16"/>
              </w:rPr>
            </w:pPr>
            <w:r w:rsidRPr="0028033B">
              <w:rPr>
                <w:rFonts w:cs="Calibri"/>
                <w:szCs w:val="16"/>
              </w:rPr>
              <w:t>0.9</w:t>
            </w:r>
          </w:p>
        </w:tc>
        <w:tc>
          <w:tcPr>
            <w:tcW w:w="516" w:type="dxa"/>
            <w:gridSpan w:val="2"/>
          </w:tcPr>
          <w:p w14:paraId="03021F08"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c>
          <w:tcPr>
            <w:tcW w:w="537" w:type="dxa"/>
          </w:tcPr>
          <w:p w14:paraId="036D2F15" w14:textId="77777777" w:rsidR="00E46639" w:rsidRPr="0028033B" w:rsidRDefault="00E46639" w:rsidP="00F16E23">
            <w:pPr>
              <w:pStyle w:val="TableText"/>
              <w:spacing w:before="50" w:after="50"/>
              <w:jc w:val="right"/>
              <w:rPr>
                <w:rFonts w:cs="Calibri"/>
                <w:szCs w:val="16"/>
              </w:rPr>
            </w:pPr>
            <w:r w:rsidRPr="0028033B">
              <w:rPr>
                <w:rFonts w:cs="Calibri"/>
                <w:szCs w:val="16"/>
              </w:rPr>
              <w:t>1.1</w:t>
            </w:r>
          </w:p>
        </w:tc>
        <w:tc>
          <w:tcPr>
            <w:tcW w:w="516" w:type="dxa"/>
          </w:tcPr>
          <w:p w14:paraId="0EB3F372" w14:textId="77777777" w:rsidR="00E46639" w:rsidRPr="0028033B" w:rsidRDefault="00E46639" w:rsidP="00F16E23">
            <w:pPr>
              <w:pStyle w:val="TableText"/>
              <w:spacing w:before="50" w:after="50"/>
              <w:jc w:val="right"/>
              <w:rPr>
                <w:rFonts w:cs="Calibri"/>
                <w:szCs w:val="16"/>
              </w:rPr>
            </w:pPr>
            <w:r w:rsidRPr="0028033B">
              <w:rPr>
                <w:rFonts w:cs="Calibri"/>
                <w:szCs w:val="16"/>
              </w:rPr>
              <w:t>1.1</w:t>
            </w:r>
          </w:p>
        </w:tc>
      </w:tr>
      <w:tr w:rsidR="00E46639" w:rsidRPr="0028033B" w14:paraId="567EE76A" w14:textId="77777777" w:rsidTr="00F16E23">
        <w:tc>
          <w:tcPr>
            <w:tcW w:w="1341" w:type="dxa"/>
            <w:gridSpan w:val="2"/>
            <w:vAlign w:val="bottom"/>
          </w:tcPr>
          <w:p w14:paraId="159DFFBF" w14:textId="77777777" w:rsidR="00E46639" w:rsidRPr="0028033B" w:rsidRDefault="00E46639" w:rsidP="00F16E23">
            <w:pPr>
              <w:pStyle w:val="TableText"/>
              <w:spacing w:before="50" w:after="50"/>
              <w:rPr>
                <w:rFonts w:cs="Calibri"/>
                <w:szCs w:val="16"/>
              </w:rPr>
            </w:pPr>
            <w:r w:rsidRPr="0028033B">
              <w:rPr>
                <w:rFonts w:cs="Calibri"/>
                <w:szCs w:val="16"/>
              </w:rPr>
              <w:t>Other carbon-containing fertilisers (3.I)</w:t>
            </w:r>
          </w:p>
        </w:tc>
        <w:tc>
          <w:tcPr>
            <w:tcW w:w="695" w:type="dxa"/>
          </w:tcPr>
          <w:p w14:paraId="69690CFA" w14:textId="77777777" w:rsidR="00E46639" w:rsidRPr="0028033B" w:rsidRDefault="00E46639" w:rsidP="00F16E23">
            <w:pPr>
              <w:pStyle w:val="TableText"/>
              <w:spacing w:before="50" w:after="50"/>
              <w:jc w:val="right"/>
              <w:rPr>
                <w:rFonts w:cs="Calibri"/>
                <w:szCs w:val="16"/>
              </w:rPr>
            </w:pPr>
            <w:r w:rsidRPr="0028033B">
              <w:rPr>
                <w:rFonts w:cs="Calibri"/>
                <w:szCs w:val="16"/>
              </w:rPr>
              <w:t>NE</w:t>
            </w:r>
          </w:p>
        </w:tc>
        <w:tc>
          <w:tcPr>
            <w:tcW w:w="695" w:type="dxa"/>
          </w:tcPr>
          <w:p w14:paraId="7E23B90E" w14:textId="77777777" w:rsidR="00E46639" w:rsidRPr="0028033B" w:rsidRDefault="00E46639" w:rsidP="00F16E23">
            <w:pPr>
              <w:pStyle w:val="TableText"/>
              <w:spacing w:before="50" w:after="50"/>
              <w:jc w:val="right"/>
              <w:rPr>
                <w:rFonts w:cs="Calibri"/>
                <w:szCs w:val="16"/>
              </w:rPr>
            </w:pPr>
            <w:r w:rsidRPr="0028033B">
              <w:rPr>
                <w:rFonts w:cs="Calibri"/>
                <w:szCs w:val="16"/>
              </w:rPr>
              <w:t>NE</w:t>
            </w:r>
          </w:p>
        </w:tc>
        <w:tc>
          <w:tcPr>
            <w:tcW w:w="695" w:type="dxa"/>
          </w:tcPr>
          <w:p w14:paraId="3B7F5BB3" w14:textId="77777777" w:rsidR="00E46639" w:rsidRPr="0028033B" w:rsidRDefault="00E46639" w:rsidP="00F16E23">
            <w:pPr>
              <w:pStyle w:val="TableText"/>
              <w:spacing w:before="50" w:after="50"/>
              <w:jc w:val="right"/>
              <w:rPr>
                <w:rFonts w:cs="Calibri"/>
                <w:szCs w:val="16"/>
              </w:rPr>
            </w:pPr>
            <w:r w:rsidRPr="0028033B">
              <w:rPr>
                <w:rFonts w:cs="Calibri"/>
                <w:szCs w:val="16"/>
              </w:rPr>
              <w:t>NE</w:t>
            </w:r>
          </w:p>
        </w:tc>
        <w:tc>
          <w:tcPr>
            <w:tcW w:w="870" w:type="dxa"/>
            <w:gridSpan w:val="2"/>
          </w:tcPr>
          <w:p w14:paraId="1FEDC78F"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tcPr>
          <w:p w14:paraId="000D7126"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gridSpan w:val="2"/>
          </w:tcPr>
          <w:p w14:paraId="1EBA7B20"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880" w:type="dxa"/>
          </w:tcPr>
          <w:p w14:paraId="73123691"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16" w:type="dxa"/>
            <w:gridSpan w:val="2"/>
          </w:tcPr>
          <w:p w14:paraId="1CC44C25"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37" w:type="dxa"/>
          </w:tcPr>
          <w:p w14:paraId="31A9D779"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c>
          <w:tcPr>
            <w:tcW w:w="516" w:type="dxa"/>
          </w:tcPr>
          <w:p w14:paraId="5BBC00FE" w14:textId="77777777" w:rsidR="00E46639" w:rsidRPr="0028033B" w:rsidRDefault="00E46639" w:rsidP="00F16E23">
            <w:pPr>
              <w:pStyle w:val="TableText"/>
              <w:spacing w:before="50" w:after="50"/>
              <w:jc w:val="right"/>
              <w:rPr>
                <w:rFonts w:cs="Calibri"/>
                <w:szCs w:val="16"/>
              </w:rPr>
            </w:pPr>
            <w:r w:rsidRPr="0028033B">
              <w:rPr>
                <w:rFonts w:cs="Calibri"/>
                <w:szCs w:val="16"/>
              </w:rPr>
              <w:t>–</w:t>
            </w:r>
          </w:p>
        </w:tc>
      </w:tr>
      <w:tr w:rsidR="00E46639" w:rsidRPr="0028033B" w14:paraId="313C686A" w14:textId="77777777" w:rsidTr="00F16E23">
        <w:tc>
          <w:tcPr>
            <w:tcW w:w="1341" w:type="dxa"/>
            <w:gridSpan w:val="2"/>
            <w:vAlign w:val="bottom"/>
          </w:tcPr>
          <w:p w14:paraId="5D80B0DC" w14:textId="77777777" w:rsidR="00E46639" w:rsidRPr="0028033B" w:rsidRDefault="00E46639" w:rsidP="00F16E23">
            <w:pPr>
              <w:pStyle w:val="TableText"/>
              <w:spacing w:before="50" w:after="50"/>
              <w:rPr>
                <w:rFonts w:cs="Calibri"/>
                <w:b/>
                <w:szCs w:val="16"/>
              </w:rPr>
            </w:pPr>
            <w:r w:rsidRPr="0028033B">
              <w:rPr>
                <w:rFonts w:cs="Calibri"/>
                <w:b/>
                <w:szCs w:val="16"/>
              </w:rPr>
              <w:t>Total</w:t>
            </w:r>
          </w:p>
        </w:tc>
        <w:tc>
          <w:tcPr>
            <w:tcW w:w="695" w:type="dxa"/>
          </w:tcPr>
          <w:p w14:paraId="2D0DE295"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36,750.0</w:t>
            </w:r>
          </w:p>
        </w:tc>
        <w:tc>
          <w:tcPr>
            <w:tcW w:w="695" w:type="dxa"/>
          </w:tcPr>
          <w:p w14:paraId="08BA2EDF"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42,912.0</w:t>
            </w:r>
          </w:p>
        </w:tc>
        <w:tc>
          <w:tcPr>
            <w:tcW w:w="695" w:type="dxa"/>
          </w:tcPr>
          <w:p w14:paraId="69A4D216"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40,148.4</w:t>
            </w:r>
          </w:p>
        </w:tc>
        <w:tc>
          <w:tcPr>
            <w:tcW w:w="870" w:type="dxa"/>
            <w:gridSpan w:val="2"/>
          </w:tcPr>
          <w:p w14:paraId="731C9538"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9.2</w:t>
            </w:r>
          </w:p>
        </w:tc>
        <w:tc>
          <w:tcPr>
            <w:tcW w:w="880" w:type="dxa"/>
          </w:tcPr>
          <w:p w14:paraId="2A956F85"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-6.4</w:t>
            </w:r>
          </w:p>
        </w:tc>
        <w:tc>
          <w:tcPr>
            <w:tcW w:w="880" w:type="dxa"/>
            <w:gridSpan w:val="2"/>
          </w:tcPr>
          <w:p w14:paraId="41E403A1"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3,398.4</w:t>
            </w:r>
          </w:p>
        </w:tc>
        <w:tc>
          <w:tcPr>
            <w:tcW w:w="880" w:type="dxa"/>
          </w:tcPr>
          <w:p w14:paraId="636C07CF"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-2,763.6</w:t>
            </w:r>
          </w:p>
        </w:tc>
        <w:tc>
          <w:tcPr>
            <w:tcW w:w="516" w:type="dxa"/>
            <w:gridSpan w:val="2"/>
          </w:tcPr>
          <w:p w14:paraId="4274859D"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100.0</w:t>
            </w:r>
          </w:p>
        </w:tc>
        <w:tc>
          <w:tcPr>
            <w:tcW w:w="537" w:type="dxa"/>
          </w:tcPr>
          <w:p w14:paraId="0B36A3B7"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100.0</w:t>
            </w:r>
          </w:p>
        </w:tc>
        <w:tc>
          <w:tcPr>
            <w:tcW w:w="516" w:type="dxa"/>
          </w:tcPr>
          <w:p w14:paraId="4A33687D" w14:textId="77777777" w:rsidR="00E46639" w:rsidRPr="0028033B" w:rsidRDefault="00E46639" w:rsidP="00F16E23">
            <w:pPr>
              <w:pStyle w:val="TableText"/>
              <w:spacing w:before="50" w:after="50"/>
              <w:jc w:val="right"/>
              <w:rPr>
                <w:rFonts w:cs="Calibri"/>
                <w:b/>
                <w:bCs/>
                <w:szCs w:val="16"/>
              </w:rPr>
            </w:pPr>
            <w:r w:rsidRPr="0028033B">
              <w:rPr>
                <w:rFonts w:cs="Calibri"/>
                <w:b/>
                <w:bCs/>
                <w:szCs w:val="16"/>
              </w:rPr>
              <w:t>100.0</w:t>
            </w:r>
          </w:p>
        </w:tc>
      </w:tr>
    </w:tbl>
    <w:bookmarkEnd w:id="593"/>
    <w:p w14:paraId="757E7EA6" w14:textId="77777777" w:rsidR="00E46639" w:rsidRPr="0028033B" w:rsidRDefault="00E46639" w:rsidP="00E46639">
      <w:pPr>
        <w:pStyle w:val="Noteundertable"/>
        <w:rPr>
          <w:rFonts w:cs="Calibri"/>
        </w:rPr>
      </w:pPr>
      <w:r w:rsidRPr="0028033B">
        <w:rPr>
          <w:rFonts w:cs="Calibri"/>
          <w:b/>
          <w:bCs/>
        </w:rPr>
        <w:t>Note:</w:t>
      </w:r>
      <w:r w:rsidRPr="0028033B">
        <w:rPr>
          <w:rFonts w:cs="Calibri"/>
        </w:rPr>
        <w:t xml:space="preserve"> </w:t>
      </w:r>
      <w:r w:rsidRPr="0028033B">
        <w:rPr>
          <w:rFonts w:cs="Calibri"/>
        </w:rPr>
        <w:tab/>
        <w:t xml:space="preserve">IE = included elsewhere; NE = not estimated; NO = not occurring. Columns may not sum due to rounding. Percentages presented are calculated from unrounded values. </w:t>
      </w:r>
      <w:r w:rsidRPr="0028033B">
        <w:rPr>
          <w:rFonts w:cs="Calibri"/>
          <w:i/>
          <w:iCs/>
          <w:color w:val="0D0D0D" w:themeColor="text1" w:themeTint="F2"/>
          <w:szCs w:val="16"/>
        </w:rPr>
        <w:t>Liming (3.G)</w:t>
      </w:r>
      <w:r w:rsidRPr="0028033B">
        <w:rPr>
          <w:rFonts w:cs="Calibri"/>
          <w:color w:val="0D0D0D" w:themeColor="text1" w:themeTint="F2"/>
          <w:szCs w:val="16"/>
        </w:rPr>
        <w:t xml:space="preserve"> includes dolomite. </w:t>
      </w:r>
    </w:p>
    <w:p w14:paraId="10CDA5D6" w14:textId="77777777" w:rsidR="00E46639" w:rsidRPr="0028033B" w:rsidRDefault="00E46639" w:rsidP="00E46639">
      <w:pPr>
        <w:pStyle w:val="BodyText"/>
        <w:rPr>
          <w:rFonts w:cs="Calibri"/>
          <w:spacing w:val="-2"/>
        </w:rPr>
      </w:pPr>
      <w:r w:rsidRPr="0028033B">
        <w:rPr>
          <w:rFonts w:cs="Calibri"/>
        </w:rPr>
        <w:t xml:space="preserve">The greatest contributions to the increase since 1990 are a </w:t>
      </w:r>
      <w:r w:rsidRPr="0028033B">
        <w:t xml:space="preserve">1,667.1 </w:t>
      </w:r>
      <w:r w:rsidRPr="0028033B">
        <w:rPr>
          <w:rFonts w:cs="Calibri"/>
        </w:rPr>
        <w:t xml:space="preserve">kt </w:t>
      </w:r>
      <w:r w:rsidRPr="0028033B">
        <w:rPr>
          <w:rFonts w:cs="Calibri"/>
          <w:spacing w:val="-2"/>
        </w:rPr>
        <w:t>CO</w:t>
      </w:r>
      <w:r w:rsidRPr="0028033B">
        <w:rPr>
          <w:rFonts w:cs="Calibri"/>
          <w:spacing w:val="-2"/>
          <w:vertAlign w:val="subscript"/>
        </w:rPr>
        <w:t>2</w:t>
      </w:r>
      <w:r w:rsidRPr="0028033B">
        <w:rPr>
          <w:rFonts w:cs="Calibri"/>
          <w:spacing w:val="-2"/>
        </w:rPr>
        <w:t>e (37.4</w:t>
      </w:r>
      <w:r w:rsidRPr="0028033B">
        <w:rPr>
          <w:spacing w:val="-2"/>
        </w:rPr>
        <w:t xml:space="preserve"> percent</w:t>
      </w:r>
      <w:r w:rsidRPr="0028033B">
        <w:rPr>
          <w:rFonts w:cs="Calibri"/>
          <w:spacing w:val="-2"/>
        </w:rPr>
        <w:t xml:space="preserve">) increase in emissions from </w:t>
      </w:r>
      <w:r w:rsidRPr="0028033B">
        <w:rPr>
          <w:rFonts w:cs="Calibri"/>
          <w:i/>
          <w:spacing w:val="-2"/>
        </w:rPr>
        <w:t>Agricultural soils</w:t>
      </w:r>
      <w:r w:rsidRPr="0028033B">
        <w:rPr>
          <w:rFonts w:cs="Calibri"/>
        </w:rPr>
        <w:t xml:space="preserve">, </w:t>
      </w:r>
      <w:r w:rsidRPr="0028033B">
        <w:rPr>
          <w:rFonts w:cs="Calibri"/>
          <w:spacing w:val="-2"/>
        </w:rPr>
        <w:t xml:space="preserve">an </w:t>
      </w:r>
      <w:r w:rsidRPr="0028033B">
        <w:t xml:space="preserve">865.9 </w:t>
      </w:r>
      <w:r w:rsidRPr="0028033B">
        <w:rPr>
          <w:rFonts w:cs="Calibri"/>
          <w:spacing w:val="-2"/>
        </w:rPr>
        <w:t>kt CO</w:t>
      </w:r>
      <w:r w:rsidRPr="0028033B">
        <w:rPr>
          <w:rFonts w:cs="Calibri"/>
          <w:spacing w:val="-2"/>
          <w:vertAlign w:val="subscript"/>
        </w:rPr>
        <w:t>2</w:t>
      </w:r>
      <w:r w:rsidRPr="0028033B">
        <w:rPr>
          <w:rFonts w:cs="Calibri"/>
          <w:spacing w:val="-2"/>
        </w:rPr>
        <w:t xml:space="preserve">e </w:t>
      </w:r>
      <w:r w:rsidRPr="0028033B">
        <w:t xml:space="preserve">(101.7 percent) increase in emissions from </w:t>
      </w:r>
      <w:r w:rsidRPr="0028033B">
        <w:rPr>
          <w:i/>
        </w:rPr>
        <w:t>Manure management</w:t>
      </w:r>
      <w:r w:rsidRPr="0028033B">
        <w:t xml:space="preserve">, and a 515.1 </w:t>
      </w:r>
      <w:r w:rsidRPr="0028033B">
        <w:rPr>
          <w:rFonts w:cs="Calibri"/>
          <w:spacing w:val="-2"/>
        </w:rPr>
        <w:t>kt CO</w:t>
      </w:r>
      <w:r w:rsidRPr="0028033B">
        <w:rPr>
          <w:rFonts w:cs="Calibri"/>
          <w:spacing w:val="-2"/>
          <w:vertAlign w:val="subscript"/>
        </w:rPr>
        <w:t>2</w:t>
      </w:r>
      <w:r w:rsidRPr="0028033B">
        <w:rPr>
          <w:rFonts w:cs="Calibri"/>
          <w:spacing w:val="-2"/>
        </w:rPr>
        <w:t xml:space="preserve">e (1.7 percent) increase in emissions from </w:t>
      </w:r>
      <w:r w:rsidRPr="0028033B">
        <w:rPr>
          <w:rFonts w:cs="Calibri"/>
          <w:i/>
          <w:szCs w:val="16"/>
        </w:rPr>
        <w:t xml:space="preserve">Enteric fermentation </w:t>
      </w:r>
      <w:r w:rsidRPr="0028033B">
        <w:rPr>
          <w:rFonts w:cs="Calibri"/>
        </w:rPr>
        <w:t xml:space="preserve">(table 5.1.1 and figure 5.1.1). </w:t>
      </w:r>
    </w:p>
    <w:p w14:paraId="3C5FBC36" w14:textId="77777777" w:rsidR="00E46639" w:rsidRPr="0028033B" w:rsidRDefault="00E46639" w:rsidP="00E46639">
      <w:pPr>
        <w:pStyle w:val="BodyText"/>
        <w:rPr>
          <w:rFonts w:cs="Calibri"/>
        </w:rPr>
      </w:pPr>
      <w:r w:rsidRPr="0028033B">
        <w:rPr>
          <w:rFonts w:cs="Calibri"/>
          <w:spacing w:val="-2"/>
        </w:rPr>
        <w:t>The increase in N</w:t>
      </w:r>
      <w:r w:rsidRPr="0028033B">
        <w:rPr>
          <w:rFonts w:cs="Calibri"/>
          <w:spacing w:val="-2"/>
          <w:vertAlign w:val="subscript"/>
        </w:rPr>
        <w:t>2</w:t>
      </w:r>
      <w:r w:rsidRPr="0028033B">
        <w:rPr>
          <w:rFonts w:cs="Calibri"/>
          <w:spacing w:val="-2"/>
        </w:rPr>
        <w:t xml:space="preserve">O emissions from </w:t>
      </w:r>
      <w:r w:rsidRPr="0028033B">
        <w:rPr>
          <w:rFonts w:cs="Calibri"/>
          <w:i/>
          <w:iCs/>
          <w:spacing w:val="-2"/>
        </w:rPr>
        <w:t>Agricultural soils</w:t>
      </w:r>
      <w:r w:rsidRPr="0028033B">
        <w:rPr>
          <w:rFonts w:cs="Calibri"/>
          <w:spacing w:val="-2"/>
        </w:rPr>
        <w:t xml:space="preserve"> is primarily a result of increased application</w:t>
      </w:r>
      <w:r w:rsidRPr="0028033B">
        <w:rPr>
          <w:rFonts w:cs="Calibri"/>
        </w:rPr>
        <w:t xml:space="preserve"> of synthetic nitrogen fertiliser. This has increased by 553.0 percent</w:t>
      </w:r>
      <w:r w:rsidRPr="0028033B" w:rsidDel="00721C02">
        <w:rPr>
          <w:rFonts w:cs="Calibri"/>
        </w:rPr>
        <w:t xml:space="preserve"> </w:t>
      </w:r>
      <w:r w:rsidRPr="0028033B">
        <w:rPr>
          <w:rFonts w:cs="Calibri"/>
        </w:rPr>
        <w:t>since 1990. The increased use of nitrogen fertiliser has been largely driven by the growth and intensification of dairy farming, as w</w:t>
      </w:r>
      <w:bookmarkStart w:id="594" w:name="xxxxx"/>
      <w:bookmarkEnd w:id="594"/>
      <w:r w:rsidRPr="0028033B">
        <w:rPr>
          <w:rFonts w:cs="Calibri"/>
        </w:rPr>
        <w:t>ell as increased use of nitrogen on other farm types, such as sheep and non-dairy (beef) cattle.</w:t>
      </w:r>
      <w:r w:rsidRPr="0028033B">
        <w:t xml:space="preserve"> The N</w:t>
      </w:r>
      <w:r w:rsidRPr="0028033B">
        <w:rPr>
          <w:vertAlign w:val="subscript"/>
        </w:rPr>
        <w:t>2</w:t>
      </w:r>
      <w:r w:rsidRPr="0028033B">
        <w:t xml:space="preserve">O emissions (direct and indirect) from synthetic nitrogen fertiliser use increased by 1,000.0 </w:t>
      </w:r>
      <w:r w:rsidRPr="0028033B">
        <w:rPr>
          <w:rFonts w:cs="Calibri"/>
        </w:rPr>
        <w:t xml:space="preserve">kt </w:t>
      </w:r>
      <w:r w:rsidRPr="0028033B">
        <w:rPr>
          <w:rFonts w:cs="Calibri"/>
          <w:spacing w:val="-2"/>
        </w:rPr>
        <w:t>CO</w:t>
      </w:r>
      <w:r w:rsidRPr="0028033B">
        <w:rPr>
          <w:rFonts w:cs="Calibri"/>
          <w:spacing w:val="-2"/>
          <w:vertAlign w:val="subscript"/>
        </w:rPr>
        <w:t>2</w:t>
      </w:r>
      <w:r w:rsidRPr="0028033B">
        <w:rPr>
          <w:rFonts w:cs="Calibri"/>
          <w:spacing w:val="-2"/>
        </w:rPr>
        <w:t xml:space="preserve">e between 1990 and 2024. This is 60.0 percent of the total increase in emissions from </w:t>
      </w:r>
      <w:r w:rsidRPr="0028033B">
        <w:rPr>
          <w:rFonts w:cs="Calibri"/>
          <w:i/>
          <w:spacing w:val="-2"/>
        </w:rPr>
        <w:t xml:space="preserve">Agricultural soils. </w:t>
      </w:r>
    </w:p>
    <w:p w14:paraId="3FC449AB" w14:textId="77777777" w:rsidR="00E46639" w:rsidRPr="0028033B" w:rsidRDefault="00E46639" w:rsidP="00E46639">
      <w:pPr>
        <w:pStyle w:val="BodyText"/>
        <w:rPr>
          <w:rFonts w:cs="Calibri"/>
          <w:color w:val="0D0D0D" w:themeColor="text1" w:themeTint="F2"/>
        </w:rPr>
      </w:pPr>
      <w:r w:rsidRPr="0028033B">
        <w:rPr>
          <w:rFonts w:cs="Calibri"/>
          <w:color w:val="0D0D0D" w:themeColor="text1" w:themeTint="F2"/>
        </w:rPr>
        <w:t xml:space="preserve">The increase in emissions from </w:t>
      </w:r>
      <w:r w:rsidRPr="0028033B">
        <w:rPr>
          <w:rFonts w:cs="Calibri"/>
          <w:i/>
          <w:color w:val="0D0D0D" w:themeColor="text1" w:themeTint="F2"/>
        </w:rPr>
        <w:t>Manure management</w:t>
      </w:r>
      <w:r w:rsidRPr="0028033B">
        <w:rPr>
          <w:rFonts w:cs="Calibri"/>
          <w:color w:val="0D0D0D" w:themeColor="text1" w:themeTint="F2"/>
        </w:rPr>
        <w:t xml:space="preserve"> and </w:t>
      </w:r>
      <w:r w:rsidRPr="0028033B">
        <w:rPr>
          <w:rFonts w:cs="Calibri"/>
          <w:i/>
          <w:color w:val="0D0D0D" w:themeColor="text1" w:themeTint="F2"/>
        </w:rPr>
        <w:t>Enteric fermentation</w:t>
      </w:r>
      <w:r w:rsidRPr="0028033B">
        <w:rPr>
          <w:rFonts w:cs="Calibri"/>
          <w:color w:val="0D0D0D" w:themeColor="text1" w:themeTint="F2"/>
        </w:rPr>
        <w:t xml:space="preserve"> is driven by an increase in dairy cattle </w:t>
      </w:r>
      <w:r w:rsidRPr="0028033B">
        <w:rPr>
          <w:rFonts w:cs="Calibri"/>
          <w:color w:val="0D0D0D" w:themeColor="text1" w:themeTint="F2"/>
          <w:spacing w:val="-2"/>
        </w:rPr>
        <w:t xml:space="preserve">numbers. The increase in dairy </w:t>
      </w:r>
      <w:r w:rsidRPr="0028033B">
        <w:rPr>
          <w:rFonts w:cs="Calibri"/>
          <w:i/>
          <w:color w:val="0D0D0D" w:themeColor="text1" w:themeTint="F2"/>
          <w:spacing w:val="-2"/>
        </w:rPr>
        <w:t>Enteric fermentation</w:t>
      </w:r>
      <w:r w:rsidRPr="0028033B">
        <w:rPr>
          <w:rFonts w:cs="Calibri"/>
          <w:color w:val="0D0D0D" w:themeColor="text1" w:themeTint="F2"/>
          <w:spacing w:val="-2"/>
        </w:rPr>
        <w:t xml:space="preserve"> emissions is partially offset by a decline in sheep numbers and a decrease in non-dairy (beef) cattle. The</w:t>
      </w:r>
      <w:r w:rsidRPr="0028033B">
        <w:rPr>
          <w:rFonts w:cs="Calibri"/>
          <w:color w:val="0D0D0D" w:themeColor="text1" w:themeTint="F2"/>
        </w:rPr>
        <w:t xml:space="preserve"> change in animal populations since 1990 reflects the relative financial returns in each sector. It</w:t>
      </w:r>
      <w:r w:rsidRPr="0028033B">
        <w:t> </w:t>
      </w:r>
      <w:r w:rsidRPr="0028033B">
        <w:rPr>
          <w:rFonts w:cs="Calibri"/>
          <w:color w:val="0D0D0D" w:themeColor="text1" w:themeTint="F2"/>
        </w:rPr>
        <w:t xml:space="preserve">has become more profitable to farm dairy cattle than non-dairy (beef) cattle or sheep in </w:t>
      </w:r>
      <w:r w:rsidRPr="0028033B">
        <w:rPr>
          <w:color w:val="0D0D0D" w:themeColor="text1" w:themeTint="F2"/>
        </w:rPr>
        <w:t>New Zealand</w:t>
      </w:r>
      <w:r w:rsidRPr="0028033B">
        <w:rPr>
          <w:rFonts w:cs="Calibri"/>
          <w:color w:val="0D0D0D" w:themeColor="text1" w:themeTint="F2"/>
        </w:rPr>
        <w:t xml:space="preserve"> over the reporting period. </w:t>
      </w:r>
    </w:p>
    <w:p w14:paraId="684B0E18" w14:textId="77777777" w:rsidR="00E46639" w:rsidRPr="0028033B" w:rsidRDefault="00E46639" w:rsidP="00E46639">
      <w:pPr>
        <w:pStyle w:val="Figure"/>
      </w:pPr>
      <w:bookmarkStart w:id="595" w:name="_Toc222407701"/>
      <w:bookmarkStart w:id="596" w:name="_Toc226200681"/>
      <w:r w:rsidRPr="0028033B">
        <w:t>Figure 5.1.1</w:t>
      </w:r>
      <w:r w:rsidRPr="0028033B">
        <w:tab/>
        <w:t>New Zealand’s emissions from the Agriculture sector by reporting category, 1990, 2005 and 2024</w:t>
      </w:r>
      <w:bookmarkEnd w:id="595"/>
      <w:bookmarkEnd w:id="596"/>
    </w:p>
    <w:p w14:paraId="22689AEB" w14:textId="77777777" w:rsidR="00E46639" w:rsidRPr="0028033B" w:rsidRDefault="00E46639" w:rsidP="00E46639">
      <w:pPr>
        <w:pStyle w:val="BodyText"/>
      </w:pPr>
      <w:r w:rsidRPr="0028033B">
        <w:rPr>
          <w:noProof/>
        </w:rPr>
        <w:drawing>
          <wp:inline distT="0" distB="0" distL="0" distR="0" wp14:anchorId="7ADC34FC" wp14:editId="6CE9A26D">
            <wp:extent cx="5595464" cy="3112477"/>
            <wp:effectExtent l="0" t="0" r="5715" b="0"/>
            <wp:docPr id="593397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3284"/>
                    <a:stretch>
                      <a:fillRect/>
                    </a:stretch>
                  </pic:blipFill>
                  <pic:spPr bwMode="auto">
                    <a:xfrm>
                      <a:off x="0" y="0"/>
                      <a:ext cx="5599440" cy="3114689"/>
                    </a:xfrm>
                    <a:prstGeom prst="rect">
                      <a:avLst/>
                    </a:prstGeom>
                    <a:noFill/>
                    <a:ln>
                      <a:noFill/>
                    </a:ln>
                    <a:extLst>
                      <a:ext uri="{53640926-AAD7-44D8-BBD7-CCE9431645EC}">
                        <a14:shadowObscured xmlns:a14="http://schemas.microsoft.com/office/drawing/2010/main"/>
                      </a:ext>
                    </a:extLst>
                  </pic:spPr>
                </pic:pic>
              </a:graphicData>
            </a:graphic>
          </wp:inline>
        </w:drawing>
      </w:r>
    </w:p>
    <w:p w14:paraId="220BE7F0" w14:textId="77777777" w:rsidR="00E46639" w:rsidRPr="0028033B" w:rsidRDefault="00E46639" w:rsidP="00E46639">
      <w:pPr>
        <w:pStyle w:val="Noteundertable"/>
        <w:tabs>
          <w:tab w:val="clear" w:pos="567"/>
        </w:tabs>
        <w:spacing w:before="0" w:after="180"/>
        <w:rPr>
          <w:rFonts w:cs="Calibri"/>
        </w:rPr>
      </w:pPr>
      <w:r w:rsidRPr="0028033B">
        <w:rPr>
          <w:rFonts w:cs="Calibri"/>
          <w:b/>
          <w:bCs/>
        </w:rPr>
        <w:t>Notes:</w:t>
      </w:r>
      <w:r w:rsidRPr="0028033B">
        <w:rPr>
          <w:rFonts w:cs="Calibri"/>
        </w:rPr>
        <w:t xml:space="preserve"> </w:t>
      </w:r>
      <w:r w:rsidRPr="0028033B">
        <w:rPr>
          <w:rFonts w:cs="Calibri"/>
        </w:rPr>
        <w:tab/>
      </w:r>
      <w:bookmarkStart w:id="597" w:name="_Hlk219898834"/>
      <w:r w:rsidRPr="0028033B">
        <w:rPr>
          <w:rFonts w:cs="Calibri"/>
        </w:rPr>
        <w:t xml:space="preserve">Rice cultivation does not occur (NO) in New Zealand. Emissions from other carbon-containing fertilisers are not estimated (NE). </w:t>
      </w:r>
      <w:bookmarkEnd w:id="597"/>
    </w:p>
    <w:p w14:paraId="3DCDAF5D" w14:textId="77777777" w:rsidR="00E46639" w:rsidRPr="0028033B" w:rsidRDefault="00E46639" w:rsidP="00E46639">
      <w:pPr>
        <w:pStyle w:val="Figure"/>
      </w:pPr>
      <w:bookmarkStart w:id="598" w:name="_Toc32570957"/>
      <w:bookmarkStart w:id="599" w:name="_Toc36292787"/>
      <w:bookmarkStart w:id="600" w:name="_Toc68786652"/>
      <w:bookmarkStart w:id="601" w:name="_Toc95574113"/>
      <w:bookmarkStart w:id="602" w:name="_Toc127458552"/>
      <w:bookmarkStart w:id="603" w:name="_Toc131591554"/>
      <w:bookmarkStart w:id="604" w:name="_Toc164154022"/>
      <w:bookmarkStart w:id="605" w:name="_Toc222407702"/>
      <w:bookmarkStart w:id="606" w:name="_Toc226200682"/>
      <w:r w:rsidRPr="0028033B">
        <w:t>Figure 5.1.2</w:t>
      </w:r>
      <w:r w:rsidRPr="0028033B">
        <w:tab/>
        <w:t>New Zealand’s Agriculture sector emissions, from 1990 to </w:t>
      </w:r>
      <w:bookmarkEnd w:id="598"/>
      <w:bookmarkEnd w:id="599"/>
      <w:bookmarkEnd w:id="600"/>
      <w:bookmarkEnd w:id="601"/>
      <w:bookmarkEnd w:id="602"/>
      <w:bookmarkEnd w:id="603"/>
      <w:bookmarkEnd w:id="604"/>
      <w:r w:rsidRPr="0028033B">
        <w:t>2024</w:t>
      </w:r>
      <w:bookmarkEnd w:id="605"/>
      <w:bookmarkEnd w:id="606"/>
    </w:p>
    <w:p w14:paraId="16CD6013" w14:textId="77777777" w:rsidR="00E46639" w:rsidRPr="0028033B" w:rsidRDefault="00E46639" w:rsidP="00E46639">
      <w:pPr>
        <w:pStyle w:val="BodyText"/>
      </w:pPr>
      <w:r w:rsidRPr="0028033B">
        <w:rPr>
          <w:noProof/>
        </w:rPr>
        <w:drawing>
          <wp:inline distT="0" distB="0" distL="0" distR="0" wp14:anchorId="5A092B9A" wp14:editId="2CDAA477">
            <wp:extent cx="5281246" cy="3038274"/>
            <wp:effectExtent l="0" t="0" r="0" b="0"/>
            <wp:docPr id="1250521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602"/>
                    <a:stretch>
                      <a:fillRect/>
                    </a:stretch>
                  </pic:blipFill>
                  <pic:spPr bwMode="auto">
                    <a:xfrm>
                      <a:off x="0" y="0"/>
                      <a:ext cx="5287082" cy="3041631"/>
                    </a:xfrm>
                    <a:prstGeom prst="rect">
                      <a:avLst/>
                    </a:prstGeom>
                    <a:noFill/>
                    <a:ln>
                      <a:noFill/>
                    </a:ln>
                    <a:extLst>
                      <a:ext uri="{53640926-AAD7-44D8-BBD7-CCE9431645EC}">
                        <a14:shadowObscured xmlns:a14="http://schemas.microsoft.com/office/drawing/2010/main"/>
                      </a:ext>
                    </a:extLst>
                  </pic:spPr>
                </pic:pic>
              </a:graphicData>
            </a:graphic>
          </wp:inline>
        </w:drawing>
      </w:r>
    </w:p>
    <w:p w14:paraId="5FEB71D9" w14:textId="77777777" w:rsidR="00E46639" w:rsidRPr="0028033B" w:rsidRDefault="00E46639" w:rsidP="00E46639">
      <w:pPr>
        <w:pStyle w:val="Heading3"/>
      </w:pPr>
      <w:bookmarkStart w:id="607" w:name="_Toc32570643"/>
      <w:r w:rsidRPr="0028033B">
        <w:t>5.1.1</w:t>
      </w:r>
      <w:r w:rsidRPr="0028033B">
        <w:tab/>
        <w:t>New Zealand farming practices and trends</w:t>
      </w:r>
      <w:bookmarkEnd w:id="607"/>
      <w:r w:rsidRPr="0028033B">
        <w:t xml:space="preserve"> </w:t>
      </w:r>
    </w:p>
    <w:p w14:paraId="667B6D78" w14:textId="77777777" w:rsidR="00E46639" w:rsidRPr="0028033B" w:rsidRDefault="00E46639" w:rsidP="00E46639">
      <w:pPr>
        <w:pStyle w:val="BodyText"/>
        <w:rPr>
          <w:rFonts w:cs="Calibri"/>
        </w:rPr>
      </w:pPr>
      <w:r w:rsidRPr="0028033B">
        <w:rPr>
          <w:rFonts w:cs="Calibri"/>
        </w:rPr>
        <w:t xml:space="preserve">Agriculture is a major component of the </w:t>
      </w:r>
      <w:r w:rsidRPr="0028033B">
        <w:t>New Zealand</w:t>
      </w:r>
      <w:r w:rsidRPr="0028033B" w:rsidDel="007E7C77">
        <w:rPr>
          <w:rFonts w:cs="Calibri"/>
        </w:rPr>
        <w:t xml:space="preserve"> </w:t>
      </w:r>
      <w:r w:rsidRPr="0028033B">
        <w:rPr>
          <w:rFonts w:cs="Calibri"/>
        </w:rPr>
        <w:t xml:space="preserve">export economy. Exports from food and fibre products comprised around </w:t>
      </w:r>
      <w:r w:rsidRPr="0028033B">
        <w:t xml:space="preserve">82.9 percent of New Zealand’s merchandise exports and delivered $60.4 billion in export earnings in the year to 30 June 2025 (MPI, 2025b). </w:t>
      </w:r>
      <w:r w:rsidRPr="0028033B">
        <w:rPr>
          <w:rFonts w:cs="Calibri"/>
        </w:rPr>
        <w:t xml:space="preserve">The production of agricultural products in </w:t>
      </w:r>
      <w:r w:rsidRPr="0028033B" w:rsidDel="00AD2AA8">
        <w:t xml:space="preserve">New </w:t>
      </w:r>
      <w:r w:rsidRPr="0028033B">
        <w:t>Zealand</w:t>
      </w:r>
      <w:r w:rsidRPr="0028033B">
        <w:rPr>
          <w:rFonts w:cs="Calibri"/>
        </w:rPr>
        <w:t xml:space="preserve"> is supported by the favourable temperate climate and access to abundant freshwater and productive soils. Typical farming practices in </w:t>
      </w:r>
      <w:r w:rsidRPr="0028033B" w:rsidDel="00224057">
        <w:t xml:space="preserve">New </w:t>
      </w:r>
      <w:r w:rsidRPr="0028033B">
        <w:t>Zealand</w:t>
      </w:r>
      <w:r w:rsidRPr="0028033B">
        <w:rPr>
          <w:rFonts w:cs="Calibri"/>
        </w:rPr>
        <w:t xml:space="preserve"> include the use of year-round outdoor pastoral grazing systems and nitrogen inputs through nitrogen fixation by legumes, particularly white clover </w:t>
      </w:r>
      <w:r w:rsidRPr="0028033B">
        <w:rPr>
          <w:rFonts w:cs="Calibri"/>
          <w:i/>
          <w:iCs/>
        </w:rPr>
        <w:t>(Trifolium repens)</w:t>
      </w:r>
      <w:r w:rsidRPr="0028033B">
        <w:rPr>
          <w:rFonts w:cs="Calibri"/>
        </w:rPr>
        <w:t>, complemented (if required) by synthetic nitrogen fertiliser and supplementary feeds. The</w:t>
      </w:r>
      <w:r w:rsidRPr="0028033B" w:rsidDel="008E6959">
        <w:rPr>
          <w:rFonts w:cs="Calibri"/>
        </w:rPr>
        <w:t xml:space="preserve"> </w:t>
      </w:r>
      <w:r w:rsidRPr="0028033B">
        <w:rPr>
          <w:rFonts w:cs="Calibri"/>
        </w:rPr>
        <w:t xml:space="preserve">widespread use of outdoor pastoral grazing systems means </w:t>
      </w:r>
      <w:r w:rsidRPr="0028033B">
        <w:t>New Zealand’s</w:t>
      </w:r>
      <w:r w:rsidRPr="0028033B">
        <w:rPr>
          <w:rFonts w:cs="Calibri"/>
        </w:rPr>
        <w:t xml:space="preserve"> agricultural production is more sensitive to climatic variation affecting feed production than countries that use intensive grain</w:t>
      </w:r>
      <w:r w:rsidRPr="0028033B">
        <w:rPr>
          <w:rFonts w:cs="Calibri"/>
        </w:rPr>
        <w:noBreakHyphen/>
        <w:t xml:space="preserve">fed systems and/or indoor feedlots. </w:t>
      </w:r>
    </w:p>
    <w:p w14:paraId="2823740E" w14:textId="77777777" w:rsidR="00E46639" w:rsidRPr="0028033B" w:rsidRDefault="00E46639" w:rsidP="00E46639">
      <w:pPr>
        <w:pStyle w:val="BodyText"/>
        <w:rPr>
          <w:color w:val="0D0D0D" w:themeColor="text1" w:themeTint="F2"/>
        </w:rPr>
      </w:pPr>
      <w:r w:rsidRPr="0028033B">
        <w:t xml:space="preserve">Intensive housing of major ruminant livestock species rarely occurs in </w:t>
      </w:r>
      <w:r w:rsidRPr="0028033B" w:rsidDel="00DF24B0">
        <w:t>New</w:t>
      </w:r>
      <w:r w:rsidRPr="0028033B">
        <w:t xml:space="preserve"> Zealand. Farmers may temporarily take animals off regular grazing areas to prevent damage to soils and limit any subsequent loss in pasture growth, although most off-paddock areas are also outdoors. This means </w:t>
      </w:r>
      <w:r w:rsidRPr="0028033B" w:rsidDel="00DF24B0">
        <w:t xml:space="preserve">New </w:t>
      </w:r>
      <w:r w:rsidRPr="0028033B">
        <w:t xml:space="preserve">Zealand has a much lower proportion of Agriculture emissions from </w:t>
      </w:r>
      <w:r w:rsidRPr="0028033B">
        <w:rPr>
          <w:i/>
          <w:iCs/>
        </w:rPr>
        <w:t>Manure</w:t>
      </w:r>
      <w:r w:rsidRPr="0028033B">
        <w:rPr>
          <w:i/>
        </w:rPr>
        <w:t xml:space="preserve"> management</w:t>
      </w:r>
      <w:r w:rsidRPr="0028033B">
        <w:t xml:space="preserve">, compared with other Annex I Parties, because most manure is deposited directly onto pastures. For further information about New Zealand’s agricultural farming practices and conditions, see section 2.1.6.4 (National circumstances, Agriculture) of </w:t>
      </w:r>
      <w:r w:rsidRPr="0028033B">
        <w:rPr>
          <w:color w:val="0D0D0D" w:themeColor="text1" w:themeTint="F2"/>
        </w:rPr>
        <w:t xml:space="preserve">New Zealand’s first Biennial Transparency Report under the Paris Agreement (Ministry for the Environment, 2024). </w:t>
      </w:r>
    </w:p>
    <w:p w14:paraId="7328004B" w14:textId="77777777" w:rsidR="00E46639" w:rsidRPr="0028033B" w:rsidRDefault="00E46639" w:rsidP="00E46639">
      <w:pPr>
        <w:pStyle w:val="BodyText"/>
        <w:rPr>
          <w:rFonts w:cs="Calibri"/>
          <w:color w:val="0D0D0D" w:themeColor="text1" w:themeTint="F2"/>
        </w:rPr>
      </w:pPr>
      <w:r w:rsidRPr="0028033B">
        <w:rPr>
          <w:rFonts w:cs="Calibri"/>
        </w:rPr>
        <w:t xml:space="preserve">Trends in emissions from the Agriculture sector are largely driven by the populations of the ruminant livestock categories: </w:t>
      </w:r>
      <w:r w:rsidRPr="0028033B">
        <w:rPr>
          <w:rFonts w:cs="Calibri"/>
          <w:i/>
          <w:iCs/>
        </w:rPr>
        <w:t>Dairy cattle</w:t>
      </w:r>
      <w:r w:rsidRPr="0028033B">
        <w:rPr>
          <w:rFonts w:cs="Calibri"/>
        </w:rPr>
        <w:t xml:space="preserve">, </w:t>
      </w:r>
      <w:r w:rsidRPr="0028033B">
        <w:rPr>
          <w:rFonts w:cs="Calibri"/>
          <w:i/>
          <w:iCs/>
        </w:rPr>
        <w:t>Non-dairy cattle</w:t>
      </w:r>
      <w:r w:rsidRPr="0028033B">
        <w:rPr>
          <w:rFonts w:cs="Calibri"/>
        </w:rPr>
        <w:t xml:space="preserve">, </w:t>
      </w:r>
      <w:r w:rsidRPr="0028033B">
        <w:rPr>
          <w:rFonts w:cs="Calibri"/>
          <w:i/>
          <w:iCs/>
        </w:rPr>
        <w:t>Sheep</w:t>
      </w:r>
      <w:r w:rsidRPr="0028033B">
        <w:rPr>
          <w:rFonts w:cs="Calibri"/>
        </w:rPr>
        <w:t xml:space="preserve"> and </w:t>
      </w:r>
      <w:r w:rsidRPr="0028033B">
        <w:rPr>
          <w:rFonts w:cs="Calibri"/>
          <w:i/>
          <w:iCs/>
        </w:rPr>
        <w:t>Deer</w:t>
      </w:r>
      <w:r w:rsidRPr="0028033B">
        <w:rPr>
          <w:rFonts w:cs="Calibri"/>
        </w:rPr>
        <w:t xml:space="preserve">. </w:t>
      </w:r>
      <w:r w:rsidRPr="0028033B">
        <w:rPr>
          <w:rFonts w:cs="Calibri"/>
          <w:color w:val="0D0D0D" w:themeColor="text1" w:themeTint="F2"/>
        </w:rPr>
        <w:t xml:space="preserve">In 1990 and </w:t>
      </w:r>
      <w:r w:rsidRPr="0028033B">
        <w:rPr>
          <w:rFonts w:cs="Calibri"/>
        </w:rPr>
        <w:t xml:space="preserve">2024 respectively, 95.5 percent and 93.0 percent of Agriculture emissions originated from </w:t>
      </w:r>
      <w:r w:rsidRPr="0028033B">
        <w:rPr>
          <w:rFonts w:cs="Calibri"/>
          <w:color w:val="0D0D0D" w:themeColor="text1" w:themeTint="F2"/>
        </w:rPr>
        <w:t xml:space="preserve">these ruminant livestock categories. </w:t>
      </w:r>
    </w:p>
    <w:p w14:paraId="60A03AD3" w14:textId="77777777" w:rsidR="00E46639" w:rsidRPr="0028033B" w:rsidRDefault="00E46639" w:rsidP="00E46639">
      <w:pPr>
        <w:pStyle w:val="BodyText"/>
      </w:pPr>
      <w:r w:rsidRPr="0028033B">
        <w:t xml:space="preserve">Agricultural livestock activities use around 42 percent of New Zealand’s total land area (Stats NZ, 2023). Since 1990, the proportions of the main livestock categories farmed in </w:t>
      </w:r>
      <w:r w:rsidRPr="0028033B" w:rsidDel="007A3905">
        <w:t>New</w:t>
      </w:r>
      <w:r w:rsidRPr="0028033B">
        <w:t> Zealand have changed (see figure 5.1.3a and figure 5.1.3b). The</w:t>
      </w:r>
      <w:r w:rsidRPr="0028033B" w:rsidDel="00BA6D59">
        <w:t xml:space="preserve"> </w:t>
      </w:r>
      <w:r w:rsidRPr="0028033B">
        <w:t>population of dairy cattle has increased while the populations of sheep, non-dairy (beef) cattle and deer have decreased. Between 1990 and 2024, the land area used for sheep and non-dairy (beef) cattle grazing has decreased by 40.0 percent (5.0 million hectares), from 12.5 million hectares to 7.5 million hectares (based on data provided by Beef + Lamb), while the area used for dairy farming has increased by 66.5 percent (680,637 hectares) (LIC and Dairy NZ, 2025, table 2.2). Dairy farming has also intensified over this period, with the average number of cows per hectare increasing by 16.6 percent.</w:t>
      </w:r>
      <w:r w:rsidRPr="0028033B" w:rsidDel="00103073">
        <w:t xml:space="preserve"> </w:t>
      </w:r>
      <w:r w:rsidRPr="0028033B">
        <w:t>However, since 2015, both the total land under dairy production and the national herd size have decreased 2.7 percent and 6.4 percent respectively (LIC and Dairy NZ, 2025, table 2.2).</w:t>
      </w:r>
    </w:p>
    <w:p w14:paraId="7DFD9AF9" w14:textId="77777777" w:rsidR="00E46639" w:rsidRPr="0028033B" w:rsidRDefault="00E46639" w:rsidP="00E46639">
      <w:pPr>
        <w:pStyle w:val="BodyText"/>
      </w:pPr>
      <w:r w:rsidRPr="0028033B">
        <w:t xml:space="preserve">The use of synthetic nitrogen fertiliser in the Agriculture sector has increased by </w:t>
      </w:r>
      <w:r w:rsidRPr="0028033B">
        <w:rPr>
          <w:rFonts w:cs="Calibri"/>
        </w:rPr>
        <w:t xml:space="preserve">553 </w:t>
      </w:r>
      <w:r w:rsidRPr="0028033B">
        <w:t>percent since 1990, although total use has decreased in recent years. Total emissions from synthetic nitrogen fertiliser (including CO</w:t>
      </w:r>
      <w:r w:rsidRPr="0028033B">
        <w:rPr>
          <w:vertAlign w:val="subscript"/>
        </w:rPr>
        <w:t>2</w:t>
      </w:r>
      <w:r w:rsidRPr="0028033B">
        <w:t xml:space="preserve"> from urea) have increased from 0.5 percent of Agriculture emissions in 1990 to a peak of 3.4 percent in 2020. Since 2020, synthetic nitrogen fertiliser use has decreased. Total emissions from synthetic nitrogen fertiliser (including CO</w:t>
      </w:r>
      <w:r w:rsidRPr="0028033B">
        <w:rPr>
          <w:vertAlign w:val="subscript"/>
        </w:rPr>
        <w:t>2</w:t>
      </w:r>
      <w:r w:rsidRPr="0028033B">
        <w:t xml:space="preserve"> from urea) contributed 3.0 percent of Agriculture emissions in 2024. </w:t>
      </w:r>
    </w:p>
    <w:p w14:paraId="052F38FF" w14:textId="77777777" w:rsidR="00E46639" w:rsidRPr="0028033B" w:rsidRDefault="00E46639" w:rsidP="00E46639">
      <w:pPr>
        <w:pStyle w:val="Figure"/>
      </w:pPr>
      <w:bookmarkStart w:id="608" w:name="_Toc507158462"/>
      <w:bookmarkStart w:id="609" w:name="_Toc511116955"/>
      <w:bookmarkStart w:id="610" w:name="_Toc5269685"/>
      <w:bookmarkStart w:id="611" w:name="_Toc32570958"/>
      <w:bookmarkStart w:id="612" w:name="_Toc36292788"/>
      <w:bookmarkStart w:id="613" w:name="_Toc68786653"/>
      <w:bookmarkStart w:id="614" w:name="_Toc95574114"/>
      <w:bookmarkStart w:id="615" w:name="_Toc127458553"/>
      <w:bookmarkStart w:id="616" w:name="_Toc131591555"/>
      <w:bookmarkStart w:id="617" w:name="_Toc164154023"/>
      <w:bookmarkStart w:id="618" w:name="_Toc222407703"/>
      <w:bookmarkStart w:id="619" w:name="_Toc226200683"/>
      <w:r w:rsidRPr="0028033B">
        <w:t xml:space="preserve">Figure 5.1.3a </w:t>
      </w:r>
      <w:r w:rsidRPr="0028033B">
        <w:tab/>
        <w:t xml:space="preserve">Populations of New Zealand’s dairy cattle, non-dairy cattle and deer, from 1990 to 2024 </w:t>
      </w:r>
      <w:r w:rsidRPr="0028033B">
        <w:br/>
        <w:t>(June year ending)</w:t>
      </w:r>
      <w:bookmarkEnd w:id="608"/>
      <w:bookmarkEnd w:id="609"/>
      <w:bookmarkEnd w:id="610"/>
      <w:bookmarkEnd w:id="611"/>
      <w:bookmarkEnd w:id="612"/>
      <w:bookmarkEnd w:id="613"/>
      <w:bookmarkEnd w:id="614"/>
      <w:bookmarkEnd w:id="615"/>
      <w:bookmarkEnd w:id="616"/>
      <w:bookmarkEnd w:id="617"/>
      <w:bookmarkEnd w:id="618"/>
      <w:bookmarkEnd w:id="619"/>
      <w:r w:rsidRPr="0028033B">
        <w:t xml:space="preserve"> </w:t>
      </w:r>
    </w:p>
    <w:p w14:paraId="7FAA4FE5" w14:textId="77777777" w:rsidR="00E46639" w:rsidRPr="0028033B" w:rsidRDefault="00E46639" w:rsidP="00E46639">
      <w:pPr>
        <w:pStyle w:val="BodyText"/>
      </w:pPr>
      <w:r w:rsidRPr="0028033B">
        <w:rPr>
          <w:noProof/>
        </w:rPr>
        <w:drawing>
          <wp:inline distT="0" distB="0" distL="0" distR="0" wp14:anchorId="5AE423D3" wp14:editId="7D3F3123">
            <wp:extent cx="5339862" cy="3002483"/>
            <wp:effectExtent l="0" t="0" r="0" b="7620"/>
            <wp:docPr id="21764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476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3985"/>
                    <a:stretch>
                      <a:fillRect/>
                    </a:stretch>
                  </pic:blipFill>
                  <pic:spPr bwMode="auto">
                    <a:xfrm>
                      <a:off x="0" y="0"/>
                      <a:ext cx="5344234" cy="3004941"/>
                    </a:xfrm>
                    <a:prstGeom prst="rect">
                      <a:avLst/>
                    </a:prstGeom>
                    <a:noFill/>
                    <a:ln>
                      <a:noFill/>
                    </a:ln>
                    <a:extLst>
                      <a:ext uri="{53640926-AAD7-44D8-BBD7-CCE9431645EC}">
                        <a14:shadowObscured xmlns:a14="http://schemas.microsoft.com/office/drawing/2010/main"/>
                      </a:ext>
                    </a:extLst>
                  </pic:spPr>
                </pic:pic>
              </a:graphicData>
            </a:graphic>
          </wp:inline>
        </w:drawing>
      </w:r>
    </w:p>
    <w:p w14:paraId="43C80C69" w14:textId="77777777" w:rsidR="00E46639" w:rsidRPr="0028033B" w:rsidRDefault="00E46639" w:rsidP="00E46639">
      <w:pPr>
        <w:pStyle w:val="Source"/>
        <w:spacing w:before="0" w:after="180"/>
        <w:rPr>
          <w:sz w:val="18"/>
          <w:szCs w:val="18"/>
        </w:rPr>
      </w:pPr>
      <w:r w:rsidRPr="0028033B">
        <w:rPr>
          <w:b/>
          <w:sz w:val="18"/>
          <w:szCs w:val="24"/>
        </w:rPr>
        <w:t>Source:</w:t>
      </w:r>
      <w:r w:rsidRPr="0028033B">
        <w:rPr>
          <w:b/>
          <w:bCs/>
          <w:sz w:val="18"/>
          <w:szCs w:val="18"/>
        </w:rPr>
        <w:tab/>
      </w:r>
      <w:r w:rsidRPr="0028033B">
        <w:rPr>
          <w:sz w:val="18"/>
          <w:szCs w:val="18"/>
        </w:rPr>
        <w:t>Stats NZ</w:t>
      </w:r>
    </w:p>
    <w:p w14:paraId="6C90FAAC" w14:textId="77777777" w:rsidR="00E46639" w:rsidRPr="0028033B" w:rsidRDefault="00E46639" w:rsidP="00E46639">
      <w:pPr>
        <w:pStyle w:val="Figure"/>
        <w:spacing w:after="0"/>
      </w:pPr>
      <w:bookmarkStart w:id="620" w:name="_Toc507158463"/>
      <w:bookmarkStart w:id="621" w:name="_Toc511116956"/>
      <w:bookmarkStart w:id="622" w:name="_Toc5269686"/>
      <w:bookmarkStart w:id="623" w:name="_Toc32570959"/>
      <w:bookmarkStart w:id="624" w:name="_Toc36292789"/>
      <w:bookmarkStart w:id="625" w:name="_Toc68786654"/>
      <w:bookmarkStart w:id="626" w:name="_Toc95574115"/>
      <w:bookmarkStart w:id="627" w:name="_Toc127458554"/>
      <w:bookmarkStart w:id="628" w:name="_Toc131591556"/>
      <w:bookmarkStart w:id="629" w:name="_Toc164154024"/>
      <w:bookmarkStart w:id="630" w:name="_Toc222407704"/>
      <w:bookmarkStart w:id="631" w:name="_Toc226200684"/>
      <w:r w:rsidRPr="0028033B">
        <w:t xml:space="preserve">Figure 5.1.3b </w:t>
      </w:r>
      <w:r w:rsidRPr="0028033B">
        <w:tab/>
        <w:t>Population of New Zealand’s sheep, from 1990 to 2024 (June year ending)</w:t>
      </w:r>
      <w:bookmarkEnd w:id="620"/>
      <w:bookmarkEnd w:id="621"/>
      <w:bookmarkEnd w:id="622"/>
      <w:bookmarkEnd w:id="623"/>
      <w:bookmarkEnd w:id="624"/>
      <w:bookmarkEnd w:id="625"/>
      <w:bookmarkEnd w:id="626"/>
      <w:bookmarkEnd w:id="627"/>
      <w:bookmarkEnd w:id="628"/>
      <w:bookmarkEnd w:id="629"/>
      <w:bookmarkEnd w:id="630"/>
      <w:bookmarkEnd w:id="631"/>
    </w:p>
    <w:p w14:paraId="10ED9338" w14:textId="77777777" w:rsidR="00E46639" w:rsidRPr="0028033B" w:rsidRDefault="00E46639" w:rsidP="00E46639">
      <w:pPr>
        <w:pStyle w:val="BodyText"/>
      </w:pPr>
      <w:bookmarkStart w:id="632" w:name="_Toc507158464"/>
      <w:bookmarkStart w:id="633" w:name="_MON_1606658001"/>
      <w:bookmarkStart w:id="634" w:name="_Toc507158465"/>
      <w:bookmarkEnd w:id="632"/>
      <w:bookmarkEnd w:id="633"/>
      <w:r w:rsidRPr="0028033B">
        <w:rPr>
          <w:noProof/>
        </w:rPr>
        <w:drawing>
          <wp:inline distT="0" distB="0" distL="0" distR="0" wp14:anchorId="7C4D0399" wp14:editId="318FF666">
            <wp:extent cx="5339715" cy="3079605"/>
            <wp:effectExtent l="0" t="0" r="0" b="6985"/>
            <wp:docPr id="573823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23114" name="Picture 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1517"/>
                    <a:stretch>
                      <a:fillRect/>
                    </a:stretch>
                  </pic:blipFill>
                  <pic:spPr bwMode="auto">
                    <a:xfrm>
                      <a:off x="0" y="0"/>
                      <a:ext cx="5343005" cy="3081502"/>
                    </a:xfrm>
                    <a:prstGeom prst="rect">
                      <a:avLst/>
                    </a:prstGeom>
                    <a:noFill/>
                    <a:ln>
                      <a:noFill/>
                    </a:ln>
                    <a:extLst>
                      <a:ext uri="{53640926-AAD7-44D8-BBD7-CCE9431645EC}">
                        <a14:shadowObscured xmlns:a14="http://schemas.microsoft.com/office/drawing/2010/main"/>
                      </a:ext>
                    </a:extLst>
                  </pic:spPr>
                </pic:pic>
              </a:graphicData>
            </a:graphic>
          </wp:inline>
        </w:drawing>
      </w:r>
    </w:p>
    <w:p w14:paraId="05359334" w14:textId="77777777" w:rsidR="00E46639" w:rsidRPr="0028033B" w:rsidRDefault="00E46639" w:rsidP="00E46639">
      <w:pPr>
        <w:pStyle w:val="Source"/>
        <w:spacing w:before="80" w:after="120"/>
        <w:rPr>
          <w:sz w:val="18"/>
          <w:szCs w:val="18"/>
        </w:rPr>
      </w:pPr>
      <w:r w:rsidRPr="0028033B">
        <w:rPr>
          <w:b/>
          <w:sz w:val="18"/>
          <w:szCs w:val="28"/>
        </w:rPr>
        <w:t>Source:</w:t>
      </w:r>
      <w:r w:rsidRPr="0028033B">
        <w:rPr>
          <w:b/>
          <w:bCs/>
          <w:sz w:val="18"/>
          <w:szCs w:val="18"/>
        </w:rPr>
        <w:tab/>
      </w:r>
      <w:r w:rsidRPr="0028033B">
        <w:rPr>
          <w:sz w:val="18"/>
          <w:szCs w:val="18"/>
        </w:rPr>
        <w:t>Stats NZ</w:t>
      </w:r>
      <w:bookmarkEnd w:id="634"/>
      <w:r w:rsidRPr="0028033B">
        <w:rPr>
          <w:sz w:val="18"/>
          <w:szCs w:val="18"/>
        </w:rPr>
        <w:t xml:space="preserve"> </w:t>
      </w:r>
    </w:p>
    <w:p w14:paraId="735CECC8" w14:textId="77777777" w:rsidR="00E46639" w:rsidRPr="0028033B" w:rsidRDefault="00E46639" w:rsidP="00E46639">
      <w:pPr>
        <w:pStyle w:val="Heading4"/>
      </w:pPr>
      <w:r w:rsidRPr="0028033B">
        <w:t>Effect of productivity improvements and climatic events on implied emission factors</w:t>
      </w:r>
    </w:p>
    <w:p w14:paraId="4EF4AC04" w14:textId="77777777" w:rsidR="00E46639" w:rsidRPr="0028033B" w:rsidRDefault="00E46639" w:rsidP="00E46639">
      <w:pPr>
        <w:pStyle w:val="BodyText"/>
        <w:spacing w:before="80" w:after="100"/>
        <w:rPr>
          <w:rFonts w:cs="Calibri"/>
        </w:rPr>
      </w:pPr>
      <w:r w:rsidRPr="0028033B">
        <w:t>From 1990 to 2024, a gradual increase has occurred in the implied CH</w:t>
      </w:r>
      <w:r w:rsidRPr="0028033B">
        <w:rPr>
          <w:vertAlign w:val="subscript"/>
        </w:rPr>
        <w:t>4</w:t>
      </w:r>
      <w:r w:rsidRPr="0028033B">
        <w:t xml:space="preserve"> and N</w:t>
      </w:r>
      <w:r w:rsidRPr="0028033B">
        <w:rPr>
          <w:vertAlign w:val="subscript"/>
        </w:rPr>
        <w:t>2</w:t>
      </w:r>
      <w:r w:rsidRPr="0028033B">
        <w:t>O emission</w:t>
      </w:r>
      <w:r w:rsidRPr="0028033B">
        <w:rPr>
          <w:rFonts w:cs="Calibri"/>
        </w:rPr>
        <w:t xml:space="preserve"> factors</w:t>
      </w:r>
      <w:r w:rsidRPr="0028033B">
        <w:rPr>
          <w:rStyle w:val="FootnoteReference"/>
          <w:rFonts w:cs="Calibri"/>
        </w:rPr>
        <w:footnoteReference w:id="20"/>
      </w:r>
      <w:r w:rsidRPr="0028033B">
        <w:rPr>
          <w:rFonts w:cs="Calibri"/>
        </w:rPr>
        <w:t xml:space="preserve"> per head of the major livestock species and types farmed in </w:t>
      </w:r>
      <w:r w:rsidRPr="0028033B" w:rsidDel="00F3790D">
        <w:t xml:space="preserve">New </w:t>
      </w:r>
      <w:r w:rsidRPr="0028033B">
        <w:t>Zealand</w:t>
      </w:r>
      <w:r w:rsidRPr="0028033B">
        <w:rPr>
          <w:rFonts w:cs="Calibri"/>
        </w:rPr>
        <w:t xml:space="preserve">. This trend reflects the increased levels of productivity (milk and meat yield per head) achieved by </w:t>
      </w:r>
      <w:r w:rsidRPr="0028033B" w:rsidDel="000131D9">
        <w:t>New</w:t>
      </w:r>
      <w:r w:rsidRPr="0028033B">
        <w:t> Zealand farmers between 1990 and 2024. Increases in animal liveweight and milk yield per</w:t>
      </w:r>
      <w:r w:rsidRPr="0028033B">
        <w:rPr>
          <w:rFonts w:cs="Calibri"/>
        </w:rPr>
        <w:t xml:space="preserve"> animal require increased feed intake to meet higher energy demands, which results in higher CH</w:t>
      </w:r>
      <w:r w:rsidRPr="0028033B">
        <w:rPr>
          <w:rFonts w:cs="Calibri"/>
          <w:vertAlign w:val="subscript"/>
        </w:rPr>
        <w:t>4</w:t>
      </w:r>
      <w:r w:rsidRPr="0028033B">
        <w:rPr>
          <w:rFonts w:cs="Calibri"/>
        </w:rPr>
        <w:t xml:space="preserve"> and N</w:t>
      </w:r>
      <w:r w:rsidRPr="0028033B">
        <w:rPr>
          <w:rFonts w:cs="Calibri"/>
          <w:vertAlign w:val="subscript"/>
        </w:rPr>
        <w:t>2</w:t>
      </w:r>
      <w:r w:rsidRPr="0028033B">
        <w:rPr>
          <w:rFonts w:cs="Calibri"/>
        </w:rPr>
        <w:t>O emissions per animal (i.e., higher implied emission factors (IEFs)). The increased levels of productivity have also caused emissions per unit of product (i.e., milk and meat emissions intensity) to steadily decrease since 1990.</w:t>
      </w:r>
    </w:p>
    <w:p w14:paraId="1B77FCEF" w14:textId="77777777" w:rsidR="00E46639" w:rsidRPr="0028033B" w:rsidRDefault="00E46639" w:rsidP="00E46639">
      <w:pPr>
        <w:pStyle w:val="BodyText"/>
        <w:spacing w:before="100" w:after="100"/>
        <w:rPr>
          <w:rFonts w:cs="Calibri"/>
        </w:rPr>
      </w:pPr>
      <w:r w:rsidRPr="0028033B">
        <w:rPr>
          <w:rFonts w:cs="Calibri"/>
          <w:spacing w:val="-2"/>
        </w:rPr>
        <w:t xml:space="preserve">The use of year-round outdoor pastoral grazing systems means </w:t>
      </w:r>
      <w:r w:rsidRPr="0028033B">
        <w:rPr>
          <w:spacing w:val="-2"/>
        </w:rPr>
        <w:t>New Zealand’s animal</w:t>
      </w:r>
      <w:r w:rsidRPr="0028033B">
        <w:rPr>
          <w:rFonts w:cs="Calibri"/>
          <w:spacing w:val="-2"/>
        </w:rPr>
        <w:t xml:space="preserve"> production</w:t>
      </w:r>
      <w:r w:rsidRPr="0028033B">
        <w:rPr>
          <w:rFonts w:cs="Calibri"/>
        </w:rPr>
        <w:t xml:space="preserve"> </w:t>
      </w:r>
      <w:r w:rsidRPr="0028033B">
        <w:rPr>
          <w:rFonts w:cs="Calibri"/>
          <w:spacing w:val="-2"/>
        </w:rPr>
        <w:t>is largely dependent on the quantity and quality of pasture grown on land managed by farmers</w:t>
      </w:r>
      <w:r w:rsidRPr="0028033B">
        <w:rPr>
          <w:rFonts w:cs="Calibri"/>
        </w:rPr>
        <w:t xml:space="preserve">, as well as the use and/or availability of any supplementary feeds and fertiliser inputs. Pasture growth is influenced by weather and climatic events, such as droughts and floods, however, the temperate maritime climate is generally favourable for pastoral agriculture. These factors can cause changes in per-animal productivity and mean that IEFs can be noticeably different in adjacent years. For example, in 2008, a major nationwide drought affected both livestock </w:t>
      </w:r>
      <w:r w:rsidRPr="0028033B">
        <w:rPr>
          <w:rFonts w:cs="Calibri"/>
          <w:spacing w:val="-2"/>
        </w:rPr>
        <w:t xml:space="preserve">numbers and animal performance, resulting in lower livestock emissions and overall </w:t>
      </w:r>
      <w:r w:rsidRPr="0028033B">
        <w:rPr>
          <w:spacing w:val="-2"/>
        </w:rPr>
        <w:t>Agriculture</w:t>
      </w:r>
      <w:r w:rsidRPr="0028033B">
        <w:rPr>
          <w:rFonts w:cs="Calibri"/>
        </w:rPr>
        <w:t xml:space="preserve"> emissions (see figure 5.1.2). The livestock population and IEFs started to increase after the drought, once seasonal growing conditions improved, and farmers restored herd and flock numbers. </w:t>
      </w:r>
    </w:p>
    <w:p w14:paraId="652F0A61" w14:textId="1B011042" w:rsidR="00E46639" w:rsidRPr="0028033B" w:rsidRDefault="00E46639" w:rsidP="00E46639">
      <w:pPr>
        <w:pStyle w:val="BodyText"/>
      </w:pPr>
      <w:r w:rsidRPr="0028033B">
        <w:t>An example of this is included in figure 5.1.4, which overlays milk production per milking dairy cow with the IEFs (enteric fermentation) for all dairy cattle from 1990 to 2024. The figure shows that, while per cow productivity has trended upward, there is a large amount of</w:t>
      </w:r>
      <w:r w:rsidR="00BA40C6">
        <w:t> </w:t>
      </w:r>
      <w:r w:rsidRPr="0028033B">
        <w:t>inter-annual variability (mainly influenced by climatic conditions and international product prices). It also shows that the IEFs are affected by these changes in productivity.</w:t>
      </w:r>
    </w:p>
    <w:p w14:paraId="58AE15DC" w14:textId="77777777" w:rsidR="00E46639" w:rsidRPr="0028033B" w:rsidRDefault="00E46639" w:rsidP="00E46639">
      <w:pPr>
        <w:pStyle w:val="Figure"/>
        <w:spacing w:after="0"/>
      </w:pPr>
      <w:bookmarkStart w:id="636" w:name="_Toc507158466"/>
      <w:bookmarkStart w:id="637" w:name="_Toc511116957"/>
      <w:bookmarkStart w:id="638" w:name="_Toc5269687"/>
      <w:bookmarkStart w:id="639" w:name="_Toc32570960"/>
      <w:bookmarkStart w:id="640" w:name="_Toc36292790"/>
      <w:bookmarkStart w:id="641" w:name="_Toc68786655"/>
      <w:bookmarkStart w:id="642" w:name="_Toc95574116"/>
      <w:bookmarkStart w:id="643" w:name="_Toc127458555"/>
      <w:bookmarkStart w:id="644" w:name="_Toc131591557"/>
      <w:bookmarkStart w:id="645" w:name="_Toc164154025"/>
      <w:bookmarkStart w:id="646" w:name="_Toc222407705"/>
      <w:bookmarkStart w:id="647" w:name="_Toc226200685"/>
      <w:r w:rsidRPr="0028033B">
        <w:t>Figure 5.1.4</w:t>
      </w:r>
      <w:r w:rsidRPr="0028033B">
        <w:tab/>
        <w:t>Dairy milk productivity and implied enteric fermentation methane emission factors for dairy cows, from 1990 to </w:t>
      </w:r>
      <w:bookmarkEnd w:id="636"/>
      <w:bookmarkEnd w:id="637"/>
      <w:bookmarkEnd w:id="638"/>
      <w:bookmarkEnd w:id="639"/>
      <w:bookmarkEnd w:id="640"/>
      <w:bookmarkEnd w:id="641"/>
      <w:bookmarkEnd w:id="642"/>
      <w:bookmarkEnd w:id="643"/>
      <w:bookmarkEnd w:id="644"/>
      <w:bookmarkEnd w:id="645"/>
      <w:r w:rsidRPr="0028033B">
        <w:t>2024</w:t>
      </w:r>
      <w:bookmarkEnd w:id="646"/>
      <w:bookmarkEnd w:id="647"/>
    </w:p>
    <w:p w14:paraId="298984F8" w14:textId="77777777" w:rsidR="00E46639" w:rsidRPr="0028033B" w:rsidRDefault="00E46639" w:rsidP="00E46639">
      <w:pPr>
        <w:pStyle w:val="BodyText"/>
        <w:spacing w:after="0"/>
        <w:jc w:val="center"/>
      </w:pPr>
      <w:r w:rsidRPr="0028033B">
        <w:rPr>
          <w:noProof/>
        </w:rPr>
        <w:drawing>
          <wp:inline distT="0" distB="0" distL="0" distR="0" wp14:anchorId="7AEC7D98" wp14:editId="5D9B288D">
            <wp:extent cx="5240502" cy="3212123"/>
            <wp:effectExtent l="0" t="0" r="0" b="7620"/>
            <wp:docPr id="1059593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4069"/>
                    <a:stretch>
                      <a:fillRect/>
                    </a:stretch>
                  </pic:blipFill>
                  <pic:spPr bwMode="auto">
                    <a:xfrm>
                      <a:off x="0" y="0"/>
                      <a:ext cx="5242274" cy="3213209"/>
                    </a:xfrm>
                    <a:prstGeom prst="rect">
                      <a:avLst/>
                    </a:prstGeom>
                    <a:noFill/>
                    <a:ln>
                      <a:noFill/>
                    </a:ln>
                    <a:extLst>
                      <a:ext uri="{53640926-AAD7-44D8-BBD7-CCE9431645EC}">
                        <a14:shadowObscured xmlns:a14="http://schemas.microsoft.com/office/drawing/2010/main"/>
                      </a:ext>
                    </a:extLst>
                  </pic:spPr>
                </pic:pic>
              </a:graphicData>
            </a:graphic>
          </wp:inline>
        </w:drawing>
      </w:r>
    </w:p>
    <w:p w14:paraId="1BBEF517" w14:textId="77777777" w:rsidR="00E46639" w:rsidRPr="0028033B" w:rsidRDefault="00E46639" w:rsidP="00E46639">
      <w:pPr>
        <w:pStyle w:val="Noteundertable"/>
      </w:pPr>
      <w:r w:rsidRPr="0028033B">
        <w:rPr>
          <w:b/>
          <w:bCs/>
        </w:rPr>
        <w:t>Note:</w:t>
      </w:r>
      <w:r w:rsidRPr="0028033B">
        <w:t xml:space="preserve"> </w:t>
      </w:r>
      <w:r w:rsidRPr="0028033B">
        <w:tab/>
        <w:t>Milk production per cow is calculated by dividing total milk production by the milking dairy cattle population (i.e., excluding replacements and breeding bull numbers).</w:t>
      </w:r>
    </w:p>
    <w:p w14:paraId="07CD226A" w14:textId="77777777" w:rsidR="00E46639" w:rsidRPr="0028033B" w:rsidRDefault="00E46639" w:rsidP="00E46639">
      <w:pPr>
        <w:pStyle w:val="Heading3"/>
      </w:pPr>
      <w:bookmarkStart w:id="648" w:name="_Toc32570644"/>
      <w:r w:rsidRPr="0028033B">
        <w:t xml:space="preserve">5.1.2 </w:t>
      </w:r>
      <w:r w:rsidRPr="0028033B">
        <w:tab/>
        <w:t>Key categories for Agriculture sector emissions</w:t>
      </w:r>
      <w:bookmarkEnd w:id="648"/>
      <w:r w:rsidRPr="0028033B">
        <w:t xml:space="preserve"> </w:t>
      </w:r>
    </w:p>
    <w:p w14:paraId="63ADF2AE" w14:textId="77777777" w:rsidR="00E46639" w:rsidRPr="0028033B" w:rsidRDefault="00E46639" w:rsidP="00E46639">
      <w:pPr>
        <w:pStyle w:val="BodyText"/>
        <w:keepNext/>
      </w:pPr>
      <w:r w:rsidRPr="0028033B">
        <w:t xml:space="preserve">Details of New Zealand’s analysis of key categories are in chapter 1, section 1.4. The key categories in the Agriculture sector are listed in table 5.1.2. </w:t>
      </w:r>
    </w:p>
    <w:p w14:paraId="2343E391" w14:textId="77777777" w:rsidR="00E46639" w:rsidRPr="0028033B" w:rsidRDefault="00E46639" w:rsidP="00E46639">
      <w:pPr>
        <w:pStyle w:val="Table"/>
      </w:pPr>
      <w:bookmarkStart w:id="649" w:name="_Toc481751507"/>
      <w:bookmarkStart w:id="650" w:name="_Toc507158597"/>
      <w:bookmarkStart w:id="651" w:name="_Toc511116731"/>
      <w:bookmarkStart w:id="652" w:name="_Toc5269471"/>
      <w:bookmarkStart w:id="653" w:name="_Toc32570910"/>
      <w:bookmarkStart w:id="654" w:name="_Toc36224545"/>
      <w:bookmarkStart w:id="655" w:name="_Toc68786431"/>
      <w:bookmarkStart w:id="656" w:name="_Toc95574066"/>
      <w:bookmarkStart w:id="657" w:name="_Toc127458249"/>
      <w:bookmarkStart w:id="658" w:name="_Toc131591345"/>
      <w:bookmarkStart w:id="659" w:name="_Toc160114435"/>
      <w:bookmarkStart w:id="660" w:name="_Toc164153831"/>
      <w:bookmarkStart w:id="661" w:name="_Toc222407612"/>
      <w:bookmarkStart w:id="662" w:name="_Toc226668987"/>
      <w:r w:rsidRPr="0028033B">
        <w:t xml:space="preserve">Table 5.1.2 </w:t>
      </w:r>
      <w:r w:rsidRPr="0028033B">
        <w:tab/>
        <w:t>Key categories in the Agriculture sector</w:t>
      </w:r>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169"/>
        <w:gridCol w:w="5210"/>
        <w:gridCol w:w="852"/>
        <w:gridCol w:w="1274"/>
      </w:tblGrid>
      <w:tr w:rsidR="00E46639" w:rsidRPr="0028033B" w14:paraId="07A33D6B" w14:textId="77777777" w:rsidTr="00F16E23">
        <w:trPr>
          <w:tblHeader/>
        </w:trPr>
        <w:tc>
          <w:tcPr>
            <w:tcW w:w="687" w:type="pct"/>
            <w:shd w:val="clear" w:color="auto" w:fill="1B556B"/>
            <w:vAlign w:val="bottom"/>
          </w:tcPr>
          <w:p w14:paraId="7E7DE9CB" w14:textId="77777777" w:rsidR="00E46639" w:rsidRPr="0028033B" w:rsidRDefault="00E46639" w:rsidP="00F16E23">
            <w:pPr>
              <w:pStyle w:val="TableTextBold"/>
              <w:rPr>
                <w:rFonts w:cs="Calibri"/>
                <w:noProof w:val="0"/>
                <w:color w:val="FFFFFF" w:themeColor="background1"/>
              </w:rPr>
            </w:pPr>
            <w:r w:rsidRPr="0028033B">
              <w:rPr>
                <w:rFonts w:cs="Calibri"/>
                <w:noProof w:val="0"/>
                <w:color w:val="FFFFFF" w:themeColor="background1"/>
              </w:rPr>
              <w:t>CRT category code</w:t>
            </w:r>
          </w:p>
        </w:tc>
        <w:tc>
          <w:tcPr>
            <w:tcW w:w="3063" w:type="pct"/>
            <w:shd w:val="clear" w:color="auto" w:fill="1B556B"/>
            <w:vAlign w:val="bottom"/>
          </w:tcPr>
          <w:p w14:paraId="3F7F12D2" w14:textId="77777777" w:rsidR="00E46639" w:rsidRPr="0028033B" w:rsidRDefault="00E46639" w:rsidP="00F16E23">
            <w:pPr>
              <w:pStyle w:val="TableTextBold"/>
              <w:rPr>
                <w:rFonts w:cs="Calibri"/>
                <w:noProof w:val="0"/>
                <w:color w:val="FFFFFF" w:themeColor="background1"/>
              </w:rPr>
            </w:pPr>
            <w:r w:rsidRPr="0028033B">
              <w:rPr>
                <w:rFonts w:cs="Calibri"/>
                <w:noProof w:val="0"/>
                <w:color w:val="FFFFFF" w:themeColor="background1"/>
              </w:rPr>
              <w:t>IPCC categories</w:t>
            </w:r>
          </w:p>
        </w:tc>
        <w:tc>
          <w:tcPr>
            <w:tcW w:w="501" w:type="pct"/>
            <w:shd w:val="clear" w:color="auto" w:fill="1B556B"/>
            <w:vAlign w:val="bottom"/>
          </w:tcPr>
          <w:p w14:paraId="0901E8B8" w14:textId="77777777" w:rsidR="00E46639" w:rsidRPr="0028033B" w:rsidRDefault="00E46639" w:rsidP="00F16E23">
            <w:pPr>
              <w:pStyle w:val="TableTextBold"/>
              <w:rPr>
                <w:rFonts w:cs="Calibri"/>
                <w:noProof w:val="0"/>
                <w:color w:val="FFFFFF" w:themeColor="background1"/>
              </w:rPr>
            </w:pPr>
            <w:r w:rsidRPr="0028033B">
              <w:rPr>
                <w:rFonts w:cs="Calibri"/>
                <w:noProof w:val="0"/>
                <w:color w:val="FFFFFF" w:themeColor="background1"/>
              </w:rPr>
              <w:t>Gas</w:t>
            </w:r>
          </w:p>
        </w:tc>
        <w:tc>
          <w:tcPr>
            <w:tcW w:w="749" w:type="pct"/>
            <w:shd w:val="clear" w:color="auto" w:fill="1B556B"/>
            <w:vAlign w:val="bottom"/>
          </w:tcPr>
          <w:p w14:paraId="294999EF" w14:textId="77777777" w:rsidR="00E46639" w:rsidRPr="0028033B" w:rsidRDefault="00E46639" w:rsidP="00F16E23">
            <w:pPr>
              <w:pStyle w:val="TableTextBold"/>
              <w:rPr>
                <w:rFonts w:cs="Calibri"/>
                <w:noProof w:val="0"/>
                <w:color w:val="FFFFFF" w:themeColor="background1"/>
              </w:rPr>
            </w:pPr>
            <w:r w:rsidRPr="0028033B">
              <w:rPr>
                <w:rFonts w:cs="Calibri"/>
                <w:noProof w:val="0"/>
                <w:color w:val="FFFFFF" w:themeColor="background1"/>
              </w:rPr>
              <w:t>Criteria for identification</w:t>
            </w:r>
          </w:p>
        </w:tc>
      </w:tr>
      <w:tr w:rsidR="00E46639" w:rsidRPr="0028033B" w14:paraId="45CEE632" w14:textId="77777777" w:rsidTr="00F16E23">
        <w:tc>
          <w:tcPr>
            <w:tcW w:w="687" w:type="pct"/>
            <w:shd w:val="clear" w:color="auto" w:fill="FFFFFF"/>
          </w:tcPr>
          <w:p w14:paraId="1C77F250" w14:textId="77777777" w:rsidR="00E46639" w:rsidRPr="0028033B" w:rsidRDefault="00E46639" w:rsidP="00F16E23">
            <w:pPr>
              <w:pStyle w:val="TableText"/>
              <w:spacing w:before="50" w:after="50"/>
              <w:rPr>
                <w:rFonts w:cs="Calibri"/>
                <w:color w:val="000000"/>
              </w:rPr>
            </w:pPr>
            <w:r w:rsidRPr="0028033B">
              <w:rPr>
                <w:rFonts w:cs="Calibri"/>
              </w:rPr>
              <w:t>3.A.1.a.</w:t>
            </w:r>
          </w:p>
        </w:tc>
        <w:tc>
          <w:tcPr>
            <w:tcW w:w="3063" w:type="pct"/>
            <w:shd w:val="clear" w:color="auto" w:fill="FFFFFF"/>
          </w:tcPr>
          <w:p w14:paraId="4097A2A1" w14:textId="77777777" w:rsidR="00E46639" w:rsidRPr="0028033B" w:rsidRDefault="00E46639" w:rsidP="00F16E23">
            <w:pPr>
              <w:pStyle w:val="TableText"/>
              <w:spacing w:before="50" w:after="50"/>
              <w:rPr>
                <w:rFonts w:cs="Calibri"/>
                <w:color w:val="000000"/>
              </w:rPr>
            </w:pPr>
            <w:r w:rsidRPr="0028033B">
              <w:rPr>
                <w:rFonts w:cs="Calibri"/>
              </w:rPr>
              <w:t xml:space="preserve">Option A </w:t>
            </w:r>
            <w:r w:rsidRPr="0028033B">
              <w:rPr>
                <w:rFonts w:cs="Calibri"/>
                <w:szCs w:val="16"/>
              </w:rPr>
              <w:t>–</w:t>
            </w:r>
            <w:r w:rsidRPr="0028033B">
              <w:rPr>
                <w:rFonts w:cs="Calibri"/>
              </w:rPr>
              <w:t xml:space="preserve"> Dairy cattle</w:t>
            </w:r>
          </w:p>
        </w:tc>
        <w:tc>
          <w:tcPr>
            <w:tcW w:w="501" w:type="pct"/>
            <w:shd w:val="clear" w:color="auto" w:fill="FFFFFF"/>
          </w:tcPr>
          <w:p w14:paraId="1446E3D7" w14:textId="77777777" w:rsidR="00E46639" w:rsidRPr="0028033B" w:rsidRDefault="00E46639" w:rsidP="00F16E23">
            <w:pPr>
              <w:pStyle w:val="TableText"/>
              <w:spacing w:before="50" w:after="50"/>
              <w:rPr>
                <w:rFonts w:cs="Calibri"/>
                <w:color w:val="000000"/>
              </w:rPr>
            </w:pPr>
            <w:r w:rsidRPr="0028033B">
              <w:rPr>
                <w:rFonts w:cs="Calibri"/>
              </w:rPr>
              <w:t>CH</w:t>
            </w:r>
            <w:r w:rsidRPr="0028033B">
              <w:rPr>
                <w:rFonts w:cs="Calibri"/>
                <w:vertAlign w:val="subscript"/>
              </w:rPr>
              <w:t>4</w:t>
            </w:r>
          </w:p>
        </w:tc>
        <w:tc>
          <w:tcPr>
            <w:tcW w:w="749" w:type="pct"/>
            <w:shd w:val="clear" w:color="auto" w:fill="FFFFFF"/>
          </w:tcPr>
          <w:p w14:paraId="7E9F716A"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2EF25761" w14:textId="77777777" w:rsidTr="00F16E23">
        <w:tc>
          <w:tcPr>
            <w:tcW w:w="687" w:type="pct"/>
            <w:shd w:val="clear" w:color="auto" w:fill="FFFFFF"/>
          </w:tcPr>
          <w:p w14:paraId="2D61DB37" w14:textId="77777777" w:rsidR="00E46639" w:rsidRPr="0028033B" w:rsidRDefault="00E46639" w:rsidP="00F16E23">
            <w:pPr>
              <w:pStyle w:val="TableText"/>
              <w:spacing w:before="50" w:after="50"/>
              <w:rPr>
                <w:rFonts w:cs="Calibri"/>
                <w:color w:val="000000"/>
              </w:rPr>
            </w:pPr>
            <w:r w:rsidRPr="0028033B">
              <w:rPr>
                <w:rFonts w:cs="Calibri"/>
              </w:rPr>
              <w:t>3.A.1.b.</w:t>
            </w:r>
          </w:p>
        </w:tc>
        <w:tc>
          <w:tcPr>
            <w:tcW w:w="3063" w:type="pct"/>
            <w:shd w:val="clear" w:color="auto" w:fill="FFFFFF"/>
          </w:tcPr>
          <w:p w14:paraId="1E2398A9" w14:textId="77777777" w:rsidR="00E46639" w:rsidRPr="0028033B" w:rsidRDefault="00E46639" w:rsidP="00F16E23">
            <w:pPr>
              <w:pStyle w:val="TableText"/>
              <w:spacing w:before="50" w:after="50"/>
              <w:rPr>
                <w:rFonts w:cs="Calibri"/>
                <w:color w:val="000000"/>
              </w:rPr>
            </w:pPr>
            <w:r w:rsidRPr="0028033B">
              <w:rPr>
                <w:rFonts w:cs="Calibri"/>
              </w:rPr>
              <w:t xml:space="preserve">Option A </w:t>
            </w:r>
            <w:r w:rsidRPr="0028033B">
              <w:rPr>
                <w:rFonts w:cs="Calibri"/>
                <w:szCs w:val="16"/>
              </w:rPr>
              <w:t>–</w:t>
            </w:r>
            <w:r w:rsidRPr="0028033B">
              <w:rPr>
                <w:rFonts w:cs="Calibri"/>
              </w:rPr>
              <w:t xml:space="preserve"> Non-dairy cattle</w:t>
            </w:r>
          </w:p>
        </w:tc>
        <w:tc>
          <w:tcPr>
            <w:tcW w:w="501" w:type="pct"/>
            <w:shd w:val="clear" w:color="auto" w:fill="FFFFFF"/>
          </w:tcPr>
          <w:p w14:paraId="56A45067" w14:textId="77777777" w:rsidR="00E46639" w:rsidRPr="0028033B" w:rsidRDefault="00E46639" w:rsidP="00F16E23">
            <w:pPr>
              <w:pStyle w:val="TableText"/>
              <w:spacing w:before="50" w:after="50"/>
              <w:rPr>
                <w:rFonts w:cs="Calibri"/>
                <w:color w:val="000000"/>
              </w:rPr>
            </w:pPr>
            <w:r w:rsidRPr="0028033B">
              <w:rPr>
                <w:rFonts w:cs="Calibri"/>
              </w:rPr>
              <w:t>CH</w:t>
            </w:r>
            <w:r w:rsidRPr="0028033B">
              <w:rPr>
                <w:rFonts w:cs="Calibri"/>
                <w:vertAlign w:val="subscript"/>
              </w:rPr>
              <w:t>4</w:t>
            </w:r>
          </w:p>
        </w:tc>
        <w:tc>
          <w:tcPr>
            <w:tcW w:w="749" w:type="pct"/>
            <w:shd w:val="clear" w:color="auto" w:fill="FFFFFF"/>
          </w:tcPr>
          <w:p w14:paraId="78AD646B"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6E450E12" w14:textId="77777777" w:rsidTr="00F16E23">
        <w:tc>
          <w:tcPr>
            <w:tcW w:w="687" w:type="pct"/>
            <w:shd w:val="clear" w:color="auto" w:fill="FFFFFF"/>
          </w:tcPr>
          <w:p w14:paraId="220EFD7B" w14:textId="77777777" w:rsidR="00E46639" w:rsidRPr="0028033B" w:rsidRDefault="00E46639" w:rsidP="00F16E23">
            <w:pPr>
              <w:pStyle w:val="TableText"/>
              <w:spacing w:before="50" w:after="50"/>
              <w:rPr>
                <w:rFonts w:cs="Calibri"/>
                <w:color w:val="000000"/>
              </w:rPr>
            </w:pPr>
            <w:r w:rsidRPr="0028033B">
              <w:rPr>
                <w:rFonts w:cs="Calibri"/>
              </w:rPr>
              <w:t>3.A.2.</w:t>
            </w:r>
          </w:p>
        </w:tc>
        <w:tc>
          <w:tcPr>
            <w:tcW w:w="3063" w:type="pct"/>
            <w:shd w:val="clear" w:color="auto" w:fill="FFFFFF"/>
          </w:tcPr>
          <w:p w14:paraId="341F17F9" w14:textId="77777777" w:rsidR="00E46639" w:rsidRPr="0028033B" w:rsidRDefault="00E46639" w:rsidP="00F16E23">
            <w:pPr>
              <w:pStyle w:val="TableText"/>
              <w:spacing w:before="50" w:after="50"/>
              <w:rPr>
                <w:rFonts w:cs="Calibri"/>
                <w:color w:val="000000"/>
              </w:rPr>
            </w:pPr>
            <w:r w:rsidRPr="0028033B">
              <w:rPr>
                <w:rFonts w:cs="Calibri"/>
              </w:rPr>
              <w:t>Enteric fermentation – Sheep</w:t>
            </w:r>
          </w:p>
        </w:tc>
        <w:tc>
          <w:tcPr>
            <w:tcW w:w="501" w:type="pct"/>
            <w:shd w:val="clear" w:color="auto" w:fill="FFFFFF"/>
          </w:tcPr>
          <w:p w14:paraId="27E77F74" w14:textId="77777777" w:rsidR="00E46639" w:rsidRPr="0028033B" w:rsidRDefault="00E46639" w:rsidP="00F16E23">
            <w:pPr>
              <w:pStyle w:val="TableText"/>
              <w:spacing w:before="50" w:after="50"/>
              <w:rPr>
                <w:rFonts w:cs="Calibri"/>
                <w:color w:val="000000"/>
              </w:rPr>
            </w:pPr>
            <w:r w:rsidRPr="0028033B">
              <w:rPr>
                <w:rFonts w:cs="Calibri"/>
              </w:rPr>
              <w:t>CH</w:t>
            </w:r>
            <w:r w:rsidRPr="0028033B">
              <w:rPr>
                <w:rFonts w:cs="Calibri"/>
                <w:vertAlign w:val="subscript"/>
              </w:rPr>
              <w:t>4</w:t>
            </w:r>
          </w:p>
        </w:tc>
        <w:tc>
          <w:tcPr>
            <w:tcW w:w="749" w:type="pct"/>
            <w:shd w:val="clear" w:color="auto" w:fill="FFFFFF"/>
          </w:tcPr>
          <w:p w14:paraId="7711505E"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0F370837" w14:textId="77777777" w:rsidTr="00F16E23">
        <w:tc>
          <w:tcPr>
            <w:tcW w:w="687" w:type="pct"/>
            <w:shd w:val="clear" w:color="auto" w:fill="FFFFFF"/>
          </w:tcPr>
          <w:p w14:paraId="6A39C657" w14:textId="77777777" w:rsidR="00E46639" w:rsidRPr="0028033B" w:rsidRDefault="00E46639" w:rsidP="00F16E23">
            <w:pPr>
              <w:pStyle w:val="TableText"/>
              <w:spacing w:before="50" w:after="50"/>
              <w:rPr>
                <w:rFonts w:cs="Calibri"/>
                <w:color w:val="000000"/>
              </w:rPr>
            </w:pPr>
            <w:r w:rsidRPr="0028033B">
              <w:rPr>
                <w:rFonts w:cs="Calibri"/>
              </w:rPr>
              <w:t>3.A.4.c.</w:t>
            </w:r>
          </w:p>
        </w:tc>
        <w:tc>
          <w:tcPr>
            <w:tcW w:w="3063" w:type="pct"/>
            <w:shd w:val="clear" w:color="auto" w:fill="FFFFFF"/>
          </w:tcPr>
          <w:p w14:paraId="457AF6E9" w14:textId="77777777" w:rsidR="00E46639" w:rsidRPr="0028033B" w:rsidRDefault="00E46639" w:rsidP="00F16E23">
            <w:pPr>
              <w:pStyle w:val="TableText"/>
              <w:spacing w:before="50" w:after="50"/>
              <w:rPr>
                <w:rFonts w:cs="Calibri"/>
                <w:color w:val="000000"/>
              </w:rPr>
            </w:pPr>
            <w:r w:rsidRPr="0028033B">
              <w:rPr>
                <w:rFonts w:cs="Calibri"/>
              </w:rPr>
              <w:t xml:space="preserve">Other livestock </w:t>
            </w:r>
            <w:r w:rsidRPr="0028033B">
              <w:rPr>
                <w:rFonts w:cs="Calibri"/>
                <w:szCs w:val="16"/>
              </w:rPr>
              <w:t>–</w:t>
            </w:r>
            <w:r w:rsidRPr="0028033B">
              <w:rPr>
                <w:rFonts w:cs="Calibri"/>
              </w:rPr>
              <w:t xml:space="preserve"> Deer</w:t>
            </w:r>
          </w:p>
        </w:tc>
        <w:tc>
          <w:tcPr>
            <w:tcW w:w="501" w:type="pct"/>
            <w:shd w:val="clear" w:color="auto" w:fill="FFFFFF"/>
          </w:tcPr>
          <w:p w14:paraId="195F136D" w14:textId="77777777" w:rsidR="00E46639" w:rsidRPr="0028033B" w:rsidRDefault="00E46639" w:rsidP="00F16E23">
            <w:pPr>
              <w:pStyle w:val="TableText"/>
              <w:spacing w:before="50" w:after="50"/>
              <w:rPr>
                <w:rFonts w:cs="Calibri"/>
                <w:color w:val="000000"/>
              </w:rPr>
            </w:pPr>
            <w:r w:rsidRPr="0028033B">
              <w:rPr>
                <w:rFonts w:cs="Calibri"/>
              </w:rPr>
              <w:t>CH</w:t>
            </w:r>
            <w:r w:rsidRPr="0028033B">
              <w:rPr>
                <w:rFonts w:cs="Calibri"/>
                <w:vertAlign w:val="subscript"/>
              </w:rPr>
              <w:t>4</w:t>
            </w:r>
          </w:p>
        </w:tc>
        <w:tc>
          <w:tcPr>
            <w:tcW w:w="749" w:type="pct"/>
            <w:shd w:val="clear" w:color="auto" w:fill="FFFFFF"/>
          </w:tcPr>
          <w:p w14:paraId="6F78FAB6"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75138008" w14:textId="77777777" w:rsidTr="00F16E23">
        <w:tc>
          <w:tcPr>
            <w:tcW w:w="687" w:type="pct"/>
            <w:shd w:val="clear" w:color="auto" w:fill="FFFFFF"/>
          </w:tcPr>
          <w:p w14:paraId="4D42CF44" w14:textId="77777777" w:rsidR="00E46639" w:rsidRPr="0028033B" w:rsidRDefault="00E46639" w:rsidP="00F16E23">
            <w:pPr>
              <w:pStyle w:val="TableText"/>
              <w:spacing w:before="50" w:after="50"/>
              <w:rPr>
                <w:rFonts w:cs="Calibri"/>
                <w:color w:val="000000"/>
              </w:rPr>
            </w:pPr>
            <w:r w:rsidRPr="0028033B">
              <w:rPr>
                <w:rFonts w:cs="Calibri"/>
              </w:rPr>
              <w:t>3.A.4.d.</w:t>
            </w:r>
          </w:p>
        </w:tc>
        <w:tc>
          <w:tcPr>
            <w:tcW w:w="3063" w:type="pct"/>
            <w:shd w:val="clear" w:color="auto" w:fill="FFFFFF"/>
          </w:tcPr>
          <w:p w14:paraId="171640C4" w14:textId="77777777" w:rsidR="00E46639" w:rsidRPr="0028033B" w:rsidRDefault="00E46639" w:rsidP="00F16E23">
            <w:pPr>
              <w:pStyle w:val="TableText"/>
              <w:spacing w:before="50" w:after="50"/>
              <w:rPr>
                <w:rFonts w:cs="Calibri"/>
                <w:color w:val="000000"/>
              </w:rPr>
            </w:pPr>
            <w:r w:rsidRPr="0028033B">
              <w:rPr>
                <w:rFonts w:cs="Calibri"/>
              </w:rPr>
              <w:t xml:space="preserve">Other livestock </w:t>
            </w:r>
            <w:r w:rsidRPr="0028033B">
              <w:rPr>
                <w:rFonts w:cs="Calibri"/>
                <w:szCs w:val="16"/>
              </w:rPr>
              <w:t>–</w:t>
            </w:r>
            <w:r w:rsidRPr="0028033B">
              <w:rPr>
                <w:rFonts w:cs="Calibri"/>
              </w:rPr>
              <w:t xml:space="preserve"> Goats</w:t>
            </w:r>
          </w:p>
        </w:tc>
        <w:tc>
          <w:tcPr>
            <w:tcW w:w="501" w:type="pct"/>
            <w:shd w:val="clear" w:color="auto" w:fill="FFFFFF"/>
          </w:tcPr>
          <w:p w14:paraId="4BBF699B" w14:textId="77777777" w:rsidR="00E46639" w:rsidRPr="0028033B" w:rsidRDefault="00E46639" w:rsidP="00F16E23">
            <w:pPr>
              <w:pStyle w:val="TableText"/>
              <w:spacing w:before="50" w:after="50"/>
              <w:rPr>
                <w:rFonts w:cs="Calibri"/>
                <w:color w:val="000000"/>
              </w:rPr>
            </w:pPr>
            <w:r w:rsidRPr="0028033B">
              <w:rPr>
                <w:rFonts w:cs="Calibri"/>
              </w:rPr>
              <w:t>CH</w:t>
            </w:r>
            <w:r w:rsidRPr="0028033B">
              <w:rPr>
                <w:rFonts w:cs="Calibri"/>
                <w:vertAlign w:val="subscript"/>
              </w:rPr>
              <w:t>4</w:t>
            </w:r>
          </w:p>
        </w:tc>
        <w:tc>
          <w:tcPr>
            <w:tcW w:w="749" w:type="pct"/>
            <w:shd w:val="clear" w:color="auto" w:fill="FFFFFF"/>
          </w:tcPr>
          <w:p w14:paraId="09434750" w14:textId="77777777" w:rsidR="00E46639" w:rsidRPr="0028033B" w:rsidRDefault="00E46639" w:rsidP="00F16E23">
            <w:pPr>
              <w:pStyle w:val="TableText"/>
              <w:spacing w:before="50" w:after="50"/>
              <w:rPr>
                <w:rFonts w:cs="Calibri"/>
                <w:color w:val="000000"/>
              </w:rPr>
            </w:pPr>
            <w:r w:rsidRPr="0028033B">
              <w:rPr>
                <w:rFonts w:cs="Calibri"/>
              </w:rPr>
              <w:t>T1</w:t>
            </w:r>
          </w:p>
        </w:tc>
      </w:tr>
      <w:tr w:rsidR="00E46639" w:rsidRPr="0028033B" w14:paraId="0F7AFA8F" w14:textId="77777777" w:rsidTr="00F16E23">
        <w:tc>
          <w:tcPr>
            <w:tcW w:w="687" w:type="pct"/>
            <w:shd w:val="clear" w:color="auto" w:fill="FFFFFF"/>
          </w:tcPr>
          <w:p w14:paraId="0823A70D" w14:textId="77777777" w:rsidR="00E46639" w:rsidRPr="0028033B" w:rsidRDefault="00E46639" w:rsidP="00F16E23">
            <w:pPr>
              <w:pStyle w:val="TableText"/>
              <w:spacing w:before="50" w:after="50"/>
              <w:rPr>
                <w:rFonts w:cs="Calibri"/>
                <w:color w:val="000000"/>
              </w:rPr>
            </w:pPr>
            <w:r w:rsidRPr="0028033B">
              <w:rPr>
                <w:rFonts w:cs="Calibri"/>
              </w:rPr>
              <w:t>3.B(a).</w:t>
            </w:r>
          </w:p>
        </w:tc>
        <w:tc>
          <w:tcPr>
            <w:tcW w:w="3063" w:type="pct"/>
            <w:shd w:val="clear" w:color="auto" w:fill="FFFFFF"/>
          </w:tcPr>
          <w:p w14:paraId="5ACC3FD0" w14:textId="77777777" w:rsidR="00E46639" w:rsidRPr="0028033B" w:rsidRDefault="00E46639" w:rsidP="00F16E23">
            <w:pPr>
              <w:pStyle w:val="TableText"/>
              <w:spacing w:before="50" w:after="50"/>
              <w:rPr>
                <w:rFonts w:cs="Calibri"/>
                <w:color w:val="000000"/>
              </w:rPr>
            </w:pPr>
            <w:r w:rsidRPr="0028033B">
              <w:rPr>
                <w:rFonts w:cs="Calibri"/>
              </w:rPr>
              <w:t xml:space="preserve">CH₄ emissions </w:t>
            </w:r>
            <w:r w:rsidRPr="0028033B">
              <w:rPr>
                <w:rFonts w:cs="Calibri"/>
                <w:szCs w:val="16"/>
              </w:rPr>
              <w:t>–</w:t>
            </w:r>
            <w:r w:rsidRPr="0028033B">
              <w:rPr>
                <w:rFonts w:cs="Calibri"/>
              </w:rPr>
              <w:t xml:space="preserve"> 3.B.2. Sheep</w:t>
            </w:r>
          </w:p>
        </w:tc>
        <w:tc>
          <w:tcPr>
            <w:tcW w:w="501" w:type="pct"/>
            <w:shd w:val="clear" w:color="auto" w:fill="FFFFFF"/>
          </w:tcPr>
          <w:p w14:paraId="68B90133" w14:textId="77777777" w:rsidR="00E46639" w:rsidRPr="0028033B" w:rsidRDefault="00E46639" w:rsidP="00F16E23">
            <w:pPr>
              <w:pStyle w:val="TableText"/>
              <w:spacing w:before="50" w:after="50"/>
              <w:rPr>
                <w:rFonts w:cs="Calibri"/>
                <w:color w:val="000000"/>
              </w:rPr>
            </w:pPr>
            <w:r w:rsidRPr="0028033B">
              <w:rPr>
                <w:rFonts w:cs="Calibri"/>
              </w:rPr>
              <w:t>CH</w:t>
            </w:r>
            <w:r w:rsidRPr="0028033B">
              <w:rPr>
                <w:rFonts w:cs="Calibri"/>
                <w:vertAlign w:val="subscript"/>
              </w:rPr>
              <w:t>4</w:t>
            </w:r>
          </w:p>
        </w:tc>
        <w:tc>
          <w:tcPr>
            <w:tcW w:w="749" w:type="pct"/>
            <w:shd w:val="clear" w:color="auto" w:fill="FFFFFF"/>
          </w:tcPr>
          <w:p w14:paraId="1C6FFE49" w14:textId="77777777" w:rsidR="00E46639" w:rsidRPr="0028033B" w:rsidRDefault="00E46639" w:rsidP="00F16E23">
            <w:pPr>
              <w:pStyle w:val="TableText"/>
              <w:spacing w:before="50" w:after="50"/>
              <w:rPr>
                <w:rFonts w:cs="Calibri"/>
                <w:color w:val="000000"/>
              </w:rPr>
            </w:pPr>
            <w:r w:rsidRPr="0028033B">
              <w:rPr>
                <w:rFonts w:cs="Calibri"/>
              </w:rPr>
              <w:t>T1</w:t>
            </w:r>
          </w:p>
        </w:tc>
      </w:tr>
      <w:tr w:rsidR="00E46639" w:rsidRPr="0028033B" w14:paraId="1D27500F" w14:textId="77777777" w:rsidTr="00F16E23">
        <w:tc>
          <w:tcPr>
            <w:tcW w:w="687" w:type="pct"/>
            <w:shd w:val="clear" w:color="auto" w:fill="FFFFFF"/>
          </w:tcPr>
          <w:p w14:paraId="7BEAF0B9" w14:textId="77777777" w:rsidR="00E46639" w:rsidRPr="0028033B" w:rsidRDefault="00E46639" w:rsidP="00F16E23">
            <w:pPr>
              <w:pStyle w:val="TableText"/>
              <w:spacing w:before="50" w:after="50"/>
              <w:rPr>
                <w:rFonts w:cs="Calibri"/>
                <w:color w:val="000000"/>
              </w:rPr>
            </w:pPr>
            <w:r w:rsidRPr="0028033B">
              <w:rPr>
                <w:rFonts w:cs="Calibri"/>
              </w:rPr>
              <w:t>3.B.1.a.</w:t>
            </w:r>
          </w:p>
        </w:tc>
        <w:tc>
          <w:tcPr>
            <w:tcW w:w="3063" w:type="pct"/>
            <w:shd w:val="clear" w:color="auto" w:fill="FFFFFF"/>
          </w:tcPr>
          <w:p w14:paraId="7F21F2EC" w14:textId="77777777" w:rsidR="00E46639" w:rsidRPr="0028033B" w:rsidRDefault="00E46639" w:rsidP="00F16E23">
            <w:pPr>
              <w:pStyle w:val="TableText"/>
              <w:spacing w:before="50" w:after="50"/>
              <w:rPr>
                <w:rFonts w:cs="Calibri"/>
                <w:color w:val="000000"/>
              </w:rPr>
            </w:pPr>
            <w:r w:rsidRPr="0028033B">
              <w:rPr>
                <w:rFonts w:cs="Calibri"/>
              </w:rPr>
              <w:t xml:space="preserve">Option A </w:t>
            </w:r>
            <w:r w:rsidRPr="0028033B">
              <w:rPr>
                <w:rFonts w:cs="Calibri"/>
                <w:szCs w:val="16"/>
              </w:rPr>
              <w:t>–</w:t>
            </w:r>
            <w:r w:rsidRPr="0028033B">
              <w:rPr>
                <w:rFonts w:cs="Calibri"/>
              </w:rPr>
              <w:t xml:space="preserve"> Dairy cattle</w:t>
            </w:r>
          </w:p>
        </w:tc>
        <w:tc>
          <w:tcPr>
            <w:tcW w:w="501" w:type="pct"/>
            <w:shd w:val="clear" w:color="auto" w:fill="FFFFFF"/>
          </w:tcPr>
          <w:p w14:paraId="5471428A" w14:textId="77777777" w:rsidR="00E46639" w:rsidRPr="0028033B" w:rsidRDefault="00E46639" w:rsidP="00F16E23">
            <w:pPr>
              <w:pStyle w:val="TableText"/>
              <w:spacing w:before="50" w:after="50"/>
              <w:rPr>
                <w:rFonts w:cs="Calibri"/>
                <w:color w:val="000000"/>
              </w:rPr>
            </w:pPr>
            <w:r w:rsidRPr="0028033B">
              <w:rPr>
                <w:rFonts w:cs="Calibri"/>
              </w:rPr>
              <w:t>CH</w:t>
            </w:r>
            <w:r w:rsidRPr="0028033B">
              <w:rPr>
                <w:rFonts w:cs="Calibri"/>
                <w:vertAlign w:val="subscript"/>
              </w:rPr>
              <w:t>4</w:t>
            </w:r>
          </w:p>
        </w:tc>
        <w:tc>
          <w:tcPr>
            <w:tcW w:w="749" w:type="pct"/>
            <w:shd w:val="clear" w:color="auto" w:fill="FFFFFF"/>
          </w:tcPr>
          <w:p w14:paraId="18129D40"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031A41CA" w14:textId="77777777" w:rsidTr="00F16E23">
        <w:tc>
          <w:tcPr>
            <w:tcW w:w="687" w:type="pct"/>
            <w:shd w:val="clear" w:color="auto" w:fill="FFFFFF"/>
          </w:tcPr>
          <w:p w14:paraId="0836FE95" w14:textId="77777777" w:rsidR="00E46639" w:rsidRPr="0028033B" w:rsidRDefault="00E46639" w:rsidP="00F16E23">
            <w:pPr>
              <w:pStyle w:val="TableText"/>
              <w:spacing w:before="50" w:after="50"/>
              <w:rPr>
                <w:rFonts w:cs="Calibri"/>
                <w:color w:val="000000"/>
              </w:rPr>
            </w:pPr>
            <w:r w:rsidRPr="0028033B">
              <w:rPr>
                <w:rFonts w:cs="Calibri"/>
              </w:rPr>
              <w:t>3.D.1.a.</w:t>
            </w:r>
          </w:p>
        </w:tc>
        <w:tc>
          <w:tcPr>
            <w:tcW w:w="3063" w:type="pct"/>
            <w:shd w:val="clear" w:color="auto" w:fill="FFFFFF"/>
          </w:tcPr>
          <w:p w14:paraId="40D15745" w14:textId="77777777" w:rsidR="00E46639" w:rsidRPr="0028033B" w:rsidRDefault="00E46639" w:rsidP="00F16E23">
            <w:pPr>
              <w:pStyle w:val="TableText"/>
              <w:spacing w:before="50" w:after="50"/>
              <w:rPr>
                <w:rFonts w:cs="Calibri"/>
                <w:color w:val="000000"/>
              </w:rPr>
            </w:pPr>
            <w:r w:rsidRPr="0028033B">
              <w:rPr>
                <w:rFonts w:cs="Calibri"/>
              </w:rPr>
              <w:t>Direct N₂O emissions from managed soils – Inorganic N fertilizers</w:t>
            </w:r>
          </w:p>
        </w:tc>
        <w:tc>
          <w:tcPr>
            <w:tcW w:w="501" w:type="pct"/>
            <w:shd w:val="clear" w:color="auto" w:fill="FFFFFF"/>
          </w:tcPr>
          <w:p w14:paraId="3A0DD44C" w14:textId="77777777" w:rsidR="00E46639" w:rsidRPr="0028033B" w:rsidRDefault="00E46639" w:rsidP="00F16E23">
            <w:pPr>
              <w:pStyle w:val="TableText"/>
              <w:spacing w:before="50" w:after="50"/>
              <w:rPr>
                <w:rFonts w:cs="Calibri"/>
                <w:color w:val="000000"/>
              </w:rPr>
            </w:pPr>
            <w:r w:rsidRPr="0028033B">
              <w:rPr>
                <w:rFonts w:cs="Calibri"/>
              </w:rPr>
              <w:t>N</w:t>
            </w:r>
            <w:r w:rsidRPr="0028033B">
              <w:rPr>
                <w:rFonts w:cs="Calibri"/>
                <w:vertAlign w:val="subscript"/>
              </w:rPr>
              <w:t>2</w:t>
            </w:r>
            <w:r w:rsidRPr="0028033B">
              <w:rPr>
                <w:rFonts w:cs="Calibri"/>
              </w:rPr>
              <w:t>O</w:t>
            </w:r>
          </w:p>
        </w:tc>
        <w:tc>
          <w:tcPr>
            <w:tcW w:w="749" w:type="pct"/>
            <w:shd w:val="clear" w:color="auto" w:fill="FFFFFF"/>
          </w:tcPr>
          <w:p w14:paraId="3F964678"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104B2343" w14:textId="77777777" w:rsidTr="00F16E23">
        <w:tc>
          <w:tcPr>
            <w:tcW w:w="687" w:type="pct"/>
            <w:shd w:val="clear" w:color="auto" w:fill="FFFFFF"/>
          </w:tcPr>
          <w:p w14:paraId="215A8DD8" w14:textId="77777777" w:rsidR="00E46639" w:rsidRPr="0028033B" w:rsidRDefault="00E46639" w:rsidP="00F16E23">
            <w:pPr>
              <w:pStyle w:val="TableText"/>
              <w:spacing w:before="50" w:after="50"/>
              <w:rPr>
                <w:rFonts w:cs="Calibri"/>
                <w:color w:val="000000"/>
              </w:rPr>
            </w:pPr>
            <w:r w:rsidRPr="0028033B">
              <w:rPr>
                <w:rFonts w:cs="Calibri"/>
              </w:rPr>
              <w:t>3.D.1.c.</w:t>
            </w:r>
          </w:p>
        </w:tc>
        <w:tc>
          <w:tcPr>
            <w:tcW w:w="3063" w:type="pct"/>
            <w:shd w:val="clear" w:color="auto" w:fill="FFFFFF"/>
          </w:tcPr>
          <w:p w14:paraId="2A005870" w14:textId="77777777" w:rsidR="00E46639" w:rsidRPr="0028033B" w:rsidRDefault="00E46639" w:rsidP="00F16E23">
            <w:pPr>
              <w:pStyle w:val="TableText"/>
              <w:spacing w:before="50" w:after="50"/>
              <w:rPr>
                <w:rFonts w:cs="Calibri"/>
                <w:color w:val="000000"/>
              </w:rPr>
            </w:pPr>
            <w:r w:rsidRPr="0028033B">
              <w:rPr>
                <w:rFonts w:cs="Calibri"/>
              </w:rPr>
              <w:t>Direct N₂O emissions from managed soils – Urine and dung deposited by grazing animals</w:t>
            </w:r>
          </w:p>
        </w:tc>
        <w:tc>
          <w:tcPr>
            <w:tcW w:w="501" w:type="pct"/>
            <w:shd w:val="clear" w:color="auto" w:fill="FFFFFF"/>
          </w:tcPr>
          <w:p w14:paraId="6A4D774F" w14:textId="77777777" w:rsidR="00E46639" w:rsidRPr="0028033B" w:rsidRDefault="00E46639" w:rsidP="00F16E23">
            <w:pPr>
              <w:pStyle w:val="TableText"/>
              <w:spacing w:before="50" w:after="50"/>
              <w:rPr>
                <w:rFonts w:cs="Calibri"/>
                <w:color w:val="000000"/>
              </w:rPr>
            </w:pPr>
            <w:r w:rsidRPr="0028033B">
              <w:rPr>
                <w:rFonts w:cs="Calibri"/>
              </w:rPr>
              <w:t>N</w:t>
            </w:r>
            <w:r w:rsidRPr="0028033B">
              <w:rPr>
                <w:rFonts w:cs="Calibri"/>
                <w:vertAlign w:val="subscript"/>
              </w:rPr>
              <w:t>2</w:t>
            </w:r>
            <w:r w:rsidRPr="0028033B">
              <w:rPr>
                <w:rFonts w:cs="Calibri"/>
              </w:rPr>
              <w:t>O</w:t>
            </w:r>
          </w:p>
        </w:tc>
        <w:tc>
          <w:tcPr>
            <w:tcW w:w="749" w:type="pct"/>
            <w:shd w:val="clear" w:color="auto" w:fill="FFFFFF"/>
          </w:tcPr>
          <w:p w14:paraId="38E6FB80"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18B609A0" w14:textId="77777777" w:rsidTr="00F16E23">
        <w:tc>
          <w:tcPr>
            <w:tcW w:w="687" w:type="pct"/>
            <w:shd w:val="clear" w:color="auto" w:fill="FFFFFF"/>
          </w:tcPr>
          <w:p w14:paraId="2D9478F0" w14:textId="77777777" w:rsidR="00E46639" w:rsidRPr="0028033B" w:rsidRDefault="00E46639" w:rsidP="00F16E23">
            <w:pPr>
              <w:pStyle w:val="TableText"/>
              <w:spacing w:before="50" w:after="50"/>
              <w:rPr>
                <w:rFonts w:cs="Calibri"/>
                <w:color w:val="000000"/>
              </w:rPr>
            </w:pPr>
            <w:r w:rsidRPr="0028033B">
              <w:rPr>
                <w:rFonts w:cs="Calibri"/>
              </w:rPr>
              <w:t>3.D.1.f.</w:t>
            </w:r>
          </w:p>
        </w:tc>
        <w:tc>
          <w:tcPr>
            <w:tcW w:w="3063" w:type="pct"/>
            <w:shd w:val="clear" w:color="auto" w:fill="FFFFFF"/>
          </w:tcPr>
          <w:p w14:paraId="33F0607C" w14:textId="77777777" w:rsidR="00E46639" w:rsidRPr="0028033B" w:rsidRDefault="00E46639" w:rsidP="00F16E23">
            <w:pPr>
              <w:pStyle w:val="TableText"/>
              <w:spacing w:before="50" w:after="50"/>
              <w:rPr>
                <w:rFonts w:cs="Calibri"/>
                <w:color w:val="000000"/>
              </w:rPr>
            </w:pPr>
            <w:r w:rsidRPr="0028033B">
              <w:rPr>
                <w:rFonts w:cs="Calibri"/>
              </w:rPr>
              <w:t>Direct N₂O emissions from managed soils – Cultivation of organic soils</w:t>
            </w:r>
          </w:p>
        </w:tc>
        <w:tc>
          <w:tcPr>
            <w:tcW w:w="501" w:type="pct"/>
            <w:shd w:val="clear" w:color="auto" w:fill="FFFFFF"/>
          </w:tcPr>
          <w:p w14:paraId="27B251F6" w14:textId="77777777" w:rsidR="00E46639" w:rsidRPr="0028033B" w:rsidRDefault="00E46639" w:rsidP="00F16E23">
            <w:pPr>
              <w:pStyle w:val="TableText"/>
              <w:spacing w:before="50" w:after="50"/>
              <w:rPr>
                <w:rFonts w:cs="Calibri"/>
                <w:color w:val="000000"/>
              </w:rPr>
            </w:pPr>
            <w:r w:rsidRPr="0028033B">
              <w:rPr>
                <w:rFonts w:cs="Calibri"/>
              </w:rPr>
              <w:t>N</w:t>
            </w:r>
            <w:r w:rsidRPr="0028033B">
              <w:rPr>
                <w:rFonts w:cs="Calibri"/>
                <w:vertAlign w:val="subscript"/>
              </w:rPr>
              <w:t>2</w:t>
            </w:r>
            <w:r w:rsidRPr="0028033B">
              <w:rPr>
                <w:rFonts w:cs="Calibri"/>
              </w:rPr>
              <w:t>O</w:t>
            </w:r>
          </w:p>
        </w:tc>
        <w:tc>
          <w:tcPr>
            <w:tcW w:w="749" w:type="pct"/>
            <w:shd w:val="clear" w:color="auto" w:fill="FFFFFF"/>
          </w:tcPr>
          <w:p w14:paraId="7EFF06D5"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012FF37D" w14:textId="77777777" w:rsidTr="00F16E23">
        <w:tc>
          <w:tcPr>
            <w:tcW w:w="687" w:type="pct"/>
            <w:shd w:val="clear" w:color="auto" w:fill="FFFFFF"/>
          </w:tcPr>
          <w:p w14:paraId="1A9BF680" w14:textId="77777777" w:rsidR="00E46639" w:rsidRPr="0028033B" w:rsidRDefault="00E46639" w:rsidP="00F16E23">
            <w:pPr>
              <w:pStyle w:val="TableText"/>
              <w:spacing w:before="50" w:after="50"/>
              <w:rPr>
                <w:rFonts w:cs="Calibri"/>
                <w:color w:val="000000"/>
              </w:rPr>
            </w:pPr>
            <w:r w:rsidRPr="0028033B">
              <w:rPr>
                <w:rFonts w:cs="Calibri"/>
              </w:rPr>
              <w:t>3.D.2.a.</w:t>
            </w:r>
          </w:p>
        </w:tc>
        <w:tc>
          <w:tcPr>
            <w:tcW w:w="3063" w:type="pct"/>
            <w:shd w:val="clear" w:color="auto" w:fill="FFFFFF"/>
          </w:tcPr>
          <w:p w14:paraId="6C4C48E4" w14:textId="77777777" w:rsidR="00E46639" w:rsidRPr="0028033B" w:rsidRDefault="00E46639" w:rsidP="00F16E23">
            <w:pPr>
              <w:pStyle w:val="TableText"/>
              <w:spacing w:before="50" w:after="50"/>
              <w:rPr>
                <w:rFonts w:cs="Calibri"/>
                <w:color w:val="000000"/>
              </w:rPr>
            </w:pPr>
            <w:r w:rsidRPr="0028033B">
              <w:rPr>
                <w:rFonts w:cs="Calibri"/>
              </w:rPr>
              <w:t>Indirect N₂O emissions from managed soils – Atmospheric deposition</w:t>
            </w:r>
          </w:p>
        </w:tc>
        <w:tc>
          <w:tcPr>
            <w:tcW w:w="501" w:type="pct"/>
            <w:shd w:val="clear" w:color="auto" w:fill="FFFFFF"/>
          </w:tcPr>
          <w:p w14:paraId="45953C1A" w14:textId="77777777" w:rsidR="00E46639" w:rsidRPr="0028033B" w:rsidRDefault="00E46639" w:rsidP="00F16E23">
            <w:pPr>
              <w:pStyle w:val="TableText"/>
              <w:spacing w:before="50" w:after="50"/>
              <w:rPr>
                <w:rFonts w:cs="Calibri"/>
                <w:color w:val="000000"/>
              </w:rPr>
            </w:pPr>
            <w:r w:rsidRPr="0028033B">
              <w:rPr>
                <w:rFonts w:cs="Calibri"/>
              </w:rPr>
              <w:t>N</w:t>
            </w:r>
            <w:r w:rsidRPr="0028033B">
              <w:rPr>
                <w:rFonts w:cs="Calibri"/>
                <w:vertAlign w:val="subscript"/>
              </w:rPr>
              <w:t>2</w:t>
            </w:r>
            <w:r w:rsidRPr="0028033B">
              <w:rPr>
                <w:rFonts w:cs="Calibri"/>
              </w:rPr>
              <w:t>O</w:t>
            </w:r>
          </w:p>
        </w:tc>
        <w:tc>
          <w:tcPr>
            <w:tcW w:w="749" w:type="pct"/>
            <w:shd w:val="clear" w:color="auto" w:fill="FFFFFF"/>
          </w:tcPr>
          <w:p w14:paraId="092F933B" w14:textId="77777777" w:rsidR="00E46639" w:rsidRPr="0028033B" w:rsidRDefault="00E46639" w:rsidP="00F16E23">
            <w:pPr>
              <w:pStyle w:val="TableText"/>
              <w:spacing w:before="50" w:after="50"/>
              <w:rPr>
                <w:rFonts w:cs="Calibri"/>
                <w:color w:val="000000"/>
              </w:rPr>
            </w:pPr>
            <w:r w:rsidRPr="0028033B">
              <w:rPr>
                <w:rFonts w:cs="Calibri"/>
              </w:rPr>
              <w:t>L1</w:t>
            </w:r>
          </w:p>
        </w:tc>
      </w:tr>
      <w:tr w:rsidR="00E46639" w:rsidRPr="0028033B" w14:paraId="516170E6" w14:textId="77777777" w:rsidTr="00F16E23">
        <w:tc>
          <w:tcPr>
            <w:tcW w:w="687" w:type="pct"/>
            <w:shd w:val="clear" w:color="auto" w:fill="FFFFFF"/>
          </w:tcPr>
          <w:p w14:paraId="279CA69A" w14:textId="77777777" w:rsidR="00E46639" w:rsidRPr="0028033B" w:rsidRDefault="00E46639" w:rsidP="00F16E23">
            <w:pPr>
              <w:pStyle w:val="TableText"/>
              <w:spacing w:before="50" w:after="50"/>
              <w:rPr>
                <w:rFonts w:cs="Calibri"/>
                <w:color w:val="000000"/>
              </w:rPr>
            </w:pPr>
            <w:r w:rsidRPr="0028033B">
              <w:rPr>
                <w:rFonts w:cs="Calibri"/>
              </w:rPr>
              <w:t>3.D.2.b.</w:t>
            </w:r>
          </w:p>
        </w:tc>
        <w:tc>
          <w:tcPr>
            <w:tcW w:w="3063" w:type="pct"/>
            <w:shd w:val="clear" w:color="auto" w:fill="FFFFFF"/>
          </w:tcPr>
          <w:p w14:paraId="3FB03185" w14:textId="77777777" w:rsidR="00E46639" w:rsidRPr="0028033B" w:rsidRDefault="00E46639" w:rsidP="00F16E23">
            <w:pPr>
              <w:pStyle w:val="TableText"/>
              <w:spacing w:before="50" w:after="50"/>
              <w:rPr>
                <w:rFonts w:cs="Calibri"/>
                <w:color w:val="000000"/>
              </w:rPr>
            </w:pPr>
            <w:r w:rsidRPr="0028033B">
              <w:rPr>
                <w:rFonts w:cs="Calibri"/>
              </w:rPr>
              <w:t>Indirect N₂O emissions from managed soils – Nitrogen leaching and run-off</w:t>
            </w:r>
          </w:p>
        </w:tc>
        <w:tc>
          <w:tcPr>
            <w:tcW w:w="501" w:type="pct"/>
            <w:shd w:val="clear" w:color="auto" w:fill="FFFFFF"/>
          </w:tcPr>
          <w:p w14:paraId="65689CE9" w14:textId="77777777" w:rsidR="00E46639" w:rsidRPr="0028033B" w:rsidRDefault="00E46639" w:rsidP="00F16E23">
            <w:pPr>
              <w:pStyle w:val="TableText"/>
              <w:spacing w:before="50" w:after="50"/>
              <w:rPr>
                <w:rFonts w:cs="Calibri"/>
                <w:color w:val="000000"/>
              </w:rPr>
            </w:pPr>
            <w:r w:rsidRPr="0028033B">
              <w:rPr>
                <w:rFonts w:cs="Calibri"/>
              </w:rPr>
              <w:t>N</w:t>
            </w:r>
            <w:r w:rsidRPr="0028033B">
              <w:rPr>
                <w:rFonts w:cs="Calibri"/>
                <w:vertAlign w:val="subscript"/>
              </w:rPr>
              <w:t>2</w:t>
            </w:r>
            <w:r w:rsidRPr="0028033B">
              <w:rPr>
                <w:rFonts w:cs="Calibri"/>
              </w:rPr>
              <w:t>O</w:t>
            </w:r>
          </w:p>
        </w:tc>
        <w:tc>
          <w:tcPr>
            <w:tcW w:w="749" w:type="pct"/>
            <w:shd w:val="clear" w:color="auto" w:fill="FFFFFF"/>
          </w:tcPr>
          <w:p w14:paraId="795873DA" w14:textId="77777777" w:rsidR="00E46639" w:rsidRPr="0028033B" w:rsidRDefault="00E46639" w:rsidP="00F16E23">
            <w:pPr>
              <w:pStyle w:val="TableText"/>
              <w:spacing w:before="50" w:after="50"/>
              <w:rPr>
                <w:rFonts w:cs="Calibri"/>
                <w:color w:val="000000"/>
              </w:rPr>
            </w:pPr>
            <w:r w:rsidRPr="0028033B">
              <w:rPr>
                <w:rFonts w:cs="Calibri"/>
              </w:rPr>
              <w:t>L1</w:t>
            </w:r>
          </w:p>
        </w:tc>
      </w:tr>
      <w:tr w:rsidR="00E46639" w:rsidRPr="0028033B" w14:paraId="4A8D62AD" w14:textId="77777777" w:rsidTr="00F16E23">
        <w:tc>
          <w:tcPr>
            <w:tcW w:w="687" w:type="pct"/>
            <w:shd w:val="clear" w:color="auto" w:fill="FFFFFF"/>
          </w:tcPr>
          <w:p w14:paraId="22350764" w14:textId="77777777" w:rsidR="00E46639" w:rsidRPr="0028033B" w:rsidRDefault="00E46639" w:rsidP="00F16E23">
            <w:pPr>
              <w:pStyle w:val="TableText"/>
              <w:spacing w:before="50" w:after="50"/>
              <w:rPr>
                <w:rFonts w:cs="Calibri"/>
                <w:color w:val="000000"/>
              </w:rPr>
            </w:pPr>
            <w:r w:rsidRPr="0028033B">
              <w:rPr>
                <w:rFonts w:cs="Calibri"/>
              </w:rPr>
              <w:t>3.G.</w:t>
            </w:r>
          </w:p>
        </w:tc>
        <w:tc>
          <w:tcPr>
            <w:tcW w:w="3063" w:type="pct"/>
            <w:shd w:val="clear" w:color="auto" w:fill="FFFFFF"/>
          </w:tcPr>
          <w:p w14:paraId="67694704" w14:textId="77777777" w:rsidR="00E46639" w:rsidRPr="0028033B" w:rsidRDefault="00E46639" w:rsidP="00F16E23">
            <w:pPr>
              <w:pStyle w:val="TableText"/>
              <w:spacing w:before="50" w:after="50"/>
              <w:rPr>
                <w:rFonts w:cs="Calibri"/>
                <w:color w:val="000000"/>
              </w:rPr>
            </w:pPr>
            <w:r w:rsidRPr="0028033B">
              <w:rPr>
                <w:rFonts w:cs="Calibri"/>
              </w:rPr>
              <w:t>Agriculture – Liming</w:t>
            </w:r>
          </w:p>
        </w:tc>
        <w:tc>
          <w:tcPr>
            <w:tcW w:w="501" w:type="pct"/>
            <w:shd w:val="clear" w:color="auto" w:fill="FFFFFF"/>
          </w:tcPr>
          <w:p w14:paraId="4CD64D6D" w14:textId="77777777" w:rsidR="00E46639" w:rsidRPr="0028033B" w:rsidRDefault="00E46639" w:rsidP="00F16E23">
            <w:pPr>
              <w:pStyle w:val="TableText"/>
              <w:spacing w:before="50" w:after="50"/>
              <w:rPr>
                <w:rFonts w:cs="Calibri"/>
                <w:color w:val="000000"/>
              </w:rPr>
            </w:pPr>
            <w:r w:rsidRPr="0028033B">
              <w:rPr>
                <w:rFonts w:cs="Calibri"/>
              </w:rPr>
              <w:t>CO</w:t>
            </w:r>
            <w:r w:rsidRPr="0028033B">
              <w:rPr>
                <w:rFonts w:cs="Calibri"/>
                <w:vertAlign w:val="subscript"/>
              </w:rPr>
              <w:t>2</w:t>
            </w:r>
          </w:p>
        </w:tc>
        <w:tc>
          <w:tcPr>
            <w:tcW w:w="749" w:type="pct"/>
            <w:shd w:val="clear" w:color="auto" w:fill="FFFFFF"/>
          </w:tcPr>
          <w:p w14:paraId="54653ACB" w14:textId="77777777" w:rsidR="00E46639" w:rsidRPr="0028033B" w:rsidRDefault="00E46639" w:rsidP="00F16E23">
            <w:pPr>
              <w:pStyle w:val="TableText"/>
              <w:spacing w:before="50" w:after="50"/>
              <w:rPr>
                <w:rFonts w:cs="Calibri"/>
                <w:color w:val="000000"/>
              </w:rPr>
            </w:pPr>
            <w:r w:rsidRPr="0028033B">
              <w:rPr>
                <w:rFonts w:cs="Calibri"/>
              </w:rPr>
              <w:t>L1, T1</w:t>
            </w:r>
          </w:p>
        </w:tc>
      </w:tr>
      <w:tr w:rsidR="00E46639" w:rsidRPr="0028033B" w14:paraId="279AE107" w14:textId="77777777" w:rsidTr="00F16E23">
        <w:tc>
          <w:tcPr>
            <w:tcW w:w="687" w:type="pct"/>
            <w:shd w:val="clear" w:color="auto" w:fill="FFFFFF"/>
          </w:tcPr>
          <w:p w14:paraId="2D0F5406" w14:textId="77777777" w:rsidR="00E46639" w:rsidRPr="0028033B" w:rsidRDefault="00E46639" w:rsidP="00F16E23">
            <w:pPr>
              <w:pStyle w:val="TableText"/>
              <w:spacing w:before="50" w:after="50"/>
              <w:rPr>
                <w:rFonts w:cs="Calibri"/>
                <w:color w:val="000000"/>
              </w:rPr>
            </w:pPr>
            <w:r w:rsidRPr="0028033B">
              <w:rPr>
                <w:rFonts w:cs="Calibri"/>
              </w:rPr>
              <w:t>3.H.</w:t>
            </w:r>
          </w:p>
        </w:tc>
        <w:tc>
          <w:tcPr>
            <w:tcW w:w="3063" w:type="pct"/>
            <w:shd w:val="clear" w:color="auto" w:fill="FFFFFF"/>
          </w:tcPr>
          <w:p w14:paraId="40174777" w14:textId="77777777" w:rsidR="00E46639" w:rsidRPr="0028033B" w:rsidRDefault="00E46639" w:rsidP="00F16E23">
            <w:pPr>
              <w:pStyle w:val="TableText"/>
              <w:spacing w:before="50" w:after="50"/>
              <w:rPr>
                <w:rFonts w:cs="Calibri"/>
                <w:color w:val="000000"/>
              </w:rPr>
            </w:pPr>
            <w:r w:rsidRPr="0028033B">
              <w:rPr>
                <w:rFonts w:cs="Calibri"/>
              </w:rPr>
              <w:t>Agriculture – Urea application</w:t>
            </w:r>
          </w:p>
        </w:tc>
        <w:tc>
          <w:tcPr>
            <w:tcW w:w="501" w:type="pct"/>
            <w:shd w:val="clear" w:color="auto" w:fill="FFFFFF"/>
          </w:tcPr>
          <w:p w14:paraId="581D7F8A" w14:textId="77777777" w:rsidR="00E46639" w:rsidRPr="0028033B" w:rsidRDefault="00E46639" w:rsidP="00F16E23">
            <w:pPr>
              <w:pStyle w:val="TableText"/>
              <w:spacing w:before="50" w:after="50"/>
              <w:rPr>
                <w:rFonts w:cs="Calibri"/>
                <w:color w:val="000000"/>
              </w:rPr>
            </w:pPr>
            <w:r w:rsidRPr="0028033B">
              <w:rPr>
                <w:rFonts w:cs="Calibri"/>
              </w:rPr>
              <w:t>CO</w:t>
            </w:r>
            <w:r w:rsidRPr="0028033B">
              <w:rPr>
                <w:rFonts w:cs="Calibri"/>
                <w:vertAlign w:val="subscript"/>
              </w:rPr>
              <w:t>2</w:t>
            </w:r>
          </w:p>
        </w:tc>
        <w:tc>
          <w:tcPr>
            <w:tcW w:w="749" w:type="pct"/>
            <w:shd w:val="clear" w:color="auto" w:fill="FFFFFF"/>
          </w:tcPr>
          <w:p w14:paraId="7EB2ACC4" w14:textId="77777777" w:rsidR="00E46639" w:rsidRPr="0028033B" w:rsidRDefault="00E46639" w:rsidP="00F16E23">
            <w:pPr>
              <w:pStyle w:val="TableText"/>
              <w:spacing w:before="50" w:after="50"/>
              <w:rPr>
                <w:rFonts w:cs="Calibri"/>
                <w:color w:val="000000"/>
              </w:rPr>
            </w:pPr>
            <w:r w:rsidRPr="0028033B">
              <w:rPr>
                <w:rFonts w:cs="Calibri"/>
              </w:rPr>
              <w:t>L1, T1</w:t>
            </w:r>
          </w:p>
        </w:tc>
      </w:tr>
    </w:tbl>
    <w:p w14:paraId="7BB78CE6" w14:textId="77777777" w:rsidR="00E46639" w:rsidRPr="0028033B" w:rsidRDefault="00E46639" w:rsidP="00E46639">
      <w:pPr>
        <w:pStyle w:val="Noteundertable"/>
        <w:spacing w:before="100"/>
        <w:rPr>
          <w:rFonts w:cs="Calibri"/>
        </w:rPr>
      </w:pPr>
      <w:r w:rsidRPr="0028033B">
        <w:rPr>
          <w:rFonts w:cs="Calibri"/>
          <w:b/>
          <w:bCs/>
        </w:rPr>
        <w:t>Note</w:t>
      </w:r>
      <w:r w:rsidRPr="0028033B">
        <w:rPr>
          <w:rFonts w:cs="Calibri"/>
        </w:rPr>
        <w:t xml:space="preserve">: </w:t>
      </w:r>
      <w:r w:rsidRPr="0028033B">
        <w:rPr>
          <w:rFonts w:cs="Calibri"/>
        </w:rPr>
        <w:tab/>
        <w:t xml:space="preserve">L1 means a key category is identified under the level analysis – approach 1 and T1 is trend analysis </w:t>
      </w:r>
      <w:r w:rsidRPr="0028033B">
        <w:rPr>
          <w:rFonts w:cs="Calibri"/>
        </w:rPr>
        <w:br/>
        <w:t>– approach 1. See chapter 1 for more information.</w:t>
      </w:r>
    </w:p>
    <w:p w14:paraId="4BA55F12" w14:textId="77777777" w:rsidR="00E46639" w:rsidRPr="0028033B" w:rsidRDefault="00E46639" w:rsidP="00E46639">
      <w:pPr>
        <w:pStyle w:val="Heading3"/>
      </w:pPr>
      <w:bookmarkStart w:id="663" w:name="_Toc32570645"/>
      <w:r w:rsidRPr="0028033B">
        <w:t xml:space="preserve">5.1.3 </w:t>
      </w:r>
      <w:r w:rsidRPr="0028033B">
        <w:tab/>
        <w:t>Methodological issues for the Agriculture sector</w:t>
      </w:r>
      <w:bookmarkEnd w:id="663"/>
      <w:r w:rsidRPr="0028033B">
        <w:t xml:space="preserve"> </w:t>
      </w:r>
    </w:p>
    <w:p w14:paraId="223D17C6" w14:textId="77777777" w:rsidR="00E46639" w:rsidRPr="0028033B" w:rsidRDefault="00E46639" w:rsidP="00E46639">
      <w:pPr>
        <w:pStyle w:val="BodyText"/>
        <w:spacing w:before="100" w:after="100"/>
        <w:rPr>
          <w:rFonts w:cs="Calibri"/>
        </w:rPr>
      </w:pPr>
      <w:r w:rsidRPr="0028033B">
        <w:rPr>
          <w:rFonts w:cs="Calibri"/>
        </w:rPr>
        <w:t>The Agriculture</w:t>
      </w:r>
      <w:r w:rsidRPr="0028033B">
        <w:rPr>
          <w:rFonts w:cs="Calibri"/>
          <w:i/>
        </w:rPr>
        <w:t xml:space="preserve"> </w:t>
      </w:r>
      <w:r w:rsidRPr="0028033B">
        <w:rPr>
          <w:rFonts w:cs="Calibri"/>
        </w:rPr>
        <w:t>sector includes emissions of CH</w:t>
      </w:r>
      <w:r w:rsidRPr="0028033B">
        <w:rPr>
          <w:rFonts w:cs="Calibri"/>
          <w:vertAlign w:val="subscript"/>
        </w:rPr>
        <w:t>4</w:t>
      </w:r>
      <w:r w:rsidRPr="0028033B">
        <w:rPr>
          <w:rFonts w:cs="Calibri"/>
        </w:rPr>
        <w:t xml:space="preserve"> and N</w:t>
      </w:r>
      <w:r w:rsidRPr="0028033B">
        <w:rPr>
          <w:rFonts w:cs="Calibri"/>
          <w:vertAlign w:val="subscript"/>
        </w:rPr>
        <w:t>2</w:t>
      </w:r>
      <w:r w:rsidRPr="0028033B">
        <w:rPr>
          <w:rFonts w:cs="Calibri"/>
        </w:rPr>
        <w:t xml:space="preserve">O from livestock industries (estimated in </w:t>
      </w:r>
      <w:r w:rsidRPr="0028033B">
        <w:rPr>
          <w:rFonts w:cs="Calibri"/>
          <w:i/>
        </w:rPr>
        <w:t xml:space="preserve">Enteric fermentation </w:t>
      </w:r>
      <w:r w:rsidRPr="0028033B">
        <w:rPr>
          <w:rFonts w:cs="Calibri"/>
        </w:rPr>
        <w:t>(CH</w:t>
      </w:r>
      <w:r w:rsidRPr="0028033B">
        <w:rPr>
          <w:rFonts w:cs="Calibri"/>
          <w:vertAlign w:val="subscript"/>
        </w:rPr>
        <w:t>4</w:t>
      </w:r>
      <w:r w:rsidRPr="0028033B">
        <w:rPr>
          <w:rFonts w:cs="Calibri"/>
        </w:rPr>
        <w:t xml:space="preserve">) and </w:t>
      </w:r>
      <w:r w:rsidRPr="0028033B">
        <w:rPr>
          <w:rFonts w:cs="Calibri"/>
          <w:i/>
        </w:rPr>
        <w:t xml:space="preserve">Manure management </w:t>
      </w:r>
      <w:r w:rsidRPr="0028033B">
        <w:rPr>
          <w:rFonts w:cs="Calibri"/>
        </w:rPr>
        <w:t>(CH</w:t>
      </w:r>
      <w:r w:rsidRPr="0028033B">
        <w:rPr>
          <w:rFonts w:cs="Calibri"/>
          <w:vertAlign w:val="subscript"/>
        </w:rPr>
        <w:t>4</w:t>
      </w:r>
      <w:r w:rsidRPr="0028033B">
        <w:rPr>
          <w:rFonts w:cs="Calibri"/>
        </w:rPr>
        <w:t xml:space="preserve"> and N</w:t>
      </w:r>
      <w:r w:rsidRPr="0028033B">
        <w:rPr>
          <w:rFonts w:cs="Calibri"/>
          <w:vertAlign w:val="subscript"/>
        </w:rPr>
        <w:t>2</w:t>
      </w:r>
      <w:r w:rsidRPr="0028033B">
        <w:rPr>
          <w:rFonts w:cs="Calibri"/>
        </w:rPr>
        <w:t>O)).</w:t>
      </w:r>
      <w:r w:rsidRPr="0028033B">
        <w:rPr>
          <w:rFonts w:cs="Calibri"/>
          <w:i/>
        </w:rPr>
        <w:t xml:space="preserve"> </w:t>
      </w:r>
      <w:r w:rsidRPr="0028033B">
        <w:rPr>
          <w:rFonts w:cs="Calibri"/>
        </w:rPr>
        <w:t xml:space="preserve">In </w:t>
      </w:r>
      <w:r w:rsidRPr="0028033B">
        <w:t>New Zealand</w:t>
      </w:r>
      <w:r w:rsidRPr="0028033B">
        <w:rPr>
          <w:rFonts w:cs="Calibri"/>
        </w:rPr>
        <w:t xml:space="preserve">, the most populous species are sheep, followed by dairy cattle, non-dairy </w:t>
      </w:r>
      <w:r w:rsidRPr="0028033B">
        <w:t xml:space="preserve">(beef) </w:t>
      </w:r>
      <w:r w:rsidRPr="0028033B">
        <w:rPr>
          <w:rFonts w:cs="Calibri"/>
        </w:rPr>
        <w:t xml:space="preserve">cattle and deer. The majority of </w:t>
      </w:r>
      <w:r w:rsidRPr="0028033B" w:rsidDel="00586F76">
        <w:t xml:space="preserve">New </w:t>
      </w:r>
      <w:r w:rsidRPr="0028033B">
        <w:t>Zealand</w:t>
      </w:r>
      <w:r w:rsidRPr="0028033B">
        <w:rPr>
          <w:rFonts w:cs="Calibri"/>
        </w:rPr>
        <w:t xml:space="preserve"> animals are selected to perform under outdoor pastoral farming systems. </w:t>
      </w:r>
    </w:p>
    <w:p w14:paraId="1CC5BF6E" w14:textId="77777777" w:rsidR="00E46639" w:rsidRPr="0028033B" w:rsidRDefault="00E46639" w:rsidP="00E46639">
      <w:pPr>
        <w:pStyle w:val="BodyText"/>
        <w:spacing w:before="100" w:after="100"/>
        <w:rPr>
          <w:rFonts w:cs="Calibri"/>
        </w:rPr>
      </w:pPr>
      <w:r w:rsidRPr="0028033B">
        <w:rPr>
          <w:rFonts w:cs="Calibri"/>
        </w:rPr>
        <w:t>Other agricultural emission sources include N</w:t>
      </w:r>
      <w:r w:rsidRPr="0028033B">
        <w:rPr>
          <w:rFonts w:cs="Calibri"/>
          <w:vertAlign w:val="subscript"/>
        </w:rPr>
        <w:t>2</w:t>
      </w:r>
      <w:r w:rsidRPr="0028033B">
        <w:rPr>
          <w:rFonts w:cs="Calibri"/>
        </w:rPr>
        <w:t xml:space="preserve">O from </w:t>
      </w:r>
      <w:r w:rsidRPr="0028033B">
        <w:rPr>
          <w:rFonts w:cs="Calibri"/>
          <w:i/>
          <w:iCs/>
        </w:rPr>
        <w:t>Agricultural soils</w:t>
      </w:r>
      <w:r w:rsidRPr="0028033B">
        <w:rPr>
          <w:rFonts w:cs="Calibri"/>
        </w:rPr>
        <w:t>, CH</w:t>
      </w:r>
      <w:r w:rsidRPr="0028033B">
        <w:rPr>
          <w:rFonts w:cs="Calibri"/>
          <w:vertAlign w:val="subscript"/>
        </w:rPr>
        <w:t>4</w:t>
      </w:r>
      <w:r w:rsidRPr="0028033B">
        <w:rPr>
          <w:rFonts w:cs="Calibri"/>
        </w:rPr>
        <w:t xml:space="preserve"> and N</w:t>
      </w:r>
      <w:r w:rsidRPr="0028033B">
        <w:rPr>
          <w:rFonts w:cs="Calibri"/>
          <w:vertAlign w:val="subscript"/>
        </w:rPr>
        <w:t>2</w:t>
      </w:r>
      <w:r w:rsidRPr="0028033B">
        <w:rPr>
          <w:rFonts w:cs="Calibri"/>
        </w:rPr>
        <w:t>O from </w:t>
      </w:r>
      <w:r w:rsidRPr="0028033B">
        <w:rPr>
          <w:rFonts w:cs="Calibri"/>
          <w:i/>
          <w:iCs/>
        </w:rPr>
        <w:t>Field burning of agricultural residues</w:t>
      </w:r>
      <w:r w:rsidRPr="0028033B">
        <w:rPr>
          <w:rFonts w:cs="Calibri"/>
        </w:rPr>
        <w:t xml:space="preserve"> and CO</w:t>
      </w:r>
      <w:r w:rsidRPr="0028033B">
        <w:rPr>
          <w:rFonts w:cs="Calibri"/>
          <w:vertAlign w:val="subscript"/>
        </w:rPr>
        <w:t>2</w:t>
      </w:r>
      <w:r w:rsidRPr="0028033B">
        <w:rPr>
          <w:rFonts w:cs="Calibri"/>
        </w:rPr>
        <w:t xml:space="preserve"> from </w:t>
      </w:r>
      <w:r w:rsidRPr="0028033B">
        <w:rPr>
          <w:rFonts w:cs="Calibri"/>
          <w:i/>
          <w:iCs/>
        </w:rPr>
        <w:t>Liming</w:t>
      </w:r>
      <w:r w:rsidRPr="0028033B">
        <w:rPr>
          <w:rFonts w:cs="Calibri"/>
        </w:rPr>
        <w:t xml:space="preserve"> and </w:t>
      </w:r>
      <w:r w:rsidRPr="0028033B">
        <w:rPr>
          <w:rFonts w:cs="Calibri"/>
          <w:i/>
          <w:iCs/>
        </w:rPr>
        <w:t>Urea application</w:t>
      </w:r>
      <w:r w:rsidRPr="0028033B">
        <w:rPr>
          <w:rFonts w:cs="Calibri"/>
        </w:rPr>
        <w:t>.</w:t>
      </w:r>
    </w:p>
    <w:p w14:paraId="694D90C9" w14:textId="77777777" w:rsidR="00E46639" w:rsidRPr="0028033B" w:rsidRDefault="00E46639" w:rsidP="00E46639">
      <w:pPr>
        <w:pStyle w:val="BodyText"/>
        <w:spacing w:before="100" w:after="100"/>
        <w:rPr>
          <w:rFonts w:cs="Calibri"/>
        </w:rPr>
      </w:pPr>
      <w:r w:rsidRPr="0028033B">
        <w:t>New Zealand</w:t>
      </w:r>
      <w:r w:rsidRPr="0028033B">
        <w:rPr>
          <w:rFonts w:cs="Calibri"/>
        </w:rPr>
        <w:t xml:space="preserve"> uses a range of models and IPCC tiers appropriate to the size of the different emission categories for calculating emissions. For example, in 2024, 93.0 percent of </w:t>
      </w:r>
      <w:r w:rsidRPr="0028033B">
        <w:t xml:space="preserve">emissions from the Agriculture sector come from </w:t>
      </w:r>
      <w:r w:rsidRPr="0028033B">
        <w:rPr>
          <w:rFonts w:cs="Calibri"/>
          <w:i/>
          <w:iCs/>
        </w:rPr>
        <w:t>Dairy cattle</w:t>
      </w:r>
      <w:r w:rsidRPr="0028033B">
        <w:rPr>
          <w:rFonts w:cs="Calibri"/>
        </w:rPr>
        <w:t xml:space="preserve">, </w:t>
      </w:r>
      <w:r w:rsidRPr="0028033B">
        <w:rPr>
          <w:rFonts w:cs="Calibri"/>
          <w:i/>
          <w:iCs/>
        </w:rPr>
        <w:t>Non-dairy cattle</w:t>
      </w:r>
      <w:r w:rsidRPr="0028033B">
        <w:rPr>
          <w:rFonts w:cs="Calibri"/>
        </w:rPr>
        <w:t>,</w:t>
      </w:r>
      <w:r w:rsidRPr="0028033B">
        <w:rPr>
          <w:rFonts w:cs="Calibri"/>
          <w:i/>
          <w:iCs/>
        </w:rPr>
        <w:t xml:space="preserve"> Sheep</w:t>
      </w:r>
      <w:r w:rsidRPr="0028033B">
        <w:rPr>
          <w:rFonts w:cs="Calibri"/>
        </w:rPr>
        <w:t xml:space="preserve"> and </w:t>
      </w:r>
      <w:r w:rsidRPr="0028033B">
        <w:rPr>
          <w:rFonts w:cs="Calibri"/>
          <w:i/>
          <w:iCs/>
        </w:rPr>
        <w:t>Deer</w:t>
      </w:r>
      <w:r w:rsidRPr="0028033B">
        <w:rPr>
          <w:rFonts w:cs="Calibri"/>
        </w:rPr>
        <w:t xml:space="preserve"> (‘major’ livestock </w:t>
      </w:r>
      <w:r w:rsidRPr="0028033B">
        <w:rPr>
          <w:rFonts w:cs="Calibri"/>
          <w:spacing w:val="-2"/>
        </w:rPr>
        <w:t xml:space="preserve">categories). Emissions from major livestock categories are estimated using </w:t>
      </w:r>
      <w:r w:rsidRPr="0028033B">
        <w:t xml:space="preserve">Intergovernmental </w:t>
      </w:r>
      <w:r w:rsidRPr="0028033B">
        <w:rPr>
          <w:spacing w:val="-2"/>
        </w:rPr>
        <w:t xml:space="preserve">Panel on Climate Change (IPCC) </w:t>
      </w:r>
      <w:r w:rsidRPr="0028033B">
        <w:rPr>
          <w:rFonts w:cs="Calibri"/>
          <w:spacing w:val="-2"/>
        </w:rPr>
        <w:t>Tier 2 methodologies.</w:t>
      </w:r>
      <w:r w:rsidRPr="0028033B">
        <w:rPr>
          <w:rFonts w:cs="Calibri"/>
        </w:rPr>
        <w:t xml:space="preserve"> Other livestock species, including </w:t>
      </w:r>
      <w:r w:rsidRPr="0028033B">
        <w:rPr>
          <w:rFonts w:cs="Calibri"/>
          <w:i/>
          <w:iCs/>
        </w:rPr>
        <w:t>Swine</w:t>
      </w:r>
      <w:r w:rsidRPr="0028033B">
        <w:rPr>
          <w:rFonts w:cs="Calibri"/>
        </w:rPr>
        <w:t>,</w:t>
      </w:r>
      <w:r w:rsidRPr="0028033B">
        <w:rPr>
          <w:rFonts w:cs="Calibri"/>
          <w:i/>
          <w:iCs/>
        </w:rPr>
        <w:t xml:space="preserve"> Goats</w:t>
      </w:r>
      <w:r w:rsidRPr="0028033B">
        <w:rPr>
          <w:rFonts w:cs="Calibri"/>
        </w:rPr>
        <w:t>,</w:t>
      </w:r>
      <w:r w:rsidRPr="0028033B">
        <w:rPr>
          <w:rFonts w:cs="Calibri"/>
          <w:i/>
          <w:iCs/>
        </w:rPr>
        <w:t xml:space="preserve"> Horses</w:t>
      </w:r>
      <w:r w:rsidRPr="0028033B">
        <w:rPr>
          <w:rFonts w:cs="Calibri"/>
        </w:rPr>
        <w:t>,</w:t>
      </w:r>
      <w:r w:rsidRPr="0028033B">
        <w:rPr>
          <w:rFonts w:cs="Calibri"/>
          <w:i/>
          <w:iCs/>
        </w:rPr>
        <w:t xml:space="preserve"> </w:t>
      </w:r>
      <w:r w:rsidRPr="0028033B">
        <w:rPr>
          <w:rFonts w:cs="Calibri"/>
          <w:i/>
        </w:rPr>
        <w:t>Llamas</w:t>
      </w:r>
      <w:r w:rsidRPr="0028033B">
        <w:rPr>
          <w:i/>
        </w:rPr>
        <w:t xml:space="preserve"> and alpaca</w:t>
      </w:r>
      <w:r w:rsidRPr="0028033B">
        <w:rPr>
          <w:rFonts w:cs="Calibri"/>
          <w:i/>
        </w:rPr>
        <w:t>s</w:t>
      </w:r>
      <w:r w:rsidRPr="0028033B">
        <w:rPr>
          <w:rFonts w:cs="Calibri"/>
        </w:rPr>
        <w:t>,</w:t>
      </w:r>
      <w:r w:rsidRPr="0028033B">
        <w:rPr>
          <w:rFonts w:cs="Calibri"/>
          <w:i/>
          <w:iCs/>
        </w:rPr>
        <w:t xml:space="preserve"> Mules and asses, Ostriches</w:t>
      </w:r>
      <w:r w:rsidRPr="0028033B">
        <w:rPr>
          <w:rFonts w:cs="Calibri"/>
        </w:rPr>
        <w:t xml:space="preserve"> </w:t>
      </w:r>
      <w:r w:rsidRPr="0028033B">
        <w:rPr>
          <w:rFonts w:cs="Calibri"/>
          <w:spacing w:val="-2"/>
        </w:rPr>
        <w:t xml:space="preserve">and </w:t>
      </w:r>
      <w:r w:rsidRPr="0028033B">
        <w:rPr>
          <w:rFonts w:cs="Calibri"/>
          <w:i/>
          <w:iCs/>
          <w:spacing w:val="-2"/>
        </w:rPr>
        <w:t xml:space="preserve">Poultry </w:t>
      </w:r>
      <w:r w:rsidRPr="0028033B">
        <w:rPr>
          <w:rFonts w:cs="Calibri"/>
          <w:spacing w:val="-2"/>
        </w:rPr>
        <w:t>(‘minor’ livestock categories), account for only 0.4 percent of Agriculture emissions,</w:t>
      </w:r>
      <w:r w:rsidRPr="0028033B">
        <w:rPr>
          <w:rFonts w:cs="Calibri"/>
        </w:rPr>
        <w:t xml:space="preserve"> and are estimated using Tier 1 methodologies with some Tier 2 components. As such, most of </w:t>
      </w:r>
      <w:r w:rsidRPr="0028033B">
        <w:t>New Zealand’s</w:t>
      </w:r>
      <w:r w:rsidRPr="0028033B">
        <w:rPr>
          <w:rFonts w:cs="Calibri"/>
        </w:rPr>
        <w:t xml:space="preserve"> reported </w:t>
      </w:r>
      <w:r w:rsidRPr="0028033B">
        <w:t>Agriculture</w:t>
      </w:r>
      <w:r w:rsidRPr="0028033B">
        <w:rPr>
          <w:rFonts w:cs="Calibri"/>
        </w:rPr>
        <w:t xml:space="preserve"> emissions are calculated using a Tier 2 </w:t>
      </w:r>
      <w:r w:rsidRPr="0028033B">
        <w:rPr>
          <w:rFonts w:cs="Calibri"/>
          <w:spacing w:val="-2"/>
        </w:rPr>
        <w:t xml:space="preserve">methodology. A partial Tier 3 methodology is used for calculating emissions from </w:t>
      </w:r>
      <w:r w:rsidRPr="0028033B">
        <w:rPr>
          <w:rFonts w:cs="Calibri"/>
          <w:i/>
          <w:iCs/>
          <w:spacing w:val="-2"/>
        </w:rPr>
        <w:t xml:space="preserve">Agricultural soils </w:t>
      </w:r>
      <w:r w:rsidRPr="0028033B">
        <w:rPr>
          <w:rFonts w:cs="Calibri"/>
          <w:spacing w:val="-2"/>
        </w:rPr>
        <w:t xml:space="preserve">for </w:t>
      </w:r>
      <w:r w:rsidRPr="0028033B">
        <w:rPr>
          <w:rFonts w:cs="Calibri"/>
          <w:i/>
          <w:iCs/>
          <w:szCs w:val="16"/>
        </w:rPr>
        <w:t>Urine and dung deposited by grazing animals</w:t>
      </w:r>
      <w:r w:rsidRPr="0028033B">
        <w:rPr>
          <w:rFonts w:cs="Calibri"/>
          <w:szCs w:val="16"/>
        </w:rPr>
        <w:t>.</w:t>
      </w:r>
      <w:r w:rsidRPr="0028033B">
        <w:rPr>
          <w:rFonts w:cs="Calibri"/>
          <w:spacing w:val="-2"/>
        </w:rPr>
        <w:t xml:space="preserve"> Table 5.1.3 summarises methods and emission factors for Agriculture categories.</w:t>
      </w:r>
    </w:p>
    <w:p w14:paraId="5FB86734" w14:textId="77777777" w:rsidR="00E46639" w:rsidRPr="0028033B" w:rsidRDefault="00E46639" w:rsidP="00E46639">
      <w:pPr>
        <w:pStyle w:val="Table"/>
        <w:rPr>
          <w:rFonts w:cs="Calibri"/>
        </w:rPr>
      </w:pPr>
      <w:bookmarkStart w:id="664" w:name="_Toc32570911"/>
      <w:bookmarkStart w:id="665" w:name="_Toc36224546"/>
      <w:bookmarkStart w:id="666" w:name="_Toc68786432"/>
      <w:bookmarkStart w:id="667" w:name="_Toc95574067"/>
      <w:bookmarkStart w:id="668" w:name="_Toc127458250"/>
      <w:bookmarkStart w:id="669" w:name="_Toc131591346"/>
      <w:bookmarkStart w:id="670" w:name="_Toc160114436"/>
      <w:bookmarkStart w:id="671" w:name="_Toc164153832"/>
      <w:bookmarkStart w:id="672" w:name="_Toc222407613"/>
      <w:bookmarkStart w:id="673" w:name="_Toc226668988"/>
      <w:r w:rsidRPr="0028033B">
        <w:rPr>
          <w:rFonts w:cs="Calibri"/>
        </w:rPr>
        <w:t xml:space="preserve">Table 5.1.3 </w:t>
      </w:r>
      <w:r w:rsidRPr="0028033B">
        <w:rPr>
          <w:rFonts w:cs="Calibri"/>
        </w:rPr>
        <w:tab/>
        <w:t>Methods and emission factors in the Agriculture sector</w:t>
      </w:r>
      <w:bookmarkEnd w:id="664"/>
      <w:bookmarkEnd w:id="665"/>
      <w:bookmarkEnd w:id="666"/>
      <w:bookmarkEnd w:id="667"/>
      <w:bookmarkEnd w:id="668"/>
      <w:bookmarkEnd w:id="669"/>
      <w:bookmarkEnd w:id="670"/>
      <w:bookmarkEnd w:id="671"/>
      <w:bookmarkEnd w:id="672"/>
      <w:bookmarkEnd w:id="673"/>
    </w:p>
    <w:tbl>
      <w:tblPr>
        <w:tblW w:w="8514" w:type="dxa"/>
        <w:tblLayout w:type="fixed"/>
        <w:tblCellMar>
          <w:left w:w="85" w:type="dxa"/>
          <w:right w:w="85" w:type="dxa"/>
        </w:tblCellMar>
        <w:tblLook w:val="04A0" w:firstRow="1" w:lastRow="0" w:firstColumn="1" w:lastColumn="0" w:noHBand="0" w:noVBand="1"/>
      </w:tblPr>
      <w:tblGrid>
        <w:gridCol w:w="320"/>
        <w:gridCol w:w="3224"/>
        <w:gridCol w:w="828"/>
        <w:gridCol w:w="828"/>
        <w:gridCol w:w="829"/>
        <w:gridCol w:w="828"/>
        <w:gridCol w:w="828"/>
        <w:gridCol w:w="829"/>
      </w:tblGrid>
      <w:tr w:rsidR="00E46639" w:rsidRPr="0028033B" w14:paraId="3BC8D1C9" w14:textId="77777777" w:rsidTr="00F16E23">
        <w:trPr>
          <w:tblHeader/>
        </w:trPr>
        <w:tc>
          <w:tcPr>
            <w:tcW w:w="3544" w:type="dxa"/>
            <w:gridSpan w:val="2"/>
            <w:vMerge w:val="restart"/>
            <w:tcBorders>
              <w:top w:val="single" w:sz="4" w:space="0" w:color="1B556B" w:themeColor="text2"/>
              <w:left w:val="nil"/>
              <w:right w:val="nil"/>
            </w:tcBorders>
            <w:shd w:val="clear" w:color="auto" w:fill="1B556B"/>
            <w:vAlign w:val="bottom"/>
          </w:tcPr>
          <w:p w14:paraId="405C1D38" w14:textId="77777777" w:rsidR="00E46639" w:rsidRPr="0028033B" w:rsidRDefault="00E46639" w:rsidP="00F16E23">
            <w:pPr>
              <w:pStyle w:val="TableTextBold"/>
              <w:keepNext/>
              <w:spacing w:before="30" w:after="20"/>
              <w:rPr>
                <w:noProof w:val="0"/>
                <w:color w:val="FFFFFF" w:themeColor="background1"/>
                <w:szCs w:val="16"/>
              </w:rPr>
            </w:pPr>
            <w:r w:rsidRPr="0028033B">
              <w:rPr>
                <w:noProof w:val="0"/>
                <w:color w:val="FFFFFF" w:themeColor="background1"/>
                <w:szCs w:val="16"/>
              </w:rPr>
              <w:t>Source category</w:t>
            </w:r>
          </w:p>
        </w:tc>
        <w:tc>
          <w:tcPr>
            <w:tcW w:w="1656" w:type="dxa"/>
            <w:gridSpan w:val="2"/>
            <w:tcBorders>
              <w:top w:val="single" w:sz="4" w:space="0" w:color="1B556B" w:themeColor="text2"/>
              <w:left w:val="nil"/>
              <w:right w:val="nil"/>
            </w:tcBorders>
            <w:shd w:val="clear" w:color="auto" w:fill="1B556B"/>
            <w:vAlign w:val="center"/>
          </w:tcPr>
          <w:p w14:paraId="28D9B354"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CH</w:t>
            </w:r>
            <w:r w:rsidRPr="0028033B">
              <w:rPr>
                <w:noProof w:val="0"/>
                <w:color w:val="FFFFFF" w:themeColor="background1"/>
                <w:szCs w:val="16"/>
                <w:vertAlign w:val="subscript"/>
              </w:rPr>
              <w:t>4</w:t>
            </w:r>
          </w:p>
        </w:tc>
        <w:tc>
          <w:tcPr>
            <w:tcW w:w="1657" w:type="dxa"/>
            <w:gridSpan w:val="2"/>
            <w:tcBorders>
              <w:top w:val="single" w:sz="4" w:space="0" w:color="1B556B" w:themeColor="text2"/>
              <w:left w:val="nil"/>
              <w:right w:val="nil"/>
            </w:tcBorders>
            <w:shd w:val="clear" w:color="auto" w:fill="1B556B"/>
            <w:vAlign w:val="center"/>
          </w:tcPr>
          <w:p w14:paraId="42C16A04"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N</w:t>
            </w:r>
            <w:r w:rsidRPr="0028033B">
              <w:rPr>
                <w:noProof w:val="0"/>
                <w:color w:val="FFFFFF" w:themeColor="background1"/>
                <w:szCs w:val="16"/>
                <w:vertAlign w:val="subscript"/>
              </w:rPr>
              <w:t>2</w:t>
            </w:r>
            <w:r w:rsidRPr="0028033B">
              <w:rPr>
                <w:noProof w:val="0"/>
                <w:color w:val="FFFFFF" w:themeColor="background1"/>
                <w:szCs w:val="16"/>
              </w:rPr>
              <w:t>O</w:t>
            </w:r>
          </w:p>
        </w:tc>
        <w:tc>
          <w:tcPr>
            <w:tcW w:w="1657" w:type="dxa"/>
            <w:gridSpan w:val="2"/>
            <w:tcBorders>
              <w:top w:val="single" w:sz="4" w:space="0" w:color="1B556B" w:themeColor="text2"/>
              <w:left w:val="nil"/>
              <w:right w:val="nil"/>
            </w:tcBorders>
            <w:shd w:val="clear" w:color="auto" w:fill="1B556B"/>
            <w:vAlign w:val="center"/>
          </w:tcPr>
          <w:p w14:paraId="110D06C1"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CO</w:t>
            </w:r>
            <w:r w:rsidRPr="0028033B">
              <w:rPr>
                <w:noProof w:val="0"/>
                <w:color w:val="FFFFFF" w:themeColor="background1"/>
                <w:szCs w:val="16"/>
                <w:vertAlign w:val="subscript"/>
              </w:rPr>
              <w:t>2</w:t>
            </w:r>
          </w:p>
        </w:tc>
      </w:tr>
      <w:tr w:rsidR="00E46639" w:rsidRPr="0028033B" w14:paraId="0B9CBD12" w14:textId="77777777" w:rsidTr="00F16E23">
        <w:trPr>
          <w:tblHeader/>
        </w:trPr>
        <w:tc>
          <w:tcPr>
            <w:tcW w:w="3544" w:type="dxa"/>
            <w:gridSpan w:val="2"/>
            <w:vMerge/>
            <w:tcBorders>
              <w:left w:val="nil"/>
              <w:bottom w:val="single" w:sz="4" w:space="0" w:color="1B556B" w:themeColor="text2"/>
              <w:right w:val="nil"/>
            </w:tcBorders>
            <w:shd w:val="clear" w:color="auto" w:fill="1B556B"/>
            <w:vAlign w:val="center"/>
            <w:hideMark/>
          </w:tcPr>
          <w:p w14:paraId="2224E44A" w14:textId="77777777" w:rsidR="00E46639" w:rsidRPr="0028033B" w:rsidRDefault="00E46639" w:rsidP="00F16E23">
            <w:pPr>
              <w:pStyle w:val="TableTextBold"/>
              <w:keepNext/>
              <w:spacing w:before="30" w:after="20"/>
              <w:jc w:val="center"/>
              <w:rPr>
                <w:noProof w:val="0"/>
                <w:color w:val="FFFFFF" w:themeColor="background1"/>
                <w:szCs w:val="16"/>
              </w:rPr>
            </w:pPr>
          </w:p>
        </w:tc>
        <w:tc>
          <w:tcPr>
            <w:tcW w:w="828" w:type="dxa"/>
            <w:tcBorders>
              <w:left w:val="nil"/>
              <w:bottom w:val="single" w:sz="4" w:space="0" w:color="1B556B" w:themeColor="text2"/>
              <w:right w:val="nil"/>
            </w:tcBorders>
            <w:shd w:val="clear" w:color="auto" w:fill="1B556B"/>
            <w:vAlign w:val="center"/>
            <w:hideMark/>
          </w:tcPr>
          <w:p w14:paraId="7C569D4E"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Method applied</w:t>
            </w:r>
          </w:p>
        </w:tc>
        <w:tc>
          <w:tcPr>
            <w:tcW w:w="828" w:type="dxa"/>
            <w:tcBorders>
              <w:left w:val="nil"/>
              <w:bottom w:val="single" w:sz="4" w:space="0" w:color="1B556B" w:themeColor="text2"/>
              <w:right w:val="nil"/>
            </w:tcBorders>
            <w:shd w:val="clear" w:color="auto" w:fill="1B556B"/>
            <w:vAlign w:val="center"/>
            <w:hideMark/>
          </w:tcPr>
          <w:p w14:paraId="21DDC2E8"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Emission factor</w:t>
            </w:r>
          </w:p>
        </w:tc>
        <w:tc>
          <w:tcPr>
            <w:tcW w:w="829" w:type="dxa"/>
            <w:tcBorders>
              <w:left w:val="nil"/>
              <w:bottom w:val="single" w:sz="4" w:space="0" w:color="1B556B" w:themeColor="text2"/>
              <w:right w:val="nil"/>
            </w:tcBorders>
            <w:shd w:val="clear" w:color="auto" w:fill="1B556B"/>
            <w:vAlign w:val="center"/>
            <w:hideMark/>
          </w:tcPr>
          <w:p w14:paraId="538B04A3"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Method applied</w:t>
            </w:r>
          </w:p>
        </w:tc>
        <w:tc>
          <w:tcPr>
            <w:tcW w:w="828" w:type="dxa"/>
            <w:tcBorders>
              <w:left w:val="nil"/>
              <w:bottom w:val="single" w:sz="4" w:space="0" w:color="1B556B" w:themeColor="text2"/>
              <w:right w:val="nil"/>
            </w:tcBorders>
            <w:shd w:val="clear" w:color="auto" w:fill="1B556B"/>
            <w:vAlign w:val="center"/>
            <w:hideMark/>
          </w:tcPr>
          <w:p w14:paraId="173DD090"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Emission factor</w:t>
            </w:r>
          </w:p>
        </w:tc>
        <w:tc>
          <w:tcPr>
            <w:tcW w:w="828" w:type="dxa"/>
            <w:tcBorders>
              <w:left w:val="nil"/>
              <w:bottom w:val="single" w:sz="4" w:space="0" w:color="1B556B" w:themeColor="text2"/>
              <w:right w:val="nil"/>
            </w:tcBorders>
            <w:shd w:val="clear" w:color="auto" w:fill="1B556B"/>
            <w:vAlign w:val="center"/>
            <w:hideMark/>
          </w:tcPr>
          <w:p w14:paraId="3976D4A4"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Method applied</w:t>
            </w:r>
          </w:p>
        </w:tc>
        <w:tc>
          <w:tcPr>
            <w:tcW w:w="829" w:type="dxa"/>
            <w:tcBorders>
              <w:left w:val="nil"/>
              <w:bottom w:val="single" w:sz="4" w:space="0" w:color="1B556B" w:themeColor="text2"/>
              <w:right w:val="nil"/>
            </w:tcBorders>
            <w:shd w:val="clear" w:color="auto" w:fill="1B556B"/>
            <w:vAlign w:val="center"/>
            <w:hideMark/>
          </w:tcPr>
          <w:p w14:paraId="1EC8777D" w14:textId="77777777" w:rsidR="00E46639" w:rsidRPr="0028033B" w:rsidRDefault="00E46639" w:rsidP="00F16E23">
            <w:pPr>
              <w:pStyle w:val="TableTextBold"/>
              <w:keepNext/>
              <w:spacing w:before="30" w:after="20"/>
              <w:jc w:val="center"/>
              <w:rPr>
                <w:noProof w:val="0"/>
                <w:color w:val="FFFFFF" w:themeColor="background1"/>
                <w:szCs w:val="16"/>
              </w:rPr>
            </w:pPr>
            <w:r w:rsidRPr="0028033B">
              <w:rPr>
                <w:noProof w:val="0"/>
                <w:color w:val="FFFFFF" w:themeColor="background1"/>
                <w:szCs w:val="16"/>
              </w:rPr>
              <w:t>Emission factor</w:t>
            </w:r>
          </w:p>
        </w:tc>
      </w:tr>
      <w:tr w:rsidR="00E46639" w:rsidRPr="0028033B" w14:paraId="02EA6198" w14:textId="77777777" w:rsidTr="00F16E23">
        <w:tc>
          <w:tcPr>
            <w:tcW w:w="320" w:type="dxa"/>
            <w:tcBorders>
              <w:top w:val="single" w:sz="4" w:space="0" w:color="1B556B" w:themeColor="text2"/>
              <w:left w:val="nil"/>
              <w:bottom w:val="single" w:sz="4" w:space="0" w:color="1B556B"/>
              <w:right w:val="nil"/>
            </w:tcBorders>
            <w:noWrap/>
            <w:vAlign w:val="center"/>
            <w:hideMark/>
          </w:tcPr>
          <w:p w14:paraId="170E1A08" w14:textId="77777777" w:rsidR="00E46639" w:rsidRPr="0028033B" w:rsidRDefault="00E46639" w:rsidP="00F16E23">
            <w:pPr>
              <w:pStyle w:val="TableText"/>
              <w:keepNext/>
              <w:spacing w:before="30" w:after="20"/>
              <w:rPr>
                <w:b/>
                <w:bCs/>
              </w:rPr>
            </w:pPr>
            <w:r w:rsidRPr="0028033B">
              <w:rPr>
                <w:b/>
                <w:bCs/>
              </w:rPr>
              <w:t>A</w:t>
            </w:r>
          </w:p>
        </w:tc>
        <w:tc>
          <w:tcPr>
            <w:tcW w:w="3224" w:type="dxa"/>
            <w:tcBorders>
              <w:top w:val="single" w:sz="4" w:space="0" w:color="1B556B" w:themeColor="text2"/>
              <w:left w:val="nil"/>
              <w:bottom w:val="single" w:sz="4" w:space="0" w:color="1B556B"/>
              <w:right w:val="nil"/>
            </w:tcBorders>
            <w:vAlign w:val="center"/>
            <w:hideMark/>
          </w:tcPr>
          <w:p w14:paraId="13096B1E" w14:textId="77777777" w:rsidR="00E46639" w:rsidRPr="0028033B" w:rsidRDefault="00E46639" w:rsidP="00F16E23">
            <w:pPr>
              <w:pStyle w:val="TableText"/>
              <w:keepNext/>
              <w:spacing w:before="30" w:after="20"/>
              <w:rPr>
                <w:b/>
                <w:bCs/>
              </w:rPr>
            </w:pPr>
            <w:r w:rsidRPr="0028033B">
              <w:rPr>
                <w:b/>
                <w:bCs/>
              </w:rPr>
              <w:t>Enteric fermentation</w:t>
            </w:r>
          </w:p>
        </w:tc>
        <w:tc>
          <w:tcPr>
            <w:tcW w:w="828" w:type="dxa"/>
            <w:tcBorders>
              <w:top w:val="single" w:sz="4" w:space="0" w:color="1B556B" w:themeColor="text2"/>
              <w:left w:val="nil"/>
              <w:bottom w:val="single" w:sz="4" w:space="0" w:color="1B556B"/>
              <w:right w:val="nil"/>
            </w:tcBorders>
            <w:noWrap/>
            <w:vAlign w:val="center"/>
            <w:hideMark/>
          </w:tcPr>
          <w:p w14:paraId="6B5F18F1" w14:textId="77777777" w:rsidR="00E46639" w:rsidRPr="0028033B" w:rsidRDefault="00E46639" w:rsidP="00F16E23">
            <w:pPr>
              <w:pStyle w:val="TableText"/>
              <w:keepNext/>
              <w:spacing w:before="30" w:after="20"/>
              <w:jc w:val="center"/>
              <w:rPr>
                <w:b/>
                <w:bCs/>
              </w:rPr>
            </w:pPr>
          </w:p>
        </w:tc>
        <w:tc>
          <w:tcPr>
            <w:tcW w:w="828" w:type="dxa"/>
            <w:tcBorders>
              <w:top w:val="single" w:sz="4" w:space="0" w:color="1B556B" w:themeColor="text2"/>
              <w:left w:val="nil"/>
              <w:bottom w:val="single" w:sz="4" w:space="0" w:color="1B556B"/>
              <w:right w:val="nil"/>
            </w:tcBorders>
            <w:noWrap/>
            <w:vAlign w:val="center"/>
            <w:hideMark/>
          </w:tcPr>
          <w:p w14:paraId="3A4CB47C" w14:textId="77777777" w:rsidR="00E46639" w:rsidRPr="0028033B" w:rsidRDefault="00E46639" w:rsidP="00F16E23">
            <w:pPr>
              <w:pStyle w:val="TableText"/>
              <w:keepNext/>
              <w:spacing w:before="30" w:after="20"/>
              <w:jc w:val="center"/>
              <w:rPr>
                <w:b/>
                <w:bCs/>
              </w:rPr>
            </w:pPr>
          </w:p>
        </w:tc>
        <w:tc>
          <w:tcPr>
            <w:tcW w:w="829" w:type="dxa"/>
            <w:tcBorders>
              <w:top w:val="single" w:sz="4" w:space="0" w:color="1B556B" w:themeColor="text2"/>
              <w:left w:val="nil"/>
              <w:bottom w:val="single" w:sz="4" w:space="0" w:color="1B556B"/>
              <w:right w:val="nil"/>
            </w:tcBorders>
            <w:noWrap/>
            <w:vAlign w:val="center"/>
          </w:tcPr>
          <w:p w14:paraId="2BB4D848" w14:textId="77777777" w:rsidR="00E46639" w:rsidRPr="0028033B" w:rsidRDefault="00E46639" w:rsidP="00F16E23">
            <w:pPr>
              <w:pStyle w:val="TableText"/>
              <w:keepNext/>
              <w:spacing w:before="30" w:after="20"/>
              <w:jc w:val="center"/>
              <w:rPr>
                <w:b/>
                <w:bCs/>
              </w:rPr>
            </w:pPr>
          </w:p>
        </w:tc>
        <w:tc>
          <w:tcPr>
            <w:tcW w:w="828" w:type="dxa"/>
            <w:tcBorders>
              <w:top w:val="single" w:sz="4" w:space="0" w:color="1B556B" w:themeColor="text2"/>
              <w:left w:val="nil"/>
              <w:bottom w:val="single" w:sz="4" w:space="0" w:color="1B556B"/>
              <w:right w:val="nil"/>
            </w:tcBorders>
            <w:noWrap/>
            <w:vAlign w:val="center"/>
          </w:tcPr>
          <w:p w14:paraId="53DA16D3" w14:textId="77777777" w:rsidR="00E46639" w:rsidRPr="0028033B" w:rsidRDefault="00E46639" w:rsidP="00F16E23">
            <w:pPr>
              <w:pStyle w:val="TableText"/>
              <w:keepNext/>
              <w:spacing w:before="30" w:after="20"/>
              <w:jc w:val="center"/>
              <w:rPr>
                <w:b/>
                <w:bCs/>
              </w:rPr>
            </w:pPr>
          </w:p>
        </w:tc>
        <w:tc>
          <w:tcPr>
            <w:tcW w:w="828" w:type="dxa"/>
            <w:tcBorders>
              <w:top w:val="single" w:sz="4" w:space="0" w:color="1B556B" w:themeColor="text2"/>
              <w:left w:val="nil"/>
              <w:bottom w:val="single" w:sz="4" w:space="0" w:color="1B556B"/>
              <w:right w:val="nil"/>
            </w:tcBorders>
            <w:noWrap/>
            <w:vAlign w:val="center"/>
          </w:tcPr>
          <w:p w14:paraId="70AA803B" w14:textId="77777777" w:rsidR="00E46639" w:rsidRPr="0028033B" w:rsidRDefault="00E46639" w:rsidP="00F16E23">
            <w:pPr>
              <w:pStyle w:val="TableText"/>
              <w:keepNext/>
              <w:spacing w:before="30" w:after="20"/>
              <w:jc w:val="center"/>
              <w:rPr>
                <w:b/>
                <w:bCs/>
              </w:rPr>
            </w:pPr>
          </w:p>
        </w:tc>
        <w:tc>
          <w:tcPr>
            <w:tcW w:w="829" w:type="dxa"/>
            <w:tcBorders>
              <w:top w:val="single" w:sz="4" w:space="0" w:color="1B556B" w:themeColor="text2"/>
              <w:left w:val="nil"/>
              <w:bottom w:val="single" w:sz="4" w:space="0" w:color="1B556B"/>
              <w:right w:val="nil"/>
            </w:tcBorders>
            <w:noWrap/>
            <w:vAlign w:val="center"/>
          </w:tcPr>
          <w:p w14:paraId="580640A2" w14:textId="77777777" w:rsidR="00E46639" w:rsidRPr="0028033B" w:rsidRDefault="00E46639" w:rsidP="00F16E23">
            <w:pPr>
              <w:pStyle w:val="TableText"/>
              <w:keepNext/>
              <w:spacing w:before="30" w:after="20"/>
              <w:jc w:val="center"/>
              <w:rPr>
                <w:b/>
                <w:bCs/>
              </w:rPr>
            </w:pPr>
          </w:p>
        </w:tc>
      </w:tr>
      <w:tr w:rsidR="00E46639" w:rsidRPr="0028033B" w14:paraId="58305505" w14:textId="77777777" w:rsidTr="00F16E23">
        <w:tc>
          <w:tcPr>
            <w:tcW w:w="320" w:type="dxa"/>
            <w:vMerge w:val="restart"/>
            <w:tcBorders>
              <w:top w:val="single" w:sz="4" w:space="0" w:color="1B556B"/>
              <w:left w:val="nil"/>
              <w:bottom w:val="single" w:sz="8" w:space="0" w:color="365F91"/>
              <w:right w:val="nil"/>
            </w:tcBorders>
            <w:noWrap/>
            <w:vAlign w:val="center"/>
            <w:hideMark/>
          </w:tcPr>
          <w:p w14:paraId="74AEB66B" w14:textId="77777777" w:rsidR="00E46639" w:rsidRPr="0028033B" w:rsidRDefault="00E46639" w:rsidP="00F16E23">
            <w:pPr>
              <w:pStyle w:val="TableText"/>
              <w:keepNext/>
              <w:spacing w:before="20" w:after="20"/>
              <w:rPr>
                <w:rFonts w:cs="Calibri"/>
                <w:szCs w:val="16"/>
              </w:rPr>
            </w:pPr>
            <w:r w:rsidRPr="0028033B">
              <w:rPr>
                <w:rFonts w:cs="Calibri"/>
                <w:szCs w:val="16"/>
              </w:rPr>
              <w:t>1</w:t>
            </w:r>
          </w:p>
        </w:tc>
        <w:tc>
          <w:tcPr>
            <w:tcW w:w="3224" w:type="dxa"/>
            <w:tcBorders>
              <w:top w:val="single" w:sz="4" w:space="0" w:color="1B556B"/>
              <w:left w:val="nil"/>
              <w:bottom w:val="nil"/>
              <w:right w:val="nil"/>
            </w:tcBorders>
            <w:vAlign w:val="center"/>
            <w:hideMark/>
          </w:tcPr>
          <w:p w14:paraId="6D991B89" w14:textId="77777777" w:rsidR="00E46639" w:rsidRPr="0028033B" w:rsidRDefault="00E46639" w:rsidP="00F16E23">
            <w:pPr>
              <w:pStyle w:val="TableText"/>
              <w:keepNext/>
              <w:spacing w:before="20" w:after="20"/>
              <w:rPr>
                <w:rFonts w:cs="Calibri"/>
                <w:szCs w:val="16"/>
              </w:rPr>
            </w:pPr>
            <w:r w:rsidRPr="0028033B">
              <w:rPr>
                <w:rFonts w:cs="Calibri"/>
                <w:szCs w:val="16"/>
              </w:rPr>
              <w:t>Cattle</w:t>
            </w:r>
          </w:p>
        </w:tc>
        <w:tc>
          <w:tcPr>
            <w:tcW w:w="828" w:type="dxa"/>
            <w:tcBorders>
              <w:top w:val="single" w:sz="4" w:space="0" w:color="1B556B"/>
              <w:left w:val="nil"/>
              <w:bottom w:val="nil"/>
              <w:right w:val="nil"/>
            </w:tcBorders>
            <w:noWrap/>
            <w:vAlign w:val="center"/>
            <w:hideMark/>
          </w:tcPr>
          <w:p w14:paraId="25C2407F"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28310701"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vAlign w:val="center"/>
            <w:hideMark/>
          </w:tcPr>
          <w:p w14:paraId="7BE6740C"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52FEE386"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176B6C91"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vAlign w:val="center"/>
            <w:hideMark/>
          </w:tcPr>
          <w:p w14:paraId="0F30A4D6"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p>
        </w:tc>
      </w:tr>
      <w:tr w:rsidR="00E46639" w:rsidRPr="0028033B" w14:paraId="52066A65" w14:textId="77777777" w:rsidTr="00F16E23">
        <w:tc>
          <w:tcPr>
            <w:tcW w:w="320" w:type="dxa"/>
            <w:vMerge/>
            <w:tcBorders>
              <w:top w:val="nil"/>
              <w:left w:val="nil"/>
              <w:bottom w:val="single" w:sz="8" w:space="0" w:color="365F91"/>
              <w:right w:val="nil"/>
            </w:tcBorders>
            <w:vAlign w:val="center"/>
            <w:hideMark/>
          </w:tcPr>
          <w:p w14:paraId="513A9242" w14:textId="77777777" w:rsidR="00E46639" w:rsidRPr="0028033B" w:rsidRDefault="00E46639" w:rsidP="00F16E23">
            <w:pPr>
              <w:pStyle w:val="TableText"/>
              <w:keepNext/>
              <w:spacing w:before="20" w:after="20"/>
              <w:rPr>
                <w:rFonts w:cs="Calibri"/>
                <w:szCs w:val="16"/>
              </w:rPr>
            </w:pPr>
          </w:p>
        </w:tc>
        <w:tc>
          <w:tcPr>
            <w:tcW w:w="3224" w:type="dxa"/>
            <w:tcBorders>
              <w:top w:val="nil"/>
              <w:left w:val="nil"/>
              <w:bottom w:val="nil"/>
              <w:right w:val="nil"/>
            </w:tcBorders>
            <w:vAlign w:val="center"/>
            <w:hideMark/>
          </w:tcPr>
          <w:p w14:paraId="4F09C7F7" w14:textId="77777777" w:rsidR="00E46639" w:rsidRPr="0028033B" w:rsidRDefault="00E46639" w:rsidP="00F16E23">
            <w:pPr>
              <w:pStyle w:val="TableText"/>
              <w:keepNext/>
              <w:spacing w:before="20" w:after="20"/>
              <w:rPr>
                <w:rFonts w:cs="Calibri"/>
                <w:szCs w:val="16"/>
              </w:rPr>
            </w:pPr>
            <w:r w:rsidRPr="0028033B">
              <w:rPr>
                <w:rFonts w:cs="Calibri"/>
                <w:szCs w:val="16"/>
              </w:rPr>
              <w:t>Dairy cattle</w:t>
            </w:r>
          </w:p>
        </w:tc>
        <w:tc>
          <w:tcPr>
            <w:tcW w:w="828" w:type="dxa"/>
            <w:tcBorders>
              <w:top w:val="nil"/>
              <w:left w:val="nil"/>
              <w:bottom w:val="nil"/>
              <w:right w:val="nil"/>
            </w:tcBorders>
            <w:noWrap/>
            <w:vAlign w:val="center"/>
            <w:hideMark/>
          </w:tcPr>
          <w:p w14:paraId="45492E57" w14:textId="77777777" w:rsidR="00E46639" w:rsidRPr="0028033B" w:rsidRDefault="00E46639" w:rsidP="00F16E23">
            <w:pPr>
              <w:pStyle w:val="TableText"/>
              <w:keepNext/>
              <w:spacing w:before="20" w:after="20"/>
              <w:jc w:val="center"/>
              <w:rPr>
                <w:rFonts w:cs="Calibri"/>
                <w:szCs w:val="16"/>
              </w:rPr>
            </w:pPr>
            <w:r w:rsidRPr="0028033B">
              <w:rPr>
                <w:rFonts w:cs="Calibri"/>
                <w:szCs w:val="16"/>
              </w:rPr>
              <w:t>T2</w:t>
            </w:r>
          </w:p>
        </w:tc>
        <w:tc>
          <w:tcPr>
            <w:tcW w:w="828" w:type="dxa"/>
            <w:tcBorders>
              <w:top w:val="nil"/>
              <w:left w:val="nil"/>
              <w:bottom w:val="nil"/>
              <w:right w:val="nil"/>
            </w:tcBorders>
            <w:noWrap/>
            <w:vAlign w:val="center"/>
            <w:hideMark/>
          </w:tcPr>
          <w:p w14:paraId="238390C1" w14:textId="77777777" w:rsidR="00E46639" w:rsidRPr="0028033B" w:rsidRDefault="00E46639" w:rsidP="00F16E23">
            <w:pPr>
              <w:pStyle w:val="TableText"/>
              <w:keepNext/>
              <w:spacing w:before="20" w:after="20"/>
              <w:jc w:val="center"/>
              <w:rPr>
                <w:rFonts w:cs="Calibri"/>
                <w:szCs w:val="16"/>
              </w:rPr>
            </w:pPr>
            <w:r w:rsidRPr="0028033B">
              <w:rPr>
                <w:rFonts w:cs="Calibri"/>
                <w:szCs w:val="16"/>
              </w:rPr>
              <w:t>CS</w:t>
            </w:r>
          </w:p>
        </w:tc>
        <w:tc>
          <w:tcPr>
            <w:tcW w:w="829" w:type="dxa"/>
            <w:tcBorders>
              <w:top w:val="nil"/>
              <w:left w:val="nil"/>
              <w:bottom w:val="nil"/>
              <w:right w:val="nil"/>
            </w:tcBorders>
            <w:vAlign w:val="center"/>
            <w:hideMark/>
          </w:tcPr>
          <w:p w14:paraId="09550B17"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c>
          <w:tcPr>
            <w:tcW w:w="828" w:type="dxa"/>
            <w:tcBorders>
              <w:top w:val="nil"/>
              <w:left w:val="nil"/>
              <w:bottom w:val="nil"/>
              <w:right w:val="nil"/>
            </w:tcBorders>
            <w:noWrap/>
            <w:vAlign w:val="center"/>
            <w:hideMark/>
          </w:tcPr>
          <w:p w14:paraId="1E973611"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c>
          <w:tcPr>
            <w:tcW w:w="828" w:type="dxa"/>
            <w:tcBorders>
              <w:top w:val="nil"/>
              <w:left w:val="nil"/>
              <w:bottom w:val="nil"/>
              <w:right w:val="nil"/>
            </w:tcBorders>
            <w:noWrap/>
            <w:vAlign w:val="center"/>
            <w:hideMark/>
          </w:tcPr>
          <w:p w14:paraId="2A01F34F"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vAlign w:val="center"/>
            <w:hideMark/>
          </w:tcPr>
          <w:p w14:paraId="27DFDBF7"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18E42E62" w14:textId="77777777" w:rsidTr="00F16E23">
        <w:tc>
          <w:tcPr>
            <w:tcW w:w="320" w:type="dxa"/>
            <w:vMerge/>
            <w:tcBorders>
              <w:top w:val="nil"/>
              <w:left w:val="nil"/>
              <w:bottom w:val="single" w:sz="4" w:space="0" w:color="1B556B"/>
              <w:right w:val="nil"/>
            </w:tcBorders>
            <w:vAlign w:val="center"/>
            <w:hideMark/>
          </w:tcPr>
          <w:p w14:paraId="5B2C9276" w14:textId="77777777" w:rsidR="00E46639" w:rsidRPr="0028033B" w:rsidRDefault="00E46639" w:rsidP="00F16E23">
            <w:pPr>
              <w:pStyle w:val="TableText"/>
              <w:keepNext/>
              <w:spacing w:before="20" w:after="20"/>
              <w:rPr>
                <w:rFonts w:cs="Calibri"/>
                <w:szCs w:val="16"/>
              </w:rPr>
            </w:pPr>
          </w:p>
        </w:tc>
        <w:tc>
          <w:tcPr>
            <w:tcW w:w="3224" w:type="dxa"/>
            <w:tcBorders>
              <w:top w:val="nil"/>
              <w:left w:val="nil"/>
              <w:bottom w:val="single" w:sz="4" w:space="0" w:color="1B556B"/>
              <w:right w:val="nil"/>
            </w:tcBorders>
            <w:vAlign w:val="center"/>
            <w:hideMark/>
          </w:tcPr>
          <w:p w14:paraId="57FB96AD" w14:textId="77777777" w:rsidR="00E46639" w:rsidRPr="0028033B" w:rsidRDefault="00E46639" w:rsidP="00F16E23">
            <w:pPr>
              <w:pStyle w:val="TableText"/>
              <w:keepNext/>
              <w:spacing w:before="20" w:after="20"/>
              <w:rPr>
                <w:rFonts w:cs="Calibri"/>
                <w:szCs w:val="16"/>
              </w:rPr>
            </w:pPr>
            <w:r w:rsidRPr="0028033B">
              <w:rPr>
                <w:rFonts w:cs="Calibri"/>
                <w:szCs w:val="16"/>
              </w:rPr>
              <w:t>Non-dairy cattle</w:t>
            </w:r>
          </w:p>
        </w:tc>
        <w:tc>
          <w:tcPr>
            <w:tcW w:w="828" w:type="dxa"/>
            <w:tcBorders>
              <w:top w:val="nil"/>
              <w:left w:val="nil"/>
              <w:bottom w:val="single" w:sz="4" w:space="0" w:color="1B556B"/>
              <w:right w:val="nil"/>
            </w:tcBorders>
            <w:noWrap/>
            <w:vAlign w:val="center"/>
            <w:hideMark/>
          </w:tcPr>
          <w:p w14:paraId="69D05492" w14:textId="77777777" w:rsidR="00E46639" w:rsidRPr="0028033B" w:rsidRDefault="00E46639" w:rsidP="00F16E23">
            <w:pPr>
              <w:pStyle w:val="TableText"/>
              <w:keepNext/>
              <w:spacing w:before="20" w:after="20"/>
              <w:jc w:val="center"/>
              <w:rPr>
                <w:rFonts w:cs="Calibri"/>
                <w:szCs w:val="16"/>
              </w:rPr>
            </w:pPr>
            <w:r w:rsidRPr="0028033B">
              <w:rPr>
                <w:rFonts w:cs="Calibri"/>
                <w:szCs w:val="16"/>
              </w:rPr>
              <w:t>T2</w:t>
            </w:r>
          </w:p>
        </w:tc>
        <w:tc>
          <w:tcPr>
            <w:tcW w:w="828" w:type="dxa"/>
            <w:tcBorders>
              <w:top w:val="nil"/>
              <w:left w:val="nil"/>
              <w:bottom w:val="single" w:sz="4" w:space="0" w:color="1B556B"/>
              <w:right w:val="nil"/>
            </w:tcBorders>
            <w:noWrap/>
            <w:vAlign w:val="center"/>
            <w:hideMark/>
          </w:tcPr>
          <w:p w14:paraId="78494A30" w14:textId="77777777" w:rsidR="00E46639" w:rsidRPr="0028033B" w:rsidRDefault="00E46639" w:rsidP="00F16E23">
            <w:pPr>
              <w:pStyle w:val="TableText"/>
              <w:keepNext/>
              <w:spacing w:before="20" w:after="20"/>
              <w:jc w:val="center"/>
              <w:rPr>
                <w:rFonts w:cs="Calibri"/>
                <w:szCs w:val="16"/>
              </w:rPr>
            </w:pPr>
            <w:r w:rsidRPr="0028033B">
              <w:rPr>
                <w:rFonts w:cs="Calibri"/>
                <w:szCs w:val="16"/>
              </w:rPr>
              <w:t>CS</w:t>
            </w:r>
          </w:p>
        </w:tc>
        <w:tc>
          <w:tcPr>
            <w:tcW w:w="829" w:type="dxa"/>
            <w:tcBorders>
              <w:top w:val="nil"/>
              <w:left w:val="nil"/>
              <w:bottom w:val="single" w:sz="4" w:space="0" w:color="1B556B"/>
              <w:right w:val="nil"/>
            </w:tcBorders>
            <w:vAlign w:val="center"/>
            <w:hideMark/>
          </w:tcPr>
          <w:p w14:paraId="2EB01BE2"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c>
          <w:tcPr>
            <w:tcW w:w="828" w:type="dxa"/>
            <w:tcBorders>
              <w:top w:val="nil"/>
              <w:left w:val="nil"/>
              <w:bottom w:val="single" w:sz="4" w:space="0" w:color="1B556B"/>
              <w:right w:val="nil"/>
            </w:tcBorders>
            <w:noWrap/>
            <w:vAlign w:val="center"/>
            <w:hideMark/>
          </w:tcPr>
          <w:p w14:paraId="352A7E1A"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c>
          <w:tcPr>
            <w:tcW w:w="828" w:type="dxa"/>
            <w:tcBorders>
              <w:top w:val="nil"/>
              <w:left w:val="nil"/>
              <w:bottom w:val="single" w:sz="4" w:space="0" w:color="1B556B"/>
              <w:right w:val="nil"/>
            </w:tcBorders>
            <w:noWrap/>
            <w:vAlign w:val="center"/>
            <w:hideMark/>
          </w:tcPr>
          <w:p w14:paraId="3A346C7C"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single" w:sz="4" w:space="0" w:color="1B556B"/>
              <w:right w:val="nil"/>
            </w:tcBorders>
            <w:vAlign w:val="center"/>
            <w:hideMark/>
          </w:tcPr>
          <w:p w14:paraId="08329E01" w14:textId="77777777" w:rsidR="00E46639" w:rsidRPr="0028033B" w:rsidRDefault="00E46639" w:rsidP="00F16E23">
            <w:pPr>
              <w:pStyle w:val="TableText"/>
              <w:keepN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36E90DE3" w14:textId="77777777" w:rsidTr="00F16E23">
        <w:tc>
          <w:tcPr>
            <w:tcW w:w="320" w:type="dxa"/>
            <w:tcBorders>
              <w:top w:val="single" w:sz="4" w:space="0" w:color="1B556B"/>
              <w:left w:val="nil"/>
              <w:bottom w:val="single" w:sz="4" w:space="0" w:color="1B556B"/>
              <w:right w:val="nil"/>
            </w:tcBorders>
            <w:noWrap/>
            <w:vAlign w:val="center"/>
            <w:hideMark/>
          </w:tcPr>
          <w:p w14:paraId="04D42AEA" w14:textId="77777777" w:rsidR="00E46639" w:rsidRPr="0028033B" w:rsidRDefault="00E46639" w:rsidP="00F16E23">
            <w:pPr>
              <w:pStyle w:val="TableText"/>
              <w:spacing w:before="30" w:after="20"/>
              <w:rPr>
                <w:rFonts w:cs="Calibri"/>
                <w:szCs w:val="16"/>
              </w:rPr>
            </w:pPr>
            <w:r w:rsidRPr="0028033B">
              <w:rPr>
                <w:rFonts w:cs="Calibri"/>
                <w:szCs w:val="16"/>
              </w:rPr>
              <w:t>2</w:t>
            </w:r>
          </w:p>
        </w:tc>
        <w:tc>
          <w:tcPr>
            <w:tcW w:w="3224" w:type="dxa"/>
            <w:tcBorders>
              <w:top w:val="single" w:sz="4" w:space="0" w:color="1B556B"/>
              <w:left w:val="nil"/>
              <w:bottom w:val="single" w:sz="4" w:space="0" w:color="1B556B"/>
              <w:right w:val="nil"/>
            </w:tcBorders>
            <w:vAlign w:val="center"/>
            <w:hideMark/>
          </w:tcPr>
          <w:p w14:paraId="5A7F0728" w14:textId="77777777" w:rsidR="00E46639" w:rsidRPr="0028033B" w:rsidRDefault="00E46639" w:rsidP="00F16E23">
            <w:pPr>
              <w:pStyle w:val="TableText"/>
              <w:spacing w:before="30" w:after="20"/>
              <w:rPr>
                <w:rFonts w:cs="Calibri"/>
                <w:szCs w:val="16"/>
              </w:rPr>
            </w:pPr>
            <w:r w:rsidRPr="0028033B">
              <w:rPr>
                <w:rFonts w:cs="Calibri"/>
                <w:szCs w:val="16"/>
              </w:rPr>
              <w:t xml:space="preserve">Sheep </w:t>
            </w:r>
          </w:p>
        </w:tc>
        <w:tc>
          <w:tcPr>
            <w:tcW w:w="828" w:type="dxa"/>
            <w:tcBorders>
              <w:top w:val="single" w:sz="4" w:space="0" w:color="1B556B"/>
              <w:left w:val="nil"/>
              <w:bottom w:val="single" w:sz="4" w:space="0" w:color="1B556B"/>
              <w:right w:val="nil"/>
            </w:tcBorders>
            <w:noWrap/>
            <w:vAlign w:val="center"/>
            <w:hideMark/>
          </w:tcPr>
          <w:p w14:paraId="5642738E" w14:textId="77777777" w:rsidR="00E46639" w:rsidRPr="0028033B" w:rsidRDefault="00E46639" w:rsidP="00F16E23">
            <w:pPr>
              <w:pStyle w:val="TableText"/>
              <w:spacing w:before="30" w:after="20"/>
              <w:jc w:val="center"/>
              <w:rPr>
                <w:rFonts w:cs="Calibri"/>
                <w:szCs w:val="16"/>
              </w:rPr>
            </w:pPr>
            <w:hyperlink r:id="rId94" w:history="1">
              <w:r w:rsidRPr="0028033B">
                <w:rPr>
                  <w:rFonts w:cs="Calibri"/>
                  <w:szCs w:val="16"/>
                </w:rPr>
                <w:t>T2</w:t>
              </w:r>
            </w:hyperlink>
          </w:p>
        </w:tc>
        <w:tc>
          <w:tcPr>
            <w:tcW w:w="828" w:type="dxa"/>
            <w:tcBorders>
              <w:top w:val="single" w:sz="4" w:space="0" w:color="1B556B"/>
              <w:left w:val="nil"/>
              <w:bottom w:val="single" w:sz="4" w:space="0" w:color="1B556B"/>
              <w:right w:val="nil"/>
            </w:tcBorders>
            <w:noWrap/>
            <w:vAlign w:val="center"/>
            <w:hideMark/>
          </w:tcPr>
          <w:p w14:paraId="4E57E940" w14:textId="77777777" w:rsidR="00E46639" w:rsidRPr="0028033B" w:rsidRDefault="00E46639" w:rsidP="00F16E23">
            <w:pPr>
              <w:pStyle w:val="TableText"/>
              <w:spacing w:before="30" w:after="20"/>
              <w:jc w:val="center"/>
              <w:rPr>
                <w:rFonts w:cs="Calibri"/>
                <w:szCs w:val="16"/>
              </w:rPr>
            </w:pPr>
            <w:r w:rsidRPr="0028033B">
              <w:rPr>
                <w:rFonts w:cs="Calibri"/>
                <w:szCs w:val="16"/>
              </w:rPr>
              <w:t>CS</w:t>
            </w:r>
          </w:p>
        </w:tc>
        <w:tc>
          <w:tcPr>
            <w:tcW w:w="829" w:type="dxa"/>
            <w:tcBorders>
              <w:top w:val="single" w:sz="4" w:space="0" w:color="1B556B"/>
              <w:left w:val="nil"/>
              <w:bottom w:val="single" w:sz="4" w:space="0" w:color="1B556B"/>
              <w:right w:val="nil"/>
            </w:tcBorders>
            <w:noWrap/>
            <w:vAlign w:val="center"/>
            <w:hideMark/>
          </w:tcPr>
          <w:p w14:paraId="1D9C0DD9"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06CC1042"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5D985FF5"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single" w:sz="4" w:space="0" w:color="1B556B"/>
              <w:left w:val="nil"/>
              <w:bottom w:val="single" w:sz="4" w:space="0" w:color="1B556B"/>
              <w:right w:val="nil"/>
            </w:tcBorders>
            <w:noWrap/>
            <w:vAlign w:val="center"/>
            <w:hideMark/>
          </w:tcPr>
          <w:p w14:paraId="39A62BBF"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367436C2" w14:textId="77777777" w:rsidTr="00F16E23">
        <w:tc>
          <w:tcPr>
            <w:tcW w:w="320" w:type="dxa"/>
            <w:tcBorders>
              <w:top w:val="single" w:sz="4" w:space="0" w:color="1B556B"/>
              <w:left w:val="nil"/>
              <w:bottom w:val="single" w:sz="4" w:space="0" w:color="1B556B"/>
              <w:right w:val="nil"/>
            </w:tcBorders>
            <w:noWrap/>
            <w:vAlign w:val="center"/>
            <w:hideMark/>
          </w:tcPr>
          <w:p w14:paraId="25C68C97" w14:textId="77777777" w:rsidR="00E46639" w:rsidRPr="0028033B" w:rsidRDefault="00E46639" w:rsidP="00F16E23">
            <w:pPr>
              <w:pStyle w:val="TableText"/>
              <w:spacing w:before="30" w:after="20"/>
              <w:rPr>
                <w:rFonts w:cs="Calibri"/>
                <w:szCs w:val="16"/>
              </w:rPr>
            </w:pPr>
            <w:r w:rsidRPr="0028033B">
              <w:rPr>
                <w:rFonts w:cs="Calibri"/>
                <w:szCs w:val="16"/>
              </w:rPr>
              <w:t>3</w:t>
            </w:r>
          </w:p>
        </w:tc>
        <w:tc>
          <w:tcPr>
            <w:tcW w:w="3224" w:type="dxa"/>
            <w:tcBorders>
              <w:top w:val="single" w:sz="4" w:space="0" w:color="1B556B"/>
              <w:left w:val="nil"/>
              <w:bottom w:val="single" w:sz="4" w:space="0" w:color="1B556B"/>
              <w:right w:val="nil"/>
            </w:tcBorders>
            <w:vAlign w:val="center"/>
            <w:hideMark/>
          </w:tcPr>
          <w:p w14:paraId="4D0C4F80" w14:textId="77777777" w:rsidR="00E46639" w:rsidRPr="0028033B" w:rsidRDefault="00E46639" w:rsidP="00F16E23">
            <w:pPr>
              <w:pStyle w:val="TableText"/>
              <w:spacing w:before="30" w:after="20"/>
              <w:rPr>
                <w:rFonts w:cs="Calibri"/>
                <w:szCs w:val="16"/>
              </w:rPr>
            </w:pPr>
            <w:r w:rsidRPr="0028033B">
              <w:rPr>
                <w:rFonts w:cs="Calibri"/>
                <w:szCs w:val="16"/>
              </w:rPr>
              <w:t>Swine</w:t>
            </w:r>
          </w:p>
        </w:tc>
        <w:tc>
          <w:tcPr>
            <w:tcW w:w="828" w:type="dxa"/>
            <w:tcBorders>
              <w:top w:val="single" w:sz="4" w:space="0" w:color="1B556B"/>
              <w:left w:val="nil"/>
              <w:bottom w:val="single" w:sz="4" w:space="0" w:color="1B556B"/>
              <w:right w:val="nil"/>
            </w:tcBorders>
            <w:noWrap/>
            <w:vAlign w:val="center"/>
            <w:hideMark/>
          </w:tcPr>
          <w:p w14:paraId="6C52C8C0" w14:textId="77777777" w:rsidR="00E46639" w:rsidRPr="0028033B" w:rsidRDefault="00E46639" w:rsidP="00F16E23">
            <w:pPr>
              <w:pStyle w:val="TableText"/>
              <w:spacing w:before="30" w:after="20"/>
              <w:jc w:val="center"/>
              <w:rPr>
                <w:rFonts w:cs="Calibri"/>
                <w:szCs w:val="16"/>
              </w:rPr>
            </w:pPr>
            <w:r w:rsidRPr="0028033B">
              <w:rPr>
                <w:rFonts w:cs="Calibri"/>
                <w:szCs w:val="16"/>
              </w:rPr>
              <w:t>T1</w:t>
            </w:r>
          </w:p>
        </w:tc>
        <w:tc>
          <w:tcPr>
            <w:tcW w:w="828" w:type="dxa"/>
            <w:tcBorders>
              <w:top w:val="single" w:sz="4" w:space="0" w:color="1B556B"/>
              <w:left w:val="nil"/>
              <w:bottom w:val="single" w:sz="4" w:space="0" w:color="1B556B"/>
              <w:right w:val="nil"/>
            </w:tcBorders>
            <w:noWrap/>
            <w:vAlign w:val="center"/>
            <w:hideMark/>
          </w:tcPr>
          <w:p w14:paraId="3EEC5321" w14:textId="77777777" w:rsidR="00E46639" w:rsidRPr="0028033B" w:rsidRDefault="00E46639" w:rsidP="00F16E23">
            <w:pPr>
              <w:pStyle w:val="TableText"/>
              <w:spacing w:before="30" w:after="20"/>
              <w:jc w:val="center"/>
              <w:rPr>
                <w:rFonts w:cs="Calibri"/>
                <w:szCs w:val="16"/>
              </w:rPr>
            </w:pPr>
            <w:r w:rsidRPr="0028033B">
              <w:rPr>
                <w:rFonts w:cs="Calibri"/>
                <w:szCs w:val="16"/>
              </w:rPr>
              <w:t>CS</w:t>
            </w:r>
          </w:p>
        </w:tc>
        <w:tc>
          <w:tcPr>
            <w:tcW w:w="829" w:type="dxa"/>
            <w:tcBorders>
              <w:top w:val="single" w:sz="4" w:space="0" w:color="1B556B"/>
              <w:left w:val="nil"/>
              <w:bottom w:val="single" w:sz="4" w:space="0" w:color="1B556B"/>
              <w:right w:val="nil"/>
            </w:tcBorders>
            <w:noWrap/>
            <w:vAlign w:val="center"/>
            <w:hideMark/>
          </w:tcPr>
          <w:p w14:paraId="0B3DE9B1"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613AD077"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285C42AB"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single" w:sz="4" w:space="0" w:color="1B556B"/>
              <w:left w:val="nil"/>
              <w:bottom w:val="single" w:sz="4" w:space="0" w:color="1B556B"/>
              <w:right w:val="nil"/>
            </w:tcBorders>
            <w:noWrap/>
            <w:vAlign w:val="center"/>
            <w:hideMark/>
          </w:tcPr>
          <w:p w14:paraId="76766100"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71F94BFA" w14:textId="77777777" w:rsidTr="00F16E23">
        <w:tc>
          <w:tcPr>
            <w:tcW w:w="320" w:type="dxa"/>
            <w:tcBorders>
              <w:top w:val="single" w:sz="4" w:space="0" w:color="1B556B"/>
              <w:left w:val="nil"/>
              <w:bottom w:val="single" w:sz="4" w:space="0" w:color="1B556B"/>
              <w:right w:val="nil"/>
            </w:tcBorders>
            <w:noWrap/>
            <w:vAlign w:val="center"/>
            <w:hideMark/>
          </w:tcPr>
          <w:p w14:paraId="236590C3" w14:textId="77777777" w:rsidR="00E46639" w:rsidRPr="0028033B" w:rsidRDefault="00E46639" w:rsidP="00F16E23">
            <w:pPr>
              <w:pStyle w:val="TableText"/>
              <w:spacing w:before="30" w:after="20"/>
              <w:rPr>
                <w:rFonts w:cs="Calibri"/>
                <w:szCs w:val="16"/>
              </w:rPr>
            </w:pPr>
            <w:r w:rsidRPr="0028033B">
              <w:rPr>
                <w:rFonts w:cs="Calibri"/>
                <w:szCs w:val="16"/>
              </w:rPr>
              <w:t>4</w:t>
            </w:r>
          </w:p>
        </w:tc>
        <w:tc>
          <w:tcPr>
            <w:tcW w:w="3224" w:type="dxa"/>
            <w:tcBorders>
              <w:top w:val="single" w:sz="4" w:space="0" w:color="1B556B"/>
              <w:left w:val="nil"/>
              <w:bottom w:val="single" w:sz="4" w:space="0" w:color="1B556B"/>
              <w:right w:val="nil"/>
            </w:tcBorders>
            <w:vAlign w:val="center"/>
            <w:hideMark/>
          </w:tcPr>
          <w:p w14:paraId="0A6F4BFB" w14:textId="77777777" w:rsidR="00E46639" w:rsidRPr="0028033B" w:rsidRDefault="00E46639" w:rsidP="00F16E23">
            <w:pPr>
              <w:pStyle w:val="TableText"/>
              <w:spacing w:before="30" w:after="20"/>
              <w:rPr>
                <w:rFonts w:cs="Calibri"/>
                <w:szCs w:val="16"/>
              </w:rPr>
            </w:pPr>
            <w:r w:rsidRPr="0028033B">
              <w:rPr>
                <w:rFonts w:cs="Calibri"/>
                <w:szCs w:val="16"/>
              </w:rPr>
              <w:t>Other livestock (camels, deer, goats, horses, mules and asses, poultry)</w:t>
            </w:r>
          </w:p>
        </w:tc>
        <w:tc>
          <w:tcPr>
            <w:tcW w:w="828" w:type="dxa"/>
            <w:tcBorders>
              <w:top w:val="single" w:sz="4" w:space="0" w:color="1B556B"/>
              <w:left w:val="nil"/>
              <w:bottom w:val="single" w:sz="4" w:space="0" w:color="1B556B"/>
              <w:right w:val="nil"/>
            </w:tcBorders>
            <w:noWrap/>
            <w:vAlign w:val="center"/>
            <w:hideMark/>
          </w:tcPr>
          <w:p w14:paraId="6AC28611" w14:textId="77777777" w:rsidR="00E46639" w:rsidRPr="0028033B" w:rsidRDefault="00E46639" w:rsidP="00F16E23">
            <w:pPr>
              <w:pStyle w:val="TableText"/>
              <w:spacing w:before="30" w:after="20"/>
              <w:jc w:val="center"/>
              <w:rPr>
                <w:rFonts w:cs="Calibri"/>
                <w:szCs w:val="16"/>
              </w:rPr>
            </w:pPr>
            <w:r w:rsidRPr="0028033B">
              <w:rPr>
                <w:rFonts w:cs="Calibri"/>
                <w:szCs w:val="16"/>
              </w:rPr>
              <w:t>T1, T2</w:t>
            </w:r>
          </w:p>
        </w:tc>
        <w:tc>
          <w:tcPr>
            <w:tcW w:w="828" w:type="dxa"/>
            <w:tcBorders>
              <w:top w:val="single" w:sz="4" w:space="0" w:color="1B556B"/>
              <w:left w:val="nil"/>
              <w:bottom w:val="single" w:sz="4" w:space="0" w:color="1B556B"/>
              <w:right w:val="nil"/>
            </w:tcBorders>
            <w:noWrap/>
            <w:vAlign w:val="center"/>
            <w:hideMark/>
          </w:tcPr>
          <w:p w14:paraId="439E289F" w14:textId="77777777" w:rsidR="00E46639" w:rsidRPr="0028033B" w:rsidRDefault="00E46639" w:rsidP="00F16E23">
            <w:pPr>
              <w:pStyle w:val="TableText"/>
              <w:spacing w:before="30" w:after="20"/>
              <w:jc w:val="center"/>
              <w:rPr>
                <w:rFonts w:cs="Calibri"/>
                <w:szCs w:val="16"/>
              </w:rPr>
            </w:pPr>
            <w:r w:rsidRPr="0028033B">
              <w:rPr>
                <w:rFonts w:cs="Calibri"/>
                <w:szCs w:val="16"/>
              </w:rPr>
              <w:t>CS, D</w:t>
            </w:r>
          </w:p>
        </w:tc>
        <w:tc>
          <w:tcPr>
            <w:tcW w:w="829" w:type="dxa"/>
            <w:tcBorders>
              <w:top w:val="single" w:sz="4" w:space="0" w:color="1B556B"/>
              <w:left w:val="nil"/>
              <w:bottom w:val="single" w:sz="4" w:space="0" w:color="1B556B"/>
              <w:right w:val="nil"/>
            </w:tcBorders>
            <w:noWrap/>
            <w:vAlign w:val="center"/>
            <w:hideMark/>
          </w:tcPr>
          <w:p w14:paraId="25892B90"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1A58F7F3"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622CE770"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single" w:sz="4" w:space="0" w:color="1B556B"/>
              <w:left w:val="nil"/>
              <w:bottom w:val="single" w:sz="4" w:space="0" w:color="1B556B"/>
              <w:right w:val="nil"/>
            </w:tcBorders>
            <w:noWrap/>
            <w:vAlign w:val="center"/>
            <w:hideMark/>
          </w:tcPr>
          <w:p w14:paraId="6FB79C6F"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4FC23F26" w14:textId="77777777" w:rsidTr="00F16E23">
        <w:tc>
          <w:tcPr>
            <w:tcW w:w="320" w:type="dxa"/>
            <w:tcBorders>
              <w:top w:val="single" w:sz="4" w:space="0" w:color="1B556B"/>
              <w:left w:val="nil"/>
              <w:bottom w:val="single" w:sz="4" w:space="0" w:color="1B556B"/>
              <w:right w:val="nil"/>
            </w:tcBorders>
            <w:noWrap/>
            <w:vAlign w:val="center"/>
            <w:hideMark/>
          </w:tcPr>
          <w:p w14:paraId="03E4A731" w14:textId="77777777" w:rsidR="00E46639" w:rsidRPr="0028033B" w:rsidRDefault="00E46639" w:rsidP="00F16E23">
            <w:pPr>
              <w:pStyle w:val="TableText"/>
              <w:spacing w:before="30" w:after="20"/>
              <w:rPr>
                <w:rFonts w:cs="Calibri"/>
                <w:b/>
                <w:bCs/>
                <w:szCs w:val="16"/>
              </w:rPr>
            </w:pPr>
            <w:r w:rsidRPr="0028033B">
              <w:rPr>
                <w:rFonts w:cs="Calibri"/>
                <w:b/>
                <w:bCs/>
                <w:szCs w:val="16"/>
              </w:rPr>
              <w:t>B</w:t>
            </w:r>
          </w:p>
        </w:tc>
        <w:tc>
          <w:tcPr>
            <w:tcW w:w="3224" w:type="dxa"/>
            <w:tcBorders>
              <w:top w:val="single" w:sz="4" w:space="0" w:color="1B556B"/>
              <w:left w:val="nil"/>
              <w:bottom w:val="single" w:sz="4" w:space="0" w:color="1B556B"/>
              <w:right w:val="nil"/>
            </w:tcBorders>
            <w:vAlign w:val="center"/>
            <w:hideMark/>
          </w:tcPr>
          <w:p w14:paraId="75EEAF88" w14:textId="77777777" w:rsidR="00E46639" w:rsidRPr="0028033B" w:rsidRDefault="00E46639" w:rsidP="00F16E23">
            <w:pPr>
              <w:pStyle w:val="TableText"/>
              <w:spacing w:before="30" w:after="20"/>
              <w:rPr>
                <w:rFonts w:cs="Calibri"/>
                <w:b/>
                <w:bCs/>
                <w:szCs w:val="16"/>
              </w:rPr>
            </w:pPr>
            <w:r w:rsidRPr="0028033B">
              <w:rPr>
                <w:rFonts w:cs="Calibri"/>
                <w:b/>
                <w:bCs/>
                <w:szCs w:val="16"/>
              </w:rPr>
              <w:t>Manure management</w:t>
            </w:r>
          </w:p>
        </w:tc>
        <w:tc>
          <w:tcPr>
            <w:tcW w:w="828" w:type="dxa"/>
            <w:tcBorders>
              <w:top w:val="single" w:sz="4" w:space="0" w:color="1B556B"/>
              <w:left w:val="nil"/>
              <w:bottom w:val="single" w:sz="4" w:space="0" w:color="1B556B"/>
              <w:right w:val="nil"/>
            </w:tcBorders>
            <w:noWrap/>
            <w:vAlign w:val="center"/>
            <w:hideMark/>
          </w:tcPr>
          <w:p w14:paraId="60D0DF1A"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single" w:sz="4" w:space="0" w:color="1B556B"/>
              <w:right w:val="nil"/>
            </w:tcBorders>
            <w:noWrap/>
            <w:vAlign w:val="center"/>
            <w:hideMark/>
          </w:tcPr>
          <w:p w14:paraId="480BDB76"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single" w:sz="4" w:space="0" w:color="1B556B"/>
              <w:right w:val="nil"/>
            </w:tcBorders>
            <w:noWrap/>
            <w:vAlign w:val="center"/>
            <w:hideMark/>
          </w:tcPr>
          <w:p w14:paraId="09EF10BE"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single" w:sz="4" w:space="0" w:color="1B556B"/>
              <w:right w:val="nil"/>
            </w:tcBorders>
            <w:noWrap/>
            <w:vAlign w:val="center"/>
            <w:hideMark/>
          </w:tcPr>
          <w:p w14:paraId="3361F874"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single" w:sz="4" w:space="0" w:color="1B556B"/>
              <w:right w:val="nil"/>
            </w:tcBorders>
            <w:noWrap/>
            <w:vAlign w:val="center"/>
            <w:hideMark/>
          </w:tcPr>
          <w:p w14:paraId="50855328"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single" w:sz="4" w:space="0" w:color="1B556B"/>
              <w:right w:val="nil"/>
            </w:tcBorders>
            <w:noWrap/>
            <w:vAlign w:val="center"/>
            <w:hideMark/>
          </w:tcPr>
          <w:p w14:paraId="25D3F748"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r>
      <w:tr w:rsidR="00E46639" w:rsidRPr="0028033B" w14:paraId="1BBCA924" w14:textId="77777777" w:rsidTr="00F16E23">
        <w:tc>
          <w:tcPr>
            <w:tcW w:w="320" w:type="dxa"/>
            <w:vMerge w:val="restart"/>
            <w:tcBorders>
              <w:top w:val="single" w:sz="4" w:space="0" w:color="1B556B"/>
              <w:left w:val="nil"/>
              <w:bottom w:val="single" w:sz="8" w:space="0" w:color="365F91"/>
              <w:right w:val="nil"/>
            </w:tcBorders>
            <w:noWrap/>
            <w:vAlign w:val="center"/>
            <w:hideMark/>
          </w:tcPr>
          <w:p w14:paraId="69FD8545" w14:textId="77777777" w:rsidR="00E46639" w:rsidRPr="0028033B" w:rsidRDefault="00E46639" w:rsidP="00F16E23">
            <w:pPr>
              <w:pStyle w:val="TableText"/>
              <w:spacing w:before="20" w:after="20"/>
              <w:rPr>
                <w:rFonts w:cs="Calibri"/>
                <w:szCs w:val="16"/>
              </w:rPr>
            </w:pPr>
            <w:r w:rsidRPr="0028033B">
              <w:rPr>
                <w:rFonts w:cs="Calibri"/>
                <w:szCs w:val="16"/>
              </w:rPr>
              <w:t>1</w:t>
            </w:r>
          </w:p>
        </w:tc>
        <w:tc>
          <w:tcPr>
            <w:tcW w:w="3224" w:type="dxa"/>
            <w:tcBorders>
              <w:top w:val="single" w:sz="4" w:space="0" w:color="1B556B"/>
              <w:left w:val="nil"/>
              <w:bottom w:val="nil"/>
              <w:right w:val="nil"/>
            </w:tcBorders>
            <w:vAlign w:val="center"/>
            <w:hideMark/>
          </w:tcPr>
          <w:p w14:paraId="3DEE9A8F" w14:textId="77777777" w:rsidR="00E46639" w:rsidRPr="0028033B" w:rsidRDefault="00E46639" w:rsidP="00F16E23">
            <w:pPr>
              <w:pStyle w:val="TableText"/>
              <w:spacing w:before="20" w:after="20"/>
              <w:rPr>
                <w:rFonts w:cs="Calibri"/>
                <w:szCs w:val="16"/>
              </w:rPr>
            </w:pPr>
            <w:r w:rsidRPr="0028033B">
              <w:rPr>
                <w:rFonts w:cs="Calibri"/>
                <w:szCs w:val="16"/>
              </w:rPr>
              <w:t>Cattle</w:t>
            </w:r>
          </w:p>
        </w:tc>
        <w:tc>
          <w:tcPr>
            <w:tcW w:w="828" w:type="dxa"/>
            <w:tcBorders>
              <w:top w:val="single" w:sz="4" w:space="0" w:color="1B556B"/>
              <w:left w:val="nil"/>
              <w:bottom w:val="nil"/>
              <w:right w:val="nil"/>
            </w:tcBorders>
            <w:noWrap/>
            <w:vAlign w:val="center"/>
            <w:hideMark/>
          </w:tcPr>
          <w:p w14:paraId="05AC2869"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3896EA0F"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noWrap/>
            <w:vAlign w:val="center"/>
            <w:hideMark/>
          </w:tcPr>
          <w:p w14:paraId="109E17D8"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1C057D82"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19AC9502"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noWrap/>
            <w:vAlign w:val="center"/>
            <w:hideMark/>
          </w:tcPr>
          <w:p w14:paraId="0CDD2AB9"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r>
      <w:tr w:rsidR="00E46639" w:rsidRPr="0028033B" w14:paraId="5F336CF1" w14:textId="77777777" w:rsidTr="00F16E23">
        <w:tc>
          <w:tcPr>
            <w:tcW w:w="320" w:type="dxa"/>
            <w:vMerge/>
            <w:tcBorders>
              <w:top w:val="nil"/>
              <w:left w:val="nil"/>
              <w:bottom w:val="single" w:sz="8" w:space="0" w:color="365F91"/>
              <w:right w:val="nil"/>
            </w:tcBorders>
            <w:vAlign w:val="center"/>
            <w:hideMark/>
          </w:tcPr>
          <w:p w14:paraId="2FB18AD1"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49274B5E" w14:textId="77777777" w:rsidR="00E46639" w:rsidRPr="0028033B" w:rsidRDefault="00E46639" w:rsidP="00F16E23">
            <w:pPr>
              <w:pStyle w:val="TableText"/>
              <w:spacing w:before="20" w:after="20"/>
              <w:rPr>
                <w:rFonts w:cs="Calibri"/>
                <w:szCs w:val="16"/>
              </w:rPr>
            </w:pPr>
            <w:r w:rsidRPr="0028033B">
              <w:rPr>
                <w:rFonts w:cs="Calibri"/>
                <w:szCs w:val="16"/>
              </w:rPr>
              <w:t>Dairy cattle</w:t>
            </w:r>
          </w:p>
        </w:tc>
        <w:tc>
          <w:tcPr>
            <w:tcW w:w="828" w:type="dxa"/>
            <w:tcBorders>
              <w:top w:val="nil"/>
              <w:left w:val="nil"/>
              <w:bottom w:val="nil"/>
              <w:right w:val="nil"/>
            </w:tcBorders>
            <w:noWrap/>
            <w:vAlign w:val="center"/>
            <w:hideMark/>
          </w:tcPr>
          <w:p w14:paraId="03832E04" w14:textId="77777777" w:rsidR="00E46639" w:rsidRPr="0028033B" w:rsidRDefault="00E46639" w:rsidP="00F16E23">
            <w:pPr>
              <w:pStyle w:val="TableText"/>
              <w:spacing w:before="20" w:after="20"/>
              <w:jc w:val="center"/>
              <w:rPr>
                <w:rFonts w:cs="Calibri"/>
                <w:szCs w:val="16"/>
              </w:rPr>
            </w:pPr>
            <w:r w:rsidRPr="0028033B">
              <w:rPr>
                <w:rFonts w:cs="Calibri"/>
                <w:szCs w:val="16"/>
              </w:rPr>
              <w:t>T2</w:t>
            </w:r>
          </w:p>
        </w:tc>
        <w:tc>
          <w:tcPr>
            <w:tcW w:w="828" w:type="dxa"/>
            <w:tcBorders>
              <w:top w:val="nil"/>
              <w:left w:val="nil"/>
              <w:bottom w:val="nil"/>
              <w:right w:val="nil"/>
            </w:tcBorders>
            <w:noWrap/>
            <w:vAlign w:val="center"/>
            <w:hideMark/>
          </w:tcPr>
          <w:p w14:paraId="5A891343"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9" w:type="dxa"/>
            <w:tcBorders>
              <w:top w:val="nil"/>
              <w:left w:val="nil"/>
              <w:bottom w:val="nil"/>
              <w:right w:val="nil"/>
            </w:tcBorders>
            <w:noWrap/>
            <w:vAlign w:val="center"/>
            <w:hideMark/>
          </w:tcPr>
          <w:p w14:paraId="57B4D9F0" w14:textId="77777777" w:rsidR="00E46639" w:rsidRPr="0028033B" w:rsidRDefault="00E46639" w:rsidP="00F16E23">
            <w:pPr>
              <w:pStyle w:val="TableText"/>
              <w:spacing w:before="20" w:after="20"/>
              <w:jc w:val="center"/>
              <w:rPr>
                <w:rFonts w:cs="Calibri"/>
                <w:szCs w:val="16"/>
              </w:rPr>
            </w:pPr>
            <w:r w:rsidRPr="0028033B">
              <w:rPr>
                <w:rFonts w:cs="Calibri"/>
                <w:szCs w:val="16"/>
              </w:rPr>
              <w:t>T2</w:t>
            </w:r>
          </w:p>
        </w:tc>
        <w:tc>
          <w:tcPr>
            <w:tcW w:w="828" w:type="dxa"/>
            <w:tcBorders>
              <w:top w:val="nil"/>
              <w:left w:val="nil"/>
              <w:bottom w:val="nil"/>
              <w:right w:val="nil"/>
            </w:tcBorders>
            <w:noWrap/>
            <w:vAlign w:val="center"/>
            <w:hideMark/>
          </w:tcPr>
          <w:p w14:paraId="5019BBE8"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8" w:type="dxa"/>
            <w:tcBorders>
              <w:top w:val="nil"/>
              <w:left w:val="nil"/>
              <w:bottom w:val="nil"/>
              <w:right w:val="nil"/>
            </w:tcBorders>
            <w:noWrap/>
            <w:vAlign w:val="center"/>
            <w:hideMark/>
          </w:tcPr>
          <w:p w14:paraId="064A8675"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7414DB71"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786F1097" w14:textId="77777777" w:rsidTr="00F16E23">
        <w:tc>
          <w:tcPr>
            <w:tcW w:w="320" w:type="dxa"/>
            <w:vMerge/>
            <w:tcBorders>
              <w:top w:val="nil"/>
              <w:left w:val="nil"/>
              <w:bottom w:val="single" w:sz="4" w:space="0" w:color="1B556B"/>
              <w:right w:val="nil"/>
            </w:tcBorders>
            <w:vAlign w:val="center"/>
            <w:hideMark/>
          </w:tcPr>
          <w:p w14:paraId="52E75329" w14:textId="77777777" w:rsidR="00E46639" w:rsidRPr="0028033B" w:rsidRDefault="00E46639" w:rsidP="00F16E23">
            <w:pPr>
              <w:pStyle w:val="TableText"/>
              <w:spacing w:before="20" w:after="20"/>
              <w:rPr>
                <w:rFonts w:cs="Calibri"/>
                <w:szCs w:val="16"/>
              </w:rPr>
            </w:pPr>
          </w:p>
        </w:tc>
        <w:tc>
          <w:tcPr>
            <w:tcW w:w="3224" w:type="dxa"/>
            <w:tcBorders>
              <w:top w:val="nil"/>
              <w:left w:val="nil"/>
              <w:bottom w:val="single" w:sz="4" w:space="0" w:color="1B556B"/>
              <w:right w:val="nil"/>
            </w:tcBorders>
            <w:vAlign w:val="center"/>
            <w:hideMark/>
          </w:tcPr>
          <w:p w14:paraId="0F6E1E2B" w14:textId="77777777" w:rsidR="00E46639" w:rsidRPr="0028033B" w:rsidRDefault="00E46639" w:rsidP="00F16E23">
            <w:pPr>
              <w:pStyle w:val="TableText"/>
              <w:spacing w:before="20" w:after="20"/>
              <w:rPr>
                <w:rFonts w:cs="Calibri"/>
                <w:szCs w:val="16"/>
              </w:rPr>
            </w:pPr>
            <w:r w:rsidRPr="0028033B">
              <w:rPr>
                <w:rFonts w:cs="Calibri"/>
                <w:szCs w:val="16"/>
              </w:rPr>
              <w:t>Non-dairy cattle</w:t>
            </w:r>
          </w:p>
        </w:tc>
        <w:tc>
          <w:tcPr>
            <w:tcW w:w="828" w:type="dxa"/>
            <w:tcBorders>
              <w:top w:val="nil"/>
              <w:left w:val="nil"/>
              <w:bottom w:val="single" w:sz="4" w:space="0" w:color="1B556B"/>
              <w:right w:val="nil"/>
            </w:tcBorders>
            <w:noWrap/>
            <w:vAlign w:val="center"/>
            <w:hideMark/>
          </w:tcPr>
          <w:p w14:paraId="0E881C09" w14:textId="77777777" w:rsidR="00E46639" w:rsidRPr="0028033B" w:rsidRDefault="00E46639" w:rsidP="00F16E23">
            <w:pPr>
              <w:pStyle w:val="TableText"/>
              <w:spacing w:before="20" w:after="20"/>
              <w:jc w:val="center"/>
              <w:rPr>
                <w:rFonts w:cs="Calibri"/>
                <w:szCs w:val="16"/>
              </w:rPr>
            </w:pPr>
            <w:r w:rsidRPr="0028033B">
              <w:rPr>
                <w:rFonts w:cs="Calibri"/>
                <w:szCs w:val="16"/>
              </w:rPr>
              <w:t>T2</w:t>
            </w:r>
          </w:p>
        </w:tc>
        <w:tc>
          <w:tcPr>
            <w:tcW w:w="828" w:type="dxa"/>
            <w:tcBorders>
              <w:top w:val="nil"/>
              <w:left w:val="nil"/>
              <w:bottom w:val="single" w:sz="4" w:space="0" w:color="1B556B"/>
              <w:right w:val="nil"/>
            </w:tcBorders>
            <w:noWrap/>
            <w:vAlign w:val="center"/>
            <w:hideMark/>
          </w:tcPr>
          <w:p w14:paraId="16A83287"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9" w:type="dxa"/>
            <w:tcBorders>
              <w:top w:val="nil"/>
              <w:left w:val="nil"/>
              <w:bottom w:val="single" w:sz="4" w:space="0" w:color="1B556B"/>
              <w:right w:val="nil"/>
            </w:tcBorders>
            <w:noWrap/>
            <w:vAlign w:val="center"/>
            <w:hideMark/>
          </w:tcPr>
          <w:p w14:paraId="4DA733CB" w14:textId="77777777" w:rsidR="00E46639" w:rsidRPr="0028033B" w:rsidRDefault="00E46639" w:rsidP="00F16E23">
            <w:pPr>
              <w:pStyle w:val="TableText"/>
              <w:spacing w:before="20" w:after="20"/>
              <w:jc w:val="center"/>
              <w:rPr>
                <w:rFonts w:cs="Calibri"/>
                <w:szCs w:val="16"/>
              </w:rPr>
            </w:pPr>
            <w:r w:rsidRPr="0028033B">
              <w:rPr>
                <w:rFonts w:cs="Calibri"/>
                <w:szCs w:val="16"/>
              </w:rPr>
              <w:t>NA</w:t>
            </w:r>
          </w:p>
        </w:tc>
        <w:tc>
          <w:tcPr>
            <w:tcW w:w="828" w:type="dxa"/>
            <w:tcBorders>
              <w:top w:val="nil"/>
              <w:left w:val="nil"/>
              <w:bottom w:val="single" w:sz="4" w:space="0" w:color="1B556B"/>
              <w:right w:val="nil"/>
            </w:tcBorders>
            <w:noWrap/>
            <w:vAlign w:val="center"/>
            <w:hideMark/>
          </w:tcPr>
          <w:p w14:paraId="227AC8EA" w14:textId="77777777" w:rsidR="00E46639" w:rsidRPr="0028033B" w:rsidRDefault="00E46639" w:rsidP="00F16E23">
            <w:pPr>
              <w:pStyle w:val="TableText"/>
              <w:spacing w:before="20" w:after="20"/>
              <w:jc w:val="center"/>
              <w:rPr>
                <w:rFonts w:cs="Calibri"/>
                <w:szCs w:val="16"/>
              </w:rPr>
            </w:pPr>
            <w:r w:rsidRPr="0028033B">
              <w:rPr>
                <w:rFonts w:cs="Calibri"/>
                <w:szCs w:val="16"/>
              </w:rPr>
              <w:t>NA</w:t>
            </w:r>
          </w:p>
        </w:tc>
        <w:tc>
          <w:tcPr>
            <w:tcW w:w="828" w:type="dxa"/>
            <w:tcBorders>
              <w:top w:val="nil"/>
              <w:left w:val="nil"/>
              <w:bottom w:val="single" w:sz="4" w:space="0" w:color="1B556B"/>
              <w:right w:val="nil"/>
            </w:tcBorders>
            <w:noWrap/>
            <w:vAlign w:val="center"/>
            <w:hideMark/>
          </w:tcPr>
          <w:p w14:paraId="5B7A8E80"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single" w:sz="4" w:space="0" w:color="1B556B"/>
              <w:right w:val="nil"/>
            </w:tcBorders>
            <w:noWrap/>
            <w:vAlign w:val="center"/>
            <w:hideMark/>
          </w:tcPr>
          <w:p w14:paraId="07B9A802"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44B90529" w14:textId="77777777" w:rsidTr="00F16E23">
        <w:tc>
          <w:tcPr>
            <w:tcW w:w="320" w:type="dxa"/>
            <w:tcBorders>
              <w:top w:val="single" w:sz="4" w:space="0" w:color="1B556B"/>
              <w:left w:val="nil"/>
              <w:right w:val="nil"/>
            </w:tcBorders>
            <w:noWrap/>
            <w:vAlign w:val="center"/>
            <w:hideMark/>
          </w:tcPr>
          <w:p w14:paraId="57DC7614" w14:textId="77777777" w:rsidR="00E46639" w:rsidRPr="0028033B" w:rsidRDefault="00E46639" w:rsidP="00F16E23">
            <w:pPr>
              <w:pStyle w:val="TableText"/>
              <w:spacing w:before="30" w:after="20"/>
              <w:rPr>
                <w:rFonts w:cs="Calibri"/>
                <w:szCs w:val="16"/>
              </w:rPr>
            </w:pPr>
            <w:r w:rsidRPr="0028033B">
              <w:rPr>
                <w:rFonts w:cs="Calibri"/>
                <w:szCs w:val="16"/>
              </w:rPr>
              <w:t>2</w:t>
            </w:r>
          </w:p>
        </w:tc>
        <w:tc>
          <w:tcPr>
            <w:tcW w:w="3224" w:type="dxa"/>
            <w:tcBorders>
              <w:top w:val="single" w:sz="4" w:space="0" w:color="1B556B"/>
              <w:left w:val="nil"/>
              <w:right w:val="nil"/>
            </w:tcBorders>
            <w:vAlign w:val="center"/>
            <w:hideMark/>
          </w:tcPr>
          <w:p w14:paraId="3FAAB59B" w14:textId="77777777" w:rsidR="00E46639" w:rsidRPr="0028033B" w:rsidRDefault="00E46639" w:rsidP="00F16E23">
            <w:pPr>
              <w:pStyle w:val="TableText"/>
              <w:spacing w:before="30" w:after="20"/>
              <w:rPr>
                <w:rFonts w:cs="Calibri"/>
                <w:szCs w:val="16"/>
              </w:rPr>
            </w:pPr>
            <w:r w:rsidRPr="0028033B">
              <w:rPr>
                <w:rFonts w:cs="Calibri"/>
                <w:szCs w:val="16"/>
              </w:rPr>
              <w:t xml:space="preserve">Sheep </w:t>
            </w:r>
          </w:p>
        </w:tc>
        <w:tc>
          <w:tcPr>
            <w:tcW w:w="828" w:type="dxa"/>
            <w:tcBorders>
              <w:top w:val="single" w:sz="4" w:space="0" w:color="1B556B"/>
              <w:left w:val="nil"/>
              <w:right w:val="nil"/>
            </w:tcBorders>
            <w:noWrap/>
            <w:vAlign w:val="center"/>
            <w:hideMark/>
          </w:tcPr>
          <w:p w14:paraId="1305DB12" w14:textId="77777777" w:rsidR="00E46639" w:rsidRPr="0028033B" w:rsidRDefault="00E46639" w:rsidP="00F16E23">
            <w:pPr>
              <w:pStyle w:val="TableText"/>
              <w:spacing w:before="30" w:after="20"/>
              <w:jc w:val="center"/>
              <w:rPr>
                <w:rFonts w:cs="Calibri"/>
                <w:szCs w:val="16"/>
              </w:rPr>
            </w:pPr>
            <w:r w:rsidRPr="0028033B">
              <w:rPr>
                <w:rFonts w:cs="Calibri"/>
                <w:szCs w:val="16"/>
              </w:rPr>
              <w:t>T2</w:t>
            </w:r>
          </w:p>
        </w:tc>
        <w:tc>
          <w:tcPr>
            <w:tcW w:w="828" w:type="dxa"/>
            <w:tcBorders>
              <w:top w:val="single" w:sz="4" w:space="0" w:color="1B556B"/>
              <w:left w:val="nil"/>
              <w:right w:val="nil"/>
            </w:tcBorders>
            <w:noWrap/>
            <w:vAlign w:val="center"/>
            <w:hideMark/>
          </w:tcPr>
          <w:p w14:paraId="62B1FA42" w14:textId="77777777" w:rsidR="00E46639" w:rsidRPr="0028033B" w:rsidRDefault="00E46639" w:rsidP="00F16E23">
            <w:pPr>
              <w:pStyle w:val="TableText"/>
              <w:spacing w:before="30" w:after="20"/>
              <w:jc w:val="center"/>
              <w:rPr>
                <w:rFonts w:cs="Calibri"/>
                <w:szCs w:val="16"/>
              </w:rPr>
            </w:pPr>
            <w:r w:rsidRPr="0028033B">
              <w:rPr>
                <w:rFonts w:cs="Calibri"/>
                <w:szCs w:val="16"/>
              </w:rPr>
              <w:t>CS</w:t>
            </w:r>
          </w:p>
        </w:tc>
        <w:tc>
          <w:tcPr>
            <w:tcW w:w="829" w:type="dxa"/>
            <w:tcBorders>
              <w:top w:val="single" w:sz="4" w:space="0" w:color="1B556B"/>
              <w:left w:val="nil"/>
              <w:right w:val="nil"/>
            </w:tcBorders>
            <w:noWrap/>
            <w:vAlign w:val="center"/>
            <w:hideMark/>
          </w:tcPr>
          <w:p w14:paraId="60DAA312" w14:textId="77777777" w:rsidR="00E46639" w:rsidRPr="0028033B" w:rsidRDefault="00E46639" w:rsidP="00F16E23">
            <w:pPr>
              <w:pStyle w:val="TableText"/>
              <w:spacing w:before="30" w:after="20"/>
              <w:jc w:val="center"/>
              <w:rPr>
                <w:rFonts w:cs="Calibri"/>
                <w:szCs w:val="16"/>
              </w:rPr>
            </w:pPr>
            <w:r w:rsidRPr="0028033B">
              <w:rPr>
                <w:rFonts w:cs="Calibri"/>
                <w:szCs w:val="16"/>
              </w:rPr>
              <w:t>NA</w:t>
            </w:r>
          </w:p>
        </w:tc>
        <w:tc>
          <w:tcPr>
            <w:tcW w:w="828" w:type="dxa"/>
            <w:tcBorders>
              <w:top w:val="single" w:sz="4" w:space="0" w:color="1B556B"/>
              <w:left w:val="nil"/>
              <w:right w:val="nil"/>
            </w:tcBorders>
            <w:noWrap/>
            <w:vAlign w:val="center"/>
            <w:hideMark/>
          </w:tcPr>
          <w:p w14:paraId="3EAED55C" w14:textId="77777777" w:rsidR="00E46639" w:rsidRPr="0028033B" w:rsidRDefault="00E46639" w:rsidP="00F16E23">
            <w:pPr>
              <w:pStyle w:val="TableText"/>
              <w:spacing w:before="30" w:after="20"/>
              <w:jc w:val="center"/>
              <w:rPr>
                <w:rFonts w:cs="Calibri"/>
                <w:szCs w:val="16"/>
              </w:rPr>
            </w:pPr>
            <w:r w:rsidRPr="0028033B">
              <w:rPr>
                <w:rFonts w:cs="Calibri"/>
                <w:szCs w:val="16"/>
              </w:rPr>
              <w:t>NA</w:t>
            </w:r>
          </w:p>
        </w:tc>
        <w:tc>
          <w:tcPr>
            <w:tcW w:w="828" w:type="dxa"/>
            <w:tcBorders>
              <w:top w:val="single" w:sz="4" w:space="0" w:color="1B556B"/>
              <w:left w:val="nil"/>
              <w:right w:val="nil"/>
            </w:tcBorders>
            <w:noWrap/>
            <w:vAlign w:val="center"/>
            <w:hideMark/>
          </w:tcPr>
          <w:p w14:paraId="543C12DF"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single" w:sz="4" w:space="0" w:color="1B556B"/>
              <w:left w:val="nil"/>
              <w:right w:val="nil"/>
            </w:tcBorders>
            <w:noWrap/>
            <w:vAlign w:val="center"/>
            <w:hideMark/>
          </w:tcPr>
          <w:p w14:paraId="1FACD6CC"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458FEAE7" w14:textId="77777777" w:rsidTr="00F16E23">
        <w:tc>
          <w:tcPr>
            <w:tcW w:w="320" w:type="dxa"/>
            <w:tcBorders>
              <w:left w:val="nil"/>
              <w:bottom w:val="single" w:sz="4" w:space="0" w:color="1B556B"/>
              <w:right w:val="nil"/>
            </w:tcBorders>
            <w:noWrap/>
            <w:vAlign w:val="center"/>
            <w:hideMark/>
          </w:tcPr>
          <w:p w14:paraId="0907C074" w14:textId="77777777" w:rsidR="00E46639" w:rsidRPr="0028033B" w:rsidRDefault="00E46639" w:rsidP="00F16E23">
            <w:pPr>
              <w:pStyle w:val="TableText"/>
              <w:spacing w:before="30" w:after="20"/>
              <w:rPr>
                <w:rFonts w:cs="Calibri"/>
                <w:szCs w:val="16"/>
              </w:rPr>
            </w:pPr>
            <w:r w:rsidRPr="0028033B">
              <w:rPr>
                <w:rFonts w:cs="Calibri"/>
                <w:szCs w:val="16"/>
              </w:rPr>
              <w:t>3</w:t>
            </w:r>
          </w:p>
        </w:tc>
        <w:tc>
          <w:tcPr>
            <w:tcW w:w="3224" w:type="dxa"/>
            <w:tcBorders>
              <w:left w:val="nil"/>
              <w:bottom w:val="single" w:sz="4" w:space="0" w:color="1B556B"/>
              <w:right w:val="nil"/>
            </w:tcBorders>
            <w:vAlign w:val="center"/>
            <w:hideMark/>
          </w:tcPr>
          <w:p w14:paraId="096ECB5B" w14:textId="77777777" w:rsidR="00E46639" w:rsidRPr="0028033B" w:rsidRDefault="00E46639" w:rsidP="00F16E23">
            <w:pPr>
              <w:pStyle w:val="TableText"/>
              <w:spacing w:before="30" w:after="20"/>
              <w:rPr>
                <w:rFonts w:cs="Calibri"/>
                <w:szCs w:val="16"/>
              </w:rPr>
            </w:pPr>
            <w:r w:rsidRPr="0028033B">
              <w:rPr>
                <w:rFonts w:cs="Calibri"/>
                <w:szCs w:val="16"/>
              </w:rPr>
              <w:t>Swine</w:t>
            </w:r>
          </w:p>
        </w:tc>
        <w:tc>
          <w:tcPr>
            <w:tcW w:w="828" w:type="dxa"/>
            <w:tcBorders>
              <w:left w:val="nil"/>
              <w:bottom w:val="single" w:sz="4" w:space="0" w:color="1B556B"/>
              <w:right w:val="nil"/>
            </w:tcBorders>
            <w:noWrap/>
            <w:vAlign w:val="center"/>
            <w:hideMark/>
          </w:tcPr>
          <w:p w14:paraId="7A7C11C9" w14:textId="77777777" w:rsidR="00E46639" w:rsidRPr="0028033B" w:rsidRDefault="00E46639" w:rsidP="00F16E23">
            <w:pPr>
              <w:pStyle w:val="TableText"/>
              <w:spacing w:before="30" w:after="20"/>
              <w:jc w:val="center"/>
              <w:rPr>
                <w:rFonts w:cs="Calibri"/>
                <w:szCs w:val="16"/>
              </w:rPr>
            </w:pPr>
            <w:r w:rsidRPr="0028033B">
              <w:rPr>
                <w:rFonts w:cs="Calibri"/>
                <w:szCs w:val="16"/>
              </w:rPr>
              <w:t>T1</w:t>
            </w:r>
          </w:p>
        </w:tc>
        <w:tc>
          <w:tcPr>
            <w:tcW w:w="828" w:type="dxa"/>
            <w:tcBorders>
              <w:left w:val="nil"/>
              <w:bottom w:val="single" w:sz="4" w:space="0" w:color="1B556B"/>
              <w:right w:val="nil"/>
            </w:tcBorders>
            <w:noWrap/>
            <w:vAlign w:val="center"/>
            <w:hideMark/>
          </w:tcPr>
          <w:p w14:paraId="04C340E9" w14:textId="77777777" w:rsidR="00E46639" w:rsidRPr="0028033B" w:rsidRDefault="00E46639" w:rsidP="00F16E23">
            <w:pPr>
              <w:pStyle w:val="TableText"/>
              <w:spacing w:before="30" w:after="20"/>
              <w:jc w:val="center"/>
              <w:rPr>
                <w:rFonts w:cs="Calibri"/>
                <w:szCs w:val="16"/>
              </w:rPr>
            </w:pPr>
            <w:r w:rsidRPr="0028033B">
              <w:rPr>
                <w:rFonts w:cs="Calibri"/>
                <w:szCs w:val="16"/>
              </w:rPr>
              <w:t>CS</w:t>
            </w:r>
          </w:p>
        </w:tc>
        <w:tc>
          <w:tcPr>
            <w:tcW w:w="829" w:type="dxa"/>
            <w:tcBorders>
              <w:left w:val="nil"/>
              <w:bottom w:val="single" w:sz="4" w:space="0" w:color="1B556B"/>
              <w:right w:val="nil"/>
            </w:tcBorders>
            <w:noWrap/>
            <w:vAlign w:val="center"/>
            <w:hideMark/>
          </w:tcPr>
          <w:p w14:paraId="519DEBE8" w14:textId="77777777" w:rsidR="00E46639" w:rsidRPr="0028033B" w:rsidRDefault="00E46639" w:rsidP="00F16E23">
            <w:pPr>
              <w:pStyle w:val="TableText"/>
              <w:spacing w:before="30" w:after="20"/>
              <w:jc w:val="center"/>
              <w:rPr>
                <w:rFonts w:cs="Calibri"/>
                <w:szCs w:val="16"/>
              </w:rPr>
            </w:pPr>
            <w:r w:rsidRPr="0028033B">
              <w:rPr>
                <w:rFonts w:cs="Calibri"/>
                <w:szCs w:val="16"/>
              </w:rPr>
              <w:t>T1</w:t>
            </w:r>
          </w:p>
        </w:tc>
        <w:tc>
          <w:tcPr>
            <w:tcW w:w="828" w:type="dxa"/>
            <w:tcBorders>
              <w:left w:val="nil"/>
              <w:bottom w:val="single" w:sz="4" w:space="0" w:color="1B556B"/>
              <w:right w:val="nil"/>
            </w:tcBorders>
            <w:noWrap/>
            <w:vAlign w:val="center"/>
            <w:hideMark/>
          </w:tcPr>
          <w:p w14:paraId="32700524" w14:textId="77777777" w:rsidR="00E46639" w:rsidRPr="0028033B" w:rsidRDefault="00E46639" w:rsidP="00F16E23">
            <w:pPr>
              <w:pStyle w:val="TableText"/>
              <w:spacing w:before="30" w:after="20"/>
              <w:jc w:val="center"/>
              <w:rPr>
                <w:rFonts w:cs="Calibri"/>
                <w:szCs w:val="16"/>
              </w:rPr>
            </w:pPr>
            <w:r w:rsidRPr="0028033B">
              <w:rPr>
                <w:rFonts w:cs="Calibri"/>
                <w:szCs w:val="16"/>
              </w:rPr>
              <w:t>CS</w:t>
            </w:r>
          </w:p>
        </w:tc>
        <w:tc>
          <w:tcPr>
            <w:tcW w:w="828" w:type="dxa"/>
            <w:tcBorders>
              <w:left w:val="nil"/>
              <w:bottom w:val="single" w:sz="4" w:space="0" w:color="1B556B"/>
              <w:right w:val="nil"/>
            </w:tcBorders>
            <w:noWrap/>
            <w:vAlign w:val="center"/>
            <w:hideMark/>
          </w:tcPr>
          <w:p w14:paraId="0E81F219"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left w:val="nil"/>
              <w:bottom w:val="single" w:sz="4" w:space="0" w:color="1B556B"/>
              <w:right w:val="nil"/>
            </w:tcBorders>
            <w:noWrap/>
            <w:vAlign w:val="center"/>
            <w:hideMark/>
          </w:tcPr>
          <w:p w14:paraId="2A316F84"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77FD9572" w14:textId="77777777" w:rsidTr="00F16E23">
        <w:tc>
          <w:tcPr>
            <w:tcW w:w="320" w:type="dxa"/>
            <w:vMerge w:val="restart"/>
            <w:tcBorders>
              <w:top w:val="single" w:sz="4" w:space="0" w:color="1B556B"/>
              <w:left w:val="nil"/>
              <w:bottom w:val="single" w:sz="8" w:space="0" w:color="365F91"/>
              <w:right w:val="nil"/>
            </w:tcBorders>
            <w:noWrap/>
            <w:vAlign w:val="center"/>
            <w:hideMark/>
          </w:tcPr>
          <w:p w14:paraId="3D33727D" w14:textId="77777777" w:rsidR="00E46639" w:rsidRPr="0028033B" w:rsidRDefault="00E46639" w:rsidP="00F16E23">
            <w:pPr>
              <w:pStyle w:val="TableText"/>
              <w:spacing w:before="20" w:after="20"/>
              <w:rPr>
                <w:rFonts w:cs="Calibri"/>
                <w:szCs w:val="16"/>
              </w:rPr>
            </w:pPr>
            <w:r w:rsidRPr="0028033B">
              <w:rPr>
                <w:rFonts w:cs="Calibri"/>
                <w:szCs w:val="16"/>
              </w:rPr>
              <w:t>4</w:t>
            </w:r>
          </w:p>
        </w:tc>
        <w:tc>
          <w:tcPr>
            <w:tcW w:w="3224" w:type="dxa"/>
            <w:tcBorders>
              <w:top w:val="single" w:sz="4" w:space="0" w:color="1B556B"/>
              <w:left w:val="nil"/>
              <w:bottom w:val="nil"/>
              <w:right w:val="nil"/>
            </w:tcBorders>
            <w:vAlign w:val="center"/>
            <w:hideMark/>
          </w:tcPr>
          <w:p w14:paraId="79BC05B1" w14:textId="77777777" w:rsidR="00E46639" w:rsidRPr="0028033B" w:rsidRDefault="00E46639" w:rsidP="00F16E23">
            <w:pPr>
              <w:pStyle w:val="TableText"/>
              <w:spacing w:before="20" w:after="20"/>
              <w:rPr>
                <w:rFonts w:cs="Calibri"/>
                <w:szCs w:val="16"/>
              </w:rPr>
            </w:pPr>
            <w:r w:rsidRPr="0028033B">
              <w:rPr>
                <w:rFonts w:cs="Calibri"/>
                <w:szCs w:val="16"/>
              </w:rPr>
              <w:t>Poultry</w:t>
            </w:r>
          </w:p>
        </w:tc>
        <w:tc>
          <w:tcPr>
            <w:tcW w:w="828" w:type="dxa"/>
            <w:tcBorders>
              <w:top w:val="single" w:sz="4" w:space="0" w:color="1B556B"/>
              <w:left w:val="nil"/>
              <w:bottom w:val="nil"/>
              <w:right w:val="nil"/>
            </w:tcBorders>
            <w:noWrap/>
            <w:vAlign w:val="center"/>
            <w:hideMark/>
          </w:tcPr>
          <w:p w14:paraId="3D3340CD" w14:textId="77777777" w:rsidR="00E46639" w:rsidRPr="0028033B" w:rsidRDefault="00E46639" w:rsidP="00F16E23">
            <w:pPr>
              <w:pStyle w:val="TableText"/>
              <w:spacing w:before="20" w:after="20"/>
              <w:jc w:val="center"/>
              <w:rPr>
                <w:rFonts w:cs="Calibri"/>
                <w:szCs w:val="16"/>
              </w:rPr>
            </w:pPr>
            <w:r w:rsidRPr="0028033B">
              <w:rPr>
                <w:rFonts w:cs="Calibri"/>
                <w:szCs w:val="16"/>
              </w:rPr>
              <w:t>T1</w:t>
            </w:r>
          </w:p>
        </w:tc>
        <w:tc>
          <w:tcPr>
            <w:tcW w:w="828" w:type="dxa"/>
            <w:tcBorders>
              <w:top w:val="single" w:sz="4" w:space="0" w:color="1B556B"/>
              <w:left w:val="nil"/>
              <w:bottom w:val="nil"/>
              <w:right w:val="nil"/>
            </w:tcBorders>
            <w:noWrap/>
            <w:vAlign w:val="center"/>
            <w:hideMark/>
          </w:tcPr>
          <w:p w14:paraId="7249C8B8" w14:textId="77777777" w:rsidR="00E46639" w:rsidRPr="0028033B" w:rsidRDefault="00E46639" w:rsidP="00F16E23">
            <w:pPr>
              <w:pStyle w:val="TableText"/>
              <w:spacing w:before="20" w:after="20"/>
              <w:jc w:val="center"/>
              <w:rPr>
                <w:rFonts w:cs="Calibri"/>
                <w:szCs w:val="16"/>
              </w:rPr>
            </w:pPr>
            <w:r w:rsidRPr="0028033B">
              <w:rPr>
                <w:rFonts w:cs="Calibri"/>
                <w:szCs w:val="16"/>
              </w:rPr>
              <w:t>D</w:t>
            </w:r>
          </w:p>
        </w:tc>
        <w:tc>
          <w:tcPr>
            <w:tcW w:w="829" w:type="dxa"/>
            <w:tcBorders>
              <w:top w:val="single" w:sz="4" w:space="0" w:color="1B556B"/>
              <w:left w:val="nil"/>
              <w:bottom w:val="nil"/>
              <w:right w:val="nil"/>
            </w:tcBorders>
            <w:noWrap/>
            <w:vAlign w:val="center"/>
            <w:hideMark/>
          </w:tcPr>
          <w:p w14:paraId="13A6294B" w14:textId="77777777" w:rsidR="00E46639" w:rsidRPr="0028033B" w:rsidRDefault="00E46639" w:rsidP="00F16E23">
            <w:pPr>
              <w:pStyle w:val="TableText"/>
              <w:spacing w:before="20" w:after="20"/>
              <w:jc w:val="center"/>
              <w:rPr>
                <w:rFonts w:cs="Calibri"/>
                <w:szCs w:val="16"/>
              </w:rPr>
            </w:pPr>
            <w:r w:rsidRPr="0028033B">
              <w:rPr>
                <w:rFonts w:cs="Calibri"/>
                <w:szCs w:val="16"/>
              </w:rPr>
              <w:t>T1</w:t>
            </w:r>
          </w:p>
        </w:tc>
        <w:tc>
          <w:tcPr>
            <w:tcW w:w="828" w:type="dxa"/>
            <w:tcBorders>
              <w:top w:val="single" w:sz="4" w:space="0" w:color="1B556B"/>
              <w:left w:val="nil"/>
              <w:bottom w:val="nil"/>
              <w:right w:val="nil"/>
            </w:tcBorders>
            <w:noWrap/>
            <w:vAlign w:val="center"/>
            <w:hideMark/>
          </w:tcPr>
          <w:p w14:paraId="688ACBD4"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8" w:type="dxa"/>
            <w:tcBorders>
              <w:top w:val="single" w:sz="4" w:space="0" w:color="1B556B"/>
              <w:left w:val="nil"/>
              <w:bottom w:val="nil"/>
              <w:right w:val="nil"/>
            </w:tcBorders>
            <w:noWrap/>
            <w:vAlign w:val="center"/>
            <w:hideMark/>
          </w:tcPr>
          <w:p w14:paraId="2FBA7CF4"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single" w:sz="4" w:space="0" w:color="1B556B"/>
              <w:left w:val="nil"/>
              <w:bottom w:val="nil"/>
              <w:right w:val="nil"/>
            </w:tcBorders>
            <w:noWrap/>
            <w:vAlign w:val="center"/>
            <w:hideMark/>
          </w:tcPr>
          <w:p w14:paraId="20585690"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537D351E" w14:textId="77777777" w:rsidTr="00F16E23">
        <w:tc>
          <w:tcPr>
            <w:tcW w:w="320" w:type="dxa"/>
            <w:vMerge/>
            <w:tcBorders>
              <w:top w:val="nil"/>
              <w:left w:val="nil"/>
              <w:bottom w:val="single" w:sz="4" w:space="0" w:color="1B556B"/>
              <w:right w:val="nil"/>
            </w:tcBorders>
            <w:vAlign w:val="center"/>
            <w:hideMark/>
          </w:tcPr>
          <w:p w14:paraId="565B2D06" w14:textId="77777777" w:rsidR="00E46639" w:rsidRPr="0028033B" w:rsidRDefault="00E46639" w:rsidP="00F16E23">
            <w:pPr>
              <w:pStyle w:val="TableText"/>
              <w:spacing w:before="30" w:after="20"/>
              <w:rPr>
                <w:rFonts w:cs="Calibri"/>
                <w:szCs w:val="16"/>
              </w:rPr>
            </w:pPr>
          </w:p>
        </w:tc>
        <w:tc>
          <w:tcPr>
            <w:tcW w:w="3224" w:type="dxa"/>
            <w:tcBorders>
              <w:top w:val="nil"/>
              <w:left w:val="nil"/>
              <w:bottom w:val="single" w:sz="4" w:space="0" w:color="1B556B"/>
              <w:right w:val="nil"/>
            </w:tcBorders>
            <w:vAlign w:val="center"/>
            <w:hideMark/>
          </w:tcPr>
          <w:p w14:paraId="02DB2DB4" w14:textId="77777777" w:rsidR="00E46639" w:rsidRPr="0028033B" w:rsidRDefault="00E46639" w:rsidP="00F16E23">
            <w:pPr>
              <w:pStyle w:val="TableText"/>
              <w:spacing w:before="30" w:after="20"/>
              <w:rPr>
                <w:rFonts w:cs="Calibri"/>
                <w:szCs w:val="16"/>
              </w:rPr>
            </w:pPr>
            <w:r w:rsidRPr="0028033B">
              <w:rPr>
                <w:rFonts w:cs="Calibri"/>
                <w:szCs w:val="16"/>
              </w:rPr>
              <w:t>Other livestock (camels, deer, goats, horses, mules and asses)</w:t>
            </w:r>
          </w:p>
        </w:tc>
        <w:tc>
          <w:tcPr>
            <w:tcW w:w="828" w:type="dxa"/>
            <w:tcBorders>
              <w:top w:val="nil"/>
              <w:left w:val="nil"/>
              <w:bottom w:val="single" w:sz="4" w:space="0" w:color="1B556B"/>
              <w:right w:val="nil"/>
            </w:tcBorders>
            <w:noWrap/>
            <w:vAlign w:val="center"/>
            <w:hideMark/>
          </w:tcPr>
          <w:p w14:paraId="2D7502CC" w14:textId="77777777" w:rsidR="00E46639" w:rsidRPr="0028033B" w:rsidRDefault="00E46639" w:rsidP="00F16E23">
            <w:pPr>
              <w:pStyle w:val="TableText"/>
              <w:spacing w:before="30" w:after="20"/>
              <w:jc w:val="center"/>
              <w:rPr>
                <w:rFonts w:cs="Calibri"/>
                <w:szCs w:val="16"/>
              </w:rPr>
            </w:pPr>
            <w:r w:rsidRPr="0028033B">
              <w:rPr>
                <w:rFonts w:cs="Calibri"/>
                <w:szCs w:val="16"/>
              </w:rPr>
              <w:t>T1, T2</w:t>
            </w:r>
          </w:p>
        </w:tc>
        <w:tc>
          <w:tcPr>
            <w:tcW w:w="828" w:type="dxa"/>
            <w:tcBorders>
              <w:top w:val="nil"/>
              <w:left w:val="nil"/>
              <w:bottom w:val="single" w:sz="4" w:space="0" w:color="1B556B"/>
              <w:right w:val="nil"/>
            </w:tcBorders>
            <w:noWrap/>
            <w:vAlign w:val="center"/>
            <w:hideMark/>
          </w:tcPr>
          <w:p w14:paraId="7CF90C9F" w14:textId="77777777" w:rsidR="00E46639" w:rsidRPr="0028033B" w:rsidRDefault="00E46639" w:rsidP="00F16E23">
            <w:pPr>
              <w:pStyle w:val="TableText"/>
              <w:spacing w:before="30" w:after="20"/>
              <w:jc w:val="center"/>
              <w:rPr>
                <w:rFonts w:cs="Calibri"/>
                <w:szCs w:val="16"/>
              </w:rPr>
            </w:pPr>
            <w:r w:rsidRPr="0028033B">
              <w:rPr>
                <w:rFonts w:cs="Calibri"/>
                <w:szCs w:val="16"/>
              </w:rPr>
              <w:t>CS, D</w:t>
            </w:r>
          </w:p>
        </w:tc>
        <w:tc>
          <w:tcPr>
            <w:tcW w:w="829" w:type="dxa"/>
            <w:tcBorders>
              <w:top w:val="nil"/>
              <w:left w:val="nil"/>
              <w:bottom w:val="single" w:sz="4" w:space="0" w:color="1B556B"/>
              <w:right w:val="nil"/>
            </w:tcBorders>
            <w:noWrap/>
            <w:vAlign w:val="center"/>
            <w:hideMark/>
          </w:tcPr>
          <w:p w14:paraId="79662FA9" w14:textId="77777777" w:rsidR="00E46639" w:rsidRPr="0028033B" w:rsidRDefault="00E46639" w:rsidP="00F16E23">
            <w:pPr>
              <w:pStyle w:val="TableText"/>
              <w:spacing w:before="30" w:after="20"/>
              <w:jc w:val="center"/>
              <w:rPr>
                <w:rFonts w:cs="Calibri"/>
                <w:szCs w:val="16"/>
              </w:rPr>
            </w:pPr>
            <w:r w:rsidRPr="0028033B">
              <w:rPr>
                <w:rFonts w:cs="Calibri"/>
                <w:szCs w:val="16"/>
              </w:rPr>
              <w:t>NA</w:t>
            </w:r>
          </w:p>
        </w:tc>
        <w:tc>
          <w:tcPr>
            <w:tcW w:w="828" w:type="dxa"/>
            <w:tcBorders>
              <w:top w:val="nil"/>
              <w:left w:val="nil"/>
              <w:bottom w:val="single" w:sz="4" w:space="0" w:color="1B556B"/>
              <w:right w:val="nil"/>
            </w:tcBorders>
            <w:noWrap/>
            <w:vAlign w:val="center"/>
            <w:hideMark/>
          </w:tcPr>
          <w:p w14:paraId="603F68FE" w14:textId="77777777" w:rsidR="00E46639" w:rsidRPr="0028033B" w:rsidRDefault="00E46639" w:rsidP="00F16E23">
            <w:pPr>
              <w:pStyle w:val="TableText"/>
              <w:spacing w:before="30" w:after="20"/>
              <w:jc w:val="center"/>
              <w:rPr>
                <w:rFonts w:cs="Calibri"/>
                <w:szCs w:val="16"/>
              </w:rPr>
            </w:pPr>
            <w:r w:rsidRPr="0028033B">
              <w:rPr>
                <w:rFonts w:cs="Calibri"/>
                <w:szCs w:val="16"/>
              </w:rPr>
              <w:t>NA</w:t>
            </w:r>
          </w:p>
        </w:tc>
        <w:tc>
          <w:tcPr>
            <w:tcW w:w="828" w:type="dxa"/>
            <w:tcBorders>
              <w:top w:val="nil"/>
              <w:left w:val="nil"/>
              <w:bottom w:val="single" w:sz="4" w:space="0" w:color="1B556B"/>
              <w:right w:val="nil"/>
            </w:tcBorders>
            <w:noWrap/>
            <w:vAlign w:val="center"/>
            <w:hideMark/>
          </w:tcPr>
          <w:p w14:paraId="7BABC930"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single" w:sz="4" w:space="0" w:color="1B556B"/>
              <w:right w:val="nil"/>
            </w:tcBorders>
            <w:noWrap/>
            <w:vAlign w:val="center"/>
            <w:hideMark/>
          </w:tcPr>
          <w:p w14:paraId="08522C61"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0516FE68" w14:textId="77777777" w:rsidTr="00F16E23">
        <w:tc>
          <w:tcPr>
            <w:tcW w:w="320" w:type="dxa"/>
            <w:tcBorders>
              <w:top w:val="single" w:sz="4" w:space="0" w:color="1B556B"/>
              <w:left w:val="nil"/>
              <w:bottom w:val="single" w:sz="4" w:space="0" w:color="1B556B"/>
              <w:right w:val="nil"/>
            </w:tcBorders>
            <w:noWrap/>
            <w:vAlign w:val="center"/>
            <w:hideMark/>
          </w:tcPr>
          <w:p w14:paraId="056B9C5D" w14:textId="77777777" w:rsidR="00E46639" w:rsidRPr="0028033B" w:rsidRDefault="00E46639" w:rsidP="00F16E23">
            <w:pPr>
              <w:pStyle w:val="TableText"/>
              <w:spacing w:before="30" w:after="20"/>
              <w:rPr>
                <w:rFonts w:cs="Calibri"/>
                <w:b/>
                <w:bCs/>
                <w:szCs w:val="16"/>
              </w:rPr>
            </w:pPr>
            <w:r w:rsidRPr="0028033B">
              <w:rPr>
                <w:rFonts w:cs="Calibri"/>
                <w:b/>
                <w:bCs/>
                <w:szCs w:val="16"/>
              </w:rPr>
              <w:t>C</w:t>
            </w:r>
          </w:p>
        </w:tc>
        <w:tc>
          <w:tcPr>
            <w:tcW w:w="3224" w:type="dxa"/>
            <w:tcBorders>
              <w:top w:val="single" w:sz="4" w:space="0" w:color="1B556B"/>
              <w:left w:val="nil"/>
              <w:bottom w:val="single" w:sz="4" w:space="0" w:color="1B556B"/>
              <w:right w:val="nil"/>
            </w:tcBorders>
            <w:vAlign w:val="center"/>
            <w:hideMark/>
          </w:tcPr>
          <w:p w14:paraId="0C5A54CF" w14:textId="77777777" w:rsidR="00E46639" w:rsidRPr="0028033B" w:rsidRDefault="00E46639" w:rsidP="00F16E23">
            <w:pPr>
              <w:pStyle w:val="TableText"/>
              <w:spacing w:before="30" w:after="20"/>
              <w:rPr>
                <w:rFonts w:cs="Calibri"/>
                <w:b/>
                <w:bCs/>
                <w:szCs w:val="16"/>
              </w:rPr>
            </w:pPr>
            <w:r w:rsidRPr="0028033B">
              <w:rPr>
                <w:rFonts w:cs="Calibri"/>
                <w:b/>
                <w:bCs/>
                <w:szCs w:val="16"/>
              </w:rPr>
              <w:t>Rice cultivation</w:t>
            </w:r>
          </w:p>
        </w:tc>
        <w:tc>
          <w:tcPr>
            <w:tcW w:w="828" w:type="dxa"/>
            <w:tcBorders>
              <w:top w:val="single" w:sz="4" w:space="0" w:color="1B556B"/>
              <w:left w:val="nil"/>
              <w:bottom w:val="single" w:sz="4" w:space="0" w:color="1B556B"/>
              <w:right w:val="nil"/>
            </w:tcBorders>
            <w:noWrap/>
            <w:vAlign w:val="center"/>
            <w:hideMark/>
          </w:tcPr>
          <w:p w14:paraId="00744572" w14:textId="77777777" w:rsidR="00E46639" w:rsidRPr="0028033B" w:rsidRDefault="00E46639" w:rsidP="00F16E23">
            <w:pPr>
              <w:pStyle w:val="TableText"/>
              <w:spacing w:before="30" w:after="20"/>
              <w:jc w:val="center"/>
              <w:rPr>
                <w:rFonts w:cs="Calibri"/>
                <w:szCs w:val="16"/>
              </w:rPr>
            </w:pPr>
            <w:r w:rsidRPr="0028033B">
              <w:rPr>
                <w:rFonts w:cs="Calibri"/>
                <w:szCs w:val="16"/>
              </w:rPr>
              <w:t>NA</w:t>
            </w:r>
          </w:p>
        </w:tc>
        <w:tc>
          <w:tcPr>
            <w:tcW w:w="828" w:type="dxa"/>
            <w:tcBorders>
              <w:top w:val="single" w:sz="4" w:space="0" w:color="1B556B"/>
              <w:left w:val="nil"/>
              <w:bottom w:val="single" w:sz="4" w:space="0" w:color="1B556B"/>
              <w:right w:val="nil"/>
            </w:tcBorders>
            <w:noWrap/>
            <w:vAlign w:val="center"/>
            <w:hideMark/>
          </w:tcPr>
          <w:p w14:paraId="0798DB64" w14:textId="77777777" w:rsidR="00E46639" w:rsidRPr="0028033B" w:rsidRDefault="00E46639" w:rsidP="00F16E23">
            <w:pPr>
              <w:pStyle w:val="TableText"/>
              <w:spacing w:before="30" w:after="20"/>
              <w:jc w:val="center"/>
              <w:rPr>
                <w:rFonts w:cs="Calibri"/>
                <w:szCs w:val="16"/>
              </w:rPr>
            </w:pPr>
            <w:r w:rsidRPr="0028033B">
              <w:rPr>
                <w:rFonts w:cs="Calibri"/>
                <w:szCs w:val="16"/>
              </w:rPr>
              <w:t>NA</w:t>
            </w:r>
          </w:p>
        </w:tc>
        <w:tc>
          <w:tcPr>
            <w:tcW w:w="829" w:type="dxa"/>
            <w:tcBorders>
              <w:top w:val="single" w:sz="4" w:space="0" w:color="1B556B"/>
              <w:left w:val="nil"/>
              <w:bottom w:val="single" w:sz="4" w:space="0" w:color="1B556B"/>
              <w:right w:val="nil"/>
            </w:tcBorders>
            <w:noWrap/>
            <w:vAlign w:val="center"/>
            <w:hideMark/>
          </w:tcPr>
          <w:p w14:paraId="0E254EEB"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48514634"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8" w:type="dxa"/>
            <w:tcBorders>
              <w:top w:val="single" w:sz="4" w:space="0" w:color="1B556B"/>
              <w:left w:val="nil"/>
              <w:bottom w:val="single" w:sz="4" w:space="0" w:color="1B556B"/>
              <w:right w:val="nil"/>
            </w:tcBorders>
            <w:noWrap/>
            <w:vAlign w:val="center"/>
            <w:hideMark/>
          </w:tcPr>
          <w:p w14:paraId="70FF1D41"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single" w:sz="4" w:space="0" w:color="1B556B"/>
              <w:left w:val="nil"/>
              <w:bottom w:val="single" w:sz="4" w:space="0" w:color="1B556B"/>
              <w:right w:val="nil"/>
            </w:tcBorders>
            <w:noWrap/>
            <w:vAlign w:val="center"/>
            <w:hideMark/>
          </w:tcPr>
          <w:p w14:paraId="06123F67"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7D974DF3" w14:textId="77777777" w:rsidTr="00F16E23">
        <w:tc>
          <w:tcPr>
            <w:tcW w:w="320" w:type="dxa"/>
            <w:tcBorders>
              <w:top w:val="single" w:sz="4" w:space="0" w:color="1B556B"/>
              <w:left w:val="nil"/>
              <w:bottom w:val="single" w:sz="4" w:space="0" w:color="1B556B"/>
              <w:right w:val="nil"/>
            </w:tcBorders>
            <w:noWrap/>
            <w:vAlign w:val="center"/>
            <w:hideMark/>
          </w:tcPr>
          <w:p w14:paraId="5E2A80CB" w14:textId="77777777" w:rsidR="00E46639" w:rsidRPr="0028033B" w:rsidRDefault="00E46639" w:rsidP="00F16E23">
            <w:pPr>
              <w:pStyle w:val="TableText"/>
              <w:spacing w:before="30" w:after="20"/>
              <w:rPr>
                <w:rFonts w:cs="Calibri"/>
                <w:b/>
                <w:bCs/>
                <w:szCs w:val="16"/>
              </w:rPr>
            </w:pPr>
            <w:r w:rsidRPr="0028033B">
              <w:rPr>
                <w:rFonts w:cs="Calibri"/>
                <w:b/>
                <w:bCs/>
                <w:szCs w:val="16"/>
              </w:rPr>
              <w:t>D</w:t>
            </w:r>
          </w:p>
        </w:tc>
        <w:tc>
          <w:tcPr>
            <w:tcW w:w="3224" w:type="dxa"/>
            <w:tcBorders>
              <w:top w:val="single" w:sz="4" w:space="0" w:color="1B556B"/>
              <w:left w:val="nil"/>
              <w:bottom w:val="single" w:sz="4" w:space="0" w:color="1B556B"/>
              <w:right w:val="nil"/>
            </w:tcBorders>
            <w:vAlign w:val="center"/>
            <w:hideMark/>
          </w:tcPr>
          <w:p w14:paraId="1F9BE19C" w14:textId="77777777" w:rsidR="00E46639" w:rsidRPr="0028033B" w:rsidRDefault="00E46639" w:rsidP="00F16E23">
            <w:pPr>
              <w:pStyle w:val="TableText"/>
              <w:spacing w:before="30" w:after="20"/>
              <w:rPr>
                <w:rFonts w:cs="Calibri"/>
                <w:b/>
                <w:bCs/>
                <w:szCs w:val="16"/>
              </w:rPr>
            </w:pPr>
            <w:r w:rsidRPr="0028033B">
              <w:rPr>
                <w:rFonts w:cs="Calibri"/>
                <w:b/>
                <w:bCs/>
                <w:szCs w:val="16"/>
              </w:rPr>
              <w:t>Agricultural soils</w:t>
            </w:r>
          </w:p>
        </w:tc>
        <w:tc>
          <w:tcPr>
            <w:tcW w:w="828" w:type="dxa"/>
            <w:tcBorders>
              <w:top w:val="single" w:sz="4" w:space="0" w:color="1B556B"/>
              <w:left w:val="nil"/>
              <w:bottom w:val="single" w:sz="4" w:space="0" w:color="1B556B"/>
              <w:right w:val="nil"/>
            </w:tcBorders>
            <w:noWrap/>
            <w:vAlign w:val="center"/>
            <w:hideMark/>
          </w:tcPr>
          <w:p w14:paraId="3A2AECCC"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single" w:sz="4" w:space="0" w:color="1B556B"/>
              <w:right w:val="nil"/>
            </w:tcBorders>
            <w:noWrap/>
            <w:vAlign w:val="center"/>
            <w:hideMark/>
          </w:tcPr>
          <w:p w14:paraId="1BCB20C2"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single" w:sz="4" w:space="0" w:color="1B556B"/>
              <w:right w:val="nil"/>
            </w:tcBorders>
            <w:noWrap/>
            <w:vAlign w:val="center"/>
            <w:hideMark/>
          </w:tcPr>
          <w:p w14:paraId="5AB4735D"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single" w:sz="4" w:space="0" w:color="1B556B"/>
              <w:right w:val="nil"/>
            </w:tcBorders>
            <w:noWrap/>
            <w:vAlign w:val="center"/>
            <w:hideMark/>
          </w:tcPr>
          <w:p w14:paraId="57BA9C29"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single" w:sz="4" w:space="0" w:color="1B556B"/>
              <w:right w:val="nil"/>
            </w:tcBorders>
            <w:noWrap/>
            <w:vAlign w:val="center"/>
            <w:hideMark/>
          </w:tcPr>
          <w:p w14:paraId="2D05C7E2"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single" w:sz="4" w:space="0" w:color="1B556B"/>
              <w:right w:val="nil"/>
            </w:tcBorders>
            <w:noWrap/>
            <w:vAlign w:val="center"/>
            <w:hideMark/>
          </w:tcPr>
          <w:p w14:paraId="51D1EDA9"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r>
      <w:tr w:rsidR="00E46639" w:rsidRPr="0028033B" w14:paraId="11FE58CC" w14:textId="77777777" w:rsidTr="00F16E23">
        <w:tc>
          <w:tcPr>
            <w:tcW w:w="320" w:type="dxa"/>
            <w:vMerge w:val="restart"/>
            <w:tcBorders>
              <w:top w:val="single" w:sz="4" w:space="0" w:color="1B556B"/>
              <w:left w:val="nil"/>
              <w:right w:val="nil"/>
            </w:tcBorders>
            <w:noWrap/>
            <w:vAlign w:val="center"/>
            <w:hideMark/>
          </w:tcPr>
          <w:p w14:paraId="30965026" w14:textId="77777777" w:rsidR="00E46639" w:rsidRPr="0028033B" w:rsidRDefault="00E46639" w:rsidP="00F16E23">
            <w:pPr>
              <w:pStyle w:val="TableText"/>
              <w:spacing w:before="20" w:after="20"/>
              <w:rPr>
                <w:rFonts w:cs="Calibri"/>
                <w:szCs w:val="16"/>
              </w:rPr>
            </w:pPr>
            <w:r w:rsidRPr="0028033B">
              <w:rPr>
                <w:rFonts w:cs="Calibri"/>
                <w:szCs w:val="16"/>
              </w:rPr>
              <w:t>1</w:t>
            </w:r>
          </w:p>
        </w:tc>
        <w:tc>
          <w:tcPr>
            <w:tcW w:w="3224" w:type="dxa"/>
            <w:tcBorders>
              <w:top w:val="single" w:sz="4" w:space="0" w:color="1B556B"/>
              <w:left w:val="nil"/>
              <w:bottom w:val="nil"/>
              <w:right w:val="nil"/>
            </w:tcBorders>
            <w:vAlign w:val="center"/>
            <w:hideMark/>
          </w:tcPr>
          <w:p w14:paraId="118D98CD" w14:textId="77777777" w:rsidR="00E46639" w:rsidRPr="0028033B" w:rsidRDefault="00E46639" w:rsidP="00F16E23">
            <w:pPr>
              <w:pStyle w:val="TableText"/>
              <w:spacing w:before="20" w:after="20"/>
              <w:rPr>
                <w:rFonts w:cs="Calibri"/>
                <w:szCs w:val="16"/>
              </w:rPr>
            </w:pPr>
            <w:r w:rsidRPr="0028033B">
              <w:rPr>
                <w:rFonts w:cs="Calibri"/>
                <w:szCs w:val="16"/>
              </w:rPr>
              <w:t xml:space="preserve">Direct emissions </w:t>
            </w:r>
          </w:p>
        </w:tc>
        <w:tc>
          <w:tcPr>
            <w:tcW w:w="828" w:type="dxa"/>
            <w:tcBorders>
              <w:top w:val="single" w:sz="4" w:space="0" w:color="1B556B"/>
              <w:left w:val="nil"/>
              <w:bottom w:val="nil"/>
              <w:right w:val="nil"/>
            </w:tcBorders>
            <w:noWrap/>
            <w:vAlign w:val="center"/>
            <w:hideMark/>
          </w:tcPr>
          <w:p w14:paraId="002B9F88"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2493DA95"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noWrap/>
            <w:vAlign w:val="center"/>
            <w:hideMark/>
          </w:tcPr>
          <w:p w14:paraId="5735461E"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31CFD9C5"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0DE2317D"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noWrap/>
            <w:vAlign w:val="center"/>
            <w:hideMark/>
          </w:tcPr>
          <w:p w14:paraId="3991307F"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r>
      <w:tr w:rsidR="00E46639" w:rsidRPr="0028033B" w14:paraId="2ABEBDEB" w14:textId="77777777" w:rsidTr="00F16E23">
        <w:tc>
          <w:tcPr>
            <w:tcW w:w="320" w:type="dxa"/>
            <w:vMerge/>
            <w:tcBorders>
              <w:top w:val="single" w:sz="8" w:space="0" w:color="365F91"/>
              <w:left w:val="nil"/>
              <w:right w:val="nil"/>
            </w:tcBorders>
            <w:vAlign w:val="center"/>
            <w:hideMark/>
          </w:tcPr>
          <w:p w14:paraId="65A149B9"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77962036" w14:textId="77777777" w:rsidR="00E46639" w:rsidRPr="0028033B" w:rsidRDefault="00E46639" w:rsidP="00F16E23">
            <w:pPr>
              <w:pStyle w:val="TableText"/>
              <w:spacing w:before="20" w:after="20"/>
              <w:rPr>
                <w:rFonts w:cs="Calibri"/>
                <w:szCs w:val="16"/>
              </w:rPr>
            </w:pPr>
            <w:r w:rsidRPr="0028033B">
              <w:rPr>
                <w:rFonts w:cs="Calibri"/>
                <w:szCs w:val="16"/>
              </w:rPr>
              <w:t>Synthetic fertilisers</w:t>
            </w:r>
          </w:p>
        </w:tc>
        <w:tc>
          <w:tcPr>
            <w:tcW w:w="828" w:type="dxa"/>
            <w:tcBorders>
              <w:top w:val="nil"/>
              <w:left w:val="nil"/>
              <w:bottom w:val="nil"/>
              <w:right w:val="nil"/>
            </w:tcBorders>
            <w:noWrap/>
            <w:vAlign w:val="center"/>
            <w:hideMark/>
          </w:tcPr>
          <w:p w14:paraId="555EA7EF"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2B5D6074"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384A19CF" w14:textId="77777777" w:rsidR="00E46639" w:rsidRPr="0028033B" w:rsidRDefault="00E46639" w:rsidP="00F16E23">
            <w:pPr>
              <w:pStyle w:val="TableText"/>
              <w:spacing w:before="20" w:after="20"/>
              <w:jc w:val="center"/>
              <w:rPr>
                <w:rFonts w:cs="Calibri"/>
                <w:szCs w:val="16"/>
              </w:rPr>
            </w:pPr>
            <w:hyperlink r:id="rId95" w:history="1">
              <w:r w:rsidRPr="0028033B">
                <w:rPr>
                  <w:rFonts w:cs="Calibri"/>
                  <w:szCs w:val="16"/>
                </w:rPr>
                <w:t>T2</w:t>
              </w:r>
            </w:hyperlink>
          </w:p>
        </w:tc>
        <w:tc>
          <w:tcPr>
            <w:tcW w:w="828" w:type="dxa"/>
            <w:tcBorders>
              <w:top w:val="nil"/>
              <w:left w:val="nil"/>
              <w:bottom w:val="nil"/>
              <w:right w:val="nil"/>
            </w:tcBorders>
            <w:noWrap/>
            <w:vAlign w:val="center"/>
            <w:hideMark/>
          </w:tcPr>
          <w:p w14:paraId="0DCCE19C"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8" w:type="dxa"/>
            <w:tcBorders>
              <w:top w:val="nil"/>
              <w:left w:val="nil"/>
              <w:bottom w:val="nil"/>
              <w:right w:val="nil"/>
            </w:tcBorders>
            <w:noWrap/>
            <w:vAlign w:val="center"/>
            <w:hideMark/>
          </w:tcPr>
          <w:p w14:paraId="07F7D51F"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49B7C99F"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2070D8A4" w14:textId="77777777" w:rsidTr="00F16E23">
        <w:tc>
          <w:tcPr>
            <w:tcW w:w="320" w:type="dxa"/>
            <w:vMerge/>
            <w:tcBorders>
              <w:top w:val="single" w:sz="8" w:space="0" w:color="365F91"/>
              <w:left w:val="nil"/>
              <w:right w:val="nil"/>
            </w:tcBorders>
            <w:vAlign w:val="center"/>
            <w:hideMark/>
          </w:tcPr>
          <w:p w14:paraId="72889C16"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7DD8EF46" w14:textId="77777777" w:rsidR="00E46639" w:rsidRPr="0028033B" w:rsidRDefault="00E46639" w:rsidP="00F16E23">
            <w:pPr>
              <w:pStyle w:val="TableText"/>
              <w:spacing w:before="20" w:after="20"/>
              <w:rPr>
                <w:rFonts w:cs="Calibri"/>
                <w:szCs w:val="16"/>
              </w:rPr>
            </w:pPr>
            <w:r w:rsidRPr="0028033B">
              <w:rPr>
                <w:rFonts w:cs="Calibri"/>
                <w:szCs w:val="16"/>
              </w:rPr>
              <w:t>Animal manure applied to soils</w:t>
            </w:r>
          </w:p>
        </w:tc>
        <w:tc>
          <w:tcPr>
            <w:tcW w:w="828" w:type="dxa"/>
            <w:tcBorders>
              <w:top w:val="nil"/>
              <w:left w:val="nil"/>
              <w:bottom w:val="nil"/>
              <w:right w:val="nil"/>
            </w:tcBorders>
            <w:noWrap/>
            <w:vAlign w:val="center"/>
            <w:hideMark/>
          </w:tcPr>
          <w:p w14:paraId="0660573B"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38FF1D38"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2E10BC52" w14:textId="77777777" w:rsidR="00E46639" w:rsidRPr="0028033B" w:rsidRDefault="00E46639" w:rsidP="00F16E23">
            <w:pPr>
              <w:pStyle w:val="TableText"/>
              <w:spacing w:before="20" w:after="20"/>
              <w:jc w:val="center"/>
              <w:rPr>
                <w:rFonts w:cs="Calibri"/>
                <w:szCs w:val="16"/>
              </w:rPr>
            </w:pPr>
            <w:r w:rsidRPr="0028033B">
              <w:rPr>
                <w:rFonts w:cs="Calibri"/>
                <w:szCs w:val="16"/>
              </w:rPr>
              <w:t>T1, T2</w:t>
            </w:r>
          </w:p>
        </w:tc>
        <w:tc>
          <w:tcPr>
            <w:tcW w:w="828" w:type="dxa"/>
            <w:tcBorders>
              <w:top w:val="nil"/>
              <w:left w:val="nil"/>
              <w:bottom w:val="nil"/>
              <w:right w:val="nil"/>
            </w:tcBorders>
            <w:noWrap/>
            <w:vAlign w:val="center"/>
            <w:hideMark/>
          </w:tcPr>
          <w:p w14:paraId="53155A7F"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8" w:type="dxa"/>
            <w:tcBorders>
              <w:top w:val="nil"/>
              <w:left w:val="nil"/>
              <w:bottom w:val="nil"/>
              <w:right w:val="nil"/>
            </w:tcBorders>
            <w:noWrap/>
            <w:vAlign w:val="center"/>
            <w:hideMark/>
          </w:tcPr>
          <w:p w14:paraId="753DA9A1"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59A16A1E"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2A8ED505" w14:textId="77777777" w:rsidTr="00F16E23">
        <w:tc>
          <w:tcPr>
            <w:tcW w:w="320" w:type="dxa"/>
            <w:vMerge/>
            <w:tcBorders>
              <w:top w:val="single" w:sz="8" w:space="0" w:color="365F91"/>
              <w:left w:val="nil"/>
              <w:right w:val="nil"/>
            </w:tcBorders>
            <w:vAlign w:val="center"/>
            <w:hideMark/>
          </w:tcPr>
          <w:p w14:paraId="2433D9F5"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743D3F54" w14:textId="77777777" w:rsidR="00E46639" w:rsidRPr="0028033B" w:rsidRDefault="00E46639" w:rsidP="00F16E23">
            <w:pPr>
              <w:pStyle w:val="TableText"/>
              <w:spacing w:before="20" w:after="20"/>
              <w:rPr>
                <w:rFonts w:cs="Calibri"/>
                <w:szCs w:val="16"/>
              </w:rPr>
            </w:pPr>
            <w:r w:rsidRPr="0028033B">
              <w:rPr>
                <w:rFonts w:cs="Calibri"/>
                <w:szCs w:val="16"/>
              </w:rPr>
              <w:t>Sewage sludge applied to soils</w:t>
            </w:r>
          </w:p>
        </w:tc>
        <w:tc>
          <w:tcPr>
            <w:tcW w:w="828" w:type="dxa"/>
            <w:tcBorders>
              <w:top w:val="nil"/>
              <w:left w:val="nil"/>
              <w:bottom w:val="nil"/>
              <w:right w:val="nil"/>
            </w:tcBorders>
            <w:noWrap/>
            <w:vAlign w:val="center"/>
            <w:hideMark/>
          </w:tcPr>
          <w:p w14:paraId="6CB3639D"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39015FAB"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04BFF0AD" w14:textId="77777777" w:rsidR="00E46639" w:rsidRPr="0028033B" w:rsidRDefault="00E46639" w:rsidP="00F16E23">
            <w:pPr>
              <w:pStyle w:val="TableText"/>
              <w:spacing w:before="20" w:after="20"/>
              <w:jc w:val="center"/>
              <w:rPr>
                <w:rFonts w:cs="Calibri"/>
                <w:szCs w:val="16"/>
              </w:rPr>
            </w:pPr>
            <w:r w:rsidRPr="0028033B">
              <w:rPr>
                <w:rFonts w:cs="Calibri"/>
                <w:szCs w:val="16"/>
              </w:rPr>
              <w:t>NA</w:t>
            </w:r>
          </w:p>
        </w:tc>
        <w:tc>
          <w:tcPr>
            <w:tcW w:w="828" w:type="dxa"/>
            <w:tcBorders>
              <w:top w:val="nil"/>
              <w:left w:val="nil"/>
              <w:bottom w:val="nil"/>
              <w:right w:val="nil"/>
            </w:tcBorders>
            <w:noWrap/>
            <w:vAlign w:val="center"/>
            <w:hideMark/>
          </w:tcPr>
          <w:p w14:paraId="5280D03F" w14:textId="77777777" w:rsidR="00E46639" w:rsidRPr="0028033B" w:rsidRDefault="00E46639" w:rsidP="00F16E23">
            <w:pPr>
              <w:pStyle w:val="TableText"/>
              <w:spacing w:before="20" w:after="20"/>
              <w:jc w:val="center"/>
              <w:rPr>
                <w:rFonts w:cs="Calibri"/>
                <w:szCs w:val="16"/>
              </w:rPr>
            </w:pPr>
            <w:r w:rsidRPr="0028033B">
              <w:rPr>
                <w:rFonts w:cs="Calibri"/>
                <w:szCs w:val="16"/>
              </w:rPr>
              <w:t>NA</w:t>
            </w:r>
          </w:p>
        </w:tc>
        <w:tc>
          <w:tcPr>
            <w:tcW w:w="828" w:type="dxa"/>
            <w:tcBorders>
              <w:top w:val="nil"/>
              <w:left w:val="nil"/>
              <w:bottom w:val="nil"/>
              <w:right w:val="nil"/>
            </w:tcBorders>
            <w:noWrap/>
            <w:vAlign w:val="center"/>
            <w:hideMark/>
          </w:tcPr>
          <w:p w14:paraId="32C1F1F4"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556BFB26"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40B19696" w14:textId="77777777" w:rsidTr="00F16E23">
        <w:tc>
          <w:tcPr>
            <w:tcW w:w="320" w:type="dxa"/>
            <w:vMerge/>
            <w:tcBorders>
              <w:top w:val="single" w:sz="8" w:space="0" w:color="365F91"/>
              <w:left w:val="nil"/>
              <w:right w:val="nil"/>
            </w:tcBorders>
            <w:vAlign w:val="center"/>
            <w:hideMark/>
          </w:tcPr>
          <w:p w14:paraId="448EF017"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3A9D82F0" w14:textId="77777777" w:rsidR="00E46639" w:rsidRPr="0028033B" w:rsidRDefault="00E46639" w:rsidP="00F16E23">
            <w:pPr>
              <w:pStyle w:val="TableText"/>
              <w:spacing w:before="20" w:after="20"/>
              <w:rPr>
                <w:rFonts w:cs="Calibri"/>
                <w:szCs w:val="16"/>
              </w:rPr>
            </w:pPr>
            <w:r w:rsidRPr="0028033B">
              <w:rPr>
                <w:rFonts w:cs="Calibri"/>
                <w:szCs w:val="16"/>
              </w:rPr>
              <w:t>Other organic fertilisers applied to soils</w:t>
            </w:r>
          </w:p>
        </w:tc>
        <w:tc>
          <w:tcPr>
            <w:tcW w:w="828" w:type="dxa"/>
            <w:tcBorders>
              <w:top w:val="nil"/>
              <w:left w:val="nil"/>
              <w:bottom w:val="nil"/>
              <w:right w:val="nil"/>
            </w:tcBorders>
            <w:noWrap/>
            <w:vAlign w:val="center"/>
            <w:hideMark/>
          </w:tcPr>
          <w:p w14:paraId="47B51032"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083B344C"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6251EAD3" w14:textId="77777777" w:rsidR="00E46639" w:rsidRPr="0028033B" w:rsidRDefault="00E46639" w:rsidP="00F16E23">
            <w:pPr>
              <w:pStyle w:val="TableText"/>
              <w:spacing w:before="20" w:after="20"/>
              <w:jc w:val="center"/>
              <w:rPr>
                <w:rFonts w:cs="Calibri"/>
                <w:szCs w:val="16"/>
              </w:rPr>
            </w:pPr>
            <w:r w:rsidRPr="0028033B">
              <w:rPr>
                <w:rFonts w:cs="Calibri"/>
                <w:szCs w:val="16"/>
              </w:rPr>
              <w:t>T1</w:t>
            </w:r>
          </w:p>
        </w:tc>
        <w:tc>
          <w:tcPr>
            <w:tcW w:w="828" w:type="dxa"/>
            <w:tcBorders>
              <w:top w:val="nil"/>
              <w:left w:val="nil"/>
              <w:bottom w:val="nil"/>
              <w:right w:val="nil"/>
            </w:tcBorders>
            <w:noWrap/>
            <w:vAlign w:val="center"/>
            <w:hideMark/>
          </w:tcPr>
          <w:p w14:paraId="7BAA88B9" w14:textId="77777777" w:rsidR="00E46639" w:rsidRPr="0028033B" w:rsidRDefault="00E46639" w:rsidP="00F16E23">
            <w:pPr>
              <w:pStyle w:val="TableText"/>
              <w:spacing w:before="20" w:after="20"/>
              <w:jc w:val="center"/>
              <w:rPr>
                <w:rFonts w:cs="Calibri"/>
                <w:szCs w:val="16"/>
              </w:rPr>
            </w:pPr>
            <w:r w:rsidRPr="0028033B">
              <w:rPr>
                <w:rFonts w:cs="Calibri"/>
                <w:szCs w:val="16"/>
              </w:rPr>
              <w:t>D</w:t>
            </w:r>
          </w:p>
        </w:tc>
        <w:tc>
          <w:tcPr>
            <w:tcW w:w="828" w:type="dxa"/>
            <w:tcBorders>
              <w:top w:val="nil"/>
              <w:left w:val="nil"/>
              <w:bottom w:val="nil"/>
              <w:right w:val="nil"/>
            </w:tcBorders>
            <w:noWrap/>
            <w:vAlign w:val="center"/>
            <w:hideMark/>
          </w:tcPr>
          <w:p w14:paraId="584C2CDF"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7D625707"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5F3107F9" w14:textId="77777777" w:rsidTr="00F16E23">
        <w:tc>
          <w:tcPr>
            <w:tcW w:w="320" w:type="dxa"/>
            <w:vMerge/>
            <w:tcBorders>
              <w:top w:val="single" w:sz="8" w:space="0" w:color="365F91"/>
              <w:left w:val="nil"/>
              <w:right w:val="nil"/>
            </w:tcBorders>
            <w:vAlign w:val="center"/>
            <w:hideMark/>
          </w:tcPr>
          <w:p w14:paraId="77EAD9D2"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07B34B9F" w14:textId="77777777" w:rsidR="00E46639" w:rsidRPr="0028033B" w:rsidRDefault="00E46639" w:rsidP="00F16E23">
            <w:pPr>
              <w:pStyle w:val="TableText"/>
              <w:spacing w:before="20" w:after="20"/>
              <w:rPr>
                <w:rFonts w:cs="Calibri"/>
                <w:szCs w:val="16"/>
              </w:rPr>
            </w:pPr>
            <w:r w:rsidRPr="0028033B">
              <w:rPr>
                <w:rFonts w:cs="Calibri"/>
                <w:szCs w:val="16"/>
              </w:rPr>
              <w:t>Urine and dung deposited by grazing animals</w:t>
            </w:r>
          </w:p>
        </w:tc>
        <w:tc>
          <w:tcPr>
            <w:tcW w:w="828" w:type="dxa"/>
            <w:tcBorders>
              <w:top w:val="nil"/>
              <w:left w:val="nil"/>
              <w:bottom w:val="nil"/>
              <w:right w:val="nil"/>
            </w:tcBorders>
            <w:noWrap/>
            <w:vAlign w:val="center"/>
            <w:hideMark/>
          </w:tcPr>
          <w:p w14:paraId="0468CFD5"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43F9D347"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622B2DC5" w14:textId="77777777" w:rsidR="00E46639" w:rsidRPr="0028033B" w:rsidRDefault="00E46639" w:rsidP="00F16E23">
            <w:pPr>
              <w:pStyle w:val="TableText"/>
              <w:spacing w:before="20" w:after="20"/>
              <w:jc w:val="center"/>
              <w:rPr>
                <w:rFonts w:cs="Calibri"/>
                <w:szCs w:val="16"/>
              </w:rPr>
            </w:pPr>
            <w:r w:rsidRPr="0028033B">
              <w:rPr>
                <w:rFonts w:cs="Calibri"/>
                <w:szCs w:val="16"/>
              </w:rPr>
              <w:t>T1, T2, T3</w:t>
            </w:r>
          </w:p>
        </w:tc>
        <w:tc>
          <w:tcPr>
            <w:tcW w:w="828" w:type="dxa"/>
            <w:tcBorders>
              <w:top w:val="nil"/>
              <w:left w:val="nil"/>
              <w:bottom w:val="nil"/>
              <w:right w:val="nil"/>
            </w:tcBorders>
            <w:noWrap/>
            <w:vAlign w:val="center"/>
            <w:hideMark/>
          </w:tcPr>
          <w:p w14:paraId="2D87DCBF"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8" w:type="dxa"/>
            <w:tcBorders>
              <w:top w:val="nil"/>
              <w:left w:val="nil"/>
              <w:bottom w:val="nil"/>
              <w:right w:val="nil"/>
            </w:tcBorders>
            <w:noWrap/>
            <w:vAlign w:val="center"/>
            <w:hideMark/>
          </w:tcPr>
          <w:p w14:paraId="502C60BB"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5187BB80"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508FD400" w14:textId="77777777" w:rsidTr="00F16E23">
        <w:tc>
          <w:tcPr>
            <w:tcW w:w="320" w:type="dxa"/>
            <w:vMerge/>
            <w:tcBorders>
              <w:top w:val="single" w:sz="8" w:space="0" w:color="365F91"/>
              <w:left w:val="nil"/>
              <w:right w:val="nil"/>
            </w:tcBorders>
            <w:vAlign w:val="center"/>
            <w:hideMark/>
          </w:tcPr>
          <w:p w14:paraId="770BB990"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17DACEEA" w14:textId="77777777" w:rsidR="00E46639" w:rsidRPr="0028033B" w:rsidRDefault="00E46639" w:rsidP="00F16E23">
            <w:pPr>
              <w:pStyle w:val="TableText"/>
              <w:spacing w:before="20" w:after="20"/>
              <w:rPr>
                <w:rFonts w:cs="Calibri"/>
                <w:szCs w:val="16"/>
              </w:rPr>
            </w:pPr>
            <w:r w:rsidRPr="0028033B">
              <w:rPr>
                <w:rFonts w:cs="Calibri"/>
                <w:szCs w:val="16"/>
              </w:rPr>
              <w:t>Crop residues</w:t>
            </w:r>
          </w:p>
        </w:tc>
        <w:tc>
          <w:tcPr>
            <w:tcW w:w="828" w:type="dxa"/>
            <w:tcBorders>
              <w:top w:val="nil"/>
              <w:left w:val="nil"/>
              <w:bottom w:val="nil"/>
              <w:right w:val="nil"/>
            </w:tcBorders>
            <w:noWrap/>
            <w:vAlign w:val="center"/>
            <w:hideMark/>
          </w:tcPr>
          <w:p w14:paraId="40409564"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08AFE184"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5E6B43AB" w14:textId="77777777" w:rsidR="00E46639" w:rsidRPr="0028033B" w:rsidRDefault="00E46639" w:rsidP="00F16E23">
            <w:pPr>
              <w:pStyle w:val="TableText"/>
              <w:spacing w:before="20" w:after="20"/>
              <w:jc w:val="center"/>
              <w:rPr>
                <w:rFonts w:cs="Calibri"/>
                <w:szCs w:val="16"/>
              </w:rPr>
            </w:pPr>
            <w:r w:rsidRPr="0028033B">
              <w:rPr>
                <w:rFonts w:cs="Calibri"/>
                <w:szCs w:val="16"/>
              </w:rPr>
              <w:t>T2</w:t>
            </w:r>
          </w:p>
        </w:tc>
        <w:tc>
          <w:tcPr>
            <w:tcW w:w="828" w:type="dxa"/>
            <w:tcBorders>
              <w:top w:val="nil"/>
              <w:left w:val="nil"/>
              <w:bottom w:val="nil"/>
              <w:right w:val="nil"/>
            </w:tcBorders>
            <w:noWrap/>
            <w:vAlign w:val="center"/>
            <w:hideMark/>
          </w:tcPr>
          <w:p w14:paraId="540FD23C" w14:textId="77777777" w:rsidR="00E46639" w:rsidRPr="0028033B" w:rsidRDefault="00E46639" w:rsidP="00F16E23">
            <w:pPr>
              <w:pStyle w:val="TableText"/>
              <w:spacing w:before="20" w:after="20"/>
              <w:jc w:val="center"/>
              <w:rPr>
                <w:rFonts w:cs="Calibri"/>
                <w:szCs w:val="16"/>
              </w:rPr>
            </w:pPr>
            <w:r w:rsidRPr="0028033B">
              <w:rPr>
                <w:rFonts w:cs="Calibri"/>
                <w:szCs w:val="16"/>
              </w:rPr>
              <w:t>CS</w:t>
            </w:r>
          </w:p>
        </w:tc>
        <w:tc>
          <w:tcPr>
            <w:tcW w:w="828" w:type="dxa"/>
            <w:tcBorders>
              <w:top w:val="nil"/>
              <w:left w:val="nil"/>
              <w:bottom w:val="nil"/>
              <w:right w:val="nil"/>
            </w:tcBorders>
            <w:noWrap/>
            <w:vAlign w:val="center"/>
            <w:hideMark/>
          </w:tcPr>
          <w:p w14:paraId="7E011CD6"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0BBC442B"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1EB2DDA2" w14:textId="77777777" w:rsidTr="00F16E23">
        <w:tc>
          <w:tcPr>
            <w:tcW w:w="320" w:type="dxa"/>
            <w:vMerge/>
            <w:tcBorders>
              <w:top w:val="single" w:sz="8" w:space="0" w:color="365F91"/>
              <w:left w:val="nil"/>
              <w:right w:val="nil"/>
            </w:tcBorders>
            <w:vAlign w:val="center"/>
            <w:hideMark/>
          </w:tcPr>
          <w:p w14:paraId="38C4EE8C" w14:textId="77777777" w:rsidR="00E46639" w:rsidRPr="0028033B" w:rsidRDefault="00E46639" w:rsidP="00F16E23">
            <w:pPr>
              <w:pStyle w:val="TableText"/>
              <w:spacing w:before="20" w:after="20"/>
              <w:rPr>
                <w:rFonts w:cs="Calibri"/>
                <w:szCs w:val="16"/>
              </w:rPr>
            </w:pPr>
          </w:p>
        </w:tc>
        <w:tc>
          <w:tcPr>
            <w:tcW w:w="3224" w:type="dxa"/>
            <w:tcBorders>
              <w:top w:val="nil"/>
              <w:left w:val="nil"/>
              <w:bottom w:val="nil"/>
              <w:right w:val="nil"/>
            </w:tcBorders>
            <w:vAlign w:val="center"/>
            <w:hideMark/>
          </w:tcPr>
          <w:p w14:paraId="760055EF" w14:textId="77777777" w:rsidR="00E46639" w:rsidRPr="0028033B" w:rsidRDefault="00E46639" w:rsidP="00F16E23">
            <w:pPr>
              <w:pStyle w:val="TableText"/>
              <w:spacing w:before="20" w:after="20"/>
              <w:rPr>
                <w:rFonts w:cs="Calibri"/>
                <w:szCs w:val="16"/>
              </w:rPr>
            </w:pPr>
            <w:r w:rsidRPr="0028033B">
              <w:rPr>
                <w:rFonts w:cs="Calibri"/>
                <w:szCs w:val="16"/>
              </w:rPr>
              <w:t>Mineralisation associated with loss of soil organic matter</w:t>
            </w:r>
          </w:p>
        </w:tc>
        <w:tc>
          <w:tcPr>
            <w:tcW w:w="828" w:type="dxa"/>
            <w:tcBorders>
              <w:top w:val="nil"/>
              <w:left w:val="nil"/>
              <w:bottom w:val="nil"/>
              <w:right w:val="nil"/>
            </w:tcBorders>
            <w:noWrap/>
            <w:vAlign w:val="center"/>
            <w:hideMark/>
          </w:tcPr>
          <w:p w14:paraId="05EDB34E"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0B046605"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42CA8783" w14:textId="77777777" w:rsidR="00E46639" w:rsidRPr="0028033B" w:rsidRDefault="00E46639" w:rsidP="00F16E23">
            <w:pPr>
              <w:pStyle w:val="TableText"/>
              <w:spacing w:before="20" w:after="20"/>
              <w:jc w:val="center"/>
              <w:rPr>
                <w:rFonts w:cs="Calibri"/>
                <w:szCs w:val="16"/>
              </w:rPr>
            </w:pPr>
            <w:r w:rsidRPr="0028033B">
              <w:rPr>
                <w:rFonts w:cs="Calibri"/>
                <w:szCs w:val="16"/>
              </w:rPr>
              <w:t>T1</w:t>
            </w:r>
          </w:p>
        </w:tc>
        <w:tc>
          <w:tcPr>
            <w:tcW w:w="828" w:type="dxa"/>
            <w:tcBorders>
              <w:top w:val="nil"/>
              <w:left w:val="nil"/>
              <w:bottom w:val="nil"/>
              <w:right w:val="nil"/>
            </w:tcBorders>
            <w:noWrap/>
            <w:vAlign w:val="center"/>
            <w:hideMark/>
          </w:tcPr>
          <w:p w14:paraId="6EBD812E" w14:textId="77777777" w:rsidR="00E46639" w:rsidRPr="0028033B" w:rsidRDefault="00E46639" w:rsidP="00F16E23">
            <w:pPr>
              <w:pStyle w:val="TableText"/>
              <w:spacing w:before="20" w:after="20"/>
              <w:jc w:val="center"/>
              <w:rPr>
                <w:rFonts w:cs="Calibri"/>
                <w:szCs w:val="16"/>
              </w:rPr>
            </w:pPr>
            <w:r w:rsidRPr="0028033B">
              <w:rPr>
                <w:rFonts w:cs="Calibri"/>
                <w:szCs w:val="16"/>
              </w:rPr>
              <w:t>D</w:t>
            </w:r>
          </w:p>
        </w:tc>
        <w:tc>
          <w:tcPr>
            <w:tcW w:w="828" w:type="dxa"/>
            <w:tcBorders>
              <w:top w:val="nil"/>
              <w:left w:val="nil"/>
              <w:bottom w:val="nil"/>
              <w:right w:val="nil"/>
            </w:tcBorders>
            <w:noWrap/>
            <w:vAlign w:val="center"/>
            <w:hideMark/>
          </w:tcPr>
          <w:p w14:paraId="7711C4AF"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7FB35AE4"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196502A4" w14:textId="77777777" w:rsidTr="00F16E23">
        <w:tc>
          <w:tcPr>
            <w:tcW w:w="320" w:type="dxa"/>
            <w:vMerge/>
            <w:tcBorders>
              <w:top w:val="single" w:sz="8" w:space="0" w:color="365F91"/>
              <w:left w:val="nil"/>
              <w:bottom w:val="single" w:sz="4" w:space="0" w:color="1B556B"/>
              <w:right w:val="nil"/>
            </w:tcBorders>
            <w:vAlign w:val="center"/>
            <w:hideMark/>
          </w:tcPr>
          <w:p w14:paraId="4EED4C9E" w14:textId="77777777" w:rsidR="00E46639" w:rsidRPr="0028033B" w:rsidRDefault="00E46639" w:rsidP="00F16E23">
            <w:pPr>
              <w:pStyle w:val="TableText"/>
              <w:spacing w:before="20" w:after="20"/>
              <w:rPr>
                <w:rFonts w:cs="Calibri"/>
                <w:szCs w:val="16"/>
              </w:rPr>
            </w:pPr>
          </w:p>
        </w:tc>
        <w:tc>
          <w:tcPr>
            <w:tcW w:w="3224" w:type="dxa"/>
            <w:tcBorders>
              <w:top w:val="nil"/>
              <w:left w:val="nil"/>
              <w:bottom w:val="single" w:sz="4" w:space="0" w:color="1B556B"/>
              <w:right w:val="nil"/>
            </w:tcBorders>
            <w:vAlign w:val="center"/>
            <w:hideMark/>
          </w:tcPr>
          <w:p w14:paraId="00A12F28" w14:textId="77777777" w:rsidR="00E46639" w:rsidRPr="0028033B" w:rsidRDefault="00E46639" w:rsidP="00F16E23">
            <w:pPr>
              <w:pStyle w:val="TableText"/>
              <w:spacing w:before="20" w:after="20"/>
              <w:rPr>
                <w:rFonts w:cs="Calibri"/>
                <w:szCs w:val="16"/>
              </w:rPr>
            </w:pPr>
            <w:r w:rsidRPr="0028033B">
              <w:rPr>
                <w:rFonts w:cs="Calibri"/>
                <w:szCs w:val="16"/>
              </w:rPr>
              <w:t>Cultivation of organic soils</w:t>
            </w:r>
          </w:p>
        </w:tc>
        <w:tc>
          <w:tcPr>
            <w:tcW w:w="828" w:type="dxa"/>
            <w:tcBorders>
              <w:top w:val="nil"/>
              <w:left w:val="nil"/>
              <w:bottom w:val="single" w:sz="4" w:space="0" w:color="1B556B"/>
              <w:right w:val="nil"/>
            </w:tcBorders>
            <w:noWrap/>
            <w:vAlign w:val="center"/>
            <w:hideMark/>
          </w:tcPr>
          <w:p w14:paraId="429AB845"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8" w:type="dxa"/>
            <w:tcBorders>
              <w:top w:val="nil"/>
              <w:left w:val="nil"/>
              <w:bottom w:val="single" w:sz="4" w:space="0" w:color="1B556B"/>
              <w:right w:val="nil"/>
            </w:tcBorders>
            <w:noWrap/>
            <w:vAlign w:val="center"/>
            <w:hideMark/>
          </w:tcPr>
          <w:p w14:paraId="449C0563"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p>
        </w:tc>
        <w:tc>
          <w:tcPr>
            <w:tcW w:w="829" w:type="dxa"/>
            <w:tcBorders>
              <w:top w:val="nil"/>
              <w:left w:val="nil"/>
              <w:bottom w:val="single" w:sz="4" w:space="0" w:color="1B556B"/>
              <w:right w:val="nil"/>
            </w:tcBorders>
            <w:noWrap/>
            <w:vAlign w:val="center"/>
            <w:hideMark/>
          </w:tcPr>
          <w:p w14:paraId="30876F7F" w14:textId="77777777" w:rsidR="00E46639" w:rsidRPr="0028033B" w:rsidRDefault="00E46639" w:rsidP="00F16E23">
            <w:pPr>
              <w:pStyle w:val="TableText"/>
              <w:spacing w:before="20" w:after="20"/>
              <w:jc w:val="center"/>
              <w:rPr>
                <w:rFonts w:cs="Calibri"/>
                <w:szCs w:val="16"/>
              </w:rPr>
            </w:pPr>
            <w:r w:rsidRPr="0028033B">
              <w:rPr>
                <w:rFonts w:cs="Calibri"/>
                <w:szCs w:val="16"/>
              </w:rPr>
              <w:t>T1</w:t>
            </w:r>
          </w:p>
        </w:tc>
        <w:tc>
          <w:tcPr>
            <w:tcW w:w="828" w:type="dxa"/>
            <w:tcBorders>
              <w:top w:val="nil"/>
              <w:left w:val="nil"/>
              <w:bottom w:val="single" w:sz="4" w:space="0" w:color="1B556B"/>
              <w:right w:val="nil"/>
            </w:tcBorders>
            <w:noWrap/>
            <w:vAlign w:val="center"/>
            <w:hideMark/>
          </w:tcPr>
          <w:p w14:paraId="56CD2E62" w14:textId="77777777" w:rsidR="00E46639" w:rsidRPr="0028033B" w:rsidRDefault="00E46639" w:rsidP="00F16E23">
            <w:pPr>
              <w:pStyle w:val="TableText"/>
              <w:spacing w:before="20" w:after="20"/>
              <w:jc w:val="center"/>
              <w:rPr>
                <w:rFonts w:cs="Calibri"/>
                <w:szCs w:val="16"/>
              </w:rPr>
            </w:pPr>
            <w:r w:rsidRPr="0028033B">
              <w:rPr>
                <w:rFonts w:cs="Calibri"/>
                <w:szCs w:val="16"/>
              </w:rPr>
              <w:t>D</w:t>
            </w:r>
          </w:p>
        </w:tc>
        <w:tc>
          <w:tcPr>
            <w:tcW w:w="828" w:type="dxa"/>
            <w:tcBorders>
              <w:top w:val="nil"/>
              <w:left w:val="nil"/>
              <w:bottom w:val="single" w:sz="4" w:space="0" w:color="1B556B"/>
              <w:right w:val="nil"/>
            </w:tcBorders>
            <w:noWrap/>
            <w:vAlign w:val="center"/>
            <w:hideMark/>
          </w:tcPr>
          <w:p w14:paraId="187937E0"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single" w:sz="4" w:space="0" w:color="1B556B"/>
              <w:right w:val="nil"/>
            </w:tcBorders>
            <w:noWrap/>
            <w:vAlign w:val="center"/>
            <w:hideMark/>
          </w:tcPr>
          <w:p w14:paraId="7D6150C8" w14:textId="77777777" w:rsidR="00E46639" w:rsidRPr="0028033B" w:rsidRDefault="00E46639" w:rsidP="00F16E23">
            <w:pPr>
              <w:pStyle w:val="TableText"/>
              <w:spacing w:before="20" w:after="20"/>
              <w:jc w:val="center"/>
              <w:rPr>
                <w:rFonts w:cs="Calibri"/>
                <w:color w:val="FFFFFF"/>
                <w:szCs w:val="16"/>
              </w:rPr>
            </w:pPr>
            <w:r w:rsidRPr="0028033B">
              <w:rPr>
                <w:rFonts w:cs="Calibri"/>
                <w:color w:val="FFFFFF"/>
                <w:szCs w:val="16"/>
              </w:rPr>
              <w:t>-</w:t>
            </w:r>
            <w:r w:rsidRPr="0028033B">
              <w:t>–</w:t>
            </w:r>
          </w:p>
        </w:tc>
      </w:tr>
      <w:tr w:rsidR="00E46639" w:rsidRPr="0028033B" w14:paraId="5073D092" w14:textId="77777777" w:rsidTr="00F16E23">
        <w:tc>
          <w:tcPr>
            <w:tcW w:w="320" w:type="dxa"/>
            <w:vMerge w:val="restart"/>
            <w:tcBorders>
              <w:top w:val="single" w:sz="4" w:space="0" w:color="1B556B"/>
              <w:left w:val="nil"/>
              <w:bottom w:val="single" w:sz="4" w:space="0" w:color="365F91"/>
              <w:right w:val="nil"/>
            </w:tcBorders>
            <w:noWrap/>
            <w:vAlign w:val="center"/>
            <w:hideMark/>
          </w:tcPr>
          <w:p w14:paraId="53231C54" w14:textId="77777777" w:rsidR="00E46639" w:rsidRPr="0028033B" w:rsidRDefault="00E46639" w:rsidP="00F16E23">
            <w:pPr>
              <w:pStyle w:val="TableText"/>
              <w:spacing w:before="30" w:after="20"/>
              <w:rPr>
                <w:rFonts w:cs="Calibri"/>
                <w:szCs w:val="16"/>
              </w:rPr>
            </w:pPr>
            <w:r w:rsidRPr="0028033B">
              <w:rPr>
                <w:rFonts w:cs="Calibri"/>
                <w:szCs w:val="16"/>
              </w:rPr>
              <w:t>2</w:t>
            </w:r>
          </w:p>
        </w:tc>
        <w:tc>
          <w:tcPr>
            <w:tcW w:w="3224" w:type="dxa"/>
            <w:tcBorders>
              <w:top w:val="single" w:sz="4" w:space="0" w:color="1B556B"/>
              <w:left w:val="nil"/>
              <w:bottom w:val="nil"/>
              <w:right w:val="nil"/>
            </w:tcBorders>
            <w:vAlign w:val="center"/>
            <w:hideMark/>
          </w:tcPr>
          <w:p w14:paraId="050298B0" w14:textId="77777777" w:rsidR="00E46639" w:rsidRPr="0028033B" w:rsidRDefault="00E46639" w:rsidP="00F16E23">
            <w:pPr>
              <w:pStyle w:val="TableText"/>
              <w:spacing w:before="30" w:after="20"/>
              <w:rPr>
                <w:rFonts w:cs="Calibri"/>
                <w:szCs w:val="16"/>
              </w:rPr>
            </w:pPr>
            <w:r w:rsidRPr="0028033B">
              <w:rPr>
                <w:rFonts w:cs="Calibri"/>
                <w:szCs w:val="16"/>
              </w:rPr>
              <w:t>Indirect emissions</w:t>
            </w:r>
          </w:p>
        </w:tc>
        <w:tc>
          <w:tcPr>
            <w:tcW w:w="828" w:type="dxa"/>
            <w:tcBorders>
              <w:top w:val="single" w:sz="4" w:space="0" w:color="1B556B"/>
              <w:left w:val="nil"/>
              <w:bottom w:val="nil"/>
              <w:right w:val="nil"/>
            </w:tcBorders>
            <w:noWrap/>
            <w:vAlign w:val="center"/>
            <w:hideMark/>
          </w:tcPr>
          <w:p w14:paraId="4FA84711"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05BB3AAF"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noWrap/>
            <w:vAlign w:val="center"/>
            <w:hideMark/>
          </w:tcPr>
          <w:p w14:paraId="7AC70770"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407558E9"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single" w:sz="4" w:space="0" w:color="1B556B"/>
              <w:left w:val="nil"/>
              <w:bottom w:val="nil"/>
              <w:right w:val="nil"/>
            </w:tcBorders>
            <w:noWrap/>
            <w:vAlign w:val="center"/>
            <w:hideMark/>
          </w:tcPr>
          <w:p w14:paraId="70E0BAFB"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single" w:sz="4" w:space="0" w:color="1B556B"/>
              <w:left w:val="nil"/>
              <w:bottom w:val="nil"/>
              <w:right w:val="nil"/>
            </w:tcBorders>
            <w:noWrap/>
            <w:vAlign w:val="center"/>
            <w:hideMark/>
          </w:tcPr>
          <w:p w14:paraId="7872354D"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r>
      <w:tr w:rsidR="00E46639" w:rsidRPr="0028033B" w14:paraId="4F8EEC95" w14:textId="77777777" w:rsidTr="00F16E23">
        <w:tc>
          <w:tcPr>
            <w:tcW w:w="320" w:type="dxa"/>
            <w:vMerge/>
            <w:tcBorders>
              <w:top w:val="single" w:sz="8" w:space="0" w:color="365F91"/>
              <w:left w:val="nil"/>
              <w:bottom w:val="single" w:sz="4" w:space="0" w:color="365F91"/>
              <w:right w:val="nil"/>
            </w:tcBorders>
            <w:vAlign w:val="center"/>
            <w:hideMark/>
          </w:tcPr>
          <w:p w14:paraId="061545C9" w14:textId="77777777" w:rsidR="00E46639" w:rsidRPr="0028033B" w:rsidRDefault="00E46639" w:rsidP="00F16E23">
            <w:pPr>
              <w:pStyle w:val="TableText"/>
              <w:spacing w:before="30" w:after="20"/>
              <w:rPr>
                <w:rFonts w:cs="Calibri"/>
                <w:szCs w:val="16"/>
              </w:rPr>
            </w:pPr>
          </w:p>
        </w:tc>
        <w:tc>
          <w:tcPr>
            <w:tcW w:w="3224" w:type="dxa"/>
            <w:tcBorders>
              <w:top w:val="nil"/>
              <w:left w:val="nil"/>
              <w:bottom w:val="nil"/>
              <w:right w:val="nil"/>
            </w:tcBorders>
            <w:vAlign w:val="center"/>
            <w:hideMark/>
          </w:tcPr>
          <w:p w14:paraId="7922F433" w14:textId="77777777" w:rsidR="00E46639" w:rsidRPr="0028033B" w:rsidRDefault="00E46639" w:rsidP="00F16E23">
            <w:pPr>
              <w:pStyle w:val="TableText"/>
              <w:spacing w:before="30" w:after="20"/>
              <w:rPr>
                <w:rFonts w:cs="Calibri"/>
                <w:szCs w:val="16"/>
              </w:rPr>
            </w:pPr>
            <w:r w:rsidRPr="0028033B">
              <w:rPr>
                <w:rFonts w:cs="Calibri"/>
                <w:szCs w:val="16"/>
              </w:rPr>
              <w:t>Atmospheric deposition</w:t>
            </w:r>
          </w:p>
        </w:tc>
        <w:tc>
          <w:tcPr>
            <w:tcW w:w="828" w:type="dxa"/>
            <w:tcBorders>
              <w:top w:val="nil"/>
              <w:left w:val="nil"/>
              <w:bottom w:val="nil"/>
              <w:right w:val="nil"/>
            </w:tcBorders>
            <w:noWrap/>
            <w:vAlign w:val="center"/>
            <w:hideMark/>
          </w:tcPr>
          <w:p w14:paraId="4CFF53F8"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nil"/>
              <w:left w:val="nil"/>
              <w:bottom w:val="nil"/>
              <w:right w:val="nil"/>
            </w:tcBorders>
            <w:noWrap/>
            <w:vAlign w:val="center"/>
            <w:hideMark/>
          </w:tcPr>
          <w:p w14:paraId="7A452C47"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nil"/>
              <w:left w:val="nil"/>
              <w:bottom w:val="nil"/>
              <w:right w:val="nil"/>
            </w:tcBorders>
            <w:noWrap/>
            <w:vAlign w:val="center"/>
            <w:hideMark/>
          </w:tcPr>
          <w:p w14:paraId="4AC0A22B" w14:textId="77777777" w:rsidR="00E46639" w:rsidRPr="0028033B" w:rsidRDefault="00E46639" w:rsidP="00F16E23">
            <w:pPr>
              <w:pStyle w:val="TableText"/>
              <w:spacing w:before="30" w:after="20"/>
              <w:jc w:val="center"/>
              <w:rPr>
                <w:rFonts w:cs="Calibri"/>
                <w:szCs w:val="16"/>
              </w:rPr>
            </w:pPr>
            <w:r w:rsidRPr="0028033B">
              <w:rPr>
                <w:rFonts w:cs="Calibri"/>
                <w:szCs w:val="16"/>
              </w:rPr>
              <w:t>T1, T2</w:t>
            </w:r>
          </w:p>
        </w:tc>
        <w:tc>
          <w:tcPr>
            <w:tcW w:w="828" w:type="dxa"/>
            <w:tcBorders>
              <w:top w:val="nil"/>
              <w:left w:val="nil"/>
              <w:bottom w:val="nil"/>
              <w:right w:val="nil"/>
            </w:tcBorders>
            <w:noWrap/>
            <w:vAlign w:val="center"/>
            <w:hideMark/>
          </w:tcPr>
          <w:p w14:paraId="5B1A278F" w14:textId="77777777" w:rsidR="00E46639" w:rsidRPr="0028033B" w:rsidRDefault="00E46639" w:rsidP="00F16E23">
            <w:pPr>
              <w:pStyle w:val="TableText"/>
              <w:spacing w:before="30" w:after="20"/>
              <w:jc w:val="center"/>
              <w:rPr>
                <w:rFonts w:cs="Calibri"/>
                <w:szCs w:val="16"/>
              </w:rPr>
            </w:pPr>
            <w:r w:rsidRPr="0028033B">
              <w:rPr>
                <w:rFonts w:cs="Calibri"/>
                <w:szCs w:val="16"/>
              </w:rPr>
              <w:t>D</w:t>
            </w:r>
          </w:p>
        </w:tc>
        <w:tc>
          <w:tcPr>
            <w:tcW w:w="828" w:type="dxa"/>
            <w:tcBorders>
              <w:top w:val="nil"/>
              <w:left w:val="nil"/>
              <w:bottom w:val="nil"/>
              <w:right w:val="nil"/>
            </w:tcBorders>
            <w:noWrap/>
            <w:vAlign w:val="center"/>
            <w:hideMark/>
          </w:tcPr>
          <w:p w14:paraId="156C6DEC"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nil"/>
              <w:right w:val="nil"/>
            </w:tcBorders>
            <w:noWrap/>
            <w:vAlign w:val="center"/>
            <w:hideMark/>
          </w:tcPr>
          <w:p w14:paraId="7BC1A975"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15B1E2ED" w14:textId="77777777" w:rsidTr="00F16E23">
        <w:tc>
          <w:tcPr>
            <w:tcW w:w="320" w:type="dxa"/>
            <w:vMerge/>
            <w:tcBorders>
              <w:top w:val="single" w:sz="8" w:space="0" w:color="365F91"/>
              <w:left w:val="nil"/>
              <w:bottom w:val="single" w:sz="4" w:space="0" w:color="1B556B"/>
              <w:right w:val="nil"/>
            </w:tcBorders>
            <w:vAlign w:val="center"/>
            <w:hideMark/>
          </w:tcPr>
          <w:p w14:paraId="3916EC5E" w14:textId="77777777" w:rsidR="00E46639" w:rsidRPr="0028033B" w:rsidRDefault="00E46639" w:rsidP="00F16E23">
            <w:pPr>
              <w:pStyle w:val="TableText"/>
              <w:spacing w:before="30" w:after="20"/>
              <w:rPr>
                <w:rFonts w:cs="Calibri"/>
                <w:szCs w:val="16"/>
              </w:rPr>
            </w:pPr>
          </w:p>
        </w:tc>
        <w:tc>
          <w:tcPr>
            <w:tcW w:w="3224" w:type="dxa"/>
            <w:tcBorders>
              <w:top w:val="nil"/>
              <w:left w:val="nil"/>
              <w:bottom w:val="single" w:sz="4" w:space="0" w:color="1B556B"/>
              <w:right w:val="nil"/>
            </w:tcBorders>
            <w:vAlign w:val="center"/>
            <w:hideMark/>
          </w:tcPr>
          <w:p w14:paraId="3F769CA1" w14:textId="77777777" w:rsidR="00E46639" w:rsidRPr="0028033B" w:rsidRDefault="00E46639" w:rsidP="00F16E23">
            <w:pPr>
              <w:pStyle w:val="TableText"/>
              <w:spacing w:before="30" w:after="20"/>
              <w:rPr>
                <w:rFonts w:cs="Calibri"/>
                <w:szCs w:val="16"/>
              </w:rPr>
            </w:pPr>
            <w:r w:rsidRPr="0028033B">
              <w:rPr>
                <w:rFonts w:cs="Calibri"/>
                <w:szCs w:val="16"/>
              </w:rPr>
              <w:t>Nitrogen leaching and runoff</w:t>
            </w:r>
          </w:p>
        </w:tc>
        <w:tc>
          <w:tcPr>
            <w:tcW w:w="828" w:type="dxa"/>
            <w:tcBorders>
              <w:top w:val="nil"/>
              <w:left w:val="nil"/>
              <w:bottom w:val="single" w:sz="4" w:space="0" w:color="1B556B"/>
              <w:right w:val="nil"/>
            </w:tcBorders>
            <w:noWrap/>
            <w:vAlign w:val="center"/>
            <w:hideMark/>
          </w:tcPr>
          <w:p w14:paraId="44639518"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8" w:type="dxa"/>
            <w:tcBorders>
              <w:top w:val="nil"/>
              <w:left w:val="nil"/>
              <w:bottom w:val="single" w:sz="4" w:space="0" w:color="1B556B"/>
              <w:right w:val="nil"/>
            </w:tcBorders>
            <w:noWrap/>
            <w:vAlign w:val="center"/>
            <w:hideMark/>
          </w:tcPr>
          <w:p w14:paraId="3B5B93EF"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p>
        </w:tc>
        <w:tc>
          <w:tcPr>
            <w:tcW w:w="829" w:type="dxa"/>
            <w:tcBorders>
              <w:top w:val="nil"/>
              <w:left w:val="nil"/>
              <w:bottom w:val="single" w:sz="4" w:space="0" w:color="1B556B"/>
              <w:right w:val="nil"/>
            </w:tcBorders>
            <w:noWrap/>
            <w:vAlign w:val="center"/>
            <w:hideMark/>
          </w:tcPr>
          <w:p w14:paraId="434705F9" w14:textId="77777777" w:rsidR="00E46639" w:rsidRPr="0028033B" w:rsidRDefault="00E46639" w:rsidP="00F16E23">
            <w:pPr>
              <w:pStyle w:val="TableText"/>
              <w:spacing w:before="30" w:after="20"/>
              <w:jc w:val="center"/>
              <w:rPr>
                <w:rFonts w:cs="Calibri"/>
                <w:szCs w:val="16"/>
              </w:rPr>
            </w:pPr>
            <w:r w:rsidRPr="0028033B">
              <w:rPr>
                <w:rFonts w:cs="Calibri"/>
                <w:szCs w:val="16"/>
              </w:rPr>
              <w:t>T1, T2</w:t>
            </w:r>
          </w:p>
        </w:tc>
        <w:tc>
          <w:tcPr>
            <w:tcW w:w="828" w:type="dxa"/>
            <w:tcBorders>
              <w:top w:val="nil"/>
              <w:left w:val="nil"/>
              <w:bottom w:val="single" w:sz="4" w:space="0" w:color="1B556B"/>
              <w:right w:val="nil"/>
            </w:tcBorders>
            <w:noWrap/>
            <w:vAlign w:val="center"/>
            <w:hideMark/>
          </w:tcPr>
          <w:p w14:paraId="16BD0C9B" w14:textId="77777777" w:rsidR="00E46639" w:rsidRPr="0028033B" w:rsidRDefault="00E46639" w:rsidP="00F16E23">
            <w:pPr>
              <w:pStyle w:val="TableText"/>
              <w:spacing w:before="30" w:after="20"/>
              <w:jc w:val="center"/>
              <w:rPr>
                <w:rFonts w:cs="Calibri"/>
                <w:szCs w:val="16"/>
              </w:rPr>
            </w:pPr>
            <w:r w:rsidRPr="0028033B">
              <w:rPr>
                <w:rFonts w:cs="Calibri"/>
                <w:szCs w:val="16"/>
              </w:rPr>
              <w:t>CS</w:t>
            </w:r>
          </w:p>
        </w:tc>
        <w:tc>
          <w:tcPr>
            <w:tcW w:w="828" w:type="dxa"/>
            <w:tcBorders>
              <w:top w:val="nil"/>
              <w:left w:val="nil"/>
              <w:bottom w:val="single" w:sz="4" w:space="0" w:color="1B556B"/>
              <w:right w:val="nil"/>
            </w:tcBorders>
            <w:noWrap/>
            <w:vAlign w:val="center"/>
            <w:hideMark/>
          </w:tcPr>
          <w:p w14:paraId="6D996668"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c>
          <w:tcPr>
            <w:tcW w:w="829" w:type="dxa"/>
            <w:tcBorders>
              <w:top w:val="nil"/>
              <w:left w:val="nil"/>
              <w:bottom w:val="single" w:sz="4" w:space="0" w:color="1B556B"/>
              <w:right w:val="nil"/>
            </w:tcBorders>
            <w:noWrap/>
            <w:vAlign w:val="center"/>
            <w:hideMark/>
          </w:tcPr>
          <w:p w14:paraId="30FA844A" w14:textId="77777777" w:rsidR="00E46639" w:rsidRPr="0028033B" w:rsidRDefault="00E46639" w:rsidP="00F16E23">
            <w:pPr>
              <w:pStyle w:val="TableText"/>
              <w:spacing w:before="30" w:after="20"/>
              <w:jc w:val="center"/>
              <w:rPr>
                <w:rFonts w:cs="Calibri"/>
                <w:color w:val="FFFFFF"/>
                <w:szCs w:val="16"/>
              </w:rPr>
            </w:pPr>
            <w:r w:rsidRPr="0028033B">
              <w:rPr>
                <w:rFonts w:cs="Calibri"/>
                <w:color w:val="FFFFFF"/>
                <w:szCs w:val="16"/>
              </w:rPr>
              <w:t>-</w:t>
            </w:r>
            <w:r w:rsidRPr="0028033B">
              <w:t>–</w:t>
            </w:r>
          </w:p>
        </w:tc>
      </w:tr>
      <w:tr w:rsidR="00E46639" w:rsidRPr="0028033B" w14:paraId="18E0AFAD" w14:textId="77777777" w:rsidTr="00F16E23">
        <w:tc>
          <w:tcPr>
            <w:tcW w:w="320" w:type="dxa"/>
            <w:tcBorders>
              <w:top w:val="single" w:sz="4" w:space="0" w:color="1B556B"/>
              <w:left w:val="nil"/>
              <w:bottom w:val="single" w:sz="4" w:space="0" w:color="1B556B"/>
              <w:right w:val="nil"/>
            </w:tcBorders>
            <w:noWrap/>
            <w:vAlign w:val="center"/>
            <w:hideMark/>
          </w:tcPr>
          <w:p w14:paraId="645B61FB"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E</w:t>
            </w:r>
          </w:p>
        </w:tc>
        <w:tc>
          <w:tcPr>
            <w:tcW w:w="3224" w:type="dxa"/>
            <w:tcBorders>
              <w:top w:val="single" w:sz="4" w:space="0" w:color="1B556B"/>
              <w:left w:val="nil"/>
              <w:bottom w:val="single" w:sz="4" w:space="0" w:color="1B556B"/>
              <w:right w:val="nil"/>
            </w:tcBorders>
            <w:vAlign w:val="center"/>
            <w:hideMark/>
          </w:tcPr>
          <w:p w14:paraId="20CAC9C1"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 xml:space="preserve">Prescribed burning of savannas </w:t>
            </w:r>
          </w:p>
        </w:tc>
        <w:tc>
          <w:tcPr>
            <w:tcW w:w="828" w:type="dxa"/>
            <w:tcBorders>
              <w:top w:val="single" w:sz="4" w:space="0" w:color="1B556B"/>
              <w:left w:val="nil"/>
              <w:bottom w:val="single" w:sz="4" w:space="0" w:color="1B556B"/>
              <w:right w:val="nil"/>
            </w:tcBorders>
            <w:noWrap/>
            <w:vAlign w:val="center"/>
            <w:hideMark/>
          </w:tcPr>
          <w:p w14:paraId="1EAAB659"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NA</w:t>
            </w:r>
          </w:p>
        </w:tc>
        <w:tc>
          <w:tcPr>
            <w:tcW w:w="828" w:type="dxa"/>
            <w:tcBorders>
              <w:top w:val="single" w:sz="4" w:space="0" w:color="1B556B"/>
              <w:left w:val="nil"/>
              <w:bottom w:val="single" w:sz="4" w:space="0" w:color="1B556B"/>
              <w:right w:val="nil"/>
            </w:tcBorders>
            <w:noWrap/>
            <w:vAlign w:val="center"/>
            <w:hideMark/>
          </w:tcPr>
          <w:p w14:paraId="162247E1"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NA</w:t>
            </w:r>
          </w:p>
        </w:tc>
        <w:tc>
          <w:tcPr>
            <w:tcW w:w="829" w:type="dxa"/>
            <w:tcBorders>
              <w:top w:val="single" w:sz="4" w:space="0" w:color="1B556B"/>
              <w:left w:val="nil"/>
              <w:bottom w:val="single" w:sz="4" w:space="0" w:color="1B556B"/>
              <w:right w:val="nil"/>
            </w:tcBorders>
            <w:noWrap/>
            <w:vAlign w:val="center"/>
            <w:hideMark/>
          </w:tcPr>
          <w:p w14:paraId="3C2C4A85"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NA</w:t>
            </w:r>
          </w:p>
        </w:tc>
        <w:tc>
          <w:tcPr>
            <w:tcW w:w="828" w:type="dxa"/>
            <w:tcBorders>
              <w:top w:val="single" w:sz="4" w:space="0" w:color="1B556B"/>
              <w:left w:val="nil"/>
              <w:bottom w:val="single" w:sz="4" w:space="0" w:color="1B556B"/>
              <w:right w:val="nil"/>
            </w:tcBorders>
            <w:noWrap/>
            <w:vAlign w:val="center"/>
            <w:hideMark/>
          </w:tcPr>
          <w:p w14:paraId="0A33AA9C"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NA</w:t>
            </w:r>
          </w:p>
        </w:tc>
        <w:tc>
          <w:tcPr>
            <w:tcW w:w="828" w:type="dxa"/>
            <w:tcBorders>
              <w:top w:val="single" w:sz="4" w:space="0" w:color="1B556B"/>
              <w:left w:val="nil"/>
              <w:bottom w:val="single" w:sz="4" w:space="0" w:color="1B556B"/>
              <w:right w:val="nil"/>
            </w:tcBorders>
            <w:noWrap/>
            <w:vAlign w:val="center"/>
            <w:hideMark/>
          </w:tcPr>
          <w:p w14:paraId="7B24D16D" w14:textId="77777777" w:rsidR="00E46639" w:rsidRPr="0028033B" w:rsidRDefault="00E46639" w:rsidP="00F16E23">
            <w:pPr>
              <w:spacing w:before="30" w:after="20"/>
              <w:jc w:val="center"/>
              <w:rPr>
                <w:rFonts w:cs="Calibri"/>
                <w:color w:val="FFFFFF"/>
                <w:sz w:val="20"/>
                <w:szCs w:val="14"/>
              </w:rPr>
            </w:pPr>
            <w:r w:rsidRPr="0028033B">
              <w:rPr>
                <w:rFonts w:cs="Calibri"/>
                <w:color w:val="FFFFFF"/>
                <w:sz w:val="20"/>
                <w:szCs w:val="14"/>
              </w:rPr>
              <w:t>-</w:t>
            </w:r>
            <w:r w:rsidRPr="0028033B">
              <w:rPr>
                <w:sz w:val="20"/>
                <w:szCs w:val="14"/>
              </w:rPr>
              <w:t>–</w:t>
            </w:r>
          </w:p>
        </w:tc>
        <w:tc>
          <w:tcPr>
            <w:tcW w:w="829" w:type="dxa"/>
            <w:tcBorders>
              <w:top w:val="single" w:sz="4" w:space="0" w:color="1B556B"/>
              <w:left w:val="nil"/>
              <w:bottom w:val="single" w:sz="4" w:space="0" w:color="1B556B"/>
              <w:right w:val="nil"/>
            </w:tcBorders>
            <w:noWrap/>
            <w:vAlign w:val="center"/>
            <w:hideMark/>
          </w:tcPr>
          <w:p w14:paraId="4E8329A0" w14:textId="77777777" w:rsidR="00E46639" w:rsidRPr="0028033B" w:rsidRDefault="00E46639" w:rsidP="00F16E23">
            <w:pPr>
              <w:spacing w:before="30" w:after="20"/>
              <w:jc w:val="center"/>
              <w:rPr>
                <w:rFonts w:cs="Calibri"/>
                <w:color w:val="FFFFFF"/>
                <w:sz w:val="20"/>
                <w:szCs w:val="14"/>
              </w:rPr>
            </w:pPr>
            <w:r w:rsidRPr="0028033B">
              <w:rPr>
                <w:rFonts w:cs="Calibri"/>
                <w:color w:val="FFFFFF"/>
                <w:sz w:val="20"/>
                <w:szCs w:val="14"/>
              </w:rPr>
              <w:t>-</w:t>
            </w:r>
            <w:r w:rsidRPr="0028033B">
              <w:rPr>
                <w:sz w:val="20"/>
                <w:szCs w:val="14"/>
              </w:rPr>
              <w:t>–</w:t>
            </w:r>
          </w:p>
        </w:tc>
      </w:tr>
      <w:tr w:rsidR="00E46639" w:rsidRPr="0028033B" w14:paraId="09260E07" w14:textId="77777777" w:rsidTr="00F16E23">
        <w:tc>
          <w:tcPr>
            <w:tcW w:w="320" w:type="dxa"/>
            <w:tcBorders>
              <w:top w:val="single" w:sz="4" w:space="0" w:color="1B556B"/>
              <w:left w:val="nil"/>
              <w:bottom w:val="single" w:sz="4" w:space="0" w:color="1B556B"/>
              <w:right w:val="nil"/>
            </w:tcBorders>
            <w:noWrap/>
            <w:vAlign w:val="center"/>
            <w:hideMark/>
          </w:tcPr>
          <w:p w14:paraId="7EC03D6F"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F</w:t>
            </w:r>
          </w:p>
        </w:tc>
        <w:tc>
          <w:tcPr>
            <w:tcW w:w="3224" w:type="dxa"/>
            <w:tcBorders>
              <w:top w:val="single" w:sz="4" w:space="0" w:color="1B556B"/>
              <w:left w:val="nil"/>
              <w:bottom w:val="single" w:sz="4" w:space="0" w:color="1B556B"/>
              <w:right w:val="nil"/>
            </w:tcBorders>
            <w:vAlign w:val="center"/>
            <w:hideMark/>
          </w:tcPr>
          <w:p w14:paraId="3001D75E"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Field burning of agricultural residues</w:t>
            </w:r>
          </w:p>
        </w:tc>
        <w:tc>
          <w:tcPr>
            <w:tcW w:w="828" w:type="dxa"/>
            <w:tcBorders>
              <w:top w:val="single" w:sz="4" w:space="0" w:color="1B556B"/>
              <w:left w:val="nil"/>
              <w:bottom w:val="single" w:sz="4" w:space="0" w:color="1B556B"/>
              <w:right w:val="nil"/>
            </w:tcBorders>
            <w:noWrap/>
            <w:vAlign w:val="center"/>
            <w:hideMark/>
          </w:tcPr>
          <w:p w14:paraId="51AFF75B"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T2</w:t>
            </w:r>
          </w:p>
        </w:tc>
        <w:tc>
          <w:tcPr>
            <w:tcW w:w="828" w:type="dxa"/>
            <w:tcBorders>
              <w:top w:val="single" w:sz="4" w:space="0" w:color="1B556B"/>
              <w:left w:val="nil"/>
              <w:bottom w:val="single" w:sz="4" w:space="0" w:color="1B556B"/>
              <w:right w:val="nil"/>
            </w:tcBorders>
            <w:noWrap/>
            <w:vAlign w:val="center"/>
            <w:hideMark/>
          </w:tcPr>
          <w:p w14:paraId="66B13F77"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CS</w:t>
            </w:r>
          </w:p>
        </w:tc>
        <w:tc>
          <w:tcPr>
            <w:tcW w:w="829" w:type="dxa"/>
            <w:tcBorders>
              <w:top w:val="single" w:sz="4" w:space="0" w:color="1B556B"/>
              <w:left w:val="nil"/>
              <w:bottom w:val="single" w:sz="4" w:space="0" w:color="1B556B"/>
              <w:right w:val="nil"/>
            </w:tcBorders>
            <w:noWrap/>
            <w:vAlign w:val="center"/>
            <w:hideMark/>
          </w:tcPr>
          <w:p w14:paraId="38DC972A"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T2</w:t>
            </w:r>
          </w:p>
        </w:tc>
        <w:tc>
          <w:tcPr>
            <w:tcW w:w="828" w:type="dxa"/>
            <w:tcBorders>
              <w:top w:val="single" w:sz="4" w:space="0" w:color="1B556B"/>
              <w:left w:val="nil"/>
              <w:bottom w:val="single" w:sz="4" w:space="0" w:color="1B556B"/>
              <w:right w:val="nil"/>
            </w:tcBorders>
            <w:noWrap/>
            <w:vAlign w:val="center"/>
            <w:hideMark/>
          </w:tcPr>
          <w:p w14:paraId="01A0056C"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CS</w:t>
            </w:r>
          </w:p>
        </w:tc>
        <w:tc>
          <w:tcPr>
            <w:tcW w:w="828" w:type="dxa"/>
            <w:tcBorders>
              <w:top w:val="single" w:sz="4" w:space="0" w:color="1B556B"/>
              <w:left w:val="nil"/>
              <w:bottom w:val="single" w:sz="4" w:space="0" w:color="1B556B"/>
              <w:right w:val="nil"/>
            </w:tcBorders>
            <w:noWrap/>
            <w:vAlign w:val="center"/>
            <w:hideMark/>
          </w:tcPr>
          <w:p w14:paraId="72FCA792" w14:textId="77777777" w:rsidR="00E46639" w:rsidRPr="0028033B" w:rsidRDefault="00E46639" w:rsidP="00F16E23">
            <w:pPr>
              <w:spacing w:before="30" w:after="20"/>
              <w:jc w:val="center"/>
              <w:rPr>
                <w:rFonts w:cs="Calibri"/>
                <w:color w:val="FFFFFF"/>
                <w:sz w:val="20"/>
                <w:szCs w:val="14"/>
              </w:rPr>
            </w:pPr>
            <w:r w:rsidRPr="0028033B">
              <w:rPr>
                <w:rFonts w:cs="Calibri"/>
                <w:color w:val="FFFFFF"/>
                <w:sz w:val="20"/>
                <w:szCs w:val="14"/>
              </w:rPr>
              <w:t>-</w:t>
            </w:r>
            <w:r w:rsidRPr="0028033B">
              <w:rPr>
                <w:sz w:val="20"/>
                <w:szCs w:val="14"/>
              </w:rPr>
              <w:t>–</w:t>
            </w:r>
          </w:p>
        </w:tc>
        <w:tc>
          <w:tcPr>
            <w:tcW w:w="829" w:type="dxa"/>
            <w:tcBorders>
              <w:top w:val="single" w:sz="4" w:space="0" w:color="1B556B"/>
              <w:left w:val="nil"/>
              <w:bottom w:val="single" w:sz="4" w:space="0" w:color="1B556B"/>
              <w:right w:val="nil"/>
            </w:tcBorders>
            <w:noWrap/>
            <w:vAlign w:val="center"/>
            <w:hideMark/>
          </w:tcPr>
          <w:p w14:paraId="61B573BD" w14:textId="77777777" w:rsidR="00E46639" w:rsidRPr="0028033B" w:rsidRDefault="00E46639" w:rsidP="00F16E23">
            <w:pPr>
              <w:spacing w:before="30" w:after="20"/>
              <w:jc w:val="center"/>
              <w:rPr>
                <w:rFonts w:cs="Calibri"/>
                <w:color w:val="FFFFFF"/>
                <w:sz w:val="20"/>
                <w:szCs w:val="14"/>
              </w:rPr>
            </w:pPr>
            <w:r w:rsidRPr="0028033B">
              <w:rPr>
                <w:rFonts w:cs="Calibri"/>
                <w:color w:val="FFFFFF"/>
                <w:sz w:val="20"/>
                <w:szCs w:val="14"/>
              </w:rPr>
              <w:t>-</w:t>
            </w:r>
            <w:r w:rsidRPr="0028033B">
              <w:rPr>
                <w:sz w:val="20"/>
                <w:szCs w:val="14"/>
              </w:rPr>
              <w:t>–</w:t>
            </w:r>
          </w:p>
        </w:tc>
      </w:tr>
      <w:tr w:rsidR="00E46639" w:rsidRPr="0028033B" w14:paraId="614BD1D7" w14:textId="77777777" w:rsidTr="00F16E23">
        <w:tc>
          <w:tcPr>
            <w:tcW w:w="320" w:type="dxa"/>
            <w:tcBorders>
              <w:top w:val="single" w:sz="4" w:space="0" w:color="1B556B"/>
              <w:left w:val="nil"/>
              <w:bottom w:val="single" w:sz="4" w:space="0" w:color="1B556B"/>
              <w:right w:val="nil"/>
            </w:tcBorders>
            <w:noWrap/>
            <w:vAlign w:val="center"/>
            <w:hideMark/>
          </w:tcPr>
          <w:p w14:paraId="13F4D965"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G</w:t>
            </w:r>
          </w:p>
        </w:tc>
        <w:tc>
          <w:tcPr>
            <w:tcW w:w="3224" w:type="dxa"/>
            <w:tcBorders>
              <w:top w:val="single" w:sz="4" w:space="0" w:color="1B556B"/>
              <w:left w:val="nil"/>
              <w:bottom w:val="single" w:sz="4" w:space="0" w:color="1B556B"/>
              <w:right w:val="nil"/>
            </w:tcBorders>
            <w:vAlign w:val="center"/>
            <w:hideMark/>
          </w:tcPr>
          <w:p w14:paraId="3344A9AB"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Liming</w:t>
            </w:r>
          </w:p>
        </w:tc>
        <w:tc>
          <w:tcPr>
            <w:tcW w:w="828" w:type="dxa"/>
            <w:tcBorders>
              <w:top w:val="single" w:sz="4" w:space="0" w:color="1B556B"/>
              <w:left w:val="nil"/>
              <w:bottom w:val="single" w:sz="4" w:space="0" w:color="1B556B"/>
              <w:right w:val="nil"/>
            </w:tcBorders>
            <w:noWrap/>
            <w:vAlign w:val="center"/>
            <w:hideMark/>
          </w:tcPr>
          <w:p w14:paraId="6C2DE4E1"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37B26AD3"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9" w:type="dxa"/>
            <w:tcBorders>
              <w:top w:val="single" w:sz="4" w:space="0" w:color="1B556B"/>
              <w:left w:val="nil"/>
              <w:bottom w:val="single" w:sz="4" w:space="0" w:color="1B556B"/>
              <w:right w:val="nil"/>
            </w:tcBorders>
            <w:noWrap/>
            <w:vAlign w:val="center"/>
            <w:hideMark/>
          </w:tcPr>
          <w:p w14:paraId="52B8E775"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1A94664C"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4A252F93"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T1</w:t>
            </w:r>
          </w:p>
        </w:tc>
        <w:tc>
          <w:tcPr>
            <w:tcW w:w="829" w:type="dxa"/>
            <w:tcBorders>
              <w:top w:val="single" w:sz="4" w:space="0" w:color="1B556B"/>
              <w:left w:val="nil"/>
              <w:bottom w:val="single" w:sz="4" w:space="0" w:color="1B556B"/>
              <w:right w:val="nil"/>
            </w:tcBorders>
            <w:noWrap/>
            <w:vAlign w:val="center"/>
            <w:hideMark/>
          </w:tcPr>
          <w:p w14:paraId="0F9EFC90"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D</w:t>
            </w:r>
          </w:p>
        </w:tc>
      </w:tr>
      <w:tr w:rsidR="00E46639" w:rsidRPr="0028033B" w14:paraId="10FEE810" w14:textId="77777777" w:rsidTr="00F16E23">
        <w:tc>
          <w:tcPr>
            <w:tcW w:w="320" w:type="dxa"/>
            <w:tcBorders>
              <w:top w:val="single" w:sz="4" w:space="0" w:color="1B556B"/>
              <w:left w:val="nil"/>
              <w:bottom w:val="single" w:sz="4" w:space="0" w:color="1B556B"/>
              <w:right w:val="nil"/>
            </w:tcBorders>
            <w:noWrap/>
            <w:vAlign w:val="center"/>
            <w:hideMark/>
          </w:tcPr>
          <w:p w14:paraId="34BE016B"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H</w:t>
            </w:r>
          </w:p>
        </w:tc>
        <w:tc>
          <w:tcPr>
            <w:tcW w:w="3224" w:type="dxa"/>
            <w:tcBorders>
              <w:top w:val="single" w:sz="4" w:space="0" w:color="1B556B"/>
              <w:left w:val="nil"/>
              <w:bottom w:val="single" w:sz="4" w:space="0" w:color="1B556B"/>
              <w:right w:val="nil"/>
            </w:tcBorders>
            <w:vAlign w:val="center"/>
            <w:hideMark/>
          </w:tcPr>
          <w:p w14:paraId="78493751"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Urea application</w:t>
            </w:r>
          </w:p>
        </w:tc>
        <w:tc>
          <w:tcPr>
            <w:tcW w:w="828" w:type="dxa"/>
            <w:tcBorders>
              <w:top w:val="single" w:sz="4" w:space="0" w:color="1B556B"/>
              <w:left w:val="nil"/>
              <w:bottom w:val="single" w:sz="4" w:space="0" w:color="1B556B"/>
              <w:right w:val="nil"/>
            </w:tcBorders>
            <w:noWrap/>
            <w:vAlign w:val="center"/>
            <w:hideMark/>
          </w:tcPr>
          <w:p w14:paraId="2BDC0946"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335C9D2B"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9" w:type="dxa"/>
            <w:tcBorders>
              <w:top w:val="single" w:sz="4" w:space="0" w:color="1B556B"/>
              <w:left w:val="nil"/>
              <w:bottom w:val="single" w:sz="4" w:space="0" w:color="1B556B"/>
              <w:right w:val="nil"/>
            </w:tcBorders>
            <w:noWrap/>
            <w:vAlign w:val="center"/>
            <w:hideMark/>
          </w:tcPr>
          <w:p w14:paraId="03065331"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24B226BD"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6184F362"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T1</w:t>
            </w:r>
          </w:p>
        </w:tc>
        <w:tc>
          <w:tcPr>
            <w:tcW w:w="829" w:type="dxa"/>
            <w:tcBorders>
              <w:top w:val="single" w:sz="4" w:space="0" w:color="1B556B"/>
              <w:left w:val="nil"/>
              <w:bottom w:val="single" w:sz="4" w:space="0" w:color="1B556B"/>
              <w:right w:val="nil"/>
            </w:tcBorders>
            <w:noWrap/>
            <w:vAlign w:val="center"/>
            <w:hideMark/>
          </w:tcPr>
          <w:p w14:paraId="4479D576"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D</w:t>
            </w:r>
          </w:p>
        </w:tc>
      </w:tr>
      <w:tr w:rsidR="00E46639" w:rsidRPr="0028033B" w14:paraId="5FFD5798" w14:textId="77777777" w:rsidTr="00F16E23">
        <w:tc>
          <w:tcPr>
            <w:tcW w:w="320" w:type="dxa"/>
            <w:tcBorders>
              <w:top w:val="single" w:sz="4" w:space="0" w:color="1B556B"/>
              <w:left w:val="nil"/>
              <w:bottom w:val="single" w:sz="4" w:space="0" w:color="1B556B"/>
              <w:right w:val="nil"/>
            </w:tcBorders>
            <w:noWrap/>
            <w:vAlign w:val="center"/>
            <w:hideMark/>
          </w:tcPr>
          <w:p w14:paraId="1E195946"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I</w:t>
            </w:r>
          </w:p>
        </w:tc>
        <w:tc>
          <w:tcPr>
            <w:tcW w:w="3224" w:type="dxa"/>
            <w:tcBorders>
              <w:top w:val="single" w:sz="4" w:space="0" w:color="1B556B"/>
              <w:left w:val="nil"/>
              <w:bottom w:val="single" w:sz="4" w:space="0" w:color="1B556B"/>
              <w:right w:val="nil"/>
            </w:tcBorders>
            <w:vAlign w:val="center"/>
            <w:hideMark/>
          </w:tcPr>
          <w:p w14:paraId="4D829364" w14:textId="77777777" w:rsidR="00E46639" w:rsidRPr="0028033B" w:rsidRDefault="00E46639" w:rsidP="00F16E23">
            <w:pPr>
              <w:spacing w:before="30" w:after="20"/>
              <w:rPr>
                <w:rFonts w:cs="Calibri"/>
                <w:b/>
                <w:bCs/>
                <w:color w:val="000000"/>
                <w:sz w:val="16"/>
                <w:szCs w:val="16"/>
              </w:rPr>
            </w:pPr>
            <w:r w:rsidRPr="0028033B">
              <w:rPr>
                <w:rFonts w:cs="Calibri"/>
                <w:b/>
                <w:bCs/>
                <w:color w:val="000000"/>
                <w:sz w:val="16"/>
                <w:szCs w:val="16"/>
              </w:rPr>
              <w:t>Other carbon-containing fertilisers</w:t>
            </w:r>
          </w:p>
        </w:tc>
        <w:tc>
          <w:tcPr>
            <w:tcW w:w="828" w:type="dxa"/>
            <w:tcBorders>
              <w:top w:val="single" w:sz="4" w:space="0" w:color="1B556B"/>
              <w:left w:val="nil"/>
              <w:bottom w:val="single" w:sz="4" w:space="0" w:color="1B556B"/>
              <w:right w:val="nil"/>
            </w:tcBorders>
            <w:noWrap/>
            <w:vAlign w:val="center"/>
            <w:hideMark/>
          </w:tcPr>
          <w:p w14:paraId="255D4FAD"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07C66C5A"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9" w:type="dxa"/>
            <w:tcBorders>
              <w:top w:val="single" w:sz="4" w:space="0" w:color="1B556B"/>
              <w:left w:val="nil"/>
              <w:bottom w:val="single" w:sz="4" w:space="0" w:color="1B556B"/>
              <w:right w:val="nil"/>
            </w:tcBorders>
            <w:noWrap/>
            <w:vAlign w:val="center"/>
            <w:hideMark/>
          </w:tcPr>
          <w:p w14:paraId="62377DA1"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05DB6787" w14:textId="77777777" w:rsidR="00E46639" w:rsidRPr="0028033B" w:rsidRDefault="00E46639" w:rsidP="00F16E23">
            <w:pPr>
              <w:spacing w:before="30" w:after="20"/>
              <w:jc w:val="center"/>
              <w:rPr>
                <w:rFonts w:cs="Calibri"/>
                <w:color w:val="FFFFFF"/>
                <w:sz w:val="14"/>
                <w:szCs w:val="14"/>
              </w:rPr>
            </w:pPr>
            <w:r w:rsidRPr="0028033B">
              <w:rPr>
                <w:rFonts w:cs="Calibri"/>
                <w:color w:val="FFFFFF"/>
                <w:sz w:val="14"/>
                <w:szCs w:val="14"/>
              </w:rPr>
              <w:t>-</w:t>
            </w:r>
            <w:r w:rsidRPr="0028033B">
              <w:rPr>
                <w:sz w:val="14"/>
                <w:szCs w:val="14"/>
              </w:rPr>
              <w:t>–</w:t>
            </w:r>
          </w:p>
        </w:tc>
        <w:tc>
          <w:tcPr>
            <w:tcW w:w="828" w:type="dxa"/>
            <w:tcBorders>
              <w:top w:val="single" w:sz="4" w:space="0" w:color="1B556B"/>
              <w:left w:val="nil"/>
              <w:bottom w:val="single" w:sz="4" w:space="0" w:color="1B556B"/>
              <w:right w:val="nil"/>
            </w:tcBorders>
            <w:noWrap/>
            <w:vAlign w:val="center"/>
            <w:hideMark/>
          </w:tcPr>
          <w:p w14:paraId="4D1F57F2"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NA</w:t>
            </w:r>
          </w:p>
        </w:tc>
        <w:tc>
          <w:tcPr>
            <w:tcW w:w="829" w:type="dxa"/>
            <w:tcBorders>
              <w:top w:val="single" w:sz="4" w:space="0" w:color="1B556B"/>
              <w:left w:val="nil"/>
              <w:bottom w:val="single" w:sz="4" w:space="0" w:color="1B556B"/>
              <w:right w:val="nil"/>
            </w:tcBorders>
            <w:noWrap/>
            <w:vAlign w:val="center"/>
            <w:hideMark/>
          </w:tcPr>
          <w:p w14:paraId="467DB7B4" w14:textId="77777777" w:rsidR="00E46639" w:rsidRPr="0028033B" w:rsidRDefault="00E46639" w:rsidP="00F16E23">
            <w:pPr>
              <w:spacing w:before="30" w:after="20"/>
              <w:jc w:val="center"/>
              <w:rPr>
                <w:rFonts w:cs="Calibri"/>
                <w:color w:val="000000"/>
                <w:sz w:val="16"/>
                <w:szCs w:val="16"/>
              </w:rPr>
            </w:pPr>
            <w:r w:rsidRPr="0028033B">
              <w:rPr>
                <w:rFonts w:cs="Calibri"/>
                <w:color w:val="000000"/>
                <w:sz w:val="16"/>
                <w:szCs w:val="16"/>
              </w:rPr>
              <w:t>NA</w:t>
            </w:r>
          </w:p>
        </w:tc>
      </w:tr>
    </w:tbl>
    <w:p w14:paraId="15164EF1" w14:textId="77777777" w:rsidR="00E46639" w:rsidRPr="0028033B" w:rsidRDefault="00E46639" w:rsidP="00E46639">
      <w:pPr>
        <w:pStyle w:val="Noteundertable"/>
        <w:rPr>
          <w:rFonts w:cs="Calibri"/>
        </w:rPr>
      </w:pPr>
      <w:r w:rsidRPr="0028033B">
        <w:rPr>
          <w:rFonts w:cs="Calibri"/>
          <w:b/>
          <w:bCs/>
        </w:rPr>
        <w:t>Note:</w:t>
      </w:r>
      <w:r w:rsidRPr="0028033B">
        <w:rPr>
          <w:rFonts w:cs="Calibri"/>
        </w:rPr>
        <w:t xml:space="preserve"> </w:t>
      </w:r>
      <w:r w:rsidRPr="0028033B">
        <w:rPr>
          <w:rFonts w:cs="Calibri"/>
        </w:rPr>
        <w:tab/>
        <w:t>CS = country specific; D = IPCC Guidelines (2006) default; NA = not applicable; T1 = Tier 1; T2 = Tier 2.</w:t>
      </w:r>
    </w:p>
    <w:p w14:paraId="13DF3C89" w14:textId="77777777" w:rsidR="00E46639" w:rsidRPr="0028033B" w:rsidRDefault="00E46639" w:rsidP="00E46639">
      <w:pPr>
        <w:pStyle w:val="BodyText"/>
      </w:pPr>
      <w:r w:rsidRPr="0028033B">
        <w:t>Further technical details on emissions calculations are provided in the Agriculture inventory methodology document (Pickering et al., 2025)</w:t>
      </w:r>
      <w:r w:rsidRPr="0028033B">
        <w:rPr>
          <w:rStyle w:val="FootnoteReference"/>
        </w:rPr>
        <w:footnoteReference w:id="21"/>
      </w:r>
      <w:r w:rsidRPr="0028033B">
        <w:t xml:space="preserve"> and in the methodological issues section for each category in this document. The approach for determining livestock nutritional and energy requirements, which is required to calculate </w:t>
      </w:r>
      <w:r w:rsidRPr="0028033B">
        <w:rPr>
          <w:i/>
          <w:iCs/>
        </w:rPr>
        <w:t>Enteric fermentation</w:t>
      </w:r>
      <w:r w:rsidRPr="0028033B">
        <w:t xml:space="preserve"> emissions and nitrogen excreted by livestock as the precursor for calculating </w:t>
      </w:r>
      <w:r w:rsidRPr="0028033B">
        <w:rPr>
          <w:i/>
          <w:iCs/>
        </w:rPr>
        <w:t>Manure management</w:t>
      </w:r>
      <w:r w:rsidRPr="0028033B">
        <w:t xml:space="preserve"> (and some </w:t>
      </w:r>
      <w:r w:rsidRPr="0028033B">
        <w:rPr>
          <w:i/>
          <w:iCs/>
        </w:rPr>
        <w:t xml:space="preserve">Agricultural soils </w:t>
      </w:r>
      <w:r w:rsidRPr="0028033B">
        <w:t>emissions), is described in the following paragraphs.</w:t>
      </w:r>
    </w:p>
    <w:p w14:paraId="76220418" w14:textId="77777777" w:rsidR="00E46639" w:rsidRPr="0028033B" w:rsidRDefault="00E46639" w:rsidP="00E46639">
      <w:pPr>
        <w:pStyle w:val="Heading4"/>
      </w:pPr>
      <w:r w:rsidRPr="0028033B">
        <w:t xml:space="preserve">Description of the Tier 2 model for determining emissions from energy requirements for major ruminant livestock categories </w:t>
      </w:r>
    </w:p>
    <w:p w14:paraId="120412FE" w14:textId="77777777" w:rsidR="00E46639" w:rsidRPr="0028033B" w:rsidRDefault="00E46639" w:rsidP="00E46639">
      <w:pPr>
        <w:pStyle w:val="BodyText"/>
      </w:pPr>
      <w:r w:rsidRPr="0028033B">
        <w:t xml:space="preserve">New Zealand uses a Tier 2, process-based model to calculate emissions from the major livestock categories (Clark et al., 2003). Components of the national Agriculture inventory model are constantly being improved through findings from new international and commissioned domestic research. The thoroughly researched country-specific emission factors and monthly data for livestock populations, animal productivity and feed quality mean New Zealand’s model is close to a Tier 3 inventory. However, data that inform pasture and non-pasture feed quality are not as comprehensive as would be required to report at a Tier 3 level. Figure 5.1.5 outlines the current Tier 2 methodology used to estimate emissions for the four major livestock categories. </w:t>
      </w:r>
    </w:p>
    <w:p w14:paraId="415960EE" w14:textId="77777777" w:rsidR="00E46639" w:rsidRPr="0028033B" w:rsidRDefault="00E46639" w:rsidP="00E46639">
      <w:pPr>
        <w:pStyle w:val="BodyText"/>
      </w:pPr>
      <w:r w:rsidRPr="0028033B">
        <w:t>Agricultural production (meat, milk and wool) and livestock population data are combined in the model with data on the total metabolisable energy (ME) content of the animal’s diet. To calculate CH</w:t>
      </w:r>
      <w:r w:rsidRPr="0028033B">
        <w:rPr>
          <w:vertAlign w:val="subscript"/>
        </w:rPr>
        <w:t>4</w:t>
      </w:r>
      <w:r w:rsidRPr="0028033B">
        <w:t xml:space="preserve"> emissions from enteric fermentation, the production data are used to determine the dry-matter intake (DMI) required to meet total annual productivity levels for each of the livestock categories and are then multiplied by a country-specific CH</w:t>
      </w:r>
      <w:r w:rsidRPr="0028033B">
        <w:rPr>
          <w:vertAlign w:val="subscript"/>
        </w:rPr>
        <w:t>4</w:t>
      </w:r>
      <w:r w:rsidRPr="0028033B">
        <w:t xml:space="preserve"> emission factor per unit of DMI. </w:t>
      </w:r>
      <w:r w:rsidRPr="0028033B">
        <w:rPr>
          <w:i/>
        </w:rPr>
        <w:t>Manure management</w:t>
      </w:r>
      <w:r w:rsidRPr="0028033B">
        <w:t xml:space="preserve"> emissions are primarily CH</w:t>
      </w:r>
      <w:r w:rsidRPr="0028033B">
        <w:rPr>
          <w:vertAlign w:val="subscript"/>
        </w:rPr>
        <w:t>4</w:t>
      </w:r>
      <w:r w:rsidRPr="0028033B">
        <w:t xml:space="preserve"> from manure dung and urine deposited directly onto pasture, but also N</w:t>
      </w:r>
      <w:r w:rsidRPr="0028033B">
        <w:rPr>
          <w:vertAlign w:val="subscript"/>
        </w:rPr>
        <w:t>2</w:t>
      </w:r>
      <w:r w:rsidRPr="0028033B">
        <w:t>O as that manure breaks down due to the processes of nitrification, denitrification, volatilisation and leaching. Information on the nitrogen content of feed is multiplied with the DMI previously calculated to determine quantity of animal nitrogen intake and subsequent nitrogen excretion after allowing for nitrogen in growth and milk production.</w:t>
      </w:r>
    </w:p>
    <w:p w14:paraId="1CE86F51" w14:textId="77777777" w:rsidR="00E46639" w:rsidRPr="0028033B" w:rsidRDefault="00E46639" w:rsidP="00E46639">
      <w:pPr>
        <w:pStyle w:val="Figure"/>
        <w:spacing w:after="80"/>
      </w:pPr>
      <w:bookmarkStart w:id="674" w:name="_Toc481752010"/>
      <w:bookmarkStart w:id="675" w:name="_Toc507158469"/>
      <w:bookmarkStart w:id="676" w:name="_Toc511116960"/>
      <w:bookmarkStart w:id="677" w:name="_Toc5269690"/>
      <w:bookmarkStart w:id="678" w:name="_Toc32570961"/>
      <w:bookmarkStart w:id="679" w:name="_Toc36292791"/>
      <w:bookmarkStart w:id="680" w:name="_Toc68786656"/>
      <w:bookmarkStart w:id="681" w:name="_Toc95574117"/>
      <w:bookmarkStart w:id="682" w:name="_Toc127458556"/>
      <w:bookmarkStart w:id="683" w:name="_Toc131591558"/>
      <w:bookmarkStart w:id="684" w:name="_Toc164154026"/>
      <w:bookmarkStart w:id="685" w:name="_Toc222407706"/>
      <w:bookmarkStart w:id="686" w:name="_Toc226200686"/>
      <w:r w:rsidRPr="0028033B">
        <w:t xml:space="preserve">Figure 5.1.5 </w:t>
      </w:r>
      <w:r w:rsidRPr="0028033B">
        <w:tab/>
        <w:t>Simplified methodology for calculating emissions for major ruminant livestock categories</w:t>
      </w:r>
      <w:bookmarkEnd w:id="674"/>
      <w:bookmarkEnd w:id="675"/>
      <w:bookmarkEnd w:id="676"/>
      <w:bookmarkEnd w:id="677"/>
      <w:bookmarkEnd w:id="678"/>
      <w:bookmarkEnd w:id="679"/>
      <w:bookmarkEnd w:id="680"/>
      <w:bookmarkEnd w:id="681"/>
      <w:bookmarkEnd w:id="682"/>
      <w:bookmarkEnd w:id="683"/>
      <w:bookmarkEnd w:id="684"/>
      <w:bookmarkEnd w:id="685"/>
      <w:bookmarkEnd w:id="686"/>
    </w:p>
    <w:p w14:paraId="1C033CA3" w14:textId="77777777" w:rsidR="00E46639" w:rsidRPr="0028033B" w:rsidRDefault="00E46639" w:rsidP="00E46639">
      <w:pPr>
        <w:pStyle w:val="BodyText"/>
        <w:jc w:val="center"/>
      </w:pPr>
      <w:r w:rsidRPr="0028033B">
        <w:rPr>
          <w:rFonts w:eastAsia="Calibri"/>
        </w:rPr>
        <w:object w:dxaOrig="14670" w:dyaOrig="13470" w14:anchorId="350CB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4.8pt;height:324pt" o:ole="">
            <v:imagedata r:id="rId96" o:title="" cropbottom="2082f" cropright="12005f"/>
          </v:shape>
          <o:OLEObject Type="Embed" ProgID="Visio.Drawing.15" ShapeID="_x0000_i1025" DrawAspect="Content" ObjectID="_1837681031" r:id="rId97"/>
        </w:object>
      </w:r>
    </w:p>
    <w:p w14:paraId="4339F442" w14:textId="77777777" w:rsidR="00E46639" w:rsidRPr="0028033B" w:rsidRDefault="00E46639" w:rsidP="00E46639">
      <w:pPr>
        <w:pStyle w:val="Noteundertable"/>
        <w:spacing w:before="0" w:after="60"/>
        <w:rPr>
          <w:rFonts w:cs="Calibri"/>
        </w:rPr>
      </w:pPr>
      <w:r w:rsidRPr="0028033B">
        <w:rPr>
          <w:rFonts w:cs="Calibri"/>
          <w:b/>
          <w:bCs/>
        </w:rPr>
        <w:t xml:space="preserve">Note: </w:t>
      </w:r>
      <w:r w:rsidRPr="0028033B">
        <w:tab/>
      </w:r>
      <w:r w:rsidRPr="0028033B">
        <w:rPr>
          <w:rFonts w:cs="Calibri"/>
        </w:rPr>
        <w:t>CH</w:t>
      </w:r>
      <w:r w:rsidRPr="0028033B">
        <w:rPr>
          <w:rFonts w:cs="Calibri"/>
          <w:vertAlign w:val="subscript"/>
        </w:rPr>
        <w:t>4</w:t>
      </w:r>
      <w:r w:rsidRPr="0028033B">
        <w:rPr>
          <w:rFonts w:cs="Calibri"/>
        </w:rPr>
        <w:t xml:space="preserve"> = methane; DMI = dry-matter intake; kg = kilogram; MJ = megajoule; N</w:t>
      </w:r>
      <w:r w:rsidRPr="0028033B">
        <w:rPr>
          <w:rFonts w:cs="Calibri"/>
          <w:vertAlign w:val="subscript"/>
        </w:rPr>
        <w:t>2</w:t>
      </w:r>
      <w:r w:rsidRPr="0028033B">
        <w:rPr>
          <w:rFonts w:cs="Calibri"/>
        </w:rPr>
        <w:t>O = nitrous oxide; NZ = New Zealand.</w:t>
      </w:r>
    </w:p>
    <w:p w14:paraId="215C66EA" w14:textId="77777777" w:rsidR="00E46639" w:rsidRPr="0028033B" w:rsidRDefault="00E46639" w:rsidP="00E46639">
      <w:pPr>
        <w:pStyle w:val="BodyText"/>
        <w:spacing w:before="80" w:after="60"/>
      </w:pPr>
      <w:r w:rsidRPr="0028033B">
        <w:t>The main emissions from ruminant livestock are CH</w:t>
      </w:r>
      <w:r w:rsidRPr="0028033B">
        <w:rPr>
          <w:vertAlign w:val="subscript"/>
        </w:rPr>
        <w:t>4</w:t>
      </w:r>
      <w:r w:rsidRPr="0028033B">
        <w:t xml:space="preserve"> from enteric fermentation and N</w:t>
      </w:r>
      <w:r w:rsidRPr="0028033B">
        <w:rPr>
          <w:vertAlign w:val="subscript"/>
        </w:rPr>
        <w:t>2</w:t>
      </w:r>
      <w:r w:rsidRPr="0028033B">
        <w:t xml:space="preserve">O from manure (urine and dung). The quantity of livestock emissions has a linear relationship with DMI, which is a function of livestock energy requirements and the energy concentration of the feed: </w:t>
      </w:r>
    </w:p>
    <w:p w14:paraId="70E4D7CD" w14:textId="77777777" w:rsidR="00E46639" w:rsidRPr="0028033B" w:rsidRDefault="00E46639" w:rsidP="00E46639">
      <w:pPr>
        <w:spacing w:before="80" w:after="120"/>
        <w:jc w:val="center"/>
        <w:rPr>
          <w:sz w:val="24"/>
        </w:rPr>
      </w:pPr>
      <m:oMathPara>
        <m:oMath>
          <m:r>
            <w:rPr>
              <w:rFonts w:ascii="Cambria Math" w:hAnsi="Cambria Math"/>
              <w:sz w:val="24"/>
            </w:rPr>
            <m:t>DMI=</m:t>
          </m:r>
          <m:f>
            <m:fPr>
              <m:ctrlPr>
                <w:rPr>
                  <w:rFonts w:ascii="Cambria Math" w:hAnsi="Cambria Math"/>
                  <w:i/>
                  <w:sz w:val="24"/>
                </w:rPr>
              </m:ctrlPr>
            </m:fPr>
            <m:num>
              <m:r>
                <w:rPr>
                  <w:rFonts w:ascii="Cambria Math" w:hAnsi="Cambria Math"/>
                  <w:sz w:val="24"/>
                </w:rPr>
                <m:t>M</m:t>
              </m:r>
              <m:sSub>
                <m:sSubPr>
                  <m:ctrlPr>
                    <w:rPr>
                      <w:rFonts w:ascii="Cambria Math" w:hAnsi="Cambria Math"/>
                      <w:i/>
                      <w:sz w:val="24"/>
                    </w:rPr>
                  </m:ctrlPr>
                </m:sSubPr>
                <m:e>
                  <m:r>
                    <w:rPr>
                      <w:rFonts w:ascii="Cambria Math" w:hAnsi="Cambria Math"/>
                      <w:sz w:val="24"/>
                    </w:rPr>
                    <m:t>E</m:t>
                  </m:r>
                </m:e>
                <m:sub>
                  <m:r>
                    <w:rPr>
                      <w:rFonts w:ascii="Cambria Math" w:hAnsi="Cambria Math"/>
                      <w:sz w:val="24"/>
                    </w:rPr>
                    <m:t>TOTAL</m:t>
                  </m:r>
                </m:sub>
              </m:sSub>
            </m:num>
            <m:den>
              <m:r>
                <w:rPr>
                  <w:rFonts w:ascii="Cambria Math" w:hAnsi="Cambria Math"/>
                  <w:sz w:val="24"/>
                </w:rPr>
                <m:t>E</m:t>
              </m:r>
            </m:den>
          </m:f>
        </m:oMath>
      </m:oMathPara>
    </w:p>
    <w:p w14:paraId="1637C78A" w14:textId="77777777" w:rsidR="00E46639" w:rsidRPr="0028033B" w:rsidRDefault="00E46639" w:rsidP="00E46639">
      <w:pPr>
        <w:spacing w:before="80" w:after="40"/>
        <w:ind w:left="993" w:hanging="993"/>
        <w:rPr>
          <w:rFonts w:cs="Calibri"/>
        </w:rPr>
      </w:pPr>
      <w:r w:rsidRPr="0028033B">
        <w:rPr>
          <w:rFonts w:cs="Calibri"/>
        </w:rPr>
        <w:t>Where:</w:t>
      </w:r>
      <w:r w:rsidRPr="0028033B">
        <w:rPr>
          <w:rFonts w:cs="Calibri"/>
        </w:rPr>
        <w:tab/>
        <w:t>DMI is the dry-matter intake (kg/year)</w:t>
      </w:r>
    </w:p>
    <w:p w14:paraId="74EEBA8B" w14:textId="77777777" w:rsidR="00E46639" w:rsidRPr="0028033B" w:rsidRDefault="00E46639" w:rsidP="00E46639">
      <w:pPr>
        <w:spacing w:before="30" w:after="40"/>
        <w:ind w:left="993" w:hanging="993"/>
        <w:rPr>
          <w:rFonts w:cs="Calibri"/>
        </w:rPr>
      </w:pPr>
      <w:r w:rsidRPr="0028033B">
        <w:rPr>
          <w:rFonts w:cs="Calibri"/>
        </w:rPr>
        <w:tab/>
        <w:t>ME</w:t>
      </w:r>
      <w:r w:rsidRPr="0028033B">
        <w:rPr>
          <w:rFonts w:cs="Calibri"/>
          <w:vertAlign w:val="subscript"/>
        </w:rPr>
        <w:t>TOTAL</w:t>
      </w:r>
      <w:r w:rsidRPr="0028033B">
        <w:rPr>
          <w:rFonts w:cs="Calibri"/>
        </w:rPr>
        <w:t xml:space="preserve"> is the total metabolisable energy requirement of the animal (kJ), and</w:t>
      </w:r>
    </w:p>
    <w:p w14:paraId="0577564B" w14:textId="77777777" w:rsidR="00E46639" w:rsidRPr="0028033B" w:rsidRDefault="00E46639" w:rsidP="00E46639">
      <w:pPr>
        <w:spacing w:before="30" w:after="80"/>
        <w:ind w:left="993" w:hanging="993"/>
        <w:rPr>
          <w:rFonts w:cs="Calibri"/>
        </w:rPr>
      </w:pPr>
      <w:r w:rsidRPr="0028033B">
        <w:rPr>
          <w:rFonts w:cs="Calibri"/>
        </w:rPr>
        <w:tab/>
        <w:t>E is the energy concentration in the feed (kJ/kg DMI).</w:t>
      </w:r>
    </w:p>
    <w:p w14:paraId="4E362F05" w14:textId="77777777" w:rsidR="00E46639" w:rsidRPr="0028033B" w:rsidRDefault="00E46639" w:rsidP="00E46639">
      <w:pPr>
        <w:pStyle w:val="Heading5"/>
      </w:pPr>
      <w:r w:rsidRPr="0028033B">
        <w:t>Calculating metabolisable energy requirements (ME</w:t>
      </w:r>
      <w:r w:rsidRPr="0028033B">
        <w:rPr>
          <w:vertAlign w:val="subscript"/>
        </w:rPr>
        <w:t>TOTAL</w:t>
      </w:r>
      <w:r w:rsidRPr="0028033B">
        <w:t xml:space="preserve">) </w:t>
      </w:r>
    </w:p>
    <w:p w14:paraId="0FB6C05D" w14:textId="77777777" w:rsidR="00E46639" w:rsidRPr="0028033B" w:rsidRDefault="00E46639" w:rsidP="00E46639">
      <w:pPr>
        <w:pStyle w:val="BodyText"/>
        <w:spacing w:before="100" w:after="100"/>
      </w:pPr>
      <w:r w:rsidRPr="0028033B">
        <w:t xml:space="preserve">For dairy cattle, non-dairy (beef) cattle and sheep, the approach for calculating total ME requirements </w:t>
      </w:r>
      <w:r w:rsidRPr="0028033B">
        <w:rPr>
          <w:spacing w:val="-2"/>
        </w:rPr>
        <w:t>was developed in Australia by the Commonwealth Scientific and Industrial Research Organisation</w:t>
      </w:r>
      <w:r w:rsidRPr="0028033B">
        <w:t xml:space="preserve"> (CSIRO, 1990). The CSIRO algorithms have been chosen because they specifically include methods to estimate the energy requirements of grazing ruminants outdoors, which is the predominant feeding method used in </w:t>
      </w:r>
      <w:r w:rsidRPr="0028033B" w:rsidDel="00A41A77">
        <w:t xml:space="preserve">New </w:t>
      </w:r>
      <w:r w:rsidRPr="0028033B">
        <w:t xml:space="preserve">Zealand. Further, </w:t>
      </w:r>
      <w:r w:rsidRPr="0028033B">
        <w:rPr>
          <w:spacing w:val="-2"/>
        </w:rPr>
        <w:t xml:space="preserve">the CSIRO algorithms consider animal liveweight and production requirements based on the rate of liveweight gain, gender, milk yield and physiological state. </w:t>
      </w:r>
      <w:r w:rsidRPr="0028033B">
        <w:t xml:space="preserve">All calculations are performed monthly. The equation below is derived from the general equation used in the Australian feeding standards and adjusted to suit </w:t>
      </w:r>
      <w:r w:rsidRPr="0028033B" w:rsidDel="00ED534A">
        <w:t>New</w:t>
      </w:r>
      <w:r w:rsidRPr="0028033B">
        <w:t xml:space="preserve"> Zealand conditions. </w:t>
      </w:r>
    </w:p>
    <w:p w14:paraId="70FE78B0" w14:textId="77777777" w:rsidR="00E46639" w:rsidRPr="0028033B" w:rsidRDefault="00E46639" w:rsidP="00E46639">
      <w:pPr>
        <w:pStyle w:val="BodyText"/>
        <w:spacing w:before="100" w:after="80"/>
      </w:pPr>
      <w:r w:rsidRPr="0028033B">
        <w:t>The total energy required (ME</w:t>
      </w:r>
      <w:r w:rsidRPr="0028033B">
        <w:rPr>
          <w:vertAlign w:val="subscript"/>
        </w:rPr>
        <w:t>TOTAL</w:t>
      </w:r>
      <w:r w:rsidRPr="0028033B">
        <w:t>) is made up of:</w:t>
      </w:r>
    </w:p>
    <w:p w14:paraId="6D68EE06" w14:textId="77777777" w:rsidR="00E46639" w:rsidRPr="0028033B" w:rsidRDefault="00E46639" w:rsidP="00E46639">
      <w:pPr>
        <w:pStyle w:val="Bullet"/>
      </w:pPr>
      <w:r w:rsidRPr="0028033B">
        <w:t>energy required to maintain animal weight, which is a function of the animal’s liveweight gender, breed, stage of maturity and physiological state (e.g., growing or lactating) (ME</w:t>
      </w:r>
      <w:r w:rsidRPr="0028033B">
        <w:rPr>
          <w:vertAlign w:val="subscript"/>
        </w:rPr>
        <w:t>m</w:t>
      </w:r>
      <w:r w:rsidRPr="0028033B">
        <w:t>)</w:t>
      </w:r>
    </w:p>
    <w:p w14:paraId="6D804035" w14:textId="77777777" w:rsidR="00E46639" w:rsidRPr="0028033B" w:rsidRDefault="00E46639" w:rsidP="00E46639">
      <w:pPr>
        <w:pStyle w:val="Bullet"/>
      </w:pPr>
      <w:r w:rsidRPr="0028033B">
        <w:t>energy required for the production of milk, wool, velvet, and live weight gain</w:t>
      </w:r>
      <w:r w:rsidRPr="0028033B" w:rsidDel="00E37BE3">
        <w:t xml:space="preserve"> </w:t>
      </w:r>
      <w:r w:rsidRPr="0028033B">
        <w:t>(ME</w:t>
      </w:r>
      <w:r w:rsidRPr="0028033B">
        <w:rPr>
          <w:vertAlign w:val="subscript"/>
        </w:rPr>
        <w:t>p</w:t>
      </w:r>
      <w:r w:rsidRPr="0028033B">
        <w:t>)</w:t>
      </w:r>
    </w:p>
    <w:p w14:paraId="6C2C1DF9" w14:textId="77777777" w:rsidR="00E46639" w:rsidRPr="0028033B" w:rsidRDefault="00E46639" w:rsidP="00E46639">
      <w:pPr>
        <w:pStyle w:val="Bullet"/>
      </w:pPr>
      <w:r w:rsidRPr="0028033B">
        <w:t>energy required for gestation or growth of the conceptus at any given time during pregnancy (ME</w:t>
      </w:r>
      <w:r w:rsidRPr="0028033B">
        <w:rPr>
          <w:vertAlign w:val="subscript"/>
        </w:rPr>
        <w:t>c</w:t>
      </w:r>
      <w:r w:rsidRPr="0028033B">
        <w:t>)</w:t>
      </w:r>
    </w:p>
    <w:p w14:paraId="7386C8DF" w14:textId="77777777" w:rsidR="00E46639" w:rsidRPr="0028033B" w:rsidRDefault="00E46639" w:rsidP="00E46639">
      <w:pPr>
        <w:pStyle w:val="Bullet"/>
      </w:pPr>
      <w:r w:rsidRPr="0028033B">
        <w:t>the additional amount of energy expended during grazing, compared with similar housed animals (ME</w:t>
      </w:r>
      <w:r w:rsidRPr="0028033B">
        <w:rPr>
          <w:vertAlign w:val="subscript"/>
        </w:rPr>
        <w:t>GRAZE</w:t>
      </w:r>
      <w:r w:rsidRPr="0028033B">
        <w:t>).</w:t>
      </w:r>
    </w:p>
    <w:p w14:paraId="14D5171D" w14:textId="77777777" w:rsidR="00E46639" w:rsidRPr="0028033B" w:rsidRDefault="00E46639" w:rsidP="00E46639">
      <w:pPr>
        <w:spacing w:before="80" w:after="120"/>
        <w:jc w:val="center"/>
        <w:rPr>
          <w:i/>
          <w:sz w:val="24"/>
        </w:rPr>
      </w:pPr>
      <m:oMathPara>
        <m:oMath>
          <m:r>
            <w:rPr>
              <w:rFonts w:ascii="Cambria Math" w:hAnsi="Cambria Math" w:cs="Calibri"/>
              <w:sz w:val="24"/>
              <w:szCs w:val="24"/>
            </w:rPr>
            <m:t>M</m:t>
          </m:r>
          <m:sSub>
            <m:sSubPr>
              <m:ctrlPr>
                <w:rPr>
                  <w:rFonts w:ascii="Cambria Math" w:hAnsi="Cambria Math"/>
                  <w:i/>
                  <w:sz w:val="24"/>
                </w:rPr>
              </m:ctrlPr>
            </m:sSubPr>
            <m:e>
              <m:r>
                <w:rPr>
                  <w:rFonts w:ascii="Cambria Math" w:hAnsi="Cambria Math" w:cs="Calibri"/>
                  <w:sz w:val="24"/>
                  <w:szCs w:val="24"/>
                </w:rPr>
                <m:t>E</m:t>
              </m:r>
            </m:e>
            <m:sub>
              <m:r>
                <w:rPr>
                  <w:rFonts w:ascii="Cambria Math" w:hAnsi="Cambria Math" w:cs="Calibri"/>
                  <w:sz w:val="24"/>
                  <w:szCs w:val="24"/>
                </w:rPr>
                <m:t>TOTAL</m:t>
              </m:r>
            </m:sub>
          </m:sSub>
          <m:r>
            <w:rPr>
              <w:rFonts w:ascii="Cambria Math" w:hAnsi="Cambria Math"/>
              <w:sz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m</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ctrlPr>
                <w:rPr>
                  <w:rFonts w:ascii="Cambria Math" w:hAnsi="Cambria Math"/>
                  <w:i/>
                  <w:sz w:val="24"/>
                </w:rPr>
              </m:ctrlPr>
            </m:e>
            <m:sub>
              <m:r>
                <w:rPr>
                  <w:rFonts w:ascii="Cambria Math" w:hAnsi="Cambria Math" w:cs="Calibri"/>
                  <w:sz w:val="24"/>
                  <w:szCs w:val="24"/>
                </w:rPr>
                <m:t>P</m:t>
              </m:r>
              <m:ctrlPr>
                <w:rPr>
                  <w:rFonts w:ascii="Cambria Math" w:hAnsi="Cambria Math"/>
                  <w:i/>
                  <w:sz w:val="24"/>
                </w:rPr>
              </m:ctrlPr>
            </m:sub>
          </m:sSub>
          <m:r>
            <w:rPr>
              <w:rFonts w:ascii="Cambria Math" w:hAnsi="Cambria Math"/>
              <w:sz w:val="24"/>
            </w:rPr>
            <m:t>+</m:t>
          </m:r>
          <m:sSub>
            <m:sSubPr>
              <m:ctrlPr>
                <w:rPr>
                  <w:rFonts w:ascii="Cambria Math" w:hAnsi="Cambria Math"/>
                  <w:i/>
                  <w:sz w:val="24"/>
                </w:rPr>
              </m:ctrlPr>
            </m:sSubPr>
            <m:e>
              <m:r>
                <w:rPr>
                  <w:rFonts w:ascii="Cambria Math" w:hAnsi="Cambria Math" w:cs="Calibri"/>
                  <w:sz w:val="24"/>
                  <w:szCs w:val="24"/>
                </w:rPr>
                <m:t>ME</m:t>
              </m:r>
            </m:e>
            <m:sub>
              <m:r>
                <w:rPr>
                  <w:rFonts w:ascii="Cambria Math" w:hAnsi="Cambria Math" w:cs="Calibri"/>
                  <w:sz w:val="24"/>
                  <w:szCs w:val="24"/>
                </w:rPr>
                <m:t>GRAZE</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c</m:t>
              </m:r>
            </m:sub>
          </m:sSub>
        </m:oMath>
      </m:oMathPara>
    </w:p>
    <w:p w14:paraId="4DE47000" w14:textId="77777777" w:rsidR="00E46639" w:rsidRPr="0028033B" w:rsidRDefault="00E46639" w:rsidP="00E46639">
      <w:pPr>
        <w:pStyle w:val="BodyText"/>
        <w:tabs>
          <w:tab w:val="left" w:pos="964"/>
        </w:tabs>
        <w:spacing w:after="40"/>
      </w:pPr>
      <w:r w:rsidRPr="0028033B">
        <w:t>Where:</w:t>
      </w:r>
      <w:r w:rsidRPr="0028033B">
        <w:tab/>
        <w:t>ME</w:t>
      </w:r>
      <w:r w:rsidRPr="0028033B">
        <w:rPr>
          <w:vertAlign w:val="subscript"/>
        </w:rPr>
        <w:t>m</w:t>
      </w:r>
      <w:r w:rsidRPr="0028033B">
        <w:t xml:space="preserve"> is the energy requirement for maintenance</w:t>
      </w:r>
    </w:p>
    <w:p w14:paraId="4FA9A03E" w14:textId="77777777" w:rsidR="00E46639" w:rsidRPr="0028033B" w:rsidRDefault="00E46639" w:rsidP="00E46639">
      <w:pPr>
        <w:pStyle w:val="BodyText"/>
        <w:tabs>
          <w:tab w:val="left" w:pos="964"/>
        </w:tabs>
        <w:spacing w:before="30" w:after="40"/>
      </w:pPr>
      <w:r w:rsidRPr="0028033B">
        <w:tab/>
        <w:t>ME</w:t>
      </w:r>
      <w:r w:rsidRPr="0028033B">
        <w:rPr>
          <w:vertAlign w:val="subscript"/>
        </w:rPr>
        <w:t>P</w:t>
      </w:r>
      <w:r w:rsidRPr="0028033B">
        <w:t xml:space="preserve"> is the energy used directly for production (meat, milk, wool and so on) </w:t>
      </w:r>
    </w:p>
    <w:p w14:paraId="3975481C" w14:textId="77777777" w:rsidR="00E46639" w:rsidRPr="0028033B" w:rsidRDefault="00E46639" w:rsidP="00E46639">
      <w:pPr>
        <w:pStyle w:val="BodyText"/>
        <w:tabs>
          <w:tab w:val="left" w:pos="964"/>
        </w:tabs>
        <w:spacing w:before="30" w:after="40"/>
      </w:pPr>
      <w:r w:rsidRPr="0028033B">
        <w:tab/>
        <w:t>ME</w:t>
      </w:r>
      <w:r w:rsidRPr="0028033B">
        <w:rPr>
          <w:vertAlign w:val="subscript"/>
        </w:rPr>
        <w:t>GRAZE</w:t>
      </w:r>
      <w:r w:rsidRPr="0028033B">
        <w:t xml:space="preserve"> is the additional energy required by grazing livestock, and</w:t>
      </w:r>
    </w:p>
    <w:p w14:paraId="635C2EFD" w14:textId="77777777" w:rsidR="00E46639" w:rsidRPr="0028033B" w:rsidRDefault="00E46639" w:rsidP="00E46639">
      <w:pPr>
        <w:pStyle w:val="BodyText"/>
        <w:tabs>
          <w:tab w:val="left" w:pos="964"/>
        </w:tabs>
        <w:spacing w:before="30"/>
      </w:pPr>
      <w:r w:rsidRPr="0028033B">
        <w:tab/>
        <w:t>ME</w:t>
      </w:r>
      <w:r w:rsidRPr="0028033B">
        <w:rPr>
          <w:vertAlign w:val="subscript"/>
        </w:rPr>
        <w:t>c</w:t>
      </w:r>
      <w:r w:rsidRPr="0028033B">
        <w:t xml:space="preserve"> is the energy used for gestation or growth of the conceptus (MJ/day).</w:t>
      </w:r>
    </w:p>
    <w:p w14:paraId="6283916D" w14:textId="77777777" w:rsidR="00E46639" w:rsidRPr="0028033B" w:rsidRDefault="00E46639" w:rsidP="00E46639">
      <w:pPr>
        <w:pStyle w:val="BodyText"/>
      </w:pPr>
      <w:r w:rsidRPr="0028033B">
        <w:t>The ME</w:t>
      </w:r>
      <w:r w:rsidRPr="0028033B">
        <w:rPr>
          <w:vertAlign w:val="subscript"/>
        </w:rPr>
        <w:t>m</w:t>
      </w:r>
      <w:r w:rsidRPr="0028033B">
        <w:t xml:space="preserve"> requirement for an animal of a defined weight is not constant and will vary with energy costs of production. Increased productivity requires higher feed intakes and this affects the proportion of viscera and costs associated with respiration, cardiac output and so on. The Agriculture inventory model accounts for this by adding 10 percent of the dietary ME allocated to production (ME</w:t>
      </w:r>
      <w:r w:rsidRPr="0028033B">
        <w:rPr>
          <w:vertAlign w:val="subscript"/>
        </w:rPr>
        <w:t>p</w:t>
      </w:r>
      <w:r w:rsidRPr="0028033B">
        <w:t>) to ME</w:t>
      </w:r>
      <w:r w:rsidRPr="0028033B">
        <w:rPr>
          <w:vertAlign w:val="subscript"/>
        </w:rPr>
        <w:t>m</w:t>
      </w:r>
      <w:r w:rsidRPr="0028033B">
        <w:t xml:space="preserve"> (CSIRO, 1990). The addition of the term </w:t>
      </w:r>
      <w:r w:rsidRPr="0028033B">
        <w:rPr>
          <w:i/>
        </w:rPr>
        <w:t>0.1 × ME</w:t>
      </w:r>
      <w:r w:rsidRPr="0028033B">
        <w:rPr>
          <w:i/>
          <w:vertAlign w:val="subscript"/>
        </w:rPr>
        <w:t>p</w:t>
      </w:r>
      <w:r w:rsidRPr="0028033B">
        <w:t xml:space="preserve"> is used to account for this. </w:t>
      </w:r>
    </w:p>
    <w:p w14:paraId="6C6EE38D" w14:textId="77777777" w:rsidR="00E46639" w:rsidRPr="0028033B" w:rsidRDefault="00E46639" w:rsidP="00E46639">
      <w:pPr>
        <w:pStyle w:val="BodyText"/>
      </w:pPr>
      <w:r w:rsidRPr="0028033B">
        <w:t>The Agriculture inventory model uses a generic equation to calculate ME</w:t>
      </w:r>
      <w:r w:rsidRPr="0028033B">
        <w:rPr>
          <w:vertAlign w:val="subscript"/>
        </w:rPr>
        <w:t>m</w:t>
      </w:r>
      <w:r w:rsidRPr="0028033B">
        <w:t xml:space="preserve"> for dairy and non-dairy (beef) cattle, sheep and deer, but equations used to calculate ME</w:t>
      </w:r>
      <w:r w:rsidRPr="0028033B">
        <w:rPr>
          <w:vertAlign w:val="subscript"/>
        </w:rPr>
        <w:t xml:space="preserve">p </w:t>
      </w:r>
      <w:r w:rsidRPr="0028033B">
        <w:t>and ME</w:t>
      </w:r>
      <w:r w:rsidRPr="0028033B">
        <w:rPr>
          <w:i/>
          <w:vertAlign w:val="subscript"/>
        </w:rPr>
        <w:t>GRAZE</w:t>
      </w:r>
      <w:r w:rsidRPr="0028033B">
        <w:t xml:space="preserve"> differ for each animal category: </w:t>
      </w:r>
    </w:p>
    <w:p w14:paraId="751C9A12" w14:textId="77777777" w:rsidR="00E46639" w:rsidRPr="0028033B" w:rsidRDefault="00000000" w:rsidP="00E46639">
      <w:pPr>
        <w:spacing w:after="60"/>
        <w:rPr>
          <w:i/>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ME</m:t>
              </m:r>
            </m:e>
            <m:sub>
              <m:r>
                <w:rPr>
                  <w:rFonts w:ascii="Cambria Math" w:hAnsi="Cambria Math"/>
                  <w:sz w:val="24"/>
                  <w:szCs w:val="24"/>
                </w:rPr>
                <m:t>m</m:t>
              </m:r>
            </m:sub>
          </m:sSub>
          <m:r>
            <w:rPr>
              <w:rFonts w:ascii="Cambria Math" w:hAnsi="Cambria Math"/>
              <w:sz w:val="24"/>
              <w:szCs w:val="24"/>
            </w:rPr>
            <m:t>=K×S×</m:t>
          </m:r>
          <m:f>
            <m:fPr>
              <m:ctrlPr>
                <w:rPr>
                  <w:rFonts w:ascii="Cambria Math" w:hAnsi="Cambria Math"/>
                  <w:i/>
                  <w:sz w:val="24"/>
                  <w:szCs w:val="24"/>
                </w:rPr>
              </m:ctrlPr>
            </m:fPr>
            <m:num>
              <m:r>
                <w:rPr>
                  <w:rFonts w:ascii="Cambria Math" w:hAnsi="Cambria Math"/>
                  <w:sz w:val="24"/>
                  <w:szCs w:val="24"/>
                </w:rPr>
                <m:t>0.28L</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0.75</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-0.03A</m:t>
                  </m:r>
                </m:sup>
              </m:sSup>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m</m:t>
                  </m:r>
                </m:sub>
              </m:sSub>
            </m:den>
          </m:f>
          <m:r>
            <w:rPr>
              <w:rFonts w:ascii="Cambria Math" w:hAnsi="Cambria Math"/>
              <w:sz w:val="24"/>
              <w:szCs w:val="24"/>
            </w:rPr>
            <m:t>+0.1×</m:t>
          </m:r>
          <m:sSub>
            <m:sSubPr>
              <m:ctrlPr>
                <w:rPr>
                  <w:rFonts w:ascii="Cambria Math" w:hAnsi="Cambria Math"/>
                  <w:i/>
                  <w:sz w:val="24"/>
                  <w:szCs w:val="24"/>
                </w:rPr>
              </m:ctrlPr>
            </m:sSubPr>
            <m:e>
              <m:r>
                <w:rPr>
                  <w:rFonts w:ascii="Cambria Math" w:hAnsi="Cambria Math"/>
                  <w:sz w:val="24"/>
                  <w:szCs w:val="24"/>
                </w:rPr>
                <m:t>ME</m:t>
              </m:r>
            </m:e>
            <m:sub>
              <m:r>
                <w:rPr>
                  <w:rFonts w:ascii="Cambria Math" w:hAnsi="Cambria Math"/>
                  <w:sz w:val="24"/>
                  <w:szCs w:val="24"/>
                </w:rPr>
                <m:t>p</m:t>
              </m:r>
            </m:sub>
          </m:sSub>
        </m:oMath>
      </m:oMathPara>
    </w:p>
    <w:p w14:paraId="654F9C7F" w14:textId="77777777" w:rsidR="00E46639" w:rsidRPr="0028033B" w:rsidRDefault="00E46639" w:rsidP="00E46639">
      <w:pPr>
        <w:pStyle w:val="BodyText"/>
        <w:spacing w:before="80" w:after="40"/>
        <w:ind w:left="851" w:hanging="851"/>
      </w:pPr>
      <w:r w:rsidRPr="0028033B">
        <w:t>Where:</w:t>
      </w:r>
      <w:r w:rsidRPr="0028033B">
        <w:tab/>
        <w:t>ME</w:t>
      </w:r>
      <w:r w:rsidRPr="0028033B">
        <w:rPr>
          <w:vertAlign w:val="subscript"/>
        </w:rPr>
        <w:t>m</w:t>
      </w:r>
      <w:r w:rsidRPr="0028033B">
        <w:t xml:space="preserve"> = metabolisable energy required to maintain animal weight (MJ/d)</w:t>
      </w:r>
    </w:p>
    <w:p w14:paraId="3A33ACFF" w14:textId="77777777" w:rsidR="00E46639" w:rsidRPr="0028033B" w:rsidRDefault="00E46639" w:rsidP="00E46639">
      <w:pPr>
        <w:pStyle w:val="BodyText"/>
        <w:spacing w:before="30" w:after="40"/>
        <w:ind w:left="851" w:hanging="851"/>
        <w:rPr>
          <w:spacing w:val="-2"/>
        </w:rPr>
      </w:pPr>
      <w:r w:rsidRPr="0028033B">
        <w:tab/>
        <w:t xml:space="preserve">K = coefficient that accounts for differences in fasting heat production across species </w:t>
      </w:r>
      <w:r w:rsidRPr="0028033B">
        <w:rPr>
          <w:spacing w:val="-2"/>
        </w:rPr>
        <w:t xml:space="preserve">(CSIRO, 1990, p 22). This value is 1.0 for sheep and 1.4 for cattle and deer (CSIRO, 2007) </w:t>
      </w:r>
    </w:p>
    <w:p w14:paraId="6B808BF3" w14:textId="77777777" w:rsidR="00E46639" w:rsidRPr="0028033B" w:rsidRDefault="00E46639" w:rsidP="00E46639">
      <w:pPr>
        <w:pStyle w:val="BodyText"/>
        <w:spacing w:before="30" w:after="40"/>
        <w:ind w:left="851" w:hanging="851"/>
      </w:pPr>
      <w:r w:rsidRPr="0028033B">
        <w:tab/>
        <w:t xml:space="preserve">S = coefficient that accounts for differences in basal metabolic rate between males and females. This value is 1.0 for mature females and castrates or 1.15 for entire mature males (CSIRO, 2007) </w:t>
      </w:r>
    </w:p>
    <w:p w14:paraId="3D85D6E6" w14:textId="77777777" w:rsidR="00E46639" w:rsidRPr="0028033B" w:rsidRDefault="00E46639" w:rsidP="00E46639">
      <w:pPr>
        <w:pStyle w:val="BodyText"/>
        <w:spacing w:before="30" w:after="40"/>
        <w:ind w:left="851" w:hanging="851"/>
      </w:pPr>
      <w:r w:rsidRPr="0028033B">
        <w:tab/>
        <w:t xml:space="preserve">LW = live weight of animal (kg) </w:t>
      </w:r>
    </w:p>
    <w:p w14:paraId="52920581" w14:textId="77777777" w:rsidR="00E46639" w:rsidRPr="0028033B" w:rsidRDefault="00E46639" w:rsidP="00E46639">
      <w:pPr>
        <w:pStyle w:val="BodyText"/>
        <w:spacing w:before="30" w:after="40"/>
        <w:ind w:left="851" w:hanging="851"/>
      </w:pPr>
      <w:r w:rsidRPr="0028033B">
        <w:tab/>
        <w:t>A = age in years</w:t>
      </w:r>
    </w:p>
    <w:p w14:paraId="46E9F86F" w14:textId="77777777" w:rsidR="00E46639" w:rsidRPr="0028033B" w:rsidRDefault="00E46639" w:rsidP="00E46639">
      <w:pPr>
        <w:pStyle w:val="BodyText"/>
        <w:spacing w:before="30" w:after="40"/>
        <w:ind w:left="851" w:hanging="851"/>
      </w:pPr>
      <w:r w:rsidRPr="0028033B">
        <w:tab/>
        <w:t>k</w:t>
      </w:r>
      <w:r w:rsidRPr="0028033B">
        <w:rPr>
          <w:vertAlign w:val="subscript"/>
        </w:rPr>
        <w:t>m</w:t>
      </w:r>
      <w:r w:rsidRPr="0028033B">
        <w:t xml:space="preserve"> = efficiency of utilisation of ME for maintenance, or the factor used to convert ME to NE for maintenance</w:t>
      </w:r>
    </w:p>
    <w:p w14:paraId="18EC9A9C" w14:textId="77777777" w:rsidR="00E46639" w:rsidRPr="0028033B" w:rsidRDefault="00E46639" w:rsidP="00E46639">
      <w:pPr>
        <w:pStyle w:val="BodyText"/>
        <w:spacing w:before="30" w:after="80"/>
        <w:ind w:left="851" w:hanging="851"/>
      </w:pPr>
      <w:r w:rsidRPr="0028033B">
        <w:tab/>
        <w:t>ME</w:t>
      </w:r>
      <w:r w:rsidRPr="0028033B">
        <w:rPr>
          <w:vertAlign w:val="subscript"/>
        </w:rPr>
        <w:t>p</w:t>
      </w:r>
      <w:r w:rsidRPr="0028033B">
        <w:t xml:space="preserve"> = ME required for production (MJ/d).</w:t>
      </w:r>
    </w:p>
    <w:p w14:paraId="47F415CF" w14:textId="77777777" w:rsidR="00E46639" w:rsidRPr="0028033B" w:rsidRDefault="00E46639" w:rsidP="00E46639">
      <w:pPr>
        <w:pStyle w:val="BodyText"/>
        <w:spacing w:before="80" w:after="80"/>
      </w:pPr>
      <w:r w:rsidRPr="0028033B">
        <w:t>For further details, refer to the Agriculture inventory methodology document (Pickering et al., 2025).</w:t>
      </w:r>
    </w:p>
    <w:p w14:paraId="79F57672" w14:textId="77777777" w:rsidR="00E46639" w:rsidRPr="0028033B" w:rsidRDefault="00E46639" w:rsidP="00E46639">
      <w:pPr>
        <w:pStyle w:val="Heading5"/>
        <w:spacing w:before="200"/>
      </w:pPr>
      <w:r w:rsidRPr="0028033B">
        <w:t xml:space="preserve">Monthly diet energy (E) concentration </w:t>
      </w:r>
    </w:p>
    <w:p w14:paraId="58CDE1DB" w14:textId="77777777" w:rsidR="00E46639" w:rsidRPr="0028033B" w:rsidRDefault="00E46639" w:rsidP="00E46639">
      <w:pPr>
        <w:pStyle w:val="BodyText"/>
        <w:spacing w:before="60" w:after="80"/>
        <w:rPr>
          <w:strike/>
        </w:rPr>
      </w:pPr>
      <w:r w:rsidRPr="0028033B">
        <w:t xml:space="preserve">In New Zealand, dairy cattle, non-dairy (beef) cattle, sheep and deer are predominantly fed on pasture all year round. Data sets of estimated monthly energy concentrations of pasture consumed by different livestock species are used in the Agriculture inventory model. This diet is typically supplemented with feeds of various types, such as pasture hay and silage, and a range of different crops and crop wastes. Data on the energy concentration and composition of pasture and supplementary feed are reported in the Agriculture inventory methodology document (Pickering et al., 2025, appendices 3, 6, 7) and are derived from published and unpublished research trial data and </w:t>
      </w:r>
      <w:r w:rsidRPr="0028033B" w:rsidDel="00574888">
        <w:t xml:space="preserve">supplemented </w:t>
      </w:r>
      <w:r w:rsidRPr="0028033B">
        <w:t>with additional data from farm surveys on commercial cattle and sheep farms.</w:t>
      </w:r>
    </w:p>
    <w:p w14:paraId="6D5E84DE" w14:textId="77777777" w:rsidR="00E46639" w:rsidRPr="0028033B" w:rsidRDefault="00E46639" w:rsidP="00E46639">
      <w:pPr>
        <w:pStyle w:val="BodyText"/>
        <w:spacing w:before="100" w:after="80"/>
      </w:pPr>
      <w:r w:rsidRPr="0028033B">
        <w:t>To ensure consistency across the livestock emission source categories, a single enhanced livestock population characterisation and DMI estimate is produced by the Tier 2 model for each livestock class. The enhanced livestock characterisation and DMI are used to estimate CH</w:t>
      </w:r>
      <w:r w:rsidRPr="0028033B">
        <w:rPr>
          <w:vertAlign w:val="subscript"/>
        </w:rPr>
        <w:t>4</w:t>
      </w:r>
      <w:r w:rsidRPr="0028033B">
        <w:t xml:space="preserve"> emissions for the </w:t>
      </w:r>
      <w:r w:rsidRPr="0028033B">
        <w:rPr>
          <w:i/>
          <w:iCs/>
        </w:rPr>
        <w:t xml:space="preserve">Enteric fermentation </w:t>
      </w:r>
      <w:r w:rsidRPr="0028033B">
        <w:t>category, CH</w:t>
      </w:r>
      <w:r w:rsidRPr="0028033B">
        <w:rPr>
          <w:vertAlign w:val="subscript"/>
        </w:rPr>
        <w:t>4</w:t>
      </w:r>
      <w:r w:rsidRPr="0028033B">
        <w:t xml:space="preserve"> and N</w:t>
      </w:r>
      <w:r w:rsidRPr="0028033B">
        <w:rPr>
          <w:vertAlign w:val="subscript"/>
        </w:rPr>
        <w:t>2</w:t>
      </w:r>
      <w:r w:rsidRPr="0028033B">
        <w:t>O</w:t>
      </w:r>
      <w:r w:rsidRPr="0028033B" w:rsidDel="00574888">
        <w:t xml:space="preserve"> </w:t>
      </w:r>
      <w:r w:rsidRPr="0028033B">
        <w:t xml:space="preserve">emissions derived from the nitrogen concentration of the feed DMI for the </w:t>
      </w:r>
      <w:r w:rsidRPr="0028033B">
        <w:rPr>
          <w:i/>
          <w:iCs/>
        </w:rPr>
        <w:t>Manure management</w:t>
      </w:r>
      <w:r w:rsidRPr="0028033B">
        <w:t xml:space="preserve"> category, and N</w:t>
      </w:r>
      <w:r w:rsidRPr="0028033B">
        <w:rPr>
          <w:vertAlign w:val="subscript"/>
        </w:rPr>
        <w:t>2</w:t>
      </w:r>
      <w:r w:rsidRPr="0028033B">
        <w:t xml:space="preserve">O emissions for urine and dung deposited by grazing animals onto pasture in the </w:t>
      </w:r>
      <w:r w:rsidRPr="0028033B">
        <w:rPr>
          <w:i/>
          <w:iCs/>
        </w:rPr>
        <w:t>Agricultural soils</w:t>
      </w:r>
      <w:r w:rsidRPr="0028033B">
        <w:t xml:space="preserve"> category.</w:t>
      </w:r>
    </w:p>
    <w:p w14:paraId="5E1C3195" w14:textId="77777777" w:rsidR="00E46639" w:rsidRPr="0028033B" w:rsidRDefault="00E46639" w:rsidP="00E46639">
      <w:pPr>
        <w:pStyle w:val="Heading3"/>
        <w:spacing w:before="240"/>
      </w:pPr>
      <w:bookmarkStart w:id="687" w:name="_Toc32570646"/>
      <w:r w:rsidRPr="0028033B">
        <w:t xml:space="preserve">5.1.4 </w:t>
      </w:r>
      <w:r w:rsidRPr="0028033B">
        <w:tab/>
        <w:t>Activity data</w:t>
      </w:r>
      <w:bookmarkEnd w:id="687"/>
    </w:p>
    <w:p w14:paraId="7AA7018F" w14:textId="77777777" w:rsidR="00E46639" w:rsidRPr="0028033B" w:rsidRDefault="00E46639" w:rsidP="00E46639">
      <w:pPr>
        <w:pStyle w:val="Heading4"/>
        <w:spacing w:before="180"/>
      </w:pPr>
      <w:r w:rsidRPr="0028033B">
        <w:t xml:space="preserve">Major livestock categories </w:t>
      </w:r>
    </w:p>
    <w:p w14:paraId="73F3C262" w14:textId="77777777" w:rsidR="00E46639" w:rsidRPr="0028033B" w:rsidRDefault="00E46639" w:rsidP="00E46639">
      <w:pPr>
        <w:pStyle w:val="BodyText"/>
        <w:spacing w:before="60"/>
      </w:pPr>
      <w:r w:rsidRPr="0028033B">
        <w:t xml:space="preserve">The Tier 2 methodology developed by </w:t>
      </w:r>
      <w:r w:rsidRPr="0028033B" w:rsidDel="00A71F3E">
        <w:t xml:space="preserve">New </w:t>
      </w:r>
      <w:r w:rsidRPr="0028033B">
        <w:t xml:space="preserve">Zealand uses data on livestock population and productivity to calculate livestock energy requirements and DMI. Animal population data are collected by Stats NZ, New Zealand’s official data agency. Productivity data for dairy are provided jointly by the Livestock Improvement Corporation (LIC) (a farmer-owned cooperative genetics improvement organisation) and DairyNZ (an industry-good research, statistics and </w:t>
      </w:r>
      <w:r w:rsidRPr="0028033B">
        <w:rPr>
          <w:spacing w:val="-2"/>
        </w:rPr>
        <w:t>advisory body for dairy). Other data are provided by industry organisations such as Beef + Lamb</w:t>
      </w:r>
      <w:r w:rsidRPr="0028033B">
        <w:t xml:space="preserve"> New Zealand Ltd (an industry-good research, survey and advisory body for non-dairy (beef) cattle and sheep) and Deer Industry New Zealand (an industry-good research and advisory body for deer), which regularly collect animal sector statistics. Statistics on animal carcass weights are collected by the Ministry for Primary Industries (MPI) from all major meat processors and are used to derive animal liveweights for the Inventory. </w:t>
      </w:r>
    </w:p>
    <w:p w14:paraId="6975181E" w14:textId="77777777" w:rsidR="00E46639" w:rsidRPr="0028033B" w:rsidRDefault="00E46639" w:rsidP="00E46639">
      <w:pPr>
        <w:pStyle w:val="BodyText"/>
        <w:spacing w:before="100" w:after="100"/>
      </w:pPr>
      <w:r w:rsidRPr="0028033B">
        <w:t xml:space="preserve">A challenge for </w:t>
      </w:r>
      <w:r w:rsidRPr="0028033B" w:rsidDel="002028BE">
        <w:t xml:space="preserve">New </w:t>
      </w:r>
      <w:r w:rsidRPr="0028033B">
        <w:t xml:space="preserve">Zealand activity data is that the Inventory is calculated on a calendar year </w:t>
      </w:r>
      <w:r w:rsidRPr="0028033B">
        <w:rPr>
          <w:spacing w:val="-2"/>
        </w:rPr>
        <w:t xml:space="preserve">basis for international comparability purposes, while the </w:t>
      </w:r>
      <w:r w:rsidRPr="0028033B" w:rsidDel="009A6E24">
        <w:rPr>
          <w:spacing w:val="-2"/>
        </w:rPr>
        <w:t xml:space="preserve">New </w:t>
      </w:r>
      <w:r w:rsidRPr="0028033B">
        <w:rPr>
          <w:spacing w:val="-2"/>
        </w:rPr>
        <w:t>Zealand agricultural sector largely</w:t>
      </w:r>
      <w:r w:rsidRPr="0028033B">
        <w:t xml:space="preserve"> uses a June year-end basis for animal statistics because this reflects the natural biological annual cycle for animals in the southern hemisphere. New Zealand developed a Tier 2 model that estimates livestock emissions on a monthly time step, beginning on 1 July of one calendar year and ending on 30 June of the next year. To calculate emissions for a single calendar year (1 January to 31 December), the calculated emissions data from the last six months of a July–June year are combined with the first six months’ emissions of the next July–June year. This approach enables comparisons with the agricultural inventories of other countries.</w:t>
      </w:r>
    </w:p>
    <w:p w14:paraId="4C2B341A" w14:textId="77777777" w:rsidR="00E46639" w:rsidRPr="0028033B" w:rsidRDefault="00E46639" w:rsidP="00E46639">
      <w:pPr>
        <w:pStyle w:val="BodyText"/>
        <w:spacing w:before="100" w:after="100"/>
      </w:pPr>
      <w:r w:rsidRPr="0028033B">
        <w:rPr>
          <w:iCs/>
        </w:rPr>
        <w:t>Dairy cattle</w:t>
      </w:r>
      <w:r w:rsidRPr="0028033B">
        <w:t xml:space="preserve"> are the only livestock type where emissions are currently calculated on a sub</w:t>
      </w:r>
      <w:r w:rsidRPr="0028033B">
        <w:noBreakHyphen/>
        <w:t xml:space="preserve">national regional area basis represented by regional council boundaries. This allows the Agriculture inventory model to account for </w:t>
      </w:r>
      <w:r w:rsidRPr="0028033B">
        <w:rPr>
          <w:spacing w:val="-2"/>
        </w:rPr>
        <w:t xml:space="preserve">regional differences in productivity of dairy livestock as a result of </w:t>
      </w:r>
      <w:r w:rsidRPr="0028033B">
        <w:t>New Zealand’s</w:t>
      </w:r>
      <w:r w:rsidRPr="0028033B">
        <w:rPr>
          <w:spacing w:val="-2"/>
        </w:rPr>
        <w:t xml:space="preserve"> different climatic conditions </w:t>
      </w:r>
      <w:r w:rsidRPr="0028033B">
        <w:t xml:space="preserve">and management systems (Clark, 2008a). A regional emissions assessment is not carried out </w:t>
      </w:r>
      <w:r w:rsidRPr="0028033B">
        <w:rPr>
          <w:spacing w:val="-2"/>
        </w:rPr>
        <w:t>for other livestock types because regional productivity data are currently unable to be accurately</w:t>
      </w:r>
      <w:r w:rsidRPr="0028033B">
        <w:t xml:space="preserve"> collected at the sub</w:t>
      </w:r>
      <w:r w:rsidRPr="0028033B">
        <w:noBreakHyphen/>
        <w:t xml:space="preserve">national level and integrated into the national population data. </w:t>
      </w:r>
    </w:p>
    <w:p w14:paraId="307AB74B" w14:textId="77777777" w:rsidR="00E46639" w:rsidRPr="0028033B" w:rsidRDefault="00E46639" w:rsidP="00E46639">
      <w:pPr>
        <w:pStyle w:val="Heading5"/>
        <w:spacing w:before="200"/>
      </w:pPr>
      <w:r w:rsidRPr="0028033B">
        <w:t xml:space="preserve">Animal population data </w:t>
      </w:r>
    </w:p>
    <w:p w14:paraId="6ED676A9" w14:textId="77777777" w:rsidR="00E46639" w:rsidRPr="0028033B" w:rsidRDefault="00E46639" w:rsidP="00E46639">
      <w:pPr>
        <w:pStyle w:val="BodyText"/>
        <w:spacing w:before="80" w:after="100"/>
      </w:pPr>
      <w:r w:rsidRPr="0028033B">
        <w:t>Stats NZ collects animal population data on a sub-national territorial authority basis. Animal population data are collected on an annual basis through the Agricultural Production Census and Agricultural Production Survey. The census occurs every five years (the most recent occurred in 2022) and the survey is conducted in the interim years. The only difference between these two processes is the sample size. The census attempts to gather information from the entire target population, and the survey attempts to gather information from a representative random sample of that population. Further details about the scope and accuracy of the Stats NZ agricultural production data collection are provided in volume 2, annex 5, section A5.1.</w:t>
      </w:r>
    </w:p>
    <w:p w14:paraId="34931700" w14:textId="77777777" w:rsidR="00E46639" w:rsidRPr="0028033B" w:rsidRDefault="00E46639" w:rsidP="00E46639">
      <w:pPr>
        <w:pStyle w:val="BodyText"/>
        <w:spacing w:before="100" w:after="100"/>
        <w:rPr>
          <w:color w:val="000000" w:themeColor="text1"/>
        </w:rPr>
      </w:pPr>
      <w:r w:rsidRPr="0028033B">
        <w:t xml:space="preserve">Livestock population data for 2025 are needed to estimate emissions for the 2024 year. The timing of Stats NZ final data releases (June the year after the survey) and the inventory submission deadlines mean that actual 2025 population data are not available for this inventory submission. </w:t>
      </w:r>
      <w:r w:rsidRPr="0028033B">
        <w:rPr>
          <w:color w:val="000000" w:themeColor="text1"/>
        </w:rPr>
        <w:t>Projections based on figures published in New Zealand’s first Biennial Transparency Report under the Paris Agreement (Ministry for the Environment, 2024) have been used as a replacement for 2024 data.</w:t>
      </w:r>
    </w:p>
    <w:p w14:paraId="09E61A2B" w14:textId="77777777" w:rsidR="00E46639" w:rsidRPr="0028033B" w:rsidRDefault="00E46639" w:rsidP="00E46639">
      <w:pPr>
        <w:pStyle w:val="BodyText"/>
        <w:spacing w:before="100" w:after="100"/>
      </w:pPr>
      <w:r w:rsidRPr="0028033B">
        <w:t>The New Zealand Agriculture inventory model uses a country-specific population characterisation for pasture-based livestock compared with the default recommended by the </w:t>
      </w:r>
      <w:r w:rsidRPr="0028033B">
        <w:rPr>
          <w:spacing w:val="-2"/>
        </w:rPr>
        <w:t>IPCC for Tier 2 inventories (IPCC, 2000, 2006, 2019). The full list of categories</w:t>
      </w:r>
      <w:r w:rsidRPr="0028033B">
        <w:t xml:space="preserve"> for the major livestock populations can be found in volume 2, annex 5, table A5.1.2, and in the Agriculture inventory methodology document (Pickering et al., 2025). </w:t>
      </w:r>
    </w:p>
    <w:p w14:paraId="5B869BD1" w14:textId="77777777" w:rsidR="00E46639" w:rsidRPr="0028033B" w:rsidRDefault="00E46639" w:rsidP="00E46639">
      <w:pPr>
        <w:pStyle w:val="BodyText"/>
        <w:spacing w:before="100" w:after="100"/>
      </w:pPr>
      <w:r w:rsidRPr="0028033B">
        <w:t xml:space="preserve">For the purposes of emissions data reporting, the </w:t>
      </w:r>
      <w:r w:rsidRPr="0028033B">
        <w:rPr>
          <w:i/>
          <w:iCs/>
        </w:rPr>
        <w:t>Dairy cattle</w:t>
      </w:r>
      <w:r w:rsidRPr="0028033B">
        <w:t xml:space="preserve"> category encompasses all cattle that support the milking dairy herd. In addition to dairy heifers, this includes calves, young growing non-lactating heifers, dry cows and dairy bulls. All other cattle in New Zealand are characterised as </w:t>
      </w:r>
      <w:r w:rsidRPr="0028033B" w:rsidDel="00160A68">
        <w:t>n</w:t>
      </w:r>
      <w:r w:rsidRPr="0028033B">
        <w:t>on-dairy cattle. These include non-dairy breeding lactating cows used for producing slaughter animals, such as calves, dry cows, bulls and all slaughter classes. A proportion of male and female dairy calves not required for dairy replacements are transferred into the non-dairy herd and are slaughtered for meat consumption, generally at 24 months to 36 months of age.</w:t>
      </w:r>
    </w:p>
    <w:p w14:paraId="5614839B" w14:textId="77777777" w:rsidR="00E46639" w:rsidRPr="0028033B" w:rsidRDefault="00E46639" w:rsidP="00E46639">
      <w:pPr>
        <w:pStyle w:val="BodyText"/>
      </w:pPr>
      <w:r w:rsidRPr="0028033B">
        <w:t>A detailed livestock population model is used to calculate monthly populations of dairy cattle, non-dairy cattle, sheep and deer (see volume 2, annex 5, table A5.1.2, for the full list of categories).</w:t>
      </w:r>
    </w:p>
    <w:p w14:paraId="6C09B39D" w14:textId="77777777" w:rsidR="00E46639" w:rsidRPr="0028033B" w:rsidRDefault="00E46639" w:rsidP="00E46639">
      <w:pPr>
        <w:pStyle w:val="BodyText"/>
      </w:pPr>
      <w:r w:rsidRPr="0028033B">
        <w:rPr>
          <w:color w:val="0D0D0D" w:themeColor="text1" w:themeTint="F2"/>
        </w:rPr>
        <w:t xml:space="preserve">This monthly population delineation has been developed by using industry knowledge and assumptions, as detailed in Burggraaf et al. (2022), Clark (2008b), Stevens and Ward (2023), </w:t>
      </w:r>
      <w:r w:rsidRPr="0028033B">
        <w:rPr>
          <w:rFonts w:cs="Arial"/>
          <w:color w:val="0D0D0D" w:themeColor="text1" w:themeTint="F2"/>
        </w:rPr>
        <w:t>Stevens et al. (2022),</w:t>
      </w:r>
      <w:r w:rsidRPr="0028033B">
        <w:rPr>
          <w:color w:val="0D0D0D" w:themeColor="text1" w:themeTint="F2"/>
        </w:rPr>
        <w:t xml:space="preserve"> Suttie (2012) and Thomson et al. (2010). Populations </w:t>
      </w:r>
      <w:r w:rsidRPr="0028033B">
        <w:t>within a given year are adjusted on a monthly basis to account for births, deaths and transfers between age groups. For example, because most lambs are born and slaughtered between August and May, their numbers do not appear in the June census or survey data. Additionally, male and female dairy calves not necessary for replacements are usually slaughtered at four days of age or transferred to the non-dairy herd. The monthly population model ensures that the calculated feed demand more accurately reflects the status of each livestock category at a particular time of the year. Average national estimates of monthly birth and death dates and rates are used, which are based on expert opinion and limited published data. In reality, these vary across the country, due to differences in climate and farming systems in different parts of New Zealand.</w:t>
      </w:r>
    </w:p>
    <w:p w14:paraId="4B3C73DD" w14:textId="77777777" w:rsidR="00E46639" w:rsidRPr="0028033B" w:rsidRDefault="00E46639" w:rsidP="00E46639">
      <w:pPr>
        <w:pStyle w:val="Heading5"/>
      </w:pPr>
      <w:r w:rsidRPr="0028033B">
        <w:t xml:space="preserve">Animal productivity data </w:t>
      </w:r>
    </w:p>
    <w:p w14:paraId="6935B96D" w14:textId="77777777" w:rsidR="00E46639" w:rsidRPr="0028033B" w:rsidRDefault="00E46639" w:rsidP="00E46639">
      <w:pPr>
        <w:pStyle w:val="BodyText"/>
      </w:pPr>
      <w:r w:rsidRPr="0028033B">
        <w:t xml:space="preserve">Animal productivity data are obtained from LIC and DairyNZ, Beef + Lamb New Zealand Ltd and Deer Industry New Zealand. </w:t>
      </w:r>
      <w:r w:rsidRPr="0028033B">
        <w:rPr>
          <w:rFonts w:cs="Calibri"/>
        </w:rPr>
        <w:t xml:space="preserve">Slaughter statistics are collected by MPI and used as a proxy to establish changes in animal </w:t>
      </w:r>
      <w:r w:rsidRPr="0028033B">
        <w:t>liveweight over time (MPI, 2025a).</w:t>
      </w:r>
      <w:r w:rsidRPr="0028033B">
        <w:rPr>
          <w:rStyle w:val="FootnoteReference"/>
        </w:rPr>
        <w:footnoteReference w:id="22"/>
      </w:r>
      <w:r w:rsidRPr="0028033B">
        <w:t xml:space="preserve"> Animal liveweight is derived </w:t>
      </w:r>
      <w:r w:rsidRPr="0028033B">
        <w:rPr>
          <w:spacing w:val="-2"/>
        </w:rPr>
        <w:t>from published slaughter-weight statistics and general nationally derived killing-out percentages</w:t>
      </w:r>
      <w:r w:rsidRPr="0028033B">
        <w:t xml:space="preserve"> (Clark et al., 2003; Muir et al., 2008; Muir</w:t>
      </w:r>
      <w:r w:rsidRPr="0028033B">
        <w:rPr>
          <w:rFonts w:cs="Calibri"/>
        </w:rPr>
        <w:t xml:space="preserve"> and Thomson, 2010). </w:t>
      </w:r>
    </w:p>
    <w:p w14:paraId="4D178A20" w14:textId="77777777" w:rsidR="00E46639" w:rsidRPr="0028033B" w:rsidRDefault="00E46639" w:rsidP="00E46639">
      <w:pPr>
        <w:pStyle w:val="BodyText"/>
      </w:pPr>
      <w:r w:rsidRPr="0028033B">
        <w:rPr>
          <w:spacing w:val="-2"/>
        </w:rPr>
        <w:t>The same data sources are used each year to ensure time-series consistency. Other information,</w:t>
      </w:r>
      <w:r w:rsidRPr="0028033B">
        <w:t xml:space="preserve"> such as the liveweight of non-dairy (beef) cattle and breeding bulls, is collected at irregular intervals from small survey populations. For years when data are not available, expert opinion and extrapolation from existing data are used. </w:t>
      </w:r>
    </w:p>
    <w:p w14:paraId="1B1ACD50" w14:textId="77777777" w:rsidR="00E46639" w:rsidRPr="0028033B" w:rsidRDefault="00E46639" w:rsidP="00E46639">
      <w:pPr>
        <w:pStyle w:val="BodyText"/>
      </w:pPr>
      <w:r w:rsidRPr="0028033B">
        <w:rPr>
          <w:i/>
          <w:iCs/>
        </w:rPr>
        <w:t>Dairy cattle – milk production:</w:t>
      </w:r>
      <w:r w:rsidRPr="0028033B">
        <w:t xml:space="preserve"> Regional data on milk production, proportions of dairy cattle breeds and animal liveweights are provided in the New Zealand dairy statistics reports. These data are collectively compiled by LIC and DairyNZ.</w:t>
      </w:r>
    </w:p>
    <w:p w14:paraId="6E4327D0" w14:textId="77777777" w:rsidR="00E46639" w:rsidRPr="0028033B" w:rsidRDefault="00E46639" w:rsidP="00E46639">
      <w:pPr>
        <w:pStyle w:val="BodyText"/>
      </w:pPr>
      <w:r w:rsidRPr="0028033B">
        <w:t xml:space="preserve">Data on New Zealand’s total milk production are taken from the amount of milk processed through </w:t>
      </w:r>
      <w:r w:rsidRPr="0028033B" w:rsidDel="00092D2D">
        <w:t xml:space="preserve">New </w:t>
      </w:r>
      <w:r w:rsidRPr="0028033B">
        <w:t>Zealand dairy factories for both the export and domestic markets. Data on individual animal production are sourced from the Dairy Industry Good Animal Database, maintained by DairyNZ. Dairy farmers are paid on total kilograms of milk solids (fat and protein) collected. Tankers that collect the milk also meter the milk collected from individual farms. These meters are regularly calibrated and audited. Each time a tanker picks up milk (daily or every other day, depending on the season; B Bills, pers. comm., 2024),</w:t>
      </w:r>
      <w:r w:rsidRPr="0028033B" w:rsidDel="0036115A">
        <w:t xml:space="preserve"> </w:t>
      </w:r>
      <w:r w:rsidRPr="0028033B">
        <w:t xml:space="preserve">milk samples from individual farms are independently tested for milk solids, milk fat percentage and protein content. </w:t>
      </w:r>
    </w:p>
    <w:p w14:paraId="215B47C8" w14:textId="77777777" w:rsidR="00E46639" w:rsidRPr="0028033B" w:rsidRDefault="00E46639" w:rsidP="00E46639">
      <w:pPr>
        <w:pStyle w:val="BodyText"/>
      </w:pPr>
      <w:r w:rsidRPr="0028033B">
        <w:t xml:space="preserve">LIC and DairyNZ provide annual milk production data (milk yield and composition), but the </w:t>
      </w:r>
      <w:r w:rsidRPr="0028033B">
        <w:rPr>
          <w:spacing w:val="-2"/>
        </w:rPr>
        <w:t>Tier 2 livestock model operates on a monthly time step. Monthly milk production is determined</w:t>
      </w:r>
      <w:r w:rsidRPr="0028033B">
        <w:t xml:space="preserve"> by multiplying the assessed proportion of annual milk production for each month by the total annual milk production (see volume 2, annex 5, table A5.1.3). Milk production commences from mid-July to early August every year, peaking around October–November and declines during autumn (April–May in the southern hemisphere). Milk production is low to non-existent in June and July in most herds (see figure 5.1.6). Some farms may milk during June–July to provide fresh milk for domestic consumers in winter.</w:t>
      </w:r>
    </w:p>
    <w:p w14:paraId="45DD88D1" w14:textId="77777777" w:rsidR="00E46639" w:rsidRPr="0028033B" w:rsidRDefault="00E46639" w:rsidP="00E46639">
      <w:pPr>
        <w:pStyle w:val="BodyText"/>
      </w:pPr>
      <w:r w:rsidRPr="0028033B">
        <w:t xml:space="preserve">New Zealand’s dairy production per animal is lower than in other developed countries. This is because </w:t>
      </w:r>
      <w:r w:rsidRPr="0028033B" w:rsidDel="00FF3DAF">
        <w:t xml:space="preserve">New </w:t>
      </w:r>
      <w:r w:rsidRPr="0028033B">
        <w:t xml:space="preserve">Zealand has predominantly pasture-based dairy systems rather than the housed grain-fed systems used in Europe and North America. </w:t>
      </w:r>
    </w:p>
    <w:p w14:paraId="5ED68680" w14:textId="77777777" w:rsidR="00E46639" w:rsidRPr="0028033B" w:rsidRDefault="00E46639" w:rsidP="00E46639">
      <w:pPr>
        <w:pStyle w:val="BodyText"/>
      </w:pPr>
      <w:r w:rsidRPr="0028033B">
        <w:t xml:space="preserve">Annual milk yields per animal have been obtained and reported as additional data in the common reporting table (CRT) by dividing the total milk produced by the total number of milking dairy cows and heifers. </w:t>
      </w:r>
    </w:p>
    <w:p w14:paraId="66F2CEC3" w14:textId="77777777" w:rsidR="00E46639" w:rsidRPr="0028033B" w:rsidRDefault="00E46639" w:rsidP="00E46639">
      <w:pPr>
        <w:pStyle w:val="Figure"/>
      </w:pPr>
      <w:bookmarkStart w:id="688" w:name="_Toc481752011"/>
      <w:bookmarkStart w:id="689" w:name="_Toc507158470"/>
      <w:bookmarkStart w:id="690" w:name="_Toc511116961"/>
      <w:bookmarkStart w:id="691" w:name="_Toc5269691"/>
      <w:bookmarkStart w:id="692" w:name="_Toc32570962"/>
      <w:bookmarkStart w:id="693" w:name="_Toc36292792"/>
      <w:bookmarkStart w:id="694" w:name="_Toc68786657"/>
      <w:bookmarkStart w:id="695" w:name="_Toc95574118"/>
      <w:bookmarkStart w:id="696" w:name="_Toc127458557"/>
      <w:bookmarkStart w:id="697" w:name="_Toc131591559"/>
      <w:bookmarkStart w:id="698" w:name="_Toc164154027"/>
      <w:bookmarkStart w:id="699" w:name="_Toc222407707"/>
      <w:bookmarkStart w:id="700" w:name="_Toc226200687"/>
      <w:r w:rsidRPr="0028033B">
        <w:t xml:space="preserve">Figure 5.1.6 </w:t>
      </w:r>
      <w:r w:rsidRPr="0028033B">
        <w:tab/>
        <w:t xml:space="preserve">National monthly milk production in New Zealand, from 2022 to </w:t>
      </w:r>
      <w:bookmarkEnd w:id="688"/>
      <w:bookmarkEnd w:id="689"/>
      <w:bookmarkEnd w:id="690"/>
      <w:bookmarkEnd w:id="691"/>
      <w:bookmarkEnd w:id="692"/>
      <w:bookmarkEnd w:id="693"/>
      <w:bookmarkEnd w:id="694"/>
      <w:bookmarkEnd w:id="695"/>
      <w:bookmarkEnd w:id="696"/>
      <w:bookmarkEnd w:id="697"/>
      <w:bookmarkEnd w:id="698"/>
      <w:r w:rsidRPr="0028033B">
        <w:t>2024</w:t>
      </w:r>
      <w:bookmarkEnd w:id="699"/>
      <w:bookmarkEnd w:id="700"/>
    </w:p>
    <w:p w14:paraId="0BF30F1F" w14:textId="77777777" w:rsidR="00E46639" w:rsidRPr="0028033B" w:rsidRDefault="00E46639" w:rsidP="00E46639">
      <w:pPr>
        <w:pStyle w:val="BodyText"/>
        <w:spacing w:before="80" w:after="60"/>
        <w:jc w:val="center"/>
      </w:pPr>
      <w:r w:rsidRPr="0028033B">
        <w:rPr>
          <w:noProof/>
        </w:rPr>
        <w:drawing>
          <wp:inline distT="0" distB="0" distL="0" distR="0" wp14:anchorId="246F9EA3" wp14:editId="69259EE4">
            <wp:extent cx="4947138" cy="2783813"/>
            <wp:effectExtent l="0" t="0" r="6350" b="0"/>
            <wp:docPr id="17713026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4009"/>
                    <a:stretch>
                      <a:fillRect/>
                    </a:stretch>
                  </pic:blipFill>
                  <pic:spPr bwMode="auto">
                    <a:xfrm>
                      <a:off x="0" y="0"/>
                      <a:ext cx="4971479" cy="2797510"/>
                    </a:xfrm>
                    <a:prstGeom prst="rect">
                      <a:avLst/>
                    </a:prstGeom>
                    <a:noFill/>
                    <a:ln>
                      <a:noFill/>
                    </a:ln>
                    <a:extLst>
                      <a:ext uri="{53640926-AAD7-44D8-BBD7-CCE9431645EC}">
                        <a14:shadowObscured xmlns:a14="http://schemas.microsoft.com/office/drawing/2010/main"/>
                      </a:ext>
                    </a:extLst>
                  </pic:spPr>
                </pic:pic>
              </a:graphicData>
            </a:graphic>
          </wp:inline>
        </w:drawing>
      </w:r>
    </w:p>
    <w:p w14:paraId="0697CA8B" w14:textId="77777777" w:rsidR="00E46639" w:rsidRPr="0028033B" w:rsidRDefault="00E46639" w:rsidP="00E46639">
      <w:pPr>
        <w:pStyle w:val="Source"/>
        <w:rPr>
          <w:b/>
          <w:bCs/>
        </w:rPr>
      </w:pPr>
      <w:r w:rsidRPr="0028033B">
        <w:rPr>
          <w:b/>
          <w:szCs w:val="28"/>
        </w:rPr>
        <w:t>Source:</w:t>
      </w:r>
      <w:r w:rsidRPr="0028033B">
        <w:tab/>
        <w:t>Dairy Companies Association of New Zealand (2024)</w:t>
      </w:r>
    </w:p>
    <w:p w14:paraId="0841E568" w14:textId="77777777" w:rsidR="00E46639" w:rsidRPr="0028033B" w:rsidRDefault="00E46639" w:rsidP="00E46639">
      <w:pPr>
        <w:pStyle w:val="BodyText"/>
        <w:rPr>
          <w:rFonts w:cs="Calibri"/>
          <w:spacing w:val="-2"/>
        </w:rPr>
      </w:pPr>
      <w:r w:rsidRPr="0028033B">
        <w:rPr>
          <w:rFonts w:cs="Calibri"/>
          <w:spacing w:val="-2"/>
        </w:rPr>
        <w:t xml:space="preserve">Before 1993, no productivity data were collected at a territorial authority level, so pre-1993 data have been estimated by extrapolating the trends observed in existing data from 1994 to 2008. </w:t>
      </w:r>
    </w:p>
    <w:p w14:paraId="630A6F04" w14:textId="77777777" w:rsidR="00E46639" w:rsidRPr="0028033B" w:rsidRDefault="00E46639" w:rsidP="00E46639">
      <w:pPr>
        <w:pStyle w:val="BodyText"/>
        <w:spacing w:after="80"/>
        <w:rPr>
          <w:rFonts w:cs="Calibri"/>
        </w:rPr>
      </w:pPr>
      <w:r w:rsidRPr="0028033B">
        <w:rPr>
          <w:rFonts w:cs="Calibri"/>
        </w:rPr>
        <w:t>Before 2004, not all productivity data required could be collected from LIC at a territorial authority level. From 1993 to 2003, annual milk yield per cow was determined by the following equation:</w:t>
      </w:r>
    </w:p>
    <w:p w14:paraId="2251DB0D" w14:textId="77777777" w:rsidR="00E46639" w:rsidRPr="0028033B" w:rsidRDefault="00E46639" w:rsidP="00E46639">
      <w:pPr>
        <w:pStyle w:val="BodyText"/>
        <w:spacing w:before="0" w:after="80"/>
        <w:jc w:val="center"/>
        <w:rPr>
          <w:rFonts w:ascii="Cambria Math" w:hAnsi="Cambria Math" w:cs="Calibri"/>
          <w:sz w:val="24"/>
          <w:szCs w:val="24"/>
        </w:rPr>
      </w:pPr>
      <m:oMathPara>
        <m:oMath>
          <m:r>
            <w:rPr>
              <w:rFonts w:ascii="Cambria Math" w:hAnsi="Cambria Math" w:cs="Calibri"/>
              <w:sz w:val="24"/>
              <w:szCs w:val="24"/>
            </w:rPr>
            <m:t xml:space="preserve">Litres per cow= </m:t>
          </m:r>
          <m:f>
            <m:fPr>
              <m:ctrlPr>
                <w:rPr>
                  <w:rFonts w:ascii="Cambria Math" w:hAnsi="Cambria Math" w:cs="Calibri"/>
                  <w:i/>
                  <w:sz w:val="24"/>
                  <w:szCs w:val="24"/>
                </w:rPr>
              </m:ctrlPr>
            </m:fPr>
            <m:num>
              <m:r>
                <w:rPr>
                  <w:rFonts w:ascii="Cambria Math" w:hAnsi="Cambria Math" w:cs="Calibri"/>
                  <w:sz w:val="24"/>
                  <w:szCs w:val="24"/>
                </w:rPr>
                <m:t xml:space="preserve">mean milk fat </m:t>
              </m:r>
              <m:d>
                <m:dPr>
                  <m:ctrlPr>
                    <w:rPr>
                      <w:rFonts w:ascii="Cambria Math" w:hAnsi="Cambria Math" w:cs="Calibri"/>
                      <w:i/>
                      <w:sz w:val="24"/>
                      <w:szCs w:val="24"/>
                    </w:rPr>
                  </m:ctrlPr>
                </m:dPr>
                <m:e>
                  <m:f>
                    <m:fPr>
                      <m:ctrlPr>
                        <w:rPr>
                          <w:rFonts w:ascii="Cambria Math" w:hAnsi="Cambria Math" w:cs="Calibri"/>
                          <w:i/>
                          <w:sz w:val="24"/>
                          <w:szCs w:val="24"/>
                        </w:rPr>
                      </m:ctrlPr>
                    </m:fPr>
                    <m:num>
                      <m:r>
                        <w:rPr>
                          <w:rFonts w:ascii="Cambria Math" w:hAnsi="Cambria Math" w:cs="Calibri"/>
                          <w:sz w:val="24"/>
                          <w:szCs w:val="24"/>
                        </w:rPr>
                        <m:t>kg</m:t>
                      </m:r>
                    </m:num>
                    <m:den>
                      <m:r>
                        <w:rPr>
                          <w:rFonts w:ascii="Cambria Math" w:hAnsi="Cambria Math" w:cs="Calibri"/>
                          <w:sz w:val="24"/>
                          <w:szCs w:val="24"/>
                        </w:rPr>
                        <m:t>cow</m:t>
                      </m:r>
                    </m:den>
                  </m:f>
                </m:e>
              </m:d>
              <m:r>
                <w:rPr>
                  <w:rFonts w:ascii="Cambria Math" w:hAnsi="Cambria Math" w:cs="Calibri"/>
                  <w:sz w:val="24"/>
                  <w:szCs w:val="24"/>
                </w:rPr>
                <m:t>×100</m:t>
              </m:r>
            </m:num>
            <m:den>
              <m:r>
                <w:rPr>
                  <w:rFonts w:ascii="Cambria Math" w:hAnsi="Cambria Math" w:cs="Calibri"/>
                  <w:sz w:val="24"/>
                  <w:szCs w:val="24"/>
                </w:rPr>
                <m:t>%milk fat</m:t>
              </m:r>
            </m:den>
          </m:f>
        </m:oMath>
      </m:oMathPara>
    </w:p>
    <w:p w14:paraId="394D3918" w14:textId="77777777" w:rsidR="00E46639" w:rsidRPr="0028033B" w:rsidRDefault="00E46639" w:rsidP="00E46639">
      <w:pPr>
        <w:pStyle w:val="BodyText"/>
      </w:pPr>
      <w:r w:rsidRPr="0028033B">
        <w:t>From 2004 onwards, productivity data have been collected by LIC and DairyNZ at a similar regional level as the livestock population data collected by Stats NZ. In some instances, the regional level data provided by LIC and DairyNZ are disaggregated more than required. MPI officials allocate this to other regions so that it lines up with the population data, for example, districts identified under the region ‘Central Plateau’ are allocated to the ‘Bay of Plenty’. This is a straightforward process because the districts provided by LIC and DairyNZ clearly fall within the specified regional boundaries that the Stats NZ data are based upon.</w:t>
      </w:r>
    </w:p>
    <w:p w14:paraId="62943079" w14:textId="77777777" w:rsidR="00E46639" w:rsidRPr="0028033B" w:rsidRDefault="00E46639" w:rsidP="00E46639">
      <w:pPr>
        <w:pStyle w:val="BodyText"/>
        <w:keepLines/>
      </w:pPr>
      <w:r w:rsidRPr="0028033B">
        <w:t>In the 2024/25 season, 82 percent of all dairy cattle in milk were tested by LIC for milk</w:t>
      </w:r>
      <w:r w:rsidRPr="0028033B">
        <w:rPr>
          <w:color w:val="0D0D0D" w:themeColor="text1" w:themeTint="F2"/>
        </w:rPr>
        <w:t xml:space="preserve"> production, along with milk fat and protein levels </w:t>
      </w:r>
      <w:r w:rsidRPr="0028033B">
        <w:t xml:space="preserve">(LIC and DairyNZ, 2025). LIC also does genetic testing to identify superior stock for breeding. Genetic improvement has contributed to the productivity improvements in the </w:t>
      </w:r>
      <w:r w:rsidRPr="0028033B" w:rsidDel="008431A0">
        <w:t xml:space="preserve">New </w:t>
      </w:r>
      <w:r w:rsidRPr="0028033B">
        <w:t xml:space="preserve">Zealand dairy cattle herd (LIC, 2009). </w:t>
      </w:r>
    </w:p>
    <w:p w14:paraId="6A147B3B" w14:textId="77777777" w:rsidR="00E46639" w:rsidRPr="0028033B" w:rsidRDefault="00E46639" w:rsidP="00E46639">
      <w:pPr>
        <w:pStyle w:val="BodyText"/>
        <w:spacing w:before="100" w:after="100"/>
      </w:pPr>
      <w:r w:rsidRPr="0028033B">
        <w:rPr>
          <w:i/>
          <w:iCs/>
        </w:rPr>
        <w:t xml:space="preserve">Dairy cattle – liveweight: </w:t>
      </w:r>
      <w:r w:rsidRPr="0028033B">
        <w:t>Average liveweight data for dairy cows are obtained by considering</w:t>
      </w:r>
      <w:r w:rsidRPr="0028033B">
        <w:rPr>
          <w:spacing w:val="-2"/>
        </w:rPr>
        <w:t xml:space="preserve"> the proportion of each breed in the national herd and its age structure based on LIC, Dairy Industry Good Animal Database and DairyNZ data. Dairy cow liveweight data are only available from LIC and DairyNZ from 1996 onwards and</w:t>
      </w:r>
      <w:r w:rsidRPr="0028033B">
        <w:t xml:space="preserve"> have been </w:t>
      </w:r>
      <w:r w:rsidRPr="0028033B">
        <w:rPr>
          <w:spacing w:val="-2"/>
        </w:rPr>
        <w:t xml:space="preserve">disaggregated into eight regions, some of which comprise several regional council </w:t>
      </w:r>
      <w:r w:rsidRPr="0028033B">
        <w:t>regions</w:t>
      </w:r>
      <w:r w:rsidRPr="0028033B">
        <w:rPr>
          <w:spacing w:val="-2"/>
        </w:rPr>
        <w:t>.</w:t>
      </w:r>
      <w:r w:rsidRPr="0028033B">
        <w:t xml:space="preserve"> Data from the livestock improvement regions were appropriately apportioned to regional council areas. Liveweights before 1996 were estimated using the trend in liveweights </w:t>
      </w:r>
      <w:r w:rsidRPr="0028033B">
        <w:rPr>
          <w:spacing w:val="-2"/>
        </w:rPr>
        <w:t>from 1996 to 2008, together with data on the breed composition of the national herd (LIC, 2009).</w:t>
      </w:r>
      <w:r w:rsidRPr="0028033B">
        <w:t xml:space="preserve"> </w:t>
      </w:r>
    </w:p>
    <w:p w14:paraId="2EC86824" w14:textId="77777777" w:rsidR="00E46639" w:rsidRPr="0028033B" w:rsidRDefault="00E46639" w:rsidP="00E46639">
      <w:pPr>
        <w:pStyle w:val="BodyText"/>
        <w:spacing w:before="100" w:after="100"/>
      </w:pPr>
      <w:r w:rsidRPr="0028033B">
        <w:t xml:space="preserve">The inventory assumes that all dairy calves are born on 13 August and have a birth weight equal to 9 percent of an adult dairy cow weight (described above). The weight of these animals increases linearly until they are 687 days old, at which point their weight is assumed to be 100 percent of an adult dairy cow’s weight (Clark et al., 2003). </w:t>
      </w:r>
    </w:p>
    <w:p w14:paraId="59500185" w14:textId="77777777" w:rsidR="00E46639" w:rsidRPr="0028033B" w:rsidRDefault="00E46639" w:rsidP="00E46639">
      <w:pPr>
        <w:pStyle w:val="BodyText"/>
        <w:spacing w:before="100" w:after="100"/>
      </w:pPr>
      <w:r w:rsidRPr="0028033B">
        <w:t xml:space="preserve">No data are available on the liveweights and performance of most breeding dairy bulls, which can range from the small Jersey breeds through to larger European non-dairy breeds. It is assumed, based on expert opinion and industry data (Clark et al., 2003), that the average mature weight of a breeding dairy bull is 500 kilograms as of 1 January and that they grow at 0.5 kilograms per day. This gives an average liveweight (at the mid-point of the year) of 592 kilograms. This is almost 25 percent higher than the average weight of a </w:t>
      </w:r>
      <w:r w:rsidRPr="0028033B" w:rsidDel="00FB166F">
        <w:t xml:space="preserve">New </w:t>
      </w:r>
      <w:r w:rsidRPr="0028033B">
        <w:t xml:space="preserve">Zealand breeding dairy cow but is supported by expert opinion, given that some of the bulls will be of a heavier breed (e.g., Friesian and some non-dairy breeds). Total emissions are not sensitive to these assumed liveweight values because breeding bulls in the dairy herd are low in number and contribute less than 0.1 percent of emissions to the dairy sector. </w:t>
      </w:r>
    </w:p>
    <w:p w14:paraId="6D57405A" w14:textId="77777777" w:rsidR="00E46639" w:rsidRPr="0028033B" w:rsidRDefault="00E46639" w:rsidP="00E46639">
      <w:pPr>
        <w:pStyle w:val="BodyText"/>
        <w:spacing w:before="100" w:after="100"/>
      </w:pPr>
      <w:r w:rsidRPr="0028033B">
        <w:t xml:space="preserve">LIC and DairyNZ (2025) reported the proportions of different breeds in the </w:t>
      </w:r>
      <w:r w:rsidRPr="0028033B" w:rsidDel="0090362E">
        <w:t xml:space="preserve">New </w:t>
      </w:r>
      <w:r w:rsidRPr="0028033B">
        <w:t>Zealand dairy herd in 2024 as:</w:t>
      </w:r>
    </w:p>
    <w:p w14:paraId="474CB242" w14:textId="77777777" w:rsidR="00E46639" w:rsidRPr="0028033B" w:rsidRDefault="00E46639" w:rsidP="00E46639">
      <w:pPr>
        <w:pStyle w:val="Bullet"/>
      </w:pPr>
      <w:r w:rsidRPr="0028033B">
        <w:t xml:space="preserve">Holstein–Friesian/Jersey crossbreed (61.1 percent) </w:t>
      </w:r>
    </w:p>
    <w:p w14:paraId="645F67AA" w14:textId="77777777" w:rsidR="00E46639" w:rsidRPr="0028033B" w:rsidRDefault="00E46639" w:rsidP="00E46639">
      <w:pPr>
        <w:pStyle w:val="Bullet"/>
      </w:pPr>
      <w:r w:rsidRPr="0028033B">
        <w:t xml:space="preserve">Holstein–Friesian (23.4 percent) </w:t>
      </w:r>
    </w:p>
    <w:p w14:paraId="3B18CEDB" w14:textId="77777777" w:rsidR="00E46639" w:rsidRPr="0028033B" w:rsidRDefault="00E46639" w:rsidP="00E46639">
      <w:pPr>
        <w:pStyle w:val="Bullet"/>
      </w:pPr>
      <w:r w:rsidRPr="0028033B">
        <w:t xml:space="preserve">Jersey (7.5 percent) </w:t>
      </w:r>
    </w:p>
    <w:p w14:paraId="41C48931" w14:textId="77777777" w:rsidR="00E46639" w:rsidRPr="0028033B" w:rsidRDefault="00E46639" w:rsidP="00E46639">
      <w:pPr>
        <w:pStyle w:val="Bullet"/>
      </w:pPr>
      <w:r w:rsidRPr="0028033B">
        <w:t xml:space="preserve">Ayrshire (0.4 percent) </w:t>
      </w:r>
    </w:p>
    <w:p w14:paraId="2BCFEA47" w14:textId="77777777" w:rsidR="00E46639" w:rsidRPr="0028033B" w:rsidRDefault="00E46639" w:rsidP="00E46639">
      <w:pPr>
        <w:pStyle w:val="Bullet"/>
      </w:pPr>
      <w:r w:rsidRPr="0028033B">
        <w:t>other breeds (7.6 percent).</w:t>
      </w:r>
    </w:p>
    <w:p w14:paraId="625B7896" w14:textId="77777777" w:rsidR="00E46639" w:rsidRPr="0028033B" w:rsidRDefault="00E46639" w:rsidP="00E46639">
      <w:pPr>
        <w:pStyle w:val="BodyText"/>
        <w:keepLines/>
      </w:pPr>
      <w:r w:rsidRPr="0028033B">
        <w:t xml:space="preserve">The Holstein–Friesian/Jersey crossbreed has been developed specifically for New Zealand’s pasture-based systems. This breed is 7.7 percent lighter on average than a Holstein–Friesian cow (LIC and DairyNZ, 2025) and has lower maintenance feed requirements. It does less damage to pasture during wet periods due to its lower liveweight. It also has higher milk volumes than the Jersey breed while maintaining a high percentage of milk solids. </w:t>
      </w:r>
    </w:p>
    <w:p w14:paraId="6A2E07AE" w14:textId="77777777" w:rsidR="00E46639" w:rsidRPr="0028033B" w:rsidRDefault="00E46639" w:rsidP="00E46639">
      <w:pPr>
        <w:pStyle w:val="BodyText"/>
        <w:rPr>
          <w:rFonts w:cs="Calibri"/>
        </w:rPr>
      </w:pPr>
      <w:r w:rsidRPr="0028033B">
        <w:rPr>
          <w:rFonts w:cs="Calibri"/>
          <w:i/>
          <w:iCs/>
        </w:rPr>
        <w:t>Non-dairy</w:t>
      </w:r>
      <w:r w:rsidRPr="0028033B">
        <w:rPr>
          <w:rFonts w:cs="Calibri"/>
        </w:rPr>
        <w:t xml:space="preserve"> </w:t>
      </w:r>
      <w:r w:rsidRPr="0028033B">
        <w:rPr>
          <w:rFonts w:cs="Calibri"/>
          <w:i/>
          <w:iCs/>
        </w:rPr>
        <w:t>cattle:</w:t>
      </w:r>
      <w:r w:rsidRPr="0028033B">
        <w:rPr>
          <w:rFonts w:cs="Calibri"/>
        </w:rPr>
        <w:t xml:space="preserve"> The principal source of information for estimating productivity for non-dairy </w:t>
      </w:r>
      <w:r w:rsidRPr="00355BEA">
        <w:rPr>
          <w:rFonts w:cs="Calibri"/>
          <w:spacing w:val="-2"/>
        </w:rPr>
        <w:t>(beef) cattle is livestock slaughter statistics provided to MPI by meat processors. This informatio</w:t>
      </w:r>
      <w:r w:rsidRPr="0028033B">
        <w:rPr>
          <w:rFonts w:cs="Calibri"/>
        </w:rPr>
        <w:t>n is also used to estimate the liveweight of non-dairy (beef) cattle at slaughter, assuming killing-out percentages</w:t>
      </w:r>
      <w:r w:rsidRPr="0028033B">
        <w:rPr>
          <w:rStyle w:val="FootnoteReference"/>
          <w:rFonts w:cs="Calibri"/>
        </w:rPr>
        <w:footnoteReference w:id="23"/>
      </w:r>
      <w:r w:rsidRPr="0028033B">
        <w:rPr>
          <w:rFonts w:cs="Calibri"/>
        </w:rPr>
        <w:t xml:space="preserve"> of 42 percent for breeding non-dairy cows and 50 percent for heifers, steers and bulls </w:t>
      </w:r>
      <w:r w:rsidRPr="0028033B">
        <w:rPr>
          <w:spacing w:val="-2"/>
        </w:rPr>
        <w:t>(Thomson et al., 2010)</w:t>
      </w:r>
      <w:r w:rsidRPr="0028033B">
        <w:rPr>
          <w:rFonts w:cs="Calibri"/>
        </w:rPr>
        <w:t xml:space="preserve">. Non-dairy (beef) cattle are assumed to be slaughtered at various ages, depending on the sex and reproductive status of the animal (Stevens et al., 2022). Liveweights at birth are assumed to be around 7 percent of an average adult cow liveweight for heifers and 7 percent for steers and bulls (Clark et al., 2003). As with dairy cattle, growth rates of all growing animals are divided into two periods in the model: birth to weaning and weaning to slaughter. Higher growth rates are applied before weaning because animals also receive milk as part of their diet. Within each period, the same daily growth rate is applied for the entire period. </w:t>
      </w:r>
    </w:p>
    <w:p w14:paraId="02E97B5A" w14:textId="77777777" w:rsidR="00E46639" w:rsidRPr="0028033B" w:rsidRDefault="00E46639" w:rsidP="00E46639">
      <w:pPr>
        <w:pStyle w:val="BodyText"/>
        <w:rPr>
          <w:rFonts w:cs="Calibri"/>
        </w:rPr>
      </w:pPr>
      <w:r w:rsidRPr="0028033B">
        <w:rPr>
          <w:rFonts w:cs="Calibri"/>
        </w:rPr>
        <w:t>MPI slaughter statistics only began to separate carcass weights of adult dairy cows and adult non-dairy cows in 2016. Therefore, several assumptions</w:t>
      </w:r>
      <w:r w:rsidRPr="0028033B">
        <w:rPr>
          <w:rStyle w:val="FootnoteReference"/>
          <w:rFonts w:cs="Calibri"/>
        </w:rPr>
        <w:footnoteReference w:id="24"/>
      </w:r>
      <w:r w:rsidRPr="0028033B">
        <w:rPr>
          <w:rFonts w:cs="Calibri"/>
        </w:rPr>
        <w:t xml:space="preserve"> are made to estimate the </w:t>
      </w:r>
      <w:r w:rsidRPr="0028033B">
        <w:rPr>
          <w:rFonts w:cs="Calibri"/>
          <w:spacing w:val="-2"/>
        </w:rPr>
        <w:t>liveweights of breeding non-dairy cows. A total milk yield of 824 litres per year is assumed to be produced</w:t>
      </w:r>
      <w:r w:rsidRPr="0028033B">
        <w:rPr>
          <w:rFonts w:cs="Calibri"/>
        </w:rPr>
        <w:t xml:space="preserve"> per breeding non-dairy cow, which is then consumed by non-dairy calves (Clark et al., 2003). </w:t>
      </w:r>
    </w:p>
    <w:p w14:paraId="522DD6B4" w14:textId="77777777" w:rsidR="00E46639" w:rsidRPr="0028033B" w:rsidRDefault="00E46639" w:rsidP="00E46639">
      <w:pPr>
        <w:pStyle w:val="BodyText"/>
      </w:pPr>
      <w:r w:rsidRPr="0028033B">
        <w:rPr>
          <w:i/>
          <w:iCs/>
        </w:rPr>
        <w:t>Sheep:</w:t>
      </w:r>
      <w:r w:rsidRPr="0028033B">
        <w:t xml:space="preserve"> Livestock slaughter statistics provided to MPI by meat processors are used to estimate the liveweights of adult sheep and lambs at slaughter, assuming killing-out percentages of </w:t>
      </w:r>
      <w:r w:rsidRPr="0028033B">
        <w:rPr>
          <w:spacing w:val="-2"/>
        </w:rPr>
        <w:t>around 40 percent for ewes and 45 percent for lambs (Thomson et al., 2010). Lamb liveweights</w:t>
      </w:r>
      <w:r w:rsidRPr="0028033B">
        <w:t xml:space="preserve"> at birth are assumed to be 9 percent of the average adult ewe weight, with all lambs assumed to be born on 11 September (Thomson et al., 2011). Growing breeding and non</w:t>
      </w:r>
      <w:r w:rsidRPr="0028033B">
        <w:noBreakHyphen/>
        <w:t xml:space="preserve">breeding ewe hoggets are assumed to reach full adult size when subsequently mated at an age of 20 months. Adult wethers (castrated male sheep) are assumed to be the same weight as adult breeding females. No within-year pattern of liveweight change is assumed for either adult wethers or adult ewes. All ewes rearing a lamb are assumed to have a total milk yield of 103 litres per year. Breeding rams are assumed to weigh 40 percent more than adult ewes (Clark et al., 2003). Wool growth </w:t>
      </w:r>
      <w:r w:rsidRPr="0028033B" w:rsidDel="002B3828">
        <w:t xml:space="preserve">(greasy fleece) </w:t>
      </w:r>
      <w:r w:rsidRPr="0028033B">
        <w:t xml:space="preserve">is assumed to grow at a rate twice as fast as mature sheep (ewes, rams and wethers) than in growing sheep and lambs. Beef + Lamb New Zealand Ltd provides estimates of the total wool production from 1990 to 2024 from which the individual fleece weight is estimated (Beef + Lamb New Zealand Ltd, 2025). </w:t>
      </w:r>
    </w:p>
    <w:p w14:paraId="43929B46" w14:textId="77777777" w:rsidR="00E46639" w:rsidRPr="0028033B" w:rsidRDefault="00E46639" w:rsidP="00E46639">
      <w:pPr>
        <w:pStyle w:val="BodyText"/>
        <w:spacing w:after="100"/>
        <w:rPr>
          <w:rFonts w:cs="Calibri"/>
        </w:rPr>
      </w:pPr>
      <w:r w:rsidRPr="0028033B">
        <w:rPr>
          <w:rFonts w:cs="Calibri"/>
          <w:i/>
          <w:iCs/>
        </w:rPr>
        <w:t>Deer</w:t>
      </w:r>
      <w:r w:rsidRPr="0028033B">
        <w:rPr>
          <w:rFonts w:cs="Calibri"/>
        </w:rPr>
        <w:t xml:space="preserve">: Liveweights of growing hinds and stags are estimated from Deer Industry New Zealand statistics, assuming a killing-out percentage of 55 percent. A fawn birth weight of 9 percent of the adult female weight and a common birth date of mid-November are assumed. Liveweights of breeding stags and hinds are based on a report by Suttie (2012). Research by Stevens and Ward (2023) has shown that hind liveweights have not risen above 110 kilograms, so a cap to liveweight is applied. It is assumed there is no pattern of liveweight change within any given year for mature deer. The lactation assumptions are 204 litres of milk over 120 days, an average daily lactation yield of 1.7 litres of milk per day (Suttie, 2012). </w:t>
      </w:r>
    </w:p>
    <w:p w14:paraId="6A5B9BC7" w14:textId="77777777" w:rsidR="00E46639" w:rsidRPr="0028033B" w:rsidRDefault="00E46639" w:rsidP="00E46639">
      <w:pPr>
        <w:pStyle w:val="Heading4"/>
      </w:pPr>
      <w:r w:rsidRPr="0028033B">
        <w:t xml:space="preserve">Minor livestock categories </w:t>
      </w:r>
    </w:p>
    <w:p w14:paraId="577408D8" w14:textId="77777777" w:rsidR="00E46639" w:rsidRPr="0028033B" w:rsidRDefault="00E46639" w:rsidP="00E46639">
      <w:pPr>
        <w:pStyle w:val="BodyText"/>
      </w:pPr>
      <w:r w:rsidRPr="0028033B">
        <w:t xml:space="preserve">Tier 1 methodology is used for goats, horses, mules and asses, swine, poultry, and alpacas, using a combination of country-specific and IPCC default emission factors (volume 2, annex 5, section A5.1.2, table A5.1.4). </w:t>
      </w:r>
    </w:p>
    <w:p w14:paraId="1984215C" w14:textId="77777777" w:rsidR="00E46639" w:rsidRPr="0028033B" w:rsidRDefault="00E46639" w:rsidP="00E46639">
      <w:pPr>
        <w:pStyle w:val="BodyText"/>
        <w:spacing w:before="100" w:after="100"/>
      </w:pPr>
      <w:r w:rsidRPr="0028033B">
        <w:t xml:space="preserve">The populations of goats, horses and swine are reported using data from the Stats NZ Agricultural Production Census and the inter-census Agricultural Production Survey. Data on the population of alpacas before 2009 are provided by Henderson and Cameron (2010) based on data from the Alpaca Association New Zealand. Alpaca populations for 2009 to 2022 are based on modelling by Sise (2023). From 2023 onwards, registration numbers from the Alpaca Association of New Zealand and the Llama Association of New Zealand are used assuming a 51 percent registration rate </w:t>
      </w:r>
      <w:sdt>
        <w:sdtPr>
          <w:id w:val="-366301793"/>
          <w:citation/>
        </w:sdtPr>
        <w:sdtContent>
          <w:r w:rsidRPr="0028033B">
            <w:fldChar w:fldCharType="begin"/>
          </w:r>
          <w:r w:rsidRPr="0028033B">
            <w:instrText xml:space="preserve"> CITATION Sis23 \l 5129 </w:instrText>
          </w:r>
          <w:r w:rsidRPr="0028033B">
            <w:fldChar w:fldCharType="separate"/>
          </w:r>
          <w:r w:rsidRPr="0028033B">
            <w:t>(Sise, 2023)</w:t>
          </w:r>
          <w:r w:rsidRPr="0028033B">
            <w:fldChar w:fldCharType="end"/>
          </w:r>
        </w:sdtContent>
      </w:sdt>
      <w:r w:rsidRPr="0028033B">
        <w:t>.</w:t>
      </w:r>
    </w:p>
    <w:p w14:paraId="7D00868F" w14:textId="77777777" w:rsidR="00E46639" w:rsidRPr="0028033B" w:rsidRDefault="00E46639" w:rsidP="00E46639">
      <w:pPr>
        <w:pStyle w:val="BodyText"/>
        <w:spacing w:before="100" w:after="100"/>
      </w:pPr>
      <w:r w:rsidRPr="0028033B">
        <w:t xml:space="preserve">A small number of buffalo are farmed in New Zealand, with 699 animals being reported (Stats NZ, 2025). Because the buffalo livestock are largely used for producing milk they are reported within the dairy herd. </w:t>
      </w:r>
    </w:p>
    <w:p w14:paraId="18370860" w14:textId="77777777" w:rsidR="00E46639" w:rsidRPr="0028033B" w:rsidRDefault="00E46639" w:rsidP="00E46639">
      <w:pPr>
        <w:pStyle w:val="BodyText"/>
        <w:spacing w:before="100" w:after="100"/>
      </w:pPr>
      <w:r w:rsidRPr="0028033B">
        <w:t xml:space="preserve">Mules and asses are not farmed commercially or used as working animals in </w:t>
      </w:r>
      <w:r w:rsidRPr="0028033B" w:rsidDel="00216995">
        <w:t xml:space="preserve">New </w:t>
      </w:r>
      <w:r w:rsidRPr="0028033B">
        <w:t xml:space="preserve">Zealand. A constant population of 1,500 donkeys has been included in the Agriculture inventory model under mules and asses </w:t>
      </w:r>
      <w:sdt>
        <w:sdtPr>
          <w:id w:val="-985702224"/>
          <w:citation/>
        </w:sdtPr>
        <w:sdtContent>
          <w:r w:rsidRPr="0028033B">
            <w:fldChar w:fldCharType="begin"/>
          </w:r>
          <w:r w:rsidRPr="0028033B">
            <w:instrText xml:space="preserve"> CITATION Sis23 \l 5129 </w:instrText>
          </w:r>
          <w:r w:rsidRPr="0028033B">
            <w:fldChar w:fldCharType="separate"/>
          </w:r>
          <w:r w:rsidRPr="0028033B">
            <w:t>(Sise, 2023)</w:t>
          </w:r>
          <w:r w:rsidRPr="0028033B">
            <w:fldChar w:fldCharType="end"/>
          </w:r>
        </w:sdtContent>
      </w:sdt>
      <w:r w:rsidRPr="0028033B">
        <w:t xml:space="preserve">. The emissions from these populations of animals are extremely small relative to the major livestock categories. </w:t>
      </w:r>
    </w:p>
    <w:p w14:paraId="1248F80F" w14:textId="77777777" w:rsidR="00E46639" w:rsidRPr="0028033B" w:rsidRDefault="00E46639" w:rsidP="00E46639">
      <w:pPr>
        <w:pStyle w:val="BodyText"/>
        <w:spacing w:before="100" w:after="100"/>
      </w:pPr>
      <w:r w:rsidRPr="0028033B">
        <w:t>Poultry is further classified into three categories: broiler chicken,</w:t>
      </w:r>
      <w:r w:rsidRPr="0028033B">
        <w:rPr>
          <w:rStyle w:val="FootnoteReference"/>
        </w:rPr>
        <w:footnoteReference w:id="25"/>
      </w:r>
      <w:r w:rsidRPr="0028033B">
        <w:t xml:space="preserve"> layer hens and other poultry. Stats NZ provides estimates of average annual broiler chicken flock sizes using industry data on the numbers of broilers processed every year since 1990. Mortality rates and days alive are used as suggested by Fick (2010). Stats NZ also obtains estimates of the number of layer hens and other poultry (e.g., ducks, turkeys) from the Agricultural Production Census and Agricultural Production Survey. Other poultry manure management emissions are included and calculated. Enteric fermentation is negligible and therefore not estimated. </w:t>
      </w:r>
    </w:p>
    <w:p w14:paraId="14611F3C" w14:textId="77777777" w:rsidR="00E46639" w:rsidRPr="0028033B" w:rsidRDefault="00E46639" w:rsidP="00E46639">
      <w:pPr>
        <w:pStyle w:val="BodyText"/>
        <w:spacing w:before="100" w:after="60"/>
      </w:pPr>
      <w:r w:rsidRPr="0028033B">
        <w:t xml:space="preserve">The average annual flock size of chickens is determined by the following equation: </w:t>
      </w:r>
    </w:p>
    <w:p w14:paraId="6CF7F4B8" w14:textId="77777777" w:rsidR="00E46639" w:rsidRPr="0028033B" w:rsidRDefault="00E46639" w:rsidP="00E46639">
      <w:pPr>
        <w:pStyle w:val="BodyText"/>
        <w:spacing w:before="80" w:after="80"/>
        <w:rPr>
          <w:sz w:val="18"/>
          <w:szCs w:val="18"/>
        </w:rPr>
      </w:pPr>
      <m:oMathPara>
        <m:oMathParaPr>
          <m:jc m:val="left"/>
        </m:oMathParaPr>
        <m:oMath>
          <m:r>
            <w:rPr>
              <w:rFonts w:ascii="Cambria Math" w:hAnsi="Cambria Math"/>
              <w:sz w:val="18"/>
              <w:szCs w:val="18"/>
            </w:rPr>
            <m:t xml:space="preserve">Average annual flock size= </m:t>
          </m:r>
          <m:f>
            <m:fPr>
              <m:ctrlPr>
                <w:rPr>
                  <w:rFonts w:ascii="Cambria Math" w:hAnsi="Cambria Math"/>
                  <w:i/>
                  <w:sz w:val="18"/>
                  <w:szCs w:val="18"/>
                </w:rPr>
              </m:ctrlPr>
            </m:fPr>
            <m:num>
              <m:r>
                <w:rPr>
                  <w:rFonts w:ascii="Cambria Math" w:hAnsi="Cambria Math"/>
                  <w:sz w:val="18"/>
                  <w:szCs w:val="18"/>
                </w:rPr>
                <m:t>days alive</m:t>
              </m:r>
            </m:num>
            <m:den>
              <m:r>
                <w:rPr>
                  <w:rFonts w:ascii="Cambria Math" w:hAnsi="Cambria Math"/>
                  <w:sz w:val="18"/>
                  <w:szCs w:val="18"/>
                </w:rPr>
                <m:t>365</m:t>
              </m:r>
            </m:den>
          </m:f>
          <m:r>
            <w:rPr>
              <w:rFonts w:ascii="Cambria Math" w:hAnsi="Cambria Math"/>
              <w:sz w:val="18"/>
              <w:szCs w:val="18"/>
            </w:rPr>
            <m:t xml:space="preserve"> ×annual number of birds processed ×(1-mortality rate)</m:t>
          </m:r>
        </m:oMath>
      </m:oMathPara>
    </w:p>
    <w:p w14:paraId="7F743252" w14:textId="77777777" w:rsidR="00E46639" w:rsidRPr="0028033B" w:rsidRDefault="00E46639" w:rsidP="00E46639">
      <w:pPr>
        <w:pStyle w:val="BodyText"/>
        <w:spacing w:before="80" w:after="100"/>
      </w:pPr>
      <w:r w:rsidRPr="0028033B">
        <w:t xml:space="preserve">Beginning in 2007, Stats NZ also obtains estimates of the number of ostrich and emu in </w:t>
      </w:r>
      <w:r w:rsidRPr="0028033B" w:rsidDel="00912A03">
        <w:t xml:space="preserve">New </w:t>
      </w:r>
      <w:r w:rsidRPr="0028033B">
        <w:t xml:space="preserve">Zealand. In 2015, it was estimated only 768 ostriches and emus were in the country. In 2024, it was estimated there were 260 ostriches and emus. In the absence of other information prior to 2007, the emu and ostrich population is assumed to be constant. </w:t>
      </w:r>
    </w:p>
    <w:p w14:paraId="27BB812E" w14:textId="77777777" w:rsidR="00E46639" w:rsidRPr="0028033B" w:rsidRDefault="00E46639" w:rsidP="00E46639">
      <w:pPr>
        <w:pStyle w:val="BodyText"/>
        <w:spacing w:before="100" w:after="100"/>
      </w:pPr>
      <w:r w:rsidRPr="0028033B">
        <w:t xml:space="preserve">Rabbits are considered an agricultural pest, and only a very small number are farmed in New Zealand (R. Sanson, pers. comm., 2019). Because of this, emissions from farmed rabbits are reported as ‘not estimated’ (NE) because their emissions are insignificant. There is no known farming of platypus or other fur-bearing animals. </w:t>
      </w:r>
    </w:p>
    <w:p w14:paraId="5F579242" w14:textId="77777777" w:rsidR="00E46639" w:rsidRPr="0028033B" w:rsidRDefault="00E46639" w:rsidP="00E46639">
      <w:pPr>
        <w:pStyle w:val="Heading3"/>
        <w:spacing w:before="280"/>
      </w:pPr>
      <w:bookmarkStart w:id="701" w:name="_Toc32570647"/>
      <w:r w:rsidRPr="0028033B">
        <w:t xml:space="preserve">5.1.5 </w:t>
      </w:r>
      <w:r w:rsidRPr="0028033B">
        <w:tab/>
        <w:t>Recalculations</w:t>
      </w:r>
      <w:bookmarkEnd w:id="701"/>
      <w:r w:rsidRPr="0028033B">
        <w:t xml:space="preserve"> </w:t>
      </w:r>
    </w:p>
    <w:p w14:paraId="3D92D1EE" w14:textId="77777777" w:rsidR="00E46639" w:rsidRPr="0028033B" w:rsidRDefault="00E46639" w:rsidP="00E46639">
      <w:pPr>
        <w:pStyle w:val="Heading4"/>
        <w:spacing w:before="180"/>
      </w:pPr>
      <w:r w:rsidRPr="0028033B">
        <w:t xml:space="preserve">Agricultural emissions research </w:t>
      </w:r>
    </w:p>
    <w:p w14:paraId="448C7D24" w14:textId="77777777" w:rsidR="00E46639" w:rsidRPr="0028033B" w:rsidRDefault="00E46639" w:rsidP="00E46639">
      <w:pPr>
        <w:pStyle w:val="BodyText"/>
        <w:spacing w:before="80" w:after="100"/>
      </w:pPr>
      <w:r w:rsidRPr="0028033B">
        <w:t>New Zealand invests in a comprehensive research programme to develop technologies and practices to reduce biological greenhouse gas emissions from Agriculture. This is facilitated through the following.</w:t>
      </w:r>
    </w:p>
    <w:p w14:paraId="5CA99436" w14:textId="77777777" w:rsidR="00E46639" w:rsidRPr="0028033B" w:rsidRDefault="00E46639" w:rsidP="00E46639">
      <w:pPr>
        <w:pStyle w:val="Bullet"/>
        <w:spacing w:after="100"/>
      </w:pPr>
      <w:r w:rsidRPr="0028033B">
        <w:t xml:space="preserve">The Ag Emissions Centre (formerly known as the New Zealand Agricultural Greenhouse Gas Research Centre), which was </w:t>
      </w:r>
      <w:r w:rsidRPr="0028033B">
        <w:rPr>
          <w:spacing w:val="-2"/>
        </w:rPr>
        <w:t xml:space="preserve">established in 2009. It aims to contribute to agricultural greenhouse gas </w:t>
      </w:r>
      <w:r w:rsidRPr="0028033B">
        <w:t>understanding and mitigation through research programmes and international collaboration, and to enhance New Zealand’s research capability and infrastructure in understanding livestock farming greenhouse gas emissions.</w:t>
      </w:r>
    </w:p>
    <w:p w14:paraId="70A7B60E" w14:textId="77777777" w:rsidR="00E46639" w:rsidRPr="0028033B" w:rsidRDefault="00E46639" w:rsidP="00E46639">
      <w:pPr>
        <w:pStyle w:val="Bullet"/>
        <w:spacing w:after="100"/>
      </w:pPr>
      <w:bookmarkStart w:id="702" w:name="_Hlk187312141"/>
      <w:r w:rsidRPr="0028033B">
        <w:rPr>
          <w:spacing w:val="-2"/>
        </w:rPr>
        <w:t>The Pastoral Greenhouse Gas Research Consortium, which was established in 2003 by New Zealand agricultural sector organisations and private companies in partnership</w:t>
      </w:r>
      <w:r w:rsidRPr="0028033B">
        <w:t xml:space="preserve"> </w:t>
      </w:r>
      <w:r w:rsidRPr="0028033B">
        <w:rPr>
          <w:spacing w:val="-2"/>
        </w:rPr>
        <w:t xml:space="preserve">with the Government </w:t>
      </w:r>
      <w:r w:rsidRPr="0028033B">
        <w:t>through the Ministry of Business, Innovation and Employment</w:t>
      </w:r>
      <w:r w:rsidRPr="0028033B">
        <w:rPr>
          <w:spacing w:val="-2"/>
        </w:rPr>
        <w:t>. It funds research, primarily into mitigation technologies and management</w:t>
      </w:r>
      <w:r w:rsidRPr="0028033B">
        <w:t xml:space="preserve"> practices for ruminants but also to provide information to improve on</w:t>
      </w:r>
      <w:r w:rsidRPr="0028033B">
        <w:noBreakHyphen/>
        <w:t>farm greenhouse gas inventories. Funding from the Ministry of Business, Innovation and Employment has since ceased and the Consortium now largely operates on funding from industry alone.</w:t>
      </w:r>
    </w:p>
    <w:bookmarkEnd w:id="702"/>
    <w:p w14:paraId="6D001A24" w14:textId="77777777" w:rsidR="00E46639" w:rsidRPr="0028033B" w:rsidRDefault="00E46639" w:rsidP="00E46639">
      <w:pPr>
        <w:pStyle w:val="Bullet"/>
        <w:spacing w:after="100"/>
      </w:pPr>
      <w:r w:rsidRPr="0028033B">
        <w:rPr>
          <w:spacing w:val="-2"/>
        </w:rPr>
        <w:t>New Zealand</w:t>
      </w:r>
      <w:r w:rsidRPr="0028033B">
        <w:t xml:space="preserve"> is one of the founding members of the Global Research Alliance on </w:t>
      </w:r>
      <w:r w:rsidRPr="0028033B">
        <w:rPr>
          <w:spacing w:val="-2"/>
        </w:rPr>
        <w:t>Agricultural Greenhouse Gases (GRA), which facilitates international research collaboration</w:t>
      </w:r>
      <w:r w:rsidRPr="0028033B">
        <w:t xml:space="preserve"> to study ways of increasing global food production while reducing agricultural greenhouse gas emissions. The GRA achieves this through building capability, improving greenhouse gas inventories in developing countries, and facilitating the transfer of technologies and knowledge between members. </w:t>
      </w:r>
      <w:r w:rsidRPr="0028033B">
        <w:rPr>
          <w:spacing w:val="-2"/>
        </w:rPr>
        <w:t>New Zealand</w:t>
      </w:r>
      <w:r w:rsidRPr="0028033B">
        <w:t xml:space="preserve"> has hosted the GRA Secretariat since its establishment in 2009 and coordinates </w:t>
      </w:r>
      <w:r w:rsidRPr="0028033B">
        <w:rPr>
          <w:spacing w:val="-2"/>
        </w:rPr>
        <w:t>New Zealand’s</w:t>
      </w:r>
      <w:r w:rsidRPr="0028033B">
        <w:t xml:space="preserve"> contribution of research, knowledge transfer and capability building largely through the Ag Emissions Centre.</w:t>
      </w:r>
    </w:p>
    <w:p w14:paraId="37F7B603" w14:textId="77777777" w:rsidR="00E46639" w:rsidRPr="0028033B" w:rsidRDefault="00E46639" w:rsidP="00E46639">
      <w:pPr>
        <w:pStyle w:val="Bullet"/>
        <w:spacing w:after="100"/>
        <w:rPr>
          <w:color w:val="0D0D0D" w:themeColor="text1" w:themeTint="F2"/>
        </w:rPr>
      </w:pPr>
      <w:r w:rsidRPr="0028033B">
        <w:rPr>
          <w:color w:val="0D0D0D" w:themeColor="text1" w:themeTint="F2"/>
          <w:spacing w:val="-2"/>
        </w:rPr>
        <w:t>New Zealand’s Greenhouse Gas Inventory Research Fund supports continuous improvement</w:t>
      </w:r>
      <w:r w:rsidRPr="0028033B">
        <w:rPr>
          <w:color w:val="0D0D0D" w:themeColor="text1" w:themeTint="F2"/>
        </w:rPr>
        <w:t xml:space="preserve"> of the Agricultural Greenhouse Gas Inventory to improve the accuracy and reduce uncertainty of emissions reporting and forecasting. This follows the IPCC’s guidelines for the preparation and continuous improvement of national greenhouse gas inventories (IPCC, 2000, 2006). The fund has supported greenhouse gas agricultural inventory research since 2004.</w:t>
      </w:r>
    </w:p>
    <w:p w14:paraId="350E7053" w14:textId="77777777" w:rsidR="00E46639" w:rsidRPr="0028033B" w:rsidRDefault="00E46639" w:rsidP="00E46639">
      <w:pPr>
        <w:pStyle w:val="Bullet"/>
        <w:spacing w:after="100"/>
      </w:pPr>
      <w:r w:rsidRPr="0028033B">
        <w:t>The Centre for Climate Action on Agricultural Emissions was established in 2022 to accelerate the research, development and commercialisation of tools and technology to reduce emissions. It aims to achieve this via two main investment programmes:</w:t>
      </w:r>
    </w:p>
    <w:p w14:paraId="05F7F4D3" w14:textId="77777777" w:rsidR="00E46639" w:rsidRPr="0028033B" w:rsidRDefault="00E46639" w:rsidP="00BA70F6">
      <w:pPr>
        <w:pStyle w:val="Bulletindented"/>
      </w:pPr>
      <w:r w:rsidRPr="0028033B">
        <w:t>AgriZeroNZ: a joint venture partnership between the Government and key agricultural industry organisations to drive a targeted research programme and support the pathway and uptake of new mitigation tools and technologies</w:t>
      </w:r>
    </w:p>
    <w:p w14:paraId="1477FFDF" w14:textId="77777777" w:rsidR="00E46639" w:rsidRPr="0028033B" w:rsidRDefault="00E46639" w:rsidP="00BA70F6">
      <w:pPr>
        <w:pStyle w:val="Bulletindented"/>
      </w:pPr>
      <w:r w:rsidRPr="0028033B">
        <w:t>enhancing the Ag Emissions Centre via additional investment to accelerate research.</w:t>
      </w:r>
    </w:p>
    <w:p w14:paraId="5A9FD0D9" w14:textId="77777777" w:rsidR="00E46639" w:rsidRPr="0028033B" w:rsidRDefault="00E46639" w:rsidP="00E46639">
      <w:pPr>
        <w:pStyle w:val="BodyText"/>
        <w:spacing w:before="100" w:after="100"/>
      </w:pPr>
      <w:r w:rsidRPr="0028033B">
        <w:t xml:space="preserve">Research and data from these sources feed into </w:t>
      </w:r>
      <w:r w:rsidRPr="0028033B">
        <w:rPr>
          <w:spacing w:val="-2"/>
        </w:rPr>
        <w:t>New Zealand’s</w:t>
      </w:r>
      <w:r w:rsidRPr="0028033B">
        <w:t xml:space="preserve"> improvement of the Agriculture inventory, and these research activities allow </w:t>
      </w:r>
      <w:r w:rsidRPr="0028033B" w:rsidDel="001A126F">
        <w:rPr>
          <w:spacing w:val="-2"/>
        </w:rPr>
        <w:t xml:space="preserve">New </w:t>
      </w:r>
      <w:r w:rsidRPr="0028033B">
        <w:rPr>
          <w:spacing w:val="-2"/>
        </w:rPr>
        <w:t>Zealand</w:t>
      </w:r>
      <w:r w:rsidRPr="0028033B">
        <w:t xml:space="preserve"> to share technical skills and expertise internationally.</w:t>
      </w:r>
    </w:p>
    <w:p w14:paraId="401BEF92" w14:textId="77777777" w:rsidR="00E46639" w:rsidRPr="0028033B" w:rsidRDefault="00E46639" w:rsidP="00E46639">
      <w:pPr>
        <w:pStyle w:val="Heading4"/>
        <w:spacing w:before="180"/>
      </w:pPr>
      <w:r w:rsidRPr="0028033B">
        <w:t>Recalculation and improvement approval process in the Agriculture inventory</w:t>
      </w:r>
    </w:p>
    <w:p w14:paraId="0AC28C9C" w14:textId="77777777" w:rsidR="00E46639" w:rsidRPr="0028033B" w:rsidRDefault="00E46639" w:rsidP="00E46639">
      <w:pPr>
        <w:pStyle w:val="BodyText"/>
        <w:spacing w:before="100" w:after="100"/>
      </w:pPr>
      <w:r w:rsidRPr="0028033B">
        <w:t xml:space="preserve">The process for developing improvements and agreeing methodological changes to the Agriculture inventory is shown in figure 5.1.7. </w:t>
      </w:r>
    </w:p>
    <w:p w14:paraId="6498E49B" w14:textId="77777777" w:rsidR="00E46639" w:rsidRPr="0028033B" w:rsidRDefault="00E46639" w:rsidP="00E46639">
      <w:pPr>
        <w:pStyle w:val="BodyText"/>
        <w:spacing w:before="100" w:after="100"/>
      </w:pPr>
      <w:r w:rsidRPr="0028033B">
        <w:t>Domestically, New Zealand has a network of scientific experts in the fields of CO</w:t>
      </w:r>
      <w:r w:rsidRPr="0028033B">
        <w:rPr>
          <w:vertAlign w:val="subscript"/>
        </w:rPr>
        <w:t>2</w:t>
      </w:r>
      <w:r w:rsidRPr="0028033B">
        <w:t>, CH</w:t>
      </w:r>
      <w:r w:rsidRPr="0028033B">
        <w:rPr>
          <w:vertAlign w:val="subscript"/>
        </w:rPr>
        <w:t>4</w:t>
      </w:r>
      <w:r w:rsidRPr="0028033B">
        <w:t> and N</w:t>
      </w:r>
      <w:r w:rsidRPr="0028033B">
        <w:rPr>
          <w:vertAlign w:val="subscript"/>
        </w:rPr>
        <w:t>2</w:t>
      </w:r>
      <w:r w:rsidRPr="0028033B">
        <w:t>O emissions. Research findings are presented annually at the Greenhouse Gas Inventory Research Workshop. New inventory research ideas raised by the research community including industry, and government inventory compilers inform decisions for future inventory research. Final decisions on research priorities are made by MPI, following discussions between the network leaders and Ministry for the Environment (MfE) staff. Research is contracted to address specific questions relating to gaps in New Zealand’s knowledge base and to review, test and improve current model parameters. Draft research reports are peer reviewed by internal and at least one external independent expert with knowledge in the field and are assessed for their scientific robustness and suitability to be included in the Agriculture inventory model. A standard peer review report template is used.</w:t>
      </w:r>
    </w:p>
    <w:p w14:paraId="58870764" w14:textId="77777777" w:rsidR="00E46639" w:rsidRPr="0028033B" w:rsidRDefault="00E46639" w:rsidP="00E46639">
      <w:pPr>
        <w:pStyle w:val="BodyText"/>
        <w:spacing w:before="100" w:after="100"/>
      </w:pPr>
      <w:r w:rsidRPr="0028033B">
        <w:t>If the report recommends changes, a briefing and the final report including the draft results of changes are provided to the Agriculture Inventory Advisory Panel, which currently meets annually to review proposed changes to the Agriculture inventory model. The Panel comprises expert representatives from MPI and MfE and nominated science representatives from the Methanet and NzOnet expert advisory groups.</w:t>
      </w:r>
      <w:r w:rsidRPr="0028033B">
        <w:rPr>
          <w:vertAlign w:val="superscript"/>
        </w:rPr>
        <w:footnoteReference w:id="26"/>
      </w:r>
      <w:r w:rsidRPr="0028033B">
        <w:t xml:space="preserve"> The Panel is independent of policy and industry influences and has been formed to give independent advice on whether changes to the Agriculture sector of the Inventory are scientifically robust, justifiable and internationally defensible. The Panel assesses if the proposed changes have been appropriately researched, using recognised scientific methods, principles and practices, and if there is sufficient scientific evidence to support recommended changes. </w:t>
      </w:r>
    </w:p>
    <w:p w14:paraId="4F33758C" w14:textId="77777777" w:rsidR="00E46639" w:rsidRPr="0028033B" w:rsidRDefault="00E46639" w:rsidP="00E46639">
      <w:pPr>
        <w:pStyle w:val="BodyText"/>
        <w:spacing w:before="100" w:after="100"/>
      </w:pPr>
      <w:r w:rsidRPr="0028033B">
        <w:t xml:space="preserve">Changes recommended by the Panel must be approved by the Deputy Director-General Policy and Trade at MPI, as well as receive endorsement from the Reporting Governance Group (RGG), which is chaired by MfE and leads the reporting, modelling and projections of emissions and removals across government for all sectors. Further details on the RGG are provided in chapter 1, section 1.2.4. </w:t>
      </w:r>
    </w:p>
    <w:p w14:paraId="04315D1F" w14:textId="77777777" w:rsidR="00E46639" w:rsidRPr="0028033B" w:rsidRDefault="00E46639" w:rsidP="00E46639">
      <w:pPr>
        <w:pStyle w:val="Figure"/>
      </w:pPr>
      <w:bookmarkStart w:id="703" w:name="_Toc447275694"/>
      <w:bookmarkStart w:id="704" w:name="_Toc481752012"/>
      <w:bookmarkStart w:id="705" w:name="_Toc507158471"/>
      <w:bookmarkStart w:id="706" w:name="_Toc511116962"/>
      <w:bookmarkStart w:id="707" w:name="_Toc5269692"/>
      <w:bookmarkStart w:id="708" w:name="_Toc32570963"/>
      <w:bookmarkStart w:id="709" w:name="_Toc36292793"/>
      <w:bookmarkStart w:id="710" w:name="_Toc68786658"/>
      <w:bookmarkStart w:id="711" w:name="_Toc95574119"/>
      <w:bookmarkStart w:id="712" w:name="_Toc127458558"/>
      <w:bookmarkStart w:id="713" w:name="_Toc131591560"/>
      <w:bookmarkStart w:id="714" w:name="_Toc164154028"/>
      <w:bookmarkStart w:id="715" w:name="_Toc222407708"/>
      <w:bookmarkStart w:id="716" w:name="_Toc226200688"/>
      <w:r w:rsidRPr="0028033B">
        <w:t xml:space="preserve">Figure 5.1.7 </w:t>
      </w:r>
      <w:r w:rsidRPr="0028033B">
        <w:tab/>
        <w:t>Agriculture sectoral approval process for inventory recalculations and improvements</w:t>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p>
    <w:p w14:paraId="74CE18E5" w14:textId="77777777" w:rsidR="00E46639" w:rsidRPr="0028033B" w:rsidRDefault="00E46639" w:rsidP="00E46639">
      <w:pPr>
        <w:pStyle w:val="BodyText"/>
        <w:jc w:val="center"/>
        <w:rPr>
          <w:rFonts w:eastAsia="Calibri" w:cs="Calibri"/>
        </w:rPr>
      </w:pPr>
      <w:r w:rsidRPr="0028033B">
        <w:rPr>
          <w:rFonts w:eastAsia="Calibri" w:cs="Calibri"/>
          <w:noProof/>
        </w:rPr>
        <w:drawing>
          <wp:inline distT="0" distB="0" distL="0" distR="0" wp14:anchorId="634D7C33" wp14:editId="0935B926">
            <wp:extent cx="3438505" cy="5411972"/>
            <wp:effectExtent l="0" t="0" r="0" b="0"/>
            <wp:docPr id="1645651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cstate="hqprint">
                      <a:extLst>
                        <a:ext uri="{28A0092B-C50C-407E-A947-70E740481C1C}">
                          <a14:useLocalDpi xmlns:a14="http://schemas.microsoft.com/office/drawing/2010/main" val="0"/>
                        </a:ext>
                      </a:extLst>
                    </a:blip>
                    <a:srcRect/>
                    <a:stretch>
                      <a:fillRect/>
                    </a:stretch>
                  </pic:blipFill>
                  <pic:spPr bwMode="auto">
                    <a:xfrm>
                      <a:off x="0" y="0"/>
                      <a:ext cx="3444392" cy="5421238"/>
                    </a:xfrm>
                    <a:prstGeom prst="rect">
                      <a:avLst/>
                    </a:prstGeom>
                    <a:noFill/>
                    <a:ln>
                      <a:noFill/>
                    </a:ln>
                    <a:extLst>
                      <a:ext uri="{53640926-AAD7-44D8-BBD7-CCE9431645EC}">
                        <a14:shadowObscured xmlns:a14="http://schemas.microsoft.com/office/drawing/2010/main"/>
                      </a:ext>
                    </a:extLst>
                  </pic:spPr>
                </pic:pic>
              </a:graphicData>
            </a:graphic>
          </wp:inline>
        </w:drawing>
      </w:r>
    </w:p>
    <w:p w14:paraId="219DF098" w14:textId="77777777" w:rsidR="00E46639" w:rsidRPr="0028033B" w:rsidRDefault="00E46639" w:rsidP="00E46639">
      <w:pPr>
        <w:pStyle w:val="Heading5"/>
      </w:pPr>
      <w:r w:rsidRPr="0028033B">
        <w:t>Agriculture Inventory Advisory Panel meeting – October 2025</w:t>
      </w:r>
    </w:p>
    <w:p w14:paraId="4323C42C" w14:textId="77777777" w:rsidR="00E46639" w:rsidRPr="0028033B" w:rsidRDefault="00E46639" w:rsidP="00E46639">
      <w:pPr>
        <w:pStyle w:val="BodyText"/>
        <w:rPr>
          <w:rFonts w:cs="Calibri"/>
          <w:color w:val="0D0D0D" w:themeColor="text1" w:themeTint="F2"/>
        </w:rPr>
      </w:pPr>
      <w:r w:rsidRPr="0028033B">
        <w:rPr>
          <w:rFonts w:cs="Calibri"/>
          <w:color w:val="0D0D0D" w:themeColor="text1" w:themeTint="F2"/>
        </w:rPr>
        <w:t xml:space="preserve">The Panel met on 30 October 2025 and considered the following potential inventory changes: </w:t>
      </w:r>
    </w:p>
    <w:p w14:paraId="4E29945D" w14:textId="3D9F4347" w:rsidR="00E46639" w:rsidRPr="0028033B" w:rsidRDefault="008E5DB1" w:rsidP="008E5DB1">
      <w:pPr>
        <w:pStyle w:val="Numberedparagraph"/>
        <w:numPr>
          <w:ilvl w:val="0"/>
          <w:numId w:val="0"/>
        </w:numPr>
        <w:ind w:left="397" w:hanging="397"/>
        <w:rPr>
          <w:color w:val="0D0D0D" w:themeColor="text1" w:themeTint="F2"/>
        </w:rPr>
      </w:pPr>
      <w:r>
        <w:rPr>
          <w:color w:val="0D0D0D" w:themeColor="text1" w:themeTint="F2"/>
        </w:rPr>
        <w:t>1.</w:t>
      </w:r>
      <w:r>
        <w:rPr>
          <w:color w:val="0D0D0D" w:themeColor="text1" w:themeTint="F2"/>
        </w:rPr>
        <w:tab/>
      </w:r>
      <w:r w:rsidR="00E46639" w:rsidRPr="0028033B">
        <w:rPr>
          <w:color w:val="0D0D0D" w:themeColor="text1" w:themeTint="F2"/>
        </w:rPr>
        <w:t>inclusion of the EcoPond™ mitigation technology for dairy cattle</w:t>
      </w:r>
    </w:p>
    <w:p w14:paraId="2C2D9F75" w14:textId="521D9B44" w:rsidR="00E46639" w:rsidRPr="0028033B" w:rsidRDefault="008E5DB1" w:rsidP="008E5DB1">
      <w:pPr>
        <w:pStyle w:val="Numberedparagraph"/>
        <w:numPr>
          <w:ilvl w:val="0"/>
          <w:numId w:val="0"/>
        </w:numPr>
        <w:ind w:left="397" w:hanging="397"/>
        <w:rPr>
          <w:color w:val="0D0D0D" w:themeColor="text1" w:themeTint="F2"/>
        </w:rPr>
      </w:pPr>
      <w:r>
        <w:rPr>
          <w:color w:val="0D0D0D" w:themeColor="text1" w:themeTint="F2"/>
        </w:rPr>
        <w:t>2.</w:t>
      </w:r>
      <w:r>
        <w:rPr>
          <w:color w:val="0D0D0D" w:themeColor="text1" w:themeTint="F2"/>
        </w:rPr>
        <w:tab/>
      </w:r>
      <w:r w:rsidR="00E46639" w:rsidRPr="0028033B">
        <w:rPr>
          <w:color w:val="0D0D0D" w:themeColor="text1" w:themeTint="F2"/>
        </w:rPr>
        <w:t>updates to dairy manure and effluent management practices</w:t>
      </w:r>
    </w:p>
    <w:p w14:paraId="6D4B2604" w14:textId="22F172FD" w:rsidR="00E46639" w:rsidRPr="0028033B" w:rsidRDefault="008E5DB1" w:rsidP="008E5DB1">
      <w:pPr>
        <w:pStyle w:val="Numberedparagraph"/>
        <w:numPr>
          <w:ilvl w:val="0"/>
          <w:numId w:val="0"/>
        </w:numPr>
        <w:ind w:left="397" w:hanging="397"/>
        <w:rPr>
          <w:color w:val="0D0D0D" w:themeColor="text1" w:themeTint="F2"/>
        </w:rPr>
      </w:pPr>
      <w:r>
        <w:rPr>
          <w:color w:val="0D0D0D" w:themeColor="text1" w:themeTint="F2"/>
        </w:rPr>
        <w:t>3.</w:t>
      </w:r>
      <w:r>
        <w:rPr>
          <w:color w:val="0D0D0D" w:themeColor="text1" w:themeTint="F2"/>
        </w:rPr>
        <w:tab/>
      </w:r>
      <w:r w:rsidR="00E46639" w:rsidRPr="0028033B">
        <w:rPr>
          <w:color w:val="0D0D0D" w:themeColor="text1" w:themeTint="F2"/>
        </w:rPr>
        <w:t xml:space="preserve">updating </w:t>
      </w:r>
      <w:r w:rsidR="00E46639" w:rsidRPr="0028033B">
        <w:rPr>
          <w:rFonts w:cs="Arial"/>
          <w:color w:val="0D0D0D" w:themeColor="text1" w:themeTint="F2"/>
        </w:rPr>
        <w:t>the emissions factor (EF</w:t>
      </w:r>
      <w:r w:rsidR="00E46639" w:rsidRPr="0028033B">
        <w:rPr>
          <w:rFonts w:cs="Arial"/>
          <w:color w:val="0D0D0D" w:themeColor="text1" w:themeTint="F2"/>
          <w:vertAlign w:val="subscript"/>
        </w:rPr>
        <w:t>1</w:t>
      </w:r>
      <w:r w:rsidR="00E46639" w:rsidRPr="0028033B">
        <w:rPr>
          <w:rFonts w:cs="Arial"/>
          <w:color w:val="0D0D0D" w:themeColor="text1" w:themeTint="F2"/>
        </w:rPr>
        <w:t>) values for all other non-urea synthetic fertilisers to use the same value as urea</w:t>
      </w:r>
    </w:p>
    <w:p w14:paraId="76FE5179" w14:textId="223E6869" w:rsidR="00E46639" w:rsidRPr="0028033B" w:rsidRDefault="008E5DB1" w:rsidP="008E5DB1">
      <w:pPr>
        <w:pStyle w:val="Numberedparagraph"/>
        <w:numPr>
          <w:ilvl w:val="0"/>
          <w:numId w:val="0"/>
        </w:numPr>
        <w:ind w:left="397" w:hanging="397"/>
        <w:rPr>
          <w:color w:val="0D0D0D" w:themeColor="text1" w:themeTint="F2"/>
        </w:rPr>
      </w:pPr>
      <w:r>
        <w:rPr>
          <w:color w:val="0D0D0D" w:themeColor="text1" w:themeTint="F2"/>
        </w:rPr>
        <w:t>4.</w:t>
      </w:r>
      <w:r>
        <w:rPr>
          <w:color w:val="0D0D0D" w:themeColor="text1" w:themeTint="F2"/>
        </w:rPr>
        <w:tab/>
      </w:r>
      <w:r w:rsidR="00E46639" w:rsidRPr="0028033B">
        <w:rPr>
          <w:color w:val="0D0D0D" w:themeColor="text1" w:themeTint="F2"/>
        </w:rPr>
        <w:t xml:space="preserve">aligning with the </w:t>
      </w:r>
      <w:r w:rsidR="00E46639" w:rsidRPr="0028033B">
        <w:rPr>
          <w:i/>
          <w:iCs/>
          <w:color w:val="0D0D0D" w:themeColor="text1" w:themeTint="F2"/>
        </w:rPr>
        <w:t>2019 Refinement to the 2006 IPCC Guidelines for National Greenhouse Gas Inventories</w:t>
      </w:r>
      <w:r w:rsidR="00E46639" w:rsidRPr="0028033B">
        <w:rPr>
          <w:color w:val="0D0D0D" w:themeColor="text1" w:themeTint="F2"/>
        </w:rPr>
        <w:t xml:space="preserve"> </w:t>
      </w:r>
      <w:r w:rsidR="00E46639" w:rsidRPr="0028033B">
        <w:t xml:space="preserve">(2019 IPCC Refinement) </w:t>
      </w:r>
      <w:r w:rsidR="00E46639" w:rsidRPr="0028033B">
        <w:rPr>
          <w:color w:val="0D0D0D" w:themeColor="text1" w:themeTint="F2"/>
        </w:rPr>
        <w:t>(IPCC, 2019)</w:t>
      </w:r>
    </w:p>
    <w:p w14:paraId="15889010" w14:textId="0C618DAB" w:rsidR="00E46639" w:rsidRPr="0028033B" w:rsidRDefault="008E5DB1" w:rsidP="008E5DB1">
      <w:pPr>
        <w:pStyle w:val="Numberedparagraph"/>
        <w:numPr>
          <w:ilvl w:val="0"/>
          <w:numId w:val="0"/>
        </w:numPr>
        <w:ind w:left="397" w:hanging="397"/>
        <w:rPr>
          <w:color w:val="0D0D0D" w:themeColor="text1" w:themeTint="F2"/>
          <w:spacing w:val="-2"/>
        </w:rPr>
      </w:pPr>
      <w:r>
        <w:rPr>
          <w:color w:val="0D0D0D" w:themeColor="text1" w:themeTint="F2"/>
          <w:spacing w:val="-2"/>
        </w:rPr>
        <w:t>5.</w:t>
      </w:r>
      <w:r>
        <w:rPr>
          <w:color w:val="0D0D0D" w:themeColor="text1" w:themeTint="F2"/>
          <w:spacing w:val="-2"/>
        </w:rPr>
        <w:tab/>
      </w:r>
      <w:r w:rsidR="00E46639" w:rsidRPr="0028033B">
        <w:rPr>
          <w:color w:val="0D0D0D" w:themeColor="text1" w:themeTint="F2"/>
          <w:spacing w:val="-2"/>
        </w:rPr>
        <w:t>corrections to the Agriculture inventory model code and incorporation of new activity data.</w:t>
      </w:r>
    </w:p>
    <w:p w14:paraId="330B6817" w14:textId="77777777" w:rsidR="00E46639" w:rsidRPr="0028033B" w:rsidRDefault="00E46639" w:rsidP="00E46639">
      <w:pPr>
        <w:pStyle w:val="BodyText"/>
      </w:pPr>
      <w:r w:rsidRPr="0028033B">
        <w:t>The Panel considered the inclusion of EcoPond™ for dairy cattle based on the peer reviewed published work of Cameron and Di (2021) and reports to MPI by Cameron and Di (unpublished) and Clough, et al. (unpublished). EcoPond™ is an effluent treatment system intended to reduce CH</w:t>
      </w:r>
      <w:r w:rsidRPr="0028033B">
        <w:rPr>
          <w:vertAlign w:val="subscript"/>
        </w:rPr>
        <w:t>4</w:t>
      </w:r>
      <w:r w:rsidRPr="0028033B">
        <w:t xml:space="preserve"> emissions from dairy effluent ponds. The Panel also considered the inclusion of EcoPond™ </w:t>
      </w:r>
      <w:r w:rsidRPr="0028033B">
        <w:rPr>
          <w:spacing w:val="-2"/>
        </w:rPr>
        <w:t>in 2023 and 2024. In 2024, the Panel concluded that the research and trial results demonstrated c</w:t>
      </w:r>
      <w:r w:rsidRPr="0028033B">
        <w:t>learly that the EcoPond™ technology significantly reduces CH</w:t>
      </w:r>
      <w:r w:rsidRPr="0028033B">
        <w:rPr>
          <w:vertAlign w:val="subscript"/>
        </w:rPr>
        <w:t>4</w:t>
      </w:r>
      <w:r w:rsidRPr="0028033B">
        <w:t xml:space="preserve"> from effluent ponds by more than 90 percent. However, during the 2024 meeting, the Panel recommended that EcoPond™ </w:t>
      </w:r>
      <w:r w:rsidRPr="0028033B">
        <w:rPr>
          <w:spacing w:val="-2"/>
        </w:rPr>
        <w:t>should only be included in the Inventory after further research is carried out using the standard operating procedure for the technology that would be specified for commercial use. The recommended trials were completed in late 2024 and early 2025. The Panel recommende</w:t>
      </w:r>
      <w:r w:rsidRPr="0028033B">
        <w:t>d adopting the proposed methodology for including EcoPond™ in the Inventory, including a 92 percent mitigation factor for treated effluent and a six-week efficacy period based on the presented trial data.</w:t>
      </w:r>
    </w:p>
    <w:p w14:paraId="57A50F9F" w14:textId="77777777" w:rsidR="00E46639" w:rsidRPr="0028033B" w:rsidRDefault="00E46639" w:rsidP="0041580E">
      <w:pPr>
        <w:pStyle w:val="Bullet"/>
        <w:numPr>
          <w:ilvl w:val="0"/>
          <w:numId w:val="0"/>
        </w:numPr>
        <w:spacing w:before="120"/>
        <w:rPr>
          <w:color w:val="0D0D0D" w:themeColor="text1" w:themeTint="F2"/>
        </w:rPr>
      </w:pPr>
      <w:r w:rsidRPr="0028033B">
        <w:rPr>
          <w:color w:val="0D0D0D" w:themeColor="text1" w:themeTint="F2"/>
        </w:rPr>
        <w:t xml:space="preserve">Based on the work of Luo, et al. (unpublished(a)), the Panel recommended updated annual proportions of dairy manure entering manure management systems and seasonal allocation of total annual manure collected on off-paddock structures, such as feed pads, stand-off pads </w:t>
      </w:r>
      <w:r w:rsidRPr="0028033B">
        <w:rPr>
          <w:color w:val="0D0D0D" w:themeColor="text1" w:themeTint="F2"/>
          <w:spacing w:val="-2"/>
        </w:rPr>
        <w:t xml:space="preserve">and housing. The Panel also recommended the use of default emission factors for solid </w:t>
      </w:r>
      <w:r w:rsidRPr="0028033B">
        <w:rPr>
          <w:spacing w:val="-2"/>
        </w:rPr>
        <w:t>storage</w:t>
      </w:r>
      <w:r w:rsidRPr="0028033B">
        <w:t>. This change results in a decrease of 0.3 percent (114.9 kt CO</w:t>
      </w:r>
      <w:r w:rsidRPr="0028033B">
        <w:rPr>
          <w:vertAlign w:val="subscript"/>
        </w:rPr>
        <w:t>2</w:t>
      </w:r>
      <w:r w:rsidRPr="0028033B">
        <w:t xml:space="preserve">e) of reported </w:t>
      </w:r>
      <w:r w:rsidRPr="0028033B">
        <w:rPr>
          <w:color w:val="0D0D0D" w:themeColor="text1" w:themeTint="F2"/>
        </w:rPr>
        <w:t>agricultural greenhouse gas emissions in 2023.</w:t>
      </w:r>
    </w:p>
    <w:p w14:paraId="72553BB9" w14:textId="77777777" w:rsidR="00E46639" w:rsidRPr="0028033B" w:rsidRDefault="00E46639" w:rsidP="0041580E">
      <w:pPr>
        <w:pStyle w:val="Bullet"/>
        <w:numPr>
          <w:ilvl w:val="0"/>
          <w:numId w:val="0"/>
        </w:numPr>
        <w:tabs>
          <w:tab w:val="clear" w:pos="397"/>
        </w:tabs>
        <w:spacing w:before="120"/>
      </w:pPr>
      <w:r w:rsidRPr="0028033B">
        <w:rPr>
          <w:color w:val="0D0D0D" w:themeColor="text1" w:themeTint="F2"/>
        </w:rPr>
        <w:t>The Panel recommended that the EF</w:t>
      </w:r>
      <w:r w:rsidRPr="0028033B">
        <w:rPr>
          <w:rFonts w:cs="Arial"/>
          <w:color w:val="0D0D0D" w:themeColor="text1" w:themeTint="F2"/>
          <w:vertAlign w:val="subscript"/>
        </w:rPr>
        <w:t xml:space="preserve">1 </w:t>
      </w:r>
      <w:r w:rsidRPr="0028033B">
        <w:rPr>
          <w:color w:val="0D0D0D" w:themeColor="text1" w:themeTint="F2"/>
        </w:rPr>
        <w:t>values for all non-urea synthetic fertiliser to take the same value as New Zealand’s country-specific urea EF</w:t>
      </w:r>
      <w:r w:rsidRPr="0028033B">
        <w:rPr>
          <w:rFonts w:cs="Arial"/>
          <w:color w:val="0D0D0D" w:themeColor="text1" w:themeTint="F2"/>
          <w:vertAlign w:val="subscript"/>
        </w:rPr>
        <w:t>1</w:t>
      </w:r>
      <w:r w:rsidRPr="0028033B">
        <w:rPr>
          <w:color w:val="0D0D0D" w:themeColor="text1" w:themeTint="F2"/>
        </w:rPr>
        <w:t xml:space="preserve"> (0.59 percent) based on the work of Luo, et al. (2023, unpublished(b), unpublished(c)). In the Panel’s opinion, it is scientifically defensible to group all ammonium nitrogen fertiliser emissions together, and the impact of treating nitrate nitrogen separately is small.</w:t>
      </w:r>
      <w:r>
        <w:rPr>
          <w:color w:val="0D0D0D" w:themeColor="text1" w:themeTint="F2"/>
        </w:rPr>
        <w:t xml:space="preserve"> </w:t>
      </w:r>
      <w:r w:rsidRPr="0028033B">
        <w:rPr>
          <w:color w:val="0D0D0D" w:themeColor="text1" w:themeTint="F2"/>
        </w:rPr>
        <w:t>The Panel also proposed that activity data be reviewed regularly to monitor if the impact of treating nitrate nitrogen separately remains </w:t>
      </w:r>
      <w:r w:rsidRPr="0028033B">
        <w:t>small enough to defensibly ignore. This change results in a decrease of 0.5 percent (186.1 kt CO</w:t>
      </w:r>
      <w:r w:rsidRPr="0028033B">
        <w:rPr>
          <w:vertAlign w:val="subscript"/>
        </w:rPr>
        <w:t>2</w:t>
      </w:r>
      <w:r w:rsidRPr="0028033B">
        <w:t>e) of reported agricultural greenhouse gas emissions in 2023.</w:t>
      </w:r>
    </w:p>
    <w:p w14:paraId="4AE116CD" w14:textId="77777777" w:rsidR="00E46639" w:rsidRPr="0028033B" w:rsidRDefault="00E46639" w:rsidP="0041580E">
      <w:pPr>
        <w:pStyle w:val="Bullet"/>
        <w:numPr>
          <w:ilvl w:val="0"/>
          <w:numId w:val="0"/>
        </w:numPr>
        <w:tabs>
          <w:tab w:val="clear" w:pos="397"/>
        </w:tabs>
        <w:spacing w:before="120"/>
        <w:rPr>
          <w:color w:val="0D0D0D" w:themeColor="text1" w:themeTint="F2"/>
        </w:rPr>
      </w:pPr>
      <w:r w:rsidRPr="0028033B">
        <w:rPr>
          <w:color w:val="0D0D0D" w:themeColor="text1" w:themeTint="F2"/>
        </w:rPr>
        <w:t>The Panel also recommended several improvements to align the Inventory with the 2019 IPCC Refinement (IPCC, 2019). These changes included:</w:t>
      </w:r>
    </w:p>
    <w:p w14:paraId="38349435" w14:textId="77777777" w:rsidR="00E46639" w:rsidRPr="0028033B" w:rsidRDefault="00E46639" w:rsidP="00E46639">
      <w:pPr>
        <w:pStyle w:val="Bullet"/>
      </w:pPr>
      <w:r w:rsidRPr="0028033B">
        <w:t>inclusion of enteric fermentation emissions for ostriches and emus</w:t>
      </w:r>
    </w:p>
    <w:p w14:paraId="54269802" w14:textId="77777777" w:rsidR="00E46639" w:rsidRPr="0028033B" w:rsidRDefault="00E46639" w:rsidP="00E46639">
      <w:pPr>
        <w:pStyle w:val="Bullet"/>
      </w:pPr>
      <w:r w:rsidRPr="0028033B">
        <w:t>updating the CH</w:t>
      </w:r>
      <w:r w:rsidRPr="0028033B">
        <w:rPr>
          <w:vertAlign w:val="subscript"/>
        </w:rPr>
        <w:t xml:space="preserve">4 </w:t>
      </w:r>
      <w:r w:rsidRPr="0028033B">
        <w:t>conversion factor used to calculate CH</w:t>
      </w:r>
      <w:r w:rsidRPr="0028033B">
        <w:rPr>
          <w:vertAlign w:val="subscript"/>
        </w:rPr>
        <w:t>4</w:t>
      </w:r>
      <w:r w:rsidRPr="0028033B">
        <w:t xml:space="preserve"> emissions from dairy anaerobic lagoons</w:t>
      </w:r>
    </w:p>
    <w:p w14:paraId="67A26E00" w14:textId="77777777" w:rsidR="00E46639" w:rsidRPr="0028033B" w:rsidRDefault="00E46639" w:rsidP="00E46639">
      <w:pPr>
        <w:pStyle w:val="Bullet"/>
      </w:pPr>
      <w:r w:rsidRPr="0028033B">
        <w:t>updating the CH</w:t>
      </w:r>
      <w:r w:rsidRPr="0028033B">
        <w:rPr>
          <w:vertAlign w:val="subscript"/>
        </w:rPr>
        <w:t>4</w:t>
      </w:r>
      <w:r w:rsidRPr="0028033B">
        <w:t xml:space="preserve"> emission factors for manure management for goats, horses and donkeys</w:t>
      </w:r>
    </w:p>
    <w:p w14:paraId="5D62D7B4" w14:textId="77777777" w:rsidR="00E46639" w:rsidRPr="0028033B" w:rsidRDefault="00E46639" w:rsidP="00E46639">
      <w:pPr>
        <w:pStyle w:val="Bullet"/>
      </w:pPr>
      <w:r w:rsidRPr="0028033B">
        <w:t>updating the f</w:t>
      </w:r>
      <w:r w:rsidRPr="0028033B">
        <w:rPr>
          <w:rFonts w:cs="Calibri"/>
        </w:rPr>
        <w:t xml:space="preserve">raction of managed manure nitrogen that volatilises as ammonia and oxides (the </w:t>
      </w:r>
      <w:r w:rsidRPr="0028033B">
        <w:t>Frac</w:t>
      </w:r>
      <w:r w:rsidRPr="0028033B">
        <w:rPr>
          <w:vertAlign w:val="subscript"/>
        </w:rPr>
        <w:t>GasMS</w:t>
      </w:r>
      <w:r w:rsidRPr="0028033B">
        <w:t xml:space="preserve"> parameter) for poultry </w:t>
      </w:r>
    </w:p>
    <w:p w14:paraId="33FA0F33" w14:textId="77777777" w:rsidR="00E46639" w:rsidRPr="0028033B" w:rsidRDefault="00E46639" w:rsidP="00E46639">
      <w:pPr>
        <w:pStyle w:val="Bullet"/>
      </w:pPr>
      <w:r w:rsidRPr="0028033B">
        <w:t>revising EF</w:t>
      </w:r>
      <w:r w:rsidRPr="0028033B">
        <w:rPr>
          <w:vertAlign w:val="subscript"/>
        </w:rPr>
        <w:t>1</w:t>
      </w:r>
      <w:r w:rsidRPr="0028033B">
        <w:t xml:space="preserve"> where the IPCC (2006) default is used (organic amendments, crop residues and nitrogen mineralised from mineral soil as a result of loss of soil carbon)</w:t>
      </w:r>
    </w:p>
    <w:p w14:paraId="1B25E634" w14:textId="77777777" w:rsidR="00E46639" w:rsidRPr="0028033B" w:rsidRDefault="00E46639" w:rsidP="00E46639">
      <w:pPr>
        <w:pStyle w:val="Bullet"/>
        <w:rPr>
          <w:spacing w:val="-2"/>
        </w:rPr>
      </w:pPr>
      <w:r w:rsidRPr="0028033B">
        <w:rPr>
          <w:spacing w:val="-2"/>
        </w:rPr>
        <w:t>updating EF</w:t>
      </w:r>
      <w:r w:rsidRPr="0028033B">
        <w:rPr>
          <w:spacing w:val="-2"/>
          <w:vertAlign w:val="subscript"/>
        </w:rPr>
        <w:t>3</w:t>
      </w:r>
      <w:r w:rsidRPr="0028033B">
        <w:rPr>
          <w:spacing w:val="-2"/>
        </w:rPr>
        <w:t xml:space="preserve"> (pasture range and paddock) for minor species where the default value is used. </w:t>
      </w:r>
    </w:p>
    <w:p w14:paraId="17FD2818" w14:textId="77777777" w:rsidR="00E46639" w:rsidRPr="0028033B" w:rsidRDefault="00E46639" w:rsidP="00E46639">
      <w:pPr>
        <w:pStyle w:val="BodyText"/>
      </w:pPr>
      <w:r w:rsidRPr="0028033B">
        <w:t>The total impact of these changes is a decrease of 0.4 percent (168.5 kt CO</w:t>
      </w:r>
      <w:r w:rsidRPr="0028033B">
        <w:rPr>
          <w:vertAlign w:val="subscript"/>
        </w:rPr>
        <w:t>2</w:t>
      </w:r>
      <w:r w:rsidRPr="0028033B">
        <w:t>e) of reported Agriculture emissions in 2023.</w:t>
      </w:r>
      <w:r>
        <w:t xml:space="preserve"> </w:t>
      </w:r>
    </w:p>
    <w:p w14:paraId="65F7D3F8" w14:textId="77777777" w:rsidR="00E46639" w:rsidRPr="0028033B" w:rsidRDefault="00E46639" w:rsidP="0041580E">
      <w:pPr>
        <w:pStyle w:val="Bullet"/>
        <w:numPr>
          <w:ilvl w:val="0"/>
          <w:numId w:val="0"/>
        </w:numPr>
        <w:tabs>
          <w:tab w:val="clear" w:pos="397"/>
        </w:tabs>
        <w:spacing w:before="120"/>
      </w:pPr>
      <w:r w:rsidRPr="0028033B">
        <w:rPr>
          <w:color w:val="0D0D0D" w:themeColor="text1" w:themeTint="F2"/>
        </w:rPr>
        <w:t xml:space="preserve">Each year, the team responsible for the Agriculture inventory sector preparation within MPI identifies improvements to Agriculture inventory model code and input data, and identifies errors and corrections in the codebase. As a result of this work, the Panel recommended a </w:t>
      </w:r>
      <w:r w:rsidRPr="0028033B">
        <w:t>suite of minor changes to be implemented. The total impact of these changes is a decrease of 0.01 percent (4.4 kt CO</w:t>
      </w:r>
      <w:r w:rsidRPr="0028033B">
        <w:rPr>
          <w:vertAlign w:val="subscript"/>
        </w:rPr>
        <w:t>2</w:t>
      </w:r>
      <w:r w:rsidRPr="0028033B">
        <w:t xml:space="preserve">e) of reported Agriculture emissions in 2023. </w:t>
      </w:r>
      <w:bookmarkStart w:id="717" w:name="_Hlk188368793"/>
    </w:p>
    <w:bookmarkEnd w:id="717"/>
    <w:p w14:paraId="6F8BB439" w14:textId="77777777" w:rsidR="00E46639" w:rsidRPr="0028033B" w:rsidRDefault="00E46639" w:rsidP="0041580E">
      <w:pPr>
        <w:pStyle w:val="Bullet"/>
        <w:numPr>
          <w:ilvl w:val="0"/>
          <w:numId w:val="0"/>
        </w:numPr>
        <w:spacing w:before="120"/>
        <w:rPr>
          <w:color w:val="0D0D0D" w:themeColor="text1" w:themeTint="F2"/>
        </w:rPr>
      </w:pPr>
      <w:r w:rsidRPr="0028033B">
        <w:rPr>
          <w:color w:val="0D0D0D" w:themeColor="text1" w:themeTint="F2"/>
        </w:rPr>
        <w:t xml:space="preserve">All of the changes made have been backdated to the 1990 baseline. Further details on these changes are outlined in sections 5.2.5, 5.3.5 and 5.5.5 (category-specific recalculations), as well as chapter 10 (all recalculations). </w:t>
      </w:r>
    </w:p>
    <w:p w14:paraId="5D8DD475" w14:textId="77777777" w:rsidR="00E46639" w:rsidRPr="0028033B" w:rsidRDefault="00E46639" w:rsidP="00E46639">
      <w:pPr>
        <w:pStyle w:val="BodyText"/>
        <w:spacing w:before="100" w:after="100"/>
        <w:rPr>
          <w:color w:val="0D0D0D" w:themeColor="text1" w:themeTint="F2"/>
        </w:rPr>
      </w:pPr>
      <w:r w:rsidRPr="0028033B">
        <w:rPr>
          <w:color w:val="0D0D0D" w:themeColor="text1" w:themeTint="F2"/>
        </w:rPr>
        <w:t>The Panel also discussed progress towards including low CH</w:t>
      </w:r>
      <w:r w:rsidRPr="0028033B">
        <w:rPr>
          <w:color w:val="0D0D0D" w:themeColor="text1" w:themeTint="F2"/>
          <w:vertAlign w:val="subscript"/>
        </w:rPr>
        <w:t>4</w:t>
      </w:r>
      <w:r w:rsidRPr="0028033B">
        <w:rPr>
          <w:color w:val="0D0D0D" w:themeColor="text1" w:themeTint="F2"/>
        </w:rPr>
        <w:t xml:space="preserve"> sheep in the inventory. The Panel recommended adopting the proposed methodological approach to accounting for low CH</w:t>
      </w:r>
      <w:r w:rsidRPr="0028033B">
        <w:rPr>
          <w:color w:val="0D0D0D" w:themeColor="text1" w:themeTint="F2"/>
          <w:vertAlign w:val="subscript"/>
        </w:rPr>
        <w:t>4</w:t>
      </w:r>
      <w:r w:rsidRPr="0028033B">
        <w:rPr>
          <w:color w:val="0D0D0D" w:themeColor="text1" w:themeTint="F2"/>
        </w:rPr>
        <w:t xml:space="preserve"> genetics in sheep. While the Panel members were confident in recommending the methodological approach, they require more information on the activity data used to inform the geneflow model, before the data can be recommended for use in the inventory.</w:t>
      </w:r>
    </w:p>
    <w:p w14:paraId="251C801F" w14:textId="77777777" w:rsidR="00E46639" w:rsidRPr="0028033B" w:rsidRDefault="00E46639" w:rsidP="00E46639">
      <w:pPr>
        <w:pStyle w:val="BodyText"/>
        <w:spacing w:before="100" w:after="100"/>
        <w:rPr>
          <w:color w:val="0D0D0D" w:themeColor="text1" w:themeTint="F2"/>
        </w:rPr>
      </w:pPr>
      <w:r w:rsidRPr="0028033B">
        <w:rPr>
          <w:rFonts w:cs="Calibri"/>
          <w:color w:val="0D0D0D" w:themeColor="text1" w:themeTint="F2"/>
        </w:rPr>
        <w:t xml:space="preserve">The briefings, reports, supporting documentation and minutes of the 2025 Panel meeting (as well as Panel meetings </w:t>
      </w:r>
      <w:r w:rsidRPr="0028033B">
        <w:rPr>
          <w:color w:val="0D0D0D" w:themeColor="text1" w:themeTint="F2"/>
        </w:rPr>
        <w:t>for previous years) are available on the MPI website (</w:t>
      </w:r>
      <w:hyperlink r:id="rId100" w:history="1">
        <w:r w:rsidRPr="0028033B">
          <w:rPr>
            <w:rStyle w:val="Hyperlink"/>
          </w:rPr>
          <w:t>www.mpi.govt.nz/news-and-resources/statistics-and-forecasting/greenhouse-gas-reporting/agricultural-inventory-advisory-panel</w:t>
        </w:r>
      </w:hyperlink>
      <w:r w:rsidRPr="0028033B">
        <w:t>).</w:t>
      </w:r>
    </w:p>
    <w:p w14:paraId="516BE327" w14:textId="77777777" w:rsidR="00E46639" w:rsidRPr="0028033B" w:rsidRDefault="00E46639" w:rsidP="00E46639">
      <w:pPr>
        <w:pStyle w:val="Heading4"/>
      </w:pPr>
      <w:r w:rsidRPr="0028033B">
        <w:t xml:space="preserve">Recalculations approved for the 2026 National Inventory Report submission in the Agriculture sector </w:t>
      </w:r>
    </w:p>
    <w:p w14:paraId="32F62A5B" w14:textId="77777777" w:rsidR="00E46639" w:rsidRPr="0028033B" w:rsidRDefault="00E46639" w:rsidP="00E46639">
      <w:pPr>
        <w:pStyle w:val="BodyText"/>
        <w:spacing w:before="80" w:after="100"/>
        <w:rPr>
          <w:rFonts w:cs="Calibri"/>
          <w:spacing w:val="-2"/>
        </w:rPr>
      </w:pPr>
      <w:r w:rsidRPr="0028033B">
        <w:rPr>
          <w:rFonts w:cs="Calibri"/>
          <w:spacing w:val="-2"/>
        </w:rPr>
        <w:t>Following the recommendations from the</w:t>
      </w:r>
      <w:r w:rsidRPr="0028033B">
        <w:rPr>
          <w:rFonts w:cs="Calibri"/>
        </w:rPr>
        <w:t xml:space="preserve"> </w:t>
      </w:r>
      <w:r w:rsidRPr="0028033B">
        <w:rPr>
          <w:rFonts w:cs="Calibri"/>
          <w:spacing w:val="-2"/>
        </w:rPr>
        <w:t>Agriculture Inventory Advisory Panel and approval from the Deputy Director-General Policy and Trade at MPI and the RGG, New Zealand has implemented all of the recommendations in its 2026 annual inventory submission.</w:t>
      </w:r>
    </w:p>
    <w:p w14:paraId="28C3C113" w14:textId="77777777" w:rsidR="00E46639" w:rsidRPr="0028033B" w:rsidRDefault="00E46639" w:rsidP="00E46639">
      <w:pPr>
        <w:pStyle w:val="BodyText"/>
        <w:spacing w:before="100" w:after="100"/>
      </w:pPr>
      <w:r w:rsidRPr="0028033B">
        <w:t xml:space="preserve">The implementation of these improvements results in a 1 percent </w:t>
      </w:r>
      <w:r w:rsidRPr="0028033B">
        <w:rPr>
          <w:i/>
        </w:rPr>
        <w:t>decrease</w:t>
      </w:r>
      <w:r w:rsidRPr="0028033B">
        <w:t xml:space="preserve"> in the estimate of Agriculture sector emissions in 2023. Table 5.1.4 provides a summary of explanations and justifications for recalculations in Agriculture sector.</w:t>
      </w:r>
    </w:p>
    <w:p w14:paraId="78D2AB79" w14:textId="77777777" w:rsidR="00E46639" w:rsidRPr="0028033B" w:rsidRDefault="00E46639" w:rsidP="00E46639">
      <w:pPr>
        <w:pStyle w:val="Table"/>
        <w:rPr>
          <w:rFonts w:ascii="Segoe UI" w:hAnsi="Segoe UI" w:cs="Segoe UI"/>
        </w:rPr>
      </w:pPr>
      <w:bookmarkStart w:id="718" w:name="_Toc222407614"/>
      <w:bookmarkStart w:id="719" w:name="_Toc226668989"/>
      <w:r w:rsidRPr="0028033B">
        <w:t xml:space="preserve">Table 5.1.4 </w:t>
      </w:r>
      <w:r w:rsidRPr="0028033B">
        <w:tab/>
        <w:t>Explanations and justifications for recalculations in the Agriculture sector</w:t>
      </w:r>
      <w:bookmarkEnd w:id="718"/>
      <w:bookmarkEnd w:id="719"/>
      <w:r w:rsidRPr="0028033B">
        <w:t> </w:t>
      </w:r>
    </w:p>
    <w:tbl>
      <w:tblPr>
        <w:tblW w:w="8562"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CellMar>
          <w:left w:w="85" w:type="dxa"/>
          <w:right w:w="85" w:type="dxa"/>
        </w:tblCellMar>
        <w:tblLook w:val="04A0" w:firstRow="1" w:lastRow="0" w:firstColumn="1" w:lastColumn="0" w:noHBand="0" w:noVBand="1"/>
      </w:tblPr>
      <w:tblGrid>
        <w:gridCol w:w="997"/>
        <w:gridCol w:w="4514"/>
        <w:gridCol w:w="1124"/>
        <w:gridCol w:w="1927"/>
      </w:tblGrid>
      <w:tr w:rsidR="00E46639" w:rsidRPr="0028033B" w14:paraId="1F7BF198" w14:textId="77777777" w:rsidTr="00F16E23">
        <w:trPr>
          <w:trHeight w:val="300"/>
        </w:trPr>
        <w:tc>
          <w:tcPr>
            <w:tcW w:w="993" w:type="dxa"/>
            <w:shd w:val="clear" w:color="auto" w:fill="1B556B"/>
            <w:vAlign w:val="bottom"/>
            <w:hideMark/>
          </w:tcPr>
          <w:p w14:paraId="45093C4A" w14:textId="77777777" w:rsidR="00E46639" w:rsidRPr="0028033B" w:rsidRDefault="00E46639" w:rsidP="00F16E23">
            <w:pPr>
              <w:pStyle w:val="TableTextBold"/>
              <w:spacing w:before="50" w:after="50"/>
              <w:rPr>
                <w:rFonts w:ascii="Times New Roman" w:hAnsi="Times New Roman"/>
                <w:noProof w:val="0"/>
                <w:color w:val="FFFFFF" w:themeColor="background1"/>
                <w:szCs w:val="16"/>
              </w:rPr>
            </w:pPr>
            <w:r w:rsidRPr="0028033B">
              <w:rPr>
                <w:noProof w:val="0"/>
                <w:color w:val="FFFFFF" w:themeColor="background1"/>
                <w:szCs w:val="16"/>
              </w:rPr>
              <w:t>Sector </w:t>
            </w:r>
          </w:p>
        </w:tc>
        <w:tc>
          <w:tcPr>
            <w:tcW w:w="4497" w:type="dxa"/>
            <w:shd w:val="clear" w:color="auto" w:fill="1B556B"/>
            <w:vAlign w:val="bottom"/>
            <w:hideMark/>
          </w:tcPr>
          <w:p w14:paraId="0E5ABC20" w14:textId="77777777" w:rsidR="00E46639" w:rsidRPr="0028033B" w:rsidRDefault="00E46639" w:rsidP="00F16E23">
            <w:pPr>
              <w:pStyle w:val="TableTextBold"/>
              <w:spacing w:before="50" w:after="50"/>
              <w:rPr>
                <w:rFonts w:ascii="Times New Roman" w:hAnsi="Times New Roman"/>
                <w:noProof w:val="0"/>
                <w:color w:val="FFFFFF" w:themeColor="background1"/>
                <w:szCs w:val="16"/>
              </w:rPr>
            </w:pPr>
            <w:r w:rsidRPr="0028033B">
              <w:rPr>
                <w:noProof w:val="0"/>
                <w:color w:val="FFFFFF" w:themeColor="background1"/>
                <w:szCs w:val="16"/>
              </w:rPr>
              <w:t>Explanation of recalculation </w:t>
            </w:r>
          </w:p>
        </w:tc>
        <w:tc>
          <w:tcPr>
            <w:tcW w:w="1065" w:type="dxa"/>
            <w:shd w:val="clear" w:color="auto" w:fill="1B556B"/>
            <w:vAlign w:val="bottom"/>
            <w:hideMark/>
          </w:tcPr>
          <w:p w14:paraId="49EFD7EA" w14:textId="77777777" w:rsidR="00E46639" w:rsidRPr="0028033B" w:rsidRDefault="00E46639" w:rsidP="00F16E23">
            <w:pPr>
              <w:pStyle w:val="TableTextBold"/>
              <w:spacing w:before="50" w:after="50"/>
              <w:rPr>
                <w:rFonts w:ascii="Times New Roman" w:hAnsi="Times New Roman"/>
                <w:noProof w:val="0"/>
                <w:color w:val="FFFFFF" w:themeColor="background1"/>
                <w:szCs w:val="16"/>
              </w:rPr>
            </w:pPr>
            <w:r w:rsidRPr="0028033B">
              <w:rPr>
                <w:noProof w:val="0"/>
                <w:color w:val="FFFFFF" w:themeColor="background1"/>
                <w:szCs w:val="16"/>
              </w:rPr>
              <w:t>Underpinning IPCC principle </w:t>
            </w:r>
          </w:p>
        </w:tc>
        <w:tc>
          <w:tcPr>
            <w:tcW w:w="1920" w:type="dxa"/>
            <w:shd w:val="clear" w:color="auto" w:fill="1B556B"/>
            <w:vAlign w:val="bottom"/>
            <w:hideMark/>
          </w:tcPr>
          <w:p w14:paraId="113B0001" w14:textId="77777777" w:rsidR="00E46639" w:rsidRPr="0028033B" w:rsidRDefault="00E46639" w:rsidP="00F16E23">
            <w:pPr>
              <w:pStyle w:val="TableTextBold"/>
              <w:spacing w:before="50" w:after="50"/>
              <w:rPr>
                <w:rFonts w:ascii="Times New Roman" w:hAnsi="Times New Roman"/>
                <w:noProof w:val="0"/>
                <w:color w:val="FFFFFF" w:themeColor="background1"/>
                <w:szCs w:val="16"/>
              </w:rPr>
            </w:pPr>
            <w:r w:rsidRPr="0028033B">
              <w:rPr>
                <w:noProof w:val="0"/>
                <w:color w:val="FFFFFF" w:themeColor="background1"/>
                <w:szCs w:val="16"/>
              </w:rPr>
              <w:t>Additional justification </w:t>
            </w:r>
          </w:p>
        </w:tc>
      </w:tr>
      <w:tr w:rsidR="00E46639" w:rsidRPr="0028033B" w14:paraId="214E3253" w14:textId="77777777" w:rsidTr="00F16E23">
        <w:trPr>
          <w:trHeight w:val="300"/>
        </w:trPr>
        <w:tc>
          <w:tcPr>
            <w:tcW w:w="993" w:type="dxa"/>
            <w:shd w:val="clear" w:color="auto" w:fill="FFFFFF"/>
            <w:hideMark/>
          </w:tcPr>
          <w:p w14:paraId="70F015C7" w14:textId="77777777" w:rsidR="00E46639" w:rsidRPr="0028033B" w:rsidRDefault="00E46639" w:rsidP="00F16E23">
            <w:pPr>
              <w:pStyle w:val="TableText"/>
              <w:spacing w:before="50" w:after="50"/>
              <w:rPr>
                <w:szCs w:val="16"/>
              </w:rPr>
            </w:pPr>
            <w:r w:rsidRPr="0028033B">
              <w:rPr>
                <w:szCs w:val="16"/>
              </w:rPr>
              <w:t>Agriculture </w:t>
            </w:r>
          </w:p>
        </w:tc>
        <w:tc>
          <w:tcPr>
            <w:tcW w:w="4497" w:type="dxa"/>
            <w:shd w:val="clear" w:color="auto" w:fill="FFFFFF"/>
          </w:tcPr>
          <w:p w14:paraId="45807106" w14:textId="77777777" w:rsidR="00E46639" w:rsidRPr="0028033B" w:rsidRDefault="00E46639" w:rsidP="00F16E23">
            <w:pPr>
              <w:pStyle w:val="TableText"/>
              <w:spacing w:before="50" w:after="50"/>
              <w:rPr>
                <w:szCs w:val="16"/>
              </w:rPr>
            </w:pPr>
            <w:r w:rsidRPr="0028033B">
              <w:rPr>
                <w:szCs w:val="16"/>
              </w:rPr>
              <w:t>Recognising the impact of EcoPond™ on reducing emissions from anaerobic lagoons when treated following the Standard Operating Procedure, with a 92 percent mitigation factor for treated effluent and a six-week efficacy period.</w:t>
            </w:r>
          </w:p>
        </w:tc>
        <w:tc>
          <w:tcPr>
            <w:tcW w:w="1065" w:type="dxa"/>
            <w:shd w:val="clear" w:color="auto" w:fill="FFFFFF"/>
          </w:tcPr>
          <w:p w14:paraId="6B7CC539" w14:textId="77777777" w:rsidR="00E46639" w:rsidRPr="0028033B" w:rsidRDefault="00E46639" w:rsidP="00F16E23">
            <w:pPr>
              <w:pStyle w:val="TableText"/>
              <w:spacing w:before="50" w:after="50"/>
              <w:rPr>
                <w:szCs w:val="16"/>
              </w:rPr>
            </w:pPr>
            <w:r w:rsidRPr="0028033B">
              <w:rPr>
                <w:szCs w:val="16"/>
              </w:rPr>
              <w:t>Accuracy</w:t>
            </w:r>
          </w:p>
        </w:tc>
        <w:tc>
          <w:tcPr>
            <w:tcW w:w="1920" w:type="dxa"/>
            <w:shd w:val="clear" w:color="auto" w:fill="FFFFFF"/>
          </w:tcPr>
          <w:p w14:paraId="2CA717F1" w14:textId="77777777" w:rsidR="00E46639" w:rsidRPr="0028033B" w:rsidRDefault="00E46639" w:rsidP="00F16E23">
            <w:pPr>
              <w:pStyle w:val="TableText"/>
              <w:spacing w:before="50" w:after="50"/>
              <w:rPr>
                <w:szCs w:val="16"/>
              </w:rPr>
            </w:pPr>
          </w:p>
        </w:tc>
      </w:tr>
      <w:tr w:rsidR="00E46639" w:rsidRPr="0028033B" w14:paraId="7B44C3D7" w14:textId="77777777" w:rsidTr="00F16E23">
        <w:trPr>
          <w:trHeight w:val="300"/>
        </w:trPr>
        <w:tc>
          <w:tcPr>
            <w:tcW w:w="993" w:type="dxa"/>
            <w:shd w:val="clear" w:color="auto" w:fill="FFFFFF"/>
            <w:hideMark/>
          </w:tcPr>
          <w:p w14:paraId="4FED4F5A" w14:textId="77777777" w:rsidR="00E46639" w:rsidRPr="0028033B" w:rsidRDefault="00E46639" w:rsidP="00F16E23">
            <w:pPr>
              <w:pStyle w:val="TableText"/>
              <w:rPr>
                <w:szCs w:val="16"/>
              </w:rPr>
            </w:pPr>
            <w:r w:rsidRPr="0028033B">
              <w:rPr>
                <w:szCs w:val="16"/>
              </w:rPr>
              <w:t> </w:t>
            </w:r>
          </w:p>
        </w:tc>
        <w:tc>
          <w:tcPr>
            <w:tcW w:w="4497" w:type="dxa"/>
            <w:shd w:val="clear" w:color="auto" w:fill="FFFFFF"/>
          </w:tcPr>
          <w:p w14:paraId="5E0A082F" w14:textId="77777777" w:rsidR="00E46639" w:rsidRPr="0028033B" w:rsidRDefault="00E46639" w:rsidP="00F16E23">
            <w:pPr>
              <w:pStyle w:val="TableText"/>
              <w:spacing w:before="50" w:after="50"/>
              <w:rPr>
                <w:szCs w:val="16"/>
              </w:rPr>
            </w:pPr>
            <w:r w:rsidRPr="0028033B">
              <w:rPr>
                <w:szCs w:val="16"/>
              </w:rPr>
              <w:t xml:space="preserve">Improvements to activity data and methodology for calculating emissions from dairy manure management: </w:t>
            </w:r>
          </w:p>
          <w:p w14:paraId="41E8E0C5" w14:textId="77777777" w:rsidR="00E46639" w:rsidRPr="0028033B" w:rsidRDefault="00E46639" w:rsidP="00E46639">
            <w:pPr>
              <w:pStyle w:val="TableBullet"/>
              <w:spacing w:before="0" w:after="40"/>
            </w:pPr>
            <w:r w:rsidRPr="0028033B">
              <w:t>updated annual proportions of dairy manure entering manure management systems</w:t>
            </w:r>
          </w:p>
          <w:p w14:paraId="1E03BC69" w14:textId="77777777" w:rsidR="00E46639" w:rsidRPr="0028033B" w:rsidRDefault="00E46639" w:rsidP="00E46639">
            <w:pPr>
              <w:pStyle w:val="TableBullet"/>
              <w:spacing w:before="0" w:after="40"/>
            </w:pPr>
            <w:r w:rsidRPr="0028033B">
              <w:t xml:space="preserve">introduction of solid storage as a manure management system for dairy, with default emission factors </w:t>
            </w:r>
          </w:p>
          <w:p w14:paraId="105FCFA1" w14:textId="77777777" w:rsidR="00E46639" w:rsidRPr="0028033B" w:rsidRDefault="00E46639" w:rsidP="00E46639">
            <w:pPr>
              <w:pStyle w:val="TableBullet"/>
              <w:spacing w:before="0" w:after="50"/>
            </w:pPr>
            <w:r w:rsidRPr="0028033B">
              <w:t>seasonal allocation of total annual manure collected on structures.</w:t>
            </w:r>
          </w:p>
        </w:tc>
        <w:tc>
          <w:tcPr>
            <w:tcW w:w="1065" w:type="dxa"/>
            <w:shd w:val="clear" w:color="auto" w:fill="FFFFFF"/>
          </w:tcPr>
          <w:p w14:paraId="46AD11E7" w14:textId="77777777" w:rsidR="00E46639" w:rsidRPr="0028033B" w:rsidRDefault="00E46639" w:rsidP="00F16E23">
            <w:pPr>
              <w:pStyle w:val="TableText"/>
              <w:spacing w:before="50"/>
              <w:rPr>
                <w:szCs w:val="16"/>
              </w:rPr>
            </w:pPr>
            <w:r w:rsidRPr="0028033B">
              <w:rPr>
                <w:szCs w:val="16"/>
              </w:rPr>
              <w:t>Accuracy</w:t>
            </w:r>
          </w:p>
        </w:tc>
        <w:tc>
          <w:tcPr>
            <w:tcW w:w="1920" w:type="dxa"/>
            <w:shd w:val="clear" w:color="auto" w:fill="FFFFFF"/>
          </w:tcPr>
          <w:p w14:paraId="7894B085" w14:textId="77777777" w:rsidR="00E46639" w:rsidRPr="0028033B" w:rsidRDefault="00E46639" w:rsidP="00F16E23">
            <w:pPr>
              <w:pStyle w:val="TableText"/>
              <w:spacing w:before="50"/>
              <w:rPr>
                <w:szCs w:val="16"/>
              </w:rPr>
            </w:pPr>
            <w:r w:rsidRPr="0028033B">
              <w:rPr>
                <w:szCs w:val="16"/>
              </w:rPr>
              <w:t>Improved data availability</w:t>
            </w:r>
          </w:p>
        </w:tc>
      </w:tr>
      <w:tr w:rsidR="00E46639" w:rsidRPr="0028033B" w14:paraId="6EA5BF03" w14:textId="77777777" w:rsidTr="00F16E23">
        <w:trPr>
          <w:trHeight w:val="300"/>
        </w:trPr>
        <w:tc>
          <w:tcPr>
            <w:tcW w:w="993" w:type="dxa"/>
            <w:shd w:val="clear" w:color="auto" w:fill="FFFFFF"/>
          </w:tcPr>
          <w:p w14:paraId="181A141B" w14:textId="77777777" w:rsidR="00E46639" w:rsidRPr="0028033B" w:rsidRDefault="00E46639" w:rsidP="00F16E23">
            <w:pPr>
              <w:pStyle w:val="TableText"/>
              <w:spacing w:before="50" w:after="50"/>
              <w:rPr>
                <w:szCs w:val="16"/>
              </w:rPr>
            </w:pPr>
          </w:p>
        </w:tc>
        <w:tc>
          <w:tcPr>
            <w:tcW w:w="4497" w:type="dxa"/>
            <w:shd w:val="clear" w:color="auto" w:fill="FFFFFF"/>
          </w:tcPr>
          <w:p w14:paraId="3B82132B" w14:textId="77777777" w:rsidR="00E46639" w:rsidRPr="0028033B" w:rsidRDefault="00E46639" w:rsidP="00F16E23">
            <w:pPr>
              <w:pStyle w:val="TableText"/>
              <w:spacing w:before="50" w:after="50"/>
              <w:rPr>
                <w:rFonts w:ascii="Times New Roman" w:hAnsi="Times New Roman"/>
                <w:szCs w:val="16"/>
              </w:rPr>
            </w:pPr>
            <w:r w:rsidRPr="0028033B">
              <w:rPr>
                <w:szCs w:val="16"/>
              </w:rPr>
              <w:t xml:space="preserve">Updating the </w:t>
            </w:r>
            <w:r w:rsidRPr="0028033B">
              <w:rPr>
                <w:rFonts w:cs="Arial"/>
                <w:color w:val="0D0D0D" w:themeColor="text1" w:themeTint="F2"/>
                <w:szCs w:val="16"/>
              </w:rPr>
              <w:t>EF</w:t>
            </w:r>
            <w:r w:rsidRPr="0028033B">
              <w:rPr>
                <w:rFonts w:cs="Arial"/>
                <w:color w:val="0D0D0D" w:themeColor="text1" w:themeTint="F2"/>
                <w:szCs w:val="16"/>
                <w:vertAlign w:val="subscript"/>
              </w:rPr>
              <w:t>1</w:t>
            </w:r>
            <w:r w:rsidRPr="0028033B">
              <w:rPr>
                <w:szCs w:val="16"/>
              </w:rPr>
              <w:t xml:space="preserve"> values for all non-urea synthetic fertiliser to take the same value as urea (0.59 percent).</w:t>
            </w:r>
          </w:p>
        </w:tc>
        <w:tc>
          <w:tcPr>
            <w:tcW w:w="1065" w:type="dxa"/>
            <w:shd w:val="clear" w:color="auto" w:fill="FFFFFF"/>
          </w:tcPr>
          <w:p w14:paraId="08263DC7" w14:textId="77777777" w:rsidR="00E46639" w:rsidRPr="0028033B" w:rsidRDefault="00E46639" w:rsidP="00F16E23">
            <w:pPr>
              <w:pStyle w:val="TableText"/>
              <w:spacing w:before="50" w:after="50"/>
              <w:rPr>
                <w:szCs w:val="16"/>
              </w:rPr>
            </w:pPr>
            <w:r w:rsidRPr="0028033B">
              <w:rPr>
                <w:szCs w:val="16"/>
              </w:rPr>
              <w:t>Accuracy</w:t>
            </w:r>
          </w:p>
        </w:tc>
        <w:tc>
          <w:tcPr>
            <w:tcW w:w="1920" w:type="dxa"/>
            <w:shd w:val="clear" w:color="auto" w:fill="FFFFFF"/>
          </w:tcPr>
          <w:p w14:paraId="3E1CB703" w14:textId="77777777" w:rsidR="00E46639" w:rsidRPr="0028033B" w:rsidRDefault="00E46639" w:rsidP="00F16E23">
            <w:pPr>
              <w:pStyle w:val="TableText"/>
              <w:spacing w:before="50" w:after="50"/>
              <w:rPr>
                <w:szCs w:val="16"/>
              </w:rPr>
            </w:pPr>
          </w:p>
        </w:tc>
      </w:tr>
      <w:tr w:rsidR="00E46639" w:rsidRPr="0028033B" w14:paraId="66EDE8F2" w14:textId="77777777" w:rsidTr="00F16E23">
        <w:trPr>
          <w:trHeight w:val="300"/>
        </w:trPr>
        <w:tc>
          <w:tcPr>
            <w:tcW w:w="993" w:type="dxa"/>
            <w:shd w:val="clear" w:color="auto" w:fill="FFFFFF"/>
          </w:tcPr>
          <w:p w14:paraId="679DB685" w14:textId="77777777" w:rsidR="00E46639" w:rsidRPr="0028033B" w:rsidRDefault="00E46639" w:rsidP="00F16E23">
            <w:pPr>
              <w:pStyle w:val="TableText"/>
              <w:rPr>
                <w:szCs w:val="16"/>
              </w:rPr>
            </w:pPr>
          </w:p>
        </w:tc>
        <w:tc>
          <w:tcPr>
            <w:tcW w:w="4497" w:type="dxa"/>
            <w:shd w:val="clear" w:color="auto" w:fill="FFFFFF"/>
          </w:tcPr>
          <w:p w14:paraId="287003D4" w14:textId="77777777" w:rsidR="00E46639" w:rsidRPr="0028033B" w:rsidRDefault="00E46639" w:rsidP="00F16E23">
            <w:pPr>
              <w:pStyle w:val="TableText"/>
              <w:spacing w:after="50"/>
              <w:rPr>
                <w:szCs w:val="16"/>
              </w:rPr>
            </w:pPr>
            <w:r w:rsidRPr="0028033B">
              <w:rPr>
                <w:szCs w:val="16"/>
              </w:rPr>
              <w:t>Bringing the Inventory up to date with the latest IPCC advice (2019 IPCC Refinement) (IPCC, 2019):</w:t>
            </w:r>
          </w:p>
          <w:p w14:paraId="6C4FAAFD" w14:textId="77777777" w:rsidR="00E46639" w:rsidRPr="0028033B" w:rsidRDefault="00E46639" w:rsidP="00E46639">
            <w:pPr>
              <w:pStyle w:val="TableBullet"/>
              <w:spacing w:before="0" w:after="40"/>
            </w:pPr>
            <w:r w:rsidRPr="0028033B">
              <w:t>inclusion of enteric fermentation emissions for ostriches and emus</w:t>
            </w:r>
          </w:p>
          <w:p w14:paraId="475F96FC" w14:textId="77777777" w:rsidR="00E46639" w:rsidRPr="0028033B" w:rsidRDefault="00E46639" w:rsidP="00E46639">
            <w:pPr>
              <w:pStyle w:val="TableBullet"/>
              <w:spacing w:before="0" w:after="40"/>
            </w:pPr>
            <w:r w:rsidRPr="0028033B">
              <w:t>updating the CH</w:t>
            </w:r>
            <w:r w:rsidRPr="0028033B">
              <w:rPr>
                <w:vertAlign w:val="subscript"/>
              </w:rPr>
              <w:t>4</w:t>
            </w:r>
            <w:r w:rsidRPr="0028033B">
              <w:t xml:space="preserve"> conversion factor used to calculate CH</w:t>
            </w:r>
            <w:r w:rsidRPr="0028033B">
              <w:rPr>
                <w:vertAlign w:val="subscript"/>
              </w:rPr>
              <w:t>4</w:t>
            </w:r>
            <w:r w:rsidRPr="0028033B">
              <w:t xml:space="preserve"> emissions from dairy anaerobic lagoons</w:t>
            </w:r>
          </w:p>
          <w:p w14:paraId="39300AC1" w14:textId="77777777" w:rsidR="00E46639" w:rsidRPr="0028033B" w:rsidRDefault="00E46639" w:rsidP="00E46639">
            <w:pPr>
              <w:pStyle w:val="TableBullet"/>
              <w:spacing w:before="0" w:after="40"/>
            </w:pPr>
            <w:r w:rsidRPr="0028033B">
              <w:t>updating the CH</w:t>
            </w:r>
            <w:r w:rsidRPr="0028033B">
              <w:rPr>
                <w:vertAlign w:val="subscript"/>
              </w:rPr>
              <w:t>4</w:t>
            </w:r>
            <w:r w:rsidRPr="0028033B">
              <w:t xml:space="preserve"> emission factors for manure management for goats, horses and donkeys</w:t>
            </w:r>
          </w:p>
          <w:p w14:paraId="0319535A" w14:textId="77777777" w:rsidR="00E46639" w:rsidRPr="0028033B" w:rsidRDefault="00E46639" w:rsidP="00E46639">
            <w:pPr>
              <w:pStyle w:val="TableBullet"/>
              <w:spacing w:before="0" w:after="40"/>
            </w:pPr>
            <w:r w:rsidRPr="0028033B">
              <w:t>updating the Frac</w:t>
            </w:r>
            <w:r w:rsidRPr="0028033B">
              <w:rPr>
                <w:vertAlign w:val="subscript"/>
              </w:rPr>
              <w:t>GasMS</w:t>
            </w:r>
            <w:r w:rsidRPr="0028033B">
              <w:t xml:space="preserve"> parameter for poultry </w:t>
            </w:r>
          </w:p>
          <w:p w14:paraId="7D9F50E0" w14:textId="77777777" w:rsidR="00E46639" w:rsidRPr="0028033B" w:rsidRDefault="00E46639" w:rsidP="00E46639">
            <w:pPr>
              <w:pStyle w:val="TableBullet"/>
              <w:spacing w:before="0" w:after="40"/>
            </w:pPr>
            <w:r w:rsidRPr="0028033B">
              <w:t xml:space="preserve">revising </w:t>
            </w:r>
            <w:r w:rsidRPr="0028033B">
              <w:rPr>
                <w:rFonts w:cs="Arial"/>
                <w:color w:val="0D0D0D" w:themeColor="text1" w:themeTint="F2"/>
              </w:rPr>
              <w:t>EF</w:t>
            </w:r>
            <w:r w:rsidRPr="0028033B">
              <w:rPr>
                <w:rFonts w:cs="Arial"/>
                <w:color w:val="0D0D0D" w:themeColor="text1" w:themeTint="F2"/>
                <w:vertAlign w:val="subscript"/>
              </w:rPr>
              <w:t xml:space="preserve">1 </w:t>
            </w:r>
            <w:r w:rsidRPr="0028033B">
              <w:t>where the IPCC (2006) default is used (organic amendments, crop residues and nitrogen mineralised from mineral soil as a result of loss of soil carbon)</w:t>
            </w:r>
          </w:p>
          <w:p w14:paraId="63EE8F85" w14:textId="77777777" w:rsidR="00E46639" w:rsidRPr="0028033B" w:rsidRDefault="00E46639" w:rsidP="00E46639">
            <w:pPr>
              <w:pStyle w:val="TableBullet"/>
              <w:spacing w:before="0"/>
              <w:rPr>
                <w:rFonts w:ascii="Times New Roman" w:hAnsi="Times New Roman"/>
              </w:rPr>
            </w:pPr>
            <w:r w:rsidRPr="0028033B">
              <w:t>updating EF</w:t>
            </w:r>
            <w:r w:rsidRPr="0028033B">
              <w:rPr>
                <w:vertAlign w:val="subscript"/>
              </w:rPr>
              <w:t>3</w:t>
            </w:r>
            <w:r w:rsidRPr="0028033B">
              <w:t xml:space="preserve"> (pasture range and paddock) for minor species where the default value is used.</w:t>
            </w:r>
          </w:p>
        </w:tc>
        <w:tc>
          <w:tcPr>
            <w:tcW w:w="1065" w:type="dxa"/>
            <w:shd w:val="clear" w:color="auto" w:fill="FFFFFF"/>
          </w:tcPr>
          <w:p w14:paraId="5204D2AF" w14:textId="77777777" w:rsidR="00E46639" w:rsidRPr="0028033B" w:rsidRDefault="00E46639" w:rsidP="00F16E23">
            <w:pPr>
              <w:pStyle w:val="TableText"/>
              <w:rPr>
                <w:szCs w:val="16"/>
              </w:rPr>
            </w:pPr>
            <w:r w:rsidRPr="0028033B">
              <w:rPr>
                <w:szCs w:val="16"/>
              </w:rPr>
              <w:t>Accuracy</w:t>
            </w:r>
          </w:p>
        </w:tc>
        <w:tc>
          <w:tcPr>
            <w:tcW w:w="1920" w:type="dxa"/>
            <w:shd w:val="clear" w:color="auto" w:fill="FFFFFF"/>
          </w:tcPr>
          <w:p w14:paraId="1E135699" w14:textId="77777777" w:rsidR="00E46639" w:rsidRPr="0028033B" w:rsidRDefault="00E46639" w:rsidP="00F16E23">
            <w:pPr>
              <w:pStyle w:val="TableText"/>
              <w:rPr>
                <w:szCs w:val="16"/>
              </w:rPr>
            </w:pPr>
            <w:r w:rsidRPr="0028033B">
              <w:rPr>
                <w:szCs w:val="16"/>
              </w:rPr>
              <w:t>Completeness</w:t>
            </w:r>
          </w:p>
        </w:tc>
      </w:tr>
      <w:tr w:rsidR="00E46639" w:rsidRPr="0028033B" w14:paraId="174EF99F" w14:textId="77777777" w:rsidTr="00F16E23">
        <w:trPr>
          <w:trHeight w:val="300"/>
        </w:trPr>
        <w:tc>
          <w:tcPr>
            <w:tcW w:w="993" w:type="dxa"/>
            <w:shd w:val="clear" w:color="auto" w:fill="FFFFFF"/>
          </w:tcPr>
          <w:p w14:paraId="500E830D" w14:textId="77777777" w:rsidR="00E46639" w:rsidRPr="0028033B" w:rsidRDefault="00E46639" w:rsidP="00F16E23">
            <w:pPr>
              <w:pStyle w:val="TableText"/>
              <w:spacing w:before="50" w:after="50"/>
              <w:rPr>
                <w:szCs w:val="16"/>
              </w:rPr>
            </w:pPr>
          </w:p>
        </w:tc>
        <w:tc>
          <w:tcPr>
            <w:tcW w:w="4497" w:type="dxa"/>
            <w:shd w:val="clear" w:color="auto" w:fill="FFFFFF"/>
          </w:tcPr>
          <w:p w14:paraId="57C65C38" w14:textId="77777777" w:rsidR="00E46639" w:rsidRPr="0028033B" w:rsidRDefault="00E46639" w:rsidP="00F16E23">
            <w:pPr>
              <w:pStyle w:val="TableText"/>
              <w:spacing w:before="50" w:after="50"/>
              <w:rPr>
                <w:szCs w:val="16"/>
              </w:rPr>
            </w:pPr>
            <w:r w:rsidRPr="0028033B">
              <w:rPr>
                <w:szCs w:val="16"/>
              </w:rPr>
              <w:t>Error corrections and improvements to model code.</w:t>
            </w:r>
          </w:p>
        </w:tc>
        <w:tc>
          <w:tcPr>
            <w:tcW w:w="1065" w:type="dxa"/>
            <w:shd w:val="clear" w:color="auto" w:fill="FFFFFF"/>
          </w:tcPr>
          <w:p w14:paraId="6FCCA9A8" w14:textId="77777777" w:rsidR="00E46639" w:rsidRPr="0028033B" w:rsidRDefault="00E46639" w:rsidP="00F16E23">
            <w:pPr>
              <w:pStyle w:val="TableText"/>
              <w:spacing w:before="50" w:after="50"/>
              <w:rPr>
                <w:szCs w:val="16"/>
              </w:rPr>
            </w:pPr>
            <w:r w:rsidRPr="0028033B">
              <w:rPr>
                <w:szCs w:val="16"/>
              </w:rPr>
              <w:t>Accuracy</w:t>
            </w:r>
          </w:p>
        </w:tc>
        <w:tc>
          <w:tcPr>
            <w:tcW w:w="1920" w:type="dxa"/>
            <w:shd w:val="clear" w:color="auto" w:fill="FFFFFF"/>
          </w:tcPr>
          <w:p w14:paraId="19957FA7" w14:textId="77777777" w:rsidR="00E46639" w:rsidRPr="0028033B" w:rsidRDefault="00E46639" w:rsidP="00F16E23">
            <w:pPr>
              <w:pStyle w:val="TableText"/>
              <w:spacing w:before="50" w:after="50"/>
              <w:rPr>
                <w:szCs w:val="16"/>
              </w:rPr>
            </w:pPr>
            <w:r w:rsidRPr="0028033B">
              <w:rPr>
                <w:szCs w:val="16"/>
              </w:rPr>
              <w:t>Correction of errors</w:t>
            </w:r>
          </w:p>
        </w:tc>
      </w:tr>
    </w:tbl>
    <w:p w14:paraId="4BCAF4F8" w14:textId="77777777" w:rsidR="00E46639" w:rsidRPr="0028033B" w:rsidRDefault="00E46639" w:rsidP="00E46639">
      <w:pPr>
        <w:pStyle w:val="Heading3"/>
        <w:spacing w:before="320"/>
      </w:pPr>
      <w:bookmarkStart w:id="720" w:name="_Toc32570648"/>
      <w:r w:rsidRPr="0028033B">
        <w:t xml:space="preserve">5.1.6 </w:t>
      </w:r>
      <w:r w:rsidRPr="0028033B">
        <w:tab/>
        <w:t>Quality assurance and quality control (QA/QC)</w:t>
      </w:r>
      <w:bookmarkEnd w:id="720"/>
    </w:p>
    <w:p w14:paraId="4424AE60" w14:textId="77777777" w:rsidR="00E46639" w:rsidRPr="0028033B" w:rsidRDefault="00E46639" w:rsidP="00E46639">
      <w:pPr>
        <w:pStyle w:val="BodyText"/>
        <w:spacing w:before="100" w:after="100"/>
      </w:pPr>
      <w:r w:rsidRPr="0028033B">
        <w:t xml:space="preserve">The MPI Agriculture inventory team maintains close contact with the teams responsible for the collation of primary industries (agriculture, horticulture, forestry and fishing) data. These teams liaise with Stats NZ and provide analysis and forecasts of primary industries’ activity and performance. This arrangement ensures that the MPI Agriculture inventory team has a good understanding of activity data and agricultural performance. </w:t>
      </w:r>
    </w:p>
    <w:p w14:paraId="4E428260" w14:textId="77777777" w:rsidR="00E46639" w:rsidRPr="0028033B" w:rsidRDefault="00E46639" w:rsidP="00E46639">
      <w:pPr>
        <w:pStyle w:val="BodyText"/>
        <w:spacing w:before="100" w:after="100"/>
      </w:pPr>
      <w:r w:rsidRPr="0028033B">
        <w:t>The connection with Stats NZ ensures that statistical data are aligned with changes in agricultural management practices in the primary industries sector. This allows the Agriculture inventory model to estimate changes in emissions when farms adopt mitigation measures or new management practices.</w:t>
      </w:r>
    </w:p>
    <w:p w14:paraId="68906D1F" w14:textId="77777777" w:rsidR="00E46639" w:rsidRPr="0028033B" w:rsidRDefault="00E46639" w:rsidP="00E46639">
      <w:pPr>
        <w:pStyle w:val="BodyText"/>
      </w:pPr>
      <w:r w:rsidRPr="0028033B">
        <w:t>The MPI Agriculture inventory team also maintains relationships with industry bodies that provide additional data, such as Beef + Lamb New Zealand Ltd, DairyNZ, LIC, Deer Industry New Zealand, the Poultry Industry Association New Zealand and Fertiliser Association of New Zealand.</w:t>
      </w:r>
    </w:p>
    <w:p w14:paraId="07B72CB6" w14:textId="77777777" w:rsidR="00E46639" w:rsidRPr="0028033B" w:rsidRDefault="00E46639" w:rsidP="00E46639">
      <w:pPr>
        <w:pStyle w:val="BodyText"/>
        <w:spacing w:after="100"/>
      </w:pPr>
      <w:r w:rsidRPr="0028033B">
        <w:t xml:space="preserve">As part of the quality-control procedures, the Agriculture inventory sector is reviewed by MPI personnel with expertise in climate change policy, international policy, climate change science and livestock farming policy. The review ensures that the Agriculture inventory sector clearly explains the sources of Agriculture emissions in New Zealand as well as the trends in emissions from year to year. The results from the Agriculture inventory sector also inform domestic and international climate change policy. </w:t>
      </w:r>
    </w:p>
    <w:p w14:paraId="193AEB8E" w14:textId="77777777" w:rsidR="00E46639" w:rsidRPr="0028033B" w:rsidRDefault="00E46639" w:rsidP="00E46639">
      <w:pPr>
        <w:pStyle w:val="BodyText"/>
      </w:pPr>
      <w:r w:rsidRPr="0028033B">
        <w:t xml:space="preserve">MPI’s Agriculture inventory sector experts meet regularly with the national inventory compilation team at MfE that is responsible for compiling the annual submission. MfE monitors MPI progress in implementing recommendations from previous expert review reports and on meeting timelines during the year. </w:t>
      </w:r>
    </w:p>
    <w:p w14:paraId="046B6B39" w14:textId="77777777" w:rsidR="00E46639" w:rsidRPr="0028033B" w:rsidRDefault="00E46639" w:rsidP="00E46639">
      <w:pPr>
        <w:pStyle w:val="BodyText"/>
      </w:pPr>
      <w:r w:rsidRPr="0028033B">
        <w:t xml:space="preserve">MPI participates in a debrief session, coordinated by MfE, following the annual submission of the Inventory. This is to ensure the National Inventory Compiler and each sector lead understand what is working well and where improvements could be made. </w:t>
      </w:r>
    </w:p>
    <w:p w14:paraId="27FD2BDF" w14:textId="77777777" w:rsidR="00E46639" w:rsidRPr="0028033B" w:rsidRDefault="00E46639" w:rsidP="00E46639">
      <w:pPr>
        <w:pStyle w:val="BodyText"/>
      </w:pPr>
      <w:r w:rsidRPr="0028033B">
        <w:t>In 2016, an external audit firm (Deloitte), with specialist skills in quality-assurance and quality</w:t>
      </w:r>
      <w:r w:rsidRPr="0028033B">
        <w:noBreakHyphen/>
        <w:t xml:space="preserve">control management, was engaged to evaluate and improve quality-assurance and quality-control processes for the Agriculture inventory sector. The MPI Agriculture inventory team has used this feedback to update and improve the quality-assurance and quality-control methodology. </w:t>
      </w:r>
    </w:p>
    <w:p w14:paraId="3688CC66" w14:textId="77777777" w:rsidR="00E46639" w:rsidRPr="0028033B" w:rsidRDefault="00E46639" w:rsidP="00E46639">
      <w:pPr>
        <w:pStyle w:val="BodyText"/>
      </w:pPr>
      <w:r w:rsidRPr="0028033B">
        <w:t xml:space="preserve">A process of quality-control checks is mandated in the </w:t>
      </w:r>
      <w:r w:rsidRPr="0028033B">
        <w:rPr>
          <w:i/>
          <w:iCs/>
        </w:rPr>
        <w:t>2006 IPCC Guidelines for National Greenhouse Gas Inventories</w:t>
      </w:r>
      <w:r w:rsidRPr="0028033B">
        <w:t xml:space="preserve"> (IPCC, 2006) and the internal compilation process is provided in table 5.1.5. </w:t>
      </w:r>
    </w:p>
    <w:p w14:paraId="39163C59" w14:textId="77777777" w:rsidR="00E46639" w:rsidRPr="0028033B" w:rsidRDefault="00E46639" w:rsidP="00E46639">
      <w:pPr>
        <w:pStyle w:val="Table"/>
        <w:rPr>
          <w:rFonts w:cs="Calibri"/>
        </w:rPr>
      </w:pPr>
      <w:bookmarkStart w:id="721" w:name="_Toc32570912"/>
      <w:bookmarkStart w:id="722" w:name="_Toc36224547"/>
      <w:bookmarkStart w:id="723" w:name="_Toc68786433"/>
      <w:bookmarkStart w:id="724" w:name="_Toc95574068"/>
      <w:bookmarkStart w:id="725" w:name="_Toc127458251"/>
      <w:bookmarkStart w:id="726" w:name="_Toc131591347"/>
      <w:bookmarkStart w:id="727" w:name="_Toc160114437"/>
      <w:bookmarkStart w:id="728" w:name="_Toc164153833"/>
      <w:bookmarkStart w:id="729" w:name="_Toc222407615"/>
      <w:bookmarkStart w:id="730" w:name="_Toc226668990"/>
      <w:r w:rsidRPr="0028033B">
        <w:t>Table 5.1.5</w:t>
      </w:r>
      <w:r w:rsidRPr="0028033B">
        <w:tab/>
        <w:t>Agriculture sectoral approval process for inventory recalculations and improvements</w:t>
      </w:r>
      <w:bookmarkEnd w:id="721"/>
      <w:bookmarkEnd w:id="722"/>
      <w:bookmarkEnd w:id="723"/>
      <w:bookmarkEnd w:id="724"/>
      <w:bookmarkEnd w:id="725"/>
      <w:bookmarkEnd w:id="726"/>
      <w:bookmarkEnd w:id="727"/>
      <w:bookmarkEnd w:id="728"/>
      <w:bookmarkEnd w:id="729"/>
      <w:bookmarkEnd w:id="730"/>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CellMar>
          <w:left w:w="85" w:type="dxa"/>
          <w:right w:w="85" w:type="dxa"/>
        </w:tblCellMar>
        <w:tblLook w:val="04A0" w:firstRow="1" w:lastRow="0" w:firstColumn="1" w:lastColumn="0" w:noHBand="0" w:noVBand="1"/>
      </w:tblPr>
      <w:tblGrid>
        <w:gridCol w:w="1191"/>
        <w:gridCol w:w="7314"/>
      </w:tblGrid>
      <w:tr w:rsidR="00E46639" w:rsidRPr="0028033B" w14:paraId="775BB72D" w14:textId="77777777" w:rsidTr="00F16E23">
        <w:trPr>
          <w:tblHeader/>
        </w:trPr>
        <w:tc>
          <w:tcPr>
            <w:tcW w:w="1191" w:type="dxa"/>
            <w:shd w:val="clear" w:color="auto" w:fill="1B556B"/>
            <w:vAlign w:val="bottom"/>
          </w:tcPr>
          <w:p w14:paraId="2515ED43" w14:textId="77777777" w:rsidR="00E46639" w:rsidRPr="0028033B" w:rsidRDefault="00E46639" w:rsidP="00F16E23">
            <w:pPr>
              <w:pStyle w:val="TableTextBold"/>
              <w:keepNext/>
              <w:rPr>
                <w:noProof w:val="0"/>
                <w:color w:val="FFFFFF" w:themeColor="background1"/>
              </w:rPr>
            </w:pPr>
            <w:r w:rsidRPr="0028033B">
              <w:rPr>
                <w:noProof w:val="0"/>
                <w:color w:val="FFFFFF" w:themeColor="background1"/>
              </w:rPr>
              <w:t>QA/QC area</w:t>
            </w:r>
          </w:p>
        </w:tc>
        <w:tc>
          <w:tcPr>
            <w:tcW w:w="7314" w:type="dxa"/>
            <w:shd w:val="clear" w:color="auto" w:fill="1B556B"/>
            <w:vAlign w:val="bottom"/>
          </w:tcPr>
          <w:p w14:paraId="553BEF64" w14:textId="77777777" w:rsidR="00E46639" w:rsidRPr="0028033B" w:rsidRDefault="00E46639" w:rsidP="00F16E23">
            <w:pPr>
              <w:pStyle w:val="TableTextBold"/>
              <w:keepNext/>
              <w:rPr>
                <w:noProof w:val="0"/>
                <w:color w:val="FFFFFF" w:themeColor="background1"/>
              </w:rPr>
            </w:pPr>
            <w:r w:rsidRPr="0028033B">
              <w:rPr>
                <w:noProof w:val="0"/>
                <w:color w:val="FFFFFF" w:themeColor="background1"/>
              </w:rPr>
              <w:t>Details of QA/QC procedure</w:t>
            </w:r>
          </w:p>
        </w:tc>
      </w:tr>
      <w:tr w:rsidR="00E46639" w:rsidRPr="0028033B" w14:paraId="6359B1D8" w14:textId="77777777" w:rsidTr="00F16E23">
        <w:tc>
          <w:tcPr>
            <w:tcW w:w="1191" w:type="dxa"/>
          </w:tcPr>
          <w:p w14:paraId="148F301D" w14:textId="77777777" w:rsidR="00E46639" w:rsidRPr="0028033B" w:rsidRDefault="00E46639" w:rsidP="00F16E23">
            <w:pPr>
              <w:pStyle w:val="TableText"/>
              <w:spacing w:before="40"/>
            </w:pPr>
            <w:r w:rsidRPr="0028033B">
              <w:t xml:space="preserve">Activity data </w:t>
            </w:r>
          </w:p>
        </w:tc>
        <w:tc>
          <w:tcPr>
            <w:tcW w:w="7314" w:type="dxa"/>
          </w:tcPr>
          <w:p w14:paraId="54357843" w14:textId="77777777" w:rsidR="00E46639" w:rsidRPr="0028033B" w:rsidRDefault="00E46639" w:rsidP="00F16E23">
            <w:pPr>
              <w:pStyle w:val="TableBullet"/>
              <w:spacing w:before="40" w:after="30"/>
            </w:pPr>
            <w:r w:rsidRPr="0028033B">
              <w:t xml:space="preserve">Data collection, requests, inputs and checks are recorded in a data check table, which is signed by the individual staff members performing the data input and checks. </w:t>
            </w:r>
          </w:p>
          <w:p w14:paraId="2253973B" w14:textId="77777777" w:rsidR="00E46639" w:rsidRPr="0028033B" w:rsidRDefault="00E46639" w:rsidP="00E46639">
            <w:pPr>
              <w:pStyle w:val="TableBullet"/>
              <w:spacing w:before="0" w:after="30"/>
            </w:pPr>
            <w:r w:rsidRPr="0028033B">
              <w:t xml:space="preserve">A comprehensive list of all external data to be collected annually from internal and external sources is included as a part of the data check sheet. </w:t>
            </w:r>
          </w:p>
          <w:p w14:paraId="7BDD73B1" w14:textId="77777777" w:rsidR="00E46639" w:rsidRPr="0028033B" w:rsidRDefault="00E46639" w:rsidP="00E46639">
            <w:pPr>
              <w:pStyle w:val="TableBullet"/>
              <w:spacing w:before="0" w:after="30"/>
            </w:pPr>
            <w:r w:rsidRPr="0028033B">
              <w:t xml:space="preserve">New activity data and a sample of historical data are cross checked for accuracy and completeness by someone who did not input that data. </w:t>
            </w:r>
          </w:p>
          <w:p w14:paraId="79AC5584" w14:textId="77777777" w:rsidR="00E46639" w:rsidRPr="0028033B" w:rsidRDefault="00E46639" w:rsidP="00E46639">
            <w:pPr>
              <w:pStyle w:val="TableBullet"/>
              <w:spacing w:before="0" w:after="30"/>
            </w:pPr>
            <w:r w:rsidRPr="0028033B">
              <w:t xml:space="preserve">The data check table is included with the managerial sign-off materials before delivery to the Ministry for the Environment (MfE). </w:t>
            </w:r>
          </w:p>
        </w:tc>
      </w:tr>
      <w:tr w:rsidR="00E46639" w:rsidRPr="0028033B" w14:paraId="470B5E69" w14:textId="77777777" w:rsidTr="00F16E23">
        <w:tc>
          <w:tcPr>
            <w:tcW w:w="1191" w:type="dxa"/>
          </w:tcPr>
          <w:p w14:paraId="0308A648" w14:textId="77777777" w:rsidR="00E46639" w:rsidRPr="0028033B" w:rsidRDefault="00E46639" w:rsidP="00F16E23">
            <w:pPr>
              <w:pStyle w:val="TableText"/>
              <w:spacing w:before="40" w:after="50"/>
              <w:rPr>
                <w:rFonts w:cs="Calibri"/>
                <w:color w:val="000000"/>
              </w:rPr>
            </w:pPr>
            <w:r w:rsidRPr="0028033B">
              <w:rPr>
                <w:rFonts w:cs="Calibri"/>
                <w:color w:val="000000"/>
              </w:rPr>
              <w:t xml:space="preserve">Emissions </w:t>
            </w:r>
          </w:p>
        </w:tc>
        <w:tc>
          <w:tcPr>
            <w:tcW w:w="7314" w:type="dxa"/>
          </w:tcPr>
          <w:p w14:paraId="7DDFC077" w14:textId="77777777" w:rsidR="00E46639" w:rsidRPr="0028033B" w:rsidRDefault="00E46639" w:rsidP="00F16E23">
            <w:pPr>
              <w:pStyle w:val="TableBullet"/>
              <w:spacing w:before="40" w:after="40"/>
            </w:pPr>
            <w:r w:rsidRPr="0028033B">
              <w:t xml:space="preserve">Implied emission factors are checked over time (1990 to most recent year) and against previous submissions. Any anomalies are investigated. </w:t>
            </w:r>
          </w:p>
          <w:p w14:paraId="0BE78ACC" w14:textId="77777777" w:rsidR="00E46639" w:rsidRPr="0028033B" w:rsidRDefault="00E46639" w:rsidP="00E46639">
            <w:pPr>
              <w:pStyle w:val="TableBullet"/>
              <w:spacing w:before="0" w:after="30"/>
            </w:pPr>
            <w:r w:rsidRPr="0028033B">
              <w:t xml:space="preserve">Some key category emissions are compared against Tier 1 default methodologies and against similar parties, particularly Australia. A challenge for New Zealand is the lack of countries with similar agricultural circumstances and management practices. For example, New Zealand’s major livestock types are almost all kept outdoors on pasture in all seasons. </w:t>
            </w:r>
          </w:p>
          <w:p w14:paraId="4CC47E5D" w14:textId="77777777" w:rsidR="00E46639" w:rsidRPr="0028033B" w:rsidRDefault="00E46639" w:rsidP="00E46639">
            <w:pPr>
              <w:pStyle w:val="TableBullet"/>
              <w:spacing w:before="0" w:after="30"/>
            </w:pPr>
            <w:r w:rsidRPr="0028033B">
              <w:t>Total emissions and each row of activity data from the common reporting tables are checked for accuracy against total emissions and activity outputs from the model. Category totals are also checked. Latest data points (2022) as well as 1990 and a random sample of years are checked.</w:t>
            </w:r>
          </w:p>
          <w:p w14:paraId="29308FDA" w14:textId="77777777" w:rsidR="00E46639" w:rsidRPr="0028033B" w:rsidRDefault="00E46639" w:rsidP="00E46639">
            <w:pPr>
              <w:pStyle w:val="TableBullet"/>
              <w:spacing w:before="0" w:after="30"/>
            </w:pPr>
            <w:r w:rsidRPr="0028033B">
              <w:t xml:space="preserve">An automated tool is run on the common reporting tables that identifies blank inputs, duplicates, changes in data type, implied emission factor time-series consistency, included elsewhere (IE) and not estimated (NE) inputs and instances where a country-specific emission factor is used with a Tier 1 methodology. Each resulting occurrence is investigated to determine if there is an issue or error, and a justification is provided if the result is expected. </w:t>
            </w:r>
          </w:p>
        </w:tc>
      </w:tr>
      <w:tr w:rsidR="00E46639" w:rsidRPr="0028033B" w14:paraId="6D1369D9" w14:textId="77777777" w:rsidTr="00F16E23">
        <w:tc>
          <w:tcPr>
            <w:tcW w:w="1191" w:type="dxa"/>
          </w:tcPr>
          <w:p w14:paraId="1A31AF2C" w14:textId="77777777" w:rsidR="00E46639" w:rsidRPr="0028033B" w:rsidRDefault="00E46639" w:rsidP="00F16E23">
            <w:pPr>
              <w:pStyle w:val="TableText"/>
              <w:spacing w:before="40"/>
            </w:pPr>
            <w:r w:rsidRPr="0028033B">
              <w:t xml:space="preserve">Recalculations </w:t>
            </w:r>
          </w:p>
        </w:tc>
        <w:tc>
          <w:tcPr>
            <w:tcW w:w="7314" w:type="dxa"/>
          </w:tcPr>
          <w:p w14:paraId="7F19FA54" w14:textId="77777777" w:rsidR="00E46639" w:rsidRPr="0028033B" w:rsidRDefault="00E46639" w:rsidP="00F16E23">
            <w:pPr>
              <w:pStyle w:val="TableBullet"/>
              <w:spacing w:before="40" w:after="30"/>
            </w:pPr>
            <w:r w:rsidRPr="0028033B">
              <w:t xml:space="preserve">Recalculations are agreed with MfE and the Reporting Governance Group every year before the Agriculture inventory sectoral compilation commences. </w:t>
            </w:r>
          </w:p>
          <w:p w14:paraId="22A5766F" w14:textId="77777777" w:rsidR="00E46639" w:rsidRPr="0028033B" w:rsidRDefault="00E46639" w:rsidP="00E46639">
            <w:pPr>
              <w:pStyle w:val="TableBullet"/>
              <w:spacing w:before="0" w:after="30"/>
            </w:pPr>
            <w:r w:rsidRPr="0028033B">
              <w:t>Recalculations are compared with previous submissions and, as far as possible, explained and confirmed by the changes in method or activity data.</w:t>
            </w:r>
          </w:p>
          <w:p w14:paraId="40BD3500" w14:textId="77777777" w:rsidR="00E46639" w:rsidRPr="0028033B" w:rsidRDefault="00E46639" w:rsidP="00E46639">
            <w:pPr>
              <w:pStyle w:val="TableBullet"/>
              <w:spacing w:before="0" w:after="30"/>
            </w:pPr>
            <w:r w:rsidRPr="0028033B">
              <w:t xml:space="preserve">The cumulative effect of any recalculations is investigated (the impact will not always be the sum of the impact of the changes, due to interactions between changes) and the level of interaction between changes is assessed. </w:t>
            </w:r>
          </w:p>
          <w:p w14:paraId="35A70F14" w14:textId="77777777" w:rsidR="00E46639" w:rsidRPr="0028033B" w:rsidRDefault="00E46639" w:rsidP="00E46639">
            <w:pPr>
              <w:pStyle w:val="TableBullet"/>
              <w:spacing w:before="0" w:after="30"/>
            </w:pPr>
            <w:r w:rsidRPr="0028033B">
              <w:t xml:space="preserve">Anomalous results from recalculations are checked and corrected, if necessary. </w:t>
            </w:r>
          </w:p>
          <w:p w14:paraId="64FA3014" w14:textId="77777777" w:rsidR="00E46639" w:rsidRPr="0028033B" w:rsidRDefault="00E46639" w:rsidP="00E46639">
            <w:pPr>
              <w:pStyle w:val="TableBullet"/>
              <w:spacing w:before="0" w:after="30"/>
            </w:pPr>
            <w:r w:rsidRPr="0028033B">
              <w:t xml:space="preserve">The Agriculture inventory sector compiler completes recalculation forms, signs the forms and forwards them to MfE. </w:t>
            </w:r>
          </w:p>
        </w:tc>
      </w:tr>
      <w:tr w:rsidR="00E46639" w:rsidRPr="0028033B" w14:paraId="609DC789" w14:textId="77777777" w:rsidTr="00F16E23">
        <w:tc>
          <w:tcPr>
            <w:tcW w:w="1191" w:type="dxa"/>
          </w:tcPr>
          <w:p w14:paraId="1CD089F8" w14:textId="77777777" w:rsidR="00E46639" w:rsidRPr="0028033B" w:rsidRDefault="00E46639" w:rsidP="00F16E23">
            <w:pPr>
              <w:pStyle w:val="TableText"/>
              <w:spacing w:before="40" w:after="50"/>
              <w:rPr>
                <w:rFonts w:cs="Calibri"/>
                <w:color w:val="000000"/>
              </w:rPr>
            </w:pPr>
            <w:r w:rsidRPr="0028033B">
              <w:rPr>
                <w:rFonts w:cs="Calibri"/>
                <w:color w:val="000000"/>
              </w:rPr>
              <w:t xml:space="preserve">Periodic reviews </w:t>
            </w:r>
          </w:p>
        </w:tc>
        <w:tc>
          <w:tcPr>
            <w:tcW w:w="7314" w:type="dxa"/>
          </w:tcPr>
          <w:p w14:paraId="0749A45F" w14:textId="77777777" w:rsidR="00E46639" w:rsidRPr="0028033B" w:rsidRDefault="00E46639" w:rsidP="00F16E23">
            <w:pPr>
              <w:pStyle w:val="TableBullet"/>
              <w:spacing w:before="40" w:after="30"/>
            </w:pPr>
            <w:r w:rsidRPr="0028033B">
              <w:t>Periodic reviews are completed on different aspects of the Agriculture inventory sector. Examples of these reviews are below.</w:t>
            </w:r>
          </w:p>
          <w:p w14:paraId="2F33899C" w14:textId="77777777" w:rsidR="00E46639" w:rsidRPr="0028033B" w:rsidRDefault="00E46639" w:rsidP="00E46639">
            <w:pPr>
              <w:pStyle w:val="TableBullet"/>
              <w:spacing w:before="0" w:after="30"/>
            </w:pPr>
            <w:r w:rsidRPr="0028033B">
              <w:t xml:space="preserve">The livestock population models and productivity parameters have been reviewed (e.g., Thomson et al., 2011). These reviews have also been used to update and improve the Tier 2 model. </w:t>
            </w:r>
          </w:p>
          <w:p w14:paraId="6732E8E1" w14:textId="77777777" w:rsidR="00E46639" w:rsidRPr="0028033B" w:rsidRDefault="00E46639" w:rsidP="00E46639">
            <w:pPr>
              <w:pStyle w:val="TableBullet"/>
              <w:spacing w:before="0" w:after="30"/>
            </w:pPr>
            <w:r w:rsidRPr="0028033B">
              <w:t xml:space="preserve">During the 2012 submission, new crops were included in the National Inventory Report and a new complex methodology was implemented. For the 2013 submission, Plant and Food Research, a Crown research institute that has expertise in this area, was hired to review the workbooks, check the formulae and model parameters. </w:t>
            </w:r>
          </w:p>
          <w:p w14:paraId="271CFD52" w14:textId="77777777" w:rsidR="00E46639" w:rsidRPr="0028033B" w:rsidRDefault="00E46639" w:rsidP="00E46639">
            <w:pPr>
              <w:pStyle w:val="TableBullet"/>
              <w:spacing w:before="0" w:after="30"/>
            </w:pPr>
            <w:r w:rsidRPr="0028033B">
              <w:t xml:space="preserve">During the 2015 submission, a mutual bilateral greenhouse gas inventory review was held between Australia and New Zealand, which included the Agriculture sector (Australian Government, unpublished). </w:t>
            </w:r>
          </w:p>
          <w:p w14:paraId="1E2EF6C0" w14:textId="77777777" w:rsidR="00E46639" w:rsidRPr="0028033B" w:rsidRDefault="00E46639" w:rsidP="00E46639">
            <w:pPr>
              <w:pStyle w:val="TableBullet"/>
              <w:spacing w:before="0" w:after="30"/>
            </w:pPr>
            <w:r w:rsidRPr="0028033B">
              <w:t xml:space="preserve">In 2018, the population models in the Agriculture inventory model were reviewed. Small errors in the implementation of the population equations in the Agriculture inventory model were found and corrected for in the 2019 (1990–2017) submission. </w:t>
            </w:r>
          </w:p>
          <w:p w14:paraId="0ABCF3ED" w14:textId="77777777" w:rsidR="00E46639" w:rsidRPr="0028033B" w:rsidRDefault="00E46639" w:rsidP="00E46639">
            <w:pPr>
              <w:pStyle w:val="TableBullet"/>
              <w:spacing w:before="0" w:after="30"/>
            </w:pPr>
            <w:r w:rsidRPr="0028033B">
              <w:t>From 2022 to 2023, the Agriculture inventory model was migrated from Excel to a model built using the R programming language. For the 2023 (1990–2021) submission, the R model was run in parallel with the Excel model. During this process, the results between the two models were reviewed in detail. Some differences were identified and resulted in corrections of errors in the workings of the original model. The R model is now the active working model and was used for the 2024 (1990–2022) submission.</w:t>
            </w:r>
          </w:p>
          <w:p w14:paraId="0DE68C37" w14:textId="77777777" w:rsidR="00E46639" w:rsidRPr="0028033B" w:rsidRDefault="00E46639" w:rsidP="00E46639">
            <w:pPr>
              <w:pStyle w:val="TableBullet"/>
              <w:spacing w:before="0" w:after="30"/>
            </w:pPr>
            <w:r w:rsidRPr="0028033B">
              <w:t>From 2023 onwards, in parallel with the Agriculture inventory model, MPI has been developing an on-farm emissions calculation methodology and model. As part of this process, many of the calculations in the Agriculture inventory model have been replicated in a way that could be implemented (and suitable) at the farm level. Errors that were identified and the resulting corrections made to the Agriculture inventory model for the 2025 submission have been reviewed and verified internally by the team developing the on-farm emissions calculator.</w:t>
            </w:r>
          </w:p>
        </w:tc>
      </w:tr>
      <w:tr w:rsidR="00E46639" w:rsidRPr="0028033B" w14:paraId="354C70B7" w14:textId="77777777" w:rsidTr="00F16E23">
        <w:tc>
          <w:tcPr>
            <w:tcW w:w="1191" w:type="dxa"/>
          </w:tcPr>
          <w:p w14:paraId="1FFCBD65" w14:textId="77777777" w:rsidR="00E46639" w:rsidRPr="0028033B" w:rsidRDefault="00E46639" w:rsidP="00F16E23">
            <w:pPr>
              <w:pStyle w:val="TableText"/>
              <w:spacing w:before="40" w:after="50"/>
              <w:rPr>
                <w:rFonts w:cs="Calibri"/>
                <w:color w:val="000000"/>
              </w:rPr>
            </w:pPr>
            <w:r w:rsidRPr="0028033B">
              <w:rPr>
                <w:rFonts w:cs="Calibri"/>
                <w:color w:val="000000"/>
              </w:rPr>
              <w:t xml:space="preserve">Error checking and reporting </w:t>
            </w:r>
          </w:p>
        </w:tc>
        <w:tc>
          <w:tcPr>
            <w:tcW w:w="7314" w:type="dxa"/>
          </w:tcPr>
          <w:p w14:paraId="3DFA9160" w14:textId="77777777" w:rsidR="00E46639" w:rsidRPr="0028033B" w:rsidRDefault="00E46639" w:rsidP="00F16E23">
            <w:pPr>
              <w:pStyle w:val="TableBullet"/>
              <w:spacing w:before="40" w:after="30"/>
            </w:pPr>
            <w:r w:rsidRPr="0028033B">
              <w:t xml:space="preserve">Errors confirmed during the year are recorded, and the National Inventory Compiler is notified. The factors contributing to the error are assessed. </w:t>
            </w:r>
          </w:p>
          <w:p w14:paraId="50A7E6DE" w14:textId="77777777" w:rsidR="00E46639" w:rsidRPr="0028033B" w:rsidRDefault="00E46639" w:rsidP="00E46639">
            <w:pPr>
              <w:pStyle w:val="TableBullet"/>
              <w:spacing w:before="0" w:after="30"/>
            </w:pPr>
            <w:r w:rsidRPr="0028033B">
              <w:t xml:space="preserve">A checklist of quality-control activities is followed during data collection and entry into the model, data upload to the common reporting table (via the Enhanced Transparency Framework Greenhouse Gas Inventory Reporting Tool) and the Inventory chapter preparation. </w:t>
            </w:r>
          </w:p>
          <w:p w14:paraId="5450A811" w14:textId="77777777" w:rsidR="00E46639" w:rsidRPr="0028033B" w:rsidRDefault="00E46639" w:rsidP="00E46639">
            <w:pPr>
              <w:pStyle w:val="TableBullet"/>
              <w:spacing w:before="0" w:after="30"/>
            </w:pPr>
            <w:r w:rsidRPr="0028033B">
              <w:t>The Agriculture sector chapter of the Inventory, and the data exported to the Enhanced Transparency Framework Greenhouse Gas Inventory Reporting Tool, are signed off by the Agriculture sector compiler, people involved in data checking and the responsible manager.</w:t>
            </w:r>
          </w:p>
        </w:tc>
      </w:tr>
      <w:tr w:rsidR="00E46639" w:rsidRPr="0028033B" w14:paraId="20AC0C59" w14:textId="77777777" w:rsidTr="00F16E23">
        <w:tc>
          <w:tcPr>
            <w:tcW w:w="1191" w:type="dxa"/>
          </w:tcPr>
          <w:p w14:paraId="508CDC78" w14:textId="77777777" w:rsidR="00E46639" w:rsidRPr="0028033B" w:rsidRDefault="00E46639" w:rsidP="00F16E23">
            <w:pPr>
              <w:pStyle w:val="TableText"/>
              <w:spacing w:before="40" w:after="50"/>
              <w:rPr>
                <w:rFonts w:cs="Calibri"/>
                <w:color w:val="000000"/>
              </w:rPr>
            </w:pPr>
            <w:r w:rsidRPr="0028033B">
              <w:rPr>
                <w:rFonts w:cs="Calibri"/>
                <w:color w:val="000000"/>
              </w:rPr>
              <w:t xml:space="preserve">Documentation </w:t>
            </w:r>
          </w:p>
        </w:tc>
        <w:tc>
          <w:tcPr>
            <w:tcW w:w="7314" w:type="dxa"/>
          </w:tcPr>
          <w:p w14:paraId="46F2C614" w14:textId="77777777" w:rsidR="00E46639" w:rsidRPr="0028033B" w:rsidRDefault="00E46639" w:rsidP="00F16E23">
            <w:pPr>
              <w:pStyle w:val="TableBullet"/>
              <w:spacing w:before="40" w:after="30"/>
            </w:pPr>
            <w:r w:rsidRPr="0028033B">
              <w:t xml:space="preserve">Internal working instructions are maintained, to allow for staff movements. </w:t>
            </w:r>
          </w:p>
          <w:p w14:paraId="6AA5C8FA" w14:textId="77777777" w:rsidR="00E46639" w:rsidRPr="0028033B" w:rsidRDefault="00E46639" w:rsidP="00E46639">
            <w:pPr>
              <w:pStyle w:val="TableBullet"/>
              <w:spacing w:before="0" w:after="30"/>
            </w:pPr>
            <w:r w:rsidRPr="0028033B">
              <w:t xml:space="preserve">Workbooks and calculations are kept on an MPI electronic archiving and management system, enabling the wider team access to all workbooks. </w:t>
            </w:r>
          </w:p>
          <w:p w14:paraId="751C053F" w14:textId="77777777" w:rsidR="00E46639" w:rsidRPr="0028033B" w:rsidRDefault="00E46639" w:rsidP="00E46639">
            <w:pPr>
              <w:pStyle w:val="TableBullet"/>
              <w:spacing w:before="0" w:after="30"/>
            </w:pPr>
            <w:r w:rsidRPr="0028033B">
              <w:t>The R model is stored in a Git repository, code commits (updates) are accompanied by descriptions of changes, and good comment etiquette is followed, which allows for effective version management, change control and diagnostic testing.</w:t>
            </w:r>
          </w:p>
          <w:p w14:paraId="4F022757" w14:textId="77777777" w:rsidR="00E46639" w:rsidRPr="0028033B" w:rsidRDefault="00E46639" w:rsidP="00E46639">
            <w:pPr>
              <w:pStyle w:val="TableBullet"/>
              <w:spacing w:before="0" w:after="30"/>
            </w:pPr>
            <w:r w:rsidRPr="0028033B">
              <w:t xml:space="preserve">Hyperlinks between check sheets, sign-off documents and workbooks are used to link relevant files on the document management system. </w:t>
            </w:r>
          </w:p>
        </w:tc>
      </w:tr>
    </w:tbl>
    <w:p w14:paraId="036280B6" w14:textId="77777777" w:rsidR="00E46639" w:rsidRPr="0028033B" w:rsidRDefault="00E46639" w:rsidP="00E46639">
      <w:pPr>
        <w:pStyle w:val="Heading3"/>
        <w:spacing w:before="400"/>
      </w:pPr>
      <w:bookmarkStart w:id="731" w:name="_Toc32570649"/>
      <w:r w:rsidRPr="0028033B">
        <w:t>5.1.7</w:t>
      </w:r>
      <w:r w:rsidRPr="0028033B">
        <w:tab/>
        <w:t>Planned improvements</w:t>
      </w:r>
      <w:bookmarkEnd w:id="731"/>
      <w:r w:rsidRPr="0028033B">
        <w:t xml:space="preserve"> and research</w:t>
      </w:r>
    </w:p>
    <w:p w14:paraId="74F07971" w14:textId="77777777" w:rsidR="00E46639" w:rsidRPr="0028033B" w:rsidRDefault="00E46639" w:rsidP="00E46639">
      <w:pPr>
        <w:pStyle w:val="BodyText"/>
      </w:pPr>
      <w:r w:rsidRPr="0028033B">
        <w:t xml:space="preserve">MPI has planned and commissioned several projects aimed at further improving New Zealand’s Agriculture inventory. </w:t>
      </w:r>
    </w:p>
    <w:p w14:paraId="486FCE26" w14:textId="77777777" w:rsidR="00E46639" w:rsidRPr="0028033B" w:rsidRDefault="00E46639" w:rsidP="00E46639">
      <w:pPr>
        <w:pStyle w:val="BodyText"/>
      </w:pPr>
      <w:r w:rsidRPr="0028033B">
        <w:t>Ongoing and recently completed research projects include:</w:t>
      </w:r>
    </w:p>
    <w:p w14:paraId="04446971" w14:textId="77777777" w:rsidR="00E46639" w:rsidRPr="0028033B" w:rsidRDefault="00E46639" w:rsidP="00E46639">
      <w:pPr>
        <w:pStyle w:val="Bullet"/>
        <w:numPr>
          <w:ilvl w:val="0"/>
          <w:numId w:val="25"/>
        </w:numPr>
        <w:rPr>
          <w:color w:val="0D0D0D" w:themeColor="text1" w:themeTint="F2"/>
        </w:rPr>
      </w:pPr>
      <w:r w:rsidRPr="0028033B">
        <w:rPr>
          <w:color w:val="0D0D0D" w:themeColor="text1" w:themeTint="F2"/>
        </w:rPr>
        <w:t xml:space="preserve">improving organic soils activity data and providing for the implementation of the IPCC 2013 Wetland Supplement (IPCC, 2014) (see section 5.5.6) </w:t>
      </w:r>
    </w:p>
    <w:p w14:paraId="4F8DBB2A" w14:textId="77777777" w:rsidR="00E46639" w:rsidRPr="0028033B" w:rsidRDefault="00E46639" w:rsidP="00E46639">
      <w:pPr>
        <w:pStyle w:val="Bullet"/>
        <w:numPr>
          <w:ilvl w:val="0"/>
          <w:numId w:val="25"/>
        </w:numPr>
        <w:rPr>
          <w:color w:val="0D0D0D" w:themeColor="text1" w:themeTint="F2"/>
        </w:rPr>
      </w:pPr>
      <w:r w:rsidRPr="0028033B">
        <w:rPr>
          <w:color w:val="0D0D0D" w:themeColor="text1" w:themeTint="F2"/>
        </w:rPr>
        <w:t>increasing measurements of N</w:t>
      </w:r>
      <w:r w:rsidRPr="0028033B">
        <w:rPr>
          <w:color w:val="0D0D0D" w:themeColor="text1" w:themeTint="F2"/>
          <w:vertAlign w:val="subscript"/>
        </w:rPr>
        <w:t>2</w:t>
      </w:r>
      <w:r w:rsidRPr="0028033B">
        <w:rPr>
          <w:color w:val="0D0D0D" w:themeColor="text1" w:themeTint="F2"/>
        </w:rPr>
        <w:t>O emissions in spring and summer to develop N</w:t>
      </w:r>
      <w:r w:rsidRPr="0028033B">
        <w:rPr>
          <w:color w:val="0D0D0D" w:themeColor="text1" w:themeTint="F2"/>
          <w:vertAlign w:val="subscript"/>
        </w:rPr>
        <w:t>2</w:t>
      </w:r>
      <w:r w:rsidRPr="0028033B">
        <w:rPr>
          <w:color w:val="0D0D0D" w:themeColor="text1" w:themeTint="F2"/>
        </w:rPr>
        <w:t>O emission factors for dung and urine (EF</w:t>
      </w:r>
      <w:r w:rsidRPr="0028033B">
        <w:rPr>
          <w:color w:val="0D0D0D" w:themeColor="text1" w:themeTint="F2"/>
          <w:vertAlign w:val="subscript"/>
        </w:rPr>
        <w:t>3</w:t>
      </w:r>
      <w:r w:rsidRPr="0028033B">
        <w:rPr>
          <w:color w:val="0D0D0D" w:themeColor="text1" w:themeTint="F2"/>
        </w:rPr>
        <w:t>), which vary by season (see section 5.5.6)</w:t>
      </w:r>
    </w:p>
    <w:p w14:paraId="0B520D0F" w14:textId="77777777" w:rsidR="00E46639" w:rsidRPr="0028033B" w:rsidRDefault="00E46639" w:rsidP="00E46639">
      <w:pPr>
        <w:pStyle w:val="Bullet"/>
        <w:numPr>
          <w:ilvl w:val="0"/>
          <w:numId w:val="25"/>
        </w:numPr>
        <w:rPr>
          <w:color w:val="0D0D0D" w:themeColor="text1" w:themeTint="F2"/>
        </w:rPr>
      </w:pPr>
      <w:r w:rsidRPr="0028033B">
        <w:rPr>
          <w:color w:val="0D0D0D" w:themeColor="text1" w:themeTint="F2"/>
        </w:rPr>
        <w:t>developing a process-based N</w:t>
      </w:r>
      <w:r w:rsidRPr="0028033B">
        <w:rPr>
          <w:color w:val="0D0D0D" w:themeColor="text1" w:themeTint="F2"/>
          <w:vertAlign w:val="subscript"/>
        </w:rPr>
        <w:t>2</w:t>
      </w:r>
      <w:r w:rsidRPr="0028033B">
        <w:rPr>
          <w:color w:val="0D0D0D" w:themeColor="text1" w:themeTint="F2"/>
        </w:rPr>
        <w:t>O emissions model (see section 5.5.6)</w:t>
      </w:r>
    </w:p>
    <w:p w14:paraId="65CBA0E9" w14:textId="77777777" w:rsidR="00E46639" w:rsidRPr="0028033B" w:rsidRDefault="00E46639" w:rsidP="00E46639">
      <w:pPr>
        <w:pStyle w:val="Bullet"/>
        <w:numPr>
          <w:ilvl w:val="0"/>
          <w:numId w:val="25"/>
        </w:numPr>
        <w:rPr>
          <w:color w:val="000000" w:themeColor="text1"/>
        </w:rPr>
      </w:pPr>
      <w:r w:rsidRPr="0028033B">
        <w:rPr>
          <w:color w:val="000000" w:themeColor="text1"/>
        </w:rPr>
        <w:t>developing country-specific emission factors for lime applied to pastoral soils (see section 5.8.7)</w:t>
      </w:r>
    </w:p>
    <w:p w14:paraId="4FE8E7C8" w14:textId="77777777" w:rsidR="00E46639" w:rsidRPr="0028033B" w:rsidRDefault="00E46639" w:rsidP="00E46639">
      <w:pPr>
        <w:pStyle w:val="Bullet"/>
        <w:numPr>
          <w:ilvl w:val="0"/>
          <w:numId w:val="25"/>
        </w:numPr>
        <w:rPr>
          <w:color w:val="0D0D0D" w:themeColor="text1" w:themeTint="F2"/>
        </w:rPr>
      </w:pPr>
      <w:r w:rsidRPr="0028033B">
        <w:rPr>
          <w:color w:val="0D0D0D" w:themeColor="text1" w:themeTint="F2"/>
        </w:rPr>
        <w:t>modelling liveweight change in growing dairy heifers and dairy cows due to seasonality or disease (below)</w:t>
      </w:r>
    </w:p>
    <w:p w14:paraId="3510B508" w14:textId="77777777" w:rsidR="00E46639" w:rsidRPr="0028033B" w:rsidRDefault="00E46639" w:rsidP="00E46639">
      <w:pPr>
        <w:pStyle w:val="Bullet"/>
        <w:numPr>
          <w:ilvl w:val="0"/>
          <w:numId w:val="25"/>
        </w:numPr>
        <w:rPr>
          <w:color w:val="0D0D0D" w:themeColor="text1" w:themeTint="F2"/>
        </w:rPr>
      </w:pPr>
      <w:r w:rsidRPr="0028033B">
        <w:rPr>
          <w:color w:val="0D0D0D" w:themeColor="text1" w:themeTint="F2"/>
        </w:rPr>
        <w:t>improving liveweight estimates for dairy cattle across their lifespans, from birth to first calving, within lactation and across lactations (below)</w:t>
      </w:r>
    </w:p>
    <w:p w14:paraId="5CFDB16C" w14:textId="77777777" w:rsidR="00E46639" w:rsidRPr="0028033B" w:rsidRDefault="00E46639" w:rsidP="00E46639">
      <w:pPr>
        <w:pStyle w:val="Bullet"/>
        <w:numPr>
          <w:ilvl w:val="0"/>
          <w:numId w:val="25"/>
        </w:numPr>
        <w:rPr>
          <w:color w:val="000000" w:themeColor="text1"/>
        </w:rPr>
      </w:pPr>
      <w:r w:rsidRPr="0028033B">
        <w:rPr>
          <w:color w:val="000000" w:themeColor="text1"/>
        </w:rPr>
        <w:t>improving the modelling of liveweight and growth parameters applied to sheep and non</w:t>
      </w:r>
      <w:r w:rsidRPr="0028033B">
        <w:rPr>
          <w:color w:val="000000" w:themeColor="text1"/>
        </w:rPr>
        <w:noBreakHyphen/>
        <w:t>dairy (beef) cattle, and differentiating the growth and diet parameters applied to dairy (beef) cattle (below)</w:t>
      </w:r>
    </w:p>
    <w:p w14:paraId="0B8C5AF2" w14:textId="77777777" w:rsidR="00E46639" w:rsidRPr="0028033B" w:rsidRDefault="00E46639" w:rsidP="00E46639">
      <w:pPr>
        <w:pStyle w:val="Bullet"/>
        <w:numPr>
          <w:ilvl w:val="0"/>
          <w:numId w:val="25"/>
        </w:numPr>
        <w:rPr>
          <w:color w:val="000000" w:themeColor="text1"/>
        </w:rPr>
      </w:pPr>
      <w:r w:rsidRPr="0028033B">
        <w:rPr>
          <w:color w:val="000000" w:themeColor="text1"/>
        </w:rPr>
        <w:t>evaluating the intake prediction equations to improve the estimation of energy requirements for different livestock classes (below)</w:t>
      </w:r>
    </w:p>
    <w:p w14:paraId="2289C02C" w14:textId="77777777" w:rsidR="00E46639" w:rsidRPr="0028033B" w:rsidRDefault="00E46639" w:rsidP="00E46639">
      <w:pPr>
        <w:pStyle w:val="Bullet"/>
        <w:numPr>
          <w:ilvl w:val="0"/>
          <w:numId w:val="25"/>
        </w:numPr>
        <w:rPr>
          <w:color w:val="000000" w:themeColor="text1"/>
        </w:rPr>
      </w:pPr>
      <w:r w:rsidRPr="0028033B">
        <w:rPr>
          <w:color w:val="000000" w:themeColor="text1"/>
        </w:rPr>
        <w:t>quantifying regional and monthly feed consumption by dairy cattle to improve the accuracy of feed data and emission estimates (below)</w:t>
      </w:r>
    </w:p>
    <w:p w14:paraId="199E0BB0" w14:textId="77777777" w:rsidR="00E46639" w:rsidRPr="0028033B" w:rsidRDefault="00E46639" w:rsidP="00E46639">
      <w:pPr>
        <w:pStyle w:val="Bullet"/>
        <w:numPr>
          <w:ilvl w:val="0"/>
          <w:numId w:val="25"/>
        </w:numPr>
        <w:rPr>
          <w:color w:val="000000" w:themeColor="text1"/>
        </w:rPr>
      </w:pPr>
      <w:r w:rsidRPr="0028033B">
        <w:rPr>
          <w:color w:val="000000" w:themeColor="text1"/>
        </w:rPr>
        <w:t>improving the activity data and parameters for deer (below)</w:t>
      </w:r>
    </w:p>
    <w:p w14:paraId="5F331F26" w14:textId="77777777" w:rsidR="00E46639" w:rsidRPr="0028033B" w:rsidRDefault="00E46639" w:rsidP="00E46639">
      <w:pPr>
        <w:pStyle w:val="Bullet"/>
        <w:numPr>
          <w:ilvl w:val="0"/>
          <w:numId w:val="25"/>
        </w:numPr>
        <w:rPr>
          <w:color w:val="000000" w:themeColor="text1"/>
        </w:rPr>
      </w:pPr>
      <w:r w:rsidRPr="0028033B">
        <w:rPr>
          <w:color w:val="000000" w:themeColor="text1"/>
        </w:rPr>
        <w:t>improving the accuracy of emission estimates by including low CH</w:t>
      </w:r>
      <w:r w:rsidRPr="0028033B">
        <w:rPr>
          <w:color w:val="000000" w:themeColor="text1"/>
          <w:vertAlign w:val="subscript"/>
        </w:rPr>
        <w:t>4</w:t>
      </w:r>
      <w:r w:rsidRPr="0028033B">
        <w:rPr>
          <w:color w:val="000000" w:themeColor="text1"/>
        </w:rPr>
        <w:t xml:space="preserve"> sheep genetics (below)</w:t>
      </w:r>
    </w:p>
    <w:p w14:paraId="473EE832" w14:textId="77777777" w:rsidR="00E46639" w:rsidRPr="0028033B" w:rsidRDefault="00E46639" w:rsidP="00E46639">
      <w:pPr>
        <w:pStyle w:val="Bullet"/>
        <w:numPr>
          <w:ilvl w:val="0"/>
          <w:numId w:val="25"/>
        </w:numPr>
        <w:rPr>
          <w:color w:val="0D0D0D" w:themeColor="text1" w:themeTint="F2"/>
        </w:rPr>
      </w:pPr>
      <w:r w:rsidRPr="0028033B">
        <w:rPr>
          <w:color w:val="0D0D0D" w:themeColor="text1" w:themeTint="F2"/>
        </w:rPr>
        <w:t>quantifying greenhouse gas emissions in cropland, and grassland biomass carbon stock dynamics (below)</w:t>
      </w:r>
    </w:p>
    <w:p w14:paraId="535E9583" w14:textId="77777777" w:rsidR="00E46639" w:rsidRPr="0028033B" w:rsidRDefault="00E46639" w:rsidP="00E46639">
      <w:pPr>
        <w:pStyle w:val="Bullet"/>
        <w:numPr>
          <w:ilvl w:val="0"/>
          <w:numId w:val="25"/>
        </w:numPr>
        <w:rPr>
          <w:color w:val="0D0D0D" w:themeColor="text1" w:themeTint="F2"/>
        </w:rPr>
      </w:pPr>
      <w:r w:rsidRPr="0028033B">
        <w:rPr>
          <w:color w:val="0D0D0D" w:themeColor="text1" w:themeTint="F2"/>
        </w:rPr>
        <w:t xml:space="preserve">continuing work to improve activity data, including through the annual collection of agricultural data by Stats NZ. </w:t>
      </w:r>
    </w:p>
    <w:p w14:paraId="6E9AAA23" w14:textId="77777777" w:rsidR="00E46639" w:rsidRPr="0028033B" w:rsidRDefault="00E46639" w:rsidP="00E46639">
      <w:pPr>
        <w:pStyle w:val="BodyText"/>
        <w:rPr>
          <w:color w:val="0D0D0D" w:themeColor="text1" w:themeTint="F2"/>
        </w:rPr>
      </w:pPr>
      <w:r w:rsidRPr="0028033B">
        <w:rPr>
          <w:color w:val="0D0D0D" w:themeColor="text1" w:themeTint="F2"/>
          <w:spacing w:val="-2"/>
        </w:rPr>
        <w:t>A number of changes have been made for the 2026 submission to align the Agriculture inventory model methodology with the 2019 IPCC Refinement</w:t>
      </w:r>
      <w:r w:rsidRPr="0028033B">
        <w:rPr>
          <w:i/>
          <w:iCs/>
          <w:color w:val="0D0D0D" w:themeColor="text1" w:themeTint="F2"/>
          <w:spacing w:val="-2"/>
        </w:rPr>
        <w:t xml:space="preserve"> </w:t>
      </w:r>
      <w:r w:rsidRPr="0028033B">
        <w:rPr>
          <w:color w:val="0D0D0D" w:themeColor="text1" w:themeTint="F2"/>
          <w:spacing w:val="-2"/>
        </w:rPr>
        <w:t>(IPCC, 2019) (see table 5.1.4 for details</w:t>
      </w:r>
      <w:r w:rsidRPr="0028033B">
        <w:rPr>
          <w:color w:val="0D0D0D" w:themeColor="text1" w:themeTint="F2"/>
        </w:rPr>
        <w:t xml:space="preserve"> on recalculations). Further review of the 2019 IPCC Refinement</w:t>
      </w:r>
      <w:r w:rsidRPr="0028033B">
        <w:rPr>
          <w:i/>
          <w:iCs/>
          <w:color w:val="0D0D0D" w:themeColor="text1" w:themeTint="F2"/>
        </w:rPr>
        <w:t xml:space="preserve"> </w:t>
      </w:r>
      <w:r w:rsidRPr="0028033B">
        <w:rPr>
          <w:color w:val="0D0D0D" w:themeColor="text1" w:themeTint="F2"/>
        </w:rPr>
        <w:t>is planned to investigate where improvements to methodology and emission factors for the Agriculture sector could be made. Ongoing research into organic soils is being conducted, with the aim of enabling the implementation of the IPCC 2013 Wetland Supplement (IPCC, 2014).</w:t>
      </w:r>
    </w:p>
    <w:p w14:paraId="3E7E01F7" w14:textId="77777777" w:rsidR="00E46639" w:rsidRPr="0028033B" w:rsidRDefault="00E46639" w:rsidP="00E46639">
      <w:pPr>
        <w:pStyle w:val="BodyText"/>
      </w:pPr>
      <w:r w:rsidRPr="0028033B">
        <w:t>Some of this research and potential improvements cover multiple categories of the Agriculture inventory sector and are described below. The remaining improvements relate only to a single Agriculture inventory sector category and are discussed in further detail in the relevant planned improvement sections 5.2.6 (</w:t>
      </w:r>
      <w:r w:rsidRPr="0028033B">
        <w:rPr>
          <w:i/>
          <w:iCs/>
        </w:rPr>
        <w:t xml:space="preserve">Enteric fermentation </w:t>
      </w:r>
      <w:r w:rsidRPr="0028033B">
        <w:t>(3.A)), 5.3.6 (</w:t>
      </w:r>
      <w:r w:rsidRPr="0028033B">
        <w:rPr>
          <w:i/>
        </w:rPr>
        <w:t>Manure management</w:t>
      </w:r>
      <w:r w:rsidRPr="0028033B">
        <w:t xml:space="preserve"> (3.B)), 5.5.6 (</w:t>
      </w:r>
      <w:r w:rsidRPr="0028033B">
        <w:rPr>
          <w:i/>
        </w:rPr>
        <w:t>Agricultural soils</w:t>
      </w:r>
      <w:r w:rsidRPr="0028033B">
        <w:t xml:space="preserve"> (3.D)) </w:t>
      </w:r>
      <w:r w:rsidRPr="0028033B">
        <w:rPr>
          <w:color w:val="000000" w:themeColor="text1"/>
        </w:rPr>
        <w:t>and 5.8.7 (</w:t>
      </w:r>
      <w:r w:rsidRPr="0028033B">
        <w:rPr>
          <w:i/>
          <w:color w:val="000000" w:themeColor="text1"/>
        </w:rPr>
        <w:t xml:space="preserve">Liming </w:t>
      </w:r>
      <w:r w:rsidRPr="0028033B">
        <w:rPr>
          <w:color w:val="000000" w:themeColor="text1"/>
        </w:rPr>
        <w:t xml:space="preserve">(3.G)). </w:t>
      </w:r>
    </w:p>
    <w:p w14:paraId="031E4750" w14:textId="77777777" w:rsidR="00E46639" w:rsidRPr="0028033B" w:rsidRDefault="00E46639" w:rsidP="00E46639">
      <w:pPr>
        <w:pStyle w:val="Heading5"/>
        <w:spacing w:before="200"/>
      </w:pPr>
      <w:r w:rsidRPr="0028033B">
        <w:t>Modelling liveweight change in growing dairy heifers and dairy cows</w:t>
      </w:r>
    </w:p>
    <w:p w14:paraId="3BA26EBA" w14:textId="77777777" w:rsidR="00E46639" w:rsidRPr="0028033B" w:rsidRDefault="00E46639" w:rsidP="00E46639">
      <w:pPr>
        <w:pStyle w:val="BodyText"/>
        <w:spacing w:before="100" w:after="100"/>
      </w:pPr>
      <w:r w:rsidRPr="0028033B">
        <w:t>The Agriculture inventory has relatively simple assumptions about dairy cattle liveweight and liveweight change. With additional data and modelling, these estimates can be made more accurate, by accounting for key genetic and environmental factors, and time of year. The primary objective of this project is to improve liveweight estimates for dairy cattle, from birth to first calving, within lactation and across lactations. This work will allow for regional and genetic (breed, genetic potential) differences and will consider differences in environment and management, such as feeding level, which correlate with different farm systems. The long history of data in the Dairy Industry Good Animal Database should allow robust estimates from 1990 to the present with appropriate documentation to allow for transparency and consistency for updating future inventory years.</w:t>
      </w:r>
    </w:p>
    <w:p w14:paraId="617EA4EC" w14:textId="77777777" w:rsidR="00E46639" w:rsidRPr="0028033B" w:rsidRDefault="00E46639" w:rsidP="00E46639">
      <w:pPr>
        <w:pStyle w:val="Heading5"/>
        <w:spacing w:before="200"/>
      </w:pPr>
      <w:r w:rsidRPr="0028033B">
        <w:t>Improving liveweight estimates for dairy cattle across their lifespans</w:t>
      </w:r>
    </w:p>
    <w:p w14:paraId="5289C9ED" w14:textId="77777777" w:rsidR="00E46639" w:rsidRPr="0028033B" w:rsidRDefault="00E46639" w:rsidP="00E46639">
      <w:pPr>
        <w:pStyle w:val="BodyText"/>
        <w:spacing w:before="100" w:after="100"/>
      </w:pPr>
      <w:r w:rsidRPr="0028033B">
        <w:t>The New Zealand Agriculture inventory model assumes that dairy heifers grow linearly,</w:t>
      </w:r>
      <w:r w:rsidRPr="0028033B" w:rsidDel="00E36527">
        <w:t xml:space="preserve"> </w:t>
      </w:r>
      <w:r w:rsidRPr="0028033B">
        <w:t>and mature dairy cows have a constant weight throughout the year. However, growing and lactating cattle have a non-linear growth curve affected by physiology and life stage, season and health of animals. This project aims to determine typical body weight change patterns for growing heifers and dairy cows. The project will also investigate liveweight change for dairy cattle during a disease event and determine their impact on predicted greenhouse gas emissions.</w:t>
      </w:r>
      <w:r>
        <w:t xml:space="preserve"> </w:t>
      </w:r>
    </w:p>
    <w:p w14:paraId="0B145AEC" w14:textId="77777777" w:rsidR="00E46639" w:rsidRPr="0028033B" w:rsidRDefault="00E46639" w:rsidP="00E46639">
      <w:pPr>
        <w:pStyle w:val="Heading5"/>
      </w:pPr>
      <w:r w:rsidRPr="0028033B">
        <w:t>Improving the modelling of liveweight and growth parameters for different livestock classes</w:t>
      </w:r>
    </w:p>
    <w:p w14:paraId="26F0D0B3" w14:textId="77777777" w:rsidR="00E46639" w:rsidRPr="0028033B" w:rsidRDefault="00E46639" w:rsidP="00E46639">
      <w:pPr>
        <w:pStyle w:val="BodyText"/>
      </w:pPr>
      <w:r w:rsidRPr="0028033B">
        <w:t xml:space="preserve">The first part of this project will deliver new models for predicting the liveweight and growth </w:t>
      </w:r>
      <w:r w:rsidRPr="0028033B">
        <w:rPr>
          <w:spacing w:val="-2"/>
        </w:rPr>
        <w:t>parameters applied to sheep and non-dairy (beef) cattle within the Agriculture inventory model</w:t>
      </w:r>
      <w:r w:rsidRPr="0028033B">
        <w:t>. Currently, a linear growth profile for beef and sheep cattle between birth and slaughter or maturity is used. This does not account for non-linear seasonal growth patterns of each animal class, nor differences between early and latter growth rates as animals approach maturity. This project will identify suitable activity datasets and model enhancements that can support more robust modelling of liveweight and growth profiles of non-dairy (beef) cattle and sheep, enabling better estimations of emissions.</w:t>
      </w:r>
    </w:p>
    <w:p w14:paraId="7F832902" w14:textId="77777777" w:rsidR="00E46639" w:rsidRPr="0028033B" w:rsidRDefault="00E46639" w:rsidP="00E46639">
      <w:pPr>
        <w:pStyle w:val="BodyText"/>
      </w:pPr>
      <w:r w:rsidRPr="0028033B">
        <w:t>The second part of this project will deliver new models and suitable activity datasets to differentiate the growth and diet parameters applied to dairy beef cattle. Currently, the Agriculture inventory model does not estimate the number of dairy beef and traditional beef cattle, only the total non-dairy (beef) cattle. The current method does not account for key differences in early-life management, and potential differences in finishing systems and subsequent growth profiles. This project will identify suitable activity datasets and model enhancements that can differentiate between these two classes. These enhancements will enable more robust estimation of emissions associated with dairy beef cattle.</w:t>
      </w:r>
    </w:p>
    <w:p w14:paraId="65C92497" w14:textId="77777777" w:rsidR="00E46639" w:rsidRPr="0028033B" w:rsidRDefault="00E46639" w:rsidP="00E46639">
      <w:pPr>
        <w:pStyle w:val="Heading5"/>
      </w:pPr>
      <w:r w:rsidRPr="0028033B">
        <w:t>Improving energy requirement estimations for different livestock classes</w:t>
      </w:r>
    </w:p>
    <w:p w14:paraId="708DA03A" w14:textId="527CB593" w:rsidR="00E46639" w:rsidRPr="0028033B" w:rsidRDefault="00E46639" w:rsidP="00E46639">
      <w:pPr>
        <w:pStyle w:val="BodyText"/>
      </w:pPr>
      <w:r w:rsidRPr="0028033B">
        <w:t>The Agriculture inventory model uses a set of equations and parameters to estimate energy requirements and intake for cattle, sheep and deer. These equations and feed intake are foundational to the calculation of agricultural greenhouse gas emissions. The primary objective of this project is to evaluate the intake prediction equations with data and literature from prior research and, provide recommendations on how energy requirement estimations could be improved for different livestock classes. This work will allow for a more accurate estimation of</w:t>
      </w:r>
      <w:r w:rsidR="00E66ACB">
        <w:t> </w:t>
      </w:r>
      <w:r w:rsidRPr="0028033B">
        <w:t xml:space="preserve">greenhouse gas emissions from agriculture. </w:t>
      </w:r>
    </w:p>
    <w:p w14:paraId="0448B614" w14:textId="77777777" w:rsidR="00E46639" w:rsidRPr="0028033B" w:rsidRDefault="00E46639" w:rsidP="00E46639">
      <w:pPr>
        <w:pStyle w:val="Heading5"/>
      </w:pPr>
      <w:r w:rsidRPr="0028033B">
        <w:t xml:space="preserve">Quantifying regional and monthly feed consumption by dairy cattle </w:t>
      </w:r>
    </w:p>
    <w:p w14:paraId="747DCB0B" w14:textId="77777777" w:rsidR="00E46639" w:rsidRPr="0028033B" w:rsidRDefault="00E46639" w:rsidP="00E46639">
      <w:pPr>
        <w:pStyle w:val="BodyText"/>
      </w:pPr>
      <w:r w:rsidRPr="0028033B">
        <w:t xml:space="preserve">The inventory model includes monthly variations in feed quality; however, it does not include regional differences. This project will quantify the regional and monthly feed eaten by dairy cattle, to ensure estimated feed intake and quality are reflective of regional and temporal variations within the national dairy herd. This project aims to estimate the proportion of </w:t>
      </w:r>
      <w:r w:rsidRPr="0028033B">
        <w:rPr>
          <w:spacing w:val="-2"/>
        </w:rPr>
        <w:t>annual feed used monthly in the eight New Zealand dairy regions and estimate diet composition</w:t>
      </w:r>
      <w:r w:rsidRPr="0028033B">
        <w:t xml:space="preserve">. This will improve the accuracy of feed data and emission estimates and, provide a pipeline for future data incorporation and analyses using a robust and consistent approach. </w:t>
      </w:r>
    </w:p>
    <w:p w14:paraId="18E36487" w14:textId="77777777" w:rsidR="00E46639" w:rsidRPr="0028033B" w:rsidRDefault="00E46639" w:rsidP="00E46639">
      <w:pPr>
        <w:pStyle w:val="Heading5"/>
      </w:pPr>
      <w:r w:rsidRPr="0028033B">
        <w:t xml:space="preserve">Improving activity data and parameters for deer </w:t>
      </w:r>
    </w:p>
    <w:p w14:paraId="66944883" w14:textId="77777777" w:rsidR="00E46639" w:rsidRPr="0028033B" w:rsidRDefault="00E46639" w:rsidP="00E46639">
      <w:pPr>
        <w:pStyle w:val="BodyText"/>
      </w:pPr>
      <w:r w:rsidRPr="0028033B">
        <w:t xml:space="preserve">This project will deliver updated, more accurate data and methodology to estimate greenhouse gas emissions from deer. This project will deliver updated information on the composition of deer diet, sources of data on mature liveweights, average birth weights and changes over time, rate of liveweight gain change for growing deer, and estimates of the impact of proposed changes on emissions from the deer industry. </w:t>
      </w:r>
    </w:p>
    <w:p w14:paraId="61AEAFA4" w14:textId="77777777" w:rsidR="00E46639" w:rsidRPr="0028033B" w:rsidRDefault="00E46639" w:rsidP="00E46639">
      <w:pPr>
        <w:pStyle w:val="Heading5"/>
      </w:pPr>
      <w:r w:rsidRPr="0028033B">
        <w:t xml:space="preserve">Inclusion of low methane sheep genetics </w:t>
      </w:r>
    </w:p>
    <w:p w14:paraId="05950F8E" w14:textId="77777777" w:rsidR="00E46639" w:rsidRPr="0028033B" w:rsidRDefault="00E46639" w:rsidP="00E46639">
      <w:pPr>
        <w:pStyle w:val="BodyText"/>
      </w:pPr>
      <w:r w:rsidRPr="0028033B">
        <w:t>Research into low CH</w:t>
      </w:r>
      <w:r w:rsidRPr="0028033B">
        <w:rPr>
          <w:vertAlign w:val="subscript"/>
        </w:rPr>
        <w:t>4</w:t>
      </w:r>
      <w:r w:rsidRPr="0028033B">
        <w:t>-emitting genetic traits in sheep has been underway for almost 20 years, and a breeding programme has existed for over 10 years. Under this recently completed project, a new model to calculate the impact of low CH</w:t>
      </w:r>
      <w:r w:rsidRPr="0028033B">
        <w:rPr>
          <w:vertAlign w:val="subscript"/>
        </w:rPr>
        <w:t>4</w:t>
      </w:r>
      <w:r w:rsidRPr="0028033B">
        <w:t xml:space="preserve"> genetics on the New Zealand sheep flock has been developed. This project also considered activity data for breeding values used and the effect of uncertainty on sampling size and strategy, to support more accurate emissions estimates from low CH</w:t>
      </w:r>
      <w:r w:rsidRPr="0028033B">
        <w:rPr>
          <w:vertAlign w:val="subscript"/>
        </w:rPr>
        <w:t>4</w:t>
      </w:r>
      <w:r w:rsidRPr="0028033B">
        <w:t>-emitting sheep. Further work is underway to compile necessary activity data and measurement requirements to enable robust inclusion of low CH</w:t>
      </w:r>
      <w:r w:rsidRPr="0028033B">
        <w:rPr>
          <w:vertAlign w:val="subscript"/>
        </w:rPr>
        <w:t>4</w:t>
      </w:r>
      <w:r w:rsidRPr="0028033B">
        <w:t> sheep genetics in the Agriculture inventory.</w:t>
      </w:r>
    </w:p>
    <w:p w14:paraId="4282806B" w14:textId="77777777" w:rsidR="00E46639" w:rsidRPr="0028033B" w:rsidRDefault="00E46639" w:rsidP="00E46639">
      <w:pPr>
        <w:pStyle w:val="Heading5"/>
        <w:spacing w:before="200"/>
      </w:pPr>
      <w:r w:rsidRPr="0028033B">
        <w:t>Quantifying greenhouse gas emissions in cropland, and grassland biomass carbon stock dynamics</w:t>
      </w:r>
    </w:p>
    <w:p w14:paraId="23856DCD" w14:textId="77777777" w:rsidR="00E46639" w:rsidRPr="0028033B" w:rsidRDefault="00E46639" w:rsidP="00E46639">
      <w:pPr>
        <w:pStyle w:val="BodyText"/>
      </w:pPr>
      <w:r w:rsidRPr="0028033B">
        <w:t>This work was completed in mid-2025 and had two contributing projects. The first project provided a meta-analysis of estimates of the vegetation biomass carbon stocks for grassland types and the impacts of environment and management. This project used a combination of literature, databases and modelling to better represent the way in which grassland biomass carbon stocks vary in space and time, and to respond to management manipulations (e.g., grazing intensity, irrigation and fertiliser). This will allow a more accurate assessment of the impact of land use change within the grassland biome on carbon stocks for the purpose of inventory monitoring.</w:t>
      </w:r>
    </w:p>
    <w:p w14:paraId="50D21EA6" w14:textId="77777777" w:rsidR="00E46639" w:rsidRPr="0028033B" w:rsidRDefault="00E46639" w:rsidP="00E46639">
      <w:pPr>
        <w:pStyle w:val="BodyText"/>
      </w:pPr>
      <w:r w:rsidRPr="0028033B">
        <w:t xml:space="preserve">The second project reviewed estimates of biomass carbon stocks for croplands. The completed research included recommendations on methods, parameters, improved data sources and emission factors to improve emissions estimates from cropland burning and vegetable and arable systems. These recommendations will be proposed for inclusion in a future version of the Agriculture inventory. </w:t>
      </w:r>
    </w:p>
    <w:p w14:paraId="27EEA398" w14:textId="77777777" w:rsidR="00E46639" w:rsidRPr="0028033B" w:rsidRDefault="00E46639" w:rsidP="00E46639">
      <w:pPr>
        <w:pStyle w:val="Heading5"/>
      </w:pPr>
      <w:r w:rsidRPr="0028033B">
        <w:t>Completed research and research priorities</w:t>
      </w:r>
    </w:p>
    <w:p w14:paraId="0906B72B" w14:textId="77777777" w:rsidR="00E46639" w:rsidRPr="0028033B" w:rsidRDefault="00E46639" w:rsidP="00E46639">
      <w:pPr>
        <w:pStyle w:val="BodyText"/>
        <w:rPr>
          <w:rFonts w:cs="Calibri"/>
        </w:rPr>
      </w:pPr>
      <w:r w:rsidRPr="0028033B">
        <w:rPr>
          <w:rFonts w:cs="Calibri"/>
        </w:rPr>
        <w:t>Refer to MPI’s website for published reports on completed Agricultural Greenhouse Gas Inventory-related research projects (</w:t>
      </w:r>
      <w:hyperlink r:id="rId101" w:history="1">
        <w:r w:rsidRPr="0028033B">
          <w:rPr>
            <w:rStyle w:val="Hyperlink"/>
            <w:rFonts w:cs="Calibri"/>
          </w:rPr>
          <w:t>www.mpi.govt.nz/science/open-data-and-forecasting/greenhouse-gas-reporting/agricultural-greenhouse-gas-inventory-reports</w:t>
        </w:r>
      </w:hyperlink>
      <w:r w:rsidRPr="0028033B">
        <w:rPr>
          <w:rFonts w:cs="Calibri"/>
        </w:rPr>
        <w:t xml:space="preserve">). </w:t>
      </w:r>
    </w:p>
    <w:p w14:paraId="61ADA1E5" w14:textId="77777777" w:rsidR="00E46639" w:rsidRPr="0028033B" w:rsidRDefault="00E46639" w:rsidP="00E46639">
      <w:pPr>
        <w:pStyle w:val="BodyText"/>
        <w:rPr>
          <w:rFonts w:cs="Calibri"/>
        </w:rPr>
      </w:pPr>
      <w:r w:rsidRPr="0028033B">
        <w:rPr>
          <w:rFonts w:cs="Calibri"/>
        </w:rPr>
        <w:t>Refer to MPI’s website for a list of projects approved from the most recent funding round on the Greenhouse Gas Inventory Research fund page (</w:t>
      </w:r>
      <w:hyperlink r:id="rId102" w:history="1">
        <w:r w:rsidRPr="0028033B">
          <w:rPr>
            <w:rStyle w:val="Hyperlink"/>
            <w:rFonts w:cs="Calibri"/>
          </w:rPr>
          <w:t>www.mpi.govt.nz/funding-rural-support/environment-and-natural-resources/greenhouse-gas-inventory-research-fund</w:t>
        </w:r>
      </w:hyperlink>
      <w:r w:rsidRPr="0028033B">
        <w:rPr>
          <w:rFonts w:cs="Calibri"/>
        </w:rPr>
        <w:t xml:space="preserve">). </w:t>
      </w:r>
    </w:p>
    <w:p w14:paraId="5D28ADA6" w14:textId="77777777" w:rsidR="00E46639" w:rsidRPr="0028033B" w:rsidRDefault="00E46639" w:rsidP="00E46639">
      <w:pPr>
        <w:pStyle w:val="Heading4"/>
      </w:pPr>
      <w:r w:rsidRPr="0028033B">
        <w:t>Future proposed research</w:t>
      </w:r>
    </w:p>
    <w:p w14:paraId="7C9AA2E0" w14:textId="77777777" w:rsidR="00E46639" w:rsidRPr="0028033B" w:rsidRDefault="00E46639" w:rsidP="00E46639">
      <w:pPr>
        <w:pStyle w:val="BodyText"/>
      </w:pPr>
      <w:r w:rsidRPr="0028033B">
        <w:t>MPI has proposed research on new topics that would begin in 2026 or 2027. Refer to MPI’s Greenhouse Gas Inventory Research funding page for more information on these topics and the 2025/26 funding round (</w:t>
      </w:r>
      <w:hyperlink r:id="rId103" w:history="1">
        <w:r w:rsidRPr="0028033B">
          <w:rPr>
            <w:rStyle w:val="Hyperlink"/>
          </w:rPr>
          <w:t>www.mpi.govt.nz/funding-rural-support/environment-and-natural-resources/greenhouse-gas-inventory-research-fund/applying-for-greenhouse-gas-inventory-research-funding</w:t>
        </w:r>
      </w:hyperlink>
      <w:r w:rsidRPr="0028033B">
        <w:t xml:space="preserve">). </w:t>
      </w:r>
    </w:p>
    <w:p w14:paraId="536768F4" w14:textId="154EA205" w:rsidR="00E46639" w:rsidRPr="0028033B" w:rsidRDefault="00E46639" w:rsidP="00E46639">
      <w:pPr>
        <w:pStyle w:val="Heading3"/>
      </w:pPr>
      <w:r w:rsidRPr="0028033B">
        <w:t xml:space="preserve">5.1.8 </w:t>
      </w:r>
      <w:r w:rsidR="00E66ACB">
        <w:tab/>
      </w:r>
      <w:r w:rsidRPr="0028033B">
        <w:t xml:space="preserve">Assessment of completeness </w:t>
      </w:r>
    </w:p>
    <w:p w14:paraId="413242F7" w14:textId="77777777" w:rsidR="00E46639" w:rsidRPr="0028033B" w:rsidRDefault="00E46639" w:rsidP="00E46639">
      <w:pPr>
        <w:pStyle w:val="Heading5"/>
        <w:rPr>
          <w:b/>
          <w:sz w:val="18"/>
          <w:szCs w:val="18"/>
        </w:rPr>
      </w:pPr>
      <w:r w:rsidRPr="0028033B">
        <w:rPr>
          <w:rFonts w:asciiTheme="minorHAnsi" w:hAnsiTheme="minorHAnsi" w:cstheme="minorHAnsi"/>
          <w:color w:val="0F4761"/>
          <w:shd w:val="clear" w:color="auto" w:fill="FFFFFF"/>
        </w:rPr>
        <w:t>Emissions reported as ‘NE’ or ‘not estimated’</w:t>
      </w:r>
      <w:r w:rsidRPr="0028033B">
        <w:rPr>
          <w:rFonts w:asciiTheme="minorHAnsi" w:hAnsiTheme="minorHAnsi" w:cstheme="minorHAnsi"/>
          <w:i w:val="0"/>
          <w:color w:val="0F4761"/>
          <w:shd w:val="clear" w:color="auto" w:fill="FFFFFF"/>
        </w:rPr>
        <w:t> </w:t>
      </w:r>
    </w:p>
    <w:p w14:paraId="403FCDE7" w14:textId="77777777" w:rsidR="00E46639" w:rsidRPr="0028033B" w:rsidRDefault="00E46639" w:rsidP="00E46639">
      <w:pPr>
        <w:pStyle w:val="BodyText"/>
        <w:rPr>
          <w:rFonts w:asciiTheme="minorHAnsi" w:hAnsiTheme="minorHAnsi" w:cstheme="minorHAnsi"/>
          <w:color w:val="000000"/>
          <w:shd w:val="clear" w:color="auto" w:fill="FFFFFF"/>
        </w:rPr>
      </w:pPr>
      <w:r w:rsidRPr="0028033B">
        <w:rPr>
          <w:rFonts w:asciiTheme="minorHAnsi" w:hAnsiTheme="minorHAnsi" w:cstheme="minorHAnsi"/>
          <w:color w:val="000000"/>
          <w:shd w:val="clear" w:color="auto" w:fill="FFFFFF"/>
        </w:rPr>
        <w:t>Table 5.1.6 summarises New Zealand’s direct greenhouse gas emissions for the Agriculture sector reported as ‘NE’ in the 2026 submission. </w:t>
      </w:r>
    </w:p>
    <w:p w14:paraId="6ACAFE64" w14:textId="77777777" w:rsidR="00E46639" w:rsidRPr="0028033B" w:rsidRDefault="00E46639" w:rsidP="00E46639">
      <w:pPr>
        <w:pStyle w:val="Table"/>
        <w:rPr>
          <w:rFonts w:ascii="Segoe UI" w:hAnsi="Segoe UI" w:cs="Segoe UI"/>
        </w:rPr>
      </w:pPr>
      <w:bookmarkStart w:id="732" w:name="_Toc222407616"/>
      <w:bookmarkStart w:id="733" w:name="_Toc226668991"/>
      <w:r w:rsidRPr="0028033B">
        <w:t>Table 5.1.6</w:t>
      </w:r>
      <w:r>
        <w:t xml:space="preserve"> </w:t>
      </w:r>
      <w:r w:rsidRPr="0028033B">
        <w:tab/>
        <w:t>Summary of ‘NE’ or ‘not estimated’</w:t>
      </w:r>
      <w:r>
        <w:t xml:space="preserve"> </w:t>
      </w:r>
      <w:r w:rsidRPr="0028033B">
        <w:t>entries for the Agriculture sector in the 2026 submission</w:t>
      </w:r>
      <w:bookmarkEnd w:id="732"/>
      <w:bookmarkEnd w:id="733"/>
      <w:r w:rsidRPr="0028033B">
        <w:t> </w:t>
      </w:r>
    </w:p>
    <w:tbl>
      <w:tblPr>
        <w:tblW w:w="8562"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CellMar>
          <w:left w:w="85" w:type="dxa"/>
          <w:right w:w="85" w:type="dxa"/>
        </w:tblCellMar>
        <w:tblLook w:val="04A0" w:firstRow="1" w:lastRow="0" w:firstColumn="1" w:lastColumn="0" w:noHBand="0" w:noVBand="1"/>
      </w:tblPr>
      <w:tblGrid>
        <w:gridCol w:w="1134"/>
        <w:gridCol w:w="2127"/>
        <w:gridCol w:w="567"/>
        <w:gridCol w:w="4734"/>
      </w:tblGrid>
      <w:tr w:rsidR="00E46639" w:rsidRPr="0028033B" w14:paraId="229AE195" w14:textId="77777777" w:rsidTr="00F16E23">
        <w:trPr>
          <w:trHeight w:val="300"/>
        </w:trPr>
        <w:tc>
          <w:tcPr>
            <w:tcW w:w="1134" w:type="dxa"/>
            <w:shd w:val="clear" w:color="auto" w:fill="1B556B"/>
            <w:vAlign w:val="bottom"/>
            <w:hideMark/>
          </w:tcPr>
          <w:p w14:paraId="088E3C9D" w14:textId="77777777" w:rsidR="00E46639" w:rsidRPr="0028033B" w:rsidRDefault="00E46639" w:rsidP="00F16E23">
            <w:pPr>
              <w:pStyle w:val="TableTextBold"/>
              <w:spacing w:before="40" w:after="40"/>
              <w:rPr>
                <w:rFonts w:ascii="Times New Roman" w:hAnsi="Times New Roman"/>
                <w:noProof w:val="0"/>
                <w:color w:val="FFFFFF" w:themeColor="background1"/>
                <w:szCs w:val="16"/>
              </w:rPr>
            </w:pPr>
            <w:r w:rsidRPr="0028033B">
              <w:rPr>
                <w:noProof w:val="0"/>
                <w:color w:val="FFFFFF" w:themeColor="background1"/>
                <w:szCs w:val="16"/>
              </w:rPr>
              <w:t>CRT category code</w:t>
            </w:r>
          </w:p>
        </w:tc>
        <w:tc>
          <w:tcPr>
            <w:tcW w:w="2127" w:type="dxa"/>
            <w:shd w:val="clear" w:color="auto" w:fill="1B556B"/>
            <w:vAlign w:val="bottom"/>
            <w:hideMark/>
          </w:tcPr>
          <w:p w14:paraId="53B8174B" w14:textId="77777777" w:rsidR="00E46639" w:rsidRPr="0028033B" w:rsidRDefault="00E46639" w:rsidP="00F16E23">
            <w:pPr>
              <w:pStyle w:val="TableTextBold"/>
              <w:spacing w:before="40" w:after="40"/>
              <w:rPr>
                <w:rFonts w:ascii="Times New Roman" w:hAnsi="Times New Roman"/>
                <w:noProof w:val="0"/>
                <w:color w:val="FFFFFF" w:themeColor="background1"/>
                <w:szCs w:val="16"/>
              </w:rPr>
            </w:pPr>
            <w:r w:rsidRPr="0028033B">
              <w:rPr>
                <w:noProof w:val="0"/>
                <w:color w:val="FFFFFF" w:themeColor="background1"/>
                <w:szCs w:val="16"/>
              </w:rPr>
              <w:t>Category</w:t>
            </w:r>
          </w:p>
        </w:tc>
        <w:tc>
          <w:tcPr>
            <w:tcW w:w="567" w:type="dxa"/>
            <w:shd w:val="clear" w:color="auto" w:fill="1B556B"/>
            <w:vAlign w:val="bottom"/>
            <w:hideMark/>
          </w:tcPr>
          <w:p w14:paraId="5862844B" w14:textId="77777777" w:rsidR="00E46639" w:rsidRPr="0028033B" w:rsidRDefault="00E46639" w:rsidP="00F16E23">
            <w:pPr>
              <w:pStyle w:val="TableTextBold"/>
              <w:spacing w:before="40" w:after="40"/>
              <w:rPr>
                <w:rFonts w:ascii="Times New Roman" w:hAnsi="Times New Roman"/>
                <w:noProof w:val="0"/>
                <w:color w:val="FFFFFF" w:themeColor="background1"/>
                <w:szCs w:val="16"/>
              </w:rPr>
            </w:pPr>
            <w:r w:rsidRPr="0028033B">
              <w:rPr>
                <w:noProof w:val="0"/>
                <w:color w:val="FFFFFF" w:themeColor="background1"/>
                <w:szCs w:val="16"/>
              </w:rPr>
              <w:t>Gas</w:t>
            </w:r>
          </w:p>
        </w:tc>
        <w:tc>
          <w:tcPr>
            <w:tcW w:w="4734" w:type="dxa"/>
            <w:shd w:val="clear" w:color="auto" w:fill="1B556B"/>
            <w:vAlign w:val="bottom"/>
            <w:hideMark/>
          </w:tcPr>
          <w:p w14:paraId="567A083D" w14:textId="77777777" w:rsidR="00E46639" w:rsidRPr="0028033B" w:rsidRDefault="00E46639" w:rsidP="00F16E23">
            <w:pPr>
              <w:pStyle w:val="TableTextBold"/>
              <w:spacing w:before="40" w:after="40"/>
              <w:rPr>
                <w:rFonts w:ascii="Times New Roman" w:hAnsi="Times New Roman"/>
                <w:noProof w:val="0"/>
                <w:color w:val="FFFFFF" w:themeColor="background1"/>
                <w:szCs w:val="16"/>
              </w:rPr>
            </w:pPr>
            <w:r w:rsidRPr="0028033B">
              <w:rPr>
                <w:noProof w:val="0"/>
                <w:color w:val="FFFFFF" w:themeColor="background1"/>
                <w:szCs w:val="16"/>
              </w:rPr>
              <w:t>Notation key explanation</w:t>
            </w:r>
          </w:p>
        </w:tc>
      </w:tr>
      <w:tr w:rsidR="00E46639" w:rsidRPr="0028033B" w14:paraId="6C4271ED" w14:textId="77777777" w:rsidTr="00F16E23">
        <w:trPr>
          <w:trHeight w:val="300"/>
        </w:trPr>
        <w:tc>
          <w:tcPr>
            <w:tcW w:w="3261" w:type="dxa"/>
            <w:gridSpan w:val="2"/>
            <w:shd w:val="clear" w:color="auto" w:fill="FFFFFF"/>
            <w:hideMark/>
          </w:tcPr>
          <w:p w14:paraId="2ACCC74E" w14:textId="77777777" w:rsidR="00E46639" w:rsidRPr="0028033B" w:rsidRDefault="00E46639" w:rsidP="00F16E23">
            <w:pPr>
              <w:pStyle w:val="TableTextBold"/>
              <w:spacing w:before="50" w:after="50"/>
              <w:rPr>
                <w:rFonts w:ascii="Times New Roman" w:hAnsi="Times New Roman"/>
                <w:noProof w:val="0"/>
                <w:szCs w:val="16"/>
              </w:rPr>
            </w:pPr>
            <w:r w:rsidRPr="0028033B">
              <w:rPr>
                <w:noProof w:val="0"/>
                <w:szCs w:val="16"/>
              </w:rPr>
              <w:t>Agriculture</w:t>
            </w:r>
          </w:p>
        </w:tc>
        <w:tc>
          <w:tcPr>
            <w:tcW w:w="567" w:type="dxa"/>
            <w:shd w:val="clear" w:color="auto" w:fill="FFFFFF"/>
            <w:hideMark/>
          </w:tcPr>
          <w:p w14:paraId="0D06BB54" w14:textId="77777777" w:rsidR="00E46639" w:rsidRPr="0028033B" w:rsidRDefault="00E46639" w:rsidP="00F16E23">
            <w:pPr>
              <w:pStyle w:val="TableTextBold"/>
              <w:spacing w:before="50" w:after="50"/>
              <w:rPr>
                <w:rFonts w:ascii="Times New Roman" w:hAnsi="Times New Roman"/>
                <w:noProof w:val="0"/>
                <w:szCs w:val="16"/>
              </w:rPr>
            </w:pPr>
            <w:r w:rsidRPr="0028033B">
              <w:rPr>
                <w:noProof w:val="0"/>
                <w:szCs w:val="16"/>
              </w:rPr>
              <w:t> </w:t>
            </w:r>
          </w:p>
        </w:tc>
        <w:tc>
          <w:tcPr>
            <w:tcW w:w="4734" w:type="dxa"/>
            <w:shd w:val="clear" w:color="auto" w:fill="FFFFFF"/>
            <w:hideMark/>
          </w:tcPr>
          <w:p w14:paraId="564D3DA3" w14:textId="77777777" w:rsidR="00E46639" w:rsidRPr="0028033B" w:rsidRDefault="00E46639" w:rsidP="00F16E23">
            <w:pPr>
              <w:pStyle w:val="TableTextBold"/>
              <w:spacing w:before="50" w:after="50"/>
              <w:rPr>
                <w:rFonts w:ascii="Times New Roman" w:hAnsi="Times New Roman"/>
                <w:noProof w:val="0"/>
                <w:szCs w:val="16"/>
              </w:rPr>
            </w:pPr>
            <w:r w:rsidRPr="0028033B">
              <w:rPr>
                <w:noProof w:val="0"/>
                <w:szCs w:val="16"/>
              </w:rPr>
              <w:t> </w:t>
            </w:r>
          </w:p>
        </w:tc>
      </w:tr>
      <w:tr w:rsidR="00E46639" w:rsidRPr="0028033B" w14:paraId="2DF4D2D5" w14:textId="77777777" w:rsidTr="00F16E23">
        <w:trPr>
          <w:trHeight w:val="300"/>
        </w:trPr>
        <w:tc>
          <w:tcPr>
            <w:tcW w:w="1134" w:type="dxa"/>
            <w:shd w:val="clear" w:color="auto" w:fill="FFFFFF"/>
          </w:tcPr>
          <w:p w14:paraId="4C197786" w14:textId="77777777" w:rsidR="00E46639" w:rsidRPr="0028033B" w:rsidRDefault="00E46639" w:rsidP="00F16E23">
            <w:pPr>
              <w:pStyle w:val="TableText"/>
              <w:spacing w:before="50" w:after="50"/>
              <w:rPr>
                <w:szCs w:val="16"/>
              </w:rPr>
            </w:pPr>
            <w:r w:rsidRPr="0028033B">
              <w:rPr>
                <w:szCs w:val="16"/>
              </w:rPr>
              <w:t>3.A.4.g.</w:t>
            </w:r>
          </w:p>
        </w:tc>
        <w:tc>
          <w:tcPr>
            <w:tcW w:w="2127" w:type="dxa"/>
            <w:shd w:val="clear" w:color="auto" w:fill="FFFFFF"/>
          </w:tcPr>
          <w:p w14:paraId="080B3536" w14:textId="77777777" w:rsidR="00E46639" w:rsidRPr="0028033B" w:rsidRDefault="00E46639" w:rsidP="00F16E23">
            <w:pPr>
              <w:pStyle w:val="TableText"/>
              <w:spacing w:before="50" w:after="50"/>
              <w:rPr>
                <w:i/>
                <w:iCs/>
                <w:szCs w:val="16"/>
              </w:rPr>
            </w:pPr>
            <w:r w:rsidRPr="0028033B">
              <w:rPr>
                <w:i/>
                <w:iCs/>
                <w:szCs w:val="16"/>
              </w:rPr>
              <w:t>Poultry</w:t>
            </w:r>
          </w:p>
        </w:tc>
        <w:tc>
          <w:tcPr>
            <w:tcW w:w="567" w:type="dxa"/>
            <w:shd w:val="clear" w:color="auto" w:fill="FFFFFF"/>
          </w:tcPr>
          <w:p w14:paraId="310510D1" w14:textId="77777777" w:rsidR="00E46639" w:rsidRPr="0028033B" w:rsidRDefault="00E46639" w:rsidP="00F16E23">
            <w:pPr>
              <w:pStyle w:val="TableText"/>
              <w:spacing w:before="50" w:after="50"/>
              <w:rPr>
                <w:szCs w:val="16"/>
              </w:rPr>
            </w:pPr>
            <w:r w:rsidRPr="0028033B">
              <w:rPr>
                <w:szCs w:val="16"/>
              </w:rPr>
              <w:t>CH₄</w:t>
            </w:r>
          </w:p>
        </w:tc>
        <w:tc>
          <w:tcPr>
            <w:tcW w:w="4734" w:type="dxa"/>
            <w:shd w:val="clear" w:color="auto" w:fill="FFFFFF"/>
          </w:tcPr>
          <w:p w14:paraId="2A62DE3F" w14:textId="77777777" w:rsidR="00E46639" w:rsidRPr="0028033B" w:rsidRDefault="00E46639" w:rsidP="00F16E23">
            <w:pPr>
              <w:pStyle w:val="TableText"/>
              <w:spacing w:before="50" w:after="50"/>
              <w:rPr>
                <w:szCs w:val="16"/>
              </w:rPr>
            </w:pPr>
            <w:r w:rsidRPr="0028033B">
              <w:rPr>
                <w:szCs w:val="16"/>
              </w:rPr>
              <w:t>According to footnote 6 to paragraph 37(b) of the United Nations Framework Convention on Climate Change reporting guidelines, this category is not mandatory for reporting. The 2006 Intergovernmental Panel on Climate Change (IPCC) Guidelines for National Greenhouse Gas Inventories state that a Tier 1 method for estimating methane (CH</w:t>
            </w:r>
            <w:r w:rsidRPr="0028033B">
              <w:rPr>
                <w:szCs w:val="16"/>
                <w:vertAlign w:val="subscript"/>
              </w:rPr>
              <w:t>4</w:t>
            </w:r>
            <w:r w:rsidRPr="0028033B">
              <w:rPr>
                <w:szCs w:val="16"/>
              </w:rPr>
              <w:t xml:space="preserve">) emissions from </w:t>
            </w:r>
            <w:r w:rsidRPr="0028033B">
              <w:rPr>
                <w:i/>
                <w:iCs/>
                <w:szCs w:val="16"/>
              </w:rPr>
              <w:t>Enteric fermentation</w:t>
            </w:r>
            <w:r w:rsidRPr="0028033B">
              <w:rPr>
                <w:szCs w:val="16"/>
              </w:rPr>
              <w:t xml:space="preserve"> for </w:t>
            </w:r>
            <w:r w:rsidRPr="0028033B">
              <w:rPr>
                <w:i/>
                <w:iCs/>
                <w:szCs w:val="16"/>
              </w:rPr>
              <w:t>Poultry</w:t>
            </w:r>
            <w:r w:rsidRPr="0028033B">
              <w:rPr>
                <w:szCs w:val="16"/>
              </w:rPr>
              <w:t xml:space="preserve"> has not been developed (IPCC, 2006, p 10.27, vol 4-2). Also, table 10-10 on p 10.28, vol 4-2 IPCC (2006) indicates that the data is insufficient to establish a CH</w:t>
            </w:r>
            <w:r w:rsidRPr="0028033B">
              <w:rPr>
                <w:szCs w:val="16"/>
                <w:vertAlign w:val="subscript"/>
              </w:rPr>
              <w:t>4</w:t>
            </w:r>
            <w:r w:rsidRPr="0028033B">
              <w:rPr>
                <w:szCs w:val="16"/>
              </w:rPr>
              <w:t xml:space="preserve"> emission factor for </w:t>
            </w:r>
            <w:r w:rsidRPr="0028033B">
              <w:rPr>
                <w:i/>
                <w:iCs/>
                <w:szCs w:val="16"/>
              </w:rPr>
              <w:t>Poultry</w:t>
            </w:r>
            <w:r w:rsidRPr="0028033B">
              <w:rPr>
                <w:szCs w:val="16"/>
              </w:rPr>
              <w:t xml:space="preserve"> for either developed or developing countries.</w:t>
            </w:r>
          </w:p>
        </w:tc>
      </w:tr>
      <w:tr w:rsidR="00E46639" w:rsidRPr="0028033B" w14:paraId="4AF12188" w14:textId="77777777" w:rsidTr="00F16E23">
        <w:trPr>
          <w:trHeight w:val="300"/>
        </w:trPr>
        <w:tc>
          <w:tcPr>
            <w:tcW w:w="1134" w:type="dxa"/>
            <w:shd w:val="clear" w:color="auto" w:fill="FFFFFF"/>
          </w:tcPr>
          <w:p w14:paraId="2448F4D8" w14:textId="77777777" w:rsidR="00E46639" w:rsidRPr="0028033B" w:rsidRDefault="00E46639" w:rsidP="00F16E23">
            <w:pPr>
              <w:pStyle w:val="TableText"/>
              <w:spacing w:before="50" w:after="50"/>
              <w:rPr>
                <w:szCs w:val="16"/>
              </w:rPr>
            </w:pPr>
            <w:r w:rsidRPr="0028033B">
              <w:rPr>
                <w:szCs w:val="16"/>
              </w:rPr>
              <w:t>3.B(b).</w:t>
            </w:r>
          </w:p>
        </w:tc>
        <w:tc>
          <w:tcPr>
            <w:tcW w:w="2127" w:type="dxa"/>
            <w:shd w:val="clear" w:color="auto" w:fill="FFFFFF"/>
          </w:tcPr>
          <w:p w14:paraId="1DE5D68A" w14:textId="77777777" w:rsidR="00E46639" w:rsidRPr="0028033B" w:rsidRDefault="00E46639" w:rsidP="00F16E23">
            <w:pPr>
              <w:pStyle w:val="TableText"/>
              <w:spacing w:before="50" w:after="50"/>
              <w:rPr>
                <w:i/>
                <w:iCs/>
                <w:szCs w:val="16"/>
              </w:rPr>
            </w:pPr>
            <w:r w:rsidRPr="0028033B">
              <w:rPr>
                <w:i/>
                <w:iCs/>
                <w:szCs w:val="16"/>
              </w:rPr>
              <w:t>Nitrous oxide per manure management system</w:t>
            </w:r>
            <w:r w:rsidRPr="0028033B" w:rsidDel="006F4929">
              <w:rPr>
                <w:i/>
                <w:iCs/>
                <w:szCs w:val="16"/>
              </w:rPr>
              <w:t xml:space="preserve"> (MMS)</w:t>
            </w:r>
            <w:r w:rsidRPr="0028033B">
              <w:rPr>
                <w:i/>
                <w:iCs/>
                <w:szCs w:val="16"/>
              </w:rPr>
              <w:t xml:space="preserve"> – Anaerobic lagoon and Daily spread</w:t>
            </w:r>
          </w:p>
        </w:tc>
        <w:tc>
          <w:tcPr>
            <w:tcW w:w="567" w:type="dxa"/>
            <w:shd w:val="clear" w:color="auto" w:fill="FFFFFF"/>
          </w:tcPr>
          <w:p w14:paraId="15643E55" w14:textId="77777777" w:rsidR="00E46639" w:rsidRPr="0028033B" w:rsidRDefault="00E46639" w:rsidP="00F16E23">
            <w:pPr>
              <w:pStyle w:val="TableText"/>
              <w:spacing w:before="50" w:after="50"/>
              <w:rPr>
                <w:rFonts w:ascii="Times New Roman" w:hAnsi="Times New Roman"/>
                <w:szCs w:val="16"/>
              </w:rPr>
            </w:pPr>
            <w:r w:rsidRPr="0028033B">
              <w:rPr>
                <w:szCs w:val="16"/>
              </w:rPr>
              <w:t>N₂O</w:t>
            </w:r>
          </w:p>
        </w:tc>
        <w:tc>
          <w:tcPr>
            <w:tcW w:w="4734" w:type="dxa"/>
            <w:shd w:val="clear" w:color="auto" w:fill="FFFFFF"/>
          </w:tcPr>
          <w:p w14:paraId="41B80052" w14:textId="77777777" w:rsidR="00E46639" w:rsidRPr="0028033B" w:rsidRDefault="00E46639" w:rsidP="00F16E23">
            <w:pPr>
              <w:pStyle w:val="TableText"/>
              <w:spacing w:before="50" w:after="50"/>
              <w:rPr>
                <w:szCs w:val="16"/>
              </w:rPr>
            </w:pPr>
            <w:r w:rsidRPr="0028033B">
              <w:rPr>
                <w:szCs w:val="16"/>
              </w:rPr>
              <w:t>Direct nitrous oxide (N</w:t>
            </w:r>
            <w:r w:rsidRPr="0028033B">
              <w:rPr>
                <w:szCs w:val="16"/>
                <w:vertAlign w:val="subscript"/>
              </w:rPr>
              <w:t>2</w:t>
            </w:r>
            <w:r w:rsidRPr="0028033B">
              <w:rPr>
                <w:szCs w:val="16"/>
              </w:rPr>
              <w:t>O) emissions from the material managed in anaerobic lagoons (</w:t>
            </w:r>
            <w:r w:rsidRPr="0028033B">
              <w:rPr>
                <w:i/>
                <w:iCs/>
                <w:szCs w:val="16"/>
              </w:rPr>
              <w:t>Dairy</w:t>
            </w:r>
            <w:r w:rsidRPr="0028033B">
              <w:rPr>
                <w:szCs w:val="16"/>
              </w:rPr>
              <w:t xml:space="preserve"> and </w:t>
            </w:r>
            <w:r w:rsidRPr="0028033B">
              <w:rPr>
                <w:i/>
                <w:iCs/>
                <w:szCs w:val="16"/>
              </w:rPr>
              <w:t>Swine</w:t>
            </w:r>
            <w:r w:rsidRPr="0028033B">
              <w:rPr>
                <w:szCs w:val="16"/>
              </w:rPr>
              <w:t>) and daily spread (</w:t>
            </w:r>
            <w:r w:rsidRPr="0028033B">
              <w:rPr>
                <w:i/>
                <w:iCs/>
                <w:szCs w:val="16"/>
              </w:rPr>
              <w:t>Swine</w:t>
            </w:r>
            <w:r w:rsidRPr="0028033B">
              <w:rPr>
                <w:szCs w:val="16"/>
              </w:rPr>
              <w:t xml:space="preserve">) after being spread onto agricultural soils are reported under </w:t>
            </w:r>
            <w:r w:rsidRPr="0028033B">
              <w:rPr>
                <w:i/>
                <w:iCs/>
                <w:szCs w:val="16"/>
              </w:rPr>
              <w:t>Agricultural soils</w:t>
            </w:r>
            <w:r w:rsidRPr="0028033B">
              <w:rPr>
                <w:szCs w:val="16"/>
              </w:rPr>
              <w:t>. The 2006 IPCC Guidelines assume that negligible direct N</w:t>
            </w:r>
            <w:r w:rsidRPr="0028033B">
              <w:rPr>
                <w:szCs w:val="16"/>
                <w:vertAlign w:val="subscript"/>
              </w:rPr>
              <w:t>2</w:t>
            </w:r>
            <w:r w:rsidRPr="0028033B">
              <w:rPr>
                <w:szCs w:val="16"/>
              </w:rPr>
              <w:t>O emissions occur in anaerobic lagoons and daily spread, and only occur once the stored effluent is spread onto agricultural soil (IPCC, 2006). For more information, see sections 5.3.2 and 5.5.2 below. According to footnote 6 to paragraph 37(b) of the UNFCCC reporting guidelines, this category is not mandatory for reporting.</w:t>
            </w:r>
          </w:p>
        </w:tc>
      </w:tr>
      <w:tr w:rsidR="00E46639" w:rsidRPr="0028033B" w14:paraId="0202DBAE" w14:textId="77777777" w:rsidTr="00F16E23">
        <w:trPr>
          <w:trHeight w:val="300"/>
        </w:trPr>
        <w:tc>
          <w:tcPr>
            <w:tcW w:w="1134" w:type="dxa"/>
            <w:shd w:val="clear" w:color="auto" w:fill="FFFFFF"/>
          </w:tcPr>
          <w:p w14:paraId="1FA02CC9" w14:textId="77777777" w:rsidR="00E46639" w:rsidRPr="0028033B" w:rsidRDefault="00E46639" w:rsidP="00F16E23">
            <w:pPr>
              <w:pStyle w:val="TableText"/>
              <w:spacing w:before="50" w:after="50"/>
              <w:rPr>
                <w:szCs w:val="16"/>
              </w:rPr>
            </w:pPr>
            <w:r w:rsidRPr="0028033B">
              <w:rPr>
                <w:szCs w:val="16"/>
              </w:rPr>
              <w:t xml:space="preserve">3.D. </w:t>
            </w:r>
          </w:p>
        </w:tc>
        <w:tc>
          <w:tcPr>
            <w:tcW w:w="2127" w:type="dxa"/>
            <w:shd w:val="clear" w:color="auto" w:fill="FFFFFF"/>
          </w:tcPr>
          <w:p w14:paraId="5EE2CE58" w14:textId="77777777" w:rsidR="00E46639" w:rsidRPr="0028033B" w:rsidRDefault="00E46639" w:rsidP="00F16E23">
            <w:pPr>
              <w:pStyle w:val="TableText"/>
              <w:spacing w:before="50" w:after="50"/>
              <w:rPr>
                <w:i/>
                <w:iCs/>
                <w:szCs w:val="16"/>
              </w:rPr>
            </w:pPr>
            <w:r w:rsidRPr="0028033B">
              <w:rPr>
                <w:i/>
                <w:iCs/>
                <w:szCs w:val="16"/>
              </w:rPr>
              <w:t>Agricultural soils</w:t>
            </w:r>
          </w:p>
        </w:tc>
        <w:tc>
          <w:tcPr>
            <w:tcW w:w="567" w:type="dxa"/>
            <w:shd w:val="clear" w:color="auto" w:fill="FFFFFF"/>
          </w:tcPr>
          <w:p w14:paraId="3E12F011" w14:textId="77777777" w:rsidR="00E46639" w:rsidRPr="0028033B" w:rsidRDefault="00E46639" w:rsidP="00F16E23">
            <w:pPr>
              <w:pStyle w:val="TableText"/>
              <w:spacing w:before="50" w:after="50"/>
              <w:rPr>
                <w:szCs w:val="16"/>
              </w:rPr>
            </w:pPr>
            <w:r w:rsidRPr="0028033B">
              <w:rPr>
                <w:szCs w:val="16"/>
              </w:rPr>
              <w:t>CH₄</w:t>
            </w:r>
          </w:p>
        </w:tc>
        <w:tc>
          <w:tcPr>
            <w:tcW w:w="4734" w:type="dxa"/>
            <w:shd w:val="clear" w:color="auto" w:fill="FFFFFF"/>
          </w:tcPr>
          <w:p w14:paraId="77909DCE" w14:textId="77777777" w:rsidR="00E46639" w:rsidRPr="0028033B" w:rsidRDefault="00E46639" w:rsidP="00F16E23">
            <w:pPr>
              <w:pStyle w:val="TableText"/>
              <w:spacing w:before="50" w:after="50"/>
              <w:rPr>
                <w:szCs w:val="16"/>
              </w:rPr>
            </w:pPr>
            <w:r w:rsidRPr="0028033B">
              <w:rPr>
                <w:szCs w:val="16"/>
              </w:rPr>
              <w:t xml:space="preserve">The 2006 IPCC Guidelines do not provide methodologies for calculating CH₄ emissions from </w:t>
            </w:r>
            <w:r w:rsidRPr="0028033B">
              <w:rPr>
                <w:i/>
                <w:iCs/>
                <w:szCs w:val="16"/>
              </w:rPr>
              <w:t xml:space="preserve">Agricultural soils </w:t>
            </w:r>
            <w:r w:rsidRPr="0028033B">
              <w:rPr>
                <w:szCs w:val="16"/>
              </w:rPr>
              <w:t>(IPCC, 2006).</w:t>
            </w:r>
          </w:p>
        </w:tc>
      </w:tr>
      <w:tr w:rsidR="00E46639" w:rsidRPr="0028033B" w14:paraId="3F09A9DF" w14:textId="77777777" w:rsidTr="00F16E23">
        <w:trPr>
          <w:trHeight w:val="300"/>
        </w:trPr>
        <w:tc>
          <w:tcPr>
            <w:tcW w:w="1134" w:type="dxa"/>
            <w:shd w:val="clear" w:color="auto" w:fill="FFFFFF"/>
          </w:tcPr>
          <w:p w14:paraId="42B24ECB" w14:textId="77777777" w:rsidR="00E46639" w:rsidRPr="0028033B" w:rsidRDefault="00E46639" w:rsidP="00F16E23">
            <w:pPr>
              <w:pStyle w:val="TableText"/>
              <w:spacing w:before="50" w:after="50"/>
              <w:rPr>
                <w:szCs w:val="16"/>
              </w:rPr>
            </w:pPr>
            <w:r w:rsidRPr="0028033B">
              <w:rPr>
                <w:szCs w:val="16"/>
              </w:rPr>
              <w:t>3.I.</w:t>
            </w:r>
          </w:p>
        </w:tc>
        <w:tc>
          <w:tcPr>
            <w:tcW w:w="2127" w:type="dxa"/>
            <w:shd w:val="clear" w:color="auto" w:fill="FFFFFF"/>
          </w:tcPr>
          <w:p w14:paraId="4D859E82" w14:textId="77777777" w:rsidR="00E46639" w:rsidRPr="0028033B" w:rsidRDefault="00E46639" w:rsidP="00F16E23">
            <w:pPr>
              <w:pStyle w:val="TableText"/>
              <w:spacing w:before="50" w:after="50"/>
              <w:rPr>
                <w:i/>
                <w:iCs/>
                <w:szCs w:val="16"/>
              </w:rPr>
            </w:pPr>
            <w:r w:rsidRPr="0028033B">
              <w:rPr>
                <w:i/>
                <w:iCs/>
                <w:szCs w:val="16"/>
              </w:rPr>
              <w:t>Other carbon-containing fertilizers</w:t>
            </w:r>
          </w:p>
        </w:tc>
        <w:tc>
          <w:tcPr>
            <w:tcW w:w="567" w:type="dxa"/>
            <w:shd w:val="clear" w:color="auto" w:fill="FFFFFF"/>
          </w:tcPr>
          <w:p w14:paraId="1A1ECD20" w14:textId="77777777" w:rsidR="00E46639" w:rsidRPr="0028033B" w:rsidRDefault="00E46639" w:rsidP="00F16E23">
            <w:pPr>
              <w:pStyle w:val="TableText"/>
              <w:spacing w:before="50" w:after="50"/>
              <w:rPr>
                <w:szCs w:val="16"/>
              </w:rPr>
            </w:pPr>
            <w:r w:rsidRPr="0028033B">
              <w:rPr>
                <w:szCs w:val="16"/>
              </w:rPr>
              <w:t>CO₂</w:t>
            </w:r>
          </w:p>
        </w:tc>
        <w:tc>
          <w:tcPr>
            <w:tcW w:w="4734" w:type="dxa"/>
            <w:shd w:val="clear" w:color="auto" w:fill="FFFFFF"/>
          </w:tcPr>
          <w:p w14:paraId="2AB00DAF" w14:textId="77777777" w:rsidR="00E46639" w:rsidRPr="0028033B" w:rsidRDefault="00E46639" w:rsidP="00F16E23">
            <w:pPr>
              <w:pStyle w:val="TableText"/>
              <w:spacing w:before="50" w:after="50"/>
              <w:rPr>
                <w:szCs w:val="16"/>
              </w:rPr>
            </w:pPr>
            <w:r w:rsidRPr="0028033B">
              <w:rPr>
                <w:szCs w:val="16"/>
              </w:rPr>
              <w:t>According to footnote 6 to paragraph 37(b) of the UNFCCC reporting guidelines, this category is not mandatory for reporting. The 2006 IPCC Guidelines do not provide guidance for reporting on other carbon-containing fertilisers (IPCC, 2006). Other carbon-containing synthetic fertilisers besides limestone, dolomite and urea are not applied to agricultural land in New Zealand.</w:t>
            </w:r>
          </w:p>
        </w:tc>
      </w:tr>
    </w:tbl>
    <w:p w14:paraId="70C6ABCC" w14:textId="77777777" w:rsidR="00E46639" w:rsidRPr="0028033B" w:rsidRDefault="00E46639" w:rsidP="00E46639">
      <w:pPr>
        <w:pStyle w:val="Heading5"/>
        <w:spacing w:before="440"/>
      </w:pPr>
      <w:r w:rsidRPr="0028033B">
        <w:rPr>
          <w:bdr w:val="none" w:sz="0" w:space="0" w:color="auto" w:frame="1"/>
        </w:rPr>
        <w:t>Emissions reported as ‘IE’ or ‘included elsewhere’</w:t>
      </w:r>
    </w:p>
    <w:p w14:paraId="10B99E82" w14:textId="77777777" w:rsidR="00E46639" w:rsidRPr="0028033B" w:rsidRDefault="00E46639" w:rsidP="00E46639">
      <w:pPr>
        <w:pStyle w:val="BodyText"/>
      </w:pPr>
      <w:r w:rsidRPr="0028033B">
        <w:t xml:space="preserve">Table 5.1.7 details where the notation key ‘IE’ or </w:t>
      </w:r>
      <w:r w:rsidRPr="0028033B">
        <w:rPr>
          <w:bdr w:val="none" w:sz="0" w:space="0" w:color="auto" w:frame="1"/>
        </w:rPr>
        <w:t xml:space="preserve">‘included elsewhere’ </w:t>
      </w:r>
      <w:r w:rsidRPr="0028033B">
        <w:t>has been used in this submission of the Inventory for the Agriculture sector.</w:t>
      </w:r>
    </w:p>
    <w:p w14:paraId="3C029C32" w14:textId="77777777" w:rsidR="00E46639" w:rsidRPr="0028033B" w:rsidRDefault="00E46639" w:rsidP="00E46639">
      <w:pPr>
        <w:pStyle w:val="Table"/>
        <w:rPr>
          <w:rFonts w:ascii="Segoe UI" w:hAnsi="Segoe UI" w:cs="Segoe UI"/>
        </w:rPr>
      </w:pPr>
      <w:bookmarkStart w:id="734" w:name="_Toc222407617"/>
      <w:bookmarkStart w:id="735" w:name="_Toc226668992"/>
      <w:r w:rsidRPr="0028033B">
        <w:t>Table 5.1.7</w:t>
      </w:r>
      <w:r w:rsidRPr="0028033B">
        <w:tab/>
        <w:t>Emissions reported using the ‘IE’ or ‘included elsewhere’ notation key in the 2026 submission for the Agriculture sector</w:t>
      </w:r>
      <w:bookmarkEnd w:id="734"/>
      <w:bookmarkEnd w:id="735"/>
      <w:r w:rsidRPr="0028033B">
        <w:t> </w:t>
      </w:r>
    </w:p>
    <w:tbl>
      <w:tblPr>
        <w:tblW w:w="8505" w:type="dxa"/>
        <w:tblBorders>
          <w:top w:val="single" w:sz="6" w:space="0" w:color="1B556B" w:themeColor="text2"/>
          <w:bottom w:val="single" w:sz="6" w:space="0" w:color="1B556B" w:themeColor="text2"/>
          <w:insideH w:val="single" w:sz="6" w:space="0" w:color="1B556B" w:themeColor="text2"/>
          <w:insideV w:val="single" w:sz="6" w:space="0" w:color="1B556B" w:themeColor="text2"/>
        </w:tblBorders>
        <w:tblCellMar>
          <w:left w:w="85" w:type="dxa"/>
          <w:right w:w="85" w:type="dxa"/>
        </w:tblCellMar>
        <w:tblLook w:val="04A0" w:firstRow="1" w:lastRow="0" w:firstColumn="1" w:lastColumn="0" w:noHBand="0" w:noVBand="1"/>
      </w:tblPr>
      <w:tblGrid>
        <w:gridCol w:w="1418"/>
        <w:gridCol w:w="1417"/>
        <w:gridCol w:w="2410"/>
        <w:gridCol w:w="3260"/>
      </w:tblGrid>
      <w:tr w:rsidR="00E46639" w:rsidRPr="0028033B" w14:paraId="5F3DF24A" w14:textId="77777777" w:rsidTr="00F16E23">
        <w:tc>
          <w:tcPr>
            <w:tcW w:w="1418" w:type="dxa"/>
            <w:shd w:val="clear" w:color="auto" w:fill="1B556B" w:themeFill="text2"/>
            <w:vAlign w:val="bottom"/>
            <w:hideMark/>
          </w:tcPr>
          <w:p w14:paraId="4B2F0221" w14:textId="77777777" w:rsidR="00E46639" w:rsidRPr="0028033B" w:rsidRDefault="00E46639" w:rsidP="00F16E23">
            <w:pPr>
              <w:pStyle w:val="TableTextBold"/>
              <w:spacing w:before="50" w:after="50"/>
              <w:rPr>
                <w:noProof w:val="0"/>
                <w:color w:val="FFFFFF" w:themeColor="background1"/>
              </w:rPr>
            </w:pPr>
            <w:r w:rsidRPr="0028033B">
              <w:rPr>
                <w:noProof w:val="0"/>
                <w:color w:val="FFFFFF" w:themeColor="background1"/>
              </w:rPr>
              <w:t>CRT category code</w:t>
            </w:r>
          </w:p>
        </w:tc>
        <w:tc>
          <w:tcPr>
            <w:tcW w:w="1417" w:type="dxa"/>
            <w:shd w:val="clear" w:color="auto" w:fill="1B556B" w:themeFill="text2"/>
            <w:vAlign w:val="bottom"/>
            <w:hideMark/>
          </w:tcPr>
          <w:p w14:paraId="65718F44" w14:textId="77777777" w:rsidR="00E46639" w:rsidRPr="0028033B" w:rsidRDefault="00E46639" w:rsidP="00F16E23">
            <w:pPr>
              <w:pStyle w:val="TableTextBold"/>
              <w:spacing w:before="50" w:after="50"/>
              <w:rPr>
                <w:noProof w:val="0"/>
                <w:color w:val="FFFFFF" w:themeColor="background1"/>
              </w:rPr>
            </w:pPr>
            <w:r w:rsidRPr="0028033B">
              <w:rPr>
                <w:noProof w:val="0"/>
                <w:color w:val="FFFFFF" w:themeColor="background1"/>
              </w:rPr>
              <w:t>Category</w:t>
            </w:r>
          </w:p>
        </w:tc>
        <w:tc>
          <w:tcPr>
            <w:tcW w:w="2410" w:type="dxa"/>
            <w:shd w:val="clear" w:color="auto" w:fill="1B556B" w:themeFill="text2"/>
            <w:vAlign w:val="bottom"/>
            <w:hideMark/>
          </w:tcPr>
          <w:p w14:paraId="50921764" w14:textId="77777777" w:rsidR="00E46639" w:rsidRPr="0028033B" w:rsidRDefault="00E46639" w:rsidP="00F16E23">
            <w:pPr>
              <w:pStyle w:val="TableTextBold"/>
              <w:spacing w:before="50" w:after="50"/>
              <w:rPr>
                <w:noProof w:val="0"/>
                <w:color w:val="FFFFFF" w:themeColor="background1"/>
              </w:rPr>
            </w:pPr>
            <w:r w:rsidRPr="0028033B">
              <w:rPr>
                <w:noProof w:val="0"/>
                <w:color w:val="FFFFFF" w:themeColor="background1"/>
              </w:rPr>
              <w:t>Source category reported under</w:t>
            </w:r>
          </w:p>
        </w:tc>
        <w:tc>
          <w:tcPr>
            <w:tcW w:w="3260" w:type="dxa"/>
            <w:shd w:val="clear" w:color="auto" w:fill="1B556B" w:themeFill="text2"/>
            <w:vAlign w:val="bottom"/>
            <w:hideMark/>
          </w:tcPr>
          <w:p w14:paraId="0F98428E" w14:textId="77777777" w:rsidR="00E46639" w:rsidRPr="0028033B" w:rsidRDefault="00E46639" w:rsidP="00F16E23">
            <w:pPr>
              <w:pStyle w:val="TableTextBold"/>
              <w:spacing w:before="50" w:after="50"/>
              <w:rPr>
                <w:noProof w:val="0"/>
                <w:color w:val="FFFFFF" w:themeColor="background1"/>
              </w:rPr>
            </w:pPr>
            <w:r w:rsidRPr="0028033B">
              <w:rPr>
                <w:noProof w:val="0"/>
                <w:color w:val="FFFFFF" w:themeColor="background1"/>
              </w:rPr>
              <w:t>Notation key explanation </w:t>
            </w:r>
          </w:p>
        </w:tc>
      </w:tr>
      <w:tr w:rsidR="00E46639" w:rsidRPr="0028033B" w14:paraId="1229787C" w14:textId="77777777" w:rsidTr="00F16E23">
        <w:tc>
          <w:tcPr>
            <w:tcW w:w="8505" w:type="dxa"/>
            <w:gridSpan w:val="4"/>
            <w:hideMark/>
          </w:tcPr>
          <w:p w14:paraId="6684DD44" w14:textId="77777777" w:rsidR="00E46639" w:rsidRPr="0028033B" w:rsidRDefault="00E46639" w:rsidP="00F16E23">
            <w:pPr>
              <w:pStyle w:val="TableTextBold"/>
              <w:spacing w:before="50" w:after="50"/>
              <w:rPr>
                <w:noProof w:val="0"/>
              </w:rPr>
            </w:pPr>
            <w:r w:rsidRPr="0028033B">
              <w:rPr>
                <w:noProof w:val="0"/>
              </w:rPr>
              <w:t>Agriculture</w:t>
            </w:r>
          </w:p>
        </w:tc>
      </w:tr>
      <w:tr w:rsidR="00E46639" w:rsidRPr="0028033B" w14:paraId="07613991" w14:textId="77777777" w:rsidTr="00F16E23">
        <w:tc>
          <w:tcPr>
            <w:tcW w:w="1418" w:type="dxa"/>
          </w:tcPr>
          <w:p w14:paraId="5BFFED69" w14:textId="77777777" w:rsidR="00E46639" w:rsidRPr="0028033B" w:rsidRDefault="00E46639" w:rsidP="00F16E23">
            <w:pPr>
              <w:pStyle w:val="TableText"/>
              <w:spacing w:before="50" w:after="50"/>
            </w:pPr>
            <w:r w:rsidRPr="0028033B">
              <w:t>3.E.</w:t>
            </w:r>
          </w:p>
        </w:tc>
        <w:tc>
          <w:tcPr>
            <w:tcW w:w="1417" w:type="dxa"/>
          </w:tcPr>
          <w:p w14:paraId="0443B01D" w14:textId="77777777" w:rsidR="00E46639" w:rsidRPr="0028033B" w:rsidRDefault="00E46639" w:rsidP="00F16E23">
            <w:pPr>
              <w:pStyle w:val="TableText"/>
              <w:spacing w:before="50" w:after="50"/>
              <w:rPr>
                <w:i/>
                <w:iCs/>
              </w:rPr>
            </w:pPr>
            <w:r w:rsidRPr="0028033B">
              <w:rPr>
                <w:i/>
                <w:iCs/>
              </w:rPr>
              <w:t>Prescribed burning of savannas</w:t>
            </w:r>
          </w:p>
        </w:tc>
        <w:tc>
          <w:tcPr>
            <w:tcW w:w="2410" w:type="dxa"/>
          </w:tcPr>
          <w:p w14:paraId="33C7E948" w14:textId="77777777" w:rsidR="00E46639" w:rsidRPr="0028033B" w:rsidRDefault="00E46639" w:rsidP="00F16E23">
            <w:pPr>
              <w:pStyle w:val="TableText"/>
              <w:spacing w:before="50" w:after="50"/>
            </w:pPr>
            <w:r w:rsidRPr="0028033B">
              <w:t xml:space="preserve">4(IV) </w:t>
            </w:r>
            <w:r w:rsidRPr="0028033B">
              <w:rPr>
                <w:i/>
                <w:iCs/>
              </w:rPr>
              <w:t>Biomass burning</w:t>
            </w:r>
          </w:p>
        </w:tc>
        <w:tc>
          <w:tcPr>
            <w:tcW w:w="3260" w:type="dxa"/>
          </w:tcPr>
          <w:p w14:paraId="174D3119" w14:textId="362002D8" w:rsidR="00E46639" w:rsidRPr="0028033B" w:rsidRDefault="00E46639" w:rsidP="00F16E23">
            <w:pPr>
              <w:pStyle w:val="TableText"/>
              <w:spacing w:before="50" w:after="50"/>
            </w:pPr>
            <w:r w:rsidRPr="0028033B">
              <w:rPr>
                <w:i/>
                <w:iCs/>
              </w:rPr>
              <w:t>Prescribed burning of savanna</w:t>
            </w:r>
            <w:r w:rsidRPr="0028033B">
              <w:t>s is reported under the Land Use, Land-Use Change and Forestry sector (4(IV)),</w:t>
            </w:r>
            <w:r w:rsidRPr="0028033B" w:rsidDel="00AE5880">
              <w:t xml:space="preserve"> </w:t>
            </w:r>
            <w:r w:rsidRPr="0028033B">
              <w:t>to be consistent with Land Use, Land-Use Change and Forestry reporting and to avoid double counting. See</w:t>
            </w:r>
            <w:r w:rsidR="00D04470">
              <w:t> </w:t>
            </w:r>
            <w:r w:rsidRPr="0028033B">
              <w:t>chapter 6, section 6.11.5.</w:t>
            </w:r>
          </w:p>
        </w:tc>
      </w:tr>
    </w:tbl>
    <w:p w14:paraId="37EA2CF8" w14:textId="77777777" w:rsidR="00E46639" w:rsidRPr="0028033B" w:rsidRDefault="00E46639" w:rsidP="00E46639">
      <w:pPr>
        <w:pStyle w:val="Heading2"/>
        <w:spacing w:before="440"/>
      </w:pPr>
      <w:bookmarkStart w:id="736" w:name="_Toc352504860"/>
      <w:bookmarkStart w:id="737" w:name="_Toc448321523"/>
      <w:bookmarkStart w:id="738" w:name="_Toc481751385"/>
      <w:bookmarkStart w:id="739" w:name="_Toc511116600"/>
      <w:bookmarkStart w:id="740" w:name="_Toc5269362"/>
      <w:bookmarkStart w:id="741" w:name="_Toc32570650"/>
      <w:bookmarkStart w:id="742" w:name="_Toc36224402"/>
      <w:bookmarkStart w:id="743" w:name="_Toc68786322"/>
      <w:bookmarkStart w:id="744" w:name="_Toc131591237"/>
      <w:bookmarkStart w:id="745" w:name="_Toc164154191"/>
      <w:bookmarkStart w:id="746" w:name="_Toc226460770"/>
      <w:r w:rsidRPr="0028033B">
        <w:t>5.2</w:t>
      </w:r>
      <w:r w:rsidRPr="0028033B">
        <w:tab/>
        <w:t>Enteric fermentation (3.A)</w:t>
      </w:r>
      <w:bookmarkEnd w:id="736"/>
      <w:bookmarkEnd w:id="737"/>
      <w:bookmarkEnd w:id="738"/>
      <w:bookmarkEnd w:id="739"/>
      <w:bookmarkEnd w:id="740"/>
      <w:bookmarkEnd w:id="741"/>
      <w:bookmarkEnd w:id="742"/>
      <w:bookmarkEnd w:id="743"/>
      <w:bookmarkEnd w:id="744"/>
      <w:bookmarkEnd w:id="745"/>
      <w:bookmarkEnd w:id="746"/>
    </w:p>
    <w:p w14:paraId="2DCBEFE6" w14:textId="77777777" w:rsidR="00E46639" w:rsidRPr="0028033B" w:rsidRDefault="00E46639" w:rsidP="00E46639">
      <w:pPr>
        <w:pStyle w:val="Heading3"/>
        <w:spacing w:before="240"/>
      </w:pPr>
      <w:bookmarkStart w:id="747" w:name="_Toc139253917"/>
      <w:bookmarkStart w:id="748" w:name="_Toc32570651"/>
      <w:r w:rsidRPr="0028033B">
        <w:t>5.2.1</w:t>
      </w:r>
      <w:r w:rsidRPr="0028033B">
        <w:tab/>
      </w:r>
      <w:bookmarkStart w:id="749" w:name="_Hlk154135479"/>
      <w:r w:rsidRPr="0028033B">
        <w:t>Category description</w:t>
      </w:r>
      <w:bookmarkEnd w:id="747"/>
      <w:bookmarkEnd w:id="748"/>
      <w:bookmarkEnd w:id="749"/>
    </w:p>
    <w:p w14:paraId="03BF212D" w14:textId="77777777" w:rsidR="00E46639" w:rsidRPr="0028033B" w:rsidRDefault="00E46639" w:rsidP="00E46639">
      <w:pPr>
        <w:pStyle w:val="BodyText"/>
        <w:spacing w:before="100" w:after="100"/>
      </w:pPr>
      <w:r w:rsidRPr="0028033B">
        <w:t>Methane is produced predominantly by ruminants as a by-product of enteric fermentation, which is the digestive process that breaks down consumed plant material in the rumen under anaerobic conditions. A portion of the plant material is fermented in the rumen to simple fatty acids, hydrogen, CO</w:t>
      </w:r>
      <w:r w:rsidRPr="0028033B">
        <w:rPr>
          <w:vertAlign w:val="subscript"/>
        </w:rPr>
        <w:t>2</w:t>
      </w:r>
      <w:r w:rsidRPr="0028033B">
        <w:t xml:space="preserve"> and CH</w:t>
      </w:r>
      <w:r w:rsidRPr="0028033B">
        <w:rPr>
          <w:vertAlign w:val="subscript"/>
        </w:rPr>
        <w:t>4</w:t>
      </w:r>
      <w:r w:rsidRPr="0028033B">
        <w:t>. The gases from this process are released by eructation (burping) and exhalation by the animal. The amount of CH</w:t>
      </w:r>
      <w:r w:rsidRPr="0028033B">
        <w:rPr>
          <w:vertAlign w:val="subscript"/>
        </w:rPr>
        <w:t>4</w:t>
      </w:r>
      <w:r w:rsidRPr="0028033B">
        <w:t xml:space="preserve"> released is dependent on the type, quality and quantity of feed consumed, and energy expenditure of the animal. Energy expenditure depends on the type, age, weight, health and production of the animal, and whether the animal is pregnant (and the stage of pregnancy) or lactating.</w:t>
      </w:r>
    </w:p>
    <w:p w14:paraId="56686DEC" w14:textId="77777777" w:rsidR="00E46639" w:rsidRPr="0028033B" w:rsidRDefault="00E46639" w:rsidP="00E46639">
      <w:pPr>
        <w:pStyle w:val="BodyText"/>
        <w:spacing w:before="100" w:after="100"/>
      </w:pPr>
      <w:r w:rsidRPr="0028033B">
        <w:t>Methane is also produced in smaller amounts by non-ruminant herbivores (e.g. swine, horses, ostriches and emus) and pseudo-ruminants (e.g., llamas and alpacas).</w:t>
      </w:r>
    </w:p>
    <w:p w14:paraId="7F4DE7DF" w14:textId="77777777" w:rsidR="00E46639" w:rsidRPr="0028033B" w:rsidRDefault="00E46639" w:rsidP="00E46639">
      <w:pPr>
        <w:pStyle w:val="BodyText"/>
        <w:spacing w:before="100" w:after="100"/>
      </w:pPr>
      <w:r w:rsidRPr="0028033B">
        <w:t xml:space="preserve">Methane emissions from the </w:t>
      </w:r>
      <w:r w:rsidRPr="0028033B">
        <w:rPr>
          <w:i/>
        </w:rPr>
        <w:t>Enteric fermentation</w:t>
      </w:r>
      <w:r w:rsidRPr="0028033B">
        <w:t xml:space="preserve"> category from </w:t>
      </w:r>
      <w:r w:rsidRPr="0028033B">
        <w:rPr>
          <w:i/>
        </w:rPr>
        <w:t xml:space="preserve">Dairy cattle, Non-dairy cattle, Sheep </w:t>
      </w:r>
      <w:r w:rsidRPr="0028033B">
        <w:t xml:space="preserve">and </w:t>
      </w:r>
      <w:r w:rsidRPr="0028033B">
        <w:rPr>
          <w:i/>
        </w:rPr>
        <w:t>Deer</w:t>
      </w:r>
      <w:r w:rsidRPr="0028033B">
        <w:t xml:space="preserve"> were identified as among the largest key categories for </w:t>
      </w:r>
      <w:r w:rsidRPr="0028033B" w:rsidDel="006B7EB7">
        <w:t xml:space="preserve">New </w:t>
      </w:r>
      <w:r w:rsidRPr="0028033B">
        <w:t xml:space="preserve">Zealand in the 2025 level assessment, and were also assessed as key categories in the trend assessment. The methodology used by </w:t>
      </w:r>
      <w:r w:rsidRPr="0028033B" w:rsidDel="00635147">
        <w:t xml:space="preserve">New </w:t>
      </w:r>
      <w:r w:rsidRPr="0028033B">
        <w:t>Zealand for calculating CH</w:t>
      </w:r>
      <w:r w:rsidRPr="0028033B">
        <w:rPr>
          <w:vertAlign w:val="subscript"/>
        </w:rPr>
        <w:t>4</w:t>
      </w:r>
      <w:r w:rsidRPr="0028033B">
        <w:t xml:space="preserve"> emissions from enteric fermentation in domestic livestock is a Tier 2 modelling approach. </w:t>
      </w:r>
    </w:p>
    <w:p w14:paraId="6AC560DA" w14:textId="77777777" w:rsidR="00E46639" w:rsidRPr="0028033B" w:rsidRDefault="00E46639" w:rsidP="00E46639">
      <w:pPr>
        <w:pStyle w:val="BodyText"/>
        <w:spacing w:before="100" w:after="100"/>
      </w:pPr>
      <w:r w:rsidRPr="0028033B">
        <w:rPr>
          <w:i/>
        </w:rPr>
        <w:t>Enteric fermentation</w:t>
      </w:r>
      <w:r w:rsidRPr="0028033B">
        <w:t xml:space="preserve"> contributed an estimated 31,588.3 kt CO</w:t>
      </w:r>
      <w:r w:rsidRPr="0028033B">
        <w:rPr>
          <w:vertAlign w:val="subscript"/>
        </w:rPr>
        <w:t>2</w:t>
      </w:r>
      <w:r w:rsidRPr="0028033B">
        <w:t>e, representing 41.</w:t>
      </w:r>
      <w:r>
        <w:t>7</w:t>
      </w:r>
      <w:r w:rsidRPr="0028033B">
        <w:t xml:space="preserve"> percent of New Zealand’s gross emissions and 78.7 percent of Agriculture emissions in 2024. The major livestock categories contributing to </w:t>
      </w:r>
      <w:r w:rsidRPr="0028033B">
        <w:rPr>
          <w:i/>
        </w:rPr>
        <w:t>Enteric fermentation</w:t>
      </w:r>
      <w:r w:rsidRPr="0028033B">
        <w:t xml:space="preserve"> are:</w:t>
      </w:r>
    </w:p>
    <w:p w14:paraId="31217B5D" w14:textId="77777777" w:rsidR="00E46639" w:rsidRPr="0028033B" w:rsidRDefault="00E46639" w:rsidP="00E46639">
      <w:pPr>
        <w:pStyle w:val="Bullet"/>
        <w:numPr>
          <w:ilvl w:val="0"/>
          <w:numId w:val="25"/>
        </w:numPr>
      </w:pPr>
      <w:r w:rsidRPr="0028033B">
        <w:rPr>
          <w:i/>
        </w:rPr>
        <w:t>Dairy cattle</w:t>
      </w:r>
      <w:r w:rsidRPr="0028033B">
        <w:t xml:space="preserve"> (49.9 percent)</w:t>
      </w:r>
    </w:p>
    <w:p w14:paraId="6C86757A" w14:textId="77777777" w:rsidR="00E46639" w:rsidRPr="0028033B" w:rsidRDefault="00E46639" w:rsidP="00E46639">
      <w:pPr>
        <w:pStyle w:val="Bullet"/>
        <w:numPr>
          <w:ilvl w:val="0"/>
          <w:numId w:val="25"/>
        </w:numPr>
      </w:pPr>
      <w:r w:rsidRPr="0028033B">
        <w:rPr>
          <w:i/>
        </w:rPr>
        <w:t>Sh</w:t>
      </w:r>
      <w:r w:rsidRPr="0028033B">
        <w:rPr>
          <w:i/>
          <w:iCs/>
        </w:rPr>
        <w:t>eep</w:t>
      </w:r>
      <w:r w:rsidRPr="0028033B">
        <w:t xml:space="preserve"> (26.0 percent)</w:t>
      </w:r>
    </w:p>
    <w:p w14:paraId="7D55A93A" w14:textId="77777777" w:rsidR="00E46639" w:rsidRPr="0028033B" w:rsidRDefault="00E46639" w:rsidP="00E46639">
      <w:pPr>
        <w:pStyle w:val="Bullet"/>
        <w:numPr>
          <w:ilvl w:val="0"/>
          <w:numId w:val="25"/>
        </w:numPr>
      </w:pPr>
      <w:r w:rsidRPr="0028033B">
        <w:rPr>
          <w:i/>
        </w:rPr>
        <w:t>Non-dairy cattle</w:t>
      </w:r>
      <w:r w:rsidRPr="0028033B">
        <w:t xml:space="preserve"> (22.7 percent)</w:t>
      </w:r>
    </w:p>
    <w:p w14:paraId="5A4A0317" w14:textId="77777777" w:rsidR="00E46639" w:rsidRPr="0028033B" w:rsidRDefault="00E46639" w:rsidP="00E46639">
      <w:pPr>
        <w:pStyle w:val="Bullet"/>
        <w:numPr>
          <w:ilvl w:val="0"/>
          <w:numId w:val="25"/>
        </w:numPr>
      </w:pPr>
      <w:r w:rsidRPr="0028033B">
        <w:rPr>
          <w:i/>
        </w:rPr>
        <w:t>Deer</w:t>
      </w:r>
      <w:r w:rsidRPr="0028033B">
        <w:t xml:space="preserve"> (1.3 percent).</w:t>
      </w:r>
    </w:p>
    <w:p w14:paraId="64656E48" w14:textId="77777777" w:rsidR="00E46639" w:rsidRPr="0028033B" w:rsidRDefault="00E46639" w:rsidP="00E46639">
      <w:pPr>
        <w:pStyle w:val="Heading5"/>
      </w:pPr>
      <w:r w:rsidRPr="0028033B">
        <w:t>Trends</w:t>
      </w:r>
    </w:p>
    <w:p w14:paraId="2244B3B3" w14:textId="77777777" w:rsidR="00E46639" w:rsidRPr="0028033B" w:rsidRDefault="00E46639" w:rsidP="00E46639">
      <w:pPr>
        <w:pStyle w:val="BodyText"/>
        <w:spacing w:before="100"/>
        <w:rPr>
          <w:rFonts w:cs="Calibri"/>
        </w:rPr>
      </w:pPr>
      <w:r w:rsidRPr="0028033B">
        <w:rPr>
          <w:rFonts w:cs="Calibri"/>
        </w:rPr>
        <w:t xml:space="preserve">Emissions from </w:t>
      </w:r>
      <w:r w:rsidRPr="0028033B">
        <w:rPr>
          <w:rFonts w:cs="Calibri"/>
          <w:i/>
        </w:rPr>
        <w:t xml:space="preserve">Enteric fermentation </w:t>
      </w:r>
      <w:r w:rsidRPr="0028033B">
        <w:rPr>
          <w:rFonts w:cs="Calibri"/>
        </w:rPr>
        <w:t>increased 1.7 percent (by 515.</w:t>
      </w:r>
      <w:bookmarkStart w:id="750" w:name="_Hlk216183867"/>
      <w:r w:rsidRPr="0028033B">
        <w:rPr>
          <w:rFonts w:cs="Calibri"/>
        </w:rPr>
        <w:t>1 kt CO</w:t>
      </w:r>
      <w:r w:rsidRPr="0028033B">
        <w:rPr>
          <w:rFonts w:cs="Calibri"/>
          <w:vertAlign w:val="subscript"/>
        </w:rPr>
        <w:t>2</w:t>
      </w:r>
      <w:r w:rsidRPr="0028033B">
        <w:rPr>
          <w:rFonts w:cs="Calibri"/>
        </w:rPr>
        <w:t>e</w:t>
      </w:r>
      <w:bookmarkEnd w:id="750"/>
      <w:r w:rsidRPr="0028033B">
        <w:rPr>
          <w:rFonts w:cs="Calibri"/>
        </w:rPr>
        <w:t>) between 1990 and 2024. Since 1990, there have been changes in the relative sources of emissions within the </w:t>
      </w:r>
      <w:r w:rsidRPr="0028033B">
        <w:rPr>
          <w:rFonts w:cs="Calibri"/>
          <w:i/>
        </w:rPr>
        <w:t>Enteric fermentation</w:t>
      </w:r>
      <w:r w:rsidRPr="0028033B">
        <w:rPr>
          <w:rFonts w:cs="Calibri"/>
        </w:rPr>
        <w:t xml:space="preserve"> category (see table 5.2.1). A large increase in CH</w:t>
      </w:r>
      <w:r w:rsidRPr="0028033B">
        <w:rPr>
          <w:rFonts w:cs="Calibri"/>
          <w:vertAlign w:val="subscript"/>
        </w:rPr>
        <w:t>4</w:t>
      </w:r>
      <w:r w:rsidRPr="0028033B">
        <w:rPr>
          <w:rFonts w:cs="Calibri"/>
        </w:rPr>
        <w:t xml:space="preserve"> emissions from </w:t>
      </w:r>
      <w:r w:rsidRPr="0028033B">
        <w:rPr>
          <w:rFonts w:cs="Calibri"/>
          <w:i/>
        </w:rPr>
        <w:t>Dairy cattle</w:t>
      </w:r>
      <w:r w:rsidRPr="0028033B">
        <w:rPr>
          <w:rFonts w:cs="Calibri"/>
        </w:rPr>
        <w:t xml:space="preserve"> (by 8,803.1 kt CO</w:t>
      </w:r>
      <w:r w:rsidRPr="0028033B">
        <w:rPr>
          <w:rFonts w:cs="Calibri"/>
          <w:vertAlign w:val="subscript"/>
        </w:rPr>
        <w:t>2</w:t>
      </w:r>
      <w:r w:rsidRPr="0028033B">
        <w:rPr>
          <w:rFonts w:cs="Calibri"/>
        </w:rPr>
        <w:t xml:space="preserve">e or 126.5 percent increase in </w:t>
      </w:r>
      <w:r w:rsidRPr="0028033B">
        <w:rPr>
          <w:rFonts w:cs="Calibri"/>
          <w:i/>
        </w:rPr>
        <w:t>Enteric fermentation</w:t>
      </w:r>
      <w:r w:rsidRPr="0028033B">
        <w:rPr>
          <w:rFonts w:cs="Calibri"/>
        </w:rPr>
        <w:t xml:space="preserve"> emissions between 1990 and 2024) has been partially offset by decreases in </w:t>
      </w:r>
      <w:r w:rsidRPr="0028033B">
        <w:rPr>
          <w:rFonts w:cs="Calibri"/>
          <w:i/>
        </w:rPr>
        <w:t xml:space="preserve">Enteric fermentation </w:t>
      </w:r>
      <w:r w:rsidRPr="0028033B">
        <w:rPr>
          <w:rFonts w:cs="Calibri"/>
        </w:rPr>
        <w:t xml:space="preserve">emissions from </w:t>
      </w:r>
      <w:r w:rsidRPr="0028033B">
        <w:rPr>
          <w:rFonts w:cs="Calibri"/>
          <w:i/>
        </w:rPr>
        <w:t>Sheep</w:t>
      </w:r>
      <w:r w:rsidRPr="0028033B">
        <w:rPr>
          <w:rFonts w:cs="Calibri"/>
        </w:rPr>
        <w:t xml:space="preserve"> (by 7,763.2 kt CO</w:t>
      </w:r>
      <w:r w:rsidRPr="0028033B">
        <w:rPr>
          <w:rFonts w:cs="Calibri"/>
          <w:vertAlign w:val="subscript"/>
        </w:rPr>
        <w:t>2</w:t>
      </w:r>
      <w:r w:rsidRPr="0028033B">
        <w:rPr>
          <w:rFonts w:cs="Calibri"/>
        </w:rPr>
        <w:t xml:space="preserve">e or 48.6 percent decrease) as well as </w:t>
      </w:r>
      <w:r w:rsidRPr="0028033B">
        <w:rPr>
          <w:rFonts w:cs="Calibri"/>
          <w:i/>
        </w:rPr>
        <w:t>Non-dairy</w:t>
      </w:r>
      <w:r w:rsidRPr="0028033B">
        <w:rPr>
          <w:rFonts w:cs="Calibri"/>
        </w:rPr>
        <w:t xml:space="preserve"> </w:t>
      </w:r>
      <w:r w:rsidRPr="0028033B">
        <w:rPr>
          <w:rFonts w:cs="Calibri"/>
          <w:i/>
        </w:rPr>
        <w:t xml:space="preserve">cattle </w:t>
      </w:r>
      <w:r w:rsidRPr="0028033B">
        <w:rPr>
          <w:rFonts w:cs="Calibri"/>
          <w:iCs/>
        </w:rPr>
        <w:t xml:space="preserve">(by 241.1 </w:t>
      </w:r>
      <w:r w:rsidRPr="0028033B">
        <w:rPr>
          <w:rFonts w:cs="Calibri"/>
        </w:rPr>
        <w:t>kt CO</w:t>
      </w:r>
      <w:r w:rsidRPr="0028033B">
        <w:rPr>
          <w:rFonts w:cs="Calibri"/>
          <w:vertAlign w:val="subscript"/>
        </w:rPr>
        <w:t>2</w:t>
      </w:r>
      <w:r w:rsidRPr="0028033B">
        <w:rPr>
          <w:rFonts w:cs="Calibri"/>
        </w:rPr>
        <w:t>e</w:t>
      </w:r>
      <w:r w:rsidRPr="0028033B">
        <w:rPr>
          <w:rFonts w:cs="Calibri"/>
          <w:iCs/>
        </w:rPr>
        <w:t xml:space="preserve"> or 3.3</w:t>
      </w:r>
      <w:r w:rsidRPr="0028033B">
        <w:rPr>
          <w:rFonts w:cs="Calibri"/>
          <w:i/>
        </w:rPr>
        <w:t xml:space="preserve"> </w:t>
      </w:r>
      <w:r w:rsidRPr="0028033B">
        <w:rPr>
          <w:rFonts w:cs="Calibri"/>
          <w:iCs/>
        </w:rPr>
        <w:t>percent</w:t>
      </w:r>
      <w:r w:rsidRPr="0028033B">
        <w:rPr>
          <w:rFonts w:cs="Calibri"/>
          <w:i/>
        </w:rPr>
        <w:t xml:space="preserve"> </w:t>
      </w:r>
      <w:r w:rsidRPr="0028033B">
        <w:rPr>
          <w:rFonts w:cs="Calibri"/>
          <w:iCs/>
        </w:rPr>
        <w:t xml:space="preserve">decrease) </w:t>
      </w:r>
      <w:r w:rsidRPr="0028033B">
        <w:rPr>
          <w:rFonts w:cs="Calibri"/>
        </w:rPr>
        <w:t xml:space="preserve">and minor livestock species, such as </w:t>
      </w:r>
      <w:r w:rsidRPr="0028033B">
        <w:rPr>
          <w:rFonts w:cs="Calibri"/>
          <w:i/>
        </w:rPr>
        <w:t>Goats</w:t>
      </w:r>
      <w:r w:rsidRPr="0028033B">
        <w:rPr>
          <w:rFonts w:cs="Calibri"/>
        </w:rPr>
        <w:t xml:space="preserve">, </w:t>
      </w:r>
      <w:r w:rsidRPr="0028033B">
        <w:rPr>
          <w:rFonts w:cs="Calibri"/>
          <w:i/>
        </w:rPr>
        <w:t>Horses</w:t>
      </w:r>
      <w:r w:rsidRPr="0028033B">
        <w:rPr>
          <w:rFonts w:cs="Calibri"/>
        </w:rPr>
        <w:t xml:space="preserve"> and </w:t>
      </w:r>
      <w:r w:rsidRPr="0028033B">
        <w:rPr>
          <w:rFonts w:cs="Calibri"/>
          <w:i/>
        </w:rPr>
        <w:t xml:space="preserve">Swine </w:t>
      </w:r>
      <w:r w:rsidRPr="0028033B">
        <w:rPr>
          <w:rFonts w:cs="Calibri"/>
        </w:rPr>
        <w:t>(by 230.2 kt CO</w:t>
      </w:r>
      <w:r w:rsidRPr="0028033B">
        <w:rPr>
          <w:rFonts w:cs="Calibri"/>
          <w:vertAlign w:val="subscript"/>
        </w:rPr>
        <w:t>2</w:t>
      </w:r>
      <w:r w:rsidRPr="0028033B">
        <w:rPr>
          <w:rFonts w:cs="Calibri"/>
        </w:rPr>
        <w:t xml:space="preserve">e or 82.0 percent decrease). </w:t>
      </w:r>
    </w:p>
    <w:p w14:paraId="40AE90F3" w14:textId="77777777" w:rsidR="00E46639" w:rsidRPr="0028033B" w:rsidRDefault="00E46639" w:rsidP="00E46639">
      <w:pPr>
        <w:pStyle w:val="BodyText"/>
        <w:rPr>
          <w:rFonts w:cs="Calibri"/>
        </w:rPr>
      </w:pPr>
      <w:r w:rsidRPr="0028033B">
        <w:rPr>
          <w:rFonts w:cs="Calibri"/>
        </w:rPr>
        <w:t xml:space="preserve">Between 2005 and 2024, emissions from </w:t>
      </w:r>
      <w:r w:rsidRPr="0028033B">
        <w:rPr>
          <w:rFonts w:cs="Calibri"/>
          <w:i/>
        </w:rPr>
        <w:t xml:space="preserve">Enteric fermentation </w:t>
      </w:r>
      <w:r w:rsidRPr="0028033B">
        <w:rPr>
          <w:rFonts w:cs="Calibri"/>
        </w:rPr>
        <w:t>decreased 8.2 percent (by 2,817.0 kt CO</w:t>
      </w:r>
      <w:r w:rsidRPr="0028033B">
        <w:rPr>
          <w:rFonts w:cs="Calibri"/>
          <w:vertAlign w:val="subscript"/>
        </w:rPr>
        <w:t>2</w:t>
      </w:r>
      <w:r w:rsidRPr="0028033B">
        <w:rPr>
          <w:rFonts w:cs="Calibri"/>
        </w:rPr>
        <w:t>e). An increase in CH</w:t>
      </w:r>
      <w:r w:rsidRPr="0028033B">
        <w:rPr>
          <w:rFonts w:cs="Calibri"/>
          <w:vertAlign w:val="subscript"/>
        </w:rPr>
        <w:t>4</w:t>
      </w:r>
      <w:r w:rsidRPr="0028033B">
        <w:rPr>
          <w:rFonts w:cs="Calibri"/>
        </w:rPr>
        <w:t xml:space="preserve"> emissions from </w:t>
      </w:r>
      <w:r w:rsidRPr="0028033B">
        <w:rPr>
          <w:rFonts w:cs="Calibri"/>
          <w:i/>
        </w:rPr>
        <w:t xml:space="preserve">Dairy cattle </w:t>
      </w:r>
      <w:r w:rsidRPr="0028033B">
        <w:rPr>
          <w:rFonts w:cs="Calibri"/>
        </w:rPr>
        <w:t xml:space="preserve">(34.4 percent increase in </w:t>
      </w:r>
      <w:r w:rsidRPr="0028033B">
        <w:rPr>
          <w:rFonts w:cs="Calibri"/>
          <w:i/>
        </w:rPr>
        <w:t xml:space="preserve">Enteric fermentation </w:t>
      </w:r>
      <w:r w:rsidRPr="0028033B">
        <w:rPr>
          <w:rFonts w:cs="Calibri"/>
        </w:rPr>
        <w:t xml:space="preserve">emissions between 2005 and 2024) has been partially offset by decreases in </w:t>
      </w:r>
      <w:r w:rsidRPr="0028033B">
        <w:rPr>
          <w:rFonts w:cs="Calibri"/>
          <w:i/>
        </w:rPr>
        <w:t xml:space="preserve">Enteric fermentation </w:t>
      </w:r>
      <w:r w:rsidRPr="0028033B">
        <w:rPr>
          <w:rFonts w:cs="Calibri"/>
        </w:rPr>
        <w:t xml:space="preserve">emissions from </w:t>
      </w:r>
      <w:r w:rsidRPr="0028033B">
        <w:rPr>
          <w:rFonts w:cs="Calibri"/>
          <w:i/>
        </w:rPr>
        <w:t>Sheep</w:t>
      </w:r>
      <w:r w:rsidRPr="0028033B">
        <w:rPr>
          <w:rFonts w:cs="Calibri"/>
        </w:rPr>
        <w:t xml:space="preserve"> (38.4 percent decrease), as well as </w:t>
      </w:r>
      <w:r w:rsidRPr="0028033B">
        <w:rPr>
          <w:rFonts w:cs="Calibri"/>
          <w:i/>
        </w:rPr>
        <w:t>Non-dairy</w:t>
      </w:r>
      <w:r w:rsidRPr="0028033B">
        <w:rPr>
          <w:rFonts w:cs="Calibri"/>
        </w:rPr>
        <w:t xml:space="preserve"> </w:t>
      </w:r>
      <w:r w:rsidRPr="0028033B">
        <w:rPr>
          <w:rFonts w:cs="Calibri"/>
          <w:i/>
        </w:rPr>
        <w:t xml:space="preserve">cattle </w:t>
      </w:r>
      <w:r w:rsidRPr="0028033B">
        <w:rPr>
          <w:rFonts w:cs="Calibri"/>
        </w:rPr>
        <w:t>(14.7</w:t>
      </w:r>
      <w:r w:rsidRPr="0028033B">
        <w:rPr>
          <w:rFonts w:cs="Calibri"/>
          <w:i/>
        </w:rPr>
        <w:t xml:space="preserve"> </w:t>
      </w:r>
      <w:r w:rsidRPr="0028033B">
        <w:rPr>
          <w:rFonts w:cs="Calibri"/>
        </w:rPr>
        <w:t>percent</w:t>
      </w:r>
      <w:r w:rsidRPr="0028033B">
        <w:rPr>
          <w:rFonts w:cs="Calibri"/>
          <w:i/>
        </w:rPr>
        <w:t xml:space="preserve"> </w:t>
      </w:r>
      <w:r w:rsidRPr="0028033B">
        <w:rPr>
          <w:rFonts w:cs="Calibri"/>
        </w:rPr>
        <w:t>decrease</w:t>
      </w:r>
      <w:r w:rsidRPr="0028033B">
        <w:rPr>
          <w:rFonts w:cs="Calibri"/>
          <w:iCs/>
        </w:rPr>
        <w:t>),</w:t>
      </w:r>
      <w:r w:rsidRPr="0028033B">
        <w:rPr>
          <w:rFonts w:cs="Calibri"/>
        </w:rPr>
        <w:t xml:space="preserve"> and minor livestock species, such as </w:t>
      </w:r>
      <w:r w:rsidRPr="0028033B">
        <w:rPr>
          <w:rFonts w:cs="Calibri"/>
          <w:i/>
        </w:rPr>
        <w:t>Goats</w:t>
      </w:r>
      <w:r w:rsidRPr="0028033B">
        <w:rPr>
          <w:rFonts w:cs="Calibri"/>
        </w:rPr>
        <w:t xml:space="preserve">, </w:t>
      </w:r>
      <w:r w:rsidRPr="0028033B">
        <w:rPr>
          <w:rFonts w:cs="Calibri"/>
          <w:i/>
        </w:rPr>
        <w:t>Horses</w:t>
      </w:r>
      <w:r w:rsidRPr="0028033B">
        <w:rPr>
          <w:rFonts w:cs="Calibri"/>
        </w:rPr>
        <w:t xml:space="preserve"> and </w:t>
      </w:r>
      <w:r w:rsidRPr="0028033B">
        <w:rPr>
          <w:rFonts w:cs="Calibri"/>
          <w:i/>
        </w:rPr>
        <w:t xml:space="preserve">Swine </w:t>
      </w:r>
      <w:r w:rsidRPr="0028033B">
        <w:rPr>
          <w:rFonts w:cs="Calibri"/>
        </w:rPr>
        <w:t>(38.5 percent decrease).</w:t>
      </w:r>
    </w:p>
    <w:p w14:paraId="03FB9997" w14:textId="77777777" w:rsidR="00E46639" w:rsidRPr="0028033B" w:rsidRDefault="00E46639" w:rsidP="00E46639">
      <w:pPr>
        <w:pStyle w:val="Table"/>
        <w:tabs>
          <w:tab w:val="left" w:pos="709"/>
        </w:tabs>
        <w:rPr>
          <w:rFonts w:cs="Calibri"/>
        </w:rPr>
      </w:pPr>
      <w:bookmarkStart w:id="751" w:name="_Toc441830868"/>
      <w:bookmarkStart w:id="752" w:name="_Toc451176082"/>
      <w:bookmarkStart w:id="753" w:name="_Toc481751508"/>
      <w:bookmarkStart w:id="754" w:name="_Toc507158598"/>
      <w:bookmarkStart w:id="755" w:name="_Toc511116732"/>
      <w:bookmarkStart w:id="756" w:name="_Toc5269472"/>
      <w:bookmarkStart w:id="757" w:name="_Toc32570913"/>
      <w:bookmarkStart w:id="758" w:name="_Toc36224548"/>
      <w:bookmarkStart w:id="759" w:name="_Toc68786434"/>
      <w:bookmarkStart w:id="760" w:name="_Toc95574069"/>
      <w:bookmarkStart w:id="761" w:name="_Toc127458252"/>
      <w:bookmarkStart w:id="762" w:name="_Toc131591348"/>
      <w:bookmarkStart w:id="763" w:name="_Toc160114438"/>
      <w:bookmarkStart w:id="764" w:name="_Toc164153834"/>
      <w:bookmarkStart w:id="765" w:name="_Toc222407618"/>
      <w:bookmarkStart w:id="766" w:name="_Toc226668993"/>
      <w:bookmarkStart w:id="767" w:name="_Toc139253918"/>
      <w:r w:rsidRPr="0028033B">
        <w:rPr>
          <w:rFonts w:cs="Calibri"/>
        </w:rPr>
        <w:t>Table 5.2.1</w:t>
      </w:r>
      <w:r w:rsidRPr="0028033B">
        <w:rPr>
          <w:rFonts w:cs="Calibri"/>
        </w:rPr>
        <w:tab/>
        <w:t>Trends and relative contribution of enteric fermentation (methane expressed in kt CO</w:t>
      </w:r>
      <w:r w:rsidRPr="0028033B">
        <w:rPr>
          <w:rFonts w:cs="Calibri"/>
          <w:vertAlign w:val="subscript"/>
        </w:rPr>
        <w:t>2</w:t>
      </w:r>
      <w:r w:rsidRPr="0028033B">
        <w:rPr>
          <w:rFonts w:cs="Calibri"/>
        </w:rPr>
        <w:t xml:space="preserve">e) from livestock categories between 1990 and </w:t>
      </w:r>
      <w:bookmarkEnd w:id="751"/>
      <w:bookmarkEnd w:id="752"/>
      <w:bookmarkEnd w:id="753"/>
      <w:bookmarkEnd w:id="754"/>
      <w:bookmarkEnd w:id="755"/>
      <w:bookmarkEnd w:id="756"/>
      <w:bookmarkEnd w:id="757"/>
      <w:bookmarkEnd w:id="758"/>
      <w:bookmarkEnd w:id="759"/>
      <w:r w:rsidRPr="0028033B">
        <w:rPr>
          <w:rFonts w:cs="Calibri"/>
        </w:rPr>
        <w:t>202</w:t>
      </w:r>
      <w:bookmarkEnd w:id="760"/>
      <w:bookmarkEnd w:id="761"/>
      <w:bookmarkEnd w:id="762"/>
      <w:bookmarkEnd w:id="763"/>
      <w:bookmarkEnd w:id="764"/>
      <w:r w:rsidRPr="0028033B">
        <w:rPr>
          <w:rFonts w:cs="Calibri"/>
        </w:rPr>
        <w:t>4</w:t>
      </w:r>
      <w:bookmarkEnd w:id="765"/>
      <w:bookmarkEnd w:id="766"/>
    </w:p>
    <w:tbl>
      <w:tblPr>
        <w:tblStyle w:val="TableGrid"/>
        <w:tblW w:w="8618"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shd w:val="clear" w:color="auto" w:fill="1C556C" w:themeFill="accent1"/>
        <w:tblLayout w:type="fixed"/>
        <w:tblCellMar>
          <w:left w:w="57" w:type="dxa"/>
          <w:right w:w="57" w:type="dxa"/>
        </w:tblCellMar>
        <w:tblLook w:val="04A0" w:firstRow="1" w:lastRow="0" w:firstColumn="1" w:lastColumn="0" w:noHBand="0" w:noVBand="1"/>
      </w:tblPr>
      <w:tblGrid>
        <w:gridCol w:w="807"/>
        <w:gridCol w:w="695"/>
        <w:gridCol w:w="694"/>
        <w:gridCol w:w="695"/>
        <w:gridCol w:w="584"/>
        <w:gridCol w:w="694"/>
        <w:gridCol w:w="584"/>
        <w:gridCol w:w="694"/>
        <w:gridCol w:w="584"/>
        <w:gridCol w:w="584"/>
        <w:gridCol w:w="584"/>
        <w:gridCol w:w="473"/>
        <w:gridCol w:w="473"/>
        <w:gridCol w:w="473"/>
      </w:tblGrid>
      <w:tr w:rsidR="00E46639" w:rsidRPr="0028033B" w14:paraId="14C0E542" w14:textId="77777777" w:rsidTr="00F16E23">
        <w:tc>
          <w:tcPr>
            <w:tcW w:w="993" w:type="dxa"/>
            <w:vMerge w:val="restart"/>
            <w:shd w:val="clear" w:color="auto" w:fill="1B556B" w:themeFill="text2"/>
            <w:vAlign w:val="bottom"/>
          </w:tcPr>
          <w:p w14:paraId="663FEB21" w14:textId="77777777" w:rsidR="00E46639" w:rsidRPr="0028033B" w:rsidRDefault="00E46639" w:rsidP="00F16E23">
            <w:pPr>
              <w:pStyle w:val="TableTextBold"/>
              <w:rPr>
                <w:rFonts w:cs="Calibri"/>
                <w:noProof w:val="0"/>
                <w:color w:val="FFFFFF" w:themeColor="background1"/>
                <w:szCs w:val="16"/>
              </w:rPr>
            </w:pPr>
            <w:r w:rsidRPr="0028033B">
              <w:rPr>
                <w:rFonts w:cs="Calibri"/>
                <w:noProof w:val="0"/>
                <w:color w:val="FFFFFF" w:themeColor="background1"/>
                <w:szCs w:val="16"/>
              </w:rPr>
              <w:t>Livestock category</w:t>
            </w:r>
          </w:p>
        </w:tc>
        <w:tc>
          <w:tcPr>
            <w:tcW w:w="2552" w:type="dxa"/>
            <w:gridSpan w:val="3"/>
            <w:shd w:val="clear" w:color="auto" w:fill="1B556B" w:themeFill="text2"/>
            <w:vAlign w:val="bottom"/>
          </w:tcPr>
          <w:p w14:paraId="3D2C3073" w14:textId="77777777" w:rsidR="00E46639" w:rsidRPr="0028033B" w:rsidRDefault="00E46639" w:rsidP="00F16E23">
            <w:pPr>
              <w:pStyle w:val="TableTextBold"/>
              <w:spacing w:after="40"/>
              <w:jc w:val="center"/>
              <w:rPr>
                <w:rFonts w:cs="Calibri"/>
                <w:noProof w:val="0"/>
                <w:color w:val="FFFFFF" w:themeColor="background1"/>
                <w:szCs w:val="16"/>
              </w:rPr>
            </w:pPr>
            <w:r w:rsidRPr="0028033B">
              <w:rPr>
                <w:rFonts w:cs="Calibri"/>
                <w:noProof w:val="0"/>
                <w:color w:val="FFFFFF" w:themeColor="background1"/>
                <w:szCs w:val="16"/>
              </w:rPr>
              <w:t>Emissions (kt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1559" w:type="dxa"/>
            <w:gridSpan w:val="2"/>
            <w:shd w:val="clear" w:color="auto" w:fill="1B556B" w:themeFill="text2"/>
            <w:vAlign w:val="bottom"/>
          </w:tcPr>
          <w:p w14:paraId="634B6EFC" w14:textId="77777777" w:rsidR="00E46639" w:rsidRPr="0028033B" w:rsidRDefault="00E46639" w:rsidP="00F16E23">
            <w:pPr>
              <w:pStyle w:val="TableTextBold"/>
              <w:spacing w:after="40"/>
              <w:jc w:val="center"/>
              <w:rPr>
                <w:rFonts w:cs="Calibri"/>
                <w:noProof w:val="0"/>
                <w:color w:val="FFFFFF" w:themeColor="background1"/>
                <w:szCs w:val="16"/>
              </w:rPr>
            </w:pPr>
            <w:r w:rsidRPr="0028033B">
              <w:rPr>
                <w:rFonts w:cs="Calibri"/>
                <w:noProof w:val="0"/>
                <w:color w:val="FFFFFF" w:themeColor="background1"/>
                <w:szCs w:val="16"/>
              </w:rPr>
              <w:t>Change from 1990–2024</w:t>
            </w:r>
          </w:p>
        </w:tc>
        <w:tc>
          <w:tcPr>
            <w:tcW w:w="1559" w:type="dxa"/>
            <w:gridSpan w:val="2"/>
            <w:shd w:val="clear" w:color="auto" w:fill="1B556B" w:themeFill="text2"/>
            <w:vAlign w:val="bottom"/>
          </w:tcPr>
          <w:p w14:paraId="5FEDB720" w14:textId="77777777" w:rsidR="00E46639" w:rsidRPr="0028033B" w:rsidRDefault="00E46639" w:rsidP="00F16E23">
            <w:pPr>
              <w:pStyle w:val="TableTextBold"/>
              <w:spacing w:after="40"/>
              <w:jc w:val="center"/>
              <w:rPr>
                <w:rFonts w:cs="Calibri"/>
                <w:noProof w:val="0"/>
                <w:color w:val="FFFFFF" w:themeColor="background1"/>
                <w:szCs w:val="16"/>
              </w:rPr>
            </w:pPr>
            <w:r w:rsidRPr="0028033B">
              <w:rPr>
                <w:rFonts w:cs="Calibri"/>
                <w:noProof w:val="0"/>
                <w:color w:val="FFFFFF" w:themeColor="background1"/>
                <w:szCs w:val="16"/>
              </w:rPr>
              <w:t>Change from 2005–2024</w:t>
            </w:r>
          </w:p>
        </w:tc>
        <w:tc>
          <w:tcPr>
            <w:tcW w:w="2127" w:type="dxa"/>
            <w:gridSpan w:val="3"/>
            <w:shd w:val="clear" w:color="auto" w:fill="1B556B" w:themeFill="text2"/>
            <w:vAlign w:val="bottom"/>
          </w:tcPr>
          <w:p w14:paraId="3D9730F3" w14:textId="77777777" w:rsidR="00E46639" w:rsidRPr="0028033B" w:rsidRDefault="00E46639" w:rsidP="00F16E23">
            <w:pPr>
              <w:pStyle w:val="TableTextBold"/>
              <w:spacing w:after="40"/>
              <w:jc w:val="center"/>
              <w:rPr>
                <w:rFonts w:cs="Calibri"/>
                <w:noProof w:val="0"/>
                <w:color w:val="FFFFFF" w:themeColor="background1"/>
                <w:szCs w:val="16"/>
              </w:rPr>
            </w:pPr>
            <w:r w:rsidRPr="0028033B">
              <w:rPr>
                <w:rFonts w:cs="Calibri"/>
                <w:noProof w:val="0"/>
                <w:color w:val="FFFFFF" w:themeColor="background1"/>
                <w:szCs w:val="16"/>
              </w:rPr>
              <w:t xml:space="preserve">Share of </w:t>
            </w:r>
            <w:r w:rsidRPr="0028033B">
              <w:rPr>
                <w:rFonts w:cs="Calibri"/>
                <w:i/>
                <w:iCs/>
                <w:noProof w:val="0"/>
                <w:color w:val="FFFFFF" w:themeColor="background1"/>
                <w:szCs w:val="16"/>
              </w:rPr>
              <w:t>Enteric fermentation</w:t>
            </w:r>
            <w:r w:rsidRPr="0028033B">
              <w:rPr>
                <w:rFonts w:cs="Calibri"/>
                <w:noProof w:val="0"/>
                <w:color w:val="FFFFFF" w:themeColor="background1"/>
                <w:szCs w:val="16"/>
              </w:rPr>
              <w:t xml:space="preserve"> category (%)</w:t>
            </w:r>
          </w:p>
        </w:tc>
        <w:tc>
          <w:tcPr>
            <w:tcW w:w="1701" w:type="dxa"/>
            <w:gridSpan w:val="3"/>
            <w:shd w:val="clear" w:color="auto" w:fill="1B556B" w:themeFill="text2"/>
            <w:vAlign w:val="bottom"/>
          </w:tcPr>
          <w:p w14:paraId="6C3DAA73" w14:textId="77777777" w:rsidR="00E46639" w:rsidRPr="0028033B" w:rsidRDefault="00E46639" w:rsidP="00F16E23">
            <w:pPr>
              <w:pStyle w:val="TableTextBold"/>
              <w:spacing w:after="40"/>
              <w:jc w:val="center"/>
              <w:rPr>
                <w:rFonts w:cs="Calibri"/>
                <w:noProof w:val="0"/>
                <w:color w:val="FFFFFF" w:themeColor="background1"/>
                <w:szCs w:val="16"/>
              </w:rPr>
            </w:pPr>
            <w:r w:rsidRPr="0028033B">
              <w:rPr>
                <w:rFonts w:cs="Calibri"/>
                <w:noProof w:val="0"/>
                <w:color w:val="FFFFFF" w:themeColor="background1"/>
                <w:szCs w:val="16"/>
              </w:rPr>
              <w:t>Share of total Agriculture sector (%)</w:t>
            </w:r>
          </w:p>
        </w:tc>
      </w:tr>
      <w:tr w:rsidR="00E46639" w:rsidRPr="0028033B" w14:paraId="40DB41B9" w14:textId="77777777" w:rsidTr="00F16E23">
        <w:tc>
          <w:tcPr>
            <w:tcW w:w="993" w:type="dxa"/>
            <w:vMerge/>
            <w:shd w:val="clear" w:color="auto" w:fill="1B556B" w:themeFill="text2"/>
          </w:tcPr>
          <w:p w14:paraId="4727C29C" w14:textId="77777777" w:rsidR="00E46639" w:rsidRPr="0028033B" w:rsidRDefault="00E46639" w:rsidP="00F16E23">
            <w:pPr>
              <w:pStyle w:val="TableTextBold"/>
              <w:rPr>
                <w:rFonts w:cs="Calibri"/>
                <w:noProof w:val="0"/>
                <w:color w:val="FFFFFF" w:themeColor="background1"/>
                <w:szCs w:val="16"/>
              </w:rPr>
            </w:pPr>
          </w:p>
        </w:tc>
        <w:tc>
          <w:tcPr>
            <w:tcW w:w="851" w:type="dxa"/>
            <w:shd w:val="clear" w:color="auto" w:fill="1B556B" w:themeFill="text2"/>
          </w:tcPr>
          <w:p w14:paraId="5B61A5E6"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1990</w:t>
            </w:r>
          </w:p>
        </w:tc>
        <w:tc>
          <w:tcPr>
            <w:tcW w:w="850" w:type="dxa"/>
            <w:shd w:val="clear" w:color="auto" w:fill="1B556B" w:themeFill="text2"/>
          </w:tcPr>
          <w:p w14:paraId="4C26507B"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2005</w:t>
            </w:r>
          </w:p>
        </w:tc>
        <w:tc>
          <w:tcPr>
            <w:tcW w:w="851" w:type="dxa"/>
            <w:shd w:val="clear" w:color="auto" w:fill="1B556B" w:themeFill="text2"/>
          </w:tcPr>
          <w:p w14:paraId="74EA560C"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2024</w:t>
            </w:r>
          </w:p>
        </w:tc>
        <w:tc>
          <w:tcPr>
            <w:tcW w:w="709" w:type="dxa"/>
            <w:shd w:val="clear" w:color="auto" w:fill="1B556B" w:themeFill="text2"/>
          </w:tcPr>
          <w:p w14:paraId="5CF4029E"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w:t>
            </w:r>
          </w:p>
        </w:tc>
        <w:tc>
          <w:tcPr>
            <w:tcW w:w="850" w:type="dxa"/>
            <w:shd w:val="clear" w:color="auto" w:fill="1B556B" w:themeFill="text2"/>
          </w:tcPr>
          <w:p w14:paraId="181555C5"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709" w:type="dxa"/>
            <w:shd w:val="clear" w:color="auto" w:fill="1B556B" w:themeFill="text2"/>
          </w:tcPr>
          <w:p w14:paraId="05882F67"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w:t>
            </w:r>
          </w:p>
        </w:tc>
        <w:tc>
          <w:tcPr>
            <w:tcW w:w="850" w:type="dxa"/>
            <w:shd w:val="clear" w:color="auto" w:fill="1B556B" w:themeFill="text2"/>
          </w:tcPr>
          <w:p w14:paraId="548F24CF"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709" w:type="dxa"/>
            <w:shd w:val="clear" w:color="auto" w:fill="1B556B" w:themeFill="text2"/>
          </w:tcPr>
          <w:p w14:paraId="1284015A"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1990</w:t>
            </w:r>
          </w:p>
        </w:tc>
        <w:tc>
          <w:tcPr>
            <w:tcW w:w="709" w:type="dxa"/>
            <w:shd w:val="clear" w:color="auto" w:fill="1B556B" w:themeFill="text2"/>
          </w:tcPr>
          <w:p w14:paraId="6D349F9A"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2005</w:t>
            </w:r>
          </w:p>
        </w:tc>
        <w:tc>
          <w:tcPr>
            <w:tcW w:w="709" w:type="dxa"/>
            <w:shd w:val="clear" w:color="auto" w:fill="1B556B" w:themeFill="text2"/>
          </w:tcPr>
          <w:p w14:paraId="16DBC2D8"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2024</w:t>
            </w:r>
          </w:p>
        </w:tc>
        <w:tc>
          <w:tcPr>
            <w:tcW w:w="567" w:type="dxa"/>
            <w:shd w:val="clear" w:color="auto" w:fill="1B556B" w:themeFill="text2"/>
          </w:tcPr>
          <w:p w14:paraId="07CEA187"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1990</w:t>
            </w:r>
          </w:p>
        </w:tc>
        <w:tc>
          <w:tcPr>
            <w:tcW w:w="567" w:type="dxa"/>
            <w:shd w:val="clear" w:color="auto" w:fill="1B556B" w:themeFill="text2"/>
          </w:tcPr>
          <w:p w14:paraId="1D176F58"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2005</w:t>
            </w:r>
          </w:p>
        </w:tc>
        <w:tc>
          <w:tcPr>
            <w:tcW w:w="567" w:type="dxa"/>
            <w:shd w:val="clear" w:color="auto" w:fill="1B556B" w:themeFill="text2"/>
          </w:tcPr>
          <w:p w14:paraId="27173865" w14:textId="77777777" w:rsidR="00E46639" w:rsidRPr="0028033B" w:rsidRDefault="00E46639" w:rsidP="00F16E23">
            <w:pPr>
              <w:pStyle w:val="TableTextBold"/>
              <w:spacing w:before="0"/>
              <w:jc w:val="right"/>
              <w:rPr>
                <w:rFonts w:cs="Calibri"/>
                <w:noProof w:val="0"/>
                <w:color w:val="FFFFFF" w:themeColor="background1"/>
                <w:szCs w:val="16"/>
              </w:rPr>
            </w:pPr>
            <w:r w:rsidRPr="0028033B">
              <w:rPr>
                <w:rFonts w:cs="Calibri"/>
                <w:noProof w:val="0"/>
                <w:color w:val="FFFFFF" w:themeColor="background1"/>
                <w:szCs w:val="16"/>
              </w:rPr>
              <w:t>2024</w:t>
            </w:r>
          </w:p>
        </w:tc>
      </w:tr>
      <w:tr w:rsidR="00E46639" w:rsidRPr="0028033B" w14:paraId="7BB1E616" w14:textId="77777777" w:rsidTr="00F16E23">
        <w:tc>
          <w:tcPr>
            <w:tcW w:w="993" w:type="dxa"/>
            <w:shd w:val="clear" w:color="auto" w:fill="FFFFFF" w:themeFill="background1"/>
          </w:tcPr>
          <w:p w14:paraId="3675378A"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Dairy cattle</w:t>
            </w:r>
          </w:p>
        </w:tc>
        <w:tc>
          <w:tcPr>
            <w:tcW w:w="851" w:type="dxa"/>
            <w:shd w:val="clear" w:color="auto" w:fill="FFFFFF" w:themeFill="background1"/>
          </w:tcPr>
          <w:p w14:paraId="49E0811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6,960.4</w:t>
            </w:r>
          </w:p>
        </w:tc>
        <w:tc>
          <w:tcPr>
            <w:tcW w:w="850" w:type="dxa"/>
            <w:shd w:val="clear" w:color="auto" w:fill="FFFFFF" w:themeFill="background1"/>
          </w:tcPr>
          <w:p w14:paraId="44C57F5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11,728.5</w:t>
            </w:r>
          </w:p>
        </w:tc>
        <w:tc>
          <w:tcPr>
            <w:tcW w:w="851" w:type="dxa"/>
            <w:shd w:val="clear" w:color="auto" w:fill="FFFFFF" w:themeFill="background1"/>
          </w:tcPr>
          <w:p w14:paraId="67B3E01C"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15,763.6</w:t>
            </w:r>
          </w:p>
        </w:tc>
        <w:tc>
          <w:tcPr>
            <w:tcW w:w="709" w:type="dxa"/>
            <w:shd w:val="clear" w:color="auto" w:fill="FFFFFF" w:themeFill="background1"/>
          </w:tcPr>
          <w:p w14:paraId="7AA97D64"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126.5</w:t>
            </w:r>
          </w:p>
        </w:tc>
        <w:tc>
          <w:tcPr>
            <w:tcW w:w="850" w:type="dxa"/>
            <w:shd w:val="clear" w:color="auto" w:fill="FFFFFF" w:themeFill="background1"/>
          </w:tcPr>
          <w:p w14:paraId="533C62C2"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8,803.1</w:t>
            </w:r>
          </w:p>
        </w:tc>
        <w:tc>
          <w:tcPr>
            <w:tcW w:w="709" w:type="dxa"/>
            <w:shd w:val="clear" w:color="auto" w:fill="FFFFFF" w:themeFill="background1"/>
          </w:tcPr>
          <w:p w14:paraId="4EA58903"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34.4</w:t>
            </w:r>
          </w:p>
        </w:tc>
        <w:tc>
          <w:tcPr>
            <w:tcW w:w="850" w:type="dxa"/>
            <w:shd w:val="clear" w:color="auto" w:fill="FFFFFF" w:themeFill="background1"/>
          </w:tcPr>
          <w:p w14:paraId="3F861E7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4,035.1</w:t>
            </w:r>
          </w:p>
        </w:tc>
        <w:tc>
          <w:tcPr>
            <w:tcW w:w="709" w:type="dxa"/>
            <w:shd w:val="clear" w:color="auto" w:fill="FFFFFF" w:themeFill="background1"/>
          </w:tcPr>
          <w:p w14:paraId="174AB38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22.4</w:t>
            </w:r>
          </w:p>
        </w:tc>
        <w:tc>
          <w:tcPr>
            <w:tcW w:w="709" w:type="dxa"/>
            <w:shd w:val="clear" w:color="auto" w:fill="FFFFFF" w:themeFill="background1"/>
          </w:tcPr>
          <w:p w14:paraId="27D66A7C"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34.1</w:t>
            </w:r>
          </w:p>
        </w:tc>
        <w:tc>
          <w:tcPr>
            <w:tcW w:w="709" w:type="dxa"/>
            <w:shd w:val="clear" w:color="auto" w:fill="FFFFFF" w:themeFill="background1"/>
          </w:tcPr>
          <w:p w14:paraId="67BFD71C"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49.9</w:t>
            </w:r>
          </w:p>
        </w:tc>
        <w:tc>
          <w:tcPr>
            <w:tcW w:w="567" w:type="dxa"/>
            <w:shd w:val="clear" w:color="auto" w:fill="FFFFFF" w:themeFill="background1"/>
          </w:tcPr>
          <w:p w14:paraId="45AC32A0"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18.9</w:t>
            </w:r>
          </w:p>
        </w:tc>
        <w:tc>
          <w:tcPr>
            <w:tcW w:w="567" w:type="dxa"/>
            <w:shd w:val="clear" w:color="auto" w:fill="FFFFFF" w:themeFill="background1"/>
          </w:tcPr>
          <w:p w14:paraId="7A1EFBB7"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27.3</w:t>
            </w:r>
          </w:p>
        </w:tc>
        <w:tc>
          <w:tcPr>
            <w:tcW w:w="567" w:type="dxa"/>
            <w:shd w:val="clear" w:color="auto" w:fill="FFFFFF" w:themeFill="background1"/>
          </w:tcPr>
          <w:p w14:paraId="11AB824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39.3</w:t>
            </w:r>
          </w:p>
        </w:tc>
      </w:tr>
      <w:tr w:rsidR="00E46639" w:rsidRPr="0028033B" w14:paraId="51642585" w14:textId="77777777" w:rsidTr="00F16E23">
        <w:tc>
          <w:tcPr>
            <w:tcW w:w="993" w:type="dxa"/>
            <w:shd w:val="clear" w:color="auto" w:fill="FFFFFF" w:themeFill="background1"/>
          </w:tcPr>
          <w:p w14:paraId="72D4C357"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Non-dairy cattle</w:t>
            </w:r>
          </w:p>
        </w:tc>
        <w:tc>
          <w:tcPr>
            <w:tcW w:w="851" w:type="dxa"/>
            <w:shd w:val="clear" w:color="auto" w:fill="FFFFFF" w:themeFill="background1"/>
          </w:tcPr>
          <w:p w14:paraId="6756C96E"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7,400.7</w:t>
            </w:r>
          </w:p>
        </w:tc>
        <w:tc>
          <w:tcPr>
            <w:tcW w:w="850" w:type="dxa"/>
            <w:shd w:val="clear" w:color="auto" w:fill="FFFFFF" w:themeFill="background1"/>
          </w:tcPr>
          <w:p w14:paraId="077A5F4D" w14:textId="77777777" w:rsidR="00E46639" w:rsidRPr="0028033B" w:rsidRDefault="00E46639" w:rsidP="00F16E23">
            <w:pPr>
              <w:pStyle w:val="TableText"/>
              <w:spacing w:before="40" w:after="40"/>
              <w:jc w:val="right"/>
              <w:rPr>
                <w:rFonts w:cs="Calibri"/>
                <w:color w:val="000000" w:themeColor="text1"/>
                <w:szCs w:val="16"/>
              </w:rPr>
            </w:pPr>
            <w:r>
              <w:rPr>
                <w:rFonts w:cs="Calibri"/>
                <w:color w:val="000000" w:themeColor="text1"/>
                <w:szCs w:val="16"/>
              </w:rPr>
              <w:t xml:space="preserve"> </w:t>
            </w:r>
            <w:r w:rsidRPr="0028033B">
              <w:rPr>
                <w:rFonts w:cs="Calibri"/>
                <w:color w:val="000000" w:themeColor="text1"/>
                <w:szCs w:val="16"/>
              </w:rPr>
              <w:t>8,396.8</w:t>
            </w:r>
          </w:p>
        </w:tc>
        <w:tc>
          <w:tcPr>
            <w:tcW w:w="851" w:type="dxa"/>
            <w:shd w:val="clear" w:color="auto" w:fill="FFFFFF" w:themeFill="background1"/>
          </w:tcPr>
          <w:p w14:paraId="7CA6B462"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7,159.5</w:t>
            </w:r>
          </w:p>
        </w:tc>
        <w:tc>
          <w:tcPr>
            <w:tcW w:w="709" w:type="dxa"/>
            <w:shd w:val="clear" w:color="auto" w:fill="FFFFFF" w:themeFill="background1"/>
          </w:tcPr>
          <w:p w14:paraId="22630246"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-3.3</w:t>
            </w:r>
          </w:p>
        </w:tc>
        <w:tc>
          <w:tcPr>
            <w:tcW w:w="850" w:type="dxa"/>
            <w:shd w:val="clear" w:color="auto" w:fill="FFFFFF" w:themeFill="background1"/>
          </w:tcPr>
          <w:p w14:paraId="4B5AF5D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-241.1</w:t>
            </w:r>
          </w:p>
        </w:tc>
        <w:tc>
          <w:tcPr>
            <w:tcW w:w="709" w:type="dxa"/>
            <w:shd w:val="clear" w:color="auto" w:fill="FFFFFF" w:themeFill="background1"/>
          </w:tcPr>
          <w:p w14:paraId="7B96451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-14.7</w:t>
            </w:r>
          </w:p>
        </w:tc>
        <w:tc>
          <w:tcPr>
            <w:tcW w:w="850" w:type="dxa"/>
            <w:shd w:val="clear" w:color="auto" w:fill="FFFFFF" w:themeFill="background1"/>
          </w:tcPr>
          <w:p w14:paraId="4EE4A91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-1,237.3</w:t>
            </w:r>
          </w:p>
        </w:tc>
        <w:tc>
          <w:tcPr>
            <w:tcW w:w="709" w:type="dxa"/>
            <w:shd w:val="clear" w:color="auto" w:fill="FFFFFF" w:themeFill="background1"/>
          </w:tcPr>
          <w:p w14:paraId="3536CFD0"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23.8</w:t>
            </w:r>
          </w:p>
        </w:tc>
        <w:tc>
          <w:tcPr>
            <w:tcW w:w="709" w:type="dxa"/>
            <w:shd w:val="clear" w:color="auto" w:fill="FFFFFF" w:themeFill="background1"/>
          </w:tcPr>
          <w:p w14:paraId="12CF21D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24.4</w:t>
            </w:r>
          </w:p>
        </w:tc>
        <w:tc>
          <w:tcPr>
            <w:tcW w:w="709" w:type="dxa"/>
            <w:shd w:val="clear" w:color="auto" w:fill="FFFFFF" w:themeFill="background1"/>
          </w:tcPr>
          <w:p w14:paraId="2F526005"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22.7</w:t>
            </w:r>
          </w:p>
        </w:tc>
        <w:tc>
          <w:tcPr>
            <w:tcW w:w="567" w:type="dxa"/>
            <w:shd w:val="clear" w:color="auto" w:fill="FFFFFF" w:themeFill="background1"/>
          </w:tcPr>
          <w:p w14:paraId="063A5FA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20.1</w:t>
            </w:r>
          </w:p>
        </w:tc>
        <w:tc>
          <w:tcPr>
            <w:tcW w:w="567" w:type="dxa"/>
            <w:shd w:val="clear" w:color="auto" w:fill="FFFFFF" w:themeFill="background1"/>
          </w:tcPr>
          <w:p w14:paraId="08748095"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19.6</w:t>
            </w:r>
          </w:p>
        </w:tc>
        <w:tc>
          <w:tcPr>
            <w:tcW w:w="567" w:type="dxa"/>
            <w:shd w:val="clear" w:color="auto" w:fill="FFFFFF" w:themeFill="background1"/>
          </w:tcPr>
          <w:p w14:paraId="787591B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17.8</w:t>
            </w:r>
          </w:p>
        </w:tc>
      </w:tr>
      <w:tr w:rsidR="00E46639" w:rsidRPr="0028033B" w14:paraId="65D1ECCE" w14:textId="77777777" w:rsidTr="00F16E23">
        <w:tc>
          <w:tcPr>
            <w:tcW w:w="993" w:type="dxa"/>
            <w:shd w:val="clear" w:color="auto" w:fill="FFFFFF" w:themeFill="background1"/>
          </w:tcPr>
          <w:p w14:paraId="0A004BE4"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Sheep</w:t>
            </w:r>
          </w:p>
        </w:tc>
        <w:tc>
          <w:tcPr>
            <w:tcW w:w="851" w:type="dxa"/>
            <w:shd w:val="clear" w:color="auto" w:fill="FFFFFF" w:themeFill="background1"/>
          </w:tcPr>
          <w:p w14:paraId="486C24D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15,982.0</w:t>
            </w:r>
          </w:p>
        </w:tc>
        <w:tc>
          <w:tcPr>
            <w:tcW w:w="850" w:type="dxa"/>
            <w:shd w:val="clear" w:color="auto" w:fill="FFFFFF" w:themeFill="background1"/>
          </w:tcPr>
          <w:p w14:paraId="77CF5DF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13,341.4</w:t>
            </w:r>
          </w:p>
        </w:tc>
        <w:tc>
          <w:tcPr>
            <w:tcW w:w="851" w:type="dxa"/>
            <w:shd w:val="clear" w:color="auto" w:fill="FFFFFF" w:themeFill="background1"/>
          </w:tcPr>
          <w:p w14:paraId="6953EC12"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8,218.8</w:t>
            </w:r>
          </w:p>
        </w:tc>
        <w:tc>
          <w:tcPr>
            <w:tcW w:w="709" w:type="dxa"/>
            <w:shd w:val="clear" w:color="auto" w:fill="FFFFFF" w:themeFill="background1"/>
          </w:tcPr>
          <w:p w14:paraId="539462C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-48.6</w:t>
            </w:r>
          </w:p>
        </w:tc>
        <w:tc>
          <w:tcPr>
            <w:tcW w:w="850" w:type="dxa"/>
            <w:shd w:val="clear" w:color="auto" w:fill="FFFFFF" w:themeFill="background1"/>
          </w:tcPr>
          <w:p w14:paraId="7E9D5562"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-7,763.2</w:t>
            </w:r>
          </w:p>
        </w:tc>
        <w:tc>
          <w:tcPr>
            <w:tcW w:w="709" w:type="dxa"/>
            <w:shd w:val="clear" w:color="auto" w:fill="FFFFFF" w:themeFill="background1"/>
          </w:tcPr>
          <w:p w14:paraId="74E1978B"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-38.4</w:t>
            </w:r>
          </w:p>
        </w:tc>
        <w:tc>
          <w:tcPr>
            <w:tcW w:w="850" w:type="dxa"/>
            <w:shd w:val="clear" w:color="auto" w:fill="FFFFFF" w:themeFill="background1"/>
          </w:tcPr>
          <w:p w14:paraId="0D7FB4F2"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-5,122.6</w:t>
            </w:r>
          </w:p>
        </w:tc>
        <w:tc>
          <w:tcPr>
            <w:tcW w:w="709" w:type="dxa"/>
            <w:shd w:val="clear" w:color="auto" w:fill="FFFFFF" w:themeFill="background1"/>
          </w:tcPr>
          <w:p w14:paraId="774D6EB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51.4</w:t>
            </w:r>
          </w:p>
        </w:tc>
        <w:tc>
          <w:tcPr>
            <w:tcW w:w="709" w:type="dxa"/>
            <w:shd w:val="clear" w:color="auto" w:fill="FFFFFF" w:themeFill="background1"/>
          </w:tcPr>
          <w:p w14:paraId="709D7BA2"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38.8</w:t>
            </w:r>
          </w:p>
        </w:tc>
        <w:tc>
          <w:tcPr>
            <w:tcW w:w="709" w:type="dxa"/>
            <w:shd w:val="clear" w:color="auto" w:fill="FFFFFF" w:themeFill="background1"/>
          </w:tcPr>
          <w:p w14:paraId="649CDA2E"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26.0</w:t>
            </w:r>
          </w:p>
        </w:tc>
        <w:tc>
          <w:tcPr>
            <w:tcW w:w="567" w:type="dxa"/>
            <w:shd w:val="clear" w:color="auto" w:fill="FFFFFF" w:themeFill="background1"/>
          </w:tcPr>
          <w:p w14:paraId="706AF8F0"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43.5</w:t>
            </w:r>
          </w:p>
        </w:tc>
        <w:tc>
          <w:tcPr>
            <w:tcW w:w="567" w:type="dxa"/>
            <w:shd w:val="clear" w:color="auto" w:fill="FFFFFF" w:themeFill="background1"/>
          </w:tcPr>
          <w:p w14:paraId="52DD146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31.1</w:t>
            </w:r>
          </w:p>
        </w:tc>
        <w:tc>
          <w:tcPr>
            <w:tcW w:w="567" w:type="dxa"/>
            <w:shd w:val="clear" w:color="auto" w:fill="FFFFFF" w:themeFill="background1"/>
          </w:tcPr>
          <w:p w14:paraId="0664D87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20.5</w:t>
            </w:r>
          </w:p>
        </w:tc>
      </w:tr>
      <w:tr w:rsidR="00E46639" w:rsidRPr="0028033B" w14:paraId="033F7B88" w14:textId="77777777" w:rsidTr="00F16E23">
        <w:tc>
          <w:tcPr>
            <w:tcW w:w="993" w:type="dxa"/>
            <w:shd w:val="clear" w:color="auto" w:fill="FFFFFF" w:themeFill="background1"/>
          </w:tcPr>
          <w:p w14:paraId="417679EC"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Deer</w:t>
            </w:r>
          </w:p>
        </w:tc>
        <w:tc>
          <w:tcPr>
            <w:tcW w:w="851" w:type="dxa"/>
            <w:shd w:val="clear" w:color="auto" w:fill="FFFFFF" w:themeFill="background1"/>
          </w:tcPr>
          <w:p w14:paraId="79301977"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449.5</w:t>
            </w:r>
          </w:p>
        </w:tc>
        <w:tc>
          <w:tcPr>
            <w:tcW w:w="850" w:type="dxa"/>
            <w:shd w:val="clear" w:color="auto" w:fill="FFFFFF" w:themeFill="background1"/>
          </w:tcPr>
          <w:p w14:paraId="454DD60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856.7</w:t>
            </w:r>
          </w:p>
        </w:tc>
        <w:tc>
          <w:tcPr>
            <w:tcW w:w="851" w:type="dxa"/>
            <w:shd w:val="clear" w:color="auto" w:fill="FFFFFF" w:themeFill="background1"/>
          </w:tcPr>
          <w:p w14:paraId="5619993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396.0</w:t>
            </w:r>
          </w:p>
        </w:tc>
        <w:tc>
          <w:tcPr>
            <w:tcW w:w="709" w:type="dxa"/>
            <w:shd w:val="clear" w:color="auto" w:fill="FFFFFF" w:themeFill="background1"/>
          </w:tcPr>
          <w:p w14:paraId="2F18EEA3"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-11.9</w:t>
            </w:r>
          </w:p>
        </w:tc>
        <w:tc>
          <w:tcPr>
            <w:tcW w:w="850" w:type="dxa"/>
            <w:shd w:val="clear" w:color="auto" w:fill="FFFFFF" w:themeFill="background1"/>
          </w:tcPr>
          <w:p w14:paraId="6A87BA8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-53.5</w:t>
            </w:r>
          </w:p>
        </w:tc>
        <w:tc>
          <w:tcPr>
            <w:tcW w:w="709" w:type="dxa"/>
            <w:shd w:val="clear" w:color="auto" w:fill="FFFFFF" w:themeFill="background1"/>
          </w:tcPr>
          <w:p w14:paraId="740AD827"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-53.8</w:t>
            </w:r>
          </w:p>
        </w:tc>
        <w:tc>
          <w:tcPr>
            <w:tcW w:w="850" w:type="dxa"/>
            <w:shd w:val="clear" w:color="auto" w:fill="FFFFFF" w:themeFill="background1"/>
          </w:tcPr>
          <w:p w14:paraId="5F134295"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-460.7</w:t>
            </w:r>
          </w:p>
        </w:tc>
        <w:tc>
          <w:tcPr>
            <w:tcW w:w="709" w:type="dxa"/>
            <w:shd w:val="clear" w:color="auto" w:fill="FFFFFF" w:themeFill="background1"/>
          </w:tcPr>
          <w:p w14:paraId="00EE360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1.4</w:t>
            </w:r>
          </w:p>
        </w:tc>
        <w:tc>
          <w:tcPr>
            <w:tcW w:w="709" w:type="dxa"/>
            <w:shd w:val="clear" w:color="auto" w:fill="FFFFFF" w:themeFill="background1"/>
          </w:tcPr>
          <w:p w14:paraId="4D9C8E74"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2.5</w:t>
            </w:r>
          </w:p>
        </w:tc>
        <w:tc>
          <w:tcPr>
            <w:tcW w:w="709" w:type="dxa"/>
            <w:shd w:val="clear" w:color="auto" w:fill="FFFFFF" w:themeFill="background1"/>
          </w:tcPr>
          <w:p w14:paraId="0A11CA0B"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1.3</w:t>
            </w:r>
          </w:p>
        </w:tc>
        <w:tc>
          <w:tcPr>
            <w:tcW w:w="567" w:type="dxa"/>
            <w:shd w:val="clear" w:color="auto" w:fill="FFFFFF" w:themeFill="background1"/>
          </w:tcPr>
          <w:p w14:paraId="6780B507"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1.2</w:t>
            </w:r>
          </w:p>
        </w:tc>
        <w:tc>
          <w:tcPr>
            <w:tcW w:w="567" w:type="dxa"/>
            <w:shd w:val="clear" w:color="auto" w:fill="FFFFFF" w:themeFill="background1"/>
          </w:tcPr>
          <w:p w14:paraId="4FADADC0"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2.0</w:t>
            </w:r>
          </w:p>
        </w:tc>
        <w:tc>
          <w:tcPr>
            <w:tcW w:w="567" w:type="dxa"/>
            <w:shd w:val="clear" w:color="auto" w:fill="FFFFFF" w:themeFill="background1"/>
          </w:tcPr>
          <w:p w14:paraId="54EF814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1.0</w:t>
            </w:r>
          </w:p>
        </w:tc>
      </w:tr>
      <w:tr w:rsidR="00E46639" w:rsidRPr="0028033B" w14:paraId="5A084E91" w14:textId="77777777" w:rsidTr="00F16E23">
        <w:tc>
          <w:tcPr>
            <w:tcW w:w="993" w:type="dxa"/>
            <w:shd w:val="clear" w:color="auto" w:fill="FFFFFF" w:themeFill="background1"/>
          </w:tcPr>
          <w:p w14:paraId="3572B1C0"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Minor livestock</w:t>
            </w:r>
          </w:p>
        </w:tc>
        <w:tc>
          <w:tcPr>
            <w:tcW w:w="851" w:type="dxa"/>
            <w:shd w:val="clear" w:color="auto" w:fill="FFFFFF" w:themeFill="background1"/>
          </w:tcPr>
          <w:p w14:paraId="0C19E613"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280.6</w:t>
            </w:r>
          </w:p>
        </w:tc>
        <w:tc>
          <w:tcPr>
            <w:tcW w:w="850" w:type="dxa"/>
            <w:shd w:val="clear" w:color="auto" w:fill="FFFFFF" w:themeFill="background1"/>
          </w:tcPr>
          <w:p w14:paraId="589C30C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81.9</w:t>
            </w:r>
          </w:p>
        </w:tc>
        <w:tc>
          <w:tcPr>
            <w:tcW w:w="851" w:type="dxa"/>
            <w:shd w:val="clear" w:color="auto" w:fill="FFFFFF" w:themeFill="background1"/>
          </w:tcPr>
          <w:p w14:paraId="7B08463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50.4</w:t>
            </w:r>
          </w:p>
        </w:tc>
        <w:tc>
          <w:tcPr>
            <w:tcW w:w="709" w:type="dxa"/>
            <w:shd w:val="clear" w:color="auto" w:fill="FFFFFF" w:themeFill="background1"/>
          </w:tcPr>
          <w:p w14:paraId="077B8D5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-82.0</w:t>
            </w:r>
          </w:p>
        </w:tc>
        <w:tc>
          <w:tcPr>
            <w:tcW w:w="850" w:type="dxa"/>
            <w:shd w:val="clear" w:color="auto" w:fill="FFFFFF" w:themeFill="background1"/>
          </w:tcPr>
          <w:p w14:paraId="29EA3420"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-230.2</w:t>
            </w:r>
          </w:p>
        </w:tc>
        <w:tc>
          <w:tcPr>
            <w:tcW w:w="709" w:type="dxa"/>
            <w:shd w:val="clear" w:color="auto" w:fill="FFFFFF" w:themeFill="background1"/>
          </w:tcPr>
          <w:p w14:paraId="18DE6A3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-38.5</w:t>
            </w:r>
          </w:p>
        </w:tc>
        <w:tc>
          <w:tcPr>
            <w:tcW w:w="850" w:type="dxa"/>
            <w:shd w:val="clear" w:color="auto" w:fill="FFFFFF" w:themeFill="background1"/>
          </w:tcPr>
          <w:p w14:paraId="279DC1D5"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-31.5</w:t>
            </w:r>
          </w:p>
        </w:tc>
        <w:tc>
          <w:tcPr>
            <w:tcW w:w="709" w:type="dxa"/>
            <w:shd w:val="clear" w:color="auto" w:fill="FFFFFF" w:themeFill="background1"/>
          </w:tcPr>
          <w:p w14:paraId="6A21D9E6"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0.9</w:t>
            </w:r>
          </w:p>
        </w:tc>
        <w:tc>
          <w:tcPr>
            <w:tcW w:w="709" w:type="dxa"/>
            <w:shd w:val="clear" w:color="auto" w:fill="FFFFFF" w:themeFill="background1"/>
          </w:tcPr>
          <w:p w14:paraId="2FB13E5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0.2</w:t>
            </w:r>
          </w:p>
        </w:tc>
        <w:tc>
          <w:tcPr>
            <w:tcW w:w="709" w:type="dxa"/>
            <w:shd w:val="clear" w:color="auto" w:fill="FFFFFF" w:themeFill="background1"/>
          </w:tcPr>
          <w:p w14:paraId="3DB298FB"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0.2</w:t>
            </w:r>
          </w:p>
        </w:tc>
        <w:tc>
          <w:tcPr>
            <w:tcW w:w="567" w:type="dxa"/>
            <w:shd w:val="clear" w:color="auto" w:fill="FFFFFF" w:themeFill="background1"/>
          </w:tcPr>
          <w:p w14:paraId="07A3A03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0.8</w:t>
            </w:r>
          </w:p>
        </w:tc>
        <w:tc>
          <w:tcPr>
            <w:tcW w:w="567" w:type="dxa"/>
            <w:shd w:val="clear" w:color="auto" w:fill="FFFFFF" w:themeFill="background1"/>
          </w:tcPr>
          <w:p w14:paraId="2B452476"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0.2</w:t>
            </w:r>
          </w:p>
        </w:tc>
        <w:tc>
          <w:tcPr>
            <w:tcW w:w="567" w:type="dxa"/>
            <w:shd w:val="clear" w:color="auto" w:fill="FFFFFF" w:themeFill="background1"/>
          </w:tcPr>
          <w:p w14:paraId="1694803C"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0.1</w:t>
            </w:r>
          </w:p>
        </w:tc>
      </w:tr>
      <w:tr w:rsidR="00E46639" w:rsidRPr="0028033B" w14:paraId="69D6F8C8" w14:textId="77777777" w:rsidTr="00F16E23">
        <w:tc>
          <w:tcPr>
            <w:tcW w:w="993" w:type="dxa"/>
            <w:shd w:val="clear" w:color="auto" w:fill="FFFFFF" w:themeFill="background1"/>
          </w:tcPr>
          <w:p w14:paraId="0BBB098A" w14:textId="77777777" w:rsidR="00E46639" w:rsidRPr="0028033B" w:rsidRDefault="00E46639" w:rsidP="00F16E23">
            <w:pPr>
              <w:pStyle w:val="TableTextBold"/>
              <w:spacing w:before="40" w:after="40"/>
              <w:rPr>
                <w:rFonts w:cs="Calibri"/>
                <w:noProof w:val="0"/>
                <w:szCs w:val="16"/>
              </w:rPr>
            </w:pPr>
            <w:r w:rsidRPr="0028033B">
              <w:rPr>
                <w:rFonts w:cs="Calibri"/>
                <w:noProof w:val="0"/>
                <w:szCs w:val="16"/>
              </w:rPr>
              <w:t>Total</w:t>
            </w:r>
          </w:p>
        </w:tc>
        <w:tc>
          <w:tcPr>
            <w:tcW w:w="851" w:type="dxa"/>
            <w:shd w:val="clear" w:color="auto" w:fill="FFFFFF" w:themeFill="background1"/>
          </w:tcPr>
          <w:p w14:paraId="2169A616"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31,073.2</w:t>
            </w:r>
          </w:p>
        </w:tc>
        <w:tc>
          <w:tcPr>
            <w:tcW w:w="850" w:type="dxa"/>
            <w:shd w:val="clear" w:color="auto" w:fill="FFFFFF" w:themeFill="background1"/>
          </w:tcPr>
          <w:p w14:paraId="6D15613F"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34,405.3</w:t>
            </w:r>
          </w:p>
        </w:tc>
        <w:tc>
          <w:tcPr>
            <w:tcW w:w="851" w:type="dxa"/>
            <w:shd w:val="clear" w:color="auto" w:fill="FFFFFF" w:themeFill="background1"/>
          </w:tcPr>
          <w:p w14:paraId="6840A41F"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31,588.3</w:t>
            </w:r>
          </w:p>
        </w:tc>
        <w:tc>
          <w:tcPr>
            <w:tcW w:w="709" w:type="dxa"/>
            <w:shd w:val="clear" w:color="auto" w:fill="FFFFFF" w:themeFill="background1"/>
          </w:tcPr>
          <w:p w14:paraId="12E52B61"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1.7</w:t>
            </w:r>
          </w:p>
        </w:tc>
        <w:tc>
          <w:tcPr>
            <w:tcW w:w="850" w:type="dxa"/>
            <w:shd w:val="clear" w:color="auto" w:fill="FFFFFF" w:themeFill="background1"/>
          </w:tcPr>
          <w:p w14:paraId="7CBDF436"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515.1</w:t>
            </w:r>
          </w:p>
        </w:tc>
        <w:tc>
          <w:tcPr>
            <w:tcW w:w="709" w:type="dxa"/>
            <w:shd w:val="clear" w:color="auto" w:fill="FFFFFF" w:themeFill="background1"/>
          </w:tcPr>
          <w:p w14:paraId="1E4EC2DD"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-8.2</w:t>
            </w:r>
          </w:p>
        </w:tc>
        <w:tc>
          <w:tcPr>
            <w:tcW w:w="850" w:type="dxa"/>
            <w:shd w:val="clear" w:color="auto" w:fill="FFFFFF" w:themeFill="background1"/>
          </w:tcPr>
          <w:p w14:paraId="4E966CE1"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-2,817.0</w:t>
            </w:r>
          </w:p>
        </w:tc>
        <w:tc>
          <w:tcPr>
            <w:tcW w:w="709" w:type="dxa"/>
            <w:shd w:val="clear" w:color="auto" w:fill="FFFFFF" w:themeFill="background1"/>
          </w:tcPr>
          <w:p w14:paraId="7BDBD059"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100.0</w:t>
            </w:r>
          </w:p>
        </w:tc>
        <w:tc>
          <w:tcPr>
            <w:tcW w:w="709" w:type="dxa"/>
            <w:shd w:val="clear" w:color="auto" w:fill="FFFFFF" w:themeFill="background1"/>
          </w:tcPr>
          <w:p w14:paraId="3AD4D3A7"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100.0</w:t>
            </w:r>
          </w:p>
        </w:tc>
        <w:tc>
          <w:tcPr>
            <w:tcW w:w="709" w:type="dxa"/>
            <w:shd w:val="clear" w:color="auto" w:fill="FFFFFF" w:themeFill="background1"/>
          </w:tcPr>
          <w:p w14:paraId="11C8881C"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100.0</w:t>
            </w:r>
          </w:p>
        </w:tc>
        <w:tc>
          <w:tcPr>
            <w:tcW w:w="567" w:type="dxa"/>
            <w:shd w:val="clear" w:color="auto" w:fill="FFFFFF" w:themeFill="background1"/>
          </w:tcPr>
          <w:p w14:paraId="551A56DD"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84.6</w:t>
            </w:r>
          </w:p>
        </w:tc>
        <w:tc>
          <w:tcPr>
            <w:tcW w:w="567" w:type="dxa"/>
            <w:shd w:val="clear" w:color="auto" w:fill="FFFFFF" w:themeFill="background1"/>
          </w:tcPr>
          <w:p w14:paraId="6E833B11"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80.2</w:t>
            </w:r>
          </w:p>
        </w:tc>
        <w:tc>
          <w:tcPr>
            <w:tcW w:w="567" w:type="dxa"/>
            <w:shd w:val="clear" w:color="auto" w:fill="FFFFFF" w:themeFill="background1"/>
          </w:tcPr>
          <w:p w14:paraId="3B7DF2C3" w14:textId="77777777" w:rsidR="00E46639" w:rsidRPr="0028033B" w:rsidRDefault="00E46639" w:rsidP="00F16E23">
            <w:pPr>
              <w:pStyle w:val="TableTextBold"/>
              <w:spacing w:before="40" w:after="40"/>
              <w:jc w:val="right"/>
              <w:rPr>
                <w:rFonts w:cs="Calibri"/>
                <w:noProof w:val="0"/>
                <w:szCs w:val="16"/>
              </w:rPr>
            </w:pPr>
            <w:r w:rsidRPr="0028033B">
              <w:rPr>
                <w:rFonts w:cs="Calibri"/>
                <w:noProof w:val="0"/>
                <w:szCs w:val="16"/>
              </w:rPr>
              <w:t>78.7</w:t>
            </w:r>
          </w:p>
        </w:tc>
      </w:tr>
    </w:tbl>
    <w:p w14:paraId="7712F79B" w14:textId="77777777" w:rsidR="00E46639" w:rsidRPr="0028033B" w:rsidRDefault="00E46639" w:rsidP="00E46639">
      <w:pPr>
        <w:pStyle w:val="Noteundertable"/>
        <w:spacing w:after="0"/>
      </w:pPr>
      <w:r w:rsidRPr="0028033B">
        <w:rPr>
          <w:b/>
        </w:rPr>
        <w:t>Note</w:t>
      </w:r>
      <w:r w:rsidRPr="0028033B">
        <w:t>:</w:t>
      </w:r>
      <w:r w:rsidRPr="0028033B">
        <w:tab/>
        <w:t>Percentages presented are calculated from unrounded values.</w:t>
      </w:r>
    </w:p>
    <w:p w14:paraId="2DB1E52E" w14:textId="77777777" w:rsidR="00E46639" w:rsidRPr="0028033B" w:rsidRDefault="00E46639" w:rsidP="00E46639">
      <w:pPr>
        <w:pStyle w:val="Heading3"/>
      </w:pPr>
      <w:bookmarkStart w:id="768" w:name="_Toc32570652"/>
      <w:r w:rsidRPr="0028033B">
        <w:t>5.2.2</w:t>
      </w:r>
      <w:r w:rsidRPr="0028033B">
        <w:tab/>
      </w:r>
      <w:bookmarkStart w:id="769" w:name="_Hlk154135484"/>
      <w:r w:rsidRPr="0028033B">
        <w:t>Methodological issues</w:t>
      </w:r>
      <w:bookmarkEnd w:id="767"/>
      <w:bookmarkEnd w:id="768"/>
      <w:r w:rsidRPr="0028033B">
        <w:t xml:space="preserve"> </w:t>
      </w:r>
      <w:bookmarkEnd w:id="769"/>
    </w:p>
    <w:p w14:paraId="1CB1D088" w14:textId="77777777" w:rsidR="00E46639" w:rsidRPr="0028033B" w:rsidRDefault="00E46639" w:rsidP="00E46639">
      <w:pPr>
        <w:pStyle w:val="Heading4"/>
        <w:spacing w:before="160"/>
      </w:pPr>
      <w:r w:rsidRPr="0028033B">
        <w:t xml:space="preserve">Emissions from </w:t>
      </w:r>
      <w:r w:rsidRPr="0028033B">
        <w:rPr>
          <w:i/>
        </w:rPr>
        <w:t>Non-dairy cattle</w:t>
      </w:r>
      <w:r w:rsidRPr="0028033B">
        <w:t xml:space="preserve">, </w:t>
      </w:r>
      <w:r w:rsidRPr="0028033B">
        <w:rPr>
          <w:i/>
        </w:rPr>
        <w:t>Dairy cattle</w:t>
      </w:r>
      <w:r w:rsidRPr="0028033B">
        <w:t xml:space="preserve"> and </w:t>
      </w:r>
      <w:r w:rsidRPr="0028033B">
        <w:rPr>
          <w:i/>
        </w:rPr>
        <w:t>Deer</w:t>
      </w:r>
    </w:p>
    <w:p w14:paraId="6C99BB6F" w14:textId="77777777" w:rsidR="00E46639" w:rsidRPr="0028033B" w:rsidRDefault="00E46639" w:rsidP="00E46639">
      <w:pPr>
        <w:pStyle w:val="BodyText"/>
        <w:rPr>
          <w:rFonts w:cs="Calibri"/>
        </w:rPr>
      </w:pPr>
      <w:r w:rsidRPr="0028033B">
        <w:rPr>
          <w:rFonts w:cs="Calibri"/>
        </w:rPr>
        <w:t>The total amount of enteric CH</w:t>
      </w:r>
      <w:r w:rsidRPr="0028033B">
        <w:rPr>
          <w:rFonts w:cs="Calibri"/>
          <w:vertAlign w:val="subscript"/>
        </w:rPr>
        <w:t>4</w:t>
      </w:r>
      <w:r w:rsidRPr="0028033B">
        <w:rPr>
          <w:rFonts w:cs="Calibri"/>
        </w:rPr>
        <w:t xml:space="preserve"> emitted by </w:t>
      </w:r>
      <w:r w:rsidRPr="0028033B">
        <w:rPr>
          <w:rFonts w:cs="Calibri"/>
          <w:i/>
          <w:iCs/>
        </w:rPr>
        <w:t>Non-dairy cattle, Dairy cattle</w:t>
      </w:r>
      <w:r w:rsidRPr="0028033B">
        <w:rPr>
          <w:rFonts w:cs="Calibri"/>
        </w:rPr>
        <w:t xml:space="preserve"> and </w:t>
      </w:r>
      <w:r w:rsidRPr="0028033B">
        <w:rPr>
          <w:rFonts w:cs="Calibri"/>
          <w:i/>
          <w:iCs/>
        </w:rPr>
        <w:t>Deer</w:t>
      </w:r>
      <w:r w:rsidRPr="0028033B">
        <w:rPr>
          <w:rFonts w:cs="Calibri"/>
        </w:rPr>
        <w:t xml:space="preserve"> is calculated using a CH</w:t>
      </w:r>
      <w:r w:rsidRPr="0028033B">
        <w:rPr>
          <w:rFonts w:cs="Calibri"/>
          <w:vertAlign w:val="subscript"/>
        </w:rPr>
        <w:t>4</w:t>
      </w:r>
      <w:r w:rsidRPr="0028033B">
        <w:rPr>
          <w:rFonts w:cs="Calibri"/>
        </w:rPr>
        <w:t xml:space="preserve"> conversion factor for emissions per unit of dry matter feed intake in kilograms of DMI per livestock category (figure 5.2.1). The enhanced livestock population characterisation and DMI per head is calculated by New Zealand’s Tier 2 Inventory model (see section 5.1.3).</w:t>
      </w:r>
      <w:r w:rsidRPr="0028033B">
        <w:rPr>
          <w:rFonts w:cs="Calibri"/>
          <w:i/>
        </w:rPr>
        <w:t xml:space="preserve"> </w:t>
      </w:r>
      <w:r w:rsidRPr="0028033B">
        <w:rPr>
          <w:rFonts w:cs="Calibri"/>
        </w:rPr>
        <w:t>A more complex algorithm has been used to calculate enteric CH</w:t>
      </w:r>
      <w:r w:rsidRPr="0028033B">
        <w:rPr>
          <w:rFonts w:cs="Calibri"/>
          <w:vertAlign w:val="subscript"/>
        </w:rPr>
        <w:t>4</w:t>
      </w:r>
      <w:r w:rsidRPr="0028033B">
        <w:rPr>
          <w:rFonts w:cs="Calibri"/>
        </w:rPr>
        <w:t xml:space="preserve"> emissions for </w:t>
      </w:r>
      <w:r w:rsidRPr="0028033B">
        <w:rPr>
          <w:rFonts w:cs="Calibri"/>
          <w:i/>
          <w:iCs/>
        </w:rPr>
        <w:t>Sheep</w:t>
      </w:r>
      <w:r w:rsidRPr="0028033B">
        <w:rPr>
          <w:rFonts w:cs="Calibri"/>
        </w:rPr>
        <w:t xml:space="preserve"> and is discussed in the next section.</w:t>
      </w:r>
    </w:p>
    <w:p w14:paraId="60B87CD8" w14:textId="77777777" w:rsidR="00E46639" w:rsidRPr="0028033B" w:rsidRDefault="00E46639" w:rsidP="00E46639">
      <w:pPr>
        <w:pStyle w:val="Figure"/>
        <w:spacing w:after="60"/>
      </w:pPr>
      <w:bookmarkStart w:id="770" w:name="_Toc447275695"/>
      <w:bookmarkStart w:id="771" w:name="_Toc481752013"/>
      <w:bookmarkStart w:id="772" w:name="_Toc507158472"/>
      <w:bookmarkStart w:id="773" w:name="_Toc511116963"/>
      <w:bookmarkStart w:id="774" w:name="_Toc5269693"/>
      <w:bookmarkStart w:id="775" w:name="_Toc32570964"/>
      <w:bookmarkStart w:id="776" w:name="_Toc36292794"/>
      <w:bookmarkStart w:id="777" w:name="_Toc68786659"/>
      <w:bookmarkStart w:id="778" w:name="_Toc95574120"/>
      <w:bookmarkStart w:id="779" w:name="_Toc127458559"/>
      <w:bookmarkStart w:id="780" w:name="_Toc131591561"/>
      <w:bookmarkStart w:id="781" w:name="_Toc164154029"/>
      <w:bookmarkStart w:id="782" w:name="_Toc222407709"/>
      <w:bookmarkStart w:id="783" w:name="_Toc226200689"/>
      <w:bookmarkStart w:id="784" w:name="_Toc288316894"/>
      <w:bookmarkStart w:id="785" w:name="_Toc352505149"/>
      <w:r w:rsidRPr="0028033B">
        <w:t>Figure 5.2.1</w:t>
      </w:r>
      <w:r w:rsidRPr="0028033B">
        <w:tab/>
        <w:t>Schematic diagram showing how New Zealand’s methane emissions from enteric fermentation for dairy and non-dairy (beef) cattle and deer are calculated</w:t>
      </w:r>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p>
    <w:p w14:paraId="209A5D7C" w14:textId="77777777" w:rsidR="00E46639" w:rsidRPr="0028033B" w:rsidRDefault="00E46639" w:rsidP="00E46639">
      <w:pPr>
        <w:pStyle w:val="BodyText"/>
        <w:jc w:val="center"/>
        <w:rPr>
          <w:rFonts w:eastAsia="Calibri" w:cs="Calibri"/>
        </w:rPr>
      </w:pPr>
      <w:r w:rsidRPr="0028033B">
        <w:rPr>
          <w:rFonts w:eastAsia="Calibri" w:cs="Calibri"/>
        </w:rPr>
        <w:object w:dxaOrig="17777" w:dyaOrig="9203" w14:anchorId="43004565">
          <v:shape id="_x0000_i1026" type="#_x0000_t75" style="width:332.15pt;height:197.65pt" o:ole="">
            <v:imagedata r:id="rId104" o:title="" cropright="6980f"/>
          </v:shape>
          <o:OLEObject Type="Embed" ProgID="Visio.Drawing.15" ShapeID="_x0000_i1026" DrawAspect="Content" ObjectID="_1837681032" r:id="rId105"/>
        </w:object>
      </w:r>
    </w:p>
    <w:bookmarkEnd w:id="784"/>
    <w:bookmarkEnd w:id="785"/>
    <w:p w14:paraId="5D0130EB" w14:textId="77777777" w:rsidR="00E46639" w:rsidRPr="0028033B" w:rsidRDefault="00E46639" w:rsidP="00E46639">
      <w:pPr>
        <w:pStyle w:val="Noteundertable"/>
        <w:spacing w:before="0"/>
        <w:rPr>
          <w:rFonts w:cs="Calibri"/>
        </w:rPr>
      </w:pPr>
      <w:r w:rsidRPr="0028033B">
        <w:rPr>
          <w:rFonts w:cs="Calibri"/>
          <w:b/>
          <w:bCs/>
        </w:rPr>
        <w:t>Note:</w:t>
      </w:r>
      <w:r w:rsidRPr="0028033B">
        <w:rPr>
          <w:rFonts w:cs="Calibri"/>
        </w:rPr>
        <w:t xml:space="preserve"> </w:t>
      </w:r>
      <w:r w:rsidRPr="0028033B">
        <w:rPr>
          <w:rFonts w:cs="Calibri"/>
        </w:rPr>
        <w:tab/>
        <w:t>CH</w:t>
      </w:r>
      <w:r w:rsidRPr="0028033B">
        <w:rPr>
          <w:rFonts w:cs="Calibri"/>
          <w:vertAlign w:val="subscript"/>
        </w:rPr>
        <w:t>4</w:t>
      </w:r>
      <w:r w:rsidRPr="0028033B">
        <w:rPr>
          <w:rFonts w:cs="Calibri"/>
        </w:rPr>
        <w:t xml:space="preserve"> = methane; DMI = dry-matter intake; GEI = gross energy intake.</w:t>
      </w:r>
    </w:p>
    <w:p w14:paraId="11BE7D2B" w14:textId="77777777" w:rsidR="00E46639" w:rsidRPr="0028033B" w:rsidRDefault="00E46639" w:rsidP="00E46639">
      <w:pPr>
        <w:pStyle w:val="BodyText"/>
        <w:keepNext/>
      </w:pPr>
      <w:r w:rsidRPr="0028033B">
        <w:t>The equation for the production of enteric CH</w:t>
      </w:r>
      <w:r w:rsidRPr="0028033B">
        <w:rPr>
          <w:vertAlign w:val="subscript"/>
        </w:rPr>
        <w:t>4</w:t>
      </w:r>
      <w:r w:rsidRPr="0028033B">
        <w:t xml:space="preserve"> for cattle and deer is:</w:t>
      </w:r>
    </w:p>
    <w:p w14:paraId="53D48D46" w14:textId="77777777" w:rsidR="00E46639" w:rsidRPr="0028033B" w:rsidRDefault="00000000" w:rsidP="00E46639">
      <w:pPr>
        <w:spacing w:before="120" w:after="120"/>
        <w:rPr>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4-enteric</m:t>
              </m:r>
            </m:sub>
          </m:sSub>
          <m:r>
            <w:rPr>
              <w:rFonts w:ascii="Cambria Math" w:hAnsi="Cambria Math"/>
              <w:sz w:val="24"/>
              <w:szCs w:val="24"/>
            </w:rPr>
            <m:t>=</m:t>
          </m:r>
          <m:nary>
            <m:naryPr>
              <m:chr m:val="∑"/>
              <m:limLoc m:val="undOvr"/>
              <m:supHide m:val="1"/>
              <m:ctrlPr>
                <w:rPr>
                  <w:rFonts w:ascii="Cambria Math" w:hAnsi="Cambria Math"/>
                  <w:i/>
                  <w:sz w:val="24"/>
                  <w:szCs w:val="24"/>
                </w:rPr>
              </m:ctrlPr>
            </m:naryPr>
            <m:sub>
              <m:r>
                <w:rPr>
                  <w:rFonts w:ascii="Cambria Math" w:hAnsi="Cambria Math"/>
                  <w:sz w:val="24"/>
                  <w:szCs w:val="24"/>
                </w:rPr>
                <m:t>livestock type</m:t>
              </m:r>
            </m:sub>
            <m:sup/>
            <m:e>
              <m:sSub>
                <m:sSubPr>
                  <m:ctrlPr>
                    <w:rPr>
                      <w:rFonts w:ascii="Cambria Math" w:hAnsi="Cambria Math"/>
                      <w:i/>
                      <w:sz w:val="24"/>
                      <w:szCs w:val="24"/>
                    </w:rPr>
                  </m:ctrlPr>
                </m:sSubPr>
                <m:e>
                  <m:r>
                    <w:rPr>
                      <w:rFonts w:ascii="Cambria Math" w:hAnsi="Cambria Math"/>
                      <w:sz w:val="24"/>
                      <w:szCs w:val="24"/>
                    </w:rPr>
                    <m:t>Pop</m:t>
                  </m:r>
                </m:e>
                <m:sub>
                  <m:r>
                    <w:rPr>
                      <w:rFonts w:ascii="Cambria Math" w:hAnsi="Cambria Math"/>
                      <w:sz w:val="24"/>
                      <w:szCs w:val="24"/>
                    </w:rPr>
                    <m:t>livestock type</m:t>
                  </m:r>
                </m:sub>
              </m:sSub>
              <m:r>
                <w:rPr>
                  <w:rFonts w:ascii="Cambria Math" w:hAnsi="Cambria Math"/>
                  <w:sz w:val="24"/>
                  <w:szCs w:val="24"/>
                </w:rPr>
                <m:t xml:space="preserve"> ×</m:t>
              </m:r>
            </m:e>
          </m:nary>
          <m:r>
            <w:rPr>
              <w:rFonts w:ascii="Cambria Math" w:hAnsi="Cambria Math"/>
              <w:sz w:val="24"/>
              <w:szCs w:val="24"/>
            </w:rPr>
            <m:t xml:space="preserve"> DMI×</m:t>
          </m:r>
          <m:f>
            <m:fPr>
              <m:ctrlPr>
                <w:rPr>
                  <w:rFonts w:ascii="Cambria Math" w:hAnsi="Cambria Math"/>
                  <w:i/>
                  <w:sz w:val="24"/>
                  <w:szCs w:val="24"/>
                </w:rPr>
              </m:ctrlPr>
            </m:fPr>
            <m:num>
              <m:r>
                <w:rPr>
                  <w:rFonts w:ascii="Cambria Math" w:hAnsi="Cambria Math"/>
                  <w:sz w:val="24"/>
                  <w:szCs w:val="24"/>
                </w:rPr>
                <m:t>MCR</m:t>
              </m:r>
            </m:num>
            <m:den>
              <m:r>
                <w:rPr>
                  <w:rFonts w:ascii="Cambria Math" w:hAnsi="Cambria Math"/>
                  <w:sz w:val="24"/>
                  <w:szCs w:val="24"/>
                </w:rPr>
                <m:t>1000</m:t>
              </m:r>
            </m:den>
          </m:f>
        </m:oMath>
      </m:oMathPara>
    </w:p>
    <w:p w14:paraId="1C3C882E" w14:textId="77777777" w:rsidR="00E46639" w:rsidRPr="0028033B" w:rsidRDefault="00E46639" w:rsidP="00E46639">
      <w:pPr>
        <w:pStyle w:val="BodyText"/>
        <w:spacing w:after="40"/>
        <w:ind w:left="851" w:hanging="851"/>
      </w:pPr>
      <w:r w:rsidRPr="0028033B">
        <w:t>Where:</w:t>
      </w:r>
      <w:r w:rsidRPr="0028033B">
        <w:tab/>
        <w:t>CH</w:t>
      </w:r>
      <w:r w:rsidRPr="0028033B">
        <w:rPr>
          <w:vertAlign w:val="subscript"/>
        </w:rPr>
        <w:t>4-enteric</w:t>
      </w:r>
      <w:r w:rsidRPr="0028033B">
        <w:t xml:space="preserve"> </w:t>
      </w:r>
      <w:r w:rsidRPr="0028033B">
        <w:rPr>
          <w:rFonts w:cstheme="minorHAnsi"/>
        </w:rPr>
        <w:t>=</w:t>
      </w:r>
      <w:r w:rsidRPr="0028033B">
        <w:t xml:space="preserve"> enteric </w:t>
      </w:r>
      <w:r w:rsidRPr="0028033B">
        <w:rPr>
          <w:rFonts w:cstheme="minorHAnsi"/>
        </w:rPr>
        <w:t>methane emissions per day</w:t>
      </w:r>
      <w:r w:rsidRPr="0028033B">
        <w:t xml:space="preserve"> (kg)</w:t>
      </w:r>
    </w:p>
    <w:p w14:paraId="594106B4" w14:textId="77777777" w:rsidR="00E46639" w:rsidRPr="0028033B" w:rsidRDefault="00E46639" w:rsidP="00E46639">
      <w:pPr>
        <w:pStyle w:val="BodyText"/>
        <w:spacing w:before="30" w:after="40"/>
        <w:ind w:left="851" w:hanging="851"/>
      </w:pPr>
      <w:r w:rsidRPr="0028033B">
        <w:tab/>
      </w:r>
      <w:r w:rsidRPr="0028033B">
        <w:rPr>
          <w:rFonts w:cstheme="minorHAnsi"/>
        </w:rPr>
        <w:t>Pop</w:t>
      </w:r>
      <w:r w:rsidRPr="0028033B">
        <w:rPr>
          <w:rFonts w:cstheme="minorHAnsi"/>
          <w:vertAlign w:val="subscript"/>
        </w:rPr>
        <w:t>livestock</w:t>
      </w:r>
      <w:r w:rsidRPr="0028033B">
        <w:rPr>
          <w:vertAlign w:val="subscript"/>
        </w:rPr>
        <w:t xml:space="preserve"> type</w:t>
      </w:r>
      <w:r w:rsidRPr="0028033B">
        <w:t xml:space="preserve"> </w:t>
      </w:r>
      <w:r w:rsidRPr="0028033B">
        <w:rPr>
          <w:rFonts w:cstheme="minorHAnsi"/>
        </w:rPr>
        <w:t>=</w:t>
      </w:r>
      <w:r w:rsidRPr="0028033B">
        <w:t xml:space="preserve"> population of each livestock category (head)</w:t>
      </w:r>
    </w:p>
    <w:p w14:paraId="2EAB17DC" w14:textId="77777777" w:rsidR="00E46639" w:rsidRPr="0028033B" w:rsidRDefault="00E46639" w:rsidP="00E46639">
      <w:pPr>
        <w:pStyle w:val="BodyText"/>
        <w:spacing w:before="30" w:after="40"/>
        <w:ind w:left="851" w:hanging="851"/>
      </w:pPr>
      <w:r w:rsidRPr="0028033B">
        <w:tab/>
        <w:t>DMI = dry-matter intake (kg per animal per day)</w:t>
      </w:r>
    </w:p>
    <w:p w14:paraId="74BF1F0C" w14:textId="77777777" w:rsidR="00E46639" w:rsidRPr="0028033B" w:rsidRDefault="00E46639" w:rsidP="00E46639">
      <w:pPr>
        <w:pStyle w:val="BodyText"/>
        <w:spacing w:before="30"/>
        <w:ind w:left="851" w:hanging="851"/>
      </w:pPr>
      <w:r w:rsidRPr="0028033B">
        <w:tab/>
        <w:t>MCR = methane conversion rate.</w:t>
      </w:r>
    </w:p>
    <w:p w14:paraId="6316FE2D" w14:textId="77777777" w:rsidR="00E46639" w:rsidRPr="0028033B" w:rsidRDefault="00E46639" w:rsidP="00E46639">
      <w:pPr>
        <w:pStyle w:val="BodyText"/>
        <w:spacing w:before="80"/>
        <w:rPr>
          <w:rFonts w:cs="Calibri"/>
        </w:rPr>
      </w:pPr>
      <w:r w:rsidRPr="0028033B">
        <w:rPr>
          <w:rFonts w:cs="Calibri"/>
          <w:spacing w:val="-2"/>
        </w:rPr>
        <w:t xml:space="preserve">Published and unpublished data were used to derive a New Zealand-specific MCR of </w:t>
      </w:r>
      <w:r w:rsidRPr="0028033B">
        <w:rPr>
          <w:spacing w:val="-2"/>
        </w:rPr>
        <w:t>21.6 grams (g)</w:t>
      </w:r>
      <w:r w:rsidRPr="0028033B">
        <w:t xml:space="preserve"> of CH</w:t>
      </w:r>
      <w:r w:rsidRPr="0028033B">
        <w:rPr>
          <w:vertAlign w:val="subscript"/>
        </w:rPr>
        <w:t>4</w:t>
      </w:r>
      <w:r w:rsidRPr="0028033B">
        <w:t xml:space="preserve"> per </w:t>
      </w:r>
      <w:r w:rsidRPr="0028033B">
        <w:rPr>
          <w:rFonts w:cs="Calibri"/>
        </w:rPr>
        <w:t>kilogram (</w:t>
      </w:r>
      <w:r w:rsidRPr="0028033B">
        <w:t>kg) of DMI</w:t>
      </w:r>
      <w:r w:rsidRPr="0028033B">
        <w:rPr>
          <w:rFonts w:cs="Calibri"/>
        </w:rPr>
        <w:t xml:space="preserve"> for dairy cattle (Clark et al., 2003). Non-dairy (beef) cattle </w:t>
      </w:r>
      <w:r w:rsidRPr="0028033B">
        <w:rPr>
          <w:rFonts w:cs="Calibri"/>
          <w:spacing w:val="-2"/>
        </w:rPr>
        <w:t>are assumed to have the same MCR value as dairy cattle. The MCR value for deer is the average</w:t>
      </w:r>
      <w:r w:rsidRPr="0028033B">
        <w:rPr>
          <w:rFonts w:cs="Calibri"/>
        </w:rPr>
        <w:t xml:space="preserve"> of the MCR value currently used for cattle (21.6 g of CH</w:t>
      </w:r>
      <w:r w:rsidRPr="0028033B">
        <w:rPr>
          <w:rFonts w:cs="Calibri"/>
          <w:vertAlign w:val="subscript"/>
        </w:rPr>
        <w:t>4</w:t>
      </w:r>
      <w:r w:rsidRPr="0028033B">
        <w:rPr>
          <w:rFonts w:cs="Calibri"/>
        </w:rPr>
        <w:t xml:space="preserve"> per kg of DMI) and the (now defunct) MCR value used for adult sheep until 2016 (20.9) resulting in </w:t>
      </w:r>
      <w:r w:rsidRPr="0028033B">
        <w:t>21.25 g of CH</w:t>
      </w:r>
      <w:r w:rsidRPr="0028033B">
        <w:rPr>
          <w:vertAlign w:val="subscript"/>
        </w:rPr>
        <w:t>4</w:t>
      </w:r>
      <w:r w:rsidRPr="0028033B">
        <w:t xml:space="preserve"> per kg of DMI </w:t>
      </w:r>
      <w:r w:rsidRPr="0028033B">
        <w:rPr>
          <w:rFonts w:cs="Calibri"/>
        </w:rPr>
        <w:t>(Clark, 2003).</w:t>
      </w:r>
    </w:p>
    <w:p w14:paraId="0421F711" w14:textId="77777777" w:rsidR="00E46639" w:rsidRPr="0028033B" w:rsidRDefault="00E46639" w:rsidP="00E46639">
      <w:pPr>
        <w:pStyle w:val="Heading4"/>
      </w:pPr>
      <w:r w:rsidRPr="0028033B">
        <w:t xml:space="preserve">Emissions from </w:t>
      </w:r>
      <w:r w:rsidRPr="0028033B">
        <w:rPr>
          <w:i/>
        </w:rPr>
        <w:t>Sheep</w:t>
      </w:r>
    </w:p>
    <w:p w14:paraId="260FFE2D" w14:textId="77777777" w:rsidR="00E46639" w:rsidRPr="0028033B" w:rsidRDefault="00E46639" w:rsidP="00E46639">
      <w:pPr>
        <w:pStyle w:val="BodyText"/>
        <w:spacing w:before="80"/>
        <w:rPr>
          <w:rFonts w:cs="Calibri"/>
        </w:rPr>
      </w:pPr>
      <w:r w:rsidRPr="0028033B">
        <w:rPr>
          <w:rFonts w:cs="Calibri"/>
        </w:rPr>
        <w:t>Enteric CH</w:t>
      </w:r>
      <w:r w:rsidRPr="0028033B">
        <w:rPr>
          <w:rFonts w:cs="Calibri"/>
          <w:vertAlign w:val="subscript"/>
        </w:rPr>
        <w:t>4</w:t>
      </w:r>
      <w:r w:rsidRPr="0028033B">
        <w:rPr>
          <w:rFonts w:cs="Calibri"/>
        </w:rPr>
        <w:t xml:space="preserve"> emissions from </w:t>
      </w:r>
      <w:r w:rsidRPr="0028033B">
        <w:rPr>
          <w:rFonts w:cs="Calibri"/>
          <w:i/>
          <w:iCs/>
        </w:rPr>
        <w:t>Sheep</w:t>
      </w:r>
      <w:r w:rsidRPr="0028033B">
        <w:rPr>
          <w:rFonts w:cs="Calibri"/>
        </w:rPr>
        <w:t xml:space="preserve"> are calculated using the methodology outlined in a peer reviewed paper published by Swainson et al. (2016). The study confirmed that DMI alone has the largest influence on CH</w:t>
      </w:r>
      <w:r w:rsidRPr="0028033B">
        <w:rPr>
          <w:rFonts w:cs="Calibri"/>
          <w:vertAlign w:val="subscript"/>
        </w:rPr>
        <w:t>4</w:t>
      </w:r>
      <w:r w:rsidRPr="0028033B">
        <w:rPr>
          <w:rFonts w:cs="Calibri"/>
        </w:rPr>
        <w:t xml:space="preserve"> emissions and that pasture quality (as measured by the ME content) has a small but statistically significant effect on emissions from sheep less than one year of age.</w:t>
      </w:r>
    </w:p>
    <w:p w14:paraId="4E96C443" w14:textId="77777777" w:rsidR="00E46639" w:rsidRPr="0028033B" w:rsidRDefault="00E46639" w:rsidP="00E46639">
      <w:pPr>
        <w:pStyle w:val="BodyText"/>
        <w:spacing w:before="80"/>
        <w:rPr>
          <w:rFonts w:cs="Calibri"/>
        </w:rPr>
      </w:pPr>
      <w:r w:rsidRPr="0028033B">
        <w:rPr>
          <w:rFonts w:cs="Calibri"/>
        </w:rPr>
        <w:t>Swainson et al. (2016) concluded that two log-transformed linear regressions (one for sheep less than one year of age and one for sheep greater than one year of age) provided the best fit for the data and recommended that these equations be used in the National Inventory Report.</w:t>
      </w:r>
      <w:r w:rsidRPr="0028033B" w:rsidDel="00970856">
        <w:rPr>
          <w:rFonts w:cs="Calibri"/>
        </w:rPr>
        <w:t xml:space="preserve"> </w:t>
      </w:r>
    </w:p>
    <w:p w14:paraId="08F415DC" w14:textId="77777777" w:rsidR="00E46639" w:rsidRPr="0028033B" w:rsidRDefault="00E46639" w:rsidP="00E46639">
      <w:pPr>
        <w:pStyle w:val="BodyText"/>
        <w:spacing w:before="80"/>
      </w:pPr>
      <w:r w:rsidRPr="0028033B">
        <w:t>The equation</w:t>
      </w:r>
      <w:r w:rsidRPr="0028033B">
        <w:rPr>
          <w:rStyle w:val="FootnoteReference"/>
          <w:rFonts w:cs="Calibri"/>
        </w:rPr>
        <w:footnoteReference w:id="27"/>
      </w:r>
      <w:r w:rsidRPr="0028033B">
        <w:t xml:space="preserve"> for the total production of enteric CH</w:t>
      </w:r>
      <w:r w:rsidRPr="0028033B">
        <w:rPr>
          <w:vertAlign w:val="subscript"/>
        </w:rPr>
        <w:t>4</w:t>
      </w:r>
      <w:r w:rsidRPr="0028033B">
        <w:t xml:space="preserve"> for sheep less than one year of age is:</w:t>
      </w:r>
    </w:p>
    <w:p w14:paraId="16F75265" w14:textId="77777777" w:rsidR="00E46639" w:rsidRPr="0028033B" w:rsidRDefault="00000000" w:rsidP="00E46639">
      <w:pPr>
        <w:pStyle w:val="BodyText"/>
        <w:rPr>
          <w:i/>
          <w:sz w:val="24"/>
        </w:rPr>
      </w:pPr>
      <m:oMathPara>
        <m:oMathParaPr>
          <m:jc m:val="center"/>
        </m:oMathParaPr>
        <m:oMath>
          <m:sSub>
            <m:sSubPr>
              <m:ctrlPr>
                <w:rPr>
                  <w:rFonts w:ascii="Cambria Math" w:hAnsi="Cambria Math"/>
                  <w:i/>
                  <w:sz w:val="24"/>
                </w:rPr>
              </m:ctrlPr>
            </m:sSubPr>
            <m:e>
              <m:r>
                <w:rPr>
                  <w:rFonts w:ascii="Cambria Math" w:hAnsi="Cambria Math"/>
                  <w:sz w:val="24"/>
                </w:rPr>
                <m:t>CH</m:t>
              </m:r>
            </m:e>
            <m:sub>
              <m:r>
                <w:rPr>
                  <w:rFonts w:ascii="Cambria Math" w:hAnsi="Cambria Math"/>
                  <w:sz w:val="24"/>
                </w:rPr>
                <m:t>4-enteric</m:t>
              </m:r>
            </m:sub>
          </m:sSub>
          <m:r>
            <w:rPr>
              <w:rFonts w:ascii="Cambria Math" w:hAnsi="Cambria Math"/>
              <w:sz w:val="24"/>
            </w:rPr>
            <m:t xml:space="preserve">= </m:t>
          </m:r>
          <m:nary>
            <m:naryPr>
              <m:chr m:val="∑"/>
              <m:limLoc m:val="undOvr"/>
              <m:supHide m:val="1"/>
              <m:ctrlPr>
                <w:rPr>
                  <w:rFonts w:ascii="Cambria Math" w:hAnsi="Cambria Math"/>
                  <w:i/>
                  <w:sz w:val="24"/>
                </w:rPr>
              </m:ctrlPr>
            </m:naryPr>
            <m:sub>
              <m:r>
                <w:rPr>
                  <w:rFonts w:ascii="Cambria Math" w:hAnsi="Cambria Math"/>
                  <w:sz w:val="24"/>
                </w:rPr>
                <m:t xml:space="preserve">class </m:t>
              </m:r>
            </m:sub>
            <m:sup/>
            <m:e>
              <m:nary>
                <m:naryPr>
                  <m:chr m:val="∑"/>
                  <m:limLoc m:val="undOvr"/>
                  <m:supHide m:val="1"/>
                  <m:ctrlPr>
                    <w:rPr>
                      <w:rFonts w:ascii="Cambria Math" w:hAnsi="Cambria Math"/>
                      <w:i/>
                      <w:sz w:val="24"/>
                    </w:rPr>
                  </m:ctrlPr>
                </m:naryPr>
                <m:sub>
                  <m:r>
                    <w:rPr>
                      <w:rFonts w:ascii="Cambria Math" w:hAnsi="Cambria Math"/>
                      <w:sz w:val="24"/>
                    </w:rPr>
                    <m:t>month</m:t>
                  </m:r>
                </m:sub>
                <m:sup/>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e>
              </m:nary>
              <m:sSub>
                <m:sSubPr>
                  <m:ctrlPr>
                    <w:rPr>
                      <w:rFonts w:ascii="Cambria Math" w:hAnsi="Cambria Math"/>
                      <w:i/>
                      <w:sz w:val="24"/>
                    </w:rPr>
                  </m:ctrlPr>
                </m:sSubPr>
                <m:e>
                  <m:r>
                    <w:rPr>
                      <w:rFonts w:ascii="Cambria Math" w:hAnsi="Cambria Math"/>
                      <w:sz w:val="24"/>
                    </w:rPr>
                    <m:t>Lamb</m:t>
                  </m:r>
                </m:e>
                <m:sub>
                  <m:r>
                    <w:rPr>
                      <w:rFonts w:ascii="Cambria Math" w:hAnsi="Cambria Math"/>
                      <w:sz w:val="24"/>
                    </w:rPr>
                    <m:t>cm</m:t>
                  </m:r>
                </m:sub>
              </m:sSub>
              <m:f>
                <m:fPr>
                  <m:ctrlPr>
                    <w:rPr>
                      <w:rFonts w:ascii="Cambria Math" w:hAnsi="Cambria Math"/>
                      <w:i/>
                      <w:sz w:val="24"/>
                    </w:rPr>
                  </m:ctrlPr>
                </m:fPr>
                <m:num>
                  <m:r>
                    <w:rPr>
                      <w:rFonts w:ascii="Cambria Math" w:hAnsi="Cambria Math"/>
                      <w:sz w:val="24"/>
                    </w:rPr>
                    <m:t>11.705</m:t>
                  </m:r>
                </m:num>
                <m:den>
                  <m:r>
                    <w:rPr>
                      <w:rFonts w:ascii="Cambria Math" w:hAnsi="Cambria Math"/>
                      <w:sz w:val="24"/>
                    </w:rPr>
                    <m:t>1000</m:t>
                  </m:r>
                </m:den>
              </m:f>
            </m:e>
          </m:nary>
          <m:sSup>
            <m:sSupPr>
              <m:ctrlPr>
                <w:rPr>
                  <w:rFonts w:ascii="Cambria Math" w:hAnsi="Cambria Math"/>
                  <w:i/>
                  <w:sz w:val="24"/>
                </w:rPr>
              </m:ctrlPr>
            </m:sSupPr>
            <m:e>
              <m:sSup>
                <m:sSupPr>
                  <m:ctrlPr>
                    <w:rPr>
                      <w:rFonts w:ascii="Cambria Math" w:hAnsi="Cambria Math"/>
                      <w:i/>
                      <w:sz w:val="24"/>
                    </w:rPr>
                  </m:ctrlPr>
                </m:sSupPr>
                <m:e>
                  <m:r>
                    <w:rPr>
                      <w:rFonts w:ascii="Cambria Math" w:hAnsi="Cambria Math"/>
                      <w:sz w:val="24"/>
                    </w:rPr>
                    <m:t>e</m:t>
                  </m:r>
                </m:e>
                <m:sup>
                  <m:r>
                    <w:rPr>
                      <w:rFonts w:ascii="Cambria Math" w:hAnsi="Cambria Math"/>
                      <w:sz w:val="24"/>
                    </w:rPr>
                    <m:t>0.05×ME</m:t>
                  </m:r>
                </m:sup>
              </m:sSup>
              <m:r>
                <w:rPr>
                  <w:rFonts w:ascii="Cambria Math" w:hAnsi="Cambria Math"/>
                  <w:sz w:val="24"/>
                </w:rPr>
                <m:t>DMI</m:t>
              </m:r>
            </m:e>
            <m:sup>
              <m:r>
                <w:rPr>
                  <w:rFonts w:ascii="Cambria Math" w:hAnsi="Cambria Math"/>
                  <w:sz w:val="24"/>
                </w:rPr>
                <m:t>0.734</m:t>
              </m:r>
            </m:sup>
          </m:sSup>
        </m:oMath>
      </m:oMathPara>
    </w:p>
    <w:p w14:paraId="2920AC62" w14:textId="77777777" w:rsidR="00E46639" w:rsidRPr="0028033B" w:rsidRDefault="00E46639" w:rsidP="00E46639">
      <w:pPr>
        <w:pStyle w:val="BodyText"/>
      </w:pPr>
      <w:r w:rsidRPr="0028033B">
        <w:t>The equation</w:t>
      </w:r>
      <w:r w:rsidRPr="0028033B">
        <w:rPr>
          <w:rStyle w:val="FootnoteReference"/>
          <w:rFonts w:cs="Calibri"/>
        </w:rPr>
        <w:footnoteReference w:id="28"/>
      </w:r>
      <w:r w:rsidRPr="0028033B">
        <w:t xml:space="preserve"> for the total production of enteric CH</w:t>
      </w:r>
      <w:r w:rsidRPr="0028033B">
        <w:rPr>
          <w:vertAlign w:val="subscript"/>
        </w:rPr>
        <w:t>4</w:t>
      </w:r>
      <w:r w:rsidRPr="0028033B">
        <w:t xml:space="preserve"> for sheep greater than one year of age is:</w:t>
      </w:r>
    </w:p>
    <w:p w14:paraId="6581EE36" w14:textId="77777777" w:rsidR="00E46639" w:rsidRPr="0028033B" w:rsidRDefault="00000000" w:rsidP="00E46639">
      <w:pPr>
        <w:pStyle w:val="BodyText"/>
        <w:rPr>
          <w:i/>
          <w:sz w:val="24"/>
        </w:rPr>
      </w:pPr>
      <m:oMathPara>
        <m:oMathParaPr>
          <m:jc m:val="center"/>
        </m:oMathParaPr>
        <m:oMath>
          <m:sSub>
            <m:sSubPr>
              <m:ctrlPr>
                <w:rPr>
                  <w:rFonts w:ascii="Cambria Math" w:hAnsi="Cambria Math"/>
                  <w:i/>
                  <w:sz w:val="24"/>
                </w:rPr>
              </m:ctrlPr>
            </m:sSubPr>
            <m:e>
              <m:r>
                <w:rPr>
                  <w:rFonts w:ascii="Cambria Math" w:hAnsi="Cambria Math"/>
                  <w:sz w:val="24"/>
                </w:rPr>
                <m:t>CH</m:t>
              </m:r>
            </m:e>
            <m:sub>
              <m:r>
                <w:rPr>
                  <w:rFonts w:ascii="Cambria Math" w:hAnsi="Cambria Math"/>
                  <w:sz w:val="24"/>
                </w:rPr>
                <m:t>4-enteric</m:t>
              </m:r>
            </m:sub>
          </m:sSub>
          <m:r>
            <w:rPr>
              <w:rFonts w:ascii="Cambria Math" w:hAnsi="Cambria Math"/>
              <w:sz w:val="24"/>
            </w:rPr>
            <m:t xml:space="preserve">= </m:t>
          </m:r>
          <m:nary>
            <m:naryPr>
              <m:chr m:val="∑"/>
              <m:limLoc m:val="undOvr"/>
              <m:supHide m:val="1"/>
              <m:ctrlPr>
                <w:rPr>
                  <w:rFonts w:ascii="Cambria Math" w:hAnsi="Cambria Math"/>
                  <w:i/>
                  <w:sz w:val="24"/>
                </w:rPr>
              </m:ctrlPr>
            </m:naryPr>
            <m:sub>
              <m:r>
                <w:rPr>
                  <w:rFonts w:ascii="Cambria Math" w:hAnsi="Cambria Math"/>
                  <w:sz w:val="24"/>
                </w:rPr>
                <m:t xml:space="preserve">class </m:t>
              </m:r>
            </m:sub>
            <m:sup/>
            <m:e>
              <m:nary>
                <m:naryPr>
                  <m:chr m:val="∑"/>
                  <m:limLoc m:val="undOvr"/>
                  <m:supHide m:val="1"/>
                  <m:ctrlPr>
                    <w:rPr>
                      <w:rFonts w:ascii="Cambria Math" w:hAnsi="Cambria Math"/>
                      <w:i/>
                      <w:sz w:val="24"/>
                    </w:rPr>
                  </m:ctrlPr>
                </m:naryPr>
                <m:sub>
                  <m:r>
                    <w:rPr>
                      <w:rFonts w:ascii="Cambria Math" w:hAnsi="Cambria Math"/>
                      <w:sz w:val="24"/>
                    </w:rPr>
                    <m:t>month</m:t>
                  </m:r>
                </m:sub>
                <m:sup/>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e>
              </m:nary>
              <m:sSub>
                <m:sSubPr>
                  <m:ctrlPr>
                    <w:rPr>
                      <w:rFonts w:ascii="Cambria Math" w:hAnsi="Cambria Math"/>
                      <w:i/>
                      <w:sz w:val="24"/>
                    </w:rPr>
                  </m:ctrlPr>
                </m:sSubPr>
                <m:e>
                  <m:r>
                    <w:rPr>
                      <w:rFonts w:ascii="Cambria Math" w:hAnsi="Cambria Math"/>
                      <w:sz w:val="24"/>
                    </w:rPr>
                    <m:t>Sheep</m:t>
                  </m:r>
                </m:e>
                <m:sub>
                  <m:r>
                    <w:rPr>
                      <w:rFonts w:ascii="Cambria Math" w:hAnsi="Cambria Math"/>
                      <w:sz w:val="24"/>
                    </w:rPr>
                    <m:t>cm</m:t>
                  </m:r>
                </m:sub>
              </m:sSub>
              <m:f>
                <m:fPr>
                  <m:ctrlPr>
                    <w:rPr>
                      <w:rFonts w:ascii="Cambria Math" w:hAnsi="Cambria Math"/>
                      <w:i/>
                      <w:sz w:val="24"/>
                    </w:rPr>
                  </m:ctrlPr>
                </m:fPr>
                <m:num>
                  <m:r>
                    <w:rPr>
                      <w:rFonts w:ascii="Cambria Math" w:hAnsi="Cambria Math"/>
                      <w:sz w:val="24"/>
                    </w:rPr>
                    <m:t>21.977</m:t>
                  </m:r>
                </m:num>
                <m:den>
                  <m:r>
                    <w:rPr>
                      <w:rFonts w:ascii="Cambria Math" w:hAnsi="Cambria Math"/>
                      <w:sz w:val="24"/>
                    </w:rPr>
                    <m:t>1000</m:t>
                  </m:r>
                </m:den>
              </m:f>
            </m:e>
          </m:nary>
          <m:sSup>
            <m:sSupPr>
              <m:ctrlPr>
                <w:rPr>
                  <w:rFonts w:ascii="Cambria Math" w:hAnsi="Cambria Math"/>
                  <w:i/>
                  <w:sz w:val="24"/>
                </w:rPr>
              </m:ctrlPr>
            </m:sSupPr>
            <m:e>
              <m:r>
                <w:rPr>
                  <w:rFonts w:ascii="Cambria Math" w:hAnsi="Cambria Math"/>
                  <w:sz w:val="24"/>
                </w:rPr>
                <m:t>DMI</m:t>
              </m:r>
            </m:e>
            <m:sup>
              <m:r>
                <w:rPr>
                  <w:rFonts w:ascii="Cambria Math" w:hAnsi="Cambria Math"/>
                  <w:sz w:val="24"/>
                </w:rPr>
                <m:t>0.765</m:t>
              </m:r>
            </m:sup>
          </m:sSup>
        </m:oMath>
      </m:oMathPara>
    </w:p>
    <w:p w14:paraId="449C79D0" w14:textId="77777777" w:rsidR="00E46639" w:rsidRPr="0028033B" w:rsidRDefault="00E46639" w:rsidP="00E46639">
      <w:pPr>
        <w:pStyle w:val="BodyText"/>
        <w:tabs>
          <w:tab w:val="left" w:pos="964"/>
        </w:tabs>
        <w:spacing w:after="40"/>
        <w:ind w:left="964" w:hanging="964"/>
        <w:rPr>
          <w:rFonts w:cs="Calibri"/>
        </w:rPr>
      </w:pPr>
      <w:r w:rsidRPr="0028033B">
        <w:rPr>
          <w:rFonts w:cs="Calibri"/>
        </w:rPr>
        <w:t xml:space="preserve">Where: </w:t>
      </w:r>
      <w:r w:rsidRPr="0028033B">
        <w:rPr>
          <w:rFonts w:cs="Calibri"/>
        </w:rPr>
        <w:tab/>
        <w:t>CH</w:t>
      </w:r>
      <w:r w:rsidRPr="0028033B">
        <w:rPr>
          <w:rFonts w:cs="Calibri"/>
          <w:vertAlign w:val="subscript"/>
        </w:rPr>
        <w:t>4-enteric</w:t>
      </w:r>
      <w:r w:rsidRPr="0028033B">
        <w:rPr>
          <w:rFonts w:cs="Calibri"/>
        </w:rPr>
        <w:t xml:space="preserve"> = total CH</w:t>
      </w:r>
      <w:r w:rsidRPr="0028033B">
        <w:rPr>
          <w:rFonts w:cs="Calibri"/>
          <w:vertAlign w:val="subscript"/>
        </w:rPr>
        <w:t>4</w:t>
      </w:r>
      <w:r w:rsidRPr="0028033B">
        <w:rPr>
          <w:rFonts w:cs="Calibri"/>
        </w:rPr>
        <w:t xml:space="preserve"> from enteric fermentation (kg CH</w:t>
      </w:r>
      <w:r w:rsidRPr="0028033B">
        <w:rPr>
          <w:rFonts w:cs="Calibri"/>
          <w:vertAlign w:val="subscript"/>
        </w:rPr>
        <w:t>4</w:t>
      </w:r>
      <w:r w:rsidRPr="0028033B">
        <w:rPr>
          <w:rFonts w:cs="Calibri"/>
        </w:rPr>
        <w:t>/year)</w:t>
      </w:r>
    </w:p>
    <w:p w14:paraId="41FA057E" w14:textId="77777777" w:rsidR="00E46639" w:rsidRPr="0028033B" w:rsidRDefault="00E46639" w:rsidP="00E46639">
      <w:pPr>
        <w:pStyle w:val="BodyText"/>
        <w:tabs>
          <w:tab w:val="left" w:pos="964"/>
        </w:tabs>
        <w:spacing w:before="30" w:after="40"/>
        <w:ind w:left="964" w:hanging="964"/>
        <w:rPr>
          <w:rFonts w:cs="Calibri"/>
        </w:rPr>
      </w:pPr>
      <w:r w:rsidRPr="0028033B">
        <w:rPr>
          <w:rFonts w:cs="Calibri"/>
        </w:rPr>
        <w:tab/>
        <w:t>d</w:t>
      </w:r>
      <w:r w:rsidRPr="0028033B">
        <w:rPr>
          <w:rFonts w:cs="Calibri"/>
          <w:vertAlign w:val="subscript"/>
        </w:rPr>
        <w:t>m</w:t>
      </w:r>
      <w:r w:rsidRPr="0028033B">
        <w:rPr>
          <w:rFonts w:cs="Calibri"/>
        </w:rPr>
        <w:t xml:space="preserve"> = number of days in month m</w:t>
      </w:r>
    </w:p>
    <w:p w14:paraId="2FB17FF3" w14:textId="77777777" w:rsidR="00E46639" w:rsidRPr="0028033B" w:rsidRDefault="00E46639" w:rsidP="00E46639">
      <w:pPr>
        <w:pStyle w:val="BodyText"/>
        <w:tabs>
          <w:tab w:val="left" w:pos="964"/>
        </w:tabs>
        <w:spacing w:before="30" w:after="40"/>
        <w:ind w:left="964" w:hanging="964"/>
        <w:rPr>
          <w:rFonts w:cs="Calibri"/>
        </w:rPr>
      </w:pPr>
      <w:r w:rsidRPr="0028033B">
        <w:rPr>
          <w:rFonts w:cs="Calibri"/>
        </w:rPr>
        <w:tab/>
        <w:t>Lamb</w:t>
      </w:r>
      <w:r w:rsidRPr="0028033B">
        <w:rPr>
          <w:rFonts w:cs="Calibri"/>
          <w:vertAlign w:val="subscript"/>
        </w:rPr>
        <w:t xml:space="preserve">cm </w:t>
      </w:r>
      <w:r w:rsidRPr="0028033B">
        <w:rPr>
          <w:rFonts w:cs="Calibri"/>
        </w:rPr>
        <w:t>= population of sheep in class c during month m (head), less than one year of age (i.e., lambs)</w:t>
      </w:r>
    </w:p>
    <w:p w14:paraId="47866A90" w14:textId="77777777" w:rsidR="00E46639" w:rsidRPr="0028033B" w:rsidRDefault="00E46639" w:rsidP="00E46639">
      <w:pPr>
        <w:pStyle w:val="BodyText"/>
        <w:tabs>
          <w:tab w:val="left" w:pos="964"/>
        </w:tabs>
        <w:spacing w:before="30" w:after="40"/>
        <w:ind w:left="964" w:hanging="964"/>
        <w:rPr>
          <w:rFonts w:cs="Calibri"/>
        </w:rPr>
      </w:pPr>
      <w:r w:rsidRPr="0028033B">
        <w:rPr>
          <w:rFonts w:cs="Calibri"/>
        </w:rPr>
        <w:tab/>
        <w:t>Sheep</w:t>
      </w:r>
      <w:r w:rsidRPr="0028033B">
        <w:rPr>
          <w:rFonts w:cs="Calibri"/>
          <w:vertAlign w:val="subscript"/>
        </w:rPr>
        <w:t xml:space="preserve">cm </w:t>
      </w:r>
      <w:r w:rsidRPr="0028033B">
        <w:rPr>
          <w:rFonts w:cs="Calibri"/>
        </w:rPr>
        <w:t xml:space="preserve">= population of sheep in class c during month m (head), greater than one year of age </w:t>
      </w:r>
    </w:p>
    <w:p w14:paraId="0AB2F5A0" w14:textId="77777777" w:rsidR="00E46639" w:rsidRPr="0028033B" w:rsidRDefault="00E46639" w:rsidP="00E46639">
      <w:pPr>
        <w:pStyle w:val="BodyText"/>
        <w:tabs>
          <w:tab w:val="left" w:pos="964"/>
        </w:tabs>
        <w:spacing w:before="30" w:after="40"/>
        <w:ind w:left="964" w:hanging="964"/>
        <w:rPr>
          <w:rFonts w:cs="Calibri"/>
        </w:rPr>
      </w:pPr>
      <w:r w:rsidRPr="0028033B">
        <w:rPr>
          <w:rFonts w:cs="Calibri"/>
        </w:rPr>
        <w:tab/>
        <w:t>ME = metabolisable energy concentration of diet during month m (megajoules of metabolisable energy per kg of dry matter)</w:t>
      </w:r>
    </w:p>
    <w:p w14:paraId="0E85B067" w14:textId="77777777" w:rsidR="00E46639" w:rsidRPr="0028033B" w:rsidRDefault="00E46639" w:rsidP="00E46639">
      <w:pPr>
        <w:pStyle w:val="BodyText"/>
        <w:tabs>
          <w:tab w:val="left" w:pos="964"/>
        </w:tabs>
        <w:spacing w:before="30" w:after="40"/>
        <w:ind w:left="964" w:hanging="964"/>
        <w:rPr>
          <w:rFonts w:cs="Calibri"/>
        </w:rPr>
      </w:pPr>
      <w:r w:rsidRPr="0028033B">
        <w:rPr>
          <w:rFonts w:cs="Calibri"/>
        </w:rPr>
        <w:tab/>
        <w:t>DMI = daily dry-matter intake of an individual sheep of class c in month m (kg dry matter/day/head)</w:t>
      </w:r>
    </w:p>
    <w:p w14:paraId="39CD1884" w14:textId="77777777" w:rsidR="00E46639" w:rsidRPr="0028033B" w:rsidRDefault="00E46639" w:rsidP="00E46639">
      <w:pPr>
        <w:pStyle w:val="BodyText"/>
        <w:tabs>
          <w:tab w:val="left" w:pos="964"/>
        </w:tabs>
        <w:spacing w:before="30" w:after="40"/>
        <w:ind w:left="964" w:hanging="964"/>
        <w:rPr>
          <w:rFonts w:cs="Calibri"/>
        </w:rPr>
      </w:pPr>
      <w:r w:rsidRPr="0028033B">
        <w:rPr>
          <w:rFonts w:cs="Calibri"/>
        </w:rPr>
        <w:tab/>
        <w:t>class refers to the different categories of sheep greater than one year of age (e.g., dry ewes, wethers, rams) used in the Agriculture inventory model, and</w:t>
      </w:r>
    </w:p>
    <w:p w14:paraId="0C32432B" w14:textId="77777777" w:rsidR="00E46639" w:rsidRPr="0028033B" w:rsidRDefault="00E46639" w:rsidP="00E46639">
      <w:pPr>
        <w:pStyle w:val="BodyText"/>
        <w:tabs>
          <w:tab w:val="left" w:pos="964"/>
        </w:tabs>
        <w:spacing w:before="30"/>
        <w:ind w:left="964" w:hanging="964"/>
        <w:rPr>
          <w:rFonts w:cs="Calibri"/>
        </w:rPr>
      </w:pPr>
      <w:r w:rsidRPr="0028033B">
        <w:rPr>
          <w:rFonts w:cs="Calibri"/>
        </w:rPr>
        <w:tab/>
        <w:t>month refers to the 12 months of the calendar year.</w:t>
      </w:r>
    </w:p>
    <w:p w14:paraId="7F477979" w14:textId="77777777" w:rsidR="00E46639" w:rsidRPr="0028033B" w:rsidRDefault="00E46639" w:rsidP="003435C1">
      <w:pPr>
        <w:pStyle w:val="BodyText"/>
        <w:spacing w:after="100"/>
      </w:pPr>
      <w:r w:rsidRPr="0028033B">
        <w:t xml:space="preserve">Dry-matter intake per sheep per day is calculated by New Zealand’s Tier 2 Inventory model (see section 5.1.3). Monthly values of ME concentration for total diet (pasture and non-pasture feed) are calculated using New Zealand’s Tier 2 Inventory model (see section 5.1.3). </w:t>
      </w:r>
    </w:p>
    <w:p w14:paraId="740C0147" w14:textId="77777777" w:rsidR="00E46639" w:rsidRPr="0028033B" w:rsidRDefault="00E46639" w:rsidP="00E46639">
      <w:pPr>
        <w:pStyle w:val="Heading4"/>
        <w:spacing w:before="200"/>
      </w:pPr>
      <w:r w:rsidRPr="0028033B">
        <w:t>Methane measurement and modelling</w:t>
      </w:r>
    </w:p>
    <w:p w14:paraId="0B99F768" w14:textId="77777777" w:rsidR="00E46639" w:rsidRPr="0028033B" w:rsidRDefault="00E46639" w:rsidP="003435C1">
      <w:pPr>
        <w:pStyle w:val="BodyText"/>
        <w:spacing w:before="80" w:after="100"/>
      </w:pPr>
      <w:r w:rsidRPr="0028033B">
        <w:t>New Zealand uses country-specific methodology and emission factors for estimating enteric fermentation CH</w:t>
      </w:r>
      <w:r w:rsidRPr="0028033B">
        <w:rPr>
          <w:vertAlign w:val="subscript"/>
        </w:rPr>
        <w:t>4</w:t>
      </w:r>
      <w:r w:rsidRPr="0028033B">
        <w:t xml:space="preserve"> emissions per kilogram of dry matter feed intake (i.e., DMI) for several reasons. First, the data requirements for existing digestion models</w:t>
      </w:r>
      <w:r w:rsidRPr="0028033B">
        <w:rPr>
          <w:rStyle w:val="FootnoteReference"/>
          <w:rFonts w:cs="Calibri"/>
        </w:rPr>
        <w:footnoteReference w:id="29"/>
      </w:r>
      <w:r w:rsidRPr="0028033B">
        <w:t xml:space="preserve"> are less relevant to New Zealand’s predominantly outdoor pasture-based systems. Existing digestion models have been largely derived from housed animals on diets unlike the grass-based diets fed to </w:t>
      </w:r>
      <w:r w:rsidRPr="0028033B" w:rsidDel="00FD2CA9">
        <w:t xml:space="preserve">New </w:t>
      </w:r>
      <w:r w:rsidRPr="0028033B">
        <w:t xml:space="preserve">Zealand livestock. Further, these existing models have a lower predictive power when compared with empirical experimental data derived from </w:t>
      </w:r>
      <w:r w:rsidRPr="0028033B" w:rsidDel="0017066B">
        <w:t xml:space="preserve">New </w:t>
      </w:r>
      <w:r w:rsidRPr="0028033B">
        <w:t>Zealand research (Clark et al., 2003).</w:t>
      </w:r>
    </w:p>
    <w:p w14:paraId="2CB518F0" w14:textId="77777777" w:rsidR="00E46639" w:rsidRPr="0028033B" w:rsidRDefault="00E46639" w:rsidP="003435C1">
      <w:pPr>
        <w:pStyle w:val="BodyText"/>
        <w:spacing w:before="100" w:after="100"/>
      </w:pPr>
      <w:r w:rsidRPr="0028033B">
        <w:t xml:space="preserve">Since 1996, </w:t>
      </w:r>
      <w:r w:rsidRPr="0028033B" w:rsidDel="002531F0">
        <w:t xml:space="preserve">New </w:t>
      </w:r>
      <w:r w:rsidRPr="0028033B">
        <w:t>Zealand scientists have been measuring CH</w:t>
      </w:r>
      <w:r w:rsidRPr="0028033B">
        <w:rPr>
          <w:vertAlign w:val="subscript"/>
        </w:rPr>
        <w:t>4</w:t>
      </w:r>
      <w:r w:rsidRPr="0028033B">
        <w:t xml:space="preserve"> emissions from grazing (non</w:t>
      </w:r>
      <w:r w:rsidRPr="0028033B">
        <w:noBreakHyphen/>
        <w:t>housed) cattle and sheep initially using the sulphur hexafluoride (SF</w:t>
      </w:r>
      <w:r w:rsidRPr="0028033B">
        <w:rPr>
          <w:vertAlign w:val="subscript"/>
        </w:rPr>
        <w:t>6</w:t>
      </w:r>
      <w:r w:rsidRPr="0028033B">
        <w:t xml:space="preserve">) tracer technique (Lassey et al., 1997; Ulyatt et al., 1999). In recent years, </w:t>
      </w:r>
      <w:r w:rsidRPr="0028033B" w:rsidDel="002F5109">
        <w:t xml:space="preserve">New </w:t>
      </w:r>
      <w:r w:rsidRPr="0028033B">
        <w:t>Zealand-based research has used closed-circuit respiration chambers, which are considered the benchmark for assessing CH</w:t>
      </w:r>
      <w:r w:rsidRPr="0028033B">
        <w:rPr>
          <w:vertAlign w:val="subscript"/>
        </w:rPr>
        <w:t>4</w:t>
      </w:r>
      <w:r w:rsidRPr="0028033B">
        <w:t xml:space="preserve"> emissions from livestock. These have been used to derive respiration-chamber-based measurements of CH</w:t>
      </w:r>
      <w:r w:rsidRPr="0028033B">
        <w:rPr>
          <w:vertAlign w:val="subscript"/>
        </w:rPr>
        <w:t>4</w:t>
      </w:r>
      <w:r w:rsidRPr="0028033B">
        <w:t xml:space="preserve"> emissions for sheep and, more recently, an expanded programme for dairy and non-dairy cattle. </w:t>
      </w:r>
    </w:p>
    <w:p w14:paraId="3A8A85F5" w14:textId="77777777" w:rsidR="00E46639" w:rsidRPr="0028033B" w:rsidRDefault="00E46639" w:rsidP="003435C1">
      <w:pPr>
        <w:pStyle w:val="BodyText"/>
        <w:spacing w:before="100" w:after="100"/>
      </w:pPr>
      <w:r w:rsidRPr="0028033B">
        <w:t xml:space="preserve">To obtain </w:t>
      </w:r>
      <w:r w:rsidRPr="0028033B" w:rsidDel="007B0600">
        <w:t>New</w:t>
      </w:r>
      <w:r w:rsidRPr="0028033B">
        <w:t xml:space="preserve"> Zealand-specific values (or algorithms for sheep emissions), all relevant published and unpublished </w:t>
      </w:r>
      <w:r w:rsidRPr="0028033B" w:rsidDel="007B0600">
        <w:t xml:space="preserve">New </w:t>
      </w:r>
      <w:r w:rsidRPr="0028033B">
        <w:t>Zealand-specific data were collated and used to derive average values for CH</w:t>
      </w:r>
      <w:r w:rsidRPr="0028033B">
        <w:rPr>
          <w:vertAlign w:val="subscript"/>
        </w:rPr>
        <w:t>4</w:t>
      </w:r>
      <w:r w:rsidRPr="0028033B">
        <w:t xml:space="preserve"> emissions from different categories of livestock </w:t>
      </w:r>
      <w:r w:rsidRPr="0028033B">
        <w:rPr>
          <w:spacing w:val="-2"/>
        </w:rPr>
        <w:t xml:space="preserve">(Clark et al., 2003; </w:t>
      </w:r>
      <w:r w:rsidRPr="0028033B">
        <w:t>Swainson et al., 2016). The associated data are presented in table 5.2.2 together with the IPCC (2006, tables 10.12 and 10.13) default values for percent gross energy intake used to calculate CH</w:t>
      </w:r>
      <w:r w:rsidRPr="0028033B">
        <w:rPr>
          <w:vertAlign w:val="subscript"/>
        </w:rPr>
        <w:t>4</w:t>
      </w:r>
      <w:r w:rsidRPr="0028033B">
        <w:t xml:space="preserve">. The New Zealand values for cattle fall within the IPCC range and are applied in this submission. </w:t>
      </w:r>
    </w:p>
    <w:p w14:paraId="6F41C884" w14:textId="77777777" w:rsidR="00E46639" w:rsidRPr="0028033B" w:rsidRDefault="00E46639" w:rsidP="00E46639">
      <w:pPr>
        <w:pStyle w:val="Table"/>
        <w:rPr>
          <w:rFonts w:cs="Calibri"/>
        </w:rPr>
      </w:pPr>
      <w:bookmarkStart w:id="786" w:name="_Toc441830869"/>
      <w:bookmarkStart w:id="787" w:name="_Toc451176083"/>
      <w:bookmarkStart w:id="788" w:name="_Toc481751509"/>
      <w:bookmarkStart w:id="789" w:name="_Toc507158599"/>
      <w:bookmarkStart w:id="790" w:name="_Toc511116733"/>
      <w:bookmarkStart w:id="791" w:name="_Toc5269473"/>
      <w:bookmarkStart w:id="792" w:name="_Toc32570914"/>
      <w:bookmarkStart w:id="793" w:name="_Toc36224549"/>
      <w:bookmarkStart w:id="794" w:name="_Toc68786435"/>
      <w:bookmarkStart w:id="795" w:name="_Toc95574070"/>
      <w:bookmarkStart w:id="796" w:name="_Toc127458253"/>
      <w:bookmarkStart w:id="797" w:name="_Toc131591349"/>
      <w:bookmarkStart w:id="798" w:name="_Toc160114439"/>
      <w:bookmarkStart w:id="799" w:name="_Toc164153835"/>
      <w:bookmarkStart w:id="800" w:name="_Toc222407619"/>
      <w:bookmarkStart w:id="801" w:name="_Toc226668994"/>
      <w:r w:rsidRPr="0028033B">
        <w:rPr>
          <w:rFonts w:cs="Calibri"/>
        </w:rPr>
        <w:t>Table 5.2.2</w:t>
      </w:r>
      <w:r w:rsidRPr="0028033B">
        <w:rPr>
          <w:rFonts w:cs="Calibri"/>
        </w:rPr>
        <w:tab/>
        <w:t>Methane emissions and gross energy intake (GEI) from New Zealand measurements and IPCC (2006) default values</w:t>
      </w:r>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3402"/>
        <w:gridCol w:w="1418"/>
        <w:gridCol w:w="1701"/>
        <w:gridCol w:w="1984"/>
      </w:tblGrid>
      <w:tr w:rsidR="00E46639" w:rsidRPr="0028033B" w14:paraId="01061358" w14:textId="77777777" w:rsidTr="00F16E23">
        <w:trPr>
          <w:tblHeader/>
        </w:trPr>
        <w:tc>
          <w:tcPr>
            <w:tcW w:w="3402" w:type="dxa"/>
            <w:shd w:val="clear" w:color="auto" w:fill="1B556B" w:themeFill="text2"/>
            <w:vAlign w:val="bottom"/>
          </w:tcPr>
          <w:p w14:paraId="49B658DA" w14:textId="77777777" w:rsidR="00E46639" w:rsidRPr="0028033B" w:rsidRDefault="00E46639" w:rsidP="00F16E23">
            <w:pPr>
              <w:pStyle w:val="TableTextBold"/>
              <w:keepNext/>
              <w:rPr>
                <w:noProof w:val="0"/>
                <w:color w:val="FFFFFF" w:themeColor="background1"/>
              </w:rPr>
            </w:pPr>
          </w:p>
        </w:tc>
        <w:tc>
          <w:tcPr>
            <w:tcW w:w="1418" w:type="dxa"/>
            <w:shd w:val="clear" w:color="auto" w:fill="1B556B" w:themeFill="text2"/>
            <w:vAlign w:val="bottom"/>
          </w:tcPr>
          <w:p w14:paraId="737B886C" w14:textId="77777777" w:rsidR="00E46639" w:rsidRPr="0028033B" w:rsidRDefault="00E46639" w:rsidP="00F16E23">
            <w:pPr>
              <w:pStyle w:val="TableTextBold"/>
              <w:keepNext/>
              <w:jc w:val="right"/>
              <w:rPr>
                <w:noProof w:val="0"/>
                <w:color w:val="FFFFFF" w:themeColor="background1"/>
              </w:rPr>
            </w:pPr>
            <w:r w:rsidRPr="0028033B">
              <w:rPr>
                <w:noProof w:val="0"/>
                <w:color w:val="FFFFFF" w:themeColor="background1"/>
              </w:rPr>
              <w:t>Adult cattle</w:t>
            </w:r>
          </w:p>
        </w:tc>
        <w:tc>
          <w:tcPr>
            <w:tcW w:w="1701" w:type="dxa"/>
            <w:shd w:val="clear" w:color="auto" w:fill="1B556B" w:themeFill="text2"/>
            <w:vAlign w:val="bottom"/>
          </w:tcPr>
          <w:p w14:paraId="652D8048" w14:textId="77777777" w:rsidR="00E46639" w:rsidRPr="0028033B" w:rsidRDefault="00E46639" w:rsidP="00F16E23">
            <w:pPr>
              <w:pStyle w:val="TableTextBold"/>
              <w:keepNext/>
              <w:jc w:val="right"/>
              <w:rPr>
                <w:noProof w:val="0"/>
                <w:color w:val="FFFFFF" w:themeColor="background1"/>
              </w:rPr>
            </w:pPr>
            <w:r w:rsidRPr="0028033B">
              <w:rPr>
                <w:noProof w:val="0"/>
                <w:color w:val="FFFFFF" w:themeColor="background1"/>
              </w:rPr>
              <w:t>Adult sheep (&gt; 1 year)</w:t>
            </w:r>
          </w:p>
        </w:tc>
        <w:tc>
          <w:tcPr>
            <w:tcW w:w="1984" w:type="dxa"/>
            <w:shd w:val="clear" w:color="auto" w:fill="1B556B" w:themeFill="text2"/>
            <w:vAlign w:val="bottom"/>
          </w:tcPr>
          <w:p w14:paraId="1D9F3D79" w14:textId="77777777" w:rsidR="00E46639" w:rsidRPr="0028033B" w:rsidRDefault="00E46639" w:rsidP="00F16E23">
            <w:pPr>
              <w:pStyle w:val="TableTextBold"/>
              <w:keepNext/>
              <w:jc w:val="right"/>
              <w:rPr>
                <w:noProof w:val="0"/>
                <w:color w:val="FFFFFF" w:themeColor="background1"/>
              </w:rPr>
            </w:pPr>
            <w:r w:rsidRPr="0028033B">
              <w:rPr>
                <w:noProof w:val="0"/>
                <w:color w:val="FFFFFF" w:themeColor="background1"/>
              </w:rPr>
              <w:t>Young sheep (&lt; 1 year)</w:t>
            </w:r>
          </w:p>
        </w:tc>
      </w:tr>
      <w:tr w:rsidR="00E46639" w:rsidRPr="0028033B" w14:paraId="24BC39F0" w14:textId="77777777" w:rsidTr="00F16E23">
        <w:tc>
          <w:tcPr>
            <w:tcW w:w="3402" w:type="dxa"/>
            <w:vAlign w:val="bottom"/>
          </w:tcPr>
          <w:p w14:paraId="6120B5EA" w14:textId="77777777" w:rsidR="00E46639" w:rsidRPr="0028033B" w:rsidRDefault="00E46639" w:rsidP="00F16E23">
            <w:pPr>
              <w:pStyle w:val="TableText"/>
              <w:spacing w:before="50" w:after="50"/>
              <w:rPr>
                <w:rFonts w:cs="Calibri"/>
              </w:rPr>
            </w:pPr>
            <w:r w:rsidRPr="0028033B">
              <w:rPr>
                <w:rFonts w:cs="Calibri"/>
              </w:rPr>
              <w:t>New Zealand CH</w:t>
            </w:r>
            <w:r w:rsidRPr="0028033B">
              <w:rPr>
                <w:rFonts w:cs="Calibri"/>
                <w:vertAlign w:val="subscript"/>
              </w:rPr>
              <w:t>4</w:t>
            </w:r>
            <w:r w:rsidRPr="0028033B">
              <w:rPr>
                <w:rFonts w:cs="Calibri"/>
              </w:rPr>
              <w:t xml:space="preserve"> emission rates from Clark et al. (2003) and Swainson et al. (2016) (g CH</w:t>
            </w:r>
            <w:r w:rsidRPr="0028033B">
              <w:rPr>
                <w:rFonts w:cs="Calibri"/>
                <w:vertAlign w:val="subscript"/>
              </w:rPr>
              <w:t>4</w:t>
            </w:r>
            <w:r w:rsidRPr="0028033B">
              <w:rPr>
                <w:rFonts w:cs="Calibri"/>
              </w:rPr>
              <w:t>/kg DMI)</w:t>
            </w:r>
          </w:p>
        </w:tc>
        <w:tc>
          <w:tcPr>
            <w:tcW w:w="1418" w:type="dxa"/>
            <w:vAlign w:val="bottom"/>
          </w:tcPr>
          <w:p w14:paraId="3EEFAC86" w14:textId="77777777" w:rsidR="00E46639" w:rsidRPr="0028033B" w:rsidRDefault="00E46639" w:rsidP="00F16E23">
            <w:pPr>
              <w:pStyle w:val="TableText"/>
              <w:keepNext/>
              <w:spacing w:before="50" w:after="50"/>
              <w:jc w:val="right"/>
              <w:rPr>
                <w:rFonts w:cs="Calibri"/>
              </w:rPr>
            </w:pPr>
            <w:r w:rsidRPr="0028033B">
              <w:rPr>
                <w:rFonts w:cs="Calibri"/>
              </w:rPr>
              <w:t>21.6 × DMI</w:t>
            </w:r>
          </w:p>
        </w:tc>
        <w:tc>
          <w:tcPr>
            <w:tcW w:w="1701" w:type="dxa"/>
            <w:vAlign w:val="bottom"/>
          </w:tcPr>
          <w:p w14:paraId="0BBA5FCF" w14:textId="77777777" w:rsidR="00E46639" w:rsidRPr="0028033B" w:rsidRDefault="00E46639" w:rsidP="00F16E23">
            <w:pPr>
              <w:pStyle w:val="TableText"/>
              <w:keepNext/>
              <w:spacing w:before="50" w:after="50"/>
              <w:jc w:val="right"/>
              <w:rPr>
                <w:rFonts w:cs="Calibri"/>
              </w:rPr>
            </w:pPr>
            <w:r w:rsidRPr="0028033B">
              <w:rPr>
                <w:rFonts w:cs="Calibri"/>
              </w:rPr>
              <w:t>21.977 × DMI</w:t>
            </w:r>
            <w:r w:rsidRPr="0028033B">
              <w:rPr>
                <w:rFonts w:cs="Calibri"/>
                <w:vertAlign w:val="superscript"/>
              </w:rPr>
              <w:t>0.765</w:t>
            </w:r>
          </w:p>
        </w:tc>
        <w:tc>
          <w:tcPr>
            <w:tcW w:w="1984" w:type="dxa"/>
            <w:vAlign w:val="bottom"/>
          </w:tcPr>
          <w:p w14:paraId="07FA347C" w14:textId="77777777" w:rsidR="00E46639" w:rsidRPr="0028033B" w:rsidRDefault="00E46639" w:rsidP="00F16E23">
            <w:pPr>
              <w:pStyle w:val="TableText"/>
              <w:keepNext/>
              <w:spacing w:before="50" w:after="50"/>
              <w:jc w:val="right"/>
              <w:rPr>
                <w:rFonts w:cs="Calibri"/>
              </w:rPr>
            </w:pPr>
            <w:r w:rsidRPr="0028033B">
              <w:rPr>
                <w:rFonts w:cs="Calibri"/>
              </w:rPr>
              <w:t>11.705 × e</w:t>
            </w:r>
            <w:r w:rsidRPr="0028033B">
              <w:rPr>
                <w:rFonts w:cs="Calibri"/>
                <w:vertAlign w:val="superscript"/>
              </w:rPr>
              <w:t>0.5ME</w:t>
            </w:r>
            <w:r w:rsidRPr="0028033B">
              <w:rPr>
                <w:rFonts w:cs="Calibri"/>
              </w:rPr>
              <w:t xml:space="preserve"> × DMI</w:t>
            </w:r>
            <w:r w:rsidRPr="0028033B">
              <w:rPr>
                <w:rFonts w:cs="Calibri"/>
                <w:vertAlign w:val="superscript"/>
              </w:rPr>
              <w:t>0.734</w:t>
            </w:r>
          </w:p>
        </w:tc>
      </w:tr>
      <w:tr w:rsidR="00E46639" w:rsidRPr="0028033B" w14:paraId="78D85D4F" w14:textId="77777777" w:rsidTr="00F16E23">
        <w:tc>
          <w:tcPr>
            <w:tcW w:w="3402" w:type="dxa"/>
            <w:vAlign w:val="bottom"/>
          </w:tcPr>
          <w:p w14:paraId="64076B33" w14:textId="77777777" w:rsidR="00E46639" w:rsidRPr="0028033B" w:rsidRDefault="00E46639" w:rsidP="00F16E23">
            <w:pPr>
              <w:pStyle w:val="TableText"/>
              <w:spacing w:before="50" w:after="50"/>
              <w:rPr>
                <w:rFonts w:cs="Calibri"/>
              </w:rPr>
            </w:pPr>
            <w:r w:rsidRPr="0028033B" w:rsidDel="005204FA">
              <w:rPr>
                <w:rFonts w:cs="Calibri"/>
              </w:rPr>
              <w:t xml:space="preserve">New </w:t>
            </w:r>
            <w:r w:rsidRPr="0028033B">
              <w:rPr>
                <w:rFonts w:cs="Calibri"/>
              </w:rPr>
              <w:t>Zealand data (GEI, %)</w:t>
            </w:r>
          </w:p>
        </w:tc>
        <w:tc>
          <w:tcPr>
            <w:tcW w:w="1418" w:type="dxa"/>
            <w:vAlign w:val="bottom"/>
          </w:tcPr>
          <w:p w14:paraId="0BA87A84" w14:textId="77777777" w:rsidR="00E46639" w:rsidRPr="0028033B" w:rsidRDefault="00E46639" w:rsidP="00F16E23">
            <w:pPr>
              <w:pStyle w:val="TableText"/>
              <w:spacing w:before="50" w:after="50"/>
              <w:jc w:val="right"/>
              <w:rPr>
                <w:rFonts w:cs="Calibri"/>
              </w:rPr>
            </w:pPr>
            <w:r w:rsidRPr="0028033B">
              <w:rPr>
                <w:rFonts w:cs="Calibri"/>
              </w:rPr>
              <w:t>6.5</w:t>
            </w:r>
          </w:p>
        </w:tc>
        <w:tc>
          <w:tcPr>
            <w:tcW w:w="1701" w:type="dxa"/>
            <w:vAlign w:val="bottom"/>
          </w:tcPr>
          <w:p w14:paraId="5970DE83" w14:textId="77777777" w:rsidR="00E46639" w:rsidRPr="0028033B" w:rsidRDefault="00E46639" w:rsidP="00F16E23">
            <w:pPr>
              <w:pStyle w:val="TableText"/>
              <w:spacing w:before="50" w:after="50"/>
              <w:jc w:val="right"/>
              <w:rPr>
                <w:rFonts w:cs="Calibri"/>
              </w:rPr>
            </w:pPr>
            <w:r w:rsidRPr="0028033B">
              <w:rPr>
                <w:rFonts w:cs="Calibri"/>
              </w:rPr>
              <w:t>–</w:t>
            </w:r>
          </w:p>
        </w:tc>
        <w:tc>
          <w:tcPr>
            <w:tcW w:w="1984" w:type="dxa"/>
            <w:vAlign w:val="bottom"/>
          </w:tcPr>
          <w:p w14:paraId="5A152925" w14:textId="77777777" w:rsidR="00E46639" w:rsidRPr="0028033B" w:rsidRDefault="00E46639" w:rsidP="00F16E23">
            <w:pPr>
              <w:pStyle w:val="TableText"/>
              <w:spacing w:before="50" w:after="50"/>
              <w:jc w:val="right"/>
              <w:rPr>
                <w:rFonts w:cs="Calibri"/>
              </w:rPr>
            </w:pPr>
            <w:r w:rsidRPr="0028033B">
              <w:rPr>
                <w:rFonts w:cs="Calibri"/>
              </w:rPr>
              <w:t>–</w:t>
            </w:r>
          </w:p>
        </w:tc>
      </w:tr>
      <w:tr w:rsidR="00E46639" w:rsidRPr="0028033B" w14:paraId="2E8BFBE6" w14:textId="77777777" w:rsidTr="00F16E23">
        <w:tc>
          <w:tcPr>
            <w:tcW w:w="3402" w:type="dxa"/>
            <w:vAlign w:val="bottom"/>
          </w:tcPr>
          <w:p w14:paraId="1F809CFB" w14:textId="77777777" w:rsidR="00E46639" w:rsidRPr="0028033B" w:rsidRDefault="00E46639" w:rsidP="00F16E23">
            <w:pPr>
              <w:pStyle w:val="TableText"/>
              <w:spacing w:before="50" w:after="50"/>
              <w:rPr>
                <w:rFonts w:cs="Calibri"/>
              </w:rPr>
            </w:pPr>
            <w:r w:rsidRPr="0028033B">
              <w:rPr>
                <w:rFonts w:cs="Calibri"/>
              </w:rPr>
              <w:t>IPCC (2006) default Y</w:t>
            </w:r>
            <w:r w:rsidRPr="0028033B">
              <w:rPr>
                <w:rFonts w:cs="Calibri"/>
                <w:vertAlign w:val="subscript"/>
              </w:rPr>
              <w:t>m</w:t>
            </w:r>
            <w:r w:rsidRPr="0028033B">
              <w:rPr>
                <w:rFonts w:cs="Calibri"/>
              </w:rPr>
              <w:t xml:space="preserve"> values (GEI, %)</w:t>
            </w:r>
          </w:p>
        </w:tc>
        <w:tc>
          <w:tcPr>
            <w:tcW w:w="1418" w:type="dxa"/>
            <w:vAlign w:val="bottom"/>
          </w:tcPr>
          <w:p w14:paraId="241317A3" w14:textId="77777777" w:rsidR="00E46639" w:rsidRPr="0028033B" w:rsidRDefault="00E46639" w:rsidP="00F16E23">
            <w:pPr>
              <w:pStyle w:val="TableText"/>
              <w:spacing w:before="50" w:after="50"/>
              <w:jc w:val="right"/>
              <w:rPr>
                <w:rFonts w:cs="Calibri"/>
              </w:rPr>
            </w:pPr>
            <w:r w:rsidRPr="0028033B">
              <w:rPr>
                <w:rFonts w:cs="Calibri"/>
              </w:rPr>
              <w:t>6.5 ± 1.0</w:t>
            </w:r>
          </w:p>
        </w:tc>
        <w:tc>
          <w:tcPr>
            <w:tcW w:w="1701" w:type="dxa"/>
            <w:vAlign w:val="bottom"/>
          </w:tcPr>
          <w:p w14:paraId="0B7E8283" w14:textId="77777777" w:rsidR="00E46639" w:rsidRPr="0028033B" w:rsidRDefault="00E46639" w:rsidP="00F16E23">
            <w:pPr>
              <w:pStyle w:val="TableText"/>
              <w:spacing w:before="50" w:after="50"/>
              <w:jc w:val="right"/>
              <w:rPr>
                <w:rFonts w:cs="Calibri"/>
              </w:rPr>
            </w:pPr>
            <w:r w:rsidRPr="0028033B">
              <w:rPr>
                <w:rFonts w:cs="Calibri"/>
              </w:rPr>
              <w:t>6.5 ± 1.0</w:t>
            </w:r>
          </w:p>
        </w:tc>
        <w:tc>
          <w:tcPr>
            <w:tcW w:w="1984" w:type="dxa"/>
            <w:vAlign w:val="bottom"/>
          </w:tcPr>
          <w:p w14:paraId="0F619B35" w14:textId="77777777" w:rsidR="00E46639" w:rsidRPr="0028033B" w:rsidRDefault="00E46639" w:rsidP="00F16E23">
            <w:pPr>
              <w:pStyle w:val="TableText"/>
              <w:spacing w:before="50" w:after="50"/>
              <w:jc w:val="right"/>
              <w:rPr>
                <w:rFonts w:cs="Calibri"/>
              </w:rPr>
            </w:pPr>
            <w:r w:rsidRPr="0028033B">
              <w:rPr>
                <w:rFonts w:cs="Calibri"/>
              </w:rPr>
              <w:t>4.5 ± 1.0</w:t>
            </w:r>
          </w:p>
        </w:tc>
      </w:tr>
    </w:tbl>
    <w:p w14:paraId="4B4B7082" w14:textId="77777777" w:rsidR="00E46639" w:rsidRPr="0028033B" w:rsidRDefault="00E46639" w:rsidP="00E46639">
      <w:pPr>
        <w:pStyle w:val="Noteundertable"/>
        <w:rPr>
          <w:rFonts w:cs="Calibri"/>
        </w:rPr>
      </w:pPr>
      <w:r w:rsidRPr="0028033B">
        <w:rPr>
          <w:rFonts w:cs="Calibri"/>
          <w:b/>
          <w:bCs/>
        </w:rPr>
        <w:t xml:space="preserve">Note: </w:t>
      </w:r>
      <w:r w:rsidRPr="0028033B">
        <w:rPr>
          <w:rFonts w:cs="Calibri"/>
        </w:rPr>
        <w:tab/>
        <w:t>DMI = dry-matter intake; ME = metabolisable energy; Y</w:t>
      </w:r>
      <w:r w:rsidRPr="0028033B">
        <w:rPr>
          <w:rFonts w:cs="Calibri"/>
          <w:vertAlign w:val="subscript"/>
        </w:rPr>
        <w:t>m</w:t>
      </w:r>
      <w:r w:rsidRPr="0028033B">
        <w:rPr>
          <w:rFonts w:cs="Calibri"/>
        </w:rPr>
        <w:t xml:space="preserve"> = methane yield.</w:t>
      </w:r>
    </w:p>
    <w:p w14:paraId="28280FC8" w14:textId="77777777" w:rsidR="00E46639" w:rsidRPr="0028033B" w:rsidRDefault="00E46639" w:rsidP="00E46639">
      <w:pPr>
        <w:pStyle w:val="BodyText"/>
        <w:spacing w:before="100" w:after="100"/>
        <w:rPr>
          <w:rFonts w:cs="Calibri"/>
        </w:rPr>
      </w:pPr>
      <w:r w:rsidRPr="0028033B">
        <w:rPr>
          <w:rFonts w:cs="Calibri"/>
        </w:rPr>
        <w:t>The adult cattle value is applied to all dairy and non-dairy cattle, irrespective of age. The value for deer is calculated based on the average value for adult cows and the (now defunct) CH</w:t>
      </w:r>
      <w:r w:rsidRPr="0028033B">
        <w:rPr>
          <w:rFonts w:cs="Calibri"/>
          <w:vertAlign w:val="subscript"/>
        </w:rPr>
        <w:t>4</w:t>
      </w:r>
      <w:r w:rsidRPr="0028033B">
        <w:rPr>
          <w:rFonts w:cs="Calibri"/>
        </w:rPr>
        <w:t xml:space="preserve"> emission rate for adult ewes (Clark et al., 2003). This is due to: (i) a lack of country-specific data for deer and (ii) that their liveweights are around halfway between cattle and sheep, both of which have emission factors based on robust, country-specific research. No CH</w:t>
      </w:r>
      <w:r w:rsidRPr="0028033B">
        <w:rPr>
          <w:rFonts w:cs="Calibri"/>
          <w:vertAlign w:val="subscript"/>
        </w:rPr>
        <w:t>4</w:t>
      </w:r>
      <w:r w:rsidRPr="0028033B">
        <w:rPr>
          <w:rFonts w:cs="Calibri"/>
        </w:rPr>
        <w:t xml:space="preserve"> emissions are assumed to arise from very young animals during the time that their diet only consists of milk (first two months for dairy calves, non-dairy calves and lambs, first four months for fawns).</w:t>
      </w:r>
    </w:p>
    <w:p w14:paraId="23F23C5B" w14:textId="77777777" w:rsidR="00E46639" w:rsidRPr="0028033B" w:rsidRDefault="00E46639" w:rsidP="00E46639">
      <w:pPr>
        <w:pStyle w:val="BodyText"/>
        <w:spacing w:before="100" w:after="100"/>
        <w:rPr>
          <w:rFonts w:cs="Calibri"/>
        </w:rPr>
      </w:pPr>
      <w:r w:rsidRPr="0028033B">
        <w:rPr>
          <w:rFonts w:cs="Calibri"/>
        </w:rPr>
        <w:t>Table 5.2.3 shows a time series of CH</w:t>
      </w:r>
      <w:r w:rsidRPr="0028033B">
        <w:rPr>
          <w:rFonts w:cs="Calibri"/>
          <w:vertAlign w:val="subscript"/>
        </w:rPr>
        <w:t>4</w:t>
      </w:r>
      <w:r w:rsidRPr="0028033B">
        <w:rPr>
          <w:rFonts w:cs="Calibri"/>
        </w:rPr>
        <w:t xml:space="preserve"> IEFs (total emissions produced per species or class, divided by the population of animals for each category) for dairy cattle, non-dairy cattle, sheep and deer. </w:t>
      </w:r>
      <w:r w:rsidRPr="0028033B">
        <w:t>New Zealand</w:t>
      </w:r>
      <w:r w:rsidRPr="0028033B">
        <w:rPr>
          <w:rFonts w:cs="Calibri"/>
        </w:rPr>
        <w:t xml:space="preserve"> experiences large inter-annual variability in these IEFs, which is explained further in section 5.1.1. In table 5.2.3, </w:t>
      </w:r>
      <w:r w:rsidRPr="0028033B">
        <w:rPr>
          <w:rFonts w:cs="Calibri"/>
          <w:i/>
          <w:iCs/>
        </w:rPr>
        <w:t>Milking dairy cattle</w:t>
      </w:r>
      <w:r w:rsidRPr="0028033B">
        <w:rPr>
          <w:rFonts w:cs="Calibri"/>
        </w:rPr>
        <w:t xml:space="preserve"> is a subset of </w:t>
      </w:r>
      <w:r w:rsidRPr="0028033B">
        <w:rPr>
          <w:rFonts w:cs="Calibri"/>
          <w:i/>
          <w:iCs/>
        </w:rPr>
        <w:t>All dairy cattle</w:t>
      </w:r>
      <w:r w:rsidRPr="0028033B">
        <w:rPr>
          <w:rFonts w:cs="Calibri"/>
        </w:rPr>
        <w:t xml:space="preserve"> and only includes mature dairy cows that are being milked. </w:t>
      </w:r>
      <w:r w:rsidRPr="0028033B">
        <w:rPr>
          <w:rFonts w:cs="Calibri"/>
          <w:i/>
          <w:iCs/>
        </w:rPr>
        <w:t>All dairy cattle</w:t>
      </w:r>
      <w:r w:rsidRPr="0028033B">
        <w:rPr>
          <w:rFonts w:cs="Calibri"/>
        </w:rPr>
        <w:t xml:space="preserve"> includes milking cows as well as calves, dairy bulls and other dairy cattle not being milked.</w:t>
      </w:r>
    </w:p>
    <w:p w14:paraId="1F023A97" w14:textId="77777777" w:rsidR="00E46639" w:rsidRPr="0028033B" w:rsidRDefault="00E46639" w:rsidP="00E46639">
      <w:pPr>
        <w:pStyle w:val="Table"/>
      </w:pPr>
      <w:bookmarkStart w:id="802" w:name="_Toc441830870"/>
      <w:bookmarkStart w:id="803" w:name="_Toc451176084"/>
      <w:bookmarkStart w:id="804" w:name="_Toc481751510"/>
      <w:bookmarkStart w:id="805" w:name="_Toc507158600"/>
      <w:bookmarkStart w:id="806" w:name="_Toc511116734"/>
      <w:bookmarkStart w:id="807" w:name="_Toc5269474"/>
      <w:bookmarkStart w:id="808" w:name="_Toc32570915"/>
      <w:bookmarkStart w:id="809" w:name="_Toc36224550"/>
      <w:bookmarkStart w:id="810" w:name="_Toc68786436"/>
      <w:bookmarkStart w:id="811" w:name="_Toc95574071"/>
      <w:bookmarkStart w:id="812" w:name="_Toc127458254"/>
      <w:bookmarkStart w:id="813" w:name="_Toc131591350"/>
      <w:bookmarkStart w:id="814" w:name="_Toc160114440"/>
      <w:bookmarkStart w:id="815" w:name="_Toc164153836"/>
      <w:bookmarkStart w:id="816" w:name="_Toc222407620"/>
      <w:bookmarkStart w:id="817" w:name="_Toc226668995"/>
      <w:r w:rsidRPr="0028033B">
        <w:t>Table 5.2.3</w:t>
      </w:r>
      <w:r w:rsidRPr="0028033B">
        <w:tab/>
        <w:t>New Zealand’s implied emission factors for enteric fermentation, from 1990 to</w:t>
      </w:r>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r w:rsidRPr="0028033B">
        <w:t xml:space="preserve"> 2024</w:t>
      </w:r>
      <w:bookmarkEnd w:id="816"/>
      <w:bookmarkEnd w:id="817"/>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00" w:firstRow="0" w:lastRow="0" w:firstColumn="0" w:lastColumn="0" w:noHBand="0" w:noVBand="0"/>
      </w:tblPr>
      <w:tblGrid>
        <w:gridCol w:w="609"/>
        <w:gridCol w:w="1671"/>
        <w:gridCol w:w="1670"/>
        <w:gridCol w:w="1670"/>
        <w:gridCol w:w="1468"/>
        <w:gridCol w:w="1417"/>
      </w:tblGrid>
      <w:tr w:rsidR="00E46639" w:rsidRPr="0028033B" w14:paraId="65396E29" w14:textId="77777777" w:rsidTr="00F16E23">
        <w:trPr>
          <w:trHeight w:val="623"/>
          <w:tblHeader/>
        </w:trPr>
        <w:tc>
          <w:tcPr>
            <w:tcW w:w="609" w:type="dxa"/>
            <w:shd w:val="clear" w:color="auto" w:fill="1B556B"/>
            <w:vAlign w:val="bottom"/>
          </w:tcPr>
          <w:p w14:paraId="338E69EE" w14:textId="77777777" w:rsidR="00E46639" w:rsidRPr="0028033B" w:rsidRDefault="00E46639" w:rsidP="00F16E23">
            <w:pPr>
              <w:pStyle w:val="TableTextBold"/>
              <w:keepNext/>
              <w:spacing w:before="40" w:after="40"/>
              <w:rPr>
                <w:noProof w:val="0"/>
                <w:color w:val="FFFFFF" w:themeColor="background1"/>
                <w:szCs w:val="16"/>
              </w:rPr>
            </w:pPr>
            <w:r w:rsidRPr="0028033B">
              <w:rPr>
                <w:noProof w:val="0"/>
                <w:color w:val="FFFFFF" w:themeColor="background1"/>
                <w:szCs w:val="16"/>
              </w:rPr>
              <w:t>Year</w:t>
            </w:r>
          </w:p>
        </w:tc>
        <w:tc>
          <w:tcPr>
            <w:tcW w:w="1671" w:type="dxa"/>
            <w:shd w:val="clear" w:color="auto" w:fill="1B556B"/>
            <w:vAlign w:val="bottom"/>
          </w:tcPr>
          <w:p w14:paraId="79829657" w14:textId="77777777" w:rsidR="00E46639" w:rsidRPr="0028033B" w:rsidRDefault="00E46639" w:rsidP="00F16E23">
            <w:pPr>
              <w:pStyle w:val="TableTextBold"/>
              <w:tabs>
                <w:tab w:val="left" w:pos="619"/>
              </w:tabs>
              <w:spacing w:before="40" w:after="40"/>
              <w:jc w:val="right"/>
              <w:rPr>
                <w:noProof w:val="0"/>
                <w:color w:val="FFFFFF" w:themeColor="background1"/>
                <w:szCs w:val="16"/>
              </w:rPr>
            </w:pPr>
            <w:r w:rsidRPr="0028033B">
              <w:rPr>
                <w:noProof w:val="0"/>
                <w:color w:val="FFFFFF" w:themeColor="background1"/>
                <w:szCs w:val="16"/>
              </w:rPr>
              <w:t>All dairy cattle</w:t>
            </w:r>
            <w:r w:rsidRPr="0028033B">
              <w:rPr>
                <w:noProof w:val="0"/>
                <w:color w:val="FFFFFF" w:themeColor="background1"/>
                <w:szCs w:val="16"/>
              </w:rPr>
              <w:br/>
              <w:t>(kg CH</w:t>
            </w:r>
            <w:r w:rsidRPr="0028033B">
              <w:rPr>
                <w:noProof w:val="0"/>
                <w:color w:val="FFFFFF" w:themeColor="background1"/>
                <w:szCs w:val="16"/>
                <w:vertAlign w:val="subscript"/>
              </w:rPr>
              <w:t>4</w:t>
            </w:r>
            <w:r w:rsidRPr="0028033B">
              <w:rPr>
                <w:noProof w:val="0"/>
                <w:color w:val="FFFFFF" w:themeColor="background1"/>
                <w:szCs w:val="16"/>
              </w:rPr>
              <w:t xml:space="preserve"> per animal per year)</w:t>
            </w:r>
          </w:p>
        </w:tc>
        <w:tc>
          <w:tcPr>
            <w:tcW w:w="1670" w:type="dxa"/>
            <w:shd w:val="clear" w:color="auto" w:fill="1B556B"/>
          </w:tcPr>
          <w:p w14:paraId="21CE815E" w14:textId="77777777" w:rsidR="00E46639" w:rsidRPr="0028033B" w:rsidRDefault="00E46639" w:rsidP="00F16E23">
            <w:pPr>
              <w:pStyle w:val="TableTextBold"/>
              <w:spacing w:before="40" w:after="40"/>
              <w:jc w:val="right"/>
              <w:rPr>
                <w:noProof w:val="0"/>
                <w:color w:val="FFFFFF" w:themeColor="background1"/>
                <w:szCs w:val="16"/>
              </w:rPr>
            </w:pPr>
            <w:r w:rsidRPr="0028033B">
              <w:rPr>
                <w:noProof w:val="0"/>
                <w:color w:val="FFFFFF" w:themeColor="background1"/>
                <w:szCs w:val="16"/>
              </w:rPr>
              <w:t>Milking dairy cattle (kg CH</w:t>
            </w:r>
            <w:r w:rsidRPr="0028033B">
              <w:rPr>
                <w:noProof w:val="0"/>
                <w:color w:val="FFFFFF" w:themeColor="background1"/>
                <w:szCs w:val="16"/>
                <w:vertAlign w:val="subscript"/>
              </w:rPr>
              <w:t>4</w:t>
            </w:r>
            <w:r w:rsidRPr="0028033B">
              <w:rPr>
                <w:noProof w:val="0"/>
                <w:color w:val="FFFFFF" w:themeColor="background1"/>
                <w:szCs w:val="16"/>
              </w:rPr>
              <w:t xml:space="preserve"> per animal per year)</w:t>
            </w:r>
          </w:p>
        </w:tc>
        <w:tc>
          <w:tcPr>
            <w:tcW w:w="1670" w:type="dxa"/>
            <w:shd w:val="clear" w:color="auto" w:fill="1B556B"/>
            <w:vAlign w:val="bottom"/>
          </w:tcPr>
          <w:p w14:paraId="0A45AD12" w14:textId="77777777" w:rsidR="00E46639" w:rsidRPr="0028033B" w:rsidRDefault="00E46639" w:rsidP="00F16E23">
            <w:pPr>
              <w:pStyle w:val="TableTextBold"/>
              <w:spacing w:before="40" w:after="40"/>
              <w:jc w:val="right"/>
              <w:rPr>
                <w:noProof w:val="0"/>
                <w:color w:val="FFFFFF" w:themeColor="background1"/>
                <w:szCs w:val="16"/>
              </w:rPr>
            </w:pPr>
            <w:r w:rsidRPr="0028033B">
              <w:rPr>
                <w:noProof w:val="0"/>
                <w:color w:val="FFFFFF" w:themeColor="background1"/>
                <w:szCs w:val="16"/>
              </w:rPr>
              <w:t>Non-dairy cattle (kg CH</w:t>
            </w:r>
            <w:r w:rsidRPr="0028033B">
              <w:rPr>
                <w:noProof w:val="0"/>
                <w:color w:val="FFFFFF" w:themeColor="background1"/>
                <w:szCs w:val="16"/>
                <w:vertAlign w:val="subscript"/>
              </w:rPr>
              <w:t>4</w:t>
            </w:r>
            <w:r w:rsidRPr="0028033B">
              <w:rPr>
                <w:noProof w:val="0"/>
                <w:color w:val="FFFFFF" w:themeColor="background1"/>
                <w:szCs w:val="16"/>
              </w:rPr>
              <w:t xml:space="preserve"> per animal per year)</w:t>
            </w:r>
          </w:p>
        </w:tc>
        <w:tc>
          <w:tcPr>
            <w:tcW w:w="1468" w:type="dxa"/>
            <w:shd w:val="clear" w:color="auto" w:fill="1B556B"/>
            <w:vAlign w:val="bottom"/>
          </w:tcPr>
          <w:p w14:paraId="2E0D4EAD" w14:textId="77777777" w:rsidR="00E46639" w:rsidRPr="0028033B" w:rsidRDefault="00E46639" w:rsidP="00F16E23">
            <w:pPr>
              <w:pStyle w:val="TableText"/>
              <w:spacing w:before="40" w:after="40"/>
              <w:jc w:val="right"/>
              <w:rPr>
                <w:b/>
                <w:color w:val="FFFFFF" w:themeColor="background1"/>
              </w:rPr>
            </w:pPr>
            <w:r w:rsidRPr="0028033B">
              <w:rPr>
                <w:b/>
                <w:color w:val="FFFFFF" w:themeColor="background1"/>
              </w:rPr>
              <w:t>Sheep, all</w:t>
            </w:r>
            <w:r w:rsidRPr="0028033B">
              <w:rPr>
                <w:b/>
                <w:color w:val="FFFFFF" w:themeColor="background1"/>
              </w:rPr>
              <w:br/>
              <w:t>(kg CH</w:t>
            </w:r>
            <w:r w:rsidRPr="0028033B">
              <w:rPr>
                <w:b/>
                <w:color w:val="FFFFFF" w:themeColor="background1"/>
                <w:vertAlign w:val="subscript"/>
              </w:rPr>
              <w:t>4</w:t>
            </w:r>
            <w:r w:rsidRPr="0028033B">
              <w:rPr>
                <w:b/>
                <w:color w:val="FFFFFF" w:themeColor="background1"/>
              </w:rPr>
              <w:t xml:space="preserve"> per animal per year)</w:t>
            </w:r>
          </w:p>
        </w:tc>
        <w:tc>
          <w:tcPr>
            <w:tcW w:w="1417" w:type="dxa"/>
            <w:shd w:val="clear" w:color="auto" w:fill="1B556B"/>
            <w:vAlign w:val="bottom"/>
          </w:tcPr>
          <w:p w14:paraId="4F901318" w14:textId="77777777" w:rsidR="00E46639" w:rsidRPr="0028033B" w:rsidRDefault="00E46639" w:rsidP="00F16E23">
            <w:pPr>
              <w:pStyle w:val="TableTextBold"/>
              <w:spacing w:before="40" w:after="40"/>
              <w:jc w:val="right"/>
              <w:rPr>
                <w:noProof w:val="0"/>
                <w:color w:val="FFFFFF" w:themeColor="background1"/>
                <w:szCs w:val="16"/>
              </w:rPr>
            </w:pPr>
            <w:r w:rsidRPr="0028033B">
              <w:rPr>
                <w:noProof w:val="0"/>
                <w:color w:val="FFFFFF" w:themeColor="background1"/>
                <w:szCs w:val="16"/>
              </w:rPr>
              <w:t xml:space="preserve">Deer </w:t>
            </w:r>
            <w:r w:rsidRPr="0028033B">
              <w:rPr>
                <w:noProof w:val="0"/>
                <w:color w:val="FFFFFF" w:themeColor="background1"/>
                <w:szCs w:val="16"/>
              </w:rPr>
              <w:br/>
              <w:t>(kg CH</w:t>
            </w:r>
            <w:r w:rsidRPr="0028033B">
              <w:rPr>
                <w:noProof w:val="0"/>
                <w:color w:val="FFFFFF" w:themeColor="background1"/>
                <w:szCs w:val="16"/>
                <w:vertAlign w:val="subscript"/>
              </w:rPr>
              <w:t>4</w:t>
            </w:r>
            <w:r w:rsidRPr="0028033B">
              <w:rPr>
                <w:noProof w:val="0"/>
                <w:color w:val="FFFFFF" w:themeColor="background1"/>
                <w:szCs w:val="16"/>
              </w:rPr>
              <w:t xml:space="preserve"> per animal per year)</w:t>
            </w:r>
          </w:p>
        </w:tc>
      </w:tr>
      <w:tr w:rsidR="00E46639" w:rsidRPr="0028033B" w14:paraId="2A9E68FE" w14:textId="77777777" w:rsidTr="00F16E23">
        <w:trPr>
          <w:trHeight w:val="239"/>
        </w:trPr>
        <w:tc>
          <w:tcPr>
            <w:tcW w:w="609" w:type="dxa"/>
          </w:tcPr>
          <w:p w14:paraId="6744110E"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1990</w:t>
            </w:r>
          </w:p>
        </w:tc>
        <w:tc>
          <w:tcPr>
            <w:tcW w:w="1671" w:type="dxa"/>
            <w:vAlign w:val="bottom"/>
          </w:tcPr>
          <w:p w14:paraId="394F3116"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72.2</w:t>
            </w:r>
          </w:p>
        </w:tc>
        <w:tc>
          <w:tcPr>
            <w:tcW w:w="1670" w:type="dxa"/>
          </w:tcPr>
          <w:p w14:paraId="2E1ADB28"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76.6</w:t>
            </w:r>
          </w:p>
        </w:tc>
        <w:tc>
          <w:tcPr>
            <w:tcW w:w="1670" w:type="dxa"/>
          </w:tcPr>
          <w:p w14:paraId="57564FEB"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57.5</w:t>
            </w:r>
          </w:p>
        </w:tc>
        <w:tc>
          <w:tcPr>
            <w:tcW w:w="1468" w:type="dxa"/>
          </w:tcPr>
          <w:p w14:paraId="2544C1AA"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9.9</w:t>
            </w:r>
          </w:p>
        </w:tc>
        <w:tc>
          <w:tcPr>
            <w:tcW w:w="1417" w:type="dxa"/>
          </w:tcPr>
          <w:p w14:paraId="59C661AF"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16.4</w:t>
            </w:r>
          </w:p>
        </w:tc>
      </w:tr>
      <w:tr w:rsidR="00E46639" w:rsidRPr="0028033B" w14:paraId="0ED30AE2" w14:textId="77777777" w:rsidTr="00F16E23">
        <w:trPr>
          <w:trHeight w:val="239"/>
        </w:trPr>
        <w:tc>
          <w:tcPr>
            <w:tcW w:w="609" w:type="dxa"/>
          </w:tcPr>
          <w:p w14:paraId="1A2E99C3"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1995</w:t>
            </w:r>
          </w:p>
        </w:tc>
        <w:tc>
          <w:tcPr>
            <w:tcW w:w="1671" w:type="dxa"/>
            <w:vAlign w:val="bottom"/>
          </w:tcPr>
          <w:p w14:paraId="08CD9E3E"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75.3</w:t>
            </w:r>
          </w:p>
        </w:tc>
        <w:tc>
          <w:tcPr>
            <w:tcW w:w="1670" w:type="dxa"/>
          </w:tcPr>
          <w:p w14:paraId="533C602D"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83.0</w:t>
            </w:r>
          </w:p>
        </w:tc>
        <w:tc>
          <w:tcPr>
            <w:tcW w:w="1670" w:type="dxa"/>
          </w:tcPr>
          <w:p w14:paraId="4E428C44"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60.4</w:t>
            </w:r>
          </w:p>
        </w:tc>
        <w:tc>
          <w:tcPr>
            <w:tcW w:w="1468" w:type="dxa"/>
          </w:tcPr>
          <w:p w14:paraId="6A0BF873"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10.5</w:t>
            </w:r>
          </w:p>
        </w:tc>
        <w:tc>
          <w:tcPr>
            <w:tcW w:w="1417" w:type="dxa"/>
          </w:tcPr>
          <w:p w14:paraId="68473542"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18.3</w:t>
            </w:r>
          </w:p>
        </w:tc>
      </w:tr>
      <w:tr w:rsidR="00E46639" w:rsidRPr="0028033B" w14:paraId="443D542C" w14:textId="77777777" w:rsidTr="00F16E23">
        <w:trPr>
          <w:trHeight w:val="239"/>
        </w:trPr>
        <w:tc>
          <w:tcPr>
            <w:tcW w:w="609" w:type="dxa"/>
          </w:tcPr>
          <w:p w14:paraId="515534C7"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2000</w:t>
            </w:r>
          </w:p>
        </w:tc>
        <w:tc>
          <w:tcPr>
            <w:tcW w:w="1671" w:type="dxa"/>
            <w:vAlign w:val="bottom"/>
          </w:tcPr>
          <w:p w14:paraId="4CD6845E"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79.6</w:t>
            </w:r>
          </w:p>
        </w:tc>
        <w:tc>
          <w:tcPr>
            <w:tcW w:w="1670" w:type="dxa"/>
          </w:tcPr>
          <w:p w14:paraId="5CA0EE53"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89.3</w:t>
            </w:r>
          </w:p>
        </w:tc>
        <w:tc>
          <w:tcPr>
            <w:tcW w:w="1670" w:type="dxa"/>
          </w:tcPr>
          <w:p w14:paraId="24E3E0BD"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64.0</w:t>
            </w:r>
          </w:p>
        </w:tc>
        <w:tc>
          <w:tcPr>
            <w:tcW w:w="1468" w:type="dxa"/>
          </w:tcPr>
          <w:p w14:paraId="55316C6E"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11.6</w:t>
            </w:r>
          </w:p>
        </w:tc>
        <w:tc>
          <w:tcPr>
            <w:tcW w:w="1417" w:type="dxa"/>
          </w:tcPr>
          <w:p w14:paraId="64199385"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18.1</w:t>
            </w:r>
          </w:p>
        </w:tc>
      </w:tr>
      <w:tr w:rsidR="00E46639" w:rsidRPr="0028033B" w14:paraId="2F65CAF1" w14:textId="77777777" w:rsidTr="00F16E23">
        <w:trPr>
          <w:trHeight w:val="239"/>
        </w:trPr>
        <w:tc>
          <w:tcPr>
            <w:tcW w:w="609" w:type="dxa"/>
          </w:tcPr>
          <w:p w14:paraId="7FD2E350"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2005</w:t>
            </w:r>
          </w:p>
        </w:tc>
        <w:tc>
          <w:tcPr>
            <w:tcW w:w="1671" w:type="dxa"/>
            <w:vAlign w:val="bottom"/>
          </w:tcPr>
          <w:p w14:paraId="58677144"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82.3</w:t>
            </w:r>
          </w:p>
        </w:tc>
        <w:tc>
          <w:tcPr>
            <w:tcW w:w="1670" w:type="dxa"/>
          </w:tcPr>
          <w:p w14:paraId="13712BA0"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86.6</w:t>
            </w:r>
          </w:p>
        </w:tc>
        <w:tc>
          <w:tcPr>
            <w:tcW w:w="1670" w:type="dxa"/>
          </w:tcPr>
          <w:p w14:paraId="77A35E81"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67.8</w:t>
            </w:r>
          </w:p>
        </w:tc>
        <w:tc>
          <w:tcPr>
            <w:tcW w:w="1468" w:type="dxa"/>
          </w:tcPr>
          <w:p w14:paraId="516D82B5"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11.9</w:t>
            </w:r>
          </w:p>
        </w:tc>
        <w:tc>
          <w:tcPr>
            <w:tcW w:w="1417" w:type="dxa"/>
          </w:tcPr>
          <w:p w14:paraId="713C3FBB"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17.9</w:t>
            </w:r>
          </w:p>
        </w:tc>
      </w:tr>
      <w:tr w:rsidR="00E46639" w:rsidRPr="0028033B" w14:paraId="1CDF64CA" w14:textId="77777777" w:rsidTr="00F16E23">
        <w:trPr>
          <w:trHeight w:val="239"/>
        </w:trPr>
        <w:tc>
          <w:tcPr>
            <w:tcW w:w="609" w:type="dxa"/>
          </w:tcPr>
          <w:p w14:paraId="6F274981"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2010</w:t>
            </w:r>
          </w:p>
        </w:tc>
        <w:tc>
          <w:tcPr>
            <w:tcW w:w="1671" w:type="dxa"/>
            <w:vAlign w:val="bottom"/>
          </w:tcPr>
          <w:p w14:paraId="513BBE6B"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82.7</w:t>
            </w:r>
          </w:p>
        </w:tc>
        <w:tc>
          <w:tcPr>
            <w:tcW w:w="1670" w:type="dxa"/>
          </w:tcPr>
          <w:p w14:paraId="7C04DFB7"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90.5</w:t>
            </w:r>
          </w:p>
        </w:tc>
        <w:tc>
          <w:tcPr>
            <w:tcW w:w="1670" w:type="dxa"/>
          </w:tcPr>
          <w:p w14:paraId="62076F4E"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66.4</w:t>
            </w:r>
          </w:p>
        </w:tc>
        <w:tc>
          <w:tcPr>
            <w:tcW w:w="1468" w:type="dxa"/>
          </w:tcPr>
          <w:p w14:paraId="5245FF0B"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11.8</w:t>
            </w:r>
          </w:p>
        </w:tc>
        <w:tc>
          <w:tcPr>
            <w:tcW w:w="1417" w:type="dxa"/>
          </w:tcPr>
          <w:p w14:paraId="62561E90"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18.3</w:t>
            </w:r>
          </w:p>
        </w:tc>
      </w:tr>
      <w:tr w:rsidR="00E46639" w:rsidRPr="0028033B" w14:paraId="7B987C6C" w14:textId="77777777" w:rsidTr="00F16E23">
        <w:trPr>
          <w:trHeight w:val="239"/>
        </w:trPr>
        <w:tc>
          <w:tcPr>
            <w:tcW w:w="609" w:type="dxa"/>
          </w:tcPr>
          <w:p w14:paraId="412A5121"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2015</w:t>
            </w:r>
          </w:p>
        </w:tc>
        <w:tc>
          <w:tcPr>
            <w:tcW w:w="1671" w:type="dxa"/>
            <w:vAlign w:val="bottom"/>
          </w:tcPr>
          <w:p w14:paraId="0F773E3A"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89.8</w:t>
            </w:r>
          </w:p>
        </w:tc>
        <w:tc>
          <w:tcPr>
            <w:tcW w:w="1670" w:type="dxa"/>
          </w:tcPr>
          <w:p w14:paraId="6C9AE560"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95.9</w:t>
            </w:r>
          </w:p>
        </w:tc>
        <w:tc>
          <w:tcPr>
            <w:tcW w:w="1670" w:type="dxa"/>
          </w:tcPr>
          <w:p w14:paraId="0D5E7775"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64.9</w:t>
            </w:r>
          </w:p>
        </w:tc>
        <w:tc>
          <w:tcPr>
            <w:tcW w:w="1468" w:type="dxa"/>
          </w:tcPr>
          <w:p w14:paraId="7C198669"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12.2</w:t>
            </w:r>
          </w:p>
        </w:tc>
        <w:tc>
          <w:tcPr>
            <w:tcW w:w="1417" w:type="dxa"/>
          </w:tcPr>
          <w:p w14:paraId="7A467236"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18.9</w:t>
            </w:r>
          </w:p>
        </w:tc>
      </w:tr>
      <w:tr w:rsidR="00E46639" w:rsidRPr="0028033B" w14:paraId="3F95023B" w14:textId="77777777" w:rsidTr="00F16E23">
        <w:trPr>
          <w:trHeight w:val="239"/>
        </w:trPr>
        <w:tc>
          <w:tcPr>
            <w:tcW w:w="609" w:type="dxa"/>
          </w:tcPr>
          <w:p w14:paraId="23EA3059"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2020</w:t>
            </w:r>
          </w:p>
        </w:tc>
        <w:tc>
          <w:tcPr>
            <w:tcW w:w="1671" w:type="dxa"/>
            <w:vAlign w:val="bottom"/>
          </w:tcPr>
          <w:p w14:paraId="6A4D9C92"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93.2</w:t>
            </w:r>
          </w:p>
        </w:tc>
        <w:tc>
          <w:tcPr>
            <w:tcW w:w="1670" w:type="dxa"/>
          </w:tcPr>
          <w:p w14:paraId="3E7C8FDD"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101.1</w:t>
            </w:r>
          </w:p>
        </w:tc>
        <w:tc>
          <w:tcPr>
            <w:tcW w:w="1670" w:type="dxa"/>
          </w:tcPr>
          <w:p w14:paraId="4BA7F0AB"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66.1</w:t>
            </w:r>
          </w:p>
        </w:tc>
        <w:tc>
          <w:tcPr>
            <w:tcW w:w="1468" w:type="dxa"/>
          </w:tcPr>
          <w:p w14:paraId="04C8B2BB"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12.7</w:t>
            </w:r>
          </w:p>
        </w:tc>
        <w:tc>
          <w:tcPr>
            <w:tcW w:w="1417" w:type="dxa"/>
          </w:tcPr>
          <w:p w14:paraId="227D64E9"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19.2</w:t>
            </w:r>
          </w:p>
        </w:tc>
      </w:tr>
      <w:tr w:rsidR="00E46639" w:rsidRPr="0028033B" w14:paraId="1889D56B" w14:textId="77777777" w:rsidTr="00F16E23">
        <w:trPr>
          <w:trHeight w:val="239"/>
        </w:trPr>
        <w:tc>
          <w:tcPr>
            <w:tcW w:w="609" w:type="dxa"/>
          </w:tcPr>
          <w:p w14:paraId="52836521" w14:textId="77777777" w:rsidR="00E46639" w:rsidRPr="0028033B" w:rsidRDefault="00E46639" w:rsidP="00F16E23">
            <w:pPr>
              <w:pStyle w:val="TableText"/>
              <w:spacing w:before="30" w:after="30"/>
              <w:rPr>
                <w:rFonts w:cs="Calibri"/>
                <w:color w:val="000000" w:themeColor="text1"/>
                <w:szCs w:val="16"/>
              </w:rPr>
            </w:pPr>
            <w:r w:rsidRPr="0028033B">
              <w:rPr>
                <w:rFonts w:cs="Calibri"/>
                <w:color w:val="000000" w:themeColor="text1"/>
                <w:szCs w:val="16"/>
              </w:rPr>
              <w:t>2024</w:t>
            </w:r>
          </w:p>
        </w:tc>
        <w:tc>
          <w:tcPr>
            <w:tcW w:w="1671" w:type="dxa"/>
            <w:vAlign w:val="bottom"/>
          </w:tcPr>
          <w:p w14:paraId="15CB78B6"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96.5</w:t>
            </w:r>
          </w:p>
        </w:tc>
        <w:tc>
          <w:tcPr>
            <w:tcW w:w="1670" w:type="dxa"/>
          </w:tcPr>
          <w:p w14:paraId="39E289CD"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104.4</w:t>
            </w:r>
          </w:p>
        </w:tc>
        <w:tc>
          <w:tcPr>
            <w:tcW w:w="1670" w:type="dxa"/>
          </w:tcPr>
          <w:p w14:paraId="42CD5357"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69.5</w:t>
            </w:r>
          </w:p>
        </w:tc>
        <w:tc>
          <w:tcPr>
            <w:tcW w:w="1468" w:type="dxa"/>
          </w:tcPr>
          <w:p w14:paraId="5A031096"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12.4</w:t>
            </w:r>
          </w:p>
        </w:tc>
        <w:tc>
          <w:tcPr>
            <w:tcW w:w="1417" w:type="dxa"/>
          </w:tcPr>
          <w:p w14:paraId="42A03E7B" w14:textId="77777777" w:rsidR="00E46639" w:rsidRPr="0028033B" w:rsidRDefault="00E46639" w:rsidP="00F16E23">
            <w:pPr>
              <w:pStyle w:val="TableText"/>
              <w:spacing w:before="30" w:after="30"/>
              <w:jc w:val="right"/>
              <w:rPr>
                <w:rFonts w:cs="Calibri"/>
                <w:color w:val="000000" w:themeColor="text1"/>
                <w:szCs w:val="16"/>
              </w:rPr>
            </w:pPr>
            <w:r w:rsidRPr="0028033B">
              <w:rPr>
                <w:rFonts w:cs="Calibri"/>
                <w:color w:val="000000" w:themeColor="text1"/>
                <w:szCs w:val="16"/>
              </w:rPr>
              <w:t>20.0</w:t>
            </w:r>
          </w:p>
        </w:tc>
      </w:tr>
    </w:tbl>
    <w:p w14:paraId="7ACD3073" w14:textId="77777777" w:rsidR="00E46639" w:rsidRPr="0028033B" w:rsidRDefault="00E46639" w:rsidP="00E46639">
      <w:pPr>
        <w:pStyle w:val="Heading4"/>
        <w:spacing w:before="360"/>
      </w:pPr>
      <w:r w:rsidRPr="0028033B">
        <w:t>Emissions from minor livestock categories</w:t>
      </w:r>
    </w:p>
    <w:p w14:paraId="2CC8B007" w14:textId="77777777" w:rsidR="00E46639" w:rsidRPr="0028033B" w:rsidRDefault="00E46639" w:rsidP="00E46639">
      <w:pPr>
        <w:pStyle w:val="BodyText"/>
        <w:rPr>
          <w:color w:val="000000" w:themeColor="text1"/>
          <w:spacing w:val="-2"/>
        </w:rPr>
      </w:pPr>
      <w:r w:rsidRPr="0028033B">
        <w:t xml:space="preserve">A Tier 1 approach is adopted for the minor livestock categories of </w:t>
      </w:r>
      <w:r w:rsidRPr="0028033B">
        <w:rPr>
          <w:i/>
          <w:iCs/>
        </w:rPr>
        <w:t>Goats</w:t>
      </w:r>
      <w:r w:rsidRPr="0028033B">
        <w:t xml:space="preserve">, </w:t>
      </w:r>
      <w:r w:rsidRPr="0028033B">
        <w:rPr>
          <w:i/>
          <w:iCs/>
        </w:rPr>
        <w:t>Horses</w:t>
      </w:r>
      <w:r w:rsidRPr="0028033B">
        <w:t xml:space="preserve">, </w:t>
      </w:r>
      <w:r w:rsidRPr="0028033B">
        <w:rPr>
          <w:i/>
          <w:iCs/>
        </w:rPr>
        <w:t>Swine</w:t>
      </w:r>
      <w:r w:rsidRPr="0028033B">
        <w:t xml:space="preserve">, </w:t>
      </w:r>
      <w:r w:rsidRPr="0028033B">
        <w:rPr>
          <w:i/>
          <w:iCs/>
        </w:rPr>
        <w:t>Llamas and alpacas</w:t>
      </w:r>
      <w:r w:rsidRPr="0028033B">
        <w:t xml:space="preserve">, and </w:t>
      </w:r>
      <w:r w:rsidRPr="0028033B">
        <w:rPr>
          <w:i/>
          <w:iCs/>
        </w:rPr>
        <w:t>Mules and asses</w:t>
      </w:r>
      <w:r w:rsidRPr="0028033B">
        <w:t xml:space="preserve">, using either IPCC (2006) default emission factors (horses, llamas and alpacas, and mules and asses) or </w:t>
      </w:r>
      <w:r w:rsidRPr="0028033B" w:rsidDel="00080AA9">
        <w:t>New</w:t>
      </w:r>
      <w:r w:rsidRPr="0028033B">
        <w:t xml:space="preserve"> Zealand country-specific emission factors </w:t>
      </w:r>
      <w:r w:rsidRPr="0028033B">
        <w:rPr>
          <w:color w:val="000000" w:themeColor="text1"/>
        </w:rPr>
        <w:t xml:space="preserve">(goats and swine). These minor livestock species comprised 0.2 percent of the total </w:t>
      </w:r>
      <w:r w:rsidRPr="0028033B">
        <w:rPr>
          <w:i/>
          <w:color w:val="000000" w:themeColor="text1"/>
        </w:rPr>
        <w:t>Enteric fermentation</w:t>
      </w:r>
      <w:r w:rsidRPr="0028033B">
        <w:rPr>
          <w:color w:val="000000" w:themeColor="text1"/>
        </w:rPr>
        <w:t xml:space="preserve"> emissions in 2024. The populations of goats, horses, swine, llamas and alpacas, </w:t>
      </w:r>
      <w:r w:rsidRPr="0028033B">
        <w:rPr>
          <w:color w:val="000000" w:themeColor="text1"/>
          <w:spacing w:val="-2"/>
        </w:rPr>
        <w:t>and mules and asses are reported using the statistics and assumptions described in section 5.1.4.</w:t>
      </w:r>
    </w:p>
    <w:p w14:paraId="2A15C6F3" w14:textId="77777777" w:rsidR="00E46639" w:rsidRPr="0028033B" w:rsidRDefault="00E46639" w:rsidP="00E46639">
      <w:pPr>
        <w:pStyle w:val="BodyText"/>
      </w:pPr>
      <w:r w:rsidRPr="0028033B">
        <w:rPr>
          <w:i/>
          <w:iCs/>
        </w:rPr>
        <w:t>Goats:</w:t>
      </w:r>
      <w:r w:rsidRPr="0028033B">
        <w:t xml:space="preserve"> New Zealand uses a Tier 1 approach with country-specific emission factors to determine enteric fermentation emissions from goats. From 1990 to 2024, the goat population declined from 1,062,900 to 72,095. This was largely driven by a decrease in demand for goat fibre and meat. New Zealand uses a country-specific emission factor for goats for enteric fermentation of 7.4 kg CH</w:t>
      </w:r>
      <w:r w:rsidRPr="0028033B">
        <w:rPr>
          <w:vertAlign w:val="subscript"/>
        </w:rPr>
        <w:t>4</w:t>
      </w:r>
      <w:r w:rsidRPr="0028033B">
        <w:t>/year/head</w:t>
      </w:r>
      <w:r w:rsidRPr="0028033B">
        <w:rPr>
          <w:vertAlign w:val="superscript"/>
        </w:rPr>
        <w:t xml:space="preserve"> </w:t>
      </w:r>
      <w:r w:rsidRPr="0028033B">
        <w:t>for 1990 and 8.5 kg CH</w:t>
      </w:r>
      <w:r w:rsidRPr="0028033B">
        <w:rPr>
          <w:vertAlign w:val="subscript"/>
        </w:rPr>
        <w:t>4</w:t>
      </w:r>
      <w:r w:rsidRPr="0028033B">
        <w:t>/year/head for 2009 due to the differing population characteristics for those two years (Lassey, 2012). For the intermediate years between 1990 and 2009 and for 2010 to 2018, the emission factor is calculated based on the goat population, with the assumption that the dairy goat population has remained relatively consistent over time while the rest of the goat population has declined (Burggraaf et al., 2019). From 2019 onward, a constant value of 9.0 kg CH</w:t>
      </w:r>
      <w:r w:rsidRPr="0028033B">
        <w:rPr>
          <w:vertAlign w:val="subscript"/>
        </w:rPr>
        <w:t>4</w:t>
      </w:r>
      <w:r w:rsidRPr="0028033B">
        <w:t>/year/head</w:t>
      </w:r>
      <w:r w:rsidRPr="0028033B">
        <w:rPr>
          <w:vertAlign w:val="superscript"/>
        </w:rPr>
        <w:t xml:space="preserve"> </w:t>
      </w:r>
      <w:r w:rsidRPr="0028033B">
        <w:t>is used. This will be updated when this research is reviewed. This is higher than the IPCC (2006) default value for goats for developed countries, which is 5.0 kg CH</w:t>
      </w:r>
      <w:r w:rsidRPr="0028033B">
        <w:rPr>
          <w:vertAlign w:val="subscript"/>
        </w:rPr>
        <w:t>4</w:t>
      </w:r>
      <w:r w:rsidRPr="0028033B">
        <w:t>/year/head.</w:t>
      </w:r>
    </w:p>
    <w:p w14:paraId="207E19EB" w14:textId="77777777" w:rsidR="00E46639" w:rsidRPr="0028033B" w:rsidRDefault="00E46639" w:rsidP="00E46639">
      <w:pPr>
        <w:pStyle w:val="BodyText"/>
      </w:pPr>
      <w:r w:rsidRPr="0028033B">
        <w:rPr>
          <w:i/>
          <w:spacing w:val="-2"/>
        </w:rPr>
        <w:t>Swine:</w:t>
      </w:r>
      <w:r w:rsidRPr="0028033B">
        <w:rPr>
          <w:spacing w:val="-2"/>
        </w:rPr>
        <w:t xml:space="preserve"> </w:t>
      </w:r>
      <w:r w:rsidRPr="0028033B">
        <w:t>New Zealand</w:t>
      </w:r>
      <w:r w:rsidRPr="0028033B">
        <w:rPr>
          <w:spacing w:val="-2"/>
        </w:rPr>
        <w:t xml:space="preserve"> uses a Tier 1 approach with country-specific emission factors to determine</w:t>
      </w:r>
      <w:r w:rsidRPr="0028033B">
        <w:t xml:space="preserve"> enteric fermentation emissions from swine. Gross energy data from swine diets were used in the Tier 2 IPCC equation (equation 10.21, IPCC, 2006) to determine the country-specific enteric fermentation emission factors for breeding pigs and growing pigs (see table 5.2.4). Surveys of commercial swine diets were conducted in 2009 (Hill, 2012) and 2022 (Ritchie, 2024). For years between the surveys, the emission factors are interpolated. These factors are then multiplied by population data to obtain the total CH</w:t>
      </w:r>
      <w:r w:rsidRPr="0028033B">
        <w:rPr>
          <w:vertAlign w:val="subscript"/>
        </w:rPr>
        <w:t>4</w:t>
      </w:r>
      <w:r w:rsidRPr="0028033B">
        <w:t xml:space="preserve"> emissions produced by swine from enteric fermentation for a given inventory year. </w:t>
      </w:r>
    </w:p>
    <w:p w14:paraId="20B50458" w14:textId="77777777" w:rsidR="00E46639" w:rsidRPr="0028033B" w:rsidRDefault="00E46639" w:rsidP="00E46639">
      <w:pPr>
        <w:pStyle w:val="Table"/>
        <w:rPr>
          <w:rFonts w:cs="Calibri"/>
        </w:rPr>
      </w:pPr>
      <w:bookmarkStart w:id="818" w:name="_Toc222407621"/>
      <w:bookmarkStart w:id="819" w:name="_Toc226668996"/>
      <w:r w:rsidRPr="0028033B">
        <w:rPr>
          <w:rFonts w:cs="Calibri"/>
        </w:rPr>
        <w:t xml:space="preserve">Table 5.2.4 </w:t>
      </w:r>
      <w:r w:rsidRPr="0028033B">
        <w:rPr>
          <w:rFonts w:cs="Calibri"/>
        </w:rPr>
        <w:tab/>
        <w:t>Enteric fermentation emissions factors (kg CH</w:t>
      </w:r>
      <w:r w:rsidRPr="0028033B">
        <w:rPr>
          <w:rFonts w:cs="Calibri"/>
          <w:vertAlign w:val="subscript"/>
        </w:rPr>
        <w:t>4</w:t>
      </w:r>
      <w:r w:rsidRPr="0028033B">
        <w:t>/year/</w:t>
      </w:r>
      <w:r w:rsidRPr="0028033B">
        <w:rPr>
          <w:rFonts w:cs="Calibri"/>
        </w:rPr>
        <w:t>head) for swine classes, from 1990 to 2024</w:t>
      </w:r>
      <w:bookmarkEnd w:id="818"/>
      <w:bookmarkEnd w:id="819"/>
    </w:p>
    <w:tbl>
      <w:tblPr>
        <w:tblW w:w="8505" w:type="dxa"/>
        <w:tblBorders>
          <w:top w:val="single" w:sz="2" w:space="0" w:color="1B556B" w:themeColor="text2"/>
          <w:bottom w:val="single" w:sz="2" w:space="0" w:color="1B556B" w:themeColor="text2"/>
          <w:insideH w:val="single" w:sz="2" w:space="0" w:color="1B556B" w:themeColor="text2"/>
        </w:tblBorders>
        <w:tblCellMar>
          <w:left w:w="85" w:type="dxa"/>
          <w:right w:w="85" w:type="dxa"/>
        </w:tblCellMar>
        <w:tblLook w:val="04A0" w:firstRow="1" w:lastRow="0" w:firstColumn="1" w:lastColumn="0" w:noHBand="0" w:noVBand="1"/>
      </w:tblPr>
      <w:tblGrid>
        <w:gridCol w:w="1450"/>
        <w:gridCol w:w="3148"/>
        <w:gridCol w:w="3907"/>
      </w:tblGrid>
      <w:tr w:rsidR="00E46639" w:rsidRPr="0028033B" w14:paraId="745BF7FF" w14:textId="77777777" w:rsidTr="00F16E23">
        <w:tc>
          <w:tcPr>
            <w:tcW w:w="852" w:type="pct"/>
            <w:shd w:val="clear" w:color="000000" w:fill="1B556B" w:themeFill="text2"/>
            <w:hideMark/>
          </w:tcPr>
          <w:p w14:paraId="5B7471BE" w14:textId="77777777" w:rsidR="00E46639" w:rsidRPr="0028033B" w:rsidRDefault="00E46639" w:rsidP="00F16E23">
            <w:pPr>
              <w:pStyle w:val="TableText"/>
              <w:spacing w:before="40" w:after="40"/>
              <w:rPr>
                <w:b/>
                <w:color w:val="FFFFFF" w:themeColor="background1"/>
              </w:rPr>
            </w:pPr>
            <w:r w:rsidRPr="0028033B">
              <w:rPr>
                <w:b/>
                <w:color w:val="FFFFFF" w:themeColor="background1"/>
              </w:rPr>
              <w:t>Year</w:t>
            </w:r>
          </w:p>
        </w:tc>
        <w:tc>
          <w:tcPr>
            <w:tcW w:w="1850" w:type="pct"/>
            <w:shd w:val="clear" w:color="000000" w:fill="1B556B" w:themeFill="text2"/>
            <w:hideMark/>
          </w:tcPr>
          <w:p w14:paraId="1D3C74B2" w14:textId="77777777" w:rsidR="00E46639" w:rsidRPr="0028033B" w:rsidRDefault="00E46639" w:rsidP="00F16E23">
            <w:pPr>
              <w:pStyle w:val="TableText"/>
              <w:spacing w:before="40" w:after="40"/>
              <w:jc w:val="right"/>
              <w:rPr>
                <w:b/>
                <w:color w:val="FFFFFF" w:themeColor="background1"/>
              </w:rPr>
            </w:pPr>
            <w:r w:rsidRPr="0028033B">
              <w:rPr>
                <w:b/>
                <w:color w:val="FFFFFF" w:themeColor="background1"/>
              </w:rPr>
              <w:t>Breeding pigs (kg CH</w:t>
            </w:r>
            <w:r w:rsidRPr="0028033B">
              <w:rPr>
                <w:b/>
                <w:color w:val="FFFFFF" w:themeColor="background1"/>
                <w:vertAlign w:val="subscript"/>
              </w:rPr>
              <w:t>4</w:t>
            </w:r>
            <w:r w:rsidRPr="0028033B">
              <w:rPr>
                <w:b/>
                <w:color w:val="FFFFFF" w:themeColor="background1"/>
              </w:rPr>
              <w:t xml:space="preserve"> per animal per year)</w:t>
            </w:r>
          </w:p>
        </w:tc>
        <w:tc>
          <w:tcPr>
            <w:tcW w:w="2297" w:type="pct"/>
            <w:shd w:val="clear" w:color="000000" w:fill="1B556B" w:themeFill="text2"/>
            <w:hideMark/>
          </w:tcPr>
          <w:p w14:paraId="33558F01" w14:textId="77777777" w:rsidR="00E46639" w:rsidRPr="0028033B" w:rsidRDefault="00E46639" w:rsidP="00F16E23">
            <w:pPr>
              <w:pStyle w:val="TableText"/>
              <w:spacing w:before="40" w:after="40"/>
              <w:jc w:val="right"/>
              <w:rPr>
                <w:b/>
                <w:color w:val="FFFFFF" w:themeColor="background1"/>
              </w:rPr>
            </w:pPr>
            <w:r w:rsidRPr="0028033B">
              <w:rPr>
                <w:b/>
                <w:color w:val="FFFFFF" w:themeColor="background1"/>
              </w:rPr>
              <w:t>Growing pigs (kg CH</w:t>
            </w:r>
            <w:r w:rsidRPr="0028033B">
              <w:rPr>
                <w:b/>
                <w:color w:val="FFFFFF" w:themeColor="background1"/>
                <w:vertAlign w:val="subscript"/>
              </w:rPr>
              <w:t>4</w:t>
            </w:r>
            <w:r w:rsidRPr="0028033B">
              <w:rPr>
                <w:b/>
                <w:color w:val="FFFFFF" w:themeColor="background1"/>
              </w:rPr>
              <w:t xml:space="preserve"> per animal per year)</w:t>
            </w:r>
          </w:p>
        </w:tc>
      </w:tr>
      <w:tr w:rsidR="00E46639" w:rsidRPr="0028033B" w14:paraId="0382738D" w14:textId="77777777" w:rsidTr="00F16E23">
        <w:tc>
          <w:tcPr>
            <w:tcW w:w="852" w:type="pct"/>
          </w:tcPr>
          <w:p w14:paraId="0745DB4A" w14:textId="77777777" w:rsidR="00E46639" w:rsidRPr="0028033B" w:rsidRDefault="00E46639" w:rsidP="00F16E23">
            <w:pPr>
              <w:pStyle w:val="TableText"/>
              <w:spacing w:before="40" w:after="40"/>
              <w:rPr>
                <w:color w:val="000000" w:themeColor="text1"/>
              </w:rPr>
            </w:pPr>
            <w:r w:rsidRPr="0028033B">
              <w:rPr>
                <w:color w:val="000000" w:themeColor="text1"/>
              </w:rPr>
              <w:t>1990</w:t>
            </w:r>
          </w:p>
        </w:tc>
        <w:tc>
          <w:tcPr>
            <w:tcW w:w="1850" w:type="pct"/>
          </w:tcPr>
          <w:p w14:paraId="1DFA5DDB"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2.21</w:t>
            </w:r>
          </w:p>
        </w:tc>
        <w:tc>
          <w:tcPr>
            <w:tcW w:w="2297" w:type="pct"/>
          </w:tcPr>
          <w:p w14:paraId="28EF6856"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0.89</w:t>
            </w:r>
          </w:p>
        </w:tc>
      </w:tr>
      <w:tr w:rsidR="00E46639" w:rsidRPr="0028033B" w14:paraId="17898B80" w14:textId="77777777" w:rsidTr="00F16E23">
        <w:tc>
          <w:tcPr>
            <w:tcW w:w="852" w:type="pct"/>
          </w:tcPr>
          <w:p w14:paraId="3E97A690" w14:textId="77777777" w:rsidR="00E46639" w:rsidRPr="0028033B" w:rsidRDefault="00E46639" w:rsidP="00F16E23">
            <w:pPr>
              <w:pStyle w:val="TableText"/>
              <w:spacing w:before="40" w:after="40"/>
              <w:rPr>
                <w:color w:val="000000" w:themeColor="text1"/>
              </w:rPr>
            </w:pPr>
            <w:r w:rsidRPr="0028033B">
              <w:rPr>
                <w:color w:val="000000" w:themeColor="text1"/>
              </w:rPr>
              <w:t>1995</w:t>
            </w:r>
          </w:p>
        </w:tc>
        <w:tc>
          <w:tcPr>
            <w:tcW w:w="1850" w:type="pct"/>
          </w:tcPr>
          <w:p w14:paraId="5ADDC0F2"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2.21</w:t>
            </w:r>
          </w:p>
        </w:tc>
        <w:tc>
          <w:tcPr>
            <w:tcW w:w="2297" w:type="pct"/>
          </w:tcPr>
          <w:p w14:paraId="083FED91"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0.89</w:t>
            </w:r>
          </w:p>
        </w:tc>
      </w:tr>
      <w:tr w:rsidR="00E46639" w:rsidRPr="0028033B" w14:paraId="4DCD2217" w14:textId="77777777" w:rsidTr="00F16E23">
        <w:tc>
          <w:tcPr>
            <w:tcW w:w="852" w:type="pct"/>
          </w:tcPr>
          <w:p w14:paraId="12B96D58" w14:textId="77777777" w:rsidR="00E46639" w:rsidRPr="0028033B" w:rsidRDefault="00E46639" w:rsidP="00F16E23">
            <w:pPr>
              <w:pStyle w:val="TableText"/>
              <w:spacing w:before="40" w:after="40"/>
              <w:rPr>
                <w:color w:val="000000" w:themeColor="text1"/>
              </w:rPr>
            </w:pPr>
            <w:r w:rsidRPr="0028033B">
              <w:rPr>
                <w:color w:val="000000" w:themeColor="text1"/>
              </w:rPr>
              <w:t>2000</w:t>
            </w:r>
          </w:p>
        </w:tc>
        <w:tc>
          <w:tcPr>
            <w:tcW w:w="1850" w:type="pct"/>
          </w:tcPr>
          <w:p w14:paraId="6EA47327"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2.21</w:t>
            </w:r>
          </w:p>
        </w:tc>
        <w:tc>
          <w:tcPr>
            <w:tcW w:w="2297" w:type="pct"/>
          </w:tcPr>
          <w:p w14:paraId="35E28320"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0.89</w:t>
            </w:r>
          </w:p>
        </w:tc>
      </w:tr>
      <w:tr w:rsidR="00E46639" w:rsidRPr="0028033B" w14:paraId="0D6E6AF8" w14:textId="77777777" w:rsidTr="00F16E23">
        <w:tc>
          <w:tcPr>
            <w:tcW w:w="852" w:type="pct"/>
          </w:tcPr>
          <w:p w14:paraId="51A1A06D" w14:textId="77777777" w:rsidR="00E46639" w:rsidRPr="0028033B" w:rsidRDefault="00E46639" w:rsidP="00F16E23">
            <w:pPr>
              <w:pStyle w:val="TableText"/>
              <w:spacing w:before="40" w:after="40"/>
              <w:rPr>
                <w:color w:val="000000" w:themeColor="text1"/>
              </w:rPr>
            </w:pPr>
            <w:r w:rsidRPr="0028033B">
              <w:rPr>
                <w:color w:val="000000" w:themeColor="text1"/>
              </w:rPr>
              <w:t>2005</w:t>
            </w:r>
          </w:p>
        </w:tc>
        <w:tc>
          <w:tcPr>
            <w:tcW w:w="1850" w:type="pct"/>
          </w:tcPr>
          <w:p w14:paraId="409447CB"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2.21</w:t>
            </w:r>
          </w:p>
        </w:tc>
        <w:tc>
          <w:tcPr>
            <w:tcW w:w="2297" w:type="pct"/>
          </w:tcPr>
          <w:p w14:paraId="13931A8E"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0.89</w:t>
            </w:r>
          </w:p>
        </w:tc>
      </w:tr>
      <w:tr w:rsidR="00E46639" w:rsidRPr="0028033B" w14:paraId="75C53A6D" w14:textId="77777777" w:rsidTr="00F16E23">
        <w:tc>
          <w:tcPr>
            <w:tcW w:w="852" w:type="pct"/>
          </w:tcPr>
          <w:p w14:paraId="600A541B" w14:textId="77777777" w:rsidR="00E46639" w:rsidRPr="0028033B" w:rsidRDefault="00E46639" w:rsidP="00F16E23">
            <w:pPr>
              <w:pStyle w:val="TableText"/>
              <w:spacing w:before="40" w:after="40"/>
              <w:rPr>
                <w:color w:val="000000" w:themeColor="text1"/>
              </w:rPr>
            </w:pPr>
            <w:r w:rsidRPr="0028033B">
              <w:rPr>
                <w:color w:val="000000" w:themeColor="text1"/>
              </w:rPr>
              <w:t>2010</w:t>
            </w:r>
          </w:p>
        </w:tc>
        <w:tc>
          <w:tcPr>
            <w:tcW w:w="1850" w:type="pct"/>
          </w:tcPr>
          <w:p w14:paraId="07496980"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2.19</w:t>
            </w:r>
          </w:p>
        </w:tc>
        <w:tc>
          <w:tcPr>
            <w:tcW w:w="2297" w:type="pct"/>
          </w:tcPr>
          <w:p w14:paraId="2661173D"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0.89</w:t>
            </w:r>
          </w:p>
        </w:tc>
      </w:tr>
      <w:tr w:rsidR="00E46639" w:rsidRPr="0028033B" w14:paraId="19768CEE" w14:textId="77777777" w:rsidTr="00F16E23">
        <w:tc>
          <w:tcPr>
            <w:tcW w:w="852" w:type="pct"/>
          </w:tcPr>
          <w:p w14:paraId="2A5F5B70" w14:textId="77777777" w:rsidR="00E46639" w:rsidRPr="0028033B" w:rsidRDefault="00E46639" w:rsidP="00F16E23">
            <w:pPr>
              <w:pStyle w:val="TableText"/>
              <w:spacing w:before="40" w:after="40"/>
              <w:rPr>
                <w:color w:val="000000" w:themeColor="text1"/>
              </w:rPr>
            </w:pPr>
            <w:r w:rsidRPr="0028033B">
              <w:rPr>
                <w:color w:val="000000" w:themeColor="text1"/>
              </w:rPr>
              <w:t>2015</w:t>
            </w:r>
          </w:p>
        </w:tc>
        <w:tc>
          <w:tcPr>
            <w:tcW w:w="1850" w:type="pct"/>
          </w:tcPr>
          <w:p w14:paraId="2743AAA3"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2.10</w:t>
            </w:r>
          </w:p>
        </w:tc>
        <w:tc>
          <w:tcPr>
            <w:tcW w:w="2297" w:type="pct"/>
          </w:tcPr>
          <w:p w14:paraId="69F5E59C"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0.85</w:t>
            </w:r>
          </w:p>
        </w:tc>
      </w:tr>
      <w:tr w:rsidR="00E46639" w:rsidRPr="0028033B" w14:paraId="155DE018" w14:textId="77777777" w:rsidTr="00F16E23">
        <w:tc>
          <w:tcPr>
            <w:tcW w:w="852" w:type="pct"/>
          </w:tcPr>
          <w:p w14:paraId="74095894" w14:textId="77777777" w:rsidR="00E46639" w:rsidRPr="0028033B" w:rsidRDefault="00E46639" w:rsidP="00F16E23">
            <w:pPr>
              <w:pStyle w:val="TableText"/>
              <w:spacing w:before="40" w:after="40"/>
              <w:rPr>
                <w:color w:val="000000" w:themeColor="text1"/>
              </w:rPr>
            </w:pPr>
            <w:r w:rsidRPr="0028033B">
              <w:rPr>
                <w:color w:val="000000" w:themeColor="text1"/>
              </w:rPr>
              <w:t>2020</w:t>
            </w:r>
          </w:p>
        </w:tc>
        <w:tc>
          <w:tcPr>
            <w:tcW w:w="1850" w:type="pct"/>
          </w:tcPr>
          <w:p w14:paraId="259828F8"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2.01</w:t>
            </w:r>
          </w:p>
        </w:tc>
        <w:tc>
          <w:tcPr>
            <w:tcW w:w="2297" w:type="pct"/>
          </w:tcPr>
          <w:p w14:paraId="596867AB"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0.82</w:t>
            </w:r>
          </w:p>
        </w:tc>
      </w:tr>
      <w:tr w:rsidR="00E46639" w:rsidRPr="0028033B" w14:paraId="5404868C" w14:textId="77777777" w:rsidTr="00F16E23">
        <w:tc>
          <w:tcPr>
            <w:tcW w:w="852" w:type="pct"/>
          </w:tcPr>
          <w:p w14:paraId="4D6AAB72" w14:textId="77777777" w:rsidR="00E46639" w:rsidRPr="0028033B" w:rsidRDefault="00E46639" w:rsidP="00F16E23">
            <w:pPr>
              <w:pStyle w:val="TableText"/>
              <w:spacing w:before="40" w:after="40"/>
              <w:rPr>
                <w:color w:val="000000" w:themeColor="text1"/>
              </w:rPr>
            </w:pPr>
            <w:r w:rsidRPr="0028033B">
              <w:rPr>
                <w:color w:val="000000" w:themeColor="text1"/>
              </w:rPr>
              <w:t>2023</w:t>
            </w:r>
          </w:p>
        </w:tc>
        <w:tc>
          <w:tcPr>
            <w:tcW w:w="1850" w:type="pct"/>
          </w:tcPr>
          <w:p w14:paraId="10400D22"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1.97</w:t>
            </w:r>
          </w:p>
        </w:tc>
        <w:tc>
          <w:tcPr>
            <w:tcW w:w="2297" w:type="pct"/>
          </w:tcPr>
          <w:p w14:paraId="0444873B"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0.81</w:t>
            </w:r>
          </w:p>
        </w:tc>
      </w:tr>
      <w:tr w:rsidR="00E46639" w:rsidRPr="0028033B" w14:paraId="4B36FA47" w14:textId="77777777" w:rsidTr="00F16E23">
        <w:tc>
          <w:tcPr>
            <w:tcW w:w="852" w:type="pct"/>
          </w:tcPr>
          <w:p w14:paraId="4CAA97D4" w14:textId="77777777" w:rsidR="00E46639" w:rsidRPr="0028033B" w:rsidRDefault="00E46639" w:rsidP="00F16E23">
            <w:pPr>
              <w:pStyle w:val="TableText"/>
              <w:spacing w:before="40" w:after="40"/>
              <w:rPr>
                <w:color w:val="FFC000"/>
              </w:rPr>
            </w:pPr>
            <w:r w:rsidRPr="0028033B">
              <w:rPr>
                <w:color w:val="000000" w:themeColor="text1"/>
              </w:rPr>
              <w:t>2024</w:t>
            </w:r>
          </w:p>
        </w:tc>
        <w:tc>
          <w:tcPr>
            <w:tcW w:w="1850" w:type="pct"/>
          </w:tcPr>
          <w:p w14:paraId="478F7A3B"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1.97</w:t>
            </w:r>
          </w:p>
        </w:tc>
        <w:tc>
          <w:tcPr>
            <w:tcW w:w="2297" w:type="pct"/>
          </w:tcPr>
          <w:p w14:paraId="6650F795" w14:textId="77777777" w:rsidR="00E46639" w:rsidRPr="0028033B" w:rsidRDefault="00E46639" w:rsidP="00F16E23">
            <w:pPr>
              <w:pStyle w:val="TableText"/>
              <w:spacing w:before="40" w:after="40"/>
              <w:jc w:val="right"/>
              <w:rPr>
                <w:color w:val="000000" w:themeColor="text1"/>
                <w:szCs w:val="16"/>
              </w:rPr>
            </w:pPr>
            <w:r w:rsidRPr="0028033B">
              <w:rPr>
                <w:color w:val="000000" w:themeColor="text1"/>
                <w:szCs w:val="16"/>
              </w:rPr>
              <w:t>0.81</w:t>
            </w:r>
          </w:p>
        </w:tc>
      </w:tr>
    </w:tbl>
    <w:p w14:paraId="172C45E5" w14:textId="77777777" w:rsidR="00E46639" w:rsidRPr="0028033B" w:rsidRDefault="00E46639" w:rsidP="00E46639">
      <w:pPr>
        <w:pStyle w:val="BodyText"/>
        <w:spacing w:before="240" w:after="100"/>
      </w:pPr>
      <w:r w:rsidRPr="0028033B">
        <w:t xml:space="preserve">The country-specific emission factors were developed from industry data on gross energy intake (Hill, 2012; Ritchie, 2024) in which data on the composition of swine diets and industry </w:t>
      </w:r>
      <w:r w:rsidRPr="0028033B">
        <w:rPr>
          <w:spacing w:val="-2"/>
        </w:rPr>
        <w:t>practices in place to manage waste from production systems were obtained from representative</w:t>
      </w:r>
      <w:r w:rsidRPr="0028033B">
        <w:t xml:space="preserve"> surveys of swine farms in 2009 and 2022. </w:t>
      </w:r>
      <w:r w:rsidRPr="0028033B">
        <w:rPr>
          <w:spacing w:val="-2"/>
        </w:rPr>
        <w:t>Nutritional information was available for different swine age classes and categories. Additionally</w:t>
      </w:r>
      <w:r w:rsidRPr="0028033B">
        <w:t>, the average value of gross energy intake was adjusted for population and further verified against national animal welfare standards.</w:t>
      </w:r>
    </w:p>
    <w:p w14:paraId="18821C57" w14:textId="77777777" w:rsidR="00E46639" w:rsidRPr="0028033B" w:rsidRDefault="00E46639" w:rsidP="00E46639">
      <w:pPr>
        <w:pStyle w:val="BodyText"/>
        <w:spacing w:after="100"/>
      </w:pPr>
      <w:r w:rsidRPr="0028033B">
        <w:t>The New Zealand emission factors for swine are lower than the IPCC (2006) default for developed countries.</w:t>
      </w:r>
      <w:r w:rsidRPr="0028033B">
        <w:rPr>
          <w:rStyle w:val="FootnoteReference"/>
          <w:rFonts w:cs="Calibri"/>
        </w:rPr>
        <w:footnoteReference w:id="30"/>
      </w:r>
      <w:r w:rsidRPr="0028033B">
        <w:t xml:space="preserve"> The IPCC (2006) default value for swine is based on average values derived from 1980s Western German swine production and population statistics, and is not representative of </w:t>
      </w:r>
      <w:r w:rsidRPr="0028033B" w:rsidDel="00330450">
        <w:t xml:space="preserve">New </w:t>
      </w:r>
      <w:r w:rsidRPr="0028033B">
        <w:t xml:space="preserve">Zealand swine systems. In particular, the default value does not reflect changes in production systems due to improvements in genetic selection, reproductive cycle performance, housing and feed, animal husbandry and herd management. Further information on these factors is provided in the reports by Hill (2012) and Ritchie (2024). </w:t>
      </w:r>
    </w:p>
    <w:p w14:paraId="5285E748" w14:textId="77777777" w:rsidR="00E46639" w:rsidRPr="0028033B" w:rsidRDefault="00E46639" w:rsidP="00E46639">
      <w:pPr>
        <w:pStyle w:val="BodyText"/>
        <w:spacing w:before="100" w:after="100"/>
      </w:pPr>
      <w:r w:rsidRPr="0028033B">
        <w:rPr>
          <w:i/>
          <w:iCs/>
        </w:rPr>
        <w:t>Horses:</w:t>
      </w:r>
      <w:r w:rsidRPr="0028033B">
        <w:t xml:space="preserve"> The IPCC (2006) default value (18 kg CH</w:t>
      </w:r>
      <w:r w:rsidRPr="0028033B">
        <w:rPr>
          <w:vertAlign w:val="subscript"/>
        </w:rPr>
        <w:t>4</w:t>
      </w:r>
      <w:r w:rsidRPr="0028033B">
        <w:t xml:space="preserve">/year/head) is used to estimate </w:t>
      </w:r>
      <w:r w:rsidRPr="0028033B">
        <w:rPr>
          <w:color w:val="000000" w:themeColor="text1"/>
        </w:rPr>
        <w:t>CH</w:t>
      </w:r>
      <w:r w:rsidRPr="0028033B">
        <w:rPr>
          <w:color w:val="000000" w:themeColor="text1"/>
          <w:vertAlign w:val="subscript"/>
        </w:rPr>
        <w:t>4</w:t>
      </w:r>
      <w:r w:rsidRPr="0028033B">
        <w:t xml:space="preserve"> emissions from this livestock category.</w:t>
      </w:r>
    </w:p>
    <w:p w14:paraId="76069F67" w14:textId="77777777" w:rsidR="00E46639" w:rsidRPr="0028033B" w:rsidRDefault="00E46639" w:rsidP="00E46639">
      <w:pPr>
        <w:pStyle w:val="BodyText"/>
        <w:spacing w:before="100" w:after="100"/>
      </w:pPr>
      <w:r w:rsidRPr="0028033B">
        <w:rPr>
          <w:i/>
          <w:iCs/>
        </w:rPr>
        <w:t>Llamas and alpacas:</w:t>
      </w:r>
      <w:r w:rsidRPr="0028033B">
        <w:t xml:space="preserve"> The IPCC (2006) default value (8 kg CH</w:t>
      </w:r>
      <w:r w:rsidRPr="0028033B">
        <w:rPr>
          <w:vertAlign w:val="subscript"/>
        </w:rPr>
        <w:t>4</w:t>
      </w:r>
      <w:r w:rsidRPr="0028033B">
        <w:t xml:space="preserve">/year/head) is used to estimate </w:t>
      </w:r>
      <w:r w:rsidRPr="0028033B">
        <w:rPr>
          <w:color w:val="000000" w:themeColor="text1"/>
        </w:rPr>
        <w:t>CH</w:t>
      </w:r>
      <w:r w:rsidRPr="0028033B">
        <w:rPr>
          <w:color w:val="000000" w:themeColor="text1"/>
          <w:vertAlign w:val="subscript"/>
        </w:rPr>
        <w:t>4</w:t>
      </w:r>
      <w:r w:rsidRPr="0028033B">
        <w:t xml:space="preserve"> emissions from this livestock category. </w:t>
      </w:r>
    </w:p>
    <w:p w14:paraId="771E21FC" w14:textId="77777777" w:rsidR="00E46639" w:rsidRPr="0028033B" w:rsidRDefault="00E46639" w:rsidP="00E46639">
      <w:pPr>
        <w:pStyle w:val="BodyText"/>
        <w:spacing w:before="100" w:after="100"/>
      </w:pPr>
      <w:r w:rsidRPr="0028033B">
        <w:rPr>
          <w:i/>
          <w:iCs/>
        </w:rPr>
        <w:t>Mules and asses:</w:t>
      </w:r>
      <w:r w:rsidRPr="0028033B">
        <w:t xml:space="preserve"> The IPCC (2006) default value is used (10 kg CH</w:t>
      </w:r>
      <w:r w:rsidRPr="0028033B">
        <w:rPr>
          <w:vertAlign w:val="subscript"/>
        </w:rPr>
        <w:t>4</w:t>
      </w:r>
      <w:r w:rsidRPr="0028033B">
        <w:t xml:space="preserve">/year/head) to estimate </w:t>
      </w:r>
      <w:r w:rsidRPr="0028033B">
        <w:rPr>
          <w:color w:val="000000" w:themeColor="text1"/>
        </w:rPr>
        <w:t>CH</w:t>
      </w:r>
      <w:r w:rsidRPr="0028033B">
        <w:rPr>
          <w:color w:val="000000" w:themeColor="text1"/>
          <w:vertAlign w:val="subscript"/>
        </w:rPr>
        <w:t>4</w:t>
      </w:r>
      <w:r w:rsidRPr="0028033B">
        <w:t> emissions from this livestock category.</w:t>
      </w:r>
    </w:p>
    <w:p w14:paraId="5A0AAC38" w14:textId="77777777" w:rsidR="00E46639" w:rsidRPr="0028033B" w:rsidRDefault="00E46639" w:rsidP="00E46639">
      <w:pPr>
        <w:pStyle w:val="BodyText"/>
        <w:spacing w:before="100" w:after="100"/>
      </w:pPr>
      <w:r w:rsidRPr="0028033B">
        <w:rPr>
          <w:i/>
          <w:iCs/>
        </w:rPr>
        <w:t>Ostriches and emus:</w:t>
      </w:r>
      <w:r w:rsidRPr="0028033B">
        <w:t xml:space="preserve"> The IPCC (2019) default value is used (5 kg CH</w:t>
      </w:r>
      <w:r w:rsidRPr="0028033B">
        <w:rPr>
          <w:vertAlign w:val="subscript"/>
        </w:rPr>
        <w:t>4</w:t>
      </w:r>
      <w:r w:rsidRPr="0028033B">
        <w:t xml:space="preserve">/year/head) to estimate </w:t>
      </w:r>
      <w:r w:rsidRPr="0028033B">
        <w:rPr>
          <w:color w:val="000000" w:themeColor="text1"/>
        </w:rPr>
        <w:t>CH</w:t>
      </w:r>
      <w:r w:rsidRPr="0028033B">
        <w:rPr>
          <w:color w:val="000000" w:themeColor="text1"/>
          <w:vertAlign w:val="subscript"/>
        </w:rPr>
        <w:t>4</w:t>
      </w:r>
      <w:r w:rsidRPr="0028033B">
        <w:t xml:space="preserve"> emissions from this livestock category.</w:t>
      </w:r>
    </w:p>
    <w:p w14:paraId="667DBAEE" w14:textId="77777777" w:rsidR="00E46639" w:rsidRPr="0028033B" w:rsidRDefault="00E46639" w:rsidP="00E46639">
      <w:pPr>
        <w:pStyle w:val="Heading3"/>
      </w:pPr>
      <w:r w:rsidRPr="0028033B">
        <w:t>5.2.3</w:t>
      </w:r>
      <w:r w:rsidRPr="0028033B">
        <w:tab/>
      </w:r>
      <w:bookmarkStart w:id="820" w:name="_Toc139253919"/>
      <w:bookmarkStart w:id="821" w:name="_Toc32570653"/>
      <w:bookmarkStart w:id="822" w:name="_Hlk154135495"/>
      <w:r w:rsidRPr="0028033B">
        <w:t>Uncertainty assessment and time-series consistency</w:t>
      </w:r>
      <w:bookmarkEnd w:id="820"/>
      <w:bookmarkEnd w:id="821"/>
      <w:bookmarkEnd w:id="822"/>
    </w:p>
    <w:p w14:paraId="00792D75" w14:textId="77777777" w:rsidR="00E46639" w:rsidRPr="0028033B" w:rsidRDefault="00E46639" w:rsidP="00E46639">
      <w:pPr>
        <w:pStyle w:val="BodyText"/>
      </w:pPr>
      <w:r w:rsidRPr="0028033B">
        <w:t xml:space="preserve">To ensure consistency across emission categories, a single enhanced livestock population characterisation and feed-intake estimate is produced by the Tier 2 model (see volume 2, annex 5, table A5.1.2). It is used in different parts of the calculations for the National Inventory </w:t>
      </w:r>
      <w:r w:rsidRPr="0028033B">
        <w:rPr>
          <w:spacing w:val="-2"/>
        </w:rPr>
        <w:t>Report to estimate: CH</w:t>
      </w:r>
      <w:r w:rsidRPr="0028033B">
        <w:rPr>
          <w:spacing w:val="-2"/>
          <w:vertAlign w:val="subscript"/>
        </w:rPr>
        <w:t>4</w:t>
      </w:r>
      <w:r w:rsidRPr="0028033B">
        <w:rPr>
          <w:spacing w:val="-2"/>
        </w:rPr>
        <w:t xml:space="preserve"> emissions for the </w:t>
      </w:r>
      <w:r w:rsidRPr="0028033B">
        <w:rPr>
          <w:i/>
          <w:iCs/>
          <w:spacing w:val="-2"/>
        </w:rPr>
        <w:t>Enteric fermentation</w:t>
      </w:r>
      <w:r w:rsidRPr="0028033B">
        <w:rPr>
          <w:spacing w:val="-2"/>
        </w:rPr>
        <w:t xml:space="preserve"> category, CH</w:t>
      </w:r>
      <w:r w:rsidRPr="0028033B">
        <w:rPr>
          <w:spacing w:val="-2"/>
          <w:vertAlign w:val="subscript"/>
        </w:rPr>
        <w:t>4</w:t>
      </w:r>
      <w:r w:rsidRPr="0028033B">
        <w:rPr>
          <w:spacing w:val="-2"/>
        </w:rPr>
        <w:t xml:space="preserve"> and N</w:t>
      </w:r>
      <w:r w:rsidRPr="0028033B">
        <w:rPr>
          <w:spacing w:val="-2"/>
          <w:vertAlign w:val="subscript"/>
        </w:rPr>
        <w:t>2</w:t>
      </w:r>
      <w:r w:rsidRPr="0028033B">
        <w:rPr>
          <w:spacing w:val="-2"/>
        </w:rPr>
        <w:t>O emissions</w:t>
      </w:r>
      <w:r w:rsidRPr="0028033B">
        <w:t xml:space="preserve"> for the </w:t>
      </w:r>
      <w:r w:rsidRPr="0028033B">
        <w:rPr>
          <w:i/>
          <w:iCs/>
        </w:rPr>
        <w:t>Manure management</w:t>
      </w:r>
      <w:r w:rsidRPr="0028033B">
        <w:t xml:space="preserve"> category and N</w:t>
      </w:r>
      <w:r w:rsidRPr="0028033B">
        <w:rPr>
          <w:vertAlign w:val="subscript"/>
        </w:rPr>
        <w:t>2</w:t>
      </w:r>
      <w:r w:rsidRPr="0028033B">
        <w:t xml:space="preserve">O emissions for the </w:t>
      </w:r>
      <w:r w:rsidRPr="0028033B">
        <w:rPr>
          <w:i/>
          <w:iCs/>
        </w:rPr>
        <w:t>Pasture, range and paddock manure</w:t>
      </w:r>
      <w:r w:rsidRPr="0028033B">
        <w:t xml:space="preserve"> category.</w:t>
      </w:r>
    </w:p>
    <w:p w14:paraId="43D191AF" w14:textId="77777777" w:rsidR="00E46639" w:rsidRPr="0028033B" w:rsidRDefault="00E46639" w:rsidP="00E46639">
      <w:pPr>
        <w:pStyle w:val="Heading4"/>
      </w:pPr>
      <w:r w:rsidRPr="0028033B">
        <w:t>Livestock numbers</w:t>
      </w:r>
    </w:p>
    <w:p w14:paraId="59CEB88C" w14:textId="77777777" w:rsidR="00E46639" w:rsidRPr="0028033B" w:rsidRDefault="00E46639" w:rsidP="00E46639">
      <w:pPr>
        <w:pStyle w:val="BodyText"/>
      </w:pPr>
      <w:r w:rsidRPr="0028033B">
        <w:t xml:space="preserve">The calculations for total enteric fermentation require livestock population data. Information on the uncertainties and time-series consistency for the livestock population data is included in section 5.1.4 and volume 2, annex 5, section A5.1. </w:t>
      </w:r>
    </w:p>
    <w:p w14:paraId="6A8AAD38" w14:textId="77777777" w:rsidR="00E46639" w:rsidRPr="0028033B" w:rsidRDefault="00E46639" w:rsidP="00E46639">
      <w:pPr>
        <w:pStyle w:val="Heading4"/>
      </w:pPr>
      <w:r w:rsidRPr="0028033B">
        <w:t>Uncertainty of methane emissions from enteric fermentation in sheep and cattle</w:t>
      </w:r>
    </w:p>
    <w:p w14:paraId="65243FCB" w14:textId="77777777" w:rsidR="00E46639" w:rsidRPr="0028033B" w:rsidRDefault="00E46639" w:rsidP="00E46639">
      <w:pPr>
        <w:pStyle w:val="BodyText"/>
        <w:rPr>
          <w:spacing w:val="-2"/>
        </w:rPr>
      </w:pPr>
      <w:r w:rsidRPr="0028033B">
        <w:rPr>
          <w:spacing w:val="-2"/>
        </w:rPr>
        <w:t>Kelliher et al. (2011) calculated the uncertainty of enteric fermentation CH</w:t>
      </w:r>
      <w:r w:rsidRPr="0028033B">
        <w:rPr>
          <w:spacing w:val="-2"/>
          <w:vertAlign w:val="subscript"/>
        </w:rPr>
        <w:t>4</w:t>
      </w:r>
      <w:r w:rsidRPr="0028033B">
        <w:rPr>
          <w:spacing w:val="-2"/>
        </w:rPr>
        <w:t xml:space="preserve"> emissions for sheep and cattle using a Monte Carlo approach. This superseded a previous analysis undertaken by Clark et al. (2003). Kelliher et al. (2011) calculated the uncertainty by expressing the coefficient of variation according to the standard deviation of the CH</w:t>
      </w:r>
      <w:r w:rsidRPr="0028033B">
        <w:rPr>
          <w:spacing w:val="-2"/>
          <w:vertAlign w:val="subscript"/>
        </w:rPr>
        <w:t>4</w:t>
      </w:r>
      <w:r w:rsidRPr="0028033B">
        <w:rPr>
          <w:spacing w:val="-2"/>
        </w:rPr>
        <w:t xml:space="preserve"> yield using a larger sample of measurements (relative to the previous analysis). The analysis was restricted to grass–legume pasture, the predominant diet of sheep and cattle in </w:t>
      </w:r>
      <w:r w:rsidRPr="0028033B" w:rsidDel="00F05AE5">
        <w:rPr>
          <w:spacing w:val="-2"/>
        </w:rPr>
        <w:t xml:space="preserve">New </w:t>
      </w:r>
      <w:r w:rsidRPr="0028033B">
        <w:rPr>
          <w:spacing w:val="-2"/>
        </w:rPr>
        <w:t>Zealand. The resulting overall uncertainty of the enteric CH</w:t>
      </w:r>
      <w:r w:rsidRPr="0028033B">
        <w:rPr>
          <w:spacing w:val="-2"/>
          <w:vertAlign w:val="subscript"/>
        </w:rPr>
        <w:t>4</w:t>
      </w:r>
      <w:r w:rsidRPr="0028033B">
        <w:rPr>
          <w:spacing w:val="-2"/>
        </w:rPr>
        <w:t xml:space="preserve"> emissions inventory, expressed as a 95 percent confidence interval, was ±16 percent (see table 5.2.5).</w:t>
      </w:r>
    </w:p>
    <w:p w14:paraId="3AB031A7" w14:textId="77777777" w:rsidR="00E46639" w:rsidRPr="0028033B" w:rsidRDefault="00E46639" w:rsidP="00E46639">
      <w:pPr>
        <w:pStyle w:val="Table"/>
        <w:rPr>
          <w:rFonts w:cs="Calibri"/>
          <w:color w:val="000000" w:themeColor="text1"/>
        </w:rPr>
      </w:pPr>
      <w:bookmarkStart w:id="823" w:name="_Toc144607406"/>
      <w:bookmarkStart w:id="824" w:name="_Toc144607683"/>
      <w:bookmarkStart w:id="825" w:name="_Toc235955625"/>
      <w:bookmarkStart w:id="826" w:name="_Toc288316750"/>
      <w:bookmarkStart w:id="827" w:name="_Toc352504968"/>
      <w:bookmarkStart w:id="828" w:name="_Toc441830871"/>
      <w:bookmarkStart w:id="829" w:name="_Toc451176085"/>
      <w:bookmarkStart w:id="830" w:name="_Toc481751511"/>
      <w:bookmarkStart w:id="831" w:name="_Toc507158601"/>
      <w:bookmarkStart w:id="832" w:name="_Toc511116735"/>
      <w:bookmarkStart w:id="833" w:name="_Toc5269475"/>
      <w:bookmarkStart w:id="834" w:name="_Toc32570916"/>
      <w:bookmarkStart w:id="835" w:name="_Toc36224551"/>
      <w:bookmarkStart w:id="836" w:name="_Toc68786437"/>
      <w:bookmarkStart w:id="837" w:name="_Toc95574072"/>
      <w:bookmarkStart w:id="838" w:name="_Toc127458255"/>
      <w:bookmarkStart w:id="839" w:name="_Toc131591351"/>
      <w:bookmarkStart w:id="840" w:name="_Toc160114441"/>
      <w:bookmarkStart w:id="841" w:name="_Toc164153837"/>
      <w:bookmarkStart w:id="842" w:name="_Toc222407622"/>
      <w:bookmarkStart w:id="843" w:name="_Toc226668997"/>
      <w:r w:rsidRPr="0028033B">
        <w:rPr>
          <w:rFonts w:cs="Calibri"/>
        </w:rPr>
        <w:t>Table 5.2.5</w:t>
      </w:r>
      <w:r w:rsidRPr="0028033B">
        <w:rPr>
          <w:rFonts w:cs="Calibri"/>
        </w:rPr>
        <w:tab/>
      </w:r>
      <w:r w:rsidRPr="0028033B">
        <w:rPr>
          <w:color w:val="000000" w:themeColor="text1"/>
        </w:rPr>
        <w:t>New Zealand’s</w:t>
      </w:r>
      <w:r w:rsidRPr="0028033B">
        <w:rPr>
          <w:rFonts w:cs="Calibri"/>
          <w:color w:val="000000" w:themeColor="text1"/>
        </w:rPr>
        <w:t xml:space="preserve"> uncertainty in the annual estimate of enteric fermentation emissions for 1990, 2005 and 2024, estimated using </w:t>
      </w:r>
      <w:bookmarkEnd w:id="823"/>
      <w:bookmarkEnd w:id="824"/>
      <w:bookmarkEnd w:id="825"/>
      <w:r w:rsidRPr="0028033B">
        <w:rPr>
          <w:rFonts w:cs="Calibri"/>
          <w:color w:val="000000" w:themeColor="text1"/>
        </w:rPr>
        <w:t>the 95 percent confidence interval (±16 percent</w:t>
      </w:r>
      <w:bookmarkEnd w:id="826"/>
      <w:bookmarkEnd w:id="827"/>
      <w:r w:rsidRPr="0028033B">
        <w:rPr>
          <w:rFonts w:cs="Calibri"/>
          <w:color w:val="000000" w:themeColor="text1"/>
        </w:rPr>
        <w:t>)</w: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710"/>
        <w:gridCol w:w="1842"/>
        <w:gridCol w:w="2269"/>
        <w:gridCol w:w="2041"/>
        <w:gridCol w:w="1643"/>
      </w:tblGrid>
      <w:tr w:rsidR="00E46639" w:rsidRPr="0028033B" w14:paraId="52BDB1A8" w14:textId="77777777" w:rsidTr="00F16E23">
        <w:tc>
          <w:tcPr>
            <w:tcW w:w="417" w:type="pct"/>
            <w:shd w:val="clear" w:color="auto" w:fill="1B556B"/>
            <w:vAlign w:val="bottom"/>
          </w:tcPr>
          <w:p w14:paraId="146DA485" w14:textId="77777777" w:rsidR="00E46639" w:rsidRPr="0028033B" w:rsidRDefault="00E46639" w:rsidP="00F16E23">
            <w:pPr>
              <w:pStyle w:val="TableTextBold"/>
              <w:keepNext/>
              <w:spacing w:before="30" w:after="30"/>
              <w:rPr>
                <w:noProof w:val="0"/>
                <w:color w:val="FFFFFF" w:themeColor="background1"/>
              </w:rPr>
            </w:pPr>
            <w:r w:rsidRPr="0028033B">
              <w:rPr>
                <w:noProof w:val="0"/>
                <w:color w:val="FFFFFF" w:themeColor="background1"/>
              </w:rPr>
              <w:t>Year</w:t>
            </w:r>
          </w:p>
        </w:tc>
        <w:tc>
          <w:tcPr>
            <w:tcW w:w="1083" w:type="pct"/>
            <w:shd w:val="clear" w:color="auto" w:fill="1B556B"/>
            <w:vAlign w:val="bottom"/>
          </w:tcPr>
          <w:p w14:paraId="4D4D356B" w14:textId="77777777" w:rsidR="00E46639" w:rsidRPr="0028033B" w:rsidRDefault="00E46639" w:rsidP="00F16E23">
            <w:pPr>
              <w:pStyle w:val="TableTextBold"/>
              <w:keepNext/>
              <w:spacing w:before="30" w:after="30"/>
              <w:jc w:val="right"/>
              <w:rPr>
                <w:noProof w:val="0"/>
                <w:color w:val="FFFFFF" w:themeColor="background1"/>
              </w:rPr>
            </w:pPr>
            <w:r w:rsidRPr="0028033B">
              <w:rPr>
                <w:noProof w:val="0"/>
                <w:color w:val="FFFFFF" w:themeColor="background1"/>
              </w:rPr>
              <w:t>Enteric CH</w:t>
            </w:r>
            <w:r w:rsidRPr="0028033B">
              <w:rPr>
                <w:noProof w:val="0"/>
                <w:color w:val="FFFFFF" w:themeColor="background1"/>
                <w:vertAlign w:val="subscript"/>
              </w:rPr>
              <w:t>4</w:t>
            </w:r>
            <w:r w:rsidRPr="0028033B">
              <w:rPr>
                <w:noProof w:val="0"/>
                <w:color w:val="FFFFFF" w:themeColor="background1"/>
              </w:rPr>
              <w:t xml:space="preserve"> emissions </w:t>
            </w:r>
            <w:r w:rsidRPr="0028033B">
              <w:rPr>
                <w:noProof w:val="0"/>
                <w:color w:val="FFFFFF" w:themeColor="background1"/>
                <w:szCs w:val="16"/>
              </w:rPr>
              <w:br/>
            </w:r>
            <w:r w:rsidRPr="0028033B">
              <w:rPr>
                <w:noProof w:val="0"/>
                <w:color w:val="FFFFFF" w:themeColor="background1"/>
              </w:rPr>
              <w:t>(kt CH</w:t>
            </w:r>
            <w:r w:rsidRPr="0028033B">
              <w:rPr>
                <w:noProof w:val="0"/>
                <w:color w:val="FFFFFF" w:themeColor="background1"/>
                <w:vertAlign w:val="subscript"/>
              </w:rPr>
              <w:t>4</w:t>
            </w:r>
            <w:r w:rsidRPr="0028033B">
              <w:rPr>
                <w:noProof w:val="0"/>
                <w:color w:val="FFFFFF" w:themeColor="background1"/>
              </w:rPr>
              <w:t>/year)</w:t>
            </w:r>
          </w:p>
        </w:tc>
        <w:tc>
          <w:tcPr>
            <w:tcW w:w="1334" w:type="pct"/>
            <w:shd w:val="clear" w:color="auto" w:fill="1B556B"/>
            <w:vAlign w:val="bottom"/>
          </w:tcPr>
          <w:p w14:paraId="26071F11" w14:textId="77777777" w:rsidR="00E46639" w:rsidRPr="0028033B" w:rsidRDefault="00E46639" w:rsidP="00F16E23">
            <w:pPr>
              <w:pStyle w:val="TableTextBold"/>
              <w:keepNext/>
              <w:spacing w:before="30" w:after="30"/>
              <w:jc w:val="right"/>
              <w:rPr>
                <w:noProof w:val="0"/>
                <w:color w:val="FFFFFF" w:themeColor="background1"/>
              </w:rPr>
            </w:pPr>
            <w:r w:rsidRPr="0028033B">
              <w:rPr>
                <w:noProof w:val="0"/>
                <w:color w:val="FFFFFF" w:themeColor="background1"/>
              </w:rPr>
              <w:t>95% confidence interval minimum</w:t>
            </w:r>
            <w:r>
              <w:rPr>
                <w:noProof w:val="0"/>
                <w:color w:val="FFFFFF" w:themeColor="background1"/>
              </w:rPr>
              <w:t xml:space="preserve"> </w:t>
            </w:r>
            <w:r w:rsidRPr="0028033B">
              <w:rPr>
                <w:noProof w:val="0"/>
                <w:color w:val="FFFFFF" w:themeColor="background1"/>
              </w:rPr>
              <w:t>(kt CH</w:t>
            </w:r>
            <w:r w:rsidRPr="0028033B">
              <w:rPr>
                <w:noProof w:val="0"/>
                <w:color w:val="FFFFFF" w:themeColor="background1"/>
                <w:vertAlign w:val="subscript"/>
              </w:rPr>
              <w:t>4</w:t>
            </w:r>
            <w:r w:rsidRPr="0028033B">
              <w:rPr>
                <w:noProof w:val="0"/>
                <w:color w:val="FFFFFF" w:themeColor="background1"/>
              </w:rPr>
              <w:t>/year)</w:t>
            </w:r>
          </w:p>
        </w:tc>
        <w:tc>
          <w:tcPr>
            <w:tcW w:w="1200" w:type="pct"/>
            <w:shd w:val="clear" w:color="auto" w:fill="1B556B"/>
            <w:vAlign w:val="bottom"/>
          </w:tcPr>
          <w:p w14:paraId="7A3F96CE" w14:textId="77777777" w:rsidR="00E46639" w:rsidRPr="0028033B" w:rsidRDefault="00E46639" w:rsidP="00F16E23">
            <w:pPr>
              <w:pStyle w:val="TableTextBold"/>
              <w:keepNext/>
              <w:spacing w:before="30" w:after="30"/>
              <w:jc w:val="right"/>
              <w:rPr>
                <w:noProof w:val="0"/>
                <w:color w:val="FFFFFF" w:themeColor="background1"/>
              </w:rPr>
            </w:pPr>
            <w:r w:rsidRPr="0028033B">
              <w:rPr>
                <w:noProof w:val="0"/>
                <w:color w:val="FFFFFF" w:themeColor="background1"/>
              </w:rPr>
              <w:t>95% confidence interval maximum (kt CH</w:t>
            </w:r>
            <w:r w:rsidRPr="0028033B">
              <w:rPr>
                <w:noProof w:val="0"/>
                <w:color w:val="FFFFFF" w:themeColor="background1"/>
                <w:vertAlign w:val="subscript"/>
              </w:rPr>
              <w:t>4</w:t>
            </w:r>
            <w:r w:rsidRPr="0028033B">
              <w:rPr>
                <w:noProof w:val="0"/>
                <w:color w:val="FFFFFF" w:themeColor="background1"/>
              </w:rPr>
              <w:t>/year)</w:t>
            </w:r>
          </w:p>
        </w:tc>
        <w:tc>
          <w:tcPr>
            <w:tcW w:w="966" w:type="pct"/>
            <w:shd w:val="clear" w:color="auto" w:fill="1B556B"/>
            <w:vAlign w:val="bottom"/>
          </w:tcPr>
          <w:p w14:paraId="74894F8C" w14:textId="77777777" w:rsidR="00E46639" w:rsidRPr="0028033B" w:rsidRDefault="00E46639" w:rsidP="00F16E23">
            <w:pPr>
              <w:pStyle w:val="TableTextBold"/>
              <w:keepNext/>
              <w:spacing w:before="30" w:after="30"/>
              <w:jc w:val="right"/>
              <w:rPr>
                <w:noProof w:val="0"/>
                <w:color w:val="FFFFFF" w:themeColor="background1"/>
              </w:rPr>
            </w:pPr>
            <w:r w:rsidRPr="0028033B">
              <w:rPr>
                <w:noProof w:val="0"/>
                <w:color w:val="FFFFFF" w:themeColor="background1"/>
              </w:rPr>
              <w:t>Range of uncertainty (kt CH</w:t>
            </w:r>
            <w:r w:rsidRPr="0028033B">
              <w:rPr>
                <w:noProof w:val="0"/>
                <w:color w:val="FFFFFF" w:themeColor="background1"/>
                <w:vertAlign w:val="subscript"/>
              </w:rPr>
              <w:t>4</w:t>
            </w:r>
            <w:r w:rsidRPr="0028033B">
              <w:rPr>
                <w:noProof w:val="0"/>
                <w:color w:val="FFFFFF" w:themeColor="background1"/>
              </w:rPr>
              <w:t>/year)</w:t>
            </w:r>
          </w:p>
        </w:tc>
      </w:tr>
      <w:tr w:rsidR="00E46639" w:rsidRPr="0028033B" w14:paraId="68605220" w14:textId="77777777" w:rsidTr="00F16E23">
        <w:trPr>
          <w:trHeight w:val="247"/>
        </w:trPr>
        <w:tc>
          <w:tcPr>
            <w:tcW w:w="417" w:type="pct"/>
            <w:vAlign w:val="bottom"/>
          </w:tcPr>
          <w:p w14:paraId="5255675A" w14:textId="77777777" w:rsidR="00E46639" w:rsidRPr="0028033B" w:rsidRDefault="00E46639" w:rsidP="00F16E23">
            <w:pPr>
              <w:pStyle w:val="TableText"/>
              <w:spacing w:before="30" w:after="30"/>
              <w:rPr>
                <w:color w:val="000000" w:themeColor="text1"/>
              </w:rPr>
            </w:pPr>
            <w:r w:rsidRPr="0028033B">
              <w:rPr>
                <w:color w:val="000000" w:themeColor="text1"/>
              </w:rPr>
              <w:t>1990</w:t>
            </w:r>
          </w:p>
        </w:tc>
        <w:tc>
          <w:tcPr>
            <w:tcW w:w="1083" w:type="pct"/>
          </w:tcPr>
          <w:p w14:paraId="316AC20F"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1,109.8</w:t>
            </w:r>
          </w:p>
        </w:tc>
        <w:tc>
          <w:tcPr>
            <w:tcW w:w="1334" w:type="pct"/>
          </w:tcPr>
          <w:p w14:paraId="67A39589"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932.2</w:t>
            </w:r>
          </w:p>
        </w:tc>
        <w:tc>
          <w:tcPr>
            <w:tcW w:w="1200" w:type="pct"/>
          </w:tcPr>
          <w:p w14:paraId="09AC8BAE"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1,287.3</w:t>
            </w:r>
          </w:p>
        </w:tc>
        <w:tc>
          <w:tcPr>
            <w:tcW w:w="966" w:type="pct"/>
          </w:tcPr>
          <w:p w14:paraId="3B773CB2"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355.1</w:t>
            </w:r>
          </w:p>
        </w:tc>
      </w:tr>
      <w:tr w:rsidR="00E46639" w:rsidRPr="0028033B" w14:paraId="61E12612" w14:textId="77777777" w:rsidTr="00F16E23">
        <w:trPr>
          <w:trHeight w:val="247"/>
        </w:trPr>
        <w:tc>
          <w:tcPr>
            <w:tcW w:w="417" w:type="pct"/>
            <w:vAlign w:val="bottom"/>
          </w:tcPr>
          <w:p w14:paraId="523B912E" w14:textId="77777777" w:rsidR="00E46639" w:rsidRPr="0028033B" w:rsidRDefault="00E46639" w:rsidP="00F16E23">
            <w:pPr>
              <w:pStyle w:val="TableText"/>
              <w:spacing w:before="30" w:after="30"/>
              <w:rPr>
                <w:color w:val="000000" w:themeColor="text1"/>
              </w:rPr>
            </w:pPr>
            <w:r w:rsidRPr="0028033B">
              <w:rPr>
                <w:color w:val="000000" w:themeColor="text1"/>
              </w:rPr>
              <w:t>2005</w:t>
            </w:r>
          </w:p>
        </w:tc>
        <w:tc>
          <w:tcPr>
            <w:tcW w:w="1083" w:type="pct"/>
          </w:tcPr>
          <w:p w14:paraId="523D7FB4"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1,228.8</w:t>
            </w:r>
          </w:p>
        </w:tc>
        <w:tc>
          <w:tcPr>
            <w:tcW w:w="1334" w:type="pct"/>
          </w:tcPr>
          <w:p w14:paraId="1C590F1C"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1,032.2</w:t>
            </w:r>
          </w:p>
        </w:tc>
        <w:tc>
          <w:tcPr>
            <w:tcW w:w="1200" w:type="pct"/>
          </w:tcPr>
          <w:p w14:paraId="1FA55C2C" w14:textId="77777777" w:rsidR="00E46639" w:rsidRPr="0028033B" w:rsidRDefault="00E46639" w:rsidP="00F16E23">
            <w:pPr>
              <w:pStyle w:val="TableText"/>
              <w:tabs>
                <w:tab w:val="left" w:pos="1234"/>
              </w:tabs>
              <w:spacing w:before="30" w:after="30"/>
              <w:jc w:val="right"/>
              <w:rPr>
                <w:color w:val="000000" w:themeColor="text1"/>
                <w:szCs w:val="16"/>
              </w:rPr>
            </w:pPr>
            <w:r w:rsidRPr="0028033B">
              <w:rPr>
                <w:color w:val="000000" w:themeColor="text1"/>
                <w:szCs w:val="16"/>
              </w:rPr>
              <w:t>1,425.4</w:t>
            </w:r>
          </w:p>
        </w:tc>
        <w:tc>
          <w:tcPr>
            <w:tcW w:w="966" w:type="pct"/>
          </w:tcPr>
          <w:p w14:paraId="25CDC3E6"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393.2</w:t>
            </w:r>
          </w:p>
        </w:tc>
      </w:tr>
      <w:tr w:rsidR="00E46639" w:rsidRPr="0028033B" w14:paraId="3C97C552" w14:textId="77777777" w:rsidTr="00F16E23">
        <w:trPr>
          <w:trHeight w:val="247"/>
        </w:trPr>
        <w:tc>
          <w:tcPr>
            <w:tcW w:w="417" w:type="pct"/>
            <w:vAlign w:val="bottom"/>
          </w:tcPr>
          <w:p w14:paraId="157E6060" w14:textId="77777777" w:rsidR="00E46639" w:rsidRPr="0028033B" w:rsidRDefault="00E46639" w:rsidP="00F16E23">
            <w:pPr>
              <w:pStyle w:val="TableText"/>
              <w:spacing w:before="30" w:after="30"/>
              <w:rPr>
                <w:color w:val="000000" w:themeColor="text1"/>
              </w:rPr>
            </w:pPr>
            <w:r w:rsidRPr="0028033B">
              <w:rPr>
                <w:color w:val="000000" w:themeColor="text1"/>
              </w:rPr>
              <w:t>2024</w:t>
            </w:r>
          </w:p>
        </w:tc>
        <w:tc>
          <w:tcPr>
            <w:tcW w:w="1083" w:type="pct"/>
          </w:tcPr>
          <w:p w14:paraId="2C440291"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1,128.2</w:t>
            </w:r>
          </w:p>
        </w:tc>
        <w:tc>
          <w:tcPr>
            <w:tcW w:w="1334" w:type="pct"/>
          </w:tcPr>
          <w:p w14:paraId="48233749"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947.6</w:t>
            </w:r>
          </w:p>
        </w:tc>
        <w:tc>
          <w:tcPr>
            <w:tcW w:w="1200" w:type="pct"/>
          </w:tcPr>
          <w:p w14:paraId="0A0CD7B8"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1,308.7</w:t>
            </w:r>
          </w:p>
        </w:tc>
        <w:tc>
          <w:tcPr>
            <w:tcW w:w="966" w:type="pct"/>
          </w:tcPr>
          <w:p w14:paraId="29BC6C69" w14:textId="77777777" w:rsidR="00E46639" w:rsidRPr="0028033B" w:rsidRDefault="00E46639" w:rsidP="00F16E23">
            <w:pPr>
              <w:pStyle w:val="TableText"/>
              <w:spacing w:before="30" w:after="30"/>
              <w:jc w:val="right"/>
              <w:rPr>
                <w:color w:val="000000" w:themeColor="text1"/>
                <w:szCs w:val="16"/>
              </w:rPr>
            </w:pPr>
            <w:r w:rsidRPr="0028033B">
              <w:rPr>
                <w:color w:val="000000" w:themeColor="text1"/>
                <w:szCs w:val="16"/>
              </w:rPr>
              <w:t>361.0</w:t>
            </w:r>
          </w:p>
        </w:tc>
      </w:tr>
    </w:tbl>
    <w:p w14:paraId="2579B814" w14:textId="77777777" w:rsidR="00E46639" w:rsidRPr="0028033B" w:rsidRDefault="00E46639" w:rsidP="00E46639">
      <w:pPr>
        <w:pStyle w:val="Noteundertable"/>
        <w:spacing w:after="80"/>
        <w:rPr>
          <w:rFonts w:cs="Calibri"/>
        </w:rPr>
      </w:pPr>
      <w:r w:rsidRPr="0028033B">
        <w:rPr>
          <w:rFonts w:cs="Calibri"/>
          <w:b/>
          <w:bCs/>
        </w:rPr>
        <w:t xml:space="preserve">Note: </w:t>
      </w:r>
      <w:r w:rsidRPr="0028033B">
        <w:rPr>
          <w:rFonts w:cs="Calibri"/>
          <w:b/>
        </w:rPr>
        <w:tab/>
      </w:r>
      <w:r w:rsidRPr="0028033B">
        <w:rPr>
          <w:rFonts w:cs="Calibri"/>
        </w:rPr>
        <w:t>The CH</w:t>
      </w:r>
      <w:r w:rsidRPr="0028033B">
        <w:rPr>
          <w:rFonts w:cs="Calibri"/>
          <w:vertAlign w:val="subscript"/>
        </w:rPr>
        <w:t>4</w:t>
      </w:r>
      <w:r w:rsidRPr="0028033B">
        <w:rPr>
          <w:rFonts w:cs="Calibri"/>
        </w:rPr>
        <w:t xml:space="preserve"> emissions used in the Monte Carlo analysis exclude those from swine, horses, goats, mules and asses, and llamas and alpacas, which represent a very small proportion of total CH</w:t>
      </w:r>
      <w:r w:rsidRPr="0028033B">
        <w:rPr>
          <w:rFonts w:cs="Calibri"/>
          <w:vertAlign w:val="subscript"/>
        </w:rPr>
        <w:t>4</w:t>
      </w:r>
      <w:r w:rsidRPr="0028033B">
        <w:rPr>
          <w:rFonts w:cs="Calibri"/>
        </w:rPr>
        <w:t> emissions.</w:t>
      </w:r>
    </w:p>
    <w:p w14:paraId="49979036" w14:textId="77777777" w:rsidR="00E46639" w:rsidRPr="0028033B" w:rsidRDefault="00E46639" w:rsidP="00E46639">
      <w:pPr>
        <w:pStyle w:val="BodyText"/>
        <w:rPr>
          <w:rFonts w:cs="Calibri"/>
        </w:rPr>
      </w:pPr>
      <w:r w:rsidRPr="0028033B">
        <w:rPr>
          <w:rFonts w:cs="Calibri"/>
        </w:rPr>
        <w:t>Uncertainty in the annual CH</w:t>
      </w:r>
      <w:r w:rsidRPr="0028033B">
        <w:rPr>
          <w:rFonts w:cs="Calibri"/>
          <w:vertAlign w:val="subscript"/>
        </w:rPr>
        <w:t>4</w:t>
      </w:r>
      <w:r w:rsidRPr="0028033B">
        <w:rPr>
          <w:rFonts w:cs="Calibri"/>
        </w:rPr>
        <w:t xml:space="preserve"> estimate is dominated by variance in the measurements of the ‘CH</w:t>
      </w:r>
      <w:r w:rsidRPr="0028033B">
        <w:rPr>
          <w:rFonts w:cs="Calibri"/>
          <w:vertAlign w:val="subscript"/>
        </w:rPr>
        <w:t>4</w:t>
      </w:r>
      <w:r w:rsidRPr="0028033B">
        <w:rPr>
          <w:rFonts w:cs="Calibri"/>
        </w:rPr>
        <w:t xml:space="preserve"> per unit of intake’ factor. This uncertainty is predominantly due to natural variation from one animal to the next due to genetic, farm management and environmental factors. Uncertainties in the estimates of livestock energy requirements, forage quality and animal population data are much smaller (Clark et al., 2003).</w:t>
      </w:r>
    </w:p>
    <w:p w14:paraId="56844341" w14:textId="77777777" w:rsidR="00E46639" w:rsidRPr="0028033B" w:rsidRDefault="00E46639" w:rsidP="00E46639">
      <w:pPr>
        <w:pStyle w:val="Heading3"/>
        <w:spacing w:before="280"/>
      </w:pPr>
      <w:bookmarkStart w:id="844" w:name="_Toc139253920"/>
      <w:bookmarkStart w:id="845" w:name="_Toc32570654"/>
      <w:r w:rsidRPr="0028033B">
        <w:t>5.2.4</w:t>
      </w:r>
      <w:r w:rsidRPr="0028033B">
        <w:tab/>
      </w:r>
      <w:bookmarkStart w:id="846" w:name="_Hlk154135500"/>
      <w:r w:rsidRPr="0028033B">
        <w:t>Category-specific QA/QC</w:t>
      </w:r>
      <w:r w:rsidRPr="0028033B">
        <w:rPr>
          <w:lang w:eastAsia="en-GB"/>
        </w:rPr>
        <w:t xml:space="preserve"> </w:t>
      </w:r>
      <w:r w:rsidRPr="0028033B">
        <w:t>and verification</w:t>
      </w:r>
      <w:bookmarkEnd w:id="844"/>
      <w:bookmarkEnd w:id="845"/>
      <w:bookmarkEnd w:id="846"/>
    </w:p>
    <w:p w14:paraId="2B14F413" w14:textId="77777777" w:rsidR="00E46639" w:rsidRPr="0028033B" w:rsidRDefault="00E46639" w:rsidP="00E46639">
      <w:pPr>
        <w:pStyle w:val="BodyText"/>
      </w:pPr>
      <w:r w:rsidRPr="0028033B">
        <w:t xml:space="preserve">Methane from </w:t>
      </w:r>
      <w:r w:rsidRPr="0028033B">
        <w:rPr>
          <w:i/>
        </w:rPr>
        <w:t>Enteric fermentation</w:t>
      </w:r>
      <w:r w:rsidRPr="0028033B">
        <w:t xml:space="preserve"> from </w:t>
      </w:r>
      <w:r w:rsidRPr="0028033B">
        <w:rPr>
          <w:i/>
        </w:rPr>
        <w:t>Dairy cattle</w:t>
      </w:r>
      <w:r w:rsidRPr="0028033B">
        <w:t xml:space="preserve">, </w:t>
      </w:r>
      <w:r w:rsidRPr="0028033B">
        <w:rPr>
          <w:i/>
        </w:rPr>
        <w:t>Non-dairy</w:t>
      </w:r>
      <w:r w:rsidRPr="0028033B">
        <w:t xml:space="preserve"> </w:t>
      </w:r>
      <w:r w:rsidRPr="0028033B">
        <w:rPr>
          <w:i/>
        </w:rPr>
        <w:t>cattle</w:t>
      </w:r>
      <w:r w:rsidRPr="0028033B">
        <w:t xml:space="preserve">, </w:t>
      </w:r>
      <w:r w:rsidRPr="0028033B">
        <w:rPr>
          <w:i/>
        </w:rPr>
        <w:t xml:space="preserve">Sheep </w:t>
      </w:r>
      <w:r w:rsidRPr="0028033B">
        <w:t xml:space="preserve">and </w:t>
      </w:r>
      <w:r w:rsidRPr="0028033B">
        <w:rPr>
          <w:i/>
        </w:rPr>
        <w:t xml:space="preserve">Deer </w:t>
      </w:r>
      <w:r w:rsidRPr="0028033B">
        <w:t>was identified as a key category (level and trend assessment). In the preparation of this inventory, the data for this category underwent Tier 1 and Tier 2 quality checks.</w:t>
      </w:r>
    </w:p>
    <w:p w14:paraId="5DE4401D" w14:textId="77777777" w:rsidR="00E46639" w:rsidRPr="0028033B" w:rsidRDefault="00E46639" w:rsidP="00E46639">
      <w:pPr>
        <w:pStyle w:val="BodyText"/>
      </w:pPr>
      <w:r w:rsidRPr="0028033B">
        <w:rPr>
          <w:spacing w:val="-2"/>
        </w:rPr>
        <w:t>Enteric CH</w:t>
      </w:r>
      <w:r w:rsidRPr="0028033B">
        <w:rPr>
          <w:spacing w:val="-2"/>
          <w:vertAlign w:val="subscript"/>
        </w:rPr>
        <w:t>4</w:t>
      </w:r>
      <w:r w:rsidRPr="0028033B">
        <w:rPr>
          <w:spacing w:val="-2"/>
        </w:rPr>
        <w:t xml:space="preserve"> emission rates per animal have been verified using </w:t>
      </w:r>
      <w:r w:rsidRPr="0028033B">
        <w:t>micrometeorological</w:t>
      </w:r>
      <w:r w:rsidRPr="0028033B">
        <w:rPr>
          <w:spacing w:val="-2"/>
        </w:rPr>
        <w:t xml:space="preserve"> techniques</w:t>
      </w:r>
      <w:r w:rsidRPr="0028033B">
        <w:t>. Laubach and Kelliher (2004) used the integrated horizontal flux technique and the flux gradient technique to measure CH</w:t>
      </w:r>
      <w:r w:rsidRPr="0028033B">
        <w:rPr>
          <w:vertAlign w:val="subscript"/>
        </w:rPr>
        <w:t>4</w:t>
      </w:r>
      <w:r w:rsidRPr="0028033B">
        <w:t xml:space="preserve"> emission flux above a dairy herd. Both techniques are comparable, within estimated errors, to scaled-up dairy cattle emissions. The emissions from the dairy cattle measured by integrated horizontal flux (averaged over three trials) were 329 (±153) g CH</w:t>
      </w:r>
      <w:r w:rsidRPr="0028033B">
        <w:rPr>
          <w:vertAlign w:val="subscript"/>
        </w:rPr>
        <w:t>4</w:t>
      </w:r>
      <w:r w:rsidRPr="0028033B">
        <w:t>/day/head, compared with 365 (±61) g CH</w:t>
      </w:r>
      <w:r w:rsidRPr="0028033B">
        <w:rPr>
          <w:vertAlign w:val="subscript"/>
        </w:rPr>
        <w:t>4</w:t>
      </w:r>
      <w:r w:rsidRPr="0028033B">
        <w:t>/day/head for the scaled-up measurements reported by Waghorn et al. (2003a, 2003b) using the SF</w:t>
      </w:r>
      <w:r w:rsidRPr="0028033B">
        <w:rPr>
          <w:vertAlign w:val="subscript"/>
        </w:rPr>
        <w:t>6</w:t>
      </w:r>
      <w:r w:rsidRPr="0028033B">
        <w:t> technique for CH</w:t>
      </w:r>
      <w:r w:rsidRPr="0028033B">
        <w:rPr>
          <w:vertAlign w:val="subscript"/>
        </w:rPr>
        <w:t>4</w:t>
      </w:r>
      <w:r w:rsidRPr="0028033B">
        <w:t xml:space="preserve"> measurement. </w:t>
      </w:r>
    </w:p>
    <w:p w14:paraId="187C6FC1" w14:textId="77777777" w:rsidR="00E46639" w:rsidRPr="0028033B" w:rsidRDefault="00E46639" w:rsidP="00E46639">
      <w:pPr>
        <w:pStyle w:val="BodyText"/>
        <w:keepLines/>
      </w:pPr>
      <w:r w:rsidRPr="0028033B">
        <w:t>Enteric CH</w:t>
      </w:r>
      <w:r w:rsidRPr="0028033B">
        <w:rPr>
          <w:vertAlign w:val="subscript"/>
        </w:rPr>
        <w:t>4</w:t>
      </w:r>
      <w:r w:rsidRPr="0028033B">
        <w:t xml:space="preserve"> emissions from lactating dairy cattle have also been measured using the New Zealand SF</w:t>
      </w:r>
      <w:r w:rsidRPr="0028033B">
        <w:rPr>
          <w:vertAlign w:val="subscript"/>
        </w:rPr>
        <w:t>6</w:t>
      </w:r>
      <w:r w:rsidRPr="0028033B">
        <w:t xml:space="preserve"> tracer method compared with the respiration chamber techniques (Grainger et al., 2007). </w:t>
      </w:r>
      <w:r w:rsidRPr="0028033B">
        <w:rPr>
          <w:snapToGrid w:val="0"/>
          <w:color w:val="000000"/>
        </w:rPr>
        <w:t xml:space="preserve">Total </w:t>
      </w:r>
      <w:r w:rsidRPr="0028033B">
        <w:t>CH</w:t>
      </w:r>
      <w:r w:rsidRPr="0028033B">
        <w:rPr>
          <w:vertAlign w:val="subscript"/>
        </w:rPr>
        <w:t xml:space="preserve">4 </w:t>
      </w:r>
      <w:r w:rsidRPr="0028033B">
        <w:t>emissions were similar when measured using respiration chambers (322 g CH</w:t>
      </w:r>
      <w:r w:rsidRPr="0028033B">
        <w:rPr>
          <w:vertAlign w:val="subscript"/>
        </w:rPr>
        <w:t>4</w:t>
      </w:r>
      <w:r w:rsidRPr="0028033B">
        <w:t xml:space="preserve">/day/head) or the </w:t>
      </w:r>
      <w:r w:rsidRPr="0028033B">
        <w:rPr>
          <w:snapToGrid w:val="0"/>
          <w:color w:val="000000"/>
        </w:rPr>
        <w:t>SF</w:t>
      </w:r>
      <w:r w:rsidRPr="0028033B">
        <w:rPr>
          <w:snapToGrid w:val="0"/>
          <w:color w:val="000000"/>
          <w:vertAlign w:val="subscript"/>
        </w:rPr>
        <w:t>6</w:t>
      </w:r>
      <w:r w:rsidRPr="0028033B">
        <w:rPr>
          <w:snapToGrid w:val="0"/>
          <w:color w:val="000000"/>
        </w:rPr>
        <w:t xml:space="preserve"> tracer technique (</w:t>
      </w:r>
      <w:r w:rsidRPr="0028033B">
        <w:t>331 g CH</w:t>
      </w:r>
      <w:r w:rsidRPr="0028033B">
        <w:rPr>
          <w:vertAlign w:val="subscript"/>
        </w:rPr>
        <w:t>4</w:t>
      </w:r>
      <w:r w:rsidRPr="0028033B">
        <w:t>/day/head) but the uncertainty of the SF</w:t>
      </w:r>
      <w:r w:rsidRPr="0028033B">
        <w:rPr>
          <w:vertAlign w:val="subscript"/>
        </w:rPr>
        <w:t>6</w:t>
      </w:r>
      <w:r w:rsidRPr="0028033B">
        <w:t xml:space="preserve"> technique measurements was greater. </w:t>
      </w:r>
    </w:p>
    <w:p w14:paraId="78D80312" w14:textId="77777777" w:rsidR="00E46639" w:rsidRPr="0028033B" w:rsidRDefault="00E46639" w:rsidP="00E46639">
      <w:pPr>
        <w:pStyle w:val="BodyText"/>
        <w:spacing w:before="100" w:after="100"/>
      </w:pPr>
      <w:r w:rsidRPr="0028033B">
        <w:t xml:space="preserve">The calculations in </w:t>
      </w:r>
      <w:r w:rsidRPr="0028033B">
        <w:rPr>
          <w:rFonts w:cs="Calibri"/>
        </w:rPr>
        <w:t>New Zealand’s</w:t>
      </w:r>
      <w:r w:rsidRPr="0028033B">
        <w:t xml:space="preserve"> Agriculture inventory model for all cattle, sheep and deer are Tier 2 and are based on the 2006 IPCC Guidelines (IPCC, 2006). Table 5.2.6 shows a comparison of the </w:t>
      </w:r>
      <w:r w:rsidRPr="0028033B" w:rsidDel="006D1CCF">
        <w:rPr>
          <w:rFonts w:cs="Calibri"/>
        </w:rPr>
        <w:t xml:space="preserve">New </w:t>
      </w:r>
      <w:r w:rsidRPr="0028033B">
        <w:rPr>
          <w:rFonts w:cs="Calibri"/>
        </w:rPr>
        <w:t>Zealand</w:t>
      </w:r>
      <w:r w:rsidRPr="0028033B">
        <w:t xml:space="preserve">-specific 2024 IEFs for enteric fermentation with the IPCC Tier 1 Oceania default value, the IPCC Tier 2 net energy-based value and the Australian-specific </w:t>
      </w:r>
      <w:r w:rsidRPr="0028033B">
        <w:rPr>
          <w:color w:val="000000" w:themeColor="text1"/>
        </w:rPr>
        <w:t xml:space="preserve">2023 </w:t>
      </w:r>
      <w:r w:rsidRPr="0028033B">
        <w:t xml:space="preserve">IEF for dairy cattle, non-dairy cattle and sheep. </w:t>
      </w:r>
    </w:p>
    <w:p w14:paraId="11FAC014" w14:textId="77777777" w:rsidR="00E46639" w:rsidRPr="0028033B" w:rsidRDefault="00E46639" w:rsidP="00E46639">
      <w:pPr>
        <w:pStyle w:val="BodyText"/>
      </w:pPr>
      <w:r w:rsidRPr="0028033B">
        <w:t xml:space="preserve">The IPCC Tier 2 net energy-based values are determined from the net energy algorithms in the 2006 IPCC Guidelines (equation 10.16) for dairy cattle, non-dairy (beef) cattle and sheep (IPCC, 2006). </w:t>
      </w:r>
      <w:r w:rsidRPr="0028033B">
        <w:rPr>
          <w:rFonts w:cs="Calibri"/>
        </w:rPr>
        <w:t>New Zealand’s</w:t>
      </w:r>
      <w:r w:rsidRPr="0028033B">
        <w:t xml:space="preserve"> Agriculture inventory model calculates emissions for sheep (one year of age and older) and lambs (less than one year old) separately. Therefore, to provide an appropriate comparison between the </w:t>
      </w:r>
      <w:r w:rsidRPr="0028033B" w:rsidDel="0073489B">
        <w:rPr>
          <w:rFonts w:cs="Calibri"/>
        </w:rPr>
        <w:t xml:space="preserve">New </w:t>
      </w:r>
      <w:r w:rsidRPr="0028033B">
        <w:rPr>
          <w:rFonts w:cs="Calibri"/>
        </w:rPr>
        <w:t>Zealand</w:t>
      </w:r>
      <w:r w:rsidRPr="0028033B">
        <w:t>-specific IEF and the IPCC Tier 2 net energy-based values for sheep, the gross energy values determined using the IPCC Tier 2 energy equations were obtained for both sheep and lambs.</w:t>
      </w:r>
    </w:p>
    <w:p w14:paraId="5BA78087" w14:textId="77777777" w:rsidR="00E46639" w:rsidRPr="0028033B" w:rsidRDefault="00E46639" w:rsidP="00E46639">
      <w:pPr>
        <w:pStyle w:val="Table"/>
        <w:rPr>
          <w:rFonts w:cs="Calibri"/>
        </w:rPr>
      </w:pPr>
      <w:bookmarkStart w:id="847" w:name="_Toc288316751"/>
      <w:bookmarkStart w:id="848" w:name="_Toc352504969"/>
      <w:bookmarkStart w:id="849" w:name="_Toc441830872"/>
      <w:bookmarkStart w:id="850" w:name="_Toc451176086"/>
      <w:bookmarkStart w:id="851" w:name="_Toc481751512"/>
      <w:bookmarkStart w:id="852" w:name="_Toc507158602"/>
      <w:bookmarkStart w:id="853" w:name="_Toc511116736"/>
      <w:bookmarkStart w:id="854" w:name="_Toc5269476"/>
      <w:bookmarkStart w:id="855" w:name="_Toc32570917"/>
      <w:bookmarkStart w:id="856" w:name="_Toc36224552"/>
      <w:bookmarkStart w:id="857" w:name="_Toc68786438"/>
      <w:bookmarkStart w:id="858" w:name="_Toc95574073"/>
      <w:bookmarkStart w:id="859" w:name="_Toc127458256"/>
      <w:bookmarkStart w:id="860" w:name="_Toc131591352"/>
      <w:bookmarkStart w:id="861" w:name="_Toc160114442"/>
      <w:bookmarkStart w:id="862" w:name="_Toc164153838"/>
      <w:bookmarkStart w:id="863" w:name="_Toc222407623"/>
      <w:bookmarkStart w:id="864" w:name="_Toc226668998"/>
      <w:r w:rsidRPr="0028033B">
        <w:rPr>
          <w:rFonts w:cs="Calibri"/>
        </w:rPr>
        <w:t>Table 5.2.6</w:t>
      </w:r>
      <w:r w:rsidRPr="0028033B">
        <w:rPr>
          <w:rFonts w:cs="Calibri"/>
        </w:rPr>
        <w:tab/>
        <w:t>Comparison of the IPCC (2006) default emission factor and country-specific implied emission factors (IEFs) for methane (CH</w:t>
      </w:r>
      <w:r w:rsidRPr="0028033B">
        <w:rPr>
          <w:rFonts w:cs="Calibri"/>
          <w:vertAlign w:val="subscript"/>
        </w:rPr>
        <w:t>4</w:t>
      </w:r>
      <w:r w:rsidRPr="0028033B">
        <w:rPr>
          <w:rFonts w:cs="Calibri"/>
        </w:rPr>
        <w:t xml:space="preserve">) from </w:t>
      </w:r>
      <w:r w:rsidRPr="0028033B">
        <w:rPr>
          <w:rFonts w:cs="Calibri"/>
          <w:i/>
          <w:iCs/>
        </w:rPr>
        <w:t>Enteric fermentation</w:t>
      </w:r>
      <w:r w:rsidRPr="0028033B">
        <w:rPr>
          <w:rFonts w:cs="Calibri"/>
        </w:rPr>
        <w:t xml:space="preserve"> for </w:t>
      </w:r>
      <w:r w:rsidRPr="0028033B">
        <w:rPr>
          <w:rFonts w:cs="Calibri"/>
          <w:i/>
          <w:iCs/>
        </w:rPr>
        <w:t>Dairy cattle</w:t>
      </w:r>
      <w:r w:rsidRPr="0028033B">
        <w:rPr>
          <w:rFonts w:cs="Calibri"/>
        </w:rPr>
        <w:t>,</w:t>
      </w:r>
      <w:r w:rsidRPr="0028033B">
        <w:rPr>
          <w:rFonts w:cs="Calibri"/>
        </w:rPr>
        <w:br/>
      </w:r>
      <w:r w:rsidRPr="0028033B">
        <w:rPr>
          <w:rFonts w:cs="Calibri"/>
          <w:i/>
          <w:iCs/>
        </w:rPr>
        <w:t>Non</w:t>
      </w:r>
      <w:r w:rsidRPr="0028033B">
        <w:rPr>
          <w:rFonts w:cs="Calibri"/>
          <w:i/>
          <w:iCs/>
        </w:rPr>
        <w:noBreakHyphen/>
        <w:t>dairy</w:t>
      </w:r>
      <w:r w:rsidRPr="0028033B">
        <w:rPr>
          <w:rFonts w:cs="Calibri"/>
        </w:rPr>
        <w:t xml:space="preserve"> </w:t>
      </w:r>
      <w:r w:rsidRPr="0028033B">
        <w:rPr>
          <w:rFonts w:cs="Calibri"/>
          <w:i/>
          <w:iCs/>
        </w:rPr>
        <w:t>cattle</w:t>
      </w:r>
      <w:r w:rsidRPr="0028033B">
        <w:rPr>
          <w:rFonts w:cs="Calibri"/>
        </w:rPr>
        <w:t xml:space="preserve"> and </w:t>
      </w:r>
      <w:r w:rsidRPr="0028033B">
        <w:rPr>
          <w:rFonts w:cs="Calibri"/>
          <w:i/>
          <w:iCs/>
        </w:rPr>
        <w:t>Sheep</w:t>
      </w:r>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tbl>
      <w:tblPr>
        <w:tblW w:w="8562"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57" w:type="dxa"/>
        </w:tblCellMar>
        <w:tblLook w:val="0000" w:firstRow="0" w:lastRow="0" w:firstColumn="0" w:lastColumn="0" w:noHBand="0" w:noVBand="0"/>
      </w:tblPr>
      <w:tblGrid>
        <w:gridCol w:w="2977"/>
        <w:gridCol w:w="2627"/>
        <w:gridCol w:w="1460"/>
        <w:gridCol w:w="1498"/>
      </w:tblGrid>
      <w:tr w:rsidR="00E46639" w:rsidRPr="0028033B" w14:paraId="7448DC12" w14:textId="77777777" w:rsidTr="00F16E23">
        <w:trPr>
          <w:trHeight w:val="406"/>
          <w:tblHeader/>
        </w:trPr>
        <w:tc>
          <w:tcPr>
            <w:tcW w:w="2977" w:type="dxa"/>
            <w:shd w:val="clear" w:color="auto" w:fill="1B556B"/>
          </w:tcPr>
          <w:p w14:paraId="43FA9CE6" w14:textId="77777777" w:rsidR="00E46639" w:rsidRPr="0028033B" w:rsidRDefault="00E46639" w:rsidP="00F16E23">
            <w:pPr>
              <w:pStyle w:val="TableTextBold"/>
              <w:spacing w:before="40" w:after="40"/>
              <w:rPr>
                <w:noProof w:val="0"/>
                <w:color w:val="FFFFFF" w:themeColor="background1"/>
                <w:szCs w:val="16"/>
              </w:rPr>
            </w:pPr>
          </w:p>
        </w:tc>
        <w:tc>
          <w:tcPr>
            <w:tcW w:w="2627" w:type="dxa"/>
            <w:shd w:val="clear" w:color="auto" w:fill="1B556B"/>
            <w:vAlign w:val="bottom"/>
          </w:tcPr>
          <w:p w14:paraId="006205F1" w14:textId="77777777" w:rsidR="00E46639" w:rsidRPr="0028033B" w:rsidRDefault="00E46639" w:rsidP="00F16E23">
            <w:pPr>
              <w:pStyle w:val="TableTextBold"/>
              <w:spacing w:before="40" w:after="40"/>
              <w:jc w:val="right"/>
              <w:rPr>
                <w:noProof w:val="0"/>
                <w:color w:val="FFFFFF" w:themeColor="background1"/>
                <w:szCs w:val="16"/>
              </w:rPr>
            </w:pPr>
            <w:r w:rsidRPr="0028033B">
              <w:rPr>
                <w:noProof w:val="0"/>
                <w:color w:val="FFFFFF" w:themeColor="background1"/>
                <w:szCs w:val="16"/>
              </w:rPr>
              <w:t>Dairy cattle</w:t>
            </w:r>
            <w:r w:rsidRPr="0028033B">
              <w:rPr>
                <w:noProof w:val="0"/>
                <w:color w:val="FFFFFF" w:themeColor="background1"/>
                <w:szCs w:val="16"/>
              </w:rPr>
              <w:br/>
              <w:t>(kg CH</w:t>
            </w:r>
            <w:r w:rsidRPr="0028033B">
              <w:rPr>
                <w:noProof w:val="0"/>
                <w:color w:val="FFFFFF" w:themeColor="background1"/>
                <w:szCs w:val="16"/>
                <w:vertAlign w:val="subscript"/>
              </w:rPr>
              <w:t>4</w:t>
            </w:r>
            <w:r w:rsidRPr="0028033B">
              <w:rPr>
                <w:noProof w:val="0"/>
                <w:color w:val="FFFFFF" w:themeColor="background1"/>
                <w:szCs w:val="16"/>
              </w:rPr>
              <w:t>/year/head)</w:t>
            </w:r>
          </w:p>
        </w:tc>
        <w:tc>
          <w:tcPr>
            <w:tcW w:w="1460" w:type="dxa"/>
            <w:shd w:val="clear" w:color="auto" w:fill="1B556B"/>
            <w:vAlign w:val="bottom"/>
          </w:tcPr>
          <w:p w14:paraId="4B8A8E9F" w14:textId="77777777" w:rsidR="00E46639" w:rsidRPr="0028033B" w:rsidRDefault="00E46639" w:rsidP="00F16E23">
            <w:pPr>
              <w:pStyle w:val="TableTextBold"/>
              <w:spacing w:before="40" w:after="40"/>
              <w:jc w:val="right"/>
              <w:rPr>
                <w:noProof w:val="0"/>
                <w:color w:val="FFFFFF" w:themeColor="background1"/>
                <w:szCs w:val="16"/>
              </w:rPr>
            </w:pPr>
            <w:r w:rsidRPr="0028033B">
              <w:rPr>
                <w:noProof w:val="0"/>
                <w:color w:val="FFFFFF" w:themeColor="background1"/>
                <w:szCs w:val="16"/>
              </w:rPr>
              <w:t>Non-dairy cattle</w:t>
            </w:r>
            <w:r w:rsidRPr="0028033B">
              <w:rPr>
                <w:noProof w:val="0"/>
                <w:color w:val="FFFFFF" w:themeColor="background1"/>
                <w:szCs w:val="16"/>
              </w:rPr>
              <w:br/>
              <w:t>(kg CH</w:t>
            </w:r>
            <w:r w:rsidRPr="0028033B">
              <w:rPr>
                <w:noProof w:val="0"/>
                <w:color w:val="FFFFFF" w:themeColor="background1"/>
                <w:szCs w:val="16"/>
                <w:vertAlign w:val="subscript"/>
              </w:rPr>
              <w:t>4</w:t>
            </w:r>
            <w:r w:rsidRPr="0028033B">
              <w:rPr>
                <w:noProof w:val="0"/>
                <w:color w:val="FFFFFF" w:themeColor="background1"/>
                <w:szCs w:val="16"/>
              </w:rPr>
              <w:t>/year/head)</w:t>
            </w:r>
          </w:p>
        </w:tc>
        <w:tc>
          <w:tcPr>
            <w:tcW w:w="1498" w:type="dxa"/>
            <w:shd w:val="clear" w:color="auto" w:fill="1B556B"/>
            <w:vAlign w:val="bottom"/>
          </w:tcPr>
          <w:p w14:paraId="1D8E39B7" w14:textId="77777777" w:rsidR="00E46639" w:rsidRPr="0028033B" w:rsidRDefault="00E46639" w:rsidP="00F16E23">
            <w:pPr>
              <w:pStyle w:val="TableTextBold"/>
              <w:spacing w:before="40" w:after="40"/>
              <w:jc w:val="right"/>
              <w:rPr>
                <w:noProof w:val="0"/>
                <w:color w:val="FFFFFF" w:themeColor="background1"/>
                <w:szCs w:val="16"/>
              </w:rPr>
            </w:pPr>
            <w:r w:rsidRPr="0028033B">
              <w:rPr>
                <w:noProof w:val="0"/>
                <w:color w:val="FFFFFF" w:themeColor="background1"/>
                <w:szCs w:val="16"/>
              </w:rPr>
              <w:t>Sheep</w:t>
            </w:r>
            <w:r w:rsidRPr="0028033B">
              <w:rPr>
                <w:noProof w:val="0"/>
                <w:color w:val="FFFFFF" w:themeColor="background1"/>
                <w:szCs w:val="16"/>
              </w:rPr>
              <w:br/>
              <w:t>(kg CH</w:t>
            </w:r>
            <w:r w:rsidRPr="0028033B">
              <w:rPr>
                <w:noProof w:val="0"/>
                <w:color w:val="FFFFFF" w:themeColor="background1"/>
                <w:szCs w:val="16"/>
                <w:vertAlign w:val="subscript"/>
              </w:rPr>
              <w:t>4</w:t>
            </w:r>
            <w:r w:rsidRPr="0028033B">
              <w:rPr>
                <w:noProof w:val="0"/>
                <w:color w:val="FFFFFF" w:themeColor="background1"/>
                <w:szCs w:val="16"/>
              </w:rPr>
              <w:t>/year/head)</w:t>
            </w:r>
          </w:p>
        </w:tc>
      </w:tr>
      <w:tr w:rsidR="00E46639" w:rsidRPr="0028033B" w14:paraId="55F23A85" w14:textId="77777777" w:rsidTr="00F16E23">
        <w:trPr>
          <w:trHeight w:val="248"/>
        </w:trPr>
        <w:tc>
          <w:tcPr>
            <w:tcW w:w="2977" w:type="dxa"/>
          </w:tcPr>
          <w:p w14:paraId="2A2FA064" w14:textId="77777777" w:rsidR="00E46639" w:rsidRPr="0028033B" w:rsidRDefault="00E46639" w:rsidP="00F16E23">
            <w:pPr>
              <w:pStyle w:val="TableText"/>
              <w:spacing w:before="40" w:after="40"/>
              <w:rPr>
                <w:rFonts w:cs="Calibri"/>
                <w:szCs w:val="16"/>
              </w:rPr>
            </w:pPr>
            <w:r w:rsidRPr="0028033B">
              <w:rPr>
                <w:rFonts w:cs="Calibri"/>
                <w:szCs w:val="16"/>
              </w:rPr>
              <w:t>IPCC (2006) Tier 1 Oceania default value</w:t>
            </w:r>
          </w:p>
        </w:tc>
        <w:tc>
          <w:tcPr>
            <w:tcW w:w="2627" w:type="dxa"/>
          </w:tcPr>
          <w:p w14:paraId="0028EDEE" w14:textId="77777777" w:rsidR="00E46639" w:rsidRPr="0028033B" w:rsidRDefault="00E46639" w:rsidP="00F16E23">
            <w:pPr>
              <w:pStyle w:val="TableText"/>
              <w:spacing w:before="40" w:after="40"/>
              <w:jc w:val="right"/>
              <w:rPr>
                <w:rFonts w:cs="Calibri"/>
                <w:szCs w:val="16"/>
              </w:rPr>
            </w:pPr>
            <w:r w:rsidRPr="0028033B">
              <w:rPr>
                <w:rFonts w:cs="Calibri"/>
                <w:szCs w:val="16"/>
              </w:rPr>
              <w:t>90.0</w:t>
            </w:r>
          </w:p>
        </w:tc>
        <w:tc>
          <w:tcPr>
            <w:tcW w:w="1460" w:type="dxa"/>
          </w:tcPr>
          <w:p w14:paraId="3D3C6F85" w14:textId="77777777" w:rsidR="00E46639" w:rsidRPr="0028033B" w:rsidRDefault="00E46639" w:rsidP="00F16E23">
            <w:pPr>
              <w:pStyle w:val="TableText"/>
              <w:spacing w:before="40" w:after="40"/>
              <w:jc w:val="right"/>
              <w:rPr>
                <w:rFonts w:cs="Calibri"/>
                <w:szCs w:val="16"/>
              </w:rPr>
            </w:pPr>
            <w:r w:rsidRPr="0028033B">
              <w:rPr>
                <w:rFonts w:cs="Calibri"/>
                <w:szCs w:val="16"/>
              </w:rPr>
              <w:t>60.0</w:t>
            </w:r>
          </w:p>
        </w:tc>
        <w:tc>
          <w:tcPr>
            <w:tcW w:w="1498" w:type="dxa"/>
          </w:tcPr>
          <w:p w14:paraId="528F13AA" w14:textId="77777777" w:rsidR="00E46639" w:rsidRPr="0028033B" w:rsidRDefault="00E46639" w:rsidP="00F16E23">
            <w:pPr>
              <w:pStyle w:val="TableText"/>
              <w:spacing w:before="40" w:after="40"/>
              <w:jc w:val="right"/>
              <w:rPr>
                <w:rFonts w:cs="Calibri"/>
                <w:szCs w:val="16"/>
              </w:rPr>
            </w:pPr>
            <w:r w:rsidRPr="0028033B">
              <w:rPr>
                <w:rFonts w:cs="Calibri"/>
                <w:szCs w:val="16"/>
              </w:rPr>
              <w:t>8.0</w:t>
            </w:r>
          </w:p>
        </w:tc>
      </w:tr>
      <w:tr w:rsidR="00E46639" w:rsidRPr="0028033B" w14:paraId="363F2D9D" w14:textId="77777777" w:rsidTr="00F16E23">
        <w:trPr>
          <w:trHeight w:val="248"/>
        </w:trPr>
        <w:tc>
          <w:tcPr>
            <w:tcW w:w="2977" w:type="dxa"/>
          </w:tcPr>
          <w:p w14:paraId="48BBF162" w14:textId="77777777" w:rsidR="00E46639" w:rsidRPr="0028033B" w:rsidRDefault="00E46639" w:rsidP="00F16E23">
            <w:pPr>
              <w:pStyle w:val="TableText"/>
              <w:spacing w:before="40" w:after="40"/>
              <w:rPr>
                <w:rFonts w:cs="Calibri"/>
                <w:szCs w:val="16"/>
              </w:rPr>
            </w:pPr>
            <w:r w:rsidRPr="0028033B">
              <w:rPr>
                <w:rFonts w:cs="Calibri"/>
                <w:szCs w:val="16"/>
              </w:rPr>
              <w:t>IPCC (2006) Tier 2 net energy-based value</w:t>
            </w:r>
          </w:p>
        </w:tc>
        <w:tc>
          <w:tcPr>
            <w:tcW w:w="2627" w:type="dxa"/>
          </w:tcPr>
          <w:p w14:paraId="6D281A1C" w14:textId="77777777" w:rsidR="00E46639" w:rsidRPr="0028033B" w:rsidRDefault="00E46639" w:rsidP="00F16E23">
            <w:pPr>
              <w:pStyle w:val="TableText"/>
              <w:spacing w:before="40" w:after="40"/>
              <w:jc w:val="right"/>
              <w:rPr>
                <w:rFonts w:cs="Calibri"/>
                <w:szCs w:val="16"/>
              </w:rPr>
            </w:pPr>
            <w:r w:rsidRPr="0028033B">
              <w:rPr>
                <w:rFonts w:cs="Calibri"/>
                <w:szCs w:val="16"/>
              </w:rPr>
              <w:t>72.5</w:t>
            </w:r>
          </w:p>
        </w:tc>
        <w:tc>
          <w:tcPr>
            <w:tcW w:w="1460" w:type="dxa"/>
          </w:tcPr>
          <w:p w14:paraId="367E9863" w14:textId="77777777" w:rsidR="00E46639" w:rsidRPr="0028033B" w:rsidRDefault="00E46639" w:rsidP="00F16E23">
            <w:pPr>
              <w:pStyle w:val="TableText"/>
              <w:spacing w:before="40" w:after="40"/>
              <w:jc w:val="right"/>
              <w:rPr>
                <w:rFonts w:cs="Calibri"/>
                <w:szCs w:val="16"/>
              </w:rPr>
            </w:pPr>
            <w:r w:rsidRPr="0028033B">
              <w:rPr>
                <w:rFonts w:cs="Calibri"/>
                <w:szCs w:val="16"/>
              </w:rPr>
              <w:t>51.6</w:t>
            </w:r>
          </w:p>
        </w:tc>
        <w:tc>
          <w:tcPr>
            <w:tcW w:w="1498" w:type="dxa"/>
          </w:tcPr>
          <w:p w14:paraId="31A8DD51" w14:textId="77777777" w:rsidR="00E46639" w:rsidRPr="0028033B" w:rsidRDefault="00E46639" w:rsidP="00F16E23">
            <w:pPr>
              <w:pStyle w:val="TableText"/>
              <w:spacing w:before="40" w:after="40"/>
              <w:jc w:val="right"/>
              <w:rPr>
                <w:rFonts w:cs="Calibri"/>
                <w:szCs w:val="16"/>
              </w:rPr>
            </w:pPr>
            <w:r w:rsidRPr="0028033B">
              <w:rPr>
                <w:rFonts w:cs="Calibri"/>
                <w:szCs w:val="16"/>
              </w:rPr>
              <w:t>8.9</w:t>
            </w:r>
          </w:p>
        </w:tc>
      </w:tr>
      <w:tr w:rsidR="00E46639" w:rsidRPr="0028033B" w14:paraId="64C13211" w14:textId="77777777" w:rsidTr="00F16E23">
        <w:trPr>
          <w:trHeight w:val="455"/>
        </w:trPr>
        <w:tc>
          <w:tcPr>
            <w:tcW w:w="2977" w:type="dxa"/>
          </w:tcPr>
          <w:p w14:paraId="30C5BAED" w14:textId="77777777" w:rsidR="00E46639" w:rsidRPr="0028033B" w:rsidRDefault="00E46639" w:rsidP="00F16E23">
            <w:pPr>
              <w:pStyle w:val="TableText"/>
              <w:spacing w:before="40" w:after="40"/>
              <w:rPr>
                <w:rFonts w:cs="Calibri"/>
                <w:szCs w:val="16"/>
              </w:rPr>
            </w:pPr>
            <w:r w:rsidRPr="0028033B">
              <w:rPr>
                <w:rFonts w:cs="Calibri"/>
                <w:szCs w:val="16"/>
              </w:rPr>
              <w:t>Australian-specific IEF 2023 value</w:t>
            </w:r>
            <w:r w:rsidRPr="0028033B">
              <w:rPr>
                <w:rStyle w:val="FootnoteReference"/>
                <w:szCs w:val="16"/>
              </w:rPr>
              <w:footnoteReference w:id="31"/>
            </w:r>
          </w:p>
        </w:tc>
        <w:tc>
          <w:tcPr>
            <w:tcW w:w="2627" w:type="dxa"/>
          </w:tcPr>
          <w:p w14:paraId="2CA0D63D" w14:textId="77777777" w:rsidR="00E46639" w:rsidRPr="0028033B" w:rsidRDefault="00E46639" w:rsidP="00F16E23">
            <w:pPr>
              <w:pStyle w:val="TableText"/>
              <w:spacing w:before="40" w:after="40"/>
              <w:jc w:val="right"/>
              <w:rPr>
                <w:rFonts w:cs="Calibri"/>
                <w:szCs w:val="16"/>
              </w:rPr>
            </w:pPr>
            <w:r w:rsidRPr="0028033B">
              <w:rPr>
                <w:rFonts w:cs="Calibri"/>
                <w:szCs w:val="16"/>
              </w:rPr>
              <w:t>94.5</w:t>
            </w:r>
          </w:p>
        </w:tc>
        <w:tc>
          <w:tcPr>
            <w:tcW w:w="1460" w:type="dxa"/>
          </w:tcPr>
          <w:p w14:paraId="3147A838" w14:textId="77777777" w:rsidR="00E46639" w:rsidRPr="0028033B" w:rsidRDefault="00E46639" w:rsidP="00F16E23">
            <w:pPr>
              <w:pStyle w:val="TableText"/>
              <w:spacing w:before="40" w:after="0"/>
              <w:jc w:val="right"/>
              <w:rPr>
                <w:rFonts w:cs="Calibri"/>
                <w:szCs w:val="16"/>
              </w:rPr>
            </w:pPr>
            <w:r w:rsidRPr="0028033B">
              <w:rPr>
                <w:rFonts w:cs="Calibri"/>
                <w:szCs w:val="16"/>
              </w:rPr>
              <w:t>50.8 (pasture)</w:t>
            </w:r>
          </w:p>
          <w:p w14:paraId="250D3FD1" w14:textId="77777777" w:rsidR="00E46639" w:rsidRPr="0028033B" w:rsidRDefault="00E46639" w:rsidP="00F16E23">
            <w:pPr>
              <w:pStyle w:val="TableText"/>
              <w:spacing w:before="40" w:after="40"/>
              <w:jc w:val="right"/>
              <w:rPr>
                <w:rFonts w:cs="Calibri"/>
                <w:szCs w:val="16"/>
              </w:rPr>
            </w:pPr>
            <w:r w:rsidRPr="0028033B">
              <w:rPr>
                <w:rFonts w:cs="Calibri"/>
                <w:szCs w:val="16"/>
              </w:rPr>
              <w:t>29.3 (feedlot)</w:t>
            </w:r>
          </w:p>
        </w:tc>
        <w:tc>
          <w:tcPr>
            <w:tcW w:w="1498" w:type="dxa"/>
          </w:tcPr>
          <w:p w14:paraId="0855F5BE" w14:textId="77777777" w:rsidR="00E46639" w:rsidRPr="0028033B" w:rsidRDefault="00E46639" w:rsidP="00F16E23">
            <w:pPr>
              <w:pStyle w:val="TableText"/>
              <w:spacing w:before="40" w:after="40"/>
              <w:jc w:val="right"/>
              <w:rPr>
                <w:rFonts w:cs="Calibri"/>
                <w:szCs w:val="16"/>
              </w:rPr>
            </w:pPr>
            <w:r w:rsidRPr="0028033B">
              <w:rPr>
                <w:rFonts w:cs="Calibri"/>
                <w:szCs w:val="16"/>
              </w:rPr>
              <w:t>6.7</w:t>
            </w:r>
          </w:p>
        </w:tc>
      </w:tr>
      <w:tr w:rsidR="00E46639" w:rsidRPr="0028033B" w14:paraId="6F1A5A2B" w14:textId="77777777" w:rsidTr="00F16E23">
        <w:trPr>
          <w:trHeight w:val="36"/>
        </w:trPr>
        <w:tc>
          <w:tcPr>
            <w:tcW w:w="2977" w:type="dxa"/>
          </w:tcPr>
          <w:p w14:paraId="62AAB148" w14:textId="77777777" w:rsidR="00E46639" w:rsidRPr="0028033B" w:rsidRDefault="00E46639" w:rsidP="00F16E23">
            <w:pPr>
              <w:pStyle w:val="TableText"/>
              <w:spacing w:before="40" w:after="40"/>
              <w:rPr>
                <w:rFonts w:cs="Calibri"/>
                <w:szCs w:val="16"/>
              </w:rPr>
            </w:pPr>
            <w:r w:rsidRPr="0028033B">
              <w:rPr>
                <w:rFonts w:cs="Calibri"/>
                <w:szCs w:val="16"/>
              </w:rPr>
              <w:t>New Zealand-specific IEF 2024 value</w:t>
            </w:r>
          </w:p>
        </w:tc>
        <w:tc>
          <w:tcPr>
            <w:tcW w:w="2627" w:type="dxa"/>
          </w:tcPr>
          <w:p w14:paraId="496001B4" w14:textId="77777777" w:rsidR="00E46639" w:rsidRPr="0028033B" w:rsidRDefault="00E46639" w:rsidP="00F16E23">
            <w:pPr>
              <w:pStyle w:val="TableText"/>
              <w:spacing w:before="40" w:after="0"/>
              <w:jc w:val="right"/>
              <w:rPr>
                <w:rFonts w:cs="Calibri"/>
                <w:szCs w:val="16"/>
              </w:rPr>
            </w:pPr>
            <w:r w:rsidRPr="0028033B">
              <w:rPr>
                <w:rFonts w:cs="Calibri"/>
                <w:szCs w:val="16"/>
              </w:rPr>
              <w:t>96.5 (all dairy cattle, including calves)</w:t>
            </w:r>
          </w:p>
          <w:p w14:paraId="032E3B79" w14:textId="77777777" w:rsidR="00E46639" w:rsidRPr="0028033B" w:rsidRDefault="00E46639" w:rsidP="00F16E23">
            <w:pPr>
              <w:pStyle w:val="TableText"/>
              <w:spacing w:before="40" w:after="40"/>
              <w:jc w:val="right"/>
              <w:rPr>
                <w:rFonts w:cs="Calibri"/>
                <w:szCs w:val="16"/>
              </w:rPr>
            </w:pPr>
            <w:r w:rsidRPr="0028033B">
              <w:rPr>
                <w:rFonts w:cs="Calibri"/>
                <w:szCs w:val="16"/>
              </w:rPr>
              <w:t>104.4 (mature milking cattle only)</w:t>
            </w:r>
          </w:p>
        </w:tc>
        <w:tc>
          <w:tcPr>
            <w:tcW w:w="1460" w:type="dxa"/>
          </w:tcPr>
          <w:p w14:paraId="1FAC45B5" w14:textId="77777777" w:rsidR="00E46639" w:rsidRPr="0028033B" w:rsidRDefault="00E46639" w:rsidP="00F16E23">
            <w:pPr>
              <w:pStyle w:val="TableText"/>
              <w:spacing w:before="40" w:after="40"/>
              <w:jc w:val="right"/>
              <w:rPr>
                <w:rFonts w:cs="Calibri"/>
                <w:szCs w:val="16"/>
              </w:rPr>
            </w:pPr>
            <w:r w:rsidRPr="0028033B">
              <w:rPr>
                <w:rFonts w:cs="Calibri"/>
                <w:szCs w:val="16"/>
              </w:rPr>
              <w:t>69.5</w:t>
            </w:r>
          </w:p>
        </w:tc>
        <w:tc>
          <w:tcPr>
            <w:tcW w:w="1498" w:type="dxa"/>
          </w:tcPr>
          <w:p w14:paraId="2EFB05CD" w14:textId="77777777" w:rsidR="00E46639" w:rsidRPr="0028033B" w:rsidDel="00176609" w:rsidRDefault="00E46639" w:rsidP="00F16E23">
            <w:pPr>
              <w:pStyle w:val="TableText"/>
              <w:spacing w:before="40" w:after="40"/>
              <w:jc w:val="right"/>
              <w:rPr>
                <w:rFonts w:cs="Calibri"/>
                <w:szCs w:val="16"/>
              </w:rPr>
            </w:pPr>
            <w:r w:rsidRPr="0028033B">
              <w:rPr>
                <w:rFonts w:cs="Calibri"/>
                <w:szCs w:val="16"/>
              </w:rPr>
              <w:t>12.5</w:t>
            </w:r>
          </w:p>
        </w:tc>
      </w:tr>
    </w:tbl>
    <w:p w14:paraId="61021583" w14:textId="77777777" w:rsidR="00E46639" w:rsidRPr="0028033B" w:rsidRDefault="00E46639" w:rsidP="00E46639">
      <w:pPr>
        <w:pStyle w:val="Noteundertable"/>
        <w:rPr>
          <w:rFonts w:cs="Calibri"/>
        </w:rPr>
      </w:pPr>
      <w:r w:rsidRPr="0028033B">
        <w:rPr>
          <w:rFonts w:cs="Calibri"/>
          <w:b/>
          <w:bCs/>
        </w:rPr>
        <w:t xml:space="preserve">Note: </w:t>
      </w:r>
      <w:r w:rsidRPr="0028033B">
        <w:rPr>
          <w:rFonts w:cs="Calibri"/>
          <w:b/>
        </w:rPr>
        <w:tab/>
      </w:r>
      <w:r w:rsidRPr="0028033B">
        <w:rPr>
          <w:rFonts w:cs="Calibri"/>
        </w:rPr>
        <w:t>The IPCC (2006) value for sheep is for developed countries.</w:t>
      </w:r>
    </w:p>
    <w:p w14:paraId="28002007" w14:textId="77777777" w:rsidR="00E46639" w:rsidRPr="0028033B" w:rsidRDefault="00E46639" w:rsidP="00E46639">
      <w:pPr>
        <w:pStyle w:val="BodyText"/>
        <w:rPr>
          <w:rFonts w:cs="Calibri"/>
        </w:rPr>
      </w:pPr>
      <w:r w:rsidRPr="0028033B">
        <w:rPr>
          <w:rFonts w:cs="Calibri"/>
          <w:i/>
        </w:rPr>
        <w:t>Dairy cattle:</w:t>
      </w:r>
      <w:r w:rsidRPr="0028033B">
        <w:rPr>
          <w:rFonts w:cs="Calibri"/>
        </w:rPr>
        <w:t xml:space="preserve"> New Zealand’s 2024 IEF for all dairy cattle, including calves, is higher than the IPCC Tier 1 Oceania default value and similar to the Australian-specific IEF. New Zealand’s 2024 IEF for mature milking cattle is higher than the IPCC Tier 1 Oceania default value and the 2023 Australian-specific IEF.</w:t>
      </w:r>
    </w:p>
    <w:p w14:paraId="27D9736D" w14:textId="77777777" w:rsidR="00E46639" w:rsidRPr="0028033B" w:rsidRDefault="00E46639" w:rsidP="00E46639">
      <w:pPr>
        <w:pStyle w:val="BodyText"/>
        <w:rPr>
          <w:rFonts w:cs="Calibri"/>
        </w:rPr>
      </w:pPr>
      <w:r w:rsidRPr="0028033B">
        <w:rPr>
          <w:rFonts w:cs="Calibri"/>
        </w:rPr>
        <w:t xml:space="preserve">Although New Zealand’s predominantly outdoor pasture-based system is similar to Australian dairy cattle management, differences in IEF values could be explained by differences in proportions of different cattle breeds (with different liveweights). The 2024 Australian dairy herd comprised 69.9 percent Holstein; other breeds include Jersey, Brown Swiss, Ayrshire, the Australian Red and Illawarra (DataGene Limited, 2024). In 2024, 61.1 percent of New Zealand’s cow population comprised a Holstein–Friesian/Jersey crossbreed, 23.4 percent are </w:t>
      </w:r>
      <w:r w:rsidRPr="0028033B">
        <w:rPr>
          <w:rFonts w:cs="Calibri"/>
        </w:rPr>
        <w:br/>
        <w:t xml:space="preserve">Holstein–Friesian, and 7.5 percent are Jersey (LIC and DairyNZ, 2025). </w:t>
      </w:r>
    </w:p>
    <w:p w14:paraId="5C2DEFFE" w14:textId="77777777" w:rsidR="00E46639" w:rsidRPr="0028033B" w:rsidRDefault="00E46639" w:rsidP="00E46639">
      <w:pPr>
        <w:pStyle w:val="BodyText"/>
        <w:keepLines/>
        <w:rPr>
          <w:rFonts w:cs="Calibri"/>
          <w:spacing w:val="-2"/>
        </w:rPr>
      </w:pPr>
      <w:r w:rsidRPr="0028033B">
        <w:rPr>
          <w:rFonts w:cs="Calibri"/>
          <w:spacing w:val="-2"/>
        </w:rPr>
        <w:t xml:space="preserve">In </w:t>
      </w:r>
      <w:r w:rsidRPr="0028033B">
        <w:rPr>
          <w:rFonts w:cs="Calibri"/>
        </w:rPr>
        <w:t>New Zealand’s</w:t>
      </w:r>
      <w:r w:rsidRPr="0028033B">
        <w:rPr>
          <w:rFonts w:cs="Calibri"/>
          <w:spacing w:val="-2"/>
        </w:rPr>
        <w:t xml:space="preserve"> Tier 2 Inventory model, dairy cattle encompass all cattle that support the milking dairy herd. This includes calves, young growing non</w:t>
      </w:r>
      <w:r w:rsidRPr="0028033B">
        <w:rPr>
          <w:rFonts w:cs="Calibri"/>
          <w:spacing w:val="-2"/>
        </w:rPr>
        <w:noBreakHyphen/>
        <w:t xml:space="preserve">lactating heifers, dry cows and bulls. Because the emissions from these animals are included in the IEF calculations, the IEF will be lower than if only mature milking cows had been considered. </w:t>
      </w:r>
    </w:p>
    <w:p w14:paraId="695CC37B" w14:textId="77777777" w:rsidR="00E46639" w:rsidRPr="0028033B" w:rsidRDefault="00E46639" w:rsidP="00E46639">
      <w:pPr>
        <w:pStyle w:val="BodyText"/>
        <w:rPr>
          <w:rFonts w:cs="Calibri"/>
        </w:rPr>
      </w:pPr>
      <w:r w:rsidRPr="0028033B">
        <w:rPr>
          <w:rFonts w:cs="Calibri"/>
        </w:rPr>
        <w:t xml:space="preserve">New Zealand’s dairy cattle 2024 IEF is higher than the IPCC Tier 2 net energy-based value. This </w:t>
      </w:r>
      <w:r w:rsidRPr="0028033B">
        <w:rPr>
          <w:rFonts w:cs="Calibri"/>
          <w:spacing w:val="-2"/>
        </w:rPr>
        <w:t>could be because of the different energy intakes and requirements of housed animals, compared</w:t>
      </w:r>
      <w:r w:rsidRPr="0028033B">
        <w:rPr>
          <w:rFonts w:cs="Calibri"/>
        </w:rPr>
        <w:t xml:space="preserve"> with animals grazing on pasture, or differences in per-animal productivity in </w:t>
      </w:r>
      <w:r w:rsidRPr="0028033B" w:rsidDel="00160843">
        <w:rPr>
          <w:rFonts w:cs="Calibri"/>
        </w:rPr>
        <w:t xml:space="preserve">New </w:t>
      </w:r>
      <w:r w:rsidRPr="0028033B">
        <w:rPr>
          <w:rFonts w:cs="Calibri"/>
        </w:rPr>
        <w:t xml:space="preserve">Zealand </w:t>
      </w:r>
      <w:r w:rsidRPr="0028033B">
        <w:rPr>
          <w:rFonts w:cs="Calibri"/>
          <w:spacing w:val="-2"/>
        </w:rPr>
        <w:t xml:space="preserve">compared with other countries. The feeding algorithms within New Zealand’s national inventory use </w:t>
      </w:r>
      <w:r w:rsidRPr="0028033B" w:rsidDel="00160843">
        <w:rPr>
          <w:rFonts w:cs="Calibri"/>
          <w:spacing w:val="-2"/>
        </w:rPr>
        <w:t xml:space="preserve">New </w:t>
      </w:r>
      <w:r w:rsidRPr="0028033B">
        <w:rPr>
          <w:rFonts w:cs="Calibri"/>
          <w:spacing w:val="-2"/>
        </w:rPr>
        <w:t>Zealand-specific activity data and methodology that better reflect the outdoor</w:t>
      </w:r>
      <w:r w:rsidRPr="0028033B">
        <w:rPr>
          <w:rFonts w:cs="Calibri"/>
        </w:rPr>
        <w:t xml:space="preserve"> pastoral-based farming systems in </w:t>
      </w:r>
      <w:r w:rsidRPr="0028033B" w:rsidDel="00160843">
        <w:rPr>
          <w:rFonts w:cs="Calibri"/>
        </w:rPr>
        <w:t>New</w:t>
      </w:r>
      <w:r w:rsidRPr="0028033B">
        <w:rPr>
          <w:rFonts w:cs="Calibri"/>
        </w:rPr>
        <w:t xml:space="preserve"> Zealand.</w:t>
      </w:r>
    </w:p>
    <w:p w14:paraId="26C42837" w14:textId="77777777" w:rsidR="00E46639" w:rsidRPr="0028033B" w:rsidRDefault="00E46639" w:rsidP="00E46639">
      <w:pPr>
        <w:pStyle w:val="BodyText"/>
        <w:rPr>
          <w:rFonts w:cs="Calibri"/>
        </w:rPr>
      </w:pPr>
      <w:r w:rsidRPr="0028033B">
        <w:rPr>
          <w:rFonts w:cs="Calibri"/>
          <w:i/>
          <w:iCs/>
          <w:spacing w:val="-2"/>
        </w:rPr>
        <w:t>Non-dairy cattle:</w:t>
      </w:r>
      <w:r w:rsidRPr="0028033B">
        <w:rPr>
          <w:rFonts w:cs="Calibri"/>
          <w:spacing w:val="-2"/>
        </w:rPr>
        <w:t xml:space="preserve"> The </w:t>
      </w:r>
      <w:r w:rsidRPr="0028033B" w:rsidDel="00160843">
        <w:rPr>
          <w:rFonts w:cs="Calibri"/>
          <w:spacing w:val="-2"/>
        </w:rPr>
        <w:t xml:space="preserve">New </w:t>
      </w:r>
      <w:r w:rsidRPr="0028033B">
        <w:rPr>
          <w:rFonts w:cs="Calibri"/>
          <w:spacing w:val="-2"/>
        </w:rPr>
        <w:t xml:space="preserve">Zealand-specific 2024 IEF for </w:t>
      </w:r>
      <w:r w:rsidRPr="0028033B">
        <w:rPr>
          <w:rFonts w:cs="Calibri"/>
          <w:i/>
          <w:spacing w:val="-2"/>
        </w:rPr>
        <w:t>Non-dairy cattle</w:t>
      </w:r>
      <w:r w:rsidRPr="0028033B">
        <w:rPr>
          <w:rFonts w:cs="Calibri"/>
          <w:spacing w:val="-2"/>
        </w:rPr>
        <w:t xml:space="preserve"> is greater than the IPCC </w:t>
      </w:r>
      <w:r w:rsidRPr="0028033B">
        <w:rPr>
          <w:rFonts w:cs="Calibri"/>
        </w:rPr>
        <w:t>Tier 1 Oceania default value, the IPCC Tier 2 net energy-based value and Australian-specific IEFs. Differences, such as feed type and quality, breed and which animals are characterised as non</w:t>
      </w:r>
      <w:r w:rsidRPr="0028033B">
        <w:rPr>
          <w:rFonts w:cs="Calibri"/>
        </w:rPr>
        <w:noBreakHyphen/>
        <w:t xml:space="preserve">dairy, will influence the IEFs. As explained for dairy cattle above, the main difference between the IPCC Tier 2 value and the </w:t>
      </w:r>
      <w:r w:rsidRPr="0028033B" w:rsidDel="00C8076E">
        <w:rPr>
          <w:rFonts w:cs="Calibri"/>
        </w:rPr>
        <w:t>New</w:t>
      </w:r>
      <w:r w:rsidRPr="0028033B">
        <w:rPr>
          <w:rFonts w:cs="Calibri"/>
        </w:rPr>
        <w:t xml:space="preserve"> Zealand-specific value (apart from the different energy equations determining them) is that the feeding algorithms within New Zealand’s national inventory use </w:t>
      </w:r>
      <w:r w:rsidRPr="0028033B" w:rsidDel="00B6374C">
        <w:rPr>
          <w:rFonts w:cs="Calibri"/>
        </w:rPr>
        <w:t xml:space="preserve">New </w:t>
      </w:r>
      <w:r w:rsidRPr="0028033B">
        <w:rPr>
          <w:rFonts w:cs="Calibri"/>
        </w:rPr>
        <w:t>Zealand-specific activity data and methodology that better reflect New Zealand’s outdoor pastoral-based farming systems.</w:t>
      </w:r>
    </w:p>
    <w:p w14:paraId="4E479A59" w14:textId="77777777" w:rsidR="00E46639" w:rsidRPr="0028033B" w:rsidRDefault="00E46639" w:rsidP="00E46639">
      <w:pPr>
        <w:pStyle w:val="BodyText"/>
        <w:rPr>
          <w:rFonts w:cs="Calibri"/>
        </w:rPr>
      </w:pPr>
      <w:r w:rsidRPr="0028033B">
        <w:rPr>
          <w:rFonts w:cs="Calibri"/>
          <w:i/>
          <w:iCs/>
        </w:rPr>
        <w:t>Sheep:</w:t>
      </w:r>
      <w:r w:rsidRPr="0028033B">
        <w:rPr>
          <w:rFonts w:cs="Calibri"/>
        </w:rPr>
        <w:t xml:space="preserve"> New Zealand’s 2024 IEF for sheep is greater than the IPCC Tier 1 default value, the Tier 2 net energy-based value and the 2023 Australian-specific IEF. This is in part because the annual sheep population figure used to calculate the IEF is based on the June population, in </w:t>
      </w:r>
      <w:r w:rsidRPr="0028033B" w:rsidDel="00492649">
        <w:rPr>
          <w:rFonts w:cs="Calibri"/>
        </w:rPr>
        <w:t>mid</w:t>
      </w:r>
      <w:r w:rsidRPr="0028033B">
        <w:rPr>
          <w:rFonts w:cs="Calibri"/>
        </w:rPr>
        <w:t>-winter. This count excludes most lambs, born in spring (August–September) and raised and slaughtered during summer and early autumn (February, March and April). New Zealand does take lambs into account when determining total annual enteric CH</w:t>
      </w:r>
      <w:r w:rsidRPr="0028033B">
        <w:rPr>
          <w:rFonts w:cs="Calibri"/>
          <w:vertAlign w:val="subscript"/>
        </w:rPr>
        <w:t>4</w:t>
      </w:r>
      <w:r w:rsidRPr="0028033B">
        <w:rPr>
          <w:rFonts w:cs="Calibri"/>
        </w:rPr>
        <w:t xml:space="preserve"> emissions because emissions are calculated monthly, but it does not include the lamb population slaughtered during summer and early autumn when estimating the IEF. Differences in how lambs are accounted for when calculating the IEF are likely to contribute to differences between the New Zealand IEF and Australian IEF, and IPCC default values.</w:t>
      </w:r>
    </w:p>
    <w:p w14:paraId="2BF93667" w14:textId="77777777" w:rsidR="00E46639" w:rsidRPr="0028033B" w:rsidRDefault="00E46639" w:rsidP="00E46639">
      <w:pPr>
        <w:pStyle w:val="BodyText"/>
        <w:rPr>
          <w:rFonts w:cs="Calibri"/>
        </w:rPr>
      </w:pPr>
      <w:r w:rsidRPr="0028033B">
        <w:rPr>
          <w:rFonts w:cs="Calibri"/>
        </w:rPr>
        <w:t xml:space="preserve">The same rationale around the impact of feed type and quality, breed, and New Zealand’s outdoor pastoral-based farming systems as put forward for cattle is also a contributing factor to the difference between the </w:t>
      </w:r>
      <w:r w:rsidRPr="0028033B" w:rsidDel="00C36118">
        <w:rPr>
          <w:rFonts w:cs="Calibri"/>
        </w:rPr>
        <w:t xml:space="preserve">New </w:t>
      </w:r>
      <w:r w:rsidRPr="0028033B">
        <w:rPr>
          <w:rFonts w:cs="Calibri"/>
        </w:rPr>
        <w:t>Zealand IEF and IPCC values.</w:t>
      </w:r>
    </w:p>
    <w:p w14:paraId="12A8E0BE" w14:textId="77777777" w:rsidR="00E46639" w:rsidRPr="0028033B" w:rsidRDefault="00E46639" w:rsidP="00E46639">
      <w:pPr>
        <w:pStyle w:val="Heading3"/>
      </w:pPr>
      <w:bookmarkStart w:id="865" w:name="_Toc139253921"/>
      <w:bookmarkStart w:id="866" w:name="_Toc32570655"/>
      <w:r w:rsidRPr="0028033B">
        <w:t>5.2.5</w:t>
      </w:r>
      <w:r w:rsidRPr="0028033B">
        <w:tab/>
      </w:r>
      <w:bookmarkStart w:id="867" w:name="_Hlk154135505"/>
      <w:r w:rsidRPr="0028033B">
        <w:t>Category-specific recalculations</w:t>
      </w:r>
      <w:bookmarkEnd w:id="865"/>
      <w:bookmarkEnd w:id="866"/>
      <w:bookmarkEnd w:id="867"/>
    </w:p>
    <w:p w14:paraId="73C28BE6" w14:textId="77777777" w:rsidR="00E46639" w:rsidRPr="0028033B" w:rsidRDefault="00E46639" w:rsidP="00E46639">
      <w:pPr>
        <w:pStyle w:val="BodyText"/>
        <w:spacing w:after="100"/>
        <w:rPr>
          <w:rFonts w:cs="Calibri"/>
          <w:shd w:val="clear" w:color="auto" w:fill="FFFFFF"/>
        </w:rPr>
      </w:pPr>
      <w:r w:rsidRPr="0028033B">
        <w:t xml:space="preserve">Emissions estimates in the </w:t>
      </w:r>
      <w:r w:rsidRPr="0028033B">
        <w:rPr>
          <w:i/>
        </w:rPr>
        <w:t>Enteric fermentation</w:t>
      </w:r>
      <w:r w:rsidRPr="0028033B">
        <w:t xml:space="preserve"> category reported in the 2026 submission have been affected by methodological improvements pertaining to:</w:t>
      </w:r>
      <w:r w:rsidRPr="0028033B">
        <w:rPr>
          <w:rFonts w:cs="Calibri"/>
          <w:shd w:val="clear" w:color="auto" w:fill="FFFFFF"/>
        </w:rPr>
        <w:t xml:space="preserve"> </w:t>
      </w:r>
      <w:bookmarkStart w:id="868" w:name="_Hlk180589032"/>
      <w:r w:rsidRPr="0028033B">
        <w:rPr>
          <w:rFonts w:cs="Calibri"/>
          <w:shd w:val="clear" w:color="auto" w:fill="FFFFFF"/>
        </w:rPr>
        <w:t>(i) updates in the 2026 Agriculture inventory model aimed at aligning it with the 2019 IPCC Refinement (IPCC, 2019) and (ii)</w:t>
      </w:r>
      <w:r w:rsidRPr="0028033B">
        <w:t xml:space="preserve"> </w:t>
      </w:r>
      <w:r w:rsidRPr="0028033B">
        <w:rPr>
          <w:rFonts w:cs="Calibri"/>
          <w:shd w:val="clear" w:color="auto" w:fill="FFFFFF"/>
        </w:rPr>
        <w:t>small error corrections to model code.</w:t>
      </w:r>
      <w:bookmarkEnd w:id="868"/>
    </w:p>
    <w:p w14:paraId="097DDD36" w14:textId="77777777" w:rsidR="00E46639" w:rsidRPr="0028033B" w:rsidRDefault="00E46639" w:rsidP="00E46639">
      <w:pPr>
        <w:pStyle w:val="Heading5"/>
        <w:rPr>
          <w:rFonts w:cs="Arial"/>
          <w:sz w:val="24"/>
        </w:rPr>
      </w:pPr>
      <w:bookmarkStart w:id="869" w:name="_Hlk180588690"/>
      <w:r w:rsidRPr="0028033B">
        <w:rPr>
          <w:rFonts w:cs="Arial"/>
          <w:sz w:val="24"/>
        </w:rPr>
        <w:t>Aligning with the 2019 Refinement to the 2006 IPCC Guidelines for National Greenhouse Gas Inventories</w:t>
      </w:r>
    </w:p>
    <w:p w14:paraId="3C9C0E66" w14:textId="77777777" w:rsidR="00E46639" w:rsidRPr="0028033B" w:rsidRDefault="00E46639" w:rsidP="00E46639">
      <w:pPr>
        <w:pStyle w:val="BodyText"/>
      </w:pPr>
      <w:r w:rsidRPr="0028033B">
        <w:t xml:space="preserve">The New Zealand Inventory has been changed to include an estimate of emissions from enteric fermentation by ostriches and emus using the default emission factor of 5 kg CH₄/head/year provided in the 2019 IPCC Refinement (IPCC, 2019). </w:t>
      </w:r>
    </w:p>
    <w:p w14:paraId="49E13838" w14:textId="77777777" w:rsidR="00E46639" w:rsidRPr="0028033B" w:rsidRDefault="00E46639" w:rsidP="00E46639">
      <w:pPr>
        <w:pStyle w:val="BodyText"/>
        <w:spacing w:before="100" w:after="100"/>
      </w:pPr>
      <w:r w:rsidRPr="0028033B">
        <w:t xml:space="preserve">The 2006 IPCC Guidelines do not include default enteric fermentation emission factors for poultry of any kind (IPCC, 2006). The 2019 IPCC Refinement developed a default enteric fermentation CH₄ emission factor for ostriches of 5 kg CH₄/head/year. </w:t>
      </w:r>
    </w:p>
    <w:p w14:paraId="60369C07" w14:textId="77777777" w:rsidR="00E46639" w:rsidRPr="0028033B" w:rsidRDefault="00E46639" w:rsidP="00E46639">
      <w:pPr>
        <w:pStyle w:val="BodyText"/>
        <w:spacing w:before="100" w:after="100"/>
      </w:pPr>
      <w:r w:rsidRPr="0028033B">
        <w:t>Previously the New Zealand Inventory reported emissions from ostriches and emus as a part of poultry. Enteric fermentation from poultry is not estimated.</w:t>
      </w:r>
      <w:r>
        <w:t xml:space="preserve"> </w:t>
      </w:r>
      <w:r w:rsidRPr="0028033B">
        <w:t xml:space="preserve">To implement this change, ostriches and emus were disaggregated from poultry. The Agricultural Production Survey reports on the ostrich and emu population from 2007 onwards. In the absence of other information prior to 2007, the emu and ostrich population is assumed to be constant, taking the 2007 population value. </w:t>
      </w:r>
    </w:p>
    <w:p w14:paraId="2A0C90A9" w14:textId="77777777" w:rsidR="00E46639" w:rsidRPr="0028033B" w:rsidRDefault="00E46639" w:rsidP="00E46639">
      <w:pPr>
        <w:pStyle w:val="BodyText"/>
        <w:spacing w:before="100" w:after="100"/>
      </w:pPr>
      <w:r w:rsidRPr="0028033B">
        <w:t xml:space="preserve">Implementing these changes caused emissions from the </w:t>
      </w:r>
      <w:r w:rsidRPr="0028033B">
        <w:rPr>
          <w:i/>
        </w:rPr>
        <w:t>Enteric fermentation</w:t>
      </w:r>
      <w:r w:rsidRPr="0028033B">
        <w:t xml:space="preserve"> category to increase by 1.0 kt CO</w:t>
      </w:r>
      <w:r w:rsidRPr="0028033B">
        <w:rPr>
          <w:vertAlign w:val="subscript"/>
        </w:rPr>
        <w:t>2</w:t>
      </w:r>
      <w:r w:rsidRPr="0028033B">
        <w:t>e in 1990 and 0.1 kt CO</w:t>
      </w:r>
      <w:r w:rsidRPr="0028033B">
        <w:rPr>
          <w:vertAlign w:val="subscript"/>
        </w:rPr>
        <w:t>2</w:t>
      </w:r>
      <w:r w:rsidRPr="0028033B">
        <w:t>e in 2023 (see table 5.2.7).</w:t>
      </w:r>
    </w:p>
    <w:p w14:paraId="3F166E40" w14:textId="77777777" w:rsidR="00E46639" w:rsidRPr="0028033B" w:rsidRDefault="00E46639" w:rsidP="00E46639">
      <w:pPr>
        <w:pStyle w:val="Table"/>
        <w:rPr>
          <w:rFonts w:cs="Calibri"/>
          <w:i/>
          <w:iCs/>
        </w:rPr>
      </w:pPr>
      <w:bookmarkStart w:id="870" w:name="_Toc127458257"/>
      <w:bookmarkStart w:id="871" w:name="_Toc131591353"/>
      <w:bookmarkStart w:id="872" w:name="_Toc160114443"/>
      <w:bookmarkStart w:id="873" w:name="_Toc164153839"/>
      <w:bookmarkStart w:id="874" w:name="_Toc222407624"/>
      <w:bookmarkStart w:id="875" w:name="_Toc226668999"/>
      <w:r w:rsidRPr="0028033B">
        <w:rPr>
          <w:rFonts w:cs="Calibri"/>
        </w:rPr>
        <w:t>Table 5.2.7</w:t>
      </w:r>
      <w:r w:rsidRPr="0028033B">
        <w:rPr>
          <w:rFonts w:cs="Calibri"/>
        </w:rPr>
        <w:tab/>
        <w:t xml:space="preserve">Comparison of the 2025 Inventory and a version of the 2025 Inventory updated using default for ostriches and emus from the 2019 IPCC Refinement (IPCC, 2019) for emissions from </w:t>
      </w:r>
      <w:r w:rsidRPr="0028033B">
        <w:rPr>
          <w:rFonts w:cs="Calibri"/>
          <w:i/>
          <w:iCs/>
        </w:rPr>
        <w:t>Enteric fermentation</w:t>
      </w:r>
      <w:bookmarkEnd w:id="870"/>
      <w:bookmarkEnd w:id="871"/>
      <w:bookmarkEnd w:id="872"/>
      <w:bookmarkEnd w:id="873"/>
      <w:bookmarkEnd w:id="874"/>
      <w:bookmarkEnd w:id="875"/>
    </w:p>
    <w:tbl>
      <w:tblPr>
        <w:tblW w:w="8562" w:type="dxa"/>
        <w:tblBorders>
          <w:top w:val="single" w:sz="2" w:space="0" w:color="1B556B" w:themeColor="text2"/>
          <w:bottom w:val="single" w:sz="2" w:space="0" w:color="1B556B" w:themeColor="text2"/>
          <w:insideH w:val="single" w:sz="2" w:space="0" w:color="1B556B" w:themeColor="text2"/>
        </w:tblBorders>
        <w:tblLayout w:type="fixed"/>
        <w:tblCellMar>
          <w:left w:w="85" w:type="dxa"/>
          <w:right w:w="57" w:type="dxa"/>
        </w:tblCellMar>
        <w:tblLook w:val="04A0" w:firstRow="1" w:lastRow="0" w:firstColumn="1" w:lastColumn="0" w:noHBand="0" w:noVBand="1"/>
      </w:tblPr>
      <w:tblGrid>
        <w:gridCol w:w="1253"/>
        <w:gridCol w:w="1582"/>
        <w:gridCol w:w="785"/>
        <w:gridCol w:w="905"/>
        <w:gridCol w:w="862"/>
        <w:gridCol w:w="850"/>
        <w:gridCol w:w="709"/>
        <w:gridCol w:w="15"/>
        <w:gridCol w:w="905"/>
        <w:gridCol w:w="696"/>
      </w:tblGrid>
      <w:tr w:rsidR="00E46639" w:rsidRPr="0028033B" w14:paraId="65EB6EE2" w14:textId="77777777" w:rsidTr="00F16E23">
        <w:trPr>
          <w:tblHeader/>
        </w:trPr>
        <w:tc>
          <w:tcPr>
            <w:tcW w:w="5387" w:type="dxa"/>
            <w:gridSpan w:val="5"/>
            <w:tcBorders>
              <w:bottom w:val="nil"/>
            </w:tcBorders>
            <w:shd w:val="clear" w:color="auto" w:fill="1C556C" w:themeFill="accent1"/>
            <w:vAlign w:val="bottom"/>
          </w:tcPr>
          <w:p w14:paraId="5A905255" w14:textId="77777777" w:rsidR="00E46639" w:rsidRPr="0028033B" w:rsidRDefault="00E46639" w:rsidP="00F16E23">
            <w:pPr>
              <w:pStyle w:val="TableText"/>
              <w:spacing w:before="40" w:after="0"/>
              <w:rPr>
                <w:rFonts w:cs="Calibri"/>
                <w:b/>
                <w:color w:val="FFFFFF" w:themeColor="background1"/>
                <w:szCs w:val="16"/>
              </w:rPr>
            </w:pPr>
          </w:p>
        </w:tc>
        <w:tc>
          <w:tcPr>
            <w:tcW w:w="1559" w:type="dxa"/>
            <w:gridSpan w:val="2"/>
            <w:tcBorders>
              <w:bottom w:val="nil"/>
            </w:tcBorders>
            <w:shd w:val="clear" w:color="auto" w:fill="1C556C" w:themeFill="accent1"/>
            <w:vAlign w:val="center"/>
          </w:tcPr>
          <w:p w14:paraId="6DB372D9" w14:textId="77777777" w:rsidR="00E46639" w:rsidRPr="0028033B" w:rsidRDefault="00E46639" w:rsidP="00F16E23">
            <w:pPr>
              <w:pStyle w:val="TableText"/>
              <w:spacing w:before="40" w:after="0"/>
              <w:jc w:val="center"/>
              <w:rPr>
                <w:rFonts w:cs="Calibri"/>
                <w:b/>
                <w:color w:val="FFFFFF" w:themeColor="background1"/>
                <w:szCs w:val="16"/>
              </w:rPr>
            </w:pPr>
            <w:r w:rsidRPr="0028033B">
              <w:rPr>
                <w:rFonts w:cs="Calibri"/>
                <w:b/>
                <w:color w:val="FFFFFF" w:themeColor="background1"/>
                <w:szCs w:val="16"/>
              </w:rPr>
              <w:t xml:space="preserve">Change in emissions between </w:t>
            </w:r>
            <w:r w:rsidRPr="0028033B">
              <w:rPr>
                <w:rFonts w:cs="Calibri"/>
                <w:b/>
                <w:color w:val="FFFFFF" w:themeColor="background1"/>
                <w:szCs w:val="16"/>
              </w:rPr>
              <w:br/>
              <w:t xml:space="preserve">1990 and 2023 </w:t>
            </w:r>
          </w:p>
        </w:tc>
        <w:tc>
          <w:tcPr>
            <w:tcW w:w="1616" w:type="dxa"/>
            <w:gridSpan w:val="3"/>
            <w:tcBorders>
              <w:bottom w:val="nil"/>
            </w:tcBorders>
            <w:shd w:val="clear" w:color="auto" w:fill="1C556C" w:themeFill="accent1"/>
            <w:vAlign w:val="center"/>
          </w:tcPr>
          <w:p w14:paraId="1849E539" w14:textId="77777777" w:rsidR="00E46639" w:rsidRPr="0028033B" w:rsidRDefault="00E46639" w:rsidP="00F16E23">
            <w:pPr>
              <w:pStyle w:val="TableText"/>
              <w:spacing w:before="40" w:after="0"/>
              <w:jc w:val="center"/>
              <w:rPr>
                <w:rFonts w:cs="Calibri"/>
                <w:b/>
                <w:color w:val="FFFFFF" w:themeColor="background1"/>
                <w:szCs w:val="16"/>
              </w:rPr>
            </w:pPr>
            <w:r w:rsidRPr="0028033B">
              <w:rPr>
                <w:rFonts w:cs="Calibri"/>
                <w:b/>
                <w:color w:val="FFFFFF" w:themeColor="background1"/>
                <w:szCs w:val="16"/>
              </w:rPr>
              <w:t xml:space="preserve">Change in emissions between </w:t>
            </w:r>
            <w:r w:rsidRPr="0028033B">
              <w:rPr>
                <w:rFonts w:cs="Calibri"/>
                <w:b/>
                <w:color w:val="FFFFFF" w:themeColor="background1"/>
                <w:szCs w:val="16"/>
              </w:rPr>
              <w:br/>
              <w:t xml:space="preserve">2005 and 2023 </w:t>
            </w:r>
          </w:p>
        </w:tc>
      </w:tr>
      <w:tr w:rsidR="00E46639" w:rsidRPr="0028033B" w14:paraId="28246E4B" w14:textId="77777777" w:rsidTr="00F16E23">
        <w:trPr>
          <w:tblHeader/>
        </w:trPr>
        <w:tc>
          <w:tcPr>
            <w:tcW w:w="1253" w:type="dxa"/>
            <w:tcBorders>
              <w:top w:val="nil"/>
              <w:bottom w:val="nil"/>
            </w:tcBorders>
            <w:shd w:val="clear" w:color="auto" w:fill="1C556C" w:themeFill="accent1"/>
            <w:vAlign w:val="center"/>
          </w:tcPr>
          <w:p w14:paraId="1409B044" w14:textId="77777777" w:rsidR="00E46639" w:rsidRPr="0028033B" w:rsidRDefault="00E46639" w:rsidP="00F16E23">
            <w:pPr>
              <w:pStyle w:val="TableText"/>
              <w:spacing w:before="0" w:after="40"/>
              <w:rPr>
                <w:rFonts w:cs="Calibri"/>
                <w:b/>
                <w:bCs/>
                <w:color w:val="FFFFFF" w:themeColor="background1"/>
                <w:szCs w:val="16"/>
              </w:rPr>
            </w:pPr>
            <w:r w:rsidRPr="0028033B">
              <w:rPr>
                <w:rFonts w:cs="Calibri"/>
                <w:b/>
                <w:bCs/>
                <w:color w:val="FFFFFF" w:themeColor="background1"/>
                <w:szCs w:val="16"/>
              </w:rPr>
              <w:br/>
            </w:r>
          </w:p>
        </w:tc>
        <w:tc>
          <w:tcPr>
            <w:tcW w:w="1582" w:type="dxa"/>
            <w:tcBorders>
              <w:top w:val="nil"/>
              <w:bottom w:val="nil"/>
            </w:tcBorders>
            <w:shd w:val="clear" w:color="auto" w:fill="1C556C" w:themeFill="accent1"/>
            <w:vAlign w:val="center"/>
          </w:tcPr>
          <w:p w14:paraId="52BBE436" w14:textId="77777777" w:rsidR="00E46639" w:rsidRPr="0028033B" w:rsidRDefault="00E46639" w:rsidP="00F16E23">
            <w:pPr>
              <w:pStyle w:val="TableText"/>
              <w:spacing w:before="0" w:after="40"/>
              <w:rPr>
                <w:rFonts w:cs="Calibri"/>
                <w:b/>
                <w:bCs/>
                <w:color w:val="FFFFFF" w:themeColor="background1"/>
                <w:szCs w:val="16"/>
              </w:rPr>
            </w:pPr>
            <w:r w:rsidRPr="0028033B">
              <w:rPr>
                <w:rFonts w:cs="Calibri"/>
                <w:b/>
                <w:bCs/>
                <w:color w:val="FFFFFF" w:themeColor="background1"/>
                <w:szCs w:val="16"/>
              </w:rPr>
              <w:br/>
            </w:r>
          </w:p>
        </w:tc>
        <w:tc>
          <w:tcPr>
            <w:tcW w:w="785" w:type="dxa"/>
            <w:tcBorders>
              <w:top w:val="nil"/>
              <w:bottom w:val="nil"/>
            </w:tcBorders>
            <w:shd w:val="clear" w:color="auto" w:fill="1C556C" w:themeFill="accent1"/>
            <w:vAlign w:val="center"/>
          </w:tcPr>
          <w:p w14:paraId="0D2EDEB6"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1990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905" w:type="dxa"/>
            <w:tcBorders>
              <w:top w:val="nil"/>
              <w:bottom w:val="nil"/>
            </w:tcBorders>
            <w:shd w:val="clear" w:color="auto" w:fill="1C556C" w:themeFill="accent1"/>
            <w:vAlign w:val="center"/>
          </w:tcPr>
          <w:p w14:paraId="5A229F97"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2005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862" w:type="dxa"/>
            <w:tcBorders>
              <w:top w:val="nil"/>
              <w:bottom w:val="nil"/>
            </w:tcBorders>
            <w:shd w:val="clear" w:color="auto" w:fill="1C556C" w:themeFill="accent1"/>
            <w:vAlign w:val="center"/>
          </w:tcPr>
          <w:p w14:paraId="7D515BE3"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2023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850" w:type="dxa"/>
            <w:tcBorders>
              <w:top w:val="nil"/>
              <w:bottom w:val="nil"/>
            </w:tcBorders>
            <w:shd w:val="clear" w:color="auto" w:fill="1C556C" w:themeFill="accent1"/>
            <w:vAlign w:val="bottom"/>
          </w:tcPr>
          <w:p w14:paraId="353F1338"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24" w:type="dxa"/>
            <w:gridSpan w:val="2"/>
            <w:tcBorders>
              <w:top w:val="nil"/>
              <w:bottom w:val="nil"/>
            </w:tcBorders>
            <w:shd w:val="clear" w:color="auto" w:fill="1C556C" w:themeFill="accent1"/>
            <w:vAlign w:val="bottom"/>
          </w:tcPr>
          <w:p w14:paraId="4FD119A5"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w:t>
            </w:r>
          </w:p>
        </w:tc>
        <w:tc>
          <w:tcPr>
            <w:tcW w:w="905" w:type="dxa"/>
            <w:tcBorders>
              <w:top w:val="nil"/>
              <w:bottom w:val="nil"/>
            </w:tcBorders>
            <w:shd w:val="clear" w:color="auto" w:fill="1C556C" w:themeFill="accent1"/>
            <w:vAlign w:val="bottom"/>
          </w:tcPr>
          <w:p w14:paraId="23D1A1AA"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696" w:type="dxa"/>
            <w:tcBorders>
              <w:top w:val="nil"/>
              <w:bottom w:val="nil"/>
            </w:tcBorders>
            <w:shd w:val="clear" w:color="auto" w:fill="1C556C" w:themeFill="accent1"/>
            <w:vAlign w:val="bottom"/>
          </w:tcPr>
          <w:p w14:paraId="3C33BE9D"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w:t>
            </w:r>
          </w:p>
        </w:tc>
      </w:tr>
      <w:tr w:rsidR="00E46639" w:rsidRPr="0028033B" w14:paraId="2BB51225" w14:textId="77777777" w:rsidTr="00F16E23">
        <w:tc>
          <w:tcPr>
            <w:tcW w:w="1253" w:type="dxa"/>
            <w:vMerge w:val="restart"/>
            <w:tcBorders>
              <w:top w:val="nil"/>
            </w:tcBorders>
            <w:vAlign w:val="center"/>
          </w:tcPr>
          <w:p w14:paraId="18A8043F"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 xml:space="preserve">Total emissions from </w:t>
            </w:r>
            <w:r w:rsidRPr="0028033B">
              <w:rPr>
                <w:rFonts w:cs="Calibri"/>
                <w:i/>
                <w:iCs/>
                <w:color w:val="000000" w:themeColor="text1"/>
                <w:szCs w:val="16"/>
              </w:rPr>
              <w:t>Enteric fermentation</w:t>
            </w:r>
          </w:p>
        </w:tc>
        <w:tc>
          <w:tcPr>
            <w:tcW w:w="1582" w:type="dxa"/>
            <w:tcBorders>
              <w:top w:val="nil"/>
            </w:tcBorders>
            <w:vAlign w:val="bottom"/>
          </w:tcPr>
          <w:p w14:paraId="00B7A5EE"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2025 (1990–2023) emissions estimate</w:t>
            </w:r>
          </w:p>
        </w:tc>
        <w:tc>
          <w:tcPr>
            <w:tcW w:w="785" w:type="dxa"/>
            <w:tcBorders>
              <w:top w:val="nil"/>
            </w:tcBorders>
            <w:vAlign w:val="bottom"/>
          </w:tcPr>
          <w:p w14:paraId="2065420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31,034.9</w:t>
            </w:r>
          </w:p>
        </w:tc>
        <w:tc>
          <w:tcPr>
            <w:tcW w:w="905" w:type="dxa"/>
            <w:tcBorders>
              <w:top w:val="nil"/>
            </w:tcBorders>
            <w:vAlign w:val="bottom"/>
          </w:tcPr>
          <w:p w14:paraId="67A3B51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34,373.0</w:t>
            </w:r>
          </w:p>
        </w:tc>
        <w:tc>
          <w:tcPr>
            <w:tcW w:w="862" w:type="dxa"/>
            <w:tcBorders>
              <w:top w:val="nil"/>
            </w:tcBorders>
            <w:vAlign w:val="bottom"/>
          </w:tcPr>
          <w:p w14:paraId="0E679D9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31,661.7</w:t>
            </w:r>
          </w:p>
        </w:tc>
        <w:tc>
          <w:tcPr>
            <w:tcW w:w="850" w:type="dxa"/>
            <w:tcBorders>
              <w:top w:val="nil"/>
            </w:tcBorders>
            <w:vAlign w:val="bottom"/>
          </w:tcPr>
          <w:p w14:paraId="38169F9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626.8</w:t>
            </w:r>
          </w:p>
        </w:tc>
        <w:tc>
          <w:tcPr>
            <w:tcW w:w="724" w:type="dxa"/>
            <w:gridSpan w:val="2"/>
            <w:tcBorders>
              <w:top w:val="nil"/>
            </w:tcBorders>
            <w:vAlign w:val="bottom"/>
          </w:tcPr>
          <w:p w14:paraId="56F58B52"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2.0</w:t>
            </w:r>
          </w:p>
        </w:tc>
        <w:tc>
          <w:tcPr>
            <w:tcW w:w="905" w:type="dxa"/>
            <w:tcBorders>
              <w:top w:val="nil"/>
            </w:tcBorders>
            <w:vAlign w:val="bottom"/>
          </w:tcPr>
          <w:p w14:paraId="24EEA15B"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-2,711.3</w:t>
            </w:r>
          </w:p>
        </w:tc>
        <w:tc>
          <w:tcPr>
            <w:tcW w:w="696" w:type="dxa"/>
            <w:tcBorders>
              <w:top w:val="nil"/>
            </w:tcBorders>
            <w:vAlign w:val="bottom"/>
          </w:tcPr>
          <w:p w14:paraId="71B0EE5B"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-7.9</w:t>
            </w:r>
          </w:p>
        </w:tc>
      </w:tr>
      <w:tr w:rsidR="00E46639" w:rsidRPr="0028033B" w14:paraId="77E5A29F" w14:textId="77777777" w:rsidTr="00F16E23">
        <w:tc>
          <w:tcPr>
            <w:tcW w:w="1253" w:type="dxa"/>
            <w:vMerge/>
            <w:vAlign w:val="center"/>
          </w:tcPr>
          <w:p w14:paraId="5C85DD4C" w14:textId="77777777" w:rsidR="00E46639" w:rsidRPr="0028033B" w:rsidRDefault="00E46639" w:rsidP="00F16E23">
            <w:pPr>
              <w:pStyle w:val="TableText"/>
              <w:spacing w:before="40" w:after="40"/>
              <w:rPr>
                <w:rFonts w:cs="Calibri"/>
                <w:color w:val="000000" w:themeColor="text1"/>
                <w:szCs w:val="16"/>
              </w:rPr>
            </w:pPr>
          </w:p>
        </w:tc>
        <w:tc>
          <w:tcPr>
            <w:tcW w:w="1582" w:type="dxa"/>
            <w:vAlign w:val="bottom"/>
          </w:tcPr>
          <w:p w14:paraId="16878DDF" w14:textId="77777777" w:rsidR="00E46639" w:rsidRPr="0028033B" w:rsidRDefault="00E46639" w:rsidP="00F16E23">
            <w:pPr>
              <w:pStyle w:val="TableText"/>
              <w:spacing w:before="40" w:after="40"/>
              <w:rPr>
                <w:rFonts w:cs="Calibri"/>
                <w:i/>
                <w:color w:val="000000" w:themeColor="text1"/>
                <w:szCs w:val="16"/>
              </w:rPr>
            </w:pPr>
            <w:r w:rsidRPr="0028033B">
              <w:rPr>
                <w:rFonts w:cs="Calibri"/>
                <w:color w:val="000000" w:themeColor="text1"/>
                <w:szCs w:val="16"/>
              </w:rPr>
              <w:t xml:space="preserve">2025 (1990–2023) emissions estimate </w:t>
            </w:r>
            <w:r w:rsidRPr="0028033B">
              <w:rPr>
                <w:rFonts w:cs="Calibri"/>
                <w:i/>
                <w:color w:val="000000" w:themeColor="text1"/>
                <w:szCs w:val="16"/>
              </w:rPr>
              <w:t>with</w:t>
            </w:r>
            <w:r w:rsidRPr="0028033B">
              <w:rPr>
                <w:rFonts w:cs="Calibri"/>
                <w:color w:val="000000" w:themeColor="text1"/>
                <w:szCs w:val="16"/>
              </w:rPr>
              <w:t xml:space="preserve"> </w:t>
            </w:r>
            <w:r w:rsidRPr="0028033B">
              <w:rPr>
                <w:rFonts w:cs="Calibri"/>
                <w:i/>
                <w:color w:val="000000" w:themeColor="text1"/>
                <w:szCs w:val="16"/>
              </w:rPr>
              <w:t>improvement</w:t>
            </w:r>
          </w:p>
        </w:tc>
        <w:tc>
          <w:tcPr>
            <w:tcW w:w="785" w:type="dxa"/>
            <w:vAlign w:val="bottom"/>
          </w:tcPr>
          <w:p w14:paraId="695A4EA5"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31,036.0</w:t>
            </w:r>
          </w:p>
        </w:tc>
        <w:tc>
          <w:tcPr>
            <w:tcW w:w="905" w:type="dxa"/>
            <w:vAlign w:val="bottom"/>
          </w:tcPr>
          <w:p w14:paraId="4887F75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34,374.1</w:t>
            </w:r>
          </w:p>
        </w:tc>
        <w:tc>
          <w:tcPr>
            <w:tcW w:w="862" w:type="dxa"/>
            <w:vAlign w:val="bottom"/>
          </w:tcPr>
          <w:p w14:paraId="2328B7EC"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31,661.8</w:t>
            </w:r>
          </w:p>
        </w:tc>
        <w:tc>
          <w:tcPr>
            <w:tcW w:w="850" w:type="dxa"/>
            <w:vAlign w:val="bottom"/>
          </w:tcPr>
          <w:p w14:paraId="6C24A11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625.8</w:t>
            </w:r>
          </w:p>
        </w:tc>
        <w:tc>
          <w:tcPr>
            <w:tcW w:w="724" w:type="dxa"/>
            <w:gridSpan w:val="2"/>
            <w:vAlign w:val="bottom"/>
          </w:tcPr>
          <w:p w14:paraId="5445C135"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2.0</w:t>
            </w:r>
          </w:p>
        </w:tc>
        <w:tc>
          <w:tcPr>
            <w:tcW w:w="905" w:type="dxa"/>
            <w:vAlign w:val="bottom"/>
          </w:tcPr>
          <w:p w14:paraId="1311E8D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-2,712.3</w:t>
            </w:r>
          </w:p>
        </w:tc>
        <w:tc>
          <w:tcPr>
            <w:tcW w:w="696" w:type="dxa"/>
            <w:vAlign w:val="bottom"/>
          </w:tcPr>
          <w:p w14:paraId="311E711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-7.9</w:t>
            </w:r>
          </w:p>
        </w:tc>
      </w:tr>
      <w:tr w:rsidR="00E46639" w:rsidRPr="0028033B" w14:paraId="1251EA4B" w14:textId="77777777" w:rsidTr="00F16E23">
        <w:tc>
          <w:tcPr>
            <w:tcW w:w="1253" w:type="dxa"/>
            <w:vMerge/>
            <w:vAlign w:val="center"/>
          </w:tcPr>
          <w:p w14:paraId="3F9CA619" w14:textId="77777777" w:rsidR="00E46639" w:rsidRPr="0028033B" w:rsidRDefault="00E46639" w:rsidP="00F16E23">
            <w:pPr>
              <w:pStyle w:val="TableText"/>
              <w:spacing w:before="40" w:after="40"/>
              <w:rPr>
                <w:rFonts w:cs="Calibri"/>
                <w:color w:val="F46CD4"/>
                <w:szCs w:val="16"/>
              </w:rPr>
            </w:pPr>
          </w:p>
        </w:tc>
        <w:tc>
          <w:tcPr>
            <w:tcW w:w="1582" w:type="dxa"/>
            <w:vAlign w:val="bottom"/>
          </w:tcPr>
          <w:p w14:paraId="779CDC21"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Difference in emissions estimates</w:t>
            </w:r>
          </w:p>
        </w:tc>
        <w:tc>
          <w:tcPr>
            <w:tcW w:w="785" w:type="dxa"/>
            <w:vAlign w:val="bottom"/>
          </w:tcPr>
          <w:p w14:paraId="57B5D007"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1.04</w:t>
            </w:r>
          </w:p>
        </w:tc>
        <w:tc>
          <w:tcPr>
            <w:tcW w:w="905" w:type="dxa"/>
            <w:vAlign w:val="bottom"/>
          </w:tcPr>
          <w:p w14:paraId="74FA8810"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1.04</w:t>
            </w:r>
          </w:p>
        </w:tc>
        <w:tc>
          <w:tcPr>
            <w:tcW w:w="862" w:type="dxa"/>
            <w:vAlign w:val="bottom"/>
          </w:tcPr>
          <w:p w14:paraId="4A42C0C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0.08</w:t>
            </w:r>
          </w:p>
        </w:tc>
        <w:tc>
          <w:tcPr>
            <w:tcW w:w="850" w:type="dxa"/>
          </w:tcPr>
          <w:p w14:paraId="7DE9782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724" w:type="dxa"/>
            <w:gridSpan w:val="2"/>
          </w:tcPr>
          <w:p w14:paraId="00B3CB1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905" w:type="dxa"/>
          </w:tcPr>
          <w:p w14:paraId="0C83C1B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696" w:type="dxa"/>
          </w:tcPr>
          <w:p w14:paraId="35AB93C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r>
      <w:tr w:rsidR="00E46639" w:rsidRPr="0028033B" w14:paraId="590648F8" w14:textId="77777777" w:rsidTr="00F16E23">
        <w:tc>
          <w:tcPr>
            <w:tcW w:w="1253" w:type="dxa"/>
            <w:vMerge/>
            <w:vAlign w:val="center"/>
          </w:tcPr>
          <w:p w14:paraId="6B95EDB3" w14:textId="77777777" w:rsidR="00E46639" w:rsidRPr="0028033B" w:rsidRDefault="00E46639" w:rsidP="00F16E23">
            <w:pPr>
              <w:pStyle w:val="TableText"/>
              <w:spacing w:before="40" w:after="40"/>
              <w:rPr>
                <w:rFonts w:cs="Calibri"/>
                <w:color w:val="F46CD4"/>
                <w:szCs w:val="16"/>
              </w:rPr>
            </w:pPr>
          </w:p>
        </w:tc>
        <w:tc>
          <w:tcPr>
            <w:tcW w:w="1582" w:type="dxa"/>
            <w:vAlign w:val="bottom"/>
          </w:tcPr>
          <w:p w14:paraId="71CCDD8A"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Percentage difference in emissions estimates (%)</w:t>
            </w:r>
          </w:p>
        </w:tc>
        <w:tc>
          <w:tcPr>
            <w:tcW w:w="785" w:type="dxa"/>
            <w:vAlign w:val="bottom"/>
          </w:tcPr>
          <w:p w14:paraId="5B5BFE87" w14:textId="77777777" w:rsidR="00E46639" w:rsidRPr="0028033B" w:rsidRDefault="00E46639" w:rsidP="00F16E23">
            <w:pPr>
              <w:pStyle w:val="TableText"/>
              <w:spacing w:before="40" w:after="40"/>
              <w:jc w:val="right"/>
              <w:rPr>
                <w:rFonts w:cs="Calibri"/>
                <w:color w:val="000000" w:themeColor="text1"/>
              </w:rPr>
            </w:pPr>
            <w:r w:rsidRPr="6358893A">
              <w:rPr>
                <w:rFonts w:cs="Calibri"/>
                <w:color w:val="000000" w:themeColor="text1"/>
              </w:rPr>
              <w:t>0.0</w:t>
            </w:r>
          </w:p>
        </w:tc>
        <w:tc>
          <w:tcPr>
            <w:tcW w:w="905" w:type="dxa"/>
            <w:vAlign w:val="bottom"/>
          </w:tcPr>
          <w:p w14:paraId="73406392" w14:textId="77777777" w:rsidR="00E46639" w:rsidRPr="0028033B" w:rsidRDefault="00E46639" w:rsidP="00F16E23">
            <w:pPr>
              <w:pStyle w:val="TableText"/>
              <w:spacing w:before="40" w:after="40"/>
              <w:jc w:val="right"/>
              <w:rPr>
                <w:rFonts w:cs="Calibri"/>
                <w:color w:val="000000" w:themeColor="text1"/>
              </w:rPr>
            </w:pPr>
            <w:r w:rsidRPr="6358893A">
              <w:rPr>
                <w:rFonts w:cs="Calibri"/>
                <w:color w:val="000000" w:themeColor="text1"/>
              </w:rPr>
              <w:t>0.0</w:t>
            </w:r>
          </w:p>
        </w:tc>
        <w:tc>
          <w:tcPr>
            <w:tcW w:w="862" w:type="dxa"/>
            <w:vAlign w:val="bottom"/>
          </w:tcPr>
          <w:p w14:paraId="0838D2C6" w14:textId="77777777" w:rsidR="00E46639" w:rsidRPr="0028033B" w:rsidRDefault="00E46639" w:rsidP="00F16E23">
            <w:pPr>
              <w:pStyle w:val="TableText"/>
              <w:spacing w:before="40" w:after="40"/>
              <w:jc w:val="right"/>
              <w:rPr>
                <w:rFonts w:cs="Calibri"/>
                <w:color w:val="000000" w:themeColor="text1"/>
              </w:rPr>
            </w:pPr>
            <w:r w:rsidRPr="6358893A">
              <w:rPr>
                <w:rFonts w:cs="Calibri"/>
                <w:color w:val="000000" w:themeColor="text1"/>
              </w:rPr>
              <w:t>0.0</w:t>
            </w:r>
          </w:p>
        </w:tc>
        <w:tc>
          <w:tcPr>
            <w:tcW w:w="850" w:type="dxa"/>
          </w:tcPr>
          <w:p w14:paraId="06FABDC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724" w:type="dxa"/>
            <w:gridSpan w:val="2"/>
          </w:tcPr>
          <w:p w14:paraId="5C4FA946"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905" w:type="dxa"/>
          </w:tcPr>
          <w:p w14:paraId="771DD9C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696" w:type="dxa"/>
          </w:tcPr>
          <w:p w14:paraId="4F3901C9"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r>
    </w:tbl>
    <w:p w14:paraId="612A40D6" w14:textId="77777777" w:rsidR="00E46639" w:rsidRPr="0028033B" w:rsidRDefault="00E46639" w:rsidP="00E46639">
      <w:pPr>
        <w:pStyle w:val="Noteundertable"/>
        <w:spacing w:after="80"/>
        <w:rPr>
          <w:rFonts w:cs="Calibri"/>
        </w:rPr>
      </w:pPr>
      <w:bookmarkStart w:id="876" w:name="_Toc127458258"/>
      <w:bookmarkStart w:id="877" w:name="_Toc131591354"/>
      <w:r w:rsidRPr="0028033B">
        <w:rPr>
          <w:rFonts w:cs="Calibri"/>
          <w:b/>
          <w:bCs/>
        </w:rPr>
        <w:t>Note:</w:t>
      </w:r>
      <w:r w:rsidRPr="0028033B">
        <w:rPr>
          <w:rFonts w:cs="Calibri"/>
        </w:rPr>
        <w:t xml:space="preserve"> </w:t>
      </w:r>
      <w:r w:rsidRPr="0028033B">
        <w:rPr>
          <w:rFonts w:cs="Calibri"/>
        </w:rPr>
        <w:tab/>
        <w:t>Columns may not sum due to rounding. Percentages presented are calculated from unrounded values.</w:t>
      </w:r>
    </w:p>
    <w:bookmarkEnd w:id="876"/>
    <w:bookmarkEnd w:id="877"/>
    <w:p w14:paraId="2D063D6A" w14:textId="77777777" w:rsidR="00E46639" w:rsidRPr="0028033B" w:rsidRDefault="00E46639" w:rsidP="00E46639">
      <w:pPr>
        <w:pStyle w:val="Heading5"/>
      </w:pPr>
      <w:r w:rsidRPr="0028033B">
        <w:t>Corrections to Inventory model</w:t>
      </w:r>
    </w:p>
    <w:p w14:paraId="636EE605" w14:textId="77777777" w:rsidR="00E46639" w:rsidRPr="0028033B" w:rsidRDefault="00E46639" w:rsidP="00E46639">
      <w:pPr>
        <w:pStyle w:val="BodyText"/>
        <w:spacing w:after="100"/>
      </w:pPr>
      <w:r w:rsidRPr="0028033B">
        <w:t xml:space="preserve">Each year, the MPI Agriculture inventory team identifies changes to improve alignment between the model code and the written methodology (Pickering et al., 2025). </w:t>
      </w:r>
    </w:p>
    <w:p w14:paraId="307B37D7" w14:textId="77777777" w:rsidR="00E46639" w:rsidRPr="0028033B" w:rsidRDefault="00E46639" w:rsidP="00E46639">
      <w:pPr>
        <w:pStyle w:val="BodyText"/>
        <w:spacing w:after="100"/>
        <w:rPr>
          <w:rFonts w:eastAsiaTheme="minorHAnsi" w:cs="Arial"/>
          <w:color w:val="000000" w:themeColor="text1"/>
        </w:rPr>
      </w:pPr>
      <w:r w:rsidRPr="0028033B">
        <w:t>The corrections iden</w:t>
      </w:r>
      <w:r w:rsidRPr="0028033B">
        <w:rPr>
          <w:rFonts w:eastAsiaTheme="minorHAnsi" w:cs="Arial"/>
          <w:color w:val="000000" w:themeColor="text1"/>
        </w:rPr>
        <w:t>tified in 2025 for inclusion in the 2026 Inventory relate to four areas.</w:t>
      </w:r>
    </w:p>
    <w:p w14:paraId="021A0DC6" w14:textId="77777777" w:rsidR="00E46639" w:rsidRPr="0028033B" w:rsidRDefault="00E46639" w:rsidP="00E46639">
      <w:pPr>
        <w:pStyle w:val="Bullet"/>
        <w:spacing w:after="100"/>
        <w:rPr>
          <w:rFonts w:eastAsiaTheme="minorHAnsi"/>
        </w:rPr>
      </w:pPr>
      <w:r w:rsidRPr="0028033B">
        <w:rPr>
          <w:rFonts w:eastAsiaTheme="minorHAnsi"/>
        </w:rPr>
        <w:t>Units for nitrogen retained in milk</w:t>
      </w:r>
      <w:r w:rsidRPr="0028033B">
        <w:rPr>
          <w:rFonts w:eastAsiaTheme="minorHAnsi"/>
          <w:b/>
          <w:bCs/>
        </w:rPr>
        <w:t>:</w:t>
      </w:r>
      <w:r w:rsidRPr="0028033B">
        <w:rPr>
          <w:rFonts w:eastAsiaTheme="minorHAnsi"/>
        </w:rPr>
        <w:t xml:space="preserve"> The model works on a monthly, population-level basis, so values need to be converted correctly to match this approach. Some incorrect conversions were identified and have been corrected. </w:t>
      </w:r>
    </w:p>
    <w:p w14:paraId="3C8F102A" w14:textId="77777777" w:rsidR="00E46639" w:rsidRPr="0028033B" w:rsidRDefault="00E46639" w:rsidP="00E46639">
      <w:pPr>
        <w:pStyle w:val="Bullet"/>
        <w:spacing w:after="100"/>
        <w:rPr>
          <w:rFonts w:eastAsiaTheme="minorHAnsi"/>
        </w:rPr>
      </w:pPr>
      <w:r w:rsidRPr="0028033B">
        <w:rPr>
          <w:rFonts w:eastAsiaTheme="minorHAnsi"/>
        </w:rPr>
        <w:t>Lamb growth period: The model was using a 396-day (13-month) growth period from lamb to mature sheep. However, the methodology (equation 4.64) specifies 365 days (12 months). This has been corrected.</w:t>
      </w:r>
    </w:p>
    <w:p w14:paraId="576BEDAE" w14:textId="77777777" w:rsidR="00E46639" w:rsidRPr="0028033B" w:rsidRDefault="00E46639" w:rsidP="00E46639">
      <w:pPr>
        <w:pStyle w:val="Bullet"/>
        <w:spacing w:after="100"/>
        <w:rPr>
          <w:rFonts w:eastAsiaTheme="minorHAnsi"/>
        </w:rPr>
      </w:pPr>
      <w:r w:rsidRPr="0028033B">
        <w:rPr>
          <w:rFonts w:eastAsiaTheme="minorHAnsi"/>
        </w:rPr>
        <w:t xml:space="preserve">Mature stag liveweight: The model was erroneously assigning mature stags the weight of two- to three-year old stags. According to the methodology, mature stags should use a separate set of liveweights, which are about 21 kilograms heavier on average. This has been corrected. </w:t>
      </w:r>
    </w:p>
    <w:p w14:paraId="628A158F" w14:textId="77777777" w:rsidR="00E46639" w:rsidRPr="0028033B" w:rsidRDefault="00E46639" w:rsidP="00E46639">
      <w:pPr>
        <w:pStyle w:val="Bullet"/>
        <w:spacing w:after="100"/>
        <w:rPr>
          <w:rFonts w:eastAsiaTheme="minorHAnsi"/>
        </w:rPr>
      </w:pPr>
      <w:r w:rsidRPr="0028033B">
        <w:rPr>
          <w:rFonts w:eastAsiaTheme="minorHAnsi"/>
        </w:rPr>
        <w:t>Fertiliser activity data: Minor revisions affecting only 2021 to 2023.</w:t>
      </w:r>
    </w:p>
    <w:p w14:paraId="6669F79F" w14:textId="77777777" w:rsidR="00E46639" w:rsidRPr="0028033B" w:rsidRDefault="00E46639" w:rsidP="00E46639">
      <w:pPr>
        <w:pStyle w:val="BodyText"/>
        <w:rPr>
          <w:color w:val="000000" w:themeColor="text1"/>
        </w:rPr>
      </w:pPr>
      <w:r w:rsidRPr="0028033B">
        <w:rPr>
          <w:color w:val="000000" w:themeColor="text1"/>
        </w:rPr>
        <w:t xml:space="preserve">Implementing these changes caused emissions from the </w:t>
      </w:r>
      <w:r w:rsidRPr="0028033B">
        <w:rPr>
          <w:i/>
          <w:color w:val="000000" w:themeColor="text1"/>
        </w:rPr>
        <w:t>Enteric fermentation</w:t>
      </w:r>
      <w:r w:rsidRPr="0028033B">
        <w:rPr>
          <w:color w:val="000000" w:themeColor="text1"/>
        </w:rPr>
        <w:t xml:space="preserve"> category to increase by 37.2 kt CO</w:t>
      </w:r>
      <w:r w:rsidRPr="0028033B">
        <w:rPr>
          <w:color w:val="000000" w:themeColor="text1"/>
          <w:vertAlign w:val="subscript"/>
        </w:rPr>
        <w:t>2</w:t>
      </w:r>
      <w:r w:rsidRPr="0028033B">
        <w:rPr>
          <w:color w:val="000000" w:themeColor="text1"/>
        </w:rPr>
        <w:t>e in 1990 and by 13.8 kt CO</w:t>
      </w:r>
      <w:r w:rsidRPr="0028033B">
        <w:rPr>
          <w:color w:val="000000" w:themeColor="text1"/>
          <w:vertAlign w:val="subscript"/>
        </w:rPr>
        <w:t>2</w:t>
      </w:r>
      <w:r w:rsidRPr="0028033B">
        <w:rPr>
          <w:color w:val="000000" w:themeColor="text1"/>
        </w:rPr>
        <w:t>e in 2023 (see table 5.2.8).</w:t>
      </w:r>
    </w:p>
    <w:p w14:paraId="0A4D8574" w14:textId="77777777" w:rsidR="00E46639" w:rsidRPr="0028033B" w:rsidRDefault="00E46639" w:rsidP="00E46639">
      <w:pPr>
        <w:pStyle w:val="Table"/>
      </w:pPr>
      <w:bookmarkStart w:id="878" w:name="_Toc160114446"/>
      <w:bookmarkStart w:id="879" w:name="_Toc164153842"/>
      <w:bookmarkStart w:id="880" w:name="_Toc222407625"/>
      <w:bookmarkStart w:id="881" w:name="_Toc226669000"/>
      <w:r w:rsidRPr="0028033B">
        <w:t>Table 5.2.8</w:t>
      </w:r>
      <w:r w:rsidRPr="0028033B">
        <w:tab/>
        <w:t>Comparison of model results with and without corrections for emissions</w:t>
      </w:r>
      <w:r w:rsidRPr="0028033B">
        <w:rPr>
          <w:rFonts w:cs="Calibri"/>
        </w:rPr>
        <w:t xml:space="preserve"> from </w:t>
      </w:r>
      <w:r w:rsidRPr="0028033B">
        <w:rPr>
          <w:rFonts w:cs="Calibri"/>
          <w:i/>
          <w:iCs/>
        </w:rPr>
        <w:t>Enteric fermentation</w:t>
      </w:r>
      <w:bookmarkEnd w:id="878"/>
      <w:bookmarkEnd w:id="879"/>
      <w:bookmarkEnd w:id="880"/>
      <w:bookmarkEnd w:id="881"/>
      <w:r w:rsidRPr="0028033B">
        <w:rPr>
          <w:rFonts w:cs="Calibri"/>
          <w:i/>
          <w:iCs/>
        </w:rPr>
        <w:t xml:space="preserve"> </w:t>
      </w:r>
      <w:bookmarkStart w:id="882" w:name="_Toc32570656"/>
      <w:bookmarkStart w:id="883" w:name="_Toc69611740"/>
      <w:bookmarkStart w:id="884" w:name="_Toc69612696"/>
      <w:bookmarkStart w:id="885" w:name="_Toc69612895"/>
      <w:bookmarkStart w:id="886" w:name="_Toc69613155"/>
      <w:bookmarkStart w:id="887" w:name="_Toc69633319"/>
      <w:bookmarkStart w:id="888" w:name="_Toc69717484"/>
      <w:bookmarkStart w:id="889" w:name="_Toc69802966"/>
      <w:bookmarkStart w:id="890" w:name="_Toc69815103"/>
      <w:bookmarkStart w:id="891" w:name="_Toc70492396"/>
      <w:bookmarkStart w:id="892" w:name="_Toc101310603"/>
      <w:bookmarkStart w:id="893" w:name="_Toc101318463"/>
      <w:bookmarkStart w:id="894" w:name="_Toc101318568"/>
      <w:bookmarkStart w:id="895" w:name="_Toc101318752"/>
      <w:bookmarkStart w:id="896" w:name="_Toc101334028"/>
      <w:bookmarkStart w:id="897" w:name="_Toc134847205"/>
      <w:bookmarkStart w:id="898" w:name="_Toc139253923"/>
      <w:bookmarkStart w:id="899" w:name="_Toc144710414"/>
      <w:bookmarkStart w:id="900" w:name="_Toc165890368"/>
      <w:bookmarkStart w:id="901" w:name="_Toc195322662"/>
      <w:bookmarkStart w:id="902" w:name="_Toc235955528"/>
      <w:bookmarkStart w:id="903" w:name="_Toc288316641"/>
      <w:bookmarkStart w:id="904" w:name="_Toc352504861"/>
      <w:bookmarkStart w:id="905" w:name="_Toc448321524"/>
      <w:bookmarkStart w:id="906" w:name="_Toc481751386"/>
      <w:bookmarkStart w:id="907" w:name="_Toc511116601"/>
      <w:bookmarkStart w:id="908" w:name="_Toc5269363"/>
      <w:bookmarkEnd w:id="869"/>
    </w:p>
    <w:tbl>
      <w:tblPr>
        <w:tblW w:w="8505" w:type="dxa"/>
        <w:tblBorders>
          <w:top w:val="single" w:sz="2" w:space="0" w:color="1B556B" w:themeColor="text2"/>
          <w:bottom w:val="single" w:sz="2" w:space="0" w:color="1B556B" w:themeColor="text2"/>
          <w:insideH w:val="single" w:sz="2" w:space="0" w:color="1B556B" w:themeColor="text2"/>
        </w:tblBorders>
        <w:tblLayout w:type="fixed"/>
        <w:tblCellMar>
          <w:left w:w="85" w:type="dxa"/>
          <w:right w:w="57" w:type="dxa"/>
        </w:tblCellMar>
        <w:tblLook w:val="04A0" w:firstRow="1" w:lastRow="0" w:firstColumn="1" w:lastColumn="0" w:noHBand="0" w:noVBand="1"/>
      </w:tblPr>
      <w:tblGrid>
        <w:gridCol w:w="1089"/>
        <w:gridCol w:w="1746"/>
        <w:gridCol w:w="851"/>
        <w:gridCol w:w="850"/>
        <w:gridCol w:w="851"/>
        <w:gridCol w:w="850"/>
        <w:gridCol w:w="709"/>
        <w:gridCol w:w="851"/>
        <w:gridCol w:w="708"/>
      </w:tblGrid>
      <w:tr w:rsidR="00E46639" w:rsidRPr="0028033B" w14:paraId="66DBECCF" w14:textId="77777777" w:rsidTr="00F16E23">
        <w:trPr>
          <w:tblHeader/>
        </w:trPr>
        <w:tc>
          <w:tcPr>
            <w:tcW w:w="1089" w:type="dxa"/>
            <w:vMerge w:val="restart"/>
            <w:shd w:val="clear" w:color="auto" w:fill="1C556C" w:themeFill="accent1"/>
            <w:vAlign w:val="bottom"/>
          </w:tcPr>
          <w:p w14:paraId="5B055BD3" w14:textId="77777777" w:rsidR="00E46639" w:rsidRPr="0028033B" w:rsidRDefault="00E46639" w:rsidP="00F16E23">
            <w:pPr>
              <w:pStyle w:val="TableText"/>
              <w:spacing w:before="40" w:after="40"/>
              <w:rPr>
                <w:b/>
                <w:bCs/>
                <w:color w:val="FFFFFF" w:themeColor="background1"/>
              </w:rPr>
            </w:pPr>
          </w:p>
        </w:tc>
        <w:tc>
          <w:tcPr>
            <w:tcW w:w="1746" w:type="dxa"/>
            <w:vMerge w:val="restart"/>
            <w:shd w:val="clear" w:color="auto" w:fill="1C556C" w:themeFill="accent1"/>
            <w:vAlign w:val="bottom"/>
          </w:tcPr>
          <w:p w14:paraId="77A09FB1" w14:textId="77777777" w:rsidR="00E46639" w:rsidRPr="0028033B" w:rsidRDefault="00E46639" w:rsidP="00F16E23">
            <w:pPr>
              <w:pStyle w:val="TableText"/>
              <w:spacing w:before="40" w:after="40"/>
              <w:rPr>
                <w:b/>
                <w:bCs/>
                <w:color w:val="FFFFFF" w:themeColor="background1"/>
              </w:rPr>
            </w:pPr>
          </w:p>
        </w:tc>
        <w:tc>
          <w:tcPr>
            <w:tcW w:w="851" w:type="dxa"/>
            <w:vMerge w:val="restart"/>
            <w:shd w:val="clear" w:color="auto" w:fill="1C556C" w:themeFill="accent1"/>
            <w:vAlign w:val="bottom"/>
          </w:tcPr>
          <w:p w14:paraId="681B34AC" w14:textId="77777777" w:rsidR="00E46639" w:rsidRPr="0028033B" w:rsidRDefault="00E46639" w:rsidP="00F16E23">
            <w:pPr>
              <w:pStyle w:val="TableText"/>
              <w:spacing w:before="40" w:after="40"/>
              <w:jc w:val="center"/>
              <w:rPr>
                <w:b/>
                <w:color w:val="FFFFFF" w:themeColor="background1"/>
              </w:rPr>
            </w:pPr>
            <w:r w:rsidRPr="0028033B">
              <w:rPr>
                <w:rFonts w:cs="Calibri"/>
                <w:b/>
                <w:color w:val="FFFFFF" w:themeColor="background1"/>
                <w:szCs w:val="16"/>
              </w:rPr>
              <w:t>1990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850" w:type="dxa"/>
            <w:vMerge w:val="restart"/>
            <w:shd w:val="clear" w:color="auto" w:fill="1C556C" w:themeFill="accent1"/>
            <w:vAlign w:val="bottom"/>
          </w:tcPr>
          <w:p w14:paraId="76C08F8F"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2005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851" w:type="dxa"/>
            <w:vMerge w:val="restart"/>
            <w:shd w:val="clear" w:color="auto" w:fill="1C556C" w:themeFill="accent1"/>
            <w:vAlign w:val="bottom"/>
          </w:tcPr>
          <w:p w14:paraId="5450626D" w14:textId="77777777" w:rsidR="00E46639" w:rsidRPr="0028033B" w:rsidRDefault="00E46639" w:rsidP="00F16E23">
            <w:pPr>
              <w:pStyle w:val="TableText"/>
              <w:spacing w:before="40" w:after="40"/>
              <w:jc w:val="right"/>
              <w:rPr>
                <w:b/>
                <w:color w:val="FFFFFF" w:themeColor="background1"/>
              </w:rPr>
            </w:pPr>
            <w:r w:rsidRPr="0028033B">
              <w:rPr>
                <w:rFonts w:cs="Calibri"/>
                <w:b/>
                <w:color w:val="FFFFFF" w:themeColor="background1"/>
                <w:szCs w:val="16"/>
              </w:rPr>
              <w:t>2023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1559" w:type="dxa"/>
            <w:gridSpan w:val="2"/>
            <w:shd w:val="clear" w:color="auto" w:fill="1C556C" w:themeFill="accent1"/>
            <w:vAlign w:val="bottom"/>
          </w:tcPr>
          <w:p w14:paraId="2ADCC4A5" w14:textId="77777777" w:rsidR="00E46639" w:rsidRPr="0028033B" w:rsidRDefault="00E46639" w:rsidP="00F16E23">
            <w:pPr>
              <w:pStyle w:val="TableText"/>
              <w:spacing w:before="40" w:after="40"/>
              <w:jc w:val="center"/>
              <w:rPr>
                <w:b/>
                <w:color w:val="FFFFFF" w:themeColor="background1"/>
              </w:rPr>
            </w:pPr>
            <w:r w:rsidRPr="0028033B">
              <w:rPr>
                <w:rFonts w:cs="Calibri"/>
                <w:b/>
                <w:color w:val="FFFFFF" w:themeColor="background1"/>
                <w:szCs w:val="16"/>
              </w:rPr>
              <w:t xml:space="preserve">Change in emissions between </w:t>
            </w:r>
            <w:r w:rsidRPr="0028033B">
              <w:rPr>
                <w:rFonts w:cs="Calibri"/>
                <w:b/>
                <w:color w:val="FFFFFF" w:themeColor="background1"/>
                <w:szCs w:val="16"/>
              </w:rPr>
              <w:br/>
              <w:t xml:space="preserve">1990 and 2023 </w:t>
            </w:r>
          </w:p>
        </w:tc>
        <w:tc>
          <w:tcPr>
            <w:tcW w:w="1559" w:type="dxa"/>
            <w:gridSpan w:val="2"/>
            <w:shd w:val="clear" w:color="auto" w:fill="1C556C" w:themeFill="accent1"/>
            <w:vAlign w:val="bottom"/>
          </w:tcPr>
          <w:p w14:paraId="7270A7A2"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 xml:space="preserve">Change in emissions between </w:t>
            </w:r>
            <w:r w:rsidRPr="0028033B">
              <w:rPr>
                <w:rFonts w:cs="Calibri"/>
                <w:b/>
                <w:color w:val="FFFFFF" w:themeColor="background1"/>
                <w:szCs w:val="16"/>
              </w:rPr>
              <w:br/>
              <w:t xml:space="preserve">2005 and 2023 </w:t>
            </w:r>
          </w:p>
        </w:tc>
      </w:tr>
      <w:tr w:rsidR="00E46639" w:rsidRPr="0028033B" w14:paraId="6804BC83" w14:textId="77777777" w:rsidTr="00F16E23">
        <w:trPr>
          <w:tblHeader/>
        </w:trPr>
        <w:tc>
          <w:tcPr>
            <w:tcW w:w="1089" w:type="dxa"/>
            <w:vMerge/>
            <w:vAlign w:val="center"/>
          </w:tcPr>
          <w:p w14:paraId="1E189DE3" w14:textId="77777777" w:rsidR="00E46639" w:rsidRPr="0028033B" w:rsidRDefault="00E46639" w:rsidP="00F16E23">
            <w:pPr>
              <w:pStyle w:val="TableText"/>
              <w:spacing w:before="40" w:after="40"/>
              <w:rPr>
                <w:b/>
                <w:bCs/>
                <w:color w:val="FFC000"/>
              </w:rPr>
            </w:pPr>
          </w:p>
        </w:tc>
        <w:tc>
          <w:tcPr>
            <w:tcW w:w="1746" w:type="dxa"/>
            <w:vMerge/>
            <w:vAlign w:val="center"/>
          </w:tcPr>
          <w:p w14:paraId="316DDB64" w14:textId="77777777" w:rsidR="00E46639" w:rsidRPr="0028033B" w:rsidRDefault="00E46639" w:rsidP="00F16E23">
            <w:pPr>
              <w:pStyle w:val="TableText"/>
              <w:spacing w:before="40" w:after="40"/>
              <w:rPr>
                <w:b/>
                <w:bCs/>
                <w:color w:val="FFC000"/>
              </w:rPr>
            </w:pPr>
          </w:p>
        </w:tc>
        <w:tc>
          <w:tcPr>
            <w:tcW w:w="851" w:type="dxa"/>
            <w:vMerge/>
            <w:vAlign w:val="center"/>
          </w:tcPr>
          <w:p w14:paraId="5E866192" w14:textId="77777777" w:rsidR="00E46639" w:rsidRPr="0028033B" w:rsidRDefault="00E46639" w:rsidP="00F16E23">
            <w:pPr>
              <w:pStyle w:val="TableText"/>
              <w:spacing w:before="40" w:after="40"/>
              <w:jc w:val="center"/>
              <w:rPr>
                <w:rFonts w:cs="Calibri"/>
                <w:b/>
                <w:color w:val="FFFFFF" w:themeColor="background1"/>
                <w:szCs w:val="16"/>
              </w:rPr>
            </w:pPr>
          </w:p>
        </w:tc>
        <w:tc>
          <w:tcPr>
            <w:tcW w:w="850" w:type="dxa"/>
            <w:vMerge/>
            <w:vAlign w:val="center"/>
          </w:tcPr>
          <w:p w14:paraId="6459FA80" w14:textId="77777777" w:rsidR="00E46639" w:rsidRPr="0028033B" w:rsidRDefault="00E46639" w:rsidP="00F16E23">
            <w:pPr>
              <w:pStyle w:val="TableText"/>
              <w:spacing w:before="40" w:after="40"/>
              <w:jc w:val="center"/>
              <w:rPr>
                <w:rFonts w:cs="Calibri"/>
                <w:b/>
                <w:color w:val="FFFFFF" w:themeColor="background1"/>
                <w:szCs w:val="16"/>
              </w:rPr>
            </w:pPr>
          </w:p>
        </w:tc>
        <w:tc>
          <w:tcPr>
            <w:tcW w:w="851" w:type="dxa"/>
            <w:vMerge/>
            <w:vAlign w:val="center"/>
          </w:tcPr>
          <w:p w14:paraId="6AEBDFE2" w14:textId="77777777" w:rsidR="00E46639" w:rsidRPr="0028033B" w:rsidRDefault="00E46639" w:rsidP="00F16E23">
            <w:pPr>
              <w:pStyle w:val="TableText"/>
              <w:spacing w:before="40" w:after="40"/>
              <w:jc w:val="center"/>
              <w:rPr>
                <w:rFonts w:cs="Calibri"/>
                <w:b/>
                <w:color w:val="FFFFFF" w:themeColor="background1"/>
                <w:szCs w:val="16"/>
              </w:rPr>
            </w:pPr>
          </w:p>
        </w:tc>
        <w:tc>
          <w:tcPr>
            <w:tcW w:w="850" w:type="dxa"/>
            <w:shd w:val="clear" w:color="auto" w:fill="1C556C" w:themeFill="accent1"/>
            <w:vAlign w:val="center"/>
          </w:tcPr>
          <w:p w14:paraId="75F8C3B4"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09" w:type="dxa"/>
            <w:shd w:val="clear" w:color="auto" w:fill="1C556C" w:themeFill="accent1"/>
            <w:vAlign w:val="center"/>
          </w:tcPr>
          <w:p w14:paraId="6378D217"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w:t>
            </w:r>
          </w:p>
        </w:tc>
        <w:tc>
          <w:tcPr>
            <w:tcW w:w="851" w:type="dxa"/>
            <w:shd w:val="clear" w:color="auto" w:fill="1C556C" w:themeFill="accent1"/>
            <w:vAlign w:val="center"/>
          </w:tcPr>
          <w:p w14:paraId="2D20A661"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08" w:type="dxa"/>
            <w:shd w:val="clear" w:color="auto" w:fill="1C556C" w:themeFill="accent1"/>
            <w:vAlign w:val="center"/>
          </w:tcPr>
          <w:p w14:paraId="589BB1E6"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w:t>
            </w:r>
          </w:p>
        </w:tc>
      </w:tr>
      <w:tr w:rsidR="00E46639" w:rsidRPr="0028033B" w14:paraId="7EE7E860" w14:textId="77777777" w:rsidTr="00F16E23">
        <w:tc>
          <w:tcPr>
            <w:tcW w:w="1089" w:type="dxa"/>
            <w:vMerge w:val="restart"/>
            <w:vAlign w:val="center"/>
          </w:tcPr>
          <w:p w14:paraId="18C0E661"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 xml:space="preserve">Total emissions from </w:t>
            </w:r>
            <w:r w:rsidRPr="0028033B">
              <w:rPr>
                <w:rFonts w:cs="Calibri"/>
                <w:i/>
                <w:color w:val="000000" w:themeColor="text1"/>
                <w:szCs w:val="16"/>
              </w:rPr>
              <w:t>Enteric fermentation</w:t>
            </w:r>
          </w:p>
        </w:tc>
        <w:tc>
          <w:tcPr>
            <w:tcW w:w="1746" w:type="dxa"/>
            <w:vAlign w:val="center"/>
          </w:tcPr>
          <w:p w14:paraId="3B52C339"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2025 (1990–2023) emissions estimate</w:t>
            </w:r>
          </w:p>
        </w:tc>
        <w:tc>
          <w:tcPr>
            <w:tcW w:w="851" w:type="dxa"/>
            <w:vAlign w:val="bottom"/>
          </w:tcPr>
          <w:p w14:paraId="71182D15" w14:textId="77777777" w:rsidR="00E46639" w:rsidRPr="0028033B" w:rsidRDefault="00E46639" w:rsidP="00F16E23">
            <w:pPr>
              <w:pStyle w:val="TableText"/>
              <w:spacing w:before="40" w:after="40"/>
              <w:jc w:val="right"/>
              <w:rPr>
                <w:szCs w:val="16"/>
              </w:rPr>
            </w:pPr>
            <w:r w:rsidRPr="0028033B">
              <w:rPr>
                <w:rFonts w:cs="Calibri"/>
                <w:szCs w:val="16"/>
              </w:rPr>
              <w:t>31,034.9</w:t>
            </w:r>
          </w:p>
        </w:tc>
        <w:tc>
          <w:tcPr>
            <w:tcW w:w="850" w:type="dxa"/>
            <w:vAlign w:val="bottom"/>
          </w:tcPr>
          <w:p w14:paraId="4786747E" w14:textId="77777777" w:rsidR="00E46639" w:rsidRPr="0028033B" w:rsidRDefault="00E46639" w:rsidP="00F16E23">
            <w:pPr>
              <w:pStyle w:val="TableText"/>
              <w:spacing w:before="40" w:after="40"/>
              <w:jc w:val="right"/>
              <w:rPr>
                <w:rFonts w:cs="Calibri"/>
                <w:szCs w:val="16"/>
              </w:rPr>
            </w:pPr>
            <w:r w:rsidRPr="0028033B">
              <w:rPr>
                <w:rFonts w:cs="Calibri"/>
                <w:szCs w:val="16"/>
              </w:rPr>
              <w:t>34,373.0</w:t>
            </w:r>
          </w:p>
        </w:tc>
        <w:tc>
          <w:tcPr>
            <w:tcW w:w="851" w:type="dxa"/>
            <w:vAlign w:val="bottom"/>
          </w:tcPr>
          <w:p w14:paraId="0C2FD4FA" w14:textId="77777777" w:rsidR="00E46639" w:rsidRPr="0028033B" w:rsidRDefault="00E46639" w:rsidP="00F16E23">
            <w:pPr>
              <w:pStyle w:val="TableText"/>
              <w:spacing w:before="40" w:after="40"/>
              <w:jc w:val="right"/>
              <w:rPr>
                <w:szCs w:val="16"/>
              </w:rPr>
            </w:pPr>
            <w:r w:rsidRPr="0028033B">
              <w:rPr>
                <w:rFonts w:cs="Calibri"/>
                <w:szCs w:val="16"/>
              </w:rPr>
              <w:t>31,661.7</w:t>
            </w:r>
          </w:p>
        </w:tc>
        <w:tc>
          <w:tcPr>
            <w:tcW w:w="850" w:type="dxa"/>
            <w:vAlign w:val="bottom"/>
          </w:tcPr>
          <w:p w14:paraId="220A2E13" w14:textId="77777777" w:rsidR="00E46639" w:rsidRPr="0028033B" w:rsidRDefault="00E46639" w:rsidP="00F16E23">
            <w:pPr>
              <w:pStyle w:val="TableText"/>
              <w:spacing w:before="40" w:after="40"/>
              <w:jc w:val="right"/>
              <w:rPr>
                <w:szCs w:val="16"/>
              </w:rPr>
            </w:pPr>
            <w:r w:rsidRPr="0028033B">
              <w:rPr>
                <w:rFonts w:cs="Calibri"/>
                <w:szCs w:val="16"/>
              </w:rPr>
              <w:t>626.8</w:t>
            </w:r>
          </w:p>
        </w:tc>
        <w:tc>
          <w:tcPr>
            <w:tcW w:w="709" w:type="dxa"/>
            <w:vAlign w:val="bottom"/>
          </w:tcPr>
          <w:p w14:paraId="7B964BAA" w14:textId="77777777" w:rsidR="00E46639" w:rsidRPr="0028033B" w:rsidRDefault="00E46639" w:rsidP="00F16E23">
            <w:pPr>
              <w:pStyle w:val="TableText"/>
              <w:spacing w:before="40" w:after="40"/>
              <w:jc w:val="right"/>
              <w:rPr>
                <w:szCs w:val="16"/>
              </w:rPr>
            </w:pPr>
            <w:r w:rsidRPr="0028033B">
              <w:rPr>
                <w:rFonts w:cs="Calibri"/>
                <w:szCs w:val="16"/>
              </w:rPr>
              <w:t>2.0</w:t>
            </w:r>
          </w:p>
        </w:tc>
        <w:tc>
          <w:tcPr>
            <w:tcW w:w="851" w:type="dxa"/>
            <w:vAlign w:val="bottom"/>
          </w:tcPr>
          <w:p w14:paraId="4FE1C4E0" w14:textId="77777777" w:rsidR="00E46639" w:rsidRPr="0028033B" w:rsidRDefault="00E46639" w:rsidP="00F16E23">
            <w:pPr>
              <w:pStyle w:val="TableText"/>
              <w:spacing w:before="40" w:after="40"/>
              <w:jc w:val="right"/>
              <w:rPr>
                <w:rFonts w:cs="Calibri"/>
                <w:szCs w:val="16"/>
              </w:rPr>
            </w:pPr>
            <w:r w:rsidRPr="0028033B">
              <w:rPr>
                <w:rFonts w:cs="Calibri"/>
                <w:szCs w:val="16"/>
              </w:rPr>
              <w:t>-2,711.3</w:t>
            </w:r>
          </w:p>
        </w:tc>
        <w:tc>
          <w:tcPr>
            <w:tcW w:w="708" w:type="dxa"/>
            <w:vAlign w:val="bottom"/>
          </w:tcPr>
          <w:p w14:paraId="234A92A1" w14:textId="77777777" w:rsidR="00E46639" w:rsidRPr="0028033B" w:rsidRDefault="00E46639" w:rsidP="00F16E23">
            <w:pPr>
              <w:pStyle w:val="TableText"/>
              <w:spacing w:before="40" w:after="40"/>
              <w:jc w:val="right"/>
              <w:rPr>
                <w:rFonts w:cs="Calibri"/>
                <w:szCs w:val="16"/>
              </w:rPr>
            </w:pPr>
            <w:r w:rsidRPr="0028033B">
              <w:rPr>
                <w:rFonts w:cs="Calibri"/>
                <w:szCs w:val="16"/>
              </w:rPr>
              <w:t>-7.9</w:t>
            </w:r>
          </w:p>
        </w:tc>
      </w:tr>
      <w:tr w:rsidR="00E46639" w:rsidRPr="0028033B" w14:paraId="28238651" w14:textId="77777777" w:rsidTr="00F16E23">
        <w:tc>
          <w:tcPr>
            <w:tcW w:w="1089" w:type="dxa"/>
            <w:vMerge/>
            <w:vAlign w:val="center"/>
          </w:tcPr>
          <w:p w14:paraId="21CAAC6E" w14:textId="77777777" w:rsidR="00E46639" w:rsidRPr="0028033B" w:rsidRDefault="00E46639" w:rsidP="00F16E23">
            <w:pPr>
              <w:pStyle w:val="TableText"/>
              <w:spacing w:before="40" w:after="40"/>
              <w:rPr>
                <w:color w:val="000000" w:themeColor="text1"/>
              </w:rPr>
            </w:pPr>
          </w:p>
        </w:tc>
        <w:tc>
          <w:tcPr>
            <w:tcW w:w="1746" w:type="dxa"/>
            <w:vAlign w:val="center"/>
          </w:tcPr>
          <w:p w14:paraId="7745ADAE" w14:textId="77777777" w:rsidR="00E46639" w:rsidRPr="0028033B" w:rsidRDefault="00E46639" w:rsidP="00F16E23">
            <w:pPr>
              <w:pStyle w:val="TableText"/>
              <w:spacing w:before="40" w:after="40"/>
              <w:rPr>
                <w:rFonts w:cs="Calibri"/>
                <w:i/>
                <w:color w:val="000000" w:themeColor="text1"/>
                <w:szCs w:val="16"/>
              </w:rPr>
            </w:pPr>
            <w:r w:rsidRPr="0028033B">
              <w:rPr>
                <w:rFonts w:cs="Calibri"/>
                <w:color w:val="000000" w:themeColor="text1"/>
                <w:szCs w:val="16"/>
              </w:rPr>
              <w:t xml:space="preserve">2025 (1990–2023) emissions estimate </w:t>
            </w:r>
            <w:r w:rsidRPr="0028033B">
              <w:rPr>
                <w:rFonts w:cs="Calibri"/>
                <w:i/>
                <w:color w:val="000000" w:themeColor="text1"/>
                <w:szCs w:val="16"/>
              </w:rPr>
              <w:t>with</w:t>
            </w:r>
            <w:r w:rsidRPr="0028033B">
              <w:rPr>
                <w:rFonts w:cs="Calibri"/>
                <w:color w:val="000000" w:themeColor="text1"/>
                <w:szCs w:val="16"/>
              </w:rPr>
              <w:t xml:space="preserve"> correction</w:t>
            </w:r>
          </w:p>
        </w:tc>
        <w:tc>
          <w:tcPr>
            <w:tcW w:w="851" w:type="dxa"/>
            <w:vAlign w:val="bottom"/>
          </w:tcPr>
          <w:p w14:paraId="4724F57B" w14:textId="77777777" w:rsidR="00E46639" w:rsidRPr="0028033B" w:rsidRDefault="00E46639" w:rsidP="00F16E23">
            <w:pPr>
              <w:pStyle w:val="TableText"/>
              <w:spacing w:before="40" w:after="40"/>
              <w:jc w:val="right"/>
              <w:rPr>
                <w:szCs w:val="16"/>
              </w:rPr>
            </w:pPr>
            <w:r w:rsidRPr="0028033B">
              <w:rPr>
                <w:rFonts w:cs="Calibri"/>
                <w:szCs w:val="16"/>
              </w:rPr>
              <w:t>31,072.1</w:t>
            </w:r>
          </w:p>
        </w:tc>
        <w:tc>
          <w:tcPr>
            <w:tcW w:w="850" w:type="dxa"/>
            <w:vAlign w:val="bottom"/>
          </w:tcPr>
          <w:p w14:paraId="6FEA4087" w14:textId="77777777" w:rsidR="00E46639" w:rsidRPr="0028033B" w:rsidRDefault="00E46639" w:rsidP="00F16E23">
            <w:pPr>
              <w:pStyle w:val="TableText"/>
              <w:spacing w:before="40" w:after="40"/>
              <w:jc w:val="right"/>
              <w:rPr>
                <w:rFonts w:cs="Calibri"/>
                <w:szCs w:val="16"/>
              </w:rPr>
            </w:pPr>
            <w:r w:rsidRPr="0028033B">
              <w:rPr>
                <w:rFonts w:cs="Calibri"/>
                <w:szCs w:val="16"/>
              </w:rPr>
              <w:t>34,401.0</w:t>
            </w:r>
          </w:p>
        </w:tc>
        <w:tc>
          <w:tcPr>
            <w:tcW w:w="851" w:type="dxa"/>
            <w:vAlign w:val="bottom"/>
          </w:tcPr>
          <w:p w14:paraId="08BA7AE0" w14:textId="77777777" w:rsidR="00E46639" w:rsidRPr="0028033B" w:rsidRDefault="00E46639" w:rsidP="00F16E23">
            <w:pPr>
              <w:pStyle w:val="TableText"/>
              <w:spacing w:before="40" w:after="40"/>
              <w:jc w:val="right"/>
              <w:rPr>
                <w:szCs w:val="16"/>
              </w:rPr>
            </w:pPr>
            <w:r w:rsidRPr="0028033B">
              <w:rPr>
                <w:rFonts w:cs="Calibri"/>
                <w:szCs w:val="16"/>
              </w:rPr>
              <w:t>31,675.6</w:t>
            </w:r>
          </w:p>
        </w:tc>
        <w:tc>
          <w:tcPr>
            <w:tcW w:w="850" w:type="dxa"/>
            <w:vAlign w:val="bottom"/>
          </w:tcPr>
          <w:p w14:paraId="7508925A" w14:textId="77777777" w:rsidR="00E46639" w:rsidRPr="0028033B" w:rsidRDefault="00E46639" w:rsidP="00F16E23">
            <w:pPr>
              <w:pStyle w:val="TableText"/>
              <w:spacing w:before="40" w:after="40"/>
              <w:jc w:val="right"/>
              <w:rPr>
                <w:szCs w:val="16"/>
              </w:rPr>
            </w:pPr>
            <w:r w:rsidRPr="0028033B">
              <w:rPr>
                <w:rFonts w:cs="Calibri"/>
                <w:szCs w:val="16"/>
              </w:rPr>
              <w:t>603.4</w:t>
            </w:r>
          </w:p>
        </w:tc>
        <w:tc>
          <w:tcPr>
            <w:tcW w:w="709" w:type="dxa"/>
            <w:vAlign w:val="bottom"/>
          </w:tcPr>
          <w:p w14:paraId="64E382A0" w14:textId="77777777" w:rsidR="00E46639" w:rsidRPr="0028033B" w:rsidRDefault="00E46639" w:rsidP="00F16E23">
            <w:pPr>
              <w:pStyle w:val="TableText"/>
              <w:spacing w:before="40" w:after="40"/>
              <w:jc w:val="right"/>
              <w:rPr>
                <w:szCs w:val="16"/>
              </w:rPr>
            </w:pPr>
            <w:r w:rsidRPr="0028033B">
              <w:rPr>
                <w:rFonts w:cs="Calibri"/>
                <w:szCs w:val="16"/>
              </w:rPr>
              <w:t>1.9</w:t>
            </w:r>
          </w:p>
        </w:tc>
        <w:tc>
          <w:tcPr>
            <w:tcW w:w="851" w:type="dxa"/>
            <w:vAlign w:val="bottom"/>
          </w:tcPr>
          <w:p w14:paraId="07171EC0" w14:textId="77777777" w:rsidR="00E46639" w:rsidRPr="0028033B" w:rsidRDefault="00E46639" w:rsidP="00F16E23">
            <w:pPr>
              <w:pStyle w:val="TableText"/>
              <w:spacing w:before="40" w:after="40"/>
              <w:jc w:val="right"/>
              <w:rPr>
                <w:rFonts w:cs="Calibri"/>
                <w:szCs w:val="16"/>
              </w:rPr>
            </w:pPr>
            <w:r w:rsidRPr="0028033B">
              <w:rPr>
                <w:rFonts w:cs="Calibri"/>
                <w:szCs w:val="16"/>
              </w:rPr>
              <w:t>-2,725.4</w:t>
            </w:r>
          </w:p>
        </w:tc>
        <w:tc>
          <w:tcPr>
            <w:tcW w:w="708" w:type="dxa"/>
            <w:vAlign w:val="bottom"/>
          </w:tcPr>
          <w:p w14:paraId="1D037170" w14:textId="77777777" w:rsidR="00E46639" w:rsidRPr="0028033B" w:rsidRDefault="00E46639" w:rsidP="00F16E23">
            <w:pPr>
              <w:pStyle w:val="TableText"/>
              <w:spacing w:before="40" w:after="40"/>
              <w:jc w:val="right"/>
              <w:rPr>
                <w:rFonts w:cs="Calibri"/>
                <w:szCs w:val="16"/>
              </w:rPr>
            </w:pPr>
            <w:r w:rsidRPr="0028033B">
              <w:rPr>
                <w:rFonts w:cs="Calibri"/>
                <w:szCs w:val="16"/>
              </w:rPr>
              <w:t>-7.9</w:t>
            </w:r>
          </w:p>
        </w:tc>
      </w:tr>
      <w:tr w:rsidR="00E46639" w:rsidRPr="0028033B" w14:paraId="6D104BA4" w14:textId="77777777" w:rsidTr="00F16E23">
        <w:tc>
          <w:tcPr>
            <w:tcW w:w="1089" w:type="dxa"/>
            <w:vMerge/>
            <w:vAlign w:val="center"/>
          </w:tcPr>
          <w:p w14:paraId="75E4A6D7" w14:textId="77777777" w:rsidR="00E46639" w:rsidRPr="0028033B" w:rsidRDefault="00E46639" w:rsidP="00F16E23">
            <w:pPr>
              <w:pStyle w:val="TableText"/>
              <w:spacing w:before="40" w:after="40"/>
              <w:rPr>
                <w:color w:val="000000" w:themeColor="text1"/>
              </w:rPr>
            </w:pPr>
          </w:p>
        </w:tc>
        <w:tc>
          <w:tcPr>
            <w:tcW w:w="1746" w:type="dxa"/>
            <w:vAlign w:val="center"/>
          </w:tcPr>
          <w:p w14:paraId="5FE18901"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Difference in emissions estimates</w:t>
            </w:r>
          </w:p>
        </w:tc>
        <w:tc>
          <w:tcPr>
            <w:tcW w:w="851" w:type="dxa"/>
            <w:vAlign w:val="bottom"/>
          </w:tcPr>
          <w:p w14:paraId="6A51D1CA" w14:textId="77777777" w:rsidR="00E46639" w:rsidRPr="0028033B" w:rsidRDefault="00E46639" w:rsidP="00F16E23">
            <w:pPr>
              <w:pStyle w:val="TableText"/>
              <w:spacing w:before="40" w:after="40"/>
              <w:jc w:val="right"/>
              <w:rPr>
                <w:szCs w:val="16"/>
              </w:rPr>
            </w:pPr>
            <w:r w:rsidRPr="0028033B">
              <w:rPr>
                <w:rFonts w:cs="Calibri"/>
                <w:szCs w:val="16"/>
              </w:rPr>
              <w:t>37.2</w:t>
            </w:r>
          </w:p>
        </w:tc>
        <w:tc>
          <w:tcPr>
            <w:tcW w:w="850" w:type="dxa"/>
            <w:vAlign w:val="bottom"/>
          </w:tcPr>
          <w:p w14:paraId="5FEA17D6" w14:textId="77777777" w:rsidR="00E46639" w:rsidRPr="0028033B" w:rsidRDefault="00E46639" w:rsidP="00F16E23">
            <w:pPr>
              <w:pStyle w:val="TableText"/>
              <w:spacing w:before="40" w:after="40"/>
              <w:jc w:val="right"/>
              <w:rPr>
                <w:rFonts w:cs="Calibri"/>
                <w:szCs w:val="16"/>
              </w:rPr>
            </w:pPr>
            <w:r w:rsidRPr="0028033B">
              <w:rPr>
                <w:rFonts w:cs="Calibri"/>
                <w:szCs w:val="16"/>
              </w:rPr>
              <w:t>27.9</w:t>
            </w:r>
          </w:p>
        </w:tc>
        <w:tc>
          <w:tcPr>
            <w:tcW w:w="851" w:type="dxa"/>
            <w:vAlign w:val="bottom"/>
          </w:tcPr>
          <w:p w14:paraId="32A14456" w14:textId="77777777" w:rsidR="00E46639" w:rsidRPr="0028033B" w:rsidRDefault="00E46639" w:rsidP="00F16E23">
            <w:pPr>
              <w:pStyle w:val="TableText"/>
              <w:spacing w:before="40" w:after="40"/>
              <w:jc w:val="right"/>
              <w:rPr>
                <w:szCs w:val="16"/>
              </w:rPr>
            </w:pPr>
            <w:r w:rsidRPr="0028033B">
              <w:rPr>
                <w:rFonts w:cs="Calibri"/>
                <w:szCs w:val="16"/>
              </w:rPr>
              <w:t>13.8</w:t>
            </w:r>
          </w:p>
        </w:tc>
        <w:tc>
          <w:tcPr>
            <w:tcW w:w="850" w:type="dxa"/>
            <w:vAlign w:val="bottom"/>
          </w:tcPr>
          <w:p w14:paraId="6FC757AE" w14:textId="77777777" w:rsidR="00E46639" w:rsidRPr="0028033B" w:rsidRDefault="00E46639" w:rsidP="00F16E23">
            <w:pPr>
              <w:pStyle w:val="TableText"/>
              <w:spacing w:before="40" w:after="40"/>
              <w:jc w:val="right"/>
              <w:rPr>
                <w:szCs w:val="16"/>
              </w:rPr>
            </w:pPr>
            <w:r w:rsidRPr="0028033B">
              <w:rPr>
                <w:rFonts w:cs="Calibri"/>
                <w:szCs w:val="16"/>
              </w:rPr>
              <w:t> </w:t>
            </w:r>
          </w:p>
        </w:tc>
        <w:tc>
          <w:tcPr>
            <w:tcW w:w="709" w:type="dxa"/>
            <w:vAlign w:val="bottom"/>
          </w:tcPr>
          <w:p w14:paraId="4D7B9024" w14:textId="77777777" w:rsidR="00E46639" w:rsidRPr="0028033B" w:rsidRDefault="00E46639" w:rsidP="00F16E23">
            <w:pPr>
              <w:pStyle w:val="TableText"/>
              <w:spacing w:before="40" w:after="40"/>
              <w:jc w:val="right"/>
              <w:rPr>
                <w:szCs w:val="16"/>
              </w:rPr>
            </w:pPr>
            <w:r w:rsidRPr="0028033B">
              <w:rPr>
                <w:rFonts w:cs="Calibri"/>
                <w:szCs w:val="16"/>
              </w:rPr>
              <w:t> </w:t>
            </w:r>
          </w:p>
        </w:tc>
        <w:tc>
          <w:tcPr>
            <w:tcW w:w="851" w:type="dxa"/>
            <w:vAlign w:val="bottom"/>
          </w:tcPr>
          <w:p w14:paraId="18559E81"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708" w:type="dxa"/>
            <w:vAlign w:val="bottom"/>
          </w:tcPr>
          <w:p w14:paraId="27AE8425"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r>
      <w:tr w:rsidR="00E46639" w:rsidRPr="0028033B" w14:paraId="3955FA40" w14:textId="77777777" w:rsidTr="00F16E23">
        <w:tc>
          <w:tcPr>
            <w:tcW w:w="1089" w:type="dxa"/>
            <w:vMerge/>
            <w:vAlign w:val="center"/>
          </w:tcPr>
          <w:p w14:paraId="2532C85E" w14:textId="77777777" w:rsidR="00E46639" w:rsidRPr="0028033B" w:rsidRDefault="00E46639" w:rsidP="00F16E23">
            <w:pPr>
              <w:pStyle w:val="TableText"/>
              <w:spacing w:before="40" w:after="40"/>
              <w:rPr>
                <w:color w:val="000000" w:themeColor="text1"/>
              </w:rPr>
            </w:pPr>
          </w:p>
        </w:tc>
        <w:tc>
          <w:tcPr>
            <w:tcW w:w="1746" w:type="dxa"/>
            <w:vAlign w:val="center"/>
          </w:tcPr>
          <w:p w14:paraId="283D864E"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Percentage difference in emissions estimates (%)</w:t>
            </w:r>
          </w:p>
        </w:tc>
        <w:tc>
          <w:tcPr>
            <w:tcW w:w="851" w:type="dxa"/>
            <w:vAlign w:val="bottom"/>
          </w:tcPr>
          <w:p w14:paraId="5B56351A" w14:textId="77777777" w:rsidR="00E46639" w:rsidRPr="0028033B" w:rsidRDefault="00E46639" w:rsidP="00F16E23">
            <w:pPr>
              <w:pStyle w:val="TableText"/>
              <w:spacing w:before="40" w:after="40"/>
              <w:jc w:val="right"/>
              <w:rPr>
                <w:rFonts w:cs="Calibri"/>
              </w:rPr>
            </w:pPr>
            <w:r w:rsidRPr="6358893A">
              <w:rPr>
                <w:rFonts w:cs="Calibri"/>
              </w:rPr>
              <w:t>0.1</w:t>
            </w:r>
          </w:p>
        </w:tc>
        <w:tc>
          <w:tcPr>
            <w:tcW w:w="850" w:type="dxa"/>
            <w:vAlign w:val="bottom"/>
          </w:tcPr>
          <w:p w14:paraId="15400D53" w14:textId="77777777" w:rsidR="00E46639" w:rsidRPr="0028033B" w:rsidRDefault="00E46639" w:rsidP="00F16E23">
            <w:pPr>
              <w:pStyle w:val="TableText"/>
              <w:spacing w:before="40" w:after="40"/>
              <w:jc w:val="right"/>
              <w:rPr>
                <w:rFonts w:cs="Calibri"/>
              </w:rPr>
            </w:pPr>
            <w:r w:rsidRPr="6358893A">
              <w:rPr>
                <w:rFonts w:cs="Calibri"/>
              </w:rPr>
              <w:t>0.1</w:t>
            </w:r>
          </w:p>
        </w:tc>
        <w:tc>
          <w:tcPr>
            <w:tcW w:w="851" w:type="dxa"/>
            <w:vAlign w:val="bottom"/>
          </w:tcPr>
          <w:p w14:paraId="554BEBB0" w14:textId="77777777" w:rsidR="00E46639" w:rsidRPr="0028033B" w:rsidRDefault="00E46639" w:rsidP="00F16E23">
            <w:pPr>
              <w:pStyle w:val="TableText"/>
              <w:spacing w:before="40" w:after="40"/>
              <w:jc w:val="right"/>
              <w:rPr>
                <w:rFonts w:cs="Calibri"/>
              </w:rPr>
            </w:pPr>
            <w:r w:rsidRPr="6358893A">
              <w:rPr>
                <w:rFonts w:cs="Calibri"/>
              </w:rPr>
              <w:t>0.0</w:t>
            </w:r>
          </w:p>
        </w:tc>
        <w:tc>
          <w:tcPr>
            <w:tcW w:w="850" w:type="dxa"/>
            <w:vAlign w:val="bottom"/>
          </w:tcPr>
          <w:p w14:paraId="5C9DA42A" w14:textId="77777777" w:rsidR="00E46639" w:rsidRPr="0028033B" w:rsidRDefault="00E46639" w:rsidP="00F16E23">
            <w:pPr>
              <w:pStyle w:val="TableText"/>
              <w:spacing w:before="40" w:after="40"/>
              <w:jc w:val="right"/>
              <w:rPr>
                <w:szCs w:val="16"/>
              </w:rPr>
            </w:pPr>
            <w:r w:rsidRPr="0028033B">
              <w:rPr>
                <w:rFonts w:cs="Calibri"/>
                <w:szCs w:val="16"/>
              </w:rPr>
              <w:t> </w:t>
            </w:r>
          </w:p>
        </w:tc>
        <w:tc>
          <w:tcPr>
            <w:tcW w:w="709" w:type="dxa"/>
            <w:vAlign w:val="bottom"/>
          </w:tcPr>
          <w:p w14:paraId="26AFC84F" w14:textId="77777777" w:rsidR="00E46639" w:rsidRPr="0028033B" w:rsidRDefault="00E46639" w:rsidP="00F16E23">
            <w:pPr>
              <w:pStyle w:val="TableText"/>
              <w:spacing w:before="40" w:after="40"/>
              <w:jc w:val="right"/>
              <w:rPr>
                <w:szCs w:val="16"/>
              </w:rPr>
            </w:pPr>
            <w:r w:rsidRPr="0028033B">
              <w:rPr>
                <w:rFonts w:cs="Calibri"/>
                <w:szCs w:val="16"/>
              </w:rPr>
              <w:t> </w:t>
            </w:r>
          </w:p>
        </w:tc>
        <w:tc>
          <w:tcPr>
            <w:tcW w:w="851" w:type="dxa"/>
            <w:vAlign w:val="bottom"/>
          </w:tcPr>
          <w:p w14:paraId="40A44B80"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708" w:type="dxa"/>
            <w:vAlign w:val="bottom"/>
          </w:tcPr>
          <w:p w14:paraId="79F14E4E"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r>
    </w:tbl>
    <w:p w14:paraId="326E4317" w14:textId="77777777" w:rsidR="00E46639" w:rsidRPr="0028033B" w:rsidRDefault="00E46639" w:rsidP="00E46639">
      <w:pPr>
        <w:pStyle w:val="Heading3"/>
        <w:spacing w:before="400"/>
      </w:pPr>
      <w:r w:rsidRPr="0028033B">
        <w:t>5.2.6</w:t>
      </w:r>
      <w:r w:rsidRPr="0028033B">
        <w:tab/>
      </w:r>
      <w:bookmarkStart w:id="909" w:name="_Hlk154135510"/>
      <w:r w:rsidRPr="0028033B">
        <w:t>Category-specific planned improvements</w:t>
      </w:r>
      <w:bookmarkEnd w:id="882"/>
      <w:r w:rsidRPr="0028033B">
        <w:t xml:space="preserve"> </w:t>
      </w:r>
      <w:bookmarkEnd w:id="909"/>
    </w:p>
    <w:p w14:paraId="4B109B07" w14:textId="77777777" w:rsidR="00E46639" w:rsidRPr="0028033B" w:rsidRDefault="00E46639" w:rsidP="00E46639">
      <w:pPr>
        <w:pStyle w:val="BodyText"/>
        <w:spacing w:before="100" w:after="100"/>
        <w:rPr>
          <w:rFonts w:cs="Calibri"/>
          <w:color w:val="000000" w:themeColor="text1"/>
        </w:rPr>
      </w:pPr>
      <w:r w:rsidRPr="0028033B">
        <w:rPr>
          <w:rFonts w:cs="Calibri"/>
          <w:color w:val="000000" w:themeColor="text1"/>
        </w:rPr>
        <w:t>New Zealand is carrying out ongoing research to improve estimates of CH</w:t>
      </w:r>
      <w:r w:rsidRPr="0028033B">
        <w:rPr>
          <w:rFonts w:cs="Calibri"/>
          <w:color w:val="000000" w:themeColor="text1"/>
          <w:vertAlign w:val="subscript"/>
        </w:rPr>
        <w:t>4</w:t>
      </w:r>
      <w:r w:rsidRPr="0028033B">
        <w:rPr>
          <w:rFonts w:cs="Calibri"/>
          <w:color w:val="000000" w:themeColor="text1"/>
        </w:rPr>
        <w:t xml:space="preserve"> emissions from </w:t>
      </w:r>
      <w:r w:rsidRPr="0028033B">
        <w:rPr>
          <w:rFonts w:cs="Calibri"/>
          <w:i/>
          <w:color w:val="000000" w:themeColor="text1"/>
        </w:rPr>
        <w:t>Enteric fermentation</w:t>
      </w:r>
      <w:r w:rsidRPr="0028033B">
        <w:rPr>
          <w:rFonts w:cs="Calibri"/>
          <w:color w:val="000000" w:themeColor="text1"/>
        </w:rPr>
        <w:t xml:space="preserve">. Currently there is no research focused specifically on the </w:t>
      </w:r>
      <w:r w:rsidRPr="0028033B">
        <w:rPr>
          <w:rFonts w:cs="Calibri"/>
          <w:i/>
          <w:color w:val="000000" w:themeColor="text1"/>
        </w:rPr>
        <w:t>Enteric fermentation</w:t>
      </w:r>
      <w:r w:rsidRPr="0028033B">
        <w:rPr>
          <w:rFonts w:cs="Calibri"/>
          <w:color w:val="000000" w:themeColor="text1"/>
        </w:rPr>
        <w:t xml:space="preserve"> reporting category of the Agriculture inventory sector, although several cross-cutting, broader projects that will improve the accuracy of emissions estimates in multiple categories (including </w:t>
      </w:r>
      <w:r w:rsidRPr="0028033B">
        <w:rPr>
          <w:rFonts w:cs="Calibri"/>
          <w:i/>
          <w:color w:val="000000" w:themeColor="text1"/>
        </w:rPr>
        <w:t>Enteric fermentation</w:t>
      </w:r>
      <w:r w:rsidRPr="0028033B">
        <w:rPr>
          <w:rFonts w:cs="Calibri"/>
          <w:color w:val="000000" w:themeColor="text1"/>
        </w:rPr>
        <w:t xml:space="preserve">, </w:t>
      </w:r>
      <w:r w:rsidRPr="0028033B">
        <w:rPr>
          <w:rFonts w:cs="Calibri"/>
          <w:i/>
          <w:color w:val="000000" w:themeColor="text1"/>
        </w:rPr>
        <w:t>Manure management</w:t>
      </w:r>
      <w:r w:rsidRPr="0028033B">
        <w:rPr>
          <w:rFonts w:cs="Calibri"/>
          <w:color w:val="000000" w:themeColor="text1"/>
        </w:rPr>
        <w:t xml:space="preserve"> and </w:t>
      </w:r>
      <w:r w:rsidRPr="0028033B">
        <w:rPr>
          <w:rFonts w:cs="Calibri"/>
          <w:i/>
          <w:color w:val="000000" w:themeColor="text1"/>
        </w:rPr>
        <w:t>Agricultural soils</w:t>
      </w:r>
      <w:r w:rsidRPr="0028033B">
        <w:rPr>
          <w:rFonts w:cs="Calibri"/>
          <w:color w:val="000000" w:themeColor="text1"/>
        </w:rPr>
        <w:t>) are described in section 5.1.7.</w:t>
      </w:r>
    </w:p>
    <w:p w14:paraId="571834EE" w14:textId="77777777" w:rsidR="00E46639" w:rsidRPr="0028033B" w:rsidRDefault="00E46639" w:rsidP="00E46639">
      <w:pPr>
        <w:pStyle w:val="Heading2"/>
        <w:spacing w:before="280"/>
      </w:pPr>
      <w:bookmarkStart w:id="910" w:name="_Toc32570657"/>
      <w:bookmarkStart w:id="911" w:name="_Toc36224403"/>
      <w:bookmarkStart w:id="912" w:name="_Toc68786323"/>
      <w:bookmarkStart w:id="913" w:name="_Toc131591238"/>
      <w:bookmarkStart w:id="914" w:name="_Toc164154192"/>
      <w:bookmarkStart w:id="915" w:name="_Toc226460771"/>
      <w:r w:rsidRPr="0028033B">
        <w:t>5.3</w:t>
      </w:r>
      <w:bookmarkStart w:id="916" w:name="Manure_Management"/>
      <w:r w:rsidRPr="0028033B">
        <w:tab/>
        <w:t xml:space="preserve">Manure management </w:t>
      </w:r>
      <w:bookmarkEnd w:id="916"/>
      <w:r w:rsidRPr="0028033B">
        <w:t>(3.B)</w:t>
      </w:r>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10"/>
      <w:bookmarkEnd w:id="911"/>
      <w:bookmarkEnd w:id="912"/>
      <w:bookmarkEnd w:id="913"/>
      <w:bookmarkEnd w:id="914"/>
      <w:bookmarkEnd w:id="915"/>
    </w:p>
    <w:p w14:paraId="56B3830C" w14:textId="77777777" w:rsidR="00E46639" w:rsidRPr="0028033B" w:rsidRDefault="00E46639" w:rsidP="00E46639">
      <w:pPr>
        <w:pStyle w:val="Heading3"/>
        <w:spacing w:before="200"/>
      </w:pPr>
      <w:bookmarkStart w:id="917" w:name="_Toc32570658"/>
      <w:bookmarkStart w:id="918" w:name="_Toc139253925"/>
      <w:r w:rsidRPr="0028033B">
        <w:t>5.3.1</w:t>
      </w:r>
      <w:r w:rsidRPr="0028033B">
        <w:tab/>
        <w:t>Category description</w:t>
      </w:r>
      <w:bookmarkEnd w:id="917"/>
      <w:r w:rsidRPr="0028033B">
        <w:t xml:space="preserve"> </w:t>
      </w:r>
    </w:p>
    <w:p w14:paraId="3FB7557A" w14:textId="77777777" w:rsidR="00E46639" w:rsidRPr="0028033B" w:rsidRDefault="00E46639" w:rsidP="00E46639">
      <w:pPr>
        <w:pStyle w:val="BodyText"/>
        <w:spacing w:before="100" w:after="100"/>
      </w:pPr>
      <w:r w:rsidRPr="0028033B">
        <w:t xml:space="preserve">Most emissions from the </w:t>
      </w:r>
      <w:r w:rsidRPr="0028033B">
        <w:rPr>
          <w:i/>
          <w:iCs/>
        </w:rPr>
        <w:t>Manure management</w:t>
      </w:r>
      <w:r w:rsidRPr="0028033B">
        <w:t xml:space="preserve"> category are from </w:t>
      </w:r>
      <w:r w:rsidRPr="0028033B">
        <w:rPr>
          <w:rFonts w:cs="Calibri"/>
        </w:rPr>
        <w:t>CH</w:t>
      </w:r>
      <w:r w:rsidRPr="0028033B">
        <w:rPr>
          <w:rFonts w:cs="Calibri"/>
          <w:vertAlign w:val="subscript"/>
        </w:rPr>
        <w:t>4</w:t>
      </w:r>
      <w:r w:rsidRPr="0028033B">
        <w:rPr>
          <w:rFonts w:cs="Calibri"/>
        </w:rPr>
        <w:t xml:space="preserve"> </w:t>
      </w:r>
      <w:r w:rsidRPr="0028033B">
        <w:t>produced during the storage and treatment of manure, and from manure deposited on pasture. The category also includes N</w:t>
      </w:r>
      <w:r w:rsidRPr="0028033B">
        <w:rPr>
          <w:vertAlign w:val="subscript"/>
        </w:rPr>
        <w:t>2</w:t>
      </w:r>
      <w:r w:rsidRPr="0028033B">
        <w:t>O emissions produced during the storage and treatment of manure. It does not include N</w:t>
      </w:r>
      <w:r w:rsidRPr="0028033B">
        <w:rPr>
          <w:vertAlign w:val="subscript"/>
        </w:rPr>
        <w:t>2</w:t>
      </w:r>
      <w:r w:rsidRPr="0028033B">
        <w:t xml:space="preserve">O emissions from the spreading of animal manure and from manure deposited directly onto pasture by grazing livestock. Instead, emissions from these sources are included in the </w:t>
      </w:r>
      <w:r w:rsidRPr="0028033B">
        <w:rPr>
          <w:i/>
          <w:iCs/>
        </w:rPr>
        <w:t>Agricultural soils</w:t>
      </w:r>
      <w:r w:rsidRPr="0028033B">
        <w:t xml:space="preserve"> category (under </w:t>
      </w:r>
      <w:r w:rsidRPr="0028033B">
        <w:rPr>
          <w:i/>
          <w:iCs/>
        </w:rPr>
        <w:t>Organic nitrogen fertilisers</w:t>
      </w:r>
      <w:r w:rsidRPr="0028033B">
        <w:t xml:space="preserve"> and </w:t>
      </w:r>
      <w:r w:rsidRPr="0028033B">
        <w:rPr>
          <w:i/>
          <w:iCs/>
        </w:rPr>
        <w:t>Urine and dung deposited by grazing animals</w:t>
      </w:r>
      <w:r w:rsidRPr="0028033B">
        <w:t xml:space="preserve"> respectively).</w:t>
      </w:r>
    </w:p>
    <w:p w14:paraId="7756F54B" w14:textId="77777777" w:rsidR="00E46639" w:rsidRPr="0028033B" w:rsidRDefault="00E46639" w:rsidP="00E46639">
      <w:pPr>
        <w:pStyle w:val="BodyText"/>
        <w:spacing w:before="100" w:after="100"/>
      </w:pPr>
      <w:r w:rsidRPr="0028033B">
        <w:t xml:space="preserve">Methane is produced when manure decomposes in the absence of oxygen (anaerobic conditions). When manure is stored or treated as a liquid (e.g., in lagoons or ponds), it decomposes anaerobically and can produce </w:t>
      </w:r>
      <w:r w:rsidRPr="0028033B">
        <w:rPr>
          <w:rFonts w:cs="Calibri"/>
        </w:rPr>
        <w:t>CH</w:t>
      </w:r>
      <w:r w:rsidRPr="0028033B">
        <w:rPr>
          <w:rFonts w:cs="Calibri"/>
          <w:vertAlign w:val="subscript"/>
        </w:rPr>
        <w:t>4</w:t>
      </w:r>
      <w:r w:rsidRPr="0028033B">
        <w:t xml:space="preserve">. The temperature and the length of time spent in storage also affect the cumulative amount of </w:t>
      </w:r>
      <w:r w:rsidRPr="0028033B">
        <w:rPr>
          <w:rFonts w:cs="Calibri"/>
        </w:rPr>
        <w:t>CH</w:t>
      </w:r>
      <w:r w:rsidRPr="0028033B">
        <w:rPr>
          <w:rFonts w:cs="Calibri"/>
          <w:vertAlign w:val="subscript"/>
        </w:rPr>
        <w:t>4</w:t>
      </w:r>
      <w:r w:rsidRPr="0028033B">
        <w:rPr>
          <w:rFonts w:cs="Calibri"/>
        </w:rPr>
        <w:t xml:space="preserve"> </w:t>
      </w:r>
      <w:r w:rsidRPr="0028033B">
        <w:t xml:space="preserve">produced over the calendar year. When manure is handled as a solid or deposited directly on pastures, it tends to decompose under aerobic conditions (in the presence of oxygen) and less </w:t>
      </w:r>
      <w:r w:rsidRPr="0028033B">
        <w:rPr>
          <w:rFonts w:cs="Calibri"/>
        </w:rPr>
        <w:t>CH</w:t>
      </w:r>
      <w:r w:rsidRPr="0028033B">
        <w:rPr>
          <w:rFonts w:cs="Calibri"/>
          <w:vertAlign w:val="subscript"/>
        </w:rPr>
        <w:t>4</w:t>
      </w:r>
      <w:r w:rsidRPr="0028033B">
        <w:rPr>
          <w:rFonts w:cs="Calibri"/>
        </w:rPr>
        <w:t> </w:t>
      </w:r>
      <w:r w:rsidRPr="0028033B">
        <w:t xml:space="preserve">is produced overall. </w:t>
      </w:r>
    </w:p>
    <w:p w14:paraId="5E0D457D" w14:textId="77777777" w:rsidR="00E46639" w:rsidRPr="0028033B" w:rsidRDefault="00E46639" w:rsidP="00E46639">
      <w:pPr>
        <w:pStyle w:val="BodyText"/>
        <w:spacing w:before="100" w:after="100"/>
        <w:rPr>
          <w:spacing w:val="-2"/>
        </w:rPr>
      </w:pPr>
      <w:r w:rsidRPr="0028033B">
        <w:t xml:space="preserve">The main factors affecting total reported </w:t>
      </w:r>
      <w:r w:rsidRPr="0028033B">
        <w:rPr>
          <w:rFonts w:cs="Calibri"/>
        </w:rPr>
        <w:t>CH</w:t>
      </w:r>
      <w:r w:rsidRPr="0028033B">
        <w:rPr>
          <w:rFonts w:cs="Calibri"/>
          <w:vertAlign w:val="subscript"/>
        </w:rPr>
        <w:t>4</w:t>
      </w:r>
      <w:r w:rsidRPr="0028033B">
        <w:rPr>
          <w:rFonts w:cs="Calibri"/>
        </w:rPr>
        <w:t xml:space="preserve"> </w:t>
      </w:r>
      <w:r w:rsidRPr="0028033B">
        <w:t xml:space="preserve">emissions from </w:t>
      </w:r>
      <w:r w:rsidRPr="0028033B">
        <w:rPr>
          <w:i/>
          <w:iCs/>
        </w:rPr>
        <w:t>Manure management</w:t>
      </w:r>
      <w:r w:rsidRPr="0028033B">
        <w:t xml:space="preserve"> are the </w:t>
      </w:r>
      <w:r w:rsidRPr="0028033B">
        <w:rPr>
          <w:spacing w:val="-2"/>
        </w:rPr>
        <w:t>amount of manure produced and the proportion of the manure that decomposes anaerobically.</w:t>
      </w:r>
      <w:r w:rsidRPr="0028033B">
        <w:t xml:space="preserve"> If more manure is produced, more manure decomposes and produces a greater quantity of </w:t>
      </w:r>
      <w:r w:rsidRPr="0028033B">
        <w:rPr>
          <w:spacing w:val="-2"/>
        </w:rPr>
        <w:t>CH</w:t>
      </w:r>
      <w:r w:rsidRPr="0028033B">
        <w:rPr>
          <w:spacing w:val="-2"/>
          <w:vertAlign w:val="subscript"/>
        </w:rPr>
        <w:t>4</w:t>
      </w:r>
      <w:r w:rsidRPr="0028033B">
        <w:rPr>
          <w:spacing w:val="-2"/>
        </w:rPr>
        <w:t>.</w:t>
      </w:r>
      <w:r w:rsidRPr="0028033B">
        <w:t xml:space="preserve"> </w:t>
      </w:r>
      <w:r w:rsidRPr="0028033B">
        <w:rPr>
          <w:spacing w:val="-2"/>
        </w:rPr>
        <w:t>If a larger proportion of manure decomposes anaerobically more CH</w:t>
      </w:r>
      <w:r w:rsidRPr="0028033B">
        <w:rPr>
          <w:spacing w:val="-2"/>
          <w:vertAlign w:val="subscript"/>
        </w:rPr>
        <w:t>4</w:t>
      </w:r>
      <w:r w:rsidRPr="0028033B">
        <w:rPr>
          <w:spacing w:val="-2"/>
        </w:rPr>
        <w:t xml:space="preserve"> will also be produced. </w:t>
      </w:r>
    </w:p>
    <w:p w14:paraId="3E2FC75E" w14:textId="77777777" w:rsidR="00E46639" w:rsidRPr="0028033B" w:rsidRDefault="00E46639" w:rsidP="00E46639">
      <w:pPr>
        <w:pStyle w:val="BodyText"/>
        <w:spacing w:before="100" w:after="100"/>
      </w:pPr>
      <w:r w:rsidRPr="0028033B">
        <w:t>Nitrous oxide emissions from managed manure occur directly through the processes of nitrification and denitrification of the nitrogen contained in the manure. Nitrous oxide is also emitted indirectly through diffusion of oxides of nitrogen (NO</w:t>
      </w:r>
      <w:r w:rsidRPr="0028033B">
        <w:rPr>
          <w:vertAlign w:val="subscript"/>
        </w:rPr>
        <w:t>x</w:t>
      </w:r>
      <w:r w:rsidRPr="0028033B">
        <w:t xml:space="preserve">) into the surrounding air (volatilisation) or via leaching and runoff. As with </w:t>
      </w:r>
      <w:r w:rsidRPr="0028033B">
        <w:rPr>
          <w:rFonts w:cs="Calibri"/>
        </w:rPr>
        <w:t>CH</w:t>
      </w:r>
      <w:r w:rsidRPr="0028033B">
        <w:rPr>
          <w:rFonts w:cs="Calibri"/>
          <w:vertAlign w:val="subscript"/>
        </w:rPr>
        <w:t>4</w:t>
      </w:r>
      <w:r w:rsidRPr="0028033B">
        <w:t>, the amount of manure N</w:t>
      </w:r>
      <w:r w:rsidRPr="0028033B">
        <w:rPr>
          <w:vertAlign w:val="subscript"/>
        </w:rPr>
        <w:t>2</w:t>
      </w:r>
      <w:r w:rsidRPr="0028033B">
        <w:t xml:space="preserve">O emissions produced depends on the system of waste management and the duration of storage. In New Zealand, most manure is deposited directly on pasture by grazing animals, with only a small proportion going into manure management systems. </w:t>
      </w:r>
    </w:p>
    <w:p w14:paraId="4A003DC2" w14:textId="77777777" w:rsidR="00E46639" w:rsidRPr="0028033B" w:rsidRDefault="00E46639" w:rsidP="00E46639">
      <w:pPr>
        <w:pStyle w:val="BodyText"/>
      </w:pPr>
      <w:r w:rsidRPr="0028033B">
        <w:rPr>
          <w:rFonts w:cs="Calibri"/>
        </w:rPr>
        <w:t>New Zealand</w:t>
      </w:r>
      <w:r w:rsidRPr="0028033B">
        <w:rPr>
          <w:spacing w:val="-2"/>
        </w:rPr>
        <w:t xml:space="preserve"> has also incorporated country-specific emission factors and country-specific parameters </w:t>
      </w:r>
      <w:r w:rsidRPr="0028033B">
        <w:t xml:space="preserve">for calculating emissions from the use of the following mitigation technology </w:t>
      </w:r>
      <w:r w:rsidRPr="0028033B">
        <w:rPr>
          <w:spacing w:val="-2"/>
        </w:rPr>
        <w:t>(see table 5.3.3)</w:t>
      </w:r>
      <w:r w:rsidRPr="0028033B">
        <w:t>:</w:t>
      </w:r>
    </w:p>
    <w:p w14:paraId="064E28CD" w14:textId="77777777" w:rsidR="00E46639" w:rsidRPr="0028033B" w:rsidRDefault="00E46639" w:rsidP="00E46639">
      <w:pPr>
        <w:pStyle w:val="Bullet"/>
      </w:pPr>
      <w:r w:rsidRPr="0028033B">
        <w:t>EcoPond™ (a mixture of polyferric sulphate (PFS) and sulphuric acid (SA) used to treat anaerobic lagoons).</w:t>
      </w:r>
    </w:p>
    <w:p w14:paraId="7F7FF478" w14:textId="77777777" w:rsidR="00E46639" w:rsidRPr="0028033B" w:rsidRDefault="00E46639" w:rsidP="00E46639">
      <w:pPr>
        <w:pStyle w:val="BodyText"/>
      </w:pPr>
      <w:r w:rsidRPr="0028033B">
        <w:t>In 2024, no commercial treatments of EcoPond™ were applied. Commercial treatments began in 2025.</w:t>
      </w:r>
    </w:p>
    <w:p w14:paraId="6AD2A20B" w14:textId="77777777" w:rsidR="00E46639" w:rsidRPr="0028033B" w:rsidRDefault="00E46639" w:rsidP="00E46639">
      <w:pPr>
        <w:pStyle w:val="BodyText"/>
        <w:spacing w:after="100"/>
        <w:rPr>
          <w:color w:val="000000" w:themeColor="text1"/>
        </w:rPr>
      </w:pPr>
      <w:r w:rsidRPr="0028033B">
        <w:rPr>
          <w:color w:val="000000" w:themeColor="text1"/>
        </w:rPr>
        <w:t xml:space="preserve">Methane from </w:t>
      </w:r>
      <w:r w:rsidRPr="0028033B">
        <w:rPr>
          <w:i/>
          <w:iCs/>
          <w:color w:val="000000" w:themeColor="text1"/>
        </w:rPr>
        <w:t>Manure management</w:t>
      </w:r>
      <w:r w:rsidRPr="0028033B">
        <w:rPr>
          <w:color w:val="000000" w:themeColor="text1"/>
        </w:rPr>
        <w:t xml:space="preserve"> from </w:t>
      </w:r>
      <w:r w:rsidRPr="0028033B">
        <w:rPr>
          <w:i/>
          <w:iCs/>
          <w:color w:val="000000" w:themeColor="text1"/>
        </w:rPr>
        <w:t>Dairy</w:t>
      </w:r>
      <w:r w:rsidRPr="0028033B">
        <w:rPr>
          <w:i/>
          <w:color w:val="000000" w:themeColor="text1"/>
        </w:rPr>
        <w:t xml:space="preserve"> cattle</w:t>
      </w:r>
      <w:r w:rsidRPr="0028033B">
        <w:rPr>
          <w:color w:val="000000" w:themeColor="text1"/>
        </w:rPr>
        <w:t xml:space="preserve"> (level and trend assessment) and </w:t>
      </w:r>
      <w:r w:rsidRPr="0028033B">
        <w:rPr>
          <w:i/>
          <w:iCs/>
          <w:color w:val="000000" w:themeColor="text1"/>
        </w:rPr>
        <w:t>Sheep </w:t>
      </w:r>
      <w:r w:rsidRPr="0028033B">
        <w:rPr>
          <w:color w:val="000000" w:themeColor="text1"/>
        </w:rPr>
        <w:t xml:space="preserve">(trend assessment) were identified as key categories for </w:t>
      </w:r>
      <w:r w:rsidRPr="0028033B" w:rsidDel="00642536">
        <w:rPr>
          <w:color w:val="000000" w:themeColor="text1"/>
        </w:rPr>
        <w:t>New</w:t>
      </w:r>
      <w:r w:rsidRPr="0028033B">
        <w:rPr>
          <w:color w:val="000000" w:themeColor="text1"/>
        </w:rPr>
        <w:t xml:space="preserve"> Zealand in 2024.</w:t>
      </w:r>
    </w:p>
    <w:p w14:paraId="2D9F62FA" w14:textId="77777777" w:rsidR="00E46639" w:rsidRPr="0028033B" w:rsidRDefault="00E46639" w:rsidP="00E46639">
      <w:pPr>
        <w:pStyle w:val="BodyText"/>
        <w:spacing w:after="100"/>
        <w:rPr>
          <w:color w:val="000000" w:themeColor="text1"/>
        </w:rPr>
      </w:pPr>
      <w:r w:rsidRPr="0028033B">
        <w:rPr>
          <w:i/>
          <w:color w:val="000000" w:themeColor="text1"/>
        </w:rPr>
        <w:t>Manure management</w:t>
      </w:r>
      <w:r w:rsidRPr="0028033B">
        <w:rPr>
          <w:color w:val="000000" w:themeColor="text1"/>
        </w:rPr>
        <w:t xml:space="preserve"> contributed an estimated 1,717.0 kt CO</w:t>
      </w:r>
      <w:r w:rsidRPr="0028033B">
        <w:rPr>
          <w:color w:val="000000" w:themeColor="text1"/>
          <w:vertAlign w:val="subscript"/>
        </w:rPr>
        <w:t>2</w:t>
      </w:r>
      <w:r w:rsidRPr="0028033B">
        <w:rPr>
          <w:color w:val="000000" w:themeColor="text1"/>
        </w:rPr>
        <w:t>e, representing 4.3 percent of Agriculture</w:t>
      </w:r>
      <w:r w:rsidRPr="0028033B">
        <w:rPr>
          <w:i/>
          <w:color w:val="000000" w:themeColor="text1"/>
        </w:rPr>
        <w:t xml:space="preserve"> </w:t>
      </w:r>
      <w:r w:rsidRPr="0028033B">
        <w:rPr>
          <w:color w:val="000000" w:themeColor="text1"/>
        </w:rPr>
        <w:t>emissions in 2024. Estimated emissions from this category consist of:</w:t>
      </w:r>
    </w:p>
    <w:p w14:paraId="56A4E8B6" w14:textId="77777777" w:rsidR="00E46639" w:rsidRPr="0028033B" w:rsidRDefault="00E46639" w:rsidP="00E46639">
      <w:pPr>
        <w:pStyle w:val="Bullet"/>
        <w:spacing w:after="100"/>
        <w:rPr>
          <w:color w:val="000000" w:themeColor="text1"/>
        </w:rPr>
      </w:pPr>
      <w:r w:rsidRPr="0028033B">
        <w:rPr>
          <w:rFonts w:cs="Calibri"/>
          <w:color w:val="000000" w:themeColor="text1"/>
        </w:rPr>
        <w:t>CH</w:t>
      </w:r>
      <w:r w:rsidRPr="0028033B">
        <w:rPr>
          <w:rFonts w:cs="Calibri"/>
          <w:color w:val="000000" w:themeColor="text1"/>
          <w:vertAlign w:val="subscript"/>
        </w:rPr>
        <w:t>4</w:t>
      </w:r>
      <w:r w:rsidRPr="0028033B">
        <w:rPr>
          <w:color w:val="000000" w:themeColor="text1"/>
        </w:rPr>
        <w:t xml:space="preserve"> emissions (93.9 percent of </w:t>
      </w:r>
      <w:r w:rsidRPr="0028033B">
        <w:rPr>
          <w:i/>
          <w:color w:val="000000" w:themeColor="text1"/>
        </w:rPr>
        <w:t>Manure management</w:t>
      </w:r>
      <w:r w:rsidRPr="0028033B">
        <w:rPr>
          <w:color w:val="000000" w:themeColor="text1"/>
        </w:rPr>
        <w:t xml:space="preserve"> emissions)</w:t>
      </w:r>
    </w:p>
    <w:p w14:paraId="0F806A6F" w14:textId="77777777" w:rsidR="00E46639" w:rsidRPr="0028033B" w:rsidRDefault="00E46639" w:rsidP="00E46639">
      <w:pPr>
        <w:pStyle w:val="Bullet"/>
        <w:numPr>
          <w:ilvl w:val="0"/>
          <w:numId w:val="25"/>
        </w:numPr>
        <w:spacing w:after="100"/>
        <w:rPr>
          <w:color w:val="000000" w:themeColor="text1"/>
        </w:rPr>
      </w:pPr>
      <w:r w:rsidRPr="0028033B">
        <w:rPr>
          <w:rFonts w:eastAsia="Calibri" w:cs="Calibri"/>
          <w:color w:val="000000" w:themeColor="text1"/>
        </w:rPr>
        <w:t>N</w:t>
      </w:r>
      <w:r w:rsidRPr="0028033B">
        <w:rPr>
          <w:rFonts w:eastAsia="Calibri" w:cs="Calibri"/>
          <w:color w:val="000000" w:themeColor="text1"/>
          <w:vertAlign w:val="subscript"/>
        </w:rPr>
        <w:t>2</w:t>
      </w:r>
      <w:r w:rsidRPr="0028033B">
        <w:rPr>
          <w:rFonts w:eastAsia="Calibri" w:cs="Calibri"/>
          <w:color w:val="000000" w:themeColor="text1"/>
        </w:rPr>
        <w:t>O</w:t>
      </w:r>
      <w:r w:rsidRPr="0028033B">
        <w:rPr>
          <w:color w:val="000000" w:themeColor="text1"/>
        </w:rPr>
        <w:t xml:space="preserve"> emissions (6.1 percent of </w:t>
      </w:r>
      <w:r w:rsidRPr="0028033B">
        <w:rPr>
          <w:i/>
          <w:color w:val="000000" w:themeColor="text1"/>
        </w:rPr>
        <w:t xml:space="preserve">Manure management </w:t>
      </w:r>
      <w:r w:rsidRPr="0028033B">
        <w:rPr>
          <w:color w:val="000000" w:themeColor="text1"/>
        </w:rPr>
        <w:t>emissions).</w:t>
      </w:r>
    </w:p>
    <w:p w14:paraId="4C7FCF68" w14:textId="77777777" w:rsidR="00E46639" w:rsidRPr="0028033B" w:rsidRDefault="00E46639" w:rsidP="00E46639">
      <w:pPr>
        <w:pStyle w:val="BodyText"/>
        <w:spacing w:after="100"/>
        <w:rPr>
          <w:color w:val="000000" w:themeColor="text1"/>
        </w:rPr>
      </w:pPr>
      <w:r w:rsidRPr="0028033B">
        <w:rPr>
          <w:color w:val="000000" w:themeColor="text1"/>
        </w:rPr>
        <w:t>In 2024, N</w:t>
      </w:r>
      <w:r w:rsidRPr="0028033B">
        <w:rPr>
          <w:color w:val="000000" w:themeColor="text1"/>
          <w:vertAlign w:val="subscript"/>
        </w:rPr>
        <w:t>2</w:t>
      </w:r>
      <w:r w:rsidRPr="0028033B">
        <w:rPr>
          <w:color w:val="000000" w:themeColor="text1"/>
        </w:rPr>
        <w:t xml:space="preserve">O emissions from </w:t>
      </w:r>
      <w:r w:rsidRPr="0028033B">
        <w:rPr>
          <w:i/>
          <w:color w:val="000000" w:themeColor="text1"/>
        </w:rPr>
        <w:t>Manure management</w:t>
      </w:r>
      <w:r w:rsidRPr="0028033B">
        <w:rPr>
          <w:color w:val="000000" w:themeColor="text1"/>
        </w:rPr>
        <w:t xml:space="preserve"> totalled 104.2 kt CO</w:t>
      </w:r>
      <w:r w:rsidRPr="0028033B">
        <w:rPr>
          <w:color w:val="000000" w:themeColor="text1"/>
          <w:vertAlign w:val="subscript"/>
        </w:rPr>
        <w:t>2</w:t>
      </w:r>
      <w:r w:rsidRPr="0028033B">
        <w:rPr>
          <w:color w:val="000000" w:themeColor="text1"/>
        </w:rPr>
        <w:t>e (0.3 percent of gross emissions from the Agriculture sector) (see table 5.3.1). In comparison, the combined direct and indirect N</w:t>
      </w:r>
      <w:r w:rsidRPr="0028033B">
        <w:rPr>
          <w:color w:val="000000" w:themeColor="text1"/>
          <w:vertAlign w:val="subscript"/>
        </w:rPr>
        <w:t>2</w:t>
      </w:r>
      <w:r w:rsidRPr="0028033B">
        <w:rPr>
          <w:color w:val="000000" w:themeColor="text1"/>
        </w:rPr>
        <w:t xml:space="preserve">O emissions from spreading animal manure as fertiliser and manure deposited directly by grazing livestock reported in the </w:t>
      </w:r>
      <w:r w:rsidRPr="0028033B">
        <w:rPr>
          <w:i/>
          <w:color w:val="000000" w:themeColor="text1"/>
        </w:rPr>
        <w:t>Agricultural soils</w:t>
      </w:r>
      <w:r w:rsidRPr="0028033B">
        <w:rPr>
          <w:color w:val="000000" w:themeColor="text1"/>
        </w:rPr>
        <w:t xml:space="preserve"> category in 2024 totalled 4,194.9 kt CO</w:t>
      </w:r>
      <w:r w:rsidRPr="0028033B">
        <w:rPr>
          <w:color w:val="000000" w:themeColor="text1"/>
          <w:vertAlign w:val="subscript"/>
        </w:rPr>
        <w:t>2</w:t>
      </w:r>
      <w:r w:rsidRPr="0028033B">
        <w:rPr>
          <w:color w:val="000000" w:themeColor="text1"/>
        </w:rPr>
        <w:t>e (10.4 percent of emissions from the Agriculture sector).</w:t>
      </w:r>
    </w:p>
    <w:p w14:paraId="5E44B3A1" w14:textId="77777777" w:rsidR="00E46639" w:rsidRPr="0028033B" w:rsidRDefault="00E46639" w:rsidP="00E46639">
      <w:pPr>
        <w:pStyle w:val="Table"/>
        <w:rPr>
          <w:rFonts w:cs="Calibri"/>
          <w:color w:val="000000" w:themeColor="text1"/>
        </w:rPr>
      </w:pPr>
      <w:bookmarkStart w:id="919" w:name="_Toc32570920"/>
      <w:bookmarkStart w:id="920" w:name="_Toc36224555"/>
      <w:bookmarkStart w:id="921" w:name="_Toc68786440"/>
      <w:bookmarkStart w:id="922" w:name="_Toc95574074"/>
      <w:bookmarkStart w:id="923" w:name="_Toc127458259"/>
      <w:bookmarkStart w:id="924" w:name="_Toc131591355"/>
      <w:bookmarkStart w:id="925" w:name="_Toc160114447"/>
      <w:bookmarkStart w:id="926" w:name="_Toc164153843"/>
      <w:bookmarkStart w:id="927" w:name="_Toc222407626"/>
      <w:bookmarkStart w:id="928" w:name="_Toc226669001"/>
      <w:r w:rsidRPr="0028033B">
        <w:rPr>
          <w:rFonts w:cs="Calibri"/>
        </w:rPr>
        <w:t>Table 5.3.1</w:t>
      </w:r>
      <w:r w:rsidRPr="0028033B">
        <w:rPr>
          <w:rFonts w:cs="Calibri"/>
        </w:rPr>
        <w:tab/>
        <w:t xml:space="preserve">Trends and relative contribution of methane and nitrous oxide emissions in the </w:t>
      </w:r>
      <w:r w:rsidRPr="0028033B">
        <w:rPr>
          <w:rFonts w:cs="Calibri"/>
          <w:i/>
          <w:iCs/>
        </w:rPr>
        <w:t>Manure management</w:t>
      </w:r>
      <w:r w:rsidRPr="0028033B">
        <w:rPr>
          <w:rFonts w:cs="Calibri"/>
        </w:rPr>
        <w:t xml:space="preserve"> category between 1990 and</w:t>
      </w:r>
      <w:r w:rsidRPr="0028033B">
        <w:rPr>
          <w:rFonts w:cs="Calibri"/>
          <w:color w:val="FFC000"/>
        </w:rPr>
        <w:t xml:space="preserve"> </w:t>
      </w:r>
      <w:bookmarkEnd w:id="919"/>
      <w:bookmarkEnd w:id="920"/>
      <w:bookmarkEnd w:id="921"/>
      <w:bookmarkEnd w:id="922"/>
      <w:bookmarkEnd w:id="923"/>
      <w:bookmarkEnd w:id="924"/>
      <w:bookmarkEnd w:id="925"/>
      <w:bookmarkEnd w:id="926"/>
      <w:r w:rsidRPr="0028033B">
        <w:rPr>
          <w:rFonts w:cs="Calibri"/>
          <w:color w:val="000000" w:themeColor="text1"/>
        </w:rPr>
        <w:t>2024</w:t>
      </w:r>
      <w:bookmarkEnd w:id="927"/>
      <w:bookmarkEnd w:id="928"/>
    </w:p>
    <w:tbl>
      <w:tblPr>
        <w:tblW w:w="8562"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57" w:type="dxa"/>
        </w:tblCellMar>
        <w:tblLook w:val="04A0" w:firstRow="1" w:lastRow="0" w:firstColumn="1" w:lastColumn="0" w:noHBand="0" w:noVBand="1"/>
      </w:tblPr>
      <w:tblGrid>
        <w:gridCol w:w="1049"/>
        <w:gridCol w:w="614"/>
        <w:gridCol w:w="614"/>
        <w:gridCol w:w="669"/>
        <w:gridCol w:w="562"/>
        <w:gridCol w:w="667"/>
        <w:gridCol w:w="562"/>
        <w:gridCol w:w="667"/>
        <w:gridCol w:w="562"/>
        <w:gridCol w:w="562"/>
        <w:gridCol w:w="562"/>
        <w:gridCol w:w="561"/>
        <w:gridCol w:w="455"/>
        <w:gridCol w:w="456"/>
      </w:tblGrid>
      <w:tr w:rsidR="00E46639" w:rsidRPr="0028033B" w14:paraId="1926EAFF" w14:textId="77777777" w:rsidTr="00F16E23">
        <w:tc>
          <w:tcPr>
            <w:tcW w:w="1049" w:type="dxa"/>
            <w:vMerge w:val="restart"/>
            <w:shd w:val="clear" w:color="auto" w:fill="1B556B"/>
            <w:vAlign w:val="bottom"/>
          </w:tcPr>
          <w:p w14:paraId="0CAC0214" w14:textId="77777777" w:rsidR="00E46639" w:rsidRPr="0028033B" w:rsidRDefault="00E46639" w:rsidP="00F16E23">
            <w:pPr>
              <w:pStyle w:val="TableTextBold"/>
              <w:keepNext/>
              <w:spacing w:before="0" w:after="40"/>
              <w:rPr>
                <w:rFonts w:cs="Calibri"/>
                <w:noProof w:val="0"/>
                <w:color w:val="FFFFFF" w:themeColor="background1"/>
                <w:sz w:val="15"/>
                <w:szCs w:val="15"/>
              </w:rPr>
            </w:pPr>
            <w:r w:rsidRPr="0028033B">
              <w:rPr>
                <w:rFonts w:cs="Calibri"/>
                <w:noProof w:val="0"/>
                <w:color w:val="FFFFFF" w:themeColor="background1"/>
                <w:sz w:val="15"/>
                <w:szCs w:val="15"/>
              </w:rPr>
              <w:t>Manure management category</w:t>
            </w:r>
          </w:p>
        </w:tc>
        <w:tc>
          <w:tcPr>
            <w:tcW w:w="1897" w:type="dxa"/>
            <w:gridSpan w:val="3"/>
            <w:shd w:val="clear" w:color="auto" w:fill="1B556B"/>
            <w:vAlign w:val="bottom"/>
          </w:tcPr>
          <w:p w14:paraId="3DD883E5" w14:textId="77777777" w:rsidR="00E46639" w:rsidRPr="0028033B" w:rsidRDefault="00E46639" w:rsidP="00F16E23">
            <w:pPr>
              <w:pStyle w:val="TableTextBold"/>
              <w:keepNext/>
              <w:tabs>
                <w:tab w:val="left" w:pos="241"/>
                <w:tab w:val="left" w:pos="1062"/>
              </w:tabs>
              <w:spacing w:after="20"/>
              <w:jc w:val="center"/>
              <w:rPr>
                <w:rFonts w:cs="Calibri"/>
                <w:noProof w:val="0"/>
                <w:color w:val="FFFFFF" w:themeColor="background1"/>
                <w:sz w:val="15"/>
                <w:szCs w:val="15"/>
              </w:rPr>
            </w:pPr>
            <w:r w:rsidRPr="0028033B">
              <w:rPr>
                <w:rFonts w:cs="Calibri"/>
                <w:noProof w:val="0"/>
                <w:color w:val="FFFFFF" w:themeColor="background1"/>
                <w:sz w:val="15"/>
                <w:szCs w:val="15"/>
              </w:rPr>
              <w:t>Emissions (kt CO</w:t>
            </w:r>
            <w:r w:rsidRPr="0028033B">
              <w:rPr>
                <w:rFonts w:cs="Calibri"/>
                <w:noProof w:val="0"/>
                <w:color w:val="FFFFFF" w:themeColor="background1"/>
                <w:sz w:val="15"/>
                <w:szCs w:val="15"/>
                <w:vertAlign w:val="subscript"/>
              </w:rPr>
              <w:t>2</w:t>
            </w:r>
            <w:r w:rsidRPr="0028033B">
              <w:rPr>
                <w:rFonts w:cs="Calibri"/>
                <w:noProof w:val="0"/>
                <w:color w:val="FFFFFF" w:themeColor="background1"/>
                <w:sz w:val="15"/>
                <w:szCs w:val="15"/>
              </w:rPr>
              <w:t>e)</w:t>
            </w:r>
          </w:p>
        </w:tc>
        <w:tc>
          <w:tcPr>
            <w:tcW w:w="1229" w:type="dxa"/>
            <w:gridSpan w:val="2"/>
            <w:shd w:val="clear" w:color="auto" w:fill="1B556B"/>
            <w:vAlign w:val="bottom"/>
          </w:tcPr>
          <w:p w14:paraId="3648BEBC" w14:textId="77777777" w:rsidR="00E46639" w:rsidRPr="0028033B" w:rsidRDefault="00E46639" w:rsidP="00F16E23">
            <w:pPr>
              <w:pStyle w:val="TableTextBold"/>
              <w:keepNext/>
              <w:spacing w:after="20"/>
              <w:jc w:val="center"/>
              <w:rPr>
                <w:rFonts w:cs="Calibri"/>
                <w:noProof w:val="0"/>
                <w:color w:val="FFFFFF" w:themeColor="background1"/>
                <w:sz w:val="15"/>
                <w:szCs w:val="15"/>
              </w:rPr>
            </w:pPr>
            <w:r w:rsidRPr="0028033B">
              <w:rPr>
                <w:rFonts w:cs="Calibri"/>
                <w:noProof w:val="0"/>
                <w:color w:val="FFFFFF" w:themeColor="background1"/>
                <w:sz w:val="15"/>
                <w:szCs w:val="15"/>
              </w:rPr>
              <w:t>Change from 1990</w:t>
            </w:r>
          </w:p>
        </w:tc>
        <w:tc>
          <w:tcPr>
            <w:tcW w:w="1229" w:type="dxa"/>
            <w:gridSpan w:val="2"/>
            <w:shd w:val="clear" w:color="auto" w:fill="1B556B"/>
            <w:vAlign w:val="bottom"/>
          </w:tcPr>
          <w:p w14:paraId="1FCA0445" w14:textId="77777777" w:rsidR="00E46639" w:rsidRPr="0028033B" w:rsidRDefault="00E46639" w:rsidP="00F16E23">
            <w:pPr>
              <w:pStyle w:val="TableTextBold"/>
              <w:keepNext/>
              <w:spacing w:after="20"/>
              <w:jc w:val="center"/>
              <w:rPr>
                <w:rFonts w:cs="Calibri"/>
                <w:noProof w:val="0"/>
                <w:color w:val="FFFFFF" w:themeColor="background1"/>
                <w:sz w:val="15"/>
                <w:szCs w:val="15"/>
              </w:rPr>
            </w:pPr>
            <w:r w:rsidRPr="0028033B">
              <w:rPr>
                <w:rFonts w:cs="Calibri"/>
                <w:noProof w:val="0"/>
                <w:color w:val="FFFFFF" w:themeColor="background1"/>
                <w:sz w:val="15"/>
                <w:szCs w:val="15"/>
              </w:rPr>
              <w:t>Change from 2005</w:t>
            </w:r>
          </w:p>
        </w:tc>
        <w:tc>
          <w:tcPr>
            <w:tcW w:w="1686" w:type="dxa"/>
            <w:gridSpan w:val="3"/>
            <w:shd w:val="clear" w:color="auto" w:fill="1B556B"/>
          </w:tcPr>
          <w:p w14:paraId="241299F8" w14:textId="77777777" w:rsidR="00E46639" w:rsidRPr="0028033B" w:rsidRDefault="00E46639" w:rsidP="00F16E23">
            <w:pPr>
              <w:pStyle w:val="TableTextBold"/>
              <w:keepNext/>
              <w:spacing w:before="40" w:after="20"/>
              <w:jc w:val="center"/>
              <w:rPr>
                <w:rFonts w:cs="Calibri"/>
                <w:noProof w:val="0"/>
                <w:color w:val="FFFFFF" w:themeColor="background1"/>
                <w:sz w:val="15"/>
                <w:szCs w:val="15"/>
              </w:rPr>
            </w:pPr>
            <w:r w:rsidRPr="0028033B">
              <w:rPr>
                <w:rFonts w:cs="Calibri"/>
                <w:noProof w:val="0"/>
                <w:color w:val="FFFFFF" w:themeColor="background1"/>
                <w:sz w:val="15"/>
                <w:szCs w:val="15"/>
              </w:rPr>
              <w:t xml:space="preserve">Share of </w:t>
            </w:r>
            <w:r w:rsidRPr="0028033B">
              <w:rPr>
                <w:rFonts w:cs="Calibri"/>
                <w:i/>
                <w:iCs/>
                <w:noProof w:val="0"/>
                <w:color w:val="FFFFFF" w:themeColor="background1"/>
                <w:sz w:val="15"/>
                <w:szCs w:val="15"/>
              </w:rPr>
              <w:t>Manure management</w:t>
            </w:r>
            <w:r w:rsidRPr="0028033B">
              <w:rPr>
                <w:rFonts w:cs="Calibri"/>
                <w:noProof w:val="0"/>
                <w:color w:val="FFFFFF" w:themeColor="background1"/>
                <w:sz w:val="15"/>
                <w:szCs w:val="15"/>
              </w:rPr>
              <w:t xml:space="preserve"> category (%)</w:t>
            </w:r>
          </w:p>
        </w:tc>
        <w:tc>
          <w:tcPr>
            <w:tcW w:w="1472" w:type="dxa"/>
            <w:gridSpan w:val="3"/>
            <w:shd w:val="clear" w:color="auto" w:fill="1B556B"/>
          </w:tcPr>
          <w:p w14:paraId="78A97CD5" w14:textId="77777777" w:rsidR="00E46639" w:rsidRPr="0028033B" w:rsidRDefault="00E46639" w:rsidP="00F16E23">
            <w:pPr>
              <w:pStyle w:val="TableTextBold"/>
              <w:keepNext/>
              <w:spacing w:before="40" w:after="20"/>
              <w:jc w:val="center"/>
              <w:rPr>
                <w:rFonts w:cs="Calibri"/>
                <w:noProof w:val="0"/>
                <w:color w:val="FFFFFF" w:themeColor="background1"/>
                <w:sz w:val="15"/>
                <w:szCs w:val="15"/>
              </w:rPr>
            </w:pPr>
            <w:r w:rsidRPr="0028033B">
              <w:rPr>
                <w:rFonts w:cs="Calibri"/>
                <w:noProof w:val="0"/>
                <w:color w:val="FFFFFF" w:themeColor="background1"/>
                <w:sz w:val="15"/>
                <w:szCs w:val="15"/>
              </w:rPr>
              <w:t>Share of total Agriculture sector (%)</w:t>
            </w:r>
          </w:p>
        </w:tc>
      </w:tr>
      <w:tr w:rsidR="00E46639" w:rsidRPr="0028033B" w14:paraId="19E2B2BB" w14:textId="77777777" w:rsidTr="00F16E23">
        <w:tc>
          <w:tcPr>
            <w:tcW w:w="1049" w:type="dxa"/>
            <w:vMerge/>
            <w:shd w:val="clear" w:color="auto" w:fill="1B556B"/>
            <w:vAlign w:val="bottom"/>
          </w:tcPr>
          <w:p w14:paraId="0511F69B" w14:textId="77777777" w:rsidR="00E46639" w:rsidRPr="0028033B" w:rsidRDefault="00E46639" w:rsidP="00F16E23">
            <w:pPr>
              <w:pStyle w:val="TableTextBold"/>
              <w:keepNext/>
              <w:spacing w:before="0"/>
              <w:rPr>
                <w:rFonts w:cs="Calibri"/>
                <w:noProof w:val="0"/>
                <w:color w:val="FFFFFF" w:themeColor="background1"/>
                <w:sz w:val="15"/>
                <w:szCs w:val="15"/>
              </w:rPr>
            </w:pPr>
          </w:p>
        </w:tc>
        <w:tc>
          <w:tcPr>
            <w:tcW w:w="614" w:type="dxa"/>
            <w:shd w:val="clear" w:color="auto" w:fill="1B556B"/>
            <w:vAlign w:val="bottom"/>
          </w:tcPr>
          <w:p w14:paraId="1D2E541B" w14:textId="77777777" w:rsidR="00E46639" w:rsidRPr="0028033B" w:rsidRDefault="00E46639" w:rsidP="00F16E23">
            <w:pPr>
              <w:pStyle w:val="TableTextBold"/>
              <w:keepNext/>
              <w:spacing w:before="0"/>
              <w:jc w:val="right"/>
              <w:rPr>
                <w:rFonts w:cs="Calibri"/>
                <w:noProof w:val="0"/>
                <w:color w:val="FFFFFF" w:themeColor="background1"/>
                <w:sz w:val="15"/>
                <w:szCs w:val="15"/>
              </w:rPr>
            </w:pPr>
            <w:r w:rsidRPr="0028033B">
              <w:rPr>
                <w:rFonts w:cs="Calibri"/>
                <w:noProof w:val="0"/>
                <w:color w:val="FFFFFF" w:themeColor="background1"/>
                <w:sz w:val="15"/>
                <w:szCs w:val="15"/>
              </w:rPr>
              <w:t>1990</w:t>
            </w:r>
          </w:p>
        </w:tc>
        <w:tc>
          <w:tcPr>
            <w:tcW w:w="614" w:type="dxa"/>
            <w:shd w:val="clear" w:color="auto" w:fill="1B556B"/>
            <w:vAlign w:val="bottom"/>
          </w:tcPr>
          <w:p w14:paraId="155D4157" w14:textId="77777777" w:rsidR="00E46639" w:rsidRPr="0028033B" w:rsidRDefault="00E46639" w:rsidP="00F16E23">
            <w:pPr>
              <w:pStyle w:val="TableTextBold"/>
              <w:keepNext/>
              <w:spacing w:before="0"/>
              <w:jc w:val="right"/>
              <w:rPr>
                <w:rFonts w:cs="Calibri"/>
                <w:noProof w:val="0"/>
                <w:color w:val="FFFFFF" w:themeColor="background1"/>
                <w:sz w:val="15"/>
                <w:szCs w:val="15"/>
              </w:rPr>
            </w:pPr>
            <w:r w:rsidRPr="0028033B">
              <w:rPr>
                <w:rFonts w:cs="Calibri"/>
                <w:noProof w:val="0"/>
                <w:color w:val="FFFFFF" w:themeColor="background1"/>
                <w:sz w:val="15"/>
                <w:szCs w:val="15"/>
              </w:rPr>
              <w:t>2005</w:t>
            </w:r>
          </w:p>
        </w:tc>
        <w:tc>
          <w:tcPr>
            <w:tcW w:w="669" w:type="dxa"/>
            <w:shd w:val="clear" w:color="auto" w:fill="1B556B"/>
            <w:vAlign w:val="bottom"/>
          </w:tcPr>
          <w:p w14:paraId="35A05C8E"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2024</w:t>
            </w:r>
          </w:p>
        </w:tc>
        <w:tc>
          <w:tcPr>
            <w:tcW w:w="562" w:type="dxa"/>
            <w:shd w:val="clear" w:color="auto" w:fill="1B556B"/>
            <w:vAlign w:val="bottom"/>
          </w:tcPr>
          <w:p w14:paraId="640B8508"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w:t>
            </w:r>
          </w:p>
        </w:tc>
        <w:tc>
          <w:tcPr>
            <w:tcW w:w="667" w:type="dxa"/>
            <w:shd w:val="clear" w:color="auto" w:fill="1B556B"/>
            <w:vAlign w:val="bottom"/>
          </w:tcPr>
          <w:p w14:paraId="28FB6EC1"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kt CO</w:t>
            </w:r>
            <w:r w:rsidRPr="0028033B">
              <w:rPr>
                <w:rFonts w:cs="Calibri"/>
                <w:noProof w:val="0"/>
                <w:color w:val="FFFFFF" w:themeColor="background1"/>
                <w:sz w:val="15"/>
                <w:szCs w:val="15"/>
                <w:vertAlign w:val="subscript"/>
              </w:rPr>
              <w:t>2</w:t>
            </w:r>
            <w:r w:rsidRPr="0028033B">
              <w:rPr>
                <w:rFonts w:cs="Calibri"/>
                <w:noProof w:val="0"/>
                <w:color w:val="FFFFFF" w:themeColor="background1"/>
                <w:sz w:val="15"/>
                <w:szCs w:val="15"/>
              </w:rPr>
              <w:t>e</w:t>
            </w:r>
          </w:p>
        </w:tc>
        <w:tc>
          <w:tcPr>
            <w:tcW w:w="562" w:type="dxa"/>
            <w:shd w:val="clear" w:color="auto" w:fill="1B556B"/>
            <w:vAlign w:val="bottom"/>
          </w:tcPr>
          <w:p w14:paraId="50D4BCB3"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w:t>
            </w:r>
          </w:p>
        </w:tc>
        <w:tc>
          <w:tcPr>
            <w:tcW w:w="667" w:type="dxa"/>
            <w:shd w:val="clear" w:color="auto" w:fill="1B556B"/>
            <w:vAlign w:val="bottom"/>
          </w:tcPr>
          <w:p w14:paraId="0C581006"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kt CO</w:t>
            </w:r>
            <w:r w:rsidRPr="0028033B">
              <w:rPr>
                <w:rFonts w:cs="Calibri"/>
                <w:noProof w:val="0"/>
                <w:color w:val="FFFFFF" w:themeColor="background1"/>
                <w:sz w:val="15"/>
                <w:szCs w:val="15"/>
                <w:vertAlign w:val="subscript"/>
              </w:rPr>
              <w:t>2</w:t>
            </w:r>
            <w:r w:rsidRPr="0028033B">
              <w:rPr>
                <w:rFonts w:cs="Calibri"/>
                <w:noProof w:val="0"/>
                <w:color w:val="FFFFFF" w:themeColor="background1"/>
                <w:sz w:val="15"/>
                <w:szCs w:val="15"/>
              </w:rPr>
              <w:t>e</w:t>
            </w:r>
          </w:p>
        </w:tc>
        <w:tc>
          <w:tcPr>
            <w:tcW w:w="562" w:type="dxa"/>
            <w:shd w:val="clear" w:color="auto" w:fill="1B556B"/>
            <w:vAlign w:val="bottom"/>
          </w:tcPr>
          <w:p w14:paraId="296B665C"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1990</w:t>
            </w:r>
          </w:p>
        </w:tc>
        <w:tc>
          <w:tcPr>
            <w:tcW w:w="562" w:type="dxa"/>
            <w:shd w:val="clear" w:color="auto" w:fill="1B556B"/>
            <w:vAlign w:val="bottom"/>
          </w:tcPr>
          <w:p w14:paraId="1842A965"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2005</w:t>
            </w:r>
          </w:p>
        </w:tc>
        <w:tc>
          <w:tcPr>
            <w:tcW w:w="562" w:type="dxa"/>
            <w:shd w:val="clear" w:color="auto" w:fill="1B556B"/>
            <w:vAlign w:val="bottom"/>
          </w:tcPr>
          <w:p w14:paraId="50695697"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2024</w:t>
            </w:r>
          </w:p>
        </w:tc>
        <w:tc>
          <w:tcPr>
            <w:tcW w:w="561" w:type="dxa"/>
            <w:shd w:val="clear" w:color="auto" w:fill="1B556B"/>
            <w:vAlign w:val="bottom"/>
          </w:tcPr>
          <w:p w14:paraId="742BC2F5"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1990</w:t>
            </w:r>
          </w:p>
        </w:tc>
        <w:tc>
          <w:tcPr>
            <w:tcW w:w="455" w:type="dxa"/>
            <w:shd w:val="clear" w:color="auto" w:fill="1B556B"/>
            <w:vAlign w:val="bottom"/>
          </w:tcPr>
          <w:p w14:paraId="4DE3249E"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2005</w:t>
            </w:r>
          </w:p>
        </w:tc>
        <w:tc>
          <w:tcPr>
            <w:tcW w:w="456" w:type="dxa"/>
            <w:shd w:val="clear" w:color="auto" w:fill="1B556B"/>
            <w:vAlign w:val="bottom"/>
          </w:tcPr>
          <w:p w14:paraId="1E00A5BB" w14:textId="77777777" w:rsidR="00E46639" w:rsidRPr="0028033B" w:rsidRDefault="00E46639" w:rsidP="00F16E23">
            <w:pPr>
              <w:pStyle w:val="TableTextBold"/>
              <w:keepNext/>
              <w:spacing w:before="0" w:after="40"/>
              <w:jc w:val="right"/>
              <w:rPr>
                <w:rFonts w:cs="Calibri"/>
                <w:noProof w:val="0"/>
                <w:color w:val="FFFFFF" w:themeColor="background1"/>
                <w:sz w:val="15"/>
                <w:szCs w:val="15"/>
              </w:rPr>
            </w:pPr>
            <w:r w:rsidRPr="0028033B">
              <w:rPr>
                <w:rFonts w:cs="Calibri"/>
                <w:noProof w:val="0"/>
                <w:color w:val="FFFFFF" w:themeColor="background1"/>
                <w:sz w:val="15"/>
                <w:szCs w:val="15"/>
              </w:rPr>
              <w:t>2024</w:t>
            </w:r>
          </w:p>
        </w:tc>
      </w:tr>
      <w:tr w:rsidR="00E46639" w:rsidRPr="0028033B" w14:paraId="57E62BA5" w14:textId="77777777" w:rsidTr="00F16E23">
        <w:tc>
          <w:tcPr>
            <w:tcW w:w="1049" w:type="dxa"/>
          </w:tcPr>
          <w:p w14:paraId="28EF6177" w14:textId="77777777" w:rsidR="00E46639" w:rsidRPr="0028033B" w:rsidRDefault="00E46639" w:rsidP="00F16E23">
            <w:pPr>
              <w:pStyle w:val="TableText"/>
              <w:spacing w:before="40" w:after="40"/>
              <w:rPr>
                <w:rFonts w:cs="Calibri"/>
                <w:color w:val="000000" w:themeColor="text1"/>
                <w:sz w:val="15"/>
                <w:szCs w:val="15"/>
              </w:rPr>
            </w:pPr>
            <w:r w:rsidRPr="0028033B">
              <w:rPr>
                <w:rFonts w:cs="Calibri"/>
                <w:sz w:val="15"/>
                <w:szCs w:val="15"/>
              </w:rPr>
              <w:t>Methane (CRF 3.B.(a))</w:t>
            </w:r>
          </w:p>
        </w:tc>
        <w:tc>
          <w:tcPr>
            <w:tcW w:w="614" w:type="dxa"/>
            <w:vAlign w:val="bottom"/>
          </w:tcPr>
          <w:p w14:paraId="027AC82F"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813.5</w:t>
            </w:r>
          </w:p>
        </w:tc>
        <w:tc>
          <w:tcPr>
            <w:tcW w:w="614" w:type="dxa"/>
            <w:vAlign w:val="bottom"/>
          </w:tcPr>
          <w:p w14:paraId="3B5E5E29"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1,162.0</w:t>
            </w:r>
          </w:p>
        </w:tc>
        <w:tc>
          <w:tcPr>
            <w:tcW w:w="669" w:type="dxa"/>
            <w:vAlign w:val="bottom"/>
          </w:tcPr>
          <w:p w14:paraId="2E4F0F62"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1,612.8</w:t>
            </w:r>
          </w:p>
        </w:tc>
        <w:tc>
          <w:tcPr>
            <w:tcW w:w="562" w:type="dxa"/>
            <w:vAlign w:val="bottom"/>
          </w:tcPr>
          <w:p w14:paraId="2A0DEDD5"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98.3</w:t>
            </w:r>
          </w:p>
        </w:tc>
        <w:tc>
          <w:tcPr>
            <w:tcW w:w="667" w:type="dxa"/>
            <w:vAlign w:val="bottom"/>
          </w:tcPr>
          <w:p w14:paraId="7369C5F0"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799.3</w:t>
            </w:r>
          </w:p>
        </w:tc>
        <w:tc>
          <w:tcPr>
            <w:tcW w:w="562" w:type="dxa"/>
            <w:vAlign w:val="bottom"/>
          </w:tcPr>
          <w:p w14:paraId="3BDB85EB"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38.8</w:t>
            </w:r>
          </w:p>
        </w:tc>
        <w:tc>
          <w:tcPr>
            <w:tcW w:w="667" w:type="dxa"/>
            <w:vAlign w:val="bottom"/>
          </w:tcPr>
          <w:p w14:paraId="6FAD5A6A"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450.8</w:t>
            </w:r>
          </w:p>
        </w:tc>
        <w:tc>
          <w:tcPr>
            <w:tcW w:w="562" w:type="dxa"/>
            <w:vAlign w:val="bottom"/>
          </w:tcPr>
          <w:p w14:paraId="687290BD"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95.6</w:t>
            </w:r>
          </w:p>
        </w:tc>
        <w:tc>
          <w:tcPr>
            <w:tcW w:w="562" w:type="dxa"/>
            <w:vAlign w:val="bottom"/>
          </w:tcPr>
          <w:p w14:paraId="0E2782CC"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95.2</w:t>
            </w:r>
          </w:p>
        </w:tc>
        <w:tc>
          <w:tcPr>
            <w:tcW w:w="562" w:type="dxa"/>
            <w:vAlign w:val="bottom"/>
          </w:tcPr>
          <w:p w14:paraId="1CD18150"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93.9</w:t>
            </w:r>
          </w:p>
        </w:tc>
        <w:tc>
          <w:tcPr>
            <w:tcW w:w="561" w:type="dxa"/>
            <w:vAlign w:val="bottom"/>
          </w:tcPr>
          <w:p w14:paraId="2C5A8C31"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2.2</w:t>
            </w:r>
          </w:p>
        </w:tc>
        <w:tc>
          <w:tcPr>
            <w:tcW w:w="455" w:type="dxa"/>
            <w:vAlign w:val="bottom"/>
          </w:tcPr>
          <w:p w14:paraId="28C0FB22"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2.7</w:t>
            </w:r>
          </w:p>
        </w:tc>
        <w:tc>
          <w:tcPr>
            <w:tcW w:w="456" w:type="dxa"/>
            <w:vAlign w:val="bottom"/>
          </w:tcPr>
          <w:p w14:paraId="0E6F1E32"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4.0</w:t>
            </w:r>
          </w:p>
        </w:tc>
      </w:tr>
      <w:tr w:rsidR="00E46639" w:rsidRPr="0028033B" w14:paraId="0F1D8867" w14:textId="77777777" w:rsidTr="00F16E23">
        <w:tc>
          <w:tcPr>
            <w:tcW w:w="1049" w:type="dxa"/>
          </w:tcPr>
          <w:p w14:paraId="34253DB9" w14:textId="77777777" w:rsidR="00E46639" w:rsidRPr="0028033B" w:rsidRDefault="00E46639" w:rsidP="00F16E23">
            <w:pPr>
              <w:pStyle w:val="TableText"/>
              <w:spacing w:before="40" w:after="40"/>
              <w:rPr>
                <w:rFonts w:cs="Calibri"/>
                <w:color w:val="000000" w:themeColor="text1"/>
                <w:sz w:val="15"/>
                <w:szCs w:val="15"/>
              </w:rPr>
            </w:pPr>
            <w:r w:rsidRPr="0028033B">
              <w:rPr>
                <w:rFonts w:cs="Calibri"/>
                <w:sz w:val="15"/>
                <w:szCs w:val="15"/>
              </w:rPr>
              <w:t>Nitrous oxide (CRF 3.B.(b))</w:t>
            </w:r>
          </w:p>
        </w:tc>
        <w:tc>
          <w:tcPr>
            <w:tcW w:w="614" w:type="dxa"/>
            <w:vAlign w:val="bottom"/>
          </w:tcPr>
          <w:p w14:paraId="13BDA173"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37.6</w:t>
            </w:r>
          </w:p>
        </w:tc>
        <w:tc>
          <w:tcPr>
            <w:tcW w:w="614" w:type="dxa"/>
            <w:vAlign w:val="bottom"/>
          </w:tcPr>
          <w:p w14:paraId="6CE777F1"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59.2</w:t>
            </w:r>
          </w:p>
        </w:tc>
        <w:tc>
          <w:tcPr>
            <w:tcW w:w="669" w:type="dxa"/>
            <w:vAlign w:val="bottom"/>
          </w:tcPr>
          <w:p w14:paraId="06F1371D"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104.2</w:t>
            </w:r>
          </w:p>
        </w:tc>
        <w:tc>
          <w:tcPr>
            <w:tcW w:w="562" w:type="dxa"/>
            <w:vAlign w:val="bottom"/>
          </w:tcPr>
          <w:p w14:paraId="6EDC1000"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177.0</w:t>
            </w:r>
          </w:p>
        </w:tc>
        <w:tc>
          <w:tcPr>
            <w:tcW w:w="667" w:type="dxa"/>
            <w:vAlign w:val="bottom"/>
          </w:tcPr>
          <w:p w14:paraId="0B5EC03F"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66.6</w:t>
            </w:r>
          </w:p>
        </w:tc>
        <w:tc>
          <w:tcPr>
            <w:tcW w:w="562" w:type="dxa"/>
            <w:vAlign w:val="bottom"/>
          </w:tcPr>
          <w:p w14:paraId="4D01E842"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76.1</w:t>
            </w:r>
          </w:p>
        </w:tc>
        <w:tc>
          <w:tcPr>
            <w:tcW w:w="667" w:type="dxa"/>
            <w:vAlign w:val="bottom"/>
          </w:tcPr>
          <w:p w14:paraId="5D380EBB"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45.0</w:t>
            </w:r>
          </w:p>
        </w:tc>
        <w:tc>
          <w:tcPr>
            <w:tcW w:w="562" w:type="dxa"/>
            <w:vAlign w:val="bottom"/>
          </w:tcPr>
          <w:p w14:paraId="4A9A0535"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4.4</w:t>
            </w:r>
          </w:p>
        </w:tc>
        <w:tc>
          <w:tcPr>
            <w:tcW w:w="562" w:type="dxa"/>
            <w:vAlign w:val="bottom"/>
          </w:tcPr>
          <w:p w14:paraId="11C6A3F7"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4.8</w:t>
            </w:r>
          </w:p>
        </w:tc>
        <w:tc>
          <w:tcPr>
            <w:tcW w:w="562" w:type="dxa"/>
            <w:vAlign w:val="bottom"/>
          </w:tcPr>
          <w:p w14:paraId="0C8CE8D1"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6.1</w:t>
            </w:r>
          </w:p>
        </w:tc>
        <w:tc>
          <w:tcPr>
            <w:tcW w:w="561" w:type="dxa"/>
            <w:vAlign w:val="bottom"/>
          </w:tcPr>
          <w:p w14:paraId="14CC423D"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0.1</w:t>
            </w:r>
          </w:p>
        </w:tc>
        <w:tc>
          <w:tcPr>
            <w:tcW w:w="455" w:type="dxa"/>
            <w:vAlign w:val="bottom"/>
          </w:tcPr>
          <w:p w14:paraId="7B15ED5B"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0.1</w:t>
            </w:r>
          </w:p>
        </w:tc>
        <w:tc>
          <w:tcPr>
            <w:tcW w:w="456" w:type="dxa"/>
            <w:vAlign w:val="bottom"/>
          </w:tcPr>
          <w:p w14:paraId="133FBC0A" w14:textId="77777777" w:rsidR="00E46639" w:rsidRPr="0028033B" w:rsidRDefault="00E46639" w:rsidP="00F16E23">
            <w:pPr>
              <w:pStyle w:val="TableText"/>
              <w:spacing w:before="40" w:after="40"/>
              <w:jc w:val="right"/>
              <w:rPr>
                <w:rFonts w:cs="Calibri"/>
                <w:sz w:val="15"/>
                <w:szCs w:val="15"/>
              </w:rPr>
            </w:pPr>
            <w:r w:rsidRPr="0028033B">
              <w:rPr>
                <w:rFonts w:cs="Calibri"/>
                <w:sz w:val="15"/>
                <w:szCs w:val="15"/>
              </w:rPr>
              <w:t>0.3</w:t>
            </w:r>
          </w:p>
        </w:tc>
      </w:tr>
    </w:tbl>
    <w:p w14:paraId="7B0696CE" w14:textId="77777777" w:rsidR="00E46639" w:rsidRPr="0028033B" w:rsidRDefault="00E46639" w:rsidP="00E46639">
      <w:pPr>
        <w:pStyle w:val="BodyText"/>
        <w:spacing w:before="240"/>
      </w:pPr>
      <w:r w:rsidRPr="0028033B">
        <w:t xml:space="preserve">Table 5.3.2 shows the distribution of livestock waste across animal waste management systems in </w:t>
      </w:r>
      <w:r w:rsidRPr="0028033B" w:rsidDel="00875419">
        <w:t>New</w:t>
      </w:r>
      <w:r w:rsidRPr="0028033B">
        <w:t xml:space="preserve"> Zealand. The New Zealand Inventory assumes all non-dairy cattle, sheep and deer manure is deposited directly onto pasture (there are minor instances where this does not occur, where animals are fully or partially housed). </w:t>
      </w:r>
    </w:p>
    <w:p w14:paraId="46D4504D" w14:textId="77777777" w:rsidR="00E46639" w:rsidRPr="0028033B" w:rsidRDefault="00E46639" w:rsidP="00E46639">
      <w:pPr>
        <w:pStyle w:val="BodyText"/>
        <w:spacing w:before="100" w:after="100"/>
      </w:pPr>
      <w:r w:rsidRPr="0028033B">
        <w:t>A small amount of excreta from dairy cattle (6.5 percent) is stored in anaerobic lagoon waste systems, and a very small amount (1.3 percent) is stored in solid storage (Luo et al., unpublished(a); Rollo et al., 2017). This is based on the proportion of time dairy cattle spend on pasture compared with the time they spend in the milking shed, surrounding yards and off</w:t>
      </w:r>
      <w:r w:rsidRPr="0028033B">
        <w:noBreakHyphen/>
        <w:t xml:space="preserve">paddock structures that transfer animal excreta to anaerobic lagoons or solid storage. </w:t>
      </w:r>
    </w:p>
    <w:p w14:paraId="5A19705D" w14:textId="77777777" w:rsidR="00E46639" w:rsidRPr="0028033B" w:rsidRDefault="00E46639" w:rsidP="00E46639">
      <w:pPr>
        <w:pStyle w:val="BodyText"/>
        <w:spacing w:before="100" w:after="100"/>
        <w:rPr>
          <w:rFonts w:cs="Calibri"/>
        </w:rPr>
      </w:pPr>
      <w:r w:rsidRPr="0028033B">
        <w:rPr>
          <w:rFonts w:cs="Calibri"/>
        </w:rPr>
        <w:t xml:space="preserve">The minor livestock categories of </w:t>
      </w:r>
      <w:r w:rsidRPr="0028033B">
        <w:rPr>
          <w:rFonts w:cs="Calibri"/>
          <w:i/>
          <w:iCs/>
        </w:rPr>
        <w:t>Goats</w:t>
      </w:r>
      <w:r w:rsidRPr="0028033B">
        <w:rPr>
          <w:rFonts w:cs="Calibri"/>
        </w:rPr>
        <w:t xml:space="preserve">, </w:t>
      </w:r>
      <w:r w:rsidRPr="0028033B">
        <w:rPr>
          <w:rFonts w:cs="Calibri"/>
          <w:i/>
          <w:iCs/>
        </w:rPr>
        <w:t>Horses</w:t>
      </w:r>
      <w:r w:rsidRPr="0028033B">
        <w:rPr>
          <w:rFonts w:cs="Calibri"/>
        </w:rPr>
        <w:t xml:space="preserve">, </w:t>
      </w:r>
      <w:r w:rsidRPr="0028033B">
        <w:rPr>
          <w:rFonts w:cs="Calibri"/>
          <w:i/>
          <w:iCs/>
        </w:rPr>
        <w:t>Mules and asses</w:t>
      </w:r>
      <w:r w:rsidRPr="0028033B">
        <w:rPr>
          <w:rFonts w:cs="Calibri"/>
        </w:rPr>
        <w:t xml:space="preserve">, and </w:t>
      </w:r>
      <w:r w:rsidRPr="0028033B">
        <w:rPr>
          <w:rFonts w:cs="Calibri"/>
          <w:i/>
          <w:iCs/>
        </w:rPr>
        <w:t>Llamas and alpacas</w:t>
      </w:r>
      <w:r w:rsidRPr="0028033B">
        <w:rPr>
          <w:rFonts w:cs="Calibri"/>
        </w:rPr>
        <w:t xml:space="preserve"> are assumed to graze outdoors all year and deposit all their manure directly onto pastures. Estimates of the proportions of different waste management systems for swine and poultry in the manure management systems in </w:t>
      </w:r>
      <w:r w:rsidRPr="0028033B" w:rsidDel="0097234F">
        <w:t xml:space="preserve">New </w:t>
      </w:r>
      <w:r w:rsidRPr="0028033B">
        <w:t>Zealand</w:t>
      </w:r>
      <w:r w:rsidRPr="0028033B">
        <w:rPr>
          <w:rFonts w:cs="Calibri"/>
        </w:rPr>
        <w:t xml:space="preserve"> have been provided by Hill (2012) (swine), Ritchie (2024) (swine) and Fick et al. (2012) (poultry).</w:t>
      </w:r>
    </w:p>
    <w:p w14:paraId="1CF88A30" w14:textId="173ECD3F" w:rsidR="00E46639" w:rsidRPr="0028033B" w:rsidRDefault="00E46639" w:rsidP="00E46639">
      <w:pPr>
        <w:pStyle w:val="Table"/>
      </w:pPr>
      <w:bookmarkStart w:id="929" w:name="_Toc32570921"/>
      <w:bookmarkStart w:id="930" w:name="_Toc36224556"/>
      <w:bookmarkStart w:id="931" w:name="_Toc68786441"/>
      <w:bookmarkStart w:id="932" w:name="_Toc95574075"/>
      <w:bookmarkStart w:id="933" w:name="_Toc127458260"/>
      <w:bookmarkStart w:id="934" w:name="_Toc131591356"/>
      <w:bookmarkStart w:id="935" w:name="_Toc160114448"/>
      <w:bookmarkStart w:id="936" w:name="_Toc164153844"/>
      <w:bookmarkStart w:id="937" w:name="_Toc222407627"/>
      <w:bookmarkStart w:id="938" w:name="_Toc226669002"/>
      <w:r w:rsidRPr="0028033B">
        <w:rPr>
          <w:rFonts w:cs="Calibri"/>
        </w:rPr>
        <w:t>Table 5.3.2</w:t>
      </w:r>
      <w:r w:rsidRPr="0028033B">
        <w:rPr>
          <w:rFonts w:cs="Calibri"/>
        </w:rPr>
        <w:tab/>
        <w:t>Distribution of livestock waste across animal waste management systems in</w:t>
      </w:r>
      <w:r w:rsidRPr="0028033B">
        <w:t xml:space="preserve"> </w:t>
      </w:r>
      <w:r w:rsidRPr="0028033B">
        <w:rPr>
          <w:rFonts w:cs="Calibri"/>
        </w:rPr>
        <w:t>New Zealand</w:t>
      </w:r>
      <w:bookmarkEnd w:id="929"/>
      <w:bookmarkEnd w:id="930"/>
      <w:bookmarkEnd w:id="931"/>
      <w:bookmarkEnd w:id="932"/>
      <w:bookmarkEnd w:id="933"/>
      <w:bookmarkEnd w:id="934"/>
      <w:bookmarkEnd w:id="935"/>
      <w:bookmarkEnd w:id="936"/>
      <w:r w:rsidRPr="0028033B">
        <w:rPr>
          <w:rFonts w:cs="Calibri"/>
        </w:rPr>
        <w:t xml:space="preserve"> in</w:t>
      </w:r>
      <w:r w:rsidR="00C90657">
        <w:rPr>
          <w:rFonts w:cs="Calibri"/>
        </w:rPr>
        <w:t> </w:t>
      </w:r>
      <w:r w:rsidRPr="0028033B">
        <w:t>2024</w:t>
      </w:r>
      <w:bookmarkEnd w:id="937"/>
      <w:bookmarkEnd w:id="938"/>
    </w:p>
    <w:tbl>
      <w:tblPr>
        <w:tblW w:w="8505" w:type="dxa"/>
        <w:tblBorders>
          <w:top w:val="single" w:sz="4" w:space="0" w:color="1B556B" w:themeColor="text2"/>
          <w:bottom w:val="single" w:sz="4" w:space="0" w:color="1B556B" w:themeColor="text2"/>
          <w:insideH w:val="single" w:sz="4" w:space="0" w:color="1B556B" w:themeColor="text2"/>
        </w:tblBorders>
        <w:tblCellMar>
          <w:left w:w="57" w:type="dxa"/>
          <w:right w:w="57" w:type="dxa"/>
        </w:tblCellMar>
        <w:tblLook w:val="01E0" w:firstRow="1" w:lastRow="1" w:firstColumn="1" w:lastColumn="1" w:noHBand="0" w:noVBand="0"/>
      </w:tblPr>
      <w:tblGrid>
        <w:gridCol w:w="1566"/>
        <w:gridCol w:w="810"/>
        <w:gridCol w:w="644"/>
        <w:gridCol w:w="683"/>
        <w:gridCol w:w="626"/>
        <w:gridCol w:w="669"/>
        <w:gridCol w:w="1094"/>
        <w:gridCol w:w="929"/>
        <w:gridCol w:w="749"/>
        <w:gridCol w:w="735"/>
      </w:tblGrid>
      <w:tr w:rsidR="00E46639" w:rsidRPr="007D31C4" w14:paraId="6461B4BC" w14:textId="77777777" w:rsidTr="00F16E23">
        <w:trPr>
          <w:cantSplit/>
          <w:tblHeader/>
        </w:trPr>
        <w:tc>
          <w:tcPr>
            <w:tcW w:w="1531" w:type="dxa"/>
            <w:shd w:val="clear" w:color="auto" w:fill="1B556B"/>
            <w:vAlign w:val="bottom"/>
          </w:tcPr>
          <w:p w14:paraId="05DA0438" w14:textId="77777777" w:rsidR="00E46639" w:rsidRPr="007D31C4" w:rsidRDefault="00E46639" w:rsidP="00F16E23">
            <w:pPr>
              <w:pStyle w:val="TableTextBold"/>
              <w:keepNext/>
              <w:spacing w:before="40" w:after="40"/>
              <w:rPr>
                <w:noProof w:val="0"/>
                <w:color w:val="FFFFFF" w:themeColor="background1"/>
                <w:szCs w:val="16"/>
              </w:rPr>
            </w:pPr>
            <w:r w:rsidRPr="007D31C4">
              <w:rPr>
                <w:noProof w:val="0"/>
                <w:color w:val="FFFFFF" w:themeColor="background1"/>
                <w:szCs w:val="16"/>
              </w:rPr>
              <w:t>Livestock category</w:t>
            </w:r>
          </w:p>
        </w:tc>
        <w:tc>
          <w:tcPr>
            <w:tcW w:w="737" w:type="dxa"/>
            <w:shd w:val="clear" w:color="auto" w:fill="1B556B"/>
            <w:vAlign w:val="bottom"/>
          </w:tcPr>
          <w:p w14:paraId="17E09557"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Anaerobic lagoon (%)</w:t>
            </w:r>
          </w:p>
        </w:tc>
        <w:tc>
          <w:tcPr>
            <w:tcW w:w="629" w:type="dxa"/>
            <w:shd w:val="clear" w:color="auto" w:fill="1B556B" w:themeFill="text2"/>
            <w:vAlign w:val="bottom"/>
          </w:tcPr>
          <w:p w14:paraId="1DCDD88A"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Solid storage (%)</w:t>
            </w:r>
          </w:p>
        </w:tc>
        <w:tc>
          <w:tcPr>
            <w:tcW w:w="668" w:type="dxa"/>
            <w:shd w:val="clear" w:color="auto" w:fill="1B556B"/>
            <w:vAlign w:val="bottom"/>
          </w:tcPr>
          <w:p w14:paraId="7CF8E6DE"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Daily spread</w:t>
            </w:r>
            <w:r w:rsidRPr="007D31C4">
              <w:rPr>
                <w:rStyle w:val="FootnoteReference"/>
                <w:noProof w:val="0"/>
                <w:color w:val="FFFFFF" w:themeColor="background1"/>
                <w:sz w:val="16"/>
                <w:szCs w:val="16"/>
              </w:rPr>
              <w:footnoteReference w:id="32"/>
            </w:r>
            <w:r w:rsidRPr="007D31C4">
              <w:rPr>
                <w:noProof w:val="0"/>
                <w:color w:val="FFFFFF" w:themeColor="background1"/>
                <w:szCs w:val="16"/>
              </w:rPr>
              <w:t xml:space="preserve"> (%)</w:t>
            </w:r>
          </w:p>
        </w:tc>
        <w:tc>
          <w:tcPr>
            <w:tcW w:w="612" w:type="dxa"/>
            <w:shd w:val="clear" w:color="auto" w:fill="1B556B"/>
            <w:vAlign w:val="bottom"/>
          </w:tcPr>
          <w:p w14:paraId="73BDD073"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Pit storage (%)</w:t>
            </w:r>
          </w:p>
        </w:tc>
        <w:tc>
          <w:tcPr>
            <w:tcW w:w="654" w:type="dxa"/>
            <w:shd w:val="clear" w:color="auto" w:fill="1B556B"/>
            <w:vAlign w:val="bottom"/>
          </w:tcPr>
          <w:p w14:paraId="53F2CB14"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Deep bedding (%)</w:t>
            </w:r>
          </w:p>
        </w:tc>
        <w:tc>
          <w:tcPr>
            <w:tcW w:w="1069" w:type="dxa"/>
            <w:shd w:val="clear" w:color="auto" w:fill="1B556B"/>
            <w:vAlign w:val="bottom"/>
          </w:tcPr>
          <w:p w14:paraId="2465AF7C"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Pasture, range and paddock</w:t>
            </w:r>
            <w:r w:rsidRPr="007D31C4">
              <w:rPr>
                <w:rStyle w:val="FootnoteReference"/>
                <w:noProof w:val="0"/>
                <w:color w:val="FFFFFF" w:themeColor="background1"/>
                <w:sz w:val="16"/>
                <w:szCs w:val="16"/>
              </w:rPr>
              <w:footnoteReference w:id="33"/>
            </w:r>
            <w:r w:rsidRPr="007D31C4">
              <w:rPr>
                <w:noProof w:val="0"/>
                <w:color w:val="FFFFFF" w:themeColor="background1"/>
                <w:szCs w:val="16"/>
              </w:rPr>
              <w:t xml:space="preserve"> (%)</w:t>
            </w:r>
          </w:p>
        </w:tc>
        <w:tc>
          <w:tcPr>
            <w:tcW w:w="908" w:type="dxa"/>
            <w:shd w:val="clear" w:color="auto" w:fill="1B556B"/>
            <w:vAlign w:val="bottom"/>
          </w:tcPr>
          <w:p w14:paraId="6C09ED21"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Composting (%)</w:t>
            </w:r>
          </w:p>
        </w:tc>
        <w:tc>
          <w:tcPr>
            <w:tcW w:w="732" w:type="dxa"/>
            <w:shd w:val="clear" w:color="auto" w:fill="1B556B"/>
            <w:vAlign w:val="bottom"/>
          </w:tcPr>
          <w:p w14:paraId="53DAF6F6"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Digesters (%)</w:t>
            </w:r>
          </w:p>
        </w:tc>
        <w:tc>
          <w:tcPr>
            <w:tcW w:w="718" w:type="dxa"/>
            <w:shd w:val="clear" w:color="auto" w:fill="1B556B"/>
            <w:vAlign w:val="bottom"/>
          </w:tcPr>
          <w:p w14:paraId="12410B78" w14:textId="77777777" w:rsidR="00E46639" w:rsidRPr="007D31C4" w:rsidRDefault="00E46639" w:rsidP="00F16E23">
            <w:pPr>
              <w:pStyle w:val="TableTextBold"/>
              <w:keepNext/>
              <w:spacing w:before="40" w:after="40"/>
              <w:jc w:val="right"/>
              <w:rPr>
                <w:noProof w:val="0"/>
                <w:color w:val="FFFFFF" w:themeColor="background1"/>
                <w:szCs w:val="16"/>
              </w:rPr>
            </w:pPr>
            <w:r w:rsidRPr="007D31C4">
              <w:rPr>
                <w:noProof w:val="0"/>
                <w:color w:val="FFFFFF" w:themeColor="background1"/>
                <w:szCs w:val="16"/>
              </w:rPr>
              <w:t>Other (%)</w:t>
            </w:r>
          </w:p>
        </w:tc>
      </w:tr>
      <w:tr w:rsidR="00E46639" w:rsidRPr="007D31C4" w14:paraId="242EB731" w14:textId="77777777" w:rsidTr="00F16E23">
        <w:trPr>
          <w:cantSplit/>
        </w:trPr>
        <w:tc>
          <w:tcPr>
            <w:tcW w:w="1531" w:type="dxa"/>
            <w:vAlign w:val="bottom"/>
          </w:tcPr>
          <w:p w14:paraId="135F8EB4" w14:textId="77777777" w:rsidR="00E46639" w:rsidRPr="007D31C4" w:rsidRDefault="00E46639" w:rsidP="00F16E23">
            <w:pPr>
              <w:pStyle w:val="TableText"/>
              <w:spacing w:before="40" w:after="40"/>
              <w:rPr>
                <w:rFonts w:cs="Calibri"/>
                <w:szCs w:val="16"/>
              </w:rPr>
            </w:pPr>
            <w:r w:rsidRPr="007D31C4">
              <w:rPr>
                <w:rFonts w:cs="Calibri"/>
                <w:szCs w:val="16"/>
              </w:rPr>
              <w:t>Dairy cattle</w:t>
            </w:r>
            <w:r w:rsidRPr="007D31C4">
              <w:rPr>
                <w:rStyle w:val="FootnoteReference"/>
                <w:rFonts w:cs="Calibri"/>
                <w:sz w:val="16"/>
                <w:szCs w:val="16"/>
              </w:rPr>
              <w:footnoteReference w:id="34"/>
            </w:r>
          </w:p>
        </w:tc>
        <w:tc>
          <w:tcPr>
            <w:tcW w:w="737" w:type="dxa"/>
          </w:tcPr>
          <w:p w14:paraId="53F25346" w14:textId="77777777" w:rsidR="00E46639" w:rsidRPr="007D31C4" w:rsidRDefault="00E46639" w:rsidP="00F16E23">
            <w:pPr>
              <w:pStyle w:val="TableText"/>
              <w:spacing w:before="40" w:after="40"/>
              <w:jc w:val="right"/>
              <w:rPr>
                <w:rFonts w:cs="Calibri"/>
                <w:szCs w:val="16"/>
              </w:rPr>
            </w:pPr>
            <w:r w:rsidRPr="007D31C4">
              <w:rPr>
                <w:rFonts w:cs="Calibri"/>
                <w:szCs w:val="16"/>
              </w:rPr>
              <w:t>6.5</w:t>
            </w:r>
          </w:p>
        </w:tc>
        <w:tc>
          <w:tcPr>
            <w:tcW w:w="629" w:type="dxa"/>
          </w:tcPr>
          <w:p w14:paraId="12719400" w14:textId="77777777" w:rsidR="00E46639" w:rsidRPr="007D31C4" w:rsidRDefault="00E46639" w:rsidP="00F16E23">
            <w:pPr>
              <w:pStyle w:val="TableText"/>
              <w:spacing w:before="40" w:after="40"/>
              <w:jc w:val="right"/>
              <w:rPr>
                <w:rFonts w:cs="Calibri"/>
                <w:szCs w:val="16"/>
              </w:rPr>
            </w:pPr>
            <w:r w:rsidRPr="007D31C4">
              <w:rPr>
                <w:rFonts w:cs="Calibri"/>
                <w:szCs w:val="16"/>
              </w:rPr>
              <w:t>1.3</w:t>
            </w:r>
          </w:p>
        </w:tc>
        <w:tc>
          <w:tcPr>
            <w:tcW w:w="668" w:type="dxa"/>
          </w:tcPr>
          <w:p w14:paraId="2A47893C"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15689658"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685C75BF"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3E1E210A" w14:textId="77777777" w:rsidR="00E46639" w:rsidRPr="007D31C4" w:rsidRDefault="00E46639" w:rsidP="00F16E23">
            <w:pPr>
              <w:pStyle w:val="TableText"/>
              <w:spacing w:before="40" w:after="40"/>
              <w:jc w:val="right"/>
              <w:rPr>
                <w:rFonts w:cs="Calibri"/>
                <w:szCs w:val="16"/>
              </w:rPr>
            </w:pPr>
            <w:r w:rsidRPr="007D31C4">
              <w:rPr>
                <w:rFonts w:cs="Calibri"/>
                <w:szCs w:val="16"/>
              </w:rPr>
              <w:t>92.3</w:t>
            </w:r>
          </w:p>
        </w:tc>
        <w:tc>
          <w:tcPr>
            <w:tcW w:w="908" w:type="dxa"/>
          </w:tcPr>
          <w:p w14:paraId="24E651C1"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32DB19C7"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1A78B7C5"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7D31C4" w14:paraId="0F6B916C" w14:textId="77777777" w:rsidTr="00F16E23">
        <w:trPr>
          <w:cantSplit/>
        </w:trPr>
        <w:tc>
          <w:tcPr>
            <w:tcW w:w="1531" w:type="dxa"/>
            <w:vAlign w:val="bottom"/>
          </w:tcPr>
          <w:p w14:paraId="2F36963D" w14:textId="77777777" w:rsidR="00E46639" w:rsidRPr="007D31C4" w:rsidRDefault="00E46639" w:rsidP="00F16E23">
            <w:pPr>
              <w:pStyle w:val="TableText"/>
              <w:spacing w:before="40" w:after="40"/>
              <w:rPr>
                <w:rFonts w:cs="Calibri"/>
                <w:szCs w:val="16"/>
              </w:rPr>
            </w:pPr>
            <w:r w:rsidRPr="007D31C4">
              <w:rPr>
                <w:rFonts w:cs="Calibri"/>
                <w:szCs w:val="16"/>
              </w:rPr>
              <w:t>Non-dairy cattle</w:t>
            </w:r>
          </w:p>
        </w:tc>
        <w:tc>
          <w:tcPr>
            <w:tcW w:w="737" w:type="dxa"/>
          </w:tcPr>
          <w:p w14:paraId="5C2E67EB"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7B558054"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1A290E2E"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3411B156"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25CCF3AE"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42AD1FF8" w14:textId="77777777" w:rsidR="00E46639" w:rsidRPr="007D31C4" w:rsidRDefault="00E46639" w:rsidP="00F16E23">
            <w:pPr>
              <w:pStyle w:val="TableText"/>
              <w:spacing w:before="40" w:after="40"/>
              <w:jc w:val="right"/>
              <w:rPr>
                <w:rFonts w:cs="Calibri"/>
                <w:szCs w:val="16"/>
              </w:rPr>
            </w:pPr>
            <w:r w:rsidRPr="007D31C4">
              <w:rPr>
                <w:rFonts w:cs="Calibri"/>
                <w:szCs w:val="16"/>
              </w:rPr>
              <w:t>100.0</w:t>
            </w:r>
          </w:p>
        </w:tc>
        <w:tc>
          <w:tcPr>
            <w:tcW w:w="908" w:type="dxa"/>
          </w:tcPr>
          <w:p w14:paraId="06B04B0F"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343C296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030C7184"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7D31C4" w14:paraId="009CD633" w14:textId="77777777" w:rsidTr="00F16E23">
        <w:trPr>
          <w:cantSplit/>
        </w:trPr>
        <w:tc>
          <w:tcPr>
            <w:tcW w:w="1531" w:type="dxa"/>
            <w:vAlign w:val="bottom"/>
          </w:tcPr>
          <w:p w14:paraId="2CB6A61E" w14:textId="77777777" w:rsidR="00E46639" w:rsidRPr="007D31C4" w:rsidRDefault="00E46639" w:rsidP="00F16E23">
            <w:pPr>
              <w:pStyle w:val="TableText"/>
              <w:spacing w:before="40" w:after="40"/>
              <w:rPr>
                <w:rFonts w:cs="Calibri"/>
                <w:szCs w:val="16"/>
              </w:rPr>
            </w:pPr>
            <w:r w:rsidRPr="007D31C4">
              <w:rPr>
                <w:rFonts w:cs="Calibri"/>
                <w:szCs w:val="16"/>
              </w:rPr>
              <w:t>Sheep</w:t>
            </w:r>
          </w:p>
        </w:tc>
        <w:tc>
          <w:tcPr>
            <w:tcW w:w="737" w:type="dxa"/>
          </w:tcPr>
          <w:p w14:paraId="760F9B1F"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4FBEE660"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6998E34A"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295475BC"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28357DB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2723EBAF" w14:textId="77777777" w:rsidR="00E46639" w:rsidRPr="007D31C4" w:rsidRDefault="00E46639" w:rsidP="00F16E23">
            <w:pPr>
              <w:pStyle w:val="TableText"/>
              <w:spacing w:before="40" w:after="40"/>
              <w:jc w:val="right"/>
              <w:rPr>
                <w:rFonts w:cs="Calibri"/>
                <w:szCs w:val="16"/>
              </w:rPr>
            </w:pPr>
            <w:r w:rsidRPr="007D31C4">
              <w:rPr>
                <w:rFonts w:cs="Calibri"/>
                <w:szCs w:val="16"/>
              </w:rPr>
              <w:t>100.0</w:t>
            </w:r>
          </w:p>
        </w:tc>
        <w:tc>
          <w:tcPr>
            <w:tcW w:w="908" w:type="dxa"/>
          </w:tcPr>
          <w:p w14:paraId="2815602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5715BDBC"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781CB6C7"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7D31C4" w14:paraId="6CBA74EC" w14:textId="77777777" w:rsidTr="00F16E23">
        <w:trPr>
          <w:cantSplit/>
        </w:trPr>
        <w:tc>
          <w:tcPr>
            <w:tcW w:w="1531" w:type="dxa"/>
            <w:vAlign w:val="bottom"/>
          </w:tcPr>
          <w:p w14:paraId="1BD21734" w14:textId="77777777" w:rsidR="00E46639" w:rsidRPr="007D31C4" w:rsidRDefault="00E46639" w:rsidP="00F16E23">
            <w:pPr>
              <w:pStyle w:val="TableText"/>
              <w:spacing w:before="40" w:after="40"/>
              <w:rPr>
                <w:rFonts w:cs="Calibri"/>
                <w:szCs w:val="16"/>
              </w:rPr>
            </w:pPr>
            <w:r w:rsidRPr="007D31C4">
              <w:rPr>
                <w:rFonts w:cs="Calibri"/>
                <w:szCs w:val="16"/>
              </w:rPr>
              <w:t>Deer</w:t>
            </w:r>
          </w:p>
        </w:tc>
        <w:tc>
          <w:tcPr>
            <w:tcW w:w="737" w:type="dxa"/>
          </w:tcPr>
          <w:p w14:paraId="65D0F3F7"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1C2C3A6A"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67C9B10C"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3F9A109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147A8A8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3C204C0F" w14:textId="77777777" w:rsidR="00E46639" w:rsidRPr="007D31C4" w:rsidRDefault="00E46639" w:rsidP="00F16E23">
            <w:pPr>
              <w:pStyle w:val="TableText"/>
              <w:spacing w:before="40" w:after="40"/>
              <w:jc w:val="right"/>
              <w:rPr>
                <w:rFonts w:cs="Calibri"/>
                <w:szCs w:val="16"/>
              </w:rPr>
            </w:pPr>
            <w:r w:rsidRPr="007D31C4">
              <w:rPr>
                <w:rFonts w:cs="Calibri"/>
                <w:szCs w:val="16"/>
              </w:rPr>
              <w:t>100.0</w:t>
            </w:r>
          </w:p>
        </w:tc>
        <w:tc>
          <w:tcPr>
            <w:tcW w:w="908" w:type="dxa"/>
          </w:tcPr>
          <w:p w14:paraId="3E12A315"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6C0728FA"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69BC028B"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7D31C4" w14:paraId="6E8FE01B" w14:textId="77777777" w:rsidTr="00F16E23">
        <w:trPr>
          <w:cantSplit/>
        </w:trPr>
        <w:tc>
          <w:tcPr>
            <w:tcW w:w="1531" w:type="dxa"/>
            <w:vAlign w:val="bottom"/>
          </w:tcPr>
          <w:p w14:paraId="48246730" w14:textId="77777777" w:rsidR="00E46639" w:rsidRPr="007D31C4" w:rsidRDefault="00E46639" w:rsidP="00F16E23">
            <w:pPr>
              <w:pStyle w:val="TableText"/>
              <w:spacing w:before="40" w:after="40"/>
              <w:rPr>
                <w:rFonts w:cs="Calibri"/>
                <w:szCs w:val="16"/>
              </w:rPr>
            </w:pPr>
            <w:r w:rsidRPr="007D31C4">
              <w:rPr>
                <w:rFonts w:cs="Calibri"/>
                <w:szCs w:val="16"/>
              </w:rPr>
              <w:t>Goats</w:t>
            </w:r>
          </w:p>
        </w:tc>
        <w:tc>
          <w:tcPr>
            <w:tcW w:w="737" w:type="dxa"/>
          </w:tcPr>
          <w:p w14:paraId="3797742E"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4850D716"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605840AE"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34B63D4F"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4E5AE155"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0F83475C" w14:textId="77777777" w:rsidR="00E46639" w:rsidRPr="007D31C4" w:rsidRDefault="00E46639" w:rsidP="00F16E23">
            <w:pPr>
              <w:pStyle w:val="TableText"/>
              <w:spacing w:before="40" w:after="40"/>
              <w:jc w:val="right"/>
              <w:rPr>
                <w:rFonts w:cs="Calibri"/>
                <w:szCs w:val="16"/>
              </w:rPr>
            </w:pPr>
            <w:r w:rsidRPr="007D31C4">
              <w:rPr>
                <w:rFonts w:cs="Calibri"/>
                <w:szCs w:val="16"/>
              </w:rPr>
              <w:t>100.0</w:t>
            </w:r>
          </w:p>
        </w:tc>
        <w:tc>
          <w:tcPr>
            <w:tcW w:w="908" w:type="dxa"/>
          </w:tcPr>
          <w:p w14:paraId="3A5540DB"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73A5E061"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3D9DECBD"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7D31C4" w14:paraId="79C8F344" w14:textId="77777777" w:rsidTr="00F16E23">
        <w:trPr>
          <w:cantSplit/>
        </w:trPr>
        <w:tc>
          <w:tcPr>
            <w:tcW w:w="1531" w:type="dxa"/>
            <w:vAlign w:val="bottom"/>
          </w:tcPr>
          <w:p w14:paraId="209556A9" w14:textId="77777777" w:rsidR="00E46639" w:rsidRPr="007D31C4" w:rsidRDefault="00E46639" w:rsidP="00F16E23">
            <w:pPr>
              <w:pStyle w:val="TableText"/>
              <w:spacing w:before="40" w:after="40"/>
              <w:rPr>
                <w:rFonts w:cs="Calibri"/>
                <w:szCs w:val="16"/>
              </w:rPr>
            </w:pPr>
            <w:r w:rsidRPr="007D31C4">
              <w:rPr>
                <w:rFonts w:cs="Calibri"/>
                <w:szCs w:val="16"/>
              </w:rPr>
              <w:t>Horses</w:t>
            </w:r>
          </w:p>
        </w:tc>
        <w:tc>
          <w:tcPr>
            <w:tcW w:w="737" w:type="dxa"/>
          </w:tcPr>
          <w:p w14:paraId="1C2A45C6"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1CC36F2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108B39A8"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482F8E63"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63765A2F"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4E6E9E55" w14:textId="77777777" w:rsidR="00E46639" w:rsidRPr="007D31C4" w:rsidRDefault="00E46639" w:rsidP="00F16E23">
            <w:pPr>
              <w:pStyle w:val="TableText"/>
              <w:spacing w:before="40" w:after="40"/>
              <w:jc w:val="right"/>
              <w:rPr>
                <w:rFonts w:cs="Calibri"/>
                <w:szCs w:val="16"/>
              </w:rPr>
            </w:pPr>
            <w:r w:rsidRPr="007D31C4">
              <w:rPr>
                <w:rFonts w:cs="Calibri"/>
                <w:szCs w:val="16"/>
              </w:rPr>
              <w:t>100.0</w:t>
            </w:r>
          </w:p>
        </w:tc>
        <w:tc>
          <w:tcPr>
            <w:tcW w:w="908" w:type="dxa"/>
          </w:tcPr>
          <w:p w14:paraId="04BCF3E1"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5FE4BFC6"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659E023E"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7D31C4" w14:paraId="6663A3AD" w14:textId="77777777" w:rsidTr="00F16E23">
        <w:trPr>
          <w:cantSplit/>
        </w:trPr>
        <w:tc>
          <w:tcPr>
            <w:tcW w:w="1531" w:type="dxa"/>
            <w:vAlign w:val="bottom"/>
          </w:tcPr>
          <w:p w14:paraId="2D296360" w14:textId="77777777" w:rsidR="00E46639" w:rsidRPr="007D31C4" w:rsidRDefault="00E46639" w:rsidP="00F16E23">
            <w:pPr>
              <w:pStyle w:val="TableText"/>
              <w:spacing w:before="40" w:after="40"/>
              <w:rPr>
                <w:rFonts w:cs="Calibri"/>
                <w:szCs w:val="16"/>
              </w:rPr>
            </w:pPr>
            <w:r w:rsidRPr="007D31C4">
              <w:rPr>
                <w:rFonts w:cs="Calibri"/>
                <w:szCs w:val="16"/>
              </w:rPr>
              <w:t>Swine</w:t>
            </w:r>
            <w:r w:rsidRPr="007D31C4">
              <w:rPr>
                <w:rStyle w:val="FootnoteReference"/>
                <w:rFonts w:cs="Calibri"/>
                <w:sz w:val="16"/>
                <w:szCs w:val="16"/>
              </w:rPr>
              <w:footnoteReference w:id="35"/>
            </w:r>
          </w:p>
        </w:tc>
        <w:tc>
          <w:tcPr>
            <w:tcW w:w="737" w:type="dxa"/>
          </w:tcPr>
          <w:p w14:paraId="27D63477" w14:textId="77777777" w:rsidR="00E46639" w:rsidRPr="007D31C4" w:rsidRDefault="00E46639" w:rsidP="00F16E23">
            <w:pPr>
              <w:pStyle w:val="TableText"/>
              <w:spacing w:before="40" w:after="40"/>
              <w:jc w:val="right"/>
              <w:rPr>
                <w:rFonts w:cs="Calibri"/>
                <w:szCs w:val="16"/>
              </w:rPr>
            </w:pPr>
            <w:r w:rsidRPr="007D31C4">
              <w:rPr>
                <w:rFonts w:cs="Calibri"/>
                <w:szCs w:val="16"/>
              </w:rPr>
              <w:t>16.0</w:t>
            </w:r>
          </w:p>
        </w:tc>
        <w:tc>
          <w:tcPr>
            <w:tcW w:w="629" w:type="dxa"/>
          </w:tcPr>
          <w:p w14:paraId="5FA783DC"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387A6577" w14:textId="77777777" w:rsidR="00E46639" w:rsidRPr="007D31C4" w:rsidRDefault="00E46639" w:rsidP="00F16E23">
            <w:pPr>
              <w:pStyle w:val="TableText"/>
              <w:spacing w:before="40" w:after="40"/>
              <w:jc w:val="right"/>
              <w:rPr>
                <w:rFonts w:cs="Calibri"/>
                <w:szCs w:val="16"/>
              </w:rPr>
            </w:pPr>
            <w:r w:rsidRPr="007D31C4">
              <w:rPr>
                <w:rFonts w:cs="Calibri"/>
                <w:szCs w:val="16"/>
              </w:rPr>
              <w:t>7.6</w:t>
            </w:r>
          </w:p>
        </w:tc>
        <w:tc>
          <w:tcPr>
            <w:tcW w:w="612" w:type="dxa"/>
          </w:tcPr>
          <w:p w14:paraId="4A935834" w14:textId="77777777" w:rsidR="00E46639" w:rsidRPr="007D31C4" w:rsidRDefault="00E46639" w:rsidP="00F16E23">
            <w:pPr>
              <w:pStyle w:val="TableText"/>
              <w:spacing w:before="40" w:after="40"/>
              <w:jc w:val="right"/>
              <w:rPr>
                <w:rFonts w:cs="Calibri"/>
                <w:szCs w:val="16"/>
              </w:rPr>
            </w:pPr>
            <w:r w:rsidRPr="007D31C4">
              <w:rPr>
                <w:rFonts w:cs="Calibri"/>
                <w:szCs w:val="16"/>
              </w:rPr>
              <w:t>18.0</w:t>
            </w:r>
          </w:p>
        </w:tc>
        <w:tc>
          <w:tcPr>
            <w:tcW w:w="654" w:type="dxa"/>
          </w:tcPr>
          <w:p w14:paraId="11AB91CB" w14:textId="77777777" w:rsidR="00E46639" w:rsidRPr="007D31C4" w:rsidRDefault="00E46639" w:rsidP="00F16E23">
            <w:pPr>
              <w:pStyle w:val="TableText"/>
              <w:spacing w:before="40" w:after="40"/>
              <w:jc w:val="right"/>
              <w:rPr>
                <w:rFonts w:cs="Calibri"/>
                <w:szCs w:val="16"/>
              </w:rPr>
            </w:pPr>
            <w:r w:rsidRPr="007D31C4">
              <w:rPr>
                <w:rFonts w:cs="Calibri"/>
                <w:szCs w:val="16"/>
              </w:rPr>
              <w:t>32.7</w:t>
            </w:r>
          </w:p>
        </w:tc>
        <w:tc>
          <w:tcPr>
            <w:tcW w:w="1069" w:type="dxa"/>
          </w:tcPr>
          <w:p w14:paraId="7E04D67C" w14:textId="77777777" w:rsidR="00E46639" w:rsidRPr="007D31C4" w:rsidRDefault="00E46639" w:rsidP="00F16E23">
            <w:pPr>
              <w:pStyle w:val="TableText"/>
              <w:spacing w:before="40" w:after="40"/>
              <w:jc w:val="right"/>
              <w:rPr>
                <w:rFonts w:cs="Calibri"/>
                <w:szCs w:val="16"/>
              </w:rPr>
            </w:pPr>
            <w:r w:rsidRPr="007D31C4">
              <w:rPr>
                <w:rFonts w:cs="Calibri"/>
                <w:szCs w:val="16"/>
              </w:rPr>
              <w:t>14.5</w:t>
            </w:r>
          </w:p>
        </w:tc>
        <w:tc>
          <w:tcPr>
            <w:tcW w:w="908" w:type="dxa"/>
          </w:tcPr>
          <w:p w14:paraId="1AA546AA" w14:textId="77777777" w:rsidR="00E46639" w:rsidRPr="007D31C4" w:rsidRDefault="00E46639" w:rsidP="00F16E23">
            <w:pPr>
              <w:pStyle w:val="TableText"/>
              <w:spacing w:before="40" w:after="40"/>
              <w:jc w:val="right"/>
              <w:rPr>
                <w:rFonts w:cs="Calibri"/>
                <w:szCs w:val="16"/>
              </w:rPr>
            </w:pPr>
            <w:r w:rsidRPr="007D31C4">
              <w:rPr>
                <w:rFonts w:cs="Calibri"/>
                <w:szCs w:val="16"/>
              </w:rPr>
              <w:t>1.9</w:t>
            </w:r>
          </w:p>
        </w:tc>
        <w:tc>
          <w:tcPr>
            <w:tcW w:w="732" w:type="dxa"/>
          </w:tcPr>
          <w:p w14:paraId="5194A5B9" w14:textId="77777777" w:rsidR="00E46639" w:rsidRPr="007D31C4" w:rsidRDefault="00E46639" w:rsidP="00F16E23">
            <w:pPr>
              <w:pStyle w:val="TableText"/>
              <w:spacing w:before="40" w:after="40"/>
              <w:jc w:val="right"/>
              <w:rPr>
                <w:rFonts w:cs="Calibri"/>
                <w:szCs w:val="16"/>
              </w:rPr>
            </w:pPr>
            <w:r w:rsidRPr="007D31C4">
              <w:rPr>
                <w:rFonts w:cs="Calibri"/>
                <w:szCs w:val="16"/>
              </w:rPr>
              <w:t>9.4</w:t>
            </w:r>
          </w:p>
        </w:tc>
        <w:tc>
          <w:tcPr>
            <w:tcW w:w="718" w:type="dxa"/>
          </w:tcPr>
          <w:p w14:paraId="4EA68C5D"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7D31C4" w14:paraId="7191E139" w14:textId="77777777" w:rsidTr="00F16E23">
        <w:trPr>
          <w:cantSplit/>
        </w:trPr>
        <w:tc>
          <w:tcPr>
            <w:tcW w:w="1531" w:type="dxa"/>
            <w:vAlign w:val="bottom"/>
          </w:tcPr>
          <w:p w14:paraId="178B0029" w14:textId="77777777" w:rsidR="00E46639" w:rsidRPr="007D31C4" w:rsidRDefault="00E46639" w:rsidP="00F16E23">
            <w:pPr>
              <w:pStyle w:val="TableText"/>
              <w:spacing w:before="40" w:after="40"/>
              <w:rPr>
                <w:rFonts w:cs="Calibri"/>
                <w:szCs w:val="16"/>
              </w:rPr>
            </w:pPr>
            <w:r w:rsidRPr="007D31C4">
              <w:rPr>
                <w:rFonts w:cs="Calibri"/>
                <w:szCs w:val="16"/>
              </w:rPr>
              <w:t>Poultry – broilers</w:t>
            </w:r>
            <w:r w:rsidRPr="007D31C4">
              <w:rPr>
                <w:rStyle w:val="FootnoteReference"/>
                <w:rFonts w:cs="Calibri"/>
                <w:sz w:val="16"/>
                <w:szCs w:val="16"/>
              </w:rPr>
              <w:footnoteReference w:id="36"/>
            </w:r>
          </w:p>
        </w:tc>
        <w:tc>
          <w:tcPr>
            <w:tcW w:w="737" w:type="dxa"/>
          </w:tcPr>
          <w:p w14:paraId="4A91F657"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5CA45274"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26FC06BB"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2D9AFE90"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2E24B0DB"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50A19388" w14:textId="77777777" w:rsidR="00E46639" w:rsidRPr="007D31C4" w:rsidRDefault="00E46639" w:rsidP="00F16E23">
            <w:pPr>
              <w:pStyle w:val="TableText"/>
              <w:spacing w:before="40" w:after="40"/>
              <w:jc w:val="right"/>
              <w:rPr>
                <w:rFonts w:cs="Calibri"/>
                <w:szCs w:val="16"/>
              </w:rPr>
            </w:pPr>
            <w:r w:rsidRPr="007D31C4">
              <w:rPr>
                <w:rFonts w:cs="Calibri"/>
                <w:szCs w:val="16"/>
              </w:rPr>
              <w:t>4.9</w:t>
            </w:r>
          </w:p>
        </w:tc>
        <w:tc>
          <w:tcPr>
            <w:tcW w:w="908" w:type="dxa"/>
          </w:tcPr>
          <w:p w14:paraId="61A5974E"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28AA6F71"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2D820F4E" w14:textId="77777777" w:rsidR="00E46639" w:rsidRPr="007D31C4" w:rsidRDefault="00E46639" w:rsidP="00F16E23">
            <w:pPr>
              <w:pStyle w:val="TableText"/>
              <w:spacing w:before="40" w:after="40"/>
              <w:jc w:val="right"/>
              <w:rPr>
                <w:rFonts w:cs="Calibri"/>
                <w:szCs w:val="16"/>
              </w:rPr>
            </w:pPr>
            <w:r w:rsidRPr="007D31C4">
              <w:rPr>
                <w:rFonts w:cs="Calibri"/>
                <w:szCs w:val="16"/>
              </w:rPr>
              <w:t>95.1</w:t>
            </w:r>
          </w:p>
        </w:tc>
      </w:tr>
      <w:tr w:rsidR="00E46639" w:rsidRPr="007D31C4" w14:paraId="5A264CC0" w14:textId="77777777" w:rsidTr="00F16E23">
        <w:trPr>
          <w:cantSplit/>
        </w:trPr>
        <w:tc>
          <w:tcPr>
            <w:tcW w:w="1531" w:type="dxa"/>
            <w:vAlign w:val="bottom"/>
          </w:tcPr>
          <w:p w14:paraId="047A4943" w14:textId="77777777" w:rsidR="00E46639" w:rsidRPr="007D31C4" w:rsidRDefault="00E46639" w:rsidP="00F16E23">
            <w:pPr>
              <w:pStyle w:val="TableText"/>
              <w:spacing w:before="40" w:after="40"/>
              <w:rPr>
                <w:rFonts w:cs="Calibri"/>
                <w:szCs w:val="16"/>
                <w:vertAlign w:val="superscript"/>
              </w:rPr>
            </w:pPr>
            <w:r w:rsidRPr="007D31C4">
              <w:rPr>
                <w:rFonts w:cs="Calibri"/>
                <w:szCs w:val="16"/>
              </w:rPr>
              <w:t>Poultry – layers</w:t>
            </w:r>
            <w:r w:rsidRPr="007D31C4">
              <w:rPr>
                <w:rStyle w:val="FootnoteReference"/>
                <w:rFonts w:cs="Calibri"/>
                <w:sz w:val="16"/>
                <w:szCs w:val="16"/>
              </w:rPr>
              <w:footnoteReference w:id="37"/>
            </w:r>
          </w:p>
        </w:tc>
        <w:tc>
          <w:tcPr>
            <w:tcW w:w="737" w:type="dxa"/>
          </w:tcPr>
          <w:p w14:paraId="62594510"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15BB59B9"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4F6DB8B1" w14:textId="77777777" w:rsidR="00E46639" w:rsidRPr="007D31C4" w:rsidDel="00063FE1"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3F5337C4"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768F2F65"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6E1A23AF" w14:textId="77777777" w:rsidR="00E46639" w:rsidRPr="007D31C4" w:rsidRDefault="00E46639" w:rsidP="00F16E23">
            <w:pPr>
              <w:pStyle w:val="TableText"/>
              <w:spacing w:before="40" w:after="40"/>
              <w:jc w:val="right"/>
              <w:rPr>
                <w:rFonts w:cs="Calibri"/>
                <w:szCs w:val="16"/>
              </w:rPr>
            </w:pPr>
            <w:r w:rsidRPr="007D31C4">
              <w:rPr>
                <w:rFonts w:cs="Calibri"/>
                <w:szCs w:val="16"/>
              </w:rPr>
              <w:t>5.8</w:t>
            </w:r>
          </w:p>
        </w:tc>
        <w:tc>
          <w:tcPr>
            <w:tcW w:w="908" w:type="dxa"/>
          </w:tcPr>
          <w:p w14:paraId="7BD7E349"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24376B5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7D1CEFBE" w14:textId="77777777" w:rsidR="00E46639" w:rsidRPr="007D31C4" w:rsidRDefault="00E46639" w:rsidP="00F16E23">
            <w:pPr>
              <w:pStyle w:val="TableText"/>
              <w:spacing w:before="40" w:after="40"/>
              <w:jc w:val="right"/>
              <w:rPr>
                <w:rFonts w:cs="Calibri"/>
                <w:szCs w:val="16"/>
              </w:rPr>
            </w:pPr>
            <w:r w:rsidRPr="007D31C4">
              <w:rPr>
                <w:rFonts w:cs="Calibri"/>
                <w:szCs w:val="16"/>
              </w:rPr>
              <w:t>94.2</w:t>
            </w:r>
          </w:p>
        </w:tc>
      </w:tr>
      <w:tr w:rsidR="00E46639" w:rsidRPr="007D31C4" w14:paraId="255EDDC4" w14:textId="77777777" w:rsidTr="00F16E23">
        <w:trPr>
          <w:cantSplit/>
        </w:trPr>
        <w:tc>
          <w:tcPr>
            <w:tcW w:w="1531" w:type="dxa"/>
            <w:vAlign w:val="bottom"/>
          </w:tcPr>
          <w:p w14:paraId="0A5B3DFE" w14:textId="77777777" w:rsidR="00E46639" w:rsidRPr="007D31C4" w:rsidRDefault="00E46639" w:rsidP="00F16E23">
            <w:pPr>
              <w:pStyle w:val="TableText"/>
              <w:spacing w:before="40" w:after="40"/>
              <w:rPr>
                <w:rFonts w:cs="Calibri"/>
                <w:szCs w:val="16"/>
              </w:rPr>
            </w:pPr>
            <w:r w:rsidRPr="007D31C4">
              <w:rPr>
                <w:rFonts w:cs="Calibri"/>
                <w:szCs w:val="16"/>
              </w:rPr>
              <w:t>Poultry – other</w:t>
            </w:r>
            <w:r w:rsidRPr="007D31C4">
              <w:rPr>
                <w:rStyle w:val="FootnoteReference"/>
                <w:rFonts w:cs="Calibri"/>
                <w:sz w:val="16"/>
                <w:szCs w:val="16"/>
              </w:rPr>
              <w:footnoteReference w:id="38"/>
            </w:r>
          </w:p>
        </w:tc>
        <w:tc>
          <w:tcPr>
            <w:tcW w:w="737" w:type="dxa"/>
          </w:tcPr>
          <w:p w14:paraId="6965DD63"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03EB0DF0"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68" w:type="dxa"/>
          </w:tcPr>
          <w:p w14:paraId="6B826409" w14:textId="77777777" w:rsidR="00E46639" w:rsidRPr="007D31C4" w:rsidDel="00063FE1" w:rsidRDefault="00E46639" w:rsidP="00F16E23">
            <w:pPr>
              <w:pStyle w:val="TableText"/>
              <w:spacing w:before="40" w:after="40"/>
              <w:jc w:val="right"/>
              <w:rPr>
                <w:rFonts w:cs="Calibri"/>
                <w:szCs w:val="16"/>
              </w:rPr>
            </w:pPr>
            <w:r w:rsidRPr="007D31C4">
              <w:rPr>
                <w:rFonts w:cs="Calibri"/>
                <w:szCs w:val="16"/>
              </w:rPr>
              <w:t>0.0</w:t>
            </w:r>
          </w:p>
        </w:tc>
        <w:tc>
          <w:tcPr>
            <w:tcW w:w="612" w:type="dxa"/>
          </w:tcPr>
          <w:p w14:paraId="0444A1C9"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tcPr>
          <w:p w14:paraId="57FF60E1"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tcPr>
          <w:p w14:paraId="7B346ECD" w14:textId="77777777" w:rsidR="00E46639" w:rsidRPr="007D31C4" w:rsidRDefault="00E46639" w:rsidP="00F16E23">
            <w:pPr>
              <w:pStyle w:val="TableText"/>
              <w:spacing w:before="40" w:after="40"/>
              <w:jc w:val="right"/>
              <w:rPr>
                <w:rFonts w:cs="Calibri"/>
                <w:szCs w:val="16"/>
              </w:rPr>
            </w:pPr>
            <w:r w:rsidRPr="007D31C4">
              <w:rPr>
                <w:rFonts w:cs="Calibri"/>
                <w:szCs w:val="16"/>
              </w:rPr>
              <w:t>3.0</w:t>
            </w:r>
          </w:p>
        </w:tc>
        <w:tc>
          <w:tcPr>
            <w:tcW w:w="908" w:type="dxa"/>
          </w:tcPr>
          <w:p w14:paraId="258BB139"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tcPr>
          <w:p w14:paraId="7B1AB032"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tcPr>
          <w:p w14:paraId="49E65BDC" w14:textId="77777777" w:rsidR="00E46639" w:rsidRPr="007D31C4" w:rsidRDefault="00E46639" w:rsidP="00F16E23">
            <w:pPr>
              <w:pStyle w:val="TableText"/>
              <w:spacing w:before="40" w:after="40"/>
              <w:jc w:val="right"/>
              <w:rPr>
                <w:rFonts w:cs="Calibri"/>
                <w:szCs w:val="16"/>
              </w:rPr>
            </w:pPr>
            <w:r w:rsidRPr="007D31C4">
              <w:rPr>
                <w:rFonts w:cs="Calibri"/>
                <w:szCs w:val="16"/>
              </w:rPr>
              <w:t>97.0</w:t>
            </w:r>
          </w:p>
        </w:tc>
      </w:tr>
      <w:tr w:rsidR="00E46639" w:rsidRPr="007D31C4" w14:paraId="79D0A395" w14:textId="77777777" w:rsidTr="00F16E23">
        <w:trPr>
          <w:cantSplit/>
        </w:trPr>
        <w:tc>
          <w:tcPr>
            <w:tcW w:w="1531" w:type="dxa"/>
            <w:vAlign w:val="bottom"/>
          </w:tcPr>
          <w:p w14:paraId="436E6FAF" w14:textId="77777777" w:rsidR="00E46639" w:rsidRPr="007D31C4" w:rsidRDefault="00E46639" w:rsidP="00F16E23">
            <w:pPr>
              <w:pStyle w:val="TableText"/>
              <w:spacing w:before="40" w:after="40"/>
              <w:rPr>
                <w:rFonts w:cs="Calibri"/>
                <w:szCs w:val="16"/>
              </w:rPr>
            </w:pPr>
            <w:r w:rsidRPr="007D31C4">
              <w:rPr>
                <w:rFonts w:cs="Calibri"/>
                <w:szCs w:val="16"/>
              </w:rPr>
              <w:t>Ostriches and emus</w:t>
            </w:r>
          </w:p>
        </w:tc>
        <w:tc>
          <w:tcPr>
            <w:tcW w:w="737" w:type="dxa"/>
            <w:vAlign w:val="bottom"/>
          </w:tcPr>
          <w:p w14:paraId="7EBF7159"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29" w:type="dxa"/>
          </w:tcPr>
          <w:p w14:paraId="116C6F4D" w14:textId="77777777" w:rsidR="00E46639" w:rsidRPr="007D31C4" w:rsidRDefault="00E46639" w:rsidP="00F16E23">
            <w:pPr>
              <w:pStyle w:val="TableText"/>
              <w:spacing w:before="40" w:after="40"/>
              <w:jc w:val="right"/>
              <w:rPr>
                <w:rFonts w:cs="Calibri"/>
                <w:szCs w:val="16"/>
              </w:rPr>
            </w:pPr>
            <w:r w:rsidRPr="007D31C4">
              <w:rPr>
                <w:rFonts w:cs="Calibri"/>
                <w:szCs w:val="16"/>
              </w:rPr>
              <w:t>20.0</w:t>
            </w:r>
          </w:p>
        </w:tc>
        <w:tc>
          <w:tcPr>
            <w:tcW w:w="668" w:type="dxa"/>
            <w:vAlign w:val="bottom"/>
          </w:tcPr>
          <w:p w14:paraId="07F69C24"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12" w:type="dxa"/>
            <w:vAlign w:val="bottom"/>
          </w:tcPr>
          <w:p w14:paraId="1AD0C947"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654" w:type="dxa"/>
            <w:vAlign w:val="bottom"/>
          </w:tcPr>
          <w:p w14:paraId="56C6651C"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1069" w:type="dxa"/>
            <w:vAlign w:val="bottom"/>
          </w:tcPr>
          <w:p w14:paraId="1421C57B" w14:textId="77777777" w:rsidR="00E46639" w:rsidRPr="007D31C4" w:rsidRDefault="00E46639" w:rsidP="00F16E23">
            <w:pPr>
              <w:pStyle w:val="TableText"/>
              <w:spacing w:before="40" w:after="40"/>
              <w:jc w:val="right"/>
              <w:rPr>
                <w:rFonts w:cs="Calibri"/>
                <w:szCs w:val="16"/>
              </w:rPr>
            </w:pPr>
            <w:r w:rsidRPr="007D31C4">
              <w:rPr>
                <w:rFonts w:cs="Calibri"/>
                <w:szCs w:val="16"/>
              </w:rPr>
              <w:t>80.0</w:t>
            </w:r>
          </w:p>
        </w:tc>
        <w:tc>
          <w:tcPr>
            <w:tcW w:w="908" w:type="dxa"/>
            <w:vAlign w:val="bottom"/>
          </w:tcPr>
          <w:p w14:paraId="6EA1BF25"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32" w:type="dxa"/>
            <w:vAlign w:val="bottom"/>
          </w:tcPr>
          <w:p w14:paraId="4E2EE8E0"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c>
          <w:tcPr>
            <w:tcW w:w="718" w:type="dxa"/>
            <w:vAlign w:val="bottom"/>
          </w:tcPr>
          <w:p w14:paraId="78A8ABB8" w14:textId="77777777" w:rsidR="00E46639" w:rsidRPr="007D31C4" w:rsidRDefault="00E46639" w:rsidP="00F16E23">
            <w:pPr>
              <w:pStyle w:val="TableText"/>
              <w:spacing w:before="40" w:after="40"/>
              <w:jc w:val="right"/>
              <w:rPr>
                <w:rFonts w:cs="Calibri"/>
                <w:szCs w:val="16"/>
              </w:rPr>
            </w:pPr>
            <w:r w:rsidRPr="007D31C4">
              <w:rPr>
                <w:rFonts w:cs="Calibri"/>
                <w:szCs w:val="16"/>
              </w:rPr>
              <w:t>0.0</w:t>
            </w:r>
          </w:p>
        </w:tc>
      </w:tr>
      <w:tr w:rsidR="00E46639" w:rsidRPr="0028033B" w14:paraId="2EC06C14" w14:textId="77777777" w:rsidTr="00F16E23">
        <w:trPr>
          <w:cantSplit/>
        </w:trPr>
        <w:tc>
          <w:tcPr>
            <w:tcW w:w="1531" w:type="dxa"/>
            <w:vAlign w:val="bottom"/>
          </w:tcPr>
          <w:p w14:paraId="54208124" w14:textId="77777777" w:rsidR="00E46639" w:rsidRPr="0028033B" w:rsidRDefault="00E46639" w:rsidP="00F16E23">
            <w:pPr>
              <w:pStyle w:val="TableText"/>
              <w:spacing w:before="40" w:after="40"/>
              <w:rPr>
                <w:rFonts w:cs="Calibri"/>
                <w:szCs w:val="16"/>
              </w:rPr>
            </w:pPr>
            <w:r w:rsidRPr="0028033B">
              <w:rPr>
                <w:rFonts w:cs="Calibri"/>
                <w:szCs w:val="16"/>
              </w:rPr>
              <w:t>Llamas and alpacas</w:t>
            </w:r>
          </w:p>
        </w:tc>
        <w:tc>
          <w:tcPr>
            <w:tcW w:w="737" w:type="dxa"/>
            <w:vAlign w:val="bottom"/>
          </w:tcPr>
          <w:p w14:paraId="7E071F36"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629" w:type="dxa"/>
          </w:tcPr>
          <w:p w14:paraId="7245525A"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668" w:type="dxa"/>
            <w:vAlign w:val="bottom"/>
          </w:tcPr>
          <w:p w14:paraId="68752AB9" w14:textId="77777777" w:rsidR="00E46639" w:rsidRPr="0028033B" w:rsidDel="00063FE1" w:rsidRDefault="00E46639" w:rsidP="00F16E23">
            <w:pPr>
              <w:pStyle w:val="TableText"/>
              <w:spacing w:before="40" w:after="40"/>
              <w:jc w:val="right"/>
              <w:rPr>
                <w:rFonts w:cs="Calibri"/>
                <w:szCs w:val="16"/>
              </w:rPr>
            </w:pPr>
            <w:r w:rsidRPr="0028033B">
              <w:rPr>
                <w:rFonts w:cs="Calibri"/>
                <w:szCs w:val="16"/>
              </w:rPr>
              <w:t>0.0</w:t>
            </w:r>
          </w:p>
        </w:tc>
        <w:tc>
          <w:tcPr>
            <w:tcW w:w="612" w:type="dxa"/>
            <w:vAlign w:val="bottom"/>
          </w:tcPr>
          <w:p w14:paraId="71F4E7ED"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654" w:type="dxa"/>
            <w:vAlign w:val="bottom"/>
          </w:tcPr>
          <w:p w14:paraId="5B725E71"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1069" w:type="dxa"/>
            <w:vAlign w:val="bottom"/>
          </w:tcPr>
          <w:p w14:paraId="4D9DEBE4" w14:textId="77777777" w:rsidR="00E46639" w:rsidRPr="0028033B" w:rsidRDefault="00E46639" w:rsidP="00F16E23">
            <w:pPr>
              <w:pStyle w:val="TableText"/>
              <w:spacing w:before="40" w:after="40"/>
              <w:jc w:val="right"/>
              <w:rPr>
                <w:rFonts w:cs="Calibri"/>
                <w:szCs w:val="16"/>
              </w:rPr>
            </w:pPr>
            <w:r w:rsidRPr="0028033B">
              <w:rPr>
                <w:rFonts w:cs="Calibri"/>
                <w:szCs w:val="16"/>
              </w:rPr>
              <w:t>100.0</w:t>
            </w:r>
          </w:p>
        </w:tc>
        <w:tc>
          <w:tcPr>
            <w:tcW w:w="908" w:type="dxa"/>
            <w:vAlign w:val="bottom"/>
          </w:tcPr>
          <w:p w14:paraId="3E6F77AC"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732" w:type="dxa"/>
            <w:vAlign w:val="bottom"/>
          </w:tcPr>
          <w:p w14:paraId="554EE643"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718" w:type="dxa"/>
            <w:vAlign w:val="bottom"/>
          </w:tcPr>
          <w:p w14:paraId="4EE47DF1"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r>
      <w:tr w:rsidR="00E46639" w:rsidRPr="0028033B" w14:paraId="7F508EC6" w14:textId="77777777" w:rsidTr="00F16E23">
        <w:trPr>
          <w:cantSplit/>
        </w:trPr>
        <w:tc>
          <w:tcPr>
            <w:tcW w:w="1531" w:type="dxa"/>
            <w:vAlign w:val="bottom"/>
          </w:tcPr>
          <w:p w14:paraId="26FF19D4" w14:textId="77777777" w:rsidR="00E46639" w:rsidRPr="0028033B" w:rsidRDefault="00E46639" w:rsidP="00F16E23">
            <w:pPr>
              <w:pStyle w:val="TableText"/>
              <w:spacing w:before="40" w:after="40"/>
              <w:rPr>
                <w:rFonts w:cs="Calibri"/>
                <w:szCs w:val="16"/>
              </w:rPr>
            </w:pPr>
            <w:r w:rsidRPr="0028033B">
              <w:rPr>
                <w:rFonts w:cs="Calibri"/>
                <w:szCs w:val="16"/>
              </w:rPr>
              <w:t>Mules and asses</w:t>
            </w:r>
          </w:p>
        </w:tc>
        <w:tc>
          <w:tcPr>
            <w:tcW w:w="737" w:type="dxa"/>
            <w:vAlign w:val="bottom"/>
          </w:tcPr>
          <w:p w14:paraId="238E9656"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629" w:type="dxa"/>
          </w:tcPr>
          <w:p w14:paraId="302A1D30"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668" w:type="dxa"/>
            <w:vAlign w:val="bottom"/>
          </w:tcPr>
          <w:p w14:paraId="5AAE79E7" w14:textId="77777777" w:rsidR="00E46639" w:rsidRPr="0028033B" w:rsidDel="00063FE1" w:rsidRDefault="00E46639" w:rsidP="00F16E23">
            <w:pPr>
              <w:pStyle w:val="TableText"/>
              <w:spacing w:before="40" w:after="40"/>
              <w:jc w:val="right"/>
              <w:rPr>
                <w:rFonts w:cs="Calibri"/>
                <w:szCs w:val="16"/>
              </w:rPr>
            </w:pPr>
            <w:r w:rsidRPr="0028033B">
              <w:rPr>
                <w:rFonts w:cs="Calibri"/>
                <w:szCs w:val="16"/>
              </w:rPr>
              <w:t>0.0</w:t>
            </w:r>
          </w:p>
        </w:tc>
        <w:tc>
          <w:tcPr>
            <w:tcW w:w="612" w:type="dxa"/>
            <w:vAlign w:val="bottom"/>
          </w:tcPr>
          <w:p w14:paraId="728766FC"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654" w:type="dxa"/>
            <w:vAlign w:val="bottom"/>
          </w:tcPr>
          <w:p w14:paraId="4F86CA1B"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1069" w:type="dxa"/>
            <w:vAlign w:val="bottom"/>
          </w:tcPr>
          <w:p w14:paraId="010451B1" w14:textId="77777777" w:rsidR="00E46639" w:rsidRPr="0028033B" w:rsidRDefault="00E46639" w:rsidP="00F16E23">
            <w:pPr>
              <w:pStyle w:val="TableText"/>
              <w:spacing w:before="40" w:after="40"/>
              <w:jc w:val="right"/>
              <w:rPr>
                <w:rFonts w:cs="Calibri"/>
                <w:szCs w:val="16"/>
              </w:rPr>
            </w:pPr>
            <w:r w:rsidRPr="0028033B">
              <w:rPr>
                <w:rFonts w:cs="Calibri"/>
                <w:szCs w:val="16"/>
              </w:rPr>
              <w:t>100.0</w:t>
            </w:r>
          </w:p>
        </w:tc>
        <w:tc>
          <w:tcPr>
            <w:tcW w:w="908" w:type="dxa"/>
            <w:vAlign w:val="bottom"/>
          </w:tcPr>
          <w:p w14:paraId="1DBEABA6"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732" w:type="dxa"/>
            <w:vAlign w:val="bottom"/>
          </w:tcPr>
          <w:p w14:paraId="36CBC990"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c>
          <w:tcPr>
            <w:tcW w:w="718" w:type="dxa"/>
            <w:vAlign w:val="bottom"/>
          </w:tcPr>
          <w:p w14:paraId="43005884" w14:textId="77777777" w:rsidR="00E46639" w:rsidRPr="0028033B" w:rsidRDefault="00E46639" w:rsidP="00F16E23">
            <w:pPr>
              <w:pStyle w:val="TableText"/>
              <w:spacing w:before="40" w:after="40"/>
              <w:jc w:val="right"/>
              <w:rPr>
                <w:rFonts w:cs="Calibri"/>
                <w:szCs w:val="16"/>
              </w:rPr>
            </w:pPr>
            <w:r w:rsidRPr="0028033B">
              <w:rPr>
                <w:rFonts w:cs="Calibri"/>
                <w:szCs w:val="16"/>
              </w:rPr>
              <w:t>0.0</w:t>
            </w:r>
          </w:p>
        </w:tc>
      </w:tr>
    </w:tbl>
    <w:p w14:paraId="5082456E" w14:textId="77777777" w:rsidR="00E46639" w:rsidRPr="0028033B" w:rsidRDefault="00E46639" w:rsidP="00E46639">
      <w:pPr>
        <w:pStyle w:val="Table"/>
        <w:spacing w:before="360"/>
        <w:rPr>
          <w:rFonts w:cs="Calibri"/>
        </w:rPr>
      </w:pPr>
      <w:bookmarkStart w:id="939" w:name="_Toc222407628"/>
      <w:bookmarkStart w:id="940" w:name="_Toc226669003"/>
      <w:bookmarkStart w:id="941" w:name="_Toc32570659"/>
      <w:r w:rsidRPr="0028033B">
        <w:rPr>
          <w:rFonts w:cs="Calibri"/>
        </w:rPr>
        <w:t>Table 5.3.3</w:t>
      </w:r>
      <w:r w:rsidRPr="0028033B">
        <w:rPr>
          <w:rFonts w:cs="Calibri"/>
        </w:rPr>
        <w:tab/>
        <w:t>Emission factors and parameter values for use of mitigation technologies</w:t>
      </w:r>
      <w:bookmarkEnd w:id="939"/>
      <w:bookmarkEnd w:id="940"/>
    </w:p>
    <w:tbl>
      <w:tblPr>
        <w:tblW w:w="8505"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5103"/>
        <w:gridCol w:w="1701"/>
        <w:gridCol w:w="1701"/>
      </w:tblGrid>
      <w:tr w:rsidR="00E46639" w:rsidRPr="0028033B" w14:paraId="6F794EE4" w14:textId="77777777" w:rsidTr="00F16E23">
        <w:trPr>
          <w:tblHeader/>
        </w:trPr>
        <w:tc>
          <w:tcPr>
            <w:tcW w:w="5103" w:type="dxa"/>
            <w:tcBorders>
              <w:top w:val="single" w:sz="4" w:space="0" w:color="1B556B" w:themeColor="text2"/>
              <w:bottom w:val="single" w:sz="4" w:space="0" w:color="1B556B" w:themeColor="text2"/>
            </w:tcBorders>
            <w:shd w:val="clear" w:color="auto" w:fill="1B556B"/>
            <w:vAlign w:val="bottom"/>
          </w:tcPr>
          <w:p w14:paraId="30AE5E69" w14:textId="77777777" w:rsidR="00E46639" w:rsidRPr="0028033B" w:rsidRDefault="00E46639" w:rsidP="00F16E23">
            <w:pPr>
              <w:pStyle w:val="TableTextBold"/>
              <w:keepNext/>
              <w:spacing w:before="40" w:after="40"/>
              <w:rPr>
                <w:noProof w:val="0"/>
                <w:color w:val="FFFFFF" w:themeColor="background1"/>
              </w:rPr>
            </w:pPr>
            <w:r w:rsidRPr="0028033B">
              <w:rPr>
                <w:noProof w:val="0"/>
                <w:color w:val="FFFFFF" w:themeColor="background1"/>
              </w:rPr>
              <w:t>Description</w:t>
            </w:r>
          </w:p>
        </w:tc>
        <w:tc>
          <w:tcPr>
            <w:tcW w:w="1701" w:type="dxa"/>
            <w:tcBorders>
              <w:top w:val="single" w:sz="4" w:space="0" w:color="1B556B" w:themeColor="text2"/>
              <w:bottom w:val="single" w:sz="4" w:space="0" w:color="1B556B" w:themeColor="text2"/>
            </w:tcBorders>
            <w:shd w:val="clear" w:color="auto" w:fill="1B556B"/>
            <w:vAlign w:val="bottom"/>
          </w:tcPr>
          <w:p w14:paraId="2C68A6A1" w14:textId="77777777" w:rsidR="00E46639" w:rsidRPr="0028033B" w:rsidRDefault="00E46639" w:rsidP="00F16E23">
            <w:pPr>
              <w:pStyle w:val="TableTextBold"/>
              <w:keepNext/>
              <w:spacing w:before="40" w:after="40"/>
              <w:jc w:val="center"/>
              <w:rPr>
                <w:noProof w:val="0"/>
                <w:color w:val="FFFFFF" w:themeColor="background1"/>
              </w:rPr>
            </w:pPr>
            <w:r w:rsidRPr="0028033B">
              <w:rPr>
                <w:noProof w:val="0"/>
                <w:color w:val="FFFFFF" w:themeColor="background1"/>
              </w:rPr>
              <w:t>Parameter value (%)</w:t>
            </w:r>
          </w:p>
        </w:tc>
        <w:tc>
          <w:tcPr>
            <w:tcW w:w="1701" w:type="dxa"/>
            <w:tcBorders>
              <w:top w:val="single" w:sz="4" w:space="0" w:color="1B556B" w:themeColor="text2"/>
              <w:bottom w:val="single" w:sz="4" w:space="0" w:color="1B556B" w:themeColor="text2"/>
            </w:tcBorders>
            <w:shd w:val="clear" w:color="auto" w:fill="1B556B"/>
            <w:vAlign w:val="bottom"/>
          </w:tcPr>
          <w:p w14:paraId="45CD4914" w14:textId="77777777" w:rsidR="00E46639" w:rsidRPr="0028033B" w:rsidRDefault="00E46639" w:rsidP="00F16E23">
            <w:pPr>
              <w:pStyle w:val="TableTextBold"/>
              <w:keepNext/>
              <w:spacing w:before="40" w:after="40"/>
              <w:rPr>
                <w:noProof w:val="0"/>
                <w:color w:val="FFFFFF" w:themeColor="background1"/>
              </w:rPr>
            </w:pPr>
            <w:r w:rsidRPr="0028033B">
              <w:rPr>
                <w:noProof w:val="0"/>
                <w:color w:val="FFFFFF" w:themeColor="background1"/>
              </w:rPr>
              <w:t>Source</w:t>
            </w:r>
          </w:p>
        </w:tc>
      </w:tr>
      <w:tr w:rsidR="00E46639" w:rsidRPr="0028033B" w14:paraId="7CE2A1B9" w14:textId="77777777" w:rsidTr="00F16E23">
        <w:tc>
          <w:tcPr>
            <w:tcW w:w="5103" w:type="dxa"/>
            <w:tcBorders>
              <w:top w:val="single" w:sz="4" w:space="0" w:color="1B556B" w:themeColor="text2"/>
            </w:tcBorders>
          </w:tcPr>
          <w:p w14:paraId="1BD47DBC" w14:textId="77777777" w:rsidR="00E46639" w:rsidRPr="0028033B" w:rsidRDefault="00E46639" w:rsidP="00F16E23">
            <w:pPr>
              <w:pStyle w:val="TableText"/>
              <w:spacing w:before="40" w:after="40"/>
              <w:rPr>
                <w:rFonts w:cs="Calibri"/>
              </w:rPr>
            </w:pPr>
            <w:r w:rsidRPr="0028033B">
              <w:rPr>
                <w:rFonts w:cs="Calibri"/>
              </w:rPr>
              <w:t>Efficacy of EcoPond™ technology at reducing methane emissions in a treated anaerobic lagoon.</w:t>
            </w:r>
          </w:p>
        </w:tc>
        <w:tc>
          <w:tcPr>
            <w:tcW w:w="1701" w:type="dxa"/>
            <w:tcBorders>
              <w:top w:val="single" w:sz="4" w:space="0" w:color="1B556B" w:themeColor="text2"/>
            </w:tcBorders>
          </w:tcPr>
          <w:p w14:paraId="41E86758" w14:textId="77777777" w:rsidR="00E46639" w:rsidRPr="0028033B" w:rsidRDefault="00E46639" w:rsidP="00F16E23">
            <w:pPr>
              <w:pStyle w:val="TableText"/>
              <w:spacing w:before="40" w:after="40"/>
              <w:jc w:val="center"/>
              <w:rPr>
                <w:rFonts w:cs="Calibri"/>
              </w:rPr>
            </w:pPr>
            <w:r w:rsidRPr="0028033B">
              <w:rPr>
                <w:rFonts w:cs="Calibri"/>
              </w:rPr>
              <w:t>92</w:t>
            </w:r>
          </w:p>
        </w:tc>
        <w:tc>
          <w:tcPr>
            <w:tcW w:w="1701" w:type="dxa"/>
            <w:tcBorders>
              <w:top w:val="single" w:sz="4" w:space="0" w:color="1B556B" w:themeColor="text2"/>
            </w:tcBorders>
          </w:tcPr>
          <w:p w14:paraId="0BD170D7" w14:textId="77777777" w:rsidR="00E46639" w:rsidRPr="0028033B" w:rsidRDefault="00E46639" w:rsidP="00F16E23">
            <w:pPr>
              <w:pStyle w:val="TableText"/>
              <w:spacing w:before="40" w:after="40"/>
              <w:rPr>
                <w:rFonts w:cs="Calibri"/>
              </w:rPr>
            </w:pPr>
            <w:r w:rsidRPr="0028033B">
              <w:t>Cameron and Di,</w:t>
            </w:r>
            <w:r w:rsidRPr="0028033B" w:rsidDel="00174C61">
              <w:t xml:space="preserve"> </w:t>
            </w:r>
            <w:r w:rsidRPr="0028033B">
              <w:t>2025</w:t>
            </w:r>
          </w:p>
        </w:tc>
      </w:tr>
    </w:tbl>
    <w:p w14:paraId="1D632A33" w14:textId="77777777" w:rsidR="00E46639" w:rsidRPr="0028033B" w:rsidRDefault="00E46639" w:rsidP="00E46639">
      <w:pPr>
        <w:pStyle w:val="Heading3"/>
        <w:spacing w:before="400"/>
      </w:pPr>
      <w:r w:rsidRPr="0028033B">
        <w:t>5.3.2</w:t>
      </w:r>
      <w:r w:rsidRPr="0028033B">
        <w:tab/>
        <w:t>Methodological issues</w:t>
      </w:r>
      <w:bookmarkEnd w:id="918"/>
      <w:bookmarkEnd w:id="941"/>
    </w:p>
    <w:p w14:paraId="0056A0E7" w14:textId="77777777" w:rsidR="00E46639" w:rsidRPr="0028033B" w:rsidRDefault="00E46639" w:rsidP="00E46639">
      <w:pPr>
        <w:pStyle w:val="Heading4"/>
      </w:pPr>
      <w:r w:rsidRPr="0028033B">
        <w:t xml:space="preserve">Methane from manure management systems (3.B.(a)) </w:t>
      </w:r>
    </w:p>
    <w:p w14:paraId="16675E24" w14:textId="77777777" w:rsidR="00E46639" w:rsidRPr="0028033B" w:rsidRDefault="00E46639" w:rsidP="00E46639">
      <w:pPr>
        <w:pStyle w:val="BodyText"/>
        <w:spacing w:before="100" w:after="100"/>
      </w:pPr>
      <w:r w:rsidRPr="0028033B">
        <w:t xml:space="preserve">New Zealand uses a Tier 2 approach to calculate </w:t>
      </w:r>
      <w:r w:rsidRPr="0028033B">
        <w:rPr>
          <w:rFonts w:cs="Calibri"/>
        </w:rPr>
        <w:t>CH</w:t>
      </w:r>
      <w:r w:rsidRPr="0028033B">
        <w:rPr>
          <w:rFonts w:cs="Calibri"/>
          <w:vertAlign w:val="subscript"/>
        </w:rPr>
        <w:t>4</w:t>
      </w:r>
      <w:r w:rsidRPr="0028033B">
        <w:t xml:space="preserve"> emissions from ruminant animal wastes from the major livestock categories in </w:t>
      </w:r>
      <w:r w:rsidRPr="0028033B" w:rsidDel="00E04595">
        <w:t xml:space="preserve">New </w:t>
      </w:r>
      <w:r w:rsidRPr="0028033B">
        <w:t>Zealand (</w:t>
      </w:r>
      <w:r w:rsidRPr="0028033B">
        <w:rPr>
          <w:i/>
          <w:iCs/>
        </w:rPr>
        <w:t>Dairy cattle</w:t>
      </w:r>
      <w:r w:rsidRPr="0028033B">
        <w:t xml:space="preserve">, </w:t>
      </w:r>
      <w:r w:rsidRPr="0028033B">
        <w:rPr>
          <w:i/>
          <w:iCs/>
        </w:rPr>
        <w:t>Non-dairy cattle</w:t>
      </w:r>
      <w:r w:rsidRPr="0028033B">
        <w:t xml:space="preserve">, </w:t>
      </w:r>
      <w:r w:rsidRPr="0028033B">
        <w:rPr>
          <w:i/>
          <w:iCs/>
        </w:rPr>
        <w:t>Sheep</w:t>
      </w:r>
      <w:r w:rsidRPr="0028033B">
        <w:t xml:space="preserve"> and </w:t>
      </w:r>
      <w:r w:rsidRPr="0028033B">
        <w:rPr>
          <w:i/>
          <w:iCs/>
        </w:rPr>
        <w:t>Deer</w:t>
      </w:r>
      <w:r w:rsidRPr="0028033B">
        <w:t>). This approach is based on the methods recommended by (Saggar et al</w:t>
      </w:r>
      <w:r w:rsidRPr="0028033B">
        <w:rPr>
          <w:spacing w:val="-2"/>
        </w:rPr>
        <w:t xml:space="preserve">., </w:t>
      </w:r>
      <w:r w:rsidRPr="0028033B">
        <w:t>2003) and is consistent with the 2006 IPCC Guidelines (IPCC, 2006).</w:t>
      </w:r>
    </w:p>
    <w:p w14:paraId="1693429B" w14:textId="77777777" w:rsidR="00E46639" w:rsidRPr="0028033B" w:rsidRDefault="00E46639" w:rsidP="00E46639">
      <w:pPr>
        <w:pStyle w:val="BodyText"/>
        <w:spacing w:before="100" w:after="100"/>
        <w:ind w:right="-57"/>
        <w:rPr>
          <w:rFonts w:cs="Calibri"/>
        </w:rPr>
      </w:pPr>
      <w:r w:rsidRPr="0028033B">
        <w:rPr>
          <w:rFonts w:cs="Calibri"/>
        </w:rPr>
        <w:t xml:space="preserve">Because </w:t>
      </w:r>
      <w:r w:rsidRPr="0028033B" w:rsidDel="009F642B">
        <w:t xml:space="preserve">New </w:t>
      </w:r>
      <w:r w:rsidRPr="0028033B">
        <w:t>Zealand</w:t>
      </w:r>
      <w:r w:rsidRPr="0028033B">
        <w:rPr>
          <w:rFonts w:cs="Calibri"/>
        </w:rPr>
        <w:t xml:space="preserve"> has detailed information on the dairy cattle population and its characteristics (such as feed intake), the IPCC (2006) Tier 2 methodology for dairy anaerobic lagoons and solid storage is used. </w:t>
      </w:r>
      <w:r w:rsidRPr="0028033B" w:rsidDel="009F642B">
        <w:t xml:space="preserve">New </w:t>
      </w:r>
      <w:r w:rsidRPr="0028033B">
        <w:t>Zealand</w:t>
      </w:r>
      <w:r w:rsidRPr="0028033B">
        <w:rPr>
          <w:rFonts w:cs="Calibri"/>
        </w:rPr>
        <w:t xml:space="preserve"> uses a Tier 1 methodology with country-specific and IPCC (2006) default emission factors for estimating emissions from the various manure management systems for minor livestock categories.</w:t>
      </w:r>
    </w:p>
    <w:p w14:paraId="2A6EE6A5" w14:textId="77777777" w:rsidR="00E46639" w:rsidRPr="0028033B" w:rsidRDefault="00E46639" w:rsidP="00E46639">
      <w:pPr>
        <w:pStyle w:val="Heading5"/>
      </w:pPr>
      <w:bookmarkStart w:id="942" w:name="_Toc139264110"/>
      <w:r w:rsidRPr="0028033B">
        <w:t xml:space="preserve">Manure methane </w:t>
      </w:r>
      <w:bookmarkEnd w:id="942"/>
      <w:r w:rsidRPr="0028033B">
        <w:t xml:space="preserve">from the major livestock categories </w:t>
      </w:r>
    </w:p>
    <w:p w14:paraId="7B9305A9" w14:textId="77777777" w:rsidR="00E46639" w:rsidRPr="0028033B" w:rsidRDefault="00E46639" w:rsidP="00E46639">
      <w:pPr>
        <w:pStyle w:val="BodyText"/>
        <w:keepNext/>
        <w:spacing w:after="100"/>
        <w:rPr>
          <w:rFonts w:cs="Calibri"/>
          <w:spacing w:val="-2"/>
        </w:rPr>
      </w:pPr>
      <w:r w:rsidRPr="0028033B">
        <w:rPr>
          <w:rFonts w:cs="Calibri"/>
          <w:spacing w:val="-2"/>
        </w:rPr>
        <w:t>The approach for calculating manure CH</w:t>
      </w:r>
      <w:r w:rsidRPr="0028033B">
        <w:rPr>
          <w:rFonts w:cs="Calibri"/>
          <w:spacing w:val="-2"/>
          <w:vertAlign w:val="subscript"/>
        </w:rPr>
        <w:t>4</w:t>
      </w:r>
      <w:r w:rsidRPr="0028033B">
        <w:rPr>
          <w:rFonts w:cs="Calibri"/>
          <w:spacing w:val="-2"/>
        </w:rPr>
        <w:t xml:space="preserve"> emissions from the major livestock categories relies on: </w:t>
      </w:r>
    </w:p>
    <w:p w14:paraId="524D1FE0" w14:textId="3A07E9B2" w:rsidR="00E46639" w:rsidRPr="0028033B" w:rsidRDefault="00AE37ED" w:rsidP="00AE37ED">
      <w:pPr>
        <w:pStyle w:val="Numberedparagraph"/>
        <w:numPr>
          <w:ilvl w:val="0"/>
          <w:numId w:val="0"/>
        </w:numPr>
        <w:ind w:left="397" w:hanging="397"/>
      </w:pPr>
      <w:r>
        <w:t>1.</w:t>
      </w:r>
      <w:r>
        <w:tab/>
      </w:r>
      <w:r w:rsidR="00E46639" w:rsidRPr="0028033B">
        <w:t>an estimation of the total quantity of faecal material produced, split into dung and urine</w:t>
      </w:r>
    </w:p>
    <w:p w14:paraId="73CCBB66" w14:textId="1E2768D3" w:rsidR="00E46639" w:rsidRPr="0028033B" w:rsidRDefault="00AE37ED" w:rsidP="00AE37ED">
      <w:pPr>
        <w:pStyle w:val="Numberedparagraph"/>
        <w:numPr>
          <w:ilvl w:val="0"/>
          <w:numId w:val="0"/>
        </w:numPr>
        <w:ind w:left="397" w:hanging="397"/>
      </w:pPr>
      <w:r>
        <w:t>2.</w:t>
      </w:r>
      <w:r>
        <w:tab/>
      </w:r>
      <w:r w:rsidR="00E46639" w:rsidRPr="0028033B">
        <w:t>allocating the faecal material to the appropriate manure management system based on the distributions in table 5.3.2</w:t>
      </w:r>
    </w:p>
    <w:p w14:paraId="103E2EE5" w14:textId="5A39DA04" w:rsidR="00E46639" w:rsidRPr="0028033B" w:rsidRDefault="00AE37ED" w:rsidP="00AE37ED">
      <w:pPr>
        <w:pStyle w:val="Numberedparagraph"/>
        <w:numPr>
          <w:ilvl w:val="0"/>
          <w:numId w:val="0"/>
        </w:numPr>
        <w:ind w:left="397" w:hanging="397"/>
      </w:pPr>
      <w:r>
        <w:t>3.</w:t>
      </w:r>
      <w:r>
        <w:tab/>
      </w:r>
      <w:r w:rsidR="00E46639" w:rsidRPr="0028033B" w:rsidDel="00D8678E">
        <w:t xml:space="preserve">New </w:t>
      </w:r>
      <w:r w:rsidR="00E46639" w:rsidRPr="0028033B">
        <w:t>Zealand-specific emission factors for the quantity of CH</w:t>
      </w:r>
      <w:r w:rsidR="00E46639" w:rsidRPr="0028033B">
        <w:rPr>
          <w:vertAlign w:val="subscript"/>
        </w:rPr>
        <w:t>4</w:t>
      </w:r>
      <w:r w:rsidR="00E46639" w:rsidRPr="0028033B">
        <w:t xml:space="preserve"> produced per unit of faecal dry-matter (FDM) output.</w:t>
      </w:r>
    </w:p>
    <w:p w14:paraId="3C99BDF7" w14:textId="77777777" w:rsidR="00E46639" w:rsidRPr="0028033B" w:rsidRDefault="00E46639" w:rsidP="00E46639">
      <w:pPr>
        <w:pStyle w:val="BodyText"/>
        <w:keepNext/>
        <w:rPr>
          <w:rFonts w:cs="Calibri"/>
        </w:rPr>
      </w:pPr>
      <w:r w:rsidRPr="0028033B">
        <w:rPr>
          <w:rFonts w:cs="Calibri"/>
        </w:rPr>
        <w:t>The following equation is used to determine the monthly FDM output for each livestock category (</w:t>
      </w:r>
      <w:r w:rsidRPr="0028033B">
        <w:rPr>
          <w:rFonts w:cs="Calibri"/>
          <w:i/>
          <w:iCs/>
        </w:rPr>
        <w:t>Dairy cattle</w:t>
      </w:r>
      <w:r w:rsidRPr="0028033B">
        <w:rPr>
          <w:rFonts w:cs="Calibri"/>
        </w:rPr>
        <w:t xml:space="preserve">, </w:t>
      </w:r>
      <w:r w:rsidRPr="0028033B">
        <w:rPr>
          <w:rFonts w:cs="Calibri"/>
          <w:i/>
          <w:iCs/>
        </w:rPr>
        <w:t>Non-dairy cattle</w:t>
      </w:r>
      <w:r w:rsidRPr="0028033B">
        <w:rPr>
          <w:rFonts w:cs="Calibri"/>
        </w:rPr>
        <w:t xml:space="preserve">, </w:t>
      </w:r>
      <w:r w:rsidRPr="0028033B">
        <w:rPr>
          <w:rFonts w:cs="Calibri"/>
          <w:i/>
          <w:iCs/>
        </w:rPr>
        <w:t>Sheep</w:t>
      </w:r>
      <w:r w:rsidRPr="0028033B">
        <w:rPr>
          <w:rFonts w:cs="Calibri"/>
        </w:rPr>
        <w:t xml:space="preserve"> and </w:t>
      </w:r>
      <w:r w:rsidRPr="0028033B">
        <w:rPr>
          <w:rFonts w:cs="Calibri"/>
          <w:i/>
          <w:iCs/>
        </w:rPr>
        <w:t>Deer</w:t>
      </w:r>
      <w:r w:rsidRPr="0028033B">
        <w:rPr>
          <w:rFonts w:cs="Calibri"/>
        </w:rPr>
        <w:t>):</w:t>
      </w:r>
    </w:p>
    <w:p w14:paraId="71197E1A" w14:textId="77777777" w:rsidR="00E46639" w:rsidRPr="0028033B" w:rsidRDefault="00E46639" w:rsidP="00E46639">
      <w:pPr>
        <w:spacing w:before="80" w:after="120"/>
        <w:jc w:val="center"/>
        <w:rPr>
          <w:rFonts w:ascii="Cambria Math" w:hAnsi="Cambria Math"/>
          <w:i/>
          <w:sz w:val="24"/>
        </w:rPr>
      </w:pPr>
      <w:r w:rsidRPr="0028033B">
        <w:rPr>
          <w:rFonts w:ascii="Cambria Math" w:hAnsi="Cambria Math"/>
          <w:i/>
          <w:sz w:val="24"/>
        </w:rPr>
        <w:t>FDM = DMI × (1 – DMD)</w:t>
      </w:r>
    </w:p>
    <w:p w14:paraId="7A078F52" w14:textId="77777777" w:rsidR="00E46639" w:rsidRPr="0028033B" w:rsidRDefault="00E46639" w:rsidP="00E46639">
      <w:pPr>
        <w:pStyle w:val="BodyText"/>
        <w:spacing w:before="60" w:after="40"/>
        <w:ind w:left="964" w:hanging="964"/>
      </w:pPr>
      <w:r w:rsidRPr="0028033B">
        <w:t xml:space="preserve">Where: </w:t>
      </w:r>
      <w:r w:rsidRPr="0028033B">
        <w:tab/>
        <w:t>FDM is faecal dry matter (kg/month/head)</w:t>
      </w:r>
    </w:p>
    <w:p w14:paraId="0F1241F1" w14:textId="77777777" w:rsidR="00E46639" w:rsidRPr="0028033B" w:rsidRDefault="00E46639" w:rsidP="00E46639">
      <w:pPr>
        <w:pStyle w:val="BodyText"/>
        <w:spacing w:before="30" w:after="40"/>
        <w:ind w:left="964" w:hanging="964"/>
      </w:pPr>
      <w:r w:rsidRPr="0028033B">
        <w:tab/>
        <w:t>DMI is dry-matter intake (kg/month/head), and</w:t>
      </w:r>
    </w:p>
    <w:p w14:paraId="4A78657C" w14:textId="77777777" w:rsidR="00E46639" w:rsidRPr="0028033B" w:rsidRDefault="00E46639" w:rsidP="00E46639">
      <w:pPr>
        <w:pStyle w:val="BodyText"/>
        <w:spacing w:before="30"/>
        <w:ind w:left="964" w:hanging="964"/>
      </w:pPr>
      <w:r w:rsidRPr="0028033B">
        <w:tab/>
        <w:t>DMD is dry-matter digestibility (decimal proportion).</w:t>
      </w:r>
    </w:p>
    <w:p w14:paraId="07DA22F6" w14:textId="77777777" w:rsidR="00E46639" w:rsidRPr="0028033B" w:rsidRDefault="00E46639" w:rsidP="00E46639">
      <w:pPr>
        <w:pStyle w:val="BodyText"/>
        <w:spacing w:before="80"/>
        <w:rPr>
          <w:rFonts w:cs="Calibri"/>
        </w:rPr>
      </w:pPr>
      <w:r w:rsidRPr="0028033B">
        <w:rPr>
          <w:rFonts w:cs="Calibri"/>
        </w:rPr>
        <w:t>The DMI and dry-matter digestibility estimates in this calculation are the same as those used to calculate CH</w:t>
      </w:r>
      <w:r w:rsidRPr="0028033B">
        <w:rPr>
          <w:rFonts w:cs="Calibri"/>
          <w:vertAlign w:val="subscript"/>
        </w:rPr>
        <w:t>4</w:t>
      </w:r>
      <w:r w:rsidRPr="0028033B">
        <w:rPr>
          <w:rFonts w:cs="Calibri"/>
        </w:rPr>
        <w:t xml:space="preserve"> from </w:t>
      </w:r>
      <w:r w:rsidRPr="0028033B">
        <w:rPr>
          <w:rFonts w:cs="Calibri"/>
          <w:i/>
          <w:iCs/>
        </w:rPr>
        <w:t>Enteric</w:t>
      </w:r>
      <w:r w:rsidRPr="0028033B">
        <w:rPr>
          <w:i/>
        </w:rPr>
        <w:t xml:space="preserve"> fermentation</w:t>
      </w:r>
      <w:r w:rsidRPr="0028033B">
        <w:rPr>
          <w:rFonts w:cs="Calibri"/>
        </w:rPr>
        <w:t xml:space="preserve"> </w:t>
      </w:r>
      <w:r w:rsidRPr="0028033B">
        <w:rPr>
          <w:rFonts w:cs="Calibri"/>
          <w:spacing w:val="-2"/>
        </w:rPr>
        <w:t xml:space="preserve">and </w:t>
      </w:r>
      <w:r w:rsidRPr="0028033B">
        <w:rPr>
          <w:rFonts w:cs="Calibri"/>
        </w:rPr>
        <w:t>nitrogen</w:t>
      </w:r>
      <w:r w:rsidRPr="0028033B">
        <w:rPr>
          <w:rFonts w:cs="Calibri"/>
          <w:spacing w:val="-2"/>
        </w:rPr>
        <w:t xml:space="preserve"> in excreta.</w:t>
      </w:r>
      <w:r w:rsidRPr="0028033B">
        <w:rPr>
          <w:rFonts w:cs="Calibri"/>
        </w:rPr>
        <w:t xml:space="preserve"> These Tier 2 model calculations are based on livestock performance statistics (see section 5.1.4). </w:t>
      </w:r>
    </w:p>
    <w:p w14:paraId="567BF3D5" w14:textId="77777777" w:rsidR="00E46639" w:rsidRPr="0028033B" w:rsidRDefault="00E46639" w:rsidP="00E46639">
      <w:pPr>
        <w:pStyle w:val="Heading5"/>
      </w:pPr>
      <w:r w:rsidRPr="0028033B">
        <w:t xml:space="preserve">Methane from dairy effluent anaerobic lagoons </w:t>
      </w:r>
    </w:p>
    <w:p w14:paraId="6C46229E" w14:textId="77777777" w:rsidR="00E46639" w:rsidRPr="0028033B" w:rsidRDefault="00E46639" w:rsidP="00E46639">
      <w:pPr>
        <w:pStyle w:val="BodyText"/>
        <w:spacing w:before="100" w:after="60"/>
        <w:rPr>
          <w:rFonts w:cs="Calibri"/>
        </w:rPr>
      </w:pPr>
      <w:r w:rsidRPr="0028033B">
        <w:rPr>
          <w:rFonts w:cs="Calibri"/>
        </w:rPr>
        <w:t>Each year, a proportion of manure from dairy cows is stored in anaerobic lagoons (Luo et al., unpublished(a)). A Tier 2 methodology derived from the 2006 IPCC Guidelines (equations 10.23 and 10.24, IPCC, 2006) linking volatile solids to FDM is used for calculating CH</w:t>
      </w:r>
      <w:r w:rsidRPr="0028033B">
        <w:rPr>
          <w:rFonts w:cs="Calibri"/>
          <w:vertAlign w:val="subscript"/>
        </w:rPr>
        <w:t>4</w:t>
      </w:r>
      <w:r w:rsidRPr="0028033B">
        <w:rPr>
          <w:rFonts w:cs="Calibri"/>
        </w:rPr>
        <w:t xml:space="preserve"> emissions from this activity.</w:t>
      </w:r>
    </w:p>
    <w:p w14:paraId="59AB0B59" w14:textId="77777777" w:rsidR="00E46639" w:rsidRPr="0028033B" w:rsidRDefault="00E46639" w:rsidP="00E46639">
      <w:pPr>
        <w:pStyle w:val="Heading5"/>
      </w:pPr>
      <w:r w:rsidRPr="0028033B">
        <w:t xml:space="preserve">EcoPond™ </w:t>
      </w:r>
    </w:p>
    <w:p w14:paraId="11DF2A3B" w14:textId="77777777" w:rsidR="00E46639" w:rsidRPr="0028033B" w:rsidRDefault="00E46639" w:rsidP="00E46639">
      <w:pPr>
        <w:pStyle w:val="BodyText"/>
      </w:pPr>
      <w:r w:rsidRPr="00083746">
        <w:rPr>
          <w:spacing w:val="-2"/>
        </w:rPr>
        <w:t>The CH</w:t>
      </w:r>
      <w:r w:rsidRPr="00083746">
        <w:rPr>
          <w:spacing w:val="-2"/>
          <w:vertAlign w:val="subscript"/>
        </w:rPr>
        <w:t xml:space="preserve">4 </w:t>
      </w:r>
      <w:r w:rsidRPr="00083746">
        <w:rPr>
          <w:spacing w:val="-2"/>
        </w:rPr>
        <w:t xml:space="preserve">emissions reported in the </w:t>
      </w:r>
      <w:r w:rsidRPr="00083746">
        <w:rPr>
          <w:i/>
          <w:iCs/>
          <w:spacing w:val="-2"/>
        </w:rPr>
        <w:t>Manure management</w:t>
      </w:r>
      <w:r w:rsidRPr="00083746">
        <w:rPr>
          <w:spacing w:val="-2"/>
        </w:rPr>
        <w:t xml:space="preserve"> category consider the use of EcoPond™,</w:t>
      </w:r>
      <w:r w:rsidRPr="0028033B">
        <w:t xml:space="preserve"> a greenhouse gas mitigation technology.</w:t>
      </w:r>
      <w:r>
        <w:t xml:space="preserve"> </w:t>
      </w:r>
      <w:r w:rsidRPr="0028033B">
        <w:t>EcoPond™ is a technology designed to reduce CH</w:t>
      </w:r>
      <w:r w:rsidRPr="0028033B">
        <w:rPr>
          <w:vertAlign w:val="subscript"/>
        </w:rPr>
        <w:t>4</w:t>
      </w:r>
      <w:r w:rsidRPr="0028033B">
        <w:t xml:space="preserve"> emissions from anaerobic lagoons. EcoPond™ uses a combination treatment of PFS and SA to suppress methanogens and promote sulphate-reducing bacteria.</w:t>
      </w:r>
      <w:r>
        <w:t xml:space="preserve"> </w:t>
      </w:r>
    </w:p>
    <w:p w14:paraId="3963C531" w14:textId="77777777" w:rsidR="00E46639" w:rsidRPr="0028033B" w:rsidRDefault="00E46639" w:rsidP="00E46639">
      <w:pPr>
        <w:pStyle w:val="BodyText"/>
      </w:pPr>
      <w:r w:rsidRPr="0028033B">
        <w:t>The</w:t>
      </w:r>
      <w:r w:rsidRPr="0028033B" w:rsidDel="00940ED6">
        <w:t xml:space="preserve"> </w:t>
      </w:r>
      <w:r w:rsidRPr="0028033B">
        <w:t>core technology for EcoPond™ was developed by Lincoln University scientists. Research by Lincoln University testing the efficacy of this technology has been published in a peer reviewed scientific journal (Cameron and Di, 2021) and in unpublished reports to MPI (</w:t>
      </w:r>
      <w:bookmarkStart w:id="943" w:name="OLE_LINK1"/>
      <w:r w:rsidRPr="0028033B" w:rsidDel="00DB7DDA">
        <w:t>Cameron and Di</w:t>
      </w:r>
      <w:bookmarkEnd w:id="943"/>
      <w:r w:rsidRPr="0028033B">
        <w:t>,</w:t>
      </w:r>
      <w:r w:rsidRPr="0028033B" w:rsidDel="007036F0">
        <w:t xml:space="preserve"> </w:t>
      </w:r>
      <w:r w:rsidRPr="0028033B">
        <w:t xml:space="preserve">unpublished; Clough et al., unpublished). </w:t>
      </w:r>
    </w:p>
    <w:p w14:paraId="4390C5A3" w14:textId="77777777" w:rsidR="00E46639" w:rsidRPr="0028033B" w:rsidRDefault="00E46639" w:rsidP="00E46639">
      <w:pPr>
        <w:pStyle w:val="BodyText"/>
      </w:pPr>
      <w:r w:rsidRPr="0028033B">
        <w:t>EcoPond™ uses regular truck-based treatments that do not require significant on-farm infrastructure. The treatment ensures the target redox value is achieved throughout the lagoon. There is no need to treat the fresh effluent entering the anaerobic lagoon because the methanogens in the anaerobic lagoon have been deactivated. This method is referred to as shock dosing.</w:t>
      </w:r>
    </w:p>
    <w:p w14:paraId="23FADA14" w14:textId="77777777" w:rsidR="00E46639" w:rsidRPr="0028033B" w:rsidRDefault="00E46639" w:rsidP="00E46639">
      <w:pPr>
        <w:pStyle w:val="BodyText"/>
      </w:pPr>
      <w:r w:rsidRPr="0028033B">
        <w:t>EcoPond™ mitigation is included in New Zealand’s Agriculture inventory model by adjusting the value of the existing CH</w:t>
      </w:r>
      <w:r w:rsidRPr="0028033B">
        <w:rPr>
          <w:vertAlign w:val="subscript"/>
        </w:rPr>
        <w:t>4</w:t>
      </w:r>
      <w:r w:rsidRPr="0028033B">
        <w:t xml:space="preserve"> emissions from anaerobic lagoons. Cameron and Di</w:t>
      </w:r>
      <w:r w:rsidRPr="0028033B" w:rsidDel="004077B6">
        <w:t xml:space="preserve"> </w:t>
      </w:r>
      <w:r w:rsidRPr="0028033B">
        <w:t>(unpublished) and Clough et al. (unpublished) assessed the mitigating effect of EcoPond™. Cameron and Di (unpublished) showed that the CH</w:t>
      </w:r>
      <w:r w:rsidRPr="0028033B">
        <w:rPr>
          <w:vertAlign w:val="subscript"/>
        </w:rPr>
        <w:t>4</w:t>
      </w:r>
      <w:r w:rsidRPr="0028033B">
        <w:t xml:space="preserve"> emissions from an anaerobic lagoon could be reduced by 92 percent when treated using EcoPond™. This finding was based on trials conducted in a full-scale anaerobic lagoon using the same treatment methodology as will be used commercially. Cameron</w:t>
      </w:r>
      <w:r w:rsidRPr="0028033B" w:rsidDel="00915672">
        <w:t xml:space="preserve"> </w:t>
      </w:r>
      <w:r w:rsidRPr="0028033B">
        <w:t>and Di</w:t>
      </w:r>
      <w:r w:rsidRPr="0028033B" w:rsidDel="003718FE">
        <w:t xml:space="preserve"> </w:t>
      </w:r>
      <w:r w:rsidRPr="0028033B">
        <w:t>(unpublished) showed EcoPond™ was effective at reducing CH</w:t>
      </w:r>
      <w:r w:rsidRPr="0028033B">
        <w:rPr>
          <w:vertAlign w:val="subscript"/>
        </w:rPr>
        <w:t>4</w:t>
      </w:r>
      <w:r w:rsidRPr="0028033B">
        <w:t xml:space="preserve"> emissions for a minimum of six weeks. </w:t>
      </w:r>
    </w:p>
    <w:p w14:paraId="698CFF44" w14:textId="77777777" w:rsidR="00E46639" w:rsidRPr="0028033B" w:rsidRDefault="00E46639" w:rsidP="00E46639">
      <w:pPr>
        <w:pStyle w:val="BodyText"/>
        <w:spacing w:before="0"/>
        <w:rPr>
          <w:rFonts w:asciiTheme="minorHAnsi" w:hAnsiTheme="minorHAnsi" w:cstheme="minorHAnsi"/>
        </w:rPr>
      </w:pPr>
      <w:r w:rsidRPr="0028033B">
        <w:rPr>
          <w:rFonts w:asciiTheme="minorHAnsi" w:hAnsiTheme="minorHAnsi" w:cstheme="minorHAnsi"/>
        </w:rPr>
        <w:t>The following equation is used to determine CH</w:t>
      </w:r>
      <w:r w:rsidRPr="0028033B">
        <w:rPr>
          <w:rFonts w:asciiTheme="minorHAnsi" w:hAnsiTheme="minorHAnsi" w:cstheme="minorHAnsi"/>
          <w:vertAlign w:val="subscript"/>
        </w:rPr>
        <w:t>4</w:t>
      </w:r>
      <w:r w:rsidRPr="0028033B">
        <w:rPr>
          <w:rFonts w:asciiTheme="minorHAnsi" w:hAnsiTheme="minorHAnsi" w:cstheme="minorHAnsi"/>
        </w:rPr>
        <w:t xml:space="preserve"> emissions (CH</w:t>
      </w:r>
      <w:r w:rsidRPr="0028033B">
        <w:rPr>
          <w:rFonts w:asciiTheme="minorHAnsi" w:hAnsiTheme="minorHAnsi" w:cstheme="minorHAnsi"/>
          <w:vertAlign w:val="subscript"/>
        </w:rPr>
        <w:t>4-MM</w:t>
      </w:r>
      <w:r w:rsidRPr="0028033B">
        <w:rPr>
          <w:rFonts w:asciiTheme="minorHAnsi" w:hAnsiTheme="minorHAnsi" w:cstheme="minorHAnsi"/>
        </w:rPr>
        <w:t xml:space="preserve">) from dairy cattle manure in anaerobic lagoons: </w:t>
      </w:r>
    </w:p>
    <w:p w14:paraId="6129B0EA" w14:textId="77777777" w:rsidR="00E46639" w:rsidRPr="0028033B" w:rsidRDefault="00000000" w:rsidP="00E46639">
      <w:pPr>
        <w:pStyle w:val="BodyText"/>
        <w:spacing w:before="80"/>
      </w:pPr>
      <m:oMathPara>
        <m:oMathParaPr>
          <m:jc m:val="center"/>
        </m:oMathParaPr>
        <m:oMath>
          <m:sSub>
            <m:sSubPr>
              <m:ctrlPr>
                <w:rPr>
                  <w:rFonts w:ascii="Cambria Math" w:hAnsi="Cambria Math"/>
                </w:rPr>
              </m:ctrlPr>
            </m:sSubPr>
            <m:e>
              <m:r>
                <w:rPr>
                  <w:rFonts w:ascii="Cambria Math" w:hAnsi="Cambria Math"/>
                </w:rPr>
                <m:t>CH</m:t>
              </m:r>
            </m:e>
            <m:sub>
              <m:r>
                <m:rPr>
                  <m:sty m:val="p"/>
                </m:rPr>
                <w:rPr>
                  <w:rFonts w:ascii="Cambria Math" w:hAnsi="Cambria Math"/>
                </w:rPr>
                <m:t>4</m:t>
              </m:r>
              <m:r>
                <w:rPr>
                  <w:rFonts w:ascii="Cambria Math" w:hAnsi="Cambria Math"/>
                </w:rPr>
                <m:t>AL</m:t>
              </m:r>
              <m:r>
                <m:rPr>
                  <m:sty m:val="p"/>
                </m:rPr>
                <w:rPr>
                  <w:rFonts w:ascii="Cambria Math" w:hAnsi="Cambria Math"/>
                </w:rPr>
                <m:t>-</m:t>
              </m:r>
              <m:r>
                <w:rPr>
                  <w:rFonts w:ascii="Cambria Math" w:hAnsi="Cambria Math"/>
                </w:rPr>
                <m:t>dairy</m:t>
              </m:r>
            </m:sub>
          </m:sSub>
          <m:r>
            <m:rPr>
              <m:sty m:val="p"/>
            </m:rPr>
            <w:rPr>
              <w:rFonts w:ascii="Cambria Math" w:hAnsi="Cambria Math"/>
            </w:rPr>
            <m:t xml:space="preserve">= </m:t>
          </m:r>
          <m:r>
            <w:rPr>
              <w:rFonts w:ascii="Cambria Math" w:hAnsi="Cambria Math"/>
            </w:rPr>
            <m:t>FDM</m:t>
          </m:r>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ASH</m:t>
              </m:r>
            </m:e>
          </m:d>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×0.67×</m:t>
          </m:r>
          <m:r>
            <w:rPr>
              <w:rFonts w:ascii="Cambria Math" w:hAnsi="Cambria Math"/>
            </w:rPr>
            <m:t>MCF</m:t>
          </m:r>
          <m:r>
            <m:rPr>
              <m:sty m:val="p"/>
            </m:rPr>
            <w:rPr>
              <w:rFonts w:ascii="Cambria Math" w:hAnsi="Cambria Math"/>
            </w:rPr>
            <m:t>×</m:t>
          </m:r>
          <m:r>
            <w:rPr>
              <w:rFonts w:ascii="Cambria Math" w:hAnsi="Cambria Math"/>
            </w:rPr>
            <m:t>MS ×(1-</m:t>
          </m:r>
          <m:sSub>
            <m:sSubPr>
              <m:ctrlPr>
                <w:rPr>
                  <w:rFonts w:ascii="Cambria Math" w:hAnsi="Cambria Math" w:cs="Arial"/>
                  <w:i/>
                </w:rPr>
              </m:ctrlPr>
            </m:sSubPr>
            <m:e>
              <m:r>
                <w:rPr>
                  <w:rFonts w:ascii="Cambria Math" w:hAnsi="Cambria Math" w:cs="Arial"/>
                </w:rPr>
                <m:t>EcoPond</m:t>
              </m:r>
            </m:e>
            <m:sub>
              <m:r>
                <w:rPr>
                  <w:rFonts w:ascii="Cambria Math" w:hAnsi="Cambria Math" w:cs="Arial"/>
                </w:rPr>
                <m:t>mitigation</m:t>
              </m:r>
            </m:sub>
          </m:sSub>
          <m:r>
            <w:rPr>
              <w:rFonts w:ascii="Cambria Math" w:hAnsi="Cambria Math" w:cs="Arial"/>
            </w:rPr>
            <m:t>)</m:t>
          </m:r>
        </m:oMath>
      </m:oMathPara>
    </w:p>
    <w:p w14:paraId="1774D95A" w14:textId="77777777" w:rsidR="00E46639" w:rsidRPr="0028033B" w:rsidRDefault="00E46639" w:rsidP="00E46639">
      <w:pPr>
        <w:pStyle w:val="BodyText"/>
        <w:spacing w:before="60" w:after="60"/>
        <w:ind w:left="964" w:hanging="964"/>
      </w:pPr>
      <w:r w:rsidRPr="0028033B">
        <w:t xml:space="preserve">Where: </w:t>
      </w:r>
      <w:r w:rsidRPr="0028033B">
        <w:tab/>
        <w:t>FDM is the faecal dry matter excreted by dairy cows (on pasture and stored) (kg/month/head)</w:t>
      </w:r>
    </w:p>
    <w:p w14:paraId="78C30B16" w14:textId="77777777" w:rsidR="00E46639" w:rsidRPr="0028033B" w:rsidRDefault="00E46639" w:rsidP="00E46639">
      <w:pPr>
        <w:pStyle w:val="BodyText"/>
        <w:spacing w:before="30" w:after="40"/>
        <w:ind w:left="964" w:hanging="964"/>
      </w:pPr>
      <w:r w:rsidRPr="0028033B">
        <w:tab/>
        <w:t>ASH is the ash content of manure, 0.08 (IPCC, 2006, default value)</w:t>
      </w:r>
    </w:p>
    <w:p w14:paraId="6D8D5070" w14:textId="77777777" w:rsidR="00E46639" w:rsidRPr="0028033B" w:rsidRDefault="00E46639" w:rsidP="00E46639">
      <w:pPr>
        <w:pStyle w:val="BodyText"/>
        <w:spacing w:before="30" w:after="40"/>
        <w:ind w:left="964" w:hanging="964"/>
      </w:pPr>
      <w:r w:rsidRPr="0028033B">
        <w:tab/>
        <w:t>B</w:t>
      </w:r>
      <w:r w:rsidRPr="0028033B">
        <w:rPr>
          <w:vertAlign w:val="subscript"/>
        </w:rPr>
        <w:t>0</w:t>
      </w:r>
      <w:r w:rsidRPr="0028033B">
        <w:t xml:space="preserve"> is the maximum CH</w:t>
      </w:r>
      <w:r w:rsidRPr="0028033B">
        <w:rPr>
          <w:vertAlign w:val="subscript"/>
        </w:rPr>
        <w:t>4</w:t>
      </w:r>
      <w:r w:rsidRPr="0028033B">
        <w:t>-producing capacity of manure variable by species and diet, 0.24 (IPCC, 2006; Oceania default value, verified by Pratt et al., 2012)</w:t>
      </w:r>
    </w:p>
    <w:p w14:paraId="6153C5DB" w14:textId="77777777" w:rsidR="00E46639" w:rsidRPr="0028033B" w:rsidRDefault="00E46639" w:rsidP="00E46639">
      <w:pPr>
        <w:pStyle w:val="BodyText"/>
        <w:spacing w:before="30" w:after="40"/>
        <w:ind w:left="964" w:hanging="964"/>
      </w:pPr>
      <w:r w:rsidRPr="0028033B">
        <w:tab/>
        <w:t>0.67 is the conversion factor for converting CH</w:t>
      </w:r>
      <w:r w:rsidRPr="0028033B">
        <w:rPr>
          <w:vertAlign w:val="subscript"/>
        </w:rPr>
        <w:t>4</w:t>
      </w:r>
      <w:r w:rsidRPr="0028033B">
        <w:t xml:space="preserve"> from cubic metres to kilograms (IPCC, 2006)</w:t>
      </w:r>
    </w:p>
    <w:p w14:paraId="65DA556C" w14:textId="77777777" w:rsidR="00E46639" w:rsidRPr="0028033B" w:rsidRDefault="00E46639" w:rsidP="00E46639">
      <w:pPr>
        <w:pStyle w:val="BodyText"/>
        <w:spacing w:before="30" w:after="40"/>
        <w:ind w:left="964" w:hanging="964"/>
      </w:pPr>
      <w:r w:rsidRPr="0028033B">
        <w:tab/>
        <w:t>MCF is the CH</w:t>
      </w:r>
      <w:r w:rsidRPr="0028033B">
        <w:rPr>
          <w:vertAlign w:val="subscript"/>
        </w:rPr>
        <w:t>4</w:t>
      </w:r>
      <w:r w:rsidRPr="0028033B">
        <w:t xml:space="preserve"> conversion factor, see table 5.3.5 for the regional MCF (IPCC, 2019, table 10.17)</w:t>
      </w:r>
    </w:p>
    <w:p w14:paraId="040BFB89" w14:textId="77777777" w:rsidR="00E46639" w:rsidRPr="0028033B" w:rsidRDefault="00E46639" w:rsidP="00E46639">
      <w:pPr>
        <w:pStyle w:val="BodyText"/>
        <w:spacing w:before="30" w:after="40"/>
        <w:ind w:left="964" w:hanging="964"/>
      </w:pPr>
      <w:r w:rsidRPr="0028033B">
        <w:tab/>
        <w:t>MS is the fraction of total dairy manure excreted that ends up in anaerobic lagoons</w:t>
      </w:r>
    </w:p>
    <w:p w14:paraId="5ABD6E71" w14:textId="77777777" w:rsidR="00E46639" w:rsidRPr="0028033B" w:rsidRDefault="00E46639" w:rsidP="00E46639">
      <w:pPr>
        <w:pStyle w:val="BodyText"/>
        <w:spacing w:before="30"/>
        <w:ind w:left="964" w:hanging="964"/>
      </w:pPr>
      <w:r w:rsidRPr="0028033B">
        <w:tab/>
        <w:t>EcoPond</w:t>
      </w:r>
      <w:r w:rsidRPr="0028033B">
        <w:rPr>
          <w:vertAlign w:val="subscript"/>
        </w:rPr>
        <w:t>mitigation</w:t>
      </w:r>
      <w:r w:rsidRPr="0028033B">
        <w:t xml:space="preserve"> is </w:t>
      </w:r>
      <w:r w:rsidRPr="0028033B">
        <w:rPr>
          <w:rFonts w:asciiTheme="minorHAnsi" w:hAnsiTheme="minorHAnsi" w:cstheme="minorHAnsi"/>
        </w:rPr>
        <w:t>the impact of EcoPond</w:t>
      </w:r>
      <w:r w:rsidRPr="0028033B">
        <w:t>™</w:t>
      </w:r>
      <w:r w:rsidRPr="0028033B">
        <w:rPr>
          <w:rFonts w:asciiTheme="minorHAnsi" w:hAnsiTheme="minorHAnsi" w:cstheme="minorHAnsi"/>
        </w:rPr>
        <w:t xml:space="preserve">. </w:t>
      </w:r>
    </w:p>
    <w:p w14:paraId="3042BD51" w14:textId="77777777" w:rsidR="00E46639" w:rsidRPr="0028033B" w:rsidRDefault="00E46639" w:rsidP="00E46639">
      <w:pPr>
        <w:pStyle w:val="BodyText"/>
      </w:pPr>
      <w:r w:rsidRPr="0028033B">
        <w:rPr>
          <w:rFonts w:asciiTheme="minorHAnsi" w:hAnsiTheme="minorHAnsi" w:cstheme="minorHAnsi"/>
        </w:rPr>
        <w:t>A region-specific impact from the use of EcoPond™ (</w:t>
      </w:r>
      <m:oMath>
        <m:sSub>
          <m:sSubPr>
            <m:ctrlPr>
              <w:rPr>
                <w:rFonts w:ascii="Cambria Math" w:hAnsi="Cambria Math" w:cstheme="minorHAnsi"/>
              </w:rPr>
            </m:ctrlPr>
          </m:sSubPr>
          <m:e>
            <m:r>
              <w:rPr>
                <w:rFonts w:ascii="Cambria Math" w:hAnsi="Cambria Math" w:cstheme="minorHAnsi"/>
              </w:rPr>
              <m:t>EcoPond</m:t>
            </m:r>
          </m:e>
          <m:sub>
            <m:r>
              <w:rPr>
                <w:rFonts w:ascii="Cambria Math" w:hAnsi="Cambria Math" w:cstheme="minorHAnsi"/>
              </w:rPr>
              <m:t>mitigation</m:t>
            </m:r>
          </m:sub>
        </m:sSub>
        <m:r>
          <m:rPr>
            <m:sty m:val="p"/>
          </m:rPr>
          <w:rPr>
            <w:rFonts w:ascii="Cambria Math" w:hAnsi="Cambria Math" w:cstheme="minorHAnsi"/>
          </w:rPr>
          <m:t>)</m:t>
        </m:r>
      </m:oMath>
      <w:r w:rsidRPr="0028033B">
        <w:rPr>
          <w:rFonts w:asciiTheme="minorHAnsi" w:hAnsiTheme="minorHAnsi" w:cstheme="minorHAnsi"/>
        </w:rPr>
        <w:t xml:space="preserve"> is calculated based on records of the treatments applied. The region-specific impact is used to reduce the </w:t>
      </w:r>
      <w:r w:rsidRPr="0028033B">
        <w:t>CH</w:t>
      </w:r>
      <w:r w:rsidRPr="0028033B">
        <w:rPr>
          <w:vertAlign w:val="subscript"/>
        </w:rPr>
        <w:t>4</w:t>
      </w:r>
      <w:r w:rsidRPr="0028033B">
        <w:t xml:space="preserve"> </w:t>
      </w:r>
      <w:r w:rsidRPr="0028033B">
        <w:rPr>
          <w:rFonts w:asciiTheme="minorHAnsi" w:hAnsiTheme="minorHAnsi" w:cstheme="minorHAnsi"/>
        </w:rPr>
        <w:t>estimated from anaerobic lagoons in each region.</w:t>
      </w:r>
      <w:r>
        <w:rPr>
          <w:rFonts w:asciiTheme="minorHAnsi" w:hAnsiTheme="minorHAnsi" w:cstheme="minorHAnsi"/>
        </w:rPr>
        <w:t xml:space="preserve"> </w:t>
      </w:r>
    </w:p>
    <w:p w14:paraId="0B65A538" w14:textId="77777777" w:rsidR="00E46639" w:rsidRPr="0028033B" w:rsidRDefault="00000000" w:rsidP="00E46639">
      <w:pPr>
        <w:pStyle w:val="BodyText"/>
      </w:pPr>
      <m:oMathPara>
        <m:oMath>
          <m:sSub>
            <m:sSubPr>
              <m:ctrlPr>
                <w:rPr>
                  <w:rFonts w:ascii="Cambria Math" w:hAnsi="Cambria Math"/>
                  <w:i/>
                </w:rPr>
              </m:ctrlPr>
            </m:sSubPr>
            <m:e>
              <m:r>
                <w:rPr>
                  <w:rFonts w:ascii="Cambria Math" w:hAnsi="Cambria Math"/>
                </w:rPr>
                <m:t>EcoPond</m:t>
              </m:r>
            </m:e>
            <m:sub>
              <m:r>
                <w:rPr>
                  <w:rFonts w:ascii="Cambria Math" w:hAnsi="Cambria Math"/>
                </w:rPr>
                <m:t>mitigation</m:t>
              </m:r>
            </m:sub>
          </m:sSub>
          <m:r>
            <w:rPr>
              <w:rFonts w:ascii="Cambria Math" w:hAnsi="Cambria Math"/>
            </w:rPr>
            <m:t xml:space="preserve"> =Proportion treated ×EcoPond Efficacy</m:t>
          </m:r>
        </m:oMath>
      </m:oMathPara>
    </w:p>
    <w:p w14:paraId="5580122F" w14:textId="77777777" w:rsidR="00E46639" w:rsidRPr="0028033B" w:rsidRDefault="00E46639" w:rsidP="00E46639">
      <w:pPr>
        <w:pStyle w:val="BodyText"/>
        <w:spacing w:before="60" w:after="40"/>
        <w:ind w:left="964" w:hanging="964"/>
        <w:rPr>
          <w:rFonts w:asciiTheme="minorHAnsi" w:hAnsiTheme="minorHAnsi" w:cstheme="minorHAnsi"/>
        </w:rPr>
      </w:pPr>
      <w:r w:rsidRPr="0028033B">
        <w:t xml:space="preserve">Where: </w:t>
      </w:r>
      <w:r w:rsidRPr="0028033B">
        <w:tab/>
        <w:t>Proportion treated is the p</w:t>
      </w:r>
      <w:r w:rsidRPr="0028033B">
        <w:rPr>
          <w:rFonts w:asciiTheme="minorHAnsi" w:hAnsiTheme="minorHAnsi" w:cstheme="minorHAnsi"/>
        </w:rPr>
        <w:t>roportion of dairy cattle manure stored in anaerobic lagoons that was treated using EcoPond™, and</w:t>
      </w:r>
    </w:p>
    <w:p w14:paraId="2D4681CC" w14:textId="77777777" w:rsidR="00E46639" w:rsidRPr="0028033B" w:rsidRDefault="00E46639" w:rsidP="00E46639">
      <w:pPr>
        <w:pStyle w:val="BodyText"/>
        <w:spacing w:before="30" w:after="60"/>
        <w:ind w:left="964" w:hanging="964"/>
      </w:pPr>
      <w:r w:rsidRPr="0028033B">
        <w:tab/>
        <w:t>EcoPond™ Efficacy is the percent reduction in CH</w:t>
      </w:r>
      <w:r w:rsidRPr="0028033B">
        <w:rPr>
          <w:vertAlign w:val="subscript"/>
        </w:rPr>
        <w:t>4</w:t>
      </w:r>
      <w:r>
        <w:t xml:space="preserve"> </w:t>
      </w:r>
      <w:r w:rsidRPr="0028033B">
        <w:t xml:space="preserve">produced when the EcoPond™ treatment is applied, 92 percent (Cameron and Di, </w:t>
      </w:r>
      <w:r w:rsidRPr="0028033B">
        <w:rPr>
          <w:rFonts w:cs="Calibri"/>
        </w:rPr>
        <w:t>unpublished</w:t>
      </w:r>
      <w:r w:rsidRPr="0028033B">
        <w:t>).</w:t>
      </w:r>
    </w:p>
    <w:p w14:paraId="04EE3818" w14:textId="77777777" w:rsidR="00E46639" w:rsidRPr="0028033B" w:rsidRDefault="00E46639" w:rsidP="00E46639">
      <w:pPr>
        <w:pStyle w:val="BodyText"/>
        <w:rPr>
          <w:rFonts w:asciiTheme="minorHAnsi" w:hAnsiTheme="minorHAnsi" w:cstheme="minorHAnsi"/>
        </w:rPr>
      </w:pPr>
      <w:r w:rsidRPr="0028033B">
        <w:rPr>
          <w:rFonts w:asciiTheme="minorHAnsi" w:hAnsiTheme="minorHAnsi" w:cstheme="minorHAnsi"/>
        </w:rPr>
        <w:t xml:space="preserve">The proportion of treated dairy cattle manure stored in anaerobic lagoons is calculated based on treatment data supplied by Agnition, the company that owns and distributes EcoPond™. These activity data record the date when each treatment is applied, the region, an anonymous farm ID, the number of mature milking cows on farm </w:t>
      </w:r>
      <w:r w:rsidRPr="0028033B">
        <w:rPr>
          <w:rFonts w:asciiTheme="minorHAnsi" w:hAnsiTheme="minorHAnsi" w:cstheme="minorBidi"/>
        </w:rPr>
        <w:t>producing waste that goes into the lagoon</w:t>
      </w:r>
      <w:r w:rsidRPr="0028033B">
        <w:rPr>
          <w:rFonts w:asciiTheme="minorHAnsi" w:hAnsiTheme="minorHAnsi" w:cstheme="minorHAnsi"/>
        </w:rPr>
        <w:t xml:space="preserve">, and if a </w:t>
      </w:r>
      <w:r w:rsidRPr="0028033B">
        <w:rPr>
          <w:rFonts w:asciiTheme="minorHAnsi" w:hAnsiTheme="minorHAnsi" w:cstheme="minorBidi"/>
        </w:rPr>
        <w:t xml:space="preserve">lagoon waste </w:t>
      </w:r>
      <w:r w:rsidRPr="0028033B">
        <w:rPr>
          <w:rFonts w:asciiTheme="minorHAnsi" w:hAnsiTheme="minorHAnsi" w:cstheme="minorHAnsi"/>
        </w:rPr>
        <w:t>stirrer was used.</w:t>
      </w:r>
      <w:r>
        <w:rPr>
          <w:rFonts w:asciiTheme="minorHAnsi" w:hAnsiTheme="minorHAnsi" w:cstheme="minorHAnsi"/>
        </w:rPr>
        <w:t xml:space="preserve"> </w:t>
      </w:r>
    </w:p>
    <w:p w14:paraId="41EAA10C" w14:textId="77777777" w:rsidR="00E46639" w:rsidRPr="0028033B" w:rsidRDefault="00E46639" w:rsidP="00E46639">
      <w:pPr>
        <w:pStyle w:val="BodyText"/>
        <w:spacing w:before="0"/>
      </w:pPr>
      <w:r w:rsidRPr="0028033B">
        <w:rPr>
          <w:rFonts w:asciiTheme="minorHAnsi" w:hAnsiTheme="minorHAnsi" w:cstheme="minorHAnsi"/>
        </w:rPr>
        <w:t>Estimates of the mitigation impact of EcoPond™ on CH</w:t>
      </w:r>
      <w:r w:rsidRPr="0028033B">
        <w:rPr>
          <w:rFonts w:asciiTheme="minorHAnsi" w:hAnsiTheme="minorHAnsi" w:cstheme="minorHAnsi"/>
          <w:vertAlign w:val="subscript"/>
        </w:rPr>
        <w:t>4</w:t>
      </w:r>
      <w:r w:rsidRPr="0028033B">
        <w:rPr>
          <w:rFonts w:asciiTheme="minorHAnsi" w:hAnsiTheme="minorHAnsi" w:cstheme="minorHAnsi"/>
        </w:rPr>
        <w:t xml:space="preserve"> emissions from anaerobic lagoons for </w:t>
      </w:r>
      <w:r w:rsidRPr="0028033B">
        <w:t>the calendar years 2023 and 2024 are shown in table 5.3.4.</w:t>
      </w:r>
    </w:p>
    <w:p w14:paraId="61312944" w14:textId="35020551" w:rsidR="00E46639" w:rsidRPr="0028033B" w:rsidRDefault="00E46639" w:rsidP="00E46639">
      <w:pPr>
        <w:pStyle w:val="Table"/>
        <w:rPr>
          <w:rFonts w:cs="Calibri"/>
        </w:rPr>
      </w:pPr>
      <w:bookmarkStart w:id="944" w:name="_Toc222407629"/>
      <w:bookmarkStart w:id="945" w:name="_Toc226669004"/>
      <w:r w:rsidRPr="0028033B">
        <w:t>Table 5.3.4</w:t>
      </w:r>
      <w:r w:rsidRPr="0028033B">
        <w:rPr>
          <w:rFonts w:cs="Calibri"/>
        </w:rPr>
        <w:tab/>
        <w:t>Mitigation impact of EcoPond</w:t>
      </w:r>
      <w:r w:rsidRPr="0028033B">
        <w:t>™</w:t>
      </w:r>
      <w:r w:rsidRPr="0028033B">
        <w:rPr>
          <w:rFonts w:cs="Calibri"/>
        </w:rPr>
        <w:t xml:space="preserve"> on methane emissions from anaerobic lagoons,</w:t>
      </w:r>
      <w:r w:rsidRPr="0028033B">
        <w:rPr>
          <w:rFonts w:cs="Calibri"/>
        </w:rPr>
        <w:br/>
        <w:t>for</w:t>
      </w:r>
      <w:r w:rsidR="00B87580">
        <w:rPr>
          <w:rFonts w:cs="Calibri"/>
        </w:rPr>
        <w:t> </w:t>
      </w:r>
      <w:r w:rsidRPr="0028033B">
        <w:rPr>
          <w:rFonts w:cs="Calibri"/>
        </w:rPr>
        <w:t xml:space="preserve">2023 and </w:t>
      </w:r>
      <w:r w:rsidRPr="0028033B">
        <w:t>2024</w:t>
      </w:r>
      <w:bookmarkEnd w:id="944"/>
      <w:bookmarkEnd w:id="945"/>
      <w:r w:rsidRPr="0028033B">
        <w:rPr>
          <w:rFonts w:cs="Calibri"/>
          <w:color w:val="32809C" w:themeColor="accent2"/>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1483"/>
        <w:gridCol w:w="2486"/>
        <w:gridCol w:w="2268"/>
        <w:gridCol w:w="2268"/>
      </w:tblGrid>
      <w:tr w:rsidR="00E46639" w:rsidRPr="0028033B" w14:paraId="35B82AA4" w14:textId="77777777" w:rsidTr="00F16E23">
        <w:trPr>
          <w:tblHeader/>
        </w:trPr>
        <w:tc>
          <w:tcPr>
            <w:tcW w:w="1424" w:type="dxa"/>
            <w:shd w:val="clear" w:color="auto" w:fill="1B556B"/>
            <w:vAlign w:val="bottom"/>
          </w:tcPr>
          <w:p w14:paraId="360902BA" w14:textId="77777777" w:rsidR="00E46639" w:rsidRPr="0028033B" w:rsidRDefault="00E46639" w:rsidP="00F16E23">
            <w:pPr>
              <w:pStyle w:val="TableTextBold"/>
              <w:spacing w:before="40" w:after="40"/>
              <w:rPr>
                <w:noProof w:val="0"/>
                <w:color w:val="FFFFFF" w:themeColor="background1"/>
                <w:szCs w:val="16"/>
              </w:rPr>
            </w:pPr>
            <w:r w:rsidRPr="0028033B">
              <w:rPr>
                <w:noProof w:val="0"/>
                <w:color w:val="FFFFFF" w:themeColor="background1"/>
                <w:szCs w:val="16"/>
              </w:rPr>
              <w:t>Year</w:t>
            </w:r>
          </w:p>
        </w:tc>
        <w:tc>
          <w:tcPr>
            <w:tcW w:w="2385" w:type="dxa"/>
            <w:shd w:val="clear" w:color="auto" w:fill="1B556B"/>
            <w:vAlign w:val="bottom"/>
          </w:tcPr>
          <w:p w14:paraId="12BA5810" w14:textId="77777777" w:rsidR="00E46639" w:rsidRPr="0028033B" w:rsidRDefault="00E46639" w:rsidP="00F16E23">
            <w:pPr>
              <w:pStyle w:val="TableTextBold"/>
              <w:spacing w:before="40" w:after="40"/>
              <w:jc w:val="right"/>
              <w:rPr>
                <w:i/>
                <w:iCs/>
                <w:noProof w:val="0"/>
                <w:color w:val="FFFFFF" w:themeColor="background1"/>
                <w:szCs w:val="16"/>
              </w:rPr>
            </w:pPr>
            <w:r w:rsidRPr="0028033B">
              <w:rPr>
                <w:noProof w:val="0"/>
                <w:color w:val="FFFFFF" w:themeColor="background1"/>
                <w:szCs w:val="16"/>
              </w:rPr>
              <w:t>Percentage of dairy cattle manure stored in anaerobic lagoons that was treated using EcoPond™</w:t>
            </w:r>
          </w:p>
        </w:tc>
        <w:tc>
          <w:tcPr>
            <w:tcW w:w="2176" w:type="dxa"/>
            <w:shd w:val="clear" w:color="auto" w:fill="1C556C" w:themeFill="accent1"/>
            <w:vAlign w:val="bottom"/>
          </w:tcPr>
          <w:p w14:paraId="11D12406" w14:textId="77777777" w:rsidR="00E46639" w:rsidRPr="0028033B" w:rsidRDefault="00E46639" w:rsidP="00F16E23">
            <w:pPr>
              <w:pStyle w:val="TableTextBold"/>
              <w:spacing w:before="40" w:after="40"/>
              <w:jc w:val="right"/>
              <w:rPr>
                <w:noProof w:val="0"/>
                <w:color w:val="FFFFFF" w:themeColor="background1"/>
                <w:szCs w:val="16"/>
              </w:rPr>
            </w:pPr>
            <w:r w:rsidRPr="0028033B">
              <w:rPr>
                <w:noProof w:val="0"/>
                <w:color w:val="FFFFFF" w:themeColor="background1"/>
                <w:szCs w:val="16"/>
              </w:rPr>
              <w:t>EcoPond™ mitigation factor (EcoPond</w:t>
            </w:r>
            <w:r w:rsidRPr="0028033B">
              <w:rPr>
                <w:noProof w:val="0"/>
                <w:color w:val="FFFFFF" w:themeColor="background1"/>
                <w:szCs w:val="16"/>
                <w:vertAlign w:val="subscript"/>
              </w:rPr>
              <w:t>mitigation</w:t>
            </w:r>
            <w:r w:rsidRPr="0028033B">
              <w:rPr>
                <w:noProof w:val="0"/>
                <w:color w:val="FFFFFF" w:themeColor="background1"/>
                <w:szCs w:val="16"/>
              </w:rPr>
              <w:t>)</w:t>
            </w:r>
          </w:p>
        </w:tc>
        <w:tc>
          <w:tcPr>
            <w:tcW w:w="2176" w:type="dxa"/>
            <w:shd w:val="clear" w:color="auto" w:fill="1B556B"/>
            <w:vAlign w:val="bottom"/>
          </w:tcPr>
          <w:p w14:paraId="1F5FB53A" w14:textId="77777777" w:rsidR="00E46639" w:rsidRPr="0028033B" w:rsidRDefault="00E46639" w:rsidP="00F16E23">
            <w:pPr>
              <w:pStyle w:val="TableTextBold"/>
              <w:spacing w:before="40" w:after="40"/>
              <w:jc w:val="right"/>
              <w:rPr>
                <w:i/>
                <w:iCs/>
                <w:noProof w:val="0"/>
                <w:color w:val="FFFFFF" w:themeColor="background1"/>
                <w:szCs w:val="16"/>
              </w:rPr>
            </w:pPr>
            <w:r w:rsidRPr="0028033B">
              <w:rPr>
                <w:noProof w:val="0"/>
                <w:color w:val="FFFFFF" w:themeColor="background1"/>
                <w:szCs w:val="16"/>
              </w:rPr>
              <w:t>Estimated greenhouse gas mitigation from using EcoPond™ (kt CO</w:t>
            </w:r>
            <w:r w:rsidRPr="0028033B">
              <w:rPr>
                <w:noProof w:val="0"/>
                <w:color w:val="FFFFFF" w:themeColor="background1"/>
                <w:szCs w:val="16"/>
                <w:vertAlign w:val="subscript"/>
              </w:rPr>
              <w:t>2</w:t>
            </w:r>
            <w:r w:rsidRPr="0028033B">
              <w:rPr>
                <w:noProof w:val="0"/>
                <w:color w:val="FFFFFF" w:themeColor="background1"/>
                <w:szCs w:val="16"/>
              </w:rPr>
              <w:t>e)</w:t>
            </w:r>
          </w:p>
        </w:tc>
      </w:tr>
      <w:tr w:rsidR="00E46639" w:rsidRPr="0028033B" w14:paraId="0F01C2A6" w14:textId="77777777" w:rsidTr="00F16E23">
        <w:tc>
          <w:tcPr>
            <w:tcW w:w="1424" w:type="dxa"/>
            <w:vAlign w:val="bottom"/>
          </w:tcPr>
          <w:p w14:paraId="7548B4BC" w14:textId="77777777" w:rsidR="00E46639" w:rsidRPr="0028033B" w:rsidRDefault="00E46639" w:rsidP="00F16E23">
            <w:pPr>
              <w:pStyle w:val="TableText"/>
              <w:spacing w:before="40" w:after="40"/>
              <w:rPr>
                <w:rFonts w:cs="Calibri"/>
                <w:szCs w:val="16"/>
              </w:rPr>
            </w:pPr>
            <w:r w:rsidRPr="0028033B">
              <w:rPr>
                <w:rFonts w:cs="Calibri"/>
                <w:szCs w:val="16"/>
              </w:rPr>
              <w:t>2023</w:t>
            </w:r>
          </w:p>
        </w:tc>
        <w:tc>
          <w:tcPr>
            <w:tcW w:w="2385" w:type="dxa"/>
            <w:vAlign w:val="bottom"/>
          </w:tcPr>
          <w:p w14:paraId="014A845D" w14:textId="77777777" w:rsidR="00E46639" w:rsidRPr="0028033B" w:rsidRDefault="00E46639" w:rsidP="00F16E23">
            <w:pPr>
              <w:pStyle w:val="TableText"/>
              <w:spacing w:before="40" w:after="40"/>
              <w:jc w:val="right"/>
              <w:rPr>
                <w:szCs w:val="16"/>
              </w:rPr>
            </w:pPr>
            <w:r w:rsidRPr="0028033B">
              <w:rPr>
                <w:szCs w:val="16"/>
              </w:rPr>
              <w:t>0</w:t>
            </w:r>
          </w:p>
        </w:tc>
        <w:tc>
          <w:tcPr>
            <w:tcW w:w="2176" w:type="dxa"/>
            <w:vAlign w:val="bottom"/>
          </w:tcPr>
          <w:p w14:paraId="22C4A533" w14:textId="77777777" w:rsidR="00E46639" w:rsidRPr="0028033B" w:rsidRDefault="00E46639" w:rsidP="00F16E23">
            <w:pPr>
              <w:pStyle w:val="TableText"/>
              <w:spacing w:before="40" w:after="40"/>
              <w:jc w:val="right"/>
              <w:rPr>
                <w:szCs w:val="16"/>
              </w:rPr>
            </w:pPr>
            <w:r w:rsidRPr="0028033B">
              <w:rPr>
                <w:szCs w:val="16"/>
              </w:rPr>
              <w:t>0</w:t>
            </w:r>
          </w:p>
        </w:tc>
        <w:tc>
          <w:tcPr>
            <w:tcW w:w="2176" w:type="dxa"/>
            <w:vAlign w:val="bottom"/>
          </w:tcPr>
          <w:p w14:paraId="6D025EF5" w14:textId="77777777" w:rsidR="00E46639" w:rsidRPr="0028033B" w:rsidRDefault="00E46639" w:rsidP="00F16E23">
            <w:pPr>
              <w:pStyle w:val="TableText"/>
              <w:spacing w:before="40" w:after="40"/>
              <w:jc w:val="right"/>
              <w:rPr>
                <w:szCs w:val="16"/>
              </w:rPr>
            </w:pPr>
            <w:r w:rsidRPr="0028033B">
              <w:rPr>
                <w:szCs w:val="16"/>
              </w:rPr>
              <w:t>0</w:t>
            </w:r>
          </w:p>
        </w:tc>
      </w:tr>
      <w:tr w:rsidR="00E46639" w:rsidRPr="0028033B" w14:paraId="37E447CB" w14:textId="77777777" w:rsidTr="00F16E23">
        <w:tc>
          <w:tcPr>
            <w:tcW w:w="1424" w:type="dxa"/>
            <w:vAlign w:val="bottom"/>
          </w:tcPr>
          <w:p w14:paraId="519509E2" w14:textId="77777777" w:rsidR="00E46639" w:rsidRPr="0028033B" w:rsidRDefault="00E46639" w:rsidP="00F16E23">
            <w:pPr>
              <w:pStyle w:val="TableText"/>
              <w:spacing w:before="40" w:after="40"/>
              <w:rPr>
                <w:rFonts w:cs="Calibri"/>
                <w:szCs w:val="16"/>
              </w:rPr>
            </w:pPr>
            <w:r w:rsidRPr="0028033B">
              <w:rPr>
                <w:rFonts w:cs="Calibri"/>
                <w:szCs w:val="16"/>
              </w:rPr>
              <w:t>2024</w:t>
            </w:r>
          </w:p>
        </w:tc>
        <w:tc>
          <w:tcPr>
            <w:tcW w:w="2385" w:type="dxa"/>
            <w:vAlign w:val="bottom"/>
          </w:tcPr>
          <w:p w14:paraId="5DA90A0D" w14:textId="77777777" w:rsidR="00E46639" w:rsidRPr="0028033B" w:rsidRDefault="00E46639" w:rsidP="00F16E23">
            <w:pPr>
              <w:pStyle w:val="TableText"/>
              <w:spacing w:before="40" w:after="40"/>
              <w:jc w:val="right"/>
              <w:rPr>
                <w:szCs w:val="16"/>
              </w:rPr>
            </w:pPr>
            <w:r w:rsidRPr="0028033B">
              <w:rPr>
                <w:szCs w:val="16"/>
              </w:rPr>
              <w:t>0</w:t>
            </w:r>
          </w:p>
        </w:tc>
        <w:tc>
          <w:tcPr>
            <w:tcW w:w="2176" w:type="dxa"/>
            <w:vAlign w:val="bottom"/>
          </w:tcPr>
          <w:p w14:paraId="38F38497" w14:textId="77777777" w:rsidR="00E46639" w:rsidRPr="0028033B" w:rsidRDefault="00E46639" w:rsidP="00F16E23">
            <w:pPr>
              <w:pStyle w:val="TableText"/>
              <w:spacing w:before="40" w:after="40"/>
              <w:jc w:val="right"/>
              <w:rPr>
                <w:szCs w:val="16"/>
              </w:rPr>
            </w:pPr>
            <w:r w:rsidRPr="0028033B">
              <w:rPr>
                <w:szCs w:val="16"/>
              </w:rPr>
              <w:t>0</w:t>
            </w:r>
          </w:p>
        </w:tc>
        <w:tc>
          <w:tcPr>
            <w:tcW w:w="2176" w:type="dxa"/>
            <w:vAlign w:val="bottom"/>
          </w:tcPr>
          <w:p w14:paraId="713275F6" w14:textId="77777777" w:rsidR="00E46639" w:rsidRPr="0028033B" w:rsidRDefault="00E46639" w:rsidP="00F16E23">
            <w:pPr>
              <w:pStyle w:val="TableText"/>
              <w:spacing w:before="40" w:after="40"/>
              <w:jc w:val="right"/>
              <w:rPr>
                <w:szCs w:val="16"/>
              </w:rPr>
            </w:pPr>
            <w:r w:rsidRPr="0028033B">
              <w:rPr>
                <w:szCs w:val="16"/>
              </w:rPr>
              <w:t>0</w:t>
            </w:r>
          </w:p>
        </w:tc>
      </w:tr>
    </w:tbl>
    <w:p w14:paraId="4BA3001A" w14:textId="77777777" w:rsidR="00E46639" w:rsidRPr="0028033B" w:rsidRDefault="00E46639" w:rsidP="00E46639">
      <w:pPr>
        <w:pStyle w:val="Heading5"/>
        <w:spacing w:before="360"/>
      </w:pPr>
      <w:r w:rsidRPr="0028033B">
        <w:t>Methane from dairy effluent solid storage</w:t>
      </w:r>
    </w:p>
    <w:p w14:paraId="4747B89E" w14:textId="77777777" w:rsidR="00E46639" w:rsidRPr="0028033B" w:rsidRDefault="00E46639" w:rsidP="00E46639">
      <w:pPr>
        <w:pStyle w:val="BodyText"/>
        <w:keepLines/>
        <w:spacing w:before="100" w:after="100"/>
      </w:pPr>
      <w:r w:rsidRPr="0028033B">
        <w:t>Each year, a proportion of manure from dairy cows is stored in solid storage (Luo et al., unpublished(a)). A Tier 2 methodology derived from the 2006 IPCC Guidelines (equations 10.23 and 10.24, IPCC, 2006) linking volatile solids to FDM is used for calculating CH</w:t>
      </w:r>
      <w:r w:rsidRPr="0028033B">
        <w:rPr>
          <w:vertAlign w:val="subscript"/>
        </w:rPr>
        <w:t>4</w:t>
      </w:r>
      <w:r w:rsidRPr="0028033B">
        <w:t xml:space="preserve"> emissions from this activity.</w:t>
      </w:r>
    </w:p>
    <w:p w14:paraId="258250B4" w14:textId="77777777" w:rsidR="00E46639" w:rsidRPr="0028033B" w:rsidRDefault="00E46639" w:rsidP="00E46639">
      <w:pPr>
        <w:pStyle w:val="BodyText"/>
        <w:spacing w:before="100" w:after="80"/>
      </w:pPr>
      <w:r w:rsidRPr="0028033B">
        <w:t>The following equation is used to determine CH</w:t>
      </w:r>
      <w:r w:rsidRPr="0028033B">
        <w:rPr>
          <w:vertAlign w:val="subscript"/>
        </w:rPr>
        <w:t>4</w:t>
      </w:r>
      <w:r w:rsidRPr="0028033B">
        <w:t xml:space="preserve"> emissions (CH</w:t>
      </w:r>
      <w:r w:rsidRPr="0028033B">
        <w:rPr>
          <w:vertAlign w:val="subscript"/>
        </w:rPr>
        <w:t>4-MM</w:t>
      </w:r>
      <w:r w:rsidRPr="0028033B">
        <w:t xml:space="preserve">) from dairy cattle manure in solid storage: </w:t>
      </w:r>
    </w:p>
    <w:p w14:paraId="135ED1ED" w14:textId="77777777" w:rsidR="00E46639" w:rsidRPr="0028033B" w:rsidRDefault="00000000" w:rsidP="00E46639">
      <w:pPr>
        <w:pStyle w:val="BodyText"/>
        <w:spacing w:before="80"/>
      </w:pPr>
      <m:oMathPara>
        <m:oMathParaPr>
          <m:jc m:val="center"/>
        </m:oMathParaPr>
        <m:oMath>
          <m:sSub>
            <m:sSubPr>
              <m:ctrlPr>
                <w:rPr>
                  <w:rFonts w:ascii="Cambria Math" w:hAnsi="Cambria Math"/>
                </w:rPr>
              </m:ctrlPr>
            </m:sSubPr>
            <m:e>
              <m:r>
                <w:rPr>
                  <w:rFonts w:ascii="Cambria Math" w:hAnsi="Cambria Math"/>
                </w:rPr>
                <m:t>CH</m:t>
              </m:r>
            </m:e>
            <m:sub>
              <m:r>
                <m:rPr>
                  <m:sty m:val="p"/>
                </m:rPr>
                <w:rPr>
                  <w:rFonts w:ascii="Cambria Math" w:hAnsi="Cambria Math"/>
                </w:rPr>
                <m:t>4</m:t>
              </m:r>
              <m:r>
                <w:rPr>
                  <w:rFonts w:ascii="Cambria Math" w:hAnsi="Cambria Math"/>
                </w:rPr>
                <m:t>Solid</m:t>
              </m:r>
              <m:r>
                <m:rPr>
                  <m:sty m:val="p"/>
                </m:rPr>
                <w:rPr>
                  <w:rFonts w:ascii="Cambria Math" w:hAnsi="Cambria Math"/>
                </w:rPr>
                <m:t>-</m:t>
              </m:r>
              <m:r>
                <w:rPr>
                  <w:rFonts w:ascii="Cambria Math" w:hAnsi="Cambria Math"/>
                </w:rPr>
                <m:t>dairy</m:t>
              </m:r>
            </m:sub>
          </m:sSub>
          <m:r>
            <m:rPr>
              <m:sty m:val="p"/>
            </m:rPr>
            <w:rPr>
              <w:rFonts w:ascii="Cambria Math" w:hAnsi="Cambria Math"/>
            </w:rPr>
            <m:t xml:space="preserve">= </m:t>
          </m:r>
          <m:r>
            <w:rPr>
              <w:rFonts w:ascii="Cambria Math" w:hAnsi="Cambria Math"/>
            </w:rPr>
            <m:t>FDM</m:t>
          </m:r>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ASH</m:t>
              </m:r>
            </m:e>
          </m:d>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×0.67×</m:t>
          </m:r>
          <m:r>
            <w:rPr>
              <w:rFonts w:ascii="Cambria Math" w:hAnsi="Cambria Math"/>
            </w:rPr>
            <m:t>MCF</m:t>
          </m:r>
          <m:r>
            <m:rPr>
              <m:sty m:val="p"/>
            </m:rPr>
            <w:rPr>
              <w:rFonts w:ascii="Cambria Math" w:hAnsi="Cambria Math"/>
            </w:rPr>
            <m:t>×</m:t>
          </m:r>
          <m:r>
            <w:rPr>
              <w:rFonts w:ascii="Cambria Math" w:hAnsi="Cambria Math"/>
            </w:rPr>
            <m:t xml:space="preserve">MS </m:t>
          </m:r>
        </m:oMath>
      </m:oMathPara>
    </w:p>
    <w:p w14:paraId="37A81DFB" w14:textId="77777777" w:rsidR="00E46639" w:rsidRPr="0028033B" w:rsidRDefault="00E46639" w:rsidP="00E46639">
      <w:pPr>
        <w:pStyle w:val="BodyText"/>
        <w:spacing w:before="60" w:after="60"/>
        <w:ind w:left="964" w:hanging="964"/>
      </w:pPr>
      <w:r w:rsidRPr="0028033B">
        <w:t xml:space="preserve">Where: </w:t>
      </w:r>
      <w:r w:rsidRPr="0028033B">
        <w:tab/>
        <w:t xml:space="preserve">FDM is the faecal dry matter excreted by dairy cows (on pasture and stored) (kg/month/head) </w:t>
      </w:r>
    </w:p>
    <w:p w14:paraId="4792F874" w14:textId="77777777" w:rsidR="00E46639" w:rsidRPr="0028033B" w:rsidRDefault="00E46639" w:rsidP="00E46639">
      <w:pPr>
        <w:pStyle w:val="BodyText"/>
        <w:spacing w:before="30" w:after="40"/>
        <w:ind w:left="964" w:hanging="964"/>
      </w:pPr>
      <w:r w:rsidRPr="0028033B">
        <w:tab/>
        <w:t xml:space="preserve">ASH is the ash content of manure, 0.08 (IPCC, 2006, default value) </w:t>
      </w:r>
    </w:p>
    <w:p w14:paraId="6C5264E9" w14:textId="77777777" w:rsidR="00E46639" w:rsidRPr="0028033B" w:rsidRDefault="00E46639" w:rsidP="00E46639">
      <w:pPr>
        <w:pStyle w:val="BodyText"/>
        <w:spacing w:before="30" w:after="40"/>
        <w:ind w:left="964" w:hanging="964"/>
      </w:pPr>
      <w:r w:rsidRPr="0028033B">
        <w:tab/>
        <w:t>B</w:t>
      </w:r>
      <w:r w:rsidRPr="0028033B">
        <w:rPr>
          <w:vertAlign w:val="subscript"/>
        </w:rPr>
        <w:t>0</w:t>
      </w:r>
      <w:r w:rsidRPr="0028033B">
        <w:t xml:space="preserve"> is the maximum CH</w:t>
      </w:r>
      <w:r w:rsidRPr="0028033B">
        <w:rPr>
          <w:vertAlign w:val="subscript"/>
        </w:rPr>
        <w:t>4</w:t>
      </w:r>
      <w:r w:rsidRPr="0028033B">
        <w:t>-producing capacity of manure variable by species and diet, 0.24 (IPCC, 2006; Oceania default value, verified by Pratt et al., 2012)</w:t>
      </w:r>
    </w:p>
    <w:p w14:paraId="2FF638A1" w14:textId="77777777" w:rsidR="00E46639" w:rsidRPr="0028033B" w:rsidRDefault="00E46639" w:rsidP="00E46639">
      <w:pPr>
        <w:pStyle w:val="BodyText"/>
        <w:spacing w:before="30" w:after="40"/>
        <w:ind w:left="964" w:hanging="964"/>
      </w:pPr>
      <w:r w:rsidRPr="0028033B">
        <w:tab/>
        <w:t>0.67 is the conversion factor for converting CH</w:t>
      </w:r>
      <w:r w:rsidRPr="0028033B">
        <w:rPr>
          <w:vertAlign w:val="subscript"/>
        </w:rPr>
        <w:t>4</w:t>
      </w:r>
      <w:r w:rsidRPr="0028033B">
        <w:t xml:space="preserve"> from cubic metres to kilograms (IPCC, 2006)</w:t>
      </w:r>
    </w:p>
    <w:p w14:paraId="13E7473E" w14:textId="77777777" w:rsidR="00E46639" w:rsidRPr="0028033B" w:rsidRDefault="00E46639" w:rsidP="00E46639">
      <w:pPr>
        <w:pStyle w:val="BodyText"/>
        <w:spacing w:before="30" w:after="40"/>
        <w:ind w:left="964" w:hanging="964"/>
      </w:pPr>
      <w:r w:rsidRPr="0028033B">
        <w:tab/>
        <w:t>MCF is the CH</w:t>
      </w:r>
      <w:r w:rsidRPr="0028033B">
        <w:rPr>
          <w:vertAlign w:val="subscript"/>
        </w:rPr>
        <w:t>4</w:t>
      </w:r>
      <w:r w:rsidRPr="0028033B">
        <w:t xml:space="preserve"> conversion factor, table 5.3.5 has the regional MCF used (IPCC, 2019, table 10.17), and </w:t>
      </w:r>
    </w:p>
    <w:p w14:paraId="2AA4C554" w14:textId="77777777" w:rsidR="00E46639" w:rsidRPr="0028033B" w:rsidRDefault="00E46639" w:rsidP="00E46639">
      <w:pPr>
        <w:pStyle w:val="BodyText"/>
        <w:spacing w:before="30"/>
        <w:ind w:left="964" w:hanging="964"/>
      </w:pPr>
      <w:r w:rsidRPr="0028033B">
        <w:tab/>
        <w:t>MS is the fraction of total dairy manure excreted that ends up in solid storage.</w:t>
      </w:r>
    </w:p>
    <w:p w14:paraId="0E32FD03" w14:textId="1C8A6360" w:rsidR="00E46639" w:rsidRPr="0028033B" w:rsidRDefault="00E46639" w:rsidP="00E46639">
      <w:pPr>
        <w:pStyle w:val="Table"/>
      </w:pPr>
      <w:bookmarkStart w:id="946" w:name="_Toc222407630"/>
      <w:bookmarkStart w:id="947" w:name="_Toc226669005"/>
      <w:r w:rsidRPr="0028033B">
        <w:rPr>
          <w:rFonts w:cs="Calibri"/>
        </w:rPr>
        <w:t>Table 5.3.5</w:t>
      </w:r>
      <w:r w:rsidRPr="0028033B">
        <w:rPr>
          <w:rFonts w:cs="Calibri"/>
        </w:rPr>
        <w:tab/>
        <w:t>Regional anaerobic lagoon and solid storage methane conversion factors (MCFs) for</w:t>
      </w:r>
      <w:r w:rsidR="00140A5C">
        <w:rPr>
          <w:rFonts w:cs="Calibri"/>
        </w:rPr>
        <w:t> </w:t>
      </w:r>
      <w:r w:rsidRPr="0028033B">
        <w:rPr>
          <w:rFonts w:cs="Calibri"/>
        </w:rPr>
        <w:t>dairy</w:t>
      </w:r>
      <w:bookmarkEnd w:id="946"/>
      <w:bookmarkEnd w:id="947"/>
    </w:p>
    <w:tbl>
      <w:tblPr>
        <w:tblStyle w:val="AgPannelPape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2978"/>
        <w:gridCol w:w="1842"/>
        <w:gridCol w:w="1843"/>
        <w:gridCol w:w="1842"/>
      </w:tblGrid>
      <w:tr w:rsidR="00D32DFD" w:rsidRPr="00D32DFD" w14:paraId="1747A16C" w14:textId="77777777" w:rsidTr="000837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8" w:type="dxa"/>
            <w:noWrap/>
            <w:hideMark/>
          </w:tcPr>
          <w:p w14:paraId="5521193B" w14:textId="77777777" w:rsidR="00E46639" w:rsidRPr="00D32DFD" w:rsidRDefault="00E46639" w:rsidP="00D32DFD">
            <w:pPr>
              <w:pStyle w:val="TableTextBold"/>
              <w:spacing w:before="30" w:after="30"/>
              <w:jc w:val="left"/>
              <w:rPr>
                <w:rFonts w:cs="Calibri"/>
                <w:b/>
                <w:szCs w:val="16"/>
              </w:rPr>
            </w:pPr>
            <w:r w:rsidRPr="00D32DFD">
              <w:rPr>
                <w:rFonts w:cs="Calibri"/>
                <w:b/>
                <w:szCs w:val="16"/>
              </w:rPr>
              <w:t>Region</w:t>
            </w:r>
          </w:p>
        </w:tc>
        <w:tc>
          <w:tcPr>
            <w:tcW w:w="1842" w:type="dxa"/>
          </w:tcPr>
          <w:p w14:paraId="71D1CEA9" w14:textId="77777777" w:rsidR="00E46639" w:rsidRPr="00D32DFD" w:rsidRDefault="00E46639" w:rsidP="00D32DFD">
            <w:pPr>
              <w:pStyle w:val="TableTextBold"/>
              <w:spacing w:before="30" w:after="30"/>
              <w:jc w:val="left"/>
              <w:cnfStyle w:val="100000000000" w:firstRow="1" w:lastRow="0" w:firstColumn="0" w:lastColumn="0" w:oddVBand="0" w:evenVBand="0" w:oddHBand="0" w:evenHBand="0" w:firstRowFirstColumn="0" w:firstRowLastColumn="0" w:lastRowFirstColumn="0" w:lastRowLastColumn="0"/>
              <w:rPr>
                <w:rFonts w:cs="Calibri"/>
                <w:b/>
                <w:szCs w:val="16"/>
              </w:rPr>
            </w:pPr>
            <w:r w:rsidRPr="00D32DFD">
              <w:rPr>
                <w:rFonts w:cs="Calibri"/>
                <w:b/>
                <w:szCs w:val="16"/>
              </w:rPr>
              <w:t>Dominant climate zone</w:t>
            </w:r>
          </w:p>
        </w:tc>
        <w:tc>
          <w:tcPr>
            <w:tcW w:w="1843" w:type="dxa"/>
            <w:noWrap/>
            <w:hideMark/>
          </w:tcPr>
          <w:p w14:paraId="18F22E9F" w14:textId="77777777" w:rsidR="00E46639" w:rsidRPr="00D32DFD" w:rsidRDefault="00E46639" w:rsidP="00D32DFD">
            <w:pPr>
              <w:pStyle w:val="TableTextBold"/>
              <w:spacing w:before="30" w:after="30"/>
              <w:jc w:val="right"/>
              <w:cnfStyle w:val="100000000000" w:firstRow="1" w:lastRow="0" w:firstColumn="0" w:lastColumn="0" w:oddVBand="0" w:evenVBand="0" w:oddHBand="0" w:evenHBand="0" w:firstRowFirstColumn="0" w:firstRowLastColumn="0" w:lastRowFirstColumn="0" w:lastRowLastColumn="0"/>
              <w:rPr>
                <w:rFonts w:cs="Calibri"/>
                <w:b/>
                <w:szCs w:val="16"/>
              </w:rPr>
            </w:pPr>
            <w:r w:rsidRPr="00D32DFD">
              <w:rPr>
                <w:rFonts w:cs="Calibri"/>
                <w:b/>
                <w:szCs w:val="16"/>
              </w:rPr>
              <w:t>Anaerobic lagoon MCF</w:t>
            </w:r>
          </w:p>
        </w:tc>
        <w:tc>
          <w:tcPr>
            <w:tcW w:w="1842" w:type="dxa"/>
          </w:tcPr>
          <w:p w14:paraId="1DF33BBE" w14:textId="77777777" w:rsidR="00E46639" w:rsidRPr="00D32DFD" w:rsidRDefault="00E46639" w:rsidP="00D32DFD">
            <w:pPr>
              <w:pStyle w:val="TableTextBold"/>
              <w:spacing w:before="30" w:after="30"/>
              <w:jc w:val="right"/>
              <w:cnfStyle w:val="100000000000" w:firstRow="1" w:lastRow="0" w:firstColumn="0" w:lastColumn="0" w:oddVBand="0" w:evenVBand="0" w:oddHBand="0" w:evenHBand="0" w:firstRowFirstColumn="0" w:firstRowLastColumn="0" w:lastRowFirstColumn="0" w:lastRowLastColumn="0"/>
              <w:rPr>
                <w:rFonts w:cs="Calibri"/>
                <w:b/>
                <w:szCs w:val="16"/>
              </w:rPr>
            </w:pPr>
            <w:r w:rsidRPr="00D32DFD">
              <w:rPr>
                <w:rFonts w:cs="Calibri"/>
                <w:b/>
                <w:szCs w:val="16"/>
              </w:rPr>
              <w:t>Solid storage MCF</w:t>
            </w:r>
          </w:p>
        </w:tc>
      </w:tr>
      <w:tr w:rsidR="00E46639" w:rsidRPr="00D32DFD" w14:paraId="09679044"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320864F5" w14:textId="77777777" w:rsidR="00E46639" w:rsidRPr="00D32DFD" w:rsidRDefault="00E46639" w:rsidP="00D32DFD">
            <w:pPr>
              <w:pStyle w:val="TableText"/>
              <w:spacing w:before="30" w:after="30"/>
              <w:rPr>
                <w:rFonts w:cs="Calibri"/>
                <w:b w:val="0"/>
                <w:bCs w:val="0"/>
                <w:szCs w:val="16"/>
              </w:rPr>
            </w:pPr>
            <w:r w:rsidRPr="00D32DFD">
              <w:rPr>
                <w:rFonts w:cs="Calibri"/>
                <w:b w:val="0"/>
                <w:bCs w:val="0"/>
                <w:szCs w:val="16"/>
              </w:rPr>
              <w:t xml:space="preserve">Northland </w:t>
            </w:r>
          </w:p>
        </w:tc>
        <w:tc>
          <w:tcPr>
            <w:tcW w:w="1842" w:type="dxa"/>
            <w:tcBorders>
              <w:top w:val="none" w:sz="0" w:space="0" w:color="auto"/>
              <w:bottom w:val="none" w:sz="0" w:space="0" w:color="auto"/>
            </w:tcBorders>
          </w:tcPr>
          <w:p w14:paraId="0715D1BD"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Warm temperate, moist</w:t>
            </w:r>
          </w:p>
        </w:tc>
        <w:tc>
          <w:tcPr>
            <w:tcW w:w="1843" w:type="dxa"/>
            <w:tcBorders>
              <w:top w:val="none" w:sz="0" w:space="0" w:color="auto"/>
              <w:bottom w:val="none" w:sz="0" w:space="0" w:color="auto"/>
            </w:tcBorders>
            <w:noWrap/>
            <w:hideMark/>
          </w:tcPr>
          <w:p w14:paraId="6B1C051E"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0.73</w:t>
            </w:r>
          </w:p>
        </w:tc>
        <w:tc>
          <w:tcPr>
            <w:tcW w:w="1842" w:type="dxa"/>
            <w:tcBorders>
              <w:top w:val="none" w:sz="0" w:space="0" w:color="auto"/>
              <w:bottom w:val="none" w:sz="0" w:space="0" w:color="auto"/>
            </w:tcBorders>
          </w:tcPr>
          <w:p w14:paraId="2CFD385A"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0.04</w:t>
            </w:r>
          </w:p>
        </w:tc>
      </w:tr>
      <w:tr w:rsidR="00E46639" w:rsidRPr="00D32DFD" w14:paraId="5F418FA2"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651643B0"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Auckland </w:t>
            </w:r>
          </w:p>
        </w:tc>
        <w:tc>
          <w:tcPr>
            <w:tcW w:w="1842" w:type="dxa"/>
          </w:tcPr>
          <w:p w14:paraId="222F9F9D"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moist</w:t>
            </w:r>
          </w:p>
        </w:tc>
        <w:tc>
          <w:tcPr>
            <w:tcW w:w="1843" w:type="dxa"/>
            <w:noWrap/>
            <w:hideMark/>
          </w:tcPr>
          <w:p w14:paraId="180B1A5C"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0.73</w:t>
            </w:r>
          </w:p>
        </w:tc>
        <w:tc>
          <w:tcPr>
            <w:tcW w:w="1842" w:type="dxa"/>
          </w:tcPr>
          <w:p w14:paraId="7CFF0A78"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r w:rsidR="00E46639" w:rsidRPr="00D32DFD" w14:paraId="3FF3F812"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7130255F"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Waikato </w:t>
            </w:r>
          </w:p>
        </w:tc>
        <w:tc>
          <w:tcPr>
            <w:tcW w:w="1842" w:type="dxa"/>
            <w:tcBorders>
              <w:top w:val="none" w:sz="0" w:space="0" w:color="auto"/>
              <w:bottom w:val="none" w:sz="0" w:space="0" w:color="auto"/>
            </w:tcBorders>
          </w:tcPr>
          <w:p w14:paraId="5F16A073"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Warm temperate, moist</w:t>
            </w:r>
          </w:p>
        </w:tc>
        <w:tc>
          <w:tcPr>
            <w:tcW w:w="1843" w:type="dxa"/>
            <w:tcBorders>
              <w:top w:val="none" w:sz="0" w:space="0" w:color="auto"/>
              <w:bottom w:val="none" w:sz="0" w:space="0" w:color="auto"/>
            </w:tcBorders>
            <w:noWrap/>
            <w:hideMark/>
          </w:tcPr>
          <w:p w14:paraId="02164E32"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0.73</w:t>
            </w:r>
          </w:p>
        </w:tc>
        <w:tc>
          <w:tcPr>
            <w:tcW w:w="1842" w:type="dxa"/>
            <w:tcBorders>
              <w:top w:val="none" w:sz="0" w:space="0" w:color="auto"/>
              <w:bottom w:val="none" w:sz="0" w:space="0" w:color="auto"/>
            </w:tcBorders>
          </w:tcPr>
          <w:p w14:paraId="2CC295A7"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0.04</w:t>
            </w:r>
          </w:p>
        </w:tc>
      </w:tr>
      <w:tr w:rsidR="00E46639" w:rsidRPr="00D32DFD" w14:paraId="1C462A6E"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0D809133"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Bay of Plenty </w:t>
            </w:r>
          </w:p>
        </w:tc>
        <w:tc>
          <w:tcPr>
            <w:tcW w:w="1842" w:type="dxa"/>
          </w:tcPr>
          <w:p w14:paraId="184F1005"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moist</w:t>
            </w:r>
          </w:p>
        </w:tc>
        <w:tc>
          <w:tcPr>
            <w:tcW w:w="1843" w:type="dxa"/>
            <w:noWrap/>
            <w:hideMark/>
          </w:tcPr>
          <w:p w14:paraId="2C265607"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0.73</w:t>
            </w:r>
          </w:p>
        </w:tc>
        <w:tc>
          <w:tcPr>
            <w:tcW w:w="1842" w:type="dxa"/>
          </w:tcPr>
          <w:p w14:paraId="55BF0596"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r w:rsidR="00E46639" w:rsidRPr="00D32DFD" w14:paraId="3DA6B656"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4AD676C2"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Gisborne </w:t>
            </w:r>
          </w:p>
        </w:tc>
        <w:tc>
          <w:tcPr>
            <w:tcW w:w="1842" w:type="dxa"/>
            <w:tcBorders>
              <w:top w:val="none" w:sz="0" w:space="0" w:color="auto"/>
              <w:bottom w:val="none" w:sz="0" w:space="0" w:color="auto"/>
            </w:tcBorders>
          </w:tcPr>
          <w:p w14:paraId="2096BE2E"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Warm temperate, moist</w:t>
            </w:r>
          </w:p>
        </w:tc>
        <w:tc>
          <w:tcPr>
            <w:tcW w:w="1843" w:type="dxa"/>
            <w:tcBorders>
              <w:top w:val="none" w:sz="0" w:space="0" w:color="auto"/>
              <w:bottom w:val="none" w:sz="0" w:space="0" w:color="auto"/>
            </w:tcBorders>
            <w:noWrap/>
            <w:hideMark/>
          </w:tcPr>
          <w:p w14:paraId="520AAC0C"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0.73</w:t>
            </w:r>
          </w:p>
        </w:tc>
        <w:tc>
          <w:tcPr>
            <w:tcW w:w="1842" w:type="dxa"/>
            <w:tcBorders>
              <w:top w:val="none" w:sz="0" w:space="0" w:color="auto"/>
              <w:bottom w:val="none" w:sz="0" w:space="0" w:color="auto"/>
            </w:tcBorders>
          </w:tcPr>
          <w:p w14:paraId="7E77312E"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0.04</w:t>
            </w:r>
          </w:p>
        </w:tc>
      </w:tr>
      <w:tr w:rsidR="00E46639" w:rsidRPr="00D32DFD" w14:paraId="6F359CDB"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3FADC833"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Hawke’s Bay </w:t>
            </w:r>
          </w:p>
        </w:tc>
        <w:tc>
          <w:tcPr>
            <w:tcW w:w="1842" w:type="dxa"/>
          </w:tcPr>
          <w:p w14:paraId="08E626E5"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moist</w:t>
            </w:r>
          </w:p>
        </w:tc>
        <w:tc>
          <w:tcPr>
            <w:tcW w:w="1843" w:type="dxa"/>
            <w:noWrap/>
            <w:hideMark/>
          </w:tcPr>
          <w:p w14:paraId="006ED4EB"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0.73</w:t>
            </w:r>
          </w:p>
        </w:tc>
        <w:tc>
          <w:tcPr>
            <w:tcW w:w="1842" w:type="dxa"/>
          </w:tcPr>
          <w:p w14:paraId="36EAF7EA"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r w:rsidR="00E46639" w:rsidRPr="00D32DFD" w14:paraId="0213EFAE"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76CF627C"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Taranaki </w:t>
            </w:r>
          </w:p>
        </w:tc>
        <w:tc>
          <w:tcPr>
            <w:tcW w:w="1842" w:type="dxa"/>
            <w:tcBorders>
              <w:top w:val="none" w:sz="0" w:space="0" w:color="auto"/>
              <w:bottom w:val="none" w:sz="0" w:space="0" w:color="auto"/>
            </w:tcBorders>
          </w:tcPr>
          <w:p w14:paraId="0D0222AA"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Warm temperate, moist</w:t>
            </w:r>
          </w:p>
        </w:tc>
        <w:tc>
          <w:tcPr>
            <w:tcW w:w="1843" w:type="dxa"/>
            <w:tcBorders>
              <w:top w:val="none" w:sz="0" w:space="0" w:color="auto"/>
              <w:bottom w:val="none" w:sz="0" w:space="0" w:color="auto"/>
            </w:tcBorders>
            <w:noWrap/>
            <w:hideMark/>
          </w:tcPr>
          <w:p w14:paraId="25F891BA"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0.73</w:t>
            </w:r>
          </w:p>
        </w:tc>
        <w:tc>
          <w:tcPr>
            <w:tcW w:w="1842" w:type="dxa"/>
            <w:tcBorders>
              <w:top w:val="none" w:sz="0" w:space="0" w:color="auto"/>
              <w:bottom w:val="none" w:sz="0" w:space="0" w:color="auto"/>
            </w:tcBorders>
          </w:tcPr>
          <w:p w14:paraId="4BFB485D"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0.04</w:t>
            </w:r>
          </w:p>
        </w:tc>
      </w:tr>
      <w:tr w:rsidR="00E46639" w:rsidRPr="00D32DFD" w14:paraId="2E1256FF"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51DE9C29"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Manawatu–Whanganui </w:t>
            </w:r>
          </w:p>
        </w:tc>
        <w:tc>
          <w:tcPr>
            <w:tcW w:w="1842" w:type="dxa"/>
          </w:tcPr>
          <w:p w14:paraId="6419A258"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moist</w:t>
            </w:r>
          </w:p>
        </w:tc>
        <w:tc>
          <w:tcPr>
            <w:tcW w:w="1843" w:type="dxa"/>
            <w:noWrap/>
            <w:hideMark/>
          </w:tcPr>
          <w:p w14:paraId="4675E575"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0.73</w:t>
            </w:r>
          </w:p>
        </w:tc>
        <w:tc>
          <w:tcPr>
            <w:tcW w:w="1842" w:type="dxa"/>
          </w:tcPr>
          <w:p w14:paraId="33F08B07"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r w:rsidR="00E46639" w:rsidRPr="00D32DFD" w14:paraId="04C19AB3"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10A04B1B"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Wellington </w:t>
            </w:r>
          </w:p>
        </w:tc>
        <w:tc>
          <w:tcPr>
            <w:tcW w:w="1842" w:type="dxa"/>
            <w:tcBorders>
              <w:top w:val="none" w:sz="0" w:space="0" w:color="auto"/>
              <w:bottom w:val="none" w:sz="0" w:space="0" w:color="auto"/>
            </w:tcBorders>
          </w:tcPr>
          <w:p w14:paraId="706E15CF"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Warm temperate, moist</w:t>
            </w:r>
          </w:p>
        </w:tc>
        <w:tc>
          <w:tcPr>
            <w:tcW w:w="1843" w:type="dxa"/>
            <w:tcBorders>
              <w:top w:val="none" w:sz="0" w:space="0" w:color="auto"/>
              <w:bottom w:val="none" w:sz="0" w:space="0" w:color="auto"/>
            </w:tcBorders>
            <w:noWrap/>
            <w:hideMark/>
          </w:tcPr>
          <w:p w14:paraId="4A479F95"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0.73</w:t>
            </w:r>
          </w:p>
        </w:tc>
        <w:tc>
          <w:tcPr>
            <w:tcW w:w="1842" w:type="dxa"/>
            <w:tcBorders>
              <w:top w:val="none" w:sz="0" w:space="0" w:color="auto"/>
              <w:bottom w:val="none" w:sz="0" w:space="0" w:color="auto"/>
            </w:tcBorders>
          </w:tcPr>
          <w:p w14:paraId="38C1FADC"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0.04</w:t>
            </w:r>
          </w:p>
        </w:tc>
      </w:tr>
      <w:tr w:rsidR="00E46639" w:rsidRPr="00D32DFD" w14:paraId="121824DB"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1258712A"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West Coast </w:t>
            </w:r>
          </w:p>
        </w:tc>
        <w:tc>
          <w:tcPr>
            <w:tcW w:w="1842" w:type="dxa"/>
          </w:tcPr>
          <w:p w14:paraId="65FA0B35"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moist</w:t>
            </w:r>
          </w:p>
        </w:tc>
        <w:tc>
          <w:tcPr>
            <w:tcW w:w="1843" w:type="dxa"/>
            <w:noWrap/>
            <w:hideMark/>
          </w:tcPr>
          <w:p w14:paraId="448CDDE0"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0.73</w:t>
            </w:r>
          </w:p>
        </w:tc>
        <w:tc>
          <w:tcPr>
            <w:tcW w:w="1842" w:type="dxa"/>
          </w:tcPr>
          <w:p w14:paraId="6B28AA3F"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r w:rsidR="00E46639" w:rsidRPr="00D32DFD" w14:paraId="3EA55471"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434AA3AD"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Canterbury </w:t>
            </w:r>
          </w:p>
        </w:tc>
        <w:tc>
          <w:tcPr>
            <w:tcW w:w="1842" w:type="dxa"/>
            <w:tcBorders>
              <w:top w:val="none" w:sz="0" w:space="0" w:color="auto"/>
              <w:bottom w:val="none" w:sz="0" w:space="0" w:color="auto"/>
            </w:tcBorders>
          </w:tcPr>
          <w:p w14:paraId="2175ED94"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Warm temperate, dry</w:t>
            </w:r>
          </w:p>
        </w:tc>
        <w:tc>
          <w:tcPr>
            <w:tcW w:w="1843" w:type="dxa"/>
            <w:tcBorders>
              <w:top w:val="none" w:sz="0" w:space="0" w:color="auto"/>
              <w:bottom w:val="none" w:sz="0" w:space="0" w:color="auto"/>
            </w:tcBorders>
            <w:noWrap/>
            <w:hideMark/>
          </w:tcPr>
          <w:p w14:paraId="4428166A"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0.76</w:t>
            </w:r>
          </w:p>
        </w:tc>
        <w:tc>
          <w:tcPr>
            <w:tcW w:w="1842" w:type="dxa"/>
            <w:tcBorders>
              <w:top w:val="none" w:sz="0" w:space="0" w:color="auto"/>
              <w:bottom w:val="none" w:sz="0" w:space="0" w:color="auto"/>
            </w:tcBorders>
          </w:tcPr>
          <w:p w14:paraId="50F0BD91"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0.04</w:t>
            </w:r>
          </w:p>
        </w:tc>
      </w:tr>
      <w:tr w:rsidR="00E46639" w:rsidRPr="00D32DFD" w14:paraId="1376D1A8"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67A55B0D"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Otago </w:t>
            </w:r>
          </w:p>
        </w:tc>
        <w:tc>
          <w:tcPr>
            <w:tcW w:w="1842" w:type="dxa"/>
          </w:tcPr>
          <w:p w14:paraId="4DA2E00F"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dry</w:t>
            </w:r>
          </w:p>
        </w:tc>
        <w:tc>
          <w:tcPr>
            <w:tcW w:w="1843" w:type="dxa"/>
            <w:noWrap/>
            <w:hideMark/>
          </w:tcPr>
          <w:p w14:paraId="7C7A6D39"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0.76</w:t>
            </w:r>
          </w:p>
        </w:tc>
        <w:tc>
          <w:tcPr>
            <w:tcW w:w="1842" w:type="dxa"/>
          </w:tcPr>
          <w:p w14:paraId="7FBD125F"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r w:rsidR="00E46639" w:rsidRPr="00D32DFD" w14:paraId="74955021"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5055D958"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Southland </w:t>
            </w:r>
          </w:p>
        </w:tc>
        <w:tc>
          <w:tcPr>
            <w:tcW w:w="1842" w:type="dxa"/>
            <w:tcBorders>
              <w:top w:val="none" w:sz="0" w:space="0" w:color="auto"/>
              <w:bottom w:val="none" w:sz="0" w:space="0" w:color="auto"/>
            </w:tcBorders>
          </w:tcPr>
          <w:p w14:paraId="087FF178"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Cool temperate, moist</w:t>
            </w:r>
          </w:p>
        </w:tc>
        <w:tc>
          <w:tcPr>
            <w:tcW w:w="1843" w:type="dxa"/>
            <w:tcBorders>
              <w:top w:val="none" w:sz="0" w:space="0" w:color="auto"/>
              <w:bottom w:val="none" w:sz="0" w:space="0" w:color="auto"/>
            </w:tcBorders>
            <w:noWrap/>
            <w:hideMark/>
          </w:tcPr>
          <w:p w14:paraId="2F5F3CAC"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0.6</w:t>
            </w:r>
          </w:p>
        </w:tc>
        <w:tc>
          <w:tcPr>
            <w:tcW w:w="1842" w:type="dxa"/>
            <w:tcBorders>
              <w:top w:val="none" w:sz="0" w:space="0" w:color="auto"/>
              <w:bottom w:val="none" w:sz="0" w:space="0" w:color="auto"/>
            </w:tcBorders>
          </w:tcPr>
          <w:p w14:paraId="73A74F2C"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0.02</w:t>
            </w:r>
          </w:p>
        </w:tc>
      </w:tr>
      <w:tr w:rsidR="00E46639" w:rsidRPr="00D32DFD" w14:paraId="6DB437D6"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1F2FF9A7"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 xml:space="preserve">Tasman </w:t>
            </w:r>
          </w:p>
        </w:tc>
        <w:tc>
          <w:tcPr>
            <w:tcW w:w="1842" w:type="dxa"/>
          </w:tcPr>
          <w:p w14:paraId="0E89324B"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moist</w:t>
            </w:r>
          </w:p>
        </w:tc>
        <w:tc>
          <w:tcPr>
            <w:tcW w:w="1843" w:type="dxa"/>
            <w:noWrap/>
            <w:hideMark/>
          </w:tcPr>
          <w:p w14:paraId="405B2AAF"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0.73</w:t>
            </w:r>
          </w:p>
        </w:tc>
        <w:tc>
          <w:tcPr>
            <w:tcW w:w="1842" w:type="dxa"/>
          </w:tcPr>
          <w:p w14:paraId="04814156"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r w:rsidR="00E46639" w:rsidRPr="00D32DFD" w14:paraId="337FA668" w14:textId="77777777" w:rsidTr="00083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bottom w:val="none" w:sz="0" w:space="0" w:color="auto"/>
              <w:right w:val="none" w:sz="0" w:space="0" w:color="auto"/>
            </w:tcBorders>
            <w:noWrap/>
            <w:hideMark/>
          </w:tcPr>
          <w:p w14:paraId="35CF0467"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Nelson region</w:t>
            </w:r>
          </w:p>
        </w:tc>
        <w:tc>
          <w:tcPr>
            <w:tcW w:w="1842" w:type="dxa"/>
            <w:tcBorders>
              <w:top w:val="none" w:sz="0" w:space="0" w:color="auto"/>
              <w:bottom w:val="none" w:sz="0" w:space="0" w:color="auto"/>
            </w:tcBorders>
          </w:tcPr>
          <w:p w14:paraId="61E8C067" w14:textId="77777777" w:rsidR="00E46639" w:rsidRPr="00D32DFD" w:rsidRDefault="00E46639" w:rsidP="00D32DFD">
            <w:pPr>
              <w:pStyle w:val="TableText"/>
              <w:spacing w:before="30" w:after="30"/>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Warm temperate, moist</w:t>
            </w:r>
          </w:p>
        </w:tc>
        <w:tc>
          <w:tcPr>
            <w:tcW w:w="1843" w:type="dxa"/>
            <w:tcBorders>
              <w:top w:val="none" w:sz="0" w:space="0" w:color="auto"/>
              <w:bottom w:val="none" w:sz="0" w:space="0" w:color="auto"/>
            </w:tcBorders>
            <w:noWrap/>
            <w:hideMark/>
          </w:tcPr>
          <w:p w14:paraId="392A1938"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0.73</w:t>
            </w:r>
          </w:p>
        </w:tc>
        <w:tc>
          <w:tcPr>
            <w:tcW w:w="1842" w:type="dxa"/>
            <w:tcBorders>
              <w:top w:val="none" w:sz="0" w:space="0" w:color="auto"/>
              <w:bottom w:val="none" w:sz="0" w:space="0" w:color="auto"/>
            </w:tcBorders>
          </w:tcPr>
          <w:p w14:paraId="1F163F1B" w14:textId="77777777" w:rsidR="00E46639" w:rsidRPr="00D32DFD" w:rsidRDefault="00E46639" w:rsidP="00D32DFD">
            <w:pPr>
              <w:pStyle w:val="TableText"/>
              <w:spacing w:before="30" w:after="30"/>
              <w:jc w:val="right"/>
              <w:cnfStyle w:val="000000100000" w:firstRow="0" w:lastRow="0" w:firstColumn="0" w:lastColumn="0" w:oddVBand="0" w:evenVBand="0" w:oddHBand="1" w:evenHBand="0" w:firstRowFirstColumn="0" w:firstRowLastColumn="0" w:lastRowFirstColumn="0" w:lastRowLastColumn="0"/>
              <w:rPr>
                <w:rFonts w:cs="Calibri"/>
                <w:szCs w:val="16"/>
              </w:rPr>
            </w:pPr>
            <w:r w:rsidRPr="00D32DFD">
              <w:rPr>
                <w:rFonts w:cs="Calibri"/>
                <w:szCs w:val="16"/>
              </w:rPr>
              <w:t>0.04</w:t>
            </w:r>
          </w:p>
        </w:tc>
      </w:tr>
      <w:tr w:rsidR="00E46639" w:rsidRPr="00D32DFD" w14:paraId="2A492E98" w14:textId="77777777" w:rsidTr="00083746">
        <w:tc>
          <w:tcPr>
            <w:cnfStyle w:val="001000000000" w:firstRow="0" w:lastRow="0" w:firstColumn="1" w:lastColumn="0" w:oddVBand="0" w:evenVBand="0" w:oddHBand="0" w:evenHBand="0" w:firstRowFirstColumn="0" w:firstRowLastColumn="0" w:lastRowFirstColumn="0" w:lastRowLastColumn="0"/>
            <w:tcW w:w="2978" w:type="dxa"/>
            <w:tcBorders>
              <w:right w:val="none" w:sz="0" w:space="0" w:color="auto"/>
            </w:tcBorders>
            <w:noWrap/>
            <w:hideMark/>
          </w:tcPr>
          <w:p w14:paraId="431FB514" w14:textId="77777777" w:rsidR="00E46639" w:rsidRPr="00D32DFD" w:rsidRDefault="00E46639" w:rsidP="00D32DFD">
            <w:pPr>
              <w:pStyle w:val="TableTextBold"/>
              <w:spacing w:before="30" w:after="30"/>
              <w:rPr>
                <w:rFonts w:cs="Calibri"/>
                <w:noProof w:val="0"/>
                <w:szCs w:val="16"/>
              </w:rPr>
            </w:pPr>
            <w:r w:rsidRPr="00D32DFD">
              <w:rPr>
                <w:rFonts w:cs="Calibri"/>
                <w:noProof w:val="0"/>
                <w:szCs w:val="16"/>
              </w:rPr>
              <w:t>Marlborough region</w:t>
            </w:r>
          </w:p>
        </w:tc>
        <w:tc>
          <w:tcPr>
            <w:tcW w:w="1842" w:type="dxa"/>
          </w:tcPr>
          <w:p w14:paraId="32729D2E" w14:textId="77777777" w:rsidR="00E46639" w:rsidRPr="00D32DFD" w:rsidRDefault="00E46639" w:rsidP="00D32DFD">
            <w:pPr>
              <w:pStyle w:val="TableText"/>
              <w:spacing w:before="30" w:after="30"/>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Warm temperate, dry</w:t>
            </w:r>
          </w:p>
        </w:tc>
        <w:tc>
          <w:tcPr>
            <w:tcW w:w="1843" w:type="dxa"/>
            <w:noWrap/>
            <w:hideMark/>
          </w:tcPr>
          <w:p w14:paraId="7204AA2D"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0.76</w:t>
            </w:r>
          </w:p>
        </w:tc>
        <w:tc>
          <w:tcPr>
            <w:tcW w:w="1842" w:type="dxa"/>
          </w:tcPr>
          <w:p w14:paraId="38017097" w14:textId="77777777" w:rsidR="00E46639" w:rsidRPr="00D32DFD" w:rsidRDefault="00E46639" w:rsidP="00D32DFD">
            <w:pPr>
              <w:pStyle w:val="TableText"/>
              <w:spacing w:before="30" w:after="30"/>
              <w:jc w:val="right"/>
              <w:cnfStyle w:val="000000000000" w:firstRow="0" w:lastRow="0" w:firstColumn="0" w:lastColumn="0" w:oddVBand="0" w:evenVBand="0" w:oddHBand="0" w:evenHBand="0" w:firstRowFirstColumn="0" w:firstRowLastColumn="0" w:lastRowFirstColumn="0" w:lastRowLastColumn="0"/>
              <w:rPr>
                <w:rFonts w:cs="Calibri"/>
                <w:szCs w:val="16"/>
              </w:rPr>
            </w:pPr>
            <w:r w:rsidRPr="00D32DFD">
              <w:rPr>
                <w:rFonts w:cs="Calibri"/>
                <w:szCs w:val="16"/>
              </w:rPr>
              <w:t>0.04</w:t>
            </w:r>
          </w:p>
        </w:tc>
      </w:tr>
    </w:tbl>
    <w:p w14:paraId="548D399C" w14:textId="77777777" w:rsidR="00E46639" w:rsidRPr="0028033B" w:rsidRDefault="00E46639" w:rsidP="00E46639">
      <w:pPr>
        <w:pStyle w:val="Source"/>
      </w:pPr>
      <w:r w:rsidRPr="0028033B">
        <w:rPr>
          <w:b/>
          <w:bCs/>
        </w:rPr>
        <w:t xml:space="preserve">Source: </w:t>
      </w:r>
      <w:r w:rsidRPr="0028033B">
        <w:rPr>
          <w:b/>
          <w:bCs/>
        </w:rPr>
        <w:tab/>
      </w:r>
      <w:r w:rsidRPr="0028033B">
        <w:t>IPCC (2019), table 10.17</w:t>
      </w:r>
    </w:p>
    <w:p w14:paraId="48E7FEF2" w14:textId="77777777" w:rsidR="00E46639" w:rsidRPr="0028033B" w:rsidRDefault="00E46639" w:rsidP="00E46639">
      <w:pPr>
        <w:pStyle w:val="Heading5"/>
      </w:pPr>
      <w:r w:rsidRPr="0028033B">
        <w:t>Methane emissions from manure deposited on pasture for the major livestock categories</w:t>
      </w:r>
    </w:p>
    <w:p w14:paraId="072C6BA0" w14:textId="77777777" w:rsidR="00E46639" w:rsidRPr="0028033B" w:rsidRDefault="00E46639" w:rsidP="00E46639">
      <w:pPr>
        <w:pStyle w:val="BodyText"/>
      </w:pPr>
      <w:r w:rsidRPr="0028033B">
        <w:t xml:space="preserve">The following equation is used to determine </w:t>
      </w:r>
      <w:r w:rsidRPr="0028033B">
        <w:rPr>
          <w:rFonts w:cs="Calibri"/>
        </w:rPr>
        <w:t>CH</w:t>
      </w:r>
      <w:r w:rsidRPr="0028033B">
        <w:rPr>
          <w:rFonts w:cs="Calibri"/>
          <w:vertAlign w:val="subscript"/>
        </w:rPr>
        <w:t>4</w:t>
      </w:r>
      <w:r w:rsidRPr="0028033B">
        <w:rPr>
          <w:rFonts w:cs="Calibri"/>
        </w:rPr>
        <w:t xml:space="preserve"> </w:t>
      </w:r>
      <w:r w:rsidRPr="0028033B">
        <w:t>emissions (CH</w:t>
      </w:r>
      <w:r w:rsidRPr="0028033B">
        <w:rPr>
          <w:vertAlign w:val="subscript"/>
        </w:rPr>
        <w:t>4-PRP</w:t>
      </w:r>
      <w:r w:rsidRPr="0028033B">
        <w:t>) from non-dairy cattle, sheep and deer manure deposited onto pasture:</w:t>
      </w:r>
    </w:p>
    <w:p w14:paraId="4E298735" w14:textId="77777777" w:rsidR="00E46639" w:rsidRPr="0028033B" w:rsidRDefault="00000000" w:rsidP="00E46639">
      <w:pPr>
        <w:pStyle w:val="BodyText"/>
        <w:spacing w:before="0" w:after="100"/>
        <w:jc w:val="center"/>
        <w:rPr>
          <w:rFonts w:cs="Calibri"/>
          <w:sz w:val="24"/>
          <w:szCs w:val="24"/>
        </w:rPr>
      </w:pPr>
      <m:oMathPara>
        <m:oMath>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4PRP-dairy</m:t>
              </m:r>
            </m:sub>
          </m:sSub>
          <m:r>
            <w:rPr>
              <w:rFonts w:ascii="Cambria Math" w:hAnsi="Cambria Math"/>
              <w:sz w:val="24"/>
              <w:szCs w:val="24"/>
            </w:rPr>
            <m:t>= FDM×</m:t>
          </m:r>
          <m:sSub>
            <m:sSubPr>
              <m:ctrlPr>
                <w:rPr>
                  <w:rFonts w:ascii="Cambria Math" w:hAnsi="Cambria Math"/>
                  <w:i/>
                  <w:sz w:val="24"/>
                  <w:szCs w:val="24"/>
                </w:rPr>
              </m:ctrlPr>
            </m:sSubPr>
            <m:e>
              <m:r>
                <w:rPr>
                  <w:rFonts w:ascii="Cambria Math" w:hAnsi="Cambria Math"/>
                  <w:sz w:val="24"/>
                  <w:szCs w:val="24"/>
                </w:rPr>
                <m:t>MS</m:t>
              </m:r>
            </m:e>
            <m:sub>
              <m:r>
                <w:rPr>
                  <w:rFonts w:ascii="Cambria Math" w:hAnsi="Cambria Math"/>
                  <w:sz w:val="24"/>
                  <w:szCs w:val="24"/>
                </w:rPr>
                <m:t>PRP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m:t>
              </m:r>
            </m:sub>
          </m:sSub>
        </m:oMath>
      </m:oMathPara>
    </w:p>
    <w:p w14:paraId="2A34CAEE" w14:textId="77777777" w:rsidR="00E46639" w:rsidRPr="0028033B" w:rsidRDefault="00E46639" w:rsidP="00D32DFD">
      <w:pPr>
        <w:pStyle w:val="BodyText"/>
        <w:keepNext/>
        <w:spacing w:before="60" w:after="40"/>
        <w:ind w:left="964" w:hanging="964"/>
      </w:pPr>
      <w:r w:rsidRPr="0028033B">
        <w:t xml:space="preserve">Where: </w:t>
      </w:r>
      <w:r w:rsidRPr="0028033B">
        <w:tab/>
        <w:t>FDM is the faecal dry matter (kg/month/head)</w:t>
      </w:r>
    </w:p>
    <w:p w14:paraId="4659DBA9" w14:textId="77777777" w:rsidR="00E46639" w:rsidRPr="0028033B" w:rsidRDefault="00E46639" w:rsidP="00D32DFD">
      <w:pPr>
        <w:pStyle w:val="BodyText"/>
        <w:keepNext/>
        <w:spacing w:before="20" w:after="40"/>
        <w:ind w:left="964" w:hanging="964"/>
      </w:pPr>
      <w:r w:rsidRPr="0028033B">
        <w:tab/>
        <w:t>MS</w:t>
      </w:r>
      <w:r w:rsidRPr="0028033B">
        <w:rPr>
          <w:vertAlign w:val="subscript"/>
        </w:rPr>
        <w:t>PRP</w:t>
      </w:r>
      <w:r w:rsidRPr="0028033B">
        <w:t xml:space="preserve"> = proportion of manure excreted on pasture, and</w:t>
      </w:r>
    </w:p>
    <w:p w14:paraId="004CBC03" w14:textId="77777777" w:rsidR="00E46639" w:rsidRPr="0028033B" w:rsidRDefault="00E46639" w:rsidP="00E46639">
      <w:pPr>
        <w:pStyle w:val="BodyText"/>
        <w:spacing w:before="20"/>
        <w:ind w:left="964" w:hanging="964"/>
      </w:pPr>
      <w:r w:rsidRPr="0028033B">
        <w:tab/>
        <w:t>Y</w:t>
      </w:r>
      <w:r w:rsidRPr="0028033B">
        <w:rPr>
          <w:vertAlign w:val="subscript"/>
        </w:rPr>
        <w:t>m</w:t>
      </w:r>
      <w:r w:rsidRPr="0028033B">
        <w:t xml:space="preserve"> is the CH</w:t>
      </w:r>
      <w:r w:rsidRPr="0028033B">
        <w:rPr>
          <w:vertAlign w:val="subscript"/>
        </w:rPr>
        <w:t>4</w:t>
      </w:r>
      <w:r w:rsidRPr="0028033B">
        <w:t xml:space="preserve"> yield value (kg CH</w:t>
      </w:r>
      <w:r w:rsidRPr="0028033B">
        <w:rPr>
          <w:vertAlign w:val="subscript"/>
        </w:rPr>
        <w:t>4</w:t>
      </w:r>
      <w:r w:rsidRPr="0028033B">
        <w:t>/kg FDM).</w:t>
      </w:r>
    </w:p>
    <w:p w14:paraId="1AD57BDC" w14:textId="77777777" w:rsidR="00E46639" w:rsidRPr="0028033B" w:rsidRDefault="00E46639" w:rsidP="00E46639">
      <w:pPr>
        <w:pStyle w:val="BodyText"/>
        <w:spacing w:before="100" w:after="100"/>
      </w:pPr>
      <w:r w:rsidRPr="0028033B">
        <w:t xml:space="preserve">Country-specific </w:t>
      </w:r>
      <w:r w:rsidRPr="0028033B">
        <w:rPr>
          <w:rFonts w:cs="Calibri"/>
        </w:rPr>
        <w:t>CH</w:t>
      </w:r>
      <w:r w:rsidRPr="0028033B">
        <w:rPr>
          <w:rFonts w:cs="Calibri"/>
          <w:vertAlign w:val="subscript"/>
        </w:rPr>
        <w:t>4</w:t>
      </w:r>
      <w:r w:rsidRPr="0028033B">
        <w:rPr>
          <w:rFonts w:cs="Calibri"/>
        </w:rPr>
        <w:t xml:space="preserve"> </w:t>
      </w:r>
      <w:r w:rsidRPr="0028033B">
        <w:t>yield values have been developed from New Zealand studies. Details on the values used for each of the major livestock categories are provided below.</w:t>
      </w:r>
    </w:p>
    <w:p w14:paraId="0AFD6651" w14:textId="77777777" w:rsidR="00E46639" w:rsidRPr="0028033B" w:rsidRDefault="00E46639" w:rsidP="00E46639">
      <w:pPr>
        <w:pStyle w:val="BodyText"/>
        <w:spacing w:before="100" w:after="100"/>
        <w:rPr>
          <w:rFonts w:cs="Calibri"/>
        </w:rPr>
      </w:pPr>
      <w:r w:rsidRPr="0028033B">
        <w:rPr>
          <w:rFonts w:cs="Calibri"/>
          <w:i/>
        </w:rPr>
        <w:t>Dairy cattle:</w:t>
      </w:r>
      <w:r w:rsidRPr="0028033B">
        <w:rPr>
          <w:rFonts w:cs="Calibri"/>
        </w:rPr>
        <w:t xml:space="preserve"> The quantity of CH</w:t>
      </w:r>
      <w:r w:rsidRPr="0028033B">
        <w:rPr>
          <w:rFonts w:cs="Calibri"/>
          <w:vertAlign w:val="subscript"/>
        </w:rPr>
        <w:t>4</w:t>
      </w:r>
      <w:r w:rsidRPr="0028033B">
        <w:rPr>
          <w:rFonts w:cs="Calibri"/>
        </w:rPr>
        <w:t xml:space="preserve"> produced per kilogram of FDM is 0.98 g CH</w:t>
      </w:r>
      <w:r w:rsidRPr="0028033B">
        <w:rPr>
          <w:rFonts w:cs="Calibri"/>
          <w:vertAlign w:val="subscript"/>
        </w:rPr>
        <w:t>4</w:t>
      </w:r>
      <w:r w:rsidRPr="0028033B">
        <w:rPr>
          <w:rFonts w:cs="Calibri"/>
        </w:rPr>
        <w:t xml:space="preserve">/kg for manure deposited on pasture. This value is obtained from </w:t>
      </w:r>
      <w:r w:rsidRPr="0028033B" w:rsidDel="00C95FDB">
        <w:t xml:space="preserve">New </w:t>
      </w:r>
      <w:r w:rsidRPr="0028033B">
        <w:t>Zealand</w:t>
      </w:r>
      <w:r w:rsidRPr="0028033B">
        <w:rPr>
          <w:rFonts w:cs="Calibri"/>
        </w:rPr>
        <w:t xml:space="preserve"> studies on dairy cows and varies from around 0.92 g CH</w:t>
      </w:r>
      <w:r w:rsidRPr="0028033B">
        <w:rPr>
          <w:rFonts w:cs="Calibri"/>
          <w:vertAlign w:val="subscript"/>
        </w:rPr>
        <w:t>4</w:t>
      </w:r>
      <w:r w:rsidRPr="0028033B">
        <w:rPr>
          <w:rFonts w:cs="Calibri"/>
        </w:rPr>
        <w:t>/kg to 1.04 g CH</w:t>
      </w:r>
      <w:r w:rsidRPr="0028033B">
        <w:rPr>
          <w:rFonts w:cs="Calibri"/>
          <w:vertAlign w:val="subscript"/>
        </w:rPr>
        <w:t>4</w:t>
      </w:r>
      <w:r w:rsidRPr="0028033B">
        <w:rPr>
          <w:rFonts w:cs="Calibri"/>
        </w:rPr>
        <w:t>/kg (Saggar et al., 2003; Sherlock et al., 2003).</w:t>
      </w:r>
    </w:p>
    <w:p w14:paraId="364AE68D" w14:textId="77777777" w:rsidR="00E46639" w:rsidRPr="0028033B" w:rsidRDefault="00E46639" w:rsidP="00E46639">
      <w:pPr>
        <w:pStyle w:val="BodyText"/>
        <w:spacing w:before="100" w:after="100"/>
      </w:pPr>
      <w:r w:rsidRPr="0028033B">
        <w:rPr>
          <w:i/>
        </w:rPr>
        <w:t>Non-dairy cattle:</w:t>
      </w:r>
      <w:r w:rsidRPr="0028033B">
        <w:t xml:space="preserve"> The value of 0.98 g CH</w:t>
      </w:r>
      <w:r w:rsidRPr="0028033B">
        <w:rPr>
          <w:vertAlign w:val="subscript"/>
        </w:rPr>
        <w:t>4</w:t>
      </w:r>
      <w:r w:rsidRPr="0028033B">
        <w:t xml:space="preserve">/kg per unit of FDM is based on New Zealand studies on dairy cattle manure (Saggar et al., </w:t>
      </w:r>
      <w:r w:rsidRPr="0028033B">
        <w:rPr>
          <w:rFonts w:cs="Calibri"/>
        </w:rPr>
        <w:t>2003</w:t>
      </w:r>
      <w:r w:rsidRPr="0028033B">
        <w:t xml:space="preserve">; Sherlock et al., </w:t>
      </w:r>
      <w:r w:rsidRPr="0028033B">
        <w:rPr>
          <w:rFonts w:cs="Calibri"/>
        </w:rPr>
        <w:t>2003</w:t>
      </w:r>
      <w:r w:rsidRPr="0028033B">
        <w:t xml:space="preserve">). No specific studies have been conducted in </w:t>
      </w:r>
      <w:r w:rsidRPr="0028033B" w:rsidDel="00967AF7">
        <w:t xml:space="preserve">New </w:t>
      </w:r>
      <w:r w:rsidRPr="0028033B">
        <w:t xml:space="preserve">Zealand on </w:t>
      </w:r>
      <w:r w:rsidRPr="0028033B">
        <w:rPr>
          <w:rFonts w:cs="Calibri"/>
        </w:rPr>
        <w:t>CH</w:t>
      </w:r>
      <w:r w:rsidRPr="0028033B">
        <w:rPr>
          <w:rFonts w:cs="Calibri"/>
          <w:vertAlign w:val="subscript"/>
        </w:rPr>
        <w:t>4</w:t>
      </w:r>
      <w:r w:rsidRPr="0028033B">
        <w:rPr>
          <w:rFonts w:cs="Calibri"/>
        </w:rPr>
        <w:t xml:space="preserve"> </w:t>
      </w:r>
      <w:r w:rsidRPr="0028033B">
        <w:t>emissions from non-dairy cattle manure.</w:t>
      </w:r>
    </w:p>
    <w:p w14:paraId="727B80BE" w14:textId="77777777" w:rsidR="00E46639" w:rsidRPr="0028033B" w:rsidRDefault="00E46639" w:rsidP="00E46639">
      <w:pPr>
        <w:pStyle w:val="BodyText"/>
        <w:spacing w:before="100" w:after="100"/>
      </w:pPr>
      <w:r w:rsidRPr="0028033B">
        <w:rPr>
          <w:i/>
        </w:rPr>
        <w:t>Sheep:</w:t>
      </w:r>
      <w:r w:rsidRPr="0028033B">
        <w:rPr>
          <w:i/>
          <w:iCs/>
        </w:rPr>
        <w:t xml:space="preserve"> </w:t>
      </w:r>
      <w:r w:rsidRPr="0028033B">
        <w:t xml:space="preserve">The quantity of </w:t>
      </w:r>
      <w:r w:rsidRPr="0028033B">
        <w:rPr>
          <w:rFonts w:cs="Calibri"/>
        </w:rPr>
        <w:t>CH</w:t>
      </w:r>
      <w:r w:rsidRPr="0028033B">
        <w:rPr>
          <w:rFonts w:cs="Calibri"/>
          <w:vertAlign w:val="subscript"/>
        </w:rPr>
        <w:t>4</w:t>
      </w:r>
      <w:r w:rsidRPr="0028033B">
        <w:rPr>
          <w:rFonts w:cs="Calibri"/>
        </w:rPr>
        <w:t xml:space="preserve"> </w:t>
      </w:r>
      <w:r w:rsidRPr="0028033B">
        <w:t>produced per unit of sheep FDM is 0.69 g CH</w:t>
      </w:r>
      <w:r w:rsidRPr="0028033B">
        <w:rPr>
          <w:vertAlign w:val="subscript"/>
        </w:rPr>
        <w:t>4</w:t>
      </w:r>
      <w:r w:rsidRPr="0028033B">
        <w:t>/kg. This value</w:t>
      </w:r>
      <w:r w:rsidRPr="0028033B" w:rsidDel="00337DA2">
        <w:t xml:space="preserve"> </w:t>
      </w:r>
      <w:r w:rsidRPr="0028033B">
        <w:t>was obtained from a New Zealand study on sheep in which values ranged from 0.34 g CH</w:t>
      </w:r>
      <w:r w:rsidRPr="0028033B">
        <w:rPr>
          <w:vertAlign w:val="subscript"/>
        </w:rPr>
        <w:t>4</w:t>
      </w:r>
      <w:r w:rsidRPr="0028033B">
        <w:t>/kg to 1.29 g CH</w:t>
      </w:r>
      <w:r w:rsidRPr="0028033B">
        <w:rPr>
          <w:vertAlign w:val="subscript"/>
        </w:rPr>
        <w:t>4</w:t>
      </w:r>
      <w:r w:rsidRPr="0028033B">
        <w:t>/kg over six sampling periods (Carran et al., 2003).</w:t>
      </w:r>
    </w:p>
    <w:p w14:paraId="0706EAD8" w14:textId="77777777" w:rsidR="00E46639" w:rsidRPr="0028033B" w:rsidRDefault="00E46639" w:rsidP="00E46639">
      <w:pPr>
        <w:pStyle w:val="BodyText"/>
        <w:spacing w:before="100" w:after="100"/>
      </w:pPr>
      <w:r w:rsidRPr="0028033B">
        <w:rPr>
          <w:i/>
        </w:rPr>
        <w:t>Deer:</w:t>
      </w:r>
      <w:r w:rsidRPr="0028033B">
        <w:t xml:space="preserve"> The quantity of </w:t>
      </w:r>
      <w:r w:rsidRPr="0028033B">
        <w:rPr>
          <w:rFonts w:cs="Calibri"/>
        </w:rPr>
        <w:t>CH</w:t>
      </w:r>
      <w:r w:rsidRPr="0028033B">
        <w:rPr>
          <w:rFonts w:cs="Calibri"/>
          <w:vertAlign w:val="subscript"/>
        </w:rPr>
        <w:t>4</w:t>
      </w:r>
      <w:r w:rsidRPr="0028033B">
        <w:rPr>
          <w:rFonts w:cs="Calibri"/>
        </w:rPr>
        <w:t xml:space="preserve"> </w:t>
      </w:r>
      <w:r w:rsidRPr="0028033B">
        <w:t>produced per unit of FDM is assumed to be 0.91 g CH</w:t>
      </w:r>
      <w:r w:rsidRPr="0028033B">
        <w:rPr>
          <w:vertAlign w:val="subscript"/>
        </w:rPr>
        <w:t>4</w:t>
      </w:r>
      <w:r w:rsidRPr="0028033B">
        <w:t xml:space="preserve">/kg. This is the average value between sheep and dairy derived from </w:t>
      </w:r>
      <w:r w:rsidRPr="0028033B" w:rsidDel="00676218">
        <w:t xml:space="preserve">New </w:t>
      </w:r>
      <w:r w:rsidRPr="0028033B">
        <w:t>Zealand studies on sheep (Carran et al.,</w:t>
      </w:r>
      <w:r w:rsidRPr="0028033B">
        <w:rPr>
          <w:i/>
        </w:rPr>
        <w:t xml:space="preserve"> </w:t>
      </w:r>
      <w:r w:rsidRPr="0028033B">
        <w:rPr>
          <w:rFonts w:cs="Calibri"/>
        </w:rPr>
        <w:t>2003</w:t>
      </w:r>
      <w:r w:rsidRPr="0028033B">
        <w:t xml:space="preserve">) and dairy cattle (Saggar et al., </w:t>
      </w:r>
      <w:r w:rsidRPr="0028033B">
        <w:rPr>
          <w:rFonts w:cs="Calibri"/>
        </w:rPr>
        <w:t>2003</w:t>
      </w:r>
      <w:r w:rsidRPr="0028033B">
        <w:t xml:space="preserve">; Sherlock et al., </w:t>
      </w:r>
      <w:r w:rsidRPr="0028033B">
        <w:rPr>
          <w:rFonts w:cs="Calibri"/>
        </w:rPr>
        <w:t>2003</w:t>
      </w:r>
      <w:r w:rsidRPr="0028033B">
        <w:t xml:space="preserve">). No New Zealand studies </w:t>
      </w:r>
      <w:r w:rsidRPr="0028033B">
        <w:rPr>
          <w:spacing w:val="-2"/>
        </w:rPr>
        <w:t xml:space="preserve">have been completed on </w:t>
      </w:r>
      <w:r w:rsidRPr="0028033B">
        <w:rPr>
          <w:rFonts w:cs="Calibri"/>
          <w:spacing w:val="-2"/>
        </w:rPr>
        <w:t>CH</w:t>
      </w:r>
      <w:r w:rsidRPr="0028033B">
        <w:rPr>
          <w:rFonts w:cs="Calibri"/>
          <w:spacing w:val="-2"/>
          <w:vertAlign w:val="subscript"/>
        </w:rPr>
        <w:t>4</w:t>
      </w:r>
      <w:r w:rsidRPr="0028033B">
        <w:rPr>
          <w:rFonts w:cs="Calibri"/>
          <w:spacing w:val="-2"/>
        </w:rPr>
        <w:t xml:space="preserve"> </w:t>
      </w:r>
      <w:r w:rsidRPr="0028033B">
        <w:rPr>
          <w:spacing w:val="-2"/>
        </w:rPr>
        <w:t xml:space="preserve">emissions from deer manure. Deer are not housed in </w:t>
      </w:r>
      <w:r w:rsidRPr="0028033B" w:rsidDel="0067407A">
        <w:rPr>
          <w:spacing w:val="-2"/>
        </w:rPr>
        <w:t xml:space="preserve">New </w:t>
      </w:r>
      <w:r w:rsidRPr="0028033B">
        <w:rPr>
          <w:spacing w:val="-2"/>
        </w:rPr>
        <w:t>Zealand,</w:t>
      </w:r>
      <w:r w:rsidRPr="0028033B">
        <w:t xml:space="preserve"> </w:t>
      </w:r>
      <w:r w:rsidRPr="0028033B">
        <w:rPr>
          <w:spacing w:val="-2"/>
        </w:rPr>
        <w:t>and all faecal material is deposited directly onto pasture. Further information on the calculation</w:t>
      </w:r>
      <w:r w:rsidRPr="0028033B">
        <w:t xml:space="preserve"> of the manure CH</w:t>
      </w:r>
      <w:r w:rsidRPr="0028033B">
        <w:rPr>
          <w:vertAlign w:val="subscript"/>
        </w:rPr>
        <w:t>4</w:t>
      </w:r>
      <w:r w:rsidRPr="0028033B">
        <w:t xml:space="preserve"> emission factor for deer is contained in section 7.1.4 of the Agriculture inventory methodology (</w:t>
      </w:r>
      <w:bookmarkStart w:id="948" w:name="_Hlk187665078"/>
      <w:r w:rsidRPr="0028033B">
        <w:t xml:space="preserve">Pickering et al., </w:t>
      </w:r>
      <w:bookmarkEnd w:id="948"/>
      <w:r w:rsidRPr="0028033B">
        <w:t>2025).</w:t>
      </w:r>
    </w:p>
    <w:p w14:paraId="2F6C10A6" w14:textId="77777777" w:rsidR="00E46639" w:rsidRPr="0028033B" w:rsidRDefault="00E46639" w:rsidP="00E46639">
      <w:pPr>
        <w:pStyle w:val="Heading5"/>
      </w:pPr>
      <w:r w:rsidRPr="0028033B">
        <w:t xml:space="preserve">Methane emissions from minor livestock categories </w:t>
      </w:r>
    </w:p>
    <w:p w14:paraId="5FC78246" w14:textId="77777777" w:rsidR="00E46639" w:rsidRPr="0028033B" w:rsidRDefault="00E46639" w:rsidP="00E46639">
      <w:pPr>
        <w:pStyle w:val="BodyText"/>
        <w:spacing w:before="100" w:after="100"/>
        <w:rPr>
          <w:rFonts w:cs="Calibri"/>
        </w:rPr>
      </w:pPr>
      <w:r w:rsidRPr="0028033B">
        <w:rPr>
          <w:rFonts w:cs="Calibri"/>
        </w:rPr>
        <w:t>Manure CH</w:t>
      </w:r>
      <w:r w:rsidRPr="0028033B">
        <w:rPr>
          <w:rFonts w:cs="Calibri"/>
          <w:vertAlign w:val="subscript"/>
        </w:rPr>
        <w:t>4</w:t>
      </w:r>
      <w:r w:rsidRPr="0028033B">
        <w:rPr>
          <w:rFonts w:cs="Calibri"/>
        </w:rPr>
        <w:t xml:space="preserve"> emissions from the minor livestock categories are calculated per head, using a combination of country-specific and IPCC default emission factors.</w:t>
      </w:r>
    </w:p>
    <w:p w14:paraId="03DDACB2" w14:textId="77777777" w:rsidR="00E46639" w:rsidRPr="0028033B" w:rsidRDefault="00E46639" w:rsidP="00B1795A">
      <w:pPr>
        <w:pStyle w:val="BodyText"/>
      </w:pPr>
      <w:r w:rsidRPr="0028033B">
        <w:rPr>
          <w:rFonts w:cs="Calibri"/>
          <w:i/>
        </w:rPr>
        <w:t>Swine:</w:t>
      </w:r>
      <w:r w:rsidRPr="0028033B">
        <w:rPr>
          <w:rFonts w:cs="Calibri"/>
          <w:b/>
          <w:bCs/>
        </w:rPr>
        <w:t xml:space="preserve"> </w:t>
      </w:r>
      <w:r w:rsidRPr="0028033B" w:rsidDel="00242B96">
        <w:t xml:space="preserve">New </w:t>
      </w:r>
      <w:r w:rsidRPr="0028033B">
        <w:t>Zealand</w:t>
      </w:r>
      <w:r w:rsidRPr="0028033B">
        <w:rPr>
          <w:rFonts w:cs="Calibri"/>
        </w:rPr>
        <w:t xml:space="preserve"> uses country-specific emission factors (Ritchie, 2024) for estimating CH</w:t>
      </w:r>
      <w:r w:rsidRPr="0028033B">
        <w:rPr>
          <w:rFonts w:cs="Calibri"/>
          <w:vertAlign w:val="subscript"/>
        </w:rPr>
        <w:t>4</w:t>
      </w:r>
      <w:r w:rsidRPr="0028033B">
        <w:rPr>
          <w:rFonts w:cs="Calibri"/>
        </w:rPr>
        <w:t> </w:t>
      </w:r>
      <w:r w:rsidRPr="0028033B">
        <w:t xml:space="preserve">emissions from swine manure management. Industry data on swine diets (to determine digestible energy of the swine feed and volatile solid excretion levels) and the use of waste management systems used by </w:t>
      </w:r>
      <w:r w:rsidRPr="0028033B" w:rsidDel="00DA447A">
        <w:t xml:space="preserve">New </w:t>
      </w:r>
      <w:r w:rsidRPr="0028033B">
        <w:t>Zealand swine producers were used to determine a country-specific manure management emission factor for growing pigs and breeding pigs. The manure management CH</w:t>
      </w:r>
      <w:r w:rsidRPr="0028033B">
        <w:rPr>
          <w:vertAlign w:val="subscript"/>
        </w:rPr>
        <w:t>4</w:t>
      </w:r>
      <w:r w:rsidRPr="0028033B">
        <w:t xml:space="preserve"> emission factors were calculated using the CH</w:t>
      </w:r>
      <w:r w:rsidRPr="0028033B">
        <w:rPr>
          <w:vertAlign w:val="subscript"/>
        </w:rPr>
        <w:t>4</w:t>
      </w:r>
      <w:r w:rsidRPr="0028033B">
        <w:t xml:space="preserve"> conversion factors for each manure management system provided by the 2019 IPCC Refinement (IPCC, 2019). Further information on this is provided by Ritchie (2024). For consistency, CH</w:t>
      </w:r>
      <w:r w:rsidRPr="0028033B">
        <w:rPr>
          <w:vertAlign w:val="subscript"/>
        </w:rPr>
        <w:t>4</w:t>
      </w:r>
      <w:r w:rsidRPr="0028033B">
        <w:t xml:space="preserve"> emission factors from manure management systems prior to 2010 are calculated using data from Hill (2012) using the CH</w:t>
      </w:r>
      <w:r w:rsidRPr="0028033B">
        <w:rPr>
          <w:vertAlign w:val="subscript"/>
        </w:rPr>
        <w:t>4</w:t>
      </w:r>
      <w:r w:rsidRPr="0028033B">
        <w:t xml:space="preserve"> conversion factors recommended in the 2019 IPCC Refinement (IPCC, 2019). For years 2010 to 2021, the values are linearly interpolated (table 5.3.6).</w:t>
      </w:r>
    </w:p>
    <w:p w14:paraId="6A36E667" w14:textId="3A521563" w:rsidR="00E46639" w:rsidRPr="0028033B" w:rsidRDefault="00E46639" w:rsidP="00E46639">
      <w:pPr>
        <w:pStyle w:val="Table"/>
      </w:pPr>
      <w:bookmarkStart w:id="949" w:name="_Toc222407631"/>
      <w:bookmarkStart w:id="950" w:name="_Toc226669006"/>
      <w:r w:rsidRPr="0028033B">
        <w:t>Table 5.3.6</w:t>
      </w:r>
      <w:r>
        <w:t xml:space="preserve"> </w:t>
      </w:r>
      <w:r w:rsidRPr="0028033B">
        <w:tab/>
        <w:t>Average annual methane emissions factors from manure management systems (kg CH</w:t>
      </w:r>
      <w:r w:rsidRPr="0028033B">
        <w:rPr>
          <w:vertAlign w:val="subscript"/>
        </w:rPr>
        <w:t>4</w:t>
      </w:r>
      <w:r w:rsidRPr="0028033B">
        <w:t>/year/head) for swine, 1990 to 2024</w:t>
      </w:r>
      <w:bookmarkEnd w:id="949"/>
      <w:bookmarkEnd w:id="950"/>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734"/>
        <w:gridCol w:w="3885"/>
        <w:gridCol w:w="3886"/>
      </w:tblGrid>
      <w:tr w:rsidR="00E46639" w:rsidRPr="0028033B" w14:paraId="6C43C5A3" w14:textId="77777777" w:rsidTr="00F16E23">
        <w:trPr>
          <w:tblHeader/>
        </w:trPr>
        <w:tc>
          <w:tcPr>
            <w:tcW w:w="709" w:type="dxa"/>
            <w:tcBorders>
              <w:bottom w:val="single" w:sz="4" w:space="0" w:color="1B556B" w:themeColor="text2"/>
            </w:tcBorders>
            <w:shd w:val="clear" w:color="auto" w:fill="1B556B"/>
            <w:noWrap/>
          </w:tcPr>
          <w:p w14:paraId="5731F108" w14:textId="77777777" w:rsidR="00E46639" w:rsidRPr="0028033B" w:rsidRDefault="00E46639" w:rsidP="00F16E23">
            <w:pPr>
              <w:pStyle w:val="TableTextBold"/>
              <w:keepNext/>
              <w:spacing w:before="30" w:after="30"/>
              <w:rPr>
                <w:noProof w:val="0"/>
                <w:color w:val="FFFFFF" w:themeColor="background1"/>
                <w:szCs w:val="16"/>
              </w:rPr>
            </w:pPr>
            <w:r w:rsidRPr="0028033B">
              <w:rPr>
                <w:noProof w:val="0"/>
                <w:color w:val="FFFFFF" w:themeColor="background1"/>
              </w:rPr>
              <w:t>Year</w:t>
            </w:r>
          </w:p>
        </w:tc>
        <w:tc>
          <w:tcPr>
            <w:tcW w:w="3756" w:type="dxa"/>
            <w:shd w:val="clear" w:color="auto" w:fill="1B556B"/>
            <w:noWrap/>
          </w:tcPr>
          <w:p w14:paraId="31F8A429" w14:textId="77777777" w:rsidR="00E46639" w:rsidRPr="0028033B" w:rsidRDefault="00E46639" w:rsidP="00F16E23">
            <w:pPr>
              <w:pStyle w:val="TableTextBold"/>
              <w:keepNext/>
              <w:spacing w:before="30" w:after="30"/>
              <w:jc w:val="right"/>
              <w:rPr>
                <w:noProof w:val="0"/>
                <w:color w:val="FFFFFF" w:themeColor="background1"/>
                <w:szCs w:val="16"/>
              </w:rPr>
            </w:pPr>
            <w:r w:rsidRPr="0028033B">
              <w:rPr>
                <w:noProof w:val="0"/>
                <w:color w:val="FFFFFF" w:themeColor="background1"/>
              </w:rPr>
              <w:t>Breeding pigs</w:t>
            </w:r>
          </w:p>
        </w:tc>
        <w:tc>
          <w:tcPr>
            <w:tcW w:w="3757" w:type="dxa"/>
            <w:shd w:val="clear" w:color="auto" w:fill="1B556B"/>
            <w:noWrap/>
          </w:tcPr>
          <w:p w14:paraId="2ABE9415" w14:textId="77777777" w:rsidR="00E46639" w:rsidRPr="0028033B" w:rsidRDefault="00E46639" w:rsidP="00F16E23">
            <w:pPr>
              <w:pStyle w:val="TableTextBold"/>
              <w:keepNext/>
              <w:spacing w:before="30" w:after="30"/>
              <w:jc w:val="right"/>
              <w:rPr>
                <w:noProof w:val="0"/>
                <w:color w:val="FFFFFF" w:themeColor="background1"/>
                <w:szCs w:val="16"/>
              </w:rPr>
            </w:pPr>
            <w:r w:rsidRPr="0028033B">
              <w:rPr>
                <w:noProof w:val="0"/>
                <w:color w:val="FFFFFF" w:themeColor="background1"/>
              </w:rPr>
              <w:t>Growing pigs</w:t>
            </w:r>
          </w:p>
        </w:tc>
      </w:tr>
      <w:tr w:rsidR="00E46639" w:rsidRPr="0028033B" w14:paraId="60CDDB21" w14:textId="77777777" w:rsidTr="00F16E23">
        <w:tc>
          <w:tcPr>
            <w:tcW w:w="709" w:type="dxa"/>
            <w:tcBorders>
              <w:left w:val="nil"/>
            </w:tcBorders>
            <w:noWrap/>
          </w:tcPr>
          <w:p w14:paraId="7F020083" w14:textId="77777777" w:rsidR="00E46639" w:rsidRPr="0028033B" w:rsidRDefault="00E46639" w:rsidP="00F16E23">
            <w:pPr>
              <w:pStyle w:val="TableText"/>
              <w:keepNext/>
              <w:spacing w:before="40" w:after="30"/>
              <w:rPr>
                <w:rFonts w:cs="Calibri"/>
                <w:szCs w:val="16"/>
              </w:rPr>
            </w:pPr>
            <w:r w:rsidRPr="0028033B">
              <w:rPr>
                <w:szCs w:val="16"/>
              </w:rPr>
              <w:t>1990</w:t>
            </w:r>
          </w:p>
        </w:tc>
        <w:tc>
          <w:tcPr>
            <w:tcW w:w="3756" w:type="dxa"/>
            <w:noWrap/>
          </w:tcPr>
          <w:p w14:paraId="0ADA9D00"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11.3</w:t>
            </w:r>
          </w:p>
        </w:tc>
        <w:tc>
          <w:tcPr>
            <w:tcW w:w="3757" w:type="dxa"/>
            <w:noWrap/>
          </w:tcPr>
          <w:p w14:paraId="7FC5C2C4"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5.4</w:t>
            </w:r>
          </w:p>
        </w:tc>
      </w:tr>
      <w:tr w:rsidR="00E46639" w:rsidRPr="0028033B" w14:paraId="3AE79E92" w14:textId="77777777" w:rsidTr="00F16E23">
        <w:tc>
          <w:tcPr>
            <w:tcW w:w="709" w:type="dxa"/>
            <w:tcBorders>
              <w:left w:val="nil"/>
            </w:tcBorders>
            <w:noWrap/>
          </w:tcPr>
          <w:p w14:paraId="545C59A1" w14:textId="77777777" w:rsidR="00E46639" w:rsidRPr="0028033B" w:rsidRDefault="00E46639" w:rsidP="00F16E23">
            <w:pPr>
              <w:pStyle w:val="TableText"/>
              <w:keepNext/>
              <w:spacing w:before="40" w:after="30"/>
              <w:rPr>
                <w:rFonts w:cs="Calibri"/>
                <w:szCs w:val="16"/>
              </w:rPr>
            </w:pPr>
            <w:r w:rsidRPr="0028033B">
              <w:rPr>
                <w:szCs w:val="16"/>
              </w:rPr>
              <w:t>1995</w:t>
            </w:r>
          </w:p>
        </w:tc>
        <w:tc>
          <w:tcPr>
            <w:tcW w:w="3756" w:type="dxa"/>
            <w:noWrap/>
          </w:tcPr>
          <w:p w14:paraId="75E74AC1"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11.3</w:t>
            </w:r>
          </w:p>
        </w:tc>
        <w:tc>
          <w:tcPr>
            <w:tcW w:w="3757" w:type="dxa"/>
            <w:noWrap/>
          </w:tcPr>
          <w:p w14:paraId="452BC314"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5.4</w:t>
            </w:r>
          </w:p>
        </w:tc>
      </w:tr>
      <w:tr w:rsidR="00E46639" w:rsidRPr="0028033B" w14:paraId="79311565" w14:textId="77777777" w:rsidTr="00F16E23">
        <w:tc>
          <w:tcPr>
            <w:tcW w:w="709" w:type="dxa"/>
            <w:tcBorders>
              <w:left w:val="nil"/>
            </w:tcBorders>
            <w:noWrap/>
          </w:tcPr>
          <w:p w14:paraId="62BB2BBE" w14:textId="77777777" w:rsidR="00E46639" w:rsidRPr="0028033B" w:rsidRDefault="00E46639" w:rsidP="00F16E23">
            <w:pPr>
              <w:pStyle w:val="TableText"/>
              <w:spacing w:before="40" w:after="30"/>
              <w:rPr>
                <w:rFonts w:cs="Calibri"/>
                <w:szCs w:val="16"/>
              </w:rPr>
            </w:pPr>
            <w:r w:rsidRPr="0028033B">
              <w:rPr>
                <w:szCs w:val="16"/>
              </w:rPr>
              <w:t>2000</w:t>
            </w:r>
          </w:p>
        </w:tc>
        <w:tc>
          <w:tcPr>
            <w:tcW w:w="3756" w:type="dxa"/>
            <w:noWrap/>
          </w:tcPr>
          <w:p w14:paraId="4189F6A8"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11.3</w:t>
            </w:r>
          </w:p>
        </w:tc>
        <w:tc>
          <w:tcPr>
            <w:tcW w:w="3757" w:type="dxa"/>
            <w:noWrap/>
          </w:tcPr>
          <w:p w14:paraId="64C874AE"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5.4</w:t>
            </w:r>
          </w:p>
        </w:tc>
      </w:tr>
      <w:tr w:rsidR="00E46639" w:rsidRPr="0028033B" w14:paraId="2FD32096" w14:textId="77777777" w:rsidTr="00F16E23">
        <w:tc>
          <w:tcPr>
            <w:tcW w:w="709" w:type="dxa"/>
            <w:tcBorders>
              <w:left w:val="nil"/>
            </w:tcBorders>
            <w:noWrap/>
          </w:tcPr>
          <w:p w14:paraId="6B0EA9E4" w14:textId="77777777" w:rsidR="00E46639" w:rsidRPr="0028033B" w:rsidRDefault="00E46639" w:rsidP="00F16E23">
            <w:pPr>
              <w:pStyle w:val="TableText"/>
              <w:spacing w:before="40" w:after="30"/>
              <w:rPr>
                <w:rFonts w:cs="Calibri"/>
                <w:szCs w:val="16"/>
              </w:rPr>
            </w:pPr>
            <w:r w:rsidRPr="0028033B">
              <w:rPr>
                <w:szCs w:val="16"/>
              </w:rPr>
              <w:t>2005</w:t>
            </w:r>
          </w:p>
        </w:tc>
        <w:tc>
          <w:tcPr>
            <w:tcW w:w="3756" w:type="dxa"/>
            <w:noWrap/>
          </w:tcPr>
          <w:p w14:paraId="2C9886BE"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11.3</w:t>
            </w:r>
          </w:p>
        </w:tc>
        <w:tc>
          <w:tcPr>
            <w:tcW w:w="3757" w:type="dxa"/>
            <w:noWrap/>
          </w:tcPr>
          <w:p w14:paraId="7275E4B0"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5.4</w:t>
            </w:r>
          </w:p>
        </w:tc>
      </w:tr>
      <w:tr w:rsidR="00E46639" w:rsidRPr="0028033B" w14:paraId="60D96942" w14:textId="77777777" w:rsidTr="00F16E23">
        <w:tc>
          <w:tcPr>
            <w:tcW w:w="709" w:type="dxa"/>
            <w:tcBorders>
              <w:left w:val="nil"/>
            </w:tcBorders>
            <w:noWrap/>
          </w:tcPr>
          <w:p w14:paraId="5195DCA7" w14:textId="77777777" w:rsidR="00E46639" w:rsidRPr="0028033B" w:rsidRDefault="00E46639" w:rsidP="00F16E23">
            <w:pPr>
              <w:pStyle w:val="TableText"/>
              <w:spacing w:before="40" w:after="30"/>
              <w:rPr>
                <w:rFonts w:cs="Calibri"/>
                <w:szCs w:val="16"/>
              </w:rPr>
            </w:pPr>
            <w:r w:rsidRPr="0028033B">
              <w:rPr>
                <w:szCs w:val="16"/>
              </w:rPr>
              <w:t>2010</w:t>
            </w:r>
          </w:p>
        </w:tc>
        <w:tc>
          <w:tcPr>
            <w:tcW w:w="3756" w:type="dxa"/>
            <w:noWrap/>
          </w:tcPr>
          <w:p w14:paraId="7D3EDB6A"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11.2</w:t>
            </w:r>
          </w:p>
        </w:tc>
        <w:tc>
          <w:tcPr>
            <w:tcW w:w="3757" w:type="dxa"/>
            <w:noWrap/>
          </w:tcPr>
          <w:p w14:paraId="6F746F29"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5.4</w:t>
            </w:r>
          </w:p>
        </w:tc>
      </w:tr>
      <w:tr w:rsidR="00E46639" w:rsidRPr="0028033B" w14:paraId="7BB7273F" w14:textId="77777777" w:rsidTr="00F16E23">
        <w:tc>
          <w:tcPr>
            <w:tcW w:w="709" w:type="dxa"/>
            <w:tcBorders>
              <w:left w:val="nil"/>
            </w:tcBorders>
            <w:noWrap/>
          </w:tcPr>
          <w:p w14:paraId="0FA80270" w14:textId="77777777" w:rsidR="00E46639" w:rsidRPr="0028033B" w:rsidRDefault="00E46639" w:rsidP="00F16E23">
            <w:pPr>
              <w:pStyle w:val="TableText"/>
              <w:spacing w:before="40" w:after="30"/>
              <w:rPr>
                <w:rFonts w:cs="Calibri"/>
                <w:szCs w:val="16"/>
              </w:rPr>
            </w:pPr>
            <w:r w:rsidRPr="0028033B">
              <w:rPr>
                <w:szCs w:val="16"/>
              </w:rPr>
              <w:t>2015</w:t>
            </w:r>
          </w:p>
        </w:tc>
        <w:tc>
          <w:tcPr>
            <w:tcW w:w="3756" w:type="dxa"/>
            <w:noWrap/>
          </w:tcPr>
          <w:p w14:paraId="3B724706"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10.9</w:t>
            </w:r>
          </w:p>
        </w:tc>
        <w:tc>
          <w:tcPr>
            <w:tcW w:w="3757" w:type="dxa"/>
            <w:noWrap/>
          </w:tcPr>
          <w:p w14:paraId="2A1B7DD5"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5.4</w:t>
            </w:r>
          </w:p>
        </w:tc>
      </w:tr>
      <w:tr w:rsidR="00E46639" w:rsidRPr="0028033B" w14:paraId="7D51BEFD" w14:textId="77777777" w:rsidTr="00F16E23">
        <w:tc>
          <w:tcPr>
            <w:tcW w:w="709" w:type="dxa"/>
            <w:tcBorders>
              <w:left w:val="nil"/>
            </w:tcBorders>
            <w:noWrap/>
          </w:tcPr>
          <w:p w14:paraId="3C69980B" w14:textId="77777777" w:rsidR="00E46639" w:rsidRPr="0028033B" w:rsidRDefault="00E46639" w:rsidP="00F16E23">
            <w:pPr>
              <w:pStyle w:val="TableText"/>
              <w:spacing w:before="40" w:after="30"/>
              <w:rPr>
                <w:rFonts w:cs="Calibri"/>
                <w:szCs w:val="16"/>
              </w:rPr>
            </w:pPr>
            <w:r w:rsidRPr="0028033B">
              <w:rPr>
                <w:szCs w:val="16"/>
              </w:rPr>
              <w:t>2020</w:t>
            </w:r>
          </w:p>
        </w:tc>
        <w:tc>
          <w:tcPr>
            <w:tcW w:w="3756" w:type="dxa"/>
            <w:noWrap/>
          </w:tcPr>
          <w:p w14:paraId="39FAB716"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10.6</w:t>
            </w:r>
          </w:p>
        </w:tc>
        <w:tc>
          <w:tcPr>
            <w:tcW w:w="3757" w:type="dxa"/>
            <w:noWrap/>
          </w:tcPr>
          <w:p w14:paraId="624E9FB5"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5.4</w:t>
            </w:r>
          </w:p>
        </w:tc>
      </w:tr>
      <w:tr w:rsidR="00E46639" w:rsidRPr="0028033B" w14:paraId="22982E62" w14:textId="77777777" w:rsidTr="00F16E23">
        <w:tc>
          <w:tcPr>
            <w:tcW w:w="709" w:type="dxa"/>
            <w:tcBorders>
              <w:left w:val="nil"/>
            </w:tcBorders>
            <w:noWrap/>
          </w:tcPr>
          <w:p w14:paraId="4418E0C1" w14:textId="77777777" w:rsidR="00E46639" w:rsidRPr="0028033B" w:rsidRDefault="00E46639" w:rsidP="00F16E23">
            <w:pPr>
              <w:pStyle w:val="TableText"/>
              <w:spacing w:before="40" w:after="30"/>
              <w:rPr>
                <w:rFonts w:cs="Calibri"/>
                <w:szCs w:val="16"/>
              </w:rPr>
            </w:pPr>
            <w:r w:rsidRPr="0028033B">
              <w:rPr>
                <w:szCs w:val="16"/>
              </w:rPr>
              <w:t>2022</w:t>
            </w:r>
          </w:p>
        </w:tc>
        <w:tc>
          <w:tcPr>
            <w:tcW w:w="3756" w:type="dxa"/>
            <w:noWrap/>
          </w:tcPr>
          <w:p w14:paraId="097314DF"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10.6</w:t>
            </w:r>
          </w:p>
        </w:tc>
        <w:tc>
          <w:tcPr>
            <w:tcW w:w="3757" w:type="dxa"/>
            <w:noWrap/>
          </w:tcPr>
          <w:p w14:paraId="1EF470CD" w14:textId="77777777" w:rsidR="00E46639" w:rsidRPr="0028033B" w:rsidRDefault="00E46639" w:rsidP="00F16E23">
            <w:pPr>
              <w:pStyle w:val="TableText"/>
              <w:spacing w:before="40" w:after="30"/>
              <w:jc w:val="right"/>
              <w:rPr>
                <w:rFonts w:asciiTheme="minorHAnsi" w:hAnsiTheme="minorHAnsi" w:cstheme="minorHAnsi"/>
                <w:szCs w:val="16"/>
              </w:rPr>
            </w:pPr>
            <w:r w:rsidRPr="0028033B">
              <w:rPr>
                <w:szCs w:val="16"/>
              </w:rPr>
              <w:t>5.5</w:t>
            </w:r>
          </w:p>
        </w:tc>
      </w:tr>
      <w:tr w:rsidR="00E46639" w:rsidRPr="0028033B" w14:paraId="3030D9DC" w14:textId="77777777" w:rsidTr="00F16E23">
        <w:tc>
          <w:tcPr>
            <w:tcW w:w="709" w:type="dxa"/>
            <w:tcBorders>
              <w:left w:val="nil"/>
            </w:tcBorders>
            <w:noWrap/>
          </w:tcPr>
          <w:p w14:paraId="43382B23" w14:textId="77777777" w:rsidR="00E46639" w:rsidRPr="0028033B" w:rsidRDefault="00E46639" w:rsidP="00F16E23">
            <w:pPr>
              <w:pStyle w:val="TableText"/>
              <w:spacing w:before="40" w:after="30"/>
              <w:rPr>
                <w:szCs w:val="16"/>
              </w:rPr>
            </w:pPr>
            <w:r w:rsidRPr="0028033B">
              <w:rPr>
                <w:szCs w:val="16"/>
              </w:rPr>
              <w:t>2023</w:t>
            </w:r>
          </w:p>
        </w:tc>
        <w:tc>
          <w:tcPr>
            <w:tcW w:w="3756" w:type="dxa"/>
            <w:noWrap/>
          </w:tcPr>
          <w:p w14:paraId="5CDBA6C5" w14:textId="77777777" w:rsidR="00E46639" w:rsidRPr="0028033B" w:rsidRDefault="00E46639" w:rsidP="00F16E23">
            <w:pPr>
              <w:pStyle w:val="TableText"/>
              <w:spacing w:before="40" w:after="30"/>
              <w:jc w:val="right"/>
              <w:rPr>
                <w:szCs w:val="16"/>
              </w:rPr>
            </w:pPr>
            <w:r w:rsidRPr="0028033B">
              <w:rPr>
                <w:szCs w:val="16"/>
              </w:rPr>
              <w:t>10.6</w:t>
            </w:r>
          </w:p>
        </w:tc>
        <w:tc>
          <w:tcPr>
            <w:tcW w:w="3757" w:type="dxa"/>
            <w:noWrap/>
          </w:tcPr>
          <w:p w14:paraId="7199B139" w14:textId="77777777" w:rsidR="00E46639" w:rsidRPr="0028033B" w:rsidRDefault="00E46639" w:rsidP="00F16E23">
            <w:pPr>
              <w:pStyle w:val="TableText"/>
              <w:spacing w:before="40" w:after="30"/>
              <w:jc w:val="right"/>
              <w:rPr>
                <w:szCs w:val="16"/>
              </w:rPr>
            </w:pPr>
            <w:r w:rsidRPr="0028033B">
              <w:rPr>
                <w:szCs w:val="16"/>
              </w:rPr>
              <w:t>5.5</w:t>
            </w:r>
          </w:p>
        </w:tc>
      </w:tr>
      <w:tr w:rsidR="00E46639" w:rsidRPr="0028033B" w14:paraId="185582B8" w14:textId="77777777" w:rsidTr="00F16E23">
        <w:tc>
          <w:tcPr>
            <w:tcW w:w="709" w:type="dxa"/>
            <w:tcBorders>
              <w:left w:val="nil"/>
            </w:tcBorders>
            <w:noWrap/>
          </w:tcPr>
          <w:p w14:paraId="5D229407" w14:textId="77777777" w:rsidR="00E46639" w:rsidRPr="0028033B" w:rsidRDefault="00E46639" w:rsidP="00F16E23">
            <w:pPr>
              <w:pStyle w:val="TableText"/>
              <w:spacing w:before="40" w:after="30"/>
              <w:rPr>
                <w:szCs w:val="16"/>
              </w:rPr>
            </w:pPr>
            <w:r w:rsidRPr="0028033B">
              <w:rPr>
                <w:szCs w:val="16"/>
              </w:rPr>
              <w:t>2024</w:t>
            </w:r>
          </w:p>
        </w:tc>
        <w:tc>
          <w:tcPr>
            <w:tcW w:w="3756" w:type="dxa"/>
            <w:noWrap/>
          </w:tcPr>
          <w:p w14:paraId="1295B8D9" w14:textId="77777777" w:rsidR="00E46639" w:rsidRPr="0028033B" w:rsidRDefault="00E46639" w:rsidP="00F16E23">
            <w:pPr>
              <w:pStyle w:val="TableText"/>
              <w:spacing w:before="40" w:after="30"/>
              <w:jc w:val="right"/>
              <w:rPr>
                <w:szCs w:val="16"/>
              </w:rPr>
            </w:pPr>
            <w:r w:rsidRPr="0028033B">
              <w:rPr>
                <w:szCs w:val="16"/>
              </w:rPr>
              <w:t>10.6</w:t>
            </w:r>
          </w:p>
        </w:tc>
        <w:tc>
          <w:tcPr>
            <w:tcW w:w="3757" w:type="dxa"/>
            <w:noWrap/>
          </w:tcPr>
          <w:p w14:paraId="14E10A51" w14:textId="77777777" w:rsidR="00E46639" w:rsidRPr="0028033B" w:rsidRDefault="00E46639" w:rsidP="00F16E23">
            <w:pPr>
              <w:pStyle w:val="TableText"/>
              <w:spacing w:before="40" w:after="30"/>
              <w:jc w:val="right"/>
              <w:rPr>
                <w:szCs w:val="16"/>
              </w:rPr>
            </w:pPr>
            <w:r w:rsidRPr="0028033B">
              <w:rPr>
                <w:szCs w:val="16"/>
              </w:rPr>
              <w:t>5.5</w:t>
            </w:r>
          </w:p>
        </w:tc>
      </w:tr>
    </w:tbl>
    <w:p w14:paraId="238496A6" w14:textId="77777777" w:rsidR="00E46639" w:rsidRPr="0028033B" w:rsidRDefault="00E46639" w:rsidP="00E46639">
      <w:pPr>
        <w:pStyle w:val="BodyText"/>
        <w:spacing w:before="240"/>
        <w:rPr>
          <w:color w:val="000000" w:themeColor="text1"/>
        </w:rPr>
      </w:pPr>
      <w:r w:rsidRPr="0028033B">
        <w:rPr>
          <w:i/>
        </w:rPr>
        <w:t>Poultry:</w:t>
      </w:r>
      <w:r w:rsidRPr="0028033B">
        <w:rPr>
          <w:i/>
          <w:iCs/>
        </w:rPr>
        <w:t xml:space="preserve"> </w:t>
      </w:r>
      <w:r w:rsidRPr="0028033B">
        <w:t xml:space="preserve">Methane emissions from poultry manure management use </w:t>
      </w:r>
      <w:r w:rsidRPr="0028033B" w:rsidDel="009C416F">
        <w:t xml:space="preserve">New </w:t>
      </w:r>
      <w:r w:rsidRPr="0028033B">
        <w:t xml:space="preserve">Zealand-specific emission factor values derived from Fick et al. (2012). These are based on New Zealand-specific volatile solids and proportions of poultry faeces in each manure management system for each production category. The poultry population has been disaggregated into three different categories, and the manure management emission factor values for each category are: </w:t>
      </w:r>
      <w:r w:rsidRPr="0028033B">
        <w:rPr>
          <w:i/>
          <w:color w:val="000000" w:themeColor="text1"/>
        </w:rPr>
        <w:t>Broiler</w:t>
      </w:r>
      <w:r>
        <w:rPr>
          <w:i/>
          <w:color w:val="000000" w:themeColor="text1"/>
        </w:rPr>
        <w:t xml:space="preserve"> </w:t>
      </w:r>
      <w:r w:rsidRPr="0028033B">
        <w:rPr>
          <w:i/>
        </w:rPr>
        <w:t>birds</w:t>
      </w:r>
      <w:r w:rsidRPr="0028033B">
        <w:t xml:space="preserve"> 0.022 kg CH</w:t>
      </w:r>
      <w:r w:rsidRPr="0028033B">
        <w:rPr>
          <w:vertAlign w:val="subscript"/>
        </w:rPr>
        <w:t>4</w:t>
      </w:r>
      <w:r w:rsidRPr="0028033B">
        <w:t xml:space="preserve">/year/head, </w:t>
      </w:r>
      <w:r w:rsidRPr="0028033B">
        <w:rPr>
          <w:i/>
        </w:rPr>
        <w:t>Layer hens</w:t>
      </w:r>
      <w:r w:rsidRPr="0028033B">
        <w:t xml:space="preserve"> 0.016 kg CH</w:t>
      </w:r>
      <w:r w:rsidRPr="0028033B">
        <w:rPr>
          <w:vertAlign w:val="subscript"/>
        </w:rPr>
        <w:t>4</w:t>
      </w:r>
      <w:r w:rsidRPr="0028033B">
        <w:t xml:space="preserve">/year/head and </w:t>
      </w:r>
      <w:r w:rsidRPr="0028033B">
        <w:rPr>
          <w:i/>
        </w:rPr>
        <w:t>Other</w:t>
      </w:r>
      <w:r w:rsidRPr="0028033B">
        <w:t xml:space="preserve"> 0.117 kg CH</w:t>
      </w:r>
      <w:r w:rsidRPr="0028033B">
        <w:rPr>
          <w:vertAlign w:val="subscript"/>
        </w:rPr>
        <w:t>4</w:t>
      </w:r>
      <w:r w:rsidRPr="0028033B">
        <w:t xml:space="preserve">/year/head. The </w:t>
      </w:r>
      <w:r w:rsidRPr="0028033B">
        <w:rPr>
          <w:color w:val="000000" w:themeColor="text1"/>
        </w:rPr>
        <w:t>overall IEF for poultry is affected by the change over time in the population proportions of these different poultry categories.</w:t>
      </w:r>
    </w:p>
    <w:p w14:paraId="309434EC" w14:textId="77777777" w:rsidR="00E46639" w:rsidRPr="0028033B" w:rsidRDefault="00E46639" w:rsidP="00E46639">
      <w:pPr>
        <w:pStyle w:val="BodyText"/>
        <w:rPr>
          <w:color w:val="000000" w:themeColor="text1"/>
        </w:rPr>
      </w:pPr>
      <w:r w:rsidRPr="0028033B">
        <w:rPr>
          <w:i/>
          <w:color w:val="000000" w:themeColor="text1"/>
        </w:rPr>
        <w:t>Ostriches and emus:</w:t>
      </w:r>
      <w:r w:rsidRPr="0028033B">
        <w:rPr>
          <w:color w:val="000000" w:themeColor="text1"/>
        </w:rPr>
        <w:t xml:space="preserve"> New Zealand uses the IPCC (2019, table 10.15) default emission factor for CH</w:t>
      </w:r>
      <w:r w:rsidRPr="0028033B">
        <w:rPr>
          <w:color w:val="000000" w:themeColor="text1"/>
          <w:vertAlign w:val="subscript"/>
        </w:rPr>
        <w:t>4</w:t>
      </w:r>
      <w:r w:rsidRPr="0028033B">
        <w:rPr>
          <w:color w:val="000000" w:themeColor="text1"/>
        </w:rPr>
        <w:t xml:space="preserve"> emissions from manure management of ostriches and emus of 5.7 kg CH₄ per head per year. </w:t>
      </w:r>
    </w:p>
    <w:p w14:paraId="40BF1AAD" w14:textId="77777777" w:rsidR="00E46639" w:rsidRPr="0028033B" w:rsidRDefault="00E46639" w:rsidP="00E46639">
      <w:pPr>
        <w:pStyle w:val="BodyText"/>
      </w:pPr>
      <w:r w:rsidRPr="0028033B">
        <w:rPr>
          <w:i/>
        </w:rPr>
        <w:t>Goats</w:t>
      </w:r>
      <w:r w:rsidRPr="0028033B">
        <w:t xml:space="preserve">, </w:t>
      </w:r>
      <w:r w:rsidRPr="0028033B">
        <w:rPr>
          <w:i/>
        </w:rPr>
        <w:t>Horses</w:t>
      </w:r>
      <w:r w:rsidRPr="0028033B">
        <w:t xml:space="preserve"> and </w:t>
      </w:r>
      <w:r w:rsidRPr="0028033B">
        <w:rPr>
          <w:i/>
        </w:rPr>
        <w:t>Mules and asses:</w:t>
      </w:r>
      <w:r w:rsidRPr="0028033B">
        <w:rPr>
          <w:b/>
          <w:bCs/>
        </w:rPr>
        <w:t xml:space="preserve"> </w:t>
      </w:r>
      <w:r w:rsidRPr="0028033B" w:rsidDel="000D5675">
        <w:t xml:space="preserve">New </w:t>
      </w:r>
      <w:r w:rsidRPr="0028033B">
        <w:t>Zealand uses IPCC (2019) default emission factors for CH</w:t>
      </w:r>
      <w:r w:rsidRPr="0028033B">
        <w:rPr>
          <w:vertAlign w:val="subscript"/>
        </w:rPr>
        <w:t>4</w:t>
      </w:r>
      <w:r w:rsidRPr="0028033B">
        <w:t xml:space="preserve"> emissions from manure management for </w:t>
      </w:r>
      <w:r w:rsidRPr="0028033B">
        <w:rPr>
          <w:i/>
          <w:iCs/>
        </w:rPr>
        <w:t>Goats</w:t>
      </w:r>
      <w:r w:rsidRPr="0028033B">
        <w:t xml:space="preserve">, </w:t>
      </w:r>
      <w:r w:rsidRPr="0028033B">
        <w:rPr>
          <w:i/>
          <w:iCs/>
        </w:rPr>
        <w:t>Horses</w:t>
      </w:r>
      <w:r w:rsidRPr="0028033B">
        <w:t xml:space="preserve">, </w:t>
      </w:r>
      <w:r w:rsidRPr="0028033B">
        <w:rPr>
          <w:i/>
          <w:iCs/>
        </w:rPr>
        <w:t>Mules</w:t>
      </w:r>
      <w:r w:rsidRPr="0028033B">
        <w:rPr>
          <w:i/>
        </w:rPr>
        <w:t xml:space="preserve"> and asses</w:t>
      </w:r>
      <w:r w:rsidRPr="0028033B">
        <w:t xml:space="preserve"> (table 10.13A and 10.14 of the 2019 IPCC Refinement). </w:t>
      </w:r>
      <w:r w:rsidRPr="0028033B">
        <w:rPr>
          <w:color w:val="000000" w:themeColor="text1"/>
        </w:rPr>
        <w:t xml:space="preserve">The emission factors </w:t>
      </w:r>
      <w:r w:rsidRPr="0028033B">
        <w:t>are 0.1 kg CH</w:t>
      </w:r>
      <w:r w:rsidRPr="0028033B">
        <w:rPr>
          <w:vertAlign w:val="subscript"/>
        </w:rPr>
        <w:t>4</w:t>
      </w:r>
      <w:r w:rsidRPr="0028033B">
        <w:t xml:space="preserve">/year/head for </w:t>
      </w:r>
      <w:r w:rsidRPr="0028033B">
        <w:rPr>
          <w:i/>
        </w:rPr>
        <w:t>Goats</w:t>
      </w:r>
      <w:r w:rsidRPr="0028033B">
        <w:t>, 0.5 kg CH</w:t>
      </w:r>
      <w:r w:rsidRPr="0028033B">
        <w:rPr>
          <w:vertAlign w:val="subscript"/>
        </w:rPr>
        <w:t>4</w:t>
      </w:r>
      <w:r w:rsidRPr="0028033B">
        <w:t xml:space="preserve">/year/head for </w:t>
      </w:r>
      <w:r w:rsidRPr="0028033B">
        <w:rPr>
          <w:i/>
        </w:rPr>
        <w:t>Horses</w:t>
      </w:r>
      <w:r w:rsidRPr="0028033B">
        <w:t xml:space="preserve"> and 0.2 kg CH</w:t>
      </w:r>
      <w:r w:rsidRPr="0028033B">
        <w:rPr>
          <w:vertAlign w:val="subscript"/>
        </w:rPr>
        <w:t>4</w:t>
      </w:r>
      <w:r w:rsidRPr="0028033B">
        <w:t xml:space="preserve">/year/head for </w:t>
      </w:r>
      <w:r w:rsidRPr="0028033B">
        <w:rPr>
          <w:i/>
        </w:rPr>
        <w:t>Mules and asses</w:t>
      </w:r>
      <w:r w:rsidRPr="0028033B">
        <w:t xml:space="preserve">. </w:t>
      </w:r>
      <w:r w:rsidRPr="0028033B">
        <w:rPr>
          <w:color w:val="000000" w:themeColor="text1"/>
        </w:rPr>
        <w:t xml:space="preserve">These are the IPCC values for pasture range and paddock for all animals and all climates. The </w:t>
      </w:r>
      <w:r w:rsidRPr="0028033B">
        <w:t>2019 IPCC Refinement gives the g CH</w:t>
      </w:r>
      <w:r w:rsidRPr="0028033B">
        <w:rPr>
          <w:vertAlign w:val="subscript"/>
        </w:rPr>
        <w:t>4</w:t>
      </w:r>
      <w:r w:rsidRPr="0028033B">
        <w:t xml:space="preserve"> per kg volatile solids </w:t>
      </w:r>
      <w:r w:rsidRPr="0028033B" w:rsidDel="002D442D">
        <w:t xml:space="preserve">(VS) </w:t>
      </w:r>
      <w:r w:rsidRPr="0028033B">
        <w:t>rather than a per head per year value. Table 5.3.7 shows the provided values and calculated annual manure management CH</w:t>
      </w:r>
      <w:r w:rsidRPr="0028033B">
        <w:rPr>
          <w:vertAlign w:val="subscript"/>
        </w:rPr>
        <w:t>4</w:t>
      </w:r>
      <w:r w:rsidRPr="0028033B">
        <w:t xml:space="preserve"> emissions factors. </w:t>
      </w:r>
    </w:p>
    <w:p w14:paraId="7E6F299F" w14:textId="1D56567D" w:rsidR="00E46639" w:rsidRPr="0028033B" w:rsidRDefault="00E46639" w:rsidP="00E46639">
      <w:pPr>
        <w:pStyle w:val="Table"/>
        <w:ind w:left="993" w:hanging="993"/>
      </w:pPr>
      <w:bookmarkStart w:id="951" w:name="_Toc222407632"/>
      <w:bookmarkStart w:id="952" w:name="_Toc226669007"/>
      <w:r w:rsidRPr="0028033B">
        <w:t xml:space="preserve">Table </w:t>
      </w:r>
      <w:r w:rsidRPr="0028033B">
        <w:rPr>
          <w:rFonts w:cs="Calibri"/>
        </w:rPr>
        <w:t>5.</w:t>
      </w:r>
      <w:r w:rsidRPr="0028033B">
        <w:t>3</w:t>
      </w:r>
      <w:r w:rsidRPr="0028033B">
        <w:rPr>
          <w:rFonts w:cs="Calibri"/>
        </w:rPr>
        <w:t>.7</w:t>
      </w:r>
      <w:r w:rsidRPr="0028033B">
        <w:fldChar w:fldCharType="begin"/>
      </w:r>
      <w:r w:rsidRPr="0028033B">
        <w:instrText>SEQ Table \* ARABIC</w:instrText>
      </w:r>
      <w:r w:rsidRPr="0028033B">
        <w:fldChar w:fldCharType="separate"/>
      </w:r>
      <w:r w:rsidR="00831581">
        <w:rPr>
          <w:noProof/>
        </w:rPr>
        <w:t>1</w:t>
      </w:r>
      <w:r w:rsidRPr="0028033B">
        <w:fldChar w:fldCharType="end"/>
      </w:r>
      <w:r w:rsidRPr="0028033B">
        <w:t xml:space="preserve"> </w:t>
      </w:r>
      <w:r w:rsidR="00140A5C">
        <w:tab/>
      </w:r>
      <w:r w:rsidRPr="0028033B">
        <w:t>Manure management methane (CH</w:t>
      </w:r>
      <w:r w:rsidRPr="0028033B">
        <w:rPr>
          <w:vertAlign w:val="subscript"/>
        </w:rPr>
        <w:t>4</w:t>
      </w:r>
      <w:r w:rsidRPr="0028033B">
        <w:t xml:space="preserve">) emission factors for goats, horses and </w:t>
      </w:r>
      <w:r w:rsidRPr="0028033B">
        <w:rPr>
          <w:rFonts w:cs="Calibri"/>
        </w:rPr>
        <w:t>mules and asses</w:t>
      </w:r>
      <w:bookmarkEnd w:id="951"/>
      <w:bookmarkEnd w:id="952"/>
    </w:p>
    <w:tbl>
      <w:tblPr>
        <w:tblStyle w:val="AgPannelPape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57" w:type="dxa"/>
        </w:tblCellMar>
        <w:tblLook w:val="04A0" w:firstRow="1" w:lastRow="0" w:firstColumn="1" w:lastColumn="0" w:noHBand="0" w:noVBand="1"/>
      </w:tblPr>
      <w:tblGrid>
        <w:gridCol w:w="1346"/>
        <w:gridCol w:w="1489"/>
        <w:gridCol w:w="1233"/>
        <w:gridCol w:w="987"/>
        <w:gridCol w:w="864"/>
        <w:gridCol w:w="1310"/>
        <w:gridCol w:w="1276"/>
      </w:tblGrid>
      <w:tr w:rsidR="00E46639" w:rsidRPr="00B1795A" w14:paraId="29291DDA" w14:textId="77777777" w:rsidTr="00B1795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91" w:type="pct"/>
            <w:tcBorders>
              <w:bottom w:val="none" w:sz="0" w:space="0" w:color="auto"/>
            </w:tcBorders>
            <w:noWrap/>
            <w:vAlign w:val="bottom"/>
            <w:hideMark/>
          </w:tcPr>
          <w:p w14:paraId="099CC39C" w14:textId="77777777" w:rsidR="00E46639" w:rsidRPr="00B1795A" w:rsidRDefault="00E46639" w:rsidP="00F16E23">
            <w:pPr>
              <w:pStyle w:val="TableTextBold"/>
              <w:spacing w:before="40" w:after="40"/>
              <w:jc w:val="left"/>
              <w:rPr>
                <w:rFonts w:cs="Calibri"/>
                <w:b/>
                <w:bCs w:val="0"/>
                <w:noProof w:val="0"/>
              </w:rPr>
            </w:pPr>
            <w:r w:rsidRPr="00B1795A">
              <w:rPr>
                <w:rFonts w:cs="Calibri"/>
                <w:b/>
                <w:bCs w:val="0"/>
                <w:noProof w:val="0"/>
              </w:rPr>
              <w:t>Species</w:t>
            </w:r>
          </w:p>
        </w:tc>
        <w:tc>
          <w:tcPr>
            <w:tcW w:w="875" w:type="pct"/>
            <w:tcBorders>
              <w:left w:val="nil"/>
              <w:right w:val="nil"/>
            </w:tcBorders>
            <w:noWrap/>
            <w:vAlign w:val="bottom"/>
            <w:hideMark/>
          </w:tcPr>
          <w:p w14:paraId="5E08DB1D" w14:textId="6F39A7BC" w:rsidR="00E46639" w:rsidRPr="00B1795A"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rFonts w:cs="Calibri"/>
                <w:b/>
                <w:bCs w:val="0"/>
                <w:noProof w:val="0"/>
              </w:rPr>
            </w:pPr>
            <w:r w:rsidRPr="00B1795A">
              <w:rPr>
                <w:rFonts w:cs="Calibri"/>
                <w:b/>
                <w:bCs w:val="0"/>
                <w:noProof w:val="0"/>
              </w:rPr>
              <w:t>kg VS per 1,000 kg</w:t>
            </w:r>
            <w:r w:rsidR="00306318">
              <w:rPr>
                <w:rFonts w:cs="Calibri"/>
                <w:b/>
                <w:bCs w:val="0"/>
                <w:noProof w:val="0"/>
              </w:rPr>
              <w:t xml:space="preserve"> </w:t>
            </w:r>
            <w:r w:rsidRPr="00B1795A">
              <w:rPr>
                <w:rFonts w:cs="Calibri"/>
                <w:b/>
                <w:bCs w:val="0"/>
                <w:noProof w:val="0"/>
              </w:rPr>
              <w:t>animal mass per</w:t>
            </w:r>
            <w:r w:rsidR="002D1FA4">
              <w:rPr>
                <w:rFonts w:cs="Calibri"/>
                <w:b/>
                <w:bCs w:val="0"/>
                <w:noProof w:val="0"/>
              </w:rPr>
              <w:t> </w:t>
            </w:r>
            <w:r w:rsidRPr="00B1795A">
              <w:rPr>
                <w:rFonts w:cs="Calibri"/>
                <w:b/>
                <w:bCs w:val="0"/>
                <w:noProof w:val="0"/>
              </w:rPr>
              <w:t xml:space="preserve">day </w:t>
            </w:r>
            <w:r w:rsidRPr="00B1795A">
              <w:rPr>
                <w:rFonts w:cs="Calibri"/>
                <w:b/>
                <w:bCs w:val="0"/>
                <w:noProof w:val="0"/>
              </w:rPr>
              <w:br/>
              <w:t>Table 10.13A</w:t>
            </w:r>
          </w:p>
        </w:tc>
        <w:tc>
          <w:tcPr>
            <w:tcW w:w="725" w:type="pct"/>
            <w:tcBorders>
              <w:left w:val="nil"/>
              <w:right w:val="nil"/>
            </w:tcBorders>
            <w:noWrap/>
            <w:vAlign w:val="bottom"/>
            <w:hideMark/>
          </w:tcPr>
          <w:p w14:paraId="14CABE28" w14:textId="77777777" w:rsidR="00E46639" w:rsidRPr="00B1795A"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rFonts w:cs="Calibri"/>
                <w:b/>
                <w:bCs w:val="0"/>
                <w:noProof w:val="0"/>
              </w:rPr>
            </w:pPr>
            <w:r w:rsidRPr="00B1795A">
              <w:rPr>
                <w:rFonts w:cs="Calibri"/>
                <w:b/>
                <w:bCs w:val="0"/>
                <w:noProof w:val="0"/>
              </w:rPr>
              <w:t>g CH</w:t>
            </w:r>
            <w:r w:rsidRPr="00B1795A">
              <w:rPr>
                <w:rFonts w:cs="Calibri"/>
                <w:b/>
                <w:bCs w:val="0"/>
                <w:noProof w:val="0"/>
                <w:vertAlign w:val="subscript"/>
              </w:rPr>
              <w:t>4</w:t>
            </w:r>
            <w:r w:rsidRPr="00B1795A">
              <w:rPr>
                <w:rFonts w:cs="Calibri"/>
                <w:b/>
                <w:bCs w:val="0"/>
                <w:noProof w:val="0"/>
              </w:rPr>
              <w:t xml:space="preserve"> per kg VS (pasture range and paddock) </w:t>
            </w:r>
            <w:r w:rsidRPr="00B1795A">
              <w:rPr>
                <w:rFonts w:cs="Calibri"/>
                <w:b/>
                <w:bCs w:val="0"/>
                <w:noProof w:val="0"/>
              </w:rPr>
              <w:br/>
              <w:t>Table 10.14</w:t>
            </w:r>
          </w:p>
        </w:tc>
        <w:tc>
          <w:tcPr>
            <w:tcW w:w="580" w:type="pct"/>
            <w:tcBorders>
              <w:left w:val="nil"/>
              <w:right w:val="nil"/>
            </w:tcBorders>
            <w:noWrap/>
            <w:vAlign w:val="bottom"/>
            <w:hideMark/>
          </w:tcPr>
          <w:p w14:paraId="40EDB71C" w14:textId="77777777" w:rsidR="00E46639" w:rsidRPr="00B1795A"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rFonts w:cs="Calibri"/>
                <w:b/>
                <w:bCs w:val="0"/>
                <w:noProof w:val="0"/>
              </w:rPr>
            </w:pPr>
            <w:r w:rsidRPr="00B1795A">
              <w:rPr>
                <w:rFonts w:cs="Calibri"/>
                <w:b/>
                <w:bCs w:val="0"/>
                <w:noProof w:val="0"/>
              </w:rPr>
              <w:t>Animal mass (kg)</w:t>
            </w:r>
          </w:p>
        </w:tc>
        <w:tc>
          <w:tcPr>
            <w:tcW w:w="508" w:type="pct"/>
            <w:tcBorders>
              <w:left w:val="nil"/>
              <w:right w:val="nil"/>
            </w:tcBorders>
            <w:noWrap/>
            <w:vAlign w:val="bottom"/>
            <w:hideMark/>
          </w:tcPr>
          <w:p w14:paraId="7A9677F2" w14:textId="77777777" w:rsidR="00E46639" w:rsidRPr="00B1795A"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rFonts w:cs="Calibri"/>
                <w:b/>
                <w:bCs w:val="0"/>
                <w:noProof w:val="0"/>
              </w:rPr>
            </w:pPr>
            <w:r w:rsidRPr="00B1795A">
              <w:rPr>
                <w:rFonts w:cs="Calibri"/>
                <w:b/>
                <w:bCs w:val="0"/>
                <w:noProof w:val="0"/>
              </w:rPr>
              <w:t>Annual VS (kg)</w:t>
            </w:r>
          </w:p>
        </w:tc>
        <w:tc>
          <w:tcPr>
            <w:tcW w:w="770" w:type="pct"/>
            <w:tcBorders>
              <w:left w:val="nil"/>
              <w:right w:val="nil"/>
            </w:tcBorders>
            <w:noWrap/>
            <w:vAlign w:val="bottom"/>
            <w:hideMark/>
          </w:tcPr>
          <w:p w14:paraId="798489C1" w14:textId="77777777" w:rsidR="00E46639" w:rsidRPr="00B1795A"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rFonts w:cs="Calibri"/>
                <w:b/>
                <w:bCs w:val="0"/>
                <w:noProof w:val="0"/>
              </w:rPr>
            </w:pPr>
            <w:r w:rsidRPr="00B1795A">
              <w:rPr>
                <w:rFonts w:cs="Calibri"/>
                <w:b/>
                <w:bCs w:val="0"/>
                <w:noProof w:val="0"/>
              </w:rPr>
              <w:t>Annual CH</w:t>
            </w:r>
            <w:r w:rsidRPr="00B1795A">
              <w:rPr>
                <w:rFonts w:cs="Calibri"/>
                <w:b/>
                <w:bCs w:val="0"/>
                <w:noProof w:val="0"/>
                <w:vertAlign w:val="subscript"/>
              </w:rPr>
              <w:t>4</w:t>
            </w:r>
            <w:r w:rsidRPr="00B1795A">
              <w:rPr>
                <w:rFonts w:cs="Calibri"/>
                <w:b/>
                <w:bCs w:val="0"/>
                <w:noProof w:val="0"/>
              </w:rPr>
              <w:t xml:space="preserve"> (kg per head per year) 2019 IPCC Refinement </w:t>
            </w:r>
          </w:p>
        </w:tc>
        <w:tc>
          <w:tcPr>
            <w:tcW w:w="750" w:type="pct"/>
            <w:tcBorders>
              <w:left w:val="nil"/>
            </w:tcBorders>
            <w:vAlign w:val="bottom"/>
          </w:tcPr>
          <w:p w14:paraId="6CA5A147" w14:textId="77777777" w:rsidR="00E46639" w:rsidRPr="00B1795A"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rFonts w:cs="Calibri"/>
                <w:b/>
                <w:bCs w:val="0"/>
                <w:noProof w:val="0"/>
              </w:rPr>
            </w:pPr>
            <w:r w:rsidRPr="00B1795A">
              <w:rPr>
                <w:rFonts w:cs="Calibri"/>
                <w:b/>
                <w:bCs w:val="0"/>
                <w:noProof w:val="0"/>
              </w:rPr>
              <w:t>Annual CH</w:t>
            </w:r>
            <w:r w:rsidRPr="00B1795A">
              <w:rPr>
                <w:rFonts w:cs="Calibri"/>
                <w:b/>
                <w:bCs w:val="0"/>
                <w:noProof w:val="0"/>
                <w:vertAlign w:val="subscript"/>
              </w:rPr>
              <w:t>4</w:t>
            </w:r>
            <w:r w:rsidRPr="00B1795A">
              <w:rPr>
                <w:rFonts w:cs="Calibri"/>
                <w:b/>
                <w:bCs w:val="0"/>
                <w:noProof w:val="0"/>
              </w:rPr>
              <w:t xml:space="preserve"> (kg per head per year) 2006 IPCC Guidelines</w:t>
            </w:r>
          </w:p>
        </w:tc>
      </w:tr>
      <w:tr w:rsidR="00E46639" w:rsidRPr="00B1795A" w14:paraId="2A38A636" w14:textId="77777777" w:rsidTr="00B179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1" w:type="pct"/>
            <w:tcBorders>
              <w:top w:val="none" w:sz="0" w:space="0" w:color="auto"/>
              <w:bottom w:val="none" w:sz="0" w:space="0" w:color="auto"/>
              <w:right w:val="none" w:sz="0" w:space="0" w:color="auto"/>
            </w:tcBorders>
            <w:noWrap/>
            <w:hideMark/>
          </w:tcPr>
          <w:p w14:paraId="296AEDD1" w14:textId="77777777" w:rsidR="00E46639" w:rsidRPr="00B1795A" w:rsidRDefault="00E46639" w:rsidP="00F16E23">
            <w:pPr>
              <w:pStyle w:val="TableText"/>
              <w:spacing w:before="50" w:after="50"/>
              <w:rPr>
                <w:rFonts w:cs="Calibri"/>
                <w:b w:val="0"/>
                <w:bCs w:val="0"/>
              </w:rPr>
            </w:pPr>
            <w:r w:rsidRPr="00B1795A">
              <w:rPr>
                <w:rFonts w:cs="Calibri"/>
                <w:b w:val="0"/>
                <w:bCs w:val="0"/>
              </w:rPr>
              <w:t>Goats</w:t>
            </w:r>
          </w:p>
        </w:tc>
        <w:tc>
          <w:tcPr>
            <w:tcW w:w="875" w:type="pct"/>
            <w:tcBorders>
              <w:top w:val="none" w:sz="0" w:space="0" w:color="auto"/>
              <w:bottom w:val="none" w:sz="0" w:space="0" w:color="auto"/>
            </w:tcBorders>
            <w:noWrap/>
            <w:hideMark/>
          </w:tcPr>
          <w:p w14:paraId="0632388E"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9</w:t>
            </w:r>
          </w:p>
        </w:tc>
        <w:tc>
          <w:tcPr>
            <w:tcW w:w="725" w:type="pct"/>
            <w:tcBorders>
              <w:top w:val="none" w:sz="0" w:space="0" w:color="auto"/>
              <w:bottom w:val="none" w:sz="0" w:space="0" w:color="auto"/>
            </w:tcBorders>
            <w:noWrap/>
            <w:hideMark/>
          </w:tcPr>
          <w:p w14:paraId="4FB059F4"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0.6</w:t>
            </w:r>
          </w:p>
        </w:tc>
        <w:tc>
          <w:tcPr>
            <w:tcW w:w="580" w:type="pct"/>
            <w:tcBorders>
              <w:top w:val="none" w:sz="0" w:space="0" w:color="auto"/>
              <w:bottom w:val="none" w:sz="0" w:space="0" w:color="auto"/>
            </w:tcBorders>
            <w:noWrap/>
            <w:hideMark/>
          </w:tcPr>
          <w:p w14:paraId="3B77D296"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38</w:t>
            </w:r>
          </w:p>
        </w:tc>
        <w:tc>
          <w:tcPr>
            <w:tcW w:w="508" w:type="pct"/>
            <w:tcBorders>
              <w:top w:val="none" w:sz="0" w:space="0" w:color="auto"/>
              <w:bottom w:val="none" w:sz="0" w:space="0" w:color="auto"/>
            </w:tcBorders>
            <w:noWrap/>
            <w:hideMark/>
          </w:tcPr>
          <w:p w14:paraId="7ED6A260"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124.8</w:t>
            </w:r>
          </w:p>
        </w:tc>
        <w:tc>
          <w:tcPr>
            <w:tcW w:w="770" w:type="pct"/>
            <w:tcBorders>
              <w:top w:val="none" w:sz="0" w:space="0" w:color="auto"/>
              <w:bottom w:val="none" w:sz="0" w:space="0" w:color="auto"/>
            </w:tcBorders>
            <w:noWrap/>
            <w:hideMark/>
          </w:tcPr>
          <w:p w14:paraId="0B202D92"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0.1</w:t>
            </w:r>
          </w:p>
        </w:tc>
        <w:tc>
          <w:tcPr>
            <w:tcW w:w="750" w:type="pct"/>
            <w:tcBorders>
              <w:top w:val="none" w:sz="0" w:space="0" w:color="auto"/>
              <w:bottom w:val="none" w:sz="0" w:space="0" w:color="auto"/>
            </w:tcBorders>
          </w:tcPr>
          <w:p w14:paraId="6C80F4B5"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0.2</w:t>
            </w:r>
          </w:p>
        </w:tc>
      </w:tr>
      <w:tr w:rsidR="00E46639" w:rsidRPr="00B1795A" w14:paraId="7A50B59C" w14:textId="77777777" w:rsidTr="00B1795A">
        <w:tc>
          <w:tcPr>
            <w:cnfStyle w:val="001000000000" w:firstRow="0" w:lastRow="0" w:firstColumn="1" w:lastColumn="0" w:oddVBand="0" w:evenVBand="0" w:oddHBand="0" w:evenHBand="0" w:firstRowFirstColumn="0" w:firstRowLastColumn="0" w:lastRowFirstColumn="0" w:lastRowLastColumn="0"/>
            <w:tcW w:w="791" w:type="pct"/>
            <w:tcBorders>
              <w:right w:val="none" w:sz="0" w:space="0" w:color="auto"/>
            </w:tcBorders>
            <w:noWrap/>
            <w:hideMark/>
          </w:tcPr>
          <w:p w14:paraId="5A4D332B" w14:textId="77777777" w:rsidR="00E46639" w:rsidRPr="00B1795A" w:rsidRDefault="00E46639" w:rsidP="00F16E23">
            <w:pPr>
              <w:pStyle w:val="TableText"/>
              <w:spacing w:before="50" w:after="50"/>
              <w:rPr>
                <w:rFonts w:cs="Calibri"/>
                <w:b w:val="0"/>
                <w:bCs w:val="0"/>
              </w:rPr>
            </w:pPr>
            <w:r w:rsidRPr="00B1795A">
              <w:rPr>
                <w:rFonts w:cs="Calibri"/>
                <w:b w:val="0"/>
                <w:bCs w:val="0"/>
              </w:rPr>
              <w:t>Horses</w:t>
            </w:r>
          </w:p>
        </w:tc>
        <w:tc>
          <w:tcPr>
            <w:tcW w:w="875" w:type="pct"/>
            <w:noWrap/>
            <w:hideMark/>
          </w:tcPr>
          <w:p w14:paraId="5EB0D262" w14:textId="77777777" w:rsidR="00E46639" w:rsidRPr="00B1795A" w:rsidRDefault="00E46639" w:rsidP="00F16E23">
            <w:pPr>
              <w:pStyle w:val="TableText"/>
              <w:spacing w:before="50" w:after="50"/>
              <w:jc w:val="right"/>
              <w:cnfStyle w:val="000000000000" w:firstRow="0" w:lastRow="0" w:firstColumn="0" w:lastColumn="0" w:oddVBand="0" w:evenVBand="0" w:oddHBand="0" w:evenHBand="0" w:firstRowFirstColumn="0" w:firstRowLastColumn="0" w:lastRowFirstColumn="0" w:lastRowLastColumn="0"/>
              <w:rPr>
                <w:rFonts w:cs="Calibri"/>
              </w:rPr>
            </w:pPr>
            <w:r w:rsidRPr="00B1795A">
              <w:rPr>
                <w:rFonts w:cs="Calibri"/>
              </w:rPr>
              <w:t>5.6</w:t>
            </w:r>
          </w:p>
        </w:tc>
        <w:tc>
          <w:tcPr>
            <w:tcW w:w="725" w:type="pct"/>
            <w:noWrap/>
            <w:hideMark/>
          </w:tcPr>
          <w:p w14:paraId="4083EAAB" w14:textId="77777777" w:rsidR="00E46639" w:rsidRPr="00B1795A" w:rsidRDefault="00E46639" w:rsidP="00F16E23">
            <w:pPr>
              <w:pStyle w:val="TableText"/>
              <w:spacing w:before="50" w:after="50"/>
              <w:jc w:val="right"/>
              <w:cnfStyle w:val="000000000000" w:firstRow="0" w:lastRow="0" w:firstColumn="0" w:lastColumn="0" w:oddVBand="0" w:evenVBand="0" w:oddHBand="0" w:evenHBand="0" w:firstRowFirstColumn="0" w:firstRowLastColumn="0" w:lastRowFirstColumn="0" w:lastRowLastColumn="0"/>
              <w:rPr>
                <w:rFonts w:cs="Calibri"/>
              </w:rPr>
            </w:pPr>
            <w:r w:rsidRPr="00B1795A">
              <w:rPr>
                <w:rFonts w:cs="Calibri"/>
              </w:rPr>
              <w:t>0.6</w:t>
            </w:r>
          </w:p>
        </w:tc>
        <w:tc>
          <w:tcPr>
            <w:tcW w:w="580" w:type="pct"/>
            <w:noWrap/>
            <w:hideMark/>
          </w:tcPr>
          <w:p w14:paraId="1FCE7FA2" w14:textId="77777777" w:rsidR="00E46639" w:rsidRPr="00B1795A" w:rsidRDefault="00E46639" w:rsidP="00F16E23">
            <w:pPr>
              <w:pStyle w:val="TableText"/>
              <w:spacing w:before="50" w:after="50"/>
              <w:jc w:val="right"/>
              <w:cnfStyle w:val="000000000000" w:firstRow="0" w:lastRow="0" w:firstColumn="0" w:lastColumn="0" w:oddVBand="0" w:evenVBand="0" w:oddHBand="0" w:evenHBand="0" w:firstRowFirstColumn="0" w:firstRowLastColumn="0" w:lastRowFirstColumn="0" w:lastRowLastColumn="0"/>
              <w:rPr>
                <w:rFonts w:cs="Calibri"/>
              </w:rPr>
            </w:pPr>
            <w:r w:rsidRPr="00B1795A">
              <w:rPr>
                <w:rFonts w:cs="Calibri"/>
              </w:rPr>
              <w:t>377</w:t>
            </w:r>
          </w:p>
        </w:tc>
        <w:tc>
          <w:tcPr>
            <w:tcW w:w="508" w:type="pct"/>
            <w:noWrap/>
            <w:hideMark/>
          </w:tcPr>
          <w:p w14:paraId="500337B4" w14:textId="77777777" w:rsidR="00E46639" w:rsidRPr="00B1795A" w:rsidRDefault="00E46639" w:rsidP="00F16E23">
            <w:pPr>
              <w:pStyle w:val="TableText"/>
              <w:spacing w:before="50" w:after="50"/>
              <w:jc w:val="right"/>
              <w:cnfStyle w:val="000000000000" w:firstRow="0" w:lastRow="0" w:firstColumn="0" w:lastColumn="0" w:oddVBand="0" w:evenVBand="0" w:oddHBand="0" w:evenHBand="0" w:firstRowFirstColumn="0" w:firstRowLastColumn="0" w:lastRowFirstColumn="0" w:lastRowLastColumn="0"/>
              <w:rPr>
                <w:rFonts w:cs="Calibri"/>
              </w:rPr>
            </w:pPr>
            <w:r w:rsidRPr="00B1795A">
              <w:rPr>
                <w:rFonts w:cs="Calibri"/>
              </w:rPr>
              <w:t>777.5</w:t>
            </w:r>
          </w:p>
        </w:tc>
        <w:tc>
          <w:tcPr>
            <w:tcW w:w="770" w:type="pct"/>
            <w:noWrap/>
            <w:hideMark/>
          </w:tcPr>
          <w:p w14:paraId="267CC3AB" w14:textId="77777777" w:rsidR="00E46639" w:rsidRPr="00B1795A" w:rsidRDefault="00E46639" w:rsidP="00F16E23">
            <w:pPr>
              <w:pStyle w:val="TableText"/>
              <w:spacing w:before="50" w:after="50"/>
              <w:jc w:val="right"/>
              <w:cnfStyle w:val="000000000000" w:firstRow="0" w:lastRow="0" w:firstColumn="0" w:lastColumn="0" w:oddVBand="0" w:evenVBand="0" w:oddHBand="0" w:evenHBand="0" w:firstRowFirstColumn="0" w:firstRowLastColumn="0" w:lastRowFirstColumn="0" w:lastRowLastColumn="0"/>
              <w:rPr>
                <w:rFonts w:cs="Calibri"/>
              </w:rPr>
            </w:pPr>
            <w:r w:rsidRPr="00B1795A">
              <w:rPr>
                <w:rFonts w:cs="Calibri"/>
              </w:rPr>
              <w:t>0.5</w:t>
            </w:r>
          </w:p>
        </w:tc>
        <w:tc>
          <w:tcPr>
            <w:tcW w:w="750" w:type="pct"/>
          </w:tcPr>
          <w:p w14:paraId="1B6B3158" w14:textId="77777777" w:rsidR="00E46639" w:rsidRPr="00B1795A" w:rsidRDefault="00E46639" w:rsidP="00F16E23">
            <w:pPr>
              <w:pStyle w:val="TableText"/>
              <w:spacing w:before="50" w:after="50"/>
              <w:jc w:val="right"/>
              <w:cnfStyle w:val="000000000000" w:firstRow="0" w:lastRow="0" w:firstColumn="0" w:lastColumn="0" w:oddVBand="0" w:evenVBand="0" w:oddHBand="0" w:evenHBand="0" w:firstRowFirstColumn="0" w:firstRowLastColumn="0" w:lastRowFirstColumn="0" w:lastRowLastColumn="0"/>
              <w:rPr>
                <w:rFonts w:cs="Calibri"/>
              </w:rPr>
            </w:pPr>
            <w:r w:rsidRPr="00B1795A">
              <w:rPr>
                <w:rFonts w:cs="Calibri"/>
              </w:rPr>
              <w:t>2.3</w:t>
            </w:r>
          </w:p>
        </w:tc>
      </w:tr>
      <w:tr w:rsidR="00E46639" w:rsidRPr="00B1795A" w14:paraId="24B6EC87" w14:textId="77777777" w:rsidTr="00B179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1" w:type="pct"/>
            <w:tcBorders>
              <w:top w:val="none" w:sz="0" w:space="0" w:color="auto"/>
              <w:bottom w:val="none" w:sz="0" w:space="0" w:color="auto"/>
              <w:right w:val="none" w:sz="0" w:space="0" w:color="auto"/>
            </w:tcBorders>
            <w:noWrap/>
            <w:hideMark/>
          </w:tcPr>
          <w:p w14:paraId="05542E2B" w14:textId="77777777" w:rsidR="00E46639" w:rsidRPr="00B1795A" w:rsidRDefault="00E46639" w:rsidP="00F16E23">
            <w:pPr>
              <w:pStyle w:val="TableText"/>
              <w:spacing w:before="50" w:after="50"/>
              <w:rPr>
                <w:rFonts w:cs="Calibri"/>
                <w:b w:val="0"/>
                <w:bCs w:val="0"/>
              </w:rPr>
            </w:pPr>
            <w:r w:rsidRPr="00B1795A">
              <w:rPr>
                <w:rFonts w:cs="Calibri"/>
                <w:b w:val="0"/>
                <w:bCs w:val="0"/>
              </w:rPr>
              <w:t>Mules and asses</w:t>
            </w:r>
          </w:p>
        </w:tc>
        <w:tc>
          <w:tcPr>
            <w:tcW w:w="875" w:type="pct"/>
            <w:tcBorders>
              <w:top w:val="none" w:sz="0" w:space="0" w:color="auto"/>
              <w:bottom w:val="none" w:sz="0" w:space="0" w:color="auto"/>
            </w:tcBorders>
            <w:noWrap/>
            <w:hideMark/>
          </w:tcPr>
          <w:p w14:paraId="097BCAEA"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7.2</w:t>
            </w:r>
          </w:p>
        </w:tc>
        <w:tc>
          <w:tcPr>
            <w:tcW w:w="725" w:type="pct"/>
            <w:tcBorders>
              <w:top w:val="none" w:sz="0" w:space="0" w:color="auto"/>
              <w:bottom w:val="none" w:sz="0" w:space="0" w:color="auto"/>
            </w:tcBorders>
            <w:noWrap/>
            <w:hideMark/>
          </w:tcPr>
          <w:p w14:paraId="6D243BB0"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0.6</w:t>
            </w:r>
          </w:p>
        </w:tc>
        <w:tc>
          <w:tcPr>
            <w:tcW w:w="580" w:type="pct"/>
            <w:tcBorders>
              <w:top w:val="none" w:sz="0" w:space="0" w:color="auto"/>
              <w:bottom w:val="none" w:sz="0" w:space="0" w:color="auto"/>
            </w:tcBorders>
            <w:noWrap/>
            <w:hideMark/>
          </w:tcPr>
          <w:p w14:paraId="2212B01F"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130</w:t>
            </w:r>
          </w:p>
        </w:tc>
        <w:tc>
          <w:tcPr>
            <w:tcW w:w="508" w:type="pct"/>
            <w:tcBorders>
              <w:top w:val="none" w:sz="0" w:space="0" w:color="auto"/>
              <w:bottom w:val="none" w:sz="0" w:space="0" w:color="auto"/>
            </w:tcBorders>
            <w:noWrap/>
            <w:hideMark/>
          </w:tcPr>
          <w:p w14:paraId="41FB5F5E"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341.6</w:t>
            </w:r>
          </w:p>
        </w:tc>
        <w:tc>
          <w:tcPr>
            <w:tcW w:w="770" w:type="pct"/>
            <w:tcBorders>
              <w:top w:val="none" w:sz="0" w:space="0" w:color="auto"/>
              <w:bottom w:val="none" w:sz="0" w:space="0" w:color="auto"/>
            </w:tcBorders>
            <w:noWrap/>
            <w:hideMark/>
          </w:tcPr>
          <w:p w14:paraId="63866546"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0.2</w:t>
            </w:r>
          </w:p>
        </w:tc>
        <w:tc>
          <w:tcPr>
            <w:tcW w:w="750" w:type="pct"/>
            <w:tcBorders>
              <w:top w:val="none" w:sz="0" w:space="0" w:color="auto"/>
              <w:bottom w:val="none" w:sz="0" w:space="0" w:color="auto"/>
            </w:tcBorders>
          </w:tcPr>
          <w:p w14:paraId="35E81D40" w14:textId="77777777" w:rsidR="00E46639" w:rsidRPr="00B1795A" w:rsidRDefault="00E46639" w:rsidP="00F16E23">
            <w:pPr>
              <w:pStyle w:val="TableText"/>
              <w:spacing w:before="50" w:after="50"/>
              <w:jc w:val="right"/>
              <w:cnfStyle w:val="000000100000" w:firstRow="0" w:lastRow="0" w:firstColumn="0" w:lastColumn="0" w:oddVBand="0" w:evenVBand="0" w:oddHBand="1" w:evenHBand="0" w:firstRowFirstColumn="0" w:firstRowLastColumn="0" w:lastRowFirstColumn="0" w:lastRowLastColumn="0"/>
              <w:rPr>
                <w:rFonts w:cs="Calibri"/>
              </w:rPr>
            </w:pPr>
            <w:r w:rsidRPr="00B1795A">
              <w:rPr>
                <w:rFonts w:cs="Calibri"/>
              </w:rPr>
              <w:t>1.1</w:t>
            </w:r>
          </w:p>
        </w:tc>
      </w:tr>
    </w:tbl>
    <w:p w14:paraId="189CCD70" w14:textId="77777777" w:rsidR="00E46639" w:rsidRPr="0028033B" w:rsidRDefault="00E46639" w:rsidP="00E46639">
      <w:pPr>
        <w:pStyle w:val="Noteundertable"/>
      </w:pPr>
      <w:r w:rsidRPr="0028033B">
        <w:rPr>
          <w:b/>
          <w:bCs/>
        </w:rPr>
        <w:t>Note:</w:t>
      </w:r>
      <w:r w:rsidRPr="0028033B">
        <w:t xml:space="preserve"> </w:t>
      </w:r>
      <w:r w:rsidRPr="0028033B">
        <w:tab/>
        <w:t>VS = volatile solids. References to table 10.13A and table 10.14 are from the 2019 IPCC Refinement (IPCC, 2019).</w:t>
      </w:r>
    </w:p>
    <w:p w14:paraId="528205B9" w14:textId="77777777" w:rsidR="00E46639" w:rsidRPr="0028033B" w:rsidRDefault="00E46639" w:rsidP="00E46639">
      <w:pPr>
        <w:pStyle w:val="BodyText"/>
        <w:rPr>
          <w:color w:val="000000" w:themeColor="text1"/>
        </w:rPr>
      </w:pPr>
      <w:r w:rsidRPr="0028033B">
        <w:t>The calculated values are much lower than the IPCC (2006) default values. This is because the manure management system is now specified as pasture range and paddock, which has a lower CH</w:t>
      </w:r>
      <w:r w:rsidRPr="0028033B">
        <w:rPr>
          <w:vertAlign w:val="subscript"/>
        </w:rPr>
        <w:t>4</w:t>
      </w:r>
      <w:r w:rsidRPr="0028033B">
        <w:t xml:space="preserve"> emission factor than most other systems</w:t>
      </w:r>
    </w:p>
    <w:p w14:paraId="61226159" w14:textId="77777777" w:rsidR="00E46639" w:rsidRPr="0028033B" w:rsidRDefault="00E46639" w:rsidP="00E46639">
      <w:pPr>
        <w:pStyle w:val="BodyText"/>
        <w:spacing w:before="100" w:after="100"/>
      </w:pPr>
      <w:r w:rsidRPr="0028033B">
        <w:rPr>
          <w:i/>
        </w:rPr>
        <w:t>Llamas and alpacas:</w:t>
      </w:r>
      <w:r w:rsidRPr="0028033B">
        <w:t xml:space="preserve"> No IPCC default value is available for CH</w:t>
      </w:r>
      <w:r w:rsidRPr="0028033B">
        <w:rPr>
          <w:vertAlign w:val="subscript"/>
        </w:rPr>
        <w:t>4</w:t>
      </w:r>
      <w:r w:rsidRPr="0028033B">
        <w:t xml:space="preserve"> emissions from manure management for </w:t>
      </w:r>
      <w:r w:rsidRPr="0028033B">
        <w:rPr>
          <w:i/>
          <w:iCs/>
        </w:rPr>
        <w:t>Llamas and alpacas</w:t>
      </w:r>
      <w:r w:rsidRPr="0028033B">
        <w:t>. The emissions are calculated by assuming that the CH</w:t>
      </w:r>
      <w:r w:rsidRPr="0028033B">
        <w:rPr>
          <w:vertAlign w:val="subscript"/>
        </w:rPr>
        <w:t>4</w:t>
      </w:r>
      <w:r w:rsidRPr="0028033B">
        <w:t xml:space="preserve"> emission factor from manure management for </w:t>
      </w:r>
      <w:r w:rsidRPr="0028033B">
        <w:rPr>
          <w:i/>
          <w:iCs/>
        </w:rPr>
        <w:t>Llamas and alpacas</w:t>
      </w:r>
      <w:r w:rsidRPr="0028033B">
        <w:t xml:space="preserve"> for all years is equal to the CH</w:t>
      </w:r>
      <w:r w:rsidRPr="0028033B">
        <w:rPr>
          <w:vertAlign w:val="subscript"/>
        </w:rPr>
        <w:t>4</w:t>
      </w:r>
      <w:r w:rsidRPr="0028033B">
        <w:t xml:space="preserve"> manure management IEF for </w:t>
      </w:r>
      <w:r w:rsidRPr="0028033B">
        <w:rPr>
          <w:i/>
          <w:iCs/>
        </w:rPr>
        <w:t>Sheep</w:t>
      </w:r>
      <w:r w:rsidRPr="0028033B">
        <w:t xml:space="preserve"> in 1990. </w:t>
      </w:r>
      <w:r w:rsidRPr="0028033B">
        <w:rPr>
          <w:color w:val="000000" w:themeColor="text1"/>
        </w:rPr>
        <w:t xml:space="preserve">The </w:t>
      </w:r>
      <w:r w:rsidRPr="0028033B">
        <w:rPr>
          <w:i/>
          <w:color w:val="000000" w:themeColor="text1"/>
        </w:rPr>
        <w:t>Llamas and alpacas</w:t>
      </w:r>
      <w:r w:rsidRPr="0028033B">
        <w:rPr>
          <w:color w:val="000000" w:themeColor="text1"/>
        </w:rPr>
        <w:t xml:space="preserve"> emission </w:t>
      </w:r>
      <w:r w:rsidRPr="0028033B">
        <w:t>factor (0.10 kg CH</w:t>
      </w:r>
      <w:r w:rsidRPr="0028033B">
        <w:rPr>
          <w:vertAlign w:val="subscript"/>
        </w:rPr>
        <w:t>4</w:t>
      </w:r>
      <w:r w:rsidRPr="0028033B">
        <w:t xml:space="preserve">/year/head) </w:t>
      </w:r>
      <w:r w:rsidRPr="0028033B">
        <w:rPr>
          <w:color w:val="000000" w:themeColor="text1"/>
        </w:rPr>
        <w:t xml:space="preserve">is not indexed to sheep </w:t>
      </w:r>
      <w:r w:rsidRPr="0028033B">
        <w:t>over time because there are no data indicating that alpacas or llamas have had the productivity increases over time seen in sheep.</w:t>
      </w:r>
    </w:p>
    <w:p w14:paraId="7EFD76AF" w14:textId="77777777" w:rsidR="00E46639" w:rsidRPr="0028033B" w:rsidRDefault="00E46639" w:rsidP="00E46639">
      <w:pPr>
        <w:pStyle w:val="Heading4"/>
      </w:pPr>
      <w:r w:rsidRPr="0028033B">
        <w:t xml:space="preserve">Nitrous oxide from manure management systems (3.B.(b)) </w:t>
      </w:r>
    </w:p>
    <w:p w14:paraId="5CBF123B" w14:textId="77777777" w:rsidR="00E46639" w:rsidRPr="0028033B" w:rsidRDefault="00E46639" w:rsidP="00E46639">
      <w:pPr>
        <w:pStyle w:val="BodyText"/>
      </w:pPr>
      <w:r w:rsidRPr="0028033B">
        <w:rPr>
          <w:spacing w:val="-2"/>
        </w:rPr>
        <w:t>Nitrous oxide emissions from manure management can be classified as either direct or indirec</w:t>
      </w:r>
      <w:r w:rsidRPr="0028033B">
        <w:t>t. Direct N</w:t>
      </w:r>
      <w:r w:rsidRPr="0028033B">
        <w:rPr>
          <w:vertAlign w:val="subscript"/>
        </w:rPr>
        <w:t>2</w:t>
      </w:r>
      <w:r w:rsidRPr="0028033B">
        <w:t>O emissions occur from nitrification and denitrification of nitrogen contained in the manure. Indirect N</w:t>
      </w:r>
      <w:r w:rsidRPr="0028033B">
        <w:rPr>
          <w:vertAlign w:val="subscript"/>
        </w:rPr>
        <w:t>2</w:t>
      </w:r>
      <w:r w:rsidRPr="0028033B">
        <w:t>O emissions result from volatile nitrogen losses in the forms of ammonia (NH</w:t>
      </w:r>
      <w:r w:rsidRPr="0028033B">
        <w:rPr>
          <w:vertAlign w:val="subscript"/>
        </w:rPr>
        <w:t>3</w:t>
      </w:r>
      <w:r w:rsidRPr="0028033B">
        <w:t>) and NO</w:t>
      </w:r>
      <w:r w:rsidRPr="0028033B">
        <w:rPr>
          <w:vertAlign w:val="subscript"/>
        </w:rPr>
        <w:t>x</w:t>
      </w:r>
      <w:r w:rsidRPr="0028033B">
        <w:t xml:space="preserve"> that are emitted via diffusion into the surrounding air (volatilisation) or via leaching and runoff. </w:t>
      </w:r>
    </w:p>
    <w:p w14:paraId="292B489D" w14:textId="77777777" w:rsidR="00E46639" w:rsidRPr="0028033B" w:rsidRDefault="00E46639" w:rsidP="00E46639">
      <w:pPr>
        <w:pStyle w:val="BodyText"/>
        <w:spacing w:after="100"/>
        <w:rPr>
          <w:rFonts w:cs="Calibri"/>
        </w:rPr>
      </w:pPr>
      <w:r w:rsidRPr="0028033B">
        <w:rPr>
          <w:rFonts w:cs="Calibri"/>
        </w:rPr>
        <w:t>Nitrous oxide emissions from manure are calculated for each livestock category based on:</w:t>
      </w:r>
    </w:p>
    <w:p w14:paraId="7C8D6714" w14:textId="360D0D98" w:rsidR="00E46639" w:rsidRPr="0028033B" w:rsidRDefault="008B4322" w:rsidP="008B4322">
      <w:pPr>
        <w:pStyle w:val="Numberedparagraph"/>
        <w:numPr>
          <w:ilvl w:val="0"/>
          <w:numId w:val="0"/>
        </w:numPr>
        <w:spacing w:after="100"/>
        <w:ind w:left="397" w:hanging="397"/>
      </w:pPr>
      <w:r>
        <w:t>1.</w:t>
      </w:r>
      <w:r>
        <w:tab/>
      </w:r>
      <w:r w:rsidR="00E46639" w:rsidRPr="0028033B">
        <w:t xml:space="preserve">livestock population characterisation data (consistent with section 5.1.3) </w:t>
      </w:r>
    </w:p>
    <w:p w14:paraId="57B8655F" w14:textId="33C524C0" w:rsidR="00E46639" w:rsidRPr="0028033B" w:rsidRDefault="008B4322" w:rsidP="008B4322">
      <w:pPr>
        <w:pStyle w:val="Numberedparagraph"/>
        <w:numPr>
          <w:ilvl w:val="0"/>
          <w:numId w:val="0"/>
        </w:numPr>
        <w:spacing w:after="100"/>
        <w:ind w:left="397" w:hanging="397"/>
      </w:pPr>
      <w:r>
        <w:t>2.</w:t>
      </w:r>
      <w:r>
        <w:tab/>
      </w:r>
      <w:r w:rsidR="00E46639" w:rsidRPr="0028033B">
        <w:t>the average nitrogen excretion rate (kg/year/head)</w:t>
      </w:r>
    </w:p>
    <w:p w14:paraId="5815D822" w14:textId="70CA2FD9" w:rsidR="00E46639" w:rsidRPr="0028033B" w:rsidRDefault="008B4322" w:rsidP="008B4322">
      <w:pPr>
        <w:pStyle w:val="Numberedparagraph"/>
        <w:numPr>
          <w:ilvl w:val="0"/>
          <w:numId w:val="0"/>
        </w:numPr>
        <w:spacing w:after="100"/>
        <w:ind w:left="397" w:hanging="397"/>
      </w:pPr>
      <w:r>
        <w:t>3.</w:t>
      </w:r>
      <w:r>
        <w:tab/>
      </w:r>
      <w:r w:rsidR="00E46639" w:rsidRPr="0028033B">
        <w:t>an estimation of the total quantity of faecal material produced (consistent with the calculations in the previous section for CH</w:t>
      </w:r>
      <w:r w:rsidR="00E46639" w:rsidRPr="0028033B">
        <w:rPr>
          <w:vertAlign w:val="subscript"/>
        </w:rPr>
        <w:t>4</w:t>
      </w:r>
      <w:r w:rsidR="00E46639" w:rsidRPr="0028033B">
        <w:t xml:space="preserve"> from manure management) split into dung and urine</w:t>
      </w:r>
    </w:p>
    <w:p w14:paraId="59117C66" w14:textId="0C7ADBE0" w:rsidR="00E46639" w:rsidRPr="0028033B" w:rsidRDefault="008B4322" w:rsidP="008B4322">
      <w:pPr>
        <w:pStyle w:val="Numberedparagraph"/>
        <w:numPr>
          <w:ilvl w:val="0"/>
          <w:numId w:val="0"/>
        </w:numPr>
        <w:spacing w:after="100"/>
        <w:ind w:left="397" w:hanging="397"/>
      </w:pPr>
      <w:r>
        <w:t>4.</w:t>
      </w:r>
      <w:r>
        <w:tab/>
      </w:r>
      <w:r w:rsidR="00E46639" w:rsidRPr="0028033B">
        <w:t>the partitioning of this faecal material between manure management systems (based on the manure distributions in table 5.3.2)</w:t>
      </w:r>
    </w:p>
    <w:p w14:paraId="0EDE2C0D" w14:textId="79B0D752" w:rsidR="00E46639" w:rsidRPr="0028033B" w:rsidRDefault="008B4322" w:rsidP="008B4322">
      <w:pPr>
        <w:pStyle w:val="Numberedparagraph"/>
        <w:numPr>
          <w:ilvl w:val="0"/>
          <w:numId w:val="0"/>
        </w:numPr>
        <w:spacing w:after="100"/>
        <w:ind w:left="397" w:hanging="397"/>
      </w:pPr>
      <w:r>
        <w:t>5.</w:t>
      </w:r>
      <w:r>
        <w:tab/>
      </w:r>
      <w:r w:rsidR="00E46639" w:rsidRPr="0028033B">
        <w:t xml:space="preserve">the total amount of nitrogen managed in each system multiplied by an emission factor (IPCC, 2006). </w:t>
      </w:r>
    </w:p>
    <w:p w14:paraId="7C4C9DC6" w14:textId="77777777" w:rsidR="00E46639" w:rsidRPr="0028033B" w:rsidRDefault="00E46639" w:rsidP="00E46639">
      <w:pPr>
        <w:pStyle w:val="Heading5"/>
      </w:pPr>
      <w:r w:rsidRPr="0028033B">
        <w:t>Nitrogen excretion rates for the major livestock categories</w:t>
      </w:r>
    </w:p>
    <w:p w14:paraId="224DB7D5" w14:textId="77777777" w:rsidR="00E46639" w:rsidRPr="0028033B" w:rsidRDefault="00E46639" w:rsidP="00E46639">
      <w:pPr>
        <w:pStyle w:val="BodyText"/>
        <w:spacing w:before="80" w:after="100"/>
      </w:pPr>
      <w:r w:rsidRPr="0028033B">
        <w:t>The nitrogen excretion (N</w:t>
      </w:r>
      <w:r w:rsidRPr="0028033B">
        <w:rPr>
          <w:vertAlign w:val="subscript"/>
        </w:rPr>
        <w:t>ex</w:t>
      </w:r>
      <w:r w:rsidRPr="0028033B">
        <w:t xml:space="preserve">) rates for the main livestock categories in </w:t>
      </w:r>
      <w:r w:rsidRPr="0028033B" w:rsidDel="00F25B41">
        <w:t xml:space="preserve">New </w:t>
      </w:r>
      <w:r w:rsidRPr="0028033B">
        <w:t>Zealand are calculated from the nitrogen intake less the nitrogen retained through digestion and contained within animal products, such as liveweight gain, milk, wool and velvet. Nitrogen intake is determined from the dry-matter feed intake and the nitrogen content of the feed eaten. Feed intake and animal productivity values are the same as those used in the Tier</w:t>
      </w:r>
      <w:r w:rsidRPr="0028033B" w:rsidDel="004462D9">
        <w:t xml:space="preserve"> </w:t>
      </w:r>
      <w:r w:rsidRPr="0028033B">
        <w:t>2 model for determining DMI (Clark et al., 2003; and section 5.1.3). Monthly values for the nitrogen content of feed are provided by Giltrap and McNeill (2020) for dairy cattle and sheep and non</w:t>
      </w:r>
      <w:r w:rsidRPr="0028033B">
        <w:noBreakHyphen/>
        <w:t>dairy (beef) cattle separately.</w:t>
      </w:r>
    </w:p>
    <w:p w14:paraId="1A922672" w14:textId="77777777" w:rsidR="00E46639" w:rsidRPr="0028033B" w:rsidRDefault="00E46639" w:rsidP="00E46639">
      <w:pPr>
        <w:pStyle w:val="BodyText"/>
        <w:spacing w:before="100" w:after="100"/>
        <w:rPr>
          <w:rFonts w:cs="Calibri"/>
        </w:rPr>
      </w:pPr>
      <w:r w:rsidRPr="0028033B">
        <w:rPr>
          <w:rFonts w:cs="Calibri"/>
        </w:rPr>
        <w:t>The nitrogen content of animal products is derived from industry data. For lactating dairy cows, the nitrogen content of milk is derived from the protein content of milk, which is published annually by LIC. The nitrogen content of sheep meat, milk and wool, as well as non</w:t>
      </w:r>
      <w:r w:rsidRPr="0028033B">
        <w:rPr>
          <w:rFonts w:cs="Calibri"/>
        </w:rPr>
        <w:noBreakHyphen/>
        <w:t xml:space="preserve">dairy meat, and the nitrogen retained in deer velvet, is taken from </w:t>
      </w:r>
      <w:r w:rsidRPr="0028033B" w:rsidDel="00C019AB">
        <w:t xml:space="preserve">New </w:t>
      </w:r>
      <w:r w:rsidRPr="0028033B">
        <w:t>Zealand</w:t>
      </w:r>
      <w:r w:rsidRPr="0028033B">
        <w:rPr>
          <w:rFonts w:cs="Calibri"/>
        </w:rPr>
        <w:t xml:space="preserve"> research (Bown et al., 2013). </w:t>
      </w:r>
    </w:p>
    <w:p w14:paraId="73D9A280" w14:textId="77777777" w:rsidR="00E46639" w:rsidRPr="0028033B" w:rsidRDefault="00E46639" w:rsidP="00E46639">
      <w:pPr>
        <w:pStyle w:val="BodyText"/>
        <w:spacing w:before="100" w:after="100"/>
        <w:rPr>
          <w:rFonts w:cs="Calibri"/>
        </w:rPr>
      </w:pPr>
      <w:r w:rsidRPr="0028033B">
        <w:rPr>
          <w:rFonts w:cs="Calibri"/>
        </w:rPr>
        <w:t>Table 5.3.8 shows the N</w:t>
      </w:r>
      <w:r w:rsidRPr="0028033B">
        <w:rPr>
          <w:rFonts w:cs="Calibri"/>
          <w:vertAlign w:val="subscript"/>
        </w:rPr>
        <w:t>ex</w:t>
      </w:r>
      <w:r w:rsidRPr="0028033B">
        <w:rPr>
          <w:rFonts w:cs="Calibri"/>
        </w:rPr>
        <w:t xml:space="preserve"> rates for the major livestock categories. These rates have increased over time, reflecting the increases in animal productivity and animal DMI in </w:t>
      </w:r>
      <w:r w:rsidRPr="0028033B" w:rsidDel="00861058">
        <w:t xml:space="preserve">New </w:t>
      </w:r>
      <w:r w:rsidRPr="0028033B">
        <w:t>Zealand</w:t>
      </w:r>
      <w:r w:rsidRPr="0028033B">
        <w:rPr>
          <w:rFonts w:cs="Calibri"/>
        </w:rPr>
        <w:t xml:space="preserve"> since 1990. Nitrogen excretion</w:t>
      </w:r>
      <w:r w:rsidRPr="0028033B" w:rsidDel="00317E26">
        <w:rPr>
          <w:rFonts w:cs="Calibri"/>
        </w:rPr>
        <w:t xml:space="preserve"> </w:t>
      </w:r>
      <w:r w:rsidRPr="0028033B">
        <w:rPr>
          <w:rFonts w:cs="Calibri"/>
        </w:rPr>
        <w:t>rates are also affected by adverse weather events, which affect the amount of DMI and can cause changes in productivity and N</w:t>
      </w:r>
      <w:r w:rsidRPr="0028033B">
        <w:rPr>
          <w:rFonts w:cs="Calibri"/>
          <w:vertAlign w:val="subscript"/>
        </w:rPr>
        <w:t>ex</w:t>
      </w:r>
      <w:r w:rsidRPr="0028033B">
        <w:rPr>
          <w:rFonts w:cs="Calibri"/>
        </w:rPr>
        <w:t xml:space="preserve"> rates in subsequent years (see section 5.1.1).</w:t>
      </w:r>
      <w:r w:rsidRPr="0028033B">
        <w:rPr>
          <w:rStyle w:val="FootnoteReference"/>
          <w:rFonts w:cs="Calibri"/>
        </w:rPr>
        <w:footnoteReference w:id="39"/>
      </w:r>
      <w:r w:rsidRPr="0028033B">
        <w:rPr>
          <w:rFonts w:cs="Calibri"/>
        </w:rPr>
        <w:t xml:space="preserve"> The N</w:t>
      </w:r>
      <w:r w:rsidRPr="0028033B">
        <w:rPr>
          <w:rFonts w:cs="Calibri"/>
          <w:vertAlign w:val="subscript"/>
        </w:rPr>
        <w:t>ex</w:t>
      </w:r>
      <w:r w:rsidRPr="0028033B">
        <w:rPr>
          <w:rFonts w:cs="Calibri"/>
        </w:rPr>
        <w:t xml:space="preserve"> rates presented in table 5.3.8 for dairy cattle are representative values and not used in the emissions calculations.</w:t>
      </w:r>
      <w:r>
        <w:rPr>
          <w:rFonts w:cs="Calibri"/>
        </w:rPr>
        <w:t xml:space="preserve"> </w:t>
      </w:r>
      <w:r w:rsidRPr="0028033B">
        <w:rPr>
          <w:rFonts w:cs="Calibri"/>
        </w:rPr>
        <w:t>Instead, region-specific N</w:t>
      </w:r>
      <w:r w:rsidRPr="0028033B">
        <w:rPr>
          <w:rFonts w:cs="Calibri"/>
          <w:vertAlign w:val="subscript"/>
        </w:rPr>
        <w:t>ex</w:t>
      </w:r>
      <w:r w:rsidRPr="0028033B">
        <w:rPr>
          <w:rFonts w:cs="Calibri"/>
        </w:rPr>
        <w:t xml:space="preserve"> values are calculated and used to estimate emissions per manure management system. </w:t>
      </w:r>
    </w:p>
    <w:p w14:paraId="7F3C0673" w14:textId="77777777" w:rsidR="00E46639" w:rsidRPr="0028033B" w:rsidRDefault="00E46639" w:rsidP="00E46639">
      <w:pPr>
        <w:pStyle w:val="Table"/>
        <w:rPr>
          <w:rFonts w:cs="Calibri"/>
        </w:rPr>
      </w:pPr>
      <w:bookmarkStart w:id="953" w:name="_Toc288316754"/>
      <w:bookmarkStart w:id="954" w:name="_Toc235955628"/>
      <w:bookmarkStart w:id="955" w:name="_Toc352504972"/>
      <w:bookmarkStart w:id="956" w:name="_Toc441830875"/>
      <w:bookmarkStart w:id="957" w:name="_Toc451176089"/>
      <w:bookmarkStart w:id="958" w:name="_Toc481751517"/>
      <w:bookmarkStart w:id="959" w:name="_Toc507158605"/>
      <w:bookmarkStart w:id="960" w:name="_Toc511116739"/>
      <w:bookmarkStart w:id="961" w:name="_Toc5269479"/>
      <w:bookmarkStart w:id="962" w:name="_Toc32570922"/>
      <w:bookmarkStart w:id="963" w:name="_Toc36224557"/>
      <w:bookmarkStart w:id="964" w:name="_Toc68786442"/>
      <w:bookmarkStart w:id="965" w:name="_Toc95574076"/>
      <w:bookmarkStart w:id="966" w:name="_Toc127458261"/>
      <w:bookmarkStart w:id="967" w:name="_Toc131591357"/>
      <w:bookmarkStart w:id="968" w:name="_Toc164153845"/>
      <w:bookmarkStart w:id="969" w:name="_Toc222407633"/>
      <w:bookmarkStart w:id="970" w:name="_Toc226669008"/>
      <w:bookmarkStart w:id="971" w:name="_Toc160114449"/>
      <w:r w:rsidRPr="0028033B">
        <w:rPr>
          <w:rFonts w:cs="Calibri"/>
        </w:rPr>
        <w:t>Table 5.3.8</w:t>
      </w:r>
      <w:r w:rsidRPr="0028033B">
        <w:rPr>
          <w:rFonts w:cs="Calibri"/>
        </w:rPr>
        <w:tab/>
        <w:t>Nitrogen excretion rates (N</w:t>
      </w:r>
      <w:r w:rsidRPr="0028033B">
        <w:rPr>
          <w:rFonts w:cs="Calibri"/>
          <w:vertAlign w:val="subscript"/>
        </w:rPr>
        <w:t>ex</w:t>
      </w:r>
      <w:r w:rsidRPr="0028033B">
        <w:rPr>
          <w:rFonts w:cs="Calibri"/>
        </w:rPr>
        <w:t xml:space="preserve">) for </w:t>
      </w:r>
      <w:r w:rsidRPr="0028033B">
        <w:t>New Zealand’s</w:t>
      </w:r>
      <w:r w:rsidRPr="0028033B">
        <w:rPr>
          <w:rFonts w:cs="Calibri"/>
        </w:rPr>
        <w:t xml:space="preserve"> major livestock categories, from 1990 to 2024</w:t>
      </w:r>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r w:rsidRPr="0028033B">
        <w:rPr>
          <w:rFonts w:cs="Calibri"/>
        </w:rPr>
        <w:t xml:space="preserve"> </w:t>
      </w:r>
      <w:bookmarkEnd w:id="97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1378"/>
        <w:gridCol w:w="1781"/>
        <w:gridCol w:w="1782"/>
        <w:gridCol w:w="1782"/>
        <w:gridCol w:w="1782"/>
      </w:tblGrid>
      <w:tr w:rsidR="00E46639" w:rsidRPr="0028033B" w14:paraId="37DEB777" w14:textId="77777777" w:rsidTr="009A39B7">
        <w:trPr>
          <w:tblHeader/>
        </w:trPr>
        <w:tc>
          <w:tcPr>
            <w:tcW w:w="1378" w:type="dxa"/>
            <w:shd w:val="clear" w:color="auto" w:fill="1B556B"/>
            <w:noWrap/>
            <w:vAlign w:val="bottom"/>
          </w:tcPr>
          <w:p w14:paraId="3CD07705" w14:textId="77777777" w:rsidR="00E46639" w:rsidRPr="0028033B" w:rsidRDefault="00E46639" w:rsidP="00F16E23">
            <w:pPr>
              <w:pStyle w:val="TableTextBold"/>
              <w:keepNext/>
              <w:spacing w:before="20" w:after="20"/>
              <w:rPr>
                <w:noProof w:val="0"/>
                <w:color w:val="FFFFFF" w:themeColor="background1"/>
                <w:szCs w:val="16"/>
              </w:rPr>
            </w:pPr>
            <w:r w:rsidRPr="0028033B">
              <w:rPr>
                <w:noProof w:val="0"/>
                <w:color w:val="FFFFFF" w:themeColor="background1"/>
                <w:szCs w:val="16"/>
              </w:rPr>
              <w:t>Year</w:t>
            </w:r>
          </w:p>
        </w:tc>
        <w:tc>
          <w:tcPr>
            <w:tcW w:w="1781" w:type="dxa"/>
            <w:shd w:val="clear" w:color="auto" w:fill="1B556B"/>
            <w:noWrap/>
            <w:vAlign w:val="bottom"/>
          </w:tcPr>
          <w:p w14:paraId="2472BD6E" w14:textId="77777777" w:rsidR="00E46639" w:rsidRPr="0028033B" w:rsidRDefault="00E46639" w:rsidP="00F16E23">
            <w:pPr>
              <w:pStyle w:val="TableTextBold"/>
              <w:keepNext/>
              <w:spacing w:before="20" w:after="20"/>
              <w:jc w:val="right"/>
              <w:rPr>
                <w:noProof w:val="0"/>
                <w:color w:val="FFFFFF" w:themeColor="background1"/>
                <w:szCs w:val="16"/>
              </w:rPr>
            </w:pPr>
            <w:r w:rsidRPr="0028033B">
              <w:rPr>
                <w:noProof w:val="0"/>
                <w:color w:val="FFFFFF" w:themeColor="background1"/>
                <w:szCs w:val="16"/>
              </w:rPr>
              <w:t>Dairy cattle N</w:t>
            </w:r>
            <w:r w:rsidRPr="0028033B">
              <w:rPr>
                <w:noProof w:val="0"/>
                <w:color w:val="FFFFFF" w:themeColor="background1"/>
                <w:szCs w:val="16"/>
                <w:vertAlign w:val="subscript"/>
              </w:rPr>
              <w:t>ex</w:t>
            </w:r>
            <w:r w:rsidRPr="0028033B">
              <w:rPr>
                <w:noProof w:val="0"/>
                <w:color w:val="FFFFFF" w:themeColor="background1"/>
                <w:szCs w:val="16"/>
              </w:rPr>
              <w:t xml:space="preserve"> (kg/year/head)</w:t>
            </w:r>
          </w:p>
        </w:tc>
        <w:tc>
          <w:tcPr>
            <w:tcW w:w="1782" w:type="dxa"/>
            <w:shd w:val="clear" w:color="auto" w:fill="1B556B"/>
            <w:noWrap/>
            <w:vAlign w:val="bottom"/>
          </w:tcPr>
          <w:p w14:paraId="60D9EACB" w14:textId="77777777" w:rsidR="00E46639" w:rsidRPr="0028033B" w:rsidRDefault="00E46639" w:rsidP="00F16E23">
            <w:pPr>
              <w:pStyle w:val="TableTextBold"/>
              <w:keepNext/>
              <w:spacing w:before="20" w:after="20"/>
              <w:jc w:val="right"/>
              <w:rPr>
                <w:noProof w:val="0"/>
                <w:color w:val="FFFFFF" w:themeColor="background1"/>
                <w:szCs w:val="16"/>
              </w:rPr>
            </w:pPr>
            <w:r w:rsidRPr="0028033B">
              <w:rPr>
                <w:noProof w:val="0"/>
                <w:color w:val="FFFFFF" w:themeColor="background1"/>
                <w:szCs w:val="16"/>
              </w:rPr>
              <w:t>Non-dairy cattle N</w:t>
            </w:r>
            <w:r w:rsidRPr="0028033B">
              <w:rPr>
                <w:noProof w:val="0"/>
                <w:color w:val="FFFFFF" w:themeColor="background1"/>
                <w:szCs w:val="16"/>
                <w:vertAlign w:val="subscript"/>
              </w:rPr>
              <w:t>ex</w:t>
            </w:r>
            <w:r w:rsidRPr="0028033B">
              <w:rPr>
                <w:noProof w:val="0"/>
                <w:color w:val="FFFFFF" w:themeColor="background1"/>
                <w:szCs w:val="16"/>
              </w:rPr>
              <w:t xml:space="preserve"> (kg/year/head)</w:t>
            </w:r>
          </w:p>
        </w:tc>
        <w:tc>
          <w:tcPr>
            <w:tcW w:w="1782" w:type="dxa"/>
            <w:shd w:val="clear" w:color="auto" w:fill="1B556B"/>
            <w:noWrap/>
            <w:vAlign w:val="bottom"/>
          </w:tcPr>
          <w:p w14:paraId="231152AD" w14:textId="77777777" w:rsidR="00E46639" w:rsidRPr="0028033B" w:rsidRDefault="00E46639" w:rsidP="00F16E23">
            <w:pPr>
              <w:pStyle w:val="TableTextBold"/>
              <w:keepNext/>
              <w:spacing w:before="20" w:after="20"/>
              <w:jc w:val="right"/>
              <w:rPr>
                <w:noProof w:val="0"/>
                <w:color w:val="FFFFFF" w:themeColor="background1"/>
                <w:szCs w:val="16"/>
              </w:rPr>
            </w:pPr>
            <w:r w:rsidRPr="0028033B">
              <w:rPr>
                <w:noProof w:val="0"/>
                <w:color w:val="FFFFFF" w:themeColor="background1"/>
                <w:szCs w:val="16"/>
              </w:rPr>
              <w:t>Sheep N</w:t>
            </w:r>
            <w:r w:rsidRPr="0028033B">
              <w:rPr>
                <w:noProof w:val="0"/>
                <w:color w:val="FFFFFF" w:themeColor="background1"/>
                <w:szCs w:val="16"/>
                <w:vertAlign w:val="subscript"/>
              </w:rPr>
              <w:t>ex</w:t>
            </w:r>
            <w:r w:rsidRPr="0028033B">
              <w:rPr>
                <w:noProof w:val="0"/>
                <w:color w:val="FFFFFF" w:themeColor="background1"/>
                <w:szCs w:val="16"/>
              </w:rPr>
              <w:t xml:space="preserve"> (kg/year/head)</w:t>
            </w:r>
          </w:p>
        </w:tc>
        <w:tc>
          <w:tcPr>
            <w:tcW w:w="1782" w:type="dxa"/>
            <w:shd w:val="clear" w:color="auto" w:fill="1B556B"/>
            <w:noWrap/>
            <w:vAlign w:val="bottom"/>
          </w:tcPr>
          <w:p w14:paraId="6A9D8406" w14:textId="77777777" w:rsidR="00E46639" w:rsidRPr="0028033B" w:rsidRDefault="00E46639" w:rsidP="00F16E23">
            <w:pPr>
              <w:pStyle w:val="TableTextBold"/>
              <w:keepNext/>
              <w:spacing w:before="20" w:after="20"/>
              <w:jc w:val="right"/>
              <w:rPr>
                <w:noProof w:val="0"/>
                <w:color w:val="FFFFFF" w:themeColor="background1"/>
                <w:szCs w:val="16"/>
              </w:rPr>
            </w:pPr>
            <w:r w:rsidRPr="0028033B">
              <w:rPr>
                <w:noProof w:val="0"/>
                <w:color w:val="FFFFFF" w:themeColor="background1"/>
                <w:szCs w:val="16"/>
              </w:rPr>
              <w:t>Deer N</w:t>
            </w:r>
            <w:r w:rsidRPr="0028033B">
              <w:rPr>
                <w:noProof w:val="0"/>
                <w:color w:val="FFFFFF" w:themeColor="background1"/>
                <w:szCs w:val="16"/>
                <w:vertAlign w:val="subscript"/>
              </w:rPr>
              <w:t>ex</w:t>
            </w:r>
            <w:r w:rsidRPr="0028033B">
              <w:rPr>
                <w:noProof w:val="0"/>
                <w:color w:val="FFFFFF" w:themeColor="background1"/>
                <w:szCs w:val="16"/>
              </w:rPr>
              <w:t xml:space="preserve"> (kg/year/head)</w:t>
            </w:r>
          </w:p>
        </w:tc>
      </w:tr>
      <w:tr w:rsidR="00E46639" w:rsidRPr="0028033B" w14:paraId="3676840B" w14:textId="77777777" w:rsidTr="009A39B7">
        <w:tc>
          <w:tcPr>
            <w:tcW w:w="1378" w:type="dxa"/>
            <w:noWrap/>
            <w:vAlign w:val="bottom"/>
          </w:tcPr>
          <w:p w14:paraId="76312F89" w14:textId="77777777" w:rsidR="00E46639" w:rsidRPr="0028033B" w:rsidRDefault="00E46639" w:rsidP="00F16E23">
            <w:pPr>
              <w:pStyle w:val="TableText"/>
              <w:keepNext/>
              <w:spacing w:before="20" w:after="20"/>
              <w:rPr>
                <w:rFonts w:cs="Calibri"/>
                <w:szCs w:val="16"/>
              </w:rPr>
            </w:pPr>
            <w:r w:rsidRPr="0028033B">
              <w:rPr>
                <w:rFonts w:cs="Calibri"/>
                <w:szCs w:val="16"/>
              </w:rPr>
              <w:t>1990</w:t>
            </w:r>
          </w:p>
        </w:tc>
        <w:tc>
          <w:tcPr>
            <w:tcW w:w="1781" w:type="dxa"/>
            <w:noWrap/>
            <w:vAlign w:val="bottom"/>
          </w:tcPr>
          <w:p w14:paraId="57F99CC5" w14:textId="77777777" w:rsidR="00E46639" w:rsidRPr="0028033B" w:rsidRDefault="00E46639" w:rsidP="00F16E23">
            <w:pPr>
              <w:pStyle w:val="TableText"/>
              <w:spacing w:before="20" w:after="20"/>
              <w:jc w:val="right"/>
              <w:rPr>
                <w:rFonts w:cs="Calibri"/>
                <w:szCs w:val="16"/>
              </w:rPr>
            </w:pPr>
            <w:r w:rsidRPr="0028033B">
              <w:rPr>
                <w:rFonts w:cs="Calibri"/>
                <w:szCs w:val="16"/>
              </w:rPr>
              <w:t>100.1</w:t>
            </w:r>
          </w:p>
        </w:tc>
        <w:tc>
          <w:tcPr>
            <w:tcW w:w="1782" w:type="dxa"/>
            <w:noWrap/>
            <w:vAlign w:val="bottom"/>
          </w:tcPr>
          <w:p w14:paraId="1E00111A" w14:textId="77777777" w:rsidR="00E46639" w:rsidRPr="0028033B" w:rsidRDefault="00E46639" w:rsidP="00F16E23">
            <w:pPr>
              <w:pStyle w:val="TableText"/>
              <w:spacing w:before="20" w:after="20"/>
              <w:jc w:val="right"/>
              <w:rPr>
                <w:rFonts w:cs="Calibri"/>
                <w:szCs w:val="16"/>
              </w:rPr>
            </w:pPr>
            <w:r w:rsidRPr="0028033B">
              <w:rPr>
                <w:rFonts w:cs="Calibri"/>
                <w:szCs w:val="16"/>
              </w:rPr>
              <w:t>75.0</w:t>
            </w:r>
          </w:p>
        </w:tc>
        <w:tc>
          <w:tcPr>
            <w:tcW w:w="1782" w:type="dxa"/>
            <w:noWrap/>
            <w:vAlign w:val="bottom"/>
          </w:tcPr>
          <w:p w14:paraId="039CDCA1" w14:textId="77777777" w:rsidR="00E46639" w:rsidRPr="0028033B" w:rsidRDefault="00E46639" w:rsidP="00F16E23">
            <w:pPr>
              <w:pStyle w:val="TableText"/>
              <w:spacing w:before="20" w:after="20"/>
              <w:jc w:val="right"/>
              <w:rPr>
                <w:rFonts w:cs="Calibri"/>
                <w:szCs w:val="16"/>
              </w:rPr>
            </w:pPr>
            <w:r w:rsidRPr="0028033B">
              <w:rPr>
                <w:rFonts w:cs="Calibri"/>
                <w:szCs w:val="16"/>
              </w:rPr>
              <w:t>12.8</w:t>
            </w:r>
          </w:p>
        </w:tc>
        <w:tc>
          <w:tcPr>
            <w:tcW w:w="1782" w:type="dxa"/>
            <w:noWrap/>
            <w:vAlign w:val="bottom"/>
          </w:tcPr>
          <w:p w14:paraId="33C8B939" w14:textId="77777777" w:rsidR="00E46639" w:rsidRPr="0028033B" w:rsidRDefault="00E46639" w:rsidP="00F16E23">
            <w:pPr>
              <w:pStyle w:val="TableText"/>
              <w:spacing w:before="20" w:after="20"/>
              <w:jc w:val="right"/>
              <w:rPr>
                <w:rFonts w:cs="Calibri"/>
                <w:szCs w:val="16"/>
              </w:rPr>
            </w:pPr>
            <w:r w:rsidRPr="0028033B">
              <w:rPr>
                <w:rFonts w:cs="Calibri"/>
                <w:szCs w:val="16"/>
              </w:rPr>
              <w:t>24.2</w:t>
            </w:r>
          </w:p>
        </w:tc>
      </w:tr>
      <w:tr w:rsidR="00E46639" w:rsidRPr="0028033B" w14:paraId="3A40BAD0" w14:textId="77777777" w:rsidTr="009A39B7">
        <w:tc>
          <w:tcPr>
            <w:tcW w:w="1378" w:type="dxa"/>
            <w:noWrap/>
            <w:vAlign w:val="bottom"/>
          </w:tcPr>
          <w:p w14:paraId="7BB466A5" w14:textId="77777777" w:rsidR="00E46639" w:rsidRPr="0028033B" w:rsidRDefault="00E46639" w:rsidP="00F16E23">
            <w:pPr>
              <w:pStyle w:val="TableText"/>
              <w:spacing w:before="20" w:after="20"/>
              <w:rPr>
                <w:rFonts w:cs="Calibri"/>
                <w:szCs w:val="16"/>
              </w:rPr>
            </w:pPr>
            <w:r w:rsidRPr="0028033B">
              <w:rPr>
                <w:rFonts w:cs="Calibri"/>
                <w:szCs w:val="16"/>
              </w:rPr>
              <w:t>1995</w:t>
            </w:r>
          </w:p>
        </w:tc>
        <w:tc>
          <w:tcPr>
            <w:tcW w:w="1781" w:type="dxa"/>
            <w:noWrap/>
            <w:vAlign w:val="bottom"/>
          </w:tcPr>
          <w:p w14:paraId="52D2C12D" w14:textId="77777777" w:rsidR="00E46639" w:rsidRPr="0028033B" w:rsidRDefault="00E46639" w:rsidP="00F16E23">
            <w:pPr>
              <w:pStyle w:val="TableText"/>
              <w:spacing w:before="20" w:after="20"/>
              <w:jc w:val="right"/>
              <w:rPr>
                <w:rFonts w:cs="Calibri"/>
                <w:szCs w:val="16"/>
              </w:rPr>
            </w:pPr>
            <w:r w:rsidRPr="0028033B">
              <w:rPr>
                <w:rFonts w:cs="Calibri"/>
                <w:szCs w:val="16"/>
              </w:rPr>
              <w:t>103.6</w:t>
            </w:r>
          </w:p>
        </w:tc>
        <w:tc>
          <w:tcPr>
            <w:tcW w:w="1782" w:type="dxa"/>
            <w:noWrap/>
            <w:vAlign w:val="bottom"/>
          </w:tcPr>
          <w:p w14:paraId="7A49B14A" w14:textId="77777777" w:rsidR="00E46639" w:rsidRPr="0028033B" w:rsidRDefault="00E46639" w:rsidP="00F16E23">
            <w:pPr>
              <w:pStyle w:val="TableText"/>
              <w:spacing w:before="20" w:after="20"/>
              <w:jc w:val="right"/>
              <w:rPr>
                <w:rFonts w:cs="Calibri"/>
                <w:szCs w:val="16"/>
              </w:rPr>
            </w:pPr>
            <w:r w:rsidRPr="0028033B">
              <w:rPr>
                <w:rFonts w:cs="Calibri"/>
                <w:szCs w:val="16"/>
              </w:rPr>
              <w:t>78.8</w:t>
            </w:r>
          </w:p>
        </w:tc>
        <w:tc>
          <w:tcPr>
            <w:tcW w:w="1782" w:type="dxa"/>
            <w:noWrap/>
            <w:vAlign w:val="bottom"/>
          </w:tcPr>
          <w:p w14:paraId="78234AD5" w14:textId="77777777" w:rsidR="00E46639" w:rsidRPr="0028033B" w:rsidRDefault="00E46639" w:rsidP="00F16E23">
            <w:pPr>
              <w:pStyle w:val="TableText"/>
              <w:spacing w:before="20" w:after="20"/>
              <w:jc w:val="right"/>
              <w:rPr>
                <w:rFonts w:cs="Calibri"/>
                <w:szCs w:val="16"/>
              </w:rPr>
            </w:pPr>
            <w:r w:rsidRPr="0028033B">
              <w:rPr>
                <w:rFonts w:cs="Calibri"/>
                <w:szCs w:val="16"/>
              </w:rPr>
              <w:t>13.6</w:t>
            </w:r>
          </w:p>
        </w:tc>
        <w:tc>
          <w:tcPr>
            <w:tcW w:w="1782" w:type="dxa"/>
            <w:noWrap/>
            <w:vAlign w:val="bottom"/>
          </w:tcPr>
          <w:p w14:paraId="7CFABD65" w14:textId="77777777" w:rsidR="00E46639" w:rsidRPr="0028033B" w:rsidRDefault="00E46639" w:rsidP="00F16E23">
            <w:pPr>
              <w:pStyle w:val="TableText"/>
              <w:spacing w:before="20" w:after="20"/>
              <w:jc w:val="right"/>
              <w:rPr>
                <w:rFonts w:cs="Calibri"/>
                <w:szCs w:val="16"/>
              </w:rPr>
            </w:pPr>
            <w:r w:rsidRPr="0028033B">
              <w:rPr>
                <w:rFonts w:cs="Calibri"/>
                <w:szCs w:val="16"/>
              </w:rPr>
              <w:t>26.6</w:t>
            </w:r>
          </w:p>
        </w:tc>
      </w:tr>
      <w:tr w:rsidR="00E46639" w:rsidRPr="0028033B" w14:paraId="15B5214D" w14:textId="77777777" w:rsidTr="009A39B7">
        <w:tc>
          <w:tcPr>
            <w:tcW w:w="1378" w:type="dxa"/>
            <w:noWrap/>
            <w:vAlign w:val="bottom"/>
          </w:tcPr>
          <w:p w14:paraId="604B7F6C" w14:textId="77777777" w:rsidR="00E46639" w:rsidRPr="0028033B" w:rsidRDefault="00E46639" w:rsidP="00F16E23">
            <w:pPr>
              <w:pStyle w:val="TableText"/>
              <w:spacing w:before="20" w:after="20"/>
              <w:rPr>
                <w:rFonts w:cs="Calibri"/>
                <w:szCs w:val="16"/>
              </w:rPr>
            </w:pPr>
            <w:r w:rsidRPr="0028033B">
              <w:rPr>
                <w:rFonts w:cs="Calibri"/>
                <w:szCs w:val="16"/>
              </w:rPr>
              <w:t>2000</w:t>
            </w:r>
          </w:p>
        </w:tc>
        <w:tc>
          <w:tcPr>
            <w:tcW w:w="1781" w:type="dxa"/>
            <w:noWrap/>
            <w:vAlign w:val="bottom"/>
          </w:tcPr>
          <w:p w14:paraId="4B644579" w14:textId="77777777" w:rsidR="00E46639" w:rsidRPr="0028033B" w:rsidRDefault="00E46639" w:rsidP="00F16E23">
            <w:pPr>
              <w:pStyle w:val="TableText"/>
              <w:spacing w:before="20" w:after="20"/>
              <w:jc w:val="right"/>
              <w:rPr>
                <w:rFonts w:cs="Calibri"/>
                <w:szCs w:val="16"/>
              </w:rPr>
            </w:pPr>
            <w:r w:rsidRPr="0028033B">
              <w:rPr>
                <w:rFonts w:cs="Calibri"/>
                <w:szCs w:val="16"/>
              </w:rPr>
              <w:t>107.3</w:t>
            </w:r>
          </w:p>
        </w:tc>
        <w:tc>
          <w:tcPr>
            <w:tcW w:w="1782" w:type="dxa"/>
            <w:noWrap/>
            <w:vAlign w:val="bottom"/>
          </w:tcPr>
          <w:p w14:paraId="60CA1ABB" w14:textId="77777777" w:rsidR="00E46639" w:rsidRPr="0028033B" w:rsidRDefault="00E46639" w:rsidP="00F16E23">
            <w:pPr>
              <w:pStyle w:val="TableText"/>
              <w:spacing w:before="20" w:after="20"/>
              <w:jc w:val="right"/>
              <w:rPr>
                <w:rFonts w:cs="Calibri"/>
                <w:szCs w:val="16"/>
              </w:rPr>
            </w:pPr>
            <w:r w:rsidRPr="0028033B">
              <w:rPr>
                <w:rFonts w:cs="Calibri"/>
                <w:szCs w:val="16"/>
              </w:rPr>
              <w:t>83.6</w:t>
            </w:r>
          </w:p>
        </w:tc>
        <w:tc>
          <w:tcPr>
            <w:tcW w:w="1782" w:type="dxa"/>
            <w:noWrap/>
            <w:vAlign w:val="bottom"/>
          </w:tcPr>
          <w:p w14:paraId="447067BA" w14:textId="77777777" w:rsidR="00E46639" w:rsidRPr="0028033B" w:rsidRDefault="00E46639" w:rsidP="00F16E23">
            <w:pPr>
              <w:pStyle w:val="TableText"/>
              <w:spacing w:before="20" w:after="20"/>
              <w:jc w:val="right"/>
              <w:rPr>
                <w:rFonts w:cs="Calibri"/>
                <w:szCs w:val="16"/>
              </w:rPr>
            </w:pPr>
            <w:r w:rsidRPr="0028033B">
              <w:rPr>
                <w:rFonts w:cs="Calibri"/>
                <w:szCs w:val="16"/>
              </w:rPr>
              <w:t>15.6</w:t>
            </w:r>
          </w:p>
        </w:tc>
        <w:tc>
          <w:tcPr>
            <w:tcW w:w="1782" w:type="dxa"/>
            <w:noWrap/>
            <w:vAlign w:val="bottom"/>
          </w:tcPr>
          <w:p w14:paraId="274824B6" w14:textId="77777777" w:rsidR="00E46639" w:rsidRPr="0028033B" w:rsidRDefault="00E46639" w:rsidP="00F16E23">
            <w:pPr>
              <w:pStyle w:val="TableText"/>
              <w:spacing w:before="20" w:after="20"/>
              <w:jc w:val="right"/>
              <w:rPr>
                <w:rFonts w:cs="Calibri"/>
                <w:szCs w:val="16"/>
              </w:rPr>
            </w:pPr>
            <w:r w:rsidRPr="0028033B">
              <w:rPr>
                <w:rFonts w:cs="Calibri"/>
                <w:szCs w:val="16"/>
              </w:rPr>
              <w:t>26.2</w:t>
            </w:r>
          </w:p>
        </w:tc>
      </w:tr>
      <w:tr w:rsidR="00E46639" w:rsidRPr="0028033B" w14:paraId="761F8E78" w14:textId="77777777" w:rsidTr="009A39B7">
        <w:tc>
          <w:tcPr>
            <w:tcW w:w="1378" w:type="dxa"/>
            <w:noWrap/>
            <w:vAlign w:val="bottom"/>
          </w:tcPr>
          <w:p w14:paraId="60CB4FE0" w14:textId="77777777" w:rsidR="00E46639" w:rsidRPr="0028033B" w:rsidRDefault="00E46639" w:rsidP="00F16E23">
            <w:pPr>
              <w:pStyle w:val="TableText"/>
              <w:spacing w:before="20" w:after="20"/>
              <w:rPr>
                <w:rFonts w:cs="Calibri"/>
                <w:szCs w:val="16"/>
              </w:rPr>
            </w:pPr>
            <w:r w:rsidRPr="0028033B">
              <w:rPr>
                <w:rFonts w:cs="Calibri"/>
                <w:szCs w:val="16"/>
              </w:rPr>
              <w:t>2005</w:t>
            </w:r>
          </w:p>
        </w:tc>
        <w:tc>
          <w:tcPr>
            <w:tcW w:w="1781" w:type="dxa"/>
            <w:noWrap/>
            <w:vAlign w:val="bottom"/>
          </w:tcPr>
          <w:p w14:paraId="72C43A76" w14:textId="77777777" w:rsidR="00E46639" w:rsidRPr="0028033B" w:rsidRDefault="00E46639" w:rsidP="00F16E23">
            <w:pPr>
              <w:pStyle w:val="TableText"/>
              <w:spacing w:before="20" w:after="20"/>
              <w:jc w:val="right"/>
              <w:rPr>
                <w:rFonts w:cs="Calibri"/>
                <w:szCs w:val="16"/>
              </w:rPr>
            </w:pPr>
            <w:r w:rsidRPr="0028033B">
              <w:rPr>
                <w:rFonts w:cs="Calibri"/>
                <w:szCs w:val="16"/>
              </w:rPr>
              <w:t>108.8</w:t>
            </w:r>
          </w:p>
        </w:tc>
        <w:tc>
          <w:tcPr>
            <w:tcW w:w="1782" w:type="dxa"/>
            <w:noWrap/>
            <w:vAlign w:val="bottom"/>
          </w:tcPr>
          <w:p w14:paraId="6D03A4E5" w14:textId="77777777" w:rsidR="00E46639" w:rsidRPr="0028033B" w:rsidRDefault="00E46639" w:rsidP="00F16E23">
            <w:pPr>
              <w:pStyle w:val="TableText"/>
              <w:spacing w:before="20" w:after="20"/>
              <w:jc w:val="right"/>
              <w:rPr>
                <w:rFonts w:cs="Calibri"/>
                <w:szCs w:val="16"/>
              </w:rPr>
            </w:pPr>
            <w:r w:rsidRPr="0028033B">
              <w:rPr>
                <w:rFonts w:cs="Calibri"/>
                <w:szCs w:val="16"/>
              </w:rPr>
              <w:t>88.4</w:t>
            </w:r>
          </w:p>
        </w:tc>
        <w:tc>
          <w:tcPr>
            <w:tcW w:w="1782" w:type="dxa"/>
            <w:noWrap/>
            <w:vAlign w:val="bottom"/>
          </w:tcPr>
          <w:p w14:paraId="3FD9D1EA" w14:textId="77777777" w:rsidR="00E46639" w:rsidRPr="0028033B" w:rsidRDefault="00E46639" w:rsidP="00F16E23">
            <w:pPr>
              <w:pStyle w:val="TableText"/>
              <w:spacing w:before="20" w:after="20"/>
              <w:jc w:val="right"/>
              <w:rPr>
                <w:rFonts w:cs="Calibri"/>
                <w:szCs w:val="16"/>
              </w:rPr>
            </w:pPr>
            <w:r w:rsidRPr="0028033B">
              <w:rPr>
                <w:rFonts w:cs="Calibri"/>
                <w:szCs w:val="16"/>
              </w:rPr>
              <w:t>16.2</w:t>
            </w:r>
          </w:p>
        </w:tc>
        <w:tc>
          <w:tcPr>
            <w:tcW w:w="1782" w:type="dxa"/>
            <w:noWrap/>
            <w:vAlign w:val="bottom"/>
          </w:tcPr>
          <w:p w14:paraId="2256C711" w14:textId="77777777" w:rsidR="00E46639" w:rsidRPr="0028033B" w:rsidRDefault="00E46639" w:rsidP="00F16E23">
            <w:pPr>
              <w:pStyle w:val="TableText"/>
              <w:spacing w:before="20" w:after="20"/>
              <w:jc w:val="right"/>
              <w:rPr>
                <w:rFonts w:cs="Calibri"/>
                <w:szCs w:val="16"/>
              </w:rPr>
            </w:pPr>
            <w:r w:rsidRPr="0028033B">
              <w:rPr>
                <w:rFonts w:cs="Calibri"/>
                <w:szCs w:val="16"/>
              </w:rPr>
              <w:t>25.7</w:t>
            </w:r>
          </w:p>
        </w:tc>
      </w:tr>
      <w:tr w:rsidR="00E46639" w:rsidRPr="0028033B" w14:paraId="7E1561CC" w14:textId="77777777" w:rsidTr="009A39B7">
        <w:tc>
          <w:tcPr>
            <w:tcW w:w="1378" w:type="dxa"/>
            <w:noWrap/>
            <w:vAlign w:val="bottom"/>
          </w:tcPr>
          <w:p w14:paraId="33A993BF" w14:textId="77777777" w:rsidR="00E46639" w:rsidRPr="0028033B" w:rsidRDefault="00E46639" w:rsidP="00F16E23">
            <w:pPr>
              <w:pStyle w:val="TableText"/>
              <w:spacing w:before="20" w:after="20"/>
              <w:rPr>
                <w:rFonts w:cs="Calibri"/>
                <w:szCs w:val="16"/>
              </w:rPr>
            </w:pPr>
            <w:r w:rsidRPr="0028033B">
              <w:rPr>
                <w:rFonts w:cs="Calibri"/>
                <w:szCs w:val="16"/>
              </w:rPr>
              <w:t>2010</w:t>
            </w:r>
          </w:p>
        </w:tc>
        <w:tc>
          <w:tcPr>
            <w:tcW w:w="1781" w:type="dxa"/>
            <w:noWrap/>
            <w:vAlign w:val="bottom"/>
          </w:tcPr>
          <w:p w14:paraId="0B95CD7F" w14:textId="77777777" w:rsidR="00E46639" w:rsidRPr="0028033B" w:rsidRDefault="00E46639" w:rsidP="00F16E23">
            <w:pPr>
              <w:pStyle w:val="TableText"/>
              <w:spacing w:before="20" w:after="20"/>
              <w:jc w:val="right"/>
              <w:rPr>
                <w:rFonts w:cs="Calibri"/>
                <w:szCs w:val="16"/>
              </w:rPr>
            </w:pPr>
            <w:r w:rsidRPr="0028033B">
              <w:rPr>
                <w:rFonts w:cs="Calibri"/>
                <w:szCs w:val="16"/>
              </w:rPr>
              <w:t>106.8</w:t>
            </w:r>
          </w:p>
        </w:tc>
        <w:tc>
          <w:tcPr>
            <w:tcW w:w="1782" w:type="dxa"/>
            <w:noWrap/>
            <w:vAlign w:val="bottom"/>
          </w:tcPr>
          <w:p w14:paraId="0CF94314" w14:textId="77777777" w:rsidR="00E46639" w:rsidRPr="0028033B" w:rsidRDefault="00E46639" w:rsidP="00F16E23">
            <w:pPr>
              <w:pStyle w:val="TableText"/>
              <w:spacing w:before="20" w:after="20"/>
              <w:jc w:val="right"/>
              <w:rPr>
                <w:rFonts w:cs="Calibri"/>
                <w:szCs w:val="16"/>
              </w:rPr>
            </w:pPr>
            <w:r w:rsidRPr="0028033B">
              <w:rPr>
                <w:rFonts w:cs="Calibri"/>
                <w:szCs w:val="16"/>
              </w:rPr>
              <w:t>86.4</w:t>
            </w:r>
          </w:p>
        </w:tc>
        <w:tc>
          <w:tcPr>
            <w:tcW w:w="1782" w:type="dxa"/>
            <w:noWrap/>
            <w:vAlign w:val="bottom"/>
          </w:tcPr>
          <w:p w14:paraId="518F03BF" w14:textId="77777777" w:rsidR="00E46639" w:rsidRPr="0028033B" w:rsidRDefault="00E46639" w:rsidP="00F16E23">
            <w:pPr>
              <w:pStyle w:val="TableText"/>
              <w:spacing w:before="20" w:after="20"/>
              <w:jc w:val="right"/>
              <w:rPr>
                <w:rFonts w:cs="Calibri"/>
                <w:szCs w:val="16"/>
              </w:rPr>
            </w:pPr>
            <w:r w:rsidRPr="0028033B">
              <w:rPr>
                <w:rFonts w:cs="Calibri"/>
                <w:szCs w:val="16"/>
              </w:rPr>
              <w:t>15.9</w:t>
            </w:r>
          </w:p>
        </w:tc>
        <w:tc>
          <w:tcPr>
            <w:tcW w:w="1782" w:type="dxa"/>
            <w:noWrap/>
            <w:vAlign w:val="bottom"/>
          </w:tcPr>
          <w:p w14:paraId="768F9A0A" w14:textId="77777777" w:rsidR="00E46639" w:rsidRPr="0028033B" w:rsidRDefault="00E46639" w:rsidP="00F16E23">
            <w:pPr>
              <w:pStyle w:val="TableText"/>
              <w:spacing w:before="20" w:after="20"/>
              <w:jc w:val="right"/>
              <w:rPr>
                <w:rFonts w:cs="Calibri"/>
                <w:szCs w:val="16"/>
              </w:rPr>
            </w:pPr>
            <w:r w:rsidRPr="0028033B">
              <w:rPr>
                <w:rFonts w:cs="Calibri"/>
                <w:szCs w:val="16"/>
              </w:rPr>
              <w:t>25.5</w:t>
            </w:r>
          </w:p>
        </w:tc>
      </w:tr>
      <w:tr w:rsidR="00E46639" w:rsidRPr="0028033B" w14:paraId="00457F5F" w14:textId="77777777" w:rsidTr="009A39B7">
        <w:tc>
          <w:tcPr>
            <w:tcW w:w="1378" w:type="dxa"/>
            <w:noWrap/>
            <w:vAlign w:val="bottom"/>
          </w:tcPr>
          <w:p w14:paraId="1555CC2B" w14:textId="77777777" w:rsidR="00E46639" w:rsidRPr="0028033B" w:rsidRDefault="00E46639" w:rsidP="00F16E23">
            <w:pPr>
              <w:pStyle w:val="TableText"/>
              <w:spacing w:before="20" w:after="20"/>
              <w:rPr>
                <w:rFonts w:cs="Calibri"/>
                <w:szCs w:val="16"/>
              </w:rPr>
            </w:pPr>
            <w:r w:rsidRPr="0028033B">
              <w:rPr>
                <w:rFonts w:cs="Calibri"/>
                <w:szCs w:val="16"/>
              </w:rPr>
              <w:t>2015</w:t>
            </w:r>
          </w:p>
        </w:tc>
        <w:tc>
          <w:tcPr>
            <w:tcW w:w="1781" w:type="dxa"/>
            <w:noWrap/>
            <w:vAlign w:val="bottom"/>
          </w:tcPr>
          <w:p w14:paraId="1786473E" w14:textId="77777777" w:rsidR="00E46639" w:rsidRPr="0028033B" w:rsidRDefault="00E46639" w:rsidP="00F16E23">
            <w:pPr>
              <w:pStyle w:val="TableText"/>
              <w:spacing w:before="20" w:after="20"/>
              <w:jc w:val="right"/>
              <w:rPr>
                <w:rFonts w:cs="Calibri"/>
                <w:szCs w:val="16"/>
              </w:rPr>
            </w:pPr>
            <w:r w:rsidRPr="0028033B">
              <w:rPr>
                <w:rFonts w:cs="Calibri"/>
                <w:szCs w:val="16"/>
              </w:rPr>
              <w:t>112.6</w:t>
            </w:r>
          </w:p>
        </w:tc>
        <w:tc>
          <w:tcPr>
            <w:tcW w:w="1782" w:type="dxa"/>
            <w:noWrap/>
            <w:vAlign w:val="bottom"/>
          </w:tcPr>
          <w:p w14:paraId="1567E327" w14:textId="77777777" w:rsidR="00E46639" w:rsidRPr="0028033B" w:rsidRDefault="00E46639" w:rsidP="00F16E23">
            <w:pPr>
              <w:pStyle w:val="TableText"/>
              <w:spacing w:before="20" w:after="20"/>
              <w:jc w:val="right"/>
              <w:rPr>
                <w:rFonts w:cs="Calibri"/>
                <w:szCs w:val="16"/>
              </w:rPr>
            </w:pPr>
            <w:r w:rsidRPr="0028033B">
              <w:rPr>
                <w:rFonts w:cs="Calibri"/>
                <w:szCs w:val="16"/>
              </w:rPr>
              <w:t>84.2</w:t>
            </w:r>
          </w:p>
        </w:tc>
        <w:tc>
          <w:tcPr>
            <w:tcW w:w="1782" w:type="dxa"/>
            <w:noWrap/>
            <w:vAlign w:val="bottom"/>
          </w:tcPr>
          <w:p w14:paraId="4D820989" w14:textId="77777777" w:rsidR="00E46639" w:rsidRPr="0028033B" w:rsidRDefault="00E46639" w:rsidP="00F16E23">
            <w:pPr>
              <w:pStyle w:val="TableText"/>
              <w:spacing w:before="20" w:after="20"/>
              <w:jc w:val="right"/>
              <w:rPr>
                <w:rFonts w:cs="Calibri"/>
                <w:szCs w:val="16"/>
              </w:rPr>
            </w:pPr>
            <w:r w:rsidRPr="0028033B">
              <w:rPr>
                <w:rFonts w:cs="Calibri"/>
                <w:szCs w:val="16"/>
              </w:rPr>
              <w:t>16.7</w:t>
            </w:r>
          </w:p>
        </w:tc>
        <w:tc>
          <w:tcPr>
            <w:tcW w:w="1782" w:type="dxa"/>
            <w:noWrap/>
            <w:vAlign w:val="bottom"/>
          </w:tcPr>
          <w:p w14:paraId="10B4B9B8" w14:textId="77777777" w:rsidR="00E46639" w:rsidRPr="0028033B" w:rsidRDefault="00E46639" w:rsidP="00F16E23">
            <w:pPr>
              <w:pStyle w:val="TableText"/>
              <w:spacing w:before="20" w:after="20"/>
              <w:jc w:val="right"/>
              <w:rPr>
                <w:rFonts w:cs="Calibri"/>
                <w:szCs w:val="16"/>
              </w:rPr>
            </w:pPr>
            <w:r w:rsidRPr="0028033B">
              <w:rPr>
                <w:rFonts w:cs="Calibri"/>
                <w:szCs w:val="16"/>
              </w:rPr>
              <w:t>26.3</w:t>
            </w:r>
          </w:p>
        </w:tc>
      </w:tr>
      <w:tr w:rsidR="00E46639" w:rsidRPr="0028033B" w14:paraId="77A5E1E3" w14:textId="77777777" w:rsidTr="009A39B7">
        <w:tc>
          <w:tcPr>
            <w:tcW w:w="1378" w:type="dxa"/>
            <w:noWrap/>
            <w:vAlign w:val="bottom"/>
          </w:tcPr>
          <w:p w14:paraId="0534037B" w14:textId="77777777" w:rsidR="00E46639" w:rsidRPr="0028033B" w:rsidRDefault="00E46639" w:rsidP="00F16E23">
            <w:pPr>
              <w:pStyle w:val="TableText"/>
              <w:spacing w:before="20" w:after="20"/>
              <w:rPr>
                <w:rFonts w:cs="Calibri"/>
                <w:szCs w:val="16"/>
              </w:rPr>
            </w:pPr>
            <w:r w:rsidRPr="0028033B">
              <w:rPr>
                <w:rFonts w:cs="Calibri"/>
                <w:szCs w:val="16"/>
              </w:rPr>
              <w:t>2020</w:t>
            </w:r>
          </w:p>
        </w:tc>
        <w:tc>
          <w:tcPr>
            <w:tcW w:w="1781" w:type="dxa"/>
            <w:noWrap/>
            <w:vAlign w:val="bottom"/>
          </w:tcPr>
          <w:p w14:paraId="3776405B" w14:textId="77777777" w:rsidR="00E46639" w:rsidRPr="0028033B" w:rsidRDefault="00E46639" w:rsidP="00F16E23">
            <w:pPr>
              <w:pStyle w:val="TableText"/>
              <w:spacing w:before="20" w:after="20"/>
              <w:jc w:val="right"/>
              <w:rPr>
                <w:rFonts w:cs="Calibri"/>
                <w:szCs w:val="16"/>
              </w:rPr>
            </w:pPr>
            <w:r w:rsidRPr="0028033B">
              <w:rPr>
                <w:rFonts w:cs="Calibri"/>
                <w:szCs w:val="16"/>
              </w:rPr>
              <w:t>116.8</w:t>
            </w:r>
          </w:p>
        </w:tc>
        <w:tc>
          <w:tcPr>
            <w:tcW w:w="1782" w:type="dxa"/>
            <w:noWrap/>
            <w:vAlign w:val="bottom"/>
          </w:tcPr>
          <w:p w14:paraId="4E8FAD86" w14:textId="77777777" w:rsidR="00E46639" w:rsidRPr="0028033B" w:rsidRDefault="00E46639" w:rsidP="00F16E23">
            <w:pPr>
              <w:pStyle w:val="TableText"/>
              <w:spacing w:before="20" w:after="20"/>
              <w:jc w:val="right"/>
              <w:rPr>
                <w:rFonts w:cs="Calibri"/>
                <w:szCs w:val="16"/>
              </w:rPr>
            </w:pPr>
            <w:r w:rsidRPr="0028033B">
              <w:rPr>
                <w:rFonts w:cs="Calibri"/>
                <w:szCs w:val="16"/>
              </w:rPr>
              <w:t>85.7</w:t>
            </w:r>
          </w:p>
        </w:tc>
        <w:tc>
          <w:tcPr>
            <w:tcW w:w="1782" w:type="dxa"/>
            <w:noWrap/>
            <w:vAlign w:val="bottom"/>
          </w:tcPr>
          <w:p w14:paraId="7900C5CB" w14:textId="77777777" w:rsidR="00E46639" w:rsidRPr="0028033B" w:rsidRDefault="00E46639" w:rsidP="00F16E23">
            <w:pPr>
              <w:pStyle w:val="TableText"/>
              <w:spacing w:before="20" w:after="20"/>
              <w:jc w:val="right"/>
              <w:rPr>
                <w:rFonts w:cs="Calibri"/>
                <w:szCs w:val="16"/>
              </w:rPr>
            </w:pPr>
            <w:r w:rsidRPr="0028033B">
              <w:rPr>
                <w:rFonts w:cs="Calibri"/>
                <w:szCs w:val="16"/>
              </w:rPr>
              <w:t>17.5</w:t>
            </w:r>
          </w:p>
        </w:tc>
        <w:tc>
          <w:tcPr>
            <w:tcW w:w="1782" w:type="dxa"/>
            <w:noWrap/>
            <w:vAlign w:val="bottom"/>
          </w:tcPr>
          <w:p w14:paraId="2DB0EDF7" w14:textId="77777777" w:rsidR="00E46639" w:rsidRPr="0028033B" w:rsidRDefault="00E46639" w:rsidP="00F16E23">
            <w:pPr>
              <w:pStyle w:val="TableText"/>
              <w:spacing w:before="20" w:after="20"/>
              <w:jc w:val="right"/>
              <w:rPr>
                <w:rFonts w:cs="Calibri"/>
                <w:szCs w:val="16"/>
              </w:rPr>
            </w:pPr>
            <w:r w:rsidRPr="0028033B">
              <w:rPr>
                <w:rFonts w:cs="Calibri"/>
                <w:szCs w:val="16"/>
              </w:rPr>
              <w:t>26.9</w:t>
            </w:r>
          </w:p>
        </w:tc>
      </w:tr>
      <w:tr w:rsidR="00E46639" w:rsidRPr="0028033B" w14:paraId="001B409E" w14:textId="77777777" w:rsidTr="009A39B7">
        <w:tc>
          <w:tcPr>
            <w:tcW w:w="1378" w:type="dxa"/>
            <w:noWrap/>
            <w:vAlign w:val="bottom"/>
          </w:tcPr>
          <w:p w14:paraId="31D7B468" w14:textId="77777777" w:rsidR="00E46639" w:rsidRPr="0028033B" w:rsidRDefault="00E46639" w:rsidP="00F16E23">
            <w:pPr>
              <w:pStyle w:val="TableText"/>
              <w:spacing w:before="20" w:after="20"/>
              <w:rPr>
                <w:rFonts w:cs="Calibri"/>
                <w:szCs w:val="16"/>
              </w:rPr>
            </w:pPr>
            <w:r w:rsidRPr="0028033B">
              <w:rPr>
                <w:rFonts w:cs="Calibri"/>
                <w:szCs w:val="16"/>
              </w:rPr>
              <w:t>2024</w:t>
            </w:r>
          </w:p>
        </w:tc>
        <w:tc>
          <w:tcPr>
            <w:tcW w:w="1781" w:type="dxa"/>
            <w:noWrap/>
            <w:vAlign w:val="bottom"/>
          </w:tcPr>
          <w:p w14:paraId="3B30C5D6" w14:textId="77777777" w:rsidR="00E46639" w:rsidRPr="0028033B" w:rsidRDefault="00E46639" w:rsidP="00F16E23">
            <w:pPr>
              <w:pStyle w:val="TableText"/>
              <w:spacing w:before="20" w:after="20"/>
              <w:jc w:val="right"/>
              <w:rPr>
                <w:rFonts w:cs="Calibri"/>
                <w:szCs w:val="16"/>
              </w:rPr>
            </w:pPr>
            <w:r w:rsidRPr="0028033B">
              <w:rPr>
                <w:rFonts w:cs="Calibri"/>
                <w:szCs w:val="16"/>
              </w:rPr>
              <w:t>120.7</w:t>
            </w:r>
          </w:p>
        </w:tc>
        <w:tc>
          <w:tcPr>
            <w:tcW w:w="1782" w:type="dxa"/>
            <w:noWrap/>
            <w:vAlign w:val="bottom"/>
          </w:tcPr>
          <w:p w14:paraId="5922643A" w14:textId="77777777" w:rsidR="00E46639" w:rsidRPr="0028033B" w:rsidRDefault="00E46639" w:rsidP="00F16E23">
            <w:pPr>
              <w:pStyle w:val="TableText"/>
              <w:spacing w:before="20" w:after="20"/>
              <w:jc w:val="right"/>
              <w:rPr>
                <w:rFonts w:cs="Calibri"/>
                <w:szCs w:val="16"/>
              </w:rPr>
            </w:pPr>
            <w:r w:rsidRPr="0028033B">
              <w:rPr>
                <w:rFonts w:cs="Calibri"/>
                <w:szCs w:val="16"/>
              </w:rPr>
              <w:t>90.0</w:t>
            </w:r>
          </w:p>
        </w:tc>
        <w:tc>
          <w:tcPr>
            <w:tcW w:w="1782" w:type="dxa"/>
            <w:noWrap/>
            <w:vAlign w:val="bottom"/>
          </w:tcPr>
          <w:p w14:paraId="176BFBD6" w14:textId="77777777" w:rsidR="00E46639" w:rsidRPr="0028033B" w:rsidRDefault="00E46639" w:rsidP="00F16E23">
            <w:pPr>
              <w:pStyle w:val="TableText"/>
              <w:spacing w:before="20" w:after="20"/>
              <w:jc w:val="right"/>
              <w:rPr>
                <w:rFonts w:cs="Calibri"/>
                <w:szCs w:val="16"/>
              </w:rPr>
            </w:pPr>
            <w:r w:rsidRPr="0028033B">
              <w:rPr>
                <w:rFonts w:cs="Calibri"/>
                <w:szCs w:val="16"/>
              </w:rPr>
              <w:t>17.2</w:t>
            </w:r>
          </w:p>
        </w:tc>
        <w:tc>
          <w:tcPr>
            <w:tcW w:w="1782" w:type="dxa"/>
            <w:noWrap/>
            <w:vAlign w:val="bottom"/>
          </w:tcPr>
          <w:p w14:paraId="24A8F066" w14:textId="77777777" w:rsidR="00E46639" w:rsidRPr="0028033B" w:rsidRDefault="00E46639" w:rsidP="00F16E23">
            <w:pPr>
              <w:pStyle w:val="TableText"/>
              <w:spacing w:before="20" w:after="20"/>
              <w:jc w:val="right"/>
              <w:rPr>
                <w:rFonts w:cs="Calibri"/>
                <w:szCs w:val="16"/>
              </w:rPr>
            </w:pPr>
            <w:r w:rsidRPr="0028033B">
              <w:rPr>
                <w:rFonts w:cs="Calibri"/>
                <w:szCs w:val="16"/>
              </w:rPr>
              <w:t>27.9</w:t>
            </w:r>
          </w:p>
        </w:tc>
      </w:tr>
    </w:tbl>
    <w:p w14:paraId="308A8C6C" w14:textId="77777777" w:rsidR="00E46639" w:rsidRPr="0028033B" w:rsidRDefault="00E46639" w:rsidP="00E46639">
      <w:pPr>
        <w:pStyle w:val="Heading5"/>
        <w:spacing w:before="360"/>
      </w:pPr>
      <w:r w:rsidRPr="0028033B">
        <w:t xml:space="preserve">Nitrogen excretion rates for the minor livestock categories </w:t>
      </w:r>
    </w:p>
    <w:p w14:paraId="4E39C65B" w14:textId="77777777" w:rsidR="00E46639" w:rsidRPr="0028033B" w:rsidRDefault="00E46639" w:rsidP="00E46639">
      <w:pPr>
        <w:pStyle w:val="BodyText"/>
        <w:spacing w:before="60" w:after="100"/>
      </w:pPr>
      <w:r w:rsidRPr="0028033B">
        <w:rPr>
          <w:i/>
        </w:rPr>
        <w:t>Swine:</w:t>
      </w:r>
      <w:r w:rsidRPr="0028033B">
        <w:rPr>
          <w:i/>
          <w:iCs/>
        </w:rPr>
        <w:t xml:space="preserve"> </w:t>
      </w:r>
      <w:r w:rsidRPr="0028033B">
        <w:t>A New Zealand-specific N</w:t>
      </w:r>
      <w:r w:rsidRPr="0028033B">
        <w:rPr>
          <w:vertAlign w:val="subscript"/>
        </w:rPr>
        <w:t>ex</w:t>
      </w:r>
      <w:r w:rsidRPr="0028033B">
        <w:t xml:space="preserve"> rate for breeding pigs and growing pigs is calculated for each year (see table 5.3.9) based on the 2022 value of 24.25 kg nitrogen (N)/year/head for breeding pigs and 5.89 kg </w:t>
      </w:r>
      <w:bookmarkStart w:id="972" w:name="_Hlk220311258"/>
      <w:r w:rsidRPr="0028033B">
        <w:t xml:space="preserve">N/year/head </w:t>
      </w:r>
      <w:bookmarkEnd w:id="972"/>
      <w:r w:rsidRPr="0028033B">
        <w:t>for growing pigs (Ritchie, 2024). The 2022 values are based on the weighted average of the distribution of animal liveweights by swine category. Estimates of N</w:t>
      </w:r>
      <w:r w:rsidRPr="0028033B">
        <w:rPr>
          <w:vertAlign w:val="subscript"/>
        </w:rPr>
        <w:t>ex</w:t>
      </w:r>
      <w:r w:rsidRPr="0028033B">
        <w:t xml:space="preserve"> rates for all other years are indexed relative to 2022 for the average pig carcass weights for each year. </w:t>
      </w:r>
    </w:p>
    <w:p w14:paraId="197B5EFD" w14:textId="77777777" w:rsidR="00E46639" w:rsidRPr="0028033B" w:rsidRDefault="00E46639" w:rsidP="00E46639">
      <w:pPr>
        <w:pStyle w:val="BodyText"/>
        <w:spacing w:before="100" w:after="100"/>
      </w:pPr>
      <w:r w:rsidRPr="0028033B">
        <w:t>Average pig weights have increased since 1990 due to improvements in productivity. Data on pig</w:t>
      </w:r>
      <w:r w:rsidRPr="0028033B" w:rsidDel="00344D5D">
        <w:t xml:space="preserve"> </w:t>
      </w:r>
      <w:r w:rsidRPr="0028033B">
        <w:t>carcass weights are collected by MPI from meat processors.</w:t>
      </w:r>
    </w:p>
    <w:p w14:paraId="2CF7BFCA" w14:textId="77777777" w:rsidR="00E46639" w:rsidRPr="0028033B" w:rsidRDefault="00E46639" w:rsidP="00E46639">
      <w:pPr>
        <w:pStyle w:val="BodyText"/>
        <w:spacing w:before="100" w:after="100"/>
      </w:pPr>
      <w:r w:rsidRPr="0028033B">
        <w:rPr>
          <w:i/>
        </w:rPr>
        <w:t>Goats:</w:t>
      </w:r>
      <w:r w:rsidRPr="0028033B">
        <w:t xml:space="preserve"> New Zealand uses country-specific N</w:t>
      </w:r>
      <w:r w:rsidRPr="0028033B">
        <w:rPr>
          <w:vertAlign w:val="subscript"/>
        </w:rPr>
        <w:t>ex</w:t>
      </w:r>
      <w:r w:rsidRPr="0028033B">
        <w:t xml:space="preserve"> rates for goats of 10.6 kg N/year/head for 1990 and 12.1 kg N/year/head for 2009 based on the differing population characteristics for those two years (Lassey, 2012). As explained in section 5.2.2 for </w:t>
      </w:r>
      <w:r w:rsidRPr="0028033B">
        <w:rPr>
          <w:i/>
          <w:iCs/>
        </w:rPr>
        <w:t>Enteric fermentation</w:t>
      </w:r>
      <w:r w:rsidRPr="0028033B">
        <w:t xml:space="preserve">, for the intermediate years between 1990 and 2009 and for later years, the excretion rate was interpolated based on assumptions that the dairy goat population has remained in a near constant state over time while the rest of the goat population has declined (see table 5.3.9). </w:t>
      </w:r>
    </w:p>
    <w:p w14:paraId="378584D8" w14:textId="77777777" w:rsidR="00E46639" w:rsidRPr="0028033B" w:rsidRDefault="00E46639" w:rsidP="00E46639">
      <w:pPr>
        <w:pStyle w:val="BodyText"/>
        <w:spacing w:before="100" w:after="100"/>
      </w:pPr>
      <w:r w:rsidRPr="0028033B">
        <w:rPr>
          <w:i/>
        </w:rPr>
        <w:t>Poultry:</w:t>
      </w:r>
      <w:r w:rsidRPr="0028033B">
        <w:t xml:space="preserve"> New Zealand-specific and IPCC default N</w:t>
      </w:r>
      <w:r w:rsidRPr="0028033B">
        <w:rPr>
          <w:vertAlign w:val="subscript"/>
        </w:rPr>
        <w:t>ex</w:t>
      </w:r>
      <w:r w:rsidRPr="0028033B">
        <w:t xml:space="preserve"> rates are used for poultry (Fick et al., 2012).These are the country-specific values of 0.39 kg N/year/head for broiler birds and 0.42 kg N/year/head for layer hens. Ducks, turkeys and other poultry types, such as ducks, make up around 1 percent of New Zealand’s poultry population, and flock sizes are uncertain because they are reported by Stats NZ under ‘other poultry’. Therefore, the value of 0.60 kg N/year/head for ducks and turkeys recommended by Fick et al. (2012) is retained. These values are used for all years from 1990. The overall N</w:t>
      </w:r>
      <w:r w:rsidRPr="0028033B">
        <w:rPr>
          <w:vertAlign w:val="subscript"/>
        </w:rPr>
        <w:t>ex</w:t>
      </w:r>
      <w:r w:rsidRPr="0028033B">
        <w:t xml:space="preserve"> rate for poultry is affected by the change over time in the population proportions of these different poultry categories.</w:t>
      </w:r>
    </w:p>
    <w:p w14:paraId="184631DB" w14:textId="77777777" w:rsidR="00E46639" w:rsidRPr="0028033B" w:rsidRDefault="00E46639" w:rsidP="00E46639">
      <w:pPr>
        <w:pStyle w:val="BodyText"/>
        <w:spacing w:before="100" w:after="100"/>
      </w:pPr>
      <w:r w:rsidRPr="0028033B">
        <w:rPr>
          <w:i/>
        </w:rPr>
        <w:t>Ostriches and emus:</w:t>
      </w:r>
      <w:r w:rsidRPr="0028033B">
        <w:t xml:space="preserve"> The IPCC (2019, table 10.19) default N</w:t>
      </w:r>
      <w:r w:rsidRPr="0028033B">
        <w:rPr>
          <w:vertAlign w:val="subscript"/>
        </w:rPr>
        <w:t>ex</w:t>
      </w:r>
      <w:r w:rsidRPr="0028033B">
        <w:t xml:space="preserve"> rate of 15.6 kg N per head per year is used. </w:t>
      </w:r>
    </w:p>
    <w:p w14:paraId="57F35ACD" w14:textId="77777777" w:rsidR="00E46639" w:rsidRPr="0028033B" w:rsidRDefault="00E46639" w:rsidP="00E46639">
      <w:pPr>
        <w:pStyle w:val="BodyText"/>
        <w:spacing w:before="100" w:after="100"/>
        <w:rPr>
          <w:rFonts w:cs="Calibri"/>
        </w:rPr>
      </w:pPr>
      <w:r w:rsidRPr="0028033B">
        <w:rPr>
          <w:rFonts w:cs="Calibri"/>
          <w:i/>
        </w:rPr>
        <w:t>Horses</w:t>
      </w:r>
      <w:r w:rsidRPr="0028033B">
        <w:rPr>
          <w:rFonts w:cs="Calibri"/>
        </w:rPr>
        <w:t xml:space="preserve"> and </w:t>
      </w:r>
      <w:r w:rsidRPr="0028033B">
        <w:rPr>
          <w:rFonts w:cs="Calibri"/>
          <w:i/>
        </w:rPr>
        <w:t>Mules and asses</w:t>
      </w:r>
      <w:r w:rsidRPr="0028033B">
        <w:rPr>
          <w:rFonts w:cs="Calibri"/>
          <w:b/>
          <w:bCs/>
          <w:i/>
          <w:iCs/>
        </w:rPr>
        <w:t>:</w:t>
      </w:r>
      <w:r w:rsidRPr="0028033B">
        <w:rPr>
          <w:rFonts w:cs="Calibri"/>
        </w:rPr>
        <w:t xml:space="preserve"> </w:t>
      </w:r>
      <w:r w:rsidRPr="0028033B" w:rsidDel="007F459B">
        <w:t xml:space="preserve">New </w:t>
      </w:r>
      <w:r w:rsidRPr="0028033B">
        <w:t>Zealand</w:t>
      </w:r>
      <w:r w:rsidRPr="0028033B">
        <w:rPr>
          <w:rFonts w:cs="Calibri"/>
        </w:rPr>
        <w:t>-specific N</w:t>
      </w:r>
      <w:r w:rsidRPr="0028033B">
        <w:rPr>
          <w:rFonts w:cs="Calibri"/>
          <w:vertAlign w:val="subscript"/>
        </w:rPr>
        <w:t>ex</w:t>
      </w:r>
      <w:r w:rsidRPr="0028033B">
        <w:rPr>
          <w:rFonts w:cs="Calibri"/>
        </w:rPr>
        <w:t xml:space="preserve"> rates are not available for horses or mules and asses, and the default N</w:t>
      </w:r>
      <w:r w:rsidRPr="0028033B">
        <w:rPr>
          <w:rFonts w:cs="Calibri"/>
          <w:vertAlign w:val="subscript"/>
        </w:rPr>
        <w:t>ex</w:t>
      </w:r>
      <w:r w:rsidRPr="0028033B">
        <w:rPr>
          <w:rFonts w:cs="Calibri"/>
        </w:rPr>
        <w:t xml:space="preserve"> rate for Oceania of 0.3 kg N per 1,000 kg of animal mass per day is used (IPCC, 2006, table 10.19).</w:t>
      </w:r>
    </w:p>
    <w:p w14:paraId="2DEF45D0" w14:textId="77777777" w:rsidR="00E46639" w:rsidRPr="0028033B" w:rsidRDefault="00E46639" w:rsidP="00E46639">
      <w:pPr>
        <w:pStyle w:val="BodyText"/>
        <w:spacing w:before="100" w:after="100"/>
        <w:rPr>
          <w:rFonts w:cs="Calibri"/>
          <w:spacing w:val="-2"/>
        </w:rPr>
      </w:pPr>
      <w:r w:rsidRPr="0028033B">
        <w:rPr>
          <w:rFonts w:cs="Calibri"/>
          <w:i/>
          <w:spacing w:val="-2"/>
        </w:rPr>
        <w:t>Llamas</w:t>
      </w:r>
      <w:r w:rsidRPr="0028033B">
        <w:rPr>
          <w:spacing w:val="-2"/>
        </w:rPr>
        <w:t xml:space="preserve"> </w:t>
      </w:r>
      <w:r w:rsidRPr="0028033B">
        <w:rPr>
          <w:i/>
          <w:spacing w:val="-2"/>
        </w:rPr>
        <w:t>and</w:t>
      </w:r>
      <w:r w:rsidRPr="0028033B">
        <w:rPr>
          <w:spacing w:val="-2"/>
        </w:rPr>
        <w:t xml:space="preserve"> </w:t>
      </w:r>
      <w:r w:rsidRPr="0028033B">
        <w:rPr>
          <w:rFonts w:cs="Calibri"/>
          <w:i/>
          <w:spacing w:val="-2"/>
        </w:rPr>
        <w:t>alpacas</w:t>
      </w:r>
      <w:r w:rsidRPr="0028033B">
        <w:rPr>
          <w:spacing w:val="-2"/>
        </w:rPr>
        <w:t>:</w:t>
      </w:r>
      <w:r w:rsidRPr="0028033B">
        <w:rPr>
          <w:rFonts w:cs="Calibri"/>
          <w:i/>
          <w:iCs/>
          <w:spacing w:val="-2"/>
        </w:rPr>
        <w:t xml:space="preserve"> </w:t>
      </w:r>
      <w:r w:rsidRPr="0028033B">
        <w:rPr>
          <w:rFonts w:cs="Calibri"/>
          <w:spacing w:val="-2"/>
        </w:rPr>
        <w:t>Because there is no IPCC default N</w:t>
      </w:r>
      <w:r w:rsidRPr="0028033B">
        <w:rPr>
          <w:rFonts w:cs="Calibri"/>
          <w:spacing w:val="-2"/>
          <w:vertAlign w:val="subscript"/>
        </w:rPr>
        <w:t>ex</w:t>
      </w:r>
      <w:r w:rsidRPr="0028033B">
        <w:rPr>
          <w:rFonts w:cs="Calibri"/>
          <w:spacing w:val="-2"/>
        </w:rPr>
        <w:t xml:space="preserve"> rate for </w:t>
      </w:r>
      <w:r w:rsidRPr="0028033B">
        <w:rPr>
          <w:rFonts w:cs="Calibri"/>
          <w:i/>
          <w:iCs/>
          <w:spacing w:val="-2"/>
        </w:rPr>
        <w:t>Llamas and</w:t>
      </w:r>
      <w:r w:rsidRPr="0028033B">
        <w:rPr>
          <w:rFonts w:cs="Calibri"/>
          <w:spacing w:val="-2"/>
        </w:rPr>
        <w:t xml:space="preserve"> </w:t>
      </w:r>
      <w:r w:rsidRPr="0028033B">
        <w:rPr>
          <w:rFonts w:cs="Calibri"/>
          <w:i/>
          <w:iCs/>
          <w:spacing w:val="-2"/>
        </w:rPr>
        <w:t>alpacas</w:t>
      </w:r>
      <w:r w:rsidRPr="0028033B">
        <w:rPr>
          <w:rFonts w:cs="Calibri"/>
          <w:spacing w:val="-2"/>
        </w:rPr>
        <w:t>, this was calculated by assuming a default N</w:t>
      </w:r>
      <w:r w:rsidRPr="0028033B">
        <w:rPr>
          <w:rFonts w:cs="Calibri"/>
          <w:spacing w:val="-2"/>
          <w:vertAlign w:val="subscript"/>
        </w:rPr>
        <w:t>ex</w:t>
      </w:r>
      <w:r w:rsidRPr="0028033B">
        <w:rPr>
          <w:rFonts w:cs="Calibri"/>
          <w:spacing w:val="-2"/>
        </w:rPr>
        <w:t xml:space="preserve"> rate for llamas and alpacas for all years that is equal to the per-head value of the average sheep in 1990 (i.e., 12.7 kg/year/head). The llama and alpaca emission factor is not indexed to sheep over time because </w:t>
      </w:r>
      <w:r w:rsidRPr="0028033B">
        <w:rPr>
          <w:rFonts w:cs="Calibri"/>
        </w:rPr>
        <w:t xml:space="preserve">there are </w:t>
      </w:r>
      <w:r w:rsidRPr="0028033B">
        <w:t>no data</w:t>
      </w:r>
      <w:r w:rsidRPr="0028033B">
        <w:rPr>
          <w:rFonts w:cs="Calibri"/>
        </w:rPr>
        <w:t> indicating that alpacas or llamas have had</w:t>
      </w:r>
      <w:r w:rsidRPr="0028033B">
        <w:t xml:space="preserve"> the productivity increases </w:t>
      </w:r>
      <w:r w:rsidRPr="0028033B">
        <w:rPr>
          <w:rFonts w:cs="Calibri"/>
        </w:rPr>
        <w:t>over time</w:t>
      </w:r>
      <w:r w:rsidRPr="0028033B">
        <w:t xml:space="preserve"> seen in sheep</w:t>
      </w:r>
      <w:r w:rsidRPr="0028033B">
        <w:rPr>
          <w:rFonts w:cs="Calibri"/>
          <w:spacing w:val="-2"/>
        </w:rPr>
        <w:t>. Sheep were used, rather than the IPCC default value for ‘other animals’, because the literature indicates that alpacas have a nitrogen intake close to that of sheep and no significant difference in the partitioning of nitrogen (Pinares-Patino et al., 2003).</w:t>
      </w:r>
    </w:p>
    <w:p w14:paraId="4F560026" w14:textId="77777777" w:rsidR="00E46639" w:rsidRPr="0028033B" w:rsidRDefault="00E46639" w:rsidP="00E46639">
      <w:pPr>
        <w:pStyle w:val="Table"/>
        <w:rPr>
          <w:rFonts w:cs="Calibri"/>
        </w:rPr>
      </w:pPr>
      <w:bookmarkStart w:id="973" w:name="_Toc441830876"/>
      <w:bookmarkStart w:id="974" w:name="_Toc451176090"/>
      <w:bookmarkStart w:id="975" w:name="_Toc481751518"/>
      <w:bookmarkStart w:id="976" w:name="_Toc507158606"/>
      <w:bookmarkStart w:id="977" w:name="_Toc511116740"/>
      <w:bookmarkStart w:id="978" w:name="_Toc5269480"/>
      <w:bookmarkStart w:id="979" w:name="_Toc32570923"/>
      <w:bookmarkStart w:id="980" w:name="_Toc36224558"/>
      <w:bookmarkStart w:id="981" w:name="_Toc68786443"/>
      <w:bookmarkStart w:id="982" w:name="_Toc95574077"/>
      <w:bookmarkStart w:id="983" w:name="_Toc127458262"/>
      <w:bookmarkStart w:id="984" w:name="_Toc131591358"/>
      <w:bookmarkStart w:id="985" w:name="_Toc160114450"/>
      <w:bookmarkStart w:id="986" w:name="_Toc164153846"/>
      <w:bookmarkStart w:id="987" w:name="_Toc222407634"/>
      <w:bookmarkStart w:id="988" w:name="_Toc226669009"/>
      <w:r w:rsidRPr="0028033B">
        <w:rPr>
          <w:rFonts w:cs="Calibri"/>
        </w:rPr>
        <w:t>Table 5.3.9</w:t>
      </w:r>
      <w:r w:rsidRPr="0028033B">
        <w:rPr>
          <w:rFonts w:cs="Calibri"/>
        </w:rPr>
        <w:tab/>
        <w:t>Nitrogen excretion (N</w:t>
      </w:r>
      <w:r w:rsidRPr="0028033B">
        <w:rPr>
          <w:rFonts w:cs="Calibri"/>
          <w:vertAlign w:val="subscript"/>
        </w:rPr>
        <w:t>ex</w:t>
      </w:r>
      <w:r w:rsidRPr="0028033B">
        <w:rPr>
          <w:rFonts w:cs="Calibri"/>
        </w:rPr>
        <w:t xml:space="preserve">) rates for </w:t>
      </w:r>
      <w:r w:rsidRPr="0028033B">
        <w:t>New Zealand’s</w:t>
      </w:r>
      <w:r w:rsidRPr="0028033B">
        <w:rPr>
          <w:rFonts w:cs="Calibri"/>
        </w:rPr>
        <w:t xml:space="preserve"> swine and goats, from 1990 to </w:t>
      </w:r>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r w:rsidRPr="0028033B">
        <w:rPr>
          <w:rFonts w:cs="Calibri"/>
        </w:rPr>
        <w:t>2024</w:t>
      </w:r>
      <w:bookmarkEnd w:id="987"/>
      <w:bookmarkEnd w:id="988"/>
    </w:p>
    <w:tbl>
      <w:tblPr>
        <w:tblW w:w="8505" w:type="dxa"/>
        <w:jc w:val="center"/>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744"/>
        <w:gridCol w:w="2587"/>
        <w:gridCol w:w="2587"/>
        <w:gridCol w:w="2587"/>
      </w:tblGrid>
      <w:tr w:rsidR="00E46639" w:rsidRPr="0028033B" w14:paraId="6AE39704" w14:textId="77777777" w:rsidTr="008935BB">
        <w:trPr>
          <w:tblHeader/>
          <w:jc w:val="center"/>
        </w:trPr>
        <w:tc>
          <w:tcPr>
            <w:tcW w:w="437" w:type="pct"/>
            <w:shd w:val="clear" w:color="auto" w:fill="1B556B"/>
            <w:noWrap/>
            <w:vAlign w:val="bottom"/>
          </w:tcPr>
          <w:p w14:paraId="31508580" w14:textId="77777777" w:rsidR="00E46639" w:rsidRPr="0028033B" w:rsidRDefault="00E46639" w:rsidP="00F16E23">
            <w:pPr>
              <w:pStyle w:val="TableTextBold"/>
              <w:keepNext/>
              <w:spacing w:before="20" w:after="20"/>
              <w:rPr>
                <w:noProof w:val="0"/>
                <w:color w:val="FFFFFF" w:themeColor="background1"/>
              </w:rPr>
            </w:pPr>
            <w:r w:rsidRPr="0028033B">
              <w:rPr>
                <w:noProof w:val="0"/>
                <w:color w:val="FFFFFF" w:themeColor="background1"/>
              </w:rPr>
              <w:t>Year</w:t>
            </w:r>
          </w:p>
        </w:tc>
        <w:tc>
          <w:tcPr>
            <w:tcW w:w="1521" w:type="pct"/>
            <w:shd w:val="clear" w:color="auto" w:fill="1B556B"/>
            <w:noWrap/>
            <w:vAlign w:val="bottom"/>
          </w:tcPr>
          <w:p w14:paraId="791E5537" w14:textId="77777777" w:rsidR="00E46639" w:rsidRPr="0028033B" w:rsidRDefault="00E46639" w:rsidP="00F16E23">
            <w:pPr>
              <w:pStyle w:val="TableTextBold"/>
              <w:keepNext/>
              <w:spacing w:before="20" w:after="20"/>
              <w:jc w:val="right"/>
              <w:rPr>
                <w:noProof w:val="0"/>
                <w:color w:val="FFFFFF" w:themeColor="background1"/>
              </w:rPr>
            </w:pPr>
            <w:r w:rsidRPr="0028033B">
              <w:rPr>
                <w:noProof w:val="0"/>
                <w:color w:val="FFFFFF" w:themeColor="background1"/>
              </w:rPr>
              <w:t>Goat N</w:t>
            </w:r>
            <w:r w:rsidRPr="0028033B">
              <w:rPr>
                <w:noProof w:val="0"/>
                <w:color w:val="FFFFFF" w:themeColor="background1"/>
                <w:vertAlign w:val="subscript"/>
              </w:rPr>
              <w:t xml:space="preserve">ex </w:t>
            </w:r>
            <w:r w:rsidRPr="0028033B">
              <w:rPr>
                <w:noProof w:val="0"/>
                <w:color w:val="FFFFFF" w:themeColor="background1"/>
              </w:rPr>
              <w:t>(kg/year/head)</w:t>
            </w:r>
          </w:p>
        </w:tc>
        <w:tc>
          <w:tcPr>
            <w:tcW w:w="1521" w:type="pct"/>
            <w:shd w:val="clear" w:color="auto" w:fill="1B556B"/>
            <w:vAlign w:val="bottom"/>
          </w:tcPr>
          <w:p w14:paraId="1BB81765" w14:textId="77777777" w:rsidR="00E46639" w:rsidRPr="0028033B" w:rsidRDefault="00E46639" w:rsidP="00F16E23">
            <w:pPr>
              <w:pStyle w:val="TableTextBold"/>
              <w:keepNext/>
              <w:spacing w:before="20" w:after="20"/>
              <w:jc w:val="center"/>
              <w:rPr>
                <w:noProof w:val="0"/>
                <w:color w:val="FFFFFF" w:themeColor="background1"/>
              </w:rPr>
            </w:pPr>
            <w:r w:rsidRPr="0028033B">
              <w:rPr>
                <w:noProof w:val="0"/>
                <w:color w:val="FFFFFF" w:themeColor="background1"/>
              </w:rPr>
              <w:t>Growing pigs N</w:t>
            </w:r>
            <w:r w:rsidRPr="0028033B">
              <w:rPr>
                <w:noProof w:val="0"/>
                <w:color w:val="FFFFFF" w:themeColor="background1"/>
                <w:vertAlign w:val="subscript"/>
              </w:rPr>
              <w:t>ex</w:t>
            </w:r>
            <w:r w:rsidRPr="0028033B">
              <w:rPr>
                <w:noProof w:val="0"/>
                <w:color w:val="FFFFFF" w:themeColor="background1"/>
              </w:rPr>
              <w:t xml:space="preserve"> (kg/year/head)</w:t>
            </w:r>
          </w:p>
        </w:tc>
        <w:tc>
          <w:tcPr>
            <w:tcW w:w="1521" w:type="pct"/>
            <w:shd w:val="clear" w:color="auto" w:fill="1B556B"/>
            <w:noWrap/>
            <w:vAlign w:val="bottom"/>
          </w:tcPr>
          <w:p w14:paraId="00662D46" w14:textId="77777777" w:rsidR="00E46639" w:rsidRPr="0028033B" w:rsidRDefault="00E46639" w:rsidP="00F16E23">
            <w:pPr>
              <w:pStyle w:val="TableTextBold"/>
              <w:keepNext/>
              <w:spacing w:before="20" w:after="20"/>
              <w:jc w:val="center"/>
              <w:rPr>
                <w:noProof w:val="0"/>
                <w:color w:val="FFFFFF" w:themeColor="background1"/>
              </w:rPr>
            </w:pPr>
            <w:r w:rsidRPr="0028033B">
              <w:rPr>
                <w:noProof w:val="0"/>
                <w:color w:val="FFFFFF" w:themeColor="background1"/>
              </w:rPr>
              <w:t>Breeding pigs N</w:t>
            </w:r>
            <w:r w:rsidRPr="0028033B">
              <w:rPr>
                <w:noProof w:val="0"/>
                <w:color w:val="FFFFFF" w:themeColor="background1"/>
                <w:vertAlign w:val="subscript"/>
              </w:rPr>
              <w:t>ex</w:t>
            </w:r>
            <w:r w:rsidRPr="0028033B">
              <w:rPr>
                <w:noProof w:val="0"/>
                <w:color w:val="FFFFFF" w:themeColor="background1"/>
              </w:rPr>
              <w:t xml:space="preserve"> (kg/year/head)</w:t>
            </w:r>
          </w:p>
        </w:tc>
      </w:tr>
      <w:tr w:rsidR="00E46639" w:rsidRPr="0028033B" w14:paraId="096934A0" w14:textId="77777777" w:rsidTr="008935BB">
        <w:trPr>
          <w:trHeight w:val="258"/>
          <w:jc w:val="center"/>
        </w:trPr>
        <w:tc>
          <w:tcPr>
            <w:tcW w:w="437" w:type="pct"/>
            <w:noWrap/>
          </w:tcPr>
          <w:p w14:paraId="38256453" w14:textId="77777777" w:rsidR="00E46639" w:rsidRPr="0028033B" w:rsidRDefault="00E46639" w:rsidP="00F16E23">
            <w:pPr>
              <w:pStyle w:val="TableText"/>
              <w:keepNext/>
              <w:spacing w:before="20" w:after="20"/>
              <w:rPr>
                <w:szCs w:val="16"/>
              </w:rPr>
            </w:pPr>
            <w:r w:rsidRPr="0028033B">
              <w:rPr>
                <w:szCs w:val="16"/>
              </w:rPr>
              <w:t>1990</w:t>
            </w:r>
          </w:p>
        </w:tc>
        <w:tc>
          <w:tcPr>
            <w:tcW w:w="1521" w:type="pct"/>
            <w:noWrap/>
          </w:tcPr>
          <w:p w14:paraId="0D868D5C" w14:textId="77777777" w:rsidR="00E46639" w:rsidRPr="0028033B" w:rsidRDefault="00E46639" w:rsidP="00F16E23">
            <w:pPr>
              <w:pStyle w:val="TableText"/>
              <w:keepNext/>
              <w:spacing w:before="20" w:after="20"/>
              <w:jc w:val="right"/>
              <w:rPr>
                <w:rFonts w:asciiTheme="minorHAnsi" w:hAnsiTheme="minorHAnsi" w:cstheme="minorHAnsi"/>
                <w:szCs w:val="16"/>
              </w:rPr>
            </w:pPr>
            <w:r w:rsidRPr="0028033B">
              <w:rPr>
                <w:szCs w:val="16"/>
              </w:rPr>
              <w:t>10.6</w:t>
            </w:r>
          </w:p>
        </w:tc>
        <w:tc>
          <w:tcPr>
            <w:tcW w:w="1521" w:type="pct"/>
          </w:tcPr>
          <w:p w14:paraId="7DE9C7A7" w14:textId="77777777" w:rsidR="00E46639" w:rsidRPr="0028033B" w:rsidRDefault="00E46639" w:rsidP="00F16E23">
            <w:pPr>
              <w:pStyle w:val="TableText"/>
              <w:keepNext/>
              <w:spacing w:before="20" w:after="20"/>
              <w:jc w:val="right"/>
              <w:rPr>
                <w:rFonts w:asciiTheme="minorHAnsi" w:hAnsiTheme="minorHAnsi" w:cstheme="minorHAnsi"/>
                <w:szCs w:val="16"/>
              </w:rPr>
            </w:pPr>
            <w:r w:rsidRPr="0028033B">
              <w:rPr>
                <w:szCs w:val="16"/>
              </w:rPr>
              <w:t>4.6</w:t>
            </w:r>
          </w:p>
        </w:tc>
        <w:tc>
          <w:tcPr>
            <w:tcW w:w="1521" w:type="pct"/>
            <w:noWrap/>
          </w:tcPr>
          <w:p w14:paraId="0C9D4B94" w14:textId="77777777" w:rsidR="00E46639" w:rsidRPr="0028033B" w:rsidRDefault="00E46639" w:rsidP="00F16E23">
            <w:pPr>
              <w:pStyle w:val="TableText"/>
              <w:keepNext/>
              <w:spacing w:before="20" w:after="20"/>
              <w:jc w:val="right"/>
              <w:rPr>
                <w:rFonts w:asciiTheme="minorHAnsi" w:hAnsiTheme="minorHAnsi" w:cstheme="minorHAnsi"/>
                <w:szCs w:val="16"/>
              </w:rPr>
            </w:pPr>
            <w:r w:rsidRPr="0028033B">
              <w:rPr>
                <w:szCs w:val="16"/>
              </w:rPr>
              <w:t>23.9</w:t>
            </w:r>
          </w:p>
        </w:tc>
      </w:tr>
      <w:tr w:rsidR="00E46639" w:rsidRPr="0028033B" w14:paraId="5C276CF4" w14:textId="77777777" w:rsidTr="008935BB">
        <w:trPr>
          <w:trHeight w:val="258"/>
          <w:jc w:val="center"/>
        </w:trPr>
        <w:tc>
          <w:tcPr>
            <w:tcW w:w="437" w:type="pct"/>
            <w:noWrap/>
          </w:tcPr>
          <w:p w14:paraId="24149905" w14:textId="77777777" w:rsidR="00E46639" w:rsidRPr="0028033B" w:rsidRDefault="00E46639" w:rsidP="00F16E23">
            <w:pPr>
              <w:pStyle w:val="TableText"/>
              <w:spacing w:before="20" w:after="20"/>
              <w:rPr>
                <w:rFonts w:cs="Calibri"/>
                <w:szCs w:val="16"/>
              </w:rPr>
            </w:pPr>
            <w:r w:rsidRPr="0028033B">
              <w:rPr>
                <w:szCs w:val="16"/>
              </w:rPr>
              <w:t>1995</w:t>
            </w:r>
          </w:p>
        </w:tc>
        <w:tc>
          <w:tcPr>
            <w:tcW w:w="1521" w:type="pct"/>
            <w:noWrap/>
          </w:tcPr>
          <w:p w14:paraId="453F25D0"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11.0</w:t>
            </w:r>
          </w:p>
        </w:tc>
        <w:tc>
          <w:tcPr>
            <w:tcW w:w="1521" w:type="pct"/>
          </w:tcPr>
          <w:p w14:paraId="229A83F7"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5.0</w:t>
            </w:r>
          </w:p>
        </w:tc>
        <w:tc>
          <w:tcPr>
            <w:tcW w:w="1521" w:type="pct"/>
            <w:noWrap/>
          </w:tcPr>
          <w:p w14:paraId="1CC567AF"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22.8</w:t>
            </w:r>
          </w:p>
        </w:tc>
      </w:tr>
      <w:tr w:rsidR="00E46639" w:rsidRPr="0028033B" w14:paraId="1FBAEFF0" w14:textId="77777777" w:rsidTr="008935BB">
        <w:trPr>
          <w:trHeight w:val="258"/>
          <w:jc w:val="center"/>
        </w:trPr>
        <w:tc>
          <w:tcPr>
            <w:tcW w:w="437" w:type="pct"/>
            <w:noWrap/>
          </w:tcPr>
          <w:p w14:paraId="6F8BB84F" w14:textId="77777777" w:rsidR="00E46639" w:rsidRPr="0028033B" w:rsidRDefault="00E46639" w:rsidP="00F16E23">
            <w:pPr>
              <w:pStyle w:val="TableText"/>
              <w:spacing w:before="20" w:after="20"/>
              <w:rPr>
                <w:rFonts w:cs="Calibri"/>
                <w:szCs w:val="16"/>
              </w:rPr>
            </w:pPr>
            <w:r w:rsidRPr="0028033B">
              <w:rPr>
                <w:szCs w:val="16"/>
              </w:rPr>
              <w:t>2000</w:t>
            </w:r>
          </w:p>
        </w:tc>
        <w:tc>
          <w:tcPr>
            <w:tcW w:w="1521" w:type="pct"/>
            <w:noWrap/>
          </w:tcPr>
          <w:p w14:paraId="5E2AAF93"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11.4</w:t>
            </w:r>
          </w:p>
        </w:tc>
        <w:tc>
          <w:tcPr>
            <w:tcW w:w="1521" w:type="pct"/>
          </w:tcPr>
          <w:p w14:paraId="269E846E"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5.3</w:t>
            </w:r>
          </w:p>
        </w:tc>
        <w:tc>
          <w:tcPr>
            <w:tcW w:w="1521" w:type="pct"/>
            <w:noWrap/>
          </w:tcPr>
          <w:p w14:paraId="2A4B2443"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23.5</w:t>
            </w:r>
          </w:p>
        </w:tc>
      </w:tr>
      <w:tr w:rsidR="00E46639" w:rsidRPr="0028033B" w14:paraId="4D0E7F9F" w14:textId="77777777" w:rsidTr="008935BB">
        <w:trPr>
          <w:trHeight w:val="258"/>
          <w:jc w:val="center"/>
        </w:trPr>
        <w:tc>
          <w:tcPr>
            <w:tcW w:w="437" w:type="pct"/>
            <w:noWrap/>
          </w:tcPr>
          <w:p w14:paraId="61939C9B" w14:textId="77777777" w:rsidR="00E46639" w:rsidRPr="0028033B" w:rsidRDefault="00E46639" w:rsidP="00F16E23">
            <w:pPr>
              <w:pStyle w:val="TableText"/>
              <w:spacing w:before="20" w:after="20"/>
              <w:rPr>
                <w:rFonts w:cs="Calibri"/>
                <w:szCs w:val="16"/>
              </w:rPr>
            </w:pPr>
            <w:r w:rsidRPr="0028033B">
              <w:rPr>
                <w:szCs w:val="16"/>
              </w:rPr>
              <w:t>2005</w:t>
            </w:r>
          </w:p>
        </w:tc>
        <w:tc>
          <w:tcPr>
            <w:tcW w:w="1521" w:type="pct"/>
            <w:noWrap/>
          </w:tcPr>
          <w:p w14:paraId="76EBDF04"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11.8</w:t>
            </w:r>
          </w:p>
        </w:tc>
        <w:tc>
          <w:tcPr>
            <w:tcW w:w="1521" w:type="pct"/>
          </w:tcPr>
          <w:p w14:paraId="51D78E32"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5.5</w:t>
            </w:r>
          </w:p>
        </w:tc>
        <w:tc>
          <w:tcPr>
            <w:tcW w:w="1521" w:type="pct"/>
            <w:noWrap/>
          </w:tcPr>
          <w:p w14:paraId="5576E3D0"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25.5</w:t>
            </w:r>
          </w:p>
        </w:tc>
      </w:tr>
      <w:tr w:rsidR="00E46639" w:rsidRPr="0028033B" w14:paraId="35500157" w14:textId="77777777" w:rsidTr="008935BB">
        <w:trPr>
          <w:trHeight w:val="258"/>
          <w:jc w:val="center"/>
        </w:trPr>
        <w:tc>
          <w:tcPr>
            <w:tcW w:w="437" w:type="pct"/>
            <w:noWrap/>
          </w:tcPr>
          <w:p w14:paraId="4042E787" w14:textId="77777777" w:rsidR="00E46639" w:rsidRPr="0028033B" w:rsidRDefault="00E46639" w:rsidP="00F16E23">
            <w:pPr>
              <w:pStyle w:val="TableText"/>
              <w:spacing w:before="20" w:after="20"/>
              <w:rPr>
                <w:szCs w:val="16"/>
              </w:rPr>
            </w:pPr>
            <w:r w:rsidRPr="0028033B">
              <w:rPr>
                <w:szCs w:val="16"/>
              </w:rPr>
              <w:t>2010</w:t>
            </w:r>
          </w:p>
        </w:tc>
        <w:tc>
          <w:tcPr>
            <w:tcW w:w="1521" w:type="pct"/>
            <w:noWrap/>
          </w:tcPr>
          <w:p w14:paraId="61B90E0B"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12.2</w:t>
            </w:r>
          </w:p>
        </w:tc>
        <w:tc>
          <w:tcPr>
            <w:tcW w:w="1521" w:type="pct"/>
          </w:tcPr>
          <w:p w14:paraId="135C9A55"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5.6</w:t>
            </w:r>
          </w:p>
        </w:tc>
        <w:tc>
          <w:tcPr>
            <w:tcW w:w="1521" w:type="pct"/>
            <w:noWrap/>
          </w:tcPr>
          <w:p w14:paraId="62997CA7"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28.4</w:t>
            </w:r>
          </w:p>
        </w:tc>
      </w:tr>
      <w:tr w:rsidR="00E46639" w:rsidRPr="0028033B" w14:paraId="4B77C92A" w14:textId="77777777" w:rsidTr="008935BB">
        <w:trPr>
          <w:trHeight w:val="258"/>
          <w:jc w:val="center"/>
        </w:trPr>
        <w:tc>
          <w:tcPr>
            <w:tcW w:w="437" w:type="pct"/>
            <w:noWrap/>
          </w:tcPr>
          <w:p w14:paraId="595024F2" w14:textId="77777777" w:rsidR="00E46639" w:rsidRPr="0028033B" w:rsidRDefault="00E46639" w:rsidP="00F16E23">
            <w:pPr>
              <w:pStyle w:val="TableText"/>
              <w:spacing w:before="20" w:after="20"/>
              <w:rPr>
                <w:szCs w:val="16"/>
              </w:rPr>
            </w:pPr>
            <w:r w:rsidRPr="0028033B">
              <w:rPr>
                <w:szCs w:val="16"/>
              </w:rPr>
              <w:t>2015</w:t>
            </w:r>
          </w:p>
        </w:tc>
        <w:tc>
          <w:tcPr>
            <w:tcW w:w="1521" w:type="pct"/>
            <w:noWrap/>
          </w:tcPr>
          <w:p w14:paraId="72A6368C"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12.6</w:t>
            </w:r>
          </w:p>
        </w:tc>
        <w:tc>
          <w:tcPr>
            <w:tcW w:w="1521" w:type="pct"/>
          </w:tcPr>
          <w:p w14:paraId="6D878281"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5.9</w:t>
            </w:r>
          </w:p>
        </w:tc>
        <w:tc>
          <w:tcPr>
            <w:tcW w:w="1521" w:type="pct"/>
            <w:noWrap/>
          </w:tcPr>
          <w:p w14:paraId="02A69391"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28.5</w:t>
            </w:r>
          </w:p>
        </w:tc>
      </w:tr>
      <w:tr w:rsidR="00E46639" w:rsidRPr="0028033B" w14:paraId="37F42B33" w14:textId="77777777" w:rsidTr="008935BB">
        <w:trPr>
          <w:trHeight w:val="258"/>
          <w:jc w:val="center"/>
        </w:trPr>
        <w:tc>
          <w:tcPr>
            <w:tcW w:w="437" w:type="pct"/>
            <w:noWrap/>
          </w:tcPr>
          <w:p w14:paraId="4D6D1F89" w14:textId="77777777" w:rsidR="00E46639" w:rsidRPr="0028033B" w:rsidRDefault="00E46639" w:rsidP="00F16E23">
            <w:pPr>
              <w:pStyle w:val="TableText"/>
              <w:spacing w:before="20" w:after="20"/>
              <w:rPr>
                <w:szCs w:val="16"/>
              </w:rPr>
            </w:pPr>
            <w:r w:rsidRPr="0028033B">
              <w:rPr>
                <w:szCs w:val="16"/>
              </w:rPr>
              <w:t>2020</w:t>
            </w:r>
          </w:p>
        </w:tc>
        <w:tc>
          <w:tcPr>
            <w:tcW w:w="1521" w:type="pct"/>
            <w:noWrap/>
          </w:tcPr>
          <w:p w14:paraId="6E5F9BFD"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12.7</w:t>
            </w:r>
          </w:p>
        </w:tc>
        <w:tc>
          <w:tcPr>
            <w:tcW w:w="1521" w:type="pct"/>
          </w:tcPr>
          <w:p w14:paraId="64F03537"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5.9</w:t>
            </w:r>
          </w:p>
        </w:tc>
        <w:tc>
          <w:tcPr>
            <w:tcW w:w="1521" w:type="pct"/>
            <w:noWrap/>
          </w:tcPr>
          <w:p w14:paraId="6E366601"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26.2</w:t>
            </w:r>
          </w:p>
        </w:tc>
      </w:tr>
      <w:tr w:rsidR="00E46639" w:rsidRPr="0028033B" w14:paraId="3FEC1EAD" w14:textId="77777777" w:rsidTr="008935BB">
        <w:trPr>
          <w:trHeight w:val="258"/>
          <w:jc w:val="center"/>
        </w:trPr>
        <w:tc>
          <w:tcPr>
            <w:tcW w:w="437" w:type="pct"/>
            <w:noWrap/>
          </w:tcPr>
          <w:p w14:paraId="2D2A20AA" w14:textId="77777777" w:rsidR="00E46639" w:rsidRPr="0028033B" w:rsidRDefault="00E46639" w:rsidP="00F16E23">
            <w:pPr>
              <w:pStyle w:val="TableText"/>
              <w:spacing w:before="20" w:after="20"/>
              <w:rPr>
                <w:szCs w:val="16"/>
              </w:rPr>
            </w:pPr>
            <w:r w:rsidRPr="0028033B">
              <w:rPr>
                <w:szCs w:val="16"/>
              </w:rPr>
              <w:t>2024</w:t>
            </w:r>
          </w:p>
        </w:tc>
        <w:tc>
          <w:tcPr>
            <w:tcW w:w="1521" w:type="pct"/>
            <w:noWrap/>
          </w:tcPr>
          <w:p w14:paraId="4433EB21"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12.7</w:t>
            </w:r>
          </w:p>
        </w:tc>
        <w:tc>
          <w:tcPr>
            <w:tcW w:w="1521" w:type="pct"/>
          </w:tcPr>
          <w:p w14:paraId="16D034DF"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6.0</w:t>
            </w:r>
          </w:p>
        </w:tc>
        <w:tc>
          <w:tcPr>
            <w:tcW w:w="1521" w:type="pct"/>
            <w:noWrap/>
          </w:tcPr>
          <w:p w14:paraId="4C89075B" w14:textId="77777777" w:rsidR="00E46639" w:rsidRPr="0028033B" w:rsidRDefault="00E46639" w:rsidP="00F16E23">
            <w:pPr>
              <w:pStyle w:val="TableText"/>
              <w:spacing w:before="20" w:after="20"/>
              <w:jc w:val="right"/>
              <w:rPr>
                <w:rFonts w:asciiTheme="minorHAnsi" w:hAnsiTheme="minorHAnsi" w:cstheme="minorHAnsi"/>
                <w:szCs w:val="16"/>
              </w:rPr>
            </w:pPr>
            <w:r w:rsidRPr="0028033B">
              <w:rPr>
                <w:szCs w:val="16"/>
              </w:rPr>
              <w:t>27.2</w:t>
            </w:r>
          </w:p>
        </w:tc>
      </w:tr>
    </w:tbl>
    <w:p w14:paraId="6061ACE9" w14:textId="77777777" w:rsidR="00E46639" w:rsidRPr="0028033B" w:rsidRDefault="00E46639" w:rsidP="00E46639">
      <w:pPr>
        <w:pStyle w:val="Heading5"/>
        <w:spacing w:before="360"/>
      </w:pPr>
      <w:r w:rsidRPr="0028033B">
        <w:t xml:space="preserve">Direct nitrous oxide emissions from manure management </w:t>
      </w:r>
    </w:p>
    <w:p w14:paraId="1E334D39" w14:textId="77777777" w:rsidR="00E46639" w:rsidRPr="0028033B" w:rsidRDefault="00E46639" w:rsidP="00E46639">
      <w:pPr>
        <w:pStyle w:val="BodyText"/>
        <w:spacing w:before="80"/>
      </w:pPr>
      <w:r w:rsidRPr="0028033B">
        <w:rPr>
          <w:i/>
        </w:rPr>
        <w:t>Major livestock categories:</w:t>
      </w:r>
      <w:r w:rsidRPr="0028033B">
        <w:t xml:space="preserve"> For the major livestock categories (</w:t>
      </w:r>
      <w:r w:rsidRPr="0028033B">
        <w:rPr>
          <w:i/>
          <w:iCs/>
        </w:rPr>
        <w:t>Dairy cattle</w:t>
      </w:r>
      <w:r w:rsidRPr="0028033B">
        <w:t xml:space="preserve">, </w:t>
      </w:r>
      <w:r w:rsidRPr="0028033B">
        <w:rPr>
          <w:i/>
          <w:iCs/>
        </w:rPr>
        <w:t>Non-dairy cattle</w:t>
      </w:r>
      <w:r w:rsidRPr="0028033B">
        <w:t xml:space="preserve">, </w:t>
      </w:r>
      <w:r w:rsidRPr="0028033B">
        <w:rPr>
          <w:i/>
          <w:iCs/>
        </w:rPr>
        <w:t>Sheep</w:t>
      </w:r>
      <w:r w:rsidRPr="0028033B">
        <w:t xml:space="preserve"> and </w:t>
      </w:r>
      <w:r w:rsidRPr="0028033B">
        <w:rPr>
          <w:i/>
          <w:iCs/>
        </w:rPr>
        <w:t>Deer</w:t>
      </w:r>
      <w:r w:rsidRPr="0028033B">
        <w:t>), most manure is deposited directly onto pasture by grazing animals (see table 5.3.2). Direct and indirect N</w:t>
      </w:r>
      <w:r w:rsidRPr="0028033B">
        <w:rPr>
          <w:vertAlign w:val="subscript"/>
        </w:rPr>
        <w:t>2</w:t>
      </w:r>
      <w:r w:rsidRPr="0028033B">
        <w:t xml:space="preserve">O emissions from the manure deposited by grazing animals are reported in the </w:t>
      </w:r>
      <w:r w:rsidRPr="0028033B">
        <w:rPr>
          <w:i/>
          <w:iCs/>
        </w:rPr>
        <w:t>Agricultural soils</w:t>
      </w:r>
      <w:r w:rsidRPr="0028033B">
        <w:t xml:space="preserve"> category (</w:t>
      </w:r>
      <w:r w:rsidRPr="0028033B">
        <w:rPr>
          <w:i/>
          <w:iCs/>
        </w:rPr>
        <w:t xml:space="preserve">Urine and dung deposited by grazing animals </w:t>
      </w:r>
      <w:r w:rsidRPr="0028033B">
        <w:t xml:space="preserve">(3.D.1.3)). </w:t>
      </w:r>
    </w:p>
    <w:p w14:paraId="312650BC" w14:textId="77777777" w:rsidR="00E46639" w:rsidRPr="0028033B" w:rsidRDefault="00E46639" w:rsidP="00E46639">
      <w:pPr>
        <w:pStyle w:val="BodyText"/>
      </w:pPr>
      <w:r w:rsidRPr="0028033B">
        <w:t>A proportion of dairy manure is managed in anaerobic lagoons. The 2006 IPCC Guidelines note that the production of emissions of direct N</w:t>
      </w:r>
      <w:r w:rsidRPr="0028033B">
        <w:rPr>
          <w:vertAlign w:val="subscript"/>
        </w:rPr>
        <w:t>2</w:t>
      </w:r>
      <w:r w:rsidRPr="0028033B">
        <w:t>O from managed manure requires aerobic conditions for the formation of oxidised forms of nitrogen but assumes that negligible direct N</w:t>
      </w:r>
      <w:r w:rsidRPr="0028033B">
        <w:rPr>
          <w:vertAlign w:val="subscript"/>
        </w:rPr>
        <w:t>2</w:t>
      </w:r>
      <w:r w:rsidRPr="0028033B">
        <w:t>O emissions occur during storage in anaerobic lagoons (IPCC, 2006, table 10.21). Direct N</w:t>
      </w:r>
      <w:r w:rsidRPr="0028033B">
        <w:rPr>
          <w:vertAlign w:val="subscript"/>
        </w:rPr>
        <w:t>2</w:t>
      </w:r>
      <w:r w:rsidRPr="0028033B">
        <w:t xml:space="preserve">O emissions from dairy effluent anaerobic lagoons are reported in the </w:t>
      </w:r>
      <w:r w:rsidRPr="0028033B">
        <w:rPr>
          <w:i/>
          <w:iCs/>
        </w:rPr>
        <w:t>Agricultural soils</w:t>
      </w:r>
      <w:r w:rsidRPr="0028033B">
        <w:t xml:space="preserve"> category (</w:t>
      </w:r>
      <w:r w:rsidRPr="0028033B">
        <w:rPr>
          <w:i/>
          <w:iCs/>
        </w:rPr>
        <w:t xml:space="preserve">Organic nitrogen fertilisers </w:t>
      </w:r>
      <w:r w:rsidRPr="0028033B">
        <w:t>(3.D.1.2)) when the stored effluent is spread onto agricultural land.</w:t>
      </w:r>
    </w:p>
    <w:p w14:paraId="25F40BA6" w14:textId="77777777" w:rsidR="00E46639" w:rsidRPr="0028033B" w:rsidRDefault="00E46639" w:rsidP="00E46639">
      <w:pPr>
        <w:pStyle w:val="BodyText"/>
      </w:pPr>
      <w:r w:rsidRPr="0028033B">
        <w:t>A report by Rollo et al. (2017) found that only 8 percent of dairy farms use land application of manure. Manure is applied by direct pumping from a sump. In all cases, manure that was collected was stored for at least one or two days before spreading to pasture via irrigation. Therefore, it does not meet the IPCC definition of daily spread, and the notation key ‘NO’ (not occurring) is reported in 3.B(b) of the CRT.</w:t>
      </w:r>
    </w:p>
    <w:p w14:paraId="1E6FA07F" w14:textId="77777777" w:rsidR="00E46639" w:rsidRPr="0028033B" w:rsidRDefault="00E46639" w:rsidP="00E46639">
      <w:pPr>
        <w:pStyle w:val="BodyText"/>
      </w:pPr>
      <w:r w:rsidRPr="0028033B">
        <w:t>A small proportion of dairy manure is managed in solid storage. The IPCC (2019, table 10.21) default emission factor for EF</w:t>
      </w:r>
      <w:r w:rsidRPr="0028033B">
        <w:rPr>
          <w:vertAlign w:val="subscript"/>
        </w:rPr>
        <w:t>3</w:t>
      </w:r>
      <w:r w:rsidRPr="0028033B">
        <w:t xml:space="preserve"> of 0.010 kg N</w:t>
      </w:r>
      <w:r w:rsidRPr="0028033B">
        <w:rPr>
          <w:vertAlign w:val="subscript"/>
        </w:rPr>
        <w:t>2</w:t>
      </w:r>
      <w:r w:rsidRPr="0028033B">
        <w:t xml:space="preserve">O-N/kg N for solid storage is assumed. </w:t>
      </w:r>
    </w:p>
    <w:p w14:paraId="3B6CDCA9" w14:textId="77777777" w:rsidR="00E46639" w:rsidRPr="0028033B" w:rsidRDefault="00E46639" w:rsidP="00E46639">
      <w:pPr>
        <w:pStyle w:val="BodyText"/>
      </w:pPr>
      <w:r w:rsidRPr="0028033B">
        <w:rPr>
          <w:i/>
        </w:rPr>
        <w:t>Swine:</w:t>
      </w:r>
      <w:r w:rsidRPr="0028033B">
        <w:t xml:space="preserve"> Swine manure is managed under various types of waste management systems (see table 5.3.2). The 2006 IPCC Guidelines</w:t>
      </w:r>
      <w:r w:rsidRPr="0028033B" w:rsidDel="001A1648">
        <w:t xml:space="preserve"> </w:t>
      </w:r>
      <w:r w:rsidRPr="0028033B">
        <w:t>assume that negligible direct N</w:t>
      </w:r>
      <w:r w:rsidRPr="0028033B">
        <w:rPr>
          <w:vertAlign w:val="subscript"/>
        </w:rPr>
        <w:t>2</w:t>
      </w:r>
      <w:r w:rsidRPr="0028033B">
        <w:t xml:space="preserve">O emissions occur in anaerobic lagoons and daily spread (IPCC, 2006, table 10.21). Nitrous oxide emissions from manure from these systems occur once the stored effluent is spread onto agricultural land and are reported in the </w:t>
      </w:r>
      <w:r w:rsidRPr="0028033B">
        <w:rPr>
          <w:i/>
          <w:iCs/>
        </w:rPr>
        <w:t>Agricultural soils</w:t>
      </w:r>
      <w:r w:rsidRPr="0028033B">
        <w:t xml:space="preserve"> category (</w:t>
      </w:r>
      <w:r w:rsidRPr="0028033B">
        <w:rPr>
          <w:i/>
          <w:iCs/>
        </w:rPr>
        <w:t xml:space="preserve">Organic nitrogen fertilisers </w:t>
      </w:r>
      <w:r w:rsidRPr="0028033B">
        <w:t>(3.D.1.2)). Nitrous oxide emissions from the manure management of swine are estimated using the IPCC (2019) default emission factors for direct N</w:t>
      </w:r>
      <w:r w:rsidRPr="0028033B">
        <w:rPr>
          <w:vertAlign w:val="subscript"/>
        </w:rPr>
        <w:t>2</w:t>
      </w:r>
      <w:r w:rsidRPr="0028033B">
        <w:t>O emission</w:t>
      </w:r>
      <w:r w:rsidRPr="0028033B">
        <w:rPr>
          <w:spacing w:val="-2"/>
        </w:rPr>
        <w:t>s from manure management (EF</w:t>
      </w:r>
      <w:r w:rsidRPr="0028033B">
        <w:rPr>
          <w:spacing w:val="-2"/>
          <w:vertAlign w:val="subscript"/>
        </w:rPr>
        <w:t>3</w:t>
      </w:r>
      <w:r w:rsidRPr="0028033B">
        <w:rPr>
          <w:spacing w:val="-2"/>
        </w:rPr>
        <w:t xml:space="preserve">) for each manure management system. </w:t>
      </w:r>
    </w:p>
    <w:p w14:paraId="5A5A25E5" w14:textId="77777777" w:rsidR="00E46639" w:rsidRPr="0028033B" w:rsidRDefault="00E46639" w:rsidP="00E46639">
      <w:pPr>
        <w:pStyle w:val="BodyText"/>
      </w:pPr>
      <w:r w:rsidRPr="0028033B">
        <w:rPr>
          <w:i/>
        </w:rPr>
        <w:t>Poultry</w:t>
      </w:r>
      <w:r w:rsidRPr="0028033B">
        <w:rPr>
          <w:i/>
          <w:iCs/>
        </w:rPr>
        <w:t>:</w:t>
      </w:r>
      <w:r w:rsidRPr="0028033B">
        <w:t xml:space="preserve"> Direct N</w:t>
      </w:r>
      <w:r w:rsidRPr="0028033B">
        <w:rPr>
          <w:vertAlign w:val="subscript"/>
        </w:rPr>
        <w:t>2</w:t>
      </w:r>
      <w:r w:rsidRPr="0028033B">
        <w:t xml:space="preserve">O emissions from poultry manure deposited directly on pasture are reported in the </w:t>
      </w:r>
      <w:r w:rsidRPr="0028033B">
        <w:rPr>
          <w:i/>
          <w:iCs/>
        </w:rPr>
        <w:t>Agricultural soils</w:t>
      </w:r>
      <w:r w:rsidRPr="0028033B">
        <w:t xml:space="preserve"> category (</w:t>
      </w:r>
      <w:r w:rsidRPr="0028033B">
        <w:rPr>
          <w:i/>
          <w:iCs/>
        </w:rPr>
        <w:t>Urine and dung deposited by grazing animals</w:t>
      </w:r>
      <w:r w:rsidRPr="0028033B">
        <w:t xml:space="preserve"> (3.D.1.3)). For other manure management systems, the IPCC (2006, table 10.21) default emission factor for EF</w:t>
      </w:r>
      <w:r w:rsidRPr="0028033B">
        <w:rPr>
          <w:vertAlign w:val="subscript"/>
        </w:rPr>
        <w:t>3</w:t>
      </w:r>
      <w:r w:rsidRPr="0028033B">
        <w:t xml:space="preserve"> of 0.001 kg N</w:t>
      </w:r>
      <w:r w:rsidRPr="0028033B">
        <w:rPr>
          <w:vertAlign w:val="subscript"/>
        </w:rPr>
        <w:t>2</w:t>
      </w:r>
      <w:r w:rsidRPr="0028033B">
        <w:t>O-N/kg N for poultry manure with and without litter is assumed.</w:t>
      </w:r>
    </w:p>
    <w:p w14:paraId="4F6CAE9D" w14:textId="77777777" w:rsidR="00E46639" w:rsidRPr="0028033B" w:rsidRDefault="00E46639" w:rsidP="00E46639">
      <w:pPr>
        <w:pStyle w:val="BodyText"/>
      </w:pPr>
      <w:r w:rsidRPr="0028033B">
        <w:rPr>
          <w:i/>
        </w:rPr>
        <w:t>Ostriches and emus:</w:t>
      </w:r>
      <w:r w:rsidRPr="0028033B">
        <w:t xml:space="preserve"> Direct N</w:t>
      </w:r>
      <w:r w:rsidRPr="0028033B">
        <w:rPr>
          <w:vertAlign w:val="subscript"/>
        </w:rPr>
        <w:t>2</w:t>
      </w:r>
      <w:r w:rsidRPr="0028033B">
        <w:t xml:space="preserve">O emissions from ostrich and emu manure deposited directly on pasture are reported in the </w:t>
      </w:r>
      <w:r w:rsidRPr="0028033B">
        <w:rPr>
          <w:i/>
          <w:iCs/>
        </w:rPr>
        <w:t>Agricultural soils</w:t>
      </w:r>
      <w:r w:rsidRPr="0028033B">
        <w:t xml:space="preserve"> category (</w:t>
      </w:r>
      <w:r w:rsidRPr="0028033B">
        <w:rPr>
          <w:i/>
          <w:iCs/>
        </w:rPr>
        <w:t>Urine and dung deposited by grazing animals</w:t>
      </w:r>
      <w:r w:rsidRPr="0028033B">
        <w:t xml:space="preserve"> (3.D.1.3)). For solid storage, the IPCC (2019, table 10.21) default emission factor for EF</w:t>
      </w:r>
      <w:r w:rsidRPr="0028033B">
        <w:rPr>
          <w:vertAlign w:val="subscript"/>
        </w:rPr>
        <w:t>3</w:t>
      </w:r>
      <w:r w:rsidRPr="0028033B">
        <w:t xml:space="preserve"> of 0.010 kg N</w:t>
      </w:r>
      <w:r w:rsidRPr="0028033B">
        <w:rPr>
          <w:vertAlign w:val="subscript"/>
        </w:rPr>
        <w:t>2</w:t>
      </w:r>
      <w:r w:rsidRPr="0028033B">
        <w:t xml:space="preserve">O-N/kg N for solid storage is assumed. </w:t>
      </w:r>
    </w:p>
    <w:p w14:paraId="17739082" w14:textId="77777777" w:rsidR="00E46639" w:rsidRPr="0028033B" w:rsidRDefault="00E46639" w:rsidP="00E46639">
      <w:pPr>
        <w:pStyle w:val="BodyText"/>
      </w:pPr>
      <w:r w:rsidRPr="0028033B">
        <w:rPr>
          <w:i/>
        </w:rPr>
        <w:t>Goats</w:t>
      </w:r>
      <w:r w:rsidRPr="0028033B">
        <w:t xml:space="preserve">, </w:t>
      </w:r>
      <w:r w:rsidRPr="0028033B">
        <w:rPr>
          <w:i/>
        </w:rPr>
        <w:t>Horses</w:t>
      </w:r>
      <w:r w:rsidRPr="0028033B">
        <w:t xml:space="preserve">, </w:t>
      </w:r>
      <w:r w:rsidRPr="0028033B">
        <w:rPr>
          <w:i/>
        </w:rPr>
        <w:t>Llamas and alpacas</w:t>
      </w:r>
      <w:r w:rsidRPr="0028033B">
        <w:t xml:space="preserve"> and </w:t>
      </w:r>
      <w:r w:rsidRPr="0028033B">
        <w:rPr>
          <w:i/>
        </w:rPr>
        <w:t>Mules and asses</w:t>
      </w:r>
      <w:r w:rsidRPr="0028033B">
        <w:t>:</w:t>
      </w:r>
      <w:r w:rsidRPr="0028033B">
        <w:rPr>
          <w:b/>
        </w:rPr>
        <w:t xml:space="preserve"> </w:t>
      </w:r>
      <w:r w:rsidRPr="0028033B">
        <w:t>All faecal material from these livestock is deposited directly onto pasture, and direct N</w:t>
      </w:r>
      <w:r w:rsidRPr="0028033B">
        <w:rPr>
          <w:vertAlign w:val="subscript"/>
        </w:rPr>
        <w:t>2</w:t>
      </w:r>
      <w:r w:rsidRPr="0028033B">
        <w:t xml:space="preserve">O emissions from grazing animals are reported in the </w:t>
      </w:r>
      <w:r w:rsidRPr="0028033B">
        <w:rPr>
          <w:i/>
          <w:iCs/>
        </w:rPr>
        <w:t>Agricultural soils</w:t>
      </w:r>
      <w:r w:rsidRPr="0028033B">
        <w:t xml:space="preserve"> category (</w:t>
      </w:r>
      <w:r w:rsidRPr="0028033B">
        <w:rPr>
          <w:i/>
          <w:iCs/>
        </w:rPr>
        <w:t>Urine and dung deposited by grazing animals</w:t>
      </w:r>
      <w:r w:rsidRPr="0028033B">
        <w:t xml:space="preserve"> (3.D.1.3)). </w:t>
      </w:r>
    </w:p>
    <w:p w14:paraId="477B8C0A" w14:textId="77777777" w:rsidR="00E46639" w:rsidRPr="0028033B" w:rsidRDefault="00E46639" w:rsidP="00E46639">
      <w:pPr>
        <w:pStyle w:val="Heading5"/>
      </w:pPr>
      <w:r w:rsidRPr="0028033B">
        <w:t>Indirect nitrous oxide emissions from manure management</w:t>
      </w:r>
    </w:p>
    <w:p w14:paraId="69B83A0A" w14:textId="77777777" w:rsidR="00E46639" w:rsidRPr="0028033B" w:rsidRDefault="00E46639" w:rsidP="00E46639">
      <w:pPr>
        <w:pStyle w:val="BodyText"/>
        <w:rPr>
          <w:spacing w:val="-2"/>
        </w:rPr>
      </w:pPr>
      <w:r w:rsidRPr="0028033B">
        <w:t>Indirect N</w:t>
      </w:r>
      <w:r w:rsidRPr="0028033B">
        <w:rPr>
          <w:vertAlign w:val="subscript"/>
        </w:rPr>
        <w:t>2</w:t>
      </w:r>
      <w:r w:rsidRPr="0028033B">
        <w:t xml:space="preserve">O emissions from manure management result from diffusion into the surrounding </w:t>
      </w:r>
      <w:r w:rsidRPr="0028033B">
        <w:rPr>
          <w:spacing w:val="-2"/>
        </w:rPr>
        <w:t xml:space="preserve">air (volatilisation) and from leaching and runoff. </w:t>
      </w:r>
    </w:p>
    <w:p w14:paraId="5B978CBD" w14:textId="77777777" w:rsidR="00E46639" w:rsidRPr="0028033B" w:rsidRDefault="00E46639" w:rsidP="00E46639">
      <w:pPr>
        <w:pStyle w:val="BodyText"/>
      </w:pPr>
      <w:r w:rsidRPr="0028033B">
        <w:rPr>
          <w:spacing w:val="-2"/>
        </w:rPr>
        <w:t xml:space="preserve">All indirect </w:t>
      </w:r>
      <w:r w:rsidRPr="0028033B">
        <w:t>N</w:t>
      </w:r>
      <w:r w:rsidRPr="0028033B">
        <w:rPr>
          <w:vertAlign w:val="subscript"/>
        </w:rPr>
        <w:t>2</w:t>
      </w:r>
      <w:r w:rsidRPr="0028033B">
        <w:t>O</w:t>
      </w:r>
      <w:r w:rsidRPr="0028033B">
        <w:rPr>
          <w:spacing w:val="-2"/>
        </w:rPr>
        <w:t xml:space="preserve"> emissions for the pasture, range</w:t>
      </w:r>
      <w:r w:rsidRPr="0028033B">
        <w:t xml:space="preserve"> and paddock manure management systems are reported in the </w:t>
      </w:r>
      <w:r w:rsidRPr="0028033B">
        <w:rPr>
          <w:i/>
          <w:iCs/>
        </w:rPr>
        <w:t>Agricultural soils</w:t>
      </w:r>
      <w:r w:rsidRPr="0028033B">
        <w:t xml:space="preserve"> category. </w:t>
      </w:r>
    </w:p>
    <w:p w14:paraId="5FFF1935" w14:textId="77777777" w:rsidR="00E46639" w:rsidRPr="0028033B" w:rsidRDefault="00E46639" w:rsidP="00E46639">
      <w:pPr>
        <w:pStyle w:val="BodyText"/>
      </w:pPr>
      <w:r w:rsidRPr="0028033B">
        <w:t>The IPCC (2006) Tier 1 methodology is used for calculating N</w:t>
      </w:r>
      <w:r w:rsidRPr="0028033B">
        <w:rPr>
          <w:vertAlign w:val="subscript"/>
        </w:rPr>
        <w:t>2</w:t>
      </w:r>
      <w:r w:rsidRPr="0028033B">
        <w:t>O emissions resulting from volatilisation:</w:t>
      </w:r>
    </w:p>
    <w:bookmarkStart w:id="989" w:name="_1543985758"/>
    <w:bookmarkStart w:id="990" w:name="_1670051240"/>
    <w:bookmarkStart w:id="991" w:name="_1767788579"/>
    <w:bookmarkEnd w:id="989"/>
    <w:bookmarkEnd w:id="990"/>
    <w:bookmarkEnd w:id="991"/>
    <w:p w14:paraId="5876EB55" w14:textId="77777777" w:rsidR="00E46639" w:rsidRPr="0028033B" w:rsidRDefault="00000000" w:rsidP="00E46639">
      <w:pPr>
        <w:pStyle w:val="BodyText"/>
        <w:spacing w:before="0" w:after="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MM-volatilisation</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volatilisation-MMS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4</m:t>
                  </m:r>
                </m:sub>
              </m:sSub>
            </m:e>
          </m:d>
          <m:r>
            <w:rPr>
              <w:rFonts w:ascii="Cambria Math" w:hAnsi="Cambria Math"/>
              <w:sz w:val="24"/>
              <w:szCs w:val="24"/>
            </w:rPr>
            <m:t xml:space="preserve"> </m:t>
          </m:r>
        </m:oMath>
      </m:oMathPara>
    </w:p>
    <w:p w14:paraId="652EF6FD" w14:textId="77777777" w:rsidR="00E46639" w:rsidRPr="0028033B" w:rsidRDefault="00E46639" w:rsidP="00E46639">
      <w:pPr>
        <w:pStyle w:val="BodyText"/>
        <w:spacing w:after="0"/>
        <w:rPr>
          <w:rFonts w:cs="Calibri"/>
        </w:rPr>
      </w:pPr>
      <w:r w:rsidRPr="0028033B">
        <w:rPr>
          <w:rFonts w:cs="Calibri"/>
        </w:rPr>
        <w:t>And:</w:t>
      </w:r>
    </w:p>
    <w:bookmarkStart w:id="992" w:name="_1545464011"/>
    <w:bookmarkEnd w:id="992"/>
    <w:p w14:paraId="55C64351" w14:textId="77777777" w:rsidR="00E46639" w:rsidRPr="0028033B" w:rsidRDefault="00000000" w:rsidP="00E46639">
      <w:pPr>
        <w:pStyle w:val="BodyText"/>
        <w:spacing w:before="0" w:after="8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vol-MMS</m:t>
              </m:r>
            </m:sub>
          </m:sSub>
          <m:r>
            <w:rPr>
              <w:rFonts w:ascii="Cambria Math" w:hAnsi="Cambria Math"/>
              <w:sz w:val="24"/>
              <w:szCs w:val="24"/>
            </w:rPr>
            <m:t>=</m:t>
          </m:r>
          <m:nary>
            <m:naryPr>
              <m:chr m:val="∑"/>
              <m:limLoc m:val="undOvr"/>
              <m:supHide m:val="1"/>
              <m:ctrlPr>
                <w:rPr>
                  <w:rFonts w:ascii="Cambria Math" w:hAnsi="Cambria Math"/>
                  <w:i/>
                  <w:sz w:val="24"/>
                  <w:szCs w:val="24"/>
                </w:rPr>
              </m:ctrlPr>
            </m:naryPr>
            <m:sub>
              <m:r>
                <w:rPr>
                  <w:rFonts w:ascii="Cambria Math" w:hAnsi="Cambria Math"/>
                  <w:sz w:val="24"/>
                  <w:szCs w:val="24"/>
                </w:rPr>
                <m:t>S</m:t>
              </m:r>
            </m:sub>
            <m:sup/>
            <m:e>
              <m:d>
                <m:dPr>
                  <m:begChr m:val="["/>
                  <m:endChr m:val="]"/>
                  <m:ctrlPr>
                    <w:rPr>
                      <w:rFonts w:ascii="Cambria Math" w:hAnsi="Cambria Math"/>
                      <w:i/>
                      <w:sz w:val="24"/>
                      <w:szCs w:val="24"/>
                    </w:rPr>
                  </m:ctrlPr>
                </m:dPr>
                <m:e>
                  <m:nary>
                    <m:naryPr>
                      <m:chr m:val="∑"/>
                      <m:limLoc m:val="undOvr"/>
                      <m:supHide m:val="1"/>
                      <m:ctrlPr>
                        <w:rPr>
                          <w:rFonts w:ascii="Cambria Math" w:hAnsi="Cambria Math"/>
                          <w:i/>
                          <w:sz w:val="24"/>
                          <w:szCs w:val="24"/>
                        </w:rPr>
                      </m:ctrlPr>
                    </m:naryPr>
                    <m:sub>
                      <m:r>
                        <w:rPr>
                          <w:rFonts w:ascii="Cambria Math" w:hAnsi="Cambria Math"/>
                          <w:sz w:val="24"/>
                          <w:szCs w:val="24"/>
                        </w:rPr>
                        <m:t>T</m:t>
                      </m:r>
                    </m:sub>
                    <m:sup/>
                    <m:e>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Nex</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MS</m:t>
                                  </m:r>
                                </m:e>
                                <m:sub>
                                  <m:r>
                                    <w:rPr>
                                      <w:rFonts w:ascii="Cambria Math" w:hAnsi="Cambria Math"/>
                                      <w:sz w:val="24"/>
                                      <w:szCs w:val="24"/>
                                    </w:rPr>
                                    <m:t>T,S</m:t>
                                  </m:r>
                                </m:sub>
                              </m:sSub>
                            </m:e>
                          </m:d>
                          <m:r>
                            <w:rPr>
                              <w:rFonts w:ascii="Cambria Math" w:hAnsi="Cambria Math"/>
                              <w:sz w:val="24"/>
                              <w:szCs w:val="24"/>
                            </w:rPr>
                            <m:t>∙</m:t>
                          </m:r>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GasMS</m:t>
                                          </m:r>
                                        </m:sub>
                                      </m:sSub>
                                    </m:num>
                                    <m:den>
                                      <m:r>
                                        <w:rPr>
                                          <w:rFonts w:ascii="Cambria Math" w:hAnsi="Cambria Math"/>
                                          <w:sz w:val="24"/>
                                          <w:szCs w:val="24"/>
                                        </w:rPr>
                                        <m:t>100</m:t>
                                      </m:r>
                                    </m:den>
                                  </m:f>
                                </m:e>
                              </m:d>
                            </m:e>
                            <m:sub>
                              <m:r>
                                <w:rPr>
                                  <w:rFonts w:ascii="Cambria Math" w:hAnsi="Cambria Math"/>
                                  <w:sz w:val="24"/>
                                  <w:szCs w:val="24"/>
                                </w:rPr>
                                <m:t>T,S</m:t>
                              </m:r>
                            </m:sub>
                          </m:sSub>
                        </m:e>
                      </m:d>
                    </m:e>
                  </m:nary>
                </m:e>
              </m:d>
            </m:e>
          </m:nary>
          <m:r>
            <w:rPr>
              <w:rFonts w:ascii="Cambria Math" w:hAnsi="Cambria Math" w:cs="Calibri"/>
              <w:sz w:val="24"/>
              <w:szCs w:val="24"/>
            </w:rPr>
            <m:t xml:space="preserve"> </m:t>
          </m:r>
        </m:oMath>
      </m:oMathPara>
    </w:p>
    <w:p w14:paraId="32115A7C" w14:textId="77777777" w:rsidR="00E46639" w:rsidRPr="0028033B" w:rsidRDefault="00E46639" w:rsidP="00E46639">
      <w:pPr>
        <w:pStyle w:val="BodyText"/>
        <w:spacing w:after="60"/>
        <w:ind w:left="964" w:hanging="964"/>
      </w:pPr>
      <w:r w:rsidRPr="0028033B">
        <w:t>Where:</w:t>
      </w:r>
      <w:r w:rsidRPr="0028033B">
        <w:tab/>
        <w:t>N</w:t>
      </w:r>
      <w:r w:rsidRPr="0028033B">
        <w:rPr>
          <w:vertAlign w:val="subscript"/>
        </w:rPr>
        <w:t>vol – MMS</w:t>
      </w:r>
      <w:r w:rsidRPr="0028033B">
        <w:t xml:space="preserve"> is the amount of manure nitrogen that is lost due to volatilisation (kg/year)</w:t>
      </w:r>
    </w:p>
    <w:p w14:paraId="5EC91BA4" w14:textId="77777777" w:rsidR="00E46639" w:rsidRPr="0028033B" w:rsidRDefault="00E46639" w:rsidP="00E46639">
      <w:pPr>
        <w:pStyle w:val="BodyText"/>
        <w:spacing w:before="30" w:after="60"/>
        <w:ind w:left="964"/>
      </w:pPr>
      <w:r w:rsidRPr="0028033B">
        <w:t>EF</w:t>
      </w:r>
      <w:r w:rsidRPr="0028033B">
        <w:rPr>
          <w:vertAlign w:val="subscript"/>
        </w:rPr>
        <w:t>4</w:t>
      </w:r>
      <w:r w:rsidRPr="0028033B">
        <w:t xml:space="preserve"> is the emission factor for N</w:t>
      </w:r>
      <w:r w:rsidRPr="0028033B">
        <w:rPr>
          <w:vertAlign w:val="subscript"/>
        </w:rPr>
        <w:t>2</w:t>
      </w:r>
      <w:r w:rsidRPr="0028033B">
        <w:t>O emissions from volatilisation; the IPCC (2006) default value of 0.01 kg N</w:t>
      </w:r>
      <w:r w:rsidRPr="0028033B">
        <w:rPr>
          <w:vertAlign w:val="subscript"/>
        </w:rPr>
        <w:t>2</w:t>
      </w:r>
      <w:r w:rsidRPr="0028033B">
        <w:t>O-N/(kg NH</w:t>
      </w:r>
      <w:r w:rsidRPr="0028033B">
        <w:rPr>
          <w:vertAlign w:val="subscript"/>
        </w:rPr>
        <w:t>3</w:t>
      </w:r>
      <w:r w:rsidRPr="0028033B">
        <w:t>-N + NO</w:t>
      </w:r>
      <w:r w:rsidRPr="0028033B">
        <w:rPr>
          <w:vertAlign w:val="subscript"/>
        </w:rPr>
        <w:t>x</w:t>
      </w:r>
      <w:r w:rsidRPr="0028033B">
        <w:t>-N volatilised) is used</w:t>
      </w:r>
    </w:p>
    <w:p w14:paraId="64363F30" w14:textId="77777777" w:rsidR="00E46639" w:rsidRPr="0028033B" w:rsidRDefault="00E46639" w:rsidP="00E46639">
      <w:pPr>
        <w:pStyle w:val="BodyText"/>
        <w:spacing w:before="30" w:after="60"/>
        <w:ind w:left="964"/>
      </w:pPr>
      <w:r w:rsidRPr="0028033B">
        <w:t>N</w:t>
      </w:r>
      <w:r w:rsidRPr="0028033B">
        <w:rPr>
          <w:vertAlign w:val="subscript"/>
        </w:rPr>
        <w:t>T</w:t>
      </w:r>
      <w:r w:rsidRPr="0028033B">
        <w:t xml:space="preserve"> is the number of livestock per category (head), detailed in section 5.1.4</w:t>
      </w:r>
    </w:p>
    <w:p w14:paraId="102301C3" w14:textId="77777777" w:rsidR="00E46639" w:rsidRPr="0028033B" w:rsidRDefault="00E46639" w:rsidP="00E46639">
      <w:pPr>
        <w:pStyle w:val="BodyText"/>
        <w:spacing w:before="30" w:after="60"/>
        <w:ind w:left="964"/>
      </w:pPr>
      <w:r w:rsidRPr="0028033B">
        <w:t>Nex</w:t>
      </w:r>
      <w:r w:rsidRPr="0028033B">
        <w:rPr>
          <w:vertAlign w:val="subscript"/>
        </w:rPr>
        <w:t>T</w:t>
      </w:r>
      <w:r w:rsidRPr="0028033B">
        <w:t xml:space="preserve"> is the average nitrogen excretion for each livestock category, T, detailed above</w:t>
      </w:r>
    </w:p>
    <w:p w14:paraId="2A0749D7" w14:textId="77777777" w:rsidR="00E46639" w:rsidRPr="0028033B" w:rsidRDefault="00E46639" w:rsidP="00E46639">
      <w:pPr>
        <w:pStyle w:val="BodyText"/>
        <w:spacing w:before="30" w:after="60"/>
        <w:ind w:left="964"/>
      </w:pPr>
      <w:r w:rsidRPr="0028033B">
        <w:t>MS</w:t>
      </w:r>
      <w:r w:rsidRPr="0028033B">
        <w:rPr>
          <w:vertAlign w:val="subscript"/>
        </w:rPr>
        <w:t>T,S</w:t>
      </w:r>
      <w:r w:rsidRPr="0028033B">
        <w:t xml:space="preserve"> is the fraction of total nitrogen excretion per livestock category, T, per manure management system, S, derived from table 5.3.2, and</w:t>
      </w:r>
    </w:p>
    <w:p w14:paraId="74A89930" w14:textId="77777777" w:rsidR="00E46639" w:rsidRPr="0028033B" w:rsidRDefault="00E46639" w:rsidP="00E46639">
      <w:pPr>
        <w:pStyle w:val="BodyText"/>
        <w:spacing w:before="30"/>
        <w:ind w:left="964"/>
      </w:pPr>
      <w:r w:rsidRPr="0028033B">
        <w:t>Frac</w:t>
      </w:r>
      <w:r w:rsidRPr="0028033B">
        <w:rPr>
          <w:vertAlign w:val="subscript"/>
        </w:rPr>
        <w:t>GasMS</w:t>
      </w:r>
      <w:r w:rsidRPr="0028033B">
        <w:t xml:space="preserve"> is the percent of managed manure nitrogen for each livestock category, T, which volatilises as NH</w:t>
      </w:r>
      <w:r w:rsidRPr="0028033B">
        <w:rPr>
          <w:vertAlign w:val="subscript"/>
        </w:rPr>
        <w:t>3</w:t>
      </w:r>
      <w:r w:rsidRPr="0028033B">
        <w:t xml:space="preserve"> and NO</w:t>
      </w:r>
      <w:r w:rsidRPr="0028033B">
        <w:rPr>
          <w:vertAlign w:val="subscript"/>
        </w:rPr>
        <w:t>x</w:t>
      </w:r>
      <w:r w:rsidRPr="0028033B">
        <w:t xml:space="preserve"> per manure management system, S. New Zealand uses default values for Frac</w:t>
      </w:r>
      <w:r w:rsidRPr="0028033B">
        <w:rPr>
          <w:vertAlign w:val="subscript"/>
        </w:rPr>
        <w:t>GasMS</w:t>
      </w:r>
      <w:r w:rsidRPr="0028033B">
        <w:t xml:space="preserve"> detailed in table 5.3.10.</w:t>
      </w:r>
    </w:p>
    <w:p w14:paraId="0309CFB6" w14:textId="77777777" w:rsidR="00E46639" w:rsidRPr="0028033B" w:rsidRDefault="00E46639" w:rsidP="00E46639">
      <w:pPr>
        <w:pStyle w:val="BodyText"/>
      </w:pPr>
      <w:r w:rsidRPr="0028033B">
        <w:t xml:space="preserve">There have been no country-specific emission factors derived for leaching and runoff from manure management systems in </w:t>
      </w:r>
      <w:r w:rsidRPr="0028033B" w:rsidDel="00461B66">
        <w:t xml:space="preserve">New </w:t>
      </w:r>
      <w:r w:rsidRPr="0028033B">
        <w:t xml:space="preserve">Zealand (e.g., Hill, 2012), and available data are extremely limited (IPCC, 2006). </w:t>
      </w:r>
    </w:p>
    <w:p w14:paraId="2A72239A" w14:textId="77777777" w:rsidR="00E46639" w:rsidRPr="0028033B" w:rsidRDefault="00E46639" w:rsidP="00E46639">
      <w:pPr>
        <w:pStyle w:val="BodyText"/>
      </w:pPr>
      <w:r w:rsidRPr="0028033B">
        <w:t>Indirect N</w:t>
      </w:r>
      <w:r w:rsidRPr="0028033B">
        <w:rPr>
          <w:vertAlign w:val="subscript"/>
        </w:rPr>
        <w:t>2</w:t>
      </w:r>
      <w:r w:rsidRPr="0028033B">
        <w:t xml:space="preserve">O emissions from leaching and runoff are calculated for dairy solid storage, swine for deep bedding, and composting passive windrow, and emus and ostriches for solid storage. Leaching and runoff from dairy anaerobic lagoons is likely to be an insignificant activity in </w:t>
      </w:r>
      <w:r w:rsidRPr="0028033B" w:rsidDel="00461B66">
        <w:t>New</w:t>
      </w:r>
      <w:r w:rsidRPr="0028033B">
        <w:t> Zealand (T Wilson, pers. comm., 2014). All other indirect N</w:t>
      </w:r>
      <w:r w:rsidRPr="0028033B">
        <w:rPr>
          <w:vertAlign w:val="subscript"/>
        </w:rPr>
        <w:t>2</w:t>
      </w:r>
      <w:r w:rsidRPr="0028033B">
        <w:t xml:space="preserve">O emissions from leaching and runoff are reported in the </w:t>
      </w:r>
      <w:r w:rsidRPr="0028033B">
        <w:rPr>
          <w:i/>
          <w:iCs/>
        </w:rPr>
        <w:t>Agricultural soils</w:t>
      </w:r>
      <w:r w:rsidRPr="0028033B">
        <w:t> category.</w:t>
      </w:r>
    </w:p>
    <w:p w14:paraId="77CCA469" w14:textId="77777777" w:rsidR="00E46639" w:rsidRPr="0028033B" w:rsidRDefault="00E46639" w:rsidP="00E46639">
      <w:pPr>
        <w:pStyle w:val="BodyText"/>
      </w:pPr>
      <w:r w:rsidRPr="0028033B">
        <w:t>The IPCC (2019) Tier 1 methodology is used for calculating N</w:t>
      </w:r>
      <w:r w:rsidRPr="0028033B">
        <w:rPr>
          <w:vertAlign w:val="subscript"/>
        </w:rPr>
        <w:t>2</w:t>
      </w:r>
      <w:r w:rsidRPr="0028033B">
        <w:t>O emissions resulting from leaching and runoff:</w:t>
      </w:r>
    </w:p>
    <w:p w14:paraId="00CC3C58" w14:textId="77777777" w:rsidR="00E46639" w:rsidRPr="0028033B" w:rsidRDefault="00000000" w:rsidP="00E46639">
      <w:pPr>
        <w:pStyle w:val="BodyText"/>
        <w:spacing w:before="0" w:after="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MM-leaching</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leaching-MMS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5</m:t>
                  </m:r>
                </m:sub>
              </m:sSub>
            </m:e>
          </m:d>
          <m:r>
            <w:rPr>
              <w:rFonts w:ascii="Cambria Math" w:hAnsi="Cambria Math"/>
              <w:sz w:val="24"/>
              <w:szCs w:val="24"/>
            </w:rPr>
            <m:t xml:space="preserve"> </m:t>
          </m:r>
        </m:oMath>
      </m:oMathPara>
    </w:p>
    <w:p w14:paraId="3633BA89" w14:textId="77777777" w:rsidR="00E46639" w:rsidRPr="0028033B" w:rsidRDefault="00E46639" w:rsidP="00E46639">
      <w:pPr>
        <w:pStyle w:val="BodyText"/>
        <w:spacing w:after="0"/>
        <w:rPr>
          <w:rFonts w:cs="Calibri"/>
        </w:rPr>
      </w:pPr>
      <w:r w:rsidRPr="0028033B">
        <w:rPr>
          <w:rFonts w:cs="Calibri"/>
        </w:rPr>
        <w:t>And:</w:t>
      </w:r>
    </w:p>
    <w:p w14:paraId="7987E6F2" w14:textId="77777777" w:rsidR="00E46639" w:rsidRPr="0028033B" w:rsidRDefault="00000000" w:rsidP="00E46639">
      <w:pPr>
        <w:pStyle w:val="BodyText"/>
        <w:spacing w:before="0" w:after="8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leach-MMS</m:t>
              </m:r>
            </m:sub>
          </m:sSub>
          <m:r>
            <w:rPr>
              <w:rFonts w:ascii="Cambria Math" w:hAnsi="Cambria Math"/>
              <w:sz w:val="24"/>
              <w:szCs w:val="24"/>
            </w:rPr>
            <m:t>=</m:t>
          </m:r>
          <m:nary>
            <m:naryPr>
              <m:chr m:val="∑"/>
              <m:limLoc m:val="undOvr"/>
              <m:supHide m:val="1"/>
              <m:ctrlPr>
                <w:rPr>
                  <w:rFonts w:ascii="Cambria Math" w:hAnsi="Cambria Math"/>
                  <w:i/>
                  <w:sz w:val="24"/>
                  <w:szCs w:val="24"/>
                </w:rPr>
              </m:ctrlPr>
            </m:naryPr>
            <m:sub>
              <m:r>
                <w:rPr>
                  <w:rFonts w:ascii="Cambria Math" w:hAnsi="Cambria Math"/>
                  <w:sz w:val="24"/>
                  <w:szCs w:val="24"/>
                </w:rPr>
                <m:t>S</m:t>
              </m:r>
            </m:sub>
            <m:sup/>
            <m:e>
              <m:d>
                <m:dPr>
                  <m:begChr m:val="["/>
                  <m:endChr m:val="]"/>
                  <m:ctrlPr>
                    <w:rPr>
                      <w:rFonts w:ascii="Cambria Math" w:hAnsi="Cambria Math"/>
                      <w:i/>
                      <w:sz w:val="24"/>
                      <w:szCs w:val="24"/>
                    </w:rPr>
                  </m:ctrlPr>
                </m:dPr>
                <m:e>
                  <m:nary>
                    <m:naryPr>
                      <m:chr m:val="∑"/>
                      <m:limLoc m:val="undOvr"/>
                      <m:supHide m:val="1"/>
                      <m:ctrlPr>
                        <w:rPr>
                          <w:rFonts w:ascii="Cambria Math" w:hAnsi="Cambria Math"/>
                          <w:i/>
                          <w:sz w:val="24"/>
                          <w:szCs w:val="24"/>
                        </w:rPr>
                      </m:ctrlPr>
                    </m:naryPr>
                    <m:sub>
                      <m:r>
                        <w:rPr>
                          <w:rFonts w:ascii="Cambria Math" w:hAnsi="Cambria Math"/>
                          <w:sz w:val="24"/>
                          <w:szCs w:val="24"/>
                        </w:rPr>
                        <m:t>T</m:t>
                      </m:r>
                    </m:sub>
                    <m:sup/>
                    <m:e>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Nex</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MS</m:t>
                                  </m:r>
                                </m:e>
                                <m:sub>
                                  <m:r>
                                    <w:rPr>
                                      <w:rFonts w:ascii="Cambria Math" w:hAnsi="Cambria Math"/>
                                      <w:sz w:val="24"/>
                                      <w:szCs w:val="24"/>
                                    </w:rPr>
                                    <m:t>T,S</m:t>
                                  </m:r>
                                </m:sub>
                              </m:sSub>
                            </m:e>
                          </m:d>
                          <m:r>
                            <w:rPr>
                              <w:rFonts w:ascii="Cambria Math" w:hAnsi="Cambria Math"/>
                              <w:sz w:val="24"/>
                              <w:szCs w:val="24"/>
                            </w:rPr>
                            <m:t>∙</m:t>
                          </m:r>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LeachMS</m:t>
                                          </m:r>
                                        </m:sub>
                                      </m:sSub>
                                    </m:num>
                                    <m:den>
                                      <m:r>
                                        <w:rPr>
                                          <w:rFonts w:ascii="Cambria Math" w:hAnsi="Cambria Math"/>
                                          <w:sz w:val="24"/>
                                          <w:szCs w:val="24"/>
                                        </w:rPr>
                                        <m:t>100</m:t>
                                      </m:r>
                                    </m:den>
                                  </m:f>
                                </m:e>
                              </m:d>
                            </m:e>
                            <m:sub>
                              <m:r>
                                <w:rPr>
                                  <w:rFonts w:ascii="Cambria Math" w:hAnsi="Cambria Math"/>
                                  <w:sz w:val="24"/>
                                  <w:szCs w:val="24"/>
                                </w:rPr>
                                <m:t>T,S</m:t>
                              </m:r>
                            </m:sub>
                          </m:sSub>
                        </m:e>
                      </m:d>
                    </m:e>
                  </m:nary>
                </m:e>
              </m:d>
            </m:e>
          </m:nary>
          <m:r>
            <w:rPr>
              <w:rFonts w:ascii="Cambria Math" w:hAnsi="Cambria Math" w:cs="Calibri"/>
              <w:sz w:val="24"/>
              <w:szCs w:val="24"/>
            </w:rPr>
            <m:t xml:space="preserve"> </m:t>
          </m:r>
        </m:oMath>
      </m:oMathPara>
    </w:p>
    <w:p w14:paraId="6DB3BAA9" w14:textId="77777777" w:rsidR="00E46639" w:rsidRPr="0028033B" w:rsidRDefault="00E46639" w:rsidP="00E46639">
      <w:pPr>
        <w:pStyle w:val="BodyText"/>
        <w:spacing w:after="60"/>
        <w:ind w:left="964" w:hanging="964"/>
      </w:pPr>
      <w:r w:rsidRPr="0028033B">
        <w:t>Where:</w:t>
      </w:r>
      <w:r w:rsidRPr="0028033B">
        <w:tab/>
        <w:t>N</w:t>
      </w:r>
      <w:r w:rsidRPr="0028033B">
        <w:rPr>
          <w:vertAlign w:val="subscript"/>
        </w:rPr>
        <w:t>leach – MMS</w:t>
      </w:r>
      <w:r w:rsidRPr="0028033B">
        <w:t xml:space="preserve"> is the amount of manure nitrogen that is lost due to leaching and runoff (kg/year)</w:t>
      </w:r>
    </w:p>
    <w:p w14:paraId="230CE334" w14:textId="77777777" w:rsidR="00E46639" w:rsidRPr="0028033B" w:rsidRDefault="00E46639" w:rsidP="00E46639">
      <w:pPr>
        <w:pStyle w:val="BodyText"/>
        <w:spacing w:before="24" w:after="40"/>
        <w:ind w:left="964"/>
      </w:pPr>
      <w:r w:rsidRPr="0028033B">
        <w:t>EF</w:t>
      </w:r>
      <w:r w:rsidRPr="0028033B">
        <w:rPr>
          <w:vertAlign w:val="subscript"/>
        </w:rPr>
        <w:t>5</w:t>
      </w:r>
      <w:r w:rsidRPr="0028033B">
        <w:t xml:space="preserve"> is the emission factor for N</w:t>
      </w:r>
      <w:r w:rsidRPr="0028033B">
        <w:rPr>
          <w:vertAlign w:val="subscript"/>
        </w:rPr>
        <w:t>2</w:t>
      </w:r>
      <w:r w:rsidRPr="0028033B">
        <w:t>O emissions from nitrogen leaching and runoff; the IPCC (2006) default value of 0.0075 kg N</w:t>
      </w:r>
      <w:r w:rsidRPr="0028033B">
        <w:rPr>
          <w:vertAlign w:val="subscript"/>
        </w:rPr>
        <w:t>2</w:t>
      </w:r>
      <w:r w:rsidRPr="0028033B">
        <w:t>O-N/kg N leached and runoff is used</w:t>
      </w:r>
    </w:p>
    <w:p w14:paraId="4074F478" w14:textId="77777777" w:rsidR="00E46639" w:rsidRPr="0028033B" w:rsidRDefault="00E46639" w:rsidP="00E46639">
      <w:pPr>
        <w:pStyle w:val="BodyText"/>
        <w:spacing w:before="24" w:after="40"/>
        <w:ind w:left="964"/>
      </w:pPr>
      <w:r w:rsidRPr="0028033B">
        <w:t>N</w:t>
      </w:r>
      <w:r w:rsidRPr="0028033B">
        <w:rPr>
          <w:vertAlign w:val="subscript"/>
        </w:rPr>
        <w:t>T</w:t>
      </w:r>
      <w:r w:rsidRPr="0028033B">
        <w:t xml:space="preserve"> is the number of livestock per category (head), detailed in section 5.1.4</w:t>
      </w:r>
    </w:p>
    <w:p w14:paraId="61D36A5F" w14:textId="77777777" w:rsidR="00E46639" w:rsidRPr="0028033B" w:rsidRDefault="00E46639" w:rsidP="00E46639">
      <w:pPr>
        <w:pStyle w:val="BodyText"/>
        <w:spacing w:before="24" w:after="40"/>
        <w:ind w:left="964"/>
      </w:pPr>
      <w:r w:rsidRPr="0028033B">
        <w:t>Nex</w:t>
      </w:r>
      <w:r w:rsidRPr="0028033B">
        <w:rPr>
          <w:vertAlign w:val="subscript"/>
        </w:rPr>
        <w:t>T</w:t>
      </w:r>
      <w:r w:rsidRPr="0028033B">
        <w:t xml:space="preserve"> is the average nitrogen excretion for each livestock category, T, detailed above</w:t>
      </w:r>
    </w:p>
    <w:p w14:paraId="06A4A2FF" w14:textId="77777777" w:rsidR="00E46639" w:rsidRPr="0028033B" w:rsidRDefault="00E46639" w:rsidP="00E46639">
      <w:pPr>
        <w:pStyle w:val="BodyText"/>
        <w:spacing w:before="24" w:after="40"/>
        <w:ind w:left="964"/>
      </w:pPr>
      <w:r w:rsidRPr="0028033B">
        <w:t>MS</w:t>
      </w:r>
      <w:r w:rsidRPr="0028033B">
        <w:rPr>
          <w:vertAlign w:val="subscript"/>
        </w:rPr>
        <w:t>T,S</w:t>
      </w:r>
      <w:r w:rsidRPr="0028033B">
        <w:t xml:space="preserve"> is the fraction of total nitrogen excretion per livestock category, T, per manure management system, S, derived from table 5.3.2, and</w:t>
      </w:r>
    </w:p>
    <w:p w14:paraId="750DB400" w14:textId="77777777" w:rsidR="00E46639" w:rsidRPr="0028033B" w:rsidRDefault="00E46639" w:rsidP="00E46639">
      <w:pPr>
        <w:pStyle w:val="BodyText"/>
        <w:spacing w:before="24"/>
        <w:ind w:left="964"/>
      </w:pPr>
      <w:r w:rsidRPr="0028033B">
        <w:t>Frac</w:t>
      </w:r>
      <w:r w:rsidRPr="0028033B">
        <w:rPr>
          <w:vertAlign w:val="subscript"/>
        </w:rPr>
        <w:t>LeachMS</w:t>
      </w:r>
      <w:r w:rsidRPr="0028033B">
        <w:t xml:space="preserve"> is the percent of managed manure nitrogen for each livestock category, T, which leaches per manure management system, S. New Zealand uses default values for Frac</w:t>
      </w:r>
      <w:r w:rsidRPr="0028033B">
        <w:rPr>
          <w:vertAlign w:val="subscript"/>
        </w:rPr>
        <w:t>LeachMS</w:t>
      </w:r>
      <w:r w:rsidRPr="0028033B">
        <w:t xml:space="preserve"> detailed in table 5.3.11.</w:t>
      </w:r>
    </w:p>
    <w:p w14:paraId="29BF5A04" w14:textId="77777777" w:rsidR="00E46639" w:rsidRPr="0028033B" w:rsidRDefault="00E46639" w:rsidP="00E46639">
      <w:pPr>
        <w:pStyle w:val="Table"/>
        <w:rPr>
          <w:rFonts w:cs="Calibri"/>
        </w:rPr>
      </w:pPr>
      <w:bookmarkStart w:id="993" w:name="_Toc441830877"/>
      <w:bookmarkStart w:id="994" w:name="_Toc451176091"/>
      <w:bookmarkStart w:id="995" w:name="_Toc481751519"/>
      <w:bookmarkStart w:id="996" w:name="_Toc507158607"/>
      <w:bookmarkStart w:id="997" w:name="_Toc511116741"/>
      <w:bookmarkStart w:id="998" w:name="_Toc5269481"/>
      <w:bookmarkStart w:id="999" w:name="_Toc32570924"/>
      <w:bookmarkStart w:id="1000" w:name="_Toc36224559"/>
      <w:bookmarkStart w:id="1001" w:name="_Toc68786444"/>
      <w:bookmarkStart w:id="1002" w:name="_Toc95574078"/>
      <w:bookmarkStart w:id="1003" w:name="_Toc127458263"/>
      <w:bookmarkStart w:id="1004" w:name="_Toc131591359"/>
      <w:bookmarkStart w:id="1005" w:name="_Toc160114451"/>
      <w:bookmarkStart w:id="1006" w:name="_Toc164153847"/>
      <w:bookmarkStart w:id="1007" w:name="_Toc222407635"/>
      <w:bookmarkStart w:id="1008" w:name="_Toc226669010"/>
      <w:r w:rsidRPr="0028033B">
        <w:rPr>
          <w:rFonts w:cs="Calibri"/>
        </w:rPr>
        <w:t>Table 5.3.10</w:t>
      </w:r>
      <w:r w:rsidRPr="0028033B">
        <w:rPr>
          <w:rFonts w:cs="Calibri"/>
        </w:rPr>
        <w:tab/>
        <w:t>IPCC default values for the fraction of managed manure nitrogen that volatilises as ammonia and oxides (Frac</w:t>
      </w:r>
      <w:r w:rsidRPr="0028033B">
        <w:rPr>
          <w:rFonts w:cs="Calibri"/>
          <w:vertAlign w:val="subscript"/>
        </w:rPr>
        <w:t>GasMS</w:t>
      </w:r>
      <w:r w:rsidRPr="0028033B">
        <w:rPr>
          <w:rFonts w:cs="Calibri"/>
        </w:rPr>
        <w:t>/100) for livestock categories per manure management system in New Zealand</w:t>
      </w:r>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2796"/>
        <w:gridCol w:w="2642"/>
        <w:gridCol w:w="3067"/>
      </w:tblGrid>
      <w:tr w:rsidR="00E46639" w:rsidRPr="0028033B" w14:paraId="353FEF2C" w14:textId="77777777" w:rsidTr="008935BB">
        <w:trPr>
          <w:tblHeader/>
        </w:trPr>
        <w:tc>
          <w:tcPr>
            <w:tcW w:w="2796" w:type="dxa"/>
            <w:shd w:val="clear" w:color="auto" w:fill="1B556B"/>
            <w:vAlign w:val="bottom"/>
          </w:tcPr>
          <w:p w14:paraId="2CED023A" w14:textId="77777777" w:rsidR="00E46639" w:rsidRPr="0028033B" w:rsidRDefault="00E46639" w:rsidP="00F16E23">
            <w:pPr>
              <w:pStyle w:val="TableTextBold"/>
              <w:keepNext/>
              <w:spacing w:before="40" w:after="40"/>
              <w:rPr>
                <w:rFonts w:cs="Calibri"/>
                <w:noProof w:val="0"/>
                <w:color w:val="FFFFFF" w:themeColor="background1"/>
                <w:szCs w:val="16"/>
              </w:rPr>
            </w:pPr>
            <w:r w:rsidRPr="0028033B">
              <w:rPr>
                <w:rFonts w:cs="Calibri"/>
                <w:noProof w:val="0"/>
                <w:color w:val="FFFFFF" w:themeColor="background1"/>
                <w:szCs w:val="16"/>
              </w:rPr>
              <w:t>Manure management system</w:t>
            </w:r>
          </w:p>
        </w:tc>
        <w:tc>
          <w:tcPr>
            <w:tcW w:w="2642" w:type="dxa"/>
            <w:shd w:val="clear" w:color="auto" w:fill="1B556B"/>
            <w:vAlign w:val="bottom"/>
          </w:tcPr>
          <w:p w14:paraId="1B7B3C72" w14:textId="77777777" w:rsidR="00E46639" w:rsidRPr="0028033B" w:rsidRDefault="00E46639" w:rsidP="00F16E23">
            <w:pPr>
              <w:pStyle w:val="TableTextBold"/>
              <w:keepNext/>
              <w:spacing w:before="40" w:after="40"/>
              <w:rPr>
                <w:rFonts w:cs="Calibri"/>
                <w:noProof w:val="0"/>
                <w:color w:val="FFFFFF" w:themeColor="background1"/>
                <w:szCs w:val="16"/>
              </w:rPr>
            </w:pPr>
            <w:r w:rsidRPr="0028033B">
              <w:rPr>
                <w:rFonts w:cs="Calibri"/>
                <w:noProof w:val="0"/>
                <w:color w:val="FFFFFF" w:themeColor="background1"/>
                <w:szCs w:val="16"/>
              </w:rPr>
              <w:t>Livestock category</w:t>
            </w:r>
          </w:p>
        </w:tc>
        <w:tc>
          <w:tcPr>
            <w:tcW w:w="3067" w:type="dxa"/>
            <w:shd w:val="clear" w:color="auto" w:fill="1B556B"/>
          </w:tcPr>
          <w:p w14:paraId="61CA9EEE" w14:textId="77777777" w:rsidR="00E46639" w:rsidRPr="0028033B" w:rsidRDefault="00E46639" w:rsidP="00F16E23">
            <w:pPr>
              <w:pStyle w:val="TableTextBold"/>
              <w:keepNext/>
              <w:spacing w:before="40" w:after="40"/>
              <w:jc w:val="right"/>
              <w:rPr>
                <w:rFonts w:cs="Calibri"/>
                <w:noProof w:val="0"/>
                <w:color w:val="FFFFFF" w:themeColor="background1"/>
                <w:szCs w:val="16"/>
              </w:rPr>
            </w:pPr>
            <w:r w:rsidRPr="0028033B">
              <w:rPr>
                <w:rFonts w:cs="Calibri"/>
                <w:noProof w:val="0"/>
                <w:color w:val="FFFFFF" w:themeColor="background1"/>
                <w:szCs w:val="16"/>
              </w:rPr>
              <w:t>Value (fraction)</w:t>
            </w:r>
          </w:p>
        </w:tc>
      </w:tr>
      <w:tr w:rsidR="00E46639" w:rsidRPr="0028033B" w14:paraId="27C4014A" w14:textId="77777777" w:rsidTr="008935BB">
        <w:tc>
          <w:tcPr>
            <w:tcW w:w="2796" w:type="dxa"/>
            <w:vMerge w:val="restart"/>
            <w:vAlign w:val="center"/>
          </w:tcPr>
          <w:p w14:paraId="70C7353C" w14:textId="77777777" w:rsidR="00E46639" w:rsidRPr="0028033B" w:rsidRDefault="00E46639" w:rsidP="00F16E23">
            <w:pPr>
              <w:pStyle w:val="TableText"/>
              <w:spacing w:before="40" w:after="30"/>
              <w:rPr>
                <w:rFonts w:cs="Calibri"/>
                <w:szCs w:val="16"/>
              </w:rPr>
            </w:pPr>
            <w:r w:rsidRPr="0028033B">
              <w:rPr>
                <w:rFonts w:cs="Calibri"/>
                <w:szCs w:val="16"/>
              </w:rPr>
              <w:t>Anaerobic lagoons</w:t>
            </w:r>
          </w:p>
        </w:tc>
        <w:tc>
          <w:tcPr>
            <w:tcW w:w="2642" w:type="dxa"/>
          </w:tcPr>
          <w:p w14:paraId="25523F3A" w14:textId="77777777" w:rsidR="00E46639" w:rsidRPr="0028033B" w:rsidRDefault="00E46639" w:rsidP="00F16E23">
            <w:pPr>
              <w:pStyle w:val="TableText"/>
              <w:keepNext/>
              <w:spacing w:before="40" w:after="30"/>
              <w:rPr>
                <w:rFonts w:cs="Calibri"/>
                <w:szCs w:val="16"/>
              </w:rPr>
            </w:pPr>
            <w:r w:rsidRPr="0028033B">
              <w:rPr>
                <w:rFonts w:cs="Calibri"/>
                <w:szCs w:val="16"/>
              </w:rPr>
              <w:t>Dairy</w:t>
            </w:r>
          </w:p>
        </w:tc>
        <w:tc>
          <w:tcPr>
            <w:tcW w:w="3067" w:type="dxa"/>
          </w:tcPr>
          <w:p w14:paraId="5F50546F" w14:textId="77777777" w:rsidR="00E46639" w:rsidRPr="0028033B" w:rsidRDefault="00E46639" w:rsidP="00F16E23">
            <w:pPr>
              <w:pStyle w:val="TableText"/>
              <w:keepNext/>
              <w:spacing w:before="40" w:after="30"/>
              <w:jc w:val="right"/>
              <w:rPr>
                <w:rFonts w:cs="Calibri"/>
                <w:szCs w:val="16"/>
              </w:rPr>
            </w:pPr>
            <w:r w:rsidRPr="0028033B">
              <w:rPr>
                <w:rFonts w:cs="Calibri"/>
                <w:szCs w:val="16"/>
              </w:rPr>
              <w:t>0.35</w:t>
            </w:r>
          </w:p>
        </w:tc>
      </w:tr>
      <w:tr w:rsidR="00E46639" w:rsidRPr="0028033B" w14:paraId="6115F585" w14:textId="77777777" w:rsidTr="008935BB">
        <w:tc>
          <w:tcPr>
            <w:tcW w:w="2796" w:type="dxa"/>
            <w:vMerge/>
          </w:tcPr>
          <w:p w14:paraId="25723AFE" w14:textId="77777777" w:rsidR="00E46639" w:rsidRPr="0028033B" w:rsidRDefault="00E46639" w:rsidP="00F16E23">
            <w:pPr>
              <w:pStyle w:val="TableText"/>
              <w:spacing w:before="40" w:after="30"/>
              <w:rPr>
                <w:rFonts w:cs="Calibri"/>
                <w:szCs w:val="16"/>
              </w:rPr>
            </w:pPr>
          </w:p>
        </w:tc>
        <w:tc>
          <w:tcPr>
            <w:tcW w:w="2642" w:type="dxa"/>
          </w:tcPr>
          <w:p w14:paraId="2A4DE436" w14:textId="77777777" w:rsidR="00E46639" w:rsidRPr="0028033B" w:rsidRDefault="00E46639" w:rsidP="00F16E23">
            <w:pPr>
              <w:pStyle w:val="TableText"/>
              <w:keepNext/>
              <w:spacing w:before="40" w:after="30"/>
              <w:rPr>
                <w:rFonts w:cs="Calibri"/>
                <w:szCs w:val="16"/>
              </w:rPr>
            </w:pPr>
            <w:r w:rsidRPr="0028033B">
              <w:rPr>
                <w:rFonts w:cs="Calibri"/>
                <w:szCs w:val="16"/>
              </w:rPr>
              <w:t>Swine</w:t>
            </w:r>
          </w:p>
        </w:tc>
        <w:tc>
          <w:tcPr>
            <w:tcW w:w="3067" w:type="dxa"/>
          </w:tcPr>
          <w:p w14:paraId="0938BF77" w14:textId="77777777" w:rsidR="00E46639" w:rsidRPr="0028033B" w:rsidRDefault="00E46639" w:rsidP="00F16E23">
            <w:pPr>
              <w:pStyle w:val="TableText"/>
              <w:keepNext/>
              <w:spacing w:before="40" w:after="30"/>
              <w:jc w:val="right"/>
              <w:rPr>
                <w:rFonts w:cs="Calibri"/>
                <w:szCs w:val="16"/>
              </w:rPr>
            </w:pPr>
            <w:r w:rsidRPr="0028033B">
              <w:rPr>
                <w:rFonts w:cs="Calibri"/>
                <w:szCs w:val="16"/>
              </w:rPr>
              <w:t>0.40</w:t>
            </w:r>
          </w:p>
        </w:tc>
      </w:tr>
      <w:tr w:rsidR="00E46639" w:rsidRPr="0028033B" w14:paraId="627DC5CE" w14:textId="77777777" w:rsidTr="008935BB">
        <w:tc>
          <w:tcPr>
            <w:tcW w:w="2796" w:type="dxa"/>
            <w:vMerge w:val="restart"/>
            <w:vAlign w:val="center"/>
          </w:tcPr>
          <w:p w14:paraId="2278DF7C" w14:textId="77777777" w:rsidR="00E46639" w:rsidRPr="0028033B" w:rsidRDefault="00E46639" w:rsidP="00F16E23">
            <w:pPr>
              <w:pStyle w:val="TableText"/>
              <w:spacing w:before="40" w:after="30"/>
              <w:rPr>
                <w:rFonts w:cs="Calibri"/>
                <w:szCs w:val="16"/>
              </w:rPr>
            </w:pPr>
            <w:r w:rsidRPr="0028033B">
              <w:rPr>
                <w:rFonts w:cs="Calibri"/>
                <w:szCs w:val="16"/>
              </w:rPr>
              <w:t>Solid storage</w:t>
            </w:r>
          </w:p>
        </w:tc>
        <w:tc>
          <w:tcPr>
            <w:tcW w:w="2642" w:type="dxa"/>
          </w:tcPr>
          <w:p w14:paraId="12226EAB" w14:textId="77777777" w:rsidR="00E46639" w:rsidRPr="0028033B" w:rsidRDefault="00E46639" w:rsidP="00F16E23">
            <w:pPr>
              <w:pStyle w:val="TableText"/>
              <w:keepNext/>
              <w:spacing w:before="40" w:after="30"/>
              <w:rPr>
                <w:rFonts w:cs="Calibri"/>
                <w:szCs w:val="16"/>
              </w:rPr>
            </w:pPr>
            <w:r w:rsidRPr="0028033B">
              <w:rPr>
                <w:rFonts w:cs="Calibri"/>
                <w:szCs w:val="16"/>
              </w:rPr>
              <w:t>Dairy</w:t>
            </w:r>
          </w:p>
        </w:tc>
        <w:tc>
          <w:tcPr>
            <w:tcW w:w="3067" w:type="dxa"/>
          </w:tcPr>
          <w:p w14:paraId="4DFC48B2" w14:textId="77777777" w:rsidR="00E46639" w:rsidRPr="0028033B" w:rsidRDefault="00E46639" w:rsidP="00F16E23">
            <w:pPr>
              <w:pStyle w:val="TableText"/>
              <w:keepNext/>
              <w:spacing w:before="40" w:after="30"/>
              <w:jc w:val="right"/>
              <w:rPr>
                <w:rFonts w:cs="Calibri"/>
                <w:szCs w:val="16"/>
              </w:rPr>
            </w:pPr>
            <w:r w:rsidRPr="0028033B">
              <w:rPr>
                <w:rFonts w:cs="Calibri"/>
                <w:szCs w:val="16"/>
              </w:rPr>
              <w:t>0.30</w:t>
            </w:r>
          </w:p>
        </w:tc>
      </w:tr>
      <w:tr w:rsidR="00E46639" w:rsidRPr="0028033B" w14:paraId="502B50C5" w14:textId="77777777" w:rsidTr="008935BB">
        <w:tc>
          <w:tcPr>
            <w:tcW w:w="2796" w:type="dxa"/>
            <w:vMerge/>
          </w:tcPr>
          <w:p w14:paraId="0E1A5451" w14:textId="77777777" w:rsidR="00E46639" w:rsidRPr="0028033B" w:rsidRDefault="00E46639" w:rsidP="00F16E23">
            <w:pPr>
              <w:pStyle w:val="TableText"/>
              <w:spacing w:before="40" w:after="30"/>
              <w:rPr>
                <w:rFonts w:cs="Calibri"/>
                <w:szCs w:val="16"/>
              </w:rPr>
            </w:pPr>
          </w:p>
        </w:tc>
        <w:tc>
          <w:tcPr>
            <w:tcW w:w="2642" w:type="dxa"/>
          </w:tcPr>
          <w:p w14:paraId="23217128" w14:textId="77777777" w:rsidR="00E46639" w:rsidRPr="0028033B" w:rsidRDefault="00E46639" w:rsidP="00F16E23">
            <w:pPr>
              <w:pStyle w:val="TableText"/>
              <w:keepNext/>
              <w:spacing w:before="40" w:after="30"/>
              <w:rPr>
                <w:rFonts w:cs="Calibri"/>
                <w:szCs w:val="16"/>
              </w:rPr>
            </w:pPr>
            <w:r w:rsidRPr="0028033B">
              <w:rPr>
                <w:rFonts w:cs="Calibri"/>
                <w:szCs w:val="16"/>
              </w:rPr>
              <w:t>Ostriches</w:t>
            </w:r>
          </w:p>
        </w:tc>
        <w:tc>
          <w:tcPr>
            <w:tcW w:w="3067" w:type="dxa"/>
          </w:tcPr>
          <w:p w14:paraId="54FEDB2E" w14:textId="77777777" w:rsidR="00E46639" w:rsidRPr="0028033B" w:rsidRDefault="00E46639" w:rsidP="00F16E23">
            <w:pPr>
              <w:pStyle w:val="TableText"/>
              <w:keepNext/>
              <w:spacing w:before="40" w:after="30"/>
              <w:jc w:val="right"/>
              <w:rPr>
                <w:rFonts w:cs="Calibri"/>
                <w:szCs w:val="16"/>
              </w:rPr>
            </w:pPr>
            <w:r w:rsidRPr="0028033B">
              <w:rPr>
                <w:rFonts w:cs="Calibri"/>
                <w:szCs w:val="16"/>
              </w:rPr>
              <w:t>0.40</w:t>
            </w:r>
          </w:p>
        </w:tc>
      </w:tr>
      <w:tr w:rsidR="00E46639" w:rsidRPr="0028033B" w14:paraId="4D0686AD" w14:textId="77777777" w:rsidTr="008935BB">
        <w:tc>
          <w:tcPr>
            <w:tcW w:w="2796" w:type="dxa"/>
          </w:tcPr>
          <w:p w14:paraId="28C68656" w14:textId="77777777" w:rsidR="00E46639" w:rsidRPr="0028033B" w:rsidRDefault="00E46639" w:rsidP="00F16E23">
            <w:pPr>
              <w:pStyle w:val="TableText"/>
              <w:spacing w:before="40" w:after="30"/>
              <w:rPr>
                <w:rFonts w:cs="Calibri"/>
                <w:szCs w:val="16"/>
              </w:rPr>
            </w:pPr>
            <w:r w:rsidRPr="0028033B">
              <w:rPr>
                <w:rFonts w:cs="Calibri"/>
                <w:szCs w:val="16"/>
              </w:rPr>
              <w:t>Daily spread</w:t>
            </w:r>
          </w:p>
        </w:tc>
        <w:tc>
          <w:tcPr>
            <w:tcW w:w="2642" w:type="dxa"/>
          </w:tcPr>
          <w:p w14:paraId="631C52E1" w14:textId="77777777" w:rsidR="00E46639" w:rsidRPr="0028033B" w:rsidRDefault="00E46639" w:rsidP="00F16E23">
            <w:pPr>
              <w:pStyle w:val="TableText"/>
              <w:spacing w:before="40" w:after="30"/>
              <w:rPr>
                <w:rFonts w:cs="Calibri"/>
                <w:szCs w:val="16"/>
              </w:rPr>
            </w:pPr>
            <w:r w:rsidRPr="0028033B">
              <w:rPr>
                <w:rFonts w:cs="Calibri"/>
                <w:szCs w:val="16"/>
              </w:rPr>
              <w:t xml:space="preserve">Swine </w:t>
            </w:r>
          </w:p>
        </w:tc>
        <w:tc>
          <w:tcPr>
            <w:tcW w:w="3067" w:type="dxa"/>
          </w:tcPr>
          <w:p w14:paraId="50A46013" w14:textId="77777777" w:rsidR="00E46639" w:rsidRPr="0028033B" w:rsidRDefault="00E46639" w:rsidP="00F16E23">
            <w:pPr>
              <w:pStyle w:val="TableText"/>
              <w:spacing w:before="40" w:after="30"/>
              <w:jc w:val="right"/>
              <w:rPr>
                <w:rFonts w:cs="Calibri"/>
                <w:szCs w:val="16"/>
              </w:rPr>
            </w:pPr>
            <w:r w:rsidRPr="0028033B">
              <w:rPr>
                <w:rFonts w:cs="Calibri"/>
                <w:szCs w:val="16"/>
              </w:rPr>
              <w:t>0.07</w:t>
            </w:r>
          </w:p>
        </w:tc>
      </w:tr>
      <w:tr w:rsidR="00E46639" w:rsidRPr="00DD3B4A" w14:paraId="03551B6A" w14:textId="77777777" w:rsidTr="008935BB">
        <w:tc>
          <w:tcPr>
            <w:tcW w:w="2796" w:type="dxa"/>
          </w:tcPr>
          <w:p w14:paraId="0E698985" w14:textId="77777777" w:rsidR="00E46639" w:rsidRPr="00DD3B4A" w:rsidRDefault="00E46639" w:rsidP="00F16E23">
            <w:pPr>
              <w:pStyle w:val="TableText"/>
              <w:spacing w:before="40" w:after="30"/>
              <w:rPr>
                <w:rFonts w:cs="Calibri"/>
                <w:szCs w:val="16"/>
              </w:rPr>
            </w:pPr>
            <w:r w:rsidRPr="00DD3B4A">
              <w:rPr>
                <w:rFonts w:cs="Calibri"/>
                <w:szCs w:val="16"/>
              </w:rPr>
              <w:t>Anaerobic digester</w:t>
            </w:r>
          </w:p>
        </w:tc>
        <w:tc>
          <w:tcPr>
            <w:tcW w:w="2642" w:type="dxa"/>
          </w:tcPr>
          <w:p w14:paraId="01CD71A9" w14:textId="77777777" w:rsidR="00E46639" w:rsidRPr="00DD3B4A" w:rsidRDefault="00E46639" w:rsidP="00F16E23">
            <w:pPr>
              <w:pStyle w:val="TableText"/>
              <w:spacing w:before="40" w:after="30"/>
              <w:rPr>
                <w:rFonts w:cs="Calibri"/>
                <w:szCs w:val="16"/>
              </w:rPr>
            </w:pPr>
            <w:r w:rsidRPr="00DD3B4A">
              <w:rPr>
                <w:rFonts w:cs="Calibri"/>
                <w:szCs w:val="16"/>
              </w:rPr>
              <w:t>Swine</w:t>
            </w:r>
          </w:p>
        </w:tc>
        <w:tc>
          <w:tcPr>
            <w:tcW w:w="3067" w:type="dxa"/>
          </w:tcPr>
          <w:p w14:paraId="418E18AA" w14:textId="77777777" w:rsidR="00E46639" w:rsidRPr="00DD3B4A" w:rsidRDefault="00E46639" w:rsidP="00F16E23">
            <w:pPr>
              <w:pStyle w:val="TableText"/>
              <w:spacing w:before="40" w:after="30"/>
              <w:jc w:val="right"/>
              <w:rPr>
                <w:rFonts w:cs="Calibri"/>
                <w:szCs w:val="16"/>
              </w:rPr>
            </w:pPr>
            <w:r w:rsidRPr="00DD3B4A">
              <w:rPr>
                <w:rFonts w:cs="Calibri"/>
                <w:szCs w:val="16"/>
              </w:rPr>
              <w:t>0.25</w:t>
            </w:r>
            <w:r w:rsidRPr="00DD3B4A">
              <w:rPr>
                <w:rStyle w:val="FootnoteReference"/>
                <w:rFonts w:cs="Calibri"/>
                <w:sz w:val="16"/>
                <w:szCs w:val="16"/>
              </w:rPr>
              <w:footnoteReference w:id="40"/>
            </w:r>
          </w:p>
        </w:tc>
      </w:tr>
      <w:tr w:rsidR="00E46639" w:rsidRPr="0028033B" w14:paraId="16957F04" w14:textId="77777777" w:rsidTr="008935BB">
        <w:tc>
          <w:tcPr>
            <w:tcW w:w="2796" w:type="dxa"/>
          </w:tcPr>
          <w:p w14:paraId="730959F7" w14:textId="77777777" w:rsidR="00E46639" w:rsidRPr="0028033B" w:rsidRDefault="00E46639" w:rsidP="00F16E23">
            <w:pPr>
              <w:pStyle w:val="TableText"/>
              <w:spacing w:before="40" w:after="30"/>
              <w:rPr>
                <w:rFonts w:cs="Calibri"/>
                <w:szCs w:val="16"/>
              </w:rPr>
            </w:pPr>
            <w:r w:rsidRPr="0028033B">
              <w:rPr>
                <w:rFonts w:cs="Calibri"/>
                <w:szCs w:val="16"/>
              </w:rPr>
              <w:t>Deep bedding</w:t>
            </w:r>
          </w:p>
        </w:tc>
        <w:tc>
          <w:tcPr>
            <w:tcW w:w="2642" w:type="dxa"/>
          </w:tcPr>
          <w:p w14:paraId="48CD5C3B"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067" w:type="dxa"/>
          </w:tcPr>
          <w:p w14:paraId="09582BD0" w14:textId="77777777" w:rsidR="00E46639" w:rsidRPr="0028033B" w:rsidRDefault="00E46639" w:rsidP="00F16E23">
            <w:pPr>
              <w:pStyle w:val="TableText"/>
              <w:spacing w:before="40" w:after="30"/>
              <w:jc w:val="right"/>
              <w:rPr>
                <w:rFonts w:cs="Calibri"/>
                <w:szCs w:val="16"/>
              </w:rPr>
            </w:pPr>
            <w:r w:rsidRPr="0028033B">
              <w:rPr>
                <w:rFonts w:cs="Calibri"/>
                <w:szCs w:val="16"/>
              </w:rPr>
              <w:t>0.4</w:t>
            </w:r>
          </w:p>
        </w:tc>
      </w:tr>
      <w:tr w:rsidR="00E46639" w:rsidRPr="0028033B" w14:paraId="4281390C" w14:textId="77777777" w:rsidTr="008935BB">
        <w:tc>
          <w:tcPr>
            <w:tcW w:w="2796" w:type="dxa"/>
          </w:tcPr>
          <w:p w14:paraId="003675A1" w14:textId="77777777" w:rsidR="00E46639" w:rsidRPr="0028033B" w:rsidRDefault="00E46639" w:rsidP="00F16E23">
            <w:pPr>
              <w:pStyle w:val="TableText"/>
              <w:spacing w:before="40" w:after="30"/>
              <w:rPr>
                <w:rFonts w:cs="Calibri"/>
                <w:szCs w:val="16"/>
              </w:rPr>
            </w:pPr>
            <w:r w:rsidRPr="0028033B">
              <w:rPr>
                <w:rFonts w:cs="Calibri"/>
                <w:szCs w:val="16"/>
              </w:rPr>
              <w:t>Composting passive windrow</w:t>
            </w:r>
          </w:p>
        </w:tc>
        <w:tc>
          <w:tcPr>
            <w:tcW w:w="2642" w:type="dxa"/>
          </w:tcPr>
          <w:p w14:paraId="444B454E"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067" w:type="dxa"/>
          </w:tcPr>
          <w:p w14:paraId="16AE9470" w14:textId="77777777" w:rsidR="00E46639" w:rsidRPr="0028033B" w:rsidRDefault="00E46639" w:rsidP="00F16E23">
            <w:pPr>
              <w:pStyle w:val="TableText"/>
              <w:spacing w:before="40" w:after="30"/>
              <w:jc w:val="right"/>
              <w:rPr>
                <w:rFonts w:cs="Calibri"/>
                <w:szCs w:val="16"/>
              </w:rPr>
            </w:pPr>
            <w:r w:rsidRPr="0028033B">
              <w:rPr>
                <w:rFonts w:cs="Calibri"/>
                <w:szCs w:val="16"/>
              </w:rPr>
              <w:t>0.6</w:t>
            </w:r>
          </w:p>
        </w:tc>
      </w:tr>
      <w:tr w:rsidR="00E46639" w:rsidRPr="0028033B" w14:paraId="01406AAE" w14:textId="77777777" w:rsidTr="008935BB">
        <w:tc>
          <w:tcPr>
            <w:tcW w:w="2796" w:type="dxa"/>
          </w:tcPr>
          <w:p w14:paraId="72764936" w14:textId="77777777" w:rsidR="00E46639" w:rsidRPr="0028033B" w:rsidRDefault="00E46639" w:rsidP="00F16E23">
            <w:pPr>
              <w:pStyle w:val="TableText"/>
              <w:spacing w:before="40" w:after="30"/>
              <w:rPr>
                <w:rFonts w:cs="Calibri"/>
                <w:szCs w:val="16"/>
              </w:rPr>
            </w:pPr>
            <w:r w:rsidRPr="0028033B">
              <w:rPr>
                <w:rFonts w:cs="Calibri"/>
                <w:szCs w:val="16"/>
              </w:rPr>
              <w:t>Pit storage</w:t>
            </w:r>
          </w:p>
        </w:tc>
        <w:tc>
          <w:tcPr>
            <w:tcW w:w="2642" w:type="dxa"/>
          </w:tcPr>
          <w:p w14:paraId="3EE3A43D"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067" w:type="dxa"/>
          </w:tcPr>
          <w:p w14:paraId="3E20894F" w14:textId="77777777" w:rsidR="00E46639" w:rsidRPr="0028033B" w:rsidRDefault="00E46639" w:rsidP="00F16E23">
            <w:pPr>
              <w:pStyle w:val="TableText"/>
              <w:spacing w:before="40" w:after="30"/>
              <w:jc w:val="right"/>
              <w:rPr>
                <w:rFonts w:cs="Calibri"/>
                <w:szCs w:val="16"/>
              </w:rPr>
            </w:pPr>
            <w:r w:rsidRPr="0028033B">
              <w:rPr>
                <w:rFonts w:cs="Calibri"/>
                <w:szCs w:val="16"/>
              </w:rPr>
              <w:t>0.25</w:t>
            </w:r>
          </w:p>
        </w:tc>
      </w:tr>
      <w:tr w:rsidR="00E46639" w:rsidRPr="0028033B" w14:paraId="3C1E0A0B" w14:textId="77777777" w:rsidTr="008935BB">
        <w:tc>
          <w:tcPr>
            <w:tcW w:w="2796" w:type="dxa"/>
            <w:vMerge w:val="restart"/>
            <w:vAlign w:val="center"/>
          </w:tcPr>
          <w:p w14:paraId="1F49338F" w14:textId="77777777" w:rsidR="00E46639" w:rsidRPr="0028033B" w:rsidRDefault="00E46639" w:rsidP="00F16E23">
            <w:pPr>
              <w:pStyle w:val="TableText"/>
              <w:spacing w:before="40" w:after="30"/>
              <w:rPr>
                <w:rFonts w:cs="Calibri"/>
                <w:szCs w:val="16"/>
              </w:rPr>
            </w:pPr>
            <w:r w:rsidRPr="0028033B">
              <w:rPr>
                <w:rFonts w:cs="Calibri"/>
                <w:szCs w:val="16"/>
              </w:rPr>
              <w:t>Other</w:t>
            </w:r>
          </w:p>
        </w:tc>
        <w:tc>
          <w:tcPr>
            <w:tcW w:w="2642" w:type="dxa"/>
          </w:tcPr>
          <w:p w14:paraId="564BBE14" w14:textId="77777777" w:rsidR="00E46639" w:rsidRPr="0028033B" w:rsidRDefault="00E46639" w:rsidP="00F16E23">
            <w:pPr>
              <w:pStyle w:val="TableText"/>
              <w:spacing w:before="40" w:after="30"/>
              <w:rPr>
                <w:rFonts w:cs="Calibri"/>
                <w:szCs w:val="16"/>
              </w:rPr>
            </w:pPr>
            <w:r w:rsidRPr="0028033B">
              <w:rPr>
                <w:rFonts w:cs="Calibri"/>
                <w:szCs w:val="16"/>
              </w:rPr>
              <w:t>Poultry – broilers</w:t>
            </w:r>
          </w:p>
        </w:tc>
        <w:tc>
          <w:tcPr>
            <w:tcW w:w="3067" w:type="dxa"/>
          </w:tcPr>
          <w:p w14:paraId="32C7F566" w14:textId="77777777" w:rsidR="00E46639" w:rsidRPr="0028033B" w:rsidRDefault="00E46639" w:rsidP="00F16E23">
            <w:pPr>
              <w:pStyle w:val="TableText"/>
              <w:spacing w:before="40" w:after="30"/>
              <w:jc w:val="right"/>
              <w:rPr>
                <w:rFonts w:cs="Calibri"/>
                <w:szCs w:val="16"/>
              </w:rPr>
            </w:pPr>
            <w:r w:rsidRPr="0028033B">
              <w:rPr>
                <w:rFonts w:cs="Calibri"/>
                <w:szCs w:val="16"/>
              </w:rPr>
              <w:t>0.40</w:t>
            </w:r>
          </w:p>
        </w:tc>
      </w:tr>
      <w:tr w:rsidR="00E46639" w:rsidRPr="0028033B" w14:paraId="4DBE816D" w14:textId="77777777" w:rsidTr="008935BB">
        <w:tc>
          <w:tcPr>
            <w:tcW w:w="2796" w:type="dxa"/>
            <w:vMerge/>
          </w:tcPr>
          <w:p w14:paraId="6774267B" w14:textId="77777777" w:rsidR="00E46639" w:rsidRPr="0028033B" w:rsidRDefault="00E46639" w:rsidP="00F16E23">
            <w:pPr>
              <w:pStyle w:val="TableText"/>
              <w:spacing w:before="40" w:after="30"/>
              <w:rPr>
                <w:rFonts w:cs="Calibri"/>
                <w:szCs w:val="16"/>
              </w:rPr>
            </w:pPr>
          </w:p>
        </w:tc>
        <w:tc>
          <w:tcPr>
            <w:tcW w:w="2642" w:type="dxa"/>
          </w:tcPr>
          <w:p w14:paraId="6DF51865" w14:textId="77777777" w:rsidR="00E46639" w:rsidRPr="0028033B" w:rsidRDefault="00E46639" w:rsidP="00F16E23">
            <w:pPr>
              <w:pStyle w:val="TableText"/>
              <w:spacing w:before="40" w:after="30"/>
              <w:rPr>
                <w:rFonts w:cs="Calibri"/>
                <w:szCs w:val="16"/>
              </w:rPr>
            </w:pPr>
            <w:r w:rsidRPr="0028033B">
              <w:rPr>
                <w:rFonts w:cs="Calibri"/>
                <w:szCs w:val="16"/>
              </w:rPr>
              <w:t xml:space="preserve">Poultry – layers </w:t>
            </w:r>
          </w:p>
        </w:tc>
        <w:tc>
          <w:tcPr>
            <w:tcW w:w="3067" w:type="dxa"/>
          </w:tcPr>
          <w:p w14:paraId="6EB5C11E" w14:textId="77777777" w:rsidR="00E46639" w:rsidRPr="0028033B" w:rsidRDefault="00E46639" w:rsidP="00F16E23">
            <w:pPr>
              <w:pStyle w:val="TableText"/>
              <w:spacing w:before="40" w:after="30"/>
              <w:jc w:val="right"/>
              <w:rPr>
                <w:rFonts w:cs="Calibri"/>
                <w:szCs w:val="16"/>
              </w:rPr>
            </w:pPr>
            <w:r w:rsidRPr="0028033B">
              <w:rPr>
                <w:rFonts w:cs="Calibri"/>
                <w:szCs w:val="16"/>
              </w:rPr>
              <w:t>0.40</w:t>
            </w:r>
          </w:p>
        </w:tc>
      </w:tr>
      <w:tr w:rsidR="00E46639" w:rsidRPr="0028033B" w14:paraId="15A106C5" w14:textId="77777777" w:rsidTr="008935BB">
        <w:tc>
          <w:tcPr>
            <w:tcW w:w="2796" w:type="dxa"/>
            <w:vMerge/>
          </w:tcPr>
          <w:p w14:paraId="2078113C" w14:textId="77777777" w:rsidR="00E46639" w:rsidRPr="0028033B" w:rsidRDefault="00E46639" w:rsidP="00F16E23">
            <w:pPr>
              <w:pStyle w:val="TableText"/>
              <w:spacing w:before="40" w:after="30"/>
              <w:rPr>
                <w:rFonts w:cs="Calibri"/>
                <w:szCs w:val="16"/>
              </w:rPr>
            </w:pPr>
          </w:p>
        </w:tc>
        <w:tc>
          <w:tcPr>
            <w:tcW w:w="2642" w:type="dxa"/>
          </w:tcPr>
          <w:p w14:paraId="3939EE15" w14:textId="77777777" w:rsidR="00E46639" w:rsidRPr="0028033B" w:rsidRDefault="00E46639" w:rsidP="00F16E23">
            <w:pPr>
              <w:pStyle w:val="TableText"/>
              <w:spacing w:before="40" w:after="30"/>
              <w:rPr>
                <w:rFonts w:cs="Calibri"/>
                <w:szCs w:val="16"/>
              </w:rPr>
            </w:pPr>
            <w:r w:rsidRPr="0028033B">
              <w:rPr>
                <w:rFonts w:cs="Calibri"/>
                <w:szCs w:val="16"/>
              </w:rPr>
              <w:t xml:space="preserve">Poultry – other </w:t>
            </w:r>
          </w:p>
        </w:tc>
        <w:tc>
          <w:tcPr>
            <w:tcW w:w="3067" w:type="dxa"/>
          </w:tcPr>
          <w:p w14:paraId="7E6F79CF" w14:textId="77777777" w:rsidR="00E46639" w:rsidRPr="0028033B" w:rsidRDefault="00E46639" w:rsidP="00F16E23">
            <w:pPr>
              <w:pStyle w:val="TableText"/>
              <w:spacing w:before="40" w:after="30"/>
              <w:jc w:val="right"/>
              <w:rPr>
                <w:rFonts w:cs="Calibri"/>
                <w:szCs w:val="16"/>
              </w:rPr>
            </w:pPr>
            <w:r w:rsidRPr="0028033B">
              <w:rPr>
                <w:rFonts w:cs="Calibri"/>
                <w:szCs w:val="16"/>
              </w:rPr>
              <w:t>0.40</w:t>
            </w:r>
          </w:p>
        </w:tc>
      </w:tr>
    </w:tbl>
    <w:p w14:paraId="5D8D5DC0" w14:textId="77777777" w:rsidR="00E46639" w:rsidRPr="0028033B" w:rsidRDefault="00E46639" w:rsidP="00E46639">
      <w:pPr>
        <w:pStyle w:val="Source"/>
        <w:spacing w:after="120"/>
      </w:pPr>
      <w:r w:rsidRPr="0028033B">
        <w:rPr>
          <w:b/>
          <w:bCs/>
        </w:rPr>
        <w:t xml:space="preserve">Source: </w:t>
      </w:r>
      <w:r w:rsidRPr="0028033B">
        <w:rPr>
          <w:b/>
        </w:rPr>
        <w:tab/>
      </w:r>
      <w:r w:rsidRPr="0028033B">
        <w:t>IPCC (2019) table 10.22</w:t>
      </w:r>
    </w:p>
    <w:p w14:paraId="135272B5" w14:textId="7F730D18" w:rsidR="00E46639" w:rsidRPr="0028033B" w:rsidRDefault="00E46639" w:rsidP="00E46639">
      <w:pPr>
        <w:pStyle w:val="Table"/>
        <w:rPr>
          <w:rFonts w:cs="Calibri"/>
        </w:rPr>
      </w:pPr>
      <w:bookmarkStart w:id="1009" w:name="_Toc222407636"/>
      <w:bookmarkStart w:id="1010" w:name="_Toc226669011"/>
      <w:r w:rsidRPr="0028033B">
        <w:rPr>
          <w:rFonts w:cs="Calibri"/>
        </w:rPr>
        <w:t>Table 5.3.11</w:t>
      </w:r>
      <w:r w:rsidRPr="0028033B">
        <w:rPr>
          <w:rFonts w:cs="Calibri"/>
        </w:rPr>
        <w:tab/>
        <w:t>IPCC default values for the fraction of managed manure nitrogen that leaches (Frac</w:t>
      </w:r>
      <w:r w:rsidRPr="0028033B">
        <w:rPr>
          <w:rFonts w:cs="Calibri"/>
          <w:vertAlign w:val="subscript"/>
        </w:rPr>
        <w:t>leach</w:t>
      </w:r>
      <w:r w:rsidRPr="0028033B">
        <w:rPr>
          <w:rFonts w:cs="Calibri"/>
        </w:rPr>
        <w:t>/100) for livestock categories per manure management system in New</w:t>
      </w:r>
      <w:r w:rsidR="00B87580">
        <w:rPr>
          <w:rFonts w:cs="Calibri"/>
        </w:rPr>
        <w:t> </w:t>
      </w:r>
      <w:r w:rsidRPr="0028033B">
        <w:rPr>
          <w:rFonts w:cs="Calibri"/>
        </w:rPr>
        <w:t>Zealand</w:t>
      </w:r>
      <w:bookmarkEnd w:id="1009"/>
      <w:bookmarkEnd w:id="1010"/>
    </w:p>
    <w:tbl>
      <w:tblPr>
        <w:tblW w:w="8505" w:type="dxa"/>
        <w:jc w:val="center"/>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2796"/>
        <w:gridCol w:w="2591"/>
        <w:gridCol w:w="3118"/>
      </w:tblGrid>
      <w:tr w:rsidR="00E46639" w:rsidRPr="0028033B" w14:paraId="13E205DE" w14:textId="77777777" w:rsidTr="008935BB">
        <w:trPr>
          <w:tblHeader/>
          <w:jc w:val="center"/>
        </w:trPr>
        <w:tc>
          <w:tcPr>
            <w:tcW w:w="2796" w:type="dxa"/>
            <w:shd w:val="clear" w:color="auto" w:fill="1B556B"/>
            <w:vAlign w:val="bottom"/>
          </w:tcPr>
          <w:p w14:paraId="5D074911" w14:textId="77777777" w:rsidR="00E46639" w:rsidRPr="0028033B" w:rsidRDefault="00E46639" w:rsidP="00F16E23">
            <w:pPr>
              <w:pStyle w:val="TableTextBold"/>
              <w:keepNext/>
              <w:spacing w:before="40" w:after="40"/>
              <w:rPr>
                <w:rFonts w:cs="Calibri"/>
                <w:noProof w:val="0"/>
                <w:color w:val="FFFFFF" w:themeColor="background1"/>
                <w:szCs w:val="16"/>
              </w:rPr>
            </w:pPr>
            <w:r w:rsidRPr="0028033B">
              <w:rPr>
                <w:rFonts w:cs="Calibri"/>
                <w:noProof w:val="0"/>
                <w:color w:val="FFFFFF" w:themeColor="background1"/>
                <w:szCs w:val="16"/>
              </w:rPr>
              <w:t>Manure management system</w:t>
            </w:r>
          </w:p>
        </w:tc>
        <w:tc>
          <w:tcPr>
            <w:tcW w:w="2591" w:type="dxa"/>
            <w:shd w:val="clear" w:color="auto" w:fill="1B556B"/>
            <w:vAlign w:val="bottom"/>
          </w:tcPr>
          <w:p w14:paraId="7B8AFDAB" w14:textId="77777777" w:rsidR="00E46639" w:rsidRPr="0028033B" w:rsidRDefault="00E46639" w:rsidP="00F16E23">
            <w:pPr>
              <w:pStyle w:val="TableTextBold"/>
              <w:keepNext/>
              <w:spacing w:before="40" w:after="40"/>
              <w:rPr>
                <w:rFonts w:cs="Calibri"/>
                <w:noProof w:val="0"/>
                <w:color w:val="FFFFFF" w:themeColor="background1"/>
                <w:szCs w:val="16"/>
              </w:rPr>
            </w:pPr>
            <w:r w:rsidRPr="0028033B">
              <w:rPr>
                <w:rFonts w:cs="Calibri"/>
                <w:noProof w:val="0"/>
                <w:color w:val="FFFFFF" w:themeColor="background1"/>
                <w:szCs w:val="16"/>
              </w:rPr>
              <w:t>Livestock category</w:t>
            </w:r>
          </w:p>
        </w:tc>
        <w:tc>
          <w:tcPr>
            <w:tcW w:w="3118" w:type="dxa"/>
            <w:shd w:val="clear" w:color="auto" w:fill="1B556B"/>
          </w:tcPr>
          <w:p w14:paraId="1E3289ED" w14:textId="77777777" w:rsidR="00E46639" w:rsidRPr="0028033B" w:rsidRDefault="00E46639" w:rsidP="00F16E23">
            <w:pPr>
              <w:pStyle w:val="TableTextBold"/>
              <w:keepNext/>
              <w:spacing w:before="40" w:after="40"/>
              <w:jc w:val="right"/>
              <w:rPr>
                <w:rFonts w:cs="Calibri"/>
                <w:noProof w:val="0"/>
                <w:color w:val="FFFFFF" w:themeColor="background1"/>
                <w:szCs w:val="16"/>
              </w:rPr>
            </w:pPr>
            <w:r w:rsidRPr="0028033B">
              <w:rPr>
                <w:rFonts w:cs="Calibri"/>
                <w:noProof w:val="0"/>
                <w:color w:val="FFFFFF" w:themeColor="background1"/>
                <w:szCs w:val="16"/>
              </w:rPr>
              <w:t>Value (fraction)</w:t>
            </w:r>
          </w:p>
        </w:tc>
      </w:tr>
      <w:tr w:rsidR="00E46639" w:rsidRPr="0028033B" w14:paraId="223AF978" w14:textId="77777777" w:rsidTr="008935BB">
        <w:trPr>
          <w:jc w:val="center"/>
        </w:trPr>
        <w:tc>
          <w:tcPr>
            <w:tcW w:w="2796" w:type="dxa"/>
            <w:vMerge w:val="restart"/>
            <w:vAlign w:val="center"/>
          </w:tcPr>
          <w:p w14:paraId="6107D509" w14:textId="77777777" w:rsidR="00E46639" w:rsidRPr="0028033B" w:rsidRDefault="00E46639" w:rsidP="00F16E23">
            <w:pPr>
              <w:pStyle w:val="TableText"/>
              <w:spacing w:before="40" w:after="30"/>
              <w:rPr>
                <w:rFonts w:cs="Calibri"/>
                <w:szCs w:val="16"/>
              </w:rPr>
            </w:pPr>
            <w:r w:rsidRPr="0028033B">
              <w:rPr>
                <w:rFonts w:cs="Calibri"/>
                <w:szCs w:val="16"/>
              </w:rPr>
              <w:t>Anaerobic lagoons</w:t>
            </w:r>
          </w:p>
        </w:tc>
        <w:tc>
          <w:tcPr>
            <w:tcW w:w="2591" w:type="dxa"/>
          </w:tcPr>
          <w:p w14:paraId="0484ADBD" w14:textId="77777777" w:rsidR="00E46639" w:rsidRPr="0028033B" w:rsidRDefault="00E46639" w:rsidP="00F16E23">
            <w:pPr>
              <w:pStyle w:val="TableText"/>
              <w:keepNext/>
              <w:spacing w:before="40" w:after="30"/>
              <w:rPr>
                <w:rFonts w:cs="Calibri"/>
                <w:szCs w:val="16"/>
              </w:rPr>
            </w:pPr>
            <w:r w:rsidRPr="0028033B">
              <w:rPr>
                <w:rFonts w:cs="Calibri"/>
                <w:szCs w:val="16"/>
              </w:rPr>
              <w:t>Dairy</w:t>
            </w:r>
          </w:p>
        </w:tc>
        <w:tc>
          <w:tcPr>
            <w:tcW w:w="3118" w:type="dxa"/>
          </w:tcPr>
          <w:p w14:paraId="7109DB9D" w14:textId="77777777" w:rsidR="00E46639" w:rsidRPr="0028033B" w:rsidRDefault="00E46639" w:rsidP="00F16E23">
            <w:pPr>
              <w:pStyle w:val="TableText"/>
              <w:keepNext/>
              <w:spacing w:before="40" w:after="30"/>
              <w:jc w:val="right"/>
              <w:rPr>
                <w:rFonts w:cs="Calibri"/>
                <w:szCs w:val="16"/>
              </w:rPr>
            </w:pPr>
            <w:r w:rsidRPr="0028033B">
              <w:rPr>
                <w:rFonts w:cs="Calibri"/>
                <w:szCs w:val="16"/>
              </w:rPr>
              <w:t>0</w:t>
            </w:r>
          </w:p>
        </w:tc>
      </w:tr>
      <w:tr w:rsidR="00E46639" w:rsidRPr="0028033B" w14:paraId="08AD4403" w14:textId="77777777" w:rsidTr="008935BB">
        <w:trPr>
          <w:jc w:val="center"/>
        </w:trPr>
        <w:tc>
          <w:tcPr>
            <w:tcW w:w="2796" w:type="dxa"/>
            <w:vMerge/>
          </w:tcPr>
          <w:p w14:paraId="4B812591" w14:textId="77777777" w:rsidR="00E46639" w:rsidRPr="0028033B" w:rsidRDefault="00E46639" w:rsidP="00F16E23">
            <w:pPr>
              <w:pStyle w:val="TableText"/>
              <w:spacing w:before="40" w:after="30"/>
              <w:rPr>
                <w:rFonts w:cs="Calibri"/>
                <w:szCs w:val="16"/>
              </w:rPr>
            </w:pPr>
          </w:p>
        </w:tc>
        <w:tc>
          <w:tcPr>
            <w:tcW w:w="2591" w:type="dxa"/>
          </w:tcPr>
          <w:p w14:paraId="348B15A0" w14:textId="77777777" w:rsidR="00E46639" w:rsidRPr="0028033B" w:rsidRDefault="00E46639" w:rsidP="00F16E23">
            <w:pPr>
              <w:pStyle w:val="TableText"/>
              <w:keepNext/>
              <w:spacing w:before="40" w:after="30"/>
              <w:rPr>
                <w:rFonts w:cs="Calibri"/>
                <w:szCs w:val="16"/>
              </w:rPr>
            </w:pPr>
            <w:r w:rsidRPr="0028033B">
              <w:rPr>
                <w:rFonts w:cs="Calibri"/>
                <w:szCs w:val="16"/>
              </w:rPr>
              <w:t>Swine</w:t>
            </w:r>
          </w:p>
        </w:tc>
        <w:tc>
          <w:tcPr>
            <w:tcW w:w="3118" w:type="dxa"/>
          </w:tcPr>
          <w:p w14:paraId="56C96ED2" w14:textId="77777777" w:rsidR="00E46639" w:rsidRPr="0028033B" w:rsidRDefault="00E46639" w:rsidP="00F16E23">
            <w:pPr>
              <w:pStyle w:val="TableText"/>
              <w:keepNext/>
              <w:spacing w:before="40" w:after="30"/>
              <w:jc w:val="right"/>
              <w:rPr>
                <w:rFonts w:cs="Calibri"/>
                <w:szCs w:val="16"/>
              </w:rPr>
            </w:pPr>
            <w:r w:rsidRPr="0028033B">
              <w:rPr>
                <w:rFonts w:cs="Calibri"/>
                <w:szCs w:val="16"/>
              </w:rPr>
              <w:t>0</w:t>
            </w:r>
          </w:p>
        </w:tc>
      </w:tr>
      <w:tr w:rsidR="00E46639" w:rsidRPr="0028033B" w14:paraId="2DE8F316" w14:textId="77777777" w:rsidTr="008935BB">
        <w:trPr>
          <w:jc w:val="center"/>
        </w:trPr>
        <w:tc>
          <w:tcPr>
            <w:tcW w:w="2796" w:type="dxa"/>
            <w:vMerge w:val="restart"/>
            <w:vAlign w:val="center"/>
          </w:tcPr>
          <w:p w14:paraId="7A16D2C5" w14:textId="77777777" w:rsidR="00E46639" w:rsidRPr="0028033B" w:rsidRDefault="00E46639" w:rsidP="00F16E23">
            <w:pPr>
              <w:pStyle w:val="TableText"/>
              <w:spacing w:before="40" w:after="30"/>
              <w:rPr>
                <w:rFonts w:cs="Calibri"/>
                <w:szCs w:val="16"/>
              </w:rPr>
            </w:pPr>
            <w:r w:rsidRPr="0028033B">
              <w:rPr>
                <w:rFonts w:cs="Calibri"/>
                <w:szCs w:val="16"/>
              </w:rPr>
              <w:t>Solid storage</w:t>
            </w:r>
          </w:p>
        </w:tc>
        <w:tc>
          <w:tcPr>
            <w:tcW w:w="2591" w:type="dxa"/>
          </w:tcPr>
          <w:p w14:paraId="58A0CBCC" w14:textId="77777777" w:rsidR="00E46639" w:rsidRPr="0028033B" w:rsidRDefault="00E46639" w:rsidP="00F16E23">
            <w:pPr>
              <w:pStyle w:val="TableText"/>
              <w:keepNext/>
              <w:spacing w:before="40" w:after="30"/>
              <w:rPr>
                <w:rFonts w:cs="Calibri"/>
                <w:szCs w:val="16"/>
              </w:rPr>
            </w:pPr>
            <w:r w:rsidRPr="0028033B">
              <w:rPr>
                <w:rFonts w:cs="Calibri"/>
                <w:szCs w:val="16"/>
              </w:rPr>
              <w:t>Dairy</w:t>
            </w:r>
          </w:p>
        </w:tc>
        <w:tc>
          <w:tcPr>
            <w:tcW w:w="3118" w:type="dxa"/>
          </w:tcPr>
          <w:p w14:paraId="2BB7313E" w14:textId="77777777" w:rsidR="00E46639" w:rsidRPr="0028033B" w:rsidRDefault="00E46639" w:rsidP="00F16E23">
            <w:pPr>
              <w:pStyle w:val="TableText"/>
              <w:keepNext/>
              <w:spacing w:before="40" w:after="30"/>
              <w:jc w:val="right"/>
              <w:rPr>
                <w:rFonts w:cs="Calibri"/>
                <w:szCs w:val="16"/>
              </w:rPr>
            </w:pPr>
            <w:r w:rsidRPr="0028033B">
              <w:rPr>
                <w:rFonts w:cs="Calibri"/>
                <w:szCs w:val="16"/>
              </w:rPr>
              <w:t>0.02</w:t>
            </w:r>
          </w:p>
        </w:tc>
      </w:tr>
      <w:tr w:rsidR="00E46639" w:rsidRPr="0028033B" w14:paraId="7F31201B" w14:textId="77777777" w:rsidTr="008935BB">
        <w:trPr>
          <w:jc w:val="center"/>
        </w:trPr>
        <w:tc>
          <w:tcPr>
            <w:tcW w:w="2796" w:type="dxa"/>
            <w:vMerge/>
          </w:tcPr>
          <w:p w14:paraId="5CC26B7B" w14:textId="77777777" w:rsidR="00E46639" w:rsidRPr="0028033B" w:rsidRDefault="00E46639" w:rsidP="00F16E23">
            <w:pPr>
              <w:pStyle w:val="TableText"/>
              <w:spacing w:before="40" w:after="30"/>
              <w:rPr>
                <w:rFonts w:cs="Calibri"/>
                <w:szCs w:val="16"/>
              </w:rPr>
            </w:pPr>
          </w:p>
        </w:tc>
        <w:tc>
          <w:tcPr>
            <w:tcW w:w="2591" w:type="dxa"/>
          </w:tcPr>
          <w:p w14:paraId="29A23B61" w14:textId="77777777" w:rsidR="00E46639" w:rsidRPr="0028033B" w:rsidRDefault="00E46639" w:rsidP="00F16E23">
            <w:pPr>
              <w:pStyle w:val="TableText"/>
              <w:keepNext/>
              <w:spacing w:before="40" w:after="30"/>
              <w:rPr>
                <w:rFonts w:cs="Calibri"/>
                <w:szCs w:val="16"/>
              </w:rPr>
            </w:pPr>
            <w:r w:rsidRPr="0028033B">
              <w:rPr>
                <w:rFonts w:cs="Calibri"/>
                <w:szCs w:val="16"/>
              </w:rPr>
              <w:t>Ostriches</w:t>
            </w:r>
          </w:p>
        </w:tc>
        <w:tc>
          <w:tcPr>
            <w:tcW w:w="3118" w:type="dxa"/>
          </w:tcPr>
          <w:p w14:paraId="4FCCCF14" w14:textId="77777777" w:rsidR="00E46639" w:rsidRPr="0028033B" w:rsidRDefault="00E46639" w:rsidP="00F16E23">
            <w:pPr>
              <w:pStyle w:val="TableText"/>
              <w:keepNext/>
              <w:spacing w:before="40" w:after="30"/>
              <w:jc w:val="right"/>
              <w:rPr>
                <w:rFonts w:cs="Calibri"/>
                <w:szCs w:val="16"/>
              </w:rPr>
            </w:pPr>
            <w:r w:rsidRPr="0028033B">
              <w:rPr>
                <w:rFonts w:cs="Calibri"/>
                <w:szCs w:val="16"/>
              </w:rPr>
              <w:t>0.02</w:t>
            </w:r>
          </w:p>
        </w:tc>
      </w:tr>
      <w:tr w:rsidR="00E46639" w:rsidRPr="0028033B" w14:paraId="24251728" w14:textId="77777777" w:rsidTr="008935BB">
        <w:trPr>
          <w:jc w:val="center"/>
        </w:trPr>
        <w:tc>
          <w:tcPr>
            <w:tcW w:w="2796" w:type="dxa"/>
          </w:tcPr>
          <w:p w14:paraId="1AA9B6F4" w14:textId="77777777" w:rsidR="00E46639" w:rsidRPr="0028033B" w:rsidRDefault="00E46639" w:rsidP="00F16E23">
            <w:pPr>
              <w:pStyle w:val="TableText"/>
              <w:spacing w:before="40" w:after="30"/>
              <w:rPr>
                <w:rFonts w:cs="Calibri"/>
                <w:szCs w:val="16"/>
              </w:rPr>
            </w:pPr>
            <w:r w:rsidRPr="0028033B">
              <w:rPr>
                <w:rFonts w:cs="Calibri"/>
                <w:szCs w:val="16"/>
              </w:rPr>
              <w:t>Daily spread</w:t>
            </w:r>
          </w:p>
        </w:tc>
        <w:tc>
          <w:tcPr>
            <w:tcW w:w="2591" w:type="dxa"/>
          </w:tcPr>
          <w:p w14:paraId="7BDC6DF4" w14:textId="77777777" w:rsidR="00E46639" w:rsidRPr="0028033B" w:rsidRDefault="00E46639" w:rsidP="00F16E23">
            <w:pPr>
              <w:pStyle w:val="TableText"/>
              <w:spacing w:before="40" w:after="30"/>
              <w:rPr>
                <w:rFonts w:cs="Calibri"/>
                <w:szCs w:val="16"/>
              </w:rPr>
            </w:pPr>
            <w:r w:rsidRPr="0028033B">
              <w:rPr>
                <w:rFonts w:cs="Calibri"/>
                <w:szCs w:val="16"/>
              </w:rPr>
              <w:t xml:space="preserve">Swine </w:t>
            </w:r>
          </w:p>
        </w:tc>
        <w:tc>
          <w:tcPr>
            <w:tcW w:w="3118" w:type="dxa"/>
          </w:tcPr>
          <w:p w14:paraId="52731623" w14:textId="77777777" w:rsidR="00E46639" w:rsidRPr="0028033B" w:rsidRDefault="00E46639" w:rsidP="00F16E23">
            <w:pPr>
              <w:pStyle w:val="TableText"/>
              <w:spacing w:before="40" w:after="30"/>
              <w:jc w:val="right"/>
              <w:rPr>
                <w:rFonts w:cs="Calibri"/>
                <w:szCs w:val="16"/>
              </w:rPr>
            </w:pPr>
            <w:r w:rsidRPr="0028033B">
              <w:rPr>
                <w:rFonts w:cs="Calibri"/>
                <w:szCs w:val="16"/>
              </w:rPr>
              <w:t>0</w:t>
            </w:r>
          </w:p>
        </w:tc>
      </w:tr>
      <w:tr w:rsidR="00E46639" w:rsidRPr="0028033B" w14:paraId="2C759595" w14:textId="77777777" w:rsidTr="008935BB">
        <w:trPr>
          <w:jc w:val="center"/>
        </w:trPr>
        <w:tc>
          <w:tcPr>
            <w:tcW w:w="2796" w:type="dxa"/>
          </w:tcPr>
          <w:p w14:paraId="3DF61639" w14:textId="77777777" w:rsidR="00E46639" w:rsidRPr="0028033B" w:rsidRDefault="00E46639" w:rsidP="00F16E23">
            <w:pPr>
              <w:pStyle w:val="TableText"/>
              <w:spacing w:before="40" w:after="30"/>
              <w:rPr>
                <w:rFonts w:cs="Calibri"/>
                <w:szCs w:val="16"/>
              </w:rPr>
            </w:pPr>
            <w:r w:rsidRPr="0028033B">
              <w:rPr>
                <w:rFonts w:cs="Calibri"/>
                <w:szCs w:val="16"/>
              </w:rPr>
              <w:t>Anaerobic digester</w:t>
            </w:r>
          </w:p>
        </w:tc>
        <w:tc>
          <w:tcPr>
            <w:tcW w:w="2591" w:type="dxa"/>
          </w:tcPr>
          <w:p w14:paraId="24BF677E"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118" w:type="dxa"/>
          </w:tcPr>
          <w:p w14:paraId="5DF21DFF" w14:textId="77777777" w:rsidR="00E46639" w:rsidRPr="0028033B" w:rsidRDefault="00E46639" w:rsidP="00F16E23">
            <w:pPr>
              <w:pStyle w:val="TableText"/>
              <w:spacing w:before="40" w:after="30"/>
              <w:jc w:val="right"/>
              <w:rPr>
                <w:rFonts w:cs="Calibri"/>
                <w:szCs w:val="16"/>
              </w:rPr>
            </w:pPr>
            <w:r w:rsidRPr="0028033B">
              <w:rPr>
                <w:rFonts w:cs="Calibri"/>
                <w:szCs w:val="16"/>
              </w:rPr>
              <w:t>0</w:t>
            </w:r>
          </w:p>
        </w:tc>
      </w:tr>
      <w:tr w:rsidR="00E46639" w:rsidRPr="0028033B" w14:paraId="40AAF21D" w14:textId="77777777" w:rsidTr="008935BB">
        <w:trPr>
          <w:jc w:val="center"/>
        </w:trPr>
        <w:tc>
          <w:tcPr>
            <w:tcW w:w="2796" w:type="dxa"/>
          </w:tcPr>
          <w:p w14:paraId="35F835B8" w14:textId="77777777" w:rsidR="00E46639" w:rsidRPr="0028033B" w:rsidRDefault="00E46639" w:rsidP="00F16E23">
            <w:pPr>
              <w:pStyle w:val="TableText"/>
              <w:spacing w:before="40" w:after="30"/>
              <w:rPr>
                <w:rFonts w:cs="Calibri"/>
                <w:szCs w:val="16"/>
              </w:rPr>
            </w:pPr>
            <w:r w:rsidRPr="0028033B">
              <w:rPr>
                <w:rFonts w:cs="Calibri"/>
                <w:szCs w:val="16"/>
              </w:rPr>
              <w:t>Deep bedding</w:t>
            </w:r>
          </w:p>
        </w:tc>
        <w:tc>
          <w:tcPr>
            <w:tcW w:w="2591" w:type="dxa"/>
          </w:tcPr>
          <w:p w14:paraId="0E319D5A"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118" w:type="dxa"/>
          </w:tcPr>
          <w:p w14:paraId="206E4071" w14:textId="77777777" w:rsidR="00E46639" w:rsidRPr="0028033B" w:rsidRDefault="00E46639" w:rsidP="00F16E23">
            <w:pPr>
              <w:pStyle w:val="TableText"/>
              <w:spacing w:before="40" w:after="30"/>
              <w:jc w:val="right"/>
              <w:rPr>
                <w:rFonts w:cs="Calibri"/>
                <w:szCs w:val="16"/>
              </w:rPr>
            </w:pPr>
            <w:r w:rsidRPr="0028033B">
              <w:rPr>
                <w:rFonts w:cs="Calibri"/>
                <w:szCs w:val="16"/>
              </w:rPr>
              <w:t>0.035</w:t>
            </w:r>
          </w:p>
        </w:tc>
      </w:tr>
      <w:tr w:rsidR="00E46639" w:rsidRPr="0028033B" w14:paraId="4C0D6C89" w14:textId="77777777" w:rsidTr="008935BB">
        <w:trPr>
          <w:jc w:val="center"/>
        </w:trPr>
        <w:tc>
          <w:tcPr>
            <w:tcW w:w="2796" w:type="dxa"/>
          </w:tcPr>
          <w:p w14:paraId="79170BD0" w14:textId="77777777" w:rsidR="00E46639" w:rsidRPr="0028033B" w:rsidRDefault="00E46639" w:rsidP="00F16E23">
            <w:pPr>
              <w:pStyle w:val="TableText"/>
              <w:spacing w:before="40" w:after="30"/>
              <w:rPr>
                <w:rFonts w:cs="Calibri"/>
                <w:szCs w:val="16"/>
              </w:rPr>
            </w:pPr>
            <w:r w:rsidRPr="0028033B">
              <w:rPr>
                <w:rFonts w:cs="Calibri"/>
                <w:szCs w:val="16"/>
              </w:rPr>
              <w:t>Composting passive windrow</w:t>
            </w:r>
          </w:p>
        </w:tc>
        <w:tc>
          <w:tcPr>
            <w:tcW w:w="2591" w:type="dxa"/>
          </w:tcPr>
          <w:p w14:paraId="042D1D22"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118" w:type="dxa"/>
          </w:tcPr>
          <w:p w14:paraId="51C34A7D" w14:textId="77777777" w:rsidR="00E46639" w:rsidRPr="0028033B" w:rsidRDefault="00E46639" w:rsidP="00F16E23">
            <w:pPr>
              <w:pStyle w:val="TableText"/>
              <w:spacing w:before="40" w:after="30"/>
              <w:jc w:val="right"/>
              <w:rPr>
                <w:rFonts w:cs="Calibri"/>
                <w:szCs w:val="16"/>
              </w:rPr>
            </w:pPr>
            <w:r w:rsidRPr="0028033B">
              <w:rPr>
                <w:rFonts w:cs="Calibri"/>
                <w:szCs w:val="16"/>
              </w:rPr>
              <w:t>0.04</w:t>
            </w:r>
          </w:p>
        </w:tc>
      </w:tr>
      <w:tr w:rsidR="00E46639" w:rsidRPr="0028033B" w14:paraId="76751C2E" w14:textId="77777777" w:rsidTr="008935BB">
        <w:trPr>
          <w:jc w:val="center"/>
        </w:trPr>
        <w:tc>
          <w:tcPr>
            <w:tcW w:w="2796" w:type="dxa"/>
          </w:tcPr>
          <w:p w14:paraId="3A09966B" w14:textId="77777777" w:rsidR="00E46639" w:rsidRPr="0028033B" w:rsidRDefault="00E46639" w:rsidP="00F16E23">
            <w:pPr>
              <w:pStyle w:val="TableText"/>
              <w:spacing w:before="40" w:after="30"/>
              <w:rPr>
                <w:rFonts w:cs="Calibri"/>
                <w:szCs w:val="16"/>
              </w:rPr>
            </w:pPr>
            <w:r w:rsidRPr="0028033B">
              <w:rPr>
                <w:rFonts w:cs="Calibri"/>
                <w:szCs w:val="16"/>
              </w:rPr>
              <w:t>Pit storage</w:t>
            </w:r>
          </w:p>
        </w:tc>
        <w:tc>
          <w:tcPr>
            <w:tcW w:w="2591" w:type="dxa"/>
          </w:tcPr>
          <w:p w14:paraId="1CDC47C3"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118" w:type="dxa"/>
          </w:tcPr>
          <w:p w14:paraId="49B9C2DB" w14:textId="77777777" w:rsidR="00E46639" w:rsidRPr="0028033B" w:rsidRDefault="00E46639" w:rsidP="00F16E23">
            <w:pPr>
              <w:pStyle w:val="TableText"/>
              <w:spacing w:before="40" w:after="30"/>
              <w:jc w:val="right"/>
              <w:rPr>
                <w:rFonts w:cs="Calibri"/>
                <w:szCs w:val="16"/>
              </w:rPr>
            </w:pPr>
            <w:r w:rsidRPr="0028033B">
              <w:rPr>
                <w:rFonts w:cs="Calibri"/>
                <w:szCs w:val="16"/>
              </w:rPr>
              <w:t>0</w:t>
            </w:r>
          </w:p>
        </w:tc>
      </w:tr>
      <w:tr w:rsidR="00E46639" w:rsidRPr="0028033B" w14:paraId="26C2D07A" w14:textId="77777777" w:rsidTr="008935BB">
        <w:trPr>
          <w:jc w:val="center"/>
        </w:trPr>
        <w:tc>
          <w:tcPr>
            <w:tcW w:w="2796" w:type="dxa"/>
            <w:vMerge w:val="restart"/>
            <w:vAlign w:val="center"/>
          </w:tcPr>
          <w:p w14:paraId="05C6FBA3" w14:textId="77777777" w:rsidR="00E46639" w:rsidRPr="0028033B" w:rsidRDefault="00E46639" w:rsidP="00F16E23">
            <w:pPr>
              <w:pStyle w:val="TableText"/>
              <w:spacing w:before="40" w:after="30"/>
              <w:rPr>
                <w:rFonts w:cs="Calibri"/>
                <w:szCs w:val="16"/>
              </w:rPr>
            </w:pPr>
            <w:r w:rsidRPr="0028033B">
              <w:rPr>
                <w:rFonts w:cs="Calibri"/>
                <w:szCs w:val="16"/>
              </w:rPr>
              <w:t>Other</w:t>
            </w:r>
          </w:p>
        </w:tc>
        <w:tc>
          <w:tcPr>
            <w:tcW w:w="2591" w:type="dxa"/>
          </w:tcPr>
          <w:p w14:paraId="3DB0577C" w14:textId="77777777" w:rsidR="00E46639" w:rsidRPr="0028033B" w:rsidRDefault="00E46639" w:rsidP="00F16E23">
            <w:pPr>
              <w:pStyle w:val="TableText"/>
              <w:spacing w:before="40" w:after="30"/>
              <w:rPr>
                <w:rFonts w:cs="Calibri"/>
                <w:szCs w:val="16"/>
              </w:rPr>
            </w:pPr>
            <w:r w:rsidRPr="0028033B">
              <w:rPr>
                <w:rFonts w:cs="Calibri"/>
                <w:szCs w:val="16"/>
              </w:rPr>
              <w:t>Swine</w:t>
            </w:r>
          </w:p>
        </w:tc>
        <w:tc>
          <w:tcPr>
            <w:tcW w:w="3118" w:type="dxa"/>
          </w:tcPr>
          <w:p w14:paraId="3118FD86" w14:textId="77777777" w:rsidR="00E46639" w:rsidRPr="0028033B" w:rsidRDefault="00E46639" w:rsidP="00F16E23">
            <w:pPr>
              <w:pStyle w:val="TableText"/>
              <w:spacing w:before="40" w:after="30"/>
              <w:jc w:val="right"/>
              <w:rPr>
                <w:rFonts w:cs="Calibri"/>
                <w:szCs w:val="16"/>
              </w:rPr>
            </w:pPr>
            <w:r w:rsidRPr="0028033B">
              <w:rPr>
                <w:rFonts w:cs="Calibri"/>
                <w:szCs w:val="16"/>
              </w:rPr>
              <w:t>0</w:t>
            </w:r>
          </w:p>
        </w:tc>
      </w:tr>
      <w:tr w:rsidR="00E46639" w:rsidRPr="0028033B" w14:paraId="662DB098" w14:textId="77777777" w:rsidTr="008935BB">
        <w:trPr>
          <w:jc w:val="center"/>
        </w:trPr>
        <w:tc>
          <w:tcPr>
            <w:tcW w:w="2796" w:type="dxa"/>
            <w:vMerge/>
          </w:tcPr>
          <w:p w14:paraId="1AC4A726" w14:textId="77777777" w:rsidR="00E46639" w:rsidRPr="0028033B" w:rsidRDefault="00E46639" w:rsidP="00F16E23">
            <w:pPr>
              <w:pStyle w:val="TableText"/>
              <w:spacing w:before="40" w:after="30"/>
              <w:rPr>
                <w:rFonts w:cs="Calibri"/>
                <w:szCs w:val="16"/>
              </w:rPr>
            </w:pPr>
          </w:p>
        </w:tc>
        <w:tc>
          <w:tcPr>
            <w:tcW w:w="2591" w:type="dxa"/>
          </w:tcPr>
          <w:p w14:paraId="054D1395" w14:textId="77777777" w:rsidR="00E46639" w:rsidRPr="0028033B" w:rsidRDefault="00E46639" w:rsidP="00F16E23">
            <w:pPr>
              <w:pStyle w:val="TableText"/>
              <w:spacing w:before="40" w:after="30"/>
              <w:rPr>
                <w:rFonts w:cs="Calibri"/>
                <w:szCs w:val="16"/>
              </w:rPr>
            </w:pPr>
            <w:r w:rsidRPr="0028033B">
              <w:rPr>
                <w:rFonts w:cs="Calibri"/>
                <w:szCs w:val="16"/>
              </w:rPr>
              <w:t>Poultry – broilers</w:t>
            </w:r>
          </w:p>
        </w:tc>
        <w:tc>
          <w:tcPr>
            <w:tcW w:w="3118" w:type="dxa"/>
          </w:tcPr>
          <w:p w14:paraId="78F4E622" w14:textId="77777777" w:rsidR="00E46639" w:rsidRPr="0028033B" w:rsidRDefault="00E46639" w:rsidP="00F16E23">
            <w:pPr>
              <w:pStyle w:val="TableText"/>
              <w:spacing w:before="40" w:after="30"/>
              <w:jc w:val="right"/>
              <w:rPr>
                <w:rFonts w:cs="Calibri"/>
                <w:szCs w:val="16"/>
              </w:rPr>
            </w:pPr>
            <w:r w:rsidRPr="0028033B">
              <w:rPr>
                <w:rFonts w:cs="Calibri"/>
                <w:szCs w:val="16"/>
              </w:rPr>
              <w:t>0</w:t>
            </w:r>
          </w:p>
        </w:tc>
      </w:tr>
      <w:tr w:rsidR="00E46639" w:rsidRPr="0028033B" w14:paraId="4DD98D45" w14:textId="77777777" w:rsidTr="008935BB">
        <w:trPr>
          <w:jc w:val="center"/>
        </w:trPr>
        <w:tc>
          <w:tcPr>
            <w:tcW w:w="2796" w:type="dxa"/>
            <w:vMerge/>
          </w:tcPr>
          <w:p w14:paraId="01DC9602" w14:textId="77777777" w:rsidR="00E46639" w:rsidRPr="0028033B" w:rsidRDefault="00E46639" w:rsidP="00F16E23">
            <w:pPr>
              <w:pStyle w:val="TableText"/>
              <w:spacing w:before="40" w:after="30"/>
              <w:rPr>
                <w:rFonts w:cs="Calibri"/>
                <w:szCs w:val="16"/>
              </w:rPr>
            </w:pPr>
          </w:p>
        </w:tc>
        <w:tc>
          <w:tcPr>
            <w:tcW w:w="2591" w:type="dxa"/>
          </w:tcPr>
          <w:p w14:paraId="06737597" w14:textId="77777777" w:rsidR="00E46639" w:rsidRPr="0028033B" w:rsidRDefault="00E46639" w:rsidP="00F16E23">
            <w:pPr>
              <w:pStyle w:val="TableText"/>
              <w:spacing w:before="40" w:after="30"/>
              <w:rPr>
                <w:rFonts w:cs="Calibri"/>
                <w:szCs w:val="16"/>
              </w:rPr>
            </w:pPr>
            <w:r w:rsidRPr="0028033B">
              <w:rPr>
                <w:rFonts w:cs="Calibri"/>
                <w:szCs w:val="16"/>
              </w:rPr>
              <w:t xml:space="preserve">Poultry – layers </w:t>
            </w:r>
          </w:p>
        </w:tc>
        <w:tc>
          <w:tcPr>
            <w:tcW w:w="3118" w:type="dxa"/>
          </w:tcPr>
          <w:p w14:paraId="1672D171" w14:textId="77777777" w:rsidR="00E46639" w:rsidRPr="0028033B" w:rsidRDefault="00E46639" w:rsidP="00F16E23">
            <w:pPr>
              <w:pStyle w:val="TableText"/>
              <w:spacing w:before="40" w:after="30"/>
              <w:jc w:val="right"/>
              <w:rPr>
                <w:rFonts w:cs="Calibri"/>
                <w:szCs w:val="16"/>
              </w:rPr>
            </w:pPr>
            <w:r w:rsidRPr="0028033B">
              <w:rPr>
                <w:rFonts w:cs="Calibri"/>
                <w:szCs w:val="16"/>
              </w:rPr>
              <w:t>0</w:t>
            </w:r>
          </w:p>
        </w:tc>
      </w:tr>
      <w:tr w:rsidR="00E46639" w:rsidRPr="0028033B" w14:paraId="73F133E4" w14:textId="77777777" w:rsidTr="008935BB">
        <w:trPr>
          <w:jc w:val="center"/>
        </w:trPr>
        <w:tc>
          <w:tcPr>
            <w:tcW w:w="2796" w:type="dxa"/>
            <w:vMerge/>
          </w:tcPr>
          <w:p w14:paraId="2E0D679F" w14:textId="77777777" w:rsidR="00E46639" w:rsidRPr="0028033B" w:rsidRDefault="00E46639" w:rsidP="00F16E23">
            <w:pPr>
              <w:pStyle w:val="TableText"/>
              <w:spacing w:before="40" w:after="30"/>
              <w:rPr>
                <w:rFonts w:cs="Calibri"/>
                <w:szCs w:val="16"/>
              </w:rPr>
            </w:pPr>
          </w:p>
        </w:tc>
        <w:tc>
          <w:tcPr>
            <w:tcW w:w="2591" w:type="dxa"/>
          </w:tcPr>
          <w:p w14:paraId="534D0EEF" w14:textId="77777777" w:rsidR="00E46639" w:rsidRPr="0028033B" w:rsidRDefault="00E46639" w:rsidP="00F16E23">
            <w:pPr>
              <w:pStyle w:val="TableText"/>
              <w:spacing w:before="40" w:after="30"/>
              <w:rPr>
                <w:rFonts w:cs="Calibri"/>
                <w:szCs w:val="16"/>
              </w:rPr>
            </w:pPr>
            <w:r w:rsidRPr="0028033B">
              <w:rPr>
                <w:rFonts w:cs="Calibri"/>
                <w:szCs w:val="16"/>
              </w:rPr>
              <w:t xml:space="preserve">Poultry – other </w:t>
            </w:r>
          </w:p>
        </w:tc>
        <w:tc>
          <w:tcPr>
            <w:tcW w:w="3118" w:type="dxa"/>
          </w:tcPr>
          <w:p w14:paraId="4E42CE4D" w14:textId="77777777" w:rsidR="00E46639" w:rsidRPr="0028033B" w:rsidRDefault="00E46639" w:rsidP="00F16E23">
            <w:pPr>
              <w:pStyle w:val="TableText"/>
              <w:spacing w:before="40" w:after="30"/>
              <w:jc w:val="right"/>
              <w:rPr>
                <w:rFonts w:cs="Calibri"/>
                <w:szCs w:val="16"/>
              </w:rPr>
            </w:pPr>
            <w:r w:rsidRPr="0028033B">
              <w:rPr>
                <w:rFonts w:cs="Calibri"/>
                <w:szCs w:val="16"/>
              </w:rPr>
              <w:t>0</w:t>
            </w:r>
          </w:p>
        </w:tc>
      </w:tr>
    </w:tbl>
    <w:p w14:paraId="07609C74" w14:textId="77777777" w:rsidR="00E46639" w:rsidRPr="0028033B" w:rsidRDefault="00E46639" w:rsidP="00E46639">
      <w:pPr>
        <w:pStyle w:val="Source"/>
      </w:pPr>
      <w:r w:rsidRPr="0028033B">
        <w:rPr>
          <w:b/>
          <w:szCs w:val="24"/>
        </w:rPr>
        <w:t xml:space="preserve">Source: </w:t>
      </w:r>
      <w:r w:rsidRPr="0028033B">
        <w:rPr>
          <w:b/>
        </w:rPr>
        <w:tab/>
      </w:r>
      <w:r w:rsidRPr="0028033B">
        <w:t>IPCC (2019) table 10.22</w:t>
      </w:r>
    </w:p>
    <w:p w14:paraId="205ED3E7" w14:textId="77777777" w:rsidR="00E46639" w:rsidRPr="0028033B" w:rsidRDefault="00E46639" w:rsidP="00E46639">
      <w:pPr>
        <w:pStyle w:val="Heading3"/>
        <w:spacing w:before="320"/>
      </w:pPr>
      <w:r w:rsidRPr="0028033B">
        <w:t>5.3.3</w:t>
      </w:r>
      <w:r w:rsidRPr="0028033B">
        <w:tab/>
      </w:r>
      <w:bookmarkStart w:id="1011" w:name="_Toc32570660"/>
      <w:r w:rsidRPr="0028033B">
        <w:t>Uncertainty assessment and time-series consistency</w:t>
      </w:r>
      <w:bookmarkEnd w:id="1011"/>
    </w:p>
    <w:p w14:paraId="70F3FC83" w14:textId="198B5922" w:rsidR="00E46639" w:rsidRPr="0028033B" w:rsidRDefault="00E46639" w:rsidP="00E46639">
      <w:pPr>
        <w:pStyle w:val="BodyText"/>
        <w:spacing w:before="100"/>
      </w:pPr>
      <w:r w:rsidRPr="0028033B">
        <w:t>To ensure consistency, a single enhanced livestock population characterisation and feed-intake</w:t>
      </w:r>
      <w:r w:rsidR="00DD3B4A">
        <w:t> </w:t>
      </w:r>
      <w:r w:rsidRPr="0028033B">
        <w:t>estimate is produced by the Tier 2 model for the major livestock categories. It is used in</w:t>
      </w:r>
      <w:r w:rsidR="00DD3B4A">
        <w:t> </w:t>
      </w:r>
      <w:r w:rsidRPr="0028033B">
        <w:t>different parts of the calculations to estimate CH</w:t>
      </w:r>
      <w:r w:rsidRPr="0028033B">
        <w:rPr>
          <w:vertAlign w:val="subscript"/>
        </w:rPr>
        <w:t>4</w:t>
      </w:r>
      <w:r w:rsidRPr="0028033B">
        <w:t xml:space="preserve"> emissions for the </w:t>
      </w:r>
      <w:r w:rsidRPr="0028033B">
        <w:rPr>
          <w:i/>
          <w:iCs/>
        </w:rPr>
        <w:t>Enteric fermentation</w:t>
      </w:r>
      <w:r w:rsidRPr="0028033B">
        <w:t xml:space="preserve"> category, CH</w:t>
      </w:r>
      <w:r w:rsidRPr="0028033B">
        <w:rPr>
          <w:vertAlign w:val="subscript"/>
        </w:rPr>
        <w:t>4</w:t>
      </w:r>
      <w:r w:rsidRPr="0028033B">
        <w:t xml:space="preserve"> and N</w:t>
      </w:r>
      <w:r w:rsidRPr="0028033B">
        <w:rPr>
          <w:vertAlign w:val="subscript"/>
        </w:rPr>
        <w:t>2</w:t>
      </w:r>
      <w:r w:rsidRPr="0028033B">
        <w:t xml:space="preserve">O emissions for the </w:t>
      </w:r>
      <w:r w:rsidRPr="0028033B">
        <w:rPr>
          <w:i/>
          <w:iCs/>
        </w:rPr>
        <w:t>Manure management</w:t>
      </w:r>
      <w:r w:rsidRPr="0028033B">
        <w:t xml:space="preserve"> category and N</w:t>
      </w:r>
      <w:r w:rsidRPr="0028033B">
        <w:rPr>
          <w:vertAlign w:val="subscript"/>
        </w:rPr>
        <w:t>2</w:t>
      </w:r>
      <w:r w:rsidRPr="0028033B">
        <w:t xml:space="preserve">O emissions for the </w:t>
      </w:r>
      <w:r w:rsidRPr="0028033B">
        <w:rPr>
          <w:i/>
          <w:iCs/>
        </w:rPr>
        <w:t>Agricultural soils</w:t>
      </w:r>
      <w:r w:rsidRPr="0028033B">
        <w:t xml:space="preserve"> category.</w:t>
      </w:r>
    </w:p>
    <w:p w14:paraId="5B2B2540" w14:textId="77777777" w:rsidR="00E46639" w:rsidRPr="0028033B" w:rsidRDefault="00E46639" w:rsidP="00E46639">
      <w:pPr>
        <w:pStyle w:val="Heading4"/>
        <w:spacing w:before="200"/>
      </w:pPr>
      <w:r w:rsidRPr="0028033B">
        <w:t xml:space="preserve">Methane emissions </w:t>
      </w:r>
    </w:p>
    <w:p w14:paraId="2140E53D" w14:textId="77777777" w:rsidR="00E46639" w:rsidRPr="0028033B" w:rsidRDefault="00E46639" w:rsidP="00E46639">
      <w:pPr>
        <w:pStyle w:val="BodyText"/>
        <w:keepLines/>
        <w:spacing w:before="100" w:after="100"/>
        <w:rPr>
          <w:rFonts w:cs="Calibri"/>
        </w:rPr>
      </w:pPr>
      <w:r w:rsidRPr="0028033B">
        <w:rPr>
          <w:rFonts w:cs="Calibri"/>
        </w:rPr>
        <w:t>The major sources of uncertainty in CH</w:t>
      </w:r>
      <w:r w:rsidRPr="0028033B">
        <w:rPr>
          <w:rFonts w:cs="Calibri"/>
          <w:vertAlign w:val="subscript"/>
        </w:rPr>
        <w:t>4</w:t>
      </w:r>
      <w:r w:rsidRPr="0028033B">
        <w:rPr>
          <w:rFonts w:cs="Calibri"/>
        </w:rPr>
        <w:t xml:space="preserve"> emissions from </w:t>
      </w:r>
      <w:r w:rsidRPr="0028033B">
        <w:rPr>
          <w:rFonts w:cs="Calibri"/>
          <w:i/>
          <w:iCs/>
        </w:rPr>
        <w:t>Manure management</w:t>
      </w:r>
      <w:r w:rsidRPr="0028033B">
        <w:rPr>
          <w:rFonts w:cs="Calibri"/>
        </w:rPr>
        <w:t xml:space="preserve"> are the accuracy of emission factors for manure management system distribution, livestock population numbers, and the classification and use of the various manure management systems (IPCC, 2006). The ranges for measured emissions for the major livestock categories have been stated where available. </w:t>
      </w:r>
    </w:p>
    <w:p w14:paraId="51A71898" w14:textId="77777777" w:rsidR="00E46639" w:rsidRPr="0028033B" w:rsidRDefault="00E46639" w:rsidP="00E46639">
      <w:pPr>
        <w:pStyle w:val="BodyText"/>
        <w:spacing w:before="100" w:after="100"/>
        <w:rPr>
          <w:rFonts w:cs="Calibri"/>
        </w:rPr>
      </w:pPr>
      <w:r w:rsidRPr="0028033B">
        <w:rPr>
          <w:rFonts w:cs="Calibri"/>
          <w:spacing w:val="-2"/>
        </w:rPr>
        <w:t xml:space="preserve">The IPCC (2006) states that emission factor estimates are likely to have </w:t>
      </w:r>
      <w:r w:rsidRPr="0028033B">
        <w:rPr>
          <w:rFonts w:cs="Calibri"/>
          <w:color w:val="000000" w:themeColor="text1"/>
          <w:spacing w:val="-2"/>
        </w:rPr>
        <w:t xml:space="preserve">uncertainties </w:t>
      </w:r>
      <w:r w:rsidRPr="0028033B">
        <w:rPr>
          <w:rFonts w:cs="Calibri"/>
          <w:spacing w:val="-2"/>
        </w:rPr>
        <w:t>of ±30 percent</w:t>
      </w:r>
      <w:r w:rsidRPr="0028033B">
        <w:rPr>
          <w:rFonts w:cs="Calibri"/>
        </w:rPr>
        <w:t xml:space="preserve"> for Tier 1 methodologies and ±20 percent for Tier 2 methodologies. </w:t>
      </w:r>
      <w:r w:rsidRPr="0028033B">
        <w:t>New Zealand</w:t>
      </w:r>
      <w:r w:rsidRPr="0028033B">
        <w:rPr>
          <w:rFonts w:cs="Calibri"/>
        </w:rPr>
        <w:t xml:space="preserve"> </w:t>
      </w:r>
      <w:r w:rsidRPr="0028033B">
        <w:rPr>
          <w:rFonts w:cs="Calibri"/>
          <w:spacing w:val="-2"/>
        </w:rPr>
        <w:t>does not currently have country-specific uncertainty values for CH</w:t>
      </w:r>
      <w:r w:rsidRPr="0028033B">
        <w:rPr>
          <w:rFonts w:cs="Calibri"/>
          <w:spacing w:val="-2"/>
          <w:vertAlign w:val="subscript"/>
        </w:rPr>
        <w:t>4</w:t>
      </w:r>
      <w:r w:rsidRPr="0028033B">
        <w:rPr>
          <w:rFonts w:cs="Calibri"/>
          <w:spacing w:val="-2"/>
        </w:rPr>
        <w:t xml:space="preserve"> from </w:t>
      </w:r>
      <w:r w:rsidRPr="0028033B">
        <w:rPr>
          <w:rFonts w:cs="Calibri"/>
          <w:i/>
          <w:iCs/>
          <w:spacing w:val="-2"/>
        </w:rPr>
        <w:t>Manure</w:t>
      </w:r>
      <w:r w:rsidRPr="0028033B">
        <w:rPr>
          <w:i/>
          <w:spacing w:val="-2"/>
        </w:rPr>
        <w:t xml:space="preserve"> management</w:t>
      </w:r>
      <w:r w:rsidRPr="0028033B">
        <w:rPr>
          <w:rFonts w:cs="Calibri"/>
          <w:spacing w:val="-2"/>
        </w:rPr>
        <w:t>.</w:t>
      </w:r>
      <w:r w:rsidRPr="0028033B">
        <w:rPr>
          <w:rFonts w:cs="Calibri"/>
        </w:rPr>
        <w:t xml:space="preserve"> Because around 95 percent of CH</w:t>
      </w:r>
      <w:r w:rsidRPr="0028033B">
        <w:rPr>
          <w:rFonts w:cs="Calibri"/>
          <w:vertAlign w:val="subscript"/>
        </w:rPr>
        <w:t>4</w:t>
      </w:r>
      <w:r w:rsidRPr="0028033B">
        <w:rPr>
          <w:rFonts w:cs="Calibri"/>
        </w:rPr>
        <w:t xml:space="preserve"> from </w:t>
      </w:r>
      <w:r w:rsidRPr="0028033B">
        <w:rPr>
          <w:rFonts w:cs="Calibri"/>
          <w:i/>
          <w:iCs/>
        </w:rPr>
        <w:t>Manure management</w:t>
      </w:r>
      <w:r w:rsidRPr="0028033B">
        <w:rPr>
          <w:rFonts w:cs="Calibri"/>
        </w:rPr>
        <w:t xml:space="preserve"> is calculated using Tier 2 methodologies, an uncertainty value of ±20 percent has been used instead for the Tier 1 </w:t>
      </w:r>
      <w:r w:rsidRPr="0028033B">
        <w:rPr>
          <w:rFonts w:cs="Calibri"/>
          <w:i/>
          <w:iCs/>
        </w:rPr>
        <w:t xml:space="preserve">Manure management </w:t>
      </w:r>
      <w:r w:rsidRPr="0028033B">
        <w:rPr>
          <w:rFonts w:cs="Calibri"/>
        </w:rPr>
        <w:t>CH</w:t>
      </w:r>
      <w:r w:rsidRPr="0028033B">
        <w:rPr>
          <w:rFonts w:cs="Calibri"/>
          <w:vertAlign w:val="subscript"/>
        </w:rPr>
        <w:t>4</w:t>
      </w:r>
      <w:r w:rsidRPr="0028033B">
        <w:rPr>
          <w:rFonts w:cs="Calibri"/>
        </w:rPr>
        <w:t xml:space="preserve"> emissions uncertainty value. </w:t>
      </w:r>
    </w:p>
    <w:p w14:paraId="12676B58" w14:textId="77777777" w:rsidR="00E46639" w:rsidRPr="0028033B" w:rsidRDefault="00E46639" w:rsidP="00E46639">
      <w:pPr>
        <w:pStyle w:val="BodyText"/>
        <w:spacing w:before="100" w:after="100"/>
        <w:rPr>
          <w:rFonts w:cs="Calibri"/>
        </w:rPr>
      </w:pPr>
      <w:r w:rsidRPr="0028033B">
        <w:rPr>
          <w:rFonts w:cs="Calibri"/>
          <w:spacing w:val="-2"/>
        </w:rPr>
        <w:t>Uncertainties for the livestock characterisation are also discussed in section 5.1.4 and volume 2,</w:t>
      </w:r>
      <w:r w:rsidRPr="0028033B">
        <w:rPr>
          <w:rFonts w:cs="Calibri"/>
        </w:rPr>
        <w:t xml:space="preserve"> annex 5, section A5.1.1. </w:t>
      </w:r>
    </w:p>
    <w:p w14:paraId="248DC691" w14:textId="77777777" w:rsidR="00E46639" w:rsidRPr="0028033B" w:rsidRDefault="00E46639" w:rsidP="00E46639">
      <w:pPr>
        <w:pStyle w:val="Heading4"/>
        <w:spacing w:before="200"/>
      </w:pPr>
      <w:r w:rsidRPr="0028033B">
        <w:t>Nitrous oxide emissions</w:t>
      </w:r>
    </w:p>
    <w:p w14:paraId="6E0779F8" w14:textId="77777777" w:rsidR="00E46639" w:rsidRPr="0028033B" w:rsidRDefault="00E46639" w:rsidP="00E46639">
      <w:pPr>
        <w:pStyle w:val="BodyText"/>
        <w:spacing w:before="100" w:after="100"/>
        <w:rPr>
          <w:rFonts w:cs="Calibri"/>
        </w:rPr>
      </w:pPr>
      <w:r w:rsidRPr="0028033B">
        <w:rPr>
          <w:rFonts w:cs="Calibri"/>
        </w:rPr>
        <w:t xml:space="preserve">The main factors causing uncertainty in direct and indirect </w:t>
      </w:r>
      <w:r w:rsidRPr="0028033B">
        <w:t>N</w:t>
      </w:r>
      <w:r w:rsidRPr="0028033B">
        <w:rPr>
          <w:vertAlign w:val="subscript"/>
        </w:rPr>
        <w:t>2</w:t>
      </w:r>
      <w:r w:rsidRPr="0028033B">
        <w:t>O</w:t>
      </w:r>
      <w:r w:rsidRPr="0028033B">
        <w:rPr>
          <w:rFonts w:cs="Calibri"/>
        </w:rPr>
        <w:t xml:space="preserve"> emissions from manure management are the N</w:t>
      </w:r>
      <w:r w:rsidRPr="0028033B">
        <w:rPr>
          <w:rFonts w:cs="Calibri"/>
          <w:vertAlign w:val="subscript"/>
        </w:rPr>
        <w:t>ex</w:t>
      </w:r>
      <w:r w:rsidRPr="0028033B">
        <w:rPr>
          <w:rFonts w:cs="Calibri"/>
        </w:rPr>
        <w:t xml:space="preserve"> rates, the emission factors for manure and manure management systems, activity data on the livestock population, and the classification and use of the various manure management systems (IPCC, 2006). </w:t>
      </w:r>
    </w:p>
    <w:p w14:paraId="2FDF225F" w14:textId="77777777" w:rsidR="00E46639" w:rsidRPr="0028033B" w:rsidRDefault="00E46639" w:rsidP="00E46639">
      <w:pPr>
        <w:pStyle w:val="BodyText"/>
        <w:spacing w:before="100" w:after="100"/>
        <w:rPr>
          <w:rFonts w:cs="Calibri"/>
        </w:rPr>
      </w:pPr>
      <w:r w:rsidRPr="0028033B">
        <w:rPr>
          <w:rFonts w:cs="Calibri"/>
        </w:rPr>
        <w:t>Uncertainty ranges for the default N</w:t>
      </w:r>
      <w:r w:rsidRPr="0028033B">
        <w:rPr>
          <w:rFonts w:cs="Calibri"/>
          <w:vertAlign w:val="subscript"/>
        </w:rPr>
        <w:t>ex</w:t>
      </w:r>
      <w:r w:rsidRPr="0028033B">
        <w:rPr>
          <w:rFonts w:cs="Calibri"/>
        </w:rPr>
        <w:t xml:space="preserve"> values are estimated at about ±50 percent (IPCC, 2006) and may be substantially smaller for the values for the livestock whose N</w:t>
      </w:r>
      <w:r w:rsidRPr="0028033B">
        <w:rPr>
          <w:rFonts w:cs="Calibri"/>
          <w:vertAlign w:val="subscript"/>
        </w:rPr>
        <w:t>ex</w:t>
      </w:r>
      <w:r w:rsidRPr="0028033B">
        <w:rPr>
          <w:rFonts w:cs="Calibri"/>
        </w:rPr>
        <w:t xml:space="preserve"> rates were derived from in-country statistics on productivity. </w:t>
      </w:r>
      <w:r w:rsidRPr="0028033B">
        <w:t>New Zealand</w:t>
      </w:r>
      <w:r w:rsidRPr="0028033B">
        <w:rPr>
          <w:rFonts w:cs="Calibri"/>
        </w:rPr>
        <w:t xml:space="preserve"> uses the default values for EF</w:t>
      </w:r>
      <w:r w:rsidRPr="0028033B">
        <w:rPr>
          <w:rFonts w:cs="Calibri"/>
          <w:vertAlign w:val="subscript"/>
        </w:rPr>
        <w:t>3,PRP</w:t>
      </w:r>
      <w:r w:rsidRPr="0028033B">
        <w:rPr>
          <w:rFonts w:cs="Calibri"/>
        </w:rPr>
        <w:t xml:space="preserve"> for direct </w:t>
      </w:r>
      <w:r w:rsidRPr="0028033B">
        <w:t>N</w:t>
      </w:r>
      <w:r w:rsidRPr="0028033B">
        <w:rPr>
          <w:vertAlign w:val="subscript"/>
        </w:rPr>
        <w:t>2</w:t>
      </w:r>
      <w:r w:rsidRPr="0028033B">
        <w:t>O</w:t>
      </w:r>
      <w:r w:rsidRPr="0028033B">
        <w:rPr>
          <w:rFonts w:cs="Calibri"/>
        </w:rPr>
        <w:t xml:space="preserve"> emissions from the manure management of swine and poultry, which have uncertainties ranging from -50 percent to +100 percent (IPCC, 2006, table 10.21). An uncertainty value range of ±100 percent has been used for the </w:t>
      </w:r>
      <w:r w:rsidRPr="0028033B">
        <w:rPr>
          <w:rFonts w:cs="Calibri"/>
          <w:i/>
          <w:iCs/>
        </w:rPr>
        <w:t>Manure management</w:t>
      </w:r>
      <w:r w:rsidRPr="0028033B">
        <w:rPr>
          <w:rFonts w:cs="Calibri"/>
        </w:rPr>
        <w:t xml:space="preserve"> </w:t>
      </w:r>
      <w:r w:rsidRPr="0028033B">
        <w:t>N</w:t>
      </w:r>
      <w:r w:rsidRPr="0028033B">
        <w:rPr>
          <w:vertAlign w:val="subscript"/>
        </w:rPr>
        <w:t>2</w:t>
      </w:r>
      <w:r w:rsidRPr="0028033B">
        <w:t>O</w:t>
      </w:r>
      <w:r w:rsidRPr="0028033B">
        <w:rPr>
          <w:rFonts w:cs="Calibri"/>
        </w:rPr>
        <w:t xml:space="preserve"> emissions uncertainty (Giltrap et al., 2016).</w:t>
      </w:r>
    </w:p>
    <w:p w14:paraId="1E3652FB" w14:textId="77777777" w:rsidR="00E46639" w:rsidRPr="0028033B" w:rsidRDefault="00E46639" w:rsidP="00E46639">
      <w:pPr>
        <w:pStyle w:val="BodyText"/>
      </w:pPr>
      <w:r w:rsidRPr="0028033B">
        <w:t xml:space="preserve">As above, uncertainties for the livestock characterisation are discussed in section 5.1.4 and volume 2, annex 5, section A5.1.1. </w:t>
      </w:r>
    </w:p>
    <w:p w14:paraId="251A3111" w14:textId="77777777" w:rsidR="00E46639" w:rsidRPr="0028033B" w:rsidRDefault="00E46639" w:rsidP="00E46639">
      <w:pPr>
        <w:pStyle w:val="Heading3"/>
      </w:pPr>
      <w:bookmarkStart w:id="1012" w:name="_Toc139253927"/>
      <w:bookmarkStart w:id="1013" w:name="_Toc32570661"/>
      <w:r w:rsidRPr="0028033B">
        <w:t>5.3.4</w:t>
      </w:r>
      <w:r w:rsidRPr="0028033B">
        <w:tab/>
        <w:t>Category-specific QA/QC and verification</w:t>
      </w:r>
      <w:bookmarkEnd w:id="1012"/>
      <w:bookmarkEnd w:id="1013"/>
    </w:p>
    <w:p w14:paraId="78D91065" w14:textId="77777777" w:rsidR="00E46639" w:rsidRPr="0028033B" w:rsidRDefault="00E46639" w:rsidP="00E46639">
      <w:pPr>
        <w:pStyle w:val="BodyText"/>
      </w:pPr>
      <w:r w:rsidRPr="0028033B">
        <w:t xml:space="preserve">Methane from </w:t>
      </w:r>
      <w:r w:rsidRPr="0028033B">
        <w:rPr>
          <w:i/>
          <w:iCs/>
        </w:rPr>
        <w:t>Manure management</w:t>
      </w:r>
      <w:r w:rsidRPr="0028033B">
        <w:t xml:space="preserve"> from </w:t>
      </w:r>
      <w:r w:rsidRPr="0028033B">
        <w:rPr>
          <w:i/>
          <w:iCs/>
        </w:rPr>
        <w:t>Dairy</w:t>
      </w:r>
      <w:r w:rsidRPr="0028033B">
        <w:rPr>
          <w:i/>
        </w:rPr>
        <w:t xml:space="preserve"> cattle</w:t>
      </w:r>
      <w:r w:rsidRPr="0028033B">
        <w:t xml:space="preserve"> was identified as a key category for </w:t>
      </w:r>
      <w:r w:rsidRPr="0028033B" w:rsidDel="00003643">
        <w:t>New</w:t>
      </w:r>
      <w:r w:rsidRPr="0028033B">
        <w:t xml:space="preserve"> Zealand in the 2024 level and trend assessment. Methane from </w:t>
      </w:r>
      <w:r w:rsidRPr="0028033B">
        <w:rPr>
          <w:i/>
          <w:iCs/>
        </w:rPr>
        <w:t>Manure management</w:t>
      </w:r>
      <w:r w:rsidRPr="0028033B">
        <w:t xml:space="preserve"> from </w:t>
      </w:r>
      <w:r w:rsidRPr="0028033B">
        <w:rPr>
          <w:i/>
          <w:iCs/>
        </w:rPr>
        <w:t>Sheep</w:t>
      </w:r>
      <w:r w:rsidRPr="0028033B">
        <w:t xml:space="preserve"> was identified as a key category for New Zealand in the 2024 trend assessment.</w:t>
      </w:r>
    </w:p>
    <w:p w14:paraId="3A56EDE0" w14:textId="77777777" w:rsidR="00E46639" w:rsidRPr="0028033B" w:rsidRDefault="00E46639" w:rsidP="00E46639">
      <w:pPr>
        <w:pStyle w:val="BodyText"/>
      </w:pPr>
      <w:r w:rsidRPr="0028033B">
        <w:t>In the preparation of this inventory submission, the data for this category underwent Tier 1 and Tier 2 quality checks.</w:t>
      </w:r>
    </w:p>
    <w:p w14:paraId="33F07587" w14:textId="77777777" w:rsidR="00E46639" w:rsidRPr="0028033B" w:rsidRDefault="00E46639" w:rsidP="00E46639">
      <w:pPr>
        <w:pStyle w:val="BodyText"/>
      </w:pPr>
      <w:r w:rsidRPr="0028033B">
        <w:t xml:space="preserve">Table 5.3.12 shows a comparison of the </w:t>
      </w:r>
      <w:r w:rsidRPr="0028033B" w:rsidDel="00003643">
        <w:t xml:space="preserve">New </w:t>
      </w:r>
      <w:r w:rsidRPr="0028033B">
        <w:t>Zealand-specific 2024 IEF for CH</w:t>
      </w:r>
      <w:r w:rsidRPr="0028033B">
        <w:rPr>
          <w:vertAlign w:val="subscript"/>
        </w:rPr>
        <w:t>4</w:t>
      </w:r>
      <w:r w:rsidRPr="0028033B">
        <w:t xml:space="preserve"> from </w:t>
      </w:r>
      <w:r w:rsidRPr="0028033B">
        <w:rPr>
          <w:i/>
          <w:iCs/>
        </w:rPr>
        <w:t>Manure management</w:t>
      </w:r>
      <w:r w:rsidRPr="0028033B">
        <w:t xml:space="preserve"> with the IPCC (2006) Tier 1 Oceania default, the IPCC Tier 2 net energy-based value and the 2023 Australian-specific IEF for </w:t>
      </w:r>
      <w:r w:rsidRPr="0028033B">
        <w:rPr>
          <w:i/>
          <w:iCs/>
        </w:rPr>
        <w:t>Dairy cattle</w:t>
      </w:r>
      <w:r w:rsidRPr="0028033B">
        <w:t xml:space="preserve">, </w:t>
      </w:r>
      <w:r w:rsidRPr="0028033B">
        <w:rPr>
          <w:i/>
          <w:iCs/>
        </w:rPr>
        <w:t>Non-dairy cattle</w:t>
      </w:r>
      <w:r w:rsidRPr="0028033B">
        <w:t xml:space="preserve"> and </w:t>
      </w:r>
      <w:r w:rsidRPr="0028033B">
        <w:rPr>
          <w:i/>
          <w:iCs/>
        </w:rPr>
        <w:t xml:space="preserve">Sheep </w:t>
      </w:r>
      <w:r w:rsidRPr="0028033B">
        <w:t>(Australian Government, 2025a). The IPCC Tier 2 value was determined from net energy equations to determine gross energy for each of New Zealand’s major livestock categories. This information is then used to determine volatile solid excretion and the annual CH</w:t>
      </w:r>
      <w:r w:rsidRPr="0028033B">
        <w:rPr>
          <w:vertAlign w:val="subscript"/>
        </w:rPr>
        <w:t>4</w:t>
      </w:r>
      <w:r w:rsidRPr="0028033B">
        <w:t xml:space="preserve"> emission factors for each livestock category, as per the equations described in the 2006 IPCC Guidelines (i.e., equations 10.16, 10.23 and 10.24, IPCC, 2006).</w:t>
      </w:r>
    </w:p>
    <w:p w14:paraId="2AD99D00" w14:textId="77777777" w:rsidR="00E46639" w:rsidRPr="0028033B" w:rsidRDefault="00E46639" w:rsidP="00E46639">
      <w:pPr>
        <w:pStyle w:val="BodyText"/>
      </w:pPr>
      <w:r w:rsidRPr="0028033B">
        <w:t>New Zealand has lower IEFs for CH</w:t>
      </w:r>
      <w:r w:rsidRPr="0028033B">
        <w:rPr>
          <w:vertAlign w:val="subscript"/>
        </w:rPr>
        <w:t>4</w:t>
      </w:r>
      <w:r w:rsidRPr="0028033B">
        <w:t xml:space="preserve"> from </w:t>
      </w:r>
      <w:r w:rsidRPr="0028033B">
        <w:rPr>
          <w:i/>
          <w:iCs/>
        </w:rPr>
        <w:t>Manure management</w:t>
      </w:r>
      <w:r w:rsidRPr="0028033B">
        <w:t xml:space="preserve"> for dairy cattle, non-dairy cattle and sheep than the IPCC Tier 1 Oceania default emission factors. New Zealand has higher IEFs for dairy and non-dairy cattle and a lower IEF for sheep than the IPCC Tier 2 net energy-based emission factors. Additionally, </w:t>
      </w:r>
      <w:r w:rsidRPr="0028033B" w:rsidDel="00A124AE">
        <w:t xml:space="preserve">New </w:t>
      </w:r>
      <w:r w:rsidRPr="0028033B">
        <w:t>Zealand has lower dairy and non-dairy IEFs for CH</w:t>
      </w:r>
      <w:r w:rsidRPr="0028033B">
        <w:rPr>
          <w:vertAlign w:val="subscript"/>
        </w:rPr>
        <w:t>4</w:t>
      </w:r>
      <w:r w:rsidRPr="0028033B">
        <w:t xml:space="preserve"> from </w:t>
      </w:r>
      <w:r w:rsidRPr="0028033B">
        <w:rPr>
          <w:i/>
          <w:iCs/>
        </w:rPr>
        <w:t>Manure management</w:t>
      </w:r>
      <w:r w:rsidRPr="0028033B">
        <w:t xml:space="preserve"> than the Australian-specific 2023 IEFs. Differences between New Zealand’s IEFs, the IPCC Tier 1 and Tier 2 and the Australian-specific IEFs are due to the reasons outlined under </w:t>
      </w:r>
      <w:r w:rsidRPr="0028033B">
        <w:rPr>
          <w:i/>
          <w:iCs/>
        </w:rPr>
        <w:t>Enteric fermentation</w:t>
      </w:r>
      <w:r w:rsidRPr="0028033B">
        <w:t xml:space="preserve"> (see section 5.2.4): that is, size and productivity of the animals, the age classes of livestock included in New Zealand’s modelling and the use of different algorithms to determine energy intake. The </w:t>
      </w:r>
      <w:r w:rsidRPr="0028033B" w:rsidDel="005C74CD">
        <w:t xml:space="preserve">New </w:t>
      </w:r>
      <w:r w:rsidRPr="0028033B">
        <w:t xml:space="preserve">Zealand-specific IEF from </w:t>
      </w:r>
      <w:r w:rsidRPr="0028033B">
        <w:rPr>
          <w:i/>
          <w:iCs/>
        </w:rPr>
        <w:t>Manure management</w:t>
      </w:r>
      <w:r w:rsidRPr="0028033B">
        <w:t xml:space="preserve"> for dairy cattle also reflects the activity data on the use of dairy effluent management systems in </w:t>
      </w:r>
      <w:r w:rsidRPr="0028033B" w:rsidDel="005C74CD">
        <w:t xml:space="preserve">New </w:t>
      </w:r>
      <w:r w:rsidRPr="0028033B">
        <w:t>Zealand (see section 5.3.2).</w:t>
      </w:r>
    </w:p>
    <w:p w14:paraId="7968E47C" w14:textId="77777777" w:rsidR="00E46639" w:rsidRPr="0028033B" w:rsidRDefault="00E46639" w:rsidP="00E46639">
      <w:pPr>
        <w:pStyle w:val="BodyText"/>
      </w:pPr>
      <w:r w:rsidRPr="0028033B">
        <w:t>The IEF for dairy cattle is much higher than the IEFs for non-dairy cattle and sheep. All manure for non-dairy cattle and sheep is deposited onto pasture. In contrast, 6.5 percent of dairy cattle manure is captured by anaerobic lagoons (see t</w:t>
      </w:r>
      <w:r w:rsidRPr="0028033B">
        <w:rPr>
          <w:rFonts w:cs="Calibri"/>
        </w:rPr>
        <w:t xml:space="preserve">able 5.3.2). </w:t>
      </w:r>
      <w:r w:rsidRPr="0028033B">
        <w:t xml:space="preserve">When manure is stored in anaerobic lagoons, it decomposes anaerobically and can produce </w:t>
      </w:r>
      <w:r w:rsidRPr="0028033B">
        <w:rPr>
          <w:rFonts w:cs="Calibri"/>
        </w:rPr>
        <w:t>CH</w:t>
      </w:r>
      <w:r w:rsidRPr="0028033B">
        <w:rPr>
          <w:rFonts w:cs="Calibri"/>
          <w:vertAlign w:val="subscript"/>
        </w:rPr>
        <w:t>4</w:t>
      </w:r>
      <w:r w:rsidRPr="0028033B">
        <w:t xml:space="preserve">. When manure is deposited directly on pastures it tends to decompose under aerobic conditions and less </w:t>
      </w:r>
      <w:r w:rsidRPr="0028033B">
        <w:rPr>
          <w:rFonts w:cs="Calibri"/>
        </w:rPr>
        <w:t>CH</w:t>
      </w:r>
      <w:r w:rsidRPr="0028033B">
        <w:rPr>
          <w:rFonts w:cs="Calibri"/>
          <w:vertAlign w:val="subscript"/>
        </w:rPr>
        <w:t xml:space="preserve">4 </w:t>
      </w:r>
      <w:r w:rsidRPr="0028033B">
        <w:t>is produced overall. Therefore,</w:t>
      </w:r>
      <w:r w:rsidRPr="0028033B" w:rsidDel="00B25435">
        <w:t xml:space="preserve"> </w:t>
      </w:r>
      <w:r w:rsidRPr="0028033B">
        <w:t>because some dairy cattle manure is captured by anaerobic lagoons, more CH</w:t>
      </w:r>
      <w:r w:rsidRPr="0028033B">
        <w:rPr>
          <w:vertAlign w:val="subscript"/>
        </w:rPr>
        <w:t>4</w:t>
      </w:r>
      <w:r w:rsidRPr="0028033B">
        <w:t xml:space="preserve"> is produced by dairy cattle manure management than non-dairy cattle or sheep manure management. Hence, the IEF is higher. </w:t>
      </w:r>
    </w:p>
    <w:p w14:paraId="481260EF" w14:textId="77777777" w:rsidR="00E46639" w:rsidRPr="0028033B" w:rsidRDefault="00E46639" w:rsidP="00E46639">
      <w:pPr>
        <w:pStyle w:val="Table"/>
        <w:rPr>
          <w:rFonts w:cs="Calibri"/>
        </w:rPr>
      </w:pPr>
      <w:bookmarkStart w:id="1014" w:name="_Toc441830878"/>
      <w:bookmarkStart w:id="1015" w:name="_Toc451176092"/>
      <w:bookmarkStart w:id="1016" w:name="_Toc481751520"/>
      <w:bookmarkStart w:id="1017" w:name="_Toc507158608"/>
      <w:bookmarkStart w:id="1018" w:name="_Toc511116742"/>
      <w:bookmarkStart w:id="1019" w:name="_Toc5269482"/>
      <w:bookmarkStart w:id="1020" w:name="_Toc32570925"/>
      <w:bookmarkStart w:id="1021" w:name="_Toc36224560"/>
      <w:bookmarkStart w:id="1022" w:name="_Toc68786445"/>
      <w:bookmarkStart w:id="1023" w:name="_Toc95574079"/>
      <w:bookmarkStart w:id="1024" w:name="_Toc127458264"/>
      <w:bookmarkStart w:id="1025" w:name="_Toc131591360"/>
      <w:bookmarkStart w:id="1026" w:name="_Toc164153848"/>
      <w:bookmarkStart w:id="1027" w:name="_Toc222407637"/>
      <w:bookmarkStart w:id="1028" w:name="_Toc226669012"/>
      <w:bookmarkStart w:id="1029" w:name="_Toc288316755"/>
      <w:bookmarkStart w:id="1030" w:name="_Toc352504973"/>
      <w:bookmarkStart w:id="1031" w:name="_Toc160114452"/>
      <w:r w:rsidRPr="0028033B">
        <w:rPr>
          <w:rFonts w:cs="Calibri"/>
        </w:rPr>
        <w:t>Table 5.3.12</w:t>
      </w:r>
      <w:r w:rsidRPr="0028033B">
        <w:rPr>
          <w:rFonts w:cs="Calibri"/>
        </w:rPr>
        <w:tab/>
        <w:t>Comparison of IPCC (2006) table 10A-4 default emission factors and country-specific implied emission factors (IEFs) for methane from manure management</w:t>
      </w:r>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r w:rsidRPr="0028033B">
        <w:rPr>
          <w:rFonts w:cs="Calibri"/>
        </w:rPr>
        <w:t xml:space="preserve"> </w:t>
      </w:r>
      <w:bookmarkEnd w:id="1029"/>
      <w:bookmarkEnd w:id="1030"/>
      <w:bookmarkEnd w:id="1031"/>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28" w:type="dxa"/>
          <w:right w:w="85" w:type="dxa"/>
        </w:tblCellMar>
        <w:tblLook w:val="0000" w:firstRow="0" w:lastRow="0" w:firstColumn="0" w:lastColumn="0" w:noHBand="0" w:noVBand="0"/>
      </w:tblPr>
      <w:tblGrid>
        <w:gridCol w:w="3942"/>
        <w:gridCol w:w="1699"/>
        <w:gridCol w:w="880"/>
        <w:gridCol w:w="1285"/>
        <w:gridCol w:w="699"/>
      </w:tblGrid>
      <w:tr w:rsidR="00E46639" w:rsidRPr="0028033B" w14:paraId="47F79A10" w14:textId="77777777" w:rsidTr="00F16E23">
        <w:trPr>
          <w:tblHeader/>
        </w:trPr>
        <w:tc>
          <w:tcPr>
            <w:tcW w:w="3942" w:type="dxa"/>
            <w:vMerge w:val="restart"/>
            <w:tcBorders>
              <w:bottom w:val="nil"/>
            </w:tcBorders>
            <w:shd w:val="clear" w:color="auto" w:fill="1B556B"/>
          </w:tcPr>
          <w:p w14:paraId="041D7C48" w14:textId="77777777" w:rsidR="00E46639" w:rsidRPr="0028033B" w:rsidRDefault="00E46639" w:rsidP="00F16E23">
            <w:pPr>
              <w:pStyle w:val="TableTextBold"/>
              <w:keepNext/>
              <w:spacing w:before="40" w:after="0"/>
              <w:rPr>
                <w:noProof w:val="0"/>
                <w:color w:val="FFFFFF" w:themeColor="background1"/>
                <w:szCs w:val="16"/>
              </w:rPr>
            </w:pPr>
          </w:p>
        </w:tc>
        <w:tc>
          <w:tcPr>
            <w:tcW w:w="1699" w:type="dxa"/>
            <w:tcBorders>
              <w:bottom w:val="nil"/>
              <w:right w:val="single" w:sz="4" w:space="0" w:color="1C556C" w:themeColor="accent1"/>
            </w:tcBorders>
            <w:shd w:val="clear" w:color="auto" w:fill="1B556B"/>
          </w:tcPr>
          <w:p w14:paraId="7A358642" w14:textId="77777777" w:rsidR="00E46639" w:rsidRPr="0028033B" w:rsidRDefault="00E46639" w:rsidP="00F16E23">
            <w:pPr>
              <w:pStyle w:val="TableTextBold"/>
              <w:spacing w:before="40" w:after="0"/>
              <w:jc w:val="right"/>
              <w:rPr>
                <w:noProof w:val="0"/>
                <w:color w:val="FFFFFF" w:themeColor="background1"/>
                <w:szCs w:val="16"/>
              </w:rPr>
            </w:pPr>
          </w:p>
        </w:tc>
        <w:tc>
          <w:tcPr>
            <w:tcW w:w="2864" w:type="dxa"/>
            <w:gridSpan w:val="3"/>
            <w:tcBorders>
              <w:left w:val="single" w:sz="4" w:space="0" w:color="1C556C" w:themeColor="accent1"/>
              <w:bottom w:val="nil"/>
            </w:tcBorders>
            <w:shd w:val="clear" w:color="auto" w:fill="1B556B"/>
          </w:tcPr>
          <w:p w14:paraId="726C8357" w14:textId="77777777" w:rsidR="00E46639" w:rsidRPr="0028033B" w:rsidRDefault="00E46639" w:rsidP="00F16E23">
            <w:pPr>
              <w:pStyle w:val="TableTextBold"/>
              <w:spacing w:before="40" w:after="0"/>
              <w:jc w:val="center"/>
              <w:rPr>
                <w:noProof w:val="0"/>
                <w:color w:val="FFFFFF" w:themeColor="background1"/>
                <w:szCs w:val="16"/>
              </w:rPr>
            </w:pPr>
            <w:r w:rsidRPr="0028033B">
              <w:rPr>
                <w:noProof w:val="0"/>
                <w:color w:val="FFFFFF" w:themeColor="background1"/>
                <w:szCs w:val="16"/>
              </w:rPr>
              <w:t>kg CH</w:t>
            </w:r>
            <w:r w:rsidRPr="0028033B">
              <w:rPr>
                <w:noProof w:val="0"/>
                <w:color w:val="FFFFFF" w:themeColor="background1"/>
                <w:szCs w:val="16"/>
                <w:vertAlign w:val="subscript"/>
              </w:rPr>
              <w:t>4</w:t>
            </w:r>
            <w:r w:rsidRPr="0028033B">
              <w:rPr>
                <w:noProof w:val="0"/>
                <w:color w:val="FFFFFF" w:themeColor="background1"/>
                <w:szCs w:val="16"/>
              </w:rPr>
              <w:t>/year/head</w:t>
            </w:r>
          </w:p>
        </w:tc>
      </w:tr>
      <w:tr w:rsidR="00E46639" w:rsidRPr="0028033B" w14:paraId="47CAF6A5" w14:textId="77777777" w:rsidTr="00F16E23">
        <w:trPr>
          <w:tblHeader/>
        </w:trPr>
        <w:tc>
          <w:tcPr>
            <w:tcW w:w="3942" w:type="dxa"/>
            <w:vMerge/>
            <w:tcBorders>
              <w:top w:val="nil"/>
            </w:tcBorders>
            <w:shd w:val="clear" w:color="auto" w:fill="1B556B"/>
          </w:tcPr>
          <w:p w14:paraId="00DE4297" w14:textId="77777777" w:rsidR="00E46639" w:rsidRPr="0028033B" w:rsidRDefault="00E46639" w:rsidP="00F16E23">
            <w:pPr>
              <w:pStyle w:val="TableTextBold"/>
              <w:keepNext/>
              <w:rPr>
                <w:noProof w:val="0"/>
                <w:color w:val="FFFFFF" w:themeColor="background1"/>
                <w:szCs w:val="16"/>
              </w:rPr>
            </w:pPr>
          </w:p>
        </w:tc>
        <w:tc>
          <w:tcPr>
            <w:tcW w:w="2579" w:type="dxa"/>
            <w:gridSpan w:val="2"/>
            <w:tcBorders>
              <w:top w:val="nil"/>
            </w:tcBorders>
            <w:shd w:val="clear" w:color="auto" w:fill="1B556B"/>
          </w:tcPr>
          <w:p w14:paraId="69AD481C" w14:textId="77777777" w:rsidR="00E46639" w:rsidRPr="0028033B" w:rsidRDefault="00E46639" w:rsidP="00F16E23">
            <w:pPr>
              <w:pStyle w:val="TableTextBold"/>
              <w:spacing w:before="0" w:after="40"/>
              <w:jc w:val="right"/>
              <w:rPr>
                <w:noProof w:val="0"/>
                <w:color w:val="FFFFFF" w:themeColor="background1"/>
                <w:szCs w:val="16"/>
              </w:rPr>
            </w:pPr>
            <w:r w:rsidRPr="0028033B">
              <w:rPr>
                <w:noProof w:val="0"/>
                <w:color w:val="FFFFFF" w:themeColor="background1"/>
                <w:szCs w:val="16"/>
              </w:rPr>
              <w:t>Dairy cattle</w:t>
            </w:r>
          </w:p>
        </w:tc>
        <w:tc>
          <w:tcPr>
            <w:tcW w:w="1285" w:type="dxa"/>
            <w:tcBorders>
              <w:top w:val="nil"/>
            </w:tcBorders>
            <w:shd w:val="clear" w:color="auto" w:fill="1B556B"/>
          </w:tcPr>
          <w:p w14:paraId="37B44F49" w14:textId="77777777" w:rsidR="00E46639" w:rsidRPr="0028033B" w:rsidRDefault="00E46639" w:rsidP="00F16E23">
            <w:pPr>
              <w:pStyle w:val="TableTextBold"/>
              <w:spacing w:before="0" w:after="40"/>
              <w:jc w:val="right"/>
              <w:rPr>
                <w:noProof w:val="0"/>
                <w:color w:val="FFFFFF" w:themeColor="background1"/>
                <w:szCs w:val="16"/>
              </w:rPr>
            </w:pPr>
            <w:r w:rsidRPr="0028033B">
              <w:rPr>
                <w:noProof w:val="0"/>
                <w:color w:val="FFFFFF" w:themeColor="background1"/>
                <w:szCs w:val="16"/>
              </w:rPr>
              <w:t>Non-dairy cattle</w:t>
            </w:r>
          </w:p>
        </w:tc>
        <w:tc>
          <w:tcPr>
            <w:tcW w:w="699" w:type="dxa"/>
            <w:tcBorders>
              <w:top w:val="nil"/>
            </w:tcBorders>
            <w:shd w:val="clear" w:color="auto" w:fill="1B556B"/>
          </w:tcPr>
          <w:p w14:paraId="1B528527" w14:textId="77777777" w:rsidR="00E46639" w:rsidRPr="0028033B" w:rsidRDefault="00E46639" w:rsidP="00F16E23">
            <w:pPr>
              <w:pStyle w:val="TableTextBold"/>
              <w:spacing w:before="0" w:after="40"/>
              <w:jc w:val="right"/>
              <w:rPr>
                <w:noProof w:val="0"/>
                <w:color w:val="FFFFFF" w:themeColor="background1"/>
                <w:szCs w:val="16"/>
              </w:rPr>
            </w:pPr>
            <w:r w:rsidRPr="0028033B">
              <w:rPr>
                <w:noProof w:val="0"/>
                <w:color w:val="FFFFFF" w:themeColor="background1"/>
                <w:szCs w:val="16"/>
              </w:rPr>
              <w:t xml:space="preserve">Sheep </w:t>
            </w:r>
          </w:p>
        </w:tc>
      </w:tr>
      <w:tr w:rsidR="00E46639" w:rsidRPr="0028033B" w14:paraId="4DF6164B" w14:textId="77777777" w:rsidTr="00F16E23">
        <w:tc>
          <w:tcPr>
            <w:tcW w:w="3942" w:type="dxa"/>
          </w:tcPr>
          <w:p w14:paraId="5064EABD" w14:textId="77777777" w:rsidR="00E46639" w:rsidRPr="0028033B" w:rsidRDefault="00E46639" w:rsidP="00F16E23">
            <w:pPr>
              <w:pStyle w:val="TableText"/>
              <w:spacing w:before="50" w:after="50"/>
              <w:rPr>
                <w:rFonts w:cs="Calibri"/>
                <w:szCs w:val="16"/>
              </w:rPr>
            </w:pPr>
            <w:r w:rsidRPr="0028033B">
              <w:rPr>
                <w:rFonts w:cs="Calibri"/>
                <w:szCs w:val="16"/>
              </w:rPr>
              <w:t>IPCC Tier 1 Oceania default value (average temperature 15°C (cattle)/developed temperate default value (sheep))</w:t>
            </w:r>
          </w:p>
        </w:tc>
        <w:tc>
          <w:tcPr>
            <w:tcW w:w="2579" w:type="dxa"/>
            <w:gridSpan w:val="2"/>
          </w:tcPr>
          <w:p w14:paraId="4A8E237C" w14:textId="77777777" w:rsidR="00E46639" w:rsidRPr="0028033B" w:rsidRDefault="00E46639" w:rsidP="00F16E23">
            <w:pPr>
              <w:pStyle w:val="TableText"/>
              <w:spacing w:before="50" w:after="50"/>
              <w:jc w:val="right"/>
              <w:rPr>
                <w:rFonts w:cs="Calibri"/>
                <w:szCs w:val="16"/>
              </w:rPr>
            </w:pPr>
            <w:r w:rsidRPr="0028033B">
              <w:rPr>
                <w:rFonts w:cs="Calibri"/>
                <w:szCs w:val="16"/>
              </w:rPr>
              <w:t>27.00</w:t>
            </w:r>
          </w:p>
        </w:tc>
        <w:tc>
          <w:tcPr>
            <w:tcW w:w="1285" w:type="dxa"/>
          </w:tcPr>
          <w:p w14:paraId="49F4292F" w14:textId="77777777" w:rsidR="00E46639" w:rsidRPr="0028033B" w:rsidRDefault="00E46639" w:rsidP="00F16E23">
            <w:pPr>
              <w:pStyle w:val="TableText"/>
              <w:spacing w:before="50" w:after="50"/>
              <w:jc w:val="right"/>
              <w:rPr>
                <w:rFonts w:cs="Calibri"/>
                <w:szCs w:val="16"/>
              </w:rPr>
            </w:pPr>
            <w:r w:rsidRPr="0028033B">
              <w:rPr>
                <w:rFonts w:cs="Calibri"/>
                <w:szCs w:val="16"/>
              </w:rPr>
              <w:t>2.00</w:t>
            </w:r>
          </w:p>
        </w:tc>
        <w:tc>
          <w:tcPr>
            <w:tcW w:w="699" w:type="dxa"/>
          </w:tcPr>
          <w:p w14:paraId="36DCC172" w14:textId="77777777" w:rsidR="00E46639" w:rsidRPr="0028033B" w:rsidRDefault="00E46639" w:rsidP="00F16E23">
            <w:pPr>
              <w:pStyle w:val="TableText"/>
              <w:spacing w:before="50" w:after="50"/>
              <w:jc w:val="right"/>
              <w:rPr>
                <w:rFonts w:cs="Calibri"/>
                <w:szCs w:val="16"/>
              </w:rPr>
            </w:pPr>
            <w:r w:rsidRPr="0028033B">
              <w:rPr>
                <w:rFonts w:cs="Calibri"/>
                <w:szCs w:val="16"/>
              </w:rPr>
              <w:t>0.28</w:t>
            </w:r>
          </w:p>
        </w:tc>
      </w:tr>
      <w:tr w:rsidR="00E46639" w:rsidRPr="0028033B" w14:paraId="642078AF" w14:textId="77777777" w:rsidTr="00F16E23">
        <w:tc>
          <w:tcPr>
            <w:tcW w:w="3942" w:type="dxa"/>
          </w:tcPr>
          <w:p w14:paraId="74C219F4" w14:textId="77777777" w:rsidR="00E46639" w:rsidRPr="0028033B" w:rsidRDefault="00E46639" w:rsidP="00F16E23">
            <w:pPr>
              <w:pStyle w:val="TableText"/>
              <w:spacing w:before="50" w:after="50"/>
              <w:rPr>
                <w:rFonts w:cs="Calibri"/>
                <w:szCs w:val="16"/>
              </w:rPr>
            </w:pPr>
            <w:r w:rsidRPr="0028033B">
              <w:rPr>
                <w:rFonts w:cs="Calibri"/>
                <w:szCs w:val="16"/>
              </w:rPr>
              <w:t>IPCC Tier 2 net energy-based value</w:t>
            </w:r>
          </w:p>
        </w:tc>
        <w:tc>
          <w:tcPr>
            <w:tcW w:w="2579" w:type="dxa"/>
            <w:gridSpan w:val="2"/>
          </w:tcPr>
          <w:p w14:paraId="556A9642" w14:textId="77777777" w:rsidR="00E46639" w:rsidRPr="0028033B" w:rsidRDefault="00E46639" w:rsidP="00F16E23">
            <w:pPr>
              <w:pStyle w:val="TableText"/>
              <w:spacing w:before="50" w:after="50"/>
              <w:jc w:val="right"/>
              <w:rPr>
                <w:rFonts w:cs="Calibri"/>
                <w:szCs w:val="16"/>
              </w:rPr>
            </w:pPr>
            <w:r w:rsidRPr="0028033B">
              <w:rPr>
                <w:rFonts w:cs="Calibri"/>
                <w:szCs w:val="16"/>
              </w:rPr>
              <w:t>5.97</w:t>
            </w:r>
          </w:p>
        </w:tc>
        <w:tc>
          <w:tcPr>
            <w:tcW w:w="1285" w:type="dxa"/>
          </w:tcPr>
          <w:p w14:paraId="75133C1D" w14:textId="77777777" w:rsidR="00E46639" w:rsidRPr="0028033B" w:rsidRDefault="00E46639" w:rsidP="00F16E23">
            <w:pPr>
              <w:pStyle w:val="TableText"/>
              <w:spacing w:before="50" w:after="50"/>
              <w:jc w:val="right"/>
              <w:rPr>
                <w:rFonts w:cs="Calibri"/>
                <w:szCs w:val="16"/>
              </w:rPr>
            </w:pPr>
            <w:r w:rsidRPr="0028033B">
              <w:rPr>
                <w:rFonts w:cs="Calibri"/>
                <w:szCs w:val="16"/>
              </w:rPr>
              <w:t>0.82</w:t>
            </w:r>
          </w:p>
        </w:tc>
        <w:tc>
          <w:tcPr>
            <w:tcW w:w="699" w:type="dxa"/>
          </w:tcPr>
          <w:p w14:paraId="7DF61214" w14:textId="77777777" w:rsidR="00E46639" w:rsidRPr="0028033B" w:rsidRDefault="00E46639" w:rsidP="00F16E23">
            <w:pPr>
              <w:pStyle w:val="TableText"/>
              <w:spacing w:before="50" w:after="50"/>
              <w:jc w:val="right"/>
              <w:rPr>
                <w:rFonts w:cs="Calibri"/>
                <w:szCs w:val="16"/>
              </w:rPr>
            </w:pPr>
            <w:r w:rsidRPr="0028033B">
              <w:rPr>
                <w:rFonts w:cs="Calibri"/>
                <w:szCs w:val="16"/>
              </w:rPr>
              <w:t>0.18</w:t>
            </w:r>
          </w:p>
        </w:tc>
      </w:tr>
      <w:tr w:rsidR="00E46639" w:rsidRPr="00DD3B4A" w14:paraId="04481547" w14:textId="77777777" w:rsidTr="00F16E23">
        <w:tc>
          <w:tcPr>
            <w:tcW w:w="3942" w:type="dxa"/>
          </w:tcPr>
          <w:p w14:paraId="4CC2AF4F" w14:textId="77777777" w:rsidR="00E46639" w:rsidRPr="00DD3B4A" w:rsidRDefault="00E46639" w:rsidP="00F16E23">
            <w:pPr>
              <w:pStyle w:val="TableText"/>
              <w:spacing w:before="50" w:after="50"/>
              <w:rPr>
                <w:rFonts w:cs="Calibri"/>
                <w:szCs w:val="16"/>
              </w:rPr>
            </w:pPr>
            <w:r w:rsidRPr="00DD3B4A">
              <w:rPr>
                <w:rFonts w:cs="Calibri"/>
                <w:szCs w:val="16"/>
              </w:rPr>
              <w:t>Australian-specific IEF 2023 value</w:t>
            </w:r>
            <w:r w:rsidRPr="00DD3B4A">
              <w:rPr>
                <w:rStyle w:val="FootnoteReference"/>
                <w:rFonts w:cs="Calibri"/>
                <w:sz w:val="16"/>
                <w:szCs w:val="16"/>
              </w:rPr>
              <w:footnoteReference w:id="41"/>
            </w:r>
          </w:p>
        </w:tc>
        <w:tc>
          <w:tcPr>
            <w:tcW w:w="2579" w:type="dxa"/>
            <w:gridSpan w:val="2"/>
          </w:tcPr>
          <w:p w14:paraId="63CC4C74" w14:textId="77777777" w:rsidR="00E46639" w:rsidRPr="00DD3B4A" w:rsidRDefault="00E46639" w:rsidP="00F16E23">
            <w:pPr>
              <w:pStyle w:val="TableText"/>
              <w:spacing w:before="50" w:after="50"/>
              <w:jc w:val="right"/>
              <w:rPr>
                <w:rFonts w:cs="Calibri"/>
                <w:szCs w:val="16"/>
              </w:rPr>
            </w:pPr>
            <w:r w:rsidRPr="00DD3B4A">
              <w:rPr>
                <w:rFonts w:cs="Calibri"/>
                <w:szCs w:val="16"/>
              </w:rPr>
              <w:t>13.86</w:t>
            </w:r>
          </w:p>
        </w:tc>
        <w:tc>
          <w:tcPr>
            <w:tcW w:w="1285" w:type="dxa"/>
          </w:tcPr>
          <w:p w14:paraId="2F9DE76B" w14:textId="77777777" w:rsidR="00E46639" w:rsidRPr="00DD3B4A" w:rsidRDefault="00E46639" w:rsidP="00F16E23">
            <w:pPr>
              <w:pStyle w:val="TableText"/>
              <w:spacing w:before="50" w:after="0"/>
              <w:jc w:val="right"/>
              <w:rPr>
                <w:rFonts w:cs="Calibri"/>
                <w:szCs w:val="16"/>
              </w:rPr>
            </w:pPr>
            <w:r w:rsidRPr="00DD3B4A">
              <w:rPr>
                <w:rFonts w:cs="Calibri"/>
                <w:szCs w:val="16"/>
              </w:rPr>
              <w:t>4.65 (pasture)</w:t>
            </w:r>
          </w:p>
          <w:p w14:paraId="57C3AF37" w14:textId="77777777" w:rsidR="00E46639" w:rsidRPr="00DD3B4A" w:rsidRDefault="00E46639" w:rsidP="00F16E23">
            <w:pPr>
              <w:pStyle w:val="TableText"/>
              <w:spacing w:before="0" w:after="50"/>
              <w:jc w:val="right"/>
              <w:rPr>
                <w:rFonts w:cs="Calibri"/>
                <w:szCs w:val="16"/>
              </w:rPr>
            </w:pPr>
            <w:r w:rsidRPr="00DD3B4A">
              <w:rPr>
                <w:rFonts w:cs="Calibri"/>
                <w:szCs w:val="16"/>
              </w:rPr>
              <w:t>3.24 (feedlot)</w:t>
            </w:r>
          </w:p>
        </w:tc>
        <w:tc>
          <w:tcPr>
            <w:tcW w:w="699" w:type="dxa"/>
          </w:tcPr>
          <w:p w14:paraId="0925A56E" w14:textId="77777777" w:rsidR="00E46639" w:rsidRPr="00DD3B4A" w:rsidRDefault="00E46639" w:rsidP="00F16E23">
            <w:pPr>
              <w:pStyle w:val="TableText"/>
              <w:spacing w:before="50" w:after="50"/>
              <w:jc w:val="right"/>
              <w:rPr>
                <w:rFonts w:cs="Calibri"/>
                <w:szCs w:val="16"/>
              </w:rPr>
            </w:pPr>
            <w:r w:rsidRPr="00DD3B4A">
              <w:rPr>
                <w:rFonts w:cs="Calibri"/>
                <w:szCs w:val="16"/>
              </w:rPr>
              <w:t>0.34</w:t>
            </w:r>
          </w:p>
        </w:tc>
      </w:tr>
      <w:tr w:rsidR="00E46639" w:rsidRPr="0028033B" w14:paraId="28555C2C" w14:textId="77777777" w:rsidTr="00F16E23">
        <w:tc>
          <w:tcPr>
            <w:tcW w:w="3942" w:type="dxa"/>
          </w:tcPr>
          <w:p w14:paraId="5C64EDA1" w14:textId="77777777" w:rsidR="00E46639" w:rsidRPr="0028033B" w:rsidRDefault="00E46639" w:rsidP="00F16E23">
            <w:pPr>
              <w:pStyle w:val="TableText"/>
              <w:spacing w:before="50" w:after="50"/>
              <w:rPr>
                <w:rFonts w:cs="Calibri"/>
                <w:szCs w:val="16"/>
              </w:rPr>
            </w:pPr>
            <w:r w:rsidRPr="0028033B">
              <w:rPr>
                <w:rFonts w:cs="Calibri"/>
                <w:szCs w:val="16"/>
              </w:rPr>
              <w:t>New Zealand-specific IEF 2023 value</w:t>
            </w:r>
          </w:p>
        </w:tc>
        <w:tc>
          <w:tcPr>
            <w:tcW w:w="2579" w:type="dxa"/>
            <w:gridSpan w:val="2"/>
          </w:tcPr>
          <w:p w14:paraId="26FD131B" w14:textId="77777777" w:rsidR="00E46639" w:rsidRPr="0028033B" w:rsidRDefault="00E46639" w:rsidP="00F16E23">
            <w:pPr>
              <w:pStyle w:val="TableText"/>
              <w:spacing w:before="50" w:after="0"/>
              <w:jc w:val="right"/>
              <w:rPr>
                <w:rFonts w:cs="Calibri"/>
                <w:szCs w:val="16"/>
              </w:rPr>
            </w:pPr>
            <w:r w:rsidRPr="0028033B">
              <w:rPr>
                <w:rFonts w:cs="Calibri"/>
                <w:szCs w:val="16"/>
              </w:rPr>
              <w:t>8.35 (all dairy cattle, including calves)</w:t>
            </w:r>
          </w:p>
          <w:p w14:paraId="55D2AF93" w14:textId="77777777" w:rsidR="00E46639" w:rsidRPr="0028033B" w:rsidRDefault="00E46639" w:rsidP="00F16E23">
            <w:pPr>
              <w:pStyle w:val="TableText"/>
              <w:spacing w:before="0" w:after="50"/>
              <w:jc w:val="right"/>
              <w:rPr>
                <w:rFonts w:cs="Calibri"/>
                <w:szCs w:val="16"/>
              </w:rPr>
            </w:pPr>
            <w:r w:rsidRPr="0028033B">
              <w:rPr>
                <w:rFonts w:cs="Calibri"/>
                <w:szCs w:val="16"/>
              </w:rPr>
              <w:t>10.34 (mature milking cows only)</w:t>
            </w:r>
          </w:p>
        </w:tc>
        <w:tc>
          <w:tcPr>
            <w:tcW w:w="1285" w:type="dxa"/>
          </w:tcPr>
          <w:p w14:paraId="0EA68029" w14:textId="77777777" w:rsidR="00E46639" w:rsidRPr="0028033B" w:rsidRDefault="00E46639" w:rsidP="00F16E23">
            <w:pPr>
              <w:pStyle w:val="TableText"/>
              <w:spacing w:before="50" w:after="50"/>
              <w:jc w:val="right"/>
              <w:rPr>
                <w:rFonts w:cs="Calibri"/>
                <w:szCs w:val="16"/>
              </w:rPr>
            </w:pPr>
            <w:r w:rsidRPr="0028033B">
              <w:rPr>
                <w:szCs w:val="16"/>
              </w:rPr>
              <w:t>0.95</w:t>
            </w:r>
          </w:p>
        </w:tc>
        <w:tc>
          <w:tcPr>
            <w:tcW w:w="699" w:type="dxa"/>
          </w:tcPr>
          <w:p w14:paraId="248F4BA2" w14:textId="77777777" w:rsidR="00E46639" w:rsidRPr="0028033B" w:rsidRDefault="00E46639" w:rsidP="00F16E23">
            <w:pPr>
              <w:pStyle w:val="TableText"/>
              <w:spacing w:before="50" w:after="50"/>
              <w:jc w:val="right"/>
              <w:rPr>
                <w:rFonts w:cs="Calibri"/>
                <w:szCs w:val="16"/>
              </w:rPr>
            </w:pPr>
            <w:r w:rsidRPr="0028033B">
              <w:rPr>
                <w:szCs w:val="16"/>
              </w:rPr>
              <w:t>0.13</w:t>
            </w:r>
          </w:p>
        </w:tc>
      </w:tr>
    </w:tbl>
    <w:p w14:paraId="6DBDC10C" w14:textId="77777777" w:rsidR="00E46639" w:rsidRPr="0028033B" w:rsidRDefault="00E46639" w:rsidP="00E46639">
      <w:pPr>
        <w:pStyle w:val="Heading3"/>
        <w:spacing w:before="400"/>
      </w:pPr>
      <w:bookmarkStart w:id="1032" w:name="_Toc139253928"/>
      <w:bookmarkStart w:id="1033" w:name="_Toc32570662"/>
      <w:r w:rsidRPr="0028033B">
        <w:t>5.3.5</w:t>
      </w:r>
      <w:r w:rsidRPr="0028033B">
        <w:tab/>
        <w:t>Category-specific recalculations</w:t>
      </w:r>
      <w:bookmarkEnd w:id="1032"/>
      <w:bookmarkEnd w:id="1033"/>
    </w:p>
    <w:p w14:paraId="23A3EAFD" w14:textId="77777777" w:rsidR="00E46639" w:rsidRPr="0028033B" w:rsidRDefault="00E46639" w:rsidP="00E46639">
      <w:pPr>
        <w:pStyle w:val="BodyText"/>
        <w:spacing w:before="100" w:after="100"/>
        <w:rPr>
          <w:rFonts w:cs="Calibri"/>
          <w:shd w:val="clear" w:color="auto" w:fill="FFFFFF"/>
        </w:rPr>
      </w:pPr>
      <w:r w:rsidRPr="0028033B">
        <w:t xml:space="preserve">Emissions estimates in the </w:t>
      </w:r>
      <w:r w:rsidRPr="0028033B">
        <w:rPr>
          <w:i/>
        </w:rPr>
        <w:t>Manure management</w:t>
      </w:r>
      <w:r w:rsidRPr="0028033B">
        <w:t xml:space="preserve"> category reported in the 2026 submission have been affected by</w:t>
      </w:r>
      <w:r w:rsidRPr="0028033B">
        <w:rPr>
          <w:rFonts w:cs="Calibri"/>
          <w:shd w:val="clear" w:color="auto" w:fill="FFFFFF"/>
        </w:rPr>
        <w:t xml:space="preserve"> </w:t>
      </w:r>
      <w:r w:rsidRPr="0028033B">
        <w:rPr>
          <w:shd w:val="clear" w:color="auto" w:fill="FFFFFF"/>
        </w:rPr>
        <w:t xml:space="preserve">methodological </w:t>
      </w:r>
      <w:r w:rsidRPr="0028033B">
        <w:rPr>
          <w:rFonts w:cs="Calibri"/>
          <w:shd w:val="clear" w:color="auto" w:fill="FFFFFF"/>
        </w:rPr>
        <w:t>improvements</w:t>
      </w:r>
      <w:r w:rsidRPr="0028033B">
        <w:rPr>
          <w:shd w:val="clear" w:color="auto" w:fill="FFFFFF"/>
        </w:rPr>
        <w:t xml:space="preserve"> to:</w:t>
      </w:r>
      <w:r w:rsidRPr="0028033B">
        <w:rPr>
          <w:rFonts w:cs="Calibri"/>
          <w:shd w:val="clear" w:color="auto" w:fill="FFFFFF"/>
        </w:rPr>
        <w:t xml:space="preserve"> (i) inclusion of the EcoPond</w:t>
      </w:r>
      <w:r w:rsidRPr="0028033B">
        <w:t>™</w:t>
      </w:r>
      <w:r w:rsidRPr="0028033B">
        <w:rPr>
          <w:rFonts w:cs="Calibri"/>
          <w:shd w:val="clear" w:color="auto" w:fill="FFFFFF"/>
        </w:rPr>
        <w:t xml:space="preserve"> mitigation technology for dairy cattle, (ii) updates to dairy manure and effluent management practices, (iii) aligning with the 2019 IPCC Refinement (IPCC, 2019) and (iv) small error corrections to model code. </w:t>
      </w:r>
    </w:p>
    <w:p w14:paraId="627AA8AD" w14:textId="77777777" w:rsidR="00E46639" w:rsidRPr="0028033B" w:rsidRDefault="00E46639" w:rsidP="00E46639">
      <w:pPr>
        <w:pStyle w:val="Heading5"/>
      </w:pPr>
      <w:r w:rsidRPr="0028033B">
        <w:t>Inclusion of the EcoPond™ mitigation technology for dairy cattle</w:t>
      </w:r>
    </w:p>
    <w:p w14:paraId="16A5DA9A" w14:textId="77777777" w:rsidR="00E46639" w:rsidRPr="0028033B" w:rsidRDefault="00E46639" w:rsidP="00E46639">
      <w:pPr>
        <w:pStyle w:val="BodyText"/>
      </w:pPr>
      <w:r w:rsidRPr="0028033B">
        <w:t>EcoPond™ is a technology designed to reduce CH</w:t>
      </w:r>
      <w:r w:rsidRPr="0028033B">
        <w:rPr>
          <w:vertAlign w:val="subscript"/>
        </w:rPr>
        <w:t>4</w:t>
      </w:r>
      <w:r w:rsidRPr="0028033B">
        <w:t xml:space="preserve"> emissions from dairy farm effluent ponds (anaerobic lagoons). EcoPond™ uses a combination treatment of PFS and SA to suppress methanogens and promote sulphate-reducing bacteria.</w:t>
      </w:r>
      <w:r>
        <w:t xml:space="preserve"> </w:t>
      </w:r>
    </w:p>
    <w:p w14:paraId="73C0130B" w14:textId="77777777" w:rsidR="00E46639" w:rsidRPr="0028033B" w:rsidRDefault="00E46639" w:rsidP="00E46639">
      <w:pPr>
        <w:pStyle w:val="BodyText"/>
        <w:spacing w:after="100"/>
      </w:pPr>
      <w:r w:rsidRPr="0028033B">
        <w:t>The</w:t>
      </w:r>
      <w:r w:rsidRPr="0028033B" w:rsidDel="00D84BAC">
        <w:t xml:space="preserve"> </w:t>
      </w:r>
      <w:r w:rsidRPr="0028033B">
        <w:t>core technology for EcoPond™ was developed by Lincoln University scientists. Recent research carried out by Lincoln University has extensively tested the efficacy of this technology (Cameron and Di,</w:t>
      </w:r>
      <w:r w:rsidRPr="0028033B" w:rsidDel="00DC783B">
        <w:t xml:space="preserve"> </w:t>
      </w:r>
      <w:r w:rsidRPr="0028033B">
        <w:t xml:space="preserve">2021, 2025; Clough et al., 2024). </w:t>
      </w:r>
    </w:p>
    <w:p w14:paraId="2AA789AE" w14:textId="77777777" w:rsidR="00E46639" w:rsidRPr="0028033B" w:rsidRDefault="00E46639" w:rsidP="00E46639">
      <w:pPr>
        <w:pStyle w:val="BodyText"/>
        <w:spacing w:after="100"/>
      </w:pPr>
      <w:r w:rsidRPr="0028033B">
        <w:t xml:space="preserve">There are four mechanisms of action (Cameron and Di, 2021). </w:t>
      </w:r>
    </w:p>
    <w:p w14:paraId="78599546" w14:textId="58B67221" w:rsidR="00E46639" w:rsidRPr="0028033B" w:rsidRDefault="00CD3D99" w:rsidP="00CD3D99">
      <w:pPr>
        <w:pStyle w:val="Numberedparagraph"/>
        <w:numPr>
          <w:ilvl w:val="0"/>
          <w:numId w:val="0"/>
        </w:numPr>
        <w:spacing w:after="100"/>
        <w:ind w:left="397" w:hanging="397"/>
      </w:pPr>
      <w:r>
        <w:t>1.</w:t>
      </w:r>
      <w:r>
        <w:tab/>
      </w:r>
      <w:r w:rsidR="00E46639" w:rsidRPr="0028033B">
        <w:t>Addition of PFS and SA increases the oxidation state (redox value) above the value for methanogenesis. Methane production by CH</w:t>
      </w:r>
      <w:r w:rsidR="00E46639" w:rsidRPr="00BC1D33">
        <w:rPr>
          <w:vertAlign w:val="subscript"/>
        </w:rPr>
        <w:t>4</w:t>
      </w:r>
      <w:r w:rsidR="00E46639" w:rsidRPr="0028033B">
        <w:t xml:space="preserve">-producing organisms (methanogens) requires highly anaerobic conditions. </w:t>
      </w:r>
    </w:p>
    <w:p w14:paraId="1FC0A00F" w14:textId="2F66A807" w:rsidR="00E46639" w:rsidRPr="0028033B" w:rsidRDefault="00CD3D99" w:rsidP="00CD3D99">
      <w:pPr>
        <w:pStyle w:val="Numberedparagraph"/>
        <w:numPr>
          <w:ilvl w:val="0"/>
          <w:numId w:val="0"/>
        </w:numPr>
        <w:spacing w:after="100"/>
        <w:ind w:left="397" w:hanging="397"/>
      </w:pPr>
      <w:r>
        <w:t>2.</w:t>
      </w:r>
      <w:r>
        <w:tab/>
      </w:r>
      <w:r w:rsidR="00E46639" w:rsidRPr="0028033B">
        <w:t xml:space="preserve">Addition of PFS and SA adds sulphate into the anaerobic lagoon, which stimulates the growth and activity of sulphate-reducing bacteria. These bacteria derive more energy from organic matter degradation than methanogens, therefore they outcompete the methanogens for organic matter substrate. </w:t>
      </w:r>
    </w:p>
    <w:p w14:paraId="3BC91C37" w14:textId="4FF3A919" w:rsidR="00E46639" w:rsidRPr="0028033B" w:rsidRDefault="00CD3D99" w:rsidP="00CD3D99">
      <w:pPr>
        <w:pStyle w:val="Numberedparagraph"/>
        <w:numPr>
          <w:ilvl w:val="0"/>
          <w:numId w:val="0"/>
        </w:numPr>
        <w:spacing w:after="100"/>
        <w:ind w:left="397" w:hanging="397"/>
      </w:pPr>
      <w:r>
        <w:t>3.</w:t>
      </w:r>
      <w:r>
        <w:tab/>
      </w:r>
      <w:r w:rsidR="00E46639" w:rsidRPr="0028033B">
        <w:t xml:space="preserve">Addition of PFS and SA stimulates the production of sulphide in the effluent, which is toxic to the methanogens. </w:t>
      </w:r>
    </w:p>
    <w:p w14:paraId="2D4C4FBC" w14:textId="091D6B30" w:rsidR="00E46639" w:rsidRPr="0028033B" w:rsidRDefault="00CD3D99" w:rsidP="00CD3D99">
      <w:pPr>
        <w:pStyle w:val="Numberedparagraph"/>
        <w:numPr>
          <w:ilvl w:val="0"/>
          <w:numId w:val="0"/>
        </w:numPr>
        <w:spacing w:after="100"/>
        <w:ind w:left="397" w:hanging="397"/>
      </w:pPr>
      <w:r>
        <w:t xml:space="preserve">4. </w:t>
      </w:r>
      <w:r>
        <w:tab/>
      </w:r>
      <w:r w:rsidR="00E46639" w:rsidRPr="0028033B">
        <w:t>Addition of PFS and SA stimulates the anaerobic oxidation of CH</w:t>
      </w:r>
      <w:r w:rsidR="00E46639" w:rsidRPr="0028033B">
        <w:rPr>
          <w:vertAlign w:val="subscript"/>
        </w:rPr>
        <w:t>4</w:t>
      </w:r>
      <w:r w:rsidR="00E46639" w:rsidRPr="0028033B">
        <w:t xml:space="preserve"> due to a consortium of anaerobic oxidising archaea working with the sulphate-reducing bacteria. </w:t>
      </w:r>
    </w:p>
    <w:p w14:paraId="639BAC65" w14:textId="77777777" w:rsidR="00E46639" w:rsidRPr="0028033B" w:rsidRDefault="00E46639" w:rsidP="00E46639">
      <w:pPr>
        <w:pStyle w:val="BodyText"/>
        <w:spacing w:before="100" w:after="100"/>
      </w:pPr>
      <w:r w:rsidRPr="0028033B">
        <w:t>The methanogen population is much greater in an anaerobic lagoon than in the fresh effluent added to the anaerobic lagoon.</w:t>
      </w:r>
      <w:r>
        <w:t xml:space="preserve"> </w:t>
      </w:r>
      <w:r w:rsidRPr="0028033B">
        <w:t xml:space="preserve">Independent research by Habtewold et al. (2018) reported that there were between </w:t>
      </w:r>
      <w:r w:rsidRPr="0028033B">
        <w:rPr>
          <w:rFonts w:cs="Calibri"/>
        </w:rPr>
        <w:t xml:space="preserve">around </w:t>
      </w:r>
      <w:r w:rsidRPr="0028033B">
        <w:t>11 percent to 458 percent more methanogen mcrA genes and transcripts copy numbers per gram of manure (log10 transformed) in one-year old dairy slurry than in fresh dairy slurry.</w:t>
      </w:r>
    </w:p>
    <w:p w14:paraId="66319B5F" w14:textId="6710F9FF" w:rsidR="00E46639" w:rsidRPr="0028033B" w:rsidRDefault="00E46639" w:rsidP="00E46639">
      <w:pPr>
        <w:pStyle w:val="BodyText"/>
        <w:spacing w:before="100" w:after="100"/>
      </w:pPr>
      <w:r w:rsidRPr="0028033B">
        <w:t>EcoPond™ uses regular truck-based treatments that do not require significant on-farm infrastructure. The treatment ensures the target redox value is achieved throughout the lagoon. There is no need to treat the fresh effluent entering the anaerobic lagoon because the</w:t>
      </w:r>
      <w:r w:rsidR="003273C5">
        <w:t> </w:t>
      </w:r>
      <w:r w:rsidRPr="0028033B">
        <w:t>methanogens in the anaerobic lagoon have been deactivated. This method is referred to as</w:t>
      </w:r>
      <w:r w:rsidR="003273C5">
        <w:t> </w:t>
      </w:r>
      <w:r w:rsidRPr="0028033B">
        <w:t>shock dosing.</w:t>
      </w:r>
    </w:p>
    <w:p w14:paraId="18226EF2" w14:textId="77777777" w:rsidR="00E46639" w:rsidRPr="0028033B" w:rsidRDefault="00E46639" w:rsidP="00E46639">
      <w:pPr>
        <w:pStyle w:val="BodyText"/>
        <w:spacing w:before="100" w:after="100"/>
      </w:pPr>
      <w:r w:rsidRPr="0028033B">
        <w:t xml:space="preserve">The parameters for inclusion in the Inventory are drawn from a trial designed to test the truck-mounted EcoPond™ treatment system and the standard operating procedure in a commercial dairy farm pond (Cameron and Di, </w:t>
      </w:r>
      <w:r w:rsidRPr="0028033B">
        <w:rPr>
          <w:rFonts w:cs="Calibri"/>
        </w:rPr>
        <w:t>unpublished</w:t>
      </w:r>
      <w:r w:rsidRPr="0028033B">
        <w:t>). The trial was conducted on the Lincoln University dairy farm. The farm has a 1 million litre effluent anaerobic lagoon.</w:t>
      </w:r>
    </w:p>
    <w:p w14:paraId="7C06EECF" w14:textId="77777777" w:rsidR="00E46639" w:rsidRPr="0028033B" w:rsidRDefault="00E46639" w:rsidP="00E46639">
      <w:pPr>
        <w:pStyle w:val="BodyText"/>
        <w:spacing w:before="100" w:after="100"/>
      </w:pPr>
      <w:r w:rsidRPr="0028033B">
        <w:t xml:space="preserve">The pond was treated on 12 November 2024, 22 January and 18 March 2025. Following each of the three treatments, regular twice-daily additions of fresh effluent were added into the pond following each milking. Effluent was not pumped out and irrigated for 5 to 7 days </w:t>
      </w:r>
      <w:r w:rsidRPr="0028033B">
        <w:rPr>
          <w:spacing w:val="-2"/>
        </w:rPr>
        <w:t>following the dosage of the pond. After this period, the pond was maintained normally by staff.</w:t>
      </w:r>
    </w:p>
    <w:p w14:paraId="3104848B" w14:textId="77777777" w:rsidR="00E46639" w:rsidRPr="0028033B" w:rsidRDefault="00E46639" w:rsidP="00E46639">
      <w:pPr>
        <w:pStyle w:val="Bullet"/>
        <w:spacing w:after="100"/>
      </w:pPr>
      <w:r w:rsidRPr="0028033B">
        <w:t>Treatment from 12 November reduced the pond’s CH</w:t>
      </w:r>
      <w:r w:rsidRPr="0028033B">
        <w:rPr>
          <w:vertAlign w:val="subscript"/>
        </w:rPr>
        <w:t>4</w:t>
      </w:r>
      <w:r w:rsidRPr="0028033B">
        <w:t xml:space="preserve"> emission flux by 91 percent during the subsequent six weeks following the dosage. </w:t>
      </w:r>
    </w:p>
    <w:p w14:paraId="155DA064" w14:textId="77777777" w:rsidR="00E46639" w:rsidRPr="0028033B" w:rsidRDefault="00E46639" w:rsidP="00E46639">
      <w:pPr>
        <w:pStyle w:val="Bullet"/>
        <w:spacing w:after="100"/>
      </w:pPr>
      <w:r w:rsidRPr="0028033B">
        <w:t>In the eight weeks following the second dosage of the pond (January 2025), the CH</w:t>
      </w:r>
      <w:r w:rsidRPr="0028033B">
        <w:rPr>
          <w:vertAlign w:val="subscript"/>
        </w:rPr>
        <w:t>4</w:t>
      </w:r>
      <w:r w:rsidRPr="0028033B">
        <w:t xml:space="preserve"> emission flux decreased by over 94 percent. </w:t>
      </w:r>
    </w:p>
    <w:p w14:paraId="43DED247" w14:textId="77777777" w:rsidR="00E46639" w:rsidRPr="0028033B" w:rsidRDefault="00E46639" w:rsidP="00E46639">
      <w:pPr>
        <w:pStyle w:val="Bullet"/>
        <w:spacing w:after="100"/>
      </w:pPr>
      <w:r w:rsidRPr="0028033B">
        <w:t>In the nine weeks following the third dosage of the pond (March 2025), the CH</w:t>
      </w:r>
      <w:r w:rsidRPr="0028033B">
        <w:rPr>
          <w:vertAlign w:val="subscript"/>
        </w:rPr>
        <w:t>4</w:t>
      </w:r>
      <w:r w:rsidRPr="0028033B">
        <w:t xml:space="preserve"> emission flux decreased by over 91 percent. </w:t>
      </w:r>
    </w:p>
    <w:p w14:paraId="5635BF3D" w14:textId="77777777" w:rsidR="00E46639" w:rsidRPr="0028033B" w:rsidRDefault="00E46639" w:rsidP="00E46639">
      <w:pPr>
        <w:pStyle w:val="BodyText"/>
        <w:spacing w:after="100"/>
      </w:pPr>
      <w:r w:rsidRPr="0028033B">
        <w:t>The mean reduction across the three treatments was 92 percent.</w:t>
      </w:r>
    </w:p>
    <w:p w14:paraId="66F67201" w14:textId="77777777" w:rsidR="00E46639" w:rsidRPr="0028033B" w:rsidRDefault="00E46639" w:rsidP="00E46639">
      <w:pPr>
        <w:pStyle w:val="BodyText"/>
        <w:spacing w:after="100"/>
      </w:pPr>
      <w:r w:rsidRPr="0028033B">
        <w:t>The parameters for including EcoPond™ treatment in the Inventory are:</w:t>
      </w:r>
    </w:p>
    <w:p w14:paraId="17809151" w14:textId="60508EFB" w:rsidR="00E46639" w:rsidRPr="0028033B" w:rsidRDefault="003273C5" w:rsidP="003273C5">
      <w:pPr>
        <w:pStyle w:val="Sub-lista"/>
        <w:numPr>
          <w:ilvl w:val="0"/>
          <w:numId w:val="0"/>
        </w:numPr>
      </w:pPr>
      <w:r>
        <w:rPr>
          <w:rFonts w:eastAsia="Arial"/>
        </w:rPr>
        <w:t>a)</w:t>
      </w:r>
      <w:r>
        <w:rPr>
          <w:rFonts w:eastAsia="Arial"/>
        </w:rPr>
        <w:tab/>
      </w:r>
      <w:r w:rsidR="00E46639" w:rsidRPr="0028033B">
        <w:rPr>
          <w:rFonts w:eastAsia="Arial"/>
        </w:rPr>
        <w:t xml:space="preserve">a 92 percent reduction in </w:t>
      </w:r>
      <w:r w:rsidR="00E46639" w:rsidRPr="0028033B">
        <w:rPr>
          <w:szCs w:val="24"/>
        </w:rPr>
        <w:t>CH</w:t>
      </w:r>
      <w:r w:rsidR="00E46639" w:rsidRPr="0028033B">
        <w:rPr>
          <w:szCs w:val="24"/>
          <w:vertAlign w:val="subscript"/>
        </w:rPr>
        <w:t>4</w:t>
      </w:r>
      <w:r w:rsidR="00E46639" w:rsidRPr="0028033B">
        <w:rPr>
          <w:rFonts w:eastAsia="Arial"/>
        </w:rPr>
        <w:t xml:space="preserve"> from anaerobic lagoons w</w:t>
      </w:r>
      <w:r w:rsidR="00E46639" w:rsidRPr="0028033B">
        <w:t>hen treated</w:t>
      </w:r>
    </w:p>
    <w:p w14:paraId="3A539B0E" w14:textId="496E3929" w:rsidR="00E46639" w:rsidRPr="0028033B" w:rsidRDefault="003273C5" w:rsidP="003273C5">
      <w:pPr>
        <w:pStyle w:val="Sub-lista"/>
        <w:numPr>
          <w:ilvl w:val="0"/>
          <w:numId w:val="0"/>
        </w:numPr>
      </w:pPr>
      <w:r>
        <w:rPr>
          <w:rFonts w:eastAsia="Arial"/>
        </w:rPr>
        <w:t>b)</w:t>
      </w:r>
      <w:r>
        <w:rPr>
          <w:rFonts w:eastAsia="Arial"/>
        </w:rPr>
        <w:tab/>
      </w:r>
      <w:r w:rsidR="00E46639" w:rsidRPr="0028033B">
        <w:rPr>
          <w:rFonts w:eastAsia="Arial"/>
        </w:rPr>
        <w:t xml:space="preserve">a six-week efficacy period. </w:t>
      </w:r>
    </w:p>
    <w:p w14:paraId="34703EA1" w14:textId="77777777" w:rsidR="00E46639" w:rsidRPr="0028033B" w:rsidRDefault="00E46639" w:rsidP="00E46639">
      <w:pPr>
        <w:pStyle w:val="BodyText"/>
      </w:pPr>
      <w:r w:rsidRPr="0028033B">
        <w:t xml:space="preserve">There is at present no impact on emissions from including this technology. We expect to see emission reductions as uptake increases. </w:t>
      </w:r>
    </w:p>
    <w:p w14:paraId="511F7876" w14:textId="05B436AB" w:rsidR="00E46639" w:rsidRPr="0028033B" w:rsidRDefault="00E46639" w:rsidP="00E46639">
      <w:pPr>
        <w:pStyle w:val="BodyText"/>
      </w:pPr>
      <w:r w:rsidRPr="0028033B">
        <w:t>For more information on the methodology</w:t>
      </w:r>
      <w:r w:rsidR="009543B4">
        <w:t>,</w:t>
      </w:r>
      <w:r w:rsidRPr="0028033B">
        <w:t xml:space="preserve"> see section 5.3.2.</w:t>
      </w:r>
    </w:p>
    <w:p w14:paraId="3F5D15C4" w14:textId="77777777" w:rsidR="00E46639" w:rsidRPr="0028033B" w:rsidRDefault="00E46639" w:rsidP="00E46639">
      <w:pPr>
        <w:pStyle w:val="Heading5"/>
      </w:pPr>
      <w:r w:rsidRPr="0028033B">
        <w:t>Updates to dairy manure and effluent management practices</w:t>
      </w:r>
    </w:p>
    <w:p w14:paraId="7118E44E" w14:textId="77777777" w:rsidR="00E46639" w:rsidRPr="0028033B" w:rsidRDefault="00E46639" w:rsidP="00E46639">
      <w:pPr>
        <w:pStyle w:val="BodyText"/>
        <w:rPr>
          <w:rFonts w:eastAsia="Calibri"/>
          <w:lang w:eastAsia="en-US"/>
        </w:rPr>
      </w:pPr>
      <w:r w:rsidRPr="0028033B">
        <w:rPr>
          <w:rFonts w:eastAsia="Calibri"/>
          <w:lang w:eastAsia="en-US"/>
        </w:rPr>
        <w:t xml:space="preserve">The 2025 inventory submission assumed that 8.5 percent of the manure from lactating cattle was directed to anaerobic lagoons. No other manure management systems were considered for dairy cattle. The 2025 inventory submission did not account for seasonal variation in the use of manure management systems. </w:t>
      </w:r>
    </w:p>
    <w:p w14:paraId="62FB77F3" w14:textId="77777777" w:rsidR="00E46639" w:rsidRPr="0028033B" w:rsidRDefault="00E46639" w:rsidP="00E46639">
      <w:pPr>
        <w:pStyle w:val="BodyText"/>
        <w:rPr>
          <w:rFonts w:eastAsia="Calibri"/>
          <w:szCs w:val="20"/>
          <w:lang w:eastAsia="en-US"/>
        </w:rPr>
      </w:pPr>
      <w:r w:rsidRPr="0028033B">
        <w:rPr>
          <w:rFonts w:eastAsia="Calibri"/>
          <w:lang w:eastAsia="en-US"/>
        </w:rPr>
        <w:t>Research conducted by AgResearch (</w:t>
      </w:r>
      <w:r w:rsidRPr="0028033B">
        <w:t>Luo et.al., unpublished(a))</w:t>
      </w:r>
      <w:r w:rsidRPr="0028033B">
        <w:rPr>
          <w:rFonts w:eastAsia="Calibri"/>
          <w:lang w:eastAsia="en-US"/>
        </w:rPr>
        <w:t xml:space="preserve"> has provided updated data on dairy manure management practices. The assessment included farm distribution, the number </w:t>
      </w:r>
      <w:r w:rsidRPr="0028033B">
        <w:rPr>
          <w:rFonts w:eastAsia="Calibri"/>
          <w:spacing w:val="-2"/>
          <w:lang w:eastAsia="en-US"/>
        </w:rPr>
        <w:t>of lactating cows, and the presence of three types of off-paddock facilities: feed pads, stand-off</w:t>
      </w:r>
      <w:r w:rsidRPr="0028033B">
        <w:rPr>
          <w:rFonts w:eastAsia="Calibri"/>
          <w:lang w:eastAsia="en-US"/>
        </w:rPr>
        <w:t xml:space="preserve"> loafing pads and livestock housing. Proportions of manure deposited on different structures were suggested for mature milking cows for 2022 to 2023 (table 5.3.13). </w:t>
      </w:r>
      <w:r w:rsidRPr="0028033B">
        <w:rPr>
          <w:rFonts w:eastAsia="Calibri"/>
          <w:szCs w:val="20"/>
          <w:lang w:eastAsia="en-US"/>
        </w:rPr>
        <w:t>Expert opinion was used to derive divisions between liquid and solid forms by collection structure (table 5.3.14).</w:t>
      </w:r>
    </w:p>
    <w:p w14:paraId="6435899B" w14:textId="77777777" w:rsidR="00E46639" w:rsidRPr="0028033B" w:rsidRDefault="00E46639" w:rsidP="00E46639">
      <w:pPr>
        <w:pStyle w:val="Table"/>
      </w:pPr>
      <w:bookmarkStart w:id="1034" w:name="_Toc222407638"/>
      <w:bookmarkStart w:id="1035" w:name="_Toc226669013"/>
      <w:r w:rsidRPr="0028033B">
        <w:rPr>
          <w:rFonts w:cs="Calibri"/>
        </w:rPr>
        <w:t>Table 5.3.13</w:t>
      </w:r>
      <w:r w:rsidRPr="0028033B">
        <w:rPr>
          <w:rFonts w:cs="Calibri"/>
        </w:rPr>
        <w:tab/>
        <w:t>P</w:t>
      </w:r>
      <w:r w:rsidRPr="0028033B">
        <w:rPr>
          <w:rFonts w:eastAsia="Calibri"/>
        </w:rPr>
        <w:t>roportions of manure deposited on different structures by mature milking cows, 2022 to 2023</w:t>
      </w:r>
      <w:bookmarkEnd w:id="1034"/>
      <w:bookmarkEnd w:id="1035"/>
    </w:p>
    <w:tbl>
      <w:tblPr>
        <w:tblStyle w:val="AgPannelPaper"/>
        <w:tblW w:w="8505" w:type="dxa"/>
        <w:tblBorders>
          <w:top w:val="single" w:sz="4" w:space="0" w:color="auto"/>
          <w:left w:val="single" w:sz="4" w:space="0" w:color="auto"/>
          <w:right w:val="single" w:sz="4" w:space="0" w:color="auto"/>
          <w:insideV w:val="single" w:sz="4" w:space="0" w:color="auto"/>
        </w:tblBorders>
        <w:tblLook w:val="04A0" w:firstRow="1" w:lastRow="0" w:firstColumn="1" w:lastColumn="0" w:noHBand="0" w:noVBand="1"/>
      </w:tblPr>
      <w:tblGrid>
        <w:gridCol w:w="3118"/>
        <w:gridCol w:w="5387"/>
      </w:tblGrid>
      <w:tr w:rsidR="00E46639" w:rsidRPr="009543B4" w14:paraId="11FE03A7" w14:textId="77777777" w:rsidTr="00F16E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8" w:type="dxa"/>
            <w:tcBorders>
              <w:top w:val="single" w:sz="4" w:space="0" w:color="1B556B" w:themeColor="text2"/>
              <w:left w:val="nil"/>
              <w:bottom w:val="single" w:sz="4" w:space="0" w:color="1B556B" w:themeColor="text2"/>
            </w:tcBorders>
            <w:shd w:val="clear" w:color="auto" w:fill="1C556C" w:themeFill="accent1"/>
            <w:noWrap/>
          </w:tcPr>
          <w:p w14:paraId="74ECE176" w14:textId="77777777" w:rsidR="00E46639" w:rsidRPr="009543B4" w:rsidRDefault="00E46639" w:rsidP="00F16E23">
            <w:pPr>
              <w:pStyle w:val="TableTextBold"/>
              <w:spacing w:before="40" w:after="40"/>
              <w:jc w:val="left"/>
              <w:rPr>
                <w:rFonts w:cs="Calibri"/>
                <w:b/>
                <w:bCs w:val="0"/>
                <w:noProof w:val="0"/>
              </w:rPr>
            </w:pPr>
            <w:r w:rsidRPr="009543B4">
              <w:rPr>
                <w:rFonts w:cs="Calibri"/>
                <w:b/>
                <w:bCs w:val="0"/>
                <w:noProof w:val="0"/>
              </w:rPr>
              <w:t>Structure</w:t>
            </w:r>
          </w:p>
        </w:tc>
        <w:tc>
          <w:tcPr>
            <w:tcW w:w="5387" w:type="dxa"/>
            <w:tcBorders>
              <w:top w:val="single" w:sz="4" w:space="0" w:color="1B556B" w:themeColor="text2"/>
              <w:left w:val="nil"/>
              <w:bottom w:val="single" w:sz="4" w:space="0" w:color="1B556B" w:themeColor="text2"/>
              <w:right w:val="nil"/>
            </w:tcBorders>
            <w:shd w:val="clear" w:color="auto" w:fill="1C556C" w:themeFill="accent1"/>
            <w:noWrap/>
          </w:tcPr>
          <w:p w14:paraId="3E926A1F" w14:textId="77777777" w:rsidR="00E46639" w:rsidRPr="009543B4"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rFonts w:cs="Calibri"/>
                <w:b/>
                <w:bCs w:val="0"/>
                <w:noProof w:val="0"/>
              </w:rPr>
            </w:pPr>
            <w:r w:rsidRPr="009543B4">
              <w:rPr>
                <w:rFonts w:cs="Calibri"/>
                <w:b/>
                <w:bCs w:val="0"/>
                <w:noProof w:val="0"/>
              </w:rPr>
              <w:t>Annual proportion of mature milking cow manure (%)</w:t>
            </w:r>
          </w:p>
        </w:tc>
      </w:tr>
      <w:tr w:rsidR="00E46639" w:rsidRPr="009543B4" w14:paraId="31903801"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sz="4" w:space="0" w:color="1B556B" w:themeColor="text2"/>
              <w:left w:val="nil"/>
              <w:bottom w:val="single" w:sz="4" w:space="0" w:color="1B556B" w:themeColor="text2"/>
            </w:tcBorders>
            <w:noWrap/>
            <w:hideMark/>
          </w:tcPr>
          <w:p w14:paraId="58DECFB8" w14:textId="77777777" w:rsidR="00E46639" w:rsidRPr="009543B4" w:rsidRDefault="00E46639" w:rsidP="00F16E23">
            <w:pPr>
              <w:pStyle w:val="TableText"/>
              <w:spacing w:before="40" w:after="40"/>
              <w:rPr>
                <w:rFonts w:cs="Calibri"/>
                <w:b w:val="0"/>
                <w:bCs w:val="0"/>
              </w:rPr>
            </w:pPr>
            <w:r w:rsidRPr="009543B4">
              <w:rPr>
                <w:rFonts w:cs="Calibri"/>
                <w:b w:val="0"/>
                <w:bCs w:val="0"/>
              </w:rPr>
              <w:t>Feed pad</w:t>
            </w:r>
          </w:p>
        </w:tc>
        <w:tc>
          <w:tcPr>
            <w:tcW w:w="5387" w:type="dxa"/>
            <w:tcBorders>
              <w:top w:val="single" w:sz="4" w:space="0" w:color="1B556B" w:themeColor="text2"/>
              <w:left w:val="nil"/>
              <w:bottom w:val="single" w:sz="4" w:space="0" w:color="1B556B" w:themeColor="text2"/>
              <w:right w:val="nil"/>
            </w:tcBorders>
            <w:noWrap/>
            <w:hideMark/>
          </w:tcPr>
          <w:p w14:paraId="76D3AC91" w14:textId="77777777" w:rsidR="00E46639" w:rsidRPr="009543B4"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rPr>
                <w:rFonts w:cs="Calibri"/>
              </w:rPr>
            </w:pPr>
            <w:r w:rsidRPr="009543B4">
              <w:rPr>
                <w:rFonts w:cs="Calibri"/>
              </w:rPr>
              <w:t>1.54</w:t>
            </w:r>
          </w:p>
        </w:tc>
      </w:tr>
      <w:tr w:rsidR="00E46639" w:rsidRPr="009543B4" w14:paraId="4E569CD1" w14:textId="77777777" w:rsidTr="00F16E23">
        <w:tc>
          <w:tcPr>
            <w:cnfStyle w:val="001000000000" w:firstRow="0" w:lastRow="0" w:firstColumn="1" w:lastColumn="0" w:oddVBand="0" w:evenVBand="0" w:oddHBand="0" w:evenHBand="0" w:firstRowFirstColumn="0" w:firstRowLastColumn="0" w:lastRowFirstColumn="0" w:lastRowLastColumn="0"/>
            <w:tcW w:w="3118" w:type="dxa"/>
            <w:tcBorders>
              <w:top w:val="single" w:sz="4" w:space="0" w:color="1B556B" w:themeColor="text2"/>
              <w:left w:val="nil"/>
              <w:bottom w:val="single" w:sz="4" w:space="0" w:color="1B556B" w:themeColor="text2"/>
            </w:tcBorders>
            <w:noWrap/>
            <w:hideMark/>
          </w:tcPr>
          <w:p w14:paraId="04C145A0" w14:textId="77777777" w:rsidR="00E46639" w:rsidRPr="009543B4" w:rsidRDefault="00E46639" w:rsidP="00F16E23">
            <w:pPr>
              <w:pStyle w:val="TableText"/>
              <w:spacing w:before="40" w:after="40"/>
              <w:rPr>
                <w:rFonts w:cs="Calibri"/>
                <w:b w:val="0"/>
                <w:bCs w:val="0"/>
              </w:rPr>
            </w:pPr>
            <w:r w:rsidRPr="009543B4">
              <w:rPr>
                <w:rFonts w:cs="Calibri"/>
                <w:b w:val="0"/>
                <w:bCs w:val="0"/>
              </w:rPr>
              <w:t>Stand-off loafing pad</w:t>
            </w:r>
          </w:p>
        </w:tc>
        <w:tc>
          <w:tcPr>
            <w:tcW w:w="5387" w:type="dxa"/>
            <w:tcBorders>
              <w:top w:val="single" w:sz="4" w:space="0" w:color="1B556B" w:themeColor="text2"/>
              <w:left w:val="nil"/>
              <w:bottom w:val="single" w:sz="4" w:space="0" w:color="1B556B" w:themeColor="text2"/>
              <w:right w:val="nil"/>
            </w:tcBorders>
            <w:noWrap/>
            <w:hideMark/>
          </w:tcPr>
          <w:p w14:paraId="0598B4A4" w14:textId="77777777" w:rsidR="00E46639" w:rsidRPr="009543B4"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rPr>
                <w:rFonts w:cs="Calibri"/>
              </w:rPr>
            </w:pPr>
            <w:r w:rsidRPr="009543B4">
              <w:rPr>
                <w:rFonts w:cs="Calibri"/>
              </w:rPr>
              <w:t>0.30</w:t>
            </w:r>
          </w:p>
        </w:tc>
      </w:tr>
      <w:tr w:rsidR="00E46639" w:rsidRPr="009543B4" w14:paraId="4567FC6C"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sz="4" w:space="0" w:color="1B556B" w:themeColor="text2"/>
              <w:left w:val="nil"/>
              <w:bottom w:val="single" w:sz="4" w:space="0" w:color="1B556B" w:themeColor="text2"/>
            </w:tcBorders>
            <w:noWrap/>
            <w:hideMark/>
          </w:tcPr>
          <w:p w14:paraId="6BCAE254" w14:textId="77777777" w:rsidR="00E46639" w:rsidRPr="009543B4" w:rsidRDefault="00E46639" w:rsidP="00F16E23">
            <w:pPr>
              <w:pStyle w:val="TableText"/>
              <w:spacing w:before="40" w:after="40"/>
              <w:rPr>
                <w:rFonts w:cs="Calibri"/>
                <w:b w:val="0"/>
                <w:bCs w:val="0"/>
              </w:rPr>
            </w:pPr>
            <w:r w:rsidRPr="009543B4">
              <w:rPr>
                <w:rFonts w:cs="Calibri"/>
                <w:b w:val="0"/>
                <w:bCs w:val="0"/>
              </w:rPr>
              <w:t>Housing</w:t>
            </w:r>
          </w:p>
        </w:tc>
        <w:tc>
          <w:tcPr>
            <w:tcW w:w="5387" w:type="dxa"/>
            <w:tcBorders>
              <w:top w:val="single" w:sz="4" w:space="0" w:color="1B556B" w:themeColor="text2"/>
              <w:left w:val="nil"/>
              <w:bottom w:val="single" w:sz="4" w:space="0" w:color="1B556B" w:themeColor="text2"/>
              <w:right w:val="nil"/>
            </w:tcBorders>
            <w:noWrap/>
            <w:hideMark/>
          </w:tcPr>
          <w:p w14:paraId="615999A3" w14:textId="77777777" w:rsidR="00E46639" w:rsidRPr="009543B4"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rPr>
                <w:rFonts w:cs="Calibri"/>
              </w:rPr>
            </w:pPr>
            <w:r w:rsidRPr="009543B4">
              <w:rPr>
                <w:rFonts w:cs="Calibri"/>
              </w:rPr>
              <w:t>0.85</w:t>
            </w:r>
          </w:p>
        </w:tc>
      </w:tr>
      <w:tr w:rsidR="00E46639" w:rsidRPr="009543B4" w14:paraId="6D70CF77" w14:textId="77777777" w:rsidTr="00F16E23">
        <w:tc>
          <w:tcPr>
            <w:cnfStyle w:val="001000000000" w:firstRow="0" w:lastRow="0" w:firstColumn="1" w:lastColumn="0" w:oddVBand="0" w:evenVBand="0" w:oddHBand="0" w:evenHBand="0" w:firstRowFirstColumn="0" w:firstRowLastColumn="0" w:lastRowFirstColumn="0" w:lastRowLastColumn="0"/>
            <w:tcW w:w="3118" w:type="dxa"/>
            <w:tcBorders>
              <w:top w:val="single" w:sz="4" w:space="0" w:color="1B556B" w:themeColor="text2"/>
              <w:left w:val="nil"/>
              <w:bottom w:val="single" w:sz="4" w:space="0" w:color="1B556B" w:themeColor="text2"/>
            </w:tcBorders>
            <w:noWrap/>
            <w:hideMark/>
          </w:tcPr>
          <w:p w14:paraId="414B9EE4" w14:textId="77777777" w:rsidR="00E46639" w:rsidRPr="009543B4" w:rsidRDefault="00E46639" w:rsidP="00F16E23">
            <w:pPr>
              <w:pStyle w:val="TableText"/>
              <w:spacing w:before="40" w:after="40"/>
              <w:rPr>
                <w:rFonts w:cs="Calibri"/>
                <w:b w:val="0"/>
                <w:bCs w:val="0"/>
              </w:rPr>
            </w:pPr>
            <w:r w:rsidRPr="009543B4">
              <w:rPr>
                <w:rFonts w:cs="Calibri"/>
                <w:b w:val="0"/>
                <w:bCs w:val="0"/>
              </w:rPr>
              <w:t>Milking shed</w:t>
            </w:r>
          </w:p>
        </w:tc>
        <w:tc>
          <w:tcPr>
            <w:tcW w:w="5387" w:type="dxa"/>
            <w:tcBorders>
              <w:top w:val="single" w:sz="4" w:space="0" w:color="1B556B" w:themeColor="text2"/>
              <w:left w:val="nil"/>
              <w:bottom w:val="single" w:sz="4" w:space="0" w:color="1B556B" w:themeColor="text2"/>
              <w:right w:val="nil"/>
            </w:tcBorders>
            <w:noWrap/>
            <w:hideMark/>
          </w:tcPr>
          <w:p w14:paraId="0D1B5AA3" w14:textId="77777777" w:rsidR="00E46639" w:rsidRPr="009543B4"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rPr>
                <w:rFonts w:cs="Calibri"/>
              </w:rPr>
            </w:pPr>
            <w:r w:rsidRPr="009543B4">
              <w:rPr>
                <w:rFonts w:cs="Calibri"/>
              </w:rPr>
              <w:t>6.41</w:t>
            </w:r>
          </w:p>
        </w:tc>
      </w:tr>
      <w:tr w:rsidR="00E46639" w:rsidRPr="009543B4" w14:paraId="04100836"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sz="4" w:space="0" w:color="1B556B" w:themeColor="text2"/>
              <w:left w:val="nil"/>
              <w:bottom w:val="single" w:sz="4" w:space="0" w:color="1B556B" w:themeColor="text2"/>
            </w:tcBorders>
            <w:noWrap/>
          </w:tcPr>
          <w:p w14:paraId="1BD40789" w14:textId="77777777" w:rsidR="00E46639" w:rsidRPr="009543B4" w:rsidRDefault="00E46639" w:rsidP="00F16E23">
            <w:pPr>
              <w:pStyle w:val="TableText"/>
              <w:spacing w:before="40" w:after="40"/>
              <w:rPr>
                <w:rFonts w:cs="Calibri"/>
              </w:rPr>
            </w:pPr>
            <w:r w:rsidRPr="009543B4">
              <w:rPr>
                <w:rFonts w:cs="Calibri"/>
              </w:rPr>
              <w:t>Total</w:t>
            </w:r>
          </w:p>
        </w:tc>
        <w:tc>
          <w:tcPr>
            <w:tcW w:w="5387" w:type="dxa"/>
            <w:tcBorders>
              <w:top w:val="single" w:sz="4" w:space="0" w:color="1B556B" w:themeColor="text2"/>
              <w:left w:val="nil"/>
              <w:bottom w:val="single" w:sz="4" w:space="0" w:color="1B556B" w:themeColor="text2"/>
              <w:right w:val="nil"/>
            </w:tcBorders>
            <w:noWrap/>
          </w:tcPr>
          <w:p w14:paraId="3031DDA0" w14:textId="77777777" w:rsidR="00E46639" w:rsidRPr="009543B4"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rPr>
            </w:pPr>
            <w:r w:rsidRPr="009543B4">
              <w:rPr>
                <w:rFonts w:cs="Calibri"/>
                <w:b/>
                <w:bCs/>
              </w:rPr>
              <w:t>9.10</w:t>
            </w:r>
          </w:p>
        </w:tc>
      </w:tr>
    </w:tbl>
    <w:p w14:paraId="7617C539" w14:textId="77777777" w:rsidR="00E46639" w:rsidRPr="0028033B" w:rsidRDefault="00E46639" w:rsidP="00E46639">
      <w:pPr>
        <w:pStyle w:val="Table"/>
        <w:spacing w:before="360"/>
        <w:rPr>
          <w:rFonts w:eastAsia="Calibri"/>
        </w:rPr>
      </w:pPr>
      <w:bookmarkStart w:id="1036" w:name="_Toc222407639"/>
      <w:bookmarkStart w:id="1037" w:name="_Toc226669014"/>
      <w:r w:rsidRPr="0028033B">
        <w:rPr>
          <w:rFonts w:cs="Calibri"/>
        </w:rPr>
        <w:t>Table 5.3.14</w:t>
      </w:r>
      <w:r w:rsidRPr="0028033B">
        <w:rPr>
          <w:rFonts w:cs="Calibri"/>
        </w:rPr>
        <w:tab/>
      </w:r>
      <w:r w:rsidRPr="0028033B">
        <w:t>Division between solid and liquid/slurry for manure from structures</w:t>
      </w:r>
      <w:bookmarkEnd w:id="1036"/>
      <w:bookmarkEnd w:id="1037"/>
    </w:p>
    <w:tbl>
      <w:tblPr>
        <w:tblStyle w:val="AgPannelPaper"/>
        <w:tblW w:w="8505" w:type="dxa"/>
        <w:tblBorders>
          <w:top w:val="single" w:sz="2" w:space="0" w:color="1B556B" w:themeColor="text2"/>
          <w:bottom w:val="single" w:sz="2" w:space="0" w:color="1B556B" w:themeColor="text2"/>
          <w:insideH w:val="single" w:sz="2" w:space="0" w:color="1B556B" w:themeColor="text2"/>
        </w:tblBorders>
        <w:tblLayout w:type="fixed"/>
        <w:tblLook w:val="04A0" w:firstRow="1" w:lastRow="0" w:firstColumn="1" w:lastColumn="0" w:noHBand="0" w:noVBand="1"/>
      </w:tblPr>
      <w:tblGrid>
        <w:gridCol w:w="1843"/>
        <w:gridCol w:w="1418"/>
        <w:gridCol w:w="2551"/>
        <w:gridCol w:w="2693"/>
      </w:tblGrid>
      <w:tr w:rsidR="00E46639" w:rsidRPr="0028033B" w14:paraId="5BCDA195" w14:textId="77777777" w:rsidTr="009543B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tcBorders>
              <w:bottom w:val="none" w:sz="0" w:space="0" w:color="auto"/>
              <w:right w:val="none" w:sz="0" w:space="0" w:color="auto"/>
            </w:tcBorders>
            <w:noWrap/>
            <w:vAlign w:val="bottom"/>
            <w:hideMark/>
          </w:tcPr>
          <w:p w14:paraId="08F61219" w14:textId="77777777" w:rsidR="00E46639" w:rsidRPr="0028033B" w:rsidRDefault="00E46639" w:rsidP="00F16E23">
            <w:pPr>
              <w:pStyle w:val="TableTextBold"/>
              <w:keepNext/>
              <w:spacing w:before="40" w:after="40"/>
              <w:jc w:val="left"/>
              <w:rPr>
                <w:rFonts w:eastAsia="Times New Roman" w:cs="Times New Roman"/>
                <w:b/>
                <w:bCs w:val="0"/>
                <w:noProof w:val="0"/>
              </w:rPr>
            </w:pPr>
            <w:r w:rsidRPr="0028033B">
              <w:rPr>
                <w:rFonts w:eastAsia="Times New Roman" w:cs="Times New Roman"/>
                <w:b/>
                <w:bCs w:val="0"/>
                <w:noProof w:val="0"/>
              </w:rPr>
              <w:t>Structure</w:t>
            </w:r>
          </w:p>
        </w:tc>
        <w:tc>
          <w:tcPr>
            <w:tcW w:w="1418" w:type="dxa"/>
            <w:vAlign w:val="bottom"/>
          </w:tcPr>
          <w:p w14:paraId="6320FC42" w14:textId="77777777" w:rsidR="00E46639" w:rsidRPr="0028033B" w:rsidRDefault="00E46639" w:rsidP="00F16E23">
            <w:pPr>
              <w:pStyle w:val="TableTextBold"/>
              <w:keepNext/>
              <w:spacing w:before="40" w:after="40"/>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bCs w:val="0"/>
                <w:noProof w:val="0"/>
              </w:rPr>
            </w:pPr>
            <w:r w:rsidRPr="0028033B">
              <w:rPr>
                <w:rFonts w:eastAsia="Times New Roman" w:cs="Times New Roman"/>
                <w:b/>
                <w:bCs w:val="0"/>
                <w:noProof w:val="0"/>
              </w:rPr>
              <w:t>Total (%)</w:t>
            </w:r>
          </w:p>
        </w:tc>
        <w:tc>
          <w:tcPr>
            <w:tcW w:w="2551" w:type="dxa"/>
            <w:noWrap/>
            <w:vAlign w:val="bottom"/>
            <w:hideMark/>
          </w:tcPr>
          <w:p w14:paraId="037A4C24" w14:textId="77777777" w:rsidR="00E46639" w:rsidRPr="0028033B" w:rsidRDefault="00E46639" w:rsidP="00F16E23">
            <w:pPr>
              <w:pStyle w:val="TableTextBold"/>
              <w:keepNext/>
              <w:spacing w:before="40" w:after="40"/>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bCs w:val="0"/>
                <w:noProof w:val="0"/>
              </w:rPr>
            </w:pPr>
            <w:r w:rsidRPr="0028033B">
              <w:rPr>
                <w:rFonts w:eastAsia="Times New Roman" w:cs="Times New Roman"/>
                <w:b/>
                <w:bCs w:val="0"/>
                <w:noProof w:val="0"/>
              </w:rPr>
              <w:t>Solid (solid storage) (%)</w:t>
            </w:r>
          </w:p>
        </w:tc>
        <w:tc>
          <w:tcPr>
            <w:tcW w:w="2693" w:type="dxa"/>
            <w:noWrap/>
            <w:vAlign w:val="bottom"/>
            <w:hideMark/>
          </w:tcPr>
          <w:p w14:paraId="05C7C498" w14:textId="77777777" w:rsidR="00E46639" w:rsidRPr="0028033B" w:rsidRDefault="00E46639" w:rsidP="00F16E23">
            <w:pPr>
              <w:pStyle w:val="TableTextBold"/>
              <w:keepNext/>
              <w:spacing w:before="40" w:after="40"/>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bCs w:val="0"/>
                <w:noProof w:val="0"/>
              </w:rPr>
            </w:pPr>
            <w:r w:rsidRPr="0028033B">
              <w:rPr>
                <w:rFonts w:eastAsia="Times New Roman" w:cs="Times New Roman"/>
                <w:b/>
                <w:bCs w:val="0"/>
                <w:noProof w:val="0"/>
              </w:rPr>
              <w:t>Liquid/slurry (anaerobic lagoon) (%)</w:t>
            </w:r>
          </w:p>
        </w:tc>
      </w:tr>
      <w:tr w:rsidR="00E46639" w:rsidRPr="0028033B" w14:paraId="34B27EF3" w14:textId="77777777" w:rsidTr="005157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bottom w:val="single" w:sz="2" w:space="0" w:color="1B556B" w:themeColor="text2"/>
              <w:right w:val="none" w:sz="0" w:space="0" w:color="auto"/>
            </w:tcBorders>
            <w:noWrap/>
          </w:tcPr>
          <w:p w14:paraId="7ABCAAF7" w14:textId="77777777" w:rsidR="00E46639" w:rsidRPr="0028033B" w:rsidRDefault="00E46639" w:rsidP="00F16E23">
            <w:pPr>
              <w:pStyle w:val="TableText"/>
              <w:spacing w:before="40" w:after="40"/>
              <w:rPr>
                <w:b w:val="0"/>
                <w:bCs w:val="0"/>
              </w:rPr>
            </w:pPr>
            <w:r w:rsidRPr="0028033B">
              <w:rPr>
                <w:b w:val="0"/>
                <w:bCs w:val="0"/>
              </w:rPr>
              <w:t>Feed pad</w:t>
            </w:r>
          </w:p>
        </w:tc>
        <w:tc>
          <w:tcPr>
            <w:tcW w:w="1418" w:type="dxa"/>
            <w:tcBorders>
              <w:top w:val="none" w:sz="0" w:space="0" w:color="auto"/>
              <w:bottom w:val="single" w:sz="2" w:space="0" w:color="1B556B" w:themeColor="text2"/>
            </w:tcBorders>
          </w:tcPr>
          <w:p w14:paraId="32F7BDC4"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1.54</w:t>
            </w:r>
          </w:p>
        </w:tc>
        <w:tc>
          <w:tcPr>
            <w:tcW w:w="2551" w:type="dxa"/>
            <w:tcBorders>
              <w:top w:val="none" w:sz="0" w:space="0" w:color="auto"/>
              <w:bottom w:val="single" w:sz="2" w:space="0" w:color="1B556B" w:themeColor="text2"/>
            </w:tcBorders>
            <w:noWrap/>
          </w:tcPr>
          <w:p w14:paraId="6537E1BE"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0.77</w:t>
            </w:r>
          </w:p>
        </w:tc>
        <w:tc>
          <w:tcPr>
            <w:tcW w:w="2693" w:type="dxa"/>
            <w:tcBorders>
              <w:top w:val="none" w:sz="0" w:space="0" w:color="auto"/>
              <w:bottom w:val="single" w:sz="2" w:space="0" w:color="1B556B" w:themeColor="text2"/>
            </w:tcBorders>
            <w:noWrap/>
          </w:tcPr>
          <w:p w14:paraId="2BDC1230"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0.77</w:t>
            </w:r>
          </w:p>
        </w:tc>
      </w:tr>
      <w:tr w:rsidR="00E46639" w:rsidRPr="0028033B" w14:paraId="028E295C" w14:textId="77777777" w:rsidTr="009543B4">
        <w:tc>
          <w:tcPr>
            <w:cnfStyle w:val="001000000000" w:firstRow="0" w:lastRow="0" w:firstColumn="1" w:lastColumn="0" w:oddVBand="0" w:evenVBand="0" w:oddHBand="0" w:evenHBand="0" w:firstRowFirstColumn="0" w:firstRowLastColumn="0" w:lastRowFirstColumn="0" w:lastRowLastColumn="0"/>
            <w:tcW w:w="1843" w:type="dxa"/>
            <w:tcBorders>
              <w:right w:val="none" w:sz="0" w:space="0" w:color="auto"/>
            </w:tcBorders>
            <w:noWrap/>
            <w:hideMark/>
          </w:tcPr>
          <w:p w14:paraId="3EBCFD01" w14:textId="77777777" w:rsidR="00E46639" w:rsidRPr="0028033B" w:rsidRDefault="00E46639" w:rsidP="00F16E23">
            <w:pPr>
              <w:pStyle w:val="TableText"/>
              <w:spacing w:before="40" w:after="40"/>
              <w:rPr>
                <w:b w:val="0"/>
                <w:bCs w:val="0"/>
              </w:rPr>
            </w:pPr>
            <w:r w:rsidRPr="0028033B">
              <w:rPr>
                <w:b w:val="0"/>
                <w:bCs w:val="0"/>
              </w:rPr>
              <w:t>Stand-off loafing pad</w:t>
            </w:r>
          </w:p>
        </w:tc>
        <w:tc>
          <w:tcPr>
            <w:tcW w:w="1418" w:type="dxa"/>
          </w:tcPr>
          <w:p w14:paraId="7342E933"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0.30</w:t>
            </w:r>
          </w:p>
        </w:tc>
        <w:tc>
          <w:tcPr>
            <w:tcW w:w="2551" w:type="dxa"/>
            <w:noWrap/>
            <w:hideMark/>
          </w:tcPr>
          <w:p w14:paraId="68F9418F"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0.30</w:t>
            </w:r>
          </w:p>
        </w:tc>
        <w:tc>
          <w:tcPr>
            <w:tcW w:w="2693" w:type="dxa"/>
            <w:noWrap/>
            <w:hideMark/>
          </w:tcPr>
          <w:p w14:paraId="3D550ADA"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0.00</w:t>
            </w:r>
          </w:p>
        </w:tc>
      </w:tr>
      <w:tr w:rsidR="00E46639" w:rsidRPr="0028033B" w14:paraId="73978AAF" w14:textId="77777777" w:rsidTr="00954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bottom w:val="none" w:sz="0" w:space="0" w:color="auto"/>
              <w:right w:val="none" w:sz="0" w:space="0" w:color="auto"/>
            </w:tcBorders>
            <w:noWrap/>
          </w:tcPr>
          <w:p w14:paraId="22D571EF" w14:textId="77777777" w:rsidR="00E46639" w:rsidRPr="0028033B" w:rsidRDefault="00E46639" w:rsidP="00F16E23">
            <w:pPr>
              <w:pStyle w:val="TableText"/>
              <w:spacing w:before="40" w:after="40"/>
              <w:rPr>
                <w:b w:val="0"/>
                <w:bCs w:val="0"/>
              </w:rPr>
            </w:pPr>
            <w:r w:rsidRPr="0028033B">
              <w:rPr>
                <w:b w:val="0"/>
                <w:bCs w:val="0"/>
              </w:rPr>
              <w:t>Housing</w:t>
            </w:r>
          </w:p>
        </w:tc>
        <w:tc>
          <w:tcPr>
            <w:tcW w:w="1418" w:type="dxa"/>
            <w:tcBorders>
              <w:top w:val="none" w:sz="0" w:space="0" w:color="auto"/>
              <w:bottom w:val="none" w:sz="0" w:space="0" w:color="auto"/>
            </w:tcBorders>
          </w:tcPr>
          <w:p w14:paraId="7180AA8D"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0.85</w:t>
            </w:r>
          </w:p>
        </w:tc>
        <w:tc>
          <w:tcPr>
            <w:tcW w:w="2551" w:type="dxa"/>
            <w:tcBorders>
              <w:top w:val="none" w:sz="0" w:space="0" w:color="auto"/>
              <w:bottom w:val="none" w:sz="0" w:space="0" w:color="auto"/>
            </w:tcBorders>
            <w:noWrap/>
          </w:tcPr>
          <w:p w14:paraId="701BD410"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0.43</w:t>
            </w:r>
          </w:p>
        </w:tc>
        <w:tc>
          <w:tcPr>
            <w:tcW w:w="2693" w:type="dxa"/>
            <w:tcBorders>
              <w:top w:val="none" w:sz="0" w:space="0" w:color="auto"/>
              <w:bottom w:val="none" w:sz="0" w:space="0" w:color="auto"/>
            </w:tcBorders>
            <w:noWrap/>
          </w:tcPr>
          <w:p w14:paraId="76A358EE"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0.43</w:t>
            </w:r>
          </w:p>
        </w:tc>
      </w:tr>
      <w:tr w:rsidR="00E46639" w:rsidRPr="0028033B" w14:paraId="7FD7E9E5" w14:textId="77777777" w:rsidTr="009543B4">
        <w:tc>
          <w:tcPr>
            <w:cnfStyle w:val="001000000000" w:firstRow="0" w:lastRow="0" w:firstColumn="1" w:lastColumn="0" w:oddVBand="0" w:evenVBand="0" w:oddHBand="0" w:evenHBand="0" w:firstRowFirstColumn="0" w:firstRowLastColumn="0" w:lastRowFirstColumn="0" w:lastRowLastColumn="0"/>
            <w:tcW w:w="1843" w:type="dxa"/>
            <w:tcBorders>
              <w:right w:val="none" w:sz="0" w:space="0" w:color="auto"/>
            </w:tcBorders>
            <w:noWrap/>
            <w:hideMark/>
          </w:tcPr>
          <w:p w14:paraId="17B04EE4" w14:textId="77777777" w:rsidR="00E46639" w:rsidRPr="0028033B" w:rsidRDefault="00E46639" w:rsidP="00F16E23">
            <w:pPr>
              <w:pStyle w:val="TableText"/>
              <w:spacing w:before="40" w:after="40"/>
              <w:rPr>
                <w:b w:val="0"/>
                <w:bCs w:val="0"/>
              </w:rPr>
            </w:pPr>
            <w:r w:rsidRPr="0028033B">
              <w:rPr>
                <w:b w:val="0"/>
                <w:bCs w:val="0"/>
              </w:rPr>
              <w:t>Milking shed</w:t>
            </w:r>
          </w:p>
        </w:tc>
        <w:tc>
          <w:tcPr>
            <w:tcW w:w="1418" w:type="dxa"/>
          </w:tcPr>
          <w:p w14:paraId="61CF4948"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6.41</w:t>
            </w:r>
          </w:p>
        </w:tc>
        <w:tc>
          <w:tcPr>
            <w:tcW w:w="2551" w:type="dxa"/>
            <w:noWrap/>
            <w:hideMark/>
          </w:tcPr>
          <w:p w14:paraId="683B41CB"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0.00</w:t>
            </w:r>
          </w:p>
        </w:tc>
        <w:tc>
          <w:tcPr>
            <w:tcW w:w="2693" w:type="dxa"/>
            <w:noWrap/>
            <w:hideMark/>
          </w:tcPr>
          <w:p w14:paraId="44580580"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6.41</w:t>
            </w:r>
          </w:p>
        </w:tc>
      </w:tr>
      <w:tr w:rsidR="00E46639" w:rsidRPr="0028033B" w14:paraId="0F822114" w14:textId="77777777" w:rsidTr="00954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none" w:sz="0" w:space="0" w:color="auto"/>
              <w:bottom w:val="none" w:sz="0" w:space="0" w:color="auto"/>
              <w:right w:val="none" w:sz="0" w:space="0" w:color="auto"/>
            </w:tcBorders>
            <w:noWrap/>
            <w:hideMark/>
          </w:tcPr>
          <w:p w14:paraId="1934F3B3" w14:textId="77777777" w:rsidR="00E46639" w:rsidRPr="0028033B" w:rsidRDefault="00E46639" w:rsidP="00F16E23">
            <w:pPr>
              <w:pStyle w:val="TableText"/>
              <w:spacing w:before="40" w:after="40"/>
            </w:pPr>
            <w:r w:rsidRPr="0028033B">
              <w:t>Total</w:t>
            </w:r>
          </w:p>
        </w:tc>
        <w:tc>
          <w:tcPr>
            <w:tcW w:w="1418" w:type="dxa"/>
            <w:tcBorders>
              <w:top w:val="none" w:sz="0" w:space="0" w:color="auto"/>
              <w:bottom w:val="none" w:sz="0" w:space="0" w:color="auto"/>
            </w:tcBorders>
          </w:tcPr>
          <w:p w14:paraId="1F75D719"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rPr>
                <w:b/>
                <w:bCs/>
              </w:rPr>
            </w:pPr>
            <w:r w:rsidRPr="0028033B">
              <w:rPr>
                <w:b/>
                <w:bCs/>
              </w:rPr>
              <w:t>9.10</w:t>
            </w:r>
          </w:p>
        </w:tc>
        <w:tc>
          <w:tcPr>
            <w:tcW w:w="2551" w:type="dxa"/>
            <w:tcBorders>
              <w:top w:val="none" w:sz="0" w:space="0" w:color="auto"/>
              <w:bottom w:val="none" w:sz="0" w:space="0" w:color="auto"/>
            </w:tcBorders>
            <w:noWrap/>
            <w:hideMark/>
          </w:tcPr>
          <w:p w14:paraId="06C98EFC"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rPr>
                <w:b/>
                <w:bCs/>
              </w:rPr>
            </w:pPr>
            <w:r w:rsidRPr="0028033B">
              <w:rPr>
                <w:b/>
                <w:bCs/>
              </w:rPr>
              <w:t>1.50</w:t>
            </w:r>
          </w:p>
        </w:tc>
        <w:tc>
          <w:tcPr>
            <w:tcW w:w="2693" w:type="dxa"/>
            <w:tcBorders>
              <w:top w:val="none" w:sz="0" w:space="0" w:color="auto"/>
              <w:bottom w:val="none" w:sz="0" w:space="0" w:color="auto"/>
            </w:tcBorders>
            <w:noWrap/>
            <w:hideMark/>
          </w:tcPr>
          <w:p w14:paraId="7D7F1629"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rPr>
                <w:b/>
                <w:bCs/>
              </w:rPr>
            </w:pPr>
            <w:r w:rsidRPr="0028033B">
              <w:rPr>
                <w:b/>
                <w:bCs/>
              </w:rPr>
              <w:t>7.61</w:t>
            </w:r>
          </w:p>
        </w:tc>
      </w:tr>
    </w:tbl>
    <w:p w14:paraId="0E3BAB40" w14:textId="77777777" w:rsidR="00E46639" w:rsidRPr="0028033B" w:rsidRDefault="00E46639" w:rsidP="00E46639">
      <w:pPr>
        <w:pStyle w:val="BodyText"/>
        <w:spacing w:before="240"/>
        <w:rPr>
          <w:rFonts w:eastAsia="Calibri"/>
          <w:lang w:eastAsia="en-US"/>
        </w:rPr>
      </w:pPr>
      <w:r w:rsidRPr="0028033B">
        <w:rPr>
          <w:rFonts w:eastAsia="Calibri"/>
          <w:lang w:eastAsia="en-US"/>
        </w:rPr>
        <w:t>The analysis found seasonal patterns in the use of off-paddock facilities. Usage was highest in winter, lowest in summer and moderate in spring and autumn. Livestock housing and loafing pads were used most during winter, while feed pads were used evenly throughout the year.</w:t>
      </w:r>
    </w:p>
    <w:p w14:paraId="22256575" w14:textId="77777777" w:rsidR="00E46639" w:rsidRPr="0028033B" w:rsidRDefault="00E46639" w:rsidP="00E46639">
      <w:pPr>
        <w:pStyle w:val="BodyText"/>
        <w:rPr>
          <w:rFonts w:eastAsia="Calibri"/>
          <w:lang w:eastAsia="en-US"/>
        </w:rPr>
      </w:pPr>
      <w:r w:rsidRPr="0028033B">
        <w:rPr>
          <w:rFonts w:eastAsia="Calibri"/>
          <w:lang w:eastAsia="en-US"/>
        </w:rPr>
        <w:t>The annual proportions of manure collected in each facility are used to calculate the total annual manure collected in each facility. These annual totals are then allocated by month using the relative seasonal distribution (table 5.3.15). This method ensures that seasonal allocation remains consistent with the annual proportions. Manure collected in milking sheds is allocated using a similar procedure. The proportion of annual milk collected in each month is used to allocate the total annual manure to month.</w:t>
      </w:r>
    </w:p>
    <w:p w14:paraId="0FB1FD9E" w14:textId="77777777" w:rsidR="00E46639" w:rsidRPr="0028033B" w:rsidRDefault="00E46639" w:rsidP="00E46639">
      <w:pPr>
        <w:pStyle w:val="Table"/>
      </w:pPr>
      <w:bookmarkStart w:id="1038" w:name="_Toc222407640"/>
      <w:bookmarkStart w:id="1039" w:name="_Toc226669015"/>
      <w:r w:rsidRPr="0028033B">
        <w:rPr>
          <w:rFonts w:cs="Calibri"/>
        </w:rPr>
        <w:t>Table 5.3.15</w:t>
      </w:r>
      <w:r w:rsidRPr="0028033B">
        <w:rPr>
          <w:rFonts w:cs="Calibri"/>
        </w:rPr>
        <w:tab/>
      </w:r>
      <w:bookmarkStart w:id="1040" w:name="_Hlk216359077"/>
      <w:r w:rsidRPr="0028033B">
        <w:t xml:space="preserve">Seasonal </w:t>
      </w:r>
      <w:bookmarkEnd w:id="1040"/>
      <w:r w:rsidRPr="0028033B">
        <w:t>proportion of total annual manure collected on off-paddock facilities (excluding milking sheds)</w:t>
      </w:r>
      <w:bookmarkEnd w:id="1038"/>
      <w:bookmarkEnd w:id="1039"/>
    </w:p>
    <w:tbl>
      <w:tblPr>
        <w:tblStyle w:val="AgPannelPaper"/>
        <w:tblW w:w="8505" w:type="dxa"/>
        <w:tblBorders>
          <w:bottom w:val="single" w:sz="4" w:space="0" w:color="1B556B" w:themeColor="text2"/>
          <w:insideH w:val="single" w:sz="4" w:space="0" w:color="1B556B" w:themeColor="text2"/>
        </w:tblBorders>
        <w:tblLayout w:type="fixed"/>
        <w:tblLook w:val="04A0" w:firstRow="1" w:lastRow="0" w:firstColumn="1" w:lastColumn="0" w:noHBand="0" w:noVBand="1"/>
      </w:tblPr>
      <w:tblGrid>
        <w:gridCol w:w="1632"/>
        <w:gridCol w:w="1631"/>
        <w:gridCol w:w="1689"/>
        <w:gridCol w:w="1747"/>
        <w:gridCol w:w="1806"/>
      </w:tblGrid>
      <w:tr w:rsidR="00E46639" w:rsidRPr="0028033B" w14:paraId="2324BF0D" w14:textId="77777777" w:rsidTr="00F16E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88" w:type="dxa"/>
            <w:tcBorders>
              <w:top w:val="single" w:sz="4" w:space="0" w:color="1C556C" w:themeColor="accent1"/>
              <w:bottom w:val="single" w:sz="4" w:space="0" w:color="1C556C" w:themeColor="accent1"/>
              <w:right w:val="none" w:sz="0" w:space="0" w:color="auto"/>
            </w:tcBorders>
            <w:shd w:val="clear" w:color="auto" w:fill="1C556C" w:themeFill="accent1"/>
            <w:noWrap/>
            <w:vAlign w:val="bottom"/>
            <w:hideMark/>
          </w:tcPr>
          <w:p w14:paraId="3A5B4E25" w14:textId="77777777" w:rsidR="00E46639" w:rsidRPr="0028033B" w:rsidRDefault="00E46639" w:rsidP="00F16E23">
            <w:pPr>
              <w:pStyle w:val="TableTextBold"/>
              <w:keepNext/>
              <w:rPr>
                <w:b/>
                <w:bCs w:val="0"/>
                <w:noProof w:val="0"/>
              </w:rPr>
            </w:pPr>
          </w:p>
        </w:tc>
        <w:tc>
          <w:tcPr>
            <w:tcW w:w="1588" w:type="dxa"/>
            <w:tcBorders>
              <w:top w:val="single" w:sz="4" w:space="0" w:color="1C556C" w:themeColor="accent1"/>
              <w:bottom w:val="single" w:sz="4" w:space="0" w:color="1C556C" w:themeColor="accent1"/>
            </w:tcBorders>
            <w:shd w:val="clear" w:color="auto" w:fill="1C556C" w:themeFill="accent1"/>
            <w:noWrap/>
            <w:vAlign w:val="bottom"/>
            <w:hideMark/>
          </w:tcPr>
          <w:p w14:paraId="5BD1C0AD" w14:textId="77777777" w:rsidR="00E46639" w:rsidRPr="0028033B" w:rsidRDefault="00E46639" w:rsidP="00F16E23">
            <w:pPr>
              <w:pStyle w:val="TableTextBold"/>
              <w:keepNext/>
              <w:jc w:val="right"/>
              <w:cnfStyle w:val="100000000000" w:firstRow="1" w:lastRow="0" w:firstColumn="0" w:lastColumn="0" w:oddVBand="0" w:evenVBand="0" w:oddHBand="0" w:evenHBand="0" w:firstRowFirstColumn="0" w:firstRowLastColumn="0" w:lastRowFirstColumn="0" w:lastRowLastColumn="0"/>
              <w:rPr>
                <w:b/>
                <w:noProof w:val="0"/>
              </w:rPr>
            </w:pPr>
            <w:r w:rsidRPr="6358893A">
              <w:rPr>
                <w:b/>
                <w:noProof w:val="0"/>
              </w:rPr>
              <w:t>Winter (Jun–Aug) (%)</w:t>
            </w:r>
          </w:p>
        </w:tc>
        <w:tc>
          <w:tcPr>
            <w:tcW w:w="1644" w:type="dxa"/>
            <w:tcBorders>
              <w:top w:val="single" w:sz="4" w:space="0" w:color="1C556C" w:themeColor="accent1"/>
              <w:bottom w:val="single" w:sz="4" w:space="0" w:color="1C556C" w:themeColor="accent1"/>
            </w:tcBorders>
            <w:shd w:val="clear" w:color="auto" w:fill="1C556C" w:themeFill="accent1"/>
            <w:noWrap/>
            <w:vAlign w:val="bottom"/>
            <w:hideMark/>
          </w:tcPr>
          <w:p w14:paraId="18D98185" w14:textId="77777777" w:rsidR="00E46639" w:rsidRPr="0028033B" w:rsidRDefault="00E46639" w:rsidP="00F16E23">
            <w:pPr>
              <w:pStyle w:val="TableTextBold"/>
              <w:keepNext/>
              <w:jc w:val="right"/>
              <w:cnfStyle w:val="100000000000" w:firstRow="1" w:lastRow="0" w:firstColumn="0" w:lastColumn="0" w:oddVBand="0" w:evenVBand="0" w:oddHBand="0" w:evenHBand="0" w:firstRowFirstColumn="0" w:firstRowLastColumn="0" w:lastRowFirstColumn="0" w:lastRowLastColumn="0"/>
              <w:rPr>
                <w:b/>
                <w:noProof w:val="0"/>
              </w:rPr>
            </w:pPr>
            <w:r w:rsidRPr="6358893A">
              <w:rPr>
                <w:b/>
                <w:noProof w:val="0"/>
              </w:rPr>
              <w:t>Spring (Sept–Nov) (%)</w:t>
            </w:r>
          </w:p>
        </w:tc>
        <w:tc>
          <w:tcPr>
            <w:tcW w:w="1701" w:type="dxa"/>
            <w:tcBorders>
              <w:top w:val="single" w:sz="4" w:space="0" w:color="1C556C" w:themeColor="accent1"/>
              <w:bottom w:val="single" w:sz="4" w:space="0" w:color="1C556C" w:themeColor="accent1"/>
            </w:tcBorders>
            <w:shd w:val="clear" w:color="auto" w:fill="1C556C" w:themeFill="accent1"/>
            <w:noWrap/>
            <w:vAlign w:val="bottom"/>
            <w:hideMark/>
          </w:tcPr>
          <w:p w14:paraId="6B4A8888" w14:textId="77777777" w:rsidR="00E46639" w:rsidRPr="0028033B" w:rsidRDefault="00E46639" w:rsidP="00F16E23">
            <w:pPr>
              <w:pStyle w:val="TableTextBold"/>
              <w:keepNext/>
              <w:jc w:val="right"/>
              <w:cnfStyle w:val="100000000000" w:firstRow="1" w:lastRow="0" w:firstColumn="0" w:lastColumn="0" w:oddVBand="0" w:evenVBand="0" w:oddHBand="0" w:evenHBand="0" w:firstRowFirstColumn="0" w:firstRowLastColumn="0" w:lastRowFirstColumn="0" w:lastRowLastColumn="0"/>
              <w:rPr>
                <w:b/>
                <w:noProof w:val="0"/>
              </w:rPr>
            </w:pPr>
            <w:r w:rsidRPr="6358893A">
              <w:rPr>
                <w:b/>
                <w:noProof w:val="0"/>
              </w:rPr>
              <w:t>Summer (Dec–Feb) (%)</w:t>
            </w:r>
          </w:p>
        </w:tc>
        <w:tc>
          <w:tcPr>
            <w:tcW w:w="1758" w:type="dxa"/>
            <w:tcBorders>
              <w:top w:val="single" w:sz="4" w:space="0" w:color="1C556C" w:themeColor="accent1"/>
              <w:bottom w:val="single" w:sz="4" w:space="0" w:color="1C556C" w:themeColor="accent1"/>
            </w:tcBorders>
            <w:shd w:val="clear" w:color="auto" w:fill="1C556C" w:themeFill="accent1"/>
            <w:noWrap/>
            <w:vAlign w:val="bottom"/>
            <w:hideMark/>
          </w:tcPr>
          <w:p w14:paraId="2564B29C" w14:textId="77777777" w:rsidR="00E46639" w:rsidRPr="0028033B" w:rsidRDefault="00E46639" w:rsidP="00F16E23">
            <w:pPr>
              <w:pStyle w:val="TableTextBold"/>
              <w:keepNext/>
              <w:jc w:val="right"/>
              <w:cnfStyle w:val="100000000000" w:firstRow="1" w:lastRow="0" w:firstColumn="0" w:lastColumn="0" w:oddVBand="0" w:evenVBand="0" w:oddHBand="0" w:evenHBand="0" w:firstRowFirstColumn="0" w:firstRowLastColumn="0" w:lastRowFirstColumn="0" w:lastRowLastColumn="0"/>
              <w:rPr>
                <w:b/>
                <w:noProof w:val="0"/>
              </w:rPr>
            </w:pPr>
            <w:r w:rsidRPr="6358893A">
              <w:rPr>
                <w:b/>
                <w:noProof w:val="0"/>
              </w:rPr>
              <w:t>Autumn (Mar–May) (%)</w:t>
            </w:r>
          </w:p>
        </w:tc>
      </w:tr>
      <w:tr w:rsidR="00E46639" w:rsidRPr="0028033B" w14:paraId="4B9F7BCF"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Borders>
              <w:bottom w:val="none" w:sz="0" w:space="0" w:color="auto"/>
              <w:right w:val="none" w:sz="0" w:space="0" w:color="auto"/>
            </w:tcBorders>
            <w:noWrap/>
            <w:hideMark/>
          </w:tcPr>
          <w:p w14:paraId="53C207EC" w14:textId="77777777" w:rsidR="00E46639" w:rsidRPr="0028033B" w:rsidRDefault="00E46639" w:rsidP="00F16E23">
            <w:pPr>
              <w:pStyle w:val="TableText"/>
              <w:keepNext/>
              <w:spacing w:before="40" w:after="40"/>
              <w:rPr>
                <w:b w:val="0"/>
                <w:bCs w:val="0"/>
              </w:rPr>
            </w:pPr>
            <w:r w:rsidRPr="0028033B">
              <w:rPr>
                <w:b w:val="0"/>
                <w:bCs w:val="0"/>
              </w:rPr>
              <w:t>Feed pad</w:t>
            </w:r>
          </w:p>
        </w:tc>
        <w:tc>
          <w:tcPr>
            <w:tcW w:w="1588" w:type="dxa"/>
            <w:tcBorders>
              <w:bottom w:val="none" w:sz="0" w:space="0" w:color="auto"/>
            </w:tcBorders>
            <w:noWrap/>
            <w:vAlign w:val="bottom"/>
            <w:hideMark/>
          </w:tcPr>
          <w:p w14:paraId="55B6DD66" w14:textId="77777777" w:rsidR="00E46639" w:rsidRPr="0028033B" w:rsidRDefault="00E46639" w:rsidP="00F16E23">
            <w:pPr>
              <w:pStyle w:val="TableText"/>
              <w:keepNext/>
              <w:spacing w:before="40" w:after="40"/>
              <w:jc w:val="right"/>
              <w:cnfStyle w:val="000000100000" w:firstRow="0" w:lastRow="0" w:firstColumn="0" w:lastColumn="0" w:oddVBand="0" w:evenVBand="0" w:oddHBand="1" w:evenHBand="0" w:firstRowFirstColumn="0" w:firstRowLastColumn="0" w:lastRowFirstColumn="0" w:lastRowLastColumn="0"/>
            </w:pPr>
            <w:r w:rsidRPr="0028033B">
              <w:t>32</w:t>
            </w:r>
          </w:p>
        </w:tc>
        <w:tc>
          <w:tcPr>
            <w:tcW w:w="1644" w:type="dxa"/>
            <w:tcBorders>
              <w:bottom w:val="none" w:sz="0" w:space="0" w:color="auto"/>
            </w:tcBorders>
            <w:noWrap/>
            <w:vAlign w:val="bottom"/>
            <w:hideMark/>
          </w:tcPr>
          <w:p w14:paraId="635864C6" w14:textId="77777777" w:rsidR="00E46639" w:rsidRPr="0028033B" w:rsidRDefault="00E46639" w:rsidP="00F16E23">
            <w:pPr>
              <w:pStyle w:val="TableText"/>
              <w:keepNext/>
              <w:spacing w:before="40" w:after="40"/>
              <w:jc w:val="right"/>
              <w:cnfStyle w:val="000000100000" w:firstRow="0" w:lastRow="0" w:firstColumn="0" w:lastColumn="0" w:oddVBand="0" w:evenVBand="0" w:oddHBand="1" w:evenHBand="0" w:firstRowFirstColumn="0" w:firstRowLastColumn="0" w:lastRowFirstColumn="0" w:lastRowLastColumn="0"/>
            </w:pPr>
            <w:r w:rsidRPr="0028033B">
              <w:t>26</w:t>
            </w:r>
          </w:p>
        </w:tc>
        <w:tc>
          <w:tcPr>
            <w:tcW w:w="1701" w:type="dxa"/>
            <w:tcBorders>
              <w:bottom w:val="none" w:sz="0" w:space="0" w:color="auto"/>
            </w:tcBorders>
            <w:noWrap/>
            <w:vAlign w:val="bottom"/>
            <w:hideMark/>
          </w:tcPr>
          <w:p w14:paraId="511EEE26" w14:textId="77777777" w:rsidR="00E46639" w:rsidRPr="0028033B" w:rsidRDefault="00E46639" w:rsidP="00F16E23">
            <w:pPr>
              <w:pStyle w:val="TableText"/>
              <w:keepNext/>
              <w:spacing w:before="40" w:after="40"/>
              <w:jc w:val="right"/>
              <w:cnfStyle w:val="000000100000" w:firstRow="0" w:lastRow="0" w:firstColumn="0" w:lastColumn="0" w:oddVBand="0" w:evenVBand="0" w:oddHBand="1" w:evenHBand="0" w:firstRowFirstColumn="0" w:firstRowLastColumn="0" w:lastRowFirstColumn="0" w:lastRowLastColumn="0"/>
            </w:pPr>
            <w:r w:rsidRPr="0028033B">
              <w:t>17</w:t>
            </w:r>
          </w:p>
        </w:tc>
        <w:tc>
          <w:tcPr>
            <w:tcW w:w="1758" w:type="dxa"/>
            <w:tcBorders>
              <w:bottom w:val="none" w:sz="0" w:space="0" w:color="auto"/>
            </w:tcBorders>
            <w:noWrap/>
            <w:vAlign w:val="bottom"/>
            <w:hideMark/>
          </w:tcPr>
          <w:p w14:paraId="2AA30910" w14:textId="77777777" w:rsidR="00E46639" w:rsidRPr="0028033B" w:rsidRDefault="00E46639" w:rsidP="00F16E23">
            <w:pPr>
              <w:pStyle w:val="TableText"/>
              <w:keepNext/>
              <w:spacing w:before="40" w:after="40"/>
              <w:jc w:val="right"/>
              <w:cnfStyle w:val="000000100000" w:firstRow="0" w:lastRow="0" w:firstColumn="0" w:lastColumn="0" w:oddVBand="0" w:evenVBand="0" w:oddHBand="1" w:evenHBand="0" w:firstRowFirstColumn="0" w:firstRowLastColumn="0" w:lastRowFirstColumn="0" w:lastRowLastColumn="0"/>
            </w:pPr>
            <w:r w:rsidRPr="0028033B">
              <w:t>25</w:t>
            </w:r>
          </w:p>
        </w:tc>
      </w:tr>
      <w:tr w:rsidR="00E46639" w:rsidRPr="0028033B" w14:paraId="6D611A53" w14:textId="77777777" w:rsidTr="00F16E23">
        <w:tc>
          <w:tcPr>
            <w:cnfStyle w:val="001000000000" w:firstRow="0" w:lastRow="0" w:firstColumn="1" w:lastColumn="0" w:oddVBand="0" w:evenVBand="0" w:oddHBand="0" w:evenHBand="0" w:firstRowFirstColumn="0" w:firstRowLastColumn="0" w:lastRowFirstColumn="0" w:lastRowLastColumn="0"/>
            <w:tcW w:w="1588" w:type="dxa"/>
            <w:tcBorders>
              <w:top w:val="single" w:sz="4" w:space="0" w:color="1C556C" w:themeColor="accent1"/>
              <w:right w:val="none" w:sz="0" w:space="0" w:color="auto"/>
            </w:tcBorders>
            <w:noWrap/>
            <w:hideMark/>
          </w:tcPr>
          <w:p w14:paraId="405D9B9A" w14:textId="77777777" w:rsidR="00E46639" w:rsidRPr="0028033B" w:rsidRDefault="00E46639" w:rsidP="00F16E23">
            <w:pPr>
              <w:pStyle w:val="TableText"/>
              <w:spacing w:before="40" w:after="40"/>
              <w:rPr>
                <w:b w:val="0"/>
                <w:bCs w:val="0"/>
              </w:rPr>
            </w:pPr>
            <w:r w:rsidRPr="0028033B">
              <w:rPr>
                <w:b w:val="0"/>
                <w:bCs w:val="0"/>
              </w:rPr>
              <w:t>Stand-off loafing pad</w:t>
            </w:r>
          </w:p>
        </w:tc>
        <w:tc>
          <w:tcPr>
            <w:tcW w:w="1588" w:type="dxa"/>
            <w:tcBorders>
              <w:top w:val="single" w:sz="4" w:space="0" w:color="1C556C" w:themeColor="accent1"/>
            </w:tcBorders>
            <w:noWrap/>
            <w:vAlign w:val="bottom"/>
            <w:hideMark/>
          </w:tcPr>
          <w:p w14:paraId="62272FE5"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73</w:t>
            </w:r>
          </w:p>
        </w:tc>
        <w:tc>
          <w:tcPr>
            <w:tcW w:w="1644" w:type="dxa"/>
            <w:tcBorders>
              <w:top w:val="single" w:sz="4" w:space="0" w:color="1C556C" w:themeColor="accent1"/>
            </w:tcBorders>
            <w:noWrap/>
            <w:vAlign w:val="bottom"/>
            <w:hideMark/>
          </w:tcPr>
          <w:p w14:paraId="146552F0"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20</w:t>
            </w:r>
          </w:p>
        </w:tc>
        <w:tc>
          <w:tcPr>
            <w:tcW w:w="1701" w:type="dxa"/>
            <w:tcBorders>
              <w:top w:val="single" w:sz="4" w:space="0" w:color="1C556C" w:themeColor="accent1"/>
            </w:tcBorders>
            <w:noWrap/>
            <w:vAlign w:val="bottom"/>
            <w:hideMark/>
          </w:tcPr>
          <w:p w14:paraId="0E2B8680"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0</w:t>
            </w:r>
          </w:p>
        </w:tc>
        <w:tc>
          <w:tcPr>
            <w:tcW w:w="1758" w:type="dxa"/>
            <w:tcBorders>
              <w:top w:val="single" w:sz="4" w:space="0" w:color="1C556C" w:themeColor="accent1"/>
            </w:tcBorders>
            <w:noWrap/>
            <w:vAlign w:val="bottom"/>
            <w:hideMark/>
          </w:tcPr>
          <w:p w14:paraId="36D390A7"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7</w:t>
            </w:r>
          </w:p>
        </w:tc>
      </w:tr>
      <w:tr w:rsidR="00E46639" w:rsidRPr="0028033B" w14:paraId="5A87E5F5"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Borders>
              <w:bottom w:val="none" w:sz="0" w:space="0" w:color="auto"/>
              <w:right w:val="none" w:sz="0" w:space="0" w:color="auto"/>
            </w:tcBorders>
            <w:noWrap/>
            <w:hideMark/>
          </w:tcPr>
          <w:p w14:paraId="413BE32E" w14:textId="77777777" w:rsidR="00E46639" w:rsidRPr="0028033B" w:rsidRDefault="00E46639" w:rsidP="00F16E23">
            <w:pPr>
              <w:pStyle w:val="TableText"/>
              <w:spacing w:before="40" w:after="40"/>
              <w:rPr>
                <w:b w:val="0"/>
                <w:bCs w:val="0"/>
              </w:rPr>
            </w:pPr>
            <w:r w:rsidRPr="0028033B">
              <w:rPr>
                <w:b w:val="0"/>
                <w:bCs w:val="0"/>
              </w:rPr>
              <w:t>Housing</w:t>
            </w:r>
          </w:p>
        </w:tc>
        <w:tc>
          <w:tcPr>
            <w:tcW w:w="1588" w:type="dxa"/>
            <w:tcBorders>
              <w:bottom w:val="none" w:sz="0" w:space="0" w:color="auto"/>
            </w:tcBorders>
            <w:noWrap/>
            <w:vAlign w:val="bottom"/>
            <w:hideMark/>
          </w:tcPr>
          <w:p w14:paraId="31872D75"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66</w:t>
            </w:r>
          </w:p>
        </w:tc>
        <w:tc>
          <w:tcPr>
            <w:tcW w:w="1644" w:type="dxa"/>
            <w:tcBorders>
              <w:bottom w:val="none" w:sz="0" w:space="0" w:color="auto"/>
            </w:tcBorders>
            <w:noWrap/>
            <w:vAlign w:val="bottom"/>
            <w:hideMark/>
          </w:tcPr>
          <w:p w14:paraId="29E7C1DD"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15</w:t>
            </w:r>
          </w:p>
        </w:tc>
        <w:tc>
          <w:tcPr>
            <w:tcW w:w="1701" w:type="dxa"/>
            <w:tcBorders>
              <w:bottom w:val="none" w:sz="0" w:space="0" w:color="auto"/>
            </w:tcBorders>
            <w:noWrap/>
            <w:vAlign w:val="bottom"/>
            <w:hideMark/>
          </w:tcPr>
          <w:p w14:paraId="3B050564"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5</w:t>
            </w:r>
          </w:p>
        </w:tc>
        <w:tc>
          <w:tcPr>
            <w:tcW w:w="1758" w:type="dxa"/>
            <w:tcBorders>
              <w:bottom w:val="none" w:sz="0" w:space="0" w:color="auto"/>
            </w:tcBorders>
            <w:noWrap/>
            <w:vAlign w:val="bottom"/>
            <w:hideMark/>
          </w:tcPr>
          <w:p w14:paraId="4AAC9974"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14</w:t>
            </w:r>
          </w:p>
        </w:tc>
      </w:tr>
    </w:tbl>
    <w:p w14:paraId="2A8DDAA5" w14:textId="77777777" w:rsidR="00E46639" w:rsidRPr="0028033B" w:rsidRDefault="00E46639" w:rsidP="00E46639">
      <w:pPr>
        <w:pStyle w:val="BodyText"/>
        <w:spacing w:before="240"/>
        <w:rPr>
          <w:rFonts w:eastAsia="Calibri"/>
          <w:lang w:eastAsia="en-US"/>
        </w:rPr>
      </w:pPr>
      <w:r w:rsidRPr="0028033B">
        <w:rPr>
          <w:rFonts w:eastAsia="Calibri"/>
          <w:lang w:eastAsia="en-US"/>
        </w:rPr>
        <w:t>Solid storage is a new manure management system for dairy in the Inventory. Appropriate emission factors are required to estimate CH</w:t>
      </w:r>
      <w:r w:rsidRPr="0028033B">
        <w:rPr>
          <w:rFonts w:eastAsia="Calibri"/>
          <w:vertAlign w:val="subscript"/>
          <w:lang w:eastAsia="en-US"/>
        </w:rPr>
        <w:t>4</w:t>
      </w:r>
      <w:r w:rsidRPr="0028033B">
        <w:rPr>
          <w:rFonts w:eastAsia="Calibri"/>
          <w:lang w:eastAsia="en-US"/>
        </w:rPr>
        <w:t> and N</w:t>
      </w:r>
      <w:r w:rsidRPr="0028033B">
        <w:rPr>
          <w:rFonts w:eastAsia="Calibri"/>
          <w:vertAlign w:val="subscript"/>
          <w:lang w:eastAsia="en-US"/>
        </w:rPr>
        <w:t>2</w:t>
      </w:r>
      <w:r w:rsidRPr="0028033B">
        <w:rPr>
          <w:rFonts w:eastAsia="Calibri"/>
          <w:lang w:eastAsia="en-US"/>
        </w:rPr>
        <w:t xml:space="preserve">O emissions. In the absence of country-specific data, default values from the 2019 IPCC Refinement (IPCC, 2019). See section 5.2.2 for more detail on the emission factors. </w:t>
      </w:r>
    </w:p>
    <w:p w14:paraId="1F09C256" w14:textId="77777777" w:rsidR="00E46639" w:rsidRPr="0028033B" w:rsidRDefault="00E46639" w:rsidP="00E46639">
      <w:pPr>
        <w:pStyle w:val="BodyText"/>
      </w:pPr>
      <w:r w:rsidRPr="0028033B">
        <w:t xml:space="preserve">Implementing these changes caused emissions from the </w:t>
      </w:r>
      <w:r w:rsidRPr="0028033B">
        <w:rPr>
          <w:i/>
          <w:iCs/>
        </w:rPr>
        <w:t>Manure management</w:t>
      </w:r>
      <w:r w:rsidRPr="0028033B">
        <w:t xml:space="preserve"> category to increase by 1.6 kt CO</w:t>
      </w:r>
      <w:r w:rsidRPr="0028033B">
        <w:rPr>
          <w:vertAlign w:val="subscript"/>
        </w:rPr>
        <w:t>2</w:t>
      </w:r>
      <w:r w:rsidRPr="0028033B">
        <w:t>e in 1990 and decrease by 124.6 kt CO</w:t>
      </w:r>
      <w:r w:rsidRPr="0028033B">
        <w:rPr>
          <w:vertAlign w:val="subscript"/>
        </w:rPr>
        <w:t>2</w:t>
      </w:r>
      <w:r w:rsidRPr="0028033B">
        <w:t>e in 2023 (table 5.3.16).</w:t>
      </w:r>
    </w:p>
    <w:p w14:paraId="54712147" w14:textId="3F8BD7A0" w:rsidR="00E46639" w:rsidRPr="0028033B" w:rsidRDefault="00E46639" w:rsidP="00E46639">
      <w:pPr>
        <w:pStyle w:val="Table"/>
      </w:pPr>
      <w:bookmarkStart w:id="1041" w:name="_Toc222407641"/>
      <w:bookmarkStart w:id="1042" w:name="_Toc226669016"/>
      <w:r w:rsidRPr="0028033B">
        <w:t>Table 5.3.16</w:t>
      </w:r>
      <w:r w:rsidRPr="0028033B">
        <w:tab/>
        <w:t xml:space="preserve">Comparison of the 2025 Inventory and a version of the 2025 Inventory using revised dairy manure management practices for emissions from </w:t>
      </w:r>
      <w:r w:rsidRPr="0028033B">
        <w:rPr>
          <w:i/>
        </w:rPr>
        <w:t>Manure management</w:t>
      </w:r>
      <w:r w:rsidRPr="0028033B">
        <w:t>, 1990, 2005 and 2023</w:t>
      </w:r>
      <w:bookmarkEnd w:id="1041"/>
      <w:bookmarkEnd w:id="1042"/>
    </w:p>
    <w:tbl>
      <w:tblPr>
        <w:tblW w:w="8562" w:type="dxa"/>
        <w:tblBorders>
          <w:top w:val="single" w:sz="2" w:space="0" w:color="1B556B"/>
          <w:bottom w:val="single" w:sz="2" w:space="0" w:color="1B556B"/>
          <w:insideH w:val="single" w:sz="2" w:space="0" w:color="1B556B"/>
          <w:insideV w:val="single" w:sz="2" w:space="0" w:color="1B556B"/>
        </w:tblBorders>
        <w:tblCellMar>
          <w:left w:w="85" w:type="dxa"/>
          <w:right w:w="85" w:type="dxa"/>
        </w:tblCellMar>
        <w:tblLook w:val="04A0" w:firstRow="1" w:lastRow="0" w:firstColumn="1" w:lastColumn="0" w:noHBand="0" w:noVBand="1"/>
      </w:tblPr>
      <w:tblGrid>
        <w:gridCol w:w="1041"/>
        <w:gridCol w:w="1369"/>
        <w:gridCol w:w="851"/>
        <w:gridCol w:w="850"/>
        <w:gridCol w:w="841"/>
        <w:gridCol w:w="926"/>
        <w:gridCol w:w="886"/>
        <w:gridCol w:w="926"/>
        <w:gridCol w:w="872"/>
      </w:tblGrid>
      <w:tr w:rsidR="00E46639" w:rsidRPr="0028033B" w14:paraId="7DB2535A" w14:textId="77777777" w:rsidTr="00F16E23">
        <w:tc>
          <w:tcPr>
            <w:tcW w:w="1041" w:type="dxa"/>
            <w:vMerge w:val="restart"/>
            <w:shd w:val="clear" w:color="000000" w:fill="1B556B"/>
            <w:hideMark/>
          </w:tcPr>
          <w:p w14:paraId="131677F0" w14:textId="77777777" w:rsidR="00E46639" w:rsidRPr="0028033B" w:rsidRDefault="00E46639" w:rsidP="00F16E23">
            <w:pPr>
              <w:pStyle w:val="TableTextBold"/>
              <w:spacing w:after="0"/>
              <w:rPr>
                <w:noProof w:val="0"/>
                <w:color w:val="FFFFFF" w:themeColor="background1"/>
              </w:rPr>
            </w:pPr>
          </w:p>
        </w:tc>
        <w:tc>
          <w:tcPr>
            <w:tcW w:w="1369" w:type="dxa"/>
            <w:vMerge w:val="restart"/>
            <w:shd w:val="clear" w:color="000000" w:fill="1B556B"/>
            <w:hideMark/>
          </w:tcPr>
          <w:p w14:paraId="6003EF2D" w14:textId="77777777" w:rsidR="00E46639" w:rsidRPr="0028033B" w:rsidRDefault="00E46639" w:rsidP="00F16E23">
            <w:pPr>
              <w:pStyle w:val="TableTextBold"/>
              <w:spacing w:after="0"/>
              <w:rPr>
                <w:noProof w:val="0"/>
                <w:color w:val="FFFFFF"/>
              </w:rPr>
            </w:pPr>
            <w:r w:rsidRPr="0028033B">
              <w:rPr>
                <w:noProof w:val="0"/>
                <w:color w:val="FFFFFF"/>
              </w:rPr>
              <w:t> </w:t>
            </w:r>
          </w:p>
        </w:tc>
        <w:tc>
          <w:tcPr>
            <w:tcW w:w="851" w:type="dxa"/>
            <w:shd w:val="clear" w:color="000000" w:fill="1B556B"/>
            <w:vAlign w:val="bottom"/>
            <w:hideMark/>
          </w:tcPr>
          <w:p w14:paraId="11FB8C02" w14:textId="77777777" w:rsidR="00E46639" w:rsidRPr="0028033B" w:rsidRDefault="00E46639" w:rsidP="00F16E23">
            <w:pPr>
              <w:pStyle w:val="TableTextBold"/>
              <w:spacing w:before="40" w:after="0"/>
              <w:jc w:val="right"/>
              <w:rPr>
                <w:noProof w:val="0"/>
                <w:color w:val="FFFFFF"/>
              </w:rPr>
            </w:pPr>
            <w:r w:rsidRPr="0028033B">
              <w:rPr>
                <w:noProof w:val="0"/>
                <w:color w:val="FFFFFF"/>
              </w:rPr>
              <w:t>1990</w:t>
            </w:r>
          </w:p>
        </w:tc>
        <w:tc>
          <w:tcPr>
            <w:tcW w:w="850" w:type="dxa"/>
            <w:shd w:val="clear" w:color="000000" w:fill="1B556B"/>
            <w:vAlign w:val="bottom"/>
            <w:hideMark/>
          </w:tcPr>
          <w:p w14:paraId="7A36E976" w14:textId="77777777" w:rsidR="00E46639" w:rsidRPr="0028033B" w:rsidRDefault="00E46639" w:rsidP="00F16E23">
            <w:pPr>
              <w:pStyle w:val="TableTextBold"/>
              <w:spacing w:before="40" w:after="0"/>
              <w:jc w:val="right"/>
              <w:rPr>
                <w:noProof w:val="0"/>
                <w:color w:val="FFFFFF"/>
              </w:rPr>
            </w:pPr>
            <w:r w:rsidRPr="0028033B">
              <w:rPr>
                <w:noProof w:val="0"/>
                <w:color w:val="FFFFFF"/>
              </w:rPr>
              <w:t>2005</w:t>
            </w:r>
          </w:p>
        </w:tc>
        <w:tc>
          <w:tcPr>
            <w:tcW w:w="841" w:type="dxa"/>
            <w:shd w:val="clear" w:color="000000" w:fill="1B556B"/>
            <w:vAlign w:val="bottom"/>
            <w:hideMark/>
          </w:tcPr>
          <w:p w14:paraId="27A751AC" w14:textId="77777777" w:rsidR="00E46639" w:rsidRPr="0028033B" w:rsidRDefault="00E46639" w:rsidP="00F16E23">
            <w:pPr>
              <w:pStyle w:val="TableTextBold"/>
              <w:spacing w:before="40" w:after="0"/>
              <w:jc w:val="right"/>
              <w:rPr>
                <w:noProof w:val="0"/>
                <w:color w:val="FFFFFF"/>
              </w:rPr>
            </w:pPr>
            <w:r w:rsidRPr="0028033B">
              <w:rPr>
                <w:noProof w:val="0"/>
                <w:color w:val="FFFFFF"/>
              </w:rPr>
              <w:t>2023</w:t>
            </w:r>
          </w:p>
        </w:tc>
        <w:tc>
          <w:tcPr>
            <w:tcW w:w="1812" w:type="dxa"/>
            <w:gridSpan w:val="2"/>
            <w:shd w:val="clear" w:color="000000" w:fill="1B556B"/>
            <w:hideMark/>
          </w:tcPr>
          <w:p w14:paraId="58F50C6C" w14:textId="77777777" w:rsidR="00E46639" w:rsidRPr="0028033B" w:rsidRDefault="00E46639" w:rsidP="00F16E23">
            <w:pPr>
              <w:pStyle w:val="TableTextBold"/>
              <w:spacing w:before="40" w:after="0"/>
              <w:jc w:val="center"/>
              <w:rPr>
                <w:noProof w:val="0"/>
                <w:color w:val="FFFFFF"/>
              </w:rPr>
            </w:pPr>
            <w:r w:rsidRPr="0028033B">
              <w:rPr>
                <w:noProof w:val="0"/>
                <w:color w:val="FFFFFF"/>
              </w:rPr>
              <w:t>Change in emissions between 1990 and 2023</w:t>
            </w:r>
          </w:p>
        </w:tc>
        <w:tc>
          <w:tcPr>
            <w:tcW w:w="1798" w:type="dxa"/>
            <w:gridSpan w:val="2"/>
            <w:shd w:val="clear" w:color="000000" w:fill="1B556B"/>
            <w:hideMark/>
          </w:tcPr>
          <w:p w14:paraId="4BEA7C60" w14:textId="77777777" w:rsidR="00E46639" w:rsidRPr="0028033B" w:rsidRDefault="00E46639" w:rsidP="00F16E23">
            <w:pPr>
              <w:pStyle w:val="TableTextBold"/>
              <w:spacing w:before="40" w:after="0"/>
              <w:jc w:val="center"/>
              <w:rPr>
                <w:noProof w:val="0"/>
                <w:color w:val="FFFFFF"/>
              </w:rPr>
            </w:pPr>
            <w:r w:rsidRPr="0028033B">
              <w:rPr>
                <w:noProof w:val="0"/>
                <w:color w:val="FFFFFF"/>
              </w:rPr>
              <w:t>Change in emissions between 2005 and 2023</w:t>
            </w:r>
          </w:p>
        </w:tc>
      </w:tr>
      <w:tr w:rsidR="00E46639" w:rsidRPr="0028033B" w14:paraId="61EF11A3" w14:textId="77777777" w:rsidTr="00F16E23">
        <w:tc>
          <w:tcPr>
            <w:tcW w:w="1041" w:type="dxa"/>
            <w:vMerge/>
            <w:hideMark/>
          </w:tcPr>
          <w:p w14:paraId="3D3493CA" w14:textId="77777777" w:rsidR="00E46639" w:rsidRPr="0028033B" w:rsidRDefault="00E46639" w:rsidP="00F16E23">
            <w:pPr>
              <w:rPr>
                <w:rFonts w:cs="Calibri"/>
                <w:b/>
                <w:bCs/>
                <w:color w:val="F46CD4"/>
                <w:sz w:val="16"/>
                <w:szCs w:val="16"/>
              </w:rPr>
            </w:pPr>
          </w:p>
        </w:tc>
        <w:tc>
          <w:tcPr>
            <w:tcW w:w="1369" w:type="dxa"/>
            <w:vMerge/>
            <w:hideMark/>
          </w:tcPr>
          <w:p w14:paraId="25167C09" w14:textId="77777777" w:rsidR="00E46639" w:rsidRPr="0028033B" w:rsidRDefault="00E46639" w:rsidP="00F16E23">
            <w:pPr>
              <w:rPr>
                <w:rFonts w:cs="Calibri"/>
                <w:b/>
                <w:bCs/>
                <w:color w:val="FFFFFF"/>
                <w:sz w:val="16"/>
                <w:szCs w:val="16"/>
              </w:rPr>
            </w:pPr>
          </w:p>
        </w:tc>
        <w:tc>
          <w:tcPr>
            <w:tcW w:w="851" w:type="dxa"/>
            <w:shd w:val="clear" w:color="000000" w:fill="1B556B"/>
            <w:hideMark/>
          </w:tcPr>
          <w:p w14:paraId="6AA11BF7" w14:textId="77777777" w:rsidR="00E46639" w:rsidRPr="0028033B" w:rsidRDefault="00E46639" w:rsidP="00F16E23">
            <w:pPr>
              <w:pStyle w:val="TableTextBold"/>
              <w:spacing w:before="20" w:after="40"/>
              <w:jc w:val="right"/>
              <w:rPr>
                <w:noProof w:val="0"/>
                <w:color w:val="FFFFFF" w:themeColor="background1"/>
              </w:rPr>
            </w:pPr>
            <w:r w:rsidRPr="0028033B">
              <w:rPr>
                <w:noProof w:val="0"/>
                <w:color w:val="FFFFFF" w:themeColor="background1"/>
              </w:rPr>
              <w:t>(kt CO</w:t>
            </w:r>
            <w:r w:rsidRPr="0028033B">
              <w:rPr>
                <w:noProof w:val="0"/>
                <w:color w:val="FFFFFF" w:themeColor="background1"/>
                <w:vertAlign w:val="subscript"/>
              </w:rPr>
              <w:t>2</w:t>
            </w:r>
            <w:r w:rsidRPr="0028033B">
              <w:rPr>
                <w:noProof w:val="0"/>
                <w:color w:val="FFFFFF" w:themeColor="background1"/>
              </w:rPr>
              <w:t>e)</w:t>
            </w:r>
          </w:p>
        </w:tc>
        <w:tc>
          <w:tcPr>
            <w:tcW w:w="850" w:type="dxa"/>
            <w:shd w:val="clear" w:color="000000" w:fill="1B556B"/>
            <w:hideMark/>
          </w:tcPr>
          <w:p w14:paraId="41BAC37F" w14:textId="77777777" w:rsidR="00E46639" w:rsidRPr="0028033B" w:rsidRDefault="00E46639" w:rsidP="00F16E23">
            <w:pPr>
              <w:pStyle w:val="TableTextBold"/>
              <w:spacing w:before="20" w:after="40"/>
              <w:jc w:val="right"/>
              <w:rPr>
                <w:noProof w:val="0"/>
                <w:color w:val="FFFFFF" w:themeColor="background1"/>
              </w:rPr>
            </w:pPr>
            <w:r w:rsidRPr="0028033B">
              <w:rPr>
                <w:noProof w:val="0"/>
                <w:color w:val="FFFFFF" w:themeColor="background1"/>
              </w:rPr>
              <w:t>(kt CO</w:t>
            </w:r>
            <w:r w:rsidRPr="0028033B">
              <w:rPr>
                <w:noProof w:val="0"/>
                <w:color w:val="FFFFFF" w:themeColor="background1"/>
                <w:vertAlign w:val="subscript"/>
              </w:rPr>
              <w:t>2</w:t>
            </w:r>
            <w:r w:rsidRPr="0028033B">
              <w:rPr>
                <w:noProof w:val="0"/>
                <w:color w:val="FFFFFF" w:themeColor="background1"/>
              </w:rPr>
              <w:t>e)</w:t>
            </w:r>
          </w:p>
        </w:tc>
        <w:tc>
          <w:tcPr>
            <w:tcW w:w="841" w:type="dxa"/>
            <w:shd w:val="clear" w:color="000000" w:fill="1B556B"/>
            <w:hideMark/>
          </w:tcPr>
          <w:p w14:paraId="34EAC723" w14:textId="77777777" w:rsidR="00E46639" w:rsidRPr="0028033B" w:rsidRDefault="00E46639" w:rsidP="00F16E23">
            <w:pPr>
              <w:pStyle w:val="TableTextBold"/>
              <w:spacing w:before="20" w:after="40"/>
              <w:jc w:val="right"/>
              <w:rPr>
                <w:noProof w:val="0"/>
                <w:color w:val="FFFFFF" w:themeColor="background1"/>
              </w:rPr>
            </w:pPr>
            <w:r w:rsidRPr="0028033B">
              <w:rPr>
                <w:noProof w:val="0"/>
                <w:color w:val="FFFFFF" w:themeColor="background1"/>
              </w:rPr>
              <w:t>(kt CO</w:t>
            </w:r>
            <w:r w:rsidRPr="0028033B">
              <w:rPr>
                <w:noProof w:val="0"/>
                <w:color w:val="FFFFFF" w:themeColor="background1"/>
                <w:vertAlign w:val="subscript"/>
              </w:rPr>
              <w:t>2</w:t>
            </w:r>
            <w:r w:rsidRPr="0028033B">
              <w:rPr>
                <w:noProof w:val="0"/>
                <w:color w:val="FFFFFF" w:themeColor="background1"/>
              </w:rPr>
              <w:t>e)</w:t>
            </w:r>
          </w:p>
        </w:tc>
        <w:tc>
          <w:tcPr>
            <w:tcW w:w="926" w:type="dxa"/>
            <w:shd w:val="clear" w:color="000000" w:fill="1B556B"/>
            <w:hideMark/>
          </w:tcPr>
          <w:p w14:paraId="2DE6680D" w14:textId="77777777" w:rsidR="00E46639" w:rsidRPr="0028033B" w:rsidRDefault="00E46639" w:rsidP="00F16E23">
            <w:pPr>
              <w:pStyle w:val="TableTextBold"/>
              <w:spacing w:before="20" w:after="40"/>
              <w:jc w:val="right"/>
              <w:rPr>
                <w:noProof w:val="0"/>
                <w:color w:val="FFFFFF" w:themeColor="background1"/>
              </w:rPr>
            </w:pPr>
            <w:r w:rsidRPr="0028033B">
              <w:rPr>
                <w:noProof w:val="0"/>
                <w:color w:val="FFFFFF" w:themeColor="background1"/>
              </w:rPr>
              <w:t>(kt CO</w:t>
            </w:r>
            <w:r w:rsidRPr="0028033B">
              <w:rPr>
                <w:noProof w:val="0"/>
                <w:color w:val="FFFFFF" w:themeColor="background1"/>
                <w:vertAlign w:val="subscript"/>
              </w:rPr>
              <w:t>2</w:t>
            </w:r>
            <w:r w:rsidRPr="0028033B">
              <w:rPr>
                <w:noProof w:val="0"/>
                <w:color w:val="FFFFFF" w:themeColor="background1"/>
              </w:rPr>
              <w:t>e)</w:t>
            </w:r>
          </w:p>
        </w:tc>
        <w:tc>
          <w:tcPr>
            <w:tcW w:w="886" w:type="dxa"/>
            <w:shd w:val="clear" w:color="000000" w:fill="1B556B"/>
            <w:hideMark/>
          </w:tcPr>
          <w:p w14:paraId="7B32887F" w14:textId="77777777" w:rsidR="00E46639" w:rsidRPr="0028033B" w:rsidRDefault="00E46639" w:rsidP="00F16E23">
            <w:pPr>
              <w:pStyle w:val="TableTextBold"/>
              <w:spacing w:before="20" w:after="40"/>
              <w:jc w:val="right"/>
              <w:rPr>
                <w:noProof w:val="0"/>
                <w:color w:val="FFFFFF" w:themeColor="background1"/>
              </w:rPr>
            </w:pPr>
            <w:r w:rsidRPr="0028033B">
              <w:rPr>
                <w:noProof w:val="0"/>
                <w:color w:val="FFFFFF" w:themeColor="background1"/>
              </w:rPr>
              <w:t>(%)</w:t>
            </w:r>
          </w:p>
        </w:tc>
        <w:tc>
          <w:tcPr>
            <w:tcW w:w="926" w:type="dxa"/>
            <w:shd w:val="clear" w:color="000000" w:fill="1B556B"/>
            <w:hideMark/>
          </w:tcPr>
          <w:p w14:paraId="5CAB5ECE" w14:textId="77777777" w:rsidR="00E46639" w:rsidRPr="0028033B" w:rsidRDefault="00E46639" w:rsidP="00F16E23">
            <w:pPr>
              <w:pStyle w:val="TableTextBold"/>
              <w:spacing w:before="20" w:after="40"/>
              <w:jc w:val="right"/>
              <w:rPr>
                <w:noProof w:val="0"/>
                <w:color w:val="FFFFFF" w:themeColor="background1"/>
              </w:rPr>
            </w:pPr>
            <w:r w:rsidRPr="0028033B">
              <w:rPr>
                <w:noProof w:val="0"/>
                <w:color w:val="FFFFFF" w:themeColor="background1"/>
              </w:rPr>
              <w:t>(kt CO</w:t>
            </w:r>
            <w:r w:rsidRPr="0028033B">
              <w:rPr>
                <w:noProof w:val="0"/>
                <w:color w:val="FFFFFF" w:themeColor="background1"/>
                <w:vertAlign w:val="subscript"/>
              </w:rPr>
              <w:t>2</w:t>
            </w:r>
            <w:r w:rsidRPr="0028033B">
              <w:rPr>
                <w:noProof w:val="0"/>
                <w:color w:val="FFFFFF" w:themeColor="background1"/>
              </w:rPr>
              <w:t>e)</w:t>
            </w:r>
          </w:p>
        </w:tc>
        <w:tc>
          <w:tcPr>
            <w:tcW w:w="872" w:type="dxa"/>
            <w:shd w:val="clear" w:color="000000" w:fill="1B556B"/>
            <w:hideMark/>
          </w:tcPr>
          <w:p w14:paraId="3560E99E" w14:textId="77777777" w:rsidR="00E46639" w:rsidRPr="0028033B" w:rsidRDefault="00E46639" w:rsidP="00F16E23">
            <w:pPr>
              <w:pStyle w:val="TableTextBold"/>
              <w:spacing w:before="20" w:after="40"/>
              <w:jc w:val="right"/>
              <w:rPr>
                <w:noProof w:val="0"/>
                <w:color w:val="FFFFFF" w:themeColor="background1"/>
              </w:rPr>
            </w:pPr>
            <w:r w:rsidRPr="0028033B">
              <w:rPr>
                <w:noProof w:val="0"/>
                <w:color w:val="FFFFFF" w:themeColor="background1"/>
              </w:rPr>
              <w:t>(%)</w:t>
            </w:r>
          </w:p>
        </w:tc>
      </w:tr>
      <w:tr w:rsidR="00E46639" w:rsidRPr="0028033B" w14:paraId="74EE74B2" w14:textId="77777777" w:rsidTr="00F16E23">
        <w:tc>
          <w:tcPr>
            <w:tcW w:w="1041" w:type="dxa"/>
            <w:vMerge w:val="restart"/>
            <w:vAlign w:val="center"/>
            <w:hideMark/>
          </w:tcPr>
          <w:p w14:paraId="2B847FBF" w14:textId="77777777" w:rsidR="00E46639" w:rsidRPr="0028033B" w:rsidRDefault="00E46639" w:rsidP="00F16E23">
            <w:pPr>
              <w:pStyle w:val="TableText"/>
              <w:spacing w:before="40" w:after="40"/>
            </w:pPr>
            <w:r w:rsidRPr="0028033B">
              <w:t xml:space="preserve">Total emissions from </w:t>
            </w:r>
            <w:r w:rsidRPr="0028033B">
              <w:rPr>
                <w:i/>
              </w:rPr>
              <w:t>Manure management</w:t>
            </w:r>
          </w:p>
        </w:tc>
        <w:tc>
          <w:tcPr>
            <w:tcW w:w="1369" w:type="dxa"/>
            <w:hideMark/>
          </w:tcPr>
          <w:p w14:paraId="15257A96" w14:textId="77777777" w:rsidR="00E46639" w:rsidRPr="0028033B" w:rsidRDefault="00E46639" w:rsidP="00F16E23">
            <w:pPr>
              <w:pStyle w:val="TableText"/>
              <w:spacing w:before="40" w:after="40"/>
            </w:pPr>
            <w:r w:rsidRPr="0028033B">
              <w:t>2025 (1990–2023) emissions estimate</w:t>
            </w:r>
          </w:p>
        </w:tc>
        <w:tc>
          <w:tcPr>
            <w:tcW w:w="851" w:type="dxa"/>
            <w:vAlign w:val="bottom"/>
            <w:hideMark/>
          </w:tcPr>
          <w:p w14:paraId="59DC88CF" w14:textId="77777777" w:rsidR="00E46639" w:rsidRPr="0028033B" w:rsidRDefault="00E46639" w:rsidP="00F16E23">
            <w:pPr>
              <w:pStyle w:val="TableText"/>
              <w:spacing w:before="40" w:after="40"/>
              <w:jc w:val="right"/>
            </w:pPr>
            <w:r w:rsidRPr="0028033B">
              <w:t>859.8</w:t>
            </w:r>
          </w:p>
        </w:tc>
        <w:tc>
          <w:tcPr>
            <w:tcW w:w="850" w:type="dxa"/>
            <w:vAlign w:val="bottom"/>
            <w:hideMark/>
          </w:tcPr>
          <w:p w14:paraId="7C794F80" w14:textId="77777777" w:rsidR="00E46639" w:rsidRPr="0028033B" w:rsidRDefault="00E46639" w:rsidP="00F16E23">
            <w:pPr>
              <w:pStyle w:val="TableText"/>
              <w:spacing w:before="40" w:after="40"/>
              <w:jc w:val="right"/>
            </w:pPr>
            <w:r w:rsidRPr="0028033B">
              <w:t>1,252.1</w:t>
            </w:r>
          </w:p>
        </w:tc>
        <w:tc>
          <w:tcPr>
            <w:tcW w:w="841" w:type="dxa"/>
            <w:vAlign w:val="bottom"/>
            <w:hideMark/>
          </w:tcPr>
          <w:p w14:paraId="54EBEDB1" w14:textId="77777777" w:rsidR="00E46639" w:rsidRPr="0028033B" w:rsidRDefault="00E46639" w:rsidP="00F16E23">
            <w:pPr>
              <w:pStyle w:val="TableText"/>
              <w:spacing w:before="40" w:after="40"/>
              <w:jc w:val="right"/>
            </w:pPr>
            <w:r w:rsidRPr="0028033B">
              <w:t>1,861.5</w:t>
            </w:r>
          </w:p>
        </w:tc>
        <w:tc>
          <w:tcPr>
            <w:tcW w:w="926" w:type="dxa"/>
            <w:vAlign w:val="bottom"/>
            <w:hideMark/>
          </w:tcPr>
          <w:p w14:paraId="7A0A7371" w14:textId="77777777" w:rsidR="00E46639" w:rsidRPr="0028033B" w:rsidRDefault="00E46639" w:rsidP="00F16E23">
            <w:pPr>
              <w:pStyle w:val="TableText"/>
              <w:spacing w:before="40" w:after="40"/>
              <w:jc w:val="right"/>
            </w:pPr>
            <w:r w:rsidRPr="0028033B">
              <w:t>1,001.7</w:t>
            </w:r>
          </w:p>
        </w:tc>
        <w:tc>
          <w:tcPr>
            <w:tcW w:w="886" w:type="dxa"/>
            <w:vAlign w:val="bottom"/>
            <w:hideMark/>
          </w:tcPr>
          <w:p w14:paraId="7DFBB593" w14:textId="77777777" w:rsidR="00E46639" w:rsidRPr="0028033B" w:rsidRDefault="00E46639" w:rsidP="00F16E23">
            <w:pPr>
              <w:pStyle w:val="TableText"/>
              <w:spacing w:before="40" w:after="40"/>
              <w:jc w:val="right"/>
            </w:pPr>
            <w:r w:rsidRPr="0028033B">
              <w:t>116.5</w:t>
            </w:r>
          </w:p>
        </w:tc>
        <w:tc>
          <w:tcPr>
            <w:tcW w:w="926" w:type="dxa"/>
            <w:vAlign w:val="bottom"/>
            <w:hideMark/>
          </w:tcPr>
          <w:p w14:paraId="3C71CE99" w14:textId="77777777" w:rsidR="00E46639" w:rsidRPr="0028033B" w:rsidRDefault="00E46639" w:rsidP="00F16E23">
            <w:pPr>
              <w:pStyle w:val="TableText"/>
              <w:spacing w:before="40" w:after="40"/>
              <w:jc w:val="right"/>
            </w:pPr>
            <w:r w:rsidRPr="0028033B">
              <w:t>609.4</w:t>
            </w:r>
          </w:p>
        </w:tc>
        <w:tc>
          <w:tcPr>
            <w:tcW w:w="872" w:type="dxa"/>
            <w:vAlign w:val="bottom"/>
            <w:hideMark/>
          </w:tcPr>
          <w:p w14:paraId="750FA9B5" w14:textId="77777777" w:rsidR="00E46639" w:rsidRPr="0028033B" w:rsidRDefault="00E46639" w:rsidP="00F16E23">
            <w:pPr>
              <w:pStyle w:val="TableText"/>
              <w:spacing w:before="40" w:after="40"/>
              <w:jc w:val="right"/>
            </w:pPr>
            <w:r w:rsidRPr="0028033B">
              <w:t>48.7</w:t>
            </w:r>
          </w:p>
        </w:tc>
      </w:tr>
      <w:tr w:rsidR="00E46639" w:rsidRPr="0028033B" w14:paraId="37F5AD21" w14:textId="77777777" w:rsidTr="00F16E23">
        <w:tc>
          <w:tcPr>
            <w:tcW w:w="1041" w:type="dxa"/>
            <w:vMerge/>
            <w:hideMark/>
          </w:tcPr>
          <w:p w14:paraId="7AFFB8E3" w14:textId="77777777" w:rsidR="00E46639" w:rsidRPr="0028033B" w:rsidRDefault="00E46639" w:rsidP="00F16E23">
            <w:pPr>
              <w:spacing w:before="40" w:after="40"/>
              <w:rPr>
                <w:rFonts w:cs="Calibri"/>
                <w:sz w:val="16"/>
                <w:szCs w:val="16"/>
              </w:rPr>
            </w:pPr>
          </w:p>
        </w:tc>
        <w:tc>
          <w:tcPr>
            <w:tcW w:w="1369" w:type="dxa"/>
            <w:hideMark/>
          </w:tcPr>
          <w:p w14:paraId="3F64CFC8" w14:textId="77777777" w:rsidR="00E46639" w:rsidRPr="0028033B" w:rsidRDefault="00E46639" w:rsidP="00F16E23">
            <w:pPr>
              <w:pStyle w:val="TableText"/>
              <w:spacing w:before="40" w:after="40"/>
            </w:pPr>
            <w:r w:rsidRPr="0028033B">
              <w:t xml:space="preserve">2025 (1990–2023) emissions estimate </w:t>
            </w:r>
            <w:r w:rsidRPr="0028033B">
              <w:rPr>
                <w:i/>
                <w:iCs/>
              </w:rPr>
              <w:t>with</w:t>
            </w:r>
            <w:r w:rsidRPr="0028033B">
              <w:t xml:space="preserve"> </w:t>
            </w:r>
            <w:r w:rsidRPr="0028033B">
              <w:rPr>
                <w:i/>
                <w:iCs/>
              </w:rPr>
              <w:t>improvement</w:t>
            </w:r>
          </w:p>
        </w:tc>
        <w:tc>
          <w:tcPr>
            <w:tcW w:w="851" w:type="dxa"/>
            <w:vAlign w:val="bottom"/>
            <w:hideMark/>
          </w:tcPr>
          <w:p w14:paraId="1983F41D" w14:textId="77777777" w:rsidR="00E46639" w:rsidRPr="0028033B" w:rsidRDefault="00E46639" w:rsidP="00F16E23">
            <w:pPr>
              <w:pStyle w:val="TableText"/>
              <w:spacing w:before="40" w:after="40"/>
              <w:jc w:val="right"/>
            </w:pPr>
            <w:r w:rsidRPr="0028033B">
              <w:t>861.3</w:t>
            </w:r>
          </w:p>
        </w:tc>
        <w:tc>
          <w:tcPr>
            <w:tcW w:w="850" w:type="dxa"/>
            <w:vAlign w:val="bottom"/>
            <w:hideMark/>
          </w:tcPr>
          <w:p w14:paraId="7638C8CF" w14:textId="77777777" w:rsidR="00E46639" w:rsidRPr="0028033B" w:rsidRDefault="00E46639" w:rsidP="00F16E23">
            <w:pPr>
              <w:pStyle w:val="TableText"/>
              <w:spacing w:before="40" w:after="40"/>
              <w:jc w:val="right"/>
            </w:pPr>
            <w:r w:rsidRPr="0028033B">
              <w:t>1,234.5</w:t>
            </w:r>
          </w:p>
        </w:tc>
        <w:tc>
          <w:tcPr>
            <w:tcW w:w="841" w:type="dxa"/>
            <w:vAlign w:val="bottom"/>
            <w:hideMark/>
          </w:tcPr>
          <w:p w14:paraId="7B7CA9F4" w14:textId="77777777" w:rsidR="00E46639" w:rsidRPr="0028033B" w:rsidRDefault="00E46639" w:rsidP="00F16E23">
            <w:pPr>
              <w:pStyle w:val="TableText"/>
              <w:spacing w:before="40" w:after="40"/>
              <w:jc w:val="right"/>
            </w:pPr>
            <w:r w:rsidRPr="0028033B">
              <w:t>1,736.9</w:t>
            </w:r>
          </w:p>
        </w:tc>
        <w:tc>
          <w:tcPr>
            <w:tcW w:w="926" w:type="dxa"/>
            <w:vAlign w:val="bottom"/>
            <w:hideMark/>
          </w:tcPr>
          <w:p w14:paraId="7890E01C" w14:textId="77777777" w:rsidR="00E46639" w:rsidRPr="0028033B" w:rsidRDefault="00E46639" w:rsidP="00F16E23">
            <w:pPr>
              <w:pStyle w:val="TableText"/>
              <w:spacing w:before="40" w:after="40"/>
              <w:jc w:val="right"/>
            </w:pPr>
            <w:r w:rsidRPr="0028033B">
              <w:t>875.6</w:t>
            </w:r>
          </w:p>
        </w:tc>
        <w:tc>
          <w:tcPr>
            <w:tcW w:w="886" w:type="dxa"/>
            <w:vAlign w:val="bottom"/>
            <w:hideMark/>
          </w:tcPr>
          <w:p w14:paraId="68F296B8" w14:textId="77777777" w:rsidR="00E46639" w:rsidRPr="0028033B" w:rsidRDefault="00E46639" w:rsidP="00F16E23">
            <w:pPr>
              <w:pStyle w:val="TableText"/>
              <w:spacing w:before="40" w:after="40"/>
              <w:jc w:val="right"/>
            </w:pPr>
            <w:r w:rsidRPr="0028033B">
              <w:t>101.7</w:t>
            </w:r>
          </w:p>
        </w:tc>
        <w:tc>
          <w:tcPr>
            <w:tcW w:w="926" w:type="dxa"/>
            <w:vAlign w:val="bottom"/>
            <w:hideMark/>
          </w:tcPr>
          <w:p w14:paraId="3D8CF71F" w14:textId="77777777" w:rsidR="00E46639" w:rsidRPr="0028033B" w:rsidRDefault="00E46639" w:rsidP="00F16E23">
            <w:pPr>
              <w:pStyle w:val="TableText"/>
              <w:spacing w:before="40" w:after="40"/>
              <w:jc w:val="right"/>
            </w:pPr>
            <w:r w:rsidRPr="0028033B">
              <w:t>502.5</w:t>
            </w:r>
          </w:p>
        </w:tc>
        <w:tc>
          <w:tcPr>
            <w:tcW w:w="872" w:type="dxa"/>
            <w:vAlign w:val="bottom"/>
            <w:hideMark/>
          </w:tcPr>
          <w:p w14:paraId="63F137C7" w14:textId="77777777" w:rsidR="00E46639" w:rsidRPr="0028033B" w:rsidRDefault="00E46639" w:rsidP="00F16E23">
            <w:pPr>
              <w:pStyle w:val="TableText"/>
              <w:spacing w:before="40" w:after="40"/>
              <w:jc w:val="right"/>
            </w:pPr>
            <w:r w:rsidRPr="0028033B">
              <w:t>40.7</w:t>
            </w:r>
          </w:p>
        </w:tc>
      </w:tr>
      <w:tr w:rsidR="00E46639" w:rsidRPr="0028033B" w14:paraId="4B923E7A" w14:textId="77777777" w:rsidTr="00F16E23">
        <w:tc>
          <w:tcPr>
            <w:tcW w:w="1041" w:type="dxa"/>
            <w:vMerge/>
            <w:hideMark/>
          </w:tcPr>
          <w:p w14:paraId="66FF8AAD" w14:textId="77777777" w:rsidR="00E46639" w:rsidRPr="0028033B" w:rsidRDefault="00E46639" w:rsidP="00F16E23">
            <w:pPr>
              <w:spacing w:before="40" w:after="40"/>
              <w:rPr>
                <w:rFonts w:cs="Calibri"/>
                <w:sz w:val="16"/>
                <w:szCs w:val="16"/>
              </w:rPr>
            </w:pPr>
          </w:p>
        </w:tc>
        <w:tc>
          <w:tcPr>
            <w:tcW w:w="1369" w:type="dxa"/>
            <w:hideMark/>
          </w:tcPr>
          <w:p w14:paraId="7477F7D2" w14:textId="77777777" w:rsidR="00E46639" w:rsidRPr="0028033B" w:rsidRDefault="00E46639" w:rsidP="00F16E23">
            <w:pPr>
              <w:pStyle w:val="TableText"/>
              <w:spacing w:before="40" w:after="40"/>
            </w:pPr>
            <w:r w:rsidRPr="0028033B">
              <w:t>Difference in emissions estimates</w:t>
            </w:r>
          </w:p>
        </w:tc>
        <w:tc>
          <w:tcPr>
            <w:tcW w:w="851" w:type="dxa"/>
            <w:vAlign w:val="bottom"/>
            <w:hideMark/>
          </w:tcPr>
          <w:p w14:paraId="396B1F7C" w14:textId="77777777" w:rsidR="00E46639" w:rsidRPr="0028033B" w:rsidRDefault="00E46639" w:rsidP="00F16E23">
            <w:pPr>
              <w:pStyle w:val="TableText"/>
              <w:spacing w:before="40" w:after="40"/>
              <w:jc w:val="right"/>
            </w:pPr>
            <w:r w:rsidRPr="0028033B">
              <w:t>1.6</w:t>
            </w:r>
          </w:p>
        </w:tc>
        <w:tc>
          <w:tcPr>
            <w:tcW w:w="850" w:type="dxa"/>
            <w:vAlign w:val="bottom"/>
            <w:hideMark/>
          </w:tcPr>
          <w:p w14:paraId="5DA3BCF9" w14:textId="77777777" w:rsidR="00E46639" w:rsidRPr="0028033B" w:rsidRDefault="00E46639" w:rsidP="00F16E23">
            <w:pPr>
              <w:pStyle w:val="TableText"/>
              <w:spacing w:before="40" w:after="40"/>
              <w:jc w:val="right"/>
            </w:pPr>
            <w:r w:rsidRPr="0028033B">
              <w:t>-17.6</w:t>
            </w:r>
          </w:p>
        </w:tc>
        <w:tc>
          <w:tcPr>
            <w:tcW w:w="841" w:type="dxa"/>
            <w:vAlign w:val="bottom"/>
            <w:hideMark/>
          </w:tcPr>
          <w:p w14:paraId="6D958FFE" w14:textId="77777777" w:rsidR="00E46639" w:rsidRPr="0028033B" w:rsidRDefault="00E46639" w:rsidP="00F16E23">
            <w:pPr>
              <w:pStyle w:val="TableText"/>
              <w:spacing w:before="40" w:after="40"/>
              <w:jc w:val="right"/>
            </w:pPr>
            <w:r w:rsidRPr="0028033B">
              <w:t>-124.6</w:t>
            </w:r>
          </w:p>
        </w:tc>
        <w:tc>
          <w:tcPr>
            <w:tcW w:w="926" w:type="dxa"/>
            <w:vAlign w:val="bottom"/>
            <w:hideMark/>
          </w:tcPr>
          <w:p w14:paraId="1DC206ED" w14:textId="77777777" w:rsidR="00E46639" w:rsidRPr="0028033B" w:rsidRDefault="00E46639" w:rsidP="00F16E23">
            <w:pPr>
              <w:pStyle w:val="TableText"/>
              <w:spacing w:before="40" w:after="40"/>
              <w:jc w:val="right"/>
            </w:pPr>
            <w:r w:rsidRPr="0028033B">
              <w:t> </w:t>
            </w:r>
          </w:p>
        </w:tc>
        <w:tc>
          <w:tcPr>
            <w:tcW w:w="886" w:type="dxa"/>
            <w:vAlign w:val="bottom"/>
            <w:hideMark/>
          </w:tcPr>
          <w:p w14:paraId="37906B1E" w14:textId="77777777" w:rsidR="00E46639" w:rsidRPr="0028033B" w:rsidRDefault="00E46639" w:rsidP="00F16E23">
            <w:pPr>
              <w:pStyle w:val="TableText"/>
              <w:spacing w:before="40" w:after="40"/>
              <w:jc w:val="right"/>
            </w:pPr>
            <w:r w:rsidRPr="0028033B">
              <w:t> </w:t>
            </w:r>
          </w:p>
        </w:tc>
        <w:tc>
          <w:tcPr>
            <w:tcW w:w="926" w:type="dxa"/>
            <w:vAlign w:val="bottom"/>
            <w:hideMark/>
          </w:tcPr>
          <w:p w14:paraId="3A6A4081" w14:textId="77777777" w:rsidR="00E46639" w:rsidRPr="0028033B" w:rsidRDefault="00E46639" w:rsidP="00F16E23">
            <w:pPr>
              <w:pStyle w:val="TableText"/>
              <w:spacing w:before="40" w:after="40"/>
              <w:jc w:val="right"/>
            </w:pPr>
            <w:r w:rsidRPr="0028033B">
              <w:t> </w:t>
            </w:r>
          </w:p>
        </w:tc>
        <w:tc>
          <w:tcPr>
            <w:tcW w:w="872" w:type="dxa"/>
            <w:vAlign w:val="bottom"/>
            <w:hideMark/>
          </w:tcPr>
          <w:p w14:paraId="19397034" w14:textId="77777777" w:rsidR="00E46639" w:rsidRPr="0028033B" w:rsidRDefault="00E46639" w:rsidP="00F16E23">
            <w:pPr>
              <w:pStyle w:val="TableText"/>
              <w:spacing w:before="40" w:after="40"/>
              <w:jc w:val="right"/>
            </w:pPr>
            <w:r w:rsidRPr="0028033B">
              <w:t> </w:t>
            </w:r>
          </w:p>
        </w:tc>
      </w:tr>
      <w:tr w:rsidR="00E46639" w:rsidRPr="0028033B" w14:paraId="4A2F00F3" w14:textId="77777777" w:rsidTr="00F16E23">
        <w:tc>
          <w:tcPr>
            <w:tcW w:w="1041" w:type="dxa"/>
            <w:vMerge/>
            <w:hideMark/>
          </w:tcPr>
          <w:p w14:paraId="4473A204" w14:textId="77777777" w:rsidR="00E46639" w:rsidRPr="0028033B" w:rsidRDefault="00E46639" w:rsidP="00F16E23">
            <w:pPr>
              <w:spacing w:before="40" w:after="40"/>
              <w:rPr>
                <w:rFonts w:cs="Calibri"/>
                <w:sz w:val="16"/>
                <w:szCs w:val="16"/>
              </w:rPr>
            </w:pPr>
          </w:p>
        </w:tc>
        <w:tc>
          <w:tcPr>
            <w:tcW w:w="1369" w:type="dxa"/>
            <w:hideMark/>
          </w:tcPr>
          <w:p w14:paraId="231B492C" w14:textId="77777777" w:rsidR="00E46639" w:rsidRPr="0028033B" w:rsidRDefault="00E46639" w:rsidP="00F16E23">
            <w:pPr>
              <w:pStyle w:val="TableText"/>
              <w:spacing w:before="40" w:after="40"/>
            </w:pPr>
            <w:r w:rsidRPr="0028033B">
              <w:t>Percentage difference in emissions estimates (%)</w:t>
            </w:r>
          </w:p>
        </w:tc>
        <w:tc>
          <w:tcPr>
            <w:tcW w:w="851" w:type="dxa"/>
            <w:vAlign w:val="bottom"/>
            <w:hideMark/>
          </w:tcPr>
          <w:p w14:paraId="68D2EF07" w14:textId="77777777" w:rsidR="00E46639" w:rsidRPr="0028033B" w:rsidRDefault="00E46639" w:rsidP="00F16E23">
            <w:pPr>
              <w:pStyle w:val="TableText"/>
              <w:spacing w:before="40" w:after="40"/>
              <w:jc w:val="right"/>
            </w:pPr>
            <w:r w:rsidRPr="0028033B">
              <w:t>0.2</w:t>
            </w:r>
          </w:p>
        </w:tc>
        <w:tc>
          <w:tcPr>
            <w:tcW w:w="850" w:type="dxa"/>
            <w:vAlign w:val="bottom"/>
            <w:hideMark/>
          </w:tcPr>
          <w:p w14:paraId="7F28DBC5" w14:textId="77777777" w:rsidR="00E46639" w:rsidRPr="0028033B" w:rsidRDefault="00E46639" w:rsidP="00F16E23">
            <w:pPr>
              <w:pStyle w:val="TableText"/>
              <w:spacing w:before="40" w:after="40"/>
              <w:jc w:val="right"/>
            </w:pPr>
            <w:r w:rsidRPr="0028033B">
              <w:t>-1.4</w:t>
            </w:r>
          </w:p>
        </w:tc>
        <w:tc>
          <w:tcPr>
            <w:tcW w:w="841" w:type="dxa"/>
            <w:vAlign w:val="bottom"/>
            <w:hideMark/>
          </w:tcPr>
          <w:p w14:paraId="5D841AE9" w14:textId="77777777" w:rsidR="00E46639" w:rsidRPr="0028033B" w:rsidRDefault="00E46639" w:rsidP="00F16E23">
            <w:pPr>
              <w:pStyle w:val="TableText"/>
              <w:spacing w:before="40" w:after="40"/>
              <w:jc w:val="right"/>
            </w:pPr>
            <w:r w:rsidRPr="0028033B">
              <w:t>-6.7</w:t>
            </w:r>
          </w:p>
        </w:tc>
        <w:tc>
          <w:tcPr>
            <w:tcW w:w="926" w:type="dxa"/>
            <w:vAlign w:val="bottom"/>
            <w:hideMark/>
          </w:tcPr>
          <w:p w14:paraId="300950B6" w14:textId="77777777" w:rsidR="00E46639" w:rsidRPr="0028033B" w:rsidRDefault="00E46639" w:rsidP="00F16E23">
            <w:pPr>
              <w:pStyle w:val="TableText"/>
              <w:spacing w:before="40" w:after="40"/>
              <w:jc w:val="right"/>
            </w:pPr>
            <w:r w:rsidRPr="0028033B">
              <w:t> </w:t>
            </w:r>
          </w:p>
        </w:tc>
        <w:tc>
          <w:tcPr>
            <w:tcW w:w="886" w:type="dxa"/>
            <w:vAlign w:val="bottom"/>
            <w:hideMark/>
          </w:tcPr>
          <w:p w14:paraId="706A1774" w14:textId="77777777" w:rsidR="00E46639" w:rsidRPr="0028033B" w:rsidRDefault="00E46639" w:rsidP="00F16E23">
            <w:pPr>
              <w:pStyle w:val="TableText"/>
              <w:spacing w:before="40" w:after="40"/>
              <w:jc w:val="right"/>
            </w:pPr>
            <w:r w:rsidRPr="0028033B">
              <w:t> </w:t>
            </w:r>
          </w:p>
        </w:tc>
        <w:tc>
          <w:tcPr>
            <w:tcW w:w="926" w:type="dxa"/>
            <w:vAlign w:val="bottom"/>
            <w:hideMark/>
          </w:tcPr>
          <w:p w14:paraId="3112A5F7" w14:textId="77777777" w:rsidR="00E46639" w:rsidRPr="0028033B" w:rsidRDefault="00E46639" w:rsidP="00F16E23">
            <w:pPr>
              <w:pStyle w:val="TableText"/>
              <w:spacing w:before="40" w:after="40"/>
              <w:jc w:val="right"/>
            </w:pPr>
            <w:r w:rsidRPr="0028033B">
              <w:t> </w:t>
            </w:r>
          </w:p>
        </w:tc>
        <w:tc>
          <w:tcPr>
            <w:tcW w:w="872" w:type="dxa"/>
            <w:vAlign w:val="bottom"/>
            <w:hideMark/>
          </w:tcPr>
          <w:p w14:paraId="3375D311" w14:textId="77777777" w:rsidR="00E46639" w:rsidRPr="0028033B" w:rsidRDefault="00E46639" w:rsidP="00F16E23">
            <w:pPr>
              <w:pStyle w:val="TableText"/>
              <w:spacing w:before="40" w:after="40"/>
              <w:jc w:val="right"/>
            </w:pPr>
            <w:r w:rsidRPr="0028033B">
              <w:t> </w:t>
            </w:r>
          </w:p>
        </w:tc>
      </w:tr>
    </w:tbl>
    <w:p w14:paraId="084458F3" w14:textId="77777777" w:rsidR="00E46639" w:rsidRPr="0028033B" w:rsidRDefault="00E46639" w:rsidP="00E46639">
      <w:pPr>
        <w:pStyle w:val="Heading5"/>
        <w:spacing w:before="360"/>
      </w:pPr>
      <w:r w:rsidRPr="0028033B">
        <w:t>Aligning with the 2019 Refinement to the 2006 IPCC Guidelines for National Greenhouse Gas Inventories</w:t>
      </w:r>
    </w:p>
    <w:p w14:paraId="4115209E" w14:textId="77777777" w:rsidR="00E46639" w:rsidRPr="0028033B" w:rsidRDefault="00E46639" w:rsidP="00E46639">
      <w:pPr>
        <w:pStyle w:val="BodyText"/>
      </w:pPr>
      <w:r w:rsidRPr="0028033B">
        <w:t>Several changes have been made to the New Zealand Inventory to align with the 2019 IPCC Refinement that</w:t>
      </w:r>
      <w:r w:rsidRPr="0028033B" w:rsidDel="0066729E">
        <w:t xml:space="preserve"> </w:t>
      </w:r>
      <w:r w:rsidRPr="0028033B">
        <w:t>affect emissions from manure management (IPCC, 2019). These are: (i) updating the CH</w:t>
      </w:r>
      <w:r w:rsidRPr="0028033B">
        <w:rPr>
          <w:vertAlign w:val="subscript"/>
        </w:rPr>
        <w:t>4</w:t>
      </w:r>
      <w:r w:rsidRPr="0028033B">
        <w:t xml:space="preserve"> conversion factor for dairy anaerobic lagoons to account for regional climates, (ii) inclusion of ostriches and emus as a separate category, (iii) revised CH</w:t>
      </w:r>
      <w:r w:rsidRPr="0028033B">
        <w:rPr>
          <w:vertAlign w:val="subscript"/>
        </w:rPr>
        <w:t>4</w:t>
      </w:r>
      <w:r w:rsidRPr="0028033B">
        <w:t xml:space="preserve"> emission factors for manure management for goats, horses and donkeys, and (iv) revised Frac</w:t>
      </w:r>
      <w:r w:rsidRPr="0028033B">
        <w:rPr>
          <w:vertAlign w:val="subscript"/>
        </w:rPr>
        <w:t xml:space="preserve">GasMS </w:t>
      </w:r>
      <w:r w:rsidRPr="0028033B">
        <w:t>for poultry.</w:t>
      </w:r>
    </w:p>
    <w:p w14:paraId="62912C08" w14:textId="77777777" w:rsidR="00E46639" w:rsidRPr="0028033B" w:rsidRDefault="00E46639" w:rsidP="00E46639">
      <w:pPr>
        <w:pStyle w:val="BodyText"/>
      </w:pPr>
      <w:r w:rsidRPr="0028033B">
        <w:t xml:space="preserve">The New Zealand Inventory has been changed to use the climate specific methane conversion factor (MCF) disaggregation for dairy anaerobic lagoons provided in the 2019 IPCC Refinement (IPCC, 2019). </w:t>
      </w:r>
    </w:p>
    <w:p w14:paraId="7653188D" w14:textId="77777777" w:rsidR="00E46639" w:rsidRPr="0028033B" w:rsidRDefault="00E46639" w:rsidP="00E46639">
      <w:pPr>
        <w:pStyle w:val="BodyText"/>
      </w:pPr>
      <w:r w:rsidRPr="0028033B">
        <w:t>Previously, the New Zealand Inventory used an MCF of 0.74 to calculate CH</w:t>
      </w:r>
      <w:r w:rsidRPr="0028033B">
        <w:rPr>
          <w:vertAlign w:val="subscript"/>
        </w:rPr>
        <w:t>4</w:t>
      </w:r>
      <w:r w:rsidRPr="0028033B">
        <w:t xml:space="preserve"> from anaerobic lagoons. This is the default value for uncovered anaerobic lagoons and an average annual temperature of 15 degrees Celsius in the 2006 IPCC Guidelines (IPCC, 2006, table 10.17, chapter 10, volume 4). </w:t>
      </w:r>
    </w:p>
    <w:p w14:paraId="6CE1DDC5" w14:textId="77777777" w:rsidR="00E46639" w:rsidRPr="0028033B" w:rsidRDefault="00E46639" w:rsidP="00E46639">
      <w:pPr>
        <w:pStyle w:val="BodyText"/>
      </w:pPr>
      <w:r w:rsidRPr="0028033B">
        <w:t>The 2019 IPCC Refinement revises MCFs for manure management systems. The revised values are desegregated by climate zone rather than average annual temperature. The guidance states that, in cases in which countries lie in multiple climate zones, it is good practice for compilers, if possible, to disaggregate livestock populations by climate zone (IPCC, 2019).</w:t>
      </w:r>
    </w:p>
    <w:p w14:paraId="3005B4D8" w14:textId="77777777" w:rsidR="00E46639" w:rsidRPr="0028033B" w:rsidRDefault="00E46639" w:rsidP="00E46639">
      <w:pPr>
        <w:pStyle w:val="BodyText"/>
      </w:pPr>
      <w:r w:rsidRPr="0028033B">
        <w:t>To implement this change, climate zones were determined by consulting the regional climatologies published by Earth Sciences New Zealand</w:t>
      </w:r>
      <w:r w:rsidRPr="0028033B">
        <w:rPr>
          <w:rStyle w:val="FootnoteReference"/>
        </w:rPr>
        <w:footnoteReference w:id="42"/>
      </w:r>
      <w:r w:rsidRPr="0028033B">
        <w:t xml:space="preserve"> and based on the guidance in figure 3A.5.2 in the 2019 IPCC Refinement (IPCC, 2019). The dominant climate zone and anaerobic lagoon MCF value used for each region is listed in table 5.3.17.</w:t>
      </w:r>
    </w:p>
    <w:p w14:paraId="65F79A0F" w14:textId="77777777" w:rsidR="00E46639" w:rsidRPr="0028033B" w:rsidRDefault="00E46639" w:rsidP="00E46639">
      <w:pPr>
        <w:pStyle w:val="Table"/>
      </w:pPr>
      <w:bookmarkStart w:id="1043" w:name="_Toc222407642"/>
      <w:bookmarkStart w:id="1044" w:name="_Toc226669017"/>
      <w:r w:rsidRPr="0028033B">
        <w:t>Table 5.3.17</w:t>
      </w:r>
      <w:r w:rsidRPr="0028033B">
        <w:tab/>
        <w:t>Revised regional methane conversion factor (MCF) values for anaerobic lagoons</w:t>
      </w:r>
      <w:bookmarkEnd w:id="1043"/>
      <w:bookmarkEnd w:id="1044"/>
    </w:p>
    <w:tbl>
      <w:tblPr>
        <w:tblStyle w:val="AgPannelPape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3027"/>
        <w:gridCol w:w="2595"/>
        <w:gridCol w:w="2883"/>
      </w:tblGrid>
      <w:tr w:rsidR="00E46639" w:rsidRPr="0028033B" w14:paraId="51E57746" w14:textId="77777777" w:rsidTr="00F16E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7" w:type="dxa"/>
            <w:tcBorders>
              <w:bottom w:val="none" w:sz="0" w:space="0" w:color="auto"/>
              <w:right w:val="none" w:sz="0" w:space="0" w:color="auto"/>
            </w:tcBorders>
            <w:noWrap/>
            <w:hideMark/>
          </w:tcPr>
          <w:p w14:paraId="66DE1840" w14:textId="77777777" w:rsidR="00E46639" w:rsidRPr="0028033B" w:rsidRDefault="00E46639" w:rsidP="00F16E23">
            <w:pPr>
              <w:pStyle w:val="TableTextBold"/>
              <w:spacing w:before="40" w:after="40"/>
              <w:jc w:val="left"/>
              <w:rPr>
                <w:b/>
                <w:bCs w:val="0"/>
                <w:noProof w:val="0"/>
              </w:rPr>
            </w:pPr>
            <w:r w:rsidRPr="0028033B">
              <w:rPr>
                <w:b/>
                <w:bCs w:val="0"/>
                <w:noProof w:val="0"/>
              </w:rPr>
              <w:t>Region</w:t>
            </w:r>
          </w:p>
        </w:tc>
        <w:tc>
          <w:tcPr>
            <w:tcW w:w="2552" w:type="dxa"/>
          </w:tcPr>
          <w:p w14:paraId="7155312E" w14:textId="77777777" w:rsidR="00E46639" w:rsidRPr="0028033B" w:rsidRDefault="00E46639" w:rsidP="00F16E23">
            <w:pPr>
              <w:pStyle w:val="TableTextBold"/>
              <w:spacing w:before="40" w:after="40"/>
              <w:jc w:val="left"/>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Dominant climate zone</w:t>
            </w:r>
          </w:p>
        </w:tc>
        <w:tc>
          <w:tcPr>
            <w:tcW w:w="2835" w:type="dxa"/>
            <w:noWrap/>
            <w:hideMark/>
          </w:tcPr>
          <w:p w14:paraId="6C4C9B0F" w14:textId="77777777" w:rsidR="00E46639" w:rsidRPr="0028033B" w:rsidRDefault="00E46639" w:rsidP="00F16E23">
            <w:pPr>
              <w:pStyle w:val="TableTextBold"/>
              <w:spacing w:before="40" w:after="40"/>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Anaerobic lagoon MCF</w:t>
            </w:r>
          </w:p>
        </w:tc>
      </w:tr>
      <w:tr w:rsidR="00E46639" w:rsidRPr="0028033B" w14:paraId="18CE8ADC"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6B1D96C3"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Northland </w:t>
            </w:r>
          </w:p>
        </w:tc>
        <w:tc>
          <w:tcPr>
            <w:tcW w:w="2552" w:type="dxa"/>
            <w:tcBorders>
              <w:top w:val="none" w:sz="0" w:space="0" w:color="auto"/>
              <w:bottom w:val="none" w:sz="0" w:space="0" w:color="auto"/>
            </w:tcBorders>
          </w:tcPr>
          <w:p w14:paraId="692DAAFA"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Warm temperate, moist</w:t>
            </w:r>
          </w:p>
        </w:tc>
        <w:tc>
          <w:tcPr>
            <w:tcW w:w="2835" w:type="dxa"/>
            <w:tcBorders>
              <w:top w:val="none" w:sz="0" w:space="0" w:color="auto"/>
              <w:bottom w:val="none" w:sz="0" w:space="0" w:color="auto"/>
            </w:tcBorders>
            <w:noWrap/>
            <w:hideMark/>
          </w:tcPr>
          <w:p w14:paraId="180527A4"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0.73</w:t>
            </w:r>
          </w:p>
        </w:tc>
      </w:tr>
      <w:tr w:rsidR="00E46639" w:rsidRPr="0028033B" w14:paraId="1B798545"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46B1C9F3"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Auckland </w:t>
            </w:r>
          </w:p>
        </w:tc>
        <w:tc>
          <w:tcPr>
            <w:tcW w:w="2552" w:type="dxa"/>
          </w:tcPr>
          <w:p w14:paraId="2D9D59AD"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moist</w:t>
            </w:r>
          </w:p>
        </w:tc>
        <w:tc>
          <w:tcPr>
            <w:tcW w:w="2835" w:type="dxa"/>
            <w:noWrap/>
            <w:hideMark/>
          </w:tcPr>
          <w:p w14:paraId="088618FE"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0.73</w:t>
            </w:r>
          </w:p>
        </w:tc>
      </w:tr>
      <w:tr w:rsidR="00E46639" w:rsidRPr="0028033B" w14:paraId="11176E50"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1FFA5600"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Waikato </w:t>
            </w:r>
          </w:p>
        </w:tc>
        <w:tc>
          <w:tcPr>
            <w:tcW w:w="2552" w:type="dxa"/>
            <w:tcBorders>
              <w:top w:val="none" w:sz="0" w:space="0" w:color="auto"/>
              <w:bottom w:val="none" w:sz="0" w:space="0" w:color="auto"/>
            </w:tcBorders>
          </w:tcPr>
          <w:p w14:paraId="61C1FEBC"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Warm temperate, moist</w:t>
            </w:r>
          </w:p>
        </w:tc>
        <w:tc>
          <w:tcPr>
            <w:tcW w:w="2835" w:type="dxa"/>
            <w:tcBorders>
              <w:top w:val="none" w:sz="0" w:space="0" w:color="auto"/>
              <w:bottom w:val="none" w:sz="0" w:space="0" w:color="auto"/>
            </w:tcBorders>
            <w:noWrap/>
            <w:hideMark/>
          </w:tcPr>
          <w:p w14:paraId="6A567019"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0.73</w:t>
            </w:r>
          </w:p>
        </w:tc>
      </w:tr>
      <w:tr w:rsidR="00E46639" w:rsidRPr="0028033B" w14:paraId="11B19880"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4AEFB6DF"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Bay of Plenty </w:t>
            </w:r>
          </w:p>
        </w:tc>
        <w:tc>
          <w:tcPr>
            <w:tcW w:w="2552" w:type="dxa"/>
          </w:tcPr>
          <w:p w14:paraId="6947719C"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moist</w:t>
            </w:r>
          </w:p>
        </w:tc>
        <w:tc>
          <w:tcPr>
            <w:tcW w:w="2835" w:type="dxa"/>
            <w:noWrap/>
            <w:hideMark/>
          </w:tcPr>
          <w:p w14:paraId="74DE5D63"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0.73</w:t>
            </w:r>
          </w:p>
        </w:tc>
      </w:tr>
      <w:tr w:rsidR="00E46639" w:rsidRPr="0028033B" w14:paraId="44EF4E5E"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653431F3"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Gisborne </w:t>
            </w:r>
          </w:p>
        </w:tc>
        <w:tc>
          <w:tcPr>
            <w:tcW w:w="2552" w:type="dxa"/>
            <w:tcBorders>
              <w:top w:val="none" w:sz="0" w:space="0" w:color="auto"/>
              <w:bottom w:val="none" w:sz="0" w:space="0" w:color="auto"/>
            </w:tcBorders>
          </w:tcPr>
          <w:p w14:paraId="1E6D341C"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Warm temperate, moist</w:t>
            </w:r>
          </w:p>
        </w:tc>
        <w:tc>
          <w:tcPr>
            <w:tcW w:w="2835" w:type="dxa"/>
            <w:tcBorders>
              <w:top w:val="none" w:sz="0" w:space="0" w:color="auto"/>
              <w:bottom w:val="none" w:sz="0" w:space="0" w:color="auto"/>
            </w:tcBorders>
            <w:noWrap/>
            <w:hideMark/>
          </w:tcPr>
          <w:p w14:paraId="5E74E12C"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0.73</w:t>
            </w:r>
          </w:p>
        </w:tc>
      </w:tr>
      <w:tr w:rsidR="00E46639" w:rsidRPr="0028033B" w14:paraId="15D29C62"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2B9E4FE1"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Hawke's Bay </w:t>
            </w:r>
          </w:p>
        </w:tc>
        <w:tc>
          <w:tcPr>
            <w:tcW w:w="2552" w:type="dxa"/>
          </w:tcPr>
          <w:p w14:paraId="736B3B82"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moist</w:t>
            </w:r>
          </w:p>
        </w:tc>
        <w:tc>
          <w:tcPr>
            <w:tcW w:w="2835" w:type="dxa"/>
            <w:noWrap/>
            <w:hideMark/>
          </w:tcPr>
          <w:p w14:paraId="73D6E315"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0.73</w:t>
            </w:r>
          </w:p>
        </w:tc>
      </w:tr>
      <w:tr w:rsidR="00E46639" w:rsidRPr="0028033B" w14:paraId="07074F96"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4BC629E7"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Taranaki </w:t>
            </w:r>
          </w:p>
        </w:tc>
        <w:tc>
          <w:tcPr>
            <w:tcW w:w="2552" w:type="dxa"/>
            <w:tcBorders>
              <w:top w:val="none" w:sz="0" w:space="0" w:color="auto"/>
              <w:bottom w:val="none" w:sz="0" w:space="0" w:color="auto"/>
            </w:tcBorders>
          </w:tcPr>
          <w:p w14:paraId="0C4255A4"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Warm temperate, moist</w:t>
            </w:r>
          </w:p>
        </w:tc>
        <w:tc>
          <w:tcPr>
            <w:tcW w:w="2835" w:type="dxa"/>
            <w:tcBorders>
              <w:top w:val="none" w:sz="0" w:space="0" w:color="auto"/>
              <w:bottom w:val="none" w:sz="0" w:space="0" w:color="auto"/>
            </w:tcBorders>
            <w:noWrap/>
            <w:hideMark/>
          </w:tcPr>
          <w:p w14:paraId="67DC3C6F"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0.73</w:t>
            </w:r>
          </w:p>
        </w:tc>
      </w:tr>
      <w:tr w:rsidR="00E46639" w:rsidRPr="0028033B" w14:paraId="65C26884"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3E84D820"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Manawatu–Whanganui </w:t>
            </w:r>
          </w:p>
        </w:tc>
        <w:tc>
          <w:tcPr>
            <w:tcW w:w="2552" w:type="dxa"/>
          </w:tcPr>
          <w:p w14:paraId="09642B08"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moist</w:t>
            </w:r>
          </w:p>
        </w:tc>
        <w:tc>
          <w:tcPr>
            <w:tcW w:w="2835" w:type="dxa"/>
            <w:noWrap/>
            <w:hideMark/>
          </w:tcPr>
          <w:p w14:paraId="62D3787E"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0.73</w:t>
            </w:r>
          </w:p>
        </w:tc>
      </w:tr>
      <w:tr w:rsidR="00E46639" w:rsidRPr="0028033B" w14:paraId="170974D4"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6E307B9F"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Wellington </w:t>
            </w:r>
          </w:p>
        </w:tc>
        <w:tc>
          <w:tcPr>
            <w:tcW w:w="2552" w:type="dxa"/>
            <w:tcBorders>
              <w:top w:val="none" w:sz="0" w:space="0" w:color="auto"/>
              <w:bottom w:val="none" w:sz="0" w:space="0" w:color="auto"/>
            </w:tcBorders>
          </w:tcPr>
          <w:p w14:paraId="550383A3"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Warm temperate, moist</w:t>
            </w:r>
          </w:p>
        </w:tc>
        <w:tc>
          <w:tcPr>
            <w:tcW w:w="2835" w:type="dxa"/>
            <w:tcBorders>
              <w:top w:val="none" w:sz="0" w:space="0" w:color="auto"/>
              <w:bottom w:val="none" w:sz="0" w:space="0" w:color="auto"/>
            </w:tcBorders>
            <w:noWrap/>
            <w:hideMark/>
          </w:tcPr>
          <w:p w14:paraId="02DDEE3E"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0.73</w:t>
            </w:r>
          </w:p>
        </w:tc>
      </w:tr>
      <w:tr w:rsidR="00E46639" w:rsidRPr="0028033B" w14:paraId="44124031"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60D39440"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West Coast </w:t>
            </w:r>
          </w:p>
        </w:tc>
        <w:tc>
          <w:tcPr>
            <w:tcW w:w="2552" w:type="dxa"/>
          </w:tcPr>
          <w:p w14:paraId="2FEB44AD"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moist</w:t>
            </w:r>
          </w:p>
        </w:tc>
        <w:tc>
          <w:tcPr>
            <w:tcW w:w="2835" w:type="dxa"/>
            <w:noWrap/>
            <w:hideMark/>
          </w:tcPr>
          <w:p w14:paraId="6FB66A20"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0.73</w:t>
            </w:r>
          </w:p>
        </w:tc>
      </w:tr>
      <w:tr w:rsidR="00E46639" w:rsidRPr="0028033B" w14:paraId="620957D2"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0B35674E"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Canterbury </w:t>
            </w:r>
          </w:p>
        </w:tc>
        <w:tc>
          <w:tcPr>
            <w:tcW w:w="2552" w:type="dxa"/>
            <w:tcBorders>
              <w:top w:val="none" w:sz="0" w:space="0" w:color="auto"/>
              <w:bottom w:val="none" w:sz="0" w:space="0" w:color="auto"/>
            </w:tcBorders>
          </w:tcPr>
          <w:p w14:paraId="1AC8C419"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Warm temperate, dry</w:t>
            </w:r>
          </w:p>
        </w:tc>
        <w:tc>
          <w:tcPr>
            <w:tcW w:w="2835" w:type="dxa"/>
            <w:tcBorders>
              <w:top w:val="none" w:sz="0" w:space="0" w:color="auto"/>
              <w:bottom w:val="none" w:sz="0" w:space="0" w:color="auto"/>
            </w:tcBorders>
            <w:noWrap/>
            <w:hideMark/>
          </w:tcPr>
          <w:p w14:paraId="2317C5BB"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0.76</w:t>
            </w:r>
          </w:p>
        </w:tc>
      </w:tr>
      <w:tr w:rsidR="00E46639" w:rsidRPr="0028033B" w14:paraId="62F0E478"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1B7AF8AB"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Otago </w:t>
            </w:r>
          </w:p>
        </w:tc>
        <w:tc>
          <w:tcPr>
            <w:tcW w:w="2552" w:type="dxa"/>
          </w:tcPr>
          <w:p w14:paraId="57A288BE"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dry</w:t>
            </w:r>
          </w:p>
        </w:tc>
        <w:tc>
          <w:tcPr>
            <w:tcW w:w="2835" w:type="dxa"/>
            <w:noWrap/>
            <w:hideMark/>
          </w:tcPr>
          <w:p w14:paraId="1164CBF3"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0.76</w:t>
            </w:r>
          </w:p>
        </w:tc>
      </w:tr>
      <w:tr w:rsidR="00E46639" w:rsidRPr="0028033B" w14:paraId="0B20D646"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4E79BC77"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Southland </w:t>
            </w:r>
          </w:p>
        </w:tc>
        <w:tc>
          <w:tcPr>
            <w:tcW w:w="2552" w:type="dxa"/>
            <w:tcBorders>
              <w:top w:val="none" w:sz="0" w:space="0" w:color="auto"/>
              <w:bottom w:val="none" w:sz="0" w:space="0" w:color="auto"/>
            </w:tcBorders>
          </w:tcPr>
          <w:p w14:paraId="2F3FF826"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Cool temperate, moist</w:t>
            </w:r>
          </w:p>
        </w:tc>
        <w:tc>
          <w:tcPr>
            <w:tcW w:w="2835" w:type="dxa"/>
            <w:tcBorders>
              <w:top w:val="none" w:sz="0" w:space="0" w:color="auto"/>
              <w:bottom w:val="none" w:sz="0" w:space="0" w:color="auto"/>
            </w:tcBorders>
            <w:noWrap/>
            <w:hideMark/>
          </w:tcPr>
          <w:p w14:paraId="441F9841"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0.60</w:t>
            </w:r>
          </w:p>
        </w:tc>
      </w:tr>
      <w:tr w:rsidR="00E46639" w:rsidRPr="0028033B" w14:paraId="4D41E6FB"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05C8FB0C"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Tasman </w:t>
            </w:r>
          </w:p>
        </w:tc>
        <w:tc>
          <w:tcPr>
            <w:tcW w:w="2552" w:type="dxa"/>
          </w:tcPr>
          <w:p w14:paraId="0A53B702"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moist</w:t>
            </w:r>
          </w:p>
        </w:tc>
        <w:tc>
          <w:tcPr>
            <w:tcW w:w="2835" w:type="dxa"/>
            <w:noWrap/>
            <w:hideMark/>
          </w:tcPr>
          <w:p w14:paraId="48A06B51"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0.73</w:t>
            </w:r>
          </w:p>
        </w:tc>
      </w:tr>
      <w:tr w:rsidR="00E46639" w:rsidRPr="0028033B" w14:paraId="7110CBFA"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one" w:sz="0" w:space="0" w:color="auto"/>
              <w:bottom w:val="none" w:sz="0" w:space="0" w:color="auto"/>
              <w:right w:val="none" w:sz="0" w:space="0" w:color="auto"/>
            </w:tcBorders>
            <w:noWrap/>
            <w:hideMark/>
          </w:tcPr>
          <w:p w14:paraId="7446FBE1"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Nelson </w:t>
            </w:r>
          </w:p>
        </w:tc>
        <w:tc>
          <w:tcPr>
            <w:tcW w:w="2552" w:type="dxa"/>
            <w:tcBorders>
              <w:top w:val="none" w:sz="0" w:space="0" w:color="auto"/>
              <w:bottom w:val="none" w:sz="0" w:space="0" w:color="auto"/>
            </w:tcBorders>
          </w:tcPr>
          <w:p w14:paraId="6239D8A1" w14:textId="77777777" w:rsidR="00E46639" w:rsidRPr="0028033B" w:rsidRDefault="00E46639" w:rsidP="00F16E23">
            <w:pPr>
              <w:pStyle w:val="TableText"/>
              <w:spacing w:before="40" w:after="40"/>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Warm temperate, Moist</w:t>
            </w:r>
          </w:p>
        </w:tc>
        <w:tc>
          <w:tcPr>
            <w:tcW w:w="2835" w:type="dxa"/>
            <w:tcBorders>
              <w:top w:val="none" w:sz="0" w:space="0" w:color="auto"/>
              <w:bottom w:val="none" w:sz="0" w:space="0" w:color="auto"/>
            </w:tcBorders>
            <w:noWrap/>
            <w:hideMark/>
          </w:tcPr>
          <w:p w14:paraId="603875EC" w14:textId="77777777" w:rsidR="00E46639" w:rsidRPr="0028033B" w:rsidRDefault="00E46639" w:rsidP="00F16E23">
            <w:pPr>
              <w:pStyle w:val="TableText"/>
              <w:spacing w:before="40" w:after="40"/>
              <w:jc w:val="center"/>
              <w:cnfStyle w:val="000000100000" w:firstRow="0" w:lastRow="0" w:firstColumn="0" w:lastColumn="0" w:oddVBand="0" w:evenVBand="0" w:oddHBand="1" w:evenHBand="0" w:firstRowFirstColumn="0" w:firstRowLastColumn="0" w:lastRowFirstColumn="0" w:lastRowLastColumn="0"/>
              <w:rPr>
                <w:rFonts w:cs="Calibri"/>
                <w:szCs w:val="16"/>
              </w:rPr>
            </w:pPr>
            <w:r w:rsidRPr="0028033B">
              <w:rPr>
                <w:rFonts w:cs="Calibri"/>
                <w:szCs w:val="16"/>
              </w:rPr>
              <w:t>0.73</w:t>
            </w:r>
          </w:p>
        </w:tc>
      </w:tr>
      <w:tr w:rsidR="00E46639" w:rsidRPr="0028033B" w14:paraId="701E722B" w14:textId="77777777" w:rsidTr="00F16E23">
        <w:tc>
          <w:tcPr>
            <w:cnfStyle w:val="001000000000" w:firstRow="0" w:lastRow="0" w:firstColumn="1" w:lastColumn="0" w:oddVBand="0" w:evenVBand="0" w:oddHBand="0" w:evenHBand="0" w:firstRowFirstColumn="0" w:firstRowLastColumn="0" w:lastRowFirstColumn="0" w:lastRowLastColumn="0"/>
            <w:tcW w:w="2977" w:type="dxa"/>
            <w:tcBorders>
              <w:right w:val="none" w:sz="0" w:space="0" w:color="auto"/>
            </w:tcBorders>
            <w:noWrap/>
            <w:hideMark/>
          </w:tcPr>
          <w:p w14:paraId="2C6E2F95" w14:textId="77777777" w:rsidR="00E46639" w:rsidRPr="0028033B" w:rsidRDefault="00E46639" w:rsidP="00F16E23">
            <w:pPr>
              <w:pStyle w:val="TableText"/>
              <w:spacing w:before="40" w:after="40"/>
              <w:rPr>
                <w:rFonts w:cs="Calibri"/>
                <w:b w:val="0"/>
                <w:bCs w:val="0"/>
                <w:szCs w:val="16"/>
              </w:rPr>
            </w:pPr>
            <w:r w:rsidRPr="0028033B">
              <w:rPr>
                <w:rFonts w:cs="Calibri"/>
                <w:b w:val="0"/>
                <w:bCs w:val="0"/>
                <w:szCs w:val="16"/>
              </w:rPr>
              <w:t xml:space="preserve">Marlborough </w:t>
            </w:r>
          </w:p>
        </w:tc>
        <w:tc>
          <w:tcPr>
            <w:tcW w:w="2552" w:type="dxa"/>
          </w:tcPr>
          <w:p w14:paraId="1A24210D" w14:textId="77777777" w:rsidR="00E46639" w:rsidRPr="0028033B" w:rsidRDefault="00E46639" w:rsidP="00F16E23">
            <w:pPr>
              <w:pStyle w:val="TableText"/>
              <w:spacing w:before="40" w:after="40"/>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Warm temperate, dry</w:t>
            </w:r>
          </w:p>
        </w:tc>
        <w:tc>
          <w:tcPr>
            <w:tcW w:w="2835" w:type="dxa"/>
            <w:noWrap/>
            <w:hideMark/>
          </w:tcPr>
          <w:p w14:paraId="7714B2DB" w14:textId="77777777" w:rsidR="00E46639" w:rsidRPr="0028033B" w:rsidRDefault="00E46639" w:rsidP="00F16E23">
            <w:pPr>
              <w:pStyle w:val="TableText"/>
              <w:spacing w:before="40" w:after="40"/>
              <w:jc w:val="center"/>
              <w:cnfStyle w:val="000000000000" w:firstRow="0" w:lastRow="0" w:firstColumn="0" w:lastColumn="0" w:oddVBand="0" w:evenVBand="0" w:oddHBand="0" w:evenHBand="0" w:firstRowFirstColumn="0" w:firstRowLastColumn="0" w:lastRowFirstColumn="0" w:lastRowLastColumn="0"/>
              <w:rPr>
                <w:rFonts w:cs="Calibri"/>
                <w:szCs w:val="16"/>
              </w:rPr>
            </w:pPr>
            <w:r w:rsidRPr="0028033B">
              <w:rPr>
                <w:rFonts w:cs="Calibri"/>
                <w:szCs w:val="16"/>
              </w:rPr>
              <w:t>0.76</w:t>
            </w:r>
          </w:p>
        </w:tc>
      </w:tr>
    </w:tbl>
    <w:p w14:paraId="5B0ECA24" w14:textId="77777777" w:rsidR="00E46639" w:rsidRPr="0028033B" w:rsidRDefault="00E46639" w:rsidP="00E46639">
      <w:pPr>
        <w:pStyle w:val="BodyText"/>
        <w:spacing w:before="240"/>
      </w:pPr>
      <w:r w:rsidRPr="0028033B">
        <w:rPr>
          <w:spacing w:val="-2"/>
        </w:rPr>
        <w:t>The New Zealand Inventory has been changed to include an estimate of emissions from manure management of ostriches and emus using default emission factors. Ostriches and emus</w:t>
      </w:r>
      <w:r w:rsidRPr="0028033B">
        <w:t xml:space="preserve"> are a new species in the 2026 submission. The following IPCC 2019 default values were applied:</w:t>
      </w:r>
    </w:p>
    <w:p w14:paraId="616D9DEB" w14:textId="3FE1B29C" w:rsidR="00E46639" w:rsidRPr="00F0033F" w:rsidRDefault="00761305" w:rsidP="00F0033F">
      <w:pPr>
        <w:pStyle w:val="Sub-lista"/>
        <w:numPr>
          <w:ilvl w:val="0"/>
          <w:numId w:val="0"/>
        </w:numPr>
        <w:ind w:left="397" w:hanging="397"/>
      </w:pPr>
      <w:r w:rsidRPr="00F0033F">
        <w:t>a)</w:t>
      </w:r>
      <w:r w:rsidR="00F0033F" w:rsidRPr="00F0033F">
        <w:tab/>
      </w:r>
      <w:r w:rsidR="00E46639" w:rsidRPr="00F0033F">
        <w:t>methane emissions from manure management: 5.67 kg CH₄/head/year (IPCC 2019, table 10.15)</w:t>
      </w:r>
    </w:p>
    <w:p w14:paraId="45502E37" w14:textId="508DED80" w:rsidR="00E46639" w:rsidRPr="00F0033F" w:rsidRDefault="00F0033F" w:rsidP="00F0033F">
      <w:pPr>
        <w:pStyle w:val="Sub-lista"/>
        <w:numPr>
          <w:ilvl w:val="0"/>
          <w:numId w:val="0"/>
        </w:numPr>
        <w:ind w:left="397" w:hanging="397"/>
      </w:pPr>
      <w:r w:rsidRPr="00F0033F">
        <w:t>b)</w:t>
      </w:r>
      <w:r w:rsidRPr="00F0033F">
        <w:tab/>
      </w:r>
      <w:r w:rsidR="00E46639" w:rsidRPr="00F0033F">
        <w:t>nitrogen excretion rate: 15.6 kg N/head/year (IPCC 2019, table 10.19)</w:t>
      </w:r>
    </w:p>
    <w:p w14:paraId="3009D8C3" w14:textId="4B37A291" w:rsidR="00E46639" w:rsidRPr="00F0033F" w:rsidRDefault="00F0033F" w:rsidP="00F0033F">
      <w:pPr>
        <w:pStyle w:val="Sub-lista"/>
        <w:numPr>
          <w:ilvl w:val="0"/>
          <w:numId w:val="0"/>
        </w:numPr>
        <w:ind w:left="397" w:hanging="397"/>
      </w:pPr>
      <w:r w:rsidRPr="00F0033F">
        <w:t>c)</w:t>
      </w:r>
      <w:r w:rsidRPr="00F0033F">
        <w:tab/>
      </w:r>
      <w:r w:rsidR="00E46639" w:rsidRPr="00F0033F">
        <w:t>manure management system distribution (IPCC 2019, table 10.19, footnote 11):</w:t>
      </w:r>
    </w:p>
    <w:p w14:paraId="04CD7015" w14:textId="1C8508D6" w:rsidR="00E46639" w:rsidRPr="0028033B" w:rsidRDefault="00F0033F" w:rsidP="00F0033F">
      <w:pPr>
        <w:pStyle w:val="Sub-listi"/>
        <w:numPr>
          <w:ilvl w:val="0"/>
          <w:numId w:val="0"/>
        </w:numPr>
        <w:ind w:left="397"/>
      </w:pPr>
      <w:r>
        <w:t>i)</w:t>
      </w:r>
      <w:r>
        <w:tab/>
      </w:r>
      <w:r w:rsidR="00E46639" w:rsidRPr="0028033B">
        <w:t>80 percent assumed to be deposited on pasture and range</w:t>
      </w:r>
    </w:p>
    <w:p w14:paraId="585194CB" w14:textId="4997352D" w:rsidR="00E46639" w:rsidRPr="0028033B" w:rsidRDefault="00F0033F" w:rsidP="00F0033F">
      <w:pPr>
        <w:pStyle w:val="Sub-listi"/>
        <w:numPr>
          <w:ilvl w:val="0"/>
          <w:numId w:val="0"/>
        </w:numPr>
        <w:ind w:left="397"/>
      </w:pPr>
      <w:r>
        <w:t>ii)</w:t>
      </w:r>
      <w:r>
        <w:tab/>
      </w:r>
      <w:r w:rsidR="00E46639" w:rsidRPr="0028033B">
        <w:t>20 percent assumed to be managed in solid-based systems.</w:t>
      </w:r>
    </w:p>
    <w:p w14:paraId="4CC60E4E" w14:textId="77777777" w:rsidR="00E46639" w:rsidRPr="0028033B" w:rsidRDefault="00E46639" w:rsidP="00E46639">
      <w:pPr>
        <w:pStyle w:val="BodyText"/>
      </w:pPr>
      <w:r w:rsidRPr="0028033B">
        <w:t>For all other emission sources (e.g., indirect N</w:t>
      </w:r>
      <w:r w:rsidRPr="0028033B">
        <w:rPr>
          <w:rFonts w:ascii="Cambria Math" w:hAnsi="Cambria Math" w:cs="Cambria Math"/>
        </w:rPr>
        <w:t>₂</w:t>
      </w:r>
      <w:r w:rsidRPr="0028033B">
        <w:t>O emissions), the same emission factors used for ‘other poultry’ were applied to ostriches and emus.</w:t>
      </w:r>
    </w:p>
    <w:p w14:paraId="651FA904" w14:textId="77777777" w:rsidR="00E46639" w:rsidRPr="0028033B" w:rsidRDefault="00E46639" w:rsidP="00E46639">
      <w:pPr>
        <w:pStyle w:val="BodyText"/>
      </w:pPr>
      <w:r w:rsidRPr="0028033B">
        <w:t>The New Zealand Inventory has adopted revised default CH</w:t>
      </w:r>
      <w:r w:rsidRPr="0028033B">
        <w:rPr>
          <w:vertAlign w:val="subscript"/>
        </w:rPr>
        <w:t>4</w:t>
      </w:r>
      <w:r w:rsidRPr="0028033B">
        <w:t xml:space="preserve"> emission factors for manure management for goats, horses and donkeys. Previously, the New Zealand Inventory used IPCC (2006) default CH</w:t>
      </w:r>
      <w:r w:rsidRPr="0028033B">
        <w:rPr>
          <w:vertAlign w:val="subscript"/>
        </w:rPr>
        <w:t>4</w:t>
      </w:r>
      <w:r w:rsidRPr="0028033B">
        <w:t xml:space="preserve"> emission factors for manure management for goats, horses and donkeys (table 10.15). </w:t>
      </w:r>
    </w:p>
    <w:p w14:paraId="0AA3E0C3" w14:textId="77777777" w:rsidR="00E46639" w:rsidRPr="0028033B" w:rsidRDefault="00E46639" w:rsidP="00E46639">
      <w:pPr>
        <w:pStyle w:val="BodyText"/>
      </w:pPr>
      <w:r w:rsidRPr="0028033B">
        <w:t>The default manure management CH</w:t>
      </w:r>
      <w:r w:rsidRPr="0028033B">
        <w:rPr>
          <w:vertAlign w:val="subscript"/>
        </w:rPr>
        <w:t>4</w:t>
      </w:r>
      <w:r w:rsidRPr="0028033B">
        <w:t xml:space="preserve"> values have been revised in the 2019 IPCC Refinement (IPCC, 2019). The 2019 IPCC Refinement gives the g CH</w:t>
      </w:r>
      <w:r w:rsidRPr="0028033B">
        <w:rPr>
          <w:vertAlign w:val="subscript"/>
        </w:rPr>
        <w:t>4</w:t>
      </w:r>
      <w:r w:rsidRPr="0028033B">
        <w:t xml:space="preserve"> per kg volatile solids </w:t>
      </w:r>
      <w:r w:rsidRPr="0028033B" w:rsidDel="00061C93">
        <w:t xml:space="preserve">(VS) </w:t>
      </w:r>
      <w:r w:rsidRPr="0028033B">
        <w:t>rather than a per head per year value. Table 5.3.18 shows the provided values and calculated annual manure management CH</w:t>
      </w:r>
      <w:r w:rsidRPr="0028033B">
        <w:rPr>
          <w:vertAlign w:val="subscript"/>
        </w:rPr>
        <w:t>4</w:t>
      </w:r>
      <w:r w:rsidRPr="0028033B">
        <w:t xml:space="preserve"> emissions factors.</w:t>
      </w:r>
      <w:r>
        <w:t xml:space="preserve"> </w:t>
      </w:r>
      <w:r w:rsidRPr="0028033B">
        <w:t>The calculated values are much lower than the 2006 default values. This is because the manure management system is now specified as pasture range and paddock, which has a lower CH</w:t>
      </w:r>
      <w:r w:rsidRPr="0028033B">
        <w:rPr>
          <w:vertAlign w:val="subscript"/>
        </w:rPr>
        <w:t>4</w:t>
      </w:r>
      <w:r w:rsidRPr="0028033B">
        <w:t xml:space="preserve"> emission factor than most other systems. </w:t>
      </w:r>
    </w:p>
    <w:p w14:paraId="4BF2584E" w14:textId="77777777" w:rsidR="00E46639" w:rsidRPr="0028033B" w:rsidRDefault="00E46639" w:rsidP="00E46639">
      <w:pPr>
        <w:pStyle w:val="Table"/>
        <w:rPr>
          <w:rFonts w:asciiTheme="minorHAnsi" w:hAnsiTheme="minorHAnsi"/>
          <w:sz w:val="22"/>
        </w:rPr>
      </w:pPr>
      <w:bookmarkStart w:id="1045" w:name="_Toc222407643"/>
      <w:bookmarkStart w:id="1046" w:name="_Toc226669018"/>
      <w:r w:rsidRPr="0028033B">
        <w:t>Table 5.3.18</w:t>
      </w:r>
      <w:r w:rsidRPr="0028033B">
        <w:rPr>
          <w:rFonts w:asciiTheme="minorHAnsi" w:hAnsiTheme="minorHAnsi"/>
        </w:rPr>
        <w:tab/>
      </w:r>
      <w:r w:rsidRPr="0028033B">
        <w:rPr>
          <w:rFonts w:cs="Calibri"/>
        </w:rPr>
        <w:t>Manure</w:t>
      </w:r>
      <w:r w:rsidRPr="0028033B">
        <w:rPr>
          <w:rFonts w:asciiTheme="minorHAnsi" w:hAnsiTheme="minorHAnsi"/>
          <w:i/>
          <w:sz w:val="22"/>
        </w:rPr>
        <w:t xml:space="preserve"> </w:t>
      </w:r>
      <w:r w:rsidRPr="0028033B">
        <w:t>management methane emission factors for goats, horses and donkeys</w:t>
      </w:r>
      <w:bookmarkEnd w:id="1045"/>
      <w:bookmarkEnd w:id="1046"/>
    </w:p>
    <w:tbl>
      <w:tblPr>
        <w:tblStyle w:val="AgPannelPaper"/>
        <w:tblW w:w="8505" w:type="dxa"/>
        <w:tblBorders>
          <w:top w:val="single" w:sz="4" w:space="0" w:color="1C556C" w:themeColor="accent1"/>
          <w:bottom w:val="single" w:sz="4" w:space="0" w:color="1C556C" w:themeColor="accent1"/>
          <w:insideH w:val="single" w:sz="4" w:space="0" w:color="1C556C" w:themeColor="accent1"/>
        </w:tblBorders>
        <w:tblLayout w:type="fixed"/>
        <w:tblCellMar>
          <w:left w:w="85" w:type="dxa"/>
          <w:right w:w="85" w:type="dxa"/>
        </w:tblCellMar>
        <w:tblLook w:val="04A0" w:firstRow="1" w:lastRow="0" w:firstColumn="1" w:lastColumn="0" w:noHBand="0" w:noVBand="1"/>
      </w:tblPr>
      <w:tblGrid>
        <w:gridCol w:w="976"/>
        <w:gridCol w:w="1558"/>
        <w:gridCol w:w="1558"/>
        <w:gridCol w:w="844"/>
        <w:gridCol w:w="844"/>
        <w:gridCol w:w="1298"/>
        <w:gridCol w:w="1427"/>
      </w:tblGrid>
      <w:tr w:rsidR="00E46639" w:rsidRPr="0028033B" w14:paraId="3309BB05" w14:textId="77777777" w:rsidTr="00F16E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53" w:type="dxa"/>
            <w:tcBorders>
              <w:bottom w:val="none" w:sz="0" w:space="0" w:color="auto"/>
              <w:right w:val="none" w:sz="0" w:space="0" w:color="auto"/>
            </w:tcBorders>
            <w:noWrap/>
            <w:vAlign w:val="bottom"/>
            <w:hideMark/>
          </w:tcPr>
          <w:p w14:paraId="2B327C68" w14:textId="77777777" w:rsidR="00E46639" w:rsidRPr="0028033B" w:rsidRDefault="00E46639" w:rsidP="00F16E23">
            <w:pPr>
              <w:pStyle w:val="TableTextBold"/>
              <w:spacing w:before="40" w:after="40"/>
              <w:jc w:val="left"/>
              <w:rPr>
                <w:b/>
                <w:bCs w:val="0"/>
                <w:noProof w:val="0"/>
              </w:rPr>
            </w:pPr>
            <w:r w:rsidRPr="0028033B">
              <w:rPr>
                <w:b/>
                <w:bCs w:val="0"/>
                <w:noProof w:val="0"/>
              </w:rPr>
              <w:t>Species</w:t>
            </w:r>
          </w:p>
        </w:tc>
        <w:tc>
          <w:tcPr>
            <w:tcW w:w="1361" w:type="dxa"/>
            <w:noWrap/>
            <w:vAlign w:val="bottom"/>
            <w:hideMark/>
          </w:tcPr>
          <w:p w14:paraId="4ADB73FA" w14:textId="77777777" w:rsidR="00E46639" w:rsidRPr="0028033B"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kg VS per 1,000 kg animal mass per day</w:t>
            </w:r>
            <w:r w:rsidRPr="0028033B">
              <w:rPr>
                <w:b/>
                <w:bCs w:val="0"/>
                <w:noProof w:val="0"/>
              </w:rPr>
              <w:br/>
              <w:t>Table 10.13A</w:t>
            </w:r>
          </w:p>
        </w:tc>
        <w:tc>
          <w:tcPr>
            <w:tcW w:w="1361" w:type="dxa"/>
            <w:noWrap/>
            <w:vAlign w:val="bottom"/>
            <w:hideMark/>
          </w:tcPr>
          <w:p w14:paraId="5FFD21A0" w14:textId="77777777" w:rsidR="00E46639" w:rsidRPr="0028033B"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g CH</w:t>
            </w:r>
            <w:r w:rsidRPr="0028033B">
              <w:rPr>
                <w:b/>
                <w:bCs w:val="0"/>
                <w:noProof w:val="0"/>
                <w:vertAlign w:val="subscript"/>
              </w:rPr>
              <w:t>4</w:t>
            </w:r>
            <w:r w:rsidRPr="0028033B">
              <w:rPr>
                <w:b/>
                <w:bCs w:val="0"/>
                <w:noProof w:val="0"/>
              </w:rPr>
              <w:t xml:space="preserve"> per kg VS (pasture range and paddock)</w:t>
            </w:r>
            <w:r w:rsidRPr="0028033B">
              <w:rPr>
                <w:b/>
                <w:bCs w:val="0"/>
                <w:noProof w:val="0"/>
              </w:rPr>
              <w:br/>
              <w:t>Table 10.14</w:t>
            </w:r>
          </w:p>
        </w:tc>
        <w:tc>
          <w:tcPr>
            <w:tcW w:w="737" w:type="dxa"/>
            <w:noWrap/>
            <w:vAlign w:val="bottom"/>
            <w:hideMark/>
          </w:tcPr>
          <w:p w14:paraId="0CFFCEDF" w14:textId="77777777" w:rsidR="00E46639" w:rsidRPr="0028033B"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Animal mass (kg)</w:t>
            </w:r>
          </w:p>
        </w:tc>
        <w:tc>
          <w:tcPr>
            <w:tcW w:w="737" w:type="dxa"/>
            <w:noWrap/>
            <w:vAlign w:val="bottom"/>
            <w:hideMark/>
          </w:tcPr>
          <w:p w14:paraId="4CAFE906" w14:textId="77777777" w:rsidR="00E46639" w:rsidRPr="0028033B"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Annual VS (kg)</w:t>
            </w:r>
          </w:p>
        </w:tc>
        <w:tc>
          <w:tcPr>
            <w:tcW w:w="1134" w:type="dxa"/>
            <w:noWrap/>
            <w:vAlign w:val="bottom"/>
            <w:hideMark/>
          </w:tcPr>
          <w:p w14:paraId="138B64DF" w14:textId="77777777" w:rsidR="00E46639" w:rsidRPr="0028033B"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Annual CH</w:t>
            </w:r>
            <w:r w:rsidRPr="0028033B">
              <w:rPr>
                <w:b/>
                <w:bCs w:val="0"/>
                <w:noProof w:val="0"/>
                <w:vertAlign w:val="subscript"/>
              </w:rPr>
              <w:t>4</w:t>
            </w:r>
            <w:r w:rsidRPr="0028033B">
              <w:rPr>
                <w:b/>
                <w:bCs w:val="0"/>
                <w:noProof w:val="0"/>
              </w:rPr>
              <w:t xml:space="preserve"> (kg per head per year)</w:t>
            </w:r>
            <w:r w:rsidRPr="0028033B" w:rsidDel="00344B85">
              <w:rPr>
                <w:b/>
                <w:bCs w:val="0"/>
                <w:noProof w:val="0"/>
              </w:rPr>
              <w:t xml:space="preserve"> </w:t>
            </w:r>
            <w:r w:rsidRPr="0028033B">
              <w:rPr>
                <w:b/>
                <w:bCs w:val="0"/>
                <w:noProof w:val="0"/>
              </w:rPr>
              <w:t xml:space="preserve">2019 IPCC Refinement </w:t>
            </w:r>
          </w:p>
        </w:tc>
        <w:tc>
          <w:tcPr>
            <w:tcW w:w="1247" w:type="dxa"/>
            <w:vAlign w:val="bottom"/>
          </w:tcPr>
          <w:p w14:paraId="65A982BF" w14:textId="77777777" w:rsidR="00E46639" w:rsidRPr="0028033B" w:rsidRDefault="00E46639" w:rsidP="00F16E23">
            <w:pPr>
              <w:pStyle w:val="TableTextBold"/>
              <w:spacing w:before="40" w:after="40"/>
              <w:jc w:val="right"/>
              <w:cnfStyle w:val="100000000000" w:firstRow="1" w:lastRow="0" w:firstColumn="0" w:lastColumn="0" w:oddVBand="0" w:evenVBand="0" w:oddHBand="0" w:evenHBand="0" w:firstRowFirstColumn="0" w:firstRowLastColumn="0" w:lastRowFirstColumn="0" w:lastRowLastColumn="0"/>
              <w:rPr>
                <w:b/>
                <w:bCs w:val="0"/>
                <w:noProof w:val="0"/>
              </w:rPr>
            </w:pPr>
            <w:r w:rsidRPr="0028033B">
              <w:rPr>
                <w:b/>
                <w:bCs w:val="0"/>
                <w:noProof w:val="0"/>
              </w:rPr>
              <w:t>Annual CH</w:t>
            </w:r>
            <w:r w:rsidRPr="0028033B">
              <w:rPr>
                <w:b/>
                <w:bCs w:val="0"/>
                <w:noProof w:val="0"/>
                <w:vertAlign w:val="subscript"/>
              </w:rPr>
              <w:t>4</w:t>
            </w:r>
            <w:r w:rsidRPr="0028033B">
              <w:rPr>
                <w:b/>
                <w:bCs w:val="0"/>
                <w:noProof w:val="0"/>
              </w:rPr>
              <w:t xml:space="preserve"> (kg per head per year) </w:t>
            </w:r>
            <w:r w:rsidRPr="0028033B">
              <w:rPr>
                <w:b/>
                <w:bCs w:val="0"/>
                <w:noProof w:val="0"/>
              </w:rPr>
              <w:br/>
              <w:t>2006 IPCC Guidelines</w:t>
            </w:r>
          </w:p>
        </w:tc>
      </w:tr>
      <w:tr w:rsidR="00E46639" w:rsidRPr="0028033B" w14:paraId="7144C6DF"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3" w:type="dxa"/>
            <w:tcBorders>
              <w:top w:val="none" w:sz="0" w:space="0" w:color="auto"/>
              <w:bottom w:val="none" w:sz="0" w:space="0" w:color="auto"/>
              <w:right w:val="none" w:sz="0" w:space="0" w:color="auto"/>
            </w:tcBorders>
            <w:noWrap/>
            <w:hideMark/>
          </w:tcPr>
          <w:p w14:paraId="17587C4C" w14:textId="77777777" w:rsidR="00E46639" w:rsidRPr="0028033B" w:rsidRDefault="00E46639" w:rsidP="00F16E23">
            <w:pPr>
              <w:pStyle w:val="TableText"/>
              <w:spacing w:before="40" w:after="40"/>
              <w:rPr>
                <w:b w:val="0"/>
                <w:bCs w:val="0"/>
              </w:rPr>
            </w:pPr>
            <w:r w:rsidRPr="0028033B">
              <w:rPr>
                <w:b w:val="0"/>
                <w:bCs w:val="0"/>
              </w:rPr>
              <w:t>Goats</w:t>
            </w:r>
          </w:p>
        </w:tc>
        <w:tc>
          <w:tcPr>
            <w:tcW w:w="1361" w:type="dxa"/>
            <w:tcBorders>
              <w:top w:val="none" w:sz="0" w:space="0" w:color="auto"/>
              <w:bottom w:val="none" w:sz="0" w:space="0" w:color="auto"/>
            </w:tcBorders>
            <w:noWrap/>
            <w:hideMark/>
          </w:tcPr>
          <w:p w14:paraId="38A51C0B"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9</w:t>
            </w:r>
          </w:p>
        </w:tc>
        <w:tc>
          <w:tcPr>
            <w:tcW w:w="1361" w:type="dxa"/>
            <w:tcBorders>
              <w:top w:val="none" w:sz="0" w:space="0" w:color="auto"/>
              <w:bottom w:val="none" w:sz="0" w:space="0" w:color="auto"/>
            </w:tcBorders>
            <w:noWrap/>
            <w:hideMark/>
          </w:tcPr>
          <w:p w14:paraId="3131A0D2"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0.6</w:t>
            </w:r>
          </w:p>
        </w:tc>
        <w:tc>
          <w:tcPr>
            <w:tcW w:w="737" w:type="dxa"/>
            <w:tcBorders>
              <w:top w:val="none" w:sz="0" w:space="0" w:color="auto"/>
              <w:bottom w:val="none" w:sz="0" w:space="0" w:color="auto"/>
            </w:tcBorders>
            <w:noWrap/>
            <w:hideMark/>
          </w:tcPr>
          <w:p w14:paraId="57F3756C"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38</w:t>
            </w:r>
          </w:p>
        </w:tc>
        <w:tc>
          <w:tcPr>
            <w:tcW w:w="737" w:type="dxa"/>
            <w:tcBorders>
              <w:top w:val="none" w:sz="0" w:space="0" w:color="auto"/>
              <w:bottom w:val="none" w:sz="0" w:space="0" w:color="auto"/>
            </w:tcBorders>
            <w:noWrap/>
            <w:hideMark/>
          </w:tcPr>
          <w:p w14:paraId="31ECA7F9"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124.8</w:t>
            </w:r>
          </w:p>
        </w:tc>
        <w:tc>
          <w:tcPr>
            <w:tcW w:w="1134" w:type="dxa"/>
            <w:tcBorders>
              <w:top w:val="none" w:sz="0" w:space="0" w:color="auto"/>
              <w:bottom w:val="none" w:sz="0" w:space="0" w:color="auto"/>
            </w:tcBorders>
            <w:noWrap/>
            <w:hideMark/>
          </w:tcPr>
          <w:p w14:paraId="5EF4B8F9"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0.1</w:t>
            </w:r>
          </w:p>
        </w:tc>
        <w:tc>
          <w:tcPr>
            <w:tcW w:w="1247" w:type="dxa"/>
            <w:tcBorders>
              <w:top w:val="none" w:sz="0" w:space="0" w:color="auto"/>
              <w:bottom w:val="none" w:sz="0" w:space="0" w:color="auto"/>
            </w:tcBorders>
          </w:tcPr>
          <w:p w14:paraId="6D69072A"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0.2</w:t>
            </w:r>
          </w:p>
        </w:tc>
      </w:tr>
      <w:tr w:rsidR="00E46639" w:rsidRPr="0028033B" w14:paraId="49A59890" w14:textId="77777777" w:rsidTr="00772AFA">
        <w:tc>
          <w:tcPr>
            <w:cnfStyle w:val="001000000000" w:firstRow="0" w:lastRow="0" w:firstColumn="1" w:lastColumn="0" w:oddVBand="0" w:evenVBand="0" w:oddHBand="0" w:evenHBand="0" w:firstRowFirstColumn="0" w:firstRowLastColumn="0" w:lastRowFirstColumn="0" w:lastRowLastColumn="0"/>
            <w:tcW w:w="853" w:type="dxa"/>
            <w:tcBorders>
              <w:bottom w:val="single" w:sz="4" w:space="0" w:color="1C556C" w:themeColor="accent1"/>
              <w:right w:val="none" w:sz="0" w:space="0" w:color="auto"/>
            </w:tcBorders>
            <w:noWrap/>
            <w:hideMark/>
          </w:tcPr>
          <w:p w14:paraId="768E5983" w14:textId="77777777" w:rsidR="00E46639" w:rsidRPr="0028033B" w:rsidRDefault="00E46639" w:rsidP="00F16E23">
            <w:pPr>
              <w:pStyle w:val="TableText"/>
              <w:spacing w:before="40" w:after="40"/>
              <w:rPr>
                <w:b w:val="0"/>
                <w:bCs w:val="0"/>
              </w:rPr>
            </w:pPr>
            <w:r w:rsidRPr="0028033B">
              <w:rPr>
                <w:b w:val="0"/>
                <w:bCs w:val="0"/>
              </w:rPr>
              <w:t>Horses</w:t>
            </w:r>
          </w:p>
        </w:tc>
        <w:tc>
          <w:tcPr>
            <w:tcW w:w="1361" w:type="dxa"/>
            <w:tcBorders>
              <w:bottom w:val="single" w:sz="4" w:space="0" w:color="1C556C" w:themeColor="accent1"/>
            </w:tcBorders>
            <w:noWrap/>
            <w:hideMark/>
          </w:tcPr>
          <w:p w14:paraId="4E0CE436"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5.65</w:t>
            </w:r>
          </w:p>
        </w:tc>
        <w:tc>
          <w:tcPr>
            <w:tcW w:w="1361" w:type="dxa"/>
            <w:tcBorders>
              <w:bottom w:val="single" w:sz="4" w:space="0" w:color="1C556C" w:themeColor="accent1"/>
            </w:tcBorders>
            <w:noWrap/>
            <w:hideMark/>
          </w:tcPr>
          <w:p w14:paraId="5F9BBB90"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0.6</w:t>
            </w:r>
          </w:p>
        </w:tc>
        <w:tc>
          <w:tcPr>
            <w:tcW w:w="737" w:type="dxa"/>
            <w:tcBorders>
              <w:bottom w:val="single" w:sz="4" w:space="0" w:color="1C556C" w:themeColor="accent1"/>
            </w:tcBorders>
            <w:noWrap/>
            <w:hideMark/>
          </w:tcPr>
          <w:p w14:paraId="74777C3E"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377</w:t>
            </w:r>
          </w:p>
        </w:tc>
        <w:tc>
          <w:tcPr>
            <w:tcW w:w="737" w:type="dxa"/>
            <w:tcBorders>
              <w:bottom w:val="single" w:sz="4" w:space="0" w:color="1C556C" w:themeColor="accent1"/>
            </w:tcBorders>
            <w:noWrap/>
            <w:hideMark/>
          </w:tcPr>
          <w:p w14:paraId="26E65D2C"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777.5</w:t>
            </w:r>
          </w:p>
        </w:tc>
        <w:tc>
          <w:tcPr>
            <w:tcW w:w="1134" w:type="dxa"/>
            <w:tcBorders>
              <w:bottom w:val="single" w:sz="4" w:space="0" w:color="1C556C" w:themeColor="accent1"/>
            </w:tcBorders>
            <w:noWrap/>
            <w:hideMark/>
          </w:tcPr>
          <w:p w14:paraId="6E912431"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0.5</w:t>
            </w:r>
          </w:p>
        </w:tc>
        <w:tc>
          <w:tcPr>
            <w:tcW w:w="1247" w:type="dxa"/>
            <w:tcBorders>
              <w:bottom w:val="single" w:sz="4" w:space="0" w:color="1C556C" w:themeColor="accent1"/>
            </w:tcBorders>
          </w:tcPr>
          <w:p w14:paraId="51266961" w14:textId="77777777" w:rsidR="00E46639" w:rsidRPr="0028033B" w:rsidRDefault="00E46639" w:rsidP="00F16E23">
            <w:pPr>
              <w:pStyle w:val="TableText"/>
              <w:spacing w:before="40" w:after="40"/>
              <w:jc w:val="right"/>
              <w:cnfStyle w:val="000000000000" w:firstRow="0" w:lastRow="0" w:firstColumn="0" w:lastColumn="0" w:oddVBand="0" w:evenVBand="0" w:oddHBand="0" w:evenHBand="0" w:firstRowFirstColumn="0" w:firstRowLastColumn="0" w:lastRowFirstColumn="0" w:lastRowLastColumn="0"/>
            </w:pPr>
            <w:r w:rsidRPr="0028033B">
              <w:t>2.34</w:t>
            </w:r>
          </w:p>
        </w:tc>
      </w:tr>
      <w:tr w:rsidR="00E46639" w:rsidRPr="0028033B" w14:paraId="4B6C6152" w14:textId="77777777" w:rsidTr="00F16E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3" w:type="dxa"/>
            <w:tcBorders>
              <w:top w:val="none" w:sz="0" w:space="0" w:color="auto"/>
              <w:bottom w:val="none" w:sz="0" w:space="0" w:color="auto"/>
              <w:right w:val="none" w:sz="0" w:space="0" w:color="auto"/>
            </w:tcBorders>
            <w:noWrap/>
            <w:hideMark/>
          </w:tcPr>
          <w:p w14:paraId="70DA9C7C" w14:textId="77777777" w:rsidR="00E46639" w:rsidRPr="0028033B" w:rsidRDefault="00E46639" w:rsidP="00F16E23">
            <w:pPr>
              <w:pStyle w:val="TableText"/>
              <w:spacing w:before="40" w:after="40"/>
              <w:rPr>
                <w:b w:val="0"/>
                <w:bCs w:val="0"/>
              </w:rPr>
            </w:pPr>
            <w:r w:rsidRPr="0028033B">
              <w:rPr>
                <w:b w:val="0"/>
                <w:bCs w:val="0"/>
              </w:rPr>
              <w:t>Donkeys</w:t>
            </w:r>
          </w:p>
        </w:tc>
        <w:tc>
          <w:tcPr>
            <w:tcW w:w="1361" w:type="dxa"/>
            <w:tcBorders>
              <w:top w:val="none" w:sz="0" w:space="0" w:color="auto"/>
              <w:bottom w:val="none" w:sz="0" w:space="0" w:color="auto"/>
            </w:tcBorders>
            <w:noWrap/>
            <w:hideMark/>
          </w:tcPr>
          <w:p w14:paraId="0DB22887"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7.2</w:t>
            </w:r>
          </w:p>
        </w:tc>
        <w:tc>
          <w:tcPr>
            <w:tcW w:w="1361" w:type="dxa"/>
            <w:tcBorders>
              <w:top w:val="none" w:sz="0" w:space="0" w:color="auto"/>
              <w:bottom w:val="none" w:sz="0" w:space="0" w:color="auto"/>
            </w:tcBorders>
            <w:noWrap/>
            <w:hideMark/>
          </w:tcPr>
          <w:p w14:paraId="06C970AE"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0.6</w:t>
            </w:r>
          </w:p>
        </w:tc>
        <w:tc>
          <w:tcPr>
            <w:tcW w:w="737" w:type="dxa"/>
            <w:tcBorders>
              <w:top w:val="none" w:sz="0" w:space="0" w:color="auto"/>
              <w:bottom w:val="none" w:sz="0" w:space="0" w:color="auto"/>
            </w:tcBorders>
            <w:noWrap/>
            <w:hideMark/>
          </w:tcPr>
          <w:p w14:paraId="78F46813"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130</w:t>
            </w:r>
          </w:p>
        </w:tc>
        <w:tc>
          <w:tcPr>
            <w:tcW w:w="737" w:type="dxa"/>
            <w:tcBorders>
              <w:top w:val="none" w:sz="0" w:space="0" w:color="auto"/>
              <w:bottom w:val="none" w:sz="0" w:space="0" w:color="auto"/>
            </w:tcBorders>
            <w:noWrap/>
            <w:hideMark/>
          </w:tcPr>
          <w:p w14:paraId="534988D4"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341.6</w:t>
            </w:r>
          </w:p>
        </w:tc>
        <w:tc>
          <w:tcPr>
            <w:tcW w:w="1134" w:type="dxa"/>
            <w:tcBorders>
              <w:top w:val="none" w:sz="0" w:space="0" w:color="auto"/>
              <w:bottom w:val="none" w:sz="0" w:space="0" w:color="auto"/>
            </w:tcBorders>
            <w:noWrap/>
            <w:hideMark/>
          </w:tcPr>
          <w:p w14:paraId="47130475"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0.2</w:t>
            </w:r>
          </w:p>
        </w:tc>
        <w:tc>
          <w:tcPr>
            <w:tcW w:w="1247" w:type="dxa"/>
            <w:tcBorders>
              <w:top w:val="none" w:sz="0" w:space="0" w:color="auto"/>
              <w:bottom w:val="none" w:sz="0" w:space="0" w:color="auto"/>
            </w:tcBorders>
          </w:tcPr>
          <w:p w14:paraId="3F9ED55F" w14:textId="77777777" w:rsidR="00E46639" w:rsidRPr="0028033B" w:rsidRDefault="00E46639" w:rsidP="00F16E23">
            <w:pPr>
              <w:pStyle w:val="TableText"/>
              <w:spacing w:before="40" w:after="40"/>
              <w:jc w:val="right"/>
              <w:cnfStyle w:val="000000100000" w:firstRow="0" w:lastRow="0" w:firstColumn="0" w:lastColumn="0" w:oddVBand="0" w:evenVBand="0" w:oddHBand="1" w:evenHBand="0" w:firstRowFirstColumn="0" w:firstRowLastColumn="0" w:lastRowFirstColumn="0" w:lastRowLastColumn="0"/>
            </w:pPr>
            <w:r w:rsidRPr="0028033B">
              <w:t>1.1</w:t>
            </w:r>
          </w:p>
        </w:tc>
      </w:tr>
    </w:tbl>
    <w:p w14:paraId="17DE6F64" w14:textId="77777777" w:rsidR="00E46639" w:rsidRPr="0028033B" w:rsidRDefault="00E46639" w:rsidP="00E46639">
      <w:pPr>
        <w:pStyle w:val="Noteundertable"/>
      </w:pPr>
      <w:r w:rsidRPr="0028033B">
        <w:rPr>
          <w:b/>
          <w:bCs/>
        </w:rPr>
        <w:t>Note:</w:t>
      </w:r>
      <w:r w:rsidRPr="0028033B">
        <w:t xml:space="preserve"> </w:t>
      </w:r>
      <w:r w:rsidRPr="0028033B">
        <w:tab/>
        <w:t>VS = volatile solids. References to table 10.13A and table 10.14 are from the 2019 IPCC Refinement (IPCC, 2019).</w:t>
      </w:r>
    </w:p>
    <w:p w14:paraId="4B6418AF" w14:textId="77777777" w:rsidR="00E46639" w:rsidRPr="0028033B" w:rsidRDefault="00E46639" w:rsidP="00E46639">
      <w:pPr>
        <w:pStyle w:val="BodyText"/>
      </w:pPr>
      <w:r w:rsidRPr="0028033B">
        <w:t>The New Zealand Inventory has adopted the revised default Frac</w:t>
      </w:r>
      <w:r w:rsidRPr="0028033B">
        <w:rPr>
          <w:vertAlign w:val="subscript"/>
        </w:rPr>
        <w:t xml:space="preserve">GasMS </w:t>
      </w:r>
      <w:r w:rsidRPr="0028033B">
        <w:t>for ‘other’ manure management systems for poultry. Poultry is the only species that sends manure to the ‘other’ manure management system in New Zealand. ‘Other’ accounts for 94 percent to 97 percent of poultry emissions, depending on the subtype.</w:t>
      </w:r>
    </w:p>
    <w:p w14:paraId="5A13C4BE" w14:textId="77777777" w:rsidR="00E46639" w:rsidRPr="0028033B" w:rsidRDefault="00E46639" w:rsidP="00E46639">
      <w:pPr>
        <w:pStyle w:val="BodyText"/>
      </w:pPr>
      <w:r w:rsidRPr="0028033B">
        <w:t>Previously, Frac</w:t>
      </w:r>
      <w:r w:rsidRPr="0028033B">
        <w:rPr>
          <w:vertAlign w:val="subscript"/>
        </w:rPr>
        <w:t>GasMS(other)</w:t>
      </w:r>
      <w:r w:rsidRPr="0028033B">
        <w:t xml:space="preserve"> for poultry was set at 0.25. This is the value from IPCC (2006) table 10.22 for an animal type of ‘other’ (‘other’ includes sheep, horses and fur-bearing animals) and a manure management system of deep bedding. </w:t>
      </w:r>
    </w:p>
    <w:p w14:paraId="436F9EB1" w14:textId="18F09FAF" w:rsidR="00E46639" w:rsidRPr="0028033B" w:rsidRDefault="00E46639" w:rsidP="00E46639">
      <w:pPr>
        <w:pStyle w:val="BodyText"/>
      </w:pPr>
      <w:r w:rsidRPr="0028033B">
        <w:t>Fick (2012) states only two systems are used in the poultry industry in New Zealand: PR&amp;P (Pasture, Range and Paddock)/free range and solid storage/dry lot litter management – other. The 2019 IPCC Refinement provides a Frac</w:t>
      </w:r>
      <w:r w:rsidRPr="0028033B">
        <w:rPr>
          <w:vertAlign w:val="subscript"/>
        </w:rPr>
        <w:t>GasMS</w:t>
      </w:r>
      <w:r w:rsidRPr="0028033B">
        <w:t xml:space="preserve"> for poultry manure in solid storage of 0.4 and poultry manure with litter of 0.4 (IPCC, 2019). Therefore, the poultry Frac</w:t>
      </w:r>
      <w:r w:rsidRPr="0028033B">
        <w:rPr>
          <w:vertAlign w:val="subscript"/>
        </w:rPr>
        <w:t>GasMS</w:t>
      </w:r>
      <w:r w:rsidRPr="0028033B">
        <w:t xml:space="preserve"> for the ‘other’ manure management system has been changed from 0.25 to 0.4.</w:t>
      </w:r>
    </w:p>
    <w:p w14:paraId="2C27B4D5" w14:textId="77777777" w:rsidR="00E46639" w:rsidRPr="0028033B" w:rsidRDefault="00E46639" w:rsidP="00E46639">
      <w:pPr>
        <w:pStyle w:val="BodyText"/>
      </w:pPr>
      <w:r w:rsidRPr="0028033B">
        <w:t xml:space="preserve">Implementing these changes caused emissions from the </w:t>
      </w:r>
      <w:r w:rsidRPr="0028033B">
        <w:rPr>
          <w:i/>
        </w:rPr>
        <w:t>Manure management</w:t>
      </w:r>
      <w:r w:rsidRPr="0028033B">
        <w:t xml:space="preserve"> category to decrease by 12.9 kt CO</w:t>
      </w:r>
      <w:r w:rsidRPr="0028033B">
        <w:rPr>
          <w:vertAlign w:val="subscript"/>
        </w:rPr>
        <w:t>2</w:t>
      </w:r>
      <w:r w:rsidRPr="0028033B">
        <w:t>e in 1990 and 50.3 kt CO</w:t>
      </w:r>
      <w:r w:rsidRPr="0028033B">
        <w:rPr>
          <w:vertAlign w:val="subscript"/>
        </w:rPr>
        <w:t>2</w:t>
      </w:r>
      <w:r w:rsidRPr="0028033B">
        <w:t>e in 2023 (table 5.3.19).</w:t>
      </w:r>
    </w:p>
    <w:p w14:paraId="0A5122A1" w14:textId="77777777" w:rsidR="00E46639" w:rsidRPr="0028033B" w:rsidRDefault="00E46639" w:rsidP="00E46639">
      <w:pPr>
        <w:pStyle w:val="Table"/>
      </w:pPr>
      <w:bookmarkStart w:id="1047" w:name="_Toc222407644"/>
      <w:bookmarkStart w:id="1048" w:name="_Toc226669019"/>
      <w:r w:rsidRPr="0028033B">
        <w:t>Table 5.3.19</w:t>
      </w:r>
      <w:r w:rsidRPr="0028033B">
        <w:tab/>
        <w:t xml:space="preserve">Comparison of the 2025 Inventory and a version of the 2025 Inventory using defaults from the 2019 IPCC Refinement for emissions from </w:t>
      </w:r>
      <w:r w:rsidRPr="0028033B">
        <w:rPr>
          <w:i/>
        </w:rPr>
        <w:t>Manure management</w:t>
      </w:r>
      <w:bookmarkEnd w:id="1047"/>
      <w:bookmarkEnd w:id="1048"/>
    </w:p>
    <w:tbl>
      <w:tblPr>
        <w:tblW w:w="8562" w:type="dxa"/>
        <w:tblBorders>
          <w:top w:val="single" w:sz="2" w:space="0" w:color="1B556B" w:themeColor="text2"/>
          <w:bottom w:val="single" w:sz="2" w:space="0" w:color="1B556B" w:themeColor="text2"/>
          <w:insideH w:val="single" w:sz="2" w:space="0" w:color="1B556B" w:themeColor="text2"/>
        </w:tblBorders>
        <w:tblCellMar>
          <w:left w:w="85" w:type="dxa"/>
          <w:right w:w="85" w:type="dxa"/>
        </w:tblCellMar>
        <w:tblLook w:val="04A0" w:firstRow="1" w:lastRow="0" w:firstColumn="1" w:lastColumn="0" w:noHBand="0" w:noVBand="1"/>
      </w:tblPr>
      <w:tblGrid>
        <w:gridCol w:w="1091"/>
        <w:gridCol w:w="1366"/>
        <w:gridCol w:w="766"/>
        <w:gridCol w:w="797"/>
        <w:gridCol w:w="854"/>
        <w:gridCol w:w="936"/>
        <w:gridCol w:w="915"/>
        <w:gridCol w:w="936"/>
        <w:gridCol w:w="901"/>
      </w:tblGrid>
      <w:tr w:rsidR="00E46639" w:rsidRPr="0028033B" w14:paraId="7EF2C636" w14:textId="77777777" w:rsidTr="00F16E23">
        <w:tc>
          <w:tcPr>
            <w:tcW w:w="1087" w:type="dxa"/>
            <w:vMerge w:val="restart"/>
            <w:shd w:val="clear" w:color="000000" w:fill="1B556B"/>
            <w:vAlign w:val="center"/>
            <w:hideMark/>
          </w:tcPr>
          <w:p w14:paraId="65AA2665" w14:textId="77777777" w:rsidR="00E46639" w:rsidRPr="0028033B" w:rsidRDefault="00E46639" w:rsidP="00F16E23">
            <w:pPr>
              <w:pStyle w:val="TableTextBold"/>
              <w:spacing w:before="40" w:after="40"/>
              <w:rPr>
                <w:rFonts w:cs="Calibri"/>
                <w:noProof w:val="0"/>
                <w:color w:val="FFFFFF" w:themeColor="background1"/>
                <w:szCs w:val="16"/>
              </w:rPr>
            </w:pPr>
            <w:r w:rsidRPr="0028033B">
              <w:rPr>
                <w:rFonts w:cs="Calibri"/>
                <w:noProof w:val="0"/>
                <w:color w:val="FFFFFF" w:themeColor="background1"/>
                <w:szCs w:val="16"/>
              </w:rPr>
              <w:t> </w:t>
            </w:r>
          </w:p>
        </w:tc>
        <w:tc>
          <w:tcPr>
            <w:tcW w:w="1361" w:type="dxa"/>
            <w:vMerge w:val="restart"/>
            <w:shd w:val="clear" w:color="000000" w:fill="1B556B"/>
            <w:vAlign w:val="center"/>
            <w:hideMark/>
          </w:tcPr>
          <w:p w14:paraId="4B8FDB77" w14:textId="77777777" w:rsidR="00E46639" w:rsidRPr="0028033B" w:rsidRDefault="00E46639" w:rsidP="00F16E23">
            <w:pPr>
              <w:pStyle w:val="TableTextBold"/>
              <w:spacing w:before="40" w:after="40"/>
              <w:rPr>
                <w:rFonts w:cs="Calibri"/>
                <w:noProof w:val="0"/>
                <w:color w:val="FFFFFF" w:themeColor="background1"/>
                <w:szCs w:val="16"/>
              </w:rPr>
            </w:pPr>
            <w:r w:rsidRPr="0028033B">
              <w:rPr>
                <w:rFonts w:cs="Calibri"/>
                <w:noProof w:val="0"/>
                <w:color w:val="FFFFFF" w:themeColor="background1"/>
                <w:szCs w:val="16"/>
              </w:rPr>
              <w:t> </w:t>
            </w:r>
          </w:p>
        </w:tc>
        <w:tc>
          <w:tcPr>
            <w:tcW w:w="737" w:type="dxa"/>
            <w:shd w:val="clear" w:color="000000" w:fill="1B556B"/>
            <w:vAlign w:val="bottom"/>
            <w:hideMark/>
          </w:tcPr>
          <w:p w14:paraId="68E337D9" w14:textId="77777777" w:rsidR="00E46639" w:rsidRPr="0028033B" w:rsidRDefault="00E46639" w:rsidP="00F16E23">
            <w:pPr>
              <w:pStyle w:val="TableTextBold"/>
              <w:spacing w:before="40" w:after="0"/>
              <w:jc w:val="right"/>
              <w:rPr>
                <w:rFonts w:cs="Calibri"/>
                <w:noProof w:val="0"/>
                <w:color w:val="FFFFFF" w:themeColor="background1"/>
                <w:szCs w:val="16"/>
              </w:rPr>
            </w:pPr>
            <w:r w:rsidRPr="0028033B">
              <w:rPr>
                <w:rFonts w:cs="Calibri"/>
                <w:noProof w:val="0"/>
                <w:color w:val="FFFFFF" w:themeColor="background1"/>
                <w:szCs w:val="16"/>
              </w:rPr>
              <w:t>1990</w:t>
            </w:r>
          </w:p>
        </w:tc>
        <w:tc>
          <w:tcPr>
            <w:tcW w:w="794" w:type="dxa"/>
            <w:shd w:val="clear" w:color="000000" w:fill="1B556B"/>
            <w:vAlign w:val="bottom"/>
            <w:hideMark/>
          </w:tcPr>
          <w:p w14:paraId="6FE274F1" w14:textId="77777777" w:rsidR="00E46639" w:rsidRPr="0028033B" w:rsidRDefault="00E46639" w:rsidP="00F16E23">
            <w:pPr>
              <w:pStyle w:val="TableTextBold"/>
              <w:spacing w:before="40" w:after="0"/>
              <w:jc w:val="right"/>
              <w:rPr>
                <w:rFonts w:cs="Calibri"/>
                <w:noProof w:val="0"/>
                <w:color w:val="FFFFFF" w:themeColor="background1"/>
                <w:szCs w:val="16"/>
              </w:rPr>
            </w:pPr>
            <w:r w:rsidRPr="0028033B">
              <w:rPr>
                <w:rFonts w:cs="Calibri"/>
                <w:noProof w:val="0"/>
                <w:color w:val="FFFFFF" w:themeColor="background1"/>
                <w:szCs w:val="16"/>
              </w:rPr>
              <w:t>2005</w:t>
            </w:r>
          </w:p>
        </w:tc>
        <w:tc>
          <w:tcPr>
            <w:tcW w:w="851" w:type="dxa"/>
            <w:shd w:val="clear" w:color="000000" w:fill="1B556B"/>
            <w:vAlign w:val="bottom"/>
            <w:hideMark/>
          </w:tcPr>
          <w:p w14:paraId="5DAD3E15" w14:textId="77777777" w:rsidR="00E46639" w:rsidRPr="0028033B" w:rsidRDefault="00E46639" w:rsidP="00F16E23">
            <w:pPr>
              <w:pStyle w:val="TableTextBold"/>
              <w:spacing w:before="40" w:after="0"/>
              <w:jc w:val="right"/>
              <w:rPr>
                <w:rFonts w:cs="Calibri"/>
                <w:noProof w:val="0"/>
                <w:color w:val="FFFFFF" w:themeColor="background1"/>
                <w:szCs w:val="16"/>
              </w:rPr>
            </w:pPr>
            <w:r w:rsidRPr="0028033B">
              <w:rPr>
                <w:rFonts w:cs="Calibri"/>
                <w:noProof w:val="0"/>
                <w:color w:val="FFFFFF" w:themeColor="background1"/>
                <w:szCs w:val="16"/>
              </w:rPr>
              <w:t>2023</w:t>
            </w:r>
          </w:p>
        </w:tc>
        <w:tc>
          <w:tcPr>
            <w:tcW w:w="1845" w:type="dxa"/>
            <w:gridSpan w:val="2"/>
            <w:shd w:val="clear" w:color="000000" w:fill="1B556B"/>
            <w:vAlign w:val="center"/>
            <w:hideMark/>
          </w:tcPr>
          <w:p w14:paraId="5A338145" w14:textId="77777777" w:rsidR="00E46639" w:rsidRPr="0028033B" w:rsidRDefault="00E46639" w:rsidP="00F16E23">
            <w:pPr>
              <w:pStyle w:val="TableTextBold"/>
              <w:spacing w:before="40" w:after="0"/>
              <w:jc w:val="center"/>
              <w:rPr>
                <w:rFonts w:cs="Calibri"/>
                <w:noProof w:val="0"/>
                <w:color w:val="FFFFFF" w:themeColor="background1"/>
                <w:szCs w:val="16"/>
              </w:rPr>
            </w:pPr>
            <w:r w:rsidRPr="0028033B">
              <w:rPr>
                <w:rFonts w:cs="Calibri"/>
                <w:noProof w:val="0"/>
                <w:color w:val="FFFFFF" w:themeColor="background1"/>
                <w:szCs w:val="16"/>
              </w:rPr>
              <w:t>Change in emissions between 1990 and 2023</w:t>
            </w:r>
          </w:p>
        </w:tc>
        <w:tc>
          <w:tcPr>
            <w:tcW w:w="1831" w:type="dxa"/>
            <w:gridSpan w:val="2"/>
            <w:shd w:val="clear" w:color="000000" w:fill="1B556B"/>
            <w:vAlign w:val="center"/>
            <w:hideMark/>
          </w:tcPr>
          <w:p w14:paraId="04F32583" w14:textId="77777777" w:rsidR="00E46639" w:rsidRPr="0028033B" w:rsidRDefault="00E46639" w:rsidP="00F16E23">
            <w:pPr>
              <w:pStyle w:val="TableTextBold"/>
              <w:spacing w:before="40" w:after="0"/>
              <w:jc w:val="center"/>
              <w:rPr>
                <w:rFonts w:cs="Calibri"/>
                <w:noProof w:val="0"/>
                <w:color w:val="FFFFFF" w:themeColor="background1"/>
                <w:szCs w:val="16"/>
              </w:rPr>
            </w:pPr>
            <w:r w:rsidRPr="0028033B">
              <w:rPr>
                <w:rFonts w:cs="Calibri"/>
                <w:noProof w:val="0"/>
                <w:color w:val="FFFFFF" w:themeColor="background1"/>
                <w:szCs w:val="16"/>
              </w:rPr>
              <w:t>Change in emissions between 2005 and 2023</w:t>
            </w:r>
          </w:p>
        </w:tc>
      </w:tr>
      <w:tr w:rsidR="00E46639" w:rsidRPr="0028033B" w14:paraId="6FB75CD2" w14:textId="77777777" w:rsidTr="00F16E23">
        <w:tc>
          <w:tcPr>
            <w:tcW w:w="1087" w:type="dxa"/>
            <w:vMerge/>
            <w:vAlign w:val="center"/>
            <w:hideMark/>
          </w:tcPr>
          <w:p w14:paraId="42AB0B97" w14:textId="77777777" w:rsidR="00E46639" w:rsidRPr="0028033B" w:rsidRDefault="00E46639" w:rsidP="00F16E23">
            <w:pPr>
              <w:spacing w:before="40" w:after="40"/>
              <w:rPr>
                <w:rFonts w:cs="Calibri"/>
                <w:b/>
                <w:bCs/>
                <w:color w:val="FFFFFF"/>
                <w:sz w:val="16"/>
                <w:szCs w:val="16"/>
              </w:rPr>
            </w:pPr>
          </w:p>
        </w:tc>
        <w:tc>
          <w:tcPr>
            <w:tcW w:w="1361" w:type="dxa"/>
            <w:vMerge/>
            <w:vAlign w:val="center"/>
            <w:hideMark/>
          </w:tcPr>
          <w:p w14:paraId="36E87101" w14:textId="77777777" w:rsidR="00E46639" w:rsidRPr="0028033B" w:rsidRDefault="00E46639" w:rsidP="00F16E23">
            <w:pPr>
              <w:spacing w:before="40" w:after="40"/>
              <w:rPr>
                <w:rFonts w:cs="Calibri"/>
                <w:b/>
                <w:bCs/>
                <w:color w:val="FFFFFF"/>
                <w:sz w:val="16"/>
                <w:szCs w:val="16"/>
              </w:rPr>
            </w:pPr>
          </w:p>
        </w:tc>
        <w:tc>
          <w:tcPr>
            <w:tcW w:w="737" w:type="dxa"/>
            <w:shd w:val="clear" w:color="000000" w:fill="1B556B"/>
            <w:vAlign w:val="center"/>
            <w:hideMark/>
          </w:tcPr>
          <w:p w14:paraId="0E440257" w14:textId="77777777" w:rsidR="00E46639" w:rsidRPr="0028033B" w:rsidRDefault="00E46639" w:rsidP="00F16E23">
            <w:pPr>
              <w:pStyle w:val="TableTextBold"/>
              <w:spacing w:before="40" w:after="40"/>
              <w:jc w:val="right"/>
              <w:rPr>
                <w:rFonts w:cs="Calibri"/>
                <w:noProof w:val="0"/>
                <w:color w:val="FFFFFF" w:themeColor="background1"/>
                <w:szCs w:val="16"/>
              </w:rPr>
            </w:pPr>
            <w:r w:rsidRPr="0028033B">
              <w:rPr>
                <w:rFonts w:cs="Calibri"/>
                <w:noProof w:val="0"/>
                <w:color w:val="FFFFFF" w:themeColor="background1"/>
                <w:szCs w:val="16"/>
              </w:rP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794" w:type="dxa"/>
            <w:shd w:val="clear" w:color="000000" w:fill="1B556B"/>
            <w:vAlign w:val="center"/>
            <w:hideMark/>
          </w:tcPr>
          <w:p w14:paraId="621A8850" w14:textId="77777777" w:rsidR="00E46639" w:rsidRPr="0028033B" w:rsidRDefault="00E46639" w:rsidP="00F16E23">
            <w:pPr>
              <w:pStyle w:val="TableTextBold"/>
              <w:spacing w:before="40" w:after="40"/>
              <w:jc w:val="right"/>
              <w:rPr>
                <w:rFonts w:cs="Calibri"/>
                <w:noProof w:val="0"/>
                <w:color w:val="FFFFFF" w:themeColor="background1"/>
                <w:szCs w:val="16"/>
              </w:rPr>
            </w:pPr>
            <w:r w:rsidRPr="0028033B">
              <w:rPr>
                <w:rFonts w:cs="Calibri"/>
                <w:noProof w:val="0"/>
                <w:color w:val="FFFFFF" w:themeColor="background1"/>
                <w:szCs w:val="16"/>
              </w:rP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851" w:type="dxa"/>
            <w:shd w:val="clear" w:color="000000" w:fill="1B556B"/>
            <w:vAlign w:val="center"/>
            <w:hideMark/>
          </w:tcPr>
          <w:p w14:paraId="2EEC548F" w14:textId="77777777" w:rsidR="00E46639" w:rsidRPr="0028033B" w:rsidRDefault="00E46639" w:rsidP="00F16E23">
            <w:pPr>
              <w:pStyle w:val="TableTextBold"/>
              <w:spacing w:before="40" w:after="40"/>
              <w:jc w:val="right"/>
              <w:rPr>
                <w:rFonts w:cs="Calibri"/>
                <w:noProof w:val="0"/>
                <w:color w:val="FFFFFF" w:themeColor="background1"/>
                <w:szCs w:val="16"/>
              </w:rPr>
            </w:pPr>
            <w:r w:rsidRPr="0028033B">
              <w:rPr>
                <w:rFonts w:cs="Calibri"/>
                <w:noProof w:val="0"/>
                <w:color w:val="FFFFFF" w:themeColor="background1"/>
                <w:szCs w:val="16"/>
              </w:rP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933" w:type="dxa"/>
            <w:shd w:val="clear" w:color="000000" w:fill="1B556B"/>
            <w:vAlign w:val="center"/>
            <w:hideMark/>
          </w:tcPr>
          <w:p w14:paraId="3B74B037" w14:textId="77777777" w:rsidR="00E46639" w:rsidRPr="0028033B" w:rsidRDefault="00E46639" w:rsidP="00F16E23">
            <w:pPr>
              <w:pStyle w:val="TableTextBold"/>
              <w:spacing w:before="40" w:after="40"/>
              <w:jc w:val="right"/>
              <w:rPr>
                <w:rFonts w:cs="Calibri"/>
                <w:noProof w:val="0"/>
                <w:color w:val="FFFFFF" w:themeColor="background1"/>
                <w:szCs w:val="16"/>
              </w:rPr>
            </w:pPr>
            <w:r w:rsidRPr="0028033B">
              <w:rPr>
                <w:rFonts w:cs="Calibri"/>
                <w:noProof w:val="0"/>
                <w:color w:val="FFFFFF" w:themeColor="background1"/>
                <w:szCs w:val="16"/>
              </w:rP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912" w:type="dxa"/>
            <w:shd w:val="clear" w:color="000000" w:fill="1B556B"/>
            <w:vAlign w:val="center"/>
            <w:hideMark/>
          </w:tcPr>
          <w:p w14:paraId="069905A7" w14:textId="77777777" w:rsidR="00E46639" w:rsidRPr="0028033B" w:rsidRDefault="00E46639" w:rsidP="00F16E23">
            <w:pPr>
              <w:pStyle w:val="TableTextBold"/>
              <w:spacing w:before="40" w:after="40"/>
              <w:jc w:val="right"/>
              <w:rPr>
                <w:rFonts w:cs="Calibri"/>
                <w:noProof w:val="0"/>
                <w:color w:val="FFFFFF" w:themeColor="background1"/>
                <w:szCs w:val="16"/>
              </w:rPr>
            </w:pPr>
            <w:r w:rsidRPr="0028033B">
              <w:rPr>
                <w:rFonts w:cs="Calibri"/>
                <w:noProof w:val="0"/>
                <w:color w:val="FFFFFF" w:themeColor="background1"/>
                <w:szCs w:val="16"/>
              </w:rPr>
              <w:t>(%)</w:t>
            </w:r>
          </w:p>
        </w:tc>
        <w:tc>
          <w:tcPr>
            <w:tcW w:w="933" w:type="dxa"/>
            <w:shd w:val="clear" w:color="000000" w:fill="1B556B"/>
            <w:vAlign w:val="center"/>
            <w:hideMark/>
          </w:tcPr>
          <w:p w14:paraId="377A78B6" w14:textId="77777777" w:rsidR="00E46639" w:rsidRPr="0028033B" w:rsidRDefault="00E46639" w:rsidP="00F16E23">
            <w:pPr>
              <w:pStyle w:val="TableTextBold"/>
              <w:spacing w:before="40" w:after="40"/>
              <w:jc w:val="right"/>
              <w:rPr>
                <w:rFonts w:cs="Calibri"/>
                <w:noProof w:val="0"/>
                <w:color w:val="FFFFFF" w:themeColor="background1"/>
                <w:szCs w:val="16"/>
              </w:rPr>
            </w:pPr>
            <w:r w:rsidRPr="0028033B">
              <w:rPr>
                <w:rFonts w:cs="Calibri"/>
                <w:noProof w:val="0"/>
                <w:color w:val="FFFFFF" w:themeColor="background1"/>
                <w:szCs w:val="16"/>
              </w:rPr>
              <w:t>(kt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c>
          <w:tcPr>
            <w:tcW w:w="898" w:type="dxa"/>
            <w:shd w:val="clear" w:color="000000" w:fill="1B556B"/>
            <w:vAlign w:val="center"/>
            <w:hideMark/>
          </w:tcPr>
          <w:p w14:paraId="7075BBED" w14:textId="77777777" w:rsidR="00E46639" w:rsidRPr="0028033B" w:rsidRDefault="00E46639" w:rsidP="00F16E23">
            <w:pPr>
              <w:pStyle w:val="TableTextBold"/>
              <w:spacing w:before="40" w:after="40"/>
              <w:jc w:val="right"/>
              <w:rPr>
                <w:rFonts w:cs="Calibri"/>
                <w:noProof w:val="0"/>
                <w:color w:val="FFFFFF" w:themeColor="background1"/>
                <w:szCs w:val="16"/>
              </w:rPr>
            </w:pPr>
            <w:r w:rsidRPr="0028033B">
              <w:rPr>
                <w:rFonts w:cs="Calibri"/>
                <w:noProof w:val="0"/>
                <w:color w:val="FFFFFF" w:themeColor="background1"/>
                <w:szCs w:val="16"/>
              </w:rPr>
              <w:t>(%)</w:t>
            </w:r>
          </w:p>
        </w:tc>
      </w:tr>
      <w:tr w:rsidR="00E46639" w:rsidRPr="0028033B" w14:paraId="7AA4E4A1" w14:textId="77777777" w:rsidTr="00F16E23">
        <w:tc>
          <w:tcPr>
            <w:tcW w:w="1087" w:type="dxa"/>
            <w:vMerge w:val="restart"/>
            <w:vAlign w:val="center"/>
            <w:hideMark/>
          </w:tcPr>
          <w:p w14:paraId="6870C984" w14:textId="77777777" w:rsidR="00E46639" w:rsidRPr="0028033B" w:rsidRDefault="00E46639" w:rsidP="00F16E23">
            <w:pPr>
              <w:pStyle w:val="TableText"/>
              <w:spacing w:before="40" w:after="40"/>
              <w:rPr>
                <w:rFonts w:cs="Calibri"/>
                <w:szCs w:val="16"/>
              </w:rPr>
            </w:pPr>
            <w:r w:rsidRPr="0028033B">
              <w:rPr>
                <w:rFonts w:cs="Calibri"/>
                <w:szCs w:val="16"/>
              </w:rPr>
              <w:t xml:space="preserve">Total emissions from </w:t>
            </w:r>
            <w:r w:rsidRPr="0028033B">
              <w:rPr>
                <w:rFonts w:cs="Calibri"/>
                <w:i/>
                <w:szCs w:val="16"/>
              </w:rPr>
              <w:t>Manure management</w:t>
            </w:r>
          </w:p>
        </w:tc>
        <w:tc>
          <w:tcPr>
            <w:tcW w:w="1361" w:type="dxa"/>
            <w:vAlign w:val="center"/>
            <w:hideMark/>
          </w:tcPr>
          <w:p w14:paraId="49EFB614" w14:textId="77777777" w:rsidR="00E46639" w:rsidRPr="0028033B" w:rsidRDefault="00E46639" w:rsidP="00F16E23">
            <w:pPr>
              <w:pStyle w:val="TableText"/>
              <w:spacing w:before="40" w:after="40"/>
              <w:rPr>
                <w:rFonts w:cs="Calibri"/>
                <w:szCs w:val="16"/>
              </w:rPr>
            </w:pPr>
            <w:r w:rsidRPr="0028033B">
              <w:rPr>
                <w:rFonts w:cs="Calibri"/>
                <w:szCs w:val="16"/>
              </w:rPr>
              <w:t>2025 (1990–2023) emissions estimate</w:t>
            </w:r>
          </w:p>
        </w:tc>
        <w:tc>
          <w:tcPr>
            <w:tcW w:w="737" w:type="dxa"/>
            <w:vAlign w:val="bottom"/>
            <w:hideMark/>
          </w:tcPr>
          <w:p w14:paraId="0C28F10A" w14:textId="77777777" w:rsidR="00E46639" w:rsidRPr="0028033B" w:rsidRDefault="00E46639" w:rsidP="00F16E23">
            <w:pPr>
              <w:pStyle w:val="TableText"/>
              <w:spacing w:before="40" w:after="40"/>
              <w:jc w:val="right"/>
              <w:rPr>
                <w:rFonts w:cs="Calibri"/>
                <w:szCs w:val="16"/>
              </w:rPr>
            </w:pPr>
            <w:r w:rsidRPr="0028033B">
              <w:rPr>
                <w:rFonts w:cs="Calibri"/>
                <w:szCs w:val="16"/>
              </w:rPr>
              <w:t>859.8</w:t>
            </w:r>
          </w:p>
        </w:tc>
        <w:tc>
          <w:tcPr>
            <w:tcW w:w="794" w:type="dxa"/>
            <w:vAlign w:val="bottom"/>
            <w:hideMark/>
          </w:tcPr>
          <w:p w14:paraId="19B3C2F5" w14:textId="77777777" w:rsidR="00E46639" w:rsidRPr="0028033B" w:rsidRDefault="00E46639" w:rsidP="00F16E23">
            <w:pPr>
              <w:pStyle w:val="TableText"/>
              <w:spacing w:before="40" w:after="40"/>
              <w:jc w:val="right"/>
              <w:rPr>
                <w:rFonts w:cs="Calibri"/>
                <w:szCs w:val="16"/>
              </w:rPr>
            </w:pPr>
            <w:r w:rsidRPr="0028033B">
              <w:rPr>
                <w:rFonts w:cs="Calibri"/>
                <w:szCs w:val="16"/>
              </w:rPr>
              <w:t>1,252.1</w:t>
            </w:r>
          </w:p>
        </w:tc>
        <w:tc>
          <w:tcPr>
            <w:tcW w:w="851" w:type="dxa"/>
            <w:vAlign w:val="bottom"/>
            <w:hideMark/>
          </w:tcPr>
          <w:p w14:paraId="204AFEEE" w14:textId="77777777" w:rsidR="00E46639" w:rsidRPr="0028033B" w:rsidRDefault="00E46639" w:rsidP="00F16E23">
            <w:pPr>
              <w:pStyle w:val="TableText"/>
              <w:spacing w:before="40" w:after="40"/>
              <w:jc w:val="right"/>
              <w:rPr>
                <w:rFonts w:cs="Calibri"/>
                <w:szCs w:val="16"/>
              </w:rPr>
            </w:pPr>
            <w:r w:rsidRPr="0028033B">
              <w:rPr>
                <w:rFonts w:cs="Calibri"/>
                <w:szCs w:val="16"/>
              </w:rPr>
              <w:t>1,861.5</w:t>
            </w:r>
          </w:p>
        </w:tc>
        <w:tc>
          <w:tcPr>
            <w:tcW w:w="933" w:type="dxa"/>
            <w:vAlign w:val="bottom"/>
            <w:hideMark/>
          </w:tcPr>
          <w:p w14:paraId="7822C6B3" w14:textId="77777777" w:rsidR="00E46639" w:rsidRPr="0028033B" w:rsidRDefault="00E46639" w:rsidP="00F16E23">
            <w:pPr>
              <w:pStyle w:val="TableText"/>
              <w:spacing w:before="40" w:after="40"/>
              <w:jc w:val="right"/>
              <w:rPr>
                <w:rFonts w:cs="Calibri"/>
                <w:szCs w:val="16"/>
              </w:rPr>
            </w:pPr>
            <w:r w:rsidRPr="0028033B">
              <w:rPr>
                <w:rFonts w:cs="Calibri"/>
                <w:szCs w:val="16"/>
              </w:rPr>
              <w:t>1,001.7</w:t>
            </w:r>
          </w:p>
        </w:tc>
        <w:tc>
          <w:tcPr>
            <w:tcW w:w="912" w:type="dxa"/>
            <w:vAlign w:val="bottom"/>
            <w:hideMark/>
          </w:tcPr>
          <w:p w14:paraId="692DC3DA" w14:textId="77777777" w:rsidR="00E46639" w:rsidRPr="0028033B" w:rsidRDefault="00E46639" w:rsidP="00F16E23">
            <w:pPr>
              <w:pStyle w:val="TableText"/>
              <w:spacing w:before="40" w:after="40"/>
              <w:jc w:val="right"/>
              <w:rPr>
                <w:rFonts w:cs="Calibri"/>
                <w:szCs w:val="16"/>
              </w:rPr>
            </w:pPr>
            <w:r w:rsidRPr="0028033B">
              <w:rPr>
                <w:rFonts w:cs="Calibri"/>
                <w:szCs w:val="16"/>
              </w:rPr>
              <w:t>116.5</w:t>
            </w:r>
          </w:p>
        </w:tc>
        <w:tc>
          <w:tcPr>
            <w:tcW w:w="933" w:type="dxa"/>
            <w:vAlign w:val="bottom"/>
            <w:hideMark/>
          </w:tcPr>
          <w:p w14:paraId="1BBF61BB" w14:textId="77777777" w:rsidR="00E46639" w:rsidRPr="0028033B" w:rsidRDefault="00E46639" w:rsidP="00F16E23">
            <w:pPr>
              <w:pStyle w:val="TableText"/>
              <w:spacing w:before="40" w:after="40"/>
              <w:jc w:val="right"/>
              <w:rPr>
                <w:rFonts w:cs="Calibri"/>
                <w:szCs w:val="16"/>
              </w:rPr>
            </w:pPr>
            <w:r w:rsidRPr="0028033B">
              <w:rPr>
                <w:rFonts w:cs="Calibri"/>
                <w:szCs w:val="16"/>
              </w:rPr>
              <w:t>609.4</w:t>
            </w:r>
          </w:p>
        </w:tc>
        <w:tc>
          <w:tcPr>
            <w:tcW w:w="898" w:type="dxa"/>
            <w:vAlign w:val="bottom"/>
            <w:hideMark/>
          </w:tcPr>
          <w:p w14:paraId="18150D1E" w14:textId="77777777" w:rsidR="00E46639" w:rsidRPr="0028033B" w:rsidRDefault="00E46639" w:rsidP="00F16E23">
            <w:pPr>
              <w:pStyle w:val="TableText"/>
              <w:spacing w:before="40" w:after="40"/>
              <w:jc w:val="right"/>
              <w:rPr>
                <w:rFonts w:cs="Calibri"/>
                <w:szCs w:val="16"/>
              </w:rPr>
            </w:pPr>
            <w:r w:rsidRPr="0028033B">
              <w:rPr>
                <w:rFonts w:cs="Calibri"/>
                <w:szCs w:val="16"/>
              </w:rPr>
              <w:t>48.7</w:t>
            </w:r>
          </w:p>
        </w:tc>
      </w:tr>
      <w:tr w:rsidR="00E46639" w:rsidRPr="0028033B" w14:paraId="51F8BA9A" w14:textId="77777777" w:rsidTr="00F16E23">
        <w:tc>
          <w:tcPr>
            <w:tcW w:w="1087" w:type="dxa"/>
            <w:vMerge/>
            <w:vAlign w:val="center"/>
            <w:hideMark/>
          </w:tcPr>
          <w:p w14:paraId="22E3DF30" w14:textId="77777777" w:rsidR="00E46639" w:rsidRPr="0028033B" w:rsidRDefault="00E46639" w:rsidP="00F16E23">
            <w:pPr>
              <w:spacing w:before="40" w:after="40"/>
              <w:rPr>
                <w:rFonts w:cs="Calibri"/>
                <w:sz w:val="16"/>
                <w:szCs w:val="16"/>
              </w:rPr>
            </w:pPr>
          </w:p>
        </w:tc>
        <w:tc>
          <w:tcPr>
            <w:tcW w:w="1361" w:type="dxa"/>
            <w:vAlign w:val="center"/>
            <w:hideMark/>
          </w:tcPr>
          <w:p w14:paraId="1AF60117" w14:textId="77777777" w:rsidR="00E46639" w:rsidRPr="0028033B" w:rsidRDefault="00E46639" w:rsidP="00F16E23">
            <w:pPr>
              <w:pStyle w:val="TableText"/>
              <w:spacing w:before="40" w:after="40"/>
              <w:rPr>
                <w:rFonts w:cs="Calibri"/>
                <w:szCs w:val="16"/>
              </w:rPr>
            </w:pPr>
            <w:r w:rsidRPr="0028033B">
              <w:rPr>
                <w:rFonts w:cs="Calibri"/>
                <w:szCs w:val="16"/>
              </w:rPr>
              <w:t xml:space="preserve">2025 (1990–2023) emissions estimate </w:t>
            </w:r>
            <w:r w:rsidRPr="0028033B">
              <w:rPr>
                <w:rFonts w:cs="Calibri"/>
                <w:i/>
                <w:iCs/>
                <w:szCs w:val="16"/>
              </w:rPr>
              <w:t>with</w:t>
            </w:r>
            <w:r w:rsidRPr="0028033B">
              <w:rPr>
                <w:rFonts w:cs="Calibri"/>
                <w:szCs w:val="16"/>
              </w:rPr>
              <w:t xml:space="preserve"> </w:t>
            </w:r>
            <w:r w:rsidRPr="0028033B">
              <w:rPr>
                <w:rFonts w:cs="Calibri"/>
                <w:i/>
                <w:iCs/>
                <w:szCs w:val="16"/>
              </w:rPr>
              <w:t>improvement</w:t>
            </w:r>
          </w:p>
        </w:tc>
        <w:tc>
          <w:tcPr>
            <w:tcW w:w="737" w:type="dxa"/>
            <w:vAlign w:val="bottom"/>
            <w:hideMark/>
          </w:tcPr>
          <w:p w14:paraId="6A94A239" w14:textId="77777777" w:rsidR="00E46639" w:rsidRPr="0028033B" w:rsidRDefault="00E46639" w:rsidP="00F16E23">
            <w:pPr>
              <w:pStyle w:val="TableText"/>
              <w:spacing w:before="40" w:after="40"/>
              <w:jc w:val="right"/>
              <w:rPr>
                <w:rFonts w:cs="Calibri"/>
                <w:szCs w:val="16"/>
              </w:rPr>
            </w:pPr>
            <w:r w:rsidRPr="0028033B">
              <w:rPr>
                <w:rFonts w:cs="Calibri"/>
                <w:szCs w:val="16"/>
              </w:rPr>
              <w:t>846.9</w:t>
            </w:r>
          </w:p>
        </w:tc>
        <w:tc>
          <w:tcPr>
            <w:tcW w:w="794" w:type="dxa"/>
            <w:vAlign w:val="bottom"/>
            <w:hideMark/>
          </w:tcPr>
          <w:p w14:paraId="632060DD" w14:textId="77777777" w:rsidR="00E46639" w:rsidRPr="0028033B" w:rsidRDefault="00E46639" w:rsidP="00F16E23">
            <w:pPr>
              <w:pStyle w:val="TableText"/>
              <w:spacing w:before="40" w:after="40"/>
              <w:jc w:val="right"/>
              <w:rPr>
                <w:rFonts w:cs="Calibri"/>
                <w:szCs w:val="16"/>
              </w:rPr>
            </w:pPr>
            <w:r w:rsidRPr="0028033B">
              <w:rPr>
                <w:rFonts w:cs="Calibri"/>
                <w:szCs w:val="16"/>
              </w:rPr>
              <w:t>1,229.7</w:t>
            </w:r>
          </w:p>
        </w:tc>
        <w:tc>
          <w:tcPr>
            <w:tcW w:w="851" w:type="dxa"/>
            <w:vAlign w:val="bottom"/>
            <w:hideMark/>
          </w:tcPr>
          <w:p w14:paraId="6C30D74C" w14:textId="77777777" w:rsidR="00E46639" w:rsidRPr="0028033B" w:rsidRDefault="00E46639" w:rsidP="00F16E23">
            <w:pPr>
              <w:pStyle w:val="TableText"/>
              <w:spacing w:before="40" w:after="40"/>
              <w:jc w:val="right"/>
              <w:rPr>
                <w:rFonts w:cs="Calibri"/>
                <w:szCs w:val="16"/>
              </w:rPr>
            </w:pPr>
            <w:r w:rsidRPr="0028033B">
              <w:rPr>
                <w:rFonts w:cs="Calibri"/>
                <w:szCs w:val="16"/>
              </w:rPr>
              <w:t>1,811.2</w:t>
            </w:r>
          </w:p>
        </w:tc>
        <w:tc>
          <w:tcPr>
            <w:tcW w:w="933" w:type="dxa"/>
            <w:vAlign w:val="bottom"/>
            <w:hideMark/>
          </w:tcPr>
          <w:p w14:paraId="28C076B9" w14:textId="77777777" w:rsidR="00E46639" w:rsidRPr="0028033B" w:rsidRDefault="00E46639" w:rsidP="00F16E23">
            <w:pPr>
              <w:pStyle w:val="TableText"/>
              <w:spacing w:before="40" w:after="40"/>
              <w:jc w:val="right"/>
              <w:rPr>
                <w:rFonts w:cs="Calibri"/>
                <w:szCs w:val="16"/>
              </w:rPr>
            </w:pPr>
            <w:r w:rsidRPr="0028033B">
              <w:rPr>
                <w:rFonts w:cs="Calibri"/>
                <w:szCs w:val="16"/>
              </w:rPr>
              <w:t>964.3</w:t>
            </w:r>
          </w:p>
        </w:tc>
        <w:tc>
          <w:tcPr>
            <w:tcW w:w="912" w:type="dxa"/>
            <w:vAlign w:val="bottom"/>
            <w:hideMark/>
          </w:tcPr>
          <w:p w14:paraId="7A975146" w14:textId="77777777" w:rsidR="00E46639" w:rsidRPr="0028033B" w:rsidRDefault="00E46639" w:rsidP="00F16E23">
            <w:pPr>
              <w:pStyle w:val="TableText"/>
              <w:spacing w:before="40" w:after="40"/>
              <w:jc w:val="right"/>
              <w:rPr>
                <w:rFonts w:cs="Calibri"/>
                <w:szCs w:val="16"/>
              </w:rPr>
            </w:pPr>
            <w:r w:rsidRPr="0028033B">
              <w:rPr>
                <w:rFonts w:cs="Calibri"/>
                <w:szCs w:val="16"/>
              </w:rPr>
              <w:t>113.9</w:t>
            </w:r>
          </w:p>
        </w:tc>
        <w:tc>
          <w:tcPr>
            <w:tcW w:w="933" w:type="dxa"/>
            <w:vAlign w:val="bottom"/>
            <w:hideMark/>
          </w:tcPr>
          <w:p w14:paraId="1A15E1DE" w14:textId="77777777" w:rsidR="00E46639" w:rsidRPr="0028033B" w:rsidRDefault="00E46639" w:rsidP="00F16E23">
            <w:pPr>
              <w:pStyle w:val="TableText"/>
              <w:spacing w:before="40" w:after="40"/>
              <w:jc w:val="right"/>
              <w:rPr>
                <w:rFonts w:cs="Calibri"/>
                <w:szCs w:val="16"/>
              </w:rPr>
            </w:pPr>
            <w:r w:rsidRPr="0028033B">
              <w:rPr>
                <w:rFonts w:cs="Calibri"/>
                <w:szCs w:val="16"/>
              </w:rPr>
              <w:t>581.5</w:t>
            </w:r>
          </w:p>
        </w:tc>
        <w:tc>
          <w:tcPr>
            <w:tcW w:w="898" w:type="dxa"/>
            <w:vAlign w:val="bottom"/>
            <w:hideMark/>
          </w:tcPr>
          <w:p w14:paraId="5486C9CE" w14:textId="77777777" w:rsidR="00E46639" w:rsidRPr="0028033B" w:rsidRDefault="00E46639" w:rsidP="00F16E23">
            <w:pPr>
              <w:pStyle w:val="TableText"/>
              <w:spacing w:before="40" w:after="40"/>
              <w:jc w:val="right"/>
              <w:rPr>
                <w:rFonts w:cs="Calibri"/>
                <w:szCs w:val="16"/>
              </w:rPr>
            </w:pPr>
            <w:r w:rsidRPr="0028033B">
              <w:rPr>
                <w:rFonts w:cs="Calibri"/>
                <w:szCs w:val="16"/>
              </w:rPr>
              <w:t>47.3</w:t>
            </w:r>
          </w:p>
        </w:tc>
      </w:tr>
      <w:tr w:rsidR="00E46639" w:rsidRPr="0028033B" w14:paraId="08797670" w14:textId="77777777" w:rsidTr="00F16E23">
        <w:tc>
          <w:tcPr>
            <w:tcW w:w="1087" w:type="dxa"/>
            <w:vMerge/>
            <w:vAlign w:val="center"/>
            <w:hideMark/>
          </w:tcPr>
          <w:p w14:paraId="4E1B8CD2" w14:textId="77777777" w:rsidR="00E46639" w:rsidRPr="0028033B" w:rsidRDefault="00E46639" w:rsidP="00F16E23">
            <w:pPr>
              <w:spacing w:before="40" w:after="40"/>
              <w:rPr>
                <w:rFonts w:cs="Calibri"/>
                <w:sz w:val="16"/>
                <w:szCs w:val="16"/>
              </w:rPr>
            </w:pPr>
          </w:p>
        </w:tc>
        <w:tc>
          <w:tcPr>
            <w:tcW w:w="1361" w:type="dxa"/>
            <w:vAlign w:val="center"/>
            <w:hideMark/>
          </w:tcPr>
          <w:p w14:paraId="11F63D31" w14:textId="77777777" w:rsidR="00E46639" w:rsidRPr="0028033B" w:rsidRDefault="00E46639" w:rsidP="00F16E23">
            <w:pPr>
              <w:pStyle w:val="TableText"/>
              <w:spacing w:before="40" w:after="40"/>
              <w:rPr>
                <w:rFonts w:cs="Calibri"/>
                <w:szCs w:val="16"/>
              </w:rPr>
            </w:pPr>
            <w:r w:rsidRPr="0028033B">
              <w:rPr>
                <w:rFonts w:cs="Calibri"/>
                <w:szCs w:val="16"/>
              </w:rPr>
              <w:t>Difference in emissions estimates</w:t>
            </w:r>
          </w:p>
        </w:tc>
        <w:tc>
          <w:tcPr>
            <w:tcW w:w="737" w:type="dxa"/>
            <w:vAlign w:val="bottom"/>
            <w:hideMark/>
          </w:tcPr>
          <w:p w14:paraId="2E963FAB" w14:textId="77777777" w:rsidR="00E46639" w:rsidRPr="0028033B" w:rsidRDefault="00E46639" w:rsidP="00F16E23">
            <w:pPr>
              <w:pStyle w:val="TableText"/>
              <w:spacing w:before="40" w:after="40"/>
              <w:jc w:val="right"/>
              <w:rPr>
                <w:rFonts w:cs="Calibri"/>
                <w:szCs w:val="16"/>
              </w:rPr>
            </w:pPr>
            <w:r w:rsidRPr="0028033B">
              <w:rPr>
                <w:rFonts w:cs="Calibri"/>
                <w:szCs w:val="16"/>
              </w:rPr>
              <w:t>-12.9</w:t>
            </w:r>
          </w:p>
        </w:tc>
        <w:tc>
          <w:tcPr>
            <w:tcW w:w="794" w:type="dxa"/>
            <w:vAlign w:val="bottom"/>
            <w:hideMark/>
          </w:tcPr>
          <w:p w14:paraId="551545CE" w14:textId="77777777" w:rsidR="00E46639" w:rsidRPr="0028033B" w:rsidRDefault="00E46639" w:rsidP="00F16E23">
            <w:pPr>
              <w:pStyle w:val="TableText"/>
              <w:spacing w:before="40" w:after="40"/>
              <w:jc w:val="right"/>
              <w:rPr>
                <w:rFonts w:cs="Calibri"/>
                <w:szCs w:val="16"/>
              </w:rPr>
            </w:pPr>
            <w:r w:rsidRPr="0028033B">
              <w:rPr>
                <w:rFonts w:cs="Calibri"/>
                <w:szCs w:val="16"/>
              </w:rPr>
              <w:t>-22.4</w:t>
            </w:r>
          </w:p>
        </w:tc>
        <w:tc>
          <w:tcPr>
            <w:tcW w:w="851" w:type="dxa"/>
            <w:vAlign w:val="bottom"/>
            <w:hideMark/>
          </w:tcPr>
          <w:p w14:paraId="2C23E301" w14:textId="77777777" w:rsidR="00E46639" w:rsidRPr="0028033B" w:rsidRDefault="00E46639" w:rsidP="00F16E23">
            <w:pPr>
              <w:pStyle w:val="TableText"/>
              <w:spacing w:before="40" w:after="40"/>
              <w:jc w:val="right"/>
              <w:rPr>
                <w:rFonts w:cs="Calibri"/>
                <w:szCs w:val="16"/>
              </w:rPr>
            </w:pPr>
            <w:r w:rsidRPr="0028033B">
              <w:rPr>
                <w:rFonts w:cs="Calibri"/>
                <w:szCs w:val="16"/>
              </w:rPr>
              <w:t>-50.3</w:t>
            </w:r>
          </w:p>
        </w:tc>
        <w:tc>
          <w:tcPr>
            <w:tcW w:w="933" w:type="dxa"/>
            <w:vAlign w:val="bottom"/>
            <w:hideMark/>
          </w:tcPr>
          <w:p w14:paraId="77C857CE"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912" w:type="dxa"/>
            <w:vAlign w:val="bottom"/>
            <w:hideMark/>
          </w:tcPr>
          <w:p w14:paraId="5BDD6DC0"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933" w:type="dxa"/>
            <w:vAlign w:val="bottom"/>
            <w:hideMark/>
          </w:tcPr>
          <w:p w14:paraId="58C83896"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898" w:type="dxa"/>
            <w:vAlign w:val="bottom"/>
            <w:hideMark/>
          </w:tcPr>
          <w:p w14:paraId="142FCA88"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r>
      <w:tr w:rsidR="00E46639" w:rsidRPr="0028033B" w14:paraId="5B497D7E" w14:textId="77777777" w:rsidTr="00F16E23">
        <w:tc>
          <w:tcPr>
            <w:tcW w:w="1087" w:type="dxa"/>
            <w:vMerge/>
            <w:vAlign w:val="center"/>
            <w:hideMark/>
          </w:tcPr>
          <w:p w14:paraId="36C14E8D" w14:textId="77777777" w:rsidR="00E46639" w:rsidRPr="0028033B" w:rsidRDefault="00E46639" w:rsidP="00F16E23">
            <w:pPr>
              <w:spacing w:before="40" w:after="40"/>
              <w:rPr>
                <w:rFonts w:cs="Calibri"/>
                <w:sz w:val="16"/>
                <w:szCs w:val="16"/>
              </w:rPr>
            </w:pPr>
          </w:p>
        </w:tc>
        <w:tc>
          <w:tcPr>
            <w:tcW w:w="1361" w:type="dxa"/>
            <w:vAlign w:val="center"/>
            <w:hideMark/>
          </w:tcPr>
          <w:p w14:paraId="30EF42FA" w14:textId="77777777" w:rsidR="00E46639" w:rsidRPr="0028033B" w:rsidRDefault="00E46639" w:rsidP="00F16E23">
            <w:pPr>
              <w:pStyle w:val="TableText"/>
              <w:spacing w:before="40" w:after="40"/>
              <w:rPr>
                <w:rFonts w:cs="Calibri"/>
                <w:szCs w:val="16"/>
              </w:rPr>
            </w:pPr>
            <w:r w:rsidRPr="0028033B">
              <w:rPr>
                <w:rFonts w:cs="Calibri"/>
                <w:szCs w:val="16"/>
              </w:rPr>
              <w:t>Percentage difference in emissions estimates (%)</w:t>
            </w:r>
          </w:p>
        </w:tc>
        <w:tc>
          <w:tcPr>
            <w:tcW w:w="737" w:type="dxa"/>
            <w:vAlign w:val="bottom"/>
            <w:hideMark/>
          </w:tcPr>
          <w:p w14:paraId="65E93CCC" w14:textId="77777777" w:rsidR="00E46639" w:rsidRPr="0028033B" w:rsidRDefault="00E46639" w:rsidP="00F16E23">
            <w:pPr>
              <w:pStyle w:val="TableText"/>
              <w:spacing w:before="40" w:after="40"/>
              <w:jc w:val="right"/>
              <w:rPr>
                <w:rFonts w:cs="Calibri"/>
                <w:szCs w:val="16"/>
              </w:rPr>
            </w:pPr>
            <w:r w:rsidRPr="0028033B">
              <w:rPr>
                <w:rFonts w:cs="Calibri"/>
                <w:szCs w:val="16"/>
              </w:rPr>
              <w:t>-1.5</w:t>
            </w:r>
          </w:p>
        </w:tc>
        <w:tc>
          <w:tcPr>
            <w:tcW w:w="794" w:type="dxa"/>
            <w:vAlign w:val="bottom"/>
            <w:hideMark/>
          </w:tcPr>
          <w:p w14:paraId="3FCE3EFE" w14:textId="77777777" w:rsidR="00E46639" w:rsidRPr="0028033B" w:rsidRDefault="00E46639" w:rsidP="00F16E23">
            <w:pPr>
              <w:pStyle w:val="TableText"/>
              <w:spacing w:before="40" w:after="40"/>
              <w:jc w:val="right"/>
              <w:rPr>
                <w:rFonts w:cs="Calibri"/>
                <w:szCs w:val="16"/>
              </w:rPr>
            </w:pPr>
            <w:r w:rsidRPr="0028033B">
              <w:rPr>
                <w:rFonts w:cs="Calibri"/>
                <w:szCs w:val="16"/>
              </w:rPr>
              <w:t>-1.8</w:t>
            </w:r>
          </w:p>
        </w:tc>
        <w:tc>
          <w:tcPr>
            <w:tcW w:w="851" w:type="dxa"/>
            <w:vAlign w:val="bottom"/>
            <w:hideMark/>
          </w:tcPr>
          <w:p w14:paraId="66536ACA" w14:textId="77777777" w:rsidR="00E46639" w:rsidRPr="0028033B" w:rsidRDefault="00E46639" w:rsidP="00F16E23">
            <w:pPr>
              <w:pStyle w:val="TableText"/>
              <w:spacing w:before="40" w:after="40"/>
              <w:jc w:val="right"/>
              <w:rPr>
                <w:rFonts w:cs="Calibri"/>
                <w:szCs w:val="16"/>
              </w:rPr>
            </w:pPr>
            <w:r w:rsidRPr="0028033B">
              <w:rPr>
                <w:rFonts w:cs="Calibri"/>
                <w:szCs w:val="16"/>
              </w:rPr>
              <w:t>-2.7</w:t>
            </w:r>
          </w:p>
        </w:tc>
        <w:tc>
          <w:tcPr>
            <w:tcW w:w="933" w:type="dxa"/>
            <w:vAlign w:val="bottom"/>
            <w:hideMark/>
          </w:tcPr>
          <w:p w14:paraId="2934C364"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912" w:type="dxa"/>
            <w:vAlign w:val="bottom"/>
            <w:hideMark/>
          </w:tcPr>
          <w:p w14:paraId="68389E67"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933" w:type="dxa"/>
            <w:vAlign w:val="bottom"/>
            <w:hideMark/>
          </w:tcPr>
          <w:p w14:paraId="5F21D5C5"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898" w:type="dxa"/>
            <w:vAlign w:val="bottom"/>
            <w:hideMark/>
          </w:tcPr>
          <w:p w14:paraId="3012C62D"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r>
    </w:tbl>
    <w:p w14:paraId="2D60401D" w14:textId="77777777" w:rsidR="00E46639" w:rsidRPr="0028033B" w:rsidRDefault="00E46639" w:rsidP="00E46639">
      <w:pPr>
        <w:pStyle w:val="Heading5"/>
        <w:spacing w:before="360"/>
      </w:pPr>
      <w:r w:rsidRPr="0028033B">
        <w:t>Corrections to inventory model</w:t>
      </w:r>
    </w:p>
    <w:p w14:paraId="60885D3E" w14:textId="77777777" w:rsidR="00E46639" w:rsidRPr="0028033B" w:rsidRDefault="00E46639" w:rsidP="00E46639">
      <w:pPr>
        <w:pStyle w:val="BodyText"/>
        <w:rPr>
          <w:shd w:val="clear" w:color="auto" w:fill="FFFFFF"/>
        </w:rPr>
      </w:pPr>
      <w:r w:rsidRPr="0028033B">
        <w:rPr>
          <w:shd w:val="clear" w:color="auto" w:fill="FFFFFF"/>
        </w:rPr>
        <w:t>For more detail on these changes, see section 5.2.5.</w:t>
      </w:r>
    </w:p>
    <w:p w14:paraId="6A6E0304" w14:textId="77777777" w:rsidR="00E46639" w:rsidRPr="0028033B" w:rsidRDefault="00E46639" w:rsidP="00E46639">
      <w:pPr>
        <w:pStyle w:val="BodyText"/>
      </w:pPr>
      <w:r w:rsidRPr="0028033B">
        <w:t xml:space="preserve">Implementing these changes caused emissions from the </w:t>
      </w:r>
      <w:r w:rsidRPr="0028033B">
        <w:rPr>
          <w:i/>
        </w:rPr>
        <w:t>Manure management</w:t>
      </w:r>
      <w:r w:rsidRPr="0028033B">
        <w:t xml:space="preserve"> category to increase by 0.5 kt CO</w:t>
      </w:r>
      <w:r w:rsidRPr="0028033B">
        <w:rPr>
          <w:vertAlign w:val="subscript"/>
        </w:rPr>
        <w:t>2</w:t>
      </w:r>
      <w:r w:rsidRPr="0028033B">
        <w:t>e in 1990 and decrease by 5.9 kt CO</w:t>
      </w:r>
      <w:r w:rsidRPr="0028033B">
        <w:rPr>
          <w:vertAlign w:val="subscript"/>
        </w:rPr>
        <w:t>2</w:t>
      </w:r>
      <w:r w:rsidRPr="0028033B">
        <w:t>e in 2023 (table 5.3.20).</w:t>
      </w:r>
    </w:p>
    <w:p w14:paraId="19769516" w14:textId="77777777" w:rsidR="00E46639" w:rsidRPr="0028033B" w:rsidRDefault="00E46639" w:rsidP="00E46639">
      <w:pPr>
        <w:pStyle w:val="Table"/>
        <w:rPr>
          <w:rFonts w:cs="Calibri"/>
          <w:i/>
        </w:rPr>
      </w:pPr>
      <w:bookmarkStart w:id="1049" w:name="_Toc222407645"/>
      <w:bookmarkStart w:id="1050" w:name="_Toc226669020"/>
      <w:r w:rsidRPr="0028033B">
        <w:rPr>
          <w:rFonts w:cs="Calibri"/>
        </w:rPr>
        <w:t>Table 5.3.20</w:t>
      </w:r>
      <w:r w:rsidRPr="0028033B">
        <w:rPr>
          <w:rFonts w:cs="Calibri"/>
        </w:rPr>
        <w:tab/>
        <w:t xml:space="preserve">Comparison of model results with and without corrections for emissions from </w:t>
      </w:r>
      <w:r w:rsidRPr="0028033B">
        <w:rPr>
          <w:rFonts w:cs="Calibri"/>
          <w:i/>
        </w:rPr>
        <w:t>Manure management</w:t>
      </w:r>
      <w:bookmarkEnd w:id="1049"/>
      <w:bookmarkEnd w:id="1050"/>
      <w:r w:rsidRPr="0028033B">
        <w:rPr>
          <w:rFonts w:cs="Calibri"/>
          <w:i/>
          <w:iCs/>
        </w:rPr>
        <w:t xml:space="preserve"> </w:t>
      </w:r>
    </w:p>
    <w:tbl>
      <w:tblPr>
        <w:tblW w:w="8562" w:type="dxa"/>
        <w:tblBorders>
          <w:top w:val="single" w:sz="2" w:space="0" w:color="1B556B" w:themeColor="text2"/>
          <w:bottom w:val="single" w:sz="2" w:space="0" w:color="1B556B" w:themeColor="text2"/>
          <w:insideH w:val="single" w:sz="2" w:space="0" w:color="1B556B" w:themeColor="text2"/>
        </w:tblBorders>
        <w:tblLayout w:type="fixed"/>
        <w:tblCellMar>
          <w:left w:w="85" w:type="dxa"/>
          <w:right w:w="57" w:type="dxa"/>
        </w:tblCellMar>
        <w:tblLook w:val="04A0" w:firstRow="1" w:lastRow="0" w:firstColumn="1" w:lastColumn="0" w:noHBand="0" w:noVBand="1"/>
      </w:tblPr>
      <w:tblGrid>
        <w:gridCol w:w="1138"/>
        <w:gridCol w:w="1376"/>
        <w:gridCol w:w="803"/>
        <w:gridCol w:w="803"/>
        <w:gridCol w:w="803"/>
        <w:gridCol w:w="1003"/>
        <w:gridCol w:w="859"/>
        <w:gridCol w:w="860"/>
        <w:gridCol w:w="917"/>
      </w:tblGrid>
      <w:tr w:rsidR="00E46639" w:rsidRPr="0028033B" w14:paraId="706054AD" w14:textId="77777777" w:rsidTr="00F16E23">
        <w:trPr>
          <w:tblHeader/>
        </w:trPr>
        <w:tc>
          <w:tcPr>
            <w:tcW w:w="1126" w:type="dxa"/>
            <w:vMerge w:val="restart"/>
            <w:shd w:val="clear" w:color="000000" w:fill="1B556B"/>
            <w:vAlign w:val="bottom"/>
          </w:tcPr>
          <w:p w14:paraId="75421E4B" w14:textId="77777777" w:rsidR="00E46639" w:rsidRPr="0028033B" w:rsidRDefault="00E46639" w:rsidP="00F16E23">
            <w:pPr>
              <w:pStyle w:val="TableText"/>
              <w:spacing w:before="40" w:after="40"/>
              <w:rPr>
                <w:rFonts w:cs="Calibri"/>
                <w:b/>
                <w:bCs/>
                <w:color w:val="FFFFFF" w:themeColor="background1"/>
                <w:szCs w:val="16"/>
              </w:rPr>
            </w:pPr>
          </w:p>
        </w:tc>
        <w:tc>
          <w:tcPr>
            <w:tcW w:w="1361" w:type="dxa"/>
            <w:vMerge w:val="restart"/>
            <w:shd w:val="clear" w:color="auto" w:fill="1B556B" w:themeFill="text2"/>
            <w:vAlign w:val="bottom"/>
          </w:tcPr>
          <w:p w14:paraId="04911105" w14:textId="77777777" w:rsidR="00E46639" w:rsidRPr="0028033B" w:rsidRDefault="00E46639" w:rsidP="00F16E23">
            <w:pPr>
              <w:pStyle w:val="TableText"/>
              <w:spacing w:before="40" w:after="40"/>
              <w:rPr>
                <w:rFonts w:cs="Calibri"/>
                <w:b/>
                <w:color w:val="FFFFFF" w:themeColor="background1"/>
                <w:szCs w:val="16"/>
              </w:rPr>
            </w:pPr>
          </w:p>
        </w:tc>
        <w:tc>
          <w:tcPr>
            <w:tcW w:w="794" w:type="dxa"/>
            <w:vMerge w:val="restart"/>
            <w:shd w:val="clear" w:color="000000" w:fill="1B556B"/>
            <w:vAlign w:val="bottom"/>
          </w:tcPr>
          <w:p w14:paraId="4C46A456" w14:textId="77777777" w:rsidR="00E46639" w:rsidRPr="0028033B" w:rsidRDefault="00E46639" w:rsidP="00F16E23">
            <w:pPr>
              <w:pStyle w:val="TableText"/>
              <w:spacing w:before="40" w:after="0"/>
              <w:jc w:val="right"/>
              <w:rPr>
                <w:rFonts w:cs="Calibri"/>
                <w:b/>
                <w:color w:val="FFFFFF" w:themeColor="background1"/>
                <w:szCs w:val="16"/>
              </w:rPr>
            </w:pPr>
            <w:r w:rsidRPr="0028033B">
              <w:rPr>
                <w:rFonts w:cs="Calibri"/>
                <w:b/>
                <w:color w:val="FFFFFF" w:themeColor="background1"/>
                <w:szCs w:val="16"/>
              </w:rPr>
              <w:t>1990</w:t>
            </w:r>
          </w:p>
          <w:p w14:paraId="4D1B67EF"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94" w:type="dxa"/>
            <w:vMerge w:val="restart"/>
            <w:shd w:val="clear" w:color="000000" w:fill="1B556B"/>
            <w:vAlign w:val="bottom"/>
          </w:tcPr>
          <w:p w14:paraId="2F6F1CDC" w14:textId="77777777" w:rsidR="00E46639" w:rsidRPr="0028033B" w:rsidRDefault="00E46639" w:rsidP="00F16E23">
            <w:pPr>
              <w:pStyle w:val="TableText"/>
              <w:spacing w:before="40" w:after="0"/>
              <w:jc w:val="right"/>
              <w:rPr>
                <w:rFonts w:cs="Calibri"/>
                <w:b/>
                <w:color w:val="FFFFFF" w:themeColor="background1"/>
                <w:szCs w:val="16"/>
              </w:rPr>
            </w:pPr>
            <w:r w:rsidRPr="0028033B">
              <w:rPr>
                <w:rFonts w:cs="Calibri"/>
                <w:b/>
                <w:color w:val="FFFFFF" w:themeColor="background1"/>
                <w:szCs w:val="16"/>
              </w:rPr>
              <w:t>2005</w:t>
            </w:r>
          </w:p>
          <w:p w14:paraId="54B2E003"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94" w:type="dxa"/>
            <w:vMerge w:val="restart"/>
            <w:shd w:val="clear" w:color="000000" w:fill="1B556B"/>
            <w:vAlign w:val="bottom"/>
          </w:tcPr>
          <w:p w14:paraId="6D48C6DA" w14:textId="77777777" w:rsidR="00E46639" w:rsidRPr="0028033B" w:rsidRDefault="00E46639" w:rsidP="00F16E23">
            <w:pPr>
              <w:pStyle w:val="TableText"/>
              <w:spacing w:before="40" w:after="0"/>
              <w:jc w:val="right"/>
              <w:rPr>
                <w:rFonts w:cs="Calibri"/>
                <w:b/>
                <w:color w:val="FFFFFF" w:themeColor="background1"/>
                <w:szCs w:val="16"/>
              </w:rPr>
            </w:pPr>
            <w:r w:rsidRPr="0028033B">
              <w:rPr>
                <w:rFonts w:cs="Calibri"/>
                <w:b/>
                <w:color w:val="FFFFFF" w:themeColor="background1"/>
                <w:szCs w:val="16"/>
              </w:rPr>
              <w:t>2023</w:t>
            </w:r>
          </w:p>
          <w:p w14:paraId="1C018B63" w14:textId="77777777" w:rsidR="00E46639" w:rsidRPr="0028033B" w:rsidRDefault="00E46639" w:rsidP="00F16E23">
            <w:pPr>
              <w:pStyle w:val="TableText"/>
              <w:spacing w:before="4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1842" w:type="dxa"/>
            <w:gridSpan w:val="2"/>
            <w:shd w:val="clear" w:color="000000" w:fill="1B556B"/>
            <w:vAlign w:val="bottom"/>
          </w:tcPr>
          <w:p w14:paraId="024D27EA"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Change in emissions between 1990 and 2023</w:t>
            </w:r>
          </w:p>
        </w:tc>
        <w:tc>
          <w:tcPr>
            <w:tcW w:w="1758" w:type="dxa"/>
            <w:gridSpan w:val="2"/>
            <w:shd w:val="clear" w:color="000000" w:fill="1B556B"/>
            <w:vAlign w:val="bottom"/>
          </w:tcPr>
          <w:p w14:paraId="6500F267"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Change in emissions between 2005 and 2023</w:t>
            </w:r>
          </w:p>
        </w:tc>
      </w:tr>
      <w:tr w:rsidR="00E46639" w:rsidRPr="0028033B" w14:paraId="46582365" w14:textId="77777777" w:rsidTr="00F16E23">
        <w:trPr>
          <w:tblHeader/>
        </w:trPr>
        <w:tc>
          <w:tcPr>
            <w:tcW w:w="1126" w:type="dxa"/>
            <w:vMerge/>
            <w:shd w:val="clear" w:color="000000" w:fill="1B556B"/>
            <w:vAlign w:val="center"/>
          </w:tcPr>
          <w:p w14:paraId="3A9D59F9" w14:textId="77777777" w:rsidR="00E46639" w:rsidRPr="0028033B" w:rsidRDefault="00E46639" w:rsidP="00F16E23">
            <w:pPr>
              <w:pStyle w:val="TableText"/>
              <w:spacing w:before="40" w:after="40"/>
              <w:rPr>
                <w:rFonts w:cs="Calibri"/>
                <w:b/>
                <w:bCs/>
                <w:color w:val="F46CD4"/>
                <w:szCs w:val="16"/>
              </w:rPr>
            </w:pPr>
          </w:p>
        </w:tc>
        <w:tc>
          <w:tcPr>
            <w:tcW w:w="1361" w:type="dxa"/>
            <w:vMerge/>
            <w:shd w:val="clear" w:color="auto" w:fill="1B556B" w:themeFill="text2"/>
            <w:vAlign w:val="center"/>
          </w:tcPr>
          <w:p w14:paraId="4191794D" w14:textId="77777777" w:rsidR="00E46639" w:rsidRPr="0028033B" w:rsidRDefault="00E46639" w:rsidP="00F16E23">
            <w:pPr>
              <w:pStyle w:val="TableText"/>
              <w:spacing w:before="40" w:after="40"/>
              <w:rPr>
                <w:rFonts w:cs="Calibri"/>
                <w:b/>
                <w:color w:val="FFFFFF" w:themeColor="background1"/>
                <w:szCs w:val="16"/>
              </w:rPr>
            </w:pPr>
          </w:p>
        </w:tc>
        <w:tc>
          <w:tcPr>
            <w:tcW w:w="794" w:type="dxa"/>
            <w:vMerge/>
            <w:shd w:val="clear" w:color="000000" w:fill="1B556B"/>
            <w:vAlign w:val="center"/>
          </w:tcPr>
          <w:p w14:paraId="04E762A2" w14:textId="77777777" w:rsidR="00E46639" w:rsidRPr="0028033B" w:rsidRDefault="00E46639" w:rsidP="00F16E23">
            <w:pPr>
              <w:pStyle w:val="TableText"/>
              <w:spacing w:before="40" w:after="40"/>
              <w:jc w:val="right"/>
              <w:rPr>
                <w:rFonts w:cs="Calibri"/>
                <w:b/>
                <w:color w:val="FFFFFF" w:themeColor="background1"/>
                <w:szCs w:val="16"/>
              </w:rPr>
            </w:pPr>
          </w:p>
        </w:tc>
        <w:tc>
          <w:tcPr>
            <w:tcW w:w="794" w:type="dxa"/>
            <w:vMerge/>
            <w:shd w:val="clear" w:color="000000" w:fill="1B556B"/>
            <w:vAlign w:val="center"/>
          </w:tcPr>
          <w:p w14:paraId="3BBF844B" w14:textId="77777777" w:rsidR="00E46639" w:rsidRPr="0028033B" w:rsidRDefault="00E46639" w:rsidP="00F16E23">
            <w:pPr>
              <w:pStyle w:val="TableText"/>
              <w:spacing w:before="40" w:after="40"/>
              <w:jc w:val="right"/>
              <w:rPr>
                <w:rFonts w:cs="Calibri"/>
                <w:b/>
                <w:color w:val="FFFFFF" w:themeColor="background1"/>
                <w:szCs w:val="16"/>
              </w:rPr>
            </w:pPr>
          </w:p>
        </w:tc>
        <w:tc>
          <w:tcPr>
            <w:tcW w:w="794" w:type="dxa"/>
            <w:vMerge/>
            <w:shd w:val="clear" w:color="000000" w:fill="1B556B"/>
            <w:vAlign w:val="center"/>
          </w:tcPr>
          <w:p w14:paraId="3D4307DD" w14:textId="77777777" w:rsidR="00E46639" w:rsidRPr="0028033B" w:rsidRDefault="00E46639" w:rsidP="00F16E23">
            <w:pPr>
              <w:pStyle w:val="TableText"/>
              <w:spacing w:before="40" w:after="40"/>
              <w:jc w:val="right"/>
              <w:rPr>
                <w:rFonts w:cs="Calibri"/>
                <w:b/>
                <w:color w:val="FFFFFF" w:themeColor="background1"/>
                <w:szCs w:val="16"/>
              </w:rPr>
            </w:pPr>
          </w:p>
        </w:tc>
        <w:tc>
          <w:tcPr>
            <w:tcW w:w="992" w:type="dxa"/>
            <w:shd w:val="clear" w:color="000000" w:fill="1B556B"/>
            <w:vAlign w:val="center"/>
          </w:tcPr>
          <w:p w14:paraId="4F918239"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850" w:type="dxa"/>
            <w:shd w:val="clear" w:color="000000" w:fill="1B556B"/>
            <w:vAlign w:val="center"/>
          </w:tcPr>
          <w:p w14:paraId="1C3DB5DA"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w:t>
            </w:r>
          </w:p>
        </w:tc>
        <w:tc>
          <w:tcPr>
            <w:tcW w:w="851" w:type="dxa"/>
            <w:shd w:val="clear" w:color="000000" w:fill="1B556B"/>
            <w:vAlign w:val="center"/>
          </w:tcPr>
          <w:p w14:paraId="06762A51"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907" w:type="dxa"/>
            <w:shd w:val="clear" w:color="000000" w:fill="1B556B"/>
            <w:vAlign w:val="center"/>
          </w:tcPr>
          <w:p w14:paraId="7E4208CA" w14:textId="77777777" w:rsidR="00E46639" w:rsidRPr="0028033B" w:rsidRDefault="00E46639" w:rsidP="00F16E23">
            <w:pPr>
              <w:pStyle w:val="TableText"/>
              <w:spacing w:before="0" w:after="40"/>
              <w:jc w:val="right"/>
              <w:rPr>
                <w:rFonts w:cs="Calibri"/>
                <w:b/>
                <w:color w:val="FFFFFF" w:themeColor="background1"/>
                <w:szCs w:val="16"/>
              </w:rPr>
            </w:pPr>
            <w:r w:rsidRPr="0028033B">
              <w:rPr>
                <w:rFonts w:cs="Calibri"/>
                <w:b/>
                <w:color w:val="FFFFFF" w:themeColor="background1"/>
                <w:szCs w:val="16"/>
              </w:rPr>
              <w:t>(%)</w:t>
            </w:r>
          </w:p>
        </w:tc>
      </w:tr>
      <w:tr w:rsidR="00E46639" w:rsidRPr="0028033B" w14:paraId="05B7E314" w14:textId="77777777" w:rsidTr="00F16E23">
        <w:tc>
          <w:tcPr>
            <w:tcW w:w="1126" w:type="dxa"/>
            <w:vMerge w:val="restart"/>
            <w:vAlign w:val="center"/>
          </w:tcPr>
          <w:p w14:paraId="3E52B6D4" w14:textId="77777777" w:rsidR="00E46639" w:rsidRPr="0028033B" w:rsidRDefault="00E46639" w:rsidP="00F16E23">
            <w:pPr>
              <w:pStyle w:val="TableText"/>
              <w:spacing w:before="40" w:after="40"/>
              <w:rPr>
                <w:rFonts w:cs="Calibri"/>
                <w:szCs w:val="16"/>
              </w:rPr>
            </w:pPr>
            <w:r w:rsidRPr="0028033B">
              <w:rPr>
                <w:rFonts w:cs="Calibri"/>
                <w:szCs w:val="16"/>
              </w:rPr>
              <w:t xml:space="preserve">Total emissions from </w:t>
            </w:r>
            <w:r w:rsidRPr="0028033B">
              <w:rPr>
                <w:rFonts w:cs="Calibri"/>
                <w:i/>
                <w:szCs w:val="16"/>
              </w:rPr>
              <w:t>Manure management</w:t>
            </w:r>
          </w:p>
        </w:tc>
        <w:tc>
          <w:tcPr>
            <w:tcW w:w="1361" w:type="dxa"/>
            <w:vAlign w:val="center"/>
          </w:tcPr>
          <w:p w14:paraId="063CB464" w14:textId="77777777" w:rsidR="00E46639" w:rsidRPr="0028033B" w:rsidRDefault="00E46639" w:rsidP="00F16E23">
            <w:pPr>
              <w:pStyle w:val="TableText"/>
              <w:spacing w:before="40" w:after="40"/>
              <w:rPr>
                <w:rFonts w:cs="Calibri"/>
                <w:szCs w:val="16"/>
              </w:rPr>
            </w:pPr>
            <w:r w:rsidRPr="0028033B">
              <w:rPr>
                <w:rFonts w:cs="Calibri"/>
                <w:szCs w:val="16"/>
              </w:rPr>
              <w:t>2025 (1990–2023) emissions estimate</w:t>
            </w:r>
          </w:p>
        </w:tc>
        <w:tc>
          <w:tcPr>
            <w:tcW w:w="794" w:type="dxa"/>
            <w:vAlign w:val="bottom"/>
          </w:tcPr>
          <w:p w14:paraId="61E11DD8" w14:textId="77777777" w:rsidR="00E46639" w:rsidRPr="0028033B" w:rsidRDefault="00E46639" w:rsidP="00F16E23">
            <w:pPr>
              <w:pStyle w:val="TableText"/>
              <w:spacing w:before="40" w:after="40"/>
              <w:jc w:val="right"/>
              <w:rPr>
                <w:rFonts w:cs="Calibri"/>
                <w:szCs w:val="16"/>
              </w:rPr>
            </w:pPr>
            <w:r w:rsidRPr="0028033B">
              <w:rPr>
                <w:rFonts w:cs="Calibri"/>
                <w:szCs w:val="16"/>
              </w:rPr>
              <w:t>859.8</w:t>
            </w:r>
          </w:p>
        </w:tc>
        <w:tc>
          <w:tcPr>
            <w:tcW w:w="794" w:type="dxa"/>
            <w:vAlign w:val="bottom"/>
          </w:tcPr>
          <w:p w14:paraId="1442C62E" w14:textId="77777777" w:rsidR="00E46639" w:rsidRPr="0028033B" w:rsidRDefault="00E46639" w:rsidP="00F16E23">
            <w:pPr>
              <w:pStyle w:val="TableText"/>
              <w:spacing w:before="40" w:after="40"/>
              <w:jc w:val="right"/>
              <w:rPr>
                <w:rFonts w:cs="Calibri"/>
                <w:szCs w:val="16"/>
              </w:rPr>
            </w:pPr>
            <w:r w:rsidRPr="0028033B">
              <w:rPr>
                <w:rFonts w:cs="Calibri"/>
                <w:szCs w:val="16"/>
              </w:rPr>
              <w:t>1,252.1</w:t>
            </w:r>
          </w:p>
        </w:tc>
        <w:tc>
          <w:tcPr>
            <w:tcW w:w="794" w:type="dxa"/>
            <w:vAlign w:val="bottom"/>
          </w:tcPr>
          <w:p w14:paraId="60B99CF7" w14:textId="77777777" w:rsidR="00E46639" w:rsidRPr="0028033B" w:rsidRDefault="00E46639" w:rsidP="00F16E23">
            <w:pPr>
              <w:pStyle w:val="TableText"/>
              <w:spacing w:before="40" w:after="40"/>
              <w:jc w:val="right"/>
              <w:rPr>
                <w:rFonts w:cs="Calibri"/>
                <w:szCs w:val="16"/>
              </w:rPr>
            </w:pPr>
            <w:r w:rsidRPr="0028033B">
              <w:rPr>
                <w:rFonts w:cs="Calibri"/>
                <w:szCs w:val="16"/>
              </w:rPr>
              <w:t>1,861.5</w:t>
            </w:r>
          </w:p>
        </w:tc>
        <w:tc>
          <w:tcPr>
            <w:tcW w:w="992" w:type="dxa"/>
            <w:vAlign w:val="bottom"/>
          </w:tcPr>
          <w:p w14:paraId="4BC789CB" w14:textId="77777777" w:rsidR="00E46639" w:rsidRPr="0028033B" w:rsidRDefault="00E46639" w:rsidP="00F16E23">
            <w:pPr>
              <w:pStyle w:val="TableText"/>
              <w:spacing w:before="40" w:after="40"/>
              <w:jc w:val="right"/>
              <w:rPr>
                <w:rFonts w:cs="Calibri"/>
                <w:szCs w:val="16"/>
              </w:rPr>
            </w:pPr>
            <w:r w:rsidRPr="0028033B">
              <w:rPr>
                <w:rFonts w:cs="Calibri"/>
                <w:szCs w:val="16"/>
              </w:rPr>
              <w:t>1,001.7</w:t>
            </w:r>
          </w:p>
        </w:tc>
        <w:tc>
          <w:tcPr>
            <w:tcW w:w="850" w:type="dxa"/>
            <w:vAlign w:val="bottom"/>
          </w:tcPr>
          <w:p w14:paraId="40FE1753" w14:textId="77777777" w:rsidR="00E46639" w:rsidRPr="0028033B" w:rsidRDefault="00E46639" w:rsidP="00F16E23">
            <w:pPr>
              <w:pStyle w:val="TableText"/>
              <w:spacing w:before="40" w:after="40"/>
              <w:jc w:val="right"/>
              <w:rPr>
                <w:rFonts w:cs="Calibri"/>
                <w:szCs w:val="16"/>
              </w:rPr>
            </w:pPr>
            <w:r w:rsidRPr="0028033B">
              <w:rPr>
                <w:rFonts w:cs="Calibri"/>
                <w:szCs w:val="16"/>
              </w:rPr>
              <w:t>116.5</w:t>
            </w:r>
          </w:p>
        </w:tc>
        <w:tc>
          <w:tcPr>
            <w:tcW w:w="851" w:type="dxa"/>
            <w:vAlign w:val="bottom"/>
          </w:tcPr>
          <w:p w14:paraId="6ED1982D" w14:textId="77777777" w:rsidR="00E46639" w:rsidRPr="0028033B" w:rsidRDefault="00E46639" w:rsidP="00F16E23">
            <w:pPr>
              <w:pStyle w:val="TableText"/>
              <w:spacing w:before="40" w:after="40"/>
              <w:jc w:val="right"/>
              <w:rPr>
                <w:rFonts w:cs="Calibri"/>
                <w:szCs w:val="16"/>
              </w:rPr>
            </w:pPr>
            <w:r w:rsidRPr="0028033B">
              <w:rPr>
                <w:rFonts w:cs="Calibri"/>
                <w:szCs w:val="16"/>
              </w:rPr>
              <w:t>609.4</w:t>
            </w:r>
          </w:p>
        </w:tc>
        <w:tc>
          <w:tcPr>
            <w:tcW w:w="907" w:type="dxa"/>
            <w:vAlign w:val="bottom"/>
          </w:tcPr>
          <w:p w14:paraId="79C7EC0F" w14:textId="77777777" w:rsidR="00E46639" w:rsidRPr="0028033B" w:rsidRDefault="00E46639" w:rsidP="00F16E23">
            <w:pPr>
              <w:pStyle w:val="TableText"/>
              <w:spacing w:before="40" w:after="40"/>
              <w:jc w:val="right"/>
              <w:rPr>
                <w:rFonts w:cs="Calibri"/>
                <w:szCs w:val="16"/>
              </w:rPr>
            </w:pPr>
            <w:r w:rsidRPr="0028033B">
              <w:rPr>
                <w:rFonts w:cs="Calibri"/>
                <w:szCs w:val="16"/>
              </w:rPr>
              <w:t>48.7</w:t>
            </w:r>
          </w:p>
        </w:tc>
      </w:tr>
      <w:tr w:rsidR="00E46639" w:rsidRPr="0028033B" w14:paraId="255223A4" w14:textId="77777777" w:rsidTr="00F16E23">
        <w:tc>
          <w:tcPr>
            <w:tcW w:w="1126" w:type="dxa"/>
            <w:vMerge/>
            <w:vAlign w:val="center"/>
          </w:tcPr>
          <w:p w14:paraId="7A8F31D5" w14:textId="77777777" w:rsidR="00E46639" w:rsidRPr="0028033B" w:rsidRDefault="00E46639" w:rsidP="00F16E23">
            <w:pPr>
              <w:pStyle w:val="TableText"/>
              <w:spacing w:before="40" w:after="40"/>
              <w:rPr>
                <w:rFonts w:cs="Calibri"/>
                <w:szCs w:val="16"/>
              </w:rPr>
            </w:pPr>
          </w:p>
        </w:tc>
        <w:tc>
          <w:tcPr>
            <w:tcW w:w="1361" w:type="dxa"/>
            <w:vAlign w:val="center"/>
          </w:tcPr>
          <w:p w14:paraId="6277A1BA" w14:textId="77777777" w:rsidR="00E46639" w:rsidRPr="0028033B" w:rsidRDefault="00E46639" w:rsidP="00F16E23">
            <w:pPr>
              <w:pStyle w:val="TableText"/>
              <w:spacing w:before="40" w:after="40"/>
              <w:rPr>
                <w:rFonts w:cs="Calibri"/>
                <w:i/>
                <w:szCs w:val="16"/>
              </w:rPr>
            </w:pPr>
            <w:r w:rsidRPr="0028033B">
              <w:rPr>
                <w:rFonts w:cs="Calibri"/>
                <w:szCs w:val="16"/>
              </w:rPr>
              <w:t xml:space="preserve">2025 (1990–2023) emissions estimate </w:t>
            </w:r>
            <w:r w:rsidRPr="0028033B">
              <w:rPr>
                <w:rFonts w:cs="Calibri"/>
                <w:i/>
                <w:szCs w:val="16"/>
              </w:rPr>
              <w:t>with</w:t>
            </w:r>
            <w:r w:rsidRPr="0028033B">
              <w:rPr>
                <w:rFonts w:cs="Calibri"/>
                <w:szCs w:val="16"/>
              </w:rPr>
              <w:t xml:space="preserve"> </w:t>
            </w:r>
            <w:r w:rsidRPr="0028033B">
              <w:rPr>
                <w:rFonts w:cs="Calibri"/>
                <w:i/>
                <w:szCs w:val="16"/>
              </w:rPr>
              <w:t>corrections</w:t>
            </w:r>
          </w:p>
        </w:tc>
        <w:tc>
          <w:tcPr>
            <w:tcW w:w="794" w:type="dxa"/>
            <w:vAlign w:val="bottom"/>
          </w:tcPr>
          <w:p w14:paraId="22844566" w14:textId="77777777" w:rsidR="00E46639" w:rsidRPr="0028033B" w:rsidRDefault="00E46639" w:rsidP="00F16E23">
            <w:pPr>
              <w:pStyle w:val="TableText"/>
              <w:spacing w:before="40" w:after="40"/>
              <w:jc w:val="right"/>
              <w:rPr>
                <w:rFonts w:cs="Calibri"/>
                <w:szCs w:val="16"/>
              </w:rPr>
            </w:pPr>
            <w:r w:rsidRPr="0028033B">
              <w:rPr>
                <w:rFonts w:cs="Calibri"/>
                <w:szCs w:val="16"/>
              </w:rPr>
              <w:t>860.3</w:t>
            </w:r>
          </w:p>
        </w:tc>
        <w:tc>
          <w:tcPr>
            <w:tcW w:w="794" w:type="dxa"/>
            <w:vAlign w:val="bottom"/>
          </w:tcPr>
          <w:p w14:paraId="476711F3" w14:textId="77777777" w:rsidR="00E46639" w:rsidRPr="0028033B" w:rsidRDefault="00E46639" w:rsidP="00F16E23">
            <w:pPr>
              <w:pStyle w:val="TableText"/>
              <w:spacing w:before="40" w:after="40"/>
              <w:jc w:val="right"/>
              <w:rPr>
                <w:rFonts w:cs="Calibri"/>
                <w:szCs w:val="16"/>
              </w:rPr>
            </w:pPr>
            <w:r w:rsidRPr="0028033B">
              <w:rPr>
                <w:rFonts w:cs="Calibri"/>
                <w:szCs w:val="16"/>
              </w:rPr>
              <w:t>1,251.5</w:t>
            </w:r>
          </w:p>
        </w:tc>
        <w:tc>
          <w:tcPr>
            <w:tcW w:w="794" w:type="dxa"/>
            <w:vAlign w:val="bottom"/>
          </w:tcPr>
          <w:p w14:paraId="58288472" w14:textId="77777777" w:rsidR="00E46639" w:rsidRPr="0028033B" w:rsidRDefault="00E46639" w:rsidP="00F16E23">
            <w:pPr>
              <w:pStyle w:val="TableText"/>
              <w:spacing w:before="40" w:after="40"/>
              <w:jc w:val="right"/>
              <w:rPr>
                <w:rFonts w:cs="Calibri"/>
                <w:szCs w:val="16"/>
              </w:rPr>
            </w:pPr>
            <w:r w:rsidRPr="0028033B">
              <w:rPr>
                <w:rFonts w:cs="Calibri"/>
                <w:szCs w:val="16"/>
              </w:rPr>
              <w:t>1,855.5</w:t>
            </w:r>
          </w:p>
        </w:tc>
        <w:tc>
          <w:tcPr>
            <w:tcW w:w="992" w:type="dxa"/>
            <w:vAlign w:val="bottom"/>
          </w:tcPr>
          <w:p w14:paraId="256DFC35" w14:textId="77777777" w:rsidR="00E46639" w:rsidRPr="0028033B" w:rsidRDefault="00E46639" w:rsidP="00F16E23">
            <w:pPr>
              <w:pStyle w:val="TableText"/>
              <w:spacing w:before="40" w:after="40"/>
              <w:jc w:val="right"/>
              <w:rPr>
                <w:rFonts w:cs="Calibri"/>
                <w:szCs w:val="16"/>
              </w:rPr>
            </w:pPr>
            <w:r w:rsidRPr="0028033B">
              <w:rPr>
                <w:rFonts w:cs="Calibri"/>
                <w:szCs w:val="16"/>
              </w:rPr>
              <w:t>995.3</w:t>
            </w:r>
          </w:p>
        </w:tc>
        <w:tc>
          <w:tcPr>
            <w:tcW w:w="850" w:type="dxa"/>
            <w:vAlign w:val="bottom"/>
          </w:tcPr>
          <w:p w14:paraId="07713B39" w14:textId="77777777" w:rsidR="00E46639" w:rsidRPr="0028033B" w:rsidRDefault="00E46639" w:rsidP="00F16E23">
            <w:pPr>
              <w:pStyle w:val="TableText"/>
              <w:spacing w:before="40" w:after="40"/>
              <w:jc w:val="right"/>
              <w:rPr>
                <w:rFonts w:cs="Calibri"/>
                <w:szCs w:val="16"/>
              </w:rPr>
            </w:pPr>
            <w:r w:rsidRPr="0028033B">
              <w:rPr>
                <w:rFonts w:cs="Calibri"/>
                <w:szCs w:val="16"/>
              </w:rPr>
              <w:t>115.7</w:t>
            </w:r>
          </w:p>
        </w:tc>
        <w:tc>
          <w:tcPr>
            <w:tcW w:w="851" w:type="dxa"/>
            <w:vAlign w:val="bottom"/>
          </w:tcPr>
          <w:p w14:paraId="1DF9B581" w14:textId="77777777" w:rsidR="00E46639" w:rsidRPr="0028033B" w:rsidRDefault="00E46639" w:rsidP="00F16E23">
            <w:pPr>
              <w:pStyle w:val="TableText"/>
              <w:spacing w:before="40" w:after="40"/>
              <w:jc w:val="right"/>
              <w:rPr>
                <w:rFonts w:cs="Calibri"/>
                <w:szCs w:val="16"/>
              </w:rPr>
            </w:pPr>
            <w:r w:rsidRPr="0028033B">
              <w:rPr>
                <w:rFonts w:cs="Calibri"/>
                <w:szCs w:val="16"/>
              </w:rPr>
              <w:t>604.1</w:t>
            </w:r>
          </w:p>
        </w:tc>
        <w:tc>
          <w:tcPr>
            <w:tcW w:w="907" w:type="dxa"/>
            <w:vAlign w:val="bottom"/>
          </w:tcPr>
          <w:p w14:paraId="0FB4C765" w14:textId="77777777" w:rsidR="00E46639" w:rsidRPr="0028033B" w:rsidRDefault="00E46639" w:rsidP="00F16E23">
            <w:pPr>
              <w:pStyle w:val="TableText"/>
              <w:spacing w:before="40" w:after="40"/>
              <w:jc w:val="right"/>
              <w:rPr>
                <w:rFonts w:cs="Calibri"/>
                <w:szCs w:val="16"/>
              </w:rPr>
            </w:pPr>
            <w:r w:rsidRPr="0028033B">
              <w:rPr>
                <w:rFonts w:cs="Calibri"/>
                <w:szCs w:val="16"/>
              </w:rPr>
              <w:t>48.3</w:t>
            </w:r>
          </w:p>
        </w:tc>
      </w:tr>
      <w:tr w:rsidR="00E46639" w:rsidRPr="0028033B" w14:paraId="0FDA55D5" w14:textId="77777777" w:rsidTr="00F16E23">
        <w:tc>
          <w:tcPr>
            <w:tcW w:w="1126" w:type="dxa"/>
            <w:vMerge/>
            <w:vAlign w:val="center"/>
          </w:tcPr>
          <w:p w14:paraId="5B2E1C06" w14:textId="77777777" w:rsidR="00E46639" w:rsidRPr="0028033B" w:rsidRDefault="00E46639" w:rsidP="00F16E23">
            <w:pPr>
              <w:pStyle w:val="TableText"/>
              <w:spacing w:before="40" w:after="40"/>
              <w:rPr>
                <w:rFonts w:cs="Calibri"/>
                <w:szCs w:val="16"/>
              </w:rPr>
            </w:pPr>
          </w:p>
        </w:tc>
        <w:tc>
          <w:tcPr>
            <w:tcW w:w="1361" w:type="dxa"/>
            <w:vAlign w:val="center"/>
          </w:tcPr>
          <w:p w14:paraId="12F5FD08" w14:textId="77777777" w:rsidR="00E46639" w:rsidRPr="0028033B" w:rsidRDefault="00E46639" w:rsidP="00F16E23">
            <w:pPr>
              <w:pStyle w:val="TableText"/>
              <w:spacing w:before="40" w:after="40"/>
              <w:rPr>
                <w:rFonts w:cs="Calibri"/>
                <w:szCs w:val="16"/>
              </w:rPr>
            </w:pPr>
            <w:r w:rsidRPr="0028033B">
              <w:rPr>
                <w:rFonts w:cs="Calibri"/>
                <w:szCs w:val="16"/>
              </w:rPr>
              <w:t>Difference in emissions estimates</w:t>
            </w:r>
          </w:p>
        </w:tc>
        <w:tc>
          <w:tcPr>
            <w:tcW w:w="794" w:type="dxa"/>
            <w:vAlign w:val="bottom"/>
          </w:tcPr>
          <w:p w14:paraId="01F8D023" w14:textId="77777777" w:rsidR="00E46639" w:rsidRPr="0028033B" w:rsidRDefault="00E46639" w:rsidP="00F16E23">
            <w:pPr>
              <w:pStyle w:val="TableText"/>
              <w:spacing w:before="40" w:after="40"/>
              <w:jc w:val="right"/>
              <w:rPr>
                <w:rFonts w:cs="Calibri"/>
                <w:szCs w:val="16"/>
              </w:rPr>
            </w:pPr>
            <w:r w:rsidRPr="0028033B">
              <w:rPr>
                <w:rFonts w:cs="Calibri"/>
                <w:szCs w:val="16"/>
              </w:rPr>
              <w:t>0.5</w:t>
            </w:r>
          </w:p>
        </w:tc>
        <w:tc>
          <w:tcPr>
            <w:tcW w:w="794" w:type="dxa"/>
            <w:vAlign w:val="bottom"/>
          </w:tcPr>
          <w:p w14:paraId="415572FB" w14:textId="77777777" w:rsidR="00E46639" w:rsidRPr="0028033B" w:rsidRDefault="00E46639" w:rsidP="00F16E23">
            <w:pPr>
              <w:pStyle w:val="TableText"/>
              <w:spacing w:before="40" w:after="40"/>
              <w:jc w:val="right"/>
              <w:rPr>
                <w:rFonts w:cs="Calibri"/>
                <w:szCs w:val="16"/>
              </w:rPr>
            </w:pPr>
            <w:r w:rsidRPr="0028033B">
              <w:rPr>
                <w:rFonts w:cs="Calibri"/>
                <w:szCs w:val="16"/>
              </w:rPr>
              <w:t>-0.6</w:t>
            </w:r>
          </w:p>
        </w:tc>
        <w:tc>
          <w:tcPr>
            <w:tcW w:w="794" w:type="dxa"/>
            <w:vAlign w:val="bottom"/>
          </w:tcPr>
          <w:p w14:paraId="0628DDBB" w14:textId="77777777" w:rsidR="00E46639" w:rsidRPr="0028033B" w:rsidRDefault="00E46639" w:rsidP="00F16E23">
            <w:pPr>
              <w:pStyle w:val="TableText"/>
              <w:spacing w:before="40" w:after="40"/>
              <w:jc w:val="right"/>
              <w:rPr>
                <w:rFonts w:cs="Calibri"/>
                <w:szCs w:val="16"/>
              </w:rPr>
            </w:pPr>
            <w:r w:rsidRPr="0028033B">
              <w:rPr>
                <w:rFonts w:cs="Calibri"/>
                <w:szCs w:val="16"/>
              </w:rPr>
              <w:t>-5.9</w:t>
            </w:r>
          </w:p>
        </w:tc>
        <w:tc>
          <w:tcPr>
            <w:tcW w:w="992" w:type="dxa"/>
            <w:vAlign w:val="bottom"/>
          </w:tcPr>
          <w:p w14:paraId="68CF118B"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850" w:type="dxa"/>
            <w:vAlign w:val="bottom"/>
          </w:tcPr>
          <w:p w14:paraId="6AE0EDB1"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851" w:type="dxa"/>
            <w:vAlign w:val="bottom"/>
          </w:tcPr>
          <w:p w14:paraId="520B843A"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907" w:type="dxa"/>
            <w:vAlign w:val="bottom"/>
          </w:tcPr>
          <w:p w14:paraId="1EDC98B0"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r>
      <w:tr w:rsidR="00E46639" w:rsidRPr="0028033B" w14:paraId="6898EAE8" w14:textId="77777777" w:rsidTr="00F16E23">
        <w:tc>
          <w:tcPr>
            <w:tcW w:w="1126" w:type="dxa"/>
            <w:vMerge/>
            <w:vAlign w:val="center"/>
          </w:tcPr>
          <w:p w14:paraId="461B8134" w14:textId="77777777" w:rsidR="00E46639" w:rsidRPr="0028033B" w:rsidRDefault="00E46639" w:rsidP="00F16E23">
            <w:pPr>
              <w:pStyle w:val="TableText"/>
              <w:spacing w:before="40" w:after="40"/>
              <w:rPr>
                <w:rFonts w:cs="Calibri"/>
                <w:szCs w:val="16"/>
              </w:rPr>
            </w:pPr>
          </w:p>
        </w:tc>
        <w:tc>
          <w:tcPr>
            <w:tcW w:w="1361" w:type="dxa"/>
            <w:vAlign w:val="center"/>
          </w:tcPr>
          <w:p w14:paraId="283883E8" w14:textId="77777777" w:rsidR="00E46639" w:rsidRPr="0028033B" w:rsidRDefault="00E46639" w:rsidP="00F16E23">
            <w:pPr>
              <w:pStyle w:val="TableText"/>
              <w:spacing w:before="40" w:after="40"/>
              <w:rPr>
                <w:rFonts w:cs="Calibri"/>
                <w:szCs w:val="16"/>
              </w:rPr>
            </w:pPr>
            <w:r w:rsidRPr="0028033B">
              <w:rPr>
                <w:rFonts w:cs="Calibri"/>
                <w:szCs w:val="16"/>
              </w:rPr>
              <w:t>Percentage difference in emissions estimates (%)</w:t>
            </w:r>
          </w:p>
        </w:tc>
        <w:tc>
          <w:tcPr>
            <w:tcW w:w="794" w:type="dxa"/>
            <w:vAlign w:val="bottom"/>
          </w:tcPr>
          <w:p w14:paraId="1B2910DC" w14:textId="77777777" w:rsidR="00E46639" w:rsidRPr="0028033B" w:rsidRDefault="00E46639" w:rsidP="00F16E23">
            <w:pPr>
              <w:pStyle w:val="TableText"/>
              <w:spacing w:before="40" w:after="40"/>
              <w:jc w:val="right"/>
              <w:rPr>
                <w:rFonts w:cs="Calibri"/>
                <w:szCs w:val="16"/>
              </w:rPr>
            </w:pPr>
            <w:r w:rsidRPr="0028033B">
              <w:rPr>
                <w:rFonts w:cs="Calibri"/>
                <w:szCs w:val="16"/>
              </w:rPr>
              <w:t>0.1</w:t>
            </w:r>
          </w:p>
        </w:tc>
        <w:tc>
          <w:tcPr>
            <w:tcW w:w="794" w:type="dxa"/>
            <w:vAlign w:val="bottom"/>
          </w:tcPr>
          <w:p w14:paraId="11787688" w14:textId="77777777" w:rsidR="00E46639" w:rsidRPr="0028033B" w:rsidRDefault="00E46639" w:rsidP="00F16E23">
            <w:pPr>
              <w:pStyle w:val="TableText"/>
              <w:spacing w:before="40" w:after="40"/>
              <w:jc w:val="right"/>
              <w:rPr>
                <w:rFonts w:cs="Calibri"/>
                <w:szCs w:val="16"/>
              </w:rPr>
            </w:pPr>
            <w:r w:rsidRPr="0028033B">
              <w:rPr>
                <w:rFonts w:cs="Calibri"/>
                <w:szCs w:val="16"/>
              </w:rPr>
              <w:t>-0.1</w:t>
            </w:r>
          </w:p>
        </w:tc>
        <w:tc>
          <w:tcPr>
            <w:tcW w:w="794" w:type="dxa"/>
            <w:vAlign w:val="bottom"/>
          </w:tcPr>
          <w:p w14:paraId="5567F222" w14:textId="77777777" w:rsidR="00E46639" w:rsidRPr="0028033B" w:rsidRDefault="00E46639" w:rsidP="00F16E23">
            <w:pPr>
              <w:pStyle w:val="TableText"/>
              <w:spacing w:before="40" w:after="40"/>
              <w:jc w:val="right"/>
              <w:rPr>
                <w:rFonts w:cs="Calibri"/>
                <w:szCs w:val="16"/>
              </w:rPr>
            </w:pPr>
            <w:r w:rsidRPr="0028033B">
              <w:rPr>
                <w:rFonts w:cs="Calibri"/>
                <w:szCs w:val="16"/>
              </w:rPr>
              <w:t>-0.3</w:t>
            </w:r>
          </w:p>
        </w:tc>
        <w:tc>
          <w:tcPr>
            <w:tcW w:w="992" w:type="dxa"/>
            <w:vAlign w:val="bottom"/>
          </w:tcPr>
          <w:p w14:paraId="0FC0DB12"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850" w:type="dxa"/>
            <w:vAlign w:val="bottom"/>
          </w:tcPr>
          <w:p w14:paraId="74A0F769"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851" w:type="dxa"/>
            <w:vAlign w:val="bottom"/>
          </w:tcPr>
          <w:p w14:paraId="5E4067FC"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c>
          <w:tcPr>
            <w:tcW w:w="907" w:type="dxa"/>
            <w:vAlign w:val="bottom"/>
          </w:tcPr>
          <w:p w14:paraId="67E21DAA" w14:textId="77777777" w:rsidR="00E46639" w:rsidRPr="0028033B" w:rsidRDefault="00E46639" w:rsidP="00F16E23">
            <w:pPr>
              <w:pStyle w:val="TableText"/>
              <w:spacing w:before="40" w:after="40"/>
              <w:jc w:val="right"/>
              <w:rPr>
                <w:rFonts w:cs="Calibri"/>
                <w:szCs w:val="16"/>
              </w:rPr>
            </w:pPr>
            <w:r w:rsidRPr="0028033B">
              <w:rPr>
                <w:rFonts w:cs="Calibri"/>
                <w:szCs w:val="16"/>
              </w:rPr>
              <w:t> </w:t>
            </w:r>
          </w:p>
        </w:tc>
      </w:tr>
    </w:tbl>
    <w:p w14:paraId="4D78B28D" w14:textId="77777777" w:rsidR="00E46639" w:rsidRPr="0028033B" w:rsidRDefault="00E46639" w:rsidP="00E46639">
      <w:pPr>
        <w:pStyle w:val="Noteundertable"/>
      </w:pPr>
      <w:r w:rsidRPr="0028033B">
        <w:rPr>
          <w:b/>
          <w:bCs/>
        </w:rPr>
        <w:t xml:space="preserve">Note: </w:t>
      </w:r>
      <w:r w:rsidRPr="0028033B">
        <w:rPr>
          <w:b/>
          <w:bCs/>
        </w:rPr>
        <w:tab/>
      </w:r>
      <w:r w:rsidRPr="0028033B">
        <w:t>Columns may not sum due to rounding. Percentages presented are calculated from unrounded values.</w:t>
      </w:r>
      <w:bookmarkStart w:id="1051" w:name="_Toc32570663"/>
      <w:bookmarkStart w:id="1052" w:name="_Toc134847206"/>
      <w:bookmarkStart w:id="1053" w:name="_Toc69611741"/>
      <w:bookmarkStart w:id="1054" w:name="_Toc69612697"/>
      <w:bookmarkStart w:id="1055" w:name="_Toc69612896"/>
      <w:bookmarkStart w:id="1056" w:name="_Toc69613156"/>
      <w:bookmarkStart w:id="1057" w:name="_Toc69633320"/>
      <w:bookmarkStart w:id="1058" w:name="_Toc69717485"/>
      <w:bookmarkStart w:id="1059" w:name="_Toc69802967"/>
      <w:bookmarkStart w:id="1060" w:name="_Toc69815104"/>
      <w:bookmarkStart w:id="1061" w:name="_Toc70492397"/>
      <w:bookmarkStart w:id="1062" w:name="_Toc101310604"/>
      <w:bookmarkStart w:id="1063" w:name="_Toc101318464"/>
      <w:bookmarkStart w:id="1064" w:name="_Toc101318569"/>
      <w:bookmarkStart w:id="1065" w:name="_Toc101318753"/>
      <w:bookmarkStart w:id="1066" w:name="_Toc101334029"/>
    </w:p>
    <w:p w14:paraId="2A66B71F" w14:textId="77777777" w:rsidR="00E46639" w:rsidRPr="0028033B" w:rsidRDefault="00E46639" w:rsidP="00E46639">
      <w:pPr>
        <w:pStyle w:val="Heading3"/>
      </w:pPr>
      <w:r w:rsidRPr="0028033B">
        <w:t>5.3.6</w:t>
      </w:r>
      <w:r w:rsidRPr="0028033B">
        <w:tab/>
        <w:t>Category-specific planned improvements</w:t>
      </w:r>
      <w:bookmarkEnd w:id="1051"/>
      <w:r w:rsidRPr="0028033B">
        <w:t xml:space="preserve"> </w:t>
      </w:r>
    </w:p>
    <w:bookmarkEnd w:id="1052"/>
    <w:p w14:paraId="418BE951" w14:textId="77777777" w:rsidR="00E46639" w:rsidRPr="0028033B" w:rsidRDefault="00E46639" w:rsidP="00E46639">
      <w:pPr>
        <w:pStyle w:val="BodyText"/>
        <w:spacing w:before="100" w:after="100"/>
        <w:rPr>
          <w:color w:val="000000" w:themeColor="text1"/>
        </w:rPr>
      </w:pPr>
      <w:r w:rsidRPr="0028033B">
        <w:rPr>
          <w:color w:val="000000" w:themeColor="text1"/>
        </w:rPr>
        <w:t xml:space="preserve">The following section covers the planned improvements being undertaken for </w:t>
      </w:r>
      <w:r w:rsidRPr="0028033B">
        <w:rPr>
          <w:i/>
          <w:color w:val="000000" w:themeColor="text1"/>
        </w:rPr>
        <w:t>Manure management</w:t>
      </w:r>
      <w:r w:rsidRPr="0028033B">
        <w:rPr>
          <w:color w:val="000000" w:themeColor="text1"/>
        </w:rPr>
        <w:t xml:space="preserve">. These findings may be incorporated in future annual inventory submissions. </w:t>
      </w:r>
    </w:p>
    <w:p w14:paraId="2F82A616" w14:textId="77777777" w:rsidR="00E46639" w:rsidRPr="0028033B" w:rsidRDefault="00E46639" w:rsidP="00E46639">
      <w:pPr>
        <w:pStyle w:val="Heading5"/>
        <w:spacing w:before="220"/>
      </w:pPr>
      <w:r w:rsidRPr="0028033B">
        <w:t>Influence of diet and livestock species on manure B</w:t>
      </w:r>
      <w:r w:rsidRPr="0028033B">
        <w:rPr>
          <w:vertAlign w:val="subscript"/>
        </w:rPr>
        <w:t>0</w:t>
      </w:r>
    </w:p>
    <w:p w14:paraId="422A75C8" w14:textId="77777777" w:rsidR="00E46639" w:rsidRPr="0028033B" w:rsidRDefault="00E46639" w:rsidP="00E46639">
      <w:pPr>
        <w:pStyle w:val="BodyText"/>
      </w:pPr>
      <w:r w:rsidRPr="0028033B">
        <w:t>This project aims to improve the understanding of the influence of diet and livestock species on manure B</w:t>
      </w:r>
      <w:r w:rsidRPr="0028033B">
        <w:rPr>
          <w:vertAlign w:val="subscript"/>
        </w:rPr>
        <w:t>0</w:t>
      </w:r>
      <w:r w:rsidRPr="0028033B">
        <w:t xml:space="preserve"> (the maximum CH</w:t>
      </w:r>
      <w:r w:rsidRPr="0028033B">
        <w:rPr>
          <w:vertAlign w:val="subscript"/>
        </w:rPr>
        <w:t>4</w:t>
      </w:r>
      <w:r w:rsidRPr="0028033B">
        <w:t>-producing capacity of manure). Currently, the Agriculture inventory uses an IPCC default value for B</w:t>
      </w:r>
      <w:r w:rsidRPr="0028033B">
        <w:rPr>
          <w:vertAlign w:val="subscript"/>
        </w:rPr>
        <w:t>0</w:t>
      </w:r>
      <w:r w:rsidRPr="0028033B">
        <w:t>. The project is part of an international initiative to improve on-farm CH</w:t>
      </w:r>
      <w:r w:rsidRPr="0028033B">
        <w:rPr>
          <w:vertAlign w:val="subscript"/>
        </w:rPr>
        <w:t>4</w:t>
      </w:r>
      <w:r w:rsidRPr="0028033B">
        <w:t xml:space="preserve"> emissions estimates from manure management from Global South countries. As part of this, a systematic evaluation of the manure B</w:t>
      </w:r>
      <w:r w:rsidRPr="0028033B">
        <w:rPr>
          <w:vertAlign w:val="subscript"/>
        </w:rPr>
        <w:t>0</w:t>
      </w:r>
      <w:r w:rsidRPr="0028033B">
        <w:t xml:space="preserve"> values from a variety of animal classes fed a variety of diets as well as different manure streams will be conducted. </w:t>
      </w:r>
    </w:p>
    <w:p w14:paraId="71F540B0" w14:textId="77777777" w:rsidR="00E46639" w:rsidRPr="0028033B" w:rsidRDefault="00E46639" w:rsidP="00E46639">
      <w:pPr>
        <w:pStyle w:val="Heading2"/>
      </w:pPr>
      <w:bookmarkStart w:id="1067" w:name="_Toc134847207"/>
      <w:bookmarkStart w:id="1068" w:name="_Toc139253930"/>
      <w:bookmarkStart w:id="1069" w:name="_Toc144710415"/>
      <w:bookmarkStart w:id="1070" w:name="_Toc165890369"/>
      <w:bookmarkStart w:id="1071" w:name="_Toc195322663"/>
      <w:bookmarkStart w:id="1072" w:name="_Toc235955529"/>
      <w:bookmarkStart w:id="1073" w:name="_Toc288316642"/>
      <w:bookmarkStart w:id="1074" w:name="_Toc352504862"/>
      <w:bookmarkStart w:id="1075" w:name="_Toc448321525"/>
      <w:bookmarkStart w:id="1076" w:name="_Toc481751387"/>
      <w:bookmarkStart w:id="1077" w:name="_Toc511116602"/>
      <w:bookmarkStart w:id="1078" w:name="_Toc5269364"/>
      <w:bookmarkStart w:id="1079" w:name="_Toc32570664"/>
      <w:bookmarkStart w:id="1080" w:name="_Toc36224404"/>
      <w:bookmarkStart w:id="1081" w:name="_Toc68786324"/>
      <w:bookmarkStart w:id="1082" w:name="_Toc131591239"/>
      <w:bookmarkStart w:id="1083" w:name="_Toc164154193"/>
      <w:bookmarkStart w:id="1084" w:name="_Toc226460772"/>
      <w:r w:rsidRPr="0028033B">
        <w:t>5.4</w:t>
      </w:r>
      <w:r w:rsidRPr="0028033B">
        <w:tab/>
        <w:t>Rice cultivation (3.C)</w:t>
      </w:r>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p>
    <w:p w14:paraId="68BF8144" w14:textId="77777777" w:rsidR="00E46639" w:rsidRPr="0028033B" w:rsidRDefault="00E46639" w:rsidP="00E46639">
      <w:pPr>
        <w:pStyle w:val="Heading3"/>
        <w:spacing w:before="240"/>
      </w:pPr>
      <w:bookmarkStart w:id="1085" w:name="_Toc139253931"/>
      <w:bookmarkStart w:id="1086" w:name="_Toc32570665"/>
      <w:r w:rsidRPr="0028033B">
        <w:t>5.4.1</w:t>
      </w:r>
      <w:r w:rsidRPr="0028033B">
        <w:tab/>
        <w:t>Category description</w:t>
      </w:r>
      <w:bookmarkEnd w:id="1085"/>
      <w:bookmarkEnd w:id="1086"/>
    </w:p>
    <w:p w14:paraId="15CF0C1C" w14:textId="77777777" w:rsidR="00E46639" w:rsidRPr="0028033B" w:rsidRDefault="00E46639" w:rsidP="00E46639">
      <w:pPr>
        <w:pStyle w:val="BodyText"/>
        <w:rPr>
          <w:rFonts w:cs="Calibri"/>
        </w:rPr>
      </w:pPr>
      <w:r w:rsidRPr="0028033B">
        <w:rPr>
          <w:rFonts w:cs="Calibri"/>
        </w:rPr>
        <w:t xml:space="preserve">At present, there is no commercial rice cultivation in New Zealand. This has been confirmed with experts from Plant and Food Research, a New Zealand Crown research institute (Thomas et al., unpublished). The ‘NO’ (not occurring) notation is reported in the CRT. </w:t>
      </w:r>
    </w:p>
    <w:p w14:paraId="4310520F" w14:textId="77777777" w:rsidR="00E46639" w:rsidRPr="0028033B" w:rsidRDefault="00E46639" w:rsidP="00E46639">
      <w:pPr>
        <w:pStyle w:val="Heading2"/>
      </w:pPr>
      <w:bookmarkStart w:id="1087" w:name="_Toc69611742"/>
      <w:bookmarkStart w:id="1088" w:name="_Toc69612698"/>
      <w:bookmarkStart w:id="1089" w:name="_Toc69612897"/>
      <w:bookmarkStart w:id="1090" w:name="_Toc69613157"/>
      <w:bookmarkStart w:id="1091" w:name="_Toc69633321"/>
      <w:bookmarkStart w:id="1092" w:name="_Toc69717486"/>
      <w:bookmarkStart w:id="1093" w:name="_Toc69802968"/>
      <w:bookmarkStart w:id="1094" w:name="_Toc69815105"/>
      <w:bookmarkStart w:id="1095" w:name="_Toc70492398"/>
      <w:bookmarkStart w:id="1096" w:name="_Toc101310605"/>
      <w:bookmarkStart w:id="1097" w:name="_Toc101318465"/>
      <w:bookmarkStart w:id="1098" w:name="_Toc101318570"/>
      <w:bookmarkStart w:id="1099" w:name="_Toc101318754"/>
      <w:bookmarkStart w:id="1100" w:name="_Toc101334030"/>
      <w:bookmarkStart w:id="1101" w:name="_Toc134847208"/>
      <w:bookmarkStart w:id="1102" w:name="_Toc139253932"/>
      <w:bookmarkStart w:id="1103" w:name="_Toc144710416"/>
      <w:bookmarkStart w:id="1104" w:name="_Toc165890370"/>
      <w:bookmarkStart w:id="1105" w:name="_Toc195322664"/>
      <w:bookmarkStart w:id="1106" w:name="_Toc235955530"/>
      <w:bookmarkStart w:id="1107" w:name="_Toc288316643"/>
      <w:bookmarkStart w:id="1108" w:name="_Toc352504863"/>
      <w:bookmarkStart w:id="1109" w:name="_Toc448321526"/>
      <w:bookmarkStart w:id="1110" w:name="_Toc481751388"/>
      <w:bookmarkStart w:id="1111" w:name="_Toc511116603"/>
      <w:bookmarkStart w:id="1112" w:name="_Toc5269365"/>
      <w:bookmarkStart w:id="1113" w:name="_Toc32570666"/>
      <w:bookmarkStart w:id="1114" w:name="_Toc36224405"/>
      <w:bookmarkStart w:id="1115" w:name="_Toc68786325"/>
      <w:bookmarkStart w:id="1116" w:name="_Toc131591240"/>
      <w:bookmarkStart w:id="1117" w:name="_Toc164154194"/>
      <w:bookmarkStart w:id="1118" w:name="_Toc226460773"/>
      <w:r w:rsidRPr="0028033B">
        <w:t>5.5</w:t>
      </w:r>
      <w:r w:rsidRPr="0028033B">
        <w:tab/>
        <w:t>Agricultural soils (3.D)</w:t>
      </w:r>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p>
    <w:p w14:paraId="6428D2A7" w14:textId="77777777" w:rsidR="00E46639" w:rsidRPr="0028033B" w:rsidRDefault="00E46639" w:rsidP="00E46639">
      <w:pPr>
        <w:pStyle w:val="Heading3"/>
        <w:spacing w:before="240"/>
      </w:pPr>
      <w:bookmarkStart w:id="1119" w:name="_Toc139253933"/>
      <w:bookmarkStart w:id="1120" w:name="_Toc32570667"/>
      <w:r w:rsidRPr="0028033B">
        <w:t>5.5.1</w:t>
      </w:r>
      <w:r w:rsidRPr="0028033B">
        <w:tab/>
        <w:t>Category description</w:t>
      </w:r>
      <w:bookmarkEnd w:id="1119"/>
      <w:bookmarkEnd w:id="1120"/>
    </w:p>
    <w:p w14:paraId="0D263C45" w14:textId="77777777" w:rsidR="00E46639" w:rsidRPr="0028033B" w:rsidRDefault="00E46639" w:rsidP="00E46639">
      <w:pPr>
        <w:pStyle w:val="BodyText"/>
      </w:pPr>
      <w:r w:rsidRPr="0028033B">
        <w:t>Several categories contribute to N</w:t>
      </w:r>
      <w:r w:rsidRPr="0028033B">
        <w:rPr>
          <w:vertAlign w:val="subscript"/>
        </w:rPr>
        <w:t>2</w:t>
      </w:r>
      <w:r w:rsidRPr="0028033B">
        <w:t xml:space="preserve">O emissions from </w:t>
      </w:r>
      <w:r w:rsidRPr="0028033B">
        <w:rPr>
          <w:i/>
          <w:iCs/>
        </w:rPr>
        <w:t>Agricultural soils</w:t>
      </w:r>
      <w:r w:rsidRPr="0028033B">
        <w:t xml:space="preserve"> through both direct and indirect pathways; these are summarised in figure 5.5.1. </w:t>
      </w:r>
    </w:p>
    <w:p w14:paraId="0EE2D040" w14:textId="77777777" w:rsidR="00E46639" w:rsidRPr="0028033B" w:rsidRDefault="00E46639" w:rsidP="00E46639">
      <w:pPr>
        <w:pStyle w:val="Figure"/>
      </w:pPr>
      <w:bookmarkStart w:id="1121" w:name="_Toc481752014"/>
      <w:bookmarkStart w:id="1122" w:name="_Toc507158473"/>
      <w:bookmarkStart w:id="1123" w:name="_Toc511116964"/>
      <w:bookmarkStart w:id="1124" w:name="_Toc5269694"/>
      <w:bookmarkStart w:id="1125" w:name="_Toc32570965"/>
      <w:bookmarkStart w:id="1126" w:name="_Toc36292795"/>
      <w:bookmarkStart w:id="1127" w:name="_Toc68786660"/>
      <w:bookmarkStart w:id="1128" w:name="_Toc95574121"/>
      <w:bookmarkStart w:id="1129" w:name="_Toc127458560"/>
      <w:bookmarkStart w:id="1130" w:name="_Toc131591562"/>
      <w:bookmarkStart w:id="1131" w:name="_Toc164154030"/>
      <w:bookmarkStart w:id="1132" w:name="_Toc222407710"/>
      <w:bookmarkStart w:id="1133" w:name="_Toc226200690"/>
      <w:r w:rsidRPr="0028033B">
        <w:t>Figure 5.5.1</w:t>
      </w:r>
      <w:r w:rsidRPr="0028033B">
        <w:tab/>
        <w:t xml:space="preserve">Sources of nitrous oxide emissions from </w:t>
      </w:r>
      <w:r w:rsidRPr="0028033B">
        <w:rPr>
          <w:i/>
          <w:iCs/>
        </w:rPr>
        <w:t>Agricultural soils</w:t>
      </w:r>
      <w:r w:rsidRPr="0028033B">
        <w:t>, showing the contribution of each source to emissions through both direct and indirect pathways</w:t>
      </w:r>
      <w:bookmarkEnd w:id="1121"/>
      <w:bookmarkEnd w:id="1122"/>
      <w:bookmarkEnd w:id="1123"/>
      <w:bookmarkEnd w:id="1124"/>
      <w:bookmarkEnd w:id="1125"/>
      <w:bookmarkEnd w:id="1126"/>
      <w:bookmarkEnd w:id="1127"/>
      <w:bookmarkEnd w:id="1128"/>
      <w:bookmarkEnd w:id="1129"/>
      <w:bookmarkEnd w:id="1130"/>
      <w:bookmarkEnd w:id="1131"/>
      <w:bookmarkEnd w:id="1132"/>
      <w:bookmarkEnd w:id="1133"/>
    </w:p>
    <w:p w14:paraId="2E5BEF08" w14:textId="77777777" w:rsidR="00E46639" w:rsidRPr="0028033B" w:rsidRDefault="00E46639" w:rsidP="00E46639">
      <w:pPr>
        <w:pStyle w:val="BodyText"/>
        <w:spacing w:after="160"/>
      </w:pPr>
      <w:r w:rsidRPr="0028033B">
        <w:object w:dxaOrig="10606" w:dyaOrig="11640" w14:anchorId="7C730B81">
          <v:shape id="_x0000_i1027" type="#_x0000_t75" style="width:415.7pt;height:457.15pt" o:ole="">
            <v:imagedata r:id="rId106" o:title=""/>
          </v:shape>
          <o:OLEObject Type="Embed" ProgID="Visio.Drawing.15" ShapeID="_x0000_i1027" DrawAspect="Content" ObjectID="_1837681033" r:id="rId107"/>
        </w:object>
      </w:r>
    </w:p>
    <w:p w14:paraId="17EDE033" w14:textId="77777777" w:rsidR="00E46639" w:rsidRPr="0028033B" w:rsidRDefault="00E46639" w:rsidP="00E46639">
      <w:pPr>
        <w:pStyle w:val="BodyText"/>
        <w:rPr>
          <w:spacing w:val="-2"/>
        </w:rPr>
      </w:pPr>
      <w:r w:rsidRPr="0028033B">
        <w:t>Direct N</w:t>
      </w:r>
      <w:r w:rsidRPr="0028033B">
        <w:rPr>
          <w:vertAlign w:val="subscript"/>
        </w:rPr>
        <w:t>2</w:t>
      </w:r>
      <w:r w:rsidRPr="0028033B">
        <w:t xml:space="preserve">O emissions come from soils that have had nitrogen-based fertilisers applied in either organic (animal excreta or other plant or animal derivative) or inorganic (synthetic nitrogen fertiliser) form. Indirect emissions come from the volatilisation (evaporation or sublimation) </w:t>
      </w:r>
      <w:r w:rsidRPr="0028033B">
        <w:rPr>
          <w:spacing w:val="-2"/>
        </w:rPr>
        <w:t>of nitrogen from the land and water. A fraction of this volatilised nitrogen returns to the ground during rainfall and is then re-emitted as N</w:t>
      </w:r>
      <w:r w:rsidRPr="0028033B">
        <w:rPr>
          <w:spacing w:val="-2"/>
          <w:vertAlign w:val="subscript"/>
        </w:rPr>
        <w:t>2</w:t>
      </w:r>
      <w:r w:rsidRPr="0028033B">
        <w:rPr>
          <w:spacing w:val="-2"/>
        </w:rPr>
        <w:t>O. Indirect emissions also arise from nitroge</w:t>
      </w:r>
      <w:r w:rsidRPr="0028033B">
        <w:t xml:space="preserve">n lost </w:t>
      </w:r>
      <w:r w:rsidRPr="0028033B">
        <w:rPr>
          <w:spacing w:val="-2"/>
        </w:rPr>
        <w:t>through leaching and runoff. This nitrogen enters the groundwater, riparian areas and wetlands, rivers and, eventually, the ocean, where it enhances biogenic production of N</w:t>
      </w:r>
      <w:r w:rsidRPr="0028033B">
        <w:rPr>
          <w:spacing w:val="-2"/>
          <w:vertAlign w:val="subscript"/>
        </w:rPr>
        <w:t>2</w:t>
      </w:r>
      <w:r w:rsidRPr="0028033B">
        <w:rPr>
          <w:spacing w:val="-2"/>
        </w:rPr>
        <w:t>O (IPCC, 2006).</w:t>
      </w:r>
    </w:p>
    <w:p w14:paraId="1BBEB349" w14:textId="77777777" w:rsidR="00E46639" w:rsidRPr="0028033B" w:rsidRDefault="00E46639" w:rsidP="00E46639">
      <w:pPr>
        <w:pStyle w:val="BodyText"/>
      </w:pPr>
      <w:r w:rsidRPr="0028033B">
        <w:t>Indirect emissions from livestock waste management systems are reported in section 5.3 (</w:t>
      </w:r>
      <w:r w:rsidRPr="0028033B">
        <w:rPr>
          <w:i/>
          <w:iCs/>
        </w:rPr>
        <w:t>Manure management</w:t>
      </w:r>
      <w:r w:rsidRPr="0028033B">
        <w:t>). Carbon dioxide emissions from lime and dolomite fertilisers are reported in section 5.8 (</w:t>
      </w:r>
      <w:r w:rsidRPr="0028033B">
        <w:rPr>
          <w:i/>
          <w:iCs/>
        </w:rPr>
        <w:t>Liming</w:t>
      </w:r>
      <w:r w:rsidRPr="0028033B">
        <w:t>), and CO</w:t>
      </w:r>
      <w:r w:rsidRPr="0028033B">
        <w:rPr>
          <w:vertAlign w:val="subscript"/>
        </w:rPr>
        <w:t>2</w:t>
      </w:r>
      <w:r w:rsidRPr="0028033B">
        <w:t xml:space="preserve"> emissions from urea fertiliser are reported in section 5.9 (</w:t>
      </w:r>
      <w:r w:rsidRPr="0028033B">
        <w:rPr>
          <w:i/>
          <w:iCs/>
        </w:rPr>
        <w:t>Urea application</w:t>
      </w:r>
      <w:r w:rsidRPr="0028033B">
        <w:t>)</w:t>
      </w:r>
      <w:r w:rsidRPr="0028033B">
        <w:rPr>
          <w:i/>
          <w:iCs/>
        </w:rPr>
        <w:t>.</w:t>
      </w:r>
    </w:p>
    <w:p w14:paraId="7DF0B82E" w14:textId="77777777" w:rsidR="00E46639" w:rsidRPr="0028033B" w:rsidRDefault="00E46639" w:rsidP="00E46639">
      <w:pPr>
        <w:pStyle w:val="BodyText"/>
        <w:spacing w:before="100" w:after="100"/>
        <w:rPr>
          <w:rFonts w:cs="Calibri"/>
        </w:rPr>
      </w:pPr>
      <w:r w:rsidRPr="0028033B">
        <w:rPr>
          <w:rFonts w:cs="Calibri"/>
          <w:i/>
          <w:iCs/>
        </w:rPr>
        <w:t>Agricultural soils</w:t>
      </w:r>
      <w:r w:rsidRPr="0028033B">
        <w:rPr>
          <w:rFonts w:cs="Calibri"/>
        </w:rPr>
        <w:t xml:space="preserve"> contributed an estimated 6,127.6 kt CO</w:t>
      </w:r>
      <w:r w:rsidRPr="0028033B">
        <w:rPr>
          <w:rFonts w:cs="Calibri"/>
          <w:vertAlign w:val="subscript"/>
        </w:rPr>
        <w:t>2</w:t>
      </w:r>
      <w:r w:rsidRPr="0028033B">
        <w:rPr>
          <w:rFonts w:cs="Calibri"/>
        </w:rPr>
        <w:t xml:space="preserve">e, representing </w:t>
      </w:r>
      <w:r w:rsidRPr="0028033B">
        <w:t>8.1</w:t>
      </w:r>
      <w:r w:rsidRPr="0028033B">
        <w:rPr>
          <w:rFonts w:cs="Calibri"/>
        </w:rPr>
        <w:t xml:space="preserve"> percent of New Zealand’s gross emissions and 15.3 percent of Agriculture</w:t>
      </w:r>
      <w:r w:rsidRPr="0028033B">
        <w:rPr>
          <w:rFonts w:cs="Calibri"/>
          <w:i/>
          <w:iCs/>
        </w:rPr>
        <w:t xml:space="preserve"> </w:t>
      </w:r>
      <w:r w:rsidRPr="0028033B">
        <w:rPr>
          <w:rFonts w:cs="Calibri"/>
        </w:rPr>
        <w:t xml:space="preserve">emissions in 2024. The </w:t>
      </w:r>
      <w:r w:rsidRPr="0028033B">
        <w:rPr>
          <w:rFonts w:cs="Calibri"/>
          <w:i/>
          <w:iCs/>
        </w:rPr>
        <w:t>Agricultural soils</w:t>
      </w:r>
      <w:r w:rsidRPr="0028033B">
        <w:rPr>
          <w:rFonts w:cs="Calibri"/>
        </w:rPr>
        <w:t xml:space="preserve"> category was the source of </w:t>
      </w:r>
      <w:r w:rsidRPr="0028033B">
        <w:t>91.1</w:t>
      </w:r>
      <w:r w:rsidRPr="0028033B">
        <w:rPr>
          <w:rFonts w:cs="Calibri"/>
        </w:rPr>
        <w:t xml:space="preserve"> percent of New Zealand’s total 2024 </w:t>
      </w:r>
      <w:r w:rsidRPr="0028033B">
        <w:rPr>
          <w:rFonts w:cs="Calibri"/>
          <w:spacing w:val="-2"/>
        </w:rPr>
        <w:t>N</w:t>
      </w:r>
      <w:r w:rsidRPr="0028033B">
        <w:rPr>
          <w:rFonts w:cs="Calibri"/>
          <w:spacing w:val="-2"/>
          <w:vertAlign w:val="subscript"/>
        </w:rPr>
        <w:t>2</w:t>
      </w:r>
      <w:r w:rsidRPr="0028033B">
        <w:rPr>
          <w:rFonts w:cs="Calibri"/>
          <w:spacing w:val="-2"/>
        </w:rPr>
        <w:t>O</w:t>
      </w:r>
      <w:r w:rsidRPr="0028033B">
        <w:rPr>
          <w:rFonts w:cs="Calibri"/>
        </w:rPr>
        <w:t> emissions.</w:t>
      </w:r>
    </w:p>
    <w:p w14:paraId="16D6B38D" w14:textId="77777777" w:rsidR="00E46639" w:rsidRPr="0028033B" w:rsidRDefault="00E46639" w:rsidP="00E46639">
      <w:pPr>
        <w:pStyle w:val="BodyText"/>
        <w:spacing w:before="100" w:after="100"/>
        <w:rPr>
          <w:rFonts w:cs="Calibri"/>
        </w:rPr>
      </w:pPr>
      <w:r w:rsidRPr="0028033B">
        <w:rPr>
          <w:rFonts w:cs="Calibri"/>
        </w:rPr>
        <w:t xml:space="preserve">The categories that contribute the most to emissions from </w:t>
      </w:r>
      <w:r w:rsidRPr="0028033B">
        <w:rPr>
          <w:rFonts w:cs="Calibri"/>
          <w:i/>
          <w:iCs/>
        </w:rPr>
        <w:t>Agricultural soils</w:t>
      </w:r>
      <w:r w:rsidRPr="0028033B">
        <w:rPr>
          <w:rFonts w:cs="Calibri"/>
        </w:rPr>
        <w:t xml:space="preserve"> and that are identified as key categories are outlined below in order of significance:</w:t>
      </w:r>
    </w:p>
    <w:p w14:paraId="45B2DEFF" w14:textId="77777777" w:rsidR="00E46639" w:rsidRPr="0028033B" w:rsidRDefault="00E46639" w:rsidP="00E46639">
      <w:pPr>
        <w:pStyle w:val="Bullet"/>
        <w:numPr>
          <w:ilvl w:val="0"/>
          <w:numId w:val="25"/>
        </w:numPr>
        <w:rPr>
          <w:spacing w:val="-2"/>
        </w:rPr>
      </w:pPr>
      <w:r w:rsidRPr="0028033B">
        <w:t xml:space="preserve">direct emissions from urine and dung deposited by grazing animals (pasture, range and paddock manure) (level and trend assessment): 51.9 percent of emissions from </w:t>
      </w:r>
      <w:r w:rsidRPr="0028033B">
        <w:rPr>
          <w:i/>
          <w:iCs/>
        </w:rPr>
        <w:t>Agricultural soils</w:t>
      </w:r>
    </w:p>
    <w:p w14:paraId="7A21AE01" w14:textId="77777777" w:rsidR="00E46639" w:rsidRPr="0028033B" w:rsidRDefault="00E46639" w:rsidP="00E46639">
      <w:pPr>
        <w:pStyle w:val="Bullet"/>
        <w:numPr>
          <w:ilvl w:val="0"/>
          <w:numId w:val="25"/>
        </w:numPr>
      </w:pPr>
      <w:r w:rsidRPr="0028033B">
        <w:t xml:space="preserve">direct emissions from synthetic nitrogen fertiliser (level and trend assessment): 15.5 percent of </w:t>
      </w:r>
      <w:r w:rsidRPr="0028033B">
        <w:rPr>
          <w:iCs/>
        </w:rPr>
        <w:t xml:space="preserve">emissions </w:t>
      </w:r>
      <w:r w:rsidRPr="0028033B">
        <w:t xml:space="preserve">from </w:t>
      </w:r>
      <w:r w:rsidRPr="0028033B">
        <w:rPr>
          <w:i/>
          <w:iCs/>
        </w:rPr>
        <w:t>Agricultural soils</w:t>
      </w:r>
    </w:p>
    <w:p w14:paraId="791D669A" w14:textId="77777777" w:rsidR="00E46639" w:rsidRPr="0028033B" w:rsidRDefault="00E46639" w:rsidP="00E46639">
      <w:pPr>
        <w:pStyle w:val="Bullet"/>
        <w:numPr>
          <w:ilvl w:val="0"/>
          <w:numId w:val="25"/>
        </w:numPr>
      </w:pPr>
      <w:r w:rsidRPr="0028033B">
        <w:t xml:space="preserve">indirect emissions from volatilisation (level assessment): 12.1 percent of emissions from </w:t>
      </w:r>
      <w:r w:rsidRPr="0028033B">
        <w:rPr>
          <w:i/>
          <w:iCs/>
        </w:rPr>
        <w:t>Agricultural soils</w:t>
      </w:r>
    </w:p>
    <w:p w14:paraId="77F62717" w14:textId="77777777" w:rsidR="00E46639" w:rsidRPr="0028033B" w:rsidRDefault="00E46639" w:rsidP="00E46639">
      <w:pPr>
        <w:pStyle w:val="Bullet"/>
        <w:numPr>
          <w:ilvl w:val="0"/>
          <w:numId w:val="25"/>
        </w:numPr>
      </w:pPr>
      <w:r w:rsidRPr="0028033B">
        <w:t>direct emissions from managed organic soils (level and trend assessment): 9.6 percent</w:t>
      </w:r>
      <w:r w:rsidRPr="0028033B" w:rsidDel="00C07FB2">
        <w:t xml:space="preserve"> </w:t>
      </w:r>
      <w:r w:rsidRPr="0028033B">
        <w:t xml:space="preserve">of emissions from </w:t>
      </w:r>
      <w:r w:rsidRPr="0028033B">
        <w:rPr>
          <w:i/>
          <w:iCs/>
        </w:rPr>
        <w:t>Agricultural soils</w:t>
      </w:r>
    </w:p>
    <w:p w14:paraId="39469504" w14:textId="77777777" w:rsidR="00E46639" w:rsidRPr="0028033B" w:rsidRDefault="00E46639" w:rsidP="00E46639">
      <w:pPr>
        <w:pStyle w:val="Bullet"/>
        <w:numPr>
          <w:ilvl w:val="0"/>
          <w:numId w:val="25"/>
        </w:numPr>
      </w:pPr>
      <w:r w:rsidRPr="0028033B">
        <w:t>indirect emissions from leaching and runoff (level assessment): 7.8 percent</w:t>
      </w:r>
      <w:r w:rsidRPr="0028033B" w:rsidDel="00C07FB2">
        <w:t xml:space="preserve"> </w:t>
      </w:r>
      <w:r w:rsidRPr="0028033B">
        <w:t xml:space="preserve">of emissions from </w:t>
      </w:r>
      <w:r w:rsidRPr="0028033B">
        <w:rPr>
          <w:i/>
          <w:iCs/>
        </w:rPr>
        <w:t>Agricultural soils</w:t>
      </w:r>
    </w:p>
    <w:p w14:paraId="63CF9770" w14:textId="77777777" w:rsidR="00E46639" w:rsidRPr="0028033B" w:rsidRDefault="00E46639" w:rsidP="00E46639">
      <w:pPr>
        <w:pStyle w:val="Bullet"/>
        <w:numPr>
          <w:ilvl w:val="0"/>
          <w:numId w:val="25"/>
        </w:numPr>
      </w:pPr>
      <w:r w:rsidRPr="0028033B">
        <w:t>direct emissions from crop residues (level assessment): 2.1 percent</w:t>
      </w:r>
      <w:r w:rsidRPr="0028033B" w:rsidDel="00C07FB2">
        <w:t xml:space="preserve"> </w:t>
      </w:r>
      <w:r w:rsidRPr="0028033B">
        <w:t xml:space="preserve">of emissions from </w:t>
      </w:r>
      <w:r w:rsidRPr="0028033B">
        <w:rPr>
          <w:i/>
          <w:iCs/>
        </w:rPr>
        <w:t>Agricultural soils</w:t>
      </w:r>
      <w:r w:rsidRPr="0028033B" w:rsidDel="00A96EB9">
        <w:t>.</w:t>
      </w:r>
    </w:p>
    <w:p w14:paraId="2DF18D7D" w14:textId="77777777" w:rsidR="00E46639" w:rsidRPr="0028033B" w:rsidRDefault="00E46639" w:rsidP="00E46639">
      <w:pPr>
        <w:pStyle w:val="Heading5"/>
      </w:pPr>
      <w:r w:rsidRPr="0028033B">
        <w:t>Trends</w:t>
      </w:r>
    </w:p>
    <w:p w14:paraId="26CDBA2C" w14:textId="77777777" w:rsidR="00E46639" w:rsidRPr="0028033B" w:rsidRDefault="00E46639" w:rsidP="00E46639">
      <w:pPr>
        <w:pStyle w:val="BodyText"/>
      </w:pPr>
      <w:r w:rsidRPr="0028033B">
        <w:t xml:space="preserve">Emissions from </w:t>
      </w:r>
      <w:r w:rsidRPr="0028033B">
        <w:rPr>
          <w:i/>
          <w:iCs/>
        </w:rPr>
        <w:t xml:space="preserve">Agricultural soils </w:t>
      </w:r>
      <w:r w:rsidRPr="0028033B">
        <w:t>increased 37.4 percent (1,667.1 kt CO</w:t>
      </w:r>
      <w:r w:rsidRPr="0028033B">
        <w:rPr>
          <w:vertAlign w:val="subscript"/>
        </w:rPr>
        <w:t>2</w:t>
      </w:r>
      <w:r w:rsidRPr="0028033B">
        <w:t>e) between 1990 and 2024 and decreased 1.1 percent (65.3 kt CO</w:t>
      </w:r>
      <w:r w:rsidRPr="0028033B">
        <w:rPr>
          <w:vertAlign w:val="subscript"/>
        </w:rPr>
        <w:t>2</w:t>
      </w:r>
      <w:r w:rsidRPr="0028033B">
        <w:t xml:space="preserve">e) between 2005 and 2024. Increases in the use of synthetic nitrogen fertiliser and in the dairy cattle population are the predominant drivers of increasing emissions from </w:t>
      </w:r>
      <w:r w:rsidRPr="0028033B">
        <w:rPr>
          <w:i/>
          <w:iCs/>
        </w:rPr>
        <w:t>Agricultural soils</w:t>
      </w:r>
      <w:r w:rsidRPr="0028033B">
        <w:t>, which have been partially offset by decreases in the sheep and non-dairy cattle populations.</w:t>
      </w:r>
    </w:p>
    <w:p w14:paraId="3D6BE195" w14:textId="77777777" w:rsidR="00E46639" w:rsidRPr="0028033B" w:rsidRDefault="00E46639" w:rsidP="00E46639">
      <w:pPr>
        <w:pStyle w:val="BodyText"/>
      </w:pPr>
      <w:r w:rsidRPr="0028033B">
        <w:t>Trends from 1990</w:t>
      </w:r>
      <w:r w:rsidRPr="0028033B" w:rsidDel="00C9508B">
        <w:t xml:space="preserve"> </w:t>
      </w:r>
      <w:r w:rsidRPr="0028033B">
        <w:t xml:space="preserve">to 2024 across the key categories in </w:t>
      </w:r>
      <w:r w:rsidRPr="0028033B">
        <w:rPr>
          <w:i/>
          <w:iCs/>
        </w:rPr>
        <w:t xml:space="preserve">Agricultural soils </w:t>
      </w:r>
      <w:r w:rsidRPr="0028033B">
        <w:t>are detailed below:</w:t>
      </w:r>
    </w:p>
    <w:p w14:paraId="6EB9E26C" w14:textId="77777777" w:rsidR="00E46639" w:rsidRPr="0028033B" w:rsidRDefault="00E46639" w:rsidP="00E46639">
      <w:pPr>
        <w:pStyle w:val="Bullet"/>
        <w:numPr>
          <w:ilvl w:val="0"/>
          <w:numId w:val="25"/>
        </w:numPr>
        <w:rPr>
          <w:spacing w:val="-2"/>
        </w:rPr>
      </w:pPr>
      <w:r w:rsidRPr="0028033B">
        <w:t>direct emissions from urine and dung deposited by grazing animals (pasture, range and paddock manure) (level and trend assessment): 22.8 percent (591.3 kt CO</w:t>
      </w:r>
      <w:r w:rsidRPr="0028033B">
        <w:rPr>
          <w:vertAlign w:val="subscript"/>
        </w:rPr>
        <w:t>2</w:t>
      </w:r>
      <w:r w:rsidRPr="0028033B">
        <w:t>e) increase</w:t>
      </w:r>
    </w:p>
    <w:p w14:paraId="6C304C82" w14:textId="77777777" w:rsidR="00E46639" w:rsidRPr="0028033B" w:rsidRDefault="00E46639" w:rsidP="00E46639">
      <w:pPr>
        <w:pStyle w:val="Bullet"/>
        <w:numPr>
          <w:ilvl w:val="0"/>
          <w:numId w:val="25"/>
        </w:numPr>
        <w:rPr>
          <w:spacing w:val="-2"/>
        </w:rPr>
      </w:pPr>
      <w:r w:rsidRPr="0028033B">
        <w:t>direct emissions from synthetic nitrogen fertiliser (level and trend assessment): 553.0 percent (805.2 kt CO</w:t>
      </w:r>
      <w:r w:rsidRPr="0028033B">
        <w:rPr>
          <w:vertAlign w:val="subscript"/>
        </w:rPr>
        <w:t>2</w:t>
      </w:r>
      <w:r w:rsidRPr="0028033B">
        <w:t>e) increase</w:t>
      </w:r>
    </w:p>
    <w:p w14:paraId="13F3FA0F" w14:textId="77777777" w:rsidR="00E46639" w:rsidRPr="0028033B" w:rsidRDefault="00E46639" w:rsidP="00E46639">
      <w:pPr>
        <w:pStyle w:val="Bullet"/>
        <w:numPr>
          <w:ilvl w:val="0"/>
          <w:numId w:val="25"/>
        </w:numPr>
        <w:rPr>
          <w:spacing w:val="-2"/>
        </w:rPr>
      </w:pPr>
      <w:r w:rsidRPr="0028033B">
        <w:t>indirect emissions from volatilisation (level assessment): 16.6 percent (105.3 kt CO</w:t>
      </w:r>
      <w:r w:rsidRPr="0028033B">
        <w:rPr>
          <w:vertAlign w:val="subscript"/>
        </w:rPr>
        <w:t>2</w:t>
      </w:r>
      <w:r w:rsidRPr="0028033B">
        <w:t>e) increase</w:t>
      </w:r>
    </w:p>
    <w:p w14:paraId="11CCDB68" w14:textId="77777777" w:rsidR="00E46639" w:rsidRPr="0028033B" w:rsidRDefault="00E46639" w:rsidP="00E46639">
      <w:pPr>
        <w:pStyle w:val="Bullet"/>
        <w:numPr>
          <w:ilvl w:val="0"/>
          <w:numId w:val="25"/>
        </w:numPr>
        <w:rPr>
          <w:spacing w:val="-2"/>
        </w:rPr>
      </w:pPr>
      <w:r w:rsidRPr="0028033B">
        <w:t>direct emissions from management of organic soils (level and trend assessment): 1.1 percent (6.4 kt CO</w:t>
      </w:r>
      <w:r w:rsidRPr="0028033B">
        <w:rPr>
          <w:vertAlign w:val="subscript"/>
        </w:rPr>
        <w:t>2</w:t>
      </w:r>
      <w:r w:rsidRPr="0028033B">
        <w:t>e) increase</w:t>
      </w:r>
    </w:p>
    <w:p w14:paraId="7B09E2F8" w14:textId="77777777" w:rsidR="00E46639" w:rsidRPr="0028033B" w:rsidRDefault="00E46639" w:rsidP="00E46639">
      <w:pPr>
        <w:pStyle w:val="Bullet"/>
        <w:numPr>
          <w:ilvl w:val="0"/>
          <w:numId w:val="25"/>
        </w:numPr>
        <w:rPr>
          <w:spacing w:val="-2"/>
        </w:rPr>
      </w:pPr>
      <w:r w:rsidRPr="0028033B">
        <w:t>indirect emissions from leaching and runoff (level assessment): 21.6 percent (84.6 kt CO</w:t>
      </w:r>
      <w:r w:rsidRPr="0028033B">
        <w:rPr>
          <w:vertAlign w:val="subscript"/>
        </w:rPr>
        <w:t>2</w:t>
      </w:r>
      <w:r w:rsidRPr="0028033B">
        <w:t>e) increase</w:t>
      </w:r>
    </w:p>
    <w:p w14:paraId="45553B28" w14:textId="77777777" w:rsidR="00E46639" w:rsidRPr="0028033B" w:rsidRDefault="00E46639" w:rsidP="00E46639">
      <w:pPr>
        <w:pStyle w:val="Bullet"/>
        <w:numPr>
          <w:ilvl w:val="0"/>
          <w:numId w:val="25"/>
        </w:numPr>
        <w:rPr>
          <w:spacing w:val="-2"/>
        </w:rPr>
      </w:pPr>
      <w:r w:rsidRPr="0028033B">
        <w:t>direct emissions from crop residues (level assessment): 39.9 percent (37.4 kt CO</w:t>
      </w:r>
      <w:r w:rsidRPr="0028033B">
        <w:rPr>
          <w:vertAlign w:val="subscript"/>
        </w:rPr>
        <w:t>2</w:t>
      </w:r>
      <w:r w:rsidRPr="0028033B">
        <w:t>e) increase.</w:t>
      </w:r>
    </w:p>
    <w:p w14:paraId="71CB3922" w14:textId="77777777" w:rsidR="00E46639" w:rsidRPr="0028033B" w:rsidRDefault="00E46639" w:rsidP="00E46639">
      <w:pPr>
        <w:pStyle w:val="BodyText"/>
      </w:pPr>
      <w:r w:rsidRPr="0028033B">
        <w:t xml:space="preserve">Trends from 2005 to 2024 across the key categories in </w:t>
      </w:r>
      <w:r w:rsidRPr="0028033B">
        <w:rPr>
          <w:i/>
          <w:iCs/>
        </w:rPr>
        <w:t xml:space="preserve">Agricultural soils </w:t>
      </w:r>
      <w:r w:rsidRPr="0028033B">
        <w:t>are detailed below:</w:t>
      </w:r>
    </w:p>
    <w:p w14:paraId="1C5BB1C2" w14:textId="77777777" w:rsidR="00E46639" w:rsidRPr="0028033B" w:rsidRDefault="00E46639" w:rsidP="00E46639">
      <w:pPr>
        <w:pStyle w:val="Bullet"/>
        <w:numPr>
          <w:ilvl w:val="0"/>
          <w:numId w:val="25"/>
        </w:numPr>
        <w:rPr>
          <w:spacing w:val="-2"/>
        </w:rPr>
      </w:pPr>
      <w:r w:rsidRPr="0028033B">
        <w:t>direct emissions from urine and dung deposited by grazing animals (pasture, range and paddock manure) (level and trend assessment): 1.2 percent (38.2 kt CO</w:t>
      </w:r>
      <w:r w:rsidRPr="0028033B">
        <w:rPr>
          <w:vertAlign w:val="subscript"/>
        </w:rPr>
        <w:t>2</w:t>
      </w:r>
      <w:r w:rsidRPr="0028033B">
        <w:t>e) decrease</w:t>
      </w:r>
    </w:p>
    <w:p w14:paraId="04BF223E" w14:textId="77777777" w:rsidR="00E46639" w:rsidRPr="0028033B" w:rsidRDefault="00E46639" w:rsidP="00E46639">
      <w:pPr>
        <w:pStyle w:val="Bullet"/>
        <w:numPr>
          <w:ilvl w:val="0"/>
          <w:numId w:val="25"/>
        </w:numPr>
        <w:rPr>
          <w:spacing w:val="-2"/>
        </w:rPr>
      </w:pPr>
      <w:r w:rsidRPr="0028033B">
        <w:t>direct emissions from synthetic nitrogen fertiliser (level and trend assessment): 9.0 percent (78.6 kt CO</w:t>
      </w:r>
      <w:r w:rsidRPr="0028033B">
        <w:rPr>
          <w:vertAlign w:val="subscript"/>
        </w:rPr>
        <w:t>2</w:t>
      </w:r>
      <w:r w:rsidRPr="0028033B">
        <w:t>e) increase</w:t>
      </w:r>
    </w:p>
    <w:p w14:paraId="339151EE" w14:textId="77777777" w:rsidR="00E46639" w:rsidRPr="0028033B" w:rsidRDefault="00E46639" w:rsidP="00E46639">
      <w:pPr>
        <w:pStyle w:val="Bullet"/>
        <w:numPr>
          <w:ilvl w:val="0"/>
          <w:numId w:val="25"/>
        </w:numPr>
        <w:rPr>
          <w:spacing w:val="-2"/>
        </w:rPr>
      </w:pPr>
      <w:r w:rsidRPr="0028033B">
        <w:t>indirect emissions from volatilisation (level assessment): 10.7 percent (88.7 kt CO</w:t>
      </w:r>
      <w:r w:rsidRPr="0028033B">
        <w:rPr>
          <w:vertAlign w:val="subscript"/>
        </w:rPr>
        <w:t>2</w:t>
      </w:r>
      <w:r w:rsidRPr="0028033B">
        <w:t>e) decrease</w:t>
      </w:r>
    </w:p>
    <w:p w14:paraId="6900F425" w14:textId="77777777" w:rsidR="00E46639" w:rsidRPr="0028033B" w:rsidRDefault="00E46639" w:rsidP="00E46639">
      <w:pPr>
        <w:pStyle w:val="Bullet"/>
        <w:numPr>
          <w:ilvl w:val="0"/>
          <w:numId w:val="25"/>
        </w:numPr>
        <w:rPr>
          <w:spacing w:val="-2"/>
        </w:rPr>
      </w:pPr>
      <w:r w:rsidRPr="0028033B">
        <w:t>direct emissions from management of organic soils (level and trend assessment): 0.5 percent (3.0 kt CO</w:t>
      </w:r>
      <w:r w:rsidRPr="0028033B">
        <w:rPr>
          <w:vertAlign w:val="subscript"/>
        </w:rPr>
        <w:t>2</w:t>
      </w:r>
      <w:r w:rsidRPr="0028033B">
        <w:t>e) increase</w:t>
      </w:r>
    </w:p>
    <w:p w14:paraId="64A323BA" w14:textId="77777777" w:rsidR="00E46639" w:rsidRPr="0028033B" w:rsidRDefault="00E46639" w:rsidP="00E46639">
      <w:pPr>
        <w:pStyle w:val="Bullet"/>
        <w:numPr>
          <w:ilvl w:val="0"/>
          <w:numId w:val="25"/>
        </w:numPr>
        <w:rPr>
          <w:spacing w:val="-2"/>
        </w:rPr>
      </w:pPr>
      <w:r w:rsidRPr="0028033B">
        <w:t>indirect emissions from leaching and runoff (level assessment): 7.4 percent (38.3 kt CO</w:t>
      </w:r>
      <w:r w:rsidRPr="0028033B">
        <w:rPr>
          <w:vertAlign w:val="subscript"/>
        </w:rPr>
        <w:t>2</w:t>
      </w:r>
      <w:r w:rsidRPr="0028033B">
        <w:t>e) decrease</w:t>
      </w:r>
    </w:p>
    <w:p w14:paraId="619E932D" w14:textId="77777777" w:rsidR="00E46639" w:rsidRPr="0028033B" w:rsidRDefault="00E46639" w:rsidP="00E46639">
      <w:pPr>
        <w:pStyle w:val="Bullet"/>
        <w:numPr>
          <w:ilvl w:val="0"/>
          <w:numId w:val="25"/>
        </w:numPr>
        <w:rPr>
          <w:spacing w:val="-2"/>
        </w:rPr>
      </w:pPr>
      <w:r w:rsidRPr="0028033B">
        <w:t>direct emissions from crop residues (level assessment): 2.6 percent (3.6 kt CO</w:t>
      </w:r>
      <w:r w:rsidRPr="0028033B">
        <w:rPr>
          <w:vertAlign w:val="subscript"/>
        </w:rPr>
        <w:t>2</w:t>
      </w:r>
      <w:r w:rsidRPr="0028033B">
        <w:t>e) decrease.</w:t>
      </w:r>
    </w:p>
    <w:p w14:paraId="1B8101D0" w14:textId="77777777" w:rsidR="00E46639" w:rsidRPr="0028033B" w:rsidRDefault="00E46639" w:rsidP="00E46639">
      <w:pPr>
        <w:pStyle w:val="BodyText"/>
      </w:pPr>
      <w:r w:rsidRPr="0028033B">
        <w:t>Table 5.5.1 shows the trends and relative contribution of N</w:t>
      </w:r>
      <w:r w:rsidRPr="0028033B">
        <w:rPr>
          <w:vertAlign w:val="subscript"/>
        </w:rPr>
        <w:t>2</w:t>
      </w:r>
      <w:r w:rsidRPr="0028033B">
        <w:t>O emissions from these categories between 1990 and 2024.</w:t>
      </w:r>
    </w:p>
    <w:p w14:paraId="3F2F4195" w14:textId="77777777" w:rsidR="00E46639" w:rsidRPr="0028033B" w:rsidRDefault="00E46639" w:rsidP="00E46639">
      <w:pPr>
        <w:pStyle w:val="Table"/>
        <w:rPr>
          <w:rFonts w:cs="Calibri"/>
        </w:rPr>
      </w:pPr>
      <w:bookmarkStart w:id="1134" w:name="_Toc481751521"/>
      <w:bookmarkStart w:id="1135" w:name="_Toc507158609"/>
      <w:bookmarkStart w:id="1136" w:name="_Toc511116743"/>
      <w:bookmarkStart w:id="1137" w:name="_Toc5269485"/>
      <w:bookmarkStart w:id="1138" w:name="_Toc32570927"/>
      <w:bookmarkStart w:id="1139" w:name="_Toc36224562"/>
      <w:bookmarkStart w:id="1140" w:name="_Toc68786447"/>
      <w:bookmarkStart w:id="1141" w:name="_Toc95574080"/>
      <w:bookmarkStart w:id="1142" w:name="_Toc127458267"/>
      <w:bookmarkStart w:id="1143" w:name="_Toc131591363"/>
      <w:bookmarkStart w:id="1144" w:name="_Toc160114457"/>
      <w:bookmarkStart w:id="1145" w:name="_Toc164153853"/>
      <w:bookmarkStart w:id="1146" w:name="_Toc222407646"/>
      <w:bookmarkStart w:id="1147" w:name="_Toc226669021"/>
      <w:r w:rsidRPr="0028033B">
        <w:rPr>
          <w:rFonts w:cs="Calibri"/>
        </w:rPr>
        <w:t>Table 5.5.1</w:t>
      </w:r>
      <w:r w:rsidRPr="0028033B">
        <w:rPr>
          <w:rFonts w:cs="Calibri"/>
        </w:rPr>
        <w:tab/>
        <w:t xml:space="preserve">Trends and relative contribution of nitrous oxide emissions from </w:t>
      </w:r>
      <w:r w:rsidRPr="0028033B">
        <w:rPr>
          <w:rFonts w:cs="Calibri"/>
          <w:i/>
          <w:iCs/>
        </w:rPr>
        <w:t>Agricultural soils</w:t>
      </w:r>
      <w:r w:rsidRPr="0028033B">
        <w:rPr>
          <w:rFonts w:cs="Calibri"/>
        </w:rPr>
        <w:t xml:space="preserve"> categories between 1990, 2005 and </w:t>
      </w:r>
      <w:bookmarkEnd w:id="1134"/>
      <w:bookmarkEnd w:id="1135"/>
      <w:bookmarkEnd w:id="1136"/>
      <w:bookmarkEnd w:id="1137"/>
      <w:bookmarkEnd w:id="1138"/>
      <w:bookmarkEnd w:id="1139"/>
      <w:bookmarkEnd w:id="1140"/>
      <w:bookmarkEnd w:id="1141"/>
      <w:bookmarkEnd w:id="1142"/>
      <w:bookmarkEnd w:id="1143"/>
      <w:bookmarkEnd w:id="1144"/>
      <w:bookmarkEnd w:id="1145"/>
      <w:r w:rsidRPr="0028033B">
        <w:rPr>
          <w:rFonts w:cs="Calibri"/>
        </w:rPr>
        <w:t>2024</w:t>
      </w:r>
      <w:bookmarkEnd w:id="1146"/>
      <w:bookmarkEnd w:id="1147"/>
    </w:p>
    <w:tbl>
      <w:tblPr>
        <w:tblW w:w="8510"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709"/>
        <w:gridCol w:w="1418"/>
        <w:gridCol w:w="618"/>
        <w:gridCol w:w="708"/>
        <w:gridCol w:w="635"/>
        <w:gridCol w:w="756"/>
        <w:gridCol w:w="508"/>
        <w:gridCol w:w="757"/>
        <w:gridCol w:w="507"/>
        <w:gridCol w:w="884"/>
        <w:gridCol w:w="1010"/>
      </w:tblGrid>
      <w:tr w:rsidR="00E46639" w:rsidRPr="0028033B" w14:paraId="6DDF2C89" w14:textId="77777777" w:rsidTr="00F16E23">
        <w:trPr>
          <w:tblHeader/>
        </w:trPr>
        <w:tc>
          <w:tcPr>
            <w:tcW w:w="2127" w:type="dxa"/>
            <w:gridSpan w:val="2"/>
            <w:tcBorders>
              <w:bottom w:val="single" w:sz="4" w:space="0" w:color="1B556B" w:themeColor="text2"/>
            </w:tcBorders>
            <w:shd w:val="clear" w:color="auto" w:fill="1B556B"/>
            <w:vAlign w:val="bottom"/>
          </w:tcPr>
          <w:p w14:paraId="12F3D3BD" w14:textId="77777777" w:rsidR="00E46639" w:rsidRPr="0028033B" w:rsidRDefault="00E46639" w:rsidP="00F16E23">
            <w:pPr>
              <w:pStyle w:val="TableTextBold"/>
              <w:spacing w:after="0"/>
              <w:rPr>
                <w:rFonts w:cs="Calibri"/>
                <w:noProof w:val="0"/>
                <w:color w:val="FFFFFF" w:themeColor="background1"/>
                <w:sz w:val="15"/>
                <w:szCs w:val="15"/>
              </w:rPr>
            </w:pPr>
          </w:p>
        </w:tc>
        <w:tc>
          <w:tcPr>
            <w:tcW w:w="1961" w:type="dxa"/>
            <w:gridSpan w:val="3"/>
            <w:tcBorders>
              <w:bottom w:val="single" w:sz="4" w:space="0" w:color="1B556B" w:themeColor="text2"/>
            </w:tcBorders>
            <w:shd w:val="clear" w:color="auto" w:fill="1B556B"/>
            <w:vAlign w:val="bottom"/>
          </w:tcPr>
          <w:p w14:paraId="2F0EAEA3" w14:textId="77777777" w:rsidR="00E46639" w:rsidRPr="0028033B" w:rsidRDefault="00E46639" w:rsidP="00F16E23">
            <w:pPr>
              <w:pStyle w:val="TableTextBold"/>
              <w:spacing w:after="0"/>
              <w:jc w:val="right"/>
              <w:rPr>
                <w:rFonts w:cs="Calibri"/>
                <w:noProof w:val="0"/>
                <w:color w:val="FFFFFF" w:themeColor="background1"/>
                <w:sz w:val="15"/>
                <w:szCs w:val="15"/>
              </w:rPr>
            </w:pPr>
            <w:r w:rsidRPr="0028033B">
              <w:rPr>
                <w:rFonts w:cs="Calibri"/>
                <w:noProof w:val="0"/>
                <w:color w:val="FFFFFF" w:themeColor="background1"/>
                <w:sz w:val="15"/>
                <w:szCs w:val="15"/>
              </w:rPr>
              <w:t xml:space="preserve">Emissions </w:t>
            </w:r>
            <w:r w:rsidRPr="0028033B">
              <w:rPr>
                <w:rFonts w:cs="Calibri"/>
                <w:noProof w:val="0"/>
                <w:color w:val="FFFFFF" w:themeColor="background1"/>
                <w:sz w:val="15"/>
                <w:szCs w:val="15"/>
              </w:rPr>
              <w:br/>
              <w:t>(kt CO</w:t>
            </w:r>
            <w:r w:rsidRPr="0028033B">
              <w:rPr>
                <w:rFonts w:cs="Calibri"/>
                <w:noProof w:val="0"/>
                <w:color w:val="FFFFFF" w:themeColor="background1"/>
                <w:sz w:val="15"/>
                <w:szCs w:val="15"/>
                <w:vertAlign w:val="subscript"/>
              </w:rPr>
              <w:t>2</w:t>
            </w:r>
            <w:r w:rsidRPr="0028033B">
              <w:rPr>
                <w:rFonts w:cs="Calibri"/>
                <w:noProof w:val="0"/>
                <w:color w:val="FFFFFF" w:themeColor="background1"/>
                <w:sz w:val="15"/>
                <w:szCs w:val="15"/>
              </w:rPr>
              <w:t>e)</w:t>
            </w:r>
          </w:p>
        </w:tc>
        <w:tc>
          <w:tcPr>
            <w:tcW w:w="1264" w:type="dxa"/>
            <w:gridSpan w:val="2"/>
            <w:tcBorders>
              <w:bottom w:val="single" w:sz="4" w:space="0" w:color="1B556B" w:themeColor="text2"/>
            </w:tcBorders>
            <w:shd w:val="clear" w:color="auto" w:fill="1B556B"/>
            <w:vAlign w:val="bottom"/>
          </w:tcPr>
          <w:p w14:paraId="614E66CC" w14:textId="77777777" w:rsidR="00E46639" w:rsidRPr="0028033B" w:rsidRDefault="00E46639" w:rsidP="00F16E23">
            <w:pPr>
              <w:pStyle w:val="TableTextBold"/>
              <w:spacing w:after="0"/>
              <w:jc w:val="right"/>
              <w:rPr>
                <w:rFonts w:cs="Calibri"/>
                <w:noProof w:val="0"/>
                <w:color w:val="FFFFFF" w:themeColor="background1"/>
                <w:sz w:val="15"/>
                <w:szCs w:val="15"/>
              </w:rPr>
            </w:pPr>
            <w:r w:rsidRPr="0028033B">
              <w:rPr>
                <w:rFonts w:cs="Calibri"/>
                <w:noProof w:val="0"/>
                <w:color w:val="FFFFFF" w:themeColor="background1"/>
                <w:sz w:val="15"/>
                <w:szCs w:val="15"/>
              </w:rPr>
              <w:t xml:space="preserve">Change from </w:t>
            </w:r>
            <w:r w:rsidRPr="0028033B">
              <w:rPr>
                <w:rFonts w:cs="Calibri"/>
                <w:noProof w:val="0"/>
                <w:color w:val="FFFFFF" w:themeColor="background1"/>
                <w:sz w:val="15"/>
                <w:szCs w:val="15"/>
              </w:rPr>
              <w:br/>
              <w:t>1990–2024</w:t>
            </w:r>
          </w:p>
        </w:tc>
        <w:tc>
          <w:tcPr>
            <w:tcW w:w="1264" w:type="dxa"/>
            <w:gridSpan w:val="2"/>
            <w:tcBorders>
              <w:bottom w:val="single" w:sz="4" w:space="0" w:color="1B556B" w:themeColor="text2"/>
            </w:tcBorders>
            <w:shd w:val="clear" w:color="auto" w:fill="1B556B"/>
            <w:vAlign w:val="bottom"/>
          </w:tcPr>
          <w:p w14:paraId="17CA9A2C" w14:textId="77777777" w:rsidR="00E46639" w:rsidRPr="0028033B" w:rsidRDefault="00E46639" w:rsidP="00F16E23">
            <w:pPr>
              <w:pStyle w:val="TableTextBold"/>
              <w:spacing w:after="0"/>
              <w:jc w:val="right"/>
              <w:rPr>
                <w:rFonts w:cs="Calibri"/>
                <w:noProof w:val="0"/>
                <w:color w:val="FFFFFF" w:themeColor="background1"/>
                <w:sz w:val="15"/>
                <w:szCs w:val="15"/>
              </w:rPr>
            </w:pPr>
            <w:r w:rsidRPr="0028033B">
              <w:rPr>
                <w:rFonts w:cs="Calibri"/>
                <w:noProof w:val="0"/>
                <w:color w:val="FFFFFF" w:themeColor="background1"/>
                <w:sz w:val="15"/>
                <w:szCs w:val="15"/>
              </w:rPr>
              <w:t xml:space="preserve">Change from </w:t>
            </w:r>
            <w:r w:rsidRPr="0028033B">
              <w:rPr>
                <w:rFonts w:cs="Calibri"/>
                <w:noProof w:val="0"/>
                <w:color w:val="FFFFFF" w:themeColor="background1"/>
                <w:sz w:val="15"/>
                <w:szCs w:val="15"/>
              </w:rPr>
              <w:br/>
              <w:t>2005–2024</w:t>
            </w:r>
          </w:p>
        </w:tc>
        <w:tc>
          <w:tcPr>
            <w:tcW w:w="884" w:type="dxa"/>
            <w:tcBorders>
              <w:bottom w:val="single" w:sz="4" w:space="0" w:color="1B556B" w:themeColor="text2"/>
            </w:tcBorders>
            <w:shd w:val="clear" w:color="auto" w:fill="1B556B"/>
            <w:vAlign w:val="bottom"/>
          </w:tcPr>
          <w:p w14:paraId="52893957" w14:textId="77777777" w:rsidR="00E46639" w:rsidRPr="0028033B" w:rsidRDefault="00E46639" w:rsidP="00F16E23">
            <w:pPr>
              <w:pStyle w:val="TableTextBold"/>
              <w:spacing w:after="0"/>
              <w:jc w:val="right"/>
              <w:rPr>
                <w:rFonts w:cs="Calibri"/>
                <w:noProof w:val="0"/>
                <w:color w:val="FFFFFF" w:themeColor="background1"/>
                <w:sz w:val="15"/>
                <w:szCs w:val="15"/>
              </w:rPr>
            </w:pPr>
            <w:r w:rsidRPr="0028033B">
              <w:rPr>
                <w:rFonts w:cs="Calibri"/>
                <w:noProof w:val="0"/>
                <w:color w:val="FFFFFF" w:themeColor="background1"/>
                <w:sz w:val="15"/>
                <w:szCs w:val="15"/>
              </w:rPr>
              <w:t xml:space="preserve">Share of </w:t>
            </w:r>
            <w:r w:rsidRPr="0028033B">
              <w:rPr>
                <w:rFonts w:cs="Calibri"/>
                <w:i/>
                <w:iCs/>
                <w:noProof w:val="0"/>
                <w:color w:val="FFFFFF" w:themeColor="background1"/>
                <w:sz w:val="15"/>
                <w:szCs w:val="15"/>
              </w:rPr>
              <w:t>Agricultural soils</w:t>
            </w:r>
            <w:r w:rsidRPr="0028033B">
              <w:rPr>
                <w:rFonts w:cs="Calibri"/>
                <w:noProof w:val="0"/>
                <w:color w:val="FFFFFF" w:themeColor="background1"/>
                <w:sz w:val="15"/>
                <w:szCs w:val="15"/>
              </w:rPr>
              <w:t xml:space="preserve"> category</w:t>
            </w:r>
          </w:p>
        </w:tc>
        <w:tc>
          <w:tcPr>
            <w:tcW w:w="1010" w:type="dxa"/>
            <w:tcBorders>
              <w:bottom w:val="single" w:sz="4" w:space="0" w:color="1B556B" w:themeColor="text2"/>
            </w:tcBorders>
            <w:shd w:val="clear" w:color="auto" w:fill="1B556B" w:themeFill="text2"/>
            <w:vAlign w:val="bottom"/>
          </w:tcPr>
          <w:p w14:paraId="756990A6" w14:textId="77777777" w:rsidR="00E46639" w:rsidRPr="0028033B" w:rsidRDefault="00E46639" w:rsidP="00F16E23">
            <w:pPr>
              <w:pStyle w:val="TableTextBold"/>
              <w:spacing w:after="0"/>
              <w:jc w:val="right"/>
              <w:rPr>
                <w:rFonts w:cs="Calibri"/>
                <w:noProof w:val="0"/>
                <w:color w:val="FFFFFF" w:themeColor="background1"/>
                <w:sz w:val="15"/>
                <w:szCs w:val="15"/>
              </w:rPr>
            </w:pPr>
            <w:r w:rsidRPr="0028033B">
              <w:rPr>
                <w:rFonts w:cs="Calibri"/>
                <w:noProof w:val="0"/>
                <w:color w:val="FFFFFF" w:themeColor="background1"/>
                <w:sz w:val="15"/>
                <w:szCs w:val="15"/>
              </w:rPr>
              <w:t xml:space="preserve">Share of total </w:t>
            </w:r>
            <w:r w:rsidRPr="0028033B">
              <w:rPr>
                <w:rFonts w:cs="Calibri"/>
                <w:noProof w:val="0"/>
                <w:color w:val="FFFFFF" w:themeColor="background1"/>
                <w:sz w:val="15"/>
                <w:szCs w:val="15"/>
              </w:rPr>
              <w:br/>
              <w:t xml:space="preserve">Agriculture sector </w:t>
            </w:r>
          </w:p>
        </w:tc>
      </w:tr>
      <w:tr w:rsidR="00E46639" w:rsidRPr="0028033B" w14:paraId="3D15C4D0" w14:textId="77777777" w:rsidTr="00F16E23">
        <w:tc>
          <w:tcPr>
            <w:tcW w:w="2127" w:type="dxa"/>
            <w:gridSpan w:val="2"/>
            <w:shd w:val="clear" w:color="auto" w:fill="1B556B" w:themeFill="text2"/>
            <w:vAlign w:val="center"/>
          </w:tcPr>
          <w:p w14:paraId="25BC63E8" w14:textId="77777777" w:rsidR="00E46639" w:rsidRPr="0028033B" w:rsidRDefault="00E46639" w:rsidP="00F16E23">
            <w:pPr>
              <w:pStyle w:val="TableText"/>
              <w:spacing w:before="50" w:after="50"/>
              <w:rPr>
                <w:rFonts w:cs="Calibri"/>
                <w:b/>
                <w:bCs/>
                <w:color w:val="000000" w:themeColor="text1"/>
                <w:szCs w:val="16"/>
              </w:rPr>
            </w:pPr>
            <w:r w:rsidRPr="0028033B">
              <w:rPr>
                <w:rFonts w:cs="Calibri"/>
                <w:b/>
                <w:bCs/>
                <w:i/>
                <w:color w:val="FFFFFF" w:themeColor="background1"/>
                <w:sz w:val="15"/>
                <w:szCs w:val="15"/>
              </w:rPr>
              <w:t>Agricultural soils</w:t>
            </w:r>
            <w:r w:rsidRPr="0028033B">
              <w:rPr>
                <w:rFonts w:cs="Calibri"/>
                <w:b/>
                <w:bCs/>
                <w:color w:val="FFFFFF" w:themeColor="background1"/>
                <w:sz w:val="15"/>
                <w:szCs w:val="15"/>
              </w:rPr>
              <w:t xml:space="preserve"> category</w:t>
            </w:r>
          </w:p>
        </w:tc>
        <w:tc>
          <w:tcPr>
            <w:tcW w:w="618" w:type="dxa"/>
            <w:shd w:val="clear" w:color="auto" w:fill="1B556B" w:themeFill="text2"/>
          </w:tcPr>
          <w:p w14:paraId="4751708E"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1990</w:t>
            </w:r>
          </w:p>
        </w:tc>
        <w:tc>
          <w:tcPr>
            <w:tcW w:w="708" w:type="dxa"/>
            <w:shd w:val="clear" w:color="auto" w:fill="1B556B" w:themeFill="text2"/>
          </w:tcPr>
          <w:p w14:paraId="1A57D70C"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2005</w:t>
            </w:r>
          </w:p>
        </w:tc>
        <w:tc>
          <w:tcPr>
            <w:tcW w:w="635" w:type="dxa"/>
            <w:shd w:val="clear" w:color="auto" w:fill="1B556B" w:themeFill="text2"/>
          </w:tcPr>
          <w:p w14:paraId="36E1AA92"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2024</w:t>
            </w:r>
          </w:p>
        </w:tc>
        <w:tc>
          <w:tcPr>
            <w:tcW w:w="756" w:type="dxa"/>
            <w:shd w:val="clear" w:color="auto" w:fill="1B556B" w:themeFill="text2"/>
          </w:tcPr>
          <w:p w14:paraId="0A597A42"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kt CO</w:t>
            </w:r>
            <w:r w:rsidRPr="0028033B">
              <w:rPr>
                <w:rFonts w:cs="Calibri"/>
                <w:b/>
                <w:bCs/>
                <w:color w:val="FFFFFF" w:themeColor="background1"/>
                <w:sz w:val="15"/>
                <w:szCs w:val="15"/>
                <w:vertAlign w:val="subscript"/>
              </w:rPr>
              <w:t>2</w:t>
            </w:r>
            <w:r w:rsidRPr="0028033B">
              <w:rPr>
                <w:rFonts w:cs="Calibri"/>
                <w:b/>
                <w:bCs/>
                <w:color w:val="FFFFFF" w:themeColor="background1"/>
                <w:sz w:val="15"/>
                <w:szCs w:val="15"/>
              </w:rPr>
              <w:t>e</w:t>
            </w:r>
          </w:p>
        </w:tc>
        <w:tc>
          <w:tcPr>
            <w:tcW w:w="508" w:type="dxa"/>
            <w:shd w:val="clear" w:color="auto" w:fill="1B556B" w:themeFill="text2"/>
          </w:tcPr>
          <w:p w14:paraId="25B3F9F0"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w:t>
            </w:r>
          </w:p>
        </w:tc>
        <w:tc>
          <w:tcPr>
            <w:tcW w:w="757" w:type="dxa"/>
            <w:shd w:val="clear" w:color="auto" w:fill="1B556B" w:themeFill="text2"/>
          </w:tcPr>
          <w:p w14:paraId="04883C5D"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kt CO</w:t>
            </w:r>
            <w:r w:rsidRPr="0028033B">
              <w:rPr>
                <w:rFonts w:cs="Calibri"/>
                <w:b/>
                <w:bCs/>
                <w:color w:val="FFFFFF" w:themeColor="background1"/>
                <w:sz w:val="15"/>
                <w:szCs w:val="15"/>
                <w:vertAlign w:val="subscript"/>
              </w:rPr>
              <w:t>2</w:t>
            </w:r>
            <w:r w:rsidRPr="0028033B">
              <w:rPr>
                <w:rFonts w:cs="Calibri"/>
                <w:b/>
                <w:bCs/>
                <w:color w:val="FFFFFF" w:themeColor="background1"/>
                <w:sz w:val="15"/>
                <w:szCs w:val="15"/>
              </w:rPr>
              <w:t>e</w:t>
            </w:r>
          </w:p>
        </w:tc>
        <w:tc>
          <w:tcPr>
            <w:tcW w:w="507" w:type="dxa"/>
            <w:shd w:val="clear" w:color="auto" w:fill="1B556B" w:themeFill="text2"/>
          </w:tcPr>
          <w:p w14:paraId="79807CE5"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w:t>
            </w:r>
          </w:p>
        </w:tc>
        <w:tc>
          <w:tcPr>
            <w:tcW w:w="884" w:type="dxa"/>
            <w:shd w:val="clear" w:color="auto" w:fill="1B556B" w:themeFill="text2"/>
          </w:tcPr>
          <w:p w14:paraId="51445779"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2024 (%)</w:t>
            </w:r>
          </w:p>
        </w:tc>
        <w:tc>
          <w:tcPr>
            <w:tcW w:w="1010" w:type="dxa"/>
            <w:shd w:val="clear" w:color="auto" w:fill="1B556B" w:themeFill="text2"/>
          </w:tcPr>
          <w:p w14:paraId="45DCA794" w14:textId="77777777" w:rsidR="00E46639" w:rsidRPr="0028033B" w:rsidRDefault="00E46639" w:rsidP="00F16E23">
            <w:pPr>
              <w:pStyle w:val="TableText"/>
              <w:spacing w:before="50" w:after="50"/>
              <w:jc w:val="right"/>
              <w:rPr>
                <w:rFonts w:cs="Calibri"/>
                <w:b/>
                <w:bCs/>
                <w:szCs w:val="16"/>
              </w:rPr>
            </w:pPr>
            <w:r w:rsidRPr="0028033B">
              <w:rPr>
                <w:rFonts w:cs="Calibri"/>
                <w:b/>
                <w:bCs/>
                <w:color w:val="FFFFFF" w:themeColor="background1"/>
                <w:sz w:val="15"/>
                <w:szCs w:val="15"/>
              </w:rPr>
              <w:t>2024 (%)</w:t>
            </w:r>
          </w:p>
        </w:tc>
      </w:tr>
      <w:tr w:rsidR="00E46639" w:rsidRPr="0028033B" w14:paraId="3EDE6296" w14:textId="77777777" w:rsidTr="00F16E23">
        <w:tc>
          <w:tcPr>
            <w:tcW w:w="709" w:type="dxa"/>
            <w:vMerge w:val="restart"/>
            <w:vAlign w:val="center"/>
          </w:tcPr>
          <w:p w14:paraId="072C368F"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Direct</w:t>
            </w:r>
          </w:p>
        </w:tc>
        <w:tc>
          <w:tcPr>
            <w:tcW w:w="1418" w:type="dxa"/>
            <w:vAlign w:val="bottom"/>
          </w:tcPr>
          <w:p w14:paraId="4635BB01"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Synthetic nitrogen fertilisers</w:t>
            </w:r>
          </w:p>
        </w:tc>
        <w:tc>
          <w:tcPr>
            <w:tcW w:w="618" w:type="dxa"/>
            <w:vAlign w:val="bottom"/>
          </w:tcPr>
          <w:p w14:paraId="1653F1E7" w14:textId="77777777" w:rsidR="00E46639" w:rsidRPr="0028033B" w:rsidRDefault="00E46639" w:rsidP="00F16E23">
            <w:pPr>
              <w:pStyle w:val="TableText"/>
              <w:spacing w:before="50" w:after="50"/>
              <w:jc w:val="right"/>
              <w:rPr>
                <w:rFonts w:cs="Calibri"/>
                <w:szCs w:val="16"/>
              </w:rPr>
            </w:pPr>
            <w:r w:rsidRPr="0028033B">
              <w:rPr>
                <w:rFonts w:cs="Calibri"/>
                <w:szCs w:val="16"/>
              </w:rPr>
              <w:t>145.6</w:t>
            </w:r>
          </w:p>
        </w:tc>
        <w:tc>
          <w:tcPr>
            <w:tcW w:w="708" w:type="dxa"/>
            <w:vAlign w:val="bottom"/>
          </w:tcPr>
          <w:p w14:paraId="2D73EAE8" w14:textId="77777777" w:rsidR="00E46639" w:rsidRPr="0028033B" w:rsidRDefault="00E46639" w:rsidP="00F16E23">
            <w:pPr>
              <w:pStyle w:val="TableText"/>
              <w:spacing w:before="50" w:after="50"/>
              <w:jc w:val="right"/>
              <w:rPr>
                <w:rFonts w:cs="Calibri"/>
                <w:szCs w:val="16"/>
              </w:rPr>
            </w:pPr>
            <w:r w:rsidRPr="0028033B">
              <w:rPr>
                <w:rFonts w:cs="Calibri"/>
                <w:szCs w:val="16"/>
              </w:rPr>
              <w:t>872.2</w:t>
            </w:r>
          </w:p>
        </w:tc>
        <w:tc>
          <w:tcPr>
            <w:tcW w:w="635" w:type="dxa"/>
            <w:vAlign w:val="bottom"/>
          </w:tcPr>
          <w:p w14:paraId="5307A4C4" w14:textId="77777777" w:rsidR="00E46639" w:rsidRPr="0028033B" w:rsidRDefault="00E46639" w:rsidP="00F16E23">
            <w:pPr>
              <w:pStyle w:val="TableText"/>
              <w:spacing w:before="50" w:after="50"/>
              <w:jc w:val="right"/>
              <w:rPr>
                <w:rFonts w:cs="Calibri"/>
                <w:szCs w:val="16"/>
              </w:rPr>
            </w:pPr>
            <w:r w:rsidRPr="0028033B">
              <w:rPr>
                <w:rFonts w:cs="Calibri"/>
                <w:szCs w:val="16"/>
              </w:rPr>
              <w:t>950.8</w:t>
            </w:r>
          </w:p>
        </w:tc>
        <w:tc>
          <w:tcPr>
            <w:tcW w:w="756" w:type="dxa"/>
            <w:vAlign w:val="bottom"/>
          </w:tcPr>
          <w:p w14:paraId="6748CEEA" w14:textId="77777777" w:rsidR="00E46639" w:rsidRPr="0028033B" w:rsidRDefault="00E46639" w:rsidP="00F16E23">
            <w:pPr>
              <w:pStyle w:val="TableText"/>
              <w:spacing w:before="50" w:after="50"/>
              <w:jc w:val="right"/>
              <w:rPr>
                <w:rFonts w:cs="Calibri"/>
                <w:szCs w:val="16"/>
              </w:rPr>
            </w:pPr>
            <w:r w:rsidRPr="0028033B">
              <w:rPr>
                <w:rFonts w:cs="Calibri"/>
                <w:szCs w:val="16"/>
              </w:rPr>
              <w:t>805.2</w:t>
            </w:r>
          </w:p>
        </w:tc>
        <w:tc>
          <w:tcPr>
            <w:tcW w:w="508" w:type="dxa"/>
            <w:vAlign w:val="bottom"/>
          </w:tcPr>
          <w:p w14:paraId="6F36CD6F" w14:textId="77777777" w:rsidR="00E46639" w:rsidRPr="0028033B" w:rsidRDefault="00E46639" w:rsidP="00F16E23">
            <w:pPr>
              <w:pStyle w:val="TableText"/>
              <w:spacing w:before="50" w:after="50"/>
              <w:jc w:val="right"/>
              <w:rPr>
                <w:rFonts w:cs="Calibri"/>
                <w:szCs w:val="16"/>
              </w:rPr>
            </w:pPr>
            <w:r w:rsidRPr="0028033B">
              <w:rPr>
                <w:rFonts w:cs="Calibri"/>
                <w:szCs w:val="16"/>
              </w:rPr>
              <w:t>553.0</w:t>
            </w:r>
          </w:p>
        </w:tc>
        <w:tc>
          <w:tcPr>
            <w:tcW w:w="757" w:type="dxa"/>
            <w:vAlign w:val="bottom"/>
          </w:tcPr>
          <w:p w14:paraId="247400C7" w14:textId="77777777" w:rsidR="00E46639" w:rsidRPr="0028033B" w:rsidRDefault="00E46639" w:rsidP="00F16E23">
            <w:pPr>
              <w:pStyle w:val="TableText"/>
              <w:spacing w:before="50" w:after="50"/>
              <w:jc w:val="right"/>
              <w:rPr>
                <w:rFonts w:cs="Calibri"/>
                <w:szCs w:val="16"/>
              </w:rPr>
            </w:pPr>
            <w:r w:rsidRPr="0028033B">
              <w:rPr>
                <w:rFonts w:cs="Calibri"/>
                <w:szCs w:val="16"/>
              </w:rPr>
              <w:t>78.6</w:t>
            </w:r>
          </w:p>
        </w:tc>
        <w:tc>
          <w:tcPr>
            <w:tcW w:w="507" w:type="dxa"/>
            <w:vAlign w:val="bottom"/>
          </w:tcPr>
          <w:p w14:paraId="114EAA0A" w14:textId="77777777" w:rsidR="00E46639" w:rsidRPr="0028033B" w:rsidRDefault="00E46639" w:rsidP="00F16E23">
            <w:pPr>
              <w:pStyle w:val="TableText"/>
              <w:spacing w:before="50" w:after="50"/>
              <w:jc w:val="right"/>
              <w:rPr>
                <w:rFonts w:cs="Calibri"/>
                <w:szCs w:val="16"/>
              </w:rPr>
            </w:pPr>
            <w:r w:rsidRPr="0028033B">
              <w:rPr>
                <w:rFonts w:cs="Calibri"/>
                <w:szCs w:val="16"/>
              </w:rPr>
              <w:t>9.0</w:t>
            </w:r>
          </w:p>
        </w:tc>
        <w:tc>
          <w:tcPr>
            <w:tcW w:w="884" w:type="dxa"/>
            <w:vAlign w:val="bottom"/>
          </w:tcPr>
          <w:p w14:paraId="11DDE9A6" w14:textId="77777777" w:rsidR="00E46639" w:rsidRPr="0028033B" w:rsidRDefault="00E46639" w:rsidP="00F16E23">
            <w:pPr>
              <w:pStyle w:val="TableText"/>
              <w:spacing w:before="50" w:after="50"/>
              <w:jc w:val="right"/>
              <w:rPr>
                <w:rFonts w:cs="Calibri"/>
                <w:szCs w:val="16"/>
              </w:rPr>
            </w:pPr>
            <w:r w:rsidRPr="0028033B">
              <w:rPr>
                <w:rFonts w:cs="Calibri"/>
                <w:szCs w:val="16"/>
              </w:rPr>
              <w:t>15.5</w:t>
            </w:r>
          </w:p>
        </w:tc>
        <w:tc>
          <w:tcPr>
            <w:tcW w:w="1010" w:type="dxa"/>
            <w:vAlign w:val="bottom"/>
          </w:tcPr>
          <w:p w14:paraId="095938A2" w14:textId="77777777" w:rsidR="00E46639" w:rsidRPr="0028033B" w:rsidRDefault="00E46639" w:rsidP="00F16E23">
            <w:pPr>
              <w:pStyle w:val="TableText"/>
              <w:spacing w:before="50" w:after="50"/>
              <w:jc w:val="right"/>
              <w:rPr>
                <w:rFonts w:cs="Calibri"/>
                <w:szCs w:val="16"/>
              </w:rPr>
            </w:pPr>
            <w:r w:rsidRPr="0028033B">
              <w:rPr>
                <w:rFonts w:cs="Calibri"/>
                <w:szCs w:val="16"/>
              </w:rPr>
              <w:t>2.4</w:t>
            </w:r>
          </w:p>
        </w:tc>
      </w:tr>
      <w:tr w:rsidR="00E46639" w:rsidRPr="0028033B" w14:paraId="4B1914FB" w14:textId="77777777" w:rsidTr="00F16E23">
        <w:tc>
          <w:tcPr>
            <w:tcW w:w="709" w:type="dxa"/>
            <w:vMerge/>
            <w:vAlign w:val="center"/>
          </w:tcPr>
          <w:p w14:paraId="7478F61F" w14:textId="77777777" w:rsidR="00E46639" w:rsidRPr="0028033B" w:rsidRDefault="00E46639" w:rsidP="00F16E23">
            <w:pPr>
              <w:pStyle w:val="TableText"/>
              <w:spacing w:before="50" w:after="50"/>
              <w:rPr>
                <w:rFonts w:cs="Calibri"/>
                <w:color w:val="000000" w:themeColor="text1"/>
                <w:szCs w:val="16"/>
              </w:rPr>
            </w:pPr>
          </w:p>
        </w:tc>
        <w:tc>
          <w:tcPr>
            <w:tcW w:w="1418" w:type="dxa"/>
            <w:vAlign w:val="bottom"/>
          </w:tcPr>
          <w:p w14:paraId="5F86F719"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Organic fertilisers</w:t>
            </w:r>
          </w:p>
        </w:tc>
        <w:tc>
          <w:tcPr>
            <w:tcW w:w="618" w:type="dxa"/>
            <w:vAlign w:val="bottom"/>
          </w:tcPr>
          <w:p w14:paraId="57C27364" w14:textId="77777777" w:rsidR="00E46639" w:rsidRPr="0028033B" w:rsidRDefault="00E46639" w:rsidP="00F16E23">
            <w:pPr>
              <w:pStyle w:val="TableText"/>
              <w:spacing w:before="50" w:after="50"/>
              <w:jc w:val="right"/>
              <w:rPr>
                <w:rFonts w:cs="Calibri"/>
                <w:szCs w:val="16"/>
              </w:rPr>
            </w:pPr>
            <w:r w:rsidRPr="0028033B">
              <w:rPr>
                <w:rFonts w:cs="Calibri"/>
                <w:szCs w:val="16"/>
              </w:rPr>
              <w:t>22.7</w:t>
            </w:r>
          </w:p>
        </w:tc>
        <w:tc>
          <w:tcPr>
            <w:tcW w:w="708" w:type="dxa"/>
            <w:vAlign w:val="bottom"/>
          </w:tcPr>
          <w:p w14:paraId="59D1A017" w14:textId="77777777" w:rsidR="00E46639" w:rsidRPr="0028033B" w:rsidRDefault="00E46639" w:rsidP="00F16E23">
            <w:pPr>
              <w:pStyle w:val="TableText"/>
              <w:spacing w:before="50" w:after="50"/>
              <w:jc w:val="right"/>
              <w:rPr>
                <w:rFonts w:cs="Calibri"/>
                <w:szCs w:val="16"/>
              </w:rPr>
            </w:pPr>
            <w:r w:rsidRPr="0028033B">
              <w:rPr>
                <w:rFonts w:cs="Calibri"/>
                <w:szCs w:val="16"/>
              </w:rPr>
              <w:t>37.7</w:t>
            </w:r>
          </w:p>
        </w:tc>
        <w:tc>
          <w:tcPr>
            <w:tcW w:w="635" w:type="dxa"/>
            <w:vAlign w:val="bottom"/>
          </w:tcPr>
          <w:p w14:paraId="59F7673F" w14:textId="77777777" w:rsidR="00E46639" w:rsidRPr="0028033B" w:rsidRDefault="00E46639" w:rsidP="00F16E23">
            <w:pPr>
              <w:pStyle w:val="TableText"/>
              <w:spacing w:before="50" w:after="50"/>
              <w:jc w:val="right"/>
              <w:rPr>
                <w:rFonts w:cs="Calibri"/>
                <w:szCs w:val="16"/>
              </w:rPr>
            </w:pPr>
            <w:r w:rsidRPr="0028033B">
              <w:rPr>
                <w:rFonts w:cs="Calibri"/>
                <w:szCs w:val="16"/>
              </w:rPr>
              <w:t>59.5</w:t>
            </w:r>
          </w:p>
        </w:tc>
        <w:tc>
          <w:tcPr>
            <w:tcW w:w="756" w:type="dxa"/>
            <w:vAlign w:val="bottom"/>
          </w:tcPr>
          <w:p w14:paraId="0340D460" w14:textId="77777777" w:rsidR="00E46639" w:rsidRPr="0028033B" w:rsidRDefault="00E46639" w:rsidP="00F16E23">
            <w:pPr>
              <w:pStyle w:val="TableText"/>
              <w:spacing w:before="50" w:after="50"/>
              <w:jc w:val="right"/>
              <w:rPr>
                <w:rFonts w:cs="Calibri"/>
                <w:szCs w:val="16"/>
              </w:rPr>
            </w:pPr>
            <w:r w:rsidRPr="0028033B">
              <w:rPr>
                <w:rFonts w:cs="Calibri"/>
                <w:szCs w:val="16"/>
              </w:rPr>
              <w:t>36.8</w:t>
            </w:r>
          </w:p>
        </w:tc>
        <w:tc>
          <w:tcPr>
            <w:tcW w:w="508" w:type="dxa"/>
            <w:vAlign w:val="bottom"/>
          </w:tcPr>
          <w:p w14:paraId="69201D58" w14:textId="77777777" w:rsidR="00E46639" w:rsidRPr="0028033B" w:rsidRDefault="00E46639" w:rsidP="00F16E23">
            <w:pPr>
              <w:pStyle w:val="TableText"/>
              <w:spacing w:before="50" w:after="50"/>
              <w:jc w:val="right"/>
              <w:rPr>
                <w:rFonts w:cs="Calibri"/>
                <w:szCs w:val="16"/>
              </w:rPr>
            </w:pPr>
            <w:r w:rsidRPr="0028033B">
              <w:rPr>
                <w:rFonts w:cs="Calibri"/>
                <w:szCs w:val="16"/>
              </w:rPr>
              <w:t>162.1</w:t>
            </w:r>
          </w:p>
        </w:tc>
        <w:tc>
          <w:tcPr>
            <w:tcW w:w="757" w:type="dxa"/>
            <w:vAlign w:val="bottom"/>
          </w:tcPr>
          <w:p w14:paraId="1012BB33" w14:textId="77777777" w:rsidR="00E46639" w:rsidRPr="0028033B" w:rsidRDefault="00E46639" w:rsidP="00F16E23">
            <w:pPr>
              <w:pStyle w:val="TableText"/>
              <w:spacing w:before="50" w:after="50"/>
              <w:jc w:val="right"/>
              <w:rPr>
                <w:rFonts w:cs="Calibri"/>
                <w:szCs w:val="16"/>
              </w:rPr>
            </w:pPr>
            <w:r w:rsidRPr="0028033B">
              <w:rPr>
                <w:rFonts w:cs="Calibri"/>
                <w:szCs w:val="16"/>
              </w:rPr>
              <w:t>21.8</w:t>
            </w:r>
          </w:p>
        </w:tc>
        <w:tc>
          <w:tcPr>
            <w:tcW w:w="507" w:type="dxa"/>
            <w:vAlign w:val="bottom"/>
          </w:tcPr>
          <w:p w14:paraId="39A4522B" w14:textId="77777777" w:rsidR="00E46639" w:rsidRPr="0028033B" w:rsidRDefault="00E46639" w:rsidP="00F16E23">
            <w:pPr>
              <w:pStyle w:val="TableText"/>
              <w:spacing w:before="50" w:after="50"/>
              <w:jc w:val="right"/>
              <w:rPr>
                <w:rFonts w:cs="Calibri"/>
                <w:szCs w:val="16"/>
              </w:rPr>
            </w:pPr>
            <w:r w:rsidRPr="0028033B">
              <w:rPr>
                <w:rFonts w:cs="Calibri"/>
                <w:szCs w:val="16"/>
              </w:rPr>
              <w:t>57.9</w:t>
            </w:r>
          </w:p>
        </w:tc>
        <w:tc>
          <w:tcPr>
            <w:tcW w:w="884" w:type="dxa"/>
            <w:vAlign w:val="bottom"/>
          </w:tcPr>
          <w:p w14:paraId="6FF10FC3" w14:textId="77777777" w:rsidR="00E46639" w:rsidRPr="0028033B" w:rsidRDefault="00E46639" w:rsidP="00F16E23">
            <w:pPr>
              <w:pStyle w:val="TableText"/>
              <w:spacing w:before="50" w:after="50"/>
              <w:jc w:val="right"/>
              <w:rPr>
                <w:rFonts w:cs="Calibri"/>
                <w:szCs w:val="16"/>
              </w:rPr>
            </w:pPr>
            <w:r w:rsidRPr="0028033B">
              <w:rPr>
                <w:rFonts w:cs="Calibri"/>
                <w:szCs w:val="16"/>
              </w:rPr>
              <w:t>1.0</w:t>
            </w:r>
          </w:p>
        </w:tc>
        <w:tc>
          <w:tcPr>
            <w:tcW w:w="1010" w:type="dxa"/>
            <w:vAlign w:val="bottom"/>
          </w:tcPr>
          <w:p w14:paraId="0DF6AB5F"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r>
      <w:tr w:rsidR="00E46639" w:rsidRPr="0028033B" w14:paraId="792473EE" w14:textId="77777777" w:rsidTr="00772AFA">
        <w:tc>
          <w:tcPr>
            <w:tcW w:w="709" w:type="dxa"/>
            <w:vMerge/>
            <w:vAlign w:val="center"/>
          </w:tcPr>
          <w:p w14:paraId="1C46C73D" w14:textId="77777777" w:rsidR="00E46639" w:rsidRPr="0028033B" w:rsidRDefault="00E46639" w:rsidP="00F16E23">
            <w:pPr>
              <w:pStyle w:val="TableText"/>
              <w:spacing w:before="50" w:after="50"/>
              <w:rPr>
                <w:rFonts w:cs="Calibri"/>
                <w:color w:val="000000" w:themeColor="text1"/>
                <w:szCs w:val="16"/>
              </w:rPr>
            </w:pPr>
          </w:p>
        </w:tc>
        <w:tc>
          <w:tcPr>
            <w:tcW w:w="1418" w:type="dxa"/>
            <w:tcBorders>
              <w:bottom w:val="single" w:sz="4" w:space="0" w:color="1B556B" w:themeColor="text2"/>
            </w:tcBorders>
            <w:vAlign w:val="bottom"/>
          </w:tcPr>
          <w:p w14:paraId="625631C5"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Pasture, range and paddock manure</w:t>
            </w:r>
          </w:p>
        </w:tc>
        <w:tc>
          <w:tcPr>
            <w:tcW w:w="618" w:type="dxa"/>
            <w:tcBorders>
              <w:bottom w:val="single" w:sz="4" w:space="0" w:color="1B556B" w:themeColor="text2"/>
            </w:tcBorders>
            <w:vAlign w:val="bottom"/>
          </w:tcPr>
          <w:p w14:paraId="1FC03EC4" w14:textId="77777777" w:rsidR="00E46639" w:rsidRPr="0028033B" w:rsidRDefault="00E46639" w:rsidP="00F16E23">
            <w:pPr>
              <w:pStyle w:val="TableText"/>
              <w:spacing w:before="50" w:after="50"/>
              <w:jc w:val="right"/>
              <w:rPr>
                <w:rFonts w:cs="Calibri"/>
                <w:szCs w:val="16"/>
              </w:rPr>
            </w:pPr>
            <w:r w:rsidRPr="0028033B">
              <w:rPr>
                <w:rFonts w:cs="Calibri"/>
                <w:szCs w:val="16"/>
              </w:rPr>
              <w:t>2,588.4</w:t>
            </w:r>
          </w:p>
        </w:tc>
        <w:tc>
          <w:tcPr>
            <w:tcW w:w="708" w:type="dxa"/>
            <w:tcBorders>
              <w:bottom w:val="single" w:sz="4" w:space="0" w:color="1B556B" w:themeColor="text2"/>
            </w:tcBorders>
            <w:vAlign w:val="bottom"/>
          </w:tcPr>
          <w:p w14:paraId="2D34A3C5" w14:textId="77777777" w:rsidR="00E46639" w:rsidRPr="0028033B" w:rsidRDefault="00E46639" w:rsidP="00F16E23">
            <w:pPr>
              <w:pStyle w:val="TableText"/>
              <w:spacing w:before="50" w:after="50"/>
              <w:jc w:val="right"/>
              <w:rPr>
                <w:rFonts w:cs="Calibri"/>
                <w:szCs w:val="16"/>
              </w:rPr>
            </w:pPr>
            <w:r w:rsidRPr="0028033B">
              <w:rPr>
                <w:rFonts w:cs="Calibri"/>
                <w:szCs w:val="16"/>
              </w:rPr>
              <w:t>3,218.0</w:t>
            </w:r>
          </w:p>
        </w:tc>
        <w:tc>
          <w:tcPr>
            <w:tcW w:w="635" w:type="dxa"/>
            <w:tcBorders>
              <w:bottom w:val="single" w:sz="4" w:space="0" w:color="1B556B" w:themeColor="text2"/>
            </w:tcBorders>
            <w:vAlign w:val="bottom"/>
          </w:tcPr>
          <w:p w14:paraId="577B89BE" w14:textId="77777777" w:rsidR="00E46639" w:rsidRPr="0028033B" w:rsidRDefault="00E46639" w:rsidP="00F16E23">
            <w:pPr>
              <w:pStyle w:val="TableText"/>
              <w:spacing w:before="50" w:after="50"/>
              <w:jc w:val="right"/>
              <w:rPr>
                <w:rFonts w:cs="Calibri"/>
                <w:szCs w:val="16"/>
              </w:rPr>
            </w:pPr>
            <w:r w:rsidRPr="0028033B">
              <w:rPr>
                <w:rFonts w:cs="Calibri"/>
                <w:szCs w:val="16"/>
              </w:rPr>
              <w:t>3,179.7</w:t>
            </w:r>
          </w:p>
        </w:tc>
        <w:tc>
          <w:tcPr>
            <w:tcW w:w="756" w:type="dxa"/>
            <w:tcBorders>
              <w:bottom w:val="single" w:sz="4" w:space="0" w:color="1B556B" w:themeColor="text2"/>
            </w:tcBorders>
            <w:vAlign w:val="bottom"/>
          </w:tcPr>
          <w:p w14:paraId="39601B4F" w14:textId="77777777" w:rsidR="00E46639" w:rsidRPr="0028033B" w:rsidRDefault="00E46639" w:rsidP="00F16E23">
            <w:pPr>
              <w:pStyle w:val="TableText"/>
              <w:spacing w:before="50" w:after="50"/>
              <w:jc w:val="right"/>
              <w:rPr>
                <w:rFonts w:cs="Calibri"/>
                <w:szCs w:val="16"/>
              </w:rPr>
            </w:pPr>
            <w:r w:rsidRPr="0028033B">
              <w:rPr>
                <w:rFonts w:cs="Calibri"/>
                <w:szCs w:val="16"/>
              </w:rPr>
              <w:t>591.3</w:t>
            </w:r>
          </w:p>
        </w:tc>
        <w:tc>
          <w:tcPr>
            <w:tcW w:w="508" w:type="dxa"/>
            <w:tcBorders>
              <w:bottom w:val="single" w:sz="4" w:space="0" w:color="1B556B" w:themeColor="text2"/>
            </w:tcBorders>
            <w:vAlign w:val="bottom"/>
          </w:tcPr>
          <w:p w14:paraId="37048502" w14:textId="77777777" w:rsidR="00E46639" w:rsidRPr="0028033B" w:rsidRDefault="00E46639" w:rsidP="00F16E23">
            <w:pPr>
              <w:pStyle w:val="TableText"/>
              <w:spacing w:before="50" w:after="50"/>
              <w:jc w:val="right"/>
              <w:rPr>
                <w:rFonts w:cs="Calibri"/>
                <w:szCs w:val="16"/>
              </w:rPr>
            </w:pPr>
            <w:r w:rsidRPr="0028033B">
              <w:rPr>
                <w:rFonts w:cs="Calibri"/>
                <w:szCs w:val="16"/>
              </w:rPr>
              <w:t>22.8</w:t>
            </w:r>
          </w:p>
        </w:tc>
        <w:tc>
          <w:tcPr>
            <w:tcW w:w="757" w:type="dxa"/>
            <w:tcBorders>
              <w:bottom w:val="single" w:sz="4" w:space="0" w:color="1B556B" w:themeColor="text2"/>
            </w:tcBorders>
            <w:vAlign w:val="bottom"/>
          </w:tcPr>
          <w:p w14:paraId="436F795D" w14:textId="77777777" w:rsidR="00E46639" w:rsidRPr="0028033B" w:rsidRDefault="00E46639" w:rsidP="00F16E23">
            <w:pPr>
              <w:pStyle w:val="TableText"/>
              <w:spacing w:before="50" w:after="50"/>
              <w:jc w:val="right"/>
              <w:rPr>
                <w:rFonts w:cs="Calibri"/>
                <w:szCs w:val="16"/>
              </w:rPr>
            </w:pPr>
            <w:r w:rsidRPr="0028033B">
              <w:rPr>
                <w:rFonts w:cs="Calibri"/>
                <w:szCs w:val="16"/>
              </w:rPr>
              <w:t>-38.2</w:t>
            </w:r>
          </w:p>
        </w:tc>
        <w:tc>
          <w:tcPr>
            <w:tcW w:w="507" w:type="dxa"/>
            <w:tcBorders>
              <w:bottom w:val="single" w:sz="4" w:space="0" w:color="1B556B" w:themeColor="text2"/>
            </w:tcBorders>
            <w:vAlign w:val="bottom"/>
          </w:tcPr>
          <w:p w14:paraId="268FC43F" w14:textId="77777777" w:rsidR="00E46639" w:rsidRPr="0028033B" w:rsidRDefault="00E46639" w:rsidP="00F16E23">
            <w:pPr>
              <w:pStyle w:val="TableText"/>
              <w:spacing w:before="50" w:after="50"/>
              <w:jc w:val="right"/>
              <w:rPr>
                <w:rFonts w:cs="Calibri"/>
                <w:szCs w:val="16"/>
              </w:rPr>
            </w:pPr>
            <w:r w:rsidRPr="0028033B">
              <w:rPr>
                <w:rFonts w:cs="Calibri"/>
                <w:szCs w:val="16"/>
              </w:rPr>
              <w:t>-1.2</w:t>
            </w:r>
          </w:p>
        </w:tc>
        <w:tc>
          <w:tcPr>
            <w:tcW w:w="884" w:type="dxa"/>
            <w:tcBorders>
              <w:bottom w:val="single" w:sz="4" w:space="0" w:color="1B556B" w:themeColor="text2"/>
            </w:tcBorders>
            <w:vAlign w:val="bottom"/>
          </w:tcPr>
          <w:p w14:paraId="74686818" w14:textId="77777777" w:rsidR="00E46639" w:rsidRPr="0028033B" w:rsidRDefault="00E46639" w:rsidP="00F16E23">
            <w:pPr>
              <w:pStyle w:val="TableText"/>
              <w:spacing w:before="50" w:after="50"/>
              <w:jc w:val="right"/>
              <w:rPr>
                <w:rFonts w:cs="Calibri"/>
                <w:szCs w:val="16"/>
              </w:rPr>
            </w:pPr>
            <w:r w:rsidRPr="0028033B">
              <w:rPr>
                <w:rFonts w:cs="Calibri"/>
                <w:szCs w:val="16"/>
              </w:rPr>
              <w:t>51.9</w:t>
            </w:r>
          </w:p>
        </w:tc>
        <w:tc>
          <w:tcPr>
            <w:tcW w:w="1010" w:type="dxa"/>
            <w:tcBorders>
              <w:bottom w:val="single" w:sz="4" w:space="0" w:color="1B556B" w:themeColor="text2"/>
            </w:tcBorders>
            <w:vAlign w:val="bottom"/>
          </w:tcPr>
          <w:p w14:paraId="646E5E4C" w14:textId="77777777" w:rsidR="00E46639" w:rsidRPr="0028033B" w:rsidRDefault="00E46639" w:rsidP="00F16E23">
            <w:pPr>
              <w:pStyle w:val="TableText"/>
              <w:spacing w:before="50" w:after="50"/>
              <w:jc w:val="right"/>
              <w:rPr>
                <w:rFonts w:cs="Calibri"/>
                <w:szCs w:val="16"/>
              </w:rPr>
            </w:pPr>
            <w:r w:rsidRPr="0028033B">
              <w:rPr>
                <w:rFonts w:cs="Calibri"/>
                <w:szCs w:val="16"/>
              </w:rPr>
              <w:t>7.9</w:t>
            </w:r>
          </w:p>
        </w:tc>
      </w:tr>
      <w:tr w:rsidR="00E46639" w:rsidRPr="0028033B" w14:paraId="3854B702" w14:textId="77777777" w:rsidTr="00F16E23">
        <w:tc>
          <w:tcPr>
            <w:tcW w:w="709" w:type="dxa"/>
            <w:vMerge/>
            <w:vAlign w:val="center"/>
          </w:tcPr>
          <w:p w14:paraId="06806800" w14:textId="77777777" w:rsidR="00E46639" w:rsidRPr="0028033B" w:rsidRDefault="00E46639" w:rsidP="00F16E23">
            <w:pPr>
              <w:pStyle w:val="TableText"/>
              <w:spacing w:before="50" w:after="50"/>
              <w:rPr>
                <w:rFonts w:cs="Calibri"/>
                <w:color w:val="000000" w:themeColor="text1"/>
                <w:szCs w:val="16"/>
              </w:rPr>
            </w:pPr>
          </w:p>
        </w:tc>
        <w:tc>
          <w:tcPr>
            <w:tcW w:w="1418" w:type="dxa"/>
            <w:vAlign w:val="bottom"/>
          </w:tcPr>
          <w:p w14:paraId="07228944"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 xml:space="preserve">Crop residue </w:t>
            </w:r>
          </w:p>
        </w:tc>
        <w:tc>
          <w:tcPr>
            <w:tcW w:w="618" w:type="dxa"/>
            <w:vAlign w:val="bottom"/>
          </w:tcPr>
          <w:p w14:paraId="52F8B132" w14:textId="77777777" w:rsidR="00E46639" w:rsidRPr="0028033B" w:rsidRDefault="00E46639" w:rsidP="00F16E23">
            <w:pPr>
              <w:pStyle w:val="TableText"/>
              <w:spacing w:before="50" w:after="50"/>
              <w:jc w:val="right"/>
              <w:rPr>
                <w:rFonts w:cs="Calibri"/>
                <w:szCs w:val="16"/>
              </w:rPr>
            </w:pPr>
            <w:r w:rsidRPr="0028033B">
              <w:rPr>
                <w:rFonts w:cs="Calibri"/>
                <w:szCs w:val="16"/>
              </w:rPr>
              <w:t>93.6</w:t>
            </w:r>
          </w:p>
        </w:tc>
        <w:tc>
          <w:tcPr>
            <w:tcW w:w="708" w:type="dxa"/>
            <w:vAlign w:val="bottom"/>
          </w:tcPr>
          <w:p w14:paraId="29B2AD8C" w14:textId="77777777" w:rsidR="00E46639" w:rsidRPr="0028033B" w:rsidRDefault="00E46639" w:rsidP="00F16E23">
            <w:pPr>
              <w:pStyle w:val="TableText"/>
              <w:spacing w:before="50" w:after="50"/>
              <w:jc w:val="right"/>
              <w:rPr>
                <w:rFonts w:cs="Calibri"/>
                <w:szCs w:val="16"/>
              </w:rPr>
            </w:pPr>
            <w:r w:rsidRPr="0028033B">
              <w:rPr>
                <w:rFonts w:cs="Calibri"/>
                <w:szCs w:val="16"/>
              </w:rPr>
              <w:t>134.5</w:t>
            </w:r>
          </w:p>
        </w:tc>
        <w:tc>
          <w:tcPr>
            <w:tcW w:w="635" w:type="dxa"/>
            <w:vAlign w:val="bottom"/>
          </w:tcPr>
          <w:p w14:paraId="46B89A4B" w14:textId="77777777" w:rsidR="00E46639" w:rsidRPr="0028033B" w:rsidRDefault="00E46639" w:rsidP="00F16E23">
            <w:pPr>
              <w:pStyle w:val="TableText"/>
              <w:spacing w:before="50" w:after="50"/>
              <w:jc w:val="right"/>
              <w:rPr>
                <w:rFonts w:cs="Calibri"/>
                <w:szCs w:val="16"/>
              </w:rPr>
            </w:pPr>
            <w:r w:rsidRPr="0028033B">
              <w:rPr>
                <w:rFonts w:cs="Calibri"/>
                <w:szCs w:val="16"/>
              </w:rPr>
              <w:t>131.0</w:t>
            </w:r>
          </w:p>
        </w:tc>
        <w:tc>
          <w:tcPr>
            <w:tcW w:w="756" w:type="dxa"/>
            <w:vAlign w:val="bottom"/>
          </w:tcPr>
          <w:p w14:paraId="3303FF32" w14:textId="77777777" w:rsidR="00E46639" w:rsidRPr="0028033B" w:rsidRDefault="00E46639" w:rsidP="00F16E23">
            <w:pPr>
              <w:pStyle w:val="TableText"/>
              <w:spacing w:before="50" w:after="50"/>
              <w:jc w:val="right"/>
              <w:rPr>
                <w:rFonts w:cs="Calibri"/>
                <w:szCs w:val="16"/>
              </w:rPr>
            </w:pPr>
            <w:r w:rsidRPr="0028033B">
              <w:rPr>
                <w:rFonts w:cs="Calibri"/>
                <w:szCs w:val="16"/>
              </w:rPr>
              <w:t>37.4</w:t>
            </w:r>
          </w:p>
        </w:tc>
        <w:tc>
          <w:tcPr>
            <w:tcW w:w="508" w:type="dxa"/>
            <w:vAlign w:val="bottom"/>
          </w:tcPr>
          <w:p w14:paraId="3B61F3BC" w14:textId="77777777" w:rsidR="00E46639" w:rsidRPr="0028033B" w:rsidRDefault="00E46639" w:rsidP="00F16E23">
            <w:pPr>
              <w:pStyle w:val="TableText"/>
              <w:spacing w:before="50" w:after="50"/>
              <w:jc w:val="right"/>
              <w:rPr>
                <w:rFonts w:cs="Calibri"/>
                <w:szCs w:val="16"/>
              </w:rPr>
            </w:pPr>
            <w:r w:rsidRPr="0028033B">
              <w:rPr>
                <w:rFonts w:cs="Calibri"/>
                <w:szCs w:val="16"/>
              </w:rPr>
              <w:t>39.9</w:t>
            </w:r>
          </w:p>
        </w:tc>
        <w:tc>
          <w:tcPr>
            <w:tcW w:w="757" w:type="dxa"/>
            <w:vAlign w:val="bottom"/>
          </w:tcPr>
          <w:p w14:paraId="37D05395" w14:textId="77777777" w:rsidR="00E46639" w:rsidRPr="0028033B" w:rsidRDefault="00E46639" w:rsidP="00F16E23">
            <w:pPr>
              <w:pStyle w:val="TableText"/>
              <w:spacing w:before="50" w:after="50"/>
              <w:jc w:val="right"/>
              <w:rPr>
                <w:rFonts w:cs="Calibri"/>
                <w:szCs w:val="16"/>
              </w:rPr>
            </w:pPr>
            <w:r w:rsidRPr="0028033B">
              <w:rPr>
                <w:rFonts w:cs="Calibri"/>
                <w:szCs w:val="16"/>
              </w:rPr>
              <w:t>-3.6</w:t>
            </w:r>
          </w:p>
        </w:tc>
        <w:tc>
          <w:tcPr>
            <w:tcW w:w="507" w:type="dxa"/>
            <w:vAlign w:val="bottom"/>
          </w:tcPr>
          <w:p w14:paraId="4E233E44" w14:textId="77777777" w:rsidR="00E46639" w:rsidRPr="0028033B" w:rsidRDefault="00E46639" w:rsidP="00F16E23">
            <w:pPr>
              <w:pStyle w:val="TableText"/>
              <w:spacing w:before="50" w:after="50"/>
              <w:jc w:val="right"/>
              <w:rPr>
                <w:rFonts w:cs="Calibri"/>
                <w:szCs w:val="16"/>
              </w:rPr>
            </w:pPr>
            <w:r w:rsidRPr="0028033B">
              <w:rPr>
                <w:rFonts w:cs="Calibri"/>
                <w:szCs w:val="16"/>
              </w:rPr>
              <w:t>-2.6</w:t>
            </w:r>
          </w:p>
        </w:tc>
        <w:tc>
          <w:tcPr>
            <w:tcW w:w="884" w:type="dxa"/>
            <w:vAlign w:val="bottom"/>
          </w:tcPr>
          <w:p w14:paraId="391886F4" w14:textId="77777777" w:rsidR="00E46639" w:rsidRPr="0028033B" w:rsidRDefault="00E46639" w:rsidP="00F16E23">
            <w:pPr>
              <w:pStyle w:val="TableText"/>
              <w:spacing w:before="50" w:after="50"/>
              <w:jc w:val="right"/>
              <w:rPr>
                <w:rFonts w:cs="Calibri"/>
                <w:szCs w:val="16"/>
              </w:rPr>
            </w:pPr>
            <w:r w:rsidRPr="0028033B">
              <w:rPr>
                <w:rFonts w:cs="Calibri"/>
                <w:szCs w:val="16"/>
              </w:rPr>
              <w:t>2.1</w:t>
            </w:r>
          </w:p>
        </w:tc>
        <w:tc>
          <w:tcPr>
            <w:tcW w:w="1010" w:type="dxa"/>
            <w:vAlign w:val="bottom"/>
          </w:tcPr>
          <w:p w14:paraId="7CFE06B8" w14:textId="77777777" w:rsidR="00E46639" w:rsidRPr="0028033B" w:rsidRDefault="00E46639" w:rsidP="00F16E23">
            <w:pPr>
              <w:pStyle w:val="TableText"/>
              <w:spacing w:before="50" w:after="50"/>
              <w:jc w:val="right"/>
              <w:rPr>
                <w:rFonts w:cs="Calibri"/>
                <w:szCs w:val="16"/>
              </w:rPr>
            </w:pPr>
            <w:r w:rsidRPr="0028033B">
              <w:rPr>
                <w:rFonts w:cs="Calibri"/>
                <w:szCs w:val="16"/>
              </w:rPr>
              <w:t>0.3</w:t>
            </w:r>
          </w:p>
        </w:tc>
      </w:tr>
      <w:tr w:rsidR="00E46639" w:rsidRPr="0028033B" w14:paraId="100E36BB" w14:textId="77777777" w:rsidTr="00F16E23">
        <w:tc>
          <w:tcPr>
            <w:tcW w:w="709" w:type="dxa"/>
            <w:vMerge/>
            <w:vAlign w:val="center"/>
          </w:tcPr>
          <w:p w14:paraId="24FD8C70" w14:textId="77777777" w:rsidR="00E46639" w:rsidRPr="0028033B" w:rsidRDefault="00E46639" w:rsidP="00F16E23">
            <w:pPr>
              <w:pStyle w:val="TableText"/>
              <w:spacing w:before="50" w:after="50"/>
              <w:rPr>
                <w:rFonts w:cs="Calibri"/>
                <w:color w:val="000000" w:themeColor="text1"/>
                <w:szCs w:val="16"/>
              </w:rPr>
            </w:pPr>
          </w:p>
        </w:tc>
        <w:tc>
          <w:tcPr>
            <w:tcW w:w="1418" w:type="dxa"/>
            <w:vAlign w:val="bottom"/>
          </w:tcPr>
          <w:p w14:paraId="2E016DD2"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Cropland nitrogen mineralisation from soil organic matter loss</w:t>
            </w:r>
          </w:p>
        </w:tc>
        <w:tc>
          <w:tcPr>
            <w:tcW w:w="618" w:type="dxa"/>
            <w:vAlign w:val="bottom"/>
          </w:tcPr>
          <w:p w14:paraId="07DECF8F" w14:textId="77777777" w:rsidR="00E46639" w:rsidRPr="0028033B" w:rsidRDefault="00E46639" w:rsidP="00F16E23">
            <w:pPr>
              <w:pStyle w:val="TableText"/>
              <w:spacing w:before="50" w:after="50"/>
              <w:jc w:val="right"/>
              <w:rPr>
                <w:rFonts w:cs="Calibri"/>
                <w:szCs w:val="16"/>
              </w:rPr>
            </w:pPr>
            <w:r w:rsidRPr="0028033B">
              <w:rPr>
                <w:rFonts w:cs="Calibri"/>
                <w:szCs w:val="16"/>
              </w:rPr>
              <w:t>0.0</w:t>
            </w:r>
          </w:p>
        </w:tc>
        <w:tc>
          <w:tcPr>
            <w:tcW w:w="708" w:type="dxa"/>
            <w:vAlign w:val="bottom"/>
          </w:tcPr>
          <w:p w14:paraId="09CD5241"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c>
          <w:tcPr>
            <w:tcW w:w="635" w:type="dxa"/>
            <w:vAlign w:val="bottom"/>
          </w:tcPr>
          <w:p w14:paraId="24D94F06"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c>
          <w:tcPr>
            <w:tcW w:w="756" w:type="dxa"/>
            <w:vAlign w:val="bottom"/>
          </w:tcPr>
          <w:p w14:paraId="3FB950A1" w14:textId="77777777" w:rsidR="00E46639" w:rsidRPr="0028033B" w:rsidRDefault="00E46639" w:rsidP="00F16E23">
            <w:pPr>
              <w:pStyle w:val="TableText"/>
              <w:spacing w:before="50" w:after="50"/>
              <w:jc w:val="right"/>
              <w:rPr>
                <w:rFonts w:cs="Calibri"/>
                <w:szCs w:val="16"/>
              </w:rPr>
            </w:pPr>
            <w:r w:rsidRPr="0028033B">
              <w:rPr>
                <w:rFonts w:cs="Calibri"/>
                <w:szCs w:val="16"/>
              </w:rPr>
              <w:t>0.1</w:t>
            </w:r>
          </w:p>
        </w:tc>
        <w:tc>
          <w:tcPr>
            <w:tcW w:w="508" w:type="dxa"/>
            <w:vAlign w:val="bottom"/>
          </w:tcPr>
          <w:p w14:paraId="4356F3D9" w14:textId="77777777" w:rsidR="00E46639" w:rsidRPr="0028033B" w:rsidRDefault="00E46639" w:rsidP="00F16E23">
            <w:pPr>
              <w:pStyle w:val="TableText"/>
              <w:spacing w:before="50" w:after="50"/>
              <w:jc w:val="right"/>
              <w:rPr>
                <w:rFonts w:cs="Calibri"/>
                <w:szCs w:val="16"/>
              </w:rPr>
            </w:pPr>
            <w:r w:rsidRPr="0028033B">
              <w:rPr>
                <w:rFonts w:cs="Calibri"/>
                <w:szCs w:val="16"/>
              </w:rPr>
              <w:t>509.0</w:t>
            </w:r>
          </w:p>
        </w:tc>
        <w:tc>
          <w:tcPr>
            <w:tcW w:w="757" w:type="dxa"/>
            <w:vAlign w:val="bottom"/>
          </w:tcPr>
          <w:p w14:paraId="79D5B0FB" w14:textId="77777777" w:rsidR="00E46639" w:rsidRPr="0028033B" w:rsidRDefault="00E46639" w:rsidP="00F16E23">
            <w:pPr>
              <w:pStyle w:val="TableText"/>
              <w:spacing w:before="50" w:after="50"/>
              <w:jc w:val="right"/>
              <w:rPr>
                <w:rFonts w:cs="Calibri"/>
                <w:szCs w:val="16"/>
              </w:rPr>
            </w:pPr>
            <w:r w:rsidRPr="0028033B">
              <w:rPr>
                <w:rFonts w:cs="Calibri"/>
                <w:szCs w:val="16"/>
              </w:rPr>
              <w:t>0.0</w:t>
            </w:r>
          </w:p>
        </w:tc>
        <w:tc>
          <w:tcPr>
            <w:tcW w:w="507" w:type="dxa"/>
            <w:vAlign w:val="bottom"/>
          </w:tcPr>
          <w:p w14:paraId="15F395A2" w14:textId="77777777" w:rsidR="00E46639" w:rsidRPr="0028033B" w:rsidRDefault="00E46639" w:rsidP="00F16E23">
            <w:pPr>
              <w:pStyle w:val="TableText"/>
              <w:spacing w:before="50" w:after="50"/>
              <w:jc w:val="right"/>
              <w:rPr>
                <w:rFonts w:cs="Calibri"/>
                <w:szCs w:val="16"/>
              </w:rPr>
            </w:pPr>
            <w:r w:rsidRPr="0028033B">
              <w:rPr>
                <w:rFonts w:cs="Calibri"/>
                <w:szCs w:val="16"/>
              </w:rPr>
              <w:t>8.1</w:t>
            </w:r>
          </w:p>
        </w:tc>
        <w:tc>
          <w:tcPr>
            <w:tcW w:w="884" w:type="dxa"/>
            <w:vAlign w:val="bottom"/>
          </w:tcPr>
          <w:p w14:paraId="3CC0127C" w14:textId="77777777" w:rsidR="00E46639" w:rsidRPr="0028033B" w:rsidRDefault="00E46639" w:rsidP="00F16E23">
            <w:pPr>
              <w:pStyle w:val="TableText"/>
              <w:spacing w:before="50" w:after="50"/>
              <w:jc w:val="right"/>
              <w:rPr>
                <w:rFonts w:cs="Calibri"/>
                <w:szCs w:val="16"/>
              </w:rPr>
            </w:pPr>
            <w:r w:rsidRPr="0028033B">
              <w:rPr>
                <w:rFonts w:cs="Calibri"/>
                <w:szCs w:val="16"/>
              </w:rPr>
              <w:t>0.0</w:t>
            </w:r>
          </w:p>
        </w:tc>
        <w:tc>
          <w:tcPr>
            <w:tcW w:w="1010" w:type="dxa"/>
            <w:vAlign w:val="bottom"/>
          </w:tcPr>
          <w:p w14:paraId="2F920673" w14:textId="77777777" w:rsidR="00E46639" w:rsidRPr="0028033B" w:rsidRDefault="00E46639" w:rsidP="00F16E23">
            <w:pPr>
              <w:pStyle w:val="TableText"/>
              <w:spacing w:before="50" w:after="50"/>
              <w:jc w:val="right"/>
              <w:rPr>
                <w:rFonts w:cs="Calibri"/>
                <w:szCs w:val="16"/>
              </w:rPr>
            </w:pPr>
            <w:r w:rsidRPr="0028033B">
              <w:rPr>
                <w:rFonts w:cs="Calibri"/>
                <w:szCs w:val="16"/>
              </w:rPr>
              <w:t>0.0</w:t>
            </w:r>
          </w:p>
        </w:tc>
      </w:tr>
      <w:tr w:rsidR="00E46639" w:rsidRPr="0028033B" w14:paraId="1D77100C" w14:textId="77777777" w:rsidTr="00F16E23">
        <w:tc>
          <w:tcPr>
            <w:tcW w:w="709" w:type="dxa"/>
            <w:vMerge/>
            <w:vAlign w:val="center"/>
          </w:tcPr>
          <w:p w14:paraId="0C566C51" w14:textId="77777777" w:rsidR="00E46639" w:rsidRPr="0028033B" w:rsidRDefault="00E46639" w:rsidP="00F16E23">
            <w:pPr>
              <w:pStyle w:val="TableText"/>
              <w:spacing w:before="50" w:after="50"/>
              <w:rPr>
                <w:rFonts w:cs="Calibri"/>
                <w:color w:val="000000" w:themeColor="text1"/>
                <w:szCs w:val="16"/>
              </w:rPr>
            </w:pPr>
          </w:p>
        </w:tc>
        <w:tc>
          <w:tcPr>
            <w:tcW w:w="1418" w:type="dxa"/>
            <w:vAlign w:val="bottom"/>
          </w:tcPr>
          <w:p w14:paraId="6A8624BB"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Management of organic soils</w:t>
            </w:r>
          </w:p>
        </w:tc>
        <w:tc>
          <w:tcPr>
            <w:tcW w:w="618" w:type="dxa"/>
            <w:vAlign w:val="bottom"/>
          </w:tcPr>
          <w:p w14:paraId="373C1AD0" w14:textId="77777777" w:rsidR="00E46639" w:rsidRPr="0028033B" w:rsidRDefault="00E46639" w:rsidP="00F16E23">
            <w:pPr>
              <w:pStyle w:val="TableText"/>
              <w:spacing w:before="50" w:after="50"/>
              <w:jc w:val="right"/>
              <w:rPr>
                <w:rFonts w:cs="Calibri"/>
                <w:szCs w:val="16"/>
              </w:rPr>
            </w:pPr>
            <w:r w:rsidRPr="0028033B">
              <w:rPr>
                <w:rFonts w:cs="Calibri"/>
                <w:szCs w:val="16"/>
              </w:rPr>
              <w:t>583.1</w:t>
            </w:r>
          </w:p>
        </w:tc>
        <w:tc>
          <w:tcPr>
            <w:tcW w:w="708" w:type="dxa"/>
            <w:vAlign w:val="bottom"/>
          </w:tcPr>
          <w:p w14:paraId="17DD613A" w14:textId="77777777" w:rsidR="00E46639" w:rsidRPr="0028033B" w:rsidRDefault="00E46639" w:rsidP="00F16E23">
            <w:pPr>
              <w:pStyle w:val="TableText"/>
              <w:spacing w:before="50" w:after="50"/>
              <w:jc w:val="right"/>
              <w:rPr>
                <w:rFonts w:cs="Calibri"/>
                <w:szCs w:val="16"/>
              </w:rPr>
            </w:pPr>
            <w:r w:rsidRPr="0028033B">
              <w:rPr>
                <w:rFonts w:cs="Calibri"/>
                <w:szCs w:val="16"/>
              </w:rPr>
              <w:t>586.6</w:t>
            </w:r>
          </w:p>
        </w:tc>
        <w:tc>
          <w:tcPr>
            <w:tcW w:w="635" w:type="dxa"/>
            <w:vAlign w:val="bottom"/>
          </w:tcPr>
          <w:p w14:paraId="22E7A25F" w14:textId="77777777" w:rsidR="00E46639" w:rsidRPr="0028033B" w:rsidRDefault="00E46639" w:rsidP="00F16E23">
            <w:pPr>
              <w:pStyle w:val="TableText"/>
              <w:spacing w:before="50" w:after="50"/>
              <w:jc w:val="right"/>
              <w:rPr>
                <w:rFonts w:cs="Calibri"/>
                <w:szCs w:val="16"/>
              </w:rPr>
            </w:pPr>
            <w:r w:rsidRPr="0028033B">
              <w:rPr>
                <w:rFonts w:cs="Calibri"/>
                <w:szCs w:val="16"/>
              </w:rPr>
              <w:t>589.6</w:t>
            </w:r>
          </w:p>
        </w:tc>
        <w:tc>
          <w:tcPr>
            <w:tcW w:w="756" w:type="dxa"/>
            <w:vAlign w:val="bottom"/>
          </w:tcPr>
          <w:p w14:paraId="2B4CE81C" w14:textId="77777777" w:rsidR="00E46639" w:rsidRPr="0028033B" w:rsidRDefault="00E46639" w:rsidP="00F16E23">
            <w:pPr>
              <w:pStyle w:val="TableText"/>
              <w:spacing w:before="50" w:after="50"/>
              <w:jc w:val="right"/>
              <w:rPr>
                <w:rFonts w:cs="Calibri"/>
                <w:szCs w:val="16"/>
              </w:rPr>
            </w:pPr>
            <w:r w:rsidRPr="0028033B">
              <w:rPr>
                <w:rFonts w:cs="Calibri"/>
                <w:szCs w:val="16"/>
              </w:rPr>
              <w:t>6.4</w:t>
            </w:r>
          </w:p>
        </w:tc>
        <w:tc>
          <w:tcPr>
            <w:tcW w:w="508" w:type="dxa"/>
            <w:vAlign w:val="bottom"/>
          </w:tcPr>
          <w:p w14:paraId="40714C98" w14:textId="77777777" w:rsidR="00E46639" w:rsidRPr="0028033B" w:rsidRDefault="00E46639" w:rsidP="00F16E23">
            <w:pPr>
              <w:pStyle w:val="TableText"/>
              <w:spacing w:before="50" w:after="50"/>
              <w:jc w:val="right"/>
              <w:rPr>
                <w:rFonts w:cs="Calibri"/>
                <w:szCs w:val="16"/>
              </w:rPr>
            </w:pPr>
            <w:r w:rsidRPr="0028033B">
              <w:rPr>
                <w:rFonts w:cs="Calibri"/>
                <w:szCs w:val="16"/>
              </w:rPr>
              <w:t>1.1</w:t>
            </w:r>
          </w:p>
        </w:tc>
        <w:tc>
          <w:tcPr>
            <w:tcW w:w="757" w:type="dxa"/>
            <w:vAlign w:val="bottom"/>
          </w:tcPr>
          <w:p w14:paraId="55943590" w14:textId="77777777" w:rsidR="00E46639" w:rsidRPr="0028033B" w:rsidRDefault="00E46639" w:rsidP="00F16E23">
            <w:pPr>
              <w:pStyle w:val="TableText"/>
              <w:spacing w:before="50" w:after="50"/>
              <w:jc w:val="right"/>
              <w:rPr>
                <w:rFonts w:cs="Calibri"/>
                <w:szCs w:val="16"/>
              </w:rPr>
            </w:pPr>
            <w:r w:rsidRPr="0028033B">
              <w:rPr>
                <w:rFonts w:cs="Calibri"/>
                <w:szCs w:val="16"/>
              </w:rPr>
              <w:t>3.0</w:t>
            </w:r>
          </w:p>
        </w:tc>
        <w:tc>
          <w:tcPr>
            <w:tcW w:w="507" w:type="dxa"/>
            <w:vAlign w:val="bottom"/>
          </w:tcPr>
          <w:p w14:paraId="31D7C70E" w14:textId="77777777" w:rsidR="00E46639" w:rsidRPr="0028033B" w:rsidRDefault="00E46639" w:rsidP="00F16E23">
            <w:pPr>
              <w:pStyle w:val="TableText"/>
              <w:spacing w:before="50" w:after="50"/>
              <w:jc w:val="right"/>
              <w:rPr>
                <w:rFonts w:cs="Calibri"/>
                <w:szCs w:val="16"/>
              </w:rPr>
            </w:pPr>
            <w:r w:rsidRPr="0028033B">
              <w:rPr>
                <w:rFonts w:cs="Calibri"/>
                <w:szCs w:val="16"/>
              </w:rPr>
              <w:t>0.5</w:t>
            </w:r>
          </w:p>
        </w:tc>
        <w:tc>
          <w:tcPr>
            <w:tcW w:w="884" w:type="dxa"/>
            <w:vAlign w:val="bottom"/>
          </w:tcPr>
          <w:p w14:paraId="3DFC3396" w14:textId="77777777" w:rsidR="00E46639" w:rsidRPr="0028033B" w:rsidRDefault="00E46639" w:rsidP="00F16E23">
            <w:pPr>
              <w:pStyle w:val="TableText"/>
              <w:spacing w:before="50" w:after="50"/>
              <w:jc w:val="right"/>
              <w:rPr>
                <w:rFonts w:cs="Calibri"/>
                <w:szCs w:val="16"/>
              </w:rPr>
            </w:pPr>
            <w:r w:rsidRPr="0028033B">
              <w:rPr>
                <w:rFonts w:cs="Calibri"/>
                <w:szCs w:val="16"/>
              </w:rPr>
              <w:t>9.6</w:t>
            </w:r>
          </w:p>
        </w:tc>
        <w:tc>
          <w:tcPr>
            <w:tcW w:w="1010" w:type="dxa"/>
            <w:vAlign w:val="bottom"/>
          </w:tcPr>
          <w:p w14:paraId="0F53D09F" w14:textId="77777777" w:rsidR="00E46639" w:rsidRPr="0028033B" w:rsidRDefault="00E46639" w:rsidP="00F16E23">
            <w:pPr>
              <w:pStyle w:val="TableText"/>
              <w:spacing w:before="50" w:after="50"/>
              <w:jc w:val="right"/>
              <w:rPr>
                <w:rFonts w:cs="Calibri"/>
                <w:szCs w:val="16"/>
              </w:rPr>
            </w:pPr>
            <w:r w:rsidRPr="0028033B">
              <w:rPr>
                <w:rFonts w:cs="Calibri"/>
                <w:szCs w:val="16"/>
              </w:rPr>
              <w:t>1.5</w:t>
            </w:r>
          </w:p>
        </w:tc>
      </w:tr>
      <w:tr w:rsidR="00E46639" w:rsidRPr="0028033B" w14:paraId="4755479F" w14:textId="77777777" w:rsidTr="00F16E23">
        <w:tc>
          <w:tcPr>
            <w:tcW w:w="709" w:type="dxa"/>
            <w:vMerge w:val="restart"/>
            <w:vAlign w:val="center"/>
          </w:tcPr>
          <w:p w14:paraId="7BAF5D3E"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Indirect</w:t>
            </w:r>
          </w:p>
        </w:tc>
        <w:tc>
          <w:tcPr>
            <w:tcW w:w="1418" w:type="dxa"/>
          </w:tcPr>
          <w:p w14:paraId="11991F45"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Volatilisation</w:t>
            </w:r>
          </w:p>
        </w:tc>
        <w:tc>
          <w:tcPr>
            <w:tcW w:w="618" w:type="dxa"/>
            <w:vAlign w:val="bottom"/>
          </w:tcPr>
          <w:p w14:paraId="3A514467" w14:textId="77777777" w:rsidR="00E46639" w:rsidRPr="0028033B" w:rsidRDefault="00E46639" w:rsidP="00F16E23">
            <w:pPr>
              <w:pStyle w:val="TableText"/>
              <w:spacing w:before="50" w:after="50"/>
              <w:jc w:val="right"/>
              <w:rPr>
                <w:rFonts w:cs="Calibri"/>
                <w:szCs w:val="16"/>
              </w:rPr>
            </w:pPr>
            <w:r w:rsidRPr="0028033B">
              <w:rPr>
                <w:rFonts w:cs="Calibri"/>
                <w:szCs w:val="16"/>
              </w:rPr>
              <w:t>635.3</w:t>
            </w:r>
          </w:p>
        </w:tc>
        <w:tc>
          <w:tcPr>
            <w:tcW w:w="708" w:type="dxa"/>
            <w:vAlign w:val="bottom"/>
          </w:tcPr>
          <w:p w14:paraId="5AB9EEF2" w14:textId="77777777" w:rsidR="00E46639" w:rsidRPr="0028033B" w:rsidRDefault="00E46639" w:rsidP="00F16E23">
            <w:pPr>
              <w:pStyle w:val="TableText"/>
              <w:spacing w:before="50" w:after="50"/>
              <w:jc w:val="right"/>
              <w:rPr>
                <w:rFonts w:cs="Calibri"/>
                <w:szCs w:val="16"/>
              </w:rPr>
            </w:pPr>
            <w:r w:rsidRPr="0028033B">
              <w:rPr>
                <w:rFonts w:cs="Calibri"/>
                <w:szCs w:val="16"/>
              </w:rPr>
              <w:t>829.2</w:t>
            </w:r>
          </w:p>
        </w:tc>
        <w:tc>
          <w:tcPr>
            <w:tcW w:w="635" w:type="dxa"/>
            <w:vAlign w:val="bottom"/>
          </w:tcPr>
          <w:p w14:paraId="2A10975A" w14:textId="77777777" w:rsidR="00E46639" w:rsidRPr="0028033B" w:rsidRDefault="00E46639" w:rsidP="00F16E23">
            <w:pPr>
              <w:pStyle w:val="TableText"/>
              <w:spacing w:before="50" w:after="50"/>
              <w:jc w:val="right"/>
              <w:rPr>
                <w:rFonts w:cs="Calibri"/>
                <w:szCs w:val="16"/>
              </w:rPr>
            </w:pPr>
            <w:r w:rsidRPr="0028033B">
              <w:rPr>
                <w:rFonts w:cs="Calibri"/>
                <w:szCs w:val="16"/>
              </w:rPr>
              <w:t>740.6</w:t>
            </w:r>
          </w:p>
        </w:tc>
        <w:tc>
          <w:tcPr>
            <w:tcW w:w="756" w:type="dxa"/>
            <w:vAlign w:val="bottom"/>
          </w:tcPr>
          <w:p w14:paraId="598B1E94" w14:textId="77777777" w:rsidR="00E46639" w:rsidRPr="0028033B" w:rsidRDefault="00E46639" w:rsidP="00F16E23">
            <w:pPr>
              <w:pStyle w:val="TableText"/>
              <w:spacing w:before="50" w:after="50"/>
              <w:jc w:val="right"/>
              <w:rPr>
                <w:rFonts w:cs="Calibri"/>
                <w:szCs w:val="16"/>
              </w:rPr>
            </w:pPr>
            <w:r w:rsidRPr="0028033B">
              <w:rPr>
                <w:rFonts w:cs="Calibri"/>
                <w:szCs w:val="16"/>
              </w:rPr>
              <w:t>105.3</w:t>
            </w:r>
          </w:p>
        </w:tc>
        <w:tc>
          <w:tcPr>
            <w:tcW w:w="508" w:type="dxa"/>
            <w:vAlign w:val="bottom"/>
          </w:tcPr>
          <w:p w14:paraId="4920E729" w14:textId="77777777" w:rsidR="00E46639" w:rsidRPr="0028033B" w:rsidRDefault="00E46639" w:rsidP="00F16E23">
            <w:pPr>
              <w:pStyle w:val="TableText"/>
              <w:spacing w:before="50" w:after="50"/>
              <w:jc w:val="right"/>
              <w:rPr>
                <w:rFonts w:cs="Calibri"/>
                <w:szCs w:val="16"/>
              </w:rPr>
            </w:pPr>
            <w:r w:rsidRPr="0028033B">
              <w:rPr>
                <w:rFonts w:cs="Calibri"/>
                <w:szCs w:val="16"/>
              </w:rPr>
              <w:t>16.6</w:t>
            </w:r>
          </w:p>
        </w:tc>
        <w:tc>
          <w:tcPr>
            <w:tcW w:w="757" w:type="dxa"/>
            <w:vAlign w:val="bottom"/>
          </w:tcPr>
          <w:p w14:paraId="0E50F01B" w14:textId="77777777" w:rsidR="00E46639" w:rsidRPr="0028033B" w:rsidRDefault="00E46639" w:rsidP="00F16E23">
            <w:pPr>
              <w:pStyle w:val="TableText"/>
              <w:spacing w:before="50" w:after="50"/>
              <w:jc w:val="right"/>
              <w:rPr>
                <w:rFonts w:cs="Calibri"/>
                <w:szCs w:val="16"/>
              </w:rPr>
            </w:pPr>
            <w:r w:rsidRPr="0028033B">
              <w:rPr>
                <w:rFonts w:cs="Calibri"/>
                <w:szCs w:val="16"/>
              </w:rPr>
              <w:t>-88.7</w:t>
            </w:r>
          </w:p>
        </w:tc>
        <w:tc>
          <w:tcPr>
            <w:tcW w:w="507" w:type="dxa"/>
            <w:vAlign w:val="bottom"/>
          </w:tcPr>
          <w:p w14:paraId="5217F7FA" w14:textId="77777777" w:rsidR="00E46639" w:rsidRPr="0028033B" w:rsidRDefault="00E46639" w:rsidP="00F16E23">
            <w:pPr>
              <w:pStyle w:val="TableText"/>
              <w:spacing w:before="50" w:after="50"/>
              <w:jc w:val="right"/>
              <w:rPr>
                <w:rFonts w:cs="Calibri"/>
                <w:szCs w:val="16"/>
              </w:rPr>
            </w:pPr>
            <w:r w:rsidRPr="0028033B">
              <w:rPr>
                <w:rFonts w:cs="Calibri"/>
                <w:szCs w:val="16"/>
              </w:rPr>
              <w:t>-10.7</w:t>
            </w:r>
          </w:p>
        </w:tc>
        <w:tc>
          <w:tcPr>
            <w:tcW w:w="884" w:type="dxa"/>
            <w:vAlign w:val="bottom"/>
          </w:tcPr>
          <w:p w14:paraId="7C910630" w14:textId="77777777" w:rsidR="00E46639" w:rsidRPr="0028033B" w:rsidRDefault="00E46639" w:rsidP="00F16E23">
            <w:pPr>
              <w:pStyle w:val="TableText"/>
              <w:spacing w:before="50" w:after="50"/>
              <w:jc w:val="right"/>
              <w:rPr>
                <w:rFonts w:cs="Calibri"/>
                <w:szCs w:val="16"/>
              </w:rPr>
            </w:pPr>
            <w:r w:rsidRPr="0028033B">
              <w:rPr>
                <w:rFonts w:cs="Calibri"/>
                <w:szCs w:val="16"/>
              </w:rPr>
              <w:t>12.1</w:t>
            </w:r>
          </w:p>
        </w:tc>
        <w:tc>
          <w:tcPr>
            <w:tcW w:w="1010" w:type="dxa"/>
            <w:vAlign w:val="bottom"/>
          </w:tcPr>
          <w:p w14:paraId="62A74D81" w14:textId="77777777" w:rsidR="00E46639" w:rsidRPr="0028033B" w:rsidRDefault="00E46639" w:rsidP="00F16E23">
            <w:pPr>
              <w:pStyle w:val="TableText"/>
              <w:spacing w:before="50" w:after="50"/>
              <w:jc w:val="right"/>
              <w:rPr>
                <w:rFonts w:cs="Calibri"/>
                <w:szCs w:val="16"/>
              </w:rPr>
            </w:pPr>
            <w:r w:rsidRPr="0028033B">
              <w:rPr>
                <w:rFonts w:cs="Calibri"/>
                <w:szCs w:val="16"/>
              </w:rPr>
              <w:t>1.8</w:t>
            </w:r>
          </w:p>
        </w:tc>
      </w:tr>
      <w:tr w:rsidR="00E46639" w:rsidRPr="0028033B" w14:paraId="22084FBA" w14:textId="77777777" w:rsidTr="00F16E23">
        <w:tc>
          <w:tcPr>
            <w:tcW w:w="709" w:type="dxa"/>
            <w:vMerge/>
          </w:tcPr>
          <w:p w14:paraId="2DA97EF9" w14:textId="77777777" w:rsidR="00E46639" w:rsidRPr="0028033B" w:rsidRDefault="00E46639" w:rsidP="00F16E23">
            <w:pPr>
              <w:pStyle w:val="TableText"/>
              <w:spacing w:before="50" w:after="50"/>
              <w:rPr>
                <w:rFonts w:cs="Calibri"/>
                <w:color w:val="000000" w:themeColor="text1"/>
                <w:szCs w:val="16"/>
              </w:rPr>
            </w:pPr>
          </w:p>
        </w:tc>
        <w:tc>
          <w:tcPr>
            <w:tcW w:w="1418" w:type="dxa"/>
          </w:tcPr>
          <w:p w14:paraId="5A78D2A0" w14:textId="77777777" w:rsidR="00E46639" w:rsidRPr="0028033B" w:rsidRDefault="00E46639" w:rsidP="00F16E23">
            <w:pPr>
              <w:pStyle w:val="TableText"/>
              <w:spacing w:before="50" w:after="50"/>
              <w:rPr>
                <w:rFonts w:cs="Calibri"/>
                <w:color w:val="000000" w:themeColor="text1"/>
                <w:szCs w:val="16"/>
              </w:rPr>
            </w:pPr>
            <w:r w:rsidRPr="0028033B">
              <w:rPr>
                <w:rFonts w:cs="Calibri"/>
                <w:color w:val="000000" w:themeColor="text1"/>
                <w:szCs w:val="16"/>
              </w:rPr>
              <w:t>Leaching and runoff</w:t>
            </w:r>
          </w:p>
        </w:tc>
        <w:tc>
          <w:tcPr>
            <w:tcW w:w="618" w:type="dxa"/>
            <w:vAlign w:val="bottom"/>
          </w:tcPr>
          <w:p w14:paraId="6835187E" w14:textId="77777777" w:rsidR="00E46639" w:rsidRPr="0028033B" w:rsidRDefault="00E46639" w:rsidP="00F16E23">
            <w:pPr>
              <w:pStyle w:val="TableText"/>
              <w:spacing w:before="50" w:after="50"/>
              <w:jc w:val="right"/>
              <w:rPr>
                <w:rFonts w:cs="Calibri"/>
                <w:szCs w:val="16"/>
              </w:rPr>
            </w:pPr>
            <w:r w:rsidRPr="0028033B">
              <w:rPr>
                <w:rFonts w:cs="Calibri"/>
                <w:szCs w:val="16"/>
              </w:rPr>
              <w:t>391.7</w:t>
            </w:r>
          </w:p>
        </w:tc>
        <w:tc>
          <w:tcPr>
            <w:tcW w:w="708" w:type="dxa"/>
            <w:vAlign w:val="bottom"/>
          </w:tcPr>
          <w:p w14:paraId="57F987D8" w14:textId="77777777" w:rsidR="00E46639" w:rsidRPr="0028033B" w:rsidRDefault="00E46639" w:rsidP="00F16E23">
            <w:pPr>
              <w:pStyle w:val="TableText"/>
              <w:spacing w:before="50" w:after="50"/>
              <w:jc w:val="right"/>
              <w:rPr>
                <w:rFonts w:cs="Calibri"/>
                <w:szCs w:val="16"/>
              </w:rPr>
            </w:pPr>
            <w:r w:rsidRPr="0028033B">
              <w:rPr>
                <w:rFonts w:cs="Calibri"/>
                <w:szCs w:val="16"/>
              </w:rPr>
              <w:t>514.6</w:t>
            </w:r>
          </w:p>
        </w:tc>
        <w:tc>
          <w:tcPr>
            <w:tcW w:w="635" w:type="dxa"/>
            <w:vAlign w:val="bottom"/>
          </w:tcPr>
          <w:p w14:paraId="1ADD3CCB" w14:textId="77777777" w:rsidR="00E46639" w:rsidRPr="0028033B" w:rsidRDefault="00E46639" w:rsidP="00F16E23">
            <w:pPr>
              <w:pStyle w:val="TableText"/>
              <w:spacing w:before="50" w:after="50"/>
              <w:jc w:val="right"/>
              <w:rPr>
                <w:rFonts w:cs="Calibri"/>
                <w:szCs w:val="16"/>
              </w:rPr>
            </w:pPr>
            <w:r w:rsidRPr="0028033B">
              <w:rPr>
                <w:rFonts w:cs="Calibri"/>
                <w:szCs w:val="16"/>
              </w:rPr>
              <w:t>476.3</w:t>
            </w:r>
          </w:p>
        </w:tc>
        <w:tc>
          <w:tcPr>
            <w:tcW w:w="756" w:type="dxa"/>
            <w:vAlign w:val="bottom"/>
          </w:tcPr>
          <w:p w14:paraId="3471EAA0" w14:textId="77777777" w:rsidR="00E46639" w:rsidRPr="0028033B" w:rsidRDefault="00E46639" w:rsidP="00F16E23">
            <w:pPr>
              <w:pStyle w:val="TableText"/>
              <w:tabs>
                <w:tab w:val="center" w:pos="400"/>
                <w:tab w:val="right" w:pos="801"/>
              </w:tabs>
              <w:spacing w:before="50" w:after="50"/>
              <w:jc w:val="right"/>
              <w:rPr>
                <w:rFonts w:cs="Calibri"/>
                <w:szCs w:val="16"/>
              </w:rPr>
            </w:pPr>
            <w:r w:rsidRPr="0028033B">
              <w:rPr>
                <w:rFonts w:cs="Calibri"/>
                <w:szCs w:val="16"/>
              </w:rPr>
              <w:t>84.6</w:t>
            </w:r>
          </w:p>
        </w:tc>
        <w:tc>
          <w:tcPr>
            <w:tcW w:w="508" w:type="dxa"/>
            <w:vAlign w:val="bottom"/>
          </w:tcPr>
          <w:p w14:paraId="1142BC6B" w14:textId="77777777" w:rsidR="00E46639" w:rsidRPr="0028033B" w:rsidRDefault="00E46639" w:rsidP="00F16E23">
            <w:pPr>
              <w:pStyle w:val="TableText"/>
              <w:spacing w:before="50" w:after="50"/>
              <w:jc w:val="right"/>
              <w:rPr>
                <w:rFonts w:cs="Calibri"/>
                <w:szCs w:val="16"/>
              </w:rPr>
            </w:pPr>
            <w:r w:rsidRPr="0028033B">
              <w:rPr>
                <w:rFonts w:cs="Calibri"/>
                <w:szCs w:val="16"/>
              </w:rPr>
              <w:t>21.6</w:t>
            </w:r>
          </w:p>
        </w:tc>
        <w:tc>
          <w:tcPr>
            <w:tcW w:w="757" w:type="dxa"/>
            <w:vAlign w:val="bottom"/>
          </w:tcPr>
          <w:p w14:paraId="48430281" w14:textId="77777777" w:rsidR="00E46639" w:rsidRPr="0028033B" w:rsidRDefault="00E46639" w:rsidP="00F16E23">
            <w:pPr>
              <w:pStyle w:val="TableText"/>
              <w:spacing w:before="50" w:after="50"/>
              <w:jc w:val="right"/>
              <w:rPr>
                <w:rFonts w:cs="Calibri"/>
                <w:szCs w:val="16"/>
              </w:rPr>
            </w:pPr>
            <w:r w:rsidRPr="0028033B">
              <w:rPr>
                <w:rFonts w:cs="Calibri"/>
                <w:szCs w:val="16"/>
              </w:rPr>
              <w:t>-38.3</w:t>
            </w:r>
          </w:p>
        </w:tc>
        <w:tc>
          <w:tcPr>
            <w:tcW w:w="507" w:type="dxa"/>
            <w:vAlign w:val="bottom"/>
          </w:tcPr>
          <w:p w14:paraId="4DC3DA17" w14:textId="77777777" w:rsidR="00E46639" w:rsidRPr="0028033B" w:rsidRDefault="00E46639" w:rsidP="00F16E23">
            <w:pPr>
              <w:pStyle w:val="TableText"/>
              <w:spacing w:before="50" w:after="50"/>
              <w:jc w:val="right"/>
              <w:rPr>
                <w:rFonts w:cs="Calibri"/>
                <w:szCs w:val="16"/>
              </w:rPr>
            </w:pPr>
            <w:r w:rsidRPr="0028033B">
              <w:rPr>
                <w:rFonts w:cs="Calibri"/>
                <w:szCs w:val="16"/>
              </w:rPr>
              <w:t>-7.4</w:t>
            </w:r>
          </w:p>
        </w:tc>
        <w:tc>
          <w:tcPr>
            <w:tcW w:w="884" w:type="dxa"/>
            <w:vAlign w:val="bottom"/>
          </w:tcPr>
          <w:p w14:paraId="6D928C47" w14:textId="77777777" w:rsidR="00E46639" w:rsidRPr="0028033B" w:rsidRDefault="00E46639" w:rsidP="00F16E23">
            <w:pPr>
              <w:pStyle w:val="TableText"/>
              <w:spacing w:before="50" w:after="50"/>
              <w:jc w:val="right"/>
              <w:rPr>
                <w:rFonts w:cs="Calibri"/>
                <w:szCs w:val="16"/>
              </w:rPr>
            </w:pPr>
            <w:r w:rsidRPr="0028033B">
              <w:rPr>
                <w:rFonts w:cs="Calibri"/>
                <w:szCs w:val="16"/>
              </w:rPr>
              <w:t>7.8</w:t>
            </w:r>
          </w:p>
        </w:tc>
        <w:tc>
          <w:tcPr>
            <w:tcW w:w="1010" w:type="dxa"/>
            <w:vAlign w:val="bottom"/>
          </w:tcPr>
          <w:p w14:paraId="2A1C7D86" w14:textId="77777777" w:rsidR="00E46639" w:rsidRPr="0028033B" w:rsidRDefault="00E46639" w:rsidP="00F16E23">
            <w:pPr>
              <w:pStyle w:val="TableText"/>
              <w:spacing w:before="50" w:after="50"/>
              <w:jc w:val="right"/>
              <w:rPr>
                <w:rFonts w:cs="Calibri"/>
                <w:szCs w:val="16"/>
              </w:rPr>
            </w:pPr>
            <w:r w:rsidRPr="0028033B">
              <w:rPr>
                <w:rFonts w:cs="Calibri"/>
                <w:szCs w:val="16"/>
              </w:rPr>
              <w:t>1.2</w:t>
            </w:r>
          </w:p>
        </w:tc>
      </w:tr>
      <w:tr w:rsidR="00E46639" w:rsidRPr="0028033B" w14:paraId="222D0B15" w14:textId="77777777" w:rsidTr="00F16E23">
        <w:tc>
          <w:tcPr>
            <w:tcW w:w="2127" w:type="dxa"/>
            <w:gridSpan w:val="2"/>
          </w:tcPr>
          <w:p w14:paraId="33E76870" w14:textId="77777777" w:rsidR="00E46639" w:rsidRPr="0028033B" w:rsidRDefault="00E46639" w:rsidP="00F16E23">
            <w:pPr>
              <w:pStyle w:val="TableText"/>
              <w:spacing w:before="50" w:after="50"/>
              <w:rPr>
                <w:rFonts w:cs="Calibri"/>
                <w:b/>
                <w:color w:val="000000" w:themeColor="text1"/>
                <w:szCs w:val="16"/>
              </w:rPr>
            </w:pPr>
            <w:r w:rsidRPr="0028033B">
              <w:rPr>
                <w:rFonts w:cs="Calibri"/>
                <w:b/>
                <w:color w:val="000000" w:themeColor="text1"/>
                <w:szCs w:val="16"/>
              </w:rPr>
              <w:t xml:space="preserve">Total </w:t>
            </w:r>
            <w:r w:rsidRPr="0028033B">
              <w:rPr>
                <w:rFonts w:cs="Calibri"/>
                <w:b/>
                <w:i/>
                <w:color w:val="000000" w:themeColor="text1"/>
                <w:szCs w:val="16"/>
              </w:rPr>
              <w:t>Agricultural soils</w:t>
            </w:r>
          </w:p>
        </w:tc>
        <w:tc>
          <w:tcPr>
            <w:tcW w:w="618" w:type="dxa"/>
            <w:vAlign w:val="bottom"/>
          </w:tcPr>
          <w:p w14:paraId="4F9E70AC" w14:textId="77777777" w:rsidR="00E46639" w:rsidRPr="0028033B" w:rsidRDefault="00E46639" w:rsidP="00F16E23">
            <w:pPr>
              <w:pStyle w:val="TableText"/>
              <w:spacing w:before="50" w:after="50"/>
              <w:jc w:val="right"/>
              <w:rPr>
                <w:rFonts w:cs="Calibri"/>
                <w:b/>
                <w:szCs w:val="16"/>
              </w:rPr>
            </w:pPr>
            <w:r w:rsidRPr="0028033B">
              <w:rPr>
                <w:rFonts w:cs="Calibri"/>
                <w:szCs w:val="16"/>
              </w:rPr>
              <w:t>4,460.4</w:t>
            </w:r>
          </w:p>
        </w:tc>
        <w:tc>
          <w:tcPr>
            <w:tcW w:w="708" w:type="dxa"/>
            <w:vAlign w:val="bottom"/>
          </w:tcPr>
          <w:p w14:paraId="0C55441D" w14:textId="77777777" w:rsidR="00E46639" w:rsidRPr="0028033B" w:rsidRDefault="00E46639" w:rsidP="00F16E23">
            <w:pPr>
              <w:pStyle w:val="TableText"/>
              <w:spacing w:before="50" w:after="50"/>
              <w:jc w:val="right"/>
              <w:rPr>
                <w:rFonts w:cs="Calibri"/>
                <w:szCs w:val="16"/>
              </w:rPr>
            </w:pPr>
            <w:r w:rsidRPr="0028033B">
              <w:rPr>
                <w:rFonts w:cs="Calibri"/>
                <w:szCs w:val="16"/>
              </w:rPr>
              <w:t>6,192.9</w:t>
            </w:r>
          </w:p>
        </w:tc>
        <w:tc>
          <w:tcPr>
            <w:tcW w:w="635" w:type="dxa"/>
            <w:vAlign w:val="bottom"/>
          </w:tcPr>
          <w:p w14:paraId="3E22C6E8" w14:textId="77777777" w:rsidR="00E46639" w:rsidRPr="0028033B" w:rsidRDefault="00E46639" w:rsidP="00F16E23">
            <w:pPr>
              <w:pStyle w:val="TableText"/>
              <w:spacing w:before="50" w:after="50"/>
              <w:jc w:val="right"/>
              <w:rPr>
                <w:rFonts w:cs="Calibri"/>
                <w:b/>
                <w:szCs w:val="16"/>
              </w:rPr>
            </w:pPr>
            <w:r w:rsidRPr="0028033B">
              <w:rPr>
                <w:rFonts w:cs="Calibri"/>
                <w:szCs w:val="16"/>
              </w:rPr>
              <w:t>6,127.6</w:t>
            </w:r>
          </w:p>
        </w:tc>
        <w:tc>
          <w:tcPr>
            <w:tcW w:w="756" w:type="dxa"/>
            <w:vAlign w:val="bottom"/>
          </w:tcPr>
          <w:p w14:paraId="573578DD" w14:textId="77777777" w:rsidR="00E46639" w:rsidRPr="0028033B" w:rsidRDefault="00E46639" w:rsidP="00F16E23">
            <w:pPr>
              <w:pStyle w:val="TableText"/>
              <w:tabs>
                <w:tab w:val="center" w:pos="400"/>
                <w:tab w:val="right" w:pos="801"/>
              </w:tabs>
              <w:spacing w:before="50" w:after="50"/>
              <w:jc w:val="right"/>
              <w:rPr>
                <w:rFonts w:cs="Calibri"/>
                <w:b/>
                <w:szCs w:val="16"/>
              </w:rPr>
            </w:pPr>
            <w:r w:rsidRPr="0028033B">
              <w:rPr>
                <w:rFonts w:cs="Calibri"/>
                <w:szCs w:val="16"/>
              </w:rPr>
              <w:t>1,667.1</w:t>
            </w:r>
          </w:p>
        </w:tc>
        <w:tc>
          <w:tcPr>
            <w:tcW w:w="508" w:type="dxa"/>
            <w:vAlign w:val="bottom"/>
          </w:tcPr>
          <w:p w14:paraId="396A942C" w14:textId="77777777" w:rsidR="00E46639" w:rsidRPr="0028033B" w:rsidRDefault="00E46639" w:rsidP="00F16E23">
            <w:pPr>
              <w:pStyle w:val="TableText"/>
              <w:spacing w:before="50" w:after="50"/>
              <w:jc w:val="right"/>
              <w:rPr>
                <w:rFonts w:cs="Calibri"/>
                <w:b/>
                <w:szCs w:val="16"/>
              </w:rPr>
            </w:pPr>
            <w:r w:rsidRPr="0028033B">
              <w:rPr>
                <w:rFonts w:cs="Calibri"/>
                <w:szCs w:val="16"/>
              </w:rPr>
              <w:t>37.4</w:t>
            </w:r>
          </w:p>
        </w:tc>
        <w:tc>
          <w:tcPr>
            <w:tcW w:w="757" w:type="dxa"/>
            <w:vAlign w:val="bottom"/>
          </w:tcPr>
          <w:p w14:paraId="48C32650" w14:textId="77777777" w:rsidR="00E46639" w:rsidRPr="0028033B" w:rsidRDefault="00E46639" w:rsidP="00F16E23">
            <w:pPr>
              <w:pStyle w:val="TableText"/>
              <w:spacing w:before="50" w:after="50"/>
              <w:jc w:val="right"/>
              <w:rPr>
                <w:rFonts w:cs="Calibri"/>
                <w:szCs w:val="16"/>
              </w:rPr>
            </w:pPr>
            <w:r w:rsidRPr="0028033B">
              <w:rPr>
                <w:rFonts w:cs="Calibri"/>
                <w:szCs w:val="16"/>
              </w:rPr>
              <w:t>-65.3</w:t>
            </w:r>
          </w:p>
        </w:tc>
        <w:tc>
          <w:tcPr>
            <w:tcW w:w="507" w:type="dxa"/>
            <w:vAlign w:val="bottom"/>
          </w:tcPr>
          <w:p w14:paraId="01A1AC19" w14:textId="77777777" w:rsidR="00E46639" w:rsidRPr="0028033B" w:rsidRDefault="00E46639" w:rsidP="00F16E23">
            <w:pPr>
              <w:pStyle w:val="TableText"/>
              <w:spacing w:before="50" w:after="50"/>
              <w:jc w:val="right"/>
              <w:rPr>
                <w:rFonts w:cs="Calibri"/>
                <w:szCs w:val="16"/>
              </w:rPr>
            </w:pPr>
            <w:r w:rsidRPr="0028033B">
              <w:rPr>
                <w:rFonts w:cs="Calibri"/>
                <w:szCs w:val="16"/>
              </w:rPr>
              <w:t>-1.1</w:t>
            </w:r>
          </w:p>
        </w:tc>
        <w:tc>
          <w:tcPr>
            <w:tcW w:w="884" w:type="dxa"/>
            <w:vAlign w:val="bottom"/>
          </w:tcPr>
          <w:p w14:paraId="3253F72D" w14:textId="77777777" w:rsidR="00E46639" w:rsidRPr="0028033B" w:rsidRDefault="00E46639" w:rsidP="00F16E23">
            <w:pPr>
              <w:pStyle w:val="TableText"/>
              <w:spacing w:before="50" w:after="50"/>
              <w:jc w:val="right"/>
              <w:rPr>
                <w:rFonts w:cs="Calibri"/>
                <w:b/>
                <w:szCs w:val="16"/>
              </w:rPr>
            </w:pPr>
            <w:r w:rsidRPr="0028033B">
              <w:rPr>
                <w:rFonts w:cs="Calibri"/>
                <w:szCs w:val="16"/>
              </w:rPr>
              <w:t>100.0</w:t>
            </w:r>
          </w:p>
        </w:tc>
        <w:tc>
          <w:tcPr>
            <w:tcW w:w="1010" w:type="dxa"/>
            <w:vAlign w:val="bottom"/>
          </w:tcPr>
          <w:p w14:paraId="5A3E46C0" w14:textId="77777777" w:rsidR="00E46639" w:rsidRPr="0028033B" w:rsidRDefault="00E46639" w:rsidP="00F16E23">
            <w:pPr>
              <w:pStyle w:val="TableText"/>
              <w:spacing w:before="50" w:after="50"/>
              <w:jc w:val="right"/>
              <w:rPr>
                <w:rFonts w:cs="Calibri"/>
                <w:b/>
                <w:szCs w:val="16"/>
              </w:rPr>
            </w:pPr>
            <w:r w:rsidRPr="0028033B">
              <w:rPr>
                <w:rFonts w:cs="Calibri"/>
                <w:szCs w:val="16"/>
              </w:rPr>
              <w:t>15.3</w:t>
            </w:r>
          </w:p>
        </w:tc>
      </w:tr>
    </w:tbl>
    <w:p w14:paraId="350EDFD3" w14:textId="77777777" w:rsidR="00E46639" w:rsidRPr="0028033B" w:rsidRDefault="00E46639" w:rsidP="00E46639">
      <w:pPr>
        <w:pStyle w:val="Noteundertable"/>
        <w:rPr>
          <w:rFonts w:cs="Calibri"/>
        </w:rPr>
      </w:pPr>
      <w:r w:rsidRPr="0028033B">
        <w:rPr>
          <w:rFonts w:cs="Calibri"/>
          <w:b/>
          <w:bCs/>
        </w:rPr>
        <w:t>Note:</w:t>
      </w:r>
      <w:r w:rsidRPr="0028033B">
        <w:rPr>
          <w:rFonts w:cs="Calibri"/>
        </w:rPr>
        <w:tab/>
        <w:t xml:space="preserve">Columns may not add due to rounding. Percentages presented are calculated from unrounded values. </w:t>
      </w:r>
    </w:p>
    <w:p w14:paraId="16AD682A" w14:textId="77777777" w:rsidR="00E46639" w:rsidRPr="0028033B" w:rsidRDefault="00E46639" w:rsidP="00E46639">
      <w:pPr>
        <w:pStyle w:val="Heading3"/>
      </w:pPr>
      <w:bookmarkStart w:id="1148" w:name="_Toc139253934"/>
      <w:bookmarkStart w:id="1149" w:name="_Toc32570668"/>
      <w:r w:rsidRPr="0028033B">
        <w:t>5.5.2</w:t>
      </w:r>
      <w:r w:rsidRPr="0028033B">
        <w:tab/>
        <w:t>Methodological issues</w:t>
      </w:r>
      <w:bookmarkEnd w:id="1148"/>
      <w:bookmarkEnd w:id="1149"/>
      <w:r w:rsidRPr="0028033B">
        <w:t xml:space="preserve"> </w:t>
      </w:r>
    </w:p>
    <w:p w14:paraId="1581C3D0" w14:textId="77777777" w:rsidR="00E46639" w:rsidRPr="0028033B" w:rsidRDefault="00E46639" w:rsidP="00E46639">
      <w:pPr>
        <w:pStyle w:val="BodyText"/>
        <w:spacing w:before="100" w:after="100"/>
      </w:pPr>
      <w:r w:rsidRPr="0028033B">
        <w:rPr>
          <w:rFonts w:cs="Calibri"/>
        </w:rPr>
        <w:t>New Zealand</w:t>
      </w:r>
      <w:r w:rsidRPr="0028033B">
        <w:t xml:space="preserve"> uses methodologies based on the 2006 IPCC Guidelines (IPCC, 2006), outputs of the Tier 2 livestock population characterisation, modelling of the livestock nutrition and energy requirements, and some country-specific equations to calculate N</w:t>
      </w:r>
      <w:r w:rsidRPr="0028033B">
        <w:rPr>
          <w:vertAlign w:val="subscript"/>
        </w:rPr>
        <w:t>2</w:t>
      </w:r>
      <w:r w:rsidRPr="0028033B">
        <w:t>O emissions from </w:t>
      </w:r>
      <w:r w:rsidRPr="0028033B">
        <w:rPr>
          <w:i/>
          <w:iCs/>
        </w:rPr>
        <w:t>Agricultural soils</w:t>
      </w:r>
      <w:r w:rsidRPr="0028033B">
        <w:t>. A combination of default and country-specific emission factors and parameters is also used to calculate emissions from this category. Details on these emission factors and parameters are listed in tables 5.5.2 and 5.5.3; volume 2, annex 5, tables A5.1.5, A5.1.6 and A5.1.7; and in table 5.5.5 for mitigation technologies.</w:t>
      </w:r>
    </w:p>
    <w:p w14:paraId="2E41D104" w14:textId="77777777" w:rsidR="00E46639" w:rsidRPr="0028033B" w:rsidRDefault="00E46639" w:rsidP="00E46639">
      <w:pPr>
        <w:pStyle w:val="BodyText"/>
      </w:pPr>
      <w:r w:rsidRPr="0028033B">
        <w:t xml:space="preserve">The largest inputs of nitrogen to agricultural soils are manure (urine and dung) from grazing livestock and synthetic nitrogen fertilisers, which together contribute just over two thirds of emissions from the </w:t>
      </w:r>
      <w:r w:rsidRPr="0028033B">
        <w:rPr>
          <w:i/>
          <w:iCs/>
        </w:rPr>
        <w:t>Agricultural soils</w:t>
      </w:r>
      <w:r w:rsidRPr="0028033B">
        <w:t xml:space="preserve"> category. The following paragraphs provide an overview of the ongoing country-specific improvements made to the </w:t>
      </w:r>
      <w:r w:rsidRPr="0028033B">
        <w:rPr>
          <w:i/>
          <w:iCs/>
        </w:rPr>
        <w:t>Agricultural soils</w:t>
      </w:r>
      <w:r w:rsidRPr="0028033B">
        <w:t xml:space="preserve"> category.</w:t>
      </w:r>
    </w:p>
    <w:p w14:paraId="2DFC40C0" w14:textId="77777777" w:rsidR="00E46639" w:rsidRPr="0028033B" w:rsidRDefault="00E46639" w:rsidP="00E46639">
      <w:pPr>
        <w:pStyle w:val="Heading4"/>
      </w:pPr>
      <w:r w:rsidRPr="0028033B">
        <w:t xml:space="preserve">Overview of research and improvements in the </w:t>
      </w:r>
      <w:r w:rsidRPr="0028033B">
        <w:rPr>
          <w:i/>
        </w:rPr>
        <w:t>Agricultural soils</w:t>
      </w:r>
      <w:r w:rsidRPr="0028033B">
        <w:t xml:space="preserve"> category</w:t>
      </w:r>
    </w:p>
    <w:p w14:paraId="414CC55D" w14:textId="77777777" w:rsidR="00E46639" w:rsidRPr="0028033B" w:rsidRDefault="00E46639" w:rsidP="00E46639">
      <w:pPr>
        <w:pStyle w:val="BodyText"/>
      </w:pPr>
      <w:r w:rsidRPr="0028033B">
        <w:t xml:space="preserve">Considerable research effort has gone into establishing </w:t>
      </w:r>
      <w:r w:rsidRPr="0028033B" w:rsidDel="00F57B85">
        <w:rPr>
          <w:rFonts w:cs="Calibri"/>
        </w:rPr>
        <w:t xml:space="preserve">New </w:t>
      </w:r>
      <w:r w:rsidRPr="0028033B">
        <w:rPr>
          <w:rFonts w:cs="Calibri"/>
        </w:rPr>
        <w:t>Zealand</w:t>
      </w:r>
      <w:r w:rsidRPr="0028033B">
        <w:t>-specific emission factors for emissions from synthetic fertiliser application (EF</w:t>
      </w:r>
      <w:r w:rsidRPr="0028033B">
        <w:rPr>
          <w:vertAlign w:val="subscript"/>
        </w:rPr>
        <w:t>1</w:t>
      </w:r>
      <w:r w:rsidRPr="0028033B">
        <w:t>) and emissions from manure deposition onto pasture by grazing livestock (EF</w:t>
      </w:r>
      <w:r w:rsidRPr="0028033B">
        <w:rPr>
          <w:vertAlign w:val="subscript"/>
        </w:rPr>
        <w:t>3,PRP</w:t>
      </w:r>
      <w:r w:rsidRPr="0028033B">
        <w:t xml:space="preserve">). In </w:t>
      </w:r>
      <w:r w:rsidRPr="0028033B">
        <w:rPr>
          <w:rFonts w:cs="Calibri"/>
        </w:rPr>
        <w:t>New Zealand</w:t>
      </w:r>
      <w:r w:rsidRPr="0028033B">
        <w:t xml:space="preserve">, most livestock waste is excreted directly onto pasture during grazing (see table 5.3.2). </w:t>
      </w:r>
    </w:p>
    <w:p w14:paraId="393C62CB" w14:textId="77777777" w:rsidR="00E46639" w:rsidRPr="0028033B" w:rsidRDefault="00E46639" w:rsidP="00E46639">
      <w:pPr>
        <w:pStyle w:val="BodyText"/>
      </w:pPr>
      <w:r w:rsidRPr="0028033B">
        <w:t>Direct N</w:t>
      </w:r>
      <w:r w:rsidRPr="0028033B">
        <w:rPr>
          <w:vertAlign w:val="subscript"/>
        </w:rPr>
        <w:t>2</w:t>
      </w:r>
      <w:r w:rsidRPr="0028033B">
        <w:t xml:space="preserve">O emission factors for dung and urine are separated based on livestock type (for </w:t>
      </w:r>
      <w:r w:rsidRPr="0028033B">
        <w:rPr>
          <w:i/>
          <w:iCs/>
        </w:rPr>
        <w:t>Dairy cattle</w:t>
      </w:r>
      <w:r w:rsidRPr="0028033B">
        <w:t xml:space="preserve">, </w:t>
      </w:r>
      <w:r w:rsidRPr="0028033B">
        <w:rPr>
          <w:i/>
          <w:iCs/>
        </w:rPr>
        <w:t>Non-dairy</w:t>
      </w:r>
      <w:r w:rsidRPr="0028033B">
        <w:t xml:space="preserve"> </w:t>
      </w:r>
      <w:r w:rsidRPr="0028033B">
        <w:rPr>
          <w:i/>
          <w:iCs/>
        </w:rPr>
        <w:t>cattle</w:t>
      </w:r>
      <w:r w:rsidRPr="0028033B">
        <w:t xml:space="preserve">, </w:t>
      </w:r>
      <w:r w:rsidRPr="0028033B">
        <w:rPr>
          <w:i/>
          <w:iCs/>
        </w:rPr>
        <w:t>Sheep</w:t>
      </w:r>
      <w:r w:rsidRPr="0028033B">
        <w:t xml:space="preserve"> and </w:t>
      </w:r>
      <w:r w:rsidRPr="0028033B">
        <w:rPr>
          <w:i/>
          <w:iCs/>
        </w:rPr>
        <w:t>Deer</w:t>
      </w:r>
      <w:r w:rsidRPr="0028033B">
        <w:t>) and hill slope category based on research by Saggar et al. (2015) and van der Weerden et al. (2019, 2020) (see table 5.5.3). A ‘nutrient transfer model’ developed by Saggar et al. (2015) is used to calculate the amount of dung and urine deposited on different hill slope categories. Around 79 percent of sloped land on sheep, non-dairy and deer farms is classed as medium (12–24 degrees) or steep (greater than 24 degrees) sloped land (see volume 2, annex 5, figure A5.1.3).</w:t>
      </w:r>
    </w:p>
    <w:p w14:paraId="5CA6CFB3" w14:textId="77777777" w:rsidR="00E46639" w:rsidRPr="0028033B" w:rsidRDefault="00E46639" w:rsidP="00E46639">
      <w:pPr>
        <w:pStyle w:val="BodyText"/>
      </w:pPr>
      <w:r w:rsidRPr="0028033B">
        <w:t xml:space="preserve">For minor livestock categories, such as </w:t>
      </w:r>
      <w:r w:rsidRPr="0028033B">
        <w:rPr>
          <w:i/>
          <w:iCs/>
        </w:rPr>
        <w:t>Horses</w:t>
      </w:r>
      <w:r w:rsidRPr="0028033B">
        <w:t xml:space="preserve">, </w:t>
      </w:r>
      <w:r w:rsidRPr="0028033B">
        <w:rPr>
          <w:i/>
          <w:iCs/>
        </w:rPr>
        <w:t>Llamas and</w:t>
      </w:r>
      <w:r w:rsidRPr="0028033B">
        <w:t xml:space="preserve"> </w:t>
      </w:r>
      <w:r w:rsidRPr="0028033B">
        <w:rPr>
          <w:i/>
          <w:iCs/>
        </w:rPr>
        <w:t>alpacas</w:t>
      </w:r>
      <w:r w:rsidRPr="0028033B">
        <w:t>,</w:t>
      </w:r>
      <w:r w:rsidRPr="0028033B">
        <w:rPr>
          <w:i/>
          <w:iCs/>
        </w:rPr>
        <w:t xml:space="preserve"> Poultry</w:t>
      </w:r>
      <w:r w:rsidRPr="0028033B">
        <w:t>,</w:t>
      </w:r>
      <w:r w:rsidRPr="0028033B">
        <w:rPr>
          <w:i/>
          <w:iCs/>
        </w:rPr>
        <w:t xml:space="preserve"> Swine</w:t>
      </w:r>
      <w:r w:rsidRPr="0028033B">
        <w:t>,</w:t>
      </w:r>
      <w:r w:rsidRPr="0028033B">
        <w:rPr>
          <w:i/>
          <w:iCs/>
        </w:rPr>
        <w:t xml:space="preserve"> Goats</w:t>
      </w:r>
      <w:r w:rsidRPr="0028033B">
        <w:t xml:space="preserve"> and</w:t>
      </w:r>
      <w:r w:rsidRPr="0028033B">
        <w:rPr>
          <w:i/>
          <w:iCs/>
        </w:rPr>
        <w:t xml:space="preserve"> Mules and asses</w:t>
      </w:r>
      <w:r w:rsidRPr="0028033B">
        <w:t xml:space="preserve">, </w:t>
      </w:r>
      <w:r w:rsidRPr="0028033B" w:rsidDel="003C4BB2">
        <w:rPr>
          <w:rFonts w:cs="Calibri"/>
        </w:rPr>
        <w:t xml:space="preserve">New </w:t>
      </w:r>
      <w:r w:rsidRPr="0028033B">
        <w:rPr>
          <w:rFonts w:cs="Calibri"/>
        </w:rPr>
        <w:t>Zealand</w:t>
      </w:r>
      <w:r w:rsidRPr="0028033B">
        <w:t xml:space="preserve"> uses IPCC default emission factors and methodology. Research conducted in </w:t>
      </w:r>
      <w:r w:rsidRPr="0028033B" w:rsidDel="00271F52">
        <w:rPr>
          <w:rFonts w:cs="Calibri"/>
        </w:rPr>
        <w:t xml:space="preserve">New </w:t>
      </w:r>
      <w:r w:rsidRPr="0028033B">
        <w:rPr>
          <w:rFonts w:cs="Calibri"/>
        </w:rPr>
        <w:t>Zealand</w:t>
      </w:r>
      <w:r w:rsidRPr="0028033B">
        <w:t xml:space="preserve"> confirmed that the IPCC default emission factors and methodology for direct N</w:t>
      </w:r>
      <w:r w:rsidRPr="0028033B">
        <w:rPr>
          <w:vertAlign w:val="subscript"/>
        </w:rPr>
        <w:t>2</w:t>
      </w:r>
      <w:r w:rsidRPr="0028033B">
        <w:t>O emissions from manure deposited on soil (EF</w:t>
      </w:r>
      <w:r w:rsidRPr="0028033B">
        <w:rPr>
          <w:vertAlign w:val="subscript"/>
        </w:rPr>
        <w:t>3,PRP-MINOR</w:t>
      </w:r>
      <w:r w:rsidRPr="0028033B">
        <w:t xml:space="preserve">) are appropriate for </w:t>
      </w:r>
      <w:r w:rsidRPr="0028033B" w:rsidDel="00271F52">
        <w:rPr>
          <w:rFonts w:cs="Calibri"/>
        </w:rPr>
        <w:t>New</w:t>
      </w:r>
      <w:r w:rsidRPr="0028033B">
        <w:rPr>
          <w:rFonts w:cs="Calibri"/>
        </w:rPr>
        <w:t> Zealand</w:t>
      </w:r>
      <w:r w:rsidRPr="0028033B">
        <w:t xml:space="preserve"> conditions (Carran et al., 1995; de Klein et al., 2003; Muller et al., 1995).</w:t>
      </w:r>
    </w:p>
    <w:p w14:paraId="067AEA96" w14:textId="77777777" w:rsidR="00E46639" w:rsidRPr="0028033B" w:rsidRDefault="00E46639" w:rsidP="00E46639">
      <w:pPr>
        <w:pStyle w:val="BodyText"/>
      </w:pPr>
      <w:r w:rsidRPr="0028033B">
        <w:t>The EF</w:t>
      </w:r>
      <w:r w:rsidRPr="0028033B">
        <w:rPr>
          <w:vertAlign w:val="subscript"/>
        </w:rPr>
        <w:t>1(UREA)</w:t>
      </w:r>
      <w:r w:rsidRPr="0028033B">
        <w:t xml:space="preserve"> value was changed to 0.0059 in 2017, following a recommendation from the Agriculture Inventory Advisory Panel in 2016. The Panel agreed that the value of 0.0059, based on research by van der Weerden et al. (2016a), was more representative of New Zealand farming practices and conditions, where only small (30–50 kg N/ha/application) urea dressings are applied but on several occasions during a year. The lower value of EF</w:t>
      </w:r>
      <w:r w:rsidRPr="0028033B">
        <w:rPr>
          <w:vertAlign w:val="subscript"/>
        </w:rPr>
        <w:t>1(UREA)</w:t>
      </w:r>
      <w:r w:rsidRPr="0028033B">
        <w:t>, compared with the IPCC default of 0.01, is comparable with studies conducted in Australia (Chen et al., 2010; Galbally et al., 2005) and The Netherlands (Kuikman et al., 2006), which have found EF</w:t>
      </w:r>
      <w:r w:rsidRPr="0028033B">
        <w:rPr>
          <w:vertAlign w:val="subscript"/>
        </w:rPr>
        <w:t>1</w:t>
      </w:r>
      <w:r w:rsidRPr="0028033B">
        <w:t xml:space="preserve"> urea fertiliser values of around 0.005. </w:t>
      </w:r>
    </w:p>
    <w:p w14:paraId="348626D4" w14:textId="77777777" w:rsidR="00E46639" w:rsidRPr="0028033B" w:rsidRDefault="00E46639" w:rsidP="00E46639">
      <w:pPr>
        <w:pStyle w:val="BodyText"/>
      </w:pPr>
      <w:r w:rsidRPr="0028033B">
        <w:rPr>
          <w:spacing w:val="-2"/>
        </w:rPr>
        <w:t>Other synthetic fertilisers took the same EF</w:t>
      </w:r>
      <w:r w:rsidRPr="0028033B">
        <w:rPr>
          <w:spacing w:val="-2"/>
          <w:vertAlign w:val="subscript"/>
        </w:rPr>
        <w:t>1</w:t>
      </w:r>
      <w:r w:rsidRPr="0028033B">
        <w:rPr>
          <w:spacing w:val="-2"/>
        </w:rPr>
        <w:t xml:space="preserve"> value as urea in 2026, following a recommendation</w:t>
      </w:r>
      <w:r w:rsidRPr="0028033B">
        <w:t xml:space="preserve"> from the Agriculture Inventory Advisory Panel in 2025. Research by Luo et al. (</w:t>
      </w:r>
      <w:r w:rsidRPr="0028033B">
        <w:rPr>
          <w:rFonts w:cs="Calibri"/>
        </w:rPr>
        <w:t>unpublished(c)</w:t>
      </w:r>
      <w:r w:rsidRPr="0028033B">
        <w:t>) found the difference in EF</w:t>
      </w:r>
      <w:r w:rsidRPr="0028033B">
        <w:rPr>
          <w:vertAlign w:val="subscript"/>
        </w:rPr>
        <w:t>1</w:t>
      </w:r>
      <w:r w:rsidRPr="0028033B">
        <w:t xml:space="preserve"> values between urea, </w:t>
      </w:r>
      <w:r w:rsidRPr="0028033B">
        <w:rPr>
          <w:rFonts w:eastAsia="Calibri" w:cs="Arial"/>
          <w:lang w:eastAsia="en-US"/>
        </w:rPr>
        <w:t>diammonium phosphate</w:t>
      </w:r>
      <w:r w:rsidRPr="0028033B" w:rsidDel="001F3AAA">
        <w:rPr>
          <w:rFonts w:eastAsia="Calibri" w:cs="Arial"/>
          <w:lang w:eastAsia="en-US"/>
        </w:rPr>
        <w:t xml:space="preserve"> </w:t>
      </w:r>
      <w:r w:rsidRPr="0028033B">
        <w:rPr>
          <w:rFonts w:eastAsia="Calibri" w:cs="Arial"/>
          <w:lang w:eastAsia="en-US"/>
        </w:rPr>
        <w:t xml:space="preserve">and ammonium sulphate </w:t>
      </w:r>
      <w:r w:rsidRPr="0028033B">
        <w:t>fertilisers was not statistically significant. The Panel agreed that the country-specific urea EF</w:t>
      </w:r>
      <w:r w:rsidRPr="0028033B">
        <w:rPr>
          <w:vertAlign w:val="subscript"/>
        </w:rPr>
        <w:t>1</w:t>
      </w:r>
      <w:r w:rsidRPr="0028033B">
        <w:t xml:space="preserve"> value of 0.0059 was more appropriate for non-urea synthetic fertilisers than the IPCC default of 0.01. </w:t>
      </w:r>
      <w:r w:rsidRPr="0028033B">
        <w:rPr>
          <w:rFonts w:eastAsia="Calibri" w:cs="Arial"/>
          <w:lang w:eastAsia="en-US"/>
        </w:rPr>
        <w:t xml:space="preserve">In the Panel’s opinion, it is scientifically defensible to group all ammonium N together. </w:t>
      </w:r>
      <w:r w:rsidRPr="0028033B">
        <w:t>This is supported by international research (Gebremichael</w:t>
      </w:r>
      <w:r w:rsidRPr="0028033B" w:rsidDel="005914F6">
        <w:t xml:space="preserve"> </w:t>
      </w:r>
      <w:r w:rsidRPr="0028033B">
        <w:t>et al., 2021).</w:t>
      </w:r>
      <w:r w:rsidRPr="0028033B">
        <w:rPr>
          <w:rFonts w:eastAsia="Calibri"/>
        </w:rPr>
        <w:t xml:space="preserve"> </w:t>
      </w:r>
      <w:r w:rsidRPr="0028033B">
        <w:rPr>
          <w:rFonts w:eastAsia="Calibri" w:cs="Arial"/>
          <w:lang w:eastAsia="en-US"/>
        </w:rPr>
        <w:t xml:space="preserve">The impact of treating nitrate N separately is small because these make up less than 3 percent of synthetic fertiliser N sold in New Zealand (Fertiliser Association of New Zealand, pers. comm., 2025). </w:t>
      </w:r>
    </w:p>
    <w:p w14:paraId="198C5E8C" w14:textId="77777777" w:rsidR="00E46639" w:rsidRPr="0028033B" w:rsidRDefault="00E46639" w:rsidP="00E46639">
      <w:pPr>
        <w:pStyle w:val="BodyText"/>
      </w:pPr>
      <w:r w:rsidRPr="0028033B">
        <w:rPr>
          <w:rFonts w:cs="Calibri"/>
        </w:rPr>
        <w:t>New Zealand</w:t>
      </w:r>
      <w:r w:rsidRPr="0028033B">
        <w:t xml:space="preserve"> uses a country-specific emission factor for dairy cattle effluent manure (0.0025) applied to soils (van der Weerden et al., 2016a and 2016b). The IPCC (2019) wet climate default value of 0.006 is used for other organic nitrogen inputs, including animal manure from minor livestock species applied to soils, non-manure organic fertilisers, nitrogen mineralisation and crop residues. </w:t>
      </w:r>
    </w:p>
    <w:p w14:paraId="3913D7EF" w14:textId="77777777" w:rsidR="00E46639" w:rsidRPr="0028033B" w:rsidRDefault="00E46639" w:rsidP="00E46639">
      <w:pPr>
        <w:pStyle w:val="BodyText"/>
      </w:pPr>
      <w:r w:rsidRPr="0028033B">
        <w:t>The emission factor for indirect N</w:t>
      </w:r>
      <w:r w:rsidRPr="0028033B">
        <w:rPr>
          <w:vertAlign w:val="subscript"/>
        </w:rPr>
        <w:t>2</w:t>
      </w:r>
      <w:r w:rsidRPr="0028033B">
        <w:t>O emissions from leaching and runoff (EF</w:t>
      </w:r>
      <w:r w:rsidRPr="0028033B">
        <w:rPr>
          <w:vertAlign w:val="subscript"/>
        </w:rPr>
        <w:t>5</w:t>
      </w:r>
      <w:r w:rsidRPr="0028033B">
        <w:t xml:space="preserve">) for rivers, lakes and estuaries has also been reviewed (Clough and Kelliher, 2014). The review concluded that further research is required to develop a country-specific value, and that the IPCC (2006) default emission factor (0.0075) is appropriate for </w:t>
      </w:r>
      <w:r w:rsidRPr="0028033B" w:rsidDel="00FA77EB">
        <w:rPr>
          <w:rFonts w:cs="Calibri"/>
        </w:rPr>
        <w:t xml:space="preserve">New </w:t>
      </w:r>
      <w:r w:rsidRPr="0028033B">
        <w:rPr>
          <w:rFonts w:cs="Calibri"/>
        </w:rPr>
        <w:t>Zealand</w:t>
      </w:r>
      <w:r w:rsidRPr="0028033B">
        <w:t xml:space="preserve"> in the meantime. </w:t>
      </w:r>
    </w:p>
    <w:p w14:paraId="494FB2B5" w14:textId="77777777" w:rsidR="00E46639" w:rsidRPr="0028033B" w:rsidRDefault="00E46639" w:rsidP="00E46639">
      <w:pPr>
        <w:pStyle w:val="BodyText"/>
      </w:pPr>
      <w:r w:rsidRPr="0028033B">
        <w:t>In addition to these coun</w:t>
      </w:r>
      <w:r w:rsidRPr="0028033B">
        <w:rPr>
          <w:spacing w:val="-2"/>
        </w:rPr>
        <w:t xml:space="preserve">try-specific emission factors, </w:t>
      </w:r>
      <w:r w:rsidRPr="0028033B" w:rsidDel="00FA77EB">
        <w:rPr>
          <w:rFonts w:cs="Calibri"/>
        </w:rPr>
        <w:t xml:space="preserve">New </w:t>
      </w:r>
      <w:r w:rsidRPr="0028033B">
        <w:rPr>
          <w:rFonts w:cs="Calibri"/>
        </w:rPr>
        <w:t>Zealand</w:t>
      </w:r>
      <w:r w:rsidRPr="0028033B">
        <w:rPr>
          <w:spacing w:val="-2"/>
        </w:rPr>
        <w:t xml:space="preserve"> has developed country-specific parameters for volatilisation, leaching and nitrogen input from crop residue burning and pasture renewal (see table 5.5.4). </w:t>
      </w:r>
      <w:r w:rsidRPr="0028033B">
        <w:rPr>
          <w:rFonts w:cs="Calibri"/>
        </w:rPr>
        <w:t>New Zealand</w:t>
      </w:r>
      <w:r w:rsidRPr="0028033B">
        <w:rPr>
          <w:spacing w:val="-2"/>
        </w:rPr>
        <w:t xml:space="preserve"> has also incorporated country-specific emission factors and country-specific parameters </w:t>
      </w:r>
      <w:r w:rsidRPr="0028033B">
        <w:t>for calculating emissions from the use of the following N</w:t>
      </w:r>
      <w:r w:rsidRPr="0028033B">
        <w:rPr>
          <w:vertAlign w:val="subscript"/>
        </w:rPr>
        <w:t>2</w:t>
      </w:r>
      <w:r w:rsidRPr="0028033B">
        <w:t xml:space="preserve">O mitigating technologies </w:t>
      </w:r>
      <w:r w:rsidRPr="0028033B">
        <w:rPr>
          <w:spacing w:val="-2"/>
        </w:rPr>
        <w:t>(see table 5.5.5)</w:t>
      </w:r>
      <w:r w:rsidRPr="0028033B">
        <w:t>:</w:t>
      </w:r>
    </w:p>
    <w:p w14:paraId="11879D27" w14:textId="77777777" w:rsidR="00E46639" w:rsidRPr="0028033B" w:rsidRDefault="00E46639" w:rsidP="00E46639">
      <w:pPr>
        <w:pStyle w:val="Bullet"/>
        <w:numPr>
          <w:ilvl w:val="0"/>
          <w:numId w:val="25"/>
        </w:numPr>
      </w:pPr>
      <w:r w:rsidRPr="0028033B">
        <w:t xml:space="preserve">urease inhibitors such as N-butyl thiophosphoric triamide </w:t>
      </w:r>
    </w:p>
    <w:p w14:paraId="1AA49B04" w14:textId="77777777" w:rsidR="00E46639" w:rsidRPr="0028033B" w:rsidRDefault="00E46639" w:rsidP="00E46639">
      <w:pPr>
        <w:pStyle w:val="Bullet"/>
        <w:numPr>
          <w:ilvl w:val="0"/>
          <w:numId w:val="25"/>
        </w:numPr>
        <w:rPr>
          <w:spacing w:val="-2"/>
        </w:rPr>
      </w:pPr>
      <w:r w:rsidRPr="0028033B">
        <w:t xml:space="preserve">dicyandiamide (DCD), a nitrification inhibitor. </w:t>
      </w:r>
    </w:p>
    <w:p w14:paraId="37DBA49F" w14:textId="77777777" w:rsidR="00E46639" w:rsidRPr="0028033B" w:rsidRDefault="00E46639" w:rsidP="00E46639">
      <w:pPr>
        <w:pStyle w:val="Table"/>
        <w:rPr>
          <w:rFonts w:cs="Calibri"/>
        </w:rPr>
      </w:pPr>
      <w:bookmarkStart w:id="1150" w:name="_Toc441830880"/>
      <w:bookmarkStart w:id="1151" w:name="_Toc451176094"/>
      <w:bookmarkStart w:id="1152" w:name="_Toc481751522"/>
      <w:bookmarkStart w:id="1153" w:name="_Toc507158610"/>
      <w:bookmarkStart w:id="1154" w:name="_Toc511116744"/>
      <w:bookmarkStart w:id="1155" w:name="_Toc5269486"/>
      <w:bookmarkStart w:id="1156" w:name="_Toc32570928"/>
      <w:bookmarkStart w:id="1157" w:name="_Toc36224563"/>
      <w:bookmarkStart w:id="1158" w:name="_Toc68786448"/>
      <w:bookmarkStart w:id="1159" w:name="_Toc95574081"/>
      <w:bookmarkStart w:id="1160" w:name="_Toc127458268"/>
      <w:bookmarkStart w:id="1161" w:name="_Toc131591364"/>
      <w:bookmarkStart w:id="1162" w:name="_Toc160114458"/>
      <w:bookmarkStart w:id="1163" w:name="_Toc164153854"/>
      <w:bookmarkStart w:id="1164" w:name="_Toc222407647"/>
      <w:bookmarkStart w:id="1165" w:name="_Toc226669022"/>
      <w:r w:rsidRPr="0028033B">
        <w:rPr>
          <w:rFonts w:cs="Calibri"/>
        </w:rPr>
        <w:t>Table 5.5.2</w:t>
      </w:r>
      <w:r w:rsidRPr="0028033B">
        <w:rPr>
          <w:rFonts w:cs="Calibri"/>
        </w:rPr>
        <w:tab/>
        <w:t>Nitrous oxide (N</w:t>
      </w:r>
      <w:r w:rsidRPr="0028033B">
        <w:rPr>
          <w:rFonts w:cs="Calibri"/>
          <w:vertAlign w:val="subscript"/>
        </w:rPr>
        <w:t>2</w:t>
      </w:r>
      <w:r w:rsidRPr="0028033B">
        <w:rPr>
          <w:rFonts w:cs="Calibri"/>
        </w:rPr>
        <w:t xml:space="preserve">O) emission factors for </w:t>
      </w:r>
      <w:r w:rsidRPr="0028033B">
        <w:rPr>
          <w:rFonts w:cs="Calibri"/>
          <w:i/>
          <w:iCs/>
        </w:rPr>
        <w:t>Agricultural soils</w:t>
      </w:r>
      <w:r w:rsidRPr="0028033B">
        <w:rPr>
          <w:rFonts w:cs="Calibri"/>
        </w:rPr>
        <w:t xml:space="preserve"> in New Zealand</w:t>
      </w:r>
      <w:bookmarkEnd w:id="1150"/>
      <w:bookmarkEnd w:id="1151"/>
      <w:bookmarkEnd w:id="1152"/>
      <w:bookmarkEnd w:id="1153"/>
      <w:bookmarkEnd w:id="1154"/>
      <w:bookmarkEnd w:id="1155"/>
      <w:r w:rsidRPr="0028033B">
        <w:rPr>
          <w:rFonts w:cs="Calibri"/>
        </w:rPr>
        <w:t>,</w:t>
      </w:r>
      <w:r w:rsidRPr="0028033B">
        <w:rPr>
          <w:rFonts w:cs="Calibri"/>
        </w:rPr>
        <w:br/>
        <w:t>excluding EF</w:t>
      </w:r>
      <w:r w:rsidRPr="0028033B">
        <w:rPr>
          <w:rFonts w:cs="Calibri"/>
          <w:vertAlign w:val="subscript"/>
        </w:rPr>
        <w:t>3,PRP</w:t>
      </w:r>
      <w:r w:rsidRPr="0028033B">
        <w:rPr>
          <w:rFonts w:cs="Calibri"/>
          <w:vertAlign w:val="subscript"/>
        </w:rPr>
        <w:noBreakHyphen/>
        <w:t xml:space="preserve"> URINE</w:t>
      </w:r>
      <w:r w:rsidRPr="0028033B">
        <w:rPr>
          <w:rFonts w:cs="Calibri"/>
        </w:rPr>
        <w:t xml:space="preserve"> for cattle, sheep and deer</w:t>
      </w:r>
      <w:bookmarkEnd w:id="1156"/>
      <w:bookmarkEnd w:id="1157"/>
      <w:bookmarkEnd w:id="1158"/>
      <w:bookmarkEnd w:id="1159"/>
      <w:bookmarkEnd w:id="1160"/>
      <w:bookmarkEnd w:id="1161"/>
      <w:bookmarkEnd w:id="1162"/>
      <w:bookmarkEnd w:id="1163"/>
      <w:bookmarkEnd w:id="1164"/>
      <w:bookmarkEnd w:id="1165"/>
    </w:p>
    <w:tbl>
      <w:tblPr>
        <w:tblW w:w="8505"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3233"/>
        <w:gridCol w:w="987"/>
        <w:gridCol w:w="708"/>
        <w:gridCol w:w="1407"/>
        <w:gridCol w:w="2170"/>
      </w:tblGrid>
      <w:tr w:rsidR="00E46639" w:rsidRPr="0028033B" w14:paraId="5BFD0331" w14:textId="77777777" w:rsidTr="00F16E23">
        <w:trPr>
          <w:tblHeader/>
        </w:trPr>
        <w:tc>
          <w:tcPr>
            <w:tcW w:w="3233" w:type="dxa"/>
            <w:tcBorders>
              <w:top w:val="single" w:sz="4" w:space="0" w:color="1B556B" w:themeColor="text2"/>
              <w:bottom w:val="single" w:sz="4" w:space="0" w:color="1B556B" w:themeColor="text2"/>
            </w:tcBorders>
            <w:shd w:val="clear" w:color="auto" w:fill="1B556B"/>
            <w:vAlign w:val="bottom"/>
          </w:tcPr>
          <w:p w14:paraId="00473C23" w14:textId="77777777" w:rsidR="00E46639" w:rsidRPr="0028033B" w:rsidRDefault="00E46639" w:rsidP="00F16E23">
            <w:pPr>
              <w:pStyle w:val="TableTextBold"/>
              <w:keepNext/>
              <w:rPr>
                <w:noProof w:val="0"/>
                <w:color w:val="FFFFFF" w:themeColor="background1"/>
                <w:szCs w:val="16"/>
              </w:rPr>
            </w:pPr>
            <w:r w:rsidRPr="0028033B">
              <w:rPr>
                <w:noProof w:val="0"/>
                <w:color w:val="FFFFFF" w:themeColor="background1"/>
                <w:szCs w:val="16"/>
              </w:rPr>
              <w:t>Category</w:t>
            </w:r>
          </w:p>
        </w:tc>
        <w:tc>
          <w:tcPr>
            <w:tcW w:w="3102" w:type="dxa"/>
            <w:gridSpan w:val="3"/>
            <w:tcBorders>
              <w:top w:val="single" w:sz="4" w:space="0" w:color="1B556B" w:themeColor="text2"/>
              <w:bottom w:val="single" w:sz="4" w:space="0" w:color="1B556B" w:themeColor="text2"/>
            </w:tcBorders>
            <w:shd w:val="clear" w:color="auto" w:fill="1B556B"/>
            <w:vAlign w:val="bottom"/>
          </w:tcPr>
          <w:p w14:paraId="47DAAC0F" w14:textId="77777777" w:rsidR="00E46639" w:rsidRPr="0028033B" w:rsidRDefault="00E46639" w:rsidP="00F16E23">
            <w:pPr>
              <w:pStyle w:val="TableTextBold"/>
              <w:keepNext/>
              <w:jc w:val="center"/>
              <w:rPr>
                <w:noProof w:val="0"/>
                <w:color w:val="FFFFFF" w:themeColor="background1"/>
                <w:szCs w:val="16"/>
              </w:rPr>
            </w:pPr>
            <w:r w:rsidRPr="0028033B">
              <w:rPr>
                <w:noProof w:val="0"/>
                <w:color w:val="FFFFFF" w:themeColor="background1"/>
                <w:szCs w:val="16"/>
              </w:rPr>
              <w:t>Emission factor</w:t>
            </w:r>
          </w:p>
        </w:tc>
        <w:tc>
          <w:tcPr>
            <w:tcW w:w="2170" w:type="dxa"/>
            <w:tcBorders>
              <w:top w:val="single" w:sz="4" w:space="0" w:color="1B556B" w:themeColor="text2"/>
              <w:bottom w:val="single" w:sz="4" w:space="0" w:color="1B556B" w:themeColor="text2"/>
            </w:tcBorders>
            <w:shd w:val="clear" w:color="auto" w:fill="1B556B"/>
            <w:vAlign w:val="bottom"/>
          </w:tcPr>
          <w:p w14:paraId="2B078EC6" w14:textId="77777777" w:rsidR="00E46639" w:rsidRPr="0028033B" w:rsidRDefault="00E46639" w:rsidP="00F16E23">
            <w:pPr>
              <w:pStyle w:val="TableTextBold"/>
              <w:keepNext/>
              <w:jc w:val="center"/>
              <w:rPr>
                <w:noProof w:val="0"/>
                <w:color w:val="FFFFFF" w:themeColor="background1"/>
                <w:szCs w:val="16"/>
              </w:rPr>
            </w:pPr>
            <w:r w:rsidRPr="0028033B">
              <w:rPr>
                <w:noProof w:val="0"/>
                <w:color w:val="FFFFFF" w:themeColor="background1"/>
                <w:szCs w:val="16"/>
              </w:rPr>
              <w:t>Source</w:t>
            </w:r>
          </w:p>
        </w:tc>
      </w:tr>
      <w:tr w:rsidR="00E46639" w:rsidRPr="0028033B" w14:paraId="33D31F6A" w14:textId="77777777" w:rsidTr="00F16E23">
        <w:tc>
          <w:tcPr>
            <w:tcW w:w="0" w:type="auto"/>
            <w:gridSpan w:val="5"/>
            <w:tcBorders>
              <w:top w:val="single" w:sz="4" w:space="0" w:color="1B556B" w:themeColor="text2"/>
              <w:bottom w:val="single" w:sz="4" w:space="0" w:color="1B556B" w:themeColor="text2"/>
            </w:tcBorders>
          </w:tcPr>
          <w:p w14:paraId="147050A9" w14:textId="77777777" w:rsidR="00E46639" w:rsidRPr="0028033B" w:rsidRDefault="00E46639" w:rsidP="00F16E23">
            <w:pPr>
              <w:pStyle w:val="TableText"/>
              <w:keepNext/>
              <w:spacing w:before="50" w:after="50"/>
              <w:rPr>
                <w:rFonts w:cs="Calibri"/>
                <w:b/>
                <w:bCs/>
                <w:szCs w:val="16"/>
              </w:rPr>
            </w:pPr>
            <w:r w:rsidRPr="0028033B">
              <w:rPr>
                <w:rFonts w:cs="Calibri"/>
                <w:b/>
                <w:bCs/>
                <w:szCs w:val="16"/>
              </w:rPr>
              <w:t>3.D.1 Direct N</w:t>
            </w:r>
            <w:r w:rsidRPr="0028033B">
              <w:rPr>
                <w:rFonts w:cs="Calibri"/>
                <w:b/>
                <w:bCs/>
                <w:szCs w:val="16"/>
                <w:vertAlign w:val="subscript"/>
              </w:rPr>
              <w:t>2</w:t>
            </w:r>
            <w:r w:rsidRPr="0028033B">
              <w:rPr>
                <w:rFonts w:cs="Calibri"/>
                <w:b/>
                <w:bCs/>
                <w:szCs w:val="16"/>
              </w:rPr>
              <w:t>O emissions</w:t>
            </w:r>
          </w:p>
        </w:tc>
      </w:tr>
      <w:tr w:rsidR="00E46639" w:rsidRPr="0028033B" w14:paraId="51CADFEF" w14:textId="77777777" w:rsidTr="00F16E23">
        <w:tc>
          <w:tcPr>
            <w:tcW w:w="3233" w:type="dxa"/>
            <w:tcBorders>
              <w:top w:val="single" w:sz="4" w:space="0" w:color="1B556B" w:themeColor="text2"/>
              <w:bottom w:val="single" w:sz="4" w:space="0" w:color="1B556B" w:themeColor="text2"/>
            </w:tcBorders>
          </w:tcPr>
          <w:p w14:paraId="4568EBF1"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Synthetic nitrogen fertiliser</w:t>
            </w:r>
          </w:p>
        </w:tc>
        <w:tc>
          <w:tcPr>
            <w:tcW w:w="987" w:type="dxa"/>
            <w:tcBorders>
              <w:top w:val="single" w:sz="4" w:space="0" w:color="1B556B" w:themeColor="text2"/>
              <w:bottom w:val="single" w:sz="4" w:space="0" w:color="1B556B" w:themeColor="text2"/>
            </w:tcBorders>
          </w:tcPr>
          <w:p w14:paraId="65304C7F"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1-Synthetic</w:t>
            </w:r>
          </w:p>
        </w:tc>
        <w:tc>
          <w:tcPr>
            <w:tcW w:w="708" w:type="dxa"/>
            <w:tcBorders>
              <w:top w:val="single" w:sz="4" w:space="0" w:color="1B556B" w:themeColor="text2"/>
              <w:bottom w:val="single" w:sz="4" w:space="0" w:color="1B556B" w:themeColor="text2"/>
            </w:tcBorders>
          </w:tcPr>
          <w:p w14:paraId="08F39D13" w14:textId="77777777" w:rsidR="00E46639" w:rsidRPr="0028033B" w:rsidRDefault="00E46639" w:rsidP="00F16E23">
            <w:pPr>
              <w:pStyle w:val="TableText"/>
              <w:keepNext/>
              <w:spacing w:before="50" w:after="50"/>
              <w:jc w:val="right"/>
              <w:rPr>
                <w:rFonts w:asciiTheme="minorHAnsi" w:hAnsiTheme="minorHAnsi" w:cstheme="minorHAnsi"/>
                <w:szCs w:val="16"/>
              </w:rPr>
            </w:pPr>
            <w:r w:rsidRPr="0028033B">
              <w:rPr>
                <w:rFonts w:asciiTheme="minorHAnsi" w:hAnsiTheme="minorHAnsi" w:cstheme="minorHAnsi"/>
                <w:szCs w:val="16"/>
              </w:rPr>
              <w:t>0.0059</w:t>
            </w:r>
          </w:p>
        </w:tc>
        <w:tc>
          <w:tcPr>
            <w:tcW w:w="1407" w:type="dxa"/>
            <w:tcBorders>
              <w:top w:val="single" w:sz="4" w:space="0" w:color="1B556B" w:themeColor="text2"/>
              <w:bottom w:val="single" w:sz="4" w:space="0" w:color="1B556B" w:themeColor="text2"/>
            </w:tcBorders>
            <w:tcMar>
              <w:right w:w="28" w:type="dxa"/>
            </w:tcMar>
          </w:tcPr>
          <w:p w14:paraId="04DD9BD3"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44AFB0CA" w14:textId="77777777" w:rsidR="00E46639" w:rsidRPr="0028033B" w:rsidRDefault="00E46639" w:rsidP="00F16E23">
            <w:pPr>
              <w:pStyle w:val="TableText"/>
              <w:keepNext/>
              <w:spacing w:before="50" w:after="0"/>
              <w:rPr>
                <w:rFonts w:asciiTheme="minorHAnsi" w:hAnsiTheme="minorHAnsi" w:cstheme="minorHAnsi"/>
                <w:highlight w:val="yellow"/>
              </w:rPr>
            </w:pPr>
            <w:r w:rsidRPr="0028033B">
              <w:rPr>
                <w:rFonts w:asciiTheme="minorHAnsi" w:hAnsiTheme="minorHAnsi" w:cstheme="minorHAnsi"/>
              </w:rPr>
              <w:t>van der Weerden et al. (2016a, 2016b)</w:t>
            </w:r>
          </w:p>
          <w:p w14:paraId="231E05A2" w14:textId="77777777" w:rsidR="00E46639" w:rsidRPr="0028033B" w:rsidRDefault="00E46639" w:rsidP="00F16E23">
            <w:pPr>
              <w:pStyle w:val="TableText"/>
              <w:keepNext/>
              <w:spacing w:before="50" w:after="50"/>
              <w:rPr>
                <w:rFonts w:asciiTheme="minorHAnsi" w:hAnsiTheme="minorHAnsi" w:cstheme="minorHAnsi"/>
              </w:rPr>
            </w:pPr>
            <w:r w:rsidRPr="0028033B">
              <w:rPr>
                <w:rFonts w:asciiTheme="minorHAnsi" w:hAnsiTheme="minorHAnsi" w:cstheme="minorHAnsi"/>
              </w:rPr>
              <w:t>Luo et al. (unpublished(c))</w:t>
            </w:r>
          </w:p>
        </w:tc>
      </w:tr>
      <w:tr w:rsidR="00E46639" w:rsidRPr="0028033B" w14:paraId="37C94DAB" w14:textId="77777777" w:rsidTr="00F16E23">
        <w:tc>
          <w:tcPr>
            <w:tcW w:w="3233" w:type="dxa"/>
            <w:tcBorders>
              <w:top w:val="single" w:sz="4" w:space="0" w:color="1B556B" w:themeColor="text2"/>
              <w:bottom w:val="single" w:sz="4" w:space="0" w:color="1B556B" w:themeColor="text2"/>
            </w:tcBorders>
          </w:tcPr>
          <w:p w14:paraId="6EFDA39F"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Organic fertiliser (dairy cattle manure)</w:t>
            </w:r>
          </w:p>
        </w:tc>
        <w:tc>
          <w:tcPr>
            <w:tcW w:w="987" w:type="dxa"/>
            <w:tcBorders>
              <w:top w:val="single" w:sz="4" w:space="0" w:color="1B556B" w:themeColor="text2"/>
              <w:bottom w:val="single" w:sz="4" w:space="0" w:color="1B556B" w:themeColor="text2"/>
            </w:tcBorders>
          </w:tcPr>
          <w:p w14:paraId="137AF5C3"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1-DAIRY</w:t>
            </w:r>
          </w:p>
        </w:tc>
        <w:tc>
          <w:tcPr>
            <w:tcW w:w="708" w:type="dxa"/>
            <w:tcBorders>
              <w:top w:val="single" w:sz="4" w:space="0" w:color="1B556B" w:themeColor="text2"/>
              <w:bottom w:val="single" w:sz="4" w:space="0" w:color="1B556B" w:themeColor="text2"/>
            </w:tcBorders>
          </w:tcPr>
          <w:p w14:paraId="6F32FC00" w14:textId="77777777" w:rsidR="00E46639" w:rsidRPr="0028033B" w:rsidRDefault="00E46639" w:rsidP="00F16E23">
            <w:pPr>
              <w:pStyle w:val="TableText"/>
              <w:keepNext/>
              <w:spacing w:before="50" w:after="50"/>
              <w:jc w:val="right"/>
              <w:rPr>
                <w:rFonts w:asciiTheme="minorHAnsi" w:hAnsiTheme="minorHAnsi" w:cstheme="minorHAnsi"/>
                <w:szCs w:val="16"/>
              </w:rPr>
            </w:pPr>
            <w:r w:rsidRPr="0028033B">
              <w:rPr>
                <w:rFonts w:asciiTheme="minorHAnsi" w:hAnsiTheme="minorHAnsi" w:cstheme="minorHAnsi"/>
                <w:szCs w:val="16"/>
              </w:rPr>
              <w:t>0.0025</w:t>
            </w:r>
          </w:p>
        </w:tc>
        <w:tc>
          <w:tcPr>
            <w:tcW w:w="1407" w:type="dxa"/>
            <w:tcBorders>
              <w:top w:val="single" w:sz="4" w:space="0" w:color="1B556B" w:themeColor="text2"/>
              <w:bottom w:val="single" w:sz="4" w:space="0" w:color="1B556B" w:themeColor="text2"/>
            </w:tcBorders>
            <w:tcMar>
              <w:right w:w="28" w:type="dxa"/>
            </w:tcMar>
          </w:tcPr>
          <w:p w14:paraId="11FA74C1"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505DC131"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van der Weerden et al. (2016a, 2016b)</w:t>
            </w:r>
          </w:p>
        </w:tc>
      </w:tr>
      <w:tr w:rsidR="00E46639" w:rsidRPr="0028033B" w14:paraId="79873440" w14:textId="77777777" w:rsidTr="00F16E23">
        <w:tc>
          <w:tcPr>
            <w:tcW w:w="3233" w:type="dxa"/>
            <w:tcBorders>
              <w:top w:val="single" w:sz="4" w:space="0" w:color="1B556B" w:themeColor="text2"/>
              <w:bottom w:val="single" w:sz="4" w:space="0" w:color="1B556B" w:themeColor="text2"/>
            </w:tcBorders>
          </w:tcPr>
          <w:p w14:paraId="40B55CEE"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Organic nitrogen (non-manure organic fertilisers, organic fertiliser (swine and poultry manure) crop residue, nitrogen loss due to soil organic matter mineralisation, organic soil mineralisation due to cultivation)</w:t>
            </w:r>
          </w:p>
        </w:tc>
        <w:tc>
          <w:tcPr>
            <w:tcW w:w="987" w:type="dxa"/>
            <w:tcBorders>
              <w:top w:val="single" w:sz="4" w:space="0" w:color="1B556B" w:themeColor="text2"/>
              <w:bottom w:val="single" w:sz="4" w:space="0" w:color="1B556B" w:themeColor="text2"/>
            </w:tcBorders>
          </w:tcPr>
          <w:p w14:paraId="08BAFF11"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1-ORGANIC</w:t>
            </w:r>
          </w:p>
        </w:tc>
        <w:tc>
          <w:tcPr>
            <w:tcW w:w="708" w:type="dxa"/>
            <w:tcBorders>
              <w:top w:val="single" w:sz="4" w:space="0" w:color="1B556B" w:themeColor="text2"/>
              <w:bottom w:val="single" w:sz="4" w:space="0" w:color="1B556B" w:themeColor="text2"/>
            </w:tcBorders>
          </w:tcPr>
          <w:p w14:paraId="08D7D22C" w14:textId="77777777" w:rsidR="00E46639" w:rsidRPr="0028033B" w:rsidRDefault="00E46639" w:rsidP="00F16E23">
            <w:pPr>
              <w:pStyle w:val="TableText"/>
              <w:keepNext/>
              <w:spacing w:before="50" w:after="50"/>
              <w:jc w:val="right"/>
              <w:rPr>
                <w:rFonts w:asciiTheme="minorHAnsi" w:hAnsiTheme="minorHAnsi" w:cstheme="minorHAnsi"/>
                <w:szCs w:val="16"/>
              </w:rPr>
            </w:pPr>
            <w:r w:rsidRPr="0028033B">
              <w:rPr>
                <w:rFonts w:asciiTheme="minorHAnsi" w:hAnsiTheme="minorHAnsi" w:cstheme="minorHAnsi"/>
                <w:szCs w:val="16"/>
              </w:rPr>
              <w:t>0.006</w:t>
            </w:r>
          </w:p>
        </w:tc>
        <w:tc>
          <w:tcPr>
            <w:tcW w:w="1407" w:type="dxa"/>
            <w:tcBorders>
              <w:top w:val="single" w:sz="4" w:space="0" w:color="1B556B" w:themeColor="text2"/>
              <w:bottom w:val="single" w:sz="4" w:space="0" w:color="1B556B" w:themeColor="text2"/>
            </w:tcBorders>
            <w:tcMar>
              <w:right w:w="28" w:type="dxa"/>
            </w:tcMar>
          </w:tcPr>
          <w:p w14:paraId="5AA68ECA"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42C0CD0D" w14:textId="77777777" w:rsidR="00E46639" w:rsidRPr="0028033B" w:rsidRDefault="00E46639" w:rsidP="00F16E23">
            <w:pPr>
              <w:pStyle w:val="TableText"/>
              <w:keepNext/>
              <w:spacing w:before="50" w:after="50"/>
              <w:rPr>
                <w:rFonts w:asciiTheme="minorHAnsi" w:hAnsiTheme="minorHAnsi" w:cstheme="minorHAnsi"/>
                <w:szCs w:val="16"/>
              </w:rPr>
            </w:pPr>
            <w:r w:rsidRPr="0028033B">
              <w:rPr>
                <w:rFonts w:asciiTheme="minorHAnsi" w:hAnsiTheme="minorHAnsi" w:cstheme="minorHAnsi"/>
                <w:szCs w:val="16"/>
              </w:rPr>
              <w:t>IPCC (2019, table 11.1)</w:t>
            </w:r>
          </w:p>
        </w:tc>
      </w:tr>
      <w:tr w:rsidR="00E46639" w:rsidRPr="0028033B" w14:paraId="4D4554C9" w14:textId="77777777" w:rsidTr="00F16E23">
        <w:tc>
          <w:tcPr>
            <w:tcW w:w="3233" w:type="dxa"/>
            <w:tcBorders>
              <w:top w:val="single" w:sz="4" w:space="0" w:color="1B556B" w:themeColor="text2"/>
              <w:bottom w:val="single" w:sz="4" w:space="0" w:color="1B556B" w:themeColor="text2"/>
            </w:tcBorders>
          </w:tcPr>
          <w:p w14:paraId="52EC74DC"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Cultivation of organic soils</w:t>
            </w:r>
          </w:p>
        </w:tc>
        <w:tc>
          <w:tcPr>
            <w:tcW w:w="987" w:type="dxa"/>
            <w:tcBorders>
              <w:top w:val="single" w:sz="4" w:space="0" w:color="1B556B" w:themeColor="text2"/>
              <w:bottom w:val="single" w:sz="4" w:space="0" w:color="1B556B" w:themeColor="text2"/>
            </w:tcBorders>
          </w:tcPr>
          <w:p w14:paraId="544BEE44"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2</w:t>
            </w:r>
          </w:p>
        </w:tc>
        <w:tc>
          <w:tcPr>
            <w:tcW w:w="708" w:type="dxa"/>
            <w:tcBorders>
              <w:top w:val="single" w:sz="4" w:space="0" w:color="1B556B" w:themeColor="text2"/>
              <w:bottom w:val="single" w:sz="4" w:space="0" w:color="1B556B" w:themeColor="text2"/>
            </w:tcBorders>
          </w:tcPr>
          <w:p w14:paraId="00009873"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 xml:space="preserve">8.0 </w:t>
            </w:r>
          </w:p>
        </w:tc>
        <w:tc>
          <w:tcPr>
            <w:tcW w:w="1407" w:type="dxa"/>
            <w:tcBorders>
              <w:top w:val="single" w:sz="4" w:space="0" w:color="1B556B" w:themeColor="text2"/>
              <w:bottom w:val="single" w:sz="4" w:space="0" w:color="1B556B" w:themeColor="text2"/>
            </w:tcBorders>
            <w:tcMar>
              <w:right w:w="28" w:type="dxa"/>
            </w:tcMar>
          </w:tcPr>
          <w:p w14:paraId="31E51CEA"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O-N/ha/kg N</w:t>
            </w:r>
          </w:p>
        </w:tc>
        <w:tc>
          <w:tcPr>
            <w:tcW w:w="2170" w:type="dxa"/>
            <w:tcBorders>
              <w:top w:val="single" w:sz="4" w:space="0" w:color="1B556B" w:themeColor="text2"/>
              <w:bottom w:val="single" w:sz="4" w:space="0" w:color="1B556B" w:themeColor="text2"/>
            </w:tcBorders>
          </w:tcPr>
          <w:p w14:paraId="3D930C22"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IPCC (2006, table 11.1)</w:t>
            </w:r>
          </w:p>
        </w:tc>
      </w:tr>
      <w:tr w:rsidR="00E46639" w:rsidRPr="0028033B" w14:paraId="0502D8D4" w14:textId="77777777" w:rsidTr="00F16E23">
        <w:trPr>
          <w:trHeight w:val="605"/>
        </w:trPr>
        <w:tc>
          <w:tcPr>
            <w:tcW w:w="3233" w:type="dxa"/>
            <w:tcBorders>
              <w:top w:val="single" w:sz="4" w:space="0" w:color="1B556B" w:themeColor="text2"/>
              <w:bottom w:val="single" w:sz="4" w:space="0" w:color="1B556B" w:themeColor="text2"/>
            </w:tcBorders>
          </w:tcPr>
          <w:p w14:paraId="77D27417"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Manure (dung and urine) from alpacas and llamas, mules and asses, horses and goats in pasture, range and paddock systems</w:t>
            </w:r>
          </w:p>
        </w:tc>
        <w:tc>
          <w:tcPr>
            <w:tcW w:w="987" w:type="dxa"/>
            <w:tcBorders>
              <w:top w:val="single" w:sz="4" w:space="0" w:color="1B556B" w:themeColor="text2"/>
              <w:bottom w:val="single" w:sz="4" w:space="0" w:color="1B556B" w:themeColor="text2"/>
            </w:tcBorders>
          </w:tcPr>
          <w:p w14:paraId="5FBC84B9"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3,PRP-MINOR</w:t>
            </w:r>
          </w:p>
        </w:tc>
        <w:tc>
          <w:tcPr>
            <w:tcW w:w="708" w:type="dxa"/>
            <w:tcBorders>
              <w:top w:val="single" w:sz="4" w:space="0" w:color="1B556B" w:themeColor="text2"/>
              <w:bottom w:val="single" w:sz="4" w:space="0" w:color="1B556B" w:themeColor="text2"/>
            </w:tcBorders>
          </w:tcPr>
          <w:p w14:paraId="5E3C9C79"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0.003</w:t>
            </w:r>
          </w:p>
        </w:tc>
        <w:tc>
          <w:tcPr>
            <w:tcW w:w="1407" w:type="dxa"/>
            <w:tcBorders>
              <w:top w:val="single" w:sz="4" w:space="0" w:color="1B556B" w:themeColor="text2"/>
              <w:bottom w:val="single" w:sz="4" w:space="0" w:color="1B556B" w:themeColor="text2"/>
            </w:tcBorders>
            <w:tcMar>
              <w:right w:w="28" w:type="dxa"/>
            </w:tcMar>
          </w:tcPr>
          <w:p w14:paraId="564BC40B"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33ACBE07" w14:textId="77777777" w:rsidR="00E46639" w:rsidRPr="0028033B" w:rsidRDefault="00E46639" w:rsidP="00F16E23">
            <w:pPr>
              <w:pStyle w:val="TableText"/>
              <w:spacing w:before="50" w:after="50"/>
              <w:rPr>
                <w:rFonts w:asciiTheme="minorHAnsi" w:hAnsiTheme="minorHAnsi" w:cstheme="minorHAnsi"/>
              </w:rPr>
            </w:pPr>
            <w:r w:rsidRPr="0028033B">
              <w:rPr>
                <w:rFonts w:asciiTheme="minorHAnsi" w:hAnsiTheme="minorHAnsi" w:cstheme="minorHAnsi"/>
                <w:szCs w:val="16"/>
              </w:rPr>
              <w:t>IPCC (2019, table 11.1</w:t>
            </w:r>
            <w:r w:rsidRPr="0028033B">
              <w:rPr>
                <w:rFonts w:asciiTheme="minorHAnsi" w:hAnsiTheme="minorHAnsi" w:cstheme="minorHAnsi"/>
              </w:rPr>
              <w:t>)</w:t>
            </w:r>
          </w:p>
        </w:tc>
      </w:tr>
      <w:tr w:rsidR="00E46639" w:rsidRPr="0028033B" w14:paraId="73EDD580" w14:textId="77777777" w:rsidTr="00F16E23">
        <w:trPr>
          <w:trHeight w:val="605"/>
        </w:trPr>
        <w:tc>
          <w:tcPr>
            <w:tcW w:w="3233" w:type="dxa"/>
            <w:tcBorders>
              <w:top w:val="single" w:sz="4" w:space="0" w:color="1B556B" w:themeColor="text2"/>
              <w:bottom w:val="single" w:sz="4" w:space="0" w:color="1B556B" w:themeColor="text2"/>
            </w:tcBorders>
          </w:tcPr>
          <w:p w14:paraId="5944FF07"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Manure (dung and urine) from poultry, emus and ostriches and swine in pasture, range and paddock systems</w:t>
            </w:r>
          </w:p>
        </w:tc>
        <w:tc>
          <w:tcPr>
            <w:tcW w:w="987" w:type="dxa"/>
            <w:tcBorders>
              <w:top w:val="single" w:sz="4" w:space="0" w:color="1B556B" w:themeColor="text2"/>
              <w:bottom w:val="single" w:sz="4" w:space="0" w:color="1B556B" w:themeColor="text2"/>
            </w:tcBorders>
          </w:tcPr>
          <w:p w14:paraId="46F88A5B"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3,PRP-MINOR</w:t>
            </w:r>
          </w:p>
        </w:tc>
        <w:tc>
          <w:tcPr>
            <w:tcW w:w="708" w:type="dxa"/>
            <w:tcBorders>
              <w:top w:val="single" w:sz="4" w:space="0" w:color="1B556B" w:themeColor="text2"/>
              <w:bottom w:val="single" w:sz="4" w:space="0" w:color="1B556B" w:themeColor="text2"/>
            </w:tcBorders>
          </w:tcPr>
          <w:p w14:paraId="47E0A498"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0.006</w:t>
            </w:r>
          </w:p>
        </w:tc>
        <w:tc>
          <w:tcPr>
            <w:tcW w:w="1407" w:type="dxa"/>
            <w:tcBorders>
              <w:top w:val="single" w:sz="4" w:space="0" w:color="1B556B" w:themeColor="text2"/>
              <w:bottom w:val="single" w:sz="4" w:space="0" w:color="1B556B" w:themeColor="text2"/>
            </w:tcBorders>
            <w:tcMar>
              <w:right w:w="28" w:type="dxa"/>
            </w:tcMar>
          </w:tcPr>
          <w:p w14:paraId="10172567"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63028D26" w14:textId="77777777" w:rsidR="00E46639" w:rsidRPr="0028033B" w:rsidRDefault="00E46639" w:rsidP="00F16E23">
            <w:pPr>
              <w:pStyle w:val="TableText"/>
              <w:spacing w:before="50" w:after="50"/>
              <w:rPr>
                <w:rFonts w:asciiTheme="minorHAnsi" w:hAnsiTheme="minorHAnsi" w:cstheme="minorHAnsi"/>
              </w:rPr>
            </w:pPr>
            <w:r w:rsidRPr="0028033B">
              <w:rPr>
                <w:rFonts w:asciiTheme="minorHAnsi" w:hAnsiTheme="minorHAnsi" w:cstheme="minorHAnsi"/>
                <w:szCs w:val="16"/>
              </w:rPr>
              <w:t>IPCC (2019, table 11.1)</w:t>
            </w:r>
          </w:p>
        </w:tc>
      </w:tr>
      <w:tr w:rsidR="00E46639" w:rsidRPr="0028033B" w14:paraId="0768067C" w14:textId="77777777" w:rsidTr="00F16E23">
        <w:tc>
          <w:tcPr>
            <w:tcW w:w="3233" w:type="dxa"/>
            <w:tcBorders>
              <w:top w:val="single" w:sz="4" w:space="0" w:color="1B556B" w:themeColor="text2"/>
              <w:bottom w:val="single" w:sz="4" w:space="0" w:color="1B556B" w:themeColor="text2"/>
            </w:tcBorders>
          </w:tcPr>
          <w:p w14:paraId="06248285"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 xml:space="preserve">Dung from grazing cattle, sheep and deer in pasture, range and paddock systems </w:t>
            </w:r>
          </w:p>
        </w:tc>
        <w:tc>
          <w:tcPr>
            <w:tcW w:w="987" w:type="dxa"/>
            <w:tcBorders>
              <w:top w:val="single" w:sz="4" w:space="0" w:color="1B556B" w:themeColor="text2"/>
              <w:bottom w:val="single" w:sz="4" w:space="0" w:color="1B556B" w:themeColor="text2"/>
            </w:tcBorders>
          </w:tcPr>
          <w:p w14:paraId="41AFD4E6"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3,PRP-DUNG</w:t>
            </w:r>
          </w:p>
        </w:tc>
        <w:tc>
          <w:tcPr>
            <w:tcW w:w="708" w:type="dxa"/>
            <w:tcBorders>
              <w:top w:val="single" w:sz="4" w:space="0" w:color="1B556B" w:themeColor="text2"/>
              <w:bottom w:val="single" w:sz="4" w:space="0" w:color="1B556B" w:themeColor="text2"/>
            </w:tcBorders>
          </w:tcPr>
          <w:p w14:paraId="11875852"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0.0012</w:t>
            </w:r>
          </w:p>
        </w:tc>
        <w:tc>
          <w:tcPr>
            <w:tcW w:w="1407" w:type="dxa"/>
            <w:tcBorders>
              <w:top w:val="single" w:sz="4" w:space="0" w:color="1B556B" w:themeColor="text2"/>
              <w:bottom w:val="single" w:sz="4" w:space="0" w:color="1B556B" w:themeColor="text2"/>
            </w:tcBorders>
            <w:tcMar>
              <w:right w:w="28" w:type="dxa"/>
            </w:tcMar>
          </w:tcPr>
          <w:p w14:paraId="1053F053"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7F374BE8"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van der Weerden et al. (2019, 2020)</w:t>
            </w:r>
          </w:p>
        </w:tc>
      </w:tr>
      <w:tr w:rsidR="00E46639" w:rsidRPr="0028033B" w14:paraId="319940BB" w14:textId="77777777" w:rsidTr="00F16E23">
        <w:tc>
          <w:tcPr>
            <w:tcW w:w="0" w:type="auto"/>
            <w:gridSpan w:val="5"/>
            <w:tcBorders>
              <w:top w:val="single" w:sz="4" w:space="0" w:color="1B556B" w:themeColor="text2"/>
              <w:bottom w:val="single" w:sz="4" w:space="0" w:color="1B556B" w:themeColor="text2"/>
            </w:tcBorders>
            <w:tcMar>
              <w:right w:w="28" w:type="dxa"/>
            </w:tcMar>
          </w:tcPr>
          <w:p w14:paraId="3CCD789F" w14:textId="77777777" w:rsidR="00E46639" w:rsidRPr="0028033B" w:rsidRDefault="00E46639" w:rsidP="00F16E23">
            <w:pPr>
              <w:pStyle w:val="TableText"/>
              <w:spacing w:before="50" w:after="50"/>
              <w:rPr>
                <w:rFonts w:asciiTheme="minorHAnsi" w:hAnsiTheme="minorHAnsi" w:cstheme="minorHAnsi"/>
                <w:b/>
                <w:szCs w:val="16"/>
              </w:rPr>
            </w:pPr>
            <w:r w:rsidRPr="0028033B">
              <w:rPr>
                <w:rFonts w:asciiTheme="minorHAnsi" w:hAnsiTheme="minorHAnsi" w:cstheme="minorHAnsi"/>
                <w:b/>
                <w:bCs/>
                <w:szCs w:val="16"/>
              </w:rPr>
              <w:t>3.D.2 Indirect N</w:t>
            </w:r>
            <w:r w:rsidRPr="0028033B">
              <w:rPr>
                <w:rFonts w:asciiTheme="minorHAnsi" w:hAnsiTheme="minorHAnsi" w:cstheme="minorHAnsi"/>
                <w:b/>
                <w:bCs/>
                <w:szCs w:val="16"/>
                <w:vertAlign w:val="subscript"/>
              </w:rPr>
              <w:t>2</w:t>
            </w:r>
            <w:r w:rsidRPr="0028033B">
              <w:rPr>
                <w:rFonts w:asciiTheme="minorHAnsi" w:hAnsiTheme="minorHAnsi" w:cstheme="minorHAnsi"/>
                <w:b/>
                <w:bCs/>
                <w:szCs w:val="16"/>
              </w:rPr>
              <w:t>O emissions</w:t>
            </w:r>
          </w:p>
        </w:tc>
      </w:tr>
      <w:tr w:rsidR="00E46639" w:rsidRPr="0028033B" w14:paraId="2D152A3F" w14:textId="77777777" w:rsidTr="00F16E23">
        <w:tc>
          <w:tcPr>
            <w:tcW w:w="3233" w:type="dxa"/>
            <w:tcBorders>
              <w:top w:val="single" w:sz="4" w:space="0" w:color="1B556B" w:themeColor="text2"/>
              <w:bottom w:val="single" w:sz="4" w:space="0" w:color="1B556B" w:themeColor="text2"/>
            </w:tcBorders>
          </w:tcPr>
          <w:p w14:paraId="5F551F06"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Volatilisation</w:t>
            </w:r>
          </w:p>
        </w:tc>
        <w:tc>
          <w:tcPr>
            <w:tcW w:w="987" w:type="dxa"/>
            <w:tcBorders>
              <w:top w:val="single" w:sz="4" w:space="0" w:color="1B556B" w:themeColor="text2"/>
              <w:bottom w:val="single" w:sz="4" w:space="0" w:color="1B556B" w:themeColor="text2"/>
            </w:tcBorders>
          </w:tcPr>
          <w:p w14:paraId="5F9401E5"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4</w:t>
            </w:r>
          </w:p>
        </w:tc>
        <w:tc>
          <w:tcPr>
            <w:tcW w:w="708" w:type="dxa"/>
            <w:tcBorders>
              <w:top w:val="single" w:sz="4" w:space="0" w:color="1B556B" w:themeColor="text2"/>
              <w:bottom w:val="single" w:sz="4" w:space="0" w:color="1B556B" w:themeColor="text2"/>
            </w:tcBorders>
          </w:tcPr>
          <w:p w14:paraId="4C198A6D"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 xml:space="preserve">0.010 </w:t>
            </w:r>
          </w:p>
        </w:tc>
        <w:tc>
          <w:tcPr>
            <w:tcW w:w="1407" w:type="dxa"/>
            <w:tcBorders>
              <w:top w:val="single" w:sz="4" w:space="0" w:color="1B556B" w:themeColor="text2"/>
              <w:bottom w:val="single" w:sz="4" w:space="0" w:color="1B556B" w:themeColor="text2"/>
            </w:tcBorders>
            <w:tcMar>
              <w:right w:w="28" w:type="dxa"/>
            </w:tcMar>
          </w:tcPr>
          <w:p w14:paraId="0AE06871"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5E137FA8"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IPCC (2006, table 11.3)</w:t>
            </w:r>
          </w:p>
        </w:tc>
      </w:tr>
      <w:tr w:rsidR="00E46639" w:rsidRPr="0028033B" w14:paraId="212C0FCC" w14:textId="77777777" w:rsidTr="00F16E23">
        <w:tc>
          <w:tcPr>
            <w:tcW w:w="3233" w:type="dxa"/>
            <w:tcBorders>
              <w:top w:val="single" w:sz="4" w:space="0" w:color="1B556B" w:themeColor="text2"/>
              <w:bottom w:val="single" w:sz="4" w:space="0" w:color="1B556B" w:themeColor="text2"/>
            </w:tcBorders>
          </w:tcPr>
          <w:p w14:paraId="2002810A"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Leaching and runoff</w:t>
            </w:r>
          </w:p>
        </w:tc>
        <w:tc>
          <w:tcPr>
            <w:tcW w:w="987" w:type="dxa"/>
            <w:tcBorders>
              <w:top w:val="single" w:sz="4" w:space="0" w:color="1B556B" w:themeColor="text2"/>
              <w:bottom w:val="single" w:sz="4" w:space="0" w:color="1B556B" w:themeColor="text2"/>
            </w:tcBorders>
          </w:tcPr>
          <w:p w14:paraId="1B1D216B"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EF</w:t>
            </w:r>
            <w:r w:rsidRPr="0028033B">
              <w:rPr>
                <w:rFonts w:asciiTheme="minorHAnsi" w:hAnsiTheme="minorHAnsi" w:cstheme="minorHAnsi"/>
                <w:szCs w:val="16"/>
                <w:vertAlign w:val="subscript"/>
              </w:rPr>
              <w:t>5</w:t>
            </w:r>
          </w:p>
        </w:tc>
        <w:tc>
          <w:tcPr>
            <w:tcW w:w="708" w:type="dxa"/>
            <w:tcBorders>
              <w:top w:val="single" w:sz="4" w:space="0" w:color="1B556B" w:themeColor="text2"/>
              <w:bottom w:val="single" w:sz="4" w:space="0" w:color="1B556B" w:themeColor="text2"/>
            </w:tcBorders>
          </w:tcPr>
          <w:p w14:paraId="4797D5F8"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0.0075</w:t>
            </w:r>
          </w:p>
        </w:tc>
        <w:tc>
          <w:tcPr>
            <w:tcW w:w="1407" w:type="dxa"/>
            <w:tcBorders>
              <w:top w:val="single" w:sz="4" w:space="0" w:color="1B556B" w:themeColor="text2"/>
              <w:bottom w:val="single" w:sz="4" w:space="0" w:color="1B556B" w:themeColor="text2"/>
            </w:tcBorders>
            <w:tcMar>
              <w:right w:w="28" w:type="dxa"/>
            </w:tcMar>
          </w:tcPr>
          <w:p w14:paraId="26F86B9A"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kg N</w:t>
            </w:r>
            <w:r w:rsidRPr="0028033B">
              <w:rPr>
                <w:rFonts w:asciiTheme="minorHAnsi" w:hAnsiTheme="minorHAnsi" w:cstheme="minorHAnsi"/>
                <w:szCs w:val="16"/>
                <w:vertAlign w:val="subscript"/>
              </w:rPr>
              <w:t>2</w:t>
            </w:r>
            <w:r w:rsidRPr="0028033B">
              <w:rPr>
                <w:rFonts w:asciiTheme="minorHAnsi" w:hAnsiTheme="minorHAnsi" w:cstheme="minorHAnsi"/>
                <w:szCs w:val="16"/>
              </w:rPr>
              <w:t>O-N/kg N</w:t>
            </w:r>
          </w:p>
        </w:tc>
        <w:tc>
          <w:tcPr>
            <w:tcW w:w="2170" w:type="dxa"/>
            <w:tcBorders>
              <w:top w:val="single" w:sz="4" w:space="0" w:color="1B556B" w:themeColor="text2"/>
              <w:bottom w:val="single" w:sz="4" w:space="0" w:color="1B556B" w:themeColor="text2"/>
            </w:tcBorders>
          </w:tcPr>
          <w:p w14:paraId="2344CAFD" w14:textId="77777777" w:rsidR="00E46639" w:rsidRPr="0028033B" w:rsidRDefault="00E46639" w:rsidP="00F16E23">
            <w:pPr>
              <w:pStyle w:val="TableText"/>
              <w:spacing w:before="50" w:after="50"/>
              <w:rPr>
                <w:rFonts w:asciiTheme="minorHAnsi" w:hAnsiTheme="minorHAnsi" w:cstheme="minorHAnsi"/>
                <w:szCs w:val="16"/>
              </w:rPr>
            </w:pPr>
            <w:r w:rsidRPr="0028033B">
              <w:rPr>
                <w:rFonts w:asciiTheme="minorHAnsi" w:hAnsiTheme="minorHAnsi" w:cstheme="minorHAnsi"/>
                <w:szCs w:val="16"/>
              </w:rPr>
              <w:t>IPCC (2006, table 11.3), confirmed by Clough and Kelliher (2014)</w:t>
            </w:r>
          </w:p>
        </w:tc>
      </w:tr>
    </w:tbl>
    <w:p w14:paraId="3266CE51" w14:textId="77777777" w:rsidR="00E46639" w:rsidRPr="0028033B" w:rsidRDefault="00E46639" w:rsidP="00E46639">
      <w:pPr>
        <w:pStyle w:val="Table"/>
        <w:spacing w:before="360"/>
        <w:rPr>
          <w:rFonts w:cs="Calibri"/>
        </w:rPr>
      </w:pPr>
      <w:bookmarkStart w:id="1166" w:name="_Toc32570929"/>
      <w:bookmarkStart w:id="1167" w:name="_Toc36224564"/>
      <w:bookmarkStart w:id="1168" w:name="_Toc68786449"/>
      <w:bookmarkStart w:id="1169" w:name="_Toc95574082"/>
      <w:bookmarkStart w:id="1170" w:name="_Toc127458269"/>
      <w:bookmarkStart w:id="1171" w:name="_Toc131591365"/>
      <w:bookmarkStart w:id="1172" w:name="_Toc160114459"/>
      <w:bookmarkStart w:id="1173" w:name="_Toc164153855"/>
      <w:bookmarkStart w:id="1174" w:name="_Toc222407648"/>
      <w:bookmarkStart w:id="1175" w:name="_Toc226669023"/>
      <w:bookmarkStart w:id="1176" w:name="_Toc441830881"/>
      <w:bookmarkStart w:id="1177" w:name="_Toc451176095"/>
      <w:bookmarkStart w:id="1178" w:name="_Toc481751523"/>
      <w:bookmarkStart w:id="1179" w:name="_Toc507158611"/>
      <w:bookmarkStart w:id="1180" w:name="_Toc511116745"/>
      <w:bookmarkStart w:id="1181" w:name="_Toc5269487"/>
      <w:r w:rsidRPr="0028033B">
        <w:rPr>
          <w:rFonts w:cs="Calibri"/>
        </w:rPr>
        <w:t>Table 5.5.3</w:t>
      </w:r>
      <w:r w:rsidRPr="0028033B">
        <w:rPr>
          <w:rFonts w:cs="Calibri"/>
        </w:rPr>
        <w:tab/>
        <w:t>Direct nitrous oxide emission factors for urine deposited by cattle, sheep and deer, by livestock type and slope, using values calculated by van der Weerden et al. (2019, 2020)</w:t>
      </w:r>
      <w:bookmarkEnd w:id="1166"/>
      <w:bookmarkEnd w:id="1167"/>
      <w:bookmarkEnd w:id="1168"/>
      <w:bookmarkEnd w:id="1169"/>
      <w:bookmarkEnd w:id="1170"/>
      <w:bookmarkEnd w:id="1171"/>
      <w:bookmarkEnd w:id="1172"/>
      <w:bookmarkEnd w:id="1173"/>
      <w:bookmarkEnd w:id="1174"/>
      <w:bookmarkEnd w:id="1175"/>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1E0" w:firstRow="1" w:lastRow="1" w:firstColumn="1" w:lastColumn="1" w:noHBand="0" w:noVBand="0"/>
      </w:tblPr>
      <w:tblGrid>
        <w:gridCol w:w="3193"/>
        <w:gridCol w:w="2581"/>
        <w:gridCol w:w="2731"/>
      </w:tblGrid>
      <w:tr w:rsidR="00E46639" w:rsidRPr="0028033B" w14:paraId="7A78E154" w14:textId="77777777" w:rsidTr="00F16E23">
        <w:trPr>
          <w:tblHeader/>
        </w:trPr>
        <w:tc>
          <w:tcPr>
            <w:tcW w:w="3153" w:type="dxa"/>
            <w:tcBorders>
              <w:bottom w:val="nil"/>
            </w:tcBorders>
            <w:shd w:val="clear" w:color="auto" w:fill="1B556B"/>
            <w:vAlign w:val="bottom"/>
          </w:tcPr>
          <w:p w14:paraId="2D05BEA9" w14:textId="77777777" w:rsidR="00E46639" w:rsidRPr="0028033B" w:rsidRDefault="00E46639" w:rsidP="00F16E23">
            <w:pPr>
              <w:pStyle w:val="TableTextBold"/>
              <w:keepNext/>
              <w:spacing w:after="0"/>
              <w:rPr>
                <w:noProof w:val="0"/>
                <w:color w:val="FFFFFF" w:themeColor="background1"/>
              </w:rPr>
            </w:pPr>
          </w:p>
        </w:tc>
        <w:tc>
          <w:tcPr>
            <w:tcW w:w="5244" w:type="dxa"/>
            <w:gridSpan w:val="2"/>
            <w:tcBorders>
              <w:bottom w:val="nil"/>
            </w:tcBorders>
            <w:shd w:val="clear" w:color="auto" w:fill="1B556B"/>
          </w:tcPr>
          <w:p w14:paraId="50702CF0" w14:textId="77777777" w:rsidR="00E46639" w:rsidRPr="0028033B" w:rsidRDefault="00E46639" w:rsidP="00F16E23">
            <w:pPr>
              <w:pStyle w:val="TableTextBold"/>
              <w:keepNext/>
              <w:spacing w:after="40"/>
              <w:jc w:val="center"/>
              <w:rPr>
                <w:noProof w:val="0"/>
                <w:color w:val="FFFFFF" w:themeColor="background1"/>
              </w:rPr>
            </w:pPr>
            <w:r w:rsidRPr="0028033B">
              <w:rPr>
                <w:noProof w:val="0"/>
                <w:color w:val="FFFFFF" w:themeColor="background1"/>
              </w:rPr>
              <w:t>Emission factors by slope</w:t>
            </w:r>
          </w:p>
        </w:tc>
      </w:tr>
      <w:tr w:rsidR="00E46639" w:rsidRPr="0028033B" w14:paraId="326FFF4F" w14:textId="77777777" w:rsidTr="00F16E23">
        <w:trPr>
          <w:tblHeader/>
        </w:trPr>
        <w:tc>
          <w:tcPr>
            <w:tcW w:w="3153" w:type="dxa"/>
            <w:tcBorders>
              <w:top w:val="nil"/>
            </w:tcBorders>
            <w:shd w:val="clear" w:color="auto" w:fill="1B556B"/>
            <w:vAlign w:val="bottom"/>
          </w:tcPr>
          <w:p w14:paraId="0A69542C" w14:textId="77777777" w:rsidR="00E46639" w:rsidRPr="0028033B" w:rsidRDefault="00E46639" w:rsidP="00F16E23">
            <w:pPr>
              <w:pStyle w:val="TableTextBold"/>
              <w:keepNext/>
              <w:spacing w:before="40" w:after="40"/>
              <w:rPr>
                <w:noProof w:val="0"/>
                <w:color w:val="FFFFFF" w:themeColor="background1"/>
              </w:rPr>
            </w:pPr>
            <w:r w:rsidRPr="0028033B">
              <w:rPr>
                <w:noProof w:val="0"/>
                <w:color w:val="FFFFFF" w:themeColor="background1"/>
              </w:rPr>
              <w:t>Livestock type</w:t>
            </w:r>
          </w:p>
        </w:tc>
        <w:tc>
          <w:tcPr>
            <w:tcW w:w="2548" w:type="dxa"/>
            <w:tcBorders>
              <w:top w:val="nil"/>
            </w:tcBorders>
            <w:shd w:val="clear" w:color="auto" w:fill="1B556B"/>
            <w:vAlign w:val="center"/>
          </w:tcPr>
          <w:p w14:paraId="05CECAD2" w14:textId="77777777" w:rsidR="00E46639" w:rsidRPr="0028033B" w:rsidRDefault="00E46639" w:rsidP="00F16E23">
            <w:pPr>
              <w:pStyle w:val="TableTextBold"/>
              <w:keepNext/>
              <w:spacing w:before="0" w:after="0"/>
              <w:jc w:val="right"/>
              <w:rPr>
                <w:noProof w:val="0"/>
                <w:color w:val="FFFFFF" w:themeColor="background1"/>
                <w:szCs w:val="21"/>
              </w:rPr>
            </w:pPr>
            <w:r w:rsidRPr="0028033B">
              <w:rPr>
                <w:noProof w:val="0"/>
                <w:color w:val="FFFFFF" w:themeColor="background1"/>
              </w:rPr>
              <w:t xml:space="preserve">Flat and low sloped land </w:t>
            </w:r>
            <w:r w:rsidRPr="0028033B">
              <w:rPr>
                <w:noProof w:val="0"/>
                <w:color w:val="FFFFFF" w:themeColor="background1"/>
              </w:rPr>
              <w:br/>
              <w:t>(less than 12</w:t>
            </w:r>
            <w:r w:rsidRPr="0028033B">
              <w:rPr>
                <w:noProof w:val="0"/>
                <w:color w:val="FFFFFF" w:themeColor="background1"/>
                <w:szCs w:val="21"/>
              </w:rPr>
              <w:t>° gradient)</w:t>
            </w:r>
          </w:p>
          <w:p w14:paraId="69477B8E" w14:textId="77777777" w:rsidR="00E46639" w:rsidRPr="0028033B" w:rsidRDefault="00E46639" w:rsidP="00F16E23">
            <w:pPr>
              <w:pStyle w:val="TableTextBold"/>
              <w:keepNext/>
              <w:spacing w:before="0" w:after="40"/>
              <w:jc w:val="right"/>
              <w:rPr>
                <w:noProof w:val="0"/>
                <w:color w:val="FFFFFF" w:themeColor="background1"/>
              </w:rPr>
            </w:pPr>
            <w:r w:rsidRPr="0028033B">
              <w:rPr>
                <w:noProof w:val="0"/>
                <w:color w:val="FFFFFF" w:themeColor="background1"/>
              </w:rPr>
              <w:t>EF</w:t>
            </w:r>
            <w:r w:rsidRPr="0028033B">
              <w:rPr>
                <w:noProof w:val="0"/>
                <w:color w:val="FFFFFF" w:themeColor="background1"/>
                <w:vertAlign w:val="subscript"/>
              </w:rPr>
              <w:t>3,PRP-FLAT</w:t>
            </w:r>
          </w:p>
        </w:tc>
        <w:tc>
          <w:tcPr>
            <w:tcW w:w="2696" w:type="dxa"/>
            <w:tcBorders>
              <w:top w:val="nil"/>
            </w:tcBorders>
            <w:shd w:val="clear" w:color="auto" w:fill="1B556B"/>
            <w:vAlign w:val="center"/>
          </w:tcPr>
          <w:p w14:paraId="765BE94C" w14:textId="77777777" w:rsidR="00E46639" w:rsidRPr="0028033B" w:rsidRDefault="00E46639" w:rsidP="00F16E23">
            <w:pPr>
              <w:pStyle w:val="TableTextBold"/>
              <w:keepNext/>
              <w:spacing w:before="0" w:after="0"/>
              <w:jc w:val="right"/>
              <w:rPr>
                <w:noProof w:val="0"/>
                <w:color w:val="FFFFFF" w:themeColor="background1"/>
                <w:szCs w:val="21"/>
              </w:rPr>
            </w:pPr>
            <w:r w:rsidRPr="0028033B">
              <w:rPr>
                <w:noProof w:val="0"/>
                <w:color w:val="FFFFFF" w:themeColor="background1"/>
              </w:rPr>
              <w:t>Medium and steep sloped land (greater than 12</w:t>
            </w:r>
            <w:r w:rsidRPr="0028033B">
              <w:rPr>
                <w:noProof w:val="0"/>
                <w:color w:val="FFFFFF" w:themeColor="background1"/>
                <w:szCs w:val="21"/>
              </w:rPr>
              <w:t>° gradient)</w:t>
            </w:r>
          </w:p>
          <w:p w14:paraId="3F120C55" w14:textId="77777777" w:rsidR="00E46639" w:rsidRPr="0028033B" w:rsidRDefault="00E46639" w:rsidP="00F16E23">
            <w:pPr>
              <w:pStyle w:val="TableTextBold"/>
              <w:keepNext/>
              <w:spacing w:before="0" w:after="40"/>
              <w:jc w:val="right"/>
              <w:rPr>
                <w:noProof w:val="0"/>
                <w:color w:val="FFFFFF" w:themeColor="background1"/>
              </w:rPr>
            </w:pPr>
            <w:r w:rsidRPr="0028033B">
              <w:rPr>
                <w:noProof w:val="0"/>
                <w:color w:val="FFFFFF" w:themeColor="background1"/>
              </w:rPr>
              <w:t>EF</w:t>
            </w:r>
            <w:r w:rsidRPr="0028033B">
              <w:rPr>
                <w:noProof w:val="0"/>
                <w:color w:val="FFFFFF" w:themeColor="background1"/>
                <w:vertAlign w:val="subscript"/>
              </w:rPr>
              <w:t>3,PRP-STEEP</w:t>
            </w:r>
          </w:p>
        </w:tc>
      </w:tr>
      <w:tr w:rsidR="00E46639" w:rsidRPr="0028033B" w14:paraId="24EED4E9" w14:textId="77777777" w:rsidTr="00772AFA">
        <w:tc>
          <w:tcPr>
            <w:tcW w:w="3153" w:type="dxa"/>
            <w:tcBorders>
              <w:bottom w:val="single" w:sz="4" w:space="0" w:color="1B556B" w:themeColor="text2"/>
            </w:tcBorders>
          </w:tcPr>
          <w:p w14:paraId="0DA238CB" w14:textId="77777777" w:rsidR="00E46639" w:rsidRPr="0028033B" w:rsidRDefault="00E46639" w:rsidP="00F16E23">
            <w:pPr>
              <w:pStyle w:val="TableText"/>
              <w:spacing w:before="40" w:after="40"/>
              <w:rPr>
                <w:rFonts w:cs="Calibri"/>
              </w:rPr>
            </w:pPr>
            <w:r w:rsidRPr="0028033B">
              <w:rPr>
                <w:rFonts w:cs="Calibri"/>
              </w:rPr>
              <w:t>All cattle (includes dairy and non-dairy)</w:t>
            </w:r>
          </w:p>
        </w:tc>
        <w:tc>
          <w:tcPr>
            <w:tcW w:w="2548" w:type="dxa"/>
            <w:tcBorders>
              <w:bottom w:val="single" w:sz="4" w:space="0" w:color="1B556B" w:themeColor="text2"/>
            </w:tcBorders>
            <w:vAlign w:val="center"/>
          </w:tcPr>
          <w:p w14:paraId="236974FA" w14:textId="77777777" w:rsidR="00E46639" w:rsidRPr="0028033B" w:rsidRDefault="00E46639" w:rsidP="00F16E23">
            <w:pPr>
              <w:pStyle w:val="TableText"/>
              <w:spacing w:before="40" w:after="40"/>
              <w:jc w:val="right"/>
              <w:rPr>
                <w:rFonts w:cs="Calibri"/>
              </w:rPr>
            </w:pPr>
            <w:r w:rsidRPr="0028033B">
              <w:rPr>
                <w:rFonts w:cs="Calibri"/>
              </w:rPr>
              <w:t>0.0098</w:t>
            </w:r>
          </w:p>
        </w:tc>
        <w:tc>
          <w:tcPr>
            <w:tcW w:w="2696" w:type="dxa"/>
            <w:tcBorders>
              <w:bottom w:val="single" w:sz="4" w:space="0" w:color="1B556B" w:themeColor="text2"/>
            </w:tcBorders>
            <w:vAlign w:val="center"/>
          </w:tcPr>
          <w:p w14:paraId="1FB95B43" w14:textId="77777777" w:rsidR="00E46639" w:rsidRPr="0028033B" w:rsidRDefault="00E46639" w:rsidP="00F16E23">
            <w:pPr>
              <w:pStyle w:val="TableText"/>
              <w:spacing w:before="40" w:after="40"/>
              <w:jc w:val="right"/>
              <w:rPr>
                <w:rFonts w:cs="Calibri"/>
              </w:rPr>
            </w:pPr>
            <w:r w:rsidRPr="0028033B">
              <w:rPr>
                <w:rFonts w:cs="Calibri"/>
              </w:rPr>
              <w:t>0.0033</w:t>
            </w:r>
          </w:p>
        </w:tc>
      </w:tr>
      <w:tr w:rsidR="00E46639" w:rsidRPr="0028033B" w14:paraId="422F580D" w14:textId="77777777" w:rsidTr="00F16E23">
        <w:tc>
          <w:tcPr>
            <w:tcW w:w="3153" w:type="dxa"/>
          </w:tcPr>
          <w:p w14:paraId="796AB1A1" w14:textId="77777777" w:rsidR="00E46639" w:rsidRPr="0028033B" w:rsidRDefault="00E46639" w:rsidP="00F16E23">
            <w:pPr>
              <w:pStyle w:val="TableText"/>
              <w:spacing w:before="40" w:after="40"/>
              <w:rPr>
                <w:rFonts w:cs="Calibri"/>
              </w:rPr>
            </w:pPr>
            <w:r w:rsidRPr="0028033B">
              <w:rPr>
                <w:rFonts w:cs="Calibri"/>
              </w:rPr>
              <w:t>Deer</w:t>
            </w:r>
          </w:p>
        </w:tc>
        <w:tc>
          <w:tcPr>
            <w:tcW w:w="2548" w:type="dxa"/>
            <w:vAlign w:val="center"/>
          </w:tcPr>
          <w:p w14:paraId="0D2D562B" w14:textId="77777777" w:rsidR="00E46639" w:rsidRPr="0028033B" w:rsidRDefault="00E46639" w:rsidP="00F16E23">
            <w:pPr>
              <w:pStyle w:val="TableText"/>
              <w:spacing w:before="40" w:after="40"/>
              <w:jc w:val="right"/>
              <w:rPr>
                <w:rFonts w:cs="Calibri"/>
              </w:rPr>
            </w:pPr>
            <w:r w:rsidRPr="0028033B">
              <w:rPr>
                <w:rFonts w:cs="Calibri"/>
              </w:rPr>
              <w:t>0.0074</w:t>
            </w:r>
          </w:p>
        </w:tc>
        <w:tc>
          <w:tcPr>
            <w:tcW w:w="2696" w:type="dxa"/>
            <w:vAlign w:val="center"/>
          </w:tcPr>
          <w:p w14:paraId="1F4F59A8" w14:textId="77777777" w:rsidR="00E46639" w:rsidRPr="0028033B" w:rsidRDefault="00E46639" w:rsidP="00F16E23">
            <w:pPr>
              <w:pStyle w:val="TableText"/>
              <w:spacing w:before="40" w:after="40"/>
              <w:jc w:val="right"/>
              <w:rPr>
                <w:rFonts w:cs="Calibri"/>
              </w:rPr>
            </w:pPr>
            <w:r w:rsidRPr="0028033B">
              <w:rPr>
                <w:rFonts w:cs="Calibri"/>
              </w:rPr>
              <w:t>0.0020</w:t>
            </w:r>
          </w:p>
        </w:tc>
      </w:tr>
      <w:tr w:rsidR="00E46639" w:rsidRPr="0028033B" w14:paraId="384A20F0" w14:textId="77777777" w:rsidTr="00F16E23">
        <w:tc>
          <w:tcPr>
            <w:tcW w:w="3153" w:type="dxa"/>
          </w:tcPr>
          <w:p w14:paraId="2D51B248" w14:textId="77777777" w:rsidR="00E46639" w:rsidRPr="0028033B" w:rsidRDefault="00E46639" w:rsidP="00F16E23">
            <w:pPr>
              <w:pStyle w:val="TableText"/>
              <w:spacing w:before="40" w:after="40"/>
              <w:rPr>
                <w:rFonts w:cs="Calibri"/>
              </w:rPr>
            </w:pPr>
            <w:r w:rsidRPr="0028033B">
              <w:rPr>
                <w:rFonts w:cs="Calibri"/>
              </w:rPr>
              <w:t xml:space="preserve">Sheep </w:t>
            </w:r>
          </w:p>
        </w:tc>
        <w:tc>
          <w:tcPr>
            <w:tcW w:w="2548" w:type="dxa"/>
            <w:vAlign w:val="center"/>
          </w:tcPr>
          <w:p w14:paraId="3231398B" w14:textId="77777777" w:rsidR="00E46639" w:rsidRPr="0028033B" w:rsidRDefault="00E46639" w:rsidP="00F16E23">
            <w:pPr>
              <w:pStyle w:val="TableText"/>
              <w:spacing w:before="40" w:after="40"/>
              <w:jc w:val="right"/>
              <w:rPr>
                <w:rFonts w:cs="Calibri"/>
              </w:rPr>
            </w:pPr>
            <w:r w:rsidRPr="0028033B">
              <w:rPr>
                <w:rFonts w:cs="Calibri"/>
              </w:rPr>
              <w:t>0.0050</w:t>
            </w:r>
          </w:p>
        </w:tc>
        <w:tc>
          <w:tcPr>
            <w:tcW w:w="2696" w:type="dxa"/>
            <w:vAlign w:val="center"/>
          </w:tcPr>
          <w:p w14:paraId="2579449E" w14:textId="77777777" w:rsidR="00E46639" w:rsidRPr="0028033B" w:rsidRDefault="00E46639" w:rsidP="00F16E23">
            <w:pPr>
              <w:pStyle w:val="TableText"/>
              <w:spacing w:before="40" w:after="40"/>
              <w:jc w:val="right"/>
              <w:rPr>
                <w:rFonts w:cs="Calibri"/>
              </w:rPr>
            </w:pPr>
            <w:r w:rsidRPr="0028033B">
              <w:rPr>
                <w:rFonts w:cs="Calibri"/>
              </w:rPr>
              <w:t>0.0008</w:t>
            </w:r>
          </w:p>
        </w:tc>
      </w:tr>
    </w:tbl>
    <w:p w14:paraId="0EDE723B" w14:textId="77777777" w:rsidR="00E46639" w:rsidRPr="0028033B" w:rsidRDefault="00E46639" w:rsidP="00E46639">
      <w:pPr>
        <w:pStyle w:val="Table"/>
        <w:spacing w:before="240"/>
        <w:rPr>
          <w:rFonts w:cs="Calibri"/>
        </w:rPr>
      </w:pPr>
      <w:bookmarkStart w:id="1182" w:name="_Toc32570930"/>
      <w:bookmarkStart w:id="1183" w:name="_Toc36224565"/>
      <w:bookmarkStart w:id="1184" w:name="_Toc68786450"/>
      <w:bookmarkStart w:id="1185" w:name="_Toc95574083"/>
      <w:bookmarkStart w:id="1186" w:name="_Toc127458270"/>
      <w:bookmarkStart w:id="1187" w:name="_Toc131591366"/>
      <w:bookmarkStart w:id="1188" w:name="_Toc160114460"/>
      <w:bookmarkStart w:id="1189" w:name="_Toc164153856"/>
      <w:bookmarkStart w:id="1190" w:name="_Toc222407649"/>
      <w:bookmarkStart w:id="1191" w:name="_Toc226669024"/>
      <w:r w:rsidRPr="0028033B">
        <w:rPr>
          <w:rFonts w:cs="Calibri"/>
        </w:rPr>
        <w:t>Table 5.5.4</w:t>
      </w:r>
      <w:r w:rsidRPr="0028033B">
        <w:rPr>
          <w:rFonts w:cs="Calibri"/>
        </w:rPr>
        <w:tab/>
        <w:t>Parameters for indirect nitrous oxide (N</w:t>
      </w:r>
      <w:r w:rsidRPr="0028033B">
        <w:rPr>
          <w:rFonts w:cs="Calibri"/>
          <w:vertAlign w:val="subscript"/>
        </w:rPr>
        <w:t>2</w:t>
      </w:r>
      <w:r w:rsidRPr="0028033B">
        <w:rPr>
          <w:rFonts w:cs="Calibri"/>
        </w:rPr>
        <w:t xml:space="preserve">O) emissions from </w:t>
      </w:r>
      <w:r w:rsidRPr="0028033B">
        <w:rPr>
          <w:rFonts w:cs="Calibri"/>
          <w:i/>
          <w:iCs/>
        </w:rPr>
        <w:t>Agricultural soils</w:t>
      </w:r>
      <w:r w:rsidRPr="0028033B">
        <w:rPr>
          <w:rFonts w:cs="Calibri"/>
        </w:rPr>
        <w:t xml:space="preserve"> in New Zealand</w:t>
      </w:r>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57" w:type="dxa"/>
        </w:tblCellMar>
        <w:tblLook w:val="01E0" w:firstRow="1" w:lastRow="1" w:firstColumn="1" w:lastColumn="1" w:noHBand="0" w:noVBand="0"/>
      </w:tblPr>
      <w:tblGrid>
        <w:gridCol w:w="2127"/>
        <w:gridCol w:w="992"/>
        <w:gridCol w:w="1559"/>
        <w:gridCol w:w="1985"/>
        <w:gridCol w:w="1842"/>
      </w:tblGrid>
      <w:tr w:rsidR="00E46639" w:rsidRPr="0028033B" w14:paraId="79D5DC50" w14:textId="77777777" w:rsidTr="00C666CD">
        <w:trPr>
          <w:tblHeader/>
        </w:trPr>
        <w:tc>
          <w:tcPr>
            <w:tcW w:w="2127" w:type="dxa"/>
            <w:shd w:val="clear" w:color="auto" w:fill="1B556B"/>
            <w:vAlign w:val="bottom"/>
          </w:tcPr>
          <w:p w14:paraId="06D0E926" w14:textId="77777777" w:rsidR="00E46639" w:rsidRPr="0028033B" w:rsidRDefault="00E46639" w:rsidP="00F16E23">
            <w:pPr>
              <w:pStyle w:val="TableTextBold"/>
              <w:keepNext/>
              <w:spacing w:before="40" w:after="40"/>
              <w:rPr>
                <w:noProof w:val="0"/>
                <w:color w:val="FFFFFF" w:themeColor="background1"/>
              </w:rPr>
            </w:pPr>
            <w:r w:rsidRPr="0028033B">
              <w:rPr>
                <w:noProof w:val="0"/>
                <w:color w:val="FFFFFF" w:themeColor="background1"/>
              </w:rPr>
              <w:t>Category</w:t>
            </w:r>
          </w:p>
        </w:tc>
        <w:tc>
          <w:tcPr>
            <w:tcW w:w="4536" w:type="dxa"/>
            <w:gridSpan w:val="3"/>
            <w:shd w:val="clear" w:color="auto" w:fill="1B556B"/>
            <w:vAlign w:val="bottom"/>
          </w:tcPr>
          <w:p w14:paraId="178D14A0" w14:textId="77777777" w:rsidR="00E46639" w:rsidRPr="0028033B" w:rsidRDefault="00E46639" w:rsidP="00F16E23">
            <w:pPr>
              <w:pStyle w:val="TableTextBold"/>
              <w:keepNext/>
              <w:spacing w:before="40" w:after="40"/>
              <w:jc w:val="center"/>
              <w:rPr>
                <w:noProof w:val="0"/>
                <w:color w:val="FFFFFF" w:themeColor="background1"/>
              </w:rPr>
            </w:pPr>
            <w:r w:rsidRPr="0028033B">
              <w:rPr>
                <w:noProof w:val="0"/>
                <w:color w:val="FFFFFF" w:themeColor="background1"/>
              </w:rPr>
              <w:t>Parameter</w:t>
            </w:r>
          </w:p>
        </w:tc>
        <w:tc>
          <w:tcPr>
            <w:tcW w:w="1842" w:type="dxa"/>
            <w:shd w:val="clear" w:color="auto" w:fill="1B556B"/>
            <w:vAlign w:val="bottom"/>
          </w:tcPr>
          <w:p w14:paraId="1A5CEBFC" w14:textId="77777777" w:rsidR="00E46639" w:rsidRPr="0028033B" w:rsidRDefault="00E46639" w:rsidP="00F16E23">
            <w:pPr>
              <w:pStyle w:val="TableTextBold"/>
              <w:keepNext/>
              <w:spacing w:before="40" w:after="40"/>
              <w:rPr>
                <w:noProof w:val="0"/>
                <w:color w:val="FFFFFF" w:themeColor="background1"/>
              </w:rPr>
            </w:pPr>
            <w:r w:rsidRPr="0028033B">
              <w:rPr>
                <w:noProof w:val="0"/>
                <w:color w:val="FFFFFF" w:themeColor="background1"/>
              </w:rPr>
              <w:t>Source</w:t>
            </w:r>
          </w:p>
        </w:tc>
      </w:tr>
      <w:tr w:rsidR="00E46639" w:rsidRPr="0028033B" w14:paraId="5950C48D" w14:textId="77777777" w:rsidTr="00C666CD">
        <w:tc>
          <w:tcPr>
            <w:tcW w:w="8505" w:type="dxa"/>
            <w:gridSpan w:val="5"/>
          </w:tcPr>
          <w:p w14:paraId="1C71EAFE" w14:textId="77777777" w:rsidR="00E46639" w:rsidRPr="0028033B" w:rsidRDefault="00E46639" w:rsidP="00F16E23">
            <w:pPr>
              <w:pStyle w:val="TableText"/>
              <w:spacing w:before="40" w:after="40"/>
              <w:rPr>
                <w:rFonts w:cs="Calibri"/>
                <w:b/>
                <w:bCs/>
              </w:rPr>
            </w:pPr>
            <w:r w:rsidRPr="0028033B">
              <w:rPr>
                <w:rFonts w:cs="Calibri"/>
                <w:b/>
                <w:bCs/>
              </w:rPr>
              <w:t>3.D.2 Indirect N</w:t>
            </w:r>
            <w:r w:rsidRPr="0028033B">
              <w:rPr>
                <w:rFonts w:cs="Calibri"/>
                <w:b/>
                <w:bCs/>
                <w:vertAlign w:val="subscript"/>
              </w:rPr>
              <w:t>2</w:t>
            </w:r>
            <w:r w:rsidRPr="0028033B">
              <w:rPr>
                <w:rFonts w:cs="Calibri"/>
                <w:b/>
                <w:bCs/>
              </w:rPr>
              <w:t>O emissions</w:t>
            </w:r>
          </w:p>
        </w:tc>
      </w:tr>
      <w:tr w:rsidR="00E46639" w:rsidRPr="0028033B" w14:paraId="10D93566" w14:textId="77777777" w:rsidTr="00C666CD">
        <w:tc>
          <w:tcPr>
            <w:tcW w:w="2127" w:type="dxa"/>
          </w:tcPr>
          <w:p w14:paraId="0A912A7F" w14:textId="77777777" w:rsidR="00E46639" w:rsidRPr="0028033B" w:rsidRDefault="00E46639" w:rsidP="00F16E23">
            <w:pPr>
              <w:pStyle w:val="TableText"/>
              <w:spacing w:before="40" w:after="40"/>
              <w:rPr>
                <w:rFonts w:cs="Calibri"/>
              </w:rPr>
            </w:pPr>
            <w:r w:rsidRPr="0028033B">
              <w:rPr>
                <w:rFonts w:cs="Calibri"/>
              </w:rPr>
              <w:t>Fraction of volatilisation from synthetic fertiliser</w:t>
            </w:r>
          </w:p>
        </w:tc>
        <w:tc>
          <w:tcPr>
            <w:tcW w:w="992" w:type="dxa"/>
          </w:tcPr>
          <w:p w14:paraId="7E17F25F" w14:textId="77777777" w:rsidR="00E46639" w:rsidRPr="0028033B" w:rsidRDefault="00E46639" w:rsidP="00F16E23">
            <w:pPr>
              <w:pStyle w:val="TableText"/>
              <w:spacing w:before="40" w:after="40"/>
              <w:rPr>
                <w:rFonts w:cs="Calibri"/>
              </w:rPr>
            </w:pPr>
            <w:r w:rsidRPr="0028033B">
              <w:rPr>
                <w:rFonts w:cs="Calibri"/>
              </w:rPr>
              <w:t>Frac</w:t>
            </w:r>
            <w:r w:rsidRPr="0028033B">
              <w:rPr>
                <w:rFonts w:cs="Calibri"/>
                <w:vertAlign w:val="subscript"/>
              </w:rPr>
              <w:t>GASF</w:t>
            </w:r>
          </w:p>
        </w:tc>
        <w:tc>
          <w:tcPr>
            <w:tcW w:w="1559" w:type="dxa"/>
          </w:tcPr>
          <w:p w14:paraId="77BA151A" w14:textId="77777777" w:rsidR="00E46639" w:rsidRPr="0028033B" w:rsidRDefault="00E46639" w:rsidP="00F16E23">
            <w:pPr>
              <w:pStyle w:val="TableText"/>
              <w:spacing w:before="40" w:after="40"/>
              <w:jc w:val="right"/>
              <w:rPr>
                <w:rFonts w:cs="Calibri"/>
              </w:rPr>
            </w:pPr>
            <w:r w:rsidRPr="0028033B">
              <w:rPr>
                <w:rFonts w:cs="Calibri"/>
              </w:rPr>
              <w:t xml:space="preserve">0.1 </w:t>
            </w:r>
          </w:p>
        </w:tc>
        <w:tc>
          <w:tcPr>
            <w:tcW w:w="1985" w:type="dxa"/>
          </w:tcPr>
          <w:p w14:paraId="38C88A8B" w14:textId="77777777" w:rsidR="00E46639" w:rsidRPr="0028033B" w:rsidRDefault="00E46639" w:rsidP="00F16E23">
            <w:pPr>
              <w:pStyle w:val="TableText"/>
              <w:spacing w:before="40" w:after="40"/>
              <w:rPr>
                <w:rFonts w:cs="Calibri"/>
              </w:rPr>
            </w:pPr>
            <w:r w:rsidRPr="0028033B">
              <w:rPr>
                <w:rFonts w:cs="Calibri"/>
              </w:rPr>
              <w:t>kg NH</w:t>
            </w:r>
            <w:r w:rsidRPr="0028033B">
              <w:rPr>
                <w:rFonts w:cs="Calibri"/>
                <w:vertAlign w:val="subscript"/>
              </w:rPr>
              <w:t>3</w:t>
            </w:r>
            <w:r w:rsidRPr="0028033B">
              <w:rPr>
                <w:rFonts w:cs="Calibri"/>
              </w:rPr>
              <w:t>-N + NO</w:t>
            </w:r>
            <w:r w:rsidRPr="0028033B">
              <w:rPr>
                <w:rFonts w:cs="Calibri"/>
                <w:vertAlign w:val="subscript"/>
              </w:rPr>
              <w:t>x</w:t>
            </w:r>
            <w:r w:rsidRPr="0028033B">
              <w:rPr>
                <w:rFonts w:cs="Calibri"/>
              </w:rPr>
              <w:t>-N/kg N</w:t>
            </w:r>
          </w:p>
        </w:tc>
        <w:tc>
          <w:tcPr>
            <w:tcW w:w="1842" w:type="dxa"/>
          </w:tcPr>
          <w:p w14:paraId="0077D955" w14:textId="77777777" w:rsidR="00E46639" w:rsidRPr="0028033B" w:rsidRDefault="00E46639" w:rsidP="00F16E23">
            <w:pPr>
              <w:pStyle w:val="TableText"/>
              <w:spacing w:before="40" w:after="40"/>
              <w:rPr>
                <w:rFonts w:cs="Calibri"/>
              </w:rPr>
            </w:pPr>
            <w:r w:rsidRPr="0028033B">
              <w:rPr>
                <w:rFonts w:cs="Calibri"/>
              </w:rPr>
              <w:t>IPCC (2006), verified by Sherlock et al. (2011)</w:t>
            </w:r>
          </w:p>
        </w:tc>
      </w:tr>
      <w:tr w:rsidR="00E46639" w:rsidRPr="0028033B" w14:paraId="387F287A" w14:textId="77777777" w:rsidTr="00C666CD">
        <w:tc>
          <w:tcPr>
            <w:tcW w:w="2127" w:type="dxa"/>
          </w:tcPr>
          <w:p w14:paraId="77E24146" w14:textId="77777777" w:rsidR="00E46639" w:rsidRPr="0028033B" w:rsidRDefault="00E46639" w:rsidP="00F16E23">
            <w:pPr>
              <w:pStyle w:val="TableText"/>
              <w:spacing w:before="40" w:after="40"/>
              <w:rPr>
                <w:rFonts w:cs="Calibri"/>
              </w:rPr>
            </w:pPr>
            <w:r w:rsidRPr="0028033B">
              <w:rPr>
                <w:rFonts w:cs="Calibri"/>
              </w:rPr>
              <w:t xml:space="preserve">Fraction of volatilisation from organic nitrogen additions including pasture manure </w:t>
            </w:r>
          </w:p>
        </w:tc>
        <w:tc>
          <w:tcPr>
            <w:tcW w:w="992" w:type="dxa"/>
          </w:tcPr>
          <w:p w14:paraId="3DEF211D" w14:textId="77777777" w:rsidR="00E46639" w:rsidRPr="0028033B" w:rsidRDefault="00E46639" w:rsidP="00F16E23">
            <w:pPr>
              <w:pStyle w:val="TableText"/>
              <w:spacing w:before="40" w:after="40"/>
              <w:rPr>
                <w:rFonts w:cs="Calibri"/>
              </w:rPr>
            </w:pPr>
            <w:r w:rsidRPr="0028033B">
              <w:rPr>
                <w:rFonts w:cs="Calibri"/>
              </w:rPr>
              <w:t>Frac</w:t>
            </w:r>
            <w:r w:rsidRPr="0028033B">
              <w:rPr>
                <w:rFonts w:cs="Calibri"/>
                <w:vertAlign w:val="subscript"/>
              </w:rPr>
              <w:t>GASM</w:t>
            </w:r>
          </w:p>
        </w:tc>
        <w:tc>
          <w:tcPr>
            <w:tcW w:w="1559" w:type="dxa"/>
          </w:tcPr>
          <w:p w14:paraId="19D62F60" w14:textId="77777777" w:rsidR="00E46639" w:rsidRPr="0028033B" w:rsidRDefault="00E46639" w:rsidP="00F16E23">
            <w:pPr>
              <w:pStyle w:val="TableText"/>
              <w:spacing w:before="40" w:after="40"/>
              <w:jc w:val="right"/>
              <w:rPr>
                <w:rFonts w:cs="Calibri"/>
              </w:rPr>
            </w:pPr>
            <w:r w:rsidRPr="0028033B">
              <w:rPr>
                <w:rFonts w:cs="Calibri"/>
              </w:rPr>
              <w:t>0.1</w:t>
            </w:r>
          </w:p>
        </w:tc>
        <w:tc>
          <w:tcPr>
            <w:tcW w:w="1985" w:type="dxa"/>
          </w:tcPr>
          <w:p w14:paraId="48E4478C" w14:textId="77777777" w:rsidR="00E46639" w:rsidRPr="0028033B" w:rsidRDefault="00E46639" w:rsidP="00F16E23">
            <w:pPr>
              <w:pStyle w:val="TableText"/>
              <w:spacing w:before="40" w:after="40"/>
              <w:rPr>
                <w:rFonts w:cs="Calibri"/>
              </w:rPr>
            </w:pPr>
            <w:r w:rsidRPr="0028033B">
              <w:rPr>
                <w:rFonts w:cs="Calibri"/>
              </w:rPr>
              <w:t>kg NH</w:t>
            </w:r>
            <w:r w:rsidRPr="0028033B">
              <w:rPr>
                <w:rFonts w:cs="Calibri"/>
                <w:vertAlign w:val="subscript"/>
              </w:rPr>
              <w:t>3</w:t>
            </w:r>
            <w:r w:rsidRPr="0028033B">
              <w:rPr>
                <w:rFonts w:cs="Calibri"/>
              </w:rPr>
              <w:t>-N + NO</w:t>
            </w:r>
            <w:r w:rsidRPr="0028033B">
              <w:rPr>
                <w:rFonts w:cs="Calibri"/>
                <w:vertAlign w:val="subscript"/>
              </w:rPr>
              <w:t>x</w:t>
            </w:r>
            <w:r w:rsidRPr="0028033B">
              <w:rPr>
                <w:rFonts w:cs="Calibri"/>
              </w:rPr>
              <w:t>-N/kg N</w:t>
            </w:r>
          </w:p>
        </w:tc>
        <w:tc>
          <w:tcPr>
            <w:tcW w:w="1842" w:type="dxa"/>
          </w:tcPr>
          <w:p w14:paraId="78999F3F" w14:textId="77777777" w:rsidR="00E46639" w:rsidRPr="0028033B" w:rsidRDefault="00E46639" w:rsidP="00F16E23">
            <w:pPr>
              <w:pStyle w:val="TableText"/>
              <w:spacing w:before="40" w:after="40"/>
              <w:rPr>
                <w:rFonts w:cs="Calibri"/>
              </w:rPr>
            </w:pPr>
            <w:r w:rsidRPr="0028033B">
              <w:rPr>
                <w:rFonts w:cs="Calibri"/>
              </w:rPr>
              <w:t>Sherlock et al. (2011)</w:t>
            </w:r>
          </w:p>
        </w:tc>
      </w:tr>
      <w:tr w:rsidR="00E46639" w:rsidRPr="0028033B" w14:paraId="082B84D6" w14:textId="77777777" w:rsidTr="00C666CD">
        <w:tc>
          <w:tcPr>
            <w:tcW w:w="2127" w:type="dxa"/>
            <w:vMerge w:val="restart"/>
          </w:tcPr>
          <w:p w14:paraId="01409C14" w14:textId="77777777" w:rsidR="00E46639" w:rsidRPr="0028033B" w:rsidRDefault="00E46639" w:rsidP="00F16E23">
            <w:pPr>
              <w:pStyle w:val="TableText"/>
              <w:spacing w:before="40" w:after="40"/>
              <w:rPr>
                <w:rFonts w:cs="Calibri"/>
              </w:rPr>
            </w:pPr>
            <w:r w:rsidRPr="0028033B">
              <w:rPr>
                <w:rFonts w:cs="Calibri"/>
              </w:rPr>
              <w:t>Fraction of leaching and runoff from all nitrogen applied to soil</w:t>
            </w:r>
          </w:p>
        </w:tc>
        <w:tc>
          <w:tcPr>
            <w:tcW w:w="992" w:type="dxa"/>
          </w:tcPr>
          <w:p w14:paraId="26B050E2"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Cropland Frac</w:t>
            </w:r>
            <w:r w:rsidRPr="0028033B">
              <w:rPr>
                <w:rFonts w:asciiTheme="minorHAnsi" w:hAnsiTheme="minorHAnsi" w:cstheme="minorHAnsi"/>
                <w:szCs w:val="16"/>
                <w:vertAlign w:val="subscript"/>
              </w:rPr>
              <w:t>LEACH – (H)</w:t>
            </w:r>
          </w:p>
        </w:tc>
        <w:tc>
          <w:tcPr>
            <w:tcW w:w="1559" w:type="dxa"/>
          </w:tcPr>
          <w:p w14:paraId="551BA89F"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0.1</w:t>
            </w:r>
          </w:p>
        </w:tc>
        <w:tc>
          <w:tcPr>
            <w:tcW w:w="1985" w:type="dxa"/>
          </w:tcPr>
          <w:p w14:paraId="2120BBC9"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kg N/kg N</w:t>
            </w:r>
          </w:p>
        </w:tc>
        <w:tc>
          <w:tcPr>
            <w:tcW w:w="1842" w:type="dxa"/>
          </w:tcPr>
          <w:p w14:paraId="7FD0CBE8"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Welten et al. (2021)</w:t>
            </w:r>
          </w:p>
        </w:tc>
      </w:tr>
      <w:tr w:rsidR="00E46639" w:rsidRPr="0028033B" w14:paraId="622F650A" w14:textId="77777777" w:rsidTr="00C666CD">
        <w:tc>
          <w:tcPr>
            <w:tcW w:w="2127" w:type="dxa"/>
            <w:vMerge/>
          </w:tcPr>
          <w:p w14:paraId="0893BB78" w14:textId="77777777" w:rsidR="00E46639" w:rsidRPr="0028033B" w:rsidRDefault="00E46639" w:rsidP="00F16E23">
            <w:pPr>
              <w:pStyle w:val="TableText"/>
              <w:spacing w:before="40" w:after="40"/>
              <w:rPr>
                <w:rFonts w:cs="Calibri"/>
              </w:rPr>
            </w:pPr>
          </w:p>
        </w:tc>
        <w:tc>
          <w:tcPr>
            <w:tcW w:w="992" w:type="dxa"/>
          </w:tcPr>
          <w:p w14:paraId="268BA723"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Grassland Frac</w:t>
            </w:r>
            <w:r w:rsidRPr="0028033B">
              <w:rPr>
                <w:rFonts w:asciiTheme="minorHAnsi" w:hAnsiTheme="minorHAnsi" w:cstheme="minorHAnsi"/>
                <w:szCs w:val="16"/>
                <w:vertAlign w:val="subscript"/>
              </w:rPr>
              <w:t>LEACH – (H)</w:t>
            </w:r>
          </w:p>
        </w:tc>
        <w:tc>
          <w:tcPr>
            <w:tcW w:w="1559" w:type="dxa"/>
          </w:tcPr>
          <w:p w14:paraId="5697BA90"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0.08</w:t>
            </w:r>
          </w:p>
        </w:tc>
        <w:tc>
          <w:tcPr>
            <w:tcW w:w="1985" w:type="dxa"/>
          </w:tcPr>
          <w:p w14:paraId="15DCFFC8"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kg N/kg N</w:t>
            </w:r>
          </w:p>
        </w:tc>
        <w:tc>
          <w:tcPr>
            <w:tcW w:w="1842" w:type="dxa"/>
          </w:tcPr>
          <w:p w14:paraId="5A4D4A7C"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Welten et al. (2021)</w:t>
            </w:r>
          </w:p>
        </w:tc>
      </w:tr>
      <w:tr w:rsidR="00E46639" w:rsidRPr="0028033B" w14:paraId="72E747F6" w14:textId="77777777" w:rsidTr="00C666CD">
        <w:tc>
          <w:tcPr>
            <w:tcW w:w="2127" w:type="dxa"/>
            <w:vMerge/>
          </w:tcPr>
          <w:p w14:paraId="4F442359" w14:textId="77777777" w:rsidR="00E46639" w:rsidRPr="0028033B" w:rsidRDefault="00E46639" w:rsidP="00F16E23">
            <w:pPr>
              <w:pStyle w:val="TableText"/>
              <w:spacing w:before="40" w:after="40"/>
              <w:rPr>
                <w:rFonts w:cs="Calibri"/>
              </w:rPr>
            </w:pPr>
          </w:p>
        </w:tc>
        <w:tc>
          <w:tcPr>
            <w:tcW w:w="992" w:type="dxa"/>
          </w:tcPr>
          <w:p w14:paraId="040CEAB2"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Synthetic N fertiliser Frac</w:t>
            </w:r>
            <w:r w:rsidRPr="0028033B">
              <w:rPr>
                <w:rFonts w:asciiTheme="minorHAnsi" w:hAnsiTheme="minorHAnsi" w:cstheme="minorHAnsi"/>
                <w:szCs w:val="16"/>
                <w:vertAlign w:val="subscript"/>
              </w:rPr>
              <w:t>LEACH-(H)</w:t>
            </w:r>
          </w:p>
        </w:tc>
        <w:tc>
          <w:tcPr>
            <w:tcW w:w="1559" w:type="dxa"/>
          </w:tcPr>
          <w:p w14:paraId="7E946E93"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0.082</w:t>
            </w:r>
          </w:p>
        </w:tc>
        <w:tc>
          <w:tcPr>
            <w:tcW w:w="1985" w:type="dxa"/>
          </w:tcPr>
          <w:p w14:paraId="1F62FB49"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kg N/kg N</w:t>
            </w:r>
          </w:p>
        </w:tc>
        <w:tc>
          <w:tcPr>
            <w:tcW w:w="1842" w:type="dxa"/>
          </w:tcPr>
          <w:p w14:paraId="334ED8FE" w14:textId="77777777" w:rsidR="00E46639" w:rsidRPr="0028033B" w:rsidRDefault="00E46639" w:rsidP="00F16E23">
            <w:pPr>
              <w:pStyle w:val="TableText"/>
              <w:spacing w:before="40" w:after="40"/>
              <w:rPr>
                <w:rFonts w:asciiTheme="minorHAnsi" w:hAnsiTheme="minorHAnsi" w:cstheme="minorHAnsi"/>
                <w:szCs w:val="16"/>
              </w:rPr>
            </w:pPr>
            <w:r w:rsidRPr="0028033B">
              <w:rPr>
                <w:rFonts w:asciiTheme="minorHAnsi" w:hAnsiTheme="minorHAnsi" w:cstheme="minorHAnsi"/>
                <w:szCs w:val="16"/>
              </w:rPr>
              <w:t>Calculated based off of Welten et al. (2021)</w:t>
            </w:r>
          </w:p>
        </w:tc>
      </w:tr>
      <w:tr w:rsidR="00E46639" w:rsidRPr="0028033B" w14:paraId="348B0EB1" w14:textId="77777777" w:rsidTr="00C666CD">
        <w:tc>
          <w:tcPr>
            <w:tcW w:w="2127" w:type="dxa"/>
          </w:tcPr>
          <w:p w14:paraId="2DC09158" w14:textId="77777777" w:rsidR="00E46639" w:rsidRPr="0028033B" w:rsidRDefault="00E46639" w:rsidP="00F16E23">
            <w:pPr>
              <w:pStyle w:val="TableText"/>
              <w:spacing w:before="40" w:after="40"/>
              <w:rPr>
                <w:rFonts w:cs="Calibri"/>
              </w:rPr>
            </w:pPr>
            <w:r w:rsidRPr="0028033B">
              <w:rPr>
                <w:rFonts w:cs="Calibri"/>
              </w:rPr>
              <w:t xml:space="preserve">Fraction of crop residue burned in the field </w:t>
            </w:r>
          </w:p>
        </w:tc>
        <w:tc>
          <w:tcPr>
            <w:tcW w:w="992" w:type="dxa"/>
          </w:tcPr>
          <w:p w14:paraId="4F94A2E0" w14:textId="77777777" w:rsidR="00E46639" w:rsidRPr="0028033B" w:rsidRDefault="00E46639" w:rsidP="00F16E23">
            <w:pPr>
              <w:pStyle w:val="TableText"/>
              <w:spacing w:before="40" w:after="40"/>
              <w:rPr>
                <w:rFonts w:cs="Calibri"/>
              </w:rPr>
            </w:pPr>
            <w:r w:rsidRPr="0028033B">
              <w:rPr>
                <w:rFonts w:cs="Calibri"/>
              </w:rPr>
              <w:t>Frac</w:t>
            </w:r>
            <w:r w:rsidRPr="0028033B">
              <w:rPr>
                <w:rFonts w:cs="Calibri"/>
                <w:vertAlign w:val="subscript"/>
              </w:rPr>
              <w:t>BURN</w:t>
            </w:r>
          </w:p>
        </w:tc>
        <w:tc>
          <w:tcPr>
            <w:tcW w:w="1559" w:type="dxa"/>
          </w:tcPr>
          <w:p w14:paraId="14395746" w14:textId="77777777" w:rsidR="00E46639" w:rsidRPr="0028033B" w:rsidRDefault="00E46639" w:rsidP="00F16E23">
            <w:pPr>
              <w:pStyle w:val="TableText"/>
              <w:spacing w:before="40" w:after="40"/>
              <w:jc w:val="right"/>
              <w:rPr>
                <w:rFonts w:cs="Calibri"/>
              </w:rPr>
            </w:pPr>
            <w:r w:rsidRPr="0028033B">
              <w:rPr>
                <w:rFonts w:cs="Calibri"/>
              </w:rPr>
              <w:t>Crop-specific</w:t>
            </w:r>
          </w:p>
        </w:tc>
        <w:tc>
          <w:tcPr>
            <w:tcW w:w="1985" w:type="dxa"/>
          </w:tcPr>
          <w:p w14:paraId="76D5E17B" w14:textId="77777777" w:rsidR="00E46639" w:rsidRPr="0028033B" w:rsidRDefault="00E46639" w:rsidP="00F16E23">
            <w:pPr>
              <w:pStyle w:val="TableText"/>
              <w:spacing w:before="40" w:after="40"/>
              <w:rPr>
                <w:rFonts w:cs="Calibri"/>
              </w:rPr>
            </w:pPr>
            <w:r w:rsidRPr="0028033B">
              <w:rPr>
                <w:rFonts w:cs="Calibri"/>
              </w:rPr>
              <w:t>kg N/kg crop-N</w:t>
            </w:r>
          </w:p>
        </w:tc>
        <w:tc>
          <w:tcPr>
            <w:tcW w:w="1842" w:type="dxa"/>
          </w:tcPr>
          <w:p w14:paraId="06382FB6" w14:textId="77777777" w:rsidR="00E46639" w:rsidRPr="0028033B" w:rsidRDefault="00E46639" w:rsidP="00F16E23">
            <w:pPr>
              <w:pStyle w:val="TableText"/>
              <w:spacing w:before="40" w:after="40"/>
              <w:rPr>
                <w:rFonts w:cs="Calibri"/>
              </w:rPr>
            </w:pPr>
            <w:r w:rsidRPr="0028033B">
              <w:rPr>
                <w:rFonts w:cs="Calibri"/>
              </w:rPr>
              <w:t>Thomas et al. (2011, table 14)</w:t>
            </w:r>
          </w:p>
        </w:tc>
      </w:tr>
      <w:tr w:rsidR="00E46639" w:rsidRPr="0028033B" w14:paraId="68DFC769" w14:textId="77777777" w:rsidTr="00C666CD">
        <w:tc>
          <w:tcPr>
            <w:tcW w:w="2127" w:type="dxa"/>
          </w:tcPr>
          <w:p w14:paraId="55BF7145" w14:textId="77777777" w:rsidR="00E46639" w:rsidRPr="0028033B" w:rsidRDefault="00E46639" w:rsidP="00F16E23">
            <w:pPr>
              <w:pStyle w:val="TableText"/>
              <w:spacing w:before="40" w:after="40"/>
              <w:rPr>
                <w:rFonts w:cs="Calibri"/>
              </w:rPr>
            </w:pPr>
            <w:r w:rsidRPr="0028033B">
              <w:rPr>
                <w:rFonts w:cs="Calibri"/>
              </w:rPr>
              <w:t>Fraction of legume crop residue burning in the field</w:t>
            </w:r>
          </w:p>
        </w:tc>
        <w:tc>
          <w:tcPr>
            <w:tcW w:w="992" w:type="dxa"/>
          </w:tcPr>
          <w:p w14:paraId="2C693D28" w14:textId="77777777" w:rsidR="00E46639" w:rsidRPr="0028033B" w:rsidRDefault="00E46639" w:rsidP="00F16E23">
            <w:pPr>
              <w:pStyle w:val="TableText"/>
              <w:keepNext/>
              <w:spacing w:before="40" w:after="40"/>
              <w:rPr>
                <w:rFonts w:cs="Calibri"/>
              </w:rPr>
            </w:pPr>
            <w:r w:rsidRPr="0028033B">
              <w:rPr>
                <w:rFonts w:cs="Calibri"/>
              </w:rPr>
              <w:t>Frac</w:t>
            </w:r>
            <w:r w:rsidRPr="0028033B">
              <w:rPr>
                <w:rFonts w:cs="Calibri"/>
                <w:vertAlign w:val="subscript"/>
              </w:rPr>
              <w:t>BURNL</w:t>
            </w:r>
          </w:p>
        </w:tc>
        <w:tc>
          <w:tcPr>
            <w:tcW w:w="1559" w:type="dxa"/>
          </w:tcPr>
          <w:p w14:paraId="5C5C003F" w14:textId="77777777" w:rsidR="00E46639" w:rsidRPr="0028033B" w:rsidRDefault="00E46639" w:rsidP="00F16E23">
            <w:pPr>
              <w:pStyle w:val="TableText"/>
              <w:keepNext/>
              <w:spacing w:before="40" w:after="40"/>
              <w:jc w:val="right"/>
              <w:rPr>
                <w:rFonts w:cs="Calibri"/>
              </w:rPr>
            </w:pPr>
            <w:r w:rsidRPr="0028033B">
              <w:rPr>
                <w:rFonts w:cs="Calibri"/>
              </w:rPr>
              <w:t>0 (not burned in NZ)</w:t>
            </w:r>
          </w:p>
        </w:tc>
        <w:tc>
          <w:tcPr>
            <w:tcW w:w="1985" w:type="dxa"/>
          </w:tcPr>
          <w:p w14:paraId="50824D1F" w14:textId="77777777" w:rsidR="00E46639" w:rsidRPr="0028033B" w:rsidRDefault="00E46639" w:rsidP="00F16E23">
            <w:pPr>
              <w:pStyle w:val="TableText"/>
              <w:keepNext/>
              <w:spacing w:before="40" w:after="40"/>
              <w:rPr>
                <w:rFonts w:cs="Calibri"/>
              </w:rPr>
            </w:pPr>
            <w:r w:rsidRPr="0028033B">
              <w:rPr>
                <w:rFonts w:cs="Calibri"/>
              </w:rPr>
              <w:t>kg N/kg crop-N</w:t>
            </w:r>
          </w:p>
        </w:tc>
        <w:tc>
          <w:tcPr>
            <w:tcW w:w="1842" w:type="dxa"/>
          </w:tcPr>
          <w:p w14:paraId="31D58F1B" w14:textId="77777777" w:rsidR="00E46639" w:rsidRPr="0028033B" w:rsidRDefault="00E46639" w:rsidP="00F16E23">
            <w:pPr>
              <w:pStyle w:val="TableText"/>
              <w:keepNext/>
              <w:spacing w:before="40" w:after="40"/>
              <w:rPr>
                <w:rFonts w:cs="Calibri"/>
              </w:rPr>
            </w:pPr>
            <w:r w:rsidRPr="0028033B">
              <w:rPr>
                <w:rFonts w:cs="Calibri"/>
              </w:rPr>
              <w:t xml:space="preserve">Thomas et al. (2011) </w:t>
            </w:r>
          </w:p>
        </w:tc>
      </w:tr>
      <w:tr w:rsidR="00E46639" w:rsidRPr="0028033B" w14:paraId="0E9BBD23" w14:textId="77777777" w:rsidTr="00C666CD">
        <w:tc>
          <w:tcPr>
            <w:tcW w:w="2127" w:type="dxa"/>
          </w:tcPr>
          <w:p w14:paraId="6BF207B8" w14:textId="77777777" w:rsidR="00E46639" w:rsidRPr="0028033B" w:rsidRDefault="00E46639" w:rsidP="00F16E23">
            <w:pPr>
              <w:pStyle w:val="TableText"/>
              <w:spacing w:before="40" w:after="40"/>
              <w:rPr>
                <w:rFonts w:cs="Calibri"/>
              </w:rPr>
            </w:pPr>
            <w:r w:rsidRPr="0028033B">
              <w:rPr>
                <w:rFonts w:cs="Calibri"/>
              </w:rPr>
              <w:t>Fraction of land undergoing pasture renewal</w:t>
            </w:r>
          </w:p>
        </w:tc>
        <w:tc>
          <w:tcPr>
            <w:tcW w:w="992" w:type="dxa"/>
          </w:tcPr>
          <w:p w14:paraId="3F1F125C" w14:textId="77777777" w:rsidR="00E46639" w:rsidRPr="0028033B" w:rsidRDefault="00E46639" w:rsidP="00F16E23">
            <w:pPr>
              <w:pStyle w:val="TableText"/>
              <w:spacing w:before="40" w:after="40"/>
              <w:rPr>
                <w:rFonts w:cs="Calibri"/>
              </w:rPr>
            </w:pPr>
            <w:r w:rsidRPr="0028033B">
              <w:rPr>
                <w:rFonts w:cs="Calibri"/>
              </w:rPr>
              <w:t>Frac</w:t>
            </w:r>
            <w:r w:rsidRPr="0028033B">
              <w:rPr>
                <w:rFonts w:cs="Calibri"/>
                <w:vertAlign w:val="subscript"/>
              </w:rPr>
              <w:t>RENEW</w:t>
            </w:r>
          </w:p>
        </w:tc>
        <w:tc>
          <w:tcPr>
            <w:tcW w:w="1559" w:type="dxa"/>
          </w:tcPr>
          <w:p w14:paraId="26101848" w14:textId="77777777" w:rsidR="00E46639" w:rsidRPr="0028033B" w:rsidRDefault="00E46639" w:rsidP="00F16E23">
            <w:pPr>
              <w:pStyle w:val="TableText"/>
              <w:spacing w:before="40" w:after="40"/>
              <w:jc w:val="right"/>
              <w:rPr>
                <w:rStyle w:val="CommentReference"/>
                <w:rFonts w:cs="Calibri"/>
              </w:rPr>
            </w:pPr>
            <w:r w:rsidRPr="0028033B">
              <w:rPr>
                <w:rStyle w:val="CommentReference"/>
                <w:rFonts w:cs="Calibri"/>
              </w:rPr>
              <w:t>Year-specific</w:t>
            </w:r>
          </w:p>
        </w:tc>
        <w:tc>
          <w:tcPr>
            <w:tcW w:w="1985" w:type="dxa"/>
          </w:tcPr>
          <w:p w14:paraId="52805939" w14:textId="77777777" w:rsidR="00E46639" w:rsidRPr="0028033B" w:rsidRDefault="00E46639" w:rsidP="00F16E23">
            <w:pPr>
              <w:pStyle w:val="TableText"/>
              <w:spacing w:before="40" w:after="40"/>
              <w:rPr>
                <w:rFonts w:cs="Calibri"/>
              </w:rPr>
            </w:pPr>
          </w:p>
        </w:tc>
        <w:tc>
          <w:tcPr>
            <w:tcW w:w="1842" w:type="dxa"/>
          </w:tcPr>
          <w:p w14:paraId="20EBBC19" w14:textId="77777777" w:rsidR="00E46639" w:rsidRPr="0028033B" w:rsidRDefault="00E46639" w:rsidP="00F16E23">
            <w:pPr>
              <w:pStyle w:val="TableText"/>
              <w:spacing w:before="40" w:after="40"/>
              <w:rPr>
                <w:rFonts w:cs="Calibri"/>
              </w:rPr>
            </w:pPr>
            <w:r w:rsidRPr="0028033B">
              <w:rPr>
                <w:rFonts w:cs="Calibri"/>
              </w:rPr>
              <w:t>Beare et al. (2012); Thomas et al. (2014)</w:t>
            </w:r>
          </w:p>
        </w:tc>
      </w:tr>
      <w:tr w:rsidR="00E46639" w:rsidRPr="0028033B" w14:paraId="759D9146" w14:textId="77777777" w:rsidTr="00C666CD">
        <w:tc>
          <w:tcPr>
            <w:tcW w:w="2127" w:type="dxa"/>
          </w:tcPr>
          <w:p w14:paraId="07B3A815" w14:textId="77777777" w:rsidR="00E46639" w:rsidRPr="0028033B" w:rsidRDefault="00E46639" w:rsidP="00F16E23">
            <w:pPr>
              <w:pStyle w:val="TableText"/>
              <w:spacing w:before="40" w:after="40"/>
              <w:rPr>
                <w:rFonts w:cs="Calibri"/>
              </w:rPr>
            </w:pPr>
            <w:r w:rsidRPr="0028033B">
              <w:rPr>
                <w:rFonts w:cs="Calibri"/>
              </w:rPr>
              <w:t>Fraction of nitrogen in above-ground residues removed for bedding, feed or construction</w:t>
            </w:r>
          </w:p>
        </w:tc>
        <w:tc>
          <w:tcPr>
            <w:tcW w:w="992" w:type="dxa"/>
          </w:tcPr>
          <w:p w14:paraId="1243E23B" w14:textId="77777777" w:rsidR="00E46639" w:rsidRPr="0028033B" w:rsidRDefault="00E46639" w:rsidP="00F16E23">
            <w:pPr>
              <w:pStyle w:val="TableText"/>
              <w:spacing w:before="40" w:after="40"/>
              <w:rPr>
                <w:rFonts w:cs="Calibri"/>
              </w:rPr>
            </w:pPr>
            <w:r w:rsidRPr="0028033B">
              <w:rPr>
                <w:rFonts w:cs="Calibri"/>
              </w:rPr>
              <w:t>Frac</w:t>
            </w:r>
            <w:r w:rsidRPr="0028033B">
              <w:rPr>
                <w:rFonts w:cs="Calibri"/>
                <w:vertAlign w:val="subscript"/>
              </w:rPr>
              <w:t>REMOVE</w:t>
            </w:r>
          </w:p>
        </w:tc>
        <w:tc>
          <w:tcPr>
            <w:tcW w:w="1559" w:type="dxa"/>
          </w:tcPr>
          <w:p w14:paraId="514AB88A" w14:textId="77777777" w:rsidR="00E46639" w:rsidRPr="0028033B" w:rsidRDefault="00E46639" w:rsidP="00F16E23">
            <w:pPr>
              <w:pStyle w:val="TableText"/>
              <w:spacing w:before="40" w:after="40"/>
              <w:jc w:val="right"/>
              <w:rPr>
                <w:rFonts w:cs="Calibri"/>
              </w:rPr>
            </w:pPr>
            <w:r w:rsidRPr="0028033B">
              <w:rPr>
                <w:rFonts w:cs="Calibri"/>
              </w:rPr>
              <w:t>0</w:t>
            </w:r>
          </w:p>
        </w:tc>
        <w:tc>
          <w:tcPr>
            <w:tcW w:w="1985" w:type="dxa"/>
          </w:tcPr>
          <w:p w14:paraId="3A966E6F" w14:textId="77777777" w:rsidR="00E46639" w:rsidRPr="0028033B" w:rsidRDefault="00E46639" w:rsidP="00F16E23">
            <w:pPr>
              <w:pStyle w:val="TableText"/>
              <w:spacing w:before="40" w:after="40"/>
              <w:rPr>
                <w:rFonts w:cs="Calibri"/>
              </w:rPr>
            </w:pPr>
            <w:r w:rsidRPr="0028033B">
              <w:rPr>
                <w:rFonts w:cs="Calibri"/>
              </w:rPr>
              <w:t>kg N/kg crop-N</w:t>
            </w:r>
          </w:p>
        </w:tc>
        <w:tc>
          <w:tcPr>
            <w:tcW w:w="1842" w:type="dxa"/>
          </w:tcPr>
          <w:p w14:paraId="38176C2B" w14:textId="77777777" w:rsidR="00E46639" w:rsidRPr="0028033B" w:rsidRDefault="00E46639" w:rsidP="00F16E23">
            <w:pPr>
              <w:pStyle w:val="TableText"/>
              <w:spacing w:before="40" w:after="40"/>
              <w:rPr>
                <w:rFonts w:cs="Calibri"/>
              </w:rPr>
            </w:pPr>
            <w:r w:rsidRPr="0028033B">
              <w:rPr>
                <w:rFonts w:cs="Calibri"/>
              </w:rPr>
              <w:t>Thomas et al. (2014)</w:t>
            </w:r>
          </w:p>
        </w:tc>
      </w:tr>
    </w:tbl>
    <w:p w14:paraId="38DB1A99" w14:textId="77777777" w:rsidR="00E46639" w:rsidRPr="0028033B" w:rsidRDefault="00E46639" w:rsidP="00E46639">
      <w:pPr>
        <w:pStyle w:val="Table"/>
        <w:spacing w:before="320"/>
        <w:rPr>
          <w:rFonts w:cs="Calibri"/>
        </w:rPr>
      </w:pPr>
      <w:bookmarkStart w:id="1192" w:name="_Toc441830882"/>
      <w:bookmarkStart w:id="1193" w:name="_Toc451176096"/>
      <w:bookmarkStart w:id="1194" w:name="_Toc481751524"/>
      <w:bookmarkStart w:id="1195" w:name="_Toc507158612"/>
      <w:bookmarkStart w:id="1196" w:name="_Toc511116746"/>
      <w:bookmarkStart w:id="1197" w:name="_Toc5269488"/>
      <w:bookmarkStart w:id="1198" w:name="_Toc32570931"/>
      <w:bookmarkStart w:id="1199" w:name="_Toc36224566"/>
      <w:bookmarkStart w:id="1200" w:name="_Toc68786451"/>
      <w:bookmarkStart w:id="1201" w:name="_Toc95574084"/>
      <w:bookmarkStart w:id="1202" w:name="_Toc127458271"/>
      <w:bookmarkStart w:id="1203" w:name="_Toc131591367"/>
      <w:bookmarkStart w:id="1204" w:name="_Toc160114461"/>
      <w:bookmarkStart w:id="1205" w:name="_Toc164153857"/>
      <w:bookmarkStart w:id="1206" w:name="_Toc222407650"/>
      <w:bookmarkStart w:id="1207" w:name="_Toc226669025"/>
      <w:r w:rsidRPr="0028033B">
        <w:rPr>
          <w:rFonts w:cs="Calibri"/>
        </w:rPr>
        <w:t>Table 5.5.5</w:t>
      </w:r>
      <w:r w:rsidRPr="0028033B">
        <w:rPr>
          <w:rFonts w:cs="Calibri"/>
        </w:rPr>
        <w:tab/>
        <w:t>Emission factors and parameter values for use of mitigation technologies</w:t>
      </w:r>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p>
    <w:tbl>
      <w:tblPr>
        <w:tblW w:w="8505" w:type="dxa"/>
        <w:tblBorders>
          <w:bottom w:val="single" w:sz="4" w:space="0" w:color="1B556B" w:themeColor="text2"/>
          <w:insideH w:val="single" w:sz="4" w:space="0" w:color="1B556B" w:themeColor="text2"/>
        </w:tblBorders>
        <w:tblLayout w:type="fixed"/>
        <w:tblLook w:val="01E0" w:firstRow="1" w:lastRow="1" w:firstColumn="1" w:lastColumn="1" w:noHBand="0" w:noVBand="0"/>
      </w:tblPr>
      <w:tblGrid>
        <w:gridCol w:w="4678"/>
        <w:gridCol w:w="1276"/>
        <w:gridCol w:w="709"/>
        <w:gridCol w:w="1842"/>
      </w:tblGrid>
      <w:tr w:rsidR="00E46639" w:rsidRPr="0028033B" w14:paraId="07819232" w14:textId="77777777" w:rsidTr="00C666CD">
        <w:trPr>
          <w:tblHeader/>
        </w:trPr>
        <w:tc>
          <w:tcPr>
            <w:tcW w:w="4678" w:type="dxa"/>
            <w:shd w:val="clear" w:color="auto" w:fill="1B556B"/>
            <w:vAlign w:val="bottom"/>
          </w:tcPr>
          <w:p w14:paraId="48983646" w14:textId="77777777" w:rsidR="00E46639" w:rsidRPr="0028033B" w:rsidRDefault="00E46639" w:rsidP="00F16E23">
            <w:pPr>
              <w:pStyle w:val="TableTextBold"/>
              <w:keepNext/>
              <w:spacing w:before="40" w:after="40"/>
              <w:rPr>
                <w:noProof w:val="0"/>
                <w:color w:val="FFFFFF" w:themeColor="background1"/>
              </w:rPr>
            </w:pPr>
            <w:r w:rsidRPr="0028033B">
              <w:rPr>
                <w:noProof w:val="0"/>
                <w:color w:val="FFFFFF" w:themeColor="background1"/>
              </w:rPr>
              <w:t>Category</w:t>
            </w:r>
          </w:p>
        </w:tc>
        <w:tc>
          <w:tcPr>
            <w:tcW w:w="1985" w:type="dxa"/>
            <w:gridSpan w:val="2"/>
            <w:shd w:val="clear" w:color="auto" w:fill="1B556B"/>
            <w:vAlign w:val="bottom"/>
          </w:tcPr>
          <w:p w14:paraId="1266FB57" w14:textId="77777777" w:rsidR="00E46639" w:rsidRPr="0028033B" w:rsidRDefault="00E46639" w:rsidP="00F16E23">
            <w:pPr>
              <w:pStyle w:val="TableTextBold"/>
              <w:keepNext/>
              <w:spacing w:before="40" w:after="40"/>
              <w:jc w:val="center"/>
              <w:rPr>
                <w:noProof w:val="0"/>
                <w:color w:val="FFFFFF" w:themeColor="background1"/>
              </w:rPr>
            </w:pPr>
            <w:r w:rsidRPr="0028033B">
              <w:rPr>
                <w:noProof w:val="0"/>
                <w:color w:val="FFFFFF" w:themeColor="background1"/>
              </w:rPr>
              <w:t>Parameter and value (%)</w:t>
            </w:r>
          </w:p>
        </w:tc>
        <w:tc>
          <w:tcPr>
            <w:tcW w:w="1842" w:type="dxa"/>
            <w:shd w:val="clear" w:color="auto" w:fill="1B556B"/>
            <w:vAlign w:val="bottom"/>
          </w:tcPr>
          <w:p w14:paraId="13C4FF44" w14:textId="77777777" w:rsidR="00E46639" w:rsidRPr="0028033B" w:rsidRDefault="00E46639" w:rsidP="00F16E23">
            <w:pPr>
              <w:pStyle w:val="TableTextBold"/>
              <w:keepNext/>
              <w:spacing w:before="40" w:after="40"/>
              <w:jc w:val="center"/>
              <w:rPr>
                <w:noProof w:val="0"/>
                <w:color w:val="FFFFFF" w:themeColor="background1"/>
              </w:rPr>
            </w:pPr>
            <w:r w:rsidRPr="0028033B">
              <w:rPr>
                <w:noProof w:val="0"/>
                <w:color w:val="FFFFFF" w:themeColor="background1"/>
              </w:rPr>
              <w:t>Source</w:t>
            </w:r>
          </w:p>
        </w:tc>
      </w:tr>
      <w:tr w:rsidR="00E46639" w:rsidRPr="0028033B" w14:paraId="118B2DB6" w14:textId="77777777" w:rsidTr="00C666CD">
        <w:tc>
          <w:tcPr>
            <w:tcW w:w="4678" w:type="dxa"/>
          </w:tcPr>
          <w:p w14:paraId="10D24E60" w14:textId="77777777" w:rsidR="00E46639" w:rsidRPr="0028033B" w:rsidRDefault="00E46639" w:rsidP="00F16E23">
            <w:pPr>
              <w:pStyle w:val="TableText"/>
              <w:spacing w:before="40" w:after="40"/>
              <w:rPr>
                <w:rFonts w:cs="Calibri"/>
              </w:rPr>
            </w:pPr>
            <w:r w:rsidRPr="0028033B">
              <w:rPr>
                <w:rFonts w:cs="Calibri"/>
              </w:rPr>
              <w:t>Urine from grazing dairy cattle in pasture, range and paddock systems with application of dicyandiamide (DCD)</w:t>
            </w:r>
          </w:p>
        </w:tc>
        <w:tc>
          <w:tcPr>
            <w:tcW w:w="1276" w:type="dxa"/>
          </w:tcPr>
          <w:p w14:paraId="6F1573EA" w14:textId="77777777" w:rsidR="00E46639" w:rsidRPr="0028033B" w:rsidRDefault="00E46639" w:rsidP="00F16E23">
            <w:pPr>
              <w:pStyle w:val="TableText"/>
              <w:spacing w:before="40" w:after="40"/>
              <w:rPr>
                <w:rFonts w:cs="Calibri"/>
              </w:rPr>
            </w:pPr>
            <w:r w:rsidRPr="0028033B">
              <w:rPr>
                <w:rFonts w:cs="Calibri"/>
              </w:rPr>
              <w:t>EF</w:t>
            </w:r>
            <w:r w:rsidRPr="0028033B">
              <w:rPr>
                <w:rFonts w:cs="Calibri"/>
                <w:vertAlign w:val="subscript"/>
              </w:rPr>
              <w:t>3(PRP-DCD)</w:t>
            </w:r>
          </w:p>
        </w:tc>
        <w:tc>
          <w:tcPr>
            <w:tcW w:w="709" w:type="dxa"/>
          </w:tcPr>
          <w:p w14:paraId="250CDD4F" w14:textId="77777777" w:rsidR="00E46639" w:rsidRPr="0028033B" w:rsidRDefault="00E46639" w:rsidP="00F16E23">
            <w:pPr>
              <w:pStyle w:val="TableText"/>
              <w:spacing w:before="40" w:after="40"/>
              <w:jc w:val="right"/>
              <w:rPr>
                <w:rFonts w:cs="Calibri"/>
              </w:rPr>
            </w:pPr>
            <w:r w:rsidRPr="0028033B">
              <w:rPr>
                <w:rFonts w:cs="Calibri"/>
              </w:rPr>
              <w:t>0.67</w:t>
            </w:r>
          </w:p>
        </w:tc>
        <w:tc>
          <w:tcPr>
            <w:tcW w:w="1842" w:type="dxa"/>
          </w:tcPr>
          <w:p w14:paraId="7992D891" w14:textId="77777777" w:rsidR="00E46639" w:rsidRPr="0028033B" w:rsidRDefault="00E46639" w:rsidP="00F16E23">
            <w:pPr>
              <w:pStyle w:val="TableText"/>
              <w:spacing w:before="40" w:after="40"/>
              <w:rPr>
                <w:rFonts w:cs="Calibri"/>
              </w:rPr>
            </w:pPr>
            <w:r w:rsidRPr="0028033B">
              <w:rPr>
                <w:rFonts w:cs="Calibri"/>
              </w:rPr>
              <w:t>Clough et al. (2011)</w:t>
            </w:r>
          </w:p>
        </w:tc>
      </w:tr>
      <w:tr w:rsidR="00E46639" w:rsidRPr="0028033B" w14:paraId="14370881" w14:textId="77777777" w:rsidTr="00C666CD">
        <w:tc>
          <w:tcPr>
            <w:tcW w:w="4678" w:type="dxa"/>
          </w:tcPr>
          <w:p w14:paraId="23655C7C" w14:textId="77777777" w:rsidR="00E46639" w:rsidRPr="0028033B" w:rsidRDefault="00E46639" w:rsidP="00F16E23">
            <w:pPr>
              <w:pStyle w:val="TableText"/>
              <w:spacing w:before="40" w:after="40"/>
              <w:rPr>
                <w:rFonts w:cs="Calibri"/>
              </w:rPr>
            </w:pPr>
            <w:r w:rsidRPr="0028033B">
              <w:rPr>
                <w:rFonts w:cs="Calibri"/>
              </w:rPr>
              <w:t>Fraction of nitrogen from leaching and runoff with application of DCD (used 2007–2012)</w:t>
            </w:r>
          </w:p>
        </w:tc>
        <w:tc>
          <w:tcPr>
            <w:tcW w:w="1276" w:type="dxa"/>
          </w:tcPr>
          <w:p w14:paraId="0299D1D3" w14:textId="77777777" w:rsidR="00E46639" w:rsidRPr="0028033B" w:rsidRDefault="00E46639" w:rsidP="00F16E23">
            <w:pPr>
              <w:pStyle w:val="TableText"/>
              <w:spacing w:before="40" w:after="40"/>
              <w:rPr>
                <w:rFonts w:cs="Calibri"/>
              </w:rPr>
            </w:pPr>
            <w:r w:rsidRPr="0028033B">
              <w:rPr>
                <w:rFonts w:cs="Calibri"/>
              </w:rPr>
              <w:t>Frac</w:t>
            </w:r>
            <w:r w:rsidRPr="0028033B">
              <w:rPr>
                <w:rFonts w:cs="Calibri"/>
                <w:vertAlign w:val="subscript"/>
              </w:rPr>
              <w:t>LEACH – (H)-DCD</w:t>
            </w:r>
          </w:p>
        </w:tc>
        <w:tc>
          <w:tcPr>
            <w:tcW w:w="709" w:type="dxa"/>
          </w:tcPr>
          <w:p w14:paraId="621337C9" w14:textId="77777777" w:rsidR="00E46639" w:rsidRPr="0028033B" w:rsidRDefault="00E46639" w:rsidP="00F16E23">
            <w:pPr>
              <w:pStyle w:val="TableText"/>
              <w:spacing w:before="40" w:after="40"/>
              <w:jc w:val="right"/>
              <w:rPr>
                <w:rFonts w:cs="Calibri"/>
              </w:rPr>
            </w:pPr>
            <w:r w:rsidRPr="0028033B">
              <w:rPr>
                <w:rFonts w:cs="Calibri"/>
              </w:rPr>
              <w:t>0.53</w:t>
            </w:r>
          </w:p>
        </w:tc>
        <w:tc>
          <w:tcPr>
            <w:tcW w:w="1842" w:type="dxa"/>
          </w:tcPr>
          <w:p w14:paraId="164FF357" w14:textId="77777777" w:rsidR="00E46639" w:rsidRPr="0028033B" w:rsidRDefault="00E46639" w:rsidP="00F16E23">
            <w:pPr>
              <w:pStyle w:val="TableText"/>
              <w:spacing w:before="40" w:after="40"/>
              <w:rPr>
                <w:rFonts w:cs="Calibri"/>
              </w:rPr>
            </w:pPr>
            <w:r w:rsidRPr="0028033B">
              <w:rPr>
                <w:rFonts w:cs="Calibri"/>
              </w:rPr>
              <w:t>Clough et al. (2011)</w:t>
            </w:r>
          </w:p>
        </w:tc>
      </w:tr>
      <w:tr w:rsidR="00E46639" w:rsidRPr="0028033B" w14:paraId="462193ED" w14:textId="77777777" w:rsidTr="00C666CD">
        <w:tc>
          <w:tcPr>
            <w:tcW w:w="4678" w:type="dxa"/>
          </w:tcPr>
          <w:p w14:paraId="1E4E03AC" w14:textId="77777777" w:rsidR="00E46639" w:rsidRPr="0028033B" w:rsidRDefault="00E46639" w:rsidP="00F16E23">
            <w:pPr>
              <w:pStyle w:val="TableText"/>
              <w:spacing w:before="40" w:after="40"/>
              <w:rPr>
                <w:rFonts w:cs="Calibri"/>
              </w:rPr>
            </w:pPr>
            <w:r w:rsidRPr="0028033B">
              <w:rPr>
                <w:rFonts w:cs="Calibri"/>
              </w:rPr>
              <w:t>Volatilisation from synthetic nitrogen fertiliser (urea only) coated with urease inhibitor (nBTPT)</w:t>
            </w:r>
          </w:p>
        </w:tc>
        <w:tc>
          <w:tcPr>
            <w:tcW w:w="1276" w:type="dxa"/>
          </w:tcPr>
          <w:p w14:paraId="31EFA9EA" w14:textId="77777777" w:rsidR="00E46639" w:rsidRPr="0028033B" w:rsidRDefault="00E46639" w:rsidP="00F16E23">
            <w:pPr>
              <w:pStyle w:val="TableText"/>
              <w:spacing w:before="40" w:after="40"/>
              <w:rPr>
                <w:rFonts w:cs="Calibri"/>
              </w:rPr>
            </w:pPr>
            <w:r w:rsidRPr="0028033B">
              <w:rPr>
                <w:rFonts w:cs="Calibri"/>
              </w:rPr>
              <w:t>Frac</w:t>
            </w:r>
            <w:r w:rsidRPr="0028033B">
              <w:rPr>
                <w:rFonts w:cs="Calibri"/>
                <w:vertAlign w:val="subscript"/>
              </w:rPr>
              <w:t>GASF-UI</w:t>
            </w:r>
          </w:p>
        </w:tc>
        <w:tc>
          <w:tcPr>
            <w:tcW w:w="709" w:type="dxa"/>
          </w:tcPr>
          <w:p w14:paraId="525633F9" w14:textId="77777777" w:rsidR="00E46639" w:rsidRPr="0028033B" w:rsidRDefault="00E46639" w:rsidP="00F16E23">
            <w:pPr>
              <w:pStyle w:val="TableText"/>
              <w:spacing w:before="40" w:after="40"/>
              <w:jc w:val="right"/>
              <w:rPr>
                <w:rFonts w:cs="Calibri"/>
              </w:rPr>
            </w:pPr>
            <w:r w:rsidRPr="0028033B">
              <w:rPr>
                <w:rFonts w:cs="Calibri"/>
              </w:rPr>
              <w:t>0.055</w:t>
            </w:r>
          </w:p>
        </w:tc>
        <w:tc>
          <w:tcPr>
            <w:tcW w:w="1842" w:type="dxa"/>
          </w:tcPr>
          <w:p w14:paraId="5014B99D" w14:textId="77777777" w:rsidR="00E46639" w:rsidRPr="0028033B" w:rsidRDefault="00E46639" w:rsidP="00F16E23">
            <w:pPr>
              <w:pStyle w:val="TableText"/>
              <w:spacing w:before="40" w:after="40"/>
              <w:rPr>
                <w:rFonts w:cs="Calibri"/>
              </w:rPr>
            </w:pPr>
            <w:r w:rsidRPr="0028033B">
              <w:rPr>
                <w:rFonts w:cs="Calibri"/>
              </w:rPr>
              <w:t>Saggar et al. (2013)</w:t>
            </w:r>
          </w:p>
        </w:tc>
      </w:tr>
    </w:tbl>
    <w:p w14:paraId="1134C76A" w14:textId="77777777" w:rsidR="00E46639" w:rsidRPr="0028033B" w:rsidRDefault="00E46639" w:rsidP="00E46639">
      <w:pPr>
        <w:pStyle w:val="Heading4"/>
        <w:spacing w:before="400"/>
      </w:pPr>
      <w:r w:rsidRPr="0028033B">
        <w:t>Direct nitrous oxide emissions from managed soils (3.D.1)</w:t>
      </w:r>
    </w:p>
    <w:p w14:paraId="30D2D898" w14:textId="77777777" w:rsidR="00E46639" w:rsidRPr="0028033B" w:rsidRDefault="00E46639" w:rsidP="00E46639">
      <w:pPr>
        <w:pStyle w:val="BodyText"/>
        <w:spacing w:after="100"/>
        <w:rPr>
          <w:rFonts w:cs="Calibri"/>
        </w:rPr>
      </w:pPr>
      <w:r w:rsidRPr="0028033B">
        <w:rPr>
          <w:rFonts w:cs="Calibri"/>
        </w:rPr>
        <w:t xml:space="preserve">Emissions from the </w:t>
      </w:r>
      <w:r w:rsidRPr="0028033B">
        <w:rPr>
          <w:rFonts w:cs="Calibri"/>
          <w:i/>
          <w:iCs/>
        </w:rPr>
        <w:t>Direct N</w:t>
      </w:r>
      <w:r w:rsidRPr="0028033B">
        <w:rPr>
          <w:rFonts w:cs="Calibri"/>
          <w:i/>
          <w:iCs/>
          <w:vertAlign w:val="subscript"/>
        </w:rPr>
        <w:t>2</w:t>
      </w:r>
      <w:r w:rsidRPr="0028033B">
        <w:rPr>
          <w:rFonts w:cs="Calibri"/>
          <w:i/>
          <w:iCs/>
        </w:rPr>
        <w:t xml:space="preserve">O emissions from managed soils </w:t>
      </w:r>
      <w:r w:rsidRPr="0028033B">
        <w:rPr>
          <w:rFonts w:cs="Calibri"/>
        </w:rPr>
        <w:t xml:space="preserve">category arise from: </w:t>
      </w:r>
    </w:p>
    <w:p w14:paraId="23CC03B5" w14:textId="77777777" w:rsidR="00E46639" w:rsidRPr="0028033B" w:rsidRDefault="00E46639" w:rsidP="00E46639">
      <w:pPr>
        <w:pStyle w:val="Bullet"/>
        <w:numPr>
          <w:ilvl w:val="0"/>
          <w:numId w:val="25"/>
        </w:numPr>
        <w:spacing w:after="100"/>
      </w:pPr>
      <w:r w:rsidRPr="0028033B">
        <w:t>synthetic nitrogen fertiliser use (F</w:t>
      </w:r>
      <w:r w:rsidRPr="0028033B">
        <w:rPr>
          <w:vertAlign w:val="subscript"/>
        </w:rPr>
        <w:t>SN</w:t>
      </w:r>
      <w:r w:rsidRPr="0028033B">
        <w:t>)</w:t>
      </w:r>
    </w:p>
    <w:p w14:paraId="64B6EAFA" w14:textId="77777777" w:rsidR="00E46639" w:rsidRPr="0028033B" w:rsidRDefault="00E46639" w:rsidP="00E46639">
      <w:pPr>
        <w:pStyle w:val="Bullet"/>
        <w:numPr>
          <w:ilvl w:val="0"/>
          <w:numId w:val="25"/>
        </w:numPr>
        <w:spacing w:after="100"/>
      </w:pPr>
      <w:r w:rsidRPr="0028033B">
        <w:t xml:space="preserve">organic fertilisers (which in </w:t>
      </w:r>
      <w:r w:rsidRPr="0028033B" w:rsidDel="0033406C">
        <w:rPr>
          <w:rFonts w:cs="Calibri"/>
        </w:rPr>
        <w:t xml:space="preserve">New </w:t>
      </w:r>
      <w:r w:rsidRPr="0028033B">
        <w:rPr>
          <w:rFonts w:cs="Calibri"/>
        </w:rPr>
        <w:t>Zealand</w:t>
      </w:r>
      <w:r w:rsidRPr="0028033B">
        <w:t xml:space="preserve"> are solely the spreading of animal manure, F</w:t>
      </w:r>
      <w:r w:rsidRPr="0028033B">
        <w:rPr>
          <w:vertAlign w:val="subscript"/>
        </w:rPr>
        <w:t>AM</w:t>
      </w:r>
      <w:r w:rsidRPr="0028033B">
        <w:t>)</w:t>
      </w:r>
    </w:p>
    <w:p w14:paraId="586169D0" w14:textId="77777777" w:rsidR="00E46639" w:rsidRPr="0028033B" w:rsidRDefault="00E46639" w:rsidP="00E46639">
      <w:pPr>
        <w:pStyle w:val="Bullet"/>
        <w:numPr>
          <w:ilvl w:val="0"/>
          <w:numId w:val="25"/>
        </w:numPr>
        <w:spacing w:after="100"/>
      </w:pPr>
      <w:r w:rsidRPr="0028033B">
        <w:t>manure deposited by grazing livestock in pasture, range and paddock (F</w:t>
      </w:r>
      <w:r w:rsidRPr="0028033B">
        <w:rPr>
          <w:vertAlign w:val="subscript"/>
        </w:rPr>
        <w:t>PRP</w:t>
      </w:r>
      <w:r w:rsidRPr="0028033B">
        <w:t>)</w:t>
      </w:r>
    </w:p>
    <w:p w14:paraId="2C25271B" w14:textId="77777777" w:rsidR="00E46639" w:rsidRPr="0028033B" w:rsidRDefault="00E46639" w:rsidP="00E46639">
      <w:pPr>
        <w:pStyle w:val="Bullet"/>
        <w:numPr>
          <w:ilvl w:val="0"/>
          <w:numId w:val="25"/>
        </w:numPr>
        <w:spacing w:after="100"/>
      </w:pPr>
      <w:r w:rsidRPr="0028033B">
        <w:t>decomposition of crop residues left on fields (F</w:t>
      </w:r>
      <w:r w:rsidRPr="0028033B">
        <w:rPr>
          <w:vertAlign w:val="subscript"/>
        </w:rPr>
        <w:t>CR</w:t>
      </w:r>
      <w:r w:rsidRPr="0028033B">
        <w:t>)</w:t>
      </w:r>
    </w:p>
    <w:p w14:paraId="285A08C8" w14:textId="77777777" w:rsidR="00E46639" w:rsidRPr="0028033B" w:rsidRDefault="00E46639" w:rsidP="00E46639">
      <w:pPr>
        <w:pStyle w:val="Bullet"/>
        <w:numPr>
          <w:ilvl w:val="0"/>
          <w:numId w:val="25"/>
        </w:numPr>
        <w:spacing w:after="100"/>
      </w:pPr>
      <w:r w:rsidRPr="0028033B">
        <w:t>nitrogen mineralisation associated with loss of soil organic matter (F</w:t>
      </w:r>
      <w:r w:rsidRPr="0028033B">
        <w:rPr>
          <w:vertAlign w:val="subscript"/>
        </w:rPr>
        <w:t>SOM</w:t>
      </w:r>
      <w:r w:rsidRPr="0028033B">
        <w:t>)</w:t>
      </w:r>
    </w:p>
    <w:p w14:paraId="210FAF8F" w14:textId="77777777" w:rsidR="00E46639" w:rsidRPr="0028033B" w:rsidRDefault="00E46639" w:rsidP="00E46639">
      <w:pPr>
        <w:pStyle w:val="Bullet"/>
        <w:numPr>
          <w:ilvl w:val="0"/>
          <w:numId w:val="25"/>
        </w:numPr>
      </w:pPr>
      <w:r w:rsidRPr="0028033B">
        <w:t>management of organic soils.</w:t>
      </w:r>
    </w:p>
    <w:p w14:paraId="71CEBEB0" w14:textId="77777777" w:rsidR="00E46639" w:rsidRPr="0028033B" w:rsidRDefault="00E46639" w:rsidP="00E46639">
      <w:pPr>
        <w:pStyle w:val="BodyText"/>
      </w:pPr>
      <w:r w:rsidRPr="0028033B">
        <w:t>Many of these sources of emissions</w:t>
      </w:r>
      <w:r w:rsidRPr="0028033B" w:rsidDel="00A44CC2">
        <w:t xml:space="preserve"> </w:t>
      </w:r>
      <w:r w:rsidRPr="0028033B">
        <w:t>have N</w:t>
      </w:r>
      <w:r w:rsidRPr="0028033B">
        <w:rPr>
          <w:vertAlign w:val="subscript"/>
        </w:rPr>
        <w:t>2</w:t>
      </w:r>
      <w:r w:rsidRPr="0028033B">
        <w:t>O emissions from indirect pathways as well, and these calculations are described in detail in the section below on indirect N</w:t>
      </w:r>
      <w:r w:rsidRPr="0028033B">
        <w:rPr>
          <w:vertAlign w:val="subscript"/>
        </w:rPr>
        <w:t>2</w:t>
      </w:r>
      <w:r w:rsidRPr="0028033B">
        <w:t xml:space="preserve">O emissions from managed soils. </w:t>
      </w:r>
    </w:p>
    <w:p w14:paraId="2376598E" w14:textId="77777777" w:rsidR="00E46639" w:rsidRPr="0028033B" w:rsidRDefault="00E46639" w:rsidP="00E46639">
      <w:pPr>
        <w:pStyle w:val="BodyText"/>
        <w:spacing w:before="100"/>
      </w:pPr>
      <w:r w:rsidRPr="0028033B">
        <w:t>New Zealand’s methodology for determining the values for nitrogen inputs to soils for F</w:t>
      </w:r>
      <w:r w:rsidRPr="0028033B">
        <w:rPr>
          <w:vertAlign w:val="subscript"/>
        </w:rPr>
        <w:t>AM</w:t>
      </w:r>
      <w:r w:rsidRPr="0028033B">
        <w:t xml:space="preserve"> and F</w:t>
      </w:r>
      <w:r w:rsidRPr="0028033B">
        <w:rPr>
          <w:vertAlign w:val="subscript"/>
        </w:rPr>
        <w:t>PRP</w:t>
      </w:r>
      <w:r w:rsidRPr="0028033B">
        <w:t xml:space="preserve"> is consistent with other parts of the Agriculture inventory sector. The underlying values for N</w:t>
      </w:r>
      <w:r w:rsidRPr="0028033B">
        <w:rPr>
          <w:vertAlign w:val="subscript"/>
        </w:rPr>
        <w:t>ex</w:t>
      </w:r>
      <w:r w:rsidRPr="0028033B">
        <w:t xml:space="preserve"> and for the allocation of excreta to animal waste management systems are the same as in the </w:t>
      </w:r>
      <w:r w:rsidRPr="0028033B">
        <w:rPr>
          <w:i/>
          <w:iCs/>
        </w:rPr>
        <w:t>Manure management</w:t>
      </w:r>
      <w:r w:rsidRPr="0028033B">
        <w:t xml:space="preserve"> category. These N</w:t>
      </w:r>
      <w:r w:rsidRPr="0028033B">
        <w:rPr>
          <w:vertAlign w:val="subscript"/>
        </w:rPr>
        <w:t>ex</w:t>
      </w:r>
      <w:r w:rsidRPr="0028033B">
        <w:t xml:space="preserve"> values have been calculated based on the same animal intake and animal productivity values used for calculating CH</w:t>
      </w:r>
      <w:r w:rsidRPr="0028033B">
        <w:rPr>
          <w:vertAlign w:val="subscript"/>
        </w:rPr>
        <w:t>4</w:t>
      </w:r>
      <w:r w:rsidRPr="0028033B">
        <w:t xml:space="preserve"> emissions for the different livestock categories and species in the Tier 2 model (see section 5.1.3). This ensures the same base DMI values are used for both the CH</w:t>
      </w:r>
      <w:r w:rsidRPr="0028033B">
        <w:rPr>
          <w:vertAlign w:val="subscript"/>
        </w:rPr>
        <w:t>4</w:t>
      </w:r>
      <w:r w:rsidRPr="0028033B">
        <w:t xml:space="preserve"> and N</w:t>
      </w:r>
      <w:r w:rsidRPr="0028033B">
        <w:rPr>
          <w:vertAlign w:val="subscript"/>
        </w:rPr>
        <w:t>2</w:t>
      </w:r>
      <w:r w:rsidRPr="0028033B">
        <w:t xml:space="preserve">O emission calculations. </w:t>
      </w:r>
    </w:p>
    <w:p w14:paraId="0E565A8E" w14:textId="77777777" w:rsidR="00E46639" w:rsidRPr="0028033B" w:rsidRDefault="00E46639" w:rsidP="00E46639">
      <w:pPr>
        <w:pStyle w:val="Heading5"/>
      </w:pPr>
      <w:r w:rsidRPr="0028033B">
        <w:t>Synthetic nitrogen fertiliser (3.D.1.1)</w:t>
      </w:r>
    </w:p>
    <w:p w14:paraId="21DCB562" w14:textId="77777777" w:rsidR="00E46639" w:rsidRPr="0028033B" w:rsidRDefault="00E46639" w:rsidP="00E46639">
      <w:pPr>
        <w:pStyle w:val="BodyText"/>
        <w:spacing w:before="80" w:after="100"/>
      </w:pPr>
      <w:r w:rsidRPr="0028033B">
        <w:t>Nitrous oxide emissions from synthetic nitrogen fertiliser are a small proportion of total N</w:t>
      </w:r>
      <w:r w:rsidRPr="0028033B">
        <w:rPr>
          <w:vertAlign w:val="subscript"/>
        </w:rPr>
        <w:t>2</w:t>
      </w:r>
      <w:r w:rsidRPr="0028033B">
        <w:t xml:space="preserve">O emissions, but have grown since 1990. Most synthetic nitrogen fertiliser used in </w:t>
      </w:r>
      <w:r w:rsidRPr="0028033B" w:rsidDel="00463745">
        <w:t xml:space="preserve">New </w:t>
      </w:r>
      <w:r w:rsidRPr="0028033B">
        <w:t xml:space="preserve">Zealand is urea fertiliser applied to dairy pastures to increase pasture growth during spring (September to November) and autumn (March to May). </w:t>
      </w:r>
    </w:p>
    <w:p w14:paraId="2B272221" w14:textId="77777777" w:rsidR="00E46639" w:rsidRPr="0028033B" w:rsidRDefault="00E46639" w:rsidP="00E46639">
      <w:pPr>
        <w:pStyle w:val="BodyText"/>
      </w:pPr>
      <w:r w:rsidRPr="0028033B">
        <w:t>In accordance with IPCC 2006 Guidelines (IPCC, 2006), the following equation is used to determine direct N</w:t>
      </w:r>
      <w:r w:rsidRPr="0028033B">
        <w:rPr>
          <w:vertAlign w:val="subscript"/>
        </w:rPr>
        <w:t>2</w:t>
      </w:r>
      <w:r w:rsidRPr="0028033B">
        <w:t xml:space="preserve">O emissions from the application of nitrogen-based fertiliser: </w:t>
      </w:r>
    </w:p>
    <w:p w14:paraId="1755284E" w14:textId="77777777" w:rsidR="00E46639" w:rsidRPr="0028033B" w:rsidRDefault="00000000" w:rsidP="00E46639">
      <w:pPr>
        <w:pStyle w:val="BodyText"/>
        <w:spacing w:after="8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 xml:space="preserve">Odirect= </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d>
                <m:dPr>
                  <m:ctrlPr>
                    <w:rPr>
                      <w:rFonts w:ascii="Cambria Math" w:hAnsi="Cambria Math"/>
                      <w:i/>
                      <w:sz w:val="24"/>
                      <w:szCs w:val="24"/>
                    </w:rPr>
                  </m:ctrlPr>
                </m:dPr>
                <m:e>
                  <m:r>
                    <w:rPr>
                      <w:rFonts w:ascii="Cambria Math" w:hAnsi="Cambria Math"/>
                      <w:sz w:val="24"/>
                      <w:szCs w:val="24"/>
                    </w:rPr>
                    <m:t>Synthetic</m:t>
                  </m:r>
                </m:e>
              </m:d>
            </m:sub>
          </m:sSub>
        </m:oMath>
      </m:oMathPara>
    </w:p>
    <w:p w14:paraId="38F7E36C" w14:textId="77777777" w:rsidR="00E46639" w:rsidRPr="0028033B" w:rsidRDefault="00E46639" w:rsidP="00E46639">
      <w:pPr>
        <w:pStyle w:val="BodyText"/>
        <w:spacing w:before="40" w:after="40"/>
        <w:ind w:left="964" w:hanging="964"/>
      </w:pPr>
      <w:r w:rsidRPr="0028033B">
        <w:t>Where:</w:t>
      </w:r>
      <w:r w:rsidRPr="0028033B">
        <w:tab/>
        <w:t>44/28 is the molecular conversion factor used to convert nitrogen to N</w:t>
      </w:r>
      <w:r w:rsidRPr="0028033B">
        <w:rPr>
          <w:vertAlign w:val="subscript"/>
        </w:rPr>
        <w:t>2</w:t>
      </w:r>
      <w:r w:rsidRPr="0028033B">
        <w:t>O</w:t>
      </w:r>
    </w:p>
    <w:p w14:paraId="18DC6AB9" w14:textId="77777777" w:rsidR="00E46639" w:rsidRPr="0028033B" w:rsidRDefault="00E46639" w:rsidP="00E46639">
      <w:pPr>
        <w:pStyle w:val="BodyText"/>
        <w:spacing w:before="30" w:after="40"/>
        <w:ind w:left="964"/>
      </w:pPr>
      <w:r w:rsidRPr="0028033B">
        <w:t>F</w:t>
      </w:r>
      <w:r w:rsidRPr="0028033B">
        <w:rPr>
          <w:vertAlign w:val="subscript"/>
        </w:rPr>
        <w:t>SN</w:t>
      </w:r>
      <w:r w:rsidRPr="0028033B">
        <w:t xml:space="preserve"> is the total annual amount of synthetic nitrogen fertiliser applied to soils (urea</w:t>
      </w:r>
      <w:r w:rsidRPr="0028033B">
        <w:noBreakHyphen/>
        <w:t>based and other fertilisers), and</w:t>
      </w:r>
    </w:p>
    <w:p w14:paraId="5AF6EF6E" w14:textId="77777777" w:rsidR="00E46639" w:rsidRPr="0028033B" w:rsidRDefault="00E46639" w:rsidP="00E46639">
      <w:pPr>
        <w:pStyle w:val="BodyText"/>
        <w:spacing w:before="30"/>
        <w:ind w:left="964" w:hanging="964"/>
      </w:pPr>
      <w:r w:rsidRPr="0028033B">
        <w:tab/>
        <w:t>EF</w:t>
      </w:r>
      <w:r w:rsidRPr="0028033B">
        <w:rPr>
          <w:vertAlign w:val="subscript"/>
        </w:rPr>
        <w:t>1(Synthetic)</w:t>
      </w:r>
      <w:r w:rsidRPr="0028033B">
        <w:t xml:space="preserve"> is the proportion of direct N</w:t>
      </w:r>
      <w:r w:rsidRPr="0028033B">
        <w:rPr>
          <w:vertAlign w:val="subscript"/>
        </w:rPr>
        <w:t>2</w:t>
      </w:r>
      <w:r w:rsidRPr="0028033B">
        <w:t>O emissions from nitrogen input to the soil for synthetic fertilisers (0.0059; table 5.5.2).</w:t>
      </w:r>
    </w:p>
    <w:p w14:paraId="4E4C3FF4" w14:textId="77777777" w:rsidR="00E46639" w:rsidRPr="0028033B" w:rsidRDefault="00E46639" w:rsidP="00E46639">
      <w:pPr>
        <w:pStyle w:val="BodyText"/>
      </w:pPr>
      <w:r w:rsidRPr="0028033B">
        <w:t>Data on synthetic fertiliser use are provided by the Fertiliser Association of New Zealand, which provides s</w:t>
      </w:r>
      <w:r w:rsidRPr="0028033B">
        <w:rPr>
          <w:spacing w:val="-2"/>
        </w:rPr>
        <w:t>ales records for 1990 to 2024. Two major fertiliser companies comprise approximately</w:t>
      </w:r>
      <w:r w:rsidRPr="0028033B">
        <w:t xml:space="preserve"> 98 percent of the total tonnage used, with fertiliser use estimates from smaller companies added (Fertiliser Association of New Zealand, 2018).</w:t>
      </w:r>
    </w:p>
    <w:p w14:paraId="5E3E4A2E" w14:textId="77777777" w:rsidR="00E46639" w:rsidRPr="0028033B" w:rsidRDefault="00E46639" w:rsidP="00E46639">
      <w:pPr>
        <w:pStyle w:val="BodyText"/>
      </w:pPr>
      <w:r w:rsidRPr="0028033B">
        <w:rPr>
          <w:rFonts w:cs="Calibri"/>
        </w:rPr>
        <w:t>New Zealand</w:t>
      </w:r>
      <w:r w:rsidRPr="0028033B">
        <w:t xml:space="preserve"> uses a country-specific emission factor for synthetic nitrogen fertiliser (0.0059). This emission factor was determined for urea based on the report by van der Weerden et al. (2016a). Analysis of data from New Zealand field trials found the difference in EF</w:t>
      </w:r>
      <w:r w:rsidRPr="0028033B">
        <w:rPr>
          <w:vertAlign w:val="subscript"/>
        </w:rPr>
        <w:t xml:space="preserve">1 </w:t>
      </w:r>
      <w:r w:rsidRPr="0028033B">
        <w:t xml:space="preserve">values between urea, </w:t>
      </w:r>
      <w:r w:rsidRPr="0028033B">
        <w:rPr>
          <w:rFonts w:eastAsia="Calibri" w:cs="Arial"/>
          <w:lang w:eastAsia="en-US"/>
        </w:rPr>
        <w:t xml:space="preserve">ammonium sulphate </w:t>
      </w:r>
      <w:r w:rsidRPr="0028033B">
        <w:t xml:space="preserve">and </w:t>
      </w:r>
      <w:r w:rsidRPr="0028033B">
        <w:rPr>
          <w:rFonts w:eastAsia="Calibri" w:cs="Arial"/>
          <w:lang w:eastAsia="en-US"/>
        </w:rPr>
        <w:t>diammonium phosphate</w:t>
      </w:r>
      <w:r w:rsidRPr="0028033B">
        <w:t xml:space="preserve"> fertilisers was not statistically significant (Luo et al., </w:t>
      </w:r>
      <w:r w:rsidRPr="0028033B">
        <w:rPr>
          <w:rFonts w:cs="Calibri"/>
        </w:rPr>
        <w:t>unpublished(c)</w:t>
      </w:r>
      <w:r w:rsidRPr="0028033B">
        <w:t>).</w:t>
      </w:r>
      <w:r>
        <w:t xml:space="preserve"> </w:t>
      </w:r>
    </w:p>
    <w:p w14:paraId="16B0BF0C" w14:textId="77777777" w:rsidR="00E46639" w:rsidRPr="0028033B" w:rsidRDefault="00E46639" w:rsidP="00E46639">
      <w:pPr>
        <w:pStyle w:val="BodyText"/>
      </w:pPr>
      <w:r w:rsidRPr="0028033B">
        <w:t>Since 1990, a large increase in nitrogen</w:t>
      </w:r>
      <w:r w:rsidRPr="0028033B" w:rsidDel="00384723">
        <w:t xml:space="preserve"> </w:t>
      </w:r>
      <w:r w:rsidRPr="0028033B">
        <w:t xml:space="preserve">applied through synthetic fertiliser has occurred, from </w:t>
      </w:r>
      <w:r w:rsidRPr="0028033B">
        <w:rPr>
          <w:spacing w:val="-2"/>
        </w:rPr>
        <w:t>59,265 tonnes in 1990, increasing significantly to 355,000 tonnes in 2005 and to 387,000 tonnes</w:t>
      </w:r>
      <w:r w:rsidRPr="0028033B">
        <w:t xml:space="preserve"> in 2024 (figure 5.5.2). The proportion of urea fertiliser applied increased from just over 41.5 percent in 1990 to 80.7 percent in 2005 and 91.7 percent in 2007. In 2024, the applied tonnage of urea was 74.2 percent of all synthetic nitrogen fertiliser applied (figure 5.5.3). </w:t>
      </w:r>
    </w:p>
    <w:p w14:paraId="159DFE43" w14:textId="77777777" w:rsidR="00E46639" w:rsidRPr="0028033B" w:rsidRDefault="00E46639" w:rsidP="00E46639">
      <w:pPr>
        <w:pStyle w:val="BodyText"/>
      </w:pPr>
      <w:r w:rsidRPr="0028033B">
        <w:t xml:space="preserve">The nitrogen fertiliser applied has decreased significantly (17.7 percent) since peak levels in 2020 in part due to higher fertiliser prices. </w:t>
      </w:r>
    </w:p>
    <w:p w14:paraId="69300E14" w14:textId="77777777" w:rsidR="00E46639" w:rsidRPr="0028033B" w:rsidRDefault="00E46639" w:rsidP="00E46639">
      <w:pPr>
        <w:pStyle w:val="Figure"/>
      </w:pPr>
      <w:bookmarkStart w:id="1208" w:name="_Toc447275696"/>
      <w:bookmarkStart w:id="1209" w:name="_Toc481752015"/>
      <w:bookmarkStart w:id="1210" w:name="_Toc507158474"/>
      <w:bookmarkStart w:id="1211" w:name="_Toc511116965"/>
      <w:bookmarkStart w:id="1212" w:name="_Toc5269695"/>
      <w:bookmarkStart w:id="1213" w:name="_Toc32570966"/>
      <w:bookmarkStart w:id="1214" w:name="_Toc36292796"/>
      <w:bookmarkStart w:id="1215" w:name="_Toc68786661"/>
      <w:bookmarkStart w:id="1216" w:name="_Toc95574122"/>
      <w:bookmarkStart w:id="1217" w:name="_Toc127458561"/>
      <w:bookmarkStart w:id="1218" w:name="_Toc131591563"/>
      <w:bookmarkStart w:id="1219" w:name="_Toc164154031"/>
      <w:bookmarkStart w:id="1220" w:name="_Toc222407711"/>
      <w:bookmarkStart w:id="1221" w:name="_Toc226200691"/>
      <w:r w:rsidRPr="0028033B">
        <w:t>Figure 5.5.2</w:t>
      </w:r>
      <w:r w:rsidRPr="0028033B">
        <w:tab/>
        <w:t>Synthetic nitrogen fertiliser use in New Zealand, from 1990 to </w:t>
      </w:r>
      <w:bookmarkEnd w:id="1208"/>
      <w:bookmarkEnd w:id="1209"/>
      <w:bookmarkEnd w:id="1210"/>
      <w:bookmarkEnd w:id="1211"/>
      <w:bookmarkEnd w:id="1212"/>
      <w:bookmarkEnd w:id="1213"/>
      <w:bookmarkEnd w:id="1214"/>
      <w:bookmarkEnd w:id="1215"/>
      <w:bookmarkEnd w:id="1216"/>
      <w:bookmarkEnd w:id="1217"/>
      <w:bookmarkEnd w:id="1218"/>
      <w:bookmarkEnd w:id="1219"/>
      <w:r w:rsidRPr="0028033B">
        <w:t>2024</w:t>
      </w:r>
      <w:bookmarkEnd w:id="1220"/>
      <w:bookmarkEnd w:id="1221"/>
    </w:p>
    <w:p w14:paraId="739908E1" w14:textId="77777777" w:rsidR="00E46639" w:rsidRPr="0028033B" w:rsidRDefault="00E46639" w:rsidP="00E46639">
      <w:pPr>
        <w:pStyle w:val="BodyText"/>
        <w:spacing w:after="0"/>
        <w:rPr>
          <w:highlight w:val="yellow"/>
        </w:rPr>
      </w:pPr>
      <w:r w:rsidRPr="0028033B">
        <w:rPr>
          <w:b/>
          <w:noProof/>
          <w:sz w:val="18"/>
        </w:rPr>
        <w:drawing>
          <wp:inline distT="0" distB="0" distL="0" distR="0" wp14:anchorId="2E4F568D" wp14:editId="34B83863">
            <wp:extent cx="5400675" cy="3105150"/>
            <wp:effectExtent l="0" t="0" r="9525" b="0"/>
            <wp:docPr id="7673163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hqprint">
                      <a:extLst>
                        <a:ext uri="{28A0092B-C50C-407E-A947-70E740481C1C}">
                          <a14:useLocalDpi xmlns:a14="http://schemas.microsoft.com/office/drawing/2010/main" val="0"/>
                        </a:ext>
                      </a:extLst>
                    </a:blip>
                    <a:srcRect/>
                    <a:stretch>
                      <a:fillRect/>
                    </a:stretch>
                  </pic:blipFill>
                  <pic:spPr bwMode="auto">
                    <a:xfrm>
                      <a:off x="0" y="0"/>
                      <a:ext cx="5400675" cy="3105150"/>
                    </a:xfrm>
                    <a:prstGeom prst="rect">
                      <a:avLst/>
                    </a:prstGeom>
                    <a:noFill/>
                    <a:ln>
                      <a:noFill/>
                    </a:ln>
                  </pic:spPr>
                </pic:pic>
              </a:graphicData>
            </a:graphic>
          </wp:inline>
        </w:drawing>
      </w:r>
    </w:p>
    <w:p w14:paraId="50F683FE" w14:textId="77777777" w:rsidR="00E46639" w:rsidRPr="0028033B" w:rsidRDefault="00E46639" w:rsidP="00E46639">
      <w:pPr>
        <w:pStyle w:val="Source"/>
        <w:spacing w:after="180"/>
        <w:rPr>
          <w:rFonts w:cs="Calibri"/>
          <w:sz w:val="18"/>
          <w:szCs w:val="18"/>
        </w:rPr>
      </w:pPr>
      <w:r w:rsidRPr="0028033B">
        <w:rPr>
          <w:rFonts w:cs="Calibri"/>
          <w:b/>
          <w:sz w:val="18"/>
          <w:szCs w:val="24"/>
        </w:rPr>
        <w:t>Source:</w:t>
      </w:r>
      <w:r w:rsidRPr="0028033B">
        <w:rPr>
          <w:sz w:val="18"/>
          <w:szCs w:val="18"/>
        </w:rPr>
        <w:tab/>
      </w:r>
      <w:r w:rsidRPr="0028033B">
        <w:rPr>
          <w:rFonts w:cs="Calibri"/>
          <w:sz w:val="18"/>
          <w:szCs w:val="18"/>
        </w:rPr>
        <w:t>Fertiliser Association of New Zealand</w:t>
      </w:r>
    </w:p>
    <w:p w14:paraId="1C32829D" w14:textId="77777777" w:rsidR="00E46639" w:rsidRPr="0028033B" w:rsidRDefault="00E46639" w:rsidP="00E46639">
      <w:pPr>
        <w:pStyle w:val="Figure"/>
      </w:pPr>
      <w:bookmarkStart w:id="1222" w:name="_Toc447275697"/>
      <w:bookmarkStart w:id="1223" w:name="_Toc481752016"/>
      <w:bookmarkStart w:id="1224" w:name="_Toc507158475"/>
      <w:bookmarkStart w:id="1225" w:name="_Toc511116966"/>
      <w:bookmarkStart w:id="1226" w:name="_Toc5269696"/>
      <w:bookmarkStart w:id="1227" w:name="_Toc32570967"/>
      <w:bookmarkStart w:id="1228" w:name="_Toc36292797"/>
      <w:bookmarkStart w:id="1229" w:name="_Toc68786662"/>
      <w:bookmarkStart w:id="1230" w:name="_Toc95574123"/>
      <w:bookmarkStart w:id="1231" w:name="_Toc127458562"/>
      <w:bookmarkStart w:id="1232" w:name="_Toc131591564"/>
      <w:bookmarkStart w:id="1233" w:name="_Toc164154032"/>
      <w:bookmarkStart w:id="1234" w:name="_Toc222407712"/>
      <w:bookmarkStart w:id="1235" w:name="_Toc226200692"/>
      <w:r w:rsidRPr="0028033B">
        <w:t>Figure 5.5.3</w:t>
      </w:r>
      <w:r w:rsidRPr="0028033B">
        <w:tab/>
        <w:t>Percentage of total synthetic nitrogen fertiliser derived from urea, from 1990 to</w:t>
      </w:r>
      <w:bookmarkEnd w:id="1222"/>
      <w:bookmarkEnd w:id="1223"/>
      <w:r w:rsidRPr="0028033B">
        <w:t> </w:t>
      </w:r>
      <w:bookmarkEnd w:id="1224"/>
      <w:bookmarkEnd w:id="1225"/>
      <w:bookmarkEnd w:id="1226"/>
      <w:bookmarkEnd w:id="1227"/>
      <w:bookmarkEnd w:id="1228"/>
      <w:bookmarkEnd w:id="1229"/>
      <w:bookmarkEnd w:id="1230"/>
      <w:bookmarkEnd w:id="1231"/>
      <w:bookmarkEnd w:id="1232"/>
      <w:bookmarkEnd w:id="1233"/>
      <w:r w:rsidRPr="0028033B">
        <w:t>2024</w:t>
      </w:r>
      <w:bookmarkEnd w:id="1234"/>
      <w:bookmarkEnd w:id="1235"/>
    </w:p>
    <w:p w14:paraId="58C9849F" w14:textId="77777777" w:rsidR="00E46639" w:rsidRPr="0028033B" w:rsidRDefault="00E46639" w:rsidP="00E46639">
      <w:pPr>
        <w:pStyle w:val="BodyText"/>
        <w:spacing w:after="0"/>
      </w:pPr>
      <w:r w:rsidRPr="0028033B">
        <w:rPr>
          <w:noProof/>
        </w:rPr>
        <w:drawing>
          <wp:inline distT="0" distB="0" distL="0" distR="0" wp14:anchorId="1A580DA7" wp14:editId="3F10716C">
            <wp:extent cx="5295048" cy="3045400"/>
            <wp:effectExtent l="0" t="0" r="1270" b="3175"/>
            <wp:docPr id="18375423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hqprint">
                      <a:extLst>
                        <a:ext uri="{28A0092B-C50C-407E-A947-70E740481C1C}">
                          <a14:useLocalDpi xmlns:a14="http://schemas.microsoft.com/office/drawing/2010/main" val="0"/>
                        </a:ext>
                      </a:extLst>
                    </a:blip>
                    <a:srcRect/>
                    <a:stretch>
                      <a:fillRect/>
                    </a:stretch>
                  </pic:blipFill>
                  <pic:spPr bwMode="auto">
                    <a:xfrm>
                      <a:off x="0" y="0"/>
                      <a:ext cx="5298171" cy="3047196"/>
                    </a:xfrm>
                    <a:prstGeom prst="rect">
                      <a:avLst/>
                    </a:prstGeom>
                    <a:noFill/>
                    <a:ln>
                      <a:noFill/>
                    </a:ln>
                  </pic:spPr>
                </pic:pic>
              </a:graphicData>
            </a:graphic>
          </wp:inline>
        </w:drawing>
      </w:r>
    </w:p>
    <w:p w14:paraId="45F19B75" w14:textId="77777777" w:rsidR="00E46639" w:rsidRPr="0028033B" w:rsidRDefault="00E46639" w:rsidP="00E46639">
      <w:pPr>
        <w:pStyle w:val="Source"/>
        <w:spacing w:after="120"/>
        <w:rPr>
          <w:sz w:val="18"/>
          <w:szCs w:val="18"/>
        </w:rPr>
      </w:pPr>
      <w:r w:rsidRPr="0028033B">
        <w:rPr>
          <w:b/>
          <w:sz w:val="18"/>
          <w:szCs w:val="24"/>
        </w:rPr>
        <w:t>Source:</w:t>
      </w:r>
      <w:r w:rsidRPr="0028033B">
        <w:rPr>
          <w:sz w:val="18"/>
          <w:szCs w:val="18"/>
        </w:rPr>
        <w:tab/>
        <w:t>Fertiliser Association of New Zealand</w:t>
      </w:r>
    </w:p>
    <w:p w14:paraId="60E5AD38" w14:textId="77777777" w:rsidR="00E46639" w:rsidRPr="0028033B" w:rsidRDefault="00E46639" w:rsidP="00E46639">
      <w:pPr>
        <w:pStyle w:val="BodyText"/>
      </w:pPr>
      <w:r w:rsidRPr="0028033B">
        <w:t xml:space="preserve">The increase in synthetic nitrogen fertiliser use since 1990 has resulted in an increase in emissions from this category, from </w:t>
      </w:r>
      <w:r w:rsidRPr="0028033B">
        <w:rPr>
          <w:rFonts w:cs="Calibri"/>
        </w:rPr>
        <w:t>145.6</w:t>
      </w:r>
      <w:r w:rsidRPr="0028033B">
        <w:t xml:space="preserve"> kt CO</w:t>
      </w:r>
      <w:r w:rsidRPr="0028033B">
        <w:rPr>
          <w:vertAlign w:val="subscript"/>
        </w:rPr>
        <w:t>2</w:t>
      </w:r>
      <w:r w:rsidRPr="0028033B">
        <w:t>e in 1990 (0.4 percent of total Agriculture emissions), 872.2 kt CO</w:t>
      </w:r>
      <w:r w:rsidRPr="0028033B">
        <w:rPr>
          <w:vertAlign w:val="subscript"/>
        </w:rPr>
        <w:t>2</w:t>
      </w:r>
      <w:r w:rsidRPr="0028033B">
        <w:t>e in 2005 (2.2 percent of total Agriculture emissions) to 950.8 kt CO</w:t>
      </w:r>
      <w:r w:rsidRPr="0028033B">
        <w:rPr>
          <w:vertAlign w:val="subscript"/>
        </w:rPr>
        <w:t>2</w:t>
      </w:r>
      <w:r w:rsidRPr="0028033B">
        <w:t xml:space="preserve">e in 2024 (2.4 percent of Agriculture emissions). </w:t>
      </w:r>
    </w:p>
    <w:p w14:paraId="663335C0" w14:textId="77777777" w:rsidR="00E46639" w:rsidRPr="0028033B" w:rsidRDefault="00E46639" w:rsidP="00E46639">
      <w:pPr>
        <w:pStyle w:val="Heading5"/>
      </w:pPr>
      <w:r w:rsidRPr="0028033B">
        <w:t>Organic nitrogen fertilisers (3.D.1.2)</w:t>
      </w:r>
    </w:p>
    <w:p w14:paraId="55A202FB" w14:textId="77777777" w:rsidR="00E46639" w:rsidRPr="0028033B" w:rsidRDefault="00E46639" w:rsidP="00E46639">
      <w:pPr>
        <w:pStyle w:val="BodyText"/>
        <w:spacing w:before="100"/>
      </w:pPr>
      <w:r w:rsidRPr="0028033B">
        <w:t xml:space="preserve">In New Zealand, emissions from organic nitrogen fertilisers are mainly from animal manure that is spread onto pasture after collection in manure management systems. While most animal manure in New Zealand is excreted directly onto pasture, some manure from dairy farms is collected in manure management systems and applied to soils as an organic fertiliser (see table 5.3.2). A report by Rollo et al. (2017) found that only 8 percent of dairy farms use land application of manure, through the use of direct pumping from a sump. In all cases, manure that was collected was stored for at least one or two days before spreading to pasture </w:t>
      </w:r>
      <w:r w:rsidRPr="0028033B">
        <w:rPr>
          <w:spacing w:val="-2"/>
        </w:rPr>
        <w:t xml:space="preserve">largely via irrigation. Therefore, it does not meet the definition of </w:t>
      </w:r>
      <w:r w:rsidRPr="0028033B">
        <w:rPr>
          <w:i/>
          <w:iCs/>
          <w:spacing w:val="-2"/>
        </w:rPr>
        <w:t>daily spread</w:t>
      </w:r>
      <w:r w:rsidRPr="0028033B">
        <w:rPr>
          <w:spacing w:val="-2"/>
        </w:rPr>
        <w:t xml:space="preserve"> and the notatio</w:t>
      </w:r>
      <w:r w:rsidRPr="0028033B">
        <w:t>n key ‘NO’ is reported in 3.B(b) of the CRT. The emissions calculation in this category (</w:t>
      </w:r>
      <w:r w:rsidRPr="0028033B">
        <w:rPr>
          <w:i/>
          <w:iCs/>
        </w:rPr>
        <w:t>O</w:t>
      </w:r>
      <w:r w:rsidRPr="0028033B">
        <w:rPr>
          <w:i/>
        </w:rPr>
        <w:t>rganic nitrogen fertilisers</w:t>
      </w:r>
      <w:r w:rsidRPr="0028033B">
        <w:t>) excludes manure deposited directly on pasture by grazing livestock, which is covered in the next section (</w:t>
      </w:r>
      <w:r w:rsidRPr="0028033B">
        <w:rPr>
          <w:i/>
          <w:iCs/>
        </w:rPr>
        <w:t>Urine and dung deposited by grazing animals</w:t>
      </w:r>
      <w:r w:rsidRPr="0028033B">
        <w:t xml:space="preserve"> (3.D.1.3)). Animal manure is not used for fuel or construction in </w:t>
      </w:r>
      <w:r w:rsidRPr="0028033B" w:rsidDel="00F4081C">
        <w:t xml:space="preserve">New </w:t>
      </w:r>
      <w:r w:rsidRPr="0028033B">
        <w:t>Zealand.</w:t>
      </w:r>
    </w:p>
    <w:p w14:paraId="4359372B" w14:textId="77777777" w:rsidR="00E46639" w:rsidRPr="0028033B" w:rsidRDefault="00E46639" w:rsidP="00E46639">
      <w:pPr>
        <w:pStyle w:val="BodyText"/>
      </w:pPr>
      <w:r w:rsidRPr="0028033B">
        <w:t>New Zealand has developed a country-specific emission factor for N</w:t>
      </w:r>
      <w:r w:rsidRPr="0028033B">
        <w:rPr>
          <w:vertAlign w:val="subscript"/>
        </w:rPr>
        <w:t>2</w:t>
      </w:r>
      <w:r w:rsidRPr="0028033B">
        <w:t xml:space="preserve">O from dairy cattle manure applied to soils of 0.0025 (van der Weerden et al., 2016a, 2016b). This value was based on a meta-analysis of field trials carried out in </w:t>
      </w:r>
      <w:r w:rsidRPr="0028033B" w:rsidDel="0016234F">
        <w:t xml:space="preserve">New </w:t>
      </w:r>
      <w:r w:rsidRPr="0028033B">
        <w:t xml:space="preserve">Zealand that measured emissions </w:t>
      </w:r>
      <w:r w:rsidRPr="0028033B">
        <w:rPr>
          <w:spacing w:val="-2"/>
        </w:rPr>
        <w:t>from dairy cattle manure on soil. This emission factor was changed to 0.0025 in 2017, following</w:t>
      </w:r>
      <w:r w:rsidRPr="0028033B">
        <w:t xml:space="preserve"> a recommendation from the Agriculture Inventory Advisory Panel in 2016. The Panel agreed that the new value was more representative of </w:t>
      </w:r>
      <w:r w:rsidRPr="0028033B" w:rsidDel="0016234F">
        <w:t xml:space="preserve">New </w:t>
      </w:r>
      <w:r w:rsidRPr="0028033B">
        <w:t>Zealand farming practices and conditions. Given that dairy cattle manure is a mixture of urine and dung (combined with water), the value of 0.0025 is consistent with the EF</w:t>
      </w:r>
      <w:r w:rsidRPr="0028033B">
        <w:rPr>
          <w:vertAlign w:val="subscript"/>
        </w:rPr>
        <w:t>3</w:t>
      </w:r>
      <w:r w:rsidRPr="0028033B">
        <w:t xml:space="preserve"> emission factors used in </w:t>
      </w:r>
      <w:r w:rsidRPr="0028033B" w:rsidDel="00154256">
        <w:t xml:space="preserve">New </w:t>
      </w:r>
      <w:r w:rsidRPr="0028033B">
        <w:t>Zealand for dairy cattle urine (0.0098 and 0.0033 for flat and medium to steep sloped land respectively) and dung (0.0012) (van der Weerden et al., 2016a). Direct N</w:t>
      </w:r>
      <w:r w:rsidRPr="0028033B">
        <w:rPr>
          <w:vertAlign w:val="subscript"/>
        </w:rPr>
        <w:t>2</w:t>
      </w:r>
      <w:r w:rsidRPr="0028033B">
        <w:t>O emissions from dairy cattle manure applied as organic fertiliser in 2023 (using the EF</w:t>
      </w:r>
      <w:r w:rsidRPr="0028033B">
        <w:rPr>
          <w:vertAlign w:val="subscript"/>
        </w:rPr>
        <w:t>3</w:t>
      </w:r>
      <w:r w:rsidRPr="0028033B">
        <w:t xml:space="preserve"> of 0.0025) were 0.128 kt N</w:t>
      </w:r>
      <w:r w:rsidRPr="0028033B">
        <w:rPr>
          <w:vertAlign w:val="subscript"/>
        </w:rPr>
        <w:t>2</w:t>
      </w:r>
      <w:r w:rsidRPr="0028033B">
        <w:t>O.</w:t>
      </w:r>
    </w:p>
    <w:p w14:paraId="50A63A3F" w14:textId="77777777" w:rsidR="00E46639" w:rsidRPr="0028033B" w:rsidRDefault="00E46639" w:rsidP="00E46639">
      <w:pPr>
        <w:pStyle w:val="BodyText"/>
      </w:pPr>
      <w:r w:rsidRPr="0028033B">
        <w:t>Manure from poultry and swine spread onto soil has an emission factor of 0.006, which is consistent with the IPCC default.</w:t>
      </w:r>
    </w:p>
    <w:p w14:paraId="1415639F" w14:textId="77777777" w:rsidR="00E46639" w:rsidRPr="0028033B" w:rsidRDefault="00E46639" w:rsidP="00E46639">
      <w:pPr>
        <w:pStyle w:val="BodyText"/>
        <w:spacing w:before="100" w:after="60"/>
      </w:pPr>
      <w:r w:rsidRPr="0028033B">
        <w:t>The following equation is used to determine direct N</w:t>
      </w:r>
      <w:r w:rsidRPr="0028033B">
        <w:rPr>
          <w:vertAlign w:val="subscript"/>
        </w:rPr>
        <w:t>2</w:t>
      </w:r>
      <w:r w:rsidRPr="0028033B">
        <w:t>O emissions from the application of animal manure to soil:</w:t>
      </w:r>
    </w:p>
    <w:p w14:paraId="139B9159" w14:textId="77777777" w:rsidR="00E46639" w:rsidRPr="0028033B" w:rsidRDefault="00000000" w:rsidP="00E46639">
      <w:pPr>
        <w:pStyle w:val="BodyText"/>
        <w:spacing w:before="0"/>
        <w:jc w:val="center"/>
        <w:rPr>
          <w:rFonts w:cs="Calibri"/>
          <w:i/>
        </w:rPr>
      </w:pPr>
      <m:oMathPara>
        <m:oMath>
          <m:sSub>
            <m:sSubPr>
              <m:ctrlPr>
                <w:rPr>
                  <w:rFonts w:ascii="Cambria Math" w:hAnsi="Cambria Math" w:cs="Calibri"/>
                  <w:i/>
                  <w:sz w:val="24"/>
                  <w:szCs w:val="24"/>
                </w:rPr>
              </m:ctrlPr>
            </m:sSubPr>
            <m:e>
              <m:r>
                <w:rPr>
                  <w:rFonts w:ascii="Cambria Math" w:hAnsi="Cambria Math" w:cs="Calibri"/>
                  <w:sz w:val="24"/>
                  <w:szCs w:val="24"/>
                </w:rPr>
                <m:t>N</m:t>
              </m:r>
            </m:e>
            <m:sub>
              <m:r>
                <w:rPr>
                  <w:rFonts w:ascii="Cambria Math" w:hAnsi="Cambria Math" w:cs="Calibri"/>
                  <w:sz w:val="24"/>
                  <w:szCs w:val="24"/>
                </w:rPr>
                <m:t>2</m:t>
              </m:r>
            </m:sub>
          </m:sSub>
          <m:r>
            <w:rPr>
              <w:rFonts w:ascii="Cambria Math" w:hAnsi="Cambria Math" w:cs="Calibri"/>
              <w:sz w:val="24"/>
              <w:szCs w:val="24"/>
            </w:rPr>
            <m:t xml:space="preserve">O emissions= </m:t>
          </m:r>
          <m:f>
            <m:fPr>
              <m:ctrlPr>
                <w:rPr>
                  <w:rFonts w:ascii="Cambria Math" w:hAnsi="Cambria Math" w:cs="Calibri"/>
                  <w:i/>
                  <w:sz w:val="24"/>
                  <w:szCs w:val="24"/>
                </w:rPr>
              </m:ctrlPr>
            </m:fPr>
            <m:num>
              <m:r>
                <w:rPr>
                  <w:rFonts w:ascii="Cambria Math" w:hAnsi="Cambria Math" w:cs="Calibri"/>
                  <w:sz w:val="24"/>
                  <w:szCs w:val="24"/>
                </w:rPr>
                <m:t>44</m:t>
              </m:r>
            </m:num>
            <m:den>
              <m:r>
                <w:rPr>
                  <w:rFonts w:ascii="Cambria Math" w:hAnsi="Cambria Math" w:cs="Calibri"/>
                  <w:sz w:val="24"/>
                  <w:szCs w:val="24"/>
                </w:rPr>
                <m:t>28</m:t>
              </m:r>
            </m:den>
          </m:f>
          <m:r>
            <w:rPr>
              <w:rFonts w:ascii="Cambria Math" w:hAnsi="Cambria Math" w:cs="Calibri"/>
              <w:sz w:val="24"/>
              <w:szCs w:val="24"/>
            </w:rPr>
            <m:t xml:space="preserve"> × </m:t>
          </m:r>
          <m:d>
            <m:dPr>
              <m:ctrlPr>
                <w:rPr>
                  <w:rFonts w:ascii="Cambria Math" w:hAnsi="Cambria Math" w:cs="Calibri"/>
                  <w:i/>
                  <w:sz w:val="24"/>
                  <w:szCs w:val="24"/>
                </w:rPr>
              </m:ctrlPr>
            </m:dPr>
            <m:e>
              <m:d>
                <m:dPr>
                  <m:ctrlPr>
                    <w:rPr>
                      <w:rFonts w:ascii="Cambria Math" w:hAnsi="Cambria Math" w:cs="Calibri"/>
                      <w:i/>
                      <w:sz w:val="24"/>
                      <w:szCs w:val="24"/>
                    </w:rPr>
                  </m:ctrlPr>
                </m:dPr>
                <m:e>
                  <m:sSub>
                    <m:sSubPr>
                      <m:ctrlPr>
                        <w:rPr>
                          <w:rFonts w:ascii="Cambria Math" w:hAnsi="Cambria Math" w:cs="Calibri"/>
                          <w:i/>
                          <w:sz w:val="24"/>
                          <w:szCs w:val="24"/>
                        </w:rPr>
                      </m:ctrlPr>
                    </m:sSubPr>
                    <m:e>
                      <m:r>
                        <w:rPr>
                          <w:rFonts w:ascii="Cambria Math" w:hAnsi="Cambria Math" w:cs="Calibri"/>
                          <w:sz w:val="24"/>
                          <w:szCs w:val="24"/>
                        </w:rPr>
                        <m:t>F</m:t>
                      </m:r>
                    </m:e>
                    <m:sub>
                      <m:r>
                        <w:rPr>
                          <w:rFonts w:ascii="Cambria Math" w:hAnsi="Cambria Math" w:cs="Calibri"/>
                          <w:sz w:val="24"/>
                          <w:szCs w:val="24"/>
                        </w:rPr>
                        <m:t xml:space="preserve">AM </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EF</m:t>
                      </m:r>
                    </m:e>
                    <m:sub>
                      <m:r>
                        <w:rPr>
                          <w:rFonts w:ascii="Cambria Math" w:hAnsi="Cambria Math" w:cs="Calibri"/>
                          <w:sz w:val="24"/>
                          <w:szCs w:val="24"/>
                        </w:rPr>
                        <m:t>1(Organic)</m:t>
                      </m:r>
                    </m:sub>
                  </m:sSub>
                </m:e>
              </m:d>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F</m:t>
                  </m:r>
                </m:e>
                <m:sub>
                  <m:r>
                    <w:rPr>
                      <w:rFonts w:ascii="Cambria Math" w:hAnsi="Cambria Math" w:cs="Calibri"/>
                      <w:sz w:val="24"/>
                      <w:szCs w:val="24"/>
                    </w:rPr>
                    <m:t>AM(Dairy)</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EF</m:t>
                  </m:r>
                </m:e>
                <m:sub>
                  <m:r>
                    <w:rPr>
                      <w:rFonts w:ascii="Cambria Math" w:hAnsi="Cambria Math" w:cs="Calibri"/>
                      <w:sz w:val="24"/>
                      <w:szCs w:val="24"/>
                    </w:rPr>
                    <m:t>1(Dairy)</m:t>
                  </m:r>
                </m:sub>
              </m:sSub>
            </m:e>
          </m:d>
        </m:oMath>
      </m:oMathPara>
    </w:p>
    <w:p w14:paraId="5223BADA" w14:textId="77777777" w:rsidR="00E46639" w:rsidRPr="0028033B" w:rsidRDefault="00E46639" w:rsidP="00E46639">
      <w:pPr>
        <w:pStyle w:val="BodyText"/>
        <w:spacing w:before="40" w:after="40"/>
        <w:ind w:left="964" w:hanging="964"/>
      </w:pPr>
      <w:r w:rsidRPr="0028033B">
        <w:t>Where:</w:t>
      </w:r>
      <w:r w:rsidRPr="0028033B">
        <w:tab/>
        <w:t>44/28 is the molecular conversion factor used to convert nitrogen to N</w:t>
      </w:r>
      <w:r w:rsidRPr="0028033B">
        <w:rPr>
          <w:vertAlign w:val="subscript"/>
        </w:rPr>
        <w:t>2</w:t>
      </w:r>
      <w:r w:rsidRPr="0028033B">
        <w:t xml:space="preserve">O </w:t>
      </w:r>
    </w:p>
    <w:p w14:paraId="3FC42DE3" w14:textId="77777777" w:rsidR="00E46639" w:rsidRPr="0028033B" w:rsidRDefault="00E46639" w:rsidP="00E46639">
      <w:pPr>
        <w:pStyle w:val="BodyText"/>
        <w:spacing w:before="30" w:after="40"/>
        <w:ind w:left="964"/>
      </w:pPr>
      <w:r w:rsidRPr="0028033B">
        <w:t>F</w:t>
      </w:r>
      <w:r w:rsidRPr="0028033B">
        <w:rPr>
          <w:vertAlign w:val="subscript"/>
        </w:rPr>
        <w:t>AM</w:t>
      </w:r>
      <w:r w:rsidRPr="0028033B">
        <w:t xml:space="preserve"> is the total amount of animal manure nitrogen (swine and poultry) applied to soils from manure management systems (other than pasture, range and paddock), which is derived as a fraction of the nitrogen excretion rates, N</w:t>
      </w:r>
      <w:r w:rsidRPr="0028033B">
        <w:rPr>
          <w:vertAlign w:val="subscript"/>
        </w:rPr>
        <w:t>ex</w:t>
      </w:r>
      <w:r w:rsidRPr="0028033B">
        <w:t>, described in section 5.3.2</w:t>
      </w:r>
    </w:p>
    <w:p w14:paraId="64213E7F" w14:textId="77777777" w:rsidR="00E46639" w:rsidRPr="0028033B" w:rsidRDefault="00E46639" w:rsidP="00E46639">
      <w:pPr>
        <w:pStyle w:val="BodyText"/>
        <w:spacing w:before="30" w:after="40"/>
        <w:ind w:left="964" w:hanging="964"/>
      </w:pPr>
      <w:r w:rsidRPr="0028033B">
        <w:tab/>
        <w:t>EF</w:t>
      </w:r>
      <w:r w:rsidRPr="0028033B">
        <w:rPr>
          <w:vertAlign w:val="subscript"/>
        </w:rPr>
        <w:t>1(organic)</w:t>
      </w:r>
      <w:r w:rsidRPr="0028033B">
        <w:t xml:space="preserve"> is the proportion of direct N</w:t>
      </w:r>
      <w:r w:rsidRPr="0028033B">
        <w:rPr>
          <w:vertAlign w:val="subscript"/>
        </w:rPr>
        <w:t>2</w:t>
      </w:r>
      <w:r w:rsidRPr="0028033B">
        <w:t>O emissions from animal manure (swine and poultry) applied to soils (0.006; table 5.5.2)</w:t>
      </w:r>
    </w:p>
    <w:p w14:paraId="6A677097" w14:textId="77777777" w:rsidR="00E46639" w:rsidRPr="0028033B" w:rsidRDefault="00E46639" w:rsidP="00E46639">
      <w:pPr>
        <w:pStyle w:val="BodyText"/>
        <w:spacing w:before="30" w:after="40"/>
        <w:ind w:left="964" w:hanging="964"/>
      </w:pPr>
      <w:r w:rsidRPr="0028033B">
        <w:tab/>
        <w:t>F</w:t>
      </w:r>
      <w:r w:rsidRPr="0028033B">
        <w:rPr>
          <w:vertAlign w:val="subscript"/>
        </w:rPr>
        <w:t>AM(DAIRY)</w:t>
      </w:r>
      <w:r w:rsidRPr="0028033B">
        <w:t xml:space="preserve"> is the total amount of animal manure nitrogen (dairy) applied to soils from manure management systems (other than pasture, range and paddock), which is derived as a fraction of the nitrogen excretion rates, N</w:t>
      </w:r>
      <w:r w:rsidRPr="0028033B">
        <w:rPr>
          <w:vertAlign w:val="subscript"/>
        </w:rPr>
        <w:t>ex</w:t>
      </w:r>
      <w:r w:rsidRPr="0028033B">
        <w:t>, described in section 5.3.2, and</w:t>
      </w:r>
    </w:p>
    <w:p w14:paraId="1D57449F" w14:textId="77777777" w:rsidR="00E46639" w:rsidRPr="0028033B" w:rsidRDefault="00E46639" w:rsidP="00E46639">
      <w:pPr>
        <w:pStyle w:val="BodyText"/>
        <w:spacing w:before="30"/>
        <w:ind w:left="964" w:hanging="964"/>
      </w:pPr>
      <w:r w:rsidRPr="0028033B">
        <w:tab/>
        <w:t>EF</w:t>
      </w:r>
      <w:r w:rsidRPr="0028033B">
        <w:rPr>
          <w:vertAlign w:val="subscript"/>
        </w:rPr>
        <w:t>1(DAIRY)</w:t>
      </w:r>
      <w:r w:rsidRPr="0028033B">
        <w:t xml:space="preserve"> is the proportion of direct N</w:t>
      </w:r>
      <w:r w:rsidRPr="0028033B">
        <w:rPr>
          <w:vertAlign w:val="subscript"/>
        </w:rPr>
        <w:t>2</w:t>
      </w:r>
      <w:r w:rsidRPr="0028033B">
        <w:t>O emissions from animal manure (dairy cattle) applied to soils (0.0025; table 5.5.2)</w:t>
      </w:r>
      <w:r w:rsidRPr="0028033B" w:rsidDel="00380393">
        <w:t xml:space="preserve">. </w:t>
      </w:r>
    </w:p>
    <w:p w14:paraId="37F05397" w14:textId="77777777" w:rsidR="00E46639" w:rsidRPr="0028033B" w:rsidRDefault="00E46639" w:rsidP="00E46639">
      <w:pPr>
        <w:pStyle w:val="BodyText"/>
        <w:spacing w:before="100" w:after="100"/>
      </w:pPr>
      <w:r w:rsidRPr="0028033B">
        <w:t xml:space="preserve">New Zealand also accounts for emissions from non-manure organic fertilisers. Sources include dairy processing wastewater, compost sold to the rural sector, meat processing wastewater, grape marc, vegetable processing wastewater and sewage sludge applied to land. The amount of nitrogen from these sources between 1990 and 2022 has been estimated (van der Weerden and Rutherford, 2024). In 2022, 82 tonnes nitrogen sewage sludge and 4,890 tonnes nitrogen from other non-manure organic fertiliser was applied to soils. For the years after 2022, the latest available value is used. A review of this data is intended in 2027. </w:t>
      </w:r>
    </w:p>
    <w:p w14:paraId="19C39ACE" w14:textId="77777777" w:rsidR="00E46639" w:rsidRPr="0028033B" w:rsidRDefault="00E46639" w:rsidP="00E46639">
      <w:pPr>
        <w:pStyle w:val="BodyText"/>
        <w:spacing w:before="100" w:after="100"/>
      </w:pPr>
      <w:r w:rsidRPr="0028033B">
        <w:t>The 2019 IPCC Refinement</w:t>
      </w:r>
      <w:r w:rsidRPr="0028033B" w:rsidDel="007730E5">
        <w:t xml:space="preserve"> </w:t>
      </w:r>
      <w:r w:rsidRPr="0028033B">
        <w:t xml:space="preserve">retained the default value of 1 percent for nitrogen additions to agricultural soils (IPCC, 2019). However, the 2019 IPCC Refinement also provides additional EF values disaggregated by nitrogen type and climate, where climate is disaggregated into wet and dry. New Zealand falls into this ‘wet climate’ category according to the IPCC definition. Therefore, New Zealand uses the IPCC (2019) disaggregated </w:t>
      </w:r>
      <w:r w:rsidRPr="0028033B">
        <w:rPr>
          <w:rFonts w:cs="Arial"/>
          <w:color w:val="0D0D0D" w:themeColor="text1" w:themeTint="F2"/>
        </w:rPr>
        <w:t>EF</w:t>
      </w:r>
      <w:r w:rsidRPr="0028033B">
        <w:rPr>
          <w:rFonts w:cs="Arial"/>
          <w:color w:val="0D0D0D" w:themeColor="text1" w:themeTint="F2"/>
          <w:vertAlign w:val="subscript"/>
        </w:rPr>
        <w:t xml:space="preserve">1 </w:t>
      </w:r>
      <w:r w:rsidRPr="0028033B">
        <w:t xml:space="preserve">of 0.6 percent to ensure calculations are employing the latest scientific knowledge. This provides a more appropriate value for organic nitrogen amendments to soils in wet climates rather than remaining with the aggregated value of 1 percent that is applied to all nitrogen inputs, across all climatic zones. </w:t>
      </w:r>
    </w:p>
    <w:p w14:paraId="0016873D" w14:textId="77777777" w:rsidR="00E46639" w:rsidRPr="0028033B" w:rsidRDefault="00E46639" w:rsidP="00E46639">
      <w:pPr>
        <w:pStyle w:val="Heading5"/>
      </w:pPr>
      <w:r w:rsidRPr="0028033B">
        <w:t>Urine and dung deposited by grazing animals (3.D.1.3)</w:t>
      </w:r>
    </w:p>
    <w:p w14:paraId="7B4EDDB0" w14:textId="77777777" w:rsidR="00E46639" w:rsidRPr="0028033B" w:rsidRDefault="00E46639" w:rsidP="00E46639">
      <w:pPr>
        <w:pStyle w:val="BodyText"/>
        <w:spacing w:before="100" w:after="100"/>
      </w:pPr>
      <w:r w:rsidRPr="0028033B">
        <w:t xml:space="preserve">Most livestock in </w:t>
      </w:r>
      <w:r w:rsidRPr="0028033B" w:rsidDel="003E22F4">
        <w:t xml:space="preserve">New </w:t>
      </w:r>
      <w:r w:rsidRPr="0028033B">
        <w:t>Zealand are grazed outdoors on pasture, with around 92.3 percent of dairy cattle excreta and 100 percent of non-dairy cattle, sheep and deer excreta deposited on pasture (see table 5.3.2). In New Zealand, dairy cattle are kept close to the milking shed and dairy farming tends to be on flatland. Sheep, non-dairy and deer farming predominantly occur on hill country and less frequently on flatland.</w:t>
      </w:r>
    </w:p>
    <w:p w14:paraId="1B9BA16D" w14:textId="77777777" w:rsidR="00E46639" w:rsidRPr="0028033B" w:rsidRDefault="00E46639" w:rsidP="00E46639">
      <w:pPr>
        <w:pStyle w:val="BodyText"/>
        <w:spacing w:before="100" w:after="100"/>
      </w:pPr>
      <w:r w:rsidRPr="0028033B">
        <w:t>The following equations are used to determine direct N</w:t>
      </w:r>
      <w:r w:rsidRPr="0028033B">
        <w:rPr>
          <w:vertAlign w:val="subscript"/>
        </w:rPr>
        <w:t>2</w:t>
      </w:r>
      <w:r w:rsidRPr="0028033B">
        <w:t>O emissions from grazing livestock manure.</w:t>
      </w:r>
    </w:p>
    <w:p w14:paraId="3C8C96DC" w14:textId="77777777" w:rsidR="00E46639" w:rsidRPr="0028033B" w:rsidRDefault="00E46639" w:rsidP="00E46639">
      <w:pPr>
        <w:pStyle w:val="BodyText"/>
        <w:spacing w:before="100" w:after="100"/>
      </w:pPr>
      <w:r w:rsidRPr="0028033B">
        <w:t xml:space="preserve">For urine deposited on flatland and low slopes by sheep, cattle and deer only: </w:t>
      </w:r>
    </w:p>
    <w:p w14:paraId="78843B9A" w14:textId="77777777" w:rsidR="00E46639" w:rsidRPr="0028033B" w:rsidRDefault="00000000" w:rsidP="00E46639">
      <w:pPr>
        <w:pStyle w:val="BodyText"/>
        <w:spacing w:before="80" w:after="80"/>
        <w:jc w:val="cente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URINE,FLAT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URINE,LOW</m:t>
                          </m:r>
                        </m:sub>
                      </m:sSub>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3(PRP-FLAT)</m:t>
              </m:r>
            </m:sub>
          </m:sSub>
        </m:oMath>
      </m:oMathPara>
    </w:p>
    <w:p w14:paraId="03EF804E" w14:textId="77777777" w:rsidR="00E46639" w:rsidRPr="0028033B" w:rsidRDefault="00E46639" w:rsidP="00E46639">
      <w:pPr>
        <w:pStyle w:val="BodyText"/>
        <w:keepNext/>
        <w:spacing w:after="80"/>
        <w:rPr>
          <w:rFonts w:cs="Calibri"/>
        </w:rPr>
      </w:pPr>
      <w:r w:rsidRPr="0028033B">
        <w:rPr>
          <w:rFonts w:cs="Calibri"/>
        </w:rPr>
        <w:t xml:space="preserve">For urine deposited on medium and steep slopes by sheep, cattle and deer only: </w:t>
      </w:r>
    </w:p>
    <w:p w14:paraId="1619DF78" w14:textId="77777777" w:rsidR="00E46639" w:rsidRPr="0028033B" w:rsidRDefault="00000000" w:rsidP="00E46639">
      <w:pPr>
        <w:pStyle w:val="BodyText"/>
        <w:keepNext/>
        <w:spacing w:before="80" w:after="80"/>
        <w:jc w:val="center"/>
        <w:rPr>
          <w:rFonts w:cs="Calibri"/>
          <w:sz w:val="24"/>
          <w:szCs w:val="24"/>
        </w:rP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URINE,MED</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URINE,STEEP</m:t>
                          </m:r>
                        </m:sub>
                      </m:sSub>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3(PRP-STEEP)</m:t>
              </m:r>
            </m:sub>
          </m:sSub>
        </m:oMath>
      </m:oMathPara>
    </w:p>
    <w:p w14:paraId="799EBBBB" w14:textId="77777777" w:rsidR="00E46639" w:rsidRPr="0028033B" w:rsidRDefault="00E46639" w:rsidP="00E46639">
      <w:pPr>
        <w:pStyle w:val="BodyText"/>
        <w:spacing w:before="160" w:after="80"/>
        <w:rPr>
          <w:rFonts w:cs="Calibri"/>
        </w:rPr>
      </w:pPr>
      <w:r w:rsidRPr="0028033B">
        <w:rPr>
          <w:rFonts w:cs="Calibri"/>
        </w:rPr>
        <w:t>For all dung from sheep, cattle and deer:</w:t>
      </w:r>
    </w:p>
    <w:p w14:paraId="5994FD87" w14:textId="77777777" w:rsidR="00E46639" w:rsidRPr="0028033B" w:rsidRDefault="00000000" w:rsidP="00E46639">
      <w:pPr>
        <w:pStyle w:val="BodyText"/>
        <w:spacing w:before="80" w:after="80"/>
        <w:jc w:val="center"/>
        <w:rPr>
          <w:rFonts w:ascii="Cambria Math" w:hAnsi="Cambria Math" w:cs="Calibri"/>
          <w:sz w:val="24"/>
          <w:szCs w:val="24"/>
        </w:rP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DUNG,T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3(PRP-DUNG)</m:t>
              </m:r>
            </m:sub>
          </m:sSub>
        </m:oMath>
      </m:oMathPara>
    </w:p>
    <w:p w14:paraId="43CF02FA" w14:textId="77777777" w:rsidR="00E46639" w:rsidRPr="0028033B" w:rsidRDefault="00E46639" w:rsidP="00E46639">
      <w:pPr>
        <w:pStyle w:val="BodyText"/>
        <w:keepNext/>
        <w:spacing w:before="160" w:after="80"/>
      </w:pPr>
      <w:r w:rsidRPr="0028033B">
        <w:t xml:space="preserve">For urine and dung from other livestock categories (swine, goats, horses, llamas and alpacas, mules, asses, emus, ostriches and poultry): </w:t>
      </w:r>
    </w:p>
    <w:p w14:paraId="77B20FFA" w14:textId="77777777" w:rsidR="00E46639" w:rsidRPr="0028033B" w:rsidRDefault="00000000" w:rsidP="00E46639">
      <w:pPr>
        <w:pStyle w:val="BodyText"/>
        <w:spacing w:before="80" w:after="80"/>
        <w:jc w:val="cente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3(PRP-MINOR)</m:t>
              </m:r>
            </m:sub>
          </m:sSub>
        </m:oMath>
      </m:oMathPara>
    </w:p>
    <w:p w14:paraId="051BDDE3" w14:textId="77777777" w:rsidR="00E46639" w:rsidRPr="0028033B" w:rsidRDefault="00E46639" w:rsidP="00E46639">
      <w:pPr>
        <w:pStyle w:val="BodyText"/>
        <w:keepNext/>
        <w:spacing w:before="60" w:after="40"/>
        <w:ind w:left="964" w:hanging="964"/>
      </w:pPr>
      <w:r w:rsidRPr="0028033B">
        <w:t xml:space="preserve">Where: </w:t>
      </w:r>
      <w:r w:rsidRPr="0028033B">
        <w:tab/>
        <w:t>N</w:t>
      </w:r>
      <w:r w:rsidRPr="0028033B">
        <w:rPr>
          <w:vertAlign w:val="subscript"/>
        </w:rPr>
        <w:t xml:space="preserve">T </w:t>
      </w:r>
      <w:r w:rsidRPr="0028033B">
        <w:t>is the population of the livestock category (sheep, cattle, deer or other)</w:t>
      </w:r>
    </w:p>
    <w:p w14:paraId="191C0EE1" w14:textId="77777777" w:rsidR="00E46639" w:rsidRPr="0028033B" w:rsidRDefault="00E46639" w:rsidP="00E46639">
      <w:pPr>
        <w:pStyle w:val="BodyText"/>
        <w:keepNext/>
        <w:spacing w:before="30" w:after="40"/>
        <w:ind w:left="964"/>
      </w:pPr>
      <w:r w:rsidRPr="0028033B">
        <w:t>T is the population as calculated in section 5.1.3</w:t>
      </w:r>
    </w:p>
    <w:p w14:paraId="6473972B" w14:textId="77777777" w:rsidR="00E46639" w:rsidRPr="0028033B" w:rsidRDefault="00E46639" w:rsidP="00E46639">
      <w:pPr>
        <w:pStyle w:val="BodyText"/>
        <w:spacing w:before="30" w:after="40"/>
        <w:ind w:left="964" w:hanging="964"/>
      </w:pPr>
      <w:r w:rsidRPr="0028033B">
        <w:tab/>
        <w:t>Nex</w:t>
      </w:r>
      <w:r w:rsidRPr="0028033B">
        <w:rPr>
          <w:vertAlign w:val="subscript"/>
        </w:rPr>
        <w:t>URINE,FLAT</w:t>
      </w:r>
      <w:r w:rsidRPr="0028033B">
        <w:t xml:space="preserve"> is the annual urinary nitrogen excretion per head deposited on flatland</w:t>
      </w:r>
      <w:r w:rsidRPr="0028033B">
        <w:rPr>
          <w:rStyle w:val="FootnoteReference"/>
          <w:rFonts w:cs="Calibri"/>
        </w:rPr>
        <w:footnoteReference w:id="43"/>
      </w:r>
      <w:r w:rsidRPr="0028033B">
        <w:t xml:space="preserve"> (kg N/year/head) </w:t>
      </w:r>
    </w:p>
    <w:p w14:paraId="417B26C3" w14:textId="77777777" w:rsidR="00E46639" w:rsidRPr="0028033B" w:rsidRDefault="00E46639" w:rsidP="00E46639">
      <w:pPr>
        <w:pStyle w:val="BodyText"/>
        <w:spacing w:before="30" w:after="40"/>
        <w:ind w:left="964" w:hanging="964"/>
      </w:pPr>
      <w:r w:rsidRPr="0028033B">
        <w:tab/>
        <w:t>Nex</w:t>
      </w:r>
      <w:r w:rsidRPr="0028033B">
        <w:rPr>
          <w:vertAlign w:val="subscript"/>
        </w:rPr>
        <w:t>URINE,LOW</w:t>
      </w:r>
      <w:r w:rsidRPr="0028033B">
        <w:t xml:space="preserve"> is the annual urinary nitrogen excretion per head deposited on low slopes</w:t>
      </w:r>
      <w:r w:rsidRPr="0028033B">
        <w:rPr>
          <w:rStyle w:val="FootnoteReference"/>
          <w:rFonts w:cs="Calibri"/>
        </w:rPr>
        <w:footnoteReference w:id="44"/>
      </w:r>
      <w:r w:rsidRPr="0028033B">
        <w:t xml:space="preserve"> (kg N/year/head)</w:t>
      </w:r>
    </w:p>
    <w:p w14:paraId="2C8ACE06" w14:textId="77777777" w:rsidR="00E46639" w:rsidRPr="0028033B" w:rsidRDefault="00E46639" w:rsidP="00E46639">
      <w:pPr>
        <w:pStyle w:val="BodyText"/>
        <w:spacing w:before="30" w:after="40"/>
        <w:ind w:left="964" w:hanging="964"/>
      </w:pPr>
      <w:r w:rsidRPr="0028033B">
        <w:tab/>
        <w:t>Nex</w:t>
      </w:r>
      <w:r w:rsidRPr="0028033B">
        <w:rPr>
          <w:vertAlign w:val="subscript"/>
        </w:rPr>
        <w:t>URINE,MED</w:t>
      </w:r>
      <w:r w:rsidRPr="0028033B">
        <w:t xml:space="preserve"> is the annual urinary nitrogen excretion per head deposited on medium slopes</w:t>
      </w:r>
      <w:r w:rsidRPr="0028033B">
        <w:rPr>
          <w:rStyle w:val="FootnoteReference"/>
          <w:rFonts w:cs="Calibri"/>
        </w:rPr>
        <w:footnoteReference w:id="45"/>
      </w:r>
      <w:r w:rsidRPr="0028033B">
        <w:t xml:space="preserve"> (kg N/year/head) </w:t>
      </w:r>
    </w:p>
    <w:p w14:paraId="640E8515" w14:textId="77777777" w:rsidR="00E46639" w:rsidRPr="0028033B" w:rsidRDefault="00E46639" w:rsidP="00E46639">
      <w:pPr>
        <w:pStyle w:val="BodyText"/>
        <w:spacing w:before="30" w:after="40"/>
        <w:ind w:left="964" w:hanging="964"/>
      </w:pPr>
      <w:r w:rsidRPr="0028033B">
        <w:tab/>
        <w:t>Nex</w:t>
      </w:r>
      <w:r w:rsidRPr="0028033B">
        <w:rPr>
          <w:vertAlign w:val="subscript"/>
        </w:rPr>
        <w:t>URINE,STEEP</w:t>
      </w:r>
      <w:r w:rsidRPr="0028033B">
        <w:t xml:space="preserve"> is the annual urinary nitrogen excretion per head deposited on steep slopes</w:t>
      </w:r>
      <w:r w:rsidRPr="0028033B">
        <w:rPr>
          <w:rStyle w:val="FootnoteReference"/>
          <w:rFonts w:cs="Calibri"/>
        </w:rPr>
        <w:footnoteReference w:id="46"/>
      </w:r>
      <w:r w:rsidRPr="0028033B">
        <w:t xml:space="preserve"> (kg N/year/head)</w:t>
      </w:r>
    </w:p>
    <w:p w14:paraId="1C146CB8" w14:textId="77777777" w:rsidR="00E46639" w:rsidRPr="0028033B" w:rsidRDefault="00E46639" w:rsidP="00E46639">
      <w:pPr>
        <w:pStyle w:val="BodyText"/>
        <w:spacing w:before="30" w:after="40"/>
        <w:ind w:left="964" w:hanging="964"/>
      </w:pPr>
      <w:r w:rsidRPr="0028033B">
        <w:tab/>
        <w:t>Nex</w:t>
      </w:r>
      <w:r w:rsidRPr="0028033B">
        <w:rPr>
          <w:vertAlign w:val="subscript"/>
        </w:rPr>
        <w:t>DUNG,T</w:t>
      </w:r>
      <w:r w:rsidRPr="0028033B">
        <w:t xml:space="preserve"> is the annual average excretion per head (kg N/year/head) </w:t>
      </w:r>
    </w:p>
    <w:p w14:paraId="569B8C82" w14:textId="77777777" w:rsidR="00E46639" w:rsidRPr="0028033B" w:rsidRDefault="00E46639" w:rsidP="00E46639">
      <w:pPr>
        <w:pStyle w:val="BodyText"/>
        <w:spacing w:before="30" w:after="40"/>
        <w:ind w:left="964" w:hanging="964"/>
      </w:pPr>
      <w:r w:rsidRPr="0028033B">
        <w:tab/>
        <w:t>Nex</w:t>
      </w:r>
      <w:r w:rsidRPr="0028033B">
        <w:rPr>
          <w:vertAlign w:val="subscript"/>
        </w:rPr>
        <w:t>T</w:t>
      </w:r>
      <w:r w:rsidRPr="0028033B">
        <w:t xml:space="preserve"> is the annual average nitrogen excretion per head (kg N/year/head) (see section 5.3) </w:t>
      </w:r>
    </w:p>
    <w:p w14:paraId="286A43E0" w14:textId="77777777" w:rsidR="00E46639" w:rsidRPr="0028033B" w:rsidRDefault="00E46639" w:rsidP="00E46639">
      <w:pPr>
        <w:pStyle w:val="BodyText"/>
        <w:spacing w:before="30" w:after="40"/>
        <w:ind w:left="964" w:hanging="964"/>
      </w:pPr>
      <w:r w:rsidRPr="0028033B">
        <w:tab/>
        <w:t>MS</w:t>
      </w:r>
      <w:r w:rsidRPr="0028033B">
        <w:rPr>
          <w:vertAlign w:val="subscript"/>
        </w:rPr>
        <w:t>T</w:t>
      </w:r>
      <w:r w:rsidRPr="0028033B">
        <w:t xml:space="preserve"> is the proportion of manure excreted directly onto pasture, range and paddock (see table 5.3.2)</w:t>
      </w:r>
    </w:p>
    <w:p w14:paraId="0FBAAA64" w14:textId="77777777" w:rsidR="00E46639" w:rsidRPr="0028033B" w:rsidRDefault="00E46639" w:rsidP="00E46639">
      <w:pPr>
        <w:pStyle w:val="BodyText"/>
        <w:spacing w:before="30" w:after="40"/>
        <w:ind w:left="964" w:hanging="964"/>
      </w:pPr>
      <w:r w:rsidRPr="0028033B">
        <w:tab/>
        <w:t>EF</w:t>
      </w:r>
      <w:r w:rsidRPr="0028033B">
        <w:rPr>
          <w:vertAlign w:val="subscript"/>
        </w:rPr>
        <w:t>3(PRP-FLAT)</w:t>
      </w:r>
      <w:r w:rsidRPr="0028033B">
        <w:t xml:space="preserve"> is the emission factor for urinary nitrogen deposited on flatland and low slopes by sheep, deer and cattle (note that emission factors vary by animal category, see table 5.5.2)</w:t>
      </w:r>
    </w:p>
    <w:p w14:paraId="072772C8" w14:textId="77777777" w:rsidR="00E46639" w:rsidRPr="0028033B" w:rsidRDefault="00E46639" w:rsidP="00E46639">
      <w:pPr>
        <w:pStyle w:val="BodyText"/>
        <w:spacing w:before="30" w:after="40"/>
        <w:ind w:left="964" w:hanging="964"/>
      </w:pPr>
      <w:r w:rsidRPr="0028033B">
        <w:tab/>
        <w:t>EF</w:t>
      </w:r>
      <w:r w:rsidRPr="0028033B">
        <w:rPr>
          <w:vertAlign w:val="subscript"/>
        </w:rPr>
        <w:t>3(PRP-STEEP)</w:t>
      </w:r>
      <w:r w:rsidRPr="0028033B">
        <w:t xml:space="preserve"> is the emission factor for urinary nitrogen deposited on medium and steep slopes, for sheep, deer and cattle (note emission factors vary by animal category, see table 5.5.2)</w:t>
      </w:r>
    </w:p>
    <w:p w14:paraId="0F6B1BD4" w14:textId="77777777" w:rsidR="00E46639" w:rsidRPr="0028033B" w:rsidRDefault="00E46639" w:rsidP="00E46639">
      <w:pPr>
        <w:pStyle w:val="BodyText"/>
        <w:spacing w:before="30" w:after="40"/>
        <w:ind w:left="964" w:hanging="964"/>
      </w:pPr>
      <w:r w:rsidRPr="0028033B">
        <w:tab/>
        <w:t>EF</w:t>
      </w:r>
      <w:r w:rsidRPr="0028033B">
        <w:rPr>
          <w:vertAlign w:val="subscript"/>
        </w:rPr>
        <w:t>3(PRP-DUNG)</w:t>
      </w:r>
      <w:r w:rsidRPr="0028033B">
        <w:t xml:space="preserve"> is the emission factor for dung nitrogen excreta deposited by sheep, deer and cattle on pasture, range and paddock (0.0012, see table 5.5.2), and</w:t>
      </w:r>
    </w:p>
    <w:p w14:paraId="1B175E32" w14:textId="77777777" w:rsidR="00E46639" w:rsidRPr="0028033B" w:rsidRDefault="00E46639" w:rsidP="00E46639">
      <w:pPr>
        <w:pStyle w:val="BodyText"/>
        <w:spacing w:before="30"/>
        <w:ind w:left="964" w:hanging="964"/>
      </w:pPr>
      <w:r w:rsidRPr="0028033B">
        <w:tab/>
        <w:t>EF</w:t>
      </w:r>
      <w:r w:rsidRPr="0028033B">
        <w:rPr>
          <w:vertAlign w:val="subscript"/>
        </w:rPr>
        <w:t>3(PRP-MINOR)</w:t>
      </w:r>
      <w:r w:rsidRPr="0028033B">
        <w:t xml:space="preserve"> is the emission factor for dung from minor animal categories deposited on pasture, range and paddock (see table 5.5.2).</w:t>
      </w:r>
    </w:p>
    <w:p w14:paraId="6A857742" w14:textId="77777777" w:rsidR="00E46639" w:rsidRPr="0028033B" w:rsidRDefault="00E46639" w:rsidP="00E46639">
      <w:pPr>
        <w:pStyle w:val="BodyText"/>
      </w:pPr>
      <w:r w:rsidRPr="0028033B">
        <w:t>For cattle, sheep and deer, the estimated N</w:t>
      </w:r>
      <w:r w:rsidRPr="0028033B">
        <w:rPr>
          <w:vertAlign w:val="subscript"/>
        </w:rPr>
        <w:t>ex</w:t>
      </w:r>
      <w:r w:rsidRPr="0028033B">
        <w:t xml:space="preserve"> values are separated into urine and dung components using the methodology outlined by Pacheco et al. (2018). </w:t>
      </w:r>
    </w:p>
    <w:p w14:paraId="1D3D09AD" w14:textId="77777777" w:rsidR="00E46639" w:rsidRPr="0028033B" w:rsidRDefault="00E46639" w:rsidP="00E46639">
      <w:pPr>
        <w:pStyle w:val="BodyText"/>
      </w:pPr>
      <w:r w:rsidRPr="0028033B">
        <w:t xml:space="preserve">The Agriculture inventory model assumes that all dairy cattle graze on flatland, due to </w:t>
      </w:r>
      <w:r w:rsidRPr="0028033B" w:rsidDel="001543F3">
        <w:t xml:space="preserve">New </w:t>
      </w:r>
      <w:r w:rsidRPr="0028033B">
        <w:t>Zealand farming practices, therefore,</w:t>
      </w:r>
      <w:r w:rsidRPr="0028033B" w:rsidDel="00FF398C">
        <w:t xml:space="preserve"> </w:t>
      </w:r>
      <w:r w:rsidRPr="0028033B">
        <w:t>all dairy urinary nitrogen is allocated to Nex</w:t>
      </w:r>
      <w:r w:rsidRPr="0028033B">
        <w:rPr>
          <w:vertAlign w:val="subscript"/>
        </w:rPr>
        <w:t>URINE,FLAT</w:t>
      </w:r>
      <w:r w:rsidRPr="0028033B">
        <w:t xml:space="preserve">. </w:t>
      </w:r>
    </w:p>
    <w:p w14:paraId="49A8FE80" w14:textId="77777777" w:rsidR="00E46639" w:rsidRPr="0028033B" w:rsidRDefault="00E46639" w:rsidP="00E46639">
      <w:pPr>
        <w:pStyle w:val="BodyText"/>
      </w:pPr>
      <w:r w:rsidRPr="0028033B">
        <w:t>Urinary nitrogen from non-dairy cattle, sheep and deer is allocated to the different slope types: Nex</w:t>
      </w:r>
      <w:r w:rsidRPr="0028033B">
        <w:rPr>
          <w:vertAlign w:val="subscript"/>
        </w:rPr>
        <w:t>URINE,LOW</w:t>
      </w:r>
      <w:r w:rsidRPr="0028033B">
        <w:t>, Nex</w:t>
      </w:r>
      <w:r w:rsidRPr="0028033B">
        <w:rPr>
          <w:vertAlign w:val="subscript"/>
        </w:rPr>
        <w:t>URINE,MED</w:t>
      </w:r>
      <w:r w:rsidRPr="0028033B">
        <w:t xml:space="preserve"> and Nex</w:t>
      </w:r>
      <w:r w:rsidRPr="0028033B">
        <w:rPr>
          <w:vertAlign w:val="subscript"/>
        </w:rPr>
        <w:t>URINE,STEEP</w:t>
      </w:r>
      <w:r w:rsidRPr="0028033B">
        <w:t>. However, there is zero land allocated to flatland (Nex</w:t>
      </w:r>
      <w:r w:rsidRPr="0028033B">
        <w:rPr>
          <w:vertAlign w:val="subscript"/>
        </w:rPr>
        <w:t>URINE,FLAT</w:t>
      </w:r>
      <w:r w:rsidRPr="0028033B">
        <w:t>), which is generally used for grazing dairy cattle.</w:t>
      </w:r>
    </w:p>
    <w:p w14:paraId="7338475E" w14:textId="77777777" w:rsidR="00E46639" w:rsidRPr="0028033B" w:rsidRDefault="00E46639" w:rsidP="00E46639">
      <w:pPr>
        <w:pStyle w:val="Heading5"/>
      </w:pPr>
      <w:r w:rsidRPr="0028033B">
        <w:t>EF</w:t>
      </w:r>
      <w:r w:rsidRPr="0028033B">
        <w:rPr>
          <w:vertAlign w:val="subscript"/>
        </w:rPr>
        <w:t>3</w:t>
      </w:r>
      <w:r w:rsidRPr="0028033B">
        <w:t xml:space="preserve"> emission factors for excreta deposited by cattle, sheep and deer on sloped land</w:t>
      </w:r>
    </w:p>
    <w:p w14:paraId="5116DD4E" w14:textId="77777777" w:rsidR="00E46639" w:rsidRPr="0028033B" w:rsidRDefault="00E46639" w:rsidP="00E46639">
      <w:pPr>
        <w:pStyle w:val="BodyText"/>
        <w:keepLines/>
      </w:pPr>
      <w:r w:rsidRPr="0028033B">
        <w:t>New EF</w:t>
      </w:r>
      <w:r w:rsidRPr="0028033B">
        <w:rPr>
          <w:vertAlign w:val="subscript"/>
        </w:rPr>
        <w:t xml:space="preserve">3 </w:t>
      </w:r>
      <w:r w:rsidRPr="0028033B">
        <w:t>emission factors were incorporated in the 2020 Inventory and are detailed in table 5.5.2 (EF</w:t>
      </w:r>
      <w:r w:rsidRPr="0028033B">
        <w:rPr>
          <w:vertAlign w:val="subscript"/>
        </w:rPr>
        <w:t>3(PRP-DUNG)</w:t>
      </w:r>
      <w:r w:rsidRPr="0028033B">
        <w:t>) and table 5.5.3. These EF</w:t>
      </w:r>
      <w:r w:rsidRPr="0028033B">
        <w:rPr>
          <w:vertAlign w:val="subscript"/>
        </w:rPr>
        <w:t>3</w:t>
      </w:r>
      <w:r w:rsidRPr="0028033B">
        <w:t xml:space="preserve"> emission factors used to calculate N</w:t>
      </w:r>
      <w:r w:rsidRPr="0028033B">
        <w:rPr>
          <w:vertAlign w:val="subscript"/>
        </w:rPr>
        <w:t>2</w:t>
      </w:r>
      <w:r w:rsidRPr="0028033B">
        <w:t xml:space="preserve">O emissions </w:t>
      </w:r>
      <w:r w:rsidRPr="0028033B">
        <w:rPr>
          <w:spacing w:val="-2"/>
        </w:rPr>
        <w:t>from cattle (dairy and non-dairy cattle), sheep and deer are based on a meta-analysis undertaken</w:t>
      </w:r>
      <w:r w:rsidRPr="0028033B">
        <w:t xml:space="preserve"> by van der Weerden et al. (2019, 2020) based on field studies carried out in the past decade (de Klein et al., 2014; Hoogendoorn et al., 2013; Luo et al., 2013, 2016, 2019; Saggar et al., 2015). The research collectively shows (see table 5.5.6):</w:t>
      </w:r>
    </w:p>
    <w:p w14:paraId="7534D26C" w14:textId="77777777" w:rsidR="00E46639" w:rsidRPr="0028033B" w:rsidRDefault="00E46639" w:rsidP="00E46639">
      <w:pPr>
        <w:pStyle w:val="Bullet"/>
      </w:pPr>
      <w:r w:rsidRPr="0028033B">
        <w:t>a statistically significant difference in urine emission factors between cattle and sheep</w:t>
      </w:r>
    </w:p>
    <w:p w14:paraId="06797851" w14:textId="77777777" w:rsidR="00E46639" w:rsidRPr="0028033B" w:rsidRDefault="00E46639" w:rsidP="00E46639">
      <w:pPr>
        <w:pStyle w:val="Bullet"/>
      </w:pPr>
      <w:r w:rsidRPr="0028033B">
        <w:t>that emissions from sheep, non-dairy cattle and dairy cattle excreta deposited on medium (between 12 degrees and 24 degrees) and steep (greater than 24 degrees) sloped land are significantly lower than corresponding emissions on land that is flat or of a low gradient (between 0 degrees and 12 degrees).</w:t>
      </w:r>
    </w:p>
    <w:p w14:paraId="7D09714C" w14:textId="77777777" w:rsidR="00E46639" w:rsidRPr="0028033B" w:rsidRDefault="00E46639" w:rsidP="00E46639">
      <w:pPr>
        <w:pStyle w:val="Heading5"/>
      </w:pPr>
      <w:r w:rsidRPr="0028033B">
        <w:t>Evidence and meta-analysis for EF</w:t>
      </w:r>
      <w:r w:rsidRPr="0028033B">
        <w:rPr>
          <w:vertAlign w:val="subscript"/>
        </w:rPr>
        <w:t>3</w:t>
      </w:r>
      <w:r w:rsidRPr="0028033B">
        <w:t xml:space="preserve"> emission factors for excreta deposited on sloped land</w:t>
      </w:r>
    </w:p>
    <w:p w14:paraId="6E4C6173" w14:textId="77777777" w:rsidR="00E46639" w:rsidRPr="0028033B" w:rsidRDefault="00E46639" w:rsidP="00E46639">
      <w:pPr>
        <w:pStyle w:val="BodyText"/>
        <w:rPr>
          <w:rFonts w:cs="Calibri"/>
        </w:rPr>
      </w:pPr>
      <w:r w:rsidRPr="0028033B">
        <w:rPr>
          <w:rFonts w:cs="Calibri"/>
        </w:rPr>
        <w:t>The meta-analysis (van der Weerden et al., 2020), built on a previous study by Kelliher et al. (2014), calculated new emission factors based on animal type, season and slope. This was based on an expanded data set of 1,217 replicate-level emission factors from 236 field experiments conducted over the past decade, largely measured using the same standardised experimental methods for N</w:t>
      </w:r>
      <w:r w:rsidRPr="0028033B">
        <w:rPr>
          <w:rFonts w:cs="Calibri"/>
          <w:vertAlign w:val="subscript"/>
        </w:rPr>
        <w:t>2</w:t>
      </w:r>
      <w:r w:rsidRPr="0028033B">
        <w:rPr>
          <w:rFonts w:cs="Calibri"/>
        </w:rPr>
        <w:t>O (see table 5.5.7).</w:t>
      </w:r>
    </w:p>
    <w:p w14:paraId="034367E6" w14:textId="77777777" w:rsidR="00E46639" w:rsidRPr="0028033B" w:rsidRDefault="00E46639" w:rsidP="00E46639">
      <w:pPr>
        <w:pStyle w:val="BodyText"/>
        <w:rPr>
          <w:rFonts w:cs="Calibri"/>
        </w:rPr>
      </w:pPr>
      <w:r w:rsidRPr="0028033B">
        <w:rPr>
          <w:rFonts w:cs="Calibri"/>
        </w:rPr>
        <w:t xml:space="preserve">The meta-analysis included results of studies from dung and urine deposited onto flatland and </w:t>
      </w:r>
      <w:r w:rsidRPr="0028033B">
        <w:rPr>
          <w:rFonts w:cs="Calibri"/>
          <w:spacing w:val="-2"/>
        </w:rPr>
        <w:t>steep sloped land both published in scientific journals (Hoogendoorn et al., 2008; Ledgard et al.,</w:t>
      </w:r>
      <w:r w:rsidRPr="0028033B">
        <w:rPr>
          <w:rFonts w:cs="Calibri"/>
        </w:rPr>
        <w:t xml:space="preserve"> 2014; Luo et al., 2013; van der Weerden et al., 2011) and reported to the MPI Agriculture inventory team (Hoogendoorn et al., 2013; Luo et al., 2016, 2019). These data were compiled to contribute to existing data on emissions from dung and urine deposited on low and medium sloped land from the Kelliher et al. (2014) study.</w:t>
      </w:r>
      <w:r w:rsidRPr="0028033B" w:rsidDel="00866057">
        <w:rPr>
          <w:rFonts w:cs="Calibri"/>
        </w:rPr>
        <w:t xml:space="preserve"> </w:t>
      </w:r>
    </w:p>
    <w:p w14:paraId="4BF5A46B" w14:textId="77777777" w:rsidR="00E46639" w:rsidRPr="0028033B" w:rsidRDefault="00E46639" w:rsidP="00E46639">
      <w:pPr>
        <w:pStyle w:val="BodyText"/>
        <w:rPr>
          <w:rFonts w:cs="Calibri"/>
        </w:rPr>
      </w:pPr>
      <w:r w:rsidRPr="0028033B">
        <w:rPr>
          <w:rFonts w:cs="Calibri"/>
        </w:rPr>
        <w:t>Additional evidence conducted overseas supporting the use of emission factors that vary by land slope has been provided in a study in the United Kingdom by Marsden et al. (2018), who found that sheep EF</w:t>
      </w:r>
      <w:r w:rsidRPr="0028033B">
        <w:rPr>
          <w:rFonts w:cs="Calibri"/>
          <w:vertAlign w:val="subscript"/>
        </w:rPr>
        <w:t>3</w:t>
      </w:r>
      <w:r w:rsidRPr="0028033B">
        <w:rPr>
          <w:rFonts w:cs="Calibri"/>
        </w:rPr>
        <w:t xml:space="preserve"> values are lower on upland and hill areas compared with intensively managed lowlands.</w:t>
      </w:r>
    </w:p>
    <w:p w14:paraId="29B169C0" w14:textId="77777777" w:rsidR="00E46639" w:rsidRPr="0028033B" w:rsidRDefault="00E46639" w:rsidP="00E46639">
      <w:pPr>
        <w:pStyle w:val="Table"/>
        <w:rPr>
          <w:rFonts w:cs="Calibri"/>
        </w:rPr>
      </w:pPr>
      <w:bookmarkStart w:id="1236" w:name="_Toc32570932"/>
      <w:bookmarkStart w:id="1237" w:name="_Toc36224567"/>
      <w:bookmarkStart w:id="1238" w:name="_Toc68786452"/>
      <w:bookmarkStart w:id="1239" w:name="_Toc95574085"/>
      <w:bookmarkStart w:id="1240" w:name="_Toc127458272"/>
      <w:bookmarkStart w:id="1241" w:name="_Toc131591368"/>
      <w:bookmarkStart w:id="1242" w:name="_Toc160114462"/>
      <w:bookmarkStart w:id="1243" w:name="_Toc164153858"/>
      <w:bookmarkStart w:id="1244" w:name="_Toc222407651"/>
      <w:bookmarkStart w:id="1245" w:name="_Toc226669026"/>
      <w:r w:rsidRPr="0028033B">
        <w:rPr>
          <w:rFonts w:cs="Calibri"/>
        </w:rPr>
        <w:t>Table 5.5.6</w:t>
      </w:r>
      <w:r w:rsidRPr="0028033B">
        <w:rPr>
          <w:rFonts w:cs="Calibri"/>
        </w:rPr>
        <w:tab/>
        <w:t>Number of replicate-level EF</w:t>
      </w:r>
      <w:r w:rsidRPr="0028033B">
        <w:rPr>
          <w:rFonts w:cs="Calibri"/>
          <w:vertAlign w:val="subscript"/>
        </w:rPr>
        <w:t>3</w:t>
      </w:r>
      <w:r w:rsidRPr="0028033B">
        <w:rPr>
          <w:rFonts w:cs="Calibri"/>
        </w:rPr>
        <w:t xml:space="preserve"> values collated by the van der Weerden et al. (2019, 2020) analysis, for each nitrogen source and topography (number of individual trials shown in brackets)</w:t>
      </w:r>
      <w:bookmarkEnd w:id="1236"/>
      <w:bookmarkEnd w:id="1237"/>
      <w:bookmarkEnd w:id="1238"/>
      <w:bookmarkEnd w:id="1239"/>
      <w:bookmarkEnd w:id="1240"/>
      <w:bookmarkEnd w:id="1241"/>
      <w:bookmarkEnd w:id="1242"/>
      <w:bookmarkEnd w:id="1243"/>
      <w:bookmarkEnd w:id="1244"/>
      <w:bookmarkEnd w:id="1245"/>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6"/>
        <w:gridCol w:w="1249"/>
        <w:gridCol w:w="1249"/>
        <w:gridCol w:w="1303"/>
        <w:gridCol w:w="1249"/>
        <w:gridCol w:w="1249"/>
      </w:tblGrid>
      <w:tr w:rsidR="00E46639" w:rsidRPr="0028033B" w14:paraId="6A6BA80E" w14:textId="77777777" w:rsidTr="00F16E23">
        <w:trPr>
          <w:tblHeader/>
        </w:trPr>
        <w:tc>
          <w:tcPr>
            <w:tcW w:w="2206" w:type="dxa"/>
            <w:tcBorders>
              <w:top w:val="single" w:sz="4" w:space="0" w:color="1B556B" w:themeColor="text2"/>
              <w:left w:val="nil"/>
              <w:bottom w:val="single" w:sz="4" w:space="0" w:color="1B556B" w:themeColor="text2"/>
              <w:right w:val="nil"/>
            </w:tcBorders>
            <w:shd w:val="clear" w:color="auto" w:fill="1B556B"/>
            <w:vAlign w:val="bottom"/>
          </w:tcPr>
          <w:p w14:paraId="1632C32B" w14:textId="77777777" w:rsidR="00E46639" w:rsidRPr="0028033B" w:rsidRDefault="00E46639" w:rsidP="00F16E23">
            <w:pPr>
              <w:pStyle w:val="TableTextBold"/>
              <w:keepNext/>
              <w:spacing w:before="40" w:after="40"/>
              <w:rPr>
                <w:noProof w:val="0"/>
                <w:color w:val="FFFFFF" w:themeColor="background1"/>
              </w:rPr>
            </w:pPr>
            <w:r w:rsidRPr="0028033B">
              <w:rPr>
                <w:noProof w:val="0"/>
                <w:color w:val="FFFFFF" w:themeColor="background1"/>
              </w:rPr>
              <w:t>Nitrogen source</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347608FC"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 xml:space="preserve">Flatland </w:t>
            </w:r>
            <w:r w:rsidRPr="0028033B">
              <w:rPr>
                <w:noProof w:val="0"/>
                <w:color w:val="FFFFFF" w:themeColor="background1"/>
              </w:rPr>
              <w:br/>
              <w:t>(0–12</w:t>
            </w:r>
            <w:r w:rsidRPr="0028033B">
              <w:rPr>
                <w:noProof w:val="0"/>
                <w:color w:val="FFFFFF" w:themeColor="background1"/>
                <w:vertAlign w:val="superscript"/>
              </w:rPr>
              <w:t>o</w:t>
            </w:r>
            <w:r w:rsidRPr="0028033B">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2F438683"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Low sloped land (0–12</w:t>
            </w:r>
            <w:r w:rsidRPr="0028033B">
              <w:rPr>
                <w:noProof w:val="0"/>
                <w:color w:val="FFFFFF" w:themeColor="background1"/>
                <w:vertAlign w:val="superscript"/>
              </w:rPr>
              <w:t>o</w:t>
            </w:r>
            <w:r w:rsidRPr="0028033B">
              <w:rPr>
                <w:noProof w:val="0"/>
                <w:color w:val="FFFFFF" w:themeColor="background1"/>
              </w:rPr>
              <w:t>)</w:t>
            </w:r>
          </w:p>
        </w:tc>
        <w:tc>
          <w:tcPr>
            <w:tcW w:w="1303" w:type="dxa"/>
            <w:tcBorders>
              <w:top w:val="single" w:sz="4" w:space="0" w:color="1B556B" w:themeColor="text2"/>
              <w:left w:val="nil"/>
              <w:bottom w:val="single" w:sz="4" w:space="0" w:color="1B556B" w:themeColor="text2"/>
              <w:right w:val="nil"/>
            </w:tcBorders>
            <w:shd w:val="clear" w:color="auto" w:fill="1B556B"/>
            <w:vAlign w:val="bottom"/>
          </w:tcPr>
          <w:p w14:paraId="4C8C16B2"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Medium sloped land (12–24</w:t>
            </w:r>
            <w:r w:rsidRPr="0028033B">
              <w:rPr>
                <w:noProof w:val="0"/>
                <w:color w:val="FFFFFF" w:themeColor="background1"/>
                <w:vertAlign w:val="superscript"/>
              </w:rPr>
              <w:t>o</w:t>
            </w:r>
            <w:r w:rsidRPr="0028033B">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354F92F7"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Steep sloped land (&gt;24</w:t>
            </w:r>
            <w:r w:rsidRPr="0028033B">
              <w:rPr>
                <w:noProof w:val="0"/>
                <w:color w:val="FFFFFF" w:themeColor="background1"/>
                <w:vertAlign w:val="superscript"/>
              </w:rPr>
              <w:t>o</w:t>
            </w:r>
            <w:r w:rsidRPr="0028033B">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48C5E193"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Total</w:t>
            </w:r>
          </w:p>
        </w:tc>
      </w:tr>
      <w:tr w:rsidR="00E46639" w:rsidRPr="0028033B" w14:paraId="44113FB7" w14:textId="77777777" w:rsidTr="00F16E23">
        <w:tc>
          <w:tcPr>
            <w:tcW w:w="2206" w:type="dxa"/>
            <w:tcBorders>
              <w:top w:val="single" w:sz="4" w:space="0" w:color="1B556B" w:themeColor="text2"/>
              <w:left w:val="nil"/>
              <w:bottom w:val="single" w:sz="4" w:space="0" w:color="1B556B" w:themeColor="text2"/>
              <w:right w:val="nil"/>
            </w:tcBorders>
          </w:tcPr>
          <w:p w14:paraId="3F1B1141" w14:textId="77777777" w:rsidR="00E46639" w:rsidRPr="0028033B" w:rsidRDefault="00E46639" w:rsidP="00F16E23">
            <w:pPr>
              <w:pStyle w:val="TableText"/>
              <w:spacing w:before="40" w:after="40"/>
              <w:rPr>
                <w:rFonts w:cs="Calibri"/>
              </w:rPr>
            </w:pPr>
            <w:r w:rsidRPr="0028033B">
              <w:rPr>
                <w:rFonts w:cs="Calibri"/>
              </w:rPr>
              <w:t>Dairy cattle urine</w:t>
            </w:r>
          </w:p>
        </w:tc>
        <w:tc>
          <w:tcPr>
            <w:tcW w:w="1249" w:type="dxa"/>
            <w:tcBorders>
              <w:top w:val="single" w:sz="4" w:space="0" w:color="1B556B" w:themeColor="text2"/>
              <w:left w:val="nil"/>
              <w:bottom w:val="single" w:sz="4" w:space="0" w:color="1B556B" w:themeColor="text2"/>
              <w:right w:val="nil"/>
            </w:tcBorders>
            <w:vAlign w:val="center"/>
          </w:tcPr>
          <w:p w14:paraId="0C71C13C"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341 (57)</w:t>
            </w:r>
          </w:p>
        </w:tc>
        <w:tc>
          <w:tcPr>
            <w:tcW w:w="1249" w:type="dxa"/>
            <w:tcBorders>
              <w:top w:val="single" w:sz="4" w:space="0" w:color="1B556B" w:themeColor="text2"/>
              <w:left w:val="nil"/>
              <w:bottom w:val="single" w:sz="4" w:space="0" w:color="1B556B" w:themeColor="text2"/>
              <w:right w:val="nil"/>
            </w:tcBorders>
            <w:vAlign w:val="center"/>
          </w:tcPr>
          <w:p w14:paraId="030ECD61"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108 (22)</w:t>
            </w:r>
          </w:p>
        </w:tc>
        <w:tc>
          <w:tcPr>
            <w:tcW w:w="1303" w:type="dxa"/>
            <w:tcBorders>
              <w:top w:val="single" w:sz="4" w:space="0" w:color="1B556B" w:themeColor="text2"/>
              <w:left w:val="nil"/>
              <w:bottom w:val="single" w:sz="4" w:space="0" w:color="1B556B" w:themeColor="text2"/>
              <w:right w:val="nil"/>
            </w:tcBorders>
            <w:vAlign w:val="center"/>
          </w:tcPr>
          <w:p w14:paraId="69E9A6A7"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vAlign w:val="center"/>
          </w:tcPr>
          <w:p w14:paraId="43AB3926" w14:textId="77777777" w:rsidR="00E46639" w:rsidRPr="0028033B" w:rsidRDefault="00E46639" w:rsidP="00F16E23">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vAlign w:val="center"/>
          </w:tcPr>
          <w:p w14:paraId="1ABC478A"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469 (83)</w:t>
            </w:r>
          </w:p>
        </w:tc>
      </w:tr>
      <w:tr w:rsidR="00E46639" w:rsidRPr="0028033B" w14:paraId="27470D61" w14:textId="77777777" w:rsidTr="00F16E23">
        <w:tc>
          <w:tcPr>
            <w:tcW w:w="2206" w:type="dxa"/>
            <w:tcBorders>
              <w:top w:val="single" w:sz="4" w:space="0" w:color="1B556B" w:themeColor="text2"/>
              <w:left w:val="nil"/>
              <w:bottom w:val="single" w:sz="4" w:space="0" w:color="1B556B" w:themeColor="text2"/>
              <w:right w:val="nil"/>
            </w:tcBorders>
          </w:tcPr>
          <w:p w14:paraId="64C62D5D" w14:textId="77777777" w:rsidR="00E46639" w:rsidRPr="0028033B" w:rsidRDefault="00E46639" w:rsidP="00F16E23">
            <w:pPr>
              <w:pStyle w:val="TableText"/>
              <w:spacing w:before="40" w:after="40"/>
              <w:rPr>
                <w:rFonts w:cs="Calibri"/>
              </w:rPr>
            </w:pPr>
            <w:r w:rsidRPr="0028033B">
              <w:rPr>
                <w:rFonts w:cs="Calibri"/>
              </w:rPr>
              <w:t>Dairy cattle dung</w:t>
            </w:r>
          </w:p>
        </w:tc>
        <w:tc>
          <w:tcPr>
            <w:tcW w:w="1249" w:type="dxa"/>
            <w:tcBorders>
              <w:top w:val="single" w:sz="4" w:space="0" w:color="1B556B" w:themeColor="text2"/>
              <w:left w:val="nil"/>
              <w:bottom w:val="single" w:sz="4" w:space="0" w:color="1B556B" w:themeColor="text2"/>
              <w:right w:val="nil"/>
            </w:tcBorders>
            <w:vAlign w:val="center"/>
          </w:tcPr>
          <w:p w14:paraId="21C7397B"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84 (19)</w:t>
            </w:r>
          </w:p>
        </w:tc>
        <w:tc>
          <w:tcPr>
            <w:tcW w:w="1249" w:type="dxa"/>
            <w:tcBorders>
              <w:top w:val="single" w:sz="4" w:space="0" w:color="1B556B" w:themeColor="text2"/>
              <w:left w:val="nil"/>
              <w:bottom w:val="single" w:sz="4" w:space="0" w:color="1B556B" w:themeColor="text2"/>
              <w:right w:val="nil"/>
            </w:tcBorders>
            <w:vAlign w:val="center"/>
          </w:tcPr>
          <w:p w14:paraId="72F4DE5A"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46 (9)</w:t>
            </w:r>
          </w:p>
        </w:tc>
        <w:tc>
          <w:tcPr>
            <w:tcW w:w="1303" w:type="dxa"/>
            <w:tcBorders>
              <w:top w:val="single" w:sz="4" w:space="0" w:color="1B556B" w:themeColor="text2"/>
              <w:left w:val="nil"/>
              <w:bottom w:val="single" w:sz="4" w:space="0" w:color="1B556B" w:themeColor="text2"/>
              <w:right w:val="nil"/>
            </w:tcBorders>
            <w:vAlign w:val="center"/>
          </w:tcPr>
          <w:p w14:paraId="37030527"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vAlign w:val="center"/>
          </w:tcPr>
          <w:p w14:paraId="09E976B9" w14:textId="77777777" w:rsidR="00E46639" w:rsidRPr="0028033B" w:rsidRDefault="00E46639" w:rsidP="00F16E23">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vAlign w:val="center"/>
          </w:tcPr>
          <w:p w14:paraId="5C7C4A9B"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150 (32)</w:t>
            </w:r>
          </w:p>
        </w:tc>
      </w:tr>
      <w:tr w:rsidR="00E46639" w:rsidRPr="0028033B" w14:paraId="10A0A643" w14:textId="77777777" w:rsidTr="00F16E23">
        <w:tc>
          <w:tcPr>
            <w:tcW w:w="2206" w:type="dxa"/>
            <w:tcBorders>
              <w:top w:val="single" w:sz="4" w:space="0" w:color="1B556B" w:themeColor="text2"/>
              <w:left w:val="nil"/>
              <w:bottom w:val="single" w:sz="4" w:space="0" w:color="1B556B" w:themeColor="text2"/>
              <w:right w:val="nil"/>
            </w:tcBorders>
          </w:tcPr>
          <w:p w14:paraId="6BD8F962" w14:textId="77777777" w:rsidR="00E46639" w:rsidRPr="0028033B" w:rsidRDefault="00E46639" w:rsidP="00F16E23">
            <w:pPr>
              <w:pStyle w:val="TableText"/>
              <w:spacing w:before="40" w:after="40"/>
              <w:rPr>
                <w:rFonts w:cs="Calibri"/>
              </w:rPr>
            </w:pPr>
            <w:r w:rsidRPr="0028033B">
              <w:rPr>
                <w:rFonts w:cs="Calibri"/>
              </w:rPr>
              <w:t>Non-dairy cattle urine</w:t>
            </w:r>
          </w:p>
        </w:tc>
        <w:tc>
          <w:tcPr>
            <w:tcW w:w="1249" w:type="dxa"/>
            <w:tcBorders>
              <w:top w:val="single" w:sz="4" w:space="0" w:color="1B556B" w:themeColor="text2"/>
              <w:left w:val="nil"/>
              <w:bottom w:val="single" w:sz="4" w:space="0" w:color="1B556B" w:themeColor="text2"/>
              <w:right w:val="nil"/>
            </w:tcBorders>
            <w:vAlign w:val="center"/>
          </w:tcPr>
          <w:p w14:paraId="7DE418D0"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8 (1)</w:t>
            </w:r>
          </w:p>
        </w:tc>
        <w:tc>
          <w:tcPr>
            <w:tcW w:w="1249" w:type="dxa"/>
            <w:tcBorders>
              <w:top w:val="single" w:sz="4" w:space="0" w:color="1B556B" w:themeColor="text2"/>
              <w:left w:val="nil"/>
              <w:bottom w:val="single" w:sz="4" w:space="0" w:color="1B556B" w:themeColor="text2"/>
              <w:right w:val="nil"/>
            </w:tcBorders>
            <w:vAlign w:val="center"/>
          </w:tcPr>
          <w:p w14:paraId="3298D947"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40 (8)</w:t>
            </w:r>
          </w:p>
        </w:tc>
        <w:tc>
          <w:tcPr>
            <w:tcW w:w="1303" w:type="dxa"/>
            <w:tcBorders>
              <w:top w:val="single" w:sz="4" w:space="0" w:color="1B556B" w:themeColor="text2"/>
              <w:left w:val="nil"/>
              <w:bottom w:val="single" w:sz="4" w:space="0" w:color="1B556B" w:themeColor="text2"/>
              <w:right w:val="nil"/>
            </w:tcBorders>
            <w:vAlign w:val="center"/>
          </w:tcPr>
          <w:p w14:paraId="2CD43A0F"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vAlign w:val="center"/>
          </w:tcPr>
          <w:p w14:paraId="64C40CF1"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vAlign w:val="center"/>
          </w:tcPr>
          <w:p w14:paraId="50315BEE"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128 (25)</w:t>
            </w:r>
          </w:p>
        </w:tc>
      </w:tr>
      <w:tr w:rsidR="00E46639" w:rsidRPr="0028033B" w14:paraId="7BD09A01" w14:textId="77777777" w:rsidTr="00F16E23">
        <w:tc>
          <w:tcPr>
            <w:tcW w:w="2206" w:type="dxa"/>
            <w:tcBorders>
              <w:top w:val="single" w:sz="4" w:space="0" w:color="1B556B" w:themeColor="text2"/>
              <w:left w:val="nil"/>
              <w:bottom w:val="single" w:sz="4" w:space="0" w:color="1B556B" w:themeColor="text2"/>
              <w:right w:val="nil"/>
            </w:tcBorders>
          </w:tcPr>
          <w:p w14:paraId="7E1701EC" w14:textId="77777777" w:rsidR="00E46639" w:rsidRPr="0028033B" w:rsidRDefault="00E46639" w:rsidP="00F16E23">
            <w:pPr>
              <w:pStyle w:val="TableText"/>
              <w:spacing w:before="40" w:after="40"/>
              <w:rPr>
                <w:rFonts w:cs="Calibri"/>
              </w:rPr>
            </w:pPr>
            <w:r w:rsidRPr="0028033B">
              <w:rPr>
                <w:rFonts w:cs="Calibri"/>
              </w:rPr>
              <w:t>Non-dairy cattle dung</w:t>
            </w:r>
          </w:p>
        </w:tc>
        <w:tc>
          <w:tcPr>
            <w:tcW w:w="1249" w:type="dxa"/>
            <w:tcBorders>
              <w:top w:val="single" w:sz="4" w:space="0" w:color="1B556B" w:themeColor="text2"/>
              <w:left w:val="nil"/>
              <w:bottom w:val="single" w:sz="4" w:space="0" w:color="1B556B" w:themeColor="text2"/>
              <w:right w:val="nil"/>
            </w:tcBorders>
            <w:vAlign w:val="center"/>
          </w:tcPr>
          <w:p w14:paraId="53B1B3AB" w14:textId="77777777" w:rsidR="00E46639" w:rsidRPr="0028033B" w:rsidRDefault="00E46639" w:rsidP="00F16E23">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vAlign w:val="center"/>
          </w:tcPr>
          <w:p w14:paraId="6346878D"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76 (16)</w:t>
            </w:r>
          </w:p>
        </w:tc>
        <w:tc>
          <w:tcPr>
            <w:tcW w:w="1303" w:type="dxa"/>
            <w:tcBorders>
              <w:top w:val="single" w:sz="4" w:space="0" w:color="1B556B" w:themeColor="text2"/>
              <w:left w:val="nil"/>
              <w:bottom w:val="single" w:sz="4" w:space="0" w:color="1B556B" w:themeColor="text2"/>
              <w:right w:val="nil"/>
            </w:tcBorders>
            <w:vAlign w:val="center"/>
          </w:tcPr>
          <w:p w14:paraId="23CB23A9"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vAlign w:val="center"/>
          </w:tcPr>
          <w:p w14:paraId="4323D267"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vAlign w:val="center"/>
          </w:tcPr>
          <w:p w14:paraId="504B823F"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156 (32)</w:t>
            </w:r>
          </w:p>
        </w:tc>
      </w:tr>
      <w:tr w:rsidR="00E46639" w:rsidRPr="0028033B" w14:paraId="4D0FDCEF" w14:textId="77777777" w:rsidTr="00F16E23">
        <w:tc>
          <w:tcPr>
            <w:tcW w:w="2206" w:type="dxa"/>
            <w:tcBorders>
              <w:top w:val="single" w:sz="4" w:space="0" w:color="1B556B" w:themeColor="text2"/>
              <w:left w:val="nil"/>
              <w:bottom w:val="single" w:sz="4" w:space="0" w:color="1B556B" w:themeColor="text2"/>
              <w:right w:val="nil"/>
            </w:tcBorders>
          </w:tcPr>
          <w:p w14:paraId="0CB10084" w14:textId="77777777" w:rsidR="00E46639" w:rsidRPr="0028033B" w:rsidRDefault="00E46639" w:rsidP="00F16E23">
            <w:pPr>
              <w:pStyle w:val="TableText"/>
              <w:spacing w:before="40" w:after="40"/>
              <w:rPr>
                <w:rFonts w:cs="Calibri"/>
              </w:rPr>
            </w:pPr>
            <w:r w:rsidRPr="0028033B">
              <w:rPr>
                <w:rFonts w:cs="Calibri"/>
              </w:rPr>
              <w:t>Sheep urine</w:t>
            </w:r>
          </w:p>
        </w:tc>
        <w:tc>
          <w:tcPr>
            <w:tcW w:w="1249" w:type="dxa"/>
            <w:tcBorders>
              <w:top w:val="single" w:sz="4" w:space="0" w:color="1B556B" w:themeColor="text2"/>
              <w:left w:val="nil"/>
              <w:bottom w:val="single" w:sz="4" w:space="0" w:color="1B556B" w:themeColor="text2"/>
              <w:right w:val="nil"/>
            </w:tcBorders>
            <w:vAlign w:val="center"/>
          </w:tcPr>
          <w:p w14:paraId="7D6D8E02"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40 (7)</w:t>
            </w:r>
          </w:p>
        </w:tc>
        <w:tc>
          <w:tcPr>
            <w:tcW w:w="1249" w:type="dxa"/>
            <w:tcBorders>
              <w:top w:val="single" w:sz="4" w:space="0" w:color="1B556B" w:themeColor="text2"/>
              <w:left w:val="nil"/>
              <w:bottom w:val="single" w:sz="4" w:space="0" w:color="1B556B" w:themeColor="text2"/>
              <w:right w:val="nil"/>
            </w:tcBorders>
            <w:vAlign w:val="center"/>
          </w:tcPr>
          <w:p w14:paraId="6EEDDC8F"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64 (12)</w:t>
            </w:r>
          </w:p>
        </w:tc>
        <w:tc>
          <w:tcPr>
            <w:tcW w:w="1303" w:type="dxa"/>
            <w:tcBorders>
              <w:top w:val="single" w:sz="4" w:space="0" w:color="1B556B" w:themeColor="text2"/>
              <w:left w:val="nil"/>
              <w:bottom w:val="single" w:sz="4" w:space="0" w:color="1B556B" w:themeColor="text2"/>
              <w:right w:val="nil"/>
            </w:tcBorders>
            <w:vAlign w:val="center"/>
          </w:tcPr>
          <w:p w14:paraId="36334147"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vAlign w:val="center"/>
          </w:tcPr>
          <w:p w14:paraId="675C06D9"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vAlign w:val="center"/>
          </w:tcPr>
          <w:p w14:paraId="507FACAA"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184 (35)</w:t>
            </w:r>
          </w:p>
        </w:tc>
      </w:tr>
      <w:tr w:rsidR="00E46639" w:rsidRPr="0028033B" w14:paraId="12537FA4" w14:textId="77777777" w:rsidTr="00F16E23">
        <w:tc>
          <w:tcPr>
            <w:tcW w:w="2206" w:type="dxa"/>
            <w:tcBorders>
              <w:top w:val="single" w:sz="4" w:space="0" w:color="1B556B" w:themeColor="text2"/>
              <w:left w:val="nil"/>
              <w:bottom w:val="single" w:sz="4" w:space="0" w:color="1B556B" w:themeColor="text2"/>
              <w:right w:val="nil"/>
            </w:tcBorders>
          </w:tcPr>
          <w:p w14:paraId="749B9B3B" w14:textId="77777777" w:rsidR="00E46639" w:rsidRPr="0028033B" w:rsidRDefault="00E46639" w:rsidP="00F16E23">
            <w:pPr>
              <w:pStyle w:val="TableText"/>
              <w:spacing w:before="40" w:after="40"/>
              <w:rPr>
                <w:rFonts w:cs="Calibri"/>
              </w:rPr>
            </w:pPr>
            <w:r w:rsidRPr="0028033B">
              <w:rPr>
                <w:rFonts w:cs="Calibri"/>
              </w:rPr>
              <w:t>Sheep dung</w:t>
            </w:r>
          </w:p>
        </w:tc>
        <w:tc>
          <w:tcPr>
            <w:tcW w:w="1249" w:type="dxa"/>
            <w:tcBorders>
              <w:top w:val="single" w:sz="4" w:space="0" w:color="1B556B" w:themeColor="text2"/>
              <w:left w:val="nil"/>
              <w:bottom w:val="single" w:sz="4" w:space="0" w:color="1B556B" w:themeColor="text2"/>
              <w:right w:val="nil"/>
            </w:tcBorders>
            <w:vAlign w:val="center"/>
          </w:tcPr>
          <w:p w14:paraId="109F218B"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54 (13)</w:t>
            </w:r>
          </w:p>
        </w:tc>
        <w:tc>
          <w:tcPr>
            <w:tcW w:w="1249" w:type="dxa"/>
            <w:tcBorders>
              <w:top w:val="single" w:sz="4" w:space="0" w:color="1B556B" w:themeColor="text2"/>
              <w:left w:val="nil"/>
              <w:bottom w:val="single" w:sz="4" w:space="0" w:color="1B556B" w:themeColor="text2"/>
              <w:right w:val="nil"/>
            </w:tcBorders>
            <w:vAlign w:val="center"/>
          </w:tcPr>
          <w:p w14:paraId="43D695C2"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36 (8)</w:t>
            </w:r>
          </w:p>
        </w:tc>
        <w:tc>
          <w:tcPr>
            <w:tcW w:w="1303" w:type="dxa"/>
            <w:tcBorders>
              <w:top w:val="single" w:sz="4" w:space="0" w:color="1B556B" w:themeColor="text2"/>
              <w:left w:val="nil"/>
              <w:bottom w:val="single" w:sz="4" w:space="0" w:color="1B556B" w:themeColor="text2"/>
              <w:right w:val="nil"/>
            </w:tcBorders>
            <w:vAlign w:val="center"/>
          </w:tcPr>
          <w:p w14:paraId="1A3BF92A"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vAlign w:val="center"/>
          </w:tcPr>
          <w:p w14:paraId="09D270E4"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vAlign w:val="center"/>
          </w:tcPr>
          <w:p w14:paraId="694189E2" w14:textId="77777777" w:rsidR="00E46639" w:rsidRPr="0028033B" w:rsidRDefault="00E46639" w:rsidP="00F16E23">
            <w:pPr>
              <w:pStyle w:val="TableText"/>
              <w:spacing w:before="40" w:after="40"/>
              <w:jc w:val="right"/>
              <w:rPr>
                <w:rFonts w:asciiTheme="minorHAnsi" w:hAnsiTheme="minorHAnsi" w:cstheme="minorHAnsi"/>
              </w:rPr>
            </w:pPr>
            <w:r w:rsidRPr="0028033B">
              <w:rPr>
                <w:rFonts w:asciiTheme="minorHAnsi" w:hAnsiTheme="minorHAnsi" w:cstheme="minorHAnsi"/>
                <w:szCs w:val="16"/>
              </w:rPr>
              <w:t>130 (29)</w:t>
            </w:r>
          </w:p>
        </w:tc>
      </w:tr>
      <w:tr w:rsidR="00E46639" w:rsidRPr="0028033B" w14:paraId="3E0C1D7C" w14:textId="77777777" w:rsidTr="00F16E23">
        <w:tc>
          <w:tcPr>
            <w:tcW w:w="2206" w:type="dxa"/>
            <w:tcBorders>
              <w:top w:val="single" w:sz="4" w:space="0" w:color="1B556B" w:themeColor="text2"/>
              <w:left w:val="nil"/>
              <w:bottom w:val="single" w:sz="4" w:space="0" w:color="1B556B" w:themeColor="text2"/>
              <w:right w:val="nil"/>
            </w:tcBorders>
          </w:tcPr>
          <w:p w14:paraId="28547692" w14:textId="77777777" w:rsidR="00E46639" w:rsidRPr="0028033B" w:rsidRDefault="00E46639" w:rsidP="00F16E23">
            <w:pPr>
              <w:pStyle w:val="Tableboldblue"/>
              <w:spacing w:before="40" w:after="40"/>
              <w:rPr>
                <w:rFonts w:cs="Calibri"/>
                <w:color w:val="1B556B"/>
              </w:rPr>
            </w:pPr>
            <w:r w:rsidRPr="0028033B">
              <w:rPr>
                <w:rFonts w:cs="Calibri"/>
                <w:color w:val="1B556B"/>
              </w:rPr>
              <w:t>Total urine</w:t>
            </w:r>
          </w:p>
        </w:tc>
        <w:tc>
          <w:tcPr>
            <w:tcW w:w="1249" w:type="dxa"/>
            <w:tcBorders>
              <w:top w:val="single" w:sz="4" w:space="0" w:color="1B556B" w:themeColor="text2"/>
              <w:left w:val="nil"/>
              <w:bottom w:val="single" w:sz="4" w:space="0" w:color="1B556B" w:themeColor="text2"/>
              <w:right w:val="nil"/>
            </w:tcBorders>
            <w:vAlign w:val="center"/>
          </w:tcPr>
          <w:p w14:paraId="4B557729"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389 (65)</w:t>
            </w:r>
          </w:p>
        </w:tc>
        <w:tc>
          <w:tcPr>
            <w:tcW w:w="1249" w:type="dxa"/>
            <w:tcBorders>
              <w:top w:val="single" w:sz="4" w:space="0" w:color="1B556B" w:themeColor="text2"/>
              <w:left w:val="nil"/>
              <w:bottom w:val="single" w:sz="4" w:space="0" w:color="1B556B" w:themeColor="text2"/>
              <w:right w:val="nil"/>
            </w:tcBorders>
            <w:vAlign w:val="center"/>
          </w:tcPr>
          <w:p w14:paraId="28C93B9C"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212 (42)</w:t>
            </w:r>
          </w:p>
        </w:tc>
        <w:tc>
          <w:tcPr>
            <w:tcW w:w="1303" w:type="dxa"/>
            <w:tcBorders>
              <w:top w:val="single" w:sz="4" w:space="0" w:color="1B556B" w:themeColor="text2"/>
              <w:left w:val="nil"/>
              <w:bottom w:val="single" w:sz="4" w:space="0" w:color="1B556B" w:themeColor="text2"/>
              <w:right w:val="nil"/>
            </w:tcBorders>
            <w:vAlign w:val="center"/>
          </w:tcPr>
          <w:p w14:paraId="4B008FBC"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140 (28)</w:t>
            </w:r>
          </w:p>
        </w:tc>
        <w:tc>
          <w:tcPr>
            <w:tcW w:w="1249" w:type="dxa"/>
            <w:tcBorders>
              <w:top w:val="single" w:sz="4" w:space="0" w:color="1B556B" w:themeColor="text2"/>
              <w:left w:val="nil"/>
              <w:bottom w:val="single" w:sz="4" w:space="0" w:color="1B556B" w:themeColor="text2"/>
              <w:right w:val="nil"/>
            </w:tcBorders>
            <w:vAlign w:val="center"/>
          </w:tcPr>
          <w:p w14:paraId="6F9704BF"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40 (8)</w:t>
            </w:r>
          </w:p>
        </w:tc>
        <w:tc>
          <w:tcPr>
            <w:tcW w:w="1249" w:type="dxa"/>
            <w:tcBorders>
              <w:top w:val="single" w:sz="4" w:space="0" w:color="1B556B" w:themeColor="text2"/>
              <w:left w:val="nil"/>
              <w:bottom w:val="single" w:sz="4" w:space="0" w:color="1B556B" w:themeColor="text2"/>
              <w:right w:val="nil"/>
            </w:tcBorders>
            <w:vAlign w:val="center"/>
          </w:tcPr>
          <w:p w14:paraId="0F9E1158"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781 (143)</w:t>
            </w:r>
          </w:p>
        </w:tc>
      </w:tr>
      <w:tr w:rsidR="00E46639" w:rsidRPr="0028033B" w14:paraId="304914BF" w14:textId="77777777" w:rsidTr="00F16E23">
        <w:tc>
          <w:tcPr>
            <w:tcW w:w="2206" w:type="dxa"/>
            <w:tcBorders>
              <w:top w:val="single" w:sz="4" w:space="0" w:color="1B556B" w:themeColor="text2"/>
              <w:left w:val="nil"/>
              <w:bottom w:val="single" w:sz="4" w:space="0" w:color="1B556B" w:themeColor="text2"/>
              <w:right w:val="nil"/>
            </w:tcBorders>
          </w:tcPr>
          <w:p w14:paraId="71D3E095" w14:textId="77777777" w:rsidR="00E46639" w:rsidRPr="0028033B" w:rsidRDefault="00E46639" w:rsidP="00F16E23">
            <w:pPr>
              <w:pStyle w:val="Tableboldblue"/>
              <w:spacing w:before="40" w:after="40"/>
              <w:rPr>
                <w:rFonts w:cs="Calibri"/>
                <w:color w:val="1B556B"/>
              </w:rPr>
            </w:pPr>
            <w:r w:rsidRPr="0028033B">
              <w:rPr>
                <w:rFonts w:cs="Calibri"/>
                <w:color w:val="1B556B"/>
              </w:rPr>
              <w:t>Total dung</w:t>
            </w:r>
          </w:p>
        </w:tc>
        <w:tc>
          <w:tcPr>
            <w:tcW w:w="1249" w:type="dxa"/>
            <w:tcBorders>
              <w:top w:val="single" w:sz="4" w:space="0" w:color="1B556B" w:themeColor="text2"/>
              <w:left w:val="nil"/>
              <w:bottom w:val="single" w:sz="4" w:space="0" w:color="1B556B" w:themeColor="text2"/>
              <w:right w:val="nil"/>
            </w:tcBorders>
            <w:vAlign w:val="center"/>
          </w:tcPr>
          <w:p w14:paraId="685B995B"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138 (32)</w:t>
            </w:r>
          </w:p>
        </w:tc>
        <w:tc>
          <w:tcPr>
            <w:tcW w:w="1249" w:type="dxa"/>
            <w:tcBorders>
              <w:top w:val="single" w:sz="4" w:space="0" w:color="1B556B" w:themeColor="text2"/>
              <w:left w:val="nil"/>
              <w:bottom w:val="single" w:sz="4" w:space="0" w:color="1B556B" w:themeColor="text2"/>
              <w:right w:val="nil"/>
            </w:tcBorders>
            <w:vAlign w:val="center"/>
          </w:tcPr>
          <w:p w14:paraId="1D17212F"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158 (33)</w:t>
            </w:r>
          </w:p>
        </w:tc>
        <w:tc>
          <w:tcPr>
            <w:tcW w:w="1303" w:type="dxa"/>
            <w:tcBorders>
              <w:top w:val="single" w:sz="4" w:space="0" w:color="1B556B" w:themeColor="text2"/>
              <w:left w:val="nil"/>
              <w:bottom w:val="single" w:sz="4" w:space="0" w:color="1B556B" w:themeColor="text2"/>
              <w:right w:val="nil"/>
            </w:tcBorders>
            <w:vAlign w:val="center"/>
          </w:tcPr>
          <w:p w14:paraId="1B60DBD9"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100 (20)</w:t>
            </w:r>
          </w:p>
        </w:tc>
        <w:tc>
          <w:tcPr>
            <w:tcW w:w="1249" w:type="dxa"/>
            <w:tcBorders>
              <w:top w:val="single" w:sz="4" w:space="0" w:color="1B556B" w:themeColor="text2"/>
              <w:left w:val="nil"/>
              <w:bottom w:val="single" w:sz="4" w:space="0" w:color="1B556B" w:themeColor="text2"/>
              <w:right w:val="nil"/>
            </w:tcBorders>
            <w:vAlign w:val="center"/>
          </w:tcPr>
          <w:p w14:paraId="6DDECA27"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40 (8)</w:t>
            </w:r>
          </w:p>
        </w:tc>
        <w:tc>
          <w:tcPr>
            <w:tcW w:w="1249" w:type="dxa"/>
            <w:tcBorders>
              <w:top w:val="single" w:sz="4" w:space="0" w:color="1B556B" w:themeColor="text2"/>
              <w:left w:val="nil"/>
              <w:bottom w:val="single" w:sz="4" w:space="0" w:color="1B556B" w:themeColor="text2"/>
              <w:right w:val="nil"/>
            </w:tcBorders>
            <w:vAlign w:val="center"/>
          </w:tcPr>
          <w:p w14:paraId="16FE2E76"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436 (93)</w:t>
            </w:r>
          </w:p>
        </w:tc>
      </w:tr>
      <w:tr w:rsidR="00E46639" w:rsidRPr="0028033B" w14:paraId="1622BFD6" w14:textId="77777777" w:rsidTr="00F16E23">
        <w:tc>
          <w:tcPr>
            <w:tcW w:w="2206" w:type="dxa"/>
            <w:tcBorders>
              <w:top w:val="single" w:sz="4" w:space="0" w:color="1B556B" w:themeColor="text2"/>
              <w:left w:val="nil"/>
              <w:bottom w:val="single" w:sz="4" w:space="0" w:color="1B556B" w:themeColor="text2"/>
              <w:right w:val="nil"/>
            </w:tcBorders>
          </w:tcPr>
          <w:p w14:paraId="7EADBFD8" w14:textId="77777777" w:rsidR="00E46639" w:rsidRPr="0028033B" w:rsidRDefault="00E46639" w:rsidP="00F16E23">
            <w:pPr>
              <w:pStyle w:val="Tableboldblue"/>
              <w:spacing w:before="40" w:after="40"/>
              <w:rPr>
                <w:rFonts w:cs="Calibri"/>
                <w:color w:val="1B556B"/>
              </w:rPr>
            </w:pPr>
            <w:r w:rsidRPr="0028033B">
              <w:rPr>
                <w:rFonts w:cs="Calibri"/>
                <w:color w:val="1B556B"/>
              </w:rPr>
              <w:t>Total excreta</w:t>
            </w:r>
          </w:p>
        </w:tc>
        <w:tc>
          <w:tcPr>
            <w:tcW w:w="1249" w:type="dxa"/>
            <w:tcBorders>
              <w:top w:val="single" w:sz="4" w:space="0" w:color="1B556B" w:themeColor="text2"/>
              <w:left w:val="nil"/>
              <w:bottom w:val="single" w:sz="4" w:space="0" w:color="1B556B" w:themeColor="text2"/>
              <w:right w:val="nil"/>
            </w:tcBorders>
            <w:vAlign w:val="center"/>
          </w:tcPr>
          <w:p w14:paraId="6AA5C737"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527 (97)</w:t>
            </w:r>
          </w:p>
        </w:tc>
        <w:tc>
          <w:tcPr>
            <w:tcW w:w="1249" w:type="dxa"/>
            <w:tcBorders>
              <w:top w:val="single" w:sz="4" w:space="0" w:color="1B556B" w:themeColor="text2"/>
              <w:left w:val="nil"/>
              <w:bottom w:val="single" w:sz="4" w:space="0" w:color="1B556B" w:themeColor="text2"/>
              <w:right w:val="nil"/>
            </w:tcBorders>
            <w:vAlign w:val="center"/>
          </w:tcPr>
          <w:p w14:paraId="74D86BA8"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370 (75)</w:t>
            </w:r>
          </w:p>
        </w:tc>
        <w:tc>
          <w:tcPr>
            <w:tcW w:w="1303" w:type="dxa"/>
            <w:tcBorders>
              <w:top w:val="single" w:sz="4" w:space="0" w:color="1B556B" w:themeColor="text2"/>
              <w:left w:val="nil"/>
              <w:bottom w:val="single" w:sz="4" w:space="0" w:color="1B556B" w:themeColor="text2"/>
              <w:right w:val="nil"/>
            </w:tcBorders>
            <w:vAlign w:val="center"/>
          </w:tcPr>
          <w:p w14:paraId="2DA714B4"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240 (48)</w:t>
            </w:r>
          </w:p>
        </w:tc>
        <w:tc>
          <w:tcPr>
            <w:tcW w:w="1249" w:type="dxa"/>
            <w:tcBorders>
              <w:top w:val="single" w:sz="4" w:space="0" w:color="1B556B" w:themeColor="text2"/>
              <w:left w:val="nil"/>
              <w:bottom w:val="single" w:sz="4" w:space="0" w:color="1B556B" w:themeColor="text2"/>
              <w:right w:val="nil"/>
            </w:tcBorders>
            <w:vAlign w:val="center"/>
          </w:tcPr>
          <w:p w14:paraId="7DD1FCDA"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80 (16)</w:t>
            </w:r>
          </w:p>
        </w:tc>
        <w:tc>
          <w:tcPr>
            <w:tcW w:w="1249" w:type="dxa"/>
            <w:tcBorders>
              <w:top w:val="single" w:sz="4" w:space="0" w:color="1B556B" w:themeColor="text2"/>
              <w:left w:val="nil"/>
              <w:bottom w:val="single" w:sz="4" w:space="0" w:color="1B556B" w:themeColor="text2"/>
              <w:right w:val="nil"/>
            </w:tcBorders>
            <w:vAlign w:val="center"/>
          </w:tcPr>
          <w:p w14:paraId="7BDE31A0" w14:textId="77777777" w:rsidR="00E46639" w:rsidRPr="0028033B" w:rsidRDefault="00E46639" w:rsidP="00F16E23">
            <w:pPr>
              <w:pStyle w:val="Tableboldblue"/>
              <w:spacing w:before="40" w:after="40"/>
              <w:jc w:val="right"/>
              <w:rPr>
                <w:rFonts w:cs="Calibri"/>
                <w:color w:val="1B556B"/>
              </w:rPr>
            </w:pPr>
            <w:r w:rsidRPr="0028033B">
              <w:rPr>
                <w:rFonts w:cs="Calibri"/>
                <w:color w:val="1B556B"/>
              </w:rPr>
              <w:t>1,217 (236)</w:t>
            </w:r>
          </w:p>
        </w:tc>
      </w:tr>
    </w:tbl>
    <w:p w14:paraId="4E264032" w14:textId="77777777" w:rsidR="00E46639" w:rsidRPr="0028033B" w:rsidRDefault="00E46639" w:rsidP="00E46639">
      <w:pPr>
        <w:pStyle w:val="Table"/>
        <w:spacing w:before="240"/>
        <w:rPr>
          <w:rFonts w:cs="Calibri"/>
        </w:rPr>
      </w:pPr>
      <w:bookmarkStart w:id="1246" w:name="_Toc32570933"/>
      <w:bookmarkStart w:id="1247" w:name="_Toc36224568"/>
      <w:bookmarkStart w:id="1248" w:name="_Toc68786453"/>
      <w:bookmarkStart w:id="1249" w:name="_Toc95574086"/>
      <w:bookmarkStart w:id="1250" w:name="_Toc127458273"/>
      <w:bookmarkStart w:id="1251" w:name="_Toc131591369"/>
      <w:bookmarkStart w:id="1252" w:name="_Toc160114463"/>
      <w:bookmarkStart w:id="1253" w:name="_Toc164153859"/>
      <w:bookmarkStart w:id="1254" w:name="_Toc222407652"/>
      <w:bookmarkStart w:id="1255" w:name="_Toc226669027"/>
      <w:r w:rsidRPr="0028033B">
        <w:rPr>
          <w:rFonts w:cs="Calibri"/>
        </w:rPr>
        <w:t>Table 5.5.7</w:t>
      </w:r>
      <w:r w:rsidRPr="0028033B">
        <w:rPr>
          <w:rFonts w:cs="Calibri"/>
        </w:rPr>
        <w:tab/>
        <w:t>Number of replicate-level EF</w:t>
      </w:r>
      <w:r w:rsidRPr="0028033B">
        <w:rPr>
          <w:rFonts w:cs="Calibri"/>
          <w:vertAlign w:val="subscript"/>
        </w:rPr>
        <w:t>3</w:t>
      </w:r>
      <w:r w:rsidRPr="0028033B">
        <w:rPr>
          <w:rFonts w:cs="Calibri"/>
        </w:rPr>
        <w:t xml:space="preserve"> values collated by the van der Weerden et al. (2019, 2020) analysis, for each nitrogen source, season when the trial was undertaken and topography</w:t>
      </w:r>
      <w:bookmarkEnd w:id="1246"/>
      <w:bookmarkEnd w:id="1247"/>
      <w:bookmarkEnd w:id="1248"/>
      <w:bookmarkEnd w:id="1249"/>
      <w:bookmarkEnd w:id="1250"/>
      <w:bookmarkEnd w:id="1251"/>
      <w:bookmarkEnd w:id="1252"/>
      <w:bookmarkEnd w:id="1253"/>
      <w:bookmarkEnd w:id="1254"/>
      <w:bookmarkEnd w:id="1255"/>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6"/>
        <w:gridCol w:w="1889"/>
        <w:gridCol w:w="886"/>
        <w:gridCol w:w="886"/>
        <w:gridCol w:w="886"/>
        <w:gridCol w:w="886"/>
        <w:gridCol w:w="886"/>
      </w:tblGrid>
      <w:tr w:rsidR="00E46639" w:rsidRPr="0028033B" w14:paraId="5A1D62BA" w14:textId="77777777" w:rsidTr="00F16E23">
        <w:trPr>
          <w:tblHeader/>
        </w:trPr>
        <w:tc>
          <w:tcPr>
            <w:tcW w:w="2098" w:type="dxa"/>
            <w:tcBorders>
              <w:top w:val="single" w:sz="4" w:space="0" w:color="1B556B" w:themeColor="text2"/>
              <w:left w:val="nil"/>
              <w:bottom w:val="single" w:sz="4" w:space="0" w:color="1B556B" w:themeColor="text2"/>
              <w:right w:val="nil"/>
            </w:tcBorders>
            <w:shd w:val="clear" w:color="auto" w:fill="1B556B"/>
            <w:vAlign w:val="bottom"/>
          </w:tcPr>
          <w:p w14:paraId="2C7994A2" w14:textId="77777777" w:rsidR="00E46639" w:rsidRPr="0028033B" w:rsidRDefault="00E46639" w:rsidP="00F16E23">
            <w:pPr>
              <w:pStyle w:val="TableTextBold"/>
              <w:keepNext/>
              <w:spacing w:before="40" w:after="40"/>
              <w:rPr>
                <w:noProof w:val="0"/>
                <w:color w:val="FFFFFF" w:themeColor="background1"/>
                <w:szCs w:val="16"/>
              </w:rPr>
            </w:pPr>
            <w:r w:rsidRPr="0028033B">
              <w:rPr>
                <w:noProof w:val="0"/>
                <w:color w:val="FFFFFF" w:themeColor="background1"/>
                <w:szCs w:val="16"/>
              </w:rPr>
              <w:t>Nitrogen source</w:t>
            </w:r>
          </w:p>
        </w:tc>
        <w:tc>
          <w:tcPr>
            <w:tcW w:w="1814" w:type="dxa"/>
            <w:tcBorders>
              <w:top w:val="single" w:sz="4" w:space="0" w:color="1B556B" w:themeColor="text2"/>
              <w:left w:val="nil"/>
              <w:bottom w:val="single" w:sz="4" w:space="0" w:color="1B556B" w:themeColor="text2"/>
              <w:right w:val="nil"/>
            </w:tcBorders>
            <w:shd w:val="clear" w:color="auto" w:fill="1B556B"/>
            <w:vAlign w:val="bottom"/>
          </w:tcPr>
          <w:p w14:paraId="4F47D5DB" w14:textId="77777777" w:rsidR="00E46639" w:rsidRPr="0028033B" w:rsidRDefault="00E46639" w:rsidP="00F16E23">
            <w:pPr>
              <w:pStyle w:val="TableTextBold"/>
              <w:keepNext/>
              <w:spacing w:before="40" w:after="40"/>
              <w:rPr>
                <w:noProof w:val="0"/>
                <w:color w:val="FFFFFF" w:themeColor="background1"/>
                <w:szCs w:val="16"/>
              </w:rPr>
            </w:pPr>
            <w:r w:rsidRPr="0028033B">
              <w:rPr>
                <w:noProof w:val="0"/>
                <w:color w:val="FFFFFF" w:themeColor="background1"/>
                <w:szCs w:val="16"/>
              </w:rPr>
              <w:t>Topography class</w:t>
            </w:r>
          </w:p>
        </w:tc>
        <w:tc>
          <w:tcPr>
            <w:tcW w:w="851" w:type="dxa"/>
            <w:tcBorders>
              <w:top w:val="single" w:sz="4" w:space="0" w:color="1B556B" w:themeColor="text2"/>
              <w:left w:val="nil"/>
              <w:bottom w:val="single" w:sz="4" w:space="0" w:color="1B556B" w:themeColor="text2"/>
              <w:right w:val="nil"/>
            </w:tcBorders>
            <w:shd w:val="clear" w:color="auto" w:fill="1B556B"/>
          </w:tcPr>
          <w:p w14:paraId="11E40595"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Autumn</w:t>
            </w:r>
          </w:p>
        </w:tc>
        <w:tc>
          <w:tcPr>
            <w:tcW w:w="851" w:type="dxa"/>
            <w:tcBorders>
              <w:top w:val="single" w:sz="4" w:space="0" w:color="1B556B" w:themeColor="text2"/>
              <w:left w:val="nil"/>
              <w:bottom w:val="single" w:sz="4" w:space="0" w:color="1B556B" w:themeColor="text2"/>
              <w:right w:val="nil"/>
            </w:tcBorders>
            <w:shd w:val="clear" w:color="auto" w:fill="1B556B"/>
          </w:tcPr>
          <w:p w14:paraId="73B6E27E"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Winter</w:t>
            </w:r>
          </w:p>
        </w:tc>
        <w:tc>
          <w:tcPr>
            <w:tcW w:w="851" w:type="dxa"/>
            <w:tcBorders>
              <w:top w:val="single" w:sz="4" w:space="0" w:color="1B556B" w:themeColor="text2"/>
              <w:left w:val="nil"/>
              <w:bottom w:val="single" w:sz="4" w:space="0" w:color="1B556B" w:themeColor="text2"/>
              <w:right w:val="nil"/>
            </w:tcBorders>
            <w:shd w:val="clear" w:color="auto" w:fill="1B556B"/>
          </w:tcPr>
          <w:p w14:paraId="4A1BF2E9"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Spring</w:t>
            </w:r>
          </w:p>
        </w:tc>
        <w:tc>
          <w:tcPr>
            <w:tcW w:w="851" w:type="dxa"/>
            <w:tcBorders>
              <w:top w:val="single" w:sz="4" w:space="0" w:color="1B556B" w:themeColor="text2"/>
              <w:left w:val="nil"/>
              <w:bottom w:val="single" w:sz="4" w:space="0" w:color="1B556B" w:themeColor="text2"/>
              <w:right w:val="nil"/>
            </w:tcBorders>
            <w:shd w:val="clear" w:color="auto" w:fill="1B556B"/>
          </w:tcPr>
          <w:p w14:paraId="2D42A74B"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Summer</w:t>
            </w:r>
          </w:p>
        </w:tc>
        <w:tc>
          <w:tcPr>
            <w:tcW w:w="851" w:type="dxa"/>
            <w:tcBorders>
              <w:top w:val="single" w:sz="4" w:space="0" w:color="1B556B" w:themeColor="text2"/>
              <w:left w:val="nil"/>
              <w:bottom w:val="single" w:sz="4" w:space="0" w:color="1B556B" w:themeColor="text2"/>
              <w:right w:val="nil"/>
            </w:tcBorders>
            <w:shd w:val="clear" w:color="auto" w:fill="1B556B"/>
          </w:tcPr>
          <w:p w14:paraId="7118A922"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Total</w:t>
            </w:r>
          </w:p>
        </w:tc>
      </w:tr>
      <w:tr w:rsidR="00E46639" w:rsidRPr="0028033B" w14:paraId="0E0ADC1C" w14:textId="77777777" w:rsidTr="00F16E23">
        <w:tc>
          <w:tcPr>
            <w:tcW w:w="2098" w:type="dxa"/>
            <w:tcBorders>
              <w:top w:val="single" w:sz="4" w:space="0" w:color="1B556B" w:themeColor="text2"/>
              <w:left w:val="nil"/>
              <w:bottom w:val="single" w:sz="4" w:space="0" w:color="1B556B" w:themeColor="text2"/>
              <w:right w:val="nil"/>
            </w:tcBorders>
          </w:tcPr>
          <w:p w14:paraId="346170A2" w14:textId="77777777" w:rsidR="00E46639" w:rsidRPr="0028033B" w:rsidRDefault="00E46639" w:rsidP="00F16E23">
            <w:pPr>
              <w:pStyle w:val="TableText"/>
              <w:keepNext/>
              <w:spacing w:before="40" w:after="40"/>
              <w:rPr>
                <w:rFonts w:cs="Calibri"/>
                <w:szCs w:val="16"/>
              </w:rPr>
            </w:pPr>
            <w:r w:rsidRPr="0028033B">
              <w:rPr>
                <w:rFonts w:cs="Calibri"/>
                <w:szCs w:val="16"/>
              </w:rPr>
              <w:t>Dairy cattle urine</w:t>
            </w:r>
          </w:p>
        </w:tc>
        <w:tc>
          <w:tcPr>
            <w:tcW w:w="1814" w:type="dxa"/>
            <w:tcBorders>
              <w:top w:val="single" w:sz="4" w:space="0" w:color="1B556B" w:themeColor="text2"/>
              <w:left w:val="nil"/>
              <w:bottom w:val="single" w:sz="4" w:space="0" w:color="1B556B" w:themeColor="text2"/>
              <w:right w:val="nil"/>
            </w:tcBorders>
          </w:tcPr>
          <w:p w14:paraId="192AC262" w14:textId="77777777" w:rsidR="00E46639" w:rsidRPr="0028033B" w:rsidRDefault="00E46639" w:rsidP="00F16E23">
            <w:pPr>
              <w:pStyle w:val="TableText"/>
              <w:keepNext/>
              <w:spacing w:before="40" w:after="40"/>
              <w:rPr>
                <w:rFonts w:cs="Calibri"/>
                <w:szCs w:val="16"/>
              </w:rPr>
            </w:pPr>
            <w:r w:rsidRPr="0028033B">
              <w:rPr>
                <w:rFonts w:cs="Calibri"/>
                <w:szCs w:val="16"/>
              </w:rPr>
              <w:t>Flatland (0</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186FE0AD" w14:textId="77777777" w:rsidR="00E46639" w:rsidRPr="0028033B" w:rsidRDefault="00E46639" w:rsidP="00F16E23">
            <w:pPr>
              <w:pStyle w:val="TableText"/>
              <w:keepNext/>
              <w:spacing w:before="40" w:after="40"/>
              <w:jc w:val="right"/>
              <w:rPr>
                <w:rFonts w:cs="Calibri"/>
                <w:szCs w:val="16"/>
              </w:rPr>
            </w:pPr>
            <w:r w:rsidRPr="0028033B">
              <w:rPr>
                <w:rFonts w:cs="Calibri"/>
                <w:szCs w:val="16"/>
              </w:rPr>
              <w:t>128</w:t>
            </w:r>
          </w:p>
        </w:tc>
        <w:tc>
          <w:tcPr>
            <w:tcW w:w="851" w:type="dxa"/>
            <w:tcBorders>
              <w:top w:val="single" w:sz="4" w:space="0" w:color="1B556B" w:themeColor="text2"/>
              <w:left w:val="nil"/>
              <w:bottom w:val="single" w:sz="4" w:space="0" w:color="1B556B" w:themeColor="text2"/>
              <w:right w:val="nil"/>
            </w:tcBorders>
          </w:tcPr>
          <w:p w14:paraId="170B13BC" w14:textId="77777777" w:rsidR="00E46639" w:rsidRPr="0028033B" w:rsidRDefault="00E46639" w:rsidP="00F16E23">
            <w:pPr>
              <w:pStyle w:val="TableText"/>
              <w:keepNext/>
              <w:spacing w:before="40" w:after="40"/>
              <w:jc w:val="right"/>
              <w:rPr>
                <w:rFonts w:cs="Calibri"/>
                <w:szCs w:val="16"/>
              </w:rPr>
            </w:pPr>
            <w:r w:rsidRPr="0028033B">
              <w:rPr>
                <w:rFonts w:cs="Calibri"/>
                <w:szCs w:val="16"/>
              </w:rPr>
              <w:t>105</w:t>
            </w:r>
          </w:p>
        </w:tc>
        <w:tc>
          <w:tcPr>
            <w:tcW w:w="851" w:type="dxa"/>
            <w:tcBorders>
              <w:top w:val="single" w:sz="4" w:space="0" w:color="1B556B" w:themeColor="text2"/>
              <w:left w:val="nil"/>
              <w:bottom w:val="single" w:sz="4" w:space="0" w:color="1B556B" w:themeColor="text2"/>
              <w:right w:val="nil"/>
            </w:tcBorders>
          </w:tcPr>
          <w:p w14:paraId="1F00C055" w14:textId="77777777" w:rsidR="00E46639" w:rsidRPr="0028033B" w:rsidRDefault="00E46639" w:rsidP="00F16E23">
            <w:pPr>
              <w:pStyle w:val="TableText"/>
              <w:keepNext/>
              <w:spacing w:before="40" w:after="40"/>
              <w:jc w:val="right"/>
              <w:rPr>
                <w:rFonts w:cs="Calibri"/>
                <w:szCs w:val="16"/>
              </w:rPr>
            </w:pPr>
            <w:r w:rsidRPr="0028033B">
              <w:rPr>
                <w:rFonts w:cs="Calibri"/>
                <w:szCs w:val="16"/>
              </w:rPr>
              <w:t>88</w:t>
            </w:r>
          </w:p>
        </w:tc>
        <w:tc>
          <w:tcPr>
            <w:tcW w:w="851" w:type="dxa"/>
            <w:tcBorders>
              <w:top w:val="single" w:sz="4" w:space="0" w:color="1B556B" w:themeColor="text2"/>
              <w:left w:val="nil"/>
              <w:bottom w:val="single" w:sz="4" w:space="0" w:color="1B556B" w:themeColor="text2"/>
              <w:right w:val="nil"/>
            </w:tcBorders>
          </w:tcPr>
          <w:p w14:paraId="7ADF36B8" w14:textId="77777777" w:rsidR="00E46639" w:rsidRPr="0028033B" w:rsidRDefault="00E46639" w:rsidP="00F16E23">
            <w:pPr>
              <w:pStyle w:val="TableText"/>
              <w:keepNext/>
              <w:spacing w:before="40" w:after="40"/>
              <w:jc w:val="right"/>
              <w:rPr>
                <w:rFonts w:cs="Calibri"/>
                <w:szCs w:val="16"/>
              </w:rPr>
            </w:pPr>
            <w:r w:rsidRPr="0028033B">
              <w:rPr>
                <w:rFonts w:cs="Calibri"/>
                <w:szCs w:val="16"/>
              </w:rPr>
              <w:t>12</w:t>
            </w:r>
          </w:p>
        </w:tc>
        <w:tc>
          <w:tcPr>
            <w:tcW w:w="851" w:type="dxa"/>
            <w:tcBorders>
              <w:top w:val="single" w:sz="4" w:space="0" w:color="1B556B" w:themeColor="text2"/>
              <w:left w:val="nil"/>
              <w:bottom w:val="single" w:sz="4" w:space="0" w:color="1B556B" w:themeColor="text2"/>
              <w:right w:val="nil"/>
            </w:tcBorders>
          </w:tcPr>
          <w:p w14:paraId="604339BC" w14:textId="77777777" w:rsidR="00E46639" w:rsidRPr="0028033B" w:rsidRDefault="00E46639" w:rsidP="00F16E23">
            <w:pPr>
              <w:pStyle w:val="TableText"/>
              <w:keepNext/>
              <w:spacing w:before="40" w:after="40"/>
              <w:jc w:val="right"/>
              <w:rPr>
                <w:rFonts w:cs="Calibri"/>
                <w:szCs w:val="16"/>
              </w:rPr>
            </w:pPr>
            <w:r w:rsidRPr="0028033B">
              <w:rPr>
                <w:rFonts w:cs="Calibri"/>
                <w:szCs w:val="16"/>
              </w:rPr>
              <w:t>333</w:t>
            </w:r>
          </w:p>
        </w:tc>
      </w:tr>
      <w:tr w:rsidR="00E46639" w:rsidRPr="0028033B" w14:paraId="7C85F47A" w14:textId="77777777" w:rsidTr="00F16E23">
        <w:tc>
          <w:tcPr>
            <w:tcW w:w="2098" w:type="dxa"/>
            <w:tcBorders>
              <w:top w:val="single" w:sz="4" w:space="0" w:color="1B556B" w:themeColor="text2"/>
              <w:left w:val="nil"/>
              <w:bottom w:val="single" w:sz="4" w:space="0" w:color="1B556B" w:themeColor="text2"/>
              <w:right w:val="nil"/>
            </w:tcBorders>
          </w:tcPr>
          <w:p w14:paraId="51AAC67C" w14:textId="77777777" w:rsidR="00E46639" w:rsidRPr="0028033B" w:rsidRDefault="00E46639" w:rsidP="00F16E23">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F8D5240" w14:textId="77777777" w:rsidR="00E46639" w:rsidRPr="0028033B" w:rsidRDefault="00E46639" w:rsidP="00F16E23">
            <w:pPr>
              <w:pStyle w:val="TableText"/>
              <w:keepNext/>
              <w:spacing w:before="40" w:after="40"/>
              <w:rPr>
                <w:rFonts w:cs="Calibri"/>
                <w:szCs w:val="16"/>
              </w:rPr>
            </w:pPr>
            <w:r w:rsidRPr="0028033B">
              <w:rPr>
                <w:rFonts w:cs="Calibri"/>
                <w:szCs w:val="16"/>
              </w:rPr>
              <w:t>Low slope (0–12</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0B991481" w14:textId="77777777" w:rsidR="00E46639" w:rsidRPr="0028033B" w:rsidRDefault="00E46639" w:rsidP="00F16E23">
            <w:pPr>
              <w:pStyle w:val="TableText"/>
              <w:keepNext/>
              <w:spacing w:before="40" w:after="40"/>
              <w:jc w:val="right"/>
              <w:rPr>
                <w:rFonts w:cs="Calibri"/>
                <w:szCs w:val="16"/>
              </w:rPr>
            </w:pPr>
            <w:r w:rsidRPr="0028033B">
              <w:rPr>
                <w:rFonts w:cs="Calibri"/>
                <w:szCs w:val="16"/>
              </w:rPr>
              <w:t>34</w:t>
            </w:r>
          </w:p>
        </w:tc>
        <w:tc>
          <w:tcPr>
            <w:tcW w:w="851" w:type="dxa"/>
            <w:tcBorders>
              <w:top w:val="single" w:sz="4" w:space="0" w:color="1B556B" w:themeColor="text2"/>
              <w:left w:val="nil"/>
              <w:bottom w:val="single" w:sz="4" w:space="0" w:color="1B556B" w:themeColor="text2"/>
              <w:right w:val="nil"/>
            </w:tcBorders>
          </w:tcPr>
          <w:p w14:paraId="0AB455A2" w14:textId="77777777" w:rsidR="00E46639" w:rsidRPr="0028033B" w:rsidRDefault="00E46639" w:rsidP="00F16E23">
            <w:pPr>
              <w:pStyle w:val="TableText"/>
              <w:keepNext/>
              <w:spacing w:before="40" w:after="40"/>
              <w:jc w:val="right"/>
              <w:rPr>
                <w:rFonts w:cs="Calibri"/>
                <w:szCs w:val="16"/>
              </w:rPr>
            </w:pPr>
            <w:r w:rsidRPr="0028033B">
              <w:rPr>
                <w:rFonts w:cs="Calibri"/>
                <w:szCs w:val="16"/>
              </w:rPr>
              <w:t>34</w:t>
            </w:r>
          </w:p>
        </w:tc>
        <w:tc>
          <w:tcPr>
            <w:tcW w:w="851" w:type="dxa"/>
            <w:tcBorders>
              <w:top w:val="single" w:sz="4" w:space="0" w:color="1B556B" w:themeColor="text2"/>
              <w:left w:val="nil"/>
              <w:bottom w:val="single" w:sz="4" w:space="0" w:color="1B556B" w:themeColor="text2"/>
              <w:right w:val="nil"/>
            </w:tcBorders>
          </w:tcPr>
          <w:p w14:paraId="4345E73E" w14:textId="77777777" w:rsidR="00E46639" w:rsidRPr="0028033B" w:rsidRDefault="00E46639" w:rsidP="00F16E23">
            <w:pPr>
              <w:pStyle w:val="TableText"/>
              <w:keepNext/>
              <w:spacing w:before="40" w:after="40"/>
              <w:jc w:val="right"/>
              <w:rPr>
                <w:rFonts w:cs="Calibri"/>
                <w:szCs w:val="16"/>
              </w:rPr>
            </w:pPr>
            <w:r w:rsidRPr="0028033B">
              <w:rPr>
                <w:rFonts w:cs="Calibri"/>
                <w:szCs w:val="16"/>
              </w:rPr>
              <w:t>28</w:t>
            </w:r>
          </w:p>
        </w:tc>
        <w:tc>
          <w:tcPr>
            <w:tcW w:w="851" w:type="dxa"/>
            <w:tcBorders>
              <w:top w:val="single" w:sz="4" w:space="0" w:color="1B556B" w:themeColor="text2"/>
              <w:left w:val="nil"/>
              <w:bottom w:val="single" w:sz="4" w:space="0" w:color="1B556B" w:themeColor="text2"/>
              <w:right w:val="nil"/>
            </w:tcBorders>
          </w:tcPr>
          <w:p w14:paraId="6BC5029F" w14:textId="77777777" w:rsidR="00E46639" w:rsidRPr="0028033B" w:rsidRDefault="00E46639" w:rsidP="00F16E23">
            <w:pPr>
              <w:pStyle w:val="TableText"/>
              <w:keepN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00028A72" w14:textId="77777777" w:rsidR="00E46639" w:rsidRPr="0028033B" w:rsidRDefault="00E46639" w:rsidP="00F16E23">
            <w:pPr>
              <w:pStyle w:val="TableText"/>
              <w:keepNext/>
              <w:spacing w:before="40" w:after="40"/>
              <w:jc w:val="right"/>
              <w:rPr>
                <w:rFonts w:cs="Calibri"/>
                <w:szCs w:val="16"/>
              </w:rPr>
            </w:pPr>
            <w:r w:rsidRPr="0028033B">
              <w:rPr>
                <w:rFonts w:cs="Calibri"/>
                <w:szCs w:val="16"/>
              </w:rPr>
              <w:t>116</w:t>
            </w:r>
          </w:p>
        </w:tc>
      </w:tr>
      <w:tr w:rsidR="00E46639" w:rsidRPr="0028033B" w14:paraId="1D3E60AB" w14:textId="77777777" w:rsidTr="00F16E23">
        <w:tc>
          <w:tcPr>
            <w:tcW w:w="2098" w:type="dxa"/>
            <w:tcBorders>
              <w:top w:val="single" w:sz="4" w:space="0" w:color="1B556B" w:themeColor="text2"/>
              <w:left w:val="nil"/>
              <w:bottom w:val="single" w:sz="4" w:space="0" w:color="1B556B" w:themeColor="text2"/>
              <w:right w:val="nil"/>
            </w:tcBorders>
          </w:tcPr>
          <w:p w14:paraId="3A00EDF3" w14:textId="77777777" w:rsidR="00E46639" w:rsidRPr="0028033B" w:rsidRDefault="00E46639" w:rsidP="00F16E23">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0B54DD5" w14:textId="77777777" w:rsidR="00E46639" w:rsidRPr="0028033B" w:rsidRDefault="00E46639" w:rsidP="00F16E23">
            <w:pPr>
              <w:pStyle w:val="TableText"/>
              <w:keepNext/>
              <w:spacing w:before="40" w:after="40"/>
              <w:rPr>
                <w:rFonts w:cs="Calibri"/>
                <w:szCs w:val="16"/>
              </w:rPr>
            </w:pPr>
            <w:r w:rsidRPr="0028033B">
              <w:rPr>
                <w:rFonts w:cs="Calibri"/>
                <w:szCs w:val="16"/>
              </w:rPr>
              <w:t>Medium slope (12–24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5677B3F4" w14:textId="77777777" w:rsidR="00E46639" w:rsidRPr="0028033B" w:rsidRDefault="00E46639" w:rsidP="00F16E23">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493F6DBC" w14:textId="77777777" w:rsidR="00E46639" w:rsidRPr="0028033B" w:rsidRDefault="00E46639" w:rsidP="00F16E23">
            <w:pPr>
              <w:pStyle w:val="TableText"/>
              <w:keepN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216193D3" w14:textId="77777777" w:rsidR="00E46639" w:rsidRPr="0028033B" w:rsidRDefault="00E46639" w:rsidP="00F16E23">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3770C6EA" w14:textId="77777777" w:rsidR="00E46639" w:rsidRPr="0028033B" w:rsidRDefault="00E46639" w:rsidP="00F16E23">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7C8BE0DC" w14:textId="77777777" w:rsidR="00E46639" w:rsidRPr="0028033B" w:rsidRDefault="00E46639" w:rsidP="00F16E23">
            <w:pPr>
              <w:pStyle w:val="TableText"/>
              <w:keepNext/>
              <w:spacing w:before="40" w:after="40"/>
              <w:jc w:val="right"/>
              <w:rPr>
                <w:rFonts w:cs="Calibri"/>
                <w:szCs w:val="16"/>
              </w:rPr>
            </w:pPr>
            <w:r w:rsidRPr="0028033B">
              <w:rPr>
                <w:rFonts w:cs="Calibri"/>
                <w:szCs w:val="16"/>
              </w:rPr>
              <w:t>20</w:t>
            </w:r>
          </w:p>
        </w:tc>
      </w:tr>
      <w:tr w:rsidR="00E46639" w:rsidRPr="0028033B" w14:paraId="1429496E" w14:textId="77777777" w:rsidTr="00F16E23">
        <w:tc>
          <w:tcPr>
            <w:tcW w:w="2098" w:type="dxa"/>
            <w:tcBorders>
              <w:top w:val="single" w:sz="4" w:space="0" w:color="1B556B" w:themeColor="text2"/>
              <w:left w:val="nil"/>
              <w:bottom w:val="single" w:sz="4" w:space="0" w:color="1B556B" w:themeColor="text2"/>
              <w:right w:val="nil"/>
            </w:tcBorders>
          </w:tcPr>
          <w:p w14:paraId="7D0F46A0"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E156568" w14:textId="77777777" w:rsidR="00E46639" w:rsidRPr="0028033B" w:rsidRDefault="00E46639" w:rsidP="00F16E23">
            <w:pPr>
              <w:pStyle w:val="TableText"/>
              <w:spacing w:before="40" w:after="40"/>
              <w:rPr>
                <w:rFonts w:cs="Calibri"/>
                <w:szCs w:val="16"/>
              </w:rPr>
            </w:pPr>
            <w:r w:rsidRPr="0028033B">
              <w:rPr>
                <w:rFonts w:cs="Calibri"/>
                <w:szCs w:val="16"/>
              </w:rPr>
              <w:t>Steep slope (&gt;24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25E0153C"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09B5918"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02B5AD56"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0EC777E3"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154F096D" w14:textId="77777777" w:rsidR="00E46639" w:rsidRPr="0028033B" w:rsidRDefault="00E46639" w:rsidP="00F16E23">
            <w:pPr>
              <w:pStyle w:val="TableText"/>
              <w:spacing w:before="40" w:after="40"/>
              <w:jc w:val="right"/>
              <w:rPr>
                <w:rFonts w:cs="Calibri"/>
                <w:szCs w:val="16"/>
              </w:rPr>
            </w:pPr>
          </w:p>
        </w:tc>
      </w:tr>
      <w:tr w:rsidR="00E46639" w:rsidRPr="0028033B" w14:paraId="044C8F1D" w14:textId="77777777" w:rsidTr="00F16E23">
        <w:tc>
          <w:tcPr>
            <w:tcW w:w="2098" w:type="dxa"/>
            <w:tcBorders>
              <w:top w:val="single" w:sz="4" w:space="0" w:color="1B556B" w:themeColor="text2"/>
              <w:left w:val="nil"/>
              <w:bottom w:val="single" w:sz="4" w:space="0" w:color="1B556B" w:themeColor="text2"/>
              <w:right w:val="nil"/>
            </w:tcBorders>
          </w:tcPr>
          <w:p w14:paraId="0EF2C899" w14:textId="77777777" w:rsidR="00E46639" w:rsidRPr="0028033B" w:rsidRDefault="00E46639" w:rsidP="00F16E23">
            <w:pPr>
              <w:pStyle w:val="TableText"/>
              <w:spacing w:before="40" w:after="40"/>
              <w:rPr>
                <w:rFonts w:cs="Calibri"/>
                <w:szCs w:val="16"/>
              </w:rPr>
            </w:pPr>
            <w:r w:rsidRPr="0028033B">
              <w:rPr>
                <w:rFonts w:cs="Calibri"/>
                <w:szCs w:val="16"/>
              </w:rPr>
              <w:t>Dairy cattle dung</w:t>
            </w:r>
          </w:p>
        </w:tc>
        <w:tc>
          <w:tcPr>
            <w:tcW w:w="1814" w:type="dxa"/>
            <w:tcBorders>
              <w:top w:val="single" w:sz="4" w:space="0" w:color="1B556B" w:themeColor="text2"/>
              <w:left w:val="nil"/>
              <w:bottom w:val="single" w:sz="4" w:space="0" w:color="1B556B" w:themeColor="text2"/>
              <w:right w:val="nil"/>
            </w:tcBorders>
          </w:tcPr>
          <w:p w14:paraId="13063B93" w14:textId="77777777" w:rsidR="00E46639" w:rsidRPr="0028033B" w:rsidRDefault="00E46639" w:rsidP="00F16E23">
            <w:pPr>
              <w:pStyle w:val="TableText"/>
              <w:spacing w:before="40" w:after="40"/>
              <w:rPr>
                <w:rFonts w:cs="Calibri"/>
                <w:szCs w:val="16"/>
              </w:rPr>
            </w:pPr>
            <w:r w:rsidRPr="0028033B">
              <w:rPr>
                <w:rFonts w:cs="Calibri"/>
                <w:szCs w:val="16"/>
              </w:rPr>
              <w:t>Flatland (0</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71282D66" w14:textId="77777777" w:rsidR="00E46639" w:rsidRPr="0028033B" w:rsidRDefault="00E46639" w:rsidP="00F16E23">
            <w:pPr>
              <w:pStyle w:val="TableText"/>
              <w:spacing w:before="40" w:after="40"/>
              <w:jc w:val="right"/>
              <w:rPr>
                <w:rFonts w:cs="Calibri"/>
                <w:szCs w:val="16"/>
              </w:rPr>
            </w:pPr>
            <w:r w:rsidRPr="0028033B">
              <w:rPr>
                <w:rFonts w:cs="Calibri"/>
                <w:szCs w:val="16"/>
              </w:rPr>
              <w:t>14</w:t>
            </w:r>
          </w:p>
        </w:tc>
        <w:tc>
          <w:tcPr>
            <w:tcW w:w="851" w:type="dxa"/>
            <w:tcBorders>
              <w:top w:val="single" w:sz="4" w:space="0" w:color="1B556B" w:themeColor="text2"/>
              <w:left w:val="nil"/>
              <w:bottom w:val="single" w:sz="4" w:space="0" w:color="1B556B" w:themeColor="text2"/>
              <w:right w:val="nil"/>
            </w:tcBorders>
          </w:tcPr>
          <w:p w14:paraId="2D628855" w14:textId="77777777" w:rsidR="00E46639" w:rsidRPr="0028033B" w:rsidRDefault="00E46639" w:rsidP="00F16E23">
            <w:pPr>
              <w:pStyle w:val="TableText"/>
              <w:spacing w:before="40" w:after="40"/>
              <w:jc w:val="right"/>
              <w:rPr>
                <w:rFonts w:cs="Calibri"/>
                <w:szCs w:val="16"/>
              </w:rPr>
            </w:pPr>
            <w:r w:rsidRPr="0028033B">
              <w:rPr>
                <w:rFonts w:cs="Calibri"/>
                <w:szCs w:val="16"/>
              </w:rPr>
              <w:t>34</w:t>
            </w:r>
          </w:p>
        </w:tc>
        <w:tc>
          <w:tcPr>
            <w:tcW w:w="851" w:type="dxa"/>
            <w:tcBorders>
              <w:top w:val="single" w:sz="4" w:space="0" w:color="1B556B" w:themeColor="text2"/>
              <w:left w:val="nil"/>
              <w:bottom w:val="single" w:sz="4" w:space="0" w:color="1B556B" w:themeColor="text2"/>
              <w:right w:val="nil"/>
            </w:tcBorders>
          </w:tcPr>
          <w:p w14:paraId="3814FC79" w14:textId="77777777" w:rsidR="00E46639" w:rsidRPr="0028033B" w:rsidRDefault="00E46639" w:rsidP="00F16E23">
            <w:pPr>
              <w:pStyle w:val="TableText"/>
              <w:spacing w:before="40" w:after="40"/>
              <w:jc w:val="right"/>
              <w:rPr>
                <w:rFonts w:cs="Calibri"/>
                <w:szCs w:val="16"/>
              </w:rPr>
            </w:pPr>
            <w:r w:rsidRPr="0028033B">
              <w:rPr>
                <w:rFonts w:cs="Calibri"/>
                <w:szCs w:val="16"/>
              </w:rPr>
              <w:t>36</w:t>
            </w:r>
          </w:p>
        </w:tc>
        <w:tc>
          <w:tcPr>
            <w:tcW w:w="851" w:type="dxa"/>
            <w:tcBorders>
              <w:top w:val="single" w:sz="4" w:space="0" w:color="1B556B" w:themeColor="text2"/>
              <w:left w:val="nil"/>
              <w:bottom w:val="single" w:sz="4" w:space="0" w:color="1B556B" w:themeColor="text2"/>
              <w:right w:val="nil"/>
            </w:tcBorders>
          </w:tcPr>
          <w:p w14:paraId="18266E66"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1565FAA0" w14:textId="77777777" w:rsidR="00E46639" w:rsidRPr="0028033B" w:rsidRDefault="00E46639" w:rsidP="00F16E23">
            <w:pPr>
              <w:pStyle w:val="TableText"/>
              <w:spacing w:before="40" w:after="40"/>
              <w:jc w:val="right"/>
              <w:rPr>
                <w:rFonts w:cs="Calibri"/>
                <w:szCs w:val="16"/>
              </w:rPr>
            </w:pPr>
            <w:r w:rsidRPr="0028033B">
              <w:rPr>
                <w:rFonts w:cs="Calibri"/>
                <w:szCs w:val="16"/>
              </w:rPr>
              <w:t>84</w:t>
            </w:r>
          </w:p>
        </w:tc>
      </w:tr>
      <w:tr w:rsidR="00E46639" w:rsidRPr="0028033B" w14:paraId="51BF2E51" w14:textId="77777777" w:rsidTr="00F16E23">
        <w:tc>
          <w:tcPr>
            <w:tcW w:w="2098" w:type="dxa"/>
            <w:tcBorders>
              <w:top w:val="single" w:sz="4" w:space="0" w:color="1B556B" w:themeColor="text2"/>
              <w:left w:val="nil"/>
              <w:bottom w:val="single" w:sz="4" w:space="0" w:color="1B556B" w:themeColor="text2"/>
              <w:right w:val="nil"/>
            </w:tcBorders>
          </w:tcPr>
          <w:p w14:paraId="081B0DDA"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0EF0E29" w14:textId="77777777" w:rsidR="00E46639" w:rsidRPr="0028033B" w:rsidRDefault="00E46639" w:rsidP="00F16E23">
            <w:pPr>
              <w:pStyle w:val="TableText"/>
              <w:spacing w:before="40" w:after="40"/>
              <w:rPr>
                <w:rFonts w:cs="Calibri"/>
                <w:szCs w:val="16"/>
              </w:rPr>
            </w:pPr>
            <w:r w:rsidRPr="0028033B">
              <w:rPr>
                <w:rFonts w:cs="Calibri"/>
                <w:szCs w:val="16"/>
              </w:rPr>
              <w:t>Low slope (0–12</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3DFEE395"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766D96CE" w14:textId="77777777" w:rsidR="00E46639" w:rsidRPr="0028033B" w:rsidRDefault="00E46639" w:rsidP="00F16E23">
            <w:pPr>
              <w:pStyle w:val="TableText"/>
              <w:spacing w:before="40" w:after="40"/>
              <w:jc w:val="right"/>
              <w:rPr>
                <w:rFonts w:cs="Calibri"/>
                <w:szCs w:val="16"/>
              </w:rPr>
            </w:pPr>
            <w:r w:rsidRPr="0028033B">
              <w:rPr>
                <w:rFonts w:cs="Calibri"/>
                <w:szCs w:val="16"/>
              </w:rPr>
              <w:t>26</w:t>
            </w:r>
          </w:p>
        </w:tc>
        <w:tc>
          <w:tcPr>
            <w:tcW w:w="851" w:type="dxa"/>
            <w:tcBorders>
              <w:top w:val="single" w:sz="4" w:space="0" w:color="1B556B" w:themeColor="text2"/>
              <w:left w:val="nil"/>
              <w:bottom w:val="single" w:sz="4" w:space="0" w:color="1B556B" w:themeColor="text2"/>
              <w:right w:val="nil"/>
            </w:tcBorders>
          </w:tcPr>
          <w:p w14:paraId="653F4835"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47C1FE55"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7846DDFD" w14:textId="77777777" w:rsidR="00E46639" w:rsidRPr="0028033B" w:rsidRDefault="00E46639" w:rsidP="00F16E23">
            <w:pPr>
              <w:pStyle w:val="TableText"/>
              <w:spacing w:before="40" w:after="40"/>
              <w:jc w:val="right"/>
              <w:rPr>
                <w:rFonts w:cs="Calibri"/>
                <w:szCs w:val="16"/>
              </w:rPr>
            </w:pPr>
            <w:r w:rsidRPr="0028033B">
              <w:rPr>
                <w:rFonts w:cs="Calibri"/>
                <w:szCs w:val="16"/>
              </w:rPr>
              <w:t>46</w:t>
            </w:r>
          </w:p>
        </w:tc>
      </w:tr>
      <w:tr w:rsidR="00E46639" w:rsidRPr="0028033B" w14:paraId="265B5B45" w14:textId="77777777" w:rsidTr="00F16E23">
        <w:tc>
          <w:tcPr>
            <w:tcW w:w="2098" w:type="dxa"/>
            <w:tcBorders>
              <w:top w:val="single" w:sz="4" w:space="0" w:color="1B556B" w:themeColor="text2"/>
              <w:left w:val="nil"/>
              <w:bottom w:val="single" w:sz="4" w:space="0" w:color="1B556B" w:themeColor="text2"/>
              <w:right w:val="nil"/>
            </w:tcBorders>
          </w:tcPr>
          <w:p w14:paraId="2E60B98F"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FBB7E83" w14:textId="77777777" w:rsidR="00E46639" w:rsidRPr="0028033B" w:rsidRDefault="00E46639" w:rsidP="00F16E23">
            <w:pPr>
              <w:pStyle w:val="TableText"/>
              <w:spacing w:before="40" w:after="40"/>
              <w:rPr>
                <w:rFonts w:cs="Calibri"/>
                <w:szCs w:val="16"/>
              </w:rPr>
            </w:pPr>
            <w:r w:rsidRPr="0028033B">
              <w:rPr>
                <w:rFonts w:cs="Calibri"/>
                <w:szCs w:val="16"/>
              </w:rPr>
              <w:t>Medium slope (12–24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66F14014"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50342CF6"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7CADB035"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E4DCF1A"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7A0ED702"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r>
      <w:tr w:rsidR="00E46639" w:rsidRPr="0028033B" w14:paraId="21C1971F" w14:textId="77777777" w:rsidTr="00F16E23">
        <w:tc>
          <w:tcPr>
            <w:tcW w:w="2098" w:type="dxa"/>
            <w:tcBorders>
              <w:top w:val="single" w:sz="4" w:space="0" w:color="1B556B" w:themeColor="text2"/>
              <w:left w:val="nil"/>
              <w:bottom w:val="single" w:sz="4" w:space="0" w:color="1B556B" w:themeColor="text2"/>
              <w:right w:val="nil"/>
            </w:tcBorders>
          </w:tcPr>
          <w:p w14:paraId="19C91D24"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36FB4F6" w14:textId="77777777" w:rsidR="00E46639" w:rsidRPr="0028033B" w:rsidRDefault="00E46639" w:rsidP="00F16E23">
            <w:pPr>
              <w:pStyle w:val="TableText"/>
              <w:spacing w:before="40" w:after="40"/>
              <w:rPr>
                <w:rFonts w:cs="Calibri"/>
                <w:szCs w:val="16"/>
              </w:rPr>
            </w:pPr>
            <w:r w:rsidRPr="0028033B">
              <w:rPr>
                <w:rFonts w:cs="Calibri"/>
                <w:szCs w:val="16"/>
              </w:rPr>
              <w:t>Steep slope (&gt;24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7F7E14C2"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2EF5D0D"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53D177E4"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5F13A33"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32527E3C" w14:textId="77777777" w:rsidR="00E46639" w:rsidRPr="0028033B" w:rsidRDefault="00E46639" w:rsidP="00F16E23">
            <w:pPr>
              <w:pStyle w:val="TableText"/>
              <w:spacing w:before="40" w:after="40"/>
              <w:jc w:val="right"/>
              <w:rPr>
                <w:rFonts w:cs="Calibri"/>
                <w:szCs w:val="16"/>
              </w:rPr>
            </w:pPr>
          </w:p>
        </w:tc>
      </w:tr>
      <w:tr w:rsidR="00E46639" w:rsidRPr="0028033B" w14:paraId="48E95786" w14:textId="77777777" w:rsidTr="00F16E23">
        <w:tc>
          <w:tcPr>
            <w:tcW w:w="2098" w:type="dxa"/>
            <w:tcBorders>
              <w:top w:val="single" w:sz="4" w:space="0" w:color="1B556B" w:themeColor="text2"/>
              <w:left w:val="nil"/>
              <w:bottom w:val="single" w:sz="4" w:space="0" w:color="1B556B" w:themeColor="text2"/>
              <w:right w:val="nil"/>
            </w:tcBorders>
          </w:tcPr>
          <w:p w14:paraId="1ACF3324" w14:textId="77777777" w:rsidR="00E46639" w:rsidRPr="0028033B" w:rsidRDefault="00E46639" w:rsidP="00F16E23">
            <w:pPr>
              <w:pStyle w:val="TableText"/>
              <w:spacing w:before="40" w:after="40"/>
              <w:rPr>
                <w:rFonts w:cs="Calibri"/>
                <w:szCs w:val="16"/>
              </w:rPr>
            </w:pPr>
            <w:r w:rsidRPr="0028033B">
              <w:rPr>
                <w:rFonts w:cs="Calibri"/>
                <w:szCs w:val="16"/>
              </w:rPr>
              <w:t>Non-dairy cattle urine</w:t>
            </w:r>
          </w:p>
        </w:tc>
        <w:tc>
          <w:tcPr>
            <w:tcW w:w="1814" w:type="dxa"/>
            <w:tcBorders>
              <w:top w:val="single" w:sz="4" w:space="0" w:color="1B556B" w:themeColor="text2"/>
              <w:left w:val="nil"/>
              <w:bottom w:val="single" w:sz="4" w:space="0" w:color="1B556B" w:themeColor="text2"/>
              <w:right w:val="nil"/>
            </w:tcBorders>
          </w:tcPr>
          <w:p w14:paraId="19E9AC5F" w14:textId="77777777" w:rsidR="00E46639" w:rsidRPr="0028033B" w:rsidRDefault="00E46639" w:rsidP="00F16E23">
            <w:pPr>
              <w:pStyle w:val="TableText"/>
              <w:spacing w:before="40" w:after="40"/>
              <w:rPr>
                <w:rFonts w:cs="Calibri"/>
                <w:szCs w:val="16"/>
              </w:rPr>
            </w:pPr>
            <w:r w:rsidRPr="0028033B">
              <w:rPr>
                <w:rFonts w:cs="Calibri"/>
                <w:szCs w:val="16"/>
              </w:rPr>
              <w:t>Flatland (0</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34866625"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30964AC" w14:textId="77777777" w:rsidR="00E46639" w:rsidRPr="0028033B" w:rsidRDefault="00E46639" w:rsidP="00F16E23">
            <w:pPr>
              <w:pStyle w:val="TableText"/>
              <w:spacing w:before="40" w:after="40"/>
              <w:jc w:val="right"/>
              <w:rPr>
                <w:rFonts w:cs="Calibri"/>
                <w:szCs w:val="16"/>
              </w:rPr>
            </w:pPr>
            <w:r w:rsidRPr="0028033B">
              <w:rPr>
                <w:rFonts w:cs="Calibri"/>
                <w:szCs w:val="16"/>
              </w:rPr>
              <w:t>8</w:t>
            </w:r>
          </w:p>
        </w:tc>
        <w:tc>
          <w:tcPr>
            <w:tcW w:w="851" w:type="dxa"/>
            <w:tcBorders>
              <w:top w:val="single" w:sz="4" w:space="0" w:color="1B556B" w:themeColor="text2"/>
              <w:left w:val="nil"/>
              <w:bottom w:val="single" w:sz="4" w:space="0" w:color="1B556B" w:themeColor="text2"/>
              <w:right w:val="nil"/>
            </w:tcBorders>
          </w:tcPr>
          <w:p w14:paraId="3A67DC0C"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3D718FBA"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48A3A477" w14:textId="77777777" w:rsidR="00E46639" w:rsidRPr="0028033B" w:rsidRDefault="00E46639" w:rsidP="00F16E23">
            <w:pPr>
              <w:pStyle w:val="TableText"/>
              <w:spacing w:before="40" w:after="40"/>
              <w:jc w:val="right"/>
              <w:rPr>
                <w:rFonts w:cs="Calibri"/>
                <w:szCs w:val="16"/>
              </w:rPr>
            </w:pPr>
            <w:r w:rsidRPr="0028033B">
              <w:rPr>
                <w:rFonts w:cs="Calibri"/>
                <w:szCs w:val="16"/>
              </w:rPr>
              <w:t>8</w:t>
            </w:r>
          </w:p>
        </w:tc>
      </w:tr>
      <w:tr w:rsidR="00E46639" w:rsidRPr="0028033B" w14:paraId="13A8318E" w14:textId="77777777" w:rsidTr="00F16E23">
        <w:tc>
          <w:tcPr>
            <w:tcW w:w="2098" w:type="dxa"/>
            <w:tcBorders>
              <w:top w:val="single" w:sz="4" w:space="0" w:color="1B556B" w:themeColor="text2"/>
              <w:left w:val="nil"/>
              <w:bottom w:val="single" w:sz="4" w:space="0" w:color="1B556B" w:themeColor="text2"/>
              <w:right w:val="nil"/>
            </w:tcBorders>
          </w:tcPr>
          <w:p w14:paraId="3ACF97E8"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9036C28" w14:textId="77777777" w:rsidR="00E46639" w:rsidRPr="0028033B" w:rsidRDefault="00E46639" w:rsidP="00F16E23">
            <w:pPr>
              <w:pStyle w:val="TableText"/>
              <w:spacing w:before="40" w:after="40"/>
              <w:rPr>
                <w:rFonts w:cs="Calibri"/>
                <w:szCs w:val="16"/>
              </w:rPr>
            </w:pPr>
            <w:r w:rsidRPr="0028033B">
              <w:rPr>
                <w:rFonts w:cs="Calibri"/>
                <w:szCs w:val="16"/>
              </w:rPr>
              <w:t>Low slope (0–12</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2359224F"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D85FA21"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07D99E21"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42941F2C"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477CA3E4" w14:textId="77777777" w:rsidR="00E46639" w:rsidRPr="0028033B" w:rsidRDefault="00E46639" w:rsidP="00F16E23">
            <w:pPr>
              <w:pStyle w:val="TableText"/>
              <w:spacing w:before="40" w:after="40"/>
              <w:jc w:val="right"/>
              <w:rPr>
                <w:rFonts w:cs="Calibri"/>
                <w:szCs w:val="16"/>
              </w:rPr>
            </w:pPr>
            <w:r w:rsidRPr="0028033B">
              <w:rPr>
                <w:rFonts w:cs="Calibri"/>
                <w:szCs w:val="16"/>
              </w:rPr>
              <w:t>40</w:t>
            </w:r>
          </w:p>
        </w:tc>
      </w:tr>
      <w:tr w:rsidR="00E46639" w:rsidRPr="0028033B" w14:paraId="57A66442" w14:textId="77777777" w:rsidTr="00F16E23">
        <w:tc>
          <w:tcPr>
            <w:tcW w:w="2098" w:type="dxa"/>
            <w:tcBorders>
              <w:top w:val="single" w:sz="4" w:space="0" w:color="1B556B" w:themeColor="text2"/>
              <w:left w:val="nil"/>
              <w:bottom w:val="single" w:sz="4" w:space="0" w:color="1B556B" w:themeColor="text2"/>
              <w:right w:val="nil"/>
            </w:tcBorders>
          </w:tcPr>
          <w:p w14:paraId="3681D241"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2D6BCDE6" w14:textId="77777777" w:rsidR="00E46639" w:rsidRPr="0028033B" w:rsidRDefault="00E46639" w:rsidP="00F16E23">
            <w:pPr>
              <w:pStyle w:val="TableText"/>
              <w:spacing w:before="40" w:after="40"/>
              <w:rPr>
                <w:rFonts w:cs="Calibri"/>
                <w:szCs w:val="16"/>
              </w:rPr>
            </w:pPr>
            <w:r w:rsidRPr="0028033B">
              <w:rPr>
                <w:rFonts w:cs="Calibri"/>
                <w:szCs w:val="16"/>
              </w:rPr>
              <w:t>Medium slope (12–24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1BC6B292"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30BD3F7D" w14:textId="77777777" w:rsidR="00E46639" w:rsidRPr="0028033B" w:rsidRDefault="00E46639" w:rsidP="00F16E23">
            <w:pPr>
              <w:pStyle w:val="TableText"/>
              <w:spacing w:before="40" w:after="40"/>
              <w:jc w:val="right"/>
              <w:rPr>
                <w:rFonts w:cs="Calibri"/>
                <w:szCs w:val="16"/>
              </w:rPr>
            </w:pPr>
            <w:r w:rsidRPr="0028033B">
              <w:rPr>
                <w:rFonts w:cs="Calibri"/>
                <w:szCs w:val="16"/>
              </w:rPr>
              <w:t>30</w:t>
            </w:r>
          </w:p>
        </w:tc>
        <w:tc>
          <w:tcPr>
            <w:tcW w:w="851" w:type="dxa"/>
            <w:tcBorders>
              <w:top w:val="single" w:sz="4" w:space="0" w:color="1B556B" w:themeColor="text2"/>
              <w:left w:val="nil"/>
              <w:bottom w:val="single" w:sz="4" w:space="0" w:color="1B556B" w:themeColor="text2"/>
              <w:right w:val="nil"/>
            </w:tcBorders>
          </w:tcPr>
          <w:p w14:paraId="67397DF1"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3A17718"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0462A6D1" w14:textId="77777777" w:rsidR="00E46639" w:rsidRPr="0028033B" w:rsidRDefault="00E46639" w:rsidP="00F16E23">
            <w:pPr>
              <w:pStyle w:val="TableText"/>
              <w:spacing w:before="40" w:after="40"/>
              <w:jc w:val="right"/>
              <w:rPr>
                <w:rFonts w:cs="Calibri"/>
                <w:szCs w:val="16"/>
              </w:rPr>
            </w:pPr>
            <w:r w:rsidRPr="0028033B">
              <w:rPr>
                <w:rFonts w:cs="Calibri"/>
                <w:szCs w:val="16"/>
              </w:rPr>
              <w:t>60</w:t>
            </w:r>
          </w:p>
        </w:tc>
      </w:tr>
      <w:tr w:rsidR="00E46639" w:rsidRPr="0028033B" w14:paraId="457918CA" w14:textId="77777777" w:rsidTr="00F16E23">
        <w:tc>
          <w:tcPr>
            <w:tcW w:w="2098" w:type="dxa"/>
            <w:tcBorders>
              <w:top w:val="single" w:sz="4" w:space="0" w:color="1B556B" w:themeColor="text2"/>
              <w:left w:val="nil"/>
              <w:bottom w:val="single" w:sz="4" w:space="0" w:color="1B556B" w:themeColor="text2"/>
              <w:right w:val="nil"/>
            </w:tcBorders>
          </w:tcPr>
          <w:p w14:paraId="25612AFE"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BBB2526" w14:textId="77777777" w:rsidR="00E46639" w:rsidRPr="0028033B" w:rsidRDefault="00E46639" w:rsidP="00F16E23">
            <w:pPr>
              <w:pStyle w:val="TableText"/>
              <w:spacing w:before="40" w:after="40"/>
              <w:rPr>
                <w:rFonts w:cs="Calibri"/>
                <w:szCs w:val="16"/>
              </w:rPr>
            </w:pPr>
            <w:r w:rsidRPr="0028033B">
              <w:rPr>
                <w:rFonts w:cs="Calibri"/>
                <w:szCs w:val="16"/>
              </w:rPr>
              <w:t>Steep slope (&gt;24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758CD23B"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366A20D0"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20799D50"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7494C00E"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0998C98F"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r>
      <w:tr w:rsidR="00E46639" w:rsidRPr="0028033B" w14:paraId="148467A5" w14:textId="77777777" w:rsidTr="00F16E23">
        <w:tc>
          <w:tcPr>
            <w:tcW w:w="2098" w:type="dxa"/>
            <w:tcBorders>
              <w:top w:val="single" w:sz="4" w:space="0" w:color="1B556B" w:themeColor="text2"/>
              <w:left w:val="nil"/>
              <w:bottom w:val="single" w:sz="4" w:space="0" w:color="1B556B" w:themeColor="text2"/>
              <w:right w:val="nil"/>
            </w:tcBorders>
          </w:tcPr>
          <w:p w14:paraId="51B8CCCE" w14:textId="77777777" w:rsidR="00E46639" w:rsidRPr="0028033B" w:rsidRDefault="00E46639" w:rsidP="00F16E23">
            <w:pPr>
              <w:pStyle w:val="TableText"/>
              <w:spacing w:before="40" w:after="40"/>
              <w:rPr>
                <w:rFonts w:cs="Calibri"/>
                <w:szCs w:val="16"/>
              </w:rPr>
            </w:pPr>
            <w:r w:rsidRPr="0028033B">
              <w:rPr>
                <w:rFonts w:cs="Calibri"/>
                <w:szCs w:val="16"/>
              </w:rPr>
              <w:t>Non-dairy cattle dung</w:t>
            </w:r>
          </w:p>
        </w:tc>
        <w:tc>
          <w:tcPr>
            <w:tcW w:w="1814" w:type="dxa"/>
            <w:tcBorders>
              <w:top w:val="single" w:sz="4" w:space="0" w:color="1B556B" w:themeColor="text2"/>
              <w:left w:val="nil"/>
              <w:bottom w:val="single" w:sz="4" w:space="0" w:color="1B556B" w:themeColor="text2"/>
              <w:right w:val="nil"/>
            </w:tcBorders>
          </w:tcPr>
          <w:p w14:paraId="3995E95B" w14:textId="77777777" w:rsidR="00E46639" w:rsidRPr="0028033B" w:rsidRDefault="00E46639" w:rsidP="00F16E23">
            <w:pPr>
              <w:pStyle w:val="TableText"/>
              <w:spacing w:before="40" w:after="40"/>
              <w:rPr>
                <w:rFonts w:cs="Calibri"/>
                <w:szCs w:val="16"/>
              </w:rPr>
            </w:pPr>
            <w:r w:rsidRPr="0028033B">
              <w:rPr>
                <w:rFonts w:cs="Calibri"/>
                <w:szCs w:val="16"/>
              </w:rPr>
              <w:t>Flatland (0</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47261ED3"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1C796B88"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791F02F0"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35C0BCC8"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3E17076B" w14:textId="77777777" w:rsidR="00E46639" w:rsidRPr="0028033B" w:rsidRDefault="00E46639" w:rsidP="00F16E23">
            <w:pPr>
              <w:pStyle w:val="TableText"/>
              <w:spacing w:before="40" w:after="40"/>
              <w:jc w:val="right"/>
              <w:rPr>
                <w:rFonts w:cs="Calibri"/>
                <w:szCs w:val="16"/>
              </w:rPr>
            </w:pPr>
          </w:p>
        </w:tc>
      </w:tr>
      <w:tr w:rsidR="00E46639" w:rsidRPr="0028033B" w14:paraId="0AC69E44" w14:textId="77777777" w:rsidTr="00F16E23">
        <w:tc>
          <w:tcPr>
            <w:tcW w:w="2098" w:type="dxa"/>
            <w:tcBorders>
              <w:top w:val="single" w:sz="4" w:space="0" w:color="1B556B" w:themeColor="text2"/>
              <w:left w:val="nil"/>
              <w:bottom w:val="single" w:sz="4" w:space="0" w:color="1B556B" w:themeColor="text2"/>
              <w:right w:val="nil"/>
            </w:tcBorders>
          </w:tcPr>
          <w:p w14:paraId="3688DB44"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3B508DA1" w14:textId="77777777" w:rsidR="00E46639" w:rsidRPr="0028033B" w:rsidRDefault="00E46639" w:rsidP="00F16E23">
            <w:pPr>
              <w:pStyle w:val="TableText"/>
              <w:spacing w:before="40" w:after="40"/>
              <w:rPr>
                <w:rFonts w:cs="Calibri"/>
                <w:szCs w:val="16"/>
              </w:rPr>
            </w:pPr>
            <w:r w:rsidRPr="0028033B">
              <w:rPr>
                <w:rFonts w:cs="Calibri"/>
                <w:szCs w:val="16"/>
              </w:rPr>
              <w:t>Low slope (0–12</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1C562FBC"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3171F565" w14:textId="77777777" w:rsidR="00E46639" w:rsidRPr="0028033B" w:rsidRDefault="00E46639" w:rsidP="00F16E23">
            <w:pPr>
              <w:pStyle w:val="TableText"/>
              <w:spacing w:before="40" w:after="40"/>
              <w:jc w:val="right"/>
              <w:rPr>
                <w:rFonts w:cs="Calibri"/>
                <w:szCs w:val="16"/>
              </w:rPr>
            </w:pPr>
            <w:r w:rsidRPr="0028033B">
              <w:rPr>
                <w:rFonts w:cs="Calibri"/>
                <w:szCs w:val="16"/>
              </w:rPr>
              <w:t>28</w:t>
            </w:r>
          </w:p>
        </w:tc>
        <w:tc>
          <w:tcPr>
            <w:tcW w:w="851" w:type="dxa"/>
            <w:tcBorders>
              <w:top w:val="single" w:sz="4" w:space="0" w:color="1B556B" w:themeColor="text2"/>
              <w:left w:val="nil"/>
              <w:bottom w:val="single" w:sz="4" w:space="0" w:color="1B556B" w:themeColor="text2"/>
              <w:right w:val="nil"/>
            </w:tcBorders>
          </w:tcPr>
          <w:p w14:paraId="7BE00312" w14:textId="77777777" w:rsidR="00E46639" w:rsidRPr="0028033B" w:rsidRDefault="00E46639" w:rsidP="00F16E23">
            <w:pPr>
              <w:pStyle w:val="TableText"/>
              <w:spacing w:before="40" w:after="40"/>
              <w:jc w:val="right"/>
              <w:rPr>
                <w:rFonts w:cs="Calibri"/>
                <w:szCs w:val="16"/>
              </w:rPr>
            </w:pPr>
            <w:r w:rsidRPr="0028033B">
              <w:rPr>
                <w:rFonts w:cs="Calibri"/>
                <w:szCs w:val="16"/>
              </w:rPr>
              <w:t>8</w:t>
            </w:r>
          </w:p>
        </w:tc>
        <w:tc>
          <w:tcPr>
            <w:tcW w:w="851" w:type="dxa"/>
            <w:tcBorders>
              <w:top w:val="single" w:sz="4" w:space="0" w:color="1B556B" w:themeColor="text2"/>
              <w:left w:val="nil"/>
              <w:bottom w:val="single" w:sz="4" w:space="0" w:color="1B556B" w:themeColor="text2"/>
              <w:right w:val="nil"/>
            </w:tcBorders>
          </w:tcPr>
          <w:p w14:paraId="5BE2D282"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27B2A091" w14:textId="77777777" w:rsidR="00E46639" w:rsidRPr="0028033B" w:rsidRDefault="00E46639" w:rsidP="00F16E23">
            <w:pPr>
              <w:pStyle w:val="TableText"/>
              <w:spacing w:before="40" w:after="40"/>
              <w:jc w:val="right"/>
              <w:rPr>
                <w:rFonts w:cs="Calibri"/>
                <w:szCs w:val="16"/>
              </w:rPr>
            </w:pPr>
            <w:r w:rsidRPr="0028033B">
              <w:rPr>
                <w:rFonts w:cs="Calibri"/>
                <w:szCs w:val="16"/>
              </w:rPr>
              <w:t>76</w:t>
            </w:r>
          </w:p>
        </w:tc>
      </w:tr>
      <w:tr w:rsidR="00E46639" w:rsidRPr="0028033B" w14:paraId="50E1D8E2" w14:textId="77777777" w:rsidTr="00F16E23">
        <w:tc>
          <w:tcPr>
            <w:tcW w:w="2098" w:type="dxa"/>
            <w:tcBorders>
              <w:top w:val="single" w:sz="4" w:space="0" w:color="1B556B" w:themeColor="text2"/>
              <w:left w:val="nil"/>
              <w:bottom w:val="single" w:sz="4" w:space="0" w:color="1B556B" w:themeColor="text2"/>
              <w:right w:val="nil"/>
            </w:tcBorders>
          </w:tcPr>
          <w:p w14:paraId="00B2440A"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1E8E2FD" w14:textId="77777777" w:rsidR="00E46639" w:rsidRPr="0028033B" w:rsidRDefault="00E46639" w:rsidP="00F16E23">
            <w:pPr>
              <w:pStyle w:val="TableText"/>
              <w:spacing w:before="40" w:after="40"/>
              <w:rPr>
                <w:rFonts w:cs="Calibri"/>
                <w:szCs w:val="16"/>
              </w:rPr>
            </w:pPr>
            <w:r w:rsidRPr="0028033B">
              <w:rPr>
                <w:rFonts w:cs="Calibri"/>
                <w:szCs w:val="16"/>
              </w:rPr>
              <w:t>Medium slope (12–24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6E58D5F5"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6114F956" w14:textId="77777777" w:rsidR="00E46639" w:rsidRPr="0028033B" w:rsidRDefault="00E46639" w:rsidP="00F16E23">
            <w:pPr>
              <w:pStyle w:val="TableText"/>
              <w:spacing w:before="40" w:after="40"/>
              <w:jc w:val="right"/>
              <w:rPr>
                <w:rFonts w:cs="Calibri"/>
                <w:szCs w:val="16"/>
              </w:rPr>
            </w:pPr>
            <w:r w:rsidRPr="0028033B">
              <w:rPr>
                <w:rFonts w:cs="Calibri"/>
                <w:szCs w:val="16"/>
              </w:rPr>
              <w:t>30</w:t>
            </w:r>
          </w:p>
        </w:tc>
        <w:tc>
          <w:tcPr>
            <w:tcW w:w="851" w:type="dxa"/>
            <w:tcBorders>
              <w:top w:val="single" w:sz="4" w:space="0" w:color="1B556B" w:themeColor="text2"/>
              <w:left w:val="nil"/>
              <w:bottom w:val="single" w:sz="4" w:space="0" w:color="1B556B" w:themeColor="text2"/>
              <w:right w:val="nil"/>
            </w:tcBorders>
          </w:tcPr>
          <w:p w14:paraId="7CAE3048"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417F2468"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45A47323" w14:textId="77777777" w:rsidR="00E46639" w:rsidRPr="0028033B" w:rsidRDefault="00E46639" w:rsidP="00F16E23">
            <w:pPr>
              <w:pStyle w:val="TableText"/>
              <w:spacing w:before="40" w:after="40"/>
              <w:jc w:val="right"/>
              <w:rPr>
                <w:rFonts w:cs="Calibri"/>
                <w:szCs w:val="16"/>
              </w:rPr>
            </w:pPr>
            <w:r w:rsidRPr="0028033B">
              <w:rPr>
                <w:rFonts w:cs="Calibri"/>
                <w:szCs w:val="16"/>
              </w:rPr>
              <w:t>60</w:t>
            </w:r>
          </w:p>
        </w:tc>
      </w:tr>
      <w:tr w:rsidR="00E46639" w:rsidRPr="0028033B" w14:paraId="45AF6EE0" w14:textId="77777777" w:rsidTr="00F16E23">
        <w:tc>
          <w:tcPr>
            <w:tcW w:w="2098" w:type="dxa"/>
            <w:tcBorders>
              <w:top w:val="single" w:sz="4" w:space="0" w:color="1B556B" w:themeColor="text2"/>
              <w:left w:val="nil"/>
              <w:bottom w:val="single" w:sz="4" w:space="0" w:color="1B556B" w:themeColor="text2"/>
              <w:right w:val="nil"/>
            </w:tcBorders>
          </w:tcPr>
          <w:p w14:paraId="034A47C6"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3B01919" w14:textId="77777777" w:rsidR="00E46639" w:rsidRPr="0028033B" w:rsidRDefault="00E46639" w:rsidP="00F16E23">
            <w:pPr>
              <w:pStyle w:val="TableText"/>
              <w:spacing w:before="40" w:after="40"/>
              <w:rPr>
                <w:rFonts w:cs="Calibri"/>
                <w:szCs w:val="16"/>
              </w:rPr>
            </w:pPr>
            <w:r w:rsidRPr="0028033B">
              <w:rPr>
                <w:rFonts w:cs="Calibri"/>
                <w:szCs w:val="16"/>
              </w:rPr>
              <w:t>Steep slope (&gt;24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25BFA755"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44832ACA"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770D6916"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58856BCC"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1185663A"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r>
      <w:tr w:rsidR="00E46639" w:rsidRPr="0028033B" w14:paraId="66EBF260" w14:textId="77777777" w:rsidTr="00F16E23">
        <w:tc>
          <w:tcPr>
            <w:tcW w:w="2098" w:type="dxa"/>
            <w:tcBorders>
              <w:top w:val="single" w:sz="4" w:space="0" w:color="1B556B" w:themeColor="text2"/>
              <w:left w:val="nil"/>
              <w:bottom w:val="single" w:sz="4" w:space="0" w:color="1B556B" w:themeColor="text2"/>
              <w:right w:val="nil"/>
            </w:tcBorders>
          </w:tcPr>
          <w:p w14:paraId="763D5CDD" w14:textId="77777777" w:rsidR="00E46639" w:rsidRPr="0028033B" w:rsidRDefault="00E46639" w:rsidP="00F16E23">
            <w:pPr>
              <w:pStyle w:val="TableText"/>
              <w:spacing w:before="40" w:after="40"/>
              <w:rPr>
                <w:rFonts w:cs="Calibri"/>
                <w:szCs w:val="16"/>
              </w:rPr>
            </w:pPr>
            <w:r w:rsidRPr="0028033B">
              <w:rPr>
                <w:rFonts w:cs="Calibri"/>
                <w:szCs w:val="16"/>
              </w:rPr>
              <w:t>Sheep urine</w:t>
            </w:r>
          </w:p>
        </w:tc>
        <w:tc>
          <w:tcPr>
            <w:tcW w:w="1814" w:type="dxa"/>
            <w:tcBorders>
              <w:top w:val="single" w:sz="4" w:space="0" w:color="1B556B" w:themeColor="text2"/>
              <w:left w:val="nil"/>
              <w:bottom w:val="single" w:sz="4" w:space="0" w:color="1B556B" w:themeColor="text2"/>
              <w:right w:val="nil"/>
            </w:tcBorders>
          </w:tcPr>
          <w:p w14:paraId="2B209428" w14:textId="77777777" w:rsidR="00E46639" w:rsidRPr="0028033B" w:rsidRDefault="00E46639" w:rsidP="00F16E23">
            <w:pPr>
              <w:pStyle w:val="TableText"/>
              <w:spacing w:before="40" w:after="40"/>
              <w:rPr>
                <w:rFonts w:cs="Calibri"/>
                <w:szCs w:val="16"/>
              </w:rPr>
            </w:pPr>
            <w:r w:rsidRPr="0028033B">
              <w:rPr>
                <w:rFonts w:cs="Calibri"/>
                <w:szCs w:val="16"/>
              </w:rPr>
              <w:t>Flatland (0</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1BE07E67" w14:textId="77777777" w:rsidR="00E46639" w:rsidRPr="0028033B" w:rsidRDefault="00E46639" w:rsidP="00F16E23">
            <w:pPr>
              <w:pStyle w:val="TableText"/>
              <w:spacing w:before="40" w:after="40"/>
              <w:jc w:val="right"/>
              <w:rPr>
                <w:rFonts w:cs="Calibri"/>
                <w:szCs w:val="16"/>
              </w:rPr>
            </w:pPr>
            <w:r w:rsidRPr="0028033B">
              <w:rPr>
                <w:rFonts w:cs="Calibri"/>
                <w:szCs w:val="16"/>
              </w:rPr>
              <w:t>8</w:t>
            </w:r>
          </w:p>
        </w:tc>
        <w:tc>
          <w:tcPr>
            <w:tcW w:w="851" w:type="dxa"/>
            <w:tcBorders>
              <w:top w:val="single" w:sz="4" w:space="0" w:color="1B556B" w:themeColor="text2"/>
              <w:left w:val="nil"/>
              <w:bottom w:val="single" w:sz="4" w:space="0" w:color="1B556B" w:themeColor="text2"/>
              <w:right w:val="nil"/>
            </w:tcBorders>
          </w:tcPr>
          <w:p w14:paraId="0E5DEDEB" w14:textId="77777777" w:rsidR="00E46639" w:rsidRPr="0028033B" w:rsidRDefault="00E46639" w:rsidP="00F16E23">
            <w:pPr>
              <w:pStyle w:val="TableText"/>
              <w:spacing w:before="40" w:after="40"/>
              <w:jc w:val="right"/>
              <w:rPr>
                <w:rFonts w:cs="Calibri"/>
                <w:szCs w:val="16"/>
              </w:rPr>
            </w:pPr>
            <w:r w:rsidRPr="0028033B">
              <w:rPr>
                <w:rFonts w:cs="Calibri"/>
                <w:szCs w:val="16"/>
              </w:rPr>
              <w:t>8</w:t>
            </w:r>
          </w:p>
        </w:tc>
        <w:tc>
          <w:tcPr>
            <w:tcW w:w="851" w:type="dxa"/>
            <w:tcBorders>
              <w:top w:val="single" w:sz="4" w:space="0" w:color="1B556B" w:themeColor="text2"/>
              <w:left w:val="nil"/>
              <w:bottom w:val="single" w:sz="4" w:space="0" w:color="1B556B" w:themeColor="text2"/>
              <w:right w:val="nil"/>
            </w:tcBorders>
          </w:tcPr>
          <w:p w14:paraId="447D0233"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0ACA305A"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09ADADA9" w14:textId="77777777" w:rsidR="00E46639" w:rsidRPr="0028033B" w:rsidRDefault="00E46639" w:rsidP="00F16E23">
            <w:pPr>
              <w:pStyle w:val="TableText"/>
              <w:spacing w:before="40" w:after="40"/>
              <w:jc w:val="right"/>
              <w:rPr>
                <w:rFonts w:cs="Calibri"/>
                <w:szCs w:val="16"/>
              </w:rPr>
            </w:pPr>
            <w:r w:rsidRPr="0028033B">
              <w:rPr>
                <w:rFonts w:cs="Calibri"/>
                <w:szCs w:val="16"/>
              </w:rPr>
              <w:t>36</w:t>
            </w:r>
          </w:p>
        </w:tc>
      </w:tr>
      <w:tr w:rsidR="00E46639" w:rsidRPr="0028033B" w14:paraId="046F7B3D" w14:textId="77777777" w:rsidTr="00F16E23">
        <w:tc>
          <w:tcPr>
            <w:tcW w:w="2098" w:type="dxa"/>
            <w:tcBorders>
              <w:top w:val="single" w:sz="4" w:space="0" w:color="1B556B" w:themeColor="text2"/>
              <w:left w:val="nil"/>
              <w:bottom w:val="single" w:sz="4" w:space="0" w:color="1B556B" w:themeColor="text2"/>
              <w:right w:val="nil"/>
            </w:tcBorders>
          </w:tcPr>
          <w:p w14:paraId="04BE3FBE"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1A020F6" w14:textId="77777777" w:rsidR="00E46639" w:rsidRPr="0028033B" w:rsidRDefault="00E46639" w:rsidP="00F16E23">
            <w:pPr>
              <w:pStyle w:val="TableText"/>
              <w:spacing w:before="40" w:after="40"/>
              <w:rPr>
                <w:rFonts w:cs="Calibri"/>
                <w:szCs w:val="16"/>
              </w:rPr>
            </w:pPr>
            <w:r w:rsidRPr="0028033B">
              <w:rPr>
                <w:rFonts w:cs="Calibri"/>
                <w:szCs w:val="16"/>
              </w:rPr>
              <w:t>Low slope (0–12</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471D350A" w14:textId="77777777" w:rsidR="00E46639" w:rsidRPr="0028033B" w:rsidRDefault="00E46639" w:rsidP="00F16E23">
            <w:pPr>
              <w:pStyle w:val="TableText"/>
              <w:spacing w:before="40" w:after="40"/>
              <w:jc w:val="right"/>
              <w:rPr>
                <w:rFonts w:cs="Calibri"/>
                <w:szCs w:val="16"/>
              </w:rPr>
            </w:pPr>
            <w:r w:rsidRPr="0028033B">
              <w:rPr>
                <w:rFonts w:cs="Calibri"/>
                <w:szCs w:val="16"/>
              </w:rPr>
              <w:t>24</w:t>
            </w:r>
          </w:p>
        </w:tc>
        <w:tc>
          <w:tcPr>
            <w:tcW w:w="851" w:type="dxa"/>
            <w:tcBorders>
              <w:top w:val="single" w:sz="4" w:space="0" w:color="1B556B" w:themeColor="text2"/>
              <w:left w:val="nil"/>
              <w:bottom w:val="single" w:sz="4" w:space="0" w:color="1B556B" w:themeColor="text2"/>
              <w:right w:val="nil"/>
            </w:tcBorders>
          </w:tcPr>
          <w:p w14:paraId="468898E6"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015E8859" w14:textId="77777777" w:rsidR="00E46639" w:rsidRPr="0028033B" w:rsidRDefault="00E46639" w:rsidP="00F16E23">
            <w:pPr>
              <w:pStyle w:val="TableText"/>
              <w:spacing w:before="40" w:after="40"/>
              <w:jc w:val="right"/>
              <w:rPr>
                <w:rFonts w:cs="Calibri"/>
                <w:szCs w:val="16"/>
              </w:rPr>
            </w:pPr>
            <w:r w:rsidRPr="0028033B">
              <w:rPr>
                <w:rFonts w:cs="Calibri"/>
                <w:szCs w:val="16"/>
              </w:rPr>
              <w:t>44</w:t>
            </w:r>
          </w:p>
        </w:tc>
        <w:tc>
          <w:tcPr>
            <w:tcW w:w="851" w:type="dxa"/>
            <w:tcBorders>
              <w:top w:val="single" w:sz="4" w:space="0" w:color="1B556B" w:themeColor="text2"/>
              <w:left w:val="nil"/>
              <w:bottom w:val="single" w:sz="4" w:space="0" w:color="1B556B" w:themeColor="text2"/>
              <w:right w:val="nil"/>
            </w:tcBorders>
          </w:tcPr>
          <w:p w14:paraId="22A17B2D"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7FF33B5" w14:textId="77777777" w:rsidR="00E46639" w:rsidRPr="0028033B" w:rsidRDefault="00E46639" w:rsidP="00F16E23">
            <w:pPr>
              <w:pStyle w:val="TableText"/>
              <w:spacing w:before="40" w:after="40"/>
              <w:jc w:val="right"/>
              <w:rPr>
                <w:rFonts w:cs="Calibri"/>
                <w:szCs w:val="16"/>
              </w:rPr>
            </w:pPr>
            <w:r w:rsidRPr="0028033B">
              <w:rPr>
                <w:rFonts w:cs="Calibri"/>
                <w:szCs w:val="16"/>
              </w:rPr>
              <w:t>68</w:t>
            </w:r>
          </w:p>
        </w:tc>
      </w:tr>
      <w:tr w:rsidR="00E46639" w:rsidRPr="0028033B" w14:paraId="7AA9E439" w14:textId="77777777" w:rsidTr="00F16E23">
        <w:tc>
          <w:tcPr>
            <w:tcW w:w="2098" w:type="dxa"/>
            <w:tcBorders>
              <w:top w:val="single" w:sz="4" w:space="0" w:color="1B556B" w:themeColor="text2"/>
              <w:left w:val="nil"/>
              <w:bottom w:val="single" w:sz="4" w:space="0" w:color="1B556B" w:themeColor="text2"/>
              <w:right w:val="nil"/>
            </w:tcBorders>
          </w:tcPr>
          <w:p w14:paraId="43D79223"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00E2909" w14:textId="77777777" w:rsidR="00E46639" w:rsidRPr="0028033B" w:rsidRDefault="00E46639" w:rsidP="00F16E23">
            <w:pPr>
              <w:pStyle w:val="TableText"/>
              <w:spacing w:before="40" w:after="40"/>
              <w:rPr>
                <w:rFonts w:cs="Calibri"/>
                <w:szCs w:val="16"/>
              </w:rPr>
            </w:pPr>
            <w:r w:rsidRPr="0028033B">
              <w:rPr>
                <w:rFonts w:cs="Calibri"/>
                <w:szCs w:val="16"/>
              </w:rPr>
              <w:t>Medium slope (12–24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7A491808" w14:textId="77777777" w:rsidR="00E46639" w:rsidRPr="0028033B" w:rsidRDefault="00E46639" w:rsidP="00F16E23">
            <w:pPr>
              <w:pStyle w:val="TableText"/>
              <w:spacing w:before="40" w:after="40"/>
              <w:jc w:val="right"/>
              <w:rPr>
                <w:rFonts w:cs="Calibri"/>
                <w:szCs w:val="16"/>
              </w:rPr>
            </w:pPr>
            <w:r w:rsidRPr="0028033B">
              <w:rPr>
                <w:rFonts w:cs="Calibri"/>
                <w:szCs w:val="16"/>
              </w:rPr>
              <w:t>30</w:t>
            </w:r>
          </w:p>
        </w:tc>
        <w:tc>
          <w:tcPr>
            <w:tcW w:w="851" w:type="dxa"/>
            <w:tcBorders>
              <w:top w:val="single" w:sz="4" w:space="0" w:color="1B556B" w:themeColor="text2"/>
              <w:left w:val="nil"/>
              <w:bottom w:val="single" w:sz="4" w:space="0" w:color="1B556B" w:themeColor="text2"/>
              <w:right w:val="nil"/>
            </w:tcBorders>
          </w:tcPr>
          <w:p w14:paraId="612BDBF9"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6AA2BD0A"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003B23D2"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77D9D413" w14:textId="77777777" w:rsidR="00E46639" w:rsidRPr="0028033B" w:rsidRDefault="00E46639" w:rsidP="00F16E23">
            <w:pPr>
              <w:pStyle w:val="TableText"/>
              <w:spacing w:before="40" w:after="40"/>
              <w:jc w:val="right"/>
              <w:rPr>
                <w:rFonts w:cs="Calibri"/>
                <w:szCs w:val="16"/>
              </w:rPr>
            </w:pPr>
            <w:r w:rsidRPr="0028033B">
              <w:rPr>
                <w:rFonts w:cs="Calibri"/>
                <w:szCs w:val="16"/>
              </w:rPr>
              <w:t>60</w:t>
            </w:r>
          </w:p>
        </w:tc>
      </w:tr>
      <w:tr w:rsidR="00E46639" w:rsidRPr="0028033B" w14:paraId="5A205296" w14:textId="77777777" w:rsidTr="00F16E23">
        <w:tc>
          <w:tcPr>
            <w:tcW w:w="2098" w:type="dxa"/>
            <w:tcBorders>
              <w:top w:val="single" w:sz="4" w:space="0" w:color="1B556B" w:themeColor="text2"/>
              <w:left w:val="nil"/>
              <w:bottom w:val="single" w:sz="4" w:space="0" w:color="1B556B" w:themeColor="text2"/>
              <w:right w:val="nil"/>
            </w:tcBorders>
          </w:tcPr>
          <w:p w14:paraId="62A54894"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79DE48ED" w14:textId="77777777" w:rsidR="00E46639" w:rsidRPr="0028033B" w:rsidRDefault="00E46639" w:rsidP="00F16E23">
            <w:pPr>
              <w:pStyle w:val="TableText"/>
              <w:spacing w:before="40" w:after="40"/>
              <w:rPr>
                <w:rFonts w:cs="Calibri"/>
                <w:szCs w:val="16"/>
              </w:rPr>
            </w:pPr>
            <w:r w:rsidRPr="0028033B">
              <w:rPr>
                <w:rFonts w:cs="Calibri"/>
                <w:szCs w:val="16"/>
              </w:rPr>
              <w:t>Steep slope (&gt;24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5FA0B344"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330A2B9E"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2838262A"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0D1CE3F7"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86231E1"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r>
      <w:tr w:rsidR="00E46639" w:rsidRPr="0028033B" w14:paraId="7F977FD9" w14:textId="77777777" w:rsidTr="00F16E23">
        <w:tc>
          <w:tcPr>
            <w:tcW w:w="2098" w:type="dxa"/>
            <w:tcBorders>
              <w:top w:val="single" w:sz="4" w:space="0" w:color="1B556B" w:themeColor="text2"/>
              <w:left w:val="nil"/>
              <w:bottom w:val="single" w:sz="4" w:space="0" w:color="1B556B" w:themeColor="text2"/>
              <w:right w:val="nil"/>
            </w:tcBorders>
          </w:tcPr>
          <w:p w14:paraId="250D3A22" w14:textId="77777777" w:rsidR="00E46639" w:rsidRPr="0028033B" w:rsidRDefault="00E46639" w:rsidP="00F16E23">
            <w:pPr>
              <w:pStyle w:val="TableText"/>
              <w:spacing w:before="40" w:after="40"/>
              <w:rPr>
                <w:rFonts w:cs="Calibri"/>
                <w:szCs w:val="16"/>
              </w:rPr>
            </w:pPr>
            <w:r w:rsidRPr="0028033B">
              <w:rPr>
                <w:rFonts w:cs="Calibri"/>
                <w:szCs w:val="16"/>
              </w:rPr>
              <w:t>Sheep dung</w:t>
            </w:r>
          </w:p>
        </w:tc>
        <w:tc>
          <w:tcPr>
            <w:tcW w:w="1814" w:type="dxa"/>
            <w:tcBorders>
              <w:top w:val="single" w:sz="4" w:space="0" w:color="1B556B" w:themeColor="text2"/>
              <w:left w:val="nil"/>
              <w:bottom w:val="single" w:sz="4" w:space="0" w:color="1B556B" w:themeColor="text2"/>
              <w:right w:val="nil"/>
            </w:tcBorders>
          </w:tcPr>
          <w:p w14:paraId="077BE493" w14:textId="77777777" w:rsidR="00E46639" w:rsidRPr="0028033B" w:rsidRDefault="00E46639" w:rsidP="00F16E23">
            <w:pPr>
              <w:pStyle w:val="TableText"/>
              <w:spacing w:before="40" w:after="40"/>
              <w:rPr>
                <w:rFonts w:cs="Calibri"/>
                <w:szCs w:val="16"/>
              </w:rPr>
            </w:pPr>
            <w:r w:rsidRPr="0028033B">
              <w:rPr>
                <w:rFonts w:cs="Calibri"/>
                <w:szCs w:val="16"/>
              </w:rPr>
              <w:t>Flatland (0</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36FC940D"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12C8767D" w14:textId="77777777" w:rsidR="00E46639" w:rsidRPr="0028033B" w:rsidRDefault="00E46639" w:rsidP="00F16E23">
            <w:pPr>
              <w:pStyle w:val="TableText"/>
              <w:spacing w:before="40" w:after="40"/>
              <w:jc w:val="right"/>
              <w:rPr>
                <w:rFonts w:cs="Calibri"/>
                <w:szCs w:val="16"/>
              </w:rPr>
            </w:pPr>
            <w:r w:rsidRPr="0028033B">
              <w:rPr>
                <w:rFonts w:cs="Calibri"/>
                <w:szCs w:val="16"/>
              </w:rPr>
              <w:t>16</w:t>
            </w:r>
          </w:p>
        </w:tc>
        <w:tc>
          <w:tcPr>
            <w:tcW w:w="851" w:type="dxa"/>
            <w:tcBorders>
              <w:top w:val="single" w:sz="4" w:space="0" w:color="1B556B" w:themeColor="text2"/>
              <w:left w:val="nil"/>
              <w:bottom w:val="single" w:sz="4" w:space="0" w:color="1B556B" w:themeColor="text2"/>
              <w:right w:val="nil"/>
            </w:tcBorders>
          </w:tcPr>
          <w:p w14:paraId="2F7662FE" w14:textId="77777777" w:rsidR="00E46639" w:rsidRPr="0028033B" w:rsidRDefault="00E46639" w:rsidP="00F16E23">
            <w:pPr>
              <w:pStyle w:val="TableText"/>
              <w:spacing w:before="40" w:after="40"/>
              <w:jc w:val="right"/>
              <w:rPr>
                <w:rFonts w:cs="Calibri"/>
                <w:szCs w:val="16"/>
              </w:rPr>
            </w:pPr>
            <w:r w:rsidRPr="0028033B">
              <w:rPr>
                <w:rFonts w:cs="Calibri"/>
                <w:szCs w:val="16"/>
              </w:rPr>
              <w:t>28</w:t>
            </w:r>
          </w:p>
        </w:tc>
        <w:tc>
          <w:tcPr>
            <w:tcW w:w="851" w:type="dxa"/>
            <w:tcBorders>
              <w:top w:val="single" w:sz="4" w:space="0" w:color="1B556B" w:themeColor="text2"/>
              <w:left w:val="nil"/>
              <w:bottom w:val="single" w:sz="4" w:space="0" w:color="1B556B" w:themeColor="text2"/>
              <w:right w:val="nil"/>
            </w:tcBorders>
          </w:tcPr>
          <w:p w14:paraId="6BC06BFC"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4FFB87D9" w14:textId="77777777" w:rsidR="00E46639" w:rsidRPr="0028033B" w:rsidRDefault="00E46639" w:rsidP="00F16E23">
            <w:pPr>
              <w:pStyle w:val="TableText"/>
              <w:spacing w:before="40" w:after="40"/>
              <w:jc w:val="right"/>
              <w:rPr>
                <w:rFonts w:cs="Calibri"/>
                <w:szCs w:val="16"/>
              </w:rPr>
            </w:pPr>
            <w:r w:rsidRPr="0028033B">
              <w:rPr>
                <w:rFonts w:cs="Calibri"/>
                <w:szCs w:val="16"/>
              </w:rPr>
              <w:t>54</w:t>
            </w:r>
          </w:p>
        </w:tc>
      </w:tr>
      <w:tr w:rsidR="00E46639" w:rsidRPr="0028033B" w14:paraId="59981D0A" w14:textId="77777777" w:rsidTr="00F16E23">
        <w:tc>
          <w:tcPr>
            <w:tcW w:w="2098" w:type="dxa"/>
            <w:tcBorders>
              <w:top w:val="single" w:sz="4" w:space="0" w:color="1B556B" w:themeColor="text2"/>
              <w:left w:val="nil"/>
              <w:bottom w:val="single" w:sz="4" w:space="0" w:color="1B556B" w:themeColor="text2"/>
              <w:right w:val="nil"/>
            </w:tcBorders>
          </w:tcPr>
          <w:p w14:paraId="721096DF"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0178F0B6" w14:textId="77777777" w:rsidR="00E46639" w:rsidRPr="0028033B" w:rsidRDefault="00E46639" w:rsidP="00F16E23">
            <w:pPr>
              <w:pStyle w:val="TableText"/>
              <w:spacing w:before="40" w:after="40"/>
              <w:rPr>
                <w:rFonts w:cs="Calibri"/>
                <w:szCs w:val="16"/>
              </w:rPr>
            </w:pPr>
            <w:r w:rsidRPr="0028033B">
              <w:rPr>
                <w:rFonts w:cs="Calibri"/>
                <w:szCs w:val="16"/>
              </w:rPr>
              <w:t>Low slope (0–12</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17B727CC"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c>
          <w:tcPr>
            <w:tcW w:w="851" w:type="dxa"/>
            <w:tcBorders>
              <w:top w:val="single" w:sz="4" w:space="0" w:color="1B556B" w:themeColor="text2"/>
              <w:left w:val="nil"/>
              <w:bottom w:val="single" w:sz="4" w:space="0" w:color="1B556B" w:themeColor="text2"/>
              <w:right w:val="nil"/>
            </w:tcBorders>
          </w:tcPr>
          <w:p w14:paraId="687E80FE" w14:textId="77777777" w:rsidR="00E46639" w:rsidRPr="0028033B" w:rsidRDefault="00E46639" w:rsidP="00F16E23">
            <w:pPr>
              <w:pStyle w:val="TableText"/>
              <w:spacing w:before="40" w:after="40"/>
              <w:jc w:val="right"/>
              <w:rPr>
                <w:rFonts w:cs="Calibri"/>
                <w:szCs w:val="16"/>
              </w:rPr>
            </w:pPr>
            <w:r w:rsidRPr="0028033B">
              <w:rPr>
                <w:rFonts w:cs="Calibri"/>
                <w:szCs w:val="16"/>
              </w:rPr>
              <w:t>8</w:t>
            </w:r>
          </w:p>
        </w:tc>
        <w:tc>
          <w:tcPr>
            <w:tcW w:w="851" w:type="dxa"/>
            <w:tcBorders>
              <w:top w:val="single" w:sz="4" w:space="0" w:color="1B556B" w:themeColor="text2"/>
              <w:left w:val="nil"/>
              <w:bottom w:val="single" w:sz="4" w:space="0" w:color="1B556B" w:themeColor="text2"/>
              <w:right w:val="nil"/>
            </w:tcBorders>
          </w:tcPr>
          <w:p w14:paraId="58278B58" w14:textId="77777777" w:rsidR="00E46639" w:rsidRPr="0028033B" w:rsidRDefault="00E46639" w:rsidP="00F16E23">
            <w:pPr>
              <w:pStyle w:val="TableText"/>
              <w:spacing w:before="40" w:after="40"/>
              <w:jc w:val="right"/>
              <w:rPr>
                <w:rFonts w:cs="Calibri"/>
                <w:szCs w:val="16"/>
              </w:rPr>
            </w:pPr>
            <w:r w:rsidRPr="0028033B">
              <w:rPr>
                <w:rFonts w:cs="Calibri"/>
                <w:szCs w:val="16"/>
              </w:rPr>
              <w:t>8</w:t>
            </w:r>
          </w:p>
        </w:tc>
        <w:tc>
          <w:tcPr>
            <w:tcW w:w="851" w:type="dxa"/>
            <w:tcBorders>
              <w:top w:val="single" w:sz="4" w:space="0" w:color="1B556B" w:themeColor="text2"/>
              <w:left w:val="nil"/>
              <w:bottom w:val="single" w:sz="4" w:space="0" w:color="1B556B" w:themeColor="text2"/>
              <w:right w:val="nil"/>
            </w:tcBorders>
          </w:tcPr>
          <w:p w14:paraId="001982E5"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6DBF2916" w14:textId="77777777" w:rsidR="00E46639" w:rsidRPr="0028033B" w:rsidRDefault="00E46639" w:rsidP="00F16E23">
            <w:pPr>
              <w:pStyle w:val="TableText"/>
              <w:spacing w:before="40" w:after="40"/>
              <w:jc w:val="right"/>
              <w:rPr>
                <w:rFonts w:cs="Calibri"/>
                <w:szCs w:val="16"/>
              </w:rPr>
            </w:pPr>
            <w:r w:rsidRPr="0028033B">
              <w:rPr>
                <w:rFonts w:cs="Calibri"/>
                <w:szCs w:val="16"/>
              </w:rPr>
              <w:t>36</w:t>
            </w:r>
          </w:p>
        </w:tc>
      </w:tr>
      <w:tr w:rsidR="00E46639" w:rsidRPr="0028033B" w14:paraId="324CB71B" w14:textId="77777777" w:rsidTr="00F16E23">
        <w:tc>
          <w:tcPr>
            <w:tcW w:w="2098" w:type="dxa"/>
            <w:tcBorders>
              <w:top w:val="single" w:sz="4" w:space="0" w:color="1B556B" w:themeColor="text2"/>
              <w:left w:val="nil"/>
              <w:bottom w:val="single" w:sz="4" w:space="0" w:color="1B556B" w:themeColor="text2"/>
              <w:right w:val="nil"/>
            </w:tcBorders>
          </w:tcPr>
          <w:p w14:paraId="3B9EED69"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B06BABF" w14:textId="77777777" w:rsidR="00E46639" w:rsidRPr="0028033B" w:rsidRDefault="00E46639" w:rsidP="00F16E23">
            <w:pPr>
              <w:pStyle w:val="TableText"/>
              <w:spacing w:before="40" w:after="40"/>
              <w:rPr>
                <w:rFonts w:cs="Calibri"/>
                <w:szCs w:val="16"/>
              </w:rPr>
            </w:pPr>
            <w:r w:rsidRPr="0028033B">
              <w:rPr>
                <w:rFonts w:cs="Calibri"/>
                <w:szCs w:val="16"/>
              </w:rPr>
              <w:t>Medium slope (12–24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2C3716EB"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5876ED91"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6584B65B"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2F54A35E"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5D0C0C9C"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r>
      <w:tr w:rsidR="00E46639" w:rsidRPr="0028033B" w14:paraId="4C320F46" w14:textId="77777777" w:rsidTr="00F16E23">
        <w:tc>
          <w:tcPr>
            <w:tcW w:w="2098" w:type="dxa"/>
            <w:tcBorders>
              <w:top w:val="single" w:sz="4" w:space="0" w:color="1B556B" w:themeColor="text2"/>
              <w:left w:val="nil"/>
              <w:bottom w:val="single" w:sz="4" w:space="0" w:color="1B556B" w:themeColor="text2"/>
              <w:right w:val="nil"/>
            </w:tcBorders>
          </w:tcPr>
          <w:p w14:paraId="44195901" w14:textId="77777777" w:rsidR="00E46639" w:rsidRPr="0028033B" w:rsidRDefault="00E46639" w:rsidP="00F16E23">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B785F2C" w14:textId="77777777" w:rsidR="00E46639" w:rsidRPr="0028033B" w:rsidRDefault="00E46639" w:rsidP="00F16E23">
            <w:pPr>
              <w:pStyle w:val="TableText"/>
              <w:spacing w:before="40" w:after="40"/>
              <w:rPr>
                <w:rFonts w:cs="Calibri"/>
                <w:szCs w:val="16"/>
              </w:rPr>
            </w:pPr>
            <w:r w:rsidRPr="0028033B">
              <w:rPr>
                <w:rFonts w:cs="Calibri"/>
                <w:szCs w:val="16"/>
              </w:rPr>
              <w:t>Steep slope (&gt;24</w:t>
            </w:r>
            <w:r w:rsidRPr="0028033B">
              <w:rPr>
                <w:rFonts w:cs="Calibri"/>
                <w:szCs w:val="16"/>
                <w:vertAlign w:val="superscript"/>
              </w:rPr>
              <w:t>o</w:t>
            </w:r>
            <w:r w:rsidRPr="0028033B">
              <w:rPr>
                <w:rFonts w:cs="Calibri"/>
                <w:szCs w:val="16"/>
              </w:rPr>
              <w:t>)</w:t>
            </w:r>
          </w:p>
        </w:tc>
        <w:tc>
          <w:tcPr>
            <w:tcW w:w="851" w:type="dxa"/>
            <w:tcBorders>
              <w:top w:val="single" w:sz="4" w:space="0" w:color="1B556B" w:themeColor="text2"/>
              <w:left w:val="nil"/>
              <w:bottom w:val="single" w:sz="4" w:space="0" w:color="1B556B" w:themeColor="text2"/>
              <w:right w:val="nil"/>
            </w:tcBorders>
          </w:tcPr>
          <w:p w14:paraId="73E7CC5C"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1E97DA2A" w14:textId="77777777" w:rsidR="00E46639" w:rsidRPr="0028033B" w:rsidRDefault="00E46639" w:rsidP="00F16E23">
            <w:pPr>
              <w:pStyle w:val="TableText"/>
              <w:spacing w:before="40" w:after="40"/>
              <w:jc w:val="right"/>
              <w:rPr>
                <w:rFonts w:cs="Calibri"/>
                <w:szCs w:val="16"/>
              </w:rPr>
            </w:pPr>
            <w:r w:rsidRPr="0028033B">
              <w:rPr>
                <w:rFonts w:cs="Calibri"/>
                <w:szCs w:val="16"/>
              </w:rPr>
              <w:t>10</w:t>
            </w:r>
          </w:p>
        </w:tc>
        <w:tc>
          <w:tcPr>
            <w:tcW w:w="851" w:type="dxa"/>
            <w:tcBorders>
              <w:top w:val="single" w:sz="4" w:space="0" w:color="1B556B" w:themeColor="text2"/>
              <w:left w:val="nil"/>
              <w:bottom w:val="single" w:sz="4" w:space="0" w:color="1B556B" w:themeColor="text2"/>
              <w:right w:val="nil"/>
            </w:tcBorders>
          </w:tcPr>
          <w:p w14:paraId="429930BC"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09EF6DF9" w14:textId="77777777" w:rsidR="00E46639" w:rsidRPr="0028033B" w:rsidRDefault="00E46639" w:rsidP="00F16E23">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tcPr>
          <w:p w14:paraId="415A9C7C" w14:textId="77777777" w:rsidR="00E46639" w:rsidRPr="0028033B" w:rsidRDefault="00E46639" w:rsidP="00F16E23">
            <w:pPr>
              <w:pStyle w:val="TableText"/>
              <w:spacing w:before="40" w:after="40"/>
              <w:jc w:val="right"/>
              <w:rPr>
                <w:rFonts w:cs="Calibri"/>
                <w:szCs w:val="16"/>
              </w:rPr>
            </w:pPr>
            <w:r w:rsidRPr="0028033B">
              <w:rPr>
                <w:rFonts w:cs="Calibri"/>
                <w:szCs w:val="16"/>
              </w:rPr>
              <w:t>20</w:t>
            </w:r>
          </w:p>
        </w:tc>
      </w:tr>
      <w:tr w:rsidR="00E46639" w:rsidRPr="0028033B" w14:paraId="35E91286" w14:textId="77777777" w:rsidTr="00F16E23">
        <w:tc>
          <w:tcPr>
            <w:tcW w:w="2098" w:type="dxa"/>
            <w:tcBorders>
              <w:top w:val="single" w:sz="4" w:space="0" w:color="1B556B" w:themeColor="text2"/>
              <w:left w:val="nil"/>
              <w:bottom w:val="single" w:sz="4" w:space="0" w:color="1B556B" w:themeColor="text2"/>
              <w:right w:val="nil"/>
            </w:tcBorders>
          </w:tcPr>
          <w:p w14:paraId="3780BC2F" w14:textId="77777777" w:rsidR="00E46639" w:rsidRPr="0028033B" w:rsidRDefault="00E46639" w:rsidP="00F16E23">
            <w:pPr>
              <w:pStyle w:val="Tableboldblue"/>
              <w:spacing w:before="40" w:after="40"/>
              <w:rPr>
                <w:rFonts w:cs="Calibri"/>
                <w:color w:val="1B556B"/>
                <w:szCs w:val="16"/>
              </w:rPr>
            </w:pPr>
            <w:r w:rsidRPr="0028033B">
              <w:rPr>
                <w:rFonts w:cs="Calibri"/>
                <w:color w:val="1B556B"/>
                <w:szCs w:val="16"/>
              </w:rPr>
              <w:t>Total urine</w:t>
            </w:r>
          </w:p>
        </w:tc>
        <w:tc>
          <w:tcPr>
            <w:tcW w:w="1814" w:type="dxa"/>
            <w:tcBorders>
              <w:top w:val="single" w:sz="4" w:space="0" w:color="1B556B" w:themeColor="text2"/>
              <w:left w:val="nil"/>
              <w:bottom w:val="single" w:sz="4" w:space="0" w:color="1B556B" w:themeColor="text2"/>
              <w:right w:val="nil"/>
            </w:tcBorders>
          </w:tcPr>
          <w:p w14:paraId="60C0230D" w14:textId="77777777" w:rsidR="00E46639" w:rsidRPr="0028033B" w:rsidRDefault="00E46639" w:rsidP="00F16E23">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tcPr>
          <w:p w14:paraId="460D8A9B"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254</w:t>
            </w:r>
          </w:p>
        </w:tc>
        <w:tc>
          <w:tcPr>
            <w:tcW w:w="851" w:type="dxa"/>
            <w:tcBorders>
              <w:top w:val="single" w:sz="4" w:space="0" w:color="1B556B" w:themeColor="text2"/>
              <w:left w:val="nil"/>
              <w:bottom w:val="single" w:sz="4" w:space="0" w:color="1B556B" w:themeColor="text2"/>
              <w:right w:val="nil"/>
            </w:tcBorders>
          </w:tcPr>
          <w:p w14:paraId="108B30D5"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255</w:t>
            </w:r>
          </w:p>
        </w:tc>
        <w:tc>
          <w:tcPr>
            <w:tcW w:w="851" w:type="dxa"/>
            <w:tcBorders>
              <w:top w:val="single" w:sz="4" w:space="0" w:color="1B556B" w:themeColor="text2"/>
              <w:left w:val="nil"/>
              <w:bottom w:val="single" w:sz="4" w:space="0" w:color="1B556B" w:themeColor="text2"/>
              <w:right w:val="nil"/>
            </w:tcBorders>
          </w:tcPr>
          <w:p w14:paraId="46DD0AA9"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200</w:t>
            </w:r>
          </w:p>
        </w:tc>
        <w:tc>
          <w:tcPr>
            <w:tcW w:w="851" w:type="dxa"/>
            <w:tcBorders>
              <w:top w:val="single" w:sz="4" w:space="0" w:color="1B556B" w:themeColor="text2"/>
              <w:left w:val="nil"/>
              <w:bottom w:val="single" w:sz="4" w:space="0" w:color="1B556B" w:themeColor="text2"/>
              <w:right w:val="nil"/>
            </w:tcBorders>
          </w:tcPr>
          <w:p w14:paraId="28EEC079"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72</w:t>
            </w:r>
          </w:p>
        </w:tc>
        <w:tc>
          <w:tcPr>
            <w:tcW w:w="851" w:type="dxa"/>
            <w:tcBorders>
              <w:top w:val="single" w:sz="4" w:space="0" w:color="1B556B" w:themeColor="text2"/>
              <w:left w:val="nil"/>
              <w:bottom w:val="single" w:sz="4" w:space="0" w:color="1B556B" w:themeColor="text2"/>
              <w:right w:val="nil"/>
            </w:tcBorders>
          </w:tcPr>
          <w:p w14:paraId="6A5ABBF2"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781</w:t>
            </w:r>
          </w:p>
        </w:tc>
      </w:tr>
      <w:tr w:rsidR="00E46639" w:rsidRPr="0028033B" w14:paraId="58D9BCAB" w14:textId="77777777" w:rsidTr="00F16E23">
        <w:tc>
          <w:tcPr>
            <w:tcW w:w="2098" w:type="dxa"/>
            <w:tcBorders>
              <w:top w:val="single" w:sz="4" w:space="0" w:color="1B556B" w:themeColor="text2"/>
              <w:left w:val="nil"/>
              <w:bottom w:val="single" w:sz="4" w:space="0" w:color="1B556B" w:themeColor="text2"/>
              <w:right w:val="nil"/>
            </w:tcBorders>
          </w:tcPr>
          <w:p w14:paraId="49786FD4" w14:textId="77777777" w:rsidR="00E46639" w:rsidRPr="0028033B" w:rsidRDefault="00E46639" w:rsidP="00F16E23">
            <w:pPr>
              <w:pStyle w:val="Tableboldblue"/>
              <w:spacing w:before="40" w:after="40"/>
              <w:rPr>
                <w:rFonts w:cs="Calibri"/>
                <w:color w:val="1B556B"/>
                <w:szCs w:val="16"/>
              </w:rPr>
            </w:pPr>
            <w:r w:rsidRPr="0028033B">
              <w:rPr>
                <w:rFonts w:cs="Calibri"/>
                <w:color w:val="1B556B"/>
                <w:szCs w:val="16"/>
              </w:rPr>
              <w:t>Total dung</w:t>
            </w:r>
          </w:p>
        </w:tc>
        <w:tc>
          <w:tcPr>
            <w:tcW w:w="1814" w:type="dxa"/>
            <w:tcBorders>
              <w:top w:val="single" w:sz="4" w:space="0" w:color="1B556B" w:themeColor="text2"/>
              <w:left w:val="nil"/>
              <w:bottom w:val="single" w:sz="4" w:space="0" w:color="1B556B" w:themeColor="text2"/>
              <w:right w:val="nil"/>
            </w:tcBorders>
          </w:tcPr>
          <w:p w14:paraId="2C66E6FE" w14:textId="77777777" w:rsidR="00E46639" w:rsidRPr="0028033B" w:rsidRDefault="00E46639" w:rsidP="00F16E23">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tcPr>
          <w:p w14:paraId="02B862FD"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104</w:t>
            </w:r>
          </w:p>
        </w:tc>
        <w:tc>
          <w:tcPr>
            <w:tcW w:w="851" w:type="dxa"/>
            <w:tcBorders>
              <w:top w:val="single" w:sz="4" w:space="0" w:color="1B556B" w:themeColor="text2"/>
              <w:left w:val="nil"/>
              <w:bottom w:val="single" w:sz="4" w:space="0" w:color="1B556B" w:themeColor="text2"/>
              <w:right w:val="nil"/>
            </w:tcBorders>
          </w:tcPr>
          <w:p w14:paraId="76BA26AD"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192</w:t>
            </w:r>
          </w:p>
        </w:tc>
        <w:tc>
          <w:tcPr>
            <w:tcW w:w="851" w:type="dxa"/>
            <w:tcBorders>
              <w:top w:val="single" w:sz="4" w:space="0" w:color="1B556B" w:themeColor="text2"/>
              <w:left w:val="nil"/>
              <w:bottom w:val="single" w:sz="4" w:space="0" w:color="1B556B" w:themeColor="text2"/>
              <w:right w:val="nil"/>
            </w:tcBorders>
          </w:tcPr>
          <w:p w14:paraId="5E6A9F7A"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80</w:t>
            </w:r>
          </w:p>
        </w:tc>
        <w:tc>
          <w:tcPr>
            <w:tcW w:w="851" w:type="dxa"/>
            <w:tcBorders>
              <w:top w:val="single" w:sz="4" w:space="0" w:color="1B556B" w:themeColor="text2"/>
              <w:left w:val="nil"/>
              <w:bottom w:val="single" w:sz="4" w:space="0" w:color="1B556B" w:themeColor="text2"/>
              <w:right w:val="nil"/>
            </w:tcBorders>
          </w:tcPr>
          <w:p w14:paraId="3B74F9FD"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60</w:t>
            </w:r>
          </w:p>
        </w:tc>
        <w:tc>
          <w:tcPr>
            <w:tcW w:w="851" w:type="dxa"/>
            <w:tcBorders>
              <w:top w:val="single" w:sz="4" w:space="0" w:color="1B556B" w:themeColor="text2"/>
              <w:left w:val="nil"/>
              <w:bottom w:val="single" w:sz="4" w:space="0" w:color="1B556B" w:themeColor="text2"/>
              <w:right w:val="nil"/>
            </w:tcBorders>
          </w:tcPr>
          <w:p w14:paraId="11A7439E"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436</w:t>
            </w:r>
          </w:p>
        </w:tc>
      </w:tr>
      <w:tr w:rsidR="00E46639" w:rsidRPr="0028033B" w14:paraId="2638BB3C" w14:textId="77777777" w:rsidTr="00F16E23">
        <w:tc>
          <w:tcPr>
            <w:tcW w:w="2098" w:type="dxa"/>
            <w:tcBorders>
              <w:top w:val="single" w:sz="4" w:space="0" w:color="1B556B" w:themeColor="text2"/>
              <w:left w:val="nil"/>
              <w:bottom w:val="single" w:sz="4" w:space="0" w:color="1B556B" w:themeColor="text2"/>
              <w:right w:val="nil"/>
            </w:tcBorders>
          </w:tcPr>
          <w:p w14:paraId="3427D5C5" w14:textId="77777777" w:rsidR="00E46639" w:rsidRPr="0028033B" w:rsidRDefault="00E46639" w:rsidP="00F16E23">
            <w:pPr>
              <w:pStyle w:val="Tableboldblue"/>
              <w:spacing w:before="40" w:after="40"/>
              <w:rPr>
                <w:rFonts w:cs="Calibri"/>
                <w:color w:val="1B556B"/>
                <w:szCs w:val="16"/>
              </w:rPr>
            </w:pPr>
            <w:r w:rsidRPr="0028033B">
              <w:rPr>
                <w:rFonts w:cs="Calibri"/>
                <w:color w:val="1B556B"/>
                <w:szCs w:val="16"/>
              </w:rPr>
              <w:t>Total excreta</w:t>
            </w:r>
          </w:p>
        </w:tc>
        <w:tc>
          <w:tcPr>
            <w:tcW w:w="1814" w:type="dxa"/>
            <w:tcBorders>
              <w:top w:val="single" w:sz="4" w:space="0" w:color="1B556B" w:themeColor="text2"/>
              <w:left w:val="nil"/>
              <w:bottom w:val="single" w:sz="4" w:space="0" w:color="1B556B" w:themeColor="text2"/>
              <w:right w:val="nil"/>
            </w:tcBorders>
          </w:tcPr>
          <w:p w14:paraId="7740C4C0" w14:textId="77777777" w:rsidR="00E46639" w:rsidRPr="0028033B" w:rsidRDefault="00E46639" w:rsidP="00F16E23">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tcPr>
          <w:p w14:paraId="0AC8DFF5"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358</w:t>
            </w:r>
          </w:p>
        </w:tc>
        <w:tc>
          <w:tcPr>
            <w:tcW w:w="851" w:type="dxa"/>
            <w:tcBorders>
              <w:top w:val="single" w:sz="4" w:space="0" w:color="1B556B" w:themeColor="text2"/>
              <w:left w:val="nil"/>
              <w:bottom w:val="single" w:sz="4" w:space="0" w:color="1B556B" w:themeColor="text2"/>
              <w:right w:val="nil"/>
            </w:tcBorders>
          </w:tcPr>
          <w:p w14:paraId="57446430"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447</w:t>
            </w:r>
          </w:p>
        </w:tc>
        <w:tc>
          <w:tcPr>
            <w:tcW w:w="851" w:type="dxa"/>
            <w:tcBorders>
              <w:top w:val="single" w:sz="4" w:space="0" w:color="1B556B" w:themeColor="text2"/>
              <w:left w:val="nil"/>
              <w:bottom w:val="single" w:sz="4" w:space="0" w:color="1B556B" w:themeColor="text2"/>
              <w:right w:val="nil"/>
            </w:tcBorders>
          </w:tcPr>
          <w:p w14:paraId="75C46964"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280</w:t>
            </w:r>
          </w:p>
        </w:tc>
        <w:tc>
          <w:tcPr>
            <w:tcW w:w="851" w:type="dxa"/>
            <w:tcBorders>
              <w:top w:val="single" w:sz="4" w:space="0" w:color="1B556B" w:themeColor="text2"/>
              <w:left w:val="nil"/>
              <w:bottom w:val="single" w:sz="4" w:space="0" w:color="1B556B" w:themeColor="text2"/>
              <w:right w:val="nil"/>
            </w:tcBorders>
          </w:tcPr>
          <w:p w14:paraId="0B0C0702"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132</w:t>
            </w:r>
          </w:p>
        </w:tc>
        <w:tc>
          <w:tcPr>
            <w:tcW w:w="851" w:type="dxa"/>
            <w:tcBorders>
              <w:top w:val="single" w:sz="4" w:space="0" w:color="1B556B" w:themeColor="text2"/>
              <w:left w:val="nil"/>
              <w:bottom w:val="single" w:sz="4" w:space="0" w:color="1B556B" w:themeColor="text2"/>
              <w:right w:val="nil"/>
            </w:tcBorders>
          </w:tcPr>
          <w:p w14:paraId="67759DEF" w14:textId="77777777" w:rsidR="00E46639" w:rsidRPr="0028033B" w:rsidRDefault="00E46639" w:rsidP="00F16E23">
            <w:pPr>
              <w:pStyle w:val="Tableboldblue"/>
              <w:spacing w:before="40" w:after="40"/>
              <w:jc w:val="right"/>
              <w:rPr>
                <w:rFonts w:cs="Calibri"/>
                <w:color w:val="1B556B"/>
                <w:szCs w:val="16"/>
              </w:rPr>
            </w:pPr>
            <w:r w:rsidRPr="0028033B">
              <w:rPr>
                <w:rFonts w:cs="Calibri"/>
                <w:color w:val="1B556B"/>
                <w:szCs w:val="16"/>
              </w:rPr>
              <w:t>1,217</w:t>
            </w:r>
          </w:p>
        </w:tc>
      </w:tr>
    </w:tbl>
    <w:p w14:paraId="6973A55E" w14:textId="77777777" w:rsidR="00E46639" w:rsidRPr="0028033B" w:rsidRDefault="00E46639" w:rsidP="00E46639">
      <w:pPr>
        <w:pStyle w:val="BodyText"/>
        <w:spacing w:before="240"/>
      </w:pPr>
      <w:r w:rsidRPr="0028033B">
        <w:t>The meta-analysis used arithmetic means to calculate new average EF</w:t>
      </w:r>
      <w:r w:rsidRPr="0028033B">
        <w:rPr>
          <w:vertAlign w:val="subscript"/>
        </w:rPr>
        <w:t>3</w:t>
      </w:r>
      <w:r w:rsidRPr="0028033B">
        <w:t xml:space="preserve"> values (categorised by animal, slope and excreta type). Because the differences between some of these values were not statistically significant, some of the arithmetic means were pooled. This resulted in the dung EF</w:t>
      </w:r>
      <w:r w:rsidRPr="0028033B">
        <w:rPr>
          <w:vertAlign w:val="subscript"/>
        </w:rPr>
        <w:t>3</w:t>
      </w:r>
      <w:r w:rsidRPr="0028033B">
        <w:t xml:space="preserve"> averages being combined into a single value (0.0012). The urine EF</w:t>
      </w:r>
      <w:r w:rsidRPr="0028033B">
        <w:rPr>
          <w:vertAlign w:val="subscript"/>
        </w:rPr>
        <w:t>3</w:t>
      </w:r>
      <w:r w:rsidRPr="0028033B">
        <w:t xml:space="preserve"> values were pooled into four categories:</w:t>
      </w:r>
    </w:p>
    <w:p w14:paraId="149BE64F" w14:textId="77777777" w:rsidR="00E46639" w:rsidRPr="0028033B" w:rsidRDefault="00E46639" w:rsidP="00E46639">
      <w:pPr>
        <w:pStyle w:val="Bullet"/>
      </w:pPr>
      <w:r w:rsidRPr="0028033B">
        <w:t>cattle urine on flatland/low slopes (0.0098)</w:t>
      </w:r>
    </w:p>
    <w:p w14:paraId="3BDF3267" w14:textId="77777777" w:rsidR="00E46639" w:rsidRPr="0028033B" w:rsidRDefault="00E46639" w:rsidP="00E46639">
      <w:pPr>
        <w:pStyle w:val="Bullet"/>
      </w:pPr>
      <w:r w:rsidRPr="0028033B">
        <w:t>cattle urine on medium/steep slopes (0.0033)</w:t>
      </w:r>
    </w:p>
    <w:p w14:paraId="7C9D5AC1" w14:textId="77777777" w:rsidR="00E46639" w:rsidRPr="0028033B" w:rsidRDefault="00E46639" w:rsidP="00E46639">
      <w:pPr>
        <w:pStyle w:val="Bullet"/>
      </w:pPr>
      <w:r w:rsidRPr="0028033B">
        <w:t xml:space="preserve">sheep urine on flatland/low slopes (0.005) </w:t>
      </w:r>
    </w:p>
    <w:p w14:paraId="3BAF86F0" w14:textId="77777777" w:rsidR="00E46639" w:rsidRPr="0028033B" w:rsidRDefault="00E46639" w:rsidP="00E46639">
      <w:pPr>
        <w:pStyle w:val="Bullet"/>
      </w:pPr>
      <w:r w:rsidRPr="0028033B">
        <w:t>sheep urine on medium/steep slopes (0.0008).</w:t>
      </w:r>
    </w:p>
    <w:p w14:paraId="57D88385" w14:textId="77777777" w:rsidR="00E46639" w:rsidRPr="0028033B" w:rsidRDefault="00E46639" w:rsidP="00E46639">
      <w:pPr>
        <w:pStyle w:val="BodyText"/>
      </w:pPr>
      <w:r w:rsidRPr="0028033B">
        <w:t>The lower emission factors observed for urine on steeper slopes are thought to be due to these soils having lower soil fertility, nitrogen status and moisture content compared with less steep slopes (Luo et al., 2013).</w:t>
      </w:r>
    </w:p>
    <w:p w14:paraId="283A7975" w14:textId="77777777" w:rsidR="00E46639" w:rsidRPr="0028033B" w:rsidRDefault="00E46639" w:rsidP="00E46639">
      <w:pPr>
        <w:pStyle w:val="BodyText"/>
      </w:pPr>
      <w:r w:rsidRPr="0028033B">
        <w:rPr>
          <w:spacing w:val="-2"/>
        </w:rPr>
        <w:t>The new urine emission factor values for each livestock type by slope are lower than the current</w:t>
      </w:r>
      <w:r w:rsidRPr="0028033B">
        <w:t xml:space="preserve"> IPCC default EF</w:t>
      </w:r>
      <w:r w:rsidRPr="0028033B">
        <w:rPr>
          <w:vertAlign w:val="subscript"/>
        </w:rPr>
        <w:t>3</w:t>
      </w:r>
      <w:r w:rsidRPr="0028033B">
        <w:t xml:space="preserve"> value. The default value is based on common international farming systems where, on average, livestock farmed land is on less sloped terrain than much of the farmland in New Zealand. In addition to the large proportion of farmed hill country, New Zealand’s climate </w:t>
      </w:r>
      <w:r w:rsidRPr="0028033B">
        <w:rPr>
          <w:spacing w:val="-2"/>
        </w:rPr>
        <w:t>and soil characteristics contribute to differences between international default emission factors and New Zealand’s country-specific emission factors. When using these emission factors, the IEF for direct N</w:t>
      </w:r>
      <w:r w:rsidRPr="0028033B">
        <w:rPr>
          <w:spacing w:val="-2"/>
          <w:vertAlign w:val="subscript"/>
        </w:rPr>
        <w:t>2</w:t>
      </w:r>
      <w:r w:rsidRPr="0028033B">
        <w:rPr>
          <w:spacing w:val="-2"/>
        </w:rPr>
        <w:t xml:space="preserve">O from dung and urine was 0.0054 in 2020. This value is </w:t>
      </w:r>
      <w:r w:rsidRPr="0028033B">
        <w:t>comparable with that calculated for the United Kingdom (0.0037) and Australia (0.0040) in their respective inventory submissions for 2021.</w:t>
      </w:r>
    </w:p>
    <w:p w14:paraId="665245CF" w14:textId="77777777" w:rsidR="00E46639" w:rsidRPr="0028033B" w:rsidRDefault="00E46639" w:rsidP="00E46639">
      <w:pPr>
        <w:pStyle w:val="BodyText"/>
      </w:pPr>
      <w:r w:rsidRPr="0028033B">
        <w:t>Nitrous oxide</w:t>
      </w:r>
      <w:r w:rsidRPr="0028033B" w:rsidDel="00271764">
        <w:t xml:space="preserve"> </w:t>
      </w:r>
      <w:r w:rsidRPr="0028033B">
        <w:t>emissions</w:t>
      </w:r>
      <w:r w:rsidRPr="0028033B" w:rsidDel="00271764">
        <w:t xml:space="preserve"> </w:t>
      </w:r>
      <w:r w:rsidRPr="0028033B">
        <w:t>have not been measured for deer excreta, therefore, deer EF</w:t>
      </w:r>
      <w:r w:rsidRPr="0028033B">
        <w:rPr>
          <w:vertAlign w:val="subscript"/>
        </w:rPr>
        <w:t>3</w:t>
      </w:r>
      <w:r w:rsidRPr="0028033B">
        <w:t xml:space="preserve"> values were calculated using average EF</w:t>
      </w:r>
      <w:r w:rsidRPr="0028033B">
        <w:rPr>
          <w:vertAlign w:val="subscript"/>
        </w:rPr>
        <w:t>3</w:t>
      </w:r>
      <w:r w:rsidRPr="0028033B">
        <w:t xml:space="preserve"> values from cattle and sheep. </w:t>
      </w:r>
    </w:p>
    <w:p w14:paraId="7D4CFAE6" w14:textId="77777777" w:rsidR="00E46639" w:rsidRPr="0028033B" w:rsidRDefault="00E46639" w:rsidP="00E46639">
      <w:pPr>
        <w:pStyle w:val="BodyText"/>
      </w:pPr>
      <w:r w:rsidRPr="0028033B">
        <w:t>To apply these emission factors, estimates of the amount of urine and dung deposited onto different slope categories are needed. A nutrient transfer model developed by Saggar et al. (2015) is used to allocate total excreta (N</w:t>
      </w:r>
      <w:r w:rsidRPr="0028033B">
        <w:rPr>
          <w:vertAlign w:val="subscript"/>
        </w:rPr>
        <w:t>ex</w:t>
      </w:r>
      <w:r w:rsidRPr="0028033B">
        <w:t>,</w:t>
      </w:r>
      <w:r w:rsidRPr="0028033B">
        <w:rPr>
          <w:vertAlign w:val="subscript"/>
        </w:rPr>
        <w:t xml:space="preserve"> </w:t>
      </w:r>
      <w:r w:rsidRPr="0028033B">
        <w:t>calculated using the methods described in section 5.3) by livestock type to the different slope categories. The nutrient transfer model uses data on the national area of farmland for each slope category, and accounts for animal behaviour where livestock spend relatively more time on lower slopes, and so deposit more excreta on these lower slopes and flat land. For more information on this model, see volume 2, annex 5, section A5.1.3.</w:t>
      </w:r>
    </w:p>
    <w:p w14:paraId="0D424E8E" w14:textId="77777777" w:rsidR="00E46639" w:rsidRPr="0028033B" w:rsidRDefault="00E46639" w:rsidP="00E46639">
      <w:pPr>
        <w:pStyle w:val="BodyText"/>
      </w:pPr>
      <w:r w:rsidRPr="0028033B">
        <w:rPr>
          <w:spacing w:val="-2"/>
        </w:rPr>
        <w:t>The use of these revised EF</w:t>
      </w:r>
      <w:r w:rsidRPr="0028033B">
        <w:rPr>
          <w:spacing w:val="-2"/>
          <w:vertAlign w:val="subscript"/>
        </w:rPr>
        <w:t>3</w:t>
      </w:r>
      <w:r w:rsidRPr="0028033B">
        <w:rPr>
          <w:spacing w:val="-2"/>
        </w:rPr>
        <w:t xml:space="preserve"> emission factors and the nutrient transfer model was recommended</w:t>
      </w:r>
      <w:r w:rsidRPr="0028033B">
        <w:t xml:space="preserve"> by the Agriculture Inventory Advisory Panel in 2019.</w:t>
      </w:r>
    </w:p>
    <w:p w14:paraId="43CC60F2" w14:textId="77777777" w:rsidR="00E46639" w:rsidRPr="0028033B" w:rsidRDefault="00E46639" w:rsidP="00E46639">
      <w:pPr>
        <w:pStyle w:val="Heading5"/>
      </w:pPr>
      <w:r w:rsidRPr="0028033B">
        <w:t>Direct nitrous oxide emission factors for minor livestock types</w:t>
      </w:r>
    </w:p>
    <w:p w14:paraId="12B00912" w14:textId="77777777" w:rsidR="00E46639" w:rsidRPr="0028033B" w:rsidRDefault="00E46639" w:rsidP="00E46639">
      <w:pPr>
        <w:pStyle w:val="BodyText"/>
      </w:pPr>
      <w:r w:rsidRPr="0028033B">
        <w:t xml:space="preserve">Minor livestock types, including </w:t>
      </w:r>
      <w:r w:rsidRPr="0028033B">
        <w:rPr>
          <w:i/>
          <w:iCs/>
        </w:rPr>
        <w:t>Swine, Goats, Horses, Llamas</w:t>
      </w:r>
      <w:r w:rsidRPr="0028033B">
        <w:t xml:space="preserve"> </w:t>
      </w:r>
      <w:r w:rsidRPr="0028033B">
        <w:rPr>
          <w:i/>
          <w:iCs/>
        </w:rPr>
        <w:t>and alpacas, Mules and</w:t>
      </w:r>
      <w:r w:rsidRPr="0028033B">
        <w:rPr>
          <w:i/>
        </w:rPr>
        <w:t xml:space="preserve"> asses,</w:t>
      </w:r>
      <w:r w:rsidRPr="0028033B">
        <w:t xml:space="preserve"> </w:t>
      </w:r>
      <w:r w:rsidRPr="0028033B">
        <w:rPr>
          <w:i/>
          <w:iCs/>
        </w:rPr>
        <w:t>Emus and ostriches</w:t>
      </w:r>
      <w:r w:rsidRPr="0028033B">
        <w:t xml:space="preserve"> and </w:t>
      </w:r>
      <w:r w:rsidRPr="0028033B">
        <w:rPr>
          <w:i/>
          <w:iCs/>
        </w:rPr>
        <w:t>Poultry</w:t>
      </w:r>
      <w:r w:rsidRPr="0028033B">
        <w:t>, make up a small proportion of total Agriculture emissions. New Zealand uses the IPCC default (2019) values for minor livestock types (EF</w:t>
      </w:r>
      <w:r w:rsidRPr="0028033B">
        <w:rPr>
          <w:vertAlign w:val="subscript"/>
        </w:rPr>
        <w:t>3(PRP-MINOR)</w:t>
      </w:r>
      <w:r w:rsidRPr="0028033B">
        <w:t>). These values are 0.006 for poultry, emus and ostriches and swine, and 0.003 for other animals (alpacas</w:t>
      </w:r>
      <w:r w:rsidRPr="0028033B">
        <w:rPr>
          <w:rFonts w:cs="Calibri"/>
          <w:szCs w:val="16"/>
        </w:rPr>
        <w:t xml:space="preserve"> and llamas, mules and asses,</w:t>
      </w:r>
      <w:r w:rsidRPr="0028033B">
        <w:t xml:space="preserve"> horses</w:t>
      </w:r>
      <w:r w:rsidRPr="0028033B">
        <w:rPr>
          <w:rFonts w:cs="Calibri"/>
          <w:szCs w:val="16"/>
        </w:rPr>
        <w:t xml:space="preserve"> and goats</w:t>
      </w:r>
      <w:r w:rsidRPr="0028033B">
        <w:t xml:space="preserve">). </w:t>
      </w:r>
    </w:p>
    <w:p w14:paraId="0658B343" w14:textId="77777777" w:rsidR="00E46639" w:rsidRPr="0028033B" w:rsidRDefault="00E46639" w:rsidP="00E46639">
      <w:pPr>
        <w:pStyle w:val="BodyText"/>
        <w:rPr>
          <w:rFonts w:cs="Calibri"/>
        </w:rPr>
      </w:pPr>
      <w:r w:rsidRPr="0028033B">
        <w:rPr>
          <w:rFonts w:cs="Calibri"/>
        </w:rPr>
        <w:t xml:space="preserve">In 2024, direct </w:t>
      </w:r>
      <w:r w:rsidRPr="0028033B">
        <w:rPr>
          <w:rFonts w:cs="Calibri"/>
          <w:spacing w:val="-2"/>
        </w:rPr>
        <w:t>N</w:t>
      </w:r>
      <w:r w:rsidRPr="0028033B">
        <w:rPr>
          <w:rFonts w:cs="Calibri"/>
          <w:spacing w:val="-2"/>
          <w:vertAlign w:val="subscript"/>
        </w:rPr>
        <w:t>2</w:t>
      </w:r>
      <w:r w:rsidRPr="0028033B">
        <w:rPr>
          <w:rFonts w:cs="Calibri"/>
          <w:spacing w:val="-2"/>
        </w:rPr>
        <w:t>O</w:t>
      </w:r>
      <w:r w:rsidRPr="0028033B">
        <w:rPr>
          <w:rFonts w:cs="Calibri"/>
        </w:rPr>
        <w:t xml:space="preserve"> emissions from </w:t>
      </w:r>
      <w:r w:rsidRPr="0028033B">
        <w:rPr>
          <w:rFonts w:cs="Calibri"/>
          <w:i/>
          <w:iCs/>
        </w:rPr>
        <w:t>Urine and dung deposited by grazing animals</w:t>
      </w:r>
      <w:r w:rsidRPr="0028033B">
        <w:rPr>
          <w:rFonts w:cs="Calibri"/>
        </w:rPr>
        <w:t xml:space="preserve"> (pasture, range and paddock manure from all livestock categories) contributed 51.9 percent (3,179.7 kt CO</w:t>
      </w:r>
      <w:r w:rsidRPr="0028033B">
        <w:rPr>
          <w:rFonts w:cs="Calibri"/>
          <w:vertAlign w:val="subscript"/>
        </w:rPr>
        <w:t>2</w:t>
      </w:r>
      <w:r w:rsidRPr="0028033B">
        <w:rPr>
          <w:rFonts w:cs="Calibri"/>
        </w:rPr>
        <w:t>e) of</w:t>
      </w:r>
      <w:r w:rsidRPr="0028033B">
        <w:rPr>
          <w:rFonts w:cs="Calibri"/>
          <w:spacing w:val="-2"/>
        </w:rPr>
        <w:t xml:space="preserve"> emissions from </w:t>
      </w:r>
      <w:r w:rsidRPr="0028033B">
        <w:rPr>
          <w:rFonts w:cs="Calibri"/>
          <w:i/>
          <w:spacing w:val="-2"/>
        </w:rPr>
        <w:t>Agricultural soils</w:t>
      </w:r>
      <w:r w:rsidRPr="0028033B">
        <w:rPr>
          <w:rFonts w:cs="Calibri"/>
          <w:spacing w:val="-2"/>
        </w:rPr>
        <w:t xml:space="preserve">, or 7.9 percent of total Agriculture emissions. Emissions from this category have increased by 22.8 percent since 1990, and decreased by 1.2 percent since 2005. </w:t>
      </w:r>
      <w:r w:rsidRPr="0028033B">
        <w:rPr>
          <w:rFonts w:cs="Calibri"/>
        </w:rPr>
        <w:t xml:space="preserve">Emissions for each livestock category are given in table 5.5.8. Emissions from </w:t>
      </w:r>
      <w:r w:rsidRPr="0028033B">
        <w:rPr>
          <w:rFonts w:cs="Calibri"/>
          <w:i/>
          <w:iCs/>
        </w:rPr>
        <w:t>Urine and dung deposited by grazing animals</w:t>
      </w:r>
      <w:r w:rsidRPr="0028033B">
        <w:rPr>
          <w:rFonts w:cs="Calibri"/>
        </w:rPr>
        <w:t xml:space="preserve"> were identified as a key category (level and trend assessment).</w:t>
      </w:r>
    </w:p>
    <w:p w14:paraId="13E1BBE7" w14:textId="77777777" w:rsidR="00E46639" w:rsidRPr="0028033B" w:rsidRDefault="00E46639" w:rsidP="00E46639">
      <w:pPr>
        <w:pStyle w:val="Table"/>
        <w:rPr>
          <w:rFonts w:cs="Calibri"/>
        </w:rPr>
      </w:pPr>
      <w:bookmarkStart w:id="1256" w:name="_Toc441830883"/>
      <w:bookmarkStart w:id="1257" w:name="_Toc451176097"/>
      <w:bookmarkStart w:id="1258" w:name="_Toc481751525"/>
      <w:bookmarkStart w:id="1259" w:name="_Toc507158613"/>
      <w:bookmarkStart w:id="1260" w:name="_Toc511116747"/>
      <w:bookmarkStart w:id="1261" w:name="_Toc5269489"/>
      <w:bookmarkStart w:id="1262" w:name="_Toc32570934"/>
      <w:bookmarkStart w:id="1263" w:name="_Toc36224569"/>
      <w:bookmarkStart w:id="1264" w:name="_Toc68786454"/>
      <w:bookmarkStart w:id="1265" w:name="_Toc95574087"/>
      <w:bookmarkStart w:id="1266" w:name="_Toc127458274"/>
      <w:bookmarkStart w:id="1267" w:name="_Toc131591370"/>
      <w:bookmarkStart w:id="1268" w:name="_Toc160114464"/>
      <w:bookmarkStart w:id="1269" w:name="_Toc164153860"/>
      <w:bookmarkStart w:id="1270" w:name="_Toc222407653"/>
      <w:bookmarkStart w:id="1271" w:name="_Toc226669028"/>
      <w:r w:rsidRPr="0028033B">
        <w:rPr>
          <w:rFonts w:cs="Calibri"/>
        </w:rPr>
        <w:t>Table 5.5.8</w:t>
      </w:r>
      <w:r w:rsidRPr="0028033B">
        <w:rPr>
          <w:rFonts w:cs="Calibri"/>
        </w:rPr>
        <w:tab/>
        <w:t>Trends and relative contribution of direct nitrous oxide emissions from urine and dung</w:t>
      </w:r>
      <w:r w:rsidRPr="0028033B">
        <w:t xml:space="preserve"> </w:t>
      </w:r>
      <w:r w:rsidRPr="0028033B">
        <w:rPr>
          <w:rFonts w:cs="Calibri"/>
        </w:rPr>
        <w:t xml:space="preserve">deposited by grazing animals per livestock category between 1990 and </w:t>
      </w:r>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r w:rsidRPr="0028033B">
        <w:rPr>
          <w:rFonts w:cs="Calibri"/>
        </w:rPr>
        <w:t>2024</w:t>
      </w:r>
      <w:bookmarkEnd w:id="1270"/>
      <w:bookmarkEnd w:id="1271"/>
    </w:p>
    <w:tbl>
      <w:tblPr>
        <w:tblW w:w="8505" w:type="dxa"/>
        <w:tblBorders>
          <w:top w:val="single" w:sz="4" w:space="0" w:color="365F91"/>
          <w:left w:val="single" w:sz="4" w:space="0" w:color="365F91"/>
          <w:bottom w:val="single" w:sz="4" w:space="0" w:color="365F91"/>
          <w:right w:val="single" w:sz="4" w:space="0" w:color="365F91"/>
          <w:insideH w:val="single" w:sz="4" w:space="0" w:color="365F91"/>
        </w:tblBorders>
        <w:tblCellMar>
          <w:left w:w="85" w:type="dxa"/>
          <w:right w:w="85" w:type="dxa"/>
        </w:tblCellMar>
        <w:tblLook w:val="04A0" w:firstRow="1" w:lastRow="0" w:firstColumn="1" w:lastColumn="0" w:noHBand="0" w:noVBand="1"/>
      </w:tblPr>
      <w:tblGrid>
        <w:gridCol w:w="1276"/>
        <w:gridCol w:w="709"/>
        <w:gridCol w:w="656"/>
        <w:gridCol w:w="709"/>
        <w:gridCol w:w="712"/>
        <w:gridCol w:w="705"/>
        <w:gridCol w:w="722"/>
        <w:gridCol w:w="659"/>
        <w:gridCol w:w="1247"/>
        <w:gridCol w:w="1110"/>
      </w:tblGrid>
      <w:tr w:rsidR="00E46639" w:rsidRPr="0028033B" w14:paraId="24686FB4" w14:textId="77777777" w:rsidTr="00F16E23">
        <w:trPr>
          <w:trHeight w:val="478"/>
          <w:tblHeader/>
        </w:trPr>
        <w:tc>
          <w:tcPr>
            <w:tcW w:w="1276" w:type="dxa"/>
            <w:vMerge w:val="restart"/>
            <w:tcBorders>
              <w:top w:val="single" w:sz="4" w:space="0" w:color="1B556B" w:themeColor="text2"/>
              <w:left w:val="nil"/>
            </w:tcBorders>
            <w:shd w:val="clear" w:color="auto" w:fill="1B556B"/>
            <w:vAlign w:val="bottom"/>
          </w:tcPr>
          <w:p w14:paraId="55F246FD" w14:textId="77777777" w:rsidR="00E46639" w:rsidRPr="0028033B" w:rsidRDefault="00E46639" w:rsidP="00F16E23">
            <w:pPr>
              <w:pStyle w:val="TableTextBold"/>
              <w:keepNext/>
              <w:spacing w:before="40" w:after="40"/>
              <w:rPr>
                <w:i/>
                <w:noProof w:val="0"/>
                <w:color w:val="FFFFFF" w:themeColor="background1"/>
                <w:szCs w:val="16"/>
              </w:rPr>
            </w:pPr>
            <w:r w:rsidRPr="0028033B">
              <w:rPr>
                <w:noProof w:val="0"/>
                <w:color w:val="FFFFFF" w:themeColor="background1"/>
                <w:szCs w:val="16"/>
              </w:rPr>
              <w:t>Livestock category</w:t>
            </w:r>
          </w:p>
        </w:tc>
        <w:tc>
          <w:tcPr>
            <w:tcW w:w="2074" w:type="dxa"/>
            <w:gridSpan w:val="3"/>
            <w:tcBorders>
              <w:top w:val="single" w:sz="4" w:space="0" w:color="1B556B" w:themeColor="text2"/>
              <w:bottom w:val="nil"/>
            </w:tcBorders>
            <w:shd w:val="clear" w:color="auto" w:fill="1B556B"/>
            <w:vAlign w:val="bottom"/>
          </w:tcPr>
          <w:p w14:paraId="4A9A28FB" w14:textId="77777777" w:rsidR="00E46639" w:rsidRPr="0028033B" w:rsidRDefault="00E46639" w:rsidP="00F16E23">
            <w:pPr>
              <w:pStyle w:val="TableTextBold"/>
              <w:keepNext/>
              <w:spacing w:before="40" w:after="40"/>
              <w:jc w:val="center"/>
              <w:rPr>
                <w:i/>
                <w:noProof w:val="0"/>
                <w:color w:val="FFFFFF" w:themeColor="background1"/>
                <w:szCs w:val="16"/>
              </w:rPr>
            </w:pPr>
            <w:r w:rsidRPr="0028033B">
              <w:rPr>
                <w:noProof w:val="0"/>
                <w:color w:val="FFFFFF" w:themeColor="background1"/>
                <w:szCs w:val="16"/>
              </w:rPr>
              <w:t xml:space="preserve">Emissions </w:t>
            </w:r>
            <w:r w:rsidRPr="0028033B">
              <w:rPr>
                <w:noProof w:val="0"/>
                <w:color w:val="FFFFFF" w:themeColor="background1"/>
                <w:szCs w:val="16"/>
              </w:rPr>
              <w:br/>
              <w:t>(kt CO</w:t>
            </w:r>
            <w:r w:rsidRPr="0028033B">
              <w:rPr>
                <w:noProof w:val="0"/>
                <w:color w:val="FFFFFF" w:themeColor="background1"/>
                <w:szCs w:val="16"/>
                <w:vertAlign w:val="subscript"/>
              </w:rPr>
              <w:t>2</w:t>
            </w:r>
            <w:r w:rsidRPr="0028033B">
              <w:rPr>
                <w:noProof w:val="0"/>
                <w:color w:val="FFFFFF" w:themeColor="background1"/>
                <w:szCs w:val="16"/>
              </w:rPr>
              <w:t>e)</w:t>
            </w:r>
          </w:p>
        </w:tc>
        <w:tc>
          <w:tcPr>
            <w:tcW w:w="1417" w:type="dxa"/>
            <w:gridSpan w:val="2"/>
            <w:tcBorders>
              <w:top w:val="single" w:sz="4" w:space="0" w:color="1B556B" w:themeColor="text2"/>
              <w:bottom w:val="nil"/>
            </w:tcBorders>
            <w:shd w:val="clear" w:color="auto" w:fill="1B556B"/>
            <w:vAlign w:val="bottom"/>
          </w:tcPr>
          <w:p w14:paraId="1723138E" w14:textId="77777777" w:rsidR="00E46639" w:rsidRPr="0028033B" w:rsidRDefault="00E46639" w:rsidP="00F16E23">
            <w:pPr>
              <w:pStyle w:val="TableTextBold"/>
              <w:keepNext/>
              <w:spacing w:before="40" w:after="40"/>
              <w:jc w:val="center"/>
              <w:rPr>
                <w:noProof w:val="0"/>
                <w:color w:val="FFFFFF" w:themeColor="background1"/>
                <w:szCs w:val="16"/>
              </w:rPr>
            </w:pPr>
            <w:r w:rsidRPr="0028033B">
              <w:rPr>
                <w:noProof w:val="0"/>
                <w:color w:val="FFFFFF" w:themeColor="background1"/>
                <w:szCs w:val="16"/>
              </w:rPr>
              <w:t xml:space="preserve">Change from </w:t>
            </w:r>
            <w:r w:rsidRPr="0028033B">
              <w:rPr>
                <w:noProof w:val="0"/>
                <w:color w:val="FFFFFF" w:themeColor="background1"/>
                <w:szCs w:val="16"/>
              </w:rPr>
              <w:br/>
              <w:t>1990–2024</w:t>
            </w:r>
          </w:p>
        </w:tc>
        <w:tc>
          <w:tcPr>
            <w:tcW w:w="1381" w:type="dxa"/>
            <w:gridSpan w:val="2"/>
            <w:tcBorders>
              <w:top w:val="single" w:sz="4" w:space="0" w:color="1B556B" w:themeColor="text2"/>
              <w:bottom w:val="nil"/>
            </w:tcBorders>
            <w:shd w:val="clear" w:color="auto" w:fill="1B556B" w:themeFill="text2"/>
            <w:vAlign w:val="bottom"/>
          </w:tcPr>
          <w:p w14:paraId="37B1F76B" w14:textId="77777777" w:rsidR="00E46639" w:rsidRPr="0028033B" w:rsidRDefault="00E46639" w:rsidP="00F16E23">
            <w:pPr>
              <w:pStyle w:val="TableTextBold"/>
              <w:keepNext/>
              <w:spacing w:before="40" w:after="40"/>
              <w:jc w:val="center"/>
              <w:rPr>
                <w:noProof w:val="0"/>
                <w:color w:val="FFFFFF" w:themeColor="background1"/>
                <w:szCs w:val="16"/>
              </w:rPr>
            </w:pPr>
            <w:r w:rsidRPr="0028033B">
              <w:rPr>
                <w:noProof w:val="0"/>
                <w:color w:val="FFFFFF" w:themeColor="background1"/>
                <w:szCs w:val="16"/>
              </w:rPr>
              <w:t>Change from 2005–2024</w:t>
            </w:r>
          </w:p>
        </w:tc>
        <w:tc>
          <w:tcPr>
            <w:tcW w:w="1247" w:type="dxa"/>
            <w:tcBorders>
              <w:top w:val="single" w:sz="4" w:space="0" w:color="1B556B" w:themeColor="text2"/>
              <w:bottom w:val="nil"/>
            </w:tcBorders>
            <w:shd w:val="clear" w:color="auto" w:fill="1B556B" w:themeFill="text2"/>
            <w:vAlign w:val="bottom"/>
          </w:tcPr>
          <w:p w14:paraId="416D8CA0" w14:textId="77777777" w:rsidR="00E46639" w:rsidRPr="0028033B" w:rsidRDefault="00E46639" w:rsidP="00F16E23">
            <w:pPr>
              <w:pStyle w:val="TableTextBold"/>
              <w:keepNext/>
              <w:spacing w:before="40" w:after="40"/>
              <w:jc w:val="center"/>
              <w:rPr>
                <w:noProof w:val="0"/>
                <w:color w:val="FFFFFF" w:themeColor="background1"/>
                <w:szCs w:val="16"/>
              </w:rPr>
            </w:pPr>
            <w:r w:rsidRPr="0028033B">
              <w:rPr>
                <w:noProof w:val="0"/>
                <w:color w:val="FFFFFF" w:themeColor="background1"/>
                <w:szCs w:val="16"/>
              </w:rPr>
              <w:t xml:space="preserve">Share of </w:t>
            </w:r>
            <w:r w:rsidRPr="0028033B">
              <w:rPr>
                <w:noProof w:val="0"/>
                <w:color w:val="FFFFFF" w:themeColor="background1"/>
                <w:szCs w:val="16"/>
              </w:rPr>
              <w:br/>
            </w:r>
            <w:r w:rsidRPr="0028033B">
              <w:rPr>
                <w:i/>
                <w:noProof w:val="0"/>
                <w:color w:val="FFFFFF" w:themeColor="background1"/>
                <w:szCs w:val="16"/>
              </w:rPr>
              <w:t>Agricultural soils</w:t>
            </w:r>
            <w:r w:rsidRPr="0028033B">
              <w:rPr>
                <w:noProof w:val="0"/>
                <w:color w:val="FFFFFF" w:themeColor="background1"/>
                <w:szCs w:val="16"/>
              </w:rPr>
              <w:t xml:space="preserve"> category</w:t>
            </w:r>
          </w:p>
        </w:tc>
        <w:tc>
          <w:tcPr>
            <w:tcW w:w="0" w:type="auto"/>
            <w:tcBorders>
              <w:top w:val="single" w:sz="4" w:space="0" w:color="1B556B" w:themeColor="text2"/>
              <w:bottom w:val="nil"/>
              <w:right w:val="nil"/>
            </w:tcBorders>
            <w:shd w:val="clear" w:color="auto" w:fill="1B556B" w:themeFill="text2"/>
            <w:vAlign w:val="bottom"/>
          </w:tcPr>
          <w:p w14:paraId="22B8BE47" w14:textId="77777777" w:rsidR="00E46639" w:rsidRPr="0028033B" w:rsidRDefault="00E46639" w:rsidP="00F16E23">
            <w:pPr>
              <w:pStyle w:val="TableTextBold"/>
              <w:keepNext/>
              <w:spacing w:before="40" w:after="40"/>
              <w:jc w:val="center"/>
              <w:rPr>
                <w:noProof w:val="0"/>
                <w:color w:val="FFFFFF" w:themeColor="background1"/>
                <w:szCs w:val="16"/>
              </w:rPr>
            </w:pPr>
            <w:r w:rsidRPr="0028033B">
              <w:rPr>
                <w:noProof w:val="0"/>
                <w:color w:val="FFFFFF" w:themeColor="background1"/>
                <w:szCs w:val="16"/>
              </w:rPr>
              <w:t xml:space="preserve">Share of total </w:t>
            </w:r>
            <w:r w:rsidRPr="0028033B">
              <w:rPr>
                <w:noProof w:val="0"/>
                <w:color w:val="FFFFFF" w:themeColor="background1"/>
                <w:szCs w:val="16"/>
              </w:rPr>
              <w:br/>
              <w:t xml:space="preserve">Agriculture sector </w:t>
            </w:r>
          </w:p>
        </w:tc>
      </w:tr>
      <w:tr w:rsidR="00E46639" w:rsidRPr="0028033B" w14:paraId="108BC160" w14:textId="77777777" w:rsidTr="00F16E23">
        <w:trPr>
          <w:trHeight w:val="146"/>
          <w:tblHeader/>
        </w:trPr>
        <w:tc>
          <w:tcPr>
            <w:tcW w:w="1276" w:type="dxa"/>
            <w:vMerge/>
            <w:tcBorders>
              <w:left w:val="nil"/>
              <w:bottom w:val="single" w:sz="4" w:space="0" w:color="1B556B" w:themeColor="text2"/>
            </w:tcBorders>
            <w:shd w:val="clear" w:color="auto" w:fill="1B556B"/>
            <w:vAlign w:val="bottom"/>
          </w:tcPr>
          <w:p w14:paraId="559211EC" w14:textId="77777777" w:rsidR="00E46639" w:rsidRPr="0028033B" w:rsidRDefault="00E46639" w:rsidP="00F16E23">
            <w:pPr>
              <w:pStyle w:val="TableTextBold"/>
              <w:keepNext/>
              <w:spacing w:before="40" w:after="40"/>
              <w:rPr>
                <w:i/>
                <w:noProof w:val="0"/>
                <w:color w:val="FFFFFF" w:themeColor="background1"/>
                <w:szCs w:val="16"/>
              </w:rPr>
            </w:pPr>
          </w:p>
        </w:tc>
        <w:tc>
          <w:tcPr>
            <w:tcW w:w="709" w:type="dxa"/>
            <w:tcBorders>
              <w:top w:val="nil"/>
              <w:bottom w:val="single" w:sz="4" w:space="0" w:color="1B556B" w:themeColor="text2"/>
            </w:tcBorders>
            <w:shd w:val="clear" w:color="auto" w:fill="1B556B"/>
            <w:vAlign w:val="center"/>
          </w:tcPr>
          <w:p w14:paraId="5FC67A27" w14:textId="77777777" w:rsidR="00E46639" w:rsidRPr="0028033B" w:rsidRDefault="00E46639" w:rsidP="00F16E23">
            <w:pPr>
              <w:pStyle w:val="TableTextBold"/>
              <w:keepNext/>
              <w:spacing w:before="0" w:after="40"/>
              <w:jc w:val="right"/>
              <w:rPr>
                <w:i/>
                <w:noProof w:val="0"/>
                <w:color w:val="FFFFFF" w:themeColor="background1"/>
                <w:szCs w:val="16"/>
              </w:rPr>
            </w:pPr>
            <w:r w:rsidRPr="0028033B">
              <w:rPr>
                <w:noProof w:val="0"/>
                <w:color w:val="FFFFFF" w:themeColor="background1"/>
                <w:szCs w:val="16"/>
              </w:rPr>
              <w:t>1990</w:t>
            </w:r>
          </w:p>
        </w:tc>
        <w:tc>
          <w:tcPr>
            <w:tcW w:w="656" w:type="dxa"/>
            <w:tcBorders>
              <w:top w:val="nil"/>
              <w:bottom w:val="single" w:sz="4" w:space="0" w:color="1B556B" w:themeColor="text2"/>
            </w:tcBorders>
            <w:shd w:val="clear" w:color="auto" w:fill="1B556B"/>
            <w:vAlign w:val="center"/>
          </w:tcPr>
          <w:p w14:paraId="5C4907D4" w14:textId="77777777" w:rsidR="00E46639" w:rsidRPr="0028033B" w:rsidRDefault="00E46639" w:rsidP="00F16E23">
            <w:pPr>
              <w:pStyle w:val="TableTextBold"/>
              <w:keepNext/>
              <w:spacing w:before="0" w:after="40"/>
              <w:jc w:val="right"/>
              <w:rPr>
                <w:noProof w:val="0"/>
                <w:color w:val="FFFFFF" w:themeColor="background1"/>
                <w:szCs w:val="16"/>
              </w:rPr>
            </w:pPr>
            <w:r w:rsidRPr="0028033B">
              <w:rPr>
                <w:noProof w:val="0"/>
                <w:color w:val="FFFFFF" w:themeColor="background1"/>
                <w:szCs w:val="16"/>
              </w:rPr>
              <w:t>2005</w:t>
            </w:r>
          </w:p>
        </w:tc>
        <w:tc>
          <w:tcPr>
            <w:tcW w:w="709" w:type="dxa"/>
            <w:tcBorders>
              <w:top w:val="nil"/>
              <w:bottom w:val="single" w:sz="4" w:space="0" w:color="1B556B" w:themeColor="text2"/>
            </w:tcBorders>
            <w:shd w:val="clear" w:color="auto" w:fill="1B556B"/>
            <w:vAlign w:val="center"/>
          </w:tcPr>
          <w:p w14:paraId="78BE2BCD" w14:textId="77777777" w:rsidR="00E46639" w:rsidRPr="0028033B" w:rsidRDefault="00E46639" w:rsidP="00F16E23">
            <w:pPr>
              <w:pStyle w:val="TableTextBold"/>
              <w:keepNext/>
              <w:spacing w:before="0" w:after="40"/>
              <w:jc w:val="right"/>
              <w:rPr>
                <w:i/>
                <w:noProof w:val="0"/>
                <w:color w:val="FFFFFF" w:themeColor="background1"/>
                <w:szCs w:val="16"/>
              </w:rPr>
            </w:pPr>
            <w:r w:rsidRPr="0028033B">
              <w:rPr>
                <w:noProof w:val="0"/>
                <w:color w:val="FFFFFF" w:themeColor="background1"/>
                <w:szCs w:val="16"/>
              </w:rPr>
              <w:t>2024</w:t>
            </w:r>
          </w:p>
        </w:tc>
        <w:tc>
          <w:tcPr>
            <w:tcW w:w="712" w:type="dxa"/>
            <w:tcBorders>
              <w:top w:val="nil"/>
              <w:bottom w:val="single" w:sz="4" w:space="0" w:color="1B556B" w:themeColor="text2"/>
            </w:tcBorders>
            <w:shd w:val="clear" w:color="auto" w:fill="1B556B"/>
          </w:tcPr>
          <w:p w14:paraId="32A344DE" w14:textId="77777777" w:rsidR="00E46639" w:rsidRPr="0028033B" w:rsidRDefault="00E46639" w:rsidP="00F16E23">
            <w:pPr>
              <w:pStyle w:val="TableTextBold"/>
              <w:keepNext/>
              <w:spacing w:before="0" w:after="40"/>
              <w:jc w:val="right"/>
              <w:rPr>
                <w:noProof w:val="0"/>
                <w:color w:val="FFFFFF" w:themeColor="background1"/>
                <w:szCs w:val="16"/>
              </w:rPr>
            </w:pPr>
            <w:r w:rsidRPr="0028033B">
              <w:rPr>
                <w:noProof w:val="0"/>
                <w:color w:val="FFFFFF" w:themeColor="background1"/>
                <w:szCs w:val="16"/>
              </w:rPr>
              <w:t>kt CO</w:t>
            </w:r>
            <w:r w:rsidRPr="0028033B">
              <w:rPr>
                <w:noProof w:val="0"/>
                <w:color w:val="FFFFFF" w:themeColor="background1"/>
                <w:szCs w:val="16"/>
                <w:vertAlign w:val="subscript"/>
              </w:rPr>
              <w:t>2</w:t>
            </w:r>
            <w:r w:rsidRPr="0028033B">
              <w:rPr>
                <w:noProof w:val="0"/>
                <w:color w:val="FFFFFF" w:themeColor="background1"/>
                <w:szCs w:val="16"/>
              </w:rPr>
              <w:t>e</w:t>
            </w:r>
          </w:p>
        </w:tc>
        <w:tc>
          <w:tcPr>
            <w:tcW w:w="705" w:type="dxa"/>
            <w:tcBorders>
              <w:top w:val="nil"/>
              <w:bottom w:val="single" w:sz="4" w:space="0" w:color="1B556B" w:themeColor="text2"/>
            </w:tcBorders>
            <w:shd w:val="clear" w:color="auto" w:fill="1B556B"/>
            <w:vAlign w:val="center"/>
          </w:tcPr>
          <w:p w14:paraId="3C95D9FB" w14:textId="77777777" w:rsidR="00E46639" w:rsidRPr="0028033B" w:rsidRDefault="00E46639" w:rsidP="00F16E23">
            <w:pPr>
              <w:pStyle w:val="TableTextBold"/>
              <w:keepNext/>
              <w:spacing w:before="0" w:after="40"/>
              <w:jc w:val="right"/>
              <w:rPr>
                <w:noProof w:val="0"/>
                <w:color w:val="FFFFFF" w:themeColor="background1"/>
                <w:szCs w:val="16"/>
              </w:rPr>
            </w:pPr>
            <w:r w:rsidRPr="0028033B">
              <w:rPr>
                <w:noProof w:val="0"/>
                <w:color w:val="FFFFFF" w:themeColor="background1"/>
                <w:szCs w:val="16"/>
              </w:rPr>
              <w:t>%</w:t>
            </w:r>
          </w:p>
        </w:tc>
        <w:tc>
          <w:tcPr>
            <w:tcW w:w="722" w:type="dxa"/>
            <w:tcBorders>
              <w:top w:val="nil"/>
              <w:bottom w:val="single" w:sz="4" w:space="0" w:color="1B556B" w:themeColor="text2"/>
            </w:tcBorders>
            <w:shd w:val="clear" w:color="auto" w:fill="1B556B"/>
            <w:vAlign w:val="center"/>
          </w:tcPr>
          <w:p w14:paraId="5BD84A26" w14:textId="77777777" w:rsidR="00E46639" w:rsidRPr="0028033B" w:rsidRDefault="00E46639" w:rsidP="00F16E23">
            <w:pPr>
              <w:pStyle w:val="TableTextBold"/>
              <w:keepNext/>
              <w:spacing w:before="0" w:after="40"/>
              <w:jc w:val="right"/>
              <w:rPr>
                <w:i/>
                <w:noProof w:val="0"/>
                <w:color w:val="FFFFFF" w:themeColor="background1"/>
                <w:szCs w:val="16"/>
              </w:rPr>
            </w:pPr>
            <w:r w:rsidRPr="0028033B">
              <w:rPr>
                <w:noProof w:val="0"/>
                <w:color w:val="FFFFFF" w:themeColor="background1"/>
                <w:szCs w:val="16"/>
              </w:rPr>
              <w:t>kt CO</w:t>
            </w:r>
            <w:r w:rsidRPr="0028033B">
              <w:rPr>
                <w:noProof w:val="0"/>
                <w:color w:val="FFFFFF" w:themeColor="background1"/>
                <w:szCs w:val="16"/>
                <w:vertAlign w:val="subscript"/>
              </w:rPr>
              <w:t>2</w:t>
            </w:r>
            <w:r w:rsidRPr="0028033B">
              <w:rPr>
                <w:noProof w:val="0"/>
                <w:color w:val="FFFFFF" w:themeColor="background1"/>
                <w:szCs w:val="16"/>
              </w:rPr>
              <w:t>e</w:t>
            </w:r>
          </w:p>
        </w:tc>
        <w:tc>
          <w:tcPr>
            <w:tcW w:w="0" w:type="auto"/>
            <w:tcBorders>
              <w:top w:val="nil"/>
              <w:bottom w:val="single" w:sz="4" w:space="0" w:color="1B556B" w:themeColor="text2"/>
            </w:tcBorders>
            <w:shd w:val="clear" w:color="auto" w:fill="1B556B" w:themeFill="text2"/>
            <w:vAlign w:val="center"/>
          </w:tcPr>
          <w:p w14:paraId="13A17716" w14:textId="77777777" w:rsidR="00E46639" w:rsidRPr="0028033B" w:rsidRDefault="00E46639" w:rsidP="00F16E23">
            <w:pPr>
              <w:pStyle w:val="TableTextBold"/>
              <w:keepNext/>
              <w:spacing w:before="0" w:after="40"/>
              <w:jc w:val="right"/>
              <w:rPr>
                <w:noProof w:val="0"/>
                <w:color w:val="FFFFFF" w:themeColor="background1"/>
                <w:szCs w:val="16"/>
              </w:rPr>
            </w:pPr>
            <w:r w:rsidRPr="0028033B">
              <w:rPr>
                <w:noProof w:val="0"/>
                <w:color w:val="FFFFFF" w:themeColor="background1"/>
                <w:szCs w:val="16"/>
              </w:rPr>
              <w:t>%</w:t>
            </w:r>
          </w:p>
        </w:tc>
        <w:tc>
          <w:tcPr>
            <w:tcW w:w="1247" w:type="dxa"/>
            <w:tcBorders>
              <w:top w:val="nil"/>
              <w:bottom w:val="single" w:sz="4" w:space="0" w:color="1B556B" w:themeColor="text2"/>
            </w:tcBorders>
            <w:shd w:val="clear" w:color="auto" w:fill="1B556B" w:themeFill="text2"/>
            <w:vAlign w:val="center"/>
          </w:tcPr>
          <w:p w14:paraId="34625452" w14:textId="77777777" w:rsidR="00E46639" w:rsidRPr="0028033B" w:rsidRDefault="00E46639" w:rsidP="00F16E23">
            <w:pPr>
              <w:pStyle w:val="TableTextBold"/>
              <w:keepNext/>
              <w:spacing w:before="0" w:after="40"/>
              <w:jc w:val="right"/>
              <w:rPr>
                <w:noProof w:val="0"/>
                <w:color w:val="FFFFFF" w:themeColor="background1"/>
                <w:szCs w:val="16"/>
              </w:rPr>
            </w:pPr>
            <w:r w:rsidRPr="0028033B">
              <w:rPr>
                <w:noProof w:val="0"/>
                <w:color w:val="FFFFFF" w:themeColor="background1"/>
                <w:szCs w:val="16"/>
              </w:rPr>
              <w:t>2024 (%)</w:t>
            </w:r>
          </w:p>
        </w:tc>
        <w:tc>
          <w:tcPr>
            <w:tcW w:w="0" w:type="auto"/>
            <w:tcBorders>
              <w:top w:val="nil"/>
              <w:bottom w:val="single" w:sz="4" w:space="0" w:color="1B556B" w:themeColor="text2"/>
              <w:right w:val="nil"/>
            </w:tcBorders>
            <w:shd w:val="clear" w:color="auto" w:fill="1B556B" w:themeFill="text2"/>
            <w:vAlign w:val="center"/>
          </w:tcPr>
          <w:p w14:paraId="3B4992A6" w14:textId="77777777" w:rsidR="00E46639" w:rsidRPr="0028033B" w:rsidRDefault="00E46639" w:rsidP="00F16E23">
            <w:pPr>
              <w:pStyle w:val="TableTextBold"/>
              <w:keepNext/>
              <w:spacing w:before="0" w:after="40"/>
              <w:jc w:val="right"/>
              <w:rPr>
                <w:i/>
                <w:noProof w:val="0"/>
                <w:color w:val="FFFFFF" w:themeColor="background1"/>
                <w:szCs w:val="16"/>
              </w:rPr>
            </w:pPr>
            <w:r w:rsidRPr="0028033B">
              <w:rPr>
                <w:noProof w:val="0"/>
                <w:color w:val="FFFFFF" w:themeColor="background1"/>
                <w:szCs w:val="16"/>
              </w:rPr>
              <w:t>2024 (%)</w:t>
            </w:r>
          </w:p>
        </w:tc>
      </w:tr>
      <w:tr w:rsidR="00E46639" w:rsidRPr="0028033B" w14:paraId="715B47C1" w14:textId="77777777" w:rsidTr="00F16E23">
        <w:trPr>
          <w:trHeight w:val="274"/>
        </w:trPr>
        <w:tc>
          <w:tcPr>
            <w:tcW w:w="1276" w:type="dxa"/>
            <w:tcBorders>
              <w:top w:val="single" w:sz="4" w:space="0" w:color="1B556B" w:themeColor="text2"/>
              <w:left w:val="nil"/>
              <w:bottom w:val="nil"/>
            </w:tcBorders>
          </w:tcPr>
          <w:p w14:paraId="5C8635E6" w14:textId="77777777" w:rsidR="00E46639" w:rsidRPr="0028033B" w:rsidRDefault="00E46639" w:rsidP="00F16E23">
            <w:pPr>
              <w:pStyle w:val="TableText"/>
              <w:keepNext/>
              <w:spacing w:before="40" w:after="40"/>
              <w:rPr>
                <w:color w:val="000000" w:themeColor="text1"/>
              </w:rPr>
            </w:pPr>
            <w:r w:rsidRPr="0028033B">
              <w:rPr>
                <w:color w:val="000000" w:themeColor="text1"/>
              </w:rPr>
              <w:t>Dairy cattle</w:t>
            </w:r>
          </w:p>
        </w:tc>
        <w:tc>
          <w:tcPr>
            <w:tcW w:w="709" w:type="dxa"/>
            <w:tcBorders>
              <w:top w:val="single" w:sz="4" w:space="0" w:color="1B556B" w:themeColor="text2"/>
              <w:left w:val="nil"/>
              <w:bottom w:val="single" w:sz="4" w:space="0" w:color="1B556B" w:themeColor="text2"/>
              <w:right w:val="nil"/>
            </w:tcBorders>
            <w:vAlign w:val="bottom"/>
          </w:tcPr>
          <w:p w14:paraId="23CE90F9"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1,019.9</w:t>
            </w:r>
          </w:p>
        </w:tc>
        <w:tc>
          <w:tcPr>
            <w:tcW w:w="656" w:type="dxa"/>
            <w:tcBorders>
              <w:top w:val="single" w:sz="4" w:space="0" w:color="1B556B" w:themeColor="text2"/>
              <w:bottom w:val="single" w:sz="4" w:space="0" w:color="1B556B" w:themeColor="text2"/>
            </w:tcBorders>
            <w:vAlign w:val="bottom"/>
          </w:tcPr>
          <w:p w14:paraId="469C60D2"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1,612.3</w:t>
            </w:r>
          </w:p>
        </w:tc>
        <w:tc>
          <w:tcPr>
            <w:tcW w:w="709" w:type="dxa"/>
            <w:tcBorders>
              <w:top w:val="single" w:sz="4" w:space="0" w:color="1B556B" w:themeColor="text2"/>
              <w:left w:val="nil"/>
              <w:bottom w:val="single" w:sz="4" w:space="0" w:color="1B556B" w:themeColor="text2"/>
              <w:right w:val="nil"/>
            </w:tcBorders>
            <w:vAlign w:val="bottom"/>
          </w:tcPr>
          <w:p w14:paraId="783B3340"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1,979.7</w:t>
            </w:r>
          </w:p>
        </w:tc>
        <w:tc>
          <w:tcPr>
            <w:tcW w:w="712" w:type="dxa"/>
            <w:tcBorders>
              <w:top w:val="single" w:sz="4" w:space="0" w:color="1B556B" w:themeColor="text2"/>
              <w:bottom w:val="single" w:sz="4" w:space="0" w:color="1B556B" w:themeColor="text2"/>
            </w:tcBorders>
            <w:vAlign w:val="bottom"/>
          </w:tcPr>
          <w:p w14:paraId="122A0BB9"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959.8</w:t>
            </w:r>
          </w:p>
        </w:tc>
        <w:tc>
          <w:tcPr>
            <w:tcW w:w="705" w:type="dxa"/>
            <w:tcBorders>
              <w:top w:val="single" w:sz="4" w:space="0" w:color="1B556B" w:themeColor="text2"/>
              <w:left w:val="nil"/>
              <w:bottom w:val="single" w:sz="4" w:space="0" w:color="1B556B" w:themeColor="text2"/>
              <w:right w:val="nil"/>
            </w:tcBorders>
            <w:vAlign w:val="bottom"/>
          </w:tcPr>
          <w:p w14:paraId="72107A37"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94.1</w:t>
            </w:r>
          </w:p>
        </w:tc>
        <w:tc>
          <w:tcPr>
            <w:tcW w:w="722" w:type="dxa"/>
            <w:tcBorders>
              <w:top w:val="single" w:sz="4" w:space="0" w:color="1B556B" w:themeColor="text2"/>
              <w:left w:val="nil"/>
              <w:bottom w:val="single" w:sz="4" w:space="0" w:color="1B556B" w:themeColor="text2"/>
              <w:right w:val="nil"/>
            </w:tcBorders>
            <w:vAlign w:val="bottom"/>
          </w:tcPr>
          <w:p w14:paraId="7D2D9127"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367.5</w:t>
            </w:r>
          </w:p>
        </w:tc>
        <w:tc>
          <w:tcPr>
            <w:tcW w:w="0" w:type="auto"/>
            <w:tcBorders>
              <w:top w:val="single" w:sz="4" w:space="0" w:color="1B556B" w:themeColor="text2"/>
              <w:bottom w:val="single" w:sz="4" w:space="0" w:color="1B556B" w:themeColor="text2"/>
            </w:tcBorders>
            <w:vAlign w:val="bottom"/>
          </w:tcPr>
          <w:p w14:paraId="58268B10"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22.8</w:t>
            </w:r>
          </w:p>
        </w:tc>
        <w:tc>
          <w:tcPr>
            <w:tcW w:w="1247" w:type="dxa"/>
            <w:tcBorders>
              <w:top w:val="single" w:sz="4" w:space="0" w:color="1B556B" w:themeColor="text2"/>
              <w:bottom w:val="single" w:sz="4" w:space="0" w:color="1B556B" w:themeColor="text2"/>
            </w:tcBorders>
            <w:vAlign w:val="bottom"/>
          </w:tcPr>
          <w:p w14:paraId="59B1D56E"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32.3</w:t>
            </w:r>
          </w:p>
        </w:tc>
        <w:tc>
          <w:tcPr>
            <w:tcW w:w="0" w:type="auto"/>
            <w:tcBorders>
              <w:top w:val="single" w:sz="4" w:space="0" w:color="1B556B" w:themeColor="text2"/>
              <w:left w:val="nil"/>
              <w:bottom w:val="single" w:sz="4" w:space="0" w:color="1B556B" w:themeColor="text2"/>
              <w:right w:val="nil"/>
            </w:tcBorders>
            <w:vAlign w:val="bottom"/>
          </w:tcPr>
          <w:p w14:paraId="1655B707"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4.9</w:t>
            </w:r>
          </w:p>
        </w:tc>
      </w:tr>
      <w:tr w:rsidR="00E46639" w:rsidRPr="0028033B" w14:paraId="144133D9" w14:textId="77777777" w:rsidTr="00F16E23">
        <w:trPr>
          <w:trHeight w:val="285"/>
        </w:trPr>
        <w:tc>
          <w:tcPr>
            <w:tcW w:w="1276" w:type="dxa"/>
            <w:tcBorders>
              <w:top w:val="nil"/>
              <w:left w:val="nil"/>
              <w:bottom w:val="nil"/>
            </w:tcBorders>
          </w:tcPr>
          <w:p w14:paraId="55DCAA80" w14:textId="77777777" w:rsidR="00E46639" w:rsidRPr="0028033B" w:rsidRDefault="00E46639" w:rsidP="00F16E23">
            <w:pPr>
              <w:pStyle w:val="TableText"/>
              <w:keepNext/>
              <w:spacing w:before="40" w:after="40"/>
              <w:rPr>
                <w:color w:val="000000" w:themeColor="text1"/>
              </w:rPr>
            </w:pPr>
            <w:r w:rsidRPr="0028033B">
              <w:rPr>
                <w:color w:val="000000" w:themeColor="text1"/>
              </w:rPr>
              <w:t>Non-dairy cattle</w:t>
            </w:r>
          </w:p>
        </w:tc>
        <w:tc>
          <w:tcPr>
            <w:tcW w:w="709" w:type="dxa"/>
            <w:tcBorders>
              <w:top w:val="single" w:sz="4" w:space="0" w:color="1B556B" w:themeColor="text2"/>
              <w:left w:val="nil"/>
              <w:bottom w:val="single" w:sz="4" w:space="0" w:color="1B556B" w:themeColor="text2"/>
              <w:right w:val="nil"/>
            </w:tcBorders>
            <w:vAlign w:val="bottom"/>
          </w:tcPr>
          <w:p w14:paraId="0D85E637"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740.1</w:t>
            </w:r>
          </w:p>
        </w:tc>
        <w:tc>
          <w:tcPr>
            <w:tcW w:w="656" w:type="dxa"/>
            <w:tcBorders>
              <w:top w:val="single" w:sz="4" w:space="0" w:color="1B556B" w:themeColor="text2"/>
              <w:bottom w:val="single" w:sz="4" w:space="0" w:color="1B556B" w:themeColor="text2"/>
            </w:tcBorders>
            <w:vAlign w:val="bottom"/>
          </w:tcPr>
          <w:p w14:paraId="64DD8D2B"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849.0</w:t>
            </w:r>
          </w:p>
        </w:tc>
        <w:tc>
          <w:tcPr>
            <w:tcW w:w="709" w:type="dxa"/>
            <w:tcBorders>
              <w:top w:val="single" w:sz="4" w:space="0" w:color="1B556B" w:themeColor="text2"/>
              <w:left w:val="nil"/>
              <w:bottom w:val="single" w:sz="4" w:space="0" w:color="1B556B" w:themeColor="text2"/>
              <w:right w:val="nil"/>
            </w:tcBorders>
            <w:vAlign w:val="bottom"/>
          </w:tcPr>
          <w:p w14:paraId="227D8583"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736.4</w:t>
            </w:r>
          </w:p>
        </w:tc>
        <w:tc>
          <w:tcPr>
            <w:tcW w:w="712" w:type="dxa"/>
            <w:tcBorders>
              <w:top w:val="single" w:sz="4" w:space="0" w:color="1B556B" w:themeColor="text2"/>
              <w:bottom w:val="single" w:sz="4" w:space="0" w:color="1B556B" w:themeColor="text2"/>
            </w:tcBorders>
            <w:vAlign w:val="bottom"/>
          </w:tcPr>
          <w:p w14:paraId="4477B2BB"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-3.7</w:t>
            </w:r>
          </w:p>
        </w:tc>
        <w:tc>
          <w:tcPr>
            <w:tcW w:w="705" w:type="dxa"/>
            <w:tcBorders>
              <w:top w:val="single" w:sz="4" w:space="0" w:color="1B556B" w:themeColor="text2"/>
              <w:left w:val="nil"/>
              <w:bottom w:val="single" w:sz="4" w:space="0" w:color="1B556B" w:themeColor="text2"/>
              <w:right w:val="nil"/>
            </w:tcBorders>
            <w:vAlign w:val="bottom"/>
          </w:tcPr>
          <w:p w14:paraId="3F1075FE"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-0.5</w:t>
            </w:r>
          </w:p>
        </w:tc>
        <w:tc>
          <w:tcPr>
            <w:tcW w:w="722" w:type="dxa"/>
            <w:tcBorders>
              <w:top w:val="single" w:sz="4" w:space="0" w:color="1B556B" w:themeColor="text2"/>
              <w:left w:val="nil"/>
              <w:bottom w:val="single" w:sz="4" w:space="0" w:color="1B556B" w:themeColor="text2"/>
              <w:right w:val="nil"/>
            </w:tcBorders>
            <w:vAlign w:val="bottom"/>
          </w:tcPr>
          <w:p w14:paraId="758B64BE"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-112.6</w:t>
            </w:r>
          </w:p>
        </w:tc>
        <w:tc>
          <w:tcPr>
            <w:tcW w:w="0" w:type="auto"/>
            <w:tcBorders>
              <w:top w:val="single" w:sz="4" w:space="0" w:color="1B556B" w:themeColor="text2"/>
              <w:bottom w:val="single" w:sz="4" w:space="0" w:color="1B556B" w:themeColor="text2"/>
            </w:tcBorders>
            <w:vAlign w:val="bottom"/>
          </w:tcPr>
          <w:p w14:paraId="7FA4B432"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-13.3</w:t>
            </w:r>
          </w:p>
        </w:tc>
        <w:tc>
          <w:tcPr>
            <w:tcW w:w="1247" w:type="dxa"/>
            <w:tcBorders>
              <w:top w:val="single" w:sz="4" w:space="0" w:color="1B556B" w:themeColor="text2"/>
              <w:bottom w:val="single" w:sz="4" w:space="0" w:color="1B556B" w:themeColor="text2"/>
            </w:tcBorders>
            <w:vAlign w:val="bottom"/>
          </w:tcPr>
          <w:p w14:paraId="6CA1E702"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12.0</w:t>
            </w:r>
          </w:p>
        </w:tc>
        <w:tc>
          <w:tcPr>
            <w:tcW w:w="0" w:type="auto"/>
            <w:tcBorders>
              <w:top w:val="single" w:sz="4" w:space="0" w:color="1B556B" w:themeColor="text2"/>
              <w:left w:val="nil"/>
              <w:bottom w:val="single" w:sz="4" w:space="0" w:color="1B556B" w:themeColor="text2"/>
              <w:right w:val="nil"/>
            </w:tcBorders>
            <w:vAlign w:val="bottom"/>
          </w:tcPr>
          <w:p w14:paraId="1A2839E1"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1.8</w:t>
            </w:r>
          </w:p>
        </w:tc>
      </w:tr>
      <w:tr w:rsidR="00E46639" w:rsidRPr="0028033B" w14:paraId="0B45D96E" w14:textId="77777777" w:rsidTr="00F16E23">
        <w:trPr>
          <w:trHeight w:val="274"/>
        </w:trPr>
        <w:tc>
          <w:tcPr>
            <w:tcW w:w="1276" w:type="dxa"/>
            <w:tcBorders>
              <w:top w:val="nil"/>
              <w:left w:val="nil"/>
              <w:bottom w:val="nil"/>
            </w:tcBorders>
          </w:tcPr>
          <w:p w14:paraId="246ECDC5" w14:textId="77777777" w:rsidR="00E46639" w:rsidRPr="0028033B" w:rsidRDefault="00E46639" w:rsidP="00F16E23">
            <w:pPr>
              <w:pStyle w:val="TableText"/>
              <w:keepNext/>
              <w:spacing w:before="40" w:after="40"/>
              <w:rPr>
                <w:color w:val="000000" w:themeColor="text1"/>
              </w:rPr>
            </w:pPr>
            <w:r w:rsidRPr="0028033B">
              <w:rPr>
                <w:color w:val="000000" w:themeColor="text1"/>
              </w:rPr>
              <w:t>Sheep</w:t>
            </w:r>
          </w:p>
        </w:tc>
        <w:tc>
          <w:tcPr>
            <w:tcW w:w="709" w:type="dxa"/>
            <w:tcBorders>
              <w:top w:val="single" w:sz="4" w:space="0" w:color="1B556B" w:themeColor="text2"/>
              <w:left w:val="nil"/>
              <w:bottom w:val="single" w:sz="4" w:space="0" w:color="1B556B" w:themeColor="text2"/>
              <w:right w:val="nil"/>
            </w:tcBorders>
            <w:vAlign w:val="bottom"/>
          </w:tcPr>
          <w:p w14:paraId="49D8D269"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767.5</w:t>
            </w:r>
          </w:p>
        </w:tc>
        <w:tc>
          <w:tcPr>
            <w:tcW w:w="656" w:type="dxa"/>
            <w:tcBorders>
              <w:top w:val="single" w:sz="4" w:space="0" w:color="1B556B" w:themeColor="text2"/>
              <w:bottom w:val="single" w:sz="4" w:space="0" w:color="1B556B" w:themeColor="text2"/>
            </w:tcBorders>
            <w:vAlign w:val="bottom"/>
          </w:tcPr>
          <w:p w14:paraId="1E0CE9CD"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675.7</w:t>
            </w:r>
          </w:p>
        </w:tc>
        <w:tc>
          <w:tcPr>
            <w:tcW w:w="709" w:type="dxa"/>
            <w:tcBorders>
              <w:top w:val="single" w:sz="4" w:space="0" w:color="1B556B" w:themeColor="text2"/>
              <w:left w:val="nil"/>
              <w:bottom w:val="single" w:sz="4" w:space="0" w:color="1B556B" w:themeColor="text2"/>
              <w:right w:val="nil"/>
            </w:tcBorders>
            <w:vAlign w:val="bottom"/>
          </w:tcPr>
          <w:p w14:paraId="70722746"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425.5</w:t>
            </w:r>
          </w:p>
        </w:tc>
        <w:tc>
          <w:tcPr>
            <w:tcW w:w="712" w:type="dxa"/>
            <w:tcBorders>
              <w:top w:val="single" w:sz="4" w:space="0" w:color="1B556B" w:themeColor="text2"/>
              <w:bottom w:val="single" w:sz="4" w:space="0" w:color="1B556B" w:themeColor="text2"/>
            </w:tcBorders>
            <w:vAlign w:val="bottom"/>
          </w:tcPr>
          <w:p w14:paraId="6659A568"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-342</w:t>
            </w:r>
          </w:p>
        </w:tc>
        <w:tc>
          <w:tcPr>
            <w:tcW w:w="705" w:type="dxa"/>
            <w:tcBorders>
              <w:top w:val="single" w:sz="4" w:space="0" w:color="1B556B" w:themeColor="text2"/>
              <w:left w:val="nil"/>
              <w:bottom w:val="single" w:sz="4" w:space="0" w:color="1B556B" w:themeColor="text2"/>
              <w:right w:val="nil"/>
            </w:tcBorders>
            <w:vAlign w:val="bottom"/>
          </w:tcPr>
          <w:p w14:paraId="182B8616"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-44.6</w:t>
            </w:r>
          </w:p>
        </w:tc>
        <w:tc>
          <w:tcPr>
            <w:tcW w:w="722" w:type="dxa"/>
            <w:tcBorders>
              <w:top w:val="single" w:sz="4" w:space="0" w:color="1B556B" w:themeColor="text2"/>
              <w:left w:val="nil"/>
              <w:bottom w:val="single" w:sz="4" w:space="0" w:color="1B556B" w:themeColor="text2"/>
              <w:right w:val="nil"/>
            </w:tcBorders>
            <w:vAlign w:val="bottom"/>
          </w:tcPr>
          <w:p w14:paraId="58C3C4C5"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-250.2</w:t>
            </w:r>
          </w:p>
        </w:tc>
        <w:tc>
          <w:tcPr>
            <w:tcW w:w="0" w:type="auto"/>
            <w:tcBorders>
              <w:top w:val="single" w:sz="4" w:space="0" w:color="1B556B" w:themeColor="text2"/>
              <w:bottom w:val="single" w:sz="4" w:space="0" w:color="1B556B" w:themeColor="text2"/>
            </w:tcBorders>
            <w:vAlign w:val="bottom"/>
          </w:tcPr>
          <w:p w14:paraId="69609E0B"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-37.0</w:t>
            </w:r>
          </w:p>
        </w:tc>
        <w:tc>
          <w:tcPr>
            <w:tcW w:w="1247" w:type="dxa"/>
            <w:tcBorders>
              <w:top w:val="single" w:sz="4" w:space="0" w:color="1B556B" w:themeColor="text2"/>
              <w:bottom w:val="single" w:sz="4" w:space="0" w:color="1B556B" w:themeColor="text2"/>
            </w:tcBorders>
            <w:vAlign w:val="bottom"/>
          </w:tcPr>
          <w:p w14:paraId="3A9BFC17"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6.9</w:t>
            </w:r>
          </w:p>
        </w:tc>
        <w:tc>
          <w:tcPr>
            <w:tcW w:w="0" w:type="auto"/>
            <w:tcBorders>
              <w:top w:val="single" w:sz="4" w:space="0" w:color="1B556B" w:themeColor="text2"/>
              <w:left w:val="nil"/>
              <w:bottom w:val="single" w:sz="4" w:space="0" w:color="1B556B" w:themeColor="text2"/>
              <w:right w:val="nil"/>
            </w:tcBorders>
            <w:vAlign w:val="bottom"/>
          </w:tcPr>
          <w:p w14:paraId="0D22CE02" w14:textId="77777777" w:rsidR="00E46639" w:rsidRPr="0028033B" w:rsidRDefault="00E46639" w:rsidP="00F16E23">
            <w:pPr>
              <w:pStyle w:val="TableText"/>
              <w:keepNext/>
              <w:spacing w:before="40" w:after="40"/>
              <w:jc w:val="right"/>
              <w:rPr>
                <w:rFonts w:asciiTheme="minorHAnsi" w:hAnsiTheme="minorHAnsi" w:cstheme="minorHAnsi"/>
                <w:szCs w:val="16"/>
              </w:rPr>
            </w:pPr>
            <w:r w:rsidRPr="0028033B">
              <w:rPr>
                <w:rFonts w:asciiTheme="minorHAnsi" w:hAnsiTheme="minorHAnsi" w:cstheme="minorHAnsi"/>
                <w:szCs w:val="16"/>
              </w:rPr>
              <w:t>1.1</w:t>
            </w:r>
          </w:p>
        </w:tc>
      </w:tr>
      <w:tr w:rsidR="00E46639" w:rsidRPr="0028033B" w14:paraId="3374CD83" w14:textId="77777777" w:rsidTr="00F16E23">
        <w:trPr>
          <w:trHeight w:val="285"/>
        </w:trPr>
        <w:tc>
          <w:tcPr>
            <w:tcW w:w="1276" w:type="dxa"/>
            <w:tcBorders>
              <w:top w:val="nil"/>
              <w:left w:val="nil"/>
              <w:bottom w:val="nil"/>
            </w:tcBorders>
          </w:tcPr>
          <w:p w14:paraId="11B2F501" w14:textId="77777777" w:rsidR="00E46639" w:rsidRPr="0028033B" w:rsidRDefault="00E46639" w:rsidP="00F16E23">
            <w:pPr>
              <w:pStyle w:val="TableText"/>
              <w:spacing w:before="40" w:after="40"/>
              <w:rPr>
                <w:color w:val="000000" w:themeColor="text1"/>
              </w:rPr>
            </w:pPr>
            <w:r w:rsidRPr="0028033B">
              <w:rPr>
                <w:color w:val="000000" w:themeColor="text1"/>
              </w:rPr>
              <w:t>Deer</w:t>
            </w:r>
          </w:p>
        </w:tc>
        <w:tc>
          <w:tcPr>
            <w:tcW w:w="709" w:type="dxa"/>
            <w:tcBorders>
              <w:top w:val="single" w:sz="4" w:space="0" w:color="1B556B" w:themeColor="text2"/>
              <w:left w:val="nil"/>
              <w:bottom w:val="single" w:sz="4" w:space="0" w:color="1B556B" w:themeColor="text2"/>
              <w:right w:val="nil"/>
            </w:tcBorders>
            <w:vAlign w:val="bottom"/>
          </w:tcPr>
          <w:p w14:paraId="196DE901"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38.9</w:t>
            </w:r>
          </w:p>
        </w:tc>
        <w:tc>
          <w:tcPr>
            <w:tcW w:w="656" w:type="dxa"/>
            <w:tcBorders>
              <w:top w:val="single" w:sz="4" w:space="0" w:color="1B556B" w:themeColor="text2"/>
              <w:bottom w:val="single" w:sz="4" w:space="0" w:color="1B556B" w:themeColor="text2"/>
            </w:tcBorders>
            <w:vAlign w:val="bottom"/>
          </w:tcPr>
          <w:p w14:paraId="28908356"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72.4</w:t>
            </w:r>
          </w:p>
        </w:tc>
        <w:tc>
          <w:tcPr>
            <w:tcW w:w="709" w:type="dxa"/>
            <w:tcBorders>
              <w:top w:val="single" w:sz="4" w:space="0" w:color="1B556B" w:themeColor="text2"/>
              <w:left w:val="nil"/>
              <w:bottom w:val="single" w:sz="4" w:space="0" w:color="1B556B" w:themeColor="text2"/>
              <w:right w:val="nil"/>
            </w:tcBorders>
            <w:vAlign w:val="bottom"/>
          </w:tcPr>
          <w:p w14:paraId="4B0B4804"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31.8</w:t>
            </w:r>
          </w:p>
        </w:tc>
        <w:tc>
          <w:tcPr>
            <w:tcW w:w="712" w:type="dxa"/>
            <w:tcBorders>
              <w:top w:val="single" w:sz="4" w:space="0" w:color="1B556B" w:themeColor="text2"/>
              <w:bottom w:val="single" w:sz="4" w:space="0" w:color="1B556B" w:themeColor="text2"/>
            </w:tcBorders>
            <w:vAlign w:val="bottom"/>
          </w:tcPr>
          <w:p w14:paraId="0AD6B020"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-7.1</w:t>
            </w:r>
          </w:p>
        </w:tc>
        <w:tc>
          <w:tcPr>
            <w:tcW w:w="705" w:type="dxa"/>
            <w:tcBorders>
              <w:top w:val="single" w:sz="4" w:space="0" w:color="1B556B" w:themeColor="text2"/>
              <w:left w:val="nil"/>
              <w:bottom w:val="single" w:sz="4" w:space="0" w:color="1B556B" w:themeColor="text2"/>
              <w:right w:val="nil"/>
            </w:tcBorders>
            <w:vAlign w:val="bottom"/>
          </w:tcPr>
          <w:p w14:paraId="692F79F7"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-18.2</w:t>
            </w:r>
          </w:p>
        </w:tc>
        <w:tc>
          <w:tcPr>
            <w:tcW w:w="722" w:type="dxa"/>
            <w:tcBorders>
              <w:top w:val="single" w:sz="4" w:space="0" w:color="1B556B" w:themeColor="text2"/>
              <w:left w:val="nil"/>
              <w:bottom w:val="single" w:sz="4" w:space="0" w:color="1B556B" w:themeColor="text2"/>
              <w:right w:val="nil"/>
            </w:tcBorders>
            <w:vAlign w:val="bottom"/>
          </w:tcPr>
          <w:p w14:paraId="5D66D75D"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-40.5</w:t>
            </w:r>
          </w:p>
        </w:tc>
        <w:tc>
          <w:tcPr>
            <w:tcW w:w="0" w:type="auto"/>
            <w:tcBorders>
              <w:top w:val="single" w:sz="4" w:space="0" w:color="1B556B" w:themeColor="text2"/>
              <w:bottom w:val="single" w:sz="4" w:space="0" w:color="1B556B" w:themeColor="text2"/>
            </w:tcBorders>
            <w:vAlign w:val="bottom"/>
          </w:tcPr>
          <w:p w14:paraId="4D60F46F"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-56.0</w:t>
            </w:r>
          </w:p>
        </w:tc>
        <w:tc>
          <w:tcPr>
            <w:tcW w:w="1247" w:type="dxa"/>
            <w:tcBorders>
              <w:top w:val="single" w:sz="4" w:space="0" w:color="1B556B" w:themeColor="text2"/>
              <w:bottom w:val="single" w:sz="4" w:space="0" w:color="1B556B" w:themeColor="text2"/>
            </w:tcBorders>
            <w:vAlign w:val="bottom"/>
          </w:tcPr>
          <w:p w14:paraId="1B8E2483"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0.5</w:t>
            </w:r>
          </w:p>
        </w:tc>
        <w:tc>
          <w:tcPr>
            <w:tcW w:w="0" w:type="auto"/>
            <w:tcBorders>
              <w:top w:val="single" w:sz="4" w:space="0" w:color="1B556B" w:themeColor="text2"/>
              <w:left w:val="nil"/>
              <w:bottom w:val="single" w:sz="4" w:space="0" w:color="1B556B" w:themeColor="text2"/>
              <w:right w:val="nil"/>
            </w:tcBorders>
            <w:vAlign w:val="bottom"/>
          </w:tcPr>
          <w:p w14:paraId="371B756E"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0.1</w:t>
            </w:r>
          </w:p>
        </w:tc>
      </w:tr>
      <w:tr w:rsidR="00E46639" w:rsidRPr="0028033B" w14:paraId="5CD31ED3" w14:textId="77777777" w:rsidTr="00F16E23">
        <w:trPr>
          <w:trHeight w:val="274"/>
        </w:trPr>
        <w:tc>
          <w:tcPr>
            <w:tcW w:w="1276" w:type="dxa"/>
            <w:tcBorders>
              <w:top w:val="nil"/>
              <w:left w:val="nil"/>
              <w:bottom w:val="nil"/>
            </w:tcBorders>
          </w:tcPr>
          <w:p w14:paraId="22FCD82F" w14:textId="77777777" w:rsidR="00E46639" w:rsidRPr="0028033B" w:rsidRDefault="00E46639" w:rsidP="00F16E23">
            <w:pPr>
              <w:pStyle w:val="TableText"/>
              <w:spacing w:before="40" w:after="40"/>
              <w:rPr>
                <w:rFonts w:cs="Calibri"/>
                <w:i/>
                <w:color w:val="000000" w:themeColor="text1"/>
                <w:szCs w:val="16"/>
              </w:rPr>
            </w:pPr>
            <w:r w:rsidRPr="0028033B">
              <w:rPr>
                <w:rFonts w:cs="Calibri"/>
                <w:color w:val="000000" w:themeColor="text1"/>
                <w:szCs w:val="16"/>
              </w:rPr>
              <w:t>Minor livestock</w:t>
            </w:r>
          </w:p>
        </w:tc>
        <w:tc>
          <w:tcPr>
            <w:tcW w:w="709" w:type="dxa"/>
            <w:tcBorders>
              <w:top w:val="single" w:sz="4" w:space="0" w:color="1B556B" w:themeColor="text2"/>
              <w:left w:val="nil"/>
              <w:bottom w:val="single" w:sz="4" w:space="0" w:color="1B556B" w:themeColor="text2"/>
              <w:right w:val="nil"/>
            </w:tcBorders>
            <w:vAlign w:val="bottom"/>
          </w:tcPr>
          <w:p w14:paraId="58FE4263"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22.1</w:t>
            </w:r>
          </w:p>
        </w:tc>
        <w:tc>
          <w:tcPr>
            <w:tcW w:w="656" w:type="dxa"/>
            <w:tcBorders>
              <w:top w:val="single" w:sz="4" w:space="0" w:color="1B556B" w:themeColor="text2"/>
              <w:bottom w:val="single" w:sz="4" w:space="0" w:color="1B556B" w:themeColor="text2"/>
            </w:tcBorders>
            <w:vAlign w:val="bottom"/>
          </w:tcPr>
          <w:p w14:paraId="2D45BC76"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8.7</w:t>
            </w:r>
          </w:p>
        </w:tc>
        <w:tc>
          <w:tcPr>
            <w:tcW w:w="709" w:type="dxa"/>
            <w:tcBorders>
              <w:top w:val="single" w:sz="4" w:space="0" w:color="1B556B" w:themeColor="text2"/>
              <w:left w:val="nil"/>
              <w:bottom w:val="single" w:sz="4" w:space="0" w:color="1B556B" w:themeColor="text2"/>
              <w:right w:val="nil"/>
            </w:tcBorders>
            <w:vAlign w:val="bottom"/>
          </w:tcPr>
          <w:p w14:paraId="675BD54E"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6.4</w:t>
            </w:r>
          </w:p>
        </w:tc>
        <w:tc>
          <w:tcPr>
            <w:tcW w:w="712" w:type="dxa"/>
            <w:tcBorders>
              <w:top w:val="single" w:sz="4" w:space="0" w:color="1B556B" w:themeColor="text2"/>
              <w:bottom w:val="single" w:sz="4" w:space="0" w:color="1B556B" w:themeColor="text2"/>
            </w:tcBorders>
            <w:vAlign w:val="bottom"/>
          </w:tcPr>
          <w:p w14:paraId="4912F464"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-15.7</w:t>
            </w:r>
          </w:p>
        </w:tc>
        <w:tc>
          <w:tcPr>
            <w:tcW w:w="705" w:type="dxa"/>
            <w:tcBorders>
              <w:top w:val="single" w:sz="4" w:space="0" w:color="1B556B" w:themeColor="text2"/>
              <w:left w:val="nil"/>
              <w:bottom w:val="single" w:sz="4" w:space="0" w:color="1B556B" w:themeColor="text2"/>
              <w:right w:val="nil"/>
            </w:tcBorders>
            <w:vAlign w:val="bottom"/>
          </w:tcPr>
          <w:p w14:paraId="77367F1C"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-71.2</w:t>
            </w:r>
          </w:p>
        </w:tc>
        <w:tc>
          <w:tcPr>
            <w:tcW w:w="722" w:type="dxa"/>
            <w:tcBorders>
              <w:top w:val="single" w:sz="4" w:space="0" w:color="1B556B" w:themeColor="text2"/>
              <w:left w:val="nil"/>
              <w:bottom w:val="single" w:sz="4" w:space="0" w:color="1B556B" w:themeColor="text2"/>
              <w:right w:val="nil"/>
            </w:tcBorders>
            <w:vAlign w:val="bottom"/>
          </w:tcPr>
          <w:p w14:paraId="00B74CC3"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-2.3</w:t>
            </w:r>
          </w:p>
        </w:tc>
        <w:tc>
          <w:tcPr>
            <w:tcW w:w="0" w:type="auto"/>
            <w:tcBorders>
              <w:top w:val="single" w:sz="4" w:space="0" w:color="1B556B" w:themeColor="text2"/>
              <w:left w:val="nil"/>
              <w:bottom w:val="single" w:sz="4" w:space="0" w:color="1B556B" w:themeColor="text2"/>
              <w:right w:val="nil"/>
            </w:tcBorders>
            <w:vAlign w:val="bottom"/>
          </w:tcPr>
          <w:p w14:paraId="1308846C"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-26.9</w:t>
            </w:r>
          </w:p>
        </w:tc>
        <w:tc>
          <w:tcPr>
            <w:tcW w:w="1247" w:type="dxa"/>
            <w:tcBorders>
              <w:top w:val="single" w:sz="4" w:space="0" w:color="1B556B" w:themeColor="text2"/>
              <w:bottom w:val="single" w:sz="4" w:space="0" w:color="1B556B" w:themeColor="text2"/>
            </w:tcBorders>
            <w:vAlign w:val="bottom"/>
          </w:tcPr>
          <w:p w14:paraId="48CCE3D3"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0.1</w:t>
            </w:r>
          </w:p>
        </w:tc>
        <w:tc>
          <w:tcPr>
            <w:tcW w:w="0" w:type="auto"/>
            <w:tcBorders>
              <w:top w:val="single" w:sz="4" w:space="0" w:color="1B556B" w:themeColor="text2"/>
              <w:left w:val="nil"/>
              <w:bottom w:val="single" w:sz="4" w:space="0" w:color="1B556B" w:themeColor="text2"/>
              <w:right w:val="nil"/>
            </w:tcBorders>
            <w:vAlign w:val="bottom"/>
          </w:tcPr>
          <w:p w14:paraId="774CEAA8"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0.0</w:t>
            </w:r>
          </w:p>
        </w:tc>
      </w:tr>
      <w:tr w:rsidR="00E46639" w:rsidRPr="0028033B" w14:paraId="31BB0A8B" w14:textId="77777777" w:rsidTr="00F16E23">
        <w:trPr>
          <w:trHeight w:val="274"/>
        </w:trPr>
        <w:tc>
          <w:tcPr>
            <w:tcW w:w="1276" w:type="dxa"/>
            <w:tcBorders>
              <w:top w:val="nil"/>
              <w:left w:val="nil"/>
              <w:bottom w:val="single" w:sz="4" w:space="0" w:color="1B556B" w:themeColor="text2"/>
            </w:tcBorders>
          </w:tcPr>
          <w:p w14:paraId="2A525ECB" w14:textId="77777777" w:rsidR="00E46639" w:rsidRPr="0028033B" w:rsidRDefault="00E46639" w:rsidP="00F16E23">
            <w:pPr>
              <w:pStyle w:val="TableText"/>
              <w:spacing w:before="40" w:after="40"/>
              <w:rPr>
                <w:rFonts w:cs="Calibri"/>
                <w:color w:val="000000" w:themeColor="text1"/>
                <w:szCs w:val="16"/>
              </w:rPr>
            </w:pPr>
            <w:r w:rsidRPr="0028033B">
              <w:rPr>
                <w:rFonts w:cs="Calibri"/>
                <w:color w:val="000000" w:themeColor="text1"/>
                <w:szCs w:val="16"/>
              </w:rPr>
              <w:t>Total</w:t>
            </w:r>
          </w:p>
        </w:tc>
        <w:tc>
          <w:tcPr>
            <w:tcW w:w="709" w:type="dxa"/>
            <w:tcBorders>
              <w:top w:val="single" w:sz="4" w:space="0" w:color="1B556B" w:themeColor="text2"/>
              <w:left w:val="nil"/>
              <w:bottom w:val="single" w:sz="4" w:space="0" w:color="1B556B" w:themeColor="text2"/>
              <w:right w:val="nil"/>
            </w:tcBorders>
            <w:vAlign w:val="bottom"/>
          </w:tcPr>
          <w:p w14:paraId="350B58EE"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2,588.4</w:t>
            </w:r>
          </w:p>
        </w:tc>
        <w:tc>
          <w:tcPr>
            <w:tcW w:w="656" w:type="dxa"/>
            <w:tcBorders>
              <w:top w:val="single" w:sz="4" w:space="0" w:color="1B556B" w:themeColor="text2"/>
              <w:bottom w:val="single" w:sz="4" w:space="0" w:color="1B556B" w:themeColor="text2"/>
            </w:tcBorders>
            <w:vAlign w:val="bottom"/>
          </w:tcPr>
          <w:p w14:paraId="0F5F6B5F"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3,218.0</w:t>
            </w:r>
          </w:p>
        </w:tc>
        <w:tc>
          <w:tcPr>
            <w:tcW w:w="709" w:type="dxa"/>
            <w:tcBorders>
              <w:top w:val="single" w:sz="4" w:space="0" w:color="1B556B" w:themeColor="text2"/>
              <w:left w:val="nil"/>
              <w:bottom w:val="single" w:sz="4" w:space="0" w:color="1B556B" w:themeColor="text2"/>
              <w:right w:val="nil"/>
            </w:tcBorders>
            <w:vAlign w:val="bottom"/>
          </w:tcPr>
          <w:p w14:paraId="5AA6C4DF"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3,179.7</w:t>
            </w:r>
          </w:p>
        </w:tc>
        <w:tc>
          <w:tcPr>
            <w:tcW w:w="712" w:type="dxa"/>
            <w:tcBorders>
              <w:top w:val="single" w:sz="4" w:space="0" w:color="1B556B" w:themeColor="text2"/>
              <w:bottom w:val="single" w:sz="4" w:space="0" w:color="1B556B" w:themeColor="text2"/>
            </w:tcBorders>
            <w:vAlign w:val="bottom"/>
          </w:tcPr>
          <w:p w14:paraId="4ADB830A"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591.3</w:t>
            </w:r>
          </w:p>
        </w:tc>
        <w:tc>
          <w:tcPr>
            <w:tcW w:w="705" w:type="dxa"/>
            <w:tcBorders>
              <w:top w:val="single" w:sz="4" w:space="0" w:color="1B556B" w:themeColor="text2"/>
              <w:left w:val="nil"/>
              <w:bottom w:val="single" w:sz="4" w:space="0" w:color="1B556B" w:themeColor="text2"/>
              <w:right w:val="nil"/>
            </w:tcBorders>
            <w:vAlign w:val="bottom"/>
          </w:tcPr>
          <w:p w14:paraId="623F0347"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22.8</w:t>
            </w:r>
          </w:p>
        </w:tc>
        <w:tc>
          <w:tcPr>
            <w:tcW w:w="722" w:type="dxa"/>
            <w:tcBorders>
              <w:top w:val="single" w:sz="4" w:space="0" w:color="1B556B" w:themeColor="text2"/>
              <w:left w:val="nil"/>
              <w:bottom w:val="single" w:sz="4" w:space="0" w:color="1B556B" w:themeColor="text2"/>
              <w:right w:val="nil"/>
            </w:tcBorders>
            <w:vAlign w:val="bottom"/>
          </w:tcPr>
          <w:p w14:paraId="266DA32C"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-38.2</w:t>
            </w:r>
          </w:p>
        </w:tc>
        <w:tc>
          <w:tcPr>
            <w:tcW w:w="0" w:type="auto"/>
            <w:tcBorders>
              <w:top w:val="single" w:sz="4" w:space="0" w:color="1B556B" w:themeColor="text2"/>
              <w:left w:val="nil"/>
              <w:bottom w:val="single" w:sz="4" w:space="0" w:color="1B556B" w:themeColor="text2"/>
              <w:right w:val="nil"/>
            </w:tcBorders>
            <w:vAlign w:val="bottom"/>
          </w:tcPr>
          <w:p w14:paraId="5719836F"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-1.2</w:t>
            </w:r>
          </w:p>
        </w:tc>
        <w:tc>
          <w:tcPr>
            <w:tcW w:w="1247" w:type="dxa"/>
            <w:tcBorders>
              <w:top w:val="single" w:sz="4" w:space="0" w:color="1B556B" w:themeColor="text2"/>
              <w:bottom w:val="single" w:sz="4" w:space="0" w:color="1B556B" w:themeColor="text2"/>
            </w:tcBorders>
            <w:vAlign w:val="bottom"/>
          </w:tcPr>
          <w:p w14:paraId="08D418DD"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51.9</w:t>
            </w:r>
          </w:p>
        </w:tc>
        <w:tc>
          <w:tcPr>
            <w:tcW w:w="0" w:type="auto"/>
            <w:tcBorders>
              <w:top w:val="single" w:sz="4" w:space="0" w:color="1B556B" w:themeColor="text2"/>
              <w:left w:val="nil"/>
              <w:bottom w:val="single" w:sz="4" w:space="0" w:color="1B556B" w:themeColor="text2"/>
              <w:right w:val="nil"/>
            </w:tcBorders>
            <w:vAlign w:val="bottom"/>
          </w:tcPr>
          <w:p w14:paraId="4BCA7A1A" w14:textId="77777777" w:rsidR="00E46639" w:rsidRPr="0028033B" w:rsidRDefault="00E46639" w:rsidP="00F16E23">
            <w:pPr>
              <w:pStyle w:val="TableText"/>
              <w:spacing w:before="40" w:after="40"/>
              <w:jc w:val="right"/>
              <w:rPr>
                <w:rFonts w:asciiTheme="minorHAnsi" w:hAnsiTheme="minorHAnsi" w:cstheme="minorHAnsi"/>
                <w:szCs w:val="16"/>
              </w:rPr>
            </w:pPr>
            <w:r w:rsidRPr="0028033B">
              <w:rPr>
                <w:rFonts w:asciiTheme="minorHAnsi" w:hAnsiTheme="minorHAnsi" w:cstheme="minorHAnsi"/>
                <w:szCs w:val="16"/>
              </w:rPr>
              <w:t>7.9</w:t>
            </w:r>
          </w:p>
        </w:tc>
      </w:tr>
    </w:tbl>
    <w:p w14:paraId="6F903AD4" w14:textId="77777777" w:rsidR="00E46639" w:rsidRPr="0028033B" w:rsidRDefault="00E46639" w:rsidP="00E46639">
      <w:pPr>
        <w:pStyle w:val="Noteundertable"/>
        <w:spacing w:before="160"/>
        <w:rPr>
          <w:rFonts w:cs="Calibri"/>
        </w:rPr>
      </w:pPr>
      <w:bookmarkStart w:id="1272" w:name="_Toc274046122"/>
      <w:r w:rsidRPr="0028033B">
        <w:rPr>
          <w:rFonts w:cs="Calibri"/>
          <w:b/>
          <w:bCs/>
        </w:rPr>
        <w:t>Note:</w:t>
      </w:r>
      <w:r w:rsidRPr="0028033B">
        <w:rPr>
          <w:rFonts w:cs="Calibri"/>
        </w:rPr>
        <w:tab/>
        <w:t>Percentages presented are calculated from unrounded values.</w:t>
      </w:r>
    </w:p>
    <w:p w14:paraId="0B2DCA09" w14:textId="77777777" w:rsidR="00E46639" w:rsidRPr="0028033B" w:rsidRDefault="00E46639" w:rsidP="00E46639">
      <w:pPr>
        <w:pStyle w:val="Heading5"/>
      </w:pPr>
      <w:r w:rsidRPr="0028033B">
        <w:t>Nitrous oxide from crop residue returned to soil</w:t>
      </w:r>
      <w:bookmarkEnd w:id="1272"/>
      <w:r w:rsidRPr="0028033B">
        <w:t xml:space="preserve"> (3.D.1.4)</w:t>
      </w:r>
    </w:p>
    <w:p w14:paraId="76AC67D9" w14:textId="77777777" w:rsidR="00E46639" w:rsidRPr="0028033B" w:rsidDel="005621A7" w:rsidRDefault="00E46639" w:rsidP="00E46639">
      <w:pPr>
        <w:pStyle w:val="BodyText"/>
        <w:rPr>
          <w:rFonts w:cs="Calibri"/>
        </w:rPr>
      </w:pPr>
      <w:r w:rsidRPr="0028033B">
        <w:rPr>
          <w:rFonts w:cs="Calibri"/>
        </w:rPr>
        <w:t>This emissions category includes emissions from nitrogen added to soils by above-ground and below-ground crop residue (including residue left behind by crop burning), and the nitrogen added as a result of mineralisation of forages during pasture renewal. It includes both nitrogen-fixing and non-nitrogen-fixing crop species. Crop residues are materials left in an agricultural field after the crop has been harvested. Pasture renewal is the destruction of low</w:t>
      </w:r>
      <w:r w:rsidRPr="0028033B">
        <w:rPr>
          <w:rFonts w:cs="Calibri"/>
        </w:rPr>
        <w:noBreakHyphen/>
        <w:t xml:space="preserve">quality pasture followed by the sowing of improved pasture species and varieties to increase farm productivity. The direct emissions from agricultural residue burning are reported in section 5.7. </w:t>
      </w:r>
    </w:p>
    <w:p w14:paraId="4F18F2F5" w14:textId="77777777" w:rsidR="00E46639" w:rsidRPr="0028033B" w:rsidRDefault="00E46639" w:rsidP="00E46639">
      <w:pPr>
        <w:pStyle w:val="BodyText"/>
        <w:spacing w:before="100"/>
        <w:rPr>
          <w:rFonts w:cs="Calibri"/>
        </w:rPr>
      </w:pPr>
      <w:r w:rsidRPr="0028033B">
        <w:rPr>
          <w:rFonts w:cs="Calibri"/>
        </w:rPr>
        <w:t>New Zealand does not include an adjustment for crop residue removed for feed and bedding, which is estimated to be minor by Thomas et al. (2011).</w:t>
      </w:r>
    </w:p>
    <w:p w14:paraId="0B2D760D" w14:textId="77777777" w:rsidR="00E46639" w:rsidRPr="0028033B" w:rsidRDefault="00E46639" w:rsidP="00E46639">
      <w:pPr>
        <w:pStyle w:val="BodyText"/>
        <w:spacing w:before="100"/>
        <w:rPr>
          <w:rFonts w:cs="Calibri"/>
        </w:rPr>
      </w:pPr>
      <w:r w:rsidRPr="0028033B">
        <w:rPr>
          <w:rFonts w:cs="Calibri"/>
          <w:b/>
          <w:bCs/>
        </w:rPr>
        <w:t xml:space="preserve">Nitrogen from crop residue: </w:t>
      </w:r>
      <w:r w:rsidRPr="0028033B">
        <w:rPr>
          <w:rFonts w:cs="Calibri"/>
        </w:rPr>
        <w:t xml:space="preserve">The major non-nitrogen-fixing crops grown in </w:t>
      </w:r>
      <w:r w:rsidRPr="0028033B" w:rsidDel="00122D71">
        <w:rPr>
          <w:rFonts w:cs="Calibri"/>
        </w:rPr>
        <w:t xml:space="preserve">New </w:t>
      </w:r>
      <w:r w:rsidRPr="0028033B">
        <w:rPr>
          <w:rFonts w:cs="Calibri"/>
        </w:rPr>
        <w:t xml:space="preserve">Zealand are barley, </w:t>
      </w:r>
      <w:r w:rsidRPr="0028033B">
        <w:rPr>
          <w:rFonts w:cs="Calibri"/>
          <w:spacing w:val="-2"/>
        </w:rPr>
        <w:t>wheat, oats, potatoes, maize for seed, and other seed crops. From the 2012 submission onwards,</w:t>
      </w:r>
      <w:r w:rsidRPr="0028033B">
        <w:rPr>
          <w:rFonts w:cs="Calibri"/>
        </w:rPr>
        <w:t xml:space="preserve"> </w:t>
      </w:r>
      <w:r w:rsidRPr="0028033B" w:rsidDel="009E37FF">
        <w:rPr>
          <w:rFonts w:cs="Calibri"/>
        </w:rPr>
        <w:t xml:space="preserve">New </w:t>
      </w:r>
      <w:r w:rsidRPr="0028033B">
        <w:rPr>
          <w:rFonts w:cs="Calibri"/>
        </w:rPr>
        <w:t xml:space="preserve">Zealand has reported emissions from additional cropping activity not previously estimated, such as onions, squash and sweetcorn (Thomas et al., 2012). The nitrogen-fixing crops grown in </w:t>
      </w:r>
      <w:r w:rsidRPr="0028033B" w:rsidDel="007E7529">
        <w:rPr>
          <w:rFonts w:cs="Calibri"/>
        </w:rPr>
        <w:t xml:space="preserve">New </w:t>
      </w:r>
      <w:r w:rsidRPr="0028033B">
        <w:rPr>
          <w:rFonts w:cs="Calibri"/>
        </w:rPr>
        <w:t>Zealand include peas grown for both processing and seed markets as well as lentil production, and forage legume seeds (</w:t>
      </w:r>
      <w:r w:rsidRPr="0028033B">
        <w:rPr>
          <w:rFonts w:cs="Calibri"/>
          <w:i/>
          <w:iCs/>
        </w:rPr>
        <w:t>Trifolium repens</w:t>
      </w:r>
      <w:r w:rsidRPr="0028033B">
        <w:rPr>
          <w:rFonts w:cs="Calibri"/>
        </w:rPr>
        <w:t>) grown for pasture production.</w:t>
      </w:r>
    </w:p>
    <w:p w14:paraId="6A168A6A" w14:textId="77777777" w:rsidR="00E46639" w:rsidRPr="0028033B" w:rsidRDefault="00E46639" w:rsidP="00E46639">
      <w:pPr>
        <w:pStyle w:val="BodyText"/>
      </w:pPr>
      <w:r w:rsidRPr="0028033B">
        <w:t>A country-specific methodology is used to calculate emissions from crop residue (Thomas et al., 2011):</w:t>
      </w:r>
    </w:p>
    <w:bookmarkStart w:id="1273" w:name="_1640173609"/>
    <w:bookmarkStart w:id="1274" w:name="_1767785931"/>
    <w:bookmarkStart w:id="1275" w:name="_1767788841"/>
    <w:bookmarkEnd w:id="1273"/>
    <w:bookmarkEnd w:id="1274"/>
    <w:bookmarkEnd w:id="1275"/>
    <w:p w14:paraId="7DC8FF76" w14:textId="77777777" w:rsidR="00E46639" w:rsidRPr="0028033B" w:rsidRDefault="00000000" w:rsidP="00E46639">
      <w:pPr>
        <w:pStyle w:val="BodyText"/>
        <w:spacing w:before="0" w:after="6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FCR</m:t>
              </m:r>
            </m:sub>
          </m:sSub>
          <m:r>
            <w:rPr>
              <w:rFonts w:ascii="Cambria Math" w:hAnsi="Cambria Math"/>
              <w:sz w:val="24"/>
              <w:szCs w:val="24"/>
            </w:rPr>
            <m:t xml:space="preserve"> emissions=</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sSub>
            <m:sSubPr>
              <m:ctrlPr>
                <w:rPr>
                  <w:rFonts w:ascii="Cambria Math" w:hAnsi="Cambria Math"/>
                  <w:i/>
                  <w:sz w:val="24"/>
                  <w:szCs w:val="24"/>
                </w:rPr>
              </m:ctrlPr>
            </m:sSub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O-N</m:t>
                  </m:r>
                </m:e>
              </m:d>
            </m:e>
            <m:sub>
              <m:r>
                <w:rPr>
                  <w:rFonts w:ascii="Cambria Math" w:hAnsi="Cambria Math"/>
                  <w:sz w:val="24"/>
                  <w:szCs w:val="24"/>
                </w:rPr>
                <m:t>FCR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BG</m:t>
                  </m:r>
                </m:e>
                <m:sub>
                  <m:r>
                    <w:rPr>
                      <w:rFonts w:ascii="Cambria Math" w:hAnsi="Cambria Math"/>
                      <w:sz w:val="24"/>
                      <w:szCs w:val="24"/>
                    </w:rPr>
                    <m:t>N</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sub>
          </m:sSub>
          <m:r>
            <w:rPr>
              <w:rFonts w:ascii="Cambria Math" w:hAnsi="Cambria Math" w:cs="Calibri"/>
              <w:sz w:val="24"/>
              <w:szCs w:val="24"/>
            </w:rPr>
            <m:t xml:space="preserve"> </m:t>
          </m:r>
        </m:oMath>
      </m:oMathPara>
    </w:p>
    <w:p w14:paraId="22FD54D8" w14:textId="77777777" w:rsidR="00E46639" w:rsidRPr="0028033B" w:rsidRDefault="00E46639" w:rsidP="00E46639">
      <w:pPr>
        <w:pStyle w:val="BodyText"/>
        <w:spacing w:before="80" w:after="40"/>
        <w:ind w:left="964" w:hanging="964"/>
      </w:pPr>
      <w:r w:rsidRPr="0028033B">
        <w:t>Where:</w:t>
      </w:r>
      <w:r w:rsidRPr="0028033B">
        <w:tab/>
        <w:t>AG</w:t>
      </w:r>
      <w:r w:rsidRPr="0028033B">
        <w:rPr>
          <w:vertAlign w:val="subscript"/>
        </w:rPr>
        <w:t>N</w:t>
      </w:r>
      <w:r w:rsidRPr="0028033B">
        <w:t xml:space="preserve"> and BG</w:t>
      </w:r>
      <w:r w:rsidRPr="0028033B">
        <w:rPr>
          <w:vertAlign w:val="subscript"/>
        </w:rPr>
        <w:t>N</w:t>
      </w:r>
      <w:r w:rsidRPr="0028033B">
        <w:t xml:space="preserve"> are the annual nitrogen residue returned to soils from above- and below-ground crop residue, and crop-specific values are given in volume 2, annex 5, table A5.1.8, and </w:t>
      </w:r>
    </w:p>
    <w:p w14:paraId="6BACA96C" w14:textId="7A39745A" w:rsidR="00E46639" w:rsidRPr="0028033B" w:rsidRDefault="00E46639" w:rsidP="00E46639">
      <w:pPr>
        <w:pStyle w:val="BodyText"/>
        <w:spacing w:before="30"/>
        <w:ind w:left="964"/>
      </w:pPr>
      <w:r w:rsidRPr="0028033B">
        <w:t>EF</w:t>
      </w:r>
      <w:r w:rsidRPr="0028033B">
        <w:rPr>
          <w:vertAlign w:val="subscript"/>
        </w:rPr>
        <w:t xml:space="preserve">1 </w:t>
      </w:r>
      <w:r w:rsidRPr="0028033B">
        <w:t>is the proportion of direct N</w:t>
      </w:r>
      <w:r w:rsidRPr="0028033B">
        <w:rPr>
          <w:vertAlign w:val="subscript"/>
        </w:rPr>
        <w:t>2</w:t>
      </w:r>
      <w:r w:rsidRPr="0028033B">
        <w:t>O emissions from crop residues applied to soils (default value of 0.006; table 5.5.2)</w:t>
      </w:r>
      <w:r w:rsidR="00FD030C">
        <w:t>.</w:t>
      </w:r>
    </w:p>
    <w:bookmarkStart w:id="1276" w:name="_Hlk32497300"/>
    <w:p w14:paraId="59EC94F6" w14:textId="77777777" w:rsidR="00E46639" w:rsidRPr="0028033B" w:rsidRDefault="00000000" w:rsidP="00E46639">
      <w:pPr>
        <w:pStyle w:val="BodyText"/>
        <w:spacing w:before="8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AG</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BG</m:t>
              </m:r>
            </m:e>
            <m:sub>
              <m:r>
                <w:rPr>
                  <w:rFonts w:ascii="Cambria Math" w:hAnsi="Cambria Math"/>
                  <w:sz w:val="24"/>
                  <w:szCs w:val="24"/>
                </w:rPr>
                <m:t>N</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BG</m:t>
              </m:r>
            </m:sub>
          </m:sSub>
          <w:bookmarkEnd w:id="1276"/>
          <m:r>
            <w:rPr>
              <w:rFonts w:ascii="Cambria Math" w:hAnsi="Cambria Math" w:cs="Calibri"/>
              <w:sz w:val="24"/>
              <w:szCs w:val="24"/>
            </w:rPr>
            <m:t xml:space="preserve"> </m:t>
          </m:r>
        </m:oMath>
      </m:oMathPara>
    </w:p>
    <w:p w14:paraId="641B7D9A" w14:textId="77777777" w:rsidR="00E46639" w:rsidRPr="0028033B" w:rsidRDefault="00E46639" w:rsidP="00E46639">
      <w:pPr>
        <w:pStyle w:val="BodyText"/>
        <w:spacing w:before="60" w:after="40"/>
        <w:ind w:left="964" w:hanging="964"/>
      </w:pPr>
      <w:r w:rsidRPr="0028033B">
        <w:t>Where:</w:t>
      </w:r>
      <w:r w:rsidRPr="0028033B">
        <w:tab/>
        <w:t>AG</w:t>
      </w:r>
      <w:r w:rsidRPr="0028033B">
        <w:rPr>
          <w:vertAlign w:val="subscript"/>
        </w:rPr>
        <w:t>DM</w:t>
      </w:r>
      <w:r w:rsidRPr="0028033B">
        <w:t xml:space="preserve"> is the mass of the above-ground residue dry matter (explained in the equation below)</w:t>
      </w:r>
    </w:p>
    <w:p w14:paraId="0DAE6DCA" w14:textId="77777777" w:rsidR="00E46639" w:rsidRPr="0028033B" w:rsidRDefault="00E46639" w:rsidP="00E46639">
      <w:pPr>
        <w:pStyle w:val="BodyText"/>
        <w:spacing w:before="30" w:after="40"/>
        <w:ind w:left="964" w:hanging="964"/>
      </w:pPr>
      <w:r w:rsidRPr="0028033B">
        <w:tab/>
        <w:t>Crop</w:t>
      </w:r>
      <w:r w:rsidRPr="0028033B">
        <w:rPr>
          <w:vertAlign w:val="subscript"/>
        </w:rPr>
        <w:t>T</w:t>
      </w:r>
      <w:r w:rsidRPr="0028033B">
        <w:t xml:space="preserve"> is the crop yield, or mass, removed during harvest</w:t>
      </w:r>
    </w:p>
    <w:p w14:paraId="77B6A6FC" w14:textId="77777777" w:rsidR="00E46639" w:rsidRPr="0028033B" w:rsidRDefault="00E46639" w:rsidP="00E46639">
      <w:pPr>
        <w:pStyle w:val="BodyText"/>
        <w:spacing w:before="30" w:after="40"/>
        <w:ind w:left="964" w:hanging="964"/>
      </w:pPr>
      <w:r w:rsidRPr="0028033B">
        <w:tab/>
        <w:t>N</w:t>
      </w:r>
      <w:r w:rsidRPr="0028033B">
        <w:rPr>
          <w:vertAlign w:val="subscript"/>
        </w:rPr>
        <w:t>AG</w:t>
      </w:r>
      <w:r w:rsidRPr="0028033B">
        <w:t xml:space="preserve"> and N</w:t>
      </w:r>
      <w:r w:rsidRPr="0028033B">
        <w:rPr>
          <w:vertAlign w:val="subscript"/>
        </w:rPr>
        <w:t>BG</w:t>
      </w:r>
      <w:r w:rsidRPr="0028033B">
        <w:t xml:space="preserve"> are the above- and below-ground crop-specific nitrogen concentration factors, and</w:t>
      </w:r>
    </w:p>
    <w:p w14:paraId="35311220" w14:textId="77777777" w:rsidR="00E46639" w:rsidRPr="0028033B" w:rsidRDefault="00E46639" w:rsidP="00E46639">
      <w:pPr>
        <w:pStyle w:val="BodyText"/>
        <w:spacing w:before="30"/>
        <w:ind w:left="964" w:hanging="964"/>
      </w:pPr>
      <w:r w:rsidRPr="0028033B">
        <w:tab/>
        <w:t>R</w:t>
      </w:r>
      <w:r w:rsidRPr="0028033B">
        <w:rPr>
          <w:vertAlign w:val="subscript"/>
        </w:rPr>
        <w:t>BG</w:t>
      </w:r>
      <w:r w:rsidRPr="0028033B">
        <w:t xml:space="preserve"> is the crop-specific root:shoot ratio of below-ground dry matter against the total above-ground crop biomass (crop gathered, Crop</w:t>
      </w:r>
      <w:r w:rsidRPr="0028033B">
        <w:rPr>
          <w:vertAlign w:val="subscript"/>
        </w:rPr>
        <w:t>T</w:t>
      </w:r>
      <w:r w:rsidRPr="0028033B">
        <w:t>, plus above-ground residue dry matter, AG</w:t>
      </w:r>
      <w:r w:rsidRPr="0028033B">
        <w:rPr>
          <w:vertAlign w:val="subscript"/>
        </w:rPr>
        <w:t>DM</w:t>
      </w:r>
      <w:r w:rsidRPr="0028033B">
        <w:t>), 0.1 (see volume 2, annex 5, table A5.1.8).</w:t>
      </w:r>
    </w:p>
    <w:p w14:paraId="369123C7" w14:textId="77777777" w:rsidR="00E46639" w:rsidRPr="0028033B" w:rsidRDefault="00000000" w:rsidP="00E46639">
      <w:pPr>
        <w:pStyle w:val="BodyText"/>
        <w:spacing w:before="6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num>
                <m:den>
                  <m:r>
                    <w:rPr>
                      <w:rFonts w:ascii="Cambria Math" w:hAnsi="Cambria Math"/>
                      <w:sz w:val="24"/>
                      <w:szCs w:val="24"/>
                    </w:rPr>
                    <m:t>HI</m:t>
                  </m:r>
                </m:den>
              </m:f>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f</m:t>
              </m:r>
            </m:sub>
          </m:sSub>
          <m:r>
            <w:rPr>
              <w:rFonts w:ascii="Cambria Math" w:hAnsi="Cambria Math" w:cs="Calibri"/>
              <w:sz w:val="24"/>
              <w:szCs w:val="24"/>
            </w:rPr>
            <m:t xml:space="preserve"> </m:t>
          </m:r>
        </m:oMath>
      </m:oMathPara>
    </w:p>
    <w:p w14:paraId="79164E13" w14:textId="77777777" w:rsidR="00E46639" w:rsidRPr="0028033B" w:rsidRDefault="00E46639" w:rsidP="00E46639">
      <w:pPr>
        <w:pStyle w:val="BodyText"/>
        <w:spacing w:after="40"/>
        <w:ind w:left="964" w:hanging="964"/>
      </w:pPr>
      <w:r w:rsidRPr="0028033B">
        <w:t>Where:</w:t>
      </w:r>
      <w:r w:rsidRPr="0028033B">
        <w:tab/>
        <w:t>HI is the crop-specific harvest index or fraction of the crop that is harvested (see volume 2, annex 5, table A5.1.8)</w:t>
      </w:r>
    </w:p>
    <w:p w14:paraId="67BE255D" w14:textId="77777777" w:rsidR="00E46639" w:rsidRPr="0028033B" w:rsidRDefault="00E46639" w:rsidP="00E46639">
      <w:pPr>
        <w:pStyle w:val="BodyText"/>
        <w:spacing w:before="30" w:after="40"/>
        <w:ind w:left="964" w:hanging="964"/>
      </w:pPr>
      <w:r w:rsidRPr="0028033B">
        <w:tab/>
        <w:t>Frac</w:t>
      </w:r>
      <w:r w:rsidRPr="0028033B">
        <w:rPr>
          <w:vertAlign w:val="subscript"/>
        </w:rPr>
        <w:t>BURN</w:t>
      </w:r>
      <w:r w:rsidRPr="0028033B">
        <w:t xml:space="preserve"> is the fraction of residue burned in the field (see table 5.5.4), and</w:t>
      </w:r>
    </w:p>
    <w:p w14:paraId="04AC415F" w14:textId="77777777" w:rsidR="00E46639" w:rsidRPr="0028033B" w:rsidRDefault="00E46639" w:rsidP="00E46639">
      <w:pPr>
        <w:pStyle w:val="BodyText"/>
        <w:spacing w:before="30" w:after="60"/>
        <w:ind w:left="964" w:hanging="964"/>
      </w:pPr>
      <w:r w:rsidRPr="0028033B">
        <w:tab/>
        <w:t>C</w:t>
      </w:r>
      <w:r w:rsidRPr="0028033B">
        <w:rPr>
          <w:vertAlign w:val="subscript"/>
        </w:rPr>
        <w:t>f</w:t>
      </w:r>
      <w:r w:rsidRPr="0028033B">
        <w:t xml:space="preserve"> is the combustion factor; a value of 0.7 is applied (Thomas et al., 2011).</w:t>
      </w:r>
    </w:p>
    <w:p w14:paraId="5F549228" w14:textId="77777777" w:rsidR="00E46639" w:rsidRPr="0028033B" w:rsidRDefault="00E46639" w:rsidP="00E46639">
      <w:pPr>
        <w:pStyle w:val="BodyText"/>
        <w:spacing w:after="100"/>
      </w:pPr>
      <w:r w:rsidRPr="0028033B">
        <w:t>The country-specific value for Frac</w:t>
      </w:r>
      <w:r w:rsidRPr="0028033B">
        <w:rPr>
          <w:vertAlign w:val="subscript"/>
        </w:rPr>
        <w:t>BURN</w:t>
      </w:r>
      <w:r w:rsidRPr="0028033B">
        <w:t xml:space="preserve">, the fraction of residue burned in the field, was derived from Stats NZ data and farmer surveys (Thomas et al., 2012). The parameters used to estimate the nitrogen added by above- and below-ground crop residues were compiled from published </w:t>
      </w:r>
      <w:r w:rsidRPr="0028033B">
        <w:rPr>
          <w:spacing w:val="-2"/>
        </w:rPr>
        <w:t xml:space="preserve">and unpublished reports for </w:t>
      </w:r>
      <w:r w:rsidRPr="0028033B" w:rsidDel="007E2BBB">
        <w:rPr>
          <w:rFonts w:cs="Calibri"/>
          <w:spacing w:val="-2"/>
        </w:rPr>
        <w:t xml:space="preserve">New </w:t>
      </w:r>
      <w:r w:rsidRPr="0028033B">
        <w:rPr>
          <w:rFonts w:cs="Calibri"/>
          <w:spacing w:val="-2"/>
        </w:rPr>
        <w:t>Zealand</w:t>
      </w:r>
      <w:r w:rsidRPr="0028033B">
        <w:rPr>
          <w:spacing w:val="-2"/>
        </w:rPr>
        <w:t>-grown crops (Cichota et al., 2010) and ‘typical’ values</w:t>
      </w:r>
      <w:r w:rsidRPr="0028033B">
        <w:t xml:space="preserve"> derived for use in the OverseerFM nutrient budget model for </w:t>
      </w:r>
      <w:r w:rsidRPr="0028033B" w:rsidDel="005C6E2F">
        <w:rPr>
          <w:rFonts w:cs="Calibri"/>
        </w:rPr>
        <w:t>New</w:t>
      </w:r>
      <w:r w:rsidRPr="0028033B">
        <w:rPr>
          <w:rFonts w:cs="Calibri"/>
        </w:rPr>
        <w:t xml:space="preserve"> Zealand</w:t>
      </w:r>
      <w:r w:rsidRPr="0028033B">
        <w:t>. The OverseerFM</w:t>
      </w:r>
      <w:r w:rsidRPr="0028033B" w:rsidDel="00172E39">
        <w:t xml:space="preserve"> </w:t>
      </w:r>
      <w:r w:rsidRPr="0028033B">
        <w:t>model provides average estimates of the fate of nitrogen for a range of pastoral, arable and horticultural systems (</w:t>
      </w:r>
      <w:hyperlink r:id="rId110" w:history="1">
        <w:r w:rsidRPr="0028033B">
          <w:rPr>
            <w:rStyle w:val="Hyperlink"/>
          </w:rPr>
          <w:t>www.overseer.org.nz</w:t>
        </w:r>
      </w:hyperlink>
      <w:r w:rsidRPr="0028033B">
        <w:t xml:space="preserve">). </w:t>
      </w:r>
    </w:p>
    <w:p w14:paraId="4A77EEA8" w14:textId="77777777" w:rsidR="00E46639" w:rsidRPr="0028033B" w:rsidRDefault="00E46639" w:rsidP="00E46639">
      <w:pPr>
        <w:pStyle w:val="BodyText"/>
        <w:spacing w:after="100"/>
      </w:pPr>
      <w:r w:rsidRPr="0028033B">
        <w:t xml:space="preserve">The per-year harvested tonnage of most non-nitrogen-fixing crops in </w:t>
      </w:r>
      <w:r w:rsidRPr="0028033B" w:rsidDel="004C6248">
        <w:rPr>
          <w:rFonts w:cs="Calibri"/>
        </w:rPr>
        <w:t xml:space="preserve">New </w:t>
      </w:r>
      <w:r w:rsidRPr="0028033B">
        <w:rPr>
          <w:rFonts w:cs="Calibri"/>
        </w:rPr>
        <w:t>Zealand</w:t>
      </w:r>
      <w:r w:rsidRPr="0028033B">
        <w:t xml:space="preserve"> is supplied by Stats NZ from its Agricultural Production Census and Agricultural Production Survey. Additional information on potatoes is provided by Potatoes New Zealand, and updated information on seed crops is provided by AsureQuality, which provides verification and certification services for the seed industry (Thomas, 2010; S Thomas, pers. comm., 2014). The tonnage of nitrogen-fixing crops is supplied by Stats NZ from its Agricultural Production Census and Agricultural Production Survey (lentils and legumes) and Horticulture New Zealand (peas) (S Thomas, pers. comm., 2014). </w:t>
      </w:r>
    </w:p>
    <w:p w14:paraId="760B92F9" w14:textId="77777777" w:rsidR="00E46639" w:rsidRPr="0028033B" w:rsidRDefault="00E46639" w:rsidP="00E46639">
      <w:pPr>
        <w:pStyle w:val="BodyText"/>
        <w:spacing w:after="100"/>
        <w:rPr>
          <w:rFonts w:cs="Calibri"/>
          <w:spacing w:val="-2"/>
        </w:rPr>
      </w:pPr>
      <w:r w:rsidRPr="0028033B">
        <w:rPr>
          <w:rFonts w:cs="Calibri"/>
          <w:b/>
          <w:bCs/>
          <w:spacing w:val="-2"/>
        </w:rPr>
        <w:t xml:space="preserve">Nitrogen from pasture renewal: </w:t>
      </w:r>
      <w:r w:rsidRPr="0028033B">
        <w:rPr>
          <w:rFonts w:cs="Calibri"/>
          <w:spacing w:val="-2"/>
        </w:rPr>
        <w:t xml:space="preserve">Of the four categories of perennial forage that the IPCC (2006) lists for pasture renewal, only two categories are appropriate for </w:t>
      </w:r>
      <w:r w:rsidRPr="0028033B" w:rsidDel="007662C3">
        <w:rPr>
          <w:rFonts w:cs="Calibri"/>
        </w:rPr>
        <w:t xml:space="preserve">New </w:t>
      </w:r>
      <w:r w:rsidRPr="0028033B">
        <w:rPr>
          <w:rFonts w:cs="Calibri"/>
        </w:rPr>
        <w:t>Zealand</w:t>
      </w:r>
      <w:r w:rsidRPr="0028033B">
        <w:rPr>
          <w:rFonts w:cs="Calibri"/>
          <w:spacing w:val="-2"/>
        </w:rPr>
        <w:t xml:space="preserve"> (Thomas et al., 2014): these are grass-clover pastures and lucerne, a nitrogen-fixing perennial forage. </w:t>
      </w:r>
      <w:r w:rsidRPr="0028033B" w:rsidDel="006A3A7A">
        <w:rPr>
          <w:rFonts w:cs="Calibri"/>
        </w:rPr>
        <w:t xml:space="preserve">New </w:t>
      </w:r>
      <w:r w:rsidRPr="0028033B">
        <w:rPr>
          <w:rFonts w:cs="Calibri"/>
        </w:rPr>
        <w:t>Zealand</w:t>
      </w:r>
      <w:r w:rsidRPr="0028033B">
        <w:rPr>
          <w:rFonts w:cs="Calibri"/>
          <w:spacing w:val="-2"/>
        </w:rPr>
        <w:t xml:space="preserve"> has calculated emissions from pasture renewal per plant species type, T, separately:</w:t>
      </w:r>
    </w:p>
    <w:p w14:paraId="35124289" w14:textId="77777777" w:rsidR="00E46639" w:rsidRPr="0028033B" w:rsidRDefault="00000000" w:rsidP="00E46639">
      <w:pPr>
        <w:pStyle w:val="BodyText"/>
        <w:spacing w:before="60"/>
        <w:jc w:val="cente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CR-RENEW</m:t>
              </m:r>
            </m:sub>
          </m:sSub>
          <m:r>
            <w:rPr>
              <w:rFonts w:ascii="Cambria Math" w:hAnsi="Cambria Math"/>
              <w:sz w:val="24"/>
              <w:szCs w:val="24"/>
            </w:rPr>
            <m:t xml:space="preserve">= </m:t>
          </m:r>
          <m:nary>
            <m:naryPr>
              <m:chr m:val="∑"/>
              <m:limLoc m:val="undOvr"/>
              <m:supHide m:val="1"/>
              <m:ctrlPr>
                <w:rPr>
                  <w:rFonts w:ascii="Cambria Math" w:hAnsi="Cambria Math"/>
                  <w:i/>
                  <w:sz w:val="24"/>
                  <w:szCs w:val="24"/>
                </w:rPr>
              </m:ctrlPr>
            </m:naryPr>
            <m:sub>
              <m:r>
                <w:rPr>
                  <w:rFonts w:ascii="Cambria Math" w:hAnsi="Cambria Math"/>
                  <w:sz w:val="24"/>
                  <w:szCs w:val="24"/>
                </w:rPr>
                <m:t>T</m:t>
              </m:r>
            </m:sub>
            <m:sup/>
            <m:e>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Area</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RENEW(T)</m:t>
                      </m:r>
                    </m:sub>
                  </m:sSub>
                  <m:r>
                    <w:rPr>
                      <w:rFonts w:ascii="Cambria Math" w:hAnsi="Cambria Math"/>
                      <w:sz w:val="24"/>
                      <w:szCs w:val="24"/>
                    </w:rPr>
                    <m:t>×</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AG(T)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AG(T)</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REMOVE</m:t>
                              </m:r>
                              <m:d>
                                <m:dPr>
                                  <m:ctrlPr>
                                    <w:rPr>
                                      <w:rFonts w:ascii="Cambria Math" w:hAnsi="Cambria Math"/>
                                      <w:i/>
                                      <w:sz w:val="24"/>
                                      <w:szCs w:val="24"/>
                                    </w:rPr>
                                  </m:ctrlPr>
                                </m:dPr>
                                <m:e>
                                  <m:r>
                                    <w:rPr>
                                      <w:rFonts w:ascii="Cambria Math" w:hAnsi="Cambria Math"/>
                                      <w:sz w:val="24"/>
                                      <w:szCs w:val="24"/>
                                    </w:rPr>
                                    <m:t>T</m:t>
                                  </m:r>
                                </m:e>
                              </m:d>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BG(T)</m:t>
                          </m:r>
                        </m:sub>
                      </m:sSub>
                    </m:e>
                  </m:d>
                </m:e>
              </m:d>
            </m:e>
          </m:nary>
        </m:oMath>
      </m:oMathPara>
    </w:p>
    <w:p w14:paraId="188F40C9" w14:textId="77777777" w:rsidR="00E46639" w:rsidRPr="0028033B" w:rsidRDefault="00E46639" w:rsidP="00E46639">
      <w:pPr>
        <w:pStyle w:val="BodyText"/>
        <w:spacing w:after="40"/>
        <w:ind w:left="964" w:hanging="964"/>
      </w:pPr>
      <w:r w:rsidRPr="0028033B">
        <w:t>Where:</w:t>
      </w:r>
      <w:r w:rsidRPr="0028033B">
        <w:tab/>
        <w:t>Area</w:t>
      </w:r>
      <w:r w:rsidRPr="0028033B">
        <w:rPr>
          <w:vertAlign w:val="subscript"/>
        </w:rPr>
        <w:t>T</w:t>
      </w:r>
      <w:r w:rsidRPr="0028033B">
        <w:t xml:space="preserve"> is the total annual area harvested (hectares per year). No burning is used for pasture renewal in </w:t>
      </w:r>
      <w:r w:rsidRPr="0028033B" w:rsidDel="007A1B1D">
        <w:rPr>
          <w:rFonts w:cs="Calibri"/>
        </w:rPr>
        <w:t xml:space="preserve">New </w:t>
      </w:r>
      <w:r w:rsidRPr="0028033B">
        <w:rPr>
          <w:rFonts w:cs="Calibri"/>
        </w:rPr>
        <w:t>Zealand</w:t>
      </w:r>
    </w:p>
    <w:p w14:paraId="4AB52FA4" w14:textId="77777777" w:rsidR="00E46639" w:rsidRPr="0028033B" w:rsidRDefault="00E46639" w:rsidP="00E46639">
      <w:pPr>
        <w:pStyle w:val="BodyText"/>
        <w:spacing w:before="30" w:after="40"/>
        <w:ind w:left="964" w:hanging="964"/>
      </w:pPr>
      <w:r w:rsidRPr="0028033B">
        <w:tab/>
        <w:t>Frac</w:t>
      </w:r>
      <w:r w:rsidRPr="0028033B">
        <w:rPr>
          <w:vertAlign w:val="subscript"/>
        </w:rPr>
        <w:t>RENEW(T)</w:t>
      </w:r>
      <w:r w:rsidRPr="0028033B">
        <w:t xml:space="preserve"> is the fraction of the area under each crop that is renewed</w:t>
      </w:r>
    </w:p>
    <w:p w14:paraId="23F19181" w14:textId="77777777" w:rsidR="00E46639" w:rsidRPr="0028033B" w:rsidRDefault="00E46639" w:rsidP="00E46639">
      <w:pPr>
        <w:pStyle w:val="BodyText"/>
        <w:spacing w:before="30" w:after="40"/>
        <w:ind w:left="964" w:hanging="964"/>
      </w:pPr>
      <w:r w:rsidRPr="0028033B">
        <w:tab/>
        <w:t>R</w:t>
      </w:r>
      <w:r w:rsidRPr="0028033B">
        <w:rPr>
          <w:vertAlign w:val="subscript"/>
        </w:rPr>
        <w:t>AG(T)</w:t>
      </w:r>
      <w:r w:rsidRPr="0028033B">
        <w:t xml:space="preserve"> is the ratio of above-ground residue dry matter (DM) to harvested yield (kg N/kg DM)</w:t>
      </w:r>
    </w:p>
    <w:p w14:paraId="0567BD0F" w14:textId="77777777" w:rsidR="00E46639" w:rsidRPr="0028033B" w:rsidRDefault="00E46639" w:rsidP="00E46639">
      <w:pPr>
        <w:pStyle w:val="BodyText"/>
        <w:spacing w:before="30" w:after="40"/>
        <w:ind w:left="964" w:hanging="964"/>
      </w:pPr>
      <w:r w:rsidRPr="0028033B">
        <w:tab/>
        <w:t>N</w:t>
      </w:r>
      <w:r w:rsidRPr="0028033B">
        <w:rPr>
          <w:vertAlign w:val="subscript"/>
        </w:rPr>
        <w:t>AG(T)</w:t>
      </w:r>
      <w:r w:rsidRPr="0028033B">
        <w:t xml:space="preserve"> is the nitrogen content of above-ground residue (kg N/kg DM)</w:t>
      </w:r>
    </w:p>
    <w:p w14:paraId="77CCAEF4" w14:textId="77777777" w:rsidR="00E46639" w:rsidRPr="0028033B" w:rsidRDefault="00E46639" w:rsidP="00E46639">
      <w:pPr>
        <w:pStyle w:val="BodyText"/>
        <w:spacing w:before="30" w:after="40"/>
        <w:ind w:left="964" w:hanging="964"/>
      </w:pPr>
      <w:r w:rsidRPr="0028033B">
        <w:tab/>
        <w:t>Frac</w:t>
      </w:r>
      <w:r w:rsidRPr="0028033B">
        <w:rPr>
          <w:vertAlign w:val="subscript"/>
        </w:rPr>
        <w:t>REMOVE (T)</w:t>
      </w:r>
      <w:r w:rsidRPr="0028033B">
        <w:t xml:space="preserve"> is the fraction of above-ground residue removed annually for feed, assumed zero for </w:t>
      </w:r>
      <w:r w:rsidRPr="0028033B" w:rsidDel="00E30E60">
        <w:rPr>
          <w:rFonts w:cs="Calibri"/>
        </w:rPr>
        <w:t xml:space="preserve">New </w:t>
      </w:r>
      <w:r w:rsidRPr="0028033B">
        <w:rPr>
          <w:rFonts w:cs="Calibri"/>
        </w:rPr>
        <w:t>Zealand</w:t>
      </w:r>
    </w:p>
    <w:p w14:paraId="0260C3ED" w14:textId="77777777" w:rsidR="00E46639" w:rsidRPr="0028033B" w:rsidRDefault="00E46639" w:rsidP="00E46639">
      <w:pPr>
        <w:pStyle w:val="BodyText"/>
        <w:spacing w:before="30" w:after="40"/>
        <w:ind w:left="964" w:hanging="964"/>
      </w:pPr>
      <w:r w:rsidRPr="0028033B">
        <w:tab/>
        <w:t>R</w:t>
      </w:r>
      <w:r w:rsidRPr="0028033B">
        <w:rPr>
          <w:vertAlign w:val="subscript"/>
        </w:rPr>
        <w:t>BG(T)</w:t>
      </w:r>
      <w:r w:rsidRPr="0028033B">
        <w:t xml:space="preserve"> is the ratio of below-ground residue DM to harvest yield (kg N/kg DM), and</w:t>
      </w:r>
    </w:p>
    <w:p w14:paraId="5549032F" w14:textId="77777777" w:rsidR="00E46639" w:rsidRPr="0028033B" w:rsidRDefault="00E46639" w:rsidP="00E46639">
      <w:pPr>
        <w:pStyle w:val="BodyText"/>
        <w:spacing w:before="30"/>
        <w:ind w:left="964" w:hanging="964"/>
      </w:pPr>
      <w:r w:rsidRPr="0028033B">
        <w:tab/>
        <w:t>N</w:t>
      </w:r>
      <w:r w:rsidRPr="0028033B">
        <w:rPr>
          <w:vertAlign w:val="subscript"/>
        </w:rPr>
        <w:t>BG(T)</w:t>
      </w:r>
      <w:r w:rsidRPr="0028033B">
        <w:t xml:space="preserve"> is the nitrogen content of below-ground residue (kg N/kg DM).</w:t>
      </w:r>
    </w:p>
    <w:p w14:paraId="6D0C02BB" w14:textId="77777777" w:rsidR="00E46639" w:rsidRPr="0028033B" w:rsidRDefault="00E46639" w:rsidP="00E46639">
      <w:pPr>
        <w:pStyle w:val="BodyText"/>
        <w:spacing w:before="100" w:after="100"/>
        <w:rPr>
          <w:rFonts w:cs="Calibri"/>
        </w:rPr>
      </w:pPr>
      <w:r w:rsidRPr="0028033B">
        <w:rPr>
          <w:rFonts w:cs="Calibri"/>
        </w:rPr>
        <w:t>The areas for each perennial forage crop were obtained from the Stats NZ Agricultural Production Census a</w:t>
      </w:r>
      <w:r w:rsidRPr="0028033B">
        <w:rPr>
          <w:rStyle w:val="BodyTextChar"/>
          <w:rFonts w:cs="Calibri"/>
        </w:rPr>
        <w:t>n</w:t>
      </w:r>
      <w:r w:rsidRPr="0028033B">
        <w:rPr>
          <w:rFonts w:cs="Calibri"/>
        </w:rPr>
        <w:t xml:space="preserve">d Agricultural Production Survey, which include the area of grassland and annual crops from 1990 to 2023. The disaggregation of grass-clover systems has been considered, but there is insufficient activity data for pastures of different compositions in </w:t>
      </w:r>
      <w:r w:rsidRPr="0028033B" w:rsidDel="00E30E60">
        <w:rPr>
          <w:rFonts w:cs="Calibri"/>
        </w:rPr>
        <w:t>New</w:t>
      </w:r>
      <w:r w:rsidRPr="0028033B">
        <w:rPr>
          <w:rFonts w:cs="Calibri"/>
        </w:rPr>
        <w:t> Zealand because the proportion of clover varies widely due to the variability of nitrogen inputs to various farming systems, climate soil, fertility and management variables. This means that disaggregated data on the nitrogen content is not currently available.</w:t>
      </w:r>
    </w:p>
    <w:p w14:paraId="00D1BCEB" w14:textId="77777777" w:rsidR="00E46639" w:rsidRPr="0028033B" w:rsidRDefault="00E46639" w:rsidP="00E46639">
      <w:pPr>
        <w:pStyle w:val="BodyText"/>
        <w:spacing w:before="100" w:after="100"/>
        <w:rPr>
          <w:rFonts w:cs="Calibri"/>
        </w:rPr>
      </w:pPr>
      <w:r w:rsidRPr="0028033B">
        <w:rPr>
          <w:rFonts w:cs="Calibri"/>
        </w:rPr>
        <w:t xml:space="preserve">The contribution of crop residues and pasture renewal to overall </w:t>
      </w:r>
      <w:r w:rsidRPr="0028033B">
        <w:t>Agriculture</w:t>
      </w:r>
      <w:r w:rsidRPr="0028033B">
        <w:rPr>
          <w:rFonts w:cs="Calibri"/>
        </w:rPr>
        <w:t xml:space="preserve"> emissions is small, </w:t>
      </w:r>
      <w:r w:rsidRPr="0028033B">
        <w:rPr>
          <w:rFonts w:cs="Calibri"/>
          <w:spacing w:val="-2"/>
        </w:rPr>
        <w:t>with 93.6 kt CO</w:t>
      </w:r>
      <w:r w:rsidRPr="0028033B">
        <w:rPr>
          <w:rFonts w:cs="Calibri"/>
          <w:spacing w:val="-2"/>
          <w:vertAlign w:val="subscript"/>
        </w:rPr>
        <w:t>2</w:t>
      </w:r>
      <w:r w:rsidRPr="0028033B">
        <w:rPr>
          <w:rFonts w:cs="Calibri"/>
          <w:spacing w:val="-2"/>
        </w:rPr>
        <w:t>e (0.3 percent of total Agriculture emissions) in 1990, 134.5 kt CO</w:t>
      </w:r>
      <w:r w:rsidRPr="0028033B">
        <w:rPr>
          <w:rFonts w:cs="Calibri"/>
          <w:spacing w:val="-2"/>
          <w:vertAlign w:val="subscript"/>
        </w:rPr>
        <w:t>2</w:t>
      </w:r>
      <w:r w:rsidRPr="0028033B">
        <w:rPr>
          <w:rFonts w:cs="Calibri"/>
          <w:spacing w:val="-2"/>
        </w:rPr>
        <w:t>e (0.3 percent</w:t>
      </w:r>
      <w:r w:rsidRPr="0028033B">
        <w:rPr>
          <w:rFonts w:cs="Calibri"/>
        </w:rPr>
        <w:t xml:space="preserve"> of total Agriculture emissions) in 2005 and 131.0 kt CO</w:t>
      </w:r>
      <w:r w:rsidRPr="0028033B">
        <w:rPr>
          <w:rFonts w:cs="Calibri"/>
          <w:vertAlign w:val="subscript"/>
        </w:rPr>
        <w:t>2</w:t>
      </w:r>
      <w:r w:rsidRPr="0028033B">
        <w:rPr>
          <w:rFonts w:cs="Calibri"/>
        </w:rPr>
        <w:t>e (0.3 percent of total Agriculture emissions) in 2024.</w:t>
      </w:r>
    </w:p>
    <w:p w14:paraId="094935F4" w14:textId="77777777" w:rsidR="00E46639" w:rsidRPr="0028033B" w:rsidRDefault="00E46639" w:rsidP="00E46639">
      <w:pPr>
        <w:pStyle w:val="Heading5"/>
      </w:pPr>
      <w:r w:rsidRPr="0028033B">
        <w:t>Nitrogen mineralisation from loss of soil organic matter in mineral soils (3.D.1.5)</w:t>
      </w:r>
    </w:p>
    <w:p w14:paraId="58A7760E" w14:textId="77777777" w:rsidR="00E46639" w:rsidRPr="0028033B" w:rsidRDefault="00E46639" w:rsidP="00E46639">
      <w:pPr>
        <w:pStyle w:val="BodyText"/>
        <w:spacing w:before="100" w:after="100"/>
        <w:rPr>
          <w:rFonts w:cs="Calibri"/>
        </w:rPr>
      </w:pPr>
      <w:r w:rsidRPr="0028033B">
        <w:rPr>
          <w:rFonts w:cs="Calibri"/>
        </w:rPr>
        <w:t>Nitrogen mineralisation is the process by which organic nitrogen is converted to plant-available inorganic forms. Nitrogen mineralisation occurs when soil carbon is lost due to land</w:t>
      </w:r>
      <w:r w:rsidRPr="0028033B">
        <w:rPr>
          <w:rFonts w:cs="Calibri"/>
        </w:rPr>
        <w:noBreakHyphen/>
        <w:t xml:space="preserve">use or management change. Most of New Zealand’s emissions from nitrogen mineralised during the loss of soil organic matter are covered under the Land Use, Land-Use Change and Forestry (LULUCF) sector. The exception is for activities in the </w:t>
      </w:r>
      <w:r w:rsidRPr="0028033B">
        <w:rPr>
          <w:rFonts w:cs="Calibri"/>
          <w:i/>
          <w:iCs/>
        </w:rPr>
        <w:t>Cropland remaining cropland</w:t>
      </w:r>
      <w:r w:rsidRPr="0028033B">
        <w:rPr>
          <w:rFonts w:cs="Calibri"/>
        </w:rPr>
        <w:t xml:space="preserve"> land</w:t>
      </w:r>
      <w:r w:rsidRPr="0028033B" w:rsidDel="008411DD">
        <w:rPr>
          <w:rFonts w:cs="Calibri"/>
        </w:rPr>
        <w:t xml:space="preserve"> </w:t>
      </w:r>
      <w:r w:rsidRPr="0028033B">
        <w:rPr>
          <w:rFonts w:cs="Calibri"/>
        </w:rPr>
        <w:t xml:space="preserve">use category, which are reported under the Agriculture sector (IPCC, 2006). </w:t>
      </w:r>
    </w:p>
    <w:p w14:paraId="2B68E711" w14:textId="77777777" w:rsidR="00E46639" w:rsidRPr="0028033B" w:rsidRDefault="00E46639" w:rsidP="00E46639">
      <w:pPr>
        <w:pStyle w:val="BodyText"/>
        <w:spacing w:before="100" w:after="60"/>
        <w:rPr>
          <w:rFonts w:cs="Calibri"/>
        </w:rPr>
      </w:pPr>
      <w:r w:rsidRPr="0028033B">
        <w:rPr>
          <w:rFonts w:cs="Calibri"/>
        </w:rPr>
        <w:t>The following equations are used to determine emissions from this activity:</w:t>
      </w:r>
    </w:p>
    <w:bookmarkStart w:id="1277" w:name="_1767786284"/>
    <w:bookmarkStart w:id="1278" w:name="_1767789063"/>
    <w:bookmarkEnd w:id="1277"/>
    <w:bookmarkEnd w:id="1278"/>
    <w:p w14:paraId="72754F97" w14:textId="77777777" w:rsidR="00E46639" w:rsidRPr="0028033B" w:rsidRDefault="00000000" w:rsidP="00E46639">
      <w:pPr>
        <w:pStyle w:val="BodyText"/>
        <w:spacing w:before="20" w:after="2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FSOM</m:t>
              </m:r>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SOM</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EF</m:t>
                  </m:r>
                </m:e>
                <m:sub>
                  <m:r>
                    <w:rPr>
                      <w:rFonts w:ascii="Cambria Math" w:hAnsi="Cambria Math"/>
                      <w:sz w:val="24"/>
                      <w:szCs w:val="24"/>
                    </w:rPr>
                    <m:t>1</m:t>
                  </m:r>
                </m:sub>
              </m:sSub>
            </m:e>
          </m:d>
          <m:r>
            <w:rPr>
              <w:rFonts w:ascii="Cambria Math" w:hAnsi="Cambria Math"/>
              <w:sz w:val="24"/>
              <w:szCs w:val="24"/>
            </w:rPr>
            <m:t>∙</m:t>
          </m:r>
          <m:sSup>
            <m:sSupPr>
              <m:ctrlPr>
                <w:rPr>
                  <w:rFonts w:ascii="Cambria Math" w:hAnsi="Cambria Math"/>
                  <w:i/>
                  <w:iCs/>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cs="Calibri"/>
              <w:sz w:val="24"/>
              <w:szCs w:val="24"/>
            </w:rPr>
            <m:t xml:space="preserve"> </m:t>
          </m:r>
        </m:oMath>
      </m:oMathPara>
    </w:p>
    <w:p w14:paraId="197B3A96" w14:textId="77777777" w:rsidR="00E46639" w:rsidRPr="0028033B" w:rsidRDefault="00E46639" w:rsidP="00E46639">
      <w:pPr>
        <w:pStyle w:val="BodyText"/>
        <w:spacing w:after="40"/>
        <w:ind w:left="964" w:hanging="964"/>
        <w:rPr>
          <w:rFonts w:cs="Calibri"/>
        </w:rPr>
      </w:pPr>
      <w:r w:rsidRPr="0028033B">
        <w:rPr>
          <w:rFonts w:cs="Calibri"/>
        </w:rPr>
        <w:t>Where:</w:t>
      </w:r>
      <w:r w:rsidRPr="0028033B">
        <w:rPr>
          <w:rFonts w:cs="Calibri"/>
        </w:rPr>
        <w:tab/>
        <w:t>N</w:t>
      </w:r>
      <w:r w:rsidRPr="0028033B">
        <w:rPr>
          <w:rFonts w:cs="Calibri"/>
          <w:vertAlign w:val="subscript"/>
        </w:rPr>
        <w:t>2</w:t>
      </w:r>
      <w:r w:rsidRPr="0028033B">
        <w:rPr>
          <w:rFonts w:cs="Calibri"/>
        </w:rPr>
        <w:t>O</w:t>
      </w:r>
      <w:r w:rsidRPr="0028033B">
        <w:rPr>
          <w:rFonts w:cs="Calibri"/>
          <w:vertAlign w:val="subscript"/>
        </w:rPr>
        <w:t>FSOM</w:t>
      </w:r>
      <w:r w:rsidRPr="0028033B">
        <w:rPr>
          <w:rFonts w:cs="Calibri"/>
        </w:rPr>
        <w:t xml:space="preserve"> is the N</w:t>
      </w:r>
      <w:r w:rsidRPr="0028033B">
        <w:rPr>
          <w:rFonts w:cs="Calibri"/>
          <w:vertAlign w:val="subscript"/>
        </w:rPr>
        <w:t>2</w:t>
      </w:r>
      <w:r w:rsidRPr="0028033B">
        <w:rPr>
          <w:rFonts w:cs="Calibri"/>
        </w:rPr>
        <w:t xml:space="preserve">O emitted as a result of nitrogen mineralisation from loss of soil organic matter in mineral soils (kt) </w:t>
      </w:r>
    </w:p>
    <w:p w14:paraId="2783412B" w14:textId="77777777" w:rsidR="00E46639" w:rsidRPr="0028033B" w:rsidRDefault="00E46639" w:rsidP="00E46639">
      <w:pPr>
        <w:pStyle w:val="BodyText"/>
        <w:spacing w:before="30" w:after="40"/>
        <w:ind w:left="964" w:hanging="964"/>
        <w:rPr>
          <w:rFonts w:cs="Calibri"/>
        </w:rPr>
      </w:pPr>
      <w:r w:rsidRPr="0028033B">
        <w:rPr>
          <w:rFonts w:cs="Calibri"/>
        </w:rPr>
        <w:tab/>
        <w:t>F</w:t>
      </w:r>
      <w:r w:rsidRPr="0028033B">
        <w:rPr>
          <w:rFonts w:cs="Calibri"/>
          <w:vertAlign w:val="subscript"/>
        </w:rPr>
        <w:t>SOM</w:t>
      </w:r>
      <w:r w:rsidRPr="0028033B">
        <w:rPr>
          <w:rFonts w:cs="Calibri"/>
        </w:rPr>
        <w:t xml:space="preserve"> is the nitrogen mineralisation from loss of soil organic matter in mineral soils through land management for </w:t>
      </w:r>
      <w:r w:rsidRPr="0028033B">
        <w:rPr>
          <w:rFonts w:cs="Calibri"/>
          <w:i/>
          <w:iCs/>
        </w:rPr>
        <w:t>Cropland remaining cropland</w:t>
      </w:r>
      <w:r w:rsidRPr="0028033B">
        <w:rPr>
          <w:rFonts w:cs="Calibri"/>
        </w:rPr>
        <w:t xml:space="preserve"> (kg), and</w:t>
      </w:r>
    </w:p>
    <w:p w14:paraId="7167DCB2" w14:textId="77777777" w:rsidR="00E46639" w:rsidRPr="0028033B" w:rsidRDefault="00E46639" w:rsidP="00E46639">
      <w:pPr>
        <w:pStyle w:val="BodyText"/>
        <w:spacing w:before="30"/>
        <w:ind w:left="964" w:hanging="964"/>
        <w:rPr>
          <w:rFonts w:cs="Calibri"/>
        </w:rPr>
      </w:pPr>
      <w:r w:rsidRPr="0028033B">
        <w:rPr>
          <w:rFonts w:cs="Calibri"/>
        </w:rPr>
        <w:tab/>
        <w:t>The emission factor EF</w:t>
      </w:r>
      <w:r w:rsidRPr="0028033B">
        <w:rPr>
          <w:rFonts w:cs="Calibri"/>
          <w:vertAlign w:val="subscript"/>
        </w:rPr>
        <w:t>1</w:t>
      </w:r>
      <w:r w:rsidRPr="0028033B">
        <w:rPr>
          <w:rFonts w:cs="Calibri"/>
        </w:rPr>
        <w:t xml:space="preserve"> is 0.006 </w:t>
      </w:r>
      <w:r w:rsidRPr="0028033B">
        <w:t>(see table 5.5.2).</w:t>
      </w:r>
    </w:p>
    <w:p w14:paraId="388A7CD8" w14:textId="77777777" w:rsidR="00E46639" w:rsidRPr="0028033B" w:rsidRDefault="00E46639" w:rsidP="00E46639">
      <w:pPr>
        <w:pStyle w:val="BodyText"/>
        <w:keepNext/>
        <w:spacing w:after="60"/>
        <w:rPr>
          <w:rFonts w:cs="Calibri"/>
        </w:rPr>
      </w:pPr>
      <w:r w:rsidRPr="0028033B">
        <w:rPr>
          <w:rFonts w:cs="Calibri"/>
        </w:rPr>
        <w:t>And:</w:t>
      </w:r>
    </w:p>
    <w:bookmarkStart w:id="1279" w:name="_1767786299"/>
    <w:bookmarkStart w:id="1280" w:name="_1767789137"/>
    <w:bookmarkEnd w:id="1279"/>
    <w:bookmarkEnd w:id="1280"/>
    <w:p w14:paraId="33E43EC4" w14:textId="77777777" w:rsidR="00E46639" w:rsidRPr="0028033B" w:rsidRDefault="00000000" w:rsidP="00E46639">
      <w:pPr>
        <w:pStyle w:val="BodyText"/>
        <w:spacing w:before="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SOM</m:t>
              </m:r>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C</m:t>
                  </m:r>
                </m:e>
                <m:sub>
                  <m:r>
                    <w:rPr>
                      <w:rFonts w:ascii="Cambria Math" w:hAnsi="Cambria Math"/>
                      <w:sz w:val="24"/>
                      <w:szCs w:val="24"/>
                    </w:rPr>
                    <m:t>Mineral,CrC</m:t>
                  </m:r>
                </m:sub>
              </m:sSub>
            </m:num>
            <m:den>
              <m:r>
                <w:rPr>
                  <w:rFonts w:ascii="Cambria Math" w:hAnsi="Cambria Math"/>
                  <w:sz w:val="24"/>
                  <w:szCs w:val="24"/>
                </w:rPr>
                <m:t>R</m:t>
              </m:r>
            </m:den>
          </m:f>
          <m:r>
            <w:rPr>
              <w:rFonts w:ascii="Cambria Math" w:hAnsi="Cambria Math"/>
              <w:sz w:val="24"/>
              <w:szCs w:val="24"/>
            </w:rPr>
            <m:t>∙</m:t>
          </m:r>
          <m:sSup>
            <m:sSupPr>
              <m:ctrlPr>
                <w:rPr>
                  <w:rFonts w:ascii="Cambria Math" w:hAnsi="Cambria Math"/>
                  <w:i/>
                  <w:iCs/>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5648A5F1" w14:textId="77777777" w:rsidR="00E46639" w:rsidRPr="0028033B" w:rsidRDefault="00E46639" w:rsidP="00E46639">
      <w:pPr>
        <w:pStyle w:val="BodyText"/>
        <w:spacing w:after="40"/>
        <w:ind w:left="964" w:hanging="964"/>
        <w:rPr>
          <w:rFonts w:cs="Calibri"/>
        </w:rPr>
      </w:pPr>
      <w:r w:rsidRPr="0028033B">
        <w:rPr>
          <w:rFonts w:cs="Calibri"/>
        </w:rPr>
        <w:t>Where:</w:t>
      </w:r>
      <w:r w:rsidRPr="0028033B">
        <w:rPr>
          <w:rFonts w:cs="Calibri"/>
        </w:rPr>
        <w:tab/>
        <w:t>∆C</w:t>
      </w:r>
      <w:r w:rsidRPr="0028033B">
        <w:rPr>
          <w:rFonts w:cs="Calibri"/>
          <w:vertAlign w:val="subscript"/>
        </w:rPr>
        <w:t>Mineral,CrC</w:t>
      </w:r>
      <w:r w:rsidRPr="0028033B">
        <w:rPr>
          <w:rFonts w:cs="Calibri"/>
        </w:rPr>
        <w:t xml:space="preserve"> is the loss of soil carbon (C) in mineral soil during management of cropland (kt), and</w:t>
      </w:r>
    </w:p>
    <w:p w14:paraId="3C12E5FE" w14:textId="77777777" w:rsidR="00E46639" w:rsidRPr="0028033B" w:rsidRDefault="00E46639" w:rsidP="00E46639">
      <w:pPr>
        <w:pStyle w:val="BodyText"/>
        <w:spacing w:before="30" w:after="100"/>
        <w:ind w:left="964" w:hanging="964"/>
        <w:rPr>
          <w:rFonts w:cs="Calibri"/>
        </w:rPr>
      </w:pPr>
      <w:r w:rsidRPr="0028033B">
        <w:rPr>
          <w:rFonts w:cs="Calibri"/>
        </w:rPr>
        <w:tab/>
        <w:t>R is the C:N ratio. The IPCC (2006) default value of 10 is used.</w:t>
      </w:r>
    </w:p>
    <w:p w14:paraId="3C0E1A24" w14:textId="77777777" w:rsidR="00E46639" w:rsidRPr="0028033B" w:rsidRDefault="00E46639" w:rsidP="00E46639">
      <w:pPr>
        <w:pStyle w:val="BodyText"/>
        <w:spacing w:before="100" w:after="100"/>
      </w:pPr>
      <w:r w:rsidRPr="0028033B">
        <w:t>Activity data on the soil carbon loss that is associated with cropland since 1990 were provided using calculations under the LULUCF sector (see chapter 6, section 6.5).</w:t>
      </w:r>
    </w:p>
    <w:p w14:paraId="040D9AE4" w14:textId="77777777" w:rsidR="00E46639" w:rsidRPr="0028033B" w:rsidRDefault="00E46639" w:rsidP="00E46639">
      <w:pPr>
        <w:pStyle w:val="BodyText"/>
        <w:spacing w:before="100" w:after="100"/>
      </w:pPr>
      <w:r w:rsidRPr="0028033B">
        <w:t>The contribution of direct N</w:t>
      </w:r>
      <w:r w:rsidRPr="0028033B">
        <w:rPr>
          <w:vertAlign w:val="subscript"/>
        </w:rPr>
        <w:t>2</w:t>
      </w:r>
      <w:r w:rsidRPr="0028033B">
        <w:t>O emissions from nitrogen mineralisation from loss of soil organic matter to overall Agriculture emissions is small, with 0.02 kt CO</w:t>
      </w:r>
      <w:r w:rsidRPr="0028033B">
        <w:rPr>
          <w:vertAlign w:val="subscript"/>
        </w:rPr>
        <w:t>2</w:t>
      </w:r>
      <w:r w:rsidRPr="0028033B">
        <w:t>e in 1990 and 0.09 kt CO</w:t>
      </w:r>
      <w:r w:rsidRPr="0028033B">
        <w:rPr>
          <w:vertAlign w:val="subscript"/>
        </w:rPr>
        <w:t>2</w:t>
      </w:r>
      <w:r w:rsidRPr="0028033B">
        <w:t>e in 2005 and 2024.</w:t>
      </w:r>
    </w:p>
    <w:p w14:paraId="18FBDF11" w14:textId="77777777" w:rsidR="00E46639" w:rsidRPr="0028033B" w:rsidRDefault="00E46639" w:rsidP="00E46639">
      <w:pPr>
        <w:pStyle w:val="Heading5"/>
        <w:spacing w:before="200"/>
      </w:pPr>
      <w:bookmarkStart w:id="1281" w:name="_Hlk58833796"/>
      <w:r w:rsidRPr="0028033B">
        <w:t xml:space="preserve">Cultivation (management) of organic soils </w:t>
      </w:r>
      <w:bookmarkEnd w:id="1281"/>
      <w:r w:rsidRPr="0028033B">
        <w:t>(3.D.1.6)</w:t>
      </w:r>
    </w:p>
    <w:p w14:paraId="11A95889" w14:textId="77777777" w:rsidR="00E46639" w:rsidRPr="0028033B" w:rsidRDefault="00E46639" w:rsidP="00E46639">
      <w:pPr>
        <w:pStyle w:val="BodyText"/>
        <w:spacing w:before="80" w:after="100"/>
      </w:pPr>
      <w:r w:rsidRPr="0028033B">
        <w:t>The management of organic soils is a source of N</w:t>
      </w:r>
      <w:r w:rsidRPr="0028033B">
        <w:rPr>
          <w:vertAlign w:val="subscript"/>
        </w:rPr>
        <w:t>2</w:t>
      </w:r>
      <w:r w:rsidRPr="0028033B">
        <w:t xml:space="preserve">O emissions. The area of managed organic soils (histosols) in </w:t>
      </w:r>
      <w:r w:rsidRPr="0028033B" w:rsidDel="00FB12F4">
        <w:rPr>
          <w:rFonts w:cs="Calibri"/>
        </w:rPr>
        <w:t xml:space="preserve">New </w:t>
      </w:r>
      <w:r w:rsidRPr="0028033B">
        <w:rPr>
          <w:rFonts w:cs="Calibri"/>
        </w:rPr>
        <w:t>Zealand</w:t>
      </w:r>
      <w:r w:rsidRPr="0028033B">
        <w:t xml:space="preserve"> includes both the area of managed organic soils (as reported under the LULUCF sector) and the area of mineral agricultural soils with a peaty layer that is cultivated (Dresser et al., 2011). Mineral soils with a peaty layer are included in the definition of organic soils because these soils have similar emissions behaviour to that of organic soils (Dresser et al., 2011). The full definition used in the Agriculture sector for organic soils (plus mineral soils with a peaty layer) is: </w:t>
      </w:r>
    </w:p>
    <w:p w14:paraId="28B62C94" w14:textId="77777777" w:rsidR="00E46639" w:rsidRPr="0028033B" w:rsidRDefault="00E46639" w:rsidP="00E46639">
      <w:pPr>
        <w:pStyle w:val="Bullet"/>
        <w:numPr>
          <w:ilvl w:val="0"/>
          <w:numId w:val="25"/>
        </w:numPr>
        <w:spacing w:after="100"/>
      </w:pPr>
      <w:r w:rsidRPr="0028033B">
        <w:t>at least 17 percent organic matter content (includes slightly peaty, peaty and peat soils)</w:t>
      </w:r>
    </w:p>
    <w:p w14:paraId="6FD8F511" w14:textId="77777777" w:rsidR="00E46639" w:rsidRPr="0028033B" w:rsidRDefault="00E46639" w:rsidP="00E46639">
      <w:pPr>
        <w:pStyle w:val="Bullet"/>
        <w:numPr>
          <w:ilvl w:val="0"/>
          <w:numId w:val="25"/>
        </w:numPr>
        <w:spacing w:after="100"/>
      </w:pPr>
      <w:r w:rsidRPr="0028033B">
        <w:t>0.1 metres of this depth occurring within 0.3 metres of the surface.</w:t>
      </w:r>
    </w:p>
    <w:p w14:paraId="713E7C11" w14:textId="77777777" w:rsidR="00E46639" w:rsidRPr="0028033B" w:rsidRDefault="00E46639" w:rsidP="00E46639">
      <w:pPr>
        <w:pStyle w:val="BodyText"/>
        <w:spacing w:before="100" w:after="100"/>
      </w:pPr>
      <w:r w:rsidRPr="0028033B">
        <w:t xml:space="preserve">The total area of managed organic soils in </w:t>
      </w:r>
      <w:r w:rsidRPr="0028033B" w:rsidDel="00ED3BC1">
        <w:rPr>
          <w:rFonts w:cs="Calibri"/>
        </w:rPr>
        <w:t xml:space="preserve">New </w:t>
      </w:r>
      <w:r w:rsidRPr="0028033B">
        <w:rPr>
          <w:rFonts w:cs="Calibri"/>
        </w:rPr>
        <w:t>Zealand</w:t>
      </w:r>
      <w:r w:rsidRPr="0028033B">
        <w:t xml:space="preserve"> in 2024 was 176,976 hectares. It is estimated that 95 percent of this area is on grassland and 5 percent on cropland (Pronger et al., 2022). It is assumed that all of this area meets the definition of ‘managed’ for the purpose of estimating emissions. The estimate of managed organic soils on cropland and grassland is consistent with data and methodology used for the LULUCF sector. The total area of managed organic soils has increased slightly by 1.1 percent (1,934 hectares) since 1990 and 0.5 percent (894 hectares) since 2005.</w:t>
      </w:r>
    </w:p>
    <w:p w14:paraId="052A91CA" w14:textId="77777777" w:rsidR="00E46639" w:rsidRPr="0028033B" w:rsidRDefault="00E46639" w:rsidP="00E46639">
      <w:pPr>
        <w:pStyle w:val="BodyText"/>
        <w:spacing w:before="100"/>
      </w:pPr>
      <w:r w:rsidRPr="0028033B">
        <w:t>Emissions from organic soils are calculated using the Tier 1 methodology for all years of the time series by multiplying the area of managed organic soils by the default value of emission factor EF</w:t>
      </w:r>
      <w:r w:rsidRPr="0028033B">
        <w:rPr>
          <w:vertAlign w:val="subscript"/>
        </w:rPr>
        <w:t>2</w:t>
      </w:r>
      <w:r w:rsidRPr="0028033B">
        <w:t xml:space="preserve"> of 8 kg N</w:t>
      </w:r>
      <w:r w:rsidRPr="0028033B">
        <w:rPr>
          <w:vertAlign w:val="subscript"/>
        </w:rPr>
        <w:t>2</w:t>
      </w:r>
      <w:r w:rsidRPr="0028033B">
        <w:t>O</w:t>
      </w:r>
      <w:r w:rsidRPr="0028033B">
        <w:noBreakHyphen/>
        <w:t xml:space="preserve">N/ha (IPCC, 2006). </w:t>
      </w:r>
    </w:p>
    <w:p w14:paraId="4D279E5E" w14:textId="77777777" w:rsidR="00E46639" w:rsidRPr="0028033B" w:rsidRDefault="00E46639" w:rsidP="00E46639">
      <w:pPr>
        <w:pStyle w:val="BodyText"/>
      </w:pPr>
      <w:r w:rsidRPr="0028033B">
        <w:t>In 2024, direct N</w:t>
      </w:r>
      <w:r w:rsidRPr="0028033B">
        <w:rPr>
          <w:vertAlign w:val="subscript"/>
        </w:rPr>
        <w:t>2</w:t>
      </w:r>
      <w:r w:rsidRPr="0028033B">
        <w:t>O emissions from the management of organic soils contributed 9.6 percent (589.6 kt CO</w:t>
      </w:r>
      <w:r w:rsidRPr="0028033B">
        <w:rPr>
          <w:vertAlign w:val="subscript"/>
        </w:rPr>
        <w:t>2</w:t>
      </w:r>
      <w:r w:rsidRPr="0028033B">
        <w:t xml:space="preserve">e) of emissions from </w:t>
      </w:r>
      <w:r w:rsidRPr="0028033B">
        <w:rPr>
          <w:i/>
        </w:rPr>
        <w:t>Agricultural soils</w:t>
      </w:r>
      <w:r w:rsidRPr="0028033B">
        <w:t xml:space="preserve">, or 1.5 percent of total Agriculture emissions). This is an increase of 1.1 percent since 1990 and 0.5 percent since 2005. Emissions from </w:t>
      </w:r>
      <w:r w:rsidRPr="0028033B">
        <w:rPr>
          <w:i/>
        </w:rPr>
        <w:t>Cultivation of organic soils</w:t>
      </w:r>
      <w:r w:rsidRPr="0028033B">
        <w:t xml:space="preserve"> were identified as a key category (level and trend assessment).</w:t>
      </w:r>
    </w:p>
    <w:p w14:paraId="03F34788" w14:textId="77777777" w:rsidR="00E46639" w:rsidRPr="0028033B" w:rsidRDefault="00E46639" w:rsidP="00E46639">
      <w:pPr>
        <w:pStyle w:val="Heading4"/>
      </w:pPr>
      <w:r w:rsidRPr="0028033B">
        <w:t xml:space="preserve">Indirect </w:t>
      </w:r>
      <w:r w:rsidRPr="0028033B">
        <w:rPr>
          <w:spacing w:val="-2"/>
        </w:rPr>
        <w:t>nitrous oxide</w:t>
      </w:r>
      <w:r w:rsidRPr="0028033B">
        <w:t xml:space="preserve"> emissions from managed soils (3.D.2) </w:t>
      </w:r>
    </w:p>
    <w:p w14:paraId="270BD58B" w14:textId="77777777" w:rsidR="00E46639" w:rsidRPr="0028033B" w:rsidRDefault="00E46639" w:rsidP="00E46639">
      <w:pPr>
        <w:pStyle w:val="BodyText"/>
        <w:spacing w:before="100"/>
        <w:rPr>
          <w:rFonts w:cs="Calibri"/>
        </w:rPr>
      </w:pPr>
      <w:r w:rsidRPr="0028033B">
        <w:rPr>
          <w:rFonts w:cs="Calibri"/>
        </w:rPr>
        <w:t>In addition to direct N</w:t>
      </w:r>
      <w:r w:rsidRPr="0028033B">
        <w:rPr>
          <w:rFonts w:cs="Calibri"/>
          <w:vertAlign w:val="subscript"/>
        </w:rPr>
        <w:t>2</w:t>
      </w:r>
      <w:r w:rsidRPr="0028033B">
        <w:rPr>
          <w:rFonts w:cs="Calibri"/>
        </w:rPr>
        <w:t>O emissions from managed soils, emissions of N</w:t>
      </w:r>
      <w:r w:rsidRPr="0028033B">
        <w:rPr>
          <w:rFonts w:cs="Calibri"/>
          <w:vertAlign w:val="subscript"/>
        </w:rPr>
        <w:t>2</w:t>
      </w:r>
      <w:r w:rsidRPr="0028033B">
        <w:rPr>
          <w:rFonts w:cs="Calibri"/>
        </w:rPr>
        <w:t>O also occur through two indirect pathways: volatilisation, and leaching and runoff.</w:t>
      </w:r>
    </w:p>
    <w:p w14:paraId="0C0C04A0" w14:textId="77777777" w:rsidR="00E46639" w:rsidRPr="0028033B" w:rsidRDefault="00E46639" w:rsidP="00E46639">
      <w:pPr>
        <w:pStyle w:val="Heading5"/>
      </w:pPr>
      <w:r w:rsidRPr="0028033B">
        <w:t>Volatilisation (3.D.2.1)</w:t>
      </w:r>
    </w:p>
    <w:p w14:paraId="441A1A68" w14:textId="77777777" w:rsidR="00E46639" w:rsidRPr="0028033B" w:rsidRDefault="00E46639" w:rsidP="00E46639">
      <w:pPr>
        <w:pStyle w:val="BodyText"/>
        <w:spacing w:before="100" w:after="100"/>
        <w:rPr>
          <w:rFonts w:cs="Calibri"/>
        </w:rPr>
      </w:pPr>
      <w:r w:rsidRPr="0028033B">
        <w:rPr>
          <w:rFonts w:cs="Calibri"/>
        </w:rPr>
        <w:t>Some of the nitrogen deposited or spread on agricultural land is emitted into the atmosphere through volatilisation in the form of NH</w:t>
      </w:r>
      <w:r w:rsidRPr="0028033B">
        <w:rPr>
          <w:rFonts w:cs="Calibri"/>
          <w:vertAlign w:val="subscript"/>
        </w:rPr>
        <w:t>3</w:t>
      </w:r>
      <w:r w:rsidRPr="0028033B">
        <w:rPr>
          <w:rFonts w:cs="Calibri"/>
        </w:rPr>
        <w:t xml:space="preserve"> and NO</w:t>
      </w:r>
      <w:r w:rsidRPr="0028033B">
        <w:rPr>
          <w:rFonts w:cs="Calibri"/>
          <w:vertAlign w:val="subscript"/>
        </w:rPr>
        <w:t>x</w:t>
      </w:r>
      <w:r w:rsidRPr="0028033B">
        <w:rPr>
          <w:rFonts w:cs="Calibri"/>
        </w:rPr>
        <w:t xml:space="preserve">. A fraction of this volatilised nitrogen returns to the ground during rainfall and is then re-emitted as </w:t>
      </w:r>
      <w:r w:rsidRPr="0028033B">
        <w:rPr>
          <w:rFonts w:cs="Calibri"/>
          <w:spacing w:val="-2"/>
        </w:rPr>
        <w:t>N</w:t>
      </w:r>
      <w:r w:rsidRPr="0028033B">
        <w:rPr>
          <w:rFonts w:cs="Calibri"/>
          <w:spacing w:val="-2"/>
          <w:vertAlign w:val="subscript"/>
        </w:rPr>
        <w:t>2</w:t>
      </w:r>
      <w:r w:rsidRPr="0028033B">
        <w:rPr>
          <w:rFonts w:cs="Calibri"/>
          <w:spacing w:val="-2"/>
        </w:rPr>
        <w:t>O</w:t>
      </w:r>
      <w:r w:rsidRPr="0028033B">
        <w:rPr>
          <w:rFonts w:cs="Calibri"/>
        </w:rPr>
        <w:t>. The fraction of nitrogen that becomes N</w:t>
      </w:r>
      <w:r w:rsidRPr="0028033B">
        <w:rPr>
          <w:rFonts w:cs="Calibri"/>
          <w:vertAlign w:val="subscript"/>
        </w:rPr>
        <w:t>2</w:t>
      </w:r>
      <w:r w:rsidRPr="0028033B">
        <w:rPr>
          <w:rFonts w:cs="Calibri"/>
        </w:rPr>
        <w:t>O during this process is calculated using the parameters Frac</w:t>
      </w:r>
      <w:r w:rsidRPr="0028033B">
        <w:rPr>
          <w:rFonts w:cs="Calibri"/>
          <w:vertAlign w:val="subscript"/>
        </w:rPr>
        <w:t>GASF</w:t>
      </w:r>
      <w:r w:rsidRPr="0028033B">
        <w:rPr>
          <w:rFonts w:cs="Calibri"/>
        </w:rPr>
        <w:t xml:space="preserve"> for synthetic nitrogen fertiliser and Frac</w:t>
      </w:r>
      <w:r w:rsidRPr="0028033B">
        <w:rPr>
          <w:rFonts w:cs="Calibri"/>
          <w:vertAlign w:val="subscript"/>
        </w:rPr>
        <w:t>GASM</w:t>
      </w:r>
      <w:r w:rsidRPr="0028033B">
        <w:rPr>
          <w:rFonts w:cs="Calibri"/>
        </w:rPr>
        <w:t xml:space="preserve"> for organic inputs from animal excreta. New Zealand uses country-specific values for both of these parameters.</w:t>
      </w:r>
    </w:p>
    <w:p w14:paraId="3873EF09" w14:textId="77777777" w:rsidR="00E46639" w:rsidRPr="0028033B" w:rsidRDefault="00E46639" w:rsidP="00E46639">
      <w:pPr>
        <w:pStyle w:val="BodyText"/>
        <w:spacing w:before="100" w:after="100"/>
        <w:rPr>
          <w:rFonts w:cs="Calibri"/>
        </w:rPr>
      </w:pPr>
      <w:r w:rsidRPr="0028033B">
        <w:rPr>
          <w:rFonts w:cs="Calibri"/>
        </w:rPr>
        <w:t>In New Zealand, nitrogen added to agricultural soils from synthetic nitrogen fertiliser (F</w:t>
      </w:r>
      <w:r w:rsidRPr="0028033B">
        <w:rPr>
          <w:rFonts w:cs="Calibri"/>
          <w:vertAlign w:val="subscript"/>
        </w:rPr>
        <w:t>SN</w:t>
      </w:r>
      <w:r w:rsidRPr="0028033B">
        <w:rPr>
          <w:rFonts w:cs="Calibri"/>
        </w:rPr>
        <w:t>), organic nitrogen fertiliser from the spreading of managed manure (F</w:t>
      </w:r>
      <w:r w:rsidRPr="0028033B">
        <w:rPr>
          <w:rFonts w:cs="Calibri"/>
          <w:vertAlign w:val="subscript"/>
        </w:rPr>
        <w:t>ON</w:t>
      </w:r>
      <w:r w:rsidRPr="0028033B">
        <w:rPr>
          <w:rFonts w:cs="Calibri"/>
        </w:rPr>
        <w:t>), and excreta from grazing livestock on pasture (F</w:t>
      </w:r>
      <w:r w:rsidRPr="0028033B">
        <w:rPr>
          <w:rFonts w:cs="Calibri"/>
          <w:vertAlign w:val="subscript"/>
        </w:rPr>
        <w:t>PRP</w:t>
      </w:r>
      <w:r w:rsidRPr="0028033B">
        <w:rPr>
          <w:rFonts w:cs="Calibri"/>
        </w:rPr>
        <w:t>) all contribute to N</w:t>
      </w:r>
      <w:r w:rsidRPr="0028033B">
        <w:rPr>
          <w:rFonts w:cs="Calibri"/>
          <w:vertAlign w:val="subscript"/>
        </w:rPr>
        <w:t>2</w:t>
      </w:r>
      <w:r w:rsidRPr="0028033B">
        <w:rPr>
          <w:rFonts w:cs="Calibri"/>
        </w:rPr>
        <w:t>O emissions from volatilisation. The collection of activity data for F</w:t>
      </w:r>
      <w:r w:rsidRPr="0028033B">
        <w:rPr>
          <w:rFonts w:cs="Calibri"/>
          <w:vertAlign w:val="subscript"/>
        </w:rPr>
        <w:t>SN</w:t>
      </w:r>
      <w:r w:rsidRPr="0028033B">
        <w:rPr>
          <w:rFonts w:cs="Calibri"/>
        </w:rPr>
        <w:t>, F</w:t>
      </w:r>
      <w:r w:rsidRPr="0028033B">
        <w:rPr>
          <w:rFonts w:cs="Calibri"/>
          <w:vertAlign w:val="subscript"/>
        </w:rPr>
        <w:t>ON</w:t>
      </w:r>
      <w:r w:rsidRPr="0028033B">
        <w:rPr>
          <w:rFonts w:cs="Calibri"/>
        </w:rPr>
        <w:t xml:space="preserve"> and F</w:t>
      </w:r>
      <w:r w:rsidRPr="0028033B">
        <w:rPr>
          <w:rFonts w:cs="Calibri"/>
          <w:vertAlign w:val="subscript"/>
        </w:rPr>
        <w:t xml:space="preserve">PRP </w:t>
      </w:r>
      <w:r w:rsidRPr="0028033B">
        <w:rPr>
          <w:rFonts w:cs="Calibri"/>
        </w:rPr>
        <w:t xml:space="preserve">is described above (see </w:t>
      </w:r>
      <w:r w:rsidRPr="0028033B">
        <w:rPr>
          <w:rFonts w:cs="Calibri"/>
          <w:i/>
          <w:iCs/>
        </w:rPr>
        <w:t>Direct N</w:t>
      </w:r>
      <w:r w:rsidRPr="0028033B">
        <w:rPr>
          <w:rFonts w:cs="Calibri"/>
          <w:i/>
          <w:iCs/>
          <w:vertAlign w:val="subscript"/>
        </w:rPr>
        <w:t>2</w:t>
      </w:r>
      <w:r w:rsidRPr="0028033B">
        <w:rPr>
          <w:rFonts w:cs="Calibri"/>
          <w:i/>
          <w:iCs/>
        </w:rPr>
        <w:t>O emissions from managed soils</w:t>
      </w:r>
      <w:r w:rsidRPr="0028033B">
        <w:rPr>
          <w:rFonts w:cs="Calibri"/>
        </w:rPr>
        <w:t xml:space="preserve"> (3.D.1)). Volatilisation from manure stored in manure management systems (before application to land) is reported in the </w:t>
      </w:r>
      <w:r w:rsidRPr="0028033B">
        <w:rPr>
          <w:rFonts w:cs="Calibri"/>
          <w:i/>
          <w:iCs/>
        </w:rPr>
        <w:t>Manure management</w:t>
      </w:r>
      <w:r w:rsidRPr="0028033B">
        <w:rPr>
          <w:rFonts w:cs="Calibri"/>
        </w:rPr>
        <w:t xml:space="preserve"> category (see section 5.3.2). </w:t>
      </w:r>
    </w:p>
    <w:p w14:paraId="52A5EB49" w14:textId="77777777" w:rsidR="00E46639" w:rsidRPr="0028033B" w:rsidRDefault="00E46639" w:rsidP="00E46639">
      <w:pPr>
        <w:pStyle w:val="BodyText"/>
        <w:spacing w:before="100"/>
        <w:rPr>
          <w:rFonts w:cs="Calibri"/>
        </w:rPr>
      </w:pPr>
      <w:r w:rsidRPr="0028033B">
        <w:rPr>
          <w:rFonts w:cs="Calibri"/>
        </w:rPr>
        <w:t>New Zealand uses a Tier 1 methodology with country-specific emission factors for Frac</w:t>
      </w:r>
      <w:r w:rsidRPr="0028033B">
        <w:rPr>
          <w:rFonts w:cs="Calibri"/>
          <w:vertAlign w:val="subscript"/>
        </w:rPr>
        <w:t>GASF</w:t>
      </w:r>
      <w:r w:rsidRPr="0028033B">
        <w:rPr>
          <w:rFonts w:cs="Calibri"/>
        </w:rPr>
        <w:t xml:space="preserve"> and Frac</w:t>
      </w:r>
      <w:r w:rsidRPr="0028033B">
        <w:rPr>
          <w:rFonts w:cs="Calibri"/>
          <w:vertAlign w:val="subscript"/>
        </w:rPr>
        <w:t>GASM</w:t>
      </w:r>
      <w:r w:rsidRPr="0028033B">
        <w:rPr>
          <w:rFonts w:cs="Calibri"/>
        </w:rPr>
        <w:t xml:space="preserve"> and a default value for the EF</w:t>
      </w:r>
      <w:r w:rsidRPr="0028033B">
        <w:rPr>
          <w:rFonts w:cs="Calibri"/>
          <w:vertAlign w:val="subscript"/>
        </w:rPr>
        <w:t>4</w:t>
      </w:r>
      <w:r w:rsidRPr="0028033B">
        <w:rPr>
          <w:rFonts w:cs="Calibri"/>
        </w:rPr>
        <w:t xml:space="preserve"> emission factor to calculate emissions from volatilisation: </w:t>
      </w:r>
    </w:p>
    <w:p w14:paraId="42402024" w14:textId="77777777" w:rsidR="00E46639" w:rsidRPr="0028033B" w:rsidRDefault="00000000" w:rsidP="00E46639">
      <w:pPr>
        <w:pStyle w:val="BodyText"/>
        <w:spacing w:before="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ATD</m:t>
              </m:r>
            </m:sub>
          </m:sSub>
          <m:r>
            <w:rPr>
              <w:rFonts w:ascii="Cambria Math" w:hAnsi="Cambria Math"/>
              <w:sz w:val="24"/>
              <w:szCs w:val="24"/>
            </w:rPr>
            <m:t xml:space="preserve"> emissions=</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ATD</m:t>
                  </m:r>
                </m:sub>
              </m:sSub>
              <m:r>
                <w:rPr>
                  <w:rFonts w:ascii="Cambria Math" w:hAnsi="Cambria Math"/>
                  <w:sz w:val="24"/>
                  <w:szCs w:val="24"/>
                </w:rPr>
                <m:t>-N</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GASF</m:t>
                      </m:r>
                    </m:sub>
                  </m:sSub>
                </m:e>
              </m:d>
              <m:r>
                <w:rPr>
                  <w:rFonts w:ascii="Cambria Math" w:hAnsi="Cambria Math"/>
                  <w:sz w:val="24"/>
                  <w:szCs w:val="24"/>
                </w:rPr>
                <m:t>+</m:t>
              </m:r>
              <m:d>
                <m:dPr>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ON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PRP</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GASM</m:t>
                      </m:r>
                    </m:sub>
                  </m:sSub>
                </m:e>
              </m:d>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4</m:t>
              </m:r>
            </m:sub>
          </m:sSub>
          <m:r>
            <w:rPr>
              <w:rFonts w:ascii="Cambria Math" w:hAnsi="Cambria Math" w:cs="Calibri"/>
              <w:sz w:val="20"/>
              <w:szCs w:val="20"/>
            </w:rPr>
            <m:t xml:space="preserve"> </m:t>
          </m:r>
        </m:oMath>
      </m:oMathPara>
    </w:p>
    <w:p w14:paraId="311DF001" w14:textId="77777777" w:rsidR="00E46639" w:rsidRPr="0028033B" w:rsidRDefault="00E46639" w:rsidP="00E46639">
      <w:pPr>
        <w:pStyle w:val="BodyText"/>
        <w:spacing w:after="40"/>
        <w:ind w:left="964" w:hanging="964"/>
      </w:pPr>
      <w:r w:rsidRPr="0028033B">
        <w:t>Where:</w:t>
      </w:r>
      <w:r w:rsidRPr="0028033B">
        <w:tab/>
        <w:t>N</w:t>
      </w:r>
      <w:r w:rsidRPr="0028033B">
        <w:rPr>
          <w:vertAlign w:val="subscript"/>
        </w:rPr>
        <w:t>2</w:t>
      </w:r>
      <w:r w:rsidRPr="0028033B">
        <w:t>O</w:t>
      </w:r>
      <w:r w:rsidRPr="0028033B">
        <w:rPr>
          <w:vertAlign w:val="subscript"/>
        </w:rPr>
        <w:t>ATD</w:t>
      </w:r>
      <w:r w:rsidRPr="0028033B">
        <w:t>–N is the annual amount of N</w:t>
      </w:r>
      <w:r w:rsidRPr="0028033B">
        <w:rPr>
          <w:vertAlign w:val="subscript"/>
        </w:rPr>
        <w:t>2</w:t>
      </w:r>
      <w:r w:rsidRPr="0028033B">
        <w:t>O-N produced by atmospheric deposition of volatilised nitrogen from agricultural soils (kg N</w:t>
      </w:r>
      <w:r w:rsidRPr="0028033B">
        <w:rPr>
          <w:vertAlign w:val="subscript"/>
        </w:rPr>
        <w:t>2</w:t>
      </w:r>
      <w:r w:rsidRPr="0028033B">
        <w:t xml:space="preserve">O-N/year) </w:t>
      </w:r>
    </w:p>
    <w:p w14:paraId="648D118E" w14:textId="77777777" w:rsidR="00E46639" w:rsidRPr="0028033B" w:rsidRDefault="00E46639" w:rsidP="00E46639">
      <w:pPr>
        <w:pStyle w:val="BodyText"/>
        <w:spacing w:before="30" w:after="40"/>
        <w:ind w:left="964" w:hanging="964"/>
      </w:pPr>
      <w:r w:rsidRPr="0028033B">
        <w:tab/>
        <w:t>F</w:t>
      </w:r>
      <w:r w:rsidRPr="0028033B">
        <w:rPr>
          <w:vertAlign w:val="subscript"/>
        </w:rPr>
        <w:t>SN</w:t>
      </w:r>
      <w:r w:rsidRPr="0028033B">
        <w:t>, F</w:t>
      </w:r>
      <w:r w:rsidRPr="0028033B">
        <w:rPr>
          <w:vertAlign w:val="subscript"/>
        </w:rPr>
        <w:t>ON</w:t>
      </w:r>
      <w:r w:rsidRPr="0028033B">
        <w:t xml:space="preserve"> and F</w:t>
      </w:r>
      <w:r w:rsidRPr="0028033B">
        <w:rPr>
          <w:vertAlign w:val="subscript"/>
        </w:rPr>
        <w:t>PRP</w:t>
      </w:r>
      <w:r w:rsidRPr="0028033B">
        <w:t xml:space="preserve"> are defined above (kg N/year) </w:t>
      </w:r>
    </w:p>
    <w:p w14:paraId="12E76176" w14:textId="77777777" w:rsidR="00E46639" w:rsidRPr="0028033B" w:rsidRDefault="00E46639" w:rsidP="00E46639">
      <w:pPr>
        <w:pStyle w:val="BodyText"/>
        <w:spacing w:before="30" w:after="40"/>
        <w:ind w:left="964" w:hanging="964"/>
      </w:pPr>
      <w:r w:rsidRPr="0028033B">
        <w:tab/>
        <w:t>Frac</w:t>
      </w:r>
      <w:r w:rsidRPr="0028033B">
        <w:rPr>
          <w:vertAlign w:val="subscript"/>
        </w:rPr>
        <w:t>GASF</w:t>
      </w:r>
      <w:r w:rsidRPr="0028033B">
        <w:t xml:space="preserve"> is the fraction of nitrogen from synthetic fertiliser that volatilises as NH</w:t>
      </w:r>
      <w:r w:rsidRPr="0028033B">
        <w:rPr>
          <w:vertAlign w:val="subscript"/>
        </w:rPr>
        <w:t>3</w:t>
      </w:r>
      <w:r w:rsidRPr="0028033B">
        <w:t xml:space="preserve"> and NO</w:t>
      </w:r>
      <w:r w:rsidRPr="0028033B">
        <w:rPr>
          <w:vertAlign w:val="subscript"/>
        </w:rPr>
        <w:t>x</w:t>
      </w:r>
      <w:r w:rsidRPr="0028033B">
        <w:t xml:space="preserve"> (see table 5.5.4) </w:t>
      </w:r>
    </w:p>
    <w:p w14:paraId="51929C6C" w14:textId="77777777" w:rsidR="00E46639" w:rsidRPr="0028033B" w:rsidRDefault="00E46639" w:rsidP="00E46639">
      <w:pPr>
        <w:pStyle w:val="BodyText"/>
        <w:spacing w:before="30" w:after="40"/>
        <w:ind w:left="964" w:hanging="964"/>
      </w:pPr>
      <w:r w:rsidRPr="0028033B">
        <w:tab/>
        <w:t>Frac</w:t>
      </w:r>
      <w:r w:rsidRPr="0028033B">
        <w:rPr>
          <w:vertAlign w:val="subscript"/>
        </w:rPr>
        <w:t>GASM</w:t>
      </w:r>
      <w:r w:rsidRPr="0028033B">
        <w:t xml:space="preserve"> is the fraction of nitrogen</w:t>
      </w:r>
      <w:r w:rsidRPr="0028033B" w:rsidDel="009B1CDF">
        <w:t xml:space="preserve"> </w:t>
      </w:r>
      <w:r w:rsidRPr="0028033B">
        <w:t>from manure spreading and pasture, range and paddock manure that volatilises as NH</w:t>
      </w:r>
      <w:r w:rsidRPr="0028033B">
        <w:rPr>
          <w:vertAlign w:val="subscript"/>
        </w:rPr>
        <w:t>3</w:t>
      </w:r>
      <w:r w:rsidRPr="0028033B">
        <w:t xml:space="preserve"> and NO</w:t>
      </w:r>
      <w:r w:rsidRPr="0028033B">
        <w:rPr>
          <w:vertAlign w:val="subscript"/>
        </w:rPr>
        <w:t>x</w:t>
      </w:r>
      <w:r w:rsidRPr="0028033B">
        <w:t xml:space="preserve"> (see table 5.5.4), and</w:t>
      </w:r>
    </w:p>
    <w:p w14:paraId="0087A9B0" w14:textId="77777777" w:rsidR="00E46639" w:rsidRPr="0028033B" w:rsidRDefault="00E46639" w:rsidP="00E46639">
      <w:pPr>
        <w:pStyle w:val="BodyText"/>
        <w:spacing w:before="30"/>
        <w:ind w:left="964" w:hanging="964"/>
      </w:pPr>
      <w:r w:rsidRPr="0028033B">
        <w:tab/>
        <w:t>EF</w:t>
      </w:r>
      <w:r w:rsidRPr="0028033B">
        <w:rPr>
          <w:vertAlign w:val="subscript"/>
        </w:rPr>
        <w:t>4</w:t>
      </w:r>
      <w:r w:rsidRPr="0028033B">
        <w:t xml:space="preserve"> is the emission factor for N</w:t>
      </w:r>
      <w:r w:rsidRPr="0028033B">
        <w:rPr>
          <w:vertAlign w:val="subscript"/>
        </w:rPr>
        <w:t>2</w:t>
      </w:r>
      <w:r w:rsidRPr="0028033B">
        <w:t>O emissions from atmospheric deposition of nitrogen on soils and water (kg N</w:t>
      </w:r>
      <w:r w:rsidRPr="0028033B">
        <w:rPr>
          <w:vertAlign w:val="subscript"/>
        </w:rPr>
        <w:t>2</w:t>
      </w:r>
      <w:r w:rsidRPr="0028033B">
        <w:t>O-N/kg N).</w:t>
      </w:r>
    </w:p>
    <w:p w14:paraId="6F857F3B" w14:textId="77777777" w:rsidR="00E46639" w:rsidRPr="0028033B" w:rsidRDefault="00E46639" w:rsidP="00E46639">
      <w:pPr>
        <w:pStyle w:val="BodyText"/>
      </w:pPr>
      <w:r w:rsidRPr="0028033B">
        <w:rPr>
          <w:rFonts w:cs="Calibri"/>
        </w:rPr>
        <w:t>New Zealand</w:t>
      </w:r>
      <w:r w:rsidRPr="0028033B">
        <w:t xml:space="preserve"> has a country-specific value of 0.1 for Frac</w:t>
      </w:r>
      <w:r w:rsidRPr="0028033B">
        <w:rPr>
          <w:vertAlign w:val="subscript"/>
        </w:rPr>
        <w:t>GASF</w:t>
      </w:r>
      <w:r w:rsidRPr="0028033B">
        <w:t xml:space="preserve">, the fraction of volatilised nitrogen from synthetic nitrogen fertiliser. This value is based on a review by Sherlock et al. (2011) of relevant </w:t>
      </w:r>
      <w:r w:rsidRPr="0028033B" w:rsidDel="0045011C">
        <w:rPr>
          <w:rFonts w:cs="Calibri"/>
        </w:rPr>
        <w:t xml:space="preserve">New </w:t>
      </w:r>
      <w:r w:rsidRPr="0028033B">
        <w:rPr>
          <w:rFonts w:cs="Calibri"/>
        </w:rPr>
        <w:t>Zealand</w:t>
      </w:r>
      <w:r w:rsidRPr="0028033B">
        <w:t xml:space="preserve"> and international research. The review determined that a value of 0.096 for Frac</w:t>
      </w:r>
      <w:r w:rsidRPr="0028033B">
        <w:rPr>
          <w:vertAlign w:val="subscript"/>
        </w:rPr>
        <w:t>GASF</w:t>
      </w:r>
      <w:r w:rsidRPr="0028033B">
        <w:t xml:space="preserve"> was suitable for </w:t>
      </w:r>
      <w:r w:rsidRPr="0028033B" w:rsidDel="00146C1E">
        <w:rPr>
          <w:rFonts w:cs="Calibri"/>
        </w:rPr>
        <w:t xml:space="preserve">New </w:t>
      </w:r>
      <w:r w:rsidRPr="0028033B">
        <w:rPr>
          <w:rFonts w:cs="Calibri"/>
        </w:rPr>
        <w:t>Zealand</w:t>
      </w:r>
      <w:r w:rsidRPr="0028033B">
        <w:t xml:space="preserve"> conditions. Because this value of 0.096 is almost identical to the IPCC default value of 0.1, the value of 0.1 was adopted by </w:t>
      </w:r>
      <w:r w:rsidRPr="0028033B" w:rsidDel="00146C1E">
        <w:rPr>
          <w:rFonts w:cs="Calibri"/>
        </w:rPr>
        <w:t xml:space="preserve">New </w:t>
      </w:r>
      <w:r w:rsidRPr="0028033B">
        <w:rPr>
          <w:rFonts w:cs="Calibri"/>
        </w:rPr>
        <w:t>Zealand</w:t>
      </w:r>
      <w:r w:rsidRPr="0028033B">
        <w:t xml:space="preserve"> as a country-specific value for Frac</w:t>
      </w:r>
      <w:r w:rsidRPr="0028033B">
        <w:rPr>
          <w:vertAlign w:val="subscript"/>
        </w:rPr>
        <w:t>GASF</w:t>
      </w:r>
      <w:r w:rsidRPr="0028033B">
        <w:t xml:space="preserve">. </w:t>
      </w:r>
    </w:p>
    <w:p w14:paraId="6F6EE069" w14:textId="77777777" w:rsidR="00E46639" w:rsidRPr="0028033B" w:rsidRDefault="00E46639" w:rsidP="00E46639">
      <w:pPr>
        <w:pStyle w:val="BodyText"/>
      </w:pPr>
      <w:r w:rsidRPr="0028033B">
        <w:t>The review by Sherlock et al. (2011) also recommended that New Zealand adopt a country-specific value of 0.1 for Frac</w:t>
      </w:r>
      <w:r w:rsidRPr="0028033B">
        <w:rPr>
          <w:vertAlign w:val="subscript"/>
        </w:rPr>
        <w:t>GASM</w:t>
      </w:r>
      <w:r w:rsidRPr="0028033B">
        <w:t>, the fraction of volatilised nitrogen from manure spreading and pasture, range and paddock manure. The review showed that the default value of 0.2 for Frac</w:t>
      </w:r>
      <w:r w:rsidRPr="0028033B">
        <w:rPr>
          <w:vertAlign w:val="subscript"/>
        </w:rPr>
        <w:t>GASM</w:t>
      </w:r>
      <w:r w:rsidRPr="0028033B">
        <w:t xml:space="preserve"> (IPCC, 2006) was too high for </w:t>
      </w:r>
      <w:r w:rsidRPr="0028033B" w:rsidDel="00146C1E">
        <w:rPr>
          <w:rFonts w:cs="Calibri"/>
        </w:rPr>
        <w:t xml:space="preserve">New </w:t>
      </w:r>
      <w:r w:rsidRPr="0028033B">
        <w:rPr>
          <w:rFonts w:cs="Calibri"/>
        </w:rPr>
        <w:t>Zealand</w:t>
      </w:r>
      <w:r w:rsidRPr="0028033B">
        <w:t xml:space="preserve"> circumstances and that 0.1 was more appropriate. This value was also confirmed by subsequent field experiments (Laubach et al., 2012). </w:t>
      </w:r>
    </w:p>
    <w:p w14:paraId="0BA409C5" w14:textId="77777777" w:rsidR="00E46639" w:rsidRPr="0028033B" w:rsidRDefault="00E46639" w:rsidP="00E46639">
      <w:pPr>
        <w:pStyle w:val="BodyText"/>
      </w:pPr>
      <w:r w:rsidRPr="0028033B">
        <w:t>The New Zealand Inventory applies the aggregated default value of 0.01 for EF</w:t>
      </w:r>
      <w:r w:rsidRPr="0028033B">
        <w:rPr>
          <w:vertAlign w:val="subscript"/>
        </w:rPr>
        <w:t>4</w:t>
      </w:r>
      <w:r w:rsidRPr="0028033B">
        <w:t xml:space="preserve"> presented in the 2019 IPCC Refinement (IPCC, 2019). This approach differs from other default emission factor selections, where the wet climate disaggregation is used to reflect New Zealand’s climatic conditions. New Zealand uses country-specific emission factors for processes related to N</w:t>
      </w:r>
      <w:r w:rsidRPr="0028033B">
        <w:rPr>
          <w:vertAlign w:val="subscript"/>
        </w:rPr>
        <w:t>2</w:t>
      </w:r>
      <w:r w:rsidRPr="0028033B">
        <w:t>O emissions from volatilisation. New Zealand uses a country-specific EF</w:t>
      </w:r>
      <w:r w:rsidRPr="0028033B">
        <w:rPr>
          <w:vertAlign w:val="subscript"/>
        </w:rPr>
        <w:t>1</w:t>
      </w:r>
      <w:r w:rsidRPr="0028033B">
        <w:t xml:space="preserve"> of 0.0059 and country-specific EF</w:t>
      </w:r>
      <w:r w:rsidRPr="0028033B">
        <w:rPr>
          <w:vertAlign w:val="subscript"/>
        </w:rPr>
        <w:t xml:space="preserve">3 </w:t>
      </w:r>
      <w:r w:rsidRPr="0028033B">
        <w:t>of 0.0008 to 0.0098, depending on the source (see section 5.5.2). Nitrous oxide emissions from volatilisation occur when volatilised nitrogen is redeposited onto the soil during rainfall, a process analogous to direct emissions. Consequently, the aggregated EF</w:t>
      </w:r>
      <w:r w:rsidRPr="0028033B">
        <w:rPr>
          <w:vertAlign w:val="subscript"/>
        </w:rPr>
        <w:t>4</w:t>
      </w:r>
      <w:r w:rsidRPr="0028033B">
        <w:t xml:space="preserve"> default of 0.01 provides a more representative estimate for New Zealand conditions, because </w:t>
      </w:r>
      <w:r w:rsidRPr="0028033B">
        <w:rPr>
          <w:spacing w:val="-2"/>
        </w:rPr>
        <w:t>it aligns more closely with observed EF</w:t>
      </w:r>
      <w:r w:rsidRPr="0028033B">
        <w:rPr>
          <w:spacing w:val="-2"/>
          <w:vertAlign w:val="subscript"/>
        </w:rPr>
        <w:t>1</w:t>
      </w:r>
      <w:r w:rsidRPr="0028033B">
        <w:rPr>
          <w:spacing w:val="-2"/>
        </w:rPr>
        <w:t xml:space="preserve"> and EF</w:t>
      </w:r>
      <w:r w:rsidRPr="0028033B">
        <w:rPr>
          <w:spacing w:val="-2"/>
          <w:vertAlign w:val="subscript"/>
        </w:rPr>
        <w:t>3</w:t>
      </w:r>
      <w:r w:rsidRPr="0028033B">
        <w:rPr>
          <w:spacing w:val="-2"/>
        </w:rPr>
        <w:t xml:space="preserve"> values (T. van der Weerden, pers. comm., 2025).</w:t>
      </w:r>
    </w:p>
    <w:p w14:paraId="2F177427" w14:textId="77777777" w:rsidR="00E46639" w:rsidRPr="0028033B" w:rsidRDefault="00E46639" w:rsidP="00E46639">
      <w:pPr>
        <w:pStyle w:val="BodyText"/>
      </w:pPr>
      <w:r w:rsidRPr="0028033B">
        <w:t xml:space="preserve">In 2024, </w:t>
      </w:r>
      <w:r w:rsidRPr="0028033B">
        <w:rPr>
          <w:spacing w:val="-2"/>
        </w:rPr>
        <w:t>N</w:t>
      </w:r>
      <w:r w:rsidRPr="0028033B">
        <w:rPr>
          <w:spacing w:val="-2"/>
          <w:vertAlign w:val="subscript"/>
        </w:rPr>
        <w:t>2</w:t>
      </w:r>
      <w:r w:rsidRPr="0028033B">
        <w:rPr>
          <w:spacing w:val="-2"/>
        </w:rPr>
        <w:t>O</w:t>
      </w:r>
      <w:r w:rsidRPr="0028033B">
        <w:t xml:space="preserve"> emissions from volatilisation contributed 1.8 percent (740.6 kt CO</w:t>
      </w:r>
      <w:r w:rsidRPr="0028033B">
        <w:rPr>
          <w:vertAlign w:val="subscript"/>
        </w:rPr>
        <w:t>2</w:t>
      </w:r>
      <w:r w:rsidRPr="0028033B">
        <w:t>e) to total Agriculture emissions, an increase of 16.6 percent from the 1990 value of 635.3 kt CO</w:t>
      </w:r>
      <w:r w:rsidRPr="0028033B">
        <w:rPr>
          <w:vertAlign w:val="subscript"/>
        </w:rPr>
        <w:t>2</w:t>
      </w:r>
      <w:r w:rsidRPr="0028033B">
        <w:t>e, and a decrease of 10.7 percent from the 2005 value of 829.2 kt CO</w:t>
      </w:r>
      <w:r w:rsidRPr="0028033B">
        <w:rPr>
          <w:vertAlign w:val="subscript"/>
        </w:rPr>
        <w:t>2</w:t>
      </w:r>
      <w:r w:rsidRPr="0028033B">
        <w:t>e.</w:t>
      </w:r>
    </w:p>
    <w:p w14:paraId="31CFCEBD" w14:textId="77777777" w:rsidR="00E46639" w:rsidRPr="0028033B" w:rsidRDefault="00E46639" w:rsidP="00E46639">
      <w:pPr>
        <w:pStyle w:val="Heading5"/>
      </w:pPr>
      <w:r w:rsidRPr="0028033B">
        <w:t>Leaching and runoff (3.D.2.2)</w:t>
      </w:r>
    </w:p>
    <w:p w14:paraId="0C3B08F2" w14:textId="77777777" w:rsidR="00E46639" w:rsidRPr="0028033B" w:rsidRDefault="00E46639" w:rsidP="00E46639">
      <w:pPr>
        <w:pStyle w:val="BodyText"/>
      </w:pPr>
      <w:r w:rsidRPr="0028033B">
        <w:rPr>
          <w:spacing w:val="-2"/>
        </w:rPr>
        <w:t xml:space="preserve">Nitrous oxide </w:t>
      </w:r>
      <w:r w:rsidRPr="0028033B">
        <w:t xml:space="preserve">emissions from leaching and runoff originate from the following sources: </w:t>
      </w:r>
    </w:p>
    <w:p w14:paraId="4FD2EF0D" w14:textId="77777777" w:rsidR="00E46639" w:rsidRPr="0028033B" w:rsidRDefault="00E46639" w:rsidP="00E46639">
      <w:pPr>
        <w:pStyle w:val="Bullet"/>
      </w:pPr>
      <w:r w:rsidRPr="0028033B">
        <w:t>synthetic nitrogen fertiliser (F</w:t>
      </w:r>
      <w:r w:rsidRPr="0028033B">
        <w:rPr>
          <w:vertAlign w:val="subscript"/>
        </w:rPr>
        <w:t>SN</w:t>
      </w:r>
      <w:r w:rsidRPr="0028033B">
        <w:t>)</w:t>
      </w:r>
    </w:p>
    <w:p w14:paraId="6A2995F8" w14:textId="77777777" w:rsidR="00E46639" w:rsidRPr="0028033B" w:rsidRDefault="00E46639" w:rsidP="00E46639">
      <w:pPr>
        <w:pStyle w:val="Bullet"/>
      </w:pPr>
      <w:r w:rsidRPr="0028033B">
        <w:t>organic nitrogen additions from the spreading of animal manure (F</w:t>
      </w:r>
      <w:r w:rsidRPr="0028033B">
        <w:rPr>
          <w:vertAlign w:val="subscript"/>
        </w:rPr>
        <w:t>ON</w:t>
      </w:r>
      <w:r w:rsidRPr="0028033B">
        <w:t>), above- and below</w:t>
      </w:r>
      <w:r w:rsidRPr="0028033B">
        <w:noBreakHyphen/>
        <w:t>ground crop residues (F</w:t>
      </w:r>
      <w:r w:rsidRPr="0028033B">
        <w:rPr>
          <w:vertAlign w:val="subscript"/>
        </w:rPr>
        <w:t>CR</w:t>
      </w:r>
      <w:r w:rsidRPr="0028033B">
        <w:t>)</w:t>
      </w:r>
    </w:p>
    <w:p w14:paraId="586B3989" w14:textId="77777777" w:rsidR="00E46639" w:rsidRPr="0028033B" w:rsidRDefault="00E46639" w:rsidP="00E46639">
      <w:pPr>
        <w:pStyle w:val="Bullet"/>
      </w:pPr>
      <w:r w:rsidRPr="0028033B">
        <w:t>nitrogen mineralisation associated with loss of soil organic matter from cropland land management (F</w:t>
      </w:r>
      <w:r w:rsidRPr="0028033B">
        <w:rPr>
          <w:vertAlign w:val="subscript"/>
        </w:rPr>
        <w:t>SOM</w:t>
      </w:r>
      <w:r w:rsidRPr="0028033B">
        <w:t>)</w:t>
      </w:r>
    </w:p>
    <w:p w14:paraId="248B32EF" w14:textId="77777777" w:rsidR="00E46639" w:rsidRPr="0028033B" w:rsidRDefault="00E46639" w:rsidP="00E46639">
      <w:pPr>
        <w:pStyle w:val="Bullet"/>
      </w:pPr>
      <w:r w:rsidRPr="0028033B">
        <w:t>excreta from grazing livestock on pasture, range and paddock (F</w:t>
      </w:r>
      <w:r w:rsidRPr="0028033B">
        <w:rPr>
          <w:vertAlign w:val="subscript"/>
        </w:rPr>
        <w:t>PRP</w:t>
      </w:r>
      <w:r w:rsidRPr="0028033B">
        <w:t xml:space="preserve">) (IPCC, 2006). </w:t>
      </w:r>
    </w:p>
    <w:p w14:paraId="0B2DBF76" w14:textId="77777777" w:rsidR="00E46639" w:rsidRPr="0028033B" w:rsidRDefault="00E46639" w:rsidP="00E46639">
      <w:pPr>
        <w:pStyle w:val="BodyText"/>
      </w:pPr>
      <w:r w:rsidRPr="0028033B">
        <w:t>The collection of activity data for F</w:t>
      </w:r>
      <w:r w:rsidRPr="0028033B">
        <w:rPr>
          <w:vertAlign w:val="subscript"/>
        </w:rPr>
        <w:t>SN</w:t>
      </w:r>
      <w:r w:rsidRPr="0028033B">
        <w:t>, F</w:t>
      </w:r>
      <w:r w:rsidRPr="0028033B">
        <w:rPr>
          <w:vertAlign w:val="subscript"/>
        </w:rPr>
        <w:t>ON</w:t>
      </w:r>
      <w:r w:rsidRPr="0028033B">
        <w:t>, F</w:t>
      </w:r>
      <w:r w:rsidRPr="0028033B">
        <w:rPr>
          <w:vertAlign w:val="subscript"/>
        </w:rPr>
        <w:t>CR</w:t>
      </w:r>
      <w:r w:rsidRPr="0028033B">
        <w:t>, F</w:t>
      </w:r>
      <w:r w:rsidRPr="0028033B">
        <w:rPr>
          <w:vertAlign w:val="subscript"/>
        </w:rPr>
        <w:t xml:space="preserve">PRP </w:t>
      </w:r>
      <w:r w:rsidRPr="0028033B">
        <w:t>and F</w:t>
      </w:r>
      <w:r w:rsidRPr="0028033B">
        <w:rPr>
          <w:vertAlign w:val="subscript"/>
        </w:rPr>
        <w:t>SOM</w:t>
      </w:r>
      <w:r w:rsidRPr="0028033B">
        <w:t xml:space="preserve"> is described above (see </w:t>
      </w:r>
      <w:r w:rsidRPr="0028033B">
        <w:rPr>
          <w:i/>
          <w:iCs/>
        </w:rPr>
        <w:t>Direct N</w:t>
      </w:r>
      <w:r w:rsidRPr="0028033B">
        <w:rPr>
          <w:i/>
          <w:iCs/>
          <w:vertAlign w:val="subscript"/>
        </w:rPr>
        <w:t>2</w:t>
      </w:r>
      <w:r w:rsidRPr="0028033B">
        <w:rPr>
          <w:i/>
          <w:iCs/>
        </w:rPr>
        <w:t>O emissions from managed soils</w:t>
      </w:r>
      <w:r w:rsidRPr="0028033B">
        <w:t xml:space="preserve"> (3.D.1)). </w:t>
      </w:r>
    </w:p>
    <w:p w14:paraId="7516D407" w14:textId="77777777" w:rsidR="00E46639" w:rsidRPr="0028033B" w:rsidRDefault="00E46639" w:rsidP="00E46639">
      <w:pPr>
        <w:pStyle w:val="BodyText"/>
      </w:pPr>
      <w:r w:rsidRPr="0028033B" w:rsidDel="00926A97">
        <w:rPr>
          <w:rFonts w:cs="Calibri"/>
        </w:rPr>
        <w:t xml:space="preserve">New </w:t>
      </w:r>
      <w:r w:rsidRPr="0028033B">
        <w:rPr>
          <w:rFonts w:cs="Calibri"/>
        </w:rPr>
        <w:t>Zealand</w:t>
      </w:r>
      <w:r w:rsidRPr="0028033B">
        <w:t xml:space="preserve"> reports all emissions from leaching in the </w:t>
      </w:r>
      <w:r w:rsidRPr="0028033B">
        <w:rPr>
          <w:i/>
          <w:iCs/>
        </w:rPr>
        <w:t>Agricultural soils</w:t>
      </w:r>
      <w:r w:rsidRPr="0028033B">
        <w:t xml:space="preserve"> category. As discussed under</w:t>
      </w:r>
      <w:r w:rsidRPr="0028033B">
        <w:rPr>
          <w:i/>
          <w:iCs/>
        </w:rPr>
        <w:t xml:space="preserve"> Manure management </w:t>
      </w:r>
      <w:r w:rsidRPr="0028033B">
        <w:t xml:space="preserve">(see section 5.3.1), </w:t>
      </w:r>
      <w:r w:rsidRPr="0028033B" w:rsidDel="00AD4731">
        <w:rPr>
          <w:rFonts w:cs="Calibri"/>
        </w:rPr>
        <w:t xml:space="preserve">New </w:t>
      </w:r>
      <w:r w:rsidRPr="0028033B">
        <w:rPr>
          <w:rFonts w:cs="Calibri"/>
        </w:rPr>
        <w:t>Zealand</w:t>
      </w:r>
      <w:r w:rsidRPr="0028033B">
        <w:t xml:space="preserve"> livestock are predominantly grazed outdoors (see table 5.3.2). New Zealand uses a Tier 1 methodology with country-specific default parameters to calculate indirect N</w:t>
      </w:r>
      <w:r w:rsidRPr="0028033B">
        <w:rPr>
          <w:vertAlign w:val="subscript"/>
        </w:rPr>
        <w:t>2</w:t>
      </w:r>
      <w:r w:rsidRPr="0028033B">
        <w:t>O emissions from nitrogen leaching. The general equation is:</w:t>
      </w:r>
    </w:p>
    <w:bookmarkStart w:id="1282" w:name="_1701239732"/>
    <w:bookmarkStart w:id="1283" w:name="_1767786633"/>
    <w:bookmarkStart w:id="1284" w:name="_1767789278"/>
    <w:bookmarkEnd w:id="1282"/>
    <w:bookmarkEnd w:id="1283"/>
    <w:bookmarkEnd w:id="1284"/>
    <w:p w14:paraId="07D0F94C" w14:textId="77777777" w:rsidR="00E46639" w:rsidRPr="0028033B" w:rsidRDefault="00000000" w:rsidP="00E46639">
      <w:pPr>
        <w:pStyle w:val="BodyText"/>
        <w:spacing w:before="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emissions=</m:t>
          </m:r>
          <m:f>
            <m:fPr>
              <m:ctrlPr>
                <w:rPr>
                  <w:rFonts w:ascii="Cambria Math" w:hAnsi="Cambria Math"/>
                  <w:i/>
                  <w:iCs/>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-N</m:t>
              </m:r>
            </m:e>
          </m:d>
        </m:oMath>
      </m:oMathPara>
    </w:p>
    <w:p w14:paraId="76F889AF" w14:textId="77777777" w:rsidR="00E46639" w:rsidRPr="0028033B" w:rsidRDefault="00E46639" w:rsidP="00E46639">
      <w:pPr>
        <w:pStyle w:val="BodyText"/>
        <w:spacing w:before="60"/>
        <w:rPr>
          <w:rFonts w:cs="Calibri"/>
        </w:rPr>
      </w:pPr>
      <w:r w:rsidRPr="0028033B">
        <w:rPr>
          <w:rFonts w:cs="Calibri"/>
        </w:rPr>
        <w:t xml:space="preserve">The following are specific equations used to calculate </w:t>
      </w:r>
      <w:r w:rsidRPr="0028033B">
        <w:t>indirect N</w:t>
      </w:r>
      <w:r w:rsidRPr="0028033B">
        <w:rPr>
          <w:vertAlign w:val="subscript"/>
        </w:rPr>
        <w:t>2</w:t>
      </w:r>
      <w:r w:rsidRPr="0028033B">
        <w:t>O emissions from nitrogen leaching for cropping systems, grassland and synthetic nitrogen fertilisers:</w:t>
      </w:r>
    </w:p>
    <w:p w14:paraId="37C6FDCE" w14:textId="77777777" w:rsidR="00E46639" w:rsidRPr="0028033B" w:rsidRDefault="00000000" w:rsidP="00E46639">
      <w:pPr>
        <w:pStyle w:val="BodyText"/>
        <w:spacing w:before="6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emissions (cropping systems)=</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SOM</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LEACH-H(CROPPING)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5</m:t>
              </m:r>
            </m:sub>
          </m:sSub>
        </m:oMath>
      </m:oMathPara>
    </w:p>
    <w:p w14:paraId="68038BCB" w14:textId="77777777" w:rsidR="00E46639" w:rsidRPr="0028033B" w:rsidRDefault="00000000" w:rsidP="00E46639">
      <w:pPr>
        <w:pStyle w:val="BodyText"/>
        <w:jc w:val="center"/>
        <w:rPr>
          <w:rFonts w:cs="Calibri"/>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emissions (grassland)=</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ON</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PRP</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LEACH-H(GRASSLAND)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5</m:t>
              </m:r>
            </m:sub>
          </m:sSub>
        </m:oMath>
      </m:oMathPara>
    </w:p>
    <w:p w14:paraId="6B16E148" w14:textId="77777777" w:rsidR="00E46639" w:rsidRPr="0028033B" w:rsidRDefault="00000000" w:rsidP="00E46639">
      <w:pPr>
        <w:spacing w:after="120"/>
        <w:rPr>
          <w:rFonts w:asciiTheme="minorHAnsi" w:eastAsiaTheme="minorEastAsia" w:hAnsiTheme="minorHAnsi"/>
          <w:sz w:val="24"/>
        </w:rPr>
      </w:pPr>
      <m:oMathPara>
        <m:oMathParaPr>
          <m:jc m:val="center"/>
        </m:oMathParaPr>
        <m:oMath>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L</m:t>
              </m:r>
            </m:sub>
          </m:sSub>
          <m:r>
            <w:rPr>
              <w:rFonts w:ascii="Cambria Math" w:hAnsi="Cambria Math"/>
              <w:sz w:val="24"/>
            </w:rPr>
            <m:t xml:space="preserve"> emissions (synthetic N fertiliser)=</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r>
            <w:rPr>
              <w:rFonts w:ascii="Cambria Math" w:hAnsi="Cambria Math"/>
              <w:sz w:val="24"/>
            </w:rPr>
            <m:t>∙</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F</m:t>
                  </m:r>
                </m:e>
                <m:sub>
                  <m:r>
                    <w:rPr>
                      <w:rFonts w:ascii="Cambria Math" w:hAnsi="Cambria Math"/>
                      <w:sz w:val="24"/>
                    </w:rPr>
                    <m:t>SN</m:t>
                  </m:r>
                </m:sub>
              </m:sSub>
            </m:e>
          </m:d>
          <m:r>
            <w:rPr>
              <w:rFonts w:ascii="Cambria Math" w:hAnsi="Cambria Math"/>
              <w:sz w:val="24"/>
            </w:rPr>
            <m:t>∙</m:t>
          </m:r>
          <m:sSub>
            <m:sSubPr>
              <m:ctrlPr>
                <w:rPr>
                  <w:rFonts w:ascii="Cambria Math" w:hAnsi="Cambria Math"/>
                  <w:i/>
                  <w:sz w:val="24"/>
                </w:rPr>
              </m:ctrlPr>
            </m:sSubPr>
            <m:e>
              <m:r>
                <w:rPr>
                  <w:rFonts w:ascii="Cambria Math" w:hAnsi="Cambria Math"/>
                  <w:sz w:val="24"/>
                </w:rPr>
                <m:t>Frac</m:t>
              </m:r>
            </m:e>
            <m:sub>
              <m:r>
                <w:rPr>
                  <w:rFonts w:ascii="Cambria Math" w:hAnsi="Cambria Math"/>
                  <w:sz w:val="24"/>
                </w:rPr>
                <m:t>LEACH-H(FERTILISER)</m:t>
              </m:r>
            </m:sub>
          </m:sSub>
          <m:r>
            <w:rPr>
              <w:rFonts w:ascii="Cambria Math" w:hAnsi="Cambria Math"/>
              <w:sz w:val="24"/>
            </w:rPr>
            <m:t>∙</m:t>
          </m:r>
          <m:sSub>
            <m:sSubPr>
              <m:ctrlPr>
                <w:rPr>
                  <w:rFonts w:ascii="Cambria Math" w:hAnsi="Cambria Math"/>
                  <w:i/>
                  <w:sz w:val="24"/>
                </w:rPr>
              </m:ctrlPr>
            </m:sSubPr>
            <m:e>
              <m:r>
                <w:rPr>
                  <w:rFonts w:ascii="Cambria Math" w:hAnsi="Cambria Math"/>
                  <w:sz w:val="24"/>
                </w:rPr>
                <m:t>EF</m:t>
              </m:r>
            </m:e>
            <m:sub>
              <m:r>
                <w:rPr>
                  <w:rFonts w:ascii="Cambria Math" w:hAnsi="Cambria Math"/>
                  <w:sz w:val="24"/>
                </w:rPr>
                <m:t>5</m:t>
              </m:r>
            </m:sub>
          </m:sSub>
        </m:oMath>
      </m:oMathPara>
    </w:p>
    <w:p w14:paraId="67CD6EA1" w14:textId="77777777" w:rsidR="00E46639" w:rsidRPr="0028033B" w:rsidRDefault="00E46639" w:rsidP="00E46639">
      <w:pPr>
        <w:pStyle w:val="BodyText"/>
        <w:spacing w:after="40"/>
        <w:ind w:left="964" w:hanging="964"/>
        <w:rPr>
          <w:rFonts w:cs="Calibri"/>
        </w:rPr>
      </w:pPr>
      <w:r w:rsidRPr="0028033B">
        <w:rPr>
          <w:rFonts w:cs="Calibri"/>
        </w:rPr>
        <w:t>Where:</w:t>
      </w:r>
      <w:r w:rsidRPr="0028033B">
        <w:rPr>
          <w:rFonts w:cs="Calibri"/>
        </w:rPr>
        <w:tab/>
        <w:t>N</w:t>
      </w:r>
      <w:r w:rsidRPr="0028033B">
        <w:rPr>
          <w:rFonts w:cs="Calibri"/>
          <w:vertAlign w:val="subscript"/>
        </w:rPr>
        <w:t>2</w:t>
      </w:r>
      <w:r w:rsidRPr="0028033B">
        <w:rPr>
          <w:rFonts w:cs="Calibri"/>
        </w:rPr>
        <w:t>O</w:t>
      </w:r>
      <w:r w:rsidRPr="0028033B">
        <w:rPr>
          <w:rFonts w:cs="Calibri"/>
          <w:vertAlign w:val="subscript"/>
        </w:rPr>
        <w:t>L</w:t>
      </w:r>
      <w:r w:rsidRPr="0028033B">
        <w:rPr>
          <w:rFonts w:cs="Calibri"/>
        </w:rPr>
        <w:t>–N is the annual amount of N</w:t>
      </w:r>
      <w:r w:rsidRPr="0028033B">
        <w:rPr>
          <w:rFonts w:cs="Calibri"/>
          <w:vertAlign w:val="subscript"/>
        </w:rPr>
        <w:t>2</w:t>
      </w:r>
      <w:r w:rsidRPr="0028033B">
        <w:rPr>
          <w:rFonts w:cs="Calibri"/>
        </w:rPr>
        <w:t>O-N from runoff and leaching from agricultural soils (kg N</w:t>
      </w:r>
      <w:r w:rsidRPr="0028033B">
        <w:rPr>
          <w:rFonts w:cs="Calibri"/>
          <w:vertAlign w:val="subscript"/>
        </w:rPr>
        <w:t>2</w:t>
      </w:r>
      <w:r w:rsidRPr="0028033B">
        <w:rPr>
          <w:rFonts w:cs="Calibri"/>
        </w:rPr>
        <w:t>O-N/year)</w:t>
      </w:r>
    </w:p>
    <w:p w14:paraId="4F1A10D8" w14:textId="77777777" w:rsidR="00E46639" w:rsidRPr="0028033B" w:rsidRDefault="00E46639" w:rsidP="00E46639">
      <w:pPr>
        <w:pStyle w:val="BodyText"/>
        <w:spacing w:before="40" w:after="40"/>
        <w:ind w:left="964"/>
      </w:pPr>
      <w:r w:rsidRPr="0028033B">
        <w:t>F</w:t>
      </w:r>
      <w:r w:rsidRPr="0028033B">
        <w:rPr>
          <w:vertAlign w:val="subscript"/>
        </w:rPr>
        <w:t>SN</w:t>
      </w:r>
      <w:r w:rsidRPr="0028033B">
        <w:t>, F</w:t>
      </w:r>
      <w:r w:rsidRPr="0028033B">
        <w:rPr>
          <w:vertAlign w:val="subscript"/>
        </w:rPr>
        <w:t>ON</w:t>
      </w:r>
      <w:r w:rsidRPr="0028033B">
        <w:t>, F</w:t>
      </w:r>
      <w:r w:rsidRPr="0028033B">
        <w:rPr>
          <w:vertAlign w:val="subscript"/>
        </w:rPr>
        <w:t>PRP</w:t>
      </w:r>
      <w:r w:rsidRPr="0028033B">
        <w:t>, F</w:t>
      </w:r>
      <w:r w:rsidRPr="0028033B">
        <w:rPr>
          <w:vertAlign w:val="subscript"/>
        </w:rPr>
        <w:t>CR</w:t>
      </w:r>
      <w:r w:rsidRPr="0028033B">
        <w:t xml:space="preserve"> and F</w:t>
      </w:r>
      <w:r w:rsidRPr="0028033B">
        <w:rPr>
          <w:vertAlign w:val="subscript"/>
        </w:rPr>
        <w:t>SOM</w:t>
      </w:r>
      <w:r w:rsidRPr="0028033B">
        <w:t xml:space="preserve"> are defined above (kg N/year)</w:t>
      </w:r>
    </w:p>
    <w:p w14:paraId="36052010" w14:textId="77777777" w:rsidR="00E46639" w:rsidRPr="0028033B" w:rsidRDefault="00E46639" w:rsidP="00E46639">
      <w:pPr>
        <w:pStyle w:val="BodyText"/>
        <w:spacing w:before="40" w:after="40"/>
        <w:ind w:left="964"/>
      </w:pPr>
      <w:r w:rsidRPr="0028033B">
        <w:t>Frac</w:t>
      </w:r>
      <w:r w:rsidRPr="0028033B">
        <w:rPr>
          <w:vertAlign w:val="subscript"/>
        </w:rPr>
        <w:t>LEACH-H(CROPPING)</w:t>
      </w:r>
      <w:r w:rsidRPr="0028033B">
        <w:t xml:space="preserve"> is the fraction of nitrogen added to, or mineralised from, cropping systems that is lost from soil through leaching and runoff (see table 5.5.4)</w:t>
      </w:r>
    </w:p>
    <w:p w14:paraId="7DABC75F" w14:textId="77777777" w:rsidR="00E46639" w:rsidRPr="0028033B" w:rsidRDefault="00E46639" w:rsidP="00E46639">
      <w:pPr>
        <w:pStyle w:val="BodyText"/>
        <w:spacing w:before="40" w:after="40"/>
        <w:ind w:left="964"/>
      </w:pPr>
      <w:r w:rsidRPr="0028033B">
        <w:t>Frac</w:t>
      </w:r>
      <w:r w:rsidRPr="0028033B">
        <w:rPr>
          <w:vertAlign w:val="subscript"/>
        </w:rPr>
        <w:t>LEACH-H(GRASSLAND)</w:t>
      </w:r>
      <w:r w:rsidRPr="0028033B">
        <w:t xml:space="preserve"> is the fraction of nitrogen added to, or mineralised from, grassland that is lost from soil through leaching and runoff (see table 5.5.4)</w:t>
      </w:r>
    </w:p>
    <w:p w14:paraId="420C853E" w14:textId="77777777" w:rsidR="00E46639" w:rsidRPr="0028033B" w:rsidRDefault="00E46639" w:rsidP="00E46639">
      <w:pPr>
        <w:pStyle w:val="BodyText"/>
        <w:spacing w:before="40" w:after="40"/>
        <w:ind w:left="964"/>
      </w:pPr>
      <w:r w:rsidRPr="0028033B">
        <w:t>Frac</w:t>
      </w:r>
      <w:r w:rsidRPr="0028033B">
        <w:rPr>
          <w:vertAlign w:val="subscript"/>
        </w:rPr>
        <w:t>LEACH-H(FERTILISER)</w:t>
      </w:r>
      <w:r w:rsidRPr="0028033B">
        <w:t xml:space="preserve"> is the fraction of nitrogen added to, or mineralised from, synthetic nitrogen fertiliser that is lost from soil through leaching and runoff, and</w:t>
      </w:r>
    </w:p>
    <w:p w14:paraId="75606D91" w14:textId="77777777" w:rsidR="00E46639" w:rsidRPr="0028033B" w:rsidRDefault="00E46639" w:rsidP="00E46639">
      <w:pPr>
        <w:pStyle w:val="BodyText"/>
        <w:spacing w:before="40"/>
        <w:ind w:left="964"/>
      </w:pPr>
      <w:r w:rsidRPr="0028033B">
        <w:t>EF</w:t>
      </w:r>
      <w:r w:rsidRPr="0028033B">
        <w:rPr>
          <w:vertAlign w:val="subscript"/>
        </w:rPr>
        <w:t>5</w:t>
      </w:r>
      <w:r w:rsidRPr="0028033B">
        <w:t xml:space="preserve"> is the IPCC (2006) default factor for N</w:t>
      </w:r>
      <w:r w:rsidRPr="0028033B">
        <w:rPr>
          <w:vertAlign w:val="subscript"/>
        </w:rPr>
        <w:t>2</w:t>
      </w:r>
      <w:r w:rsidRPr="0028033B">
        <w:t xml:space="preserve">O emissions from leaching and runoff. </w:t>
      </w:r>
    </w:p>
    <w:p w14:paraId="0F584FE9" w14:textId="77777777" w:rsidR="00E46639" w:rsidRPr="0028033B" w:rsidRDefault="00E46639" w:rsidP="00E46639">
      <w:pPr>
        <w:pStyle w:val="BodyText"/>
        <w:spacing w:after="100"/>
      </w:pPr>
      <w:r w:rsidRPr="0028033B">
        <w:rPr>
          <w:rFonts w:cs="Calibri"/>
        </w:rPr>
        <w:t>New Zealand uses differing Frac</w:t>
      </w:r>
      <w:r w:rsidRPr="0028033B">
        <w:rPr>
          <w:rFonts w:cs="Calibri"/>
          <w:vertAlign w:val="subscript"/>
        </w:rPr>
        <w:t>LEACH</w:t>
      </w:r>
      <w:r w:rsidRPr="0028033B">
        <w:rPr>
          <w:rFonts w:cs="Calibri"/>
        </w:rPr>
        <w:t xml:space="preserve"> parameters that are dependent on the type of agricultural system the nitrogen has been applied to. These values were derived using measured values, as well as modelled values from </w:t>
      </w:r>
      <w:r w:rsidRPr="0028033B">
        <w:t xml:space="preserve">OverseerFM, a </w:t>
      </w:r>
      <w:r w:rsidRPr="0028033B" w:rsidDel="00F646F3">
        <w:rPr>
          <w:rFonts w:cs="Calibri"/>
        </w:rPr>
        <w:t xml:space="preserve">New </w:t>
      </w:r>
      <w:r w:rsidRPr="0028033B">
        <w:rPr>
          <w:rFonts w:cs="Calibri"/>
        </w:rPr>
        <w:t>Zealand</w:t>
      </w:r>
      <w:r w:rsidRPr="0028033B">
        <w:t xml:space="preserve">-specific nutrient budgeting model. </w:t>
      </w:r>
      <w:r w:rsidRPr="0028033B">
        <w:rPr>
          <w:spacing w:val="-2"/>
        </w:rPr>
        <w:t>The Frac</w:t>
      </w:r>
      <w:r w:rsidRPr="0028033B">
        <w:rPr>
          <w:spacing w:val="-2"/>
          <w:vertAlign w:val="subscript"/>
        </w:rPr>
        <w:t>LEACH</w:t>
      </w:r>
      <w:r w:rsidRPr="0028033B">
        <w:rPr>
          <w:spacing w:val="-2"/>
        </w:rPr>
        <w:t xml:space="preserve"> value is 0.10 for nitrogen applied to cropland and 0.08 for grassland (Welten et al., 2021</w:t>
      </w:r>
      <w:r w:rsidRPr="0028033B">
        <w:t>). The Frac</w:t>
      </w:r>
      <w:r w:rsidRPr="0028033B">
        <w:rPr>
          <w:vertAlign w:val="subscript"/>
        </w:rPr>
        <w:t>LEACH</w:t>
      </w:r>
      <w:r w:rsidRPr="0028033B">
        <w:t xml:space="preserve"> value for synthetic nitrogen fertiliser applied to grassland and cropland is 0.082. This is a weighted average of nitrogen applied to cropland and grassland based on data from Stats NZ (2021) indicating that this is applied at a 90:10 ratio to grassland and cropland. Data back to 1990 show minimal fluctuations in this ratio, so it has been assumed that this nitrogen application remains static for the current inventory submission. Future inventory submissions may modify this Frac</w:t>
      </w:r>
      <w:r w:rsidRPr="0028033B">
        <w:rPr>
          <w:vertAlign w:val="subscript"/>
        </w:rPr>
        <w:t>LEACH</w:t>
      </w:r>
      <w:r w:rsidRPr="0028033B">
        <w:t xml:space="preserve"> value, if there is evidence the 90:10 ratio has changed.</w:t>
      </w:r>
    </w:p>
    <w:p w14:paraId="49FE576A" w14:textId="77777777" w:rsidR="00E46639" w:rsidRPr="0028033B" w:rsidRDefault="00E46639" w:rsidP="00E46639">
      <w:pPr>
        <w:pStyle w:val="BodyText"/>
      </w:pPr>
      <w:r w:rsidRPr="0028033B">
        <w:t>The OverseerFM model provides average estimates of the leaching and runoff of nitrogen for a range of pastoral, arable and horticultural systems. In pastoral systems, OverseerFM-derived nitrate (NO</w:t>
      </w:r>
      <w:r w:rsidRPr="0028033B">
        <w:rPr>
          <w:vertAlign w:val="subscript"/>
        </w:rPr>
        <w:t>3</w:t>
      </w:r>
      <w:r w:rsidRPr="0028033B">
        <w:t>–) leaching is determined by rainfall, soil type and the amount of nitrogen entering the farm system (from nitrogen-based fertilisers, dung and urine applied as farm dairy effluent or directly excreted by grazing animals). Dung and urine output from animals is calculated from the difference between nitrogen intake by grazing animals and nitrogen retained in animal products, such as milk, meat, wool and velvet. This is based on user inputs of stocking rates and production using an internal database with information on the nitrogen content of pasture and animal products. Resulting values are calibrated against empirical field measurements. In cropping systems, two years (previous and reporting) of monthly crop and management data are required for modelling NO</w:t>
      </w:r>
      <w:r w:rsidRPr="0028033B">
        <w:rPr>
          <w:vertAlign w:val="subscript"/>
        </w:rPr>
        <w:t xml:space="preserve">3 </w:t>
      </w:r>
      <w:r w:rsidRPr="0028033B">
        <w:t xml:space="preserve">leaching in OverseerFM. This data includes nitrogen applied as fertiliser and effluent, as well as factors influencing or indicating the water content of soil, such as temperature, irrigation, rainfall, drainage and field capacity. </w:t>
      </w:r>
    </w:p>
    <w:p w14:paraId="3D6C5912" w14:textId="77777777" w:rsidR="00E46639" w:rsidRPr="0028033B" w:rsidRDefault="00E46639" w:rsidP="00E46639">
      <w:pPr>
        <w:pStyle w:val="BodyText"/>
      </w:pPr>
      <w:r w:rsidRPr="0028033B">
        <w:t xml:space="preserve">In 2024, </w:t>
      </w:r>
      <w:r w:rsidRPr="0028033B">
        <w:rPr>
          <w:spacing w:val="-2"/>
        </w:rPr>
        <w:t>N</w:t>
      </w:r>
      <w:r w:rsidRPr="0028033B">
        <w:rPr>
          <w:spacing w:val="-2"/>
          <w:vertAlign w:val="subscript"/>
        </w:rPr>
        <w:t>2</w:t>
      </w:r>
      <w:r w:rsidRPr="0028033B">
        <w:rPr>
          <w:spacing w:val="-2"/>
        </w:rPr>
        <w:t>O</w:t>
      </w:r>
      <w:r w:rsidRPr="0028033B">
        <w:t xml:space="preserve"> emissions from leaching and runoff made up 1.2 percent (476.3 kt CO</w:t>
      </w:r>
      <w:r w:rsidRPr="0028033B">
        <w:rPr>
          <w:vertAlign w:val="subscript"/>
        </w:rPr>
        <w:t>2</w:t>
      </w:r>
      <w:r w:rsidRPr="0028033B">
        <w:t>e) of total Agriculture emissions. There has been an increase of 21.6 percent from 1990 (391.7 kt CO</w:t>
      </w:r>
      <w:r w:rsidRPr="0028033B">
        <w:rPr>
          <w:vertAlign w:val="subscript"/>
        </w:rPr>
        <w:t>2</w:t>
      </w:r>
      <w:r w:rsidRPr="0028033B">
        <w:t>e) and a decrease of 7.4 percent (514.6 kt CO</w:t>
      </w:r>
      <w:r w:rsidRPr="0028033B">
        <w:rPr>
          <w:vertAlign w:val="subscript"/>
        </w:rPr>
        <w:t>2</w:t>
      </w:r>
      <w:r w:rsidRPr="0028033B">
        <w:t>e) from 2005.</w:t>
      </w:r>
    </w:p>
    <w:p w14:paraId="00A1E009" w14:textId="77777777" w:rsidR="00E46639" w:rsidRPr="0028033B" w:rsidRDefault="00E46639" w:rsidP="00E46639">
      <w:pPr>
        <w:pStyle w:val="Heading4"/>
      </w:pPr>
      <w:r w:rsidRPr="0028033B">
        <w:t>Incorporation of nitrous oxide mitigation technologies into the Agriculture inventory model</w:t>
      </w:r>
    </w:p>
    <w:p w14:paraId="5D1C5A3D" w14:textId="77777777" w:rsidR="00E46639" w:rsidRPr="0028033B" w:rsidRDefault="00E46639" w:rsidP="00E46639">
      <w:pPr>
        <w:pStyle w:val="Heading5"/>
        <w:spacing w:before="180"/>
      </w:pPr>
      <w:r w:rsidRPr="0028033B">
        <w:t xml:space="preserve">Urease inhibitors </w:t>
      </w:r>
    </w:p>
    <w:p w14:paraId="23BEAD01" w14:textId="77777777" w:rsidR="00E46639" w:rsidRPr="0028033B" w:rsidRDefault="00E46639" w:rsidP="00E46639">
      <w:pPr>
        <w:pStyle w:val="BodyText"/>
      </w:pPr>
      <w:r w:rsidRPr="0028033B">
        <w:t xml:space="preserve">The </w:t>
      </w:r>
      <w:r w:rsidRPr="0028033B">
        <w:rPr>
          <w:spacing w:val="-2"/>
        </w:rPr>
        <w:t>N</w:t>
      </w:r>
      <w:r w:rsidRPr="0028033B">
        <w:rPr>
          <w:spacing w:val="-2"/>
          <w:vertAlign w:val="subscript"/>
        </w:rPr>
        <w:t>2</w:t>
      </w:r>
      <w:r w:rsidRPr="0028033B">
        <w:rPr>
          <w:spacing w:val="-2"/>
        </w:rPr>
        <w:t>O</w:t>
      </w:r>
      <w:r w:rsidRPr="0028033B">
        <w:t xml:space="preserve"> emissions reported in the </w:t>
      </w:r>
      <w:r w:rsidRPr="0028033B">
        <w:rPr>
          <w:i/>
          <w:iCs/>
        </w:rPr>
        <w:t>Agricultural soils</w:t>
      </w:r>
      <w:r w:rsidRPr="0028033B">
        <w:t xml:space="preserve"> category take into account the use of urease inhibitors, a greenhouse gas mitigation technology. Urea is the main type of synthetic nitrogen </w:t>
      </w:r>
      <w:r w:rsidRPr="0028033B">
        <w:rPr>
          <w:spacing w:val="-2"/>
        </w:rPr>
        <w:t>fertiliser applied to pastures. Urease inhibitors restrict the action of the urease</w:t>
      </w:r>
      <w:r w:rsidRPr="0028033B">
        <w:t xml:space="preserve"> </w:t>
      </w:r>
      <w:r w:rsidRPr="0028033B">
        <w:rPr>
          <w:spacing w:val="-2"/>
        </w:rPr>
        <w:t>enzyme. Urease is a catalyst for the volatilisation of the nitrogen contained in urea fertiliser and urine into</w:t>
      </w:r>
      <w:r w:rsidRPr="0028033B">
        <w:t> </w:t>
      </w:r>
      <w:r w:rsidRPr="0028033B">
        <w:rPr>
          <w:spacing w:val="-2"/>
        </w:rPr>
        <w:t>NH</w:t>
      </w:r>
      <w:r w:rsidRPr="0028033B">
        <w:rPr>
          <w:spacing w:val="-2"/>
          <w:vertAlign w:val="subscript"/>
        </w:rPr>
        <w:t>3</w:t>
      </w:r>
      <w:r w:rsidRPr="0028033B">
        <w:rPr>
          <w:spacing w:val="-2"/>
        </w:rPr>
        <w:t xml:space="preserve"> gas. </w:t>
      </w:r>
    </w:p>
    <w:p w14:paraId="64FFD24F" w14:textId="77777777" w:rsidR="00E46639" w:rsidRPr="0028033B" w:rsidRDefault="00E46639" w:rsidP="00E46639">
      <w:pPr>
        <w:pStyle w:val="BodyText"/>
      </w:pPr>
      <w:r w:rsidRPr="0028033B">
        <w:t>Urease inhibitor mitigation is included in New Zealand’s Agriculture inventory model by adjusting the value of the existing country-specific N</w:t>
      </w:r>
      <w:r w:rsidRPr="0028033B">
        <w:rPr>
          <w:vertAlign w:val="subscript"/>
        </w:rPr>
        <w:t>2</w:t>
      </w:r>
      <w:r w:rsidRPr="0028033B">
        <w:t>O parameter: Frac</w:t>
      </w:r>
      <w:r w:rsidRPr="0028033B">
        <w:rPr>
          <w:vertAlign w:val="subscript"/>
        </w:rPr>
        <w:t>GASF</w:t>
      </w:r>
      <w:r w:rsidRPr="0028033B">
        <w:t xml:space="preserve">. Saggar et al. (2013) assessed the mitigating effect of the urease inhibitor nBTPT (sold as ‘Agrotain’), the </w:t>
      </w:r>
      <w:r w:rsidRPr="0028033B">
        <w:rPr>
          <w:spacing w:val="-2"/>
        </w:rPr>
        <w:t>most widely used urease inhibitor. Saggar et al. (2013) showed that the presently recommended</w:t>
      </w:r>
      <w:r w:rsidRPr="0028033B">
        <w:t xml:space="preserve"> country-specific value of Frac</w:t>
      </w:r>
      <w:r w:rsidRPr="0028033B">
        <w:rPr>
          <w:vertAlign w:val="subscript"/>
        </w:rPr>
        <w:t>GASF</w:t>
      </w:r>
      <w:r w:rsidRPr="0028033B">
        <w:t xml:space="preserve"> of 0.1 should be reduced to 0.055 for urease-treated urea </w:t>
      </w:r>
      <w:r w:rsidRPr="0028033B">
        <w:rPr>
          <w:spacing w:val="-2"/>
        </w:rPr>
        <w:t xml:space="preserve">fertiliser. This finding was based on field and laboratory studies conducted both in </w:t>
      </w:r>
      <w:r w:rsidRPr="0028033B" w:rsidDel="004238AD">
        <w:rPr>
          <w:spacing w:val="-2"/>
        </w:rPr>
        <w:t>New</w:t>
      </w:r>
      <w:r w:rsidRPr="0028033B">
        <w:rPr>
          <w:spacing w:val="-2"/>
        </w:rPr>
        <w:t> Zealand</w:t>
      </w:r>
      <w:r w:rsidRPr="0028033B">
        <w:t xml:space="preserve"> and worldwide.</w:t>
      </w:r>
    </w:p>
    <w:p w14:paraId="4533FD76" w14:textId="77777777" w:rsidR="00E46639" w:rsidRPr="0028033B" w:rsidRDefault="00E46639" w:rsidP="00E46639">
      <w:pPr>
        <w:pStyle w:val="BodyText"/>
      </w:pPr>
      <w:r w:rsidRPr="0028033B">
        <w:t>Indirect N</w:t>
      </w:r>
      <w:r w:rsidRPr="0028033B">
        <w:rPr>
          <w:vertAlign w:val="subscript"/>
        </w:rPr>
        <w:t>2</w:t>
      </w:r>
      <w:r w:rsidRPr="0028033B">
        <w:t>O emissions from volatilisation from all synthetic nitrogen fertilisers (including urea and other nitrogen fertilisers, with and without urease inhibitors applied to the urea component) are calculated as shown below:</w:t>
      </w:r>
    </w:p>
    <w:bookmarkStart w:id="1285" w:name="_1767787235"/>
    <w:bookmarkStart w:id="1286" w:name="_1767789425"/>
    <w:bookmarkEnd w:id="1285"/>
    <w:bookmarkEnd w:id="1286"/>
    <w:p w14:paraId="768F6CC2" w14:textId="77777777" w:rsidR="00E46639" w:rsidRPr="0028033B" w:rsidRDefault="00000000" w:rsidP="00E46639">
      <w:pPr>
        <w:pStyle w:val="BodyText"/>
        <w:spacing w:before="60" w:after="80"/>
        <w:jc w:val="center"/>
      </w:pPr>
      <m:oMathPara>
        <m:oMath>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ATD-FSN</m:t>
              </m:r>
            </m:sub>
          </m:sSub>
          <m:r>
            <w:rPr>
              <w:rFonts w:ascii="Cambria Math" w:hAnsi="Cambria Math"/>
              <w:sz w:val="24"/>
            </w:rPr>
            <m:t xml:space="preserve"> emissions=</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ATD-FSN</m:t>
                  </m:r>
                </m:sub>
              </m:sSub>
              <m:r>
                <w:rPr>
                  <w:rFonts w:ascii="Cambria Math" w:hAnsi="Cambria Math"/>
                  <w:sz w:val="24"/>
                </w:rPr>
                <m:t>-N</m:t>
              </m:r>
            </m:e>
          </m:d>
          <m:r>
            <w:rPr>
              <w:rFonts w:ascii="Cambria Math" w:hAnsi="Cambria Math"/>
              <w:sz w:val="24"/>
            </w:rPr>
            <m:t>=</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nary>
            <m:naryPr>
              <m:chr m:val="∑"/>
              <m:limLoc m:val="undOvr"/>
              <m:supHide m:val="1"/>
              <m:ctrlPr>
                <w:rPr>
                  <w:rFonts w:ascii="Cambria Math" w:hAnsi="Cambria Math"/>
                  <w:i/>
                  <w:sz w:val="24"/>
                </w:rPr>
              </m:ctrlPr>
            </m:naryPr>
            <m:sub>
              <m:r>
                <w:rPr>
                  <w:rFonts w:ascii="Cambria Math" w:hAnsi="Cambria Math"/>
                  <w:sz w:val="24"/>
                </w:rPr>
                <m:t>S</m:t>
              </m:r>
            </m:sub>
            <m:sup/>
            <m:e>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F</m:t>
                      </m:r>
                    </m:e>
                    <m:sub>
                      <m:r>
                        <w:rPr>
                          <w:rFonts w:ascii="Cambria Math" w:hAnsi="Cambria Math"/>
                          <w:sz w:val="24"/>
                        </w:rPr>
                        <m:t>SN</m:t>
                      </m:r>
                    </m:sub>
                  </m:sSub>
                  <m:r>
                    <w:rPr>
                      <w:rFonts w:ascii="Cambria Math" w:hAnsi="Cambria Math"/>
                      <w:sz w:val="24"/>
                    </w:rPr>
                    <m:t>∙</m:t>
                  </m:r>
                  <m:sSub>
                    <m:sSubPr>
                      <m:ctrlPr>
                        <w:rPr>
                          <w:rFonts w:ascii="Cambria Math" w:hAnsi="Cambria Math"/>
                          <w:i/>
                          <w:sz w:val="24"/>
                        </w:rPr>
                      </m:ctrlPr>
                    </m:sSubPr>
                    <m:e>
                      <m:r>
                        <w:rPr>
                          <w:rFonts w:ascii="Cambria Math" w:hAnsi="Cambria Math"/>
                          <w:sz w:val="24"/>
                        </w:rPr>
                        <m:t>Frac</m:t>
                      </m:r>
                    </m:e>
                    <m:sub>
                      <m:r>
                        <w:rPr>
                          <w:rFonts w:ascii="Cambria Math" w:hAnsi="Cambria Math"/>
                          <w:sz w:val="24"/>
                        </w:rPr>
                        <m:t>GASF</m:t>
                      </m:r>
                    </m:sub>
                  </m:sSub>
                </m:e>
              </m:d>
            </m:e>
          </m:nary>
          <m:r>
            <w:rPr>
              <w:rFonts w:ascii="Cambria Math" w:hAnsi="Cambria Math"/>
              <w:sz w:val="24"/>
            </w:rPr>
            <m:t>∙</m:t>
          </m:r>
          <m:sSub>
            <m:sSubPr>
              <m:ctrlPr>
                <w:rPr>
                  <w:rFonts w:ascii="Cambria Math" w:hAnsi="Cambria Math"/>
                  <w:i/>
                  <w:sz w:val="24"/>
                </w:rPr>
              </m:ctrlPr>
            </m:sSubPr>
            <m:e>
              <m:r>
                <w:rPr>
                  <w:rFonts w:ascii="Cambria Math" w:hAnsi="Cambria Math"/>
                  <w:sz w:val="24"/>
                </w:rPr>
                <m:t>EF</m:t>
              </m:r>
            </m:e>
            <m:sub>
              <m:r>
                <w:rPr>
                  <w:rFonts w:ascii="Cambria Math" w:hAnsi="Cambria Math"/>
                  <w:sz w:val="24"/>
                </w:rPr>
                <m:t>4</m:t>
              </m:r>
            </m:sub>
          </m:sSub>
        </m:oMath>
      </m:oMathPara>
    </w:p>
    <w:p w14:paraId="774C46F5" w14:textId="77777777" w:rsidR="00E46639" w:rsidRPr="0028033B" w:rsidRDefault="00E46639" w:rsidP="00E46639">
      <w:pPr>
        <w:pStyle w:val="BodyText"/>
        <w:spacing w:after="40"/>
        <w:ind w:left="964" w:hanging="964"/>
      </w:pPr>
      <w:r w:rsidRPr="0028033B">
        <w:t>Where:</w:t>
      </w:r>
      <w:r w:rsidRPr="0028033B">
        <w:tab/>
        <w:t>N</w:t>
      </w:r>
      <w:r w:rsidRPr="0028033B">
        <w:rPr>
          <w:vertAlign w:val="subscript"/>
        </w:rPr>
        <w:t>2</w:t>
      </w:r>
      <w:r w:rsidRPr="0028033B">
        <w:t>O</w:t>
      </w:r>
      <w:r w:rsidRPr="0028033B">
        <w:rPr>
          <w:vertAlign w:val="subscript"/>
        </w:rPr>
        <w:t>ATD-FSN</w:t>
      </w:r>
      <w:r w:rsidRPr="0028033B">
        <w:t xml:space="preserve"> is the annual amount of N</w:t>
      </w:r>
      <w:r w:rsidRPr="0028033B">
        <w:rPr>
          <w:vertAlign w:val="subscript"/>
        </w:rPr>
        <w:t>2</w:t>
      </w:r>
      <w:r w:rsidRPr="0028033B">
        <w:t>O-N produced by atmospheric deposition of volatilised nitrogen from all synthetic nitrogen fertiliser applied to agricultural soils (kg N</w:t>
      </w:r>
      <w:r w:rsidRPr="0028033B">
        <w:rPr>
          <w:vertAlign w:val="subscript"/>
        </w:rPr>
        <w:t>2</w:t>
      </w:r>
      <w:r w:rsidRPr="0028033B">
        <w:t>O-N/year)</w:t>
      </w:r>
    </w:p>
    <w:p w14:paraId="444B2834" w14:textId="77777777" w:rsidR="00E46639" w:rsidRPr="0028033B" w:rsidRDefault="00E46639" w:rsidP="00E46639">
      <w:pPr>
        <w:pStyle w:val="BodyText"/>
        <w:spacing w:before="40" w:after="40"/>
        <w:ind w:left="964"/>
      </w:pPr>
      <w:r w:rsidRPr="0028033B">
        <w:t xml:space="preserve">S is urea fertiliser (untreated), urea fertiliser (treated) or non-urea nitrogen fertiliser </w:t>
      </w:r>
    </w:p>
    <w:p w14:paraId="12522ED5" w14:textId="77777777" w:rsidR="00E46639" w:rsidRPr="0028033B" w:rsidRDefault="00E46639" w:rsidP="00E46639">
      <w:pPr>
        <w:pStyle w:val="BodyText"/>
        <w:spacing w:before="40" w:after="40"/>
        <w:ind w:left="964"/>
      </w:pPr>
      <w:r w:rsidRPr="0028033B">
        <w:t>F</w:t>
      </w:r>
      <w:r w:rsidRPr="0028033B">
        <w:rPr>
          <w:vertAlign w:val="subscript"/>
        </w:rPr>
        <w:t>SN</w:t>
      </w:r>
      <w:r w:rsidRPr="0028033B">
        <w:t xml:space="preserve"> is the total annual amount of synthetic nitrogen fertiliser applied (kg N/year) per fertiliser type, S</w:t>
      </w:r>
    </w:p>
    <w:p w14:paraId="75DB4FFB" w14:textId="77777777" w:rsidR="00E46639" w:rsidRPr="0028033B" w:rsidRDefault="00E46639" w:rsidP="00E46639">
      <w:pPr>
        <w:pStyle w:val="BodyText"/>
        <w:spacing w:before="40" w:after="40"/>
        <w:ind w:left="964"/>
      </w:pPr>
      <w:r w:rsidRPr="0028033B">
        <w:t>Frac</w:t>
      </w:r>
      <w:r w:rsidRPr="0028033B">
        <w:rPr>
          <w:vertAlign w:val="subscript"/>
        </w:rPr>
        <w:t>GASF</w:t>
      </w:r>
      <w:r w:rsidRPr="0028033B">
        <w:t xml:space="preserve"> is the fraction of nitrogen from synthetic nitrogen fertiliser that volatilises as NH</w:t>
      </w:r>
      <w:r w:rsidRPr="0028033B">
        <w:rPr>
          <w:vertAlign w:val="subscript"/>
        </w:rPr>
        <w:t>3</w:t>
      </w:r>
      <w:r w:rsidRPr="0028033B">
        <w:t xml:space="preserve"> and NO</w:t>
      </w:r>
      <w:r w:rsidRPr="0028033B">
        <w:rPr>
          <w:vertAlign w:val="subscript"/>
        </w:rPr>
        <w:t>x</w:t>
      </w:r>
      <w:r w:rsidRPr="0028033B">
        <w:t>; 0.055 for treated urea fertiliser and 0.1 for untreated urea and other nitrogen fertiliser, and</w:t>
      </w:r>
    </w:p>
    <w:p w14:paraId="79984FA2" w14:textId="77777777" w:rsidR="00E46639" w:rsidRPr="0028033B" w:rsidRDefault="00E46639" w:rsidP="00E46639">
      <w:pPr>
        <w:pStyle w:val="BodyText"/>
        <w:spacing w:before="40"/>
        <w:ind w:left="964"/>
      </w:pPr>
      <w:r w:rsidRPr="0028033B">
        <w:t>EF</w:t>
      </w:r>
      <w:r w:rsidRPr="0028033B">
        <w:rPr>
          <w:vertAlign w:val="subscript"/>
        </w:rPr>
        <w:t>4</w:t>
      </w:r>
      <w:r w:rsidRPr="0028033B">
        <w:t xml:space="preserve"> is the emission factor for N</w:t>
      </w:r>
      <w:r w:rsidRPr="0028033B">
        <w:rPr>
          <w:vertAlign w:val="subscript"/>
        </w:rPr>
        <w:t>2</w:t>
      </w:r>
      <w:r w:rsidRPr="0028033B">
        <w:t>O emissions from atmospheric deposition of nitrogen on soils and water; 0.01 [kg N–N</w:t>
      </w:r>
      <w:r w:rsidRPr="0028033B">
        <w:rPr>
          <w:vertAlign w:val="subscript"/>
        </w:rPr>
        <w:t>2</w:t>
      </w:r>
      <w:r w:rsidRPr="0028033B">
        <w:t>O (kg NH</w:t>
      </w:r>
      <w:r w:rsidRPr="0028033B">
        <w:rPr>
          <w:vertAlign w:val="subscript"/>
        </w:rPr>
        <w:t>3</w:t>
      </w:r>
      <w:r w:rsidRPr="0028033B">
        <w:t>–N + NO</w:t>
      </w:r>
      <w:r w:rsidRPr="0028033B">
        <w:rPr>
          <w:vertAlign w:val="subscript"/>
        </w:rPr>
        <w:t>x</w:t>
      </w:r>
      <w:r w:rsidRPr="0028033B">
        <w:t>–N volatilised)</w:t>
      </w:r>
      <w:r w:rsidRPr="0028033B">
        <w:rPr>
          <w:vertAlign w:val="superscript"/>
        </w:rPr>
        <w:t>-1</w:t>
      </w:r>
      <w:r w:rsidRPr="0028033B">
        <w:t xml:space="preserve">]. </w:t>
      </w:r>
    </w:p>
    <w:p w14:paraId="6333F901" w14:textId="77777777" w:rsidR="00E46639" w:rsidRPr="0028033B" w:rsidRDefault="00E46639" w:rsidP="00E46639">
      <w:pPr>
        <w:pStyle w:val="BodyText"/>
      </w:pPr>
      <w:r w:rsidRPr="0028033B">
        <w:t xml:space="preserve">All other emission factors and parameters relating to animal excreta and synthetic nitrogen </w:t>
      </w:r>
      <w:r w:rsidRPr="0028033B">
        <w:rPr>
          <w:spacing w:val="-2"/>
        </w:rPr>
        <w:t>fertiliser use (Frac</w:t>
      </w:r>
      <w:r w:rsidRPr="0028033B">
        <w:rPr>
          <w:spacing w:val="-2"/>
          <w:vertAlign w:val="subscript"/>
        </w:rPr>
        <w:t>GASM</w:t>
      </w:r>
      <w:r w:rsidRPr="0028033B">
        <w:rPr>
          <w:spacing w:val="-2"/>
        </w:rPr>
        <w:t>, Frac</w:t>
      </w:r>
      <w:r w:rsidRPr="0028033B">
        <w:rPr>
          <w:spacing w:val="-2"/>
          <w:vertAlign w:val="subscript"/>
        </w:rPr>
        <w:t>LEACH</w:t>
      </w:r>
      <w:r w:rsidRPr="0028033B">
        <w:rPr>
          <w:spacing w:val="-2"/>
        </w:rPr>
        <w:t xml:space="preserve"> and EF</w:t>
      </w:r>
      <w:r w:rsidRPr="0028033B">
        <w:rPr>
          <w:spacing w:val="-2"/>
          <w:vertAlign w:val="subscript"/>
        </w:rPr>
        <w:t>1</w:t>
      </w:r>
      <w:r w:rsidRPr="0028033B">
        <w:rPr>
          <w:spacing w:val="-2"/>
        </w:rPr>
        <w:t>) do not change as a result of including urease inhibitors</w:t>
      </w:r>
      <w:r w:rsidRPr="0028033B">
        <w:t xml:space="preserve"> in the calculations. An adjustment for Frac</w:t>
      </w:r>
      <w:r w:rsidRPr="0028033B">
        <w:rPr>
          <w:vertAlign w:val="subscript"/>
        </w:rPr>
        <w:t>GASM</w:t>
      </w:r>
      <w:r w:rsidRPr="0028033B">
        <w:t xml:space="preserve"> was not recommended because the effect of urease inhibitors on reducing NH</w:t>
      </w:r>
      <w:r w:rsidRPr="0028033B">
        <w:rPr>
          <w:vertAlign w:val="subscript"/>
        </w:rPr>
        <w:t>3</w:t>
      </w:r>
      <w:r w:rsidRPr="0028033B">
        <w:t xml:space="preserve"> volatilisation from animal excreta could not be accurately assessed (Saggar et al., 2013).</w:t>
      </w:r>
    </w:p>
    <w:p w14:paraId="5BE47EA4" w14:textId="77777777" w:rsidR="00E46639" w:rsidRPr="0028033B" w:rsidRDefault="00E46639" w:rsidP="00E46639">
      <w:pPr>
        <w:pStyle w:val="BodyText"/>
      </w:pPr>
      <w:r w:rsidRPr="0028033B">
        <w:t xml:space="preserve">Urea fertiliser coated with urease inhibitors was first used commercially in </w:t>
      </w:r>
      <w:r w:rsidRPr="0028033B" w:rsidDel="00881DC3">
        <w:t xml:space="preserve">New </w:t>
      </w:r>
      <w:r w:rsidRPr="0028033B">
        <w:t>Zealand in 2001. Activity data on urease inhibitor usage are provided by the Fertiliser Association of New Zealand from sales records.</w:t>
      </w:r>
      <w:r w:rsidRPr="0028033B">
        <w:rPr>
          <w:rStyle w:val="FootnoteReference"/>
          <w:rFonts w:cs="Calibri"/>
        </w:rPr>
        <w:footnoteReference w:id="47"/>
      </w:r>
      <w:r w:rsidRPr="0028033B">
        <w:t xml:space="preserve"> These activity data record the total amount of nitrogen in urea fertiliser that has been treated with a urease inhibitor. Some urea fertiliser coated with urease inhibitors is also blended into other non-nitrogen fertiliser products. No data are available on the amount used in this manner.</w:t>
      </w:r>
    </w:p>
    <w:p w14:paraId="67DB4D44" w14:textId="77777777" w:rsidR="00E46639" w:rsidRPr="0028033B" w:rsidRDefault="00E46639" w:rsidP="00E46639">
      <w:pPr>
        <w:pStyle w:val="BodyText"/>
      </w:pPr>
      <w:r w:rsidRPr="0028033B">
        <w:t>Estimates of the mitigation impact of urease inhibitors on N</w:t>
      </w:r>
      <w:r w:rsidRPr="0028033B">
        <w:rPr>
          <w:vertAlign w:val="subscript"/>
        </w:rPr>
        <w:t>2</w:t>
      </w:r>
      <w:r w:rsidRPr="0028033B">
        <w:t>O emissions from volatilisation for the calendar years 2001 to 2024 are shown in table 5.5.9. The use of urease inhibitors was low between 2001 and 2013, averaging 6.1 percent, with only a slight upwards drift. In 2014, this jumped significantly to 20.2 percent, marking the beginning of a strong upwards trend. The percentage of urea fertiliser applied with urease inhibitor passed 50 percent in 2023 and dropped to 47.7 percent in 2024.</w:t>
      </w:r>
    </w:p>
    <w:p w14:paraId="633014EC" w14:textId="77777777" w:rsidR="00E46639" w:rsidRPr="0028033B" w:rsidRDefault="00E46639" w:rsidP="00E46639">
      <w:pPr>
        <w:pStyle w:val="Table"/>
        <w:rPr>
          <w:rFonts w:cs="Calibri"/>
        </w:rPr>
      </w:pPr>
      <w:bookmarkStart w:id="1287" w:name="_Toc441830884"/>
      <w:bookmarkStart w:id="1288" w:name="_Toc451176098"/>
      <w:bookmarkStart w:id="1289" w:name="_Toc481751526"/>
      <w:bookmarkStart w:id="1290" w:name="_Toc507158614"/>
      <w:bookmarkStart w:id="1291" w:name="_Toc511116748"/>
      <w:bookmarkStart w:id="1292" w:name="_Toc5269490"/>
      <w:bookmarkStart w:id="1293" w:name="_Toc32570935"/>
      <w:bookmarkStart w:id="1294" w:name="_Toc36224570"/>
      <w:bookmarkStart w:id="1295" w:name="_Toc68786455"/>
      <w:bookmarkStart w:id="1296" w:name="_Toc95574088"/>
      <w:bookmarkStart w:id="1297" w:name="_Toc127458275"/>
      <w:bookmarkStart w:id="1298" w:name="_Toc131591371"/>
      <w:bookmarkStart w:id="1299" w:name="_Toc160114465"/>
      <w:bookmarkStart w:id="1300" w:name="_Toc164153861"/>
      <w:bookmarkStart w:id="1301" w:name="_Toc222407654"/>
      <w:bookmarkStart w:id="1302" w:name="_Toc226669029"/>
      <w:r w:rsidRPr="0028033B">
        <w:rPr>
          <w:rFonts w:cs="Calibri"/>
        </w:rPr>
        <w:t>Table 5.5.9</w:t>
      </w:r>
      <w:r w:rsidRPr="0028033B">
        <w:rPr>
          <w:rFonts w:cs="Calibri"/>
        </w:rPr>
        <w:tab/>
        <w:t>Mitigation impact of urease inhibitors on nitrous oxide emissions from volatilisation,</w:t>
      </w:r>
      <w:r w:rsidRPr="0028033B">
        <w:rPr>
          <w:rFonts w:cs="Calibri"/>
        </w:rPr>
        <w:br/>
        <w:t xml:space="preserve">from 2001 to </w:t>
      </w:r>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r w:rsidRPr="0028033B">
        <w:rPr>
          <w:rFonts w:cs="Calibri"/>
        </w:rPr>
        <w:t>2024</w:t>
      </w:r>
      <w:bookmarkEnd w:id="1301"/>
      <w:bookmarkEnd w:id="1302"/>
      <w:r w:rsidRPr="0028033B">
        <w:rPr>
          <w:rFonts w:cs="Calibri"/>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1086"/>
        <w:gridCol w:w="3619"/>
        <w:gridCol w:w="3800"/>
      </w:tblGrid>
      <w:tr w:rsidR="00E46639" w:rsidRPr="0028033B" w14:paraId="2C974DC9" w14:textId="77777777" w:rsidTr="00F16E23">
        <w:trPr>
          <w:tblHeader/>
        </w:trPr>
        <w:tc>
          <w:tcPr>
            <w:tcW w:w="851" w:type="dxa"/>
            <w:shd w:val="clear" w:color="auto" w:fill="1B556B"/>
            <w:vAlign w:val="bottom"/>
          </w:tcPr>
          <w:p w14:paraId="469F9F2A" w14:textId="77777777" w:rsidR="00E46639" w:rsidRPr="0028033B" w:rsidRDefault="00E46639" w:rsidP="00F16E23">
            <w:pPr>
              <w:pStyle w:val="TableTextBold"/>
              <w:spacing w:before="40" w:after="30"/>
              <w:rPr>
                <w:rFonts w:cs="Calibri"/>
                <w:noProof w:val="0"/>
                <w:color w:val="FFFFFF" w:themeColor="background1"/>
                <w:szCs w:val="16"/>
              </w:rPr>
            </w:pPr>
            <w:r w:rsidRPr="0028033B">
              <w:rPr>
                <w:rFonts w:cs="Calibri"/>
                <w:noProof w:val="0"/>
                <w:color w:val="FFFFFF" w:themeColor="background1"/>
                <w:szCs w:val="16"/>
              </w:rPr>
              <w:t>Year</w:t>
            </w:r>
          </w:p>
        </w:tc>
        <w:tc>
          <w:tcPr>
            <w:tcW w:w="2835" w:type="dxa"/>
            <w:shd w:val="clear" w:color="auto" w:fill="1B556B"/>
          </w:tcPr>
          <w:p w14:paraId="74A9EAA4" w14:textId="77777777" w:rsidR="00E46639" w:rsidRPr="0028033B" w:rsidRDefault="00E46639" w:rsidP="00F16E23">
            <w:pPr>
              <w:pStyle w:val="TableTextBold"/>
              <w:spacing w:before="40" w:after="30"/>
              <w:jc w:val="right"/>
              <w:rPr>
                <w:rFonts w:cs="Calibri"/>
                <w:i/>
                <w:iCs/>
                <w:noProof w:val="0"/>
                <w:color w:val="FFFFFF" w:themeColor="background1"/>
                <w:szCs w:val="16"/>
              </w:rPr>
            </w:pPr>
            <w:r w:rsidRPr="0028033B">
              <w:rPr>
                <w:rFonts w:cs="Calibri"/>
                <w:noProof w:val="0"/>
                <w:color w:val="FFFFFF" w:themeColor="background1"/>
                <w:szCs w:val="16"/>
              </w:rPr>
              <w:t>Percentage of urea fertiliser applied that included urease inhibitor (urea treated/total urea)</w:t>
            </w:r>
          </w:p>
        </w:tc>
        <w:tc>
          <w:tcPr>
            <w:tcW w:w="2977" w:type="dxa"/>
            <w:shd w:val="clear" w:color="auto" w:fill="1B556B"/>
          </w:tcPr>
          <w:p w14:paraId="359B945C" w14:textId="77777777" w:rsidR="00E46639" w:rsidRPr="0028033B" w:rsidRDefault="00E46639" w:rsidP="00F16E23">
            <w:pPr>
              <w:pStyle w:val="TableTextBold"/>
              <w:spacing w:before="40" w:after="30"/>
              <w:jc w:val="right"/>
              <w:rPr>
                <w:rFonts w:cs="Calibri"/>
                <w:i/>
                <w:iCs/>
                <w:noProof w:val="0"/>
                <w:color w:val="FFFFFF" w:themeColor="background1"/>
                <w:szCs w:val="16"/>
              </w:rPr>
            </w:pPr>
            <w:r w:rsidRPr="0028033B">
              <w:rPr>
                <w:rFonts w:cs="Calibri"/>
                <w:noProof w:val="0"/>
                <w:color w:val="FFFFFF" w:themeColor="background1"/>
                <w:szCs w:val="16"/>
              </w:rPr>
              <w:t>Estimated greenhouse gas mitigation from using urease inhibitor (kt CO</w:t>
            </w:r>
            <w:r w:rsidRPr="0028033B">
              <w:rPr>
                <w:rFonts w:cs="Calibri"/>
                <w:noProof w:val="0"/>
                <w:color w:val="FFFFFF" w:themeColor="background1"/>
                <w:szCs w:val="16"/>
                <w:vertAlign w:val="subscript"/>
              </w:rPr>
              <w:t>2</w:t>
            </w:r>
            <w:r w:rsidRPr="0028033B">
              <w:rPr>
                <w:rFonts w:cs="Calibri"/>
                <w:noProof w:val="0"/>
                <w:color w:val="FFFFFF" w:themeColor="background1"/>
                <w:szCs w:val="16"/>
              </w:rPr>
              <w:t>e)</w:t>
            </w:r>
          </w:p>
        </w:tc>
      </w:tr>
      <w:tr w:rsidR="00E46639" w:rsidRPr="0028033B" w14:paraId="76BD87EF" w14:textId="77777777" w:rsidTr="00F16E23">
        <w:tc>
          <w:tcPr>
            <w:tcW w:w="851" w:type="dxa"/>
          </w:tcPr>
          <w:p w14:paraId="438FF2FC" w14:textId="77777777" w:rsidR="00E46639" w:rsidRPr="0028033B" w:rsidRDefault="00E46639" w:rsidP="00F16E23">
            <w:pPr>
              <w:pStyle w:val="TableText"/>
              <w:spacing w:before="40" w:after="30"/>
              <w:rPr>
                <w:rFonts w:cs="Calibri"/>
                <w:szCs w:val="16"/>
              </w:rPr>
            </w:pPr>
            <w:r w:rsidRPr="0028033B">
              <w:rPr>
                <w:rFonts w:cs="Calibri"/>
                <w:szCs w:val="16"/>
              </w:rPr>
              <w:t>2001</w:t>
            </w:r>
          </w:p>
        </w:tc>
        <w:tc>
          <w:tcPr>
            <w:tcW w:w="2835" w:type="dxa"/>
          </w:tcPr>
          <w:p w14:paraId="046974A8" w14:textId="77777777" w:rsidR="00E46639" w:rsidRPr="0028033B" w:rsidRDefault="00E46639" w:rsidP="00F16E23">
            <w:pPr>
              <w:pStyle w:val="TableText"/>
              <w:spacing w:before="40" w:after="30"/>
              <w:jc w:val="right"/>
              <w:rPr>
                <w:rFonts w:cs="Calibri"/>
                <w:szCs w:val="16"/>
              </w:rPr>
            </w:pPr>
            <w:r w:rsidRPr="0028033B">
              <w:rPr>
                <w:rFonts w:cs="Calibri"/>
                <w:szCs w:val="16"/>
              </w:rPr>
              <w:t>5.6</w:t>
            </w:r>
          </w:p>
        </w:tc>
        <w:tc>
          <w:tcPr>
            <w:tcW w:w="2977" w:type="dxa"/>
          </w:tcPr>
          <w:p w14:paraId="5CAD12F7" w14:textId="77777777" w:rsidR="00E46639" w:rsidRPr="0028033B" w:rsidRDefault="00E46639" w:rsidP="00F16E23">
            <w:pPr>
              <w:pStyle w:val="TableText"/>
              <w:spacing w:before="40" w:after="30"/>
              <w:jc w:val="right"/>
              <w:rPr>
                <w:rFonts w:cs="Calibri"/>
                <w:szCs w:val="16"/>
              </w:rPr>
            </w:pPr>
            <w:r w:rsidRPr="0028033B">
              <w:rPr>
                <w:rFonts w:cs="Calibri"/>
                <w:szCs w:val="16"/>
              </w:rPr>
              <w:t>2.0</w:t>
            </w:r>
          </w:p>
        </w:tc>
      </w:tr>
      <w:tr w:rsidR="00E46639" w:rsidRPr="0028033B" w14:paraId="3CD9DE15" w14:textId="77777777" w:rsidTr="00F16E23">
        <w:tc>
          <w:tcPr>
            <w:tcW w:w="851" w:type="dxa"/>
          </w:tcPr>
          <w:p w14:paraId="6014E5D7" w14:textId="77777777" w:rsidR="00E46639" w:rsidRPr="0028033B" w:rsidRDefault="00E46639" w:rsidP="00F16E23">
            <w:pPr>
              <w:pStyle w:val="TableText"/>
              <w:spacing w:before="40" w:after="30"/>
              <w:rPr>
                <w:rFonts w:cs="Calibri"/>
                <w:szCs w:val="16"/>
              </w:rPr>
            </w:pPr>
            <w:r w:rsidRPr="0028033B">
              <w:rPr>
                <w:rFonts w:cs="Calibri"/>
                <w:szCs w:val="16"/>
              </w:rPr>
              <w:t>2002</w:t>
            </w:r>
          </w:p>
        </w:tc>
        <w:tc>
          <w:tcPr>
            <w:tcW w:w="2835" w:type="dxa"/>
          </w:tcPr>
          <w:p w14:paraId="1CC2596D" w14:textId="77777777" w:rsidR="00E46639" w:rsidRPr="0028033B" w:rsidRDefault="00E46639" w:rsidP="00F16E23">
            <w:pPr>
              <w:pStyle w:val="TableText"/>
              <w:spacing w:before="40" w:after="30"/>
              <w:jc w:val="right"/>
              <w:rPr>
                <w:rFonts w:cs="Calibri"/>
                <w:szCs w:val="16"/>
              </w:rPr>
            </w:pPr>
            <w:r w:rsidRPr="0028033B">
              <w:rPr>
                <w:rFonts w:cs="Calibri"/>
                <w:szCs w:val="16"/>
              </w:rPr>
              <w:t>3.8</w:t>
            </w:r>
          </w:p>
        </w:tc>
        <w:tc>
          <w:tcPr>
            <w:tcW w:w="2977" w:type="dxa"/>
          </w:tcPr>
          <w:p w14:paraId="66ED68C9" w14:textId="77777777" w:rsidR="00E46639" w:rsidRPr="0028033B" w:rsidRDefault="00E46639" w:rsidP="00F16E23">
            <w:pPr>
              <w:pStyle w:val="TableText"/>
              <w:spacing w:before="40" w:after="30"/>
              <w:jc w:val="right"/>
              <w:rPr>
                <w:rFonts w:cs="Calibri"/>
                <w:szCs w:val="16"/>
              </w:rPr>
            </w:pPr>
            <w:r w:rsidRPr="0028033B">
              <w:rPr>
                <w:rFonts w:cs="Calibri"/>
                <w:szCs w:val="16"/>
              </w:rPr>
              <w:t>1.7</w:t>
            </w:r>
          </w:p>
        </w:tc>
      </w:tr>
      <w:tr w:rsidR="00E46639" w:rsidRPr="0028033B" w14:paraId="2D3B6038" w14:textId="77777777" w:rsidTr="00F16E23">
        <w:tc>
          <w:tcPr>
            <w:tcW w:w="851" w:type="dxa"/>
          </w:tcPr>
          <w:p w14:paraId="0D299729" w14:textId="77777777" w:rsidR="00E46639" w:rsidRPr="0028033B" w:rsidDel="00E408EA" w:rsidRDefault="00E46639" w:rsidP="00F16E23">
            <w:pPr>
              <w:pStyle w:val="TableText"/>
              <w:spacing w:before="40" w:after="30"/>
              <w:rPr>
                <w:rFonts w:cs="Calibri"/>
                <w:szCs w:val="16"/>
              </w:rPr>
            </w:pPr>
            <w:r w:rsidRPr="0028033B">
              <w:rPr>
                <w:rFonts w:cs="Calibri"/>
                <w:szCs w:val="16"/>
              </w:rPr>
              <w:t>2003</w:t>
            </w:r>
          </w:p>
        </w:tc>
        <w:tc>
          <w:tcPr>
            <w:tcW w:w="2835" w:type="dxa"/>
          </w:tcPr>
          <w:p w14:paraId="0F98B6F8" w14:textId="77777777" w:rsidR="00E46639" w:rsidRPr="0028033B" w:rsidRDefault="00E46639" w:rsidP="00F16E23">
            <w:pPr>
              <w:pStyle w:val="TableText"/>
              <w:spacing w:before="40" w:after="30"/>
              <w:jc w:val="right"/>
              <w:rPr>
                <w:rFonts w:cs="Calibri"/>
                <w:szCs w:val="16"/>
              </w:rPr>
            </w:pPr>
            <w:r w:rsidRPr="0028033B">
              <w:rPr>
                <w:rFonts w:cs="Calibri"/>
                <w:szCs w:val="16"/>
              </w:rPr>
              <w:t>4.6</w:t>
            </w:r>
          </w:p>
        </w:tc>
        <w:tc>
          <w:tcPr>
            <w:tcW w:w="2977" w:type="dxa"/>
          </w:tcPr>
          <w:p w14:paraId="70B00EF9" w14:textId="77777777" w:rsidR="00E46639" w:rsidRPr="0028033B" w:rsidRDefault="00E46639" w:rsidP="00F16E23">
            <w:pPr>
              <w:pStyle w:val="TableText"/>
              <w:spacing w:before="40" w:after="30"/>
              <w:jc w:val="right"/>
              <w:rPr>
                <w:rFonts w:cs="Calibri"/>
                <w:szCs w:val="16"/>
              </w:rPr>
            </w:pPr>
            <w:r w:rsidRPr="0028033B">
              <w:rPr>
                <w:rFonts w:cs="Calibri"/>
                <w:szCs w:val="16"/>
              </w:rPr>
              <w:t>2.3</w:t>
            </w:r>
          </w:p>
        </w:tc>
      </w:tr>
      <w:tr w:rsidR="00E46639" w:rsidRPr="0028033B" w14:paraId="3F051424" w14:textId="77777777" w:rsidTr="00F16E23">
        <w:tc>
          <w:tcPr>
            <w:tcW w:w="851" w:type="dxa"/>
          </w:tcPr>
          <w:p w14:paraId="59E6FE43" w14:textId="77777777" w:rsidR="00E46639" w:rsidRPr="0028033B" w:rsidDel="00E408EA" w:rsidRDefault="00E46639" w:rsidP="00F16E23">
            <w:pPr>
              <w:pStyle w:val="TableText"/>
              <w:spacing w:before="40" w:after="30"/>
              <w:rPr>
                <w:rFonts w:cs="Calibri"/>
                <w:szCs w:val="16"/>
              </w:rPr>
            </w:pPr>
            <w:r w:rsidRPr="0028033B">
              <w:rPr>
                <w:rFonts w:cs="Calibri"/>
                <w:szCs w:val="16"/>
              </w:rPr>
              <w:t>2004</w:t>
            </w:r>
          </w:p>
        </w:tc>
        <w:tc>
          <w:tcPr>
            <w:tcW w:w="2835" w:type="dxa"/>
          </w:tcPr>
          <w:p w14:paraId="0DB539D8" w14:textId="77777777" w:rsidR="00E46639" w:rsidRPr="0028033B" w:rsidRDefault="00E46639" w:rsidP="00F16E23">
            <w:pPr>
              <w:pStyle w:val="TableText"/>
              <w:spacing w:before="40" w:after="30"/>
              <w:jc w:val="right"/>
              <w:rPr>
                <w:rFonts w:cs="Calibri"/>
                <w:szCs w:val="16"/>
              </w:rPr>
            </w:pPr>
            <w:r w:rsidRPr="0028033B">
              <w:rPr>
                <w:rFonts w:cs="Calibri"/>
                <w:szCs w:val="16"/>
              </w:rPr>
              <w:t>8.1</w:t>
            </w:r>
          </w:p>
        </w:tc>
        <w:tc>
          <w:tcPr>
            <w:tcW w:w="2977" w:type="dxa"/>
          </w:tcPr>
          <w:p w14:paraId="7C78BD5A" w14:textId="77777777" w:rsidR="00E46639" w:rsidRPr="0028033B" w:rsidRDefault="00E46639" w:rsidP="00F16E23">
            <w:pPr>
              <w:pStyle w:val="TableText"/>
              <w:spacing w:before="40" w:after="30"/>
              <w:jc w:val="right"/>
              <w:rPr>
                <w:rFonts w:cs="Calibri"/>
                <w:szCs w:val="16"/>
              </w:rPr>
            </w:pPr>
            <w:r w:rsidRPr="0028033B">
              <w:rPr>
                <w:rFonts w:cs="Calibri"/>
                <w:szCs w:val="16"/>
              </w:rPr>
              <w:t>4.3</w:t>
            </w:r>
          </w:p>
        </w:tc>
      </w:tr>
      <w:tr w:rsidR="00E46639" w:rsidRPr="0028033B" w14:paraId="4939076D" w14:textId="77777777" w:rsidTr="00F16E23">
        <w:tc>
          <w:tcPr>
            <w:tcW w:w="851" w:type="dxa"/>
          </w:tcPr>
          <w:p w14:paraId="40E27907" w14:textId="77777777" w:rsidR="00E46639" w:rsidRPr="0028033B" w:rsidRDefault="00E46639" w:rsidP="00F16E23">
            <w:pPr>
              <w:pStyle w:val="TableText"/>
              <w:spacing w:before="40" w:after="30"/>
              <w:rPr>
                <w:rFonts w:cs="Calibri"/>
                <w:szCs w:val="16"/>
              </w:rPr>
            </w:pPr>
            <w:r w:rsidRPr="0028033B">
              <w:rPr>
                <w:rFonts w:cs="Calibri"/>
                <w:szCs w:val="16"/>
              </w:rPr>
              <w:t>2005</w:t>
            </w:r>
          </w:p>
        </w:tc>
        <w:tc>
          <w:tcPr>
            <w:tcW w:w="2835" w:type="dxa"/>
          </w:tcPr>
          <w:p w14:paraId="4B49D41D" w14:textId="77777777" w:rsidR="00E46639" w:rsidRPr="0028033B" w:rsidRDefault="00E46639" w:rsidP="00F16E23">
            <w:pPr>
              <w:pStyle w:val="TableText"/>
              <w:spacing w:before="40" w:after="30"/>
              <w:jc w:val="right"/>
              <w:rPr>
                <w:rFonts w:cs="Calibri"/>
                <w:szCs w:val="16"/>
              </w:rPr>
            </w:pPr>
            <w:r w:rsidRPr="0028033B">
              <w:rPr>
                <w:rFonts w:cs="Calibri"/>
                <w:szCs w:val="16"/>
              </w:rPr>
              <w:t>1.6</w:t>
            </w:r>
          </w:p>
        </w:tc>
        <w:tc>
          <w:tcPr>
            <w:tcW w:w="2977" w:type="dxa"/>
          </w:tcPr>
          <w:p w14:paraId="6A5B3CD1" w14:textId="77777777" w:rsidR="00E46639" w:rsidRPr="0028033B" w:rsidRDefault="00E46639" w:rsidP="00F16E23">
            <w:pPr>
              <w:pStyle w:val="TableText"/>
              <w:spacing w:before="40" w:after="30"/>
              <w:jc w:val="right"/>
              <w:rPr>
                <w:rFonts w:cs="Calibri"/>
                <w:szCs w:val="16"/>
              </w:rPr>
            </w:pPr>
            <w:r w:rsidRPr="0028033B">
              <w:rPr>
                <w:rFonts w:cs="Calibri"/>
                <w:szCs w:val="16"/>
              </w:rPr>
              <w:t>0.9</w:t>
            </w:r>
          </w:p>
        </w:tc>
      </w:tr>
      <w:tr w:rsidR="00E46639" w:rsidRPr="0028033B" w14:paraId="775645D5" w14:textId="77777777" w:rsidTr="00F16E23">
        <w:tc>
          <w:tcPr>
            <w:tcW w:w="851" w:type="dxa"/>
          </w:tcPr>
          <w:p w14:paraId="2BDEB0D9" w14:textId="77777777" w:rsidR="00E46639" w:rsidRPr="0028033B" w:rsidRDefault="00E46639" w:rsidP="00F16E23">
            <w:pPr>
              <w:pStyle w:val="TableText"/>
              <w:spacing w:before="40" w:after="30"/>
              <w:rPr>
                <w:rFonts w:cs="Calibri"/>
                <w:szCs w:val="16"/>
              </w:rPr>
            </w:pPr>
            <w:r w:rsidRPr="0028033B">
              <w:rPr>
                <w:rFonts w:cs="Calibri"/>
                <w:szCs w:val="16"/>
              </w:rPr>
              <w:t>2006</w:t>
            </w:r>
          </w:p>
        </w:tc>
        <w:tc>
          <w:tcPr>
            <w:tcW w:w="2835" w:type="dxa"/>
          </w:tcPr>
          <w:p w14:paraId="19333CEA" w14:textId="77777777" w:rsidR="00E46639" w:rsidRPr="0028033B" w:rsidRDefault="00E46639" w:rsidP="00F16E23">
            <w:pPr>
              <w:pStyle w:val="TableText"/>
              <w:spacing w:before="40" w:after="30"/>
              <w:jc w:val="right"/>
              <w:rPr>
                <w:rFonts w:cs="Calibri"/>
                <w:szCs w:val="16"/>
              </w:rPr>
            </w:pPr>
            <w:r w:rsidRPr="0028033B">
              <w:rPr>
                <w:rFonts w:cs="Calibri"/>
                <w:szCs w:val="16"/>
              </w:rPr>
              <w:t>8.4</w:t>
            </w:r>
          </w:p>
        </w:tc>
        <w:tc>
          <w:tcPr>
            <w:tcW w:w="2977" w:type="dxa"/>
          </w:tcPr>
          <w:p w14:paraId="5DB4ACCE" w14:textId="77777777" w:rsidR="00E46639" w:rsidRPr="0028033B" w:rsidRDefault="00E46639" w:rsidP="00F16E23">
            <w:pPr>
              <w:pStyle w:val="TableText"/>
              <w:spacing w:before="40" w:after="30"/>
              <w:jc w:val="right"/>
              <w:rPr>
                <w:rFonts w:cs="Calibri"/>
                <w:szCs w:val="16"/>
              </w:rPr>
            </w:pPr>
            <w:r w:rsidRPr="0028033B">
              <w:rPr>
                <w:rFonts w:cs="Calibri"/>
                <w:szCs w:val="16"/>
              </w:rPr>
              <w:t>4.2</w:t>
            </w:r>
          </w:p>
        </w:tc>
      </w:tr>
      <w:tr w:rsidR="00E46639" w:rsidRPr="0028033B" w14:paraId="3D2DFC54" w14:textId="77777777" w:rsidTr="00F16E23">
        <w:tc>
          <w:tcPr>
            <w:tcW w:w="851" w:type="dxa"/>
          </w:tcPr>
          <w:p w14:paraId="43C1E4E7" w14:textId="77777777" w:rsidR="00E46639" w:rsidRPr="0028033B" w:rsidRDefault="00E46639" w:rsidP="00F16E23">
            <w:pPr>
              <w:pStyle w:val="TableText"/>
              <w:spacing w:before="40" w:after="30"/>
              <w:rPr>
                <w:rFonts w:cs="Calibri"/>
                <w:szCs w:val="16"/>
              </w:rPr>
            </w:pPr>
            <w:r w:rsidRPr="0028033B">
              <w:rPr>
                <w:rFonts w:cs="Calibri"/>
                <w:szCs w:val="16"/>
              </w:rPr>
              <w:t>2007</w:t>
            </w:r>
          </w:p>
        </w:tc>
        <w:tc>
          <w:tcPr>
            <w:tcW w:w="2835" w:type="dxa"/>
          </w:tcPr>
          <w:p w14:paraId="00775ABF" w14:textId="77777777" w:rsidR="00E46639" w:rsidRPr="0028033B" w:rsidRDefault="00E46639" w:rsidP="00F16E23">
            <w:pPr>
              <w:pStyle w:val="TableText"/>
              <w:spacing w:before="40" w:after="30"/>
              <w:jc w:val="right"/>
              <w:rPr>
                <w:rFonts w:cs="Calibri"/>
                <w:szCs w:val="16"/>
              </w:rPr>
            </w:pPr>
            <w:r w:rsidRPr="0028033B">
              <w:rPr>
                <w:rFonts w:cs="Calibri"/>
                <w:szCs w:val="16"/>
              </w:rPr>
              <w:t>5.0</w:t>
            </w:r>
          </w:p>
        </w:tc>
        <w:tc>
          <w:tcPr>
            <w:tcW w:w="2977" w:type="dxa"/>
          </w:tcPr>
          <w:p w14:paraId="7DE10948" w14:textId="77777777" w:rsidR="00E46639" w:rsidRPr="0028033B" w:rsidRDefault="00E46639" w:rsidP="00F16E23">
            <w:pPr>
              <w:pStyle w:val="TableText"/>
              <w:spacing w:before="40" w:after="30"/>
              <w:jc w:val="right"/>
              <w:rPr>
                <w:rFonts w:cs="Calibri"/>
                <w:szCs w:val="16"/>
              </w:rPr>
            </w:pPr>
            <w:r w:rsidRPr="0028033B">
              <w:rPr>
                <w:rFonts w:cs="Calibri"/>
                <w:szCs w:val="16"/>
              </w:rPr>
              <w:t>2.7</w:t>
            </w:r>
          </w:p>
        </w:tc>
      </w:tr>
      <w:tr w:rsidR="00E46639" w:rsidRPr="0028033B" w14:paraId="403BBC83" w14:textId="77777777" w:rsidTr="00F16E23">
        <w:tc>
          <w:tcPr>
            <w:tcW w:w="851" w:type="dxa"/>
          </w:tcPr>
          <w:p w14:paraId="2835FA8F" w14:textId="77777777" w:rsidR="00E46639" w:rsidRPr="0028033B" w:rsidRDefault="00E46639" w:rsidP="00F16E23">
            <w:pPr>
              <w:pStyle w:val="TableText"/>
              <w:spacing w:before="40" w:after="30"/>
              <w:rPr>
                <w:rFonts w:cs="Calibri"/>
                <w:szCs w:val="16"/>
              </w:rPr>
            </w:pPr>
            <w:r w:rsidRPr="0028033B">
              <w:rPr>
                <w:rFonts w:cs="Calibri"/>
                <w:szCs w:val="16"/>
              </w:rPr>
              <w:t>2008</w:t>
            </w:r>
          </w:p>
        </w:tc>
        <w:tc>
          <w:tcPr>
            <w:tcW w:w="2835" w:type="dxa"/>
          </w:tcPr>
          <w:p w14:paraId="39DA03D6" w14:textId="77777777" w:rsidR="00E46639" w:rsidRPr="0028033B" w:rsidRDefault="00E46639" w:rsidP="00F16E23">
            <w:pPr>
              <w:pStyle w:val="TableText"/>
              <w:spacing w:before="40" w:after="30"/>
              <w:jc w:val="right"/>
              <w:rPr>
                <w:rFonts w:cs="Calibri"/>
                <w:szCs w:val="16"/>
              </w:rPr>
            </w:pPr>
            <w:r w:rsidRPr="0028033B">
              <w:rPr>
                <w:rFonts w:cs="Calibri"/>
                <w:szCs w:val="16"/>
              </w:rPr>
              <w:t>5.2</w:t>
            </w:r>
          </w:p>
        </w:tc>
        <w:tc>
          <w:tcPr>
            <w:tcW w:w="2977" w:type="dxa"/>
          </w:tcPr>
          <w:p w14:paraId="7BD1F1F2" w14:textId="77777777" w:rsidR="00E46639" w:rsidRPr="0028033B" w:rsidRDefault="00E46639" w:rsidP="00F16E23">
            <w:pPr>
              <w:pStyle w:val="TableText"/>
              <w:spacing w:before="40" w:after="30"/>
              <w:jc w:val="right"/>
              <w:rPr>
                <w:rFonts w:cs="Calibri"/>
                <w:szCs w:val="16"/>
              </w:rPr>
            </w:pPr>
            <w:r w:rsidRPr="0028033B">
              <w:rPr>
                <w:rFonts w:cs="Calibri"/>
                <w:szCs w:val="16"/>
              </w:rPr>
              <w:t>2.7</w:t>
            </w:r>
          </w:p>
        </w:tc>
      </w:tr>
      <w:tr w:rsidR="00E46639" w:rsidRPr="0028033B" w14:paraId="0645BFB8" w14:textId="77777777" w:rsidTr="00F16E23">
        <w:tc>
          <w:tcPr>
            <w:tcW w:w="851" w:type="dxa"/>
          </w:tcPr>
          <w:p w14:paraId="4EBBC122" w14:textId="77777777" w:rsidR="00E46639" w:rsidRPr="0028033B" w:rsidRDefault="00E46639" w:rsidP="00F16E23">
            <w:pPr>
              <w:pStyle w:val="TableText"/>
              <w:spacing w:before="40" w:after="30"/>
              <w:rPr>
                <w:rFonts w:cs="Calibri"/>
                <w:szCs w:val="16"/>
              </w:rPr>
            </w:pPr>
            <w:r w:rsidRPr="0028033B">
              <w:rPr>
                <w:rFonts w:cs="Calibri"/>
                <w:szCs w:val="16"/>
              </w:rPr>
              <w:t>2009</w:t>
            </w:r>
          </w:p>
        </w:tc>
        <w:tc>
          <w:tcPr>
            <w:tcW w:w="2835" w:type="dxa"/>
          </w:tcPr>
          <w:p w14:paraId="13ED2380" w14:textId="77777777" w:rsidR="00E46639" w:rsidRPr="0028033B" w:rsidRDefault="00E46639" w:rsidP="00F16E23">
            <w:pPr>
              <w:pStyle w:val="TableText"/>
              <w:spacing w:before="40" w:after="30"/>
              <w:jc w:val="right"/>
              <w:rPr>
                <w:rFonts w:cs="Calibri"/>
                <w:szCs w:val="16"/>
              </w:rPr>
            </w:pPr>
            <w:r w:rsidRPr="0028033B">
              <w:rPr>
                <w:rFonts w:cs="Calibri"/>
                <w:szCs w:val="16"/>
              </w:rPr>
              <w:t>9.4</w:t>
            </w:r>
          </w:p>
        </w:tc>
        <w:tc>
          <w:tcPr>
            <w:tcW w:w="2977" w:type="dxa"/>
          </w:tcPr>
          <w:p w14:paraId="0B77996E" w14:textId="77777777" w:rsidR="00E46639" w:rsidRPr="0028033B" w:rsidRDefault="00E46639" w:rsidP="00F16E23">
            <w:pPr>
              <w:pStyle w:val="TableText"/>
              <w:spacing w:before="40" w:after="30"/>
              <w:jc w:val="right"/>
              <w:rPr>
                <w:rFonts w:cs="Calibri"/>
                <w:szCs w:val="16"/>
              </w:rPr>
            </w:pPr>
            <w:r w:rsidRPr="0028033B">
              <w:rPr>
                <w:rFonts w:cs="Calibri"/>
                <w:szCs w:val="16"/>
              </w:rPr>
              <w:t>4.2</w:t>
            </w:r>
          </w:p>
        </w:tc>
      </w:tr>
      <w:tr w:rsidR="00E46639" w:rsidRPr="0028033B" w14:paraId="75BDBDE3" w14:textId="77777777" w:rsidTr="00F16E23">
        <w:tc>
          <w:tcPr>
            <w:tcW w:w="851" w:type="dxa"/>
          </w:tcPr>
          <w:p w14:paraId="3CD8B682" w14:textId="77777777" w:rsidR="00E46639" w:rsidRPr="0028033B" w:rsidRDefault="00E46639" w:rsidP="00F16E23">
            <w:pPr>
              <w:pStyle w:val="TableText"/>
              <w:spacing w:before="40" w:after="30"/>
              <w:rPr>
                <w:rFonts w:cs="Calibri"/>
                <w:szCs w:val="16"/>
              </w:rPr>
            </w:pPr>
            <w:r w:rsidRPr="0028033B">
              <w:rPr>
                <w:rFonts w:cs="Calibri"/>
                <w:szCs w:val="16"/>
              </w:rPr>
              <w:t>2010</w:t>
            </w:r>
          </w:p>
        </w:tc>
        <w:tc>
          <w:tcPr>
            <w:tcW w:w="2835" w:type="dxa"/>
          </w:tcPr>
          <w:p w14:paraId="60DE69B3" w14:textId="77777777" w:rsidR="00E46639" w:rsidRPr="0028033B" w:rsidRDefault="00E46639" w:rsidP="00F16E23">
            <w:pPr>
              <w:pStyle w:val="TableText"/>
              <w:spacing w:before="40" w:after="30"/>
              <w:jc w:val="right"/>
              <w:rPr>
                <w:rFonts w:cs="Calibri"/>
                <w:szCs w:val="16"/>
              </w:rPr>
            </w:pPr>
            <w:r w:rsidRPr="0028033B">
              <w:rPr>
                <w:rFonts w:cs="Calibri"/>
                <w:szCs w:val="16"/>
              </w:rPr>
              <w:t>6.9</w:t>
            </w:r>
          </w:p>
        </w:tc>
        <w:tc>
          <w:tcPr>
            <w:tcW w:w="2977" w:type="dxa"/>
          </w:tcPr>
          <w:p w14:paraId="4F89D503" w14:textId="77777777" w:rsidR="00E46639" w:rsidRPr="0028033B" w:rsidRDefault="00E46639" w:rsidP="00F16E23">
            <w:pPr>
              <w:pStyle w:val="TableText"/>
              <w:spacing w:before="40" w:after="30"/>
              <w:jc w:val="right"/>
              <w:rPr>
                <w:rFonts w:cs="Calibri"/>
                <w:szCs w:val="16"/>
              </w:rPr>
            </w:pPr>
            <w:r w:rsidRPr="0028033B">
              <w:rPr>
                <w:rFonts w:cs="Calibri"/>
                <w:szCs w:val="16"/>
              </w:rPr>
              <w:t>3.6</w:t>
            </w:r>
          </w:p>
        </w:tc>
      </w:tr>
      <w:tr w:rsidR="00E46639" w:rsidRPr="0028033B" w14:paraId="0803ABA5" w14:textId="77777777" w:rsidTr="00F16E23">
        <w:tc>
          <w:tcPr>
            <w:tcW w:w="851" w:type="dxa"/>
          </w:tcPr>
          <w:p w14:paraId="0B2A9997" w14:textId="77777777" w:rsidR="00E46639" w:rsidRPr="0028033B" w:rsidRDefault="00E46639" w:rsidP="00F16E23">
            <w:pPr>
              <w:pStyle w:val="TableText"/>
              <w:spacing w:before="40" w:after="30"/>
              <w:rPr>
                <w:rFonts w:cs="Calibri"/>
                <w:szCs w:val="16"/>
              </w:rPr>
            </w:pPr>
            <w:r w:rsidRPr="0028033B">
              <w:rPr>
                <w:rFonts w:cs="Calibri"/>
                <w:szCs w:val="16"/>
              </w:rPr>
              <w:t>2011</w:t>
            </w:r>
          </w:p>
        </w:tc>
        <w:tc>
          <w:tcPr>
            <w:tcW w:w="2835" w:type="dxa"/>
          </w:tcPr>
          <w:p w14:paraId="7C52ED86" w14:textId="77777777" w:rsidR="00E46639" w:rsidRPr="0028033B" w:rsidRDefault="00E46639" w:rsidP="00F16E23">
            <w:pPr>
              <w:pStyle w:val="TableText"/>
              <w:spacing w:before="40" w:after="30"/>
              <w:jc w:val="right"/>
              <w:rPr>
                <w:rFonts w:cs="Calibri"/>
                <w:szCs w:val="16"/>
              </w:rPr>
            </w:pPr>
            <w:r w:rsidRPr="0028033B">
              <w:rPr>
                <w:rFonts w:cs="Calibri"/>
                <w:szCs w:val="16"/>
              </w:rPr>
              <w:t>5.3</w:t>
            </w:r>
          </w:p>
        </w:tc>
        <w:tc>
          <w:tcPr>
            <w:tcW w:w="2977" w:type="dxa"/>
          </w:tcPr>
          <w:p w14:paraId="146F2C50" w14:textId="77777777" w:rsidR="00E46639" w:rsidRPr="0028033B" w:rsidRDefault="00E46639" w:rsidP="00F16E23">
            <w:pPr>
              <w:pStyle w:val="TableText"/>
              <w:spacing w:before="40" w:after="30"/>
              <w:jc w:val="right"/>
              <w:rPr>
                <w:rFonts w:cs="Calibri"/>
                <w:szCs w:val="16"/>
              </w:rPr>
            </w:pPr>
            <w:r w:rsidRPr="0028033B">
              <w:rPr>
                <w:rFonts w:cs="Calibri"/>
                <w:szCs w:val="16"/>
              </w:rPr>
              <w:t>3.1</w:t>
            </w:r>
          </w:p>
        </w:tc>
      </w:tr>
      <w:tr w:rsidR="00E46639" w:rsidRPr="0028033B" w14:paraId="1C7598F0" w14:textId="77777777" w:rsidTr="00F16E23">
        <w:tc>
          <w:tcPr>
            <w:tcW w:w="851" w:type="dxa"/>
          </w:tcPr>
          <w:p w14:paraId="0FDC7D5C" w14:textId="77777777" w:rsidR="00E46639" w:rsidRPr="0028033B" w:rsidRDefault="00E46639" w:rsidP="00F16E23">
            <w:pPr>
              <w:pStyle w:val="TableText"/>
              <w:spacing w:before="40" w:after="30"/>
              <w:rPr>
                <w:rFonts w:cs="Calibri"/>
                <w:szCs w:val="16"/>
              </w:rPr>
            </w:pPr>
            <w:r w:rsidRPr="0028033B">
              <w:rPr>
                <w:rFonts w:cs="Calibri"/>
                <w:szCs w:val="16"/>
              </w:rPr>
              <w:t>2012</w:t>
            </w:r>
          </w:p>
        </w:tc>
        <w:tc>
          <w:tcPr>
            <w:tcW w:w="2835" w:type="dxa"/>
          </w:tcPr>
          <w:p w14:paraId="18C1F08A" w14:textId="77777777" w:rsidR="00E46639" w:rsidRPr="0028033B" w:rsidRDefault="00E46639" w:rsidP="00F16E23">
            <w:pPr>
              <w:pStyle w:val="TableText"/>
              <w:spacing w:before="40" w:after="30"/>
              <w:jc w:val="right"/>
              <w:rPr>
                <w:rFonts w:cs="Calibri"/>
                <w:szCs w:val="16"/>
              </w:rPr>
            </w:pPr>
            <w:r w:rsidRPr="0028033B">
              <w:rPr>
                <w:rFonts w:cs="Calibri"/>
                <w:szCs w:val="16"/>
              </w:rPr>
              <w:t>7.0</w:t>
            </w:r>
          </w:p>
        </w:tc>
        <w:tc>
          <w:tcPr>
            <w:tcW w:w="2977" w:type="dxa"/>
          </w:tcPr>
          <w:p w14:paraId="6335A7DC" w14:textId="77777777" w:rsidR="00E46639" w:rsidRPr="0028033B" w:rsidRDefault="00E46639" w:rsidP="00F16E23">
            <w:pPr>
              <w:pStyle w:val="TableText"/>
              <w:spacing w:before="40" w:after="30"/>
              <w:jc w:val="right"/>
              <w:rPr>
                <w:rFonts w:cs="Calibri"/>
                <w:szCs w:val="16"/>
              </w:rPr>
            </w:pPr>
            <w:r w:rsidRPr="0028033B">
              <w:rPr>
                <w:rFonts w:cs="Calibri"/>
                <w:szCs w:val="16"/>
              </w:rPr>
              <w:t>4.0</w:t>
            </w:r>
          </w:p>
        </w:tc>
      </w:tr>
      <w:tr w:rsidR="00E46639" w:rsidRPr="0028033B" w14:paraId="1F8DF1A4" w14:textId="77777777" w:rsidTr="00F16E23">
        <w:tc>
          <w:tcPr>
            <w:tcW w:w="851" w:type="dxa"/>
          </w:tcPr>
          <w:p w14:paraId="6678E5E2" w14:textId="77777777" w:rsidR="00E46639" w:rsidRPr="0028033B" w:rsidRDefault="00E46639" w:rsidP="00F16E23">
            <w:pPr>
              <w:pStyle w:val="TableText"/>
              <w:spacing w:before="40" w:after="30"/>
              <w:rPr>
                <w:rFonts w:cs="Calibri"/>
                <w:szCs w:val="16"/>
              </w:rPr>
            </w:pPr>
            <w:r w:rsidRPr="0028033B">
              <w:rPr>
                <w:rFonts w:cs="Calibri"/>
                <w:szCs w:val="16"/>
              </w:rPr>
              <w:t>2013</w:t>
            </w:r>
          </w:p>
        </w:tc>
        <w:tc>
          <w:tcPr>
            <w:tcW w:w="2835" w:type="dxa"/>
          </w:tcPr>
          <w:p w14:paraId="4717FFDE" w14:textId="77777777" w:rsidR="00E46639" w:rsidRPr="0028033B" w:rsidRDefault="00E46639" w:rsidP="00F16E23">
            <w:pPr>
              <w:pStyle w:val="TableText"/>
              <w:spacing w:before="40" w:after="30"/>
              <w:jc w:val="right"/>
              <w:rPr>
                <w:rFonts w:cs="Calibri"/>
                <w:szCs w:val="16"/>
              </w:rPr>
            </w:pPr>
            <w:r w:rsidRPr="0028033B">
              <w:rPr>
                <w:rFonts w:cs="Calibri"/>
                <w:szCs w:val="16"/>
              </w:rPr>
              <w:t>8.6</w:t>
            </w:r>
          </w:p>
        </w:tc>
        <w:tc>
          <w:tcPr>
            <w:tcW w:w="2977" w:type="dxa"/>
          </w:tcPr>
          <w:p w14:paraId="7EBFCFA5" w14:textId="77777777" w:rsidR="00E46639" w:rsidRPr="0028033B" w:rsidRDefault="00E46639" w:rsidP="00F16E23">
            <w:pPr>
              <w:pStyle w:val="TableText"/>
              <w:spacing w:before="40" w:after="30"/>
              <w:jc w:val="right"/>
              <w:rPr>
                <w:rFonts w:cs="Calibri"/>
                <w:szCs w:val="16"/>
              </w:rPr>
            </w:pPr>
            <w:r w:rsidRPr="0028033B">
              <w:rPr>
                <w:rFonts w:cs="Calibri"/>
                <w:szCs w:val="16"/>
              </w:rPr>
              <w:t>5.3</w:t>
            </w:r>
          </w:p>
        </w:tc>
      </w:tr>
      <w:tr w:rsidR="00E46639" w:rsidRPr="0028033B" w14:paraId="3DBB973F" w14:textId="77777777" w:rsidTr="00F16E23">
        <w:tc>
          <w:tcPr>
            <w:tcW w:w="851" w:type="dxa"/>
          </w:tcPr>
          <w:p w14:paraId="237BEE6E" w14:textId="77777777" w:rsidR="00E46639" w:rsidRPr="0028033B" w:rsidRDefault="00E46639" w:rsidP="00F16E23">
            <w:pPr>
              <w:pStyle w:val="TableText"/>
              <w:spacing w:before="40" w:after="30"/>
              <w:rPr>
                <w:rFonts w:cs="Calibri"/>
                <w:szCs w:val="16"/>
              </w:rPr>
            </w:pPr>
            <w:r w:rsidRPr="0028033B">
              <w:rPr>
                <w:rFonts w:cs="Calibri"/>
                <w:szCs w:val="16"/>
              </w:rPr>
              <w:t>2014</w:t>
            </w:r>
          </w:p>
        </w:tc>
        <w:tc>
          <w:tcPr>
            <w:tcW w:w="2835" w:type="dxa"/>
          </w:tcPr>
          <w:p w14:paraId="6476C13C" w14:textId="77777777" w:rsidR="00E46639" w:rsidRPr="0028033B" w:rsidRDefault="00E46639" w:rsidP="00F16E23">
            <w:pPr>
              <w:pStyle w:val="TableText"/>
              <w:spacing w:before="40" w:after="30"/>
              <w:jc w:val="right"/>
              <w:rPr>
                <w:rFonts w:cs="Calibri"/>
                <w:szCs w:val="16"/>
              </w:rPr>
            </w:pPr>
            <w:r w:rsidRPr="0028033B">
              <w:rPr>
                <w:rFonts w:cs="Calibri"/>
                <w:szCs w:val="16"/>
              </w:rPr>
              <w:t>20.2</w:t>
            </w:r>
          </w:p>
        </w:tc>
        <w:tc>
          <w:tcPr>
            <w:tcW w:w="2977" w:type="dxa"/>
          </w:tcPr>
          <w:p w14:paraId="3ADFFB61" w14:textId="77777777" w:rsidR="00E46639" w:rsidRPr="0028033B" w:rsidRDefault="00E46639" w:rsidP="00F16E23">
            <w:pPr>
              <w:pStyle w:val="TableText"/>
              <w:spacing w:before="40" w:after="30"/>
              <w:jc w:val="right"/>
              <w:rPr>
                <w:rFonts w:cs="Calibri"/>
                <w:szCs w:val="16"/>
              </w:rPr>
            </w:pPr>
            <w:r w:rsidRPr="0028033B">
              <w:rPr>
                <w:rFonts w:cs="Calibri"/>
                <w:szCs w:val="16"/>
              </w:rPr>
              <w:t>12.1</w:t>
            </w:r>
          </w:p>
        </w:tc>
      </w:tr>
      <w:tr w:rsidR="00E46639" w:rsidRPr="0028033B" w14:paraId="7416A97C" w14:textId="77777777" w:rsidTr="00F16E23">
        <w:tc>
          <w:tcPr>
            <w:tcW w:w="851" w:type="dxa"/>
          </w:tcPr>
          <w:p w14:paraId="60A63203" w14:textId="77777777" w:rsidR="00E46639" w:rsidRPr="0028033B" w:rsidRDefault="00E46639" w:rsidP="00F16E23">
            <w:pPr>
              <w:pStyle w:val="TableText"/>
              <w:spacing w:before="40" w:after="30"/>
              <w:rPr>
                <w:rFonts w:cs="Calibri"/>
                <w:szCs w:val="16"/>
              </w:rPr>
            </w:pPr>
            <w:r w:rsidRPr="0028033B">
              <w:rPr>
                <w:rFonts w:cs="Calibri"/>
                <w:szCs w:val="16"/>
              </w:rPr>
              <w:t>2015</w:t>
            </w:r>
          </w:p>
        </w:tc>
        <w:tc>
          <w:tcPr>
            <w:tcW w:w="2835" w:type="dxa"/>
          </w:tcPr>
          <w:p w14:paraId="62D98D08" w14:textId="77777777" w:rsidR="00E46639" w:rsidRPr="0028033B" w:rsidRDefault="00E46639" w:rsidP="00F16E23">
            <w:pPr>
              <w:pStyle w:val="TableText"/>
              <w:spacing w:before="40" w:after="30"/>
              <w:jc w:val="right"/>
              <w:rPr>
                <w:rFonts w:cs="Calibri"/>
                <w:szCs w:val="16"/>
              </w:rPr>
            </w:pPr>
            <w:r w:rsidRPr="0028033B">
              <w:rPr>
                <w:rFonts w:cs="Calibri"/>
                <w:szCs w:val="16"/>
              </w:rPr>
              <w:t>16.2</w:t>
            </w:r>
          </w:p>
        </w:tc>
        <w:tc>
          <w:tcPr>
            <w:tcW w:w="2977" w:type="dxa"/>
          </w:tcPr>
          <w:p w14:paraId="4F0453FB" w14:textId="77777777" w:rsidR="00E46639" w:rsidRPr="0028033B" w:rsidRDefault="00E46639" w:rsidP="00F16E23">
            <w:pPr>
              <w:pStyle w:val="TableText"/>
              <w:spacing w:before="40" w:after="30"/>
              <w:jc w:val="right"/>
              <w:rPr>
                <w:rFonts w:cs="Calibri"/>
                <w:szCs w:val="16"/>
              </w:rPr>
            </w:pPr>
            <w:r w:rsidRPr="0028033B">
              <w:rPr>
                <w:rFonts w:cs="Calibri"/>
                <w:szCs w:val="16"/>
              </w:rPr>
              <w:t>11.6</w:t>
            </w:r>
          </w:p>
        </w:tc>
      </w:tr>
      <w:tr w:rsidR="00E46639" w:rsidRPr="0028033B" w14:paraId="3886DCF2" w14:textId="77777777" w:rsidTr="00F16E23">
        <w:tc>
          <w:tcPr>
            <w:tcW w:w="851" w:type="dxa"/>
          </w:tcPr>
          <w:p w14:paraId="2470EA11" w14:textId="77777777" w:rsidR="00E46639" w:rsidRPr="0028033B" w:rsidRDefault="00E46639" w:rsidP="00F16E23">
            <w:pPr>
              <w:pStyle w:val="TableText"/>
              <w:spacing w:before="40" w:after="30"/>
              <w:rPr>
                <w:rFonts w:cs="Calibri"/>
                <w:szCs w:val="16"/>
              </w:rPr>
            </w:pPr>
            <w:r w:rsidRPr="0028033B">
              <w:rPr>
                <w:rFonts w:cs="Calibri"/>
                <w:szCs w:val="16"/>
              </w:rPr>
              <w:t>2016</w:t>
            </w:r>
          </w:p>
        </w:tc>
        <w:tc>
          <w:tcPr>
            <w:tcW w:w="2835" w:type="dxa"/>
          </w:tcPr>
          <w:p w14:paraId="1AD056EF" w14:textId="77777777" w:rsidR="00E46639" w:rsidRPr="0028033B" w:rsidRDefault="00E46639" w:rsidP="00F16E23">
            <w:pPr>
              <w:pStyle w:val="TableText"/>
              <w:spacing w:before="40" w:after="30"/>
              <w:jc w:val="right"/>
              <w:rPr>
                <w:rFonts w:cs="Calibri"/>
                <w:szCs w:val="16"/>
              </w:rPr>
            </w:pPr>
            <w:r w:rsidRPr="0028033B">
              <w:rPr>
                <w:rFonts w:cs="Calibri"/>
                <w:szCs w:val="16"/>
              </w:rPr>
              <w:t>22.2</w:t>
            </w:r>
          </w:p>
        </w:tc>
        <w:tc>
          <w:tcPr>
            <w:tcW w:w="2977" w:type="dxa"/>
          </w:tcPr>
          <w:p w14:paraId="45A3D09C" w14:textId="77777777" w:rsidR="00E46639" w:rsidRPr="0028033B" w:rsidRDefault="00E46639" w:rsidP="00F16E23">
            <w:pPr>
              <w:pStyle w:val="TableText"/>
              <w:spacing w:before="40" w:after="30"/>
              <w:jc w:val="right"/>
              <w:rPr>
                <w:rFonts w:cs="Calibri"/>
                <w:szCs w:val="16"/>
              </w:rPr>
            </w:pPr>
            <w:r w:rsidRPr="0028033B">
              <w:rPr>
                <w:rFonts w:cs="Calibri"/>
                <w:szCs w:val="16"/>
              </w:rPr>
              <w:t>15.2</w:t>
            </w:r>
          </w:p>
        </w:tc>
      </w:tr>
      <w:tr w:rsidR="00E46639" w:rsidRPr="0028033B" w14:paraId="3A494D6C" w14:textId="77777777" w:rsidTr="00F16E23">
        <w:tc>
          <w:tcPr>
            <w:tcW w:w="851" w:type="dxa"/>
          </w:tcPr>
          <w:p w14:paraId="28D6F573" w14:textId="77777777" w:rsidR="00E46639" w:rsidRPr="0028033B" w:rsidRDefault="00E46639" w:rsidP="00F16E23">
            <w:pPr>
              <w:pStyle w:val="TableText"/>
              <w:spacing w:before="40" w:after="30"/>
              <w:rPr>
                <w:rFonts w:cs="Calibri"/>
                <w:szCs w:val="16"/>
              </w:rPr>
            </w:pPr>
            <w:r w:rsidRPr="0028033B">
              <w:rPr>
                <w:rFonts w:cs="Calibri"/>
                <w:szCs w:val="16"/>
              </w:rPr>
              <w:t>2017</w:t>
            </w:r>
          </w:p>
        </w:tc>
        <w:tc>
          <w:tcPr>
            <w:tcW w:w="2835" w:type="dxa"/>
          </w:tcPr>
          <w:p w14:paraId="599305D5" w14:textId="77777777" w:rsidR="00E46639" w:rsidRPr="0028033B" w:rsidRDefault="00E46639" w:rsidP="00F16E23">
            <w:pPr>
              <w:pStyle w:val="TableText"/>
              <w:spacing w:before="40" w:after="30"/>
              <w:jc w:val="right"/>
              <w:rPr>
                <w:rFonts w:cs="Calibri"/>
                <w:szCs w:val="16"/>
              </w:rPr>
            </w:pPr>
            <w:r w:rsidRPr="0028033B">
              <w:rPr>
                <w:rFonts w:cs="Calibri"/>
                <w:szCs w:val="16"/>
              </w:rPr>
              <w:t>22.4</w:t>
            </w:r>
          </w:p>
        </w:tc>
        <w:tc>
          <w:tcPr>
            <w:tcW w:w="2977" w:type="dxa"/>
          </w:tcPr>
          <w:p w14:paraId="78539A09" w14:textId="77777777" w:rsidR="00E46639" w:rsidRPr="0028033B" w:rsidRDefault="00E46639" w:rsidP="00F16E23">
            <w:pPr>
              <w:pStyle w:val="TableText"/>
              <w:spacing w:before="40" w:after="30"/>
              <w:jc w:val="right"/>
              <w:rPr>
                <w:rFonts w:cs="Calibri"/>
                <w:szCs w:val="16"/>
              </w:rPr>
            </w:pPr>
            <w:r w:rsidRPr="0028033B">
              <w:rPr>
                <w:rFonts w:cs="Calibri"/>
                <w:szCs w:val="16"/>
              </w:rPr>
              <w:t>14.8</w:t>
            </w:r>
          </w:p>
        </w:tc>
      </w:tr>
      <w:tr w:rsidR="00E46639" w:rsidRPr="0028033B" w14:paraId="66CACB47" w14:textId="77777777" w:rsidTr="00F16E23">
        <w:tc>
          <w:tcPr>
            <w:tcW w:w="851" w:type="dxa"/>
          </w:tcPr>
          <w:p w14:paraId="292BEF58" w14:textId="77777777" w:rsidR="00E46639" w:rsidRPr="0028033B" w:rsidRDefault="00E46639" w:rsidP="00F16E23">
            <w:pPr>
              <w:pStyle w:val="TableText"/>
              <w:spacing w:before="40" w:after="30"/>
              <w:rPr>
                <w:rFonts w:cs="Calibri"/>
                <w:szCs w:val="16"/>
              </w:rPr>
            </w:pPr>
            <w:r w:rsidRPr="0028033B">
              <w:rPr>
                <w:rFonts w:cs="Calibri"/>
                <w:szCs w:val="16"/>
              </w:rPr>
              <w:t>2018</w:t>
            </w:r>
          </w:p>
        </w:tc>
        <w:tc>
          <w:tcPr>
            <w:tcW w:w="2835" w:type="dxa"/>
          </w:tcPr>
          <w:p w14:paraId="1589C4E9" w14:textId="77777777" w:rsidR="00E46639" w:rsidRPr="0028033B" w:rsidRDefault="00E46639" w:rsidP="00F16E23">
            <w:pPr>
              <w:pStyle w:val="TableText"/>
              <w:spacing w:before="40" w:after="30"/>
              <w:jc w:val="right"/>
              <w:rPr>
                <w:rFonts w:cs="Calibri"/>
                <w:szCs w:val="16"/>
              </w:rPr>
            </w:pPr>
            <w:r w:rsidRPr="0028033B">
              <w:rPr>
                <w:rFonts w:cs="Calibri"/>
                <w:szCs w:val="16"/>
              </w:rPr>
              <w:t>30.3</w:t>
            </w:r>
          </w:p>
        </w:tc>
        <w:tc>
          <w:tcPr>
            <w:tcW w:w="2977" w:type="dxa"/>
          </w:tcPr>
          <w:p w14:paraId="6153CC20" w14:textId="77777777" w:rsidR="00E46639" w:rsidRPr="0028033B" w:rsidRDefault="00E46639" w:rsidP="00F16E23">
            <w:pPr>
              <w:pStyle w:val="TableText"/>
              <w:spacing w:before="40" w:after="30"/>
              <w:jc w:val="right"/>
              <w:rPr>
                <w:rFonts w:cs="Calibri"/>
                <w:szCs w:val="16"/>
              </w:rPr>
            </w:pPr>
            <w:r w:rsidRPr="0028033B">
              <w:rPr>
                <w:rFonts w:cs="Calibri"/>
                <w:szCs w:val="16"/>
              </w:rPr>
              <w:t>21.4</w:t>
            </w:r>
          </w:p>
        </w:tc>
      </w:tr>
      <w:tr w:rsidR="00E46639" w:rsidRPr="0028033B" w14:paraId="16615731" w14:textId="77777777" w:rsidTr="00F16E23">
        <w:tc>
          <w:tcPr>
            <w:tcW w:w="851" w:type="dxa"/>
          </w:tcPr>
          <w:p w14:paraId="0CE552F7" w14:textId="77777777" w:rsidR="00E46639" w:rsidRPr="0028033B" w:rsidRDefault="00E46639" w:rsidP="00F16E23">
            <w:pPr>
              <w:pStyle w:val="TableText"/>
              <w:spacing w:before="40" w:after="30"/>
              <w:rPr>
                <w:rFonts w:cs="Calibri"/>
                <w:szCs w:val="16"/>
              </w:rPr>
            </w:pPr>
            <w:r w:rsidRPr="0028033B">
              <w:rPr>
                <w:rFonts w:cs="Calibri"/>
                <w:szCs w:val="16"/>
              </w:rPr>
              <w:t>2019</w:t>
            </w:r>
          </w:p>
        </w:tc>
        <w:tc>
          <w:tcPr>
            <w:tcW w:w="2835" w:type="dxa"/>
          </w:tcPr>
          <w:p w14:paraId="54AC7DFC" w14:textId="77777777" w:rsidR="00E46639" w:rsidRPr="0028033B" w:rsidRDefault="00E46639" w:rsidP="00F16E23">
            <w:pPr>
              <w:pStyle w:val="TableText"/>
              <w:spacing w:before="40" w:after="30"/>
              <w:jc w:val="right"/>
              <w:rPr>
                <w:rFonts w:cs="Calibri"/>
                <w:szCs w:val="16"/>
              </w:rPr>
            </w:pPr>
            <w:r w:rsidRPr="0028033B">
              <w:rPr>
                <w:rFonts w:cs="Calibri"/>
                <w:szCs w:val="16"/>
              </w:rPr>
              <w:t>29.2</w:t>
            </w:r>
          </w:p>
        </w:tc>
        <w:tc>
          <w:tcPr>
            <w:tcW w:w="2977" w:type="dxa"/>
          </w:tcPr>
          <w:p w14:paraId="786A057C" w14:textId="77777777" w:rsidR="00E46639" w:rsidRPr="0028033B" w:rsidRDefault="00E46639" w:rsidP="00F16E23">
            <w:pPr>
              <w:pStyle w:val="TableText"/>
              <w:spacing w:before="40" w:after="30"/>
              <w:jc w:val="right"/>
              <w:rPr>
                <w:rFonts w:cs="Calibri"/>
                <w:szCs w:val="16"/>
              </w:rPr>
            </w:pPr>
            <w:r w:rsidRPr="0028033B">
              <w:rPr>
                <w:rFonts w:cs="Calibri"/>
                <w:szCs w:val="16"/>
              </w:rPr>
              <w:t>17.2</w:t>
            </w:r>
          </w:p>
        </w:tc>
      </w:tr>
      <w:tr w:rsidR="00E46639" w:rsidRPr="0028033B" w14:paraId="504C102F" w14:textId="77777777" w:rsidTr="00F16E23">
        <w:tc>
          <w:tcPr>
            <w:tcW w:w="851" w:type="dxa"/>
          </w:tcPr>
          <w:p w14:paraId="2F5AB111" w14:textId="77777777" w:rsidR="00E46639" w:rsidRPr="0028033B" w:rsidRDefault="00E46639" w:rsidP="00F16E23">
            <w:pPr>
              <w:pStyle w:val="TableText"/>
              <w:spacing w:before="40" w:after="30"/>
              <w:rPr>
                <w:rFonts w:cs="Calibri"/>
                <w:szCs w:val="16"/>
              </w:rPr>
            </w:pPr>
            <w:r w:rsidRPr="0028033B">
              <w:rPr>
                <w:rFonts w:cs="Calibri"/>
                <w:szCs w:val="16"/>
              </w:rPr>
              <w:t>2020</w:t>
            </w:r>
          </w:p>
        </w:tc>
        <w:tc>
          <w:tcPr>
            <w:tcW w:w="2835" w:type="dxa"/>
          </w:tcPr>
          <w:p w14:paraId="4547B0D8" w14:textId="77777777" w:rsidR="00E46639" w:rsidRPr="0028033B" w:rsidRDefault="00E46639" w:rsidP="00F16E23">
            <w:pPr>
              <w:pStyle w:val="TableText"/>
              <w:spacing w:before="40" w:after="30"/>
              <w:jc w:val="right"/>
              <w:rPr>
                <w:rFonts w:cs="Calibri"/>
                <w:szCs w:val="16"/>
              </w:rPr>
            </w:pPr>
            <w:r w:rsidRPr="0028033B">
              <w:rPr>
                <w:rFonts w:cs="Calibri"/>
                <w:szCs w:val="16"/>
              </w:rPr>
              <w:t>40.9</w:t>
            </w:r>
          </w:p>
        </w:tc>
        <w:tc>
          <w:tcPr>
            <w:tcW w:w="2977" w:type="dxa"/>
          </w:tcPr>
          <w:p w14:paraId="6A5815E0" w14:textId="77777777" w:rsidR="00E46639" w:rsidRPr="0028033B" w:rsidRDefault="00E46639" w:rsidP="00F16E23">
            <w:pPr>
              <w:pStyle w:val="TableText"/>
              <w:spacing w:before="40" w:after="30"/>
              <w:jc w:val="right"/>
              <w:rPr>
                <w:rFonts w:cs="Calibri"/>
                <w:szCs w:val="16"/>
              </w:rPr>
            </w:pPr>
            <w:r w:rsidRPr="0028033B">
              <w:rPr>
                <w:rFonts w:cs="Calibri"/>
                <w:szCs w:val="16"/>
              </w:rPr>
              <w:t>26.0</w:t>
            </w:r>
          </w:p>
        </w:tc>
      </w:tr>
      <w:tr w:rsidR="00E46639" w:rsidRPr="0028033B" w14:paraId="7100FF27" w14:textId="77777777" w:rsidTr="00F16E23">
        <w:tc>
          <w:tcPr>
            <w:tcW w:w="851" w:type="dxa"/>
          </w:tcPr>
          <w:p w14:paraId="1115C4CD" w14:textId="77777777" w:rsidR="00E46639" w:rsidRPr="0028033B" w:rsidRDefault="00E46639" w:rsidP="00F16E23">
            <w:pPr>
              <w:pStyle w:val="TableText"/>
              <w:spacing w:before="40" w:after="30"/>
              <w:rPr>
                <w:rFonts w:cs="Calibri"/>
                <w:szCs w:val="16"/>
              </w:rPr>
            </w:pPr>
            <w:r w:rsidRPr="0028033B">
              <w:rPr>
                <w:rFonts w:cs="Calibri"/>
                <w:szCs w:val="16"/>
              </w:rPr>
              <w:t>2021</w:t>
            </w:r>
          </w:p>
        </w:tc>
        <w:tc>
          <w:tcPr>
            <w:tcW w:w="2835" w:type="dxa"/>
          </w:tcPr>
          <w:p w14:paraId="0B2BAB44" w14:textId="77777777" w:rsidR="00E46639" w:rsidRPr="0028033B" w:rsidRDefault="00E46639" w:rsidP="00F16E23">
            <w:pPr>
              <w:pStyle w:val="TableText"/>
              <w:spacing w:before="40" w:after="30"/>
              <w:jc w:val="right"/>
              <w:rPr>
                <w:rFonts w:cs="Calibri"/>
                <w:szCs w:val="16"/>
              </w:rPr>
            </w:pPr>
            <w:r w:rsidRPr="0028033B">
              <w:rPr>
                <w:rFonts w:cs="Calibri"/>
                <w:szCs w:val="16"/>
              </w:rPr>
              <w:t>45.7</w:t>
            </w:r>
          </w:p>
        </w:tc>
        <w:tc>
          <w:tcPr>
            <w:tcW w:w="2977" w:type="dxa"/>
          </w:tcPr>
          <w:p w14:paraId="25560B6C" w14:textId="77777777" w:rsidR="00E46639" w:rsidRPr="0028033B" w:rsidRDefault="00E46639" w:rsidP="00F16E23">
            <w:pPr>
              <w:pStyle w:val="TableText"/>
              <w:spacing w:before="40" w:after="30"/>
              <w:jc w:val="right"/>
              <w:rPr>
                <w:rFonts w:cs="Calibri"/>
                <w:szCs w:val="16"/>
              </w:rPr>
            </w:pPr>
            <w:r w:rsidRPr="0028033B">
              <w:rPr>
                <w:rFonts w:cs="Calibri"/>
                <w:szCs w:val="16"/>
              </w:rPr>
              <w:t>26.6</w:t>
            </w:r>
          </w:p>
        </w:tc>
      </w:tr>
      <w:tr w:rsidR="00E46639" w:rsidRPr="0028033B" w14:paraId="79CDD856" w14:textId="77777777" w:rsidTr="00AD46CB">
        <w:tc>
          <w:tcPr>
            <w:tcW w:w="851" w:type="dxa"/>
            <w:tcBorders>
              <w:bottom w:val="single" w:sz="4" w:space="0" w:color="1B556B" w:themeColor="text2"/>
            </w:tcBorders>
          </w:tcPr>
          <w:p w14:paraId="4E4981F7" w14:textId="77777777" w:rsidR="00E46639" w:rsidRPr="0028033B" w:rsidRDefault="00E46639" w:rsidP="00F16E23">
            <w:pPr>
              <w:pStyle w:val="TableText"/>
              <w:spacing w:before="40" w:after="30"/>
              <w:rPr>
                <w:rFonts w:cs="Calibri"/>
                <w:szCs w:val="16"/>
              </w:rPr>
            </w:pPr>
            <w:r w:rsidRPr="0028033B">
              <w:rPr>
                <w:rFonts w:cs="Calibri"/>
                <w:szCs w:val="16"/>
              </w:rPr>
              <w:t>2022</w:t>
            </w:r>
          </w:p>
        </w:tc>
        <w:tc>
          <w:tcPr>
            <w:tcW w:w="2835" w:type="dxa"/>
            <w:tcBorders>
              <w:bottom w:val="single" w:sz="4" w:space="0" w:color="1B556B" w:themeColor="text2"/>
            </w:tcBorders>
          </w:tcPr>
          <w:p w14:paraId="750BB1E0" w14:textId="77777777" w:rsidR="00E46639" w:rsidRPr="0028033B" w:rsidRDefault="00E46639" w:rsidP="00F16E23">
            <w:pPr>
              <w:pStyle w:val="TableText"/>
              <w:spacing w:before="40" w:after="30"/>
              <w:jc w:val="right"/>
              <w:rPr>
                <w:rFonts w:cs="Calibri"/>
                <w:szCs w:val="16"/>
              </w:rPr>
            </w:pPr>
            <w:r w:rsidRPr="0028033B">
              <w:rPr>
                <w:rFonts w:cs="Calibri"/>
                <w:szCs w:val="16"/>
              </w:rPr>
              <w:t>44.2</w:t>
            </w:r>
          </w:p>
        </w:tc>
        <w:tc>
          <w:tcPr>
            <w:tcW w:w="2977" w:type="dxa"/>
            <w:tcBorders>
              <w:bottom w:val="single" w:sz="4" w:space="0" w:color="1B556B" w:themeColor="text2"/>
            </w:tcBorders>
          </w:tcPr>
          <w:p w14:paraId="5CB3D3B6" w14:textId="77777777" w:rsidR="00E46639" w:rsidRPr="0028033B" w:rsidRDefault="00E46639" w:rsidP="00F16E23">
            <w:pPr>
              <w:pStyle w:val="TableText"/>
              <w:spacing w:before="40" w:after="30"/>
              <w:jc w:val="right"/>
              <w:rPr>
                <w:rFonts w:cs="Calibri"/>
                <w:szCs w:val="16"/>
              </w:rPr>
            </w:pPr>
            <w:r w:rsidRPr="0028033B">
              <w:rPr>
                <w:rFonts w:cs="Calibri"/>
                <w:szCs w:val="16"/>
              </w:rPr>
              <w:t>24.4</w:t>
            </w:r>
          </w:p>
        </w:tc>
      </w:tr>
      <w:tr w:rsidR="00E46639" w:rsidRPr="0028033B" w14:paraId="0BD0511C" w14:textId="77777777" w:rsidTr="00F16E23">
        <w:tc>
          <w:tcPr>
            <w:tcW w:w="851" w:type="dxa"/>
          </w:tcPr>
          <w:p w14:paraId="68F158AC" w14:textId="77777777" w:rsidR="00E46639" w:rsidRPr="0028033B" w:rsidRDefault="00E46639" w:rsidP="00F16E23">
            <w:pPr>
              <w:pStyle w:val="TableText"/>
              <w:spacing w:before="40" w:after="30"/>
              <w:rPr>
                <w:rFonts w:cs="Calibri"/>
                <w:szCs w:val="16"/>
              </w:rPr>
            </w:pPr>
            <w:r w:rsidRPr="0028033B">
              <w:rPr>
                <w:rFonts w:cs="Calibri"/>
                <w:szCs w:val="16"/>
              </w:rPr>
              <w:t>2023</w:t>
            </w:r>
          </w:p>
        </w:tc>
        <w:tc>
          <w:tcPr>
            <w:tcW w:w="2835" w:type="dxa"/>
          </w:tcPr>
          <w:p w14:paraId="0DE39B06" w14:textId="77777777" w:rsidR="00E46639" w:rsidRPr="0028033B" w:rsidRDefault="00E46639" w:rsidP="00F16E23">
            <w:pPr>
              <w:pStyle w:val="TableText"/>
              <w:spacing w:before="40" w:after="30"/>
              <w:jc w:val="right"/>
              <w:rPr>
                <w:rFonts w:cs="Calibri"/>
                <w:szCs w:val="16"/>
              </w:rPr>
            </w:pPr>
            <w:r w:rsidRPr="0028033B">
              <w:rPr>
                <w:rFonts w:cs="Calibri"/>
                <w:szCs w:val="16"/>
              </w:rPr>
              <w:t>58.3</w:t>
            </w:r>
          </w:p>
        </w:tc>
        <w:tc>
          <w:tcPr>
            <w:tcW w:w="2977" w:type="dxa"/>
          </w:tcPr>
          <w:p w14:paraId="6FBEF52A" w14:textId="77777777" w:rsidR="00E46639" w:rsidRPr="0028033B" w:rsidRDefault="00E46639" w:rsidP="00F16E23">
            <w:pPr>
              <w:pStyle w:val="TableText"/>
              <w:spacing w:before="40" w:after="30"/>
              <w:jc w:val="right"/>
              <w:rPr>
                <w:rFonts w:cs="Calibri"/>
                <w:szCs w:val="16"/>
              </w:rPr>
            </w:pPr>
            <w:r w:rsidRPr="0028033B">
              <w:rPr>
                <w:rFonts w:cs="Calibri"/>
                <w:szCs w:val="16"/>
              </w:rPr>
              <w:t>34.3</w:t>
            </w:r>
          </w:p>
        </w:tc>
      </w:tr>
      <w:tr w:rsidR="00E46639" w:rsidRPr="0028033B" w14:paraId="0C26AE31" w14:textId="77777777" w:rsidTr="00F16E23">
        <w:tc>
          <w:tcPr>
            <w:tcW w:w="851" w:type="dxa"/>
          </w:tcPr>
          <w:p w14:paraId="51C45498" w14:textId="77777777" w:rsidR="00E46639" w:rsidRPr="0028033B" w:rsidRDefault="00E46639" w:rsidP="00F16E23">
            <w:pPr>
              <w:pStyle w:val="TableText"/>
              <w:spacing w:before="40" w:after="30"/>
              <w:rPr>
                <w:rFonts w:cs="Calibri"/>
                <w:szCs w:val="16"/>
              </w:rPr>
            </w:pPr>
            <w:r w:rsidRPr="0028033B">
              <w:rPr>
                <w:rFonts w:cs="Calibri"/>
                <w:szCs w:val="16"/>
              </w:rPr>
              <w:t>2024</w:t>
            </w:r>
          </w:p>
        </w:tc>
        <w:tc>
          <w:tcPr>
            <w:tcW w:w="2835" w:type="dxa"/>
          </w:tcPr>
          <w:p w14:paraId="73EE389C" w14:textId="77777777" w:rsidR="00E46639" w:rsidRPr="0028033B" w:rsidRDefault="00E46639" w:rsidP="00F16E23">
            <w:pPr>
              <w:pStyle w:val="TableText"/>
              <w:spacing w:before="40" w:after="30"/>
              <w:jc w:val="right"/>
              <w:rPr>
                <w:rFonts w:cs="Calibri"/>
                <w:szCs w:val="16"/>
              </w:rPr>
            </w:pPr>
            <w:r w:rsidRPr="0028033B">
              <w:rPr>
                <w:rFonts w:cs="Calibri"/>
                <w:szCs w:val="16"/>
              </w:rPr>
              <w:t>47.7</w:t>
            </w:r>
          </w:p>
        </w:tc>
        <w:tc>
          <w:tcPr>
            <w:tcW w:w="2977" w:type="dxa"/>
          </w:tcPr>
          <w:p w14:paraId="14FEC05F" w14:textId="77777777" w:rsidR="00E46639" w:rsidRPr="0028033B" w:rsidRDefault="00E46639" w:rsidP="00F16E23">
            <w:pPr>
              <w:pStyle w:val="TableText"/>
              <w:spacing w:before="40" w:after="30"/>
              <w:jc w:val="right"/>
              <w:rPr>
                <w:rFonts w:cs="Calibri"/>
                <w:szCs w:val="16"/>
              </w:rPr>
            </w:pPr>
            <w:r w:rsidRPr="0028033B">
              <w:rPr>
                <w:rFonts w:cs="Calibri"/>
                <w:szCs w:val="16"/>
              </w:rPr>
              <w:t>25.7</w:t>
            </w:r>
          </w:p>
        </w:tc>
      </w:tr>
    </w:tbl>
    <w:p w14:paraId="42F551B0" w14:textId="77777777" w:rsidR="00E46639" w:rsidRPr="0028033B" w:rsidRDefault="00E46639" w:rsidP="00E46639">
      <w:pPr>
        <w:pStyle w:val="Source"/>
      </w:pPr>
      <w:r w:rsidRPr="0028033B">
        <w:rPr>
          <w:b/>
          <w:bCs/>
        </w:rPr>
        <w:t>Source:</w:t>
      </w:r>
      <w:r w:rsidRPr="0028033B">
        <w:rPr>
          <w:b/>
          <w:bCs/>
        </w:rPr>
        <w:tab/>
      </w:r>
      <w:r w:rsidRPr="0028033B">
        <w:t>Fertiliser Association of New Zealand and Ballance Agri-Nutrients Limited</w:t>
      </w:r>
    </w:p>
    <w:p w14:paraId="584B9624" w14:textId="77777777" w:rsidR="00E46639" w:rsidRPr="0028033B" w:rsidRDefault="00E46639" w:rsidP="00E46639">
      <w:pPr>
        <w:pStyle w:val="Heading5"/>
      </w:pPr>
      <w:r w:rsidRPr="0028033B">
        <w:t xml:space="preserve">Nitrification inhibitor dicyandiamide </w:t>
      </w:r>
    </w:p>
    <w:p w14:paraId="66CBCEAC" w14:textId="77777777" w:rsidR="00E46639" w:rsidRPr="0028033B" w:rsidRDefault="00E46639" w:rsidP="00E46639">
      <w:pPr>
        <w:pStyle w:val="BodyText"/>
      </w:pPr>
      <w:r w:rsidRPr="0028033B">
        <w:t xml:space="preserve">The </w:t>
      </w:r>
      <w:r w:rsidRPr="0028033B">
        <w:rPr>
          <w:spacing w:val="-2"/>
        </w:rPr>
        <w:t>N</w:t>
      </w:r>
      <w:r w:rsidRPr="0028033B">
        <w:rPr>
          <w:spacing w:val="-2"/>
          <w:vertAlign w:val="subscript"/>
        </w:rPr>
        <w:t>2</w:t>
      </w:r>
      <w:r w:rsidRPr="0028033B">
        <w:rPr>
          <w:spacing w:val="-2"/>
        </w:rPr>
        <w:t>O</w:t>
      </w:r>
      <w:r w:rsidRPr="0028033B">
        <w:t xml:space="preserve"> emissions reported in the </w:t>
      </w:r>
      <w:r w:rsidRPr="0028033B">
        <w:rPr>
          <w:i/>
          <w:iCs/>
        </w:rPr>
        <w:t>Agricultural soils</w:t>
      </w:r>
      <w:r w:rsidRPr="0028033B">
        <w:t> category take into account the use of nitrification inhibitors on dairy farms using the methodology described in Clough et al. (2011). Greenhouse gas mitigation estimates from DCD are reported in the Agriculture inventory sector only up until 2012, because sales were suspended that year due to the detection of low levels of DCD residues in milk.</w:t>
      </w:r>
    </w:p>
    <w:p w14:paraId="33C49665" w14:textId="77777777" w:rsidR="00E46639" w:rsidRPr="0028033B" w:rsidRDefault="00E46639" w:rsidP="00E46639">
      <w:pPr>
        <w:pStyle w:val="BodyText"/>
      </w:pPr>
      <w:r w:rsidRPr="0028033B">
        <w:t xml:space="preserve">Research has shown that DCD reduces </w:t>
      </w:r>
      <w:r w:rsidRPr="0028033B">
        <w:rPr>
          <w:spacing w:val="-2"/>
        </w:rPr>
        <w:t>N</w:t>
      </w:r>
      <w:r w:rsidRPr="0028033B">
        <w:rPr>
          <w:spacing w:val="-2"/>
          <w:vertAlign w:val="subscript"/>
        </w:rPr>
        <w:t>2</w:t>
      </w:r>
      <w:r w:rsidRPr="0028033B">
        <w:rPr>
          <w:spacing w:val="-2"/>
        </w:rPr>
        <w:t>O</w:t>
      </w:r>
      <w:r w:rsidRPr="0028033B">
        <w:t xml:space="preserve"> emissions and nitrate (NO</w:t>
      </w:r>
      <w:r w:rsidRPr="0028033B">
        <w:rPr>
          <w:vertAlign w:val="subscript"/>
        </w:rPr>
        <w:t>3</w:t>
      </w:r>
      <w:r w:rsidRPr="0028033B">
        <w:t>–) leaching in pastoral grassland systems grazed by ruminant animals. The Agriculture inventory model methodology incorporates DCD use by modifying the emission factors EF</w:t>
      </w:r>
      <w:r w:rsidRPr="0028033B">
        <w:rPr>
          <w:vertAlign w:val="subscript"/>
        </w:rPr>
        <w:t>3(PRP)</w:t>
      </w:r>
      <w:r w:rsidRPr="0028033B">
        <w:t xml:space="preserve"> and the parameter Frac</w:t>
      </w:r>
      <w:r w:rsidRPr="0028033B">
        <w:rPr>
          <w:vertAlign w:val="subscript"/>
        </w:rPr>
        <w:t>LEACH</w:t>
      </w:r>
      <w:r w:rsidRPr="0028033B">
        <w:t xml:space="preserve"> (see table 5.5.5). These were modified based on comprehensive field-based research that showed significant reductions in direct and indirect </w:t>
      </w:r>
      <w:r w:rsidRPr="0028033B">
        <w:rPr>
          <w:spacing w:val="-2"/>
        </w:rPr>
        <w:t>N</w:t>
      </w:r>
      <w:r w:rsidRPr="0028033B">
        <w:rPr>
          <w:spacing w:val="-2"/>
          <w:vertAlign w:val="subscript"/>
        </w:rPr>
        <w:t>2</w:t>
      </w:r>
      <w:r w:rsidRPr="0028033B">
        <w:rPr>
          <w:spacing w:val="-2"/>
        </w:rPr>
        <w:t>O</w:t>
      </w:r>
      <w:r w:rsidRPr="0028033B">
        <w:t xml:space="preserve"> emissions and NO</w:t>
      </w:r>
      <w:r w:rsidRPr="0028033B">
        <w:rPr>
          <w:vertAlign w:val="subscript"/>
        </w:rPr>
        <w:t>3</w:t>
      </w:r>
      <w:r w:rsidRPr="0028033B">
        <w:t>– leaching where the DCD was applied. It was determined that, on a national basis, reductions in EF</w:t>
      </w:r>
      <w:r w:rsidRPr="0028033B">
        <w:rPr>
          <w:vertAlign w:val="subscript"/>
        </w:rPr>
        <w:t>3(PRP)</w:t>
      </w:r>
      <w:r w:rsidRPr="0028033B">
        <w:t xml:space="preserve"> and Frac</w:t>
      </w:r>
      <w:r w:rsidRPr="0028033B">
        <w:rPr>
          <w:vertAlign w:val="subscript"/>
        </w:rPr>
        <w:t>LEACH</w:t>
      </w:r>
      <w:r w:rsidRPr="0028033B">
        <w:t xml:space="preserve"> of 67 percent and 53 percent respectively could be made (Clough et al., 2011). </w:t>
      </w:r>
    </w:p>
    <w:p w14:paraId="17CA687A" w14:textId="77777777" w:rsidR="00E46639" w:rsidRPr="0028033B" w:rsidRDefault="00E46639" w:rsidP="00E46639">
      <w:pPr>
        <w:pStyle w:val="BodyText"/>
      </w:pPr>
      <w:r w:rsidRPr="0028033B">
        <w:t>Limited research has been conducted</w:t>
      </w:r>
      <w:r w:rsidRPr="0028033B" w:rsidDel="00F66615">
        <w:t xml:space="preserve"> </w:t>
      </w:r>
      <w:r w:rsidRPr="0028033B">
        <w:t>concerning the effect of DCD on dung (EF</w:t>
      </w:r>
      <w:r w:rsidRPr="0028033B">
        <w:rPr>
          <w:vertAlign w:val="subscript"/>
        </w:rPr>
        <w:t>3(PRP-DUNG)</w:t>
      </w:r>
      <w:r w:rsidRPr="0028033B">
        <w:t>); this research was inconclusive, and further work needs to be carried out before incorporating the impact of dung emissions into the Agriculture inventory model. Application of this inhibitor was found to have no effect on NH</w:t>
      </w:r>
      <w:r w:rsidRPr="0028033B">
        <w:rPr>
          <w:vertAlign w:val="subscript"/>
        </w:rPr>
        <w:t>3</w:t>
      </w:r>
      <w:r w:rsidRPr="0028033B">
        <w:t xml:space="preserve"> volatilisation, which is supported by the results of field studies (Clough et al., 2011; Sherlock et al., 2011). Therefore, the parameter for volatilisation remains unchanged.</w:t>
      </w:r>
    </w:p>
    <w:p w14:paraId="4B16C43F" w14:textId="77777777" w:rsidR="00E46639" w:rsidRPr="0028033B" w:rsidRDefault="00E46639" w:rsidP="00E46639">
      <w:pPr>
        <w:pStyle w:val="BodyText"/>
        <w:rPr>
          <w:rFonts w:cs="Calibri"/>
        </w:rPr>
      </w:pPr>
      <w:r w:rsidRPr="0028033B">
        <w:rPr>
          <w:rFonts w:cs="Calibri"/>
        </w:rPr>
        <w:t>The DCD weighting factors are calculated based on reductions in emission factors and parameters, and the fraction of dairy land treated with the inhibitor, as follows:</w:t>
      </w:r>
    </w:p>
    <w:p w14:paraId="43737A01" w14:textId="77777777" w:rsidR="00E46639" w:rsidRPr="0028033B" w:rsidRDefault="00E46639" w:rsidP="00E46639">
      <w:pPr>
        <w:pStyle w:val="BodyText"/>
        <w:ind w:left="284"/>
      </w:pPr>
      <w:bookmarkStart w:id="1303" w:name="_1767787262"/>
      <w:bookmarkEnd w:id="1303"/>
      <w:r w:rsidRPr="0028033B">
        <w:rPr>
          <w:rFonts w:ascii="Cambria Math" w:hAnsi="Cambria Math"/>
          <w:i/>
          <w:sz w:val="24"/>
          <w:szCs w:val="24"/>
        </w:rPr>
        <w:t xml:space="preserve"> </w:t>
      </w:r>
      <m:oMath>
        <m:r>
          <w:rPr>
            <w:rFonts w:ascii="Cambria Math" w:hAnsi="Cambria Math"/>
            <w:sz w:val="24"/>
            <w:szCs w:val="24"/>
          </w:rPr>
          <m:t>DCD weighting factor=</m:t>
        </m:r>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 reduction in E</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num>
              <m:den>
                <m:r>
                  <w:rPr>
                    <w:rFonts w:ascii="Cambria Math" w:hAnsi="Cambria Math"/>
                    <w:sz w:val="24"/>
                    <w:szCs w:val="24"/>
                  </w:rPr>
                  <m:t>100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DCD area treated</m:t>
                </m:r>
              </m:num>
              <m:den>
                <m:r>
                  <w:rPr>
                    <w:rFonts w:ascii="Cambria Math" w:hAnsi="Cambria Math"/>
                    <w:sz w:val="24"/>
                    <w:szCs w:val="24"/>
                  </w:rPr>
                  <m:t>Total area of dairy land</m:t>
                </m:r>
              </m:den>
            </m:f>
          </m:e>
        </m:d>
      </m:oMath>
    </w:p>
    <w:p w14:paraId="401C5F64" w14:textId="77777777" w:rsidR="00E46639" w:rsidRPr="0028033B" w:rsidRDefault="00E46639" w:rsidP="00E46639">
      <w:pPr>
        <w:pStyle w:val="BodyText"/>
      </w:pPr>
      <w:r w:rsidRPr="0028033B">
        <w:t>The appropriate weighting factor is then used as an additional multiplier in the current methodology for calculating indirect and direct emissions of N</w:t>
      </w:r>
      <w:r w:rsidRPr="0028033B">
        <w:rPr>
          <w:vertAlign w:val="subscript"/>
        </w:rPr>
        <w:t>2</w:t>
      </w:r>
      <w:r w:rsidRPr="0028033B">
        <w:t>O from grazed pastures, in effect creating a modified EF</w:t>
      </w:r>
      <w:r w:rsidRPr="0028033B">
        <w:rPr>
          <w:vertAlign w:val="subscript"/>
        </w:rPr>
        <w:t xml:space="preserve">3(PRP) </w:t>
      </w:r>
      <w:r w:rsidRPr="0028033B">
        <w:t>and Frac</w:t>
      </w:r>
      <w:r w:rsidRPr="0028033B">
        <w:rPr>
          <w:vertAlign w:val="subscript"/>
        </w:rPr>
        <w:t>LEACH</w:t>
      </w:r>
      <w:r>
        <w:rPr>
          <w:vertAlign w:val="subscript"/>
        </w:rPr>
        <w:t xml:space="preserve"> </w:t>
      </w:r>
      <w:r w:rsidRPr="0028033B">
        <w:t>for the dairy grazing area in the months that the inhibitor is applied and is effective (May to September). The modified emission factors (see table 5.5.10) are based on information from the Stats NZ Agricultural Production Survey that 2.9 percent of the effective dairy land area in New Zealand received DCD in 2012. The inhibitor was applied to pastures as either a slurry or DCD-coated granule to maximise N</w:t>
      </w:r>
      <w:r w:rsidRPr="0028033B">
        <w:rPr>
          <w:vertAlign w:val="subscript"/>
        </w:rPr>
        <w:t>2</w:t>
      </w:r>
      <w:r w:rsidRPr="0028033B">
        <w:t xml:space="preserve">O emission reductions. Mitigation estimates for the calendar years 2007 to 2012 are shown in table 5.5.10. </w:t>
      </w:r>
    </w:p>
    <w:p w14:paraId="1B844FCE" w14:textId="77777777" w:rsidR="00E46639" w:rsidRPr="0028033B" w:rsidRDefault="00E46639" w:rsidP="00E46639">
      <w:pPr>
        <w:pStyle w:val="Table"/>
        <w:rPr>
          <w:rFonts w:cs="Calibri"/>
        </w:rPr>
      </w:pPr>
      <w:bookmarkStart w:id="1304" w:name="_Toc441830885"/>
      <w:bookmarkStart w:id="1305" w:name="_Toc451176099"/>
      <w:bookmarkStart w:id="1306" w:name="_Toc481751527"/>
      <w:bookmarkStart w:id="1307" w:name="_Toc507158615"/>
      <w:bookmarkStart w:id="1308" w:name="_Toc511116749"/>
      <w:bookmarkStart w:id="1309" w:name="_Toc5269491"/>
      <w:bookmarkStart w:id="1310" w:name="_Toc32570936"/>
      <w:bookmarkStart w:id="1311" w:name="_Toc36224571"/>
      <w:bookmarkStart w:id="1312" w:name="_Toc68786456"/>
      <w:bookmarkStart w:id="1313" w:name="_Toc95574089"/>
      <w:bookmarkStart w:id="1314" w:name="_Toc127458276"/>
      <w:bookmarkStart w:id="1315" w:name="_Toc131591372"/>
      <w:bookmarkStart w:id="1316" w:name="_Toc160114466"/>
      <w:bookmarkStart w:id="1317" w:name="_Toc164153862"/>
      <w:bookmarkStart w:id="1318" w:name="_Toc222407655"/>
      <w:bookmarkStart w:id="1319" w:name="_Toc226669030"/>
      <w:r w:rsidRPr="0028033B">
        <w:rPr>
          <w:rFonts w:cs="Calibri"/>
        </w:rPr>
        <w:t>Table 5.5.10</w:t>
      </w:r>
      <w:r w:rsidRPr="0028033B">
        <w:rPr>
          <w:rFonts w:cs="Calibri"/>
        </w:rPr>
        <w:tab/>
        <w:t xml:space="preserve">Emission factors, parameters and mitigation for </w:t>
      </w:r>
      <w:r w:rsidRPr="0028033B">
        <w:rPr>
          <w:rFonts w:cs="Calibri"/>
          <w:spacing w:val="-2"/>
        </w:rPr>
        <w:t>New Zealand’s</w:t>
      </w:r>
      <w:r w:rsidRPr="0028033B">
        <w:rPr>
          <w:rFonts w:cs="Calibri"/>
        </w:rPr>
        <w:t xml:space="preserve"> dicyandiamide inhibitor calculations</w:t>
      </w:r>
      <w:bookmarkEnd w:id="1304"/>
      <w:r w:rsidRPr="0028033B">
        <w:rPr>
          <w:rFonts w:cs="Calibri"/>
        </w:rPr>
        <w:t>, from 2007 to 2012</w:t>
      </w:r>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3635"/>
        <w:gridCol w:w="728"/>
        <w:gridCol w:w="845"/>
        <w:gridCol w:w="846"/>
        <w:gridCol w:w="845"/>
        <w:gridCol w:w="846"/>
        <w:gridCol w:w="760"/>
      </w:tblGrid>
      <w:tr w:rsidR="00E46639" w:rsidRPr="0028033B" w14:paraId="3719EBBD" w14:textId="77777777" w:rsidTr="00F16E23">
        <w:trPr>
          <w:tblHeader/>
        </w:trPr>
        <w:tc>
          <w:tcPr>
            <w:tcW w:w="3635" w:type="dxa"/>
            <w:shd w:val="clear" w:color="auto" w:fill="1B556B"/>
          </w:tcPr>
          <w:p w14:paraId="3DF64876" w14:textId="77777777" w:rsidR="00E46639" w:rsidRPr="0028033B" w:rsidRDefault="00E46639" w:rsidP="00F16E23">
            <w:pPr>
              <w:pStyle w:val="TableTextBold"/>
              <w:keepNext/>
              <w:spacing w:before="50" w:after="50"/>
              <w:jc w:val="center"/>
              <w:rPr>
                <w:noProof w:val="0"/>
                <w:color w:val="FFFFFF" w:themeColor="background1"/>
              </w:rPr>
            </w:pPr>
          </w:p>
        </w:tc>
        <w:tc>
          <w:tcPr>
            <w:tcW w:w="728" w:type="dxa"/>
            <w:shd w:val="clear" w:color="auto" w:fill="1B556B"/>
          </w:tcPr>
          <w:p w14:paraId="2C469A4E" w14:textId="77777777" w:rsidR="00E46639" w:rsidRPr="0028033B" w:rsidRDefault="00E46639" w:rsidP="00F16E23">
            <w:pPr>
              <w:pStyle w:val="TableTextBold"/>
              <w:spacing w:before="50" w:after="50"/>
              <w:jc w:val="right"/>
              <w:rPr>
                <w:i/>
                <w:noProof w:val="0"/>
                <w:color w:val="FFFFFF" w:themeColor="background1"/>
              </w:rPr>
            </w:pPr>
            <w:r w:rsidRPr="0028033B">
              <w:rPr>
                <w:noProof w:val="0"/>
                <w:color w:val="FFFFFF" w:themeColor="background1"/>
              </w:rPr>
              <w:t>2007</w:t>
            </w:r>
          </w:p>
        </w:tc>
        <w:tc>
          <w:tcPr>
            <w:tcW w:w="845" w:type="dxa"/>
            <w:shd w:val="clear" w:color="auto" w:fill="1B556B"/>
          </w:tcPr>
          <w:p w14:paraId="2B9A6819" w14:textId="77777777" w:rsidR="00E46639" w:rsidRPr="0028033B" w:rsidRDefault="00E46639" w:rsidP="00F16E23">
            <w:pPr>
              <w:pStyle w:val="TableTextBold"/>
              <w:spacing w:before="50" w:after="50"/>
              <w:jc w:val="right"/>
              <w:rPr>
                <w:i/>
                <w:noProof w:val="0"/>
                <w:color w:val="FFFFFF" w:themeColor="background1"/>
              </w:rPr>
            </w:pPr>
            <w:r w:rsidRPr="0028033B">
              <w:rPr>
                <w:noProof w:val="0"/>
                <w:color w:val="FFFFFF" w:themeColor="background1"/>
              </w:rPr>
              <w:t>2008</w:t>
            </w:r>
          </w:p>
        </w:tc>
        <w:tc>
          <w:tcPr>
            <w:tcW w:w="846" w:type="dxa"/>
            <w:shd w:val="clear" w:color="auto" w:fill="1B556B"/>
          </w:tcPr>
          <w:p w14:paraId="5D983EAD" w14:textId="77777777" w:rsidR="00E46639" w:rsidRPr="0028033B" w:rsidRDefault="00E46639" w:rsidP="00F16E23">
            <w:pPr>
              <w:pStyle w:val="TableTextBold"/>
              <w:spacing w:before="50" w:after="50"/>
              <w:jc w:val="right"/>
              <w:rPr>
                <w:i/>
                <w:noProof w:val="0"/>
                <w:color w:val="FFFFFF" w:themeColor="background1"/>
              </w:rPr>
            </w:pPr>
            <w:r w:rsidRPr="0028033B">
              <w:rPr>
                <w:noProof w:val="0"/>
                <w:color w:val="FFFFFF" w:themeColor="background1"/>
              </w:rPr>
              <w:t>2009</w:t>
            </w:r>
          </w:p>
        </w:tc>
        <w:tc>
          <w:tcPr>
            <w:tcW w:w="845" w:type="dxa"/>
            <w:shd w:val="clear" w:color="auto" w:fill="1B556B"/>
          </w:tcPr>
          <w:p w14:paraId="34A96A82" w14:textId="77777777" w:rsidR="00E46639" w:rsidRPr="0028033B" w:rsidRDefault="00E46639" w:rsidP="00F16E23">
            <w:pPr>
              <w:pStyle w:val="TableTextBold"/>
              <w:spacing w:before="50" w:after="50"/>
              <w:jc w:val="right"/>
              <w:rPr>
                <w:i/>
                <w:noProof w:val="0"/>
                <w:color w:val="FFFFFF" w:themeColor="background1"/>
              </w:rPr>
            </w:pPr>
            <w:r w:rsidRPr="0028033B">
              <w:rPr>
                <w:noProof w:val="0"/>
                <w:color w:val="FFFFFF" w:themeColor="background1"/>
              </w:rPr>
              <w:t>2010</w:t>
            </w:r>
          </w:p>
        </w:tc>
        <w:tc>
          <w:tcPr>
            <w:tcW w:w="846" w:type="dxa"/>
            <w:shd w:val="clear" w:color="auto" w:fill="1B556B"/>
          </w:tcPr>
          <w:p w14:paraId="6267DA23" w14:textId="77777777" w:rsidR="00E46639" w:rsidRPr="0028033B" w:rsidRDefault="00E46639" w:rsidP="00F16E23">
            <w:pPr>
              <w:pStyle w:val="TableTextBold"/>
              <w:spacing w:before="50" w:after="50"/>
              <w:jc w:val="right"/>
              <w:rPr>
                <w:i/>
                <w:noProof w:val="0"/>
                <w:color w:val="FFFFFF" w:themeColor="background1"/>
              </w:rPr>
            </w:pPr>
            <w:r w:rsidRPr="0028033B">
              <w:rPr>
                <w:noProof w:val="0"/>
                <w:color w:val="FFFFFF" w:themeColor="background1"/>
              </w:rPr>
              <w:t>2011</w:t>
            </w:r>
          </w:p>
        </w:tc>
        <w:tc>
          <w:tcPr>
            <w:tcW w:w="760" w:type="dxa"/>
            <w:shd w:val="clear" w:color="auto" w:fill="1B556B"/>
          </w:tcPr>
          <w:p w14:paraId="4528538C" w14:textId="77777777" w:rsidR="00E46639" w:rsidRPr="0028033B" w:rsidRDefault="00E46639" w:rsidP="00F16E23">
            <w:pPr>
              <w:pStyle w:val="TableTextBold"/>
              <w:spacing w:before="50" w:after="50"/>
              <w:jc w:val="right"/>
              <w:rPr>
                <w:i/>
                <w:noProof w:val="0"/>
                <w:color w:val="FFFFFF" w:themeColor="background1"/>
              </w:rPr>
            </w:pPr>
            <w:r w:rsidRPr="0028033B">
              <w:rPr>
                <w:noProof w:val="0"/>
                <w:color w:val="FFFFFF" w:themeColor="background1"/>
              </w:rPr>
              <w:t>2012</w:t>
            </w:r>
          </w:p>
        </w:tc>
      </w:tr>
      <w:tr w:rsidR="00E46639" w:rsidRPr="0028033B" w14:paraId="6AB0E50F" w14:textId="77777777" w:rsidTr="00F16E23">
        <w:tc>
          <w:tcPr>
            <w:tcW w:w="3635" w:type="dxa"/>
          </w:tcPr>
          <w:p w14:paraId="78758F3E" w14:textId="77777777" w:rsidR="00E46639" w:rsidRPr="0028033B" w:rsidRDefault="00E46639" w:rsidP="00F16E23">
            <w:pPr>
              <w:pStyle w:val="TableText"/>
              <w:keepNext/>
              <w:spacing w:before="50" w:after="50"/>
              <w:rPr>
                <w:rFonts w:cs="Calibri"/>
                <w:color w:val="0D0D0D" w:themeColor="text1" w:themeTint="F2"/>
              </w:rPr>
            </w:pPr>
            <w:r w:rsidRPr="0028033B">
              <w:rPr>
                <w:rFonts w:cs="Calibri"/>
                <w:color w:val="0D0D0D" w:themeColor="text1" w:themeTint="F2"/>
              </w:rPr>
              <w:t>Percentage of dairy area applied with inhibitor</w:t>
            </w:r>
          </w:p>
        </w:tc>
        <w:tc>
          <w:tcPr>
            <w:tcW w:w="728" w:type="dxa"/>
          </w:tcPr>
          <w:p w14:paraId="510538B4" w14:textId="77777777" w:rsidR="00E46639" w:rsidRPr="0028033B" w:rsidRDefault="00E46639" w:rsidP="00F16E23">
            <w:pPr>
              <w:pStyle w:val="TableText"/>
              <w:spacing w:before="50" w:after="50"/>
              <w:jc w:val="right"/>
              <w:rPr>
                <w:rFonts w:cs="Calibri"/>
              </w:rPr>
            </w:pPr>
            <w:r w:rsidRPr="0028033B">
              <w:rPr>
                <w:rFonts w:cs="Calibri"/>
              </w:rPr>
              <w:t>3.5</w:t>
            </w:r>
          </w:p>
        </w:tc>
        <w:tc>
          <w:tcPr>
            <w:tcW w:w="845" w:type="dxa"/>
          </w:tcPr>
          <w:p w14:paraId="505D42E8" w14:textId="77777777" w:rsidR="00E46639" w:rsidRPr="0028033B" w:rsidRDefault="00E46639" w:rsidP="00F16E23">
            <w:pPr>
              <w:pStyle w:val="TableText"/>
              <w:spacing w:before="50" w:after="50"/>
              <w:jc w:val="right"/>
              <w:rPr>
                <w:rFonts w:cs="Calibri"/>
              </w:rPr>
            </w:pPr>
            <w:r w:rsidRPr="0028033B">
              <w:rPr>
                <w:rFonts w:cs="Calibri"/>
              </w:rPr>
              <w:t>4.5</w:t>
            </w:r>
          </w:p>
        </w:tc>
        <w:tc>
          <w:tcPr>
            <w:tcW w:w="846" w:type="dxa"/>
          </w:tcPr>
          <w:p w14:paraId="24DC9F3E" w14:textId="77777777" w:rsidR="00E46639" w:rsidRPr="0028033B" w:rsidRDefault="00E46639" w:rsidP="00F16E23">
            <w:pPr>
              <w:pStyle w:val="TableText"/>
              <w:spacing w:before="50" w:after="50"/>
              <w:jc w:val="right"/>
              <w:rPr>
                <w:rFonts w:cs="Calibri"/>
              </w:rPr>
            </w:pPr>
            <w:r w:rsidRPr="0028033B">
              <w:rPr>
                <w:rFonts w:cs="Calibri"/>
              </w:rPr>
              <w:t>3.1</w:t>
            </w:r>
          </w:p>
        </w:tc>
        <w:tc>
          <w:tcPr>
            <w:tcW w:w="845" w:type="dxa"/>
          </w:tcPr>
          <w:p w14:paraId="3ED5C2A6" w14:textId="77777777" w:rsidR="00E46639" w:rsidRPr="0028033B" w:rsidRDefault="00E46639" w:rsidP="00F16E23">
            <w:pPr>
              <w:pStyle w:val="TableText"/>
              <w:spacing w:before="50" w:after="50"/>
              <w:jc w:val="right"/>
              <w:rPr>
                <w:rFonts w:cs="Calibri"/>
              </w:rPr>
            </w:pPr>
            <w:r w:rsidRPr="0028033B">
              <w:rPr>
                <w:rFonts w:cs="Calibri"/>
              </w:rPr>
              <w:t>2.2</w:t>
            </w:r>
          </w:p>
        </w:tc>
        <w:tc>
          <w:tcPr>
            <w:tcW w:w="846" w:type="dxa"/>
          </w:tcPr>
          <w:p w14:paraId="29992BD4" w14:textId="77777777" w:rsidR="00E46639" w:rsidRPr="0028033B" w:rsidRDefault="00E46639" w:rsidP="00F16E23">
            <w:pPr>
              <w:pStyle w:val="TableText"/>
              <w:spacing w:before="50" w:after="50"/>
              <w:jc w:val="right"/>
              <w:rPr>
                <w:rFonts w:cs="Calibri"/>
              </w:rPr>
            </w:pPr>
            <w:r w:rsidRPr="0028033B">
              <w:rPr>
                <w:rFonts w:cs="Calibri"/>
              </w:rPr>
              <w:t>3.0</w:t>
            </w:r>
          </w:p>
        </w:tc>
        <w:tc>
          <w:tcPr>
            <w:tcW w:w="760" w:type="dxa"/>
          </w:tcPr>
          <w:p w14:paraId="74332F77" w14:textId="77777777" w:rsidR="00E46639" w:rsidRPr="0028033B" w:rsidRDefault="00E46639" w:rsidP="00F16E23">
            <w:pPr>
              <w:pStyle w:val="TableText"/>
              <w:spacing w:before="50" w:after="50"/>
              <w:jc w:val="right"/>
              <w:rPr>
                <w:rFonts w:cs="Calibri"/>
              </w:rPr>
            </w:pPr>
            <w:r w:rsidRPr="0028033B">
              <w:rPr>
                <w:rFonts w:cs="Calibri"/>
              </w:rPr>
              <w:t>2.9</w:t>
            </w:r>
          </w:p>
        </w:tc>
      </w:tr>
      <w:tr w:rsidR="00E46639" w:rsidRPr="0028033B" w14:paraId="4712F938" w14:textId="77777777" w:rsidTr="00F16E23">
        <w:tc>
          <w:tcPr>
            <w:tcW w:w="3635" w:type="dxa"/>
          </w:tcPr>
          <w:p w14:paraId="1F5061F8" w14:textId="77777777" w:rsidR="00E46639" w:rsidRPr="0028033B" w:rsidRDefault="00E46639" w:rsidP="00F16E23">
            <w:pPr>
              <w:pStyle w:val="TableText"/>
              <w:keepNext/>
              <w:spacing w:before="50" w:after="50"/>
              <w:rPr>
                <w:rFonts w:cs="Calibri"/>
                <w:color w:val="0D0D0D" w:themeColor="text1" w:themeTint="F2"/>
              </w:rPr>
            </w:pPr>
            <w:r w:rsidRPr="0028033B">
              <w:rPr>
                <w:rFonts w:cs="Calibri"/>
                <w:color w:val="0D0D0D" w:themeColor="text1" w:themeTint="F2"/>
              </w:rPr>
              <w:t>Final modified emission factor or parameter for dairy cattle, EF</w:t>
            </w:r>
            <w:r w:rsidRPr="0028033B">
              <w:rPr>
                <w:rFonts w:cs="Calibri"/>
                <w:color w:val="0D0D0D" w:themeColor="text1" w:themeTint="F2"/>
                <w:vertAlign w:val="subscript"/>
              </w:rPr>
              <w:t>3(PRP)</w:t>
            </w:r>
            <w:r w:rsidRPr="0028033B">
              <w:rPr>
                <w:rFonts w:cs="Calibri"/>
                <w:color w:val="0D0D0D" w:themeColor="text1" w:themeTint="F2"/>
              </w:rPr>
              <w:t xml:space="preserve"> (kg N</w:t>
            </w:r>
            <w:r w:rsidRPr="0028033B">
              <w:rPr>
                <w:rFonts w:cs="Calibri"/>
                <w:color w:val="0D0D0D" w:themeColor="text1" w:themeTint="F2"/>
                <w:vertAlign w:val="subscript"/>
              </w:rPr>
              <w:t>2</w:t>
            </w:r>
            <w:r w:rsidRPr="0028033B">
              <w:rPr>
                <w:rFonts w:cs="Calibri"/>
                <w:color w:val="0D0D0D" w:themeColor="text1" w:themeTint="F2"/>
              </w:rPr>
              <w:t>O-N/kg N)</w:t>
            </w:r>
          </w:p>
        </w:tc>
        <w:tc>
          <w:tcPr>
            <w:tcW w:w="728" w:type="dxa"/>
            <w:vAlign w:val="bottom"/>
          </w:tcPr>
          <w:p w14:paraId="69CB21AF"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0.00970</w:t>
            </w:r>
          </w:p>
        </w:tc>
        <w:tc>
          <w:tcPr>
            <w:tcW w:w="845" w:type="dxa"/>
            <w:vAlign w:val="bottom"/>
          </w:tcPr>
          <w:p w14:paraId="30D8386D"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0.00967</w:t>
            </w:r>
          </w:p>
        </w:tc>
        <w:tc>
          <w:tcPr>
            <w:tcW w:w="846" w:type="dxa"/>
            <w:vAlign w:val="bottom"/>
          </w:tcPr>
          <w:p w14:paraId="71F97F1E"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0.00971</w:t>
            </w:r>
          </w:p>
        </w:tc>
        <w:tc>
          <w:tcPr>
            <w:tcW w:w="845" w:type="dxa"/>
            <w:vAlign w:val="bottom"/>
          </w:tcPr>
          <w:p w14:paraId="0B8E93B8"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0.00974</w:t>
            </w:r>
          </w:p>
        </w:tc>
        <w:tc>
          <w:tcPr>
            <w:tcW w:w="846" w:type="dxa"/>
            <w:vAlign w:val="bottom"/>
          </w:tcPr>
          <w:p w14:paraId="77C5AA05"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0.00971</w:t>
            </w:r>
          </w:p>
        </w:tc>
        <w:tc>
          <w:tcPr>
            <w:tcW w:w="760" w:type="dxa"/>
            <w:vAlign w:val="bottom"/>
          </w:tcPr>
          <w:p w14:paraId="75187A26"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0.00972</w:t>
            </w:r>
          </w:p>
        </w:tc>
      </w:tr>
      <w:tr w:rsidR="00E46639" w:rsidRPr="0028033B" w14:paraId="65E263B7" w14:textId="77777777" w:rsidTr="00F16E23">
        <w:tc>
          <w:tcPr>
            <w:tcW w:w="3635" w:type="dxa"/>
          </w:tcPr>
          <w:p w14:paraId="3DEFA519" w14:textId="77777777" w:rsidR="00E46639" w:rsidRPr="0028033B" w:rsidRDefault="00E46639" w:rsidP="00F16E23">
            <w:pPr>
              <w:pStyle w:val="TableText"/>
              <w:keepNext/>
              <w:spacing w:before="50" w:after="50"/>
              <w:rPr>
                <w:rFonts w:cs="Calibri"/>
                <w:color w:val="0D0D0D" w:themeColor="text1" w:themeTint="F2"/>
              </w:rPr>
            </w:pPr>
            <w:r w:rsidRPr="0028033B">
              <w:rPr>
                <w:rFonts w:cs="Calibri"/>
                <w:color w:val="0D0D0D" w:themeColor="text1" w:themeTint="F2"/>
              </w:rPr>
              <w:t>Final modified emission factor or parameter for dairy cattle, Frac</w:t>
            </w:r>
            <w:r w:rsidRPr="0028033B">
              <w:rPr>
                <w:rFonts w:cs="Calibri"/>
                <w:color w:val="0D0D0D" w:themeColor="text1" w:themeTint="F2"/>
                <w:vertAlign w:val="subscript"/>
              </w:rPr>
              <w:t xml:space="preserve">LEACH </w:t>
            </w:r>
            <w:r w:rsidRPr="0028033B">
              <w:rPr>
                <w:rFonts w:cs="Calibri"/>
                <w:color w:val="0D0D0D" w:themeColor="text1" w:themeTint="F2"/>
              </w:rPr>
              <w:t>(kg N</w:t>
            </w:r>
            <w:r w:rsidRPr="0028033B">
              <w:rPr>
                <w:rFonts w:cs="Calibri"/>
                <w:color w:val="0D0D0D" w:themeColor="text1" w:themeTint="F2"/>
                <w:vertAlign w:val="subscript"/>
              </w:rPr>
              <w:t>2</w:t>
            </w:r>
            <w:r w:rsidRPr="0028033B">
              <w:rPr>
                <w:rFonts w:cs="Calibri"/>
                <w:color w:val="0D0D0D" w:themeColor="text1" w:themeTint="F2"/>
              </w:rPr>
              <w:t>O-N/kg N)</w:t>
            </w:r>
          </w:p>
        </w:tc>
        <w:tc>
          <w:tcPr>
            <w:tcW w:w="728" w:type="dxa"/>
            <w:vAlign w:val="bottom"/>
          </w:tcPr>
          <w:p w14:paraId="2D9D7C10"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0.0794</w:t>
            </w:r>
          </w:p>
        </w:tc>
        <w:tc>
          <w:tcPr>
            <w:tcW w:w="845" w:type="dxa"/>
            <w:vAlign w:val="bottom"/>
          </w:tcPr>
          <w:p w14:paraId="0DAD2C56"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0.0792</w:t>
            </w:r>
          </w:p>
        </w:tc>
        <w:tc>
          <w:tcPr>
            <w:tcW w:w="846" w:type="dxa"/>
            <w:vAlign w:val="bottom"/>
          </w:tcPr>
          <w:p w14:paraId="478A8D66"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0.0794</w:t>
            </w:r>
          </w:p>
        </w:tc>
        <w:tc>
          <w:tcPr>
            <w:tcW w:w="845" w:type="dxa"/>
            <w:vAlign w:val="bottom"/>
          </w:tcPr>
          <w:p w14:paraId="295F57B3"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0.0796</w:t>
            </w:r>
          </w:p>
        </w:tc>
        <w:tc>
          <w:tcPr>
            <w:tcW w:w="846" w:type="dxa"/>
            <w:vAlign w:val="bottom"/>
          </w:tcPr>
          <w:p w14:paraId="49B4391B"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0.0795</w:t>
            </w:r>
          </w:p>
        </w:tc>
        <w:tc>
          <w:tcPr>
            <w:tcW w:w="760" w:type="dxa"/>
            <w:vAlign w:val="bottom"/>
          </w:tcPr>
          <w:p w14:paraId="21FF9ACD"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asciiTheme="minorHAnsi" w:hAnsiTheme="minorHAnsi" w:cstheme="minorHAnsi"/>
                <w:szCs w:val="16"/>
              </w:rPr>
              <w:t>0.0795</w:t>
            </w:r>
          </w:p>
        </w:tc>
      </w:tr>
      <w:tr w:rsidR="00E46639" w:rsidRPr="0028033B" w14:paraId="75062853" w14:textId="77777777" w:rsidTr="00F16E23">
        <w:tc>
          <w:tcPr>
            <w:tcW w:w="3635" w:type="dxa"/>
            <w:vAlign w:val="bottom"/>
          </w:tcPr>
          <w:p w14:paraId="39185AFE" w14:textId="77777777" w:rsidR="00E46639" w:rsidRPr="0028033B" w:rsidRDefault="00E46639" w:rsidP="00F16E23">
            <w:pPr>
              <w:pStyle w:val="TableText"/>
              <w:spacing w:before="50" w:after="50"/>
              <w:rPr>
                <w:rFonts w:cs="Calibri"/>
                <w:color w:val="0D0D0D" w:themeColor="text1" w:themeTint="F2"/>
              </w:rPr>
            </w:pPr>
            <w:r w:rsidRPr="0028033B">
              <w:rPr>
                <w:rFonts w:cs="Calibri"/>
                <w:color w:val="0D0D0D" w:themeColor="text1" w:themeTint="F2"/>
              </w:rPr>
              <w:t>Mitigation (kt CO</w:t>
            </w:r>
            <w:r w:rsidRPr="0028033B">
              <w:rPr>
                <w:rFonts w:cs="Calibri"/>
                <w:color w:val="0D0D0D" w:themeColor="text1" w:themeTint="F2"/>
                <w:vertAlign w:val="subscript"/>
              </w:rPr>
              <w:t>2</w:t>
            </w:r>
            <w:r w:rsidRPr="0028033B">
              <w:rPr>
                <w:rFonts w:cs="Calibri"/>
                <w:color w:val="0D0D0D" w:themeColor="text1" w:themeTint="F2"/>
              </w:rPr>
              <w:t>e)</w:t>
            </w:r>
          </w:p>
        </w:tc>
        <w:tc>
          <w:tcPr>
            <w:tcW w:w="728" w:type="dxa"/>
          </w:tcPr>
          <w:p w14:paraId="7667913F"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cs="Calibri"/>
                <w:szCs w:val="16"/>
              </w:rPr>
              <w:t>15.6</w:t>
            </w:r>
          </w:p>
        </w:tc>
        <w:tc>
          <w:tcPr>
            <w:tcW w:w="845" w:type="dxa"/>
          </w:tcPr>
          <w:p w14:paraId="7E3C08F5"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cs="Calibri"/>
                <w:szCs w:val="16"/>
              </w:rPr>
              <w:t>21.4</w:t>
            </w:r>
          </w:p>
        </w:tc>
        <w:tc>
          <w:tcPr>
            <w:tcW w:w="846" w:type="dxa"/>
          </w:tcPr>
          <w:p w14:paraId="60308E92"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cs="Calibri"/>
                <w:szCs w:val="16"/>
              </w:rPr>
              <w:t>15.2</w:t>
            </w:r>
          </w:p>
        </w:tc>
        <w:tc>
          <w:tcPr>
            <w:tcW w:w="845" w:type="dxa"/>
          </w:tcPr>
          <w:p w14:paraId="41DA62B6"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cs="Calibri"/>
                <w:szCs w:val="16"/>
              </w:rPr>
              <w:t>11.6</w:t>
            </w:r>
          </w:p>
        </w:tc>
        <w:tc>
          <w:tcPr>
            <w:tcW w:w="846" w:type="dxa"/>
          </w:tcPr>
          <w:p w14:paraId="7209BAA1"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cs="Calibri"/>
                <w:szCs w:val="16"/>
              </w:rPr>
              <w:t>16.4</w:t>
            </w:r>
          </w:p>
        </w:tc>
        <w:tc>
          <w:tcPr>
            <w:tcW w:w="760" w:type="dxa"/>
          </w:tcPr>
          <w:p w14:paraId="7A499C82" w14:textId="77777777" w:rsidR="00E46639" w:rsidRPr="0028033B" w:rsidRDefault="00E46639" w:rsidP="00F16E23">
            <w:pPr>
              <w:pStyle w:val="TableText"/>
              <w:spacing w:before="50" w:after="50"/>
              <w:jc w:val="right"/>
              <w:rPr>
                <w:rFonts w:asciiTheme="minorHAnsi" w:hAnsiTheme="minorHAnsi" w:cstheme="minorHAnsi"/>
                <w:szCs w:val="16"/>
              </w:rPr>
            </w:pPr>
            <w:r w:rsidRPr="0028033B">
              <w:rPr>
                <w:rFonts w:cs="Calibri"/>
                <w:szCs w:val="16"/>
              </w:rPr>
              <w:t>16.6</w:t>
            </w:r>
          </w:p>
        </w:tc>
      </w:tr>
    </w:tbl>
    <w:p w14:paraId="0845F729" w14:textId="77777777" w:rsidR="00E46639" w:rsidRPr="0028033B" w:rsidRDefault="00E46639" w:rsidP="00E46639">
      <w:pPr>
        <w:pStyle w:val="Noteundertable"/>
        <w:spacing w:after="80"/>
        <w:rPr>
          <w:rFonts w:cs="Calibri"/>
        </w:rPr>
      </w:pPr>
      <w:r w:rsidRPr="0028033B">
        <w:rPr>
          <w:rFonts w:cs="Calibri"/>
          <w:b/>
          <w:bCs/>
        </w:rPr>
        <w:t>Note:</w:t>
      </w:r>
      <w:r w:rsidRPr="0028033B">
        <w:rPr>
          <w:rFonts w:cs="Calibri"/>
        </w:rPr>
        <w:t xml:space="preserve"> </w:t>
      </w:r>
      <w:r w:rsidRPr="0028033B">
        <w:rPr>
          <w:rFonts w:cs="Calibri"/>
        </w:rPr>
        <w:tab/>
        <w:t>EF</w:t>
      </w:r>
      <w:r w:rsidRPr="0028033B">
        <w:rPr>
          <w:rFonts w:cs="Calibri"/>
          <w:vertAlign w:val="subscript"/>
        </w:rPr>
        <w:t>3(PRP)</w:t>
      </w:r>
      <w:r w:rsidRPr="0028033B">
        <w:rPr>
          <w:rFonts w:cs="Calibri"/>
        </w:rPr>
        <w:t xml:space="preserve"> = 0.0098 and Frac</w:t>
      </w:r>
      <w:r w:rsidRPr="0028033B">
        <w:rPr>
          <w:rFonts w:cs="Calibri"/>
          <w:vertAlign w:val="subscript"/>
        </w:rPr>
        <w:t>LEACH</w:t>
      </w:r>
      <w:r w:rsidRPr="0028033B">
        <w:rPr>
          <w:rFonts w:cs="Calibri"/>
        </w:rPr>
        <w:t xml:space="preserve"> = 0.10 for cropland and 0.08 for grassland when the inhibitor is not applied. All other emission factors and parameters relating to animal excreta and fertiliser use (Frac</w:t>
      </w:r>
      <w:r w:rsidRPr="0028033B">
        <w:rPr>
          <w:rFonts w:cs="Calibri"/>
          <w:vertAlign w:val="subscript"/>
        </w:rPr>
        <w:t>GASM</w:t>
      </w:r>
      <w:r w:rsidRPr="0028033B">
        <w:rPr>
          <w:rFonts w:cs="Calibri"/>
        </w:rPr>
        <w:t>, Frac</w:t>
      </w:r>
      <w:r w:rsidRPr="0028033B">
        <w:rPr>
          <w:rFonts w:cs="Calibri"/>
          <w:vertAlign w:val="subscript"/>
        </w:rPr>
        <w:t>GASF</w:t>
      </w:r>
      <w:r w:rsidRPr="0028033B">
        <w:rPr>
          <w:rFonts w:cs="Calibri"/>
        </w:rPr>
        <w:t>, EF</w:t>
      </w:r>
      <w:r w:rsidRPr="0028033B">
        <w:rPr>
          <w:rFonts w:cs="Calibri"/>
          <w:vertAlign w:val="subscript"/>
        </w:rPr>
        <w:t>4</w:t>
      </w:r>
      <w:r w:rsidRPr="0028033B">
        <w:rPr>
          <w:rFonts w:cs="Calibri"/>
        </w:rPr>
        <w:t> and EF</w:t>
      </w:r>
      <w:r w:rsidRPr="0028033B">
        <w:rPr>
          <w:rFonts w:cs="Calibri"/>
          <w:vertAlign w:val="subscript"/>
        </w:rPr>
        <w:t>5</w:t>
      </w:r>
      <w:r w:rsidRPr="0028033B">
        <w:rPr>
          <w:rFonts w:cs="Calibri"/>
        </w:rPr>
        <w:t xml:space="preserve">) remain unchanged when the inhibitor is used as a </w:t>
      </w:r>
      <w:r w:rsidRPr="0028033B">
        <w:rPr>
          <w:rFonts w:cs="Calibri"/>
          <w:spacing w:val="-2"/>
        </w:rPr>
        <w:t>nitrous oxide</w:t>
      </w:r>
      <w:r w:rsidRPr="0028033B">
        <w:rPr>
          <w:rFonts w:cs="Calibri"/>
        </w:rPr>
        <w:t xml:space="preserve"> mitigation technology. </w:t>
      </w:r>
    </w:p>
    <w:p w14:paraId="7F278EDF" w14:textId="77777777" w:rsidR="00E46639" w:rsidRPr="0028033B" w:rsidRDefault="00E46639" w:rsidP="00E46639">
      <w:pPr>
        <w:pStyle w:val="Heading3"/>
      </w:pPr>
      <w:bookmarkStart w:id="1320" w:name="_Toc139253935"/>
      <w:bookmarkStart w:id="1321" w:name="_Toc32570669"/>
      <w:r w:rsidRPr="0028033B">
        <w:t>5.5.3</w:t>
      </w:r>
      <w:r w:rsidRPr="0028033B">
        <w:tab/>
        <w:t>Uncertainty assessment and time-series consistency</w:t>
      </w:r>
      <w:bookmarkEnd w:id="1320"/>
      <w:bookmarkEnd w:id="1321"/>
    </w:p>
    <w:p w14:paraId="2BA0FCF2" w14:textId="77777777" w:rsidR="00E46639" w:rsidRPr="0028033B" w:rsidRDefault="00E46639" w:rsidP="00E46639">
      <w:pPr>
        <w:pStyle w:val="BodyText"/>
        <w:rPr>
          <w:rFonts w:cs="Calibri"/>
        </w:rPr>
      </w:pPr>
      <w:r w:rsidRPr="0028033B">
        <w:rPr>
          <w:rFonts w:cs="Calibri"/>
        </w:rPr>
        <w:t>To ensure consistency in the calculations involving animal manure, a single enhanced livestock population characterisation and feed-intake estimate is produced by the Tier 2 model for each of the major livestock categories. This is used in different parts of the calculations to estimate: CH</w:t>
      </w:r>
      <w:r w:rsidRPr="0028033B">
        <w:rPr>
          <w:rFonts w:cs="Calibri"/>
          <w:vertAlign w:val="subscript"/>
        </w:rPr>
        <w:t>4</w:t>
      </w:r>
      <w:r w:rsidRPr="0028033B">
        <w:rPr>
          <w:rFonts w:cs="Calibri"/>
        </w:rPr>
        <w:t xml:space="preserve"> emissions for the </w:t>
      </w:r>
      <w:r w:rsidRPr="0028033B">
        <w:rPr>
          <w:rFonts w:cs="Calibri"/>
          <w:i/>
          <w:iCs/>
        </w:rPr>
        <w:t>Enteric fermentation</w:t>
      </w:r>
      <w:r w:rsidRPr="0028033B">
        <w:rPr>
          <w:rFonts w:cs="Calibri"/>
        </w:rPr>
        <w:t xml:space="preserve"> category, CH</w:t>
      </w:r>
      <w:r w:rsidRPr="0028033B">
        <w:rPr>
          <w:rFonts w:cs="Calibri"/>
          <w:vertAlign w:val="subscript"/>
        </w:rPr>
        <w:t>4</w:t>
      </w:r>
      <w:r w:rsidRPr="0028033B">
        <w:rPr>
          <w:rFonts w:cs="Calibri"/>
        </w:rPr>
        <w:t xml:space="preserve"> and N</w:t>
      </w:r>
      <w:r w:rsidRPr="0028033B">
        <w:rPr>
          <w:rFonts w:cs="Calibri"/>
          <w:vertAlign w:val="subscript"/>
        </w:rPr>
        <w:t>2</w:t>
      </w:r>
      <w:r w:rsidRPr="0028033B">
        <w:rPr>
          <w:rFonts w:cs="Calibri"/>
        </w:rPr>
        <w:t xml:space="preserve">O emissions for the </w:t>
      </w:r>
      <w:r w:rsidRPr="0028033B">
        <w:rPr>
          <w:rFonts w:cs="Calibri"/>
          <w:i/>
          <w:iCs/>
        </w:rPr>
        <w:t>Manure management</w:t>
      </w:r>
      <w:r w:rsidRPr="0028033B">
        <w:rPr>
          <w:rFonts w:cs="Calibri"/>
        </w:rPr>
        <w:t xml:space="preserve"> category and N</w:t>
      </w:r>
      <w:r w:rsidRPr="0028033B">
        <w:rPr>
          <w:rFonts w:cs="Calibri"/>
          <w:vertAlign w:val="subscript"/>
        </w:rPr>
        <w:t>2</w:t>
      </w:r>
      <w:r w:rsidRPr="0028033B">
        <w:rPr>
          <w:rFonts w:cs="Calibri"/>
        </w:rPr>
        <w:t xml:space="preserve">O emissions for the </w:t>
      </w:r>
      <w:r w:rsidRPr="0028033B">
        <w:rPr>
          <w:rFonts w:cs="Calibri"/>
          <w:i/>
          <w:iCs/>
        </w:rPr>
        <w:t>Urine and dung deposited by grazing animals</w:t>
      </w:r>
      <w:r w:rsidRPr="0028033B">
        <w:rPr>
          <w:rFonts w:cs="Calibri"/>
        </w:rPr>
        <w:t xml:space="preserve"> (pasture, range and paddock manure) category.</w:t>
      </w:r>
    </w:p>
    <w:p w14:paraId="5A14942C" w14:textId="77777777" w:rsidR="00E46639" w:rsidRPr="0028033B" w:rsidRDefault="00E46639" w:rsidP="00E46639">
      <w:pPr>
        <w:pStyle w:val="BodyText"/>
        <w:rPr>
          <w:rFonts w:cs="Calibri"/>
        </w:rPr>
      </w:pPr>
      <w:r w:rsidRPr="0028033B">
        <w:rPr>
          <w:rFonts w:cs="Calibri"/>
          <w:spacing w:val="-2"/>
        </w:rPr>
        <w:t>Uncertainties in N</w:t>
      </w:r>
      <w:r w:rsidRPr="0028033B">
        <w:rPr>
          <w:rFonts w:cs="Calibri"/>
          <w:spacing w:val="-2"/>
          <w:vertAlign w:val="subscript"/>
        </w:rPr>
        <w:t>2</w:t>
      </w:r>
      <w:r w:rsidRPr="0028033B">
        <w:rPr>
          <w:rFonts w:cs="Calibri"/>
          <w:spacing w:val="-2"/>
        </w:rPr>
        <w:t xml:space="preserve">O emissions from </w:t>
      </w:r>
      <w:r w:rsidRPr="0028033B">
        <w:rPr>
          <w:rFonts w:cs="Calibri"/>
          <w:i/>
          <w:iCs/>
          <w:spacing w:val="-2"/>
        </w:rPr>
        <w:t>Agricultural soils</w:t>
      </w:r>
      <w:r w:rsidRPr="0028033B">
        <w:rPr>
          <w:rFonts w:cs="Calibri"/>
          <w:spacing w:val="-2"/>
        </w:rPr>
        <w:t xml:space="preserve"> are calculated using an analytical method</w:t>
      </w:r>
      <w:r w:rsidRPr="0028033B">
        <w:rPr>
          <w:rFonts w:cs="Calibri"/>
        </w:rPr>
        <w:t xml:space="preserve"> developed by Kelliher et al. (2017). This method estimated the uncertainty of the </w:t>
      </w:r>
      <w:r w:rsidRPr="0028033B">
        <w:rPr>
          <w:rFonts w:cs="Calibri"/>
          <w:i/>
          <w:iCs/>
        </w:rPr>
        <w:t>Agricultural soils</w:t>
      </w:r>
      <w:r w:rsidRPr="0028033B">
        <w:rPr>
          <w:rFonts w:cs="Calibri"/>
        </w:rPr>
        <w:t xml:space="preserve"> category to be ±55.9 percent for 2024.</w:t>
      </w:r>
    </w:p>
    <w:p w14:paraId="62854807" w14:textId="77777777" w:rsidR="00E46639" w:rsidRPr="0028033B" w:rsidRDefault="00E46639" w:rsidP="00E46639">
      <w:pPr>
        <w:pStyle w:val="BodyText"/>
        <w:rPr>
          <w:rFonts w:cs="Calibri"/>
        </w:rPr>
      </w:pPr>
      <w:r w:rsidRPr="0028033B">
        <w:rPr>
          <w:rFonts w:cs="Calibri"/>
        </w:rPr>
        <w:t>The benefit of using the analytical method is that it can be updated annually by the Agriculture inventory compilers. Kelliher et al. (2017) also compared the analytical method with the Monte Carlo method used for previous years and found that both produced similar results.</w:t>
      </w:r>
    </w:p>
    <w:p w14:paraId="2E2931E6" w14:textId="77777777" w:rsidR="00E46639" w:rsidRPr="0028033B" w:rsidRDefault="00E46639" w:rsidP="00E46639">
      <w:pPr>
        <w:pStyle w:val="BodyText"/>
        <w:rPr>
          <w:rFonts w:cs="Calibri"/>
        </w:rPr>
      </w:pPr>
      <w:r w:rsidRPr="0028033B">
        <w:rPr>
          <w:rFonts w:cs="Calibri"/>
        </w:rPr>
        <w:t xml:space="preserve">Uncertainties were assessed for the 1990, 2002 and 2012 inventories using the Monte Carlo method. For the 1990 and 2002 inventories, the uncertainties were assessed using a Monte Carlo simulation of 5,000 scenarios with the @RISK software (Kelliher et al., 2017) </w:t>
      </w:r>
    </w:p>
    <w:p w14:paraId="7D6C19F8" w14:textId="77777777" w:rsidR="00E46639" w:rsidRPr="0028033B" w:rsidRDefault="00E46639" w:rsidP="00E46639">
      <w:pPr>
        <w:pStyle w:val="BodyText"/>
        <w:rPr>
          <w:rFonts w:cs="Calibri"/>
        </w:rPr>
      </w:pPr>
      <w:r w:rsidRPr="0028033B">
        <w:rPr>
          <w:rFonts w:cs="Calibri"/>
          <w:spacing w:val="-2"/>
        </w:rPr>
        <w:t xml:space="preserve">The overall inventory uncertainty analysis shown in volume 2, annex 2 demonstrates that the uncertainty </w:t>
      </w:r>
      <w:r w:rsidRPr="0028033B">
        <w:rPr>
          <w:rFonts w:cs="Calibri"/>
        </w:rPr>
        <w:t xml:space="preserve">in annual emissions from </w:t>
      </w:r>
      <w:r w:rsidRPr="0028033B">
        <w:rPr>
          <w:rFonts w:cs="Calibri"/>
          <w:i/>
          <w:iCs/>
        </w:rPr>
        <w:t>Agricultural soils</w:t>
      </w:r>
      <w:r w:rsidRPr="0028033B">
        <w:rPr>
          <w:rFonts w:cs="Calibri"/>
        </w:rPr>
        <w:t xml:space="preserve"> is a major contributor to uncertainty in </w:t>
      </w:r>
      <w:r w:rsidRPr="0028033B">
        <w:rPr>
          <w:rFonts w:cs="Calibri"/>
          <w:spacing w:val="-2"/>
        </w:rPr>
        <w:t>New Zealand’s</w:t>
      </w:r>
      <w:r w:rsidRPr="0028033B">
        <w:rPr>
          <w:rFonts w:cs="Calibri"/>
        </w:rPr>
        <w:t xml:space="preserve"> total greenhouse gas emissions. The uncertainty between years is assumed to be correlated, and therefore the uncertainty is mostly associated with the emission factors. The uncertainty associated with the trend in emissions from </w:t>
      </w:r>
      <w:r w:rsidRPr="0028033B">
        <w:rPr>
          <w:rFonts w:cs="Calibri"/>
          <w:i/>
          <w:iCs/>
        </w:rPr>
        <w:t>Agricultural soils</w:t>
      </w:r>
      <w:r w:rsidRPr="0028033B">
        <w:rPr>
          <w:rFonts w:cs="Calibri"/>
        </w:rPr>
        <w:t xml:space="preserve"> is much lower than the uncertainty for an annual estimate. </w:t>
      </w:r>
    </w:p>
    <w:p w14:paraId="372D41FF" w14:textId="77777777" w:rsidR="00E46639" w:rsidRPr="0028033B" w:rsidRDefault="00E46639" w:rsidP="00E46639">
      <w:pPr>
        <w:pStyle w:val="BodyText"/>
        <w:rPr>
          <w:rFonts w:cs="Calibri"/>
        </w:rPr>
      </w:pPr>
      <w:r w:rsidRPr="0028033B">
        <w:rPr>
          <w:rFonts w:cs="Calibri"/>
        </w:rPr>
        <w:t xml:space="preserve">The uncertainty in emissions from </w:t>
      </w:r>
      <w:r w:rsidRPr="0028033B">
        <w:rPr>
          <w:rFonts w:cs="Calibri"/>
          <w:i/>
          <w:iCs/>
        </w:rPr>
        <w:t>Agricultural soils</w:t>
      </w:r>
      <w:r w:rsidRPr="0028033B">
        <w:rPr>
          <w:rFonts w:cs="Calibri"/>
        </w:rPr>
        <w:t xml:space="preserve"> is largely due to the parameter EF</w:t>
      </w:r>
      <w:r w:rsidRPr="0028033B">
        <w:rPr>
          <w:rFonts w:cs="Calibri"/>
          <w:vertAlign w:val="subscript"/>
        </w:rPr>
        <w:t>3(PRP)</w:t>
      </w:r>
      <w:r w:rsidRPr="0028033B">
        <w:rPr>
          <w:rFonts w:cs="Calibri"/>
        </w:rPr>
        <w:t xml:space="preserve"> and emissions from urine and dung deposited by grazing animals. This uncertainty reflects natural variance in EF</w:t>
      </w:r>
      <w:r w:rsidRPr="0028033B">
        <w:rPr>
          <w:rFonts w:cs="Calibri"/>
          <w:vertAlign w:val="subscript"/>
        </w:rPr>
        <w:t xml:space="preserve">3 </w:t>
      </w:r>
      <w:r w:rsidRPr="0028033B">
        <w:rPr>
          <w:rFonts w:cs="Calibri"/>
        </w:rPr>
        <w:t>due to weather, climate and soil type (Kelliher et al., 2017).</w:t>
      </w:r>
    </w:p>
    <w:p w14:paraId="5E4993B3" w14:textId="77777777" w:rsidR="00E46639" w:rsidRPr="0028033B" w:rsidRDefault="00E46639" w:rsidP="00E46639">
      <w:pPr>
        <w:pStyle w:val="Heading3"/>
      </w:pPr>
      <w:bookmarkStart w:id="1322" w:name="_Toc139253936"/>
      <w:bookmarkStart w:id="1323" w:name="_Toc32570670"/>
      <w:r w:rsidRPr="0028033B">
        <w:t>5.5.4</w:t>
      </w:r>
      <w:r w:rsidRPr="0028033B">
        <w:tab/>
        <w:t>Category-specific QA/QC and verification</w:t>
      </w:r>
      <w:bookmarkEnd w:id="1322"/>
      <w:bookmarkEnd w:id="1323"/>
    </w:p>
    <w:p w14:paraId="47B41F7B" w14:textId="77777777" w:rsidR="00E46639" w:rsidRPr="0028033B" w:rsidRDefault="00E46639" w:rsidP="00E46639">
      <w:pPr>
        <w:pStyle w:val="BodyText"/>
        <w:rPr>
          <w:rFonts w:cs="Calibri"/>
        </w:rPr>
      </w:pPr>
      <w:r w:rsidRPr="0028033B">
        <w:rPr>
          <w:rFonts w:cs="Calibri"/>
        </w:rPr>
        <w:t>In preparation for this inventory submission, the data underwent Tier 1 and Tier 2 quality checks.</w:t>
      </w:r>
    </w:p>
    <w:p w14:paraId="64288946" w14:textId="77777777" w:rsidR="00E46639" w:rsidRPr="0028033B" w:rsidRDefault="00E46639" w:rsidP="00E46639">
      <w:pPr>
        <w:pStyle w:val="Heading5"/>
      </w:pPr>
      <w:r w:rsidRPr="0028033B">
        <w:t>Verification of activity data</w:t>
      </w:r>
    </w:p>
    <w:p w14:paraId="0227293C" w14:textId="77777777" w:rsidR="00E46639" w:rsidRPr="0028033B" w:rsidRDefault="00E46639" w:rsidP="00E46639">
      <w:pPr>
        <w:pStyle w:val="BodyText"/>
        <w:spacing w:before="80"/>
        <w:rPr>
          <w:rFonts w:cs="Calibri"/>
        </w:rPr>
      </w:pPr>
      <w:r w:rsidRPr="0028033B">
        <w:rPr>
          <w:rFonts w:cs="Calibri"/>
        </w:rPr>
        <w:t xml:space="preserve">Research has been carried out to verify the activity data for crops. In 2008 and 2011, MPI </w:t>
      </w:r>
      <w:r w:rsidRPr="0028033B">
        <w:rPr>
          <w:rFonts w:cs="Calibri"/>
          <w:spacing w:val="-2"/>
        </w:rPr>
        <w:t>commissioned reports investigating N</w:t>
      </w:r>
      <w:r w:rsidRPr="0028033B">
        <w:rPr>
          <w:rFonts w:cs="Calibri"/>
          <w:spacing w:val="-2"/>
          <w:vertAlign w:val="subscript"/>
        </w:rPr>
        <w:t>2</w:t>
      </w:r>
      <w:r w:rsidRPr="0028033B">
        <w:rPr>
          <w:rFonts w:cs="Calibri"/>
          <w:spacing w:val="-2"/>
        </w:rPr>
        <w:t>O emission factors and activity data for crops (Thomas et al.</w:t>
      </w:r>
      <w:r w:rsidRPr="0028033B">
        <w:rPr>
          <w:rFonts w:cs="Calibri"/>
        </w:rPr>
        <w:t>, 2011, 2012). The reports compared activity data from the Stats NZ Agricultural Production Survey with the Foundation for Arable Research production database. Data for wheat and maize between the two data sources were very similar, although differences were evident for some of the other crops.</w:t>
      </w:r>
    </w:p>
    <w:p w14:paraId="33659E5E" w14:textId="77777777" w:rsidR="00E46639" w:rsidRPr="0028033B" w:rsidRDefault="00E46639" w:rsidP="00E46639">
      <w:pPr>
        <w:pStyle w:val="BodyText"/>
        <w:rPr>
          <w:rFonts w:cs="Calibri"/>
        </w:rPr>
      </w:pPr>
      <w:r w:rsidRPr="0028033B">
        <w:rPr>
          <w:rFonts w:cs="Calibri"/>
        </w:rPr>
        <w:t xml:space="preserve">The accuracy of synthetic nitrogen fertiliser data has also been assessed by comparing fertiliser sales data received from the Fertiliser Association of New Zealand with data collected from the Agricultural Production Survey. </w:t>
      </w:r>
    </w:p>
    <w:p w14:paraId="5C793F23" w14:textId="77777777" w:rsidR="00E46639" w:rsidRPr="0028033B" w:rsidRDefault="00E46639" w:rsidP="00E46639">
      <w:pPr>
        <w:pStyle w:val="BodyText"/>
        <w:spacing w:after="100"/>
        <w:rPr>
          <w:rFonts w:cs="Calibri"/>
        </w:rPr>
      </w:pPr>
      <w:r w:rsidRPr="0028033B">
        <w:rPr>
          <w:rFonts w:cs="Calibri"/>
        </w:rPr>
        <w:t xml:space="preserve">The Fertiliser Association sales data are used rather than the Stats NZ Agricultural Production Survey data because the sales data are considered to be more comprehensive and accurate. Nearly 98 percent of </w:t>
      </w:r>
      <w:r w:rsidRPr="0028033B">
        <w:rPr>
          <w:rFonts w:cs="Calibri"/>
          <w:spacing w:val="-2"/>
        </w:rPr>
        <w:t>New Zealand</w:t>
      </w:r>
      <w:r w:rsidRPr="0028033B">
        <w:rPr>
          <w:rFonts w:cs="Calibri"/>
        </w:rPr>
        <w:t xml:space="preserve"> synthetic nitrogen fertiliser is sold by two large companies that provide sales data to the Fertiliser Association (Fertiliser Association of New Zealand, 2018). The Fertiliser Association provides an estimate of the additional synthetic nitrogen fertiliser sold by other companies (around 2 percent). In contrast, the Agricultural Production Survey data are collected from a sampling frame of around 49,300 individual farms. Some farmers use contract fertiliser spreading companies (including aerial spreading) and may not have an accurate estimate of the tonnes of fertiliser applied or are unsure on how to fill in the questionnaire accurately, given the number of different fertilisers used and their varying names. The Agricultural Production Census and Agricultural Production Survey data verified the long-term trend of the increasing use of synthetic nitrogen fertiliser. </w:t>
      </w:r>
    </w:p>
    <w:p w14:paraId="3277FB08" w14:textId="77777777" w:rsidR="00E46639" w:rsidRPr="0028033B" w:rsidRDefault="00E46639" w:rsidP="00E46639">
      <w:pPr>
        <w:pStyle w:val="Heading5"/>
      </w:pPr>
      <w:r w:rsidRPr="0028033B">
        <w:t>Comparison of New Zealand emission factors and parameters with IPCC default values</w:t>
      </w:r>
    </w:p>
    <w:p w14:paraId="3FE6292A" w14:textId="77777777" w:rsidR="00E46639" w:rsidRPr="0028033B" w:rsidRDefault="00E46639" w:rsidP="00E46639">
      <w:pPr>
        <w:pStyle w:val="BodyText"/>
        <w:spacing w:before="100" w:after="100"/>
      </w:pPr>
      <w:r w:rsidRPr="0028033B">
        <w:t xml:space="preserve">Table 5.5.11 compares </w:t>
      </w:r>
      <w:r w:rsidRPr="0028033B">
        <w:rPr>
          <w:rFonts w:cs="Calibri"/>
          <w:spacing w:val="-2"/>
        </w:rPr>
        <w:t>New Zealand’s</w:t>
      </w:r>
      <w:r w:rsidRPr="0028033B">
        <w:t xml:space="preserve"> IEFs for EF</w:t>
      </w:r>
      <w:r w:rsidRPr="0028033B">
        <w:rPr>
          <w:vertAlign w:val="subscript"/>
        </w:rPr>
        <w:t>1</w:t>
      </w:r>
      <w:r w:rsidRPr="0028033B">
        <w:t xml:space="preserve"> (synthetic nitrogen fertiliser) and EF</w:t>
      </w:r>
      <w:r w:rsidRPr="0028033B">
        <w:rPr>
          <w:vertAlign w:val="subscript"/>
        </w:rPr>
        <w:t>3(PRP)</w:t>
      </w:r>
      <w:r w:rsidRPr="0028033B">
        <w:t xml:space="preserve"> (urine and dung deposited by grazing animals) with the 2006 IPCC default values and emission factors used by Australia. The </w:t>
      </w:r>
      <w:r w:rsidRPr="0028033B">
        <w:rPr>
          <w:rFonts w:cs="Calibri"/>
          <w:spacing w:val="-2"/>
        </w:rPr>
        <w:t>New Zealand</w:t>
      </w:r>
      <w:r w:rsidRPr="0028033B">
        <w:t xml:space="preserve"> EF</w:t>
      </w:r>
      <w:r w:rsidRPr="0028033B">
        <w:rPr>
          <w:vertAlign w:val="subscript"/>
        </w:rPr>
        <w:t>1</w:t>
      </w:r>
      <w:r w:rsidRPr="0028033B">
        <w:t xml:space="preserve"> value is lower than the IPCC default due to the use of a country-specific emission factor for urea fertiliser and incorporation of the effect of urease inhibitors. For EF</w:t>
      </w:r>
      <w:r w:rsidRPr="0028033B">
        <w:rPr>
          <w:vertAlign w:val="subscript"/>
        </w:rPr>
        <w:t>3</w:t>
      </w:r>
      <w:r w:rsidRPr="0028033B">
        <w:t>,</w:t>
      </w:r>
      <w:r w:rsidRPr="0028033B">
        <w:rPr>
          <w:vertAlign w:val="subscript"/>
        </w:rPr>
        <w:t xml:space="preserve"> </w:t>
      </w:r>
      <w:r w:rsidRPr="0028033B">
        <w:t xml:space="preserve">the </w:t>
      </w:r>
      <w:r w:rsidRPr="0028033B" w:rsidDel="00BB3219">
        <w:rPr>
          <w:rFonts w:cs="Calibri"/>
          <w:spacing w:val="-2"/>
        </w:rPr>
        <w:t xml:space="preserve">New </w:t>
      </w:r>
      <w:r w:rsidRPr="0028033B">
        <w:rPr>
          <w:rFonts w:cs="Calibri"/>
          <w:spacing w:val="-2"/>
        </w:rPr>
        <w:t>Zealand</w:t>
      </w:r>
      <w:r w:rsidRPr="0028033B">
        <w:t xml:space="preserve"> value is also lower than the IPCC default. This reflects research that has allowed for the development of country-specific emission factors for dung and urine from trials summarised by van der Weerden et al. (2019) (see section 5.5.2). </w:t>
      </w:r>
    </w:p>
    <w:p w14:paraId="7BC60021" w14:textId="77777777" w:rsidR="00E46639" w:rsidRPr="0028033B" w:rsidRDefault="00E46639" w:rsidP="00E46639">
      <w:pPr>
        <w:pStyle w:val="Table"/>
        <w:rPr>
          <w:rFonts w:cs="Calibri"/>
        </w:rPr>
      </w:pPr>
      <w:bookmarkStart w:id="1324" w:name="_Toc441830888"/>
      <w:bookmarkStart w:id="1325" w:name="_Toc451176102"/>
      <w:bookmarkStart w:id="1326" w:name="_Toc481751529"/>
      <w:bookmarkStart w:id="1327" w:name="_Toc507158617"/>
      <w:bookmarkStart w:id="1328" w:name="_Toc511116751"/>
      <w:bookmarkStart w:id="1329" w:name="_Toc5269493"/>
      <w:bookmarkStart w:id="1330" w:name="_Toc32570938"/>
      <w:bookmarkStart w:id="1331" w:name="_Toc36224573"/>
      <w:bookmarkStart w:id="1332" w:name="_Toc68786458"/>
      <w:bookmarkStart w:id="1333" w:name="_Toc95574091"/>
      <w:bookmarkStart w:id="1334" w:name="_Toc127458278"/>
      <w:bookmarkStart w:id="1335" w:name="_Toc131591374"/>
      <w:bookmarkStart w:id="1336" w:name="_Toc160114468"/>
      <w:bookmarkStart w:id="1337" w:name="_Toc164153864"/>
      <w:bookmarkStart w:id="1338" w:name="_Toc222407656"/>
      <w:bookmarkStart w:id="1339" w:name="_Toc226669031"/>
      <w:bookmarkStart w:id="1340" w:name="_Toc288316759"/>
      <w:bookmarkStart w:id="1341" w:name="_Toc352504977"/>
      <w:r w:rsidRPr="0028033B">
        <w:rPr>
          <w:rFonts w:cs="Calibri"/>
        </w:rPr>
        <w:t>Table 5.5.11</w:t>
      </w:r>
      <w:r w:rsidRPr="0028033B">
        <w:rPr>
          <w:rFonts w:cs="Calibri"/>
        </w:rPr>
        <w:tab/>
        <w:t xml:space="preserve">Comparison of </w:t>
      </w:r>
      <w:r w:rsidRPr="0028033B">
        <w:rPr>
          <w:rFonts w:cs="Calibri"/>
          <w:spacing w:val="-2"/>
        </w:rPr>
        <w:t>New Zealand’s</w:t>
      </w:r>
      <w:r w:rsidRPr="0028033B">
        <w:rPr>
          <w:rFonts w:cs="Calibri"/>
        </w:rPr>
        <w:t xml:space="preserve"> implied emission factors (IEFs) for EF</w:t>
      </w:r>
      <w:r w:rsidRPr="0028033B">
        <w:rPr>
          <w:rFonts w:cs="Calibri"/>
          <w:vertAlign w:val="subscript"/>
        </w:rPr>
        <w:t>1</w:t>
      </w:r>
      <w:r w:rsidRPr="0028033B">
        <w:rPr>
          <w:rFonts w:cs="Calibri"/>
        </w:rPr>
        <w:t xml:space="preserve"> (synthetic nitrogen fertiliser) and EF</w:t>
      </w:r>
      <w:r w:rsidRPr="0028033B">
        <w:rPr>
          <w:rFonts w:cs="Calibri"/>
          <w:vertAlign w:val="subscript"/>
        </w:rPr>
        <w:t>3(PRP)</w:t>
      </w:r>
      <w:r w:rsidRPr="0028033B">
        <w:rPr>
          <w:rFonts w:cs="Calibri"/>
        </w:rPr>
        <w:t xml:space="preserve"> (pasture, range and paddock manure) with the IPCC default and the Australia</w:t>
      </w:r>
      <w:bookmarkEnd w:id="1324"/>
      <w:r w:rsidRPr="0028033B">
        <w:rPr>
          <w:rFonts w:cs="Calibri"/>
        </w:rPr>
        <w:t>n-specific value</w:t>
      </w:r>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r w:rsidRPr="0028033B">
        <w:rPr>
          <w:rFonts w:cs="Calibri"/>
        </w:rPr>
        <w:t xml:space="preserve"> </w:t>
      </w:r>
      <w:bookmarkEnd w:id="1340"/>
      <w:bookmarkEnd w:id="1341"/>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3261"/>
        <w:gridCol w:w="2553"/>
        <w:gridCol w:w="2691"/>
      </w:tblGrid>
      <w:tr w:rsidR="00E46639" w:rsidRPr="0028033B" w14:paraId="7F6C01DD" w14:textId="77777777" w:rsidTr="00AD46CB">
        <w:tc>
          <w:tcPr>
            <w:tcW w:w="1917" w:type="pct"/>
            <w:shd w:val="clear" w:color="auto" w:fill="1B556B"/>
            <w:vAlign w:val="bottom"/>
          </w:tcPr>
          <w:p w14:paraId="75FFE3F4" w14:textId="77777777" w:rsidR="00E46639" w:rsidRPr="0028033B" w:rsidRDefault="00E46639" w:rsidP="00F16E23">
            <w:pPr>
              <w:pStyle w:val="TableTextBold"/>
              <w:keepNext/>
              <w:spacing w:before="40" w:after="30"/>
              <w:rPr>
                <w:noProof w:val="0"/>
                <w:color w:val="FFFFFF" w:themeColor="background1"/>
                <w:szCs w:val="16"/>
              </w:rPr>
            </w:pPr>
          </w:p>
        </w:tc>
        <w:tc>
          <w:tcPr>
            <w:tcW w:w="1501" w:type="pct"/>
            <w:shd w:val="clear" w:color="auto" w:fill="1B556B"/>
            <w:vAlign w:val="bottom"/>
          </w:tcPr>
          <w:p w14:paraId="74D8EC1E" w14:textId="77777777" w:rsidR="00E46639" w:rsidRPr="0028033B" w:rsidRDefault="00E46639" w:rsidP="00F16E23">
            <w:pPr>
              <w:pStyle w:val="TableTextBold"/>
              <w:keepNext/>
              <w:spacing w:before="40" w:after="30"/>
              <w:jc w:val="right"/>
              <w:rPr>
                <w:noProof w:val="0"/>
                <w:color w:val="FFFFFF" w:themeColor="background1"/>
                <w:szCs w:val="16"/>
              </w:rPr>
            </w:pPr>
            <w:r w:rsidRPr="0028033B">
              <w:rPr>
                <w:noProof w:val="0"/>
                <w:color w:val="FFFFFF" w:themeColor="background1"/>
                <w:szCs w:val="16"/>
              </w:rPr>
              <w:t>EF</w:t>
            </w:r>
            <w:r w:rsidRPr="0028033B">
              <w:rPr>
                <w:noProof w:val="0"/>
                <w:color w:val="FFFFFF" w:themeColor="background1"/>
                <w:szCs w:val="16"/>
                <w:vertAlign w:val="subscript"/>
              </w:rPr>
              <w:t>1</w:t>
            </w:r>
            <w:r w:rsidRPr="0028033B">
              <w:rPr>
                <w:noProof w:val="0"/>
                <w:color w:val="FFFFFF" w:themeColor="background1"/>
                <w:szCs w:val="16"/>
              </w:rPr>
              <w:t xml:space="preserve"> (kg N</w:t>
            </w:r>
            <w:r w:rsidRPr="0028033B">
              <w:rPr>
                <w:noProof w:val="0"/>
                <w:color w:val="FFFFFF" w:themeColor="background1"/>
                <w:szCs w:val="16"/>
                <w:vertAlign w:val="subscript"/>
              </w:rPr>
              <w:t>2</w:t>
            </w:r>
            <w:r w:rsidRPr="0028033B">
              <w:rPr>
                <w:noProof w:val="0"/>
                <w:color w:val="FFFFFF" w:themeColor="background1"/>
                <w:szCs w:val="16"/>
              </w:rPr>
              <w:t>O-N/kg N)</w:t>
            </w:r>
          </w:p>
        </w:tc>
        <w:tc>
          <w:tcPr>
            <w:tcW w:w="1582" w:type="pct"/>
            <w:shd w:val="clear" w:color="auto" w:fill="1B556B"/>
            <w:vAlign w:val="bottom"/>
          </w:tcPr>
          <w:p w14:paraId="40E72B11" w14:textId="77777777" w:rsidR="00E46639" w:rsidRPr="0028033B" w:rsidRDefault="00E46639" w:rsidP="00F16E23">
            <w:pPr>
              <w:pStyle w:val="TableTextBold"/>
              <w:keepNext/>
              <w:spacing w:before="40" w:after="30"/>
              <w:jc w:val="right"/>
              <w:rPr>
                <w:noProof w:val="0"/>
                <w:color w:val="FFFFFF" w:themeColor="background1"/>
                <w:szCs w:val="16"/>
              </w:rPr>
            </w:pPr>
            <w:r w:rsidRPr="0028033B">
              <w:rPr>
                <w:noProof w:val="0"/>
                <w:color w:val="FFFFFF" w:themeColor="background1"/>
                <w:szCs w:val="16"/>
              </w:rPr>
              <w:t>EF</w:t>
            </w:r>
            <w:r w:rsidRPr="0028033B">
              <w:rPr>
                <w:noProof w:val="0"/>
                <w:color w:val="FFFFFF" w:themeColor="background1"/>
                <w:szCs w:val="16"/>
                <w:vertAlign w:val="subscript"/>
              </w:rPr>
              <w:t>3</w:t>
            </w:r>
            <w:r w:rsidRPr="0028033B">
              <w:rPr>
                <w:noProof w:val="0"/>
                <w:color w:val="FFFFFF" w:themeColor="background1"/>
                <w:szCs w:val="16"/>
              </w:rPr>
              <w:t xml:space="preserve"> (kg N</w:t>
            </w:r>
            <w:r w:rsidRPr="0028033B">
              <w:rPr>
                <w:noProof w:val="0"/>
                <w:color w:val="FFFFFF" w:themeColor="background1"/>
                <w:szCs w:val="16"/>
                <w:vertAlign w:val="subscript"/>
              </w:rPr>
              <w:t>2</w:t>
            </w:r>
            <w:r w:rsidRPr="0028033B">
              <w:rPr>
                <w:noProof w:val="0"/>
                <w:color w:val="FFFFFF" w:themeColor="background1"/>
                <w:szCs w:val="16"/>
              </w:rPr>
              <w:t>O-N/kg N excreted)</w:t>
            </w:r>
          </w:p>
        </w:tc>
      </w:tr>
      <w:tr w:rsidR="00E46639" w:rsidRPr="0028033B" w14:paraId="2242F9AE" w14:textId="77777777" w:rsidTr="00AD46CB">
        <w:tc>
          <w:tcPr>
            <w:tcW w:w="1917" w:type="pct"/>
          </w:tcPr>
          <w:p w14:paraId="6D90818E" w14:textId="77777777" w:rsidR="00E46639" w:rsidRPr="0028033B" w:rsidRDefault="00E46639" w:rsidP="00F16E23">
            <w:pPr>
              <w:pStyle w:val="TableText"/>
              <w:keepNext/>
              <w:spacing w:before="40" w:after="30"/>
              <w:rPr>
                <w:rFonts w:cs="Calibri"/>
                <w:szCs w:val="16"/>
              </w:rPr>
            </w:pPr>
            <w:r w:rsidRPr="0028033B">
              <w:rPr>
                <w:rFonts w:cs="Calibri"/>
                <w:szCs w:val="16"/>
              </w:rPr>
              <w:t>IPCC (2006) developed temperate climate/Oceania default value</w:t>
            </w:r>
          </w:p>
        </w:tc>
        <w:tc>
          <w:tcPr>
            <w:tcW w:w="1501" w:type="pct"/>
          </w:tcPr>
          <w:p w14:paraId="5BC7119B" w14:textId="77777777" w:rsidR="00E46639" w:rsidRPr="0028033B" w:rsidRDefault="00E46639" w:rsidP="00F16E23">
            <w:pPr>
              <w:pStyle w:val="TableText"/>
              <w:keepNext/>
              <w:spacing w:before="40" w:after="30"/>
              <w:jc w:val="right"/>
              <w:rPr>
                <w:rFonts w:cs="Calibri"/>
                <w:szCs w:val="16"/>
              </w:rPr>
            </w:pPr>
            <w:r w:rsidRPr="0028033B">
              <w:rPr>
                <w:rFonts w:cs="Calibri"/>
                <w:szCs w:val="16"/>
              </w:rPr>
              <w:t>0.01</w:t>
            </w:r>
          </w:p>
        </w:tc>
        <w:tc>
          <w:tcPr>
            <w:tcW w:w="1582" w:type="pct"/>
          </w:tcPr>
          <w:p w14:paraId="7EFB4C3C" w14:textId="77777777" w:rsidR="00E46639" w:rsidRPr="0028033B" w:rsidRDefault="00E46639" w:rsidP="00F16E23">
            <w:pPr>
              <w:pStyle w:val="TableText"/>
              <w:keepNext/>
              <w:spacing w:before="40" w:after="0"/>
              <w:jc w:val="right"/>
              <w:rPr>
                <w:rFonts w:cs="Calibri"/>
                <w:szCs w:val="16"/>
              </w:rPr>
            </w:pPr>
            <w:r w:rsidRPr="0028033B">
              <w:rPr>
                <w:rFonts w:cs="Calibri"/>
                <w:szCs w:val="16"/>
              </w:rPr>
              <w:t>0.02 (cattle, poultry and swine)</w:t>
            </w:r>
          </w:p>
          <w:p w14:paraId="09A88D57" w14:textId="77777777" w:rsidR="00E46639" w:rsidRPr="0028033B" w:rsidRDefault="00E46639" w:rsidP="00F16E23">
            <w:pPr>
              <w:pStyle w:val="TableText"/>
              <w:keepNext/>
              <w:spacing w:before="40" w:after="30"/>
              <w:jc w:val="right"/>
              <w:rPr>
                <w:rFonts w:cs="Calibri"/>
                <w:szCs w:val="16"/>
              </w:rPr>
            </w:pPr>
            <w:r w:rsidRPr="0028033B">
              <w:rPr>
                <w:rFonts w:cs="Calibri"/>
                <w:szCs w:val="16"/>
              </w:rPr>
              <w:t>0.01 (sheep and other animals)</w:t>
            </w:r>
          </w:p>
        </w:tc>
      </w:tr>
      <w:tr w:rsidR="00E46639" w:rsidRPr="00BD0DE3" w14:paraId="0D4CEA6E" w14:textId="77777777" w:rsidTr="00AD46CB">
        <w:tc>
          <w:tcPr>
            <w:tcW w:w="1917" w:type="pct"/>
          </w:tcPr>
          <w:p w14:paraId="7E714F17" w14:textId="77777777" w:rsidR="00E46639" w:rsidRPr="00BD0DE3" w:rsidRDefault="00E46639" w:rsidP="00F16E23">
            <w:pPr>
              <w:pStyle w:val="TableText"/>
              <w:keepNext/>
              <w:spacing w:before="40" w:after="30"/>
              <w:rPr>
                <w:rFonts w:cs="Calibri"/>
                <w:szCs w:val="16"/>
              </w:rPr>
            </w:pPr>
            <w:r w:rsidRPr="00BD0DE3">
              <w:rPr>
                <w:rFonts w:cs="Calibri"/>
                <w:szCs w:val="16"/>
              </w:rPr>
              <w:t>Australian-specific IEF 2023 value</w:t>
            </w:r>
            <w:r w:rsidRPr="00BD0DE3">
              <w:rPr>
                <w:rStyle w:val="FootnoteReference"/>
                <w:rFonts w:cs="Calibri"/>
                <w:sz w:val="16"/>
                <w:szCs w:val="16"/>
              </w:rPr>
              <w:footnoteReference w:id="48"/>
            </w:r>
          </w:p>
        </w:tc>
        <w:tc>
          <w:tcPr>
            <w:tcW w:w="1501" w:type="pct"/>
          </w:tcPr>
          <w:p w14:paraId="5BF41F1D" w14:textId="77777777" w:rsidR="00E46639" w:rsidRPr="00BD0DE3" w:rsidRDefault="00E46639" w:rsidP="00F16E23">
            <w:pPr>
              <w:pStyle w:val="TableText"/>
              <w:keepNext/>
              <w:spacing w:before="40" w:after="30"/>
              <w:jc w:val="right"/>
              <w:rPr>
                <w:szCs w:val="16"/>
                <w:vertAlign w:val="superscript"/>
              </w:rPr>
            </w:pPr>
            <w:r w:rsidRPr="00BD0DE3">
              <w:rPr>
                <w:rFonts w:cs="Calibri"/>
                <w:szCs w:val="16"/>
              </w:rPr>
              <w:t>0.0042</w:t>
            </w:r>
          </w:p>
        </w:tc>
        <w:tc>
          <w:tcPr>
            <w:tcW w:w="1582" w:type="pct"/>
          </w:tcPr>
          <w:p w14:paraId="3F5A7BD2" w14:textId="77777777" w:rsidR="00E46639" w:rsidRPr="00BD0DE3" w:rsidRDefault="00E46639" w:rsidP="00F16E23">
            <w:pPr>
              <w:pStyle w:val="TableText"/>
              <w:keepNext/>
              <w:spacing w:before="40" w:after="30"/>
              <w:jc w:val="right"/>
              <w:rPr>
                <w:rFonts w:cs="Calibri"/>
                <w:szCs w:val="16"/>
              </w:rPr>
            </w:pPr>
            <w:r w:rsidRPr="00BD0DE3">
              <w:rPr>
                <w:rFonts w:cs="Calibri"/>
                <w:szCs w:val="16"/>
              </w:rPr>
              <w:t>0.0040</w:t>
            </w:r>
          </w:p>
        </w:tc>
      </w:tr>
      <w:tr w:rsidR="00E46639" w:rsidRPr="0028033B" w14:paraId="6BE798D5" w14:textId="77777777" w:rsidTr="00AD46CB">
        <w:tc>
          <w:tcPr>
            <w:tcW w:w="1917" w:type="pct"/>
          </w:tcPr>
          <w:p w14:paraId="5ACA27D8" w14:textId="77777777" w:rsidR="00E46639" w:rsidRPr="0028033B" w:rsidRDefault="00E46639" w:rsidP="00F16E23">
            <w:pPr>
              <w:pStyle w:val="TableText"/>
              <w:spacing w:before="40" w:after="30"/>
              <w:rPr>
                <w:rFonts w:cs="Calibri"/>
                <w:szCs w:val="16"/>
              </w:rPr>
            </w:pPr>
            <w:r w:rsidRPr="0028033B">
              <w:rPr>
                <w:rFonts w:cs="Calibri"/>
                <w:szCs w:val="16"/>
              </w:rPr>
              <w:t>New Zealand-specific IEF 2024 value</w:t>
            </w:r>
          </w:p>
        </w:tc>
        <w:tc>
          <w:tcPr>
            <w:tcW w:w="1501" w:type="pct"/>
            <w:vAlign w:val="bottom"/>
          </w:tcPr>
          <w:p w14:paraId="186777EA" w14:textId="77777777" w:rsidR="00E46639" w:rsidRPr="0028033B" w:rsidRDefault="00E46639" w:rsidP="00F16E23">
            <w:pPr>
              <w:pStyle w:val="TableText"/>
              <w:spacing w:before="40" w:after="30"/>
              <w:jc w:val="right"/>
              <w:rPr>
                <w:rFonts w:cs="Calibri"/>
                <w:szCs w:val="16"/>
              </w:rPr>
            </w:pPr>
            <w:r w:rsidRPr="0028033B">
              <w:rPr>
                <w:rFonts w:cs="Calibri"/>
                <w:szCs w:val="16"/>
              </w:rPr>
              <w:t>0.0059</w:t>
            </w:r>
          </w:p>
        </w:tc>
        <w:tc>
          <w:tcPr>
            <w:tcW w:w="1582" w:type="pct"/>
            <w:vAlign w:val="bottom"/>
          </w:tcPr>
          <w:p w14:paraId="54701BCE" w14:textId="77777777" w:rsidR="00E46639" w:rsidRPr="0028033B" w:rsidRDefault="00E46639" w:rsidP="00F16E23">
            <w:pPr>
              <w:pStyle w:val="TableText"/>
              <w:spacing w:before="40" w:after="30"/>
              <w:jc w:val="right"/>
              <w:rPr>
                <w:rFonts w:cs="Calibri"/>
                <w:szCs w:val="16"/>
              </w:rPr>
            </w:pPr>
            <w:r w:rsidRPr="0028033B">
              <w:rPr>
                <w:rFonts w:cs="Calibri"/>
                <w:szCs w:val="16"/>
              </w:rPr>
              <w:t>0.0054</w:t>
            </w:r>
          </w:p>
        </w:tc>
      </w:tr>
    </w:tbl>
    <w:p w14:paraId="2EDF0BE8" w14:textId="77777777" w:rsidR="00E46639" w:rsidRPr="0028033B" w:rsidRDefault="00E46639" w:rsidP="00E46639">
      <w:pPr>
        <w:pStyle w:val="BodyText"/>
        <w:spacing w:before="240"/>
        <w:rPr>
          <w:spacing w:val="-2"/>
        </w:rPr>
      </w:pPr>
      <w:r w:rsidRPr="0028033B">
        <w:t>Table 5.5.12 compares the New Zealand-specific values Frac</w:t>
      </w:r>
      <w:r w:rsidRPr="0028033B">
        <w:rPr>
          <w:vertAlign w:val="subscript"/>
        </w:rPr>
        <w:t>GASF</w:t>
      </w:r>
      <w:r w:rsidRPr="0028033B">
        <w:t>, Frac</w:t>
      </w:r>
      <w:r w:rsidRPr="0028033B">
        <w:rPr>
          <w:vertAlign w:val="subscript"/>
        </w:rPr>
        <w:t>GASM</w:t>
      </w:r>
      <w:r w:rsidRPr="0028033B">
        <w:t xml:space="preserve"> and Frac</w:t>
      </w:r>
      <w:r w:rsidRPr="0028033B">
        <w:rPr>
          <w:vertAlign w:val="subscript"/>
        </w:rPr>
        <w:t>LEACH-H</w:t>
      </w:r>
      <w:r w:rsidRPr="0028033B">
        <w:t xml:space="preserve"> with </w:t>
      </w:r>
      <w:r w:rsidRPr="0028033B">
        <w:rPr>
          <w:spacing w:val="-2"/>
        </w:rPr>
        <w:t xml:space="preserve">the 2006 IPCC default and fractions used by Australia. </w:t>
      </w:r>
    </w:p>
    <w:p w14:paraId="3DD885BE" w14:textId="77777777" w:rsidR="00E46639" w:rsidRPr="0028033B" w:rsidRDefault="00E46639" w:rsidP="00E46639">
      <w:pPr>
        <w:pStyle w:val="BodyText"/>
        <w:spacing w:before="100" w:after="100"/>
        <w:rPr>
          <w:rFonts w:cs="Calibri"/>
        </w:rPr>
      </w:pPr>
      <w:r w:rsidRPr="0028033B">
        <w:rPr>
          <w:rFonts w:cs="Calibri"/>
        </w:rPr>
        <w:t>New Zealand</w:t>
      </w:r>
      <w:r w:rsidRPr="0028033B">
        <w:rPr>
          <w:rFonts w:cs="Calibri"/>
          <w:spacing w:val="-2"/>
        </w:rPr>
        <w:t xml:space="preserve"> has taken a country </w:t>
      </w:r>
      <w:r w:rsidRPr="0028033B">
        <w:rPr>
          <w:rFonts w:cs="Calibri"/>
          <w:spacing w:val="-2"/>
        </w:rPr>
        <w:noBreakHyphen/>
        <w:t>specific</w:t>
      </w:r>
      <w:r w:rsidRPr="0028033B">
        <w:rPr>
          <w:rFonts w:cs="Calibri"/>
        </w:rPr>
        <w:t xml:space="preserve"> value for Frac</w:t>
      </w:r>
      <w:r w:rsidRPr="0028033B">
        <w:rPr>
          <w:rFonts w:cs="Calibri"/>
          <w:vertAlign w:val="subscript"/>
        </w:rPr>
        <w:t>GASF</w:t>
      </w:r>
      <w:r w:rsidRPr="0028033B">
        <w:rPr>
          <w:rFonts w:cs="Calibri"/>
        </w:rPr>
        <w:t xml:space="preserve"> of 0.1 for uncoated urea and 0.055 for urease inhibitor coated urea. For more information on urease inhibitors see section 5.5.2.</w:t>
      </w:r>
    </w:p>
    <w:p w14:paraId="368FA849" w14:textId="77777777" w:rsidR="00E46639" w:rsidRPr="0028033B" w:rsidRDefault="00E46639" w:rsidP="00E46639">
      <w:pPr>
        <w:pStyle w:val="BodyText"/>
        <w:spacing w:before="100" w:after="100"/>
        <w:rPr>
          <w:lang w:eastAsia="en-GB"/>
        </w:rPr>
      </w:pPr>
      <w:r w:rsidRPr="0028033B">
        <w:rPr>
          <w:rFonts w:cs="Calibri"/>
        </w:rPr>
        <w:t>The Frac</w:t>
      </w:r>
      <w:r w:rsidRPr="0028033B">
        <w:rPr>
          <w:rFonts w:cs="Calibri"/>
          <w:vertAlign w:val="subscript"/>
        </w:rPr>
        <w:t>GASF</w:t>
      </w:r>
      <w:r w:rsidRPr="0028033B">
        <w:rPr>
          <w:rFonts w:cs="Calibri"/>
        </w:rPr>
        <w:t xml:space="preserve"> value for uncoated urea is the same as the 2006 IPCC default and almost identical </w:t>
      </w:r>
      <w:r w:rsidRPr="0028033B">
        <w:rPr>
          <w:rFonts w:cs="Calibri"/>
          <w:spacing w:val="-2"/>
        </w:rPr>
        <w:t xml:space="preserve">to that of Australia (0.11). Research showed that the 0.1 value was appropriate for </w:t>
      </w:r>
      <w:r w:rsidRPr="0028033B" w:rsidDel="008B12D6">
        <w:rPr>
          <w:rFonts w:cs="Calibri"/>
          <w:spacing w:val="-2"/>
        </w:rPr>
        <w:t xml:space="preserve">New </w:t>
      </w:r>
      <w:r w:rsidRPr="0028033B">
        <w:rPr>
          <w:rFonts w:cs="Calibri"/>
          <w:spacing w:val="-2"/>
        </w:rPr>
        <w:t>Zealand</w:t>
      </w:r>
      <w:r w:rsidRPr="0028033B">
        <w:rPr>
          <w:rFonts w:cs="Calibri"/>
        </w:rPr>
        <w:t xml:space="preserve"> conditions (Sherlock et al., 2011). </w:t>
      </w:r>
      <w:r w:rsidRPr="0028033B">
        <w:t>This research also showed that the previously used 2006 IPCC default value of 0.2 for Frac</w:t>
      </w:r>
      <w:r w:rsidRPr="0028033B">
        <w:rPr>
          <w:vertAlign w:val="subscript"/>
        </w:rPr>
        <w:t>GASM</w:t>
      </w:r>
      <w:r w:rsidRPr="0028033B">
        <w:t xml:space="preserve"> was too high and a lower value of 0.1 was adopted after an extensive review of scientific literature (Sherlock et al., 2011), which was also confirmed by subsequent field experiments (Laubach et al., 2012). The reduction in Frac</w:t>
      </w:r>
      <w:r w:rsidRPr="0028033B">
        <w:rPr>
          <w:vertAlign w:val="subscript"/>
        </w:rPr>
        <w:t>GASM</w:t>
      </w:r>
      <w:r w:rsidRPr="0028033B">
        <w:t xml:space="preserve"> is due to the proportion of the different sources that make up this value. In </w:t>
      </w:r>
      <w:r w:rsidRPr="0028033B">
        <w:rPr>
          <w:rFonts w:cs="Calibri"/>
          <w:spacing w:val="-2"/>
        </w:rPr>
        <w:t>New Zealand</w:t>
      </w:r>
      <w:r w:rsidRPr="0028033B">
        <w:t>, over 90 percent of animal excreta is deposited onto pasture and only a small proportion is managed in waste management systems. In contrast, the 2006 IPCC default value was calculated based on systems where a much higher percentage of manure management and storage is normal. Manure management and storage results in a much higher proportion of nitrogen being volatilised and, hence, the higher Frac</w:t>
      </w:r>
      <w:r w:rsidRPr="0028033B">
        <w:rPr>
          <w:vertAlign w:val="subscript"/>
        </w:rPr>
        <w:t>GASM</w:t>
      </w:r>
      <w:r w:rsidRPr="0028033B">
        <w:t xml:space="preserve"> for the default value compared with the country-specific </w:t>
      </w:r>
      <w:r w:rsidRPr="0028033B" w:rsidDel="00CB78AE">
        <w:rPr>
          <w:rFonts w:cs="Calibri"/>
          <w:spacing w:val="-2"/>
        </w:rPr>
        <w:t xml:space="preserve">New </w:t>
      </w:r>
      <w:r w:rsidRPr="0028033B">
        <w:rPr>
          <w:rFonts w:cs="Calibri"/>
          <w:spacing w:val="-2"/>
        </w:rPr>
        <w:t>Zealand</w:t>
      </w:r>
      <w:r w:rsidRPr="0028033B">
        <w:t xml:space="preserve"> value. </w:t>
      </w:r>
    </w:p>
    <w:p w14:paraId="4037BF54" w14:textId="77777777" w:rsidR="00E46639" w:rsidRPr="0028033B" w:rsidRDefault="00E46639" w:rsidP="00E46639">
      <w:pPr>
        <w:pStyle w:val="BodyText"/>
        <w:spacing w:before="100" w:after="100"/>
      </w:pPr>
      <w:r w:rsidRPr="0028033B" w:rsidDel="00CB78AE">
        <w:rPr>
          <w:rFonts w:cs="Calibri"/>
          <w:spacing w:val="-2"/>
        </w:rPr>
        <w:t xml:space="preserve">New </w:t>
      </w:r>
      <w:r w:rsidRPr="0028033B">
        <w:rPr>
          <w:rFonts w:cs="Calibri"/>
          <w:spacing w:val="-2"/>
        </w:rPr>
        <w:t>Zealand</w:t>
      </w:r>
      <w:r w:rsidRPr="0028033B">
        <w:t xml:space="preserve"> also has much lower values of Frac</w:t>
      </w:r>
      <w:r w:rsidRPr="0028033B">
        <w:rPr>
          <w:vertAlign w:val="subscript"/>
        </w:rPr>
        <w:t>LEACH</w:t>
      </w:r>
      <w:r w:rsidRPr="0028033B" w:rsidDel="009C0F97">
        <w:rPr>
          <w:vertAlign w:val="subscript"/>
        </w:rPr>
        <w:t>-H</w:t>
      </w:r>
      <w:r w:rsidRPr="0028033B" w:rsidDel="009C0F97">
        <w:t>.</w:t>
      </w:r>
      <w:r w:rsidRPr="0028033B">
        <w:t xml:space="preserve"> Research suggests that </w:t>
      </w:r>
      <w:r w:rsidRPr="0028033B">
        <w:rPr>
          <w:rFonts w:cs="Calibri"/>
          <w:spacing w:val="-2"/>
        </w:rPr>
        <w:t>New Zealand</w:t>
      </w:r>
      <w:r w:rsidRPr="0028033B">
        <w:t xml:space="preserve"> applies a much lower rate of nitrogen fertiliser at each application than was assumed when the IPCC default value was developed (Thomas et al., 2005). When the OverseerFM nutrient budget model (Wheeler et al., 2003) took this lower rate into account, the extent of leaching was much lower than when compared with farms with</w:t>
      </w:r>
      <w:r w:rsidRPr="0028033B" w:rsidDel="00EB6389">
        <w:t xml:space="preserve"> </w:t>
      </w:r>
      <w:r w:rsidRPr="0028033B">
        <w:t xml:space="preserve">greater nitrogen fertiliser rates, which can be typical in other developed countries. </w:t>
      </w:r>
    </w:p>
    <w:p w14:paraId="35B3C5F2" w14:textId="77777777" w:rsidR="00E46639" w:rsidRPr="0028033B" w:rsidRDefault="00E46639" w:rsidP="00E46639">
      <w:pPr>
        <w:pStyle w:val="Table"/>
        <w:rPr>
          <w:rFonts w:cs="Calibri"/>
        </w:rPr>
      </w:pPr>
      <w:bookmarkStart w:id="1342" w:name="_Toc441830889"/>
      <w:bookmarkStart w:id="1343" w:name="_Toc288316760"/>
      <w:bookmarkStart w:id="1344" w:name="_Toc352504978"/>
      <w:bookmarkStart w:id="1345" w:name="_Toc451176103"/>
      <w:bookmarkStart w:id="1346" w:name="_Toc481751530"/>
      <w:bookmarkStart w:id="1347" w:name="_Toc507158618"/>
      <w:bookmarkStart w:id="1348" w:name="_Toc511116752"/>
      <w:bookmarkStart w:id="1349" w:name="_Toc5269494"/>
      <w:bookmarkStart w:id="1350" w:name="_Toc32570939"/>
      <w:bookmarkStart w:id="1351" w:name="_Toc36224574"/>
      <w:bookmarkStart w:id="1352" w:name="_Toc68786459"/>
      <w:bookmarkStart w:id="1353" w:name="_Toc95574092"/>
      <w:bookmarkStart w:id="1354" w:name="_Toc127458279"/>
      <w:bookmarkStart w:id="1355" w:name="_Toc131591375"/>
      <w:bookmarkStart w:id="1356" w:name="_Toc160114469"/>
      <w:bookmarkStart w:id="1357" w:name="_Toc164153865"/>
      <w:bookmarkStart w:id="1358" w:name="_Toc222407657"/>
      <w:bookmarkStart w:id="1359" w:name="_Toc226669032"/>
      <w:r w:rsidRPr="0028033B">
        <w:rPr>
          <w:rFonts w:cs="Calibri"/>
        </w:rPr>
        <w:t>Table 5.5.12</w:t>
      </w:r>
      <w:r w:rsidRPr="0028033B">
        <w:rPr>
          <w:rFonts w:cs="Calibri"/>
        </w:rPr>
        <w:tab/>
        <w:t xml:space="preserve">Comparison of </w:t>
      </w:r>
      <w:r w:rsidRPr="0028033B">
        <w:rPr>
          <w:rFonts w:cs="Calibri"/>
          <w:spacing w:val="-2"/>
        </w:rPr>
        <w:t>New Zealand’s</w:t>
      </w:r>
      <w:r w:rsidRPr="0028033B">
        <w:rPr>
          <w:rFonts w:cs="Calibri"/>
        </w:rPr>
        <w:t xml:space="preserve"> country-specific factors for volatilisation (Frac</w:t>
      </w:r>
      <w:r w:rsidRPr="0028033B">
        <w:rPr>
          <w:rFonts w:cs="Calibri"/>
          <w:vertAlign w:val="subscript"/>
        </w:rPr>
        <w:t>GASF</w:t>
      </w:r>
      <w:r w:rsidRPr="0028033B">
        <w:rPr>
          <w:rFonts w:cs="Calibri"/>
        </w:rPr>
        <w:t>, Frac</w:t>
      </w:r>
      <w:r w:rsidRPr="0028033B">
        <w:rPr>
          <w:rFonts w:cs="Calibri"/>
          <w:vertAlign w:val="subscript"/>
        </w:rPr>
        <w:t>GASM</w:t>
      </w:r>
      <w:r w:rsidRPr="0028033B">
        <w:rPr>
          <w:rFonts w:cs="Calibri"/>
        </w:rPr>
        <w:t>) and leaching and runoff (Frac</w:t>
      </w:r>
      <w:r w:rsidRPr="0028033B">
        <w:rPr>
          <w:rFonts w:cs="Calibri"/>
          <w:vertAlign w:val="subscript"/>
        </w:rPr>
        <w:t>LEACH-(H)</w:t>
      </w:r>
      <w:r w:rsidRPr="0028033B">
        <w:rPr>
          <w:rFonts w:cs="Calibri"/>
        </w:rPr>
        <w:t>) with the IPCC default value and the Australia</w:t>
      </w:r>
      <w:bookmarkEnd w:id="1342"/>
      <w:r w:rsidRPr="0028033B">
        <w:rPr>
          <w:rFonts w:cs="Calibri"/>
        </w:rPr>
        <w:t>n implied emission factor (IEF</w:t>
      </w:r>
      <w:bookmarkEnd w:id="1343"/>
      <w:bookmarkEnd w:id="1344"/>
      <w:bookmarkEnd w:id="1345"/>
      <w:bookmarkEnd w:id="1346"/>
      <w:r w:rsidRPr="0028033B">
        <w:rPr>
          <w:rFonts w:cs="Calibri"/>
        </w:rPr>
        <w:t>)</w:t>
      </w:r>
      <w:bookmarkEnd w:id="1347"/>
      <w:bookmarkEnd w:id="1348"/>
      <w:bookmarkEnd w:id="1349"/>
      <w:bookmarkEnd w:id="1350"/>
      <w:bookmarkEnd w:id="1351"/>
      <w:bookmarkEnd w:id="1352"/>
      <w:bookmarkEnd w:id="1353"/>
      <w:bookmarkEnd w:id="1354"/>
      <w:bookmarkEnd w:id="1355"/>
      <w:bookmarkEnd w:id="1356"/>
      <w:bookmarkEnd w:id="1357"/>
      <w:bookmarkEnd w:id="1358"/>
      <w:bookmarkEnd w:id="1359"/>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1E0" w:firstRow="1" w:lastRow="1" w:firstColumn="1" w:lastColumn="1" w:noHBand="0" w:noVBand="0"/>
      </w:tblPr>
      <w:tblGrid>
        <w:gridCol w:w="2554"/>
        <w:gridCol w:w="1982"/>
        <w:gridCol w:w="1985"/>
        <w:gridCol w:w="1975"/>
        <w:gridCol w:w="9"/>
      </w:tblGrid>
      <w:tr w:rsidR="00E46639" w:rsidRPr="0028033B" w14:paraId="4766ABFF" w14:textId="77777777" w:rsidTr="00F16E23">
        <w:trPr>
          <w:gridAfter w:val="1"/>
          <w:wAfter w:w="5" w:type="pct"/>
        </w:trPr>
        <w:tc>
          <w:tcPr>
            <w:tcW w:w="1501" w:type="pct"/>
            <w:shd w:val="clear" w:color="auto" w:fill="1B556B"/>
            <w:vAlign w:val="bottom"/>
          </w:tcPr>
          <w:p w14:paraId="4CBD92E1" w14:textId="77777777" w:rsidR="00E46639" w:rsidRPr="0028033B" w:rsidRDefault="00E46639" w:rsidP="00F16E23">
            <w:pPr>
              <w:pStyle w:val="TableTextBold"/>
              <w:keepNext/>
              <w:spacing w:before="40" w:after="40"/>
              <w:rPr>
                <w:noProof w:val="0"/>
                <w:color w:val="FFFFFF" w:themeColor="background1"/>
              </w:rPr>
            </w:pPr>
          </w:p>
        </w:tc>
        <w:tc>
          <w:tcPr>
            <w:tcW w:w="1165" w:type="pct"/>
            <w:shd w:val="clear" w:color="auto" w:fill="1B556B"/>
            <w:vAlign w:val="bottom"/>
          </w:tcPr>
          <w:p w14:paraId="1FB8A3E6"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Frac</w:t>
            </w:r>
            <w:r w:rsidRPr="0028033B">
              <w:rPr>
                <w:noProof w:val="0"/>
                <w:color w:val="FFFFFF" w:themeColor="background1"/>
                <w:vertAlign w:val="subscript"/>
              </w:rPr>
              <w:t xml:space="preserve">GASF </w:t>
            </w:r>
            <w:r w:rsidRPr="0028033B">
              <w:rPr>
                <w:noProof w:val="0"/>
                <w:color w:val="FFFFFF" w:themeColor="background1"/>
              </w:rPr>
              <w:t>(kg NH</w:t>
            </w:r>
            <w:r w:rsidRPr="0028033B">
              <w:rPr>
                <w:noProof w:val="0"/>
                <w:color w:val="FFFFFF" w:themeColor="background1"/>
                <w:vertAlign w:val="subscript"/>
              </w:rPr>
              <w:t>3</w:t>
            </w:r>
            <w:r w:rsidRPr="0028033B">
              <w:rPr>
                <w:noProof w:val="0"/>
                <w:color w:val="FFFFFF" w:themeColor="background1"/>
              </w:rPr>
              <w:t>-N and NO</w:t>
            </w:r>
            <w:r w:rsidRPr="0028033B">
              <w:rPr>
                <w:noProof w:val="0"/>
                <w:color w:val="FFFFFF" w:themeColor="background1"/>
                <w:vertAlign w:val="subscript"/>
              </w:rPr>
              <w:t>x</w:t>
            </w:r>
            <w:r w:rsidRPr="0028033B">
              <w:rPr>
                <w:noProof w:val="0"/>
                <w:color w:val="FFFFFF" w:themeColor="background1"/>
              </w:rPr>
              <w:t>-N/kg of N input)</w:t>
            </w:r>
          </w:p>
        </w:tc>
        <w:tc>
          <w:tcPr>
            <w:tcW w:w="1167" w:type="pct"/>
            <w:shd w:val="clear" w:color="auto" w:fill="1B556B"/>
            <w:vAlign w:val="bottom"/>
          </w:tcPr>
          <w:p w14:paraId="09746016"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Frac</w:t>
            </w:r>
            <w:r w:rsidRPr="0028033B">
              <w:rPr>
                <w:noProof w:val="0"/>
                <w:color w:val="FFFFFF" w:themeColor="background1"/>
                <w:vertAlign w:val="subscript"/>
              </w:rPr>
              <w:t xml:space="preserve">GASM </w:t>
            </w:r>
            <w:r w:rsidRPr="0028033B">
              <w:rPr>
                <w:noProof w:val="0"/>
                <w:color w:val="FFFFFF" w:themeColor="background1"/>
              </w:rPr>
              <w:t>(kg NH</w:t>
            </w:r>
            <w:r w:rsidRPr="0028033B">
              <w:rPr>
                <w:noProof w:val="0"/>
                <w:color w:val="FFFFFF" w:themeColor="background1"/>
                <w:vertAlign w:val="subscript"/>
              </w:rPr>
              <w:t>3</w:t>
            </w:r>
            <w:r w:rsidRPr="0028033B">
              <w:rPr>
                <w:noProof w:val="0"/>
                <w:color w:val="FFFFFF" w:themeColor="background1"/>
              </w:rPr>
              <w:t>-N and NO</w:t>
            </w:r>
            <w:r w:rsidRPr="0028033B">
              <w:rPr>
                <w:noProof w:val="0"/>
                <w:color w:val="FFFFFF" w:themeColor="background1"/>
                <w:vertAlign w:val="subscript"/>
              </w:rPr>
              <w:t>x</w:t>
            </w:r>
            <w:r w:rsidRPr="0028033B">
              <w:rPr>
                <w:noProof w:val="0"/>
                <w:color w:val="FFFFFF" w:themeColor="background1"/>
              </w:rPr>
              <w:noBreakHyphen/>
              <w:t>N/kg of N excreted)</w:t>
            </w:r>
          </w:p>
        </w:tc>
        <w:tc>
          <w:tcPr>
            <w:tcW w:w="1161" w:type="pct"/>
            <w:shd w:val="clear" w:color="auto" w:fill="1B556B"/>
            <w:vAlign w:val="bottom"/>
          </w:tcPr>
          <w:p w14:paraId="5096E1F1" w14:textId="77777777" w:rsidR="00E46639" w:rsidRPr="0028033B" w:rsidRDefault="00E46639" w:rsidP="00F16E23">
            <w:pPr>
              <w:pStyle w:val="TableTextBold"/>
              <w:keepNext/>
              <w:spacing w:before="40" w:after="40"/>
              <w:jc w:val="right"/>
              <w:rPr>
                <w:noProof w:val="0"/>
                <w:color w:val="FFFFFF" w:themeColor="background1"/>
              </w:rPr>
            </w:pPr>
            <w:r w:rsidRPr="0028033B">
              <w:rPr>
                <w:noProof w:val="0"/>
                <w:color w:val="FFFFFF" w:themeColor="background1"/>
              </w:rPr>
              <w:t>Frac</w:t>
            </w:r>
            <w:r w:rsidRPr="0028033B">
              <w:rPr>
                <w:noProof w:val="0"/>
                <w:color w:val="FFFFFF" w:themeColor="background1"/>
                <w:vertAlign w:val="subscript"/>
              </w:rPr>
              <w:t xml:space="preserve">LEACH-(H) </w:t>
            </w:r>
            <w:r w:rsidRPr="0028033B">
              <w:rPr>
                <w:noProof w:val="0"/>
                <w:color w:val="FFFFFF" w:themeColor="background1"/>
              </w:rPr>
              <w:t>(kg N/kg fertiliser or manure N)</w:t>
            </w:r>
          </w:p>
        </w:tc>
      </w:tr>
      <w:tr w:rsidR="00E46639" w:rsidRPr="0028033B" w14:paraId="37252010" w14:textId="77777777" w:rsidTr="00F16E23">
        <w:tc>
          <w:tcPr>
            <w:tcW w:w="1501" w:type="pct"/>
          </w:tcPr>
          <w:p w14:paraId="48E1407C" w14:textId="77777777" w:rsidR="00E46639" w:rsidRPr="0028033B" w:rsidRDefault="00E46639" w:rsidP="00F16E23">
            <w:pPr>
              <w:pStyle w:val="TableText"/>
              <w:keepNext/>
              <w:spacing w:before="40" w:after="40"/>
              <w:rPr>
                <w:rFonts w:cs="Calibri"/>
                <w:szCs w:val="16"/>
              </w:rPr>
            </w:pPr>
            <w:r w:rsidRPr="0028033B">
              <w:rPr>
                <w:rFonts w:cs="Calibri"/>
                <w:szCs w:val="16"/>
              </w:rPr>
              <w:t>IPCC (2006) default value</w:t>
            </w:r>
          </w:p>
        </w:tc>
        <w:tc>
          <w:tcPr>
            <w:tcW w:w="1165" w:type="pct"/>
          </w:tcPr>
          <w:p w14:paraId="0473AFA4" w14:textId="77777777" w:rsidR="00E46639" w:rsidRPr="0028033B" w:rsidRDefault="00E46639" w:rsidP="00F16E23">
            <w:pPr>
              <w:pStyle w:val="TableText"/>
              <w:keepNext/>
              <w:spacing w:before="40" w:after="40"/>
              <w:jc w:val="right"/>
              <w:rPr>
                <w:rFonts w:cs="Calibri"/>
                <w:szCs w:val="16"/>
              </w:rPr>
            </w:pPr>
            <w:r w:rsidRPr="0028033B">
              <w:rPr>
                <w:rFonts w:cs="Calibri"/>
                <w:szCs w:val="16"/>
              </w:rPr>
              <w:t>0.1</w:t>
            </w:r>
          </w:p>
        </w:tc>
        <w:tc>
          <w:tcPr>
            <w:tcW w:w="1167" w:type="pct"/>
          </w:tcPr>
          <w:p w14:paraId="6525CAD7" w14:textId="77777777" w:rsidR="00E46639" w:rsidRPr="0028033B" w:rsidRDefault="00E46639" w:rsidP="00F16E23">
            <w:pPr>
              <w:pStyle w:val="TableText"/>
              <w:keepNext/>
              <w:spacing w:before="40" w:after="40"/>
              <w:jc w:val="right"/>
              <w:rPr>
                <w:rFonts w:cs="Calibri"/>
                <w:szCs w:val="16"/>
              </w:rPr>
            </w:pPr>
            <w:r w:rsidRPr="0028033B">
              <w:rPr>
                <w:rFonts w:cs="Calibri"/>
                <w:szCs w:val="16"/>
              </w:rPr>
              <w:t>0.2</w:t>
            </w:r>
          </w:p>
        </w:tc>
        <w:tc>
          <w:tcPr>
            <w:tcW w:w="1166" w:type="pct"/>
            <w:gridSpan w:val="2"/>
          </w:tcPr>
          <w:p w14:paraId="75E39702" w14:textId="77777777" w:rsidR="00E46639" w:rsidRPr="0028033B" w:rsidRDefault="00E46639" w:rsidP="00F16E23">
            <w:pPr>
              <w:pStyle w:val="TableText"/>
              <w:keepNext/>
              <w:spacing w:before="40" w:after="40"/>
              <w:jc w:val="right"/>
              <w:rPr>
                <w:rFonts w:cs="Calibri"/>
                <w:szCs w:val="16"/>
              </w:rPr>
            </w:pPr>
            <w:r w:rsidRPr="0028033B">
              <w:rPr>
                <w:rFonts w:cs="Calibri"/>
                <w:szCs w:val="16"/>
              </w:rPr>
              <w:t>0.3</w:t>
            </w:r>
          </w:p>
        </w:tc>
      </w:tr>
      <w:tr w:rsidR="00E46639" w:rsidRPr="00BD0DE3" w14:paraId="2128F1E8" w14:textId="77777777" w:rsidTr="00F16E23">
        <w:tc>
          <w:tcPr>
            <w:tcW w:w="1501" w:type="pct"/>
          </w:tcPr>
          <w:p w14:paraId="264BD4DD" w14:textId="77777777" w:rsidR="00E46639" w:rsidRPr="00BD0DE3" w:rsidRDefault="00E46639" w:rsidP="00F16E23">
            <w:pPr>
              <w:pStyle w:val="TableText"/>
              <w:keepNext/>
              <w:spacing w:before="40" w:after="40"/>
              <w:rPr>
                <w:rFonts w:cs="Calibri"/>
                <w:szCs w:val="16"/>
              </w:rPr>
            </w:pPr>
            <w:r w:rsidRPr="00BD0DE3">
              <w:rPr>
                <w:rFonts w:cs="Calibri"/>
                <w:szCs w:val="16"/>
              </w:rPr>
              <w:t>Australian-specific 2023 value</w:t>
            </w:r>
            <w:r w:rsidRPr="00BD0DE3">
              <w:rPr>
                <w:rStyle w:val="FootnoteReference"/>
                <w:rFonts w:cs="Calibri"/>
                <w:sz w:val="16"/>
                <w:szCs w:val="16"/>
              </w:rPr>
              <w:footnoteReference w:id="49"/>
            </w:r>
          </w:p>
        </w:tc>
        <w:tc>
          <w:tcPr>
            <w:tcW w:w="1165" w:type="pct"/>
          </w:tcPr>
          <w:p w14:paraId="4631EDF6" w14:textId="77777777" w:rsidR="00E46639" w:rsidRPr="00BD0DE3" w:rsidRDefault="00E46639" w:rsidP="00F16E23">
            <w:pPr>
              <w:pStyle w:val="TableText"/>
              <w:keepNext/>
              <w:spacing w:before="40" w:after="40"/>
              <w:jc w:val="right"/>
              <w:rPr>
                <w:rFonts w:cs="Calibri"/>
                <w:szCs w:val="16"/>
              </w:rPr>
            </w:pPr>
            <w:r w:rsidRPr="00BD0DE3">
              <w:rPr>
                <w:rFonts w:cs="Calibri"/>
                <w:szCs w:val="16"/>
              </w:rPr>
              <w:t>0.11</w:t>
            </w:r>
          </w:p>
        </w:tc>
        <w:tc>
          <w:tcPr>
            <w:tcW w:w="1167" w:type="pct"/>
          </w:tcPr>
          <w:p w14:paraId="0482E1BE" w14:textId="77777777" w:rsidR="00E46639" w:rsidRPr="00BD0DE3" w:rsidRDefault="00E46639" w:rsidP="00F16E23">
            <w:pPr>
              <w:pStyle w:val="TableText"/>
              <w:keepNext/>
              <w:spacing w:before="40" w:after="40"/>
              <w:jc w:val="right"/>
              <w:rPr>
                <w:rFonts w:cs="Calibri"/>
                <w:szCs w:val="16"/>
              </w:rPr>
            </w:pPr>
            <w:r w:rsidRPr="00BD0DE3">
              <w:rPr>
                <w:rFonts w:cs="Calibri"/>
                <w:szCs w:val="16"/>
              </w:rPr>
              <w:t>0.21</w:t>
            </w:r>
          </w:p>
        </w:tc>
        <w:tc>
          <w:tcPr>
            <w:tcW w:w="1166" w:type="pct"/>
            <w:gridSpan w:val="2"/>
          </w:tcPr>
          <w:p w14:paraId="2C1AF4AA" w14:textId="77777777" w:rsidR="00E46639" w:rsidRPr="00BD0DE3" w:rsidRDefault="00E46639" w:rsidP="00F16E23">
            <w:pPr>
              <w:pStyle w:val="TableText"/>
              <w:keepNext/>
              <w:spacing w:before="40" w:after="40"/>
              <w:jc w:val="right"/>
              <w:rPr>
                <w:rFonts w:cs="Calibri"/>
                <w:szCs w:val="16"/>
              </w:rPr>
            </w:pPr>
            <w:r w:rsidRPr="00BD0DE3">
              <w:rPr>
                <w:rFonts w:cs="Calibri"/>
                <w:szCs w:val="16"/>
              </w:rPr>
              <w:t>0.24</w:t>
            </w:r>
          </w:p>
        </w:tc>
      </w:tr>
      <w:tr w:rsidR="00E46639" w:rsidRPr="0028033B" w14:paraId="39545B03" w14:textId="77777777" w:rsidTr="00F16E23">
        <w:tc>
          <w:tcPr>
            <w:tcW w:w="1501" w:type="pct"/>
          </w:tcPr>
          <w:p w14:paraId="3AD50415" w14:textId="77777777" w:rsidR="00E46639" w:rsidRPr="0028033B" w:rsidRDefault="00E46639" w:rsidP="00F16E23">
            <w:pPr>
              <w:pStyle w:val="TableText"/>
              <w:keepNext/>
              <w:spacing w:before="50" w:after="50"/>
              <w:rPr>
                <w:rFonts w:cs="Calibri"/>
                <w:szCs w:val="16"/>
              </w:rPr>
            </w:pPr>
            <w:r w:rsidRPr="0028033B">
              <w:rPr>
                <w:rFonts w:cs="Calibri"/>
                <w:szCs w:val="16"/>
              </w:rPr>
              <w:t>New Zealand-specific IEF 2024 value</w:t>
            </w:r>
          </w:p>
        </w:tc>
        <w:tc>
          <w:tcPr>
            <w:tcW w:w="1165" w:type="pct"/>
          </w:tcPr>
          <w:p w14:paraId="190A7951" w14:textId="77777777" w:rsidR="00E46639" w:rsidRPr="0028033B" w:rsidRDefault="00E46639" w:rsidP="00F16E23">
            <w:pPr>
              <w:pStyle w:val="TableText"/>
              <w:keepNext/>
              <w:spacing w:before="50" w:after="0"/>
              <w:jc w:val="right"/>
              <w:rPr>
                <w:rFonts w:cs="Calibri"/>
                <w:szCs w:val="16"/>
              </w:rPr>
            </w:pPr>
            <w:r w:rsidRPr="0028033B">
              <w:rPr>
                <w:rFonts w:cs="Calibri"/>
                <w:szCs w:val="16"/>
              </w:rPr>
              <w:t>0.1 (uncoated urea)</w:t>
            </w:r>
          </w:p>
          <w:p w14:paraId="41DCCA2E" w14:textId="77777777" w:rsidR="00E46639" w:rsidRPr="0028033B" w:rsidRDefault="00E46639" w:rsidP="00F16E23">
            <w:pPr>
              <w:pStyle w:val="TableText"/>
              <w:keepNext/>
              <w:spacing w:before="50" w:after="50"/>
              <w:jc w:val="right"/>
              <w:rPr>
                <w:rFonts w:cs="Calibri"/>
                <w:szCs w:val="16"/>
              </w:rPr>
            </w:pPr>
            <w:r w:rsidRPr="0028033B">
              <w:rPr>
                <w:rFonts w:cs="Calibri"/>
                <w:szCs w:val="16"/>
              </w:rPr>
              <w:t>0.055 (coated urea)</w:t>
            </w:r>
          </w:p>
        </w:tc>
        <w:tc>
          <w:tcPr>
            <w:tcW w:w="1167" w:type="pct"/>
          </w:tcPr>
          <w:p w14:paraId="4E451190" w14:textId="77777777" w:rsidR="00E46639" w:rsidRPr="0028033B" w:rsidRDefault="00E46639" w:rsidP="00F16E23">
            <w:pPr>
              <w:pStyle w:val="TableText"/>
              <w:keepNext/>
              <w:spacing w:before="50" w:after="50"/>
              <w:jc w:val="right"/>
              <w:rPr>
                <w:rFonts w:cs="Calibri"/>
                <w:szCs w:val="16"/>
              </w:rPr>
            </w:pPr>
            <w:r w:rsidRPr="0028033B">
              <w:rPr>
                <w:rFonts w:cs="Calibri"/>
                <w:szCs w:val="16"/>
              </w:rPr>
              <w:t>0.1</w:t>
            </w:r>
          </w:p>
        </w:tc>
        <w:tc>
          <w:tcPr>
            <w:tcW w:w="1166" w:type="pct"/>
            <w:gridSpan w:val="2"/>
          </w:tcPr>
          <w:p w14:paraId="4ABFACC2" w14:textId="77777777" w:rsidR="00E46639" w:rsidRPr="0028033B" w:rsidRDefault="00E46639" w:rsidP="00F16E23">
            <w:pPr>
              <w:pStyle w:val="TableText"/>
              <w:keepNext/>
              <w:spacing w:before="50" w:after="0"/>
              <w:jc w:val="right"/>
              <w:rPr>
                <w:rFonts w:cs="Calibri"/>
                <w:szCs w:val="16"/>
              </w:rPr>
            </w:pPr>
            <w:r w:rsidRPr="0028033B">
              <w:rPr>
                <w:rFonts w:cs="Calibri"/>
                <w:szCs w:val="16"/>
              </w:rPr>
              <w:t>0.10 (cropland)</w:t>
            </w:r>
          </w:p>
          <w:p w14:paraId="36537A73" w14:textId="77777777" w:rsidR="00E46639" w:rsidRPr="0028033B" w:rsidRDefault="00E46639" w:rsidP="00F16E23">
            <w:pPr>
              <w:pStyle w:val="TableText"/>
              <w:keepNext/>
              <w:spacing w:before="50" w:after="0"/>
              <w:jc w:val="right"/>
              <w:rPr>
                <w:rFonts w:cs="Calibri"/>
                <w:szCs w:val="16"/>
              </w:rPr>
            </w:pPr>
            <w:r w:rsidRPr="0028033B">
              <w:rPr>
                <w:rFonts w:cs="Calibri"/>
                <w:szCs w:val="16"/>
              </w:rPr>
              <w:t>0.08 (grassland)</w:t>
            </w:r>
          </w:p>
          <w:p w14:paraId="3B8D5DCD" w14:textId="77777777" w:rsidR="00E46639" w:rsidRPr="0028033B" w:rsidRDefault="00E46639" w:rsidP="00F16E23">
            <w:pPr>
              <w:pStyle w:val="TableText"/>
              <w:keepNext/>
              <w:spacing w:before="50" w:after="40"/>
              <w:jc w:val="right"/>
              <w:rPr>
                <w:rFonts w:cs="Calibri"/>
                <w:szCs w:val="16"/>
              </w:rPr>
            </w:pPr>
            <w:r w:rsidRPr="0028033B">
              <w:rPr>
                <w:rFonts w:cs="Calibri"/>
                <w:szCs w:val="16"/>
              </w:rPr>
              <w:t>0.082 (nitrogen fertiliser)</w:t>
            </w:r>
          </w:p>
        </w:tc>
      </w:tr>
    </w:tbl>
    <w:p w14:paraId="74345E40" w14:textId="77777777" w:rsidR="00E46639" w:rsidRPr="0028033B" w:rsidRDefault="00E46639" w:rsidP="00E46639">
      <w:pPr>
        <w:pStyle w:val="Heading3"/>
        <w:spacing w:before="440"/>
      </w:pPr>
      <w:bookmarkStart w:id="1360" w:name="_Toc139253937"/>
      <w:bookmarkStart w:id="1361" w:name="_Toc32570671"/>
      <w:r w:rsidRPr="0028033B">
        <w:t>5.5.5</w:t>
      </w:r>
      <w:r w:rsidRPr="0028033B">
        <w:tab/>
        <w:t>Category-specific recalculations</w:t>
      </w:r>
      <w:bookmarkEnd w:id="1360"/>
      <w:bookmarkEnd w:id="1361"/>
    </w:p>
    <w:p w14:paraId="1810A720" w14:textId="77777777" w:rsidR="00E46639" w:rsidRPr="0028033B" w:rsidRDefault="00E46639" w:rsidP="00E46639">
      <w:pPr>
        <w:pStyle w:val="BodyText"/>
        <w:rPr>
          <w:rFonts w:cs="Calibri"/>
          <w:color w:val="000000"/>
          <w:spacing w:val="-2"/>
          <w:shd w:val="clear" w:color="auto" w:fill="FFFFFF"/>
        </w:rPr>
      </w:pPr>
      <w:r w:rsidRPr="0028033B">
        <w:rPr>
          <w:spacing w:val="-2"/>
        </w:rPr>
        <w:t xml:space="preserve">Emissions estimates in the </w:t>
      </w:r>
      <w:r w:rsidRPr="0028033B">
        <w:rPr>
          <w:i/>
          <w:spacing w:val="-2"/>
        </w:rPr>
        <w:t xml:space="preserve">Agricultural </w:t>
      </w:r>
      <w:r w:rsidRPr="0028033B">
        <w:rPr>
          <w:i/>
          <w:iCs/>
          <w:spacing w:val="-2"/>
        </w:rPr>
        <w:t>soils</w:t>
      </w:r>
      <w:r w:rsidRPr="0028033B">
        <w:rPr>
          <w:spacing w:val="-2"/>
        </w:rPr>
        <w:t xml:space="preserve"> category reported in the 2025 submission have been affected by</w:t>
      </w:r>
      <w:r w:rsidRPr="0028033B">
        <w:rPr>
          <w:rFonts w:cs="Calibri"/>
          <w:color w:val="000000"/>
          <w:spacing w:val="-2"/>
          <w:shd w:val="clear" w:color="auto" w:fill="FFFFFF"/>
        </w:rPr>
        <w:t xml:space="preserve"> </w:t>
      </w:r>
      <w:r w:rsidRPr="0028033B">
        <w:rPr>
          <w:color w:val="000000"/>
          <w:spacing w:val="-2"/>
          <w:shd w:val="clear" w:color="auto" w:fill="FFFFFF"/>
        </w:rPr>
        <w:t xml:space="preserve">methodological </w:t>
      </w:r>
      <w:bookmarkStart w:id="1362" w:name="_Hlk91059730"/>
      <w:r w:rsidRPr="0028033B">
        <w:rPr>
          <w:color w:val="000000"/>
          <w:spacing w:val="-2"/>
          <w:shd w:val="clear" w:color="auto" w:fill="FFFFFF"/>
        </w:rPr>
        <w:t>improvements</w:t>
      </w:r>
      <w:r w:rsidRPr="0028033B">
        <w:rPr>
          <w:rFonts w:cs="Calibri"/>
          <w:color w:val="000000"/>
          <w:spacing w:val="-2"/>
          <w:shd w:val="clear" w:color="auto" w:fill="FFFFFF"/>
        </w:rPr>
        <w:t xml:space="preserve"> to: </w:t>
      </w:r>
      <w:r w:rsidRPr="0028033B">
        <w:rPr>
          <w:rFonts w:cs="Calibri"/>
          <w:color w:val="000000" w:themeColor="text1"/>
          <w:spacing w:val="-2"/>
          <w:shd w:val="clear" w:color="auto" w:fill="FFFFFF"/>
        </w:rPr>
        <w:t xml:space="preserve">(i) </w:t>
      </w:r>
      <w:r w:rsidRPr="0028033B">
        <w:rPr>
          <w:rFonts w:cs="Arial"/>
          <w:color w:val="000000" w:themeColor="text1"/>
          <w:spacing w:val="-2"/>
        </w:rPr>
        <w:t>EF</w:t>
      </w:r>
      <w:r w:rsidRPr="0028033B">
        <w:rPr>
          <w:rFonts w:cs="Arial"/>
          <w:color w:val="000000" w:themeColor="text1"/>
          <w:spacing w:val="-2"/>
          <w:vertAlign w:val="subscript"/>
        </w:rPr>
        <w:t>1</w:t>
      </w:r>
      <w:r w:rsidRPr="0028033B">
        <w:rPr>
          <w:rFonts w:cs="Arial"/>
          <w:color w:val="000000" w:themeColor="text1"/>
          <w:spacing w:val="-2"/>
        </w:rPr>
        <w:t xml:space="preserve"> values for non-urea synthetic fertilisers, </w:t>
      </w:r>
      <w:r w:rsidRPr="0028033B">
        <w:rPr>
          <w:rFonts w:cs="Calibri"/>
          <w:color w:val="000000" w:themeColor="text1"/>
          <w:spacing w:val="-2"/>
          <w:shd w:val="clear" w:color="auto" w:fill="FFFFFF"/>
        </w:rPr>
        <w:t xml:space="preserve">(ii) updates to dairy manure and effluent management practices, (iii) aligning with the 2019 IPCC Refinement (IPCC, 2019), and (iv) small error corrections to model code. The effects </w:t>
      </w:r>
      <w:r w:rsidRPr="0028033B">
        <w:rPr>
          <w:rFonts w:cs="Calibri"/>
          <w:color w:val="000000"/>
          <w:spacing w:val="-2"/>
          <w:shd w:val="clear" w:color="auto" w:fill="FFFFFF"/>
        </w:rPr>
        <w:t xml:space="preserve">of these changes on emission estimates in the </w:t>
      </w:r>
      <w:r w:rsidRPr="0028033B">
        <w:rPr>
          <w:rFonts w:cs="Calibri"/>
          <w:i/>
          <w:color w:val="000000"/>
          <w:spacing w:val="-2"/>
          <w:shd w:val="clear" w:color="auto" w:fill="FFFFFF"/>
        </w:rPr>
        <w:t>Agricultural soils</w:t>
      </w:r>
      <w:r w:rsidRPr="0028033B">
        <w:rPr>
          <w:rFonts w:cs="Calibri"/>
          <w:color w:val="000000"/>
          <w:spacing w:val="-2"/>
          <w:shd w:val="clear" w:color="auto" w:fill="FFFFFF"/>
        </w:rPr>
        <w:t xml:space="preserve"> category are set out below.</w:t>
      </w:r>
    </w:p>
    <w:p w14:paraId="51E8436D" w14:textId="77777777" w:rsidR="00E46639" w:rsidRPr="0028033B" w:rsidRDefault="00E46639" w:rsidP="00E46639">
      <w:pPr>
        <w:pStyle w:val="Heading5"/>
      </w:pPr>
      <w:r w:rsidRPr="0028033B">
        <w:t>EF</w:t>
      </w:r>
      <w:r w:rsidRPr="0028033B">
        <w:rPr>
          <w:vertAlign w:val="subscript"/>
        </w:rPr>
        <w:t>1</w:t>
      </w:r>
      <w:r w:rsidRPr="0028033B">
        <w:t xml:space="preserve"> values for non-urea synthetic fertilisers</w:t>
      </w:r>
    </w:p>
    <w:p w14:paraId="566F8D67" w14:textId="77777777" w:rsidR="00E46639" w:rsidRPr="0028033B" w:rsidRDefault="00E46639" w:rsidP="00E46639">
      <w:pPr>
        <w:pStyle w:val="BodyText"/>
      </w:pPr>
      <w:r w:rsidRPr="0028033B">
        <w:t xml:space="preserve">Emissions estimates in </w:t>
      </w:r>
      <w:r w:rsidRPr="0028033B">
        <w:rPr>
          <w:i/>
        </w:rPr>
        <w:t>Agricultural soils</w:t>
      </w:r>
      <w:r w:rsidRPr="0028033B">
        <w:t xml:space="preserve"> have been changed by an update to the EF</w:t>
      </w:r>
      <w:r w:rsidRPr="0028033B">
        <w:rPr>
          <w:vertAlign w:val="subscript"/>
        </w:rPr>
        <w:t>1</w:t>
      </w:r>
      <w:r w:rsidRPr="0028033B">
        <w:t xml:space="preserve"> value for non-urea synthetic fertiliser.</w:t>
      </w:r>
    </w:p>
    <w:p w14:paraId="10909C56" w14:textId="77777777" w:rsidR="00E46639" w:rsidRPr="0028033B" w:rsidRDefault="00E46639" w:rsidP="00E46639">
      <w:pPr>
        <w:pStyle w:val="BodyText"/>
      </w:pPr>
      <w:r w:rsidRPr="0028033B">
        <w:t>Previously, direct N</w:t>
      </w:r>
      <w:r w:rsidRPr="0028033B">
        <w:rPr>
          <w:vertAlign w:val="subscript"/>
        </w:rPr>
        <w:t>2</w:t>
      </w:r>
      <w:r w:rsidRPr="0028033B">
        <w:t xml:space="preserve">O emissions from inorganic </w:t>
      </w:r>
      <w:r w:rsidRPr="0028033B" w:rsidDel="007B730F">
        <w:t>N</w:t>
      </w:r>
      <w:r w:rsidRPr="0028033B">
        <w:t xml:space="preserve"> fertilisers were calculated using the IPCC default EF</w:t>
      </w:r>
      <w:r w:rsidRPr="0028033B">
        <w:rPr>
          <w:vertAlign w:val="subscript"/>
        </w:rPr>
        <w:t>1</w:t>
      </w:r>
      <w:r w:rsidRPr="0028033B">
        <w:t xml:space="preserve"> value of 0.01 for non-urea fertilisers and a country-specific EF</w:t>
      </w:r>
      <w:r w:rsidRPr="0028033B">
        <w:rPr>
          <w:vertAlign w:val="subscript"/>
        </w:rPr>
        <w:t>1</w:t>
      </w:r>
      <w:r w:rsidRPr="0028033B">
        <w:t xml:space="preserve"> value of 0.0059 for urea. Recent analysis of data from New Zealand field trials found the difference in EF</w:t>
      </w:r>
      <w:r w:rsidRPr="0028033B">
        <w:rPr>
          <w:vertAlign w:val="subscript"/>
        </w:rPr>
        <w:t>1</w:t>
      </w:r>
      <w:r w:rsidRPr="0028033B">
        <w:t xml:space="preserve"> values between urea, </w:t>
      </w:r>
      <w:r w:rsidRPr="0028033B">
        <w:rPr>
          <w:rFonts w:eastAsia="Calibri" w:cs="Arial"/>
          <w:lang w:eastAsia="en-US"/>
        </w:rPr>
        <w:t>ammonium sulphate</w:t>
      </w:r>
      <w:r w:rsidRPr="0028033B">
        <w:t xml:space="preserve"> and </w:t>
      </w:r>
      <w:r w:rsidRPr="0028033B">
        <w:rPr>
          <w:rFonts w:eastAsia="Calibri" w:cs="Arial"/>
          <w:lang w:eastAsia="en-US"/>
        </w:rPr>
        <w:t>diammonium phosphate</w:t>
      </w:r>
      <w:r w:rsidRPr="0028033B">
        <w:t xml:space="preserve"> fertilisers was not statistically significant (Luo et al., </w:t>
      </w:r>
      <w:r w:rsidRPr="0028033B">
        <w:rPr>
          <w:rFonts w:cs="Calibri"/>
        </w:rPr>
        <w:t>unpublished(c)</w:t>
      </w:r>
      <w:r w:rsidRPr="0028033B">
        <w:t xml:space="preserve">). </w:t>
      </w:r>
    </w:p>
    <w:p w14:paraId="16CA42A5" w14:textId="77777777" w:rsidR="00E46639" w:rsidRPr="0028033B" w:rsidRDefault="00E46639" w:rsidP="00E46639">
      <w:pPr>
        <w:pStyle w:val="BodyText"/>
      </w:pPr>
      <w:r w:rsidRPr="0028033B">
        <w:rPr>
          <w:spacing w:val="-2"/>
        </w:rPr>
        <w:t>In the opinion of the Agricultural Inventory Advisory Panel, it is scientifically defensible to group</w:t>
      </w:r>
      <w:r w:rsidRPr="0028033B">
        <w:t xml:space="preserve"> all ammonium nitrogen together (supported by international research (Gebremichael et al. 2021)), and the impact of treating nitrate nitrogen separately is small. Considering the administrative burden of collecting additional activity data on the form (ammonium or nitrate) of fertiliser nitrogen used, the Panel recommended using a single EF</w:t>
      </w:r>
      <w:r w:rsidRPr="0028033B">
        <w:rPr>
          <w:vertAlign w:val="subscript"/>
        </w:rPr>
        <w:t>1</w:t>
      </w:r>
      <w:r w:rsidRPr="0028033B">
        <w:t xml:space="preserve"> value for all synthetic nitrogen fertiliser. The EF</w:t>
      </w:r>
      <w:r w:rsidRPr="0028033B">
        <w:rPr>
          <w:vertAlign w:val="subscript"/>
        </w:rPr>
        <w:t>1</w:t>
      </w:r>
      <w:r w:rsidRPr="0028033B">
        <w:t xml:space="preserve"> value used for urea (0.0059) is now recommended for all synthetic fertilisers.</w:t>
      </w:r>
    </w:p>
    <w:p w14:paraId="686B7EA5" w14:textId="77777777" w:rsidR="00E46639" w:rsidRPr="0028033B" w:rsidRDefault="00E46639" w:rsidP="00E46639">
      <w:pPr>
        <w:pStyle w:val="BodyText"/>
      </w:pPr>
      <w:r w:rsidRPr="0028033B">
        <w:t xml:space="preserve">The implementation of these changes caused emissions from the </w:t>
      </w:r>
      <w:r w:rsidRPr="0028033B">
        <w:rPr>
          <w:i/>
        </w:rPr>
        <w:t>Agricultural soils</w:t>
      </w:r>
      <w:r w:rsidRPr="0028033B">
        <w:t xml:space="preserve"> category to decrease by 59.2 kt CO</w:t>
      </w:r>
      <w:r w:rsidRPr="0028033B">
        <w:rPr>
          <w:vertAlign w:val="subscript"/>
        </w:rPr>
        <w:t>2</w:t>
      </w:r>
      <w:r w:rsidRPr="0028033B">
        <w:t>e in 1990 and 186.1 kt CO</w:t>
      </w:r>
      <w:r w:rsidRPr="0028033B">
        <w:rPr>
          <w:vertAlign w:val="subscript"/>
        </w:rPr>
        <w:t>2</w:t>
      </w:r>
      <w:r w:rsidRPr="0028033B">
        <w:t>e in 2023 (table 5.5.13).</w:t>
      </w:r>
    </w:p>
    <w:p w14:paraId="7EE65D73" w14:textId="77777777" w:rsidR="00E46639" w:rsidRPr="0028033B" w:rsidRDefault="00E46639" w:rsidP="00E46639">
      <w:pPr>
        <w:pStyle w:val="Table"/>
      </w:pPr>
      <w:bookmarkStart w:id="1363" w:name="_Toc222407658"/>
      <w:bookmarkStart w:id="1364" w:name="_Toc226669033"/>
      <w:r w:rsidRPr="0028033B">
        <w:rPr>
          <w:rFonts w:cs="Calibri"/>
        </w:rPr>
        <w:t>Table 5.5.13</w:t>
      </w:r>
      <w:r w:rsidRPr="0028033B">
        <w:rPr>
          <w:rFonts w:cs="Calibri"/>
        </w:rPr>
        <w:tab/>
        <w:t>Comparison of emissions from </w:t>
      </w:r>
      <w:r w:rsidRPr="0028033B">
        <w:rPr>
          <w:rFonts w:cs="Calibri"/>
          <w:i/>
          <w:iCs/>
        </w:rPr>
        <w:t>Agricultural soils</w:t>
      </w:r>
      <w:r w:rsidRPr="0028033B">
        <w:rPr>
          <w:rFonts w:cs="Calibri"/>
        </w:rPr>
        <w:t xml:space="preserve"> before and after the inclusion of revised </w:t>
      </w:r>
      <w:r w:rsidRPr="0028033B">
        <w:rPr>
          <w:rFonts w:cs="Arial"/>
          <w:color w:val="0D0D0D" w:themeColor="text1" w:themeTint="F2"/>
        </w:rPr>
        <w:t>EF</w:t>
      </w:r>
      <w:r w:rsidRPr="0028033B">
        <w:rPr>
          <w:rFonts w:cs="Arial"/>
          <w:color w:val="0D0D0D" w:themeColor="text1" w:themeTint="F2"/>
          <w:vertAlign w:val="subscript"/>
        </w:rPr>
        <w:t>1 </w:t>
      </w:r>
      <w:r w:rsidRPr="0028033B">
        <w:rPr>
          <w:rFonts w:cs="Calibri"/>
        </w:rPr>
        <w:t>values for non-urea synthetic fertilisers</w:t>
      </w:r>
      <w:bookmarkEnd w:id="1363"/>
      <w:bookmarkEnd w:id="1364"/>
    </w:p>
    <w:tbl>
      <w:tblPr>
        <w:tblW w:w="8505" w:type="dxa"/>
        <w:tblBorders>
          <w:top w:val="single" w:sz="2" w:space="0" w:color="1B556B" w:themeColor="text2"/>
          <w:bottom w:val="single" w:sz="2" w:space="0" w:color="1B556B" w:themeColor="text2"/>
          <w:insideH w:val="single" w:sz="2" w:space="0" w:color="1B556B" w:themeColor="text2"/>
        </w:tblBorders>
        <w:tblCellMar>
          <w:left w:w="85" w:type="dxa"/>
          <w:right w:w="57" w:type="dxa"/>
        </w:tblCellMar>
        <w:tblLook w:val="04A0" w:firstRow="1" w:lastRow="0" w:firstColumn="1" w:lastColumn="0" w:noHBand="0" w:noVBand="1"/>
      </w:tblPr>
      <w:tblGrid>
        <w:gridCol w:w="1281"/>
        <w:gridCol w:w="1644"/>
        <w:gridCol w:w="815"/>
        <w:gridCol w:w="815"/>
        <w:gridCol w:w="815"/>
        <w:gridCol w:w="1009"/>
        <w:gridCol w:w="585"/>
        <w:gridCol w:w="1021"/>
        <w:gridCol w:w="520"/>
      </w:tblGrid>
      <w:tr w:rsidR="00E46639" w:rsidRPr="0028033B" w14:paraId="2C0EB775" w14:textId="77777777" w:rsidTr="00F16E23">
        <w:trPr>
          <w:tblHeader/>
        </w:trPr>
        <w:tc>
          <w:tcPr>
            <w:tcW w:w="0" w:type="auto"/>
            <w:vMerge w:val="restart"/>
            <w:shd w:val="clear" w:color="000000" w:fill="1B556B"/>
            <w:vAlign w:val="bottom"/>
          </w:tcPr>
          <w:p w14:paraId="669BF8FD" w14:textId="77777777" w:rsidR="00E46639" w:rsidRPr="0028033B" w:rsidRDefault="00E46639" w:rsidP="00F16E23">
            <w:pPr>
              <w:pStyle w:val="TableText"/>
              <w:keepNext/>
              <w:spacing w:before="40" w:after="40"/>
              <w:rPr>
                <w:rFonts w:cs="Calibri"/>
                <w:b/>
                <w:bCs/>
                <w:color w:val="FFFFFF" w:themeColor="background1"/>
                <w:szCs w:val="16"/>
              </w:rPr>
            </w:pPr>
          </w:p>
        </w:tc>
        <w:tc>
          <w:tcPr>
            <w:tcW w:w="0" w:type="auto"/>
            <w:vMerge w:val="restart"/>
            <w:shd w:val="clear" w:color="auto" w:fill="1B556B" w:themeFill="text2"/>
            <w:vAlign w:val="bottom"/>
          </w:tcPr>
          <w:p w14:paraId="08ABF7A0" w14:textId="77777777" w:rsidR="00E46639" w:rsidRPr="0028033B" w:rsidRDefault="00E46639" w:rsidP="00F16E23">
            <w:pPr>
              <w:pStyle w:val="TableText"/>
              <w:keepNext/>
              <w:spacing w:before="40" w:after="40"/>
              <w:rPr>
                <w:rFonts w:cs="Calibri"/>
                <w:b/>
                <w:color w:val="FFFFFF" w:themeColor="background1"/>
                <w:szCs w:val="16"/>
              </w:rPr>
            </w:pPr>
          </w:p>
        </w:tc>
        <w:tc>
          <w:tcPr>
            <w:tcW w:w="0" w:type="auto"/>
            <w:vMerge w:val="restart"/>
            <w:shd w:val="clear" w:color="000000" w:fill="1B556B"/>
            <w:vAlign w:val="bottom"/>
          </w:tcPr>
          <w:p w14:paraId="48477650" w14:textId="77777777" w:rsidR="00E46639" w:rsidRPr="0028033B" w:rsidRDefault="00E46639" w:rsidP="00F16E23">
            <w:pPr>
              <w:pStyle w:val="TableText"/>
              <w:keepNext/>
              <w:spacing w:before="40" w:after="40"/>
              <w:jc w:val="right"/>
              <w:rPr>
                <w:rFonts w:cs="Calibri"/>
                <w:b/>
                <w:color w:val="FFFFFF" w:themeColor="background1"/>
                <w:szCs w:val="16"/>
              </w:rPr>
            </w:pPr>
            <w:r w:rsidRPr="0028033B">
              <w:rPr>
                <w:rFonts w:cs="Calibri"/>
                <w:b/>
                <w:color w:val="FFFFFF" w:themeColor="background1"/>
                <w:szCs w:val="16"/>
              </w:rPr>
              <w:t>1990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0" w:type="auto"/>
            <w:vMerge w:val="restart"/>
            <w:shd w:val="clear" w:color="000000" w:fill="1B556B"/>
            <w:vAlign w:val="bottom"/>
          </w:tcPr>
          <w:p w14:paraId="7892B5F3" w14:textId="77777777" w:rsidR="00E46639" w:rsidRPr="0028033B" w:rsidRDefault="00E46639" w:rsidP="00F16E23">
            <w:pPr>
              <w:pStyle w:val="TableText"/>
              <w:keepNext/>
              <w:spacing w:before="40" w:after="40"/>
              <w:jc w:val="right"/>
              <w:rPr>
                <w:rFonts w:cs="Calibri"/>
                <w:b/>
                <w:color w:val="FFFFFF" w:themeColor="background1"/>
                <w:szCs w:val="16"/>
              </w:rPr>
            </w:pPr>
            <w:r w:rsidRPr="0028033B">
              <w:rPr>
                <w:rFonts w:cs="Calibri"/>
                <w:b/>
                <w:color w:val="FFFFFF" w:themeColor="background1"/>
                <w:szCs w:val="16"/>
              </w:rPr>
              <w:t>2005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0" w:type="auto"/>
            <w:vMerge w:val="restart"/>
            <w:shd w:val="clear" w:color="000000" w:fill="1B556B"/>
            <w:vAlign w:val="bottom"/>
          </w:tcPr>
          <w:p w14:paraId="2F5B11C8" w14:textId="77777777" w:rsidR="00E46639" w:rsidRPr="0028033B" w:rsidRDefault="00E46639" w:rsidP="00F16E23">
            <w:pPr>
              <w:pStyle w:val="TableText"/>
              <w:keepNext/>
              <w:spacing w:before="40" w:after="40"/>
              <w:jc w:val="right"/>
              <w:rPr>
                <w:rFonts w:cs="Calibri"/>
                <w:b/>
                <w:color w:val="FFFFFF" w:themeColor="background1"/>
                <w:szCs w:val="16"/>
              </w:rPr>
            </w:pPr>
            <w:r w:rsidRPr="0028033B">
              <w:rPr>
                <w:rFonts w:cs="Calibri"/>
                <w:b/>
                <w:color w:val="FFFFFF" w:themeColor="background1"/>
                <w:szCs w:val="16"/>
              </w:rPr>
              <w:t>2023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0" w:type="auto"/>
            <w:gridSpan w:val="2"/>
            <w:shd w:val="clear" w:color="000000" w:fill="1B556B"/>
            <w:vAlign w:val="center"/>
          </w:tcPr>
          <w:p w14:paraId="53C5EBB7" w14:textId="77777777" w:rsidR="00E46639" w:rsidRPr="0028033B" w:rsidRDefault="00E46639" w:rsidP="00F16E23">
            <w:pPr>
              <w:pStyle w:val="TableText"/>
              <w:keepNext/>
              <w:spacing w:before="40" w:after="40"/>
              <w:jc w:val="center"/>
              <w:rPr>
                <w:rFonts w:cs="Calibri"/>
                <w:b/>
                <w:color w:val="FFFFFF" w:themeColor="background1"/>
                <w:szCs w:val="16"/>
              </w:rPr>
            </w:pPr>
            <w:r w:rsidRPr="0028033B">
              <w:rPr>
                <w:rFonts w:cs="Calibri"/>
                <w:b/>
                <w:color w:val="FFFFFF" w:themeColor="background1"/>
                <w:szCs w:val="16"/>
              </w:rPr>
              <w:t xml:space="preserve">Change in emissions between 1990 and 2023 </w:t>
            </w:r>
          </w:p>
        </w:tc>
        <w:tc>
          <w:tcPr>
            <w:tcW w:w="0" w:type="auto"/>
            <w:gridSpan w:val="2"/>
            <w:shd w:val="clear" w:color="000000" w:fill="1B556B"/>
            <w:vAlign w:val="center"/>
          </w:tcPr>
          <w:p w14:paraId="6AF09EF3" w14:textId="77777777" w:rsidR="00E46639" w:rsidRPr="0028033B" w:rsidRDefault="00E46639" w:rsidP="00F16E23">
            <w:pPr>
              <w:pStyle w:val="TableText"/>
              <w:keepNext/>
              <w:spacing w:before="40" w:after="40"/>
              <w:jc w:val="center"/>
              <w:rPr>
                <w:rFonts w:cs="Calibri"/>
                <w:b/>
                <w:color w:val="FFFFFF" w:themeColor="background1"/>
                <w:szCs w:val="16"/>
              </w:rPr>
            </w:pPr>
            <w:r w:rsidRPr="0028033B">
              <w:rPr>
                <w:rFonts w:cs="Calibri"/>
                <w:b/>
                <w:color w:val="FFFFFF" w:themeColor="background1"/>
                <w:szCs w:val="16"/>
              </w:rPr>
              <w:t xml:space="preserve">Change in emissions between 2005 and 2023 </w:t>
            </w:r>
          </w:p>
        </w:tc>
      </w:tr>
      <w:tr w:rsidR="00E46639" w:rsidRPr="0028033B" w14:paraId="65458788" w14:textId="77777777" w:rsidTr="00F16E23">
        <w:trPr>
          <w:tblHeader/>
        </w:trPr>
        <w:tc>
          <w:tcPr>
            <w:tcW w:w="0" w:type="auto"/>
            <w:vMerge/>
            <w:shd w:val="clear" w:color="000000" w:fill="1B556B"/>
            <w:vAlign w:val="center"/>
          </w:tcPr>
          <w:p w14:paraId="4BA0BBA0" w14:textId="77777777" w:rsidR="00E46639" w:rsidRPr="0028033B" w:rsidRDefault="00E46639" w:rsidP="00F16E23">
            <w:pPr>
              <w:pStyle w:val="TableText"/>
              <w:keepNext/>
              <w:spacing w:before="40" w:after="40"/>
              <w:rPr>
                <w:rFonts w:cs="Calibri"/>
                <w:b/>
                <w:bCs/>
                <w:color w:val="F46CD4"/>
                <w:szCs w:val="16"/>
              </w:rPr>
            </w:pPr>
          </w:p>
        </w:tc>
        <w:tc>
          <w:tcPr>
            <w:tcW w:w="0" w:type="auto"/>
            <w:vMerge/>
            <w:shd w:val="clear" w:color="auto" w:fill="1B556B" w:themeFill="text2"/>
            <w:vAlign w:val="center"/>
          </w:tcPr>
          <w:p w14:paraId="704AC4D6" w14:textId="77777777" w:rsidR="00E46639" w:rsidRPr="0028033B" w:rsidRDefault="00E46639" w:rsidP="00F16E23">
            <w:pPr>
              <w:pStyle w:val="TableText"/>
              <w:keepNext/>
              <w:spacing w:before="40" w:after="40"/>
              <w:rPr>
                <w:rFonts w:cs="Calibri"/>
                <w:b/>
                <w:color w:val="FFFFFF" w:themeColor="background1"/>
                <w:szCs w:val="16"/>
              </w:rPr>
            </w:pPr>
          </w:p>
        </w:tc>
        <w:tc>
          <w:tcPr>
            <w:tcW w:w="0" w:type="auto"/>
            <w:vMerge/>
            <w:shd w:val="clear" w:color="000000" w:fill="1B556B"/>
            <w:vAlign w:val="center"/>
          </w:tcPr>
          <w:p w14:paraId="7F6E2C2A" w14:textId="77777777" w:rsidR="00E46639" w:rsidRPr="0028033B" w:rsidRDefault="00E46639" w:rsidP="00F16E23">
            <w:pPr>
              <w:pStyle w:val="TableText"/>
              <w:keepNext/>
              <w:spacing w:before="40" w:after="40"/>
              <w:jc w:val="center"/>
              <w:rPr>
                <w:rFonts w:cs="Calibri"/>
                <w:b/>
                <w:color w:val="FFFFFF" w:themeColor="background1"/>
                <w:szCs w:val="16"/>
              </w:rPr>
            </w:pPr>
          </w:p>
        </w:tc>
        <w:tc>
          <w:tcPr>
            <w:tcW w:w="0" w:type="auto"/>
            <w:vMerge/>
            <w:shd w:val="clear" w:color="000000" w:fill="1B556B"/>
            <w:vAlign w:val="center"/>
          </w:tcPr>
          <w:p w14:paraId="40A15326" w14:textId="77777777" w:rsidR="00E46639" w:rsidRPr="0028033B" w:rsidRDefault="00E46639" w:rsidP="00F16E23">
            <w:pPr>
              <w:pStyle w:val="TableText"/>
              <w:keepNext/>
              <w:spacing w:before="40" w:after="40"/>
              <w:jc w:val="center"/>
              <w:rPr>
                <w:rFonts w:cs="Calibri"/>
                <w:b/>
                <w:color w:val="FFFFFF" w:themeColor="background1"/>
                <w:szCs w:val="16"/>
              </w:rPr>
            </w:pPr>
          </w:p>
        </w:tc>
        <w:tc>
          <w:tcPr>
            <w:tcW w:w="0" w:type="auto"/>
            <w:vMerge/>
            <w:shd w:val="clear" w:color="000000" w:fill="1B556B"/>
            <w:vAlign w:val="center"/>
          </w:tcPr>
          <w:p w14:paraId="07FFB771" w14:textId="77777777" w:rsidR="00E46639" w:rsidRPr="0028033B" w:rsidRDefault="00E46639" w:rsidP="00F16E23">
            <w:pPr>
              <w:pStyle w:val="TableText"/>
              <w:keepNext/>
              <w:spacing w:before="40" w:after="40"/>
              <w:jc w:val="center"/>
              <w:rPr>
                <w:rFonts w:cs="Calibri"/>
                <w:b/>
                <w:color w:val="FFFFFF" w:themeColor="background1"/>
                <w:szCs w:val="16"/>
              </w:rPr>
            </w:pPr>
          </w:p>
        </w:tc>
        <w:tc>
          <w:tcPr>
            <w:tcW w:w="0" w:type="auto"/>
            <w:shd w:val="clear" w:color="000000" w:fill="1B556B"/>
            <w:vAlign w:val="center"/>
          </w:tcPr>
          <w:p w14:paraId="782D2D55" w14:textId="77777777" w:rsidR="00E46639" w:rsidRPr="0028033B" w:rsidRDefault="00E46639" w:rsidP="00F16E23">
            <w:pPr>
              <w:pStyle w:val="TableText"/>
              <w:keepNext/>
              <w:spacing w:before="4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0" w:type="auto"/>
            <w:shd w:val="clear" w:color="000000" w:fill="1B556B"/>
            <w:vAlign w:val="center"/>
          </w:tcPr>
          <w:p w14:paraId="78311A6D" w14:textId="77777777" w:rsidR="00E46639" w:rsidRPr="0028033B" w:rsidRDefault="00E46639" w:rsidP="00F16E23">
            <w:pPr>
              <w:pStyle w:val="TableText"/>
              <w:keepNext/>
              <w:spacing w:before="40" w:after="40"/>
              <w:jc w:val="right"/>
              <w:rPr>
                <w:rFonts w:cs="Calibri"/>
                <w:b/>
                <w:color w:val="FFFFFF" w:themeColor="background1"/>
                <w:szCs w:val="16"/>
              </w:rPr>
            </w:pPr>
            <w:r w:rsidRPr="0028033B">
              <w:rPr>
                <w:rFonts w:cs="Calibri"/>
                <w:b/>
                <w:color w:val="FFFFFF" w:themeColor="background1"/>
                <w:szCs w:val="16"/>
              </w:rPr>
              <w:t>(%)</w:t>
            </w:r>
          </w:p>
        </w:tc>
        <w:tc>
          <w:tcPr>
            <w:tcW w:w="0" w:type="auto"/>
            <w:shd w:val="clear" w:color="000000" w:fill="1B556B"/>
            <w:vAlign w:val="center"/>
          </w:tcPr>
          <w:p w14:paraId="0ECFADE1" w14:textId="77777777" w:rsidR="00E46639" w:rsidRPr="0028033B" w:rsidRDefault="00E46639" w:rsidP="00F16E23">
            <w:pPr>
              <w:pStyle w:val="TableText"/>
              <w:keepNext/>
              <w:spacing w:before="40" w:after="40"/>
              <w:jc w:val="right"/>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0" w:type="auto"/>
            <w:shd w:val="clear" w:color="000000" w:fill="1B556B"/>
            <w:vAlign w:val="center"/>
          </w:tcPr>
          <w:p w14:paraId="504E41F7" w14:textId="77777777" w:rsidR="00E46639" w:rsidRPr="0028033B" w:rsidRDefault="00E46639" w:rsidP="00F16E23">
            <w:pPr>
              <w:pStyle w:val="TableText"/>
              <w:keepNext/>
              <w:spacing w:before="40" w:after="40"/>
              <w:jc w:val="right"/>
              <w:rPr>
                <w:rFonts w:cs="Calibri"/>
                <w:b/>
                <w:color w:val="FFFFFF" w:themeColor="background1"/>
                <w:szCs w:val="16"/>
              </w:rPr>
            </w:pPr>
            <w:r w:rsidRPr="0028033B">
              <w:rPr>
                <w:rFonts w:cs="Calibri"/>
                <w:b/>
                <w:color w:val="FFFFFF" w:themeColor="background1"/>
                <w:szCs w:val="16"/>
              </w:rPr>
              <w:t>(%)</w:t>
            </w:r>
          </w:p>
        </w:tc>
      </w:tr>
      <w:tr w:rsidR="00E46639" w:rsidRPr="0028033B" w14:paraId="7A3F68A2" w14:textId="77777777" w:rsidTr="00AD46CB">
        <w:tc>
          <w:tcPr>
            <w:tcW w:w="0" w:type="auto"/>
            <w:vMerge w:val="restart"/>
            <w:vAlign w:val="center"/>
          </w:tcPr>
          <w:p w14:paraId="376D4E57" w14:textId="77777777" w:rsidR="00E46639" w:rsidRPr="0028033B" w:rsidRDefault="00E46639" w:rsidP="00F16E23">
            <w:pPr>
              <w:pStyle w:val="TableText"/>
              <w:keepNext/>
              <w:spacing w:before="40" w:after="40"/>
              <w:rPr>
                <w:rFonts w:cs="Calibri"/>
                <w:color w:val="0D0D0D" w:themeColor="text1" w:themeTint="F2"/>
                <w:szCs w:val="16"/>
              </w:rPr>
            </w:pPr>
            <w:r w:rsidRPr="0028033B">
              <w:rPr>
                <w:rFonts w:cs="Calibri"/>
                <w:color w:val="0D0D0D" w:themeColor="text1" w:themeTint="F2"/>
                <w:szCs w:val="16"/>
              </w:rPr>
              <w:t xml:space="preserve">Total emissions from </w:t>
            </w:r>
            <w:r w:rsidRPr="0028033B">
              <w:rPr>
                <w:rFonts w:cs="Calibri"/>
                <w:i/>
                <w:color w:val="0D0D0D" w:themeColor="text1" w:themeTint="F2"/>
                <w:szCs w:val="16"/>
              </w:rPr>
              <w:t>Agricultural soils</w:t>
            </w:r>
          </w:p>
        </w:tc>
        <w:tc>
          <w:tcPr>
            <w:tcW w:w="0" w:type="auto"/>
            <w:tcBorders>
              <w:bottom w:val="single" w:sz="2" w:space="0" w:color="1B556B" w:themeColor="text2"/>
            </w:tcBorders>
            <w:vAlign w:val="center"/>
          </w:tcPr>
          <w:p w14:paraId="77632297" w14:textId="77777777" w:rsidR="00E46639" w:rsidRPr="0028033B" w:rsidRDefault="00E46639" w:rsidP="00F16E23">
            <w:pPr>
              <w:pStyle w:val="TableText"/>
              <w:keepNext/>
              <w:spacing w:before="40" w:after="40"/>
              <w:rPr>
                <w:rFonts w:cs="Calibri"/>
                <w:color w:val="0D0D0D" w:themeColor="text1" w:themeTint="F2"/>
                <w:szCs w:val="16"/>
              </w:rPr>
            </w:pPr>
            <w:r w:rsidRPr="0028033B">
              <w:rPr>
                <w:rFonts w:cs="Calibri"/>
                <w:color w:val="0D0D0D" w:themeColor="text1" w:themeTint="F2"/>
                <w:szCs w:val="16"/>
              </w:rPr>
              <w:t>2025 (1990–2023) emissions estimate</w:t>
            </w:r>
          </w:p>
        </w:tc>
        <w:tc>
          <w:tcPr>
            <w:tcW w:w="0" w:type="auto"/>
            <w:tcBorders>
              <w:bottom w:val="single" w:sz="2" w:space="0" w:color="1B556B" w:themeColor="text2"/>
            </w:tcBorders>
            <w:vAlign w:val="bottom"/>
          </w:tcPr>
          <w:p w14:paraId="3132E388" w14:textId="77777777" w:rsidR="00E46639" w:rsidRPr="0028033B" w:rsidRDefault="00E46639" w:rsidP="00F16E23">
            <w:pPr>
              <w:pStyle w:val="TableText"/>
              <w:keepNext/>
              <w:spacing w:before="40" w:after="40"/>
              <w:jc w:val="right"/>
              <w:rPr>
                <w:rFonts w:cs="Calibri"/>
                <w:color w:val="000000" w:themeColor="text1"/>
                <w:szCs w:val="16"/>
              </w:rPr>
            </w:pPr>
            <w:r w:rsidRPr="0028033B">
              <w:rPr>
                <w:rFonts w:cs="Calibri"/>
                <w:color w:val="000000" w:themeColor="text1"/>
                <w:szCs w:val="16"/>
              </w:rPr>
              <w:t>4,655.1</w:t>
            </w:r>
          </w:p>
        </w:tc>
        <w:tc>
          <w:tcPr>
            <w:tcW w:w="0" w:type="auto"/>
            <w:tcBorders>
              <w:bottom w:val="single" w:sz="2" w:space="0" w:color="1B556B" w:themeColor="text2"/>
            </w:tcBorders>
            <w:vAlign w:val="bottom"/>
          </w:tcPr>
          <w:p w14:paraId="084FA8CF" w14:textId="77777777" w:rsidR="00E46639" w:rsidRPr="0028033B" w:rsidRDefault="00E46639" w:rsidP="00F16E23">
            <w:pPr>
              <w:pStyle w:val="TableText"/>
              <w:keepNext/>
              <w:spacing w:before="40" w:after="40"/>
              <w:jc w:val="right"/>
              <w:rPr>
                <w:rFonts w:cs="Calibri"/>
                <w:color w:val="000000" w:themeColor="text1"/>
                <w:szCs w:val="16"/>
              </w:rPr>
            </w:pPr>
            <w:r w:rsidRPr="0028033B">
              <w:rPr>
                <w:rFonts w:cs="Calibri"/>
                <w:color w:val="000000" w:themeColor="text1"/>
                <w:szCs w:val="16"/>
              </w:rPr>
              <w:t>6,443.9</w:t>
            </w:r>
          </w:p>
        </w:tc>
        <w:tc>
          <w:tcPr>
            <w:tcW w:w="0" w:type="auto"/>
            <w:tcBorders>
              <w:bottom w:val="single" w:sz="2" w:space="0" w:color="1B556B" w:themeColor="text2"/>
            </w:tcBorders>
            <w:vAlign w:val="bottom"/>
          </w:tcPr>
          <w:p w14:paraId="730BBCDA" w14:textId="77777777" w:rsidR="00E46639" w:rsidRPr="0028033B" w:rsidRDefault="00E46639" w:rsidP="00F16E23">
            <w:pPr>
              <w:pStyle w:val="TableText"/>
              <w:keepNext/>
              <w:spacing w:before="40" w:after="40"/>
              <w:jc w:val="right"/>
              <w:rPr>
                <w:rFonts w:cs="Calibri"/>
                <w:color w:val="000000" w:themeColor="text1"/>
                <w:szCs w:val="16"/>
              </w:rPr>
            </w:pPr>
            <w:r w:rsidRPr="0028033B">
              <w:rPr>
                <w:rFonts w:cs="Calibri"/>
                <w:color w:val="000000" w:themeColor="text1"/>
                <w:szCs w:val="16"/>
              </w:rPr>
              <w:t>6,372.4</w:t>
            </w:r>
          </w:p>
        </w:tc>
        <w:tc>
          <w:tcPr>
            <w:tcW w:w="0" w:type="auto"/>
            <w:tcBorders>
              <w:bottom w:val="single" w:sz="2" w:space="0" w:color="1B556B" w:themeColor="text2"/>
            </w:tcBorders>
            <w:vAlign w:val="bottom"/>
          </w:tcPr>
          <w:p w14:paraId="2458E51E" w14:textId="77777777" w:rsidR="00E46639" w:rsidRPr="0028033B" w:rsidRDefault="00E46639" w:rsidP="00F16E23">
            <w:pPr>
              <w:pStyle w:val="TableText"/>
              <w:keepNext/>
              <w:spacing w:before="40" w:after="40"/>
              <w:jc w:val="right"/>
              <w:rPr>
                <w:rFonts w:cs="Calibri"/>
                <w:color w:val="000000" w:themeColor="text1"/>
                <w:szCs w:val="16"/>
              </w:rPr>
            </w:pPr>
            <w:r w:rsidRPr="0028033B">
              <w:rPr>
                <w:rFonts w:cs="Calibri"/>
                <w:color w:val="000000" w:themeColor="text1"/>
                <w:szCs w:val="16"/>
              </w:rPr>
              <w:t>1,717.3</w:t>
            </w:r>
          </w:p>
        </w:tc>
        <w:tc>
          <w:tcPr>
            <w:tcW w:w="0" w:type="auto"/>
            <w:tcBorders>
              <w:bottom w:val="single" w:sz="2" w:space="0" w:color="1B556B" w:themeColor="text2"/>
            </w:tcBorders>
            <w:vAlign w:val="bottom"/>
          </w:tcPr>
          <w:p w14:paraId="015A755C" w14:textId="77777777" w:rsidR="00E46639" w:rsidRPr="0028033B" w:rsidRDefault="00E46639" w:rsidP="00F16E23">
            <w:pPr>
              <w:pStyle w:val="TableText"/>
              <w:keepNext/>
              <w:spacing w:before="40" w:after="40"/>
              <w:jc w:val="right"/>
              <w:rPr>
                <w:rFonts w:cs="Calibri"/>
                <w:color w:val="000000" w:themeColor="text1"/>
                <w:szCs w:val="16"/>
              </w:rPr>
            </w:pPr>
            <w:r w:rsidRPr="0028033B">
              <w:rPr>
                <w:rFonts w:cs="Calibri"/>
                <w:color w:val="000000" w:themeColor="text1"/>
                <w:szCs w:val="16"/>
              </w:rPr>
              <w:t>36.9</w:t>
            </w:r>
          </w:p>
        </w:tc>
        <w:tc>
          <w:tcPr>
            <w:tcW w:w="0" w:type="auto"/>
            <w:tcBorders>
              <w:bottom w:val="single" w:sz="2" w:space="0" w:color="1B556B" w:themeColor="text2"/>
            </w:tcBorders>
            <w:vAlign w:val="bottom"/>
          </w:tcPr>
          <w:p w14:paraId="06550C83" w14:textId="77777777" w:rsidR="00E46639" w:rsidRPr="0028033B" w:rsidRDefault="00E46639" w:rsidP="00F16E23">
            <w:pPr>
              <w:pStyle w:val="TableText"/>
              <w:keepNext/>
              <w:spacing w:before="40" w:after="40"/>
              <w:jc w:val="right"/>
              <w:rPr>
                <w:rFonts w:cs="Calibri"/>
                <w:color w:val="000000" w:themeColor="text1"/>
                <w:szCs w:val="16"/>
              </w:rPr>
            </w:pPr>
            <w:r w:rsidRPr="0028033B">
              <w:rPr>
                <w:rFonts w:cs="Calibri"/>
                <w:color w:val="000000" w:themeColor="text1"/>
                <w:szCs w:val="16"/>
              </w:rPr>
              <w:t>-71.5</w:t>
            </w:r>
          </w:p>
        </w:tc>
        <w:tc>
          <w:tcPr>
            <w:tcW w:w="0" w:type="auto"/>
            <w:tcBorders>
              <w:bottom w:val="single" w:sz="2" w:space="0" w:color="1B556B" w:themeColor="text2"/>
            </w:tcBorders>
            <w:vAlign w:val="bottom"/>
          </w:tcPr>
          <w:p w14:paraId="07CDB903" w14:textId="77777777" w:rsidR="00E46639" w:rsidRPr="0028033B" w:rsidRDefault="00E46639" w:rsidP="00F16E23">
            <w:pPr>
              <w:pStyle w:val="TableText"/>
              <w:keepNext/>
              <w:spacing w:before="40" w:after="40"/>
              <w:jc w:val="right"/>
              <w:rPr>
                <w:rFonts w:cs="Calibri"/>
                <w:color w:val="000000" w:themeColor="text1"/>
                <w:szCs w:val="16"/>
              </w:rPr>
            </w:pPr>
            <w:r w:rsidRPr="0028033B">
              <w:rPr>
                <w:rFonts w:cs="Calibri"/>
                <w:color w:val="000000" w:themeColor="text1"/>
                <w:szCs w:val="16"/>
              </w:rPr>
              <w:t>-1.1</w:t>
            </w:r>
          </w:p>
        </w:tc>
      </w:tr>
      <w:tr w:rsidR="00E46639" w:rsidRPr="0028033B" w14:paraId="5B141578" w14:textId="77777777" w:rsidTr="00F16E23">
        <w:tc>
          <w:tcPr>
            <w:tcW w:w="0" w:type="auto"/>
            <w:vMerge/>
            <w:vAlign w:val="center"/>
          </w:tcPr>
          <w:p w14:paraId="6D9E06CA" w14:textId="77777777" w:rsidR="00E46639" w:rsidRPr="0028033B" w:rsidRDefault="00E46639" w:rsidP="00F16E23">
            <w:pPr>
              <w:pStyle w:val="TableText"/>
              <w:spacing w:before="40" w:after="40"/>
              <w:rPr>
                <w:rFonts w:cs="Calibri"/>
                <w:color w:val="0D0D0D" w:themeColor="text1" w:themeTint="F2"/>
                <w:szCs w:val="16"/>
              </w:rPr>
            </w:pPr>
          </w:p>
        </w:tc>
        <w:tc>
          <w:tcPr>
            <w:tcW w:w="0" w:type="auto"/>
            <w:vAlign w:val="center"/>
          </w:tcPr>
          <w:p w14:paraId="62777408" w14:textId="77777777" w:rsidR="00E46639" w:rsidRPr="0028033B" w:rsidRDefault="00E46639" w:rsidP="00F16E23">
            <w:pPr>
              <w:pStyle w:val="TableText"/>
              <w:spacing w:before="40" w:after="40"/>
              <w:rPr>
                <w:rFonts w:cs="Calibri"/>
                <w:i/>
                <w:color w:val="0D0D0D" w:themeColor="text1" w:themeTint="F2"/>
                <w:szCs w:val="16"/>
              </w:rPr>
            </w:pPr>
            <w:r w:rsidRPr="0028033B">
              <w:rPr>
                <w:rFonts w:cs="Calibri"/>
                <w:color w:val="0D0D0D" w:themeColor="text1" w:themeTint="F2"/>
                <w:szCs w:val="16"/>
              </w:rPr>
              <w:t xml:space="preserve">2025 (1990–2023) emissions estimate </w:t>
            </w:r>
            <w:r w:rsidRPr="0028033B">
              <w:rPr>
                <w:rFonts w:cs="Calibri"/>
                <w:i/>
                <w:color w:val="0D0D0D" w:themeColor="text1" w:themeTint="F2"/>
                <w:szCs w:val="16"/>
              </w:rPr>
              <w:t>with</w:t>
            </w:r>
            <w:r w:rsidRPr="0028033B">
              <w:rPr>
                <w:rFonts w:cs="Calibri"/>
                <w:color w:val="0D0D0D" w:themeColor="text1" w:themeTint="F2"/>
                <w:szCs w:val="16"/>
              </w:rPr>
              <w:t xml:space="preserve"> </w:t>
            </w:r>
            <w:r w:rsidRPr="0028033B">
              <w:rPr>
                <w:rFonts w:cs="Calibri"/>
                <w:i/>
                <w:color w:val="0D0D0D" w:themeColor="text1" w:themeTint="F2"/>
                <w:szCs w:val="16"/>
              </w:rPr>
              <w:t>improvement</w:t>
            </w:r>
          </w:p>
        </w:tc>
        <w:tc>
          <w:tcPr>
            <w:tcW w:w="0" w:type="auto"/>
            <w:vAlign w:val="bottom"/>
          </w:tcPr>
          <w:p w14:paraId="1BAB5277"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4,595.9</w:t>
            </w:r>
          </w:p>
        </w:tc>
        <w:tc>
          <w:tcPr>
            <w:tcW w:w="0" w:type="auto"/>
            <w:vAlign w:val="bottom"/>
          </w:tcPr>
          <w:p w14:paraId="168766DD"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6,326.8</w:t>
            </w:r>
          </w:p>
        </w:tc>
        <w:tc>
          <w:tcPr>
            <w:tcW w:w="0" w:type="auto"/>
            <w:vAlign w:val="bottom"/>
          </w:tcPr>
          <w:p w14:paraId="6381F8A3"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6,186.3</w:t>
            </w:r>
          </w:p>
        </w:tc>
        <w:tc>
          <w:tcPr>
            <w:tcW w:w="0" w:type="auto"/>
            <w:vAlign w:val="bottom"/>
          </w:tcPr>
          <w:p w14:paraId="0C2C6294"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1,590.4</w:t>
            </w:r>
          </w:p>
        </w:tc>
        <w:tc>
          <w:tcPr>
            <w:tcW w:w="0" w:type="auto"/>
            <w:vAlign w:val="bottom"/>
          </w:tcPr>
          <w:p w14:paraId="1DCE87A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34.6</w:t>
            </w:r>
          </w:p>
        </w:tc>
        <w:tc>
          <w:tcPr>
            <w:tcW w:w="0" w:type="auto"/>
            <w:vAlign w:val="bottom"/>
          </w:tcPr>
          <w:p w14:paraId="1737F5BB"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-140.5</w:t>
            </w:r>
          </w:p>
        </w:tc>
        <w:tc>
          <w:tcPr>
            <w:tcW w:w="0" w:type="auto"/>
            <w:vAlign w:val="bottom"/>
          </w:tcPr>
          <w:p w14:paraId="58DAC067"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-2.2</w:t>
            </w:r>
          </w:p>
        </w:tc>
      </w:tr>
      <w:tr w:rsidR="00E46639" w:rsidRPr="0028033B" w14:paraId="5F8C28A6" w14:textId="77777777" w:rsidTr="00F16E23">
        <w:tc>
          <w:tcPr>
            <w:tcW w:w="0" w:type="auto"/>
            <w:vMerge/>
            <w:vAlign w:val="center"/>
          </w:tcPr>
          <w:p w14:paraId="2C888592" w14:textId="77777777" w:rsidR="00E46639" w:rsidRPr="0028033B" w:rsidRDefault="00E46639" w:rsidP="00F16E23">
            <w:pPr>
              <w:pStyle w:val="TableText"/>
              <w:spacing w:before="40" w:after="40"/>
              <w:rPr>
                <w:rFonts w:cs="Calibri"/>
                <w:color w:val="0D0D0D" w:themeColor="text1" w:themeTint="F2"/>
                <w:szCs w:val="16"/>
              </w:rPr>
            </w:pPr>
          </w:p>
        </w:tc>
        <w:tc>
          <w:tcPr>
            <w:tcW w:w="0" w:type="auto"/>
            <w:vAlign w:val="center"/>
          </w:tcPr>
          <w:p w14:paraId="0C78F7E0" w14:textId="77777777" w:rsidR="00E46639" w:rsidRPr="0028033B" w:rsidRDefault="00E46639" w:rsidP="00F16E23">
            <w:pPr>
              <w:pStyle w:val="TableText"/>
              <w:spacing w:before="40" w:after="40"/>
              <w:rPr>
                <w:rFonts w:cs="Calibri"/>
                <w:color w:val="0D0D0D" w:themeColor="text1" w:themeTint="F2"/>
                <w:szCs w:val="16"/>
              </w:rPr>
            </w:pPr>
            <w:r w:rsidRPr="0028033B">
              <w:rPr>
                <w:rFonts w:cs="Calibri"/>
                <w:color w:val="0D0D0D" w:themeColor="text1" w:themeTint="F2"/>
                <w:szCs w:val="16"/>
              </w:rPr>
              <w:t>Difference in emissions estimates</w:t>
            </w:r>
          </w:p>
        </w:tc>
        <w:tc>
          <w:tcPr>
            <w:tcW w:w="0" w:type="auto"/>
            <w:vAlign w:val="bottom"/>
          </w:tcPr>
          <w:p w14:paraId="17CA0AF1"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-59.2</w:t>
            </w:r>
          </w:p>
        </w:tc>
        <w:tc>
          <w:tcPr>
            <w:tcW w:w="0" w:type="auto"/>
            <w:vAlign w:val="bottom"/>
          </w:tcPr>
          <w:p w14:paraId="3D128CB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-117.1</w:t>
            </w:r>
          </w:p>
        </w:tc>
        <w:tc>
          <w:tcPr>
            <w:tcW w:w="0" w:type="auto"/>
            <w:vAlign w:val="bottom"/>
          </w:tcPr>
          <w:p w14:paraId="0BAD98DC"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-186.1</w:t>
            </w:r>
          </w:p>
        </w:tc>
        <w:tc>
          <w:tcPr>
            <w:tcW w:w="0" w:type="auto"/>
            <w:vAlign w:val="bottom"/>
          </w:tcPr>
          <w:p w14:paraId="1DCDE8D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0" w:type="auto"/>
            <w:vAlign w:val="bottom"/>
          </w:tcPr>
          <w:p w14:paraId="7F6B684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0" w:type="auto"/>
            <w:vAlign w:val="bottom"/>
          </w:tcPr>
          <w:p w14:paraId="568C97F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0" w:type="auto"/>
            <w:vAlign w:val="bottom"/>
          </w:tcPr>
          <w:p w14:paraId="6AAF3B8B"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r>
      <w:tr w:rsidR="00E46639" w:rsidRPr="0028033B" w14:paraId="114D750A" w14:textId="77777777" w:rsidTr="00F16E23">
        <w:tc>
          <w:tcPr>
            <w:tcW w:w="0" w:type="auto"/>
            <w:vMerge/>
            <w:vAlign w:val="center"/>
          </w:tcPr>
          <w:p w14:paraId="1F004A63" w14:textId="77777777" w:rsidR="00E46639" w:rsidRPr="0028033B" w:rsidRDefault="00E46639" w:rsidP="00F16E23">
            <w:pPr>
              <w:pStyle w:val="TableText"/>
              <w:spacing w:before="40" w:after="40"/>
              <w:rPr>
                <w:rFonts w:cs="Calibri"/>
                <w:color w:val="0D0D0D" w:themeColor="text1" w:themeTint="F2"/>
                <w:szCs w:val="16"/>
              </w:rPr>
            </w:pPr>
          </w:p>
        </w:tc>
        <w:tc>
          <w:tcPr>
            <w:tcW w:w="0" w:type="auto"/>
            <w:vAlign w:val="center"/>
          </w:tcPr>
          <w:p w14:paraId="693288E3" w14:textId="77777777" w:rsidR="00E46639" w:rsidRPr="0028033B" w:rsidRDefault="00E46639" w:rsidP="00F16E23">
            <w:pPr>
              <w:pStyle w:val="TableText"/>
              <w:spacing w:before="40" w:after="40"/>
              <w:rPr>
                <w:rFonts w:cs="Calibri"/>
                <w:color w:val="0D0D0D" w:themeColor="text1" w:themeTint="F2"/>
                <w:szCs w:val="16"/>
              </w:rPr>
            </w:pPr>
            <w:r w:rsidRPr="0028033B">
              <w:rPr>
                <w:rFonts w:cs="Calibri"/>
                <w:color w:val="0D0D0D" w:themeColor="text1" w:themeTint="F2"/>
                <w:szCs w:val="16"/>
              </w:rPr>
              <w:t>Percentage difference in emissions estimates (%)</w:t>
            </w:r>
          </w:p>
        </w:tc>
        <w:tc>
          <w:tcPr>
            <w:tcW w:w="0" w:type="auto"/>
            <w:vAlign w:val="bottom"/>
          </w:tcPr>
          <w:p w14:paraId="52BA4CE6"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-1.3</w:t>
            </w:r>
          </w:p>
        </w:tc>
        <w:tc>
          <w:tcPr>
            <w:tcW w:w="0" w:type="auto"/>
            <w:vAlign w:val="bottom"/>
          </w:tcPr>
          <w:p w14:paraId="5024E4A0"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-1.8</w:t>
            </w:r>
          </w:p>
        </w:tc>
        <w:tc>
          <w:tcPr>
            <w:tcW w:w="0" w:type="auto"/>
            <w:vAlign w:val="bottom"/>
          </w:tcPr>
          <w:p w14:paraId="3263BC7F"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-2.9</w:t>
            </w:r>
          </w:p>
        </w:tc>
        <w:tc>
          <w:tcPr>
            <w:tcW w:w="0" w:type="auto"/>
            <w:vAlign w:val="bottom"/>
          </w:tcPr>
          <w:p w14:paraId="37431CF8"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0" w:type="auto"/>
            <w:vAlign w:val="bottom"/>
          </w:tcPr>
          <w:p w14:paraId="24BB1EDA"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0" w:type="auto"/>
            <w:vAlign w:val="bottom"/>
          </w:tcPr>
          <w:p w14:paraId="399B52FC"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c>
          <w:tcPr>
            <w:tcW w:w="0" w:type="auto"/>
            <w:vAlign w:val="bottom"/>
          </w:tcPr>
          <w:p w14:paraId="16CB5375" w14:textId="77777777" w:rsidR="00E46639" w:rsidRPr="0028033B" w:rsidRDefault="00E46639" w:rsidP="00F16E23">
            <w:pPr>
              <w:pStyle w:val="TableText"/>
              <w:spacing w:before="40" w:after="40"/>
              <w:jc w:val="right"/>
              <w:rPr>
                <w:rFonts w:cs="Calibri"/>
                <w:color w:val="000000" w:themeColor="text1"/>
                <w:szCs w:val="16"/>
              </w:rPr>
            </w:pPr>
            <w:r w:rsidRPr="0028033B">
              <w:rPr>
                <w:rFonts w:cs="Calibri"/>
                <w:color w:val="000000" w:themeColor="text1"/>
                <w:szCs w:val="16"/>
              </w:rPr>
              <w:t> </w:t>
            </w:r>
          </w:p>
        </w:tc>
      </w:tr>
    </w:tbl>
    <w:p w14:paraId="638FC9B0" w14:textId="77777777" w:rsidR="00E46639" w:rsidRPr="0028033B" w:rsidRDefault="00E46639" w:rsidP="00E46639">
      <w:pPr>
        <w:pStyle w:val="Noteundertable"/>
        <w:rPr>
          <w:rFonts w:cs="Calibri"/>
        </w:rPr>
      </w:pPr>
      <w:r w:rsidRPr="0028033B">
        <w:rPr>
          <w:rFonts w:cs="Calibri"/>
          <w:b/>
          <w:bCs/>
        </w:rPr>
        <w:t>Note:</w:t>
      </w:r>
      <w:r w:rsidRPr="0028033B">
        <w:rPr>
          <w:rFonts w:cs="Calibri"/>
          <w:b/>
          <w:bCs/>
        </w:rPr>
        <w:tab/>
      </w:r>
      <w:r w:rsidRPr="0028033B">
        <w:rPr>
          <w:rFonts w:cs="Calibri"/>
        </w:rPr>
        <w:t>Columns may not sum due to rounding. Percentages presented are calculated from unrounded values.</w:t>
      </w:r>
    </w:p>
    <w:p w14:paraId="1E39429A" w14:textId="77777777" w:rsidR="00E46639" w:rsidRPr="0028033B" w:rsidRDefault="00E46639" w:rsidP="00E46639">
      <w:pPr>
        <w:pStyle w:val="Heading5"/>
      </w:pPr>
      <w:bookmarkStart w:id="1365" w:name="_Toc32570672"/>
      <w:bookmarkEnd w:id="1362"/>
      <w:r w:rsidRPr="0028033B">
        <w:t>Updates to dairy manure and effluent management practices</w:t>
      </w:r>
    </w:p>
    <w:p w14:paraId="15BCC35F" w14:textId="77777777" w:rsidR="00E46639" w:rsidRPr="0028033B" w:rsidRDefault="00E46639" w:rsidP="00E46639">
      <w:pPr>
        <w:pStyle w:val="BodyText"/>
        <w:rPr>
          <w:rFonts w:eastAsia="Calibri"/>
          <w:lang w:eastAsia="en-US"/>
        </w:rPr>
      </w:pPr>
      <w:r w:rsidRPr="0028033B">
        <w:rPr>
          <w:rFonts w:eastAsia="Calibri"/>
          <w:lang w:eastAsia="en-US"/>
        </w:rPr>
        <w:t>Research conducted by AgResearch (</w:t>
      </w:r>
      <w:r w:rsidRPr="0028033B">
        <w:t>Luo et.al., unpublished(a))</w:t>
      </w:r>
      <w:r w:rsidRPr="0028033B">
        <w:rPr>
          <w:rFonts w:eastAsia="Calibri"/>
          <w:lang w:eastAsia="en-US"/>
        </w:rPr>
        <w:t xml:space="preserve"> has provided updated data on dairy manure management practices. This research has led to improvements in the activity data and methodology for calculating emissions from dairy manure: </w:t>
      </w:r>
    </w:p>
    <w:p w14:paraId="059FDA8C" w14:textId="77777777" w:rsidR="00E46639" w:rsidRPr="0028033B" w:rsidRDefault="00E46639" w:rsidP="00E46639">
      <w:pPr>
        <w:pStyle w:val="Bullet"/>
        <w:rPr>
          <w:rFonts w:eastAsia="Calibri"/>
        </w:rPr>
      </w:pPr>
      <w:r w:rsidRPr="0028033B">
        <w:rPr>
          <w:rFonts w:eastAsia="Calibri"/>
        </w:rPr>
        <w:t>updated annual proportions of dairy manure entering manure management systems</w:t>
      </w:r>
    </w:p>
    <w:p w14:paraId="608FE7D4" w14:textId="77777777" w:rsidR="00E46639" w:rsidRPr="0028033B" w:rsidRDefault="00E46639" w:rsidP="00E46639">
      <w:pPr>
        <w:pStyle w:val="Bullet"/>
        <w:rPr>
          <w:rFonts w:eastAsia="Calibri"/>
        </w:rPr>
      </w:pPr>
      <w:r w:rsidRPr="0028033B">
        <w:rPr>
          <w:rFonts w:eastAsia="Calibri"/>
        </w:rPr>
        <w:t>introduction of solid storage as a manure management system for dairy, with default emission factors</w:t>
      </w:r>
    </w:p>
    <w:p w14:paraId="0BBD87FC" w14:textId="77777777" w:rsidR="00E46639" w:rsidRPr="0028033B" w:rsidRDefault="00E46639" w:rsidP="00E46639">
      <w:pPr>
        <w:pStyle w:val="Bullet"/>
        <w:rPr>
          <w:rFonts w:eastAsia="Calibri"/>
        </w:rPr>
      </w:pPr>
      <w:r w:rsidRPr="0028033B">
        <w:rPr>
          <w:rFonts w:eastAsia="Calibri"/>
        </w:rPr>
        <w:t>seasonal allocation of total annual manure collected on structures.</w:t>
      </w:r>
    </w:p>
    <w:p w14:paraId="01168B78" w14:textId="77777777" w:rsidR="00E46639" w:rsidRPr="0028033B" w:rsidRDefault="00E46639" w:rsidP="00E46639">
      <w:pPr>
        <w:pStyle w:val="BodyText"/>
        <w:rPr>
          <w:shd w:val="clear" w:color="auto" w:fill="FFFFFF"/>
        </w:rPr>
      </w:pPr>
      <w:r w:rsidRPr="0028033B">
        <w:rPr>
          <w:shd w:val="clear" w:color="auto" w:fill="FFFFFF"/>
        </w:rPr>
        <w:t>For more detail on these changes, see section 5.3.5.</w:t>
      </w:r>
    </w:p>
    <w:p w14:paraId="58F1218E" w14:textId="77777777" w:rsidR="00E46639" w:rsidRPr="0028033B" w:rsidRDefault="00E46639" w:rsidP="00E46639">
      <w:pPr>
        <w:pStyle w:val="BodyText"/>
      </w:pPr>
      <w:r w:rsidRPr="0028033B">
        <w:t xml:space="preserve">The implementation of these changes caused emissions from the </w:t>
      </w:r>
      <w:r w:rsidRPr="0028033B">
        <w:rPr>
          <w:i/>
        </w:rPr>
        <w:t>Agricultural soils</w:t>
      </w:r>
      <w:r w:rsidRPr="0028033B">
        <w:t xml:space="preserve"> category to decrease by 0.2 kt CO</w:t>
      </w:r>
      <w:r w:rsidRPr="0028033B">
        <w:rPr>
          <w:vertAlign w:val="subscript"/>
        </w:rPr>
        <w:t>2</w:t>
      </w:r>
      <w:r w:rsidRPr="0028033B">
        <w:t>e in 1990 and increase by 9.6 kt CO</w:t>
      </w:r>
      <w:r w:rsidRPr="0028033B">
        <w:rPr>
          <w:vertAlign w:val="subscript"/>
        </w:rPr>
        <w:t>2</w:t>
      </w:r>
      <w:r w:rsidRPr="0028033B">
        <w:t>e in 2023 (table 5.5.14).</w:t>
      </w:r>
    </w:p>
    <w:p w14:paraId="35A12FCF" w14:textId="77777777" w:rsidR="00E46639" w:rsidRPr="0028033B" w:rsidRDefault="00E46639" w:rsidP="00E46639">
      <w:pPr>
        <w:pStyle w:val="Table"/>
      </w:pPr>
      <w:bookmarkStart w:id="1366" w:name="_Toc222407659"/>
      <w:bookmarkStart w:id="1367" w:name="_Toc226669034"/>
      <w:r w:rsidRPr="0028033B">
        <w:rPr>
          <w:rFonts w:cs="Calibri"/>
        </w:rPr>
        <w:t>Table 5.5.14</w:t>
      </w:r>
      <w:r w:rsidRPr="0028033B">
        <w:rPr>
          <w:rFonts w:cs="Calibri"/>
        </w:rPr>
        <w:tab/>
        <w:t>Comparison of emissions from </w:t>
      </w:r>
      <w:r w:rsidRPr="0028033B">
        <w:rPr>
          <w:rFonts w:cs="Calibri"/>
          <w:i/>
          <w:iCs/>
        </w:rPr>
        <w:t>Agricultural soils</w:t>
      </w:r>
      <w:r w:rsidRPr="0028033B">
        <w:rPr>
          <w:rFonts w:cs="Calibri"/>
        </w:rPr>
        <w:t xml:space="preserve"> before and after including revised dairy manure management practices</w:t>
      </w:r>
      <w:bookmarkEnd w:id="1366"/>
      <w:bookmarkEnd w:id="1367"/>
    </w:p>
    <w:tbl>
      <w:tblPr>
        <w:tblW w:w="8562" w:type="dxa"/>
        <w:tblBorders>
          <w:top w:val="single" w:sz="4" w:space="0" w:color="1B556B"/>
          <w:bottom w:val="single" w:sz="4" w:space="0" w:color="1B556B"/>
          <w:insideH w:val="single" w:sz="4" w:space="0" w:color="1B556B"/>
        </w:tblBorders>
        <w:tblLayout w:type="fixed"/>
        <w:tblCellMar>
          <w:left w:w="85" w:type="dxa"/>
          <w:right w:w="57" w:type="dxa"/>
        </w:tblCellMar>
        <w:tblLook w:val="04A0" w:firstRow="1" w:lastRow="0" w:firstColumn="1" w:lastColumn="0" w:noHBand="0" w:noVBand="1"/>
      </w:tblPr>
      <w:tblGrid>
        <w:gridCol w:w="1299"/>
        <w:gridCol w:w="1585"/>
        <w:gridCol w:w="807"/>
        <w:gridCol w:w="749"/>
        <w:gridCol w:w="749"/>
        <w:gridCol w:w="957"/>
        <w:gridCol w:w="764"/>
        <w:gridCol w:w="965"/>
        <w:gridCol w:w="687"/>
      </w:tblGrid>
      <w:tr w:rsidR="00907DA4" w:rsidRPr="00907DA4" w14:paraId="17CBA6A2" w14:textId="77777777" w:rsidTr="00B90230">
        <w:tc>
          <w:tcPr>
            <w:tcW w:w="1276" w:type="dxa"/>
            <w:vMerge w:val="restart"/>
            <w:shd w:val="clear" w:color="auto" w:fill="1B556B" w:themeFill="text2"/>
            <w:vAlign w:val="center"/>
            <w:hideMark/>
          </w:tcPr>
          <w:p w14:paraId="03B3FABC" w14:textId="77777777" w:rsidR="00E46639" w:rsidRPr="00907DA4" w:rsidRDefault="00E46639" w:rsidP="00907DA4">
            <w:pPr>
              <w:pStyle w:val="TableTextBold"/>
              <w:spacing w:before="40" w:after="40"/>
              <w:rPr>
                <w:color w:val="FFFFFF" w:themeColor="background1"/>
              </w:rPr>
            </w:pPr>
            <w:r w:rsidRPr="00907DA4">
              <w:rPr>
                <w:color w:val="FFFFFF" w:themeColor="background1"/>
              </w:rPr>
              <w:t> </w:t>
            </w:r>
          </w:p>
        </w:tc>
        <w:tc>
          <w:tcPr>
            <w:tcW w:w="1559" w:type="dxa"/>
            <w:vMerge w:val="restart"/>
            <w:shd w:val="clear" w:color="auto" w:fill="1B556B" w:themeFill="text2"/>
            <w:vAlign w:val="center"/>
            <w:hideMark/>
          </w:tcPr>
          <w:p w14:paraId="2AA6AC4E" w14:textId="77777777" w:rsidR="00E46639" w:rsidRPr="00907DA4" w:rsidRDefault="00E46639" w:rsidP="00907DA4">
            <w:pPr>
              <w:pStyle w:val="TableTextBold"/>
              <w:spacing w:before="40" w:after="40"/>
              <w:rPr>
                <w:color w:val="FFFFFF" w:themeColor="background1"/>
              </w:rPr>
            </w:pPr>
            <w:r w:rsidRPr="00907DA4">
              <w:rPr>
                <w:color w:val="FFFFFF" w:themeColor="background1"/>
              </w:rPr>
              <w:t> </w:t>
            </w:r>
          </w:p>
        </w:tc>
        <w:tc>
          <w:tcPr>
            <w:tcW w:w="794" w:type="dxa"/>
            <w:vMerge w:val="restart"/>
            <w:shd w:val="clear" w:color="auto" w:fill="1B556B" w:themeFill="text2"/>
            <w:vAlign w:val="bottom"/>
            <w:hideMark/>
          </w:tcPr>
          <w:p w14:paraId="572CF40B" w14:textId="1A9BC821" w:rsidR="00E46639" w:rsidRPr="00907DA4" w:rsidRDefault="00E46639" w:rsidP="00B90230">
            <w:pPr>
              <w:pStyle w:val="TableTextBold"/>
              <w:spacing w:before="40" w:after="0"/>
              <w:jc w:val="center"/>
              <w:rPr>
                <w:color w:val="FFFFFF" w:themeColor="background1"/>
              </w:rPr>
            </w:pPr>
            <w:r w:rsidRPr="00907DA4">
              <w:rPr>
                <w:color w:val="FFFFFF" w:themeColor="background1"/>
              </w:rPr>
              <w:t>1990</w:t>
            </w:r>
          </w:p>
          <w:p w14:paraId="729B1D50" w14:textId="77777777" w:rsidR="00E46639" w:rsidRPr="00907DA4" w:rsidRDefault="00E46639" w:rsidP="00B90230">
            <w:pPr>
              <w:pStyle w:val="TableTextBold"/>
              <w:spacing w:before="40" w:after="40"/>
              <w:jc w:val="right"/>
              <w:rPr>
                <w:color w:val="FFFFFF" w:themeColor="background1"/>
              </w:rPr>
            </w:pPr>
            <w:r w:rsidRPr="00907DA4">
              <w:rPr>
                <w:color w:val="FFFFFF" w:themeColor="background1"/>
              </w:rPr>
              <w:t>(kt CO</w:t>
            </w:r>
            <w:r w:rsidRPr="00907DA4">
              <w:rPr>
                <w:color w:val="FFFFFF" w:themeColor="background1"/>
                <w:vertAlign w:val="subscript"/>
              </w:rPr>
              <w:t>2</w:t>
            </w:r>
            <w:r w:rsidRPr="00907DA4">
              <w:rPr>
                <w:color w:val="FFFFFF" w:themeColor="background1"/>
              </w:rPr>
              <w:t>e)</w:t>
            </w:r>
          </w:p>
        </w:tc>
        <w:tc>
          <w:tcPr>
            <w:tcW w:w="737" w:type="dxa"/>
            <w:vMerge w:val="restart"/>
            <w:shd w:val="clear" w:color="auto" w:fill="1B556B" w:themeFill="text2"/>
            <w:vAlign w:val="bottom"/>
            <w:hideMark/>
          </w:tcPr>
          <w:p w14:paraId="43C085AA" w14:textId="77777777" w:rsidR="00E46639" w:rsidRPr="00907DA4" w:rsidRDefault="00E46639" w:rsidP="00B90230">
            <w:pPr>
              <w:pStyle w:val="TableTextBold"/>
              <w:spacing w:before="40" w:after="0"/>
              <w:jc w:val="center"/>
              <w:rPr>
                <w:color w:val="FFFFFF" w:themeColor="background1"/>
              </w:rPr>
            </w:pPr>
            <w:r w:rsidRPr="00907DA4">
              <w:rPr>
                <w:color w:val="FFFFFF" w:themeColor="background1"/>
              </w:rPr>
              <w:t>2005</w:t>
            </w:r>
          </w:p>
          <w:p w14:paraId="4BD4B17C" w14:textId="77777777" w:rsidR="00E46639" w:rsidRPr="00907DA4" w:rsidRDefault="00E46639" w:rsidP="00B90230">
            <w:pPr>
              <w:pStyle w:val="TableTextBold"/>
              <w:spacing w:before="40" w:after="40"/>
              <w:jc w:val="right"/>
              <w:rPr>
                <w:color w:val="FFFFFF" w:themeColor="background1"/>
              </w:rPr>
            </w:pPr>
            <w:r w:rsidRPr="00907DA4">
              <w:rPr>
                <w:color w:val="FFFFFF" w:themeColor="background1"/>
              </w:rPr>
              <w:t>(kt CO</w:t>
            </w:r>
            <w:r w:rsidRPr="00907DA4">
              <w:rPr>
                <w:color w:val="FFFFFF" w:themeColor="background1"/>
                <w:vertAlign w:val="subscript"/>
              </w:rPr>
              <w:t>2</w:t>
            </w:r>
            <w:r w:rsidRPr="00907DA4">
              <w:rPr>
                <w:color w:val="FFFFFF" w:themeColor="background1"/>
              </w:rPr>
              <w:t>e)</w:t>
            </w:r>
          </w:p>
        </w:tc>
        <w:tc>
          <w:tcPr>
            <w:tcW w:w="737" w:type="dxa"/>
            <w:vMerge w:val="restart"/>
            <w:shd w:val="clear" w:color="auto" w:fill="1B556B" w:themeFill="text2"/>
            <w:vAlign w:val="bottom"/>
            <w:hideMark/>
          </w:tcPr>
          <w:p w14:paraId="39A9BD03" w14:textId="77777777" w:rsidR="00E46639" w:rsidRPr="00907DA4" w:rsidRDefault="00E46639" w:rsidP="00B90230">
            <w:pPr>
              <w:pStyle w:val="TableTextBold"/>
              <w:spacing w:before="40" w:after="0"/>
              <w:jc w:val="center"/>
              <w:rPr>
                <w:color w:val="FFFFFF" w:themeColor="background1"/>
              </w:rPr>
            </w:pPr>
            <w:r w:rsidRPr="00907DA4">
              <w:rPr>
                <w:color w:val="FFFFFF" w:themeColor="background1"/>
              </w:rPr>
              <w:t>2023</w:t>
            </w:r>
          </w:p>
          <w:p w14:paraId="3FC4E332" w14:textId="77777777" w:rsidR="00E46639" w:rsidRPr="00907DA4" w:rsidRDefault="00E46639" w:rsidP="00B90230">
            <w:pPr>
              <w:pStyle w:val="TableTextBold"/>
              <w:spacing w:before="40" w:after="40"/>
              <w:jc w:val="right"/>
              <w:rPr>
                <w:color w:val="FFFFFF" w:themeColor="background1"/>
              </w:rPr>
            </w:pPr>
            <w:r w:rsidRPr="00907DA4">
              <w:rPr>
                <w:color w:val="FFFFFF" w:themeColor="background1"/>
              </w:rPr>
              <w:t>(kt CO</w:t>
            </w:r>
            <w:r w:rsidRPr="00907DA4">
              <w:rPr>
                <w:color w:val="FFFFFF" w:themeColor="background1"/>
                <w:vertAlign w:val="subscript"/>
              </w:rPr>
              <w:t>2</w:t>
            </w:r>
            <w:r w:rsidRPr="00907DA4">
              <w:rPr>
                <w:color w:val="FFFFFF" w:themeColor="background1"/>
              </w:rPr>
              <w:t>e)</w:t>
            </w:r>
          </w:p>
        </w:tc>
        <w:tc>
          <w:tcPr>
            <w:tcW w:w="1692" w:type="dxa"/>
            <w:gridSpan w:val="2"/>
            <w:shd w:val="clear" w:color="auto" w:fill="1B556B" w:themeFill="text2"/>
            <w:vAlign w:val="center"/>
            <w:hideMark/>
          </w:tcPr>
          <w:p w14:paraId="7F4CDD76" w14:textId="77777777" w:rsidR="00E46639" w:rsidRPr="00907DA4" w:rsidRDefault="00E46639" w:rsidP="00B90230">
            <w:pPr>
              <w:pStyle w:val="TableTextBold"/>
              <w:spacing w:before="40" w:after="0"/>
              <w:jc w:val="center"/>
              <w:rPr>
                <w:color w:val="FFFFFF" w:themeColor="background1"/>
              </w:rPr>
            </w:pPr>
            <w:r w:rsidRPr="00907DA4">
              <w:rPr>
                <w:color w:val="FFFFFF" w:themeColor="background1"/>
              </w:rPr>
              <w:t>Change in emissions between 1990 and 2023</w:t>
            </w:r>
          </w:p>
        </w:tc>
        <w:tc>
          <w:tcPr>
            <w:tcW w:w="1625" w:type="dxa"/>
            <w:gridSpan w:val="2"/>
            <w:shd w:val="clear" w:color="auto" w:fill="1B556B" w:themeFill="text2"/>
            <w:vAlign w:val="center"/>
            <w:hideMark/>
          </w:tcPr>
          <w:p w14:paraId="42D8F213" w14:textId="77777777" w:rsidR="00E46639" w:rsidRPr="00907DA4" w:rsidRDefault="00E46639" w:rsidP="00B90230">
            <w:pPr>
              <w:pStyle w:val="TableTextBold"/>
              <w:spacing w:before="40" w:after="0"/>
              <w:jc w:val="center"/>
              <w:rPr>
                <w:color w:val="FFFFFF" w:themeColor="background1"/>
              </w:rPr>
            </w:pPr>
            <w:r w:rsidRPr="00907DA4">
              <w:rPr>
                <w:color w:val="FFFFFF" w:themeColor="background1"/>
              </w:rPr>
              <w:t>Change in emissions between 2005 and 2023</w:t>
            </w:r>
          </w:p>
        </w:tc>
      </w:tr>
      <w:tr w:rsidR="00B90230" w:rsidRPr="0028033B" w14:paraId="4FE120E8" w14:textId="77777777" w:rsidTr="00B90230">
        <w:tc>
          <w:tcPr>
            <w:tcW w:w="1276" w:type="dxa"/>
            <w:vMerge/>
            <w:tcBorders>
              <w:bottom w:val="single" w:sz="4" w:space="0" w:color="1B556B"/>
            </w:tcBorders>
            <w:shd w:val="clear" w:color="auto" w:fill="1B556B" w:themeFill="text2"/>
            <w:vAlign w:val="center"/>
            <w:hideMark/>
          </w:tcPr>
          <w:p w14:paraId="7AC4659F" w14:textId="77777777" w:rsidR="00E46639" w:rsidRPr="0028033B" w:rsidRDefault="00E46639" w:rsidP="00907DA4">
            <w:pPr>
              <w:spacing w:before="40" w:after="40"/>
              <w:rPr>
                <w:rFonts w:cs="Calibri"/>
                <w:b/>
                <w:bCs/>
                <w:color w:val="F46CD4"/>
                <w:sz w:val="16"/>
                <w:szCs w:val="16"/>
              </w:rPr>
            </w:pPr>
          </w:p>
        </w:tc>
        <w:tc>
          <w:tcPr>
            <w:tcW w:w="1559" w:type="dxa"/>
            <w:vMerge/>
            <w:tcBorders>
              <w:bottom w:val="single" w:sz="4" w:space="0" w:color="1B556B"/>
            </w:tcBorders>
            <w:shd w:val="clear" w:color="auto" w:fill="1B556B" w:themeFill="text2"/>
            <w:vAlign w:val="center"/>
            <w:hideMark/>
          </w:tcPr>
          <w:p w14:paraId="5B7B7D9F" w14:textId="77777777" w:rsidR="00E46639" w:rsidRPr="0028033B" w:rsidRDefault="00E46639" w:rsidP="00907DA4">
            <w:pPr>
              <w:spacing w:before="40" w:after="40"/>
              <w:rPr>
                <w:rFonts w:cs="Calibri"/>
                <w:b/>
                <w:color w:val="FFFFFF" w:themeColor="background1"/>
                <w:sz w:val="16"/>
                <w:szCs w:val="16"/>
              </w:rPr>
            </w:pPr>
          </w:p>
        </w:tc>
        <w:tc>
          <w:tcPr>
            <w:tcW w:w="794" w:type="dxa"/>
            <w:vMerge/>
            <w:tcBorders>
              <w:bottom w:val="single" w:sz="4" w:space="0" w:color="1B556B"/>
            </w:tcBorders>
            <w:shd w:val="clear" w:color="auto" w:fill="1B556B" w:themeFill="text2"/>
            <w:vAlign w:val="center"/>
            <w:hideMark/>
          </w:tcPr>
          <w:p w14:paraId="2B8F1627" w14:textId="77777777" w:rsidR="00E46639" w:rsidRPr="0028033B" w:rsidRDefault="00E46639" w:rsidP="00B90230">
            <w:pPr>
              <w:spacing w:before="40" w:after="40"/>
              <w:jc w:val="right"/>
              <w:rPr>
                <w:rFonts w:cs="Calibri"/>
                <w:b/>
                <w:sz w:val="16"/>
                <w:szCs w:val="16"/>
              </w:rPr>
            </w:pPr>
          </w:p>
        </w:tc>
        <w:tc>
          <w:tcPr>
            <w:tcW w:w="737" w:type="dxa"/>
            <w:vMerge/>
            <w:tcBorders>
              <w:bottom w:val="single" w:sz="4" w:space="0" w:color="1B556B"/>
            </w:tcBorders>
            <w:shd w:val="clear" w:color="auto" w:fill="1B556B" w:themeFill="text2"/>
            <w:vAlign w:val="center"/>
            <w:hideMark/>
          </w:tcPr>
          <w:p w14:paraId="2B51A465" w14:textId="77777777" w:rsidR="00E46639" w:rsidRPr="0028033B" w:rsidRDefault="00E46639" w:rsidP="00B90230">
            <w:pPr>
              <w:spacing w:before="40" w:after="40"/>
              <w:jc w:val="right"/>
              <w:rPr>
                <w:rFonts w:cs="Calibri"/>
                <w:b/>
                <w:sz w:val="16"/>
                <w:szCs w:val="16"/>
              </w:rPr>
            </w:pPr>
          </w:p>
        </w:tc>
        <w:tc>
          <w:tcPr>
            <w:tcW w:w="737" w:type="dxa"/>
            <w:vMerge/>
            <w:tcBorders>
              <w:bottom w:val="single" w:sz="4" w:space="0" w:color="1B556B"/>
            </w:tcBorders>
            <w:shd w:val="clear" w:color="auto" w:fill="1B556B" w:themeFill="text2"/>
            <w:vAlign w:val="center"/>
            <w:hideMark/>
          </w:tcPr>
          <w:p w14:paraId="761C8271" w14:textId="77777777" w:rsidR="00E46639" w:rsidRPr="0028033B" w:rsidRDefault="00E46639" w:rsidP="00B90230">
            <w:pPr>
              <w:spacing w:before="40" w:after="40"/>
              <w:jc w:val="right"/>
              <w:rPr>
                <w:rFonts w:cs="Calibri"/>
                <w:b/>
                <w:sz w:val="16"/>
                <w:szCs w:val="16"/>
              </w:rPr>
            </w:pPr>
          </w:p>
        </w:tc>
        <w:tc>
          <w:tcPr>
            <w:tcW w:w="941" w:type="dxa"/>
            <w:tcBorders>
              <w:bottom w:val="single" w:sz="4" w:space="0" w:color="1B556B"/>
            </w:tcBorders>
            <w:shd w:val="clear" w:color="auto" w:fill="1B556B" w:themeFill="text2"/>
            <w:vAlign w:val="center"/>
            <w:hideMark/>
          </w:tcPr>
          <w:p w14:paraId="3EC51B64" w14:textId="77777777" w:rsidR="00E46639" w:rsidRPr="00907DA4" w:rsidRDefault="00E46639" w:rsidP="00B90230">
            <w:pPr>
              <w:pStyle w:val="TableTextBold"/>
              <w:spacing w:before="40" w:after="40"/>
              <w:jc w:val="right"/>
              <w:rPr>
                <w:color w:val="FFFFFF" w:themeColor="background1"/>
              </w:rPr>
            </w:pPr>
            <w:r w:rsidRPr="00907DA4">
              <w:rPr>
                <w:color w:val="FFFFFF" w:themeColor="background1"/>
              </w:rPr>
              <w:t>(kt CO</w:t>
            </w:r>
            <w:r w:rsidRPr="00907DA4">
              <w:rPr>
                <w:color w:val="FFFFFF" w:themeColor="background1"/>
                <w:vertAlign w:val="subscript"/>
              </w:rPr>
              <w:t>2</w:t>
            </w:r>
            <w:r w:rsidRPr="00907DA4">
              <w:rPr>
                <w:color w:val="FFFFFF" w:themeColor="background1"/>
              </w:rPr>
              <w:t>e)</w:t>
            </w:r>
          </w:p>
        </w:tc>
        <w:tc>
          <w:tcPr>
            <w:tcW w:w="751" w:type="dxa"/>
            <w:tcBorders>
              <w:bottom w:val="single" w:sz="4" w:space="0" w:color="1B556B"/>
            </w:tcBorders>
            <w:shd w:val="clear" w:color="auto" w:fill="1B556B" w:themeFill="text2"/>
            <w:vAlign w:val="center"/>
            <w:hideMark/>
          </w:tcPr>
          <w:p w14:paraId="2AB8AC5D" w14:textId="77777777" w:rsidR="00E46639" w:rsidRPr="00907DA4" w:rsidRDefault="00E46639" w:rsidP="00B90230">
            <w:pPr>
              <w:pStyle w:val="TableTextBold"/>
              <w:spacing w:before="40" w:after="40"/>
              <w:jc w:val="right"/>
              <w:rPr>
                <w:color w:val="FFFFFF" w:themeColor="background1"/>
              </w:rPr>
            </w:pPr>
            <w:r w:rsidRPr="00907DA4">
              <w:rPr>
                <w:color w:val="FFFFFF" w:themeColor="background1"/>
              </w:rPr>
              <w:t>(%)</w:t>
            </w:r>
          </w:p>
        </w:tc>
        <w:tc>
          <w:tcPr>
            <w:tcW w:w="949" w:type="dxa"/>
            <w:tcBorders>
              <w:bottom w:val="single" w:sz="4" w:space="0" w:color="1B556B"/>
            </w:tcBorders>
            <w:shd w:val="clear" w:color="auto" w:fill="1B556B" w:themeFill="text2"/>
            <w:vAlign w:val="center"/>
            <w:hideMark/>
          </w:tcPr>
          <w:p w14:paraId="09B927E2" w14:textId="77777777" w:rsidR="00E46639" w:rsidRPr="00907DA4" w:rsidRDefault="00E46639" w:rsidP="00B90230">
            <w:pPr>
              <w:pStyle w:val="TableTextBold"/>
              <w:spacing w:before="40" w:after="40"/>
              <w:jc w:val="right"/>
              <w:rPr>
                <w:color w:val="FFFFFF" w:themeColor="background1"/>
              </w:rPr>
            </w:pPr>
            <w:r w:rsidRPr="00907DA4">
              <w:rPr>
                <w:color w:val="FFFFFF" w:themeColor="background1"/>
              </w:rPr>
              <w:t>(kt CO</w:t>
            </w:r>
            <w:r w:rsidRPr="00907DA4">
              <w:rPr>
                <w:color w:val="FFFFFF" w:themeColor="background1"/>
                <w:vertAlign w:val="subscript"/>
              </w:rPr>
              <w:t>2</w:t>
            </w:r>
            <w:r w:rsidRPr="00907DA4">
              <w:rPr>
                <w:color w:val="FFFFFF" w:themeColor="background1"/>
              </w:rPr>
              <w:t>e)</w:t>
            </w:r>
          </w:p>
        </w:tc>
        <w:tc>
          <w:tcPr>
            <w:tcW w:w="676" w:type="dxa"/>
            <w:tcBorders>
              <w:bottom w:val="single" w:sz="4" w:space="0" w:color="1B556B"/>
            </w:tcBorders>
            <w:shd w:val="clear" w:color="auto" w:fill="1B556B" w:themeFill="text2"/>
            <w:vAlign w:val="center"/>
            <w:hideMark/>
          </w:tcPr>
          <w:p w14:paraId="1F3BB024" w14:textId="77777777" w:rsidR="00E46639" w:rsidRPr="00907DA4" w:rsidRDefault="00E46639" w:rsidP="00B90230">
            <w:pPr>
              <w:pStyle w:val="TableTextBold"/>
              <w:spacing w:before="40" w:after="40"/>
              <w:jc w:val="right"/>
              <w:rPr>
                <w:color w:val="FFFFFF" w:themeColor="background1"/>
              </w:rPr>
            </w:pPr>
            <w:r w:rsidRPr="00907DA4">
              <w:rPr>
                <w:color w:val="FFFFFF" w:themeColor="background1"/>
              </w:rPr>
              <w:t>(%)</w:t>
            </w:r>
          </w:p>
        </w:tc>
      </w:tr>
      <w:tr w:rsidR="00B90230" w:rsidRPr="0028033B" w14:paraId="1C2F6D72" w14:textId="77777777" w:rsidTr="00B90230">
        <w:tc>
          <w:tcPr>
            <w:tcW w:w="1276" w:type="dxa"/>
            <w:vMerge w:val="restart"/>
            <w:vAlign w:val="center"/>
            <w:hideMark/>
          </w:tcPr>
          <w:p w14:paraId="0AB8373B" w14:textId="77777777" w:rsidR="00E46639" w:rsidRPr="0028033B" w:rsidRDefault="00E46639" w:rsidP="00907DA4">
            <w:pPr>
              <w:pStyle w:val="TableText"/>
              <w:spacing w:before="40" w:after="40"/>
            </w:pPr>
            <w:r w:rsidRPr="0028033B">
              <w:t xml:space="preserve">Total emissions from </w:t>
            </w:r>
            <w:r w:rsidRPr="0028033B">
              <w:rPr>
                <w:i/>
              </w:rPr>
              <w:t>Agricultural soils</w:t>
            </w:r>
          </w:p>
        </w:tc>
        <w:tc>
          <w:tcPr>
            <w:tcW w:w="1559" w:type="dxa"/>
            <w:vAlign w:val="bottom"/>
            <w:hideMark/>
          </w:tcPr>
          <w:p w14:paraId="582B88D5" w14:textId="77777777" w:rsidR="00E46639" w:rsidRPr="0028033B" w:rsidRDefault="00E46639" w:rsidP="00907DA4">
            <w:pPr>
              <w:pStyle w:val="TableText"/>
              <w:spacing w:before="40" w:after="40"/>
            </w:pPr>
            <w:r w:rsidRPr="0028033B">
              <w:t>2025 (1990–2023) emissions estimate</w:t>
            </w:r>
          </w:p>
        </w:tc>
        <w:tc>
          <w:tcPr>
            <w:tcW w:w="794" w:type="dxa"/>
            <w:vAlign w:val="bottom"/>
            <w:hideMark/>
          </w:tcPr>
          <w:p w14:paraId="192D2846" w14:textId="77777777" w:rsidR="00E46639" w:rsidRPr="0028033B" w:rsidRDefault="00E46639" w:rsidP="00B90230">
            <w:pPr>
              <w:pStyle w:val="TableText"/>
              <w:spacing w:before="40" w:after="40"/>
              <w:jc w:val="right"/>
            </w:pPr>
            <w:r w:rsidRPr="0028033B">
              <w:t>4,655.1</w:t>
            </w:r>
          </w:p>
        </w:tc>
        <w:tc>
          <w:tcPr>
            <w:tcW w:w="737" w:type="dxa"/>
            <w:vAlign w:val="bottom"/>
            <w:hideMark/>
          </w:tcPr>
          <w:p w14:paraId="746ED78C" w14:textId="77777777" w:rsidR="00E46639" w:rsidRPr="0028033B" w:rsidRDefault="00E46639" w:rsidP="00B90230">
            <w:pPr>
              <w:pStyle w:val="TableText"/>
              <w:spacing w:before="40" w:after="40"/>
              <w:jc w:val="right"/>
            </w:pPr>
            <w:r w:rsidRPr="0028033B">
              <w:t>6,443.9</w:t>
            </w:r>
          </w:p>
        </w:tc>
        <w:tc>
          <w:tcPr>
            <w:tcW w:w="737" w:type="dxa"/>
            <w:vAlign w:val="bottom"/>
            <w:hideMark/>
          </w:tcPr>
          <w:p w14:paraId="5B50190F" w14:textId="77777777" w:rsidR="00E46639" w:rsidRPr="0028033B" w:rsidRDefault="00E46639" w:rsidP="00B90230">
            <w:pPr>
              <w:pStyle w:val="TableText"/>
              <w:spacing w:before="40" w:after="40"/>
              <w:jc w:val="right"/>
            </w:pPr>
            <w:r w:rsidRPr="0028033B">
              <w:t>6,372.4</w:t>
            </w:r>
          </w:p>
        </w:tc>
        <w:tc>
          <w:tcPr>
            <w:tcW w:w="941" w:type="dxa"/>
            <w:vAlign w:val="bottom"/>
            <w:hideMark/>
          </w:tcPr>
          <w:p w14:paraId="2ADE3063" w14:textId="77777777" w:rsidR="00E46639" w:rsidRPr="0028033B" w:rsidRDefault="00E46639" w:rsidP="00B90230">
            <w:pPr>
              <w:pStyle w:val="TableText"/>
              <w:spacing w:before="40" w:after="40"/>
              <w:jc w:val="right"/>
            </w:pPr>
            <w:r w:rsidRPr="0028033B">
              <w:t>1,717.3</w:t>
            </w:r>
          </w:p>
        </w:tc>
        <w:tc>
          <w:tcPr>
            <w:tcW w:w="751" w:type="dxa"/>
            <w:vAlign w:val="bottom"/>
            <w:hideMark/>
          </w:tcPr>
          <w:p w14:paraId="28F31AEF" w14:textId="77777777" w:rsidR="00E46639" w:rsidRPr="0028033B" w:rsidRDefault="00E46639" w:rsidP="00B90230">
            <w:pPr>
              <w:pStyle w:val="TableText"/>
              <w:spacing w:before="40" w:after="40"/>
              <w:jc w:val="right"/>
            </w:pPr>
            <w:r w:rsidRPr="0028033B">
              <w:t>36.9</w:t>
            </w:r>
          </w:p>
        </w:tc>
        <w:tc>
          <w:tcPr>
            <w:tcW w:w="949" w:type="dxa"/>
            <w:vAlign w:val="bottom"/>
            <w:hideMark/>
          </w:tcPr>
          <w:p w14:paraId="115D1BEB" w14:textId="77777777" w:rsidR="00E46639" w:rsidRPr="0028033B" w:rsidRDefault="00E46639" w:rsidP="00B90230">
            <w:pPr>
              <w:pStyle w:val="TableText"/>
              <w:spacing w:before="40" w:after="40"/>
              <w:jc w:val="right"/>
            </w:pPr>
            <w:r w:rsidRPr="0028033B">
              <w:t>-71.5</w:t>
            </w:r>
          </w:p>
        </w:tc>
        <w:tc>
          <w:tcPr>
            <w:tcW w:w="676" w:type="dxa"/>
            <w:vAlign w:val="bottom"/>
            <w:hideMark/>
          </w:tcPr>
          <w:p w14:paraId="3C04B8B9" w14:textId="77777777" w:rsidR="00E46639" w:rsidRPr="0028033B" w:rsidRDefault="00E46639" w:rsidP="00B90230">
            <w:pPr>
              <w:pStyle w:val="TableText"/>
              <w:spacing w:before="40" w:after="40"/>
              <w:jc w:val="right"/>
            </w:pPr>
            <w:r w:rsidRPr="0028033B">
              <w:t>-1.1</w:t>
            </w:r>
          </w:p>
        </w:tc>
      </w:tr>
      <w:tr w:rsidR="00B90230" w:rsidRPr="0028033B" w14:paraId="7BB02F40" w14:textId="77777777" w:rsidTr="00B90230">
        <w:tc>
          <w:tcPr>
            <w:tcW w:w="1276" w:type="dxa"/>
            <w:vMerge/>
            <w:vAlign w:val="center"/>
            <w:hideMark/>
          </w:tcPr>
          <w:p w14:paraId="628678E4" w14:textId="77777777" w:rsidR="00E46639" w:rsidRPr="0028033B" w:rsidRDefault="00E46639" w:rsidP="00907DA4">
            <w:pPr>
              <w:pStyle w:val="TableText"/>
              <w:spacing w:before="40" w:after="40"/>
            </w:pPr>
          </w:p>
        </w:tc>
        <w:tc>
          <w:tcPr>
            <w:tcW w:w="1559" w:type="dxa"/>
            <w:vAlign w:val="bottom"/>
            <w:hideMark/>
          </w:tcPr>
          <w:p w14:paraId="5BD8B1CC" w14:textId="77777777" w:rsidR="00E46639" w:rsidRPr="0028033B" w:rsidRDefault="00E46639" w:rsidP="00907DA4">
            <w:pPr>
              <w:pStyle w:val="TableText"/>
              <w:spacing w:before="40" w:after="40"/>
            </w:pPr>
            <w:r w:rsidRPr="0028033B">
              <w:t xml:space="preserve">2025 (1990–2023) emissions estimate </w:t>
            </w:r>
            <w:r w:rsidRPr="0028033B">
              <w:rPr>
                <w:i/>
              </w:rPr>
              <w:t>with</w:t>
            </w:r>
            <w:r w:rsidRPr="0028033B">
              <w:t xml:space="preserve"> </w:t>
            </w:r>
            <w:r w:rsidRPr="0028033B">
              <w:rPr>
                <w:i/>
              </w:rPr>
              <w:t>improvement</w:t>
            </w:r>
          </w:p>
        </w:tc>
        <w:tc>
          <w:tcPr>
            <w:tcW w:w="794" w:type="dxa"/>
            <w:vAlign w:val="bottom"/>
            <w:hideMark/>
          </w:tcPr>
          <w:p w14:paraId="2329B953" w14:textId="77777777" w:rsidR="00E46639" w:rsidRPr="0028033B" w:rsidRDefault="00E46639" w:rsidP="00B90230">
            <w:pPr>
              <w:pStyle w:val="TableText"/>
              <w:spacing w:before="40" w:after="40"/>
              <w:jc w:val="right"/>
            </w:pPr>
            <w:r w:rsidRPr="0028033B">
              <w:t>4,655.0</w:t>
            </w:r>
          </w:p>
        </w:tc>
        <w:tc>
          <w:tcPr>
            <w:tcW w:w="737" w:type="dxa"/>
            <w:vAlign w:val="bottom"/>
            <w:hideMark/>
          </w:tcPr>
          <w:p w14:paraId="12B7734E" w14:textId="77777777" w:rsidR="00E46639" w:rsidRPr="0028033B" w:rsidRDefault="00E46639" w:rsidP="00B90230">
            <w:pPr>
              <w:pStyle w:val="TableText"/>
              <w:spacing w:before="40" w:after="40"/>
              <w:jc w:val="right"/>
            </w:pPr>
            <w:r w:rsidRPr="0028033B">
              <w:t>6,445.9</w:t>
            </w:r>
          </w:p>
        </w:tc>
        <w:tc>
          <w:tcPr>
            <w:tcW w:w="737" w:type="dxa"/>
            <w:vAlign w:val="bottom"/>
            <w:hideMark/>
          </w:tcPr>
          <w:p w14:paraId="22CF3C1F" w14:textId="77777777" w:rsidR="00E46639" w:rsidRPr="0028033B" w:rsidRDefault="00E46639" w:rsidP="00B90230">
            <w:pPr>
              <w:pStyle w:val="TableText"/>
              <w:spacing w:before="40" w:after="40"/>
              <w:jc w:val="right"/>
            </w:pPr>
            <w:r w:rsidRPr="0028033B">
              <w:t>6,382.0</w:t>
            </w:r>
          </w:p>
        </w:tc>
        <w:tc>
          <w:tcPr>
            <w:tcW w:w="941" w:type="dxa"/>
            <w:vAlign w:val="bottom"/>
            <w:hideMark/>
          </w:tcPr>
          <w:p w14:paraId="0342415D" w14:textId="77777777" w:rsidR="00E46639" w:rsidRPr="0028033B" w:rsidRDefault="00E46639" w:rsidP="00B90230">
            <w:pPr>
              <w:pStyle w:val="TableText"/>
              <w:spacing w:before="40" w:after="40"/>
              <w:jc w:val="right"/>
            </w:pPr>
            <w:r w:rsidRPr="0028033B">
              <w:t>1,727.1</w:t>
            </w:r>
          </w:p>
        </w:tc>
        <w:tc>
          <w:tcPr>
            <w:tcW w:w="751" w:type="dxa"/>
            <w:vAlign w:val="bottom"/>
            <w:hideMark/>
          </w:tcPr>
          <w:p w14:paraId="1FD246EF" w14:textId="77777777" w:rsidR="00E46639" w:rsidRPr="0028033B" w:rsidRDefault="00E46639" w:rsidP="00B90230">
            <w:pPr>
              <w:pStyle w:val="TableText"/>
              <w:spacing w:before="40" w:after="40"/>
              <w:jc w:val="right"/>
            </w:pPr>
            <w:r w:rsidRPr="0028033B">
              <w:t>37.1</w:t>
            </w:r>
          </w:p>
        </w:tc>
        <w:tc>
          <w:tcPr>
            <w:tcW w:w="949" w:type="dxa"/>
            <w:vAlign w:val="bottom"/>
            <w:hideMark/>
          </w:tcPr>
          <w:p w14:paraId="60F7F081" w14:textId="77777777" w:rsidR="00E46639" w:rsidRPr="0028033B" w:rsidRDefault="00E46639" w:rsidP="00B90230">
            <w:pPr>
              <w:pStyle w:val="TableText"/>
              <w:spacing w:before="40" w:after="40"/>
              <w:jc w:val="right"/>
            </w:pPr>
            <w:r w:rsidRPr="0028033B">
              <w:t>-63.9</w:t>
            </w:r>
          </w:p>
        </w:tc>
        <w:tc>
          <w:tcPr>
            <w:tcW w:w="676" w:type="dxa"/>
            <w:vAlign w:val="bottom"/>
            <w:hideMark/>
          </w:tcPr>
          <w:p w14:paraId="22D25FC1" w14:textId="77777777" w:rsidR="00E46639" w:rsidRPr="0028033B" w:rsidRDefault="00E46639" w:rsidP="00B90230">
            <w:pPr>
              <w:pStyle w:val="TableText"/>
              <w:spacing w:before="40" w:after="40"/>
              <w:jc w:val="right"/>
            </w:pPr>
            <w:r w:rsidRPr="0028033B">
              <w:t>-1.0</w:t>
            </w:r>
          </w:p>
        </w:tc>
      </w:tr>
      <w:tr w:rsidR="00B90230" w:rsidRPr="0028033B" w14:paraId="192E4B64" w14:textId="77777777" w:rsidTr="00B90230">
        <w:tc>
          <w:tcPr>
            <w:tcW w:w="1276" w:type="dxa"/>
            <w:vMerge/>
            <w:vAlign w:val="center"/>
            <w:hideMark/>
          </w:tcPr>
          <w:p w14:paraId="311196AC" w14:textId="77777777" w:rsidR="00E46639" w:rsidRPr="0028033B" w:rsidRDefault="00E46639" w:rsidP="00907DA4">
            <w:pPr>
              <w:pStyle w:val="TableText"/>
              <w:spacing w:before="40" w:after="40"/>
            </w:pPr>
          </w:p>
        </w:tc>
        <w:tc>
          <w:tcPr>
            <w:tcW w:w="1559" w:type="dxa"/>
            <w:vAlign w:val="bottom"/>
            <w:hideMark/>
          </w:tcPr>
          <w:p w14:paraId="0ACE1808" w14:textId="77777777" w:rsidR="00E46639" w:rsidRPr="0028033B" w:rsidRDefault="00E46639" w:rsidP="00907DA4">
            <w:pPr>
              <w:pStyle w:val="TableText"/>
              <w:spacing w:before="40" w:after="40"/>
            </w:pPr>
            <w:r w:rsidRPr="0028033B">
              <w:t>Difference in emissions estimates</w:t>
            </w:r>
          </w:p>
        </w:tc>
        <w:tc>
          <w:tcPr>
            <w:tcW w:w="794" w:type="dxa"/>
            <w:vAlign w:val="bottom"/>
            <w:hideMark/>
          </w:tcPr>
          <w:p w14:paraId="1F7CB2B1" w14:textId="77777777" w:rsidR="00E46639" w:rsidRPr="0028033B" w:rsidRDefault="00E46639" w:rsidP="00B90230">
            <w:pPr>
              <w:pStyle w:val="TableText"/>
              <w:spacing w:before="40" w:after="40"/>
              <w:jc w:val="right"/>
            </w:pPr>
            <w:r w:rsidRPr="0028033B">
              <w:t>-0.2</w:t>
            </w:r>
          </w:p>
        </w:tc>
        <w:tc>
          <w:tcPr>
            <w:tcW w:w="737" w:type="dxa"/>
            <w:vAlign w:val="bottom"/>
            <w:hideMark/>
          </w:tcPr>
          <w:p w14:paraId="0DDFE43B" w14:textId="77777777" w:rsidR="00E46639" w:rsidRPr="0028033B" w:rsidRDefault="00E46639" w:rsidP="00B90230">
            <w:pPr>
              <w:pStyle w:val="TableText"/>
              <w:spacing w:before="40" w:after="40"/>
              <w:jc w:val="right"/>
            </w:pPr>
            <w:r w:rsidRPr="0028033B">
              <w:t>2.0</w:t>
            </w:r>
          </w:p>
        </w:tc>
        <w:tc>
          <w:tcPr>
            <w:tcW w:w="737" w:type="dxa"/>
            <w:vAlign w:val="bottom"/>
            <w:hideMark/>
          </w:tcPr>
          <w:p w14:paraId="61435A30" w14:textId="77777777" w:rsidR="00E46639" w:rsidRPr="0028033B" w:rsidRDefault="00E46639" w:rsidP="00B90230">
            <w:pPr>
              <w:pStyle w:val="TableText"/>
              <w:spacing w:before="40" w:after="40"/>
              <w:jc w:val="right"/>
            </w:pPr>
            <w:r w:rsidRPr="0028033B">
              <w:t>9.6</w:t>
            </w:r>
          </w:p>
        </w:tc>
        <w:tc>
          <w:tcPr>
            <w:tcW w:w="941" w:type="dxa"/>
            <w:vAlign w:val="bottom"/>
            <w:hideMark/>
          </w:tcPr>
          <w:p w14:paraId="6FE7CA76" w14:textId="77777777" w:rsidR="00E46639" w:rsidRPr="0028033B" w:rsidRDefault="00E46639" w:rsidP="00B90230">
            <w:pPr>
              <w:pStyle w:val="TableText"/>
              <w:spacing w:before="40" w:after="40"/>
              <w:jc w:val="right"/>
            </w:pPr>
            <w:r w:rsidRPr="0028033B">
              <w:t> </w:t>
            </w:r>
          </w:p>
        </w:tc>
        <w:tc>
          <w:tcPr>
            <w:tcW w:w="751" w:type="dxa"/>
            <w:vAlign w:val="bottom"/>
            <w:hideMark/>
          </w:tcPr>
          <w:p w14:paraId="2A4F07B5" w14:textId="77777777" w:rsidR="00E46639" w:rsidRPr="0028033B" w:rsidRDefault="00E46639" w:rsidP="00B90230">
            <w:pPr>
              <w:pStyle w:val="TableText"/>
              <w:spacing w:before="40" w:after="40"/>
              <w:jc w:val="right"/>
            </w:pPr>
            <w:r w:rsidRPr="0028033B">
              <w:t> </w:t>
            </w:r>
          </w:p>
        </w:tc>
        <w:tc>
          <w:tcPr>
            <w:tcW w:w="949" w:type="dxa"/>
            <w:vAlign w:val="bottom"/>
            <w:hideMark/>
          </w:tcPr>
          <w:p w14:paraId="34E76187" w14:textId="77777777" w:rsidR="00E46639" w:rsidRPr="0028033B" w:rsidRDefault="00E46639" w:rsidP="00B90230">
            <w:pPr>
              <w:pStyle w:val="TableText"/>
              <w:spacing w:before="40" w:after="40"/>
              <w:jc w:val="right"/>
            </w:pPr>
            <w:r w:rsidRPr="0028033B">
              <w:t> </w:t>
            </w:r>
          </w:p>
        </w:tc>
        <w:tc>
          <w:tcPr>
            <w:tcW w:w="676" w:type="dxa"/>
            <w:vAlign w:val="bottom"/>
            <w:hideMark/>
          </w:tcPr>
          <w:p w14:paraId="2B95496B" w14:textId="77777777" w:rsidR="00E46639" w:rsidRPr="0028033B" w:rsidRDefault="00E46639" w:rsidP="00B90230">
            <w:pPr>
              <w:pStyle w:val="TableText"/>
              <w:spacing w:before="40" w:after="40"/>
              <w:jc w:val="right"/>
            </w:pPr>
            <w:r w:rsidRPr="0028033B">
              <w:t> </w:t>
            </w:r>
          </w:p>
        </w:tc>
      </w:tr>
      <w:tr w:rsidR="00B90230" w:rsidRPr="0028033B" w14:paraId="0CCA3929" w14:textId="77777777" w:rsidTr="00B90230">
        <w:tc>
          <w:tcPr>
            <w:tcW w:w="1276" w:type="dxa"/>
            <w:vMerge/>
            <w:vAlign w:val="center"/>
            <w:hideMark/>
          </w:tcPr>
          <w:p w14:paraId="200EF3AD" w14:textId="77777777" w:rsidR="00E46639" w:rsidRPr="0028033B" w:rsidRDefault="00E46639" w:rsidP="00907DA4">
            <w:pPr>
              <w:pStyle w:val="TableText"/>
              <w:spacing w:before="40" w:after="40"/>
            </w:pPr>
          </w:p>
        </w:tc>
        <w:tc>
          <w:tcPr>
            <w:tcW w:w="1559" w:type="dxa"/>
            <w:vAlign w:val="center"/>
            <w:hideMark/>
          </w:tcPr>
          <w:p w14:paraId="78A6FE19" w14:textId="77777777" w:rsidR="00E46639" w:rsidRPr="0028033B" w:rsidRDefault="00E46639" w:rsidP="00907DA4">
            <w:pPr>
              <w:pStyle w:val="TableText"/>
              <w:spacing w:before="40" w:after="40"/>
            </w:pPr>
            <w:r w:rsidRPr="0028033B">
              <w:t>Percentage difference in emissions estimates (%)</w:t>
            </w:r>
          </w:p>
        </w:tc>
        <w:tc>
          <w:tcPr>
            <w:tcW w:w="794" w:type="dxa"/>
            <w:vAlign w:val="bottom"/>
            <w:hideMark/>
          </w:tcPr>
          <w:p w14:paraId="396F0583" w14:textId="77777777" w:rsidR="00E46639" w:rsidRPr="0028033B" w:rsidRDefault="00E46639" w:rsidP="00B90230">
            <w:pPr>
              <w:pStyle w:val="TableText"/>
              <w:spacing w:before="40" w:after="40"/>
              <w:jc w:val="right"/>
            </w:pPr>
            <w:r w:rsidRPr="0028033B">
              <w:t>0.0</w:t>
            </w:r>
          </w:p>
        </w:tc>
        <w:tc>
          <w:tcPr>
            <w:tcW w:w="737" w:type="dxa"/>
            <w:vAlign w:val="bottom"/>
            <w:hideMark/>
          </w:tcPr>
          <w:p w14:paraId="733332F3" w14:textId="77777777" w:rsidR="00E46639" w:rsidRPr="0028033B" w:rsidRDefault="00E46639" w:rsidP="00B90230">
            <w:pPr>
              <w:pStyle w:val="TableText"/>
              <w:spacing w:before="40" w:after="40"/>
              <w:jc w:val="right"/>
            </w:pPr>
            <w:r w:rsidRPr="0028033B">
              <w:t>0.0</w:t>
            </w:r>
          </w:p>
        </w:tc>
        <w:tc>
          <w:tcPr>
            <w:tcW w:w="737" w:type="dxa"/>
            <w:vAlign w:val="bottom"/>
            <w:hideMark/>
          </w:tcPr>
          <w:p w14:paraId="0E36959B" w14:textId="77777777" w:rsidR="00E46639" w:rsidRPr="0028033B" w:rsidRDefault="00E46639" w:rsidP="00B90230">
            <w:pPr>
              <w:pStyle w:val="TableText"/>
              <w:spacing w:before="40" w:after="40"/>
              <w:jc w:val="right"/>
            </w:pPr>
            <w:r w:rsidRPr="0028033B">
              <w:t>0.2</w:t>
            </w:r>
          </w:p>
        </w:tc>
        <w:tc>
          <w:tcPr>
            <w:tcW w:w="941" w:type="dxa"/>
            <w:vAlign w:val="bottom"/>
            <w:hideMark/>
          </w:tcPr>
          <w:p w14:paraId="5F162290" w14:textId="77777777" w:rsidR="00E46639" w:rsidRPr="0028033B" w:rsidRDefault="00E46639" w:rsidP="00B90230">
            <w:pPr>
              <w:pStyle w:val="TableText"/>
              <w:spacing w:before="40" w:after="40"/>
              <w:jc w:val="right"/>
            </w:pPr>
            <w:r w:rsidRPr="0028033B">
              <w:t> </w:t>
            </w:r>
          </w:p>
        </w:tc>
        <w:tc>
          <w:tcPr>
            <w:tcW w:w="751" w:type="dxa"/>
            <w:vAlign w:val="bottom"/>
            <w:hideMark/>
          </w:tcPr>
          <w:p w14:paraId="6F38E48C" w14:textId="77777777" w:rsidR="00E46639" w:rsidRPr="0028033B" w:rsidRDefault="00E46639" w:rsidP="00B90230">
            <w:pPr>
              <w:pStyle w:val="TableText"/>
              <w:spacing w:before="40" w:after="40"/>
              <w:jc w:val="right"/>
            </w:pPr>
            <w:r w:rsidRPr="0028033B">
              <w:t> </w:t>
            </w:r>
          </w:p>
        </w:tc>
        <w:tc>
          <w:tcPr>
            <w:tcW w:w="949" w:type="dxa"/>
            <w:vAlign w:val="bottom"/>
            <w:hideMark/>
          </w:tcPr>
          <w:p w14:paraId="74A4C0D3" w14:textId="77777777" w:rsidR="00E46639" w:rsidRPr="0028033B" w:rsidRDefault="00E46639" w:rsidP="00B90230">
            <w:pPr>
              <w:pStyle w:val="TableText"/>
              <w:spacing w:before="40" w:after="40"/>
              <w:jc w:val="right"/>
            </w:pPr>
            <w:r w:rsidRPr="0028033B">
              <w:t> </w:t>
            </w:r>
          </w:p>
        </w:tc>
        <w:tc>
          <w:tcPr>
            <w:tcW w:w="676" w:type="dxa"/>
            <w:vAlign w:val="bottom"/>
            <w:hideMark/>
          </w:tcPr>
          <w:p w14:paraId="6F864321" w14:textId="77777777" w:rsidR="00E46639" w:rsidRPr="0028033B" w:rsidRDefault="00E46639" w:rsidP="00B90230">
            <w:pPr>
              <w:pStyle w:val="TableText"/>
              <w:spacing w:before="40" w:after="40"/>
              <w:jc w:val="right"/>
            </w:pPr>
            <w:r w:rsidRPr="0028033B">
              <w:t> </w:t>
            </w:r>
          </w:p>
        </w:tc>
      </w:tr>
    </w:tbl>
    <w:p w14:paraId="44FF8A39" w14:textId="77777777" w:rsidR="00E46639" w:rsidRPr="0028033B" w:rsidRDefault="00E46639" w:rsidP="00E46639">
      <w:pPr>
        <w:pStyle w:val="Noteundertable"/>
        <w:rPr>
          <w:rFonts w:cs="Calibri"/>
        </w:rPr>
      </w:pPr>
      <w:r w:rsidRPr="0028033B">
        <w:rPr>
          <w:rFonts w:cs="Calibri"/>
          <w:b/>
          <w:bCs/>
        </w:rPr>
        <w:t>Note:</w:t>
      </w:r>
      <w:r w:rsidRPr="0028033B">
        <w:rPr>
          <w:rFonts w:cs="Calibri"/>
          <w:b/>
          <w:bCs/>
        </w:rPr>
        <w:tab/>
      </w:r>
      <w:r w:rsidRPr="0028033B">
        <w:rPr>
          <w:rFonts w:cs="Calibri"/>
        </w:rPr>
        <w:t>Columns may not sum due to rounding. Percentages presented are calculated from unrounded values.</w:t>
      </w:r>
    </w:p>
    <w:p w14:paraId="1A668C9E" w14:textId="77777777" w:rsidR="00E46639" w:rsidRPr="0028033B" w:rsidRDefault="00E46639" w:rsidP="00E46639">
      <w:pPr>
        <w:pStyle w:val="Heading5"/>
      </w:pPr>
      <w:r w:rsidRPr="0028033B">
        <w:t>Aligning with the 2019 Refinement to the 2006 IPCC Guidelines for National Greenhouse Gas Inventories</w:t>
      </w:r>
    </w:p>
    <w:p w14:paraId="6B2D500E" w14:textId="77777777" w:rsidR="00E46639" w:rsidRPr="0028033B" w:rsidRDefault="00E46639" w:rsidP="00E46639">
      <w:pPr>
        <w:pStyle w:val="BodyText"/>
      </w:pPr>
      <w:r w:rsidRPr="0028033B">
        <w:t>Several changes have been made to the New Zealand Inventory to align with the 2019 IPCC Refinement that</w:t>
      </w:r>
      <w:r w:rsidRPr="0028033B" w:rsidDel="002730AC">
        <w:t xml:space="preserve"> </w:t>
      </w:r>
      <w:r w:rsidRPr="0028033B">
        <w:t xml:space="preserve">affect emissions from </w:t>
      </w:r>
      <w:r w:rsidRPr="0028033B">
        <w:rPr>
          <w:i/>
        </w:rPr>
        <w:t>Manure management</w:t>
      </w:r>
      <w:r w:rsidRPr="0028033B">
        <w:t xml:space="preserve"> that also affect emissions from </w:t>
      </w:r>
      <w:r w:rsidRPr="0028033B">
        <w:rPr>
          <w:i/>
        </w:rPr>
        <w:t>Agricultural soils</w:t>
      </w:r>
      <w:r w:rsidRPr="0028033B">
        <w:rPr>
          <w:i/>
          <w:iCs/>
        </w:rPr>
        <w:t xml:space="preserve"> </w:t>
      </w:r>
      <w:r w:rsidRPr="0028033B">
        <w:t>(IPCC, 2019). These are: (i) inclusions of ostriches and emus as a separate category, (ii) revised Frac</w:t>
      </w:r>
      <w:r w:rsidRPr="0028033B">
        <w:rPr>
          <w:vertAlign w:val="subscript"/>
        </w:rPr>
        <w:t xml:space="preserve">GasMS </w:t>
      </w:r>
      <w:r w:rsidRPr="0028033B">
        <w:t>for poultry.</w:t>
      </w:r>
    </w:p>
    <w:p w14:paraId="44650DF1" w14:textId="77777777" w:rsidR="00E46639" w:rsidRPr="0028033B" w:rsidRDefault="00E46639" w:rsidP="00E46639">
      <w:pPr>
        <w:pStyle w:val="BodyText"/>
        <w:rPr>
          <w:shd w:val="clear" w:color="auto" w:fill="FFFFFF"/>
        </w:rPr>
      </w:pPr>
      <w:r w:rsidRPr="0028033B">
        <w:rPr>
          <w:shd w:val="clear" w:color="auto" w:fill="FFFFFF"/>
        </w:rPr>
        <w:t>For more detail on these changes, see section 5.3.5.</w:t>
      </w:r>
    </w:p>
    <w:p w14:paraId="73D49CE8" w14:textId="77777777" w:rsidR="00E46639" w:rsidRPr="0028033B" w:rsidRDefault="00E46639" w:rsidP="00E46639">
      <w:pPr>
        <w:pStyle w:val="BodyText"/>
      </w:pPr>
      <w:r w:rsidRPr="0028033B">
        <w:rPr>
          <w:rFonts w:cs="Calibri"/>
          <w:color w:val="000000"/>
          <w:shd w:val="clear" w:color="auto" w:fill="FFFFFF"/>
        </w:rPr>
        <w:t xml:space="preserve">In addition to the changes above, </w:t>
      </w:r>
      <w:r w:rsidRPr="0028033B">
        <w:t>EF</w:t>
      </w:r>
      <w:r w:rsidRPr="0028033B">
        <w:rPr>
          <w:vertAlign w:val="subscript"/>
        </w:rPr>
        <w:t>1</w:t>
      </w:r>
      <w:r w:rsidRPr="0028033B">
        <w:t xml:space="preserve"> </w:t>
      </w:r>
      <w:r w:rsidRPr="0028033B">
        <w:rPr>
          <w:rFonts w:cs="Calibri"/>
          <w:color w:val="000000"/>
          <w:shd w:val="clear" w:color="auto" w:fill="FFFFFF"/>
        </w:rPr>
        <w:t xml:space="preserve">for organic </w:t>
      </w:r>
      <w:r w:rsidRPr="0028033B" w:rsidDel="001F626F">
        <w:rPr>
          <w:rFonts w:cs="Calibri"/>
          <w:color w:val="000000"/>
          <w:shd w:val="clear" w:color="auto" w:fill="FFFFFF"/>
        </w:rPr>
        <w:t>N</w:t>
      </w:r>
      <w:r>
        <w:rPr>
          <w:rFonts w:cs="Calibri"/>
          <w:color w:val="000000"/>
          <w:shd w:val="clear" w:color="auto" w:fill="FFFFFF"/>
        </w:rPr>
        <w:t xml:space="preserve"> </w:t>
      </w:r>
      <w:r w:rsidRPr="0028033B">
        <w:rPr>
          <w:rFonts w:cs="Calibri"/>
          <w:color w:val="000000"/>
          <w:shd w:val="clear" w:color="auto" w:fill="FFFFFF"/>
        </w:rPr>
        <w:t xml:space="preserve">inputs has been updated to </w:t>
      </w:r>
      <w:r w:rsidRPr="0028033B">
        <w:t>reflect the 2019 IPCC Refinement (IPCC, 2019), and the EF</w:t>
      </w:r>
      <w:r w:rsidRPr="0028033B">
        <w:rPr>
          <w:vertAlign w:val="subscript"/>
        </w:rPr>
        <w:t>3</w:t>
      </w:r>
      <w:r w:rsidRPr="0028033B">
        <w:t xml:space="preserve"> (pasture, range and paddock) for poultry, swine, alpacas, donkeys and horses have been updated.</w:t>
      </w:r>
    </w:p>
    <w:p w14:paraId="3E945FA0" w14:textId="77777777" w:rsidR="00E46639" w:rsidRPr="0028033B" w:rsidRDefault="00E46639" w:rsidP="00E46639">
      <w:pPr>
        <w:pStyle w:val="BodyText"/>
      </w:pPr>
      <w:r w:rsidRPr="0028033B">
        <w:t>New Zealand uses country-specific EF</w:t>
      </w:r>
      <w:r w:rsidRPr="0028033B">
        <w:rPr>
          <w:vertAlign w:val="subscript"/>
        </w:rPr>
        <w:t>1</w:t>
      </w:r>
      <w:r w:rsidRPr="0028033B">
        <w:t xml:space="preserve"> values for urea fertiliser (0.0059) and dairy cattle effluent manure (0.0025) applied to soils (van der Weerden et al., 2016a and 2016b). Previously, the IPCC default value of 0.01 was used for other nitrogen. This emissions factor of 0.01 was verified as suitable for New Zealand conditions by Kelliher and de Klein (2006). However, the Kelliher and de Klein (2006) research focused on urea, rather than organic nitrogen sources, when verifying EF</w:t>
      </w:r>
      <w:r w:rsidRPr="0028033B">
        <w:rPr>
          <w:vertAlign w:val="subscript"/>
        </w:rPr>
        <w:t>1</w:t>
      </w:r>
      <w:r w:rsidRPr="0028033B">
        <w:t xml:space="preserve"> in New Zealand conditions.</w:t>
      </w:r>
    </w:p>
    <w:p w14:paraId="5D2553F7" w14:textId="77777777" w:rsidR="00E46639" w:rsidRPr="0028033B" w:rsidRDefault="00E46639" w:rsidP="00E46639">
      <w:pPr>
        <w:pStyle w:val="BodyText"/>
      </w:pPr>
      <w:r w:rsidRPr="0028033B">
        <w:t xml:space="preserve">The 2019 IPCC Refinement provides emission factor values disaggregated by nitrogen type and climate (IPCC, 2019, table 11.1). New Zealand falls into the ‘wet climate’ category, according to the IPCC definition. In wet climates, the default value has been set at 0.006 percent of organic N inputs. </w:t>
      </w:r>
    </w:p>
    <w:p w14:paraId="7C131892" w14:textId="77777777" w:rsidR="00E46639" w:rsidRPr="0028033B" w:rsidRDefault="00E46639" w:rsidP="00E46639">
      <w:pPr>
        <w:pStyle w:val="BodyText"/>
        <w:rPr>
          <w:rFonts w:cs="Arial"/>
        </w:rPr>
      </w:pPr>
      <w:r w:rsidRPr="0028033B">
        <w:rPr>
          <w:rFonts w:cs="Arial"/>
          <w:spacing w:val="-2"/>
        </w:rPr>
        <w:t>The value for EF</w:t>
      </w:r>
      <w:r w:rsidRPr="0028033B">
        <w:rPr>
          <w:rFonts w:cs="Arial"/>
          <w:spacing w:val="-2"/>
          <w:vertAlign w:val="subscript"/>
        </w:rPr>
        <w:t>1,</w:t>
      </w:r>
      <w:r w:rsidRPr="0028033B">
        <w:rPr>
          <w:rFonts w:cstheme="minorHAnsi"/>
          <w:bCs/>
          <w:spacing w:val="-2"/>
          <w:vertAlign w:val="subscript"/>
        </w:rPr>
        <w:t>organi</w:t>
      </w:r>
      <w:r w:rsidRPr="0028033B">
        <w:rPr>
          <w:rFonts w:cstheme="minorHAnsi"/>
          <w:b/>
          <w:spacing w:val="-2"/>
          <w:vertAlign w:val="subscript"/>
        </w:rPr>
        <w:t>c</w:t>
      </w:r>
      <w:r w:rsidRPr="0028033B">
        <w:rPr>
          <w:rFonts w:cstheme="minorHAnsi"/>
          <w:spacing w:val="-2"/>
        </w:rPr>
        <w:t xml:space="preserve"> has been updated from</w:t>
      </w:r>
      <w:r w:rsidRPr="0028033B">
        <w:rPr>
          <w:spacing w:val="-2"/>
        </w:rPr>
        <w:t xml:space="preserve"> 0.01 to 0.006, to reflect the 2019 IPCC Refinement</w:t>
      </w:r>
      <w:r w:rsidRPr="0028033B">
        <w:t xml:space="preserve"> </w:t>
      </w:r>
      <w:r w:rsidRPr="0028033B">
        <w:rPr>
          <w:spacing w:val="-2"/>
        </w:rPr>
        <w:t>wet climate value (IPCC, 2019). This applies to organic fertiliser (other than dairy), crop residues</w:t>
      </w:r>
      <w:r w:rsidRPr="0028033B">
        <w:t xml:space="preserve">, and nitrogen mineralisation. </w:t>
      </w:r>
    </w:p>
    <w:p w14:paraId="03A2A42F" w14:textId="77777777" w:rsidR="00E46639" w:rsidRPr="0028033B" w:rsidRDefault="00E46639" w:rsidP="00E46639">
      <w:pPr>
        <w:pStyle w:val="BodyText"/>
        <w:rPr>
          <w:spacing w:val="-2"/>
        </w:rPr>
      </w:pPr>
      <w:r w:rsidRPr="0028033B">
        <w:rPr>
          <w:rFonts w:eastAsia="Calibri" w:cs="Arial"/>
          <w:spacing w:val="-2"/>
          <w:lang w:eastAsia="en-US"/>
        </w:rPr>
        <w:t xml:space="preserve">The 2025 inventory submission </w:t>
      </w:r>
      <w:r w:rsidRPr="0028033B">
        <w:rPr>
          <w:spacing w:val="-2"/>
        </w:rPr>
        <w:t>used the IPCC (2006) default value of 0.01 to calculate direct N</w:t>
      </w:r>
      <w:r w:rsidRPr="0028033B">
        <w:rPr>
          <w:spacing w:val="-2"/>
          <w:vertAlign w:val="subscript"/>
        </w:rPr>
        <w:t>2</w:t>
      </w:r>
      <w:r w:rsidRPr="0028033B">
        <w:rPr>
          <w:spacing w:val="-2"/>
        </w:rPr>
        <w:t xml:space="preserve">O emissions from manure deposited on soil. The 2019 IPCC Refinement suggests an updated value of 0.006 for wet climates for poultry and swine, and 0.003 for other animals (alpacas, donkeys, and horses) (IPCC, 2019). These values have been adopted in the 2026 inventory submission. </w:t>
      </w:r>
    </w:p>
    <w:p w14:paraId="11815E64" w14:textId="77777777" w:rsidR="00E46639" w:rsidRPr="0028033B" w:rsidRDefault="00E46639" w:rsidP="00E46639">
      <w:pPr>
        <w:pStyle w:val="BodyText"/>
      </w:pPr>
      <w:r w:rsidRPr="0028033B">
        <w:t xml:space="preserve">The implementation of these changes caused emissions from the </w:t>
      </w:r>
      <w:r w:rsidRPr="0028033B">
        <w:rPr>
          <w:i/>
        </w:rPr>
        <w:t>Agricultural soils</w:t>
      </w:r>
      <w:r w:rsidRPr="0028033B">
        <w:t xml:space="preserve"> category to decrease by 142.7 kt CO</w:t>
      </w:r>
      <w:r w:rsidRPr="0028033B">
        <w:rPr>
          <w:vertAlign w:val="subscript"/>
        </w:rPr>
        <w:t>2</w:t>
      </w:r>
      <w:r w:rsidRPr="0028033B">
        <w:t>e in 1990 and 118.3 kt CO</w:t>
      </w:r>
      <w:r w:rsidRPr="0028033B">
        <w:rPr>
          <w:vertAlign w:val="subscript"/>
        </w:rPr>
        <w:t>2</w:t>
      </w:r>
      <w:r w:rsidRPr="0028033B">
        <w:t>e in 2023 (table 5.5.15).</w:t>
      </w:r>
    </w:p>
    <w:p w14:paraId="2B0EE876" w14:textId="77777777" w:rsidR="00E46639" w:rsidRPr="0028033B" w:rsidRDefault="00E46639" w:rsidP="00E46639">
      <w:pPr>
        <w:pStyle w:val="Table"/>
      </w:pPr>
      <w:bookmarkStart w:id="1368" w:name="_Toc222407660"/>
      <w:bookmarkStart w:id="1369" w:name="_Toc226669035"/>
      <w:r w:rsidRPr="0028033B">
        <w:rPr>
          <w:rFonts w:cs="Calibri"/>
        </w:rPr>
        <w:t>Table 5.5.15</w:t>
      </w:r>
      <w:r w:rsidRPr="0028033B">
        <w:rPr>
          <w:rFonts w:cs="Calibri"/>
        </w:rPr>
        <w:tab/>
        <w:t>Comparison of emissions from </w:t>
      </w:r>
      <w:r w:rsidRPr="0028033B">
        <w:rPr>
          <w:rFonts w:cs="Calibri"/>
          <w:i/>
          <w:iCs/>
        </w:rPr>
        <w:t>Agricultural soils</w:t>
      </w:r>
      <w:r w:rsidRPr="0028033B">
        <w:rPr>
          <w:rFonts w:cs="Calibri"/>
        </w:rPr>
        <w:t xml:space="preserve"> before and after updates to align with the</w:t>
      </w:r>
      <w:r w:rsidRPr="0028033B">
        <w:t> </w:t>
      </w:r>
      <w:r w:rsidRPr="0028033B">
        <w:rPr>
          <w:rFonts w:cs="Calibri"/>
        </w:rPr>
        <w:t>2019 IPCC Refinement (IPCC, 2019)</w:t>
      </w:r>
      <w:bookmarkEnd w:id="1368"/>
      <w:bookmarkEnd w:id="1369"/>
    </w:p>
    <w:tbl>
      <w:tblPr>
        <w:tblW w:w="8505" w:type="dxa"/>
        <w:tblBorders>
          <w:top w:val="single" w:sz="4" w:space="0" w:color="1B556B"/>
          <w:bottom w:val="single" w:sz="4" w:space="0" w:color="1B556B"/>
          <w:insideH w:val="single" w:sz="4" w:space="0" w:color="1B556B"/>
        </w:tblBorders>
        <w:tblLayout w:type="fixed"/>
        <w:tblCellMar>
          <w:left w:w="85" w:type="dxa"/>
          <w:right w:w="57" w:type="dxa"/>
        </w:tblCellMar>
        <w:tblLook w:val="04A0" w:firstRow="1" w:lastRow="0" w:firstColumn="1" w:lastColumn="0" w:noHBand="0" w:noVBand="1"/>
      </w:tblPr>
      <w:tblGrid>
        <w:gridCol w:w="1134"/>
        <w:gridCol w:w="1744"/>
        <w:gridCol w:w="758"/>
        <w:gridCol w:w="758"/>
        <w:gridCol w:w="758"/>
        <w:gridCol w:w="875"/>
        <w:gridCol w:w="822"/>
        <w:gridCol w:w="841"/>
        <w:gridCol w:w="815"/>
      </w:tblGrid>
      <w:tr w:rsidR="00E46639" w:rsidRPr="0028033B" w14:paraId="108B1474" w14:textId="77777777" w:rsidTr="002B2391">
        <w:tc>
          <w:tcPr>
            <w:tcW w:w="1134" w:type="dxa"/>
            <w:vMerge w:val="restart"/>
            <w:shd w:val="clear" w:color="000000" w:fill="1B556B"/>
            <w:vAlign w:val="bottom"/>
            <w:hideMark/>
          </w:tcPr>
          <w:p w14:paraId="75F8D14D" w14:textId="77777777" w:rsidR="00E46639" w:rsidRPr="0028033B" w:rsidRDefault="00E46639" w:rsidP="00F16E23">
            <w:pPr>
              <w:pStyle w:val="TableTextBold"/>
              <w:rPr>
                <w:noProof w:val="0"/>
                <w:color w:val="FFFFFF" w:themeColor="background1"/>
              </w:rPr>
            </w:pPr>
            <w:r w:rsidRPr="0028033B">
              <w:rPr>
                <w:noProof w:val="0"/>
                <w:color w:val="FFFFFF" w:themeColor="background1"/>
              </w:rPr>
              <w:t> </w:t>
            </w:r>
          </w:p>
        </w:tc>
        <w:tc>
          <w:tcPr>
            <w:tcW w:w="1744" w:type="dxa"/>
            <w:vMerge w:val="restart"/>
            <w:shd w:val="clear" w:color="000000" w:fill="1B556B"/>
            <w:vAlign w:val="bottom"/>
            <w:hideMark/>
          </w:tcPr>
          <w:p w14:paraId="65828064" w14:textId="77777777" w:rsidR="00E46639" w:rsidRPr="0028033B" w:rsidRDefault="00E46639" w:rsidP="00F16E23">
            <w:pPr>
              <w:pStyle w:val="TableTextBold"/>
              <w:rPr>
                <w:noProof w:val="0"/>
                <w:color w:val="FFFFFF" w:themeColor="background1"/>
              </w:rPr>
            </w:pPr>
            <w:r w:rsidRPr="0028033B">
              <w:rPr>
                <w:noProof w:val="0"/>
                <w:color w:val="FFFFFF" w:themeColor="background1"/>
              </w:rPr>
              <w:t> </w:t>
            </w:r>
          </w:p>
        </w:tc>
        <w:tc>
          <w:tcPr>
            <w:tcW w:w="758" w:type="dxa"/>
            <w:vMerge w:val="restart"/>
            <w:shd w:val="clear" w:color="000000" w:fill="1B556B"/>
            <w:vAlign w:val="bottom"/>
            <w:hideMark/>
          </w:tcPr>
          <w:p w14:paraId="5A845B43" w14:textId="77777777" w:rsidR="00E46639" w:rsidRPr="0028033B" w:rsidRDefault="00E46639" w:rsidP="00F16E23">
            <w:pPr>
              <w:pStyle w:val="TableTextBold"/>
              <w:jc w:val="right"/>
              <w:rPr>
                <w:noProof w:val="0"/>
                <w:color w:val="FFFFFF" w:themeColor="background1"/>
              </w:rPr>
            </w:pPr>
            <w:r w:rsidRPr="0028033B">
              <w:rPr>
                <w:noProof w:val="0"/>
                <w:color w:val="FFFFFF" w:themeColor="background1"/>
              </w:rPr>
              <w:t>1990 (kt CO</w:t>
            </w:r>
            <w:r w:rsidRPr="0028033B">
              <w:rPr>
                <w:noProof w:val="0"/>
                <w:color w:val="FFFFFF" w:themeColor="background1"/>
                <w:vertAlign w:val="subscript"/>
              </w:rPr>
              <w:t>2</w:t>
            </w:r>
            <w:r w:rsidRPr="0028033B">
              <w:rPr>
                <w:noProof w:val="0"/>
                <w:color w:val="FFFFFF" w:themeColor="background1"/>
              </w:rPr>
              <w:t>e)</w:t>
            </w:r>
          </w:p>
        </w:tc>
        <w:tc>
          <w:tcPr>
            <w:tcW w:w="758" w:type="dxa"/>
            <w:vMerge w:val="restart"/>
            <w:shd w:val="clear" w:color="000000" w:fill="1B556B"/>
            <w:vAlign w:val="bottom"/>
            <w:hideMark/>
          </w:tcPr>
          <w:p w14:paraId="22ADF880" w14:textId="77777777" w:rsidR="00E46639" w:rsidRPr="0028033B" w:rsidRDefault="00E46639" w:rsidP="00F16E23">
            <w:pPr>
              <w:pStyle w:val="TableTextBold"/>
              <w:jc w:val="right"/>
              <w:rPr>
                <w:noProof w:val="0"/>
                <w:color w:val="FFFFFF" w:themeColor="background1"/>
              </w:rPr>
            </w:pPr>
            <w:r w:rsidRPr="0028033B">
              <w:rPr>
                <w:noProof w:val="0"/>
                <w:color w:val="FFFFFF" w:themeColor="background1"/>
              </w:rPr>
              <w:t>2005 (kt CO</w:t>
            </w:r>
            <w:r w:rsidRPr="0028033B">
              <w:rPr>
                <w:noProof w:val="0"/>
                <w:color w:val="FFFFFF" w:themeColor="background1"/>
                <w:vertAlign w:val="subscript"/>
              </w:rPr>
              <w:t>2</w:t>
            </w:r>
            <w:r w:rsidRPr="0028033B">
              <w:rPr>
                <w:noProof w:val="0"/>
                <w:color w:val="FFFFFF" w:themeColor="background1"/>
              </w:rPr>
              <w:t>e)</w:t>
            </w:r>
          </w:p>
        </w:tc>
        <w:tc>
          <w:tcPr>
            <w:tcW w:w="758" w:type="dxa"/>
            <w:vMerge w:val="restart"/>
            <w:shd w:val="clear" w:color="000000" w:fill="1B556B"/>
            <w:vAlign w:val="bottom"/>
            <w:hideMark/>
          </w:tcPr>
          <w:p w14:paraId="07231434" w14:textId="77777777" w:rsidR="00E46639" w:rsidRPr="0028033B" w:rsidRDefault="00E46639" w:rsidP="00F16E23">
            <w:pPr>
              <w:pStyle w:val="TableTextBold"/>
              <w:jc w:val="right"/>
              <w:rPr>
                <w:noProof w:val="0"/>
                <w:color w:val="FFFFFF" w:themeColor="background1"/>
              </w:rPr>
            </w:pPr>
            <w:r w:rsidRPr="0028033B">
              <w:rPr>
                <w:noProof w:val="0"/>
                <w:color w:val="FFFFFF" w:themeColor="background1"/>
              </w:rPr>
              <w:t>2023 (kt CO</w:t>
            </w:r>
            <w:r w:rsidRPr="0028033B">
              <w:rPr>
                <w:noProof w:val="0"/>
                <w:color w:val="FFFFFF" w:themeColor="background1"/>
                <w:vertAlign w:val="subscript"/>
              </w:rPr>
              <w:t>2</w:t>
            </w:r>
            <w:r w:rsidRPr="0028033B">
              <w:rPr>
                <w:noProof w:val="0"/>
                <w:color w:val="FFFFFF" w:themeColor="background1"/>
              </w:rPr>
              <w:t>e)</w:t>
            </w:r>
          </w:p>
        </w:tc>
        <w:tc>
          <w:tcPr>
            <w:tcW w:w="1697" w:type="dxa"/>
            <w:gridSpan w:val="2"/>
            <w:shd w:val="clear" w:color="000000" w:fill="1B556B"/>
            <w:vAlign w:val="bottom"/>
            <w:hideMark/>
          </w:tcPr>
          <w:p w14:paraId="67CAD03A" w14:textId="77777777" w:rsidR="00E46639" w:rsidRPr="0028033B" w:rsidRDefault="00E46639" w:rsidP="00F16E23">
            <w:pPr>
              <w:pStyle w:val="TableTextBold"/>
              <w:spacing w:before="40" w:after="0"/>
              <w:jc w:val="center"/>
              <w:rPr>
                <w:noProof w:val="0"/>
                <w:color w:val="FFFFFF" w:themeColor="background1"/>
              </w:rPr>
            </w:pPr>
            <w:r w:rsidRPr="0028033B">
              <w:rPr>
                <w:noProof w:val="0"/>
                <w:color w:val="FFFFFF" w:themeColor="background1"/>
              </w:rPr>
              <w:t xml:space="preserve">Change in emissions between </w:t>
            </w:r>
            <w:r w:rsidRPr="0028033B">
              <w:rPr>
                <w:noProof w:val="0"/>
                <w:color w:val="FFFFFF" w:themeColor="background1"/>
              </w:rPr>
              <w:br/>
              <w:t>1990 and 2023</w:t>
            </w:r>
          </w:p>
        </w:tc>
        <w:tc>
          <w:tcPr>
            <w:tcW w:w="1656" w:type="dxa"/>
            <w:gridSpan w:val="2"/>
            <w:shd w:val="clear" w:color="000000" w:fill="1B556B"/>
            <w:vAlign w:val="bottom"/>
            <w:hideMark/>
          </w:tcPr>
          <w:p w14:paraId="6AA329E5" w14:textId="77777777" w:rsidR="00E46639" w:rsidRPr="0028033B" w:rsidRDefault="00E46639" w:rsidP="00F16E23">
            <w:pPr>
              <w:pStyle w:val="TableTextBold"/>
              <w:spacing w:before="40" w:after="0"/>
              <w:jc w:val="center"/>
              <w:rPr>
                <w:noProof w:val="0"/>
                <w:color w:val="FFFFFF" w:themeColor="background1"/>
              </w:rPr>
            </w:pPr>
            <w:r w:rsidRPr="0028033B">
              <w:rPr>
                <w:noProof w:val="0"/>
                <w:color w:val="FFFFFF" w:themeColor="background1"/>
              </w:rPr>
              <w:t xml:space="preserve">Change in emissions between </w:t>
            </w:r>
            <w:r w:rsidRPr="0028033B">
              <w:rPr>
                <w:noProof w:val="0"/>
                <w:color w:val="FFFFFF" w:themeColor="background1"/>
              </w:rPr>
              <w:br/>
              <w:t>2005 and 2023</w:t>
            </w:r>
          </w:p>
        </w:tc>
      </w:tr>
      <w:tr w:rsidR="00E46639" w:rsidRPr="0028033B" w14:paraId="6B79F97A" w14:textId="77777777" w:rsidTr="002B2391">
        <w:tc>
          <w:tcPr>
            <w:tcW w:w="1134" w:type="dxa"/>
            <w:vMerge/>
            <w:vAlign w:val="center"/>
            <w:hideMark/>
          </w:tcPr>
          <w:p w14:paraId="429C6CF3" w14:textId="77777777" w:rsidR="00E46639" w:rsidRPr="0028033B" w:rsidRDefault="00E46639" w:rsidP="00F16E23">
            <w:pPr>
              <w:pStyle w:val="TableTextBold"/>
              <w:rPr>
                <w:noProof w:val="0"/>
                <w:color w:val="FFFFFF" w:themeColor="background1"/>
              </w:rPr>
            </w:pPr>
          </w:p>
        </w:tc>
        <w:tc>
          <w:tcPr>
            <w:tcW w:w="1744" w:type="dxa"/>
            <w:vMerge/>
            <w:vAlign w:val="center"/>
            <w:hideMark/>
          </w:tcPr>
          <w:p w14:paraId="060C72B5" w14:textId="77777777" w:rsidR="00E46639" w:rsidRPr="0028033B" w:rsidRDefault="00E46639" w:rsidP="00F16E23">
            <w:pPr>
              <w:pStyle w:val="TableTextBold"/>
              <w:rPr>
                <w:noProof w:val="0"/>
                <w:color w:val="FFFFFF" w:themeColor="background1"/>
              </w:rPr>
            </w:pPr>
          </w:p>
        </w:tc>
        <w:tc>
          <w:tcPr>
            <w:tcW w:w="758" w:type="dxa"/>
            <w:vMerge/>
            <w:shd w:val="clear" w:color="000000" w:fill="1B556B"/>
            <w:vAlign w:val="center"/>
            <w:hideMark/>
          </w:tcPr>
          <w:p w14:paraId="269947B9" w14:textId="77777777" w:rsidR="00E46639" w:rsidRPr="0028033B" w:rsidRDefault="00E46639" w:rsidP="00F16E23">
            <w:pPr>
              <w:pStyle w:val="TableTextBold"/>
              <w:jc w:val="right"/>
              <w:rPr>
                <w:noProof w:val="0"/>
                <w:color w:val="FFFFFF" w:themeColor="background1"/>
              </w:rPr>
            </w:pPr>
          </w:p>
        </w:tc>
        <w:tc>
          <w:tcPr>
            <w:tcW w:w="758" w:type="dxa"/>
            <w:vMerge/>
            <w:shd w:val="clear" w:color="000000" w:fill="1B556B"/>
            <w:vAlign w:val="center"/>
            <w:hideMark/>
          </w:tcPr>
          <w:p w14:paraId="61614000" w14:textId="77777777" w:rsidR="00E46639" w:rsidRPr="0028033B" w:rsidRDefault="00E46639" w:rsidP="00F16E23">
            <w:pPr>
              <w:pStyle w:val="TableTextBold"/>
              <w:jc w:val="right"/>
              <w:rPr>
                <w:noProof w:val="0"/>
                <w:color w:val="FFFFFF" w:themeColor="background1"/>
              </w:rPr>
            </w:pPr>
          </w:p>
        </w:tc>
        <w:tc>
          <w:tcPr>
            <w:tcW w:w="758" w:type="dxa"/>
            <w:vMerge/>
            <w:shd w:val="clear" w:color="000000" w:fill="1B556B"/>
            <w:vAlign w:val="center"/>
            <w:hideMark/>
          </w:tcPr>
          <w:p w14:paraId="6AE117E3" w14:textId="77777777" w:rsidR="00E46639" w:rsidRPr="0028033B" w:rsidRDefault="00E46639" w:rsidP="00F16E23">
            <w:pPr>
              <w:pStyle w:val="TableTextBold"/>
              <w:jc w:val="right"/>
              <w:rPr>
                <w:noProof w:val="0"/>
                <w:color w:val="FFFFFF" w:themeColor="background1"/>
              </w:rPr>
            </w:pPr>
          </w:p>
        </w:tc>
        <w:tc>
          <w:tcPr>
            <w:tcW w:w="875" w:type="dxa"/>
            <w:shd w:val="clear" w:color="000000" w:fill="1B556B"/>
            <w:vAlign w:val="center"/>
            <w:hideMark/>
          </w:tcPr>
          <w:p w14:paraId="585E6223" w14:textId="77777777" w:rsidR="00E46639" w:rsidRPr="0028033B" w:rsidRDefault="00E46639" w:rsidP="00F16E23">
            <w:pPr>
              <w:pStyle w:val="TableTextBold"/>
              <w:jc w:val="right"/>
              <w:rPr>
                <w:noProof w:val="0"/>
                <w:color w:val="FFFFFF" w:themeColor="background1"/>
              </w:rPr>
            </w:pPr>
            <w:r w:rsidRPr="0028033B">
              <w:rPr>
                <w:noProof w:val="0"/>
                <w:color w:val="FFFFFF" w:themeColor="background1"/>
              </w:rPr>
              <w:t>(kt CO</w:t>
            </w:r>
            <w:r w:rsidRPr="0028033B">
              <w:rPr>
                <w:noProof w:val="0"/>
                <w:color w:val="FFFFFF" w:themeColor="background1"/>
                <w:vertAlign w:val="subscript"/>
              </w:rPr>
              <w:t>2</w:t>
            </w:r>
            <w:r w:rsidRPr="0028033B">
              <w:rPr>
                <w:noProof w:val="0"/>
                <w:color w:val="FFFFFF" w:themeColor="background1"/>
              </w:rPr>
              <w:t>e)</w:t>
            </w:r>
          </w:p>
        </w:tc>
        <w:tc>
          <w:tcPr>
            <w:tcW w:w="822" w:type="dxa"/>
            <w:shd w:val="clear" w:color="000000" w:fill="1B556B"/>
            <w:vAlign w:val="center"/>
            <w:hideMark/>
          </w:tcPr>
          <w:p w14:paraId="37E7D087" w14:textId="77777777" w:rsidR="00E46639" w:rsidRPr="0028033B" w:rsidRDefault="00E46639" w:rsidP="00F16E23">
            <w:pPr>
              <w:pStyle w:val="TableTextBold"/>
              <w:jc w:val="right"/>
              <w:rPr>
                <w:noProof w:val="0"/>
                <w:color w:val="FFFFFF" w:themeColor="background1"/>
              </w:rPr>
            </w:pPr>
            <w:r w:rsidRPr="0028033B">
              <w:rPr>
                <w:noProof w:val="0"/>
                <w:color w:val="FFFFFF" w:themeColor="background1"/>
              </w:rPr>
              <w:t>(%)</w:t>
            </w:r>
          </w:p>
        </w:tc>
        <w:tc>
          <w:tcPr>
            <w:tcW w:w="841" w:type="dxa"/>
            <w:shd w:val="clear" w:color="000000" w:fill="1B556B"/>
            <w:vAlign w:val="center"/>
            <w:hideMark/>
          </w:tcPr>
          <w:p w14:paraId="53378F87" w14:textId="77777777" w:rsidR="00E46639" w:rsidRPr="0028033B" w:rsidRDefault="00E46639" w:rsidP="00F16E23">
            <w:pPr>
              <w:pStyle w:val="TableTextBold"/>
              <w:jc w:val="right"/>
              <w:rPr>
                <w:noProof w:val="0"/>
                <w:color w:val="FFFFFF" w:themeColor="background1"/>
              </w:rPr>
            </w:pPr>
            <w:r w:rsidRPr="0028033B">
              <w:rPr>
                <w:noProof w:val="0"/>
                <w:color w:val="FFFFFF" w:themeColor="background1"/>
              </w:rPr>
              <w:t>(kt CO</w:t>
            </w:r>
            <w:r w:rsidRPr="0028033B">
              <w:rPr>
                <w:noProof w:val="0"/>
                <w:color w:val="FFFFFF" w:themeColor="background1"/>
                <w:vertAlign w:val="subscript"/>
              </w:rPr>
              <w:t>2</w:t>
            </w:r>
            <w:r w:rsidRPr="0028033B">
              <w:rPr>
                <w:noProof w:val="0"/>
                <w:color w:val="FFFFFF" w:themeColor="background1"/>
              </w:rPr>
              <w:t>e)</w:t>
            </w:r>
          </w:p>
        </w:tc>
        <w:tc>
          <w:tcPr>
            <w:tcW w:w="815" w:type="dxa"/>
            <w:shd w:val="clear" w:color="000000" w:fill="1B556B"/>
            <w:vAlign w:val="center"/>
            <w:hideMark/>
          </w:tcPr>
          <w:p w14:paraId="158A08A2" w14:textId="77777777" w:rsidR="00E46639" w:rsidRPr="0028033B" w:rsidRDefault="00E46639" w:rsidP="00F16E23">
            <w:pPr>
              <w:pStyle w:val="TableTextBold"/>
              <w:jc w:val="right"/>
              <w:rPr>
                <w:noProof w:val="0"/>
                <w:color w:val="FFFFFF" w:themeColor="background1"/>
              </w:rPr>
            </w:pPr>
            <w:r w:rsidRPr="0028033B">
              <w:rPr>
                <w:noProof w:val="0"/>
                <w:color w:val="FFFFFF" w:themeColor="background1"/>
              </w:rPr>
              <w:t>(%)</w:t>
            </w:r>
          </w:p>
        </w:tc>
      </w:tr>
      <w:tr w:rsidR="00E46639" w:rsidRPr="0028033B" w14:paraId="7DFA802F" w14:textId="77777777" w:rsidTr="002B2391">
        <w:tc>
          <w:tcPr>
            <w:tcW w:w="1134" w:type="dxa"/>
            <w:vMerge w:val="restart"/>
            <w:vAlign w:val="center"/>
            <w:hideMark/>
          </w:tcPr>
          <w:p w14:paraId="4164BA3A" w14:textId="77777777" w:rsidR="00E46639" w:rsidRPr="0028033B" w:rsidRDefault="00E46639" w:rsidP="00F16E23">
            <w:pPr>
              <w:pStyle w:val="TableText"/>
            </w:pPr>
            <w:r w:rsidRPr="0028033B">
              <w:t xml:space="preserve">Total emissions from </w:t>
            </w:r>
            <w:r w:rsidRPr="0028033B">
              <w:rPr>
                <w:i/>
              </w:rPr>
              <w:t>Agricultural soils</w:t>
            </w:r>
          </w:p>
        </w:tc>
        <w:tc>
          <w:tcPr>
            <w:tcW w:w="1744" w:type="dxa"/>
            <w:vAlign w:val="center"/>
            <w:hideMark/>
          </w:tcPr>
          <w:p w14:paraId="5049151E" w14:textId="77777777" w:rsidR="00E46639" w:rsidRPr="0028033B" w:rsidRDefault="00E46639" w:rsidP="00F16E23">
            <w:pPr>
              <w:pStyle w:val="TableText"/>
              <w:spacing w:before="30" w:after="30"/>
            </w:pPr>
            <w:r w:rsidRPr="0028033B">
              <w:t>2025 (1990–2023) emissions estimate</w:t>
            </w:r>
          </w:p>
        </w:tc>
        <w:tc>
          <w:tcPr>
            <w:tcW w:w="758" w:type="dxa"/>
            <w:vAlign w:val="bottom"/>
            <w:hideMark/>
          </w:tcPr>
          <w:p w14:paraId="1EBBF5C5" w14:textId="77777777" w:rsidR="00E46639" w:rsidRPr="0028033B" w:rsidRDefault="00E46639" w:rsidP="00F16E23">
            <w:pPr>
              <w:pStyle w:val="TableText"/>
              <w:spacing w:before="30" w:after="30"/>
              <w:jc w:val="right"/>
            </w:pPr>
            <w:r w:rsidRPr="0028033B">
              <w:t>4,655.1</w:t>
            </w:r>
          </w:p>
        </w:tc>
        <w:tc>
          <w:tcPr>
            <w:tcW w:w="758" w:type="dxa"/>
            <w:vAlign w:val="bottom"/>
            <w:hideMark/>
          </w:tcPr>
          <w:p w14:paraId="2BD04030" w14:textId="77777777" w:rsidR="00E46639" w:rsidRPr="0028033B" w:rsidRDefault="00E46639" w:rsidP="00F16E23">
            <w:pPr>
              <w:pStyle w:val="TableText"/>
              <w:spacing w:before="30" w:after="30"/>
              <w:jc w:val="right"/>
            </w:pPr>
            <w:r w:rsidRPr="0028033B">
              <w:t>6,443.9</w:t>
            </w:r>
          </w:p>
        </w:tc>
        <w:tc>
          <w:tcPr>
            <w:tcW w:w="758" w:type="dxa"/>
            <w:vAlign w:val="bottom"/>
            <w:hideMark/>
          </w:tcPr>
          <w:p w14:paraId="6F3B3F10" w14:textId="77777777" w:rsidR="00E46639" w:rsidRPr="0028033B" w:rsidRDefault="00E46639" w:rsidP="00F16E23">
            <w:pPr>
              <w:pStyle w:val="TableText"/>
              <w:spacing w:before="30" w:after="30"/>
              <w:jc w:val="right"/>
            </w:pPr>
            <w:r w:rsidRPr="0028033B">
              <w:t>6,372.4</w:t>
            </w:r>
          </w:p>
        </w:tc>
        <w:tc>
          <w:tcPr>
            <w:tcW w:w="875" w:type="dxa"/>
            <w:vAlign w:val="bottom"/>
            <w:hideMark/>
          </w:tcPr>
          <w:p w14:paraId="4EEF298B" w14:textId="77777777" w:rsidR="00E46639" w:rsidRPr="0028033B" w:rsidRDefault="00E46639" w:rsidP="00F16E23">
            <w:pPr>
              <w:pStyle w:val="TableText"/>
              <w:spacing w:before="30" w:after="30"/>
              <w:jc w:val="right"/>
            </w:pPr>
            <w:r w:rsidRPr="0028033B">
              <w:t>1,717.3</w:t>
            </w:r>
          </w:p>
        </w:tc>
        <w:tc>
          <w:tcPr>
            <w:tcW w:w="822" w:type="dxa"/>
            <w:vAlign w:val="bottom"/>
            <w:hideMark/>
          </w:tcPr>
          <w:p w14:paraId="4819A684" w14:textId="77777777" w:rsidR="00E46639" w:rsidRPr="0028033B" w:rsidRDefault="00E46639" w:rsidP="00F16E23">
            <w:pPr>
              <w:pStyle w:val="TableText"/>
              <w:spacing w:before="30" w:after="30"/>
              <w:jc w:val="right"/>
            </w:pPr>
            <w:r w:rsidRPr="0028033B">
              <w:t>36.9</w:t>
            </w:r>
          </w:p>
        </w:tc>
        <w:tc>
          <w:tcPr>
            <w:tcW w:w="841" w:type="dxa"/>
            <w:vAlign w:val="bottom"/>
            <w:hideMark/>
          </w:tcPr>
          <w:p w14:paraId="1B15FACF" w14:textId="77777777" w:rsidR="00E46639" w:rsidRPr="0028033B" w:rsidRDefault="00E46639" w:rsidP="00F16E23">
            <w:pPr>
              <w:pStyle w:val="TableText"/>
              <w:spacing w:before="30" w:after="30"/>
              <w:jc w:val="right"/>
            </w:pPr>
            <w:r w:rsidRPr="0028033B">
              <w:t>-71.5</w:t>
            </w:r>
          </w:p>
        </w:tc>
        <w:tc>
          <w:tcPr>
            <w:tcW w:w="815" w:type="dxa"/>
            <w:vAlign w:val="bottom"/>
            <w:hideMark/>
          </w:tcPr>
          <w:p w14:paraId="35439D68" w14:textId="77777777" w:rsidR="00E46639" w:rsidRPr="0028033B" w:rsidRDefault="00E46639" w:rsidP="00F16E23">
            <w:pPr>
              <w:pStyle w:val="TableText"/>
              <w:spacing w:before="30" w:after="30"/>
              <w:jc w:val="right"/>
            </w:pPr>
            <w:r w:rsidRPr="0028033B">
              <w:t>-1.1</w:t>
            </w:r>
          </w:p>
        </w:tc>
      </w:tr>
      <w:tr w:rsidR="00E46639" w:rsidRPr="0028033B" w14:paraId="7C71883F" w14:textId="77777777" w:rsidTr="002B2391">
        <w:tc>
          <w:tcPr>
            <w:tcW w:w="1134" w:type="dxa"/>
            <w:vMerge/>
            <w:vAlign w:val="center"/>
            <w:hideMark/>
          </w:tcPr>
          <w:p w14:paraId="0E149060" w14:textId="77777777" w:rsidR="00E46639" w:rsidRPr="0028033B" w:rsidRDefault="00E46639" w:rsidP="00F16E23">
            <w:pPr>
              <w:rPr>
                <w:rFonts w:cs="Calibri"/>
                <w:color w:val="000000" w:themeColor="text1"/>
                <w:sz w:val="16"/>
                <w:szCs w:val="16"/>
              </w:rPr>
            </w:pPr>
          </w:p>
        </w:tc>
        <w:tc>
          <w:tcPr>
            <w:tcW w:w="1744" w:type="dxa"/>
            <w:vAlign w:val="center"/>
            <w:hideMark/>
          </w:tcPr>
          <w:p w14:paraId="45F36BBF" w14:textId="77777777" w:rsidR="00E46639" w:rsidRPr="0028033B" w:rsidRDefault="00E46639" w:rsidP="00F16E23">
            <w:pPr>
              <w:pStyle w:val="TableText"/>
              <w:spacing w:before="30" w:after="30"/>
            </w:pPr>
            <w:r w:rsidRPr="0028033B">
              <w:t xml:space="preserve">2025 (1990–2023) emissions estimate </w:t>
            </w:r>
            <w:r w:rsidRPr="0028033B">
              <w:rPr>
                <w:i/>
              </w:rPr>
              <w:t>with</w:t>
            </w:r>
            <w:r w:rsidRPr="0028033B">
              <w:t xml:space="preserve"> </w:t>
            </w:r>
            <w:r w:rsidRPr="0028033B">
              <w:rPr>
                <w:i/>
              </w:rPr>
              <w:t>improvement</w:t>
            </w:r>
          </w:p>
        </w:tc>
        <w:tc>
          <w:tcPr>
            <w:tcW w:w="758" w:type="dxa"/>
            <w:vAlign w:val="bottom"/>
            <w:hideMark/>
          </w:tcPr>
          <w:p w14:paraId="2679530F" w14:textId="77777777" w:rsidR="00E46639" w:rsidRPr="0028033B" w:rsidRDefault="00E46639" w:rsidP="00F16E23">
            <w:pPr>
              <w:pStyle w:val="TableText"/>
              <w:spacing w:before="30" w:after="30"/>
              <w:jc w:val="right"/>
            </w:pPr>
            <w:r w:rsidRPr="0028033B">
              <w:t>4,512.5</w:t>
            </w:r>
          </w:p>
        </w:tc>
        <w:tc>
          <w:tcPr>
            <w:tcW w:w="758" w:type="dxa"/>
            <w:vAlign w:val="bottom"/>
            <w:hideMark/>
          </w:tcPr>
          <w:p w14:paraId="177423AB" w14:textId="77777777" w:rsidR="00E46639" w:rsidRPr="0028033B" w:rsidRDefault="00E46639" w:rsidP="00F16E23">
            <w:pPr>
              <w:pStyle w:val="TableText"/>
              <w:spacing w:before="30" w:after="30"/>
              <w:jc w:val="right"/>
            </w:pPr>
            <w:r w:rsidRPr="0028033B">
              <w:t>6,319.2</w:t>
            </w:r>
          </w:p>
        </w:tc>
        <w:tc>
          <w:tcPr>
            <w:tcW w:w="758" w:type="dxa"/>
            <w:vAlign w:val="bottom"/>
            <w:hideMark/>
          </w:tcPr>
          <w:p w14:paraId="5D8919F5" w14:textId="77777777" w:rsidR="00E46639" w:rsidRPr="0028033B" w:rsidRDefault="00E46639" w:rsidP="00F16E23">
            <w:pPr>
              <w:pStyle w:val="TableText"/>
              <w:spacing w:before="30" w:after="30"/>
              <w:jc w:val="right"/>
            </w:pPr>
            <w:r w:rsidRPr="0028033B">
              <w:t>6,254.2</w:t>
            </w:r>
          </w:p>
        </w:tc>
        <w:tc>
          <w:tcPr>
            <w:tcW w:w="875" w:type="dxa"/>
            <w:vAlign w:val="bottom"/>
            <w:hideMark/>
          </w:tcPr>
          <w:p w14:paraId="6FB5A6BD" w14:textId="77777777" w:rsidR="00E46639" w:rsidRPr="0028033B" w:rsidRDefault="00E46639" w:rsidP="00F16E23">
            <w:pPr>
              <w:pStyle w:val="TableText"/>
              <w:spacing w:before="30" w:after="30"/>
              <w:jc w:val="right"/>
            </w:pPr>
            <w:r w:rsidRPr="0028033B">
              <w:t>1,741.7</w:t>
            </w:r>
          </w:p>
        </w:tc>
        <w:tc>
          <w:tcPr>
            <w:tcW w:w="822" w:type="dxa"/>
            <w:vAlign w:val="bottom"/>
            <w:hideMark/>
          </w:tcPr>
          <w:p w14:paraId="26CA9F97" w14:textId="77777777" w:rsidR="00E46639" w:rsidRPr="0028033B" w:rsidRDefault="00E46639" w:rsidP="00F16E23">
            <w:pPr>
              <w:pStyle w:val="TableText"/>
              <w:spacing w:before="30" w:after="30"/>
              <w:jc w:val="right"/>
            </w:pPr>
            <w:r w:rsidRPr="0028033B">
              <w:t>38.6</w:t>
            </w:r>
          </w:p>
        </w:tc>
        <w:tc>
          <w:tcPr>
            <w:tcW w:w="841" w:type="dxa"/>
            <w:vAlign w:val="bottom"/>
            <w:hideMark/>
          </w:tcPr>
          <w:p w14:paraId="4659324E" w14:textId="77777777" w:rsidR="00E46639" w:rsidRPr="0028033B" w:rsidRDefault="00E46639" w:rsidP="00F16E23">
            <w:pPr>
              <w:pStyle w:val="TableText"/>
              <w:spacing w:before="30" w:after="30"/>
              <w:jc w:val="right"/>
            </w:pPr>
            <w:r w:rsidRPr="0028033B">
              <w:t>-65.0</w:t>
            </w:r>
          </w:p>
        </w:tc>
        <w:tc>
          <w:tcPr>
            <w:tcW w:w="815" w:type="dxa"/>
            <w:vAlign w:val="bottom"/>
            <w:hideMark/>
          </w:tcPr>
          <w:p w14:paraId="66EBBAFE" w14:textId="77777777" w:rsidR="00E46639" w:rsidRPr="0028033B" w:rsidRDefault="00E46639" w:rsidP="00F16E23">
            <w:pPr>
              <w:pStyle w:val="TableText"/>
              <w:spacing w:before="30" w:after="30"/>
              <w:jc w:val="right"/>
            </w:pPr>
            <w:r w:rsidRPr="0028033B">
              <w:t>-1.0</w:t>
            </w:r>
          </w:p>
        </w:tc>
      </w:tr>
      <w:tr w:rsidR="00E46639" w:rsidRPr="0028033B" w14:paraId="6173D539" w14:textId="77777777" w:rsidTr="002B2391">
        <w:tc>
          <w:tcPr>
            <w:tcW w:w="1134" w:type="dxa"/>
            <w:vMerge/>
            <w:vAlign w:val="center"/>
            <w:hideMark/>
          </w:tcPr>
          <w:p w14:paraId="2A84E142" w14:textId="77777777" w:rsidR="00E46639" w:rsidRPr="0028033B" w:rsidRDefault="00E46639" w:rsidP="00F16E23">
            <w:pPr>
              <w:rPr>
                <w:rFonts w:cs="Calibri"/>
                <w:color w:val="000000" w:themeColor="text1"/>
                <w:sz w:val="16"/>
                <w:szCs w:val="16"/>
              </w:rPr>
            </w:pPr>
          </w:p>
        </w:tc>
        <w:tc>
          <w:tcPr>
            <w:tcW w:w="1744" w:type="dxa"/>
            <w:vAlign w:val="center"/>
            <w:hideMark/>
          </w:tcPr>
          <w:p w14:paraId="46C26AEE" w14:textId="77777777" w:rsidR="00E46639" w:rsidRPr="0028033B" w:rsidRDefault="00E46639" w:rsidP="00F16E23">
            <w:pPr>
              <w:pStyle w:val="TableText"/>
              <w:spacing w:before="30" w:after="30"/>
            </w:pPr>
            <w:r w:rsidRPr="0028033B">
              <w:t>Difference in emissions estimates</w:t>
            </w:r>
          </w:p>
        </w:tc>
        <w:tc>
          <w:tcPr>
            <w:tcW w:w="758" w:type="dxa"/>
            <w:vAlign w:val="bottom"/>
            <w:hideMark/>
          </w:tcPr>
          <w:p w14:paraId="2B8D1104" w14:textId="77777777" w:rsidR="00E46639" w:rsidRPr="0028033B" w:rsidRDefault="00E46639" w:rsidP="00F16E23">
            <w:pPr>
              <w:pStyle w:val="TableText"/>
              <w:spacing w:before="30" w:after="30"/>
              <w:jc w:val="right"/>
            </w:pPr>
            <w:r w:rsidRPr="0028033B">
              <w:t>-142.7</w:t>
            </w:r>
          </w:p>
        </w:tc>
        <w:tc>
          <w:tcPr>
            <w:tcW w:w="758" w:type="dxa"/>
            <w:vAlign w:val="bottom"/>
            <w:hideMark/>
          </w:tcPr>
          <w:p w14:paraId="5DD29726" w14:textId="77777777" w:rsidR="00E46639" w:rsidRPr="0028033B" w:rsidRDefault="00E46639" w:rsidP="00F16E23">
            <w:pPr>
              <w:pStyle w:val="TableText"/>
              <w:spacing w:before="30" w:after="30"/>
              <w:jc w:val="right"/>
            </w:pPr>
            <w:r w:rsidRPr="0028033B">
              <w:t>-124.7</w:t>
            </w:r>
          </w:p>
        </w:tc>
        <w:tc>
          <w:tcPr>
            <w:tcW w:w="758" w:type="dxa"/>
            <w:vAlign w:val="bottom"/>
            <w:hideMark/>
          </w:tcPr>
          <w:p w14:paraId="72FD7EB1" w14:textId="77777777" w:rsidR="00E46639" w:rsidRPr="0028033B" w:rsidRDefault="00E46639" w:rsidP="00F16E23">
            <w:pPr>
              <w:pStyle w:val="TableText"/>
              <w:spacing w:before="30" w:after="30"/>
              <w:jc w:val="right"/>
            </w:pPr>
            <w:r w:rsidRPr="0028033B">
              <w:t>-118.3</w:t>
            </w:r>
          </w:p>
        </w:tc>
        <w:tc>
          <w:tcPr>
            <w:tcW w:w="875" w:type="dxa"/>
            <w:vAlign w:val="bottom"/>
            <w:hideMark/>
          </w:tcPr>
          <w:p w14:paraId="01F2501B" w14:textId="77777777" w:rsidR="00E46639" w:rsidRPr="0028033B" w:rsidRDefault="00E46639" w:rsidP="00F16E23">
            <w:pPr>
              <w:pStyle w:val="TableText"/>
              <w:spacing w:before="30" w:after="30"/>
              <w:jc w:val="right"/>
            </w:pPr>
            <w:r w:rsidRPr="0028033B">
              <w:t> </w:t>
            </w:r>
          </w:p>
        </w:tc>
        <w:tc>
          <w:tcPr>
            <w:tcW w:w="822" w:type="dxa"/>
            <w:vAlign w:val="bottom"/>
            <w:hideMark/>
          </w:tcPr>
          <w:p w14:paraId="47F7BC67" w14:textId="77777777" w:rsidR="00E46639" w:rsidRPr="0028033B" w:rsidRDefault="00E46639" w:rsidP="00F16E23">
            <w:pPr>
              <w:pStyle w:val="TableText"/>
              <w:spacing w:before="30" w:after="30"/>
              <w:jc w:val="right"/>
            </w:pPr>
            <w:r w:rsidRPr="0028033B">
              <w:t> </w:t>
            </w:r>
          </w:p>
        </w:tc>
        <w:tc>
          <w:tcPr>
            <w:tcW w:w="841" w:type="dxa"/>
            <w:vAlign w:val="bottom"/>
            <w:hideMark/>
          </w:tcPr>
          <w:p w14:paraId="060395CA" w14:textId="77777777" w:rsidR="00E46639" w:rsidRPr="0028033B" w:rsidRDefault="00E46639" w:rsidP="00F16E23">
            <w:pPr>
              <w:pStyle w:val="TableText"/>
              <w:spacing w:before="30" w:after="30"/>
              <w:jc w:val="right"/>
            </w:pPr>
            <w:r w:rsidRPr="0028033B">
              <w:t> </w:t>
            </w:r>
          </w:p>
        </w:tc>
        <w:tc>
          <w:tcPr>
            <w:tcW w:w="815" w:type="dxa"/>
            <w:vAlign w:val="bottom"/>
            <w:hideMark/>
          </w:tcPr>
          <w:p w14:paraId="52960CBF" w14:textId="77777777" w:rsidR="00E46639" w:rsidRPr="0028033B" w:rsidRDefault="00E46639" w:rsidP="00F16E23">
            <w:pPr>
              <w:pStyle w:val="TableText"/>
              <w:spacing w:before="30" w:after="30"/>
              <w:jc w:val="right"/>
            </w:pPr>
            <w:r w:rsidRPr="0028033B">
              <w:t> </w:t>
            </w:r>
          </w:p>
        </w:tc>
      </w:tr>
      <w:tr w:rsidR="00E46639" w:rsidRPr="0028033B" w14:paraId="66405C4F" w14:textId="77777777" w:rsidTr="002B2391">
        <w:tc>
          <w:tcPr>
            <w:tcW w:w="1134" w:type="dxa"/>
            <w:vMerge/>
            <w:vAlign w:val="center"/>
            <w:hideMark/>
          </w:tcPr>
          <w:p w14:paraId="33C7E3BE" w14:textId="77777777" w:rsidR="00E46639" w:rsidRPr="0028033B" w:rsidRDefault="00E46639" w:rsidP="00F16E23">
            <w:pPr>
              <w:rPr>
                <w:rFonts w:cs="Calibri"/>
                <w:color w:val="F46CD4"/>
                <w:sz w:val="16"/>
                <w:szCs w:val="16"/>
              </w:rPr>
            </w:pPr>
          </w:p>
        </w:tc>
        <w:tc>
          <w:tcPr>
            <w:tcW w:w="1744" w:type="dxa"/>
            <w:vAlign w:val="center"/>
            <w:hideMark/>
          </w:tcPr>
          <w:p w14:paraId="1678C96A" w14:textId="77777777" w:rsidR="00E46639" w:rsidRPr="0028033B" w:rsidRDefault="00E46639" w:rsidP="00F16E23">
            <w:pPr>
              <w:pStyle w:val="TableText"/>
              <w:spacing w:before="30" w:after="30"/>
            </w:pPr>
            <w:r w:rsidRPr="0028033B">
              <w:t>Percentage difference in emissions estimates (%)</w:t>
            </w:r>
          </w:p>
        </w:tc>
        <w:tc>
          <w:tcPr>
            <w:tcW w:w="758" w:type="dxa"/>
            <w:vAlign w:val="bottom"/>
            <w:hideMark/>
          </w:tcPr>
          <w:p w14:paraId="32D3B5BC" w14:textId="77777777" w:rsidR="00E46639" w:rsidRPr="0028033B" w:rsidRDefault="00E46639" w:rsidP="00F16E23">
            <w:pPr>
              <w:pStyle w:val="TableText"/>
              <w:spacing w:before="30" w:after="30"/>
              <w:jc w:val="right"/>
            </w:pPr>
            <w:r w:rsidRPr="0028033B">
              <w:t>-3.1</w:t>
            </w:r>
          </w:p>
        </w:tc>
        <w:tc>
          <w:tcPr>
            <w:tcW w:w="758" w:type="dxa"/>
            <w:vAlign w:val="bottom"/>
            <w:hideMark/>
          </w:tcPr>
          <w:p w14:paraId="7EEFB90C" w14:textId="77777777" w:rsidR="00E46639" w:rsidRPr="0028033B" w:rsidRDefault="00E46639" w:rsidP="00F16E23">
            <w:pPr>
              <w:pStyle w:val="TableText"/>
              <w:spacing w:before="30" w:after="30"/>
              <w:jc w:val="right"/>
            </w:pPr>
            <w:r w:rsidRPr="0028033B">
              <w:t>-1.9</w:t>
            </w:r>
          </w:p>
        </w:tc>
        <w:tc>
          <w:tcPr>
            <w:tcW w:w="758" w:type="dxa"/>
            <w:vAlign w:val="bottom"/>
            <w:hideMark/>
          </w:tcPr>
          <w:p w14:paraId="4D9AF3B3" w14:textId="77777777" w:rsidR="00E46639" w:rsidRPr="0028033B" w:rsidRDefault="00E46639" w:rsidP="00F16E23">
            <w:pPr>
              <w:pStyle w:val="TableText"/>
              <w:spacing w:before="30" w:after="30"/>
              <w:jc w:val="right"/>
            </w:pPr>
            <w:r w:rsidRPr="0028033B">
              <w:t>-1.9</w:t>
            </w:r>
          </w:p>
        </w:tc>
        <w:tc>
          <w:tcPr>
            <w:tcW w:w="875" w:type="dxa"/>
            <w:vAlign w:val="bottom"/>
            <w:hideMark/>
          </w:tcPr>
          <w:p w14:paraId="4C83FB0F" w14:textId="77777777" w:rsidR="00E46639" w:rsidRPr="0028033B" w:rsidRDefault="00E46639" w:rsidP="00F16E23">
            <w:pPr>
              <w:pStyle w:val="TableText"/>
              <w:spacing w:before="30" w:after="30"/>
              <w:jc w:val="right"/>
            </w:pPr>
            <w:r w:rsidRPr="0028033B">
              <w:t> </w:t>
            </w:r>
          </w:p>
        </w:tc>
        <w:tc>
          <w:tcPr>
            <w:tcW w:w="822" w:type="dxa"/>
            <w:vAlign w:val="bottom"/>
            <w:hideMark/>
          </w:tcPr>
          <w:p w14:paraId="7E4350E7" w14:textId="77777777" w:rsidR="00E46639" w:rsidRPr="0028033B" w:rsidRDefault="00E46639" w:rsidP="00F16E23">
            <w:pPr>
              <w:pStyle w:val="TableText"/>
              <w:spacing w:before="30" w:after="30"/>
              <w:jc w:val="right"/>
            </w:pPr>
            <w:r w:rsidRPr="0028033B">
              <w:t> </w:t>
            </w:r>
          </w:p>
        </w:tc>
        <w:tc>
          <w:tcPr>
            <w:tcW w:w="841" w:type="dxa"/>
            <w:vAlign w:val="bottom"/>
            <w:hideMark/>
          </w:tcPr>
          <w:p w14:paraId="7783A1AE" w14:textId="77777777" w:rsidR="00E46639" w:rsidRPr="0028033B" w:rsidRDefault="00E46639" w:rsidP="00F16E23">
            <w:pPr>
              <w:pStyle w:val="TableText"/>
              <w:spacing w:before="30" w:after="30"/>
              <w:jc w:val="right"/>
            </w:pPr>
            <w:r w:rsidRPr="0028033B">
              <w:t> </w:t>
            </w:r>
          </w:p>
        </w:tc>
        <w:tc>
          <w:tcPr>
            <w:tcW w:w="815" w:type="dxa"/>
            <w:vAlign w:val="bottom"/>
            <w:hideMark/>
          </w:tcPr>
          <w:p w14:paraId="0FDE827B" w14:textId="77777777" w:rsidR="00E46639" w:rsidRPr="0028033B" w:rsidRDefault="00E46639" w:rsidP="00F16E23">
            <w:pPr>
              <w:pStyle w:val="TableText"/>
              <w:spacing w:before="30" w:after="30"/>
              <w:jc w:val="right"/>
            </w:pPr>
            <w:r w:rsidRPr="0028033B">
              <w:t> </w:t>
            </w:r>
          </w:p>
        </w:tc>
      </w:tr>
    </w:tbl>
    <w:p w14:paraId="4E22224F" w14:textId="77777777" w:rsidR="00E46639" w:rsidRPr="0028033B" w:rsidRDefault="00E46639" w:rsidP="00E46639">
      <w:pPr>
        <w:pStyle w:val="Noteundertable"/>
        <w:spacing w:after="80"/>
        <w:rPr>
          <w:rFonts w:cs="Calibri"/>
        </w:rPr>
      </w:pPr>
      <w:r w:rsidRPr="0028033B">
        <w:rPr>
          <w:rFonts w:cs="Calibri"/>
          <w:b/>
          <w:bCs/>
        </w:rPr>
        <w:t>Note:</w:t>
      </w:r>
      <w:r w:rsidRPr="0028033B">
        <w:rPr>
          <w:rFonts w:cs="Calibri"/>
        </w:rPr>
        <w:tab/>
        <w:t>Columns may not sum due to rounding. Percentages presented are calculated from unrounded values.</w:t>
      </w:r>
    </w:p>
    <w:p w14:paraId="0E8B01DA" w14:textId="77777777" w:rsidR="00E46639" w:rsidRPr="0028033B" w:rsidRDefault="00E46639" w:rsidP="00E46639">
      <w:pPr>
        <w:pStyle w:val="Heading5"/>
      </w:pPr>
      <w:r w:rsidRPr="0028033B">
        <w:t>Corrections to inventory model</w:t>
      </w:r>
    </w:p>
    <w:p w14:paraId="05D2B0CF" w14:textId="77777777" w:rsidR="00E46639" w:rsidRPr="0028033B" w:rsidRDefault="00E46639" w:rsidP="00E46639">
      <w:pPr>
        <w:pStyle w:val="BodyText"/>
        <w:rPr>
          <w:shd w:val="clear" w:color="auto" w:fill="FFFFFF"/>
        </w:rPr>
      </w:pPr>
      <w:r w:rsidRPr="0028033B">
        <w:rPr>
          <w:shd w:val="clear" w:color="auto" w:fill="FFFFFF"/>
        </w:rPr>
        <w:t xml:space="preserve">For more detail on these changes, see section 5.2.5. </w:t>
      </w:r>
    </w:p>
    <w:p w14:paraId="7ED5B9E8" w14:textId="77777777" w:rsidR="00E46639" w:rsidRPr="0028033B" w:rsidRDefault="00E46639" w:rsidP="00E46639">
      <w:pPr>
        <w:pStyle w:val="BodyText"/>
      </w:pPr>
      <w:r w:rsidRPr="0028033B">
        <w:t xml:space="preserve">The implementation of these changes caused emissions from the </w:t>
      </w:r>
      <w:r w:rsidRPr="0028033B">
        <w:rPr>
          <w:i/>
        </w:rPr>
        <w:t>Agricultural soils</w:t>
      </w:r>
      <w:r w:rsidRPr="0028033B">
        <w:t xml:space="preserve"> category to decrease by 14.3 kt CO</w:t>
      </w:r>
      <w:r w:rsidRPr="0028033B">
        <w:rPr>
          <w:vertAlign w:val="subscript"/>
        </w:rPr>
        <w:t>2</w:t>
      </w:r>
      <w:r w:rsidRPr="0028033B">
        <w:t>e in 1990 and 12.3 kt CO</w:t>
      </w:r>
      <w:r w:rsidRPr="0028033B">
        <w:rPr>
          <w:vertAlign w:val="subscript"/>
        </w:rPr>
        <w:t>2</w:t>
      </w:r>
      <w:r w:rsidRPr="0028033B">
        <w:t>e in 2023 (table 5.5.16).</w:t>
      </w:r>
    </w:p>
    <w:p w14:paraId="6849E8C6" w14:textId="77777777" w:rsidR="00E46639" w:rsidRPr="0028033B" w:rsidRDefault="00E46639" w:rsidP="00E46639">
      <w:pPr>
        <w:pStyle w:val="Table"/>
        <w:rPr>
          <w:rFonts w:cs="Calibri"/>
        </w:rPr>
      </w:pPr>
      <w:bookmarkStart w:id="1370" w:name="_Toc222407661"/>
      <w:bookmarkStart w:id="1371" w:name="_Toc226669036"/>
      <w:r w:rsidRPr="0028033B">
        <w:rPr>
          <w:rFonts w:cs="Calibri"/>
        </w:rPr>
        <w:t>Table 5.5.16</w:t>
      </w:r>
      <w:r w:rsidRPr="0028033B">
        <w:rPr>
          <w:rFonts w:cs="Calibri"/>
        </w:rPr>
        <w:tab/>
        <w:t>Comparison of emissions from </w:t>
      </w:r>
      <w:r w:rsidRPr="0028033B">
        <w:rPr>
          <w:rFonts w:cs="Calibri"/>
          <w:i/>
        </w:rPr>
        <w:t>Agricultural soils</w:t>
      </w:r>
      <w:r w:rsidRPr="0028033B">
        <w:rPr>
          <w:rFonts w:cs="Calibri"/>
          <w:i/>
          <w:iCs/>
        </w:rPr>
        <w:t xml:space="preserve"> </w:t>
      </w:r>
      <w:r w:rsidRPr="0028033B">
        <w:rPr>
          <w:rFonts w:cs="Calibri"/>
        </w:rPr>
        <w:t>with and without corrections</w:t>
      </w:r>
      <w:bookmarkEnd w:id="1370"/>
      <w:bookmarkEnd w:id="1371"/>
    </w:p>
    <w:tbl>
      <w:tblPr>
        <w:tblW w:w="8505" w:type="dxa"/>
        <w:tblBorders>
          <w:top w:val="single" w:sz="2" w:space="0" w:color="1B556B" w:themeColor="text2"/>
          <w:bottom w:val="single" w:sz="2" w:space="0" w:color="1B556B" w:themeColor="text2"/>
          <w:insideH w:val="single" w:sz="2" w:space="0" w:color="1B556B" w:themeColor="text2"/>
        </w:tblBorders>
        <w:tblLayout w:type="fixed"/>
        <w:tblCellMar>
          <w:left w:w="85" w:type="dxa"/>
          <w:right w:w="57" w:type="dxa"/>
        </w:tblCellMar>
        <w:tblLook w:val="04A0" w:firstRow="1" w:lastRow="0" w:firstColumn="1" w:lastColumn="0" w:noHBand="0" w:noVBand="1"/>
      </w:tblPr>
      <w:tblGrid>
        <w:gridCol w:w="1290"/>
        <w:gridCol w:w="1548"/>
        <w:gridCol w:w="745"/>
        <w:gridCol w:w="745"/>
        <w:gridCol w:w="745"/>
        <w:gridCol w:w="896"/>
        <w:gridCol w:w="745"/>
        <w:gridCol w:w="896"/>
        <w:gridCol w:w="895"/>
      </w:tblGrid>
      <w:tr w:rsidR="00E46639" w:rsidRPr="0028033B" w14:paraId="070DA44F" w14:textId="77777777" w:rsidTr="000D531C">
        <w:trPr>
          <w:tblHeader/>
        </w:trPr>
        <w:tc>
          <w:tcPr>
            <w:tcW w:w="1276" w:type="dxa"/>
            <w:vMerge w:val="restart"/>
            <w:shd w:val="clear" w:color="000000" w:fill="1B556B"/>
            <w:vAlign w:val="bottom"/>
          </w:tcPr>
          <w:p w14:paraId="7673D88E" w14:textId="77777777" w:rsidR="00E46639" w:rsidRPr="0028033B" w:rsidRDefault="00E46639" w:rsidP="00F16E23">
            <w:pPr>
              <w:pStyle w:val="TableText"/>
              <w:spacing w:before="40" w:after="40"/>
              <w:rPr>
                <w:b/>
                <w:bCs/>
              </w:rPr>
            </w:pPr>
          </w:p>
        </w:tc>
        <w:tc>
          <w:tcPr>
            <w:tcW w:w="1531" w:type="dxa"/>
            <w:vMerge w:val="restart"/>
            <w:shd w:val="clear" w:color="auto" w:fill="1B556B" w:themeFill="text2"/>
            <w:vAlign w:val="bottom"/>
          </w:tcPr>
          <w:p w14:paraId="5547BD9D" w14:textId="77777777" w:rsidR="00E46639" w:rsidRPr="0028033B" w:rsidRDefault="00E46639" w:rsidP="00F16E23">
            <w:pPr>
              <w:pStyle w:val="TableText"/>
              <w:spacing w:before="40" w:after="40"/>
              <w:rPr>
                <w:b/>
                <w:bCs/>
              </w:rPr>
            </w:pPr>
          </w:p>
        </w:tc>
        <w:tc>
          <w:tcPr>
            <w:tcW w:w="737" w:type="dxa"/>
            <w:vMerge w:val="restart"/>
            <w:shd w:val="clear" w:color="000000" w:fill="1B556B"/>
            <w:vAlign w:val="bottom"/>
          </w:tcPr>
          <w:p w14:paraId="3C421DF5" w14:textId="77777777" w:rsidR="00E46639" w:rsidRPr="0028033B" w:rsidRDefault="00E46639" w:rsidP="00F16E23">
            <w:pPr>
              <w:pStyle w:val="TableText"/>
              <w:spacing w:before="40" w:after="40"/>
              <w:jc w:val="center"/>
              <w:rPr>
                <w:b/>
                <w:color w:val="FFFFFF" w:themeColor="background1"/>
              </w:rPr>
            </w:pPr>
            <w:r w:rsidRPr="0028033B">
              <w:rPr>
                <w:rFonts w:cs="Calibri"/>
                <w:b/>
                <w:color w:val="FFFFFF" w:themeColor="background1"/>
                <w:szCs w:val="16"/>
              </w:rPr>
              <w:t>1990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37" w:type="dxa"/>
            <w:vMerge w:val="restart"/>
            <w:shd w:val="clear" w:color="000000" w:fill="1B556B"/>
            <w:vAlign w:val="bottom"/>
          </w:tcPr>
          <w:p w14:paraId="4F840563"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2005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37" w:type="dxa"/>
            <w:vMerge w:val="restart"/>
            <w:shd w:val="clear" w:color="000000" w:fill="1B556B"/>
            <w:vAlign w:val="bottom"/>
          </w:tcPr>
          <w:p w14:paraId="16CF8873" w14:textId="77777777" w:rsidR="00E46639" w:rsidRPr="0028033B" w:rsidRDefault="00E46639" w:rsidP="00F16E23">
            <w:pPr>
              <w:pStyle w:val="TableText"/>
              <w:spacing w:before="40" w:after="40"/>
              <w:jc w:val="center"/>
              <w:rPr>
                <w:b/>
                <w:color w:val="FFFFFF" w:themeColor="background1"/>
              </w:rPr>
            </w:pPr>
            <w:r w:rsidRPr="0028033B">
              <w:rPr>
                <w:rFonts w:cs="Calibri"/>
                <w:b/>
                <w:color w:val="FFFFFF" w:themeColor="background1"/>
                <w:szCs w:val="16"/>
              </w:rPr>
              <w:t>2023 (kt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1623" w:type="dxa"/>
            <w:gridSpan w:val="2"/>
            <w:shd w:val="clear" w:color="000000" w:fill="1B556B"/>
            <w:vAlign w:val="bottom"/>
          </w:tcPr>
          <w:p w14:paraId="32B26351" w14:textId="77777777" w:rsidR="00E46639" w:rsidRPr="0028033B" w:rsidRDefault="00E46639" w:rsidP="00F16E23">
            <w:pPr>
              <w:pStyle w:val="TableText"/>
              <w:spacing w:before="40" w:after="40"/>
              <w:jc w:val="center"/>
              <w:rPr>
                <w:b/>
                <w:color w:val="FFFFFF" w:themeColor="background1"/>
              </w:rPr>
            </w:pPr>
            <w:r w:rsidRPr="0028033B">
              <w:rPr>
                <w:rFonts w:cs="Calibri"/>
                <w:b/>
                <w:color w:val="FFFFFF" w:themeColor="background1"/>
                <w:szCs w:val="16"/>
              </w:rPr>
              <w:t xml:space="preserve">Change in emissions between </w:t>
            </w:r>
            <w:r w:rsidRPr="0028033B">
              <w:rPr>
                <w:rFonts w:cs="Calibri"/>
                <w:b/>
                <w:color w:val="FFFFFF" w:themeColor="background1"/>
                <w:szCs w:val="16"/>
              </w:rPr>
              <w:br/>
              <w:t xml:space="preserve">1990 and 2023 </w:t>
            </w:r>
          </w:p>
        </w:tc>
        <w:tc>
          <w:tcPr>
            <w:tcW w:w="1771" w:type="dxa"/>
            <w:gridSpan w:val="2"/>
            <w:shd w:val="clear" w:color="000000" w:fill="1B556B"/>
            <w:vAlign w:val="bottom"/>
          </w:tcPr>
          <w:p w14:paraId="0098F578"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 xml:space="preserve">Change in emissions between </w:t>
            </w:r>
            <w:r w:rsidRPr="0028033B">
              <w:rPr>
                <w:rFonts w:cs="Calibri"/>
                <w:b/>
                <w:color w:val="FFFFFF" w:themeColor="background1"/>
                <w:szCs w:val="16"/>
              </w:rPr>
              <w:br/>
              <w:t xml:space="preserve">2005 and 2023 </w:t>
            </w:r>
          </w:p>
        </w:tc>
      </w:tr>
      <w:tr w:rsidR="000D531C" w:rsidRPr="0028033B" w14:paraId="706B012A" w14:textId="77777777" w:rsidTr="000D531C">
        <w:trPr>
          <w:tblHeader/>
        </w:trPr>
        <w:tc>
          <w:tcPr>
            <w:tcW w:w="1276" w:type="dxa"/>
            <w:vMerge/>
            <w:shd w:val="clear" w:color="000000" w:fill="1B556B"/>
            <w:vAlign w:val="center"/>
          </w:tcPr>
          <w:p w14:paraId="31652884" w14:textId="77777777" w:rsidR="00E46639" w:rsidRPr="0028033B" w:rsidRDefault="00E46639" w:rsidP="00F16E23">
            <w:pPr>
              <w:pStyle w:val="TableText"/>
              <w:spacing w:before="40" w:after="40"/>
              <w:rPr>
                <w:b/>
                <w:bCs/>
                <w:color w:val="F46CD4"/>
              </w:rPr>
            </w:pPr>
          </w:p>
        </w:tc>
        <w:tc>
          <w:tcPr>
            <w:tcW w:w="1531" w:type="dxa"/>
            <w:vMerge/>
            <w:shd w:val="clear" w:color="auto" w:fill="1B556B" w:themeFill="text2"/>
            <w:vAlign w:val="center"/>
          </w:tcPr>
          <w:p w14:paraId="10D02FAD" w14:textId="77777777" w:rsidR="00E46639" w:rsidRPr="0028033B" w:rsidRDefault="00E46639" w:rsidP="00F16E23">
            <w:pPr>
              <w:pStyle w:val="TableText"/>
              <w:spacing w:before="40" w:after="40"/>
              <w:rPr>
                <w:b/>
                <w:bCs/>
                <w:color w:val="F46CD4"/>
              </w:rPr>
            </w:pPr>
          </w:p>
        </w:tc>
        <w:tc>
          <w:tcPr>
            <w:tcW w:w="737" w:type="dxa"/>
            <w:vMerge/>
            <w:shd w:val="clear" w:color="000000" w:fill="1B556B"/>
            <w:vAlign w:val="center"/>
          </w:tcPr>
          <w:p w14:paraId="1DC1C845" w14:textId="77777777" w:rsidR="00E46639" w:rsidRPr="0028033B" w:rsidRDefault="00E46639" w:rsidP="00F16E23">
            <w:pPr>
              <w:pStyle w:val="TableText"/>
              <w:spacing w:before="40" w:after="40"/>
              <w:jc w:val="center"/>
              <w:rPr>
                <w:rFonts w:cs="Calibri"/>
                <w:b/>
                <w:color w:val="FFFFFF" w:themeColor="background1"/>
                <w:szCs w:val="16"/>
              </w:rPr>
            </w:pPr>
          </w:p>
        </w:tc>
        <w:tc>
          <w:tcPr>
            <w:tcW w:w="737" w:type="dxa"/>
            <w:vMerge/>
            <w:shd w:val="clear" w:color="000000" w:fill="1B556B"/>
            <w:vAlign w:val="center"/>
          </w:tcPr>
          <w:p w14:paraId="2E2CB4AE" w14:textId="77777777" w:rsidR="00E46639" w:rsidRPr="0028033B" w:rsidRDefault="00E46639" w:rsidP="00F16E23">
            <w:pPr>
              <w:pStyle w:val="TableText"/>
              <w:spacing w:before="40" w:after="40"/>
              <w:jc w:val="center"/>
              <w:rPr>
                <w:rFonts w:cs="Calibri"/>
                <w:b/>
                <w:color w:val="FFFFFF" w:themeColor="background1"/>
                <w:szCs w:val="16"/>
              </w:rPr>
            </w:pPr>
          </w:p>
        </w:tc>
        <w:tc>
          <w:tcPr>
            <w:tcW w:w="737" w:type="dxa"/>
            <w:vMerge/>
            <w:shd w:val="clear" w:color="000000" w:fill="1B556B"/>
            <w:vAlign w:val="center"/>
          </w:tcPr>
          <w:p w14:paraId="041C3C7C" w14:textId="77777777" w:rsidR="00E46639" w:rsidRPr="0028033B" w:rsidRDefault="00E46639" w:rsidP="00F16E23">
            <w:pPr>
              <w:pStyle w:val="TableText"/>
              <w:spacing w:before="40" w:after="40"/>
              <w:jc w:val="center"/>
              <w:rPr>
                <w:rFonts w:cs="Calibri"/>
                <w:b/>
                <w:color w:val="FFFFFF" w:themeColor="background1"/>
                <w:szCs w:val="16"/>
              </w:rPr>
            </w:pPr>
          </w:p>
        </w:tc>
        <w:tc>
          <w:tcPr>
            <w:tcW w:w="886" w:type="dxa"/>
            <w:shd w:val="clear" w:color="000000" w:fill="1B556B"/>
            <w:vAlign w:val="center"/>
          </w:tcPr>
          <w:p w14:paraId="4A4924E5"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737" w:type="dxa"/>
            <w:shd w:val="clear" w:color="000000" w:fill="1B556B"/>
            <w:vAlign w:val="center"/>
          </w:tcPr>
          <w:p w14:paraId="73193E17"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w:t>
            </w:r>
          </w:p>
        </w:tc>
        <w:tc>
          <w:tcPr>
            <w:tcW w:w="886" w:type="dxa"/>
            <w:shd w:val="clear" w:color="000000" w:fill="1B556B"/>
            <w:vAlign w:val="center"/>
          </w:tcPr>
          <w:p w14:paraId="2A6FF93C"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(kt CO</w:t>
            </w:r>
            <w:r w:rsidRPr="0028033B">
              <w:rPr>
                <w:rFonts w:cs="Calibri"/>
                <w:b/>
                <w:color w:val="FFFFFF" w:themeColor="background1"/>
                <w:szCs w:val="16"/>
                <w:vertAlign w:val="subscript"/>
              </w:rPr>
              <w:t>2</w:t>
            </w:r>
            <w:r w:rsidRPr="0028033B">
              <w:rPr>
                <w:rFonts w:cs="Calibri"/>
                <w:b/>
                <w:color w:val="FFFFFF" w:themeColor="background1"/>
                <w:szCs w:val="16"/>
              </w:rPr>
              <w:t>e)</w:t>
            </w:r>
          </w:p>
        </w:tc>
        <w:tc>
          <w:tcPr>
            <w:tcW w:w="885" w:type="dxa"/>
            <w:shd w:val="clear" w:color="000000" w:fill="1B556B"/>
            <w:vAlign w:val="center"/>
          </w:tcPr>
          <w:p w14:paraId="24B93676" w14:textId="77777777" w:rsidR="00E46639" w:rsidRPr="0028033B" w:rsidRDefault="00E46639" w:rsidP="00F16E23">
            <w:pPr>
              <w:pStyle w:val="TableText"/>
              <w:spacing w:before="40" w:after="40"/>
              <w:jc w:val="center"/>
              <w:rPr>
                <w:rFonts w:cs="Calibri"/>
                <w:b/>
                <w:color w:val="FFFFFF" w:themeColor="background1"/>
                <w:szCs w:val="16"/>
              </w:rPr>
            </w:pPr>
            <w:r w:rsidRPr="0028033B">
              <w:rPr>
                <w:rFonts w:cs="Calibri"/>
                <w:b/>
                <w:color w:val="FFFFFF" w:themeColor="background1"/>
                <w:szCs w:val="16"/>
              </w:rPr>
              <w:t>(%)</w:t>
            </w:r>
          </w:p>
        </w:tc>
      </w:tr>
      <w:tr w:rsidR="000D531C" w:rsidRPr="0028033B" w14:paraId="6DABAFCB" w14:textId="77777777" w:rsidTr="000D531C">
        <w:tc>
          <w:tcPr>
            <w:tcW w:w="1276" w:type="dxa"/>
            <w:vMerge w:val="restart"/>
            <w:vAlign w:val="center"/>
          </w:tcPr>
          <w:p w14:paraId="5418A038"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 xml:space="preserve">Total emissions from </w:t>
            </w:r>
            <w:r w:rsidRPr="0028033B">
              <w:rPr>
                <w:rFonts w:cs="Calibri"/>
                <w:i/>
                <w:color w:val="000000" w:themeColor="text1"/>
                <w:szCs w:val="16"/>
              </w:rPr>
              <w:t>Agricultural soils</w:t>
            </w:r>
          </w:p>
        </w:tc>
        <w:tc>
          <w:tcPr>
            <w:tcW w:w="1531" w:type="dxa"/>
            <w:vAlign w:val="center"/>
          </w:tcPr>
          <w:p w14:paraId="4FC756D7"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2025 (1990–2023) emissions estimate</w:t>
            </w:r>
          </w:p>
        </w:tc>
        <w:tc>
          <w:tcPr>
            <w:tcW w:w="737" w:type="dxa"/>
            <w:vAlign w:val="bottom"/>
          </w:tcPr>
          <w:p w14:paraId="2D5B4F6C" w14:textId="77777777" w:rsidR="00E46639" w:rsidRPr="0028033B" w:rsidRDefault="00E46639" w:rsidP="00396F17">
            <w:pPr>
              <w:pStyle w:val="TableText"/>
              <w:spacing w:before="40" w:after="40"/>
              <w:jc w:val="right"/>
            </w:pPr>
            <w:r w:rsidRPr="0028033B">
              <w:rPr>
                <w:rFonts w:cs="Calibri"/>
                <w:szCs w:val="16"/>
              </w:rPr>
              <w:t>4,655.1</w:t>
            </w:r>
          </w:p>
        </w:tc>
        <w:tc>
          <w:tcPr>
            <w:tcW w:w="737" w:type="dxa"/>
            <w:vAlign w:val="bottom"/>
          </w:tcPr>
          <w:p w14:paraId="2302A97E" w14:textId="77777777" w:rsidR="00E46639" w:rsidRPr="0028033B" w:rsidRDefault="00E46639" w:rsidP="00396F17">
            <w:pPr>
              <w:pStyle w:val="TableText"/>
              <w:spacing w:before="40" w:after="40"/>
              <w:jc w:val="right"/>
              <w:rPr>
                <w:rFonts w:cs="Calibri"/>
                <w:szCs w:val="16"/>
              </w:rPr>
            </w:pPr>
            <w:r w:rsidRPr="0028033B">
              <w:rPr>
                <w:rFonts w:cs="Calibri"/>
                <w:szCs w:val="16"/>
              </w:rPr>
              <w:t>6,443.9</w:t>
            </w:r>
          </w:p>
        </w:tc>
        <w:tc>
          <w:tcPr>
            <w:tcW w:w="737" w:type="dxa"/>
            <w:vAlign w:val="bottom"/>
          </w:tcPr>
          <w:p w14:paraId="382D16A6" w14:textId="77777777" w:rsidR="00E46639" w:rsidRPr="0028033B" w:rsidRDefault="00E46639" w:rsidP="00396F17">
            <w:pPr>
              <w:pStyle w:val="TableText"/>
              <w:spacing w:before="40" w:after="40"/>
              <w:jc w:val="right"/>
            </w:pPr>
            <w:r w:rsidRPr="0028033B">
              <w:rPr>
                <w:rFonts w:cs="Calibri"/>
                <w:szCs w:val="16"/>
              </w:rPr>
              <w:t>6,372.4</w:t>
            </w:r>
          </w:p>
        </w:tc>
        <w:tc>
          <w:tcPr>
            <w:tcW w:w="886" w:type="dxa"/>
            <w:vAlign w:val="bottom"/>
          </w:tcPr>
          <w:p w14:paraId="34CAA9E9" w14:textId="77777777" w:rsidR="00E46639" w:rsidRPr="0028033B" w:rsidRDefault="00E46639" w:rsidP="00396F17">
            <w:pPr>
              <w:pStyle w:val="TableText"/>
              <w:spacing w:before="40" w:after="40"/>
              <w:jc w:val="right"/>
            </w:pPr>
            <w:r w:rsidRPr="0028033B">
              <w:rPr>
                <w:rFonts w:cs="Calibri"/>
                <w:szCs w:val="16"/>
              </w:rPr>
              <w:t>1,717.3</w:t>
            </w:r>
          </w:p>
        </w:tc>
        <w:tc>
          <w:tcPr>
            <w:tcW w:w="737" w:type="dxa"/>
            <w:vAlign w:val="bottom"/>
          </w:tcPr>
          <w:p w14:paraId="5DE50DAF" w14:textId="77777777" w:rsidR="00E46639" w:rsidRPr="0028033B" w:rsidRDefault="00E46639" w:rsidP="00396F17">
            <w:pPr>
              <w:pStyle w:val="TableText"/>
              <w:spacing w:before="40" w:after="40"/>
              <w:jc w:val="right"/>
            </w:pPr>
            <w:r w:rsidRPr="0028033B">
              <w:rPr>
                <w:rFonts w:cs="Calibri"/>
                <w:szCs w:val="16"/>
              </w:rPr>
              <w:t>36.9</w:t>
            </w:r>
          </w:p>
        </w:tc>
        <w:tc>
          <w:tcPr>
            <w:tcW w:w="886" w:type="dxa"/>
            <w:vAlign w:val="bottom"/>
          </w:tcPr>
          <w:p w14:paraId="374ADBB3" w14:textId="77777777" w:rsidR="00E46639" w:rsidRPr="0028033B" w:rsidRDefault="00E46639" w:rsidP="00396F17">
            <w:pPr>
              <w:pStyle w:val="TableText"/>
              <w:spacing w:before="40" w:after="40"/>
              <w:jc w:val="right"/>
              <w:rPr>
                <w:rFonts w:cs="Calibri"/>
                <w:szCs w:val="16"/>
              </w:rPr>
            </w:pPr>
            <w:r w:rsidRPr="0028033B">
              <w:rPr>
                <w:rFonts w:cs="Calibri"/>
                <w:szCs w:val="16"/>
              </w:rPr>
              <w:t>-71.5</w:t>
            </w:r>
          </w:p>
        </w:tc>
        <w:tc>
          <w:tcPr>
            <w:tcW w:w="885" w:type="dxa"/>
            <w:vAlign w:val="bottom"/>
          </w:tcPr>
          <w:p w14:paraId="4DDB35CC" w14:textId="77777777" w:rsidR="00E46639" w:rsidRPr="0028033B" w:rsidRDefault="00E46639" w:rsidP="00396F17">
            <w:pPr>
              <w:pStyle w:val="TableText"/>
              <w:spacing w:before="40" w:after="40"/>
              <w:jc w:val="right"/>
              <w:rPr>
                <w:rFonts w:cs="Calibri"/>
                <w:szCs w:val="16"/>
              </w:rPr>
            </w:pPr>
            <w:r w:rsidRPr="0028033B">
              <w:rPr>
                <w:rFonts w:cs="Calibri"/>
                <w:szCs w:val="16"/>
              </w:rPr>
              <w:t>-1.1</w:t>
            </w:r>
          </w:p>
        </w:tc>
      </w:tr>
      <w:tr w:rsidR="000D531C" w:rsidRPr="0028033B" w14:paraId="4F2EC6A9" w14:textId="77777777" w:rsidTr="000D531C">
        <w:tc>
          <w:tcPr>
            <w:tcW w:w="1276" w:type="dxa"/>
            <w:vMerge/>
            <w:vAlign w:val="center"/>
          </w:tcPr>
          <w:p w14:paraId="6E83F308" w14:textId="77777777" w:rsidR="00E46639" w:rsidRPr="0028033B" w:rsidRDefault="00E46639" w:rsidP="00F16E23">
            <w:pPr>
              <w:pStyle w:val="TableText"/>
              <w:spacing w:before="40" w:after="40"/>
              <w:rPr>
                <w:color w:val="000000" w:themeColor="text1"/>
              </w:rPr>
            </w:pPr>
          </w:p>
        </w:tc>
        <w:tc>
          <w:tcPr>
            <w:tcW w:w="1531" w:type="dxa"/>
            <w:vAlign w:val="center"/>
          </w:tcPr>
          <w:p w14:paraId="570F7683" w14:textId="77777777" w:rsidR="00E46639" w:rsidRPr="0028033B" w:rsidRDefault="00E46639" w:rsidP="00F16E23">
            <w:pPr>
              <w:pStyle w:val="TableText"/>
              <w:spacing w:before="40" w:after="40"/>
              <w:rPr>
                <w:rFonts w:cs="Calibri"/>
                <w:i/>
                <w:color w:val="000000" w:themeColor="text1"/>
                <w:szCs w:val="16"/>
              </w:rPr>
            </w:pPr>
            <w:r w:rsidRPr="0028033B">
              <w:rPr>
                <w:rFonts w:cs="Calibri"/>
                <w:color w:val="000000" w:themeColor="text1"/>
                <w:szCs w:val="16"/>
              </w:rPr>
              <w:t xml:space="preserve">2025 (1990–2023) emissions estimate </w:t>
            </w:r>
            <w:r w:rsidRPr="0028033B">
              <w:rPr>
                <w:rFonts w:cs="Calibri"/>
                <w:i/>
                <w:color w:val="000000" w:themeColor="text1"/>
                <w:szCs w:val="16"/>
              </w:rPr>
              <w:t>with</w:t>
            </w:r>
            <w:r w:rsidRPr="0028033B">
              <w:rPr>
                <w:rFonts w:cs="Calibri"/>
                <w:color w:val="000000" w:themeColor="text1"/>
                <w:szCs w:val="16"/>
              </w:rPr>
              <w:t xml:space="preserve"> </w:t>
            </w:r>
            <w:r w:rsidRPr="0028033B">
              <w:rPr>
                <w:rFonts w:cs="Calibri"/>
                <w:i/>
                <w:color w:val="000000" w:themeColor="text1"/>
                <w:szCs w:val="16"/>
              </w:rPr>
              <w:t>corrections</w:t>
            </w:r>
          </w:p>
        </w:tc>
        <w:tc>
          <w:tcPr>
            <w:tcW w:w="737" w:type="dxa"/>
            <w:vAlign w:val="bottom"/>
          </w:tcPr>
          <w:p w14:paraId="07425C21" w14:textId="77777777" w:rsidR="00E46639" w:rsidRPr="0028033B" w:rsidRDefault="00E46639" w:rsidP="00396F17">
            <w:pPr>
              <w:pStyle w:val="TableText"/>
              <w:spacing w:before="40" w:after="40"/>
              <w:jc w:val="right"/>
            </w:pPr>
            <w:r w:rsidRPr="0028033B">
              <w:rPr>
                <w:rFonts w:cs="Calibri"/>
                <w:szCs w:val="16"/>
              </w:rPr>
              <w:t>4,640.8</w:t>
            </w:r>
          </w:p>
        </w:tc>
        <w:tc>
          <w:tcPr>
            <w:tcW w:w="737" w:type="dxa"/>
            <w:vAlign w:val="bottom"/>
          </w:tcPr>
          <w:p w14:paraId="17D51DFB" w14:textId="77777777" w:rsidR="00E46639" w:rsidRPr="0028033B" w:rsidRDefault="00E46639" w:rsidP="00396F17">
            <w:pPr>
              <w:pStyle w:val="TableText"/>
              <w:spacing w:before="40" w:after="40"/>
              <w:jc w:val="right"/>
              <w:rPr>
                <w:rFonts w:cs="Calibri"/>
                <w:szCs w:val="16"/>
              </w:rPr>
            </w:pPr>
            <w:r w:rsidRPr="0028033B">
              <w:rPr>
                <w:rFonts w:cs="Calibri"/>
                <w:szCs w:val="16"/>
              </w:rPr>
              <w:t>6,430.0</w:t>
            </w:r>
          </w:p>
        </w:tc>
        <w:tc>
          <w:tcPr>
            <w:tcW w:w="737" w:type="dxa"/>
            <w:vAlign w:val="bottom"/>
          </w:tcPr>
          <w:p w14:paraId="65EBDE4E" w14:textId="77777777" w:rsidR="00E46639" w:rsidRPr="0028033B" w:rsidRDefault="00E46639" w:rsidP="00396F17">
            <w:pPr>
              <w:pStyle w:val="TableText"/>
              <w:spacing w:before="40" w:after="40"/>
              <w:jc w:val="right"/>
            </w:pPr>
            <w:r w:rsidRPr="0028033B">
              <w:rPr>
                <w:rFonts w:cs="Calibri"/>
                <w:szCs w:val="16"/>
              </w:rPr>
              <w:t>6,360.1</w:t>
            </w:r>
          </w:p>
        </w:tc>
        <w:tc>
          <w:tcPr>
            <w:tcW w:w="886" w:type="dxa"/>
            <w:vAlign w:val="bottom"/>
          </w:tcPr>
          <w:p w14:paraId="24BC320D" w14:textId="77777777" w:rsidR="00E46639" w:rsidRPr="0028033B" w:rsidRDefault="00E46639" w:rsidP="00396F17">
            <w:pPr>
              <w:pStyle w:val="TableText"/>
              <w:spacing w:before="40" w:after="40"/>
              <w:jc w:val="right"/>
            </w:pPr>
            <w:r w:rsidRPr="0028033B">
              <w:rPr>
                <w:rFonts w:cs="Calibri"/>
                <w:szCs w:val="16"/>
              </w:rPr>
              <w:t>1,719.3</w:t>
            </w:r>
          </w:p>
        </w:tc>
        <w:tc>
          <w:tcPr>
            <w:tcW w:w="737" w:type="dxa"/>
            <w:vAlign w:val="bottom"/>
          </w:tcPr>
          <w:p w14:paraId="62D8DCC9" w14:textId="77777777" w:rsidR="00E46639" w:rsidRPr="0028033B" w:rsidRDefault="00E46639" w:rsidP="00396F17">
            <w:pPr>
              <w:pStyle w:val="TableText"/>
              <w:spacing w:before="40" w:after="40"/>
              <w:jc w:val="right"/>
            </w:pPr>
            <w:r w:rsidRPr="0028033B">
              <w:rPr>
                <w:rFonts w:cs="Calibri"/>
                <w:szCs w:val="16"/>
              </w:rPr>
              <w:t>37.0</w:t>
            </w:r>
          </w:p>
        </w:tc>
        <w:tc>
          <w:tcPr>
            <w:tcW w:w="886" w:type="dxa"/>
            <w:vAlign w:val="bottom"/>
          </w:tcPr>
          <w:p w14:paraId="349AF079" w14:textId="77777777" w:rsidR="00E46639" w:rsidRPr="0028033B" w:rsidRDefault="00E46639" w:rsidP="00396F17">
            <w:pPr>
              <w:pStyle w:val="TableText"/>
              <w:spacing w:before="40" w:after="40"/>
              <w:jc w:val="right"/>
              <w:rPr>
                <w:rFonts w:cs="Calibri"/>
                <w:szCs w:val="16"/>
              </w:rPr>
            </w:pPr>
            <w:r w:rsidRPr="0028033B">
              <w:rPr>
                <w:rFonts w:cs="Calibri"/>
                <w:szCs w:val="16"/>
              </w:rPr>
              <w:t>-69.9</w:t>
            </w:r>
          </w:p>
        </w:tc>
        <w:tc>
          <w:tcPr>
            <w:tcW w:w="885" w:type="dxa"/>
            <w:vAlign w:val="bottom"/>
          </w:tcPr>
          <w:p w14:paraId="3708298D" w14:textId="77777777" w:rsidR="00E46639" w:rsidRPr="0028033B" w:rsidRDefault="00E46639" w:rsidP="00396F17">
            <w:pPr>
              <w:pStyle w:val="TableText"/>
              <w:spacing w:before="40" w:after="40"/>
              <w:jc w:val="right"/>
              <w:rPr>
                <w:rFonts w:cs="Calibri"/>
                <w:szCs w:val="16"/>
              </w:rPr>
            </w:pPr>
            <w:r w:rsidRPr="0028033B">
              <w:rPr>
                <w:rFonts w:cs="Calibri"/>
                <w:szCs w:val="16"/>
              </w:rPr>
              <w:t>-1.1</w:t>
            </w:r>
          </w:p>
        </w:tc>
      </w:tr>
      <w:tr w:rsidR="000D531C" w:rsidRPr="0028033B" w14:paraId="660D9B51" w14:textId="77777777" w:rsidTr="000D531C">
        <w:tc>
          <w:tcPr>
            <w:tcW w:w="1276" w:type="dxa"/>
            <w:vMerge/>
            <w:vAlign w:val="center"/>
          </w:tcPr>
          <w:p w14:paraId="50882353" w14:textId="77777777" w:rsidR="00E46639" w:rsidRPr="0028033B" w:rsidRDefault="00E46639" w:rsidP="00F16E23">
            <w:pPr>
              <w:pStyle w:val="TableText"/>
              <w:spacing w:before="40" w:after="40"/>
              <w:rPr>
                <w:color w:val="000000" w:themeColor="text1"/>
              </w:rPr>
            </w:pPr>
          </w:p>
        </w:tc>
        <w:tc>
          <w:tcPr>
            <w:tcW w:w="1531" w:type="dxa"/>
            <w:vAlign w:val="center"/>
          </w:tcPr>
          <w:p w14:paraId="11C01081"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Difference in emissions estimates</w:t>
            </w:r>
          </w:p>
        </w:tc>
        <w:tc>
          <w:tcPr>
            <w:tcW w:w="737" w:type="dxa"/>
            <w:vAlign w:val="bottom"/>
          </w:tcPr>
          <w:p w14:paraId="1045E72E" w14:textId="77777777" w:rsidR="00E46639" w:rsidRPr="0028033B" w:rsidRDefault="00E46639" w:rsidP="00AD46CB">
            <w:pPr>
              <w:pStyle w:val="TableText"/>
              <w:spacing w:before="40" w:after="40"/>
              <w:jc w:val="right"/>
            </w:pPr>
            <w:r w:rsidRPr="0028033B">
              <w:rPr>
                <w:rFonts w:cs="Calibri"/>
                <w:szCs w:val="16"/>
              </w:rPr>
              <w:t>-14.3</w:t>
            </w:r>
          </w:p>
        </w:tc>
        <w:tc>
          <w:tcPr>
            <w:tcW w:w="737" w:type="dxa"/>
            <w:vAlign w:val="bottom"/>
          </w:tcPr>
          <w:p w14:paraId="64C279AB" w14:textId="77777777" w:rsidR="00E46639" w:rsidRPr="0028033B" w:rsidRDefault="00E46639" w:rsidP="00AD46CB">
            <w:pPr>
              <w:pStyle w:val="TableText"/>
              <w:spacing w:before="40" w:after="40"/>
              <w:jc w:val="right"/>
              <w:rPr>
                <w:rFonts w:cs="Calibri"/>
                <w:szCs w:val="16"/>
              </w:rPr>
            </w:pPr>
            <w:r w:rsidRPr="0028033B">
              <w:rPr>
                <w:rFonts w:cs="Calibri"/>
                <w:szCs w:val="16"/>
              </w:rPr>
              <w:t>-13.9</w:t>
            </w:r>
          </w:p>
        </w:tc>
        <w:tc>
          <w:tcPr>
            <w:tcW w:w="737" w:type="dxa"/>
            <w:vAlign w:val="bottom"/>
          </w:tcPr>
          <w:p w14:paraId="13C28A89" w14:textId="77777777" w:rsidR="00E46639" w:rsidRPr="0028033B" w:rsidRDefault="00E46639" w:rsidP="00AD46CB">
            <w:pPr>
              <w:pStyle w:val="TableText"/>
              <w:spacing w:before="40" w:after="40"/>
              <w:jc w:val="right"/>
            </w:pPr>
            <w:r w:rsidRPr="0028033B">
              <w:rPr>
                <w:rFonts w:cs="Calibri"/>
                <w:szCs w:val="16"/>
              </w:rPr>
              <w:t>-12.3</w:t>
            </w:r>
          </w:p>
        </w:tc>
        <w:tc>
          <w:tcPr>
            <w:tcW w:w="886" w:type="dxa"/>
            <w:vAlign w:val="bottom"/>
          </w:tcPr>
          <w:p w14:paraId="29497573" w14:textId="77777777" w:rsidR="00E46639" w:rsidRPr="0028033B" w:rsidRDefault="00E46639" w:rsidP="00F16E23">
            <w:pPr>
              <w:pStyle w:val="TableText"/>
              <w:spacing w:before="40" w:after="40"/>
              <w:jc w:val="center"/>
            </w:pPr>
            <w:r w:rsidRPr="0028033B">
              <w:rPr>
                <w:rFonts w:cs="Calibri"/>
                <w:szCs w:val="16"/>
              </w:rPr>
              <w:t> </w:t>
            </w:r>
          </w:p>
        </w:tc>
        <w:tc>
          <w:tcPr>
            <w:tcW w:w="737" w:type="dxa"/>
            <w:vAlign w:val="bottom"/>
          </w:tcPr>
          <w:p w14:paraId="022B81CA" w14:textId="77777777" w:rsidR="00E46639" w:rsidRPr="0028033B" w:rsidRDefault="00E46639" w:rsidP="00F16E23">
            <w:pPr>
              <w:pStyle w:val="TableText"/>
              <w:spacing w:before="40" w:after="40"/>
              <w:jc w:val="center"/>
            </w:pPr>
            <w:r w:rsidRPr="0028033B">
              <w:rPr>
                <w:rFonts w:cs="Calibri"/>
                <w:szCs w:val="16"/>
              </w:rPr>
              <w:t> </w:t>
            </w:r>
          </w:p>
        </w:tc>
        <w:tc>
          <w:tcPr>
            <w:tcW w:w="886" w:type="dxa"/>
            <w:vAlign w:val="bottom"/>
          </w:tcPr>
          <w:p w14:paraId="5A1EE106" w14:textId="77777777" w:rsidR="00E46639" w:rsidRPr="0028033B" w:rsidRDefault="00E46639" w:rsidP="00F16E23">
            <w:pPr>
              <w:pStyle w:val="TableText"/>
              <w:spacing w:before="40" w:after="40"/>
              <w:jc w:val="center"/>
              <w:rPr>
                <w:rFonts w:cs="Calibri"/>
                <w:szCs w:val="16"/>
              </w:rPr>
            </w:pPr>
            <w:r w:rsidRPr="0028033B">
              <w:rPr>
                <w:rFonts w:cs="Calibri"/>
                <w:szCs w:val="16"/>
              </w:rPr>
              <w:t> </w:t>
            </w:r>
          </w:p>
        </w:tc>
        <w:tc>
          <w:tcPr>
            <w:tcW w:w="885" w:type="dxa"/>
            <w:vAlign w:val="bottom"/>
          </w:tcPr>
          <w:p w14:paraId="6DAB7753" w14:textId="77777777" w:rsidR="00E46639" w:rsidRPr="0028033B" w:rsidRDefault="00E46639" w:rsidP="00F16E23">
            <w:pPr>
              <w:pStyle w:val="TableText"/>
              <w:spacing w:before="40" w:after="40"/>
              <w:jc w:val="center"/>
              <w:rPr>
                <w:rFonts w:cs="Calibri"/>
                <w:szCs w:val="16"/>
              </w:rPr>
            </w:pPr>
            <w:r w:rsidRPr="0028033B">
              <w:rPr>
                <w:rFonts w:cs="Calibri"/>
                <w:szCs w:val="16"/>
              </w:rPr>
              <w:t> </w:t>
            </w:r>
          </w:p>
        </w:tc>
      </w:tr>
      <w:tr w:rsidR="000D531C" w:rsidRPr="0028033B" w14:paraId="5A3E69AE" w14:textId="77777777" w:rsidTr="000D531C">
        <w:tc>
          <w:tcPr>
            <w:tcW w:w="1276" w:type="dxa"/>
            <w:vMerge/>
            <w:vAlign w:val="center"/>
          </w:tcPr>
          <w:p w14:paraId="330C6F7B" w14:textId="77777777" w:rsidR="00E46639" w:rsidRPr="0028033B" w:rsidRDefault="00E46639" w:rsidP="00F16E23">
            <w:pPr>
              <w:pStyle w:val="TableText"/>
              <w:spacing w:before="40" w:after="40"/>
              <w:rPr>
                <w:color w:val="000000" w:themeColor="text1"/>
              </w:rPr>
            </w:pPr>
          </w:p>
        </w:tc>
        <w:tc>
          <w:tcPr>
            <w:tcW w:w="1531" w:type="dxa"/>
            <w:vAlign w:val="center"/>
          </w:tcPr>
          <w:p w14:paraId="7F1DA197" w14:textId="77777777" w:rsidR="00E46639" w:rsidRPr="0028033B" w:rsidRDefault="00E46639" w:rsidP="00F16E23">
            <w:pPr>
              <w:pStyle w:val="TableText"/>
              <w:spacing w:before="40" w:after="40"/>
              <w:rPr>
                <w:color w:val="000000" w:themeColor="text1"/>
              </w:rPr>
            </w:pPr>
            <w:r w:rsidRPr="0028033B">
              <w:rPr>
                <w:rFonts w:cs="Calibri"/>
                <w:color w:val="000000" w:themeColor="text1"/>
                <w:szCs w:val="16"/>
              </w:rPr>
              <w:t>Percentage difference in emissions estimates (%)</w:t>
            </w:r>
          </w:p>
        </w:tc>
        <w:tc>
          <w:tcPr>
            <w:tcW w:w="737" w:type="dxa"/>
            <w:vAlign w:val="bottom"/>
          </w:tcPr>
          <w:p w14:paraId="2ECD0AE1" w14:textId="77777777" w:rsidR="00E46639" w:rsidRPr="0028033B" w:rsidRDefault="00E46639" w:rsidP="00AD46CB">
            <w:pPr>
              <w:pStyle w:val="TableText"/>
              <w:spacing w:before="40" w:after="40"/>
              <w:jc w:val="right"/>
            </w:pPr>
            <w:r w:rsidRPr="0028033B">
              <w:rPr>
                <w:rFonts w:cs="Calibri"/>
                <w:szCs w:val="16"/>
              </w:rPr>
              <w:t>-0.3</w:t>
            </w:r>
          </w:p>
        </w:tc>
        <w:tc>
          <w:tcPr>
            <w:tcW w:w="737" w:type="dxa"/>
            <w:vAlign w:val="bottom"/>
          </w:tcPr>
          <w:p w14:paraId="0B27184F" w14:textId="77777777" w:rsidR="00E46639" w:rsidRPr="0028033B" w:rsidRDefault="00E46639" w:rsidP="00AD46CB">
            <w:pPr>
              <w:pStyle w:val="TableText"/>
              <w:spacing w:before="40" w:after="40"/>
              <w:jc w:val="right"/>
              <w:rPr>
                <w:rFonts w:cs="Calibri"/>
                <w:szCs w:val="16"/>
              </w:rPr>
            </w:pPr>
            <w:r w:rsidRPr="0028033B">
              <w:rPr>
                <w:rFonts w:cs="Calibri"/>
                <w:szCs w:val="16"/>
              </w:rPr>
              <w:t>-0.2</w:t>
            </w:r>
          </w:p>
        </w:tc>
        <w:tc>
          <w:tcPr>
            <w:tcW w:w="737" w:type="dxa"/>
            <w:vAlign w:val="bottom"/>
          </w:tcPr>
          <w:p w14:paraId="75DC3582" w14:textId="77777777" w:rsidR="00E46639" w:rsidRPr="0028033B" w:rsidRDefault="00E46639" w:rsidP="00AD46CB">
            <w:pPr>
              <w:pStyle w:val="TableText"/>
              <w:spacing w:before="40" w:after="40"/>
              <w:jc w:val="right"/>
            </w:pPr>
            <w:r w:rsidRPr="0028033B">
              <w:rPr>
                <w:rFonts w:cs="Calibri"/>
                <w:szCs w:val="16"/>
              </w:rPr>
              <w:t>-0.2</w:t>
            </w:r>
          </w:p>
        </w:tc>
        <w:tc>
          <w:tcPr>
            <w:tcW w:w="886" w:type="dxa"/>
            <w:vAlign w:val="bottom"/>
          </w:tcPr>
          <w:p w14:paraId="1BFDBFE1" w14:textId="77777777" w:rsidR="00E46639" w:rsidRPr="0028033B" w:rsidRDefault="00E46639" w:rsidP="00F16E23">
            <w:pPr>
              <w:pStyle w:val="TableText"/>
              <w:spacing w:before="40" w:after="40"/>
              <w:jc w:val="center"/>
            </w:pPr>
            <w:r w:rsidRPr="0028033B">
              <w:rPr>
                <w:rFonts w:cs="Calibri"/>
                <w:szCs w:val="16"/>
              </w:rPr>
              <w:t> </w:t>
            </w:r>
          </w:p>
        </w:tc>
        <w:tc>
          <w:tcPr>
            <w:tcW w:w="737" w:type="dxa"/>
            <w:vAlign w:val="bottom"/>
          </w:tcPr>
          <w:p w14:paraId="70B6D3C2" w14:textId="77777777" w:rsidR="00E46639" w:rsidRPr="0028033B" w:rsidRDefault="00E46639" w:rsidP="00F16E23">
            <w:pPr>
              <w:pStyle w:val="TableText"/>
              <w:spacing w:before="40" w:after="40"/>
              <w:jc w:val="center"/>
            </w:pPr>
            <w:r w:rsidRPr="0028033B">
              <w:rPr>
                <w:rFonts w:cs="Calibri"/>
                <w:szCs w:val="16"/>
              </w:rPr>
              <w:t> </w:t>
            </w:r>
          </w:p>
        </w:tc>
        <w:tc>
          <w:tcPr>
            <w:tcW w:w="886" w:type="dxa"/>
            <w:vAlign w:val="bottom"/>
          </w:tcPr>
          <w:p w14:paraId="30E69C15" w14:textId="77777777" w:rsidR="00E46639" w:rsidRPr="0028033B" w:rsidRDefault="00E46639" w:rsidP="00F16E23">
            <w:pPr>
              <w:pStyle w:val="TableText"/>
              <w:spacing w:before="40" w:after="40"/>
              <w:jc w:val="center"/>
              <w:rPr>
                <w:rFonts w:cs="Calibri"/>
                <w:szCs w:val="16"/>
              </w:rPr>
            </w:pPr>
            <w:r w:rsidRPr="0028033B">
              <w:rPr>
                <w:rFonts w:cs="Calibri"/>
                <w:szCs w:val="16"/>
              </w:rPr>
              <w:t> </w:t>
            </w:r>
          </w:p>
        </w:tc>
        <w:tc>
          <w:tcPr>
            <w:tcW w:w="885" w:type="dxa"/>
            <w:vAlign w:val="bottom"/>
          </w:tcPr>
          <w:p w14:paraId="19FEACF8" w14:textId="77777777" w:rsidR="00E46639" w:rsidRPr="0028033B" w:rsidRDefault="00E46639" w:rsidP="00F16E23">
            <w:pPr>
              <w:pStyle w:val="TableText"/>
              <w:spacing w:before="40" w:after="40"/>
              <w:jc w:val="center"/>
              <w:rPr>
                <w:rFonts w:cs="Calibri"/>
                <w:szCs w:val="16"/>
              </w:rPr>
            </w:pPr>
            <w:r w:rsidRPr="0028033B">
              <w:rPr>
                <w:rFonts w:cs="Calibri"/>
                <w:szCs w:val="16"/>
              </w:rPr>
              <w:t> </w:t>
            </w:r>
          </w:p>
        </w:tc>
      </w:tr>
    </w:tbl>
    <w:p w14:paraId="27690BE8" w14:textId="77777777" w:rsidR="00E46639" w:rsidRPr="0028033B" w:rsidRDefault="00E46639" w:rsidP="00E46639">
      <w:pPr>
        <w:pStyle w:val="Noteundertable"/>
        <w:spacing w:after="80"/>
        <w:rPr>
          <w:rFonts w:cs="Calibri"/>
        </w:rPr>
      </w:pPr>
      <w:r w:rsidRPr="0028033B">
        <w:rPr>
          <w:rFonts w:cs="Calibri"/>
          <w:b/>
          <w:bCs/>
        </w:rPr>
        <w:t>Note:</w:t>
      </w:r>
      <w:r w:rsidRPr="0028033B">
        <w:rPr>
          <w:rFonts w:cs="Calibri"/>
        </w:rPr>
        <w:tab/>
        <w:t>Columns may not sum due to rounding. Percentages presented are calculated from unrounded values.</w:t>
      </w:r>
    </w:p>
    <w:p w14:paraId="03FA9901" w14:textId="77777777" w:rsidR="00E46639" w:rsidRPr="0028033B" w:rsidRDefault="00E46639" w:rsidP="00E46639">
      <w:pPr>
        <w:pStyle w:val="Heading3"/>
      </w:pPr>
      <w:r w:rsidRPr="0028033B">
        <w:t>5.5.6</w:t>
      </w:r>
      <w:r w:rsidRPr="0028033B">
        <w:tab/>
        <w:t>Category-specific planned improvements</w:t>
      </w:r>
      <w:bookmarkEnd w:id="1365"/>
      <w:r w:rsidRPr="0028033B">
        <w:t xml:space="preserve"> </w:t>
      </w:r>
    </w:p>
    <w:p w14:paraId="3FCC670C" w14:textId="77777777" w:rsidR="00E46639" w:rsidRPr="0028033B" w:rsidRDefault="00E46639" w:rsidP="00E46639">
      <w:pPr>
        <w:pStyle w:val="BodyText"/>
        <w:keepLines/>
        <w:spacing w:before="80" w:after="100"/>
        <w:rPr>
          <w:rFonts w:cs="Calibri"/>
        </w:rPr>
      </w:pPr>
      <w:r w:rsidRPr="0028033B">
        <w:rPr>
          <w:rFonts w:cs="Calibri"/>
          <w:spacing w:val="-2"/>
        </w:rPr>
        <w:t>New Zealand</w:t>
      </w:r>
      <w:r w:rsidRPr="0028033B">
        <w:rPr>
          <w:rFonts w:cs="Calibri"/>
        </w:rPr>
        <w:t xml:space="preserve"> is carrying out ongoing research to improve estimates of N</w:t>
      </w:r>
      <w:r w:rsidRPr="0028033B">
        <w:rPr>
          <w:rFonts w:cs="Calibri"/>
          <w:vertAlign w:val="subscript"/>
        </w:rPr>
        <w:t>2</w:t>
      </w:r>
      <w:r w:rsidRPr="0028033B">
        <w:rPr>
          <w:rFonts w:cs="Calibri"/>
        </w:rPr>
        <w:t>O emissions from the </w:t>
      </w:r>
      <w:r w:rsidRPr="0028033B">
        <w:rPr>
          <w:rFonts w:cs="Calibri"/>
          <w:i/>
          <w:iCs/>
        </w:rPr>
        <w:t>Agricultural soils</w:t>
      </w:r>
      <w:r w:rsidRPr="0028033B">
        <w:rPr>
          <w:rFonts w:cs="Calibri"/>
        </w:rPr>
        <w:t xml:space="preserve"> category. </w:t>
      </w:r>
      <w:bookmarkStart w:id="1372" w:name="_Hlk61527169"/>
      <w:r w:rsidRPr="0028033B">
        <w:rPr>
          <w:rFonts w:cs="Calibri"/>
        </w:rPr>
        <w:t xml:space="preserve">The projects described below outline research focused specifically on the </w:t>
      </w:r>
      <w:r w:rsidRPr="0028033B">
        <w:rPr>
          <w:rFonts w:cs="Calibri"/>
          <w:i/>
          <w:iCs/>
        </w:rPr>
        <w:t>Agricultural soils</w:t>
      </w:r>
      <w:r w:rsidRPr="0028033B">
        <w:rPr>
          <w:rFonts w:cs="Calibri"/>
        </w:rPr>
        <w:t xml:space="preserve"> component of the Agriculture inventory sector. Several cross-cutting, broader projects that will improve the accuracy of emissions in multiple categories (including </w:t>
      </w:r>
      <w:r w:rsidRPr="0028033B">
        <w:rPr>
          <w:rFonts w:cs="Calibri"/>
          <w:i/>
        </w:rPr>
        <w:t>Enteric fermentation</w:t>
      </w:r>
      <w:r w:rsidRPr="0028033B">
        <w:rPr>
          <w:rFonts w:cs="Calibri"/>
        </w:rPr>
        <w:t xml:space="preserve">, </w:t>
      </w:r>
      <w:r w:rsidRPr="0028033B">
        <w:rPr>
          <w:rFonts w:cs="Calibri"/>
          <w:i/>
        </w:rPr>
        <w:t>Manure management</w:t>
      </w:r>
      <w:r w:rsidRPr="0028033B">
        <w:rPr>
          <w:rFonts w:cs="Calibri"/>
        </w:rPr>
        <w:t xml:space="preserve"> and </w:t>
      </w:r>
      <w:r w:rsidRPr="0028033B">
        <w:rPr>
          <w:rFonts w:cs="Calibri"/>
          <w:i/>
          <w:iCs/>
        </w:rPr>
        <w:t>Agricultural soils</w:t>
      </w:r>
      <w:r w:rsidRPr="0028033B">
        <w:rPr>
          <w:rFonts w:cs="Calibri"/>
        </w:rPr>
        <w:t>) are described in section 5.1.7.</w:t>
      </w:r>
      <w:bookmarkEnd w:id="1372"/>
    </w:p>
    <w:p w14:paraId="1F9A0D3B" w14:textId="77777777" w:rsidR="00E46639" w:rsidRPr="0028033B" w:rsidRDefault="00E46639" w:rsidP="00E46639">
      <w:pPr>
        <w:pStyle w:val="Heading5"/>
        <w:spacing w:before="220"/>
      </w:pPr>
      <w:r w:rsidRPr="0028033B">
        <w:t>Nitrous oxide</w:t>
      </w:r>
      <w:r w:rsidRPr="0028033B" w:rsidDel="00637A3F">
        <w:t xml:space="preserve"> </w:t>
      </w:r>
      <w:r w:rsidRPr="0028033B">
        <w:t>emissions from nitrogen fertilisers</w:t>
      </w:r>
    </w:p>
    <w:p w14:paraId="73FA4A0D" w14:textId="77777777" w:rsidR="00E46639" w:rsidRPr="0028033B" w:rsidRDefault="00E46639" w:rsidP="00E46639">
      <w:pPr>
        <w:pStyle w:val="BodyText"/>
        <w:spacing w:before="80" w:after="100"/>
        <w:rPr>
          <w:rFonts w:cs="Calibri"/>
        </w:rPr>
      </w:pPr>
      <w:r w:rsidRPr="0028033B">
        <w:t xml:space="preserve">This research project will investigate whether more disaggregated emission factors for different types of </w:t>
      </w:r>
      <w:r w:rsidRPr="0028033B">
        <w:rPr>
          <w:spacing w:val="-2"/>
        </w:rPr>
        <w:t>nitrogen fertilisers are needed. The Agriculture inventory model estimates direct N</w:t>
      </w:r>
      <w:r w:rsidRPr="0028033B">
        <w:rPr>
          <w:spacing w:val="-2"/>
          <w:vertAlign w:val="subscript"/>
        </w:rPr>
        <w:t>2</w:t>
      </w:r>
      <w:r w:rsidRPr="0028033B">
        <w:rPr>
          <w:spacing w:val="-2"/>
        </w:rPr>
        <w:t>O emission</w:t>
      </w:r>
      <w:r w:rsidRPr="0028033B">
        <w:t>s from the application of synthetic nitrogen fertiliser, and currently has separate emission factor (EF</w:t>
      </w:r>
      <w:r w:rsidRPr="0028033B">
        <w:rPr>
          <w:vertAlign w:val="subscript"/>
        </w:rPr>
        <w:t>1</w:t>
      </w:r>
      <w:r w:rsidRPr="0028033B">
        <w:t xml:space="preserve">) values for urea and non-urea fertiliser. The field trials were completed in 2024, with the results to be added to a wider meta-analysis (including Irish research partners) before any recommendations are made. </w:t>
      </w:r>
    </w:p>
    <w:p w14:paraId="63F7C8B6" w14:textId="77777777" w:rsidR="00E46639" w:rsidRPr="0028033B" w:rsidRDefault="00E46639" w:rsidP="00E46639">
      <w:pPr>
        <w:pStyle w:val="Heading5"/>
        <w:spacing w:before="220"/>
      </w:pPr>
      <w:r w:rsidRPr="0028033B">
        <w:t>Measurements of nitrous oxide emissions in spring and summer to develop EF</w:t>
      </w:r>
      <w:r w:rsidRPr="0028033B">
        <w:rPr>
          <w:vertAlign w:val="subscript"/>
        </w:rPr>
        <w:t>3</w:t>
      </w:r>
      <w:r w:rsidRPr="0028033B">
        <w:t xml:space="preserve"> values that vary by season</w:t>
      </w:r>
    </w:p>
    <w:p w14:paraId="33DBCEDA" w14:textId="77777777" w:rsidR="00E46639" w:rsidRPr="0028033B" w:rsidRDefault="00E46639" w:rsidP="00E46639">
      <w:pPr>
        <w:pStyle w:val="BodyText"/>
        <w:spacing w:before="80" w:after="100"/>
      </w:pPr>
      <w:r w:rsidRPr="0028033B">
        <w:t>The database used to produce country-specific N</w:t>
      </w:r>
      <w:r w:rsidRPr="0028033B">
        <w:rPr>
          <w:vertAlign w:val="subscript"/>
        </w:rPr>
        <w:t>2</w:t>
      </w:r>
      <w:r w:rsidRPr="0028033B">
        <w:t>O EF</w:t>
      </w:r>
      <w:r w:rsidRPr="0028033B">
        <w:rPr>
          <w:vertAlign w:val="subscript"/>
        </w:rPr>
        <w:t>3</w:t>
      </w:r>
      <w:r w:rsidRPr="0028033B">
        <w:t xml:space="preserve"> values has historically been unbalanced by season, with (prior to this research) summer data representing only 11 percent of the dataset and spring data also being partially under-represented. A series of summer and spring-based N</w:t>
      </w:r>
      <w:r w:rsidRPr="0028033B">
        <w:rPr>
          <w:vertAlign w:val="subscript"/>
        </w:rPr>
        <w:t>2</w:t>
      </w:r>
      <w:r w:rsidRPr="0028033B">
        <w:t>O EF</w:t>
      </w:r>
      <w:r w:rsidRPr="0028033B">
        <w:rPr>
          <w:vertAlign w:val="subscript"/>
        </w:rPr>
        <w:t>3</w:t>
      </w:r>
      <w:r w:rsidRPr="0028033B">
        <w:t xml:space="preserve"> field studies across </w:t>
      </w:r>
      <w:r w:rsidRPr="0028033B" w:rsidDel="006E4AE7">
        <w:rPr>
          <w:rFonts w:cs="Calibri"/>
          <w:spacing w:val="-2"/>
        </w:rPr>
        <w:t xml:space="preserve">New </w:t>
      </w:r>
      <w:r w:rsidRPr="0028033B">
        <w:rPr>
          <w:rFonts w:cs="Calibri"/>
          <w:spacing w:val="-2"/>
        </w:rPr>
        <w:t>Zealand</w:t>
      </w:r>
      <w:r w:rsidRPr="0028033B">
        <w:t xml:space="preserve"> was conducted, with key soil and climate data also reported on. The MPI Agriculture inventory team is reviewing the findings of this work, which may inform future inventory improvements. In addition, this research has expanded on the collection of the existing set of soil and climate data, which will be used for future development of Tier 3 emissions factors via processed-based </w:t>
      </w:r>
      <w:r w:rsidRPr="0028033B">
        <w:rPr>
          <w:spacing w:val="-2"/>
        </w:rPr>
        <w:t>N</w:t>
      </w:r>
      <w:r w:rsidRPr="0028033B">
        <w:rPr>
          <w:spacing w:val="-2"/>
          <w:vertAlign w:val="subscript"/>
        </w:rPr>
        <w:t>2</w:t>
      </w:r>
      <w:r w:rsidRPr="0028033B">
        <w:rPr>
          <w:spacing w:val="-2"/>
        </w:rPr>
        <w:t>O</w:t>
      </w:r>
      <w:r w:rsidRPr="0028033B">
        <w:t xml:space="preserve"> emissions modelling.</w:t>
      </w:r>
    </w:p>
    <w:p w14:paraId="129B47C8" w14:textId="77777777" w:rsidR="00E46639" w:rsidRPr="0028033B" w:rsidRDefault="00E46639" w:rsidP="00E46639">
      <w:pPr>
        <w:pStyle w:val="Heading5"/>
        <w:spacing w:before="220"/>
      </w:pPr>
      <w:r w:rsidRPr="0028033B">
        <w:t>Improving organic soil activity data</w:t>
      </w:r>
    </w:p>
    <w:p w14:paraId="6A1D7B2D" w14:textId="77777777" w:rsidR="00E46639" w:rsidRPr="0028033B" w:rsidRDefault="00E46639" w:rsidP="00E46639">
      <w:pPr>
        <w:pStyle w:val="BodyText"/>
        <w:spacing w:before="100" w:after="100"/>
      </w:pPr>
      <w:r w:rsidRPr="0028033B">
        <w:t xml:space="preserve">This project was focused on improving data on the area of New Zealand’s organic soils. A separate project has been commissioned by MfE looking at mineral soils. Once this research is complete, the Ministry will use the research outputs and data to update the mineral soils and organic soils components of the LULUCF inventory. </w:t>
      </w:r>
    </w:p>
    <w:p w14:paraId="080B5E0B" w14:textId="77777777" w:rsidR="00E46639" w:rsidRPr="0028033B" w:rsidRDefault="00E46639" w:rsidP="00E46639">
      <w:pPr>
        <w:pStyle w:val="Heading5"/>
      </w:pPr>
      <w:r w:rsidRPr="0028033B">
        <w:t>Developing a process-based nitrous oxide emissions model</w:t>
      </w:r>
    </w:p>
    <w:p w14:paraId="372386AA" w14:textId="77777777" w:rsidR="00E46639" w:rsidRPr="0028033B" w:rsidRDefault="00E46639" w:rsidP="00E46639">
      <w:pPr>
        <w:pStyle w:val="BodyText"/>
      </w:pPr>
      <w:r w:rsidRPr="0028033B">
        <w:t>This research will investigate the potential of a process-based N</w:t>
      </w:r>
      <w:r w:rsidRPr="0028033B">
        <w:rPr>
          <w:vertAlign w:val="subscript"/>
        </w:rPr>
        <w:t>2</w:t>
      </w:r>
      <w:r w:rsidRPr="0028033B">
        <w:t xml:space="preserve">O emissions model suitable for inventory compilation. Process-based models require more inputs (e.g., weather, soil) than the existing Tier 2 methods. Such models are also likely to have a differing sensitivity to activity data than Tier 2 methods. This project will undertake a systematic and comprehensive analysis of the needs for any process-based model and the implications (benefits and challenges, quantitatively where possible) for implementing a process-based model. </w:t>
      </w:r>
    </w:p>
    <w:p w14:paraId="68F20A36" w14:textId="77777777" w:rsidR="00E46639" w:rsidRPr="0028033B" w:rsidRDefault="00E46639" w:rsidP="00E46639">
      <w:pPr>
        <w:pStyle w:val="Heading2"/>
      </w:pPr>
      <w:bookmarkStart w:id="1373" w:name="_Toc69611743"/>
      <w:bookmarkStart w:id="1374" w:name="_Toc69612699"/>
      <w:bookmarkStart w:id="1375" w:name="_Toc69612898"/>
      <w:bookmarkStart w:id="1376" w:name="_Toc69613158"/>
      <w:bookmarkStart w:id="1377" w:name="_Toc69633322"/>
      <w:bookmarkStart w:id="1378" w:name="_Toc69717487"/>
      <w:bookmarkStart w:id="1379" w:name="_Toc69802969"/>
      <w:bookmarkStart w:id="1380" w:name="_Toc69815106"/>
      <w:bookmarkStart w:id="1381" w:name="_Toc70492399"/>
      <w:bookmarkStart w:id="1382" w:name="_Toc101310606"/>
      <w:bookmarkStart w:id="1383" w:name="_Toc101318466"/>
      <w:bookmarkStart w:id="1384" w:name="_Toc101318571"/>
      <w:bookmarkStart w:id="1385" w:name="_Toc101318755"/>
      <w:bookmarkStart w:id="1386" w:name="_Toc101334031"/>
      <w:bookmarkStart w:id="1387" w:name="_Toc134847209"/>
      <w:bookmarkStart w:id="1388" w:name="_Toc139253939"/>
      <w:bookmarkStart w:id="1389" w:name="_Toc144710417"/>
      <w:bookmarkStart w:id="1390" w:name="_Toc165890371"/>
      <w:bookmarkStart w:id="1391" w:name="_Toc195322665"/>
      <w:bookmarkStart w:id="1392" w:name="_Toc235955531"/>
      <w:bookmarkStart w:id="1393" w:name="_Toc288316644"/>
      <w:bookmarkStart w:id="1394" w:name="_Toc352504864"/>
      <w:bookmarkStart w:id="1395" w:name="_Toc448321527"/>
      <w:bookmarkStart w:id="1396" w:name="_Toc481751389"/>
      <w:bookmarkStart w:id="1397" w:name="_Toc511116604"/>
      <w:bookmarkStart w:id="1398" w:name="_Toc5269366"/>
      <w:bookmarkStart w:id="1399" w:name="_Toc32570673"/>
      <w:bookmarkStart w:id="1400" w:name="_Toc36224406"/>
      <w:bookmarkStart w:id="1401" w:name="_Toc68786326"/>
      <w:bookmarkStart w:id="1402" w:name="_Toc131591241"/>
      <w:bookmarkStart w:id="1403" w:name="_Toc164154195"/>
      <w:bookmarkStart w:id="1404" w:name="_Toc226460774"/>
      <w:r w:rsidRPr="0028033B">
        <w:rPr>
          <w:bCs/>
        </w:rPr>
        <w:t>5.6</w:t>
      </w:r>
      <w:r w:rsidRPr="0028033B">
        <w:tab/>
        <w:t>Prescribed burning of savanna (3.E)</w:t>
      </w:r>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p>
    <w:p w14:paraId="287EAD62" w14:textId="77777777" w:rsidR="00E46639" w:rsidRPr="0028033B" w:rsidRDefault="00E46639" w:rsidP="00E46639">
      <w:pPr>
        <w:pStyle w:val="Heading3"/>
        <w:spacing w:before="240"/>
      </w:pPr>
      <w:bookmarkStart w:id="1405" w:name="_Toc32570674"/>
      <w:bookmarkStart w:id="1406" w:name="_Toc139253940"/>
      <w:r w:rsidRPr="0028033B">
        <w:t>5.6.1</w:t>
      </w:r>
      <w:r w:rsidRPr="0028033B">
        <w:tab/>
        <w:t>Category description</w:t>
      </w:r>
      <w:bookmarkEnd w:id="1405"/>
    </w:p>
    <w:p w14:paraId="1ECE546E" w14:textId="77777777" w:rsidR="00E46639" w:rsidRPr="0028033B" w:rsidRDefault="00E46639" w:rsidP="00E46639">
      <w:pPr>
        <w:pStyle w:val="BodyText"/>
        <w:rPr>
          <w:rFonts w:cs="Calibri"/>
        </w:rPr>
      </w:pPr>
      <w:r w:rsidRPr="0028033B">
        <w:rPr>
          <w:rFonts w:cs="Calibri"/>
        </w:rPr>
        <w:t>Prescribed burning of savanna is reported under the LULUCF sector from the 2016 submission onwards.</w:t>
      </w:r>
    </w:p>
    <w:p w14:paraId="6C89D2E7" w14:textId="77777777" w:rsidR="00E46639" w:rsidRPr="0028033B" w:rsidRDefault="00E46639" w:rsidP="00E46639">
      <w:pPr>
        <w:pStyle w:val="Heading2"/>
        <w:spacing w:before="320"/>
      </w:pPr>
      <w:bookmarkStart w:id="1407" w:name="_Toc69611744"/>
      <w:bookmarkStart w:id="1408" w:name="_Toc69612700"/>
      <w:bookmarkStart w:id="1409" w:name="_Toc69612899"/>
      <w:bookmarkStart w:id="1410" w:name="_Toc69613159"/>
      <w:bookmarkStart w:id="1411" w:name="_Toc69633323"/>
      <w:bookmarkStart w:id="1412" w:name="_Toc69717488"/>
      <w:bookmarkStart w:id="1413" w:name="_Toc69802970"/>
      <w:bookmarkStart w:id="1414" w:name="_Toc69815107"/>
      <w:bookmarkStart w:id="1415" w:name="_Toc70492400"/>
      <w:bookmarkStart w:id="1416" w:name="_Toc101310607"/>
      <w:bookmarkStart w:id="1417" w:name="_Toc101318467"/>
      <w:bookmarkStart w:id="1418" w:name="_Toc101318572"/>
      <w:bookmarkStart w:id="1419" w:name="_Toc101318756"/>
      <w:bookmarkStart w:id="1420" w:name="_Toc101334032"/>
      <w:bookmarkStart w:id="1421" w:name="_Toc134847210"/>
      <w:bookmarkStart w:id="1422" w:name="_Toc139253945"/>
      <w:bookmarkStart w:id="1423" w:name="_Toc144710418"/>
      <w:bookmarkStart w:id="1424" w:name="_Toc165890372"/>
      <w:bookmarkStart w:id="1425" w:name="_Toc195322666"/>
      <w:bookmarkStart w:id="1426" w:name="_Toc235955532"/>
      <w:bookmarkStart w:id="1427" w:name="_Toc288316645"/>
      <w:bookmarkStart w:id="1428" w:name="_Toc352504865"/>
      <w:bookmarkStart w:id="1429" w:name="_Toc448321528"/>
      <w:bookmarkStart w:id="1430" w:name="_Toc481751390"/>
      <w:bookmarkStart w:id="1431" w:name="_Toc511116605"/>
      <w:bookmarkStart w:id="1432" w:name="_Toc5269367"/>
      <w:bookmarkStart w:id="1433" w:name="_Toc32570675"/>
      <w:bookmarkStart w:id="1434" w:name="_Toc36224407"/>
      <w:bookmarkStart w:id="1435" w:name="_Toc68786327"/>
      <w:bookmarkStart w:id="1436" w:name="_Toc131591242"/>
      <w:bookmarkStart w:id="1437" w:name="_Toc164154196"/>
      <w:bookmarkStart w:id="1438" w:name="_Toc226460775"/>
      <w:bookmarkEnd w:id="1406"/>
      <w:r w:rsidRPr="0028033B">
        <w:t>5.7</w:t>
      </w:r>
      <w:r w:rsidRPr="0028033B">
        <w:tab/>
        <w:t>Field burning of agricultural residues (3.F)</w:t>
      </w:r>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7E6CEB0A" w14:textId="77777777" w:rsidR="00E46639" w:rsidRPr="0028033B" w:rsidRDefault="00E46639" w:rsidP="00E46639">
      <w:pPr>
        <w:pStyle w:val="Heading3"/>
        <w:spacing w:before="240"/>
      </w:pPr>
      <w:bookmarkStart w:id="1439" w:name="_Toc139253946"/>
      <w:bookmarkStart w:id="1440" w:name="_Toc32570676"/>
      <w:r w:rsidRPr="0028033B">
        <w:t>5.7.1</w:t>
      </w:r>
      <w:r w:rsidRPr="0028033B">
        <w:tab/>
        <w:t>Category description</w:t>
      </w:r>
      <w:bookmarkEnd w:id="1439"/>
      <w:bookmarkEnd w:id="1440"/>
    </w:p>
    <w:p w14:paraId="3381DA0A" w14:textId="77777777" w:rsidR="00E46639" w:rsidRPr="0028033B" w:rsidRDefault="00E46639" w:rsidP="00E46639">
      <w:pPr>
        <w:pStyle w:val="BodyText"/>
        <w:spacing w:after="100"/>
        <w:rPr>
          <w:rFonts w:cs="Calibri"/>
        </w:rPr>
      </w:pPr>
      <w:r w:rsidRPr="0028033B">
        <w:rPr>
          <w:rFonts w:cs="Calibri"/>
          <w:i/>
        </w:rPr>
        <w:t>Field burning of agricultural residues</w:t>
      </w:r>
      <w:r w:rsidRPr="0028033B">
        <w:rPr>
          <w:rFonts w:cs="Calibri"/>
        </w:rPr>
        <w:t xml:space="preserve"> contributed an estimated 20.3 kt CO</w:t>
      </w:r>
      <w:r w:rsidRPr="0028033B">
        <w:rPr>
          <w:rFonts w:cs="Calibri"/>
          <w:vertAlign w:val="subscript"/>
        </w:rPr>
        <w:t>2</w:t>
      </w:r>
      <w:r w:rsidRPr="0028033B">
        <w:rPr>
          <w:rFonts w:cs="Calibri"/>
        </w:rPr>
        <w:t>e in 2024, which accounted for 0.05 percent of Agriculture sector</w:t>
      </w:r>
      <w:r w:rsidRPr="0028033B">
        <w:rPr>
          <w:rFonts w:cs="Calibri"/>
          <w:i/>
        </w:rPr>
        <w:t xml:space="preserve"> </w:t>
      </w:r>
      <w:r w:rsidRPr="0028033B">
        <w:rPr>
          <w:rFonts w:cs="Calibri"/>
        </w:rPr>
        <w:t xml:space="preserve">emissions. Emissions from </w:t>
      </w:r>
      <w:r w:rsidRPr="0028033B">
        <w:rPr>
          <w:rFonts w:cs="Calibri"/>
          <w:i/>
        </w:rPr>
        <w:t>Field burning of agricultural residues</w:t>
      </w:r>
      <w:r w:rsidRPr="0028033B">
        <w:rPr>
          <w:rFonts w:cs="Calibri"/>
        </w:rPr>
        <w:t xml:space="preserve"> decreased 31.4 percent (9.3 kt CO</w:t>
      </w:r>
      <w:r w:rsidRPr="0028033B">
        <w:rPr>
          <w:rFonts w:cs="Calibri"/>
          <w:vertAlign w:val="subscript"/>
        </w:rPr>
        <w:t>2</w:t>
      </w:r>
      <w:r w:rsidRPr="0028033B">
        <w:rPr>
          <w:rFonts w:cs="Calibri"/>
        </w:rPr>
        <w:t>e) between 1990 and 2024 and decreased 28.9 percent (8.3 kt CO</w:t>
      </w:r>
      <w:r w:rsidRPr="0028033B">
        <w:rPr>
          <w:rFonts w:cs="Calibri"/>
          <w:vertAlign w:val="subscript"/>
        </w:rPr>
        <w:t>2</w:t>
      </w:r>
      <w:r w:rsidRPr="0028033B">
        <w:rPr>
          <w:rFonts w:cs="Calibri"/>
        </w:rPr>
        <w:t xml:space="preserve">e) between 2005 and 2024. </w:t>
      </w:r>
    </w:p>
    <w:p w14:paraId="179691C5" w14:textId="77777777" w:rsidR="00E46639" w:rsidRPr="0028033B" w:rsidRDefault="00E46639" w:rsidP="00E46639">
      <w:pPr>
        <w:pStyle w:val="BodyText"/>
        <w:spacing w:after="100"/>
        <w:rPr>
          <w:rFonts w:cs="Calibri"/>
        </w:rPr>
      </w:pPr>
      <w:r w:rsidRPr="0028033B" w:rsidDel="00471472">
        <w:rPr>
          <w:rFonts w:cs="Calibri"/>
          <w:spacing w:val="-2"/>
        </w:rPr>
        <w:t xml:space="preserve">New </w:t>
      </w:r>
      <w:r w:rsidRPr="0028033B">
        <w:rPr>
          <w:rFonts w:cs="Calibri"/>
          <w:spacing w:val="-2"/>
        </w:rPr>
        <w:t>Zealand</w:t>
      </w:r>
      <w:r w:rsidRPr="0028033B">
        <w:rPr>
          <w:rFonts w:cs="Calibri"/>
        </w:rPr>
        <w:t xml:space="preserve"> reports emissions from burning barley, wheat and oats residue in this category. Maize, legume, sunflower and other crop residues are not routinely burned in </w:t>
      </w:r>
      <w:r w:rsidRPr="0028033B" w:rsidDel="00471472">
        <w:rPr>
          <w:rFonts w:cs="Calibri"/>
          <w:spacing w:val="-2"/>
        </w:rPr>
        <w:t xml:space="preserve">New </w:t>
      </w:r>
      <w:r w:rsidRPr="0028033B">
        <w:rPr>
          <w:rFonts w:cs="Calibri"/>
          <w:spacing w:val="-2"/>
        </w:rPr>
        <w:t>Zealand</w:t>
      </w:r>
      <w:r w:rsidRPr="0028033B">
        <w:rPr>
          <w:rFonts w:cs="Calibri"/>
        </w:rPr>
        <w:t xml:space="preserve">. </w:t>
      </w:r>
    </w:p>
    <w:p w14:paraId="0662E7C5" w14:textId="77777777" w:rsidR="00E46639" w:rsidRPr="0028033B" w:rsidRDefault="00E46639" w:rsidP="00E46639">
      <w:pPr>
        <w:pStyle w:val="BodyText"/>
        <w:spacing w:after="100"/>
        <w:rPr>
          <w:rFonts w:cs="Calibri"/>
        </w:rPr>
      </w:pPr>
      <w:r w:rsidRPr="0028033B">
        <w:rPr>
          <w:rFonts w:cs="Calibri"/>
        </w:rPr>
        <w:t>The area of burning of residues varies between years due to climatic conditions, fire risk restrictions and the amount of residue removed before burning straw (Thomas et al., 2012). Burning of crop residues is not considered to be a net source of CO</w:t>
      </w:r>
      <w:r w:rsidRPr="0028033B">
        <w:rPr>
          <w:rFonts w:cs="Calibri"/>
          <w:vertAlign w:val="subscript"/>
        </w:rPr>
        <w:t>2</w:t>
      </w:r>
      <w:r w:rsidRPr="0028033B">
        <w:rPr>
          <w:rFonts w:cs="Calibri"/>
        </w:rPr>
        <w:t>, because the CO</w:t>
      </w:r>
      <w:r w:rsidRPr="0028033B">
        <w:rPr>
          <w:rFonts w:cs="Calibri"/>
          <w:vertAlign w:val="subscript"/>
        </w:rPr>
        <w:t>2</w:t>
      </w:r>
      <w:r w:rsidRPr="0028033B">
        <w:rPr>
          <w:rFonts w:cs="Calibri"/>
        </w:rPr>
        <w:t xml:space="preserve"> released into the atmosphere was absorbed by those crops earlier in the year. However, burning is a source of emissions of CH</w:t>
      </w:r>
      <w:r w:rsidRPr="0028033B">
        <w:rPr>
          <w:rFonts w:cs="Calibri"/>
          <w:vertAlign w:val="subscript"/>
        </w:rPr>
        <w:t>4</w:t>
      </w:r>
      <w:r w:rsidRPr="0028033B">
        <w:rPr>
          <w:rFonts w:cs="Calibri"/>
        </w:rPr>
        <w:t>, carbon monoxide (CO), N</w:t>
      </w:r>
      <w:r w:rsidRPr="0028033B">
        <w:rPr>
          <w:rFonts w:cs="Calibri"/>
          <w:vertAlign w:val="subscript"/>
        </w:rPr>
        <w:t>2</w:t>
      </w:r>
      <w:r w:rsidRPr="0028033B">
        <w:rPr>
          <w:rFonts w:cs="Calibri"/>
        </w:rPr>
        <w:t>O and NO</w:t>
      </w:r>
      <w:r w:rsidRPr="0028033B">
        <w:rPr>
          <w:rFonts w:cs="Calibri"/>
          <w:vertAlign w:val="subscript"/>
        </w:rPr>
        <w:t>x</w:t>
      </w:r>
      <w:r w:rsidRPr="0028033B">
        <w:rPr>
          <w:rFonts w:cs="Calibri"/>
        </w:rPr>
        <w:t xml:space="preserve"> (IPCC, 2006).</w:t>
      </w:r>
    </w:p>
    <w:p w14:paraId="1B6222B2" w14:textId="77777777" w:rsidR="00E46639" w:rsidRPr="0028033B" w:rsidRDefault="00E46639" w:rsidP="00E46639">
      <w:pPr>
        <w:pStyle w:val="BodyText"/>
        <w:spacing w:after="100"/>
        <w:rPr>
          <w:rFonts w:cs="Calibri"/>
        </w:rPr>
      </w:pPr>
      <w:r w:rsidRPr="0028033B">
        <w:rPr>
          <w:rFonts w:cs="Calibri"/>
          <w:i/>
        </w:rPr>
        <w:t>Field burning of agricultural residues</w:t>
      </w:r>
      <w:r w:rsidRPr="0028033B">
        <w:rPr>
          <w:rFonts w:cs="Calibri"/>
        </w:rPr>
        <w:t xml:space="preserve"> was not identified as a key category in 2024. </w:t>
      </w:r>
    </w:p>
    <w:p w14:paraId="1ED9CE00" w14:textId="77777777" w:rsidR="00E46639" w:rsidRPr="0028033B" w:rsidRDefault="00E46639" w:rsidP="00E46639">
      <w:pPr>
        <w:pStyle w:val="Heading3"/>
        <w:spacing w:before="320"/>
      </w:pPr>
      <w:bookmarkStart w:id="1441" w:name="_Toc32570677"/>
      <w:r w:rsidRPr="0028033B">
        <w:t>5.7.2</w:t>
      </w:r>
      <w:r w:rsidRPr="0028033B">
        <w:tab/>
        <w:t>Methodological issues</w:t>
      </w:r>
      <w:bookmarkEnd w:id="1441"/>
      <w:r w:rsidRPr="0028033B">
        <w:t xml:space="preserve"> </w:t>
      </w:r>
    </w:p>
    <w:p w14:paraId="24C0867B" w14:textId="77777777" w:rsidR="00E46639" w:rsidRPr="0028033B" w:rsidRDefault="00E46639" w:rsidP="00E46639">
      <w:pPr>
        <w:pStyle w:val="BodyText"/>
        <w:rPr>
          <w:rFonts w:cs="Calibri"/>
        </w:rPr>
      </w:pPr>
      <w:r w:rsidRPr="0028033B">
        <w:rPr>
          <w:rFonts w:cs="Calibri"/>
        </w:rPr>
        <w:t xml:space="preserve">The emissions from burning agricultural residues are estimated using country-specific methodology and parameters (Thomas et al., 2011, 2012). A modification of the IPCC (1996) methodology considers differences in the available crop activity data from 1990 to 2004 compared with 2005 to 2024. </w:t>
      </w:r>
    </w:p>
    <w:p w14:paraId="08F3E42B" w14:textId="77777777" w:rsidR="00E46639" w:rsidRPr="0028033B" w:rsidRDefault="00E46639" w:rsidP="00E46639">
      <w:pPr>
        <w:pStyle w:val="BodyText"/>
        <w:spacing w:before="100" w:after="100"/>
      </w:pPr>
      <w:r w:rsidRPr="0028033B">
        <w:t>The parameters used in both estimates of emissions from crop residues and crop burning take the same country-specific values in both parts of the model. This provides consistency between the two emissions estimates for crop residue and crop burning.</w:t>
      </w:r>
    </w:p>
    <w:p w14:paraId="0F85040A" w14:textId="77777777" w:rsidR="00E46639" w:rsidRPr="0028033B" w:rsidRDefault="00E46639" w:rsidP="00E46639">
      <w:pPr>
        <w:pStyle w:val="BodyText"/>
      </w:pPr>
      <w:r w:rsidRPr="0028033B">
        <w:t>Following the IPCC (1996) methodology, CH</w:t>
      </w:r>
      <w:r w:rsidRPr="0028033B">
        <w:rPr>
          <w:vertAlign w:val="subscript"/>
        </w:rPr>
        <w:t>4</w:t>
      </w:r>
      <w:r w:rsidRPr="0028033B">
        <w:t>, CO, N</w:t>
      </w:r>
      <w:r w:rsidRPr="0028033B">
        <w:rPr>
          <w:vertAlign w:val="subscript"/>
        </w:rPr>
        <w:t>2</w:t>
      </w:r>
      <w:r w:rsidRPr="0028033B">
        <w:t>O and NO</w:t>
      </w:r>
      <w:r w:rsidRPr="0028033B">
        <w:rPr>
          <w:vertAlign w:val="subscript"/>
        </w:rPr>
        <w:t xml:space="preserve">x </w:t>
      </w:r>
      <w:r w:rsidRPr="0028033B">
        <w:t>emissions are calculated from the carbon and nitrogen released from the burned live and dead biomass residue using the ratios in table 5.7.1. The nitrogen released is derived from the carbon released using a carbon</w:t>
      </w:r>
      <w:r w:rsidRPr="0028033B">
        <w:noBreakHyphen/>
        <w:t>to-nitrogen ratio. The Agriculture inventory model also assumes that farmers generally aim to have as close to complete combustion as possible.</w:t>
      </w:r>
    </w:p>
    <w:p w14:paraId="7CF8B2DE" w14:textId="77777777" w:rsidR="00E46639" w:rsidRPr="0028033B" w:rsidRDefault="00E46639" w:rsidP="00E46639">
      <w:pPr>
        <w:pStyle w:val="Table"/>
        <w:rPr>
          <w:rFonts w:cs="Calibri"/>
        </w:rPr>
      </w:pPr>
      <w:bookmarkStart w:id="1442" w:name="_Toc352504981"/>
      <w:bookmarkStart w:id="1443" w:name="_Toc441830890"/>
      <w:bookmarkStart w:id="1444" w:name="_Toc451176104"/>
      <w:bookmarkStart w:id="1445" w:name="_Toc481751534"/>
      <w:bookmarkStart w:id="1446" w:name="_Toc507158620"/>
      <w:bookmarkStart w:id="1447" w:name="_Toc511116754"/>
      <w:bookmarkStart w:id="1448" w:name="_Toc5269496"/>
      <w:bookmarkStart w:id="1449" w:name="_Toc32570943"/>
      <w:bookmarkStart w:id="1450" w:name="_Toc36224578"/>
      <w:bookmarkStart w:id="1451" w:name="_Toc68786463"/>
      <w:bookmarkStart w:id="1452" w:name="_Toc95574094"/>
      <w:bookmarkStart w:id="1453" w:name="_Toc127458283"/>
      <w:bookmarkStart w:id="1454" w:name="_Toc131591379"/>
      <w:bookmarkStart w:id="1455" w:name="_Toc160114474"/>
      <w:bookmarkStart w:id="1456" w:name="_Toc164153870"/>
      <w:bookmarkStart w:id="1457" w:name="_Toc222407662"/>
      <w:bookmarkStart w:id="1458" w:name="_Toc226669037"/>
      <w:r w:rsidRPr="0028033B">
        <w:rPr>
          <w:rFonts w:cs="Calibri"/>
        </w:rPr>
        <w:t>Table 5.7.1</w:t>
      </w:r>
      <w:r w:rsidRPr="0028033B">
        <w:rPr>
          <w:rFonts w:cs="Calibri"/>
        </w:rPr>
        <w:tab/>
        <w:t>Emission ratios for agricultural residue burning</w:t>
      </w:r>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703"/>
        <w:gridCol w:w="2841"/>
        <w:gridCol w:w="4961"/>
      </w:tblGrid>
      <w:tr w:rsidR="00E46639" w:rsidRPr="0028033B" w14:paraId="42FE5F40" w14:textId="77777777" w:rsidTr="00F16E23">
        <w:tc>
          <w:tcPr>
            <w:tcW w:w="703" w:type="dxa"/>
            <w:shd w:val="clear" w:color="auto" w:fill="1B556B"/>
            <w:vAlign w:val="bottom"/>
          </w:tcPr>
          <w:p w14:paraId="6BF2FA8A" w14:textId="77777777" w:rsidR="00E46639" w:rsidRPr="0028033B" w:rsidRDefault="00E46639" w:rsidP="00F16E23">
            <w:pPr>
              <w:pStyle w:val="TableTextBold"/>
              <w:keepNext/>
              <w:spacing w:before="50" w:after="50"/>
              <w:rPr>
                <w:noProof w:val="0"/>
                <w:color w:val="FFFFFF" w:themeColor="background1"/>
              </w:rPr>
            </w:pPr>
            <w:r w:rsidRPr="0028033B">
              <w:rPr>
                <w:noProof w:val="0"/>
                <w:color w:val="FFFFFF" w:themeColor="background1"/>
              </w:rPr>
              <w:t>Gas</w:t>
            </w:r>
          </w:p>
        </w:tc>
        <w:tc>
          <w:tcPr>
            <w:tcW w:w="2841" w:type="dxa"/>
            <w:shd w:val="clear" w:color="auto" w:fill="1B556B"/>
            <w:vAlign w:val="bottom"/>
          </w:tcPr>
          <w:p w14:paraId="63825EC4" w14:textId="77777777" w:rsidR="00E46639" w:rsidRPr="0028033B" w:rsidRDefault="00E46639" w:rsidP="00F16E23">
            <w:pPr>
              <w:pStyle w:val="TableTextBold"/>
              <w:keepNext/>
              <w:spacing w:before="50" w:after="50"/>
              <w:jc w:val="right"/>
              <w:rPr>
                <w:noProof w:val="0"/>
                <w:color w:val="FFFFFF" w:themeColor="background1"/>
              </w:rPr>
            </w:pPr>
            <w:r w:rsidRPr="0028033B">
              <w:rPr>
                <w:noProof w:val="0"/>
                <w:color w:val="FFFFFF" w:themeColor="background1"/>
              </w:rPr>
              <w:t xml:space="preserve">Emission ratio </w:t>
            </w:r>
            <w:r w:rsidRPr="0028033B">
              <w:rPr>
                <w:b w:val="0"/>
                <w:noProof w:val="0"/>
                <w:color w:val="FFFFFF" w:themeColor="background1"/>
              </w:rPr>
              <w:br/>
            </w:r>
            <w:r w:rsidRPr="0028033B">
              <w:rPr>
                <w:bCs/>
                <w:noProof w:val="0"/>
                <w:color w:val="FFFFFF" w:themeColor="background1"/>
              </w:rPr>
              <w:t>(Revised</w:t>
            </w:r>
            <w:r w:rsidRPr="0028033B">
              <w:rPr>
                <w:b w:val="0"/>
                <w:noProof w:val="0"/>
                <w:color w:val="FFFFFF" w:themeColor="background1"/>
              </w:rPr>
              <w:t xml:space="preserve"> </w:t>
            </w:r>
            <w:r w:rsidRPr="0028033B">
              <w:rPr>
                <w:noProof w:val="0"/>
                <w:color w:val="FFFFFF" w:themeColor="background1"/>
              </w:rPr>
              <w:t>IPCC 1996 Guidelines)</w:t>
            </w:r>
          </w:p>
        </w:tc>
        <w:tc>
          <w:tcPr>
            <w:tcW w:w="4961" w:type="dxa"/>
            <w:shd w:val="clear" w:color="auto" w:fill="1B556B"/>
          </w:tcPr>
          <w:p w14:paraId="1B7A6EEE" w14:textId="77777777" w:rsidR="00E46639" w:rsidRPr="0028033B" w:rsidRDefault="00E46639" w:rsidP="00F16E23">
            <w:pPr>
              <w:pStyle w:val="TableTextBold"/>
              <w:keepNext/>
              <w:spacing w:before="50" w:after="50"/>
              <w:jc w:val="right"/>
              <w:rPr>
                <w:noProof w:val="0"/>
                <w:color w:val="FFFFFF" w:themeColor="background1"/>
              </w:rPr>
            </w:pPr>
            <w:r w:rsidRPr="0028033B">
              <w:rPr>
                <w:noProof w:val="0"/>
                <w:color w:val="FFFFFF" w:themeColor="background1"/>
              </w:rPr>
              <w:t>Conversion ratio from carbon or nitrogen to specified greenhouse gas</w:t>
            </w:r>
            <w:r w:rsidRPr="0028033B">
              <w:rPr>
                <w:noProof w:val="0"/>
                <w:color w:val="FFFFFF" w:themeColor="background1"/>
              </w:rPr>
              <w:br/>
              <w:t>(Revised IPCC 1996 Guidelines)</w:t>
            </w:r>
          </w:p>
        </w:tc>
      </w:tr>
      <w:tr w:rsidR="00E46639" w:rsidRPr="0028033B" w14:paraId="049B6E5C" w14:textId="77777777" w:rsidTr="00F16E23">
        <w:tc>
          <w:tcPr>
            <w:tcW w:w="703" w:type="dxa"/>
          </w:tcPr>
          <w:p w14:paraId="3398FC55" w14:textId="77777777" w:rsidR="00E46639" w:rsidRPr="0028033B" w:rsidRDefault="00E46639" w:rsidP="00F16E23">
            <w:pPr>
              <w:pStyle w:val="TableText"/>
              <w:keepNext/>
              <w:spacing w:before="40" w:after="40"/>
              <w:rPr>
                <w:rFonts w:cs="Calibri"/>
              </w:rPr>
            </w:pPr>
            <w:r w:rsidRPr="0028033B">
              <w:rPr>
                <w:rFonts w:cs="Calibri"/>
              </w:rPr>
              <w:t>CH</w:t>
            </w:r>
            <w:r w:rsidRPr="0028033B">
              <w:rPr>
                <w:rFonts w:cs="Calibri"/>
                <w:vertAlign w:val="subscript"/>
              </w:rPr>
              <w:t>4</w:t>
            </w:r>
          </w:p>
        </w:tc>
        <w:tc>
          <w:tcPr>
            <w:tcW w:w="2841" w:type="dxa"/>
          </w:tcPr>
          <w:p w14:paraId="0F1519CE" w14:textId="77777777" w:rsidR="00E46639" w:rsidRPr="0028033B" w:rsidRDefault="00E46639" w:rsidP="00F16E23">
            <w:pPr>
              <w:pStyle w:val="TableText"/>
              <w:keepNext/>
              <w:spacing w:before="40" w:after="40"/>
              <w:jc w:val="right"/>
              <w:rPr>
                <w:rFonts w:cs="Calibri"/>
              </w:rPr>
            </w:pPr>
            <w:r w:rsidRPr="0028033B">
              <w:rPr>
                <w:rFonts w:cs="Calibri"/>
              </w:rPr>
              <w:t>0.005</w:t>
            </w:r>
          </w:p>
        </w:tc>
        <w:tc>
          <w:tcPr>
            <w:tcW w:w="4961" w:type="dxa"/>
          </w:tcPr>
          <w:p w14:paraId="378BADE8" w14:textId="77777777" w:rsidR="00E46639" w:rsidRPr="0028033B" w:rsidRDefault="00E46639" w:rsidP="00F16E23">
            <w:pPr>
              <w:pStyle w:val="TableText"/>
              <w:keepNext/>
              <w:spacing w:before="40" w:after="40"/>
              <w:jc w:val="right"/>
              <w:rPr>
                <w:rFonts w:cs="Calibri"/>
              </w:rPr>
            </w:pPr>
            <w:r w:rsidRPr="0028033B">
              <w:rPr>
                <w:rFonts w:cs="Calibri"/>
              </w:rPr>
              <w:t>16/12</w:t>
            </w:r>
          </w:p>
        </w:tc>
      </w:tr>
      <w:tr w:rsidR="00E46639" w:rsidRPr="0028033B" w14:paraId="440B99D6" w14:textId="77777777" w:rsidTr="00F16E23">
        <w:tc>
          <w:tcPr>
            <w:tcW w:w="703" w:type="dxa"/>
          </w:tcPr>
          <w:p w14:paraId="59E56110" w14:textId="77777777" w:rsidR="00E46639" w:rsidRPr="0028033B" w:rsidRDefault="00E46639" w:rsidP="00F16E23">
            <w:pPr>
              <w:pStyle w:val="TableText"/>
              <w:spacing w:before="40" w:after="40"/>
              <w:rPr>
                <w:rFonts w:cs="Calibri"/>
              </w:rPr>
            </w:pPr>
            <w:r w:rsidRPr="0028033B">
              <w:rPr>
                <w:rFonts w:cs="Calibri"/>
              </w:rPr>
              <w:t>CO</w:t>
            </w:r>
          </w:p>
        </w:tc>
        <w:tc>
          <w:tcPr>
            <w:tcW w:w="2841" w:type="dxa"/>
          </w:tcPr>
          <w:p w14:paraId="4FC99201" w14:textId="77777777" w:rsidR="00E46639" w:rsidRPr="0028033B" w:rsidRDefault="00E46639" w:rsidP="00F16E23">
            <w:pPr>
              <w:pStyle w:val="TableText"/>
              <w:spacing w:before="40" w:after="40"/>
              <w:jc w:val="right"/>
              <w:rPr>
                <w:rFonts w:cs="Calibri"/>
              </w:rPr>
            </w:pPr>
            <w:r w:rsidRPr="0028033B">
              <w:rPr>
                <w:rFonts w:cs="Calibri"/>
              </w:rPr>
              <w:t>0.06</w:t>
            </w:r>
          </w:p>
        </w:tc>
        <w:tc>
          <w:tcPr>
            <w:tcW w:w="4961" w:type="dxa"/>
          </w:tcPr>
          <w:p w14:paraId="02F31F7C" w14:textId="77777777" w:rsidR="00E46639" w:rsidRPr="0028033B" w:rsidRDefault="00E46639" w:rsidP="00F16E23">
            <w:pPr>
              <w:pStyle w:val="TableText"/>
              <w:spacing w:before="40" w:after="40"/>
              <w:jc w:val="right"/>
              <w:rPr>
                <w:rFonts w:cs="Calibri"/>
              </w:rPr>
            </w:pPr>
            <w:r w:rsidRPr="0028033B">
              <w:rPr>
                <w:rFonts w:cs="Calibri"/>
              </w:rPr>
              <w:t>28/12</w:t>
            </w:r>
          </w:p>
        </w:tc>
      </w:tr>
      <w:tr w:rsidR="00E46639" w:rsidRPr="0028033B" w14:paraId="4715CD02" w14:textId="77777777" w:rsidTr="00F16E23">
        <w:tc>
          <w:tcPr>
            <w:tcW w:w="703" w:type="dxa"/>
          </w:tcPr>
          <w:p w14:paraId="0C196CA8" w14:textId="77777777" w:rsidR="00E46639" w:rsidRPr="0028033B" w:rsidRDefault="00E46639" w:rsidP="00F16E23">
            <w:pPr>
              <w:pStyle w:val="TableText"/>
              <w:spacing w:before="40" w:after="40"/>
              <w:rPr>
                <w:rFonts w:cs="Calibri"/>
              </w:rPr>
            </w:pPr>
            <w:r w:rsidRPr="0028033B">
              <w:rPr>
                <w:rFonts w:cs="Calibri"/>
              </w:rPr>
              <w:t>N</w:t>
            </w:r>
            <w:r w:rsidRPr="0028033B">
              <w:rPr>
                <w:rFonts w:cs="Calibri"/>
                <w:vertAlign w:val="subscript"/>
              </w:rPr>
              <w:t>2</w:t>
            </w:r>
            <w:r w:rsidRPr="0028033B">
              <w:rPr>
                <w:rFonts w:cs="Calibri"/>
              </w:rPr>
              <w:t>O</w:t>
            </w:r>
          </w:p>
        </w:tc>
        <w:tc>
          <w:tcPr>
            <w:tcW w:w="2841" w:type="dxa"/>
          </w:tcPr>
          <w:p w14:paraId="466A1F34" w14:textId="77777777" w:rsidR="00E46639" w:rsidRPr="0028033B" w:rsidRDefault="00E46639" w:rsidP="00F16E23">
            <w:pPr>
              <w:pStyle w:val="TableText"/>
              <w:spacing w:before="40" w:after="40"/>
              <w:jc w:val="right"/>
              <w:rPr>
                <w:rFonts w:cs="Calibri"/>
              </w:rPr>
            </w:pPr>
            <w:r w:rsidRPr="0028033B">
              <w:rPr>
                <w:rFonts w:cs="Calibri"/>
              </w:rPr>
              <w:t>0.007</w:t>
            </w:r>
          </w:p>
        </w:tc>
        <w:tc>
          <w:tcPr>
            <w:tcW w:w="4961" w:type="dxa"/>
          </w:tcPr>
          <w:p w14:paraId="703BF43D" w14:textId="77777777" w:rsidR="00E46639" w:rsidRPr="0028033B" w:rsidRDefault="00E46639" w:rsidP="00F16E23">
            <w:pPr>
              <w:pStyle w:val="TableText"/>
              <w:spacing w:before="40" w:after="40"/>
              <w:jc w:val="right"/>
              <w:rPr>
                <w:rFonts w:cs="Calibri"/>
              </w:rPr>
            </w:pPr>
            <w:r w:rsidRPr="0028033B">
              <w:rPr>
                <w:rFonts w:cs="Calibri"/>
              </w:rPr>
              <w:t>44/28</w:t>
            </w:r>
          </w:p>
        </w:tc>
      </w:tr>
      <w:tr w:rsidR="00E46639" w:rsidRPr="0028033B" w14:paraId="7D1AC6B3" w14:textId="77777777" w:rsidTr="00F16E23">
        <w:tc>
          <w:tcPr>
            <w:tcW w:w="703" w:type="dxa"/>
          </w:tcPr>
          <w:p w14:paraId="2A66A184" w14:textId="77777777" w:rsidR="00E46639" w:rsidRPr="0028033B" w:rsidRDefault="00E46639" w:rsidP="00F16E23">
            <w:pPr>
              <w:pStyle w:val="TableText"/>
              <w:spacing w:before="40" w:after="40"/>
              <w:rPr>
                <w:rFonts w:cs="Calibri"/>
              </w:rPr>
            </w:pPr>
            <w:r w:rsidRPr="0028033B">
              <w:rPr>
                <w:rFonts w:cs="Calibri"/>
              </w:rPr>
              <w:t>NO</w:t>
            </w:r>
            <w:r w:rsidRPr="0028033B">
              <w:rPr>
                <w:rFonts w:cs="Calibri"/>
                <w:vertAlign w:val="subscript"/>
              </w:rPr>
              <w:t>x</w:t>
            </w:r>
          </w:p>
        </w:tc>
        <w:tc>
          <w:tcPr>
            <w:tcW w:w="2841" w:type="dxa"/>
          </w:tcPr>
          <w:p w14:paraId="3E4F0BFC" w14:textId="77777777" w:rsidR="00E46639" w:rsidRPr="0028033B" w:rsidRDefault="00E46639" w:rsidP="00F16E23">
            <w:pPr>
              <w:pStyle w:val="TableText"/>
              <w:spacing w:before="40" w:after="40"/>
              <w:jc w:val="right"/>
              <w:rPr>
                <w:rFonts w:cs="Calibri"/>
              </w:rPr>
            </w:pPr>
            <w:r w:rsidRPr="0028033B">
              <w:rPr>
                <w:rFonts w:cs="Calibri"/>
              </w:rPr>
              <w:t>0.121</w:t>
            </w:r>
          </w:p>
        </w:tc>
        <w:tc>
          <w:tcPr>
            <w:tcW w:w="4961" w:type="dxa"/>
          </w:tcPr>
          <w:p w14:paraId="798BA3E0" w14:textId="77777777" w:rsidR="00E46639" w:rsidRPr="0028033B" w:rsidRDefault="00E46639" w:rsidP="00F16E23">
            <w:pPr>
              <w:pStyle w:val="TableText"/>
              <w:spacing w:before="40" w:after="40"/>
              <w:jc w:val="right"/>
              <w:rPr>
                <w:rFonts w:cs="Calibri"/>
              </w:rPr>
            </w:pPr>
            <w:r w:rsidRPr="0028033B">
              <w:rPr>
                <w:rFonts w:cs="Calibri"/>
              </w:rPr>
              <w:t>46/14</w:t>
            </w:r>
          </w:p>
        </w:tc>
      </w:tr>
    </w:tbl>
    <w:p w14:paraId="0745CAD3" w14:textId="77777777" w:rsidR="00E46639" w:rsidRPr="0028033B" w:rsidRDefault="00E46639" w:rsidP="00E46639">
      <w:pPr>
        <w:pStyle w:val="BodyText"/>
        <w:keepNext/>
        <w:spacing w:before="360"/>
        <w:rPr>
          <w:rFonts w:cs="Calibri"/>
        </w:rPr>
      </w:pPr>
      <w:r w:rsidRPr="0028033B">
        <w:rPr>
          <w:rFonts w:cs="Calibri"/>
        </w:rPr>
        <w:t>The total emissions (CH</w:t>
      </w:r>
      <w:r w:rsidRPr="0028033B">
        <w:rPr>
          <w:rFonts w:cs="Calibri"/>
          <w:vertAlign w:val="subscript"/>
        </w:rPr>
        <w:t>4</w:t>
      </w:r>
      <w:r w:rsidRPr="0028033B">
        <w:rPr>
          <w:rFonts w:cs="Calibri"/>
        </w:rPr>
        <w:t>, CO, N</w:t>
      </w:r>
      <w:r w:rsidRPr="0028033B">
        <w:rPr>
          <w:rFonts w:cs="Calibri"/>
          <w:vertAlign w:val="subscript"/>
        </w:rPr>
        <w:t>2</w:t>
      </w:r>
      <w:r w:rsidRPr="0028033B">
        <w:rPr>
          <w:rFonts w:cs="Calibri"/>
        </w:rPr>
        <w:t>O and NO</w:t>
      </w:r>
      <w:r w:rsidRPr="0028033B">
        <w:rPr>
          <w:rFonts w:cs="Calibri"/>
          <w:vertAlign w:val="subscript"/>
        </w:rPr>
        <w:t>x</w:t>
      </w:r>
      <w:r w:rsidRPr="0028033B">
        <w:rPr>
          <w:rFonts w:cs="Calibri"/>
        </w:rPr>
        <w:t>) are calculated as shown below:</w:t>
      </w:r>
    </w:p>
    <w:p w14:paraId="1B82B5A1" w14:textId="77777777" w:rsidR="00E46639" w:rsidRPr="0028033B" w:rsidRDefault="00000000" w:rsidP="00E46639">
      <w:pPr>
        <w:pStyle w:val="BodyText"/>
        <w:keepNext/>
        <w:spacing w:before="60"/>
        <w:jc w:val="center"/>
      </w:pPr>
      <m:oMathPara>
        <m:oMath>
          <m:sSub>
            <m:sSubPr>
              <m:ctrlPr>
                <w:rPr>
                  <w:rFonts w:ascii="Cambria Math" w:hAnsi="Cambria Math"/>
                  <w:i/>
                  <w:sz w:val="24"/>
                  <w:szCs w:val="24"/>
                </w:rPr>
              </m:ctrlPr>
            </m:sSubPr>
            <m:e>
              <m:r>
                <w:rPr>
                  <w:rFonts w:ascii="Cambria Math" w:hAnsi="Cambria Math"/>
                  <w:sz w:val="24"/>
                  <w:szCs w:val="24"/>
                </w:rPr>
                <m:t>Emissions</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OX</m:t>
              </m:r>
            </m:sub>
          </m:sSub>
          <m:r>
            <w:rPr>
              <w:rFonts w:ascii="Cambria Math" w:hAnsi="Cambria Math"/>
              <w:sz w:val="24"/>
              <w:szCs w:val="24"/>
            </w:rPr>
            <m:t xml:space="preserve">∙ER∙GCR </m:t>
          </m:r>
        </m:oMath>
      </m:oMathPara>
    </w:p>
    <w:p w14:paraId="007EA514" w14:textId="77777777" w:rsidR="00E46639" w:rsidRPr="0028033B" w:rsidRDefault="00E46639" w:rsidP="00E46639">
      <w:pPr>
        <w:pStyle w:val="BodyText"/>
        <w:spacing w:after="20"/>
        <w:ind w:left="964" w:hanging="964"/>
      </w:pPr>
      <w:r w:rsidRPr="0028033B">
        <w:t>Where:</w:t>
      </w:r>
      <w:r w:rsidRPr="0028033B">
        <w:tab/>
        <w:t>AG</w:t>
      </w:r>
      <w:r w:rsidRPr="0028033B">
        <w:rPr>
          <w:vertAlign w:val="subscript"/>
        </w:rPr>
        <w:t>BURN</w:t>
      </w:r>
      <w:r w:rsidRPr="0028033B">
        <w:t xml:space="preserve"> is the above-ground biomass burned (kt)</w:t>
      </w:r>
    </w:p>
    <w:p w14:paraId="158F9D9A" w14:textId="77777777" w:rsidR="00E46639" w:rsidRPr="0028033B" w:rsidRDefault="00E46639" w:rsidP="00E46639">
      <w:pPr>
        <w:pStyle w:val="BodyText"/>
        <w:spacing w:before="60" w:after="20"/>
        <w:ind w:left="964"/>
      </w:pPr>
      <w:r w:rsidRPr="0028033B">
        <w:t>Frac</w:t>
      </w:r>
      <w:r w:rsidRPr="0028033B">
        <w:rPr>
          <w:vertAlign w:val="subscript"/>
        </w:rPr>
        <w:t>OX</w:t>
      </w:r>
      <w:r w:rsidRPr="0028033B">
        <w:t xml:space="preserve"> is the fraction oxidised (see table 5.7.2)</w:t>
      </w:r>
    </w:p>
    <w:p w14:paraId="419DCC4D" w14:textId="77777777" w:rsidR="00E46639" w:rsidRPr="0028033B" w:rsidRDefault="00E46639" w:rsidP="00E46639">
      <w:pPr>
        <w:pStyle w:val="BodyText"/>
        <w:spacing w:before="60" w:after="20"/>
        <w:ind w:left="964"/>
      </w:pPr>
      <w:r w:rsidRPr="0028033B">
        <w:t xml:space="preserve">ER is the gas-specific emission ratio, and </w:t>
      </w:r>
    </w:p>
    <w:p w14:paraId="5DB38385" w14:textId="77777777" w:rsidR="00E46639" w:rsidRPr="0028033B" w:rsidRDefault="00E46639" w:rsidP="00E46639">
      <w:pPr>
        <w:pStyle w:val="BodyText"/>
        <w:spacing w:before="60" w:after="80"/>
        <w:ind w:left="964"/>
      </w:pPr>
      <w:r w:rsidRPr="0028033B">
        <w:t xml:space="preserve">GCR is the gas-conversion ratio (see table 5.7.1). </w:t>
      </w:r>
    </w:p>
    <w:p w14:paraId="4AC969DF" w14:textId="77777777" w:rsidR="00E46639" w:rsidRPr="0028033B" w:rsidRDefault="00E46639" w:rsidP="00E46639">
      <w:pPr>
        <w:pStyle w:val="BodyText"/>
        <w:spacing w:after="60"/>
        <w:rPr>
          <w:rFonts w:cs="Calibri"/>
        </w:rPr>
      </w:pPr>
      <w:r w:rsidRPr="0028033B">
        <w:rPr>
          <w:rFonts w:cs="Calibri"/>
        </w:rPr>
        <w:t>The calculation for AG</w:t>
      </w:r>
      <w:r w:rsidRPr="0028033B">
        <w:rPr>
          <w:rFonts w:cs="Calibri"/>
          <w:vertAlign w:val="subscript"/>
        </w:rPr>
        <w:t xml:space="preserve">BURN </w:t>
      </w:r>
      <w:r w:rsidRPr="0028033B">
        <w:rPr>
          <w:rFonts w:cs="Calibri"/>
        </w:rPr>
        <w:t>is different for 1990 to 2004 and 2005 to 2023, to account for changes in the availability of activity data over these periods. Stats NZ did not collect data on crop residue burning before 2005. Therefore, from 1990 to 2004, calculation of the amount of biomass residue burned (AG</w:t>
      </w:r>
      <w:r w:rsidRPr="0028033B">
        <w:rPr>
          <w:rFonts w:cs="Calibri"/>
          <w:vertAlign w:val="subscript"/>
        </w:rPr>
        <w:t>BURN</w:t>
      </w:r>
      <w:r w:rsidRPr="0028033B">
        <w:rPr>
          <w:rFonts w:cs="Calibri"/>
        </w:rPr>
        <w:t>) was based on the total mass of crop production (from the Stats NZ Agricultural Production Census and Agricultural Production Survey) and assumed fractions burned for each crop, where:</w:t>
      </w:r>
    </w:p>
    <w:bookmarkStart w:id="1459" w:name="_1764398050"/>
    <w:bookmarkStart w:id="1460" w:name="_1767789155"/>
    <w:bookmarkEnd w:id="1459"/>
    <w:bookmarkEnd w:id="1460"/>
    <w:p w14:paraId="2BEF60B6" w14:textId="77777777" w:rsidR="00E46639" w:rsidRPr="0028033B" w:rsidRDefault="00000000" w:rsidP="00E46639">
      <w:pPr>
        <w:pStyle w:val="BodyText"/>
        <w:spacing w:before="60"/>
        <w:jc w:val="center"/>
        <w:rPr>
          <w:rFonts w:cs="Calibri"/>
          <w:sz w:val="24"/>
          <w:szCs w:val="24"/>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AREA-BURN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RESIDUE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195DF1A6" w14:textId="77777777" w:rsidR="00E46639" w:rsidRPr="0028033B" w:rsidRDefault="00E46639" w:rsidP="00E46639">
      <w:pPr>
        <w:pStyle w:val="BodyText"/>
        <w:spacing w:after="0"/>
        <w:ind w:left="964" w:hanging="964"/>
        <w:rPr>
          <w:rFonts w:cs="Calibri"/>
        </w:rPr>
      </w:pPr>
      <w:r w:rsidRPr="0028033B">
        <w:rPr>
          <w:rFonts w:cs="Calibri"/>
        </w:rPr>
        <w:t>Where:</w:t>
      </w:r>
      <w:r w:rsidRPr="0028033B">
        <w:rPr>
          <w:rFonts w:cs="Calibri"/>
        </w:rPr>
        <w:tab/>
        <w:t>AG</w:t>
      </w:r>
      <w:r w:rsidRPr="0028033B">
        <w:rPr>
          <w:rFonts w:cs="Calibri"/>
          <w:vertAlign w:val="subscript"/>
        </w:rPr>
        <w:t>DM</w:t>
      </w:r>
      <w:r w:rsidRPr="0028033B">
        <w:rPr>
          <w:rFonts w:cs="Calibri"/>
        </w:rPr>
        <w:t xml:space="preserve"> is the above-ground residue (defined below)</w:t>
      </w:r>
    </w:p>
    <w:p w14:paraId="440C2461" w14:textId="77777777" w:rsidR="00E46639" w:rsidRPr="0028033B" w:rsidRDefault="00E46639" w:rsidP="00E46639">
      <w:pPr>
        <w:pStyle w:val="BodyText"/>
        <w:spacing w:before="60" w:after="0"/>
        <w:ind w:left="964"/>
      </w:pPr>
      <w:r w:rsidRPr="0028033B">
        <w:rPr>
          <w:rFonts w:cs="Calibri"/>
        </w:rPr>
        <w:t>Frac</w:t>
      </w:r>
      <w:r w:rsidRPr="0028033B">
        <w:rPr>
          <w:rFonts w:cs="Calibri"/>
          <w:vertAlign w:val="subscript"/>
        </w:rPr>
        <w:t xml:space="preserve">AREA–BURN </w:t>
      </w:r>
      <w:r w:rsidRPr="0028033B">
        <w:rPr>
          <w:rFonts w:cs="Calibri"/>
        </w:rPr>
        <w:t>is the proportion of crop area burned of the total production area (discussed further below)</w:t>
      </w:r>
    </w:p>
    <w:p w14:paraId="20DC641F" w14:textId="77777777" w:rsidR="00E46639" w:rsidRPr="0028033B" w:rsidRDefault="00E46639" w:rsidP="00E46639">
      <w:pPr>
        <w:pStyle w:val="BodyText"/>
        <w:spacing w:before="60" w:after="0"/>
        <w:ind w:left="964"/>
        <w:rPr>
          <w:rFonts w:cs="Calibri"/>
        </w:rPr>
      </w:pPr>
      <w:r w:rsidRPr="0028033B">
        <w:rPr>
          <w:rFonts w:cs="Calibri"/>
        </w:rPr>
        <w:t>Frac</w:t>
      </w:r>
      <w:r w:rsidRPr="0028033B">
        <w:rPr>
          <w:rFonts w:cs="Calibri"/>
          <w:vertAlign w:val="subscript"/>
        </w:rPr>
        <w:t>RESIDUE</w:t>
      </w:r>
      <w:r w:rsidRPr="0028033B">
        <w:rPr>
          <w:rFonts w:cs="Calibri"/>
        </w:rPr>
        <w:t xml:space="preserve"> is the proportion of residue remaining after harvest (see table 5.7.2), and</w:t>
      </w:r>
    </w:p>
    <w:p w14:paraId="41F9CCA8" w14:textId="77777777" w:rsidR="00E46639" w:rsidRPr="0028033B" w:rsidRDefault="00E46639" w:rsidP="00E46639">
      <w:pPr>
        <w:pStyle w:val="BodyText"/>
        <w:spacing w:before="60"/>
        <w:ind w:left="964"/>
        <w:rPr>
          <w:rFonts w:cs="Calibri"/>
        </w:rPr>
      </w:pPr>
      <w:r w:rsidRPr="0028033B">
        <w:rPr>
          <w:rFonts w:cs="Calibri"/>
        </w:rPr>
        <w:t>Frac</w:t>
      </w:r>
      <w:r w:rsidRPr="0028033B">
        <w:rPr>
          <w:rFonts w:cs="Calibri"/>
          <w:vertAlign w:val="subscript"/>
        </w:rPr>
        <w:t>BURN</w:t>
      </w:r>
      <w:r w:rsidRPr="0028033B">
        <w:rPr>
          <w:rFonts w:cs="Calibri"/>
        </w:rPr>
        <w:t xml:space="preserve"> is the proportion of remaining residue burned (see table 5.7.2).</w:t>
      </w:r>
    </w:p>
    <w:p w14:paraId="272D293E" w14:textId="77777777" w:rsidR="00E46639" w:rsidRPr="0028033B" w:rsidRDefault="00E46639" w:rsidP="00E46639">
      <w:pPr>
        <w:pStyle w:val="BodyText"/>
        <w:spacing w:after="60"/>
      </w:pPr>
      <w:r w:rsidRPr="0028033B">
        <w:t>The above-ground residue, AG</w:t>
      </w:r>
      <w:r w:rsidRPr="0028033B">
        <w:rPr>
          <w:vertAlign w:val="subscript"/>
        </w:rPr>
        <w:t>DM</w:t>
      </w:r>
      <w:r w:rsidRPr="0028033B">
        <w:t xml:space="preserve"> (tonnes), is:</w:t>
      </w:r>
    </w:p>
    <w:bookmarkStart w:id="1461" w:name="_1767789289"/>
    <w:bookmarkEnd w:id="1461"/>
    <w:p w14:paraId="0A93EBB2" w14:textId="77777777" w:rsidR="00E46639" w:rsidRPr="0028033B" w:rsidRDefault="00000000" w:rsidP="00E46639">
      <w:pPr>
        <w:pStyle w:val="BodyText"/>
        <w:spacing w:before="80" w:after="60"/>
        <w:jc w:val="center"/>
        <w:rPr>
          <w:rFonts w:cs="Calibri"/>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num>
            <m:den>
              <m:r>
                <w:rPr>
                  <w:rFonts w:ascii="Cambria Math" w:hAnsi="Cambria Math"/>
                  <w:sz w:val="24"/>
                  <w:szCs w:val="24"/>
                </w:rPr>
                <m:t>HI</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oMath>
      </m:oMathPara>
    </w:p>
    <w:p w14:paraId="67C5B9AB" w14:textId="77777777" w:rsidR="00E46639" w:rsidRPr="0028033B" w:rsidRDefault="00E46639" w:rsidP="00E46639">
      <w:pPr>
        <w:pStyle w:val="BodyText"/>
        <w:spacing w:after="60"/>
        <w:ind w:left="964" w:hanging="964"/>
        <w:rPr>
          <w:rFonts w:cs="Calibri"/>
        </w:rPr>
      </w:pPr>
      <w:r w:rsidRPr="0028033B">
        <w:rPr>
          <w:rFonts w:cs="Calibri"/>
        </w:rPr>
        <w:t>Where:</w:t>
      </w:r>
      <w:r w:rsidRPr="0028033B">
        <w:rPr>
          <w:rFonts w:cs="Calibri"/>
        </w:rPr>
        <w:tab/>
        <w:t>HI is the harvest index (crop-specific, table 5.7.2), that is, the mass harvested over the total mass of above-ground biomass.</w:t>
      </w:r>
    </w:p>
    <w:p w14:paraId="2770C331" w14:textId="77777777" w:rsidR="00E46639" w:rsidRPr="0028033B" w:rsidRDefault="00E46639" w:rsidP="00E46639">
      <w:pPr>
        <w:pStyle w:val="BodyText"/>
        <w:keepNext/>
        <w:spacing w:before="80"/>
        <w:rPr>
          <w:rFonts w:cs="Calibri"/>
        </w:rPr>
      </w:pPr>
      <w:r w:rsidRPr="0028033B">
        <w:rPr>
          <w:rFonts w:cs="Calibri"/>
        </w:rPr>
        <w:t>The dry matter, Prod</w:t>
      </w:r>
      <w:r w:rsidRPr="0028033B">
        <w:rPr>
          <w:rFonts w:cs="Calibri"/>
          <w:vertAlign w:val="subscript"/>
        </w:rPr>
        <w:t>DM</w:t>
      </w:r>
      <w:r w:rsidRPr="0028033B">
        <w:rPr>
          <w:rFonts w:cs="Calibri"/>
        </w:rPr>
        <w:t xml:space="preserve"> (tonnes), available to be burned is:</w:t>
      </w:r>
    </w:p>
    <w:bookmarkStart w:id="1462" w:name="_1767789319"/>
    <w:bookmarkEnd w:id="1462"/>
    <w:p w14:paraId="2BFD021F" w14:textId="77777777" w:rsidR="00E46639" w:rsidRPr="0028033B" w:rsidRDefault="00000000" w:rsidP="00E46639">
      <w:pPr>
        <w:pStyle w:val="BodyText"/>
        <w:spacing w:before="0"/>
        <w:jc w:val="center"/>
        <w:rPr>
          <w:rFonts w:cs="Calibri"/>
          <w:sz w:val="24"/>
          <w:szCs w:val="24"/>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r>
                <w:rPr>
                  <w:rFonts w:ascii="Cambria Math" w:hAnsi="Cambria Math"/>
                  <w:sz w:val="24"/>
                  <w:szCs w:val="24"/>
                </w:rPr>
                <m:t>=Crop</m:t>
              </m:r>
            </m:e>
            <m:sub>
              <m:r>
                <w:rPr>
                  <w:rFonts w:ascii="Cambria Math" w:hAnsi="Cambria Math"/>
                  <w:sz w:val="24"/>
                  <w:szCs w:val="24"/>
                </w:rPr>
                <m:t>PROD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DM</m:t>
              </m:r>
            </m:sub>
          </m:sSub>
        </m:oMath>
      </m:oMathPara>
    </w:p>
    <w:p w14:paraId="24473881" w14:textId="77777777" w:rsidR="00E46639" w:rsidRPr="0028033B" w:rsidRDefault="00E46639" w:rsidP="00E46639">
      <w:pPr>
        <w:pStyle w:val="BodyText"/>
        <w:spacing w:before="60" w:after="0"/>
        <w:ind w:left="964" w:hanging="964"/>
        <w:rPr>
          <w:rFonts w:cs="Calibri"/>
        </w:rPr>
      </w:pPr>
      <w:r w:rsidRPr="0028033B">
        <w:rPr>
          <w:rFonts w:cs="Calibri"/>
        </w:rPr>
        <w:t>Where:</w:t>
      </w:r>
      <w:r w:rsidRPr="0028033B">
        <w:rPr>
          <w:rFonts w:cs="Calibri"/>
        </w:rPr>
        <w:tab/>
        <w:t>Crop</w:t>
      </w:r>
      <w:r w:rsidRPr="0028033B">
        <w:rPr>
          <w:rFonts w:cs="Calibri"/>
          <w:vertAlign w:val="subscript"/>
        </w:rPr>
        <w:t>PROD</w:t>
      </w:r>
      <w:r w:rsidRPr="0028033B">
        <w:rPr>
          <w:rFonts w:cs="Calibri"/>
        </w:rPr>
        <w:t xml:space="preserve"> is the annual crop production (tonnes) (Stats NZ Agricultural Production Census and Agricultural Production Survey), and</w:t>
      </w:r>
    </w:p>
    <w:p w14:paraId="5B4F6D27" w14:textId="77777777" w:rsidR="00E46639" w:rsidRPr="0028033B" w:rsidRDefault="00E46639" w:rsidP="00E46639">
      <w:pPr>
        <w:pStyle w:val="BodyText"/>
        <w:spacing w:before="60"/>
        <w:ind w:left="964"/>
        <w:rPr>
          <w:rFonts w:cs="Calibri"/>
        </w:rPr>
      </w:pPr>
      <w:r w:rsidRPr="0028033B">
        <w:rPr>
          <w:rFonts w:cs="Calibri"/>
        </w:rPr>
        <w:t>Frac</w:t>
      </w:r>
      <w:r w:rsidRPr="0028033B">
        <w:rPr>
          <w:rFonts w:cs="Calibri"/>
          <w:vertAlign w:val="subscript"/>
        </w:rPr>
        <w:t>DM</w:t>
      </w:r>
      <w:r w:rsidRPr="0028033B">
        <w:rPr>
          <w:rFonts w:cs="Calibri"/>
        </w:rPr>
        <w:t xml:space="preserve"> is the fraction of crop that is dry matter (crop specific, table 5.7.2).</w:t>
      </w:r>
    </w:p>
    <w:p w14:paraId="111B452A" w14:textId="77777777" w:rsidR="00E46639" w:rsidRPr="0028033B" w:rsidRDefault="00E46639" w:rsidP="00E46639">
      <w:pPr>
        <w:pStyle w:val="Table"/>
        <w:rPr>
          <w:rFonts w:cs="Calibri"/>
        </w:rPr>
      </w:pPr>
      <w:bookmarkStart w:id="1463" w:name="_Toc352504980"/>
      <w:bookmarkStart w:id="1464" w:name="_Toc441830891"/>
      <w:bookmarkStart w:id="1465" w:name="_Toc451176105"/>
      <w:bookmarkStart w:id="1466" w:name="_Toc481751535"/>
      <w:bookmarkStart w:id="1467" w:name="_Toc507158621"/>
      <w:bookmarkStart w:id="1468" w:name="_Toc511116755"/>
      <w:bookmarkStart w:id="1469" w:name="_Toc5269497"/>
      <w:bookmarkStart w:id="1470" w:name="_Toc32570944"/>
      <w:bookmarkStart w:id="1471" w:name="_Toc36224579"/>
      <w:bookmarkStart w:id="1472" w:name="_Toc68786464"/>
      <w:bookmarkStart w:id="1473" w:name="_Toc95574095"/>
      <w:bookmarkStart w:id="1474" w:name="_Toc127458284"/>
      <w:bookmarkStart w:id="1475" w:name="_Toc131591380"/>
      <w:bookmarkStart w:id="1476" w:name="_Toc160114475"/>
      <w:bookmarkStart w:id="1477" w:name="_Toc164153871"/>
      <w:bookmarkStart w:id="1478" w:name="_Toc222407663"/>
      <w:bookmarkStart w:id="1479" w:name="_Toc226669038"/>
      <w:r w:rsidRPr="0028033B">
        <w:rPr>
          <w:rFonts w:cs="Calibri"/>
        </w:rPr>
        <w:t xml:space="preserve">Table 5.7.2 </w:t>
      </w:r>
      <w:r w:rsidRPr="0028033B">
        <w:rPr>
          <w:rFonts w:cs="Calibri"/>
        </w:rPr>
        <w:tab/>
        <w:t>Values used to calculate New Zealand emissions from burning of agricultural residues</w:t>
      </w:r>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4695"/>
        <w:gridCol w:w="1270"/>
        <w:gridCol w:w="1270"/>
        <w:gridCol w:w="1270"/>
      </w:tblGrid>
      <w:tr w:rsidR="00E46639" w:rsidRPr="0028033B" w14:paraId="2CE97B28" w14:textId="77777777" w:rsidTr="00F16E23">
        <w:trPr>
          <w:tblHeader/>
        </w:trPr>
        <w:tc>
          <w:tcPr>
            <w:tcW w:w="4480" w:type="dxa"/>
            <w:shd w:val="clear" w:color="auto" w:fill="1B556B"/>
            <w:noWrap/>
            <w:vAlign w:val="bottom"/>
          </w:tcPr>
          <w:p w14:paraId="5E39277C" w14:textId="77777777" w:rsidR="00E46639" w:rsidRPr="0028033B" w:rsidRDefault="00E46639" w:rsidP="00F16E23">
            <w:pPr>
              <w:pStyle w:val="TableTextBold"/>
              <w:keepNext/>
              <w:spacing w:before="40" w:after="40"/>
              <w:rPr>
                <w:noProof w:val="0"/>
                <w:color w:val="FFFFFF" w:themeColor="background1"/>
                <w:szCs w:val="16"/>
              </w:rPr>
            </w:pPr>
          </w:p>
        </w:tc>
        <w:tc>
          <w:tcPr>
            <w:tcW w:w="1211" w:type="dxa"/>
            <w:shd w:val="clear" w:color="auto" w:fill="1B556B"/>
            <w:noWrap/>
            <w:vAlign w:val="bottom"/>
          </w:tcPr>
          <w:p w14:paraId="51ACA7F9"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Barley</w:t>
            </w:r>
          </w:p>
        </w:tc>
        <w:tc>
          <w:tcPr>
            <w:tcW w:w="1211" w:type="dxa"/>
            <w:shd w:val="clear" w:color="auto" w:fill="1B556B"/>
            <w:noWrap/>
            <w:vAlign w:val="bottom"/>
          </w:tcPr>
          <w:p w14:paraId="67B4D2D2"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Wheat</w:t>
            </w:r>
          </w:p>
        </w:tc>
        <w:tc>
          <w:tcPr>
            <w:tcW w:w="1211" w:type="dxa"/>
            <w:shd w:val="clear" w:color="auto" w:fill="1B556B"/>
            <w:noWrap/>
            <w:vAlign w:val="bottom"/>
          </w:tcPr>
          <w:p w14:paraId="1F08BA8D" w14:textId="77777777" w:rsidR="00E46639" w:rsidRPr="0028033B" w:rsidRDefault="00E46639" w:rsidP="00F16E23">
            <w:pPr>
              <w:pStyle w:val="TableTextBold"/>
              <w:keepNext/>
              <w:spacing w:before="40" w:after="40"/>
              <w:jc w:val="right"/>
              <w:rPr>
                <w:noProof w:val="0"/>
                <w:color w:val="FFFFFF" w:themeColor="background1"/>
                <w:szCs w:val="16"/>
              </w:rPr>
            </w:pPr>
            <w:r w:rsidRPr="0028033B">
              <w:rPr>
                <w:noProof w:val="0"/>
                <w:color w:val="FFFFFF" w:themeColor="background1"/>
                <w:szCs w:val="16"/>
              </w:rPr>
              <w:t>Oats</w:t>
            </w:r>
          </w:p>
        </w:tc>
      </w:tr>
      <w:tr w:rsidR="00E46639" w:rsidRPr="0028033B" w14:paraId="4E92D62D" w14:textId="77777777" w:rsidTr="00F16E23">
        <w:tc>
          <w:tcPr>
            <w:tcW w:w="4480" w:type="dxa"/>
            <w:noWrap/>
            <w:vAlign w:val="bottom"/>
          </w:tcPr>
          <w:p w14:paraId="14266F65" w14:textId="77777777" w:rsidR="00E46639" w:rsidRPr="0028033B" w:rsidRDefault="00E46639" w:rsidP="00F16E23">
            <w:pPr>
              <w:pStyle w:val="TableText"/>
              <w:keepNext/>
              <w:spacing w:before="40" w:after="40"/>
              <w:rPr>
                <w:rFonts w:cs="Calibri"/>
                <w:szCs w:val="16"/>
              </w:rPr>
            </w:pPr>
            <w:r w:rsidRPr="0028033B">
              <w:rPr>
                <w:rFonts w:cs="Calibri"/>
                <w:szCs w:val="16"/>
              </w:rPr>
              <w:t>Fraction oxidised</w:t>
            </w:r>
          </w:p>
        </w:tc>
        <w:tc>
          <w:tcPr>
            <w:tcW w:w="1211" w:type="dxa"/>
            <w:noWrap/>
            <w:vAlign w:val="bottom"/>
          </w:tcPr>
          <w:p w14:paraId="218C4292" w14:textId="77777777" w:rsidR="00E46639" w:rsidRPr="0028033B" w:rsidRDefault="00E46639" w:rsidP="00F16E23">
            <w:pPr>
              <w:pStyle w:val="TableText"/>
              <w:keepNext/>
              <w:spacing w:before="40" w:after="40"/>
              <w:jc w:val="right"/>
              <w:rPr>
                <w:rFonts w:cs="Calibri"/>
                <w:szCs w:val="16"/>
              </w:rPr>
            </w:pPr>
            <w:r w:rsidRPr="0028033B">
              <w:rPr>
                <w:rFonts w:cs="Calibri"/>
                <w:szCs w:val="16"/>
              </w:rPr>
              <w:t>0.9</w:t>
            </w:r>
          </w:p>
        </w:tc>
        <w:tc>
          <w:tcPr>
            <w:tcW w:w="1211" w:type="dxa"/>
            <w:noWrap/>
            <w:vAlign w:val="bottom"/>
          </w:tcPr>
          <w:p w14:paraId="1CE29C74" w14:textId="77777777" w:rsidR="00E46639" w:rsidRPr="0028033B" w:rsidRDefault="00E46639" w:rsidP="00F16E23">
            <w:pPr>
              <w:pStyle w:val="TableText"/>
              <w:keepNext/>
              <w:spacing w:before="40" w:after="40"/>
              <w:jc w:val="right"/>
              <w:rPr>
                <w:rFonts w:cs="Calibri"/>
                <w:szCs w:val="16"/>
              </w:rPr>
            </w:pPr>
            <w:r w:rsidRPr="0028033B">
              <w:rPr>
                <w:rFonts w:cs="Calibri"/>
                <w:szCs w:val="16"/>
              </w:rPr>
              <w:t>0.9</w:t>
            </w:r>
          </w:p>
        </w:tc>
        <w:tc>
          <w:tcPr>
            <w:tcW w:w="1211" w:type="dxa"/>
            <w:noWrap/>
            <w:vAlign w:val="bottom"/>
          </w:tcPr>
          <w:p w14:paraId="3C98D792" w14:textId="77777777" w:rsidR="00E46639" w:rsidRPr="0028033B" w:rsidRDefault="00E46639" w:rsidP="00F16E23">
            <w:pPr>
              <w:pStyle w:val="TableText"/>
              <w:keepNext/>
              <w:spacing w:before="40" w:after="40"/>
              <w:jc w:val="right"/>
              <w:rPr>
                <w:rFonts w:cs="Calibri"/>
                <w:szCs w:val="16"/>
              </w:rPr>
            </w:pPr>
            <w:r w:rsidRPr="0028033B">
              <w:rPr>
                <w:rFonts w:cs="Calibri"/>
                <w:szCs w:val="16"/>
              </w:rPr>
              <w:t>0.9</w:t>
            </w:r>
          </w:p>
        </w:tc>
      </w:tr>
      <w:tr w:rsidR="00E46639" w:rsidRPr="0028033B" w14:paraId="002AA7D3" w14:textId="77777777" w:rsidTr="00F16E23">
        <w:tc>
          <w:tcPr>
            <w:tcW w:w="4480" w:type="dxa"/>
            <w:noWrap/>
            <w:vAlign w:val="bottom"/>
          </w:tcPr>
          <w:p w14:paraId="722F69E4" w14:textId="77777777" w:rsidR="00E46639" w:rsidRPr="0028033B" w:rsidRDefault="00E46639" w:rsidP="00F16E23">
            <w:pPr>
              <w:pStyle w:val="TableText"/>
              <w:keepNext/>
              <w:spacing w:before="40" w:after="40"/>
              <w:rPr>
                <w:rFonts w:cs="Calibri"/>
                <w:szCs w:val="16"/>
              </w:rPr>
            </w:pPr>
            <w:r w:rsidRPr="0028033B">
              <w:rPr>
                <w:rFonts w:cs="Calibri"/>
                <w:szCs w:val="16"/>
              </w:rPr>
              <w:t>Residue remaining in field</w:t>
            </w:r>
          </w:p>
        </w:tc>
        <w:tc>
          <w:tcPr>
            <w:tcW w:w="1211" w:type="dxa"/>
            <w:noWrap/>
            <w:vAlign w:val="bottom"/>
          </w:tcPr>
          <w:p w14:paraId="1FFE3F19" w14:textId="77777777" w:rsidR="00E46639" w:rsidRPr="0028033B" w:rsidRDefault="00E46639" w:rsidP="00F16E23">
            <w:pPr>
              <w:pStyle w:val="TableText"/>
              <w:keepNext/>
              <w:spacing w:before="40" w:after="40"/>
              <w:jc w:val="right"/>
              <w:rPr>
                <w:rFonts w:cs="Calibri"/>
                <w:szCs w:val="16"/>
              </w:rPr>
            </w:pPr>
            <w:r w:rsidRPr="0028033B">
              <w:rPr>
                <w:rFonts w:cs="Calibri"/>
                <w:szCs w:val="16"/>
              </w:rPr>
              <w:t>1</w:t>
            </w:r>
          </w:p>
        </w:tc>
        <w:tc>
          <w:tcPr>
            <w:tcW w:w="1211" w:type="dxa"/>
            <w:noWrap/>
            <w:vAlign w:val="bottom"/>
          </w:tcPr>
          <w:p w14:paraId="77C771E1" w14:textId="77777777" w:rsidR="00E46639" w:rsidRPr="0028033B" w:rsidRDefault="00E46639" w:rsidP="00F16E23">
            <w:pPr>
              <w:pStyle w:val="TableText"/>
              <w:keepNext/>
              <w:spacing w:before="40" w:after="40"/>
              <w:jc w:val="right"/>
              <w:rPr>
                <w:rFonts w:cs="Calibri"/>
                <w:szCs w:val="16"/>
              </w:rPr>
            </w:pPr>
            <w:r w:rsidRPr="0028033B">
              <w:rPr>
                <w:rFonts w:cs="Calibri"/>
                <w:szCs w:val="16"/>
              </w:rPr>
              <w:t>1</w:t>
            </w:r>
          </w:p>
        </w:tc>
        <w:tc>
          <w:tcPr>
            <w:tcW w:w="1211" w:type="dxa"/>
            <w:noWrap/>
            <w:vAlign w:val="bottom"/>
          </w:tcPr>
          <w:p w14:paraId="3968AFBD" w14:textId="77777777" w:rsidR="00E46639" w:rsidRPr="0028033B" w:rsidRDefault="00E46639" w:rsidP="00F16E23">
            <w:pPr>
              <w:pStyle w:val="TableText"/>
              <w:keepNext/>
              <w:spacing w:before="40" w:after="40"/>
              <w:jc w:val="right"/>
              <w:rPr>
                <w:rFonts w:cs="Calibri"/>
                <w:szCs w:val="16"/>
              </w:rPr>
            </w:pPr>
            <w:r w:rsidRPr="0028033B">
              <w:rPr>
                <w:rFonts w:cs="Calibri"/>
                <w:szCs w:val="16"/>
              </w:rPr>
              <w:t>1</w:t>
            </w:r>
          </w:p>
        </w:tc>
      </w:tr>
      <w:tr w:rsidR="00E46639" w:rsidRPr="0028033B" w14:paraId="576C7CF8" w14:textId="77777777" w:rsidTr="00F16E23">
        <w:tc>
          <w:tcPr>
            <w:tcW w:w="4480" w:type="dxa"/>
            <w:noWrap/>
            <w:vAlign w:val="bottom"/>
          </w:tcPr>
          <w:p w14:paraId="7F750C09" w14:textId="77777777" w:rsidR="00E46639" w:rsidRPr="0028033B" w:rsidRDefault="00E46639" w:rsidP="00F16E23">
            <w:pPr>
              <w:pStyle w:val="TableText"/>
              <w:spacing w:before="40" w:after="40"/>
              <w:rPr>
                <w:rFonts w:cs="Calibri"/>
                <w:szCs w:val="16"/>
              </w:rPr>
            </w:pPr>
            <w:r w:rsidRPr="0028033B">
              <w:rPr>
                <w:rFonts w:cs="Calibri"/>
                <w:szCs w:val="16"/>
              </w:rPr>
              <w:t>Fraction of residue actually burned</w:t>
            </w:r>
          </w:p>
        </w:tc>
        <w:tc>
          <w:tcPr>
            <w:tcW w:w="1211" w:type="dxa"/>
            <w:noWrap/>
            <w:vAlign w:val="bottom"/>
          </w:tcPr>
          <w:p w14:paraId="485BB2ED" w14:textId="77777777" w:rsidR="00E46639" w:rsidRPr="0028033B" w:rsidRDefault="00E46639" w:rsidP="00F16E23">
            <w:pPr>
              <w:pStyle w:val="TableText"/>
              <w:spacing w:before="40" w:after="40"/>
              <w:jc w:val="right"/>
              <w:rPr>
                <w:rFonts w:cs="Calibri"/>
                <w:szCs w:val="16"/>
              </w:rPr>
            </w:pPr>
            <w:r w:rsidRPr="0028033B">
              <w:rPr>
                <w:rFonts w:cs="Calibri"/>
                <w:szCs w:val="16"/>
              </w:rPr>
              <w:t>0.7</w:t>
            </w:r>
          </w:p>
        </w:tc>
        <w:tc>
          <w:tcPr>
            <w:tcW w:w="1211" w:type="dxa"/>
            <w:noWrap/>
            <w:vAlign w:val="bottom"/>
          </w:tcPr>
          <w:p w14:paraId="00EC077E" w14:textId="77777777" w:rsidR="00E46639" w:rsidRPr="0028033B" w:rsidRDefault="00E46639" w:rsidP="00F16E23">
            <w:pPr>
              <w:pStyle w:val="TableText"/>
              <w:spacing w:before="40" w:after="40"/>
              <w:jc w:val="right"/>
              <w:rPr>
                <w:rFonts w:cs="Calibri"/>
                <w:szCs w:val="16"/>
              </w:rPr>
            </w:pPr>
            <w:r w:rsidRPr="0028033B">
              <w:rPr>
                <w:rFonts w:cs="Calibri"/>
                <w:szCs w:val="16"/>
              </w:rPr>
              <w:t>0.7</w:t>
            </w:r>
          </w:p>
        </w:tc>
        <w:tc>
          <w:tcPr>
            <w:tcW w:w="1211" w:type="dxa"/>
            <w:noWrap/>
            <w:vAlign w:val="bottom"/>
          </w:tcPr>
          <w:p w14:paraId="79E814A2" w14:textId="77777777" w:rsidR="00E46639" w:rsidRPr="0028033B" w:rsidRDefault="00E46639" w:rsidP="00F16E23">
            <w:pPr>
              <w:pStyle w:val="TableText"/>
              <w:spacing w:before="40" w:after="40"/>
              <w:jc w:val="right"/>
              <w:rPr>
                <w:rFonts w:cs="Calibri"/>
                <w:szCs w:val="16"/>
              </w:rPr>
            </w:pPr>
            <w:r w:rsidRPr="0028033B">
              <w:rPr>
                <w:rFonts w:cs="Calibri"/>
                <w:szCs w:val="16"/>
              </w:rPr>
              <w:t>0.7</w:t>
            </w:r>
          </w:p>
        </w:tc>
      </w:tr>
      <w:tr w:rsidR="00E46639" w:rsidRPr="0028033B" w14:paraId="6CC43CE6" w14:textId="77777777" w:rsidTr="00396F17">
        <w:tc>
          <w:tcPr>
            <w:tcW w:w="4480" w:type="dxa"/>
            <w:tcBorders>
              <w:bottom w:val="single" w:sz="4" w:space="0" w:color="1B556B" w:themeColor="text2"/>
            </w:tcBorders>
            <w:noWrap/>
            <w:vAlign w:val="bottom"/>
          </w:tcPr>
          <w:p w14:paraId="78030DAF" w14:textId="77777777" w:rsidR="00E46639" w:rsidRPr="0028033B" w:rsidRDefault="00E46639" w:rsidP="00F16E23">
            <w:pPr>
              <w:pStyle w:val="TableText"/>
              <w:spacing w:before="40" w:after="40"/>
              <w:rPr>
                <w:rFonts w:cs="Calibri"/>
                <w:szCs w:val="16"/>
              </w:rPr>
            </w:pPr>
            <w:r w:rsidRPr="0028033B">
              <w:rPr>
                <w:rFonts w:cs="Calibri"/>
                <w:szCs w:val="16"/>
              </w:rPr>
              <w:t>Harvest index</w:t>
            </w:r>
          </w:p>
        </w:tc>
        <w:tc>
          <w:tcPr>
            <w:tcW w:w="1211" w:type="dxa"/>
            <w:tcBorders>
              <w:bottom w:val="single" w:sz="4" w:space="0" w:color="1B556B" w:themeColor="text2"/>
            </w:tcBorders>
            <w:noWrap/>
            <w:vAlign w:val="bottom"/>
          </w:tcPr>
          <w:p w14:paraId="2830D961" w14:textId="77777777" w:rsidR="00E46639" w:rsidRPr="0028033B" w:rsidRDefault="00E46639" w:rsidP="00F16E23">
            <w:pPr>
              <w:pStyle w:val="TableText"/>
              <w:spacing w:before="40" w:after="40"/>
              <w:jc w:val="right"/>
              <w:rPr>
                <w:rFonts w:cs="Calibri"/>
                <w:szCs w:val="16"/>
              </w:rPr>
            </w:pPr>
            <w:r w:rsidRPr="0028033B">
              <w:rPr>
                <w:rFonts w:cs="Calibri"/>
                <w:szCs w:val="16"/>
              </w:rPr>
              <w:t>0.46</w:t>
            </w:r>
          </w:p>
        </w:tc>
        <w:tc>
          <w:tcPr>
            <w:tcW w:w="1211" w:type="dxa"/>
            <w:tcBorders>
              <w:bottom w:val="single" w:sz="4" w:space="0" w:color="1B556B" w:themeColor="text2"/>
            </w:tcBorders>
            <w:noWrap/>
            <w:vAlign w:val="bottom"/>
          </w:tcPr>
          <w:p w14:paraId="751019CE" w14:textId="77777777" w:rsidR="00E46639" w:rsidRPr="0028033B" w:rsidRDefault="00E46639" w:rsidP="00F16E23">
            <w:pPr>
              <w:pStyle w:val="TableText"/>
              <w:spacing w:before="40" w:after="40"/>
              <w:jc w:val="right"/>
              <w:rPr>
                <w:rFonts w:cs="Calibri"/>
                <w:szCs w:val="16"/>
              </w:rPr>
            </w:pPr>
            <w:r w:rsidRPr="0028033B">
              <w:rPr>
                <w:rFonts w:cs="Calibri"/>
                <w:szCs w:val="16"/>
              </w:rPr>
              <w:t>0.41</w:t>
            </w:r>
          </w:p>
        </w:tc>
        <w:tc>
          <w:tcPr>
            <w:tcW w:w="1211" w:type="dxa"/>
            <w:tcBorders>
              <w:bottom w:val="single" w:sz="4" w:space="0" w:color="1B556B" w:themeColor="text2"/>
            </w:tcBorders>
            <w:noWrap/>
            <w:vAlign w:val="bottom"/>
          </w:tcPr>
          <w:p w14:paraId="05BADD30" w14:textId="77777777" w:rsidR="00E46639" w:rsidRPr="0028033B" w:rsidRDefault="00E46639" w:rsidP="00F16E23">
            <w:pPr>
              <w:pStyle w:val="TableText"/>
              <w:spacing w:before="40" w:after="40"/>
              <w:jc w:val="right"/>
              <w:rPr>
                <w:rFonts w:cs="Calibri"/>
                <w:szCs w:val="16"/>
              </w:rPr>
            </w:pPr>
            <w:r w:rsidRPr="0028033B">
              <w:rPr>
                <w:rFonts w:cs="Calibri"/>
                <w:szCs w:val="16"/>
              </w:rPr>
              <w:t>0.30</w:t>
            </w:r>
          </w:p>
        </w:tc>
      </w:tr>
      <w:tr w:rsidR="00E46639" w:rsidRPr="0028033B" w14:paraId="563B3455" w14:textId="77777777" w:rsidTr="00F16E23">
        <w:tc>
          <w:tcPr>
            <w:tcW w:w="4480" w:type="dxa"/>
            <w:noWrap/>
            <w:vAlign w:val="bottom"/>
          </w:tcPr>
          <w:p w14:paraId="3F6121D1" w14:textId="77777777" w:rsidR="00E46639" w:rsidRPr="0028033B" w:rsidRDefault="00E46639" w:rsidP="00F16E23">
            <w:pPr>
              <w:pStyle w:val="TableText"/>
              <w:spacing w:before="40" w:after="40"/>
              <w:rPr>
                <w:rFonts w:cs="Calibri"/>
                <w:szCs w:val="16"/>
              </w:rPr>
            </w:pPr>
            <w:r w:rsidRPr="0028033B">
              <w:rPr>
                <w:rFonts w:cs="Calibri"/>
                <w:szCs w:val="16"/>
              </w:rPr>
              <w:t>Dry-matter fraction</w:t>
            </w:r>
          </w:p>
        </w:tc>
        <w:tc>
          <w:tcPr>
            <w:tcW w:w="1211" w:type="dxa"/>
            <w:noWrap/>
            <w:vAlign w:val="bottom"/>
          </w:tcPr>
          <w:p w14:paraId="0C5B15E3" w14:textId="77777777" w:rsidR="00E46639" w:rsidRPr="0028033B" w:rsidRDefault="00E46639" w:rsidP="00F16E23">
            <w:pPr>
              <w:pStyle w:val="TableText"/>
              <w:spacing w:before="40" w:after="40"/>
              <w:jc w:val="right"/>
              <w:rPr>
                <w:rFonts w:cs="Calibri"/>
                <w:szCs w:val="16"/>
              </w:rPr>
            </w:pPr>
            <w:r w:rsidRPr="0028033B">
              <w:rPr>
                <w:rFonts w:cs="Calibri"/>
                <w:szCs w:val="16"/>
              </w:rPr>
              <w:t>0.86</w:t>
            </w:r>
          </w:p>
        </w:tc>
        <w:tc>
          <w:tcPr>
            <w:tcW w:w="1211" w:type="dxa"/>
            <w:noWrap/>
            <w:vAlign w:val="bottom"/>
          </w:tcPr>
          <w:p w14:paraId="1D635978" w14:textId="77777777" w:rsidR="00E46639" w:rsidRPr="0028033B" w:rsidRDefault="00E46639" w:rsidP="00F16E23">
            <w:pPr>
              <w:pStyle w:val="TableText"/>
              <w:spacing w:before="40" w:after="40"/>
              <w:jc w:val="right"/>
              <w:rPr>
                <w:rFonts w:cs="Calibri"/>
                <w:szCs w:val="16"/>
              </w:rPr>
            </w:pPr>
            <w:r w:rsidRPr="0028033B">
              <w:rPr>
                <w:rFonts w:cs="Calibri"/>
                <w:szCs w:val="16"/>
              </w:rPr>
              <w:t>0.86</w:t>
            </w:r>
          </w:p>
        </w:tc>
        <w:tc>
          <w:tcPr>
            <w:tcW w:w="1211" w:type="dxa"/>
            <w:noWrap/>
            <w:vAlign w:val="bottom"/>
          </w:tcPr>
          <w:p w14:paraId="076C0652" w14:textId="77777777" w:rsidR="00E46639" w:rsidRPr="0028033B" w:rsidRDefault="00E46639" w:rsidP="00F16E23">
            <w:pPr>
              <w:pStyle w:val="TableText"/>
              <w:spacing w:before="40" w:after="40"/>
              <w:jc w:val="right"/>
              <w:rPr>
                <w:rFonts w:cs="Calibri"/>
                <w:szCs w:val="16"/>
              </w:rPr>
            </w:pPr>
            <w:r w:rsidRPr="0028033B">
              <w:rPr>
                <w:rFonts w:cs="Calibri"/>
                <w:szCs w:val="16"/>
              </w:rPr>
              <w:t>0.86</w:t>
            </w:r>
          </w:p>
        </w:tc>
      </w:tr>
      <w:tr w:rsidR="00E46639" w:rsidRPr="0028033B" w14:paraId="0A797283" w14:textId="77777777" w:rsidTr="00F16E23">
        <w:tc>
          <w:tcPr>
            <w:tcW w:w="4480" w:type="dxa"/>
            <w:noWrap/>
            <w:vAlign w:val="bottom"/>
          </w:tcPr>
          <w:p w14:paraId="385371BA" w14:textId="77777777" w:rsidR="00E46639" w:rsidRPr="0028033B" w:rsidRDefault="00E46639" w:rsidP="00F16E23">
            <w:pPr>
              <w:pStyle w:val="TableText"/>
              <w:spacing w:before="40" w:after="40"/>
              <w:rPr>
                <w:rFonts w:cs="Calibri"/>
                <w:szCs w:val="16"/>
              </w:rPr>
            </w:pPr>
            <w:r w:rsidRPr="0028033B">
              <w:rPr>
                <w:rFonts w:cs="Calibri"/>
                <w:szCs w:val="16"/>
              </w:rPr>
              <w:t>Fraction of nitrogen in biomass</w:t>
            </w:r>
          </w:p>
        </w:tc>
        <w:tc>
          <w:tcPr>
            <w:tcW w:w="1211" w:type="dxa"/>
            <w:noWrap/>
            <w:vAlign w:val="bottom"/>
          </w:tcPr>
          <w:p w14:paraId="743EC608" w14:textId="77777777" w:rsidR="00E46639" w:rsidRPr="0028033B" w:rsidRDefault="00E46639" w:rsidP="00F16E23">
            <w:pPr>
              <w:pStyle w:val="TableText"/>
              <w:spacing w:before="40" w:after="40"/>
              <w:jc w:val="right"/>
              <w:rPr>
                <w:rFonts w:cs="Calibri"/>
                <w:szCs w:val="16"/>
              </w:rPr>
            </w:pPr>
            <w:r w:rsidRPr="0028033B">
              <w:rPr>
                <w:rFonts w:cs="Calibri"/>
                <w:szCs w:val="16"/>
              </w:rPr>
              <w:t>0.005</w:t>
            </w:r>
          </w:p>
        </w:tc>
        <w:tc>
          <w:tcPr>
            <w:tcW w:w="1211" w:type="dxa"/>
            <w:noWrap/>
            <w:vAlign w:val="bottom"/>
          </w:tcPr>
          <w:p w14:paraId="27401C77" w14:textId="77777777" w:rsidR="00E46639" w:rsidRPr="0028033B" w:rsidRDefault="00E46639" w:rsidP="00F16E23">
            <w:pPr>
              <w:pStyle w:val="TableText"/>
              <w:spacing w:before="40" w:after="40"/>
              <w:jc w:val="right"/>
              <w:rPr>
                <w:rFonts w:cs="Calibri"/>
                <w:szCs w:val="16"/>
              </w:rPr>
            </w:pPr>
            <w:r w:rsidRPr="0028033B">
              <w:rPr>
                <w:rFonts w:cs="Calibri"/>
                <w:szCs w:val="16"/>
              </w:rPr>
              <w:t>0.005</w:t>
            </w:r>
          </w:p>
        </w:tc>
        <w:tc>
          <w:tcPr>
            <w:tcW w:w="1211" w:type="dxa"/>
            <w:noWrap/>
            <w:vAlign w:val="bottom"/>
          </w:tcPr>
          <w:p w14:paraId="6190C8EF" w14:textId="77777777" w:rsidR="00E46639" w:rsidRPr="0028033B" w:rsidRDefault="00E46639" w:rsidP="00F16E23">
            <w:pPr>
              <w:pStyle w:val="TableText"/>
              <w:spacing w:before="40" w:after="40"/>
              <w:jc w:val="right"/>
              <w:rPr>
                <w:rFonts w:cs="Calibri"/>
                <w:szCs w:val="16"/>
              </w:rPr>
            </w:pPr>
            <w:r w:rsidRPr="0028033B">
              <w:rPr>
                <w:rFonts w:cs="Calibri"/>
                <w:szCs w:val="16"/>
              </w:rPr>
              <w:t>0.005</w:t>
            </w:r>
          </w:p>
        </w:tc>
      </w:tr>
      <w:tr w:rsidR="00E46639" w:rsidRPr="0028033B" w14:paraId="10403B69" w14:textId="77777777" w:rsidTr="00F16E23">
        <w:tc>
          <w:tcPr>
            <w:tcW w:w="4480" w:type="dxa"/>
            <w:noWrap/>
            <w:vAlign w:val="bottom"/>
          </w:tcPr>
          <w:p w14:paraId="702ABE77" w14:textId="77777777" w:rsidR="00E46639" w:rsidRPr="0028033B" w:rsidRDefault="00E46639" w:rsidP="00F16E23">
            <w:pPr>
              <w:pStyle w:val="TableText"/>
              <w:spacing w:before="40" w:after="40"/>
              <w:rPr>
                <w:rFonts w:cs="Calibri"/>
                <w:szCs w:val="16"/>
              </w:rPr>
            </w:pPr>
            <w:r w:rsidRPr="0028033B">
              <w:rPr>
                <w:rFonts w:cs="Calibri"/>
                <w:szCs w:val="16"/>
              </w:rPr>
              <w:t>Fraction of carbon in biomass</w:t>
            </w:r>
          </w:p>
        </w:tc>
        <w:tc>
          <w:tcPr>
            <w:tcW w:w="1211" w:type="dxa"/>
            <w:noWrap/>
            <w:vAlign w:val="bottom"/>
          </w:tcPr>
          <w:p w14:paraId="32D9C1E2" w14:textId="77777777" w:rsidR="00E46639" w:rsidRPr="0028033B" w:rsidRDefault="00E46639" w:rsidP="00F16E23">
            <w:pPr>
              <w:pStyle w:val="TableText"/>
              <w:spacing w:before="40" w:after="40"/>
              <w:jc w:val="right"/>
              <w:rPr>
                <w:rFonts w:cs="Calibri"/>
                <w:szCs w:val="16"/>
              </w:rPr>
            </w:pPr>
            <w:r w:rsidRPr="0028033B">
              <w:rPr>
                <w:rFonts w:cs="Calibri"/>
                <w:szCs w:val="16"/>
              </w:rPr>
              <w:t>0.4567</w:t>
            </w:r>
          </w:p>
        </w:tc>
        <w:tc>
          <w:tcPr>
            <w:tcW w:w="1211" w:type="dxa"/>
            <w:noWrap/>
            <w:vAlign w:val="bottom"/>
          </w:tcPr>
          <w:p w14:paraId="66EFCF3E" w14:textId="77777777" w:rsidR="00E46639" w:rsidRPr="0028033B" w:rsidRDefault="00E46639" w:rsidP="00F16E23">
            <w:pPr>
              <w:pStyle w:val="TableText"/>
              <w:spacing w:before="40" w:after="40"/>
              <w:jc w:val="right"/>
              <w:rPr>
                <w:rFonts w:cs="Calibri"/>
                <w:szCs w:val="16"/>
              </w:rPr>
            </w:pPr>
            <w:r w:rsidRPr="0028033B">
              <w:rPr>
                <w:rFonts w:cs="Calibri"/>
                <w:szCs w:val="16"/>
              </w:rPr>
              <w:t>0.4853</w:t>
            </w:r>
          </w:p>
        </w:tc>
        <w:tc>
          <w:tcPr>
            <w:tcW w:w="1211" w:type="dxa"/>
            <w:noWrap/>
            <w:vAlign w:val="bottom"/>
          </w:tcPr>
          <w:p w14:paraId="18EE7D0E" w14:textId="77777777" w:rsidR="00E46639" w:rsidRPr="0028033B" w:rsidRDefault="00E46639" w:rsidP="00F16E23">
            <w:pPr>
              <w:pStyle w:val="TableText"/>
              <w:spacing w:before="40" w:after="40"/>
              <w:jc w:val="right"/>
              <w:rPr>
                <w:rFonts w:cs="Calibri"/>
                <w:szCs w:val="16"/>
              </w:rPr>
            </w:pPr>
            <w:r w:rsidRPr="0028033B">
              <w:rPr>
                <w:rFonts w:cs="Calibri"/>
                <w:szCs w:val="16"/>
              </w:rPr>
              <w:t>0.4567</w:t>
            </w:r>
          </w:p>
        </w:tc>
      </w:tr>
    </w:tbl>
    <w:p w14:paraId="0B33DCE7" w14:textId="77777777" w:rsidR="00E46639" w:rsidRPr="0028033B" w:rsidRDefault="00E46639" w:rsidP="00E46639">
      <w:pPr>
        <w:pStyle w:val="Source"/>
        <w:spacing w:after="120"/>
      </w:pPr>
      <w:r w:rsidRPr="0028033B">
        <w:rPr>
          <w:b/>
        </w:rPr>
        <w:t>Source:</w:t>
      </w:r>
      <w:r w:rsidRPr="0028033B">
        <w:rPr>
          <w:b/>
        </w:rPr>
        <w:tab/>
      </w:r>
      <w:r w:rsidRPr="0028033B">
        <w:t xml:space="preserve"> Thomas et al. (2012)</w:t>
      </w:r>
    </w:p>
    <w:p w14:paraId="5FAE2E68" w14:textId="77777777" w:rsidR="00E46639" w:rsidRPr="0028033B" w:rsidRDefault="00E46639" w:rsidP="00E46639">
      <w:pPr>
        <w:pStyle w:val="BodyText"/>
      </w:pPr>
      <w:r w:rsidRPr="0028033B">
        <w:t xml:space="preserve">From 2005 to 2024, calculation of the amount of biomass residue burned was based on information about the area of crop residue burning from the Stats NZ Agricultural Production Census and </w:t>
      </w:r>
      <w:r w:rsidRPr="0028033B">
        <w:rPr>
          <w:rFonts w:cs="Calibri"/>
        </w:rPr>
        <w:t xml:space="preserve">Agricultural Production </w:t>
      </w:r>
      <w:r w:rsidRPr="0028033B">
        <w:t xml:space="preserve">Survey. </w:t>
      </w:r>
    </w:p>
    <w:p w14:paraId="3837373B" w14:textId="77777777" w:rsidR="00E46639" w:rsidRPr="0028033B" w:rsidRDefault="00E46639" w:rsidP="00E46639">
      <w:pPr>
        <w:pStyle w:val="BodyText"/>
      </w:pPr>
      <w:r w:rsidRPr="0028033B">
        <w:t>Biomass burned from 2005, AG</w:t>
      </w:r>
      <w:r w:rsidRPr="0028033B">
        <w:rPr>
          <w:vertAlign w:val="subscript"/>
        </w:rPr>
        <w:t xml:space="preserve">BURN </w:t>
      </w:r>
      <w:r w:rsidRPr="0028033B">
        <w:t>(as previously defined), is:</w:t>
      </w:r>
    </w:p>
    <w:bookmarkStart w:id="1480" w:name="_1767789419"/>
    <w:bookmarkEnd w:id="1480"/>
    <w:p w14:paraId="394E980B" w14:textId="77777777" w:rsidR="00E46639" w:rsidRPr="0028033B" w:rsidRDefault="00000000" w:rsidP="00E46639">
      <w:pPr>
        <w:pStyle w:val="BodyText"/>
        <w:spacing w:before="80" w:after="80"/>
        <w:jc w:val="center"/>
        <w:rPr>
          <w:rFonts w:cs="Calibri"/>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RESIDUE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172BAE06" w14:textId="77777777" w:rsidR="00E46639" w:rsidRPr="0028033B" w:rsidRDefault="00E46639" w:rsidP="00E46639">
      <w:pPr>
        <w:pStyle w:val="BodyText"/>
        <w:keepNext/>
        <w:spacing w:after="40"/>
        <w:ind w:left="964" w:hanging="964"/>
        <w:rPr>
          <w:rFonts w:cs="Calibri"/>
        </w:rPr>
      </w:pPr>
      <w:r w:rsidRPr="0028033B">
        <w:rPr>
          <w:rFonts w:cs="Calibri"/>
        </w:rPr>
        <w:t>Where:</w:t>
      </w:r>
      <w:r w:rsidRPr="0028033B">
        <w:rPr>
          <w:rFonts w:cs="Calibri"/>
        </w:rPr>
        <w:tab/>
        <w:t>AG</w:t>
      </w:r>
      <w:r w:rsidRPr="0028033B">
        <w:rPr>
          <w:rFonts w:cs="Calibri"/>
          <w:vertAlign w:val="subscript"/>
        </w:rPr>
        <w:t>DM</w:t>
      </w:r>
      <w:r w:rsidRPr="0028033B">
        <w:rPr>
          <w:rFonts w:cs="Calibri"/>
        </w:rPr>
        <w:t xml:space="preserve"> is the amount of above-ground residue (tonnes)</w:t>
      </w:r>
    </w:p>
    <w:p w14:paraId="01BFCF5C" w14:textId="77777777" w:rsidR="00E46639" w:rsidRPr="0028033B" w:rsidRDefault="00E46639" w:rsidP="00E46639">
      <w:pPr>
        <w:pStyle w:val="BodyText"/>
        <w:spacing w:before="30" w:after="40"/>
        <w:ind w:left="964"/>
        <w:rPr>
          <w:rFonts w:cs="Calibri"/>
        </w:rPr>
      </w:pPr>
      <w:r w:rsidRPr="0028033B">
        <w:rPr>
          <w:rFonts w:cs="Calibri"/>
        </w:rPr>
        <w:t>Frac</w:t>
      </w:r>
      <w:r w:rsidRPr="0028033B">
        <w:rPr>
          <w:rFonts w:cs="Calibri"/>
          <w:vertAlign w:val="subscript"/>
        </w:rPr>
        <w:t>RESIDUE</w:t>
      </w:r>
      <w:r w:rsidRPr="0028033B">
        <w:rPr>
          <w:rFonts w:cs="Calibri"/>
        </w:rPr>
        <w:t xml:space="preserve"> is the proportion of residue remaining after harvest (see table 5.7.2), and</w:t>
      </w:r>
    </w:p>
    <w:p w14:paraId="3682B239" w14:textId="77777777" w:rsidR="00E46639" w:rsidRPr="0028033B" w:rsidRDefault="00E46639" w:rsidP="00E46639">
      <w:pPr>
        <w:pStyle w:val="BodyText"/>
        <w:spacing w:before="30"/>
        <w:ind w:left="964"/>
        <w:rPr>
          <w:rFonts w:cs="Calibri"/>
        </w:rPr>
      </w:pPr>
      <w:r w:rsidRPr="0028033B">
        <w:rPr>
          <w:rFonts w:cs="Calibri"/>
        </w:rPr>
        <w:t>Frac</w:t>
      </w:r>
      <w:r w:rsidRPr="0028033B">
        <w:rPr>
          <w:rFonts w:cs="Calibri"/>
          <w:vertAlign w:val="subscript"/>
        </w:rPr>
        <w:t>BURN</w:t>
      </w:r>
      <w:r w:rsidRPr="0028033B">
        <w:rPr>
          <w:rFonts w:cs="Calibri"/>
        </w:rPr>
        <w:t xml:space="preserve"> is the proportion of remaining residue burned.</w:t>
      </w:r>
    </w:p>
    <w:p w14:paraId="4EFBF838" w14:textId="77777777" w:rsidR="00E46639" w:rsidRPr="0028033B" w:rsidRDefault="00E46639" w:rsidP="00E46639">
      <w:pPr>
        <w:pStyle w:val="BodyText"/>
      </w:pPr>
      <w:r w:rsidRPr="0028033B">
        <w:t>The above-ground residue, AG</w:t>
      </w:r>
      <w:r w:rsidRPr="0028033B">
        <w:rPr>
          <w:vertAlign w:val="subscript"/>
        </w:rPr>
        <w:t xml:space="preserve">DM </w:t>
      </w:r>
      <w:r w:rsidRPr="0028033B">
        <w:t>(tonnes), is:</w:t>
      </w:r>
    </w:p>
    <w:bookmarkStart w:id="1481" w:name="_1767789507"/>
    <w:bookmarkEnd w:id="1481"/>
    <w:p w14:paraId="336E6013" w14:textId="77777777" w:rsidR="00E46639" w:rsidRPr="0028033B" w:rsidRDefault="00000000" w:rsidP="00E46639">
      <w:pPr>
        <w:pStyle w:val="BodyText"/>
        <w:spacing w:before="80" w:after="80"/>
        <w:jc w:val="cente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num>
            <m:den>
              <m:r>
                <w:rPr>
                  <w:rFonts w:ascii="Cambria Math" w:hAnsi="Cambria Math"/>
                  <w:sz w:val="24"/>
                  <w:szCs w:val="24"/>
                </w:rPr>
                <m:t>HI</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r>
            <w:rPr>
              <w:rFonts w:ascii="Cambria Math" w:hAnsi="Cambria Math"/>
              <w:sz w:val="24"/>
              <w:szCs w:val="24"/>
            </w:rPr>
            <m:t xml:space="preserve"> </m:t>
          </m:r>
        </m:oMath>
      </m:oMathPara>
    </w:p>
    <w:p w14:paraId="2C6889AD" w14:textId="77777777" w:rsidR="00E46639" w:rsidRPr="0028033B" w:rsidRDefault="00E46639" w:rsidP="00E46639">
      <w:pPr>
        <w:pStyle w:val="BodyText"/>
        <w:spacing w:after="0"/>
        <w:ind w:left="964" w:hanging="964"/>
        <w:rPr>
          <w:rFonts w:cs="Calibri"/>
        </w:rPr>
      </w:pPr>
      <w:r w:rsidRPr="0028033B">
        <w:rPr>
          <w:rFonts w:cs="Calibri"/>
        </w:rPr>
        <w:t>Where:</w:t>
      </w:r>
      <w:r w:rsidRPr="0028033B">
        <w:rPr>
          <w:rFonts w:cs="Calibri"/>
        </w:rPr>
        <w:tab/>
        <w:t>HI is the harvest index (crop specific, table 5.7.2); that is, the mass harvested over the total mass of above-ground biomass, and</w:t>
      </w:r>
    </w:p>
    <w:p w14:paraId="41768458" w14:textId="77777777" w:rsidR="00E46639" w:rsidRPr="0028033B" w:rsidRDefault="00E46639" w:rsidP="00E46639">
      <w:pPr>
        <w:pStyle w:val="BodyText"/>
        <w:spacing w:before="60"/>
        <w:ind w:left="964"/>
        <w:rPr>
          <w:rFonts w:cs="Calibri"/>
        </w:rPr>
      </w:pPr>
      <w:r w:rsidRPr="0028033B">
        <w:rPr>
          <w:rFonts w:cs="Calibri"/>
        </w:rPr>
        <w:t>Prod</w:t>
      </w:r>
      <w:r w:rsidRPr="0028033B">
        <w:rPr>
          <w:rFonts w:cs="Calibri"/>
          <w:vertAlign w:val="subscript"/>
        </w:rPr>
        <w:t>DM</w:t>
      </w:r>
      <w:r w:rsidRPr="0028033B">
        <w:rPr>
          <w:rFonts w:cs="Calibri"/>
        </w:rPr>
        <w:t xml:space="preserve"> (measured in tonnes) is the dry-matter production of the area burned and is determined as follows:</w:t>
      </w:r>
    </w:p>
    <w:p w14:paraId="7ABFFD48" w14:textId="77777777" w:rsidR="00E46639" w:rsidRPr="0028033B" w:rsidRDefault="00E46639" w:rsidP="00E46639">
      <w:pPr>
        <w:pStyle w:val="BodyText"/>
        <w:spacing w:before="60" w:after="80"/>
        <w:jc w:val="center"/>
        <w:rPr>
          <w:rFonts w:cs="Calibri"/>
        </w:rPr>
      </w:pPr>
      <w:bookmarkStart w:id="1482" w:name="_MON_1548661704"/>
      <w:bookmarkEnd w:id="1482"/>
      <w:r w:rsidRPr="0028033B">
        <w:rPr>
          <w:rFonts w:cs="Calibri"/>
          <w:noProof/>
        </w:rPr>
        <w:drawing>
          <wp:inline distT="0" distB="0" distL="0" distR="0" wp14:anchorId="74DC0716" wp14:editId="3808C271">
            <wp:extent cx="4975120" cy="20471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02055" cy="205825"/>
                    </a:xfrm>
                    <a:prstGeom prst="rect">
                      <a:avLst/>
                    </a:prstGeom>
                    <a:noFill/>
                    <a:ln>
                      <a:noFill/>
                    </a:ln>
                  </pic:spPr>
                </pic:pic>
              </a:graphicData>
            </a:graphic>
          </wp:inline>
        </w:drawing>
      </w:r>
    </w:p>
    <w:p w14:paraId="3264A0C7" w14:textId="77777777" w:rsidR="00E46639" w:rsidRPr="0028033B" w:rsidRDefault="00E46639" w:rsidP="00E46639">
      <w:pPr>
        <w:pStyle w:val="BodyText"/>
        <w:spacing w:after="40"/>
        <w:ind w:left="964" w:hanging="964"/>
        <w:rPr>
          <w:rFonts w:cs="Calibri"/>
        </w:rPr>
      </w:pPr>
      <w:r w:rsidRPr="0028033B">
        <w:rPr>
          <w:rFonts w:cs="Calibri"/>
        </w:rPr>
        <w:t>Where:</w:t>
      </w:r>
      <w:r w:rsidRPr="0028033B">
        <w:rPr>
          <w:rFonts w:cs="Calibri"/>
        </w:rPr>
        <w:tab/>
        <w:t>Area</w:t>
      </w:r>
      <w:r w:rsidRPr="0028033B">
        <w:rPr>
          <w:rFonts w:cs="Calibri"/>
          <w:vertAlign w:val="subscript"/>
        </w:rPr>
        <w:t>BURN</w:t>
      </w:r>
      <w:r w:rsidRPr="0028033B">
        <w:rPr>
          <w:rFonts w:cs="Calibri"/>
        </w:rPr>
        <w:t xml:space="preserve"> is the annual area burned (hectare)</w:t>
      </w:r>
    </w:p>
    <w:p w14:paraId="5978C23D" w14:textId="77777777" w:rsidR="00E46639" w:rsidRPr="0028033B" w:rsidRDefault="00E46639" w:rsidP="00E46639">
      <w:pPr>
        <w:pStyle w:val="BodyText"/>
        <w:spacing w:before="40" w:after="40"/>
        <w:ind w:left="964"/>
        <w:rPr>
          <w:rFonts w:cs="Calibri"/>
        </w:rPr>
      </w:pPr>
      <w:r w:rsidRPr="0028033B">
        <w:rPr>
          <w:rFonts w:cs="Calibri"/>
        </w:rPr>
        <w:t xml:space="preserve">Y is the average crop yield (tonnes per hectare), and </w:t>
      </w:r>
    </w:p>
    <w:p w14:paraId="08C09719" w14:textId="77777777" w:rsidR="00E46639" w:rsidRPr="0028033B" w:rsidRDefault="00E46639" w:rsidP="00E46639">
      <w:pPr>
        <w:pStyle w:val="BodyText"/>
        <w:spacing w:before="40"/>
        <w:ind w:left="964"/>
        <w:rPr>
          <w:rFonts w:cs="Calibri"/>
        </w:rPr>
      </w:pPr>
      <w:r w:rsidRPr="0028033B">
        <w:rPr>
          <w:rFonts w:cs="Calibri"/>
        </w:rPr>
        <w:t>Frac</w:t>
      </w:r>
      <w:r w:rsidRPr="0028033B">
        <w:rPr>
          <w:rFonts w:cs="Calibri"/>
          <w:vertAlign w:val="subscript"/>
        </w:rPr>
        <w:t>DM</w:t>
      </w:r>
      <w:r w:rsidRPr="0028033B">
        <w:rPr>
          <w:rFonts w:cs="Calibri"/>
        </w:rPr>
        <w:t xml:space="preserve"> is the fraction of crop that is dry matter (crop specific, table 5.7.2).</w:t>
      </w:r>
    </w:p>
    <w:p w14:paraId="5F715400" w14:textId="77777777" w:rsidR="00E46639" w:rsidRPr="0028033B" w:rsidRDefault="00E46639" w:rsidP="00E46639">
      <w:pPr>
        <w:pStyle w:val="BodyText"/>
      </w:pPr>
      <w:r w:rsidRPr="0028033B">
        <w:t xml:space="preserve">The country-specific parameters for the proportion of residue burned, harvest indices, dry-matter fractions, the fraction oxidised, and the carbon and nitrogen fractions of the residue </w:t>
      </w:r>
      <w:r w:rsidRPr="0028033B">
        <w:rPr>
          <w:spacing w:val="-2"/>
        </w:rPr>
        <w:t xml:space="preserve">(table 5.7.2) are derived from the </w:t>
      </w:r>
      <w:r w:rsidRPr="0028033B">
        <w:t>OverseerFM</w:t>
      </w:r>
      <w:r w:rsidRPr="0028033B">
        <w:rPr>
          <w:spacing w:val="-2"/>
        </w:rPr>
        <w:t xml:space="preserve"> nutrient budget model for </w:t>
      </w:r>
      <w:r w:rsidRPr="0028033B" w:rsidDel="00BE3CB1">
        <w:rPr>
          <w:rFonts w:cs="Calibri"/>
          <w:spacing w:val="-2"/>
        </w:rPr>
        <w:t xml:space="preserve">New </w:t>
      </w:r>
      <w:r w:rsidRPr="0028033B">
        <w:rPr>
          <w:rFonts w:cs="Calibri"/>
          <w:spacing w:val="-2"/>
        </w:rPr>
        <w:t>Zealand</w:t>
      </w:r>
      <w:r w:rsidRPr="0028033B">
        <w:rPr>
          <w:spacing w:val="-2"/>
        </w:rPr>
        <w:t xml:space="preserve"> (Wheeler</w:t>
      </w:r>
      <w:r w:rsidRPr="0028033B">
        <w:t xml:space="preserve"> et al., 2003). These parameters are the same as those used for estimates of emissions from crop residues (see section 5.5.2). Further detail is provided in Thomas et al. (2012).</w:t>
      </w:r>
    </w:p>
    <w:p w14:paraId="19B06D80" w14:textId="77777777" w:rsidR="00E46639" w:rsidRPr="0028033B" w:rsidRDefault="00E46639" w:rsidP="00E46639">
      <w:pPr>
        <w:pStyle w:val="BodyText"/>
        <w:keepLines/>
      </w:pPr>
      <w:r w:rsidRPr="0028033B">
        <w:t xml:space="preserve">The recommended proportion of crop area burned for 1990 to 2004 was determined by a farmer survey and assumed to be 70 percent of wheat, 50 percent of barley and 50 percent of oat crops (Thomas et al., 2012). These values are in alignment with Stats NZ data for 2005 to 2007 (2005 being the first year Stats NZ gathered these data) and are, therefore, applied to the years 1990 to 2004. From 2005, data on the total area of crop residues burned in </w:t>
      </w:r>
      <w:r w:rsidRPr="0028033B" w:rsidDel="006C2A13">
        <w:rPr>
          <w:rFonts w:cs="Calibri"/>
          <w:spacing w:val="-2"/>
        </w:rPr>
        <w:t xml:space="preserve">New </w:t>
      </w:r>
      <w:r w:rsidRPr="0028033B">
        <w:rPr>
          <w:rFonts w:cs="Calibri"/>
          <w:spacing w:val="-2"/>
        </w:rPr>
        <w:t>Zealand</w:t>
      </w:r>
      <w:r w:rsidRPr="0028033B">
        <w:t xml:space="preserve"> were collected but, while the data show total residue burned at a regional and national level, they do not differentiate between cereal crop types. </w:t>
      </w:r>
    </w:p>
    <w:p w14:paraId="206597C0" w14:textId="77777777" w:rsidR="00E46639" w:rsidRPr="0028033B" w:rsidRDefault="00E46639" w:rsidP="00E46639">
      <w:pPr>
        <w:pStyle w:val="BodyText"/>
      </w:pPr>
      <w:r w:rsidRPr="0028033B">
        <w:t xml:space="preserve">For 2005 onwards, the same proportions of crop area burned for wheat (70 percent), barley (50 percent) and oats (50 percent) were used. However, these areas were then multiplied by a constant factor </w:t>
      </w:r>
      <w:r w:rsidRPr="0028033B">
        <w:rPr>
          <w:i/>
        </w:rPr>
        <w:t>K</w:t>
      </w:r>
      <w:r w:rsidRPr="0028033B">
        <w:t xml:space="preserve"> such that the total area burned is consistent with the Stats NZ Agricultural Production Survey. This captures year-to-year variability, such as reduced burning during very dry and very wet years.</w:t>
      </w:r>
    </w:p>
    <w:p w14:paraId="747B68D4" w14:textId="77777777" w:rsidR="00E46639" w:rsidRPr="0028033B" w:rsidRDefault="00E46639" w:rsidP="00E46639">
      <w:pPr>
        <w:pStyle w:val="BodyText"/>
        <w:spacing w:before="80"/>
        <w:rPr>
          <w:i/>
          <w:sz w:val="24"/>
        </w:rPr>
      </w:pPr>
      <m:oMathPara>
        <m:oMathParaPr>
          <m:jc m:val="center"/>
        </m:oMathParaPr>
        <m:oMath>
          <m:r>
            <w:rPr>
              <w:rFonts w:ascii="Cambria Math" w:hAnsi="Cambria Math"/>
              <w:sz w:val="24"/>
            </w:rPr>
            <m:t xml:space="preserve">K= </m:t>
          </m:r>
          <m:f>
            <m:fPr>
              <m:ctrlPr>
                <w:rPr>
                  <w:rFonts w:ascii="Cambria Math" w:hAnsi="Cambria Math"/>
                  <w:i/>
                  <w:sz w:val="24"/>
                </w:rPr>
              </m:ctrlPr>
            </m:fPr>
            <m:num>
              <m:r>
                <w:rPr>
                  <w:rFonts w:ascii="Cambria Math" w:hAnsi="Cambria Math"/>
                  <w:sz w:val="24"/>
                </w:rPr>
                <m:t>Total Area Burnt</m:t>
              </m:r>
            </m:num>
            <m:den>
              <m:sSub>
                <m:sSubPr>
                  <m:ctrlPr>
                    <w:rPr>
                      <w:rFonts w:ascii="Cambria Math" w:hAnsi="Cambria Math"/>
                      <w:i/>
                      <w:sz w:val="24"/>
                    </w:rPr>
                  </m:ctrlPr>
                </m:sSubPr>
                <m:e>
                  <m:r>
                    <w:rPr>
                      <w:rFonts w:ascii="Cambria Math" w:hAnsi="Cambria Math"/>
                      <w:sz w:val="24"/>
                    </w:rPr>
                    <m:t>0.7×Area Burnt</m:t>
                  </m:r>
                </m:e>
                <m:sub>
                  <m:r>
                    <w:rPr>
                      <w:rFonts w:ascii="Cambria Math" w:hAnsi="Cambria Math"/>
                      <w:sz w:val="24"/>
                    </w:rPr>
                    <m:t>Wheat</m:t>
                  </m:r>
                </m:sub>
              </m:sSub>
              <m:r>
                <w:rPr>
                  <w:rFonts w:ascii="Cambria Math" w:hAnsi="Cambria Math"/>
                  <w:sz w:val="24"/>
                </w:rPr>
                <m:t>+</m:t>
              </m:r>
              <m:sSub>
                <m:sSubPr>
                  <m:ctrlPr>
                    <w:rPr>
                      <w:rFonts w:ascii="Cambria Math" w:hAnsi="Cambria Math"/>
                      <w:i/>
                      <w:sz w:val="24"/>
                    </w:rPr>
                  </m:ctrlPr>
                </m:sSubPr>
                <m:e>
                  <m:r>
                    <w:rPr>
                      <w:rFonts w:ascii="Cambria Math" w:hAnsi="Cambria Math"/>
                      <w:sz w:val="24"/>
                    </w:rPr>
                    <m:t>0.5×Area Burnt</m:t>
                  </m:r>
                </m:e>
                <m:sub>
                  <m:r>
                    <w:rPr>
                      <w:rFonts w:ascii="Cambria Math" w:hAnsi="Cambria Math"/>
                      <w:sz w:val="24"/>
                    </w:rPr>
                    <m:t>Barley</m:t>
                  </m:r>
                </m:sub>
              </m:sSub>
              <m:r>
                <w:rPr>
                  <w:rFonts w:ascii="Cambria Math" w:hAnsi="Cambria Math"/>
                  <w:sz w:val="24"/>
                </w:rPr>
                <m:t>+</m:t>
              </m:r>
              <m:sSub>
                <m:sSubPr>
                  <m:ctrlPr>
                    <w:rPr>
                      <w:rFonts w:ascii="Cambria Math" w:hAnsi="Cambria Math"/>
                      <w:i/>
                      <w:sz w:val="24"/>
                    </w:rPr>
                  </m:ctrlPr>
                </m:sSubPr>
                <m:e>
                  <m:r>
                    <w:rPr>
                      <w:rFonts w:ascii="Cambria Math" w:hAnsi="Cambria Math"/>
                      <w:sz w:val="24"/>
                    </w:rPr>
                    <m:t>0.5×Area Burnt</m:t>
                  </m:r>
                </m:e>
                <m:sub>
                  <m:r>
                    <w:rPr>
                      <w:rFonts w:ascii="Cambria Math" w:hAnsi="Cambria Math"/>
                      <w:sz w:val="24"/>
                    </w:rPr>
                    <m:t>Oats</m:t>
                  </m:r>
                </m:sub>
              </m:sSub>
            </m:den>
          </m:f>
        </m:oMath>
      </m:oMathPara>
    </w:p>
    <w:p w14:paraId="3D71832E" w14:textId="77777777" w:rsidR="00E46639" w:rsidRPr="0028033B" w:rsidRDefault="00E46639" w:rsidP="00E46639">
      <w:pPr>
        <w:pStyle w:val="BodyText"/>
        <w:keepLines/>
        <w:rPr>
          <w:rFonts w:cs="Calibri"/>
        </w:rPr>
      </w:pPr>
      <w:r w:rsidRPr="0028033B">
        <w:rPr>
          <w:rFonts w:cs="Calibri"/>
        </w:rPr>
        <w:t>Thomas et al. (2012) sought expert opinion that suggested, if crop residue is to be burned, there is generally no prior removal for feed and bedding. Therefore, 100 percent of residue is left for burning after the harvested proportion has been removed (i.e., Frac</w:t>
      </w:r>
      <w:r w:rsidRPr="0028033B">
        <w:rPr>
          <w:rFonts w:cs="Calibri"/>
          <w:vertAlign w:val="subscript"/>
        </w:rPr>
        <w:t>REMOVE</w:t>
      </w:r>
      <w:r w:rsidRPr="0028033B">
        <w:rPr>
          <w:rFonts w:cs="Calibri"/>
        </w:rPr>
        <w:t xml:space="preserve"> is assumed to be zero; Thomas et al., 2012). This is consistent with section 5.5.2. </w:t>
      </w:r>
    </w:p>
    <w:p w14:paraId="46C2406C" w14:textId="77777777" w:rsidR="00E46639" w:rsidRPr="0028033B" w:rsidRDefault="00E46639" w:rsidP="00E46639">
      <w:pPr>
        <w:pStyle w:val="Heading3"/>
        <w:spacing w:before="280"/>
      </w:pPr>
      <w:bookmarkStart w:id="1483" w:name="_Toc32570678"/>
      <w:r w:rsidRPr="0028033B">
        <w:t>5.7.3</w:t>
      </w:r>
      <w:r w:rsidRPr="0028033B">
        <w:tab/>
        <w:t>Uncertainty assessment and time-series consistency</w:t>
      </w:r>
      <w:bookmarkEnd w:id="1483"/>
    </w:p>
    <w:p w14:paraId="252E385E" w14:textId="77777777" w:rsidR="00E46639" w:rsidRPr="0028033B" w:rsidRDefault="00E46639" w:rsidP="00E46639">
      <w:pPr>
        <w:pStyle w:val="BodyText"/>
        <w:spacing w:before="100" w:after="100"/>
      </w:pPr>
      <w:bookmarkStart w:id="1484" w:name="_Hlk187845710"/>
      <w:r w:rsidRPr="0028033B">
        <w:t>The largest contributor to uncertainty in the estimated emissions is the fraction of agricultural residue burned in the field. Expert opinion for the fraction of crops burned in fields between 1990 and 2004 was taken from farmer surveys in the Canterbury area, where approximately 60 percent of cereal production occurs. Between 2005 and 2009, an average of 86 percent of total residue burning occurred in Canterbury. Estimates of crop burning for 2024 were approximately 24 percent (calculated as a percentage of total wheat, barley, oat and maize grain crop area), and the proportion of the total cereal growing area burned has fallen from around 60 percent</w:t>
      </w:r>
      <w:r w:rsidRPr="0028033B">
        <w:rPr>
          <w:spacing w:val="-2"/>
        </w:rPr>
        <w:t xml:space="preserve"> to around 30 percent (Thomas et. al., unpublished), reflecting variations in annual weather patterns</w:t>
      </w:r>
      <w:r w:rsidRPr="0028033B">
        <w:t xml:space="preserve">. </w:t>
      </w:r>
    </w:p>
    <w:p w14:paraId="79352C69" w14:textId="77777777" w:rsidR="00E46639" w:rsidRPr="0028033B" w:rsidRDefault="00E46639" w:rsidP="00E46639">
      <w:pPr>
        <w:pStyle w:val="BodyText"/>
        <w:spacing w:before="100" w:after="100"/>
      </w:pPr>
      <w:r w:rsidRPr="0028033B">
        <w:t>Although country-specific parameters have been developed, a conservative approach to uncertainty is taken, using the IPCC (2000) value of ±20 percent for the emission factor uncertainty. Given that emissions from field burning are low, compared with emissions from the rest of Agriculture inventory sector, the uncertainties from field burning have little impact on total emission uncertainties.</w:t>
      </w:r>
    </w:p>
    <w:p w14:paraId="07F5B62D" w14:textId="77777777" w:rsidR="00E46639" w:rsidRPr="0028033B" w:rsidRDefault="00E46639" w:rsidP="00E46639">
      <w:pPr>
        <w:pStyle w:val="Heading3"/>
        <w:spacing w:before="260"/>
      </w:pPr>
      <w:bookmarkStart w:id="1485" w:name="_Toc32570679"/>
      <w:bookmarkEnd w:id="1484"/>
      <w:r w:rsidRPr="0028033B">
        <w:t>5.7.4</w:t>
      </w:r>
      <w:r w:rsidRPr="0028033B">
        <w:tab/>
        <w:t>Category-specific QA/QC and verification</w:t>
      </w:r>
      <w:bookmarkEnd w:id="1485"/>
    </w:p>
    <w:p w14:paraId="785AA3E7" w14:textId="77777777" w:rsidR="00E46639" w:rsidRPr="0028033B" w:rsidRDefault="00E46639" w:rsidP="00E46639">
      <w:pPr>
        <w:pStyle w:val="BodyText"/>
        <w:rPr>
          <w:rFonts w:cs="Calibri"/>
        </w:rPr>
      </w:pPr>
      <w:r w:rsidRPr="0028033B">
        <w:rPr>
          <w:rFonts w:cs="Calibri"/>
        </w:rPr>
        <w:t xml:space="preserve">Plant and Food Research reviewed the implementation of the methodology to estimate emissions of </w:t>
      </w:r>
      <w:r w:rsidRPr="0028033B">
        <w:rPr>
          <w:rFonts w:cs="Calibri"/>
          <w:spacing w:val="-2"/>
        </w:rPr>
        <w:t>N</w:t>
      </w:r>
      <w:r w:rsidRPr="0028033B">
        <w:rPr>
          <w:rFonts w:cs="Calibri"/>
          <w:spacing w:val="-2"/>
          <w:vertAlign w:val="subscript"/>
        </w:rPr>
        <w:t>2</w:t>
      </w:r>
      <w:r w:rsidRPr="0028033B">
        <w:rPr>
          <w:rFonts w:cs="Calibri"/>
          <w:spacing w:val="-2"/>
        </w:rPr>
        <w:t>O</w:t>
      </w:r>
      <w:r w:rsidRPr="0028033B">
        <w:rPr>
          <w:rFonts w:cs="Calibri"/>
        </w:rPr>
        <w:t xml:space="preserve"> from crop residues, nitrogen-fixing crops and </w:t>
      </w:r>
      <w:r w:rsidRPr="0028033B">
        <w:rPr>
          <w:rFonts w:cs="Calibri"/>
          <w:i/>
          <w:iCs/>
        </w:rPr>
        <w:t>Field</w:t>
      </w:r>
      <w:r w:rsidRPr="0028033B">
        <w:rPr>
          <w:i/>
        </w:rPr>
        <w:t xml:space="preserve"> burning of agricultural residues</w:t>
      </w:r>
      <w:r w:rsidRPr="0028033B">
        <w:rPr>
          <w:rFonts w:cs="Calibri"/>
        </w:rPr>
        <w:t xml:space="preserve"> (Thomas et al., 2011, 2012).</w:t>
      </w:r>
    </w:p>
    <w:p w14:paraId="484EC0AA" w14:textId="77777777" w:rsidR="00E46639" w:rsidRPr="0028033B" w:rsidRDefault="00E46639" w:rsidP="00E46639">
      <w:pPr>
        <w:pStyle w:val="Heading3"/>
        <w:spacing w:before="280"/>
      </w:pPr>
      <w:bookmarkStart w:id="1486" w:name="_Toc32570680"/>
      <w:r w:rsidRPr="0028033B">
        <w:t>5.7.5</w:t>
      </w:r>
      <w:r w:rsidRPr="0028033B">
        <w:tab/>
        <w:t>Category-specific recalculations</w:t>
      </w:r>
      <w:bookmarkEnd w:id="1486"/>
    </w:p>
    <w:p w14:paraId="10421B65" w14:textId="77777777" w:rsidR="00E46639" w:rsidRPr="0028033B" w:rsidRDefault="00E46639" w:rsidP="00E46639">
      <w:pPr>
        <w:pStyle w:val="BodyText"/>
        <w:rPr>
          <w:rFonts w:cs="Calibri"/>
        </w:rPr>
      </w:pPr>
      <w:r w:rsidRPr="0028033B">
        <w:rPr>
          <w:rFonts w:cs="Calibri"/>
        </w:rPr>
        <w:t>All activity data were updated with the latest available Stats NZ data.</w:t>
      </w:r>
    </w:p>
    <w:p w14:paraId="532198CE" w14:textId="77777777" w:rsidR="00E46639" w:rsidRPr="0028033B" w:rsidRDefault="00E46639" w:rsidP="00E46639">
      <w:pPr>
        <w:pStyle w:val="Heading3"/>
        <w:spacing w:before="280"/>
      </w:pPr>
      <w:bookmarkStart w:id="1487" w:name="_Toc32570681"/>
      <w:r w:rsidRPr="0028033B">
        <w:t>5.7.6</w:t>
      </w:r>
      <w:r w:rsidRPr="0028033B">
        <w:tab/>
        <w:t>Category-specific planned improvements</w:t>
      </w:r>
      <w:bookmarkEnd w:id="1487"/>
      <w:r w:rsidRPr="0028033B">
        <w:t xml:space="preserve"> </w:t>
      </w:r>
    </w:p>
    <w:p w14:paraId="4AEFE9A2" w14:textId="77777777" w:rsidR="00E46639" w:rsidRPr="0028033B" w:rsidRDefault="00E46639" w:rsidP="00E46639">
      <w:pPr>
        <w:pStyle w:val="BodyText"/>
        <w:rPr>
          <w:rFonts w:cs="Calibri"/>
        </w:rPr>
      </w:pPr>
      <w:r w:rsidRPr="0028033B">
        <w:rPr>
          <w:rFonts w:cs="Calibri"/>
        </w:rPr>
        <w:t xml:space="preserve">During 2024 and 2025, MPI commissioned research to review and update, if necessary, the parameters, emission factors and data used to calculated emissions from cropping systems in New Zealand, including emissions from field burning </w:t>
      </w:r>
      <w:r w:rsidRPr="0028033B">
        <w:rPr>
          <w:spacing w:val="-2"/>
        </w:rPr>
        <w:t>(Thomas et al., unpublished)</w:t>
      </w:r>
      <w:r w:rsidRPr="0028033B">
        <w:rPr>
          <w:rFonts w:cs="Calibri"/>
        </w:rPr>
        <w:t>. Recommendations from this report will be incorporated into a future inventory.</w:t>
      </w:r>
    </w:p>
    <w:p w14:paraId="70E2BAAC" w14:textId="77777777" w:rsidR="00E46639" w:rsidRPr="0028033B" w:rsidRDefault="00E46639" w:rsidP="00E46639">
      <w:pPr>
        <w:pStyle w:val="Heading2"/>
      </w:pPr>
      <w:bookmarkStart w:id="1488" w:name="_Toc448321529"/>
      <w:bookmarkStart w:id="1489" w:name="_Toc481751391"/>
      <w:bookmarkStart w:id="1490" w:name="_Toc511116606"/>
      <w:bookmarkStart w:id="1491" w:name="_Toc5269368"/>
      <w:bookmarkStart w:id="1492" w:name="_Toc32570682"/>
      <w:bookmarkStart w:id="1493" w:name="_Toc36224408"/>
      <w:bookmarkStart w:id="1494" w:name="_Toc68786328"/>
      <w:bookmarkStart w:id="1495" w:name="_Toc131591243"/>
      <w:bookmarkStart w:id="1496" w:name="_Toc164154197"/>
      <w:bookmarkStart w:id="1497" w:name="_Toc226460776"/>
      <w:r w:rsidRPr="0028033B">
        <w:t>5.8</w:t>
      </w:r>
      <w:r w:rsidRPr="0028033B">
        <w:tab/>
        <w:t>Liming (3.G)</w:t>
      </w:r>
      <w:bookmarkEnd w:id="1488"/>
      <w:bookmarkEnd w:id="1489"/>
      <w:bookmarkEnd w:id="1490"/>
      <w:bookmarkEnd w:id="1491"/>
      <w:bookmarkEnd w:id="1492"/>
      <w:bookmarkEnd w:id="1493"/>
      <w:bookmarkEnd w:id="1494"/>
      <w:bookmarkEnd w:id="1495"/>
      <w:bookmarkEnd w:id="1496"/>
      <w:bookmarkEnd w:id="1497"/>
      <w:r w:rsidRPr="0028033B">
        <w:t xml:space="preserve"> </w:t>
      </w:r>
    </w:p>
    <w:p w14:paraId="45205BFC" w14:textId="77777777" w:rsidR="00E46639" w:rsidRPr="0028033B" w:rsidRDefault="00E46639" w:rsidP="00E46639">
      <w:pPr>
        <w:pStyle w:val="Heading3"/>
        <w:spacing w:before="240"/>
      </w:pPr>
      <w:bookmarkStart w:id="1498" w:name="_Toc32570683"/>
      <w:r w:rsidRPr="0028033B">
        <w:t>5.8.1</w:t>
      </w:r>
      <w:r w:rsidRPr="0028033B">
        <w:tab/>
        <w:t>Category description</w:t>
      </w:r>
      <w:bookmarkEnd w:id="1498"/>
    </w:p>
    <w:p w14:paraId="0575A3FF" w14:textId="77777777" w:rsidR="00E46639" w:rsidRPr="0028033B" w:rsidRDefault="00E46639" w:rsidP="00E46639">
      <w:pPr>
        <w:pStyle w:val="BodyText"/>
        <w:rPr>
          <w:rFonts w:cs="Calibri"/>
        </w:rPr>
      </w:pPr>
      <w:r w:rsidRPr="0028033B">
        <w:rPr>
          <w:rFonts w:cs="Calibri"/>
          <w:color w:val="000000" w:themeColor="text1"/>
        </w:rPr>
        <w:t xml:space="preserve">Emissions from </w:t>
      </w:r>
      <w:r w:rsidRPr="0028033B">
        <w:rPr>
          <w:rFonts w:cs="Calibri"/>
          <w:i/>
          <w:iCs/>
          <w:color w:val="000000" w:themeColor="text1"/>
        </w:rPr>
        <w:t xml:space="preserve">Liming </w:t>
      </w:r>
      <w:r w:rsidRPr="0028033B">
        <w:rPr>
          <w:rFonts w:cs="Calibri"/>
          <w:color w:val="000000" w:themeColor="text1"/>
        </w:rPr>
        <w:t>(the application of limestone and dolomite fertilisers) contributed an </w:t>
      </w:r>
      <w:r w:rsidRPr="0028033B">
        <w:rPr>
          <w:rFonts w:cs="Calibri"/>
        </w:rPr>
        <w:t>estimated 237.7 kt CO</w:t>
      </w:r>
      <w:r w:rsidRPr="0028033B">
        <w:rPr>
          <w:rFonts w:cs="Calibri"/>
          <w:vertAlign w:val="subscript"/>
        </w:rPr>
        <w:t>2</w:t>
      </w:r>
      <w:r w:rsidRPr="0028033B">
        <w:rPr>
          <w:rFonts w:cs="Calibri"/>
        </w:rPr>
        <w:t xml:space="preserve">, representing </w:t>
      </w:r>
      <w:r w:rsidRPr="0028033B">
        <w:t xml:space="preserve">0.3 percent of </w:t>
      </w:r>
      <w:r w:rsidRPr="0028033B">
        <w:rPr>
          <w:rFonts w:cs="Calibri"/>
          <w:spacing w:val="-2"/>
        </w:rPr>
        <w:t>New Zealand’s</w:t>
      </w:r>
      <w:r w:rsidRPr="0028033B">
        <w:t xml:space="preserve"> gross emissions </w:t>
      </w:r>
      <w:r w:rsidRPr="0028033B">
        <w:rPr>
          <w:rFonts w:cs="Calibri"/>
        </w:rPr>
        <w:t>and 0.6 percent of Agriculture</w:t>
      </w:r>
      <w:r w:rsidRPr="0028033B">
        <w:rPr>
          <w:rFonts w:cs="Calibri"/>
          <w:i/>
          <w:iCs/>
        </w:rPr>
        <w:t xml:space="preserve"> </w:t>
      </w:r>
      <w:r w:rsidRPr="0028033B">
        <w:rPr>
          <w:rFonts w:cs="Calibri"/>
        </w:rPr>
        <w:t xml:space="preserve">emissions in 2024. </w:t>
      </w:r>
    </w:p>
    <w:p w14:paraId="0D213220" w14:textId="77777777" w:rsidR="00E46639" w:rsidRPr="0028033B" w:rsidRDefault="00E46639" w:rsidP="00E46639">
      <w:pPr>
        <w:pStyle w:val="BodyText"/>
      </w:pPr>
      <w:r w:rsidRPr="0028033B">
        <w:t xml:space="preserve">In </w:t>
      </w:r>
      <w:r w:rsidRPr="0028033B">
        <w:rPr>
          <w:spacing w:val="-2"/>
        </w:rPr>
        <w:t>New Zealand</w:t>
      </w:r>
      <w:r w:rsidRPr="0028033B">
        <w:t>, lime and dolomite fertilisers are mainly applied to acidic grassland and cropland soils to reduce soil acidity and maintain or increase production of pasture and crops. Before the 2015 submission, emissions from lime and dolomite fertilisers were reported under chapter 6, LULUCF.</w:t>
      </w:r>
    </w:p>
    <w:p w14:paraId="4D8CA9D9" w14:textId="77777777" w:rsidR="00E46639" w:rsidRPr="0028033B" w:rsidRDefault="00E46639" w:rsidP="00E46639">
      <w:pPr>
        <w:pStyle w:val="BodyText"/>
      </w:pPr>
      <w:r w:rsidRPr="0028033B">
        <w:rPr>
          <w:i/>
        </w:rPr>
        <w:t>Liming</w:t>
      </w:r>
      <w:r w:rsidRPr="0028033B">
        <w:t xml:space="preserve"> was identified as a key category for the Agriculture sector in 2024 (level and trend assessment).</w:t>
      </w:r>
    </w:p>
    <w:p w14:paraId="285CDAD3" w14:textId="77777777" w:rsidR="00E46639" w:rsidRPr="0028033B" w:rsidRDefault="00E46639" w:rsidP="00E46639">
      <w:pPr>
        <w:pStyle w:val="BodyText"/>
      </w:pPr>
      <w:r w:rsidRPr="0028033B">
        <w:t xml:space="preserve">From 1990 to 2024, emissions from </w:t>
      </w:r>
      <w:r w:rsidRPr="0028033B">
        <w:rPr>
          <w:i/>
          <w:iCs/>
        </w:rPr>
        <w:t>Liming</w:t>
      </w:r>
      <w:r w:rsidRPr="0028033B">
        <w:t xml:space="preserve"> decreased by 19.8 percent (58.8 kt CO</w:t>
      </w:r>
      <w:r w:rsidRPr="0028033B">
        <w:rPr>
          <w:vertAlign w:val="subscript"/>
        </w:rPr>
        <w:t>2</w:t>
      </w:r>
      <w:r w:rsidRPr="0028033B">
        <w:t>). Although emissions increased between 1990 and 2005, they subsequently declined by 60.9 percent (369.8 kt CO</w:t>
      </w:r>
      <w:r w:rsidRPr="0028033B">
        <w:rPr>
          <w:vertAlign w:val="subscript"/>
        </w:rPr>
        <w:t>2</w:t>
      </w:r>
      <w:r w:rsidRPr="0028033B">
        <w:t>) from 2005 to 2024.</w:t>
      </w:r>
    </w:p>
    <w:p w14:paraId="0D43A733" w14:textId="77777777" w:rsidR="00E46639" w:rsidRPr="0028033B" w:rsidRDefault="00E46639" w:rsidP="00E46639">
      <w:pPr>
        <w:pStyle w:val="Heading3"/>
        <w:spacing w:before="280"/>
      </w:pPr>
      <w:bookmarkStart w:id="1499" w:name="_Toc32570684"/>
      <w:r w:rsidRPr="0028033B">
        <w:t>5.8.2</w:t>
      </w:r>
      <w:r w:rsidRPr="0028033B">
        <w:tab/>
        <w:t>Methodological issues</w:t>
      </w:r>
      <w:bookmarkEnd w:id="1499"/>
    </w:p>
    <w:p w14:paraId="7771FB22" w14:textId="77777777" w:rsidR="00E46639" w:rsidRPr="0028033B" w:rsidRDefault="00E46639" w:rsidP="00E46639">
      <w:pPr>
        <w:pStyle w:val="BodyText"/>
      </w:pPr>
      <w:r w:rsidRPr="0028033B">
        <w:t xml:space="preserve">Data on the tonnage of agricultural lime (limestone and dolomite) application are collected by Stats NZ, as a part of its five-yearly Agricultural Production Census and annual Agricultural Production Survey in the intervening years. Analysis of the data indicates that, each year, around 90 percent of agricultural lime used in </w:t>
      </w:r>
      <w:r w:rsidRPr="0028033B" w:rsidDel="00B1255C">
        <w:t xml:space="preserve">New </w:t>
      </w:r>
      <w:r w:rsidRPr="0028033B">
        <w:t>Zealand is applied to grassland, with the remaining 10 percent applied to cropland.</w:t>
      </w:r>
    </w:p>
    <w:p w14:paraId="6ABC3C9D" w14:textId="77777777" w:rsidR="00E46639" w:rsidRPr="0028033B" w:rsidRDefault="00E46639" w:rsidP="00E46639">
      <w:pPr>
        <w:pStyle w:val="BodyText"/>
      </w:pPr>
      <w:r w:rsidRPr="0028033B">
        <w:t>New Zealand has not yet developed a country-specific methodology for calculating CO</w:t>
      </w:r>
      <w:r w:rsidRPr="0028033B">
        <w:rPr>
          <w:vertAlign w:val="subscript"/>
        </w:rPr>
        <w:t>2</w:t>
      </w:r>
      <w:r w:rsidRPr="0028033B">
        <w:t xml:space="preserve"> emissions from the application of limestone and dolomite. Emissions from </w:t>
      </w:r>
      <w:r w:rsidRPr="0028033B">
        <w:rPr>
          <w:i/>
          <w:iCs/>
        </w:rPr>
        <w:t>Liming</w:t>
      </w:r>
      <w:r w:rsidRPr="0028033B">
        <w:t xml:space="preserve"> are currently estimated by following the Tier 1 methodology </w:t>
      </w:r>
      <w:bookmarkStart w:id="1500" w:name="_Hlk216768136"/>
      <w:r w:rsidRPr="0028033B">
        <w:t xml:space="preserve">(equation 11.12; IPCC, 2006), </w:t>
      </w:r>
      <w:bookmarkEnd w:id="1500"/>
      <w:r w:rsidRPr="0028033B">
        <w:t xml:space="preserve">using default </w:t>
      </w:r>
      <w:r w:rsidRPr="0028033B">
        <w:rPr>
          <w:spacing w:val="-2"/>
        </w:rPr>
        <w:t>emission factors for carbon conversion of 0.12 and 0.13 for limestone and dolomite respectively.</w:t>
      </w:r>
      <w:r w:rsidRPr="0028033B">
        <w:t xml:space="preserve"> </w:t>
      </w:r>
    </w:p>
    <w:p w14:paraId="526E3737" w14:textId="77777777" w:rsidR="00E46639" w:rsidRPr="0028033B" w:rsidRDefault="00E46639" w:rsidP="00E46639">
      <w:pPr>
        <w:pStyle w:val="Heading3"/>
      </w:pPr>
      <w:bookmarkStart w:id="1501" w:name="_Toc32570685"/>
      <w:r w:rsidRPr="0028033B">
        <w:t>5.8.3</w:t>
      </w:r>
      <w:r w:rsidRPr="0028033B">
        <w:tab/>
        <w:t>Activity data</w:t>
      </w:r>
      <w:bookmarkEnd w:id="1501"/>
    </w:p>
    <w:p w14:paraId="69490D33" w14:textId="77777777" w:rsidR="00E46639" w:rsidRPr="0028033B" w:rsidRDefault="00E46639" w:rsidP="00E46639">
      <w:pPr>
        <w:pStyle w:val="BodyText"/>
      </w:pPr>
      <w:r w:rsidRPr="0028033B">
        <w:t xml:space="preserve">Limestone is more commonly applied than dolomite in </w:t>
      </w:r>
      <w:r w:rsidRPr="0028033B" w:rsidDel="002D1DDD">
        <w:rPr>
          <w:rFonts w:cs="Calibri"/>
          <w:spacing w:val="-2"/>
        </w:rPr>
        <w:t xml:space="preserve">New </w:t>
      </w:r>
      <w:r w:rsidRPr="0028033B">
        <w:rPr>
          <w:rFonts w:cs="Calibri"/>
          <w:spacing w:val="-2"/>
        </w:rPr>
        <w:t>Zealand</w:t>
      </w:r>
      <w:r w:rsidRPr="0028033B">
        <w:t xml:space="preserve">. Limestone is extracted widely in </w:t>
      </w:r>
      <w:r w:rsidRPr="0028033B">
        <w:rPr>
          <w:rFonts w:cs="Calibri"/>
          <w:spacing w:val="-2"/>
        </w:rPr>
        <w:t>New Zealand</w:t>
      </w:r>
      <w:r w:rsidRPr="0028033B">
        <w:t xml:space="preserve"> whereas dolomite is only available from a small, localised source. Activity data sourced from the Stats NZ Agricultural Production Census show that limestone application has declined since 2002, while dolomite use peaked in 2010 and has since fallen. The quantity of lime applied as limestone and dolomite varies each year and is influenced by several factors, including farm profitability (see figures 5.8.1 and 5.8.2). A correction factor of 0.82 is applied to the gross weight (tonnes) of lime use reported by Stats NZ. This correction factor is specified using research from Thomson et al. (2021) and accounts for impurities in the agricultural lime applied, as well the moisture content, so that emissions are based on the dry weight of calcium carbonate applied. </w:t>
      </w:r>
    </w:p>
    <w:p w14:paraId="328C3DA9" w14:textId="77777777" w:rsidR="00E46639" w:rsidRPr="0028033B" w:rsidRDefault="00E46639" w:rsidP="00E46639">
      <w:pPr>
        <w:pStyle w:val="Figure"/>
      </w:pPr>
      <w:bookmarkStart w:id="1502" w:name="_Toc447275698"/>
      <w:bookmarkStart w:id="1503" w:name="_Toc481752017"/>
      <w:bookmarkStart w:id="1504" w:name="_Toc507158476"/>
      <w:bookmarkStart w:id="1505" w:name="_Toc511116967"/>
      <w:bookmarkStart w:id="1506" w:name="_Toc5269697"/>
      <w:bookmarkStart w:id="1507" w:name="_Toc32570968"/>
      <w:bookmarkStart w:id="1508" w:name="_Toc36292798"/>
      <w:bookmarkStart w:id="1509" w:name="_Toc68786663"/>
      <w:bookmarkStart w:id="1510" w:name="_Toc95574124"/>
      <w:bookmarkStart w:id="1511" w:name="_Toc127458563"/>
      <w:bookmarkStart w:id="1512" w:name="_Toc131591565"/>
      <w:bookmarkStart w:id="1513" w:name="_Toc164154033"/>
      <w:bookmarkStart w:id="1514" w:name="_Toc222407713"/>
      <w:bookmarkStart w:id="1515" w:name="_Toc226200693"/>
      <w:r w:rsidRPr="0028033B">
        <w:t>Figure 5.8.1</w:t>
      </w:r>
      <w:r w:rsidRPr="0028033B">
        <w:tab/>
        <w:t>Limestone usage on agricultural land in New Zealand, from 1990 to </w:t>
      </w:r>
      <w:bookmarkEnd w:id="1502"/>
      <w:bookmarkEnd w:id="1503"/>
      <w:bookmarkEnd w:id="1504"/>
      <w:bookmarkEnd w:id="1505"/>
      <w:bookmarkEnd w:id="1506"/>
      <w:bookmarkEnd w:id="1507"/>
      <w:bookmarkEnd w:id="1508"/>
      <w:bookmarkEnd w:id="1509"/>
      <w:bookmarkEnd w:id="1510"/>
      <w:bookmarkEnd w:id="1511"/>
      <w:bookmarkEnd w:id="1512"/>
      <w:bookmarkEnd w:id="1513"/>
      <w:r w:rsidRPr="0028033B">
        <w:t>2024</w:t>
      </w:r>
      <w:bookmarkEnd w:id="1514"/>
      <w:bookmarkEnd w:id="1515"/>
    </w:p>
    <w:p w14:paraId="492657F5" w14:textId="77777777" w:rsidR="00E46639" w:rsidRPr="0028033B" w:rsidRDefault="00E46639" w:rsidP="00E46639">
      <w:pPr>
        <w:pStyle w:val="BodyText"/>
      </w:pPr>
      <w:r w:rsidRPr="0028033B">
        <w:rPr>
          <w:noProof/>
        </w:rPr>
        <w:drawing>
          <wp:inline distT="0" distB="0" distL="0" distR="0" wp14:anchorId="43182ECF" wp14:editId="11C8992A">
            <wp:extent cx="5239385" cy="3068263"/>
            <wp:effectExtent l="0" t="0" r="0" b="0"/>
            <wp:docPr id="15840007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00707" name="Picture 3"/>
                    <pic:cNvPicPr>
                      <a:picLocks noChangeAspect="1" noChangeArrowheads="1"/>
                    </pic:cNvPicPr>
                  </pic:nvPicPr>
                  <pic:blipFill>
                    <a:blip r:embed="rId112" cstate="hqprint">
                      <a:extLst>
                        <a:ext uri="{28A0092B-C50C-407E-A947-70E740481C1C}">
                          <a14:useLocalDpi xmlns:a14="http://schemas.microsoft.com/office/drawing/2010/main" val="0"/>
                        </a:ext>
                      </a:extLst>
                    </a:blip>
                    <a:stretch>
                      <a:fillRect/>
                    </a:stretch>
                  </pic:blipFill>
                  <pic:spPr bwMode="auto">
                    <a:xfrm>
                      <a:off x="0" y="0"/>
                      <a:ext cx="5244420" cy="3071212"/>
                    </a:xfrm>
                    <a:prstGeom prst="rect">
                      <a:avLst/>
                    </a:prstGeom>
                    <a:noFill/>
                    <a:ln>
                      <a:noFill/>
                    </a:ln>
                  </pic:spPr>
                </pic:pic>
              </a:graphicData>
            </a:graphic>
          </wp:inline>
        </w:drawing>
      </w:r>
    </w:p>
    <w:p w14:paraId="5F092A7E" w14:textId="77777777" w:rsidR="00E46639" w:rsidRPr="0028033B" w:rsidRDefault="00E46639" w:rsidP="00E46639">
      <w:pPr>
        <w:pStyle w:val="Figure"/>
        <w:spacing w:before="240"/>
      </w:pPr>
      <w:bookmarkStart w:id="1516" w:name="_Toc131591566"/>
      <w:bookmarkStart w:id="1517" w:name="_Toc164154034"/>
      <w:bookmarkStart w:id="1518" w:name="_Toc222407714"/>
      <w:bookmarkStart w:id="1519" w:name="_Toc226200694"/>
      <w:r w:rsidRPr="0028033B">
        <w:t>Figure 5.8.2</w:t>
      </w:r>
      <w:r w:rsidRPr="0028033B">
        <w:tab/>
        <w:t>Dolomite usage on agricultural land in New Zealand, from 1990 to </w:t>
      </w:r>
      <w:bookmarkEnd w:id="1516"/>
      <w:bookmarkEnd w:id="1517"/>
      <w:r w:rsidRPr="0028033B">
        <w:rPr>
          <w:szCs w:val="18"/>
        </w:rPr>
        <w:t>2024</w:t>
      </w:r>
      <w:bookmarkEnd w:id="1518"/>
      <w:bookmarkEnd w:id="1519"/>
    </w:p>
    <w:p w14:paraId="7DB01177" w14:textId="77777777" w:rsidR="00E46639" w:rsidRPr="0028033B" w:rsidRDefault="00E46639" w:rsidP="00E46639">
      <w:pPr>
        <w:pStyle w:val="BodyText"/>
      </w:pPr>
      <w:bookmarkStart w:id="1520" w:name="_Toc32570686"/>
      <w:r w:rsidRPr="0028033B">
        <w:rPr>
          <w:noProof/>
        </w:rPr>
        <w:drawing>
          <wp:inline distT="0" distB="0" distL="0" distR="0" wp14:anchorId="57A88B31" wp14:editId="77F0B3B5">
            <wp:extent cx="5239910" cy="3068571"/>
            <wp:effectExtent l="0" t="0" r="0" b="0"/>
            <wp:docPr id="4131112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11290" name="Picture 4"/>
                    <pic:cNvPicPr>
                      <a:picLocks noChangeAspect="1" noChangeArrowheads="1"/>
                    </pic:cNvPicPr>
                  </pic:nvPicPr>
                  <pic:blipFill>
                    <a:blip r:embed="rId113" cstate="hqprint">
                      <a:extLst>
                        <a:ext uri="{28A0092B-C50C-407E-A947-70E740481C1C}">
                          <a14:useLocalDpi xmlns:a14="http://schemas.microsoft.com/office/drawing/2010/main" val="0"/>
                        </a:ext>
                      </a:extLst>
                    </a:blip>
                    <a:stretch>
                      <a:fillRect/>
                    </a:stretch>
                  </pic:blipFill>
                  <pic:spPr bwMode="auto">
                    <a:xfrm>
                      <a:off x="0" y="0"/>
                      <a:ext cx="5245619" cy="3071914"/>
                    </a:xfrm>
                    <a:prstGeom prst="rect">
                      <a:avLst/>
                    </a:prstGeom>
                    <a:noFill/>
                    <a:ln>
                      <a:noFill/>
                    </a:ln>
                  </pic:spPr>
                </pic:pic>
              </a:graphicData>
            </a:graphic>
          </wp:inline>
        </w:drawing>
      </w:r>
    </w:p>
    <w:p w14:paraId="669AFF6F" w14:textId="77777777" w:rsidR="00E46639" w:rsidRPr="0028033B" w:rsidRDefault="00E46639" w:rsidP="00E46639">
      <w:pPr>
        <w:pStyle w:val="Heading3"/>
      </w:pPr>
      <w:r w:rsidRPr="0028033B">
        <w:t>5.8.4</w:t>
      </w:r>
      <w:r w:rsidRPr="0028033B">
        <w:tab/>
        <w:t>Uncertainty assessment and time-series consistency</w:t>
      </w:r>
      <w:bookmarkEnd w:id="1520"/>
    </w:p>
    <w:p w14:paraId="6346333E" w14:textId="77777777" w:rsidR="00E46639" w:rsidRPr="0028033B" w:rsidRDefault="00E46639" w:rsidP="00E46639">
      <w:pPr>
        <w:pStyle w:val="BodyText"/>
        <w:spacing w:before="100" w:after="100"/>
        <w:rPr>
          <w:rFonts w:cs="Calibri"/>
        </w:rPr>
      </w:pPr>
      <w:r w:rsidRPr="0028033B">
        <w:rPr>
          <w:rFonts w:cs="Calibri"/>
        </w:rPr>
        <w:t>Using the IPCC (2006) Tier 1 methodology, default emission factors are used, which are based on the chemical formula of lime and assume all carbon in lime is emitted as CO</w:t>
      </w:r>
      <w:r w:rsidRPr="0028033B">
        <w:rPr>
          <w:rFonts w:cs="Calibri"/>
          <w:vertAlign w:val="subscript"/>
        </w:rPr>
        <w:t>2</w:t>
      </w:r>
      <w:r w:rsidRPr="0028033B">
        <w:rPr>
          <w:rFonts w:cs="Calibri"/>
        </w:rPr>
        <w:t xml:space="preserve"> into the atmosphere. However, the 2006 IPCC Guidelines state that the maximum available carbon is not necessarily lost and that the emissions could be up to 50 percent lower than estimated (IPCC, 2006).</w:t>
      </w:r>
      <w:r>
        <w:rPr>
          <w:rFonts w:cs="Calibri"/>
        </w:rPr>
        <w:t xml:space="preserve"> </w:t>
      </w:r>
      <w:r w:rsidRPr="0028033B">
        <w:rPr>
          <w:rFonts w:cs="Calibri"/>
        </w:rPr>
        <w:t>The uncertainty applied is the IPCC default -50 percent (IPCC, 2006). The uncertainty cannot exceed the emission factors because these values represent the absolute maximum emissions associated with liming.</w:t>
      </w:r>
    </w:p>
    <w:p w14:paraId="1728BD46" w14:textId="77777777" w:rsidR="00E46639" w:rsidRPr="0028033B" w:rsidRDefault="00E46639" w:rsidP="00E46639">
      <w:pPr>
        <w:pStyle w:val="BodyText"/>
      </w:pPr>
      <w:r w:rsidRPr="0028033B">
        <w:t>The Agricultural Production Census and Agricultural Production Survey data used in the Agriculture inventory model have gaps in the time series: no data are available for 1991 or between 1997 and 2001. In the absence of other supporting data, linear interpolation has been used to estimate the data for these years.</w:t>
      </w:r>
    </w:p>
    <w:p w14:paraId="10F1E18D" w14:textId="77777777" w:rsidR="00E46639" w:rsidRPr="0028033B" w:rsidRDefault="00E46639" w:rsidP="00E46639">
      <w:pPr>
        <w:pStyle w:val="Heading3"/>
      </w:pPr>
      <w:bookmarkStart w:id="1521" w:name="_Toc32570687"/>
      <w:r w:rsidRPr="0028033B">
        <w:t>5.8.5</w:t>
      </w:r>
      <w:r w:rsidRPr="0028033B">
        <w:tab/>
        <w:t>Category-specific QA/QC and verification</w:t>
      </w:r>
      <w:bookmarkEnd w:id="1521"/>
    </w:p>
    <w:p w14:paraId="2A669DC3" w14:textId="77777777" w:rsidR="00E46639" w:rsidRPr="0028033B" w:rsidRDefault="00E46639" w:rsidP="00E46639">
      <w:pPr>
        <w:pStyle w:val="BodyText"/>
      </w:pPr>
      <w:r w:rsidRPr="0028033B">
        <w:t xml:space="preserve">In the preparation of this inventory, the data for </w:t>
      </w:r>
      <w:r w:rsidRPr="0028033B">
        <w:rPr>
          <w:i/>
        </w:rPr>
        <w:t>Liming</w:t>
      </w:r>
      <w:r w:rsidRPr="0028033B">
        <w:t xml:space="preserve"> underwent Tier 1 quality checks. Stats NZ, the agency that collects the activity data for </w:t>
      </w:r>
      <w:r w:rsidRPr="0028033B">
        <w:rPr>
          <w:i/>
        </w:rPr>
        <w:t>Liming</w:t>
      </w:r>
      <w:r w:rsidRPr="0028033B">
        <w:t>, also carries out a series of quality-assurance and quality-control procedures as part of the data collection carried out each year.</w:t>
      </w:r>
    </w:p>
    <w:p w14:paraId="3DBF1CE1" w14:textId="77777777" w:rsidR="00E46639" w:rsidRPr="0028033B" w:rsidRDefault="00E46639" w:rsidP="00E46639">
      <w:pPr>
        <w:pStyle w:val="Heading3"/>
      </w:pPr>
      <w:bookmarkStart w:id="1522" w:name="_Toc32570688"/>
      <w:r w:rsidRPr="0028033B">
        <w:t>5.8.6</w:t>
      </w:r>
      <w:r w:rsidRPr="0028033B">
        <w:tab/>
        <w:t>Category-specific recalculations</w:t>
      </w:r>
      <w:bookmarkEnd w:id="1522"/>
    </w:p>
    <w:p w14:paraId="67C3B1D0" w14:textId="77777777" w:rsidR="00E46639" w:rsidRPr="0028033B" w:rsidRDefault="00E46639" w:rsidP="00E46639">
      <w:pPr>
        <w:pStyle w:val="BodyText"/>
        <w:spacing w:before="100" w:after="100"/>
        <w:rPr>
          <w:rFonts w:cs="Calibri"/>
        </w:rPr>
      </w:pPr>
      <w:bookmarkStart w:id="1523" w:name="_Hlk91060203"/>
      <w:bookmarkStart w:id="1524" w:name="_Toc32570689"/>
      <w:r w:rsidRPr="0028033B">
        <w:rPr>
          <w:rFonts w:cs="Calibri"/>
        </w:rPr>
        <w:t>No recalculations have been performed for CO</w:t>
      </w:r>
      <w:r w:rsidRPr="0028033B">
        <w:rPr>
          <w:rFonts w:cs="Calibri"/>
          <w:vertAlign w:val="subscript"/>
        </w:rPr>
        <w:t>2</w:t>
      </w:r>
      <w:r w:rsidRPr="0028033B">
        <w:rPr>
          <w:rFonts w:cs="Calibri"/>
        </w:rPr>
        <w:t xml:space="preserve"> emissions from </w:t>
      </w:r>
      <w:r w:rsidRPr="0028033B">
        <w:rPr>
          <w:rFonts w:cs="Calibri"/>
          <w:i/>
        </w:rPr>
        <w:t>Liming</w:t>
      </w:r>
      <w:bookmarkEnd w:id="1523"/>
      <w:r w:rsidRPr="0028033B">
        <w:rPr>
          <w:rFonts w:cs="Calibri"/>
        </w:rPr>
        <w:t xml:space="preserve"> in the 2025 (1990 to 2024) submission.</w:t>
      </w:r>
    </w:p>
    <w:p w14:paraId="59895CBE" w14:textId="77777777" w:rsidR="00E46639" w:rsidRPr="0028033B" w:rsidRDefault="00E46639" w:rsidP="00E46639">
      <w:pPr>
        <w:pStyle w:val="Heading3"/>
      </w:pPr>
      <w:r w:rsidRPr="0028033B">
        <w:t>5.8.7</w:t>
      </w:r>
      <w:r w:rsidRPr="0028033B">
        <w:tab/>
        <w:t>Category-specific planned improvements</w:t>
      </w:r>
      <w:bookmarkEnd w:id="1524"/>
    </w:p>
    <w:p w14:paraId="05B7B93F" w14:textId="77777777" w:rsidR="00E46639" w:rsidRPr="0028033B" w:rsidRDefault="00E46639" w:rsidP="00E46639">
      <w:pPr>
        <w:pStyle w:val="BodyText"/>
      </w:pPr>
      <w:r w:rsidRPr="0028033B">
        <w:t>New Zealand has invested in developing country-specific Tier 2 emission factors for emissions arising from lime applied to pastoral soils that can be used in the New Zealand Inventory. The New Zealand Inventory currently uses the IPCC default emission factor of 0.12 kg</w:t>
      </w:r>
      <w:r w:rsidRPr="0028033B">
        <w:rPr>
          <w:rFonts w:cs="Calibri"/>
        </w:rPr>
        <w:t xml:space="preserve"> </w:t>
      </w:r>
      <w:r w:rsidRPr="0028033B">
        <w:t>CO</w:t>
      </w:r>
      <w:r w:rsidRPr="0028033B">
        <w:rPr>
          <w:vertAlign w:val="subscript"/>
        </w:rPr>
        <w:t>2</w:t>
      </w:r>
      <w:r w:rsidRPr="0028033B">
        <w:t>-C/kg CaCO</w:t>
      </w:r>
      <w:r w:rsidRPr="0028033B">
        <w:rPr>
          <w:vertAlign w:val="subscript"/>
        </w:rPr>
        <w:t xml:space="preserve">3 </w:t>
      </w:r>
      <w:r w:rsidRPr="0028033B">
        <w:t>for lime applied to land (IPCC, 2006, chapter 11, section 11.3.2). This default assumes that 100 percent of the carbon in lime is emitted as CO</w:t>
      </w:r>
      <w:r w:rsidRPr="0028033B">
        <w:rPr>
          <w:vertAlign w:val="subscript"/>
        </w:rPr>
        <w:t>2</w:t>
      </w:r>
      <w:r w:rsidRPr="0028033B">
        <w:t xml:space="preserve">, however, international research suggests that the actual emissions might be much lower than this estimate. Undertaking field </w:t>
      </w:r>
      <w:r w:rsidRPr="0028033B">
        <w:rPr>
          <w:spacing w:val="-2"/>
        </w:rPr>
        <w:t>trials that measure CO</w:t>
      </w:r>
      <w:r w:rsidRPr="0028033B">
        <w:rPr>
          <w:spacing w:val="-2"/>
          <w:vertAlign w:val="subscript"/>
        </w:rPr>
        <w:t>2</w:t>
      </w:r>
      <w:r w:rsidRPr="0028033B">
        <w:rPr>
          <w:spacing w:val="-2"/>
        </w:rPr>
        <w:t xml:space="preserve"> emissions from lime application will deliver data on the emission factors for lime when applied to representative pastoral soils with different levels of soil carbon</w:t>
      </w:r>
      <w:r w:rsidRPr="0028033B">
        <w:t>. This information will be analysed to develop recommendations for New Zealand-specific emission factors for lime. This work is planned to conclude in June 2027.</w:t>
      </w:r>
    </w:p>
    <w:p w14:paraId="744A5FA7" w14:textId="77777777" w:rsidR="00E46639" w:rsidRPr="0028033B" w:rsidRDefault="00E46639" w:rsidP="00E46639">
      <w:pPr>
        <w:pStyle w:val="Heading2"/>
        <w:spacing w:before="280"/>
      </w:pPr>
      <w:bookmarkStart w:id="1525" w:name="_Toc448321530"/>
      <w:bookmarkStart w:id="1526" w:name="_Toc481751392"/>
      <w:bookmarkStart w:id="1527" w:name="_Toc511116607"/>
      <w:bookmarkStart w:id="1528" w:name="_Toc5269369"/>
      <w:bookmarkStart w:id="1529" w:name="_Toc32570690"/>
      <w:bookmarkStart w:id="1530" w:name="_Toc36224409"/>
      <w:bookmarkStart w:id="1531" w:name="_Toc68786329"/>
      <w:bookmarkStart w:id="1532" w:name="_Toc131591244"/>
      <w:bookmarkStart w:id="1533" w:name="_Toc164154198"/>
      <w:bookmarkStart w:id="1534" w:name="_Toc226460777"/>
      <w:r w:rsidRPr="0028033B">
        <w:t>5.9</w:t>
      </w:r>
      <w:r w:rsidRPr="0028033B">
        <w:tab/>
        <w:t>Urea application (3.H)</w:t>
      </w:r>
      <w:bookmarkEnd w:id="1525"/>
      <w:bookmarkEnd w:id="1526"/>
      <w:bookmarkEnd w:id="1527"/>
      <w:bookmarkEnd w:id="1528"/>
      <w:bookmarkEnd w:id="1529"/>
      <w:bookmarkEnd w:id="1530"/>
      <w:bookmarkEnd w:id="1531"/>
      <w:bookmarkEnd w:id="1532"/>
      <w:bookmarkEnd w:id="1533"/>
      <w:bookmarkEnd w:id="1534"/>
    </w:p>
    <w:p w14:paraId="64448B97" w14:textId="77777777" w:rsidR="00E46639" w:rsidRPr="0028033B" w:rsidRDefault="00E46639" w:rsidP="00E46639">
      <w:pPr>
        <w:pStyle w:val="Heading3"/>
        <w:spacing w:before="180"/>
      </w:pPr>
      <w:bookmarkStart w:id="1535" w:name="_Toc32570691"/>
      <w:r w:rsidRPr="0028033B">
        <w:t>5.9.1</w:t>
      </w:r>
      <w:r w:rsidRPr="0028033B">
        <w:tab/>
        <w:t>Category description</w:t>
      </w:r>
      <w:bookmarkEnd w:id="1535"/>
    </w:p>
    <w:p w14:paraId="34AC1EDC" w14:textId="77777777" w:rsidR="00E46639" w:rsidRPr="0028033B" w:rsidRDefault="00E46639" w:rsidP="00E46639">
      <w:pPr>
        <w:pStyle w:val="BodyText"/>
      </w:pPr>
      <w:r w:rsidRPr="0028033B">
        <w:t xml:space="preserve">Urea fertiliser accounts for the majority of synthetic nitrogen fertiliser used in </w:t>
      </w:r>
      <w:r w:rsidRPr="0028033B" w:rsidDel="00961C4F">
        <w:t xml:space="preserve">New </w:t>
      </w:r>
      <w:r w:rsidRPr="0028033B">
        <w:t xml:space="preserve">Zealand. It is mainly applied to dairy pastureland to boost pasture growth during the autumn and spring months (see figure 5.5.3). </w:t>
      </w:r>
    </w:p>
    <w:p w14:paraId="4A28B331" w14:textId="77777777" w:rsidR="00E46639" w:rsidRPr="0028033B" w:rsidRDefault="00E46639" w:rsidP="00E46639">
      <w:pPr>
        <w:pStyle w:val="BodyText"/>
      </w:pPr>
      <w:r w:rsidRPr="0028033B">
        <w:rPr>
          <w:i/>
        </w:rPr>
        <w:t>Urea application</w:t>
      </w:r>
      <w:r w:rsidRPr="0028033B">
        <w:t xml:space="preserve"> was identified as a key category for the Agriculture sector in 2024 (level and trend assessment).This section considers only the CO</w:t>
      </w:r>
      <w:r w:rsidRPr="0028033B">
        <w:rPr>
          <w:vertAlign w:val="subscript"/>
        </w:rPr>
        <w:t>2</w:t>
      </w:r>
      <w:r w:rsidRPr="0028033B">
        <w:t xml:space="preserve"> emissions from the application of urea fertiliser onto pasture and crop land. Nitrous oxide emissions from urea are accounted for under section 5.5, </w:t>
      </w:r>
      <w:r w:rsidRPr="0028033B">
        <w:rPr>
          <w:i/>
          <w:iCs/>
        </w:rPr>
        <w:t>Agricultural soils</w:t>
      </w:r>
      <w:r w:rsidRPr="0028033B">
        <w:t>.</w:t>
      </w:r>
    </w:p>
    <w:p w14:paraId="166F2D67" w14:textId="77777777" w:rsidR="00E46639" w:rsidRPr="0028033B" w:rsidRDefault="00E46639" w:rsidP="00E46639">
      <w:pPr>
        <w:pStyle w:val="BodyText"/>
      </w:pPr>
      <w:r w:rsidRPr="0028033B">
        <w:rPr>
          <w:i/>
          <w:iCs/>
        </w:rPr>
        <w:t>Urea application</w:t>
      </w:r>
      <w:r w:rsidRPr="0028033B">
        <w:t xml:space="preserve"> contributed an estimated 457.5 kt CO</w:t>
      </w:r>
      <w:r w:rsidRPr="0028033B">
        <w:rPr>
          <w:vertAlign w:val="subscript"/>
        </w:rPr>
        <w:t>2</w:t>
      </w:r>
      <w:r w:rsidRPr="0028033B">
        <w:t>,</w:t>
      </w:r>
      <w:r w:rsidRPr="0028033B">
        <w:rPr>
          <w:vertAlign w:val="subscript"/>
        </w:rPr>
        <w:t xml:space="preserve"> </w:t>
      </w:r>
      <w:r w:rsidRPr="0028033B">
        <w:t xml:space="preserve">representing 0.6 percent of </w:t>
      </w:r>
      <w:r w:rsidRPr="0028033B">
        <w:rPr>
          <w:rFonts w:cs="Calibri"/>
          <w:spacing w:val="-2"/>
        </w:rPr>
        <w:t>New Zealand’s</w:t>
      </w:r>
      <w:r w:rsidRPr="0028033B">
        <w:t xml:space="preserve"> gross emissions and 1.1 percent of Agriculture emissions in 2024. </w:t>
      </w:r>
    </w:p>
    <w:p w14:paraId="422D90A6" w14:textId="77777777" w:rsidR="00E46639" w:rsidRPr="0028033B" w:rsidRDefault="00E46639" w:rsidP="00E46639">
      <w:pPr>
        <w:pStyle w:val="BodyText"/>
      </w:pPr>
      <w:r w:rsidRPr="0028033B">
        <w:t xml:space="preserve">Emissions from </w:t>
      </w:r>
      <w:r w:rsidRPr="0028033B">
        <w:rPr>
          <w:i/>
        </w:rPr>
        <w:t>Urea application</w:t>
      </w:r>
      <w:r w:rsidRPr="0028033B">
        <w:t xml:space="preserve"> increased 1,067.3 percent between 1990 and 2024 and 0.2 percent between 2005 and 2024. Emissions decreased by 8.6 percent (43.0 kt CO</w:t>
      </w:r>
      <w:r w:rsidRPr="0028033B">
        <w:rPr>
          <w:vertAlign w:val="subscript"/>
        </w:rPr>
        <w:t>2</w:t>
      </w:r>
      <w:r w:rsidRPr="0028033B">
        <w:t>e) between 2023 and 2024.</w:t>
      </w:r>
    </w:p>
    <w:p w14:paraId="69130E0A" w14:textId="77777777" w:rsidR="00E46639" w:rsidRPr="0028033B" w:rsidRDefault="00E46639" w:rsidP="00E46639">
      <w:pPr>
        <w:pStyle w:val="BodyText"/>
        <w:rPr>
          <w:color w:val="000000" w:themeColor="text1"/>
        </w:rPr>
      </w:pPr>
      <w:r w:rsidRPr="0028033B">
        <w:t xml:space="preserve">Urea use peaked in 2015 and has since fallen by 24.8 percent. Since 1990, the proportion of urea fertiliser applied (relative to total synthetic nitrogen fertiliser use) increased from around 41.5 percent in 1990 to a high of 91.7 percent in 2007. In 2024, urea was 73.8 percent of all </w:t>
      </w:r>
      <w:r w:rsidRPr="0028033B">
        <w:rPr>
          <w:color w:val="000000" w:themeColor="text1"/>
        </w:rPr>
        <w:t xml:space="preserve">synthetic nitrogen fertiliser applied (see figure 5.5.3). </w:t>
      </w:r>
    </w:p>
    <w:p w14:paraId="1B0E7864" w14:textId="77777777" w:rsidR="00E46639" w:rsidRPr="0028033B" w:rsidRDefault="00E46639" w:rsidP="00E46639">
      <w:pPr>
        <w:pStyle w:val="Heading3"/>
        <w:spacing w:before="280"/>
      </w:pPr>
      <w:bookmarkStart w:id="1536" w:name="_Toc32570692"/>
      <w:r w:rsidRPr="0028033B">
        <w:t>5.9.2</w:t>
      </w:r>
      <w:r w:rsidRPr="0028033B">
        <w:tab/>
        <w:t>Methodological issues</w:t>
      </w:r>
      <w:bookmarkEnd w:id="1536"/>
    </w:p>
    <w:p w14:paraId="152D573E" w14:textId="77777777" w:rsidR="00E46639" w:rsidRPr="0028033B" w:rsidRDefault="00E46639" w:rsidP="00E46639">
      <w:pPr>
        <w:pStyle w:val="BodyText"/>
      </w:pPr>
      <w:r w:rsidRPr="0028033B">
        <w:t>There is no country-specific methodology on CO</w:t>
      </w:r>
      <w:r w:rsidRPr="0028033B">
        <w:rPr>
          <w:vertAlign w:val="subscript"/>
        </w:rPr>
        <w:t>2</w:t>
      </w:r>
      <w:r w:rsidRPr="0028033B">
        <w:t xml:space="preserve"> emissions from </w:t>
      </w:r>
      <w:r w:rsidRPr="0028033B">
        <w:rPr>
          <w:i/>
        </w:rPr>
        <w:t>Urea application</w:t>
      </w:r>
      <w:r w:rsidRPr="0028033B">
        <w:t xml:space="preserve"> for </w:t>
      </w:r>
      <w:r w:rsidRPr="0028033B" w:rsidDel="009F0596">
        <w:rPr>
          <w:rFonts w:cs="Calibri"/>
          <w:spacing w:val="-2"/>
        </w:rPr>
        <w:t>New</w:t>
      </w:r>
      <w:r w:rsidRPr="0028033B">
        <w:rPr>
          <w:rFonts w:cs="Calibri"/>
          <w:spacing w:val="-2"/>
        </w:rPr>
        <w:t> Zealand</w:t>
      </w:r>
      <w:r w:rsidRPr="0028033B">
        <w:t xml:space="preserve">. Emissions associated with the application of urea are estimated using a Tier 1 methodology (IPCC, 2006, equation 11.13), using the default emission factor for carbon conversion of 0.20. </w:t>
      </w:r>
    </w:p>
    <w:p w14:paraId="0778A0DF" w14:textId="77777777" w:rsidR="00E46639" w:rsidRPr="0028033B" w:rsidRDefault="00E46639" w:rsidP="00E46639">
      <w:pPr>
        <w:pStyle w:val="BodyText"/>
      </w:pPr>
      <w:r w:rsidRPr="0028033B">
        <w:t>Research into urease inhibitors (see section 5.5.2) has demonstrated they are effective in slowing down the activity of the urease enzyme that hydrolyses urea to ammonium (as reported in section 5.5.2), but urease inhibitors do not reduce the release of CO</w:t>
      </w:r>
      <w:r w:rsidRPr="0028033B">
        <w:rPr>
          <w:vertAlign w:val="subscript"/>
        </w:rPr>
        <w:t>2</w:t>
      </w:r>
      <w:r w:rsidRPr="0028033B">
        <w:t xml:space="preserve"> (S Saggar, pers. comm., 2014).</w:t>
      </w:r>
    </w:p>
    <w:p w14:paraId="39C03918" w14:textId="77777777" w:rsidR="00E46639" w:rsidRPr="0028033B" w:rsidRDefault="00E46639" w:rsidP="00E46639">
      <w:pPr>
        <w:pStyle w:val="Heading3"/>
      </w:pPr>
      <w:bookmarkStart w:id="1537" w:name="_Toc32570693"/>
      <w:r w:rsidRPr="0028033B">
        <w:t>5.9.3</w:t>
      </w:r>
      <w:r w:rsidRPr="0028033B">
        <w:tab/>
        <w:t>Activity data</w:t>
      </w:r>
      <w:bookmarkEnd w:id="1537"/>
    </w:p>
    <w:p w14:paraId="1E5B1C65" w14:textId="77777777" w:rsidR="00E46639" w:rsidRPr="0028033B" w:rsidRDefault="00E46639" w:rsidP="00E46639">
      <w:pPr>
        <w:pStyle w:val="BodyText"/>
        <w:rPr>
          <w:rFonts w:cs="Calibri"/>
        </w:rPr>
      </w:pPr>
      <w:r w:rsidRPr="0028033B">
        <w:rPr>
          <w:rFonts w:cs="Calibri"/>
        </w:rPr>
        <w:t xml:space="preserve">Data on the volume of synthetic nitrogen fertiliser used are provided by the Fertiliser Association of New Zealand from fertiliser company sales records from 1990 to 2023. From 1990 to 2013, data on the percentage of synthetic nitrogen fertiliser derived from urea were sourced from the International Fertilizer Industry Association online database and were used to calculate the amount of applied urea fertiliser. Since 2014, data for total nitrogen from synthetic nitrogen fertiliser derived from urea have been provided by the Fertiliser Association of New Zealand. </w:t>
      </w:r>
    </w:p>
    <w:p w14:paraId="285D1DE4" w14:textId="77777777" w:rsidR="00E46639" w:rsidRPr="0028033B" w:rsidRDefault="00E46639" w:rsidP="00E46639">
      <w:pPr>
        <w:pStyle w:val="BodyText"/>
      </w:pPr>
      <w:r w:rsidRPr="0028033B">
        <w:t>From 1990 to 2024, there has been over a ten-fold increase in nitrogen applied to agricultural land as urea fertiliser, from 24,586 tonnes nitrogen in 1990 to 287,000 tonnes in 2024. The use of urea fertiliser over this period has increased at a faster rate than the increase in non-urea synthetic nitrogen fertiliser. From 1990 to 2024, the nitrogen applied as non-urea synthetic nitrogen fertiliser has increased by 188.4 percent.</w:t>
      </w:r>
    </w:p>
    <w:p w14:paraId="17508D72" w14:textId="77777777" w:rsidR="00E46639" w:rsidRPr="0028033B" w:rsidRDefault="00E46639" w:rsidP="00E46639">
      <w:pPr>
        <w:pStyle w:val="BodyText"/>
        <w:rPr>
          <w:rFonts w:ascii="Aptos Narrow" w:hAnsi="Aptos Narrow"/>
        </w:rPr>
      </w:pPr>
      <w:r w:rsidRPr="0028033B">
        <w:t>In more recent years, urea fertiliser use has generally trended downwards, having peaked at 381,527</w:t>
      </w:r>
      <w:r w:rsidRPr="0028033B">
        <w:rPr>
          <w:rFonts w:ascii="Aptos Narrow" w:hAnsi="Aptos Narrow"/>
        </w:rPr>
        <w:t xml:space="preserve"> </w:t>
      </w:r>
      <w:r w:rsidRPr="0028033B">
        <w:t>tonnes of total urea in 2015. For more information on urea and nitrogen fertiliser application, see</w:t>
      </w:r>
      <w:r w:rsidRPr="0028033B" w:rsidDel="007A3639">
        <w:t xml:space="preserve"> </w:t>
      </w:r>
      <w:r w:rsidRPr="0028033B">
        <w:t xml:space="preserve">section 5.5, </w:t>
      </w:r>
      <w:r w:rsidRPr="0028033B">
        <w:rPr>
          <w:i/>
        </w:rPr>
        <w:t>Agricultural soils</w:t>
      </w:r>
      <w:r w:rsidRPr="0028033B">
        <w:t>, specifically figure 5.5.2 and figure 5.5.3.</w:t>
      </w:r>
      <w:r>
        <w:t xml:space="preserve"> </w:t>
      </w:r>
    </w:p>
    <w:p w14:paraId="084F0B2F" w14:textId="77777777" w:rsidR="00E46639" w:rsidRPr="0028033B" w:rsidRDefault="00E46639" w:rsidP="00E46639">
      <w:pPr>
        <w:pStyle w:val="Heading3"/>
      </w:pPr>
      <w:bookmarkStart w:id="1538" w:name="_Toc32570694"/>
      <w:r w:rsidRPr="0028033B">
        <w:t>5.9.4</w:t>
      </w:r>
      <w:r w:rsidRPr="0028033B">
        <w:tab/>
        <w:t>Uncertainty assessment and time-series consistency</w:t>
      </w:r>
      <w:bookmarkEnd w:id="1538"/>
    </w:p>
    <w:p w14:paraId="5B6CC976" w14:textId="77777777" w:rsidR="00E46639" w:rsidRPr="0028033B" w:rsidRDefault="00E46639" w:rsidP="00E46639">
      <w:pPr>
        <w:pStyle w:val="BodyText"/>
        <w:rPr>
          <w:rFonts w:cs="Calibri"/>
        </w:rPr>
      </w:pPr>
      <w:r w:rsidRPr="0028033B">
        <w:rPr>
          <w:rFonts w:cs="Calibri"/>
        </w:rPr>
        <w:t>Under the IPCC (2006) Tier 1 methodology, default emission factors are used, which are based on the chemical formula of urea and assume all carbon in urea is emitted as CO</w:t>
      </w:r>
      <w:r w:rsidRPr="0028033B">
        <w:rPr>
          <w:rFonts w:cs="Calibri"/>
          <w:vertAlign w:val="subscript"/>
        </w:rPr>
        <w:t>2</w:t>
      </w:r>
      <w:r w:rsidRPr="0028033B">
        <w:rPr>
          <w:rFonts w:cs="Calibri"/>
        </w:rPr>
        <w:t xml:space="preserve"> into the atmosphere. However, the 2006 IPCC Guidelines state that the maximum available carbon is not necessarily lost and that the emissions could be up to 50 percent lower (IPCC, 2006). This gives a lower uncertainty estimate of -50 percent and an upper uncertainty estimate of 0 percent.</w:t>
      </w:r>
      <w:r w:rsidRPr="0028033B" w:rsidDel="00D42FD1">
        <w:rPr>
          <w:rFonts w:cs="Calibri"/>
        </w:rPr>
        <w:t xml:space="preserve"> </w:t>
      </w:r>
    </w:p>
    <w:p w14:paraId="7779A754" w14:textId="77777777" w:rsidR="00E46639" w:rsidRPr="0028033B" w:rsidRDefault="00E46639" w:rsidP="00E46639">
      <w:pPr>
        <w:pStyle w:val="BodyText"/>
        <w:rPr>
          <w:rFonts w:cs="Calibri"/>
        </w:rPr>
      </w:pPr>
      <w:r w:rsidRPr="0028033B">
        <w:rPr>
          <w:rFonts w:cs="Calibri"/>
        </w:rPr>
        <w:t xml:space="preserve">Sales data for synthetic nitrogen fertiliser have been supplied for all years by the Fertiliser Association of New Zealand, but the uncertainties in this data are not known. </w:t>
      </w:r>
    </w:p>
    <w:p w14:paraId="11153E33" w14:textId="77777777" w:rsidR="00E46639" w:rsidRPr="0028033B" w:rsidRDefault="00E46639" w:rsidP="00E46639">
      <w:pPr>
        <w:pStyle w:val="Heading3"/>
      </w:pPr>
      <w:bookmarkStart w:id="1539" w:name="_Toc32570695"/>
      <w:r w:rsidRPr="0028033B">
        <w:t>5.9.5</w:t>
      </w:r>
      <w:r w:rsidRPr="0028033B">
        <w:tab/>
        <w:t>Category-specific QA/QC and verification</w:t>
      </w:r>
      <w:bookmarkEnd w:id="1539"/>
    </w:p>
    <w:p w14:paraId="76FFE797" w14:textId="77777777" w:rsidR="00E46639" w:rsidRPr="0028033B" w:rsidRDefault="00E46639" w:rsidP="00E46639">
      <w:pPr>
        <w:pStyle w:val="BodyText"/>
        <w:rPr>
          <w:rFonts w:cs="Calibri"/>
        </w:rPr>
      </w:pPr>
      <w:r w:rsidRPr="0028033B">
        <w:rPr>
          <w:rFonts w:cs="Calibri"/>
        </w:rPr>
        <w:t>In the preparation of this inventory, the data for urea fertiliser underwent Tier 1 quality checks. The Fertiliser Association of New Zealand is the organisation that collects sales activity information for synthetic nitrogen fertiliser. As a part of the data collection, a series of quality-assurance and quality-control procedures are carried out each year, and this data is provided to the Internation Fertilizer Industry Association.</w:t>
      </w:r>
    </w:p>
    <w:p w14:paraId="52648D7B" w14:textId="77777777" w:rsidR="00E46639" w:rsidRPr="0028033B" w:rsidRDefault="00E46639" w:rsidP="00E46639">
      <w:pPr>
        <w:pStyle w:val="Heading3"/>
      </w:pPr>
      <w:bookmarkStart w:id="1540" w:name="_Toc32570696"/>
      <w:r w:rsidRPr="0028033B">
        <w:t>5.9.6</w:t>
      </w:r>
      <w:r w:rsidRPr="0028033B">
        <w:tab/>
        <w:t>Category-specific recalculations</w:t>
      </w:r>
      <w:bookmarkEnd w:id="1540"/>
    </w:p>
    <w:p w14:paraId="76948AD0" w14:textId="77777777" w:rsidR="00E46639" w:rsidRPr="0028033B" w:rsidRDefault="00E46639" w:rsidP="00E46639">
      <w:pPr>
        <w:pStyle w:val="BodyText"/>
        <w:rPr>
          <w:rFonts w:cs="Calibri"/>
          <w:color w:val="F46CD4"/>
        </w:rPr>
      </w:pPr>
      <w:r w:rsidRPr="0028033B">
        <w:rPr>
          <w:rFonts w:cs="Calibri"/>
          <w:color w:val="000000" w:themeColor="text1"/>
        </w:rPr>
        <w:t>Besides the revision of recent (2022, 2023 and 2024) data on urea use, no recalculations have been performed for CO</w:t>
      </w:r>
      <w:r w:rsidRPr="0028033B">
        <w:rPr>
          <w:rFonts w:cs="Calibri"/>
          <w:color w:val="000000" w:themeColor="text1"/>
          <w:vertAlign w:val="subscript"/>
        </w:rPr>
        <w:t>2</w:t>
      </w:r>
      <w:r w:rsidRPr="0028033B">
        <w:rPr>
          <w:rFonts w:cs="Calibri"/>
          <w:color w:val="000000" w:themeColor="text1"/>
        </w:rPr>
        <w:t xml:space="preserve"> emissions from urea in the </w:t>
      </w:r>
      <w:r w:rsidRPr="007B729B">
        <w:rPr>
          <w:rFonts w:cs="Calibri"/>
        </w:rPr>
        <w:t>2026 (1990 to 2024) subm</w:t>
      </w:r>
      <w:r w:rsidRPr="0028033B">
        <w:rPr>
          <w:rFonts w:cs="Calibri"/>
          <w:color w:val="000000" w:themeColor="text1"/>
        </w:rPr>
        <w:t>ission</w:t>
      </w:r>
      <w:r w:rsidRPr="0028033B">
        <w:rPr>
          <w:rFonts w:cs="Calibri"/>
          <w:color w:val="F46CD4"/>
        </w:rPr>
        <w:t>.</w:t>
      </w:r>
    </w:p>
    <w:p w14:paraId="3B9E3351" w14:textId="77777777" w:rsidR="00E46639" w:rsidRPr="0028033B" w:rsidRDefault="00E46639" w:rsidP="00E46639">
      <w:pPr>
        <w:pStyle w:val="Heading3"/>
      </w:pPr>
      <w:bookmarkStart w:id="1541" w:name="_Toc32570697"/>
      <w:r w:rsidRPr="0028033B">
        <w:t>5.9.7</w:t>
      </w:r>
      <w:r w:rsidRPr="0028033B">
        <w:tab/>
        <w:t>Category-specific planned improvements</w:t>
      </w:r>
      <w:bookmarkEnd w:id="1541"/>
    </w:p>
    <w:p w14:paraId="3F2377AD" w14:textId="77777777" w:rsidR="00E46639" w:rsidRPr="0028033B" w:rsidRDefault="00E46639" w:rsidP="00E46639">
      <w:pPr>
        <w:pStyle w:val="BodyText"/>
        <w:rPr>
          <w:rFonts w:cs="Calibri"/>
        </w:rPr>
      </w:pPr>
      <w:r w:rsidRPr="0028033B">
        <w:rPr>
          <w:rFonts w:cs="Calibri"/>
          <w:spacing w:val="-2"/>
        </w:rPr>
        <w:t>New Zealand</w:t>
      </w:r>
      <w:r w:rsidRPr="0028033B">
        <w:rPr>
          <w:rFonts w:cs="Calibri"/>
        </w:rPr>
        <w:t xml:space="preserve"> will continue to update activity data on urea as the data become available from the Fertiliser Association of New Zealand. Where possible, it will be cross referenced with data collected in the annual Stats NZ Agricultural Production Survey.</w:t>
      </w:r>
    </w:p>
    <w:p w14:paraId="4EB30C1A" w14:textId="77777777" w:rsidR="00E46639" w:rsidRPr="0028033B" w:rsidRDefault="00E46639" w:rsidP="00E46639">
      <w:pPr>
        <w:pStyle w:val="Heading2"/>
      </w:pPr>
      <w:bookmarkStart w:id="1542" w:name="_Toc448321531"/>
      <w:bookmarkStart w:id="1543" w:name="_Toc481751393"/>
      <w:bookmarkStart w:id="1544" w:name="_Toc511116608"/>
      <w:bookmarkStart w:id="1545" w:name="_Toc5269370"/>
      <w:bookmarkStart w:id="1546" w:name="_Toc32570698"/>
      <w:bookmarkStart w:id="1547" w:name="_Toc36224410"/>
      <w:bookmarkStart w:id="1548" w:name="_Toc68786330"/>
      <w:bookmarkStart w:id="1549" w:name="_Toc131591245"/>
      <w:bookmarkStart w:id="1550" w:name="_Toc164154199"/>
      <w:bookmarkStart w:id="1551" w:name="_Toc226460778"/>
      <w:r w:rsidRPr="0028033B">
        <w:t xml:space="preserve">5.10 </w:t>
      </w:r>
      <w:r w:rsidRPr="0028033B">
        <w:tab/>
        <w:t>Other carbon-containing fertilisers (3.I)</w:t>
      </w:r>
      <w:bookmarkEnd w:id="1542"/>
      <w:bookmarkEnd w:id="1543"/>
      <w:bookmarkEnd w:id="1544"/>
      <w:bookmarkEnd w:id="1545"/>
      <w:bookmarkEnd w:id="1546"/>
      <w:bookmarkEnd w:id="1547"/>
      <w:bookmarkEnd w:id="1548"/>
      <w:bookmarkEnd w:id="1549"/>
      <w:bookmarkEnd w:id="1550"/>
      <w:bookmarkEnd w:id="1551"/>
    </w:p>
    <w:p w14:paraId="45E41CA2" w14:textId="77777777" w:rsidR="00E46639" w:rsidRPr="0028033B" w:rsidRDefault="00E46639" w:rsidP="00E46639">
      <w:pPr>
        <w:pStyle w:val="Heading3"/>
        <w:spacing w:before="240"/>
      </w:pPr>
      <w:bookmarkStart w:id="1552" w:name="_Toc32570699"/>
      <w:r w:rsidRPr="0028033B">
        <w:t>5.10.1</w:t>
      </w:r>
      <w:r w:rsidRPr="0028033B">
        <w:tab/>
        <w:t>Category description</w:t>
      </w:r>
      <w:bookmarkEnd w:id="1552"/>
    </w:p>
    <w:p w14:paraId="5B2B4EDD" w14:textId="77777777" w:rsidR="00E46639" w:rsidRPr="0028033B" w:rsidRDefault="00E46639" w:rsidP="00E46639">
      <w:pPr>
        <w:pStyle w:val="BodyText"/>
      </w:pPr>
      <w:r w:rsidRPr="0028033B">
        <w:t xml:space="preserve">Other carbon-containing synthetic fertilisers besides limestone, dolomite and urea (see section 5.8 and section 5.9) are not applied to agricultural land in </w:t>
      </w:r>
      <w:r w:rsidRPr="0028033B" w:rsidDel="003838DD">
        <w:rPr>
          <w:rFonts w:cs="Calibri"/>
          <w:spacing w:val="-2"/>
        </w:rPr>
        <w:t xml:space="preserve">New </w:t>
      </w:r>
      <w:r w:rsidRPr="0028033B">
        <w:rPr>
          <w:rFonts w:cs="Calibri"/>
          <w:spacing w:val="-2"/>
        </w:rPr>
        <w:t>Zealand</w:t>
      </w:r>
      <w:r w:rsidRPr="0028033B">
        <w:t xml:space="preserve"> (T van der Weerden and C de Klein, pers. comm., 2015). </w:t>
      </w:r>
    </w:p>
    <w:p w14:paraId="277D5039" w14:textId="77777777" w:rsidR="00E46639" w:rsidRPr="0028033B" w:rsidRDefault="00E46639" w:rsidP="00E46639">
      <w:r w:rsidRPr="0028033B">
        <w:br w:type="page"/>
      </w:r>
    </w:p>
    <w:p w14:paraId="0D7B6FAE" w14:textId="77777777" w:rsidR="00E46639" w:rsidRPr="0028033B" w:rsidRDefault="00E46639" w:rsidP="00E46639">
      <w:pPr>
        <w:pStyle w:val="Heading2"/>
        <w:spacing w:after="360"/>
      </w:pPr>
      <w:bookmarkStart w:id="1553" w:name="_Toc352504866"/>
      <w:bookmarkStart w:id="1554" w:name="_Toc448321532"/>
      <w:bookmarkStart w:id="1555" w:name="_Toc481751394"/>
      <w:bookmarkStart w:id="1556" w:name="_Toc511116609"/>
      <w:bookmarkStart w:id="1557" w:name="_Toc5269371"/>
      <w:bookmarkStart w:id="1558" w:name="_Toc32570700"/>
      <w:bookmarkStart w:id="1559" w:name="_Toc36224411"/>
      <w:bookmarkStart w:id="1560" w:name="_Toc68786331"/>
      <w:bookmarkStart w:id="1561" w:name="_Toc131591246"/>
      <w:bookmarkStart w:id="1562" w:name="_Toc164154200"/>
      <w:bookmarkStart w:id="1563" w:name="_Toc226460779"/>
      <w:r w:rsidRPr="0028033B">
        <w:t>Chapter 5: References</w:t>
      </w:r>
      <w:bookmarkEnd w:id="1553"/>
      <w:bookmarkEnd w:id="1554"/>
      <w:bookmarkEnd w:id="1555"/>
      <w:bookmarkEnd w:id="1556"/>
      <w:bookmarkEnd w:id="1557"/>
      <w:bookmarkEnd w:id="1558"/>
      <w:bookmarkEnd w:id="1559"/>
      <w:bookmarkEnd w:id="1560"/>
      <w:bookmarkEnd w:id="1561"/>
      <w:bookmarkEnd w:id="1562"/>
      <w:bookmarkEnd w:id="1563"/>
    </w:p>
    <w:p w14:paraId="537818F0" w14:textId="77777777" w:rsidR="00E46639" w:rsidRPr="0028033B" w:rsidRDefault="00E46639" w:rsidP="00E46639">
      <w:pPr>
        <w:pStyle w:val="BodyText"/>
        <w:rPr>
          <w:rFonts w:cs="Calibri"/>
        </w:rPr>
      </w:pPr>
      <w:r w:rsidRPr="0028033B">
        <w:rPr>
          <w:rFonts w:cs="Calibri"/>
        </w:rPr>
        <w:t xml:space="preserve">Some references may be downloaded </w:t>
      </w:r>
      <w:r w:rsidRPr="0028033B">
        <w:t xml:space="preserve">directly from: </w:t>
      </w:r>
      <w:hyperlink r:id="rId114" w:history="1">
        <w:r w:rsidRPr="0028033B">
          <w:rPr>
            <w:rStyle w:val="Hyperlink"/>
          </w:rPr>
          <w:t>mpi.govt.nz/news-and-resources/statistics-and-forecasting/greenhouse-gas-reporting/agriculture-greenhouse-gas-inventory-reports</w:t>
        </w:r>
      </w:hyperlink>
      <w:r w:rsidRPr="0028033B">
        <w:rPr>
          <w:rFonts w:cs="Calibri"/>
        </w:rPr>
        <w:t>.</w:t>
      </w:r>
    </w:p>
    <w:p w14:paraId="416187E7" w14:textId="77777777" w:rsidR="00E46639" w:rsidRPr="0028033B" w:rsidRDefault="00E46639" w:rsidP="00E46639">
      <w:pPr>
        <w:pStyle w:val="BodyText"/>
        <w:spacing w:after="240"/>
        <w:rPr>
          <w:rFonts w:cs="Calibri"/>
        </w:rPr>
      </w:pPr>
      <w:r w:rsidRPr="0028033B">
        <w:rPr>
          <w:rFonts w:cs="Calibri"/>
        </w:rPr>
        <w:t xml:space="preserve">MPI is progressively making reports used for compiling the </w:t>
      </w:r>
      <w:r w:rsidRPr="0028033B">
        <w:t>Agriculture</w:t>
      </w:r>
      <w:r w:rsidRPr="0028033B">
        <w:rPr>
          <w:rFonts w:cs="Calibri"/>
        </w:rPr>
        <w:t xml:space="preserve"> inventory sector available on this page, where copyright permits. </w:t>
      </w:r>
    </w:p>
    <w:p w14:paraId="55A78527" w14:textId="77777777" w:rsidR="00E46639" w:rsidRPr="0028033B" w:rsidRDefault="00E46639" w:rsidP="00E46639">
      <w:pPr>
        <w:pStyle w:val="References"/>
        <w:rPr>
          <w:rFonts w:cs="Calibri"/>
        </w:rPr>
      </w:pPr>
      <w:bookmarkStart w:id="1564" w:name="_Hlk187670537"/>
      <w:r w:rsidRPr="0028033B">
        <w:rPr>
          <w:rFonts w:cs="Calibri"/>
        </w:rPr>
        <w:t xml:space="preserve">Australian Government. Unpublished. Mutual Review of Components of National Inventory Systems: A Review between Australia and New Zealand. Provided by the Australian Government in 2014. </w:t>
      </w:r>
    </w:p>
    <w:bookmarkEnd w:id="1564"/>
    <w:p w14:paraId="16AC1A03" w14:textId="77777777" w:rsidR="00E46639" w:rsidRPr="0028033B" w:rsidRDefault="00E46639" w:rsidP="00E46639">
      <w:pPr>
        <w:pStyle w:val="References"/>
        <w:rPr>
          <w:rFonts w:cs="Calibri"/>
          <w:szCs w:val="20"/>
        </w:rPr>
      </w:pPr>
      <w:r w:rsidRPr="0028033B">
        <w:rPr>
          <w:rFonts w:cs="Calibri"/>
          <w:color w:val="000000" w:themeColor="text1"/>
          <w:szCs w:val="20"/>
        </w:rPr>
        <w:t xml:space="preserve">Australian Government. </w:t>
      </w:r>
      <w:r w:rsidRPr="0028033B">
        <w:rPr>
          <w:rFonts w:cs="Calibri"/>
          <w:szCs w:val="20"/>
        </w:rPr>
        <w:t xml:space="preserve">2025a. </w:t>
      </w:r>
      <w:hyperlink r:id="rId115" w:history="1">
        <w:r w:rsidRPr="0028033B">
          <w:rPr>
            <w:rStyle w:val="Hyperlink"/>
            <w:rFonts w:cs="Calibri"/>
            <w:i/>
            <w:iCs/>
            <w:szCs w:val="20"/>
          </w:rPr>
          <w:t>2025 Common Reporting Table (CRT)</w:t>
        </w:r>
      </w:hyperlink>
      <w:r w:rsidRPr="0028033B">
        <w:rPr>
          <w:rFonts w:cs="Calibri"/>
          <w:szCs w:val="20"/>
        </w:rPr>
        <w:t xml:space="preserve">. </w:t>
      </w:r>
      <w:r w:rsidRPr="0028033B">
        <w:rPr>
          <w:rFonts w:cs="Calibri"/>
        </w:rPr>
        <w:t>R</w:t>
      </w:r>
      <w:r w:rsidRPr="0028033B">
        <w:rPr>
          <w:rFonts w:cs="Calibri"/>
          <w:szCs w:val="20"/>
        </w:rPr>
        <w:t>etrieved 11 December 2025.</w:t>
      </w:r>
    </w:p>
    <w:p w14:paraId="636EADB2" w14:textId="77777777" w:rsidR="00E46639" w:rsidRPr="0028033B" w:rsidRDefault="00E46639" w:rsidP="00E46639">
      <w:pPr>
        <w:pStyle w:val="References"/>
        <w:rPr>
          <w:rFonts w:cs="Calibri"/>
          <w:szCs w:val="20"/>
        </w:rPr>
      </w:pPr>
      <w:bookmarkStart w:id="1565" w:name="_Hlk187670542"/>
      <w:r w:rsidRPr="0028033B">
        <w:rPr>
          <w:rFonts w:cs="Calibri"/>
          <w:szCs w:val="20"/>
        </w:rPr>
        <w:t xml:space="preserve">Australian Government, Department of Climate Change, Energy, the Environment and Water. 2025b. </w:t>
      </w:r>
      <w:hyperlink r:id="rId116" w:history="1">
        <w:r w:rsidRPr="0028033B">
          <w:rPr>
            <w:rStyle w:val="Hyperlink"/>
            <w:rFonts w:cs="Calibri"/>
            <w:i/>
            <w:iCs/>
            <w:szCs w:val="20"/>
          </w:rPr>
          <w:t>National Inventory Report 2023, Volume I. The Australian Government Submission to the United Nations Framework Convention on Climate Change Australian National Greenhouse Accounts</w:t>
        </w:r>
      </w:hyperlink>
      <w:r w:rsidRPr="0028033B">
        <w:rPr>
          <w:rFonts w:cs="Calibri"/>
          <w:szCs w:val="20"/>
        </w:rPr>
        <w:t xml:space="preserve">. Retrieved 18 February 2026. </w:t>
      </w:r>
    </w:p>
    <w:p w14:paraId="280A5FE1" w14:textId="77777777" w:rsidR="00E46639" w:rsidRPr="0028033B" w:rsidRDefault="00E46639" w:rsidP="00E46639">
      <w:pPr>
        <w:pStyle w:val="References"/>
        <w:rPr>
          <w:rFonts w:cs="Calibri"/>
          <w:szCs w:val="20"/>
        </w:rPr>
      </w:pPr>
      <w:r w:rsidRPr="0028033B">
        <w:rPr>
          <w:rFonts w:cs="Calibri"/>
          <w:szCs w:val="20"/>
        </w:rPr>
        <w:t xml:space="preserve">Beare M, Thomas S, Clemens G, Hernandez-Ramirez G. 2012. </w:t>
      </w:r>
      <w:hyperlink r:id="rId117" w:history="1">
        <w:r w:rsidRPr="0028033B">
          <w:rPr>
            <w:rStyle w:val="Hyperlink"/>
            <w:rFonts w:cs="Calibri"/>
            <w:i/>
            <w:iCs/>
            <w:szCs w:val="20"/>
          </w:rPr>
          <w:t>Contributions of Pasture Renewal and N Mineralisation to N</w:t>
        </w:r>
        <w:r w:rsidRPr="0028033B">
          <w:rPr>
            <w:rStyle w:val="Hyperlink"/>
            <w:rFonts w:cs="Calibri"/>
            <w:i/>
            <w:iCs/>
            <w:szCs w:val="20"/>
            <w:vertAlign w:val="subscript"/>
          </w:rPr>
          <w:t>2</w:t>
        </w:r>
        <w:r w:rsidRPr="0028033B">
          <w:rPr>
            <w:rStyle w:val="Hyperlink"/>
            <w:rFonts w:cs="Calibri"/>
            <w:i/>
            <w:iCs/>
            <w:szCs w:val="20"/>
          </w:rPr>
          <w:t>O Emissions from Pastoral Farming Systems</w:t>
        </w:r>
      </w:hyperlink>
      <w:r w:rsidRPr="0028033B">
        <w:rPr>
          <w:rFonts w:cs="Calibri"/>
          <w:szCs w:val="20"/>
        </w:rPr>
        <w:t>. Report prepared for the Ministry for Primary Industries by Plant and Food Research. Wellington: Ministry for Primary Industries.</w:t>
      </w:r>
    </w:p>
    <w:bookmarkEnd w:id="1565"/>
    <w:p w14:paraId="310D08E4" w14:textId="77777777" w:rsidR="00E46639" w:rsidRPr="0028033B" w:rsidRDefault="00E46639" w:rsidP="00E46639">
      <w:pPr>
        <w:pStyle w:val="References"/>
        <w:rPr>
          <w:rFonts w:cs="Calibri"/>
          <w:szCs w:val="20"/>
        </w:rPr>
      </w:pPr>
      <w:r w:rsidRPr="0028033B">
        <w:rPr>
          <w:rFonts w:cs="Calibri"/>
          <w:color w:val="000000" w:themeColor="text1"/>
          <w:szCs w:val="20"/>
        </w:rPr>
        <w:t xml:space="preserve">Beef + Lamb New Zealand Ltd. </w:t>
      </w:r>
      <w:r w:rsidRPr="0028033B">
        <w:rPr>
          <w:rFonts w:cs="Calibri"/>
          <w:szCs w:val="20"/>
        </w:rPr>
        <w:t xml:space="preserve">2025. </w:t>
      </w:r>
      <w:hyperlink r:id="rId118" w:tgtFrame="_blank" w:history="1">
        <w:r w:rsidRPr="0028033B">
          <w:rPr>
            <w:rStyle w:val="Hyperlink"/>
            <w:rFonts w:cs="Calibri"/>
            <w:i/>
            <w:szCs w:val="20"/>
          </w:rPr>
          <w:t>New Season Outlook 2025–26</w:t>
        </w:r>
      </w:hyperlink>
      <w:r w:rsidRPr="0028033B">
        <w:rPr>
          <w:rFonts w:cs="Calibri"/>
          <w:i/>
          <w:iCs/>
          <w:szCs w:val="20"/>
        </w:rPr>
        <w:t xml:space="preserve">. </w:t>
      </w:r>
      <w:r w:rsidRPr="0028033B">
        <w:rPr>
          <w:rFonts w:cs="Calibri"/>
          <w:szCs w:val="20"/>
        </w:rPr>
        <w:t xml:space="preserve">Wellington: </w:t>
      </w:r>
      <w:r w:rsidRPr="0028033B">
        <w:rPr>
          <w:rFonts w:cs="Calibri"/>
          <w:color w:val="000000" w:themeColor="text1"/>
          <w:szCs w:val="20"/>
        </w:rPr>
        <w:t xml:space="preserve">Beef + Lamb New Zealand Ltd. </w:t>
      </w:r>
      <w:r w:rsidRPr="0028033B">
        <w:rPr>
          <w:rFonts w:cs="Calibri"/>
          <w:szCs w:val="20"/>
        </w:rPr>
        <w:t>Retrieved 16 December 2025.</w:t>
      </w:r>
    </w:p>
    <w:p w14:paraId="5C1AD79C" w14:textId="77777777" w:rsidR="00E46639" w:rsidRPr="0028033B" w:rsidRDefault="00E46639" w:rsidP="00E46639">
      <w:pPr>
        <w:pStyle w:val="References"/>
        <w:rPr>
          <w:rFonts w:cs="Calibri"/>
          <w:szCs w:val="20"/>
        </w:rPr>
      </w:pPr>
      <w:r w:rsidRPr="0028033B">
        <w:rPr>
          <w:rFonts w:cs="Calibri"/>
          <w:szCs w:val="20"/>
        </w:rPr>
        <w:t xml:space="preserve">Bown MD, Thomson BC, Muir PD. 2013. </w:t>
      </w:r>
      <w:hyperlink r:id="rId119" w:history="1">
        <w:r w:rsidRPr="0028033B">
          <w:rPr>
            <w:rStyle w:val="Hyperlink"/>
            <w:rFonts w:cs="Calibri"/>
            <w:i/>
            <w:szCs w:val="20"/>
          </w:rPr>
          <w:t>Evaluation of the Values for Pasture ME and N Content used in the National Greenhouse Gas Inventory</w:t>
        </w:r>
      </w:hyperlink>
      <w:r w:rsidRPr="0028033B">
        <w:rPr>
          <w:rFonts w:cs="Calibri"/>
          <w:szCs w:val="20"/>
        </w:rPr>
        <w:t>. Report prepared for the Ministry for Primary Industries by On-Farm Research. Wellington: Ministry for Primary Industries.</w:t>
      </w:r>
    </w:p>
    <w:p w14:paraId="0CCE7223" w14:textId="77777777" w:rsidR="00E46639" w:rsidRPr="0028033B" w:rsidRDefault="00E46639" w:rsidP="00E46639">
      <w:pPr>
        <w:pStyle w:val="References"/>
        <w:rPr>
          <w:rFonts w:cs="Calibri"/>
          <w:szCs w:val="20"/>
        </w:rPr>
      </w:pPr>
      <w:r w:rsidRPr="0028033B">
        <w:rPr>
          <w:rFonts w:cs="Calibri"/>
          <w:szCs w:val="20"/>
        </w:rPr>
        <w:t xml:space="preserve">Burggraaf V, Benson C, Rollo M. 2022. </w:t>
      </w:r>
      <w:hyperlink r:id="rId120" w:history="1">
        <w:r w:rsidRPr="0028033B">
          <w:rPr>
            <w:rStyle w:val="Hyperlink"/>
            <w:rFonts w:cs="Calibri"/>
            <w:i/>
            <w:szCs w:val="20"/>
          </w:rPr>
          <w:t>Dairy Cattle Population Model: Improving estimates of within-year population changes used in the inventory</w:t>
        </w:r>
      </w:hyperlink>
      <w:r w:rsidRPr="0028033B">
        <w:rPr>
          <w:rFonts w:cs="Calibri"/>
          <w:i/>
          <w:szCs w:val="20"/>
        </w:rPr>
        <w:t>.</w:t>
      </w:r>
      <w:r w:rsidRPr="0028033B">
        <w:rPr>
          <w:rFonts w:cs="Calibri"/>
          <w:szCs w:val="20"/>
        </w:rPr>
        <w:t xml:space="preserve"> Report prepared for the Ministry for Primary Industries. Wellington: Ministry for Primary Industries.</w:t>
      </w:r>
    </w:p>
    <w:p w14:paraId="66FD62DB" w14:textId="77777777" w:rsidR="00E46639" w:rsidRPr="0028033B" w:rsidRDefault="00E46639" w:rsidP="00E46639">
      <w:pPr>
        <w:pStyle w:val="References"/>
        <w:rPr>
          <w:rFonts w:cs="Calibri"/>
          <w:szCs w:val="20"/>
        </w:rPr>
      </w:pPr>
      <w:bookmarkStart w:id="1566" w:name="_Hlk187670823"/>
      <w:r w:rsidRPr="0028033B">
        <w:rPr>
          <w:rFonts w:cs="Calibri"/>
          <w:szCs w:val="20"/>
        </w:rPr>
        <w:t xml:space="preserve">Burggraaf V, Rollo M, de Klein CAM, Lio, J. 2019. </w:t>
      </w:r>
      <w:hyperlink r:id="rId121" w:history="1">
        <w:r w:rsidRPr="0028033B">
          <w:rPr>
            <w:rStyle w:val="Hyperlink"/>
            <w:rFonts w:cs="Calibri"/>
            <w:i/>
            <w:iCs/>
            <w:szCs w:val="20"/>
          </w:rPr>
          <w:t>A Review of Greenhouse Gas Emissions Inventory Methodology for Farmed Goats in New Zealand</w:t>
        </w:r>
      </w:hyperlink>
      <w:r w:rsidRPr="0028033B">
        <w:rPr>
          <w:rFonts w:cs="Calibri"/>
          <w:i/>
          <w:iCs/>
          <w:szCs w:val="20"/>
        </w:rPr>
        <w:t>.</w:t>
      </w:r>
      <w:r w:rsidRPr="0028033B">
        <w:rPr>
          <w:rFonts w:cs="Calibri"/>
          <w:szCs w:val="20"/>
        </w:rPr>
        <w:t xml:space="preserve"> Report prepared for the Ministry for Primary Industries by AgResearch. Wellington: Ministry for Primary Industries.</w:t>
      </w:r>
    </w:p>
    <w:p w14:paraId="21C669F7" w14:textId="77777777" w:rsidR="00E46639" w:rsidRPr="0028033B" w:rsidRDefault="00E46639" w:rsidP="00E46639">
      <w:pPr>
        <w:pStyle w:val="References"/>
        <w:rPr>
          <w:rFonts w:cs="Calibri"/>
          <w:color w:val="000000" w:themeColor="text1"/>
          <w:szCs w:val="20"/>
        </w:rPr>
      </w:pPr>
      <w:r w:rsidRPr="0028033B">
        <w:rPr>
          <w:rFonts w:cs="Calibri"/>
          <w:color w:val="000000" w:themeColor="text1"/>
          <w:szCs w:val="20"/>
        </w:rPr>
        <w:t xml:space="preserve">Cameron K, Di H. Unpublished. Report to the MPI Agricultural Inventory Advisory Panel on EcoPond Generation#2 Results. Report prepared for the Ministry for Primary Industries by Lincoln University in 2025. </w:t>
      </w:r>
    </w:p>
    <w:p w14:paraId="53DBEC9D" w14:textId="77777777" w:rsidR="00E46639" w:rsidRPr="0028033B" w:rsidRDefault="00E46639" w:rsidP="00E46639">
      <w:pPr>
        <w:spacing w:after="120"/>
        <w:rPr>
          <w:rFonts w:eastAsia="STIXTwoText" w:cs="Calibri"/>
          <w:color w:val="0000FF"/>
          <w:sz w:val="16"/>
          <w:szCs w:val="16"/>
        </w:rPr>
      </w:pPr>
      <w:r w:rsidRPr="0028033B">
        <w:rPr>
          <w:rFonts w:cs="Calibri"/>
          <w:sz w:val="20"/>
          <w:szCs w:val="20"/>
        </w:rPr>
        <w:t>Cameron KC, Di HJ. 2021.</w:t>
      </w:r>
      <w:r w:rsidRPr="0028033B">
        <w:rPr>
          <w:rFonts w:cs="Calibri"/>
          <w:color w:val="222222"/>
          <w:shd w:val="clear" w:color="auto" w:fill="FFFFFF"/>
        </w:rPr>
        <w:t xml:space="preserve"> </w:t>
      </w:r>
      <w:hyperlink r:id="rId122" w:history="1">
        <w:r w:rsidRPr="0028033B">
          <w:rPr>
            <w:rStyle w:val="Hyperlink"/>
            <w:rFonts w:cs="Calibri"/>
            <w:sz w:val="20"/>
            <w:szCs w:val="20"/>
            <w:shd w:val="clear" w:color="auto" w:fill="FFFFFF"/>
          </w:rPr>
          <w:t>Discovery of a new method to reduce methane emissions from farm dairy effluent.</w:t>
        </w:r>
      </w:hyperlink>
      <w:r w:rsidRPr="0028033B">
        <w:rPr>
          <w:rFonts w:cs="Calibri"/>
          <w:color w:val="222222"/>
          <w:shd w:val="clear" w:color="auto" w:fill="FFFFFF"/>
        </w:rPr>
        <w:t xml:space="preserve"> </w:t>
      </w:r>
      <w:r w:rsidRPr="0028033B">
        <w:rPr>
          <w:rFonts w:cs="Calibri"/>
          <w:i/>
          <w:iCs/>
          <w:sz w:val="20"/>
          <w:szCs w:val="20"/>
        </w:rPr>
        <w:t>Journal of Soils and Sediments</w:t>
      </w:r>
      <w:r w:rsidRPr="0028033B">
        <w:rPr>
          <w:rFonts w:cs="Calibri"/>
          <w:sz w:val="20"/>
          <w:szCs w:val="20"/>
        </w:rPr>
        <w:t xml:space="preserve"> 21: 3543–3555.</w:t>
      </w:r>
      <w:r w:rsidRPr="0028033B">
        <w:rPr>
          <w:rFonts w:eastAsia="STIXTwoText" w:cs="Calibri"/>
          <w:color w:val="0000FF"/>
          <w:sz w:val="16"/>
          <w:szCs w:val="16"/>
        </w:rPr>
        <w:t xml:space="preserve"> </w:t>
      </w:r>
    </w:p>
    <w:p w14:paraId="3711329B" w14:textId="77777777" w:rsidR="00E46639" w:rsidRPr="0028033B" w:rsidRDefault="00E46639" w:rsidP="00E46639">
      <w:pPr>
        <w:pStyle w:val="References"/>
        <w:rPr>
          <w:rFonts w:cs="Calibri"/>
          <w:szCs w:val="20"/>
        </w:rPr>
      </w:pPr>
      <w:r w:rsidRPr="0028033B">
        <w:rPr>
          <w:rFonts w:cs="Calibri"/>
          <w:szCs w:val="20"/>
        </w:rPr>
        <w:t xml:space="preserve">Carran RA, Dewar D, Theobald PW. 2003. </w:t>
      </w:r>
      <w:hyperlink r:id="rId123" w:history="1">
        <w:r w:rsidRPr="0028033B">
          <w:rPr>
            <w:rStyle w:val="Hyperlink"/>
            <w:rFonts w:cs="Calibri"/>
            <w:i/>
            <w:iCs/>
            <w:szCs w:val="20"/>
          </w:rPr>
          <w:t>Methane and Nitrous Oxide Emissions from Sheep Dung</w:t>
        </w:r>
      </w:hyperlink>
      <w:r w:rsidRPr="0028033B">
        <w:rPr>
          <w:rFonts w:cs="Calibri"/>
          <w:szCs w:val="20"/>
        </w:rPr>
        <w:t>. Report prepared for the Ministry of Agriculture and Forestry by the New Zealand Pastoral Agricultural Research Institute. Wellington: Ministry for Primary Industries.</w:t>
      </w:r>
    </w:p>
    <w:bookmarkEnd w:id="1566"/>
    <w:p w14:paraId="29CF298B" w14:textId="77777777" w:rsidR="00E46639" w:rsidRPr="0028033B" w:rsidRDefault="00E46639" w:rsidP="00E46639">
      <w:pPr>
        <w:pStyle w:val="References"/>
        <w:rPr>
          <w:rFonts w:cs="Calibri"/>
          <w:szCs w:val="20"/>
        </w:rPr>
      </w:pPr>
      <w:r w:rsidRPr="0028033B">
        <w:rPr>
          <w:rFonts w:cs="Calibri"/>
          <w:szCs w:val="20"/>
        </w:rPr>
        <w:t xml:space="preserve">Carran RA, Theobald PW, Evans JP. 1995. </w:t>
      </w:r>
      <w:hyperlink r:id="rId124" w:history="1">
        <w:r w:rsidRPr="0028033B">
          <w:rPr>
            <w:rStyle w:val="Hyperlink"/>
            <w:rFonts w:cs="Calibri"/>
            <w:iCs/>
            <w:szCs w:val="20"/>
          </w:rPr>
          <w:t>Emissions of nitrous oxide from some grazed pasture soils in New Zealand.</w:t>
        </w:r>
        <w:r w:rsidRPr="0028033B">
          <w:rPr>
            <w:rStyle w:val="Hyperlink"/>
            <w:rFonts w:cs="Calibri"/>
            <w:i/>
            <w:iCs/>
            <w:szCs w:val="20"/>
          </w:rPr>
          <w:t xml:space="preserve"> </w:t>
        </w:r>
      </w:hyperlink>
      <w:r w:rsidRPr="0028033B">
        <w:rPr>
          <w:rFonts w:cs="Calibri"/>
          <w:i/>
          <w:szCs w:val="20"/>
        </w:rPr>
        <w:t>Australian Journal of Soil Research 33: 341–352.</w:t>
      </w:r>
    </w:p>
    <w:p w14:paraId="0B798D0B" w14:textId="77777777" w:rsidR="00E46639" w:rsidRPr="0028033B" w:rsidRDefault="00E46639" w:rsidP="00E46639">
      <w:pPr>
        <w:pStyle w:val="References"/>
        <w:rPr>
          <w:rFonts w:cs="Calibri"/>
          <w:szCs w:val="20"/>
        </w:rPr>
      </w:pPr>
      <w:r w:rsidRPr="0028033B">
        <w:rPr>
          <w:rFonts w:cs="Calibri"/>
          <w:szCs w:val="20"/>
        </w:rPr>
        <w:t xml:space="preserve">Chen D, Li Y, Kelly K, Eckard R. 2010. </w:t>
      </w:r>
      <w:hyperlink r:id="rId125" w:history="1">
        <w:r w:rsidRPr="0028033B">
          <w:rPr>
            <w:rStyle w:val="Hyperlink"/>
            <w:rFonts w:cs="Calibri"/>
            <w:szCs w:val="20"/>
          </w:rPr>
          <w:t>Simulation of N</w:t>
        </w:r>
        <w:r w:rsidRPr="0028033B">
          <w:rPr>
            <w:rStyle w:val="Hyperlink"/>
            <w:rFonts w:cs="Calibri"/>
            <w:szCs w:val="20"/>
            <w:vertAlign w:val="subscript"/>
          </w:rPr>
          <w:t>2</w:t>
        </w:r>
        <w:r w:rsidRPr="0028033B">
          <w:rPr>
            <w:rStyle w:val="Hyperlink"/>
            <w:rFonts w:cs="Calibri"/>
            <w:szCs w:val="20"/>
          </w:rPr>
          <w:t xml:space="preserve">O emissions from an irrigated dairy pasture treated with urea and urine in Southeastern Australia. </w:t>
        </w:r>
      </w:hyperlink>
      <w:r w:rsidRPr="0028033B">
        <w:rPr>
          <w:rFonts w:cs="Calibri"/>
          <w:i/>
          <w:szCs w:val="20"/>
        </w:rPr>
        <w:t xml:space="preserve">Agriculture, Ecosystems &amp; Environment </w:t>
      </w:r>
      <w:r w:rsidRPr="0028033B">
        <w:rPr>
          <w:rFonts w:cs="Calibri"/>
          <w:i/>
          <w:szCs w:val="20"/>
        </w:rPr>
        <w:br/>
        <w:t>136(3–4): 333–342.</w:t>
      </w:r>
    </w:p>
    <w:p w14:paraId="5124A6C7" w14:textId="77777777" w:rsidR="00E46639" w:rsidRPr="0028033B" w:rsidRDefault="00E46639" w:rsidP="00E46639">
      <w:pPr>
        <w:pStyle w:val="References"/>
        <w:rPr>
          <w:rFonts w:cs="Calibri"/>
          <w:i/>
          <w:szCs w:val="20"/>
        </w:rPr>
      </w:pPr>
      <w:r w:rsidRPr="0028033B">
        <w:rPr>
          <w:rFonts w:cs="Calibri"/>
          <w:szCs w:val="20"/>
        </w:rPr>
        <w:t xml:space="preserve">Cichota R, Brown H, Snow VO, Wheeler DM, Hedderley D, Zyskowski R, Thomas S. 2010. </w:t>
      </w:r>
      <w:hyperlink r:id="rId126" w:history="1">
        <w:r w:rsidRPr="0028033B">
          <w:rPr>
            <w:rStyle w:val="Hyperlink"/>
            <w:rFonts w:cs="Calibri"/>
            <w:szCs w:val="20"/>
          </w:rPr>
          <w:t xml:space="preserve">A nitrogen balance model for environmental accountability in cropping systems. </w:t>
        </w:r>
      </w:hyperlink>
      <w:r w:rsidRPr="0028033B">
        <w:rPr>
          <w:rFonts w:cs="Calibri"/>
          <w:i/>
          <w:szCs w:val="20"/>
        </w:rPr>
        <w:t xml:space="preserve">New Zealand Journal of Crop and Horticultural Science 38: 189–207. </w:t>
      </w:r>
    </w:p>
    <w:p w14:paraId="061EFA96" w14:textId="77777777" w:rsidR="00E46639" w:rsidRPr="0028033B" w:rsidRDefault="00E46639" w:rsidP="00E46639">
      <w:pPr>
        <w:pStyle w:val="References"/>
        <w:rPr>
          <w:rFonts w:cs="Calibri"/>
          <w:szCs w:val="20"/>
        </w:rPr>
      </w:pPr>
      <w:bookmarkStart w:id="1567" w:name="_Hlk187834822"/>
      <w:r w:rsidRPr="0028033B">
        <w:rPr>
          <w:rFonts w:cs="Calibri"/>
          <w:szCs w:val="20"/>
        </w:rPr>
        <w:t xml:space="preserve">Clark H, Brookes I, Walcroft A. 2003. </w:t>
      </w:r>
      <w:hyperlink r:id="rId127" w:history="1">
        <w:r w:rsidRPr="0028033B">
          <w:rPr>
            <w:rStyle w:val="Hyperlink"/>
            <w:rFonts w:cs="Calibri"/>
            <w:i/>
            <w:iCs/>
            <w:szCs w:val="20"/>
          </w:rPr>
          <w:t xml:space="preserve">Enteric Methane Emissions from New Zealand Ruminants </w:t>
        </w:r>
        <w:r w:rsidRPr="0028033B">
          <w:rPr>
            <w:rStyle w:val="Hyperlink"/>
            <w:rFonts w:cs="Calibri"/>
            <w:i/>
            <w:iCs/>
            <w:szCs w:val="20"/>
          </w:rPr>
          <w:br/>
          <w:t>1990–2001 Calculated Using an IPCC Tier 2 Approach.</w:t>
        </w:r>
      </w:hyperlink>
      <w:r w:rsidRPr="0028033B">
        <w:rPr>
          <w:rFonts w:cs="Calibri"/>
          <w:szCs w:val="20"/>
        </w:rPr>
        <w:t xml:space="preserve"> Report prepared for the Ministry of Agriculture and Forestry by AgResearch and Massey University. Wellington: Ministry of Agriculture and Forestry.</w:t>
      </w:r>
    </w:p>
    <w:bookmarkEnd w:id="1567"/>
    <w:p w14:paraId="6D7FFB3F" w14:textId="77777777" w:rsidR="00E46639" w:rsidRPr="0028033B" w:rsidRDefault="00E46639" w:rsidP="00E46639">
      <w:pPr>
        <w:pStyle w:val="References"/>
        <w:rPr>
          <w:rFonts w:cs="Calibri"/>
        </w:rPr>
      </w:pPr>
      <w:r w:rsidRPr="0028033B">
        <w:rPr>
          <w:rFonts w:cs="Calibri"/>
          <w:szCs w:val="20"/>
        </w:rPr>
        <w:t xml:space="preserve">Clark H. 2008a. </w:t>
      </w:r>
      <w:hyperlink r:id="rId128" w:history="1">
        <w:r w:rsidRPr="0028033B">
          <w:rPr>
            <w:rStyle w:val="Hyperlink"/>
            <w:rFonts w:cs="Calibri"/>
            <w:i/>
            <w:szCs w:val="20"/>
          </w:rPr>
          <w:t>A Comparison of Greenhouse Gas Emissions from the New Zealand Dairy Sector Calculated Using either a National or a Regional Approach</w:t>
        </w:r>
      </w:hyperlink>
      <w:r w:rsidRPr="0028033B">
        <w:rPr>
          <w:rFonts w:cs="Calibri"/>
          <w:szCs w:val="20"/>
        </w:rPr>
        <w:t xml:space="preserve">. Report prepared </w:t>
      </w:r>
      <w:r w:rsidRPr="0028033B">
        <w:rPr>
          <w:rFonts w:cs="Calibri"/>
        </w:rPr>
        <w:t>for</w:t>
      </w:r>
      <w:r w:rsidRPr="0028033B">
        <w:rPr>
          <w:rFonts w:cs="Calibri"/>
          <w:szCs w:val="20"/>
        </w:rPr>
        <w:t xml:space="preserve"> the Ministry of Agriculture and Forestry by AgResearch. Wellington: Ministry of Agriculture and Forestry.</w:t>
      </w:r>
    </w:p>
    <w:p w14:paraId="61D686E9" w14:textId="77777777" w:rsidR="00E46639" w:rsidRPr="0028033B" w:rsidRDefault="00E46639" w:rsidP="00E46639">
      <w:pPr>
        <w:pStyle w:val="References"/>
        <w:rPr>
          <w:rFonts w:cs="Calibri"/>
          <w:szCs w:val="20"/>
        </w:rPr>
      </w:pPr>
      <w:r w:rsidRPr="0028033B">
        <w:rPr>
          <w:rFonts w:cs="Calibri"/>
          <w:szCs w:val="20"/>
        </w:rPr>
        <w:t xml:space="preserve">Clark H. 2008b. </w:t>
      </w:r>
      <w:hyperlink r:id="rId129" w:history="1">
        <w:r w:rsidRPr="0028033B">
          <w:rPr>
            <w:rStyle w:val="Hyperlink"/>
            <w:rFonts w:cs="Calibri"/>
            <w:i/>
            <w:szCs w:val="20"/>
          </w:rPr>
          <w:t>Guidelines to Accompany Computerised Inventory</w:t>
        </w:r>
      </w:hyperlink>
      <w:r w:rsidRPr="0028033B">
        <w:rPr>
          <w:rFonts w:cs="Calibri"/>
          <w:szCs w:val="20"/>
        </w:rPr>
        <w:t>. Report prepared for the Ministry of Agriculture and Forestry by AgResearch. Wellington: Ministry of Agriculture and Forestry.</w:t>
      </w:r>
    </w:p>
    <w:p w14:paraId="7E028F8D" w14:textId="77777777" w:rsidR="00E46639" w:rsidRPr="0028033B" w:rsidRDefault="00E46639" w:rsidP="00E46639">
      <w:pPr>
        <w:pStyle w:val="References"/>
        <w:rPr>
          <w:rFonts w:cs="Calibri"/>
          <w:szCs w:val="20"/>
          <w:highlight w:val="yellow"/>
        </w:rPr>
      </w:pPr>
      <w:r w:rsidRPr="0028033B">
        <w:rPr>
          <w:rFonts w:cs="Calibri"/>
        </w:rPr>
        <w:t>Clough T, Cameron K, Di H. Unpublished. The Case for Including EcoPond® Generation#2 in the New Zealand Greenhouse Gas Inventory as a Methane Mitigation Tool for Dairy Cattle Manure Management. Report prepared for the Ministry for Primary Industries by Lincoln University in 2024.</w:t>
      </w:r>
    </w:p>
    <w:p w14:paraId="434A1E8A" w14:textId="77777777" w:rsidR="00E46639" w:rsidRPr="0028033B" w:rsidRDefault="00E46639" w:rsidP="00E46639">
      <w:pPr>
        <w:pStyle w:val="References"/>
        <w:rPr>
          <w:rFonts w:cs="Calibri"/>
          <w:szCs w:val="20"/>
        </w:rPr>
      </w:pPr>
      <w:r w:rsidRPr="0028033B">
        <w:rPr>
          <w:rFonts w:cs="Calibri"/>
          <w:szCs w:val="20"/>
        </w:rPr>
        <w:t xml:space="preserve">Clough TJ, Kelliher FM, Clark H, van der Weerden TJ. 2011. </w:t>
      </w:r>
      <w:hyperlink r:id="rId130" w:history="1">
        <w:r w:rsidRPr="0028033B">
          <w:rPr>
            <w:rStyle w:val="Hyperlink"/>
            <w:rFonts w:cs="Calibri"/>
            <w:i/>
            <w:szCs w:val="20"/>
          </w:rPr>
          <w:t>Incorporation of the Nitrification Inhibitor DCD into New Zealand’s 2009 National Inventory</w:t>
        </w:r>
      </w:hyperlink>
      <w:r w:rsidRPr="0028033B">
        <w:rPr>
          <w:rFonts w:cs="Calibri"/>
          <w:szCs w:val="20"/>
        </w:rPr>
        <w:t>. Report prepared for the Ministry of Agriculture and Forestry by Lincoln University and AgResearch. Wellington: Ministry of Agriculture and Forestry.</w:t>
      </w:r>
    </w:p>
    <w:p w14:paraId="0D8279F7" w14:textId="77777777" w:rsidR="00E46639" w:rsidRPr="0028033B" w:rsidRDefault="00E46639" w:rsidP="00E46639">
      <w:pPr>
        <w:pStyle w:val="References"/>
        <w:rPr>
          <w:rFonts w:cs="Calibri"/>
          <w:szCs w:val="20"/>
        </w:rPr>
      </w:pPr>
      <w:bookmarkStart w:id="1568" w:name="_Hlk187670832"/>
      <w:bookmarkStart w:id="1569" w:name="_Hlk187834743"/>
      <w:r w:rsidRPr="0028033B">
        <w:rPr>
          <w:rFonts w:cs="Calibri"/>
          <w:szCs w:val="20"/>
        </w:rPr>
        <w:t xml:space="preserve">Clough TJ, Kelliher FM. 2014. </w:t>
      </w:r>
      <w:hyperlink r:id="rId131" w:history="1">
        <w:r w:rsidRPr="0028033B">
          <w:rPr>
            <w:rStyle w:val="Hyperlink"/>
            <w:rFonts w:cs="Calibri"/>
            <w:i/>
            <w:iCs/>
            <w:szCs w:val="20"/>
          </w:rPr>
          <w:t>Literature Review of EF5</w:t>
        </w:r>
      </w:hyperlink>
      <w:r w:rsidRPr="0028033B">
        <w:rPr>
          <w:rFonts w:cs="Calibri"/>
          <w:i/>
          <w:szCs w:val="20"/>
        </w:rPr>
        <w:t>.</w:t>
      </w:r>
      <w:r w:rsidRPr="0028033B">
        <w:rPr>
          <w:rFonts w:cs="Calibri"/>
          <w:szCs w:val="20"/>
        </w:rPr>
        <w:t xml:space="preserve"> Report prepared for the Ministry for Primary Industries by Lincoln University. Wellington: Ministry for Primary Industries.</w:t>
      </w:r>
    </w:p>
    <w:bookmarkEnd w:id="1568"/>
    <w:bookmarkEnd w:id="1569"/>
    <w:p w14:paraId="618DA66F" w14:textId="77777777" w:rsidR="00E46639" w:rsidRPr="0028033B" w:rsidRDefault="00E46639" w:rsidP="00E46639">
      <w:pPr>
        <w:pStyle w:val="References"/>
        <w:rPr>
          <w:rFonts w:cs="Calibri"/>
          <w:szCs w:val="20"/>
        </w:rPr>
      </w:pPr>
      <w:r w:rsidRPr="0028033B">
        <w:rPr>
          <w:rFonts w:cs="Calibri"/>
          <w:szCs w:val="20"/>
        </w:rPr>
        <w:t xml:space="preserve">CSIRO. 1990. </w:t>
      </w:r>
      <w:r w:rsidRPr="0028033B">
        <w:rPr>
          <w:rFonts w:cs="Calibri"/>
          <w:i/>
          <w:szCs w:val="20"/>
        </w:rPr>
        <w:t>Ruminants: Feeding Standards for Australian Livestock</w:t>
      </w:r>
      <w:r w:rsidRPr="0028033B">
        <w:rPr>
          <w:rFonts w:cs="Calibri"/>
          <w:szCs w:val="20"/>
        </w:rPr>
        <w:t>. Victoria, Australia: Commonwealth Scientific and Industrial Research Organisation.</w:t>
      </w:r>
    </w:p>
    <w:p w14:paraId="1236E8E3" w14:textId="77777777" w:rsidR="00E46639" w:rsidRPr="0028033B" w:rsidRDefault="00E46639" w:rsidP="00E46639">
      <w:pPr>
        <w:pStyle w:val="References"/>
        <w:rPr>
          <w:rFonts w:cs="Calibri"/>
          <w:szCs w:val="20"/>
        </w:rPr>
      </w:pPr>
      <w:r w:rsidRPr="0028033B">
        <w:rPr>
          <w:rFonts w:cs="Calibri"/>
          <w:szCs w:val="20"/>
        </w:rPr>
        <w:t xml:space="preserve">CSIRO. 2007. </w:t>
      </w:r>
      <w:r w:rsidRPr="0028033B">
        <w:rPr>
          <w:rFonts w:cs="Calibri"/>
          <w:i/>
          <w:szCs w:val="20"/>
        </w:rPr>
        <w:t>Nutrient Requirements of Domesticated Ruminants</w:t>
      </w:r>
      <w:r w:rsidRPr="0028033B">
        <w:rPr>
          <w:rFonts w:cs="Calibri"/>
          <w:szCs w:val="20"/>
        </w:rPr>
        <w:t>. Victoria, Australia: Australian Agricultural Council, Ruminants Sub Committee.</w:t>
      </w:r>
    </w:p>
    <w:p w14:paraId="5F9109E8" w14:textId="6A0D39C8" w:rsidR="00E46639" w:rsidRPr="0028033B" w:rsidRDefault="00E46639" w:rsidP="00E46639">
      <w:pPr>
        <w:pStyle w:val="References"/>
        <w:rPr>
          <w:rFonts w:cs="Calibri"/>
          <w:szCs w:val="20"/>
        </w:rPr>
      </w:pPr>
      <w:r w:rsidRPr="0028033B">
        <w:rPr>
          <w:rFonts w:cs="Calibri"/>
          <w:szCs w:val="20"/>
        </w:rPr>
        <w:t xml:space="preserve">Dairy Companies Association of New Zealand. 2024. </w:t>
      </w:r>
      <w:r w:rsidRPr="0028033B">
        <w:rPr>
          <w:rFonts w:cs="Calibri"/>
          <w:i/>
          <w:iCs/>
          <w:szCs w:val="20"/>
        </w:rPr>
        <w:t>Latest New Zealand Milk Production Data Report</w:t>
      </w:r>
      <w:r w:rsidRPr="0028033B">
        <w:rPr>
          <w:rFonts w:cs="Calibri"/>
          <w:szCs w:val="20"/>
        </w:rPr>
        <w:t xml:space="preserve">. Retrieved from </w:t>
      </w:r>
      <w:hyperlink r:id="rId132" w:history="1">
        <w:r w:rsidRPr="001B588A">
          <w:rPr>
            <w:rStyle w:val="Hyperlink"/>
            <w:rFonts w:cs="Calibri"/>
            <w:szCs w:val="20"/>
          </w:rPr>
          <w:t>dcanz.com</w:t>
        </w:r>
      </w:hyperlink>
      <w:r w:rsidRPr="0028033B">
        <w:rPr>
          <w:rFonts w:cs="Calibri"/>
          <w:color w:val="31809C"/>
          <w:szCs w:val="20"/>
        </w:rPr>
        <w:t xml:space="preserve"> </w:t>
      </w:r>
      <w:r w:rsidRPr="0028033B">
        <w:rPr>
          <w:rFonts w:cs="Calibri"/>
          <w:szCs w:val="20"/>
        </w:rPr>
        <w:t xml:space="preserve">(13 December 2024). </w:t>
      </w:r>
    </w:p>
    <w:p w14:paraId="5A35E105" w14:textId="77777777" w:rsidR="00E46639" w:rsidRPr="0028033B" w:rsidRDefault="00E46639" w:rsidP="00E46639">
      <w:pPr>
        <w:pStyle w:val="References"/>
        <w:rPr>
          <w:rFonts w:cs="Calibri"/>
          <w:szCs w:val="20"/>
        </w:rPr>
      </w:pPr>
      <w:r w:rsidRPr="0028033B">
        <w:rPr>
          <w:rFonts w:cs="Calibri"/>
          <w:szCs w:val="20"/>
        </w:rPr>
        <w:t>DataGene Limited. 2024.</w:t>
      </w:r>
      <w:r w:rsidRPr="0028033B">
        <w:rPr>
          <w:rFonts w:cs="Calibri"/>
          <w:i/>
          <w:szCs w:val="20"/>
        </w:rPr>
        <w:t xml:space="preserve"> </w:t>
      </w:r>
      <w:hyperlink r:id="rId133" w:history="1">
        <w:r w:rsidRPr="0028033B">
          <w:rPr>
            <w:rFonts w:cs="Calibri"/>
            <w:i/>
            <w:color w:val="32809C" w:themeColor="accent2"/>
            <w:szCs w:val="20"/>
          </w:rPr>
          <w:t>Australian Dairy Herd Improvement Report 2024</w:t>
        </w:r>
      </w:hyperlink>
      <w:r w:rsidRPr="0028033B">
        <w:rPr>
          <w:rFonts w:cs="Calibri"/>
          <w:szCs w:val="20"/>
        </w:rPr>
        <w:t xml:space="preserve">. Melbourne: DataGene Limited. Retrieved 11 December 2025. </w:t>
      </w:r>
    </w:p>
    <w:p w14:paraId="6006718E" w14:textId="77777777" w:rsidR="00E46639" w:rsidRPr="0028033B" w:rsidRDefault="00E46639" w:rsidP="00E46639">
      <w:pPr>
        <w:pStyle w:val="References"/>
        <w:rPr>
          <w:rFonts w:cs="Calibri"/>
          <w:szCs w:val="20"/>
        </w:rPr>
      </w:pPr>
      <w:r w:rsidRPr="0028033B">
        <w:rPr>
          <w:rFonts w:cs="Calibri"/>
          <w:szCs w:val="20"/>
        </w:rPr>
        <w:t xml:space="preserve">de Klein CAM, Barton L, Sherlock RR, Li Z, Littlejohn RP. 2003. </w:t>
      </w:r>
      <w:hyperlink r:id="rId134" w:history="1">
        <w:r w:rsidRPr="0028033B">
          <w:rPr>
            <w:rStyle w:val="Hyperlink"/>
            <w:rFonts w:cs="Calibri"/>
            <w:szCs w:val="20"/>
          </w:rPr>
          <w:t>Estimating a nitrous oxide emission factor for animal urine from some New Zealand pastoral soils.</w:t>
        </w:r>
        <w:r w:rsidRPr="0028033B">
          <w:rPr>
            <w:rStyle w:val="Hyperlink"/>
            <w:rFonts w:cs="Calibri"/>
            <w:i/>
            <w:iCs/>
            <w:szCs w:val="20"/>
          </w:rPr>
          <w:t xml:space="preserve"> </w:t>
        </w:r>
      </w:hyperlink>
      <w:r w:rsidRPr="0028033B">
        <w:rPr>
          <w:rFonts w:cs="Calibri"/>
          <w:i/>
          <w:szCs w:val="20"/>
        </w:rPr>
        <w:t>Australian Journal of Soil Research 41: 381–399.</w:t>
      </w:r>
    </w:p>
    <w:p w14:paraId="723F2E46" w14:textId="77777777" w:rsidR="00E46639" w:rsidRPr="0028033B" w:rsidRDefault="00E46639" w:rsidP="00E46639">
      <w:pPr>
        <w:pStyle w:val="References"/>
        <w:rPr>
          <w:rFonts w:cs="Calibri"/>
          <w:i/>
          <w:szCs w:val="20"/>
        </w:rPr>
      </w:pPr>
      <w:r w:rsidRPr="0028033B">
        <w:rPr>
          <w:rFonts w:cs="Calibri"/>
          <w:szCs w:val="20"/>
        </w:rPr>
        <w:t>de Klein CAM, Luo J, Woodward KB, Styles T, Wise B, Lindsey S, Cox N. 2014.</w:t>
      </w:r>
      <w:r w:rsidRPr="0028033B">
        <w:rPr>
          <w:rFonts w:cs="Calibri"/>
        </w:rPr>
        <w:t xml:space="preserve"> </w:t>
      </w:r>
      <w:hyperlink r:id="rId135" w:history="1">
        <w:r w:rsidRPr="0028033B">
          <w:rPr>
            <w:rStyle w:val="Hyperlink"/>
            <w:rFonts w:cs="Calibri"/>
            <w:szCs w:val="20"/>
          </w:rPr>
          <w:t>The effect of nitrogen concentration in synthetic cattle urine on nitrous oxide emissions.</w:t>
        </w:r>
      </w:hyperlink>
      <w:r w:rsidRPr="0028033B">
        <w:rPr>
          <w:rFonts w:cs="Calibri"/>
          <w:szCs w:val="20"/>
        </w:rPr>
        <w:t xml:space="preserve"> </w:t>
      </w:r>
      <w:r w:rsidRPr="0028033B">
        <w:rPr>
          <w:rFonts w:cs="Calibri"/>
          <w:i/>
          <w:szCs w:val="20"/>
        </w:rPr>
        <w:t>Agriculture Ecosystems &amp; Environment 188: 8–92.</w:t>
      </w:r>
    </w:p>
    <w:p w14:paraId="7CDF1D86" w14:textId="77777777" w:rsidR="00E46639" w:rsidRPr="0028033B" w:rsidRDefault="00E46639" w:rsidP="00E46639">
      <w:pPr>
        <w:pStyle w:val="References"/>
        <w:rPr>
          <w:rFonts w:cs="Calibri"/>
          <w:szCs w:val="20"/>
        </w:rPr>
      </w:pPr>
      <w:r w:rsidRPr="0028033B">
        <w:rPr>
          <w:rFonts w:cs="Calibri"/>
          <w:szCs w:val="20"/>
        </w:rPr>
        <w:t xml:space="preserve">Dresser M, Hewitt A, Willoughby J, Bellis S. 2011. </w:t>
      </w:r>
      <w:hyperlink r:id="rId136" w:history="1">
        <w:r w:rsidRPr="0028033B">
          <w:rPr>
            <w:rStyle w:val="Hyperlink"/>
            <w:rFonts w:cs="Calibri"/>
            <w:i/>
            <w:szCs w:val="20"/>
          </w:rPr>
          <w:t>Area of Organic Soils</w:t>
        </w:r>
      </w:hyperlink>
      <w:r w:rsidRPr="0028033B">
        <w:rPr>
          <w:rFonts w:cs="Calibri"/>
          <w:szCs w:val="20"/>
        </w:rPr>
        <w:t>. Report prepared for the Ministry of Agriculture and Forestry by Landcare Research. Wellington: Ministry of Agriculture and Forestry.</w:t>
      </w:r>
    </w:p>
    <w:p w14:paraId="167CA5AD" w14:textId="77777777" w:rsidR="00E46639" w:rsidRPr="0028033B" w:rsidRDefault="00E46639" w:rsidP="00E46639">
      <w:pPr>
        <w:pStyle w:val="References"/>
        <w:rPr>
          <w:rFonts w:cs="Calibri"/>
        </w:rPr>
      </w:pPr>
      <w:r w:rsidRPr="0028033B">
        <w:rPr>
          <w:rFonts w:cs="Calibri"/>
        </w:rPr>
        <w:t xml:space="preserve">Earth Sciences New Zealand. </w:t>
      </w:r>
      <w:hyperlink r:id="rId137" w:history="1">
        <w:r w:rsidRPr="0028033B">
          <w:rPr>
            <w:rStyle w:val="Hyperlink"/>
            <w:rFonts w:cs="Calibri"/>
            <w:i/>
            <w:iCs/>
          </w:rPr>
          <w:t>Regional climatologies</w:t>
        </w:r>
      </w:hyperlink>
      <w:r w:rsidRPr="0028033B">
        <w:rPr>
          <w:rFonts w:cs="Calibri"/>
        </w:rPr>
        <w:t>. Retrieved 15 February 2026.</w:t>
      </w:r>
    </w:p>
    <w:p w14:paraId="46ECAB66" w14:textId="77777777" w:rsidR="00E46639" w:rsidRPr="0028033B" w:rsidRDefault="00E46639" w:rsidP="00E46639">
      <w:pPr>
        <w:pStyle w:val="References"/>
        <w:rPr>
          <w:rFonts w:cs="Calibri"/>
          <w:szCs w:val="20"/>
        </w:rPr>
      </w:pPr>
      <w:r w:rsidRPr="0028033B">
        <w:rPr>
          <w:rFonts w:cs="Calibri"/>
          <w:szCs w:val="20"/>
        </w:rPr>
        <w:t xml:space="preserve">Fertiliser Association of New Zealand. 2018. </w:t>
      </w:r>
      <w:hyperlink r:id="rId138" w:history="1">
        <w:r w:rsidRPr="0028033B">
          <w:rPr>
            <w:rStyle w:val="Hyperlink"/>
            <w:rFonts w:cs="Calibri"/>
            <w:i/>
            <w:color w:val="32809C" w:themeColor="accent2"/>
            <w:szCs w:val="20"/>
          </w:rPr>
          <w:t>About</w:t>
        </w:r>
      </w:hyperlink>
      <w:r w:rsidRPr="0028033B">
        <w:rPr>
          <w:rFonts w:cs="Calibri"/>
          <w:color w:val="32809C" w:themeColor="accent2"/>
          <w:szCs w:val="20"/>
        </w:rPr>
        <w:t xml:space="preserve">. </w:t>
      </w:r>
      <w:r w:rsidRPr="0028033B">
        <w:rPr>
          <w:rFonts w:cs="Calibri"/>
          <w:szCs w:val="20"/>
        </w:rPr>
        <w:t>Retrieved 15 January 2026.</w:t>
      </w:r>
    </w:p>
    <w:p w14:paraId="007841D3" w14:textId="77777777" w:rsidR="00E46639" w:rsidRPr="0028033B" w:rsidRDefault="00E46639" w:rsidP="00E46639">
      <w:pPr>
        <w:pStyle w:val="References"/>
        <w:rPr>
          <w:rFonts w:cs="Calibri"/>
          <w:szCs w:val="20"/>
        </w:rPr>
      </w:pPr>
      <w:r w:rsidRPr="0028033B">
        <w:rPr>
          <w:rFonts w:cs="Calibri"/>
          <w:szCs w:val="20"/>
        </w:rPr>
        <w:t xml:space="preserve">Fick J. 2010. </w:t>
      </w:r>
      <w:hyperlink r:id="rId139" w:history="1">
        <w:r w:rsidRPr="0028033B">
          <w:rPr>
            <w:rStyle w:val="Hyperlink"/>
            <w:rFonts w:cs="Calibri"/>
            <w:i/>
            <w:szCs w:val="20"/>
          </w:rPr>
          <w:t>Emission Estimations for the Commercial Chicken, Non-chicken and Layer Industries within New Zealand</w:t>
        </w:r>
      </w:hyperlink>
      <w:r w:rsidRPr="0028033B">
        <w:rPr>
          <w:rFonts w:cs="Calibri"/>
          <w:szCs w:val="20"/>
        </w:rPr>
        <w:t>. Report prepared for the Ministry of Agriculture and Forestry by the Poultry Industry Association and Egg Producers Federation of New Zealand. Wellington: Ministry of Agriculture and Forestry.</w:t>
      </w:r>
    </w:p>
    <w:p w14:paraId="2081DFFF" w14:textId="77777777" w:rsidR="00E46639" w:rsidRPr="0028033B" w:rsidRDefault="00E46639" w:rsidP="00E46639">
      <w:pPr>
        <w:pStyle w:val="References"/>
        <w:rPr>
          <w:rFonts w:cs="Calibri"/>
          <w:szCs w:val="20"/>
        </w:rPr>
      </w:pPr>
      <w:r w:rsidRPr="0028033B">
        <w:rPr>
          <w:rFonts w:cs="Calibri"/>
          <w:szCs w:val="20"/>
        </w:rPr>
        <w:t xml:space="preserve">Fick J, Saggar S, Hill J, Giltrap D. 2012. </w:t>
      </w:r>
      <w:hyperlink r:id="rId140" w:history="1">
        <w:r w:rsidRPr="0028033B">
          <w:rPr>
            <w:rStyle w:val="Hyperlink"/>
            <w:rFonts w:cs="Calibri"/>
            <w:i/>
            <w:szCs w:val="20"/>
          </w:rPr>
          <w:t>Poultry Management in New Zealand: Production, Manure Management and Emissions Estimations for the Commercial Chicken, Turkey, Duck and Layer Industries within New Zealand</w:t>
        </w:r>
      </w:hyperlink>
      <w:r w:rsidRPr="0028033B">
        <w:rPr>
          <w:rFonts w:cs="Calibri"/>
          <w:szCs w:val="20"/>
        </w:rPr>
        <w:t xml:space="preserve">. Report prepared for the Ministry of Agriculture and Forestry by Poultry Industry Association, Egg Producers Association, Landcare Research and Massey University. Wellington: Ministry of Agriculture and Forestry. </w:t>
      </w:r>
    </w:p>
    <w:p w14:paraId="317AF0C9" w14:textId="77777777" w:rsidR="00E46639" w:rsidRPr="0028033B" w:rsidRDefault="00E46639" w:rsidP="00E46639">
      <w:pPr>
        <w:pStyle w:val="References"/>
        <w:rPr>
          <w:rFonts w:cs="Calibri"/>
          <w:szCs w:val="20"/>
        </w:rPr>
      </w:pPr>
      <w:r w:rsidRPr="0028033B">
        <w:rPr>
          <w:rFonts w:cs="Calibri"/>
          <w:szCs w:val="20"/>
        </w:rPr>
        <w:t xml:space="preserve">Galbally I, Meyer C, Bentley S, Weeks I, Leuning R, Kelly K, Phillips F, Barker-Reid F, Gates W, Baigent R, Eckard R, Grace P. 2005. </w:t>
      </w:r>
      <w:hyperlink r:id="rId141" w:anchor="abstract" w:history="1">
        <w:r w:rsidRPr="0028033B">
          <w:rPr>
            <w:rStyle w:val="Hyperlink"/>
            <w:rFonts w:cs="Calibri"/>
            <w:szCs w:val="20"/>
          </w:rPr>
          <w:t>A study of environmental and management drivers of non-CO</w:t>
        </w:r>
        <w:r w:rsidRPr="0028033B">
          <w:rPr>
            <w:rStyle w:val="Hyperlink"/>
            <w:rFonts w:cs="Calibri"/>
            <w:szCs w:val="20"/>
            <w:vertAlign w:val="subscript"/>
          </w:rPr>
          <w:t>2</w:t>
        </w:r>
        <w:r w:rsidRPr="0028033B">
          <w:rPr>
            <w:rStyle w:val="Hyperlink"/>
            <w:rFonts w:cs="Calibri"/>
            <w:szCs w:val="20"/>
          </w:rPr>
          <w:t xml:space="preserve"> greenhouse gas emissions in Australian agroecosystems</w:t>
        </w:r>
      </w:hyperlink>
      <w:r w:rsidRPr="0028033B">
        <w:rPr>
          <w:rFonts w:cs="Calibri"/>
          <w:szCs w:val="20"/>
        </w:rPr>
        <w:t xml:space="preserve">. </w:t>
      </w:r>
      <w:r w:rsidRPr="0028033B">
        <w:rPr>
          <w:rFonts w:cs="Calibri"/>
          <w:i/>
          <w:szCs w:val="20"/>
        </w:rPr>
        <w:t>Environmental Sciences</w:t>
      </w:r>
      <w:r w:rsidRPr="0028033B">
        <w:rPr>
          <w:rFonts w:cs="Calibri"/>
          <w:szCs w:val="20"/>
        </w:rPr>
        <w:t xml:space="preserve"> 2(2­3): 133–142.</w:t>
      </w:r>
    </w:p>
    <w:p w14:paraId="5474285F" w14:textId="77777777" w:rsidR="00E46639" w:rsidRPr="0028033B" w:rsidRDefault="00E46639" w:rsidP="00E46639">
      <w:pPr>
        <w:pStyle w:val="References"/>
        <w:rPr>
          <w:rFonts w:cs="Calibri"/>
          <w:szCs w:val="20"/>
        </w:rPr>
      </w:pPr>
      <w:r w:rsidRPr="0028033B">
        <w:rPr>
          <w:rFonts w:cs="Calibri"/>
          <w:szCs w:val="20"/>
        </w:rPr>
        <w:t xml:space="preserve">Gebremichael A.W., Rahman N., Krol D.J., Forrestal P.J., Lanigan G.J., Richards K.G. 2021. </w:t>
      </w:r>
      <w:hyperlink r:id="rId142" w:history="1">
        <w:r w:rsidRPr="0028033B">
          <w:rPr>
            <w:rStyle w:val="Hyperlink"/>
            <w:rFonts w:cs="Calibri"/>
            <w:spacing w:val="-2"/>
            <w:szCs w:val="20"/>
          </w:rPr>
          <w:t>Ammonium-based compound fertilisers mitigate nitrous oxide emissions in temperate grassland</w:t>
        </w:r>
      </w:hyperlink>
      <w:r w:rsidRPr="0028033B">
        <w:rPr>
          <w:rFonts w:cs="Calibri"/>
          <w:spacing w:val="-2"/>
          <w:szCs w:val="20"/>
        </w:rPr>
        <w:t xml:space="preserve">. </w:t>
      </w:r>
      <w:r w:rsidRPr="0028033B">
        <w:rPr>
          <w:rFonts w:cs="Calibri"/>
          <w:i/>
          <w:iCs/>
          <w:spacing w:val="-2"/>
          <w:szCs w:val="20"/>
        </w:rPr>
        <w:t>Agronomy</w:t>
      </w:r>
      <w:r w:rsidRPr="0028033B">
        <w:rPr>
          <w:rFonts w:cs="Calibri"/>
          <w:spacing w:val="-2"/>
          <w:szCs w:val="20"/>
        </w:rPr>
        <w:t xml:space="preserve"> 11, 1712.</w:t>
      </w:r>
      <w:r w:rsidRPr="0028033B">
        <w:rPr>
          <w:rFonts w:cs="Calibri"/>
          <w:szCs w:val="20"/>
        </w:rPr>
        <w:t xml:space="preserve"> </w:t>
      </w:r>
    </w:p>
    <w:p w14:paraId="073DA270" w14:textId="77777777" w:rsidR="00E46639" w:rsidRPr="0028033B" w:rsidRDefault="00E46639" w:rsidP="00E46639">
      <w:pPr>
        <w:pStyle w:val="References"/>
        <w:rPr>
          <w:rFonts w:cs="Calibri"/>
          <w:szCs w:val="20"/>
        </w:rPr>
      </w:pPr>
      <w:bookmarkStart w:id="1570" w:name="_Hlk187670843"/>
      <w:r w:rsidRPr="0028033B">
        <w:rPr>
          <w:rFonts w:cs="Calibri"/>
          <w:szCs w:val="20"/>
        </w:rPr>
        <w:t xml:space="preserve">Giltrap D, McNeill S, Vickers S. 2016. </w:t>
      </w:r>
      <w:hyperlink r:id="rId143" w:history="1">
        <w:r w:rsidRPr="0028033B">
          <w:rPr>
            <w:rStyle w:val="Hyperlink"/>
            <w:rFonts w:cs="Calibri"/>
            <w:i/>
            <w:iCs/>
            <w:szCs w:val="20"/>
          </w:rPr>
          <w:t>Development of infrastructure to calculate agricultural greenhouse gas inventory emissions uncertainty in-house</w:t>
        </w:r>
      </w:hyperlink>
      <w:r w:rsidRPr="0028033B">
        <w:rPr>
          <w:rFonts w:cs="Calibri"/>
          <w:szCs w:val="20"/>
        </w:rPr>
        <w:t>. Report prepared for the Ministry for Primary Industries by Landcare Research and RSV Consulting Ltd. Wellington: Ministry for Primary Industries.</w:t>
      </w:r>
    </w:p>
    <w:bookmarkEnd w:id="1570"/>
    <w:p w14:paraId="628D5D48" w14:textId="77777777" w:rsidR="00E46639" w:rsidRPr="0028033B" w:rsidRDefault="00E46639" w:rsidP="00E46639">
      <w:pPr>
        <w:pStyle w:val="References"/>
        <w:rPr>
          <w:rFonts w:cs="Calibri"/>
          <w:szCs w:val="20"/>
        </w:rPr>
      </w:pPr>
      <w:r w:rsidRPr="0028033B">
        <w:rPr>
          <w:rFonts w:cs="Calibri"/>
          <w:spacing w:val="-2"/>
          <w:szCs w:val="20"/>
        </w:rPr>
        <w:t xml:space="preserve">Giltrap D, McNeill S. 2020. </w:t>
      </w:r>
      <w:hyperlink r:id="rId144" w:history="1">
        <w:r w:rsidRPr="0028033B">
          <w:rPr>
            <w:rStyle w:val="Hyperlink"/>
            <w:rFonts w:cs="Calibri"/>
            <w:i/>
            <w:spacing w:val="-2"/>
            <w:szCs w:val="20"/>
          </w:rPr>
          <w:t>Revised Pasture Quality Analysis in the Agricultural Greenhouse Gas Inventory</w:t>
        </w:r>
      </w:hyperlink>
      <w:r w:rsidRPr="0028033B">
        <w:rPr>
          <w:rFonts w:cs="Calibri"/>
          <w:szCs w:val="20"/>
        </w:rPr>
        <w:t xml:space="preserve">. Report prepared for the Ministry for Primary Industries by Manaaki Whenua – Landcare Research. Wellington: Ministry for Primary Industries. </w:t>
      </w:r>
    </w:p>
    <w:p w14:paraId="64406EA4" w14:textId="77777777" w:rsidR="00E46639" w:rsidRPr="0028033B" w:rsidRDefault="00E46639" w:rsidP="00E46639">
      <w:pPr>
        <w:pStyle w:val="References"/>
        <w:rPr>
          <w:rFonts w:cs="Calibri"/>
          <w:szCs w:val="20"/>
        </w:rPr>
      </w:pPr>
      <w:r w:rsidRPr="0028033B">
        <w:rPr>
          <w:rFonts w:cs="Calibri"/>
          <w:szCs w:val="20"/>
        </w:rPr>
        <w:t xml:space="preserve">Grainger C, Clarke T, McGinn SM, Auldist MJ, Beauchemin KA, Hannah MC, Waghorn GC, Clark H, Eckard RJ. 2007. </w:t>
      </w:r>
      <w:hyperlink r:id="rId145" w:history="1">
        <w:r w:rsidRPr="0028033B">
          <w:rPr>
            <w:rStyle w:val="Hyperlink"/>
            <w:rFonts w:cs="Calibri"/>
            <w:szCs w:val="20"/>
          </w:rPr>
          <w:t>Methane emissions from dairy cows measured with sulphur hexafluoride (SF6) tracer and chamber techniques</w:t>
        </w:r>
        <w:r w:rsidRPr="0028033B">
          <w:rPr>
            <w:rStyle w:val="Hyperlink"/>
            <w:rFonts w:cs="Calibri"/>
            <w:i/>
            <w:szCs w:val="20"/>
          </w:rPr>
          <w:t>.</w:t>
        </w:r>
      </w:hyperlink>
      <w:r w:rsidRPr="0028033B">
        <w:rPr>
          <w:rFonts w:cs="Calibri"/>
          <w:i/>
          <w:szCs w:val="20"/>
        </w:rPr>
        <w:t xml:space="preserve"> Journal of Dairy Science</w:t>
      </w:r>
      <w:r w:rsidRPr="0028033B">
        <w:rPr>
          <w:rFonts w:cs="Calibri"/>
          <w:szCs w:val="20"/>
        </w:rPr>
        <w:t xml:space="preserve"> 90(6): 2755–2766.</w:t>
      </w:r>
    </w:p>
    <w:p w14:paraId="16E18177" w14:textId="77777777" w:rsidR="00E46639" w:rsidRPr="0028033B" w:rsidRDefault="00E46639" w:rsidP="00E46639">
      <w:pPr>
        <w:rPr>
          <w:rFonts w:cs="Calibri"/>
          <w:sz w:val="20"/>
          <w:szCs w:val="20"/>
        </w:rPr>
      </w:pPr>
      <w:bookmarkStart w:id="1571" w:name="_Hlk187670849"/>
      <w:r w:rsidRPr="0028033B">
        <w:rPr>
          <w:rFonts w:cs="Calibri"/>
          <w:sz w:val="20"/>
          <w:szCs w:val="20"/>
        </w:rPr>
        <w:t xml:space="preserve">Habtewold J, Gordon R, Sokolov V, VanderZaag A, Wagner-Riddle C, Dunfield K. 2018. </w:t>
      </w:r>
      <w:hyperlink r:id="rId146" w:history="1">
        <w:r w:rsidRPr="0028033B">
          <w:rPr>
            <w:rStyle w:val="Hyperlink"/>
            <w:rFonts w:cs="Calibri"/>
            <w:sz w:val="20"/>
            <w:szCs w:val="20"/>
          </w:rPr>
          <w:t xml:space="preserve">Targeting bacteria and methanogens to understand the role of residual slurry as an inoculant in stored liquid dairy manure. </w:t>
        </w:r>
      </w:hyperlink>
      <w:r w:rsidRPr="0028033B">
        <w:rPr>
          <w:rFonts w:cs="Calibri"/>
          <w:i/>
          <w:iCs/>
          <w:sz w:val="20"/>
          <w:szCs w:val="20"/>
        </w:rPr>
        <w:t>Appl Environ Microbiology</w:t>
      </w:r>
      <w:r w:rsidRPr="0028033B">
        <w:rPr>
          <w:rFonts w:cs="Calibri"/>
          <w:sz w:val="20"/>
          <w:szCs w:val="20"/>
        </w:rPr>
        <w:t xml:space="preserve"> 84:e02830-17.</w:t>
      </w:r>
    </w:p>
    <w:p w14:paraId="64307DAE" w14:textId="77777777" w:rsidR="00E46639" w:rsidRPr="0028033B" w:rsidRDefault="00E46639" w:rsidP="00E46639">
      <w:pPr>
        <w:rPr>
          <w:rFonts w:cs="Calibri"/>
          <w:sz w:val="20"/>
          <w:szCs w:val="20"/>
        </w:rPr>
      </w:pPr>
    </w:p>
    <w:p w14:paraId="3352790B" w14:textId="77777777" w:rsidR="00E46639" w:rsidRPr="0028033B" w:rsidRDefault="00E46639" w:rsidP="00E46639">
      <w:pPr>
        <w:pStyle w:val="References"/>
        <w:rPr>
          <w:rFonts w:cs="Calibri"/>
          <w:szCs w:val="20"/>
        </w:rPr>
      </w:pPr>
      <w:r w:rsidRPr="0028033B">
        <w:rPr>
          <w:rFonts w:cs="Calibri"/>
          <w:szCs w:val="20"/>
        </w:rPr>
        <w:t>Henderson H, Cameron C. 2010</w:t>
      </w:r>
      <w:r w:rsidRPr="0028033B">
        <w:rPr>
          <w:rFonts w:cs="Calibri"/>
          <w:i/>
          <w:iCs/>
          <w:szCs w:val="20"/>
        </w:rPr>
        <w:t xml:space="preserve">. </w:t>
      </w:r>
      <w:hyperlink r:id="rId147" w:history="1">
        <w:r w:rsidRPr="0028033B">
          <w:rPr>
            <w:rStyle w:val="Hyperlink"/>
            <w:rFonts w:cs="Calibri"/>
            <w:i/>
            <w:iCs/>
            <w:szCs w:val="20"/>
          </w:rPr>
          <w:t>Review of the Methodology for Alpaca Population Estimations Used in the National Greenhouse Gas Inventory</w:t>
        </w:r>
      </w:hyperlink>
      <w:r w:rsidRPr="0028033B">
        <w:rPr>
          <w:rFonts w:cs="Calibri"/>
          <w:szCs w:val="20"/>
        </w:rPr>
        <w:t>. Report prepared for the Ministry for Primary Industries. Wellington: Ministry for Primary Industries.</w:t>
      </w:r>
    </w:p>
    <w:bookmarkEnd w:id="1571"/>
    <w:p w14:paraId="7DFA65FF" w14:textId="77777777" w:rsidR="00E46639" w:rsidRPr="0028033B" w:rsidRDefault="00E46639" w:rsidP="00E46639">
      <w:pPr>
        <w:pStyle w:val="References"/>
        <w:rPr>
          <w:rFonts w:cs="Calibri"/>
          <w:szCs w:val="20"/>
        </w:rPr>
      </w:pPr>
      <w:r w:rsidRPr="0028033B">
        <w:rPr>
          <w:rFonts w:cs="Calibri"/>
          <w:szCs w:val="20"/>
        </w:rPr>
        <w:t xml:space="preserve">Hill J. 2012. </w:t>
      </w:r>
      <w:hyperlink r:id="rId148" w:history="1">
        <w:r w:rsidRPr="0028033B">
          <w:rPr>
            <w:rStyle w:val="Hyperlink"/>
            <w:rFonts w:cs="Calibri"/>
            <w:i/>
            <w:szCs w:val="20"/>
          </w:rPr>
          <w:t>Recalculate Pork Industry Emissions Inventory</w:t>
        </w:r>
      </w:hyperlink>
      <w:r w:rsidRPr="0028033B">
        <w:rPr>
          <w:rFonts w:cs="Calibri"/>
          <w:szCs w:val="20"/>
        </w:rPr>
        <w:t>. Report prepared for the Ministry of Agriculture and Forestry by Massey University and the New Zealand Pork Industry Board. Wellington: Ministry of Agriculture and Forestry.</w:t>
      </w:r>
    </w:p>
    <w:p w14:paraId="0A27E106" w14:textId="77777777" w:rsidR="00E46639" w:rsidRPr="0028033B" w:rsidRDefault="00E46639" w:rsidP="00E46639">
      <w:pPr>
        <w:pStyle w:val="References"/>
        <w:rPr>
          <w:rFonts w:cs="Calibri"/>
          <w:szCs w:val="20"/>
        </w:rPr>
      </w:pPr>
      <w:r w:rsidRPr="0028033B">
        <w:rPr>
          <w:rFonts w:cs="Calibri"/>
          <w:szCs w:val="20"/>
        </w:rPr>
        <w:t xml:space="preserve">Hoogendoorn CJ, de Klein CAM, Rutherford AJ, Letica S, Devantier BP. 2008. </w:t>
      </w:r>
      <w:hyperlink r:id="rId149" w:history="1">
        <w:r w:rsidRPr="0028033B">
          <w:rPr>
            <w:rStyle w:val="Hyperlink"/>
            <w:rFonts w:cs="Calibri"/>
            <w:szCs w:val="20"/>
          </w:rPr>
          <w:t>The effect of increasing rates of nitrogen fertiliser and a nitrification inhibitor on the nitrous oxide emissions from urine patches on sheep grazed hill country pasture.</w:t>
        </w:r>
      </w:hyperlink>
      <w:r w:rsidRPr="0028033B">
        <w:rPr>
          <w:rFonts w:cs="Calibri"/>
          <w:szCs w:val="20"/>
        </w:rPr>
        <w:t xml:space="preserve"> </w:t>
      </w:r>
      <w:r w:rsidRPr="0028033B">
        <w:rPr>
          <w:rFonts w:cs="Calibri"/>
          <w:i/>
          <w:szCs w:val="20"/>
        </w:rPr>
        <w:t>Australian Journal of Experimental Agriculture</w:t>
      </w:r>
      <w:r w:rsidRPr="0028033B">
        <w:rPr>
          <w:rFonts w:cs="Calibri"/>
          <w:szCs w:val="20"/>
        </w:rPr>
        <w:t xml:space="preserve"> 48(2): 147–151.</w:t>
      </w:r>
    </w:p>
    <w:p w14:paraId="36F0608C" w14:textId="77777777" w:rsidR="00E46639" w:rsidRPr="0028033B" w:rsidRDefault="00E46639" w:rsidP="00E46639">
      <w:pPr>
        <w:pStyle w:val="References"/>
        <w:rPr>
          <w:rFonts w:cs="Calibri"/>
          <w:szCs w:val="20"/>
        </w:rPr>
      </w:pPr>
      <w:bookmarkStart w:id="1572" w:name="_Hlk187834857"/>
      <w:r w:rsidRPr="0028033B">
        <w:rPr>
          <w:rFonts w:cs="Calibri"/>
          <w:szCs w:val="20"/>
        </w:rPr>
        <w:t xml:space="preserve">Hoogendoorn CJ, Luo J, van der Weerden T, Saggar S, Wise B, Lloyd-West C, Judge A. 2013. </w:t>
      </w:r>
      <w:r w:rsidRPr="0028033B">
        <w:rPr>
          <w:rFonts w:cs="Calibri"/>
          <w:i/>
          <w:szCs w:val="20"/>
        </w:rPr>
        <w:t>Evaluation of beef cattle excreta nitrous oxide emission factors</w:t>
      </w:r>
      <w:r w:rsidRPr="0028033B">
        <w:rPr>
          <w:rFonts w:cs="Calibri"/>
          <w:szCs w:val="20"/>
        </w:rPr>
        <w:t>. Report prepared for the Ministry for Primary Industries by AgResearch in 2013. Wellington: Ministry for Primary Industries.</w:t>
      </w:r>
    </w:p>
    <w:bookmarkEnd w:id="1572"/>
    <w:p w14:paraId="3EB4ABA2" w14:textId="77777777" w:rsidR="00E46639" w:rsidRPr="0028033B" w:rsidRDefault="00E46639" w:rsidP="00E46639">
      <w:pPr>
        <w:pStyle w:val="References"/>
        <w:rPr>
          <w:rFonts w:cs="Calibri"/>
          <w:szCs w:val="20"/>
        </w:rPr>
      </w:pPr>
      <w:r w:rsidRPr="0028033B">
        <w:rPr>
          <w:rFonts w:cs="Calibri"/>
          <w:szCs w:val="20"/>
        </w:rPr>
        <w:t xml:space="preserve">IPCC. 1996. Houghton JT, Meira Filho LG, Lim B, Treanton K, Mamaty I, Bonduki Y, Griggs DJ, Callender BA (eds). </w:t>
      </w:r>
      <w:r w:rsidRPr="0028033B">
        <w:rPr>
          <w:rFonts w:cs="Calibri"/>
          <w:i/>
          <w:szCs w:val="20"/>
        </w:rPr>
        <w:t>IPCC/OECD/IEA. Revised 1996 IPCC Guidelines for National Greenhouse Gas Inventories</w:t>
      </w:r>
      <w:r w:rsidRPr="0028033B">
        <w:rPr>
          <w:rFonts w:cs="Calibri"/>
          <w:szCs w:val="20"/>
        </w:rPr>
        <w:t>. Bracknell: United Kingdom Meteorological Office.</w:t>
      </w:r>
    </w:p>
    <w:p w14:paraId="34293859" w14:textId="77777777" w:rsidR="00E46639" w:rsidRPr="0028033B" w:rsidRDefault="00E46639" w:rsidP="00E46639">
      <w:pPr>
        <w:pStyle w:val="References"/>
        <w:rPr>
          <w:rFonts w:cs="Calibri"/>
          <w:szCs w:val="20"/>
        </w:rPr>
      </w:pPr>
      <w:r w:rsidRPr="0028033B">
        <w:rPr>
          <w:rFonts w:cs="Calibri"/>
          <w:szCs w:val="20"/>
        </w:rPr>
        <w:t xml:space="preserve">IPCC. 2000. Penman J, Kruger D, Galbally I, Hiraishi T, Nyenzi B, Emmanuel S, Buendia L, Hoppaus R, Martinsen T, Meijer J, Miwa K, Tanabe K (eds). </w:t>
      </w:r>
      <w:r w:rsidRPr="0028033B">
        <w:rPr>
          <w:rFonts w:cs="Calibri"/>
          <w:i/>
          <w:szCs w:val="20"/>
        </w:rPr>
        <w:t>Good Practice Guidance and Uncertainty Management in National Greenhouse Gas Inventories</w:t>
      </w:r>
      <w:r w:rsidRPr="0028033B">
        <w:rPr>
          <w:rFonts w:cs="Calibri"/>
          <w:szCs w:val="20"/>
        </w:rPr>
        <w:t>. IPCC National Greenhouse Gas Inventories Programme. Published for the IPCC by the Institute for Global Environmental Strategies: Japan.</w:t>
      </w:r>
    </w:p>
    <w:p w14:paraId="2C6387A6" w14:textId="77777777" w:rsidR="00E46639" w:rsidRPr="0028033B" w:rsidRDefault="00E46639" w:rsidP="00E46639">
      <w:pPr>
        <w:pStyle w:val="References"/>
        <w:rPr>
          <w:rFonts w:cs="Calibri"/>
          <w:szCs w:val="20"/>
        </w:rPr>
      </w:pPr>
      <w:r w:rsidRPr="0028033B">
        <w:rPr>
          <w:rFonts w:cs="Calibri"/>
          <w:szCs w:val="20"/>
        </w:rPr>
        <w:t xml:space="preserve">IPCC. 2006. Eggleston HS, Buendia L, Miwa K, Ngara T, Tanabe K (eds). </w:t>
      </w:r>
      <w:r w:rsidRPr="0028033B">
        <w:rPr>
          <w:rFonts w:cs="Calibri"/>
          <w:i/>
          <w:szCs w:val="20"/>
        </w:rPr>
        <w:t>2006 IPCC Guidelines for National Greenhouse Gas Inventories. Volume 4. Agriculture, Forestry and Other Land Use</w:t>
      </w:r>
      <w:r w:rsidRPr="0028033B">
        <w:rPr>
          <w:rFonts w:cs="Calibri"/>
          <w:szCs w:val="20"/>
        </w:rPr>
        <w:t>. IPCC National Greenhouse Gas Inventories Programme. Published for the IPCC by the Institute for Global Environmental Strategies: Japan.</w:t>
      </w:r>
    </w:p>
    <w:p w14:paraId="0157B291" w14:textId="77777777" w:rsidR="00E46639" w:rsidRPr="0028033B" w:rsidRDefault="00E46639" w:rsidP="00E46639">
      <w:pPr>
        <w:pStyle w:val="References"/>
        <w:rPr>
          <w:rFonts w:cs="Calibri"/>
          <w:szCs w:val="20"/>
        </w:rPr>
      </w:pPr>
      <w:r w:rsidRPr="0028033B">
        <w:rPr>
          <w:rFonts w:cs="Calibri"/>
          <w:szCs w:val="20"/>
        </w:rPr>
        <w:t xml:space="preserve">IPCC. 2013. Stocker TF, Qin D, Plattner G-K, Tignor M, Allen SK, Boschung J, Nauels A, Xia Y, Bex V, Midgley PM (eds). </w:t>
      </w:r>
      <w:r w:rsidRPr="0028033B">
        <w:rPr>
          <w:rFonts w:cs="Calibri"/>
          <w:i/>
          <w:szCs w:val="20"/>
        </w:rPr>
        <w:t>Climate Change 2013:</w:t>
      </w:r>
      <w:r w:rsidRPr="0028033B">
        <w:rPr>
          <w:rFonts w:cs="Calibri"/>
          <w:szCs w:val="20"/>
        </w:rPr>
        <w:t xml:space="preserve"> </w:t>
      </w:r>
      <w:r w:rsidRPr="0028033B">
        <w:rPr>
          <w:rFonts w:cs="Calibri"/>
          <w:i/>
          <w:szCs w:val="20"/>
        </w:rPr>
        <w:t>The Physical Science Basis. Contribution of Working Group I to the Fifth Assessment Report of the Intergovernmental Panel on Climate Change</w:t>
      </w:r>
      <w:r w:rsidRPr="0028033B">
        <w:rPr>
          <w:rFonts w:cs="Calibri"/>
          <w:szCs w:val="20"/>
        </w:rPr>
        <w:t xml:space="preserve">. Cambridge: Cambridge University Press. </w:t>
      </w:r>
    </w:p>
    <w:p w14:paraId="1C6A0E30" w14:textId="77777777" w:rsidR="00E46639" w:rsidRPr="0028033B" w:rsidRDefault="00E46639" w:rsidP="00E46639">
      <w:pPr>
        <w:pStyle w:val="References"/>
        <w:rPr>
          <w:rFonts w:cs="Calibri"/>
          <w:szCs w:val="20"/>
        </w:rPr>
      </w:pPr>
      <w:r w:rsidRPr="0028033B">
        <w:rPr>
          <w:rFonts w:cs="Calibri"/>
          <w:szCs w:val="20"/>
        </w:rPr>
        <w:t xml:space="preserve">IPCC. 2014. Hiraishi T, Krug T, Tanabe K, Srivastava N, Baasansuren J, Fukuda M, Troxler TG (eds). </w:t>
      </w:r>
      <w:r w:rsidRPr="0028033B">
        <w:rPr>
          <w:rFonts w:cs="Calibri"/>
          <w:i/>
          <w:szCs w:val="20"/>
        </w:rPr>
        <w:t>2013 Supplement to the 2006 IPCC Guidelines for National Greenhouse Gas Inventories: Wetlands</w:t>
      </w:r>
      <w:r w:rsidRPr="0028033B">
        <w:rPr>
          <w:rFonts w:cs="Calibri"/>
          <w:szCs w:val="20"/>
        </w:rPr>
        <w:t>. Switzerland: IPCC.</w:t>
      </w:r>
    </w:p>
    <w:p w14:paraId="2BAF130B" w14:textId="77777777" w:rsidR="00E46639" w:rsidRPr="0028033B" w:rsidRDefault="00E46639" w:rsidP="00E46639">
      <w:pPr>
        <w:pStyle w:val="References"/>
        <w:rPr>
          <w:rFonts w:cs="Calibri"/>
          <w:szCs w:val="20"/>
        </w:rPr>
      </w:pPr>
      <w:r w:rsidRPr="0028033B">
        <w:rPr>
          <w:rFonts w:cs="Calibri"/>
          <w:szCs w:val="20"/>
        </w:rPr>
        <w:t xml:space="preserve">IPCC. 2019. Calvo Buendia E, Tanabe K, Kranjc A, Baasansuren J, Fukuda M, Ngarize S, Osako A, Pyrozhenko Y, Shermanau P, Federici S (eds). </w:t>
      </w:r>
      <w:r w:rsidRPr="0028033B">
        <w:rPr>
          <w:rFonts w:cs="Calibri"/>
          <w:i/>
          <w:szCs w:val="20"/>
        </w:rPr>
        <w:t>2019 Refinement to the 2006 IPCC Guidelines for National Greenhouse Gas Inventories</w:t>
      </w:r>
      <w:r w:rsidRPr="0028033B">
        <w:rPr>
          <w:rFonts w:cs="Calibri"/>
          <w:szCs w:val="20"/>
        </w:rPr>
        <w:t>. Switzerland: IPCC.</w:t>
      </w:r>
    </w:p>
    <w:p w14:paraId="767A5689" w14:textId="77777777" w:rsidR="00E46639" w:rsidRPr="0028033B" w:rsidRDefault="00E46639" w:rsidP="00E46639">
      <w:pPr>
        <w:pStyle w:val="References"/>
        <w:rPr>
          <w:rFonts w:cs="Calibri"/>
          <w:szCs w:val="20"/>
        </w:rPr>
      </w:pPr>
      <w:r w:rsidRPr="0028033B">
        <w:rPr>
          <w:rFonts w:cs="Calibri"/>
          <w:szCs w:val="20"/>
        </w:rPr>
        <w:t xml:space="preserve">Kelliher FM, Clark H, Smith MH, Lassey KR, Sedcole R. 2009. </w:t>
      </w:r>
      <w:hyperlink r:id="rId150" w:history="1">
        <w:r w:rsidRPr="0028033B">
          <w:rPr>
            <w:rStyle w:val="Hyperlink"/>
            <w:rFonts w:cs="Calibri"/>
            <w:i/>
            <w:szCs w:val="20"/>
          </w:rPr>
          <w:t>Reducing Uncertainty of the Enteric Methane Emissions Inventory</w:t>
        </w:r>
      </w:hyperlink>
      <w:r w:rsidRPr="0028033B">
        <w:rPr>
          <w:rFonts w:cs="Calibri"/>
          <w:szCs w:val="20"/>
        </w:rPr>
        <w:t>. Report prepared for the Ministry of Agriculture and Forestry by Lincoln University, National Institute of Water and Atmospheric Research and AgResearch. Wellington: Ministry of Agriculture and Forestry.</w:t>
      </w:r>
    </w:p>
    <w:p w14:paraId="4E56BD8B" w14:textId="77777777" w:rsidR="00E46639" w:rsidRPr="0028033B" w:rsidRDefault="00E46639" w:rsidP="00E46639">
      <w:pPr>
        <w:pStyle w:val="References"/>
        <w:rPr>
          <w:rFonts w:cs="Calibri"/>
          <w:szCs w:val="20"/>
        </w:rPr>
      </w:pPr>
      <w:r w:rsidRPr="0028033B">
        <w:rPr>
          <w:rFonts w:cs="Calibri"/>
          <w:szCs w:val="20"/>
        </w:rPr>
        <w:t xml:space="preserve">Kelliher FM, Cox N, van der Weerden TJ, de Klein CAM, Luo J, Cameron KC, Di HJ, Giltrap D, Rys G. 2014. </w:t>
      </w:r>
      <w:hyperlink r:id="rId151" w:history="1">
        <w:r w:rsidRPr="0028033B">
          <w:rPr>
            <w:rStyle w:val="Hyperlink"/>
            <w:rFonts w:cs="Calibri"/>
            <w:szCs w:val="20"/>
          </w:rPr>
          <w:t>Statistical analysis of nitrous oxide emission factors from pastoral agriculture field trials conducted in New Zealand.</w:t>
        </w:r>
      </w:hyperlink>
      <w:r w:rsidRPr="0028033B">
        <w:rPr>
          <w:rFonts w:cs="Calibri"/>
          <w:szCs w:val="20"/>
        </w:rPr>
        <w:t xml:space="preserve"> </w:t>
      </w:r>
      <w:r w:rsidRPr="0028033B">
        <w:rPr>
          <w:rFonts w:cs="Calibri"/>
          <w:i/>
          <w:szCs w:val="20"/>
        </w:rPr>
        <w:t>Environmental Pollution</w:t>
      </w:r>
      <w:r w:rsidRPr="0028033B">
        <w:rPr>
          <w:rFonts w:cs="Calibri"/>
          <w:szCs w:val="20"/>
        </w:rPr>
        <w:t xml:space="preserve"> 186: 63–66.</w:t>
      </w:r>
    </w:p>
    <w:p w14:paraId="70B251CA" w14:textId="77777777" w:rsidR="00E46639" w:rsidRPr="0028033B" w:rsidRDefault="00E46639" w:rsidP="00E46639">
      <w:pPr>
        <w:pStyle w:val="References"/>
        <w:rPr>
          <w:rFonts w:cs="Calibri"/>
          <w:szCs w:val="20"/>
        </w:rPr>
      </w:pPr>
      <w:bookmarkStart w:id="1573" w:name="_Hlk187670855"/>
      <w:r w:rsidRPr="0028033B">
        <w:rPr>
          <w:rFonts w:cs="Calibri"/>
          <w:szCs w:val="20"/>
        </w:rPr>
        <w:t xml:space="preserve">Kelliher FM, de Klein CAM. 2006. </w:t>
      </w:r>
      <w:hyperlink r:id="rId152" w:history="1">
        <w:r w:rsidRPr="0028033B">
          <w:rPr>
            <w:rStyle w:val="Hyperlink"/>
            <w:rFonts w:cs="Calibri"/>
            <w:i/>
            <w:iCs/>
            <w:szCs w:val="20"/>
          </w:rPr>
          <w:t>Review of New Zealand’s Fertiliser Nitrous Oxide Emission Factor (EF1) Data</w:t>
        </w:r>
      </w:hyperlink>
      <w:r w:rsidRPr="0028033B">
        <w:rPr>
          <w:rFonts w:cs="Calibri"/>
          <w:szCs w:val="20"/>
        </w:rPr>
        <w:t>. Report prepared for the Ministry for the Environment by Landcare Research and AgResearch. Wellington: Ministry for Primary Industries.</w:t>
      </w:r>
    </w:p>
    <w:bookmarkEnd w:id="1573"/>
    <w:p w14:paraId="03F8997D" w14:textId="77777777" w:rsidR="00E46639" w:rsidRPr="0028033B" w:rsidRDefault="00E46639" w:rsidP="00E46639">
      <w:pPr>
        <w:pStyle w:val="References"/>
        <w:rPr>
          <w:rFonts w:cs="Calibri"/>
          <w:szCs w:val="20"/>
        </w:rPr>
      </w:pPr>
      <w:r w:rsidRPr="0028033B">
        <w:rPr>
          <w:rFonts w:cs="Calibri"/>
          <w:szCs w:val="20"/>
        </w:rPr>
        <w:t xml:space="preserve">Kelliher FM, Henderson H and Cox N. 2017. </w:t>
      </w:r>
      <w:hyperlink r:id="rId153" w:history="1">
        <w:r w:rsidRPr="0028033B">
          <w:rPr>
            <w:rStyle w:val="Hyperlink"/>
            <w:rFonts w:cs="Calibri"/>
            <w:szCs w:val="20"/>
          </w:rPr>
          <w:t>The uncertainty of nitrous oxide emissions from grazed grasslands: A New Zealand case study</w:t>
        </w:r>
      </w:hyperlink>
      <w:r w:rsidRPr="0028033B">
        <w:rPr>
          <w:rFonts w:cs="Calibri"/>
          <w:szCs w:val="20"/>
        </w:rPr>
        <w:t xml:space="preserve">. </w:t>
      </w:r>
      <w:r w:rsidRPr="0028033B">
        <w:rPr>
          <w:rFonts w:cs="Calibri"/>
          <w:i/>
          <w:szCs w:val="20"/>
        </w:rPr>
        <w:t>Atmospheric Environment</w:t>
      </w:r>
      <w:r w:rsidRPr="0028033B">
        <w:rPr>
          <w:rFonts w:cs="Calibri"/>
          <w:szCs w:val="20"/>
        </w:rPr>
        <w:t xml:space="preserve"> 148: 329–336.</w:t>
      </w:r>
    </w:p>
    <w:p w14:paraId="7325017C" w14:textId="77777777" w:rsidR="00E46639" w:rsidRPr="0028033B" w:rsidRDefault="00E46639" w:rsidP="00E46639">
      <w:pPr>
        <w:pStyle w:val="References"/>
        <w:rPr>
          <w:rFonts w:cs="Calibri"/>
          <w:szCs w:val="20"/>
        </w:rPr>
      </w:pPr>
      <w:r w:rsidRPr="0028033B">
        <w:rPr>
          <w:rFonts w:cs="Calibri"/>
          <w:szCs w:val="20"/>
        </w:rPr>
        <w:t xml:space="preserve">Kuikman PJ, van der Hoek KW, Smit A, Zwart K. 2006. </w:t>
      </w:r>
      <w:hyperlink r:id="rId154" w:history="1">
        <w:r w:rsidRPr="0028033B">
          <w:rPr>
            <w:rStyle w:val="Hyperlink"/>
            <w:rFonts w:cs="Calibri"/>
            <w:szCs w:val="20"/>
          </w:rPr>
          <w:t>Update of emission factors for nitrous oxide from agricultural soils on the basis of measurements in the Netherlands.</w:t>
        </w:r>
      </w:hyperlink>
      <w:r w:rsidRPr="0028033B">
        <w:rPr>
          <w:rFonts w:cs="Calibri"/>
          <w:szCs w:val="20"/>
        </w:rPr>
        <w:t xml:space="preserve"> </w:t>
      </w:r>
      <w:r w:rsidRPr="0028033B">
        <w:rPr>
          <w:rFonts w:cs="Calibri"/>
          <w:i/>
          <w:szCs w:val="20"/>
        </w:rPr>
        <w:t>Alterra Report 1217</w:t>
      </w:r>
      <w:r w:rsidRPr="0028033B">
        <w:rPr>
          <w:rFonts w:cs="Calibri"/>
          <w:szCs w:val="20"/>
        </w:rPr>
        <w:t>. Wageningen, The Netherlands: Alterra.</w:t>
      </w:r>
    </w:p>
    <w:p w14:paraId="6DB6F146" w14:textId="77777777" w:rsidR="00E46639" w:rsidRPr="0028033B" w:rsidRDefault="00E46639" w:rsidP="00E46639">
      <w:pPr>
        <w:pStyle w:val="References"/>
        <w:rPr>
          <w:rFonts w:cs="Calibri"/>
          <w:szCs w:val="20"/>
        </w:rPr>
      </w:pPr>
      <w:r w:rsidRPr="0028033B">
        <w:rPr>
          <w:rFonts w:cs="Calibri"/>
          <w:szCs w:val="20"/>
        </w:rPr>
        <w:t xml:space="preserve">Lassey K. 2012. </w:t>
      </w:r>
      <w:hyperlink r:id="rId155" w:history="1">
        <w:r w:rsidRPr="0028033B">
          <w:rPr>
            <w:rStyle w:val="Hyperlink"/>
            <w:rFonts w:cs="Calibri"/>
            <w:i/>
            <w:szCs w:val="20"/>
          </w:rPr>
          <w:t>Methane Emissions and Nitrogen Excretion Rates for New Zealand Goats</w:t>
        </w:r>
      </w:hyperlink>
      <w:r w:rsidRPr="0028033B">
        <w:rPr>
          <w:rFonts w:cs="Calibri"/>
          <w:szCs w:val="20"/>
        </w:rPr>
        <w:t xml:space="preserve">. Report for the Ministry of Agriculture and Forestry, National Institute of Water and Atmospheric Research. Wellington: National Institute of Water and Atmospheric Research. </w:t>
      </w:r>
    </w:p>
    <w:p w14:paraId="1E52F4C1" w14:textId="77777777" w:rsidR="00E46639" w:rsidRPr="0028033B" w:rsidRDefault="00E46639" w:rsidP="00E46639">
      <w:pPr>
        <w:pStyle w:val="References"/>
        <w:rPr>
          <w:rFonts w:cs="Calibri"/>
          <w:szCs w:val="20"/>
        </w:rPr>
      </w:pPr>
      <w:r w:rsidRPr="0028033B">
        <w:rPr>
          <w:rFonts w:cs="Calibri"/>
          <w:szCs w:val="20"/>
        </w:rPr>
        <w:t xml:space="preserve">Lassey KR, Ulyatt MJ, Martin RJ, Walker CF, Shelton ID. 1997. </w:t>
      </w:r>
      <w:hyperlink r:id="rId156" w:history="1">
        <w:r w:rsidRPr="0028033B">
          <w:rPr>
            <w:rStyle w:val="Hyperlink"/>
            <w:rFonts w:cs="Calibri"/>
            <w:szCs w:val="20"/>
          </w:rPr>
          <w:t>Methane emissions measured directly from grazing livestock in New Zealand.</w:t>
        </w:r>
      </w:hyperlink>
      <w:r w:rsidRPr="0028033B">
        <w:rPr>
          <w:rFonts w:cs="Calibri"/>
          <w:szCs w:val="20"/>
        </w:rPr>
        <w:t xml:space="preserve"> </w:t>
      </w:r>
      <w:r w:rsidRPr="0028033B">
        <w:rPr>
          <w:rFonts w:cs="Calibri"/>
          <w:i/>
          <w:szCs w:val="20"/>
        </w:rPr>
        <w:t>Atmospheric Environment</w:t>
      </w:r>
      <w:r w:rsidRPr="0028033B">
        <w:rPr>
          <w:rFonts w:cs="Calibri"/>
          <w:szCs w:val="20"/>
        </w:rPr>
        <w:t xml:space="preserve"> 31: 2905–2914.</w:t>
      </w:r>
    </w:p>
    <w:p w14:paraId="6F84605C" w14:textId="77777777" w:rsidR="00E46639" w:rsidRPr="0028033B" w:rsidRDefault="00E46639" w:rsidP="00E46639">
      <w:pPr>
        <w:pStyle w:val="References"/>
        <w:rPr>
          <w:rFonts w:cs="Calibri"/>
          <w:szCs w:val="20"/>
        </w:rPr>
      </w:pPr>
      <w:r w:rsidRPr="0028033B">
        <w:rPr>
          <w:rFonts w:cs="Calibri"/>
          <w:szCs w:val="20"/>
        </w:rPr>
        <w:t xml:space="preserve">Laubach J, Grover SPP, Taghizadeh-Toosi A, Sherlock RR, Gibbs J, Kelliher FM. 2012. </w:t>
      </w:r>
      <w:r w:rsidRPr="0028033B">
        <w:rPr>
          <w:rFonts w:cs="Calibri"/>
          <w:i/>
          <w:szCs w:val="20"/>
        </w:rPr>
        <w:t>Ammonia from Animal Excreta</w:t>
      </w:r>
      <w:r w:rsidRPr="0028033B">
        <w:rPr>
          <w:rFonts w:cs="Calibri"/>
          <w:szCs w:val="20"/>
        </w:rPr>
        <w:t>. Report prepared for the Ministry for Primary Industries by Landcare Research. Wellington: Ministry for Primary Industries.</w:t>
      </w:r>
    </w:p>
    <w:p w14:paraId="447197DE" w14:textId="77777777" w:rsidR="00E46639" w:rsidRPr="0028033B" w:rsidRDefault="00E46639" w:rsidP="00E46639">
      <w:pPr>
        <w:pStyle w:val="References"/>
        <w:rPr>
          <w:rFonts w:cs="Calibri"/>
          <w:szCs w:val="20"/>
        </w:rPr>
      </w:pPr>
      <w:r w:rsidRPr="0028033B">
        <w:rPr>
          <w:rFonts w:cs="Calibri"/>
          <w:szCs w:val="20"/>
        </w:rPr>
        <w:t xml:space="preserve">Laubach J, Kelliher FM. 2004. </w:t>
      </w:r>
      <w:hyperlink r:id="rId157" w:history="1">
        <w:r w:rsidRPr="0028033B">
          <w:rPr>
            <w:rStyle w:val="Hyperlink"/>
            <w:rFonts w:cs="Calibri"/>
            <w:szCs w:val="20"/>
          </w:rPr>
          <w:t>Measuring methane emission rates of a dairy cow herd by two micrometeorological techniques.</w:t>
        </w:r>
      </w:hyperlink>
      <w:r w:rsidRPr="0028033B">
        <w:rPr>
          <w:rFonts w:cs="Calibri"/>
          <w:szCs w:val="20"/>
        </w:rPr>
        <w:t xml:space="preserve"> </w:t>
      </w:r>
      <w:r w:rsidRPr="0028033B">
        <w:rPr>
          <w:rFonts w:cs="Calibri"/>
          <w:i/>
          <w:szCs w:val="20"/>
        </w:rPr>
        <w:t>Agricultural and Forest Meteorology</w:t>
      </w:r>
      <w:r w:rsidRPr="0028033B">
        <w:rPr>
          <w:rFonts w:cs="Calibri"/>
          <w:szCs w:val="20"/>
        </w:rPr>
        <w:t xml:space="preserve"> 125: 279–303.</w:t>
      </w:r>
    </w:p>
    <w:p w14:paraId="54DBEF99" w14:textId="77777777" w:rsidR="00E46639" w:rsidRPr="0028033B" w:rsidRDefault="00E46639" w:rsidP="00E46639">
      <w:pPr>
        <w:pStyle w:val="References"/>
        <w:rPr>
          <w:rFonts w:cs="Calibri"/>
          <w:szCs w:val="20"/>
        </w:rPr>
      </w:pPr>
      <w:r w:rsidRPr="0028033B">
        <w:rPr>
          <w:rFonts w:cs="Calibri"/>
          <w:szCs w:val="20"/>
        </w:rPr>
        <w:t xml:space="preserve">Ledgard SF, Luo J, Sprosen MS, Wyatt J, Balvert S, Lindsey S. 2014. </w:t>
      </w:r>
      <w:hyperlink r:id="rId158" w:history="1">
        <w:r w:rsidRPr="0028033B">
          <w:rPr>
            <w:rStyle w:val="Hyperlink"/>
            <w:rFonts w:cs="Calibri"/>
            <w:szCs w:val="20"/>
          </w:rPr>
          <w:t xml:space="preserve">Effects of the nitrification inhibitor dicyandiamide (DCD) on pasture production, nitrous oxide emissions and nitrate leaching in Waikato, New Zealand. </w:t>
        </w:r>
      </w:hyperlink>
      <w:r w:rsidRPr="0028033B">
        <w:rPr>
          <w:rFonts w:cs="Calibri"/>
          <w:i/>
          <w:szCs w:val="20"/>
        </w:rPr>
        <w:t>New Zealand Journal of Agricultural Research</w:t>
      </w:r>
      <w:r w:rsidRPr="0028033B">
        <w:rPr>
          <w:rFonts w:cs="Calibri"/>
          <w:szCs w:val="20"/>
        </w:rPr>
        <w:t xml:space="preserve"> 57(4): 294–315.</w:t>
      </w:r>
    </w:p>
    <w:p w14:paraId="14839328" w14:textId="77777777" w:rsidR="00E46639" w:rsidRPr="0028033B" w:rsidRDefault="00E46639" w:rsidP="00E46639">
      <w:pPr>
        <w:pStyle w:val="References"/>
        <w:rPr>
          <w:rFonts w:cs="Calibri"/>
          <w:szCs w:val="20"/>
        </w:rPr>
      </w:pPr>
      <w:r w:rsidRPr="0028033B">
        <w:rPr>
          <w:rFonts w:cs="Calibri"/>
          <w:color w:val="000000" w:themeColor="text1"/>
          <w:szCs w:val="20"/>
        </w:rPr>
        <w:t>LIC (Livestock Improvement Corporation Limited) and DairyNZ</w:t>
      </w:r>
      <w:r w:rsidRPr="0028033B">
        <w:rPr>
          <w:rFonts w:cs="Calibri"/>
          <w:szCs w:val="20"/>
        </w:rPr>
        <w:t xml:space="preserve">. 2025. </w:t>
      </w:r>
      <w:hyperlink r:id="rId159" w:tgtFrame="_blank" w:history="1">
        <w:r w:rsidRPr="0028033B">
          <w:rPr>
            <w:rStyle w:val="Hyperlink"/>
            <w:rFonts w:cs="Calibri"/>
            <w:i/>
            <w:szCs w:val="20"/>
          </w:rPr>
          <w:t xml:space="preserve">New Zealand Dairy Statistics </w:t>
        </w:r>
        <w:r w:rsidRPr="0028033B">
          <w:rPr>
            <w:rStyle w:val="Hyperlink"/>
            <w:rFonts w:cs="Calibri"/>
            <w:i/>
            <w:szCs w:val="20"/>
          </w:rPr>
          <w:br/>
          <w:t>2024–25</w:t>
        </w:r>
      </w:hyperlink>
      <w:r w:rsidRPr="0028033B">
        <w:rPr>
          <w:rFonts w:cs="Calibri"/>
          <w:i/>
          <w:szCs w:val="20"/>
        </w:rPr>
        <w:t xml:space="preserve">. </w:t>
      </w:r>
      <w:r w:rsidRPr="0028033B">
        <w:rPr>
          <w:rFonts w:cs="Calibri"/>
          <w:szCs w:val="20"/>
        </w:rPr>
        <w:t>Hamilton: DairyNZ. Retrieved 17 December 2025.</w:t>
      </w:r>
    </w:p>
    <w:p w14:paraId="16B11F74" w14:textId="77777777" w:rsidR="00E46639" w:rsidRPr="0028033B" w:rsidRDefault="00E46639" w:rsidP="00E46639">
      <w:pPr>
        <w:pStyle w:val="References"/>
        <w:rPr>
          <w:rFonts w:cs="Calibri"/>
          <w:szCs w:val="20"/>
        </w:rPr>
      </w:pPr>
      <w:r w:rsidRPr="0028033B">
        <w:rPr>
          <w:rFonts w:cs="Calibri"/>
          <w:szCs w:val="20"/>
        </w:rPr>
        <w:t xml:space="preserve">LIC. 2009. </w:t>
      </w:r>
      <w:hyperlink r:id="rId160" w:history="1">
        <w:r w:rsidRPr="0028033B">
          <w:rPr>
            <w:rStyle w:val="Hyperlink"/>
            <w:rFonts w:cs="Calibri"/>
            <w:i/>
            <w:szCs w:val="20"/>
          </w:rPr>
          <w:t>100 Years of Herd Testing</w:t>
        </w:r>
      </w:hyperlink>
      <w:r w:rsidRPr="0028033B">
        <w:rPr>
          <w:rFonts w:cs="Calibri"/>
          <w:szCs w:val="20"/>
        </w:rPr>
        <w:t>. Hamilton: Livestock Improvement Corporation Limited. Retrieved 5 January 2022.</w:t>
      </w:r>
    </w:p>
    <w:p w14:paraId="24106847" w14:textId="77777777" w:rsidR="00E46639" w:rsidRPr="0028033B" w:rsidRDefault="00E46639" w:rsidP="00E46639">
      <w:pPr>
        <w:pStyle w:val="References"/>
        <w:rPr>
          <w:rFonts w:cs="Calibri"/>
          <w:szCs w:val="20"/>
        </w:rPr>
      </w:pPr>
      <w:bookmarkStart w:id="1574" w:name="_Hlk187834888"/>
      <w:r w:rsidRPr="0028033B">
        <w:rPr>
          <w:rFonts w:cs="Calibri"/>
          <w:szCs w:val="20"/>
        </w:rPr>
        <w:t>Luo J, Hoogendoorn C, van der Weerden T, Saggar S, de Klein C, Giltrap D. 2016.</w:t>
      </w:r>
      <w:r w:rsidRPr="0028033B">
        <w:rPr>
          <w:rFonts w:cs="Calibri"/>
        </w:rPr>
        <w:t xml:space="preserve"> </w:t>
      </w:r>
      <w:hyperlink r:id="rId161" w:history="1">
        <w:r w:rsidRPr="0028033B">
          <w:rPr>
            <w:rStyle w:val="Hyperlink"/>
            <w:rFonts w:cs="Calibri"/>
            <w:i/>
            <w:iCs/>
            <w:szCs w:val="20"/>
          </w:rPr>
          <w:t>Nitrous oxide emission factors for animal excreta deposited on hill country steep slopes.</w:t>
        </w:r>
      </w:hyperlink>
      <w:r w:rsidRPr="0028033B">
        <w:rPr>
          <w:rFonts w:cs="Calibri"/>
          <w:szCs w:val="20"/>
        </w:rPr>
        <w:t xml:space="preserve"> Report prepared for the Ministry for Primary Industries by AgResearch Ltd. Wellington: Ministry for Primary Industries.</w:t>
      </w:r>
    </w:p>
    <w:bookmarkEnd w:id="1574"/>
    <w:p w14:paraId="247D3C0B" w14:textId="77777777" w:rsidR="00E46639" w:rsidRPr="0028033B" w:rsidRDefault="00E46639" w:rsidP="00E46639">
      <w:pPr>
        <w:pStyle w:val="References"/>
        <w:rPr>
          <w:rFonts w:cs="Calibri"/>
          <w:szCs w:val="20"/>
        </w:rPr>
      </w:pPr>
      <w:r w:rsidRPr="0028033B">
        <w:rPr>
          <w:rFonts w:cs="Calibri"/>
          <w:szCs w:val="20"/>
        </w:rPr>
        <w:t xml:space="preserve">Luo J, Hoogendoorn C, van der Weerden TJ, Saggar S, de Klein CAM, Giltrap D, Rollo M, Rys G. 2013. </w:t>
      </w:r>
      <w:hyperlink r:id="rId162" w:history="1">
        <w:r w:rsidRPr="0028033B">
          <w:rPr>
            <w:rStyle w:val="Hyperlink"/>
            <w:rFonts w:cs="Calibri"/>
            <w:szCs w:val="20"/>
          </w:rPr>
          <w:t xml:space="preserve">Nitrous oxide emissions from grazed hill land in New Zealand. </w:t>
        </w:r>
      </w:hyperlink>
      <w:r w:rsidRPr="0028033B">
        <w:rPr>
          <w:rFonts w:cs="Calibri"/>
          <w:i/>
          <w:szCs w:val="20"/>
        </w:rPr>
        <w:t>Agriculture Ecosystems &amp; Environment</w:t>
      </w:r>
      <w:r w:rsidRPr="0028033B">
        <w:rPr>
          <w:rFonts w:cs="Calibri"/>
          <w:szCs w:val="20"/>
        </w:rPr>
        <w:t xml:space="preserve"> 181: 58–68.</w:t>
      </w:r>
    </w:p>
    <w:p w14:paraId="73753A13" w14:textId="77777777" w:rsidR="00E46639" w:rsidRPr="0028033B" w:rsidRDefault="00E46639" w:rsidP="00E46639">
      <w:pPr>
        <w:pStyle w:val="References"/>
        <w:rPr>
          <w:rFonts w:cs="Calibri"/>
          <w:szCs w:val="20"/>
        </w:rPr>
      </w:pPr>
      <w:r w:rsidRPr="0028033B">
        <w:rPr>
          <w:rFonts w:cs="Calibri"/>
          <w:szCs w:val="20"/>
        </w:rPr>
        <w:t xml:space="preserve">Luo J, Joyce E, Ouyang L, Longhurst B, Grala T, Lei Q, Judge A, Rollo M. Unpublished(a). Manure Management Systems – Final report. Report prepared for the Ministry for Primary Industries by AgResearch Ltd in 2025. </w:t>
      </w:r>
    </w:p>
    <w:p w14:paraId="7341E110" w14:textId="77777777" w:rsidR="00E46639" w:rsidRPr="0028033B" w:rsidRDefault="00E46639" w:rsidP="00E46639">
      <w:pPr>
        <w:pStyle w:val="References"/>
        <w:rPr>
          <w:rFonts w:cs="Calibri"/>
          <w:szCs w:val="20"/>
        </w:rPr>
      </w:pPr>
      <w:r w:rsidRPr="0028033B">
        <w:rPr>
          <w:rFonts w:cs="Calibri"/>
          <w:szCs w:val="20"/>
        </w:rPr>
        <w:t xml:space="preserve">Luo J, Saggar S, van der Weerden T, de Klein C. 2019. </w:t>
      </w:r>
      <w:hyperlink r:id="rId163" w:history="1">
        <w:r w:rsidRPr="0028033B">
          <w:rPr>
            <w:rStyle w:val="Hyperlink"/>
            <w:rFonts w:cs="Calibri"/>
            <w:szCs w:val="20"/>
          </w:rPr>
          <w:t>Quantification of nitrous oxide emissions and emission factors from beef and dairy cattle excreta deposited on grazed pastoral hill lands</w:t>
        </w:r>
      </w:hyperlink>
      <w:r w:rsidRPr="0028033B">
        <w:rPr>
          <w:rFonts w:cs="Calibri"/>
          <w:szCs w:val="20"/>
        </w:rPr>
        <w:t xml:space="preserve">. </w:t>
      </w:r>
      <w:r w:rsidRPr="0028033B">
        <w:rPr>
          <w:rFonts w:cs="Calibri"/>
          <w:i/>
          <w:szCs w:val="20"/>
        </w:rPr>
        <w:t>Agriculture, Ecosystems &amp; Environment</w:t>
      </w:r>
      <w:r w:rsidRPr="0028033B">
        <w:rPr>
          <w:rFonts w:cs="Calibri"/>
          <w:szCs w:val="20"/>
        </w:rPr>
        <w:t xml:space="preserve"> 270–271: 103–113.</w:t>
      </w:r>
    </w:p>
    <w:p w14:paraId="41640DE3" w14:textId="77777777" w:rsidR="00E46639" w:rsidRPr="0028033B" w:rsidRDefault="00E46639" w:rsidP="00E46639">
      <w:pPr>
        <w:pStyle w:val="References"/>
        <w:rPr>
          <w:rFonts w:cs="Calibri"/>
          <w:color w:val="000000" w:themeColor="text1"/>
          <w:szCs w:val="20"/>
        </w:rPr>
      </w:pPr>
      <w:bookmarkStart w:id="1575" w:name="_Hlk187834898"/>
      <w:r w:rsidRPr="0028033B">
        <w:rPr>
          <w:rFonts w:cs="Calibri"/>
          <w:color w:val="000000" w:themeColor="text1"/>
          <w:szCs w:val="20"/>
        </w:rPr>
        <w:t xml:space="preserve">Luo J, van der Weerden T, Saggar S, Di H, Lindsey S, Ouyang L, Luo D. 2023. </w:t>
      </w:r>
      <w:hyperlink r:id="rId164" w:history="1">
        <w:r w:rsidRPr="0028033B">
          <w:rPr>
            <w:rFonts w:cs="Calibri"/>
            <w:i/>
            <w:iCs/>
            <w:color w:val="32809C" w:themeColor="accent2"/>
            <w:szCs w:val="20"/>
          </w:rPr>
          <w:t>N</w:t>
        </w:r>
        <w:r w:rsidRPr="0028033B">
          <w:rPr>
            <w:rFonts w:cs="Calibri"/>
            <w:i/>
            <w:color w:val="32809C" w:themeColor="accent2"/>
            <w:szCs w:val="20"/>
            <w:vertAlign w:val="subscript"/>
          </w:rPr>
          <w:t>2</w:t>
        </w:r>
        <w:r w:rsidRPr="0028033B">
          <w:rPr>
            <w:rFonts w:cs="Calibri"/>
            <w:i/>
            <w:iCs/>
            <w:color w:val="32809C" w:themeColor="accent2"/>
            <w:szCs w:val="20"/>
          </w:rPr>
          <w:t>O emission factors EF1 for fertilisers.</w:t>
        </w:r>
      </w:hyperlink>
      <w:r w:rsidRPr="0028033B">
        <w:rPr>
          <w:rFonts w:cs="Calibri"/>
          <w:color w:val="000000" w:themeColor="text1"/>
          <w:szCs w:val="20"/>
        </w:rPr>
        <w:t xml:space="preserve"> Report prepared for the Ministry for Primary Industries by AgResearch Ltd. Wellington: Ministry for Primary Industries.</w:t>
      </w:r>
    </w:p>
    <w:p w14:paraId="367586AC" w14:textId="77777777" w:rsidR="00E46639" w:rsidRPr="0028033B" w:rsidRDefault="00E46639" w:rsidP="00E46639">
      <w:pPr>
        <w:pStyle w:val="References"/>
        <w:rPr>
          <w:rFonts w:cs="Calibri"/>
          <w:color w:val="000000" w:themeColor="text1"/>
          <w:szCs w:val="20"/>
        </w:rPr>
      </w:pPr>
      <w:r w:rsidRPr="0028033B">
        <w:rPr>
          <w:rFonts w:cs="Calibri"/>
          <w:color w:val="000000" w:themeColor="text1"/>
          <w:szCs w:val="20"/>
        </w:rPr>
        <w:t>Luo J, Lindsey S, van der Weerden T. Unpublished(b). N</w:t>
      </w:r>
      <w:r w:rsidRPr="0028033B">
        <w:rPr>
          <w:rFonts w:cs="Calibri"/>
          <w:color w:val="000000" w:themeColor="text1"/>
          <w:szCs w:val="20"/>
          <w:vertAlign w:val="subscript"/>
        </w:rPr>
        <w:t>2</w:t>
      </w:r>
      <w:r w:rsidRPr="0028033B">
        <w:rPr>
          <w:rFonts w:cs="Calibri"/>
          <w:color w:val="000000" w:themeColor="text1"/>
          <w:szCs w:val="20"/>
        </w:rPr>
        <w:t>O</w:t>
      </w:r>
      <w:r w:rsidRPr="0028033B">
        <w:rPr>
          <w:rFonts w:cs="Calibri"/>
        </w:rPr>
        <w:t xml:space="preserve"> emissions from nitrogen fertilisers – Final report for</w:t>
      </w:r>
      <w:r w:rsidRPr="0028033B">
        <w:rPr>
          <w:rFonts w:cs="Calibri"/>
          <w:color w:val="000000" w:themeColor="text1"/>
          <w:szCs w:val="20"/>
        </w:rPr>
        <w:t xml:space="preserve"> EF</w:t>
      </w:r>
      <w:r w:rsidRPr="0028033B">
        <w:rPr>
          <w:rFonts w:cs="Calibri"/>
          <w:color w:val="000000" w:themeColor="text1"/>
          <w:szCs w:val="20"/>
          <w:vertAlign w:val="subscript"/>
        </w:rPr>
        <w:t>1</w:t>
      </w:r>
      <w:r w:rsidRPr="0028033B">
        <w:rPr>
          <w:rFonts w:cs="Calibri"/>
        </w:rPr>
        <w:t xml:space="preserve"> relativity trial. </w:t>
      </w:r>
      <w:r w:rsidRPr="0028033B">
        <w:rPr>
          <w:rFonts w:cs="Calibri"/>
          <w:color w:val="000000" w:themeColor="text1"/>
          <w:szCs w:val="20"/>
        </w:rPr>
        <w:t xml:space="preserve">Report prepared for the Ministry for Primary Industries by AgResearch Ltd in 2021. </w:t>
      </w:r>
    </w:p>
    <w:p w14:paraId="55BC39B8" w14:textId="77777777" w:rsidR="00E46639" w:rsidRPr="0028033B" w:rsidRDefault="00E46639" w:rsidP="00E46639">
      <w:pPr>
        <w:pStyle w:val="References"/>
        <w:rPr>
          <w:rFonts w:cs="Calibri"/>
          <w:szCs w:val="20"/>
        </w:rPr>
      </w:pPr>
      <w:r w:rsidRPr="0028033B">
        <w:rPr>
          <w:rFonts w:cs="Calibri"/>
          <w:color w:val="000000" w:themeColor="text1"/>
          <w:szCs w:val="20"/>
        </w:rPr>
        <w:t>Luo J, van der Weerden T, Saggar S, Di H, Podolyan A, Lindsey S, Ouyang L, Luo D, Berben P, Srey F, Palmada T. Unpublished(c). N</w:t>
      </w:r>
      <w:r w:rsidRPr="0028033B">
        <w:rPr>
          <w:rFonts w:cs="Calibri"/>
          <w:color w:val="000000" w:themeColor="text1"/>
          <w:szCs w:val="20"/>
          <w:vertAlign w:val="subscript"/>
        </w:rPr>
        <w:t>2</w:t>
      </w:r>
      <w:r w:rsidRPr="0028033B">
        <w:rPr>
          <w:rFonts w:cs="Calibri"/>
          <w:color w:val="000000" w:themeColor="text1"/>
          <w:szCs w:val="20"/>
        </w:rPr>
        <w:t>O emission factors (EF</w:t>
      </w:r>
      <w:r w:rsidRPr="0028033B">
        <w:rPr>
          <w:rFonts w:cs="Calibri"/>
          <w:color w:val="000000" w:themeColor="text1"/>
          <w:szCs w:val="20"/>
          <w:vertAlign w:val="subscript"/>
        </w:rPr>
        <w:t>1</w:t>
      </w:r>
      <w:r w:rsidRPr="0028033B">
        <w:rPr>
          <w:rFonts w:cs="Calibri"/>
          <w:color w:val="000000" w:themeColor="text1"/>
          <w:szCs w:val="20"/>
        </w:rPr>
        <w:t>) for fertilisers – Autumn 2024 EF</w:t>
      </w:r>
      <w:r w:rsidRPr="0028033B">
        <w:rPr>
          <w:rFonts w:cs="Calibri"/>
          <w:color w:val="000000" w:themeColor="text1"/>
          <w:szCs w:val="20"/>
          <w:vertAlign w:val="subscript"/>
        </w:rPr>
        <w:t xml:space="preserve">1 </w:t>
      </w:r>
      <w:r w:rsidRPr="0028033B">
        <w:rPr>
          <w:rFonts w:cs="Calibri"/>
          <w:color w:val="000000" w:themeColor="text1"/>
          <w:szCs w:val="20"/>
        </w:rPr>
        <w:t xml:space="preserve">trial. Report prepared for the Ministry for Primary Industries by AgResearch Ltd in 2024. </w:t>
      </w:r>
    </w:p>
    <w:bookmarkEnd w:id="1575"/>
    <w:p w14:paraId="30FF1B64" w14:textId="77777777" w:rsidR="00E46639" w:rsidRPr="0028033B" w:rsidRDefault="00E46639" w:rsidP="00CB24E7">
      <w:pPr>
        <w:pStyle w:val="References"/>
        <w:spacing w:after="100"/>
        <w:rPr>
          <w:rFonts w:cs="Calibri"/>
          <w:szCs w:val="20"/>
        </w:rPr>
      </w:pPr>
      <w:r w:rsidRPr="0028033B">
        <w:rPr>
          <w:rFonts w:cs="Calibri"/>
          <w:szCs w:val="20"/>
        </w:rPr>
        <w:t xml:space="preserve">Marsden KA, Holmberg JA, Jones DL, Chadwick DR. 2018. </w:t>
      </w:r>
      <w:hyperlink r:id="rId165" w:history="1">
        <w:r w:rsidRPr="0028033B">
          <w:rPr>
            <w:rStyle w:val="Hyperlink"/>
            <w:rFonts w:cs="Calibri"/>
            <w:szCs w:val="20"/>
          </w:rPr>
          <w:t>Sheep urine patch N</w:t>
        </w:r>
        <w:r w:rsidRPr="0028033B">
          <w:rPr>
            <w:rStyle w:val="Hyperlink"/>
            <w:rFonts w:cs="Calibri"/>
            <w:szCs w:val="20"/>
            <w:vertAlign w:val="subscript"/>
          </w:rPr>
          <w:t>2</w:t>
        </w:r>
        <w:r w:rsidRPr="0028033B">
          <w:rPr>
            <w:rStyle w:val="Hyperlink"/>
            <w:rFonts w:cs="Calibri"/>
            <w:szCs w:val="20"/>
          </w:rPr>
          <w:t>O emissions are lower from extensively-managed than intensively-managed grasslands</w:t>
        </w:r>
      </w:hyperlink>
      <w:r w:rsidRPr="0028033B">
        <w:rPr>
          <w:rFonts w:cs="Calibri"/>
          <w:szCs w:val="20"/>
        </w:rPr>
        <w:t xml:space="preserve">. </w:t>
      </w:r>
      <w:r w:rsidRPr="0028033B">
        <w:rPr>
          <w:rFonts w:cs="Calibri"/>
          <w:i/>
          <w:szCs w:val="20"/>
        </w:rPr>
        <w:t>Agriculture Ecosystems &amp; Environment</w:t>
      </w:r>
      <w:r w:rsidRPr="0028033B">
        <w:rPr>
          <w:rFonts w:cs="Calibri"/>
          <w:szCs w:val="20"/>
        </w:rPr>
        <w:t xml:space="preserve"> 265: 264–274.</w:t>
      </w:r>
    </w:p>
    <w:p w14:paraId="45CA931C" w14:textId="77777777" w:rsidR="00E46639" w:rsidRPr="0028033B" w:rsidRDefault="00E46639" w:rsidP="00CB24E7">
      <w:pPr>
        <w:pStyle w:val="References"/>
        <w:spacing w:after="100"/>
        <w:rPr>
          <w:rFonts w:cs="Calibri"/>
          <w:szCs w:val="20"/>
        </w:rPr>
      </w:pPr>
      <w:r w:rsidRPr="0028033B">
        <w:rPr>
          <w:rFonts w:cs="Calibri"/>
          <w:szCs w:val="20"/>
        </w:rPr>
        <w:t xml:space="preserve">Ministry for the Environment. 2024. </w:t>
      </w:r>
      <w:hyperlink r:id="rId166" w:history="1">
        <w:r w:rsidRPr="0028033B">
          <w:rPr>
            <w:rStyle w:val="Hyperlink"/>
            <w:rFonts w:cs="Calibri"/>
            <w:i/>
            <w:szCs w:val="20"/>
          </w:rPr>
          <w:t>New Zealand’s first Biennial Transparency Report under the Paris Agreement</w:t>
        </w:r>
      </w:hyperlink>
      <w:r w:rsidRPr="0028033B">
        <w:rPr>
          <w:rFonts w:cs="Calibri"/>
          <w:szCs w:val="20"/>
        </w:rPr>
        <w:t>. Wellington: Ministry for the Environment. Retrieved 6 January 2025.</w:t>
      </w:r>
    </w:p>
    <w:p w14:paraId="077A7377" w14:textId="77777777" w:rsidR="00E46639" w:rsidRPr="0028033B" w:rsidRDefault="00E46639" w:rsidP="00CB24E7">
      <w:pPr>
        <w:pStyle w:val="References"/>
        <w:spacing w:after="100"/>
        <w:rPr>
          <w:rFonts w:cs="Calibri"/>
          <w:color w:val="000000" w:themeColor="text1"/>
          <w:szCs w:val="20"/>
        </w:rPr>
      </w:pPr>
      <w:r w:rsidRPr="0028033B">
        <w:rPr>
          <w:rFonts w:cs="Calibri"/>
          <w:color w:val="000000" w:themeColor="text1"/>
          <w:szCs w:val="20"/>
        </w:rPr>
        <w:t>MPI (</w:t>
      </w:r>
      <w:r w:rsidRPr="0028033B">
        <w:rPr>
          <w:rFonts w:cs="Calibri"/>
        </w:rPr>
        <w:t>Ministry for Primary Industries)</w:t>
      </w:r>
      <w:r w:rsidRPr="0028033B">
        <w:rPr>
          <w:rFonts w:cs="Calibri"/>
          <w:color w:val="000000" w:themeColor="text1"/>
          <w:szCs w:val="20"/>
        </w:rPr>
        <w:t xml:space="preserve">. 2025a. </w:t>
      </w:r>
      <w:hyperlink r:id="rId167" w:history="1">
        <w:r w:rsidRPr="0028033B">
          <w:rPr>
            <w:rFonts w:cs="Calibri"/>
            <w:i/>
            <w:iCs/>
            <w:color w:val="32809C" w:themeColor="accent2"/>
            <w:szCs w:val="20"/>
          </w:rPr>
          <w:t>Data</w:t>
        </w:r>
      </w:hyperlink>
      <w:r w:rsidRPr="0028033B">
        <w:rPr>
          <w:rFonts w:cs="Calibri"/>
          <w:i/>
          <w:iCs/>
          <w:color w:val="32809C" w:themeColor="accent2"/>
          <w:szCs w:val="20"/>
        </w:rPr>
        <w:t>.</w:t>
      </w:r>
      <w:r w:rsidRPr="0028033B">
        <w:rPr>
          <w:rFonts w:cs="Calibri"/>
          <w:color w:val="32809C" w:themeColor="accent2"/>
          <w:szCs w:val="20"/>
        </w:rPr>
        <w:t xml:space="preserve"> </w:t>
      </w:r>
      <w:bookmarkStart w:id="1576" w:name="_Hlk220320002"/>
      <w:r w:rsidRPr="0028033B">
        <w:rPr>
          <w:rFonts w:cs="Calibri"/>
          <w:color w:val="000000" w:themeColor="text1"/>
          <w:szCs w:val="20"/>
        </w:rPr>
        <w:t xml:space="preserve">Retrieved 26 January 2026. </w:t>
      </w:r>
      <w:bookmarkEnd w:id="1576"/>
    </w:p>
    <w:p w14:paraId="7FAC4AFB" w14:textId="77777777" w:rsidR="00E46639" w:rsidRPr="0028033B" w:rsidRDefault="00E46639" w:rsidP="00CB24E7">
      <w:pPr>
        <w:pStyle w:val="References"/>
        <w:spacing w:after="100"/>
        <w:rPr>
          <w:rFonts w:cs="Calibri"/>
          <w:color w:val="000000" w:themeColor="text1"/>
          <w:szCs w:val="20"/>
        </w:rPr>
      </w:pPr>
      <w:r w:rsidRPr="0028033B">
        <w:rPr>
          <w:rFonts w:cs="Calibri"/>
          <w:color w:val="000000" w:themeColor="text1"/>
          <w:szCs w:val="20"/>
        </w:rPr>
        <w:t xml:space="preserve">MPI. 2025b. </w:t>
      </w:r>
      <w:hyperlink r:id="rId168" w:tgtFrame="_blank" w:tooltip="Situation and Outlook for Primary Industries (SOPI) December 2025 - download document" w:history="1">
        <w:r w:rsidRPr="0028033B">
          <w:rPr>
            <w:rStyle w:val="Hyperlink"/>
            <w:rFonts w:cs="Calibri"/>
            <w:i/>
            <w:color w:val="32809C" w:themeColor="accent2"/>
            <w:szCs w:val="20"/>
          </w:rPr>
          <w:t>Situation and Outlook for Primary Industries (SOPI) December 2025. </w:t>
        </w:r>
      </w:hyperlink>
      <w:r w:rsidRPr="0028033B">
        <w:rPr>
          <w:rFonts w:cs="Calibri"/>
          <w:color w:val="000000" w:themeColor="text1"/>
          <w:szCs w:val="20"/>
        </w:rPr>
        <w:t>Retrieved 16 December 2025.</w:t>
      </w:r>
    </w:p>
    <w:p w14:paraId="0FC58C94" w14:textId="77777777" w:rsidR="00E46639" w:rsidRPr="0028033B" w:rsidRDefault="00E46639" w:rsidP="00CB24E7">
      <w:pPr>
        <w:pStyle w:val="References"/>
        <w:spacing w:after="100"/>
        <w:rPr>
          <w:rFonts w:cs="Calibri"/>
          <w:szCs w:val="20"/>
        </w:rPr>
      </w:pPr>
      <w:r w:rsidRPr="0028033B">
        <w:rPr>
          <w:rFonts w:cs="Calibri"/>
          <w:szCs w:val="20"/>
        </w:rPr>
        <w:t xml:space="preserve">Muir PD, Thomson BC, Askin DC. 2008. </w:t>
      </w:r>
      <w:hyperlink r:id="rId169" w:history="1">
        <w:r w:rsidRPr="0028033B">
          <w:rPr>
            <w:rStyle w:val="Hyperlink"/>
            <w:rFonts w:cs="Calibri"/>
            <w:i/>
            <w:szCs w:val="20"/>
          </w:rPr>
          <w:t>A Review of Dressing Out Percentage in New Zealand Livestock</w:t>
        </w:r>
      </w:hyperlink>
      <w:r w:rsidRPr="0028033B">
        <w:rPr>
          <w:rFonts w:cs="Calibri"/>
          <w:szCs w:val="20"/>
        </w:rPr>
        <w:t>. Report prepared for the Ministry of Agriculture and Forestry by On-Farm Research and Kilu Consulting. Wellington: Ministry of Agriculture and Forestry.</w:t>
      </w:r>
    </w:p>
    <w:p w14:paraId="28AEB3F4" w14:textId="77777777" w:rsidR="00E46639" w:rsidRPr="0028033B" w:rsidRDefault="00E46639" w:rsidP="00CB24E7">
      <w:pPr>
        <w:pStyle w:val="References"/>
        <w:spacing w:after="100"/>
        <w:rPr>
          <w:rFonts w:cs="Calibri"/>
          <w:szCs w:val="20"/>
        </w:rPr>
      </w:pPr>
      <w:r w:rsidRPr="0028033B">
        <w:rPr>
          <w:rFonts w:cs="Calibri"/>
          <w:szCs w:val="20"/>
        </w:rPr>
        <w:t xml:space="preserve">Muir PD, Thomson BC. 2011. </w:t>
      </w:r>
      <w:hyperlink r:id="rId170" w:history="1">
        <w:r w:rsidRPr="0028033B">
          <w:rPr>
            <w:rStyle w:val="Hyperlink"/>
            <w:rFonts w:cs="Calibri"/>
            <w:i/>
            <w:szCs w:val="20"/>
          </w:rPr>
          <w:t>Better Estimation of National Ewe and Beef Cow Liveweights</w:t>
        </w:r>
      </w:hyperlink>
      <w:r w:rsidRPr="0028033B">
        <w:rPr>
          <w:rFonts w:cs="Calibri"/>
          <w:szCs w:val="20"/>
        </w:rPr>
        <w:t>. Report prepared for the Ministry of Agriculture and Forestry by On-Farm Research. Wellington: Ministry of Agriculture and Forestry.</w:t>
      </w:r>
    </w:p>
    <w:p w14:paraId="513A553B" w14:textId="77777777" w:rsidR="00E46639" w:rsidRPr="0028033B" w:rsidRDefault="00E46639" w:rsidP="00CB24E7">
      <w:pPr>
        <w:pStyle w:val="References"/>
        <w:spacing w:after="100"/>
        <w:rPr>
          <w:rFonts w:cs="Calibri"/>
          <w:szCs w:val="20"/>
        </w:rPr>
      </w:pPr>
      <w:r w:rsidRPr="0028033B">
        <w:rPr>
          <w:rFonts w:cs="Calibri"/>
          <w:szCs w:val="20"/>
        </w:rPr>
        <w:t xml:space="preserve">Muller C, Sherlock RR, Williams PH. 1995. Direct field measurements of nitrous oxide emissions from urine-affected and urine-unaffected pasture in Canterbury. In: </w:t>
      </w:r>
      <w:r w:rsidRPr="0028033B">
        <w:rPr>
          <w:rFonts w:cs="Calibri"/>
          <w:i/>
          <w:szCs w:val="20"/>
        </w:rPr>
        <w:t>Proceedings of the Workshop on Fertilizer Requirements of Grazed Pasture and Field Crops: Macro and Micronutrients</w:t>
      </w:r>
      <w:r w:rsidRPr="0028033B">
        <w:rPr>
          <w:rFonts w:cs="Calibri"/>
          <w:szCs w:val="20"/>
        </w:rPr>
        <w:t>. Currie LD, Loganathan P (eds). Occasional Report No. 8. Palmerston North: Massey University. pp 243–34.</w:t>
      </w:r>
    </w:p>
    <w:p w14:paraId="45E49E1C" w14:textId="77777777" w:rsidR="00E46639" w:rsidRPr="0028033B" w:rsidRDefault="00E46639" w:rsidP="00CB24E7">
      <w:pPr>
        <w:pStyle w:val="References"/>
        <w:spacing w:after="100"/>
        <w:rPr>
          <w:rFonts w:cs="Calibri"/>
          <w:szCs w:val="20"/>
        </w:rPr>
      </w:pPr>
      <w:r w:rsidRPr="0028033B">
        <w:rPr>
          <w:rFonts w:cs="Calibri"/>
          <w:szCs w:val="20"/>
        </w:rPr>
        <w:t xml:space="preserve">Pacheco D, Waghorn G, Rollo M. 2018. </w:t>
      </w:r>
      <w:hyperlink r:id="rId171" w:history="1">
        <w:r w:rsidRPr="0028033B">
          <w:rPr>
            <w:rStyle w:val="Hyperlink"/>
            <w:rFonts w:cs="Calibri"/>
            <w:i/>
            <w:szCs w:val="20"/>
          </w:rPr>
          <w:t>Methodology for Splitting Nitrogen between Livestock Dung and Urine</w:t>
        </w:r>
      </w:hyperlink>
      <w:r w:rsidRPr="0028033B">
        <w:rPr>
          <w:rFonts w:cs="Calibri"/>
          <w:szCs w:val="20"/>
        </w:rPr>
        <w:t>. Report prepared for the Ministry for Primary Industries by AgResearch. Wellington: Ministry for Primary Industries.</w:t>
      </w:r>
    </w:p>
    <w:p w14:paraId="6E9284AA" w14:textId="77777777" w:rsidR="00E46639" w:rsidRPr="0028033B" w:rsidRDefault="00E46639" w:rsidP="00CB24E7">
      <w:pPr>
        <w:pStyle w:val="References"/>
        <w:spacing w:after="100"/>
        <w:rPr>
          <w:rFonts w:cs="Calibri"/>
          <w:szCs w:val="20"/>
        </w:rPr>
      </w:pPr>
      <w:bookmarkStart w:id="1577" w:name="_Hlk187664973"/>
      <w:r w:rsidRPr="0028033B">
        <w:rPr>
          <w:rFonts w:cs="Calibri"/>
          <w:color w:val="000000" w:themeColor="text1"/>
          <w:szCs w:val="20"/>
        </w:rPr>
        <w:t xml:space="preserve">Pickering A, Gibbs J, Wear S, Fick J, Tomlin H. </w:t>
      </w:r>
      <w:r w:rsidRPr="0028033B">
        <w:rPr>
          <w:rFonts w:cs="Calibri"/>
          <w:szCs w:val="20"/>
        </w:rPr>
        <w:t xml:space="preserve">2026. </w:t>
      </w:r>
      <w:hyperlink r:id="rId172" w:history="1">
        <w:r w:rsidRPr="0028033B">
          <w:rPr>
            <w:rStyle w:val="Hyperlink"/>
            <w:rFonts w:cs="Calibri"/>
            <w:i/>
            <w:szCs w:val="20"/>
          </w:rPr>
          <w:t>Methodology for Calculation of New Zealand’s Agricultural Greenhouse Gas Emissions</w:t>
        </w:r>
      </w:hyperlink>
      <w:r w:rsidRPr="0028033B">
        <w:rPr>
          <w:rFonts w:cs="Calibri"/>
          <w:szCs w:val="20"/>
        </w:rPr>
        <w:t xml:space="preserve">. Version 12. Wellington: Ministry for Primary Industries. </w:t>
      </w:r>
    </w:p>
    <w:p w14:paraId="05F86E90" w14:textId="77777777" w:rsidR="00E46639" w:rsidRPr="0028033B" w:rsidRDefault="00E46639" w:rsidP="00CB24E7">
      <w:pPr>
        <w:pStyle w:val="References"/>
        <w:spacing w:after="100"/>
        <w:rPr>
          <w:rFonts w:cs="Calibri"/>
          <w:szCs w:val="20"/>
        </w:rPr>
      </w:pPr>
      <w:r w:rsidRPr="0028033B">
        <w:rPr>
          <w:rFonts w:cs="Calibri"/>
          <w:szCs w:val="20"/>
        </w:rPr>
        <w:t xml:space="preserve">Pinares-Patino CS, Ulyatt MJ, Waghorn GC, Lassey KR, Barry TN, Holmes CW, Johnson DE. 2003. </w:t>
      </w:r>
      <w:hyperlink r:id="rId173" w:history="1">
        <w:r w:rsidRPr="0028033B">
          <w:rPr>
            <w:rStyle w:val="Hyperlink"/>
            <w:rFonts w:cs="Calibri"/>
            <w:szCs w:val="20"/>
          </w:rPr>
          <w:t xml:space="preserve">Methane emission by alpaca and sheep fed on lucerne hay or grazed on pastures of perennial ryegrass/white clover or birdsfoot trefoil. </w:t>
        </w:r>
      </w:hyperlink>
      <w:r w:rsidRPr="0028033B">
        <w:rPr>
          <w:rFonts w:cs="Calibri"/>
          <w:i/>
          <w:szCs w:val="20"/>
        </w:rPr>
        <w:t>Journal of Agricultural Science</w:t>
      </w:r>
      <w:r w:rsidRPr="0028033B">
        <w:rPr>
          <w:rFonts w:cs="Calibri"/>
          <w:szCs w:val="20"/>
        </w:rPr>
        <w:t xml:space="preserve"> 140: 215–226.</w:t>
      </w:r>
    </w:p>
    <w:p w14:paraId="26B64715" w14:textId="77777777" w:rsidR="00E46639" w:rsidRPr="0028033B" w:rsidRDefault="00E46639" w:rsidP="00CB24E7">
      <w:pPr>
        <w:pStyle w:val="References"/>
        <w:spacing w:after="100"/>
        <w:rPr>
          <w:rFonts w:cs="Calibri"/>
          <w:szCs w:val="20"/>
        </w:rPr>
      </w:pPr>
      <w:r w:rsidRPr="0028033B">
        <w:rPr>
          <w:rFonts w:cs="Calibri"/>
          <w:szCs w:val="20"/>
        </w:rPr>
        <w:t xml:space="preserve">Pratt C, Walcroft A, Shilton A, Guieysse B, Chung M, Craggs R, Heubeck S. 2012. </w:t>
      </w:r>
      <w:hyperlink r:id="rId174" w:history="1">
        <w:r w:rsidRPr="0028033B">
          <w:rPr>
            <w:rStyle w:val="Hyperlink"/>
            <w:rFonts w:cs="Calibri"/>
            <w:i/>
            <w:szCs w:val="20"/>
          </w:rPr>
          <w:t>Revised Methane Emission Factors and Parameters for Dairy Effluent Ponds</w:t>
        </w:r>
      </w:hyperlink>
      <w:r w:rsidRPr="0028033B">
        <w:rPr>
          <w:rFonts w:cs="Calibri"/>
          <w:szCs w:val="20"/>
        </w:rPr>
        <w:t>. Report prepared for the Ministry for Primary Industries by Landcare Research, Massey University and the National Institute of Water and Atmospheric Research. Wellington: Ministry for Primary Industries.</w:t>
      </w:r>
    </w:p>
    <w:p w14:paraId="39D1B005" w14:textId="77777777" w:rsidR="00E46639" w:rsidRPr="0028033B" w:rsidRDefault="00E46639" w:rsidP="00CB24E7">
      <w:pPr>
        <w:pStyle w:val="References"/>
        <w:spacing w:after="100"/>
        <w:rPr>
          <w:rFonts w:cs="Calibri"/>
          <w:szCs w:val="20"/>
        </w:rPr>
      </w:pPr>
      <w:r w:rsidRPr="0028033B">
        <w:rPr>
          <w:rFonts w:cs="Calibri"/>
          <w:szCs w:val="20"/>
        </w:rPr>
        <w:t xml:space="preserve">Pronger J, Glover-Clark G, Price R, Campbell D, Schipper L. 2022. </w:t>
      </w:r>
      <w:hyperlink r:id="rId175" w:history="1">
        <w:r w:rsidRPr="0028033B">
          <w:rPr>
            <w:rStyle w:val="Hyperlink"/>
            <w:rFonts w:cs="Calibri"/>
            <w:i/>
            <w:szCs w:val="20"/>
          </w:rPr>
          <w:t>Improving accounting of emissions from drained Organic Soils</w:t>
        </w:r>
      </w:hyperlink>
      <w:r w:rsidRPr="0028033B">
        <w:rPr>
          <w:rStyle w:val="Hyperlink"/>
          <w:rFonts w:cs="Calibri"/>
          <w:i/>
          <w:szCs w:val="20"/>
        </w:rPr>
        <w:t>.</w:t>
      </w:r>
      <w:r w:rsidRPr="0028033B">
        <w:rPr>
          <w:rFonts w:cs="Calibri"/>
          <w:szCs w:val="20"/>
        </w:rPr>
        <w:t xml:space="preserve"> Report prepared for the Ministry for Primary Industries by Manaaki Whenua – Landcare Research. Wellington: Ministry for Primary Industries.</w:t>
      </w:r>
    </w:p>
    <w:p w14:paraId="3C5A7CEB" w14:textId="77777777" w:rsidR="00E46639" w:rsidRPr="0028033B" w:rsidRDefault="00E46639" w:rsidP="00CB24E7">
      <w:pPr>
        <w:pStyle w:val="References"/>
        <w:spacing w:after="100"/>
        <w:rPr>
          <w:rFonts w:cs="Calibri"/>
          <w:color w:val="000000" w:themeColor="text1"/>
          <w:szCs w:val="20"/>
        </w:rPr>
      </w:pPr>
      <w:bookmarkStart w:id="1578" w:name="_Hlk187665123"/>
      <w:r w:rsidRPr="0028033B">
        <w:rPr>
          <w:rFonts w:cs="Calibri"/>
          <w:color w:val="000000" w:themeColor="text1"/>
          <w:szCs w:val="20"/>
        </w:rPr>
        <w:t xml:space="preserve">Ritchie H. 2024. </w:t>
      </w:r>
      <w:hyperlink r:id="rId176" w:history="1">
        <w:r w:rsidRPr="0028033B">
          <w:rPr>
            <w:rFonts w:cs="Calibri"/>
            <w:i/>
            <w:iCs/>
            <w:color w:val="32809C" w:themeColor="accent2"/>
            <w:szCs w:val="20"/>
          </w:rPr>
          <w:t>Updating emissions calculations for pigs in the New Zealand Greenhouse Gas Inventory Report</w:t>
        </w:r>
      </w:hyperlink>
      <w:r w:rsidRPr="0028033B">
        <w:rPr>
          <w:rFonts w:cs="Calibri"/>
          <w:i/>
          <w:iCs/>
          <w:color w:val="32809C" w:themeColor="accent2"/>
          <w:szCs w:val="20"/>
        </w:rPr>
        <w:t>.</w:t>
      </w:r>
      <w:r w:rsidRPr="0028033B">
        <w:rPr>
          <w:rFonts w:cs="Calibri"/>
          <w:color w:val="32809C" w:themeColor="accent2"/>
          <w:sz w:val="22"/>
        </w:rPr>
        <w:t xml:space="preserve"> </w:t>
      </w:r>
      <w:r w:rsidRPr="0028033B">
        <w:rPr>
          <w:rFonts w:cs="Calibri"/>
          <w:color w:val="000000" w:themeColor="text1"/>
          <w:szCs w:val="20"/>
        </w:rPr>
        <w:t xml:space="preserve">Report prepared for the Ministry for Primary Industries by NZ Pork. Wellington: Ministry for Primary Industries. </w:t>
      </w:r>
    </w:p>
    <w:bookmarkEnd w:id="1578"/>
    <w:p w14:paraId="767719AF" w14:textId="77777777" w:rsidR="00E46639" w:rsidRPr="0028033B" w:rsidRDefault="00E46639" w:rsidP="00CB24E7">
      <w:pPr>
        <w:pStyle w:val="References"/>
        <w:spacing w:after="100"/>
        <w:rPr>
          <w:rFonts w:cs="Calibri"/>
          <w:szCs w:val="20"/>
        </w:rPr>
      </w:pPr>
      <w:r w:rsidRPr="0028033B">
        <w:rPr>
          <w:rFonts w:cs="Calibri"/>
          <w:szCs w:val="20"/>
        </w:rPr>
        <w:t xml:space="preserve">Rollo M, Ledgard S, Longhurst B. 2017. </w:t>
      </w:r>
      <w:hyperlink r:id="rId177" w:history="1">
        <w:r w:rsidRPr="0028033B">
          <w:rPr>
            <w:rStyle w:val="Hyperlink"/>
            <w:rFonts w:cs="Calibri"/>
            <w:i/>
            <w:szCs w:val="20"/>
          </w:rPr>
          <w:t>Final Report: Trends in Dairy Effluent Management</w:t>
        </w:r>
      </w:hyperlink>
      <w:r w:rsidRPr="0028033B">
        <w:rPr>
          <w:rFonts w:cs="Calibri"/>
          <w:szCs w:val="20"/>
        </w:rPr>
        <w:t>. Report prepared for the Ministry for Primary Industries by AgResearch. Wellington: Ministry for Primary Industries.</w:t>
      </w:r>
    </w:p>
    <w:p w14:paraId="5221585E" w14:textId="77777777" w:rsidR="00E46639" w:rsidRPr="0028033B" w:rsidRDefault="00E46639" w:rsidP="00CB24E7">
      <w:pPr>
        <w:pStyle w:val="References"/>
        <w:spacing w:after="100"/>
        <w:rPr>
          <w:rFonts w:cs="Calibri"/>
          <w:color w:val="FFC000"/>
          <w:szCs w:val="20"/>
        </w:rPr>
      </w:pPr>
      <w:bookmarkStart w:id="1579" w:name="_Hlk187670861"/>
      <w:r w:rsidRPr="0028033B">
        <w:rPr>
          <w:rFonts w:cs="Calibri"/>
          <w:color w:val="000000" w:themeColor="text1"/>
          <w:szCs w:val="20"/>
        </w:rPr>
        <w:t>Saggar S, Clark H, Hedley C, Tate K, Carran A, Cosgrove G. 2003.</w:t>
      </w:r>
      <w:r w:rsidRPr="0028033B">
        <w:rPr>
          <w:rFonts w:cs="Calibri"/>
          <w:color w:val="000000" w:themeColor="text1"/>
          <w:sz w:val="22"/>
        </w:rPr>
        <w:t xml:space="preserve"> </w:t>
      </w:r>
      <w:hyperlink r:id="rId178" w:history="1">
        <w:r w:rsidRPr="0028033B">
          <w:rPr>
            <w:rFonts w:cs="Calibri"/>
            <w:i/>
            <w:color w:val="32809C" w:themeColor="accent2"/>
            <w:szCs w:val="20"/>
          </w:rPr>
          <w:t>Methane emissions from animal dung and waste management systems, and its contribution to the national methane budget</w:t>
        </w:r>
      </w:hyperlink>
      <w:r w:rsidRPr="0028033B">
        <w:rPr>
          <w:rFonts w:cs="Calibri"/>
          <w:i/>
          <w:color w:val="32809C" w:themeColor="accent2"/>
          <w:szCs w:val="20"/>
        </w:rPr>
        <w:t>.</w:t>
      </w:r>
      <w:r w:rsidRPr="0028033B">
        <w:rPr>
          <w:rFonts w:cs="Calibri"/>
          <w:color w:val="000000" w:themeColor="text1"/>
          <w:szCs w:val="20"/>
        </w:rPr>
        <w:t xml:space="preserve"> Prepared for the Ministry of Agriculture and Forestry by Landcare Research. </w:t>
      </w:r>
      <w:r w:rsidRPr="0028033B">
        <w:rPr>
          <w:rFonts w:cs="Calibri"/>
          <w:szCs w:val="20"/>
        </w:rPr>
        <w:t>Wellington: Ministry for Primary Industries.</w:t>
      </w:r>
    </w:p>
    <w:bookmarkEnd w:id="1579"/>
    <w:p w14:paraId="6447E97C" w14:textId="77777777" w:rsidR="00E46639" w:rsidRPr="0028033B" w:rsidRDefault="00E46639" w:rsidP="00CB24E7">
      <w:pPr>
        <w:spacing w:after="100"/>
        <w:rPr>
          <w:rFonts w:cs="Calibri"/>
          <w:sz w:val="20"/>
          <w:szCs w:val="20"/>
        </w:rPr>
      </w:pPr>
      <w:r w:rsidRPr="0028033B">
        <w:rPr>
          <w:rFonts w:cs="Calibri"/>
          <w:sz w:val="20"/>
          <w:szCs w:val="20"/>
        </w:rPr>
        <w:t xml:space="preserve">Saggar S, Giltrap DL, Davison R, Gibson R, de Klein C, Rollo M, Ettema P, Rys G. 2015. </w:t>
      </w:r>
      <w:hyperlink r:id="rId179" w:history="1">
        <w:r w:rsidRPr="0028033B">
          <w:rPr>
            <w:rStyle w:val="Hyperlink"/>
            <w:rFonts w:cs="Calibri"/>
            <w:sz w:val="20"/>
            <w:szCs w:val="20"/>
          </w:rPr>
          <w:t>Estimating direct N</w:t>
        </w:r>
        <w:r w:rsidRPr="0028033B">
          <w:rPr>
            <w:rStyle w:val="Hyperlink"/>
            <w:rFonts w:cs="Calibri"/>
            <w:sz w:val="20"/>
            <w:szCs w:val="20"/>
            <w:vertAlign w:val="subscript"/>
          </w:rPr>
          <w:t>2</w:t>
        </w:r>
        <w:r w:rsidRPr="0028033B">
          <w:rPr>
            <w:rStyle w:val="Hyperlink"/>
            <w:rFonts w:cs="Calibri"/>
            <w:sz w:val="20"/>
            <w:szCs w:val="20"/>
          </w:rPr>
          <w:t>O emissions from sheep, beef, and deer grazed pastures in New Zealand hill country: Accounting for the effect of land slope on the N</w:t>
        </w:r>
        <w:r w:rsidRPr="0028033B">
          <w:rPr>
            <w:rStyle w:val="Hyperlink"/>
            <w:rFonts w:cs="Calibri"/>
            <w:sz w:val="20"/>
            <w:szCs w:val="20"/>
            <w:vertAlign w:val="subscript"/>
          </w:rPr>
          <w:t>2</w:t>
        </w:r>
        <w:r w:rsidRPr="0028033B">
          <w:rPr>
            <w:rStyle w:val="Hyperlink"/>
            <w:rFonts w:cs="Calibri"/>
            <w:sz w:val="20"/>
            <w:szCs w:val="20"/>
          </w:rPr>
          <w:t>O emission factors from urine and dung</w:t>
        </w:r>
      </w:hyperlink>
      <w:r w:rsidRPr="0028033B">
        <w:rPr>
          <w:rFonts w:cs="Calibri"/>
          <w:sz w:val="20"/>
          <w:szCs w:val="20"/>
        </w:rPr>
        <w:t xml:space="preserve">. </w:t>
      </w:r>
      <w:r w:rsidRPr="0028033B">
        <w:rPr>
          <w:rFonts w:cs="Calibri"/>
          <w:i/>
          <w:sz w:val="20"/>
          <w:szCs w:val="20"/>
        </w:rPr>
        <w:t>Agriculture Ecosystems &amp; Environment</w:t>
      </w:r>
      <w:r w:rsidRPr="0028033B">
        <w:rPr>
          <w:rFonts w:cs="Calibri"/>
          <w:sz w:val="20"/>
          <w:szCs w:val="20"/>
        </w:rPr>
        <w:t xml:space="preserve"> 205: 70–78.</w:t>
      </w:r>
    </w:p>
    <w:p w14:paraId="35D523FF" w14:textId="77777777" w:rsidR="00E46639" w:rsidRPr="0028033B" w:rsidRDefault="00E46639" w:rsidP="00CB24E7">
      <w:pPr>
        <w:pStyle w:val="References"/>
      </w:pPr>
      <w:r w:rsidRPr="0028033B">
        <w:t xml:space="preserve">Saggar S, Singh J, Giltrap DL, Zaman M, </w:t>
      </w:r>
      <w:r w:rsidRPr="00CB24E7">
        <w:t>Luo</w:t>
      </w:r>
      <w:r w:rsidRPr="0028033B">
        <w:t xml:space="preserve"> J, Rollo M, Kim D-G, Rys G, van der Weerden TJ. 2013. Quantification of reductions in ammonia emissions from fertiliser urea and animal urine in grazed pastures with urease inhibitors for Agriculture inventory: New Zealand as a case study. </w:t>
      </w:r>
      <w:r w:rsidRPr="0028033B">
        <w:rPr>
          <w:i/>
        </w:rPr>
        <w:t>Science of the Total Environment</w:t>
      </w:r>
      <w:r w:rsidRPr="0028033B">
        <w:t xml:space="preserve"> 465: 136–146.</w:t>
      </w:r>
    </w:p>
    <w:p w14:paraId="4CD2C155" w14:textId="77777777" w:rsidR="00E46639" w:rsidRPr="0028033B" w:rsidRDefault="00E46639" w:rsidP="00E46639">
      <w:pPr>
        <w:pStyle w:val="References"/>
        <w:rPr>
          <w:rFonts w:cs="Calibri"/>
          <w:color w:val="000000" w:themeColor="text1"/>
          <w:szCs w:val="20"/>
        </w:rPr>
      </w:pPr>
      <w:bookmarkStart w:id="1580" w:name="_Hlk187670865"/>
      <w:r w:rsidRPr="0028033B">
        <w:rPr>
          <w:rFonts w:cs="Calibri"/>
          <w:color w:val="000000" w:themeColor="text1"/>
          <w:szCs w:val="20"/>
        </w:rPr>
        <w:t xml:space="preserve">Sherlock RR, de Klein C, Li Z. 2003. </w:t>
      </w:r>
      <w:hyperlink r:id="rId180" w:history="1">
        <w:r w:rsidRPr="0028033B">
          <w:rPr>
            <w:rFonts w:cs="Calibri"/>
            <w:i/>
            <w:color w:val="32809C" w:themeColor="accent2"/>
            <w:szCs w:val="20"/>
          </w:rPr>
          <w:t>Determination of the N</w:t>
        </w:r>
        <w:r w:rsidRPr="0028033B">
          <w:rPr>
            <w:rFonts w:cs="Calibri"/>
            <w:i/>
            <w:color w:val="32809C" w:themeColor="accent2"/>
            <w:szCs w:val="20"/>
            <w:vertAlign w:val="subscript"/>
          </w:rPr>
          <w:t>2</w:t>
        </w:r>
        <w:r w:rsidRPr="0028033B">
          <w:rPr>
            <w:rFonts w:cs="Calibri"/>
            <w:i/>
            <w:color w:val="32809C" w:themeColor="accent2"/>
            <w:szCs w:val="20"/>
          </w:rPr>
          <w:t>O and CH</w:t>
        </w:r>
        <w:r w:rsidRPr="0028033B">
          <w:rPr>
            <w:rFonts w:cs="Calibri"/>
            <w:i/>
            <w:color w:val="32809C" w:themeColor="accent2"/>
            <w:szCs w:val="20"/>
            <w:vertAlign w:val="subscript"/>
          </w:rPr>
          <w:t>4</w:t>
        </w:r>
        <w:r w:rsidRPr="0028033B">
          <w:rPr>
            <w:rFonts w:cs="Calibri"/>
            <w:i/>
            <w:color w:val="32809C" w:themeColor="accent2"/>
            <w:szCs w:val="20"/>
          </w:rPr>
          <w:t xml:space="preserve"> emission factors from animal excreta, following a summer application in 3 regions of New Zealand</w:t>
        </w:r>
      </w:hyperlink>
      <w:r w:rsidRPr="0028033B">
        <w:rPr>
          <w:rFonts w:cs="Calibri"/>
          <w:i/>
          <w:color w:val="32809C" w:themeColor="accent2"/>
          <w:sz w:val="22"/>
        </w:rPr>
        <w:t>.</w:t>
      </w:r>
      <w:r w:rsidRPr="0028033B">
        <w:rPr>
          <w:rFonts w:cs="Calibri"/>
          <w:color w:val="32809C" w:themeColor="accent2"/>
          <w:szCs w:val="20"/>
        </w:rPr>
        <w:t xml:space="preserve"> </w:t>
      </w:r>
      <w:r w:rsidRPr="0028033B">
        <w:rPr>
          <w:rFonts w:cs="Calibri"/>
          <w:color w:val="000000" w:themeColor="text1"/>
          <w:szCs w:val="20"/>
        </w:rPr>
        <w:t xml:space="preserve">A final report of an NzOnet study prepared for the Ministry of Agriculture and Forestry by Landcare Research, AgResearch and Lincoln University in 2003. </w:t>
      </w:r>
      <w:r w:rsidRPr="0028033B">
        <w:rPr>
          <w:rFonts w:cs="Calibri"/>
          <w:szCs w:val="20"/>
        </w:rPr>
        <w:t>Wellington: Ministry of Agriculture and Forestry.</w:t>
      </w:r>
    </w:p>
    <w:bookmarkEnd w:id="1580"/>
    <w:p w14:paraId="4C4FAF99" w14:textId="77777777" w:rsidR="00E46639" w:rsidRPr="0028033B" w:rsidRDefault="00E46639" w:rsidP="00E46639">
      <w:pPr>
        <w:pStyle w:val="References"/>
        <w:rPr>
          <w:rFonts w:cs="Calibri"/>
          <w:szCs w:val="20"/>
        </w:rPr>
      </w:pPr>
      <w:r w:rsidRPr="0028033B">
        <w:rPr>
          <w:rFonts w:cs="Calibri"/>
          <w:spacing w:val="-2"/>
          <w:szCs w:val="20"/>
        </w:rPr>
        <w:t xml:space="preserve">Sherlock RR, Jewell P, Clough T. 2011. </w:t>
      </w:r>
      <w:hyperlink r:id="rId181" w:history="1">
        <w:r w:rsidRPr="0028033B">
          <w:rPr>
            <w:rStyle w:val="Hyperlink"/>
            <w:rFonts w:cs="Calibri"/>
            <w:i/>
            <w:spacing w:val="-2"/>
            <w:szCs w:val="20"/>
          </w:rPr>
          <w:t>Review of New Zealand Specific Frac</w:t>
        </w:r>
        <w:r w:rsidRPr="0028033B">
          <w:rPr>
            <w:rStyle w:val="Hyperlink"/>
            <w:rFonts w:cs="Calibri"/>
            <w:i/>
            <w:spacing w:val="-2"/>
            <w:szCs w:val="20"/>
            <w:vertAlign w:val="subscript"/>
          </w:rPr>
          <w:t>GASM</w:t>
        </w:r>
        <w:r w:rsidRPr="0028033B">
          <w:rPr>
            <w:rStyle w:val="Hyperlink"/>
            <w:rFonts w:cs="Calibri"/>
            <w:i/>
            <w:spacing w:val="-2"/>
            <w:szCs w:val="20"/>
          </w:rPr>
          <w:t xml:space="preserve"> and Frac</w:t>
        </w:r>
        <w:r w:rsidRPr="0028033B">
          <w:rPr>
            <w:rStyle w:val="Hyperlink"/>
            <w:rFonts w:cs="Calibri"/>
            <w:i/>
            <w:spacing w:val="-2"/>
            <w:szCs w:val="20"/>
            <w:vertAlign w:val="subscript"/>
          </w:rPr>
          <w:t>GASF</w:t>
        </w:r>
        <w:r w:rsidRPr="0028033B">
          <w:rPr>
            <w:rStyle w:val="Hyperlink"/>
            <w:rFonts w:cs="Calibri"/>
            <w:i/>
            <w:spacing w:val="-2"/>
            <w:szCs w:val="20"/>
          </w:rPr>
          <w:t xml:space="preserve"> Emissions</w:t>
        </w:r>
        <w:r w:rsidRPr="0028033B">
          <w:rPr>
            <w:rStyle w:val="Hyperlink"/>
            <w:rFonts w:cs="Calibri"/>
            <w:i/>
            <w:szCs w:val="20"/>
          </w:rPr>
          <w:t xml:space="preserve"> Factors</w:t>
        </w:r>
      </w:hyperlink>
      <w:r w:rsidRPr="0028033B">
        <w:rPr>
          <w:rFonts w:cs="Calibri"/>
          <w:szCs w:val="20"/>
        </w:rPr>
        <w:t>. Report prepared for the Ministry of Agriculture and Forestry by Landcare Research and AgResearch. Wellington: Ministry of Agriculture and Forestry.</w:t>
      </w:r>
    </w:p>
    <w:p w14:paraId="281052A1" w14:textId="77777777" w:rsidR="00E46639" w:rsidRPr="0028033B" w:rsidRDefault="00E46639" w:rsidP="00E46639">
      <w:pPr>
        <w:pStyle w:val="References"/>
        <w:rPr>
          <w:rFonts w:cs="Calibri"/>
          <w:color w:val="000000" w:themeColor="text1"/>
          <w:szCs w:val="20"/>
        </w:rPr>
      </w:pPr>
      <w:r w:rsidRPr="0028033B">
        <w:rPr>
          <w:rFonts w:cs="Calibri"/>
          <w:color w:val="000000" w:themeColor="text1"/>
          <w:szCs w:val="20"/>
        </w:rPr>
        <w:t>Sise J. 2023</w:t>
      </w:r>
      <w:r w:rsidRPr="0028033B">
        <w:rPr>
          <w:rFonts w:cs="Calibri"/>
          <w:color w:val="32809C" w:themeColor="accent2"/>
          <w:szCs w:val="20"/>
        </w:rPr>
        <w:t>.</w:t>
      </w:r>
      <w:r w:rsidRPr="0028033B">
        <w:rPr>
          <w:rFonts w:cs="Calibri"/>
          <w:i/>
          <w:color w:val="32809C" w:themeColor="accent2"/>
          <w:szCs w:val="20"/>
        </w:rPr>
        <w:t xml:space="preserve"> </w:t>
      </w:r>
      <w:hyperlink r:id="rId182" w:history="1">
        <w:r w:rsidRPr="0028033B">
          <w:rPr>
            <w:rFonts w:cs="Calibri"/>
            <w:i/>
            <w:iCs/>
            <w:color w:val="32809C" w:themeColor="accent2"/>
            <w:szCs w:val="20"/>
          </w:rPr>
          <w:t>Minor animal categories</w:t>
        </w:r>
      </w:hyperlink>
      <w:r w:rsidRPr="0028033B">
        <w:rPr>
          <w:rFonts w:cs="Calibri"/>
          <w:i/>
          <w:iCs/>
          <w:color w:val="32809C" w:themeColor="accent2"/>
          <w:szCs w:val="20"/>
        </w:rPr>
        <w:t>.</w:t>
      </w:r>
      <w:r w:rsidRPr="0028033B">
        <w:rPr>
          <w:rFonts w:cs="Calibri"/>
          <w:color w:val="32809C" w:themeColor="accent2"/>
          <w:szCs w:val="20"/>
        </w:rPr>
        <w:t xml:space="preserve"> </w:t>
      </w:r>
      <w:r w:rsidRPr="0028033B">
        <w:rPr>
          <w:rFonts w:cs="Calibri"/>
          <w:color w:val="000000" w:themeColor="text1"/>
          <w:szCs w:val="20"/>
        </w:rPr>
        <w:t>Report prepared for the Ministry for Primary Industries by AbacusBio. Wellington: Ministry for Primary Industries.</w:t>
      </w:r>
    </w:p>
    <w:p w14:paraId="153EC05C" w14:textId="77777777" w:rsidR="00E46639" w:rsidRPr="0028033B" w:rsidRDefault="00E46639" w:rsidP="00E46639">
      <w:pPr>
        <w:pStyle w:val="References"/>
        <w:rPr>
          <w:rFonts w:cs="Calibri"/>
          <w:szCs w:val="20"/>
        </w:rPr>
      </w:pPr>
      <w:r w:rsidRPr="0028033B">
        <w:rPr>
          <w:rFonts w:cs="Calibri"/>
          <w:spacing w:val="-2"/>
          <w:szCs w:val="20"/>
        </w:rPr>
        <w:t xml:space="preserve">Stats NZ. 2021. </w:t>
      </w:r>
      <w:hyperlink r:id="rId183" w:history="1">
        <w:r w:rsidRPr="0028033B">
          <w:rPr>
            <w:rStyle w:val="Hyperlink"/>
            <w:rFonts w:cs="Calibri"/>
            <w:i/>
            <w:spacing w:val="-2"/>
            <w:szCs w:val="20"/>
          </w:rPr>
          <w:t>Fertilisers – nitrogen and phosphorus</w:t>
        </w:r>
      </w:hyperlink>
      <w:r w:rsidRPr="0028033B">
        <w:rPr>
          <w:rFonts w:cs="Calibri"/>
          <w:spacing w:val="-2"/>
          <w:szCs w:val="20"/>
        </w:rPr>
        <w:t>. Retrieved 12 January 2024</w:t>
      </w:r>
      <w:r w:rsidRPr="0028033B">
        <w:rPr>
          <w:rFonts w:cs="Calibri"/>
          <w:szCs w:val="20"/>
        </w:rPr>
        <w:t>.</w:t>
      </w:r>
    </w:p>
    <w:p w14:paraId="2366430B" w14:textId="77777777" w:rsidR="00E46639" w:rsidRPr="0028033B" w:rsidRDefault="00E46639" w:rsidP="00E46639">
      <w:pPr>
        <w:pStyle w:val="References"/>
        <w:rPr>
          <w:rFonts w:cs="Calibri"/>
          <w:szCs w:val="20"/>
        </w:rPr>
      </w:pPr>
      <w:r w:rsidRPr="0028033B">
        <w:rPr>
          <w:rFonts w:cs="Calibri"/>
          <w:spacing w:val="-2"/>
          <w:szCs w:val="20"/>
        </w:rPr>
        <w:t xml:space="preserve">Stats NZ. 2023. </w:t>
      </w:r>
      <w:hyperlink r:id="rId184" w:history="1">
        <w:r w:rsidRPr="0028033B">
          <w:rPr>
            <w:rStyle w:val="Hyperlink"/>
            <w:rFonts w:cs="Calibri"/>
            <w:i/>
            <w:iCs/>
            <w:spacing w:val="-2"/>
            <w:szCs w:val="20"/>
          </w:rPr>
          <w:t>Agricultural production statistics: Year to June 2022 (final)</w:t>
        </w:r>
      </w:hyperlink>
      <w:r w:rsidRPr="0028033B">
        <w:rPr>
          <w:rFonts w:cs="Calibri"/>
          <w:spacing w:val="-2"/>
          <w:szCs w:val="20"/>
        </w:rPr>
        <w:t>. Retrieved 21 January 2026.</w:t>
      </w:r>
    </w:p>
    <w:p w14:paraId="2526CAA0" w14:textId="77777777" w:rsidR="00E46639" w:rsidRPr="0028033B" w:rsidRDefault="00E46639" w:rsidP="00E46639">
      <w:pPr>
        <w:pStyle w:val="References"/>
        <w:rPr>
          <w:rFonts w:cs="Calibri"/>
          <w:szCs w:val="20"/>
        </w:rPr>
      </w:pPr>
      <w:r w:rsidRPr="0028033B">
        <w:rPr>
          <w:rFonts w:cs="Calibri"/>
          <w:color w:val="000000" w:themeColor="text1"/>
          <w:szCs w:val="20"/>
        </w:rPr>
        <w:t xml:space="preserve">Stats NZ. </w:t>
      </w:r>
      <w:r w:rsidRPr="0028033B">
        <w:rPr>
          <w:rFonts w:cs="Calibri"/>
          <w:szCs w:val="20"/>
        </w:rPr>
        <w:t xml:space="preserve">2025. </w:t>
      </w:r>
      <w:hyperlink r:id="rId185" w:history="1">
        <w:r w:rsidRPr="0028033B">
          <w:rPr>
            <w:rStyle w:val="Hyperlink"/>
            <w:rFonts w:cs="Calibri"/>
            <w:i/>
            <w:iCs/>
          </w:rPr>
          <w:t>Agricultural production statistics: Year to June 2024 (final)</w:t>
        </w:r>
      </w:hyperlink>
      <w:r w:rsidRPr="0028033B">
        <w:rPr>
          <w:rFonts w:cs="Calibri"/>
          <w:szCs w:val="20"/>
        </w:rPr>
        <w:t>. Retrieved 16 December 2025.</w:t>
      </w:r>
    </w:p>
    <w:p w14:paraId="5C38167E" w14:textId="77777777" w:rsidR="00E46639" w:rsidRPr="0028033B" w:rsidRDefault="00E46639" w:rsidP="00E46639">
      <w:pPr>
        <w:pStyle w:val="References"/>
        <w:rPr>
          <w:rFonts w:cs="Calibri"/>
          <w:szCs w:val="20"/>
        </w:rPr>
      </w:pPr>
      <w:r w:rsidRPr="0028033B">
        <w:rPr>
          <w:rFonts w:cs="Calibri"/>
          <w:szCs w:val="20"/>
        </w:rPr>
        <w:t xml:space="preserve">Stevens D, Rollo M, Vibart R, Chrystal J, Speirs B, Davison R, Burtt A. 2022. </w:t>
      </w:r>
      <w:hyperlink r:id="rId186" w:history="1">
        <w:r w:rsidRPr="0028033B">
          <w:rPr>
            <w:rStyle w:val="Hyperlink"/>
            <w:rFonts w:cs="Calibri"/>
            <w:i/>
            <w:szCs w:val="20"/>
          </w:rPr>
          <w:t>Sheep and Cattle Birth and Slaughter Dates</w:t>
        </w:r>
      </w:hyperlink>
      <w:r w:rsidRPr="0028033B">
        <w:rPr>
          <w:rFonts w:cs="Calibri"/>
          <w:szCs w:val="20"/>
        </w:rPr>
        <w:t xml:space="preserve">. Final report prepared for the Ministry for Primary Industries. Wellington: Ministry for Primary Industries. </w:t>
      </w:r>
    </w:p>
    <w:p w14:paraId="6EC3CCB7" w14:textId="77777777" w:rsidR="00E46639" w:rsidRPr="0028033B" w:rsidRDefault="00E46639" w:rsidP="00E46639">
      <w:pPr>
        <w:pStyle w:val="References"/>
        <w:rPr>
          <w:rFonts w:cs="Calibri"/>
          <w:color w:val="000000" w:themeColor="text1"/>
          <w:szCs w:val="20"/>
        </w:rPr>
      </w:pPr>
      <w:r w:rsidRPr="0028033B">
        <w:rPr>
          <w:rFonts w:cs="Calibri"/>
          <w:color w:val="000000" w:themeColor="text1"/>
          <w:szCs w:val="20"/>
        </w:rPr>
        <w:t xml:space="preserve">Stevens D, Ward J. 2023. </w:t>
      </w:r>
      <w:hyperlink r:id="rId187" w:history="1">
        <w:r w:rsidRPr="0028033B">
          <w:rPr>
            <w:rFonts w:cs="Calibri"/>
            <w:i/>
            <w:iCs/>
            <w:color w:val="32809C" w:themeColor="accent2"/>
            <w:szCs w:val="20"/>
          </w:rPr>
          <w:t>Splitting Emissions Intensity Values between Venison and Velvet Antler in the Deer Industry</w:t>
        </w:r>
      </w:hyperlink>
      <w:r w:rsidRPr="0028033B">
        <w:rPr>
          <w:rFonts w:cs="Calibri"/>
          <w:i/>
          <w:iCs/>
          <w:color w:val="32809C" w:themeColor="accent2"/>
          <w:szCs w:val="20"/>
        </w:rPr>
        <w:t>.</w:t>
      </w:r>
      <w:r w:rsidRPr="0028033B">
        <w:rPr>
          <w:rFonts w:cs="Calibri"/>
          <w:i/>
          <w:color w:val="32809C" w:themeColor="accent2"/>
          <w:szCs w:val="20"/>
        </w:rPr>
        <w:t xml:space="preserve"> </w:t>
      </w:r>
      <w:r w:rsidRPr="0028033B">
        <w:rPr>
          <w:rFonts w:cs="Calibri"/>
          <w:color w:val="000000" w:themeColor="text1"/>
          <w:szCs w:val="20"/>
        </w:rPr>
        <w:t>Report prepared for the Ministry for Primary Industries by AgResearch. Wellington: Ministry for Primary Industries.</w:t>
      </w:r>
    </w:p>
    <w:p w14:paraId="68918CBA" w14:textId="77777777" w:rsidR="00E46639" w:rsidRPr="0028033B" w:rsidRDefault="00E46639" w:rsidP="00E46639">
      <w:pPr>
        <w:pStyle w:val="References"/>
        <w:rPr>
          <w:rFonts w:cs="Calibri"/>
          <w:szCs w:val="20"/>
        </w:rPr>
      </w:pPr>
      <w:r w:rsidRPr="0028033B">
        <w:rPr>
          <w:rFonts w:cs="Calibri"/>
          <w:szCs w:val="20"/>
        </w:rPr>
        <w:t xml:space="preserve">Suttie J. 2012. </w:t>
      </w:r>
      <w:hyperlink r:id="rId188" w:history="1">
        <w:r w:rsidRPr="0028033B">
          <w:rPr>
            <w:rStyle w:val="Hyperlink"/>
            <w:rFonts w:cs="Calibri"/>
            <w:i/>
            <w:szCs w:val="20"/>
          </w:rPr>
          <w:t>Report to the Deer Industry New Zealand: Estimation of Deer Population and Productivity Data 1990 to 2012</w:t>
        </w:r>
      </w:hyperlink>
      <w:r w:rsidRPr="0028033B">
        <w:rPr>
          <w:rFonts w:cs="Calibri"/>
          <w:szCs w:val="20"/>
        </w:rPr>
        <w:t xml:space="preserve">. Dunedin: Suttie Consulting Limited. </w:t>
      </w:r>
    </w:p>
    <w:p w14:paraId="32D0AC57" w14:textId="77777777" w:rsidR="00E46639" w:rsidRPr="0028033B" w:rsidRDefault="00E46639" w:rsidP="00E46639">
      <w:pPr>
        <w:pStyle w:val="References"/>
        <w:rPr>
          <w:rFonts w:cs="Calibri"/>
          <w:szCs w:val="20"/>
        </w:rPr>
      </w:pPr>
      <w:r w:rsidRPr="0028033B">
        <w:rPr>
          <w:rFonts w:cs="Calibri"/>
          <w:szCs w:val="20"/>
        </w:rPr>
        <w:t xml:space="preserve">Swainson N, Muetzel S, Clark H. 2016. </w:t>
      </w:r>
      <w:hyperlink r:id="rId189" w:history="1">
        <w:r w:rsidRPr="0028033B">
          <w:rPr>
            <w:rStyle w:val="Hyperlink"/>
            <w:rFonts w:cs="Calibri"/>
            <w:szCs w:val="20"/>
          </w:rPr>
          <w:t>Updated predictions of enteric methane emissions from sheep suitable for use in the New Zealand national greenhouse gas inventory</w:t>
        </w:r>
      </w:hyperlink>
      <w:r w:rsidRPr="0028033B">
        <w:rPr>
          <w:rFonts w:cs="Calibri"/>
          <w:szCs w:val="20"/>
        </w:rPr>
        <w:t xml:space="preserve">. </w:t>
      </w:r>
      <w:r w:rsidRPr="0028033B">
        <w:rPr>
          <w:rFonts w:cs="Calibri"/>
          <w:i/>
          <w:szCs w:val="20"/>
        </w:rPr>
        <w:t>Animal Production Science</w:t>
      </w:r>
      <w:r w:rsidRPr="0028033B">
        <w:rPr>
          <w:rFonts w:cs="Calibri"/>
          <w:szCs w:val="20"/>
        </w:rPr>
        <w:t xml:space="preserve"> 58: 973–979. Retrieved 5 January 2022.</w:t>
      </w:r>
    </w:p>
    <w:p w14:paraId="0A70473F" w14:textId="77777777" w:rsidR="00E46639" w:rsidRPr="0028033B" w:rsidRDefault="00E46639" w:rsidP="00E46639">
      <w:pPr>
        <w:pStyle w:val="References"/>
        <w:rPr>
          <w:rFonts w:cs="Calibri"/>
          <w:szCs w:val="20"/>
        </w:rPr>
      </w:pPr>
      <w:r w:rsidRPr="0028033B">
        <w:rPr>
          <w:rFonts w:cs="Calibri"/>
          <w:szCs w:val="20"/>
        </w:rPr>
        <w:t xml:space="preserve">Thomas S, Fraser T, Curtin D, Brown H, Lawrence E. 2011. </w:t>
      </w:r>
      <w:hyperlink r:id="rId190" w:history="1">
        <w:r w:rsidRPr="0028033B">
          <w:rPr>
            <w:rStyle w:val="Hyperlink"/>
            <w:rFonts w:cs="Calibri"/>
            <w:i/>
            <w:szCs w:val="20"/>
          </w:rPr>
          <w:t>Review of Nitrous Oxide Emission Factors and Activity Data for Crops</w:t>
        </w:r>
      </w:hyperlink>
      <w:r w:rsidRPr="0028033B">
        <w:rPr>
          <w:rFonts w:cs="Calibri"/>
          <w:szCs w:val="20"/>
        </w:rPr>
        <w:t>. Report prepared for the Ministry of Agriculture and Forestry by Plant and Food Research. Wellington: Ministry of Agriculture and Forestry.</w:t>
      </w:r>
    </w:p>
    <w:p w14:paraId="1069F3DD" w14:textId="77777777" w:rsidR="00E46639" w:rsidRPr="0028033B" w:rsidRDefault="00E46639" w:rsidP="00E46639">
      <w:pPr>
        <w:pStyle w:val="References"/>
        <w:rPr>
          <w:rFonts w:cs="Calibri"/>
          <w:szCs w:val="20"/>
        </w:rPr>
      </w:pPr>
      <w:r w:rsidRPr="0028033B">
        <w:rPr>
          <w:rFonts w:cs="Calibri"/>
          <w:szCs w:val="20"/>
        </w:rPr>
        <w:t xml:space="preserve">Thomas S, Gentile R, Wakelin SJ, Dias de Olivera E, McNally S, Paul T, Gee M. Unpublished. </w:t>
      </w:r>
      <w:r w:rsidRPr="0028033B">
        <w:rPr>
          <w:rFonts w:cs="Calibri"/>
          <w:i/>
          <w:iCs/>
          <w:szCs w:val="20"/>
        </w:rPr>
        <w:t xml:space="preserve">Quantifying greenhouse gas emissions from New Zealand cropping systems. </w:t>
      </w:r>
      <w:r w:rsidRPr="0028033B">
        <w:rPr>
          <w:rFonts w:cs="Calibri"/>
          <w:szCs w:val="20"/>
        </w:rPr>
        <w:t>Report prepared for the Ministry for Primary Industries by Plant and Food Research in 2025. Wellington: Ministry for Primary Industries.</w:t>
      </w:r>
    </w:p>
    <w:p w14:paraId="4BBD0CB2" w14:textId="77777777" w:rsidR="00E46639" w:rsidRPr="0028033B" w:rsidRDefault="00E46639" w:rsidP="00E46639">
      <w:pPr>
        <w:pStyle w:val="References"/>
        <w:rPr>
          <w:rFonts w:cs="Calibri"/>
          <w:szCs w:val="20"/>
        </w:rPr>
      </w:pPr>
      <w:r w:rsidRPr="0028033B">
        <w:rPr>
          <w:rFonts w:cs="Calibri"/>
          <w:szCs w:val="20"/>
        </w:rPr>
        <w:t xml:space="preserve">Thomas S, Hume E, Fraser T, Curtin D. 2012. </w:t>
      </w:r>
      <w:hyperlink r:id="rId191" w:history="1">
        <w:r w:rsidRPr="0028033B">
          <w:rPr>
            <w:rStyle w:val="Hyperlink"/>
            <w:rFonts w:cs="Calibri"/>
            <w:i/>
            <w:szCs w:val="20"/>
          </w:rPr>
          <w:t>Factors and Activity Data to Estimate Nitrous Oxide Emissions from Cropping Systems, and Stubble and Tussock Burning</w:t>
        </w:r>
      </w:hyperlink>
      <w:r w:rsidRPr="0028033B">
        <w:rPr>
          <w:rFonts w:cs="Calibri"/>
          <w:szCs w:val="20"/>
        </w:rPr>
        <w:t xml:space="preserve">. Report prepared for the Ministry of Agriculture and Forestry by Plant and Food Research (formerly Crop and Food Research). Wellington: Ministry of Agriculture and Forestry. </w:t>
      </w:r>
    </w:p>
    <w:p w14:paraId="2E9CF756" w14:textId="77777777" w:rsidR="00E46639" w:rsidRPr="0028033B" w:rsidRDefault="00E46639" w:rsidP="00E46639">
      <w:pPr>
        <w:pStyle w:val="References"/>
        <w:rPr>
          <w:rFonts w:cs="Calibri"/>
          <w:szCs w:val="20"/>
        </w:rPr>
      </w:pPr>
      <w:r w:rsidRPr="0028033B">
        <w:rPr>
          <w:rFonts w:cs="Calibri"/>
          <w:szCs w:val="20"/>
        </w:rPr>
        <w:t xml:space="preserve">Thomas S, Wallace D, Beare M. 2014. </w:t>
      </w:r>
      <w:hyperlink r:id="rId192" w:history="1">
        <w:r w:rsidRPr="0028033B">
          <w:rPr>
            <w:rStyle w:val="Hyperlink"/>
            <w:rFonts w:cs="Calibri"/>
            <w:i/>
            <w:szCs w:val="20"/>
          </w:rPr>
          <w:t>Pasture Renewal Activity Data and Factors for New Zealand</w:t>
        </w:r>
      </w:hyperlink>
      <w:r w:rsidRPr="0028033B">
        <w:rPr>
          <w:rFonts w:cs="Calibri"/>
          <w:szCs w:val="20"/>
        </w:rPr>
        <w:t>. Report prepared for the Ministry for Primary Industries by Plant and Food Research. Wellington: Ministry for Primary Industries.</w:t>
      </w:r>
    </w:p>
    <w:p w14:paraId="56C95C95" w14:textId="77777777" w:rsidR="00E46639" w:rsidRPr="0028033B" w:rsidRDefault="00E46639" w:rsidP="00E46639">
      <w:pPr>
        <w:pStyle w:val="References"/>
        <w:rPr>
          <w:rFonts w:cs="Calibri"/>
          <w:szCs w:val="20"/>
        </w:rPr>
      </w:pPr>
      <w:r w:rsidRPr="0028033B">
        <w:rPr>
          <w:rFonts w:cs="Calibri"/>
          <w:szCs w:val="20"/>
        </w:rPr>
        <w:t xml:space="preserve">Thomas SM, Ledgard SF, Francis GS. 2005. </w:t>
      </w:r>
      <w:hyperlink r:id="rId193" w:history="1">
        <w:r w:rsidRPr="0028033B">
          <w:rPr>
            <w:rStyle w:val="Hyperlink"/>
            <w:rFonts w:cs="Calibri"/>
            <w:szCs w:val="20"/>
          </w:rPr>
          <w:t>Improving estimates of nitrate leaching for quantifying New Zealand’s indirect nitrous oxide emissions.</w:t>
        </w:r>
      </w:hyperlink>
      <w:r w:rsidRPr="0028033B">
        <w:rPr>
          <w:rFonts w:cs="Calibri"/>
          <w:szCs w:val="20"/>
        </w:rPr>
        <w:t xml:space="preserve"> </w:t>
      </w:r>
      <w:r w:rsidRPr="0028033B">
        <w:rPr>
          <w:rFonts w:cs="Calibri"/>
          <w:i/>
          <w:szCs w:val="20"/>
        </w:rPr>
        <w:t>Nutrient Cycling in Agroecosystems</w:t>
      </w:r>
      <w:r w:rsidRPr="0028033B">
        <w:rPr>
          <w:rFonts w:cs="Calibri"/>
          <w:szCs w:val="20"/>
        </w:rPr>
        <w:t xml:space="preserve"> 73: 213–226.</w:t>
      </w:r>
    </w:p>
    <w:p w14:paraId="05F19EC4" w14:textId="77777777" w:rsidR="00E46639" w:rsidRPr="0028033B" w:rsidRDefault="00E46639" w:rsidP="00E46639">
      <w:pPr>
        <w:pStyle w:val="References"/>
        <w:rPr>
          <w:rFonts w:cs="Calibri"/>
          <w:color w:val="000000" w:themeColor="text1"/>
          <w:szCs w:val="20"/>
        </w:rPr>
      </w:pPr>
      <w:bookmarkStart w:id="1581" w:name="_Hlk187670872"/>
      <w:r w:rsidRPr="0028033B">
        <w:rPr>
          <w:rFonts w:cs="Calibri"/>
          <w:color w:val="000000" w:themeColor="text1"/>
          <w:szCs w:val="20"/>
        </w:rPr>
        <w:t>Thomas T. 2010</w:t>
      </w:r>
      <w:r w:rsidRPr="0028033B">
        <w:rPr>
          <w:rFonts w:cs="Calibri"/>
          <w:i/>
          <w:color w:val="000000" w:themeColor="text1"/>
          <w:szCs w:val="20"/>
        </w:rPr>
        <w:t xml:space="preserve">. </w:t>
      </w:r>
      <w:hyperlink r:id="rId194" w:history="1">
        <w:r w:rsidRPr="0028033B">
          <w:rPr>
            <w:rFonts w:cs="Calibri"/>
            <w:i/>
            <w:color w:val="32809C" w:themeColor="accent2"/>
            <w:szCs w:val="20"/>
          </w:rPr>
          <w:t>Assessment of the methodology of potato area and yield activity estimations used in the NZ national GHG inventory</w:t>
        </w:r>
      </w:hyperlink>
      <w:r w:rsidRPr="0028033B">
        <w:rPr>
          <w:rFonts w:cs="Calibri"/>
          <w:color w:val="32809C" w:themeColor="accent2"/>
          <w:szCs w:val="20"/>
        </w:rPr>
        <w:t>.</w:t>
      </w:r>
      <w:r w:rsidRPr="0028033B">
        <w:rPr>
          <w:rFonts w:cs="Calibri"/>
          <w:color w:val="000000" w:themeColor="text1"/>
          <w:szCs w:val="20"/>
        </w:rPr>
        <w:t xml:space="preserve"> Report prepared for the Ministry of Agriculture and Forestry by Plant and Food Research in 2010. </w:t>
      </w:r>
      <w:r w:rsidRPr="0028033B">
        <w:rPr>
          <w:rFonts w:cs="Calibri"/>
          <w:szCs w:val="20"/>
        </w:rPr>
        <w:t>Wellington: Ministry of Agriculture and Forestry.</w:t>
      </w:r>
    </w:p>
    <w:bookmarkEnd w:id="1581"/>
    <w:p w14:paraId="2164887E" w14:textId="77777777" w:rsidR="00E46639" w:rsidRPr="0028033B" w:rsidRDefault="00E46639" w:rsidP="00E46639">
      <w:pPr>
        <w:pStyle w:val="References"/>
        <w:keepLines/>
        <w:rPr>
          <w:rFonts w:cs="Calibri"/>
          <w:szCs w:val="20"/>
        </w:rPr>
      </w:pPr>
      <w:r w:rsidRPr="0028033B">
        <w:rPr>
          <w:rFonts w:cs="Calibri"/>
          <w:szCs w:val="20"/>
        </w:rPr>
        <w:t xml:space="preserve">Thomson BC, Muir PD, Davison R, Clark H. 2010. </w:t>
      </w:r>
      <w:hyperlink r:id="rId195" w:history="1">
        <w:r w:rsidRPr="0028033B">
          <w:rPr>
            <w:rStyle w:val="Hyperlink"/>
            <w:rFonts w:cs="Calibri"/>
            <w:i/>
            <w:szCs w:val="20"/>
          </w:rPr>
          <w:t>Review of Population Models within the National Methane Inventory (2010)</w:t>
        </w:r>
      </w:hyperlink>
      <w:r w:rsidRPr="0028033B">
        <w:rPr>
          <w:rFonts w:cs="Calibri"/>
          <w:szCs w:val="20"/>
        </w:rPr>
        <w:t>. Technical paper prepared for the Ministry of Agriculture and Forestry by On</w:t>
      </w:r>
      <w:r w:rsidRPr="0028033B">
        <w:rPr>
          <w:rFonts w:ascii="Cambria Math" w:hAnsi="Cambria Math" w:cs="Cambria Math"/>
          <w:szCs w:val="20"/>
        </w:rPr>
        <w:t>‑</w:t>
      </w:r>
      <w:r w:rsidRPr="0028033B">
        <w:rPr>
          <w:rFonts w:cs="Calibri"/>
          <w:szCs w:val="20"/>
        </w:rPr>
        <w:t>Farm Research (with cooperation by Meat and Wool New Zealand and AgResearch Ltd). Wellington: Ministry of Agriculture and Forestry.</w:t>
      </w:r>
    </w:p>
    <w:p w14:paraId="28D50199" w14:textId="77777777" w:rsidR="00E46639" w:rsidRPr="0028033B" w:rsidRDefault="00E46639" w:rsidP="00E46639">
      <w:pPr>
        <w:pStyle w:val="References"/>
        <w:rPr>
          <w:rFonts w:cs="Calibri"/>
          <w:szCs w:val="20"/>
        </w:rPr>
      </w:pPr>
      <w:r w:rsidRPr="0028033B">
        <w:rPr>
          <w:rFonts w:cs="Calibri"/>
          <w:szCs w:val="20"/>
        </w:rPr>
        <w:t xml:space="preserve">Thomson BC, Ward KR, Muir PD. 2021. </w:t>
      </w:r>
      <w:hyperlink r:id="rId196" w:history="1">
        <w:r w:rsidRPr="0028033B">
          <w:rPr>
            <w:rStyle w:val="Hyperlink"/>
            <w:rFonts w:cs="Calibri"/>
            <w:i/>
            <w:szCs w:val="20"/>
          </w:rPr>
          <w:t>Purity of agricultural lime and dolomite used in New Zealand</w:t>
        </w:r>
      </w:hyperlink>
      <w:r w:rsidRPr="0028033B">
        <w:rPr>
          <w:rFonts w:cs="Calibri"/>
          <w:szCs w:val="20"/>
        </w:rPr>
        <w:t>. Final report prepared for the Ministry for Primary Industries. Wellington: Ministry for Primary Industries.</w:t>
      </w:r>
    </w:p>
    <w:p w14:paraId="0EAB0A6D" w14:textId="77777777" w:rsidR="00E46639" w:rsidRPr="0028033B" w:rsidRDefault="00E46639" w:rsidP="00E46639">
      <w:pPr>
        <w:pStyle w:val="References"/>
        <w:rPr>
          <w:rFonts w:cs="Calibri"/>
          <w:szCs w:val="20"/>
        </w:rPr>
      </w:pPr>
      <w:r w:rsidRPr="0028033B">
        <w:rPr>
          <w:rFonts w:cs="Calibri"/>
          <w:szCs w:val="20"/>
        </w:rPr>
        <w:t xml:space="preserve">Ulyatt MJ, Baker SK, McCrabb GJ, Lassey KR. 1999. </w:t>
      </w:r>
      <w:hyperlink r:id="rId197" w:history="1">
        <w:r w:rsidRPr="0028033B">
          <w:rPr>
            <w:rStyle w:val="Hyperlink"/>
            <w:rFonts w:cs="Calibri"/>
            <w:szCs w:val="20"/>
          </w:rPr>
          <w:t>Accuracy of the SF6 tracer technology and alternatives for field measurements.</w:t>
        </w:r>
      </w:hyperlink>
      <w:r w:rsidRPr="0028033B">
        <w:rPr>
          <w:rFonts w:cs="Calibri"/>
          <w:szCs w:val="20"/>
        </w:rPr>
        <w:t xml:space="preserve"> </w:t>
      </w:r>
      <w:r w:rsidRPr="0028033B">
        <w:rPr>
          <w:rFonts w:cs="Calibri"/>
          <w:i/>
          <w:szCs w:val="20"/>
        </w:rPr>
        <w:t>Australian Journal of Agricultural Research</w:t>
      </w:r>
      <w:r w:rsidRPr="0028033B">
        <w:rPr>
          <w:rFonts w:cs="Calibri"/>
          <w:szCs w:val="20"/>
        </w:rPr>
        <w:t xml:space="preserve"> 50: 1329–1334.</w:t>
      </w:r>
    </w:p>
    <w:p w14:paraId="52BBA1C8" w14:textId="77777777" w:rsidR="00E46639" w:rsidRPr="0028033B" w:rsidRDefault="00E46639" w:rsidP="00E46639">
      <w:pPr>
        <w:pStyle w:val="References"/>
        <w:rPr>
          <w:rFonts w:cs="Calibri"/>
          <w:szCs w:val="20"/>
        </w:rPr>
      </w:pPr>
      <w:r w:rsidRPr="0028033B">
        <w:rPr>
          <w:rFonts w:cs="Calibri"/>
          <w:szCs w:val="20"/>
        </w:rPr>
        <w:t xml:space="preserve">van der Weerden T, Cox N, Luo J, Di HJ, Podolyan A, Phillips RL, Saggar S, de Klein CAM, Ettema P, Rys G. 2016a. </w:t>
      </w:r>
      <w:hyperlink r:id="rId198" w:history="1">
        <w:r w:rsidRPr="0028033B">
          <w:rPr>
            <w:rStyle w:val="Hyperlink"/>
            <w:rFonts w:cs="Calibri"/>
            <w:szCs w:val="20"/>
          </w:rPr>
          <w:t>Refining the New Zealand nitrous oxide emission factor for urea fertiliser and farm dairy effluent.</w:t>
        </w:r>
      </w:hyperlink>
      <w:r w:rsidRPr="0028033B">
        <w:rPr>
          <w:rFonts w:cs="Calibri"/>
          <w:szCs w:val="20"/>
        </w:rPr>
        <w:t xml:space="preserve"> </w:t>
      </w:r>
      <w:r w:rsidRPr="0028033B">
        <w:rPr>
          <w:rFonts w:cs="Calibri"/>
          <w:i/>
          <w:szCs w:val="20"/>
        </w:rPr>
        <w:t>Agriculture Ecosystems &amp; Environment</w:t>
      </w:r>
      <w:r w:rsidRPr="0028033B">
        <w:rPr>
          <w:rFonts w:cs="Calibri"/>
          <w:szCs w:val="20"/>
        </w:rPr>
        <w:t xml:space="preserve"> 222: 133–137.</w:t>
      </w:r>
    </w:p>
    <w:p w14:paraId="033A599D" w14:textId="77777777" w:rsidR="00E46639" w:rsidRPr="0028033B" w:rsidRDefault="00E46639" w:rsidP="00E46639">
      <w:pPr>
        <w:pStyle w:val="References"/>
        <w:rPr>
          <w:rFonts w:cs="Calibri"/>
          <w:szCs w:val="20"/>
        </w:rPr>
      </w:pPr>
      <w:r w:rsidRPr="0028033B">
        <w:rPr>
          <w:rFonts w:cs="Calibri"/>
          <w:szCs w:val="20"/>
        </w:rPr>
        <w:t xml:space="preserve">van der Weerden T, Luo J, Cox N, Di HJ, Podolyan A, Phillips RL, Saggar S, de Klein CA, Ettema P, Rys G. 2016b. </w:t>
      </w:r>
      <w:hyperlink r:id="rId199" w:history="1">
        <w:r w:rsidRPr="0028033B">
          <w:rPr>
            <w:rStyle w:val="Hyperlink"/>
            <w:rFonts w:cs="Calibri"/>
            <w:szCs w:val="20"/>
          </w:rPr>
          <w:t xml:space="preserve">Nitrous oxide emissions from urea fertiliser and effluent with and without inhibitors applied to pasture. </w:t>
        </w:r>
      </w:hyperlink>
      <w:r w:rsidRPr="0028033B">
        <w:rPr>
          <w:rFonts w:cs="Calibri"/>
          <w:i/>
          <w:szCs w:val="20"/>
        </w:rPr>
        <w:t>Agriculture Ecosystems &amp; Environment</w:t>
      </w:r>
      <w:r w:rsidRPr="0028033B">
        <w:rPr>
          <w:rFonts w:cs="Calibri"/>
          <w:szCs w:val="20"/>
        </w:rPr>
        <w:t xml:space="preserve"> 219: 58–70.</w:t>
      </w:r>
    </w:p>
    <w:p w14:paraId="708C9B59" w14:textId="77777777" w:rsidR="00E46639" w:rsidRPr="0028033B" w:rsidRDefault="00E46639" w:rsidP="00E46639">
      <w:pPr>
        <w:pStyle w:val="References"/>
        <w:rPr>
          <w:rFonts w:cs="Calibri"/>
          <w:szCs w:val="20"/>
        </w:rPr>
      </w:pPr>
      <w:r w:rsidRPr="0028033B">
        <w:rPr>
          <w:rFonts w:cs="Calibri"/>
          <w:szCs w:val="20"/>
        </w:rPr>
        <w:t xml:space="preserve">van der Weerden T, Noble A, Giltrap D, Luo S, Saggar S. 2019. </w:t>
      </w:r>
      <w:hyperlink r:id="rId200" w:history="1">
        <w:r w:rsidRPr="0028033B">
          <w:rPr>
            <w:rStyle w:val="Hyperlink"/>
            <w:rFonts w:cs="Calibri"/>
            <w:i/>
            <w:szCs w:val="20"/>
          </w:rPr>
          <w:t>Meta-analysis of nitrous oxide emission factors for excreta deposited onto pasture: Final report</w:t>
        </w:r>
      </w:hyperlink>
      <w:r w:rsidRPr="0028033B">
        <w:rPr>
          <w:rFonts w:cs="Calibri"/>
          <w:szCs w:val="20"/>
        </w:rPr>
        <w:t>. Report prepared for the Ministry for Primary Industries by AgResearch in 2019. Wellington: Ministry for Primary Industries.</w:t>
      </w:r>
    </w:p>
    <w:p w14:paraId="5D3091D4" w14:textId="77777777" w:rsidR="00E46639" w:rsidRPr="0028033B" w:rsidRDefault="00E46639" w:rsidP="00E46639">
      <w:pPr>
        <w:pStyle w:val="References"/>
        <w:rPr>
          <w:rFonts w:cs="Calibri"/>
          <w:szCs w:val="20"/>
        </w:rPr>
      </w:pPr>
      <w:r w:rsidRPr="0028033B">
        <w:rPr>
          <w:rFonts w:cs="Calibri"/>
          <w:szCs w:val="20"/>
        </w:rPr>
        <w:t xml:space="preserve">van der Weerden TJ, Luo J, de Klein CA, Hoogendoorn CJ, Littlejohn RP, Rys GJ. 2011. </w:t>
      </w:r>
      <w:hyperlink r:id="rId201" w:history="1">
        <w:r w:rsidRPr="0028033B">
          <w:rPr>
            <w:rStyle w:val="Hyperlink"/>
            <w:rFonts w:cs="Calibri"/>
            <w:szCs w:val="20"/>
          </w:rPr>
          <w:t>Disaggregating nitrous oxide emission factors for ruminant urine and dung deposited onto pastoral soils</w:t>
        </w:r>
      </w:hyperlink>
      <w:r w:rsidRPr="0028033B">
        <w:rPr>
          <w:rFonts w:cs="Calibri"/>
          <w:szCs w:val="20"/>
        </w:rPr>
        <w:t xml:space="preserve">. </w:t>
      </w:r>
      <w:r w:rsidRPr="0028033B">
        <w:rPr>
          <w:rFonts w:cs="Calibri"/>
          <w:i/>
          <w:szCs w:val="20"/>
        </w:rPr>
        <w:t>Agriculture Ecosystems &amp; Environment</w:t>
      </w:r>
      <w:r w:rsidRPr="0028033B">
        <w:rPr>
          <w:rFonts w:cs="Calibri"/>
          <w:szCs w:val="20"/>
        </w:rPr>
        <w:t xml:space="preserve"> 141(3–4): 426–436.</w:t>
      </w:r>
    </w:p>
    <w:p w14:paraId="2B576389" w14:textId="77777777" w:rsidR="00E46639" w:rsidRPr="0028033B" w:rsidRDefault="00E46639" w:rsidP="00E46639">
      <w:pPr>
        <w:pStyle w:val="References"/>
        <w:rPr>
          <w:rFonts w:cs="Calibri"/>
          <w:szCs w:val="20"/>
        </w:rPr>
      </w:pPr>
      <w:r w:rsidRPr="0028033B">
        <w:rPr>
          <w:rFonts w:cs="Calibri"/>
          <w:szCs w:val="20"/>
        </w:rPr>
        <w:t xml:space="preserve">van der Weerden TJ, Noble AN, Luo J, de Klein CAM, Saggar S, Giltrap D, Gibbs J, Rys G. 2020. </w:t>
      </w:r>
      <w:hyperlink r:id="rId202" w:history="1">
        <w:r w:rsidRPr="0028033B">
          <w:rPr>
            <w:rStyle w:val="Hyperlink"/>
            <w:rFonts w:cs="Calibri"/>
            <w:szCs w:val="20"/>
          </w:rPr>
          <w:t>Meta-analysis of New Zealand’s nitrous oxide emission factors for ruminant excreta supports disaggregation based on excreta form, livestock type and slope class.</w:t>
        </w:r>
      </w:hyperlink>
      <w:r w:rsidRPr="0028033B">
        <w:rPr>
          <w:rFonts w:cs="Calibri"/>
          <w:szCs w:val="20"/>
        </w:rPr>
        <w:t xml:space="preserve"> </w:t>
      </w:r>
      <w:r w:rsidRPr="0028033B">
        <w:rPr>
          <w:rFonts w:cs="Calibri"/>
          <w:i/>
          <w:szCs w:val="20"/>
        </w:rPr>
        <w:t>Science of The Total Environment</w:t>
      </w:r>
      <w:r w:rsidRPr="0028033B">
        <w:rPr>
          <w:rFonts w:cs="Calibri"/>
          <w:szCs w:val="20"/>
        </w:rPr>
        <w:t xml:space="preserve"> 732. </w:t>
      </w:r>
    </w:p>
    <w:p w14:paraId="4EAF8046" w14:textId="295ACBA0" w:rsidR="00E46639" w:rsidRPr="0028033B" w:rsidRDefault="00E46639" w:rsidP="000F2293">
      <w:pPr>
        <w:pStyle w:val="References"/>
        <w:rPr>
          <w:color w:val="000000" w:themeColor="text1"/>
        </w:rPr>
      </w:pPr>
      <w:r w:rsidRPr="0028033B">
        <w:rPr>
          <w:color w:val="000000" w:themeColor="text1"/>
        </w:rPr>
        <w:t xml:space="preserve">van der Weerden T, Rutherford A. 2024. </w:t>
      </w:r>
      <w:hyperlink r:id="rId203" w:history="1">
        <w:r w:rsidRPr="0028033B">
          <w:rPr>
            <w:rStyle w:val="Hyperlink"/>
            <w:rFonts w:cs="Calibri"/>
            <w:szCs w:val="20"/>
          </w:rPr>
          <w:t>Nitrous oxide emissions from non-manure organic amendments to soils</w:t>
        </w:r>
      </w:hyperlink>
      <w:r w:rsidRPr="0028033B">
        <w:rPr>
          <w:color w:val="000000" w:themeColor="text1"/>
        </w:rPr>
        <w:t xml:space="preserve">. Report prepared for the Ministry for Primary Industries by AgResearch. Wellington: Ministry for Primary Industries. </w:t>
      </w:r>
    </w:p>
    <w:p w14:paraId="3DD8CEF4" w14:textId="77777777" w:rsidR="00E46639" w:rsidRPr="0028033B" w:rsidRDefault="00E46639" w:rsidP="00E46639">
      <w:pPr>
        <w:pStyle w:val="References"/>
        <w:rPr>
          <w:rFonts w:cs="Calibri"/>
          <w:color w:val="000000" w:themeColor="text1"/>
          <w:szCs w:val="20"/>
        </w:rPr>
      </w:pPr>
      <w:bookmarkStart w:id="1582" w:name="_Hlk187670883"/>
      <w:r w:rsidRPr="0028033B">
        <w:rPr>
          <w:rFonts w:cs="Calibri"/>
          <w:color w:val="000000" w:themeColor="text1"/>
          <w:szCs w:val="20"/>
        </w:rPr>
        <w:t xml:space="preserve">Waghorn G, Molano G, Cavanagh A. 2003a. </w:t>
      </w:r>
      <w:hyperlink r:id="rId204" w:history="1">
        <w:r w:rsidRPr="0028033B">
          <w:rPr>
            <w:rFonts w:cs="Calibri"/>
            <w:i/>
            <w:color w:val="32809C" w:themeColor="accent2"/>
            <w:szCs w:val="20"/>
          </w:rPr>
          <w:t>An estimate of whole herd methane production from cows at the Lincoln University dairy farm in October 2003</w:t>
        </w:r>
      </w:hyperlink>
      <w:r w:rsidRPr="0028033B">
        <w:rPr>
          <w:rFonts w:cs="Calibri"/>
          <w:i/>
          <w:color w:val="32809C" w:themeColor="accent2"/>
          <w:szCs w:val="20"/>
        </w:rPr>
        <w:t>.</w:t>
      </w:r>
      <w:r w:rsidRPr="0028033B">
        <w:rPr>
          <w:rFonts w:cs="Calibri"/>
          <w:color w:val="000000" w:themeColor="text1"/>
          <w:szCs w:val="20"/>
        </w:rPr>
        <w:t xml:space="preserve"> Prepared for the Ministry for Primary Industries. Wellington: Ministry for Primary Industries. </w:t>
      </w:r>
    </w:p>
    <w:p w14:paraId="41883218" w14:textId="77777777" w:rsidR="00E46639" w:rsidRPr="0028033B" w:rsidRDefault="00E46639" w:rsidP="00E46639">
      <w:pPr>
        <w:pStyle w:val="References"/>
        <w:rPr>
          <w:rFonts w:cs="Calibri"/>
          <w:color w:val="000000" w:themeColor="text1"/>
          <w:szCs w:val="20"/>
        </w:rPr>
      </w:pPr>
      <w:r w:rsidRPr="0028033B">
        <w:rPr>
          <w:rFonts w:cs="Calibri"/>
          <w:color w:val="000000" w:themeColor="text1"/>
          <w:szCs w:val="20"/>
        </w:rPr>
        <w:t>Waghorn G, Molano G, Lassey K. 2003b.</w:t>
      </w:r>
      <w:r w:rsidRPr="0028033B">
        <w:rPr>
          <w:rFonts w:cs="Calibri"/>
          <w:color w:val="000000" w:themeColor="text1"/>
          <w:sz w:val="22"/>
        </w:rPr>
        <w:t xml:space="preserve"> </w:t>
      </w:r>
      <w:hyperlink r:id="rId205" w:history="1">
        <w:r w:rsidRPr="0028033B">
          <w:rPr>
            <w:rFonts w:cs="Calibri"/>
            <w:i/>
            <w:color w:val="32809C" w:themeColor="accent2"/>
            <w:szCs w:val="20"/>
          </w:rPr>
          <w:t>Estimates of whole herd methane production from cows at the Lincoln University dairy farm in January and March 2002</w:t>
        </w:r>
      </w:hyperlink>
      <w:r w:rsidRPr="0028033B">
        <w:rPr>
          <w:rFonts w:cs="Calibri"/>
          <w:i/>
          <w:color w:val="32809C" w:themeColor="accent2"/>
          <w:szCs w:val="20"/>
        </w:rPr>
        <w:t>.</w:t>
      </w:r>
      <w:r w:rsidRPr="0028033B">
        <w:rPr>
          <w:rFonts w:cs="Calibri"/>
          <w:color w:val="32809C" w:themeColor="accent2"/>
          <w:szCs w:val="20"/>
        </w:rPr>
        <w:t xml:space="preserve"> </w:t>
      </w:r>
      <w:r w:rsidRPr="0028033B">
        <w:rPr>
          <w:rFonts w:cs="Calibri"/>
          <w:color w:val="000000" w:themeColor="text1"/>
          <w:szCs w:val="20"/>
        </w:rPr>
        <w:t>Prepared for the Ministry for Primary Industries. Wellington: Ministry for Primary Industries.</w:t>
      </w:r>
    </w:p>
    <w:bookmarkEnd w:id="1582"/>
    <w:p w14:paraId="20F69930" w14:textId="77777777" w:rsidR="00E46639" w:rsidRPr="0028033B" w:rsidRDefault="00E46639" w:rsidP="00E46639">
      <w:pPr>
        <w:pStyle w:val="References"/>
        <w:rPr>
          <w:rFonts w:cs="Calibri"/>
          <w:szCs w:val="20"/>
        </w:rPr>
      </w:pPr>
      <w:r w:rsidRPr="0028033B">
        <w:rPr>
          <w:rFonts w:cs="Calibri"/>
          <w:szCs w:val="20"/>
        </w:rPr>
        <w:t xml:space="preserve">Welten B, Mercer G, Smith C, Sprosen M, Ledgard S. 2021. </w:t>
      </w:r>
      <w:hyperlink r:id="rId206" w:history="1">
        <w:r w:rsidRPr="0028033B">
          <w:rPr>
            <w:rStyle w:val="Hyperlink"/>
            <w:rFonts w:cs="Calibri"/>
            <w:i/>
            <w:szCs w:val="20"/>
          </w:rPr>
          <w:t>Refining estimates of nitrogen leaching for the New Zealand agricultural greenhouse gas inventory</w:t>
        </w:r>
      </w:hyperlink>
      <w:r w:rsidRPr="0028033B">
        <w:rPr>
          <w:rFonts w:cs="Calibri"/>
          <w:szCs w:val="20"/>
        </w:rPr>
        <w:t xml:space="preserve">. Report prepared for the Ministry for Primary Industries. </w:t>
      </w:r>
    </w:p>
    <w:p w14:paraId="2F5F9171" w14:textId="77777777" w:rsidR="00E46639" w:rsidRPr="0028033B" w:rsidRDefault="00E46639" w:rsidP="00E46639">
      <w:pPr>
        <w:pStyle w:val="References"/>
        <w:rPr>
          <w:rFonts w:cs="Calibri"/>
          <w:szCs w:val="20"/>
        </w:rPr>
      </w:pPr>
      <w:r w:rsidRPr="0028033B">
        <w:rPr>
          <w:rFonts w:cs="Calibri"/>
          <w:szCs w:val="20"/>
        </w:rPr>
        <w:t xml:space="preserve">Wheeler DM, Ledgard SF, de Klein CAM, Monaghan PL, Carey PL, McDowell RW, Johns KL. 2003. </w:t>
      </w:r>
      <w:hyperlink r:id="rId207" w:history="1">
        <w:r w:rsidRPr="0028033B">
          <w:rPr>
            <w:rStyle w:val="Hyperlink"/>
            <w:rFonts w:cs="Calibri"/>
            <w:szCs w:val="20"/>
          </w:rPr>
          <w:t>OVERSEER® Nutrient budgets – moving towards on-farm resource accounting.</w:t>
        </w:r>
      </w:hyperlink>
      <w:r w:rsidRPr="0028033B">
        <w:rPr>
          <w:rFonts w:cs="Calibri"/>
          <w:szCs w:val="20"/>
        </w:rPr>
        <w:t xml:space="preserve"> In: </w:t>
      </w:r>
      <w:r w:rsidRPr="0028033B">
        <w:rPr>
          <w:rFonts w:cs="Calibri"/>
          <w:i/>
          <w:szCs w:val="20"/>
        </w:rPr>
        <w:t>Proceedings of the New Zealand Grassland Association 2003</w:t>
      </w:r>
      <w:r w:rsidRPr="0028033B">
        <w:rPr>
          <w:rFonts w:cs="Calibri"/>
          <w:szCs w:val="20"/>
        </w:rPr>
        <w:t>. Palmerston North: New Zealand Grassland Association Inc.</w:t>
      </w:r>
    </w:p>
    <w:p w14:paraId="005B6F13" w14:textId="77777777" w:rsidR="00E46639" w:rsidRPr="0028033B" w:rsidRDefault="00E46639" w:rsidP="00E46639">
      <w:pPr>
        <w:pStyle w:val="References"/>
        <w:rPr>
          <w:rFonts w:cs="Calibri"/>
          <w:szCs w:val="20"/>
        </w:rPr>
      </w:pPr>
    </w:p>
    <w:bookmarkEnd w:id="1577"/>
    <w:p w14:paraId="1C3AF8D7" w14:textId="77777777" w:rsidR="00FE6F37" w:rsidRDefault="00FE6F37" w:rsidP="00E46639">
      <w:pPr>
        <w:pStyle w:val="References"/>
        <w:rPr>
          <w:rFonts w:cs="Calibri"/>
          <w:szCs w:val="20"/>
        </w:rPr>
        <w:sectPr w:rsidR="00FE6F37" w:rsidSect="00E46639">
          <w:footerReference w:type="even" r:id="rId208"/>
          <w:footerReference w:type="default" r:id="rId209"/>
          <w:headerReference w:type="first" r:id="rId210"/>
          <w:footerReference w:type="first" r:id="rId211"/>
          <w:pgSz w:w="11907" w:h="16840" w:code="9"/>
          <w:pgMar w:top="1418" w:right="1701" w:bottom="1418" w:left="1701" w:header="567" w:footer="567" w:gutter="0"/>
          <w:cols w:space="720"/>
          <w:docGrid w:linePitch="299"/>
        </w:sectPr>
      </w:pPr>
    </w:p>
    <w:p w14:paraId="5A8F9C17" w14:textId="77777777" w:rsidR="00447423" w:rsidRPr="002A3CBE" w:rsidRDefault="00447423" w:rsidP="00447423">
      <w:pPr>
        <w:pStyle w:val="Heading1"/>
      </w:pPr>
      <w:bookmarkStart w:id="1583" w:name="_Toc391024696"/>
      <w:bookmarkStart w:id="1584" w:name="_Toc414531313"/>
      <w:bookmarkStart w:id="1585" w:name="_Toc474335455"/>
      <w:bookmarkStart w:id="1586" w:name="_Toc481751395"/>
      <w:bookmarkStart w:id="1587" w:name="_Toc522013947"/>
      <w:bookmarkStart w:id="1588" w:name="_Toc5269372"/>
      <w:bookmarkStart w:id="1589" w:name="_Toc36224412"/>
      <w:bookmarkStart w:id="1590" w:name="_Toc131591247"/>
      <w:bookmarkStart w:id="1591" w:name="_Toc158980293"/>
      <w:bookmarkStart w:id="1592" w:name="_Toc164154201"/>
      <w:bookmarkStart w:id="1593" w:name="_Toc194312026"/>
      <w:bookmarkStart w:id="1594" w:name="_Toc226460780"/>
      <w:r w:rsidRPr="002A3CBE">
        <w:t>Chapter 6: Land Use, Land-Use Change and Forestry (LULUCF)</w:t>
      </w:r>
      <w:bookmarkEnd w:id="1583"/>
      <w:bookmarkEnd w:id="1584"/>
      <w:bookmarkEnd w:id="1585"/>
      <w:bookmarkEnd w:id="1586"/>
      <w:bookmarkEnd w:id="1587"/>
      <w:bookmarkEnd w:id="1588"/>
      <w:bookmarkEnd w:id="1589"/>
      <w:bookmarkEnd w:id="1590"/>
      <w:bookmarkEnd w:id="1591"/>
      <w:bookmarkEnd w:id="1592"/>
      <w:bookmarkEnd w:id="1593"/>
      <w:bookmarkEnd w:id="1594"/>
    </w:p>
    <w:p w14:paraId="526406F4" w14:textId="77777777" w:rsidR="00447423" w:rsidRPr="002A3CBE" w:rsidRDefault="00447423" w:rsidP="00447423">
      <w:pPr>
        <w:pStyle w:val="BodyText"/>
      </w:pPr>
      <w:bookmarkStart w:id="1595" w:name="_Toc391024697"/>
      <w:bookmarkStart w:id="1596" w:name="_Toc414531314"/>
      <w:bookmarkStart w:id="1597" w:name="_Toc474335456"/>
      <w:bookmarkStart w:id="1598" w:name="_Toc481751396"/>
      <w:bookmarkStart w:id="1599" w:name="_Toc522013948"/>
      <w:bookmarkStart w:id="1600" w:name="_Toc5269373"/>
      <w:bookmarkStart w:id="1601" w:name="_Toc36224413"/>
      <w:bookmarkStart w:id="1602" w:name="_Toc131591248"/>
      <w:bookmarkStart w:id="1603" w:name="_Toc158980294"/>
      <w:bookmarkStart w:id="1604" w:name="_Toc164154202"/>
      <w:r w:rsidRPr="002A3CBE">
        <w:t xml:space="preserve">This chapter reports New Zealand’s emissions and removals from the Land Use, Land-Use Change and Forestry (LULUCF) sector using the methods and guidance described in the 2006 </w:t>
      </w:r>
      <w:r w:rsidRPr="002A3CBE">
        <w:rPr>
          <w:spacing w:val="-2"/>
        </w:rPr>
        <w:t>Intergovernmenta</w:t>
      </w:r>
      <w:r w:rsidRPr="002A3CBE">
        <w:t>l Panel on Climate Change (IPCC) Guidelines for National Greenhouse Gas Inventories (2006 IPCC Guidelines) (volume 4, Agriculture, Forestry and Other Land Use) (IPCC, 2006a). For information on how New Zealand accounts for the contribution of the LULUCF sector towards its Nationally Determined Contribution under the Paris Agreement, see volume 2, annex 9.</w:t>
      </w:r>
    </w:p>
    <w:p w14:paraId="626BAE5B" w14:textId="77777777" w:rsidR="00447423" w:rsidRPr="002A3CBE" w:rsidRDefault="00447423" w:rsidP="00447423">
      <w:pPr>
        <w:pStyle w:val="Heading2"/>
      </w:pPr>
      <w:bookmarkStart w:id="1605" w:name="_Toc194312027"/>
      <w:bookmarkStart w:id="1606" w:name="_Toc226460781"/>
      <w:r w:rsidRPr="002A3CBE">
        <w:t>6.1</w:t>
      </w:r>
      <w:r w:rsidRPr="002A3CBE">
        <w:tab/>
        <w:t>Sector overview</w:t>
      </w:r>
      <w:bookmarkEnd w:id="1595"/>
      <w:bookmarkEnd w:id="1596"/>
      <w:bookmarkEnd w:id="1597"/>
      <w:bookmarkEnd w:id="1598"/>
      <w:bookmarkEnd w:id="1599"/>
      <w:bookmarkEnd w:id="1600"/>
      <w:bookmarkEnd w:id="1601"/>
      <w:bookmarkEnd w:id="1602"/>
      <w:bookmarkEnd w:id="1603"/>
      <w:bookmarkEnd w:id="1604"/>
      <w:bookmarkEnd w:id="1605"/>
      <w:bookmarkEnd w:id="1606"/>
    </w:p>
    <w:p w14:paraId="580CD297" w14:textId="77777777" w:rsidR="00447423" w:rsidRPr="002A3CBE" w:rsidRDefault="00447423" w:rsidP="00447423">
      <w:pPr>
        <w:pStyle w:val="Heading3"/>
        <w:spacing w:before="240"/>
      </w:pPr>
      <w:r w:rsidRPr="002A3CBE">
        <w:t>Net emissions summary</w:t>
      </w:r>
    </w:p>
    <w:p w14:paraId="7EF7DC85" w14:textId="77777777" w:rsidR="00447423" w:rsidRPr="002A3CBE" w:rsidRDefault="00447423" w:rsidP="00447423">
      <w:pPr>
        <w:pStyle w:val="Heading4"/>
        <w:spacing w:before="180" w:line="259" w:lineRule="auto"/>
      </w:pPr>
      <w:r w:rsidRPr="002A3CBE">
        <w:t>2024</w:t>
      </w:r>
    </w:p>
    <w:p w14:paraId="05D3C937" w14:textId="77777777" w:rsidR="00447423" w:rsidRPr="002A3CBE" w:rsidRDefault="00447423" w:rsidP="00447423">
      <w:pPr>
        <w:pStyle w:val="BodyText"/>
      </w:pPr>
      <w:r>
        <w:t>In 2024, net emissions from the LULUCF sector were -20,977.5 kilotonnes carbon dioxide equivalent (kt CO</w:t>
      </w:r>
      <w:r w:rsidRPr="74E1ADDC">
        <w:rPr>
          <w:vertAlign w:val="subscript"/>
        </w:rPr>
        <w:t>2</w:t>
      </w:r>
      <w:r>
        <w:t>e) or -27.7 percent of New Zealand’s gross greenhouse gas emissions. This comprises net emissions of -21,217.6 kt CO</w:t>
      </w:r>
      <w:r w:rsidRPr="74E1ADDC">
        <w:rPr>
          <w:vertAlign w:val="subscript"/>
        </w:rPr>
        <w:t>2</w:t>
      </w:r>
      <w:r>
        <w:t>, and emissions of 49.2 kt CO</w:t>
      </w:r>
      <w:r w:rsidRPr="74E1ADDC">
        <w:rPr>
          <w:vertAlign w:val="subscript"/>
        </w:rPr>
        <w:t>2</w:t>
      </w:r>
      <w:r>
        <w:t>e of methane (CH</w:t>
      </w:r>
      <w:r w:rsidRPr="74E1ADDC">
        <w:rPr>
          <w:vertAlign w:val="subscript"/>
        </w:rPr>
        <w:t>4</w:t>
      </w:r>
      <w:r>
        <w:t>) and 191.0 kt CO</w:t>
      </w:r>
      <w:r w:rsidRPr="74E1ADDC">
        <w:rPr>
          <w:vertAlign w:val="subscript"/>
        </w:rPr>
        <w:t>2</w:t>
      </w:r>
      <w:r>
        <w:t>e of nitrous oxide (N</w:t>
      </w:r>
      <w:r w:rsidRPr="74E1ADDC">
        <w:rPr>
          <w:vertAlign w:val="subscript"/>
        </w:rPr>
        <w:t>2</w:t>
      </w:r>
      <w:r>
        <w:t xml:space="preserve">O). The category contributing the most to both removals and emissions is </w:t>
      </w:r>
      <w:r w:rsidRPr="74E1ADDC">
        <w:rPr>
          <w:i/>
          <w:iCs/>
        </w:rPr>
        <w:t>Forest land remaining forest land</w:t>
      </w:r>
      <w:r>
        <w:t xml:space="preserve">. This is because large removals result from the growth of all forests on this land while there are also large emissions from the sustainable harvest of New Zealand’s plantation forests. </w:t>
      </w:r>
    </w:p>
    <w:p w14:paraId="28DAEFDD" w14:textId="77777777" w:rsidR="00447423" w:rsidRPr="002A3CBE" w:rsidRDefault="00447423" w:rsidP="00447423">
      <w:pPr>
        <w:pStyle w:val="Heading4"/>
      </w:pPr>
      <w:r w:rsidRPr="002A3CBE">
        <w:t>2023–2024</w:t>
      </w:r>
    </w:p>
    <w:p w14:paraId="7230C38E" w14:textId="77777777" w:rsidR="00447423" w:rsidRPr="002A3CBE" w:rsidRDefault="00447423" w:rsidP="00447423">
      <w:pPr>
        <w:pStyle w:val="BodyText"/>
      </w:pPr>
      <w:r w:rsidRPr="002A3CBE">
        <w:t>Net emissions from the LULUCF sector decreased between 2023 and 2024 by 1,011.0 kt CO</w:t>
      </w:r>
      <w:r w:rsidRPr="002A3CBE">
        <w:rPr>
          <w:vertAlign w:val="subscript"/>
        </w:rPr>
        <w:t>2</w:t>
      </w:r>
      <w:r w:rsidRPr="002A3CBE">
        <w:t>e</w:t>
      </w:r>
      <w:r w:rsidRPr="002A3CBE" w:rsidDel="00643905">
        <w:t xml:space="preserve"> </w:t>
      </w:r>
      <w:r w:rsidRPr="002A3CBE">
        <w:t xml:space="preserve">(5.1 percent) (table 6.1.1). The largest difference was seen in the </w:t>
      </w:r>
      <w:r w:rsidRPr="002A3CBE">
        <w:rPr>
          <w:i/>
          <w:iCs/>
        </w:rPr>
        <w:t>Grassland</w:t>
      </w:r>
      <w:r w:rsidRPr="002A3CBE">
        <w:t xml:space="preserve"> category, with a decrease in emissions of 827.1 kt CO</w:t>
      </w:r>
      <w:r w:rsidRPr="002A3CBE">
        <w:rPr>
          <w:vertAlign w:val="subscript"/>
        </w:rPr>
        <w:t>2</w:t>
      </w:r>
      <w:r w:rsidRPr="002A3CBE">
        <w:t>e, driven by less deforestation in 2024 compared with 2023 (figure 6.4.4).</w:t>
      </w:r>
      <w:r w:rsidRPr="002A3CBE">
        <w:rPr>
          <w:rFonts w:asciiTheme="minorHAnsi" w:hAnsiTheme="minorHAnsi"/>
        </w:rPr>
        <w:t xml:space="preserve"> Forest land had the second-largest difference, with a decrease in net emissions of 701.2 kt CO2e, mainly driven by increasing removals in Land converted to Forest land due to increasing growth rates in forests planted from 2019 onwards. </w:t>
      </w:r>
      <w:r w:rsidRPr="002A3CBE">
        <w:t xml:space="preserve">The </w:t>
      </w:r>
      <w:r w:rsidRPr="002A3CBE">
        <w:rPr>
          <w:i/>
          <w:iCs/>
        </w:rPr>
        <w:t xml:space="preserve">Harvested wood products </w:t>
      </w:r>
      <w:r w:rsidRPr="002A3CBE">
        <w:t>category had the third-largest difference, with an increase in emissions of 480.5 kt CO</w:t>
      </w:r>
      <w:r w:rsidRPr="002A3CBE">
        <w:rPr>
          <w:vertAlign w:val="subscript"/>
        </w:rPr>
        <w:t>2</w:t>
      </w:r>
      <w:r w:rsidRPr="002A3CBE">
        <w:t>e due to losses from decay being greater than inputs due to harvest stabilising between 2023 and 2024.</w:t>
      </w:r>
    </w:p>
    <w:p w14:paraId="53CB095C" w14:textId="77777777" w:rsidR="00447423" w:rsidRPr="002A3CBE" w:rsidRDefault="00447423" w:rsidP="00447423">
      <w:pPr>
        <w:pStyle w:val="Table"/>
        <w:spacing w:before="100"/>
      </w:pPr>
      <w:bookmarkStart w:id="1607" w:name="_Toc222837893"/>
      <w:bookmarkStart w:id="1608" w:name="_Toc226669039"/>
      <w:r w:rsidRPr="002A3CBE">
        <w:t xml:space="preserve">Table 6.1.1 </w:t>
      </w:r>
      <w:r w:rsidRPr="002A3CBE">
        <w:tab/>
        <w:t>New Zealand’s greenhouse gas net emissions for the LULUCF sector by land use category in 2023 and 2024</w:t>
      </w:r>
      <w:bookmarkEnd w:id="1607"/>
      <w:bookmarkEnd w:id="1608"/>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835"/>
        <w:gridCol w:w="888"/>
        <w:gridCol w:w="955"/>
        <w:gridCol w:w="2233"/>
        <w:gridCol w:w="1594"/>
      </w:tblGrid>
      <w:tr w:rsidR="00447423" w:rsidRPr="002A3CBE" w14:paraId="76B1E623" w14:textId="77777777" w:rsidTr="00F16E23">
        <w:trPr>
          <w:tblHeader/>
        </w:trPr>
        <w:tc>
          <w:tcPr>
            <w:tcW w:w="2835" w:type="dxa"/>
            <w:tcBorders>
              <w:bottom w:val="nil"/>
            </w:tcBorders>
            <w:shd w:val="clear" w:color="auto" w:fill="1B556B"/>
            <w:tcMar>
              <w:top w:w="0" w:type="dxa"/>
              <w:left w:w="85" w:type="dxa"/>
              <w:bottom w:w="0" w:type="dxa"/>
              <w:right w:w="85" w:type="dxa"/>
            </w:tcMar>
            <w:vAlign w:val="center"/>
          </w:tcPr>
          <w:p w14:paraId="2F32E21E" w14:textId="77777777" w:rsidR="00447423" w:rsidRPr="002A3CBE" w:rsidRDefault="00447423" w:rsidP="00F16E23">
            <w:pPr>
              <w:pStyle w:val="TableTextBold"/>
              <w:spacing w:before="20" w:after="20"/>
              <w:rPr>
                <w:rFonts w:eastAsia="Calibri" w:cs="Calibri"/>
                <w:noProof w:val="0"/>
                <w:color w:val="FFFFFF" w:themeColor="background1"/>
                <w:szCs w:val="16"/>
              </w:rPr>
            </w:pPr>
          </w:p>
        </w:tc>
        <w:tc>
          <w:tcPr>
            <w:tcW w:w="1843" w:type="dxa"/>
            <w:gridSpan w:val="2"/>
            <w:tcBorders>
              <w:bottom w:val="nil"/>
            </w:tcBorders>
            <w:shd w:val="clear" w:color="auto" w:fill="1B556B"/>
            <w:tcMar>
              <w:top w:w="0" w:type="dxa"/>
              <w:left w:w="85" w:type="dxa"/>
              <w:bottom w:w="0" w:type="dxa"/>
              <w:right w:w="85" w:type="dxa"/>
            </w:tcMar>
            <w:vAlign w:val="center"/>
          </w:tcPr>
          <w:p w14:paraId="4E196E9E" w14:textId="77777777" w:rsidR="00447423" w:rsidRPr="002A3CBE" w:rsidRDefault="00447423" w:rsidP="00F16E23">
            <w:pPr>
              <w:pStyle w:val="TableTextBold"/>
              <w:spacing w:before="20" w:after="20"/>
              <w:ind w:left="341"/>
              <w:jc w:val="center"/>
              <w:rPr>
                <w:rFonts w:eastAsia="Calibri" w:cs="Calibri"/>
                <w:noProof w:val="0"/>
                <w:color w:val="FFFFFF" w:themeColor="background1"/>
                <w:szCs w:val="16"/>
              </w:rPr>
            </w:pPr>
            <w:r w:rsidRPr="002A3CBE">
              <w:rPr>
                <w:rFonts w:eastAsia="Calibri" w:cs="Calibri"/>
                <w:noProof w:val="0"/>
                <w:color w:val="FFFFFF" w:themeColor="background1"/>
                <w:szCs w:val="16"/>
              </w:rPr>
              <w:t>(kt CO₂e)</w:t>
            </w:r>
          </w:p>
        </w:tc>
        <w:tc>
          <w:tcPr>
            <w:tcW w:w="2233" w:type="dxa"/>
            <w:tcBorders>
              <w:bottom w:val="nil"/>
            </w:tcBorders>
            <w:shd w:val="clear" w:color="auto" w:fill="1B556B"/>
            <w:tcMar>
              <w:top w:w="0" w:type="dxa"/>
              <w:left w:w="85" w:type="dxa"/>
              <w:bottom w:w="0" w:type="dxa"/>
              <w:right w:w="85" w:type="dxa"/>
            </w:tcMar>
            <w:vAlign w:val="center"/>
          </w:tcPr>
          <w:p w14:paraId="40B57572" w14:textId="77777777" w:rsidR="00447423" w:rsidRPr="002A3CBE" w:rsidRDefault="00447423" w:rsidP="00F16E23">
            <w:pPr>
              <w:pStyle w:val="TableTextBold"/>
              <w:spacing w:before="20" w:after="20"/>
              <w:jc w:val="right"/>
              <w:rPr>
                <w:rFonts w:eastAsia="Calibri" w:cs="Calibri"/>
                <w:noProof w:val="0"/>
                <w:color w:val="FFFFFF" w:themeColor="background1"/>
                <w:szCs w:val="16"/>
              </w:rPr>
            </w:pPr>
            <w:r w:rsidRPr="002A3CBE">
              <w:rPr>
                <w:rFonts w:eastAsia="Calibri" w:cs="Calibri"/>
                <w:noProof w:val="0"/>
                <w:color w:val="FFFFFF" w:themeColor="background1"/>
                <w:szCs w:val="16"/>
              </w:rPr>
              <w:t>Difference (kt CO₂e)</w:t>
            </w:r>
          </w:p>
        </w:tc>
        <w:tc>
          <w:tcPr>
            <w:tcW w:w="1594" w:type="dxa"/>
            <w:tcBorders>
              <w:bottom w:val="nil"/>
            </w:tcBorders>
            <w:shd w:val="clear" w:color="auto" w:fill="1B556B"/>
            <w:tcMar>
              <w:top w:w="0" w:type="dxa"/>
              <w:left w:w="85" w:type="dxa"/>
              <w:bottom w:w="0" w:type="dxa"/>
              <w:right w:w="85" w:type="dxa"/>
            </w:tcMar>
            <w:vAlign w:val="center"/>
          </w:tcPr>
          <w:p w14:paraId="0C676C49" w14:textId="77777777" w:rsidR="00447423" w:rsidRPr="002A3CBE" w:rsidRDefault="00447423" w:rsidP="00F16E23">
            <w:pPr>
              <w:pStyle w:val="TableTextBold"/>
              <w:spacing w:before="20" w:after="20"/>
              <w:jc w:val="right"/>
              <w:rPr>
                <w:rFonts w:eastAsia="Calibri" w:cs="Calibri"/>
                <w:noProof w:val="0"/>
                <w:color w:val="FFFFFF" w:themeColor="background1"/>
                <w:szCs w:val="16"/>
              </w:rPr>
            </w:pPr>
            <w:r w:rsidRPr="002A3CBE">
              <w:rPr>
                <w:rFonts w:eastAsia="Calibri" w:cs="Calibri"/>
                <w:noProof w:val="0"/>
                <w:color w:val="FFFFFF" w:themeColor="background1"/>
                <w:szCs w:val="16"/>
              </w:rPr>
              <w:t>Change (%)</w:t>
            </w:r>
          </w:p>
        </w:tc>
      </w:tr>
      <w:tr w:rsidR="00447423" w:rsidRPr="002A3CBE" w14:paraId="4951A4D0" w14:textId="77777777" w:rsidTr="00F16E23">
        <w:trPr>
          <w:tblHeader/>
        </w:trPr>
        <w:tc>
          <w:tcPr>
            <w:tcW w:w="2835" w:type="dxa"/>
            <w:tcBorders>
              <w:top w:val="nil"/>
            </w:tcBorders>
            <w:shd w:val="clear" w:color="auto" w:fill="1B556B"/>
            <w:tcMar>
              <w:top w:w="0" w:type="dxa"/>
              <w:left w:w="85" w:type="dxa"/>
              <w:bottom w:w="0" w:type="dxa"/>
              <w:right w:w="85" w:type="dxa"/>
            </w:tcMar>
            <w:vAlign w:val="center"/>
          </w:tcPr>
          <w:p w14:paraId="21D6C0B5" w14:textId="77777777" w:rsidR="00447423" w:rsidRPr="002A3CBE" w:rsidRDefault="00447423" w:rsidP="00F16E23">
            <w:pPr>
              <w:pStyle w:val="TableTextBold"/>
              <w:spacing w:before="20" w:after="20"/>
              <w:rPr>
                <w:rFonts w:eastAsia="Calibri" w:cs="Calibri"/>
                <w:noProof w:val="0"/>
                <w:color w:val="FFFFFF" w:themeColor="background1"/>
                <w:szCs w:val="16"/>
              </w:rPr>
            </w:pPr>
            <w:r w:rsidRPr="002A3CBE">
              <w:rPr>
                <w:rFonts w:eastAsia="Calibri" w:cs="Calibri"/>
                <w:noProof w:val="0"/>
                <w:color w:val="FFFFFF" w:themeColor="background1"/>
                <w:szCs w:val="16"/>
              </w:rPr>
              <w:t>Category</w:t>
            </w:r>
          </w:p>
        </w:tc>
        <w:tc>
          <w:tcPr>
            <w:tcW w:w="888" w:type="dxa"/>
            <w:tcBorders>
              <w:top w:val="nil"/>
            </w:tcBorders>
            <w:shd w:val="clear" w:color="auto" w:fill="1B556B"/>
            <w:tcMar>
              <w:top w:w="0" w:type="dxa"/>
              <w:left w:w="85" w:type="dxa"/>
              <w:bottom w:w="0" w:type="dxa"/>
              <w:right w:w="85" w:type="dxa"/>
            </w:tcMar>
            <w:vAlign w:val="center"/>
          </w:tcPr>
          <w:p w14:paraId="46AB9A1F" w14:textId="77777777" w:rsidR="00447423" w:rsidRPr="002A3CBE" w:rsidRDefault="00447423" w:rsidP="00F16E23">
            <w:pPr>
              <w:pStyle w:val="TableTextBold"/>
              <w:spacing w:before="20" w:after="20"/>
              <w:jc w:val="right"/>
              <w:rPr>
                <w:rFonts w:eastAsia="Calibri" w:cs="Calibri"/>
                <w:noProof w:val="0"/>
                <w:color w:val="FFFFFF" w:themeColor="background1"/>
                <w:szCs w:val="16"/>
              </w:rPr>
            </w:pPr>
            <w:r w:rsidRPr="002A3CBE">
              <w:rPr>
                <w:rFonts w:eastAsia="Calibri" w:cs="Calibri"/>
                <w:noProof w:val="0"/>
                <w:color w:val="FFFFFF" w:themeColor="background1"/>
                <w:szCs w:val="16"/>
              </w:rPr>
              <w:t>2023</w:t>
            </w:r>
          </w:p>
        </w:tc>
        <w:tc>
          <w:tcPr>
            <w:tcW w:w="955" w:type="dxa"/>
            <w:tcBorders>
              <w:top w:val="nil"/>
            </w:tcBorders>
            <w:shd w:val="clear" w:color="auto" w:fill="1B556B"/>
            <w:tcMar>
              <w:top w:w="0" w:type="dxa"/>
              <w:left w:w="85" w:type="dxa"/>
              <w:bottom w:w="0" w:type="dxa"/>
              <w:right w:w="85" w:type="dxa"/>
            </w:tcMar>
            <w:vAlign w:val="center"/>
          </w:tcPr>
          <w:p w14:paraId="40448435" w14:textId="77777777" w:rsidR="00447423" w:rsidRPr="002A3CBE" w:rsidRDefault="00447423" w:rsidP="00F16E23">
            <w:pPr>
              <w:pStyle w:val="TableTextBold"/>
              <w:spacing w:before="20" w:after="20"/>
              <w:jc w:val="right"/>
              <w:rPr>
                <w:rFonts w:eastAsia="Calibri" w:cs="Calibri"/>
                <w:noProof w:val="0"/>
                <w:color w:val="FFFFFF" w:themeColor="background1"/>
                <w:szCs w:val="16"/>
              </w:rPr>
            </w:pPr>
            <w:r w:rsidRPr="002A3CBE">
              <w:rPr>
                <w:rFonts w:eastAsia="Calibri" w:cs="Calibri"/>
                <w:noProof w:val="0"/>
                <w:color w:val="FFFFFF" w:themeColor="background1"/>
                <w:szCs w:val="16"/>
              </w:rPr>
              <w:t>2024</w:t>
            </w:r>
          </w:p>
        </w:tc>
        <w:tc>
          <w:tcPr>
            <w:tcW w:w="2233" w:type="dxa"/>
            <w:tcBorders>
              <w:top w:val="nil"/>
            </w:tcBorders>
            <w:shd w:val="clear" w:color="auto" w:fill="1B556B"/>
            <w:tcMar>
              <w:top w:w="0" w:type="dxa"/>
              <w:left w:w="85" w:type="dxa"/>
              <w:bottom w:w="0" w:type="dxa"/>
              <w:right w:w="85" w:type="dxa"/>
            </w:tcMar>
            <w:vAlign w:val="center"/>
          </w:tcPr>
          <w:p w14:paraId="1F90C324" w14:textId="77777777" w:rsidR="00447423" w:rsidRPr="002A3CBE" w:rsidRDefault="00447423" w:rsidP="00F16E23">
            <w:pPr>
              <w:pStyle w:val="TableTextBold"/>
              <w:spacing w:before="20" w:after="20"/>
              <w:jc w:val="right"/>
              <w:rPr>
                <w:rFonts w:eastAsia="Calibri" w:cs="Calibri"/>
                <w:noProof w:val="0"/>
                <w:color w:val="FFFFFF" w:themeColor="background1"/>
                <w:szCs w:val="16"/>
              </w:rPr>
            </w:pPr>
            <w:r w:rsidRPr="002A3CBE">
              <w:rPr>
                <w:rFonts w:eastAsia="Calibri" w:cs="Calibri"/>
                <w:noProof w:val="0"/>
                <w:color w:val="FFFFFF" w:themeColor="background1"/>
                <w:szCs w:val="16"/>
              </w:rPr>
              <w:t>2023–2024</w:t>
            </w:r>
          </w:p>
        </w:tc>
        <w:tc>
          <w:tcPr>
            <w:tcW w:w="1594" w:type="dxa"/>
            <w:tcBorders>
              <w:top w:val="nil"/>
            </w:tcBorders>
            <w:shd w:val="clear" w:color="auto" w:fill="1B556B"/>
            <w:tcMar>
              <w:top w:w="0" w:type="dxa"/>
              <w:left w:w="85" w:type="dxa"/>
              <w:bottom w:w="0" w:type="dxa"/>
              <w:right w:w="85" w:type="dxa"/>
            </w:tcMar>
            <w:vAlign w:val="center"/>
          </w:tcPr>
          <w:p w14:paraId="0F9B0669" w14:textId="77777777" w:rsidR="00447423" w:rsidRPr="002A3CBE" w:rsidRDefault="00447423" w:rsidP="00F16E23">
            <w:pPr>
              <w:pStyle w:val="TableTextBold"/>
              <w:spacing w:before="20" w:after="20"/>
              <w:jc w:val="right"/>
              <w:rPr>
                <w:rFonts w:eastAsia="Calibri" w:cs="Calibri"/>
                <w:noProof w:val="0"/>
                <w:color w:val="FFFFFF" w:themeColor="background1"/>
                <w:szCs w:val="16"/>
              </w:rPr>
            </w:pPr>
            <w:r w:rsidRPr="002A3CBE">
              <w:rPr>
                <w:rFonts w:eastAsia="Calibri" w:cs="Calibri"/>
                <w:noProof w:val="0"/>
                <w:color w:val="FFFFFF" w:themeColor="background1"/>
                <w:szCs w:val="16"/>
              </w:rPr>
              <w:t>2023–2024</w:t>
            </w:r>
          </w:p>
        </w:tc>
      </w:tr>
      <w:tr w:rsidR="00447423" w:rsidRPr="002A3CBE" w14:paraId="643FAB99" w14:textId="77777777" w:rsidTr="00F16E23">
        <w:tc>
          <w:tcPr>
            <w:tcW w:w="2835" w:type="dxa"/>
            <w:shd w:val="clear" w:color="auto" w:fill="FFFFFF"/>
            <w:tcMar>
              <w:top w:w="0" w:type="dxa"/>
              <w:left w:w="85" w:type="dxa"/>
              <w:bottom w:w="0" w:type="dxa"/>
              <w:right w:w="85" w:type="dxa"/>
            </w:tcMar>
            <w:vAlign w:val="center"/>
          </w:tcPr>
          <w:p w14:paraId="5C2CA204" w14:textId="77777777" w:rsidR="00447423" w:rsidRPr="002A3CBE" w:rsidRDefault="00447423" w:rsidP="00F16E23">
            <w:pPr>
              <w:pStyle w:val="TableText"/>
              <w:spacing w:before="20" w:after="20"/>
              <w:rPr>
                <w:rFonts w:eastAsia="Calibri" w:cs="Calibri"/>
                <w:szCs w:val="16"/>
              </w:rPr>
            </w:pPr>
            <w:r w:rsidRPr="002A3CBE">
              <w:rPr>
                <w:rFonts w:eastAsia="Calibri" w:cs="Calibri"/>
                <w:szCs w:val="16"/>
              </w:rPr>
              <w:t>Forest land</w:t>
            </w:r>
          </w:p>
        </w:tc>
        <w:tc>
          <w:tcPr>
            <w:tcW w:w="888" w:type="dxa"/>
            <w:shd w:val="clear" w:color="auto" w:fill="FFFFFF"/>
            <w:tcMar>
              <w:top w:w="0" w:type="dxa"/>
              <w:left w:w="85" w:type="dxa"/>
              <w:bottom w:w="0" w:type="dxa"/>
              <w:right w:w="85" w:type="dxa"/>
            </w:tcMar>
            <w:vAlign w:val="center"/>
          </w:tcPr>
          <w:p w14:paraId="37506738"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-17,910.3</w:t>
            </w:r>
          </w:p>
        </w:tc>
        <w:tc>
          <w:tcPr>
            <w:tcW w:w="955" w:type="dxa"/>
            <w:shd w:val="clear" w:color="auto" w:fill="FFFFFF"/>
            <w:tcMar>
              <w:top w:w="0" w:type="dxa"/>
              <w:left w:w="85" w:type="dxa"/>
              <w:bottom w:w="0" w:type="dxa"/>
              <w:right w:w="85" w:type="dxa"/>
            </w:tcMar>
            <w:vAlign w:val="center"/>
          </w:tcPr>
          <w:p w14:paraId="22949B2C"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-18,611.5</w:t>
            </w:r>
          </w:p>
        </w:tc>
        <w:tc>
          <w:tcPr>
            <w:tcW w:w="2233" w:type="dxa"/>
            <w:shd w:val="clear" w:color="auto" w:fill="FFFFFF"/>
            <w:tcMar>
              <w:top w:w="0" w:type="dxa"/>
              <w:left w:w="85" w:type="dxa"/>
              <w:bottom w:w="0" w:type="dxa"/>
              <w:right w:w="85" w:type="dxa"/>
            </w:tcMar>
            <w:vAlign w:val="center"/>
          </w:tcPr>
          <w:p w14:paraId="3A11B9EE"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-701.2</w:t>
            </w:r>
          </w:p>
        </w:tc>
        <w:tc>
          <w:tcPr>
            <w:tcW w:w="1594" w:type="dxa"/>
            <w:shd w:val="clear" w:color="auto" w:fill="FFFFFF"/>
            <w:tcMar>
              <w:top w:w="0" w:type="dxa"/>
              <w:left w:w="85" w:type="dxa"/>
              <w:bottom w:w="0" w:type="dxa"/>
              <w:right w:w="85" w:type="dxa"/>
            </w:tcMar>
            <w:vAlign w:val="center"/>
          </w:tcPr>
          <w:p w14:paraId="5516BC39"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-3.9</w:t>
            </w:r>
          </w:p>
        </w:tc>
      </w:tr>
      <w:tr w:rsidR="00447423" w:rsidRPr="002A3CBE" w14:paraId="462BCBED" w14:textId="77777777" w:rsidTr="00F16E23">
        <w:tc>
          <w:tcPr>
            <w:tcW w:w="2835" w:type="dxa"/>
            <w:shd w:val="clear" w:color="auto" w:fill="FFFFFF"/>
            <w:tcMar>
              <w:top w:w="0" w:type="dxa"/>
              <w:left w:w="85" w:type="dxa"/>
              <w:bottom w:w="0" w:type="dxa"/>
              <w:right w:w="85" w:type="dxa"/>
            </w:tcMar>
            <w:vAlign w:val="center"/>
          </w:tcPr>
          <w:p w14:paraId="79A70510" w14:textId="77777777" w:rsidR="00447423" w:rsidRPr="002A3CBE" w:rsidRDefault="00447423" w:rsidP="00F16E23">
            <w:pPr>
              <w:pStyle w:val="TableText"/>
              <w:spacing w:before="20" w:after="20"/>
              <w:rPr>
                <w:rFonts w:eastAsia="Calibri" w:cs="Calibri"/>
                <w:szCs w:val="16"/>
              </w:rPr>
            </w:pPr>
            <w:r w:rsidRPr="002A3CBE">
              <w:rPr>
                <w:rFonts w:eastAsia="Calibri" w:cs="Calibri"/>
                <w:szCs w:val="16"/>
              </w:rPr>
              <w:t>Cropland</w:t>
            </w:r>
          </w:p>
        </w:tc>
        <w:tc>
          <w:tcPr>
            <w:tcW w:w="888" w:type="dxa"/>
            <w:shd w:val="clear" w:color="auto" w:fill="FFFFFF"/>
            <w:tcMar>
              <w:top w:w="0" w:type="dxa"/>
              <w:left w:w="85" w:type="dxa"/>
              <w:bottom w:w="0" w:type="dxa"/>
              <w:right w:w="85" w:type="dxa"/>
            </w:tcMar>
            <w:vAlign w:val="center"/>
          </w:tcPr>
          <w:p w14:paraId="177A3A04"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539.4</w:t>
            </w:r>
          </w:p>
        </w:tc>
        <w:tc>
          <w:tcPr>
            <w:tcW w:w="955" w:type="dxa"/>
            <w:shd w:val="clear" w:color="auto" w:fill="FFFFFF"/>
            <w:tcMar>
              <w:top w:w="0" w:type="dxa"/>
              <w:left w:w="85" w:type="dxa"/>
              <w:bottom w:w="0" w:type="dxa"/>
              <w:right w:w="85" w:type="dxa"/>
            </w:tcMar>
            <w:vAlign w:val="center"/>
          </w:tcPr>
          <w:p w14:paraId="47106107"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580.0</w:t>
            </w:r>
          </w:p>
        </w:tc>
        <w:tc>
          <w:tcPr>
            <w:tcW w:w="2233" w:type="dxa"/>
            <w:shd w:val="clear" w:color="auto" w:fill="FFFFFF"/>
            <w:tcMar>
              <w:top w:w="0" w:type="dxa"/>
              <w:left w:w="85" w:type="dxa"/>
              <w:bottom w:w="0" w:type="dxa"/>
              <w:right w:w="85" w:type="dxa"/>
            </w:tcMar>
            <w:vAlign w:val="center"/>
          </w:tcPr>
          <w:p w14:paraId="5A671E83"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40.6</w:t>
            </w:r>
          </w:p>
        </w:tc>
        <w:tc>
          <w:tcPr>
            <w:tcW w:w="1594" w:type="dxa"/>
            <w:shd w:val="clear" w:color="auto" w:fill="FFFFFF"/>
            <w:tcMar>
              <w:top w:w="0" w:type="dxa"/>
              <w:left w:w="85" w:type="dxa"/>
              <w:bottom w:w="0" w:type="dxa"/>
              <w:right w:w="85" w:type="dxa"/>
            </w:tcMar>
            <w:vAlign w:val="center"/>
          </w:tcPr>
          <w:p w14:paraId="410A60AE"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7.5</w:t>
            </w:r>
          </w:p>
        </w:tc>
      </w:tr>
      <w:tr w:rsidR="00447423" w:rsidRPr="002A3CBE" w14:paraId="4A3E5C33" w14:textId="77777777" w:rsidTr="00F16E23">
        <w:tc>
          <w:tcPr>
            <w:tcW w:w="2835" w:type="dxa"/>
            <w:shd w:val="clear" w:color="auto" w:fill="FFFFFF"/>
            <w:tcMar>
              <w:top w:w="0" w:type="dxa"/>
              <w:left w:w="85" w:type="dxa"/>
              <w:bottom w:w="0" w:type="dxa"/>
              <w:right w:w="85" w:type="dxa"/>
            </w:tcMar>
            <w:vAlign w:val="center"/>
          </w:tcPr>
          <w:p w14:paraId="193B1F56" w14:textId="77777777" w:rsidR="00447423" w:rsidRPr="002A3CBE" w:rsidRDefault="00447423" w:rsidP="00F16E23">
            <w:pPr>
              <w:pStyle w:val="TableText"/>
              <w:spacing w:before="20" w:after="20"/>
              <w:rPr>
                <w:rFonts w:eastAsia="Calibri" w:cs="Calibri"/>
                <w:szCs w:val="16"/>
              </w:rPr>
            </w:pPr>
            <w:r w:rsidRPr="002A3CBE">
              <w:rPr>
                <w:rFonts w:eastAsia="Calibri" w:cs="Calibri"/>
                <w:szCs w:val="16"/>
              </w:rPr>
              <w:t>Grassland</w:t>
            </w:r>
          </w:p>
        </w:tc>
        <w:tc>
          <w:tcPr>
            <w:tcW w:w="888" w:type="dxa"/>
            <w:shd w:val="clear" w:color="auto" w:fill="FFFFFF"/>
            <w:tcMar>
              <w:top w:w="0" w:type="dxa"/>
              <w:left w:w="85" w:type="dxa"/>
              <w:bottom w:w="0" w:type="dxa"/>
              <w:right w:w="85" w:type="dxa"/>
            </w:tcMar>
            <w:vAlign w:val="center"/>
          </w:tcPr>
          <w:p w14:paraId="0C2DF0B9"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3,014.0</w:t>
            </w:r>
          </w:p>
        </w:tc>
        <w:tc>
          <w:tcPr>
            <w:tcW w:w="955" w:type="dxa"/>
            <w:shd w:val="clear" w:color="auto" w:fill="FFFFFF"/>
            <w:tcMar>
              <w:top w:w="0" w:type="dxa"/>
              <w:left w:w="85" w:type="dxa"/>
              <w:bottom w:w="0" w:type="dxa"/>
              <w:right w:w="85" w:type="dxa"/>
            </w:tcMar>
            <w:vAlign w:val="center"/>
          </w:tcPr>
          <w:p w14:paraId="5978B1D0"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2,186.9</w:t>
            </w:r>
          </w:p>
        </w:tc>
        <w:tc>
          <w:tcPr>
            <w:tcW w:w="2233" w:type="dxa"/>
            <w:shd w:val="clear" w:color="auto" w:fill="FFFFFF"/>
            <w:tcMar>
              <w:top w:w="0" w:type="dxa"/>
              <w:left w:w="85" w:type="dxa"/>
              <w:bottom w:w="0" w:type="dxa"/>
              <w:right w:w="85" w:type="dxa"/>
            </w:tcMar>
            <w:vAlign w:val="center"/>
          </w:tcPr>
          <w:p w14:paraId="064A52C8"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-827.1</w:t>
            </w:r>
          </w:p>
        </w:tc>
        <w:tc>
          <w:tcPr>
            <w:tcW w:w="1594" w:type="dxa"/>
            <w:shd w:val="clear" w:color="auto" w:fill="FFFFFF"/>
            <w:tcMar>
              <w:top w:w="0" w:type="dxa"/>
              <w:left w:w="85" w:type="dxa"/>
              <w:bottom w:w="0" w:type="dxa"/>
              <w:right w:w="85" w:type="dxa"/>
            </w:tcMar>
            <w:vAlign w:val="center"/>
          </w:tcPr>
          <w:p w14:paraId="6C566A71"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-27.4</w:t>
            </w:r>
          </w:p>
        </w:tc>
      </w:tr>
      <w:tr w:rsidR="00447423" w:rsidRPr="002A3CBE" w14:paraId="3001EBE5" w14:textId="77777777" w:rsidTr="00F16E23">
        <w:tc>
          <w:tcPr>
            <w:tcW w:w="2835" w:type="dxa"/>
            <w:shd w:val="clear" w:color="auto" w:fill="FFFFFF"/>
            <w:tcMar>
              <w:top w:w="0" w:type="dxa"/>
              <w:left w:w="85" w:type="dxa"/>
              <w:bottom w:w="0" w:type="dxa"/>
              <w:right w:w="85" w:type="dxa"/>
            </w:tcMar>
            <w:vAlign w:val="center"/>
          </w:tcPr>
          <w:p w14:paraId="5563E0C6" w14:textId="77777777" w:rsidR="00447423" w:rsidRPr="002A3CBE" w:rsidRDefault="00447423" w:rsidP="00F16E23">
            <w:pPr>
              <w:pStyle w:val="TableText"/>
              <w:spacing w:before="20" w:after="20"/>
              <w:rPr>
                <w:rFonts w:eastAsia="Calibri" w:cs="Calibri"/>
                <w:szCs w:val="16"/>
              </w:rPr>
            </w:pPr>
            <w:r w:rsidRPr="002A3CBE">
              <w:rPr>
                <w:rFonts w:eastAsia="Calibri" w:cs="Calibri"/>
                <w:szCs w:val="16"/>
              </w:rPr>
              <w:t>Wetlands</w:t>
            </w:r>
          </w:p>
        </w:tc>
        <w:tc>
          <w:tcPr>
            <w:tcW w:w="888" w:type="dxa"/>
            <w:shd w:val="clear" w:color="auto" w:fill="FFFFFF"/>
            <w:tcMar>
              <w:top w:w="0" w:type="dxa"/>
              <w:left w:w="85" w:type="dxa"/>
              <w:bottom w:w="0" w:type="dxa"/>
              <w:right w:w="85" w:type="dxa"/>
            </w:tcMar>
            <w:vAlign w:val="center"/>
          </w:tcPr>
          <w:p w14:paraId="73B2FA5F"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6.4</w:t>
            </w:r>
          </w:p>
        </w:tc>
        <w:tc>
          <w:tcPr>
            <w:tcW w:w="955" w:type="dxa"/>
            <w:shd w:val="clear" w:color="auto" w:fill="FFFFFF"/>
            <w:tcMar>
              <w:top w:w="0" w:type="dxa"/>
              <w:left w:w="85" w:type="dxa"/>
              <w:bottom w:w="0" w:type="dxa"/>
              <w:right w:w="85" w:type="dxa"/>
            </w:tcMar>
            <w:vAlign w:val="center"/>
          </w:tcPr>
          <w:p w14:paraId="343C04AD"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5.8</w:t>
            </w:r>
          </w:p>
        </w:tc>
        <w:tc>
          <w:tcPr>
            <w:tcW w:w="2233" w:type="dxa"/>
            <w:shd w:val="clear" w:color="auto" w:fill="FFFFFF"/>
            <w:tcMar>
              <w:top w:w="0" w:type="dxa"/>
              <w:left w:w="85" w:type="dxa"/>
              <w:bottom w:w="0" w:type="dxa"/>
              <w:right w:w="85" w:type="dxa"/>
            </w:tcMar>
            <w:vAlign w:val="center"/>
          </w:tcPr>
          <w:p w14:paraId="7D8C258E"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-0.6</w:t>
            </w:r>
          </w:p>
        </w:tc>
        <w:tc>
          <w:tcPr>
            <w:tcW w:w="1594" w:type="dxa"/>
            <w:shd w:val="clear" w:color="auto" w:fill="FFFFFF"/>
            <w:tcMar>
              <w:top w:w="0" w:type="dxa"/>
              <w:left w:w="85" w:type="dxa"/>
              <w:bottom w:w="0" w:type="dxa"/>
              <w:right w:w="85" w:type="dxa"/>
            </w:tcMar>
            <w:vAlign w:val="center"/>
          </w:tcPr>
          <w:p w14:paraId="0489A815"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-9.0</w:t>
            </w:r>
          </w:p>
        </w:tc>
      </w:tr>
      <w:tr w:rsidR="00447423" w:rsidRPr="002A3CBE" w14:paraId="159B0A21" w14:textId="77777777" w:rsidTr="00F16E23">
        <w:tc>
          <w:tcPr>
            <w:tcW w:w="2835" w:type="dxa"/>
            <w:shd w:val="clear" w:color="auto" w:fill="FFFFFF"/>
            <w:tcMar>
              <w:top w:w="0" w:type="dxa"/>
              <w:left w:w="85" w:type="dxa"/>
              <w:bottom w:w="0" w:type="dxa"/>
              <w:right w:w="85" w:type="dxa"/>
            </w:tcMar>
            <w:vAlign w:val="center"/>
          </w:tcPr>
          <w:p w14:paraId="54C387DB" w14:textId="77777777" w:rsidR="00447423" w:rsidRPr="002A3CBE" w:rsidRDefault="00447423" w:rsidP="00F16E23">
            <w:pPr>
              <w:pStyle w:val="TableText"/>
              <w:spacing w:before="20" w:after="20"/>
              <w:rPr>
                <w:rFonts w:eastAsia="Calibri" w:cs="Calibri"/>
                <w:szCs w:val="16"/>
              </w:rPr>
            </w:pPr>
            <w:r w:rsidRPr="002A3CBE">
              <w:rPr>
                <w:rFonts w:eastAsia="Calibri" w:cs="Calibri"/>
                <w:szCs w:val="16"/>
              </w:rPr>
              <w:t>Settlements</w:t>
            </w:r>
          </w:p>
        </w:tc>
        <w:tc>
          <w:tcPr>
            <w:tcW w:w="888" w:type="dxa"/>
            <w:shd w:val="clear" w:color="auto" w:fill="FFFFFF"/>
            <w:tcMar>
              <w:top w:w="0" w:type="dxa"/>
              <w:left w:w="85" w:type="dxa"/>
              <w:bottom w:w="0" w:type="dxa"/>
              <w:right w:w="85" w:type="dxa"/>
            </w:tcMar>
            <w:vAlign w:val="center"/>
          </w:tcPr>
          <w:p w14:paraId="6C3FCA53"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115.8</w:t>
            </w:r>
          </w:p>
        </w:tc>
        <w:tc>
          <w:tcPr>
            <w:tcW w:w="955" w:type="dxa"/>
            <w:shd w:val="clear" w:color="auto" w:fill="FFFFFF"/>
            <w:tcMar>
              <w:top w:w="0" w:type="dxa"/>
              <w:left w:w="85" w:type="dxa"/>
              <w:bottom w:w="0" w:type="dxa"/>
              <w:right w:w="85" w:type="dxa"/>
            </w:tcMar>
            <w:vAlign w:val="center"/>
          </w:tcPr>
          <w:p w14:paraId="6641D653"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115.2</w:t>
            </w:r>
          </w:p>
        </w:tc>
        <w:tc>
          <w:tcPr>
            <w:tcW w:w="2233" w:type="dxa"/>
            <w:shd w:val="clear" w:color="auto" w:fill="FFFFFF"/>
            <w:tcMar>
              <w:top w:w="0" w:type="dxa"/>
              <w:left w:w="85" w:type="dxa"/>
              <w:bottom w:w="0" w:type="dxa"/>
              <w:right w:w="85" w:type="dxa"/>
            </w:tcMar>
            <w:vAlign w:val="center"/>
          </w:tcPr>
          <w:p w14:paraId="06C817E1"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-0.7</w:t>
            </w:r>
          </w:p>
        </w:tc>
        <w:tc>
          <w:tcPr>
            <w:tcW w:w="1594" w:type="dxa"/>
            <w:shd w:val="clear" w:color="auto" w:fill="FFFFFF"/>
            <w:tcMar>
              <w:top w:w="0" w:type="dxa"/>
              <w:left w:w="85" w:type="dxa"/>
              <w:bottom w:w="0" w:type="dxa"/>
              <w:right w:w="85" w:type="dxa"/>
            </w:tcMar>
            <w:vAlign w:val="center"/>
          </w:tcPr>
          <w:p w14:paraId="4548D187"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-0.6</w:t>
            </w:r>
          </w:p>
        </w:tc>
      </w:tr>
      <w:tr w:rsidR="00447423" w:rsidRPr="002A3CBE" w14:paraId="20680246" w14:textId="77777777" w:rsidTr="00F16E23">
        <w:tc>
          <w:tcPr>
            <w:tcW w:w="2835" w:type="dxa"/>
            <w:shd w:val="clear" w:color="auto" w:fill="FFFFFF"/>
            <w:tcMar>
              <w:top w:w="0" w:type="dxa"/>
              <w:left w:w="85" w:type="dxa"/>
              <w:bottom w:w="0" w:type="dxa"/>
              <w:right w:w="85" w:type="dxa"/>
            </w:tcMar>
            <w:vAlign w:val="center"/>
          </w:tcPr>
          <w:p w14:paraId="77E03E8B" w14:textId="77777777" w:rsidR="00447423" w:rsidRPr="002A3CBE" w:rsidRDefault="00447423" w:rsidP="00F16E23">
            <w:pPr>
              <w:pStyle w:val="TableText"/>
              <w:spacing w:before="20" w:after="20"/>
              <w:rPr>
                <w:rFonts w:eastAsia="Calibri" w:cs="Calibri"/>
                <w:szCs w:val="16"/>
              </w:rPr>
            </w:pPr>
            <w:r w:rsidRPr="002A3CBE">
              <w:rPr>
                <w:rFonts w:eastAsia="Calibri" w:cs="Calibri"/>
                <w:szCs w:val="16"/>
              </w:rPr>
              <w:t>Other land</w:t>
            </w:r>
          </w:p>
        </w:tc>
        <w:tc>
          <w:tcPr>
            <w:tcW w:w="888" w:type="dxa"/>
            <w:shd w:val="clear" w:color="auto" w:fill="FFFFFF"/>
            <w:tcMar>
              <w:top w:w="0" w:type="dxa"/>
              <w:left w:w="85" w:type="dxa"/>
              <w:bottom w:w="0" w:type="dxa"/>
              <w:right w:w="85" w:type="dxa"/>
            </w:tcMar>
            <w:vAlign w:val="center"/>
          </w:tcPr>
          <w:p w14:paraId="70CC614A"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76.9</w:t>
            </w:r>
          </w:p>
        </w:tc>
        <w:tc>
          <w:tcPr>
            <w:tcW w:w="955" w:type="dxa"/>
            <w:shd w:val="clear" w:color="auto" w:fill="FFFFFF"/>
            <w:tcMar>
              <w:top w:w="0" w:type="dxa"/>
              <w:left w:w="85" w:type="dxa"/>
              <w:bottom w:w="0" w:type="dxa"/>
              <w:right w:w="85" w:type="dxa"/>
            </w:tcMar>
            <w:vAlign w:val="center"/>
          </w:tcPr>
          <w:p w14:paraId="6BBD4B64"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74.3</w:t>
            </w:r>
          </w:p>
        </w:tc>
        <w:tc>
          <w:tcPr>
            <w:tcW w:w="2233" w:type="dxa"/>
            <w:shd w:val="clear" w:color="auto" w:fill="FFFFFF"/>
            <w:tcMar>
              <w:top w:w="0" w:type="dxa"/>
              <w:left w:w="85" w:type="dxa"/>
              <w:bottom w:w="0" w:type="dxa"/>
              <w:right w:w="85" w:type="dxa"/>
            </w:tcMar>
            <w:vAlign w:val="center"/>
          </w:tcPr>
          <w:p w14:paraId="580230BD"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-2.6</w:t>
            </w:r>
          </w:p>
        </w:tc>
        <w:tc>
          <w:tcPr>
            <w:tcW w:w="1594" w:type="dxa"/>
            <w:shd w:val="clear" w:color="auto" w:fill="FFFFFF"/>
            <w:tcMar>
              <w:top w:w="0" w:type="dxa"/>
              <w:left w:w="85" w:type="dxa"/>
              <w:bottom w:w="0" w:type="dxa"/>
              <w:right w:w="85" w:type="dxa"/>
            </w:tcMar>
            <w:vAlign w:val="center"/>
          </w:tcPr>
          <w:p w14:paraId="6714B4C6"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-3.4</w:t>
            </w:r>
          </w:p>
        </w:tc>
      </w:tr>
      <w:tr w:rsidR="00447423" w:rsidRPr="002A3CBE" w14:paraId="6AC35F10" w14:textId="77777777" w:rsidTr="00F16E23">
        <w:tc>
          <w:tcPr>
            <w:tcW w:w="2835" w:type="dxa"/>
            <w:shd w:val="clear" w:color="auto" w:fill="FFFFFF"/>
            <w:tcMar>
              <w:top w:w="0" w:type="dxa"/>
              <w:left w:w="85" w:type="dxa"/>
              <w:bottom w:w="0" w:type="dxa"/>
              <w:right w:w="85" w:type="dxa"/>
            </w:tcMar>
            <w:vAlign w:val="center"/>
          </w:tcPr>
          <w:p w14:paraId="512BF1F3" w14:textId="77777777" w:rsidR="00447423" w:rsidRPr="002A3CBE" w:rsidRDefault="00447423" w:rsidP="00F16E23">
            <w:pPr>
              <w:pStyle w:val="TableText"/>
              <w:spacing w:before="20" w:after="20"/>
              <w:rPr>
                <w:rFonts w:eastAsia="Calibri" w:cs="Calibri"/>
                <w:szCs w:val="16"/>
              </w:rPr>
            </w:pPr>
            <w:r w:rsidRPr="002A3CBE">
              <w:rPr>
                <w:rFonts w:eastAsia="Calibri" w:cs="Calibri"/>
                <w:szCs w:val="16"/>
              </w:rPr>
              <w:t>Harvested wood products</w:t>
            </w:r>
          </w:p>
        </w:tc>
        <w:tc>
          <w:tcPr>
            <w:tcW w:w="888" w:type="dxa"/>
            <w:shd w:val="clear" w:color="auto" w:fill="FFFFFF"/>
            <w:tcMar>
              <w:top w:w="0" w:type="dxa"/>
              <w:left w:w="85" w:type="dxa"/>
              <w:bottom w:w="0" w:type="dxa"/>
              <w:right w:w="85" w:type="dxa"/>
            </w:tcMar>
            <w:vAlign w:val="center"/>
          </w:tcPr>
          <w:p w14:paraId="1DEDCBCD"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-5,808.7</w:t>
            </w:r>
          </w:p>
        </w:tc>
        <w:tc>
          <w:tcPr>
            <w:tcW w:w="955" w:type="dxa"/>
            <w:shd w:val="clear" w:color="auto" w:fill="FFFFFF"/>
            <w:tcMar>
              <w:top w:w="0" w:type="dxa"/>
              <w:left w:w="85" w:type="dxa"/>
              <w:bottom w:w="0" w:type="dxa"/>
              <w:right w:w="85" w:type="dxa"/>
            </w:tcMar>
            <w:vAlign w:val="center"/>
          </w:tcPr>
          <w:p w14:paraId="46B026C1"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-5,328.1</w:t>
            </w:r>
          </w:p>
        </w:tc>
        <w:tc>
          <w:tcPr>
            <w:tcW w:w="2233" w:type="dxa"/>
            <w:shd w:val="clear" w:color="auto" w:fill="FFFFFF"/>
            <w:tcMar>
              <w:top w:w="0" w:type="dxa"/>
              <w:left w:w="85" w:type="dxa"/>
              <w:bottom w:w="0" w:type="dxa"/>
              <w:right w:w="85" w:type="dxa"/>
            </w:tcMar>
            <w:vAlign w:val="center"/>
          </w:tcPr>
          <w:p w14:paraId="6ECB8530"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480.5</w:t>
            </w:r>
          </w:p>
        </w:tc>
        <w:tc>
          <w:tcPr>
            <w:tcW w:w="1594" w:type="dxa"/>
            <w:shd w:val="clear" w:color="auto" w:fill="FFFFFF"/>
            <w:tcMar>
              <w:top w:w="0" w:type="dxa"/>
              <w:left w:w="85" w:type="dxa"/>
              <w:bottom w:w="0" w:type="dxa"/>
              <w:right w:w="85" w:type="dxa"/>
            </w:tcMar>
            <w:vAlign w:val="center"/>
          </w:tcPr>
          <w:p w14:paraId="10C182CB" w14:textId="77777777" w:rsidR="00447423" w:rsidRPr="002A3CBE" w:rsidRDefault="00447423" w:rsidP="00F16E23">
            <w:pPr>
              <w:pStyle w:val="TableText"/>
              <w:spacing w:before="20" w:after="20"/>
              <w:jc w:val="right"/>
              <w:rPr>
                <w:rFonts w:eastAsia="Calibri" w:cs="Calibri"/>
                <w:szCs w:val="16"/>
              </w:rPr>
            </w:pPr>
            <w:r w:rsidRPr="002A3CBE">
              <w:rPr>
                <w:rFonts w:eastAsia="Calibri" w:cs="Calibri"/>
                <w:szCs w:val="16"/>
              </w:rPr>
              <w:t>8.3</w:t>
            </w:r>
          </w:p>
        </w:tc>
      </w:tr>
      <w:tr w:rsidR="00447423" w:rsidRPr="002A3CBE" w14:paraId="18549ADD" w14:textId="77777777" w:rsidTr="00F16E23">
        <w:tc>
          <w:tcPr>
            <w:tcW w:w="2835" w:type="dxa"/>
            <w:shd w:val="clear" w:color="auto" w:fill="FFFFFF"/>
            <w:tcMar>
              <w:top w:w="0" w:type="dxa"/>
              <w:left w:w="85" w:type="dxa"/>
              <w:bottom w:w="0" w:type="dxa"/>
              <w:right w:w="85" w:type="dxa"/>
            </w:tcMar>
            <w:vAlign w:val="center"/>
          </w:tcPr>
          <w:p w14:paraId="6422E74A" w14:textId="77777777" w:rsidR="00447423" w:rsidRPr="002A3CBE" w:rsidRDefault="00447423" w:rsidP="00F16E23">
            <w:pPr>
              <w:pStyle w:val="Tableboldblue"/>
              <w:spacing w:before="20" w:after="20"/>
              <w:rPr>
                <w:rFonts w:eastAsia="Calibri" w:cs="Calibri"/>
                <w:szCs w:val="16"/>
              </w:rPr>
            </w:pPr>
            <w:r w:rsidRPr="002A3CBE">
              <w:rPr>
                <w:rFonts w:eastAsia="Calibri" w:cs="Calibri"/>
                <w:szCs w:val="16"/>
              </w:rPr>
              <w:t>Total LULUCF</w:t>
            </w:r>
          </w:p>
        </w:tc>
        <w:tc>
          <w:tcPr>
            <w:tcW w:w="888" w:type="dxa"/>
            <w:shd w:val="clear" w:color="auto" w:fill="FFFFFF"/>
            <w:tcMar>
              <w:top w:w="0" w:type="dxa"/>
              <w:left w:w="85" w:type="dxa"/>
              <w:bottom w:w="0" w:type="dxa"/>
              <w:right w:w="85" w:type="dxa"/>
            </w:tcMar>
            <w:vAlign w:val="center"/>
          </w:tcPr>
          <w:p w14:paraId="2A0FF31A" w14:textId="77777777" w:rsidR="00447423" w:rsidRPr="002A3CBE" w:rsidRDefault="00447423" w:rsidP="00F16E23">
            <w:pPr>
              <w:pStyle w:val="Tableboldblue"/>
              <w:spacing w:before="20" w:after="20"/>
              <w:jc w:val="right"/>
              <w:rPr>
                <w:rFonts w:eastAsia="Calibri" w:cs="Calibri"/>
                <w:szCs w:val="16"/>
              </w:rPr>
            </w:pPr>
            <w:r w:rsidRPr="002A3CBE">
              <w:rPr>
                <w:rFonts w:eastAsia="Calibri" w:cs="Calibri"/>
                <w:szCs w:val="16"/>
              </w:rPr>
              <w:t>-19,966.5</w:t>
            </w:r>
          </w:p>
        </w:tc>
        <w:tc>
          <w:tcPr>
            <w:tcW w:w="955" w:type="dxa"/>
            <w:shd w:val="clear" w:color="auto" w:fill="FFFFFF"/>
            <w:tcMar>
              <w:top w:w="0" w:type="dxa"/>
              <w:left w:w="85" w:type="dxa"/>
              <w:bottom w:w="0" w:type="dxa"/>
              <w:right w:w="85" w:type="dxa"/>
            </w:tcMar>
            <w:vAlign w:val="center"/>
          </w:tcPr>
          <w:p w14:paraId="40EDF188" w14:textId="77777777" w:rsidR="00447423" w:rsidRPr="002A3CBE" w:rsidRDefault="00447423" w:rsidP="00F16E23">
            <w:pPr>
              <w:pStyle w:val="Tableboldblue"/>
              <w:spacing w:before="20" w:after="20"/>
              <w:jc w:val="right"/>
              <w:rPr>
                <w:rFonts w:eastAsia="Calibri" w:cs="Calibri"/>
                <w:szCs w:val="16"/>
              </w:rPr>
            </w:pPr>
            <w:r w:rsidRPr="002A3CBE">
              <w:rPr>
                <w:rFonts w:eastAsia="Calibri" w:cs="Calibri"/>
                <w:szCs w:val="16"/>
              </w:rPr>
              <w:t>-20,977.5</w:t>
            </w:r>
          </w:p>
        </w:tc>
        <w:tc>
          <w:tcPr>
            <w:tcW w:w="2233" w:type="dxa"/>
            <w:shd w:val="clear" w:color="auto" w:fill="FFFFFF"/>
            <w:tcMar>
              <w:top w:w="0" w:type="dxa"/>
              <w:left w:w="85" w:type="dxa"/>
              <w:bottom w:w="0" w:type="dxa"/>
              <w:right w:w="85" w:type="dxa"/>
            </w:tcMar>
            <w:vAlign w:val="center"/>
          </w:tcPr>
          <w:p w14:paraId="0357B405" w14:textId="77777777" w:rsidR="00447423" w:rsidRPr="002A3CBE" w:rsidRDefault="00447423" w:rsidP="00F16E23">
            <w:pPr>
              <w:pStyle w:val="Tableboldblue"/>
              <w:spacing w:before="20" w:after="20"/>
              <w:jc w:val="right"/>
              <w:rPr>
                <w:rFonts w:eastAsia="Calibri" w:cs="Calibri"/>
                <w:szCs w:val="16"/>
              </w:rPr>
            </w:pPr>
            <w:r w:rsidRPr="002A3CBE">
              <w:rPr>
                <w:rFonts w:eastAsia="Calibri" w:cs="Calibri"/>
                <w:szCs w:val="16"/>
              </w:rPr>
              <w:t>-1,011.0</w:t>
            </w:r>
          </w:p>
        </w:tc>
        <w:tc>
          <w:tcPr>
            <w:tcW w:w="1594" w:type="dxa"/>
            <w:shd w:val="clear" w:color="auto" w:fill="FFFFFF"/>
            <w:tcMar>
              <w:top w:w="0" w:type="dxa"/>
              <w:left w:w="85" w:type="dxa"/>
              <w:bottom w:w="0" w:type="dxa"/>
              <w:right w:w="85" w:type="dxa"/>
            </w:tcMar>
            <w:vAlign w:val="center"/>
          </w:tcPr>
          <w:p w14:paraId="56A1CD7A" w14:textId="77777777" w:rsidR="00447423" w:rsidRPr="002A3CBE" w:rsidRDefault="00447423" w:rsidP="00F16E23">
            <w:pPr>
              <w:pStyle w:val="Tableboldblue"/>
              <w:spacing w:before="20" w:after="20"/>
              <w:jc w:val="right"/>
              <w:rPr>
                <w:rFonts w:eastAsia="Calibri" w:cs="Calibri"/>
                <w:szCs w:val="16"/>
              </w:rPr>
            </w:pPr>
            <w:r w:rsidRPr="002A3CBE">
              <w:rPr>
                <w:rFonts w:eastAsia="Calibri" w:cs="Calibri"/>
                <w:szCs w:val="16"/>
              </w:rPr>
              <w:t>-5.1</w:t>
            </w:r>
          </w:p>
        </w:tc>
      </w:tr>
    </w:tbl>
    <w:p w14:paraId="00C5C616" w14:textId="77777777" w:rsidR="00447423" w:rsidRPr="002A3CBE" w:rsidRDefault="00447423" w:rsidP="00447423">
      <w:pPr>
        <w:pStyle w:val="Heading4"/>
      </w:pPr>
      <w:r w:rsidRPr="002A3CBE">
        <w:t>2005–2024</w:t>
      </w:r>
    </w:p>
    <w:p w14:paraId="3E4CFD81" w14:textId="77777777" w:rsidR="00447423" w:rsidRPr="002A3CBE" w:rsidRDefault="00447423" w:rsidP="00447423">
      <w:pPr>
        <w:pStyle w:val="BodyText"/>
      </w:pPr>
      <w:r w:rsidRPr="002A3CBE">
        <w:t>In 2024, net emissions had increased by 2,161.3 kt CO</w:t>
      </w:r>
      <w:r w:rsidRPr="002A3CBE">
        <w:rPr>
          <w:vertAlign w:val="subscript"/>
        </w:rPr>
        <w:t>2</w:t>
      </w:r>
      <w:r w:rsidRPr="002A3CBE">
        <w:t xml:space="preserve">e (9.3 percent) from 2005 levels (table 6.1.2). The largest difference was seen in the </w:t>
      </w:r>
      <w:r w:rsidRPr="002A3CBE">
        <w:rPr>
          <w:i/>
          <w:iCs/>
        </w:rPr>
        <w:t>Forest land</w:t>
      </w:r>
      <w:r w:rsidRPr="002A3CBE" w:rsidDel="00D049EC">
        <w:t xml:space="preserve"> </w:t>
      </w:r>
      <w:r w:rsidRPr="002A3CBE">
        <w:t>category, with an increase in emissions of 14,244.3 kt CO</w:t>
      </w:r>
      <w:r w:rsidRPr="002A3CBE">
        <w:rPr>
          <w:vertAlign w:val="subscript"/>
        </w:rPr>
        <w:t>2</w:t>
      </w:r>
      <w:r w:rsidRPr="002A3CBE">
        <w:t>e, because</w:t>
      </w:r>
      <w:r w:rsidRPr="002A3CBE" w:rsidDel="004731F3">
        <w:t xml:space="preserve"> </w:t>
      </w:r>
      <w:r w:rsidRPr="002A3CBE">
        <w:rPr>
          <w:spacing w:val="-2"/>
        </w:rPr>
        <w:t>a larger proportion of planted forests were harvested in 2024 compared with 2005 levels</w:t>
      </w:r>
      <w:r w:rsidRPr="002A3CBE" w:rsidDel="004731F3">
        <w:t xml:space="preserve"> </w:t>
      </w:r>
      <w:r w:rsidRPr="002A3CBE">
        <w:t>(see figure 6.4.3). The</w:t>
      </w:r>
      <w:r w:rsidRPr="002A3CBE" w:rsidDel="00DE1520">
        <w:t xml:space="preserve"> </w:t>
      </w:r>
      <w:r w:rsidRPr="002A3CBE">
        <w:rPr>
          <w:i/>
          <w:iCs/>
        </w:rPr>
        <w:t>Grassland</w:t>
      </w:r>
      <w:r w:rsidRPr="002A3CBE" w:rsidDel="002A4FF2">
        <w:rPr>
          <w:i/>
          <w:iCs/>
        </w:rPr>
        <w:t xml:space="preserve"> </w:t>
      </w:r>
      <w:r w:rsidRPr="002A3CBE">
        <w:t>category had the second-largest difference, with a decrease in emissions of 11,174.7 kt CO</w:t>
      </w:r>
      <w:r w:rsidRPr="002A3CBE">
        <w:rPr>
          <w:vertAlign w:val="subscript"/>
        </w:rPr>
        <w:t>2</w:t>
      </w:r>
      <w:r w:rsidRPr="002A3CBE">
        <w:t xml:space="preserve">e driven by a reduction in conversions from </w:t>
      </w:r>
      <w:r w:rsidRPr="002A3CBE">
        <w:rPr>
          <w:i/>
          <w:iCs/>
        </w:rPr>
        <w:t>F</w:t>
      </w:r>
      <w:r w:rsidRPr="002A3CBE">
        <w:rPr>
          <w:i/>
        </w:rPr>
        <w:t>orest land</w:t>
      </w:r>
      <w:r w:rsidRPr="002A3CBE">
        <w:t xml:space="preserve">. The </w:t>
      </w:r>
      <w:r w:rsidRPr="002A3CBE">
        <w:rPr>
          <w:i/>
          <w:iCs/>
        </w:rPr>
        <w:t xml:space="preserve">Harvested wood products </w:t>
      </w:r>
      <w:r w:rsidRPr="002A3CBE">
        <w:t>category had the third-largest difference, with a reduction in emissions of 771.1 kt CO</w:t>
      </w:r>
      <w:r w:rsidRPr="002A3CBE">
        <w:rPr>
          <w:vertAlign w:val="subscript"/>
        </w:rPr>
        <w:t>2</w:t>
      </w:r>
      <w:r w:rsidRPr="002A3CBE">
        <w:t xml:space="preserve">e. This was driven by an increase in the inputs to the harvested wood products pool following the increased planted forest harvest. </w:t>
      </w:r>
    </w:p>
    <w:p w14:paraId="2AA60A98" w14:textId="77777777" w:rsidR="00447423" w:rsidRPr="002A3CBE" w:rsidRDefault="00447423" w:rsidP="00447423">
      <w:pPr>
        <w:pStyle w:val="Table"/>
      </w:pPr>
      <w:bookmarkStart w:id="1609" w:name="_Toc222837894"/>
      <w:bookmarkStart w:id="1610" w:name="_Toc226669040"/>
      <w:r w:rsidRPr="002A3CBE">
        <w:t xml:space="preserve">Table 6.1.2 </w:t>
      </w:r>
      <w:r w:rsidRPr="002A3CBE">
        <w:tab/>
        <w:t>New Zealand’s greenhouse gas net emissions for the LULUCF sector by category in 2005 and 2024</w:t>
      </w:r>
      <w:bookmarkEnd w:id="1609"/>
      <w:bookmarkEnd w:id="1610"/>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20" w:firstRow="1" w:lastRow="0" w:firstColumn="0" w:lastColumn="0" w:noHBand="0" w:noVBand="1"/>
      </w:tblPr>
      <w:tblGrid>
        <w:gridCol w:w="3119"/>
        <w:gridCol w:w="992"/>
        <w:gridCol w:w="992"/>
        <w:gridCol w:w="1808"/>
        <w:gridCol w:w="1594"/>
      </w:tblGrid>
      <w:tr w:rsidR="00447423" w:rsidRPr="002A3CBE" w14:paraId="1B19117A" w14:textId="77777777" w:rsidTr="00E76A96">
        <w:trPr>
          <w:tblHeader/>
        </w:trPr>
        <w:tc>
          <w:tcPr>
            <w:tcW w:w="3119" w:type="dxa"/>
            <w:tcBorders>
              <w:bottom w:val="nil"/>
            </w:tcBorders>
            <w:shd w:val="clear" w:color="auto" w:fill="1B556B"/>
            <w:tcMar>
              <w:top w:w="0" w:type="dxa"/>
              <w:left w:w="85" w:type="dxa"/>
              <w:bottom w:w="0" w:type="dxa"/>
              <w:right w:w="85" w:type="dxa"/>
            </w:tcMar>
            <w:vAlign w:val="center"/>
          </w:tcPr>
          <w:p w14:paraId="3EF12829" w14:textId="77777777" w:rsidR="00447423" w:rsidRPr="002A3CBE" w:rsidRDefault="00447423" w:rsidP="00F16E23">
            <w:pPr>
              <w:pStyle w:val="TableTextBold"/>
              <w:spacing w:before="40" w:after="40"/>
              <w:rPr>
                <w:rFonts w:eastAsia="Calibri" w:cs="Calibri"/>
                <w:noProof w:val="0"/>
                <w:color w:val="FFFFFF" w:themeColor="background1"/>
                <w:szCs w:val="16"/>
              </w:rPr>
            </w:pPr>
          </w:p>
        </w:tc>
        <w:tc>
          <w:tcPr>
            <w:tcW w:w="1984" w:type="dxa"/>
            <w:gridSpan w:val="2"/>
            <w:tcBorders>
              <w:bottom w:val="nil"/>
            </w:tcBorders>
            <w:shd w:val="clear" w:color="auto" w:fill="1B556B"/>
            <w:tcMar>
              <w:top w:w="0" w:type="dxa"/>
              <w:left w:w="85" w:type="dxa"/>
              <w:bottom w:w="0" w:type="dxa"/>
              <w:right w:w="85" w:type="dxa"/>
            </w:tcMar>
            <w:vAlign w:val="center"/>
          </w:tcPr>
          <w:p w14:paraId="449E768D" w14:textId="77777777" w:rsidR="00447423" w:rsidRPr="002A3CBE" w:rsidRDefault="00447423" w:rsidP="00E76A96">
            <w:pPr>
              <w:pStyle w:val="TableTextBold"/>
              <w:spacing w:before="40" w:after="40"/>
              <w:ind w:left="57"/>
              <w:jc w:val="center"/>
              <w:rPr>
                <w:rFonts w:eastAsia="Calibri" w:cs="Calibri"/>
                <w:noProof w:val="0"/>
                <w:color w:val="FFFFFF" w:themeColor="background1"/>
                <w:szCs w:val="16"/>
              </w:rPr>
            </w:pPr>
            <w:r w:rsidRPr="002A3CBE">
              <w:rPr>
                <w:rFonts w:eastAsia="Calibri" w:cs="Calibri"/>
                <w:noProof w:val="0"/>
                <w:color w:val="FFFFFF" w:themeColor="background1"/>
                <w:szCs w:val="16"/>
              </w:rPr>
              <w:t>(kt CO₂e)</w:t>
            </w:r>
          </w:p>
        </w:tc>
        <w:tc>
          <w:tcPr>
            <w:tcW w:w="1808" w:type="dxa"/>
            <w:tcBorders>
              <w:bottom w:val="nil"/>
            </w:tcBorders>
            <w:shd w:val="clear" w:color="auto" w:fill="1B556B"/>
            <w:tcMar>
              <w:top w:w="0" w:type="dxa"/>
              <w:left w:w="85" w:type="dxa"/>
              <w:bottom w:w="0" w:type="dxa"/>
              <w:right w:w="85" w:type="dxa"/>
            </w:tcMar>
            <w:vAlign w:val="center"/>
          </w:tcPr>
          <w:p w14:paraId="0E36C7E8"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Difference (kt CO₂e)</w:t>
            </w:r>
          </w:p>
        </w:tc>
        <w:tc>
          <w:tcPr>
            <w:tcW w:w="1594" w:type="dxa"/>
            <w:tcBorders>
              <w:bottom w:val="nil"/>
            </w:tcBorders>
            <w:shd w:val="clear" w:color="auto" w:fill="1B556B"/>
            <w:tcMar>
              <w:top w:w="0" w:type="dxa"/>
              <w:left w:w="85" w:type="dxa"/>
              <w:bottom w:w="0" w:type="dxa"/>
              <w:right w:w="85" w:type="dxa"/>
            </w:tcMar>
            <w:vAlign w:val="center"/>
          </w:tcPr>
          <w:p w14:paraId="669FCA19"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Change (%)</w:t>
            </w:r>
          </w:p>
        </w:tc>
      </w:tr>
      <w:tr w:rsidR="00447423" w:rsidRPr="002A3CBE" w14:paraId="412537C9" w14:textId="77777777" w:rsidTr="00E76A96">
        <w:trPr>
          <w:tblHeader/>
        </w:trPr>
        <w:tc>
          <w:tcPr>
            <w:tcW w:w="3119" w:type="dxa"/>
            <w:tcBorders>
              <w:top w:val="nil"/>
            </w:tcBorders>
            <w:shd w:val="clear" w:color="auto" w:fill="1B556B" w:themeFill="text2"/>
            <w:tcMar>
              <w:top w:w="0" w:type="dxa"/>
              <w:left w:w="85" w:type="dxa"/>
              <w:bottom w:w="0" w:type="dxa"/>
              <w:right w:w="85" w:type="dxa"/>
            </w:tcMar>
            <w:vAlign w:val="center"/>
          </w:tcPr>
          <w:p w14:paraId="2BC03A7B" w14:textId="77777777" w:rsidR="00447423" w:rsidRPr="002A3CBE" w:rsidRDefault="00447423" w:rsidP="00F16E23">
            <w:pPr>
              <w:pStyle w:val="TableTextBold"/>
              <w:spacing w:before="0" w:after="40"/>
              <w:rPr>
                <w:rFonts w:eastAsia="Calibri" w:cs="Calibri"/>
                <w:noProof w:val="0"/>
                <w:color w:val="FFFFFF" w:themeColor="background1"/>
                <w:szCs w:val="16"/>
              </w:rPr>
            </w:pPr>
            <w:r w:rsidRPr="002A3CBE">
              <w:rPr>
                <w:rFonts w:eastAsia="Calibri" w:cs="Calibri"/>
                <w:noProof w:val="0"/>
                <w:color w:val="FFFFFF" w:themeColor="background1"/>
                <w:szCs w:val="16"/>
              </w:rPr>
              <w:t>Category</w:t>
            </w:r>
          </w:p>
        </w:tc>
        <w:tc>
          <w:tcPr>
            <w:tcW w:w="992" w:type="dxa"/>
            <w:tcBorders>
              <w:top w:val="nil"/>
            </w:tcBorders>
            <w:shd w:val="clear" w:color="auto" w:fill="1B556B" w:themeFill="text2"/>
            <w:tcMar>
              <w:top w:w="0" w:type="dxa"/>
              <w:left w:w="85" w:type="dxa"/>
              <w:bottom w:w="0" w:type="dxa"/>
              <w:right w:w="85" w:type="dxa"/>
            </w:tcMar>
            <w:vAlign w:val="center"/>
          </w:tcPr>
          <w:p w14:paraId="08904D44" w14:textId="77777777" w:rsidR="00447423" w:rsidRPr="002A3CBE" w:rsidRDefault="00447423" w:rsidP="00F16E23">
            <w:pPr>
              <w:pStyle w:val="TableTextBold"/>
              <w:spacing w:before="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2005</w:t>
            </w:r>
          </w:p>
        </w:tc>
        <w:tc>
          <w:tcPr>
            <w:tcW w:w="992" w:type="dxa"/>
            <w:tcBorders>
              <w:top w:val="nil"/>
            </w:tcBorders>
            <w:shd w:val="clear" w:color="auto" w:fill="1B556B" w:themeFill="text2"/>
            <w:tcMar>
              <w:top w:w="0" w:type="dxa"/>
              <w:left w:w="85" w:type="dxa"/>
              <w:bottom w:w="0" w:type="dxa"/>
              <w:right w:w="85" w:type="dxa"/>
            </w:tcMar>
            <w:vAlign w:val="center"/>
          </w:tcPr>
          <w:p w14:paraId="22F0CF3F" w14:textId="77777777" w:rsidR="00447423" w:rsidRPr="002A3CBE" w:rsidRDefault="00447423" w:rsidP="00F16E23">
            <w:pPr>
              <w:pStyle w:val="TableTextBold"/>
              <w:spacing w:before="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2024</w:t>
            </w:r>
          </w:p>
        </w:tc>
        <w:tc>
          <w:tcPr>
            <w:tcW w:w="1808" w:type="dxa"/>
            <w:tcBorders>
              <w:top w:val="nil"/>
            </w:tcBorders>
            <w:shd w:val="clear" w:color="auto" w:fill="1B556B" w:themeFill="text2"/>
            <w:tcMar>
              <w:top w:w="0" w:type="dxa"/>
              <w:left w:w="85" w:type="dxa"/>
              <w:bottom w:w="0" w:type="dxa"/>
              <w:right w:w="85" w:type="dxa"/>
            </w:tcMar>
            <w:vAlign w:val="center"/>
          </w:tcPr>
          <w:p w14:paraId="0B4B5771" w14:textId="77777777" w:rsidR="00447423" w:rsidRPr="002A3CBE" w:rsidRDefault="00447423" w:rsidP="00F16E23">
            <w:pPr>
              <w:pStyle w:val="TableTextBold"/>
              <w:spacing w:before="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2005–2024</w:t>
            </w:r>
          </w:p>
        </w:tc>
        <w:tc>
          <w:tcPr>
            <w:tcW w:w="1594" w:type="dxa"/>
            <w:tcBorders>
              <w:top w:val="nil"/>
            </w:tcBorders>
            <w:shd w:val="clear" w:color="auto" w:fill="1B556B" w:themeFill="text2"/>
            <w:tcMar>
              <w:top w:w="0" w:type="dxa"/>
              <w:left w:w="85" w:type="dxa"/>
              <w:bottom w:w="0" w:type="dxa"/>
              <w:right w:w="85" w:type="dxa"/>
            </w:tcMar>
            <w:vAlign w:val="center"/>
          </w:tcPr>
          <w:p w14:paraId="64663C53" w14:textId="77777777" w:rsidR="00447423" w:rsidRPr="002A3CBE" w:rsidRDefault="00447423" w:rsidP="00F16E23">
            <w:pPr>
              <w:pStyle w:val="TableTextBold"/>
              <w:spacing w:before="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2005–2024</w:t>
            </w:r>
          </w:p>
        </w:tc>
      </w:tr>
      <w:tr w:rsidR="00447423" w:rsidRPr="002A3CBE" w14:paraId="584A6BF4" w14:textId="77777777" w:rsidTr="00E76A96">
        <w:tc>
          <w:tcPr>
            <w:tcW w:w="3119" w:type="dxa"/>
            <w:shd w:val="clear" w:color="auto" w:fill="FFFFFF"/>
            <w:tcMar>
              <w:top w:w="0" w:type="dxa"/>
              <w:left w:w="85" w:type="dxa"/>
              <w:bottom w:w="0" w:type="dxa"/>
              <w:right w:w="85" w:type="dxa"/>
            </w:tcMar>
            <w:vAlign w:val="center"/>
          </w:tcPr>
          <w:p w14:paraId="4BD9E89E"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Forest land</w:t>
            </w:r>
          </w:p>
        </w:tc>
        <w:tc>
          <w:tcPr>
            <w:tcW w:w="992" w:type="dxa"/>
            <w:shd w:val="clear" w:color="auto" w:fill="FFFFFF"/>
            <w:tcMar>
              <w:top w:w="0" w:type="dxa"/>
              <w:left w:w="85" w:type="dxa"/>
              <w:bottom w:w="0" w:type="dxa"/>
              <w:right w:w="85" w:type="dxa"/>
            </w:tcMar>
            <w:vAlign w:val="center"/>
          </w:tcPr>
          <w:p w14:paraId="01BDE3FF"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-32,855.8</w:t>
            </w:r>
          </w:p>
        </w:tc>
        <w:tc>
          <w:tcPr>
            <w:tcW w:w="992" w:type="dxa"/>
            <w:shd w:val="clear" w:color="auto" w:fill="FFFFFF"/>
            <w:tcMar>
              <w:top w:w="0" w:type="dxa"/>
              <w:left w:w="85" w:type="dxa"/>
              <w:bottom w:w="0" w:type="dxa"/>
              <w:right w:w="85" w:type="dxa"/>
            </w:tcMar>
            <w:vAlign w:val="center"/>
          </w:tcPr>
          <w:p w14:paraId="6CE06502"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-18,611.5</w:t>
            </w:r>
          </w:p>
        </w:tc>
        <w:tc>
          <w:tcPr>
            <w:tcW w:w="1808" w:type="dxa"/>
            <w:shd w:val="clear" w:color="auto" w:fill="FFFFFF"/>
            <w:tcMar>
              <w:top w:w="0" w:type="dxa"/>
              <w:left w:w="85" w:type="dxa"/>
              <w:bottom w:w="0" w:type="dxa"/>
              <w:right w:w="85" w:type="dxa"/>
            </w:tcMar>
            <w:vAlign w:val="center"/>
          </w:tcPr>
          <w:p w14:paraId="778FE07B"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14,244.3</w:t>
            </w:r>
          </w:p>
        </w:tc>
        <w:tc>
          <w:tcPr>
            <w:tcW w:w="1594" w:type="dxa"/>
            <w:shd w:val="clear" w:color="auto" w:fill="FFFFFF"/>
            <w:tcMar>
              <w:top w:w="0" w:type="dxa"/>
              <w:left w:w="85" w:type="dxa"/>
              <w:bottom w:w="0" w:type="dxa"/>
              <w:right w:w="85" w:type="dxa"/>
            </w:tcMar>
            <w:vAlign w:val="center"/>
          </w:tcPr>
          <w:p w14:paraId="65A3CF09"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43.4</w:t>
            </w:r>
          </w:p>
        </w:tc>
      </w:tr>
      <w:tr w:rsidR="00447423" w:rsidRPr="002A3CBE" w14:paraId="1AEC4D08" w14:textId="77777777" w:rsidTr="00E76A96">
        <w:tc>
          <w:tcPr>
            <w:tcW w:w="3119" w:type="dxa"/>
            <w:shd w:val="clear" w:color="auto" w:fill="FFFFFF"/>
            <w:tcMar>
              <w:top w:w="0" w:type="dxa"/>
              <w:left w:w="85" w:type="dxa"/>
              <w:bottom w:w="0" w:type="dxa"/>
              <w:right w:w="85" w:type="dxa"/>
            </w:tcMar>
            <w:vAlign w:val="center"/>
          </w:tcPr>
          <w:p w14:paraId="3A1C47C2"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Cropland</w:t>
            </w:r>
          </w:p>
        </w:tc>
        <w:tc>
          <w:tcPr>
            <w:tcW w:w="992" w:type="dxa"/>
            <w:shd w:val="clear" w:color="auto" w:fill="FFFFFF"/>
            <w:tcMar>
              <w:top w:w="0" w:type="dxa"/>
              <w:left w:w="85" w:type="dxa"/>
              <w:bottom w:w="0" w:type="dxa"/>
              <w:right w:w="85" w:type="dxa"/>
            </w:tcMar>
            <w:vAlign w:val="center"/>
          </w:tcPr>
          <w:p w14:paraId="69F9A854"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576.1</w:t>
            </w:r>
          </w:p>
        </w:tc>
        <w:tc>
          <w:tcPr>
            <w:tcW w:w="992" w:type="dxa"/>
            <w:shd w:val="clear" w:color="auto" w:fill="FFFFFF"/>
            <w:tcMar>
              <w:top w:w="0" w:type="dxa"/>
              <w:left w:w="85" w:type="dxa"/>
              <w:bottom w:w="0" w:type="dxa"/>
              <w:right w:w="85" w:type="dxa"/>
            </w:tcMar>
            <w:vAlign w:val="center"/>
          </w:tcPr>
          <w:p w14:paraId="29BB89F7"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580.0</w:t>
            </w:r>
          </w:p>
        </w:tc>
        <w:tc>
          <w:tcPr>
            <w:tcW w:w="1808" w:type="dxa"/>
            <w:shd w:val="clear" w:color="auto" w:fill="FFFFFF"/>
            <w:tcMar>
              <w:top w:w="0" w:type="dxa"/>
              <w:left w:w="85" w:type="dxa"/>
              <w:bottom w:w="0" w:type="dxa"/>
              <w:right w:w="85" w:type="dxa"/>
            </w:tcMar>
            <w:vAlign w:val="center"/>
          </w:tcPr>
          <w:p w14:paraId="1AA88E57"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3.9</w:t>
            </w:r>
          </w:p>
        </w:tc>
        <w:tc>
          <w:tcPr>
            <w:tcW w:w="1594" w:type="dxa"/>
            <w:shd w:val="clear" w:color="auto" w:fill="FFFFFF"/>
            <w:tcMar>
              <w:top w:w="0" w:type="dxa"/>
              <w:left w:w="85" w:type="dxa"/>
              <w:bottom w:w="0" w:type="dxa"/>
              <w:right w:w="85" w:type="dxa"/>
            </w:tcMar>
            <w:vAlign w:val="center"/>
          </w:tcPr>
          <w:p w14:paraId="4F696FA1"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0.7</w:t>
            </w:r>
          </w:p>
        </w:tc>
      </w:tr>
      <w:tr w:rsidR="00447423" w:rsidRPr="002A3CBE" w14:paraId="7F582508" w14:textId="77777777" w:rsidTr="00694DD5">
        <w:tc>
          <w:tcPr>
            <w:tcW w:w="3119" w:type="dxa"/>
            <w:tcBorders>
              <w:bottom w:val="single" w:sz="4" w:space="0" w:color="1B556B" w:themeColor="text2"/>
            </w:tcBorders>
            <w:shd w:val="clear" w:color="auto" w:fill="FFFFFF"/>
            <w:tcMar>
              <w:top w:w="0" w:type="dxa"/>
              <w:left w:w="85" w:type="dxa"/>
              <w:bottom w:w="0" w:type="dxa"/>
              <w:right w:w="85" w:type="dxa"/>
            </w:tcMar>
            <w:vAlign w:val="center"/>
          </w:tcPr>
          <w:p w14:paraId="7653E1B4"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Grassland</w:t>
            </w:r>
          </w:p>
        </w:tc>
        <w:tc>
          <w:tcPr>
            <w:tcW w:w="992" w:type="dxa"/>
            <w:tcBorders>
              <w:bottom w:val="single" w:sz="4" w:space="0" w:color="1B556B" w:themeColor="text2"/>
            </w:tcBorders>
            <w:shd w:val="clear" w:color="auto" w:fill="FFFFFF"/>
            <w:tcMar>
              <w:top w:w="0" w:type="dxa"/>
              <w:left w:w="85" w:type="dxa"/>
              <w:bottom w:w="0" w:type="dxa"/>
              <w:right w:w="85" w:type="dxa"/>
            </w:tcMar>
            <w:vAlign w:val="center"/>
          </w:tcPr>
          <w:p w14:paraId="0B06A045"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13,361.6</w:t>
            </w:r>
          </w:p>
        </w:tc>
        <w:tc>
          <w:tcPr>
            <w:tcW w:w="992" w:type="dxa"/>
            <w:tcBorders>
              <w:bottom w:val="single" w:sz="4" w:space="0" w:color="1B556B" w:themeColor="text2"/>
            </w:tcBorders>
            <w:shd w:val="clear" w:color="auto" w:fill="FFFFFF"/>
            <w:tcMar>
              <w:top w:w="0" w:type="dxa"/>
              <w:left w:w="85" w:type="dxa"/>
              <w:bottom w:w="0" w:type="dxa"/>
              <w:right w:w="85" w:type="dxa"/>
            </w:tcMar>
            <w:vAlign w:val="center"/>
          </w:tcPr>
          <w:p w14:paraId="183F1D82"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2,186.9</w:t>
            </w:r>
          </w:p>
        </w:tc>
        <w:tc>
          <w:tcPr>
            <w:tcW w:w="1808" w:type="dxa"/>
            <w:tcBorders>
              <w:bottom w:val="single" w:sz="4" w:space="0" w:color="1B556B" w:themeColor="text2"/>
            </w:tcBorders>
            <w:shd w:val="clear" w:color="auto" w:fill="FFFFFF"/>
            <w:tcMar>
              <w:top w:w="0" w:type="dxa"/>
              <w:left w:w="85" w:type="dxa"/>
              <w:bottom w:w="0" w:type="dxa"/>
              <w:right w:w="85" w:type="dxa"/>
            </w:tcMar>
            <w:vAlign w:val="center"/>
          </w:tcPr>
          <w:p w14:paraId="485BBEAC"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-11,174.7</w:t>
            </w:r>
          </w:p>
        </w:tc>
        <w:tc>
          <w:tcPr>
            <w:tcW w:w="1594" w:type="dxa"/>
            <w:tcBorders>
              <w:bottom w:val="single" w:sz="4" w:space="0" w:color="1B556B" w:themeColor="text2"/>
            </w:tcBorders>
            <w:shd w:val="clear" w:color="auto" w:fill="FFFFFF"/>
            <w:tcMar>
              <w:top w:w="0" w:type="dxa"/>
              <w:left w:w="85" w:type="dxa"/>
              <w:bottom w:w="0" w:type="dxa"/>
              <w:right w:w="85" w:type="dxa"/>
            </w:tcMar>
            <w:vAlign w:val="center"/>
          </w:tcPr>
          <w:p w14:paraId="02AE9A0A"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-83.6</w:t>
            </w:r>
          </w:p>
        </w:tc>
      </w:tr>
      <w:tr w:rsidR="00447423" w:rsidRPr="002A3CBE" w14:paraId="4C3B3E4F" w14:textId="77777777" w:rsidTr="00E76A96">
        <w:tc>
          <w:tcPr>
            <w:tcW w:w="3119" w:type="dxa"/>
            <w:shd w:val="clear" w:color="auto" w:fill="FFFFFF"/>
            <w:tcMar>
              <w:top w:w="0" w:type="dxa"/>
              <w:left w:w="85" w:type="dxa"/>
              <w:bottom w:w="0" w:type="dxa"/>
              <w:right w:w="85" w:type="dxa"/>
            </w:tcMar>
            <w:vAlign w:val="center"/>
          </w:tcPr>
          <w:p w14:paraId="739194F9"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Wetlands</w:t>
            </w:r>
          </w:p>
        </w:tc>
        <w:tc>
          <w:tcPr>
            <w:tcW w:w="992" w:type="dxa"/>
            <w:shd w:val="clear" w:color="auto" w:fill="FFFFFF"/>
            <w:tcMar>
              <w:top w:w="0" w:type="dxa"/>
              <w:left w:w="85" w:type="dxa"/>
              <w:bottom w:w="0" w:type="dxa"/>
              <w:right w:w="85" w:type="dxa"/>
            </w:tcMar>
            <w:vAlign w:val="center"/>
          </w:tcPr>
          <w:p w14:paraId="330D08F9"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20.3</w:t>
            </w:r>
          </w:p>
        </w:tc>
        <w:tc>
          <w:tcPr>
            <w:tcW w:w="992" w:type="dxa"/>
            <w:shd w:val="clear" w:color="auto" w:fill="FFFFFF"/>
            <w:tcMar>
              <w:top w:w="0" w:type="dxa"/>
              <w:left w:w="85" w:type="dxa"/>
              <w:bottom w:w="0" w:type="dxa"/>
              <w:right w:w="85" w:type="dxa"/>
            </w:tcMar>
            <w:vAlign w:val="center"/>
          </w:tcPr>
          <w:p w14:paraId="161DFD52"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5.8</w:t>
            </w:r>
          </w:p>
        </w:tc>
        <w:tc>
          <w:tcPr>
            <w:tcW w:w="1808" w:type="dxa"/>
            <w:shd w:val="clear" w:color="auto" w:fill="FFFFFF"/>
            <w:tcMar>
              <w:top w:w="0" w:type="dxa"/>
              <w:left w:w="85" w:type="dxa"/>
              <w:bottom w:w="0" w:type="dxa"/>
              <w:right w:w="85" w:type="dxa"/>
            </w:tcMar>
            <w:vAlign w:val="center"/>
          </w:tcPr>
          <w:p w14:paraId="178BE37F"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-14.4</w:t>
            </w:r>
          </w:p>
        </w:tc>
        <w:tc>
          <w:tcPr>
            <w:tcW w:w="1594" w:type="dxa"/>
            <w:shd w:val="clear" w:color="auto" w:fill="FFFFFF"/>
            <w:tcMar>
              <w:top w:w="0" w:type="dxa"/>
              <w:left w:w="85" w:type="dxa"/>
              <w:bottom w:w="0" w:type="dxa"/>
              <w:right w:w="85" w:type="dxa"/>
            </w:tcMar>
            <w:vAlign w:val="center"/>
          </w:tcPr>
          <w:p w14:paraId="6CA33528"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-71.3</w:t>
            </w:r>
          </w:p>
        </w:tc>
      </w:tr>
      <w:tr w:rsidR="00447423" w:rsidRPr="002A3CBE" w14:paraId="79CD288F" w14:textId="77777777" w:rsidTr="00E76A96">
        <w:tc>
          <w:tcPr>
            <w:tcW w:w="3119" w:type="dxa"/>
            <w:shd w:val="clear" w:color="auto" w:fill="FFFFFF"/>
            <w:tcMar>
              <w:top w:w="0" w:type="dxa"/>
              <w:left w:w="85" w:type="dxa"/>
              <w:bottom w:w="0" w:type="dxa"/>
              <w:right w:w="85" w:type="dxa"/>
            </w:tcMar>
            <w:vAlign w:val="center"/>
          </w:tcPr>
          <w:p w14:paraId="17D2436E"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Settlements</w:t>
            </w:r>
          </w:p>
        </w:tc>
        <w:tc>
          <w:tcPr>
            <w:tcW w:w="992" w:type="dxa"/>
            <w:shd w:val="clear" w:color="auto" w:fill="FFFFFF"/>
            <w:tcMar>
              <w:top w:w="0" w:type="dxa"/>
              <w:left w:w="85" w:type="dxa"/>
              <w:bottom w:w="0" w:type="dxa"/>
              <w:right w:w="85" w:type="dxa"/>
            </w:tcMar>
            <w:vAlign w:val="center"/>
          </w:tcPr>
          <w:p w14:paraId="7871878F"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203.4</w:t>
            </w:r>
          </w:p>
        </w:tc>
        <w:tc>
          <w:tcPr>
            <w:tcW w:w="992" w:type="dxa"/>
            <w:shd w:val="clear" w:color="auto" w:fill="FFFFFF"/>
            <w:tcMar>
              <w:top w:w="0" w:type="dxa"/>
              <w:left w:w="85" w:type="dxa"/>
              <w:bottom w:w="0" w:type="dxa"/>
              <w:right w:w="85" w:type="dxa"/>
            </w:tcMar>
            <w:vAlign w:val="center"/>
          </w:tcPr>
          <w:p w14:paraId="366A666C"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115.2</w:t>
            </w:r>
          </w:p>
        </w:tc>
        <w:tc>
          <w:tcPr>
            <w:tcW w:w="1808" w:type="dxa"/>
            <w:shd w:val="clear" w:color="auto" w:fill="FFFFFF"/>
            <w:tcMar>
              <w:top w:w="0" w:type="dxa"/>
              <w:left w:w="85" w:type="dxa"/>
              <w:bottom w:w="0" w:type="dxa"/>
              <w:right w:w="85" w:type="dxa"/>
            </w:tcMar>
            <w:vAlign w:val="center"/>
          </w:tcPr>
          <w:p w14:paraId="2AE7FF3F"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-88.2</w:t>
            </w:r>
          </w:p>
        </w:tc>
        <w:tc>
          <w:tcPr>
            <w:tcW w:w="1594" w:type="dxa"/>
            <w:shd w:val="clear" w:color="auto" w:fill="FFFFFF"/>
            <w:tcMar>
              <w:top w:w="0" w:type="dxa"/>
              <w:left w:w="85" w:type="dxa"/>
              <w:bottom w:w="0" w:type="dxa"/>
              <w:right w:w="85" w:type="dxa"/>
            </w:tcMar>
            <w:vAlign w:val="center"/>
          </w:tcPr>
          <w:p w14:paraId="2137EEB4"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-43.4</w:t>
            </w:r>
          </w:p>
        </w:tc>
      </w:tr>
      <w:tr w:rsidR="00447423" w:rsidRPr="002A3CBE" w14:paraId="5BA9C68D" w14:textId="77777777" w:rsidTr="00E76A96">
        <w:tc>
          <w:tcPr>
            <w:tcW w:w="3119" w:type="dxa"/>
            <w:shd w:val="clear" w:color="auto" w:fill="FFFFFF"/>
            <w:tcMar>
              <w:top w:w="0" w:type="dxa"/>
              <w:left w:w="85" w:type="dxa"/>
              <w:bottom w:w="0" w:type="dxa"/>
              <w:right w:w="85" w:type="dxa"/>
            </w:tcMar>
            <w:vAlign w:val="center"/>
          </w:tcPr>
          <w:p w14:paraId="4E99E67E"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Other land</w:t>
            </w:r>
          </w:p>
        </w:tc>
        <w:tc>
          <w:tcPr>
            <w:tcW w:w="992" w:type="dxa"/>
            <w:shd w:val="clear" w:color="auto" w:fill="FFFFFF"/>
            <w:tcMar>
              <w:top w:w="0" w:type="dxa"/>
              <w:left w:w="85" w:type="dxa"/>
              <w:bottom w:w="0" w:type="dxa"/>
              <w:right w:w="85" w:type="dxa"/>
            </w:tcMar>
            <w:vAlign w:val="center"/>
          </w:tcPr>
          <w:p w14:paraId="012C4306"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112.7</w:t>
            </w:r>
          </w:p>
        </w:tc>
        <w:tc>
          <w:tcPr>
            <w:tcW w:w="992" w:type="dxa"/>
            <w:shd w:val="clear" w:color="auto" w:fill="FFFFFF"/>
            <w:tcMar>
              <w:top w:w="0" w:type="dxa"/>
              <w:left w:w="85" w:type="dxa"/>
              <w:bottom w:w="0" w:type="dxa"/>
              <w:right w:w="85" w:type="dxa"/>
            </w:tcMar>
            <w:vAlign w:val="center"/>
          </w:tcPr>
          <w:p w14:paraId="1A13E917"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74.3</w:t>
            </w:r>
          </w:p>
        </w:tc>
        <w:tc>
          <w:tcPr>
            <w:tcW w:w="1808" w:type="dxa"/>
            <w:shd w:val="clear" w:color="auto" w:fill="FFFFFF"/>
            <w:tcMar>
              <w:top w:w="0" w:type="dxa"/>
              <w:left w:w="85" w:type="dxa"/>
              <w:bottom w:w="0" w:type="dxa"/>
              <w:right w:w="85" w:type="dxa"/>
            </w:tcMar>
            <w:vAlign w:val="center"/>
          </w:tcPr>
          <w:p w14:paraId="08E1DBC5"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-38.4</w:t>
            </w:r>
          </w:p>
        </w:tc>
        <w:tc>
          <w:tcPr>
            <w:tcW w:w="1594" w:type="dxa"/>
            <w:shd w:val="clear" w:color="auto" w:fill="FFFFFF"/>
            <w:tcMar>
              <w:top w:w="0" w:type="dxa"/>
              <w:left w:w="85" w:type="dxa"/>
              <w:bottom w:w="0" w:type="dxa"/>
              <w:right w:w="85" w:type="dxa"/>
            </w:tcMar>
            <w:vAlign w:val="center"/>
          </w:tcPr>
          <w:p w14:paraId="5BB8CD53"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-34.1</w:t>
            </w:r>
          </w:p>
        </w:tc>
      </w:tr>
      <w:tr w:rsidR="00447423" w:rsidRPr="002A3CBE" w14:paraId="3E5B1BC9" w14:textId="77777777" w:rsidTr="00E76A96">
        <w:tc>
          <w:tcPr>
            <w:tcW w:w="3119" w:type="dxa"/>
            <w:shd w:val="clear" w:color="auto" w:fill="FFFFFF"/>
            <w:tcMar>
              <w:top w:w="0" w:type="dxa"/>
              <w:left w:w="85" w:type="dxa"/>
              <w:bottom w:w="0" w:type="dxa"/>
              <w:right w:w="85" w:type="dxa"/>
            </w:tcMar>
            <w:vAlign w:val="center"/>
          </w:tcPr>
          <w:p w14:paraId="1B32E5D8"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Harvested wood products</w:t>
            </w:r>
          </w:p>
        </w:tc>
        <w:tc>
          <w:tcPr>
            <w:tcW w:w="992" w:type="dxa"/>
            <w:shd w:val="clear" w:color="auto" w:fill="FFFFFF"/>
            <w:tcMar>
              <w:top w:w="0" w:type="dxa"/>
              <w:left w:w="85" w:type="dxa"/>
              <w:bottom w:w="0" w:type="dxa"/>
              <w:right w:w="85" w:type="dxa"/>
            </w:tcMar>
            <w:vAlign w:val="center"/>
          </w:tcPr>
          <w:p w14:paraId="0AA8420D"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-4,557.0</w:t>
            </w:r>
          </w:p>
        </w:tc>
        <w:tc>
          <w:tcPr>
            <w:tcW w:w="992" w:type="dxa"/>
            <w:shd w:val="clear" w:color="auto" w:fill="FFFFFF"/>
            <w:tcMar>
              <w:top w:w="0" w:type="dxa"/>
              <w:left w:w="85" w:type="dxa"/>
              <w:bottom w:w="0" w:type="dxa"/>
              <w:right w:w="85" w:type="dxa"/>
            </w:tcMar>
            <w:vAlign w:val="center"/>
          </w:tcPr>
          <w:p w14:paraId="73FA9123"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-5,328.1</w:t>
            </w:r>
          </w:p>
        </w:tc>
        <w:tc>
          <w:tcPr>
            <w:tcW w:w="1808" w:type="dxa"/>
            <w:shd w:val="clear" w:color="auto" w:fill="FFFFFF"/>
            <w:tcMar>
              <w:top w:w="0" w:type="dxa"/>
              <w:left w:w="85" w:type="dxa"/>
              <w:bottom w:w="0" w:type="dxa"/>
              <w:right w:w="85" w:type="dxa"/>
            </w:tcMar>
            <w:vAlign w:val="center"/>
          </w:tcPr>
          <w:p w14:paraId="6E9ED031"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-771.1</w:t>
            </w:r>
          </w:p>
        </w:tc>
        <w:tc>
          <w:tcPr>
            <w:tcW w:w="1594" w:type="dxa"/>
            <w:shd w:val="clear" w:color="auto" w:fill="FFFFFF"/>
            <w:tcMar>
              <w:top w:w="0" w:type="dxa"/>
              <w:left w:w="85" w:type="dxa"/>
              <w:bottom w:w="0" w:type="dxa"/>
              <w:right w:w="85" w:type="dxa"/>
            </w:tcMar>
            <w:vAlign w:val="center"/>
          </w:tcPr>
          <w:p w14:paraId="5DA5D7F8"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-16.9</w:t>
            </w:r>
          </w:p>
        </w:tc>
      </w:tr>
      <w:tr w:rsidR="00447423" w:rsidRPr="002A3CBE" w14:paraId="209EB71A" w14:textId="77777777" w:rsidTr="00E76A96">
        <w:tc>
          <w:tcPr>
            <w:tcW w:w="3119" w:type="dxa"/>
            <w:shd w:val="clear" w:color="auto" w:fill="FFFFFF"/>
            <w:tcMar>
              <w:top w:w="0" w:type="dxa"/>
              <w:left w:w="85" w:type="dxa"/>
              <w:bottom w:w="0" w:type="dxa"/>
              <w:right w:w="85" w:type="dxa"/>
            </w:tcMar>
            <w:vAlign w:val="center"/>
          </w:tcPr>
          <w:p w14:paraId="4845CDED" w14:textId="77777777" w:rsidR="00447423" w:rsidRPr="002A3CBE" w:rsidRDefault="00447423" w:rsidP="00F16E23">
            <w:pPr>
              <w:pStyle w:val="Tableboldblue"/>
              <w:spacing w:before="40" w:after="40"/>
              <w:rPr>
                <w:rFonts w:eastAsia="Calibri" w:cs="Calibri"/>
                <w:color w:val="1B556B"/>
                <w:szCs w:val="16"/>
              </w:rPr>
            </w:pPr>
            <w:r w:rsidRPr="002A3CBE">
              <w:rPr>
                <w:rFonts w:eastAsia="Calibri" w:cs="Calibri"/>
                <w:color w:val="1B556B"/>
                <w:szCs w:val="16"/>
              </w:rPr>
              <w:t>Total LULUCF</w:t>
            </w:r>
          </w:p>
        </w:tc>
        <w:tc>
          <w:tcPr>
            <w:tcW w:w="992" w:type="dxa"/>
            <w:shd w:val="clear" w:color="auto" w:fill="FFFFFF"/>
            <w:tcMar>
              <w:top w:w="0" w:type="dxa"/>
              <w:left w:w="85" w:type="dxa"/>
              <w:bottom w:w="0" w:type="dxa"/>
              <w:right w:w="85" w:type="dxa"/>
            </w:tcMar>
            <w:vAlign w:val="center"/>
          </w:tcPr>
          <w:p w14:paraId="38F9EA1E" w14:textId="77777777" w:rsidR="00447423" w:rsidRPr="002A3CBE" w:rsidRDefault="00447423" w:rsidP="00F16E23">
            <w:pPr>
              <w:pStyle w:val="Tableboldblue"/>
              <w:spacing w:before="40" w:after="40"/>
              <w:jc w:val="right"/>
              <w:rPr>
                <w:rFonts w:eastAsia="Calibri" w:cs="Calibri"/>
                <w:color w:val="1B556B"/>
                <w:szCs w:val="16"/>
              </w:rPr>
            </w:pPr>
            <w:r w:rsidRPr="002A3CBE">
              <w:rPr>
                <w:rFonts w:eastAsia="Calibri" w:cs="Calibri"/>
                <w:color w:val="1B556B"/>
                <w:szCs w:val="16"/>
              </w:rPr>
              <w:t>-23,138.8</w:t>
            </w:r>
          </w:p>
        </w:tc>
        <w:tc>
          <w:tcPr>
            <w:tcW w:w="992" w:type="dxa"/>
            <w:shd w:val="clear" w:color="auto" w:fill="FFFFFF"/>
            <w:tcMar>
              <w:top w:w="0" w:type="dxa"/>
              <w:left w:w="85" w:type="dxa"/>
              <w:bottom w:w="0" w:type="dxa"/>
              <w:right w:w="85" w:type="dxa"/>
            </w:tcMar>
            <w:vAlign w:val="center"/>
          </w:tcPr>
          <w:p w14:paraId="669765C0" w14:textId="77777777" w:rsidR="00447423" w:rsidRPr="002A3CBE" w:rsidRDefault="00447423" w:rsidP="00F16E23">
            <w:pPr>
              <w:pStyle w:val="Tableboldblue"/>
              <w:spacing w:before="40" w:after="40"/>
              <w:jc w:val="right"/>
              <w:rPr>
                <w:rFonts w:eastAsia="Calibri" w:cs="Calibri"/>
                <w:color w:val="1B556B"/>
                <w:szCs w:val="16"/>
              </w:rPr>
            </w:pPr>
            <w:r w:rsidRPr="002A3CBE">
              <w:rPr>
                <w:rFonts w:eastAsia="Calibri" w:cs="Calibri"/>
                <w:color w:val="1B556B"/>
                <w:szCs w:val="16"/>
              </w:rPr>
              <w:t>-20,977.5</w:t>
            </w:r>
          </w:p>
        </w:tc>
        <w:tc>
          <w:tcPr>
            <w:tcW w:w="1808" w:type="dxa"/>
            <w:shd w:val="clear" w:color="auto" w:fill="FFFFFF"/>
            <w:tcMar>
              <w:top w:w="0" w:type="dxa"/>
              <w:left w:w="85" w:type="dxa"/>
              <w:bottom w:w="0" w:type="dxa"/>
              <w:right w:w="85" w:type="dxa"/>
            </w:tcMar>
            <w:vAlign w:val="center"/>
          </w:tcPr>
          <w:p w14:paraId="59276352" w14:textId="77777777" w:rsidR="00447423" w:rsidRPr="002A3CBE" w:rsidRDefault="00447423" w:rsidP="00F16E23">
            <w:pPr>
              <w:pStyle w:val="Tableboldblue"/>
              <w:spacing w:before="40" w:after="40"/>
              <w:jc w:val="right"/>
              <w:rPr>
                <w:rFonts w:eastAsia="Calibri" w:cs="Calibri"/>
                <w:color w:val="1B556B"/>
                <w:szCs w:val="16"/>
              </w:rPr>
            </w:pPr>
            <w:r w:rsidRPr="002A3CBE">
              <w:rPr>
                <w:rFonts w:eastAsia="Calibri" w:cs="Calibri"/>
                <w:color w:val="1B556B"/>
                <w:szCs w:val="16"/>
              </w:rPr>
              <w:t>2,161.3</w:t>
            </w:r>
          </w:p>
        </w:tc>
        <w:tc>
          <w:tcPr>
            <w:tcW w:w="1594" w:type="dxa"/>
            <w:shd w:val="clear" w:color="auto" w:fill="FFFFFF"/>
            <w:tcMar>
              <w:top w:w="0" w:type="dxa"/>
              <w:left w:w="85" w:type="dxa"/>
              <w:bottom w:w="0" w:type="dxa"/>
              <w:right w:w="85" w:type="dxa"/>
            </w:tcMar>
            <w:vAlign w:val="center"/>
          </w:tcPr>
          <w:p w14:paraId="571A2232" w14:textId="77777777" w:rsidR="00447423" w:rsidRPr="002A3CBE" w:rsidRDefault="00447423" w:rsidP="00F16E23">
            <w:pPr>
              <w:pStyle w:val="Tableboldblue"/>
              <w:spacing w:before="40" w:after="40"/>
              <w:jc w:val="right"/>
              <w:rPr>
                <w:rFonts w:eastAsia="Calibri" w:cs="Calibri"/>
                <w:color w:val="1B556B"/>
                <w:szCs w:val="16"/>
              </w:rPr>
            </w:pPr>
            <w:r w:rsidRPr="002A3CBE">
              <w:rPr>
                <w:rFonts w:eastAsia="Calibri" w:cs="Calibri"/>
                <w:color w:val="1B556B"/>
                <w:szCs w:val="16"/>
              </w:rPr>
              <w:t>9.3</w:t>
            </w:r>
          </w:p>
        </w:tc>
      </w:tr>
    </w:tbl>
    <w:p w14:paraId="03E3193F" w14:textId="77777777" w:rsidR="00447423" w:rsidRPr="002A3CBE" w:rsidRDefault="00447423" w:rsidP="00447423">
      <w:pPr>
        <w:pStyle w:val="Heading4"/>
        <w:spacing w:before="360"/>
      </w:pPr>
      <w:r w:rsidRPr="002A3CBE">
        <w:t>1990–2024</w:t>
      </w:r>
    </w:p>
    <w:p w14:paraId="3A4C2D3A" w14:textId="77777777" w:rsidR="00447423" w:rsidRPr="002A3CBE" w:rsidRDefault="00447423" w:rsidP="00447423">
      <w:pPr>
        <w:pStyle w:val="BodyText"/>
      </w:pPr>
      <w:r w:rsidRPr="002A3CBE">
        <w:rPr>
          <w:spacing w:val="-2"/>
        </w:rPr>
        <w:t xml:space="preserve">In 2024, net emissions had increased by 2,357.0 kt </w:t>
      </w:r>
      <w:r w:rsidRPr="002A3CBE">
        <w:t>CO</w:t>
      </w:r>
      <w:r w:rsidRPr="002A3CBE">
        <w:rPr>
          <w:vertAlign w:val="subscript"/>
        </w:rPr>
        <w:t>2</w:t>
      </w:r>
      <w:r w:rsidRPr="002A3CBE">
        <w:t>e</w:t>
      </w:r>
      <w:r w:rsidRPr="002A3CBE" w:rsidDel="00643905">
        <w:rPr>
          <w:spacing w:val="-2"/>
        </w:rPr>
        <w:t xml:space="preserve"> </w:t>
      </w:r>
      <w:r w:rsidRPr="002A3CBE">
        <w:rPr>
          <w:spacing w:val="-2"/>
        </w:rPr>
        <w:t>(</w:t>
      </w:r>
      <w:r w:rsidRPr="002A3CBE">
        <w:rPr>
          <w:rFonts w:cs="Arial Bold"/>
          <w:color w:val="000000"/>
          <w:spacing w:val="-2"/>
        </w:rPr>
        <w:t xml:space="preserve">10.1 </w:t>
      </w:r>
      <w:r w:rsidRPr="002A3CBE">
        <w:rPr>
          <w:spacing w:val="-2"/>
        </w:rPr>
        <w:t xml:space="preserve">percent) from 1990 levels of </w:t>
      </w:r>
      <w:r w:rsidRPr="002A3CBE">
        <w:rPr>
          <w:spacing w:val="-2"/>
        </w:rPr>
        <w:br/>
        <w:t xml:space="preserve">-23,334.5 kt </w:t>
      </w:r>
      <w:r w:rsidRPr="002A3CBE">
        <w:t>CO</w:t>
      </w:r>
      <w:r w:rsidRPr="002A3CBE">
        <w:rPr>
          <w:vertAlign w:val="subscript"/>
        </w:rPr>
        <w:t>2</w:t>
      </w:r>
      <w:r w:rsidRPr="002A3CBE">
        <w:t>e</w:t>
      </w:r>
      <w:r w:rsidRPr="002A3CBE" w:rsidDel="00643905">
        <w:rPr>
          <w:spacing w:val="-2"/>
        </w:rPr>
        <w:t xml:space="preserve"> </w:t>
      </w:r>
      <w:r w:rsidRPr="002A3CBE">
        <w:rPr>
          <w:spacing w:val="-2"/>
        </w:rPr>
        <w:t xml:space="preserve">(table 6.1.3 and figure 6.1.1). This is largely due to an overall reduction in net removals from </w:t>
      </w:r>
      <w:r w:rsidRPr="002A3CBE">
        <w:rPr>
          <w:i/>
          <w:iCs/>
          <w:spacing w:val="-2"/>
        </w:rPr>
        <w:t>Forest land</w:t>
      </w:r>
      <w:r w:rsidRPr="002A3CBE">
        <w:rPr>
          <w:spacing w:val="-2"/>
        </w:rPr>
        <w:t xml:space="preserve"> compared with</w:t>
      </w:r>
      <w:r w:rsidRPr="002A3CBE" w:rsidDel="00FF4C8D">
        <w:rPr>
          <w:spacing w:val="-2"/>
        </w:rPr>
        <w:t xml:space="preserve"> 1990</w:t>
      </w:r>
      <w:r w:rsidRPr="002A3CBE">
        <w:rPr>
          <w:spacing w:val="-2"/>
        </w:rPr>
        <w:t xml:space="preserve"> levels</w:t>
      </w:r>
      <w:r w:rsidRPr="002A3CBE" w:rsidDel="00FF4C8D">
        <w:rPr>
          <w:spacing w:val="-2"/>
        </w:rPr>
        <w:t xml:space="preserve">. </w:t>
      </w:r>
      <w:r w:rsidRPr="002A3CBE">
        <w:t xml:space="preserve">The reduction in net removals from </w:t>
      </w:r>
      <w:r w:rsidRPr="002A3CBE">
        <w:rPr>
          <w:i/>
          <w:iCs/>
        </w:rPr>
        <w:t xml:space="preserve">Forest land </w:t>
      </w:r>
      <w:r w:rsidRPr="002A3CBE">
        <w:t xml:space="preserve">was driven by relatively high harvest rates (figure 6.4.3), which are a result of significant afforestation beginning in the 1980s and reaching a peak in the mid-1990s (figure 6.4.1). The planted forests that were </w:t>
      </w:r>
      <w:r w:rsidRPr="002A3CBE">
        <w:rPr>
          <w:spacing w:val="-2"/>
        </w:rPr>
        <w:t>established during this period have progressively been reaching harvesting age, so while the total area of forest has increased since 1990, a larger proportion of planted forests were harvested in 2024 compared with 1990 levels</w:t>
      </w:r>
      <w:r w:rsidRPr="002A3CBE">
        <w:t>. Harvesting and replanting cycles of New Zealand’s planted forests will continue to affect the trajectory of New Zealand’s net emissions in the future due to their uneven age-class profile.</w:t>
      </w:r>
      <w:r w:rsidRPr="002A3CBE">
        <w:rPr>
          <w:i/>
          <w:iCs/>
          <w:spacing w:val="-2"/>
        </w:rPr>
        <w:t xml:space="preserve"> </w:t>
      </w:r>
      <w:r w:rsidRPr="002A3CBE">
        <w:rPr>
          <w:spacing w:val="-2"/>
        </w:rPr>
        <w:t>The increase in emissions</w:t>
      </w:r>
      <w:r w:rsidRPr="002A3CBE" w:rsidDel="00D943C1">
        <w:rPr>
          <w:spacing w:val="-2"/>
        </w:rPr>
        <w:t xml:space="preserve"> </w:t>
      </w:r>
      <w:r w:rsidRPr="002A3CBE">
        <w:rPr>
          <w:spacing w:val="-2"/>
        </w:rPr>
        <w:t xml:space="preserve">is compensated for, to some extent, by a reduction in net emissions in </w:t>
      </w:r>
      <w:r w:rsidRPr="002A3CBE">
        <w:rPr>
          <w:i/>
          <w:iCs/>
          <w:spacing w:val="-2"/>
        </w:rPr>
        <w:t>Harvested wood products</w:t>
      </w:r>
      <w:r w:rsidRPr="002A3CBE">
        <w:rPr>
          <w:spacing w:val="-2"/>
        </w:rPr>
        <w:t xml:space="preserve">. Carbon losses in </w:t>
      </w:r>
      <w:r w:rsidRPr="002A3CBE">
        <w:rPr>
          <w:i/>
          <w:iCs/>
        </w:rPr>
        <w:t>Forest land</w:t>
      </w:r>
      <w:r w:rsidRPr="002A3CBE">
        <w:t xml:space="preserve"> </w:t>
      </w:r>
      <w:r w:rsidRPr="002A3CBE">
        <w:rPr>
          <w:spacing w:val="-2"/>
        </w:rPr>
        <w:t xml:space="preserve">due to the harvest of timber </w:t>
      </w:r>
      <w:r w:rsidRPr="002A3CBE" w:rsidDel="00F56664">
        <w:rPr>
          <w:spacing w:val="-2"/>
        </w:rPr>
        <w:t xml:space="preserve">are </w:t>
      </w:r>
      <w:r w:rsidRPr="002A3CBE">
        <w:rPr>
          <w:spacing w:val="-2"/>
        </w:rPr>
        <w:t>transferred</w:t>
      </w:r>
      <w:r w:rsidRPr="002A3CBE" w:rsidDel="009F5A96">
        <w:t xml:space="preserve"> </w:t>
      </w:r>
      <w:r w:rsidRPr="002A3CBE">
        <w:t xml:space="preserve">to </w:t>
      </w:r>
      <w:r w:rsidRPr="002A3CBE">
        <w:rPr>
          <w:i/>
          <w:iCs/>
          <w:spacing w:val="-2"/>
        </w:rPr>
        <w:t>Harvested</w:t>
      </w:r>
      <w:r w:rsidRPr="002A3CBE">
        <w:rPr>
          <w:i/>
          <w:spacing w:val="-2"/>
        </w:rPr>
        <w:t xml:space="preserve"> wood products</w:t>
      </w:r>
      <w:r w:rsidRPr="002A3CBE">
        <w:rPr>
          <w:i/>
          <w:iCs/>
          <w:spacing w:val="-2"/>
        </w:rPr>
        <w:t xml:space="preserve">, </w:t>
      </w:r>
      <w:r w:rsidRPr="002A3CBE">
        <w:rPr>
          <w:spacing w:val="-2"/>
        </w:rPr>
        <w:t>where the carbon is treated as a gain and its decay and emissions to atmosphere are estimated based on product type.</w:t>
      </w:r>
      <w:r w:rsidRPr="002A3CBE" w:rsidDel="006520DC">
        <w:rPr>
          <w:spacing w:val="-2"/>
        </w:rPr>
        <w:t xml:space="preserve"> </w:t>
      </w:r>
      <w:r w:rsidRPr="002A3CBE" w:rsidDel="00C3289C">
        <w:rPr>
          <w:spacing w:val="-2"/>
        </w:rPr>
        <w:t>T</w:t>
      </w:r>
      <w:r w:rsidRPr="002A3CBE" w:rsidDel="00CE255F">
        <w:rPr>
          <w:spacing w:val="-2"/>
        </w:rPr>
        <w:t xml:space="preserve">he net fluxes </w:t>
      </w:r>
      <w:r w:rsidRPr="002A3CBE" w:rsidDel="006520DC">
        <w:rPr>
          <w:spacing w:val="-2"/>
        </w:rPr>
        <w:t xml:space="preserve">in </w:t>
      </w:r>
      <w:r w:rsidRPr="002A3CBE" w:rsidDel="006520DC">
        <w:rPr>
          <w:i/>
          <w:iCs/>
          <w:spacing w:val="-2"/>
        </w:rPr>
        <w:t xml:space="preserve">Harvested </w:t>
      </w:r>
      <w:r w:rsidRPr="002A3CBE">
        <w:rPr>
          <w:i/>
          <w:iCs/>
          <w:spacing w:val="-2"/>
        </w:rPr>
        <w:t>w</w:t>
      </w:r>
      <w:r w:rsidRPr="002A3CBE" w:rsidDel="006520DC">
        <w:rPr>
          <w:i/>
          <w:iCs/>
          <w:spacing w:val="-2"/>
        </w:rPr>
        <w:t xml:space="preserve">ood </w:t>
      </w:r>
      <w:r w:rsidRPr="002A3CBE">
        <w:rPr>
          <w:i/>
          <w:iCs/>
          <w:spacing w:val="-2"/>
        </w:rPr>
        <w:t>p</w:t>
      </w:r>
      <w:r w:rsidRPr="002A3CBE" w:rsidDel="006520DC">
        <w:rPr>
          <w:i/>
          <w:iCs/>
          <w:spacing w:val="-2"/>
        </w:rPr>
        <w:t>roducts</w:t>
      </w:r>
      <w:r w:rsidRPr="002A3CBE" w:rsidDel="006520DC">
        <w:rPr>
          <w:spacing w:val="-2"/>
        </w:rPr>
        <w:t xml:space="preserve"> </w:t>
      </w:r>
      <w:r w:rsidRPr="002A3CBE">
        <w:rPr>
          <w:spacing w:val="-2"/>
        </w:rPr>
        <w:t>therefore represent the balance between the inputs transferred into the pool and the outputs leaving the pool</w:t>
      </w:r>
      <w:r w:rsidRPr="002A3CBE" w:rsidDel="00955524">
        <w:rPr>
          <w:spacing w:val="-2"/>
        </w:rPr>
        <w:t xml:space="preserve"> </w:t>
      </w:r>
      <w:r w:rsidRPr="002A3CBE">
        <w:rPr>
          <w:spacing w:val="-2"/>
        </w:rPr>
        <w:t>from decay or disposal over time.</w:t>
      </w:r>
    </w:p>
    <w:p w14:paraId="176FCB69" w14:textId="77777777" w:rsidR="00447423" w:rsidRPr="002A3CBE" w:rsidRDefault="00447423" w:rsidP="00447423">
      <w:pPr>
        <w:pStyle w:val="Table"/>
      </w:pPr>
      <w:bookmarkStart w:id="1611" w:name="_Toc481751536"/>
      <w:bookmarkStart w:id="1612" w:name="_Toc522010593"/>
      <w:bookmarkStart w:id="1613" w:name="_Toc5269498"/>
      <w:bookmarkStart w:id="1614" w:name="_Toc33529374"/>
      <w:bookmarkStart w:id="1615" w:name="_Toc36224580"/>
      <w:bookmarkStart w:id="1616" w:name="_Toc65243575"/>
      <w:bookmarkStart w:id="1617" w:name="_Toc131591381"/>
      <w:bookmarkStart w:id="1618" w:name="_Toc158979939"/>
      <w:bookmarkStart w:id="1619" w:name="_Toc164153872"/>
      <w:bookmarkStart w:id="1620" w:name="_Toc190873106"/>
      <w:bookmarkStart w:id="1621" w:name="_Toc194241745"/>
      <w:bookmarkStart w:id="1622" w:name="_Toc222837895"/>
      <w:bookmarkStart w:id="1623" w:name="_Toc226669041"/>
      <w:r w:rsidRPr="002A3CBE">
        <w:t xml:space="preserve">Table 6.1.3 </w:t>
      </w:r>
      <w:r w:rsidRPr="002A3CBE">
        <w:tab/>
        <w:t>New Zealand’s greenhouse gas net emissions for the LULUCF sector by category</w:t>
      </w:r>
      <w:r w:rsidRPr="002A3CBE">
        <w:br/>
        <w:t xml:space="preserve">in 1990 and </w:t>
      </w:r>
      <w:bookmarkEnd w:id="1611"/>
      <w:bookmarkEnd w:id="1612"/>
      <w:bookmarkEnd w:id="1613"/>
      <w:bookmarkEnd w:id="1614"/>
      <w:bookmarkEnd w:id="1615"/>
      <w:bookmarkEnd w:id="1616"/>
      <w:bookmarkEnd w:id="1617"/>
      <w:bookmarkEnd w:id="1618"/>
      <w:bookmarkEnd w:id="1619"/>
      <w:bookmarkEnd w:id="1620"/>
      <w:bookmarkEnd w:id="1621"/>
      <w:r w:rsidRPr="002A3CBE">
        <w:t>2024</w:t>
      </w:r>
      <w:bookmarkEnd w:id="1622"/>
      <w:bookmarkEnd w:id="1623"/>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20" w:firstRow="1" w:lastRow="0" w:firstColumn="0" w:lastColumn="0" w:noHBand="0" w:noVBand="1"/>
      </w:tblPr>
      <w:tblGrid>
        <w:gridCol w:w="2129"/>
        <w:gridCol w:w="1594"/>
        <w:gridCol w:w="1239"/>
        <w:gridCol w:w="1949"/>
        <w:gridCol w:w="1594"/>
      </w:tblGrid>
      <w:tr w:rsidR="00447423" w:rsidRPr="002A3CBE" w14:paraId="520F994E" w14:textId="77777777" w:rsidTr="00F16E23">
        <w:trPr>
          <w:tblHeader/>
        </w:trPr>
        <w:tc>
          <w:tcPr>
            <w:tcW w:w="2129" w:type="dxa"/>
            <w:tcBorders>
              <w:bottom w:val="nil"/>
            </w:tcBorders>
            <w:shd w:val="clear" w:color="auto" w:fill="1B556B"/>
            <w:tcMar>
              <w:top w:w="0" w:type="dxa"/>
              <w:left w:w="85" w:type="dxa"/>
              <w:bottom w:w="0" w:type="dxa"/>
              <w:right w:w="85" w:type="dxa"/>
            </w:tcMar>
            <w:vAlign w:val="center"/>
          </w:tcPr>
          <w:p w14:paraId="36DB3D9B" w14:textId="77777777" w:rsidR="00447423" w:rsidRPr="002A3CBE" w:rsidRDefault="00447423" w:rsidP="00F16E23">
            <w:pPr>
              <w:pStyle w:val="TableTextBold"/>
              <w:keepNext/>
              <w:spacing w:before="40" w:after="0"/>
              <w:rPr>
                <w:rFonts w:eastAsia="Calibri"/>
                <w:noProof w:val="0"/>
                <w:color w:val="FFFFFF" w:themeColor="background1"/>
              </w:rPr>
            </w:pPr>
          </w:p>
        </w:tc>
        <w:tc>
          <w:tcPr>
            <w:tcW w:w="2833" w:type="dxa"/>
            <w:gridSpan w:val="2"/>
            <w:tcBorders>
              <w:bottom w:val="nil"/>
            </w:tcBorders>
            <w:shd w:val="clear" w:color="auto" w:fill="1B556B"/>
            <w:tcMar>
              <w:top w:w="0" w:type="dxa"/>
              <w:left w:w="85" w:type="dxa"/>
              <w:bottom w:w="0" w:type="dxa"/>
              <w:right w:w="85" w:type="dxa"/>
            </w:tcMar>
            <w:vAlign w:val="center"/>
          </w:tcPr>
          <w:p w14:paraId="13D74192" w14:textId="77777777" w:rsidR="00447423" w:rsidRPr="002A3CBE" w:rsidRDefault="00447423" w:rsidP="00F16E23">
            <w:pPr>
              <w:pStyle w:val="TableTextBold"/>
              <w:keepNext/>
              <w:spacing w:before="40" w:after="0"/>
              <w:ind w:left="1046"/>
              <w:jc w:val="center"/>
              <w:rPr>
                <w:rFonts w:eastAsia="Calibri"/>
                <w:noProof w:val="0"/>
                <w:color w:val="FFFFFF" w:themeColor="background1"/>
              </w:rPr>
            </w:pPr>
            <w:r w:rsidRPr="002A3CBE">
              <w:rPr>
                <w:rFonts w:eastAsia="Calibri"/>
                <w:noProof w:val="0"/>
                <w:color w:val="FFFFFF" w:themeColor="background1"/>
              </w:rPr>
              <w:t>Net emissions (kt CO</w:t>
            </w:r>
            <w:r w:rsidRPr="002A3CBE">
              <w:rPr>
                <w:rFonts w:eastAsia="Calibri"/>
                <w:noProof w:val="0"/>
                <w:color w:val="FFFFFF" w:themeColor="background1"/>
                <w:vertAlign w:val="subscript"/>
              </w:rPr>
              <w:t>2</w:t>
            </w:r>
            <w:r w:rsidRPr="002A3CBE">
              <w:rPr>
                <w:rFonts w:eastAsia="Calibri"/>
                <w:noProof w:val="0"/>
                <w:color w:val="FFFFFF" w:themeColor="background1"/>
              </w:rPr>
              <w:t>e)</w:t>
            </w:r>
          </w:p>
        </w:tc>
        <w:tc>
          <w:tcPr>
            <w:tcW w:w="1949" w:type="dxa"/>
            <w:tcBorders>
              <w:bottom w:val="nil"/>
            </w:tcBorders>
            <w:shd w:val="clear" w:color="auto" w:fill="1B556B"/>
            <w:tcMar>
              <w:top w:w="0" w:type="dxa"/>
              <w:left w:w="85" w:type="dxa"/>
              <w:bottom w:w="0" w:type="dxa"/>
              <w:right w:w="85" w:type="dxa"/>
            </w:tcMar>
            <w:vAlign w:val="center"/>
          </w:tcPr>
          <w:p w14:paraId="43FB44D9" w14:textId="77777777" w:rsidR="00447423" w:rsidRPr="002A3CBE" w:rsidRDefault="00447423" w:rsidP="00F16E23">
            <w:pPr>
              <w:pStyle w:val="TableTextBold"/>
              <w:keepNext/>
              <w:spacing w:before="40" w:after="0"/>
              <w:jc w:val="right"/>
              <w:rPr>
                <w:rFonts w:eastAsia="Calibri"/>
                <w:noProof w:val="0"/>
                <w:color w:val="FFFFFF" w:themeColor="background1"/>
              </w:rPr>
            </w:pPr>
            <w:r w:rsidRPr="002A3CBE">
              <w:rPr>
                <w:rFonts w:eastAsia="Calibri"/>
                <w:noProof w:val="0"/>
                <w:color w:val="FFFFFF" w:themeColor="background1"/>
              </w:rPr>
              <w:t>Difference (kt CO</w:t>
            </w:r>
            <w:r w:rsidRPr="002A3CBE">
              <w:rPr>
                <w:rFonts w:eastAsia="Calibri"/>
                <w:noProof w:val="0"/>
                <w:color w:val="FFFFFF" w:themeColor="background1"/>
                <w:vertAlign w:val="subscript"/>
              </w:rPr>
              <w:t>2</w:t>
            </w:r>
            <w:r w:rsidRPr="002A3CBE">
              <w:rPr>
                <w:rFonts w:eastAsia="Calibri"/>
                <w:noProof w:val="0"/>
                <w:color w:val="FFFFFF" w:themeColor="background1"/>
              </w:rPr>
              <w:t>e)</w:t>
            </w:r>
          </w:p>
        </w:tc>
        <w:tc>
          <w:tcPr>
            <w:tcW w:w="1594" w:type="dxa"/>
            <w:tcBorders>
              <w:bottom w:val="nil"/>
            </w:tcBorders>
            <w:shd w:val="clear" w:color="auto" w:fill="1B556B"/>
            <w:tcMar>
              <w:top w:w="0" w:type="dxa"/>
              <w:left w:w="85" w:type="dxa"/>
              <w:bottom w:w="0" w:type="dxa"/>
              <w:right w:w="85" w:type="dxa"/>
            </w:tcMar>
            <w:vAlign w:val="center"/>
          </w:tcPr>
          <w:p w14:paraId="198D0543" w14:textId="77777777" w:rsidR="00447423" w:rsidRPr="002A3CBE" w:rsidRDefault="00447423" w:rsidP="00F16E23">
            <w:pPr>
              <w:pStyle w:val="TableTextBold"/>
              <w:keepNext/>
              <w:spacing w:before="40" w:after="0"/>
              <w:jc w:val="right"/>
              <w:rPr>
                <w:rFonts w:eastAsia="Calibri"/>
                <w:noProof w:val="0"/>
                <w:color w:val="FFFFFF" w:themeColor="background1"/>
              </w:rPr>
            </w:pPr>
            <w:r w:rsidRPr="002A3CBE">
              <w:rPr>
                <w:rFonts w:eastAsia="Calibri"/>
                <w:noProof w:val="0"/>
                <w:color w:val="FFFFFF" w:themeColor="background1"/>
              </w:rPr>
              <w:t>Change (%)</w:t>
            </w:r>
          </w:p>
        </w:tc>
      </w:tr>
      <w:tr w:rsidR="00447423" w:rsidRPr="002A3CBE" w14:paraId="614FE047" w14:textId="77777777" w:rsidTr="00F16E23">
        <w:trPr>
          <w:tblHeader/>
        </w:trPr>
        <w:tc>
          <w:tcPr>
            <w:tcW w:w="2129" w:type="dxa"/>
            <w:tcBorders>
              <w:top w:val="nil"/>
            </w:tcBorders>
            <w:shd w:val="clear" w:color="auto" w:fill="1B556B"/>
            <w:tcMar>
              <w:top w:w="0" w:type="dxa"/>
              <w:left w:w="85" w:type="dxa"/>
              <w:bottom w:w="0" w:type="dxa"/>
              <w:right w:w="85" w:type="dxa"/>
            </w:tcMar>
            <w:vAlign w:val="center"/>
          </w:tcPr>
          <w:p w14:paraId="3B79277E" w14:textId="77777777" w:rsidR="00447423" w:rsidRPr="002A3CBE" w:rsidRDefault="00447423" w:rsidP="00F16E23">
            <w:pPr>
              <w:pStyle w:val="TableTextBold"/>
              <w:keepNext/>
              <w:spacing w:before="40" w:after="40"/>
              <w:rPr>
                <w:rFonts w:eastAsia="Calibri"/>
                <w:noProof w:val="0"/>
                <w:color w:val="FFFFFF" w:themeColor="background1"/>
              </w:rPr>
            </w:pPr>
            <w:r w:rsidRPr="002A3CBE">
              <w:rPr>
                <w:rFonts w:eastAsia="Calibri"/>
                <w:noProof w:val="0"/>
                <w:color w:val="FFFFFF" w:themeColor="background1"/>
              </w:rPr>
              <w:t>Category</w:t>
            </w:r>
          </w:p>
        </w:tc>
        <w:tc>
          <w:tcPr>
            <w:tcW w:w="1594" w:type="dxa"/>
            <w:tcBorders>
              <w:top w:val="nil"/>
            </w:tcBorders>
            <w:shd w:val="clear" w:color="auto" w:fill="1B556B"/>
            <w:tcMar>
              <w:top w:w="0" w:type="dxa"/>
              <w:left w:w="85" w:type="dxa"/>
              <w:bottom w:w="0" w:type="dxa"/>
              <w:right w:w="85" w:type="dxa"/>
            </w:tcMar>
            <w:vAlign w:val="center"/>
          </w:tcPr>
          <w:p w14:paraId="31ECE4AA"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1239" w:type="dxa"/>
            <w:tcBorders>
              <w:top w:val="nil"/>
            </w:tcBorders>
            <w:shd w:val="clear" w:color="auto" w:fill="1B556B"/>
            <w:tcMar>
              <w:top w:w="0" w:type="dxa"/>
              <w:left w:w="85" w:type="dxa"/>
              <w:bottom w:w="0" w:type="dxa"/>
              <w:right w:w="85" w:type="dxa"/>
            </w:tcMar>
            <w:vAlign w:val="center"/>
          </w:tcPr>
          <w:p w14:paraId="680D2A11"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949" w:type="dxa"/>
            <w:tcBorders>
              <w:top w:val="nil"/>
            </w:tcBorders>
            <w:shd w:val="clear" w:color="auto" w:fill="1B556B"/>
            <w:tcMar>
              <w:top w:w="0" w:type="dxa"/>
              <w:left w:w="85" w:type="dxa"/>
              <w:bottom w:w="0" w:type="dxa"/>
              <w:right w:w="85" w:type="dxa"/>
            </w:tcMar>
            <w:vAlign w:val="center"/>
          </w:tcPr>
          <w:p w14:paraId="5C13C5FC"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1990–2024</w:t>
            </w:r>
          </w:p>
        </w:tc>
        <w:tc>
          <w:tcPr>
            <w:tcW w:w="1594" w:type="dxa"/>
            <w:tcBorders>
              <w:top w:val="nil"/>
            </w:tcBorders>
            <w:shd w:val="clear" w:color="auto" w:fill="1B556B"/>
            <w:tcMar>
              <w:top w:w="0" w:type="dxa"/>
              <w:left w:w="85" w:type="dxa"/>
              <w:bottom w:w="0" w:type="dxa"/>
              <w:right w:w="85" w:type="dxa"/>
            </w:tcMar>
            <w:vAlign w:val="center"/>
          </w:tcPr>
          <w:p w14:paraId="7D9F3F64"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1990–2024</w:t>
            </w:r>
          </w:p>
        </w:tc>
      </w:tr>
      <w:tr w:rsidR="00447423" w:rsidRPr="002A3CBE" w14:paraId="19628B05" w14:textId="77777777" w:rsidTr="00F16E23">
        <w:tc>
          <w:tcPr>
            <w:tcW w:w="2129" w:type="dxa"/>
            <w:shd w:val="clear" w:color="auto" w:fill="FFFFFF"/>
            <w:tcMar>
              <w:top w:w="0" w:type="dxa"/>
              <w:left w:w="85" w:type="dxa"/>
              <w:bottom w:w="0" w:type="dxa"/>
              <w:right w:w="85" w:type="dxa"/>
            </w:tcMar>
            <w:vAlign w:val="center"/>
          </w:tcPr>
          <w:p w14:paraId="505BF4DC" w14:textId="77777777" w:rsidR="00447423" w:rsidRPr="002A3CBE" w:rsidRDefault="00447423" w:rsidP="00F16E23">
            <w:pPr>
              <w:pStyle w:val="TableText"/>
              <w:keepNext/>
              <w:spacing w:before="40" w:after="40"/>
              <w:rPr>
                <w:rFonts w:eastAsia="Calibri"/>
              </w:rPr>
            </w:pPr>
            <w:r w:rsidRPr="002A3CBE">
              <w:rPr>
                <w:rFonts w:eastAsia="Calibri"/>
              </w:rPr>
              <w:t>Forest land</w:t>
            </w:r>
          </w:p>
        </w:tc>
        <w:tc>
          <w:tcPr>
            <w:tcW w:w="1594" w:type="dxa"/>
            <w:shd w:val="clear" w:color="auto" w:fill="FFFFFF"/>
            <w:tcMar>
              <w:top w:w="0" w:type="dxa"/>
              <w:left w:w="85" w:type="dxa"/>
              <w:bottom w:w="0" w:type="dxa"/>
              <w:right w:w="85" w:type="dxa"/>
            </w:tcMar>
            <w:vAlign w:val="center"/>
          </w:tcPr>
          <w:p w14:paraId="72CD796E" w14:textId="77777777" w:rsidR="00447423" w:rsidRPr="002A3CBE" w:rsidRDefault="00447423" w:rsidP="00F16E23">
            <w:pPr>
              <w:pStyle w:val="TableText"/>
              <w:keepNext/>
              <w:spacing w:before="40" w:after="40"/>
              <w:jc w:val="right"/>
              <w:rPr>
                <w:rFonts w:eastAsia="Calibri"/>
              </w:rPr>
            </w:pPr>
            <w:r w:rsidRPr="002A3CBE">
              <w:rPr>
                <w:rFonts w:eastAsia="Calibri"/>
              </w:rPr>
              <w:t>-23,400.1</w:t>
            </w:r>
          </w:p>
        </w:tc>
        <w:tc>
          <w:tcPr>
            <w:tcW w:w="1239" w:type="dxa"/>
            <w:shd w:val="clear" w:color="auto" w:fill="FFFFFF"/>
            <w:tcMar>
              <w:top w:w="0" w:type="dxa"/>
              <w:left w:w="85" w:type="dxa"/>
              <w:bottom w:w="0" w:type="dxa"/>
              <w:right w:w="85" w:type="dxa"/>
            </w:tcMar>
            <w:vAlign w:val="center"/>
          </w:tcPr>
          <w:p w14:paraId="4FB8652D" w14:textId="77777777" w:rsidR="00447423" w:rsidRPr="002A3CBE" w:rsidRDefault="00447423" w:rsidP="00F16E23">
            <w:pPr>
              <w:pStyle w:val="TableText"/>
              <w:keepNext/>
              <w:spacing w:before="40" w:after="40"/>
              <w:jc w:val="right"/>
              <w:rPr>
                <w:rFonts w:eastAsia="Calibri"/>
              </w:rPr>
            </w:pPr>
            <w:r w:rsidRPr="002A3CBE">
              <w:rPr>
                <w:rFonts w:eastAsia="Calibri"/>
              </w:rPr>
              <w:t>-18,611.5</w:t>
            </w:r>
          </w:p>
        </w:tc>
        <w:tc>
          <w:tcPr>
            <w:tcW w:w="1949" w:type="dxa"/>
            <w:shd w:val="clear" w:color="auto" w:fill="FFFFFF"/>
            <w:tcMar>
              <w:top w:w="0" w:type="dxa"/>
              <w:left w:w="85" w:type="dxa"/>
              <w:bottom w:w="0" w:type="dxa"/>
              <w:right w:w="85" w:type="dxa"/>
            </w:tcMar>
            <w:vAlign w:val="center"/>
          </w:tcPr>
          <w:p w14:paraId="700E3EB2" w14:textId="77777777" w:rsidR="00447423" w:rsidRPr="002A3CBE" w:rsidRDefault="00447423" w:rsidP="00F16E23">
            <w:pPr>
              <w:pStyle w:val="TableText"/>
              <w:keepNext/>
              <w:spacing w:before="40" w:after="40"/>
              <w:jc w:val="right"/>
              <w:rPr>
                <w:rFonts w:eastAsia="Calibri"/>
              </w:rPr>
            </w:pPr>
            <w:r w:rsidRPr="002A3CBE">
              <w:rPr>
                <w:rFonts w:eastAsia="Calibri"/>
              </w:rPr>
              <w:t>4,788.6</w:t>
            </w:r>
          </w:p>
        </w:tc>
        <w:tc>
          <w:tcPr>
            <w:tcW w:w="1594" w:type="dxa"/>
            <w:shd w:val="clear" w:color="auto" w:fill="FFFFFF"/>
            <w:tcMar>
              <w:top w:w="0" w:type="dxa"/>
              <w:left w:w="85" w:type="dxa"/>
              <w:bottom w:w="0" w:type="dxa"/>
              <w:right w:w="85" w:type="dxa"/>
            </w:tcMar>
            <w:vAlign w:val="center"/>
          </w:tcPr>
          <w:p w14:paraId="6D881A36" w14:textId="77777777" w:rsidR="00447423" w:rsidRPr="002A3CBE" w:rsidRDefault="00447423" w:rsidP="00F16E23">
            <w:pPr>
              <w:pStyle w:val="TableText"/>
              <w:keepNext/>
              <w:spacing w:before="40" w:after="40"/>
              <w:jc w:val="right"/>
              <w:rPr>
                <w:rFonts w:eastAsia="Calibri"/>
              </w:rPr>
            </w:pPr>
            <w:r w:rsidRPr="002A3CBE">
              <w:rPr>
                <w:rFonts w:eastAsia="Calibri"/>
              </w:rPr>
              <w:t>20.5</w:t>
            </w:r>
          </w:p>
        </w:tc>
      </w:tr>
      <w:tr w:rsidR="00447423" w:rsidRPr="002A3CBE" w14:paraId="28D2038A" w14:textId="77777777" w:rsidTr="00F16E23">
        <w:tc>
          <w:tcPr>
            <w:tcW w:w="2129" w:type="dxa"/>
            <w:shd w:val="clear" w:color="auto" w:fill="FFFFFF"/>
            <w:tcMar>
              <w:top w:w="0" w:type="dxa"/>
              <w:left w:w="85" w:type="dxa"/>
              <w:bottom w:w="0" w:type="dxa"/>
              <w:right w:w="85" w:type="dxa"/>
            </w:tcMar>
            <w:vAlign w:val="center"/>
          </w:tcPr>
          <w:p w14:paraId="747C0CF7" w14:textId="77777777" w:rsidR="00447423" w:rsidRPr="002A3CBE" w:rsidRDefault="00447423" w:rsidP="00F16E23">
            <w:pPr>
              <w:pStyle w:val="TableText"/>
              <w:keepNext/>
              <w:spacing w:before="40" w:after="40"/>
              <w:rPr>
                <w:rFonts w:eastAsia="Calibri"/>
              </w:rPr>
            </w:pPr>
            <w:r w:rsidRPr="002A3CBE">
              <w:rPr>
                <w:rFonts w:eastAsia="Calibri"/>
              </w:rPr>
              <w:t>Cropland</w:t>
            </w:r>
          </w:p>
        </w:tc>
        <w:tc>
          <w:tcPr>
            <w:tcW w:w="1594" w:type="dxa"/>
            <w:shd w:val="clear" w:color="auto" w:fill="FFFFFF"/>
            <w:tcMar>
              <w:top w:w="0" w:type="dxa"/>
              <w:left w:w="85" w:type="dxa"/>
              <w:bottom w:w="0" w:type="dxa"/>
              <w:right w:w="85" w:type="dxa"/>
            </w:tcMar>
            <w:vAlign w:val="center"/>
          </w:tcPr>
          <w:p w14:paraId="560A4AE0" w14:textId="77777777" w:rsidR="00447423" w:rsidRPr="002A3CBE" w:rsidRDefault="00447423" w:rsidP="00F16E23">
            <w:pPr>
              <w:pStyle w:val="TableText"/>
              <w:keepNext/>
              <w:spacing w:before="40" w:after="40"/>
              <w:jc w:val="right"/>
              <w:rPr>
                <w:rFonts w:eastAsia="Calibri"/>
              </w:rPr>
            </w:pPr>
            <w:r w:rsidRPr="002A3CBE">
              <w:rPr>
                <w:rFonts w:eastAsia="Calibri"/>
              </w:rPr>
              <w:t>436.8</w:t>
            </w:r>
          </w:p>
        </w:tc>
        <w:tc>
          <w:tcPr>
            <w:tcW w:w="1239" w:type="dxa"/>
            <w:shd w:val="clear" w:color="auto" w:fill="FFFFFF"/>
            <w:tcMar>
              <w:top w:w="0" w:type="dxa"/>
              <w:left w:w="85" w:type="dxa"/>
              <w:bottom w:w="0" w:type="dxa"/>
              <w:right w:w="85" w:type="dxa"/>
            </w:tcMar>
            <w:vAlign w:val="center"/>
          </w:tcPr>
          <w:p w14:paraId="63E769FC" w14:textId="77777777" w:rsidR="00447423" w:rsidRPr="002A3CBE" w:rsidRDefault="00447423" w:rsidP="00F16E23">
            <w:pPr>
              <w:pStyle w:val="TableText"/>
              <w:keepNext/>
              <w:spacing w:before="40" w:after="40"/>
              <w:jc w:val="right"/>
              <w:rPr>
                <w:rFonts w:eastAsia="Calibri"/>
              </w:rPr>
            </w:pPr>
            <w:r w:rsidRPr="002A3CBE">
              <w:rPr>
                <w:rFonts w:eastAsia="Calibri"/>
              </w:rPr>
              <w:t>580.0</w:t>
            </w:r>
          </w:p>
        </w:tc>
        <w:tc>
          <w:tcPr>
            <w:tcW w:w="1949" w:type="dxa"/>
            <w:shd w:val="clear" w:color="auto" w:fill="FFFFFF"/>
            <w:tcMar>
              <w:top w:w="0" w:type="dxa"/>
              <w:left w:w="85" w:type="dxa"/>
              <w:bottom w:w="0" w:type="dxa"/>
              <w:right w:w="85" w:type="dxa"/>
            </w:tcMar>
            <w:vAlign w:val="center"/>
          </w:tcPr>
          <w:p w14:paraId="3FD9D6FE" w14:textId="77777777" w:rsidR="00447423" w:rsidRPr="002A3CBE" w:rsidRDefault="00447423" w:rsidP="00F16E23">
            <w:pPr>
              <w:pStyle w:val="TableText"/>
              <w:keepNext/>
              <w:spacing w:before="40" w:after="40"/>
              <w:jc w:val="right"/>
              <w:rPr>
                <w:rFonts w:eastAsia="Calibri"/>
              </w:rPr>
            </w:pPr>
            <w:r w:rsidRPr="002A3CBE">
              <w:rPr>
                <w:rFonts w:eastAsia="Calibri"/>
              </w:rPr>
              <w:t>143.2</w:t>
            </w:r>
          </w:p>
        </w:tc>
        <w:tc>
          <w:tcPr>
            <w:tcW w:w="1594" w:type="dxa"/>
            <w:shd w:val="clear" w:color="auto" w:fill="FFFFFF"/>
            <w:tcMar>
              <w:top w:w="0" w:type="dxa"/>
              <w:left w:w="85" w:type="dxa"/>
              <w:bottom w:w="0" w:type="dxa"/>
              <w:right w:w="85" w:type="dxa"/>
            </w:tcMar>
            <w:vAlign w:val="center"/>
          </w:tcPr>
          <w:p w14:paraId="23199E13" w14:textId="77777777" w:rsidR="00447423" w:rsidRPr="002A3CBE" w:rsidRDefault="00447423" w:rsidP="00F16E23">
            <w:pPr>
              <w:pStyle w:val="TableText"/>
              <w:keepNext/>
              <w:spacing w:before="40" w:after="40"/>
              <w:jc w:val="right"/>
              <w:rPr>
                <w:rFonts w:eastAsia="Calibri"/>
              </w:rPr>
            </w:pPr>
            <w:r w:rsidRPr="002A3CBE">
              <w:rPr>
                <w:rFonts w:eastAsia="Calibri"/>
              </w:rPr>
              <w:t>32.8</w:t>
            </w:r>
          </w:p>
        </w:tc>
      </w:tr>
      <w:tr w:rsidR="00447423" w:rsidRPr="002A3CBE" w14:paraId="0F37672B" w14:textId="77777777" w:rsidTr="00F16E23">
        <w:tc>
          <w:tcPr>
            <w:tcW w:w="2129" w:type="dxa"/>
            <w:shd w:val="clear" w:color="auto" w:fill="FFFFFF"/>
            <w:tcMar>
              <w:top w:w="0" w:type="dxa"/>
              <w:left w:w="85" w:type="dxa"/>
              <w:bottom w:w="0" w:type="dxa"/>
              <w:right w:w="85" w:type="dxa"/>
            </w:tcMar>
            <w:vAlign w:val="center"/>
          </w:tcPr>
          <w:p w14:paraId="1BDE874C" w14:textId="77777777" w:rsidR="00447423" w:rsidRPr="002A3CBE" w:rsidRDefault="00447423" w:rsidP="00F16E23">
            <w:pPr>
              <w:pStyle w:val="TableText"/>
              <w:keepNext/>
              <w:spacing w:before="40" w:after="40"/>
              <w:rPr>
                <w:rFonts w:eastAsia="Calibri"/>
              </w:rPr>
            </w:pPr>
            <w:r w:rsidRPr="002A3CBE">
              <w:rPr>
                <w:rFonts w:eastAsia="Calibri"/>
              </w:rPr>
              <w:t>Grassland</w:t>
            </w:r>
          </w:p>
        </w:tc>
        <w:tc>
          <w:tcPr>
            <w:tcW w:w="1594" w:type="dxa"/>
            <w:shd w:val="clear" w:color="auto" w:fill="FFFFFF"/>
            <w:tcMar>
              <w:top w:w="0" w:type="dxa"/>
              <w:left w:w="85" w:type="dxa"/>
              <w:bottom w:w="0" w:type="dxa"/>
              <w:right w:w="85" w:type="dxa"/>
            </w:tcMar>
            <w:vAlign w:val="center"/>
          </w:tcPr>
          <w:p w14:paraId="42F930FF" w14:textId="77777777" w:rsidR="00447423" w:rsidRPr="002A3CBE" w:rsidRDefault="00447423" w:rsidP="00F16E23">
            <w:pPr>
              <w:pStyle w:val="TableText"/>
              <w:keepNext/>
              <w:spacing w:before="40" w:after="40"/>
              <w:jc w:val="right"/>
              <w:rPr>
                <w:rFonts w:eastAsia="Calibri"/>
              </w:rPr>
            </w:pPr>
            <w:r w:rsidRPr="002A3CBE">
              <w:rPr>
                <w:rFonts w:eastAsia="Calibri"/>
              </w:rPr>
              <w:t>1,990.1</w:t>
            </w:r>
          </w:p>
        </w:tc>
        <w:tc>
          <w:tcPr>
            <w:tcW w:w="1239" w:type="dxa"/>
            <w:shd w:val="clear" w:color="auto" w:fill="FFFFFF"/>
            <w:tcMar>
              <w:top w:w="0" w:type="dxa"/>
              <w:left w:w="85" w:type="dxa"/>
              <w:bottom w:w="0" w:type="dxa"/>
              <w:right w:w="85" w:type="dxa"/>
            </w:tcMar>
            <w:vAlign w:val="center"/>
          </w:tcPr>
          <w:p w14:paraId="6CD97DED" w14:textId="77777777" w:rsidR="00447423" w:rsidRPr="002A3CBE" w:rsidRDefault="00447423" w:rsidP="00F16E23">
            <w:pPr>
              <w:pStyle w:val="TableText"/>
              <w:keepNext/>
              <w:spacing w:before="40" w:after="40"/>
              <w:jc w:val="right"/>
              <w:rPr>
                <w:rFonts w:eastAsia="Calibri"/>
              </w:rPr>
            </w:pPr>
            <w:r w:rsidRPr="002A3CBE">
              <w:rPr>
                <w:rFonts w:eastAsia="Calibri"/>
              </w:rPr>
              <w:t>2,186.9</w:t>
            </w:r>
          </w:p>
        </w:tc>
        <w:tc>
          <w:tcPr>
            <w:tcW w:w="1949" w:type="dxa"/>
            <w:shd w:val="clear" w:color="auto" w:fill="FFFFFF"/>
            <w:tcMar>
              <w:top w:w="0" w:type="dxa"/>
              <w:left w:w="85" w:type="dxa"/>
              <w:bottom w:w="0" w:type="dxa"/>
              <w:right w:w="85" w:type="dxa"/>
            </w:tcMar>
            <w:vAlign w:val="center"/>
          </w:tcPr>
          <w:p w14:paraId="6EC0DE63" w14:textId="77777777" w:rsidR="00447423" w:rsidRPr="002A3CBE" w:rsidRDefault="00447423" w:rsidP="00F16E23">
            <w:pPr>
              <w:pStyle w:val="TableText"/>
              <w:keepNext/>
              <w:spacing w:before="40" w:after="40"/>
              <w:jc w:val="right"/>
              <w:rPr>
                <w:rFonts w:eastAsia="Calibri"/>
              </w:rPr>
            </w:pPr>
            <w:r w:rsidRPr="002A3CBE">
              <w:rPr>
                <w:rFonts w:eastAsia="Calibri"/>
              </w:rPr>
              <w:t>196.7</w:t>
            </w:r>
          </w:p>
        </w:tc>
        <w:tc>
          <w:tcPr>
            <w:tcW w:w="1594" w:type="dxa"/>
            <w:shd w:val="clear" w:color="auto" w:fill="FFFFFF"/>
            <w:tcMar>
              <w:top w:w="0" w:type="dxa"/>
              <w:left w:w="85" w:type="dxa"/>
              <w:bottom w:w="0" w:type="dxa"/>
              <w:right w:w="85" w:type="dxa"/>
            </w:tcMar>
            <w:vAlign w:val="center"/>
          </w:tcPr>
          <w:p w14:paraId="78206E61" w14:textId="77777777" w:rsidR="00447423" w:rsidRPr="002A3CBE" w:rsidRDefault="00447423" w:rsidP="00F16E23">
            <w:pPr>
              <w:pStyle w:val="TableText"/>
              <w:keepNext/>
              <w:spacing w:before="40" w:after="40"/>
              <w:jc w:val="right"/>
              <w:rPr>
                <w:rFonts w:eastAsia="Calibri"/>
              </w:rPr>
            </w:pPr>
            <w:r w:rsidRPr="002A3CBE">
              <w:rPr>
                <w:rFonts w:eastAsia="Calibri"/>
              </w:rPr>
              <w:t>9.9</w:t>
            </w:r>
          </w:p>
        </w:tc>
      </w:tr>
      <w:tr w:rsidR="00447423" w:rsidRPr="002A3CBE" w14:paraId="71E8C508" w14:textId="77777777" w:rsidTr="00F16E23">
        <w:tc>
          <w:tcPr>
            <w:tcW w:w="2129" w:type="dxa"/>
            <w:shd w:val="clear" w:color="auto" w:fill="FFFFFF"/>
            <w:tcMar>
              <w:top w:w="0" w:type="dxa"/>
              <w:left w:w="85" w:type="dxa"/>
              <w:bottom w:w="0" w:type="dxa"/>
              <w:right w:w="85" w:type="dxa"/>
            </w:tcMar>
            <w:vAlign w:val="center"/>
          </w:tcPr>
          <w:p w14:paraId="5B7D8DB3" w14:textId="77777777" w:rsidR="00447423" w:rsidRPr="002A3CBE" w:rsidRDefault="00447423" w:rsidP="00F16E23">
            <w:pPr>
              <w:pStyle w:val="TableText"/>
              <w:keepNext/>
              <w:spacing w:before="40" w:after="40"/>
              <w:rPr>
                <w:rFonts w:eastAsia="Calibri"/>
              </w:rPr>
            </w:pPr>
            <w:r w:rsidRPr="002A3CBE">
              <w:rPr>
                <w:rFonts w:eastAsia="Calibri"/>
              </w:rPr>
              <w:t>Wetlands</w:t>
            </w:r>
          </w:p>
        </w:tc>
        <w:tc>
          <w:tcPr>
            <w:tcW w:w="1594" w:type="dxa"/>
            <w:shd w:val="clear" w:color="auto" w:fill="FFFFFF"/>
            <w:tcMar>
              <w:top w:w="0" w:type="dxa"/>
              <w:left w:w="85" w:type="dxa"/>
              <w:bottom w:w="0" w:type="dxa"/>
              <w:right w:w="85" w:type="dxa"/>
            </w:tcMar>
            <w:vAlign w:val="center"/>
          </w:tcPr>
          <w:p w14:paraId="7AB1E4E4" w14:textId="77777777" w:rsidR="00447423" w:rsidRPr="002A3CBE" w:rsidRDefault="00447423" w:rsidP="00F16E23">
            <w:pPr>
              <w:pStyle w:val="TableText"/>
              <w:keepNext/>
              <w:spacing w:before="40" w:after="40"/>
              <w:jc w:val="right"/>
              <w:rPr>
                <w:rFonts w:eastAsia="Calibri"/>
              </w:rPr>
            </w:pPr>
            <w:r w:rsidRPr="002A3CBE">
              <w:rPr>
                <w:rFonts w:eastAsia="Calibri"/>
              </w:rPr>
              <w:t>-8.1</w:t>
            </w:r>
          </w:p>
        </w:tc>
        <w:tc>
          <w:tcPr>
            <w:tcW w:w="1239" w:type="dxa"/>
            <w:shd w:val="clear" w:color="auto" w:fill="FFFFFF"/>
            <w:tcMar>
              <w:top w:w="0" w:type="dxa"/>
              <w:left w:w="85" w:type="dxa"/>
              <w:bottom w:w="0" w:type="dxa"/>
              <w:right w:w="85" w:type="dxa"/>
            </w:tcMar>
            <w:vAlign w:val="center"/>
          </w:tcPr>
          <w:p w14:paraId="15A6E901" w14:textId="77777777" w:rsidR="00447423" w:rsidRPr="002A3CBE" w:rsidRDefault="00447423" w:rsidP="00F16E23">
            <w:pPr>
              <w:pStyle w:val="TableText"/>
              <w:keepNext/>
              <w:spacing w:before="40" w:after="40"/>
              <w:jc w:val="right"/>
              <w:rPr>
                <w:rFonts w:eastAsia="Calibri"/>
              </w:rPr>
            </w:pPr>
            <w:r w:rsidRPr="002A3CBE">
              <w:rPr>
                <w:rFonts w:eastAsia="Calibri"/>
              </w:rPr>
              <w:t>5.8</w:t>
            </w:r>
          </w:p>
        </w:tc>
        <w:tc>
          <w:tcPr>
            <w:tcW w:w="1949" w:type="dxa"/>
            <w:shd w:val="clear" w:color="auto" w:fill="FFFFFF"/>
            <w:tcMar>
              <w:top w:w="0" w:type="dxa"/>
              <w:left w:w="85" w:type="dxa"/>
              <w:bottom w:w="0" w:type="dxa"/>
              <w:right w:w="85" w:type="dxa"/>
            </w:tcMar>
            <w:vAlign w:val="center"/>
          </w:tcPr>
          <w:p w14:paraId="3F458DAD" w14:textId="77777777" w:rsidR="00447423" w:rsidRPr="002A3CBE" w:rsidRDefault="00447423" w:rsidP="00F16E23">
            <w:pPr>
              <w:pStyle w:val="TableText"/>
              <w:keepNext/>
              <w:spacing w:before="40" w:after="40"/>
              <w:jc w:val="right"/>
              <w:rPr>
                <w:rFonts w:eastAsia="Calibri"/>
              </w:rPr>
            </w:pPr>
            <w:r w:rsidRPr="002A3CBE">
              <w:rPr>
                <w:rFonts w:eastAsia="Calibri"/>
              </w:rPr>
              <w:t>14.0</w:t>
            </w:r>
          </w:p>
        </w:tc>
        <w:tc>
          <w:tcPr>
            <w:tcW w:w="1594" w:type="dxa"/>
            <w:shd w:val="clear" w:color="auto" w:fill="FFFFFF"/>
            <w:tcMar>
              <w:top w:w="0" w:type="dxa"/>
              <w:left w:w="85" w:type="dxa"/>
              <w:bottom w:w="0" w:type="dxa"/>
              <w:right w:w="85" w:type="dxa"/>
            </w:tcMar>
            <w:vAlign w:val="center"/>
          </w:tcPr>
          <w:p w14:paraId="6A58F62B" w14:textId="77777777" w:rsidR="00447423" w:rsidRPr="002A3CBE" w:rsidRDefault="00447423" w:rsidP="00F16E23">
            <w:pPr>
              <w:pStyle w:val="TableText"/>
              <w:keepNext/>
              <w:spacing w:before="40" w:after="40"/>
              <w:jc w:val="right"/>
              <w:rPr>
                <w:rFonts w:eastAsia="Calibri"/>
              </w:rPr>
            </w:pPr>
            <w:r w:rsidRPr="002A3CBE">
              <w:rPr>
                <w:rFonts w:eastAsia="Calibri"/>
              </w:rPr>
              <w:t>171.6</w:t>
            </w:r>
          </w:p>
        </w:tc>
      </w:tr>
      <w:tr w:rsidR="00447423" w:rsidRPr="002A3CBE" w14:paraId="629F5C58" w14:textId="77777777" w:rsidTr="00F16E23">
        <w:tc>
          <w:tcPr>
            <w:tcW w:w="2129" w:type="dxa"/>
            <w:shd w:val="clear" w:color="auto" w:fill="FFFFFF"/>
            <w:tcMar>
              <w:top w:w="0" w:type="dxa"/>
              <w:left w:w="85" w:type="dxa"/>
              <w:bottom w:w="0" w:type="dxa"/>
              <w:right w:w="85" w:type="dxa"/>
            </w:tcMar>
            <w:vAlign w:val="center"/>
          </w:tcPr>
          <w:p w14:paraId="09DBB5F3" w14:textId="77777777" w:rsidR="00447423" w:rsidRPr="002A3CBE" w:rsidRDefault="00447423" w:rsidP="00F16E23">
            <w:pPr>
              <w:pStyle w:val="TableText"/>
              <w:keepNext/>
              <w:spacing w:before="40" w:after="40"/>
              <w:rPr>
                <w:rFonts w:eastAsia="Calibri"/>
              </w:rPr>
            </w:pPr>
            <w:r w:rsidRPr="002A3CBE">
              <w:rPr>
                <w:rFonts w:eastAsia="Calibri"/>
              </w:rPr>
              <w:t>Settlements</w:t>
            </w:r>
          </w:p>
        </w:tc>
        <w:tc>
          <w:tcPr>
            <w:tcW w:w="1594" w:type="dxa"/>
            <w:shd w:val="clear" w:color="auto" w:fill="FFFFFF"/>
            <w:tcMar>
              <w:top w:w="0" w:type="dxa"/>
              <w:left w:w="85" w:type="dxa"/>
              <w:bottom w:w="0" w:type="dxa"/>
              <w:right w:w="85" w:type="dxa"/>
            </w:tcMar>
            <w:vAlign w:val="center"/>
          </w:tcPr>
          <w:p w14:paraId="4CDFF070" w14:textId="77777777" w:rsidR="00447423" w:rsidRPr="002A3CBE" w:rsidRDefault="00447423" w:rsidP="00F16E23">
            <w:pPr>
              <w:pStyle w:val="TableText"/>
              <w:keepNext/>
              <w:spacing w:before="40" w:after="40"/>
              <w:jc w:val="right"/>
              <w:rPr>
                <w:rFonts w:eastAsia="Calibri"/>
              </w:rPr>
            </w:pPr>
            <w:r w:rsidRPr="002A3CBE">
              <w:rPr>
                <w:rFonts w:eastAsia="Calibri"/>
              </w:rPr>
              <w:t>69.8</w:t>
            </w:r>
          </w:p>
        </w:tc>
        <w:tc>
          <w:tcPr>
            <w:tcW w:w="1239" w:type="dxa"/>
            <w:shd w:val="clear" w:color="auto" w:fill="FFFFFF"/>
            <w:tcMar>
              <w:top w:w="0" w:type="dxa"/>
              <w:left w:w="85" w:type="dxa"/>
              <w:bottom w:w="0" w:type="dxa"/>
              <w:right w:w="85" w:type="dxa"/>
            </w:tcMar>
            <w:vAlign w:val="center"/>
          </w:tcPr>
          <w:p w14:paraId="4617C544" w14:textId="77777777" w:rsidR="00447423" w:rsidRPr="002A3CBE" w:rsidRDefault="00447423" w:rsidP="00F16E23">
            <w:pPr>
              <w:pStyle w:val="TableText"/>
              <w:keepNext/>
              <w:spacing w:before="40" w:after="40"/>
              <w:jc w:val="right"/>
              <w:rPr>
                <w:rFonts w:eastAsia="Calibri"/>
              </w:rPr>
            </w:pPr>
            <w:r w:rsidRPr="002A3CBE">
              <w:rPr>
                <w:rFonts w:eastAsia="Calibri"/>
              </w:rPr>
              <w:t>115.2</w:t>
            </w:r>
          </w:p>
        </w:tc>
        <w:tc>
          <w:tcPr>
            <w:tcW w:w="1949" w:type="dxa"/>
            <w:shd w:val="clear" w:color="auto" w:fill="FFFFFF"/>
            <w:tcMar>
              <w:top w:w="0" w:type="dxa"/>
              <w:left w:w="85" w:type="dxa"/>
              <w:bottom w:w="0" w:type="dxa"/>
              <w:right w:w="85" w:type="dxa"/>
            </w:tcMar>
            <w:vAlign w:val="center"/>
          </w:tcPr>
          <w:p w14:paraId="18F78D9C" w14:textId="77777777" w:rsidR="00447423" w:rsidRPr="002A3CBE" w:rsidRDefault="00447423" w:rsidP="00F16E23">
            <w:pPr>
              <w:pStyle w:val="TableText"/>
              <w:keepNext/>
              <w:spacing w:before="40" w:after="40"/>
              <w:jc w:val="right"/>
              <w:rPr>
                <w:rFonts w:eastAsia="Calibri"/>
              </w:rPr>
            </w:pPr>
            <w:r w:rsidRPr="002A3CBE">
              <w:rPr>
                <w:rFonts w:eastAsia="Calibri"/>
              </w:rPr>
              <w:t>45.4</w:t>
            </w:r>
          </w:p>
        </w:tc>
        <w:tc>
          <w:tcPr>
            <w:tcW w:w="1594" w:type="dxa"/>
            <w:shd w:val="clear" w:color="auto" w:fill="FFFFFF"/>
            <w:tcMar>
              <w:top w:w="0" w:type="dxa"/>
              <w:left w:w="85" w:type="dxa"/>
              <w:bottom w:w="0" w:type="dxa"/>
              <w:right w:w="85" w:type="dxa"/>
            </w:tcMar>
            <w:vAlign w:val="center"/>
          </w:tcPr>
          <w:p w14:paraId="6C004D38" w14:textId="77777777" w:rsidR="00447423" w:rsidRPr="002A3CBE" w:rsidRDefault="00447423" w:rsidP="00F16E23">
            <w:pPr>
              <w:pStyle w:val="TableText"/>
              <w:keepNext/>
              <w:spacing w:before="40" w:after="40"/>
              <w:jc w:val="right"/>
              <w:rPr>
                <w:rFonts w:eastAsia="Calibri"/>
              </w:rPr>
            </w:pPr>
            <w:r w:rsidRPr="002A3CBE">
              <w:rPr>
                <w:rFonts w:eastAsia="Calibri"/>
              </w:rPr>
              <w:t>65.0</w:t>
            </w:r>
          </w:p>
        </w:tc>
      </w:tr>
      <w:tr w:rsidR="00447423" w:rsidRPr="002A3CBE" w14:paraId="0A3B2B6E" w14:textId="77777777" w:rsidTr="00F16E23">
        <w:tc>
          <w:tcPr>
            <w:tcW w:w="2129" w:type="dxa"/>
            <w:shd w:val="clear" w:color="auto" w:fill="FFFFFF"/>
            <w:tcMar>
              <w:top w:w="0" w:type="dxa"/>
              <w:left w:w="85" w:type="dxa"/>
              <w:bottom w:w="0" w:type="dxa"/>
              <w:right w:w="85" w:type="dxa"/>
            </w:tcMar>
            <w:vAlign w:val="center"/>
          </w:tcPr>
          <w:p w14:paraId="16A697AE" w14:textId="77777777" w:rsidR="00447423" w:rsidRPr="002A3CBE" w:rsidRDefault="00447423" w:rsidP="00F16E23">
            <w:pPr>
              <w:pStyle w:val="TableText"/>
              <w:spacing w:before="40" w:after="40"/>
              <w:rPr>
                <w:rFonts w:eastAsia="Calibri"/>
              </w:rPr>
            </w:pPr>
            <w:r w:rsidRPr="002A3CBE">
              <w:rPr>
                <w:rFonts w:eastAsia="Calibri"/>
              </w:rPr>
              <w:t>Other land</w:t>
            </w:r>
          </w:p>
        </w:tc>
        <w:tc>
          <w:tcPr>
            <w:tcW w:w="1594" w:type="dxa"/>
            <w:shd w:val="clear" w:color="auto" w:fill="FFFFFF"/>
            <w:tcMar>
              <w:top w:w="0" w:type="dxa"/>
              <w:left w:w="85" w:type="dxa"/>
              <w:bottom w:w="0" w:type="dxa"/>
              <w:right w:w="85" w:type="dxa"/>
            </w:tcMar>
            <w:vAlign w:val="center"/>
          </w:tcPr>
          <w:p w14:paraId="10159D6B" w14:textId="77777777" w:rsidR="00447423" w:rsidRPr="002A3CBE" w:rsidRDefault="00447423" w:rsidP="00F16E23">
            <w:pPr>
              <w:pStyle w:val="TableText"/>
              <w:spacing w:before="40" w:after="40"/>
              <w:jc w:val="right"/>
              <w:rPr>
                <w:rFonts w:eastAsia="Calibri"/>
              </w:rPr>
            </w:pPr>
            <w:r w:rsidRPr="002A3CBE">
              <w:rPr>
                <w:rFonts w:eastAsia="Calibri"/>
              </w:rPr>
              <w:t>14.7</w:t>
            </w:r>
          </w:p>
        </w:tc>
        <w:tc>
          <w:tcPr>
            <w:tcW w:w="1239" w:type="dxa"/>
            <w:shd w:val="clear" w:color="auto" w:fill="FFFFFF"/>
            <w:tcMar>
              <w:top w:w="0" w:type="dxa"/>
              <w:left w:w="85" w:type="dxa"/>
              <w:bottom w:w="0" w:type="dxa"/>
              <w:right w:w="85" w:type="dxa"/>
            </w:tcMar>
            <w:vAlign w:val="center"/>
          </w:tcPr>
          <w:p w14:paraId="2844D5FC" w14:textId="77777777" w:rsidR="00447423" w:rsidRPr="002A3CBE" w:rsidRDefault="00447423" w:rsidP="00F16E23">
            <w:pPr>
              <w:pStyle w:val="TableText"/>
              <w:spacing w:before="40" w:after="40"/>
              <w:jc w:val="right"/>
              <w:rPr>
                <w:rFonts w:eastAsia="Calibri"/>
              </w:rPr>
            </w:pPr>
            <w:r w:rsidRPr="002A3CBE">
              <w:rPr>
                <w:rFonts w:eastAsia="Calibri"/>
              </w:rPr>
              <w:t>74.3</w:t>
            </w:r>
          </w:p>
        </w:tc>
        <w:tc>
          <w:tcPr>
            <w:tcW w:w="1949" w:type="dxa"/>
            <w:shd w:val="clear" w:color="auto" w:fill="FFFFFF"/>
            <w:tcMar>
              <w:top w:w="0" w:type="dxa"/>
              <w:left w:w="85" w:type="dxa"/>
              <w:bottom w:w="0" w:type="dxa"/>
              <w:right w:w="85" w:type="dxa"/>
            </w:tcMar>
            <w:vAlign w:val="center"/>
          </w:tcPr>
          <w:p w14:paraId="73D1DC4A" w14:textId="77777777" w:rsidR="00447423" w:rsidRPr="002A3CBE" w:rsidRDefault="00447423" w:rsidP="00F16E23">
            <w:pPr>
              <w:pStyle w:val="TableText"/>
              <w:spacing w:before="40" w:after="40"/>
              <w:jc w:val="right"/>
              <w:rPr>
                <w:rFonts w:eastAsia="Calibri"/>
              </w:rPr>
            </w:pPr>
            <w:r w:rsidRPr="002A3CBE">
              <w:rPr>
                <w:rFonts w:eastAsia="Calibri"/>
              </w:rPr>
              <w:t>59.6</w:t>
            </w:r>
          </w:p>
        </w:tc>
        <w:tc>
          <w:tcPr>
            <w:tcW w:w="1594" w:type="dxa"/>
            <w:shd w:val="clear" w:color="auto" w:fill="FFFFFF"/>
            <w:tcMar>
              <w:top w:w="0" w:type="dxa"/>
              <w:left w:w="85" w:type="dxa"/>
              <w:bottom w:w="0" w:type="dxa"/>
              <w:right w:w="85" w:type="dxa"/>
            </w:tcMar>
            <w:vAlign w:val="center"/>
          </w:tcPr>
          <w:p w14:paraId="54FD087B" w14:textId="77777777" w:rsidR="00447423" w:rsidRPr="002A3CBE" w:rsidRDefault="00447423" w:rsidP="00F16E23">
            <w:pPr>
              <w:pStyle w:val="TableText"/>
              <w:spacing w:before="40" w:after="40"/>
              <w:jc w:val="right"/>
              <w:rPr>
                <w:rFonts w:eastAsia="Calibri"/>
              </w:rPr>
            </w:pPr>
            <w:r w:rsidRPr="002A3CBE">
              <w:rPr>
                <w:rFonts w:eastAsia="Calibri"/>
              </w:rPr>
              <w:t>405.4</w:t>
            </w:r>
          </w:p>
        </w:tc>
      </w:tr>
      <w:tr w:rsidR="00447423" w:rsidRPr="002A3CBE" w14:paraId="0F229AFB" w14:textId="77777777" w:rsidTr="00F16E23">
        <w:tc>
          <w:tcPr>
            <w:tcW w:w="2129" w:type="dxa"/>
            <w:shd w:val="clear" w:color="auto" w:fill="FFFFFF"/>
            <w:tcMar>
              <w:top w:w="0" w:type="dxa"/>
              <w:left w:w="85" w:type="dxa"/>
              <w:bottom w:w="0" w:type="dxa"/>
              <w:right w:w="85" w:type="dxa"/>
            </w:tcMar>
            <w:vAlign w:val="center"/>
          </w:tcPr>
          <w:p w14:paraId="1AFDDF26" w14:textId="77777777" w:rsidR="00447423" w:rsidRPr="002A3CBE" w:rsidRDefault="00447423" w:rsidP="00F16E23">
            <w:pPr>
              <w:pStyle w:val="TableText"/>
              <w:spacing w:before="40" w:after="40"/>
              <w:rPr>
                <w:rFonts w:eastAsia="Calibri"/>
              </w:rPr>
            </w:pPr>
            <w:r w:rsidRPr="002A3CBE">
              <w:rPr>
                <w:rFonts w:eastAsia="Calibri"/>
              </w:rPr>
              <w:t>Harvested wood products</w:t>
            </w:r>
          </w:p>
        </w:tc>
        <w:tc>
          <w:tcPr>
            <w:tcW w:w="1594" w:type="dxa"/>
            <w:shd w:val="clear" w:color="auto" w:fill="FFFFFF"/>
            <w:tcMar>
              <w:top w:w="0" w:type="dxa"/>
              <w:left w:w="85" w:type="dxa"/>
              <w:bottom w:w="0" w:type="dxa"/>
              <w:right w:w="85" w:type="dxa"/>
            </w:tcMar>
            <w:vAlign w:val="center"/>
          </w:tcPr>
          <w:p w14:paraId="18667386" w14:textId="77777777" w:rsidR="00447423" w:rsidRPr="002A3CBE" w:rsidRDefault="00447423" w:rsidP="00F16E23">
            <w:pPr>
              <w:pStyle w:val="TableText"/>
              <w:spacing w:before="40" w:after="40"/>
              <w:jc w:val="right"/>
              <w:rPr>
                <w:rFonts w:eastAsia="Calibri"/>
              </w:rPr>
            </w:pPr>
            <w:r w:rsidRPr="002A3CBE">
              <w:rPr>
                <w:rFonts w:eastAsia="Calibri"/>
              </w:rPr>
              <w:t>-2,437.8</w:t>
            </w:r>
          </w:p>
        </w:tc>
        <w:tc>
          <w:tcPr>
            <w:tcW w:w="1239" w:type="dxa"/>
            <w:shd w:val="clear" w:color="auto" w:fill="FFFFFF"/>
            <w:tcMar>
              <w:top w:w="0" w:type="dxa"/>
              <w:left w:w="85" w:type="dxa"/>
              <w:bottom w:w="0" w:type="dxa"/>
              <w:right w:w="85" w:type="dxa"/>
            </w:tcMar>
            <w:vAlign w:val="center"/>
          </w:tcPr>
          <w:p w14:paraId="2D6A906E" w14:textId="77777777" w:rsidR="00447423" w:rsidRPr="002A3CBE" w:rsidRDefault="00447423" w:rsidP="00F16E23">
            <w:pPr>
              <w:pStyle w:val="TableText"/>
              <w:spacing w:before="40" w:after="40"/>
              <w:jc w:val="right"/>
              <w:rPr>
                <w:rFonts w:eastAsia="Calibri"/>
              </w:rPr>
            </w:pPr>
            <w:r w:rsidRPr="002A3CBE">
              <w:rPr>
                <w:rFonts w:eastAsia="Calibri"/>
              </w:rPr>
              <w:t>-5,328.1</w:t>
            </w:r>
          </w:p>
        </w:tc>
        <w:tc>
          <w:tcPr>
            <w:tcW w:w="1949" w:type="dxa"/>
            <w:shd w:val="clear" w:color="auto" w:fill="FFFFFF"/>
            <w:tcMar>
              <w:top w:w="0" w:type="dxa"/>
              <w:left w:w="85" w:type="dxa"/>
              <w:bottom w:w="0" w:type="dxa"/>
              <w:right w:w="85" w:type="dxa"/>
            </w:tcMar>
            <w:vAlign w:val="center"/>
          </w:tcPr>
          <w:p w14:paraId="6C33A101" w14:textId="77777777" w:rsidR="00447423" w:rsidRPr="002A3CBE" w:rsidRDefault="00447423" w:rsidP="00F16E23">
            <w:pPr>
              <w:pStyle w:val="TableText"/>
              <w:spacing w:before="40" w:after="40"/>
              <w:jc w:val="right"/>
              <w:rPr>
                <w:rFonts w:eastAsia="Calibri"/>
              </w:rPr>
            </w:pPr>
            <w:r w:rsidRPr="002A3CBE">
              <w:rPr>
                <w:rFonts w:eastAsia="Calibri"/>
              </w:rPr>
              <w:t>-2,890.4</w:t>
            </w:r>
          </w:p>
        </w:tc>
        <w:tc>
          <w:tcPr>
            <w:tcW w:w="1594" w:type="dxa"/>
            <w:shd w:val="clear" w:color="auto" w:fill="FFFFFF"/>
            <w:tcMar>
              <w:top w:w="0" w:type="dxa"/>
              <w:left w:w="85" w:type="dxa"/>
              <w:bottom w:w="0" w:type="dxa"/>
              <w:right w:w="85" w:type="dxa"/>
            </w:tcMar>
            <w:vAlign w:val="center"/>
          </w:tcPr>
          <w:p w14:paraId="13B4836D" w14:textId="77777777" w:rsidR="00447423" w:rsidRPr="002A3CBE" w:rsidRDefault="00447423" w:rsidP="00F16E23">
            <w:pPr>
              <w:pStyle w:val="TableText"/>
              <w:spacing w:before="40" w:after="40"/>
              <w:jc w:val="right"/>
              <w:rPr>
                <w:rFonts w:eastAsia="Calibri"/>
              </w:rPr>
            </w:pPr>
            <w:r w:rsidRPr="002A3CBE">
              <w:rPr>
                <w:rFonts w:eastAsia="Calibri"/>
              </w:rPr>
              <w:t>-118.6</w:t>
            </w:r>
          </w:p>
        </w:tc>
      </w:tr>
      <w:tr w:rsidR="00447423" w:rsidRPr="002A3CBE" w14:paraId="64A00FBF" w14:textId="77777777" w:rsidTr="00F16E23">
        <w:tc>
          <w:tcPr>
            <w:tcW w:w="2129" w:type="dxa"/>
            <w:shd w:val="clear" w:color="auto" w:fill="FFFFFF"/>
            <w:tcMar>
              <w:top w:w="0" w:type="dxa"/>
              <w:left w:w="85" w:type="dxa"/>
              <w:bottom w:w="0" w:type="dxa"/>
              <w:right w:w="85" w:type="dxa"/>
            </w:tcMar>
            <w:vAlign w:val="center"/>
          </w:tcPr>
          <w:p w14:paraId="3DA0535E" w14:textId="77777777" w:rsidR="00447423" w:rsidRPr="002A3CBE" w:rsidRDefault="00447423" w:rsidP="00F16E23">
            <w:pPr>
              <w:pStyle w:val="Tableboldblue"/>
              <w:spacing w:before="40" w:after="40"/>
              <w:rPr>
                <w:rFonts w:eastAsia="Calibri"/>
              </w:rPr>
            </w:pPr>
            <w:r w:rsidRPr="002A3CBE">
              <w:rPr>
                <w:rFonts w:eastAsia="Calibri"/>
              </w:rPr>
              <w:t>Total LULUCF</w:t>
            </w:r>
          </w:p>
        </w:tc>
        <w:tc>
          <w:tcPr>
            <w:tcW w:w="1594" w:type="dxa"/>
            <w:shd w:val="clear" w:color="auto" w:fill="FFFFFF"/>
            <w:tcMar>
              <w:top w:w="0" w:type="dxa"/>
              <w:left w:w="85" w:type="dxa"/>
              <w:bottom w:w="0" w:type="dxa"/>
              <w:right w:w="85" w:type="dxa"/>
            </w:tcMar>
            <w:vAlign w:val="center"/>
          </w:tcPr>
          <w:p w14:paraId="4AAB223A" w14:textId="77777777" w:rsidR="00447423" w:rsidRPr="002A3CBE" w:rsidRDefault="00447423" w:rsidP="00F16E23">
            <w:pPr>
              <w:pStyle w:val="Tableboldblue"/>
              <w:spacing w:before="40" w:after="40"/>
              <w:jc w:val="right"/>
              <w:rPr>
                <w:rFonts w:eastAsia="Calibri"/>
              </w:rPr>
            </w:pPr>
            <w:r w:rsidRPr="002A3CBE">
              <w:rPr>
                <w:rFonts w:eastAsia="Calibri"/>
              </w:rPr>
              <w:t>-23,334.5</w:t>
            </w:r>
          </w:p>
        </w:tc>
        <w:tc>
          <w:tcPr>
            <w:tcW w:w="1239" w:type="dxa"/>
            <w:shd w:val="clear" w:color="auto" w:fill="FFFFFF"/>
            <w:tcMar>
              <w:top w:w="0" w:type="dxa"/>
              <w:left w:w="85" w:type="dxa"/>
              <w:bottom w:w="0" w:type="dxa"/>
              <w:right w:w="85" w:type="dxa"/>
            </w:tcMar>
            <w:vAlign w:val="center"/>
          </w:tcPr>
          <w:p w14:paraId="224CE62F" w14:textId="77777777" w:rsidR="00447423" w:rsidRPr="002A3CBE" w:rsidRDefault="00447423" w:rsidP="00F16E23">
            <w:pPr>
              <w:pStyle w:val="Tableboldblue"/>
              <w:spacing w:before="40" w:after="40"/>
              <w:jc w:val="right"/>
              <w:rPr>
                <w:rFonts w:eastAsia="Calibri"/>
              </w:rPr>
            </w:pPr>
            <w:r w:rsidRPr="002A3CBE">
              <w:rPr>
                <w:rFonts w:eastAsia="Calibri"/>
              </w:rPr>
              <w:t>-20,977.5</w:t>
            </w:r>
          </w:p>
        </w:tc>
        <w:tc>
          <w:tcPr>
            <w:tcW w:w="1949" w:type="dxa"/>
            <w:shd w:val="clear" w:color="auto" w:fill="FFFFFF"/>
            <w:tcMar>
              <w:top w:w="0" w:type="dxa"/>
              <w:left w:w="85" w:type="dxa"/>
              <w:bottom w:w="0" w:type="dxa"/>
              <w:right w:w="85" w:type="dxa"/>
            </w:tcMar>
            <w:vAlign w:val="center"/>
          </w:tcPr>
          <w:p w14:paraId="7B276E1D" w14:textId="77777777" w:rsidR="00447423" w:rsidRPr="002A3CBE" w:rsidRDefault="00447423" w:rsidP="00F16E23">
            <w:pPr>
              <w:pStyle w:val="Tableboldblue"/>
              <w:spacing w:before="40" w:after="40"/>
              <w:jc w:val="right"/>
              <w:rPr>
                <w:rFonts w:eastAsia="Calibri"/>
              </w:rPr>
            </w:pPr>
            <w:r w:rsidRPr="002A3CBE">
              <w:rPr>
                <w:rFonts w:eastAsia="Calibri"/>
              </w:rPr>
              <w:t>2,357.0</w:t>
            </w:r>
          </w:p>
        </w:tc>
        <w:tc>
          <w:tcPr>
            <w:tcW w:w="1594" w:type="dxa"/>
            <w:shd w:val="clear" w:color="auto" w:fill="FFFFFF"/>
            <w:tcMar>
              <w:top w:w="0" w:type="dxa"/>
              <w:left w:w="85" w:type="dxa"/>
              <w:bottom w:w="0" w:type="dxa"/>
              <w:right w:w="85" w:type="dxa"/>
            </w:tcMar>
            <w:vAlign w:val="center"/>
          </w:tcPr>
          <w:p w14:paraId="32B854F5" w14:textId="77777777" w:rsidR="00447423" w:rsidRPr="002A3CBE" w:rsidRDefault="00447423" w:rsidP="00F16E23">
            <w:pPr>
              <w:pStyle w:val="Tableboldblue"/>
              <w:spacing w:before="40" w:after="40"/>
              <w:jc w:val="right"/>
              <w:rPr>
                <w:rFonts w:eastAsia="Calibri"/>
              </w:rPr>
            </w:pPr>
            <w:r w:rsidRPr="002A3CBE">
              <w:rPr>
                <w:rFonts w:eastAsia="Calibri"/>
              </w:rPr>
              <w:t>10.1</w:t>
            </w:r>
          </w:p>
        </w:tc>
      </w:tr>
    </w:tbl>
    <w:p w14:paraId="6B88FCEF" w14:textId="77777777" w:rsidR="00447423" w:rsidRPr="002A3CBE" w:rsidRDefault="00447423" w:rsidP="00447423">
      <w:pPr>
        <w:pStyle w:val="Noteundertable"/>
      </w:pPr>
      <w:r w:rsidRPr="002A3CBE">
        <w:rPr>
          <w:b/>
          <w:bCs/>
        </w:rPr>
        <w:t>Notes:</w:t>
      </w:r>
      <w:r w:rsidRPr="002A3CBE">
        <w:tab/>
        <w:t xml:space="preserve">Net emissions are expressed as a negative value in the table to help the reader in clarifying that the value is a removal (of carbon dioxide from the atmosphere) and not an emission. Columns may not total due to rounding. Percentages presented are calculated from unrounded values. </w:t>
      </w:r>
    </w:p>
    <w:p w14:paraId="015C41E8" w14:textId="77777777" w:rsidR="00447423" w:rsidRPr="002A3CBE" w:rsidRDefault="00447423" w:rsidP="00447423">
      <w:pPr>
        <w:pStyle w:val="Figure"/>
        <w:spacing w:before="240"/>
      </w:pPr>
      <w:bookmarkStart w:id="1624" w:name="_Toc405448081"/>
      <w:bookmarkStart w:id="1625" w:name="_Toc414531613"/>
      <w:bookmarkStart w:id="1626" w:name="_Toc474914636"/>
      <w:bookmarkStart w:id="1627" w:name="_Toc481752018"/>
      <w:bookmarkStart w:id="1628" w:name="_Toc522010696"/>
      <w:bookmarkStart w:id="1629" w:name="_Toc5269699"/>
      <w:bookmarkStart w:id="1630" w:name="_Toc33529470"/>
      <w:bookmarkStart w:id="1631" w:name="_Toc36292800"/>
      <w:bookmarkStart w:id="1632" w:name="_Toc65244092"/>
      <w:bookmarkStart w:id="1633" w:name="_Toc131591567"/>
      <w:bookmarkStart w:id="1634" w:name="_Toc158979907"/>
      <w:bookmarkStart w:id="1635" w:name="_Toc164154035"/>
      <w:bookmarkStart w:id="1636" w:name="_Toc190873404"/>
      <w:bookmarkStart w:id="1637" w:name="_Toc194674868"/>
      <w:bookmarkStart w:id="1638" w:name="_Toc222837968"/>
      <w:bookmarkStart w:id="1639" w:name="_Toc226200695"/>
      <w:r w:rsidRPr="002A3CBE">
        <w:t>Figure 6.1.1</w:t>
      </w:r>
      <w:r w:rsidRPr="002A3CBE">
        <w:tab/>
        <w:t>New Zealand’s annual net emissions from the LULUCF sector from 1990 to </w:t>
      </w:r>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r w:rsidRPr="002A3CBE">
        <w:t>2024</w:t>
      </w:r>
      <w:bookmarkEnd w:id="1638"/>
      <w:bookmarkEnd w:id="1639"/>
    </w:p>
    <w:p w14:paraId="4B59161B" w14:textId="77777777" w:rsidR="00447423" w:rsidRPr="002A3CBE" w:rsidRDefault="00447423" w:rsidP="00447423">
      <w:pPr>
        <w:pStyle w:val="BodyText"/>
        <w:jc w:val="center"/>
      </w:pPr>
      <w:r w:rsidRPr="002A3CBE">
        <w:rPr>
          <w:noProof/>
        </w:rPr>
        <w:drawing>
          <wp:inline distT="0" distB="0" distL="0" distR="0" wp14:anchorId="50683D0D" wp14:editId="49FB04C6">
            <wp:extent cx="4572000" cy="3586038"/>
            <wp:effectExtent l="0" t="0" r="0" b="0"/>
            <wp:docPr id="603198294" name="Picture 60319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rotWithShape="1">
                    <a:blip r:embed="rId212"/>
                    <a:srcRect b="1957"/>
                    <a:stretch>
                      <a:fillRect/>
                    </a:stretch>
                  </pic:blipFill>
                  <pic:spPr bwMode="auto">
                    <a:xfrm>
                      <a:off x="0" y="0"/>
                      <a:ext cx="63500" cy="49806"/>
                    </a:xfrm>
                    <a:prstGeom prst="rect">
                      <a:avLst/>
                    </a:prstGeom>
                    <a:noFill/>
                    <a:ln>
                      <a:noFill/>
                    </a:ln>
                    <a:extLst>
                      <a:ext uri="{53640926-AAD7-44D8-BBD7-CCE9431645EC}">
                        <a14:shadowObscured xmlns:a14="http://schemas.microsoft.com/office/drawing/2010/main"/>
                      </a:ext>
                    </a:extLst>
                  </pic:spPr>
                </pic:pic>
              </a:graphicData>
            </a:graphic>
          </wp:inline>
        </w:drawing>
      </w:r>
    </w:p>
    <w:p w14:paraId="33B1E5D3" w14:textId="77777777" w:rsidR="00447423" w:rsidRPr="002A3CBE" w:rsidRDefault="00447423" w:rsidP="00447423">
      <w:pPr>
        <w:pStyle w:val="BodyText"/>
      </w:pPr>
      <w:r w:rsidRPr="002A3CBE">
        <w:t xml:space="preserve">Emissions in the LULUCF sector are primarily driven by the harvest of production forests, deforestation, and the decomposition of organic material following these activities. Removals </w:t>
      </w:r>
      <w:r w:rsidRPr="002A3CBE">
        <w:rPr>
          <w:spacing w:val="-2"/>
        </w:rPr>
        <w:t>are mainly from the sequestration of carbon that occurs due to plant growth and the production</w:t>
      </w:r>
      <w:r w:rsidRPr="002A3CBE">
        <w:t xml:space="preserve"> of harvested wood products. Nitrous oxide can be emitted from the ecosystem as a by-product of nitrification and de</w:t>
      </w:r>
      <w:r w:rsidRPr="002A3CBE">
        <w:noBreakHyphen/>
        <w:t>nitrification, and the burning of organic matter. Other gases released during biomass burning include CH</w:t>
      </w:r>
      <w:r w:rsidRPr="002A3CBE">
        <w:rPr>
          <w:vertAlign w:val="subscript"/>
        </w:rPr>
        <w:t>4</w:t>
      </w:r>
      <w:r w:rsidRPr="002A3CBE">
        <w:t>, carbon monoxide (CO), other oxides of nitrogen (NO</w:t>
      </w:r>
      <w:r w:rsidRPr="002A3CBE">
        <w:rPr>
          <w:vertAlign w:val="subscript"/>
        </w:rPr>
        <w:t>x</w:t>
      </w:r>
      <w:r w:rsidRPr="002A3CBE">
        <w:t xml:space="preserve">) and non-methane volatile organic compounds. </w:t>
      </w:r>
    </w:p>
    <w:p w14:paraId="4ACA90B1" w14:textId="77777777" w:rsidR="00447423" w:rsidRPr="002A3CBE" w:rsidRDefault="00447423" w:rsidP="00447423">
      <w:pPr>
        <w:pStyle w:val="Heading3"/>
        <w:spacing w:before="480"/>
      </w:pPr>
      <w:r w:rsidRPr="002A3CBE">
        <w:t>6.1.1</w:t>
      </w:r>
      <w:r w:rsidRPr="002A3CBE">
        <w:tab/>
        <w:t>National circumstances</w:t>
      </w:r>
    </w:p>
    <w:p w14:paraId="581DA340" w14:textId="77777777" w:rsidR="00447423" w:rsidRPr="002A3CBE" w:rsidRDefault="00447423" w:rsidP="00447423">
      <w:pPr>
        <w:pStyle w:val="BodyText"/>
      </w:pPr>
      <w:r w:rsidRPr="002A3CBE">
        <w:t>New Zealand has a land area of nearly 270,000 square kilometres with extensive coastlines (approximately 19,800 kilometres). This land mass is made up of two main islands, the North Island and the South Island, as well as smaller outlying islands. New Zealand has a temperate climate, highly influenced by the surrounding ocean. Around 60 percent of the land is hilly or mountainous, with around 425,000 kilometres of rivers and streams, and almost 4,000 lakes that are larger than 1 hectare (Ministry for the Environment and Stats NZ, 2017).</w:t>
      </w:r>
    </w:p>
    <w:p w14:paraId="040CBCFF" w14:textId="2EC7F4B9" w:rsidR="00447423" w:rsidRPr="002A3CBE" w:rsidRDefault="00447423" w:rsidP="00447423">
      <w:pPr>
        <w:pStyle w:val="BodyText"/>
        <w:spacing w:before="100" w:after="100"/>
      </w:pPr>
      <w:r w:rsidRPr="002A3CBE">
        <w:t xml:space="preserve">Since 1990, approximately 11.5 percent of New Zealand’s total land area has undergone land-use change. </w:t>
      </w:r>
      <w:r w:rsidRPr="002A3CBE">
        <w:rPr>
          <w:spacing w:val="-2"/>
        </w:rPr>
        <w:t xml:space="preserve">Before human settlement, natural forests were </w:t>
      </w:r>
      <w:r w:rsidRPr="002A3CBE">
        <w:t>New Zealand’s</w:t>
      </w:r>
      <w:r w:rsidRPr="002A3CBE">
        <w:rPr>
          <w:spacing w:val="-2"/>
        </w:rPr>
        <w:t xml:space="preserve"> predominant land cover, estimated at 85</w:t>
      </w:r>
      <w:r w:rsidRPr="002A3CBE">
        <w:t> percent</w:t>
      </w:r>
      <w:r w:rsidRPr="002A3CBE">
        <w:rPr>
          <w:spacing w:val="-2"/>
        </w:rPr>
        <w:t xml:space="preserve"> to 90 percent of total land area (McGlone, 2009). Natural forest now covers approximately 29 percent of </w:t>
      </w:r>
      <w:r w:rsidRPr="002A3CBE">
        <w:t>New Zealand’s</w:t>
      </w:r>
      <w:r w:rsidRPr="002A3CBE">
        <w:rPr>
          <w:spacing w:val="-2"/>
        </w:rPr>
        <w:t xml:space="preserve"> total land area, having been replaced predominantly by agricultural land uses (Ewers et al., 2006). </w:t>
      </w:r>
      <w:r w:rsidRPr="002A3CBE">
        <w:t>Demand for productive land has also led to the modification of a large proportion of New Zealand’s vegetated wetland areas to pastoral land cover. Just over 10 percent of the wetlands present across New Zealand before European settlement now remain (McGlone, 2009). For a summary of land use area in 2024 in New Zealand, see table 6.1.4.</w:t>
      </w:r>
    </w:p>
    <w:p w14:paraId="77BB47F1" w14:textId="77777777" w:rsidR="00447423" w:rsidRPr="002A3CBE" w:rsidRDefault="00447423" w:rsidP="00447423">
      <w:pPr>
        <w:pStyle w:val="BodyText"/>
      </w:pPr>
      <w:r w:rsidRPr="002A3CBE">
        <w:t>New Zealand forests are either held on privately owned land or in public conservation land</w:t>
      </w:r>
      <w:r w:rsidRPr="002A3CBE">
        <w:rPr>
          <w:spacing w:val="-2"/>
        </w:rPr>
        <w:t xml:space="preserve"> (an area of approximately 8.5 million hectares; Ministry for the Environmen</w:t>
      </w:r>
      <w:r w:rsidRPr="002A3CBE">
        <w:t xml:space="preserve">t </w:t>
      </w:r>
      <w:r w:rsidRPr="002A3CBE">
        <w:rPr>
          <w:spacing w:val="-2"/>
        </w:rPr>
        <w:t xml:space="preserve">and Stats NZ, 2018). Consequently, all forests in </w:t>
      </w:r>
      <w:r w:rsidRPr="002A3CBE">
        <w:t>New Zealand</w:t>
      </w:r>
      <w:r w:rsidRPr="002A3CBE">
        <w:rPr>
          <w:spacing w:val="-2"/>
        </w:rPr>
        <w:t xml:space="preserve"> meet the 2006 </w:t>
      </w:r>
      <w:r w:rsidRPr="002A3CBE">
        <w:t>IPCC Guidelines definition of managed land, which is “</w:t>
      </w:r>
      <w:r w:rsidRPr="002A3CBE">
        <w:rPr>
          <w:iCs/>
        </w:rPr>
        <w:t>land where human interventions and practices have been applied to perform production, ecological or social functions</w:t>
      </w:r>
      <w:r w:rsidRPr="002A3CBE">
        <w:t>” (IPCC, 2006a). Therefore, both forests planted for timber production and natural forests managed for conservation purposes are considered managed forests.</w:t>
      </w:r>
    </w:p>
    <w:p w14:paraId="66C3E96D" w14:textId="339C002D" w:rsidR="00447423" w:rsidRPr="002A3CBE" w:rsidRDefault="00447423" w:rsidP="00447423">
      <w:pPr>
        <w:pStyle w:val="BodyText"/>
      </w:pPr>
      <w:r w:rsidRPr="002A3CBE">
        <w:t>No timber is legally harvested from natural forests in public conservation land other than in exceptional circumstances where legislation allows. Most other harvesting of natural forests is</w:t>
      </w:r>
      <w:r w:rsidR="005B14DD">
        <w:t> </w:t>
      </w:r>
      <w:r w:rsidRPr="002A3CBE">
        <w:t>required by law to be undertaken on a sustainable basis (Forests Act 1949).</w:t>
      </w:r>
    </w:p>
    <w:p w14:paraId="04DEE4A0" w14:textId="0ACE2028" w:rsidR="00447423" w:rsidRPr="002A3CBE" w:rsidRDefault="00447423" w:rsidP="00447423">
      <w:pPr>
        <w:pStyle w:val="BodyText"/>
      </w:pPr>
      <w:r w:rsidRPr="002A3CBE">
        <w:t>Plantation forestry and agricultural activities form the core of New Zealand’s export economy and are the main determinants of New Zealand’s LULUCF emissions profile. Intensive forest management, enabled by a temperate climate, fertile soils and high rainfall, means New</w:t>
      </w:r>
      <w:r w:rsidR="005B14DD">
        <w:t xml:space="preserve"> </w:t>
      </w:r>
      <w:r w:rsidRPr="002A3CBE">
        <w:t>Zealand has one of the highest rates of exotic forest growth among Annex I countries.</w:t>
      </w:r>
    </w:p>
    <w:p w14:paraId="75F5826C" w14:textId="77777777" w:rsidR="00447423" w:rsidRPr="002A3CBE" w:rsidRDefault="00447423" w:rsidP="00447423">
      <w:pPr>
        <w:pStyle w:val="BodyText"/>
      </w:pPr>
      <w:r w:rsidRPr="002A3CBE">
        <w:t xml:space="preserve">New Zealand’s exotic forest plantation estate is intensively managed for production forestry, with rapid-growing genotypes selected and enhanced for optimum growth. Rates of afforestation, reforestation, harvest and deforestation are strongly influenced by market conditions for harvested timber, competition for land use and the introduction of new government policies. One such policy is the New Zealand Emissions Trading Scheme </w:t>
      </w:r>
      <w:r w:rsidRPr="002A3CBE">
        <w:rPr>
          <w:spacing w:val="-2"/>
        </w:rPr>
        <w:t>(NZ ETS) introduced in 2008, and the inclusion of forestry within the scheme (Ministry for Primary Industries</w:t>
      </w:r>
      <w:r w:rsidRPr="002A3CBE">
        <w:t>, 2015). The forestry component of the NZ ETS was included to encourage new forest planting and disincentivise deforestation. An unintended consequence of this policy was that large-scale deforestation of pre-1990 planted forest occurred in the years before the policy’s introduction (30,233 hectares in 2007) as land owners deforested to avoid potential future liabilities (figure 6.1.1 and figure 6.1.2). Changes in afforestation and deforestation rates show they correlate strongly with fluctuations in the NZ ETS carbon price (figure 6.1.2). However, afforestation and deforestation rates are also affected by other market conditions and other government initiatives, which are summarised in volume 2, annex 5, section A5.2.5 ‘Forest land methodologies’.</w:t>
      </w:r>
    </w:p>
    <w:p w14:paraId="66996131" w14:textId="77777777" w:rsidR="00447423" w:rsidRPr="002A3CBE" w:rsidRDefault="00447423" w:rsidP="00447423">
      <w:pPr>
        <w:pStyle w:val="Table"/>
      </w:pPr>
      <w:bookmarkStart w:id="1640" w:name="_Toc443645354"/>
      <w:bookmarkStart w:id="1641" w:name="_Toc474914573"/>
      <w:bookmarkStart w:id="1642" w:name="_Toc481751537"/>
      <w:bookmarkStart w:id="1643" w:name="_Toc522010594"/>
      <w:bookmarkStart w:id="1644" w:name="_Toc5269499"/>
      <w:bookmarkStart w:id="1645" w:name="_Toc33529375"/>
      <w:bookmarkStart w:id="1646" w:name="_Toc36224581"/>
      <w:bookmarkStart w:id="1647" w:name="_Toc65243576"/>
      <w:bookmarkStart w:id="1648" w:name="_Toc131591383"/>
      <w:bookmarkStart w:id="1649" w:name="_Toc158979941"/>
      <w:bookmarkStart w:id="1650" w:name="_Toc164153874"/>
      <w:bookmarkStart w:id="1651" w:name="_Toc190873108"/>
      <w:bookmarkStart w:id="1652" w:name="_Toc194241747"/>
      <w:bookmarkStart w:id="1653" w:name="_Toc222837896"/>
      <w:bookmarkStart w:id="1654" w:name="_Toc226669042"/>
      <w:r w:rsidRPr="002A3CBE">
        <w:t xml:space="preserve">Table 6.1.4 </w:t>
      </w:r>
      <w:r w:rsidRPr="002A3CBE">
        <w:tab/>
        <w:t xml:space="preserve">Land use in New Zealand in </w:t>
      </w:r>
      <w:bookmarkEnd w:id="1640"/>
      <w:bookmarkEnd w:id="1641"/>
      <w:bookmarkEnd w:id="1642"/>
      <w:bookmarkEnd w:id="1643"/>
      <w:bookmarkEnd w:id="1644"/>
      <w:bookmarkEnd w:id="1645"/>
      <w:bookmarkEnd w:id="1646"/>
      <w:bookmarkEnd w:id="1647"/>
      <w:bookmarkEnd w:id="1648"/>
      <w:bookmarkEnd w:id="1649"/>
      <w:bookmarkEnd w:id="1650"/>
      <w:bookmarkEnd w:id="1651"/>
      <w:bookmarkEnd w:id="1652"/>
      <w:r w:rsidRPr="002A3CBE">
        <w:t>2024</w:t>
      </w:r>
      <w:bookmarkEnd w:id="1653"/>
      <w:bookmarkEnd w:id="1654"/>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2127"/>
        <w:gridCol w:w="2126"/>
        <w:gridCol w:w="2126"/>
        <w:gridCol w:w="2126"/>
      </w:tblGrid>
      <w:tr w:rsidR="00447423" w:rsidRPr="002A3CBE" w14:paraId="07A0E95B" w14:textId="77777777" w:rsidTr="00F16E23">
        <w:trPr>
          <w:tblHeader/>
        </w:trPr>
        <w:tc>
          <w:tcPr>
            <w:tcW w:w="2127" w:type="dxa"/>
            <w:shd w:val="clear" w:color="auto" w:fill="1B556B"/>
            <w:tcMar>
              <w:top w:w="0" w:type="dxa"/>
              <w:left w:w="85" w:type="dxa"/>
              <w:bottom w:w="0" w:type="dxa"/>
              <w:right w:w="85" w:type="dxa"/>
            </w:tcMar>
            <w:vAlign w:val="center"/>
          </w:tcPr>
          <w:p w14:paraId="25328DA9"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Category</w:t>
            </w:r>
          </w:p>
        </w:tc>
        <w:tc>
          <w:tcPr>
            <w:tcW w:w="2126" w:type="dxa"/>
            <w:shd w:val="clear" w:color="auto" w:fill="1B556B"/>
            <w:tcMar>
              <w:top w:w="0" w:type="dxa"/>
              <w:left w:w="85" w:type="dxa"/>
              <w:bottom w:w="0" w:type="dxa"/>
              <w:right w:w="85" w:type="dxa"/>
            </w:tcMar>
            <w:vAlign w:val="center"/>
          </w:tcPr>
          <w:p w14:paraId="1F7165B6"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Land use</w:t>
            </w:r>
          </w:p>
        </w:tc>
        <w:tc>
          <w:tcPr>
            <w:tcW w:w="2126" w:type="dxa"/>
            <w:shd w:val="clear" w:color="auto" w:fill="1B556B"/>
            <w:tcMar>
              <w:top w:w="0" w:type="dxa"/>
              <w:left w:w="85" w:type="dxa"/>
              <w:bottom w:w="0" w:type="dxa"/>
              <w:right w:w="85" w:type="dxa"/>
            </w:tcMar>
            <w:vAlign w:val="center"/>
          </w:tcPr>
          <w:p w14:paraId="5C57BE5F"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Area (kha)</w:t>
            </w:r>
          </w:p>
        </w:tc>
        <w:tc>
          <w:tcPr>
            <w:tcW w:w="2126" w:type="dxa"/>
            <w:shd w:val="clear" w:color="auto" w:fill="1B556B"/>
            <w:tcMar>
              <w:top w:w="0" w:type="dxa"/>
              <w:left w:w="85" w:type="dxa"/>
              <w:bottom w:w="0" w:type="dxa"/>
              <w:right w:w="85" w:type="dxa"/>
            </w:tcMar>
            <w:vAlign w:val="center"/>
          </w:tcPr>
          <w:p w14:paraId="2D2F38C0"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Proportion of total area (%)</w:t>
            </w:r>
          </w:p>
        </w:tc>
      </w:tr>
      <w:tr w:rsidR="00447423" w:rsidRPr="002A3CBE" w14:paraId="06F62765" w14:textId="77777777" w:rsidTr="00F16E23">
        <w:tc>
          <w:tcPr>
            <w:tcW w:w="2127" w:type="dxa"/>
            <w:vMerge w:val="restart"/>
            <w:shd w:val="clear" w:color="auto" w:fill="FFFFFF"/>
            <w:tcMar>
              <w:top w:w="0" w:type="dxa"/>
              <w:left w:w="85" w:type="dxa"/>
              <w:bottom w:w="0" w:type="dxa"/>
              <w:right w:w="85" w:type="dxa"/>
            </w:tcMar>
            <w:vAlign w:val="center"/>
          </w:tcPr>
          <w:p w14:paraId="43250619" w14:textId="77777777" w:rsidR="00447423" w:rsidRPr="002A3CBE" w:rsidRDefault="00447423" w:rsidP="00F16E23">
            <w:pPr>
              <w:pStyle w:val="TableText"/>
              <w:spacing w:before="40" w:after="40"/>
              <w:rPr>
                <w:rFonts w:eastAsia="Calibri"/>
              </w:rPr>
            </w:pPr>
            <w:r w:rsidRPr="002A3CBE">
              <w:rPr>
                <w:rFonts w:eastAsia="Calibri"/>
              </w:rPr>
              <w:t>Forest land</w:t>
            </w:r>
          </w:p>
        </w:tc>
        <w:tc>
          <w:tcPr>
            <w:tcW w:w="2126" w:type="dxa"/>
            <w:shd w:val="clear" w:color="auto" w:fill="FFFFFF"/>
            <w:tcMar>
              <w:top w:w="0" w:type="dxa"/>
              <w:left w:w="85" w:type="dxa"/>
              <w:bottom w:w="0" w:type="dxa"/>
              <w:right w:w="85" w:type="dxa"/>
            </w:tcMar>
            <w:vAlign w:val="center"/>
          </w:tcPr>
          <w:p w14:paraId="7E67D634" w14:textId="77777777" w:rsidR="00447423" w:rsidRPr="002A3CBE" w:rsidRDefault="00447423" w:rsidP="00F16E23">
            <w:pPr>
              <w:pStyle w:val="TableText"/>
              <w:spacing w:before="40" w:after="40"/>
              <w:rPr>
                <w:rFonts w:eastAsia="Calibri"/>
              </w:rPr>
            </w:pPr>
            <w:r w:rsidRPr="002A3CBE">
              <w:rPr>
                <w:rFonts w:eastAsia="Calibri"/>
              </w:rPr>
              <w:t>Pre-1990 natural forest</w:t>
            </w:r>
          </w:p>
        </w:tc>
        <w:tc>
          <w:tcPr>
            <w:tcW w:w="2126" w:type="dxa"/>
            <w:shd w:val="clear" w:color="auto" w:fill="FFFFFF"/>
            <w:tcMar>
              <w:top w:w="0" w:type="dxa"/>
              <w:left w:w="85" w:type="dxa"/>
              <w:bottom w:w="0" w:type="dxa"/>
              <w:right w:w="85" w:type="dxa"/>
            </w:tcMar>
            <w:vAlign w:val="center"/>
          </w:tcPr>
          <w:p w14:paraId="70918305" w14:textId="77777777" w:rsidR="00447423" w:rsidRPr="002A3CBE" w:rsidRDefault="00447423" w:rsidP="00F16E23">
            <w:pPr>
              <w:pStyle w:val="TableText"/>
              <w:spacing w:before="40" w:after="40"/>
              <w:jc w:val="right"/>
              <w:rPr>
                <w:rFonts w:eastAsia="Calibri"/>
              </w:rPr>
            </w:pPr>
            <w:r w:rsidRPr="002A3CBE">
              <w:rPr>
                <w:rFonts w:eastAsia="Calibri"/>
              </w:rPr>
              <w:t>7,743.646</w:t>
            </w:r>
          </w:p>
        </w:tc>
        <w:tc>
          <w:tcPr>
            <w:tcW w:w="2126" w:type="dxa"/>
            <w:shd w:val="clear" w:color="auto" w:fill="FFFFFF"/>
            <w:tcMar>
              <w:top w:w="0" w:type="dxa"/>
              <w:left w:w="85" w:type="dxa"/>
              <w:bottom w:w="0" w:type="dxa"/>
              <w:right w:w="85" w:type="dxa"/>
            </w:tcMar>
            <w:vAlign w:val="center"/>
          </w:tcPr>
          <w:p w14:paraId="195C5A05" w14:textId="77777777" w:rsidR="00447423" w:rsidRPr="002A3CBE" w:rsidRDefault="00447423" w:rsidP="00F16E23">
            <w:pPr>
              <w:pStyle w:val="TableText"/>
              <w:spacing w:before="40" w:after="40"/>
              <w:jc w:val="right"/>
              <w:rPr>
                <w:rFonts w:eastAsia="Calibri"/>
              </w:rPr>
            </w:pPr>
            <w:r w:rsidRPr="002A3CBE">
              <w:rPr>
                <w:rFonts w:eastAsia="Calibri"/>
              </w:rPr>
              <w:t>28.8</w:t>
            </w:r>
          </w:p>
        </w:tc>
      </w:tr>
      <w:tr w:rsidR="00447423" w:rsidRPr="002A3CBE" w14:paraId="61C8E0D1" w14:textId="77777777" w:rsidTr="00F16E23">
        <w:tc>
          <w:tcPr>
            <w:tcW w:w="2127" w:type="dxa"/>
            <w:vMerge/>
            <w:shd w:val="clear" w:color="auto" w:fill="FFFFFF"/>
            <w:tcMar>
              <w:top w:w="0" w:type="dxa"/>
              <w:left w:w="85" w:type="dxa"/>
              <w:bottom w:w="0" w:type="dxa"/>
              <w:right w:w="85" w:type="dxa"/>
            </w:tcMar>
            <w:vAlign w:val="center"/>
          </w:tcPr>
          <w:p w14:paraId="2C51FC4C"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6048C8B3" w14:textId="77777777" w:rsidR="00447423" w:rsidRPr="002A3CBE" w:rsidRDefault="00447423" w:rsidP="00F16E23">
            <w:pPr>
              <w:pStyle w:val="TableText"/>
              <w:spacing w:before="40" w:after="40"/>
              <w:rPr>
                <w:rFonts w:eastAsia="Calibri"/>
              </w:rPr>
            </w:pPr>
            <w:r w:rsidRPr="002A3CBE">
              <w:rPr>
                <w:rFonts w:eastAsia="Calibri"/>
              </w:rPr>
              <w:t>Pre-1990 planted forest</w:t>
            </w:r>
          </w:p>
        </w:tc>
        <w:tc>
          <w:tcPr>
            <w:tcW w:w="2126" w:type="dxa"/>
            <w:shd w:val="clear" w:color="auto" w:fill="FFFFFF"/>
            <w:tcMar>
              <w:top w:w="0" w:type="dxa"/>
              <w:left w:w="85" w:type="dxa"/>
              <w:bottom w:w="0" w:type="dxa"/>
              <w:right w:w="85" w:type="dxa"/>
            </w:tcMar>
            <w:vAlign w:val="center"/>
          </w:tcPr>
          <w:p w14:paraId="634853BE" w14:textId="77777777" w:rsidR="00447423" w:rsidRPr="002A3CBE" w:rsidRDefault="00447423" w:rsidP="00F16E23">
            <w:pPr>
              <w:pStyle w:val="TableText"/>
              <w:spacing w:before="40" w:after="40"/>
              <w:jc w:val="right"/>
              <w:rPr>
                <w:rFonts w:eastAsia="Calibri"/>
              </w:rPr>
            </w:pPr>
            <w:r w:rsidRPr="002A3CBE">
              <w:rPr>
                <w:rFonts w:eastAsia="Calibri"/>
              </w:rPr>
              <w:t>1,435.366</w:t>
            </w:r>
          </w:p>
        </w:tc>
        <w:tc>
          <w:tcPr>
            <w:tcW w:w="2126" w:type="dxa"/>
            <w:shd w:val="clear" w:color="auto" w:fill="FFFFFF"/>
            <w:tcMar>
              <w:top w:w="0" w:type="dxa"/>
              <w:left w:w="85" w:type="dxa"/>
              <w:bottom w:w="0" w:type="dxa"/>
              <w:right w:w="85" w:type="dxa"/>
            </w:tcMar>
            <w:vAlign w:val="center"/>
          </w:tcPr>
          <w:p w14:paraId="68C17C42" w14:textId="77777777" w:rsidR="00447423" w:rsidRPr="002A3CBE" w:rsidRDefault="00447423" w:rsidP="00F16E23">
            <w:pPr>
              <w:pStyle w:val="TableText"/>
              <w:spacing w:before="40" w:after="40"/>
              <w:jc w:val="right"/>
              <w:rPr>
                <w:rFonts w:eastAsia="Calibri"/>
              </w:rPr>
            </w:pPr>
            <w:r w:rsidRPr="002A3CBE">
              <w:rPr>
                <w:rFonts w:eastAsia="Calibri"/>
              </w:rPr>
              <w:t>5.3</w:t>
            </w:r>
          </w:p>
        </w:tc>
      </w:tr>
      <w:tr w:rsidR="00447423" w:rsidRPr="002A3CBE" w14:paraId="682483C5" w14:textId="77777777" w:rsidTr="00F16E23">
        <w:tc>
          <w:tcPr>
            <w:tcW w:w="2127" w:type="dxa"/>
            <w:vMerge/>
            <w:shd w:val="clear" w:color="auto" w:fill="FFFFFF"/>
            <w:tcMar>
              <w:top w:w="0" w:type="dxa"/>
              <w:left w:w="85" w:type="dxa"/>
              <w:bottom w:w="0" w:type="dxa"/>
              <w:right w:w="85" w:type="dxa"/>
            </w:tcMar>
            <w:vAlign w:val="center"/>
          </w:tcPr>
          <w:p w14:paraId="7265A0E4"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3FDA4B68" w14:textId="77777777" w:rsidR="00447423" w:rsidRPr="002A3CBE" w:rsidRDefault="00447423" w:rsidP="00F16E23">
            <w:pPr>
              <w:pStyle w:val="TableText"/>
              <w:spacing w:before="40" w:after="40"/>
              <w:rPr>
                <w:rFonts w:eastAsia="Calibri"/>
              </w:rPr>
            </w:pPr>
            <w:r w:rsidRPr="002A3CBE">
              <w:rPr>
                <w:rFonts w:eastAsia="Calibri"/>
              </w:rPr>
              <w:t>Post-1989 planted forest</w:t>
            </w:r>
          </w:p>
        </w:tc>
        <w:tc>
          <w:tcPr>
            <w:tcW w:w="2126" w:type="dxa"/>
            <w:shd w:val="clear" w:color="auto" w:fill="FFFFFF"/>
            <w:tcMar>
              <w:top w:w="0" w:type="dxa"/>
              <w:left w:w="85" w:type="dxa"/>
              <w:bottom w:w="0" w:type="dxa"/>
              <w:right w:w="85" w:type="dxa"/>
            </w:tcMar>
            <w:vAlign w:val="center"/>
          </w:tcPr>
          <w:p w14:paraId="348BA2EF" w14:textId="77777777" w:rsidR="00447423" w:rsidRPr="002A3CBE" w:rsidRDefault="00447423" w:rsidP="00F16E23">
            <w:pPr>
              <w:pStyle w:val="TableText"/>
              <w:spacing w:before="40" w:after="40"/>
              <w:jc w:val="right"/>
              <w:rPr>
                <w:rFonts w:eastAsia="Calibri"/>
              </w:rPr>
            </w:pPr>
            <w:r w:rsidRPr="002A3CBE">
              <w:rPr>
                <w:rFonts w:eastAsia="Calibri"/>
              </w:rPr>
              <w:t>953.066</w:t>
            </w:r>
          </w:p>
        </w:tc>
        <w:tc>
          <w:tcPr>
            <w:tcW w:w="2126" w:type="dxa"/>
            <w:shd w:val="clear" w:color="auto" w:fill="FFFFFF"/>
            <w:tcMar>
              <w:top w:w="0" w:type="dxa"/>
              <w:left w:w="85" w:type="dxa"/>
              <w:bottom w:w="0" w:type="dxa"/>
              <w:right w:w="85" w:type="dxa"/>
            </w:tcMar>
            <w:vAlign w:val="center"/>
          </w:tcPr>
          <w:p w14:paraId="6BF66F9B" w14:textId="77777777" w:rsidR="00447423" w:rsidRPr="002A3CBE" w:rsidRDefault="00447423" w:rsidP="00F16E23">
            <w:pPr>
              <w:pStyle w:val="TableText"/>
              <w:spacing w:before="40" w:after="40"/>
              <w:jc w:val="right"/>
              <w:rPr>
                <w:rFonts w:eastAsia="Calibri"/>
              </w:rPr>
            </w:pPr>
            <w:r w:rsidRPr="002A3CBE">
              <w:rPr>
                <w:rFonts w:eastAsia="Calibri"/>
              </w:rPr>
              <w:t>3.5</w:t>
            </w:r>
          </w:p>
        </w:tc>
      </w:tr>
      <w:tr w:rsidR="00447423" w:rsidRPr="002A3CBE" w14:paraId="53DC08F6" w14:textId="77777777" w:rsidTr="00F16E23">
        <w:tc>
          <w:tcPr>
            <w:tcW w:w="2127" w:type="dxa"/>
            <w:vMerge/>
            <w:shd w:val="clear" w:color="auto" w:fill="FFFFFF"/>
            <w:tcMar>
              <w:top w:w="0" w:type="dxa"/>
              <w:left w:w="85" w:type="dxa"/>
              <w:bottom w:w="0" w:type="dxa"/>
              <w:right w:w="85" w:type="dxa"/>
            </w:tcMar>
            <w:vAlign w:val="center"/>
          </w:tcPr>
          <w:p w14:paraId="5BDFFD26"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3AFF79D0" w14:textId="77777777" w:rsidR="00447423" w:rsidRPr="002A3CBE" w:rsidRDefault="00447423" w:rsidP="00F16E23">
            <w:pPr>
              <w:pStyle w:val="TableText"/>
              <w:spacing w:before="40" w:after="40"/>
              <w:rPr>
                <w:rFonts w:eastAsia="Calibri"/>
              </w:rPr>
            </w:pPr>
            <w:r w:rsidRPr="002A3CBE">
              <w:rPr>
                <w:rFonts w:eastAsia="Calibri"/>
              </w:rPr>
              <w:t>Post-1989 natural forest</w:t>
            </w:r>
          </w:p>
        </w:tc>
        <w:tc>
          <w:tcPr>
            <w:tcW w:w="2126" w:type="dxa"/>
            <w:shd w:val="clear" w:color="auto" w:fill="FFFFFF"/>
            <w:tcMar>
              <w:top w:w="0" w:type="dxa"/>
              <w:left w:w="85" w:type="dxa"/>
              <w:bottom w:w="0" w:type="dxa"/>
              <w:right w:w="85" w:type="dxa"/>
            </w:tcMar>
            <w:vAlign w:val="center"/>
          </w:tcPr>
          <w:p w14:paraId="75F106B0" w14:textId="77777777" w:rsidR="00447423" w:rsidRPr="002A3CBE" w:rsidRDefault="00447423" w:rsidP="00F16E23">
            <w:pPr>
              <w:pStyle w:val="TableText"/>
              <w:spacing w:before="40" w:after="40"/>
              <w:jc w:val="right"/>
              <w:rPr>
                <w:rFonts w:eastAsia="Calibri"/>
              </w:rPr>
            </w:pPr>
            <w:r w:rsidRPr="002A3CBE">
              <w:rPr>
                <w:rFonts w:eastAsia="Calibri"/>
              </w:rPr>
              <w:t>122.163</w:t>
            </w:r>
          </w:p>
        </w:tc>
        <w:tc>
          <w:tcPr>
            <w:tcW w:w="2126" w:type="dxa"/>
            <w:shd w:val="clear" w:color="auto" w:fill="FFFFFF"/>
            <w:tcMar>
              <w:top w:w="0" w:type="dxa"/>
              <w:left w:w="85" w:type="dxa"/>
              <w:bottom w:w="0" w:type="dxa"/>
              <w:right w:w="85" w:type="dxa"/>
            </w:tcMar>
            <w:vAlign w:val="center"/>
          </w:tcPr>
          <w:p w14:paraId="3A9A7DE2" w14:textId="77777777" w:rsidR="00447423" w:rsidRPr="002A3CBE" w:rsidRDefault="00447423" w:rsidP="00F16E23">
            <w:pPr>
              <w:pStyle w:val="TableText"/>
              <w:spacing w:before="40" w:after="40"/>
              <w:jc w:val="right"/>
              <w:rPr>
                <w:rFonts w:eastAsia="Calibri"/>
              </w:rPr>
            </w:pPr>
            <w:r w:rsidRPr="002A3CBE">
              <w:rPr>
                <w:rFonts w:eastAsia="Calibri"/>
              </w:rPr>
              <w:t>0.5</w:t>
            </w:r>
          </w:p>
        </w:tc>
      </w:tr>
      <w:tr w:rsidR="00447423" w:rsidRPr="002A3CBE" w14:paraId="3D51CE0F" w14:textId="77777777" w:rsidTr="00F16E23">
        <w:tc>
          <w:tcPr>
            <w:tcW w:w="2127" w:type="dxa"/>
            <w:vMerge/>
            <w:shd w:val="clear" w:color="auto" w:fill="FFFFFF"/>
            <w:tcMar>
              <w:top w:w="0" w:type="dxa"/>
              <w:left w:w="85" w:type="dxa"/>
              <w:bottom w:w="0" w:type="dxa"/>
              <w:right w:w="85" w:type="dxa"/>
            </w:tcMar>
            <w:vAlign w:val="center"/>
          </w:tcPr>
          <w:p w14:paraId="3B50B89C" w14:textId="77777777" w:rsidR="00447423" w:rsidRPr="002A3CBE" w:rsidRDefault="00447423" w:rsidP="00F16E23">
            <w:pPr>
              <w:pStyle w:val="TableText"/>
              <w:spacing w:before="40" w:after="40"/>
              <w:rPr>
                <w:rFonts w:eastAsia="Calibri"/>
                <w:i/>
              </w:rPr>
            </w:pPr>
          </w:p>
        </w:tc>
        <w:tc>
          <w:tcPr>
            <w:tcW w:w="2126" w:type="dxa"/>
            <w:shd w:val="clear" w:color="auto" w:fill="FFFFFF"/>
            <w:tcMar>
              <w:top w:w="0" w:type="dxa"/>
              <w:left w:w="85" w:type="dxa"/>
              <w:bottom w:w="0" w:type="dxa"/>
              <w:right w:w="85" w:type="dxa"/>
            </w:tcMar>
            <w:vAlign w:val="center"/>
          </w:tcPr>
          <w:p w14:paraId="22C6FA16" w14:textId="77777777" w:rsidR="00447423" w:rsidRPr="002A3CBE" w:rsidRDefault="00447423" w:rsidP="00F16E23">
            <w:pPr>
              <w:pStyle w:val="TableText"/>
              <w:spacing w:before="40" w:after="40"/>
              <w:rPr>
                <w:rFonts w:eastAsia="Calibri"/>
                <w:i/>
              </w:rPr>
            </w:pPr>
            <w:r w:rsidRPr="002A3CBE">
              <w:rPr>
                <w:rFonts w:eastAsia="Calibri"/>
                <w:i/>
              </w:rPr>
              <w:t>Subtotal</w:t>
            </w:r>
          </w:p>
        </w:tc>
        <w:tc>
          <w:tcPr>
            <w:tcW w:w="2126" w:type="dxa"/>
            <w:shd w:val="clear" w:color="auto" w:fill="FFFFFF"/>
            <w:tcMar>
              <w:top w:w="0" w:type="dxa"/>
              <w:left w:w="85" w:type="dxa"/>
              <w:bottom w:w="0" w:type="dxa"/>
              <w:right w:w="85" w:type="dxa"/>
            </w:tcMar>
            <w:vAlign w:val="center"/>
          </w:tcPr>
          <w:p w14:paraId="4674E76C" w14:textId="77777777" w:rsidR="00447423" w:rsidRPr="002A3CBE" w:rsidRDefault="00447423" w:rsidP="00F16E23">
            <w:pPr>
              <w:pStyle w:val="TableText"/>
              <w:spacing w:before="40" w:after="40"/>
              <w:jc w:val="right"/>
              <w:rPr>
                <w:rFonts w:eastAsia="Calibri"/>
                <w:i/>
              </w:rPr>
            </w:pPr>
            <w:r w:rsidRPr="002A3CBE">
              <w:rPr>
                <w:rFonts w:eastAsia="Calibri"/>
                <w:i/>
              </w:rPr>
              <w:t>10,254.242</w:t>
            </w:r>
          </w:p>
        </w:tc>
        <w:tc>
          <w:tcPr>
            <w:tcW w:w="2126" w:type="dxa"/>
            <w:shd w:val="clear" w:color="auto" w:fill="FFFFFF"/>
            <w:tcMar>
              <w:top w:w="0" w:type="dxa"/>
              <w:left w:w="85" w:type="dxa"/>
              <w:bottom w:w="0" w:type="dxa"/>
              <w:right w:w="85" w:type="dxa"/>
            </w:tcMar>
            <w:vAlign w:val="center"/>
          </w:tcPr>
          <w:p w14:paraId="0DDEF460" w14:textId="77777777" w:rsidR="00447423" w:rsidRPr="002A3CBE" w:rsidRDefault="00447423" w:rsidP="00F16E23">
            <w:pPr>
              <w:pStyle w:val="TableText"/>
              <w:spacing w:before="40" w:after="40"/>
              <w:jc w:val="right"/>
              <w:rPr>
                <w:rFonts w:eastAsia="Calibri"/>
                <w:i/>
              </w:rPr>
            </w:pPr>
            <w:r w:rsidRPr="002A3CBE">
              <w:rPr>
                <w:rFonts w:eastAsia="Calibri"/>
                <w:i/>
              </w:rPr>
              <w:t>38.1</w:t>
            </w:r>
          </w:p>
        </w:tc>
      </w:tr>
      <w:tr w:rsidR="00447423" w:rsidRPr="002A3CBE" w14:paraId="0B1A4EB9" w14:textId="77777777" w:rsidTr="00F16E23">
        <w:tc>
          <w:tcPr>
            <w:tcW w:w="2127" w:type="dxa"/>
            <w:vMerge w:val="restart"/>
            <w:shd w:val="clear" w:color="auto" w:fill="FFFFFF"/>
            <w:tcMar>
              <w:top w:w="0" w:type="dxa"/>
              <w:left w:w="85" w:type="dxa"/>
              <w:bottom w:w="0" w:type="dxa"/>
              <w:right w:w="85" w:type="dxa"/>
            </w:tcMar>
            <w:vAlign w:val="center"/>
          </w:tcPr>
          <w:p w14:paraId="065ADE5C" w14:textId="77777777" w:rsidR="00447423" w:rsidRPr="002A3CBE" w:rsidRDefault="00447423" w:rsidP="00F16E23">
            <w:pPr>
              <w:pStyle w:val="TableText"/>
              <w:spacing w:before="40" w:after="40"/>
              <w:rPr>
                <w:rFonts w:eastAsia="Calibri"/>
              </w:rPr>
            </w:pPr>
            <w:r w:rsidRPr="002A3CBE">
              <w:rPr>
                <w:rFonts w:eastAsia="Calibri"/>
              </w:rPr>
              <w:t>Cropland</w:t>
            </w:r>
          </w:p>
        </w:tc>
        <w:tc>
          <w:tcPr>
            <w:tcW w:w="2126" w:type="dxa"/>
            <w:shd w:val="clear" w:color="auto" w:fill="FFFFFF"/>
            <w:tcMar>
              <w:top w:w="0" w:type="dxa"/>
              <w:left w:w="85" w:type="dxa"/>
              <w:bottom w:w="0" w:type="dxa"/>
              <w:right w:w="85" w:type="dxa"/>
            </w:tcMar>
            <w:vAlign w:val="center"/>
          </w:tcPr>
          <w:p w14:paraId="671118C8" w14:textId="77777777" w:rsidR="00447423" w:rsidRPr="002A3CBE" w:rsidRDefault="00447423" w:rsidP="00F16E23">
            <w:pPr>
              <w:pStyle w:val="TableText"/>
              <w:spacing w:before="40" w:after="40"/>
              <w:rPr>
                <w:rFonts w:eastAsia="Calibri"/>
              </w:rPr>
            </w:pPr>
            <w:r w:rsidRPr="002A3CBE">
              <w:rPr>
                <w:rFonts w:eastAsia="Calibri"/>
              </w:rPr>
              <w:t>Annual</w:t>
            </w:r>
          </w:p>
        </w:tc>
        <w:tc>
          <w:tcPr>
            <w:tcW w:w="2126" w:type="dxa"/>
            <w:shd w:val="clear" w:color="auto" w:fill="FFFFFF"/>
            <w:tcMar>
              <w:top w:w="0" w:type="dxa"/>
              <w:left w:w="85" w:type="dxa"/>
              <w:bottom w:w="0" w:type="dxa"/>
              <w:right w:w="85" w:type="dxa"/>
            </w:tcMar>
            <w:vAlign w:val="center"/>
          </w:tcPr>
          <w:p w14:paraId="15F094B0" w14:textId="77777777" w:rsidR="00447423" w:rsidRPr="002A3CBE" w:rsidRDefault="00447423" w:rsidP="00F16E23">
            <w:pPr>
              <w:pStyle w:val="TableText"/>
              <w:spacing w:before="40" w:after="40"/>
              <w:jc w:val="right"/>
              <w:rPr>
                <w:rFonts w:eastAsia="Calibri"/>
              </w:rPr>
            </w:pPr>
            <w:r w:rsidRPr="002A3CBE">
              <w:rPr>
                <w:rFonts w:eastAsia="Calibri"/>
              </w:rPr>
              <w:t>396.478</w:t>
            </w:r>
          </w:p>
        </w:tc>
        <w:tc>
          <w:tcPr>
            <w:tcW w:w="2126" w:type="dxa"/>
            <w:shd w:val="clear" w:color="auto" w:fill="FFFFFF"/>
            <w:tcMar>
              <w:top w:w="0" w:type="dxa"/>
              <w:left w:w="85" w:type="dxa"/>
              <w:bottom w:w="0" w:type="dxa"/>
              <w:right w:w="85" w:type="dxa"/>
            </w:tcMar>
            <w:vAlign w:val="center"/>
          </w:tcPr>
          <w:p w14:paraId="4984EA38" w14:textId="77777777" w:rsidR="00447423" w:rsidRPr="002A3CBE" w:rsidRDefault="00447423" w:rsidP="00F16E23">
            <w:pPr>
              <w:pStyle w:val="TableText"/>
              <w:spacing w:before="40" w:after="40"/>
              <w:jc w:val="right"/>
              <w:rPr>
                <w:rFonts w:eastAsia="Calibri"/>
              </w:rPr>
            </w:pPr>
            <w:r w:rsidRPr="002A3CBE">
              <w:rPr>
                <w:rFonts w:eastAsia="Calibri"/>
              </w:rPr>
              <w:t>1.5</w:t>
            </w:r>
          </w:p>
        </w:tc>
      </w:tr>
      <w:tr w:rsidR="00447423" w:rsidRPr="002A3CBE" w14:paraId="583C985D" w14:textId="77777777" w:rsidTr="00F16E23">
        <w:tc>
          <w:tcPr>
            <w:tcW w:w="2127" w:type="dxa"/>
            <w:vMerge/>
            <w:shd w:val="clear" w:color="auto" w:fill="FFFFFF"/>
            <w:tcMar>
              <w:top w:w="0" w:type="dxa"/>
              <w:left w:w="85" w:type="dxa"/>
              <w:bottom w:w="0" w:type="dxa"/>
              <w:right w:w="85" w:type="dxa"/>
            </w:tcMar>
            <w:vAlign w:val="center"/>
          </w:tcPr>
          <w:p w14:paraId="0B4AC3A9"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4E40E390" w14:textId="77777777" w:rsidR="00447423" w:rsidRPr="002A3CBE" w:rsidRDefault="00447423" w:rsidP="00F16E23">
            <w:pPr>
              <w:pStyle w:val="TableText"/>
              <w:spacing w:before="40" w:after="40"/>
              <w:rPr>
                <w:rFonts w:eastAsia="Calibri"/>
              </w:rPr>
            </w:pPr>
            <w:r w:rsidRPr="002A3CBE">
              <w:rPr>
                <w:rFonts w:eastAsia="Calibri"/>
              </w:rPr>
              <w:t>Perennial</w:t>
            </w:r>
          </w:p>
        </w:tc>
        <w:tc>
          <w:tcPr>
            <w:tcW w:w="2126" w:type="dxa"/>
            <w:shd w:val="clear" w:color="auto" w:fill="FFFFFF"/>
            <w:tcMar>
              <w:top w:w="0" w:type="dxa"/>
              <w:left w:w="85" w:type="dxa"/>
              <w:bottom w:w="0" w:type="dxa"/>
              <w:right w:w="85" w:type="dxa"/>
            </w:tcMar>
            <w:vAlign w:val="center"/>
          </w:tcPr>
          <w:p w14:paraId="2A66FBDB" w14:textId="77777777" w:rsidR="00447423" w:rsidRPr="002A3CBE" w:rsidRDefault="00447423" w:rsidP="00F16E23">
            <w:pPr>
              <w:pStyle w:val="TableText"/>
              <w:spacing w:before="40" w:after="40"/>
              <w:jc w:val="right"/>
              <w:rPr>
                <w:rFonts w:eastAsia="Calibri"/>
              </w:rPr>
            </w:pPr>
            <w:r w:rsidRPr="002A3CBE">
              <w:rPr>
                <w:rFonts w:eastAsia="Calibri"/>
              </w:rPr>
              <w:t>108.463</w:t>
            </w:r>
          </w:p>
        </w:tc>
        <w:tc>
          <w:tcPr>
            <w:tcW w:w="2126" w:type="dxa"/>
            <w:shd w:val="clear" w:color="auto" w:fill="FFFFFF"/>
            <w:tcMar>
              <w:top w:w="0" w:type="dxa"/>
              <w:left w:w="85" w:type="dxa"/>
              <w:bottom w:w="0" w:type="dxa"/>
              <w:right w:w="85" w:type="dxa"/>
            </w:tcMar>
            <w:vAlign w:val="center"/>
          </w:tcPr>
          <w:p w14:paraId="4BD8D3A7" w14:textId="77777777" w:rsidR="00447423" w:rsidRPr="002A3CBE" w:rsidRDefault="00447423" w:rsidP="00F16E23">
            <w:pPr>
              <w:pStyle w:val="TableText"/>
              <w:spacing w:before="40" w:after="40"/>
              <w:jc w:val="right"/>
              <w:rPr>
                <w:rFonts w:eastAsia="Calibri"/>
              </w:rPr>
            </w:pPr>
            <w:r w:rsidRPr="002A3CBE">
              <w:rPr>
                <w:rFonts w:eastAsia="Calibri"/>
              </w:rPr>
              <w:t>0.4</w:t>
            </w:r>
          </w:p>
        </w:tc>
      </w:tr>
      <w:tr w:rsidR="00447423" w:rsidRPr="002A3CBE" w14:paraId="3F25AE4E" w14:textId="77777777" w:rsidTr="00F16E23">
        <w:tc>
          <w:tcPr>
            <w:tcW w:w="2127" w:type="dxa"/>
            <w:vMerge/>
            <w:shd w:val="clear" w:color="auto" w:fill="FFFFFF"/>
            <w:tcMar>
              <w:top w:w="0" w:type="dxa"/>
              <w:left w:w="85" w:type="dxa"/>
              <w:bottom w:w="0" w:type="dxa"/>
              <w:right w:w="85" w:type="dxa"/>
            </w:tcMar>
            <w:vAlign w:val="center"/>
          </w:tcPr>
          <w:p w14:paraId="27AE1ACD" w14:textId="77777777" w:rsidR="00447423" w:rsidRPr="002A3CBE" w:rsidRDefault="00447423" w:rsidP="00F16E23">
            <w:pPr>
              <w:pStyle w:val="TableText"/>
              <w:spacing w:before="40" w:after="40"/>
              <w:rPr>
                <w:rFonts w:eastAsia="Calibri"/>
                <w:i/>
              </w:rPr>
            </w:pPr>
          </w:p>
        </w:tc>
        <w:tc>
          <w:tcPr>
            <w:tcW w:w="2126" w:type="dxa"/>
            <w:shd w:val="clear" w:color="auto" w:fill="FFFFFF"/>
            <w:tcMar>
              <w:top w:w="0" w:type="dxa"/>
              <w:left w:w="85" w:type="dxa"/>
              <w:bottom w:w="0" w:type="dxa"/>
              <w:right w:w="85" w:type="dxa"/>
            </w:tcMar>
            <w:vAlign w:val="center"/>
          </w:tcPr>
          <w:p w14:paraId="5D46FD58" w14:textId="77777777" w:rsidR="00447423" w:rsidRPr="002A3CBE" w:rsidRDefault="00447423" w:rsidP="00F16E23">
            <w:pPr>
              <w:pStyle w:val="TableText"/>
              <w:spacing w:before="40" w:after="40"/>
              <w:rPr>
                <w:rFonts w:eastAsia="Calibri"/>
                <w:i/>
              </w:rPr>
            </w:pPr>
            <w:r w:rsidRPr="002A3CBE">
              <w:rPr>
                <w:rFonts w:eastAsia="Calibri"/>
                <w:i/>
              </w:rPr>
              <w:t>Subtotal</w:t>
            </w:r>
          </w:p>
        </w:tc>
        <w:tc>
          <w:tcPr>
            <w:tcW w:w="2126" w:type="dxa"/>
            <w:shd w:val="clear" w:color="auto" w:fill="FFFFFF"/>
            <w:tcMar>
              <w:top w:w="0" w:type="dxa"/>
              <w:left w:w="85" w:type="dxa"/>
              <w:bottom w:w="0" w:type="dxa"/>
              <w:right w:w="85" w:type="dxa"/>
            </w:tcMar>
            <w:vAlign w:val="center"/>
          </w:tcPr>
          <w:p w14:paraId="0771EEC4" w14:textId="77777777" w:rsidR="00447423" w:rsidRPr="002A3CBE" w:rsidRDefault="00447423" w:rsidP="00F16E23">
            <w:pPr>
              <w:pStyle w:val="TableText"/>
              <w:spacing w:before="40" w:after="40"/>
              <w:jc w:val="right"/>
              <w:rPr>
                <w:rFonts w:eastAsia="Calibri"/>
                <w:i/>
              </w:rPr>
            </w:pPr>
            <w:r w:rsidRPr="002A3CBE">
              <w:rPr>
                <w:rFonts w:eastAsia="Calibri"/>
                <w:i/>
              </w:rPr>
              <w:t>504.940</w:t>
            </w:r>
          </w:p>
        </w:tc>
        <w:tc>
          <w:tcPr>
            <w:tcW w:w="2126" w:type="dxa"/>
            <w:shd w:val="clear" w:color="auto" w:fill="FFFFFF"/>
            <w:tcMar>
              <w:top w:w="0" w:type="dxa"/>
              <w:left w:w="85" w:type="dxa"/>
              <w:bottom w:w="0" w:type="dxa"/>
              <w:right w:w="85" w:type="dxa"/>
            </w:tcMar>
            <w:vAlign w:val="center"/>
          </w:tcPr>
          <w:p w14:paraId="38E187DB" w14:textId="77777777" w:rsidR="00447423" w:rsidRPr="002A3CBE" w:rsidRDefault="00447423" w:rsidP="00F16E23">
            <w:pPr>
              <w:pStyle w:val="TableText"/>
              <w:spacing w:before="40" w:after="40"/>
              <w:jc w:val="right"/>
              <w:rPr>
                <w:rFonts w:eastAsia="Calibri"/>
                <w:i/>
              </w:rPr>
            </w:pPr>
            <w:r w:rsidRPr="002A3CBE">
              <w:rPr>
                <w:rFonts w:eastAsia="Calibri"/>
                <w:i/>
              </w:rPr>
              <w:t>1.9</w:t>
            </w:r>
          </w:p>
        </w:tc>
      </w:tr>
      <w:tr w:rsidR="00447423" w:rsidRPr="002A3CBE" w14:paraId="59687F8A" w14:textId="77777777" w:rsidTr="00F16E23">
        <w:tc>
          <w:tcPr>
            <w:tcW w:w="2127" w:type="dxa"/>
            <w:vMerge w:val="restart"/>
            <w:shd w:val="clear" w:color="auto" w:fill="FFFFFF"/>
            <w:tcMar>
              <w:top w:w="0" w:type="dxa"/>
              <w:left w:w="85" w:type="dxa"/>
              <w:bottom w:w="0" w:type="dxa"/>
              <w:right w:w="85" w:type="dxa"/>
            </w:tcMar>
            <w:vAlign w:val="center"/>
          </w:tcPr>
          <w:p w14:paraId="239CC6B2" w14:textId="77777777" w:rsidR="00447423" w:rsidRPr="002A3CBE" w:rsidRDefault="00447423" w:rsidP="00F16E23">
            <w:pPr>
              <w:pStyle w:val="TableText"/>
              <w:spacing w:before="40" w:after="40"/>
              <w:rPr>
                <w:rFonts w:eastAsia="Calibri"/>
              </w:rPr>
            </w:pPr>
            <w:r w:rsidRPr="002A3CBE">
              <w:rPr>
                <w:rFonts w:eastAsia="Calibri"/>
              </w:rPr>
              <w:t>Grassland</w:t>
            </w:r>
          </w:p>
        </w:tc>
        <w:tc>
          <w:tcPr>
            <w:tcW w:w="2126" w:type="dxa"/>
            <w:shd w:val="clear" w:color="auto" w:fill="FFFFFF"/>
            <w:tcMar>
              <w:top w:w="0" w:type="dxa"/>
              <w:left w:w="85" w:type="dxa"/>
              <w:bottom w:w="0" w:type="dxa"/>
              <w:right w:w="85" w:type="dxa"/>
            </w:tcMar>
            <w:vAlign w:val="center"/>
          </w:tcPr>
          <w:p w14:paraId="507F64C4" w14:textId="77777777" w:rsidR="00447423" w:rsidRPr="002A3CBE" w:rsidRDefault="00447423" w:rsidP="00F16E23">
            <w:pPr>
              <w:pStyle w:val="TableText"/>
              <w:spacing w:before="40" w:after="40"/>
              <w:rPr>
                <w:rFonts w:eastAsia="Calibri"/>
              </w:rPr>
            </w:pPr>
            <w:r w:rsidRPr="002A3CBE">
              <w:rPr>
                <w:rFonts w:eastAsia="Calibri"/>
              </w:rPr>
              <w:t>High producing</w:t>
            </w:r>
          </w:p>
        </w:tc>
        <w:tc>
          <w:tcPr>
            <w:tcW w:w="2126" w:type="dxa"/>
            <w:shd w:val="clear" w:color="auto" w:fill="FFFFFF"/>
            <w:tcMar>
              <w:top w:w="0" w:type="dxa"/>
              <w:left w:w="85" w:type="dxa"/>
              <w:bottom w:w="0" w:type="dxa"/>
              <w:right w:w="85" w:type="dxa"/>
            </w:tcMar>
            <w:vAlign w:val="center"/>
          </w:tcPr>
          <w:p w14:paraId="4249A5B2" w14:textId="77777777" w:rsidR="00447423" w:rsidRPr="002A3CBE" w:rsidRDefault="00447423" w:rsidP="00F16E23">
            <w:pPr>
              <w:pStyle w:val="TableText"/>
              <w:spacing w:before="40" w:after="40"/>
              <w:jc w:val="right"/>
              <w:rPr>
                <w:rFonts w:eastAsia="Calibri"/>
              </w:rPr>
            </w:pPr>
            <w:r w:rsidRPr="002A3CBE">
              <w:rPr>
                <w:rFonts w:eastAsia="Calibri"/>
              </w:rPr>
              <w:t>6,720.087</w:t>
            </w:r>
          </w:p>
        </w:tc>
        <w:tc>
          <w:tcPr>
            <w:tcW w:w="2126" w:type="dxa"/>
            <w:shd w:val="clear" w:color="auto" w:fill="FFFFFF"/>
            <w:tcMar>
              <w:top w:w="0" w:type="dxa"/>
              <w:left w:w="85" w:type="dxa"/>
              <w:bottom w:w="0" w:type="dxa"/>
              <w:right w:w="85" w:type="dxa"/>
            </w:tcMar>
            <w:vAlign w:val="center"/>
          </w:tcPr>
          <w:p w14:paraId="1E66661F" w14:textId="77777777" w:rsidR="00447423" w:rsidRPr="002A3CBE" w:rsidRDefault="00447423" w:rsidP="00F16E23">
            <w:pPr>
              <w:pStyle w:val="TableText"/>
              <w:spacing w:before="40" w:after="40"/>
              <w:jc w:val="right"/>
              <w:rPr>
                <w:rFonts w:eastAsia="Calibri"/>
              </w:rPr>
            </w:pPr>
            <w:r w:rsidRPr="002A3CBE">
              <w:rPr>
                <w:rFonts w:eastAsia="Calibri"/>
              </w:rPr>
              <w:t>25.0</w:t>
            </w:r>
          </w:p>
        </w:tc>
      </w:tr>
      <w:tr w:rsidR="00447423" w:rsidRPr="002A3CBE" w14:paraId="3C246029" w14:textId="77777777" w:rsidTr="00F16E23">
        <w:tc>
          <w:tcPr>
            <w:tcW w:w="2127" w:type="dxa"/>
            <w:vMerge/>
            <w:shd w:val="clear" w:color="auto" w:fill="FFFFFF"/>
            <w:tcMar>
              <w:top w:w="0" w:type="dxa"/>
              <w:left w:w="85" w:type="dxa"/>
              <w:bottom w:w="0" w:type="dxa"/>
              <w:right w:w="85" w:type="dxa"/>
            </w:tcMar>
            <w:vAlign w:val="center"/>
          </w:tcPr>
          <w:p w14:paraId="18F1A787"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09B4AA15" w14:textId="77777777" w:rsidR="00447423" w:rsidRPr="002A3CBE" w:rsidRDefault="00447423" w:rsidP="00F16E23">
            <w:pPr>
              <w:pStyle w:val="TableText"/>
              <w:spacing w:before="40" w:after="40"/>
              <w:rPr>
                <w:rFonts w:eastAsia="Calibri"/>
              </w:rPr>
            </w:pPr>
            <w:r w:rsidRPr="002A3CBE">
              <w:rPr>
                <w:rFonts w:eastAsia="Calibri"/>
              </w:rPr>
              <w:t>Low producing</w:t>
            </w:r>
          </w:p>
        </w:tc>
        <w:tc>
          <w:tcPr>
            <w:tcW w:w="2126" w:type="dxa"/>
            <w:shd w:val="clear" w:color="auto" w:fill="FFFFFF"/>
            <w:tcMar>
              <w:top w:w="0" w:type="dxa"/>
              <w:left w:w="85" w:type="dxa"/>
              <w:bottom w:w="0" w:type="dxa"/>
              <w:right w:w="85" w:type="dxa"/>
            </w:tcMar>
            <w:vAlign w:val="center"/>
          </w:tcPr>
          <w:p w14:paraId="72ED9868" w14:textId="77777777" w:rsidR="00447423" w:rsidRPr="002A3CBE" w:rsidRDefault="00447423" w:rsidP="00F16E23">
            <w:pPr>
              <w:pStyle w:val="TableText"/>
              <w:spacing w:before="40" w:after="40"/>
              <w:jc w:val="right"/>
              <w:rPr>
                <w:rFonts w:eastAsia="Calibri"/>
              </w:rPr>
            </w:pPr>
            <w:r w:rsidRPr="002A3CBE">
              <w:rPr>
                <w:rFonts w:eastAsia="Calibri"/>
              </w:rPr>
              <w:t>6,189.857</w:t>
            </w:r>
          </w:p>
        </w:tc>
        <w:tc>
          <w:tcPr>
            <w:tcW w:w="2126" w:type="dxa"/>
            <w:shd w:val="clear" w:color="auto" w:fill="FFFFFF"/>
            <w:tcMar>
              <w:top w:w="0" w:type="dxa"/>
              <w:left w:w="85" w:type="dxa"/>
              <w:bottom w:w="0" w:type="dxa"/>
              <w:right w:w="85" w:type="dxa"/>
            </w:tcMar>
            <w:vAlign w:val="center"/>
          </w:tcPr>
          <w:p w14:paraId="1FFCB123" w14:textId="77777777" w:rsidR="00447423" w:rsidRPr="002A3CBE" w:rsidRDefault="00447423" w:rsidP="00F16E23">
            <w:pPr>
              <w:pStyle w:val="TableText"/>
              <w:spacing w:before="40" w:after="40"/>
              <w:jc w:val="right"/>
              <w:rPr>
                <w:rFonts w:eastAsia="Calibri"/>
              </w:rPr>
            </w:pPr>
            <w:r w:rsidRPr="002A3CBE">
              <w:rPr>
                <w:rFonts w:eastAsia="Calibri"/>
              </w:rPr>
              <w:t>23.0</w:t>
            </w:r>
          </w:p>
        </w:tc>
      </w:tr>
      <w:tr w:rsidR="00447423" w:rsidRPr="002A3CBE" w14:paraId="7D637033" w14:textId="77777777" w:rsidTr="00F16E23">
        <w:tc>
          <w:tcPr>
            <w:tcW w:w="2127" w:type="dxa"/>
            <w:vMerge/>
            <w:shd w:val="clear" w:color="auto" w:fill="FFFFFF"/>
            <w:tcMar>
              <w:top w:w="0" w:type="dxa"/>
              <w:left w:w="85" w:type="dxa"/>
              <w:bottom w:w="0" w:type="dxa"/>
              <w:right w:w="85" w:type="dxa"/>
            </w:tcMar>
            <w:vAlign w:val="center"/>
          </w:tcPr>
          <w:p w14:paraId="5A89D391"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7486573C" w14:textId="77777777" w:rsidR="00447423" w:rsidRPr="002A3CBE" w:rsidRDefault="00447423" w:rsidP="00F16E23">
            <w:pPr>
              <w:pStyle w:val="TableText"/>
              <w:spacing w:before="40" w:after="40"/>
              <w:rPr>
                <w:rFonts w:eastAsia="Calibri"/>
              </w:rPr>
            </w:pPr>
            <w:r w:rsidRPr="002A3CBE">
              <w:rPr>
                <w:rFonts w:eastAsia="Calibri"/>
              </w:rPr>
              <w:t>With woody biomass</w:t>
            </w:r>
          </w:p>
        </w:tc>
        <w:tc>
          <w:tcPr>
            <w:tcW w:w="2126" w:type="dxa"/>
            <w:shd w:val="clear" w:color="auto" w:fill="FFFFFF"/>
            <w:tcMar>
              <w:top w:w="0" w:type="dxa"/>
              <w:left w:w="85" w:type="dxa"/>
              <w:bottom w:w="0" w:type="dxa"/>
              <w:right w:w="85" w:type="dxa"/>
            </w:tcMar>
            <w:vAlign w:val="center"/>
          </w:tcPr>
          <w:p w14:paraId="60CD98C6" w14:textId="77777777" w:rsidR="00447423" w:rsidRPr="002A3CBE" w:rsidRDefault="00447423" w:rsidP="00F16E23">
            <w:pPr>
              <w:pStyle w:val="TableText"/>
              <w:spacing w:before="40" w:after="40"/>
              <w:jc w:val="right"/>
              <w:rPr>
                <w:rFonts w:eastAsia="Calibri"/>
              </w:rPr>
            </w:pPr>
            <w:r w:rsidRPr="002A3CBE">
              <w:rPr>
                <w:rFonts w:eastAsia="Calibri"/>
              </w:rPr>
              <w:t>1,337.134</w:t>
            </w:r>
          </w:p>
        </w:tc>
        <w:tc>
          <w:tcPr>
            <w:tcW w:w="2126" w:type="dxa"/>
            <w:shd w:val="clear" w:color="auto" w:fill="FFFFFF"/>
            <w:tcMar>
              <w:top w:w="0" w:type="dxa"/>
              <w:left w:w="85" w:type="dxa"/>
              <w:bottom w:w="0" w:type="dxa"/>
              <w:right w:w="85" w:type="dxa"/>
            </w:tcMar>
            <w:vAlign w:val="center"/>
          </w:tcPr>
          <w:p w14:paraId="4A6AC70F" w14:textId="77777777" w:rsidR="00447423" w:rsidRPr="002A3CBE" w:rsidRDefault="00447423" w:rsidP="00F16E23">
            <w:pPr>
              <w:pStyle w:val="TableText"/>
              <w:spacing w:before="40" w:after="40"/>
              <w:jc w:val="right"/>
              <w:rPr>
                <w:rFonts w:eastAsia="Calibri"/>
              </w:rPr>
            </w:pPr>
            <w:r w:rsidRPr="002A3CBE">
              <w:rPr>
                <w:rFonts w:eastAsia="Calibri"/>
              </w:rPr>
              <w:t>5.0</w:t>
            </w:r>
          </w:p>
        </w:tc>
      </w:tr>
      <w:tr w:rsidR="00447423" w:rsidRPr="002A3CBE" w14:paraId="4D6B4D9A" w14:textId="77777777" w:rsidTr="00F16E23">
        <w:tc>
          <w:tcPr>
            <w:tcW w:w="2127" w:type="dxa"/>
            <w:vMerge/>
            <w:shd w:val="clear" w:color="auto" w:fill="FFFFFF"/>
            <w:tcMar>
              <w:top w:w="0" w:type="dxa"/>
              <w:left w:w="85" w:type="dxa"/>
              <w:bottom w:w="0" w:type="dxa"/>
              <w:right w:w="85" w:type="dxa"/>
            </w:tcMar>
            <w:vAlign w:val="center"/>
          </w:tcPr>
          <w:p w14:paraId="6AD447FD" w14:textId="77777777" w:rsidR="00447423" w:rsidRPr="002A3CBE" w:rsidRDefault="00447423" w:rsidP="00F16E23">
            <w:pPr>
              <w:pStyle w:val="TableText"/>
              <w:spacing w:before="40" w:after="40"/>
              <w:rPr>
                <w:rFonts w:eastAsia="Calibri"/>
                <w:i/>
              </w:rPr>
            </w:pPr>
          </w:p>
        </w:tc>
        <w:tc>
          <w:tcPr>
            <w:tcW w:w="2126" w:type="dxa"/>
            <w:shd w:val="clear" w:color="auto" w:fill="FFFFFF"/>
            <w:tcMar>
              <w:top w:w="0" w:type="dxa"/>
              <w:left w:w="85" w:type="dxa"/>
              <w:bottom w:w="0" w:type="dxa"/>
              <w:right w:w="85" w:type="dxa"/>
            </w:tcMar>
            <w:vAlign w:val="center"/>
          </w:tcPr>
          <w:p w14:paraId="6CDAB1AA" w14:textId="77777777" w:rsidR="00447423" w:rsidRPr="002A3CBE" w:rsidRDefault="00447423" w:rsidP="00F16E23">
            <w:pPr>
              <w:pStyle w:val="TableText"/>
              <w:spacing w:before="40" w:after="40"/>
              <w:rPr>
                <w:rFonts w:eastAsia="Calibri"/>
                <w:i/>
              </w:rPr>
            </w:pPr>
            <w:r w:rsidRPr="002A3CBE">
              <w:rPr>
                <w:rFonts w:eastAsia="Calibri"/>
                <w:i/>
              </w:rPr>
              <w:t>Subtotal</w:t>
            </w:r>
          </w:p>
        </w:tc>
        <w:tc>
          <w:tcPr>
            <w:tcW w:w="2126" w:type="dxa"/>
            <w:shd w:val="clear" w:color="auto" w:fill="FFFFFF"/>
            <w:tcMar>
              <w:top w:w="0" w:type="dxa"/>
              <w:left w:w="85" w:type="dxa"/>
              <w:bottom w:w="0" w:type="dxa"/>
              <w:right w:w="85" w:type="dxa"/>
            </w:tcMar>
            <w:vAlign w:val="center"/>
          </w:tcPr>
          <w:p w14:paraId="1CDEB13C" w14:textId="77777777" w:rsidR="00447423" w:rsidRPr="002A3CBE" w:rsidRDefault="00447423" w:rsidP="00F16E23">
            <w:pPr>
              <w:pStyle w:val="TableText"/>
              <w:spacing w:before="40" w:after="40"/>
              <w:jc w:val="right"/>
              <w:rPr>
                <w:rFonts w:eastAsia="Calibri"/>
                <w:i/>
              </w:rPr>
            </w:pPr>
            <w:r w:rsidRPr="002A3CBE">
              <w:rPr>
                <w:rFonts w:eastAsia="Calibri"/>
                <w:i/>
              </w:rPr>
              <w:t>14,247.078</w:t>
            </w:r>
          </w:p>
        </w:tc>
        <w:tc>
          <w:tcPr>
            <w:tcW w:w="2126" w:type="dxa"/>
            <w:shd w:val="clear" w:color="auto" w:fill="FFFFFF"/>
            <w:tcMar>
              <w:top w:w="0" w:type="dxa"/>
              <w:left w:w="85" w:type="dxa"/>
              <w:bottom w:w="0" w:type="dxa"/>
              <w:right w:w="85" w:type="dxa"/>
            </w:tcMar>
            <w:vAlign w:val="center"/>
          </w:tcPr>
          <w:p w14:paraId="2642029F" w14:textId="77777777" w:rsidR="00447423" w:rsidRPr="002A3CBE" w:rsidRDefault="00447423" w:rsidP="00F16E23">
            <w:pPr>
              <w:pStyle w:val="TableText"/>
              <w:spacing w:before="40" w:after="40"/>
              <w:jc w:val="right"/>
              <w:rPr>
                <w:rFonts w:eastAsia="Calibri"/>
                <w:i/>
              </w:rPr>
            </w:pPr>
            <w:r w:rsidRPr="002A3CBE">
              <w:rPr>
                <w:rFonts w:eastAsia="Calibri"/>
                <w:i/>
              </w:rPr>
              <w:t>52.9</w:t>
            </w:r>
          </w:p>
        </w:tc>
      </w:tr>
      <w:tr w:rsidR="00447423" w:rsidRPr="002A3CBE" w14:paraId="4BEF460A" w14:textId="77777777" w:rsidTr="00F16E23">
        <w:tc>
          <w:tcPr>
            <w:tcW w:w="2127" w:type="dxa"/>
            <w:vMerge w:val="restart"/>
            <w:shd w:val="clear" w:color="auto" w:fill="FFFFFF"/>
            <w:tcMar>
              <w:top w:w="0" w:type="dxa"/>
              <w:left w:w="85" w:type="dxa"/>
              <w:bottom w:w="0" w:type="dxa"/>
              <w:right w:w="85" w:type="dxa"/>
            </w:tcMar>
            <w:vAlign w:val="center"/>
          </w:tcPr>
          <w:p w14:paraId="288CDD7F" w14:textId="77777777" w:rsidR="00447423" w:rsidRPr="002A3CBE" w:rsidRDefault="00447423" w:rsidP="00F16E23">
            <w:pPr>
              <w:pStyle w:val="TableText"/>
              <w:spacing w:before="40" w:after="40"/>
              <w:rPr>
                <w:rFonts w:eastAsia="Calibri"/>
              </w:rPr>
            </w:pPr>
            <w:r w:rsidRPr="002A3CBE">
              <w:rPr>
                <w:rFonts w:eastAsia="Calibri"/>
              </w:rPr>
              <w:t>Wetlands</w:t>
            </w:r>
          </w:p>
        </w:tc>
        <w:tc>
          <w:tcPr>
            <w:tcW w:w="2126" w:type="dxa"/>
            <w:shd w:val="clear" w:color="auto" w:fill="FFFFFF"/>
            <w:tcMar>
              <w:top w:w="0" w:type="dxa"/>
              <w:left w:w="85" w:type="dxa"/>
              <w:bottom w:w="0" w:type="dxa"/>
              <w:right w:w="85" w:type="dxa"/>
            </w:tcMar>
            <w:vAlign w:val="center"/>
          </w:tcPr>
          <w:p w14:paraId="3F1A0EBA" w14:textId="77777777" w:rsidR="00447423" w:rsidRPr="002A3CBE" w:rsidRDefault="00447423" w:rsidP="00F16E23">
            <w:pPr>
              <w:pStyle w:val="TableText"/>
              <w:spacing w:before="40" w:after="40"/>
              <w:rPr>
                <w:rFonts w:eastAsia="Calibri"/>
              </w:rPr>
            </w:pPr>
            <w:r w:rsidRPr="002A3CBE">
              <w:rPr>
                <w:rFonts w:eastAsia="Calibri"/>
              </w:rPr>
              <w:t>Open water</w:t>
            </w:r>
          </w:p>
        </w:tc>
        <w:tc>
          <w:tcPr>
            <w:tcW w:w="2126" w:type="dxa"/>
            <w:shd w:val="clear" w:color="auto" w:fill="FFFFFF"/>
            <w:tcMar>
              <w:top w:w="0" w:type="dxa"/>
              <w:left w:w="85" w:type="dxa"/>
              <w:bottom w:w="0" w:type="dxa"/>
              <w:right w:w="85" w:type="dxa"/>
            </w:tcMar>
            <w:vAlign w:val="center"/>
          </w:tcPr>
          <w:p w14:paraId="65B3DB3F" w14:textId="77777777" w:rsidR="00447423" w:rsidRPr="002A3CBE" w:rsidRDefault="00447423" w:rsidP="00F16E23">
            <w:pPr>
              <w:pStyle w:val="TableText"/>
              <w:spacing w:before="40" w:after="40"/>
              <w:jc w:val="right"/>
              <w:rPr>
                <w:rFonts w:eastAsia="Calibri"/>
              </w:rPr>
            </w:pPr>
            <w:r w:rsidRPr="002A3CBE">
              <w:rPr>
                <w:rFonts w:eastAsia="Calibri"/>
              </w:rPr>
              <w:t>537.801</w:t>
            </w:r>
          </w:p>
        </w:tc>
        <w:tc>
          <w:tcPr>
            <w:tcW w:w="2126" w:type="dxa"/>
            <w:shd w:val="clear" w:color="auto" w:fill="FFFFFF"/>
            <w:tcMar>
              <w:top w:w="0" w:type="dxa"/>
              <w:left w:w="85" w:type="dxa"/>
              <w:bottom w:w="0" w:type="dxa"/>
              <w:right w:w="85" w:type="dxa"/>
            </w:tcMar>
            <w:vAlign w:val="center"/>
          </w:tcPr>
          <w:p w14:paraId="3FEEEC62" w14:textId="77777777" w:rsidR="00447423" w:rsidRPr="002A3CBE" w:rsidRDefault="00447423" w:rsidP="00F16E23">
            <w:pPr>
              <w:pStyle w:val="TableText"/>
              <w:spacing w:before="40" w:after="40"/>
              <w:jc w:val="right"/>
              <w:rPr>
                <w:rFonts w:eastAsia="Calibri"/>
              </w:rPr>
            </w:pPr>
            <w:r w:rsidRPr="002A3CBE">
              <w:rPr>
                <w:rFonts w:eastAsia="Calibri"/>
              </w:rPr>
              <w:t>2.0</w:t>
            </w:r>
          </w:p>
        </w:tc>
      </w:tr>
      <w:tr w:rsidR="00447423" w:rsidRPr="002A3CBE" w14:paraId="07DE51E0" w14:textId="77777777" w:rsidTr="00F16E23">
        <w:tc>
          <w:tcPr>
            <w:tcW w:w="2127" w:type="dxa"/>
            <w:vMerge/>
            <w:shd w:val="clear" w:color="auto" w:fill="FFFFFF"/>
            <w:tcMar>
              <w:top w:w="0" w:type="dxa"/>
              <w:left w:w="85" w:type="dxa"/>
              <w:bottom w:w="0" w:type="dxa"/>
              <w:right w:w="85" w:type="dxa"/>
            </w:tcMar>
            <w:vAlign w:val="center"/>
          </w:tcPr>
          <w:p w14:paraId="355ED0B0"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1178CEBA" w14:textId="77777777" w:rsidR="00447423" w:rsidRPr="002A3CBE" w:rsidRDefault="00447423" w:rsidP="00F16E23">
            <w:pPr>
              <w:pStyle w:val="TableText"/>
              <w:spacing w:before="40" w:after="40"/>
              <w:rPr>
                <w:rFonts w:eastAsia="Calibri"/>
              </w:rPr>
            </w:pPr>
            <w:r w:rsidRPr="002A3CBE">
              <w:rPr>
                <w:rFonts w:eastAsia="Calibri"/>
              </w:rPr>
              <w:t>Vegetated</w:t>
            </w:r>
          </w:p>
        </w:tc>
        <w:tc>
          <w:tcPr>
            <w:tcW w:w="2126" w:type="dxa"/>
            <w:shd w:val="clear" w:color="auto" w:fill="FFFFFF"/>
            <w:tcMar>
              <w:top w:w="0" w:type="dxa"/>
              <w:left w:w="85" w:type="dxa"/>
              <w:bottom w:w="0" w:type="dxa"/>
              <w:right w:w="85" w:type="dxa"/>
            </w:tcMar>
            <w:vAlign w:val="center"/>
          </w:tcPr>
          <w:p w14:paraId="629F606D" w14:textId="77777777" w:rsidR="00447423" w:rsidRPr="002A3CBE" w:rsidRDefault="00447423" w:rsidP="00F16E23">
            <w:pPr>
              <w:pStyle w:val="TableText"/>
              <w:spacing w:before="40" w:after="40"/>
              <w:jc w:val="right"/>
              <w:rPr>
                <w:rFonts w:eastAsia="Calibri"/>
              </w:rPr>
            </w:pPr>
            <w:r w:rsidRPr="002A3CBE">
              <w:rPr>
                <w:rFonts w:eastAsia="Calibri"/>
              </w:rPr>
              <w:t>239.931</w:t>
            </w:r>
          </w:p>
        </w:tc>
        <w:tc>
          <w:tcPr>
            <w:tcW w:w="2126" w:type="dxa"/>
            <w:shd w:val="clear" w:color="auto" w:fill="FFFFFF"/>
            <w:tcMar>
              <w:top w:w="0" w:type="dxa"/>
              <w:left w:w="85" w:type="dxa"/>
              <w:bottom w:w="0" w:type="dxa"/>
              <w:right w:w="85" w:type="dxa"/>
            </w:tcMar>
            <w:vAlign w:val="center"/>
          </w:tcPr>
          <w:p w14:paraId="174331E8" w14:textId="77777777" w:rsidR="00447423" w:rsidRPr="002A3CBE" w:rsidRDefault="00447423" w:rsidP="00F16E23">
            <w:pPr>
              <w:pStyle w:val="TableText"/>
              <w:spacing w:before="40" w:after="40"/>
              <w:jc w:val="right"/>
              <w:rPr>
                <w:rFonts w:eastAsia="Calibri"/>
              </w:rPr>
            </w:pPr>
            <w:r w:rsidRPr="002A3CBE">
              <w:rPr>
                <w:rFonts w:eastAsia="Calibri"/>
              </w:rPr>
              <w:t>0.9</w:t>
            </w:r>
          </w:p>
        </w:tc>
      </w:tr>
      <w:tr w:rsidR="00447423" w:rsidRPr="002A3CBE" w14:paraId="5C63D13B" w14:textId="77777777" w:rsidTr="00F16E23">
        <w:tc>
          <w:tcPr>
            <w:tcW w:w="2127" w:type="dxa"/>
            <w:vMerge/>
            <w:shd w:val="clear" w:color="auto" w:fill="FFFFFF"/>
            <w:tcMar>
              <w:top w:w="0" w:type="dxa"/>
              <w:left w:w="85" w:type="dxa"/>
              <w:bottom w:w="0" w:type="dxa"/>
              <w:right w:w="85" w:type="dxa"/>
            </w:tcMar>
            <w:vAlign w:val="center"/>
          </w:tcPr>
          <w:p w14:paraId="76F7A183" w14:textId="77777777" w:rsidR="00447423" w:rsidRPr="002A3CBE" w:rsidRDefault="00447423" w:rsidP="00F16E23">
            <w:pPr>
              <w:pStyle w:val="TableText"/>
              <w:spacing w:before="40" w:after="40"/>
              <w:rPr>
                <w:rFonts w:eastAsia="Calibri"/>
                <w:i/>
              </w:rPr>
            </w:pPr>
          </w:p>
        </w:tc>
        <w:tc>
          <w:tcPr>
            <w:tcW w:w="2126" w:type="dxa"/>
            <w:shd w:val="clear" w:color="auto" w:fill="FFFFFF"/>
            <w:tcMar>
              <w:top w:w="0" w:type="dxa"/>
              <w:left w:w="85" w:type="dxa"/>
              <w:bottom w:w="0" w:type="dxa"/>
              <w:right w:w="85" w:type="dxa"/>
            </w:tcMar>
            <w:vAlign w:val="center"/>
          </w:tcPr>
          <w:p w14:paraId="14FC2610" w14:textId="77777777" w:rsidR="00447423" w:rsidRPr="002A3CBE" w:rsidRDefault="00447423" w:rsidP="00F16E23">
            <w:pPr>
              <w:pStyle w:val="TableText"/>
              <w:spacing w:before="40" w:after="40"/>
              <w:rPr>
                <w:rFonts w:eastAsia="Calibri"/>
                <w:i/>
              </w:rPr>
            </w:pPr>
            <w:r w:rsidRPr="002A3CBE">
              <w:rPr>
                <w:rFonts w:eastAsia="Calibri"/>
                <w:i/>
              </w:rPr>
              <w:t>Subtotal</w:t>
            </w:r>
          </w:p>
        </w:tc>
        <w:tc>
          <w:tcPr>
            <w:tcW w:w="2126" w:type="dxa"/>
            <w:shd w:val="clear" w:color="auto" w:fill="FFFFFF"/>
            <w:tcMar>
              <w:top w:w="0" w:type="dxa"/>
              <w:left w:w="85" w:type="dxa"/>
              <w:bottom w:w="0" w:type="dxa"/>
              <w:right w:w="85" w:type="dxa"/>
            </w:tcMar>
            <w:vAlign w:val="center"/>
          </w:tcPr>
          <w:p w14:paraId="284CF6E0" w14:textId="77777777" w:rsidR="00447423" w:rsidRPr="002A3CBE" w:rsidRDefault="00447423" w:rsidP="00F16E23">
            <w:pPr>
              <w:pStyle w:val="TableText"/>
              <w:spacing w:before="40" w:after="40"/>
              <w:jc w:val="right"/>
              <w:rPr>
                <w:rFonts w:eastAsia="Calibri"/>
                <w:i/>
              </w:rPr>
            </w:pPr>
            <w:r w:rsidRPr="002A3CBE">
              <w:rPr>
                <w:rFonts w:eastAsia="Calibri"/>
                <w:i/>
              </w:rPr>
              <w:t>777.732</w:t>
            </w:r>
          </w:p>
        </w:tc>
        <w:tc>
          <w:tcPr>
            <w:tcW w:w="2126" w:type="dxa"/>
            <w:shd w:val="clear" w:color="auto" w:fill="FFFFFF"/>
            <w:tcMar>
              <w:top w:w="0" w:type="dxa"/>
              <w:left w:w="85" w:type="dxa"/>
              <w:bottom w:w="0" w:type="dxa"/>
              <w:right w:w="85" w:type="dxa"/>
            </w:tcMar>
            <w:vAlign w:val="center"/>
          </w:tcPr>
          <w:p w14:paraId="2BA7B8A8" w14:textId="77777777" w:rsidR="00447423" w:rsidRPr="002A3CBE" w:rsidRDefault="00447423" w:rsidP="00F16E23">
            <w:pPr>
              <w:pStyle w:val="TableText"/>
              <w:spacing w:before="40" w:after="40"/>
              <w:jc w:val="right"/>
              <w:rPr>
                <w:rFonts w:eastAsia="Calibri"/>
                <w:i/>
              </w:rPr>
            </w:pPr>
            <w:r w:rsidRPr="002A3CBE">
              <w:rPr>
                <w:rFonts w:eastAsia="Calibri"/>
                <w:i/>
              </w:rPr>
              <w:t>2.9</w:t>
            </w:r>
          </w:p>
        </w:tc>
      </w:tr>
      <w:tr w:rsidR="00447423" w:rsidRPr="002A3CBE" w14:paraId="4DA1E686" w14:textId="77777777" w:rsidTr="00F16E23">
        <w:tc>
          <w:tcPr>
            <w:tcW w:w="2127" w:type="dxa"/>
            <w:shd w:val="clear" w:color="auto" w:fill="FFFFFF"/>
            <w:tcMar>
              <w:top w:w="0" w:type="dxa"/>
              <w:left w:w="85" w:type="dxa"/>
              <w:bottom w:w="0" w:type="dxa"/>
              <w:right w:w="85" w:type="dxa"/>
            </w:tcMar>
            <w:vAlign w:val="center"/>
          </w:tcPr>
          <w:p w14:paraId="7C5EBA38" w14:textId="77777777" w:rsidR="00447423" w:rsidRPr="002A3CBE" w:rsidRDefault="00447423" w:rsidP="00F16E23">
            <w:pPr>
              <w:pStyle w:val="TableText"/>
              <w:spacing w:before="40" w:after="40"/>
              <w:rPr>
                <w:rFonts w:eastAsia="Calibri"/>
              </w:rPr>
            </w:pPr>
            <w:r w:rsidRPr="002A3CBE">
              <w:rPr>
                <w:rFonts w:eastAsia="Calibri"/>
              </w:rPr>
              <w:t>Settlements</w:t>
            </w:r>
          </w:p>
        </w:tc>
        <w:tc>
          <w:tcPr>
            <w:tcW w:w="2126" w:type="dxa"/>
            <w:shd w:val="clear" w:color="auto" w:fill="FFFFFF"/>
            <w:tcMar>
              <w:top w:w="0" w:type="dxa"/>
              <w:left w:w="85" w:type="dxa"/>
              <w:bottom w:w="0" w:type="dxa"/>
              <w:right w:w="85" w:type="dxa"/>
            </w:tcMar>
            <w:vAlign w:val="center"/>
          </w:tcPr>
          <w:p w14:paraId="591AE4DD"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77CAC920" w14:textId="77777777" w:rsidR="00447423" w:rsidRPr="002A3CBE" w:rsidRDefault="00447423" w:rsidP="00F16E23">
            <w:pPr>
              <w:pStyle w:val="TableText"/>
              <w:spacing w:before="40" w:after="40"/>
              <w:jc w:val="right"/>
              <w:rPr>
                <w:rFonts w:eastAsia="Calibri"/>
              </w:rPr>
            </w:pPr>
            <w:r w:rsidRPr="002A3CBE">
              <w:rPr>
                <w:rFonts w:eastAsia="Calibri"/>
              </w:rPr>
              <w:t>244.182</w:t>
            </w:r>
          </w:p>
        </w:tc>
        <w:tc>
          <w:tcPr>
            <w:tcW w:w="2126" w:type="dxa"/>
            <w:shd w:val="clear" w:color="auto" w:fill="FFFFFF"/>
            <w:tcMar>
              <w:top w:w="0" w:type="dxa"/>
              <w:left w:w="85" w:type="dxa"/>
              <w:bottom w:w="0" w:type="dxa"/>
              <w:right w:w="85" w:type="dxa"/>
            </w:tcMar>
            <w:vAlign w:val="center"/>
          </w:tcPr>
          <w:p w14:paraId="3992BE78" w14:textId="77777777" w:rsidR="00447423" w:rsidRPr="002A3CBE" w:rsidRDefault="00447423" w:rsidP="00F16E23">
            <w:pPr>
              <w:pStyle w:val="TableText"/>
              <w:spacing w:before="40" w:after="40"/>
              <w:jc w:val="right"/>
              <w:rPr>
                <w:rFonts w:eastAsia="Calibri"/>
              </w:rPr>
            </w:pPr>
            <w:r w:rsidRPr="002A3CBE">
              <w:rPr>
                <w:rFonts w:eastAsia="Calibri"/>
              </w:rPr>
              <w:t>0.9</w:t>
            </w:r>
          </w:p>
        </w:tc>
      </w:tr>
      <w:tr w:rsidR="00447423" w:rsidRPr="002A3CBE" w14:paraId="48EA4CEB" w14:textId="77777777" w:rsidTr="00F16E23">
        <w:tc>
          <w:tcPr>
            <w:tcW w:w="2127" w:type="dxa"/>
            <w:shd w:val="clear" w:color="auto" w:fill="FFFFFF"/>
            <w:tcMar>
              <w:top w:w="0" w:type="dxa"/>
              <w:left w:w="85" w:type="dxa"/>
              <w:bottom w:w="0" w:type="dxa"/>
              <w:right w:w="85" w:type="dxa"/>
            </w:tcMar>
            <w:vAlign w:val="center"/>
          </w:tcPr>
          <w:p w14:paraId="57156FDB" w14:textId="77777777" w:rsidR="00447423" w:rsidRPr="002A3CBE" w:rsidRDefault="00447423" w:rsidP="00F16E23">
            <w:pPr>
              <w:pStyle w:val="TableText"/>
              <w:spacing w:before="40" w:after="40"/>
              <w:rPr>
                <w:rFonts w:eastAsia="Calibri"/>
              </w:rPr>
            </w:pPr>
            <w:r w:rsidRPr="002A3CBE">
              <w:rPr>
                <w:rFonts w:eastAsia="Calibri"/>
              </w:rPr>
              <w:t>Other land</w:t>
            </w:r>
          </w:p>
        </w:tc>
        <w:tc>
          <w:tcPr>
            <w:tcW w:w="2126" w:type="dxa"/>
            <w:shd w:val="clear" w:color="auto" w:fill="FFFFFF"/>
            <w:tcMar>
              <w:top w:w="0" w:type="dxa"/>
              <w:left w:w="85" w:type="dxa"/>
              <w:bottom w:w="0" w:type="dxa"/>
              <w:right w:w="85" w:type="dxa"/>
            </w:tcMar>
            <w:vAlign w:val="center"/>
          </w:tcPr>
          <w:p w14:paraId="6C7101D8" w14:textId="77777777" w:rsidR="00447423" w:rsidRPr="002A3CBE" w:rsidRDefault="00447423" w:rsidP="00F16E23">
            <w:pPr>
              <w:pStyle w:val="TableText"/>
              <w:spacing w:before="40" w:after="40"/>
              <w:rPr>
                <w:rFonts w:eastAsia="Calibri"/>
              </w:rPr>
            </w:pPr>
          </w:p>
        </w:tc>
        <w:tc>
          <w:tcPr>
            <w:tcW w:w="2126" w:type="dxa"/>
            <w:shd w:val="clear" w:color="auto" w:fill="FFFFFF"/>
            <w:tcMar>
              <w:top w:w="0" w:type="dxa"/>
              <w:left w:w="85" w:type="dxa"/>
              <w:bottom w:w="0" w:type="dxa"/>
              <w:right w:w="85" w:type="dxa"/>
            </w:tcMar>
            <w:vAlign w:val="center"/>
          </w:tcPr>
          <w:p w14:paraId="46609AC7" w14:textId="77777777" w:rsidR="00447423" w:rsidRPr="002A3CBE" w:rsidRDefault="00447423" w:rsidP="00F16E23">
            <w:pPr>
              <w:pStyle w:val="TableText"/>
              <w:spacing w:before="40" w:after="40"/>
              <w:jc w:val="right"/>
              <w:rPr>
                <w:rFonts w:eastAsia="Calibri"/>
              </w:rPr>
            </w:pPr>
            <w:r w:rsidRPr="002A3CBE">
              <w:rPr>
                <w:rFonts w:eastAsia="Calibri"/>
              </w:rPr>
              <w:t>896.910</w:t>
            </w:r>
          </w:p>
        </w:tc>
        <w:tc>
          <w:tcPr>
            <w:tcW w:w="2126" w:type="dxa"/>
            <w:shd w:val="clear" w:color="auto" w:fill="FFFFFF"/>
            <w:tcMar>
              <w:top w:w="0" w:type="dxa"/>
              <w:left w:w="85" w:type="dxa"/>
              <w:bottom w:w="0" w:type="dxa"/>
              <w:right w:w="85" w:type="dxa"/>
            </w:tcMar>
            <w:vAlign w:val="center"/>
          </w:tcPr>
          <w:p w14:paraId="031E9FEF" w14:textId="77777777" w:rsidR="00447423" w:rsidRPr="002A3CBE" w:rsidRDefault="00447423" w:rsidP="00F16E23">
            <w:pPr>
              <w:pStyle w:val="TableText"/>
              <w:spacing w:before="40" w:after="40"/>
              <w:jc w:val="right"/>
              <w:rPr>
                <w:rFonts w:eastAsia="Calibri"/>
              </w:rPr>
            </w:pPr>
            <w:r w:rsidRPr="002A3CBE">
              <w:rPr>
                <w:rFonts w:eastAsia="Calibri"/>
              </w:rPr>
              <w:t>3.3</w:t>
            </w:r>
          </w:p>
        </w:tc>
      </w:tr>
      <w:tr w:rsidR="00447423" w:rsidRPr="002A3CBE" w14:paraId="186C4B86" w14:textId="77777777" w:rsidTr="00F16E23">
        <w:tc>
          <w:tcPr>
            <w:tcW w:w="2127" w:type="dxa"/>
            <w:shd w:val="clear" w:color="auto" w:fill="FFFFFF"/>
            <w:tcMar>
              <w:top w:w="0" w:type="dxa"/>
              <w:left w:w="85" w:type="dxa"/>
              <w:bottom w:w="0" w:type="dxa"/>
              <w:right w:w="85" w:type="dxa"/>
            </w:tcMar>
            <w:vAlign w:val="center"/>
          </w:tcPr>
          <w:p w14:paraId="5F95BCF2" w14:textId="77777777" w:rsidR="00447423" w:rsidRPr="002A3CBE" w:rsidRDefault="00447423" w:rsidP="00F16E23">
            <w:pPr>
              <w:pStyle w:val="TableTextBold"/>
              <w:spacing w:before="40" w:after="40"/>
              <w:rPr>
                <w:rFonts w:eastAsia="Calibri"/>
                <w:noProof w:val="0"/>
              </w:rPr>
            </w:pPr>
            <w:r w:rsidRPr="002A3CBE">
              <w:rPr>
                <w:rFonts w:eastAsia="Calibri"/>
                <w:noProof w:val="0"/>
              </w:rPr>
              <w:t>Total</w:t>
            </w:r>
          </w:p>
        </w:tc>
        <w:tc>
          <w:tcPr>
            <w:tcW w:w="2126" w:type="dxa"/>
            <w:shd w:val="clear" w:color="auto" w:fill="FFFFFF"/>
            <w:tcMar>
              <w:top w:w="0" w:type="dxa"/>
              <w:left w:w="85" w:type="dxa"/>
              <w:bottom w:w="0" w:type="dxa"/>
              <w:right w:w="85" w:type="dxa"/>
            </w:tcMar>
            <w:vAlign w:val="center"/>
          </w:tcPr>
          <w:p w14:paraId="0E7E7E23" w14:textId="77777777" w:rsidR="00447423" w:rsidRPr="002A3CBE" w:rsidRDefault="00447423" w:rsidP="00F16E23">
            <w:pPr>
              <w:pStyle w:val="TableTextBold"/>
              <w:spacing w:before="40" w:after="40"/>
              <w:rPr>
                <w:rFonts w:eastAsia="Calibri"/>
                <w:noProof w:val="0"/>
              </w:rPr>
            </w:pPr>
          </w:p>
        </w:tc>
        <w:tc>
          <w:tcPr>
            <w:tcW w:w="2126" w:type="dxa"/>
            <w:shd w:val="clear" w:color="auto" w:fill="FFFFFF"/>
            <w:tcMar>
              <w:top w:w="0" w:type="dxa"/>
              <w:left w:w="85" w:type="dxa"/>
              <w:bottom w:w="0" w:type="dxa"/>
              <w:right w:w="85" w:type="dxa"/>
            </w:tcMar>
            <w:vAlign w:val="center"/>
          </w:tcPr>
          <w:p w14:paraId="25B9BF9C" w14:textId="77777777" w:rsidR="00447423" w:rsidRPr="002A3CBE" w:rsidRDefault="00447423" w:rsidP="00F16E23">
            <w:pPr>
              <w:pStyle w:val="TableTextBold"/>
              <w:spacing w:before="40" w:after="40"/>
              <w:jc w:val="right"/>
              <w:rPr>
                <w:rFonts w:eastAsia="Calibri"/>
                <w:noProof w:val="0"/>
              </w:rPr>
            </w:pPr>
            <w:r w:rsidRPr="002A3CBE">
              <w:rPr>
                <w:rFonts w:eastAsia="Calibri"/>
                <w:noProof w:val="0"/>
              </w:rPr>
              <w:t>26,925.085</w:t>
            </w:r>
          </w:p>
        </w:tc>
        <w:tc>
          <w:tcPr>
            <w:tcW w:w="2126" w:type="dxa"/>
            <w:shd w:val="clear" w:color="auto" w:fill="FFFFFF"/>
            <w:tcMar>
              <w:top w:w="0" w:type="dxa"/>
              <w:left w:w="85" w:type="dxa"/>
              <w:bottom w:w="0" w:type="dxa"/>
              <w:right w:w="85" w:type="dxa"/>
            </w:tcMar>
            <w:vAlign w:val="center"/>
          </w:tcPr>
          <w:p w14:paraId="61F894AB" w14:textId="77777777" w:rsidR="00447423" w:rsidRPr="002A3CBE" w:rsidRDefault="00447423" w:rsidP="00F16E23">
            <w:pPr>
              <w:pStyle w:val="TableTextBold"/>
              <w:spacing w:before="40" w:after="40"/>
              <w:jc w:val="right"/>
              <w:rPr>
                <w:rFonts w:eastAsia="Calibri"/>
                <w:noProof w:val="0"/>
              </w:rPr>
            </w:pPr>
            <w:r w:rsidRPr="002A3CBE">
              <w:rPr>
                <w:rFonts w:eastAsia="Calibri"/>
                <w:noProof w:val="0"/>
              </w:rPr>
              <w:t>100.0</w:t>
            </w:r>
          </w:p>
        </w:tc>
      </w:tr>
    </w:tbl>
    <w:p w14:paraId="0D9A20A2" w14:textId="77777777" w:rsidR="00447423" w:rsidRPr="002A3CBE" w:rsidRDefault="00447423" w:rsidP="00447423">
      <w:pPr>
        <w:pStyle w:val="Noteundertable"/>
        <w:spacing w:after="80"/>
      </w:pPr>
      <w:r w:rsidRPr="002A3CBE">
        <w:rPr>
          <w:b/>
        </w:rPr>
        <w:t>Note:</w:t>
      </w:r>
      <w:r w:rsidRPr="002A3CBE">
        <w:tab/>
        <w:t>Areas as at 31 December 2024. Columns may not total due to rounding. Percentages presented are calculated from unrounded values.</w:t>
      </w:r>
    </w:p>
    <w:p w14:paraId="6CE2AF3B" w14:textId="77777777" w:rsidR="00447423" w:rsidRPr="002A3CBE" w:rsidRDefault="00447423" w:rsidP="00447423">
      <w:pPr>
        <w:pStyle w:val="Figure"/>
        <w:spacing w:before="240" w:after="80"/>
      </w:pPr>
      <w:bookmarkStart w:id="1655" w:name="_Toc131591568"/>
      <w:bookmarkStart w:id="1656" w:name="_Toc158979908"/>
      <w:bookmarkStart w:id="1657" w:name="_Toc164154036"/>
      <w:bookmarkStart w:id="1658" w:name="_Toc190873405"/>
      <w:bookmarkStart w:id="1659" w:name="_Toc194674869"/>
      <w:bookmarkStart w:id="1660" w:name="_Toc222837969"/>
      <w:bookmarkStart w:id="1661" w:name="_Toc226200696"/>
      <w:r w:rsidRPr="002A3CBE">
        <w:t>Figure 6.1.2</w:t>
      </w:r>
      <w:r w:rsidRPr="002A3CBE">
        <w:tab/>
        <w:t xml:space="preserve">Comparison of afforestation and deforestation rates with the changing NZ ETS unit price, from 2003 to </w:t>
      </w:r>
      <w:bookmarkEnd w:id="1655"/>
      <w:bookmarkEnd w:id="1656"/>
      <w:bookmarkEnd w:id="1657"/>
      <w:bookmarkEnd w:id="1658"/>
      <w:bookmarkEnd w:id="1659"/>
      <w:r w:rsidRPr="002A3CBE">
        <w:t>2024</w:t>
      </w:r>
      <w:bookmarkEnd w:id="1660"/>
      <w:bookmarkEnd w:id="1661"/>
    </w:p>
    <w:p w14:paraId="4F69561B" w14:textId="77777777" w:rsidR="00447423" w:rsidRPr="002A3CBE" w:rsidRDefault="00447423" w:rsidP="00447423">
      <w:pPr>
        <w:pStyle w:val="BodyText"/>
        <w:jc w:val="center"/>
      </w:pPr>
      <w:r w:rsidRPr="002A3CBE">
        <w:rPr>
          <w:noProof/>
        </w:rPr>
        <w:drawing>
          <wp:inline distT="0" distB="0" distL="0" distR="0" wp14:anchorId="3DF2ECBB" wp14:editId="2B70A2BE">
            <wp:extent cx="4572000" cy="3586038"/>
            <wp:effectExtent l="0" t="0" r="0" b="0"/>
            <wp:docPr id="3" name="Picture 3" descr="A graph of 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aph of a graph with numbers and lines&#10;&#10;AI-generated content may be incorrect."/>
                    <pic:cNvPicPr>
                      <a:picLocks noChangeAspect="1" noChangeArrowheads="1"/>
                    </pic:cNvPicPr>
                  </pic:nvPicPr>
                  <pic:blipFill rotWithShape="1">
                    <a:blip r:embed="rId213"/>
                    <a:srcRect b="1957"/>
                    <a:stretch>
                      <a:fillRect/>
                    </a:stretch>
                  </pic:blipFill>
                  <pic:spPr bwMode="auto">
                    <a:xfrm>
                      <a:off x="0" y="0"/>
                      <a:ext cx="63500" cy="49806"/>
                    </a:xfrm>
                    <a:prstGeom prst="rect">
                      <a:avLst/>
                    </a:prstGeom>
                    <a:noFill/>
                    <a:ln>
                      <a:noFill/>
                    </a:ln>
                    <a:extLst>
                      <a:ext uri="{53640926-AAD7-44D8-BBD7-CCE9431645EC}">
                        <a14:shadowObscured xmlns:a14="http://schemas.microsoft.com/office/drawing/2010/main"/>
                      </a:ext>
                    </a:extLst>
                  </pic:spPr>
                </pic:pic>
              </a:graphicData>
            </a:graphic>
          </wp:inline>
        </w:drawing>
      </w:r>
    </w:p>
    <w:p w14:paraId="17192466" w14:textId="77777777" w:rsidR="00447423" w:rsidRPr="002A3CBE" w:rsidRDefault="00447423" w:rsidP="00447423">
      <w:pPr>
        <w:pStyle w:val="Heading3"/>
        <w:spacing w:before="320"/>
      </w:pPr>
      <w:r w:rsidRPr="002A3CBE">
        <w:t>6.1.2</w:t>
      </w:r>
      <w:r w:rsidRPr="002A3CBE">
        <w:tab/>
        <w:t>Methodological tiers and coverage of pools applied in the LULUCF sector</w:t>
      </w:r>
    </w:p>
    <w:p w14:paraId="3A9627AF" w14:textId="77777777" w:rsidR="00447423" w:rsidRPr="002A3CBE" w:rsidRDefault="00447423" w:rsidP="00447423">
      <w:pPr>
        <w:pStyle w:val="BodyText"/>
        <w:spacing w:before="100" w:after="100"/>
      </w:pPr>
      <w:r w:rsidRPr="002A3CBE">
        <w:t>New Zealand</w:t>
      </w:r>
      <w:r w:rsidRPr="002A3CBE">
        <w:rPr>
          <w:spacing w:val="-2"/>
        </w:rPr>
        <w:t xml:space="preserve"> </w:t>
      </w:r>
      <w:r w:rsidRPr="002A3CBE">
        <w:t xml:space="preserve">uses a combination of Tier 1, Tier 2 and Tier 3 methods, as described in volume 1 of the 2006 IPCC Guidelines (IPCC, 2006b), for estimating net emissions for the LULUCF sector. A Tier 1 approach has been used to estimate carbon stock change in the four biomass pools (above-ground and below-ground biomass, dead wood and litter) for all land uses except </w:t>
      </w:r>
      <w:r w:rsidRPr="002A3CBE">
        <w:rPr>
          <w:i/>
        </w:rPr>
        <w:t>Forest land</w:t>
      </w:r>
      <w:r w:rsidRPr="002A3CBE">
        <w:t xml:space="preserve">, </w:t>
      </w:r>
      <w:r w:rsidRPr="002A3CBE">
        <w:rPr>
          <w:i/>
          <w:iCs/>
        </w:rPr>
        <w:t>Perennial cropland</w:t>
      </w:r>
      <w:r w:rsidRPr="002A3CBE">
        <w:t>,</w:t>
      </w:r>
      <w:r w:rsidRPr="002A3CBE">
        <w:rPr>
          <w:i/>
          <w:iCs/>
        </w:rPr>
        <w:t xml:space="preserve"> Vegetated wetland</w:t>
      </w:r>
      <w:r w:rsidRPr="002A3CBE">
        <w:t xml:space="preserve"> and </w:t>
      </w:r>
      <w:r w:rsidRPr="002A3CBE">
        <w:rPr>
          <w:i/>
          <w:iCs/>
        </w:rPr>
        <w:t>Grassland with woody biomass</w:t>
      </w:r>
      <w:r w:rsidRPr="002A3CBE">
        <w:t>, which use Tier 2 or Tier 3 approaches.</w:t>
      </w:r>
    </w:p>
    <w:p w14:paraId="2D7D3B1E" w14:textId="77777777" w:rsidR="00447423" w:rsidRPr="002A3CBE" w:rsidRDefault="00447423" w:rsidP="00447423">
      <w:pPr>
        <w:pStyle w:val="BodyText"/>
        <w:spacing w:before="100" w:after="100"/>
      </w:pPr>
      <w:r w:rsidRPr="002A3CBE">
        <w:t>For all land uses, Tier 1 approaches are used to estimate carbon stock changes in organic soils, and a Tier 2 modelling approach is applied to estimate soil organic carbon (SOC) changes from mineral soils. This model is described in more detail in volume 2, annex 5, section A5.2.4 ‘Mineral soils’.</w:t>
      </w:r>
    </w:p>
    <w:p w14:paraId="3851BFDF" w14:textId="77777777" w:rsidR="00447423" w:rsidRPr="002A3CBE" w:rsidRDefault="00447423" w:rsidP="00447423">
      <w:pPr>
        <w:pStyle w:val="BodyText"/>
        <w:spacing w:before="100" w:after="100"/>
      </w:pPr>
      <w:r w:rsidRPr="002A3CBE">
        <w:t>New Zealand’s forests are disaggregated into four reporting categories, to represent the different growth characteristics of the forest types more accurately: pre-1990 planted forest, pre-1990 natural forest, post-1989 planted forest and post-1989 natural forest. The terms ‘post-1989’ and ‘pre-1990’ distinguish between forests growing on land that was forested</w:t>
      </w:r>
      <w:r w:rsidRPr="002A3CBE" w:rsidDel="00DC120C">
        <w:t xml:space="preserve"> </w:t>
      </w:r>
      <w:r w:rsidRPr="002A3CBE">
        <w:t>as of 31 December 1989 and those growing on land that was not forested at that date. The terms ‘natural’ and ‘planted’ forest are used to identify whether the trees were established from natural regeneration or from managed planting. The term ‘harvesting’ refers to temporary destocking of forest as part of ongoing forestry land use, whereas ‘deforestation’ refers to permanent removal of forest as a result of land-use change. Further detail on the characterisation and analysis of forest land is given in volume 2, annex 5, section A5.2.5 ‘Forest land methodologies’.</w:t>
      </w:r>
    </w:p>
    <w:p w14:paraId="333A9CEA" w14:textId="77777777" w:rsidR="00447423" w:rsidRPr="002A3CBE" w:rsidRDefault="00447423" w:rsidP="00447423">
      <w:pPr>
        <w:spacing w:before="100" w:after="100"/>
      </w:pPr>
      <w:r w:rsidRPr="002A3CBE">
        <w:t xml:space="preserve">Similarly, the species compositions reported in the </w:t>
      </w:r>
      <w:r w:rsidRPr="002A3CBE">
        <w:rPr>
          <w:i/>
          <w:iCs/>
        </w:rPr>
        <w:t>Grassland</w:t>
      </w:r>
      <w:r w:rsidRPr="002A3CBE">
        <w:t xml:space="preserve"> category are diverse, ranging from different grass types to woody trees that do not meet New Zealand’s forest definition. To allow for this, the </w:t>
      </w:r>
      <w:r w:rsidRPr="002A3CBE">
        <w:rPr>
          <w:i/>
          <w:iCs/>
        </w:rPr>
        <w:t>Grassland</w:t>
      </w:r>
      <w:r w:rsidRPr="002A3CBE">
        <w:t xml:space="preserve"> category is divided into four types for modelling the net emissions from land-use change.</w:t>
      </w:r>
    </w:p>
    <w:p w14:paraId="6AA27ABF" w14:textId="77777777" w:rsidR="00447423" w:rsidRPr="002A3CBE" w:rsidRDefault="00447423" w:rsidP="00447423">
      <w:pPr>
        <w:pStyle w:val="Heading4"/>
      </w:pPr>
      <w:r w:rsidRPr="002A3CBE">
        <w:t>Calculation of national emission estimates</w:t>
      </w:r>
    </w:p>
    <w:p w14:paraId="764BE500" w14:textId="77777777" w:rsidR="00447423" w:rsidRPr="002A3CBE" w:rsidRDefault="00447423" w:rsidP="00447423">
      <w:pPr>
        <w:pStyle w:val="BodyText"/>
        <w:spacing w:before="100" w:after="100"/>
      </w:pPr>
      <w:r w:rsidRPr="002A3CBE">
        <w:t xml:space="preserve">The methods used to estimate carbon by pool for each land use are summarised in table 6.1.5. Biomass carbon stocks in each land use before conversion, emission factors to estimate carbon stock changes, and annual growth in biomass carbon stocks after land use conversion are summarised in the relevant category sections in this chapter. Activity data are estimated using wall-to-wall mapping from satellite imagery and other ancillary data sets and are described in more detail in section 6.3.1 and volume 2, annex 5, section A5.2.1 ‘Land use mapping methodology’. </w:t>
      </w:r>
    </w:p>
    <w:p w14:paraId="589D1541" w14:textId="77777777" w:rsidR="00447423" w:rsidRPr="002A3CBE" w:rsidRDefault="00447423" w:rsidP="00447423">
      <w:pPr>
        <w:pStyle w:val="Table"/>
      </w:pPr>
      <w:bookmarkStart w:id="1662" w:name="_Toc280630449"/>
      <w:bookmarkStart w:id="1663" w:name="_Toc310423392"/>
      <w:bookmarkStart w:id="1664" w:name="_Toc318362685"/>
      <w:bookmarkStart w:id="1665" w:name="_Toc342470747"/>
      <w:bookmarkStart w:id="1666" w:name="_Toc352504987"/>
      <w:bookmarkStart w:id="1667" w:name="_Toc378853276"/>
      <w:bookmarkStart w:id="1668" w:name="_Toc391024074"/>
      <w:bookmarkStart w:id="1669" w:name="_Toc410028817"/>
      <w:bookmarkStart w:id="1670" w:name="_Toc414531445"/>
      <w:bookmarkStart w:id="1671" w:name="_Toc443645357"/>
      <w:bookmarkStart w:id="1672" w:name="_Toc474914576"/>
      <w:bookmarkStart w:id="1673" w:name="_Toc481751540"/>
      <w:bookmarkStart w:id="1674" w:name="_Toc522010597"/>
      <w:bookmarkStart w:id="1675" w:name="_Toc5269502"/>
      <w:bookmarkStart w:id="1676" w:name="_Toc33529378"/>
      <w:bookmarkStart w:id="1677" w:name="_Toc36224584"/>
      <w:bookmarkStart w:id="1678" w:name="_Toc65243579"/>
      <w:bookmarkStart w:id="1679" w:name="_Toc131591384"/>
      <w:bookmarkStart w:id="1680" w:name="_Toc158979942"/>
      <w:bookmarkStart w:id="1681" w:name="_Toc164153875"/>
      <w:bookmarkStart w:id="1682" w:name="_Toc190873109"/>
      <w:bookmarkStart w:id="1683" w:name="_Toc194241748"/>
      <w:bookmarkStart w:id="1684" w:name="_Toc222837897"/>
      <w:bookmarkStart w:id="1685" w:name="_Toc226669043"/>
      <w:r w:rsidRPr="002A3CBE">
        <w:t>Table 6.1.5</w:t>
      </w:r>
      <w:r w:rsidRPr="002A3CBE">
        <w:tab/>
        <w:t>Relationships between land use, carbon pool and method of calculation used by New Zealand</w:t>
      </w:r>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p>
    <w:tbl>
      <w:tblPr>
        <w:tblW w:w="8562"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1109"/>
        <w:gridCol w:w="1276"/>
        <w:gridCol w:w="1276"/>
        <w:gridCol w:w="1301"/>
        <w:gridCol w:w="1251"/>
        <w:gridCol w:w="1134"/>
        <w:gridCol w:w="1215"/>
      </w:tblGrid>
      <w:tr w:rsidR="00447423" w:rsidRPr="002A3CBE" w14:paraId="0C9EE4C9" w14:textId="77777777" w:rsidTr="00F16E23">
        <w:trPr>
          <w:tblHeader/>
        </w:trPr>
        <w:tc>
          <w:tcPr>
            <w:tcW w:w="1109" w:type="dxa"/>
            <w:shd w:val="clear" w:color="auto" w:fill="1B556B" w:themeFill="text2"/>
            <w:vAlign w:val="bottom"/>
            <w:hideMark/>
          </w:tcPr>
          <w:p w14:paraId="1D4539F4" w14:textId="77777777" w:rsidR="00447423" w:rsidRPr="002A3CBE" w:rsidRDefault="00447423" w:rsidP="00F16E23">
            <w:pPr>
              <w:pStyle w:val="TableTextBold"/>
              <w:keepNext/>
              <w:spacing w:before="40" w:after="40"/>
              <w:rPr>
                <w:rFonts w:cs="Calibri"/>
                <w:noProof w:val="0"/>
                <w:color w:val="FFFFFF"/>
                <w:szCs w:val="16"/>
              </w:rPr>
            </w:pPr>
            <w:r w:rsidRPr="002A3CBE">
              <w:rPr>
                <w:rFonts w:cs="Calibri"/>
                <w:noProof w:val="0"/>
                <w:color w:val="FFFFFF"/>
                <w:szCs w:val="16"/>
              </w:rPr>
              <w:t>Reporting category</w:t>
            </w:r>
          </w:p>
        </w:tc>
        <w:tc>
          <w:tcPr>
            <w:tcW w:w="2552" w:type="dxa"/>
            <w:gridSpan w:val="2"/>
            <w:tcBorders>
              <w:bottom w:val="single" w:sz="4" w:space="0" w:color="1B556B" w:themeColor="text2"/>
            </w:tcBorders>
            <w:shd w:val="clear" w:color="auto" w:fill="1B556B" w:themeFill="text2"/>
            <w:vAlign w:val="bottom"/>
            <w:hideMark/>
          </w:tcPr>
          <w:p w14:paraId="03CD093B" w14:textId="77777777" w:rsidR="00447423" w:rsidRPr="002A3CBE" w:rsidRDefault="00447423" w:rsidP="00F16E23">
            <w:pPr>
              <w:pStyle w:val="TableTextBold"/>
              <w:keepNext/>
              <w:spacing w:before="40" w:after="40"/>
              <w:jc w:val="center"/>
              <w:rPr>
                <w:rFonts w:cs="Calibri"/>
                <w:noProof w:val="0"/>
                <w:color w:val="FFFFFF"/>
                <w:szCs w:val="16"/>
              </w:rPr>
            </w:pPr>
            <w:r w:rsidRPr="002A3CBE">
              <w:rPr>
                <w:rFonts w:cs="Calibri"/>
                <w:noProof w:val="0"/>
                <w:color w:val="FFFFFF"/>
                <w:szCs w:val="16"/>
              </w:rPr>
              <w:t>Living biomass</w:t>
            </w:r>
          </w:p>
        </w:tc>
        <w:tc>
          <w:tcPr>
            <w:tcW w:w="2552" w:type="dxa"/>
            <w:gridSpan w:val="2"/>
            <w:tcBorders>
              <w:bottom w:val="single" w:sz="4" w:space="0" w:color="1B556B" w:themeColor="text2"/>
            </w:tcBorders>
            <w:shd w:val="clear" w:color="auto" w:fill="1B556B" w:themeFill="text2"/>
            <w:vAlign w:val="bottom"/>
            <w:hideMark/>
          </w:tcPr>
          <w:p w14:paraId="6BE7C9C3" w14:textId="77777777" w:rsidR="00447423" w:rsidRPr="002A3CBE" w:rsidRDefault="00447423" w:rsidP="00F16E23">
            <w:pPr>
              <w:pStyle w:val="TableTextBold"/>
              <w:keepNext/>
              <w:spacing w:before="40" w:after="40"/>
              <w:jc w:val="center"/>
              <w:rPr>
                <w:rFonts w:cs="Calibri"/>
                <w:noProof w:val="0"/>
                <w:color w:val="FFFFFF"/>
                <w:szCs w:val="16"/>
              </w:rPr>
            </w:pPr>
            <w:r w:rsidRPr="002A3CBE">
              <w:rPr>
                <w:rFonts w:cs="Calibri"/>
                <w:noProof w:val="0"/>
                <w:color w:val="FFFFFF"/>
                <w:szCs w:val="16"/>
              </w:rPr>
              <w:t>Dead organic matter</w:t>
            </w:r>
          </w:p>
        </w:tc>
        <w:tc>
          <w:tcPr>
            <w:tcW w:w="2292" w:type="dxa"/>
            <w:gridSpan w:val="2"/>
            <w:tcBorders>
              <w:bottom w:val="single" w:sz="4" w:space="0" w:color="1B556B" w:themeColor="text2"/>
            </w:tcBorders>
            <w:shd w:val="clear" w:color="auto" w:fill="1B556B" w:themeFill="text2"/>
            <w:vAlign w:val="bottom"/>
            <w:hideMark/>
          </w:tcPr>
          <w:p w14:paraId="363439EC" w14:textId="77777777" w:rsidR="00447423" w:rsidRPr="002A3CBE" w:rsidRDefault="00447423" w:rsidP="00F16E23">
            <w:pPr>
              <w:pStyle w:val="TableTextBold"/>
              <w:keepNext/>
              <w:spacing w:before="40" w:after="40"/>
              <w:jc w:val="center"/>
              <w:rPr>
                <w:rFonts w:cs="Calibri"/>
                <w:noProof w:val="0"/>
                <w:color w:val="FFFFFF"/>
                <w:szCs w:val="16"/>
              </w:rPr>
            </w:pPr>
            <w:r w:rsidRPr="002A3CBE">
              <w:rPr>
                <w:rFonts w:cs="Calibri"/>
                <w:noProof w:val="0"/>
                <w:color w:val="FFFFFF"/>
                <w:szCs w:val="16"/>
              </w:rPr>
              <w:t>Soils</w:t>
            </w:r>
          </w:p>
        </w:tc>
      </w:tr>
      <w:tr w:rsidR="00447423" w:rsidRPr="002A3CBE" w14:paraId="441CB289" w14:textId="77777777" w:rsidTr="00F16E23">
        <w:trPr>
          <w:tblHeader/>
        </w:trPr>
        <w:tc>
          <w:tcPr>
            <w:tcW w:w="1109" w:type="dxa"/>
            <w:vMerge w:val="restart"/>
            <w:vAlign w:val="bottom"/>
            <w:hideMark/>
          </w:tcPr>
          <w:p w14:paraId="46BBA286" w14:textId="77777777" w:rsidR="00447423" w:rsidRPr="002A3CBE" w:rsidRDefault="00447423" w:rsidP="00F16E23">
            <w:pPr>
              <w:pStyle w:val="TableTextBold"/>
              <w:spacing w:after="40"/>
              <w:rPr>
                <w:rFonts w:cs="Calibri"/>
                <w:noProof w:val="0"/>
                <w:szCs w:val="16"/>
              </w:rPr>
            </w:pPr>
            <w:r w:rsidRPr="002A3CBE">
              <w:rPr>
                <w:rFonts w:cs="Calibri"/>
                <w:noProof w:val="0"/>
                <w:szCs w:val="16"/>
              </w:rPr>
              <w:t>Land use</w:t>
            </w:r>
          </w:p>
        </w:tc>
        <w:tc>
          <w:tcPr>
            <w:tcW w:w="1276" w:type="dxa"/>
            <w:vMerge w:val="restart"/>
            <w:tcBorders>
              <w:right w:val="nil"/>
            </w:tcBorders>
            <w:vAlign w:val="bottom"/>
            <w:hideMark/>
          </w:tcPr>
          <w:p w14:paraId="2756CEAA" w14:textId="77777777" w:rsidR="00447423" w:rsidRPr="002A3CBE" w:rsidRDefault="00447423" w:rsidP="00F16E23">
            <w:pPr>
              <w:pStyle w:val="TableTextBold"/>
              <w:keepNext/>
              <w:spacing w:before="40" w:after="40"/>
              <w:jc w:val="center"/>
              <w:rPr>
                <w:rFonts w:cs="Calibri"/>
                <w:noProof w:val="0"/>
                <w:szCs w:val="16"/>
              </w:rPr>
            </w:pPr>
            <w:r w:rsidRPr="002A3CBE">
              <w:rPr>
                <w:rFonts w:cs="Calibri"/>
                <w:noProof w:val="0"/>
                <w:szCs w:val="16"/>
              </w:rPr>
              <w:t>Above-ground biomass</w:t>
            </w:r>
          </w:p>
        </w:tc>
        <w:tc>
          <w:tcPr>
            <w:tcW w:w="1276" w:type="dxa"/>
            <w:vMerge w:val="restart"/>
            <w:tcBorders>
              <w:left w:val="nil"/>
              <w:right w:val="nil"/>
            </w:tcBorders>
            <w:vAlign w:val="bottom"/>
            <w:hideMark/>
          </w:tcPr>
          <w:p w14:paraId="48431D62" w14:textId="77777777" w:rsidR="00447423" w:rsidRPr="002A3CBE" w:rsidRDefault="00447423" w:rsidP="00F16E23">
            <w:pPr>
              <w:pStyle w:val="TableTextBold"/>
              <w:keepNext/>
              <w:spacing w:before="40" w:after="40"/>
              <w:jc w:val="center"/>
              <w:rPr>
                <w:rFonts w:cs="Calibri"/>
                <w:noProof w:val="0"/>
                <w:szCs w:val="16"/>
              </w:rPr>
            </w:pPr>
            <w:r w:rsidRPr="002A3CBE">
              <w:rPr>
                <w:rFonts w:cs="Calibri"/>
                <w:noProof w:val="0"/>
                <w:szCs w:val="16"/>
              </w:rPr>
              <w:t>Below-ground biomass</w:t>
            </w:r>
          </w:p>
        </w:tc>
        <w:tc>
          <w:tcPr>
            <w:tcW w:w="1301" w:type="dxa"/>
            <w:vMerge w:val="restart"/>
            <w:tcBorders>
              <w:left w:val="nil"/>
              <w:right w:val="nil"/>
            </w:tcBorders>
            <w:vAlign w:val="bottom"/>
            <w:hideMark/>
          </w:tcPr>
          <w:p w14:paraId="51CB1955" w14:textId="77777777" w:rsidR="00447423" w:rsidRPr="002A3CBE" w:rsidRDefault="00447423" w:rsidP="00F16E23">
            <w:pPr>
              <w:pStyle w:val="TableTextBold"/>
              <w:keepNext/>
              <w:spacing w:before="40" w:after="40"/>
              <w:jc w:val="center"/>
              <w:rPr>
                <w:rFonts w:cs="Calibri"/>
                <w:noProof w:val="0"/>
                <w:szCs w:val="16"/>
              </w:rPr>
            </w:pPr>
            <w:r w:rsidRPr="002A3CBE">
              <w:rPr>
                <w:rFonts w:cs="Calibri"/>
                <w:noProof w:val="0"/>
                <w:szCs w:val="16"/>
              </w:rPr>
              <w:t>Dead wood</w:t>
            </w:r>
          </w:p>
        </w:tc>
        <w:tc>
          <w:tcPr>
            <w:tcW w:w="1251" w:type="dxa"/>
            <w:vMerge w:val="restart"/>
            <w:tcBorders>
              <w:left w:val="nil"/>
            </w:tcBorders>
            <w:vAlign w:val="bottom"/>
            <w:hideMark/>
          </w:tcPr>
          <w:p w14:paraId="7797BED2" w14:textId="77777777" w:rsidR="00447423" w:rsidRPr="002A3CBE" w:rsidRDefault="00447423" w:rsidP="00F16E23">
            <w:pPr>
              <w:pStyle w:val="TableTextBold"/>
              <w:keepNext/>
              <w:spacing w:before="40" w:after="40"/>
              <w:jc w:val="center"/>
              <w:rPr>
                <w:rFonts w:cs="Calibri"/>
                <w:noProof w:val="0"/>
                <w:szCs w:val="16"/>
              </w:rPr>
            </w:pPr>
            <w:r w:rsidRPr="002A3CBE">
              <w:rPr>
                <w:rFonts w:cs="Calibri"/>
                <w:noProof w:val="0"/>
                <w:szCs w:val="16"/>
              </w:rPr>
              <w:t>Litter</w:t>
            </w:r>
          </w:p>
        </w:tc>
        <w:tc>
          <w:tcPr>
            <w:tcW w:w="2292" w:type="dxa"/>
            <w:gridSpan w:val="2"/>
            <w:tcBorders>
              <w:bottom w:val="nil"/>
            </w:tcBorders>
            <w:vAlign w:val="bottom"/>
            <w:hideMark/>
          </w:tcPr>
          <w:p w14:paraId="1380828A" w14:textId="77777777" w:rsidR="00447423" w:rsidRPr="002A3CBE" w:rsidRDefault="00447423" w:rsidP="00F16E23">
            <w:pPr>
              <w:pStyle w:val="TableTextBold"/>
              <w:keepNext/>
              <w:spacing w:before="40" w:after="0"/>
              <w:jc w:val="center"/>
              <w:rPr>
                <w:rFonts w:cs="Calibri"/>
                <w:noProof w:val="0"/>
                <w:szCs w:val="16"/>
              </w:rPr>
            </w:pPr>
            <w:r w:rsidRPr="002A3CBE">
              <w:rPr>
                <w:rFonts w:cs="Calibri"/>
                <w:noProof w:val="0"/>
                <w:szCs w:val="16"/>
              </w:rPr>
              <w:t>Soil organic matter</w:t>
            </w:r>
          </w:p>
        </w:tc>
      </w:tr>
      <w:tr w:rsidR="00447423" w:rsidRPr="002A3CBE" w14:paraId="039AEFAC" w14:textId="77777777" w:rsidTr="00F16E23">
        <w:trPr>
          <w:tblHeader/>
        </w:trPr>
        <w:tc>
          <w:tcPr>
            <w:tcW w:w="1109" w:type="dxa"/>
            <w:vMerge/>
            <w:vAlign w:val="center"/>
            <w:hideMark/>
          </w:tcPr>
          <w:p w14:paraId="1BFA19C6" w14:textId="77777777" w:rsidR="00447423" w:rsidRPr="002A3CBE" w:rsidRDefault="00447423" w:rsidP="00F16E23">
            <w:pPr>
              <w:spacing w:before="40" w:after="40"/>
              <w:rPr>
                <w:rFonts w:cs="Calibri"/>
                <w:b/>
                <w:sz w:val="16"/>
                <w:szCs w:val="16"/>
              </w:rPr>
            </w:pPr>
          </w:p>
        </w:tc>
        <w:tc>
          <w:tcPr>
            <w:tcW w:w="1276" w:type="dxa"/>
            <w:vMerge/>
            <w:tcBorders>
              <w:bottom w:val="single" w:sz="4" w:space="0" w:color="1B556B" w:themeColor="text2"/>
              <w:right w:val="nil"/>
            </w:tcBorders>
            <w:vAlign w:val="center"/>
            <w:hideMark/>
          </w:tcPr>
          <w:p w14:paraId="64BB78E6" w14:textId="77777777" w:rsidR="00447423" w:rsidRPr="002A3CBE" w:rsidRDefault="00447423" w:rsidP="00F16E23">
            <w:pPr>
              <w:spacing w:before="40" w:after="40"/>
              <w:rPr>
                <w:rFonts w:cs="Calibri"/>
                <w:b/>
                <w:sz w:val="16"/>
                <w:szCs w:val="16"/>
              </w:rPr>
            </w:pPr>
          </w:p>
        </w:tc>
        <w:tc>
          <w:tcPr>
            <w:tcW w:w="1276" w:type="dxa"/>
            <w:vMerge/>
            <w:tcBorders>
              <w:left w:val="nil"/>
              <w:bottom w:val="single" w:sz="4" w:space="0" w:color="1B556B" w:themeColor="text2"/>
              <w:right w:val="nil"/>
            </w:tcBorders>
            <w:vAlign w:val="center"/>
            <w:hideMark/>
          </w:tcPr>
          <w:p w14:paraId="071A03B3" w14:textId="77777777" w:rsidR="00447423" w:rsidRPr="002A3CBE" w:rsidRDefault="00447423" w:rsidP="00F16E23">
            <w:pPr>
              <w:spacing w:before="40" w:after="40"/>
              <w:rPr>
                <w:rFonts w:cs="Calibri"/>
                <w:b/>
                <w:sz w:val="16"/>
                <w:szCs w:val="16"/>
              </w:rPr>
            </w:pPr>
          </w:p>
        </w:tc>
        <w:tc>
          <w:tcPr>
            <w:tcW w:w="1301" w:type="dxa"/>
            <w:vMerge/>
            <w:tcBorders>
              <w:left w:val="nil"/>
              <w:bottom w:val="single" w:sz="4" w:space="0" w:color="1B556B" w:themeColor="text2"/>
              <w:right w:val="nil"/>
            </w:tcBorders>
            <w:vAlign w:val="center"/>
            <w:hideMark/>
          </w:tcPr>
          <w:p w14:paraId="0C0C8BF9" w14:textId="77777777" w:rsidR="00447423" w:rsidRPr="002A3CBE" w:rsidRDefault="00447423" w:rsidP="00F16E23">
            <w:pPr>
              <w:spacing w:before="40" w:after="40"/>
              <w:rPr>
                <w:rFonts w:cs="Calibri"/>
                <w:b/>
                <w:sz w:val="16"/>
                <w:szCs w:val="16"/>
              </w:rPr>
            </w:pPr>
          </w:p>
        </w:tc>
        <w:tc>
          <w:tcPr>
            <w:tcW w:w="1251" w:type="dxa"/>
            <w:vMerge/>
            <w:tcBorders>
              <w:left w:val="nil"/>
              <w:bottom w:val="single" w:sz="4" w:space="0" w:color="1B556B" w:themeColor="text2"/>
            </w:tcBorders>
            <w:vAlign w:val="center"/>
            <w:hideMark/>
          </w:tcPr>
          <w:p w14:paraId="58628DCC" w14:textId="77777777" w:rsidR="00447423" w:rsidRPr="002A3CBE" w:rsidRDefault="00447423" w:rsidP="00F16E23">
            <w:pPr>
              <w:spacing w:before="40" w:after="40"/>
              <w:rPr>
                <w:rFonts w:cs="Calibri"/>
                <w:b/>
                <w:sz w:val="16"/>
                <w:szCs w:val="16"/>
              </w:rPr>
            </w:pPr>
          </w:p>
        </w:tc>
        <w:tc>
          <w:tcPr>
            <w:tcW w:w="1134" w:type="dxa"/>
            <w:tcBorders>
              <w:top w:val="nil"/>
              <w:right w:val="nil"/>
            </w:tcBorders>
            <w:vAlign w:val="bottom"/>
            <w:hideMark/>
          </w:tcPr>
          <w:p w14:paraId="57E6A9BE" w14:textId="77777777" w:rsidR="00447423" w:rsidRPr="002A3CBE" w:rsidRDefault="00447423" w:rsidP="00F16E23">
            <w:pPr>
              <w:pStyle w:val="TableTextBold"/>
              <w:keepNext/>
              <w:spacing w:before="0" w:after="40" w:line="256" w:lineRule="auto"/>
              <w:jc w:val="center"/>
              <w:rPr>
                <w:rFonts w:cs="Calibri"/>
                <w:noProof w:val="0"/>
                <w:szCs w:val="16"/>
              </w:rPr>
            </w:pPr>
            <w:r w:rsidRPr="002A3CBE">
              <w:rPr>
                <w:rFonts w:cs="Calibri"/>
                <w:noProof w:val="0"/>
                <w:szCs w:val="16"/>
              </w:rPr>
              <w:t>Mineral soils</w:t>
            </w:r>
          </w:p>
        </w:tc>
        <w:tc>
          <w:tcPr>
            <w:tcW w:w="1158" w:type="dxa"/>
            <w:tcBorders>
              <w:top w:val="nil"/>
              <w:left w:val="nil"/>
            </w:tcBorders>
            <w:tcMar>
              <w:top w:w="0" w:type="dxa"/>
              <w:left w:w="108" w:type="dxa"/>
              <w:bottom w:w="0" w:type="dxa"/>
              <w:right w:w="57" w:type="dxa"/>
            </w:tcMar>
            <w:vAlign w:val="bottom"/>
            <w:hideMark/>
          </w:tcPr>
          <w:p w14:paraId="470AC7AC" w14:textId="77777777" w:rsidR="00447423" w:rsidRPr="002A3CBE" w:rsidRDefault="00447423" w:rsidP="00F16E23">
            <w:pPr>
              <w:pStyle w:val="TableTextBold"/>
              <w:keepNext/>
              <w:spacing w:before="0" w:after="40" w:line="256" w:lineRule="auto"/>
              <w:jc w:val="center"/>
              <w:rPr>
                <w:rFonts w:cs="Calibri"/>
                <w:noProof w:val="0"/>
                <w:szCs w:val="16"/>
              </w:rPr>
            </w:pPr>
            <w:r w:rsidRPr="002A3CBE">
              <w:rPr>
                <w:rFonts w:cs="Calibri"/>
                <w:noProof w:val="0"/>
                <w:szCs w:val="16"/>
              </w:rPr>
              <w:t>Organic soils</w:t>
            </w:r>
          </w:p>
        </w:tc>
      </w:tr>
      <w:tr w:rsidR="00447423" w:rsidRPr="002A3CBE" w14:paraId="4AEDDBE6" w14:textId="77777777" w:rsidTr="00F16E23">
        <w:tc>
          <w:tcPr>
            <w:tcW w:w="1109" w:type="dxa"/>
            <w:hideMark/>
          </w:tcPr>
          <w:p w14:paraId="69E95952" w14:textId="77777777" w:rsidR="00447423" w:rsidRPr="002A3CBE" w:rsidRDefault="00447423" w:rsidP="00F16E23">
            <w:pPr>
              <w:pStyle w:val="TableText"/>
              <w:spacing w:before="40" w:after="40"/>
              <w:rPr>
                <w:rFonts w:cs="Calibri"/>
                <w:szCs w:val="16"/>
              </w:rPr>
            </w:pPr>
            <w:r w:rsidRPr="002A3CBE">
              <w:rPr>
                <w:rFonts w:cs="Calibri"/>
                <w:szCs w:val="16"/>
              </w:rPr>
              <w:t xml:space="preserve">Pre-1990 natural forest </w:t>
            </w:r>
          </w:p>
        </w:tc>
        <w:tc>
          <w:tcPr>
            <w:tcW w:w="1276" w:type="dxa"/>
            <w:tcBorders>
              <w:right w:val="nil"/>
            </w:tcBorders>
            <w:tcMar>
              <w:top w:w="0" w:type="dxa"/>
              <w:left w:w="57" w:type="dxa"/>
              <w:bottom w:w="0" w:type="dxa"/>
              <w:right w:w="28" w:type="dxa"/>
            </w:tcMar>
            <w:hideMark/>
          </w:tcPr>
          <w:p w14:paraId="381495B3" w14:textId="77777777" w:rsidR="00447423" w:rsidRPr="002A3CBE" w:rsidRDefault="00447423" w:rsidP="00F16E23">
            <w:pPr>
              <w:pStyle w:val="TableText"/>
              <w:keepNext/>
              <w:spacing w:before="40" w:after="40"/>
              <w:rPr>
                <w:rFonts w:cs="Calibri"/>
                <w:szCs w:val="16"/>
              </w:rPr>
            </w:pPr>
            <w:r w:rsidRPr="002A3CBE">
              <w:rPr>
                <w:rFonts w:cs="Calibri"/>
                <w:szCs w:val="16"/>
              </w:rPr>
              <w:t>Plot measurements; allometric equations</w:t>
            </w:r>
          </w:p>
        </w:tc>
        <w:tc>
          <w:tcPr>
            <w:tcW w:w="1276" w:type="dxa"/>
            <w:tcBorders>
              <w:left w:val="nil"/>
              <w:right w:val="nil"/>
            </w:tcBorders>
            <w:tcMar>
              <w:top w:w="0" w:type="dxa"/>
              <w:left w:w="57" w:type="dxa"/>
              <w:bottom w:w="0" w:type="dxa"/>
              <w:right w:w="28" w:type="dxa"/>
            </w:tcMar>
            <w:hideMark/>
          </w:tcPr>
          <w:p w14:paraId="08BFD7FC" w14:textId="77777777" w:rsidR="00447423" w:rsidRPr="002A3CBE" w:rsidRDefault="00447423" w:rsidP="00F16E23">
            <w:pPr>
              <w:pStyle w:val="TableText"/>
              <w:keepNext/>
              <w:spacing w:before="40" w:after="40"/>
              <w:rPr>
                <w:rFonts w:cs="Calibri"/>
                <w:szCs w:val="16"/>
              </w:rPr>
            </w:pPr>
            <w:r w:rsidRPr="002A3CBE">
              <w:rPr>
                <w:rFonts w:cs="Calibri"/>
                <w:szCs w:val="16"/>
              </w:rPr>
              <w:t xml:space="preserve">Estimated as the ratio of below-ground biomass to above-ground </w:t>
            </w:r>
            <w:r w:rsidRPr="002A3CBE" w:rsidDel="00F72565">
              <w:rPr>
                <w:rFonts w:cs="Calibri"/>
                <w:szCs w:val="16"/>
              </w:rPr>
              <w:t>biomass</w:t>
            </w:r>
          </w:p>
        </w:tc>
        <w:tc>
          <w:tcPr>
            <w:tcW w:w="1301" w:type="dxa"/>
            <w:tcBorders>
              <w:left w:val="nil"/>
              <w:right w:val="nil"/>
            </w:tcBorders>
            <w:tcMar>
              <w:top w:w="0" w:type="dxa"/>
              <w:left w:w="57" w:type="dxa"/>
              <w:bottom w:w="0" w:type="dxa"/>
              <w:right w:w="28" w:type="dxa"/>
            </w:tcMar>
            <w:hideMark/>
          </w:tcPr>
          <w:p w14:paraId="42CD9DDD" w14:textId="77777777" w:rsidR="00447423" w:rsidRPr="002A3CBE" w:rsidRDefault="00447423" w:rsidP="00F16E23">
            <w:pPr>
              <w:pStyle w:val="TableText"/>
              <w:keepNext/>
              <w:spacing w:before="40" w:after="40"/>
              <w:rPr>
                <w:rFonts w:cs="Calibri"/>
                <w:szCs w:val="16"/>
              </w:rPr>
            </w:pPr>
            <w:r w:rsidRPr="002A3CBE">
              <w:rPr>
                <w:rFonts w:cs="Calibri"/>
                <w:szCs w:val="16"/>
              </w:rPr>
              <w:t>Modelled from plot measurements; allometric equations</w:t>
            </w:r>
          </w:p>
        </w:tc>
        <w:tc>
          <w:tcPr>
            <w:tcW w:w="1251" w:type="dxa"/>
            <w:tcBorders>
              <w:left w:val="nil"/>
            </w:tcBorders>
            <w:tcMar>
              <w:top w:w="0" w:type="dxa"/>
              <w:left w:w="57" w:type="dxa"/>
              <w:bottom w:w="0" w:type="dxa"/>
              <w:right w:w="28" w:type="dxa"/>
            </w:tcMar>
            <w:hideMark/>
          </w:tcPr>
          <w:p w14:paraId="652DED6B" w14:textId="77777777" w:rsidR="00447423" w:rsidRPr="002A3CBE" w:rsidRDefault="00447423" w:rsidP="00F16E23">
            <w:pPr>
              <w:pStyle w:val="TableText"/>
              <w:keepNext/>
              <w:spacing w:before="40" w:after="40"/>
              <w:rPr>
                <w:rFonts w:cs="Calibri"/>
                <w:szCs w:val="16"/>
              </w:rPr>
            </w:pPr>
            <w:r w:rsidRPr="002A3CBE">
              <w:rPr>
                <w:rFonts w:cs="Calibri"/>
                <w:szCs w:val="16"/>
              </w:rPr>
              <w:t>Plot samples; laboratory analysis of samples collected at plots</w:t>
            </w:r>
          </w:p>
        </w:tc>
        <w:tc>
          <w:tcPr>
            <w:tcW w:w="1134" w:type="dxa"/>
            <w:hideMark/>
          </w:tcPr>
          <w:p w14:paraId="2DF9FC50" w14:textId="77777777" w:rsidR="00447423" w:rsidRPr="002A3CBE" w:rsidRDefault="00447423" w:rsidP="00F16E23">
            <w:pPr>
              <w:pStyle w:val="TableText"/>
              <w:keepNext/>
              <w:spacing w:before="40" w:after="40"/>
              <w:rPr>
                <w:rFonts w:cs="Calibri"/>
                <w:szCs w:val="16"/>
              </w:rPr>
            </w:pPr>
            <w:r w:rsidRPr="002A3CBE">
              <w:rPr>
                <w:rFonts w:cs="Calibri"/>
                <w:szCs w:val="16"/>
              </w:rPr>
              <w:t>Tier 2, country-specific data and model</w:t>
            </w:r>
          </w:p>
        </w:tc>
        <w:tc>
          <w:tcPr>
            <w:tcW w:w="1158" w:type="dxa"/>
            <w:hideMark/>
          </w:tcPr>
          <w:p w14:paraId="6A5145C1" w14:textId="77777777" w:rsidR="00447423" w:rsidRPr="002A3CBE" w:rsidRDefault="00447423" w:rsidP="00F16E23">
            <w:pPr>
              <w:pStyle w:val="TableText"/>
              <w:keepNext/>
              <w:spacing w:before="40" w:after="40"/>
              <w:ind w:right="-107"/>
              <w:rPr>
                <w:rFonts w:cs="Calibri"/>
                <w:szCs w:val="16"/>
              </w:rPr>
            </w:pPr>
            <w:r w:rsidRPr="002A3CBE">
              <w:rPr>
                <w:rFonts w:cs="Calibri"/>
                <w:szCs w:val="16"/>
              </w:rPr>
              <w:t>Not applicable</w:t>
            </w:r>
          </w:p>
        </w:tc>
      </w:tr>
      <w:tr w:rsidR="00447423" w:rsidRPr="002A3CBE" w14:paraId="49C41289" w14:textId="77777777" w:rsidTr="00F16E23">
        <w:tc>
          <w:tcPr>
            <w:tcW w:w="1109" w:type="dxa"/>
          </w:tcPr>
          <w:p w14:paraId="2219D7C7" w14:textId="77777777" w:rsidR="00447423" w:rsidRPr="002A3CBE" w:rsidRDefault="00447423" w:rsidP="00F16E23">
            <w:pPr>
              <w:pStyle w:val="TableText"/>
              <w:spacing w:before="40" w:after="40"/>
              <w:rPr>
                <w:rFonts w:cs="Calibri"/>
                <w:szCs w:val="16"/>
              </w:rPr>
            </w:pPr>
            <w:r w:rsidRPr="002A3CBE">
              <w:rPr>
                <w:rFonts w:cs="Calibri"/>
                <w:szCs w:val="16"/>
              </w:rPr>
              <w:t>Pre-1990 planted forest</w:t>
            </w:r>
          </w:p>
        </w:tc>
        <w:tc>
          <w:tcPr>
            <w:tcW w:w="1276" w:type="dxa"/>
            <w:tcBorders>
              <w:right w:val="nil"/>
            </w:tcBorders>
            <w:tcMar>
              <w:top w:w="0" w:type="dxa"/>
              <w:left w:w="57" w:type="dxa"/>
              <w:bottom w:w="0" w:type="dxa"/>
              <w:right w:w="28" w:type="dxa"/>
            </w:tcMar>
          </w:tcPr>
          <w:p w14:paraId="5477C33C" w14:textId="77777777" w:rsidR="00447423" w:rsidRPr="002A3CBE" w:rsidRDefault="00447423" w:rsidP="00F16E23">
            <w:pPr>
              <w:pStyle w:val="TableText"/>
              <w:keepNext/>
              <w:spacing w:before="40" w:after="40"/>
              <w:rPr>
                <w:rFonts w:cs="Calibri"/>
                <w:szCs w:val="16"/>
              </w:rPr>
            </w:pPr>
            <w:r w:rsidRPr="002A3CBE">
              <w:rPr>
                <w:rFonts w:eastAsia="Segoe UI" w:cs="Calibri"/>
                <w:szCs w:val="16"/>
              </w:rPr>
              <w:t>Modelled through allometric equations, then included in national yield tables</w:t>
            </w:r>
          </w:p>
        </w:tc>
        <w:tc>
          <w:tcPr>
            <w:tcW w:w="1276" w:type="dxa"/>
            <w:tcBorders>
              <w:left w:val="nil"/>
              <w:right w:val="nil"/>
            </w:tcBorders>
            <w:tcMar>
              <w:top w:w="0" w:type="dxa"/>
              <w:left w:w="57" w:type="dxa"/>
              <w:bottom w:w="0" w:type="dxa"/>
              <w:right w:w="28" w:type="dxa"/>
            </w:tcMar>
          </w:tcPr>
          <w:p w14:paraId="1189BBC0" w14:textId="77777777" w:rsidR="00447423" w:rsidRPr="002A3CBE" w:rsidRDefault="00447423" w:rsidP="00F16E23">
            <w:pPr>
              <w:pStyle w:val="TableText"/>
              <w:keepNext/>
              <w:spacing w:before="40" w:after="40"/>
              <w:rPr>
                <w:rFonts w:cs="Calibri"/>
                <w:szCs w:val="16"/>
              </w:rPr>
            </w:pPr>
            <w:r w:rsidRPr="002A3CBE">
              <w:rPr>
                <w:rFonts w:cs="Calibri"/>
                <w:szCs w:val="16"/>
              </w:rPr>
              <w:t>Estimated as the ratio of below-ground biomass to above-ground biomass </w:t>
            </w:r>
          </w:p>
        </w:tc>
        <w:tc>
          <w:tcPr>
            <w:tcW w:w="1301" w:type="dxa"/>
            <w:tcBorders>
              <w:left w:val="nil"/>
              <w:right w:val="nil"/>
            </w:tcBorders>
            <w:tcMar>
              <w:top w:w="0" w:type="dxa"/>
              <w:left w:w="57" w:type="dxa"/>
              <w:bottom w:w="0" w:type="dxa"/>
              <w:right w:w="28" w:type="dxa"/>
            </w:tcMar>
          </w:tcPr>
          <w:p w14:paraId="6BF47E41" w14:textId="77777777" w:rsidR="00447423" w:rsidRPr="002A3CBE" w:rsidRDefault="00447423" w:rsidP="00F16E23">
            <w:pPr>
              <w:pStyle w:val="TableText"/>
              <w:keepNext/>
              <w:spacing w:before="40" w:after="40"/>
              <w:rPr>
                <w:rFonts w:cs="Calibri"/>
                <w:szCs w:val="16"/>
              </w:rPr>
            </w:pPr>
            <w:r w:rsidRPr="002A3CBE">
              <w:rPr>
                <w:rFonts w:cs="Calibri"/>
                <w:szCs w:val="16"/>
              </w:rPr>
              <w:t>Allometric model using plot measurements, included in national yield tables. Harvest residues added to dead wood pool through CRA </w:t>
            </w:r>
          </w:p>
        </w:tc>
        <w:tc>
          <w:tcPr>
            <w:tcW w:w="1251" w:type="dxa"/>
            <w:tcBorders>
              <w:left w:val="nil"/>
            </w:tcBorders>
            <w:tcMar>
              <w:top w:w="0" w:type="dxa"/>
              <w:left w:w="57" w:type="dxa"/>
              <w:bottom w:w="0" w:type="dxa"/>
              <w:right w:w="28" w:type="dxa"/>
            </w:tcMar>
          </w:tcPr>
          <w:p w14:paraId="1D9C64B9" w14:textId="77777777" w:rsidR="00447423" w:rsidRPr="002A3CBE" w:rsidRDefault="00447423" w:rsidP="00F16E23">
            <w:pPr>
              <w:pStyle w:val="TableText"/>
              <w:keepNext/>
              <w:spacing w:before="40" w:after="40"/>
              <w:rPr>
                <w:rFonts w:cs="Calibri"/>
                <w:szCs w:val="16"/>
              </w:rPr>
            </w:pPr>
            <w:r w:rsidRPr="002A3CBE">
              <w:rPr>
                <w:rFonts w:cs="Calibri"/>
                <w:szCs w:val="16"/>
              </w:rPr>
              <w:t>Allometric model and percentage of above-ground biomass </w:t>
            </w:r>
          </w:p>
        </w:tc>
        <w:tc>
          <w:tcPr>
            <w:tcW w:w="1134" w:type="dxa"/>
          </w:tcPr>
          <w:p w14:paraId="13D0D045" w14:textId="77777777" w:rsidR="00447423" w:rsidRPr="002A3CBE" w:rsidRDefault="00447423" w:rsidP="00F16E23">
            <w:pPr>
              <w:pStyle w:val="TableText"/>
              <w:keepNext/>
              <w:spacing w:before="40" w:after="40"/>
              <w:rPr>
                <w:rFonts w:cs="Calibri"/>
                <w:szCs w:val="16"/>
              </w:rPr>
            </w:pPr>
            <w:r w:rsidRPr="002A3CBE">
              <w:rPr>
                <w:rFonts w:cs="Calibri"/>
                <w:szCs w:val="16"/>
              </w:rPr>
              <w:t>Tier 2, country-specific data and model</w:t>
            </w:r>
          </w:p>
        </w:tc>
        <w:tc>
          <w:tcPr>
            <w:tcW w:w="1158" w:type="dxa"/>
          </w:tcPr>
          <w:p w14:paraId="4CD2B059" w14:textId="77777777" w:rsidR="00447423" w:rsidRPr="002A3CBE" w:rsidRDefault="00447423" w:rsidP="00F16E23">
            <w:pPr>
              <w:pStyle w:val="TableText"/>
              <w:keepNext/>
              <w:spacing w:before="40" w:after="40"/>
              <w:rPr>
                <w:rFonts w:cs="Calibri"/>
                <w:szCs w:val="16"/>
              </w:rPr>
            </w:pPr>
            <w:r w:rsidRPr="002A3CBE">
              <w:rPr>
                <w:rFonts w:cs="Calibri"/>
                <w:szCs w:val="16"/>
              </w:rPr>
              <w:t>IPCC Tier 1 default parameters</w:t>
            </w:r>
          </w:p>
        </w:tc>
      </w:tr>
      <w:tr w:rsidR="00447423" w:rsidRPr="002A3CBE" w14:paraId="1F9A4E2E" w14:textId="77777777" w:rsidTr="00F16E23">
        <w:tc>
          <w:tcPr>
            <w:tcW w:w="1109" w:type="dxa"/>
          </w:tcPr>
          <w:p w14:paraId="0207E133" w14:textId="77777777" w:rsidR="00447423" w:rsidRPr="002A3CBE" w:rsidRDefault="00447423" w:rsidP="00F16E23">
            <w:pPr>
              <w:pStyle w:val="TableText"/>
              <w:spacing w:before="40" w:after="40"/>
              <w:rPr>
                <w:rFonts w:cs="Calibri"/>
                <w:szCs w:val="16"/>
              </w:rPr>
            </w:pPr>
            <w:r w:rsidRPr="002A3CBE">
              <w:rPr>
                <w:rFonts w:cs="Calibri"/>
                <w:szCs w:val="16"/>
              </w:rPr>
              <w:t xml:space="preserve">Post-1989 natural forest </w:t>
            </w:r>
          </w:p>
        </w:tc>
        <w:tc>
          <w:tcPr>
            <w:tcW w:w="1276" w:type="dxa"/>
            <w:tcBorders>
              <w:bottom w:val="single" w:sz="4" w:space="0" w:color="1B556B" w:themeColor="text2"/>
              <w:right w:val="nil"/>
            </w:tcBorders>
            <w:tcMar>
              <w:top w:w="0" w:type="dxa"/>
              <w:left w:w="57" w:type="dxa"/>
              <w:bottom w:w="0" w:type="dxa"/>
              <w:right w:w="28" w:type="dxa"/>
            </w:tcMar>
          </w:tcPr>
          <w:p w14:paraId="03570353" w14:textId="77777777" w:rsidR="00447423" w:rsidRPr="002A3CBE" w:rsidRDefault="00447423" w:rsidP="00F16E23">
            <w:pPr>
              <w:pStyle w:val="TableText"/>
              <w:keepNext/>
              <w:spacing w:before="40" w:after="40"/>
              <w:rPr>
                <w:rFonts w:eastAsia="Segoe UI" w:cs="Calibri"/>
                <w:szCs w:val="16"/>
              </w:rPr>
            </w:pPr>
            <w:r w:rsidRPr="002A3CBE">
              <w:rPr>
                <w:rFonts w:cs="Calibri"/>
                <w:szCs w:val="16"/>
              </w:rPr>
              <w:t>Allometric model</w:t>
            </w:r>
          </w:p>
        </w:tc>
        <w:tc>
          <w:tcPr>
            <w:tcW w:w="1276" w:type="dxa"/>
            <w:tcBorders>
              <w:left w:val="nil"/>
              <w:bottom w:val="single" w:sz="4" w:space="0" w:color="1B556B" w:themeColor="text2"/>
              <w:right w:val="nil"/>
            </w:tcBorders>
            <w:tcMar>
              <w:top w:w="0" w:type="dxa"/>
              <w:left w:w="57" w:type="dxa"/>
              <w:bottom w:w="0" w:type="dxa"/>
              <w:right w:w="28" w:type="dxa"/>
            </w:tcMar>
          </w:tcPr>
          <w:p w14:paraId="3C27378F" w14:textId="77777777" w:rsidR="00447423" w:rsidRPr="002A3CBE" w:rsidRDefault="00447423" w:rsidP="00F16E23">
            <w:pPr>
              <w:pStyle w:val="TableText"/>
              <w:keepNext/>
              <w:spacing w:before="40" w:after="40"/>
              <w:rPr>
                <w:rFonts w:cs="Calibri"/>
                <w:szCs w:val="16"/>
              </w:rPr>
            </w:pPr>
            <w:r w:rsidRPr="002A3CBE">
              <w:rPr>
                <w:rFonts w:cs="Calibri"/>
                <w:szCs w:val="16"/>
              </w:rPr>
              <w:t xml:space="preserve">Estimated as the ratio of below-ground biomass to above-ground </w:t>
            </w:r>
            <w:r w:rsidRPr="002A3CBE" w:rsidDel="004734F1">
              <w:rPr>
                <w:rFonts w:cs="Calibri"/>
                <w:szCs w:val="16"/>
              </w:rPr>
              <w:t>biomass</w:t>
            </w:r>
          </w:p>
        </w:tc>
        <w:tc>
          <w:tcPr>
            <w:tcW w:w="1301" w:type="dxa"/>
            <w:tcBorders>
              <w:left w:val="nil"/>
              <w:bottom w:val="single" w:sz="4" w:space="0" w:color="1B556B" w:themeColor="text2"/>
              <w:right w:val="nil"/>
            </w:tcBorders>
            <w:tcMar>
              <w:top w:w="0" w:type="dxa"/>
              <w:left w:w="57" w:type="dxa"/>
              <w:bottom w:w="0" w:type="dxa"/>
              <w:right w:w="28" w:type="dxa"/>
            </w:tcMar>
          </w:tcPr>
          <w:p w14:paraId="478B4075" w14:textId="77777777" w:rsidR="00447423" w:rsidRPr="002A3CBE" w:rsidRDefault="00447423" w:rsidP="00F16E23">
            <w:pPr>
              <w:pStyle w:val="TableText"/>
              <w:keepNext/>
              <w:spacing w:before="40" w:after="40"/>
              <w:rPr>
                <w:rFonts w:cs="Calibri"/>
                <w:szCs w:val="16"/>
              </w:rPr>
            </w:pPr>
            <w:r w:rsidRPr="002A3CBE">
              <w:rPr>
                <w:rFonts w:cs="Calibri"/>
                <w:szCs w:val="16"/>
              </w:rPr>
              <w:t>Modelled from plot measurements; allometric model</w:t>
            </w:r>
          </w:p>
        </w:tc>
        <w:tc>
          <w:tcPr>
            <w:tcW w:w="1251" w:type="dxa"/>
            <w:tcBorders>
              <w:left w:val="nil"/>
              <w:bottom w:val="single" w:sz="4" w:space="0" w:color="1B556B" w:themeColor="text2"/>
            </w:tcBorders>
            <w:tcMar>
              <w:top w:w="0" w:type="dxa"/>
              <w:left w:w="57" w:type="dxa"/>
              <w:bottom w:w="0" w:type="dxa"/>
              <w:right w:w="28" w:type="dxa"/>
            </w:tcMar>
          </w:tcPr>
          <w:p w14:paraId="4434990D" w14:textId="77777777" w:rsidR="00447423" w:rsidRPr="002A3CBE" w:rsidRDefault="00447423" w:rsidP="00F16E23">
            <w:pPr>
              <w:pStyle w:val="TableText"/>
              <w:keepNext/>
              <w:spacing w:before="40" w:after="40"/>
              <w:rPr>
                <w:rFonts w:cs="Calibri"/>
                <w:szCs w:val="16"/>
              </w:rPr>
            </w:pPr>
            <w:r w:rsidRPr="002A3CBE">
              <w:rPr>
                <w:rFonts w:cs="Calibri"/>
                <w:szCs w:val="16"/>
              </w:rPr>
              <w:t>Allometric model and percentage of above-ground biomass</w:t>
            </w:r>
          </w:p>
        </w:tc>
        <w:tc>
          <w:tcPr>
            <w:tcW w:w="1134" w:type="dxa"/>
          </w:tcPr>
          <w:p w14:paraId="30E06BAE" w14:textId="77777777" w:rsidR="00447423" w:rsidRPr="002A3CBE" w:rsidRDefault="00447423" w:rsidP="00F16E23">
            <w:pPr>
              <w:pStyle w:val="TableText"/>
              <w:keepNext/>
              <w:spacing w:before="40" w:after="40"/>
              <w:rPr>
                <w:rFonts w:cs="Calibri"/>
                <w:szCs w:val="16"/>
              </w:rPr>
            </w:pPr>
            <w:r w:rsidRPr="002A3CBE">
              <w:rPr>
                <w:rFonts w:cs="Calibri"/>
                <w:szCs w:val="16"/>
              </w:rPr>
              <w:t>Tier 2, country-specific data and model</w:t>
            </w:r>
          </w:p>
        </w:tc>
        <w:tc>
          <w:tcPr>
            <w:tcW w:w="1158" w:type="dxa"/>
          </w:tcPr>
          <w:p w14:paraId="2C8FB187" w14:textId="77777777" w:rsidR="00447423" w:rsidRPr="002A3CBE" w:rsidRDefault="00447423" w:rsidP="00F16E23">
            <w:pPr>
              <w:pStyle w:val="TableText"/>
              <w:keepNext/>
              <w:spacing w:before="40" w:after="40"/>
              <w:rPr>
                <w:rFonts w:cs="Calibri"/>
                <w:szCs w:val="16"/>
              </w:rPr>
            </w:pPr>
            <w:r w:rsidRPr="002A3CBE">
              <w:rPr>
                <w:rFonts w:cs="Calibri"/>
                <w:szCs w:val="16"/>
              </w:rPr>
              <w:t>IPCC Tier 1 default parameters</w:t>
            </w:r>
          </w:p>
        </w:tc>
      </w:tr>
      <w:tr w:rsidR="00447423" w:rsidRPr="002A3CBE" w14:paraId="064014F3" w14:textId="77777777" w:rsidTr="00F16E23">
        <w:tc>
          <w:tcPr>
            <w:tcW w:w="1109" w:type="dxa"/>
          </w:tcPr>
          <w:p w14:paraId="7DB5EEC8" w14:textId="77777777" w:rsidR="00447423" w:rsidRPr="002A3CBE" w:rsidRDefault="00447423" w:rsidP="00F16E23">
            <w:pPr>
              <w:pStyle w:val="TableText"/>
              <w:spacing w:before="40" w:after="40"/>
              <w:rPr>
                <w:rFonts w:cs="Calibri"/>
                <w:szCs w:val="16"/>
              </w:rPr>
            </w:pPr>
            <w:r w:rsidRPr="002A3CBE">
              <w:rPr>
                <w:rFonts w:cs="Calibri"/>
                <w:szCs w:val="16"/>
              </w:rPr>
              <w:t>Post-1989 planted forest</w:t>
            </w:r>
          </w:p>
        </w:tc>
        <w:tc>
          <w:tcPr>
            <w:tcW w:w="1276" w:type="dxa"/>
            <w:tcBorders>
              <w:right w:val="nil"/>
            </w:tcBorders>
            <w:tcMar>
              <w:top w:w="0" w:type="dxa"/>
              <w:left w:w="57" w:type="dxa"/>
              <w:bottom w:w="0" w:type="dxa"/>
              <w:right w:w="28" w:type="dxa"/>
            </w:tcMar>
          </w:tcPr>
          <w:p w14:paraId="47967813" w14:textId="77777777" w:rsidR="00447423" w:rsidRPr="002A3CBE" w:rsidRDefault="00447423" w:rsidP="00F16E23">
            <w:pPr>
              <w:pStyle w:val="TableText"/>
              <w:keepNext/>
              <w:spacing w:before="40" w:after="40"/>
              <w:rPr>
                <w:rFonts w:cs="Calibri"/>
                <w:szCs w:val="16"/>
              </w:rPr>
            </w:pPr>
            <w:r w:rsidRPr="002A3CBE">
              <w:rPr>
                <w:rFonts w:cs="Calibri"/>
                <w:szCs w:val="16"/>
              </w:rPr>
              <w:t>Modelled through allometric equations, then included in national yield tables </w:t>
            </w:r>
          </w:p>
        </w:tc>
        <w:tc>
          <w:tcPr>
            <w:tcW w:w="1276" w:type="dxa"/>
            <w:tcBorders>
              <w:left w:val="nil"/>
              <w:right w:val="nil"/>
            </w:tcBorders>
            <w:tcMar>
              <w:top w:w="0" w:type="dxa"/>
              <w:left w:w="57" w:type="dxa"/>
              <w:bottom w:w="0" w:type="dxa"/>
              <w:right w:w="28" w:type="dxa"/>
            </w:tcMar>
          </w:tcPr>
          <w:p w14:paraId="72894FD5" w14:textId="77777777" w:rsidR="00447423" w:rsidRPr="002A3CBE" w:rsidRDefault="00447423" w:rsidP="00F16E23">
            <w:pPr>
              <w:pStyle w:val="TableText"/>
              <w:keepNext/>
              <w:spacing w:before="40" w:after="40"/>
              <w:rPr>
                <w:rFonts w:cs="Calibri"/>
                <w:szCs w:val="16"/>
              </w:rPr>
            </w:pPr>
            <w:r w:rsidRPr="002A3CBE">
              <w:rPr>
                <w:rFonts w:cs="Calibri"/>
                <w:szCs w:val="16"/>
              </w:rPr>
              <w:t>Estimated as the ratio of below-ground biomass to above-ground biomass </w:t>
            </w:r>
          </w:p>
        </w:tc>
        <w:tc>
          <w:tcPr>
            <w:tcW w:w="1301" w:type="dxa"/>
            <w:tcBorders>
              <w:left w:val="nil"/>
              <w:right w:val="nil"/>
            </w:tcBorders>
            <w:tcMar>
              <w:top w:w="0" w:type="dxa"/>
              <w:left w:w="57" w:type="dxa"/>
              <w:bottom w:w="0" w:type="dxa"/>
              <w:right w:w="28" w:type="dxa"/>
            </w:tcMar>
          </w:tcPr>
          <w:p w14:paraId="18C8A3E7" w14:textId="77777777" w:rsidR="00447423" w:rsidRPr="002A3CBE" w:rsidRDefault="00447423" w:rsidP="00F16E23">
            <w:pPr>
              <w:pStyle w:val="TableText"/>
              <w:keepNext/>
              <w:spacing w:before="40" w:after="40"/>
              <w:rPr>
                <w:rFonts w:cs="Calibri"/>
                <w:szCs w:val="16"/>
              </w:rPr>
            </w:pPr>
            <w:r w:rsidRPr="002A3CBE">
              <w:rPr>
                <w:rFonts w:cs="Calibri"/>
                <w:szCs w:val="16"/>
              </w:rPr>
              <w:t>Allometric model using plot measurements, included in national yield tables. Harvest residues added to dead wood pool through CRA</w:t>
            </w:r>
          </w:p>
        </w:tc>
        <w:tc>
          <w:tcPr>
            <w:tcW w:w="1251" w:type="dxa"/>
            <w:tcBorders>
              <w:left w:val="nil"/>
            </w:tcBorders>
            <w:tcMar>
              <w:top w:w="0" w:type="dxa"/>
              <w:left w:w="57" w:type="dxa"/>
              <w:bottom w:w="0" w:type="dxa"/>
              <w:right w:w="28" w:type="dxa"/>
            </w:tcMar>
          </w:tcPr>
          <w:p w14:paraId="6444A2C4" w14:textId="77777777" w:rsidR="00447423" w:rsidRPr="002A3CBE" w:rsidRDefault="00447423" w:rsidP="00F16E23">
            <w:pPr>
              <w:pStyle w:val="TableText"/>
              <w:keepNext/>
              <w:spacing w:before="40" w:after="40"/>
              <w:rPr>
                <w:rFonts w:cs="Calibri"/>
                <w:szCs w:val="16"/>
              </w:rPr>
            </w:pPr>
            <w:r w:rsidRPr="002A3CBE">
              <w:rPr>
                <w:rFonts w:cs="Calibri"/>
                <w:szCs w:val="16"/>
              </w:rPr>
              <w:t>Allometric model and percentage of above-ground biomass </w:t>
            </w:r>
          </w:p>
        </w:tc>
        <w:tc>
          <w:tcPr>
            <w:tcW w:w="1134" w:type="dxa"/>
          </w:tcPr>
          <w:p w14:paraId="38252ED7" w14:textId="77777777" w:rsidR="00447423" w:rsidRPr="002A3CBE" w:rsidRDefault="00447423" w:rsidP="00F16E23">
            <w:pPr>
              <w:pStyle w:val="TableText"/>
              <w:keepNext/>
              <w:spacing w:before="40" w:after="40"/>
              <w:rPr>
                <w:rFonts w:cs="Calibri"/>
                <w:szCs w:val="16"/>
              </w:rPr>
            </w:pPr>
            <w:r w:rsidRPr="002A3CBE">
              <w:rPr>
                <w:rFonts w:cs="Calibri"/>
                <w:szCs w:val="16"/>
              </w:rPr>
              <w:t>Tier 2, country-specific data and model</w:t>
            </w:r>
          </w:p>
        </w:tc>
        <w:tc>
          <w:tcPr>
            <w:tcW w:w="1158" w:type="dxa"/>
          </w:tcPr>
          <w:p w14:paraId="0582CEB1" w14:textId="77777777" w:rsidR="00447423" w:rsidRPr="002A3CBE" w:rsidRDefault="00447423" w:rsidP="00F16E23">
            <w:pPr>
              <w:pStyle w:val="TableText"/>
              <w:keepNext/>
              <w:spacing w:before="40" w:after="40"/>
              <w:rPr>
                <w:rFonts w:cs="Calibri"/>
                <w:szCs w:val="16"/>
              </w:rPr>
            </w:pPr>
            <w:r w:rsidRPr="002A3CBE">
              <w:rPr>
                <w:rFonts w:cs="Calibri"/>
                <w:szCs w:val="16"/>
              </w:rPr>
              <w:t>IPCC Tier 1 default parameters</w:t>
            </w:r>
          </w:p>
        </w:tc>
      </w:tr>
      <w:tr w:rsidR="00447423" w:rsidRPr="002A3CBE" w14:paraId="16813FDF" w14:textId="77777777" w:rsidTr="00F16E23">
        <w:tc>
          <w:tcPr>
            <w:tcW w:w="1109" w:type="dxa"/>
          </w:tcPr>
          <w:p w14:paraId="63706E0A" w14:textId="77777777" w:rsidR="00447423" w:rsidRPr="002A3CBE" w:rsidRDefault="00447423" w:rsidP="00F16E23">
            <w:pPr>
              <w:pStyle w:val="TableText"/>
              <w:spacing w:before="40" w:after="40"/>
              <w:rPr>
                <w:rFonts w:cs="Calibri"/>
                <w:szCs w:val="16"/>
              </w:rPr>
            </w:pPr>
            <w:r w:rsidRPr="002A3CBE">
              <w:rPr>
                <w:rFonts w:cs="Calibri"/>
                <w:szCs w:val="16"/>
              </w:rPr>
              <w:t>Cropland –annual</w:t>
            </w:r>
          </w:p>
        </w:tc>
        <w:tc>
          <w:tcPr>
            <w:tcW w:w="1276" w:type="dxa"/>
            <w:tcBorders>
              <w:bottom w:val="single" w:sz="4" w:space="0" w:color="1B556B" w:themeColor="text2"/>
              <w:right w:val="nil"/>
            </w:tcBorders>
            <w:tcMar>
              <w:top w:w="0" w:type="dxa"/>
              <w:left w:w="57" w:type="dxa"/>
              <w:bottom w:w="0" w:type="dxa"/>
              <w:right w:w="28" w:type="dxa"/>
            </w:tcMar>
          </w:tcPr>
          <w:p w14:paraId="6B3A6593"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w:t>
            </w:r>
          </w:p>
        </w:tc>
        <w:tc>
          <w:tcPr>
            <w:tcW w:w="1276" w:type="dxa"/>
            <w:tcBorders>
              <w:left w:val="nil"/>
              <w:bottom w:val="single" w:sz="4" w:space="0" w:color="1B556B" w:themeColor="text2"/>
              <w:right w:val="nil"/>
            </w:tcBorders>
            <w:tcMar>
              <w:top w:w="0" w:type="dxa"/>
              <w:left w:w="57" w:type="dxa"/>
              <w:bottom w:w="0" w:type="dxa"/>
              <w:right w:w="28" w:type="dxa"/>
            </w:tcMar>
          </w:tcPr>
          <w:p w14:paraId="3A57A07A"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 (NE)</w:t>
            </w:r>
          </w:p>
        </w:tc>
        <w:tc>
          <w:tcPr>
            <w:tcW w:w="1301" w:type="dxa"/>
            <w:tcBorders>
              <w:left w:val="nil"/>
              <w:bottom w:val="single" w:sz="4" w:space="0" w:color="1B556B" w:themeColor="text2"/>
              <w:right w:val="nil"/>
            </w:tcBorders>
            <w:tcMar>
              <w:top w:w="0" w:type="dxa"/>
              <w:left w:w="57" w:type="dxa"/>
              <w:bottom w:w="0" w:type="dxa"/>
              <w:right w:w="28" w:type="dxa"/>
            </w:tcMar>
          </w:tcPr>
          <w:p w14:paraId="4EB44DB3"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251" w:type="dxa"/>
            <w:tcBorders>
              <w:left w:val="nil"/>
              <w:bottom w:val="single" w:sz="4" w:space="0" w:color="1B556B" w:themeColor="text2"/>
            </w:tcBorders>
            <w:tcMar>
              <w:top w:w="0" w:type="dxa"/>
              <w:left w:w="57" w:type="dxa"/>
              <w:bottom w:w="0" w:type="dxa"/>
              <w:right w:w="28" w:type="dxa"/>
            </w:tcMar>
          </w:tcPr>
          <w:p w14:paraId="76159CA6"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w:t>
            </w:r>
          </w:p>
        </w:tc>
        <w:tc>
          <w:tcPr>
            <w:tcW w:w="1134" w:type="dxa"/>
          </w:tcPr>
          <w:p w14:paraId="3627773A" w14:textId="77777777" w:rsidR="00447423" w:rsidRPr="002A3CBE" w:rsidRDefault="00447423" w:rsidP="00F16E23">
            <w:pPr>
              <w:pStyle w:val="TableText"/>
              <w:spacing w:before="40" w:after="40"/>
              <w:rPr>
                <w:rFonts w:cs="Calibri"/>
                <w:szCs w:val="16"/>
              </w:rPr>
            </w:pPr>
          </w:p>
        </w:tc>
        <w:tc>
          <w:tcPr>
            <w:tcW w:w="1158" w:type="dxa"/>
          </w:tcPr>
          <w:p w14:paraId="2315CDB4" w14:textId="77777777" w:rsidR="00447423" w:rsidRPr="002A3CBE" w:rsidRDefault="00447423" w:rsidP="00F16E23">
            <w:pPr>
              <w:pStyle w:val="TableText"/>
              <w:spacing w:before="40" w:after="40"/>
              <w:rPr>
                <w:rFonts w:cs="Calibri"/>
                <w:szCs w:val="16"/>
              </w:rPr>
            </w:pPr>
          </w:p>
        </w:tc>
      </w:tr>
      <w:tr w:rsidR="00447423" w:rsidRPr="002A3CBE" w14:paraId="36AA9099" w14:textId="77777777" w:rsidTr="00F16E23">
        <w:tc>
          <w:tcPr>
            <w:tcW w:w="1109" w:type="dxa"/>
            <w:hideMark/>
          </w:tcPr>
          <w:p w14:paraId="777BFA71" w14:textId="77777777" w:rsidR="00447423" w:rsidRPr="002A3CBE" w:rsidRDefault="00447423" w:rsidP="00F16E23">
            <w:pPr>
              <w:pStyle w:val="TableText"/>
              <w:spacing w:before="40" w:after="40"/>
              <w:rPr>
                <w:rFonts w:cs="Calibri"/>
                <w:szCs w:val="16"/>
              </w:rPr>
            </w:pPr>
            <w:r w:rsidRPr="002A3CBE">
              <w:rPr>
                <w:rFonts w:cs="Calibri"/>
                <w:szCs w:val="16"/>
              </w:rPr>
              <w:t>Cropland – perennial</w:t>
            </w:r>
          </w:p>
        </w:tc>
        <w:tc>
          <w:tcPr>
            <w:tcW w:w="2552" w:type="dxa"/>
            <w:gridSpan w:val="2"/>
            <w:tcBorders>
              <w:right w:val="nil"/>
            </w:tcBorders>
            <w:hideMark/>
          </w:tcPr>
          <w:p w14:paraId="6A43B63D" w14:textId="77777777" w:rsidR="00447423" w:rsidRPr="002A3CBE" w:rsidRDefault="00447423" w:rsidP="00F16E23">
            <w:pPr>
              <w:pStyle w:val="TableText"/>
              <w:spacing w:before="40" w:after="40"/>
              <w:rPr>
                <w:rFonts w:cs="Calibri"/>
                <w:szCs w:val="16"/>
              </w:rPr>
            </w:pPr>
            <w:r w:rsidRPr="002A3CBE">
              <w:rPr>
                <w:rFonts w:cs="Calibri"/>
                <w:szCs w:val="16"/>
              </w:rPr>
              <w:t>Country-specific emission factor</w:t>
            </w:r>
          </w:p>
        </w:tc>
        <w:tc>
          <w:tcPr>
            <w:tcW w:w="2552" w:type="dxa"/>
            <w:gridSpan w:val="2"/>
            <w:tcBorders>
              <w:left w:val="nil"/>
            </w:tcBorders>
            <w:hideMark/>
          </w:tcPr>
          <w:p w14:paraId="42B31F4C"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 (NE)</w:t>
            </w:r>
          </w:p>
        </w:tc>
        <w:tc>
          <w:tcPr>
            <w:tcW w:w="1134" w:type="dxa"/>
            <w:hideMark/>
          </w:tcPr>
          <w:p w14:paraId="6CC477FB"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158" w:type="dxa"/>
            <w:hideMark/>
          </w:tcPr>
          <w:p w14:paraId="483BBC10"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w:t>
            </w:r>
          </w:p>
        </w:tc>
      </w:tr>
      <w:tr w:rsidR="00447423" w:rsidRPr="002A3CBE" w14:paraId="7111C59E" w14:textId="77777777" w:rsidTr="00F16E23">
        <w:tc>
          <w:tcPr>
            <w:tcW w:w="1109" w:type="dxa"/>
            <w:hideMark/>
          </w:tcPr>
          <w:p w14:paraId="487A0ECE" w14:textId="77777777" w:rsidR="00447423" w:rsidRPr="002A3CBE" w:rsidRDefault="00447423" w:rsidP="00F16E23">
            <w:pPr>
              <w:pStyle w:val="TableText"/>
              <w:spacing w:before="40" w:after="40"/>
              <w:rPr>
                <w:rFonts w:cs="Calibri"/>
                <w:szCs w:val="16"/>
              </w:rPr>
            </w:pPr>
            <w:r w:rsidRPr="002A3CBE">
              <w:rPr>
                <w:rFonts w:cs="Calibri"/>
                <w:szCs w:val="16"/>
              </w:rPr>
              <w:t>Grassland (high and low producing)</w:t>
            </w:r>
          </w:p>
        </w:tc>
        <w:tc>
          <w:tcPr>
            <w:tcW w:w="2552" w:type="dxa"/>
            <w:gridSpan w:val="2"/>
            <w:tcBorders>
              <w:right w:val="nil"/>
            </w:tcBorders>
            <w:hideMark/>
          </w:tcPr>
          <w:p w14:paraId="0D96CAC8" w14:textId="77777777" w:rsidR="00447423" w:rsidRPr="002A3CBE" w:rsidRDefault="00447423" w:rsidP="00F16E23">
            <w:pPr>
              <w:pStyle w:val="TableText"/>
              <w:spacing w:before="40" w:after="40"/>
              <w:rPr>
                <w:rFonts w:cs="Calibri"/>
                <w:szCs w:val="16"/>
              </w:rPr>
            </w:pPr>
            <w:r w:rsidRPr="002A3CBE">
              <w:rPr>
                <w:rFonts w:cs="Calibri"/>
                <w:szCs w:val="16"/>
              </w:rPr>
              <w:t>Country-specific emission factor</w:t>
            </w:r>
            <w:r w:rsidRPr="002A3CBE" w:rsidDel="00377F50">
              <w:rPr>
                <w:rFonts w:cs="Calibri"/>
                <w:szCs w:val="16"/>
              </w:rPr>
              <w:t xml:space="preserve"> </w:t>
            </w:r>
          </w:p>
        </w:tc>
        <w:tc>
          <w:tcPr>
            <w:tcW w:w="2552" w:type="dxa"/>
            <w:gridSpan w:val="2"/>
            <w:tcBorders>
              <w:left w:val="nil"/>
            </w:tcBorders>
            <w:hideMark/>
          </w:tcPr>
          <w:p w14:paraId="6CEE1B3E"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 (NE)</w:t>
            </w:r>
          </w:p>
        </w:tc>
        <w:tc>
          <w:tcPr>
            <w:tcW w:w="1134" w:type="dxa"/>
            <w:hideMark/>
          </w:tcPr>
          <w:p w14:paraId="05980965"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158" w:type="dxa"/>
            <w:hideMark/>
          </w:tcPr>
          <w:p w14:paraId="34AD2283"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w:t>
            </w:r>
          </w:p>
        </w:tc>
      </w:tr>
      <w:tr w:rsidR="00447423" w:rsidRPr="002A3CBE" w14:paraId="79627EC8" w14:textId="77777777" w:rsidTr="00F16E23">
        <w:tc>
          <w:tcPr>
            <w:tcW w:w="1109" w:type="dxa"/>
            <w:hideMark/>
          </w:tcPr>
          <w:p w14:paraId="51D729EB" w14:textId="77777777" w:rsidR="00447423" w:rsidRPr="002A3CBE" w:rsidRDefault="00447423" w:rsidP="00F16E23">
            <w:pPr>
              <w:pStyle w:val="TableText"/>
              <w:spacing w:before="40" w:after="40"/>
              <w:rPr>
                <w:rFonts w:cs="Calibri"/>
                <w:szCs w:val="16"/>
              </w:rPr>
            </w:pPr>
            <w:r w:rsidRPr="002A3CBE">
              <w:rPr>
                <w:rFonts w:cs="Calibri"/>
                <w:szCs w:val="16"/>
              </w:rPr>
              <w:t xml:space="preserve">Grassland with woody biomass – transitional </w:t>
            </w:r>
          </w:p>
        </w:tc>
        <w:tc>
          <w:tcPr>
            <w:tcW w:w="5104" w:type="dxa"/>
            <w:gridSpan w:val="4"/>
            <w:hideMark/>
          </w:tcPr>
          <w:p w14:paraId="46700F63" w14:textId="77777777" w:rsidR="00447423" w:rsidRPr="002A3CBE" w:rsidRDefault="00447423" w:rsidP="00F16E23">
            <w:pPr>
              <w:pStyle w:val="TableText"/>
              <w:spacing w:before="40" w:after="40"/>
              <w:rPr>
                <w:rFonts w:cs="Calibri"/>
                <w:szCs w:val="16"/>
              </w:rPr>
            </w:pPr>
            <w:r w:rsidRPr="002A3CBE">
              <w:rPr>
                <w:rFonts w:cs="Calibri"/>
                <w:szCs w:val="16"/>
              </w:rPr>
              <w:t>Country-specific emission factor</w:t>
            </w:r>
          </w:p>
        </w:tc>
        <w:tc>
          <w:tcPr>
            <w:tcW w:w="1134" w:type="dxa"/>
            <w:hideMark/>
          </w:tcPr>
          <w:p w14:paraId="540B1BD6"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158" w:type="dxa"/>
            <w:hideMark/>
          </w:tcPr>
          <w:p w14:paraId="4937B689"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w:t>
            </w:r>
          </w:p>
        </w:tc>
      </w:tr>
      <w:tr w:rsidR="00447423" w:rsidRPr="002A3CBE" w14:paraId="523218A9" w14:textId="77777777" w:rsidTr="00F16E23">
        <w:tc>
          <w:tcPr>
            <w:tcW w:w="1109" w:type="dxa"/>
          </w:tcPr>
          <w:p w14:paraId="52A6B6C4" w14:textId="77777777" w:rsidR="00447423" w:rsidRPr="002A3CBE" w:rsidRDefault="00447423" w:rsidP="00F16E23">
            <w:pPr>
              <w:pStyle w:val="TableText"/>
              <w:spacing w:before="40" w:after="40"/>
              <w:rPr>
                <w:rFonts w:cs="Calibri"/>
                <w:szCs w:val="16"/>
              </w:rPr>
            </w:pPr>
            <w:r w:rsidRPr="002A3CBE">
              <w:rPr>
                <w:rFonts w:cs="Calibri"/>
                <w:szCs w:val="16"/>
              </w:rPr>
              <w:t>Grassland with woody biomass –permanent</w:t>
            </w:r>
          </w:p>
        </w:tc>
        <w:tc>
          <w:tcPr>
            <w:tcW w:w="5104" w:type="dxa"/>
            <w:gridSpan w:val="4"/>
          </w:tcPr>
          <w:p w14:paraId="60BE5DA2" w14:textId="77777777" w:rsidR="00447423" w:rsidRPr="002A3CBE" w:rsidRDefault="00447423" w:rsidP="00F16E23">
            <w:pPr>
              <w:pStyle w:val="TableText"/>
              <w:spacing w:before="40" w:after="40"/>
              <w:rPr>
                <w:rFonts w:cs="Calibri"/>
                <w:szCs w:val="16"/>
              </w:rPr>
            </w:pPr>
            <w:r w:rsidRPr="002A3CBE">
              <w:rPr>
                <w:rFonts w:cs="Calibri"/>
                <w:szCs w:val="16"/>
              </w:rPr>
              <w:t>Country-specific emission factor</w:t>
            </w:r>
          </w:p>
        </w:tc>
        <w:tc>
          <w:tcPr>
            <w:tcW w:w="1134" w:type="dxa"/>
          </w:tcPr>
          <w:p w14:paraId="021B074B"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158" w:type="dxa"/>
          </w:tcPr>
          <w:p w14:paraId="61F369E3"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w:t>
            </w:r>
          </w:p>
        </w:tc>
      </w:tr>
      <w:tr w:rsidR="00447423" w:rsidRPr="002A3CBE" w14:paraId="49D50ED5" w14:textId="77777777" w:rsidTr="00F16E23">
        <w:tc>
          <w:tcPr>
            <w:tcW w:w="1109" w:type="dxa"/>
            <w:hideMark/>
          </w:tcPr>
          <w:p w14:paraId="66E8EB27" w14:textId="77777777" w:rsidR="00447423" w:rsidRPr="002A3CBE" w:rsidRDefault="00447423" w:rsidP="00F16E23">
            <w:pPr>
              <w:pStyle w:val="TableText"/>
              <w:spacing w:before="40" w:after="40"/>
              <w:rPr>
                <w:rFonts w:cs="Calibri"/>
                <w:szCs w:val="16"/>
              </w:rPr>
            </w:pPr>
            <w:r w:rsidRPr="002A3CBE">
              <w:rPr>
                <w:rFonts w:cs="Calibri"/>
                <w:szCs w:val="16"/>
              </w:rPr>
              <w:t>Wetlands – open water</w:t>
            </w:r>
          </w:p>
        </w:tc>
        <w:tc>
          <w:tcPr>
            <w:tcW w:w="5104" w:type="dxa"/>
            <w:gridSpan w:val="4"/>
            <w:tcBorders>
              <w:bottom w:val="single" w:sz="4" w:space="0" w:color="1B556B" w:themeColor="text2"/>
            </w:tcBorders>
            <w:hideMark/>
          </w:tcPr>
          <w:p w14:paraId="10921641"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 (NE)</w:t>
            </w:r>
          </w:p>
        </w:tc>
        <w:tc>
          <w:tcPr>
            <w:tcW w:w="1134" w:type="dxa"/>
            <w:hideMark/>
          </w:tcPr>
          <w:p w14:paraId="4F6C8258"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158" w:type="dxa"/>
            <w:hideMark/>
          </w:tcPr>
          <w:p w14:paraId="10D155CB" w14:textId="77777777" w:rsidR="00447423" w:rsidRPr="002A3CBE" w:rsidRDefault="00447423" w:rsidP="00F16E23">
            <w:pPr>
              <w:pStyle w:val="TableText"/>
              <w:spacing w:before="40" w:after="40"/>
              <w:rPr>
                <w:rFonts w:cs="Calibri"/>
                <w:szCs w:val="16"/>
              </w:rPr>
            </w:pPr>
            <w:r w:rsidRPr="002A3CBE">
              <w:rPr>
                <w:rFonts w:cs="Calibri"/>
                <w:szCs w:val="16"/>
              </w:rPr>
              <w:t xml:space="preserve">IPCC Tier 1 default parameters </w:t>
            </w:r>
          </w:p>
        </w:tc>
      </w:tr>
      <w:tr w:rsidR="00447423" w:rsidRPr="002A3CBE" w14:paraId="3C39BBEF" w14:textId="77777777" w:rsidTr="00F16E23">
        <w:tc>
          <w:tcPr>
            <w:tcW w:w="1109" w:type="dxa"/>
          </w:tcPr>
          <w:p w14:paraId="0DA6E32A" w14:textId="77777777" w:rsidR="00447423" w:rsidRPr="002A3CBE" w:rsidRDefault="00447423" w:rsidP="00F16E23">
            <w:pPr>
              <w:pStyle w:val="TableText"/>
              <w:spacing w:before="40" w:after="40"/>
              <w:rPr>
                <w:rFonts w:cs="Calibri"/>
                <w:szCs w:val="16"/>
              </w:rPr>
            </w:pPr>
            <w:r w:rsidRPr="002A3CBE">
              <w:rPr>
                <w:rFonts w:cs="Calibri"/>
                <w:szCs w:val="16"/>
              </w:rPr>
              <w:t xml:space="preserve">Wetlands – vegetated </w:t>
            </w:r>
          </w:p>
        </w:tc>
        <w:tc>
          <w:tcPr>
            <w:tcW w:w="2552" w:type="dxa"/>
            <w:gridSpan w:val="2"/>
            <w:tcBorders>
              <w:right w:val="nil"/>
            </w:tcBorders>
          </w:tcPr>
          <w:p w14:paraId="5665774E" w14:textId="77777777" w:rsidR="00447423" w:rsidRPr="002A3CBE" w:rsidRDefault="00447423" w:rsidP="00F16E23">
            <w:pPr>
              <w:pStyle w:val="TableText"/>
              <w:spacing w:before="40" w:after="40"/>
              <w:rPr>
                <w:rFonts w:cs="Calibri"/>
                <w:szCs w:val="16"/>
              </w:rPr>
            </w:pPr>
            <w:r w:rsidRPr="002A3CBE">
              <w:rPr>
                <w:rFonts w:cs="Calibri"/>
                <w:szCs w:val="16"/>
              </w:rPr>
              <w:t>Country-specific emission factor</w:t>
            </w:r>
            <w:r w:rsidRPr="002A3CBE" w:rsidDel="00DB0C80">
              <w:rPr>
                <w:rFonts w:cs="Calibri"/>
                <w:szCs w:val="16"/>
              </w:rPr>
              <w:t xml:space="preserve"> </w:t>
            </w:r>
          </w:p>
        </w:tc>
        <w:tc>
          <w:tcPr>
            <w:tcW w:w="2552" w:type="dxa"/>
            <w:gridSpan w:val="2"/>
            <w:tcBorders>
              <w:left w:val="nil"/>
            </w:tcBorders>
          </w:tcPr>
          <w:p w14:paraId="0D9EDC42"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parameters (NE)</w:t>
            </w:r>
          </w:p>
        </w:tc>
        <w:tc>
          <w:tcPr>
            <w:tcW w:w="1134" w:type="dxa"/>
          </w:tcPr>
          <w:p w14:paraId="22747930"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215" w:type="dxa"/>
          </w:tcPr>
          <w:p w14:paraId="6959FC87" w14:textId="77777777" w:rsidR="00447423" w:rsidRPr="002A3CBE" w:rsidRDefault="00447423" w:rsidP="00F16E23">
            <w:pPr>
              <w:pStyle w:val="TableText"/>
              <w:spacing w:before="40" w:after="40"/>
              <w:rPr>
                <w:rFonts w:cs="Calibri"/>
                <w:szCs w:val="16"/>
              </w:rPr>
            </w:pPr>
            <w:r w:rsidRPr="002A3CBE">
              <w:rPr>
                <w:rFonts w:cs="Calibri"/>
                <w:szCs w:val="16"/>
              </w:rPr>
              <w:t xml:space="preserve">IPCC Tier 1 default parameters </w:t>
            </w:r>
          </w:p>
        </w:tc>
      </w:tr>
      <w:tr w:rsidR="00447423" w:rsidRPr="002A3CBE" w14:paraId="44AC3775" w14:textId="77777777" w:rsidTr="00F16E23">
        <w:tc>
          <w:tcPr>
            <w:tcW w:w="1109" w:type="dxa"/>
            <w:hideMark/>
          </w:tcPr>
          <w:p w14:paraId="0DEB8117" w14:textId="77777777" w:rsidR="00447423" w:rsidRPr="002A3CBE" w:rsidRDefault="00447423" w:rsidP="00F16E23">
            <w:pPr>
              <w:pStyle w:val="TableText"/>
              <w:spacing w:before="40" w:after="40"/>
              <w:rPr>
                <w:rFonts w:cs="Calibri"/>
                <w:szCs w:val="16"/>
              </w:rPr>
            </w:pPr>
            <w:r w:rsidRPr="002A3CBE">
              <w:rPr>
                <w:rFonts w:cs="Calibri"/>
                <w:szCs w:val="16"/>
              </w:rPr>
              <w:t>Settlements</w:t>
            </w:r>
          </w:p>
        </w:tc>
        <w:tc>
          <w:tcPr>
            <w:tcW w:w="5104" w:type="dxa"/>
            <w:gridSpan w:val="4"/>
            <w:hideMark/>
          </w:tcPr>
          <w:p w14:paraId="1EC40ADA"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 (NE)</w:t>
            </w:r>
          </w:p>
        </w:tc>
        <w:tc>
          <w:tcPr>
            <w:tcW w:w="1134" w:type="dxa"/>
            <w:hideMark/>
          </w:tcPr>
          <w:p w14:paraId="61E10936"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158" w:type="dxa"/>
            <w:hideMark/>
          </w:tcPr>
          <w:p w14:paraId="112B496B" w14:textId="77777777" w:rsidR="00447423" w:rsidRPr="002A3CBE" w:rsidRDefault="00447423" w:rsidP="00F16E23">
            <w:pPr>
              <w:pStyle w:val="TableText"/>
              <w:spacing w:before="40" w:after="40"/>
              <w:rPr>
                <w:rFonts w:cs="Calibri"/>
                <w:szCs w:val="16"/>
              </w:rPr>
            </w:pPr>
            <w:r w:rsidRPr="002A3CBE">
              <w:rPr>
                <w:rFonts w:cs="Calibri"/>
                <w:szCs w:val="16"/>
              </w:rPr>
              <w:t>NE</w:t>
            </w:r>
          </w:p>
        </w:tc>
      </w:tr>
      <w:tr w:rsidR="00447423" w:rsidRPr="002A3CBE" w14:paraId="1F9550C0" w14:textId="77777777" w:rsidTr="00F16E23">
        <w:tc>
          <w:tcPr>
            <w:tcW w:w="1109" w:type="dxa"/>
            <w:hideMark/>
          </w:tcPr>
          <w:p w14:paraId="1DD85614" w14:textId="77777777" w:rsidR="00447423" w:rsidRPr="002A3CBE" w:rsidRDefault="00447423" w:rsidP="00F16E23">
            <w:pPr>
              <w:pStyle w:val="TableText"/>
              <w:spacing w:before="40" w:after="40"/>
              <w:rPr>
                <w:rFonts w:cs="Calibri"/>
                <w:szCs w:val="16"/>
              </w:rPr>
            </w:pPr>
            <w:r w:rsidRPr="002A3CBE">
              <w:rPr>
                <w:rFonts w:cs="Calibri"/>
                <w:szCs w:val="16"/>
              </w:rPr>
              <w:t>Other land</w:t>
            </w:r>
          </w:p>
        </w:tc>
        <w:tc>
          <w:tcPr>
            <w:tcW w:w="5104" w:type="dxa"/>
            <w:gridSpan w:val="4"/>
            <w:hideMark/>
          </w:tcPr>
          <w:p w14:paraId="0F6AF730" w14:textId="77777777" w:rsidR="00447423" w:rsidRPr="002A3CBE" w:rsidRDefault="00447423" w:rsidP="00F16E23">
            <w:pPr>
              <w:pStyle w:val="TableText"/>
              <w:spacing w:before="40" w:after="40"/>
              <w:rPr>
                <w:rFonts w:cs="Calibri"/>
                <w:szCs w:val="16"/>
              </w:rPr>
            </w:pPr>
            <w:r w:rsidRPr="002A3CBE">
              <w:rPr>
                <w:rFonts w:cs="Calibri"/>
                <w:szCs w:val="16"/>
              </w:rPr>
              <w:t>IPCC Tier 1 default parameter (NE)</w:t>
            </w:r>
          </w:p>
        </w:tc>
        <w:tc>
          <w:tcPr>
            <w:tcW w:w="1134" w:type="dxa"/>
            <w:hideMark/>
          </w:tcPr>
          <w:p w14:paraId="1599AF93" w14:textId="77777777" w:rsidR="00447423" w:rsidRPr="002A3CBE" w:rsidRDefault="00447423" w:rsidP="00F16E23">
            <w:pPr>
              <w:pStyle w:val="TableText"/>
              <w:spacing w:before="40" w:after="40"/>
              <w:rPr>
                <w:rFonts w:cs="Calibri"/>
                <w:szCs w:val="16"/>
              </w:rPr>
            </w:pPr>
            <w:r w:rsidRPr="002A3CBE">
              <w:rPr>
                <w:rFonts w:cs="Calibri"/>
                <w:szCs w:val="16"/>
              </w:rPr>
              <w:t>Tier 2, country-specific data and model</w:t>
            </w:r>
          </w:p>
        </w:tc>
        <w:tc>
          <w:tcPr>
            <w:tcW w:w="1158" w:type="dxa"/>
            <w:hideMark/>
          </w:tcPr>
          <w:p w14:paraId="43F16AA7" w14:textId="77777777" w:rsidR="00447423" w:rsidRPr="002A3CBE" w:rsidRDefault="00447423" w:rsidP="00F16E23">
            <w:pPr>
              <w:pStyle w:val="TableText"/>
              <w:spacing w:before="40" w:after="40"/>
              <w:rPr>
                <w:rFonts w:cs="Calibri"/>
                <w:szCs w:val="16"/>
              </w:rPr>
            </w:pPr>
            <w:r w:rsidRPr="002A3CBE">
              <w:rPr>
                <w:rFonts w:cs="Calibri"/>
                <w:szCs w:val="16"/>
              </w:rPr>
              <w:t>NE</w:t>
            </w:r>
          </w:p>
        </w:tc>
      </w:tr>
    </w:tbl>
    <w:p w14:paraId="3E47A58D" w14:textId="625974B5" w:rsidR="00447423" w:rsidRPr="002A3CBE" w:rsidRDefault="00447423" w:rsidP="00447423">
      <w:pPr>
        <w:pStyle w:val="Noteundertable"/>
      </w:pPr>
      <w:r w:rsidRPr="002A3CBE">
        <w:rPr>
          <w:b/>
        </w:rPr>
        <w:t>Note:</w:t>
      </w:r>
      <w:r w:rsidRPr="002A3CBE">
        <w:tab/>
        <w:t>CRA = Calculation and Reporting Application; NE = not estimated</w:t>
      </w:r>
      <w:r w:rsidRPr="002A3CBE" w:rsidDel="00AB2497">
        <w:t>.</w:t>
      </w:r>
      <w:r w:rsidRPr="002A3CBE">
        <w:t xml:space="preserve"> See the methodology sections for an explanation of soil carbon calculations (volume 2, annex 5, section A5.2.4) and forest models, C_Change and</w:t>
      </w:r>
      <w:r w:rsidR="00E062B3">
        <w:t> </w:t>
      </w:r>
      <w:r w:rsidRPr="002A3CBE">
        <w:t xml:space="preserve">Forest Carbon Predictor (volume 2, annex 5, section A5.2.5). </w:t>
      </w:r>
    </w:p>
    <w:p w14:paraId="5DA6D6DB" w14:textId="77777777" w:rsidR="00447423" w:rsidRPr="002A3CBE" w:rsidRDefault="00447423" w:rsidP="00447423">
      <w:pPr>
        <w:pStyle w:val="BodyText"/>
      </w:pPr>
      <w:r w:rsidRPr="002A3CBE">
        <w:t xml:space="preserve">To calculate emissions for the New Zealand LULUCF sector, the following data are used: </w:t>
      </w:r>
    </w:p>
    <w:p w14:paraId="648D7815" w14:textId="77777777" w:rsidR="00447423" w:rsidRPr="002A3CBE" w:rsidRDefault="00447423" w:rsidP="00447423">
      <w:pPr>
        <w:pStyle w:val="Bullet"/>
      </w:pPr>
      <w:r w:rsidRPr="002A3CBE">
        <w:t>land use and land-use change area data from 1962 to 1989, which provide land in a transition state as at 1990 for each land use (see volume 2, annex 5, section A5.2.2)</w:t>
      </w:r>
    </w:p>
    <w:p w14:paraId="2244A661" w14:textId="77777777" w:rsidR="00447423" w:rsidRPr="002A3CBE" w:rsidRDefault="00447423" w:rsidP="00447423">
      <w:pPr>
        <w:pStyle w:val="Bullet"/>
        <w:numPr>
          <w:ilvl w:val="0"/>
          <w:numId w:val="29"/>
        </w:numPr>
        <w:spacing w:after="100"/>
        <w:ind w:left="397" w:hanging="397"/>
      </w:pPr>
      <w:r w:rsidRPr="002A3CBE">
        <w:t>annual land use and land-use change area data from 1990 to 2024 (see volume 2, annex 5, section A5.2.2)</w:t>
      </w:r>
    </w:p>
    <w:p w14:paraId="3EAFAE88" w14:textId="77777777" w:rsidR="00447423" w:rsidRPr="002A3CBE" w:rsidRDefault="00447423" w:rsidP="00447423">
      <w:pPr>
        <w:pStyle w:val="Bullet"/>
        <w:numPr>
          <w:ilvl w:val="0"/>
          <w:numId w:val="29"/>
        </w:numPr>
        <w:spacing w:after="100"/>
        <w:ind w:left="397" w:hanging="397"/>
      </w:pPr>
      <w:r w:rsidRPr="002A3CBE">
        <w:t>biomass carbon stocks per hectare before land use conversion, and annual growth in biomass carbon stocks per hectare following conversion (described in more detail under each land use category)</w:t>
      </w:r>
    </w:p>
    <w:p w14:paraId="74C76255" w14:textId="77777777" w:rsidR="00447423" w:rsidRPr="002A3CBE" w:rsidRDefault="00447423" w:rsidP="00447423">
      <w:pPr>
        <w:pStyle w:val="Bullet"/>
        <w:numPr>
          <w:ilvl w:val="0"/>
          <w:numId w:val="29"/>
        </w:numPr>
        <w:spacing w:after="100"/>
        <w:ind w:left="397" w:hanging="397"/>
      </w:pPr>
      <w:r w:rsidRPr="002A3CBE">
        <w:t xml:space="preserve">estimates of planted forest harvest area and harvest age-class distribution (see section 6.4 and volume 2, annex 5, section A5.2.5) </w:t>
      </w:r>
    </w:p>
    <w:p w14:paraId="2014494C" w14:textId="77777777" w:rsidR="00447423" w:rsidRPr="002A3CBE" w:rsidRDefault="00447423" w:rsidP="00447423">
      <w:pPr>
        <w:pStyle w:val="Bullet"/>
        <w:numPr>
          <w:ilvl w:val="0"/>
          <w:numId w:val="29"/>
        </w:numPr>
        <w:spacing w:after="100"/>
        <w:ind w:left="397" w:hanging="397"/>
      </w:pPr>
      <w:r w:rsidRPr="002A3CBE">
        <w:t>a forest age profile for pre-1990 planted forests and post-1989 planted forests</w:t>
      </w:r>
    </w:p>
    <w:p w14:paraId="454CAA2C" w14:textId="77777777" w:rsidR="00447423" w:rsidRPr="002A3CBE" w:rsidRDefault="00447423" w:rsidP="00447423">
      <w:pPr>
        <w:pStyle w:val="Bullet"/>
        <w:numPr>
          <w:ilvl w:val="0"/>
          <w:numId w:val="29"/>
        </w:numPr>
        <w:spacing w:after="100"/>
        <w:ind w:left="397" w:hanging="397"/>
      </w:pPr>
      <w:r w:rsidRPr="002A3CBE">
        <w:t>age-based biomass carbon yield tables for pre-1990 planted forests and post-1989 planted and natural forests (see section 6.4.2)</w:t>
      </w:r>
    </w:p>
    <w:p w14:paraId="2929315A" w14:textId="77777777" w:rsidR="00447423" w:rsidRPr="002A3CBE" w:rsidRDefault="00447423" w:rsidP="00447423">
      <w:pPr>
        <w:pStyle w:val="Bullet"/>
        <w:numPr>
          <w:ilvl w:val="0"/>
          <w:numId w:val="29"/>
        </w:numPr>
        <w:spacing w:after="100"/>
        <w:ind w:left="397" w:hanging="397"/>
      </w:pPr>
      <w:r w:rsidRPr="002A3CBE">
        <w:t>growth increment for pre-1990 natural forest (see section 6.4.2)</w:t>
      </w:r>
    </w:p>
    <w:p w14:paraId="2C571B98" w14:textId="77777777" w:rsidR="00447423" w:rsidRPr="002A3CBE" w:rsidRDefault="00447423" w:rsidP="00447423">
      <w:pPr>
        <w:pStyle w:val="Bullet"/>
        <w:numPr>
          <w:ilvl w:val="0"/>
          <w:numId w:val="29"/>
        </w:numPr>
        <w:spacing w:after="100"/>
        <w:ind w:left="397" w:hanging="397"/>
      </w:pPr>
      <w:r w:rsidRPr="002A3CBE">
        <w:t>emission factors and country-level activity data on biomass burning (see section 6.11.8)</w:t>
      </w:r>
    </w:p>
    <w:p w14:paraId="24CA5E27" w14:textId="77777777" w:rsidR="00447423" w:rsidRPr="002A3CBE" w:rsidRDefault="00447423" w:rsidP="00447423">
      <w:pPr>
        <w:pStyle w:val="Bullet"/>
        <w:numPr>
          <w:ilvl w:val="0"/>
          <w:numId w:val="29"/>
        </w:numPr>
        <w:ind w:left="397" w:hanging="397"/>
      </w:pPr>
      <w:r w:rsidRPr="002A3CBE">
        <w:t>IPCC default conversion factors for converting carbon (C) to CO</w:t>
      </w:r>
      <w:r w:rsidRPr="002A3CBE">
        <w:rPr>
          <w:vertAlign w:val="subscript"/>
        </w:rPr>
        <w:t>2</w:t>
      </w:r>
      <w:r w:rsidRPr="002A3CBE">
        <w:t xml:space="preserve">. </w:t>
      </w:r>
    </w:p>
    <w:p w14:paraId="028AC009" w14:textId="77777777" w:rsidR="00447423" w:rsidRPr="002A3CBE" w:rsidRDefault="00447423" w:rsidP="00447423">
      <w:pPr>
        <w:pStyle w:val="BodyText"/>
      </w:pPr>
      <w:r w:rsidRPr="002A3CBE">
        <w:t>The formula used to calculate emissions from biomass changes on land use conversion is:</w:t>
      </w:r>
    </w:p>
    <w:tbl>
      <w:tblPr>
        <w:tblW w:w="7700" w:type="dxa"/>
        <w:jc w:val="center"/>
        <w:tblLayout w:type="fixed"/>
        <w:tblCellMar>
          <w:left w:w="28" w:type="dxa"/>
          <w:right w:w="28" w:type="dxa"/>
        </w:tblCellMar>
        <w:tblLook w:val="04A0" w:firstRow="1" w:lastRow="0" w:firstColumn="1" w:lastColumn="0" w:noHBand="0" w:noVBand="1"/>
      </w:tblPr>
      <w:tblGrid>
        <w:gridCol w:w="310"/>
        <w:gridCol w:w="1420"/>
        <w:gridCol w:w="283"/>
        <w:gridCol w:w="1134"/>
        <w:gridCol w:w="284"/>
        <w:gridCol w:w="290"/>
        <w:gridCol w:w="284"/>
        <w:gridCol w:w="1694"/>
        <w:gridCol w:w="290"/>
        <w:gridCol w:w="992"/>
        <w:gridCol w:w="284"/>
        <w:gridCol w:w="435"/>
      </w:tblGrid>
      <w:tr w:rsidR="00447423" w:rsidRPr="002A3CBE" w14:paraId="0D71196B" w14:textId="77777777" w:rsidTr="00F16E23">
        <w:trPr>
          <w:trHeight w:val="1130"/>
          <w:jc w:val="center"/>
        </w:trPr>
        <w:tc>
          <w:tcPr>
            <w:tcW w:w="310" w:type="dxa"/>
            <w:vAlign w:val="center"/>
          </w:tcPr>
          <w:p w14:paraId="1FF5BFC9" w14:textId="77777777" w:rsidR="00447423" w:rsidRPr="002A3CBE" w:rsidRDefault="00447423" w:rsidP="00F16E23">
            <w:pPr>
              <w:rPr>
                <w:rFonts w:ascii="Cambria Math" w:hAnsi="Cambria Math" w:cs="Segoe UI"/>
                <w:sz w:val="144"/>
                <w:szCs w:val="144"/>
              </w:rPr>
            </w:pPr>
            <w:r w:rsidRPr="002A3CBE">
              <w:rPr>
                <w:rFonts w:ascii="Cambria Math" w:hAnsi="Cambria Math" w:cs="Segoe UI"/>
                <w:sz w:val="56"/>
                <w:szCs w:val="144"/>
              </w:rPr>
              <w:t>(</w:t>
            </w:r>
          </w:p>
        </w:tc>
        <w:tc>
          <w:tcPr>
            <w:tcW w:w="1420" w:type="dxa"/>
            <w:vAlign w:val="center"/>
          </w:tcPr>
          <w:p w14:paraId="31CB436F" w14:textId="77777777" w:rsidR="00447423" w:rsidRPr="002A3CBE" w:rsidRDefault="00447423" w:rsidP="00F16E23">
            <w:pPr>
              <w:jc w:val="center"/>
              <w:rPr>
                <w:rFonts w:ascii="Cambria Math" w:hAnsi="Cambria Math" w:cs="Segoe UI"/>
                <w:i/>
                <w:sz w:val="18"/>
              </w:rPr>
            </w:pPr>
            <w:r w:rsidRPr="002A3CBE">
              <w:rPr>
                <w:rFonts w:ascii="Cambria Math" w:hAnsi="Cambria Math" w:cs="Segoe UI"/>
                <w:i/>
                <w:sz w:val="18"/>
              </w:rPr>
              <w:t>Loss of biomass present in previous crop</w:t>
            </w:r>
          </w:p>
        </w:tc>
        <w:tc>
          <w:tcPr>
            <w:tcW w:w="283" w:type="dxa"/>
            <w:vAlign w:val="center"/>
          </w:tcPr>
          <w:p w14:paraId="5DE6D9C1" w14:textId="77777777" w:rsidR="00447423" w:rsidRPr="002A3CBE" w:rsidRDefault="00447423" w:rsidP="00F16E23">
            <w:pPr>
              <w:rPr>
                <w:rFonts w:ascii="Cambria Math" w:hAnsi="Cambria Math" w:cs="Segoe UI"/>
                <w:i/>
                <w:sz w:val="18"/>
              </w:rPr>
            </w:pPr>
            <w:r w:rsidRPr="002A3CBE">
              <w:rPr>
                <w:rFonts w:ascii="Cambria Math" w:hAnsi="Cambria Math" w:cs="Segoe UI"/>
                <w:i/>
                <w:sz w:val="18"/>
              </w:rPr>
              <w:t xml:space="preserve"> ×</w:t>
            </w:r>
          </w:p>
        </w:tc>
        <w:tc>
          <w:tcPr>
            <w:tcW w:w="1134" w:type="dxa"/>
            <w:vAlign w:val="center"/>
          </w:tcPr>
          <w:p w14:paraId="7C3CB88C" w14:textId="77777777" w:rsidR="00447423" w:rsidRPr="002A3CBE" w:rsidRDefault="00447423" w:rsidP="00F16E23">
            <w:pPr>
              <w:jc w:val="center"/>
              <w:rPr>
                <w:rFonts w:ascii="Cambria Math" w:hAnsi="Cambria Math" w:cs="Segoe UI"/>
                <w:i/>
                <w:sz w:val="18"/>
              </w:rPr>
            </w:pPr>
            <w:r w:rsidRPr="002A3CBE">
              <w:rPr>
                <w:rFonts w:ascii="Cambria Math" w:hAnsi="Cambria Math" w:cs="Segoe UI"/>
                <w:i/>
                <w:sz w:val="18"/>
              </w:rPr>
              <w:t>Activity data (Area)</w:t>
            </w:r>
          </w:p>
        </w:tc>
        <w:tc>
          <w:tcPr>
            <w:tcW w:w="284" w:type="dxa"/>
            <w:vAlign w:val="center"/>
          </w:tcPr>
          <w:p w14:paraId="4080C13B" w14:textId="77777777" w:rsidR="00447423" w:rsidRPr="002A3CBE" w:rsidRDefault="00447423" w:rsidP="00F16E23">
            <w:pPr>
              <w:rPr>
                <w:rFonts w:ascii="Cambria Math" w:hAnsi="Cambria Math" w:cs="Segoe UI"/>
                <w:i/>
              </w:rPr>
            </w:pPr>
            <w:r w:rsidRPr="002A3CBE">
              <w:rPr>
                <w:rFonts w:ascii="Cambria Math" w:hAnsi="Cambria Math" w:cs="Segoe UI"/>
                <w:sz w:val="56"/>
                <w:szCs w:val="144"/>
              </w:rPr>
              <w:t>)</w:t>
            </w:r>
          </w:p>
        </w:tc>
        <w:tc>
          <w:tcPr>
            <w:tcW w:w="290" w:type="dxa"/>
            <w:vAlign w:val="center"/>
          </w:tcPr>
          <w:p w14:paraId="2681BD57" w14:textId="77777777" w:rsidR="00447423" w:rsidRPr="002A3CBE" w:rsidRDefault="00447423" w:rsidP="00F16E23">
            <w:pPr>
              <w:rPr>
                <w:rFonts w:ascii="Cambria Math" w:hAnsi="Cambria Math" w:cs="Segoe UI"/>
                <w:i/>
              </w:rPr>
            </w:pPr>
            <w:r w:rsidRPr="002A3CBE">
              <w:rPr>
                <w:rFonts w:ascii="Cambria Math" w:hAnsi="Cambria Math" w:cs="Segoe UI"/>
                <w:i/>
              </w:rPr>
              <w:t>+</w:t>
            </w:r>
          </w:p>
        </w:tc>
        <w:tc>
          <w:tcPr>
            <w:tcW w:w="284" w:type="dxa"/>
            <w:vAlign w:val="center"/>
          </w:tcPr>
          <w:p w14:paraId="5A498254" w14:textId="77777777" w:rsidR="00447423" w:rsidRPr="002A3CBE" w:rsidRDefault="00447423" w:rsidP="00F16E23">
            <w:pPr>
              <w:rPr>
                <w:rFonts w:ascii="Cambria Math" w:hAnsi="Cambria Math" w:cs="Segoe UI"/>
                <w:i/>
              </w:rPr>
            </w:pPr>
            <w:r w:rsidRPr="002A3CBE">
              <w:rPr>
                <w:rFonts w:ascii="Cambria Math" w:hAnsi="Cambria Math" w:cs="Segoe UI"/>
                <w:sz w:val="56"/>
                <w:szCs w:val="144"/>
              </w:rPr>
              <w:t>(</w:t>
            </w:r>
          </w:p>
        </w:tc>
        <w:tc>
          <w:tcPr>
            <w:tcW w:w="1694" w:type="dxa"/>
            <w:vAlign w:val="center"/>
          </w:tcPr>
          <w:p w14:paraId="5119B48B" w14:textId="77777777" w:rsidR="00447423" w:rsidRPr="002A3CBE" w:rsidRDefault="00447423" w:rsidP="00F16E23">
            <w:pPr>
              <w:jc w:val="center"/>
              <w:rPr>
                <w:rFonts w:ascii="Cambria Math" w:hAnsi="Cambria Math" w:cs="Segoe UI"/>
                <w:i/>
                <w:sz w:val="18"/>
              </w:rPr>
            </w:pPr>
            <w:r w:rsidRPr="002A3CBE">
              <w:rPr>
                <w:rFonts w:ascii="Cambria Math" w:hAnsi="Cambria Math" w:cs="Segoe UI"/>
                <w:i/>
                <w:sz w:val="18"/>
              </w:rPr>
              <w:t>Annual growth in biomass carbon stocks in new land use</w:t>
            </w:r>
          </w:p>
        </w:tc>
        <w:tc>
          <w:tcPr>
            <w:tcW w:w="290" w:type="dxa"/>
            <w:vAlign w:val="center"/>
          </w:tcPr>
          <w:p w14:paraId="62302524" w14:textId="77777777" w:rsidR="00447423" w:rsidRPr="002A3CBE" w:rsidRDefault="00447423" w:rsidP="00F16E23">
            <w:pPr>
              <w:jc w:val="center"/>
              <w:rPr>
                <w:rFonts w:ascii="Cambria Math" w:hAnsi="Cambria Math" w:cs="Segoe UI"/>
                <w:i/>
                <w:sz w:val="18"/>
              </w:rPr>
            </w:pPr>
            <w:r w:rsidRPr="002A3CBE">
              <w:rPr>
                <w:rFonts w:ascii="Cambria Math" w:hAnsi="Cambria Math" w:cs="Segoe UI"/>
                <w:i/>
                <w:sz w:val="18"/>
              </w:rPr>
              <w:t>×</w:t>
            </w:r>
          </w:p>
        </w:tc>
        <w:tc>
          <w:tcPr>
            <w:tcW w:w="992" w:type="dxa"/>
            <w:vAlign w:val="center"/>
          </w:tcPr>
          <w:p w14:paraId="6C0DBE73" w14:textId="77777777" w:rsidR="00447423" w:rsidRPr="002A3CBE" w:rsidRDefault="00447423" w:rsidP="00F16E23">
            <w:pPr>
              <w:spacing w:before="120"/>
              <w:jc w:val="center"/>
              <w:rPr>
                <w:rFonts w:ascii="Cambria Math" w:hAnsi="Cambria Math" w:cs="Segoe UI"/>
                <w:i/>
                <w:sz w:val="18"/>
              </w:rPr>
            </w:pPr>
            <w:r w:rsidRPr="002A3CBE">
              <w:rPr>
                <w:rFonts w:ascii="Cambria Math" w:hAnsi="Cambria Math" w:cs="Segoe UI"/>
                <w:i/>
                <w:sz w:val="18"/>
              </w:rPr>
              <w:t>Activity data (Area)</w:t>
            </w:r>
          </w:p>
        </w:tc>
        <w:tc>
          <w:tcPr>
            <w:tcW w:w="284" w:type="dxa"/>
            <w:vAlign w:val="center"/>
          </w:tcPr>
          <w:p w14:paraId="665042F4" w14:textId="77777777" w:rsidR="00447423" w:rsidRPr="002A3CBE" w:rsidRDefault="00447423" w:rsidP="00F16E23">
            <w:pPr>
              <w:jc w:val="center"/>
              <w:rPr>
                <w:rFonts w:ascii="Cambria Math" w:hAnsi="Cambria Math" w:cs="Segoe UI"/>
                <w:i/>
              </w:rPr>
            </w:pPr>
            <w:r w:rsidRPr="002A3CBE">
              <w:rPr>
                <w:rFonts w:ascii="Cambria Math" w:hAnsi="Cambria Math" w:cs="Segoe UI"/>
                <w:sz w:val="56"/>
                <w:szCs w:val="144"/>
              </w:rPr>
              <w:t>)</w:t>
            </w:r>
          </w:p>
        </w:tc>
        <w:tc>
          <w:tcPr>
            <w:tcW w:w="435" w:type="dxa"/>
          </w:tcPr>
          <w:p w14:paraId="30256A2D" w14:textId="77777777" w:rsidR="00447423" w:rsidRPr="002A3CBE" w:rsidRDefault="00447423" w:rsidP="00F16E23">
            <w:pPr>
              <w:rPr>
                <w:rFonts w:ascii="Cambria Math" w:hAnsi="Cambria Math" w:cs="Segoe UI"/>
                <w:i/>
              </w:rPr>
            </w:pPr>
          </w:p>
          <w:p w14:paraId="26670A87" w14:textId="77777777" w:rsidR="00447423" w:rsidRPr="002A3CBE" w:rsidRDefault="00447423" w:rsidP="00F16E23">
            <w:pPr>
              <w:rPr>
                <w:rFonts w:ascii="Cambria Math" w:hAnsi="Cambria Math" w:cs="Segoe UI"/>
                <w:i/>
              </w:rPr>
            </w:pPr>
          </w:p>
          <w:p w14:paraId="5A0BB023" w14:textId="77777777" w:rsidR="00447423" w:rsidRPr="002A3CBE" w:rsidRDefault="00447423" w:rsidP="00F16E23">
            <w:pPr>
              <w:rPr>
                <w:rFonts w:ascii="Cambria Math" w:hAnsi="Cambria Math" w:cs="Segoe UI"/>
                <w:sz w:val="56"/>
                <w:szCs w:val="144"/>
              </w:rPr>
            </w:pPr>
            <w:r w:rsidRPr="002A3CBE">
              <w:rPr>
                <w:rFonts w:ascii="Cambria Math" w:hAnsi="Cambria Math" w:cs="Segoe UI"/>
                <w:i/>
              </w:rPr>
              <w:t>(1)</w:t>
            </w:r>
          </w:p>
        </w:tc>
      </w:tr>
    </w:tbl>
    <w:p w14:paraId="46E8C429" w14:textId="77777777" w:rsidR="00447423" w:rsidRPr="002A3CBE" w:rsidRDefault="00447423" w:rsidP="00447423">
      <w:pPr>
        <w:pStyle w:val="BodyText"/>
        <w:keepNext/>
        <w:spacing w:before="180"/>
      </w:pPr>
      <w:r w:rsidRPr="002A3CBE">
        <w:t xml:space="preserve">The formula used to calculate emissions from mineral soil changes on land use conversion is: </w:t>
      </w:r>
    </w:p>
    <w:tbl>
      <w:tblPr>
        <w:tblW w:w="7479" w:type="dxa"/>
        <w:jc w:val="center"/>
        <w:tblLayout w:type="fixed"/>
        <w:tblLook w:val="04A0" w:firstRow="1" w:lastRow="0" w:firstColumn="1" w:lastColumn="0" w:noHBand="0" w:noVBand="1"/>
      </w:tblPr>
      <w:tblGrid>
        <w:gridCol w:w="2093"/>
        <w:gridCol w:w="425"/>
        <w:gridCol w:w="2268"/>
        <w:gridCol w:w="284"/>
        <w:gridCol w:w="425"/>
        <w:gridCol w:w="850"/>
        <w:gridCol w:w="426"/>
        <w:gridCol w:w="708"/>
      </w:tblGrid>
      <w:tr w:rsidR="00447423" w:rsidRPr="002A3CBE" w14:paraId="287217BE" w14:textId="77777777" w:rsidTr="00F16E23">
        <w:trPr>
          <w:jc w:val="center"/>
        </w:trPr>
        <w:tc>
          <w:tcPr>
            <w:tcW w:w="2093" w:type="dxa"/>
          </w:tcPr>
          <w:p w14:paraId="6ABA2BC3" w14:textId="77777777" w:rsidR="00447423" w:rsidRPr="002A3CBE" w:rsidRDefault="00447423" w:rsidP="00F16E23">
            <w:pPr>
              <w:keepNext/>
              <w:jc w:val="center"/>
              <w:rPr>
                <w:rFonts w:ascii="Cambria Math" w:hAnsi="Cambria Math" w:cs="Segoe UI"/>
                <w:i/>
                <w:sz w:val="18"/>
              </w:rPr>
            </w:pPr>
            <w:r w:rsidRPr="002A3CBE">
              <w:rPr>
                <w:rFonts w:ascii="Cambria Math" w:hAnsi="Cambria Math" w:cs="Segoe UI"/>
                <w:i/>
                <w:sz w:val="18"/>
              </w:rPr>
              <w:t>Mineral soil carbon at steady state in the new land use</w:t>
            </w:r>
          </w:p>
        </w:tc>
        <w:tc>
          <w:tcPr>
            <w:tcW w:w="425" w:type="dxa"/>
            <w:vAlign w:val="center"/>
          </w:tcPr>
          <w:p w14:paraId="032DD400" w14:textId="77777777" w:rsidR="00447423" w:rsidRPr="002A3CBE" w:rsidRDefault="00447423" w:rsidP="00F16E23">
            <w:pPr>
              <w:keepNext/>
              <w:jc w:val="center"/>
              <w:rPr>
                <w:rFonts w:ascii="Cambria Math" w:hAnsi="Cambria Math" w:cs="Segoe UI"/>
                <w:i/>
                <w:sz w:val="18"/>
              </w:rPr>
            </w:pPr>
            <w:r w:rsidRPr="002A3CBE">
              <w:rPr>
                <w:rFonts w:ascii="Cambria Math" w:hAnsi="Cambria Math" w:cs="Segoe UI"/>
                <w:i/>
                <w:sz w:val="18"/>
              </w:rPr>
              <w:t>—</w:t>
            </w:r>
          </w:p>
        </w:tc>
        <w:tc>
          <w:tcPr>
            <w:tcW w:w="2268" w:type="dxa"/>
          </w:tcPr>
          <w:p w14:paraId="102AB6A8" w14:textId="77777777" w:rsidR="00447423" w:rsidRPr="002A3CBE" w:rsidRDefault="00447423" w:rsidP="00F16E23">
            <w:pPr>
              <w:keepNext/>
              <w:jc w:val="center"/>
              <w:rPr>
                <w:rFonts w:ascii="Cambria Math" w:hAnsi="Cambria Math" w:cs="Segoe UI"/>
                <w:i/>
                <w:sz w:val="18"/>
              </w:rPr>
            </w:pPr>
            <w:r w:rsidRPr="002A3CBE">
              <w:rPr>
                <w:rFonts w:ascii="Cambria Math" w:hAnsi="Cambria Math" w:cs="Segoe UI"/>
                <w:i/>
                <w:sz w:val="18"/>
              </w:rPr>
              <w:t>Mineral soil carbon at steady state in the previous land use</w:t>
            </w:r>
          </w:p>
        </w:tc>
        <w:tc>
          <w:tcPr>
            <w:tcW w:w="284" w:type="dxa"/>
            <w:vMerge w:val="restart"/>
            <w:vAlign w:val="center"/>
          </w:tcPr>
          <w:p w14:paraId="51ADF66B" w14:textId="77777777" w:rsidR="00447423" w:rsidRPr="002A3CBE" w:rsidRDefault="00447423" w:rsidP="00F16E23">
            <w:pPr>
              <w:keepNext/>
              <w:jc w:val="center"/>
              <w:rPr>
                <w:rFonts w:ascii="Cambria Math" w:hAnsi="Cambria Math" w:cs="Segoe UI"/>
                <w:i/>
                <w:sz w:val="18"/>
              </w:rPr>
            </w:pPr>
            <w:r w:rsidRPr="002A3CBE">
              <w:rPr>
                <w:rFonts w:ascii="Cambria Math" w:hAnsi="Cambria Math" w:cs="Segoe UI"/>
                <w:i/>
                <w:sz w:val="18"/>
              </w:rPr>
              <w:t>×</w:t>
            </w:r>
          </w:p>
        </w:tc>
        <w:tc>
          <w:tcPr>
            <w:tcW w:w="425" w:type="dxa"/>
            <w:vMerge w:val="restart"/>
            <w:vAlign w:val="center"/>
          </w:tcPr>
          <w:p w14:paraId="19D337DF" w14:textId="77777777" w:rsidR="00447423" w:rsidRPr="002A3CBE" w:rsidRDefault="00447423" w:rsidP="00F16E23">
            <w:pPr>
              <w:keepNext/>
              <w:jc w:val="center"/>
              <w:rPr>
                <w:rFonts w:ascii="Cambria Math" w:hAnsi="Cambria Math" w:cs="Segoe UI"/>
                <w:i/>
                <w:sz w:val="18"/>
              </w:rPr>
            </w:pPr>
            <w:r w:rsidRPr="002A3CBE">
              <w:rPr>
                <w:rFonts w:ascii="Cambria Math" w:hAnsi="Cambria Math" w:cs="Segoe UI"/>
                <w:sz w:val="56"/>
                <w:szCs w:val="144"/>
              </w:rPr>
              <w:t>(</w:t>
            </w:r>
          </w:p>
        </w:tc>
        <w:tc>
          <w:tcPr>
            <w:tcW w:w="850" w:type="dxa"/>
            <w:vMerge w:val="restart"/>
            <w:vAlign w:val="center"/>
          </w:tcPr>
          <w:p w14:paraId="5713270C" w14:textId="77777777" w:rsidR="00447423" w:rsidRPr="002A3CBE" w:rsidRDefault="00447423" w:rsidP="00F16E23">
            <w:pPr>
              <w:keepNext/>
              <w:jc w:val="center"/>
              <w:rPr>
                <w:rFonts w:ascii="Cambria Math" w:hAnsi="Cambria Math" w:cs="Segoe UI"/>
                <w:i/>
                <w:sz w:val="18"/>
              </w:rPr>
            </w:pPr>
            <w:r w:rsidRPr="002A3CBE">
              <w:rPr>
                <w:rFonts w:ascii="Cambria Math" w:hAnsi="Cambria Math" w:cs="Segoe UI"/>
                <w:i/>
                <w:sz w:val="18"/>
              </w:rPr>
              <w:t>Activity data (Area)</w:t>
            </w:r>
          </w:p>
        </w:tc>
        <w:tc>
          <w:tcPr>
            <w:tcW w:w="426" w:type="dxa"/>
            <w:vMerge w:val="restart"/>
            <w:vAlign w:val="center"/>
          </w:tcPr>
          <w:p w14:paraId="14CDEAAD" w14:textId="77777777" w:rsidR="00447423" w:rsidRPr="002A3CBE" w:rsidRDefault="00447423" w:rsidP="00F16E23">
            <w:pPr>
              <w:keepNext/>
              <w:jc w:val="center"/>
              <w:rPr>
                <w:rFonts w:ascii="Cambria Math" w:hAnsi="Cambria Math" w:cs="Segoe UI"/>
                <w:i/>
                <w:sz w:val="18"/>
              </w:rPr>
            </w:pPr>
            <w:r w:rsidRPr="002A3CBE">
              <w:rPr>
                <w:rFonts w:ascii="Cambria Math" w:hAnsi="Cambria Math" w:cs="Segoe UI"/>
                <w:sz w:val="56"/>
                <w:szCs w:val="144"/>
              </w:rPr>
              <w:t>)</w:t>
            </w:r>
          </w:p>
        </w:tc>
        <w:tc>
          <w:tcPr>
            <w:tcW w:w="708" w:type="dxa"/>
            <w:vMerge w:val="restart"/>
            <w:vAlign w:val="center"/>
          </w:tcPr>
          <w:p w14:paraId="3AB0B73B" w14:textId="77777777" w:rsidR="00447423" w:rsidRPr="002A3CBE" w:rsidRDefault="00447423" w:rsidP="00F16E23">
            <w:pPr>
              <w:keepNext/>
              <w:jc w:val="right"/>
              <w:rPr>
                <w:rFonts w:ascii="Cambria Math" w:hAnsi="Cambria Math" w:cs="Segoe UI"/>
                <w:sz w:val="56"/>
                <w:szCs w:val="144"/>
              </w:rPr>
            </w:pPr>
            <w:r w:rsidRPr="002A3CBE">
              <w:rPr>
                <w:rFonts w:ascii="Cambria Math" w:hAnsi="Cambria Math" w:cs="Segoe UI"/>
                <w:i/>
              </w:rPr>
              <w:t>(2)</w:t>
            </w:r>
          </w:p>
        </w:tc>
      </w:tr>
      <w:tr w:rsidR="00447423" w:rsidRPr="002A3CBE" w14:paraId="69305437" w14:textId="77777777" w:rsidTr="00F16E23">
        <w:trPr>
          <w:trHeight w:val="99"/>
          <w:jc w:val="center"/>
        </w:trPr>
        <w:tc>
          <w:tcPr>
            <w:tcW w:w="4786" w:type="dxa"/>
            <w:gridSpan w:val="3"/>
          </w:tcPr>
          <w:p w14:paraId="3C05AE8A" w14:textId="77777777" w:rsidR="00447423" w:rsidRPr="002A3CBE" w:rsidRDefault="00447423" w:rsidP="00F16E23">
            <w:pPr>
              <w:keepNext/>
              <w:jc w:val="center"/>
              <w:rPr>
                <w:rFonts w:ascii="Cambria Math" w:hAnsi="Cambria Math" w:cs="Segoe UI"/>
                <w:i/>
                <w:sz w:val="18"/>
                <w:szCs w:val="16"/>
              </w:rPr>
            </w:pPr>
            <w:r w:rsidRPr="002A3CBE">
              <w:rPr>
                <w:rFonts w:ascii="Cambria Math" w:hAnsi="Cambria Math" w:cs="Segoe UI"/>
                <w:i/>
                <w:sz w:val="18"/>
                <w:szCs w:val="16"/>
              </w:rPr>
              <w:t>________________________________________________</w:t>
            </w:r>
          </w:p>
        </w:tc>
        <w:tc>
          <w:tcPr>
            <w:tcW w:w="284" w:type="dxa"/>
            <w:vMerge/>
          </w:tcPr>
          <w:p w14:paraId="4105A7CB" w14:textId="77777777" w:rsidR="00447423" w:rsidRPr="002A3CBE" w:rsidRDefault="00447423" w:rsidP="00F16E23">
            <w:pPr>
              <w:keepNext/>
              <w:jc w:val="center"/>
              <w:rPr>
                <w:rFonts w:ascii="Cambria Math" w:hAnsi="Cambria Math" w:cs="Segoe UI"/>
                <w:i/>
                <w:sz w:val="18"/>
              </w:rPr>
            </w:pPr>
          </w:p>
        </w:tc>
        <w:tc>
          <w:tcPr>
            <w:tcW w:w="425" w:type="dxa"/>
            <w:vMerge/>
          </w:tcPr>
          <w:p w14:paraId="1102F16A" w14:textId="77777777" w:rsidR="00447423" w:rsidRPr="002A3CBE" w:rsidRDefault="00447423" w:rsidP="00F16E23">
            <w:pPr>
              <w:keepNext/>
              <w:jc w:val="center"/>
              <w:rPr>
                <w:rFonts w:ascii="Cambria Math" w:hAnsi="Cambria Math" w:cs="Segoe UI"/>
                <w:i/>
                <w:sz w:val="18"/>
              </w:rPr>
            </w:pPr>
          </w:p>
        </w:tc>
        <w:tc>
          <w:tcPr>
            <w:tcW w:w="850" w:type="dxa"/>
            <w:vMerge/>
          </w:tcPr>
          <w:p w14:paraId="38F41ABE" w14:textId="77777777" w:rsidR="00447423" w:rsidRPr="002A3CBE" w:rsidRDefault="00447423" w:rsidP="00F16E23">
            <w:pPr>
              <w:keepNext/>
              <w:jc w:val="center"/>
              <w:rPr>
                <w:rFonts w:ascii="Cambria Math" w:hAnsi="Cambria Math" w:cs="Segoe UI"/>
                <w:i/>
                <w:sz w:val="18"/>
              </w:rPr>
            </w:pPr>
          </w:p>
        </w:tc>
        <w:tc>
          <w:tcPr>
            <w:tcW w:w="426" w:type="dxa"/>
            <w:vMerge/>
          </w:tcPr>
          <w:p w14:paraId="07B2BD73" w14:textId="77777777" w:rsidR="00447423" w:rsidRPr="002A3CBE" w:rsidRDefault="00447423" w:rsidP="00F16E23">
            <w:pPr>
              <w:keepNext/>
              <w:jc w:val="center"/>
              <w:rPr>
                <w:rFonts w:ascii="Cambria Math" w:hAnsi="Cambria Math" w:cs="Segoe UI"/>
                <w:i/>
                <w:sz w:val="18"/>
              </w:rPr>
            </w:pPr>
          </w:p>
        </w:tc>
        <w:tc>
          <w:tcPr>
            <w:tcW w:w="708" w:type="dxa"/>
            <w:vMerge/>
          </w:tcPr>
          <w:p w14:paraId="6F1A90C2" w14:textId="77777777" w:rsidR="00447423" w:rsidRPr="002A3CBE" w:rsidRDefault="00447423" w:rsidP="00F16E23">
            <w:pPr>
              <w:keepNext/>
              <w:jc w:val="center"/>
              <w:rPr>
                <w:rFonts w:ascii="Cambria Math" w:hAnsi="Cambria Math" w:cs="Segoe UI"/>
                <w:i/>
                <w:sz w:val="18"/>
              </w:rPr>
            </w:pPr>
          </w:p>
        </w:tc>
      </w:tr>
      <w:tr w:rsidR="00447423" w:rsidRPr="002A3CBE" w14:paraId="0AF8A871" w14:textId="77777777" w:rsidTr="00F16E23">
        <w:trPr>
          <w:jc w:val="center"/>
        </w:trPr>
        <w:tc>
          <w:tcPr>
            <w:tcW w:w="4786" w:type="dxa"/>
            <w:gridSpan w:val="3"/>
            <w:vAlign w:val="bottom"/>
          </w:tcPr>
          <w:p w14:paraId="7E1BB7FD" w14:textId="77777777" w:rsidR="00447423" w:rsidRPr="002A3CBE" w:rsidRDefault="00447423" w:rsidP="00F16E23">
            <w:pPr>
              <w:spacing w:before="120"/>
              <w:jc w:val="center"/>
              <w:rPr>
                <w:rFonts w:ascii="Cambria Math" w:hAnsi="Cambria Math" w:cs="Segoe UI"/>
                <w:i/>
                <w:sz w:val="18"/>
              </w:rPr>
            </w:pPr>
            <w:r w:rsidRPr="002A3CBE">
              <w:rPr>
                <w:rFonts w:ascii="Cambria Math" w:hAnsi="Cambria Math" w:cs="Segoe UI"/>
                <w:i/>
                <w:sz w:val="18"/>
              </w:rPr>
              <w:t>20 years (transition period)</w:t>
            </w:r>
          </w:p>
        </w:tc>
        <w:tc>
          <w:tcPr>
            <w:tcW w:w="284" w:type="dxa"/>
            <w:vMerge/>
          </w:tcPr>
          <w:p w14:paraId="086E6857" w14:textId="77777777" w:rsidR="00447423" w:rsidRPr="002A3CBE" w:rsidRDefault="00447423" w:rsidP="00F16E23">
            <w:pPr>
              <w:jc w:val="center"/>
              <w:rPr>
                <w:rFonts w:ascii="Cambria Math" w:hAnsi="Cambria Math" w:cs="Segoe UI"/>
                <w:i/>
                <w:sz w:val="18"/>
              </w:rPr>
            </w:pPr>
          </w:p>
        </w:tc>
        <w:tc>
          <w:tcPr>
            <w:tcW w:w="425" w:type="dxa"/>
            <w:vMerge/>
          </w:tcPr>
          <w:p w14:paraId="0EA575CD" w14:textId="77777777" w:rsidR="00447423" w:rsidRPr="002A3CBE" w:rsidRDefault="00447423" w:rsidP="00F16E23">
            <w:pPr>
              <w:jc w:val="center"/>
              <w:rPr>
                <w:rFonts w:ascii="Cambria Math" w:hAnsi="Cambria Math" w:cs="Segoe UI"/>
                <w:i/>
                <w:sz w:val="18"/>
              </w:rPr>
            </w:pPr>
          </w:p>
        </w:tc>
        <w:tc>
          <w:tcPr>
            <w:tcW w:w="850" w:type="dxa"/>
            <w:vMerge/>
          </w:tcPr>
          <w:p w14:paraId="7CA4E2AE" w14:textId="77777777" w:rsidR="00447423" w:rsidRPr="002A3CBE" w:rsidRDefault="00447423" w:rsidP="00F16E23">
            <w:pPr>
              <w:jc w:val="center"/>
              <w:rPr>
                <w:rFonts w:ascii="Cambria Math" w:hAnsi="Cambria Math" w:cs="Segoe UI"/>
                <w:i/>
                <w:sz w:val="18"/>
              </w:rPr>
            </w:pPr>
          </w:p>
        </w:tc>
        <w:tc>
          <w:tcPr>
            <w:tcW w:w="426" w:type="dxa"/>
            <w:vMerge/>
          </w:tcPr>
          <w:p w14:paraId="5C9929AA" w14:textId="77777777" w:rsidR="00447423" w:rsidRPr="002A3CBE" w:rsidRDefault="00447423" w:rsidP="00F16E23">
            <w:pPr>
              <w:jc w:val="center"/>
              <w:rPr>
                <w:rFonts w:ascii="Cambria Math" w:hAnsi="Cambria Math" w:cs="Segoe UI"/>
                <w:i/>
                <w:sz w:val="18"/>
              </w:rPr>
            </w:pPr>
          </w:p>
        </w:tc>
        <w:tc>
          <w:tcPr>
            <w:tcW w:w="708" w:type="dxa"/>
            <w:vMerge/>
          </w:tcPr>
          <w:p w14:paraId="7AE053B8" w14:textId="77777777" w:rsidR="00447423" w:rsidRPr="002A3CBE" w:rsidRDefault="00447423" w:rsidP="00F16E23">
            <w:pPr>
              <w:jc w:val="center"/>
              <w:rPr>
                <w:rFonts w:ascii="Cambria Math" w:hAnsi="Cambria Math" w:cs="Segoe UI"/>
                <w:i/>
                <w:sz w:val="18"/>
              </w:rPr>
            </w:pPr>
          </w:p>
        </w:tc>
      </w:tr>
    </w:tbl>
    <w:p w14:paraId="0062AE6D" w14:textId="77777777" w:rsidR="00447423" w:rsidRPr="002A3CBE" w:rsidRDefault="00447423" w:rsidP="00447423">
      <w:pPr>
        <w:pStyle w:val="BodyText"/>
        <w:keepNext/>
        <w:spacing w:before="240"/>
      </w:pPr>
      <w:r w:rsidRPr="002A3CBE">
        <w:t>For example, the annual change in carbon stock in the first year of conversion of 100 hectares of low</w:t>
      </w:r>
      <w:r w:rsidRPr="002A3CBE">
        <w:rPr>
          <w:i/>
        </w:rPr>
        <w:t xml:space="preserve"> </w:t>
      </w:r>
      <w:r w:rsidRPr="002A3CBE">
        <w:t>producing grassland to perennial cropland would be calculated as follows:</w:t>
      </w:r>
    </w:p>
    <w:p w14:paraId="64CA47FD" w14:textId="77777777" w:rsidR="00447423" w:rsidRPr="002A3CBE" w:rsidRDefault="00447423" w:rsidP="00447423">
      <w:pPr>
        <w:pStyle w:val="BodyText"/>
        <w:keepNext/>
        <w:tabs>
          <w:tab w:val="right" w:pos="7938"/>
        </w:tabs>
        <w:spacing w:before="60" w:after="0"/>
        <w:ind w:left="851"/>
        <w:jc w:val="center"/>
        <w:rPr>
          <w:rFonts w:ascii="Cambria Math" w:hAnsi="Cambria Math"/>
          <w:i/>
          <w:iCs/>
          <w:sz w:val="20"/>
          <w:szCs w:val="20"/>
        </w:rPr>
      </w:pPr>
      <w:r w:rsidRPr="002A3CBE">
        <w:rPr>
          <w:rFonts w:ascii="Cambria Math" w:hAnsi="Cambria Math"/>
          <w:i/>
          <w:iCs/>
          <w:sz w:val="20"/>
          <w:szCs w:val="20"/>
        </w:rPr>
        <w:t xml:space="preserve">Biomass change = (–2.867 </w:t>
      </w:r>
      <w:r w:rsidRPr="002A3CBE">
        <w:rPr>
          <w:rFonts w:ascii="Cambria Math" w:hAnsi="Cambria Math"/>
          <w:i/>
          <w:iCs/>
          <w:sz w:val="16"/>
          <w:szCs w:val="20"/>
        </w:rPr>
        <w:t>×</w:t>
      </w:r>
      <w:r w:rsidRPr="002A3CBE">
        <w:rPr>
          <w:rFonts w:ascii="Cambria Math" w:hAnsi="Cambria Math"/>
          <w:i/>
          <w:iCs/>
          <w:sz w:val="20"/>
          <w:szCs w:val="20"/>
        </w:rPr>
        <w:t xml:space="preserve"> 100) + (0.67 </w:t>
      </w:r>
      <w:r w:rsidRPr="002A3CBE">
        <w:rPr>
          <w:rFonts w:ascii="Cambria Math" w:hAnsi="Cambria Math"/>
          <w:i/>
          <w:iCs/>
          <w:sz w:val="16"/>
          <w:szCs w:val="20"/>
        </w:rPr>
        <w:t>×</w:t>
      </w:r>
      <w:r w:rsidRPr="002A3CBE">
        <w:rPr>
          <w:rFonts w:ascii="Cambria Math" w:hAnsi="Cambria Math"/>
          <w:i/>
          <w:iCs/>
          <w:sz w:val="20"/>
          <w:szCs w:val="20"/>
        </w:rPr>
        <w:t xml:space="preserve"> 100) = –219.7 tonnes C</w:t>
      </w:r>
      <w:r w:rsidRPr="002A3CBE">
        <w:rPr>
          <w:i/>
          <w:iCs/>
          <w:sz w:val="20"/>
          <w:szCs w:val="20"/>
        </w:rPr>
        <w:tab/>
      </w:r>
      <w:r w:rsidRPr="002A3CBE">
        <w:rPr>
          <w:rFonts w:ascii="Cambria Math" w:hAnsi="Cambria Math"/>
          <w:i/>
          <w:iCs/>
          <w:sz w:val="20"/>
          <w:szCs w:val="20"/>
        </w:rPr>
        <w:t>(1)</w:t>
      </w:r>
    </w:p>
    <w:p w14:paraId="3F389E30" w14:textId="77777777" w:rsidR="00447423" w:rsidRPr="002A3CBE" w:rsidRDefault="00447423" w:rsidP="00447423">
      <w:pPr>
        <w:pStyle w:val="BodyText"/>
        <w:tabs>
          <w:tab w:val="right" w:pos="7938"/>
        </w:tabs>
        <w:spacing w:before="80" w:after="0"/>
        <w:ind w:left="851"/>
        <w:jc w:val="center"/>
        <w:rPr>
          <w:rFonts w:ascii="Cambria Math" w:hAnsi="Cambria Math"/>
          <w:i/>
          <w:iCs/>
          <w:sz w:val="20"/>
          <w:szCs w:val="20"/>
        </w:rPr>
      </w:pPr>
      <w:r w:rsidRPr="002A3CBE">
        <w:rPr>
          <w:rFonts w:ascii="Cambria Math" w:hAnsi="Cambria Math"/>
          <w:i/>
          <w:iCs/>
          <w:sz w:val="20"/>
          <w:szCs w:val="20"/>
        </w:rPr>
        <w:t xml:space="preserve">Mineral soil change = ((88.44 – 105.98) / 20) </w:t>
      </w:r>
      <w:r w:rsidRPr="002A3CBE">
        <w:rPr>
          <w:rFonts w:ascii="Cambria Math" w:hAnsi="Cambria Math"/>
          <w:i/>
          <w:iCs/>
          <w:sz w:val="16"/>
          <w:szCs w:val="20"/>
        </w:rPr>
        <w:t>×</w:t>
      </w:r>
      <w:r w:rsidRPr="002A3CBE">
        <w:rPr>
          <w:rFonts w:ascii="Cambria Math" w:hAnsi="Cambria Math"/>
          <w:i/>
          <w:iCs/>
          <w:sz w:val="20"/>
          <w:szCs w:val="20"/>
        </w:rPr>
        <w:t xml:space="preserve"> 100 = –87.7 tonnes C </w:t>
      </w:r>
      <w:r w:rsidRPr="002A3CBE">
        <w:rPr>
          <w:rFonts w:ascii="Cambria Math" w:hAnsi="Cambria Math"/>
          <w:i/>
          <w:iCs/>
          <w:sz w:val="20"/>
          <w:szCs w:val="20"/>
        </w:rPr>
        <w:tab/>
        <w:t>(2)</w:t>
      </w:r>
    </w:p>
    <w:p w14:paraId="7A19612A" w14:textId="77777777" w:rsidR="00447423" w:rsidRPr="002A3CBE" w:rsidRDefault="00447423" w:rsidP="00447423">
      <w:pPr>
        <w:pStyle w:val="BodyText"/>
        <w:tabs>
          <w:tab w:val="right" w:pos="7938"/>
        </w:tabs>
        <w:spacing w:before="80" w:after="0"/>
        <w:ind w:left="851"/>
        <w:jc w:val="center"/>
        <w:rPr>
          <w:rFonts w:ascii="Cambria Math" w:hAnsi="Cambria Math"/>
          <w:i/>
          <w:iCs/>
          <w:sz w:val="20"/>
          <w:szCs w:val="20"/>
        </w:rPr>
      </w:pPr>
      <w:r w:rsidRPr="002A3CBE">
        <w:rPr>
          <w:rFonts w:ascii="Cambria Math" w:hAnsi="Cambria Math"/>
          <w:i/>
          <w:iCs/>
          <w:sz w:val="20"/>
          <w:szCs w:val="20"/>
        </w:rPr>
        <w:t>Total carbon stock change = –307.4 tonnes C</w:t>
      </w:r>
    </w:p>
    <w:p w14:paraId="3AB17E45" w14:textId="77777777" w:rsidR="00447423" w:rsidRPr="002A3CBE" w:rsidRDefault="00447423" w:rsidP="00447423">
      <w:pPr>
        <w:pStyle w:val="BodyText"/>
        <w:tabs>
          <w:tab w:val="right" w:pos="7938"/>
        </w:tabs>
        <w:spacing w:before="80" w:after="0"/>
        <w:ind w:left="851"/>
        <w:jc w:val="center"/>
        <w:rPr>
          <w:rFonts w:ascii="Cambria Math" w:hAnsi="Cambria Math"/>
          <w:i/>
          <w:iCs/>
          <w:sz w:val="20"/>
          <w:szCs w:val="20"/>
        </w:rPr>
      </w:pPr>
      <w:r w:rsidRPr="002A3CBE">
        <w:rPr>
          <w:rFonts w:ascii="Cambria Math" w:hAnsi="Cambria Math"/>
          <w:i/>
          <w:iCs/>
          <w:sz w:val="20"/>
          <w:szCs w:val="20"/>
        </w:rPr>
        <w:t xml:space="preserve">Total emissions = (carbon stock change / 1,000 </w:t>
      </w:r>
      <w:r w:rsidRPr="002A3CBE">
        <w:rPr>
          <w:rFonts w:ascii="Cambria Math" w:hAnsi="Cambria Math"/>
          <w:i/>
          <w:iCs/>
          <w:sz w:val="16"/>
          <w:szCs w:val="20"/>
        </w:rPr>
        <w:t>×</w:t>
      </w:r>
      <w:r w:rsidRPr="002A3CBE">
        <w:rPr>
          <w:rFonts w:ascii="Cambria Math" w:hAnsi="Cambria Math"/>
          <w:i/>
          <w:iCs/>
          <w:sz w:val="20"/>
          <w:szCs w:val="20"/>
        </w:rPr>
        <w:t xml:space="preserve"> –1) </w:t>
      </w:r>
      <w:r w:rsidRPr="002A3CBE">
        <w:rPr>
          <w:rFonts w:ascii="Cambria Math" w:hAnsi="Cambria Math"/>
          <w:i/>
          <w:iCs/>
          <w:sz w:val="16"/>
          <w:szCs w:val="20"/>
        </w:rPr>
        <w:t>×</w:t>
      </w:r>
      <w:r w:rsidRPr="002A3CBE">
        <w:rPr>
          <w:rFonts w:ascii="Cambria Math" w:hAnsi="Cambria Math"/>
          <w:i/>
          <w:iCs/>
          <w:sz w:val="20"/>
          <w:szCs w:val="20"/>
        </w:rPr>
        <w:t xml:space="preserve"> (44/12)</w:t>
      </w:r>
    </w:p>
    <w:p w14:paraId="4645FA34" w14:textId="77777777" w:rsidR="00447423" w:rsidRPr="002A3CBE" w:rsidRDefault="00447423" w:rsidP="00447423">
      <w:pPr>
        <w:pStyle w:val="BodyText"/>
        <w:tabs>
          <w:tab w:val="right" w:pos="7938"/>
        </w:tabs>
        <w:spacing w:before="80"/>
        <w:ind w:left="851"/>
        <w:jc w:val="center"/>
        <w:rPr>
          <w:rFonts w:ascii="Cambria Math" w:hAnsi="Cambria Math"/>
          <w:i/>
          <w:iCs/>
          <w:sz w:val="20"/>
          <w:szCs w:val="20"/>
        </w:rPr>
      </w:pPr>
      <w:r w:rsidRPr="002A3CBE">
        <w:rPr>
          <w:rFonts w:ascii="Cambria Math" w:hAnsi="Cambria Math"/>
          <w:i/>
          <w:iCs/>
          <w:sz w:val="20"/>
          <w:szCs w:val="20"/>
        </w:rPr>
        <w:t>Total emissions = 1.127 kt CO</w:t>
      </w:r>
      <w:r w:rsidRPr="002A3CBE">
        <w:rPr>
          <w:rFonts w:ascii="Cambria Math" w:hAnsi="Cambria Math"/>
          <w:i/>
          <w:iCs/>
          <w:sz w:val="20"/>
          <w:szCs w:val="20"/>
          <w:vertAlign w:val="subscript"/>
        </w:rPr>
        <w:t>2</w:t>
      </w:r>
    </w:p>
    <w:p w14:paraId="059C6E44" w14:textId="77777777" w:rsidR="00447423" w:rsidRPr="002A3CBE" w:rsidRDefault="00447423" w:rsidP="00447423">
      <w:pPr>
        <w:pStyle w:val="BodyText"/>
        <w:spacing w:before="100" w:after="100"/>
      </w:pPr>
      <w:r w:rsidRPr="002A3CBE">
        <w:t xml:space="preserve">These calculations have been performed to produce estimates of annual carbon stock and carbon stock changes since 1990. </w:t>
      </w:r>
    </w:p>
    <w:p w14:paraId="5D3EE438" w14:textId="77777777" w:rsidR="00447423" w:rsidRPr="002A3CBE" w:rsidRDefault="00447423" w:rsidP="00447423">
      <w:pPr>
        <w:pStyle w:val="BodyText"/>
        <w:spacing w:before="100" w:after="100"/>
      </w:pPr>
      <w:r w:rsidRPr="002A3CBE">
        <w:t>Note: New Zealand applies the 2006 IPCC Guidelines (IPCC, 2006a) default transition period of 20 years. The area of all land use categories is reported in the conversion status for 20 years, after which it is reported in the land remaining land categories.</w:t>
      </w:r>
    </w:p>
    <w:p w14:paraId="50C6170D" w14:textId="77777777" w:rsidR="00447423" w:rsidRPr="002A3CBE" w:rsidRDefault="00447423" w:rsidP="00447423">
      <w:pPr>
        <w:pStyle w:val="Heading4"/>
        <w:spacing w:before="200"/>
      </w:pPr>
      <w:bookmarkStart w:id="1686" w:name="_Toc280630208"/>
      <w:bookmarkStart w:id="1687" w:name="_Toc255466297"/>
      <w:bookmarkStart w:id="1688" w:name="_Toc261513104"/>
      <w:bookmarkStart w:id="1689" w:name="_Toc261513717"/>
      <w:r w:rsidRPr="002A3CBE">
        <w:t>New Zealand Land Use and Carbon Analysis System</w:t>
      </w:r>
      <w:bookmarkEnd w:id="1686"/>
    </w:p>
    <w:p w14:paraId="5A6F3E57" w14:textId="77777777" w:rsidR="00447423" w:rsidRPr="002A3CBE" w:rsidRDefault="00447423" w:rsidP="00447423">
      <w:pPr>
        <w:pStyle w:val="BodyText"/>
        <w:spacing w:before="100" w:after="100"/>
      </w:pPr>
      <w:r w:rsidRPr="002A3CBE">
        <w:t>New Zealand’s LULUCF estimates are calculated using a programme of data collection and modelling called the Land Use and Carbon Analysis System (LUCAS)</w:t>
      </w:r>
      <w:r w:rsidRPr="002A3CBE">
        <w:rPr>
          <w:color w:val="000000" w:themeColor="text1"/>
        </w:rPr>
        <w:t>.</w:t>
      </w:r>
      <w:r w:rsidRPr="002A3CBE">
        <w:t xml:space="preserve"> This data management system stores, manages and retrieves data for international greenhouse gas reporting for the LULUCF sector. Further details on LUCAS, as well as the databases and applications it draws on, are provided in volume 2, annex 5, section A5.2.9. </w:t>
      </w:r>
      <w:bookmarkEnd w:id="1687"/>
      <w:bookmarkEnd w:id="1688"/>
      <w:bookmarkEnd w:id="1689"/>
    </w:p>
    <w:p w14:paraId="78B769AB" w14:textId="77777777" w:rsidR="00447423" w:rsidRPr="002A3CBE" w:rsidRDefault="00447423" w:rsidP="00447423">
      <w:pPr>
        <w:pStyle w:val="Heading3"/>
        <w:spacing w:before="240"/>
      </w:pPr>
      <w:bookmarkStart w:id="1690" w:name="_Toc280630220"/>
      <w:r w:rsidRPr="002A3CBE">
        <w:t>6.1.3</w:t>
      </w:r>
      <w:r w:rsidRPr="002A3CBE">
        <w:tab/>
        <w:t>Uncertainties in LULUCF</w:t>
      </w:r>
      <w:bookmarkEnd w:id="1690"/>
    </w:p>
    <w:p w14:paraId="2F5DABB3" w14:textId="77777777" w:rsidR="00447423" w:rsidRPr="002A3CBE" w:rsidRDefault="00447423" w:rsidP="00447423">
      <w:pPr>
        <w:pStyle w:val="BodyText"/>
        <w:spacing w:before="100" w:after="100"/>
      </w:pPr>
      <w:r w:rsidRPr="002A3CBE">
        <w:t>Uncertainty for the LULUCF sector has been calculated as 58.6 percent using the Approach 1 – propagation of error method as specified in volume 1, chapter 3 of the 2006 IPCC General Guidance and Reporting (IPCC, 2006b). These uncertainties incorporate natural variability, measurement error and model prediction error. Given this uncertainty, net emissions from the LULUCF sector could range from -8,682.6 kt CO</w:t>
      </w:r>
      <w:r w:rsidRPr="002A3CBE">
        <w:rPr>
          <w:vertAlign w:val="subscript"/>
        </w:rPr>
        <w:t>2</w:t>
      </w:r>
      <w:r w:rsidRPr="002A3CBE">
        <w:t>e</w:t>
      </w:r>
      <w:r w:rsidRPr="002A3CBE" w:rsidDel="00643905">
        <w:t xml:space="preserve"> </w:t>
      </w:r>
      <w:r w:rsidRPr="002A3CBE">
        <w:t>to -33,272.4 kt CO</w:t>
      </w:r>
      <w:r w:rsidRPr="002A3CBE">
        <w:rPr>
          <w:vertAlign w:val="subscript"/>
        </w:rPr>
        <w:t>2</w:t>
      </w:r>
      <w:r w:rsidRPr="002A3CBE">
        <w:t>e</w:t>
      </w:r>
      <w:r w:rsidRPr="002A3CBE" w:rsidDel="00643905">
        <w:t>.</w:t>
      </w:r>
      <w:r w:rsidRPr="002A3CBE">
        <w:t xml:space="preserve"> Table 6.1.6 shows the three land use categories within the LULUCF sector that make the greatest contribution to uncertainty in the net carbon emissions for the sector. These are given in descending order. </w:t>
      </w:r>
    </w:p>
    <w:p w14:paraId="3790BF21" w14:textId="77777777" w:rsidR="00447423" w:rsidRPr="002A3CBE" w:rsidRDefault="00447423" w:rsidP="00447423">
      <w:pPr>
        <w:pStyle w:val="Table"/>
      </w:pPr>
      <w:bookmarkStart w:id="1691" w:name="_Toc310423396"/>
      <w:bookmarkStart w:id="1692" w:name="_Toc318362689"/>
      <w:bookmarkStart w:id="1693" w:name="_Toc342470751"/>
      <w:bookmarkStart w:id="1694" w:name="_Toc352504991"/>
      <w:bookmarkStart w:id="1695" w:name="_Toc378853277"/>
      <w:bookmarkStart w:id="1696" w:name="_Toc391024075"/>
      <w:bookmarkStart w:id="1697" w:name="_Toc410028818"/>
      <w:bookmarkStart w:id="1698" w:name="_Toc414531446"/>
      <w:bookmarkStart w:id="1699" w:name="_Toc443645359"/>
      <w:bookmarkStart w:id="1700" w:name="_Toc474914578"/>
      <w:bookmarkStart w:id="1701" w:name="_Toc481751542"/>
      <w:bookmarkStart w:id="1702" w:name="_Toc522010599"/>
      <w:bookmarkStart w:id="1703" w:name="_Toc5269504"/>
      <w:bookmarkStart w:id="1704" w:name="_Toc33529380"/>
      <w:bookmarkStart w:id="1705" w:name="_Toc36224586"/>
      <w:bookmarkStart w:id="1706" w:name="_Toc65243581"/>
      <w:bookmarkStart w:id="1707" w:name="_Toc131591385"/>
      <w:bookmarkStart w:id="1708" w:name="_Toc158979943"/>
      <w:bookmarkStart w:id="1709" w:name="_Toc164153876"/>
      <w:bookmarkStart w:id="1710" w:name="_Toc190873110"/>
      <w:bookmarkStart w:id="1711" w:name="_Toc194241749"/>
      <w:bookmarkStart w:id="1712" w:name="_Toc222837898"/>
      <w:bookmarkStart w:id="1713" w:name="_Toc226669044"/>
      <w:r w:rsidRPr="002A3CBE">
        <w:t>Table 6.1.6</w:t>
      </w:r>
      <w:r w:rsidRPr="002A3CBE">
        <w:tab/>
        <w:t>Land use categories making the greatest contribution to uncertainty in the LULUCF sector</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4678"/>
        <w:gridCol w:w="3827"/>
      </w:tblGrid>
      <w:tr w:rsidR="00447423" w:rsidRPr="002A3CBE" w14:paraId="4A936477" w14:textId="77777777" w:rsidTr="00F16E23">
        <w:tc>
          <w:tcPr>
            <w:tcW w:w="4678" w:type="dxa"/>
            <w:shd w:val="clear" w:color="auto" w:fill="1B556B" w:themeFill="text2"/>
            <w:noWrap/>
            <w:vAlign w:val="bottom"/>
            <w:hideMark/>
          </w:tcPr>
          <w:p w14:paraId="47012B4E" w14:textId="77777777" w:rsidR="00447423" w:rsidRPr="002A3CBE" w:rsidRDefault="00447423" w:rsidP="00F16E23">
            <w:pPr>
              <w:pStyle w:val="TableTextBold"/>
              <w:keepNext/>
              <w:spacing w:before="40" w:after="40"/>
              <w:rPr>
                <w:rFonts w:eastAsia="Arial Bold"/>
                <w:noProof w:val="0"/>
                <w:color w:val="FFFFFF"/>
              </w:rPr>
            </w:pPr>
            <w:r w:rsidRPr="002A3CBE">
              <w:rPr>
                <w:rFonts w:eastAsia="Arial Bold"/>
                <w:noProof w:val="0"/>
                <w:color w:val="FFFFFF"/>
              </w:rPr>
              <w:t>Land use category</w:t>
            </w:r>
          </w:p>
        </w:tc>
        <w:tc>
          <w:tcPr>
            <w:tcW w:w="3827" w:type="dxa"/>
            <w:shd w:val="clear" w:color="auto" w:fill="1B556B" w:themeFill="text2"/>
            <w:noWrap/>
            <w:vAlign w:val="bottom"/>
            <w:hideMark/>
          </w:tcPr>
          <w:p w14:paraId="12E732C5" w14:textId="77777777" w:rsidR="00447423" w:rsidRPr="002A3CBE" w:rsidRDefault="00447423" w:rsidP="00F16E23">
            <w:pPr>
              <w:pStyle w:val="TableTextBold"/>
              <w:keepNext/>
              <w:spacing w:before="40" w:after="40"/>
              <w:jc w:val="right"/>
              <w:rPr>
                <w:rFonts w:eastAsia="Arial Bold"/>
                <w:noProof w:val="0"/>
                <w:color w:val="FFFFFF"/>
              </w:rPr>
            </w:pPr>
            <w:r w:rsidRPr="002A3CBE">
              <w:rPr>
                <w:rFonts w:eastAsia="Arial Bold"/>
                <w:noProof w:val="0"/>
                <w:color w:val="FFFFFF"/>
              </w:rPr>
              <w:t>Uncertainty introduced into emissions for LULUCF (%)</w:t>
            </w:r>
          </w:p>
        </w:tc>
      </w:tr>
      <w:tr w:rsidR="00447423" w:rsidRPr="002A3CBE" w14:paraId="5529B6AB" w14:textId="77777777" w:rsidTr="00F16E23">
        <w:tc>
          <w:tcPr>
            <w:tcW w:w="4678" w:type="dxa"/>
            <w:noWrap/>
            <w:hideMark/>
          </w:tcPr>
          <w:p w14:paraId="13820C37" w14:textId="77777777" w:rsidR="00447423" w:rsidRPr="002A3CBE" w:rsidRDefault="00447423" w:rsidP="00F16E23">
            <w:pPr>
              <w:pStyle w:val="TableText"/>
              <w:keepNext/>
              <w:spacing w:before="40" w:after="40"/>
              <w:rPr>
                <w:rFonts w:eastAsia="Arial Bold"/>
              </w:rPr>
            </w:pPr>
            <w:r w:rsidRPr="002A3CBE">
              <w:rPr>
                <w:rFonts w:eastAsia="Arial Bold"/>
              </w:rPr>
              <w:t>Pre-1990 planted forest</w:t>
            </w:r>
          </w:p>
        </w:tc>
        <w:tc>
          <w:tcPr>
            <w:tcW w:w="3827" w:type="dxa"/>
            <w:noWrap/>
            <w:hideMark/>
          </w:tcPr>
          <w:p w14:paraId="7F1B4B6E" w14:textId="77777777" w:rsidR="00447423" w:rsidRPr="002A3CBE" w:rsidRDefault="00447423" w:rsidP="00F16E23">
            <w:pPr>
              <w:pStyle w:val="TableText"/>
              <w:spacing w:before="40" w:after="40"/>
              <w:jc w:val="right"/>
              <w:rPr>
                <w:rFonts w:eastAsia="Arial Bold"/>
              </w:rPr>
            </w:pPr>
            <w:r w:rsidRPr="002A3CBE">
              <w:t>± 46.1</w:t>
            </w:r>
          </w:p>
        </w:tc>
      </w:tr>
      <w:tr w:rsidR="00447423" w:rsidRPr="002A3CBE" w14:paraId="7E385124" w14:textId="77777777" w:rsidTr="00F16E23">
        <w:tc>
          <w:tcPr>
            <w:tcW w:w="4678" w:type="dxa"/>
            <w:noWrap/>
            <w:hideMark/>
          </w:tcPr>
          <w:p w14:paraId="3C5193C4" w14:textId="77777777" w:rsidR="00447423" w:rsidRPr="002A3CBE" w:rsidRDefault="00447423" w:rsidP="00F16E23">
            <w:pPr>
              <w:pStyle w:val="TableText"/>
              <w:keepNext/>
              <w:spacing w:before="40" w:after="40"/>
              <w:rPr>
                <w:rFonts w:eastAsia="Arial Bold"/>
              </w:rPr>
            </w:pPr>
            <w:r w:rsidRPr="002A3CBE">
              <w:rPr>
                <w:rFonts w:eastAsia="Arial Bold"/>
              </w:rPr>
              <w:t>Post-1989 planted forest</w:t>
            </w:r>
          </w:p>
        </w:tc>
        <w:tc>
          <w:tcPr>
            <w:tcW w:w="3827" w:type="dxa"/>
            <w:noWrap/>
            <w:hideMark/>
          </w:tcPr>
          <w:p w14:paraId="209E9149" w14:textId="77777777" w:rsidR="00447423" w:rsidRPr="002A3CBE" w:rsidRDefault="00447423" w:rsidP="00F16E23">
            <w:pPr>
              <w:pStyle w:val="TableText"/>
              <w:spacing w:before="40" w:after="40"/>
              <w:jc w:val="right"/>
              <w:rPr>
                <w:rFonts w:eastAsia="Arial Bold"/>
              </w:rPr>
            </w:pPr>
            <w:r w:rsidRPr="002A3CBE">
              <w:t>± 25.5</w:t>
            </w:r>
          </w:p>
        </w:tc>
      </w:tr>
      <w:tr w:rsidR="00447423" w:rsidRPr="002A3CBE" w14:paraId="0953A8FD" w14:textId="77777777" w:rsidTr="00F16E23">
        <w:tc>
          <w:tcPr>
            <w:tcW w:w="4678" w:type="dxa"/>
            <w:noWrap/>
            <w:hideMark/>
          </w:tcPr>
          <w:p w14:paraId="518DD80D" w14:textId="77777777" w:rsidR="00447423" w:rsidRPr="002A3CBE" w:rsidRDefault="00447423" w:rsidP="00F16E23">
            <w:pPr>
              <w:pStyle w:val="TableText"/>
              <w:spacing w:before="40" w:after="40"/>
              <w:rPr>
                <w:rFonts w:eastAsia="Arial Bold"/>
              </w:rPr>
            </w:pPr>
            <w:r w:rsidRPr="002A3CBE">
              <w:rPr>
                <w:rFonts w:eastAsia="Arial Bold"/>
              </w:rPr>
              <w:t>Harvested wood products</w:t>
            </w:r>
          </w:p>
        </w:tc>
        <w:tc>
          <w:tcPr>
            <w:tcW w:w="3827" w:type="dxa"/>
            <w:noWrap/>
            <w:hideMark/>
          </w:tcPr>
          <w:p w14:paraId="49A63BDF" w14:textId="77777777" w:rsidR="00447423" w:rsidRPr="002A3CBE" w:rsidRDefault="00447423" w:rsidP="00F16E23">
            <w:pPr>
              <w:pStyle w:val="TableText"/>
              <w:spacing w:before="40" w:after="40"/>
              <w:jc w:val="right"/>
              <w:rPr>
                <w:rFonts w:eastAsia="Arial Bold"/>
              </w:rPr>
            </w:pPr>
            <w:r w:rsidRPr="002A3CBE">
              <w:t>± 17.3</w:t>
            </w:r>
          </w:p>
        </w:tc>
      </w:tr>
    </w:tbl>
    <w:p w14:paraId="6986B69E" w14:textId="77777777" w:rsidR="00447423" w:rsidRPr="002A3CBE" w:rsidRDefault="00447423" w:rsidP="00447423">
      <w:pPr>
        <w:pStyle w:val="BodyText"/>
        <w:spacing w:before="240" w:after="100"/>
      </w:pPr>
      <w:r w:rsidRPr="002A3CBE">
        <w:t>The greatest contribution of uncertainty to the LULUCF sector arises from pre-1990 planted forest in the</w:t>
      </w:r>
      <w:r w:rsidRPr="002A3CBE">
        <w:rPr>
          <w:i/>
        </w:rPr>
        <w:t xml:space="preserve"> Forest land </w:t>
      </w:r>
      <w:r w:rsidRPr="002A3CBE">
        <w:t>category</w:t>
      </w:r>
      <w:r w:rsidRPr="002A3CBE">
        <w:rPr>
          <w:i/>
        </w:rPr>
        <w:t>.</w:t>
      </w:r>
      <w:r w:rsidRPr="002A3CBE">
        <w:t xml:space="preserve"> The age structure of the pre-1990 planted forest estate results in large removals from growth and large emissions from harvesting. The uncertainty is calculated by combining the uncertainty of both the emissions from harvest and those from forest growth. This results in a high uncertainty relative to the net emissions estimate from both the carbon gains and losses. </w:t>
      </w:r>
    </w:p>
    <w:p w14:paraId="7018BAE4" w14:textId="77777777" w:rsidR="00447423" w:rsidRPr="002A3CBE" w:rsidRDefault="00447423" w:rsidP="00447423">
      <w:pPr>
        <w:pStyle w:val="BodyText"/>
        <w:spacing w:before="100" w:after="100"/>
      </w:pPr>
      <w:r w:rsidRPr="002A3CBE">
        <w:t>The second-greatest contribution of uncertainty to the LULUCF sector comes from the post-1989 planted forest in the</w:t>
      </w:r>
      <w:r w:rsidRPr="002A3CBE">
        <w:rPr>
          <w:i/>
        </w:rPr>
        <w:t xml:space="preserve"> Forest land </w:t>
      </w:r>
      <w:r w:rsidRPr="002A3CBE">
        <w:t xml:space="preserve">category. The age structure of the post-1989 planted forest estate also results in large removals from growth and large emissions from harvesting. Because </w:t>
      </w:r>
      <w:r w:rsidRPr="002A3CBE">
        <w:rPr>
          <w:spacing w:val="-2"/>
        </w:rPr>
        <w:t>of the</w:t>
      </w:r>
      <w:r w:rsidRPr="002A3CBE" w:rsidDel="00F81B1B">
        <w:rPr>
          <w:spacing w:val="-2"/>
        </w:rPr>
        <w:t xml:space="preserve"> </w:t>
      </w:r>
      <w:r w:rsidRPr="002A3CBE">
        <w:rPr>
          <w:spacing w:val="-2"/>
        </w:rPr>
        <w:t>uncertainty in these two factors, combined with the large scale of emissions and removals i</w:t>
      </w:r>
      <w:r w:rsidRPr="002A3CBE">
        <w:t>n this category,</w:t>
      </w:r>
      <w:r w:rsidRPr="002A3CBE" w:rsidDel="00F81B1B">
        <w:t xml:space="preserve"> </w:t>
      </w:r>
      <w:r w:rsidRPr="002A3CBE">
        <w:t xml:space="preserve">post-1989 planted forest makes a high contribution to uncertainty in the LULUCF sector. </w:t>
      </w:r>
    </w:p>
    <w:p w14:paraId="7FC6A174" w14:textId="77777777" w:rsidR="00447423" w:rsidRPr="002A3CBE" w:rsidRDefault="00447423" w:rsidP="00447423">
      <w:pPr>
        <w:pStyle w:val="BodyText"/>
      </w:pPr>
      <w:r w:rsidRPr="002A3CBE">
        <w:rPr>
          <w:iCs/>
        </w:rPr>
        <w:t xml:space="preserve">The </w:t>
      </w:r>
      <w:r w:rsidRPr="002A3CBE">
        <w:rPr>
          <w:i/>
        </w:rPr>
        <w:t>Harvested wood products</w:t>
      </w:r>
      <w:r w:rsidRPr="002A3CBE">
        <w:t xml:space="preserve"> category provides the third-greatest contribution to uncertainty in the LULUCF sector. This is driven by large removals in the category and relatively high uncertainty associated with the end-use and discard rates of New Zealand wood (±68.2 percent).</w:t>
      </w:r>
    </w:p>
    <w:p w14:paraId="022CDD40" w14:textId="77777777" w:rsidR="00447423" w:rsidRPr="002A3CBE" w:rsidRDefault="00447423" w:rsidP="00447423">
      <w:pPr>
        <w:pStyle w:val="BodyText"/>
      </w:pPr>
      <w:r w:rsidRPr="002A3CBE">
        <w:t>Further information on uncertainties and the reasons for their relative contributions to the LULUCF sector, as well as details on emission factor and activity data uncertainties for specific land uses and non-CO</w:t>
      </w:r>
      <w:r w:rsidRPr="002A3CBE">
        <w:rPr>
          <w:vertAlign w:val="subscript"/>
        </w:rPr>
        <w:t>2</w:t>
      </w:r>
      <w:r w:rsidRPr="002A3CBE">
        <w:t xml:space="preserve"> emissions, are given within the relevant category sections of this chapter. </w:t>
      </w:r>
    </w:p>
    <w:p w14:paraId="0E308857" w14:textId="77777777" w:rsidR="00447423" w:rsidRPr="002A3CBE" w:rsidRDefault="00447423" w:rsidP="00447423">
      <w:pPr>
        <w:pStyle w:val="Heading3"/>
        <w:spacing w:before="280"/>
      </w:pPr>
      <w:bookmarkStart w:id="1714" w:name="_Toc280630221"/>
      <w:r w:rsidRPr="002A3CBE">
        <w:t>6.1.4</w:t>
      </w:r>
      <w:r w:rsidRPr="002A3CBE">
        <w:tab/>
        <w:t>Recalculations in LULUCF</w:t>
      </w:r>
      <w:bookmarkEnd w:id="1714"/>
    </w:p>
    <w:p w14:paraId="76EB2BE6" w14:textId="77777777" w:rsidR="00447423" w:rsidRPr="002A3CBE" w:rsidRDefault="00447423" w:rsidP="00447423">
      <w:pPr>
        <w:pStyle w:val="BodyText"/>
      </w:pPr>
      <w:r w:rsidRPr="002A3CBE">
        <w:t xml:space="preserve">For the 2026 submission, New Zealand has recalculated its emissions estimates for the LULUCF sector from 1990 to 2023. The recalculations incorporate new activity data in the forest category for permanent forest area and areas of deforestation, improvement of harvest age modelling, and new country-specific emissions in the </w:t>
      </w:r>
      <w:r w:rsidRPr="002A3CBE">
        <w:rPr>
          <w:i/>
          <w:iCs/>
        </w:rPr>
        <w:t>Grassland</w:t>
      </w:r>
      <w:r w:rsidRPr="002A3CBE">
        <w:t xml:space="preserve"> category to replace default values. These recalculations have improved the accuracy, consistency and completeness of the LULUCF estimates.</w:t>
      </w:r>
    </w:p>
    <w:p w14:paraId="37001389" w14:textId="77777777" w:rsidR="00447423" w:rsidRPr="002A3CBE" w:rsidRDefault="00447423" w:rsidP="00447423">
      <w:pPr>
        <w:pStyle w:val="BodyText"/>
      </w:pPr>
      <w:r w:rsidRPr="002A3CBE">
        <w:t xml:space="preserve">As a result of the recalculations, estimates of net emissions </w:t>
      </w:r>
      <w:r w:rsidRPr="002A3CBE">
        <w:rPr>
          <w:spacing w:val="-2"/>
        </w:rPr>
        <w:t>in 2023 have increased by 1.1 percent (table 6.1.7). The impact of these recalculations on net CO</w:t>
      </w:r>
      <w:r w:rsidRPr="002A3CBE">
        <w:rPr>
          <w:spacing w:val="-2"/>
          <w:vertAlign w:val="subscript"/>
        </w:rPr>
        <w:t>2</w:t>
      </w:r>
      <w:r w:rsidRPr="002A3CBE">
        <w:rPr>
          <w:spacing w:val="-2"/>
        </w:rPr>
        <w:t>e emissions in each land use category is provided in table 6.1.8</w:t>
      </w:r>
      <w:r w:rsidRPr="002A3CBE">
        <w:t xml:space="preserve">. </w:t>
      </w:r>
    </w:p>
    <w:p w14:paraId="18FA47B6" w14:textId="77777777" w:rsidR="00447423" w:rsidRPr="002A3CBE" w:rsidRDefault="00447423" w:rsidP="00447423">
      <w:pPr>
        <w:pStyle w:val="Table"/>
      </w:pPr>
      <w:bookmarkStart w:id="1715" w:name="_Toc310423397"/>
      <w:bookmarkStart w:id="1716" w:name="_Toc318362690"/>
      <w:bookmarkStart w:id="1717" w:name="_Toc342470752"/>
      <w:bookmarkStart w:id="1718" w:name="_Toc352504992"/>
      <w:bookmarkStart w:id="1719" w:name="_Toc378853278"/>
      <w:bookmarkStart w:id="1720" w:name="_Toc391024076"/>
      <w:bookmarkStart w:id="1721" w:name="_Toc410028819"/>
      <w:bookmarkStart w:id="1722" w:name="_Toc414531447"/>
      <w:bookmarkStart w:id="1723" w:name="_Toc443645360"/>
      <w:bookmarkStart w:id="1724" w:name="_Toc474914579"/>
      <w:bookmarkStart w:id="1725" w:name="_Toc481751543"/>
      <w:bookmarkStart w:id="1726" w:name="_Toc522010600"/>
      <w:bookmarkStart w:id="1727" w:name="_Toc5269505"/>
      <w:bookmarkStart w:id="1728" w:name="_Toc33529381"/>
      <w:bookmarkStart w:id="1729" w:name="_Toc36224587"/>
      <w:bookmarkStart w:id="1730" w:name="_Toc65243582"/>
      <w:bookmarkStart w:id="1731" w:name="_Toc131591386"/>
      <w:bookmarkStart w:id="1732" w:name="_Toc158979944"/>
      <w:bookmarkStart w:id="1733" w:name="_Toc164153877"/>
      <w:bookmarkStart w:id="1734" w:name="_Toc190873111"/>
      <w:bookmarkStart w:id="1735" w:name="_Toc194241750"/>
      <w:bookmarkStart w:id="1736" w:name="_Toc222837899"/>
      <w:bookmarkStart w:id="1737" w:name="_Toc226669045"/>
      <w:r w:rsidRPr="002A3CBE">
        <w:t>Table 6.1.7</w:t>
      </w:r>
      <w:r w:rsidRPr="002A3CBE">
        <w:tab/>
        <w:t>Recalculations to New Zealand’s total net LULUCF emissions</w:t>
      </w:r>
      <w:bookmarkEnd w:id="1715"/>
      <w:bookmarkEnd w:id="1716"/>
      <w:bookmarkEnd w:id="1717"/>
      <w:bookmarkEnd w:id="1718"/>
      <w:bookmarkEnd w:id="1719"/>
      <w:r w:rsidRPr="002A3CBE">
        <w:t xml:space="preserve"> for 1990 and</w:t>
      </w:r>
      <w:bookmarkEnd w:id="1720"/>
      <w:r w:rsidRPr="002A3CBE">
        <w:t> </w:t>
      </w:r>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r w:rsidRPr="002A3CBE">
        <w:t>2023</w:t>
      </w:r>
      <w:bookmarkEnd w:id="1736"/>
      <w:bookmarkEnd w:id="1737"/>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410"/>
        <w:gridCol w:w="1559"/>
        <w:gridCol w:w="1701"/>
        <w:gridCol w:w="1418"/>
        <w:gridCol w:w="1417"/>
      </w:tblGrid>
      <w:tr w:rsidR="00447423" w:rsidRPr="002A3CBE" w14:paraId="69D641A1" w14:textId="77777777" w:rsidTr="00F16E23">
        <w:trPr>
          <w:tblHeader/>
        </w:trPr>
        <w:tc>
          <w:tcPr>
            <w:tcW w:w="2410" w:type="dxa"/>
            <w:shd w:val="clear" w:color="auto" w:fill="1B556B"/>
            <w:tcMar>
              <w:top w:w="0" w:type="dxa"/>
              <w:left w:w="85" w:type="dxa"/>
              <w:bottom w:w="0" w:type="dxa"/>
              <w:right w:w="85" w:type="dxa"/>
            </w:tcMar>
            <w:vAlign w:val="center"/>
          </w:tcPr>
          <w:p w14:paraId="549DDBE5" w14:textId="77777777" w:rsidR="00447423" w:rsidRPr="002A3CBE" w:rsidRDefault="00447423" w:rsidP="00F16E23">
            <w:pPr>
              <w:pStyle w:val="TableTextBold"/>
              <w:spacing w:before="40" w:after="0"/>
              <w:jc w:val="center"/>
              <w:rPr>
                <w:rFonts w:eastAsia="Calibri"/>
                <w:noProof w:val="0"/>
                <w:color w:val="FFFFFF" w:themeColor="background1"/>
              </w:rPr>
            </w:pPr>
          </w:p>
        </w:tc>
        <w:tc>
          <w:tcPr>
            <w:tcW w:w="3260" w:type="dxa"/>
            <w:gridSpan w:val="2"/>
            <w:shd w:val="clear" w:color="auto" w:fill="1B556B"/>
            <w:tcMar>
              <w:top w:w="0" w:type="dxa"/>
              <w:left w:w="85" w:type="dxa"/>
              <w:bottom w:w="0" w:type="dxa"/>
              <w:right w:w="85" w:type="dxa"/>
            </w:tcMar>
            <w:vAlign w:val="center"/>
          </w:tcPr>
          <w:p w14:paraId="4709C4AC" w14:textId="77777777" w:rsidR="00447423" w:rsidRPr="002A3CBE" w:rsidRDefault="00447423" w:rsidP="00F16E23">
            <w:pPr>
              <w:pStyle w:val="TableTextBold"/>
              <w:spacing w:before="40" w:after="0"/>
              <w:ind w:left="202"/>
              <w:jc w:val="center"/>
              <w:rPr>
                <w:rFonts w:eastAsia="Calibri"/>
                <w:noProof w:val="0"/>
                <w:color w:val="FFFFFF" w:themeColor="background1"/>
              </w:rPr>
            </w:pPr>
            <w:r w:rsidRPr="002A3CBE">
              <w:rPr>
                <w:rFonts w:eastAsia="Calibri"/>
                <w:noProof w:val="0"/>
                <w:color w:val="FFFFFF" w:themeColor="background1"/>
              </w:rPr>
              <w:t>Reported net emissions (kt CO₂e)</w:t>
            </w:r>
          </w:p>
        </w:tc>
        <w:tc>
          <w:tcPr>
            <w:tcW w:w="2835" w:type="dxa"/>
            <w:gridSpan w:val="2"/>
            <w:shd w:val="clear" w:color="auto" w:fill="1B556B"/>
            <w:tcMar>
              <w:top w:w="0" w:type="dxa"/>
              <w:left w:w="85" w:type="dxa"/>
              <w:bottom w:w="0" w:type="dxa"/>
              <w:right w:w="85" w:type="dxa"/>
            </w:tcMar>
            <w:vAlign w:val="center"/>
          </w:tcPr>
          <w:p w14:paraId="5CCAC436" w14:textId="77777777" w:rsidR="00447423" w:rsidRPr="002A3CBE" w:rsidRDefault="00447423" w:rsidP="00F16E23">
            <w:pPr>
              <w:pStyle w:val="TableTextBold"/>
              <w:spacing w:before="40" w:after="0"/>
              <w:ind w:left="486"/>
              <w:jc w:val="center"/>
              <w:rPr>
                <w:rFonts w:eastAsia="Calibri"/>
                <w:noProof w:val="0"/>
                <w:color w:val="FFFFFF" w:themeColor="background1"/>
              </w:rPr>
            </w:pPr>
            <w:r w:rsidRPr="002A3CBE">
              <w:rPr>
                <w:rFonts w:eastAsia="Calibri"/>
                <w:noProof w:val="0"/>
                <w:color w:val="FFFFFF" w:themeColor="background1"/>
              </w:rPr>
              <w:t>Change in estimate</w:t>
            </w:r>
          </w:p>
        </w:tc>
      </w:tr>
      <w:tr w:rsidR="00447423" w:rsidRPr="002A3CBE" w14:paraId="786EFABE" w14:textId="77777777" w:rsidTr="00F16E23">
        <w:trPr>
          <w:tblHeader/>
        </w:trPr>
        <w:tc>
          <w:tcPr>
            <w:tcW w:w="2410" w:type="dxa"/>
            <w:shd w:val="clear" w:color="auto" w:fill="1B556B"/>
            <w:tcMar>
              <w:top w:w="0" w:type="dxa"/>
              <w:left w:w="85" w:type="dxa"/>
              <w:bottom w:w="0" w:type="dxa"/>
              <w:right w:w="85" w:type="dxa"/>
            </w:tcMar>
            <w:vAlign w:val="center"/>
          </w:tcPr>
          <w:p w14:paraId="5BA09A8C"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Year</w:t>
            </w:r>
          </w:p>
        </w:tc>
        <w:tc>
          <w:tcPr>
            <w:tcW w:w="1559" w:type="dxa"/>
            <w:shd w:val="clear" w:color="auto" w:fill="1B556B"/>
            <w:tcMar>
              <w:top w:w="0" w:type="dxa"/>
              <w:left w:w="85" w:type="dxa"/>
              <w:bottom w:w="0" w:type="dxa"/>
              <w:right w:w="85" w:type="dxa"/>
            </w:tcMar>
            <w:vAlign w:val="center"/>
          </w:tcPr>
          <w:p w14:paraId="3B55DDA1"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2025 submission</w:t>
            </w:r>
          </w:p>
        </w:tc>
        <w:tc>
          <w:tcPr>
            <w:tcW w:w="1701" w:type="dxa"/>
            <w:shd w:val="clear" w:color="auto" w:fill="1B556B"/>
            <w:tcMar>
              <w:top w:w="0" w:type="dxa"/>
              <w:left w:w="85" w:type="dxa"/>
              <w:bottom w:w="0" w:type="dxa"/>
              <w:right w:w="85" w:type="dxa"/>
            </w:tcMar>
            <w:vAlign w:val="center"/>
          </w:tcPr>
          <w:p w14:paraId="68242B20"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2026 submission</w:t>
            </w:r>
          </w:p>
        </w:tc>
        <w:tc>
          <w:tcPr>
            <w:tcW w:w="1418" w:type="dxa"/>
            <w:shd w:val="clear" w:color="auto" w:fill="1B556B"/>
            <w:tcMar>
              <w:top w:w="0" w:type="dxa"/>
              <w:left w:w="85" w:type="dxa"/>
              <w:bottom w:w="0" w:type="dxa"/>
              <w:right w:w="85" w:type="dxa"/>
            </w:tcMar>
            <w:vAlign w:val="center"/>
          </w:tcPr>
          <w:p w14:paraId="4E9748F6"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(kt CO</w:t>
            </w:r>
            <w:r w:rsidRPr="002A3CBE">
              <w:rPr>
                <w:rFonts w:eastAsia="Calibri"/>
                <w:noProof w:val="0"/>
                <w:color w:val="FFFFFF" w:themeColor="background1"/>
                <w:vertAlign w:val="subscript"/>
              </w:rPr>
              <w:t>2</w:t>
            </w:r>
            <w:r w:rsidRPr="002A3CBE">
              <w:rPr>
                <w:rFonts w:eastAsia="Calibri"/>
                <w:noProof w:val="0"/>
                <w:color w:val="FFFFFF" w:themeColor="background1"/>
              </w:rPr>
              <w:t>e)</w:t>
            </w:r>
          </w:p>
        </w:tc>
        <w:tc>
          <w:tcPr>
            <w:tcW w:w="1417" w:type="dxa"/>
            <w:shd w:val="clear" w:color="auto" w:fill="1B556B"/>
            <w:tcMar>
              <w:top w:w="0" w:type="dxa"/>
              <w:left w:w="85" w:type="dxa"/>
              <w:bottom w:w="0" w:type="dxa"/>
              <w:right w:w="85" w:type="dxa"/>
            </w:tcMar>
            <w:vAlign w:val="center"/>
          </w:tcPr>
          <w:p w14:paraId="1CD6D325"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w:t>
            </w:r>
          </w:p>
        </w:tc>
      </w:tr>
      <w:tr w:rsidR="00447423" w:rsidRPr="002A3CBE" w14:paraId="6918F714" w14:textId="77777777" w:rsidTr="00F16E23">
        <w:tc>
          <w:tcPr>
            <w:tcW w:w="2410" w:type="dxa"/>
            <w:shd w:val="clear" w:color="auto" w:fill="FFFFFF"/>
            <w:tcMar>
              <w:top w:w="0" w:type="dxa"/>
              <w:left w:w="85" w:type="dxa"/>
              <w:bottom w:w="0" w:type="dxa"/>
              <w:right w:w="85" w:type="dxa"/>
            </w:tcMar>
            <w:vAlign w:val="center"/>
          </w:tcPr>
          <w:p w14:paraId="54965617" w14:textId="77777777" w:rsidR="00447423" w:rsidRPr="002A3CBE" w:rsidRDefault="00447423" w:rsidP="00F16E23">
            <w:pPr>
              <w:pStyle w:val="TableText"/>
              <w:spacing w:before="40" w:after="40"/>
              <w:rPr>
                <w:rFonts w:eastAsia="Calibri"/>
              </w:rPr>
            </w:pPr>
            <w:r w:rsidRPr="002A3CBE">
              <w:rPr>
                <w:rFonts w:eastAsia="Calibri"/>
              </w:rPr>
              <w:t>1990</w:t>
            </w:r>
          </w:p>
        </w:tc>
        <w:tc>
          <w:tcPr>
            <w:tcW w:w="1559" w:type="dxa"/>
            <w:shd w:val="clear" w:color="auto" w:fill="FFFFFF"/>
            <w:tcMar>
              <w:top w:w="0" w:type="dxa"/>
              <w:left w:w="85" w:type="dxa"/>
              <w:bottom w:w="0" w:type="dxa"/>
              <w:right w:w="85" w:type="dxa"/>
            </w:tcMar>
            <w:vAlign w:val="center"/>
          </w:tcPr>
          <w:p w14:paraId="26718EFE" w14:textId="77777777" w:rsidR="00447423" w:rsidRPr="002A3CBE" w:rsidRDefault="00447423" w:rsidP="00F16E23">
            <w:pPr>
              <w:pStyle w:val="TableText"/>
              <w:spacing w:before="40" w:after="40"/>
              <w:jc w:val="right"/>
              <w:rPr>
                <w:rFonts w:eastAsia="Calibri"/>
              </w:rPr>
            </w:pPr>
            <w:r w:rsidRPr="002A3CBE">
              <w:rPr>
                <w:rFonts w:eastAsia="Calibri"/>
              </w:rPr>
              <w:t>-24,334.1</w:t>
            </w:r>
          </w:p>
        </w:tc>
        <w:tc>
          <w:tcPr>
            <w:tcW w:w="1701" w:type="dxa"/>
            <w:shd w:val="clear" w:color="auto" w:fill="FFFFFF"/>
            <w:tcMar>
              <w:top w:w="0" w:type="dxa"/>
              <w:left w:w="85" w:type="dxa"/>
              <w:bottom w:w="0" w:type="dxa"/>
              <w:right w:w="85" w:type="dxa"/>
            </w:tcMar>
            <w:vAlign w:val="center"/>
          </w:tcPr>
          <w:p w14:paraId="6D87698E" w14:textId="77777777" w:rsidR="00447423" w:rsidRPr="002A3CBE" w:rsidRDefault="00447423" w:rsidP="00F16E23">
            <w:pPr>
              <w:pStyle w:val="TableText"/>
              <w:spacing w:before="40" w:after="40"/>
              <w:jc w:val="right"/>
              <w:rPr>
                <w:rFonts w:eastAsia="Calibri"/>
              </w:rPr>
            </w:pPr>
            <w:r w:rsidRPr="002A3CBE">
              <w:rPr>
                <w:rFonts w:eastAsia="Calibri"/>
              </w:rPr>
              <w:t>-23,334.5</w:t>
            </w:r>
          </w:p>
        </w:tc>
        <w:tc>
          <w:tcPr>
            <w:tcW w:w="1418" w:type="dxa"/>
            <w:shd w:val="clear" w:color="auto" w:fill="FFFFFF"/>
            <w:tcMar>
              <w:top w:w="0" w:type="dxa"/>
              <w:left w:w="85" w:type="dxa"/>
              <w:bottom w:w="0" w:type="dxa"/>
              <w:right w:w="85" w:type="dxa"/>
            </w:tcMar>
            <w:vAlign w:val="center"/>
          </w:tcPr>
          <w:p w14:paraId="7EE97121" w14:textId="77777777" w:rsidR="00447423" w:rsidRPr="002A3CBE" w:rsidRDefault="00447423" w:rsidP="00F16E23">
            <w:pPr>
              <w:pStyle w:val="TableText"/>
              <w:spacing w:before="40" w:after="40"/>
              <w:jc w:val="right"/>
              <w:rPr>
                <w:rFonts w:eastAsia="Calibri"/>
              </w:rPr>
            </w:pPr>
            <w:r w:rsidRPr="002A3CBE">
              <w:rPr>
                <w:rFonts w:eastAsia="Calibri"/>
              </w:rPr>
              <w:t>999.5</w:t>
            </w:r>
          </w:p>
        </w:tc>
        <w:tc>
          <w:tcPr>
            <w:tcW w:w="1417" w:type="dxa"/>
            <w:shd w:val="clear" w:color="auto" w:fill="FFFFFF"/>
            <w:tcMar>
              <w:top w:w="0" w:type="dxa"/>
              <w:left w:w="85" w:type="dxa"/>
              <w:bottom w:w="0" w:type="dxa"/>
              <w:right w:w="85" w:type="dxa"/>
            </w:tcMar>
            <w:vAlign w:val="center"/>
          </w:tcPr>
          <w:p w14:paraId="5CA60BA1" w14:textId="77777777" w:rsidR="00447423" w:rsidRPr="002A3CBE" w:rsidRDefault="00447423" w:rsidP="00F16E23">
            <w:pPr>
              <w:pStyle w:val="TableText"/>
              <w:spacing w:before="40" w:after="40"/>
              <w:jc w:val="right"/>
              <w:rPr>
                <w:rFonts w:eastAsia="Calibri"/>
              </w:rPr>
            </w:pPr>
            <w:r w:rsidRPr="002A3CBE">
              <w:rPr>
                <w:rFonts w:eastAsia="Calibri"/>
              </w:rPr>
              <w:t>4.1</w:t>
            </w:r>
          </w:p>
        </w:tc>
      </w:tr>
      <w:tr w:rsidR="00447423" w:rsidRPr="002A3CBE" w14:paraId="495F2CC2" w14:textId="77777777" w:rsidTr="00F16E23">
        <w:tc>
          <w:tcPr>
            <w:tcW w:w="2410" w:type="dxa"/>
            <w:shd w:val="clear" w:color="auto" w:fill="FFFFFF"/>
            <w:tcMar>
              <w:top w:w="0" w:type="dxa"/>
              <w:left w:w="85" w:type="dxa"/>
              <w:bottom w:w="0" w:type="dxa"/>
              <w:right w:w="85" w:type="dxa"/>
            </w:tcMar>
            <w:vAlign w:val="center"/>
          </w:tcPr>
          <w:p w14:paraId="7DCBA110" w14:textId="77777777" w:rsidR="00447423" w:rsidRPr="002A3CBE" w:rsidRDefault="00447423" w:rsidP="00F16E23">
            <w:pPr>
              <w:pStyle w:val="TableText"/>
              <w:spacing w:before="40" w:after="40"/>
              <w:rPr>
                <w:rFonts w:eastAsia="Calibri"/>
              </w:rPr>
            </w:pPr>
            <w:r w:rsidRPr="002A3CBE">
              <w:rPr>
                <w:rFonts w:eastAsia="Calibri"/>
              </w:rPr>
              <w:t>2023</w:t>
            </w:r>
          </w:p>
        </w:tc>
        <w:tc>
          <w:tcPr>
            <w:tcW w:w="1559" w:type="dxa"/>
            <w:shd w:val="clear" w:color="auto" w:fill="FFFFFF"/>
            <w:tcMar>
              <w:top w:w="0" w:type="dxa"/>
              <w:left w:w="85" w:type="dxa"/>
              <w:bottom w:w="0" w:type="dxa"/>
              <w:right w:w="85" w:type="dxa"/>
            </w:tcMar>
            <w:vAlign w:val="center"/>
          </w:tcPr>
          <w:p w14:paraId="07EEEB1C" w14:textId="77777777" w:rsidR="00447423" w:rsidRPr="002A3CBE" w:rsidRDefault="00447423" w:rsidP="00F16E23">
            <w:pPr>
              <w:pStyle w:val="TableText"/>
              <w:spacing w:before="40" w:after="40"/>
              <w:jc w:val="right"/>
              <w:rPr>
                <w:rFonts w:eastAsia="Calibri"/>
              </w:rPr>
            </w:pPr>
            <w:r w:rsidRPr="002A3CBE">
              <w:rPr>
                <w:rFonts w:eastAsia="Calibri"/>
              </w:rPr>
              <w:t>-20,197.1</w:t>
            </w:r>
          </w:p>
        </w:tc>
        <w:tc>
          <w:tcPr>
            <w:tcW w:w="1701" w:type="dxa"/>
            <w:shd w:val="clear" w:color="auto" w:fill="FFFFFF"/>
            <w:tcMar>
              <w:top w:w="0" w:type="dxa"/>
              <w:left w:w="85" w:type="dxa"/>
              <w:bottom w:w="0" w:type="dxa"/>
              <w:right w:w="85" w:type="dxa"/>
            </w:tcMar>
            <w:vAlign w:val="center"/>
          </w:tcPr>
          <w:p w14:paraId="73BE543B" w14:textId="77777777" w:rsidR="00447423" w:rsidRPr="002A3CBE" w:rsidRDefault="00447423" w:rsidP="00F16E23">
            <w:pPr>
              <w:pStyle w:val="TableText"/>
              <w:spacing w:before="40" w:after="40"/>
              <w:jc w:val="right"/>
              <w:rPr>
                <w:rFonts w:eastAsia="Calibri"/>
              </w:rPr>
            </w:pPr>
            <w:r w:rsidRPr="002A3CBE">
              <w:rPr>
                <w:rFonts w:eastAsia="Calibri"/>
              </w:rPr>
              <w:t>-19,966.5</w:t>
            </w:r>
          </w:p>
        </w:tc>
        <w:tc>
          <w:tcPr>
            <w:tcW w:w="1418" w:type="dxa"/>
            <w:shd w:val="clear" w:color="auto" w:fill="FFFFFF"/>
            <w:tcMar>
              <w:top w:w="0" w:type="dxa"/>
              <w:left w:w="85" w:type="dxa"/>
              <w:bottom w:w="0" w:type="dxa"/>
              <w:right w:w="85" w:type="dxa"/>
            </w:tcMar>
            <w:vAlign w:val="center"/>
          </w:tcPr>
          <w:p w14:paraId="67B24B13" w14:textId="77777777" w:rsidR="00447423" w:rsidRPr="002A3CBE" w:rsidRDefault="00447423" w:rsidP="00F16E23">
            <w:pPr>
              <w:pStyle w:val="TableText"/>
              <w:spacing w:before="40" w:after="40"/>
              <w:jc w:val="right"/>
              <w:rPr>
                <w:rFonts w:eastAsia="Calibri"/>
              </w:rPr>
            </w:pPr>
            <w:r w:rsidRPr="002A3CBE">
              <w:rPr>
                <w:rFonts w:eastAsia="Calibri"/>
              </w:rPr>
              <w:t>230.7</w:t>
            </w:r>
          </w:p>
        </w:tc>
        <w:tc>
          <w:tcPr>
            <w:tcW w:w="1417" w:type="dxa"/>
            <w:shd w:val="clear" w:color="auto" w:fill="FFFFFF"/>
            <w:tcMar>
              <w:top w:w="0" w:type="dxa"/>
              <w:left w:w="85" w:type="dxa"/>
              <w:bottom w:w="0" w:type="dxa"/>
              <w:right w:w="85" w:type="dxa"/>
            </w:tcMar>
            <w:vAlign w:val="center"/>
          </w:tcPr>
          <w:p w14:paraId="3DF70A9E" w14:textId="77777777" w:rsidR="00447423" w:rsidRPr="002A3CBE" w:rsidRDefault="00447423" w:rsidP="00F16E23">
            <w:pPr>
              <w:pStyle w:val="TableText"/>
              <w:spacing w:before="40" w:after="40"/>
              <w:jc w:val="right"/>
              <w:rPr>
                <w:rFonts w:eastAsia="Calibri"/>
              </w:rPr>
            </w:pPr>
            <w:r w:rsidRPr="002A3CBE">
              <w:rPr>
                <w:rFonts w:eastAsia="Calibri"/>
              </w:rPr>
              <w:t>1.1</w:t>
            </w:r>
          </w:p>
        </w:tc>
      </w:tr>
    </w:tbl>
    <w:p w14:paraId="6344F4C0" w14:textId="77777777" w:rsidR="00447423" w:rsidRPr="002A3CBE" w:rsidRDefault="00447423" w:rsidP="00447423">
      <w:pPr>
        <w:pStyle w:val="Table"/>
        <w:spacing w:before="360"/>
        <w:ind w:left="0" w:firstLine="0"/>
      </w:pPr>
      <w:bookmarkStart w:id="1738" w:name="_Toc310423398"/>
      <w:bookmarkStart w:id="1739" w:name="_Toc318362691"/>
      <w:bookmarkStart w:id="1740" w:name="_Toc342470753"/>
      <w:bookmarkStart w:id="1741" w:name="_Toc352504993"/>
      <w:bookmarkStart w:id="1742" w:name="_Toc378853279"/>
      <w:bookmarkStart w:id="1743" w:name="_Toc391024077"/>
      <w:bookmarkStart w:id="1744" w:name="_Toc410028820"/>
      <w:bookmarkStart w:id="1745" w:name="_Toc414531448"/>
      <w:bookmarkStart w:id="1746" w:name="_Toc443645361"/>
      <w:bookmarkStart w:id="1747" w:name="_Toc474914580"/>
      <w:bookmarkStart w:id="1748" w:name="_Toc481751544"/>
      <w:bookmarkStart w:id="1749" w:name="_Toc522010601"/>
      <w:bookmarkStart w:id="1750" w:name="_Toc5269506"/>
      <w:bookmarkStart w:id="1751" w:name="_Toc33529382"/>
      <w:bookmarkStart w:id="1752" w:name="_Toc36224588"/>
      <w:bookmarkStart w:id="1753" w:name="_Toc65243583"/>
      <w:bookmarkStart w:id="1754" w:name="_Toc131591387"/>
      <w:bookmarkStart w:id="1755" w:name="_Toc158979945"/>
      <w:bookmarkStart w:id="1756" w:name="_Toc164153878"/>
      <w:bookmarkStart w:id="1757" w:name="_Toc190873112"/>
      <w:bookmarkStart w:id="1758" w:name="_Toc194241751"/>
      <w:bookmarkStart w:id="1759" w:name="_Toc222837900"/>
      <w:bookmarkStart w:id="1760" w:name="_Toc226669046"/>
      <w:r w:rsidRPr="002A3CBE">
        <w:t>Table 6.1.8</w:t>
      </w:r>
      <w:r w:rsidRPr="002A3CBE">
        <w:tab/>
        <w:t>Recalculations to New Zealand’s net LULUCF emissions for 1990 and</w:t>
      </w:r>
      <w:bookmarkEnd w:id="1738"/>
      <w:bookmarkEnd w:id="1739"/>
      <w:bookmarkEnd w:id="1740"/>
      <w:bookmarkEnd w:id="1741"/>
      <w:r w:rsidRPr="002A3CBE">
        <w:t> </w:t>
      </w:r>
      <w:bookmarkEnd w:id="1742"/>
      <w:bookmarkEnd w:id="1743"/>
      <w:bookmarkEnd w:id="1744"/>
      <w:bookmarkEnd w:id="1745"/>
      <w:r w:rsidRPr="002A3CBE">
        <w:t xml:space="preserve">2023 by </w:t>
      </w:r>
      <w:bookmarkEnd w:id="1746"/>
      <w:r w:rsidRPr="002A3CBE">
        <w:t>category</w:t>
      </w:r>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1935"/>
        <w:gridCol w:w="1131"/>
        <w:gridCol w:w="1131"/>
        <w:gridCol w:w="1131"/>
        <w:gridCol w:w="1131"/>
        <w:gridCol w:w="1023"/>
        <w:gridCol w:w="1023"/>
      </w:tblGrid>
      <w:tr w:rsidR="00447423" w:rsidRPr="002A3CBE" w14:paraId="7BFA3714" w14:textId="77777777" w:rsidTr="00F16E23">
        <w:trPr>
          <w:tblHeader/>
        </w:trPr>
        <w:tc>
          <w:tcPr>
            <w:tcW w:w="1928" w:type="dxa"/>
            <w:tcBorders>
              <w:bottom w:val="nil"/>
            </w:tcBorders>
            <w:shd w:val="clear" w:color="auto" w:fill="1B556B"/>
            <w:tcMar>
              <w:top w:w="0" w:type="dxa"/>
              <w:left w:w="85" w:type="dxa"/>
              <w:bottom w:w="0" w:type="dxa"/>
              <w:right w:w="85" w:type="dxa"/>
            </w:tcMar>
            <w:vAlign w:val="center"/>
          </w:tcPr>
          <w:p w14:paraId="676E67A1" w14:textId="77777777" w:rsidR="00447423" w:rsidRPr="002A3CBE" w:rsidRDefault="00447423" w:rsidP="00F16E23">
            <w:pPr>
              <w:pStyle w:val="TableTextBold"/>
              <w:rPr>
                <w:rFonts w:eastAsia="Calibri"/>
                <w:noProof w:val="0"/>
                <w:color w:val="FFFFFF" w:themeColor="background1"/>
              </w:rPr>
            </w:pPr>
          </w:p>
        </w:tc>
        <w:tc>
          <w:tcPr>
            <w:tcW w:w="3384" w:type="dxa"/>
            <w:gridSpan w:val="3"/>
            <w:tcBorders>
              <w:bottom w:val="nil"/>
            </w:tcBorders>
            <w:shd w:val="clear" w:color="auto" w:fill="1B556B"/>
            <w:tcMar>
              <w:top w:w="0" w:type="dxa"/>
              <w:left w:w="85" w:type="dxa"/>
              <w:bottom w:w="0" w:type="dxa"/>
              <w:right w:w="85" w:type="dxa"/>
            </w:tcMar>
            <w:vAlign w:val="center"/>
          </w:tcPr>
          <w:p w14:paraId="118A6B53" w14:textId="77777777" w:rsidR="00447423" w:rsidRPr="002A3CBE" w:rsidRDefault="00447423" w:rsidP="00F16E23">
            <w:pPr>
              <w:pStyle w:val="TableTextBold"/>
              <w:ind w:left="531"/>
              <w:jc w:val="center"/>
              <w:rPr>
                <w:rFonts w:eastAsia="Calibri"/>
                <w:noProof w:val="0"/>
                <w:color w:val="FFFFFF" w:themeColor="background1"/>
              </w:rPr>
            </w:pPr>
            <w:r w:rsidRPr="002A3CBE">
              <w:rPr>
                <w:rFonts w:eastAsia="Calibri"/>
                <w:noProof w:val="0"/>
                <w:color w:val="FFFFFF" w:themeColor="background1"/>
              </w:rPr>
              <w:t>Net emissions (kt CO₂e)</w:t>
            </w:r>
          </w:p>
        </w:tc>
        <w:tc>
          <w:tcPr>
            <w:tcW w:w="3168" w:type="dxa"/>
            <w:gridSpan w:val="3"/>
            <w:tcBorders>
              <w:bottom w:val="nil"/>
            </w:tcBorders>
            <w:shd w:val="clear" w:color="auto" w:fill="1B556B"/>
            <w:tcMar>
              <w:top w:w="0" w:type="dxa"/>
              <w:left w:w="85" w:type="dxa"/>
              <w:bottom w:w="0" w:type="dxa"/>
              <w:right w:w="85" w:type="dxa"/>
            </w:tcMar>
            <w:vAlign w:val="center"/>
          </w:tcPr>
          <w:p w14:paraId="06440ED8" w14:textId="77777777" w:rsidR="00447423" w:rsidRPr="002A3CBE" w:rsidRDefault="00447423" w:rsidP="00F16E23">
            <w:pPr>
              <w:pStyle w:val="TableTextBold"/>
              <w:rPr>
                <w:rFonts w:eastAsia="Calibri"/>
                <w:noProof w:val="0"/>
                <w:color w:val="FFFFFF" w:themeColor="background1"/>
              </w:rPr>
            </w:pPr>
          </w:p>
        </w:tc>
      </w:tr>
      <w:tr w:rsidR="00447423" w:rsidRPr="002A3CBE" w14:paraId="628166C7" w14:textId="77777777" w:rsidTr="00F16E23">
        <w:trPr>
          <w:tblHeader/>
        </w:trPr>
        <w:tc>
          <w:tcPr>
            <w:tcW w:w="1928" w:type="dxa"/>
            <w:tcBorders>
              <w:top w:val="nil"/>
            </w:tcBorders>
            <w:shd w:val="clear" w:color="auto" w:fill="1B556B"/>
            <w:tcMar>
              <w:top w:w="0" w:type="dxa"/>
              <w:left w:w="85" w:type="dxa"/>
              <w:bottom w:w="0" w:type="dxa"/>
              <w:right w:w="85" w:type="dxa"/>
            </w:tcMar>
            <w:vAlign w:val="bottom"/>
          </w:tcPr>
          <w:p w14:paraId="491FE676" w14:textId="77777777" w:rsidR="00447423" w:rsidRPr="002A3CBE" w:rsidRDefault="00447423" w:rsidP="00F16E23">
            <w:pPr>
              <w:pStyle w:val="TableTextBold"/>
              <w:spacing w:before="0" w:after="40"/>
              <w:rPr>
                <w:rFonts w:eastAsia="Calibri"/>
                <w:noProof w:val="0"/>
                <w:color w:val="FFFFFF" w:themeColor="background1"/>
              </w:rPr>
            </w:pPr>
            <w:r w:rsidRPr="002A3CBE">
              <w:rPr>
                <w:rFonts w:eastAsia="Calibri"/>
                <w:noProof w:val="0"/>
                <w:color w:val="FFFFFF" w:themeColor="background1"/>
              </w:rPr>
              <w:t>Land use category</w:t>
            </w:r>
          </w:p>
        </w:tc>
        <w:tc>
          <w:tcPr>
            <w:tcW w:w="1128" w:type="dxa"/>
            <w:tcBorders>
              <w:top w:val="nil"/>
            </w:tcBorders>
            <w:shd w:val="clear" w:color="auto" w:fill="1B556B"/>
            <w:tcMar>
              <w:top w:w="0" w:type="dxa"/>
              <w:left w:w="85" w:type="dxa"/>
              <w:bottom w:w="0" w:type="dxa"/>
              <w:right w:w="85" w:type="dxa"/>
            </w:tcMar>
            <w:vAlign w:val="center"/>
          </w:tcPr>
          <w:p w14:paraId="67D921CB"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2025 submission: 1990 estimate</w:t>
            </w:r>
          </w:p>
        </w:tc>
        <w:tc>
          <w:tcPr>
            <w:tcW w:w="1128" w:type="dxa"/>
            <w:tcBorders>
              <w:top w:val="nil"/>
            </w:tcBorders>
            <w:shd w:val="clear" w:color="auto" w:fill="1B556B"/>
            <w:tcMar>
              <w:top w:w="0" w:type="dxa"/>
              <w:left w:w="85" w:type="dxa"/>
              <w:bottom w:w="0" w:type="dxa"/>
              <w:right w:w="85" w:type="dxa"/>
            </w:tcMar>
            <w:vAlign w:val="center"/>
          </w:tcPr>
          <w:p w14:paraId="0FF25C4A"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2026 submission: 1990 estimate</w:t>
            </w:r>
          </w:p>
        </w:tc>
        <w:tc>
          <w:tcPr>
            <w:tcW w:w="1128" w:type="dxa"/>
            <w:tcBorders>
              <w:top w:val="nil"/>
            </w:tcBorders>
            <w:shd w:val="clear" w:color="auto" w:fill="1B556B"/>
            <w:tcMar>
              <w:top w:w="0" w:type="dxa"/>
              <w:left w:w="85" w:type="dxa"/>
              <w:bottom w:w="0" w:type="dxa"/>
              <w:right w:w="85" w:type="dxa"/>
            </w:tcMar>
            <w:vAlign w:val="center"/>
          </w:tcPr>
          <w:p w14:paraId="5FCB39CE"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2025 submission: 2023 estimate</w:t>
            </w:r>
          </w:p>
        </w:tc>
        <w:tc>
          <w:tcPr>
            <w:tcW w:w="1128" w:type="dxa"/>
            <w:tcBorders>
              <w:top w:val="nil"/>
            </w:tcBorders>
            <w:shd w:val="clear" w:color="auto" w:fill="1B556B"/>
            <w:tcMar>
              <w:top w:w="0" w:type="dxa"/>
              <w:left w:w="85" w:type="dxa"/>
              <w:bottom w:w="0" w:type="dxa"/>
              <w:right w:w="85" w:type="dxa"/>
            </w:tcMar>
            <w:vAlign w:val="center"/>
          </w:tcPr>
          <w:p w14:paraId="12757326"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2026 submission: 2023 estimate</w:t>
            </w:r>
          </w:p>
        </w:tc>
        <w:tc>
          <w:tcPr>
            <w:tcW w:w="1020" w:type="dxa"/>
            <w:tcBorders>
              <w:top w:val="nil"/>
            </w:tcBorders>
            <w:shd w:val="clear" w:color="auto" w:fill="1B556B"/>
            <w:tcMar>
              <w:top w:w="0" w:type="dxa"/>
              <w:left w:w="85" w:type="dxa"/>
              <w:bottom w:w="0" w:type="dxa"/>
              <w:right w:w="85" w:type="dxa"/>
            </w:tcMar>
            <w:vAlign w:val="center"/>
          </w:tcPr>
          <w:p w14:paraId="3ECF2E14"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in 1990 estimate (%)</w:t>
            </w:r>
          </w:p>
        </w:tc>
        <w:tc>
          <w:tcPr>
            <w:tcW w:w="1020" w:type="dxa"/>
            <w:tcBorders>
              <w:top w:val="nil"/>
            </w:tcBorders>
            <w:shd w:val="clear" w:color="auto" w:fill="1B556B"/>
            <w:tcMar>
              <w:top w:w="0" w:type="dxa"/>
              <w:left w:w="85" w:type="dxa"/>
              <w:bottom w:w="0" w:type="dxa"/>
              <w:right w:w="85" w:type="dxa"/>
            </w:tcMar>
            <w:vAlign w:val="center"/>
          </w:tcPr>
          <w:p w14:paraId="2D2794BA"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in 2023 estimate (%)</w:t>
            </w:r>
          </w:p>
        </w:tc>
      </w:tr>
      <w:tr w:rsidR="00447423" w:rsidRPr="002A3CBE" w14:paraId="36352484" w14:textId="77777777" w:rsidTr="00F16E23">
        <w:tc>
          <w:tcPr>
            <w:tcW w:w="1928" w:type="dxa"/>
            <w:shd w:val="clear" w:color="auto" w:fill="FFFFFF"/>
            <w:tcMar>
              <w:top w:w="0" w:type="dxa"/>
              <w:left w:w="85" w:type="dxa"/>
              <w:bottom w:w="0" w:type="dxa"/>
              <w:right w:w="85" w:type="dxa"/>
            </w:tcMar>
            <w:vAlign w:val="center"/>
          </w:tcPr>
          <w:p w14:paraId="1950DDE0" w14:textId="77777777" w:rsidR="00447423" w:rsidRPr="002A3CBE" w:rsidRDefault="00447423" w:rsidP="00F16E23">
            <w:pPr>
              <w:pStyle w:val="TableText"/>
              <w:spacing w:before="40" w:after="40"/>
              <w:rPr>
                <w:rFonts w:eastAsia="Calibri"/>
              </w:rPr>
            </w:pPr>
            <w:r w:rsidRPr="002A3CBE">
              <w:rPr>
                <w:rFonts w:eastAsia="Calibri"/>
              </w:rPr>
              <w:t>Forest land</w:t>
            </w:r>
          </w:p>
        </w:tc>
        <w:tc>
          <w:tcPr>
            <w:tcW w:w="1128" w:type="dxa"/>
            <w:shd w:val="clear" w:color="auto" w:fill="FFFFFF"/>
            <w:tcMar>
              <w:top w:w="0" w:type="dxa"/>
              <w:left w:w="85" w:type="dxa"/>
              <w:bottom w:w="0" w:type="dxa"/>
              <w:right w:w="85" w:type="dxa"/>
            </w:tcMar>
            <w:vAlign w:val="center"/>
          </w:tcPr>
          <w:p w14:paraId="4E5C9E56" w14:textId="77777777" w:rsidR="00447423" w:rsidRPr="002A3CBE" w:rsidRDefault="00447423" w:rsidP="00F16E23">
            <w:pPr>
              <w:pStyle w:val="TableText"/>
              <w:spacing w:before="40" w:after="40"/>
              <w:jc w:val="right"/>
              <w:rPr>
                <w:rFonts w:eastAsia="Calibri"/>
              </w:rPr>
            </w:pPr>
            <w:r w:rsidRPr="002A3CBE">
              <w:rPr>
                <w:rFonts w:eastAsia="Calibri"/>
              </w:rPr>
              <w:t>-23,279.5</w:t>
            </w:r>
          </w:p>
        </w:tc>
        <w:tc>
          <w:tcPr>
            <w:tcW w:w="1128" w:type="dxa"/>
            <w:shd w:val="clear" w:color="auto" w:fill="FFFFFF"/>
            <w:tcMar>
              <w:top w:w="0" w:type="dxa"/>
              <w:left w:w="85" w:type="dxa"/>
              <w:bottom w:w="0" w:type="dxa"/>
              <w:right w:w="85" w:type="dxa"/>
            </w:tcMar>
            <w:vAlign w:val="center"/>
          </w:tcPr>
          <w:p w14:paraId="5233196A" w14:textId="77777777" w:rsidR="00447423" w:rsidRPr="002A3CBE" w:rsidRDefault="00447423" w:rsidP="00F16E23">
            <w:pPr>
              <w:pStyle w:val="TableText"/>
              <w:spacing w:before="40" w:after="40"/>
              <w:jc w:val="right"/>
              <w:rPr>
                <w:rFonts w:eastAsia="Calibri"/>
              </w:rPr>
            </w:pPr>
            <w:r w:rsidRPr="002A3CBE">
              <w:rPr>
                <w:rFonts w:eastAsia="Calibri"/>
              </w:rPr>
              <w:t>-23,400.1</w:t>
            </w:r>
          </w:p>
        </w:tc>
        <w:tc>
          <w:tcPr>
            <w:tcW w:w="1128" w:type="dxa"/>
            <w:shd w:val="clear" w:color="auto" w:fill="FFFFFF"/>
            <w:tcMar>
              <w:top w:w="0" w:type="dxa"/>
              <w:left w:w="85" w:type="dxa"/>
              <w:bottom w:w="0" w:type="dxa"/>
              <w:right w:w="85" w:type="dxa"/>
            </w:tcMar>
            <w:vAlign w:val="center"/>
          </w:tcPr>
          <w:p w14:paraId="0D62DEFD" w14:textId="77777777" w:rsidR="00447423" w:rsidRPr="002A3CBE" w:rsidRDefault="00447423" w:rsidP="00F16E23">
            <w:pPr>
              <w:pStyle w:val="TableText"/>
              <w:spacing w:before="40" w:after="40"/>
              <w:jc w:val="right"/>
              <w:rPr>
                <w:rFonts w:eastAsia="Calibri"/>
              </w:rPr>
            </w:pPr>
            <w:r w:rsidRPr="002A3CBE">
              <w:rPr>
                <w:rFonts w:eastAsia="Calibri"/>
              </w:rPr>
              <w:t>-18,235.7</w:t>
            </w:r>
          </w:p>
        </w:tc>
        <w:tc>
          <w:tcPr>
            <w:tcW w:w="1128" w:type="dxa"/>
            <w:shd w:val="clear" w:color="auto" w:fill="FFFFFF"/>
            <w:tcMar>
              <w:top w:w="0" w:type="dxa"/>
              <w:left w:w="85" w:type="dxa"/>
              <w:bottom w:w="0" w:type="dxa"/>
              <w:right w:w="85" w:type="dxa"/>
            </w:tcMar>
            <w:vAlign w:val="center"/>
          </w:tcPr>
          <w:p w14:paraId="25113D78" w14:textId="77777777" w:rsidR="00447423" w:rsidRPr="002A3CBE" w:rsidRDefault="00447423" w:rsidP="00F16E23">
            <w:pPr>
              <w:pStyle w:val="TableText"/>
              <w:spacing w:before="40" w:after="40"/>
              <w:jc w:val="right"/>
              <w:rPr>
                <w:rFonts w:eastAsia="Calibri"/>
              </w:rPr>
            </w:pPr>
            <w:r w:rsidRPr="002A3CBE">
              <w:rPr>
                <w:rFonts w:eastAsia="Calibri"/>
              </w:rPr>
              <w:t>-17,910.3</w:t>
            </w:r>
          </w:p>
        </w:tc>
        <w:tc>
          <w:tcPr>
            <w:tcW w:w="1020" w:type="dxa"/>
            <w:shd w:val="clear" w:color="auto" w:fill="FFFFFF"/>
            <w:tcMar>
              <w:top w:w="0" w:type="dxa"/>
              <w:left w:w="85" w:type="dxa"/>
              <w:bottom w:w="0" w:type="dxa"/>
              <w:right w:w="85" w:type="dxa"/>
            </w:tcMar>
            <w:vAlign w:val="center"/>
          </w:tcPr>
          <w:p w14:paraId="216FE8DB" w14:textId="77777777" w:rsidR="00447423" w:rsidRPr="002A3CBE" w:rsidRDefault="00447423" w:rsidP="00F16E23">
            <w:pPr>
              <w:pStyle w:val="TableText"/>
              <w:spacing w:before="40" w:after="40"/>
              <w:jc w:val="right"/>
              <w:rPr>
                <w:rFonts w:eastAsia="Calibri"/>
              </w:rPr>
            </w:pPr>
            <w:r w:rsidRPr="002A3CBE">
              <w:rPr>
                <w:rFonts w:eastAsia="Calibri"/>
              </w:rPr>
              <w:t>-0.5</w:t>
            </w:r>
          </w:p>
        </w:tc>
        <w:tc>
          <w:tcPr>
            <w:tcW w:w="1020" w:type="dxa"/>
            <w:shd w:val="clear" w:color="auto" w:fill="FFFFFF"/>
            <w:tcMar>
              <w:top w:w="0" w:type="dxa"/>
              <w:left w:w="85" w:type="dxa"/>
              <w:bottom w:w="0" w:type="dxa"/>
              <w:right w:w="85" w:type="dxa"/>
            </w:tcMar>
            <w:vAlign w:val="center"/>
          </w:tcPr>
          <w:p w14:paraId="5D44DF3E" w14:textId="77777777" w:rsidR="00447423" w:rsidRPr="002A3CBE" w:rsidRDefault="00447423" w:rsidP="00F16E23">
            <w:pPr>
              <w:pStyle w:val="TableText"/>
              <w:spacing w:before="40" w:after="40"/>
              <w:jc w:val="right"/>
              <w:rPr>
                <w:rFonts w:eastAsia="Calibri"/>
              </w:rPr>
            </w:pPr>
            <w:r w:rsidRPr="002A3CBE">
              <w:rPr>
                <w:rFonts w:eastAsia="Calibri"/>
              </w:rPr>
              <w:t>1.8</w:t>
            </w:r>
          </w:p>
        </w:tc>
      </w:tr>
      <w:tr w:rsidR="00447423" w:rsidRPr="002A3CBE" w14:paraId="407B9055" w14:textId="77777777" w:rsidTr="00F16E23">
        <w:tc>
          <w:tcPr>
            <w:tcW w:w="1928" w:type="dxa"/>
            <w:shd w:val="clear" w:color="auto" w:fill="FFFFFF"/>
            <w:tcMar>
              <w:top w:w="0" w:type="dxa"/>
              <w:left w:w="85" w:type="dxa"/>
              <w:bottom w:w="0" w:type="dxa"/>
              <w:right w:w="85" w:type="dxa"/>
            </w:tcMar>
            <w:vAlign w:val="center"/>
          </w:tcPr>
          <w:p w14:paraId="2FC6B15F" w14:textId="77777777" w:rsidR="00447423" w:rsidRPr="002A3CBE" w:rsidRDefault="00447423" w:rsidP="00F16E23">
            <w:pPr>
              <w:pStyle w:val="TableText"/>
              <w:spacing w:before="40" w:after="40"/>
              <w:rPr>
                <w:rFonts w:eastAsia="Calibri"/>
              </w:rPr>
            </w:pPr>
            <w:r w:rsidRPr="002A3CBE">
              <w:rPr>
                <w:rFonts w:eastAsia="Calibri"/>
              </w:rPr>
              <w:t>Cropland</w:t>
            </w:r>
          </w:p>
        </w:tc>
        <w:tc>
          <w:tcPr>
            <w:tcW w:w="1128" w:type="dxa"/>
            <w:shd w:val="clear" w:color="auto" w:fill="FFFFFF"/>
            <w:tcMar>
              <w:top w:w="0" w:type="dxa"/>
              <w:left w:w="85" w:type="dxa"/>
              <w:bottom w:w="0" w:type="dxa"/>
              <w:right w:w="85" w:type="dxa"/>
            </w:tcMar>
            <w:vAlign w:val="center"/>
          </w:tcPr>
          <w:p w14:paraId="748F660C" w14:textId="77777777" w:rsidR="00447423" w:rsidRPr="002A3CBE" w:rsidRDefault="00447423" w:rsidP="00F16E23">
            <w:pPr>
              <w:pStyle w:val="TableText"/>
              <w:spacing w:before="40" w:after="40"/>
              <w:jc w:val="right"/>
              <w:rPr>
                <w:rFonts w:eastAsia="Calibri"/>
              </w:rPr>
            </w:pPr>
            <w:r w:rsidRPr="002A3CBE">
              <w:rPr>
                <w:rFonts w:eastAsia="Calibri"/>
              </w:rPr>
              <w:t>478.3</w:t>
            </w:r>
          </w:p>
        </w:tc>
        <w:tc>
          <w:tcPr>
            <w:tcW w:w="1128" w:type="dxa"/>
            <w:shd w:val="clear" w:color="auto" w:fill="FFFFFF"/>
            <w:tcMar>
              <w:top w:w="0" w:type="dxa"/>
              <w:left w:w="85" w:type="dxa"/>
              <w:bottom w:w="0" w:type="dxa"/>
              <w:right w:w="85" w:type="dxa"/>
            </w:tcMar>
            <w:vAlign w:val="center"/>
          </w:tcPr>
          <w:p w14:paraId="3C4AC0B6" w14:textId="77777777" w:rsidR="00447423" w:rsidRPr="002A3CBE" w:rsidRDefault="00447423" w:rsidP="00F16E23">
            <w:pPr>
              <w:pStyle w:val="TableText"/>
              <w:spacing w:before="40" w:after="40"/>
              <w:jc w:val="right"/>
              <w:rPr>
                <w:rFonts w:eastAsia="Calibri"/>
              </w:rPr>
            </w:pPr>
            <w:r w:rsidRPr="002A3CBE">
              <w:rPr>
                <w:rFonts w:eastAsia="Calibri"/>
              </w:rPr>
              <w:t>436.8</w:t>
            </w:r>
          </w:p>
        </w:tc>
        <w:tc>
          <w:tcPr>
            <w:tcW w:w="1128" w:type="dxa"/>
            <w:shd w:val="clear" w:color="auto" w:fill="FFFFFF"/>
            <w:tcMar>
              <w:top w:w="0" w:type="dxa"/>
              <w:left w:w="85" w:type="dxa"/>
              <w:bottom w:w="0" w:type="dxa"/>
              <w:right w:w="85" w:type="dxa"/>
            </w:tcMar>
            <w:vAlign w:val="center"/>
          </w:tcPr>
          <w:p w14:paraId="1ACFE4C1" w14:textId="77777777" w:rsidR="00447423" w:rsidRPr="002A3CBE" w:rsidRDefault="00447423" w:rsidP="00F16E23">
            <w:pPr>
              <w:pStyle w:val="TableText"/>
              <w:spacing w:before="40" w:after="40"/>
              <w:jc w:val="right"/>
              <w:rPr>
                <w:rFonts w:eastAsia="Calibri"/>
              </w:rPr>
            </w:pPr>
            <w:r w:rsidRPr="002A3CBE">
              <w:rPr>
                <w:rFonts w:eastAsia="Calibri"/>
              </w:rPr>
              <w:t>749.8</w:t>
            </w:r>
          </w:p>
        </w:tc>
        <w:tc>
          <w:tcPr>
            <w:tcW w:w="1128" w:type="dxa"/>
            <w:shd w:val="clear" w:color="auto" w:fill="FFFFFF"/>
            <w:tcMar>
              <w:top w:w="0" w:type="dxa"/>
              <w:left w:w="85" w:type="dxa"/>
              <w:bottom w:w="0" w:type="dxa"/>
              <w:right w:w="85" w:type="dxa"/>
            </w:tcMar>
            <w:vAlign w:val="center"/>
          </w:tcPr>
          <w:p w14:paraId="34878366" w14:textId="77777777" w:rsidR="00447423" w:rsidRPr="002A3CBE" w:rsidRDefault="00447423" w:rsidP="00F16E23">
            <w:pPr>
              <w:pStyle w:val="TableText"/>
              <w:spacing w:before="40" w:after="40"/>
              <w:jc w:val="right"/>
              <w:rPr>
                <w:rFonts w:eastAsia="Calibri"/>
              </w:rPr>
            </w:pPr>
            <w:r w:rsidRPr="002A3CBE">
              <w:rPr>
                <w:rFonts w:eastAsia="Calibri"/>
              </w:rPr>
              <w:t>539.4</w:t>
            </w:r>
          </w:p>
        </w:tc>
        <w:tc>
          <w:tcPr>
            <w:tcW w:w="1020" w:type="dxa"/>
            <w:shd w:val="clear" w:color="auto" w:fill="FFFFFF"/>
            <w:tcMar>
              <w:top w:w="0" w:type="dxa"/>
              <w:left w:w="85" w:type="dxa"/>
              <w:bottom w:w="0" w:type="dxa"/>
              <w:right w:w="85" w:type="dxa"/>
            </w:tcMar>
            <w:vAlign w:val="center"/>
          </w:tcPr>
          <w:p w14:paraId="4DC8BE3D" w14:textId="77777777" w:rsidR="00447423" w:rsidRPr="002A3CBE" w:rsidRDefault="00447423" w:rsidP="00F16E23">
            <w:pPr>
              <w:pStyle w:val="TableText"/>
              <w:spacing w:before="40" w:after="40"/>
              <w:jc w:val="right"/>
              <w:rPr>
                <w:rFonts w:eastAsia="Calibri"/>
              </w:rPr>
            </w:pPr>
            <w:r w:rsidRPr="002A3CBE">
              <w:rPr>
                <w:rFonts w:eastAsia="Calibri"/>
              </w:rPr>
              <w:t>-8.7</w:t>
            </w:r>
          </w:p>
        </w:tc>
        <w:tc>
          <w:tcPr>
            <w:tcW w:w="1020" w:type="dxa"/>
            <w:shd w:val="clear" w:color="auto" w:fill="FFFFFF"/>
            <w:tcMar>
              <w:top w:w="0" w:type="dxa"/>
              <w:left w:w="85" w:type="dxa"/>
              <w:bottom w:w="0" w:type="dxa"/>
              <w:right w:w="85" w:type="dxa"/>
            </w:tcMar>
            <w:vAlign w:val="center"/>
          </w:tcPr>
          <w:p w14:paraId="2937105D" w14:textId="77777777" w:rsidR="00447423" w:rsidRPr="002A3CBE" w:rsidRDefault="00447423" w:rsidP="00F16E23">
            <w:pPr>
              <w:pStyle w:val="TableText"/>
              <w:spacing w:before="40" w:after="40"/>
              <w:jc w:val="right"/>
              <w:rPr>
                <w:rFonts w:eastAsia="Calibri"/>
              </w:rPr>
            </w:pPr>
            <w:r w:rsidRPr="002A3CBE">
              <w:rPr>
                <w:rFonts w:eastAsia="Calibri"/>
              </w:rPr>
              <w:t>-28.1</w:t>
            </w:r>
          </w:p>
        </w:tc>
      </w:tr>
      <w:tr w:rsidR="00447423" w:rsidRPr="002A3CBE" w14:paraId="4106131E" w14:textId="77777777" w:rsidTr="00F16E23">
        <w:tc>
          <w:tcPr>
            <w:tcW w:w="1928" w:type="dxa"/>
            <w:shd w:val="clear" w:color="auto" w:fill="FFFFFF"/>
            <w:tcMar>
              <w:top w:w="0" w:type="dxa"/>
              <w:left w:w="85" w:type="dxa"/>
              <w:bottom w:w="0" w:type="dxa"/>
              <w:right w:w="85" w:type="dxa"/>
            </w:tcMar>
            <w:vAlign w:val="center"/>
          </w:tcPr>
          <w:p w14:paraId="5F5CF0D5" w14:textId="77777777" w:rsidR="00447423" w:rsidRPr="002A3CBE" w:rsidRDefault="00447423" w:rsidP="00F16E23">
            <w:pPr>
              <w:pStyle w:val="TableText"/>
              <w:spacing w:before="40" w:after="40"/>
              <w:rPr>
                <w:rFonts w:eastAsia="Calibri"/>
              </w:rPr>
            </w:pPr>
            <w:r w:rsidRPr="002A3CBE">
              <w:rPr>
                <w:rFonts w:eastAsia="Calibri"/>
              </w:rPr>
              <w:t>Grassland</w:t>
            </w:r>
          </w:p>
        </w:tc>
        <w:tc>
          <w:tcPr>
            <w:tcW w:w="1128" w:type="dxa"/>
            <w:shd w:val="clear" w:color="auto" w:fill="FFFFFF"/>
            <w:tcMar>
              <w:top w:w="0" w:type="dxa"/>
              <w:left w:w="85" w:type="dxa"/>
              <w:bottom w:w="0" w:type="dxa"/>
              <w:right w:w="85" w:type="dxa"/>
            </w:tcMar>
            <w:vAlign w:val="center"/>
          </w:tcPr>
          <w:p w14:paraId="0B90010F" w14:textId="77777777" w:rsidR="00447423" w:rsidRPr="002A3CBE" w:rsidRDefault="00447423" w:rsidP="00F16E23">
            <w:pPr>
              <w:pStyle w:val="TableText"/>
              <w:spacing w:before="40" w:after="40"/>
              <w:jc w:val="right"/>
              <w:rPr>
                <w:rFonts w:eastAsia="Calibri"/>
              </w:rPr>
            </w:pPr>
            <w:r w:rsidRPr="002A3CBE">
              <w:rPr>
                <w:rFonts w:eastAsia="Calibri"/>
              </w:rPr>
              <w:t>819.9</w:t>
            </w:r>
          </w:p>
        </w:tc>
        <w:tc>
          <w:tcPr>
            <w:tcW w:w="1128" w:type="dxa"/>
            <w:shd w:val="clear" w:color="auto" w:fill="FFFFFF"/>
            <w:tcMar>
              <w:top w:w="0" w:type="dxa"/>
              <w:left w:w="85" w:type="dxa"/>
              <w:bottom w:w="0" w:type="dxa"/>
              <w:right w:w="85" w:type="dxa"/>
            </w:tcMar>
            <w:vAlign w:val="center"/>
          </w:tcPr>
          <w:p w14:paraId="2E856295" w14:textId="77777777" w:rsidR="00447423" w:rsidRPr="002A3CBE" w:rsidRDefault="00447423" w:rsidP="00F16E23">
            <w:pPr>
              <w:pStyle w:val="TableText"/>
              <w:spacing w:before="40" w:after="40"/>
              <w:jc w:val="right"/>
              <w:rPr>
                <w:rFonts w:eastAsia="Calibri"/>
              </w:rPr>
            </w:pPr>
            <w:r w:rsidRPr="002A3CBE">
              <w:rPr>
                <w:rFonts w:eastAsia="Calibri"/>
              </w:rPr>
              <w:t>1,990.1</w:t>
            </w:r>
          </w:p>
        </w:tc>
        <w:tc>
          <w:tcPr>
            <w:tcW w:w="1128" w:type="dxa"/>
            <w:shd w:val="clear" w:color="auto" w:fill="FFFFFF"/>
            <w:tcMar>
              <w:top w:w="0" w:type="dxa"/>
              <w:left w:w="85" w:type="dxa"/>
              <w:bottom w:w="0" w:type="dxa"/>
              <w:right w:w="85" w:type="dxa"/>
            </w:tcMar>
            <w:vAlign w:val="center"/>
          </w:tcPr>
          <w:p w14:paraId="4E23C891" w14:textId="77777777" w:rsidR="00447423" w:rsidRPr="002A3CBE" w:rsidRDefault="00447423" w:rsidP="00F16E23">
            <w:pPr>
              <w:pStyle w:val="TableText"/>
              <w:spacing w:before="40" w:after="40"/>
              <w:jc w:val="right"/>
              <w:rPr>
                <w:rFonts w:eastAsia="Calibri"/>
              </w:rPr>
            </w:pPr>
            <w:r w:rsidRPr="002A3CBE">
              <w:rPr>
                <w:rFonts w:eastAsia="Calibri"/>
              </w:rPr>
              <w:t>2,884.2</w:t>
            </w:r>
          </w:p>
        </w:tc>
        <w:tc>
          <w:tcPr>
            <w:tcW w:w="1128" w:type="dxa"/>
            <w:shd w:val="clear" w:color="auto" w:fill="FFFFFF"/>
            <w:tcMar>
              <w:top w:w="0" w:type="dxa"/>
              <w:left w:w="85" w:type="dxa"/>
              <w:bottom w:w="0" w:type="dxa"/>
              <w:right w:w="85" w:type="dxa"/>
            </w:tcMar>
            <w:vAlign w:val="center"/>
          </w:tcPr>
          <w:p w14:paraId="4DD245BB" w14:textId="77777777" w:rsidR="00447423" w:rsidRPr="002A3CBE" w:rsidRDefault="00447423" w:rsidP="00F16E23">
            <w:pPr>
              <w:pStyle w:val="TableText"/>
              <w:spacing w:before="40" w:after="40"/>
              <w:jc w:val="right"/>
              <w:rPr>
                <w:rFonts w:eastAsia="Calibri"/>
              </w:rPr>
            </w:pPr>
            <w:r w:rsidRPr="002A3CBE">
              <w:rPr>
                <w:rFonts w:eastAsia="Calibri"/>
              </w:rPr>
              <w:t>3,014.0</w:t>
            </w:r>
          </w:p>
        </w:tc>
        <w:tc>
          <w:tcPr>
            <w:tcW w:w="1020" w:type="dxa"/>
            <w:shd w:val="clear" w:color="auto" w:fill="FFFFFF"/>
            <w:tcMar>
              <w:top w:w="0" w:type="dxa"/>
              <w:left w:w="85" w:type="dxa"/>
              <w:bottom w:w="0" w:type="dxa"/>
              <w:right w:w="85" w:type="dxa"/>
            </w:tcMar>
            <w:vAlign w:val="center"/>
          </w:tcPr>
          <w:p w14:paraId="16C9F5B9" w14:textId="77777777" w:rsidR="00447423" w:rsidRPr="002A3CBE" w:rsidRDefault="00447423" w:rsidP="00F16E23">
            <w:pPr>
              <w:pStyle w:val="TableText"/>
              <w:spacing w:before="40" w:after="40"/>
              <w:jc w:val="right"/>
              <w:rPr>
                <w:rFonts w:eastAsia="Calibri"/>
              </w:rPr>
            </w:pPr>
            <w:r w:rsidRPr="002A3CBE">
              <w:rPr>
                <w:rFonts w:eastAsia="Calibri"/>
              </w:rPr>
              <w:t>142.7</w:t>
            </w:r>
          </w:p>
        </w:tc>
        <w:tc>
          <w:tcPr>
            <w:tcW w:w="1020" w:type="dxa"/>
            <w:shd w:val="clear" w:color="auto" w:fill="FFFFFF"/>
            <w:tcMar>
              <w:top w:w="0" w:type="dxa"/>
              <w:left w:w="85" w:type="dxa"/>
              <w:bottom w:w="0" w:type="dxa"/>
              <w:right w:w="85" w:type="dxa"/>
            </w:tcMar>
            <w:vAlign w:val="center"/>
          </w:tcPr>
          <w:p w14:paraId="5CE46511" w14:textId="77777777" w:rsidR="00447423" w:rsidRPr="002A3CBE" w:rsidRDefault="00447423" w:rsidP="00F16E23">
            <w:pPr>
              <w:pStyle w:val="TableText"/>
              <w:spacing w:before="40" w:after="40"/>
              <w:jc w:val="right"/>
              <w:rPr>
                <w:rFonts w:eastAsia="Calibri"/>
              </w:rPr>
            </w:pPr>
            <w:r w:rsidRPr="002A3CBE">
              <w:rPr>
                <w:rFonts w:eastAsia="Calibri"/>
              </w:rPr>
              <w:t>4.5</w:t>
            </w:r>
          </w:p>
        </w:tc>
      </w:tr>
      <w:tr w:rsidR="00447423" w:rsidRPr="002A3CBE" w14:paraId="7FD2D052" w14:textId="77777777" w:rsidTr="00F16E23">
        <w:tc>
          <w:tcPr>
            <w:tcW w:w="1928" w:type="dxa"/>
            <w:shd w:val="clear" w:color="auto" w:fill="FFFFFF"/>
            <w:tcMar>
              <w:top w:w="0" w:type="dxa"/>
              <w:left w:w="85" w:type="dxa"/>
              <w:bottom w:w="0" w:type="dxa"/>
              <w:right w:w="85" w:type="dxa"/>
            </w:tcMar>
            <w:vAlign w:val="center"/>
          </w:tcPr>
          <w:p w14:paraId="21184CDA" w14:textId="77777777" w:rsidR="00447423" w:rsidRPr="002A3CBE" w:rsidRDefault="00447423" w:rsidP="00F16E23">
            <w:pPr>
              <w:pStyle w:val="TableText"/>
              <w:spacing w:before="40" w:after="40"/>
              <w:rPr>
                <w:rFonts w:eastAsia="Calibri"/>
              </w:rPr>
            </w:pPr>
            <w:r w:rsidRPr="002A3CBE">
              <w:rPr>
                <w:rFonts w:eastAsia="Calibri"/>
              </w:rPr>
              <w:t>Wetlands</w:t>
            </w:r>
          </w:p>
        </w:tc>
        <w:tc>
          <w:tcPr>
            <w:tcW w:w="1128" w:type="dxa"/>
            <w:shd w:val="clear" w:color="auto" w:fill="FFFFFF"/>
            <w:tcMar>
              <w:top w:w="0" w:type="dxa"/>
              <w:left w:w="85" w:type="dxa"/>
              <w:bottom w:w="0" w:type="dxa"/>
              <w:right w:w="85" w:type="dxa"/>
            </w:tcMar>
            <w:vAlign w:val="center"/>
          </w:tcPr>
          <w:p w14:paraId="3C4910B3" w14:textId="77777777" w:rsidR="00447423" w:rsidRPr="002A3CBE" w:rsidRDefault="00447423" w:rsidP="00F16E23">
            <w:pPr>
              <w:pStyle w:val="TableText"/>
              <w:spacing w:before="40" w:after="40"/>
              <w:jc w:val="right"/>
              <w:rPr>
                <w:rFonts w:eastAsia="Calibri"/>
              </w:rPr>
            </w:pPr>
            <w:r w:rsidRPr="002A3CBE">
              <w:rPr>
                <w:rFonts w:eastAsia="Calibri"/>
              </w:rPr>
              <w:t>-8.3</w:t>
            </w:r>
          </w:p>
        </w:tc>
        <w:tc>
          <w:tcPr>
            <w:tcW w:w="1128" w:type="dxa"/>
            <w:shd w:val="clear" w:color="auto" w:fill="FFFFFF"/>
            <w:tcMar>
              <w:top w:w="0" w:type="dxa"/>
              <w:left w:w="85" w:type="dxa"/>
              <w:bottom w:w="0" w:type="dxa"/>
              <w:right w:w="85" w:type="dxa"/>
            </w:tcMar>
            <w:vAlign w:val="center"/>
          </w:tcPr>
          <w:p w14:paraId="5A128422" w14:textId="77777777" w:rsidR="00447423" w:rsidRPr="002A3CBE" w:rsidRDefault="00447423" w:rsidP="00F16E23">
            <w:pPr>
              <w:pStyle w:val="TableText"/>
              <w:spacing w:before="40" w:after="40"/>
              <w:jc w:val="right"/>
              <w:rPr>
                <w:rFonts w:eastAsia="Calibri"/>
              </w:rPr>
            </w:pPr>
            <w:r w:rsidRPr="002A3CBE">
              <w:rPr>
                <w:rFonts w:eastAsia="Calibri"/>
              </w:rPr>
              <w:t>-8.1</w:t>
            </w:r>
          </w:p>
        </w:tc>
        <w:tc>
          <w:tcPr>
            <w:tcW w:w="1128" w:type="dxa"/>
            <w:shd w:val="clear" w:color="auto" w:fill="FFFFFF"/>
            <w:tcMar>
              <w:top w:w="0" w:type="dxa"/>
              <w:left w:w="85" w:type="dxa"/>
              <w:bottom w:w="0" w:type="dxa"/>
              <w:right w:w="85" w:type="dxa"/>
            </w:tcMar>
            <w:vAlign w:val="center"/>
          </w:tcPr>
          <w:p w14:paraId="1363F5C7" w14:textId="77777777" w:rsidR="00447423" w:rsidRPr="002A3CBE" w:rsidRDefault="00447423" w:rsidP="00F16E23">
            <w:pPr>
              <w:pStyle w:val="TableText"/>
              <w:spacing w:before="40" w:after="40"/>
              <w:jc w:val="right"/>
              <w:rPr>
                <w:rFonts w:eastAsia="Calibri"/>
              </w:rPr>
            </w:pPr>
            <w:r w:rsidRPr="002A3CBE">
              <w:rPr>
                <w:rFonts w:eastAsia="Calibri"/>
              </w:rPr>
              <w:t>7.5</w:t>
            </w:r>
          </w:p>
        </w:tc>
        <w:tc>
          <w:tcPr>
            <w:tcW w:w="1128" w:type="dxa"/>
            <w:shd w:val="clear" w:color="auto" w:fill="FFFFFF"/>
            <w:tcMar>
              <w:top w:w="0" w:type="dxa"/>
              <w:left w:w="85" w:type="dxa"/>
              <w:bottom w:w="0" w:type="dxa"/>
              <w:right w:w="85" w:type="dxa"/>
            </w:tcMar>
            <w:vAlign w:val="center"/>
          </w:tcPr>
          <w:p w14:paraId="7CD89C92" w14:textId="77777777" w:rsidR="00447423" w:rsidRPr="002A3CBE" w:rsidRDefault="00447423" w:rsidP="00F16E23">
            <w:pPr>
              <w:pStyle w:val="TableText"/>
              <w:spacing w:before="40" w:after="40"/>
              <w:jc w:val="right"/>
              <w:rPr>
                <w:rFonts w:eastAsia="Calibri"/>
              </w:rPr>
            </w:pPr>
            <w:r w:rsidRPr="002A3CBE">
              <w:rPr>
                <w:rFonts w:eastAsia="Calibri"/>
              </w:rPr>
              <w:t>6.4</w:t>
            </w:r>
          </w:p>
        </w:tc>
        <w:tc>
          <w:tcPr>
            <w:tcW w:w="1020" w:type="dxa"/>
            <w:shd w:val="clear" w:color="auto" w:fill="FFFFFF"/>
            <w:tcMar>
              <w:top w:w="0" w:type="dxa"/>
              <w:left w:w="85" w:type="dxa"/>
              <w:bottom w:w="0" w:type="dxa"/>
              <w:right w:w="85" w:type="dxa"/>
            </w:tcMar>
            <w:vAlign w:val="center"/>
          </w:tcPr>
          <w:p w14:paraId="1CFB7F9B" w14:textId="77777777" w:rsidR="00447423" w:rsidRPr="002A3CBE" w:rsidRDefault="00447423" w:rsidP="00F16E23">
            <w:pPr>
              <w:pStyle w:val="TableText"/>
              <w:spacing w:before="40" w:after="40"/>
              <w:jc w:val="right"/>
              <w:rPr>
                <w:rFonts w:eastAsia="Calibri"/>
              </w:rPr>
            </w:pPr>
            <w:r w:rsidRPr="002A3CBE">
              <w:rPr>
                <w:rFonts w:eastAsia="Calibri"/>
              </w:rPr>
              <w:t>1.8</w:t>
            </w:r>
          </w:p>
        </w:tc>
        <w:tc>
          <w:tcPr>
            <w:tcW w:w="1020" w:type="dxa"/>
            <w:shd w:val="clear" w:color="auto" w:fill="FFFFFF"/>
            <w:tcMar>
              <w:top w:w="0" w:type="dxa"/>
              <w:left w:w="85" w:type="dxa"/>
              <w:bottom w:w="0" w:type="dxa"/>
              <w:right w:w="85" w:type="dxa"/>
            </w:tcMar>
            <w:vAlign w:val="center"/>
          </w:tcPr>
          <w:p w14:paraId="775B2CCE" w14:textId="77777777" w:rsidR="00447423" w:rsidRPr="002A3CBE" w:rsidRDefault="00447423" w:rsidP="00F16E23">
            <w:pPr>
              <w:pStyle w:val="TableText"/>
              <w:spacing w:before="40" w:after="40"/>
              <w:jc w:val="right"/>
              <w:rPr>
                <w:rFonts w:eastAsia="Calibri"/>
              </w:rPr>
            </w:pPr>
            <w:r w:rsidRPr="002A3CBE">
              <w:rPr>
                <w:rFonts w:eastAsia="Calibri"/>
              </w:rPr>
              <w:t>-14.5</w:t>
            </w:r>
          </w:p>
        </w:tc>
      </w:tr>
      <w:tr w:rsidR="00447423" w:rsidRPr="002A3CBE" w14:paraId="762158C6" w14:textId="77777777" w:rsidTr="00F16E23">
        <w:tc>
          <w:tcPr>
            <w:tcW w:w="1928" w:type="dxa"/>
            <w:shd w:val="clear" w:color="auto" w:fill="FFFFFF"/>
            <w:tcMar>
              <w:top w:w="0" w:type="dxa"/>
              <w:left w:w="85" w:type="dxa"/>
              <w:bottom w:w="0" w:type="dxa"/>
              <w:right w:w="85" w:type="dxa"/>
            </w:tcMar>
            <w:vAlign w:val="center"/>
          </w:tcPr>
          <w:p w14:paraId="558ED2CC" w14:textId="77777777" w:rsidR="00447423" w:rsidRPr="002A3CBE" w:rsidRDefault="00447423" w:rsidP="00F16E23">
            <w:pPr>
              <w:pStyle w:val="TableText"/>
              <w:spacing w:before="40" w:after="40"/>
              <w:rPr>
                <w:rFonts w:eastAsia="Calibri"/>
              </w:rPr>
            </w:pPr>
            <w:r w:rsidRPr="002A3CBE">
              <w:rPr>
                <w:rFonts w:eastAsia="Calibri"/>
              </w:rPr>
              <w:t>Settlements</w:t>
            </w:r>
          </w:p>
        </w:tc>
        <w:tc>
          <w:tcPr>
            <w:tcW w:w="1128" w:type="dxa"/>
            <w:shd w:val="clear" w:color="auto" w:fill="FFFFFF"/>
            <w:tcMar>
              <w:top w:w="0" w:type="dxa"/>
              <w:left w:w="85" w:type="dxa"/>
              <w:bottom w:w="0" w:type="dxa"/>
              <w:right w:w="85" w:type="dxa"/>
            </w:tcMar>
            <w:vAlign w:val="center"/>
          </w:tcPr>
          <w:p w14:paraId="6339C36F" w14:textId="77777777" w:rsidR="00447423" w:rsidRPr="002A3CBE" w:rsidRDefault="00447423" w:rsidP="00F16E23">
            <w:pPr>
              <w:pStyle w:val="TableText"/>
              <w:spacing w:before="40" w:after="40"/>
              <w:jc w:val="right"/>
              <w:rPr>
                <w:rFonts w:eastAsia="Calibri"/>
              </w:rPr>
            </w:pPr>
            <w:r w:rsidRPr="002A3CBE">
              <w:rPr>
                <w:rFonts w:eastAsia="Calibri"/>
              </w:rPr>
              <w:t>78.5</w:t>
            </w:r>
          </w:p>
        </w:tc>
        <w:tc>
          <w:tcPr>
            <w:tcW w:w="1128" w:type="dxa"/>
            <w:shd w:val="clear" w:color="auto" w:fill="FFFFFF"/>
            <w:tcMar>
              <w:top w:w="0" w:type="dxa"/>
              <w:left w:w="85" w:type="dxa"/>
              <w:bottom w:w="0" w:type="dxa"/>
              <w:right w:w="85" w:type="dxa"/>
            </w:tcMar>
            <w:vAlign w:val="center"/>
          </w:tcPr>
          <w:p w14:paraId="3A0B65AC" w14:textId="77777777" w:rsidR="00447423" w:rsidRPr="002A3CBE" w:rsidRDefault="00447423" w:rsidP="00F16E23">
            <w:pPr>
              <w:pStyle w:val="TableText"/>
              <w:spacing w:before="40" w:after="40"/>
              <w:jc w:val="right"/>
              <w:rPr>
                <w:rFonts w:eastAsia="Calibri"/>
              </w:rPr>
            </w:pPr>
            <w:r w:rsidRPr="002A3CBE">
              <w:rPr>
                <w:rFonts w:eastAsia="Calibri"/>
              </w:rPr>
              <w:t>69.8</w:t>
            </w:r>
          </w:p>
        </w:tc>
        <w:tc>
          <w:tcPr>
            <w:tcW w:w="1128" w:type="dxa"/>
            <w:shd w:val="clear" w:color="auto" w:fill="FFFFFF"/>
            <w:tcMar>
              <w:top w:w="0" w:type="dxa"/>
              <w:left w:w="85" w:type="dxa"/>
              <w:bottom w:w="0" w:type="dxa"/>
              <w:right w:w="85" w:type="dxa"/>
            </w:tcMar>
            <w:vAlign w:val="center"/>
          </w:tcPr>
          <w:p w14:paraId="624843FC" w14:textId="77777777" w:rsidR="00447423" w:rsidRPr="002A3CBE" w:rsidRDefault="00447423" w:rsidP="00F16E23">
            <w:pPr>
              <w:pStyle w:val="TableText"/>
              <w:spacing w:before="40" w:after="40"/>
              <w:jc w:val="right"/>
              <w:rPr>
                <w:rFonts w:eastAsia="Calibri"/>
              </w:rPr>
            </w:pPr>
            <w:r w:rsidRPr="002A3CBE">
              <w:rPr>
                <w:rFonts w:eastAsia="Calibri"/>
              </w:rPr>
              <w:t>119.3</w:t>
            </w:r>
          </w:p>
        </w:tc>
        <w:tc>
          <w:tcPr>
            <w:tcW w:w="1128" w:type="dxa"/>
            <w:shd w:val="clear" w:color="auto" w:fill="FFFFFF"/>
            <w:tcMar>
              <w:top w:w="0" w:type="dxa"/>
              <w:left w:w="85" w:type="dxa"/>
              <w:bottom w:w="0" w:type="dxa"/>
              <w:right w:w="85" w:type="dxa"/>
            </w:tcMar>
            <w:vAlign w:val="center"/>
          </w:tcPr>
          <w:p w14:paraId="096505D9" w14:textId="77777777" w:rsidR="00447423" w:rsidRPr="002A3CBE" w:rsidRDefault="00447423" w:rsidP="00F16E23">
            <w:pPr>
              <w:pStyle w:val="TableText"/>
              <w:spacing w:before="40" w:after="40"/>
              <w:jc w:val="right"/>
              <w:rPr>
                <w:rFonts w:eastAsia="Calibri"/>
              </w:rPr>
            </w:pPr>
            <w:r w:rsidRPr="002A3CBE">
              <w:rPr>
                <w:rFonts w:eastAsia="Calibri"/>
              </w:rPr>
              <w:t>115.8</w:t>
            </w:r>
          </w:p>
        </w:tc>
        <w:tc>
          <w:tcPr>
            <w:tcW w:w="1020" w:type="dxa"/>
            <w:shd w:val="clear" w:color="auto" w:fill="FFFFFF"/>
            <w:tcMar>
              <w:top w:w="0" w:type="dxa"/>
              <w:left w:w="85" w:type="dxa"/>
              <w:bottom w:w="0" w:type="dxa"/>
              <w:right w:w="85" w:type="dxa"/>
            </w:tcMar>
            <w:vAlign w:val="center"/>
          </w:tcPr>
          <w:p w14:paraId="039E0D82" w14:textId="77777777" w:rsidR="00447423" w:rsidRPr="002A3CBE" w:rsidRDefault="00447423" w:rsidP="00F16E23">
            <w:pPr>
              <w:pStyle w:val="TableText"/>
              <w:spacing w:before="40" w:after="40"/>
              <w:jc w:val="right"/>
              <w:rPr>
                <w:rFonts w:eastAsia="Calibri"/>
              </w:rPr>
            </w:pPr>
            <w:r w:rsidRPr="002A3CBE">
              <w:rPr>
                <w:rFonts w:eastAsia="Calibri"/>
              </w:rPr>
              <w:t>-11.1</w:t>
            </w:r>
          </w:p>
        </w:tc>
        <w:tc>
          <w:tcPr>
            <w:tcW w:w="1020" w:type="dxa"/>
            <w:shd w:val="clear" w:color="auto" w:fill="FFFFFF"/>
            <w:tcMar>
              <w:top w:w="0" w:type="dxa"/>
              <w:left w:w="85" w:type="dxa"/>
              <w:bottom w:w="0" w:type="dxa"/>
              <w:right w:w="85" w:type="dxa"/>
            </w:tcMar>
            <w:vAlign w:val="center"/>
          </w:tcPr>
          <w:p w14:paraId="6178E621" w14:textId="77777777" w:rsidR="00447423" w:rsidRPr="002A3CBE" w:rsidRDefault="00447423" w:rsidP="00F16E23">
            <w:pPr>
              <w:pStyle w:val="TableText"/>
              <w:spacing w:before="40" w:after="40"/>
              <w:jc w:val="right"/>
              <w:rPr>
                <w:rFonts w:eastAsia="Calibri"/>
              </w:rPr>
            </w:pPr>
            <w:r w:rsidRPr="002A3CBE">
              <w:rPr>
                <w:rFonts w:eastAsia="Calibri"/>
              </w:rPr>
              <w:t>-2.9</w:t>
            </w:r>
          </w:p>
        </w:tc>
      </w:tr>
      <w:tr w:rsidR="00447423" w:rsidRPr="002A3CBE" w14:paraId="3D6D74E5" w14:textId="77777777" w:rsidTr="00F16E23">
        <w:tc>
          <w:tcPr>
            <w:tcW w:w="1928" w:type="dxa"/>
            <w:shd w:val="clear" w:color="auto" w:fill="FFFFFF"/>
            <w:tcMar>
              <w:top w:w="0" w:type="dxa"/>
              <w:left w:w="85" w:type="dxa"/>
              <w:bottom w:w="0" w:type="dxa"/>
              <w:right w:w="85" w:type="dxa"/>
            </w:tcMar>
            <w:vAlign w:val="center"/>
          </w:tcPr>
          <w:p w14:paraId="7857AD7F" w14:textId="77777777" w:rsidR="00447423" w:rsidRPr="002A3CBE" w:rsidRDefault="00447423" w:rsidP="00F16E23">
            <w:pPr>
              <w:pStyle w:val="TableText"/>
              <w:spacing w:before="40" w:after="40"/>
              <w:rPr>
                <w:rFonts w:eastAsia="Calibri"/>
              </w:rPr>
            </w:pPr>
            <w:r w:rsidRPr="002A3CBE">
              <w:rPr>
                <w:rFonts w:eastAsia="Calibri"/>
              </w:rPr>
              <w:t>Other land</w:t>
            </w:r>
          </w:p>
        </w:tc>
        <w:tc>
          <w:tcPr>
            <w:tcW w:w="1128" w:type="dxa"/>
            <w:shd w:val="clear" w:color="auto" w:fill="FFFFFF"/>
            <w:tcMar>
              <w:top w:w="0" w:type="dxa"/>
              <w:left w:w="85" w:type="dxa"/>
              <w:bottom w:w="0" w:type="dxa"/>
              <w:right w:w="85" w:type="dxa"/>
            </w:tcMar>
            <w:vAlign w:val="center"/>
          </w:tcPr>
          <w:p w14:paraId="56A7CDDB" w14:textId="77777777" w:rsidR="00447423" w:rsidRPr="002A3CBE" w:rsidRDefault="00447423" w:rsidP="00F16E23">
            <w:pPr>
              <w:pStyle w:val="TableText"/>
              <w:spacing w:before="40" w:after="40"/>
              <w:jc w:val="right"/>
              <w:rPr>
                <w:rFonts w:eastAsia="Calibri"/>
              </w:rPr>
            </w:pPr>
            <w:r w:rsidRPr="002A3CBE">
              <w:rPr>
                <w:rFonts w:eastAsia="Calibri"/>
              </w:rPr>
              <w:t>14.8</w:t>
            </w:r>
          </w:p>
        </w:tc>
        <w:tc>
          <w:tcPr>
            <w:tcW w:w="1128" w:type="dxa"/>
            <w:shd w:val="clear" w:color="auto" w:fill="FFFFFF"/>
            <w:tcMar>
              <w:top w:w="0" w:type="dxa"/>
              <w:left w:w="85" w:type="dxa"/>
              <w:bottom w:w="0" w:type="dxa"/>
              <w:right w:w="85" w:type="dxa"/>
            </w:tcMar>
            <w:vAlign w:val="center"/>
          </w:tcPr>
          <w:p w14:paraId="7E9139F9" w14:textId="77777777" w:rsidR="00447423" w:rsidRPr="002A3CBE" w:rsidRDefault="00447423" w:rsidP="00F16E23">
            <w:pPr>
              <w:pStyle w:val="TableText"/>
              <w:spacing w:before="40" w:after="40"/>
              <w:jc w:val="right"/>
              <w:rPr>
                <w:rFonts w:eastAsia="Calibri"/>
              </w:rPr>
            </w:pPr>
            <w:r w:rsidRPr="002A3CBE">
              <w:rPr>
                <w:rFonts w:eastAsia="Calibri"/>
              </w:rPr>
              <w:t>14.7</w:t>
            </w:r>
          </w:p>
        </w:tc>
        <w:tc>
          <w:tcPr>
            <w:tcW w:w="1128" w:type="dxa"/>
            <w:shd w:val="clear" w:color="auto" w:fill="FFFFFF"/>
            <w:tcMar>
              <w:top w:w="0" w:type="dxa"/>
              <w:left w:w="85" w:type="dxa"/>
              <w:bottom w:w="0" w:type="dxa"/>
              <w:right w:w="85" w:type="dxa"/>
            </w:tcMar>
            <w:vAlign w:val="center"/>
          </w:tcPr>
          <w:p w14:paraId="246A097C" w14:textId="77777777" w:rsidR="00447423" w:rsidRPr="002A3CBE" w:rsidRDefault="00447423" w:rsidP="00F16E23">
            <w:pPr>
              <w:pStyle w:val="TableText"/>
              <w:spacing w:before="40" w:after="40"/>
              <w:jc w:val="right"/>
              <w:rPr>
                <w:rFonts w:eastAsia="Calibri"/>
              </w:rPr>
            </w:pPr>
            <w:r w:rsidRPr="002A3CBE">
              <w:rPr>
                <w:rFonts w:eastAsia="Calibri"/>
              </w:rPr>
              <w:t>86.1</w:t>
            </w:r>
          </w:p>
        </w:tc>
        <w:tc>
          <w:tcPr>
            <w:tcW w:w="1128" w:type="dxa"/>
            <w:shd w:val="clear" w:color="auto" w:fill="FFFFFF"/>
            <w:tcMar>
              <w:top w:w="0" w:type="dxa"/>
              <w:left w:w="85" w:type="dxa"/>
              <w:bottom w:w="0" w:type="dxa"/>
              <w:right w:w="85" w:type="dxa"/>
            </w:tcMar>
            <w:vAlign w:val="center"/>
          </w:tcPr>
          <w:p w14:paraId="12FA8FA0" w14:textId="77777777" w:rsidR="00447423" w:rsidRPr="002A3CBE" w:rsidRDefault="00447423" w:rsidP="00F16E23">
            <w:pPr>
              <w:pStyle w:val="TableText"/>
              <w:spacing w:before="40" w:after="40"/>
              <w:jc w:val="right"/>
              <w:rPr>
                <w:rFonts w:eastAsia="Calibri"/>
              </w:rPr>
            </w:pPr>
            <w:r w:rsidRPr="002A3CBE">
              <w:rPr>
                <w:rFonts w:eastAsia="Calibri"/>
              </w:rPr>
              <w:t>76.9</w:t>
            </w:r>
          </w:p>
        </w:tc>
        <w:tc>
          <w:tcPr>
            <w:tcW w:w="1020" w:type="dxa"/>
            <w:shd w:val="clear" w:color="auto" w:fill="FFFFFF"/>
            <w:tcMar>
              <w:top w:w="0" w:type="dxa"/>
              <w:left w:w="85" w:type="dxa"/>
              <w:bottom w:w="0" w:type="dxa"/>
              <w:right w:w="85" w:type="dxa"/>
            </w:tcMar>
            <w:vAlign w:val="center"/>
          </w:tcPr>
          <w:p w14:paraId="31649BBB" w14:textId="77777777" w:rsidR="00447423" w:rsidRPr="002A3CBE" w:rsidRDefault="00447423" w:rsidP="00F16E23">
            <w:pPr>
              <w:pStyle w:val="TableText"/>
              <w:spacing w:before="40" w:after="40"/>
              <w:jc w:val="right"/>
              <w:rPr>
                <w:rFonts w:eastAsia="Calibri"/>
              </w:rPr>
            </w:pPr>
            <w:r w:rsidRPr="002A3CBE">
              <w:rPr>
                <w:rFonts w:eastAsia="Calibri"/>
              </w:rPr>
              <w:t>-0.5</w:t>
            </w:r>
          </w:p>
        </w:tc>
        <w:tc>
          <w:tcPr>
            <w:tcW w:w="1020" w:type="dxa"/>
            <w:shd w:val="clear" w:color="auto" w:fill="FFFFFF"/>
            <w:tcMar>
              <w:top w:w="0" w:type="dxa"/>
              <w:left w:w="85" w:type="dxa"/>
              <w:bottom w:w="0" w:type="dxa"/>
              <w:right w:w="85" w:type="dxa"/>
            </w:tcMar>
            <w:vAlign w:val="center"/>
          </w:tcPr>
          <w:p w14:paraId="7BB72E05" w14:textId="77777777" w:rsidR="00447423" w:rsidRPr="002A3CBE" w:rsidRDefault="00447423" w:rsidP="00F16E23">
            <w:pPr>
              <w:pStyle w:val="TableText"/>
              <w:spacing w:before="40" w:after="40"/>
              <w:jc w:val="right"/>
              <w:rPr>
                <w:rFonts w:eastAsia="Calibri"/>
              </w:rPr>
            </w:pPr>
            <w:r w:rsidRPr="002A3CBE">
              <w:rPr>
                <w:rFonts w:eastAsia="Calibri"/>
              </w:rPr>
              <w:t>-10.7</w:t>
            </w:r>
          </w:p>
        </w:tc>
      </w:tr>
      <w:tr w:rsidR="00447423" w:rsidRPr="002A3CBE" w14:paraId="20C1BE9B" w14:textId="77777777" w:rsidTr="00F16E23">
        <w:tc>
          <w:tcPr>
            <w:tcW w:w="1928" w:type="dxa"/>
            <w:shd w:val="clear" w:color="auto" w:fill="FFFFFF"/>
            <w:tcMar>
              <w:top w:w="0" w:type="dxa"/>
              <w:left w:w="85" w:type="dxa"/>
              <w:bottom w:w="0" w:type="dxa"/>
              <w:right w:w="85" w:type="dxa"/>
            </w:tcMar>
            <w:vAlign w:val="center"/>
          </w:tcPr>
          <w:p w14:paraId="2B2A516E" w14:textId="77777777" w:rsidR="00447423" w:rsidRPr="002A3CBE" w:rsidRDefault="00447423" w:rsidP="00F16E23">
            <w:pPr>
              <w:pStyle w:val="TableText"/>
              <w:spacing w:before="40" w:after="40"/>
              <w:rPr>
                <w:rFonts w:eastAsia="Calibri"/>
              </w:rPr>
            </w:pPr>
            <w:r w:rsidRPr="002A3CBE">
              <w:rPr>
                <w:rFonts w:eastAsia="Calibri"/>
              </w:rPr>
              <w:t>Harvested wood products</w:t>
            </w:r>
          </w:p>
        </w:tc>
        <w:tc>
          <w:tcPr>
            <w:tcW w:w="1128" w:type="dxa"/>
            <w:shd w:val="clear" w:color="auto" w:fill="FFFFFF"/>
            <w:tcMar>
              <w:top w:w="0" w:type="dxa"/>
              <w:left w:w="85" w:type="dxa"/>
              <w:bottom w:w="0" w:type="dxa"/>
              <w:right w:w="85" w:type="dxa"/>
            </w:tcMar>
            <w:vAlign w:val="center"/>
          </w:tcPr>
          <w:p w14:paraId="1182B371" w14:textId="77777777" w:rsidR="00447423" w:rsidRPr="002A3CBE" w:rsidRDefault="00447423" w:rsidP="00F16E23">
            <w:pPr>
              <w:pStyle w:val="TableText"/>
              <w:spacing w:before="40" w:after="40"/>
              <w:jc w:val="right"/>
              <w:rPr>
                <w:rFonts w:eastAsia="Calibri"/>
              </w:rPr>
            </w:pPr>
            <w:r w:rsidRPr="002A3CBE">
              <w:rPr>
                <w:rFonts w:eastAsia="Calibri"/>
              </w:rPr>
              <w:t>-2,437.8</w:t>
            </w:r>
          </w:p>
        </w:tc>
        <w:tc>
          <w:tcPr>
            <w:tcW w:w="1128" w:type="dxa"/>
            <w:shd w:val="clear" w:color="auto" w:fill="FFFFFF"/>
            <w:tcMar>
              <w:top w:w="0" w:type="dxa"/>
              <w:left w:w="85" w:type="dxa"/>
              <w:bottom w:w="0" w:type="dxa"/>
              <w:right w:w="85" w:type="dxa"/>
            </w:tcMar>
            <w:vAlign w:val="center"/>
          </w:tcPr>
          <w:p w14:paraId="5E2ABEA8" w14:textId="77777777" w:rsidR="00447423" w:rsidRPr="002A3CBE" w:rsidRDefault="00447423" w:rsidP="00F16E23">
            <w:pPr>
              <w:pStyle w:val="TableText"/>
              <w:spacing w:before="40" w:after="40"/>
              <w:jc w:val="right"/>
              <w:rPr>
                <w:rFonts w:eastAsia="Calibri"/>
              </w:rPr>
            </w:pPr>
            <w:r w:rsidRPr="002A3CBE">
              <w:rPr>
                <w:rFonts w:eastAsia="Calibri"/>
              </w:rPr>
              <w:t>-2,437.8</w:t>
            </w:r>
          </w:p>
        </w:tc>
        <w:tc>
          <w:tcPr>
            <w:tcW w:w="1128" w:type="dxa"/>
            <w:shd w:val="clear" w:color="auto" w:fill="FFFFFF"/>
            <w:tcMar>
              <w:top w:w="0" w:type="dxa"/>
              <w:left w:w="85" w:type="dxa"/>
              <w:bottom w:w="0" w:type="dxa"/>
              <w:right w:w="85" w:type="dxa"/>
            </w:tcMar>
            <w:vAlign w:val="center"/>
          </w:tcPr>
          <w:p w14:paraId="28E10D3F" w14:textId="77777777" w:rsidR="00447423" w:rsidRPr="002A3CBE" w:rsidRDefault="00447423" w:rsidP="00F16E23">
            <w:pPr>
              <w:pStyle w:val="TableText"/>
              <w:spacing w:before="40" w:after="40"/>
              <w:jc w:val="right"/>
              <w:rPr>
                <w:rFonts w:eastAsia="Calibri"/>
              </w:rPr>
            </w:pPr>
            <w:r w:rsidRPr="002A3CBE">
              <w:rPr>
                <w:rFonts w:eastAsia="Calibri"/>
              </w:rPr>
              <w:t>-5,808.3</w:t>
            </w:r>
          </w:p>
        </w:tc>
        <w:tc>
          <w:tcPr>
            <w:tcW w:w="1128" w:type="dxa"/>
            <w:shd w:val="clear" w:color="auto" w:fill="FFFFFF"/>
            <w:tcMar>
              <w:top w:w="0" w:type="dxa"/>
              <w:left w:w="85" w:type="dxa"/>
              <w:bottom w:w="0" w:type="dxa"/>
              <w:right w:w="85" w:type="dxa"/>
            </w:tcMar>
            <w:vAlign w:val="center"/>
          </w:tcPr>
          <w:p w14:paraId="5CC5F809" w14:textId="77777777" w:rsidR="00447423" w:rsidRPr="002A3CBE" w:rsidRDefault="00447423" w:rsidP="00F16E23">
            <w:pPr>
              <w:pStyle w:val="TableText"/>
              <w:spacing w:before="40" w:after="40"/>
              <w:jc w:val="right"/>
              <w:rPr>
                <w:rFonts w:eastAsia="Calibri"/>
              </w:rPr>
            </w:pPr>
            <w:r w:rsidRPr="002A3CBE">
              <w:rPr>
                <w:rFonts w:eastAsia="Calibri"/>
              </w:rPr>
              <w:t>-5,808.7</w:t>
            </w:r>
          </w:p>
        </w:tc>
        <w:tc>
          <w:tcPr>
            <w:tcW w:w="1020" w:type="dxa"/>
            <w:shd w:val="clear" w:color="auto" w:fill="FFFFFF"/>
            <w:tcMar>
              <w:top w:w="0" w:type="dxa"/>
              <w:left w:w="85" w:type="dxa"/>
              <w:bottom w:w="0" w:type="dxa"/>
              <w:right w:w="85" w:type="dxa"/>
            </w:tcMar>
            <w:vAlign w:val="center"/>
          </w:tcPr>
          <w:p w14:paraId="31C95C6B" w14:textId="77777777" w:rsidR="00447423" w:rsidRPr="002A3CBE" w:rsidRDefault="00447423" w:rsidP="00F16E23">
            <w:pPr>
              <w:pStyle w:val="TableText"/>
              <w:spacing w:before="40" w:after="40"/>
              <w:jc w:val="right"/>
              <w:rPr>
                <w:rFonts w:eastAsia="Calibri"/>
              </w:rPr>
            </w:pPr>
            <w:r w:rsidRPr="002A3CBE">
              <w:rPr>
                <w:rFonts w:eastAsia="Calibri"/>
              </w:rPr>
              <w:t>0.0</w:t>
            </w:r>
          </w:p>
        </w:tc>
        <w:tc>
          <w:tcPr>
            <w:tcW w:w="1020" w:type="dxa"/>
            <w:shd w:val="clear" w:color="auto" w:fill="FFFFFF"/>
            <w:tcMar>
              <w:top w:w="0" w:type="dxa"/>
              <w:left w:w="85" w:type="dxa"/>
              <w:bottom w:w="0" w:type="dxa"/>
              <w:right w:w="85" w:type="dxa"/>
            </w:tcMar>
            <w:vAlign w:val="center"/>
          </w:tcPr>
          <w:p w14:paraId="14EB44F9" w14:textId="77777777" w:rsidR="00447423" w:rsidRPr="002A3CBE" w:rsidRDefault="00447423" w:rsidP="00F16E23">
            <w:pPr>
              <w:pStyle w:val="TableText"/>
              <w:spacing w:before="40" w:after="40"/>
              <w:jc w:val="right"/>
              <w:rPr>
                <w:rFonts w:eastAsia="Calibri"/>
              </w:rPr>
            </w:pPr>
            <w:r w:rsidRPr="002A3CBE">
              <w:rPr>
                <w:rFonts w:eastAsia="Calibri"/>
              </w:rPr>
              <w:t>0.0</w:t>
            </w:r>
          </w:p>
        </w:tc>
      </w:tr>
      <w:tr w:rsidR="00447423" w:rsidRPr="002A3CBE" w14:paraId="44BA67A1" w14:textId="77777777" w:rsidTr="00F16E23">
        <w:tc>
          <w:tcPr>
            <w:tcW w:w="1928" w:type="dxa"/>
            <w:shd w:val="clear" w:color="auto" w:fill="FFFFFF"/>
            <w:tcMar>
              <w:top w:w="0" w:type="dxa"/>
              <w:left w:w="85" w:type="dxa"/>
              <w:bottom w:w="0" w:type="dxa"/>
              <w:right w:w="85" w:type="dxa"/>
            </w:tcMar>
            <w:vAlign w:val="center"/>
          </w:tcPr>
          <w:p w14:paraId="43B9F1FC"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128" w:type="dxa"/>
            <w:shd w:val="clear" w:color="auto" w:fill="FFFFFF"/>
            <w:tcMar>
              <w:top w:w="0" w:type="dxa"/>
              <w:left w:w="85" w:type="dxa"/>
              <w:bottom w:w="0" w:type="dxa"/>
              <w:right w:w="85" w:type="dxa"/>
            </w:tcMar>
            <w:vAlign w:val="center"/>
          </w:tcPr>
          <w:p w14:paraId="4F853ACB" w14:textId="77777777" w:rsidR="00447423" w:rsidRPr="002A3CBE" w:rsidRDefault="00447423" w:rsidP="00F16E23">
            <w:pPr>
              <w:pStyle w:val="Tableboldblue"/>
              <w:spacing w:before="40" w:after="40"/>
              <w:jc w:val="right"/>
              <w:rPr>
                <w:rFonts w:eastAsia="Calibri"/>
              </w:rPr>
            </w:pPr>
            <w:r w:rsidRPr="002A3CBE">
              <w:rPr>
                <w:rFonts w:eastAsia="Calibri"/>
              </w:rPr>
              <w:t>-24,334.1</w:t>
            </w:r>
          </w:p>
        </w:tc>
        <w:tc>
          <w:tcPr>
            <w:tcW w:w="1128" w:type="dxa"/>
            <w:shd w:val="clear" w:color="auto" w:fill="FFFFFF"/>
            <w:tcMar>
              <w:top w:w="0" w:type="dxa"/>
              <w:left w:w="85" w:type="dxa"/>
              <w:bottom w:w="0" w:type="dxa"/>
              <w:right w:w="85" w:type="dxa"/>
            </w:tcMar>
            <w:vAlign w:val="center"/>
          </w:tcPr>
          <w:p w14:paraId="452D6D50" w14:textId="77777777" w:rsidR="00447423" w:rsidRPr="002A3CBE" w:rsidRDefault="00447423" w:rsidP="00F16E23">
            <w:pPr>
              <w:pStyle w:val="Tableboldblue"/>
              <w:spacing w:before="40" w:after="40"/>
              <w:jc w:val="right"/>
              <w:rPr>
                <w:rFonts w:eastAsia="Calibri"/>
              </w:rPr>
            </w:pPr>
            <w:r w:rsidRPr="002A3CBE">
              <w:rPr>
                <w:rFonts w:eastAsia="Calibri"/>
              </w:rPr>
              <w:t>-23,334.5</w:t>
            </w:r>
          </w:p>
        </w:tc>
        <w:tc>
          <w:tcPr>
            <w:tcW w:w="1128" w:type="dxa"/>
            <w:shd w:val="clear" w:color="auto" w:fill="FFFFFF"/>
            <w:tcMar>
              <w:top w:w="0" w:type="dxa"/>
              <w:left w:w="85" w:type="dxa"/>
              <w:bottom w:w="0" w:type="dxa"/>
              <w:right w:w="85" w:type="dxa"/>
            </w:tcMar>
            <w:vAlign w:val="center"/>
          </w:tcPr>
          <w:p w14:paraId="7AC781A8" w14:textId="77777777" w:rsidR="00447423" w:rsidRPr="002A3CBE" w:rsidRDefault="00447423" w:rsidP="00F16E23">
            <w:pPr>
              <w:pStyle w:val="Tableboldblue"/>
              <w:spacing w:before="40" w:after="40"/>
              <w:jc w:val="right"/>
              <w:rPr>
                <w:rFonts w:eastAsia="Calibri"/>
              </w:rPr>
            </w:pPr>
            <w:r w:rsidRPr="002A3CBE">
              <w:rPr>
                <w:rFonts w:eastAsia="Calibri"/>
              </w:rPr>
              <w:t>4.1</w:t>
            </w:r>
          </w:p>
        </w:tc>
        <w:tc>
          <w:tcPr>
            <w:tcW w:w="1128" w:type="dxa"/>
            <w:shd w:val="clear" w:color="auto" w:fill="FFFFFF"/>
            <w:tcMar>
              <w:top w:w="0" w:type="dxa"/>
              <w:left w:w="85" w:type="dxa"/>
              <w:bottom w:w="0" w:type="dxa"/>
              <w:right w:w="85" w:type="dxa"/>
            </w:tcMar>
            <w:vAlign w:val="center"/>
          </w:tcPr>
          <w:p w14:paraId="52C603F0" w14:textId="77777777" w:rsidR="00447423" w:rsidRPr="002A3CBE" w:rsidRDefault="00447423" w:rsidP="00F16E23">
            <w:pPr>
              <w:pStyle w:val="Tableboldblue"/>
              <w:spacing w:before="40" w:after="40"/>
              <w:jc w:val="right"/>
              <w:rPr>
                <w:rFonts w:eastAsia="Calibri"/>
              </w:rPr>
            </w:pPr>
            <w:r w:rsidRPr="002A3CBE">
              <w:rPr>
                <w:rFonts w:eastAsia="Calibri"/>
              </w:rPr>
              <w:t>-20,197.1</w:t>
            </w:r>
          </w:p>
        </w:tc>
        <w:tc>
          <w:tcPr>
            <w:tcW w:w="1020" w:type="dxa"/>
            <w:shd w:val="clear" w:color="auto" w:fill="FFFFFF"/>
            <w:tcMar>
              <w:top w:w="0" w:type="dxa"/>
              <w:left w:w="85" w:type="dxa"/>
              <w:bottom w:w="0" w:type="dxa"/>
              <w:right w:w="85" w:type="dxa"/>
            </w:tcMar>
            <w:vAlign w:val="center"/>
          </w:tcPr>
          <w:p w14:paraId="1191FC69" w14:textId="77777777" w:rsidR="00447423" w:rsidRPr="002A3CBE" w:rsidRDefault="00447423" w:rsidP="00F16E23">
            <w:pPr>
              <w:pStyle w:val="Tableboldblue"/>
              <w:spacing w:before="40" w:after="40"/>
              <w:jc w:val="right"/>
              <w:rPr>
                <w:rFonts w:eastAsia="Calibri"/>
              </w:rPr>
            </w:pPr>
            <w:r w:rsidRPr="002A3CBE">
              <w:rPr>
                <w:rFonts w:eastAsia="Calibri"/>
              </w:rPr>
              <w:t>-19,966.5</w:t>
            </w:r>
          </w:p>
        </w:tc>
        <w:tc>
          <w:tcPr>
            <w:tcW w:w="1020" w:type="dxa"/>
            <w:shd w:val="clear" w:color="auto" w:fill="FFFFFF"/>
            <w:tcMar>
              <w:top w:w="0" w:type="dxa"/>
              <w:left w:w="85" w:type="dxa"/>
              <w:bottom w:w="0" w:type="dxa"/>
              <w:right w:w="85" w:type="dxa"/>
            </w:tcMar>
            <w:vAlign w:val="center"/>
          </w:tcPr>
          <w:p w14:paraId="288D030A" w14:textId="77777777" w:rsidR="00447423" w:rsidRPr="002A3CBE" w:rsidRDefault="00447423" w:rsidP="00F16E23">
            <w:pPr>
              <w:pStyle w:val="Tableboldblue"/>
              <w:spacing w:before="40" w:after="40"/>
              <w:jc w:val="right"/>
              <w:rPr>
                <w:rFonts w:eastAsia="Calibri"/>
              </w:rPr>
            </w:pPr>
            <w:r w:rsidRPr="002A3CBE">
              <w:rPr>
                <w:rFonts w:eastAsia="Calibri"/>
              </w:rPr>
              <w:t>1.1</w:t>
            </w:r>
          </w:p>
        </w:tc>
      </w:tr>
    </w:tbl>
    <w:p w14:paraId="3E2672E4" w14:textId="77777777" w:rsidR="00447423" w:rsidRPr="002A3CBE" w:rsidRDefault="00447423" w:rsidP="00447423">
      <w:pPr>
        <w:pStyle w:val="Noteundertable"/>
        <w:tabs>
          <w:tab w:val="clear" w:pos="567"/>
        </w:tabs>
        <w:ind w:left="794" w:hanging="794"/>
      </w:pPr>
      <w:r w:rsidRPr="002A3CBE">
        <w:rPr>
          <w:b/>
        </w:rPr>
        <w:t>Note:</w:t>
      </w:r>
      <w:r w:rsidRPr="002A3CBE">
        <w:tab/>
      </w:r>
      <w:r w:rsidRPr="002A3CBE">
        <w:rPr>
          <w:spacing w:val="-2"/>
        </w:rPr>
        <w:t>Net emissions are expressed as a negative value in the table to help clarify that the value is a removal (of</w:t>
      </w:r>
      <w:r w:rsidRPr="002A3CBE">
        <w:t xml:space="preserve"> carbon dioxide equivalent from the atmosphere) and not an emission. Columns may not total due to rounding. </w:t>
      </w:r>
    </w:p>
    <w:p w14:paraId="641261C7" w14:textId="77777777" w:rsidR="00447423" w:rsidRPr="002A3CBE" w:rsidRDefault="00447423" w:rsidP="00447423">
      <w:pPr>
        <w:pStyle w:val="BodyText"/>
        <w:spacing w:after="100"/>
      </w:pPr>
      <w:r w:rsidRPr="002A3CBE">
        <w:t xml:space="preserve">More information on the recalculations is provided in the relevant category-specific recalculations sections below and in chapter 10. </w:t>
      </w:r>
    </w:p>
    <w:p w14:paraId="303DFE0A" w14:textId="77777777" w:rsidR="00447423" w:rsidRPr="002A3CBE" w:rsidRDefault="00447423" w:rsidP="00447423">
      <w:pPr>
        <w:pStyle w:val="Heading3"/>
        <w:spacing w:before="280"/>
      </w:pPr>
      <w:bookmarkStart w:id="1761" w:name="_Toc280630222"/>
      <w:r w:rsidRPr="002A3CBE">
        <w:t>6.1.5</w:t>
      </w:r>
      <w:r w:rsidRPr="002A3CBE">
        <w:tab/>
        <w:t>LULUCF planned improvements</w:t>
      </w:r>
      <w:bookmarkEnd w:id="1761"/>
    </w:p>
    <w:p w14:paraId="55478AF1" w14:textId="601C4670" w:rsidR="00447423" w:rsidRPr="002A3CBE" w:rsidRDefault="00447423" w:rsidP="00447423">
      <w:pPr>
        <w:pStyle w:val="BodyText"/>
        <w:spacing w:after="100"/>
        <w:rPr>
          <w:spacing w:val="-2"/>
        </w:rPr>
      </w:pPr>
      <w:r w:rsidRPr="002A3CBE">
        <w:t>The LULUCF</w:t>
      </w:r>
      <w:r w:rsidRPr="002A3CBE" w:rsidDel="009430C8">
        <w:t xml:space="preserve"> sector has </w:t>
      </w:r>
      <w:r w:rsidRPr="002A3CBE">
        <w:t>a plan of continuous improvement and has introduced several improvements in this submission. Once a year, potential category-specific improvements are</w:t>
      </w:r>
      <w:r w:rsidR="004A4640">
        <w:t xml:space="preserve"> </w:t>
      </w:r>
      <w:r w:rsidRPr="002A3CBE">
        <w:t>ranked in order of priority according to technical expert review team findings, key category analysis and contribution to uncertainty in the sector. The improvement priority list is then compared with available resources and capability before a final improvements plan, for </w:t>
      </w:r>
      <w:r w:rsidRPr="002A3CBE">
        <w:rPr>
          <w:spacing w:val="-2"/>
        </w:rPr>
        <w:t>the current national inventory report (NIR) and – in the case of the long-term improvements – future NIRs, is agreed on.</w:t>
      </w:r>
    </w:p>
    <w:p w14:paraId="34AA1A11" w14:textId="77777777" w:rsidR="00447423" w:rsidRPr="002A3CBE" w:rsidRDefault="00447423" w:rsidP="00447423">
      <w:pPr>
        <w:pStyle w:val="BodyText"/>
        <w:spacing w:after="100"/>
      </w:pPr>
      <w:r w:rsidRPr="002A3CBE">
        <w:t>Category-specific planned improvements for future submissions are reported separately under each of the relevant category sections of this chapter. The major themes are to:</w:t>
      </w:r>
    </w:p>
    <w:p w14:paraId="7CB6C1D5" w14:textId="77777777" w:rsidR="00447423" w:rsidRPr="002A3CBE" w:rsidRDefault="00447423" w:rsidP="00447423">
      <w:pPr>
        <w:pStyle w:val="Bullet"/>
      </w:pPr>
      <w:r w:rsidRPr="002A3CBE">
        <w:t xml:space="preserve">continue with method development to implement the 2006 IPCC Guidelines (IPCC, 2006a) </w:t>
      </w:r>
    </w:p>
    <w:p w14:paraId="0A370969" w14:textId="77777777" w:rsidR="00447423" w:rsidRPr="002A3CBE" w:rsidRDefault="00447423" w:rsidP="00447423">
      <w:pPr>
        <w:pStyle w:val="Bullet"/>
      </w:pPr>
      <w:r w:rsidRPr="002A3CBE">
        <w:rPr>
          <w:spacing w:val="-2"/>
        </w:rPr>
        <w:t>continue to re-measure the pre-1990 natural forest plot inventory on a continuous basis (on a 10-year cycle) and update the analytical approach to estimating emissions. The methods to be used to calculate carbon stock and stock change are currently being developed</w:t>
      </w:r>
      <w:r w:rsidRPr="002A3CBE">
        <w:t>, and the data collected during the now-complete third measurement cycle will be integrated into future submissions as they become available</w:t>
      </w:r>
    </w:p>
    <w:p w14:paraId="7C70AC86" w14:textId="77777777" w:rsidR="00447423" w:rsidRPr="002A3CBE" w:rsidRDefault="00447423" w:rsidP="00447423">
      <w:pPr>
        <w:pStyle w:val="Bullet"/>
      </w:pPr>
      <w:r w:rsidRPr="002A3CBE">
        <w:t xml:space="preserve">continue to re-measure the post-1989 natural forest plot inventory on a continuous basis (on a 5-year cycle) and update the analytical approach to measuring forest plots and estimating emissions. The methods used to calculate carbon stock and stock change, as well as the field measurement programme, are planned to be redeveloped to meet the continued growth seen in this category, and the data will be integrated into future submissions as they become available </w:t>
      </w:r>
    </w:p>
    <w:p w14:paraId="09979768" w14:textId="77777777" w:rsidR="00447423" w:rsidRPr="002A3CBE" w:rsidRDefault="00447423" w:rsidP="00447423">
      <w:pPr>
        <w:pStyle w:val="Bullet"/>
      </w:pPr>
      <w:r w:rsidRPr="002A3CBE">
        <w:t xml:space="preserve">continue to re-measure the complete planted forest plot network (pre-1990 and post-1989) on a continuous basis (on a five-year cycle). The data will be incorporated into the NIR as they become available </w:t>
      </w:r>
    </w:p>
    <w:p w14:paraId="179814AD" w14:textId="77777777" w:rsidR="00447423" w:rsidRPr="002A3CBE" w:rsidRDefault="00447423" w:rsidP="00447423">
      <w:pPr>
        <w:pStyle w:val="Bullet"/>
      </w:pPr>
      <w:r w:rsidRPr="002A3CBE">
        <w:t xml:space="preserve">continue to improve land use mapping by using information collected through the NZ ETS. The NZ ETS provides an ongoing source of mapping information on forest extent and age, along with information on deforestation activity and carbon equivalent forest activities. This will be used as part of a continuous improvement programme to update the 1989, 2007, 2012, 2016 and 2020 land use maps </w:t>
      </w:r>
    </w:p>
    <w:p w14:paraId="405DE48C" w14:textId="77777777" w:rsidR="00447423" w:rsidRPr="002A3CBE" w:rsidRDefault="00447423" w:rsidP="00447423">
      <w:pPr>
        <w:pStyle w:val="Bullet"/>
      </w:pPr>
      <w:r w:rsidRPr="002A3CBE">
        <w:t>confirm mapped areas of deforestation for areas cleared during 2023 and 2024</w:t>
      </w:r>
    </w:p>
    <w:p w14:paraId="6D15B56F" w14:textId="77777777" w:rsidR="00447423" w:rsidRPr="002A3CBE" w:rsidRDefault="00447423" w:rsidP="00447423">
      <w:pPr>
        <w:pStyle w:val="Bullet"/>
      </w:pPr>
      <w:r w:rsidRPr="002A3CBE">
        <w:t xml:space="preserve">incorporate research that refines the extent and identifies nutrient status and drainage depth of drained organic soils, as well as develops suitable emission factors for them, to enable the application of the 2013 Wetlands supplement (IPCC, 2014) </w:t>
      </w:r>
    </w:p>
    <w:p w14:paraId="74DE56B6" w14:textId="77777777" w:rsidR="00447423" w:rsidRPr="002A3CBE" w:rsidRDefault="00447423" w:rsidP="00447423">
      <w:pPr>
        <w:pStyle w:val="Bullet"/>
      </w:pPr>
      <w:r w:rsidRPr="002A3CBE">
        <w:t xml:space="preserve">improve the SOC reference stock values for </w:t>
      </w:r>
      <w:r w:rsidRPr="002A3CBE">
        <w:rPr>
          <w:i/>
          <w:iCs/>
        </w:rPr>
        <w:t>Cropland</w:t>
      </w:r>
      <w:r w:rsidRPr="002A3CBE">
        <w:t xml:space="preserve"> and </w:t>
      </w:r>
      <w:r w:rsidRPr="002A3CBE">
        <w:rPr>
          <w:i/>
          <w:iCs/>
        </w:rPr>
        <w:t>Grassland</w:t>
      </w:r>
      <w:r w:rsidRPr="002A3CBE">
        <w:t xml:space="preserve"> through data being collected as part of a 12-year longitudinal study to measure the impact of management practices on agricultural soils</w:t>
      </w:r>
    </w:p>
    <w:p w14:paraId="10B179D5" w14:textId="77777777" w:rsidR="00447423" w:rsidRPr="002A3CBE" w:rsidRDefault="00447423" w:rsidP="00447423">
      <w:pPr>
        <w:pStyle w:val="Bullet"/>
      </w:pPr>
      <w:r w:rsidRPr="002A3CBE">
        <w:t xml:space="preserve">improve the Soil Carbon Monitoring System (Soil CMS). This work will improve </w:t>
      </w:r>
      <w:r w:rsidRPr="002A3CBE">
        <w:rPr>
          <w:spacing w:val="-2"/>
        </w:rPr>
        <w:t>New Zealand’s soil carbon stock change estimates by developing a new modelling approach</w:t>
      </w:r>
      <w:r w:rsidRPr="002A3CBE">
        <w:t xml:space="preserve"> and addressin</w:t>
      </w:r>
      <w:r w:rsidRPr="002A3CBE">
        <w:rPr>
          <w:rFonts w:asciiTheme="minorHAnsi" w:hAnsiTheme="minorHAnsi" w:cstheme="minorBidi"/>
          <w:color w:val="000000" w:themeColor="text1"/>
        </w:rPr>
        <w:t xml:space="preserve">g key measurement gaps. This work will substantially improve the </w:t>
      </w:r>
      <w:r w:rsidRPr="002A3CBE">
        <w:t>accuracy</w:t>
      </w:r>
      <w:r w:rsidRPr="002A3CBE">
        <w:rPr>
          <w:rFonts w:asciiTheme="minorHAnsi" w:hAnsiTheme="minorHAnsi" w:cstheme="minorBidi"/>
          <w:color w:val="000000" w:themeColor="text1"/>
        </w:rPr>
        <w:t xml:space="preserve"> of soil carbon estimates and provide a framework to include management effects within land uses. </w:t>
      </w:r>
      <w:r w:rsidRPr="002A3CBE">
        <w:t>Data will be incorporated into the NIR as they become available.</w:t>
      </w:r>
    </w:p>
    <w:p w14:paraId="039BA1A5" w14:textId="77777777" w:rsidR="00447423" w:rsidRPr="002A3CBE" w:rsidRDefault="00447423" w:rsidP="00447423">
      <w:pPr>
        <w:pStyle w:val="Heading3"/>
        <w:spacing w:before="280"/>
      </w:pPr>
      <w:r w:rsidRPr="002A3CBE">
        <w:t>6.1.6</w:t>
      </w:r>
      <w:r w:rsidRPr="002A3CBE">
        <w:tab/>
        <w:t>Assessment of completeness</w:t>
      </w:r>
    </w:p>
    <w:p w14:paraId="0494F270" w14:textId="77777777" w:rsidR="00447423" w:rsidRPr="002A3CBE" w:rsidRDefault="00447423" w:rsidP="00447423">
      <w:pPr>
        <w:pStyle w:val="Heading4"/>
      </w:pPr>
      <w:bookmarkStart w:id="1762" w:name="_Hlk210855780"/>
      <w:r w:rsidRPr="002A3CBE">
        <w:t>Emissions reported as ‘NE’ or ‘not estimated’</w:t>
      </w:r>
    </w:p>
    <w:p w14:paraId="61256EB4" w14:textId="77777777" w:rsidR="00447423" w:rsidRPr="002A3CBE" w:rsidRDefault="00447423" w:rsidP="00447423">
      <w:pPr>
        <w:pStyle w:val="BodyText"/>
      </w:pPr>
      <w:bookmarkStart w:id="1763" w:name="_Hlk210855794"/>
      <w:bookmarkEnd w:id="1762"/>
      <w:r w:rsidRPr="002A3CBE">
        <w:t>Table 6.1.9 summarises New Zealand’s direct greenhouse gas emissions for the LULUCF sector reported as ‘NE’ in the 2026 submission.</w:t>
      </w:r>
    </w:p>
    <w:p w14:paraId="7414DC2F" w14:textId="77777777" w:rsidR="00447423" w:rsidRPr="002A3CBE" w:rsidRDefault="00447423" w:rsidP="00447423">
      <w:pPr>
        <w:pStyle w:val="Table"/>
      </w:pPr>
      <w:bookmarkStart w:id="1764" w:name="_Toc222837901"/>
      <w:bookmarkStart w:id="1765" w:name="_Toc226669047"/>
      <w:bookmarkEnd w:id="1763"/>
      <w:r w:rsidRPr="002A3CBE">
        <w:t xml:space="preserve">Table 6.1.9 </w:t>
      </w:r>
      <w:r w:rsidRPr="002A3CBE">
        <w:tab/>
        <w:t xml:space="preserve">Summary of ‘NE’ or ‘not estimated’ entries for the LULUCF sector in the </w:t>
      </w:r>
      <w:r w:rsidRPr="002A3CBE">
        <w:rPr>
          <w:bCs/>
        </w:rPr>
        <w:t>2026</w:t>
      </w:r>
      <w:r w:rsidRPr="002A3CBE">
        <w:t xml:space="preserve"> submission</w:t>
      </w:r>
      <w:bookmarkEnd w:id="1764"/>
      <w:bookmarkEnd w:id="1765"/>
    </w:p>
    <w:tbl>
      <w:tblPr>
        <w:tblW w:w="8505" w:type="dxa"/>
        <w:tblBorders>
          <w:top w:val="single" w:sz="4" w:space="0" w:color="1B556B" w:themeColor="text2"/>
          <w:bottom w:val="single" w:sz="4" w:space="0" w:color="1B556B" w:themeColor="text2"/>
          <w:insideH w:val="single" w:sz="4" w:space="0" w:color="1B556B" w:themeColor="text2"/>
        </w:tblBorders>
        <w:tblCellMar>
          <w:left w:w="0" w:type="dxa"/>
          <w:right w:w="0" w:type="dxa"/>
        </w:tblCellMar>
        <w:tblLook w:val="04A0" w:firstRow="1" w:lastRow="0" w:firstColumn="1" w:lastColumn="0" w:noHBand="0" w:noVBand="1"/>
      </w:tblPr>
      <w:tblGrid>
        <w:gridCol w:w="1129"/>
        <w:gridCol w:w="2428"/>
        <w:gridCol w:w="833"/>
        <w:gridCol w:w="4115"/>
      </w:tblGrid>
      <w:tr w:rsidR="00447423" w:rsidRPr="002A3CBE" w14:paraId="69D80428" w14:textId="77777777" w:rsidTr="00F16E23">
        <w:trPr>
          <w:tblHeader/>
        </w:trPr>
        <w:tc>
          <w:tcPr>
            <w:tcW w:w="2252" w:type="dxa"/>
            <w:shd w:val="clear" w:color="auto" w:fill="1B556B" w:themeFill="text2"/>
            <w:tcMar>
              <w:top w:w="0" w:type="dxa"/>
              <w:left w:w="85" w:type="dxa"/>
              <w:bottom w:w="0" w:type="dxa"/>
              <w:right w:w="85" w:type="dxa"/>
            </w:tcMar>
            <w:vAlign w:val="bottom"/>
            <w:hideMark/>
          </w:tcPr>
          <w:p w14:paraId="5F4FED62" w14:textId="77777777" w:rsidR="00447423" w:rsidRPr="002A3CBE" w:rsidRDefault="00447423" w:rsidP="00F16E23">
            <w:pPr>
              <w:pStyle w:val="TableTextBold"/>
              <w:rPr>
                <w:noProof w:val="0"/>
                <w:color w:val="FFFFFF" w:themeColor="background1"/>
              </w:rPr>
            </w:pPr>
            <w:r w:rsidRPr="002A3CBE">
              <w:rPr>
                <w:noProof w:val="0"/>
                <w:color w:val="FFFFFF" w:themeColor="background1"/>
              </w:rPr>
              <w:t>CRT category code</w:t>
            </w:r>
          </w:p>
        </w:tc>
        <w:tc>
          <w:tcPr>
            <w:tcW w:w="3681" w:type="dxa"/>
            <w:shd w:val="clear" w:color="auto" w:fill="1B556B" w:themeFill="text2"/>
            <w:tcMar>
              <w:top w:w="0" w:type="dxa"/>
              <w:left w:w="85" w:type="dxa"/>
              <w:bottom w:w="0" w:type="dxa"/>
              <w:right w:w="85" w:type="dxa"/>
            </w:tcMar>
            <w:vAlign w:val="bottom"/>
            <w:hideMark/>
          </w:tcPr>
          <w:p w14:paraId="1852C19D" w14:textId="77777777" w:rsidR="00447423" w:rsidRPr="002A3CBE" w:rsidRDefault="00447423" w:rsidP="00F16E23">
            <w:pPr>
              <w:pStyle w:val="TableTextBold"/>
              <w:rPr>
                <w:noProof w:val="0"/>
                <w:color w:val="FFFFFF" w:themeColor="background1"/>
              </w:rPr>
            </w:pPr>
            <w:r w:rsidRPr="002A3CBE">
              <w:rPr>
                <w:noProof w:val="0"/>
                <w:color w:val="FFFFFF" w:themeColor="background1"/>
              </w:rPr>
              <w:t>Category</w:t>
            </w:r>
          </w:p>
        </w:tc>
        <w:tc>
          <w:tcPr>
            <w:tcW w:w="1351" w:type="dxa"/>
            <w:shd w:val="clear" w:color="auto" w:fill="1B556B" w:themeFill="text2"/>
            <w:tcMar>
              <w:top w:w="0" w:type="dxa"/>
              <w:left w:w="85" w:type="dxa"/>
              <w:bottom w:w="0" w:type="dxa"/>
              <w:right w:w="85" w:type="dxa"/>
            </w:tcMar>
            <w:vAlign w:val="bottom"/>
            <w:hideMark/>
          </w:tcPr>
          <w:p w14:paraId="39DA64EC" w14:textId="77777777" w:rsidR="00447423" w:rsidRPr="002A3CBE" w:rsidRDefault="00447423" w:rsidP="00F16E23">
            <w:pPr>
              <w:pStyle w:val="TableTextBold"/>
              <w:rPr>
                <w:noProof w:val="0"/>
                <w:color w:val="FFFFFF" w:themeColor="background1"/>
              </w:rPr>
            </w:pPr>
            <w:r w:rsidRPr="002A3CBE">
              <w:rPr>
                <w:noProof w:val="0"/>
                <w:color w:val="FFFFFF" w:themeColor="background1"/>
              </w:rPr>
              <w:t>Gas</w:t>
            </w:r>
          </w:p>
        </w:tc>
        <w:tc>
          <w:tcPr>
            <w:tcW w:w="12211" w:type="dxa"/>
            <w:shd w:val="clear" w:color="auto" w:fill="1B556B" w:themeFill="text2"/>
            <w:tcMar>
              <w:top w:w="0" w:type="dxa"/>
              <w:left w:w="85" w:type="dxa"/>
              <w:bottom w:w="0" w:type="dxa"/>
              <w:right w:w="85" w:type="dxa"/>
            </w:tcMar>
            <w:vAlign w:val="bottom"/>
            <w:hideMark/>
          </w:tcPr>
          <w:p w14:paraId="0A5E971E" w14:textId="77777777" w:rsidR="00447423" w:rsidRPr="002A3CBE" w:rsidRDefault="00447423" w:rsidP="00F16E23">
            <w:pPr>
              <w:pStyle w:val="TableTextBold"/>
              <w:rPr>
                <w:noProof w:val="0"/>
                <w:color w:val="FFFFFF" w:themeColor="background1"/>
              </w:rPr>
            </w:pPr>
            <w:r w:rsidRPr="002A3CBE">
              <w:rPr>
                <w:noProof w:val="0"/>
                <w:color w:val="FFFFFF" w:themeColor="background1"/>
              </w:rPr>
              <w:t>Explanation</w:t>
            </w:r>
          </w:p>
        </w:tc>
      </w:tr>
      <w:tr w:rsidR="00447423" w:rsidRPr="002A3CBE" w14:paraId="51220CB2" w14:textId="77777777" w:rsidTr="005D5403">
        <w:trPr>
          <w:tblHeader/>
        </w:trPr>
        <w:tc>
          <w:tcPr>
            <w:tcW w:w="19495" w:type="dxa"/>
            <w:gridSpan w:val="4"/>
            <w:tcBorders>
              <w:bottom w:val="single" w:sz="4" w:space="0" w:color="1B556B" w:themeColor="text2"/>
            </w:tcBorders>
            <w:shd w:val="clear" w:color="auto" w:fill="FFFFFF"/>
            <w:tcMar>
              <w:top w:w="0" w:type="dxa"/>
              <w:left w:w="85" w:type="dxa"/>
              <w:bottom w:w="0" w:type="dxa"/>
              <w:right w:w="85" w:type="dxa"/>
            </w:tcMar>
            <w:vAlign w:val="center"/>
            <w:hideMark/>
          </w:tcPr>
          <w:p w14:paraId="1F245D75" w14:textId="77777777" w:rsidR="00447423" w:rsidRPr="002A3CBE" w:rsidRDefault="00447423" w:rsidP="00F16E23">
            <w:pPr>
              <w:pStyle w:val="TableTextBold"/>
              <w:rPr>
                <w:noProof w:val="0"/>
                <w:color w:val="000000"/>
              </w:rPr>
            </w:pPr>
            <w:r w:rsidRPr="002A3CBE">
              <w:rPr>
                <w:noProof w:val="0"/>
                <w:color w:val="000000"/>
              </w:rPr>
              <w:t>Land Use, Land-Use Change and Forestry</w:t>
            </w:r>
          </w:p>
        </w:tc>
      </w:tr>
      <w:tr w:rsidR="00447423" w:rsidRPr="002A3CBE" w14:paraId="3441D0BD" w14:textId="77777777" w:rsidTr="00F16E23">
        <w:tc>
          <w:tcPr>
            <w:tcW w:w="2252" w:type="dxa"/>
            <w:tcMar>
              <w:top w:w="0" w:type="dxa"/>
              <w:left w:w="85" w:type="dxa"/>
              <w:bottom w:w="0" w:type="dxa"/>
              <w:right w:w="85" w:type="dxa"/>
            </w:tcMar>
            <w:hideMark/>
          </w:tcPr>
          <w:p w14:paraId="224DF589" w14:textId="77777777" w:rsidR="00447423" w:rsidRPr="002A3CBE" w:rsidRDefault="00447423" w:rsidP="00F16E23">
            <w:pPr>
              <w:pStyle w:val="TableText"/>
            </w:pPr>
            <w:r w:rsidRPr="002A3CBE">
              <w:t>4.A, 4.B, 4.C, 4.D</w:t>
            </w:r>
          </w:p>
        </w:tc>
        <w:tc>
          <w:tcPr>
            <w:tcW w:w="3681" w:type="dxa"/>
            <w:tcMar>
              <w:top w:w="0" w:type="dxa"/>
              <w:left w:w="85" w:type="dxa"/>
              <w:bottom w:w="0" w:type="dxa"/>
              <w:right w:w="85" w:type="dxa"/>
            </w:tcMar>
            <w:hideMark/>
          </w:tcPr>
          <w:p w14:paraId="23D15FB0" w14:textId="77777777" w:rsidR="00447423" w:rsidRPr="002A3CBE" w:rsidRDefault="00447423" w:rsidP="00F16E23">
            <w:pPr>
              <w:pStyle w:val="TableText"/>
            </w:pPr>
            <w:r w:rsidRPr="002A3CBE">
              <w:t>Forest land, Cropland, Grassland and Wetlands: Drainage and rewetting and other management of organic and mineral soils</w:t>
            </w:r>
          </w:p>
        </w:tc>
        <w:tc>
          <w:tcPr>
            <w:tcW w:w="1351" w:type="dxa"/>
            <w:tcMar>
              <w:top w:w="0" w:type="dxa"/>
              <w:left w:w="85" w:type="dxa"/>
              <w:bottom w:w="0" w:type="dxa"/>
              <w:right w:w="85" w:type="dxa"/>
            </w:tcMar>
            <w:hideMark/>
          </w:tcPr>
          <w:p w14:paraId="3250B163" w14:textId="77777777" w:rsidR="00447423" w:rsidRPr="002A3CBE" w:rsidRDefault="00447423" w:rsidP="00F16E23">
            <w:pPr>
              <w:pStyle w:val="TableText"/>
            </w:pPr>
            <w:r w:rsidRPr="002A3CBE">
              <w:t>CH</w:t>
            </w:r>
            <w:r w:rsidRPr="002A3CBE">
              <w:rPr>
                <w:vertAlign w:val="subscript"/>
              </w:rPr>
              <w:t>4</w:t>
            </w:r>
            <w:r w:rsidRPr="002A3CBE">
              <w:t>, N</w:t>
            </w:r>
            <w:r w:rsidRPr="002A3CBE">
              <w:rPr>
                <w:vertAlign w:val="subscript"/>
              </w:rPr>
              <w:t>2</w:t>
            </w:r>
            <w:r w:rsidRPr="002A3CBE">
              <w:t>O</w:t>
            </w:r>
          </w:p>
        </w:tc>
        <w:tc>
          <w:tcPr>
            <w:tcW w:w="12211" w:type="dxa"/>
            <w:tcMar>
              <w:top w:w="0" w:type="dxa"/>
              <w:left w:w="85" w:type="dxa"/>
              <w:bottom w:w="0" w:type="dxa"/>
              <w:right w:w="85" w:type="dxa"/>
            </w:tcMar>
            <w:hideMark/>
          </w:tcPr>
          <w:p w14:paraId="5CB2039F" w14:textId="77777777" w:rsidR="00447423" w:rsidRPr="002A3CBE" w:rsidRDefault="00447423" w:rsidP="00F16E23">
            <w:pPr>
              <w:pStyle w:val="TableText"/>
            </w:pPr>
            <w:r w:rsidRPr="002A3CBE">
              <w:t>This category is not mandatory. No methodology is provided in the 2006 IPCC Guidelines for estimating emissions from this source category (IPCC, 2006a). </w:t>
            </w:r>
          </w:p>
        </w:tc>
      </w:tr>
      <w:tr w:rsidR="00447423" w:rsidRPr="002A3CBE" w14:paraId="1602666C" w14:textId="77777777" w:rsidTr="00F16E23">
        <w:tc>
          <w:tcPr>
            <w:tcW w:w="2252" w:type="dxa"/>
            <w:tcMar>
              <w:top w:w="0" w:type="dxa"/>
              <w:left w:w="85" w:type="dxa"/>
              <w:bottom w:w="0" w:type="dxa"/>
              <w:right w:w="85" w:type="dxa"/>
            </w:tcMar>
            <w:hideMark/>
          </w:tcPr>
          <w:p w14:paraId="5BF1C4AA" w14:textId="77777777" w:rsidR="00447423" w:rsidRPr="002A3CBE" w:rsidRDefault="00447423" w:rsidP="00F16E23">
            <w:pPr>
              <w:pStyle w:val="TableText"/>
            </w:pPr>
            <w:r w:rsidRPr="002A3CBE">
              <w:t>4.A.2</w:t>
            </w:r>
          </w:p>
        </w:tc>
        <w:tc>
          <w:tcPr>
            <w:tcW w:w="3681" w:type="dxa"/>
            <w:tcMar>
              <w:top w:w="0" w:type="dxa"/>
              <w:left w:w="85" w:type="dxa"/>
              <w:bottom w:w="0" w:type="dxa"/>
              <w:right w:w="85" w:type="dxa"/>
            </w:tcMar>
            <w:hideMark/>
          </w:tcPr>
          <w:p w14:paraId="65129E13" w14:textId="77777777" w:rsidR="00447423" w:rsidRPr="002A3CBE" w:rsidRDefault="00447423" w:rsidP="00F16E23">
            <w:pPr>
              <w:pStyle w:val="TableText"/>
            </w:pPr>
            <w:r w:rsidRPr="002A3CBE">
              <w:t>Settlements converted to other land uses</w:t>
            </w:r>
          </w:p>
        </w:tc>
        <w:tc>
          <w:tcPr>
            <w:tcW w:w="1351" w:type="dxa"/>
            <w:tcMar>
              <w:top w:w="0" w:type="dxa"/>
              <w:left w:w="85" w:type="dxa"/>
              <w:bottom w:w="0" w:type="dxa"/>
              <w:right w:w="85" w:type="dxa"/>
            </w:tcMar>
            <w:hideMark/>
          </w:tcPr>
          <w:p w14:paraId="16472375" w14:textId="77777777" w:rsidR="00447423" w:rsidRPr="002A3CBE" w:rsidRDefault="00447423" w:rsidP="00F16E23">
            <w:pPr>
              <w:pStyle w:val="TableText"/>
            </w:pPr>
            <w:r w:rsidRPr="002A3CBE">
              <w:t>CO</w:t>
            </w:r>
            <w:r w:rsidRPr="002A3CBE">
              <w:rPr>
                <w:vertAlign w:val="subscript"/>
              </w:rPr>
              <w:t>2</w:t>
            </w:r>
            <w:r w:rsidRPr="002A3CBE">
              <w:t xml:space="preserve"> (losses)</w:t>
            </w:r>
          </w:p>
        </w:tc>
        <w:tc>
          <w:tcPr>
            <w:tcW w:w="12211" w:type="dxa"/>
            <w:tcMar>
              <w:top w:w="0" w:type="dxa"/>
              <w:left w:w="85" w:type="dxa"/>
              <w:bottom w:w="0" w:type="dxa"/>
              <w:right w:w="85" w:type="dxa"/>
            </w:tcMar>
            <w:hideMark/>
          </w:tcPr>
          <w:p w14:paraId="42281034" w14:textId="77777777" w:rsidR="00447423" w:rsidRPr="002A3CBE" w:rsidRDefault="00447423" w:rsidP="00F16E23">
            <w:pPr>
              <w:pStyle w:val="TableText"/>
            </w:pPr>
            <w:r w:rsidRPr="002A3CBE">
              <w:t xml:space="preserve">This category is not mandatory. No methodology is provided in the 2006 IPCC Guidelines for calculating Tier 1 estimates of carbon stocks in living biomass for </w:t>
            </w:r>
            <w:r w:rsidRPr="002A3CBE">
              <w:rPr>
                <w:i/>
                <w:iCs/>
              </w:rPr>
              <w:t>Settlements</w:t>
            </w:r>
            <w:r w:rsidRPr="002A3CBE">
              <w:t xml:space="preserve"> (IPCC, 2006a). Therefore, with land-use change from </w:t>
            </w:r>
            <w:r w:rsidRPr="002A3CBE">
              <w:rPr>
                <w:i/>
                <w:iCs/>
              </w:rPr>
              <w:t xml:space="preserve">Settlements </w:t>
            </w:r>
            <w:r w:rsidRPr="002A3CBE">
              <w:t>to other land uses, no carbon stock loss is reported. Because New Zealand uses the stock change approach, losses are only reported in years when new land is converted to this category, or where there is harvesting of forest in the year of conversion. When neither of these activities occurs, the losses are reported with biomass gains (stock change approach) and ‘IE’ (included elsewhere) is reported for biomass losses.</w:t>
            </w:r>
          </w:p>
        </w:tc>
      </w:tr>
      <w:tr w:rsidR="00447423" w:rsidRPr="002A3CBE" w14:paraId="2C2CA16A" w14:textId="77777777" w:rsidTr="00F16E23">
        <w:tc>
          <w:tcPr>
            <w:tcW w:w="2252" w:type="dxa"/>
            <w:tcMar>
              <w:top w:w="0" w:type="dxa"/>
              <w:left w:w="85" w:type="dxa"/>
              <w:bottom w:w="0" w:type="dxa"/>
              <w:right w:w="85" w:type="dxa"/>
            </w:tcMar>
            <w:hideMark/>
          </w:tcPr>
          <w:p w14:paraId="751FF44E" w14:textId="77777777" w:rsidR="00447423" w:rsidRPr="002A3CBE" w:rsidRDefault="00447423" w:rsidP="00F16E23">
            <w:pPr>
              <w:pStyle w:val="TableText"/>
            </w:pPr>
            <w:r w:rsidRPr="002A3CBE">
              <w:t>4.A.2, 4.C.2</w:t>
            </w:r>
          </w:p>
        </w:tc>
        <w:tc>
          <w:tcPr>
            <w:tcW w:w="3681" w:type="dxa"/>
            <w:tcMar>
              <w:top w:w="0" w:type="dxa"/>
              <w:left w:w="85" w:type="dxa"/>
              <w:bottom w:w="0" w:type="dxa"/>
              <w:right w:w="85" w:type="dxa"/>
            </w:tcMar>
            <w:hideMark/>
          </w:tcPr>
          <w:p w14:paraId="65EC4194" w14:textId="77777777" w:rsidR="00447423" w:rsidRPr="002A3CBE" w:rsidRDefault="00447423" w:rsidP="00F16E23">
            <w:pPr>
              <w:pStyle w:val="TableText"/>
            </w:pPr>
            <w:r w:rsidRPr="002A3CBE">
              <w:t>Other land converted to other land uses</w:t>
            </w:r>
          </w:p>
        </w:tc>
        <w:tc>
          <w:tcPr>
            <w:tcW w:w="1351" w:type="dxa"/>
            <w:tcMar>
              <w:top w:w="0" w:type="dxa"/>
              <w:left w:w="85" w:type="dxa"/>
              <w:bottom w:w="0" w:type="dxa"/>
              <w:right w:w="85" w:type="dxa"/>
            </w:tcMar>
            <w:hideMark/>
          </w:tcPr>
          <w:p w14:paraId="339CC4AD" w14:textId="77777777" w:rsidR="00447423" w:rsidRPr="002A3CBE" w:rsidRDefault="00447423" w:rsidP="00F16E23">
            <w:pPr>
              <w:pStyle w:val="TableText"/>
            </w:pPr>
            <w:r w:rsidRPr="002A3CBE">
              <w:t>CO</w:t>
            </w:r>
            <w:r w:rsidRPr="002A3CBE">
              <w:rPr>
                <w:vertAlign w:val="subscript"/>
              </w:rPr>
              <w:t>2</w:t>
            </w:r>
            <w:r w:rsidRPr="002A3CBE">
              <w:t xml:space="preserve"> (losses)</w:t>
            </w:r>
          </w:p>
        </w:tc>
        <w:tc>
          <w:tcPr>
            <w:tcW w:w="12211" w:type="dxa"/>
            <w:tcMar>
              <w:top w:w="0" w:type="dxa"/>
              <w:left w:w="85" w:type="dxa"/>
              <w:bottom w:w="0" w:type="dxa"/>
              <w:right w:w="85" w:type="dxa"/>
            </w:tcMar>
            <w:hideMark/>
          </w:tcPr>
          <w:p w14:paraId="2031E8A2" w14:textId="77777777" w:rsidR="00447423" w:rsidRPr="002A3CBE" w:rsidRDefault="00447423" w:rsidP="00F16E23">
            <w:pPr>
              <w:pStyle w:val="TableText"/>
            </w:pPr>
            <w:r w:rsidRPr="002A3CBE">
              <w:t xml:space="preserve">This category is not mandatory. No methodology is provided in the 2006 IPCC Guidelines for calculating Tier 1 estimates of carbon stocks in living biomass for </w:t>
            </w:r>
            <w:r w:rsidRPr="002A3CBE">
              <w:rPr>
                <w:i/>
                <w:iCs/>
              </w:rPr>
              <w:t xml:space="preserve">Other land </w:t>
            </w:r>
            <w:r w:rsidRPr="002A3CBE">
              <w:t xml:space="preserve">(IPCC, 2006a). Therefore, with land-use change from </w:t>
            </w:r>
            <w:r w:rsidRPr="002A3CBE">
              <w:rPr>
                <w:i/>
                <w:iCs/>
              </w:rPr>
              <w:t>Other land</w:t>
            </w:r>
            <w:r w:rsidRPr="002A3CBE">
              <w:t xml:space="preserve"> to other land uses, no carbon stock loss is reported. </w:t>
            </w:r>
          </w:p>
          <w:p w14:paraId="35B642C7" w14:textId="71620598" w:rsidR="00447423" w:rsidRPr="002A3CBE" w:rsidRDefault="00447423" w:rsidP="00F16E23">
            <w:pPr>
              <w:pStyle w:val="TableText"/>
            </w:pPr>
            <w:r w:rsidRPr="002A3CBE">
              <w:t>Because New Zealand uses the stock change approach, losses are only reported in years when new land is converted to this category, or where there is harvesting of forest in the year of conversion. When neither of these activities occurs, the losses are reported with biomass gains</w:t>
            </w:r>
            <w:r w:rsidR="005D5403">
              <w:t> </w:t>
            </w:r>
            <w:r w:rsidRPr="002A3CBE">
              <w:t>(stock change approach) and IE is reported for biomass</w:t>
            </w:r>
            <w:r w:rsidR="005D5403">
              <w:t> </w:t>
            </w:r>
            <w:r w:rsidRPr="002A3CBE">
              <w:t>losses.</w:t>
            </w:r>
          </w:p>
        </w:tc>
      </w:tr>
      <w:tr w:rsidR="00447423" w:rsidRPr="002A3CBE" w14:paraId="48A7233F" w14:textId="77777777" w:rsidTr="00F16E23">
        <w:tc>
          <w:tcPr>
            <w:tcW w:w="2252" w:type="dxa"/>
            <w:tcMar>
              <w:top w:w="0" w:type="dxa"/>
              <w:left w:w="85" w:type="dxa"/>
              <w:bottom w:w="0" w:type="dxa"/>
              <w:right w:w="85" w:type="dxa"/>
            </w:tcMar>
            <w:hideMark/>
          </w:tcPr>
          <w:p w14:paraId="4739202C" w14:textId="77777777" w:rsidR="00447423" w:rsidRPr="002A3CBE" w:rsidRDefault="00447423" w:rsidP="00F16E23">
            <w:pPr>
              <w:pStyle w:val="TableText"/>
            </w:pPr>
            <w:r w:rsidRPr="002A3CBE">
              <w:t>4.A, 4.B, 4.C, 4.D, 4.F</w:t>
            </w:r>
          </w:p>
        </w:tc>
        <w:tc>
          <w:tcPr>
            <w:tcW w:w="3681" w:type="dxa"/>
            <w:tcMar>
              <w:top w:w="0" w:type="dxa"/>
              <w:left w:w="85" w:type="dxa"/>
              <w:bottom w:w="0" w:type="dxa"/>
              <w:right w:w="85" w:type="dxa"/>
            </w:tcMar>
            <w:hideMark/>
          </w:tcPr>
          <w:p w14:paraId="75940874" w14:textId="77777777" w:rsidR="00447423" w:rsidRPr="002A3CBE" w:rsidRDefault="00447423" w:rsidP="00F16E23">
            <w:pPr>
              <w:pStyle w:val="TableText"/>
            </w:pPr>
            <w:r w:rsidRPr="002A3CBE">
              <w:t>Forest land, Cropland, Grassland, Wetlands and Other land: Rewetting and other management of organic and mineral soils </w:t>
            </w:r>
          </w:p>
        </w:tc>
        <w:tc>
          <w:tcPr>
            <w:tcW w:w="1351" w:type="dxa"/>
            <w:tcMar>
              <w:top w:w="0" w:type="dxa"/>
              <w:left w:w="85" w:type="dxa"/>
              <w:bottom w:w="0" w:type="dxa"/>
              <w:right w:w="85" w:type="dxa"/>
            </w:tcMar>
            <w:hideMark/>
          </w:tcPr>
          <w:p w14:paraId="4B154D7D" w14:textId="77777777" w:rsidR="00447423" w:rsidRPr="002A3CBE" w:rsidRDefault="00447423" w:rsidP="00F16E23">
            <w:pPr>
              <w:pStyle w:val="TableText"/>
            </w:pPr>
            <w:r w:rsidRPr="002A3CBE">
              <w:t>CO</w:t>
            </w:r>
            <w:r w:rsidRPr="002A3CBE">
              <w:rPr>
                <w:vertAlign w:val="subscript"/>
              </w:rPr>
              <w:t>2</w:t>
            </w:r>
          </w:p>
        </w:tc>
        <w:tc>
          <w:tcPr>
            <w:tcW w:w="12211" w:type="dxa"/>
            <w:tcMar>
              <w:top w:w="0" w:type="dxa"/>
              <w:left w:w="85" w:type="dxa"/>
              <w:bottom w:w="0" w:type="dxa"/>
              <w:right w:w="85" w:type="dxa"/>
            </w:tcMar>
            <w:hideMark/>
          </w:tcPr>
          <w:p w14:paraId="0B4A9E4A" w14:textId="77777777" w:rsidR="00447423" w:rsidRPr="002A3CBE" w:rsidRDefault="00447423" w:rsidP="00F16E23">
            <w:pPr>
              <w:pStyle w:val="TableText"/>
            </w:pPr>
            <w:r w:rsidRPr="002A3CBE">
              <w:t>This category is not mandatory. No methodology is provided in the 2006 IPCC Guidelines for estimating emissions from this source category (IPCC, 2006a).</w:t>
            </w:r>
          </w:p>
        </w:tc>
      </w:tr>
      <w:tr w:rsidR="00447423" w:rsidRPr="002A3CBE" w14:paraId="24478D8D" w14:textId="77777777" w:rsidTr="00F16E23">
        <w:tc>
          <w:tcPr>
            <w:tcW w:w="2252" w:type="dxa"/>
            <w:tcMar>
              <w:top w:w="0" w:type="dxa"/>
              <w:left w:w="85" w:type="dxa"/>
              <w:bottom w:w="0" w:type="dxa"/>
              <w:right w:w="85" w:type="dxa"/>
            </w:tcMar>
            <w:hideMark/>
          </w:tcPr>
          <w:p w14:paraId="4F0001BA" w14:textId="77777777" w:rsidR="00447423" w:rsidRPr="002A3CBE" w:rsidRDefault="00447423" w:rsidP="00F16E23">
            <w:pPr>
              <w:pStyle w:val="TableText"/>
            </w:pPr>
            <w:r w:rsidRPr="002A3CBE">
              <w:t>4.B.1, 4.B.2</w:t>
            </w:r>
          </w:p>
        </w:tc>
        <w:tc>
          <w:tcPr>
            <w:tcW w:w="3681" w:type="dxa"/>
            <w:tcMar>
              <w:top w:w="0" w:type="dxa"/>
              <w:left w:w="85" w:type="dxa"/>
              <w:bottom w:w="0" w:type="dxa"/>
              <w:right w:w="85" w:type="dxa"/>
            </w:tcMar>
            <w:hideMark/>
          </w:tcPr>
          <w:p w14:paraId="4E4F0E3E" w14:textId="77777777" w:rsidR="00447423" w:rsidRPr="002A3CBE" w:rsidRDefault="00447423" w:rsidP="00F16E23">
            <w:pPr>
              <w:pStyle w:val="TableText"/>
            </w:pPr>
            <w:r w:rsidRPr="002A3CBE">
              <w:t>Land converted to cropland, cropland remaining cropland</w:t>
            </w:r>
          </w:p>
        </w:tc>
        <w:tc>
          <w:tcPr>
            <w:tcW w:w="1351" w:type="dxa"/>
            <w:tcMar>
              <w:top w:w="0" w:type="dxa"/>
              <w:left w:w="85" w:type="dxa"/>
              <w:bottom w:w="0" w:type="dxa"/>
              <w:right w:w="85" w:type="dxa"/>
            </w:tcMar>
            <w:hideMark/>
          </w:tcPr>
          <w:p w14:paraId="49E239EA" w14:textId="77777777" w:rsidR="00447423" w:rsidRPr="002A3CBE" w:rsidRDefault="00447423" w:rsidP="00F16E23">
            <w:pPr>
              <w:pStyle w:val="TableText"/>
            </w:pPr>
            <w:r w:rsidRPr="002A3CBE">
              <w:t>CO</w:t>
            </w:r>
            <w:r w:rsidRPr="002A3CBE">
              <w:rPr>
                <w:vertAlign w:val="subscript"/>
              </w:rPr>
              <w:t>2</w:t>
            </w:r>
            <w:r w:rsidRPr="002A3CBE">
              <w:t xml:space="preserve"> (dead wood)</w:t>
            </w:r>
          </w:p>
        </w:tc>
        <w:tc>
          <w:tcPr>
            <w:tcW w:w="12211" w:type="dxa"/>
            <w:tcMar>
              <w:top w:w="0" w:type="dxa"/>
              <w:left w:w="85" w:type="dxa"/>
              <w:bottom w:w="0" w:type="dxa"/>
              <w:right w:w="85" w:type="dxa"/>
            </w:tcMar>
            <w:hideMark/>
          </w:tcPr>
          <w:p w14:paraId="06D4943D" w14:textId="77777777" w:rsidR="00447423" w:rsidRPr="002A3CBE" w:rsidRDefault="00447423" w:rsidP="00F16E23">
            <w:pPr>
              <w:pStyle w:val="TableText"/>
            </w:pPr>
            <w:r w:rsidRPr="002A3CBE">
              <w:t>This category is not mandatory. No methodology is provided in the 2006 IPCC Guidelines for calculating Tier 1 estimates of carbon stock change in dead organic matter for land-use changes to this land use category (IPCC, 2006a). Any emissions reported are for loss of dead organic matter from the previous land use that occurs in the year of conversion.</w:t>
            </w:r>
          </w:p>
        </w:tc>
      </w:tr>
      <w:tr w:rsidR="00447423" w:rsidRPr="002A3CBE" w14:paraId="0AA3B381" w14:textId="77777777" w:rsidTr="00F16E23">
        <w:tc>
          <w:tcPr>
            <w:tcW w:w="2252" w:type="dxa"/>
            <w:shd w:val="clear" w:color="auto" w:fill="FFFFFF"/>
            <w:tcMar>
              <w:top w:w="0" w:type="dxa"/>
              <w:left w:w="85" w:type="dxa"/>
              <w:bottom w:w="0" w:type="dxa"/>
              <w:right w:w="85" w:type="dxa"/>
            </w:tcMar>
            <w:hideMark/>
          </w:tcPr>
          <w:p w14:paraId="680E2633" w14:textId="77777777" w:rsidR="00447423" w:rsidRPr="002A3CBE" w:rsidRDefault="00447423" w:rsidP="00F16E23">
            <w:pPr>
              <w:pStyle w:val="TableText"/>
            </w:pPr>
            <w:r w:rsidRPr="002A3CBE">
              <w:t>4.B.1</w:t>
            </w:r>
          </w:p>
        </w:tc>
        <w:tc>
          <w:tcPr>
            <w:tcW w:w="3681" w:type="dxa"/>
            <w:shd w:val="clear" w:color="auto" w:fill="FFFFFF"/>
            <w:tcMar>
              <w:top w:w="0" w:type="dxa"/>
              <w:left w:w="85" w:type="dxa"/>
              <w:bottom w:w="0" w:type="dxa"/>
              <w:right w:w="85" w:type="dxa"/>
            </w:tcMar>
            <w:hideMark/>
          </w:tcPr>
          <w:p w14:paraId="01DC536A" w14:textId="77777777" w:rsidR="00447423" w:rsidRPr="002A3CBE" w:rsidRDefault="00447423" w:rsidP="00F16E23">
            <w:pPr>
              <w:pStyle w:val="TableText"/>
            </w:pPr>
            <w:r w:rsidRPr="002A3CBE">
              <w:t>Cropland remaining cropland/4(V) Biomass burning/Wildfires/Cropland remaining cropland</w:t>
            </w:r>
          </w:p>
        </w:tc>
        <w:tc>
          <w:tcPr>
            <w:tcW w:w="1351" w:type="dxa"/>
            <w:shd w:val="clear" w:color="auto" w:fill="FFFFFF"/>
            <w:tcMar>
              <w:top w:w="0" w:type="dxa"/>
              <w:left w:w="85" w:type="dxa"/>
              <w:bottom w:w="0" w:type="dxa"/>
              <w:right w:w="85" w:type="dxa"/>
            </w:tcMar>
            <w:hideMark/>
          </w:tcPr>
          <w:p w14:paraId="7C78B7A9" w14:textId="77777777" w:rsidR="00447423" w:rsidRPr="002A3CBE" w:rsidRDefault="00447423" w:rsidP="00F16E23">
            <w:pPr>
              <w:pStyle w:val="TableText"/>
            </w:pPr>
            <w:r w:rsidRPr="002A3CBE">
              <w:t>CH</w:t>
            </w:r>
            <w:r w:rsidRPr="002A3CBE">
              <w:rPr>
                <w:vertAlign w:val="subscript"/>
              </w:rPr>
              <w:t>4</w:t>
            </w:r>
            <w:r w:rsidRPr="002A3CBE">
              <w:t>, N</w:t>
            </w:r>
            <w:r w:rsidRPr="002A3CBE">
              <w:rPr>
                <w:vertAlign w:val="subscript"/>
              </w:rPr>
              <w:t>2</w:t>
            </w:r>
            <w:r w:rsidRPr="002A3CBE">
              <w:t>O</w:t>
            </w:r>
          </w:p>
        </w:tc>
        <w:tc>
          <w:tcPr>
            <w:tcW w:w="12211" w:type="dxa"/>
            <w:shd w:val="clear" w:color="auto" w:fill="FFFFFF"/>
            <w:tcMar>
              <w:top w:w="0" w:type="dxa"/>
              <w:left w:w="85" w:type="dxa"/>
              <w:bottom w:w="0" w:type="dxa"/>
              <w:right w:w="85" w:type="dxa"/>
            </w:tcMar>
            <w:hideMark/>
          </w:tcPr>
          <w:p w14:paraId="3E2ACA67" w14:textId="77777777" w:rsidR="00447423" w:rsidRPr="002A3CBE" w:rsidRDefault="00447423" w:rsidP="00F16E23">
            <w:pPr>
              <w:pStyle w:val="TableText"/>
            </w:pPr>
            <w:r w:rsidRPr="002A3CBE">
              <w:t>New Zealand does not have sufficient information on biomass burning activities to reliably report on it.</w:t>
            </w:r>
          </w:p>
        </w:tc>
      </w:tr>
      <w:tr w:rsidR="00447423" w:rsidRPr="002A3CBE" w14:paraId="2D78788F" w14:textId="77777777" w:rsidTr="00F16E23">
        <w:tc>
          <w:tcPr>
            <w:tcW w:w="2252" w:type="dxa"/>
            <w:shd w:val="clear" w:color="auto" w:fill="FFFFFF"/>
            <w:tcMar>
              <w:top w:w="0" w:type="dxa"/>
              <w:left w:w="85" w:type="dxa"/>
              <w:bottom w:w="0" w:type="dxa"/>
              <w:right w:w="85" w:type="dxa"/>
            </w:tcMar>
            <w:hideMark/>
          </w:tcPr>
          <w:p w14:paraId="452A066C" w14:textId="77777777" w:rsidR="00447423" w:rsidRPr="002A3CBE" w:rsidRDefault="00447423" w:rsidP="00F16E23">
            <w:pPr>
              <w:pStyle w:val="TableText"/>
            </w:pPr>
            <w:r w:rsidRPr="002A3CBE">
              <w:t>4.B.2</w:t>
            </w:r>
          </w:p>
        </w:tc>
        <w:tc>
          <w:tcPr>
            <w:tcW w:w="3681" w:type="dxa"/>
            <w:shd w:val="clear" w:color="auto" w:fill="FFFFFF"/>
            <w:tcMar>
              <w:top w:w="0" w:type="dxa"/>
              <w:left w:w="85" w:type="dxa"/>
              <w:bottom w:w="0" w:type="dxa"/>
              <w:right w:w="85" w:type="dxa"/>
            </w:tcMar>
            <w:hideMark/>
          </w:tcPr>
          <w:p w14:paraId="78453DAA" w14:textId="77777777" w:rsidR="00447423" w:rsidRPr="002A3CBE" w:rsidRDefault="00447423" w:rsidP="00F16E23">
            <w:pPr>
              <w:pStyle w:val="TableText"/>
            </w:pPr>
            <w:r w:rsidRPr="002A3CBE">
              <w:t>Land converted to cropland/4(V) Biomass burning/Wildfires/Land converted to cropland</w:t>
            </w:r>
          </w:p>
        </w:tc>
        <w:tc>
          <w:tcPr>
            <w:tcW w:w="1351" w:type="dxa"/>
            <w:shd w:val="clear" w:color="auto" w:fill="FFFFFF"/>
            <w:tcMar>
              <w:top w:w="0" w:type="dxa"/>
              <w:left w:w="85" w:type="dxa"/>
              <w:bottom w:w="0" w:type="dxa"/>
              <w:right w:w="85" w:type="dxa"/>
            </w:tcMar>
            <w:hideMark/>
          </w:tcPr>
          <w:p w14:paraId="135B9A32" w14:textId="77777777" w:rsidR="00447423" w:rsidRPr="002A3CBE" w:rsidRDefault="00447423" w:rsidP="00F16E23">
            <w:pPr>
              <w:pStyle w:val="TableText"/>
            </w:pPr>
            <w:r w:rsidRPr="002A3CBE">
              <w:t>CH</w:t>
            </w:r>
            <w:r w:rsidRPr="002A3CBE">
              <w:rPr>
                <w:vertAlign w:val="subscript"/>
              </w:rPr>
              <w:t>4</w:t>
            </w:r>
            <w:r w:rsidRPr="002A3CBE">
              <w:t>, N</w:t>
            </w:r>
            <w:r w:rsidRPr="002A3CBE">
              <w:rPr>
                <w:vertAlign w:val="subscript"/>
              </w:rPr>
              <w:t>2</w:t>
            </w:r>
            <w:r w:rsidRPr="002A3CBE">
              <w:t>O</w:t>
            </w:r>
          </w:p>
        </w:tc>
        <w:tc>
          <w:tcPr>
            <w:tcW w:w="12211" w:type="dxa"/>
            <w:shd w:val="clear" w:color="auto" w:fill="FFFFFF"/>
            <w:tcMar>
              <w:top w:w="0" w:type="dxa"/>
              <w:left w:w="85" w:type="dxa"/>
              <w:bottom w:w="0" w:type="dxa"/>
              <w:right w:w="85" w:type="dxa"/>
            </w:tcMar>
            <w:hideMark/>
          </w:tcPr>
          <w:p w14:paraId="3C373852" w14:textId="77777777" w:rsidR="00447423" w:rsidRPr="002A3CBE" w:rsidRDefault="00447423" w:rsidP="00F16E23">
            <w:pPr>
              <w:pStyle w:val="TableText"/>
            </w:pPr>
            <w:r w:rsidRPr="002A3CBE">
              <w:t>New Zealand does not have sufficient information on biomass burning activities to reliably report on it.</w:t>
            </w:r>
          </w:p>
        </w:tc>
      </w:tr>
      <w:tr w:rsidR="00447423" w:rsidRPr="002A3CBE" w14:paraId="44306630" w14:textId="77777777" w:rsidTr="00F16E23">
        <w:tc>
          <w:tcPr>
            <w:tcW w:w="2252" w:type="dxa"/>
            <w:tcMar>
              <w:top w:w="0" w:type="dxa"/>
              <w:left w:w="85" w:type="dxa"/>
              <w:bottom w:w="0" w:type="dxa"/>
              <w:right w:w="85" w:type="dxa"/>
            </w:tcMar>
            <w:hideMark/>
          </w:tcPr>
          <w:p w14:paraId="01B5C677" w14:textId="77777777" w:rsidR="00447423" w:rsidRPr="002A3CBE" w:rsidRDefault="00447423" w:rsidP="00F16E23">
            <w:pPr>
              <w:pStyle w:val="TableText"/>
            </w:pPr>
            <w:r w:rsidRPr="002A3CBE">
              <w:t>4.C.1, 4.C.2</w:t>
            </w:r>
          </w:p>
        </w:tc>
        <w:tc>
          <w:tcPr>
            <w:tcW w:w="3681" w:type="dxa"/>
            <w:tcMar>
              <w:top w:w="0" w:type="dxa"/>
              <w:left w:w="85" w:type="dxa"/>
              <w:bottom w:w="0" w:type="dxa"/>
              <w:right w:w="85" w:type="dxa"/>
            </w:tcMar>
            <w:hideMark/>
          </w:tcPr>
          <w:p w14:paraId="358B85C5" w14:textId="77777777" w:rsidR="00447423" w:rsidRPr="002A3CBE" w:rsidRDefault="00447423" w:rsidP="00F16E23">
            <w:pPr>
              <w:pStyle w:val="TableText"/>
            </w:pPr>
            <w:r w:rsidRPr="002A3CBE">
              <w:t>Land remaining grassland, Land converted to grassland</w:t>
            </w:r>
          </w:p>
        </w:tc>
        <w:tc>
          <w:tcPr>
            <w:tcW w:w="1351" w:type="dxa"/>
            <w:tcMar>
              <w:top w:w="0" w:type="dxa"/>
              <w:left w:w="85" w:type="dxa"/>
              <w:bottom w:w="0" w:type="dxa"/>
              <w:right w:w="85" w:type="dxa"/>
            </w:tcMar>
            <w:hideMark/>
          </w:tcPr>
          <w:p w14:paraId="4497956F" w14:textId="77777777" w:rsidR="00447423" w:rsidRPr="002A3CBE" w:rsidRDefault="00447423" w:rsidP="00F16E23">
            <w:pPr>
              <w:pStyle w:val="TableText"/>
            </w:pPr>
            <w:r w:rsidRPr="002A3CBE">
              <w:t>CO</w:t>
            </w:r>
            <w:r w:rsidRPr="002A3CBE">
              <w:rPr>
                <w:vertAlign w:val="subscript"/>
              </w:rPr>
              <w:t>2</w:t>
            </w:r>
            <w:r w:rsidRPr="002A3CBE">
              <w:t xml:space="preserve"> (dead wood)</w:t>
            </w:r>
          </w:p>
        </w:tc>
        <w:tc>
          <w:tcPr>
            <w:tcW w:w="12211" w:type="dxa"/>
            <w:tcMar>
              <w:top w:w="0" w:type="dxa"/>
              <w:left w:w="85" w:type="dxa"/>
              <w:bottom w:w="0" w:type="dxa"/>
              <w:right w:w="85" w:type="dxa"/>
            </w:tcMar>
            <w:hideMark/>
          </w:tcPr>
          <w:p w14:paraId="064C9D04" w14:textId="77777777" w:rsidR="00447423" w:rsidRPr="002A3CBE" w:rsidRDefault="00447423" w:rsidP="00F16E23">
            <w:pPr>
              <w:pStyle w:val="TableText"/>
            </w:pPr>
            <w:r w:rsidRPr="002A3CBE">
              <w:t>This category is not mandatory. No methodology is provided in the 2006 IPCC Guidelines for calculating Tier 1 estimates of carbon stock change in dead organic matter for land-use changes to this land use category (IPCC, 2006a). Any emissions reported are for loss of dead organic matter from the previous land use that occurs in the year of conversion.</w:t>
            </w:r>
          </w:p>
        </w:tc>
      </w:tr>
      <w:tr w:rsidR="00447423" w:rsidRPr="002A3CBE" w14:paraId="31A9010A" w14:textId="77777777" w:rsidTr="00F16E23">
        <w:tc>
          <w:tcPr>
            <w:tcW w:w="2252" w:type="dxa"/>
            <w:shd w:val="clear" w:color="auto" w:fill="FFFFFF"/>
            <w:tcMar>
              <w:top w:w="0" w:type="dxa"/>
              <w:left w:w="85" w:type="dxa"/>
              <w:bottom w:w="0" w:type="dxa"/>
              <w:right w:w="85" w:type="dxa"/>
            </w:tcMar>
            <w:hideMark/>
          </w:tcPr>
          <w:p w14:paraId="0FCD2113" w14:textId="77777777" w:rsidR="00447423" w:rsidRPr="002A3CBE" w:rsidRDefault="00447423" w:rsidP="00F16E23">
            <w:pPr>
              <w:pStyle w:val="TableText"/>
            </w:pPr>
            <w:r w:rsidRPr="002A3CBE">
              <w:t>4.D.1</w:t>
            </w:r>
          </w:p>
        </w:tc>
        <w:tc>
          <w:tcPr>
            <w:tcW w:w="3681" w:type="dxa"/>
            <w:shd w:val="clear" w:color="auto" w:fill="FFFFFF"/>
            <w:tcMar>
              <w:top w:w="0" w:type="dxa"/>
              <w:left w:w="85" w:type="dxa"/>
              <w:bottom w:w="0" w:type="dxa"/>
              <w:right w:w="85" w:type="dxa"/>
            </w:tcMar>
            <w:hideMark/>
          </w:tcPr>
          <w:p w14:paraId="4B7A7D04" w14:textId="77777777" w:rsidR="00447423" w:rsidRPr="002A3CBE" w:rsidRDefault="00447423" w:rsidP="00F16E23">
            <w:pPr>
              <w:pStyle w:val="TableText"/>
            </w:pPr>
            <w:r w:rsidRPr="002A3CBE">
              <w:t>Wetlands remaining wetlands/4(V) Biomass burning/Wildfires/Wetlands remaining wetlands</w:t>
            </w:r>
          </w:p>
        </w:tc>
        <w:tc>
          <w:tcPr>
            <w:tcW w:w="1351" w:type="dxa"/>
            <w:shd w:val="clear" w:color="auto" w:fill="FFFFFF"/>
            <w:tcMar>
              <w:top w:w="0" w:type="dxa"/>
              <w:left w:w="85" w:type="dxa"/>
              <w:bottom w:w="0" w:type="dxa"/>
              <w:right w:w="85" w:type="dxa"/>
            </w:tcMar>
            <w:hideMark/>
          </w:tcPr>
          <w:p w14:paraId="351AD540" w14:textId="77777777" w:rsidR="00447423" w:rsidRPr="002A3CBE" w:rsidRDefault="00447423" w:rsidP="00F16E23">
            <w:pPr>
              <w:pStyle w:val="TableText"/>
            </w:pPr>
            <w:r w:rsidRPr="002A3CBE">
              <w:t>CH</w:t>
            </w:r>
            <w:r w:rsidRPr="002A3CBE">
              <w:rPr>
                <w:vertAlign w:val="subscript"/>
              </w:rPr>
              <w:t>4</w:t>
            </w:r>
            <w:r w:rsidRPr="002A3CBE">
              <w:t>, N</w:t>
            </w:r>
            <w:r w:rsidRPr="002A3CBE">
              <w:rPr>
                <w:vertAlign w:val="subscript"/>
              </w:rPr>
              <w:t>2</w:t>
            </w:r>
            <w:r w:rsidRPr="002A3CBE">
              <w:t>O</w:t>
            </w:r>
          </w:p>
        </w:tc>
        <w:tc>
          <w:tcPr>
            <w:tcW w:w="12211" w:type="dxa"/>
            <w:shd w:val="clear" w:color="auto" w:fill="FFFFFF"/>
            <w:tcMar>
              <w:top w:w="0" w:type="dxa"/>
              <w:left w:w="85" w:type="dxa"/>
              <w:bottom w:w="0" w:type="dxa"/>
              <w:right w:w="85" w:type="dxa"/>
            </w:tcMar>
            <w:hideMark/>
          </w:tcPr>
          <w:p w14:paraId="6173C713" w14:textId="77777777" w:rsidR="00447423" w:rsidRPr="002A3CBE" w:rsidRDefault="00447423" w:rsidP="00F16E23">
            <w:pPr>
              <w:pStyle w:val="TableText"/>
            </w:pPr>
            <w:r w:rsidRPr="002A3CBE">
              <w:t>This category is not mandatory. No methodology is provided in the 2006 IPCC Guidelines for calculating Tier 1 estimates of carbon stock changes in organic soils for this land use category (IPCC, 2006a). New Zealand does not have sufficient information on biomass burning activities to reliably report on it.</w:t>
            </w:r>
          </w:p>
        </w:tc>
      </w:tr>
      <w:tr w:rsidR="00447423" w:rsidRPr="002A3CBE" w14:paraId="17DDE5DD" w14:textId="77777777" w:rsidTr="00F16E23">
        <w:tc>
          <w:tcPr>
            <w:tcW w:w="2252" w:type="dxa"/>
            <w:tcMar>
              <w:top w:w="0" w:type="dxa"/>
              <w:left w:w="85" w:type="dxa"/>
              <w:bottom w:w="0" w:type="dxa"/>
              <w:right w:w="85" w:type="dxa"/>
            </w:tcMar>
            <w:hideMark/>
          </w:tcPr>
          <w:p w14:paraId="3B99AE01" w14:textId="77777777" w:rsidR="00447423" w:rsidRPr="002A3CBE" w:rsidRDefault="00447423" w:rsidP="00F16E23">
            <w:pPr>
              <w:pStyle w:val="TableText"/>
            </w:pPr>
            <w:r w:rsidRPr="002A3CBE">
              <w:t>4.D.1, 4.D.2</w:t>
            </w:r>
          </w:p>
        </w:tc>
        <w:tc>
          <w:tcPr>
            <w:tcW w:w="3681" w:type="dxa"/>
            <w:tcMar>
              <w:top w:w="0" w:type="dxa"/>
              <w:left w:w="85" w:type="dxa"/>
              <w:bottom w:w="0" w:type="dxa"/>
              <w:right w:w="85" w:type="dxa"/>
            </w:tcMar>
            <w:hideMark/>
          </w:tcPr>
          <w:p w14:paraId="11B5403F" w14:textId="77777777" w:rsidR="00447423" w:rsidRPr="002A3CBE" w:rsidRDefault="00447423" w:rsidP="00F16E23">
            <w:pPr>
              <w:pStyle w:val="TableText"/>
            </w:pPr>
            <w:r w:rsidRPr="002A3CBE">
              <w:t>Wetlands remaining wetlands, Land converted to wetlands (except transitions into and out of vegetated wetlands)</w:t>
            </w:r>
          </w:p>
        </w:tc>
        <w:tc>
          <w:tcPr>
            <w:tcW w:w="1351" w:type="dxa"/>
            <w:tcMar>
              <w:top w:w="0" w:type="dxa"/>
              <w:left w:w="85" w:type="dxa"/>
              <w:bottom w:w="0" w:type="dxa"/>
              <w:right w:w="85" w:type="dxa"/>
            </w:tcMar>
            <w:hideMark/>
          </w:tcPr>
          <w:p w14:paraId="716E693B" w14:textId="77777777" w:rsidR="00447423" w:rsidRPr="002A3CBE" w:rsidRDefault="00447423" w:rsidP="00F16E23">
            <w:pPr>
              <w:pStyle w:val="TableText"/>
            </w:pPr>
            <w:r w:rsidRPr="002A3CBE">
              <w:t>CO</w:t>
            </w:r>
            <w:r w:rsidRPr="002A3CBE">
              <w:rPr>
                <w:vertAlign w:val="subscript"/>
              </w:rPr>
              <w:t>2</w:t>
            </w:r>
          </w:p>
        </w:tc>
        <w:tc>
          <w:tcPr>
            <w:tcW w:w="12211" w:type="dxa"/>
            <w:tcMar>
              <w:top w:w="0" w:type="dxa"/>
              <w:left w:w="85" w:type="dxa"/>
              <w:bottom w:w="0" w:type="dxa"/>
              <w:right w:w="85" w:type="dxa"/>
            </w:tcMar>
            <w:hideMark/>
          </w:tcPr>
          <w:p w14:paraId="33C7ED0D" w14:textId="77777777" w:rsidR="00447423" w:rsidRPr="002A3CBE" w:rsidRDefault="00447423" w:rsidP="00F16E23">
            <w:pPr>
              <w:pStyle w:val="TableText"/>
            </w:pPr>
            <w:r w:rsidRPr="002A3CBE">
              <w:t>This category is not mandatory. No methodology is provided in the 2006 IPCC Guidelines for calculating Tier 1 estimates of carbon stock change in this land use (IPCC, 2006a, volume 4, chapter 7.3.1).</w:t>
            </w:r>
          </w:p>
        </w:tc>
      </w:tr>
      <w:tr w:rsidR="00447423" w:rsidRPr="002A3CBE" w14:paraId="23D846F2" w14:textId="77777777" w:rsidTr="00F16E23">
        <w:tc>
          <w:tcPr>
            <w:tcW w:w="2252" w:type="dxa"/>
            <w:tcMar>
              <w:top w:w="0" w:type="dxa"/>
              <w:left w:w="85" w:type="dxa"/>
              <w:bottom w:w="0" w:type="dxa"/>
              <w:right w:w="85" w:type="dxa"/>
            </w:tcMar>
            <w:hideMark/>
          </w:tcPr>
          <w:p w14:paraId="36C81678" w14:textId="77777777" w:rsidR="00447423" w:rsidRPr="002A3CBE" w:rsidRDefault="00447423" w:rsidP="00F16E23">
            <w:pPr>
              <w:pStyle w:val="TableText"/>
            </w:pPr>
            <w:r w:rsidRPr="002A3CBE">
              <w:t>4.D.2</w:t>
            </w:r>
          </w:p>
        </w:tc>
        <w:tc>
          <w:tcPr>
            <w:tcW w:w="3681" w:type="dxa"/>
            <w:tcMar>
              <w:top w:w="0" w:type="dxa"/>
              <w:left w:w="85" w:type="dxa"/>
              <w:bottom w:w="0" w:type="dxa"/>
              <w:right w:w="85" w:type="dxa"/>
            </w:tcMar>
            <w:hideMark/>
          </w:tcPr>
          <w:p w14:paraId="3512C280" w14:textId="77777777" w:rsidR="00447423" w:rsidRPr="002A3CBE" w:rsidRDefault="00447423" w:rsidP="00F16E23">
            <w:pPr>
              <w:pStyle w:val="TableText"/>
            </w:pPr>
            <w:r w:rsidRPr="002A3CBE">
              <w:t>Land converted to wetlands/Land converted for peat extraction</w:t>
            </w:r>
          </w:p>
        </w:tc>
        <w:tc>
          <w:tcPr>
            <w:tcW w:w="1351" w:type="dxa"/>
            <w:tcMar>
              <w:top w:w="0" w:type="dxa"/>
              <w:left w:w="85" w:type="dxa"/>
              <w:bottom w:w="0" w:type="dxa"/>
              <w:right w:w="85" w:type="dxa"/>
            </w:tcMar>
            <w:hideMark/>
          </w:tcPr>
          <w:p w14:paraId="2BBC783A" w14:textId="77777777" w:rsidR="00447423" w:rsidRPr="002A3CBE" w:rsidRDefault="00447423" w:rsidP="00F16E23">
            <w:pPr>
              <w:pStyle w:val="TableText"/>
            </w:pPr>
            <w:r w:rsidRPr="002A3CBE">
              <w:t>CO</w:t>
            </w:r>
            <w:r w:rsidRPr="002A3CBE">
              <w:rPr>
                <w:vertAlign w:val="subscript"/>
              </w:rPr>
              <w:t>2</w:t>
            </w:r>
          </w:p>
        </w:tc>
        <w:tc>
          <w:tcPr>
            <w:tcW w:w="12211" w:type="dxa"/>
            <w:tcMar>
              <w:top w:w="0" w:type="dxa"/>
              <w:left w:w="85" w:type="dxa"/>
              <w:bottom w:w="0" w:type="dxa"/>
              <w:right w:w="85" w:type="dxa"/>
            </w:tcMar>
            <w:hideMark/>
          </w:tcPr>
          <w:p w14:paraId="785D06BC" w14:textId="77777777" w:rsidR="00447423" w:rsidRPr="002A3CBE" w:rsidRDefault="00447423" w:rsidP="00F16E23">
            <w:pPr>
              <w:pStyle w:val="TableText"/>
            </w:pPr>
            <w:r w:rsidRPr="002A3CBE">
              <w:t>New Zealand does not have activity data available to report on this activity.</w:t>
            </w:r>
          </w:p>
        </w:tc>
      </w:tr>
      <w:tr w:rsidR="00447423" w:rsidRPr="002A3CBE" w14:paraId="2F1D35AA" w14:textId="77777777" w:rsidTr="00F16E23">
        <w:tc>
          <w:tcPr>
            <w:tcW w:w="2252" w:type="dxa"/>
            <w:tcMar>
              <w:top w:w="0" w:type="dxa"/>
              <w:left w:w="85" w:type="dxa"/>
              <w:bottom w:w="0" w:type="dxa"/>
              <w:right w:w="85" w:type="dxa"/>
            </w:tcMar>
            <w:hideMark/>
          </w:tcPr>
          <w:p w14:paraId="3B267414" w14:textId="77777777" w:rsidR="00447423" w:rsidRPr="002A3CBE" w:rsidRDefault="00447423" w:rsidP="00F16E23">
            <w:pPr>
              <w:pStyle w:val="TableText"/>
            </w:pPr>
            <w:r w:rsidRPr="002A3CBE">
              <w:t>4.E.2</w:t>
            </w:r>
          </w:p>
        </w:tc>
        <w:tc>
          <w:tcPr>
            <w:tcW w:w="3681" w:type="dxa"/>
            <w:tcMar>
              <w:top w:w="0" w:type="dxa"/>
              <w:left w:w="85" w:type="dxa"/>
              <w:bottom w:w="0" w:type="dxa"/>
              <w:right w:w="85" w:type="dxa"/>
            </w:tcMar>
            <w:hideMark/>
          </w:tcPr>
          <w:p w14:paraId="4D3FE5A7" w14:textId="77777777" w:rsidR="00447423" w:rsidRPr="002A3CBE" w:rsidRDefault="00447423" w:rsidP="00F16E23">
            <w:pPr>
              <w:pStyle w:val="TableText"/>
            </w:pPr>
            <w:r w:rsidRPr="002A3CBE">
              <w:t>Land converted to settlements</w:t>
            </w:r>
          </w:p>
        </w:tc>
        <w:tc>
          <w:tcPr>
            <w:tcW w:w="1351" w:type="dxa"/>
            <w:tcMar>
              <w:top w:w="0" w:type="dxa"/>
              <w:left w:w="85" w:type="dxa"/>
              <w:bottom w:w="0" w:type="dxa"/>
              <w:right w:w="85" w:type="dxa"/>
            </w:tcMar>
            <w:hideMark/>
          </w:tcPr>
          <w:p w14:paraId="275A0EF6" w14:textId="77777777" w:rsidR="00447423" w:rsidRPr="002A3CBE" w:rsidRDefault="00447423" w:rsidP="00F16E23">
            <w:pPr>
              <w:pStyle w:val="TableText"/>
            </w:pPr>
            <w:r w:rsidRPr="002A3CBE">
              <w:t>CO</w:t>
            </w:r>
            <w:r w:rsidRPr="002A3CBE">
              <w:rPr>
                <w:vertAlign w:val="subscript"/>
              </w:rPr>
              <w:t>2</w:t>
            </w:r>
          </w:p>
        </w:tc>
        <w:tc>
          <w:tcPr>
            <w:tcW w:w="12211" w:type="dxa"/>
            <w:tcMar>
              <w:top w:w="0" w:type="dxa"/>
              <w:left w:w="85" w:type="dxa"/>
              <w:bottom w:w="0" w:type="dxa"/>
              <w:right w:w="85" w:type="dxa"/>
            </w:tcMar>
            <w:hideMark/>
          </w:tcPr>
          <w:p w14:paraId="44FCBE4C" w14:textId="77777777" w:rsidR="00447423" w:rsidRPr="002A3CBE" w:rsidRDefault="00447423" w:rsidP="00F16E23">
            <w:pPr>
              <w:pStyle w:val="TableText"/>
            </w:pPr>
            <w:r w:rsidRPr="002A3CBE">
              <w:t>This category is not mandatory. No IPCC guidance is provided for calculating Tier 1 estimates of carbon stock changes in organic soils for this land use category. Therefore</w:t>
            </w:r>
            <w:r>
              <w:t>,</w:t>
            </w:r>
            <w:r w:rsidRPr="002A3CBE">
              <w:t xml:space="preserve"> with land-use change to or from this land use on organic soils, New Zealand reports the notation key NE.</w:t>
            </w:r>
          </w:p>
        </w:tc>
      </w:tr>
      <w:tr w:rsidR="00447423" w:rsidRPr="002A3CBE" w14:paraId="7AA5C3AE" w14:textId="77777777" w:rsidTr="00F16E23">
        <w:tc>
          <w:tcPr>
            <w:tcW w:w="2252" w:type="dxa"/>
            <w:tcMar>
              <w:top w:w="0" w:type="dxa"/>
              <w:left w:w="85" w:type="dxa"/>
              <w:bottom w:w="0" w:type="dxa"/>
              <w:right w:w="85" w:type="dxa"/>
            </w:tcMar>
            <w:hideMark/>
          </w:tcPr>
          <w:p w14:paraId="0EA07C40" w14:textId="77777777" w:rsidR="00447423" w:rsidRPr="002A3CBE" w:rsidRDefault="00447423" w:rsidP="00F16E23">
            <w:pPr>
              <w:pStyle w:val="TableText"/>
            </w:pPr>
            <w:r w:rsidRPr="002A3CBE">
              <w:t>4.F</w:t>
            </w:r>
          </w:p>
        </w:tc>
        <w:tc>
          <w:tcPr>
            <w:tcW w:w="3681" w:type="dxa"/>
            <w:tcMar>
              <w:top w:w="0" w:type="dxa"/>
              <w:left w:w="85" w:type="dxa"/>
              <w:bottom w:w="0" w:type="dxa"/>
              <w:right w:w="85" w:type="dxa"/>
            </w:tcMar>
            <w:hideMark/>
          </w:tcPr>
          <w:p w14:paraId="3DCB4D49" w14:textId="77777777" w:rsidR="00447423" w:rsidRPr="002A3CBE" w:rsidRDefault="00447423" w:rsidP="00F16E23">
            <w:pPr>
              <w:pStyle w:val="TableText"/>
            </w:pPr>
            <w:r w:rsidRPr="002A3CBE">
              <w:t>4.F Other land/4(V) Biomass burning/Land converted to other land</w:t>
            </w:r>
          </w:p>
        </w:tc>
        <w:tc>
          <w:tcPr>
            <w:tcW w:w="1351" w:type="dxa"/>
            <w:tcMar>
              <w:top w:w="0" w:type="dxa"/>
              <w:left w:w="85" w:type="dxa"/>
              <w:bottom w:w="0" w:type="dxa"/>
              <w:right w:w="85" w:type="dxa"/>
            </w:tcMar>
            <w:hideMark/>
          </w:tcPr>
          <w:p w14:paraId="3B60BF8A" w14:textId="77777777" w:rsidR="00447423" w:rsidRPr="002A3CBE" w:rsidRDefault="00447423" w:rsidP="00F16E23">
            <w:pPr>
              <w:pStyle w:val="TableText"/>
            </w:pPr>
            <w:r w:rsidRPr="002A3CBE">
              <w:t>CH</w:t>
            </w:r>
            <w:r w:rsidRPr="002A3CBE">
              <w:rPr>
                <w:vertAlign w:val="subscript"/>
              </w:rPr>
              <w:t>4</w:t>
            </w:r>
            <w:r w:rsidRPr="002A3CBE">
              <w:t>, N</w:t>
            </w:r>
            <w:r w:rsidRPr="002A3CBE">
              <w:rPr>
                <w:vertAlign w:val="subscript"/>
              </w:rPr>
              <w:t>2</w:t>
            </w:r>
            <w:r w:rsidRPr="002A3CBE">
              <w:t>O</w:t>
            </w:r>
          </w:p>
        </w:tc>
        <w:tc>
          <w:tcPr>
            <w:tcW w:w="12211" w:type="dxa"/>
            <w:tcMar>
              <w:top w:w="0" w:type="dxa"/>
              <w:left w:w="85" w:type="dxa"/>
              <w:bottom w:w="0" w:type="dxa"/>
              <w:right w:w="85" w:type="dxa"/>
            </w:tcMar>
            <w:hideMark/>
          </w:tcPr>
          <w:p w14:paraId="09A0D8B1" w14:textId="77777777" w:rsidR="00447423" w:rsidRPr="002A3CBE" w:rsidRDefault="00447423" w:rsidP="00F16E23">
            <w:pPr>
              <w:pStyle w:val="TableText"/>
            </w:pPr>
            <w:r w:rsidRPr="002A3CBE">
              <w:t>This is a relatively minor activity in New Zealand due to the country’s temperate climate and rainfall distribution, and there is currently insufficient information to reliably report on it.</w:t>
            </w:r>
          </w:p>
        </w:tc>
      </w:tr>
      <w:tr w:rsidR="00447423" w:rsidRPr="002A3CBE" w14:paraId="0E567515" w14:textId="77777777" w:rsidTr="00F16E23">
        <w:tc>
          <w:tcPr>
            <w:tcW w:w="2252" w:type="dxa"/>
            <w:tcMar>
              <w:top w:w="0" w:type="dxa"/>
              <w:left w:w="85" w:type="dxa"/>
              <w:bottom w:w="0" w:type="dxa"/>
              <w:right w:w="85" w:type="dxa"/>
            </w:tcMar>
            <w:hideMark/>
          </w:tcPr>
          <w:p w14:paraId="4450F20E" w14:textId="77777777" w:rsidR="00447423" w:rsidRPr="002A3CBE" w:rsidRDefault="00447423" w:rsidP="00F16E23">
            <w:pPr>
              <w:pStyle w:val="TableText"/>
            </w:pPr>
            <w:r w:rsidRPr="002A3CBE">
              <w:t>4.F.2</w:t>
            </w:r>
          </w:p>
        </w:tc>
        <w:tc>
          <w:tcPr>
            <w:tcW w:w="3681" w:type="dxa"/>
            <w:tcMar>
              <w:top w:w="0" w:type="dxa"/>
              <w:left w:w="85" w:type="dxa"/>
              <w:bottom w:w="0" w:type="dxa"/>
              <w:right w:w="85" w:type="dxa"/>
            </w:tcMar>
            <w:hideMark/>
          </w:tcPr>
          <w:p w14:paraId="7062E910" w14:textId="77777777" w:rsidR="00447423" w:rsidRPr="002A3CBE" w:rsidRDefault="00447423" w:rsidP="00F16E23">
            <w:pPr>
              <w:pStyle w:val="TableText"/>
            </w:pPr>
            <w:r w:rsidRPr="002A3CBE">
              <w:t>Land converted to other land</w:t>
            </w:r>
          </w:p>
        </w:tc>
        <w:tc>
          <w:tcPr>
            <w:tcW w:w="1351" w:type="dxa"/>
            <w:tcMar>
              <w:top w:w="0" w:type="dxa"/>
              <w:left w:w="85" w:type="dxa"/>
              <w:bottom w:w="0" w:type="dxa"/>
              <w:right w:w="85" w:type="dxa"/>
            </w:tcMar>
            <w:hideMark/>
          </w:tcPr>
          <w:p w14:paraId="1D93ECD2" w14:textId="77777777" w:rsidR="00447423" w:rsidRPr="002A3CBE" w:rsidRDefault="00447423" w:rsidP="00F16E23">
            <w:pPr>
              <w:pStyle w:val="TableText"/>
            </w:pPr>
            <w:r w:rsidRPr="002A3CBE">
              <w:t>CO</w:t>
            </w:r>
            <w:r w:rsidRPr="002A3CBE">
              <w:rPr>
                <w:vertAlign w:val="subscript"/>
              </w:rPr>
              <w:t>2</w:t>
            </w:r>
          </w:p>
        </w:tc>
        <w:tc>
          <w:tcPr>
            <w:tcW w:w="12211" w:type="dxa"/>
            <w:tcMar>
              <w:top w:w="0" w:type="dxa"/>
              <w:left w:w="85" w:type="dxa"/>
              <w:bottom w:w="0" w:type="dxa"/>
              <w:right w:w="85" w:type="dxa"/>
            </w:tcMar>
            <w:hideMark/>
          </w:tcPr>
          <w:p w14:paraId="4EF0FE3E" w14:textId="6513BB91" w:rsidR="00447423" w:rsidRPr="002A3CBE" w:rsidRDefault="00447423" w:rsidP="00F16E23">
            <w:pPr>
              <w:pStyle w:val="TableText"/>
            </w:pPr>
            <w:r w:rsidRPr="002A3CBE">
              <w:t>This category is not mandatory. No IPCC guidance is provided for calculating Tier 1 estimates of carbon stock changes in organic soils for this land use category. Therefore, with land-use change to or from this land use on</w:t>
            </w:r>
            <w:r w:rsidR="005D5403">
              <w:t> </w:t>
            </w:r>
            <w:r w:rsidRPr="002A3CBE">
              <w:t>organic soils, New Zealand reports the notation key NE.</w:t>
            </w:r>
          </w:p>
        </w:tc>
      </w:tr>
    </w:tbl>
    <w:p w14:paraId="25D650F7" w14:textId="77777777" w:rsidR="00447423" w:rsidRPr="002A3CBE" w:rsidRDefault="00447423" w:rsidP="00447423">
      <w:pPr>
        <w:rPr>
          <w:rFonts w:ascii="Aptos" w:eastAsiaTheme="minorHAnsi" w:hAnsi="Aptos" w:cs="Aptos"/>
          <w:color w:val="000000"/>
        </w:rPr>
      </w:pPr>
    </w:p>
    <w:p w14:paraId="29ECDF43" w14:textId="77777777" w:rsidR="00447423" w:rsidRPr="002A3CBE" w:rsidRDefault="00447423" w:rsidP="00447423">
      <w:pPr>
        <w:pStyle w:val="Heading4"/>
      </w:pPr>
      <w:r w:rsidRPr="002A3CBE">
        <w:t>Emissions reported as ‘IE’ or ‘included elsewhere’</w:t>
      </w:r>
    </w:p>
    <w:p w14:paraId="7F3DC469" w14:textId="77777777" w:rsidR="00447423" w:rsidRPr="002A3CBE" w:rsidRDefault="00447423" w:rsidP="00447423">
      <w:pPr>
        <w:pStyle w:val="BodyText"/>
      </w:pPr>
      <w:r w:rsidRPr="002A3CBE">
        <w:t>Table 6.1.10 details where the notation key ‘IE’ has been used in this submission of the Inventory for the IPPU sector.</w:t>
      </w:r>
    </w:p>
    <w:p w14:paraId="7FA4DD63" w14:textId="77777777" w:rsidR="00447423" w:rsidRPr="002A3CBE" w:rsidRDefault="00447423" w:rsidP="00447423">
      <w:pPr>
        <w:pStyle w:val="Table"/>
      </w:pPr>
      <w:bookmarkStart w:id="1766" w:name="_Toc222837902"/>
      <w:bookmarkStart w:id="1767" w:name="_Toc226669048"/>
      <w:r w:rsidRPr="002A3CBE">
        <w:t>Table 6.1.10</w:t>
      </w:r>
      <w:r w:rsidRPr="002A3CBE">
        <w:tab/>
        <w:t>Emissions reported using the ‘IE’ or ‘included elsewhere’ notation key in the 2026 submission for the LULUCF sector</w:t>
      </w:r>
      <w:bookmarkEnd w:id="1766"/>
      <w:bookmarkEnd w:id="1767"/>
    </w:p>
    <w:tbl>
      <w:tblPr>
        <w:tblW w:w="8505" w:type="dxa"/>
        <w:tblBorders>
          <w:top w:val="single" w:sz="4" w:space="0" w:color="1B556B" w:themeColor="text2"/>
          <w:bottom w:val="single" w:sz="4" w:space="0" w:color="1B556B" w:themeColor="text2"/>
          <w:insideH w:val="single" w:sz="4" w:space="0" w:color="1B556B" w:themeColor="text2"/>
        </w:tblBorders>
        <w:tblCellMar>
          <w:left w:w="0" w:type="dxa"/>
          <w:right w:w="0" w:type="dxa"/>
        </w:tblCellMar>
        <w:tblLook w:val="04A0" w:firstRow="1" w:lastRow="0" w:firstColumn="1" w:lastColumn="0" w:noHBand="0" w:noVBand="1"/>
      </w:tblPr>
      <w:tblGrid>
        <w:gridCol w:w="988"/>
        <w:gridCol w:w="1734"/>
        <w:gridCol w:w="1673"/>
        <w:gridCol w:w="4110"/>
      </w:tblGrid>
      <w:tr w:rsidR="00447423" w:rsidRPr="002A3CBE" w14:paraId="10D21CE7" w14:textId="77777777" w:rsidTr="00F16E23">
        <w:trPr>
          <w:tblHeader/>
        </w:trPr>
        <w:tc>
          <w:tcPr>
            <w:tcW w:w="988" w:type="dxa"/>
            <w:shd w:val="clear" w:color="auto" w:fill="1B556B"/>
            <w:tcMar>
              <w:top w:w="15" w:type="dxa"/>
              <w:left w:w="85" w:type="dxa"/>
              <w:bottom w:w="0" w:type="dxa"/>
              <w:right w:w="57" w:type="dxa"/>
            </w:tcMar>
            <w:vAlign w:val="bottom"/>
            <w:hideMark/>
          </w:tcPr>
          <w:p w14:paraId="72CE18DF" w14:textId="77777777" w:rsidR="00447423" w:rsidRPr="002A3CBE" w:rsidRDefault="00447423" w:rsidP="00F16E23">
            <w:pPr>
              <w:pStyle w:val="TableTextBold"/>
              <w:spacing w:before="40" w:after="40"/>
              <w:rPr>
                <w:noProof w:val="0"/>
                <w:color w:val="FFFFFF" w:themeColor="background1"/>
              </w:rPr>
            </w:pPr>
            <w:r w:rsidRPr="002A3CBE">
              <w:rPr>
                <w:noProof w:val="0"/>
                <w:color w:val="FFFFFF" w:themeColor="background1"/>
              </w:rPr>
              <w:t>CRT category code </w:t>
            </w:r>
          </w:p>
        </w:tc>
        <w:tc>
          <w:tcPr>
            <w:tcW w:w="1734" w:type="dxa"/>
            <w:shd w:val="clear" w:color="auto" w:fill="1B556B"/>
            <w:tcMar>
              <w:top w:w="15" w:type="dxa"/>
              <w:left w:w="85" w:type="dxa"/>
              <w:bottom w:w="0" w:type="dxa"/>
              <w:right w:w="57" w:type="dxa"/>
            </w:tcMar>
            <w:vAlign w:val="bottom"/>
            <w:hideMark/>
          </w:tcPr>
          <w:p w14:paraId="679D113B" w14:textId="77777777" w:rsidR="00447423" w:rsidRPr="002A3CBE" w:rsidRDefault="00447423" w:rsidP="00F16E23">
            <w:pPr>
              <w:pStyle w:val="TableTextBold"/>
              <w:spacing w:before="40" w:after="40"/>
              <w:rPr>
                <w:noProof w:val="0"/>
                <w:color w:val="FFFFFF" w:themeColor="background1"/>
              </w:rPr>
            </w:pPr>
            <w:r w:rsidRPr="002A3CBE">
              <w:rPr>
                <w:noProof w:val="0"/>
                <w:color w:val="FFFFFF" w:themeColor="background1"/>
              </w:rPr>
              <w:t>Category </w:t>
            </w:r>
          </w:p>
        </w:tc>
        <w:tc>
          <w:tcPr>
            <w:tcW w:w="1673" w:type="dxa"/>
            <w:shd w:val="clear" w:color="auto" w:fill="1B556B"/>
            <w:tcMar>
              <w:top w:w="15" w:type="dxa"/>
              <w:left w:w="85" w:type="dxa"/>
              <w:bottom w:w="0" w:type="dxa"/>
              <w:right w:w="57" w:type="dxa"/>
            </w:tcMar>
            <w:vAlign w:val="bottom"/>
            <w:hideMark/>
          </w:tcPr>
          <w:p w14:paraId="0FAAE5C5" w14:textId="77777777" w:rsidR="00447423" w:rsidRPr="002A3CBE" w:rsidRDefault="00447423" w:rsidP="00F16E23">
            <w:pPr>
              <w:pStyle w:val="TableTextBold"/>
              <w:spacing w:before="40" w:after="40"/>
              <w:rPr>
                <w:noProof w:val="0"/>
                <w:color w:val="FFFFFF" w:themeColor="background1"/>
              </w:rPr>
            </w:pPr>
            <w:r w:rsidRPr="002A3CBE">
              <w:rPr>
                <w:noProof w:val="0"/>
                <w:color w:val="FFFFFF" w:themeColor="background1"/>
              </w:rPr>
              <w:t>Source category reported under </w:t>
            </w:r>
          </w:p>
        </w:tc>
        <w:tc>
          <w:tcPr>
            <w:tcW w:w="4110" w:type="dxa"/>
            <w:shd w:val="clear" w:color="auto" w:fill="1B556B"/>
            <w:tcMar>
              <w:top w:w="15" w:type="dxa"/>
              <w:left w:w="85" w:type="dxa"/>
              <w:bottom w:w="0" w:type="dxa"/>
              <w:right w:w="57" w:type="dxa"/>
            </w:tcMar>
            <w:vAlign w:val="bottom"/>
            <w:hideMark/>
          </w:tcPr>
          <w:p w14:paraId="2A3D682C" w14:textId="77777777" w:rsidR="00447423" w:rsidRPr="002A3CBE" w:rsidRDefault="00447423" w:rsidP="00F16E23">
            <w:pPr>
              <w:pStyle w:val="TableTextBold"/>
              <w:spacing w:before="40" w:after="40"/>
              <w:rPr>
                <w:noProof w:val="0"/>
                <w:color w:val="FFFFFF" w:themeColor="background1"/>
              </w:rPr>
            </w:pPr>
            <w:r w:rsidRPr="002A3CBE">
              <w:rPr>
                <w:noProof w:val="0"/>
                <w:color w:val="FFFFFF" w:themeColor="background1"/>
              </w:rPr>
              <w:t>Notation key explanation </w:t>
            </w:r>
          </w:p>
        </w:tc>
      </w:tr>
      <w:tr w:rsidR="00447423" w:rsidRPr="002A3CBE" w14:paraId="3CD610BF" w14:textId="77777777" w:rsidTr="005D5403">
        <w:trPr>
          <w:tblHeader/>
        </w:trPr>
        <w:tc>
          <w:tcPr>
            <w:tcW w:w="8505" w:type="dxa"/>
            <w:gridSpan w:val="4"/>
            <w:tcBorders>
              <w:bottom w:val="single" w:sz="4" w:space="0" w:color="1B556B" w:themeColor="text2"/>
            </w:tcBorders>
            <w:tcMar>
              <w:top w:w="15" w:type="dxa"/>
              <w:left w:w="85" w:type="dxa"/>
              <w:bottom w:w="0" w:type="dxa"/>
              <w:right w:w="57" w:type="dxa"/>
            </w:tcMar>
            <w:vAlign w:val="center"/>
            <w:hideMark/>
          </w:tcPr>
          <w:p w14:paraId="67AB973E" w14:textId="77777777" w:rsidR="00447423" w:rsidRPr="002A3CBE" w:rsidRDefault="00447423" w:rsidP="00F16E23">
            <w:pPr>
              <w:pStyle w:val="TableTextBold"/>
              <w:spacing w:before="40" w:after="40"/>
              <w:rPr>
                <w:noProof w:val="0"/>
                <w:color w:val="000000"/>
              </w:rPr>
            </w:pPr>
            <w:r w:rsidRPr="002A3CBE">
              <w:rPr>
                <w:noProof w:val="0"/>
                <w:color w:val="000000"/>
              </w:rPr>
              <w:t>Land Use, Land-Use Change and Forestry</w:t>
            </w:r>
          </w:p>
        </w:tc>
      </w:tr>
      <w:tr w:rsidR="00447423" w:rsidRPr="002A3CBE" w14:paraId="102AB64A" w14:textId="77777777" w:rsidTr="00F16E23">
        <w:tc>
          <w:tcPr>
            <w:tcW w:w="988" w:type="dxa"/>
            <w:tcMar>
              <w:top w:w="15" w:type="dxa"/>
              <w:left w:w="85" w:type="dxa"/>
              <w:bottom w:w="0" w:type="dxa"/>
              <w:right w:w="57" w:type="dxa"/>
            </w:tcMar>
            <w:hideMark/>
          </w:tcPr>
          <w:p w14:paraId="7B4D4673" w14:textId="77777777" w:rsidR="00447423" w:rsidRPr="002A3CBE" w:rsidRDefault="00447423" w:rsidP="00F16E23">
            <w:pPr>
              <w:pStyle w:val="TableText"/>
              <w:spacing w:before="40" w:after="40"/>
            </w:pPr>
            <w:r w:rsidRPr="002A3CBE">
              <w:t>4.A.1/4(V) </w:t>
            </w:r>
          </w:p>
        </w:tc>
        <w:tc>
          <w:tcPr>
            <w:tcW w:w="1734" w:type="dxa"/>
            <w:tcMar>
              <w:top w:w="15" w:type="dxa"/>
              <w:left w:w="85" w:type="dxa"/>
              <w:bottom w:w="0" w:type="dxa"/>
              <w:right w:w="57" w:type="dxa"/>
            </w:tcMar>
            <w:hideMark/>
          </w:tcPr>
          <w:p w14:paraId="5E94AC87" w14:textId="77777777" w:rsidR="00447423" w:rsidRPr="002A3CBE" w:rsidRDefault="00447423" w:rsidP="00F16E23">
            <w:pPr>
              <w:pStyle w:val="TableText"/>
              <w:spacing w:before="40" w:after="40"/>
            </w:pPr>
            <w:r w:rsidRPr="002A3CBE">
              <w:t>Controlled burning </w:t>
            </w:r>
          </w:p>
        </w:tc>
        <w:tc>
          <w:tcPr>
            <w:tcW w:w="1673" w:type="dxa"/>
            <w:tcMar>
              <w:top w:w="15" w:type="dxa"/>
              <w:left w:w="85" w:type="dxa"/>
              <w:bottom w:w="0" w:type="dxa"/>
              <w:right w:w="57" w:type="dxa"/>
            </w:tcMar>
            <w:hideMark/>
          </w:tcPr>
          <w:p w14:paraId="08AB8F89" w14:textId="77777777" w:rsidR="00447423" w:rsidRPr="002A3CBE" w:rsidRDefault="00447423" w:rsidP="00F16E23">
            <w:pPr>
              <w:pStyle w:val="TableText"/>
              <w:spacing w:before="40" w:after="40"/>
            </w:pPr>
            <w:r w:rsidRPr="002A3CBE">
              <w:t>Forest land remaining forest land </w:t>
            </w:r>
          </w:p>
        </w:tc>
        <w:tc>
          <w:tcPr>
            <w:tcW w:w="4110" w:type="dxa"/>
            <w:tcMar>
              <w:top w:w="15" w:type="dxa"/>
              <w:left w:w="85" w:type="dxa"/>
              <w:bottom w:w="0" w:type="dxa"/>
              <w:right w:w="57" w:type="dxa"/>
            </w:tcMar>
            <w:hideMark/>
          </w:tcPr>
          <w:p w14:paraId="38AE421A" w14:textId="77777777" w:rsidR="00447423" w:rsidRPr="002A3CBE" w:rsidRDefault="00447423" w:rsidP="00F16E23">
            <w:pPr>
              <w:pStyle w:val="TableText"/>
              <w:spacing w:before="40" w:after="40"/>
            </w:pPr>
            <w:r w:rsidRPr="002A3CBE">
              <w:t>Carbon dioxide (CO</w:t>
            </w:r>
            <w:r w:rsidRPr="002A3CBE">
              <w:rPr>
                <w:vertAlign w:val="subscript"/>
              </w:rPr>
              <w:t>2</w:t>
            </w:r>
            <w:r w:rsidRPr="002A3CBE">
              <w:t>) emissions are captured by the general carbon stock change calculation if the fire-damaged area is harvested and replanted. If the stand is allowed to grow on but with a reduced stocking, the CO</w:t>
            </w:r>
            <w:r w:rsidRPr="002A3CBE">
              <w:rPr>
                <w:vertAlign w:val="subscript"/>
              </w:rPr>
              <w:t>2</w:t>
            </w:r>
            <w:r w:rsidRPr="002A3CBE">
              <w:t> emissions are reported at the eventual time of harvest. </w:t>
            </w:r>
          </w:p>
        </w:tc>
      </w:tr>
      <w:tr w:rsidR="00447423" w:rsidRPr="002A3CBE" w14:paraId="5D9EB0D4" w14:textId="77777777" w:rsidTr="00F16E23">
        <w:tc>
          <w:tcPr>
            <w:tcW w:w="988" w:type="dxa"/>
            <w:tcBorders>
              <w:bottom w:val="nil"/>
            </w:tcBorders>
            <w:tcMar>
              <w:top w:w="15" w:type="dxa"/>
              <w:left w:w="85" w:type="dxa"/>
              <w:bottom w:w="0" w:type="dxa"/>
              <w:right w:w="57" w:type="dxa"/>
            </w:tcMar>
            <w:hideMark/>
          </w:tcPr>
          <w:p w14:paraId="519FFC5D" w14:textId="77777777" w:rsidR="00447423" w:rsidRPr="002A3CBE" w:rsidRDefault="00447423" w:rsidP="00F16E23">
            <w:pPr>
              <w:pStyle w:val="TableText"/>
              <w:spacing w:before="40" w:after="40"/>
            </w:pPr>
            <w:r w:rsidRPr="002A3CBE">
              <w:t>4.A.1/4(II) </w:t>
            </w:r>
          </w:p>
        </w:tc>
        <w:tc>
          <w:tcPr>
            <w:tcW w:w="1734" w:type="dxa"/>
            <w:tcBorders>
              <w:bottom w:val="nil"/>
            </w:tcBorders>
            <w:tcMar>
              <w:top w:w="15" w:type="dxa"/>
              <w:left w:w="85" w:type="dxa"/>
              <w:bottom w:w="0" w:type="dxa"/>
              <w:right w:w="57" w:type="dxa"/>
            </w:tcMar>
            <w:hideMark/>
          </w:tcPr>
          <w:p w14:paraId="01A16091" w14:textId="77777777" w:rsidR="00447423" w:rsidRPr="002A3CBE" w:rsidRDefault="00447423" w:rsidP="00F16E23">
            <w:pPr>
              <w:pStyle w:val="TableText"/>
              <w:spacing w:before="40" w:after="40"/>
            </w:pPr>
            <w:r w:rsidRPr="002A3CBE">
              <w:t>Forest land </w:t>
            </w:r>
          </w:p>
        </w:tc>
        <w:tc>
          <w:tcPr>
            <w:tcW w:w="1673" w:type="dxa"/>
            <w:vMerge w:val="restart"/>
            <w:tcMar>
              <w:top w:w="15" w:type="dxa"/>
              <w:left w:w="85" w:type="dxa"/>
              <w:bottom w:w="0" w:type="dxa"/>
              <w:right w:w="57" w:type="dxa"/>
            </w:tcMar>
            <w:hideMark/>
          </w:tcPr>
          <w:p w14:paraId="270259EB" w14:textId="77777777" w:rsidR="00447423" w:rsidRPr="002A3CBE" w:rsidRDefault="00447423" w:rsidP="00F16E23">
            <w:pPr>
              <w:pStyle w:val="TableText"/>
              <w:spacing w:before="40" w:after="40"/>
              <w:rPr>
                <w:spacing w:val="-2"/>
              </w:rPr>
            </w:pPr>
            <w:r w:rsidRPr="002A3CBE">
              <w:rPr>
                <w:spacing w:val="-2"/>
              </w:rPr>
              <w:t>Emissions and removals from drainage and rewetting and other management of organic and mineral soils </w:t>
            </w:r>
          </w:p>
        </w:tc>
        <w:tc>
          <w:tcPr>
            <w:tcW w:w="4110" w:type="dxa"/>
            <w:vMerge w:val="restart"/>
            <w:tcMar>
              <w:top w:w="15" w:type="dxa"/>
              <w:left w:w="85" w:type="dxa"/>
              <w:bottom w:w="0" w:type="dxa"/>
              <w:right w:w="57" w:type="dxa"/>
            </w:tcMar>
            <w:hideMark/>
          </w:tcPr>
          <w:p w14:paraId="20404B8A" w14:textId="77777777" w:rsidR="00447423" w:rsidRPr="002A3CBE" w:rsidRDefault="00447423" w:rsidP="00F16E23">
            <w:pPr>
              <w:pStyle w:val="TableText"/>
              <w:spacing w:before="40" w:after="40"/>
            </w:pPr>
            <w:r w:rsidRPr="002A3CBE">
              <w:t>These emissions are reported under organic soils. </w:t>
            </w:r>
          </w:p>
        </w:tc>
      </w:tr>
      <w:tr w:rsidR="00447423" w:rsidRPr="002A3CBE" w14:paraId="4952F2C6" w14:textId="77777777" w:rsidTr="00F16E23">
        <w:tc>
          <w:tcPr>
            <w:tcW w:w="988" w:type="dxa"/>
            <w:tcBorders>
              <w:top w:val="nil"/>
            </w:tcBorders>
            <w:tcMar>
              <w:top w:w="15" w:type="dxa"/>
              <w:left w:w="85" w:type="dxa"/>
              <w:bottom w:w="0" w:type="dxa"/>
              <w:right w:w="57" w:type="dxa"/>
            </w:tcMar>
            <w:hideMark/>
          </w:tcPr>
          <w:p w14:paraId="2BF2A659" w14:textId="77777777" w:rsidR="00447423" w:rsidRPr="002A3CBE" w:rsidRDefault="00447423" w:rsidP="00F16E23">
            <w:pPr>
              <w:pStyle w:val="TableText"/>
              <w:spacing w:before="40" w:after="40"/>
            </w:pPr>
            <w:r w:rsidRPr="002A3CBE">
              <w:t>4.B.1/4(II) </w:t>
            </w:r>
          </w:p>
        </w:tc>
        <w:tc>
          <w:tcPr>
            <w:tcW w:w="1734" w:type="dxa"/>
            <w:tcBorders>
              <w:top w:val="nil"/>
            </w:tcBorders>
            <w:tcMar>
              <w:top w:w="15" w:type="dxa"/>
              <w:left w:w="85" w:type="dxa"/>
              <w:bottom w:w="0" w:type="dxa"/>
              <w:right w:w="57" w:type="dxa"/>
            </w:tcMar>
            <w:hideMark/>
          </w:tcPr>
          <w:p w14:paraId="16E460BA" w14:textId="77777777" w:rsidR="00447423" w:rsidRPr="002A3CBE" w:rsidRDefault="00447423" w:rsidP="00F16E23">
            <w:pPr>
              <w:pStyle w:val="TableText"/>
              <w:spacing w:before="40" w:after="40"/>
            </w:pPr>
            <w:r w:rsidRPr="002A3CBE">
              <w:t>Cropland </w:t>
            </w:r>
          </w:p>
        </w:tc>
        <w:tc>
          <w:tcPr>
            <w:tcW w:w="1673" w:type="dxa"/>
            <w:vMerge/>
            <w:tcMar>
              <w:left w:w="85" w:type="dxa"/>
              <w:right w:w="57" w:type="dxa"/>
            </w:tcMar>
            <w:hideMark/>
          </w:tcPr>
          <w:p w14:paraId="525F827B" w14:textId="77777777" w:rsidR="00447423" w:rsidRPr="002A3CBE" w:rsidRDefault="00447423" w:rsidP="00F16E23">
            <w:pPr>
              <w:pStyle w:val="TableText"/>
              <w:spacing w:before="40" w:after="40"/>
              <w:rPr>
                <w:rFonts w:eastAsiaTheme="minorHAnsi"/>
              </w:rPr>
            </w:pPr>
          </w:p>
        </w:tc>
        <w:tc>
          <w:tcPr>
            <w:tcW w:w="4110" w:type="dxa"/>
            <w:vMerge/>
            <w:tcMar>
              <w:left w:w="85" w:type="dxa"/>
              <w:right w:w="57" w:type="dxa"/>
            </w:tcMar>
            <w:hideMark/>
          </w:tcPr>
          <w:p w14:paraId="351D8A64" w14:textId="77777777" w:rsidR="00447423" w:rsidRPr="002A3CBE" w:rsidRDefault="00447423" w:rsidP="00F16E23">
            <w:pPr>
              <w:pStyle w:val="TableText"/>
              <w:spacing w:before="40" w:after="40"/>
              <w:rPr>
                <w:rFonts w:eastAsiaTheme="minorHAnsi"/>
              </w:rPr>
            </w:pPr>
          </w:p>
        </w:tc>
      </w:tr>
      <w:tr w:rsidR="00447423" w:rsidRPr="002A3CBE" w14:paraId="68E2778C" w14:textId="77777777" w:rsidTr="00F16E23">
        <w:tc>
          <w:tcPr>
            <w:tcW w:w="988" w:type="dxa"/>
            <w:tcMar>
              <w:top w:w="15" w:type="dxa"/>
              <w:left w:w="85" w:type="dxa"/>
              <w:bottom w:w="0" w:type="dxa"/>
              <w:right w:w="57" w:type="dxa"/>
            </w:tcMar>
            <w:hideMark/>
          </w:tcPr>
          <w:p w14:paraId="0E38649C" w14:textId="77777777" w:rsidR="00447423" w:rsidRPr="002A3CBE" w:rsidRDefault="00447423" w:rsidP="00F16E23">
            <w:pPr>
              <w:pStyle w:val="TableText"/>
              <w:spacing w:before="40" w:after="40"/>
            </w:pPr>
            <w:r w:rsidRPr="002A3CBE">
              <w:t>4.A.1 </w:t>
            </w:r>
          </w:p>
        </w:tc>
        <w:tc>
          <w:tcPr>
            <w:tcW w:w="1734" w:type="dxa"/>
            <w:tcMar>
              <w:top w:w="15" w:type="dxa"/>
              <w:left w:w="85" w:type="dxa"/>
              <w:bottom w:w="0" w:type="dxa"/>
              <w:right w:w="57" w:type="dxa"/>
            </w:tcMar>
            <w:hideMark/>
          </w:tcPr>
          <w:p w14:paraId="24785D83" w14:textId="77777777" w:rsidR="00447423" w:rsidRPr="002A3CBE" w:rsidRDefault="00447423" w:rsidP="00F16E23">
            <w:pPr>
              <w:pStyle w:val="TableText"/>
              <w:spacing w:before="40" w:after="40"/>
            </w:pPr>
            <w:r w:rsidRPr="002A3CBE">
              <w:t>Forest land remaining forest land </w:t>
            </w:r>
          </w:p>
        </w:tc>
        <w:tc>
          <w:tcPr>
            <w:tcW w:w="1673" w:type="dxa"/>
            <w:tcMar>
              <w:top w:w="15" w:type="dxa"/>
              <w:left w:w="85" w:type="dxa"/>
              <w:bottom w:w="0" w:type="dxa"/>
              <w:right w:w="57" w:type="dxa"/>
            </w:tcMar>
            <w:hideMark/>
          </w:tcPr>
          <w:p w14:paraId="38A81DD7" w14:textId="77777777" w:rsidR="00447423" w:rsidRPr="002A3CBE" w:rsidRDefault="00447423" w:rsidP="00F16E23">
            <w:pPr>
              <w:pStyle w:val="TableText"/>
              <w:spacing w:before="40" w:after="40"/>
            </w:pPr>
            <w:r w:rsidRPr="002A3CBE">
              <w:t>Forest land remaining forest land </w:t>
            </w:r>
          </w:p>
        </w:tc>
        <w:tc>
          <w:tcPr>
            <w:tcW w:w="4110" w:type="dxa"/>
            <w:tcMar>
              <w:top w:w="15" w:type="dxa"/>
              <w:left w:w="85" w:type="dxa"/>
              <w:bottom w:w="0" w:type="dxa"/>
              <w:right w:w="57" w:type="dxa"/>
            </w:tcMar>
            <w:hideMark/>
          </w:tcPr>
          <w:p w14:paraId="248DA43D" w14:textId="77777777" w:rsidR="00447423" w:rsidRPr="002A3CBE" w:rsidRDefault="00447423" w:rsidP="00F16E23">
            <w:pPr>
              <w:pStyle w:val="TableText"/>
              <w:spacing w:before="40" w:after="40"/>
            </w:pPr>
            <w:r w:rsidRPr="002A3CBE">
              <w:t>Because New Zealand uses the stock change approach, losses are reported only in years when new land is converted to this category, or when there is harvesting of forest in this year. When neither of these activities occurs, the losses are reported with biomass gains (stock change approach) and ‘IE’ is reported for biomass losses. </w:t>
            </w:r>
          </w:p>
        </w:tc>
      </w:tr>
      <w:tr w:rsidR="00447423" w:rsidRPr="002A3CBE" w14:paraId="4152DD08" w14:textId="77777777" w:rsidTr="00F16E23">
        <w:tc>
          <w:tcPr>
            <w:tcW w:w="988" w:type="dxa"/>
            <w:tcMar>
              <w:top w:w="15" w:type="dxa"/>
              <w:left w:w="85" w:type="dxa"/>
              <w:bottom w:w="0" w:type="dxa"/>
              <w:right w:w="57" w:type="dxa"/>
            </w:tcMar>
            <w:hideMark/>
          </w:tcPr>
          <w:p w14:paraId="53112953" w14:textId="77777777" w:rsidR="00447423" w:rsidRPr="002A3CBE" w:rsidRDefault="00447423" w:rsidP="00F16E23">
            <w:pPr>
              <w:pStyle w:val="TableText"/>
              <w:spacing w:before="40" w:after="40"/>
            </w:pPr>
            <w:r w:rsidRPr="002A3CBE">
              <w:t>4.A.2 </w:t>
            </w:r>
          </w:p>
        </w:tc>
        <w:tc>
          <w:tcPr>
            <w:tcW w:w="1734" w:type="dxa"/>
            <w:tcMar>
              <w:top w:w="15" w:type="dxa"/>
              <w:left w:w="85" w:type="dxa"/>
              <w:bottom w:w="0" w:type="dxa"/>
              <w:right w:w="57" w:type="dxa"/>
            </w:tcMar>
            <w:hideMark/>
          </w:tcPr>
          <w:p w14:paraId="546B2B78" w14:textId="77777777" w:rsidR="00447423" w:rsidRPr="002A3CBE" w:rsidRDefault="00447423" w:rsidP="00F16E23">
            <w:pPr>
              <w:pStyle w:val="TableText"/>
              <w:spacing w:before="40" w:after="40"/>
            </w:pPr>
            <w:r w:rsidRPr="002A3CBE">
              <w:t>Land converted to forest land </w:t>
            </w:r>
          </w:p>
        </w:tc>
        <w:tc>
          <w:tcPr>
            <w:tcW w:w="1673" w:type="dxa"/>
            <w:tcMar>
              <w:top w:w="15" w:type="dxa"/>
              <w:left w:w="85" w:type="dxa"/>
              <w:bottom w:w="0" w:type="dxa"/>
              <w:right w:w="57" w:type="dxa"/>
            </w:tcMar>
            <w:hideMark/>
          </w:tcPr>
          <w:p w14:paraId="2E6F7E06" w14:textId="77777777" w:rsidR="00447423" w:rsidRPr="002A3CBE" w:rsidRDefault="00447423" w:rsidP="00F16E23">
            <w:pPr>
              <w:pStyle w:val="TableText"/>
              <w:spacing w:before="40" w:after="40"/>
            </w:pPr>
            <w:r w:rsidRPr="002A3CBE">
              <w:t>Land converted to forest land </w:t>
            </w:r>
          </w:p>
        </w:tc>
        <w:tc>
          <w:tcPr>
            <w:tcW w:w="4110" w:type="dxa"/>
            <w:tcMar>
              <w:top w:w="15" w:type="dxa"/>
              <w:left w:w="85" w:type="dxa"/>
              <w:bottom w:w="0" w:type="dxa"/>
              <w:right w:w="57" w:type="dxa"/>
            </w:tcMar>
            <w:hideMark/>
          </w:tcPr>
          <w:p w14:paraId="06428772" w14:textId="0D09BB8C" w:rsidR="00447423" w:rsidRPr="002A3CBE" w:rsidRDefault="00447423" w:rsidP="00F16E23">
            <w:pPr>
              <w:pStyle w:val="TableText"/>
              <w:spacing w:before="40" w:after="40"/>
            </w:pPr>
            <w:r w:rsidRPr="002A3CBE">
              <w:t>Because New Zealand uses the stock change approach, CO</w:t>
            </w:r>
            <w:r w:rsidRPr="002A3CBE">
              <w:rPr>
                <w:vertAlign w:val="subscript"/>
              </w:rPr>
              <w:t xml:space="preserve">2 </w:t>
            </w:r>
            <w:r w:rsidRPr="002A3CBE">
              <w:t>emissions from biomass losses are reported only in years when new land is converted to this category, or when there is harvesting of forest in this year. When neither of these activities occurs, the losses are reported with biomass gains</w:t>
            </w:r>
            <w:r w:rsidR="005D5403">
              <w:t> </w:t>
            </w:r>
            <w:r w:rsidRPr="002A3CBE">
              <w:t>(stock change approach) and ‘IE’ is reported for biomass losses. </w:t>
            </w:r>
          </w:p>
        </w:tc>
      </w:tr>
      <w:tr w:rsidR="00447423" w:rsidRPr="002A3CBE" w14:paraId="145971AC" w14:textId="77777777" w:rsidTr="00F16E23">
        <w:tc>
          <w:tcPr>
            <w:tcW w:w="988" w:type="dxa"/>
            <w:tcMar>
              <w:top w:w="15" w:type="dxa"/>
              <w:left w:w="85" w:type="dxa"/>
              <w:bottom w:w="0" w:type="dxa"/>
              <w:right w:w="57" w:type="dxa"/>
            </w:tcMar>
            <w:hideMark/>
          </w:tcPr>
          <w:p w14:paraId="22F653B9" w14:textId="77777777" w:rsidR="00447423" w:rsidRPr="002A3CBE" w:rsidRDefault="00447423" w:rsidP="00F16E23">
            <w:pPr>
              <w:pStyle w:val="TableText"/>
              <w:spacing w:before="40" w:after="40"/>
            </w:pPr>
            <w:r w:rsidRPr="002A3CBE">
              <w:t>4.A.1/4.A.2 </w:t>
            </w:r>
          </w:p>
        </w:tc>
        <w:tc>
          <w:tcPr>
            <w:tcW w:w="1734" w:type="dxa"/>
            <w:tcBorders>
              <w:bottom w:val="single" w:sz="4" w:space="0" w:color="1B556B" w:themeColor="text2"/>
            </w:tcBorders>
            <w:tcMar>
              <w:top w:w="15" w:type="dxa"/>
              <w:left w:w="85" w:type="dxa"/>
              <w:bottom w:w="0" w:type="dxa"/>
              <w:right w:w="57" w:type="dxa"/>
            </w:tcMar>
            <w:hideMark/>
          </w:tcPr>
          <w:p w14:paraId="5EF6B58C" w14:textId="77777777" w:rsidR="00447423" w:rsidRPr="002A3CBE" w:rsidRDefault="00447423" w:rsidP="00F16E23">
            <w:pPr>
              <w:pStyle w:val="TableText"/>
              <w:spacing w:before="40" w:after="40"/>
            </w:pPr>
            <w:r w:rsidRPr="002A3CBE">
              <w:t>Forest land remaining forest land, Land converted to forest land </w:t>
            </w:r>
          </w:p>
        </w:tc>
        <w:tc>
          <w:tcPr>
            <w:tcW w:w="1673" w:type="dxa"/>
            <w:tcMar>
              <w:top w:w="15" w:type="dxa"/>
              <w:left w:w="85" w:type="dxa"/>
              <w:bottom w:w="0" w:type="dxa"/>
              <w:right w:w="57" w:type="dxa"/>
            </w:tcMar>
            <w:hideMark/>
          </w:tcPr>
          <w:p w14:paraId="399FB7CB" w14:textId="77777777" w:rsidR="00447423" w:rsidRPr="002A3CBE" w:rsidRDefault="00447423" w:rsidP="00F16E23">
            <w:pPr>
              <w:pStyle w:val="TableText"/>
              <w:spacing w:before="40" w:after="40"/>
            </w:pPr>
            <w:r w:rsidRPr="002A3CBE">
              <w:t>Included under the Agriculture sector </w:t>
            </w:r>
          </w:p>
        </w:tc>
        <w:tc>
          <w:tcPr>
            <w:tcW w:w="4110" w:type="dxa"/>
            <w:tcMar>
              <w:top w:w="15" w:type="dxa"/>
              <w:left w:w="85" w:type="dxa"/>
              <w:bottom w:w="0" w:type="dxa"/>
              <w:right w:w="57" w:type="dxa"/>
            </w:tcMar>
            <w:hideMark/>
          </w:tcPr>
          <w:p w14:paraId="3F5AAADB" w14:textId="77777777" w:rsidR="00447423" w:rsidRPr="002A3CBE" w:rsidRDefault="00447423" w:rsidP="00F16E23">
            <w:pPr>
              <w:pStyle w:val="TableText"/>
              <w:spacing w:before="40" w:after="40"/>
            </w:pPr>
            <w:r w:rsidRPr="002A3CBE">
              <w:t>New Zealand does not disaggregate data on nitrogen fertiliser by land use; therefore, all nitrous oxide emissions are reported in the Agriculture sector. </w:t>
            </w:r>
          </w:p>
        </w:tc>
      </w:tr>
      <w:tr w:rsidR="00447423" w:rsidRPr="002A3CBE" w14:paraId="40961591" w14:textId="77777777" w:rsidTr="00F16E23">
        <w:tc>
          <w:tcPr>
            <w:tcW w:w="988" w:type="dxa"/>
            <w:vMerge w:val="restart"/>
            <w:tcMar>
              <w:top w:w="15" w:type="dxa"/>
              <w:left w:w="85" w:type="dxa"/>
              <w:bottom w:w="0" w:type="dxa"/>
              <w:right w:w="57" w:type="dxa"/>
            </w:tcMar>
            <w:hideMark/>
          </w:tcPr>
          <w:p w14:paraId="466A8C5B" w14:textId="77777777" w:rsidR="00447423" w:rsidRPr="002A3CBE" w:rsidRDefault="00447423" w:rsidP="00F16E23">
            <w:pPr>
              <w:pStyle w:val="TableText"/>
              <w:spacing w:before="40" w:after="40"/>
            </w:pPr>
            <w:r w:rsidRPr="002A3CBE">
              <w:t>4.A.2/4(V) </w:t>
            </w:r>
          </w:p>
        </w:tc>
        <w:tc>
          <w:tcPr>
            <w:tcW w:w="1734" w:type="dxa"/>
            <w:tcBorders>
              <w:bottom w:val="nil"/>
            </w:tcBorders>
            <w:tcMar>
              <w:top w:w="15" w:type="dxa"/>
              <w:left w:w="85" w:type="dxa"/>
              <w:bottom w:w="0" w:type="dxa"/>
              <w:right w:w="57" w:type="dxa"/>
            </w:tcMar>
            <w:hideMark/>
          </w:tcPr>
          <w:p w14:paraId="009753BB" w14:textId="77777777" w:rsidR="00447423" w:rsidRPr="002A3CBE" w:rsidRDefault="00447423" w:rsidP="00F16E23">
            <w:pPr>
              <w:pStyle w:val="TableText"/>
              <w:spacing w:before="40" w:after="40"/>
            </w:pPr>
            <w:r w:rsidRPr="002A3CBE">
              <w:t>Controlled burning/ Land converted to forest land </w:t>
            </w:r>
          </w:p>
        </w:tc>
        <w:tc>
          <w:tcPr>
            <w:tcW w:w="1673" w:type="dxa"/>
            <w:vMerge w:val="restart"/>
            <w:tcMar>
              <w:top w:w="15" w:type="dxa"/>
              <w:left w:w="85" w:type="dxa"/>
              <w:bottom w:w="0" w:type="dxa"/>
              <w:right w:w="57" w:type="dxa"/>
            </w:tcMar>
            <w:hideMark/>
          </w:tcPr>
          <w:p w14:paraId="4873EA26" w14:textId="77777777" w:rsidR="00447423" w:rsidRPr="002A3CBE" w:rsidRDefault="00447423" w:rsidP="00F16E23">
            <w:pPr>
              <w:pStyle w:val="TableText"/>
              <w:spacing w:before="40" w:after="40"/>
            </w:pPr>
            <w:r w:rsidRPr="002A3CBE">
              <w:t>Land converted to forest land </w:t>
            </w:r>
          </w:p>
        </w:tc>
        <w:tc>
          <w:tcPr>
            <w:tcW w:w="4110" w:type="dxa"/>
            <w:vMerge w:val="restart"/>
            <w:tcMar>
              <w:top w:w="15" w:type="dxa"/>
              <w:left w:w="85" w:type="dxa"/>
              <w:bottom w:w="0" w:type="dxa"/>
              <w:right w:w="57" w:type="dxa"/>
            </w:tcMar>
            <w:hideMark/>
          </w:tcPr>
          <w:p w14:paraId="21EA9D02" w14:textId="77777777" w:rsidR="00447423" w:rsidRPr="002A3CBE" w:rsidRDefault="00447423" w:rsidP="00F16E23">
            <w:pPr>
              <w:pStyle w:val="TableText"/>
              <w:spacing w:before="40" w:after="40"/>
            </w:pPr>
            <w:r w:rsidRPr="002A3CBE">
              <w:t>Carbon dioxide emissions are captured by the general carbon stock change calculation if the fire-damaged area is harvested and replanted. If the stand is allowed to grow on but with a reduced stocking, the CO</w:t>
            </w:r>
            <w:r w:rsidRPr="002A3CBE">
              <w:rPr>
                <w:vertAlign w:val="subscript"/>
              </w:rPr>
              <w:t>2</w:t>
            </w:r>
            <w:r w:rsidRPr="002A3CBE">
              <w:t xml:space="preserve"> emissions are reported on at the eventual time of harvest. </w:t>
            </w:r>
          </w:p>
        </w:tc>
      </w:tr>
      <w:tr w:rsidR="00447423" w:rsidRPr="002A3CBE" w14:paraId="7645C9B4" w14:textId="77777777" w:rsidTr="00F16E23">
        <w:tc>
          <w:tcPr>
            <w:tcW w:w="988" w:type="dxa"/>
            <w:vMerge/>
            <w:tcMar>
              <w:left w:w="85" w:type="dxa"/>
              <w:right w:w="57" w:type="dxa"/>
            </w:tcMar>
            <w:hideMark/>
          </w:tcPr>
          <w:p w14:paraId="58C62C39" w14:textId="77777777" w:rsidR="00447423" w:rsidRPr="002A3CBE" w:rsidRDefault="00447423" w:rsidP="00F16E23">
            <w:pPr>
              <w:pStyle w:val="TableText"/>
              <w:spacing w:before="40" w:after="40"/>
              <w:rPr>
                <w:rFonts w:eastAsiaTheme="minorHAnsi"/>
              </w:rPr>
            </w:pPr>
          </w:p>
        </w:tc>
        <w:tc>
          <w:tcPr>
            <w:tcW w:w="1734" w:type="dxa"/>
            <w:tcBorders>
              <w:top w:val="nil"/>
            </w:tcBorders>
            <w:tcMar>
              <w:top w:w="15" w:type="dxa"/>
              <w:left w:w="85" w:type="dxa"/>
              <w:bottom w:w="0" w:type="dxa"/>
              <w:right w:w="57" w:type="dxa"/>
            </w:tcMar>
            <w:hideMark/>
          </w:tcPr>
          <w:p w14:paraId="459B6AA9" w14:textId="77777777" w:rsidR="00447423" w:rsidRPr="002A3CBE" w:rsidRDefault="00447423" w:rsidP="00F16E23">
            <w:pPr>
              <w:pStyle w:val="TableText"/>
              <w:spacing w:before="40" w:after="40"/>
            </w:pPr>
            <w:r w:rsidRPr="002A3CBE">
              <w:rPr>
                <w:spacing w:val="-2"/>
              </w:rPr>
              <w:t>Wildfires/Land converted</w:t>
            </w:r>
            <w:r w:rsidRPr="002A3CBE">
              <w:t xml:space="preserve"> to forest land </w:t>
            </w:r>
          </w:p>
        </w:tc>
        <w:tc>
          <w:tcPr>
            <w:tcW w:w="1673" w:type="dxa"/>
            <w:vMerge/>
            <w:tcMar>
              <w:left w:w="85" w:type="dxa"/>
              <w:right w:w="57" w:type="dxa"/>
            </w:tcMar>
            <w:hideMark/>
          </w:tcPr>
          <w:p w14:paraId="7657BB12" w14:textId="77777777" w:rsidR="00447423" w:rsidRPr="002A3CBE" w:rsidRDefault="00447423" w:rsidP="00F16E23">
            <w:pPr>
              <w:pStyle w:val="TableText"/>
              <w:spacing w:before="40" w:after="40"/>
              <w:rPr>
                <w:rFonts w:eastAsiaTheme="minorHAnsi"/>
              </w:rPr>
            </w:pPr>
          </w:p>
        </w:tc>
        <w:tc>
          <w:tcPr>
            <w:tcW w:w="4110" w:type="dxa"/>
            <w:vMerge/>
            <w:tcMar>
              <w:left w:w="85" w:type="dxa"/>
              <w:right w:w="57" w:type="dxa"/>
            </w:tcMar>
            <w:hideMark/>
          </w:tcPr>
          <w:p w14:paraId="1EB08E0A" w14:textId="77777777" w:rsidR="00447423" w:rsidRPr="002A3CBE" w:rsidRDefault="00447423" w:rsidP="00F16E23">
            <w:pPr>
              <w:pStyle w:val="TableText"/>
              <w:spacing w:before="40" w:after="40"/>
              <w:rPr>
                <w:rFonts w:eastAsiaTheme="minorHAnsi"/>
              </w:rPr>
            </w:pPr>
          </w:p>
        </w:tc>
      </w:tr>
      <w:tr w:rsidR="00447423" w:rsidRPr="002A3CBE" w14:paraId="20C0D57A" w14:textId="77777777" w:rsidTr="00F16E23">
        <w:tc>
          <w:tcPr>
            <w:tcW w:w="988" w:type="dxa"/>
            <w:tcBorders>
              <w:bottom w:val="nil"/>
            </w:tcBorders>
            <w:tcMar>
              <w:top w:w="15" w:type="dxa"/>
              <w:left w:w="85" w:type="dxa"/>
              <w:bottom w:w="0" w:type="dxa"/>
              <w:right w:w="57" w:type="dxa"/>
            </w:tcMar>
            <w:hideMark/>
          </w:tcPr>
          <w:p w14:paraId="6E5807CE" w14:textId="77777777" w:rsidR="00447423" w:rsidRPr="002A3CBE" w:rsidRDefault="00447423" w:rsidP="00F16E23">
            <w:pPr>
              <w:pStyle w:val="TableText"/>
              <w:spacing w:before="40" w:after="40"/>
            </w:pPr>
            <w:r w:rsidRPr="002A3CBE">
              <w:t>4.B.1 </w:t>
            </w:r>
          </w:p>
        </w:tc>
        <w:tc>
          <w:tcPr>
            <w:tcW w:w="1734" w:type="dxa"/>
            <w:tcBorders>
              <w:bottom w:val="nil"/>
            </w:tcBorders>
            <w:tcMar>
              <w:top w:w="15" w:type="dxa"/>
              <w:left w:w="85" w:type="dxa"/>
              <w:bottom w:w="0" w:type="dxa"/>
              <w:right w:w="57" w:type="dxa"/>
            </w:tcMar>
            <w:hideMark/>
          </w:tcPr>
          <w:p w14:paraId="42306F22" w14:textId="77777777" w:rsidR="00447423" w:rsidRPr="002A3CBE" w:rsidRDefault="00447423" w:rsidP="00F16E23">
            <w:pPr>
              <w:pStyle w:val="TableText"/>
              <w:spacing w:before="40" w:after="40"/>
            </w:pPr>
            <w:r w:rsidRPr="002A3CBE">
              <w:t>Cropland remaining cropland </w:t>
            </w:r>
          </w:p>
        </w:tc>
        <w:tc>
          <w:tcPr>
            <w:tcW w:w="1673" w:type="dxa"/>
            <w:tcBorders>
              <w:bottom w:val="nil"/>
            </w:tcBorders>
            <w:tcMar>
              <w:top w:w="15" w:type="dxa"/>
              <w:left w:w="85" w:type="dxa"/>
              <w:bottom w:w="0" w:type="dxa"/>
              <w:right w:w="57" w:type="dxa"/>
            </w:tcMar>
            <w:hideMark/>
          </w:tcPr>
          <w:p w14:paraId="57244A96" w14:textId="77777777" w:rsidR="00447423" w:rsidRPr="002A3CBE" w:rsidRDefault="00447423" w:rsidP="00F16E23">
            <w:pPr>
              <w:pStyle w:val="TableText"/>
              <w:spacing w:before="40" w:after="40"/>
            </w:pPr>
            <w:r w:rsidRPr="002A3CBE">
              <w:t>Cropland remaining cropland </w:t>
            </w:r>
          </w:p>
        </w:tc>
        <w:tc>
          <w:tcPr>
            <w:tcW w:w="4110" w:type="dxa"/>
            <w:vMerge w:val="restart"/>
            <w:tcBorders>
              <w:bottom w:val="nil"/>
            </w:tcBorders>
            <w:tcMar>
              <w:top w:w="15" w:type="dxa"/>
              <w:left w:w="85" w:type="dxa"/>
              <w:bottom w:w="0" w:type="dxa"/>
              <w:right w:w="57" w:type="dxa"/>
            </w:tcMar>
            <w:hideMark/>
          </w:tcPr>
          <w:p w14:paraId="264E312A" w14:textId="77777777" w:rsidR="00447423" w:rsidRPr="002A3CBE" w:rsidRDefault="00447423" w:rsidP="00F16E23">
            <w:pPr>
              <w:pStyle w:val="TableText"/>
              <w:spacing w:before="40" w:after="40"/>
            </w:pPr>
            <w:r w:rsidRPr="002A3CBE">
              <w:t>New Zealand uses the stock change approach to estimate biomass emissions; therefore, biomass losses are reported with biomass gains and ‘IE’ is reported. </w:t>
            </w:r>
          </w:p>
        </w:tc>
      </w:tr>
      <w:tr w:rsidR="00447423" w:rsidRPr="002A3CBE" w14:paraId="3F2C9BE4" w14:textId="77777777" w:rsidTr="00F16E23">
        <w:tc>
          <w:tcPr>
            <w:tcW w:w="988" w:type="dxa"/>
            <w:tcBorders>
              <w:top w:val="nil"/>
              <w:bottom w:val="nil"/>
            </w:tcBorders>
            <w:tcMar>
              <w:top w:w="15" w:type="dxa"/>
              <w:left w:w="85" w:type="dxa"/>
              <w:bottom w:w="0" w:type="dxa"/>
              <w:right w:w="57" w:type="dxa"/>
            </w:tcMar>
            <w:hideMark/>
          </w:tcPr>
          <w:p w14:paraId="20CA6C29" w14:textId="77777777" w:rsidR="00447423" w:rsidRPr="002A3CBE" w:rsidRDefault="00447423" w:rsidP="00F16E23">
            <w:pPr>
              <w:pStyle w:val="TableText"/>
              <w:spacing w:before="20" w:after="20"/>
            </w:pPr>
            <w:r w:rsidRPr="002A3CBE">
              <w:t>4.B.2 </w:t>
            </w:r>
          </w:p>
        </w:tc>
        <w:tc>
          <w:tcPr>
            <w:tcW w:w="1734" w:type="dxa"/>
            <w:tcBorders>
              <w:top w:val="nil"/>
              <w:bottom w:val="nil"/>
            </w:tcBorders>
            <w:tcMar>
              <w:top w:w="15" w:type="dxa"/>
              <w:left w:w="85" w:type="dxa"/>
              <w:bottom w:w="0" w:type="dxa"/>
              <w:right w:w="57" w:type="dxa"/>
            </w:tcMar>
            <w:hideMark/>
          </w:tcPr>
          <w:p w14:paraId="10A41546" w14:textId="77777777" w:rsidR="00447423" w:rsidRPr="002A3CBE" w:rsidRDefault="00447423" w:rsidP="00F16E23">
            <w:pPr>
              <w:pStyle w:val="TableText"/>
              <w:spacing w:before="20" w:after="20"/>
            </w:pPr>
            <w:r w:rsidRPr="002A3CBE">
              <w:t>Land converted to cropland </w:t>
            </w:r>
          </w:p>
        </w:tc>
        <w:tc>
          <w:tcPr>
            <w:tcW w:w="1673" w:type="dxa"/>
            <w:tcBorders>
              <w:top w:val="nil"/>
              <w:bottom w:val="nil"/>
            </w:tcBorders>
            <w:tcMar>
              <w:top w:w="15" w:type="dxa"/>
              <w:left w:w="85" w:type="dxa"/>
              <w:bottom w:w="0" w:type="dxa"/>
              <w:right w:w="57" w:type="dxa"/>
            </w:tcMar>
            <w:hideMark/>
          </w:tcPr>
          <w:p w14:paraId="01D0D0A3" w14:textId="77777777" w:rsidR="00447423" w:rsidRPr="002A3CBE" w:rsidRDefault="00447423" w:rsidP="00F16E23">
            <w:pPr>
              <w:pStyle w:val="TableText"/>
              <w:spacing w:before="20" w:after="20"/>
            </w:pPr>
            <w:r w:rsidRPr="002A3CBE">
              <w:t>Land converted to cropland </w:t>
            </w:r>
          </w:p>
        </w:tc>
        <w:tc>
          <w:tcPr>
            <w:tcW w:w="4110" w:type="dxa"/>
            <w:vMerge/>
            <w:tcBorders>
              <w:top w:val="nil"/>
              <w:bottom w:val="nil"/>
            </w:tcBorders>
            <w:tcMar>
              <w:left w:w="85" w:type="dxa"/>
              <w:right w:w="57" w:type="dxa"/>
            </w:tcMar>
            <w:hideMark/>
          </w:tcPr>
          <w:p w14:paraId="42E0A527" w14:textId="77777777" w:rsidR="00447423" w:rsidRPr="002A3CBE" w:rsidRDefault="00447423" w:rsidP="00F16E23">
            <w:pPr>
              <w:pStyle w:val="TableText"/>
              <w:spacing w:before="20" w:after="20"/>
              <w:rPr>
                <w:rFonts w:eastAsiaTheme="minorHAnsi"/>
              </w:rPr>
            </w:pPr>
          </w:p>
        </w:tc>
      </w:tr>
      <w:tr w:rsidR="00447423" w:rsidRPr="002A3CBE" w14:paraId="03AFC808" w14:textId="77777777" w:rsidTr="00F16E23">
        <w:tc>
          <w:tcPr>
            <w:tcW w:w="988" w:type="dxa"/>
            <w:tcBorders>
              <w:top w:val="nil"/>
              <w:bottom w:val="nil"/>
            </w:tcBorders>
            <w:tcMar>
              <w:top w:w="15" w:type="dxa"/>
              <w:left w:w="85" w:type="dxa"/>
              <w:bottom w:w="0" w:type="dxa"/>
              <w:right w:w="57" w:type="dxa"/>
            </w:tcMar>
            <w:hideMark/>
          </w:tcPr>
          <w:p w14:paraId="2D6558B0" w14:textId="77777777" w:rsidR="00447423" w:rsidRPr="002A3CBE" w:rsidRDefault="00447423" w:rsidP="00F16E23">
            <w:pPr>
              <w:pStyle w:val="TableText"/>
              <w:spacing w:before="20" w:after="20"/>
            </w:pPr>
            <w:r w:rsidRPr="002A3CBE">
              <w:t>4.C.1 </w:t>
            </w:r>
          </w:p>
        </w:tc>
        <w:tc>
          <w:tcPr>
            <w:tcW w:w="1734" w:type="dxa"/>
            <w:tcBorders>
              <w:top w:val="nil"/>
              <w:bottom w:val="nil"/>
            </w:tcBorders>
            <w:tcMar>
              <w:top w:w="15" w:type="dxa"/>
              <w:left w:w="85" w:type="dxa"/>
              <w:bottom w:w="0" w:type="dxa"/>
              <w:right w:w="57" w:type="dxa"/>
            </w:tcMar>
            <w:hideMark/>
          </w:tcPr>
          <w:p w14:paraId="24083021" w14:textId="77777777" w:rsidR="00447423" w:rsidRPr="002A3CBE" w:rsidRDefault="00447423" w:rsidP="00F16E23">
            <w:pPr>
              <w:pStyle w:val="TableText"/>
              <w:spacing w:before="20" w:after="20"/>
            </w:pPr>
            <w:r w:rsidRPr="002A3CBE">
              <w:t>Grassland remaining grassland </w:t>
            </w:r>
          </w:p>
        </w:tc>
        <w:tc>
          <w:tcPr>
            <w:tcW w:w="1673" w:type="dxa"/>
            <w:tcBorders>
              <w:top w:val="nil"/>
              <w:bottom w:val="nil"/>
            </w:tcBorders>
            <w:tcMar>
              <w:top w:w="15" w:type="dxa"/>
              <w:left w:w="85" w:type="dxa"/>
              <w:bottom w:w="0" w:type="dxa"/>
              <w:right w:w="57" w:type="dxa"/>
            </w:tcMar>
            <w:hideMark/>
          </w:tcPr>
          <w:p w14:paraId="692B33CF" w14:textId="77777777" w:rsidR="00447423" w:rsidRPr="002A3CBE" w:rsidRDefault="00447423" w:rsidP="00F16E23">
            <w:pPr>
              <w:pStyle w:val="TableText"/>
              <w:spacing w:before="20" w:after="20"/>
            </w:pPr>
            <w:r w:rsidRPr="002A3CBE">
              <w:t>Grassland remaining grassland </w:t>
            </w:r>
          </w:p>
        </w:tc>
        <w:tc>
          <w:tcPr>
            <w:tcW w:w="4110" w:type="dxa"/>
            <w:vMerge/>
            <w:tcBorders>
              <w:top w:val="nil"/>
              <w:bottom w:val="nil"/>
            </w:tcBorders>
            <w:tcMar>
              <w:left w:w="85" w:type="dxa"/>
              <w:right w:w="57" w:type="dxa"/>
            </w:tcMar>
            <w:hideMark/>
          </w:tcPr>
          <w:p w14:paraId="396F7387" w14:textId="77777777" w:rsidR="00447423" w:rsidRPr="002A3CBE" w:rsidRDefault="00447423" w:rsidP="00F16E23">
            <w:pPr>
              <w:pStyle w:val="TableText"/>
              <w:spacing w:before="20" w:after="20"/>
              <w:rPr>
                <w:rFonts w:eastAsiaTheme="minorHAnsi"/>
              </w:rPr>
            </w:pPr>
          </w:p>
        </w:tc>
      </w:tr>
      <w:tr w:rsidR="00447423" w:rsidRPr="002A3CBE" w14:paraId="50653B06" w14:textId="77777777" w:rsidTr="00F16E23">
        <w:tc>
          <w:tcPr>
            <w:tcW w:w="988" w:type="dxa"/>
            <w:tcBorders>
              <w:top w:val="nil"/>
            </w:tcBorders>
            <w:tcMar>
              <w:top w:w="15" w:type="dxa"/>
              <w:left w:w="85" w:type="dxa"/>
              <w:bottom w:w="0" w:type="dxa"/>
              <w:right w:w="57" w:type="dxa"/>
            </w:tcMar>
            <w:hideMark/>
          </w:tcPr>
          <w:p w14:paraId="0999810C" w14:textId="77777777" w:rsidR="00447423" w:rsidRPr="002A3CBE" w:rsidRDefault="00447423" w:rsidP="00F16E23">
            <w:pPr>
              <w:pStyle w:val="TableText"/>
              <w:spacing w:before="40" w:after="40"/>
            </w:pPr>
            <w:r w:rsidRPr="002A3CBE">
              <w:t>4.C.2 </w:t>
            </w:r>
          </w:p>
        </w:tc>
        <w:tc>
          <w:tcPr>
            <w:tcW w:w="1734" w:type="dxa"/>
            <w:tcBorders>
              <w:top w:val="nil"/>
            </w:tcBorders>
            <w:tcMar>
              <w:top w:w="15" w:type="dxa"/>
              <w:left w:w="85" w:type="dxa"/>
              <w:bottom w:w="0" w:type="dxa"/>
              <w:right w:w="57" w:type="dxa"/>
            </w:tcMar>
            <w:hideMark/>
          </w:tcPr>
          <w:p w14:paraId="60F86E4B" w14:textId="77777777" w:rsidR="00447423" w:rsidRPr="002A3CBE" w:rsidRDefault="00447423" w:rsidP="00F16E23">
            <w:pPr>
              <w:pStyle w:val="TableText"/>
              <w:spacing w:before="40" w:after="40"/>
            </w:pPr>
            <w:r w:rsidRPr="002A3CBE">
              <w:t>Land converted to grassland </w:t>
            </w:r>
          </w:p>
        </w:tc>
        <w:tc>
          <w:tcPr>
            <w:tcW w:w="1673" w:type="dxa"/>
            <w:tcBorders>
              <w:top w:val="nil"/>
            </w:tcBorders>
            <w:tcMar>
              <w:top w:w="15" w:type="dxa"/>
              <w:left w:w="85" w:type="dxa"/>
              <w:bottom w:w="0" w:type="dxa"/>
              <w:right w:w="57" w:type="dxa"/>
            </w:tcMar>
            <w:hideMark/>
          </w:tcPr>
          <w:p w14:paraId="35AC1148" w14:textId="77777777" w:rsidR="00447423" w:rsidRPr="002A3CBE" w:rsidRDefault="00447423" w:rsidP="00F16E23">
            <w:pPr>
              <w:pStyle w:val="TableText"/>
              <w:spacing w:before="40" w:after="40"/>
            </w:pPr>
            <w:r w:rsidRPr="002A3CBE">
              <w:t>Land converted to grassland </w:t>
            </w:r>
          </w:p>
        </w:tc>
        <w:tc>
          <w:tcPr>
            <w:tcW w:w="4110" w:type="dxa"/>
            <w:vMerge/>
            <w:tcBorders>
              <w:top w:val="nil"/>
            </w:tcBorders>
            <w:tcMar>
              <w:left w:w="85" w:type="dxa"/>
              <w:right w:w="57" w:type="dxa"/>
            </w:tcMar>
            <w:hideMark/>
          </w:tcPr>
          <w:p w14:paraId="251FCF6C" w14:textId="77777777" w:rsidR="00447423" w:rsidRPr="002A3CBE" w:rsidRDefault="00447423" w:rsidP="00F16E23">
            <w:pPr>
              <w:pStyle w:val="TableText"/>
              <w:spacing w:before="40" w:after="40"/>
              <w:rPr>
                <w:rFonts w:eastAsiaTheme="minorHAnsi"/>
              </w:rPr>
            </w:pPr>
          </w:p>
        </w:tc>
      </w:tr>
      <w:tr w:rsidR="00447423" w:rsidRPr="002A3CBE" w14:paraId="5584DDE7" w14:textId="77777777" w:rsidTr="00F16E23">
        <w:tc>
          <w:tcPr>
            <w:tcW w:w="988" w:type="dxa"/>
            <w:tcMar>
              <w:top w:w="15" w:type="dxa"/>
              <w:left w:w="85" w:type="dxa"/>
              <w:bottom w:w="0" w:type="dxa"/>
              <w:right w:w="57" w:type="dxa"/>
            </w:tcMar>
            <w:hideMark/>
          </w:tcPr>
          <w:p w14:paraId="56963862" w14:textId="77777777" w:rsidR="00447423" w:rsidRPr="002A3CBE" w:rsidRDefault="00447423" w:rsidP="00F16E23">
            <w:pPr>
              <w:pStyle w:val="TableText"/>
              <w:spacing w:before="40" w:after="40"/>
            </w:pPr>
            <w:r w:rsidRPr="002A3CBE">
              <w:t>4.B.1/4(V) </w:t>
            </w:r>
          </w:p>
        </w:tc>
        <w:tc>
          <w:tcPr>
            <w:tcW w:w="1734" w:type="dxa"/>
            <w:tcMar>
              <w:top w:w="15" w:type="dxa"/>
              <w:left w:w="85" w:type="dxa"/>
              <w:bottom w:w="0" w:type="dxa"/>
              <w:right w:w="57" w:type="dxa"/>
            </w:tcMar>
            <w:hideMark/>
          </w:tcPr>
          <w:p w14:paraId="5BFDF452" w14:textId="1A45080B" w:rsidR="00447423" w:rsidRPr="002A3CBE" w:rsidRDefault="00447423" w:rsidP="00F16E23">
            <w:pPr>
              <w:pStyle w:val="TableText"/>
              <w:spacing w:before="40" w:after="40"/>
            </w:pPr>
            <w:r w:rsidRPr="002A3CBE">
              <w:t>Controlled burning/</w:t>
            </w:r>
            <w:r w:rsidR="00857D6A">
              <w:t xml:space="preserve"> </w:t>
            </w:r>
            <w:r w:rsidRPr="002A3CBE">
              <w:t>Cropland remaining cropland </w:t>
            </w:r>
          </w:p>
        </w:tc>
        <w:tc>
          <w:tcPr>
            <w:tcW w:w="1673" w:type="dxa"/>
            <w:tcMar>
              <w:top w:w="15" w:type="dxa"/>
              <w:left w:w="85" w:type="dxa"/>
              <w:bottom w:w="0" w:type="dxa"/>
              <w:right w:w="57" w:type="dxa"/>
            </w:tcMar>
            <w:hideMark/>
          </w:tcPr>
          <w:p w14:paraId="3892DD22" w14:textId="77777777" w:rsidR="00447423" w:rsidRPr="002A3CBE" w:rsidRDefault="00447423" w:rsidP="00F16E23">
            <w:pPr>
              <w:pStyle w:val="TableText"/>
              <w:spacing w:before="40" w:after="40"/>
            </w:pPr>
            <w:r w:rsidRPr="002A3CBE">
              <w:t>Included under the Agriculture sector </w:t>
            </w:r>
          </w:p>
        </w:tc>
        <w:tc>
          <w:tcPr>
            <w:tcW w:w="4110" w:type="dxa"/>
            <w:tcMar>
              <w:top w:w="15" w:type="dxa"/>
              <w:left w:w="85" w:type="dxa"/>
              <w:bottom w:w="0" w:type="dxa"/>
              <w:right w:w="57" w:type="dxa"/>
            </w:tcMar>
            <w:hideMark/>
          </w:tcPr>
          <w:p w14:paraId="753A380A" w14:textId="77777777" w:rsidR="00447423" w:rsidRPr="002A3CBE" w:rsidRDefault="00447423" w:rsidP="00F16E23">
            <w:pPr>
              <w:pStyle w:val="TableText"/>
              <w:spacing w:before="40" w:after="40"/>
            </w:pPr>
            <w:r w:rsidRPr="002A3CBE">
              <w:t>Carbon dioxide and methane (CH</w:t>
            </w:r>
            <w:r w:rsidRPr="002A3CBE">
              <w:rPr>
                <w:vertAlign w:val="subscript"/>
              </w:rPr>
              <w:t>4</w:t>
            </w:r>
            <w:r w:rsidRPr="002A3CBE">
              <w:t>) emissions from burning of crop stubble are reported in the Agriculture sector. </w:t>
            </w:r>
          </w:p>
        </w:tc>
      </w:tr>
      <w:tr w:rsidR="00447423" w:rsidRPr="002A3CBE" w14:paraId="09A8198C" w14:textId="77777777" w:rsidTr="005D5403">
        <w:tc>
          <w:tcPr>
            <w:tcW w:w="988" w:type="dxa"/>
            <w:tcBorders>
              <w:bottom w:val="single" w:sz="4" w:space="0" w:color="1B556B" w:themeColor="text2"/>
            </w:tcBorders>
            <w:tcMar>
              <w:top w:w="15" w:type="dxa"/>
              <w:left w:w="85" w:type="dxa"/>
              <w:bottom w:w="0" w:type="dxa"/>
              <w:right w:w="57" w:type="dxa"/>
            </w:tcMar>
            <w:hideMark/>
          </w:tcPr>
          <w:p w14:paraId="6541D3F0" w14:textId="77777777" w:rsidR="00447423" w:rsidRPr="002A3CBE" w:rsidRDefault="00447423" w:rsidP="00F16E23">
            <w:pPr>
              <w:pStyle w:val="TableText"/>
              <w:spacing w:before="40" w:after="40"/>
            </w:pPr>
            <w:r w:rsidRPr="002A3CBE">
              <w:t>4.B.1/4(V) </w:t>
            </w:r>
          </w:p>
        </w:tc>
        <w:tc>
          <w:tcPr>
            <w:tcW w:w="1734" w:type="dxa"/>
            <w:tcBorders>
              <w:bottom w:val="single" w:sz="4" w:space="0" w:color="1B556B" w:themeColor="text2"/>
            </w:tcBorders>
            <w:tcMar>
              <w:top w:w="15" w:type="dxa"/>
              <w:left w:w="85" w:type="dxa"/>
              <w:bottom w:w="0" w:type="dxa"/>
              <w:right w:w="57" w:type="dxa"/>
            </w:tcMar>
            <w:hideMark/>
          </w:tcPr>
          <w:p w14:paraId="296C830B" w14:textId="77777777" w:rsidR="00447423" w:rsidRPr="002A3CBE" w:rsidRDefault="00447423" w:rsidP="00F16E23">
            <w:pPr>
              <w:pStyle w:val="TableText"/>
              <w:spacing w:before="40" w:after="40"/>
            </w:pPr>
            <w:r w:rsidRPr="002A3CBE">
              <w:t>Wildfires/Cropland remaining cropland </w:t>
            </w:r>
          </w:p>
        </w:tc>
        <w:tc>
          <w:tcPr>
            <w:tcW w:w="1673" w:type="dxa"/>
            <w:tcBorders>
              <w:bottom w:val="single" w:sz="4" w:space="0" w:color="1B556B" w:themeColor="text2"/>
            </w:tcBorders>
            <w:tcMar>
              <w:top w:w="15" w:type="dxa"/>
              <w:left w:w="85" w:type="dxa"/>
              <w:bottom w:w="0" w:type="dxa"/>
              <w:right w:w="57" w:type="dxa"/>
            </w:tcMar>
            <w:hideMark/>
          </w:tcPr>
          <w:p w14:paraId="42EC0334" w14:textId="77777777" w:rsidR="00447423" w:rsidRPr="002A3CBE" w:rsidRDefault="00447423" w:rsidP="00F16E23">
            <w:pPr>
              <w:pStyle w:val="TableText"/>
              <w:spacing w:before="40" w:after="40"/>
            </w:pPr>
            <w:r w:rsidRPr="002A3CBE">
              <w:t>Cropland remaining cropland </w:t>
            </w:r>
          </w:p>
        </w:tc>
        <w:tc>
          <w:tcPr>
            <w:tcW w:w="4110" w:type="dxa"/>
            <w:tcMar>
              <w:top w:w="15" w:type="dxa"/>
              <w:left w:w="85" w:type="dxa"/>
              <w:bottom w:w="0" w:type="dxa"/>
              <w:right w:w="57" w:type="dxa"/>
            </w:tcMar>
            <w:hideMark/>
          </w:tcPr>
          <w:p w14:paraId="7343C34B" w14:textId="77777777" w:rsidR="00447423" w:rsidRPr="002A3CBE" w:rsidRDefault="00447423" w:rsidP="00F16E23">
            <w:pPr>
              <w:pStyle w:val="TableText"/>
              <w:spacing w:before="40" w:after="40"/>
            </w:pPr>
            <w:r w:rsidRPr="002A3CBE">
              <w:t>Any CO</w:t>
            </w:r>
            <w:r w:rsidRPr="002A3CBE">
              <w:rPr>
                <w:vertAlign w:val="subscript"/>
              </w:rPr>
              <w:t>2</w:t>
            </w:r>
            <w:r w:rsidRPr="002A3CBE">
              <w:t> emissions from wildfires on non-forest land are assumed to be offset by the subsequent carbon stock gain from the regrowth of biomass, which is also not reported. Alternatively, if the wildfire resulted in land-use change, then any CO</w:t>
            </w:r>
            <w:r w:rsidRPr="002A3CBE">
              <w:rPr>
                <w:vertAlign w:val="subscript"/>
              </w:rPr>
              <w:t>2</w:t>
            </w:r>
            <w:r w:rsidRPr="002A3CBE">
              <w:t> emissions are captured by the general carbon stock change calculation that is performed when land is converted to a new land use. </w:t>
            </w:r>
          </w:p>
        </w:tc>
      </w:tr>
      <w:tr w:rsidR="00447423" w:rsidRPr="002A3CBE" w14:paraId="17EFF47B" w14:textId="77777777" w:rsidTr="005D5403">
        <w:tc>
          <w:tcPr>
            <w:tcW w:w="988" w:type="dxa"/>
            <w:tcBorders>
              <w:bottom w:val="nil"/>
            </w:tcBorders>
            <w:tcMar>
              <w:top w:w="15" w:type="dxa"/>
              <w:left w:w="85" w:type="dxa"/>
              <w:bottom w:w="0" w:type="dxa"/>
              <w:right w:w="57" w:type="dxa"/>
            </w:tcMar>
            <w:hideMark/>
          </w:tcPr>
          <w:p w14:paraId="10E8C8BC" w14:textId="77777777" w:rsidR="00447423" w:rsidRPr="002A3CBE" w:rsidRDefault="00447423" w:rsidP="00F16E23">
            <w:pPr>
              <w:pStyle w:val="TableText"/>
              <w:spacing w:before="40" w:after="40"/>
            </w:pPr>
            <w:r w:rsidRPr="002A3CBE">
              <w:t>4.B.2/4(V) </w:t>
            </w:r>
          </w:p>
        </w:tc>
        <w:tc>
          <w:tcPr>
            <w:tcW w:w="1734" w:type="dxa"/>
            <w:tcBorders>
              <w:bottom w:val="nil"/>
            </w:tcBorders>
            <w:tcMar>
              <w:top w:w="15" w:type="dxa"/>
              <w:left w:w="85" w:type="dxa"/>
              <w:bottom w:w="0" w:type="dxa"/>
              <w:right w:w="57" w:type="dxa"/>
            </w:tcMar>
            <w:hideMark/>
          </w:tcPr>
          <w:p w14:paraId="4D69829A" w14:textId="77777777" w:rsidR="00447423" w:rsidRPr="002A3CBE" w:rsidRDefault="00447423" w:rsidP="00F16E23">
            <w:pPr>
              <w:pStyle w:val="TableText"/>
              <w:spacing w:before="40" w:after="40"/>
            </w:pPr>
            <w:r w:rsidRPr="002A3CBE">
              <w:t>Wildfires/Land converted to cropland </w:t>
            </w:r>
          </w:p>
        </w:tc>
        <w:tc>
          <w:tcPr>
            <w:tcW w:w="1673" w:type="dxa"/>
            <w:tcBorders>
              <w:bottom w:val="nil"/>
            </w:tcBorders>
            <w:tcMar>
              <w:top w:w="15" w:type="dxa"/>
              <w:left w:w="85" w:type="dxa"/>
              <w:bottom w:w="0" w:type="dxa"/>
              <w:right w:w="57" w:type="dxa"/>
            </w:tcMar>
            <w:hideMark/>
          </w:tcPr>
          <w:p w14:paraId="63C43186" w14:textId="77777777" w:rsidR="00447423" w:rsidRPr="002A3CBE" w:rsidRDefault="00447423" w:rsidP="00F16E23">
            <w:pPr>
              <w:pStyle w:val="TableText"/>
              <w:spacing w:before="40" w:after="40"/>
            </w:pPr>
            <w:r w:rsidRPr="002A3CBE">
              <w:t>Land converted to cropland </w:t>
            </w:r>
          </w:p>
        </w:tc>
        <w:tc>
          <w:tcPr>
            <w:tcW w:w="4110" w:type="dxa"/>
            <w:vMerge w:val="restart"/>
            <w:tcBorders>
              <w:bottom w:val="single" w:sz="4" w:space="0" w:color="1B556B" w:themeColor="text2"/>
            </w:tcBorders>
            <w:tcMar>
              <w:top w:w="15" w:type="dxa"/>
              <w:left w:w="85" w:type="dxa"/>
              <w:bottom w:w="0" w:type="dxa"/>
              <w:right w:w="57" w:type="dxa"/>
            </w:tcMar>
            <w:hideMark/>
          </w:tcPr>
          <w:p w14:paraId="78ACCAE0" w14:textId="77777777" w:rsidR="00447423" w:rsidRPr="002A3CBE" w:rsidRDefault="00447423" w:rsidP="00F16E23">
            <w:pPr>
              <w:pStyle w:val="TableText"/>
              <w:spacing w:before="40" w:after="40"/>
            </w:pPr>
            <w:r w:rsidRPr="002A3CBE">
              <w:t>Any CO</w:t>
            </w:r>
            <w:r w:rsidRPr="002A3CBE">
              <w:rPr>
                <w:vertAlign w:val="subscript"/>
              </w:rPr>
              <w:t>2</w:t>
            </w:r>
            <w:r w:rsidRPr="002A3CBE">
              <w:t> emissions from wildfires on non-forest land are assumed to be offset by the subsequent carbon stock gain from the regrowth of biomass, which is also not reported. Alternatively, if the wildfire resulted in land-use change, then any CO</w:t>
            </w:r>
            <w:r w:rsidRPr="002A3CBE">
              <w:rPr>
                <w:vertAlign w:val="subscript"/>
              </w:rPr>
              <w:t>2</w:t>
            </w:r>
            <w:r w:rsidRPr="002A3CBE">
              <w:t> emissions are captured by the general carbon stock change calculation that is performed when land is converted to a new land use. </w:t>
            </w:r>
          </w:p>
        </w:tc>
      </w:tr>
      <w:tr w:rsidR="00447423" w:rsidRPr="002A3CBE" w14:paraId="27F1F30D" w14:textId="77777777" w:rsidTr="005D5403">
        <w:tc>
          <w:tcPr>
            <w:tcW w:w="988" w:type="dxa"/>
            <w:tcBorders>
              <w:top w:val="nil"/>
              <w:bottom w:val="nil"/>
            </w:tcBorders>
            <w:tcMar>
              <w:top w:w="15" w:type="dxa"/>
              <w:left w:w="85" w:type="dxa"/>
              <w:bottom w:w="0" w:type="dxa"/>
              <w:right w:w="57" w:type="dxa"/>
            </w:tcMar>
            <w:hideMark/>
          </w:tcPr>
          <w:p w14:paraId="6B82C4F5" w14:textId="77777777" w:rsidR="00447423" w:rsidRPr="002A3CBE" w:rsidRDefault="00447423" w:rsidP="00F16E23">
            <w:pPr>
              <w:pStyle w:val="TableText"/>
              <w:spacing w:before="30" w:after="30"/>
            </w:pPr>
            <w:r w:rsidRPr="002A3CBE">
              <w:t>4.C.1/4(V) </w:t>
            </w:r>
          </w:p>
        </w:tc>
        <w:tc>
          <w:tcPr>
            <w:tcW w:w="1734" w:type="dxa"/>
            <w:tcBorders>
              <w:top w:val="nil"/>
              <w:bottom w:val="nil"/>
            </w:tcBorders>
            <w:tcMar>
              <w:top w:w="15" w:type="dxa"/>
              <w:left w:w="85" w:type="dxa"/>
              <w:bottom w:w="0" w:type="dxa"/>
              <w:right w:w="57" w:type="dxa"/>
            </w:tcMar>
            <w:hideMark/>
          </w:tcPr>
          <w:p w14:paraId="12CAE6A4" w14:textId="77777777" w:rsidR="00447423" w:rsidRPr="002A3CBE" w:rsidRDefault="00447423" w:rsidP="00F16E23">
            <w:pPr>
              <w:pStyle w:val="TableText"/>
              <w:spacing w:before="30" w:after="30"/>
            </w:pPr>
            <w:r w:rsidRPr="002A3CBE">
              <w:t>Wildfires/Grassland remaining grassland </w:t>
            </w:r>
          </w:p>
        </w:tc>
        <w:tc>
          <w:tcPr>
            <w:tcW w:w="1673" w:type="dxa"/>
            <w:tcBorders>
              <w:top w:val="nil"/>
              <w:bottom w:val="nil"/>
            </w:tcBorders>
            <w:tcMar>
              <w:top w:w="15" w:type="dxa"/>
              <w:left w:w="85" w:type="dxa"/>
              <w:bottom w:w="0" w:type="dxa"/>
              <w:right w:w="57" w:type="dxa"/>
            </w:tcMar>
            <w:hideMark/>
          </w:tcPr>
          <w:p w14:paraId="0CFEC9F8" w14:textId="77777777" w:rsidR="00447423" w:rsidRPr="002A3CBE" w:rsidRDefault="00447423" w:rsidP="00F16E23">
            <w:pPr>
              <w:pStyle w:val="TableText"/>
              <w:spacing w:before="30" w:after="30"/>
            </w:pPr>
            <w:r w:rsidRPr="002A3CBE">
              <w:t>Grassland remaining grassland </w:t>
            </w:r>
          </w:p>
        </w:tc>
        <w:tc>
          <w:tcPr>
            <w:tcW w:w="4110" w:type="dxa"/>
            <w:vMerge/>
            <w:tcBorders>
              <w:bottom w:val="nil"/>
            </w:tcBorders>
            <w:tcMar>
              <w:left w:w="85" w:type="dxa"/>
              <w:right w:w="57" w:type="dxa"/>
            </w:tcMar>
            <w:hideMark/>
          </w:tcPr>
          <w:p w14:paraId="2596DEE6" w14:textId="77777777" w:rsidR="00447423" w:rsidRPr="002A3CBE" w:rsidRDefault="00447423" w:rsidP="00F16E23">
            <w:pPr>
              <w:pStyle w:val="TableText"/>
              <w:spacing w:before="30" w:after="30"/>
              <w:rPr>
                <w:rFonts w:eastAsiaTheme="minorHAnsi"/>
              </w:rPr>
            </w:pPr>
          </w:p>
        </w:tc>
      </w:tr>
      <w:tr w:rsidR="00447423" w:rsidRPr="002A3CBE" w14:paraId="6E8700EF" w14:textId="77777777" w:rsidTr="00F16E23">
        <w:tc>
          <w:tcPr>
            <w:tcW w:w="988" w:type="dxa"/>
            <w:tcBorders>
              <w:top w:val="nil"/>
              <w:bottom w:val="nil"/>
            </w:tcBorders>
            <w:tcMar>
              <w:top w:w="15" w:type="dxa"/>
              <w:left w:w="85" w:type="dxa"/>
              <w:bottom w:w="0" w:type="dxa"/>
              <w:right w:w="57" w:type="dxa"/>
            </w:tcMar>
            <w:hideMark/>
          </w:tcPr>
          <w:p w14:paraId="0805F6DE" w14:textId="77777777" w:rsidR="00447423" w:rsidRPr="002A3CBE" w:rsidRDefault="00447423" w:rsidP="00F16E23">
            <w:pPr>
              <w:pStyle w:val="TableText"/>
              <w:spacing w:before="30" w:after="30"/>
            </w:pPr>
            <w:r w:rsidRPr="002A3CBE">
              <w:t>4.C.2/4(V) </w:t>
            </w:r>
          </w:p>
        </w:tc>
        <w:tc>
          <w:tcPr>
            <w:tcW w:w="1734" w:type="dxa"/>
            <w:tcBorders>
              <w:top w:val="nil"/>
              <w:bottom w:val="nil"/>
            </w:tcBorders>
            <w:tcMar>
              <w:top w:w="15" w:type="dxa"/>
              <w:left w:w="85" w:type="dxa"/>
              <w:bottom w:w="0" w:type="dxa"/>
              <w:right w:w="57" w:type="dxa"/>
            </w:tcMar>
            <w:hideMark/>
          </w:tcPr>
          <w:p w14:paraId="67DC5E84" w14:textId="77777777" w:rsidR="00447423" w:rsidRPr="002A3CBE" w:rsidRDefault="00447423" w:rsidP="00F16E23">
            <w:pPr>
              <w:pStyle w:val="TableText"/>
              <w:spacing w:before="30" w:after="30"/>
            </w:pPr>
            <w:r w:rsidRPr="002A3CBE">
              <w:t>Wildfires/Land converted to grassland </w:t>
            </w:r>
          </w:p>
        </w:tc>
        <w:tc>
          <w:tcPr>
            <w:tcW w:w="1673" w:type="dxa"/>
            <w:tcBorders>
              <w:top w:val="nil"/>
              <w:bottom w:val="nil"/>
            </w:tcBorders>
            <w:tcMar>
              <w:top w:w="15" w:type="dxa"/>
              <w:left w:w="85" w:type="dxa"/>
              <w:bottom w:w="0" w:type="dxa"/>
              <w:right w:w="57" w:type="dxa"/>
            </w:tcMar>
            <w:hideMark/>
          </w:tcPr>
          <w:p w14:paraId="0C22CCD1" w14:textId="77777777" w:rsidR="00447423" w:rsidRPr="002A3CBE" w:rsidRDefault="00447423" w:rsidP="00F16E23">
            <w:pPr>
              <w:pStyle w:val="TableText"/>
              <w:spacing w:before="30" w:after="30"/>
            </w:pPr>
            <w:r w:rsidRPr="002A3CBE">
              <w:t>Land converted to grassland </w:t>
            </w:r>
          </w:p>
        </w:tc>
        <w:tc>
          <w:tcPr>
            <w:tcW w:w="4110" w:type="dxa"/>
            <w:vMerge/>
            <w:tcBorders>
              <w:top w:val="nil"/>
              <w:bottom w:val="nil"/>
            </w:tcBorders>
            <w:tcMar>
              <w:left w:w="85" w:type="dxa"/>
              <w:right w:w="57" w:type="dxa"/>
            </w:tcMar>
            <w:hideMark/>
          </w:tcPr>
          <w:p w14:paraId="2E181FC1" w14:textId="77777777" w:rsidR="00447423" w:rsidRPr="002A3CBE" w:rsidRDefault="00447423" w:rsidP="00F16E23">
            <w:pPr>
              <w:pStyle w:val="TableText"/>
              <w:spacing w:before="30" w:after="30"/>
              <w:rPr>
                <w:rFonts w:eastAsiaTheme="minorHAnsi"/>
              </w:rPr>
            </w:pPr>
          </w:p>
        </w:tc>
      </w:tr>
      <w:tr w:rsidR="00447423" w:rsidRPr="002A3CBE" w14:paraId="2558C830" w14:textId="77777777" w:rsidTr="00F16E23">
        <w:tc>
          <w:tcPr>
            <w:tcW w:w="988" w:type="dxa"/>
            <w:tcBorders>
              <w:top w:val="nil"/>
            </w:tcBorders>
            <w:tcMar>
              <w:top w:w="15" w:type="dxa"/>
              <w:left w:w="85" w:type="dxa"/>
              <w:bottom w:w="0" w:type="dxa"/>
              <w:right w:w="57" w:type="dxa"/>
            </w:tcMar>
            <w:hideMark/>
          </w:tcPr>
          <w:p w14:paraId="4C3BB826" w14:textId="77777777" w:rsidR="00447423" w:rsidRPr="002A3CBE" w:rsidRDefault="00447423" w:rsidP="00F16E23">
            <w:pPr>
              <w:pStyle w:val="TableText"/>
              <w:spacing w:before="30" w:after="30"/>
            </w:pPr>
            <w:r w:rsidRPr="002A3CBE">
              <w:t>4.D.2/4(V) </w:t>
            </w:r>
          </w:p>
        </w:tc>
        <w:tc>
          <w:tcPr>
            <w:tcW w:w="1734" w:type="dxa"/>
            <w:tcBorders>
              <w:top w:val="nil"/>
            </w:tcBorders>
            <w:tcMar>
              <w:top w:w="15" w:type="dxa"/>
              <w:left w:w="85" w:type="dxa"/>
              <w:bottom w:w="0" w:type="dxa"/>
              <w:right w:w="57" w:type="dxa"/>
            </w:tcMar>
            <w:hideMark/>
          </w:tcPr>
          <w:p w14:paraId="2A14763A" w14:textId="77777777" w:rsidR="00447423" w:rsidRPr="002A3CBE" w:rsidRDefault="00447423" w:rsidP="00F16E23">
            <w:pPr>
              <w:pStyle w:val="TableText"/>
              <w:spacing w:before="30" w:after="30"/>
            </w:pPr>
            <w:r w:rsidRPr="002A3CBE">
              <w:t>Wildfires/Land converted to wetlands </w:t>
            </w:r>
          </w:p>
        </w:tc>
        <w:tc>
          <w:tcPr>
            <w:tcW w:w="1673" w:type="dxa"/>
            <w:tcBorders>
              <w:top w:val="nil"/>
            </w:tcBorders>
            <w:tcMar>
              <w:top w:w="15" w:type="dxa"/>
              <w:left w:w="85" w:type="dxa"/>
              <w:bottom w:w="0" w:type="dxa"/>
              <w:right w:w="57" w:type="dxa"/>
            </w:tcMar>
            <w:hideMark/>
          </w:tcPr>
          <w:p w14:paraId="6E08628A" w14:textId="77777777" w:rsidR="00447423" w:rsidRPr="002A3CBE" w:rsidRDefault="00447423" w:rsidP="00F16E23">
            <w:pPr>
              <w:pStyle w:val="TableText"/>
              <w:spacing w:before="30" w:after="30"/>
            </w:pPr>
            <w:r w:rsidRPr="002A3CBE">
              <w:t>Land converted to wetlands </w:t>
            </w:r>
          </w:p>
        </w:tc>
        <w:tc>
          <w:tcPr>
            <w:tcW w:w="4110" w:type="dxa"/>
            <w:vMerge/>
            <w:tcBorders>
              <w:top w:val="nil"/>
            </w:tcBorders>
            <w:tcMar>
              <w:left w:w="85" w:type="dxa"/>
              <w:right w:w="57" w:type="dxa"/>
            </w:tcMar>
            <w:hideMark/>
          </w:tcPr>
          <w:p w14:paraId="52B92F4F" w14:textId="77777777" w:rsidR="00447423" w:rsidRPr="002A3CBE" w:rsidRDefault="00447423" w:rsidP="00F16E23">
            <w:pPr>
              <w:pStyle w:val="TableText"/>
              <w:spacing w:before="30" w:after="30"/>
              <w:rPr>
                <w:rFonts w:eastAsiaTheme="minorHAnsi"/>
              </w:rPr>
            </w:pPr>
          </w:p>
        </w:tc>
      </w:tr>
      <w:tr w:rsidR="00447423" w:rsidRPr="002A3CBE" w14:paraId="1AB847B5" w14:textId="77777777" w:rsidTr="00F16E23">
        <w:tc>
          <w:tcPr>
            <w:tcW w:w="988" w:type="dxa"/>
            <w:tcBorders>
              <w:bottom w:val="nil"/>
            </w:tcBorders>
            <w:tcMar>
              <w:top w:w="15" w:type="dxa"/>
              <w:left w:w="85" w:type="dxa"/>
              <w:bottom w:w="0" w:type="dxa"/>
              <w:right w:w="57" w:type="dxa"/>
            </w:tcMar>
            <w:hideMark/>
          </w:tcPr>
          <w:p w14:paraId="5A048EC9" w14:textId="77777777" w:rsidR="00447423" w:rsidRPr="002A3CBE" w:rsidRDefault="00447423" w:rsidP="00F16E23">
            <w:pPr>
              <w:pStyle w:val="TableText"/>
              <w:spacing w:before="40" w:after="40"/>
            </w:pPr>
            <w:r w:rsidRPr="002A3CBE">
              <w:t>4.A.1/4(I) </w:t>
            </w:r>
          </w:p>
        </w:tc>
        <w:tc>
          <w:tcPr>
            <w:tcW w:w="1734" w:type="dxa"/>
            <w:tcBorders>
              <w:bottom w:val="nil"/>
            </w:tcBorders>
            <w:tcMar>
              <w:top w:w="15" w:type="dxa"/>
              <w:left w:w="85" w:type="dxa"/>
              <w:bottom w:w="0" w:type="dxa"/>
              <w:right w:w="57" w:type="dxa"/>
            </w:tcMar>
            <w:hideMark/>
          </w:tcPr>
          <w:p w14:paraId="7BE69B71" w14:textId="77777777" w:rsidR="00447423" w:rsidRPr="002A3CBE" w:rsidRDefault="00447423" w:rsidP="00F16E23">
            <w:pPr>
              <w:pStyle w:val="TableText"/>
              <w:spacing w:before="40" w:after="40"/>
            </w:pPr>
            <w:r w:rsidRPr="002A3CBE">
              <w:t>Direct N</w:t>
            </w:r>
            <w:r w:rsidRPr="002A3CBE">
              <w:rPr>
                <w:vertAlign w:val="subscript"/>
              </w:rPr>
              <w:t>2</w:t>
            </w:r>
            <w:r w:rsidRPr="002A3CBE">
              <w:t>O emissions from nitrogen (N) inputs to managed soils </w:t>
            </w:r>
          </w:p>
        </w:tc>
        <w:tc>
          <w:tcPr>
            <w:tcW w:w="1673" w:type="dxa"/>
            <w:vMerge w:val="restart"/>
            <w:tcBorders>
              <w:bottom w:val="nil"/>
            </w:tcBorders>
            <w:tcMar>
              <w:top w:w="15" w:type="dxa"/>
              <w:left w:w="85" w:type="dxa"/>
              <w:bottom w:w="0" w:type="dxa"/>
              <w:right w:w="57" w:type="dxa"/>
            </w:tcMar>
            <w:hideMark/>
          </w:tcPr>
          <w:p w14:paraId="58E649DE" w14:textId="77777777" w:rsidR="00447423" w:rsidRPr="002A3CBE" w:rsidRDefault="00447423" w:rsidP="00F16E23">
            <w:pPr>
              <w:pStyle w:val="TableText"/>
              <w:spacing w:before="40" w:after="40"/>
            </w:pPr>
            <w:r w:rsidRPr="002A3CBE">
              <w:t>Included under the Agriculture sector </w:t>
            </w:r>
          </w:p>
        </w:tc>
        <w:tc>
          <w:tcPr>
            <w:tcW w:w="4110" w:type="dxa"/>
            <w:vMerge w:val="restart"/>
            <w:tcBorders>
              <w:bottom w:val="nil"/>
            </w:tcBorders>
            <w:tcMar>
              <w:top w:w="15" w:type="dxa"/>
              <w:left w:w="85" w:type="dxa"/>
              <w:bottom w:w="0" w:type="dxa"/>
              <w:right w:w="57" w:type="dxa"/>
            </w:tcMar>
            <w:hideMark/>
          </w:tcPr>
          <w:p w14:paraId="15ACA164" w14:textId="77777777" w:rsidR="00447423" w:rsidRPr="002A3CBE" w:rsidRDefault="00447423" w:rsidP="00F16E23">
            <w:pPr>
              <w:pStyle w:val="TableText"/>
              <w:spacing w:before="40" w:after="40"/>
            </w:pPr>
            <w:r w:rsidRPr="002A3CBE">
              <w:t>New Zealand does not hold disaggregated activity data on nitrogen fertiliser by land use; therefore, all N</w:t>
            </w:r>
            <w:r w:rsidRPr="002A3CBE">
              <w:rPr>
                <w:vertAlign w:val="subscript"/>
              </w:rPr>
              <w:t>2</w:t>
            </w:r>
            <w:r w:rsidRPr="002A3CBE">
              <w:t>O emissions from organic and inorganic fertilisers are reported in the Agriculture sector. </w:t>
            </w:r>
          </w:p>
        </w:tc>
      </w:tr>
      <w:tr w:rsidR="00447423" w:rsidRPr="002A3CBE" w14:paraId="24308B48" w14:textId="77777777" w:rsidTr="00F16E23">
        <w:tc>
          <w:tcPr>
            <w:tcW w:w="988" w:type="dxa"/>
            <w:tcBorders>
              <w:top w:val="nil"/>
              <w:bottom w:val="nil"/>
            </w:tcBorders>
            <w:tcMar>
              <w:top w:w="15" w:type="dxa"/>
              <w:left w:w="85" w:type="dxa"/>
              <w:bottom w:w="0" w:type="dxa"/>
              <w:right w:w="57" w:type="dxa"/>
            </w:tcMar>
            <w:hideMark/>
          </w:tcPr>
          <w:p w14:paraId="2AA39E15" w14:textId="77777777" w:rsidR="00447423" w:rsidRPr="002A3CBE" w:rsidRDefault="00447423" w:rsidP="00F16E23">
            <w:pPr>
              <w:pStyle w:val="TableText"/>
              <w:spacing w:before="40" w:after="40"/>
            </w:pPr>
            <w:r w:rsidRPr="002A3CBE">
              <w:t>4.D.1/4(I) </w:t>
            </w:r>
          </w:p>
        </w:tc>
        <w:tc>
          <w:tcPr>
            <w:tcW w:w="1734" w:type="dxa"/>
            <w:tcBorders>
              <w:top w:val="nil"/>
              <w:bottom w:val="nil"/>
            </w:tcBorders>
            <w:tcMar>
              <w:top w:w="15" w:type="dxa"/>
              <w:left w:w="85" w:type="dxa"/>
              <w:bottom w:w="0" w:type="dxa"/>
              <w:right w:w="57" w:type="dxa"/>
            </w:tcMar>
            <w:hideMark/>
          </w:tcPr>
          <w:p w14:paraId="61F44F5D" w14:textId="77777777" w:rsidR="00447423" w:rsidRPr="002A3CBE" w:rsidRDefault="00447423" w:rsidP="00F16E23">
            <w:pPr>
              <w:pStyle w:val="TableText"/>
              <w:spacing w:before="40" w:after="40"/>
            </w:pPr>
            <w:r w:rsidRPr="002A3CBE">
              <w:t>Inorganic N fertilisers and Direct N</w:t>
            </w:r>
            <w:r w:rsidRPr="002A3CBE">
              <w:rPr>
                <w:vertAlign w:val="subscript"/>
              </w:rPr>
              <w:t>2</w:t>
            </w:r>
            <w:r w:rsidRPr="002A3CBE">
              <w:t>O emissions from N inputs to managed soils </w:t>
            </w:r>
          </w:p>
        </w:tc>
        <w:tc>
          <w:tcPr>
            <w:tcW w:w="1673" w:type="dxa"/>
            <w:vMerge/>
            <w:tcBorders>
              <w:top w:val="nil"/>
              <w:bottom w:val="nil"/>
            </w:tcBorders>
            <w:tcMar>
              <w:left w:w="85" w:type="dxa"/>
              <w:right w:w="57" w:type="dxa"/>
            </w:tcMar>
            <w:hideMark/>
          </w:tcPr>
          <w:p w14:paraId="7495846A" w14:textId="77777777" w:rsidR="00447423" w:rsidRPr="002A3CBE" w:rsidRDefault="00447423" w:rsidP="00F16E23">
            <w:pPr>
              <w:pStyle w:val="TableText"/>
              <w:spacing w:before="40" w:after="40"/>
              <w:rPr>
                <w:rFonts w:eastAsiaTheme="minorHAnsi"/>
              </w:rPr>
            </w:pPr>
          </w:p>
        </w:tc>
        <w:tc>
          <w:tcPr>
            <w:tcW w:w="4110" w:type="dxa"/>
            <w:vMerge/>
            <w:tcBorders>
              <w:top w:val="nil"/>
              <w:bottom w:val="nil"/>
            </w:tcBorders>
            <w:tcMar>
              <w:left w:w="85" w:type="dxa"/>
              <w:right w:w="57" w:type="dxa"/>
            </w:tcMar>
            <w:hideMark/>
          </w:tcPr>
          <w:p w14:paraId="2705CA59" w14:textId="77777777" w:rsidR="00447423" w:rsidRPr="002A3CBE" w:rsidRDefault="00447423" w:rsidP="00F16E23">
            <w:pPr>
              <w:pStyle w:val="TableText"/>
              <w:spacing w:before="40" w:after="40"/>
              <w:rPr>
                <w:rFonts w:eastAsiaTheme="minorHAnsi"/>
              </w:rPr>
            </w:pPr>
          </w:p>
        </w:tc>
      </w:tr>
      <w:tr w:rsidR="00447423" w:rsidRPr="002A3CBE" w14:paraId="7919F63C" w14:textId="77777777" w:rsidTr="00F16E23">
        <w:tc>
          <w:tcPr>
            <w:tcW w:w="988" w:type="dxa"/>
            <w:tcBorders>
              <w:top w:val="nil"/>
              <w:bottom w:val="nil"/>
            </w:tcBorders>
            <w:tcMar>
              <w:top w:w="15" w:type="dxa"/>
              <w:left w:w="85" w:type="dxa"/>
              <w:bottom w:w="0" w:type="dxa"/>
              <w:right w:w="57" w:type="dxa"/>
            </w:tcMar>
            <w:hideMark/>
          </w:tcPr>
          <w:p w14:paraId="755BFF8D" w14:textId="77777777" w:rsidR="00447423" w:rsidRPr="002A3CBE" w:rsidRDefault="00447423" w:rsidP="00F16E23">
            <w:pPr>
              <w:pStyle w:val="TableText"/>
              <w:spacing w:before="40" w:after="40"/>
            </w:pPr>
            <w:r w:rsidRPr="002A3CBE">
              <w:t>4.D.2/4(I) </w:t>
            </w:r>
          </w:p>
        </w:tc>
        <w:tc>
          <w:tcPr>
            <w:tcW w:w="1734" w:type="dxa"/>
            <w:tcBorders>
              <w:top w:val="nil"/>
              <w:bottom w:val="nil"/>
            </w:tcBorders>
            <w:tcMar>
              <w:top w:w="15" w:type="dxa"/>
              <w:left w:w="85" w:type="dxa"/>
              <w:bottom w:w="0" w:type="dxa"/>
              <w:right w:w="57" w:type="dxa"/>
            </w:tcMar>
            <w:hideMark/>
          </w:tcPr>
          <w:p w14:paraId="6567BF7A" w14:textId="77777777" w:rsidR="00447423" w:rsidRPr="002A3CBE" w:rsidRDefault="00447423" w:rsidP="00F16E23">
            <w:pPr>
              <w:pStyle w:val="TableText"/>
              <w:spacing w:before="40" w:after="40"/>
            </w:pPr>
            <w:r w:rsidRPr="002A3CBE">
              <w:t>Organic N fertilisers </w:t>
            </w:r>
          </w:p>
        </w:tc>
        <w:tc>
          <w:tcPr>
            <w:tcW w:w="1673" w:type="dxa"/>
            <w:vMerge/>
            <w:tcBorders>
              <w:top w:val="nil"/>
              <w:bottom w:val="nil"/>
            </w:tcBorders>
            <w:tcMar>
              <w:left w:w="85" w:type="dxa"/>
              <w:right w:w="57" w:type="dxa"/>
            </w:tcMar>
            <w:hideMark/>
          </w:tcPr>
          <w:p w14:paraId="5829A3E1" w14:textId="77777777" w:rsidR="00447423" w:rsidRPr="002A3CBE" w:rsidRDefault="00447423" w:rsidP="00F16E23">
            <w:pPr>
              <w:pStyle w:val="TableText"/>
              <w:spacing w:before="40" w:after="40"/>
              <w:rPr>
                <w:rFonts w:eastAsiaTheme="minorHAnsi"/>
              </w:rPr>
            </w:pPr>
          </w:p>
        </w:tc>
        <w:tc>
          <w:tcPr>
            <w:tcW w:w="4110" w:type="dxa"/>
            <w:vMerge/>
            <w:tcBorders>
              <w:top w:val="nil"/>
              <w:bottom w:val="nil"/>
            </w:tcBorders>
            <w:tcMar>
              <w:left w:w="85" w:type="dxa"/>
              <w:right w:w="57" w:type="dxa"/>
            </w:tcMar>
            <w:hideMark/>
          </w:tcPr>
          <w:p w14:paraId="5080D28B" w14:textId="77777777" w:rsidR="00447423" w:rsidRPr="002A3CBE" w:rsidRDefault="00447423" w:rsidP="00F16E23">
            <w:pPr>
              <w:pStyle w:val="TableText"/>
              <w:spacing w:before="40" w:after="40"/>
              <w:rPr>
                <w:rFonts w:eastAsiaTheme="minorHAnsi"/>
              </w:rPr>
            </w:pPr>
          </w:p>
        </w:tc>
      </w:tr>
      <w:tr w:rsidR="00447423" w:rsidRPr="002A3CBE" w14:paraId="36EC9D69" w14:textId="77777777" w:rsidTr="00F16E23">
        <w:tc>
          <w:tcPr>
            <w:tcW w:w="988" w:type="dxa"/>
            <w:tcBorders>
              <w:top w:val="nil"/>
              <w:bottom w:val="nil"/>
            </w:tcBorders>
            <w:tcMar>
              <w:top w:w="15" w:type="dxa"/>
              <w:left w:w="85" w:type="dxa"/>
              <w:bottom w:w="0" w:type="dxa"/>
              <w:right w:w="57" w:type="dxa"/>
            </w:tcMar>
            <w:hideMark/>
          </w:tcPr>
          <w:p w14:paraId="74085088" w14:textId="77777777" w:rsidR="00447423" w:rsidRPr="002A3CBE" w:rsidRDefault="00447423" w:rsidP="00F16E23">
            <w:pPr>
              <w:pStyle w:val="TableText"/>
              <w:spacing w:before="40" w:after="40"/>
            </w:pPr>
            <w:r w:rsidRPr="002A3CBE">
              <w:t>4.E.1/4(I) </w:t>
            </w:r>
          </w:p>
        </w:tc>
        <w:tc>
          <w:tcPr>
            <w:tcW w:w="1734" w:type="dxa"/>
            <w:tcBorders>
              <w:top w:val="nil"/>
              <w:bottom w:val="nil"/>
            </w:tcBorders>
            <w:tcMar>
              <w:top w:w="15" w:type="dxa"/>
              <w:left w:w="85" w:type="dxa"/>
              <w:bottom w:w="0" w:type="dxa"/>
              <w:right w:w="57" w:type="dxa"/>
            </w:tcMar>
            <w:hideMark/>
          </w:tcPr>
          <w:p w14:paraId="7E06719B" w14:textId="77777777" w:rsidR="00447423" w:rsidRPr="002A3CBE" w:rsidRDefault="00447423" w:rsidP="00F16E23">
            <w:pPr>
              <w:pStyle w:val="TableText"/>
              <w:spacing w:before="40" w:after="40"/>
            </w:pPr>
            <w:r w:rsidRPr="002A3CBE">
              <w:t>In the following categories: </w:t>
            </w:r>
          </w:p>
        </w:tc>
        <w:tc>
          <w:tcPr>
            <w:tcW w:w="1673" w:type="dxa"/>
            <w:vMerge/>
            <w:tcBorders>
              <w:top w:val="nil"/>
              <w:bottom w:val="nil"/>
            </w:tcBorders>
            <w:tcMar>
              <w:left w:w="85" w:type="dxa"/>
              <w:right w:w="57" w:type="dxa"/>
            </w:tcMar>
            <w:hideMark/>
          </w:tcPr>
          <w:p w14:paraId="58413F6B" w14:textId="77777777" w:rsidR="00447423" w:rsidRPr="002A3CBE" w:rsidRDefault="00447423" w:rsidP="00F16E23">
            <w:pPr>
              <w:pStyle w:val="TableText"/>
              <w:spacing w:before="40" w:after="40"/>
              <w:rPr>
                <w:rFonts w:eastAsiaTheme="minorHAnsi"/>
              </w:rPr>
            </w:pPr>
          </w:p>
        </w:tc>
        <w:tc>
          <w:tcPr>
            <w:tcW w:w="4110" w:type="dxa"/>
            <w:vMerge/>
            <w:tcBorders>
              <w:top w:val="nil"/>
              <w:bottom w:val="nil"/>
            </w:tcBorders>
            <w:tcMar>
              <w:left w:w="85" w:type="dxa"/>
              <w:right w:w="57" w:type="dxa"/>
            </w:tcMar>
            <w:hideMark/>
          </w:tcPr>
          <w:p w14:paraId="5A2ACC4D" w14:textId="77777777" w:rsidR="00447423" w:rsidRPr="002A3CBE" w:rsidRDefault="00447423" w:rsidP="00F16E23">
            <w:pPr>
              <w:pStyle w:val="TableText"/>
              <w:spacing w:before="40" w:after="40"/>
              <w:rPr>
                <w:rFonts w:eastAsiaTheme="minorHAnsi"/>
              </w:rPr>
            </w:pPr>
          </w:p>
        </w:tc>
      </w:tr>
      <w:tr w:rsidR="00447423" w:rsidRPr="002A3CBE" w14:paraId="4954449C" w14:textId="77777777" w:rsidTr="00F16E23">
        <w:tc>
          <w:tcPr>
            <w:tcW w:w="988" w:type="dxa"/>
            <w:tcBorders>
              <w:top w:val="nil"/>
              <w:bottom w:val="nil"/>
            </w:tcBorders>
            <w:tcMar>
              <w:top w:w="15" w:type="dxa"/>
              <w:left w:w="85" w:type="dxa"/>
              <w:bottom w:w="0" w:type="dxa"/>
              <w:right w:w="57" w:type="dxa"/>
            </w:tcMar>
            <w:hideMark/>
          </w:tcPr>
          <w:p w14:paraId="2E5F8D27" w14:textId="77777777" w:rsidR="00447423" w:rsidRPr="002A3CBE" w:rsidRDefault="00447423" w:rsidP="00F16E23">
            <w:pPr>
              <w:pStyle w:val="TableText"/>
              <w:spacing w:before="40" w:after="0"/>
            </w:pPr>
            <w:r w:rsidRPr="002A3CBE">
              <w:t>4.E.2/4(I) </w:t>
            </w:r>
          </w:p>
        </w:tc>
        <w:tc>
          <w:tcPr>
            <w:tcW w:w="1734" w:type="dxa"/>
            <w:tcBorders>
              <w:top w:val="nil"/>
              <w:bottom w:val="nil"/>
            </w:tcBorders>
            <w:tcMar>
              <w:top w:w="15" w:type="dxa"/>
              <w:left w:w="85" w:type="dxa"/>
              <w:bottom w:w="0" w:type="dxa"/>
              <w:right w:w="57" w:type="dxa"/>
            </w:tcMar>
            <w:hideMark/>
          </w:tcPr>
          <w:p w14:paraId="22B6DA00" w14:textId="77777777" w:rsidR="00447423" w:rsidRPr="002A3CBE" w:rsidRDefault="00447423" w:rsidP="00F16E23">
            <w:pPr>
              <w:pStyle w:val="TableText"/>
              <w:spacing w:before="40" w:after="0"/>
            </w:pPr>
            <w:r w:rsidRPr="002A3CBE">
              <w:t>Forest land remaining forest land </w:t>
            </w:r>
          </w:p>
        </w:tc>
        <w:tc>
          <w:tcPr>
            <w:tcW w:w="1673" w:type="dxa"/>
            <w:vMerge/>
            <w:tcBorders>
              <w:top w:val="nil"/>
              <w:bottom w:val="nil"/>
            </w:tcBorders>
            <w:tcMar>
              <w:left w:w="85" w:type="dxa"/>
              <w:right w:w="57" w:type="dxa"/>
            </w:tcMar>
            <w:hideMark/>
          </w:tcPr>
          <w:p w14:paraId="5BD5FAC1" w14:textId="77777777" w:rsidR="00447423" w:rsidRPr="002A3CBE" w:rsidRDefault="00447423" w:rsidP="00F16E23">
            <w:pPr>
              <w:pStyle w:val="TableText"/>
              <w:spacing w:before="40" w:after="0"/>
              <w:rPr>
                <w:rFonts w:eastAsiaTheme="minorHAnsi"/>
              </w:rPr>
            </w:pPr>
          </w:p>
        </w:tc>
        <w:tc>
          <w:tcPr>
            <w:tcW w:w="4110" w:type="dxa"/>
            <w:vMerge/>
            <w:tcBorders>
              <w:top w:val="nil"/>
              <w:bottom w:val="nil"/>
            </w:tcBorders>
            <w:tcMar>
              <w:left w:w="85" w:type="dxa"/>
              <w:right w:w="57" w:type="dxa"/>
            </w:tcMar>
            <w:hideMark/>
          </w:tcPr>
          <w:p w14:paraId="3B01A644" w14:textId="77777777" w:rsidR="00447423" w:rsidRPr="002A3CBE" w:rsidRDefault="00447423" w:rsidP="00F16E23">
            <w:pPr>
              <w:pStyle w:val="TableText"/>
              <w:spacing w:before="40" w:after="0"/>
              <w:rPr>
                <w:rFonts w:eastAsiaTheme="minorHAnsi"/>
              </w:rPr>
            </w:pPr>
          </w:p>
        </w:tc>
      </w:tr>
      <w:tr w:rsidR="00447423" w:rsidRPr="002A3CBE" w14:paraId="70B07C93" w14:textId="77777777" w:rsidTr="00F16E23">
        <w:tc>
          <w:tcPr>
            <w:tcW w:w="988" w:type="dxa"/>
            <w:tcBorders>
              <w:top w:val="nil"/>
              <w:bottom w:val="nil"/>
            </w:tcBorders>
            <w:tcMar>
              <w:top w:w="15" w:type="dxa"/>
              <w:left w:w="85" w:type="dxa"/>
              <w:bottom w:w="0" w:type="dxa"/>
              <w:right w:w="57" w:type="dxa"/>
            </w:tcMar>
            <w:hideMark/>
          </w:tcPr>
          <w:p w14:paraId="40D90092" w14:textId="77777777" w:rsidR="00447423" w:rsidRPr="002A3CBE" w:rsidRDefault="00447423" w:rsidP="00F16E23">
            <w:pPr>
              <w:pStyle w:val="TableText"/>
              <w:spacing w:before="20" w:after="0"/>
            </w:pPr>
          </w:p>
        </w:tc>
        <w:tc>
          <w:tcPr>
            <w:tcW w:w="1734" w:type="dxa"/>
            <w:tcBorders>
              <w:top w:val="nil"/>
              <w:bottom w:val="nil"/>
            </w:tcBorders>
            <w:tcMar>
              <w:top w:w="15" w:type="dxa"/>
              <w:left w:w="85" w:type="dxa"/>
              <w:bottom w:w="0" w:type="dxa"/>
              <w:right w:w="57" w:type="dxa"/>
            </w:tcMar>
            <w:hideMark/>
          </w:tcPr>
          <w:p w14:paraId="5FF7AA18" w14:textId="77777777" w:rsidR="00447423" w:rsidRPr="002A3CBE" w:rsidRDefault="00447423" w:rsidP="00F16E23">
            <w:pPr>
              <w:pStyle w:val="TableText"/>
              <w:spacing w:before="20" w:after="0"/>
              <w:rPr>
                <w:rFonts w:eastAsiaTheme="minorHAnsi"/>
              </w:rPr>
            </w:pPr>
            <w:r w:rsidRPr="002A3CBE">
              <w:t>Wetlands remaining wetlands </w:t>
            </w:r>
          </w:p>
        </w:tc>
        <w:tc>
          <w:tcPr>
            <w:tcW w:w="1673" w:type="dxa"/>
            <w:vMerge/>
            <w:tcBorders>
              <w:top w:val="nil"/>
              <w:bottom w:val="nil"/>
            </w:tcBorders>
            <w:tcMar>
              <w:left w:w="85" w:type="dxa"/>
              <w:right w:w="57" w:type="dxa"/>
            </w:tcMar>
            <w:hideMark/>
          </w:tcPr>
          <w:p w14:paraId="3B453861" w14:textId="77777777" w:rsidR="00447423" w:rsidRPr="002A3CBE" w:rsidRDefault="00447423" w:rsidP="00F16E23">
            <w:pPr>
              <w:pStyle w:val="TableText"/>
              <w:spacing w:before="20" w:after="0"/>
              <w:rPr>
                <w:rFonts w:eastAsiaTheme="minorHAnsi"/>
              </w:rPr>
            </w:pPr>
          </w:p>
        </w:tc>
        <w:tc>
          <w:tcPr>
            <w:tcW w:w="4110" w:type="dxa"/>
            <w:vMerge/>
            <w:tcBorders>
              <w:top w:val="nil"/>
              <w:bottom w:val="nil"/>
            </w:tcBorders>
            <w:tcMar>
              <w:left w:w="85" w:type="dxa"/>
              <w:right w:w="57" w:type="dxa"/>
            </w:tcMar>
            <w:hideMark/>
          </w:tcPr>
          <w:p w14:paraId="6990BD06" w14:textId="77777777" w:rsidR="00447423" w:rsidRPr="002A3CBE" w:rsidRDefault="00447423" w:rsidP="00F16E23">
            <w:pPr>
              <w:pStyle w:val="TableText"/>
              <w:spacing w:before="20" w:after="0"/>
              <w:rPr>
                <w:rFonts w:eastAsiaTheme="minorHAnsi"/>
              </w:rPr>
            </w:pPr>
          </w:p>
        </w:tc>
      </w:tr>
      <w:tr w:rsidR="00447423" w:rsidRPr="002A3CBE" w14:paraId="37C72129" w14:textId="77777777" w:rsidTr="00F16E23">
        <w:tc>
          <w:tcPr>
            <w:tcW w:w="988" w:type="dxa"/>
            <w:tcBorders>
              <w:top w:val="nil"/>
              <w:bottom w:val="nil"/>
            </w:tcBorders>
            <w:tcMar>
              <w:top w:w="15" w:type="dxa"/>
              <w:left w:w="85" w:type="dxa"/>
              <w:bottom w:w="0" w:type="dxa"/>
              <w:right w:w="57" w:type="dxa"/>
            </w:tcMar>
            <w:hideMark/>
          </w:tcPr>
          <w:p w14:paraId="3DA7F4BC" w14:textId="77777777" w:rsidR="00447423" w:rsidRPr="002A3CBE" w:rsidRDefault="00447423" w:rsidP="00F16E23">
            <w:pPr>
              <w:pStyle w:val="TableText"/>
              <w:spacing w:before="20" w:after="0"/>
            </w:pPr>
          </w:p>
        </w:tc>
        <w:tc>
          <w:tcPr>
            <w:tcW w:w="1734" w:type="dxa"/>
            <w:tcBorders>
              <w:top w:val="nil"/>
              <w:bottom w:val="nil"/>
            </w:tcBorders>
            <w:tcMar>
              <w:top w:w="15" w:type="dxa"/>
              <w:left w:w="85" w:type="dxa"/>
              <w:bottom w:w="0" w:type="dxa"/>
              <w:right w:w="57" w:type="dxa"/>
            </w:tcMar>
            <w:hideMark/>
          </w:tcPr>
          <w:p w14:paraId="6F64A856" w14:textId="77777777" w:rsidR="00447423" w:rsidRPr="002A3CBE" w:rsidRDefault="00447423" w:rsidP="00F16E23">
            <w:pPr>
              <w:pStyle w:val="TableText"/>
              <w:spacing w:before="20" w:after="0"/>
              <w:rPr>
                <w:rFonts w:eastAsiaTheme="minorHAnsi"/>
              </w:rPr>
            </w:pPr>
            <w:r w:rsidRPr="002A3CBE">
              <w:t>Land converted to wetlands </w:t>
            </w:r>
          </w:p>
        </w:tc>
        <w:tc>
          <w:tcPr>
            <w:tcW w:w="1673" w:type="dxa"/>
            <w:vMerge/>
            <w:tcBorders>
              <w:top w:val="nil"/>
              <w:bottom w:val="nil"/>
            </w:tcBorders>
            <w:tcMar>
              <w:left w:w="85" w:type="dxa"/>
              <w:right w:w="57" w:type="dxa"/>
            </w:tcMar>
            <w:hideMark/>
          </w:tcPr>
          <w:p w14:paraId="039AD57F" w14:textId="77777777" w:rsidR="00447423" w:rsidRPr="002A3CBE" w:rsidRDefault="00447423" w:rsidP="00F16E23">
            <w:pPr>
              <w:pStyle w:val="TableText"/>
              <w:spacing w:before="20" w:after="0"/>
              <w:rPr>
                <w:rFonts w:eastAsiaTheme="minorHAnsi"/>
              </w:rPr>
            </w:pPr>
          </w:p>
        </w:tc>
        <w:tc>
          <w:tcPr>
            <w:tcW w:w="4110" w:type="dxa"/>
            <w:vMerge/>
            <w:tcBorders>
              <w:top w:val="nil"/>
              <w:bottom w:val="nil"/>
            </w:tcBorders>
            <w:tcMar>
              <w:left w:w="85" w:type="dxa"/>
              <w:right w:w="57" w:type="dxa"/>
            </w:tcMar>
            <w:hideMark/>
          </w:tcPr>
          <w:p w14:paraId="65FD0C20" w14:textId="77777777" w:rsidR="00447423" w:rsidRPr="002A3CBE" w:rsidRDefault="00447423" w:rsidP="00F16E23">
            <w:pPr>
              <w:pStyle w:val="TableText"/>
              <w:spacing w:before="20" w:after="0"/>
              <w:rPr>
                <w:rFonts w:eastAsiaTheme="minorHAnsi"/>
              </w:rPr>
            </w:pPr>
          </w:p>
        </w:tc>
      </w:tr>
      <w:tr w:rsidR="00447423" w:rsidRPr="002A3CBE" w14:paraId="7C864198" w14:textId="77777777" w:rsidTr="00F16E23">
        <w:tc>
          <w:tcPr>
            <w:tcW w:w="988" w:type="dxa"/>
            <w:tcBorders>
              <w:top w:val="nil"/>
              <w:bottom w:val="nil"/>
            </w:tcBorders>
            <w:tcMar>
              <w:top w:w="15" w:type="dxa"/>
              <w:left w:w="85" w:type="dxa"/>
              <w:bottom w:w="0" w:type="dxa"/>
              <w:right w:w="57" w:type="dxa"/>
            </w:tcMar>
            <w:hideMark/>
          </w:tcPr>
          <w:p w14:paraId="6D4FED32" w14:textId="77777777" w:rsidR="00447423" w:rsidRPr="002A3CBE" w:rsidRDefault="00447423" w:rsidP="00F16E23">
            <w:pPr>
              <w:pStyle w:val="TableText"/>
              <w:spacing w:before="20" w:after="0"/>
            </w:pPr>
          </w:p>
        </w:tc>
        <w:tc>
          <w:tcPr>
            <w:tcW w:w="1734" w:type="dxa"/>
            <w:tcBorders>
              <w:top w:val="nil"/>
              <w:bottom w:val="nil"/>
            </w:tcBorders>
            <w:tcMar>
              <w:top w:w="15" w:type="dxa"/>
              <w:left w:w="85" w:type="dxa"/>
              <w:bottom w:w="0" w:type="dxa"/>
              <w:right w:w="57" w:type="dxa"/>
            </w:tcMar>
            <w:hideMark/>
          </w:tcPr>
          <w:p w14:paraId="2E4B860F" w14:textId="77777777" w:rsidR="00447423" w:rsidRPr="002A3CBE" w:rsidRDefault="00447423" w:rsidP="00F16E23">
            <w:pPr>
              <w:pStyle w:val="TableText"/>
              <w:spacing w:before="20" w:after="0"/>
              <w:rPr>
                <w:rFonts w:eastAsiaTheme="minorHAnsi"/>
              </w:rPr>
            </w:pPr>
            <w:r w:rsidRPr="002A3CBE">
              <w:t>Settlements remaining settlements </w:t>
            </w:r>
          </w:p>
        </w:tc>
        <w:tc>
          <w:tcPr>
            <w:tcW w:w="1673" w:type="dxa"/>
            <w:vMerge/>
            <w:tcBorders>
              <w:top w:val="nil"/>
              <w:bottom w:val="nil"/>
            </w:tcBorders>
            <w:tcMar>
              <w:left w:w="85" w:type="dxa"/>
              <w:right w:w="57" w:type="dxa"/>
            </w:tcMar>
            <w:hideMark/>
          </w:tcPr>
          <w:p w14:paraId="2262C0B2" w14:textId="77777777" w:rsidR="00447423" w:rsidRPr="002A3CBE" w:rsidRDefault="00447423" w:rsidP="00F16E23">
            <w:pPr>
              <w:pStyle w:val="TableText"/>
              <w:spacing w:before="20" w:after="0"/>
              <w:rPr>
                <w:rFonts w:eastAsiaTheme="minorHAnsi"/>
              </w:rPr>
            </w:pPr>
          </w:p>
        </w:tc>
        <w:tc>
          <w:tcPr>
            <w:tcW w:w="4110" w:type="dxa"/>
            <w:vMerge/>
            <w:tcBorders>
              <w:top w:val="nil"/>
              <w:bottom w:val="nil"/>
            </w:tcBorders>
            <w:tcMar>
              <w:left w:w="85" w:type="dxa"/>
              <w:right w:w="57" w:type="dxa"/>
            </w:tcMar>
            <w:hideMark/>
          </w:tcPr>
          <w:p w14:paraId="41873EF0" w14:textId="77777777" w:rsidR="00447423" w:rsidRPr="002A3CBE" w:rsidRDefault="00447423" w:rsidP="00F16E23">
            <w:pPr>
              <w:pStyle w:val="TableText"/>
              <w:spacing w:before="20" w:after="0"/>
              <w:rPr>
                <w:rFonts w:eastAsiaTheme="minorHAnsi"/>
              </w:rPr>
            </w:pPr>
          </w:p>
        </w:tc>
      </w:tr>
      <w:tr w:rsidR="00447423" w:rsidRPr="002A3CBE" w14:paraId="5926EB3E" w14:textId="77777777" w:rsidTr="00F16E23">
        <w:tc>
          <w:tcPr>
            <w:tcW w:w="988" w:type="dxa"/>
            <w:tcBorders>
              <w:top w:val="nil"/>
              <w:bottom w:val="nil"/>
            </w:tcBorders>
            <w:tcMar>
              <w:top w:w="15" w:type="dxa"/>
              <w:left w:w="85" w:type="dxa"/>
              <w:bottom w:w="0" w:type="dxa"/>
              <w:right w:w="57" w:type="dxa"/>
            </w:tcMar>
            <w:hideMark/>
          </w:tcPr>
          <w:p w14:paraId="458F5E34" w14:textId="77777777" w:rsidR="00447423" w:rsidRPr="002A3CBE" w:rsidRDefault="00447423" w:rsidP="00F16E23">
            <w:pPr>
              <w:pStyle w:val="TableText"/>
              <w:spacing w:before="20" w:after="0"/>
            </w:pPr>
          </w:p>
        </w:tc>
        <w:tc>
          <w:tcPr>
            <w:tcW w:w="1734" w:type="dxa"/>
            <w:tcBorders>
              <w:top w:val="nil"/>
              <w:bottom w:val="nil"/>
            </w:tcBorders>
            <w:tcMar>
              <w:top w:w="15" w:type="dxa"/>
              <w:left w:w="85" w:type="dxa"/>
              <w:bottom w:w="0" w:type="dxa"/>
              <w:right w:w="57" w:type="dxa"/>
            </w:tcMar>
            <w:hideMark/>
          </w:tcPr>
          <w:p w14:paraId="281DBFA4" w14:textId="77777777" w:rsidR="00447423" w:rsidRPr="002A3CBE" w:rsidRDefault="00447423" w:rsidP="00F16E23">
            <w:pPr>
              <w:pStyle w:val="TableText"/>
              <w:spacing w:before="20" w:after="0"/>
              <w:rPr>
                <w:rFonts w:eastAsiaTheme="minorHAnsi"/>
              </w:rPr>
            </w:pPr>
            <w:r w:rsidRPr="002A3CBE">
              <w:t>Land converted to settlements </w:t>
            </w:r>
          </w:p>
        </w:tc>
        <w:tc>
          <w:tcPr>
            <w:tcW w:w="1673" w:type="dxa"/>
            <w:vMerge/>
            <w:tcBorders>
              <w:top w:val="nil"/>
              <w:bottom w:val="nil"/>
            </w:tcBorders>
            <w:tcMar>
              <w:left w:w="85" w:type="dxa"/>
              <w:right w:w="57" w:type="dxa"/>
            </w:tcMar>
            <w:hideMark/>
          </w:tcPr>
          <w:p w14:paraId="184DCCC0" w14:textId="77777777" w:rsidR="00447423" w:rsidRPr="002A3CBE" w:rsidRDefault="00447423" w:rsidP="00F16E23">
            <w:pPr>
              <w:pStyle w:val="TableText"/>
              <w:spacing w:before="20" w:after="0"/>
              <w:rPr>
                <w:rFonts w:eastAsiaTheme="minorHAnsi"/>
              </w:rPr>
            </w:pPr>
          </w:p>
        </w:tc>
        <w:tc>
          <w:tcPr>
            <w:tcW w:w="4110" w:type="dxa"/>
            <w:vMerge/>
            <w:tcBorders>
              <w:top w:val="nil"/>
              <w:bottom w:val="nil"/>
            </w:tcBorders>
            <w:tcMar>
              <w:left w:w="85" w:type="dxa"/>
              <w:right w:w="57" w:type="dxa"/>
            </w:tcMar>
            <w:hideMark/>
          </w:tcPr>
          <w:p w14:paraId="7BB490E0" w14:textId="77777777" w:rsidR="00447423" w:rsidRPr="002A3CBE" w:rsidRDefault="00447423" w:rsidP="00F16E23">
            <w:pPr>
              <w:pStyle w:val="TableText"/>
              <w:spacing w:before="20" w:after="0"/>
              <w:rPr>
                <w:rFonts w:eastAsiaTheme="minorHAnsi"/>
              </w:rPr>
            </w:pPr>
          </w:p>
        </w:tc>
      </w:tr>
      <w:tr w:rsidR="00447423" w:rsidRPr="002A3CBE" w14:paraId="562331F3" w14:textId="77777777" w:rsidTr="00F16E23">
        <w:tc>
          <w:tcPr>
            <w:tcW w:w="988" w:type="dxa"/>
            <w:tcBorders>
              <w:top w:val="nil"/>
              <w:bottom w:val="nil"/>
            </w:tcBorders>
            <w:tcMar>
              <w:top w:w="15" w:type="dxa"/>
              <w:left w:w="85" w:type="dxa"/>
              <w:bottom w:w="0" w:type="dxa"/>
              <w:right w:w="57" w:type="dxa"/>
            </w:tcMar>
            <w:hideMark/>
          </w:tcPr>
          <w:p w14:paraId="451B8BC1" w14:textId="77777777" w:rsidR="00447423" w:rsidRPr="002A3CBE" w:rsidRDefault="00447423" w:rsidP="00F16E23">
            <w:pPr>
              <w:pStyle w:val="TableText"/>
              <w:spacing w:before="20" w:after="0"/>
            </w:pPr>
          </w:p>
        </w:tc>
        <w:tc>
          <w:tcPr>
            <w:tcW w:w="1734" w:type="dxa"/>
            <w:tcBorders>
              <w:top w:val="nil"/>
              <w:bottom w:val="nil"/>
            </w:tcBorders>
            <w:tcMar>
              <w:top w:w="15" w:type="dxa"/>
              <w:left w:w="85" w:type="dxa"/>
              <w:bottom w:w="0" w:type="dxa"/>
              <w:right w:w="57" w:type="dxa"/>
            </w:tcMar>
            <w:hideMark/>
          </w:tcPr>
          <w:p w14:paraId="4CCD49F9" w14:textId="77777777" w:rsidR="00447423" w:rsidRPr="002A3CBE" w:rsidRDefault="00447423" w:rsidP="00F16E23">
            <w:pPr>
              <w:pStyle w:val="TableText"/>
              <w:spacing w:before="20" w:after="0"/>
              <w:rPr>
                <w:rFonts w:eastAsiaTheme="minorHAnsi"/>
              </w:rPr>
            </w:pPr>
            <w:r w:rsidRPr="002A3CBE">
              <w:t>Settlements remaining settlements </w:t>
            </w:r>
          </w:p>
        </w:tc>
        <w:tc>
          <w:tcPr>
            <w:tcW w:w="1673" w:type="dxa"/>
            <w:vMerge/>
            <w:tcBorders>
              <w:top w:val="nil"/>
              <w:bottom w:val="nil"/>
            </w:tcBorders>
            <w:tcMar>
              <w:left w:w="85" w:type="dxa"/>
              <w:right w:w="57" w:type="dxa"/>
            </w:tcMar>
            <w:hideMark/>
          </w:tcPr>
          <w:p w14:paraId="7A9BADA5" w14:textId="77777777" w:rsidR="00447423" w:rsidRPr="002A3CBE" w:rsidRDefault="00447423" w:rsidP="00F16E23">
            <w:pPr>
              <w:pStyle w:val="TableText"/>
              <w:spacing w:before="20" w:after="0"/>
              <w:rPr>
                <w:rFonts w:eastAsiaTheme="minorHAnsi"/>
              </w:rPr>
            </w:pPr>
          </w:p>
        </w:tc>
        <w:tc>
          <w:tcPr>
            <w:tcW w:w="4110" w:type="dxa"/>
            <w:vMerge/>
            <w:tcBorders>
              <w:top w:val="nil"/>
              <w:bottom w:val="nil"/>
            </w:tcBorders>
            <w:tcMar>
              <w:left w:w="85" w:type="dxa"/>
              <w:right w:w="57" w:type="dxa"/>
            </w:tcMar>
            <w:hideMark/>
          </w:tcPr>
          <w:p w14:paraId="41618B20" w14:textId="77777777" w:rsidR="00447423" w:rsidRPr="002A3CBE" w:rsidRDefault="00447423" w:rsidP="00F16E23">
            <w:pPr>
              <w:pStyle w:val="TableText"/>
              <w:spacing w:before="20" w:after="0"/>
              <w:rPr>
                <w:rFonts w:eastAsiaTheme="minorHAnsi"/>
              </w:rPr>
            </w:pPr>
          </w:p>
        </w:tc>
      </w:tr>
      <w:tr w:rsidR="00447423" w:rsidRPr="002A3CBE" w14:paraId="52752668" w14:textId="77777777" w:rsidTr="00F16E23">
        <w:tc>
          <w:tcPr>
            <w:tcW w:w="988" w:type="dxa"/>
            <w:tcBorders>
              <w:top w:val="nil"/>
            </w:tcBorders>
            <w:tcMar>
              <w:top w:w="15" w:type="dxa"/>
              <w:left w:w="85" w:type="dxa"/>
              <w:bottom w:w="0" w:type="dxa"/>
              <w:right w:w="57" w:type="dxa"/>
            </w:tcMar>
            <w:hideMark/>
          </w:tcPr>
          <w:p w14:paraId="1F4023A0" w14:textId="77777777" w:rsidR="00447423" w:rsidRPr="002A3CBE" w:rsidRDefault="00447423" w:rsidP="00F16E23">
            <w:pPr>
              <w:pStyle w:val="TableText"/>
              <w:spacing w:before="40" w:after="40"/>
            </w:pPr>
            <w:r w:rsidRPr="002A3CBE">
              <w:t> </w:t>
            </w:r>
          </w:p>
        </w:tc>
        <w:tc>
          <w:tcPr>
            <w:tcW w:w="1734" w:type="dxa"/>
            <w:tcBorders>
              <w:top w:val="nil"/>
            </w:tcBorders>
            <w:tcMar>
              <w:top w:w="15" w:type="dxa"/>
              <w:left w:w="85" w:type="dxa"/>
              <w:bottom w:w="0" w:type="dxa"/>
              <w:right w:w="57" w:type="dxa"/>
            </w:tcMar>
            <w:hideMark/>
          </w:tcPr>
          <w:p w14:paraId="7AA37DA0" w14:textId="77777777" w:rsidR="00447423" w:rsidRPr="002A3CBE" w:rsidRDefault="00447423" w:rsidP="00F16E23">
            <w:pPr>
              <w:pStyle w:val="TableText"/>
              <w:spacing w:before="40" w:after="40"/>
            </w:pPr>
            <w:r w:rsidRPr="002A3CBE">
              <w:t>Land converted to settlements </w:t>
            </w:r>
          </w:p>
        </w:tc>
        <w:tc>
          <w:tcPr>
            <w:tcW w:w="1673" w:type="dxa"/>
            <w:vMerge/>
            <w:tcBorders>
              <w:top w:val="nil"/>
            </w:tcBorders>
            <w:tcMar>
              <w:left w:w="85" w:type="dxa"/>
              <w:right w:w="57" w:type="dxa"/>
            </w:tcMar>
            <w:hideMark/>
          </w:tcPr>
          <w:p w14:paraId="6D174E6B" w14:textId="77777777" w:rsidR="00447423" w:rsidRPr="002A3CBE" w:rsidRDefault="00447423" w:rsidP="00F16E23">
            <w:pPr>
              <w:pStyle w:val="TableText"/>
              <w:spacing w:before="40" w:after="40"/>
              <w:rPr>
                <w:rFonts w:eastAsiaTheme="minorHAnsi"/>
              </w:rPr>
            </w:pPr>
          </w:p>
        </w:tc>
        <w:tc>
          <w:tcPr>
            <w:tcW w:w="4110" w:type="dxa"/>
            <w:vMerge/>
            <w:tcBorders>
              <w:top w:val="nil"/>
            </w:tcBorders>
            <w:tcMar>
              <w:left w:w="85" w:type="dxa"/>
              <w:right w:w="57" w:type="dxa"/>
            </w:tcMar>
            <w:hideMark/>
          </w:tcPr>
          <w:p w14:paraId="32286345" w14:textId="77777777" w:rsidR="00447423" w:rsidRPr="002A3CBE" w:rsidRDefault="00447423" w:rsidP="00F16E23">
            <w:pPr>
              <w:pStyle w:val="TableText"/>
              <w:spacing w:before="40" w:after="40"/>
              <w:rPr>
                <w:rFonts w:eastAsiaTheme="minorHAnsi"/>
              </w:rPr>
            </w:pPr>
          </w:p>
        </w:tc>
      </w:tr>
      <w:tr w:rsidR="00447423" w:rsidRPr="002A3CBE" w14:paraId="0B19768D" w14:textId="77777777" w:rsidTr="00F16E23">
        <w:tc>
          <w:tcPr>
            <w:tcW w:w="988" w:type="dxa"/>
            <w:tcMar>
              <w:top w:w="15" w:type="dxa"/>
              <w:left w:w="85" w:type="dxa"/>
              <w:bottom w:w="0" w:type="dxa"/>
              <w:right w:w="57" w:type="dxa"/>
            </w:tcMar>
            <w:hideMark/>
          </w:tcPr>
          <w:p w14:paraId="734F4389" w14:textId="77777777" w:rsidR="00447423" w:rsidRPr="002A3CBE" w:rsidRDefault="00447423" w:rsidP="00F16E23">
            <w:pPr>
              <w:pStyle w:val="TableText"/>
              <w:spacing w:before="40" w:after="40"/>
            </w:pPr>
            <w:r w:rsidRPr="002A3CBE">
              <w:t>4(IV) </w:t>
            </w:r>
          </w:p>
        </w:tc>
        <w:tc>
          <w:tcPr>
            <w:tcW w:w="1734" w:type="dxa"/>
            <w:tcMar>
              <w:top w:w="15" w:type="dxa"/>
              <w:left w:w="85" w:type="dxa"/>
              <w:bottom w:w="0" w:type="dxa"/>
              <w:right w:w="57" w:type="dxa"/>
            </w:tcMar>
            <w:hideMark/>
          </w:tcPr>
          <w:p w14:paraId="42DEE438" w14:textId="77777777" w:rsidR="00447423" w:rsidRPr="002A3CBE" w:rsidRDefault="00447423" w:rsidP="00F16E23">
            <w:pPr>
              <w:pStyle w:val="TableText"/>
              <w:spacing w:before="40" w:after="40"/>
            </w:pPr>
            <w:r w:rsidRPr="002A3CBE">
              <w:t>Indirect N</w:t>
            </w:r>
            <w:r w:rsidRPr="002A3CBE">
              <w:rPr>
                <w:vertAlign w:val="subscript"/>
              </w:rPr>
              <w:t>2</w:t>
            </w:r>
            <w:r w:rsidRPr="002A3CBE">
              <w:t>O emissions from managed soils/ Atmospheric deposition </w:t>
            </w:r>
          </w:p>
        </w:tc>
        <w:tc>
          <w:tcPr>
            <w:tcW w:w="1673" w:type="dxa"/>
            <w:tcMar>
              <w:top w:w="15" w:type="dxa"/>
              <w:left w:w="85" w:type="dxa"/>
              <w:bottom w:w="0" w:type="dxa"/>
              <w:right w:w="57" w:type="dxa"/>
            </w:tcMar>
            <w:hideMark/>
          </w:tcPr>
          <w:p w14:paraId="7BE5FF26" w14:textId="77777777" w:rsidR="00447423" w:rsidRPr="002A3CBE" w:rsidRDefault="00447423" w:rsidP="00F16E23">
            <w:pPr>
              <w:pStyle w:val="TableText"/>
              <w:spacing w:before="40" w:after="40"/>
            </w:pPr>
            <w:r w:rsidRPr="002A3CBE">
              <w:t>Included under the Agriculture sector </w:t>
            </w:r>
          </w:p>
        </w:tc>
        <w:tc>
          <w:tcPr>
            <w:tcW w:w="4110" w:type="dxa"/>
            <w:tcMar>
              <w:top w:w="15" w:type="dxa"/>
              <w:left w:w="85" w:type="dxa"/>
              <w:bottom w:w="0" w:type="dxa"/>
              <w:right w:w="57" w:type="dxa"/>
            </w:tcMar>
            <w:hideMark/>
          </w:tcPr>
          <w:p w14:paraId="417A4798" w14:textId="77777777" w:rsidR="00447423" w:rsidRPr="002A3CBE" w:rsidRDefault="00447423" w:rsidP="00F16E23">
            <w:pPr>
              <w:pStyle w:val="TableText"/>
              <w:spacing w:before="40" w:after="40"/>
              <w:rPr>
                <w:spacing w:val="-2"/>
              </w:rPr>
            </w:pPr>
            <w:r w:rsidRPr="002A3CBE">
              <w:rPr>
                <w:spacing w:val="-2"/>
              </w:rPr>
              <w:t>Volatilisation of nitrogen (manure, other organic and fertiliser) on pasture range and paddock is reported under Agriculture. This includes all nitrogen fertiliser used in New Zealand. </w:t>
            </w:r>
          </w:p>
        </w:tc>
      </w:tr>
      <w:tr w:rsidR="00447423" w:rsidRPr="002A3CBE" w14:paraId="16A503B0" w14:textId="77777777" w:rsidTr="00F16E23">
        <w:tc>
          <w:tcPr>
            <w:tcW w:w="988" w:type="dxa"/>
            <w:tcMar>
              <w:top w:w="15" w:type="dxa"/>
              <w:left w:w="85" w:type="dxa"/>
              <w:bottom w:w="0" w:type="dxa"/>
              <w:right w:w="57" w:type="dxa"/>
            </w:tcMar>
            <w:hideMark/>
          </w:tcPr>
          <w:p w14:paraId="6AE5BB03" w14:textId="77777777" w:rsidR="00447423" w:rsidRPr="002A3CBE" w:rsidRDefault="00447423" w:rsidP="00F16E23">
            <w:pPr>
              <w:pStyle w:val="TableText"/>
              <w:spacing w:before="40" w:after="40"/>
            </w:pPr>
            <w:r w:rsidRPr="002A3CBE">
              <w:t>4.B.1/4(V) </w:t>
            </w:r>
          </w:p>
        </w:tc>
        <w:tc>
          <w:tcPr>
            <w:tcW w:w="1734" w:type="dxa"/>
            <w:tcMar>
              <w:top w:w="15" w:type="dxa"/>
              <w:left w:w="85" w:type="dxa"/>
              <w:bottom w:w="0" w:type="dxa"/>
              <w:right w:w="57" w:type="dxa"/>
            </w:tcMar>
            <w:hideMark/>
          </w:tcPr>
          <w:p w14:paraId="0A446059" w14:textId="77777777" w:rsidR="00447423" w:rsidRPr="002A3CBE" w:rsidRDefault="00447423" w:rsidP="00F16E23">
            <w:pPr>
              <w:pStyle w:val="TableText"/>
              <w:spacing w:before="40" w:after="40"/>
            </w:pPr>
            <w:r w:rsidRPr="002A3CBE">
              <w:t>Controlled burning/ Cropland remaining cropland </w:t>
            </w:r>
          </w:p>
        </w:tc>
        <w:tc>
          <w:tcPr>
            <w:tcW w:w="1673" w:type="dxa"/>
            <w:tcMar>
              <w:top w:w="15" w:type="dxa"/>
              <w:left w:w="85" w:type="dxa"/>
              <w:bottom w:w="0" w:type="dxa"/>
              <w:right w:w="57" w:type="dxa"/>
            </w:tcMar>
            <w:hideMark/>
          </w:tcPr>
          <w:p w14:paraId="7C30EC5A" w14:textId="77777777" w:rsidR="00447423" w:rsidRPr="002A3CBE" w:rsidRDefault="00447423" w:rsidP="00F16E23">
            <w:pPr>
              <w:pStyle w:val="TableText"/>
              <w:spacing w:before="40" w:after="40"/>
            </w:pPr>
            <w:r w:rsidRPr="002A3CBE">
              <w:t>Included under the Agriculture sector </w:t>
            </w:r>
          </w:p>
        </w:tc>
        <w:tc>
          <w:tcPr>
            <w:tcW w:w="4110" w:type="dxa"/>
            <w:tcMar>
              <w:top w:w="15" w:type="dxa"/>
              <w:left w:w="85" w:type="dxa"/>
              <w:bottom w:w="0" w:type="dxa"/>
              <w:right w:w="57" w:type="dxa"/>
            </w:tcMar>
            <w:hideMark/>
          </w:tcPr>
          <w:p w14:paraId="7BE83778" w14:textId="77777777" w:rsidR="00447423" w:rsidRPr="002A3CBE" w:rsidRDefault="00447423" w:rsidP="00F16E23">
            <w:pPr>
              <w:pStyle w:val="TableText"/>
              <w:spacing w:before="40" w:after="40"/>
            </w:pPr>
            <w:r w:rsidRPr="002A3CBE">
              <w:t>All emissions from burning of crop stubble are reported in the Agriculture sector. </w:t>
            </w:r>
          </w:p>
        </w:tc>
      </w:tr>
      <w:tr w:rsidR="00447423" w:rsidRPr="002A3CBE" w14:paraId="2F500B24" w14:textId="77777777" w:rsidTr="00F16E23">
        <w:tc>
          <w:tcPr>
            <w:tcW w:w="988" w:type="dxa"/>
            <w:tcBorders>
              <w:bottom w:val="nil"/>
            </w:tcBorders>
            <w:tcMar>
              <w:top w:w="15" w:type="dxa"/>
              <w:left w:w="85" w:type="dxa"/>
              <w:bottom w:w="0" w:type="dxa"/>
              <w:right w:w="57" w:type="dxa"/>
            </w:tcMar>
            <w:hideMark/>
          </w:tcPr>
          <w:p w14:paraId="538B2B9C" w14:textId="77777777" w:rsidR="00447423" w:rsidRPr="002A3CBE" w:rsidRDefault="00447423" w:rsidP="00F16E23">
            <w:pPr>
              <w:pStyle w:val="TableText"/>
              <w:spacing w:before="40" w:after="40"/>
            </w:pPr>
            <w:r w:rsidRPr="002A3CBE">
              <w:t>4.C.1/4(V) </w:t>
            </w:r>
          </w:p>
        </w:tc>
        <w:tc>
          <w:tcPr>
            <w:tcW w:w="1734" w:type="dxa"/>
            <w:tcBorders>
              <w:bottom w:val="nil"/>
            </w:tcBorders>
            <w:tcMar>
              <w:top w:w="15" w:type="dxa"/>
              <w:left w:w="85" w:type="dxa"/>
              <w:bottom w:w="0" w:type="dxa"/>
              <w:right w:w="57" w:type="dxa"/>
            </w:tcMar>
            <w:hideMark/>
          </w:tcPr>
          <w:p w14:paraId="1D14F41D" w14:textId="77777777" w:rsidR="00447423" w:rsidRPr="002A3CBE" w:rsidRDefault="00447423" w:rsidP="00F16E23">
            <w:pPr>
              <w:pStyle w:val="TableText"/>
              <w:spacing w:before="40" w:after="40"/>
            </w:pPr>
            <w:r w:rsidRPr="002A3CBE">
              <w:t>Controlled burning/ Grassland remaining grassland </w:t>
            </w:r>
          </w:p>
        </w:tc>
        <w:tc>
          <w:tcPr>
            <w:tcW w:w="1673" w:type="dxa"/>
            <w:tcBorders>
              <w:bottom w:val="nil"/>
            </w:tcBorders>
            <w:tcMar>
              <w:top w:w="15" w:type="dxa"/>
              <w:left w:w="85" w:type="dxa"/>
              <w:bottom w:w="0" w:type="dxa"/>
              <w:right w:w="57" w:type="dxa"/>
            </w:tcMar>
            <w:hideMark/>
          </w:tcPr>
          <w:p w14:paraId="47E5BA5A" w14:textId="77777777" w:rsidR="00447423" w:rsidRPr="002A3CBE" w:rsidRDefault="00447423" w:rsidP="00F16E23">
            <w:pPr>
              <w:pStyle w:val="TableText"/>
              <w:spacing w:before="40" w:after="40"/>
            </w:pPr>
            <w:r w:rsidRPr="002A3CBE">
              <w:t>Grassland remaining grassland </w:t>
            </w:r>
          </w:p>
        </w:tc>
        <w:tc>
          <w:tcPr>
            <w:tcW w:w="4110" w:type="dxa"/>
            <w:vMerge w:val="restart"/>
            <w:tcBorders>
              <w:bottom w:val="nil"/>
            </w:tcBorders>
            <w:tcMar>
              <w:top w:w="15" w:type="dxa"/>
              <w:left w:w="85" w:type="dxa"/>
              <w:bottom w:w="0" w:type="dxa"/>
              <w:right w:w="57" w:type="dxa"/>
            </w:tcMar>
            <w:hideMark/>
          </w:tcPr>
          <w:p w14:paraId="532AE2EA" w14:textId="77777777" w:rsidR="00447423" w:rsidRPr="002A3CBE" w:rsidRDefault="00447423" w:rsidP="00F16E23">
            <w:pPr>
              <w:pStyle w:val="TableText"/>
              <w:spacing w:before="40" w:after="0"/>
            </w:pPr>
            <w:r w:rsidRPr="002A3CBE">
              <w:t>This is not a significant activity in New Zealand due to the country’s temperate climate and rainfall distribution, and any CO</w:t>
            </w:r>
            <w:r w:rsidRPr="002A3CBE">
              <w:rPr>
                <w:vertAlign w:val="subscript"/>
              </w:rPr>
              <w:t>2</w:t>
            </w:r>
            <w:r w:rsidRPr="002A3CBE">
              <w:t> emissions from burning on non-forest land are assumed to be offset by the subsequent carbon stock gain from the regrowth of biomass, which is also not reported. Alternatively, if the fire resulted in land-use change, then any CO</w:t>
            </w:r>
            <w:r w:rsidRPr="002A3CBE">
              <w:rPr>
                <w:vertAlign w:val="subscript"/>
              </w:rPr>
              <w:t>2</w:t>
            </w:r>
            <w:r w:rsidRPr="002A3CBE">
              <w:t> emissions are captured by the general carbon stock change calculation that is performed when land is converted to a new land use. </w:t>
            </w:r>
          </w:p>
        </w:tc>
      </w:tr>
      <w:tr w:rsidR="00447423" w:rsidRPr="002A3CBE" w14:paraId="140BC20B" w14:textId="77777777" w:rsidTr="00F16E23">
        <w:tc>
          <w:tcPr>
            <w:tcW w:w="988" w:type="dxa"/>
            <w:tcBorders>
              <w:top w:val="nil"/>
              <w:bottom w:val="nil"/>
            </w:tcBorders>
            <w:tcMar>
              <w:top w:w="15" w:type="dxa"/>
              <w:left w:w="85" w:type="dxa"/>
              <w:bottom w:w="0" w:type="dxa"/>
              <w:right w:w="57" w:type="dxa"/>
            </w:tcMar>
            <w:hideMark/>
          </w:tcPr>
          <w:p w14:paraId="2CC83FA4" w14:textId="77777777" w:rsidR="00447423" w:rsidRPr="002A3CBE" w:rsidRDefault="00447423" w:rsidP="00F16E23">
            <w:pPr>
              <w:pStyle w:val="TableText"/>
              <w:spacing w:before="40" w:after="0"/>
            </w:pPr>
            <w:r w:rsidRPr="002A3CBE">
              <w:t>4.D.1/4(V) </w:t>
            </w:r>
          </w:p>
        </w:tc>
        <w:tc>
          <w:tcPr>
            <w:tcW w:w="1734" w:type="dxa"/>
            <w:tcBorders>
              <w:top w:val="nil"/>
              <w:bottom w:val="nil"/>
            </w:tcBorders>
            <w:tcMar>
              <w:top w:w="15" w:type="dxa"/>
              <w:left w:w="85" w:type="dxa"/>
              <w:bottom w:w="0" w:type="dxa"/>
              <w:right w:w="57" w:type="dxa"/>
            </w:tcMar>
            <w:hideMark/>
          </w:tcPr>
          <w:p w14:paraId="193E4F12" w14:textId="77777777" w:rsidR="00447423" w:rsidRPr="002A3CBE" w:rsidRDefault="00447423" w:rsidP="00F16E23">
            <w:pPr>
              <w:pStyle w:val="TableText"/>
              <w:spacing w:before="40" w:after="0"/>
            </w:pPr>
            <w:r w:rsidRPr="002A3CBE">
              <w:t>Controlled burning/ Wetlands remaining wetlands </w:t>
            </w:r>
          </w:p>
        </w:tc>
        <w:tc>
          <w:tcPr>
            <w:tcW w:w="1673" w:type="dxa"/>
            <w:tcBorders>
              <w:top w:val="nil"/>
              <w:bottom w:val="nil"/>
            </w:tcBorders>
            <w:tcMar>
              <w:top w:w="15" w:type="dxa"/>
              <w:left w:w="85" w:type="dxa"/>
              <w:bottom w:w="0" w:type="dxa"/>
              <w:right w:w="57" w:type="dxa"/>
            </w:tcMar>
            <w:hideMark/>
          </w:tcPr>
          <w:p w14:paraId="066C2CE0" w14:textId="77777777" w:rsidR="00447423" w:rsidRPr="002A3CBE" w:rsidRDefault="00447423" w:rsidP="00F16E23">
            <w:pPr>
              <w:pStyle w:val="TableText"/>
              <w:spacing w:before="40" w:after="0"/>
            </w:pPr>
            <w:r w:rsidRPr="002A3CBE">
              <w:t>Wetlands remaining wetlands </w:t>
            </w:r>
          </w:p>
        </w:tc>
        <w:tc>
          <w:tcPr>
            <w:tcW w:w="4110" w:type="dxa"/>
            <w:vMerge/>
            <w:tcBorders>
              <w:top w:val="nil"/>
            </w:tcBorders>
            <w:tcMar>
              <w:left w:w="85" w:type="dxa"/>
              <w:right w:w="57" w:type="dxa"/>
            </w:tcMar>
            <w:hideMark/>
          </w:tcPr>
          <w:p w14:paraId="7F023DDA" w14:textId="77777777" w:rsidR="00447423" w:rsidRPr="002A3CBE" w:rsidRDefault="00447423" w:rsidP="00F16E23">
            <w:pPr>
              <w:pStyle w:val="TableText"/>
              <w:spacing w:before="40" w:after="0"/>
              <w:rPr>
                <w:rFonts w:eastAsiaTheme="minorHAnsi"/>
              </w:rPr>
            </w:pPr>
          </w:p>
        </w:tc>
      </w:tr>
      <w:tr w:rsidR="00447423" w:rsidRPr="002A3CBE" w14:paraId="23022619" w14:textId="77777777" w:rsidTr="00F16E23">
        <w:tc>
          <w:tcPr>
            <w:tcW w:w="988" w:type="dxa"/>
            <w:tcBorders>
              <w:top w:val="nil"/>
              <w:bottom w:val="single" w:sz="4" w:space="0" w:color="1B556B" w:themeColor="text2"/>
            </w:tcBorders>
            <w:tcMar>
              <w:top w:w="15" w:type="dxa"/>
              <w:left w:w="85" w:type="dxa"/>
              <w:bottom w:w="0" w:type="dxa"/>
              <w:right w:w="57" w:type="dxa"/>
            </w:tcMar>
            <w:hideMark/>
          </w:tcPr>
          <w:p w14:paraId="221FDE90" w14:textId="77777777" w:rsidR="00447423" w:rsidRPr="002A3CBE" w:rsidRDefault="00447423" w:rsidP="00F16E23">
            <w:pPr>
              <w:pStyle w:val="TableText"/>
              <w:spacing w:before="40" w:after="40"/>
            </w:pPr>
            <w:r w:rsidRPr="002A3CBE">
              <w:t> </w:t>
            </w:r>
          </w:p>
        </w:tc>
        <w:tc>
          <w:tcPr>
            <w:tcW w:w="1734" w:type="dxa"/>
            <w:tcBorders>
              <w:top w:val="nil"/>
              <w:bottom w:val="single" w:sz="4" w:space="0" w:color="1B556B" w:themeColor="text2"/>
            </w:tcBorders>
            <w:tcMar>
              <w:top w:w="15" w:type="dxa"/>
              <w:left w:w="85" w:type="dxa"/>
              <w:bottom w:w="0" w:type="dxa"/>
              <w:right w:w="57" w:type="dxa"/>
            </w:tcMar>
            <w:hideMark/>
          </w:tcPr>
          <w:p w14:paraId="3BAA077D" w14:textId="77777777" w:rsidR="00447423" w:rsidRPr="002A3CBE" w:rsidRDefault="00447423" w:rsidP="00F16E23">
            <w:pPr>
              <w:pStyle w:val="TableText"/>
              <w:spacing w:before="40" w:after="40"/>
            </w:pPr>
            <w:r w:rsidRPr="002A3CBE">
              <w:t>Wildfires/Wetlands remaining wetlands </w:t>
            </w:r>
          </w:p>
        </w:tc>
        <w:tc>
          <w:tcPr>
            <w:tcW w:w="1673" w:type="dxa"/>
            <w:tcBorders>
              <w:top w:val="nil"/>
              <w:bottom w:val="single" w:sz="4" w:space="0" w:color="1B556B" w:themeColor="text2"/>
            </w:tcBorders>
            <w:tcMar>
              <w:top w:w="15" w:type="dxa"/>
              <w:left w:w="85" w:type="dxa"/>
              <w:bottom w:w="0" w:type="dxa"/>
              <w:right w:w="57" w:type="dxa"/>
            </w:tcMar>
            <w:hideMark/>
          </w:tcPr>
          <w:p w14:paraId="04EE23B3" w14:textId="77777777" w:rsidR="00447423" w:rsidRPr="002A3CBE" w:rsidRDefault="00447423" w:rsidP="00F16E23">
            <w:pPr>
              <w:pStyle w:val="TableText"/>
              <w:spacing w:before="40" w:after="40"/>
            </w:pPr>
            <w:r w:rsidRPr="002A3CBE">
              <w:t>Wetlands remaining wetlands </w:t>
            </w:r>
          </w:p>
        </w:tc>
        <w:tc>
          <w:tcPr>
            <w:tcW w:w="4110" w:type="dxa"/>
            <w:vMerge/>
            <w:tcBorders>
              <w:bottom w:val="single" w:sz="4" w:space="0" w:color="1B556B" w:themeColor="text2"/>
            </w:tcBorders>
            <w:tcMar>
              <w:left w:w="85" w:type="dxa"/>
              <w:right w:w="57" w:type="dxa"/>
            </w:tcMar>
            <w:hideMark/>
          </w:tcPr>
          <w:p w14:paraId="3EDC42F9" w14:textId="77777777" w:rsidR="00447423" w:rsidRPr="002A3CBE" w:rsidRDefault="00447423" w:rsidP="00F16E23">
            <w:pPr>
              <w:pStyle w:val="TableText"/>
              <w:spacing w:before="40" w:after="40"/>
              <w:rPr>
                <w:rFonts w:eastAsiaTheme="minorHAnsi"/>
              </w:rPr>
            </w:pPr>
          </w:p>
        </w:tc>
      </w:tr>
      <w:tr w:rsidR="00447423" w:rsidRPr="002A3CBE" w14:paraId="1A3DA532" w14:textId="77777777" w:rsidTr="00F16E23">
        <w:tc>
          <w:tcPr>
            <w:tcW w:w="988" w:type="dxa"/>
            <w:tcBorders>
              <w:bottom w:val="nil"/>
            </w:tcBorders>
            <w:tcMar>
              <w:top w:w="15" w:type="dxa"/>
              <w:left w:w="85" w:type="dxa"/>
              <w:bottom w:w="0" w:type="dxa"/>
              <w:right w:w="57" w:type="dxa"/>
            </w:tcMar>
            <w:hideMark/>
          </w:tcPr>
          <w:p w14:paraId="247C462E" w14:textId="77777777" w:rsidR="00447423" w:rsidRPr="002A3CBE" w:rsidRDefault="00447423" w:rsidP="00F16E23">
            <w:pPr>
              <w:pStyle w:val="TableText"/>
              <w:spacing w:before="40" w:after="0"/>
            </w:pPr>
            <w:r w:rsidRPr="002A3CBE">
              <w:t>4.C.2/4(V) </w:t>
            </w:r>
          </w:p>
        </w:tc>
        <w:tc>
          <w:tcPr>
            <w:tcW w:w="1734" w:type="dxa"/>
            <w:tcBorders>
              <w:bottom w:val="nil"/>
            </w:tcBorders>
            <w:tcMar>
              <w:top w:w="15" w:type="dxa"/>
              <w:left w:w="85" w:type="dxa"/>
              <w:bottom w:w="0" w:type="dxa"/>
              <w:right w:w="57" w:type="dxa"/>
            </w:tcMar>
            <w:hideMark/>
          </w:tcPr>
          <w:p w14:paraId="4E9D15EC" w14:textId="77777777" w:rsidR="00447423" w:rsidRPr="002A3CBE" w:rsidRDefault="00447423" w:rsidP="00F16E23">
            <w:pPr>
              <w:pStyle w:val="TableText"/>
              <w:spacing w:before="40" w:after="0"/>
            </w:pPr>
            <w:r w:rsidRPr="002A3CBE">
              <w:t>Controlled burning/ Land converted to grassland </w:t>
            </w:r>
          </w:p>
        </w:tc>
        <w:tc>
          <w:tcPr>
            <w:tcW w:w="1673" w:type="dxa"/>
            <w:tcBorders>
              <w:bottom w:val="nil"/>
            </w:tcBorders>
            <w:tcMar>
              <w:top w:w="15" w:type="dxa"/>
              <w:left w:w="85" w:type="dxa"/>
              <w:bottom w:w="0" w:type="dxa"/>
              <w:right w:w="57" w:type="dxa"/>
            </w:tcMar>
            <w:hideMark/>
          </w:tcPr>
          <w:p w14:paraId="7B5ED5F3" w14:textId="77777777" w:rsidR="00447423" w:rsidRPr="002A3CBE" w:rsidRDefault="00447423" w:rsidP="00F16E23">
            <w:pPr>
              <w:pStyle w:val="TableText"/>
              <w:spacing w:before="40" w:after="0"/>
            </w:pPr>
            <w:r w:rsidRPr="002A3CBE">
              <w:t>Land converted to grassland </w:t>
            </w:r>
          </w:p>
        </w:tc>
        <w:tc>
          <w:tcPr>
            <w:tcW w:w="4110" w:type="dxa"/>
            <w:vMerge w:val="restart"/>
            <w:tcBorders>
              <w:bottom w:val="nil"/>
            </w:tcBorders>
            <w:tcMar>
              <w:top w:w="15" w:type="dxa"/>
              <w:left w:w="85" w:type="dxa"/>
              <w:bottom w:w="0" w:type="dxa"/>
              <w:right w:w="57" w:type="dxa"/>
            </w:tcMar>
            <w:hideMark/>
          </w:tcPr>
          <w:p w14:paraId="0042B59B" w14:textId="77777777" w:rsidR="00447423" w:rsidRPr="002A3CBE" w:rsidRDefault="00447423" w:rsidP="00F16E23">
            <w:pPr>
              <w:pStyle w:val="TableText"/>
              <w:spacing w:before="40" w:after="0"/>
            </w:pPr>
            <w:r w:rsidRPr="002A3CBE">
              <w:t>Carbon dioxide emissions from the controlled burning of land converted to this category are captured by the general carbon stock change calculation that is performed when land is converted to a new land use. </w:t>
            </w:r>
          </w:p>
        </w:tc>
      </w:tr>
      <w:tr w:rsidR="00447423" w:rsidRPr="002A3CBE" w14:paraId="0B499A6B" w14:textId="77777777" w:rsidTr="00F16E23">
        <w:tc>
          <w:tcPr>
            <w:tcW w:w="988" w:type="dxa"/>
            <w:tcBorders>
              <w:top w:val="nil"/>
              <w:bottom w:val="nil"/>
            </w:tcBorders>
            <w:tcMar>
              <w:top w:w="15" w:type="dxa"/>
              <w:left w:w="85" w:type="dxa"/>
              <w:bottom w:w="0" w:type="dxa"/>
              <w:right w:w="57" w:type="dxa"/>
            </w:tcMar>
            <w:hideMark/>
          </w:tcPr>
          <w:p w14:paraId="49F7373F" w14:textId="77777777" w:rsidR="00447423" w:rsidRPr="002A3CBE" w:rsidRDefault="00447423" w:rsidP="00F16E23">
            <w:pPr>
              <w:pStyle w:val="TableText"/>
              <w:spacing w:before="40" w:after="0"/>
            </w:pPr>
            <w:r w:rsidRPr="002A3CBE">
              <w:t>4.D.2/4(V) </w:t>
            </w:r>
          </w:p>
        </w:tc>
        <w:tc>
          <w:tcPr>
            <w:tcW w:w="1734" w:type="dxa"/>
            <w:tcBorders>
              <w:top w:val="nil"/>
              <w:bottom w:val="nil"/>
            </w:tcBorders>
            <w:tcMar>
              <w:top w:w="15" w:type="dxa"/>
              <w:left w:w="85" w:type="dxa"/>
              <w:bottom w:w="0" w:type="dxa"/>
              <w:right w:w="57" w:type="dxa"/>
            </w:tcMar>
            <w:hideMark/>
          </w:tcPr>
          <w:p w14:paraId="2C0F4A0E" w14:textId="77777777" w:rsidR="00447423" w:rsidRPr="002A3CBE" w:rsidRDefault="00447423" w:rsidP="00F16E23">
            <w:pPr>
              <w:pStyle w:val="TableText"/>
              <w:spacing w:before="40" w:after="0"/>
            </w:pPr>
            <w:r w:rsidRPr="002A3CBE">
              <w:t>Controlled burning/ Land converted to wetlands </w:t>
            </w:r>
          </w:p>
        </w:tc>
        <w:tc>
          <w:tcPr>
            <w:tcW w:w="1673" w:type="dxa"/>
            <w:tcBorders>
              <w:top w:val="nil"/>
              <w:bottom w:val="nil"/>
            </w:tcBorders>
            <w:tcMar>
              <w:top w:w="15" w:type="dxa"/>
              <w:left w:w="85" w:type="dxa"/>
              <w:bottom w:w="0" w:type="dxa"/>
              <w:right w:w="57" w:type="dxa"/>
            </w:tcMar>
            <w:hideMark/>
          </w:tcPr>
          <w:p w14:paraId="6198C2CA" w14:textId="77777777" w:rsidR="00447423" w:rsidRPr="002A3CBE" w:rsidRDefault="00447423" w:rsidP="00F16E23">
            <w:pPr>
              <w:pStyle w:val="TableText"/>
              <w:spacing w:before="40" w:after="0"/>
            </w:pPr>
            <w:r w:rsidRPr="002A3CBE">
              <w:t>Land converted to wetlands </w:t>
            </w:r>
          </w:p>
        </w:tc>
        <w:tc>
          <w:tcPr>
            <w:tcW w:w="4110" w:type="dxa"/>
            <w:vMerge/>
            <w:tcBorders>
              <w:top w:val="nil"/>
            </w:tcBorders>
            <w:tcMar>
              <w:left w:w="85" w:type="dxa"/>
              <w:right w:w="57" w:type="dxa"/>
            </w:tcMar>
            <w:hideMark/>
          </w:tcPr>
          <w:p w14:paraId="3C75B911" w14:textId="77777777" w:rsidR="00447423" w:rsidRPr="002A3CBE" w:rsidRDefault="00447423" w:rsidP="00F16E23">
            <w:pPr>
              <w:pStyle w:val="TableText"/>
              <w:spacing w:before="40" w:after="0"/>
              <w:rPr>
                <w:rFonts w:eastAsiaTheme="minorHAnsi"/>
              </w:rPr>
            </w:pPr>
          </w:p>
        </w:tc>
      </w:tr>
      <w:tr w:rsidR="00447423" w:rsidRPr="002A3CBE" w14:paraId="7BDD5074" w14:textId="77777777" w:rsidTr="00F16E23">
        <w:tc>
          <w:tcPr>
            <w:tcW w:w="988" w:type="dxa"/>
            <w:tcBorders>
              <w:top w:val="nil"/>
              <w:bottom w:val="nil"/>
            </w:tcBorders>
            <w:tcMar>
              <w:top w:w="15" w:type="dxa"/>
              <w:left w:w="85" w:type="dxa"/>
              <w:bottom w:w="0" w:type="dxa"/>
              <w:right w:w="57" w:type="dxa"/>
            </w:tcMar>
            <w:hideMark/>
          </w:tcPr>
          <w:p w14:paraId="21B5BB29" w14:textId="77777777" w:rsidR="00447423" w:rsidRPr="002A3CBE" w:rsidRDefault="00447423" w:rsidP="00F16E23">
            <w:pPr>
              <w:pStyle w:val="TableText"/>
              <w:spacing w:before="40" w:after="0"/>
            </w:pPr>
            <w:r w:rsidRPr="002A3CBE">
              <w:t>4.E/4(V) </w:t>
            </w:r>
          </w:p>
        </w:tc>
        <w:tc>
          <w:tcPr>
            <w:tcW w:w="1734" w:type="dxa"/>
            <w:tcBorders>
              <w:top w:val="nil"/>
              <w:bottom w:val="nil"/>
            </w:tcBorders>
            <w:tcMar>
              <w:top w:w="15" w:type="dxa"/>
              <w:left w:w="85" w:type="dxa"/>
              <w:bottom w:w="0" w:type="dxa"/>
              <w:right w:w="57" w:type="dxa"/>
            </w:tcMar>
            <w:hideMark/>
          </w:tcPr>
          <w:p w14:paraId="53D9E7E3" w14:textId="77777777" w:rsidR="00447423" w:rsidRPr="002A3CBE" w:rsidRDefault="00447423" w:rsidP="00F16E23">
            <w:pPr>
              <w:pStyle w:val="TableText"/>
              <w:spacing w:before="40" w:after="0"/>
            </w:pPr>
            <w:r w:rsidRPr="002A3CBE">
              <w:t>Biomass burning/Land converted to settlements </w:t>
            </w:r>
          </w:p>
        </w:tc>
        <w:tc>
          <w:tcPr>
            <w:tcW w:w="1673" w:type="dxa"/>
            <w:tcBorders>
              <w:top w:val="nil"/>
              <w:bottom w:val="nil"/>
            </w:tcBorders>
            <w:tcMar>
              <w:top w:w="15" w:type="dxa"/>
              <w:left w:w="85" w:type="dxa"/>
              <w:bottom w:w="0" w:type="dxa"/>
              <w:right w:w="57" w:type="dxa"/>
            </w:tcMar>
            <w:hideMark/>
          </w:tcPr>
          <w:p w14:paraId="69A1E10E" w14:textId="77777777" w:rsidR="00447423" w:rsidRPr="002A3CBE" w:rsidRDefault="00447423" w:rsidP="00F16E23">
            <w:pPr>
              <w:pStyle w:val="TableText"/>
              <w:spacing w:before="40" w:after="0"/>
            </w:pPr>
            <w:r w:rsidRPr="002A3CBE">
              <w:t>Land converted to settlements </w:t>
            </w:r>
          </w:p>
        </w:tc>
        <w:tc>
          <w:tcPr>
            <w:tcW w:w="4110" w:type="dxa"/>
            <w:vMerge/>
            <w:tcBorders>
              <w:bottom w:val="nil"/>
            </w:tcBorders>
            <w:tcMar>
              <w:left w:w="85" w:type="dxa"/>
              <w:right w:w="57" w:type="dxa"/>
            </w:tcMar>
            <w:hideMark/>
          </w:tcPr>
          <w:p w14:paraId="0243BE04" w14:textId="77777777" w:rsidR="00447423" w:rsidRPr="002A3CBE" w:rsidRDefault="00447423" w:rsidP="00F16E23">
            <w:pPr>
              <w:pStyle w:val="TableText"/>
              <w:spacing w:before="40" w:after="0"/>
              <w:rPr>
                <w:rFonts w:eastAsiaTheme="minorHAnsi"/>
              </w:rPr>
            </w:pPr>
          </w:p>
        </w:tc>
      </w:tr>
      <w:tr w:rsidR="00447423" w:rsidRPr="002A3CBE" w14:paraId="6B887B91" w14:textId="77777777" w:rsidTr="00F16E23">
        <w:tc>
          <w:tcPr>
            <w:tcW w:w="988" w:type="dxa"/>
            <w:tcBorders>
              <w:top w:val="nil"/>
            </w:tcBorders>
            <w:tcMar>
              <w:top w:w="15" w:type="dxa"/>
              <w:left w:w="85" w:type="dxa"/>
              <w:bottom w:w="0" w:type="dxa"/>
              <w:right w:w="57" w:type="dxa"/>
            </w:tcMar>
            <w:hideMark/>
          </w:tcPr>
          <w:p w14:paraId="74646A66" w14:textId="77777777" w:rsidR="00447423" w:rsidRPr="002A3CBE" w:rsidRDefault="00447423" w:rsidP="00F16E23">
            <w:pPr>
              <w:pStyle w:val="TableText"/>
              <w:spacing w:before="40" w:after="40"/>
            </w:pPr>
            <w:r w:rsidRPr="002A3CBE">
              <w:t>4.F/4(V) </w:t>
            </w:r>
          </w:p>
        </w:tc>
        <w:tc>
          <w:tcPr>
            <w:tcW w:w="1734" w:type="dxa"/>
            <w:tcBorders>
              <w:top w:val="nil"/>
            </w:tcBorders>
            <w:tcMar>
              <w:top w:w="15" w:type="dxa"/>
              <w:left w:w="85" w:type="dxa"/>
              <w:bottom w:w="0" w:type="dxa"/>
              <w:right w:w="57" w:type="dxa"/>
            </w:tcMar>
            <w:hideMark/>
          </w:tcPr>
          <w:p w14:paraId="4B52D05A" w14:textId="77777777" w:rsidR="00447423" w:rsidRPr="002A3CBE" w:rsidRDefault="00447423" w:rsidP="00F16E23">
            <w:pPr>
              <w:pStyle w:val="TableText"/>
              <w:spacing w:before="40" w:after="40"/>
            </w:pPr>
            <w:r w:rsidRPr="002A3CBE">
              <w:t>Biomass burning/Land converted to other land </w:t>
            </w:r>
          </w:p>
        </w:tc>
        <w:tc>
          <w:tcPr>
            <w:tcW w:w="1673" w:type="dxa"/>
            <w:tcBorders>
              <w:top w:val="nil"/>
            </w:tcBorders>
            <w:tcMar>
              <w:top w:w="15" w:type="dxa"/>
              <w:left w:w="85" w:type="dxa"/>
              <w:bottom w:w="0" w:type="dxa"/>
              <w:right w:w="57" w:type="dxa"/>
            </w:tcMar>
            <w:hideMark/>
          </w:tcPr>
          <w:p w14:paraId="430FEBEE" w14:textId="77777777" w:rsidR="00447423" w:rsidRPr="002A3CBE" w:rsidRDefault="00447423" w:rsidP="00F16E23">
            <w:pPr>
              <w:pStyle w:val="TableText"/>
              <w:spacing w:before="40" w:after="40"/>
            </w:pPr>
            <w:r w:rsidRPr="002A3CBE">
              <w:t>Land converted to other land </w:t>
            </w:r>
          </w:p>
        </w:tc>
        <w:tc>
          <w:tcPr>
            <w:tcW w:w="4110" w:type="dxa"/>
            <w:vMerge/>
            <w:tcBorders>
              <w:top w:val="nil"/>
            </w:tcBorders>
            <w:tcMar>
              <w:left w:w="85" w:type="dxa"/>
              <w:right w:w="57" w:type="dxa"/>
            </w:tcMar>
            <w:hideMark/>
          </w:tcPr>
          <w:p w14:paraId="54DADE21" w14:textId="77777777" w:rsidR="00447423" w:rsidRPr="002A3CBE" w:rsidRDefault="00447423" w:rsidP="00F16E23">
            <w:pPr>
              <w:pStyle w:val="TableText"/>
              <w:spacing w:before="40" w:after="40"/>
              <w:rPr>
                <w:rFonts w:eastAsiaTheme="minorHAnsi"/>
              </w:rPr>
            </w:pPr>
          </w:p>
        </w:tc>
      </w:tr>
      <w:tr w:rsidR="00447423" w:rsidRPr="002A3CBE" w14:paraId="02916A27" w14:textId="77777777" w:rsidTr="00F16E23">
        <w:tc>
          <w:tcPr>
            <w:tcW w:w="988" w:type="dxa"/>
            <w:tcMar>
              <w:top w:w="15" w:type="dxa"/>
              <w:left w:w="85" w:type="dxa"/>
              <w:bottom w:w="0" w:type="dxa"/>
              <w:right w:w="57" w:type="dxa"/>
            </w:tcMar>
            <w:hideMark/>
          </w:tcPr>
          <w:p w14:paraId="6DF952DF" w14:textId="77777777" w:rsidR="00447423" w:rsidRPr="002A3CBE" w:rsidRDefault="00447423" w:rsidP="00F16E23">
            <w:pPr>
              <w:pStyle w:val="TableText"/>
              <w:spacing w:before="40" w:after="40"/>
            </w:pPr>
            <w:r w:rsidRPr="002A3CBE">
              <w:t>4.D.2.2 </w:t>
            </w:r>
          </w:p>
        </w:tc>
        <w:tc>
          <w:tcPr>
            <w:tcW w:w="1734" w:type="dxa"/>
            <w:tcMar>
              <w:top w:w="15" w:type="dxa"/>
              <w:left w:w="85" w:type="dxa"/>
              <w:bottom w:w="0" w:type="dxa"/>
              <w:right w:w="57" w:type="dxa"/>
            </w:tcMar>
            <w:hideMark/>
          </w:tcPr>
          <w:p w14:paraId="10ED361E" w14:textId="77777777" w:rsidR="00447423" w:rsidRPr="002A3CBE" w:rsidRDefault="00447423" w:rsidP="00F16E23">
            <w:pPr>
              <w:pStyle w:val="TableText"/>
              <w:spacing w:before="40" w:after="40"/>
            </w:pPr>
            <w:r w:rsidRPr="002A3CBE">
              <w:t>Land converted to flooded land </w:t>
            </w:r>
          </w:p>
        </w:tc>
        <w:tc>
          <w:tcPr>
            <w:tcW w:w="1673" w:type="dxa"/>
            <w:tcMar>
              <w:top w:w="15" w:type="dxa"/>
              <w:left w:w="85" w:type="dxa"/>
              <w:bottom w:w="0" w:type="dxa"/>
              <w:right w:w="57" w:type="dxa"/>
            </w:tcMar>
            <w:hideMark/>
          </w:tcPr>
          <w:p w14:paraId="7741CF2C" w14:textId="77777777" w:rsidR="00447423" w:rsidRPr="002A3CBE" w:rsidRDefault="00447423" w:rsidP="00F16E23">
            <w:pPr>
              <w:pStyle w:val="TableText"/>
              <w:spacing w:before="40" w:after="40"/>
            </w:pPr>
            <w:r w:rsidRPr="002A3CBE">
              <w:t>Land converted to open water </w:t>
            </w:r>
          </w:p>
        </w:tc>
        <w:tc>
          <w:tcPr>
            <w:tcW w:w="4110" w:type="dxa"/>
            <w:tcMar>
              <w:top w:w="15" w:type="dxa"/>
              <w:left w:w="85" w:type="dxa"/>
              <w:bottom w:w="0" w:type="dxa"/>
              <w:right w:w="57" w:type="dxa"/>
            </w:tcMar>
            <w:hideMark/>
          </w:tcPr>
          <w:p w14:paraId="32B5C69E" w14:textId="77777777" w:rsidR="00447423" w:rsidRPr="002A3CBE" w:rsidRDefault="00447423" w:rsidP="00F16E23">
            <w:pPr>
              <w:pStyle w:val="TableText"/>
              <w:spacing w:before="40" w:after="40"/>
            </w:pPr>
            <w:r w:rsidRPr="002A3CBE">
              <w:t xml:space="preserve">New Zealand has not yet identified what area of land converted to open water meets the definition of </w:t>
            </w:r>
            <w:r w:rsidRPr="002A3CBE">
              <w:rPr>
                <w:i/>
                <w:iCs/>
              </w:rPr>
              <w:t>Land converted to flooded land</w:t>
            </w:r>
            <w:r w:rsidRPr="002A3CBE">
              <w:t xml:space="preserve">. Emissions associated with the loss of biomass with land conversion to flooded land will be captured under </w:t>
            </w:r>
            <w:r w:rsidRPr="002A3CBE">
              <w:rPr>
                <w:i/>
                <w:iCs/>
              </w:rPr>
              <w:t>Land converted to open water</w:t>
            </w:r>
            <w:r w:rsidRPr="002A3CBE">
              <w:t>. </w:t>
            </w:r>
          </w:p>
        </w:tc>
      </w:tr>
    </w:tbl>
    <w:p w14:paraId="1FA209F9" w14:textId="77777777" w:rsidR="00447423" w:rsidRPr="002A3CBE" w:rsidRDefault="00447423" w:rsidP="00447423">
      <w:pPr>
        <w:pStyle w:val="Heading2"/>
        <w:spacing w:before="400"/>
      </w:pPr>
      <w:bookmarkStart w:id="1768" w:name="_Toc361645361"/>
      <w:bookmarkStart w:id="1769" w:name="_Toc391024698"/>
      <w:bookmarkStart w:id="1770" w:name="_Toc414531315"/>
      <w:bookmarkStart w:id="1771" w:name="_Toc474335457"/>
      <w:bookmarkStart w:id="1772" w:name="_Toc481751397"/>
      <w:bookmarkStart w:id="1773" w:name="_Toc522013949"/>
      <w:bookmarkStart w:id="1774" w:name="_Toc5269374"/>
      <w:bookmarkStart w:id="1775" w:name="_Toc36224414"/>
      <w:bookmarkStart w:id="1776" w:name="_Toc131591249"/>
      <w:bookmarkStart w:id="1777" w:name="_Toc158980295"/>
      <w:bookmarkStart w:id="1778" w:name="_Toc164154203"/>
      <w:bookmarkStart w:id="1779" w:name="_Toc194312028"/>
      <w:bookmarkStart w:id="1780" w:name="_Toc226460782"/>
      <w:r w:rsidRPr="002A3CBE">
        <w:t>6.2</w:t>
      </w:r>
      <w:r w:rsidRPr="002A3CBE">
        <w:tab/>
      </w:r>
      <w:r w:rsidRPr="002A3CBE">
        <w:rPr>
          <w:shd w:val="clear" w:color="auto" w:fill="FFFFFF"/>
        </w:rPr>
        <w:t>Land use definitions and the land representation approach(es) used and their correspondence to the LULUCF categories</w:t>
      </w:r>
      <w:bookmarkEnd w:id="1768"/>
      <w:bookmarkEnd w:id="1769"/>
      <w:bookmarkEnd w:id="1770"/>
      <w:bookmarkEnd w:id="1771"/>
      <w:bookmarkEnd w:id="1772"/>
      <w:bookmarkEnd w:id="1773"/>
      <w:bookmarkEnd w:id="1774"/>
      <w:bookmarkEnd w:id="1775"/>
      <w:bookmarkEnd w:id="1776"/>
      <w:bookmarkEnd w:id="1777"/>
      <w:bookmarkEnd w:id="1778"/>
      <w:bookmarkEnd w:id="1779"/>
      <w:bookmarkEnd w:id="1780"/>
    </w:p>
    <w:p w14:paraId="26656AF4" w14:textId="77777777" w:rsidR="00447423" w:rsidRPr="002A3CBE" w:rsidRDefault="00447423" w:rsidP="00447423">
      <w:pPr>
        <w:pStyle w:val="Heading3"/>
        <w:spacing w:before="240"/>
      </w:pPr>
      <w:r w:rsidRPr="002A3CBE">
        <w:t>6.2.1</w:t>
      </w:r>
      <w:r w:rsidRPr="002A3CBE">
        <w:tab/>
        <w:t>Land use category definitions</w:t>
      </w:r>
    </w:p>
    <w:p w14:paraId="1BC4E6CA" w14:textId="77777777" w:rsidR="00447423" w:rsidRPr="002A3CBE" w:rsidRDefault="00447423" w:rsidP="00447423">
      <w:pPr>
        <w:pStyle w:val="BodyText"/>
      </w:pPr>
      <w:r w:rsidRPr="002A3CBE">
        <w:t>New Zealand has subdivided the IPCC land use categories into 13 land use classes for reporting, as shown in table 6.2.1.</w:t>
      </w:r>
    </w:p>
    <w:p w14:paraId="6BD6862F" w14:textId="77777777" w:rsidR="00447423" w:rsidRPr="002A3CBE" w:rsidRDefault="00447423" w:rsidP="00447423">
      <w:pPr>
        <w:pStyle w:val="Table"/>
      </w:pPr>
      <w:bookmarkStart w:id="1781" w:name="_Toc158979946"/>
      <w:bookmarkStart w:id="1782" w:name="_Toc164153879"/>
      <w:bookmarkStart w:id="1783" w:name="_Toc190873113"/>
      <w:bookmarkStart w:id="1784" w:name="_Toc194241752"/>
      <w:bookmarkStart w:id="1785" w:name="_Toc222837903"/>
      <w:bookmarkStart w:id="1786" w:name="_Toc226669049"/>
      <w:r w:rsidRPr="002A3CBE">
        <w:t>Table 6.2.1</w:t>
      </w:r>
      <w:r w:rsidRPr="002A3CBE">
        <w:tab/>
        <w:t>New Zealand’s land use categories and land uses</w:t>
      </w:r>
      <w:bookmarkEnd w:id="1781"/>
      <w:bookmarkEnd w:id="1782"/>
      <w:bookmarkEnd w:id="1783"/>
      <w:bookmarkEnd w:id="1784"/>
      <w:bookmarkEnd w:id="1785"/>
      <w:bookmarkEnd w:id="1786"/>
    </w:p>
    <w:tbl>
      <w:tblPr>
        <w:tblW w:w="8505" w:type="dxa"/>
        <w:tblBorders>
          <w:bottom w:val="single" w:sz="8" w:space="0" w:color="365F91"/>
        </w:tblBorders>
        <w:tblLook w:val="04A0" w:firstRow="1" w:lastRow="0" w:firstColumn="1" w:lastColumn="0" w:noHBand="0" w:noVBand="1"/>
      </w:tblPr>
      <w:tblGrid>
        <w:gridCol w:w="3114"/>
        <w:gridCol w:w="5391"/>
      </w:tblGrid>
      <w:tr w:rsidR="00447423" w:rsidRPr="002A3CBE" w14:paraId="6461CBF1" w14:textId="77777777" w:rsidTr="00D813AD">
        <w:trPr>
          <w:tblHeader/>
        </w:trPr>
        <w:tc>
          <w:tcPr>
            <w:tcW w:w="2427" w:type="dxa"/>
            <w:tcBorders>
              <w:top w:val="single" w:sz="4" w:space="0" w:color="1B556B" w:themeColor="text2"/>
              <w:bottom w:val="single" w:sz="4" w:space="0" w:color="1B556B" w:themeColor="text2"/>
              <w:right w:val="nil"/>
            </w:tcBorders>
            <w:shd w:val="clear" w:color="auto" w:fill="1B556B" w:themeFill="text2"/>
          </w:tcPr>
          <w:p w14:paraId="1FE698C3" w14:textId="77777777" w:rsidR="00447423" w:rsidRPr="002A3CBE" w:rsidRDefault="00447423" w:rsidP="00F16E23">
            <w:pPr>
              <w:pStyle w:val="TableTextBold"/>
              <w:keepNext/>
              <w:spacing w:before="40" w:after="30"/>
              <w:rPr>
                <w:rFonts w:eastAsia="Arial Bold"/>
                <w:noProof w:val="0"/>
                <w:color w:val="FFFFFF"/>
              </w:rPr>
            </w:pPr>
            <w:r w:rsidRPr="002A3CBE">
              <w:rPr>
                <w:rFonts w:eastAsia="Arial Bold"/>
                <w:noProof w:val="0"/>
                <w:color w:val="FFFFFF"/>
              </w:rPr>
              <w:t xml:space="preserve">IPCC category </w:t>
            </w:r>
          </w:p>
        </w:tc>
        <w:tc>
          <w:tcPr>
            <w:tcW w:w="4202" w:type="dxa"/>
            <w:tcBorders>
              <w:top w:val="single" w:sz="4" w:space="0" w:color="1B556B" w:themeColor="text2"/>
              <w:bottom w:val="single" w:sz="4" w:space="0" w:color="1B556B" w:themeColor="text2"/>
            </w:tcBorders>
            <w:shd w:val="clear" w:color="auto" w:fill="1B556B" w:themeFill="text2"/>
          </w:tcPr>
          <w:p w14:paraId="6C7F22AA" w14:textId="77777777" w:rsidR="00447423" w:rsidRPr="002A3CBE" w:rsidRDefault="00447423" w:rsidP="00F16E23">
            <w:pPr>
              <w:pStyle w:val="TableTextBold"/>
              <w:spacing w:before="40" w:after="30"/>
              <w:rPr>
                <w:rFonts w:eastAsia="Arial Bold"/>
                <w:noProof w:val="0"/>
                <w:color w:val="FFFFFF"/>
              </w:rPr>
            </w:pPr>
            <w:r w:rsidRPr="002A3CBE">
              <w:rPr>
                <w:rFonts w:eastAsia="Arial Bold"/>
                <w:noProof w:val="0"/>
                <w:color w:val="FFFFFF"/>
              </w:rPr>
              <w:t xml:space="preserve">New Zealand land use </w:t>
            </w:r>
          </w:p>
        </w:tc>
      </w:tr>
      <w:tr w:rsidR="00447423" w:rsidRPr="002A3CBE" w14:paraId="148B09B6" w14:textId="77777777" w:rsidTr="00F16E23">
        <w:tc>
          <w:tcPr>
            <w:tcW w:w="2427" w:type="dxa"/>
            <w:tcBorders>
              <w:top w:val="single" w:sz="4" w:space="0" w:color="1B556B" w:themeColor="text2"/>
              <w:bottom w:val="nil"/>
              <w:right w:val="nil"/>
            </w:tcBorders>
          </w:tcPr>
          <w:p w14:paraId="16D9C3E1" w14:textId="77777777" w:rsidR="00447423" w:rsidRPr="002A3CBE" w:rsidRDefault="00447423" w:rsidP="00F16E23">
            <w:pPr>
              <w:pStyle w:val="TableText"/>
              <w:spacing w:before="30" w:after="30"/>
              <w:rPr>
                <w:rFonts w:eastAsia="Arial Bold"/>
              </w:rPr>
            </w:pPr>
            <w:r w:rsidRPr="002A3CBE">
              <w:rPr>
                <w:rFonts w:eastAsia="Arial Bold"/>
              </w:rPr>
              <w:t xml:space="preserve">Forest land </w:t>
            </w:r>
          </w:p>
        </w:tc>
        <w:tc>
          <w:tcPr>
            <w:tcW w:w="4202" w:type="dxa"/>
            <w:tcBorders>
              <w:top w:val="single" w:sz="4" w:space="0" w:color="1B556B" w:themeColor="text2"/>
              <w:bottom w:val="single" w:sz="4" w:space="0" w:color="1B556B" w:themeColor="text2"/>
            </w:tcBorders>
          </w:tcPr>
          <w:p w14:paraId="3B3C54B9" w14:textId="77777777" w:rsidR="00447423" w:rsidRPr="002A3CBE" w:rsidRDefault="00447423" w:rsidP="00F16E23">
            <w:pPr>
              <w:pStyle w:val="TableText"/>
              <w:spacing w:before="30" w:after="30"/>
              <w:rPr>
                <w:rFonts w:eastAsia="Arial Bold"/>
              </w:rPr>
            </w:pPr>
            <w:r w:rsidRPr="002A3CBE">
              <w:rPr>
                <w:rFonts w:eastAsia="Arial Bold"/>
              </w:rPr>
              <w:t xml:space="preserve">Pre-1990 natural </w:t>
            </w:r>
          </w:p>
        </w:tc>
      </w:tr>
      <w:tr w:rsidR="00447423" w:rsidRPr="002A3CBE" w14:paraId="2ABA4ABE" w14:textId="77777777" w:rsidTr="00F16E23">
        <w:tc>
          <w:tcPr>
            <w:tcW w:w="2427" w:type="dxa"/>
            <w:tcBorders>
              <w:top w:val="nil"/>
              <w:bottom w:val="nil"/>
              <w:right w:val="nil"/>
            </w:tcBorders>
          </w:tcPr>
          <w:p w14:paraId="3500500D" w14:textId="77777777" w:rsidR="00447423" w:rsidRPr="002A3CBE" w:rsidRDefault="00447423" w:rsidP="00F16E23">
            <w:pPr>
              <w:pStyle w:val="TableText"/>
              <w:spacing w:before="30" w:after="30"/>
              <w:rPr>
                <w:rFonts w:eastAsia="Arial Bold"/>
              </w:rPr>
            </w:pPr>
          </w:p>
        </w:tc>
        <w:tc>
          <w:tcPr>
            <w:tcW w:w="4202" w:type="dxa"/>
            <w:tcBorders>
              <w:top w:val="single" w:sz="4" w:space="0" w:color="1B556B" w:themeColor="text2"/>
              <w:bottom w:val="single" w:sz="4" w:space="0" w:color="1B556B" w:themeColor="text2"/>
            </w:tcBorders>
          </w:tcPr>
          <w:p w14:paraId="680BE0C1" w14:textId="77777777" w:rsidR="00447423" w:rsidRPr="002A3CBE" w:rsidRDefault="00447423" w:rsidP="00F16E23">
            <w:pPr>
              <w:pStyle w:val="TableText"/>
              <w:spacing w:before="30" w:after="30"/>
              <w:rPr>
                <w:rFonts w:eastAsia="Arial Bold"/>
              </w:rPr>
            </w:pPr>
            <w:r w:rsidRPr="002A3CBE">
              <w:rPr>
                <w:rFonts w:eastAsia="Arial Bold"/>
              </w:rPr>
              <w:t xml:space="preserve">Pre-1990 planted </w:t>
            </w:r>
          </w:p>
        </w:tc>
      </w:tr>
      <w:tr w:rsidR="00447423" w:rsidRPr="002A3CBE" w14:paraId="24F06CED" w14:textId="77777777" w:rsidTr="00F16E23">
        <w:tc>
          <w:tcPr>
            <w:tcW w:w="2427" w:type="dxa"/>
            <w:tcBorders>
              <w:bottom w:val="nil"/>
              <w:right w:val="nil"/>
            </w:tcBorders>
          </w:tcPr>
          <w:p w14:paraId="47D233D0" w14:textId="77777777" w:rsidR="00447423" w:rsidRPr="002A3CBE" w:rsidRDefault="00447423" w:rsidP="00F16E23">
            <w:pPr>
              <w:pStyle w:val="TableText"/>
              <w:spacing w:before="30" w:after="30"/>
              <w:rPr>
                <w:rFonts w:eastAsia="Arial Bold"/>
              </w:rPr>
            </w:pPr>
          </w:p>
        </w:tc>
        <w:tc>
          <w:tcPr>
            <w:tcW w:w="4202" w:type="dxa"/>
            <w:tcBorders>
              <w:top w:val="single" w:sz="4" w:space="0" w:color="1B556B" w:themeColor="text2"/>
              <w:bottom w:val="single" w:sz="4" w:space="0" w:color="1B556B" w:themeColor="text2"/>
            </w:tcBorders>
          </w:tcPr>
          <w:p w14:paraId="661A95C4" w14:textId="77777777" w:rsidR="00447423" w:rsidRPr="002A3CBE" w:rsidRDefault="00447423" w:rsidP="00F16E23">
            <w:pPr>
              <w:pStyle w:val="TableText"/>
              <w:spacing w:before="30" w:after="30"/>
              <w:rPr>
                <w:rFonts w:eastAsia="Arial Bold"/>
              </w:rPr>
            </w:pPr>
            <w:r w:rsidRPr="002A3CBE">
              <w:rPr>
                <w:rFonts w:eastAsia="Arial Bold"/>
              </w:rPr>
              <w:t>Post-1989 natural</w:t>
            </w:r>
            <w:r w:rsidRPr="002A3CBE">
              <w:rPr>
                <w:rFonts w:eastAsia="Arial Bold"/>
                <w:vertAlign w:val="superscript"/>
              </w:rPr>
              <w:t>1</w:t>
            </w:r>
          </w:p>
        </w:tc>
      </w:tr>
      <w:tr w:rsidR="00447423" w:rsidRPr="002A3CBE" w14:paraId="4F6788E9" w14:textId="77777777" w:rsidTr="00D813AD">
        <w:tc>
          <w:tcPr>
            <w:tcW w:w="2427" w:type="dxa"/>
            <w:tcBorders>
              <w:bottom w:val="single" w:sz="4" w:space="0" w:color="1B556B" w:themeColor="text2"/>
              <w:right w:val="nil"/>
            </w:tcBorders>
          </w:tcPr>
          <w:p w14:paraId="368F8914" w14:textId="77777777" w:rsidR="00447423" w:rsidRPr="002A3CBE" w:rsidRDefault="00447423" w:rsidP="00F16E23">
            <w:pPr>
              <w:pStyle w:val="TableText"/>
              <w:spacing w:before="30" w:after="30"/>
              <w:rPr>
                <w:rFonts w:eastAsia="Arial Bold"/>
              </w:rPr>
            </w:pPr>
          </w:p>
        </w:tc>
        <w:tc>
          <w:tcPr>
            <w:tcW w:w="4202" w:type="dxa"/>
            <w:tcBorders>
              <w:top w:val="single" w:sz="4" w:space="0" w:color="1B556B" w:themeColor="text2"/>
              <w:bottom w:val="single" w:sz="4" w:space="0" w:color="1B556B" w:themeColor="text2"/>
            </w:tcBorders>
          </w:tcPr>
          <w:p w14:paraId="3B8A9AF5" w14:textId="77777777" w:rsidR="00447423" w:rsidRPr="002A3CBE" w:rsidRDefault="00447423" w:rsidP="00F16E23">
            <w:pPr>
              <w:pStyle w:val="TableText"/>
              <w:spacing w:before="30" w:after="30"/>
              <w:rPr>
                <w:rFonts w:eastAsia="Arial Bold"/>
              </w:rPr>
            </w:pPr>
            <w:r w:rsidRPr="002A3CBE">
              <w:rPr>
                <w:rFonts w:eastAsia="Arial Bold"/>
              </w:rPr>
              <w:t>Post-1989 planted</w:t>
            </w:r>
            <w:r w:rsidRPr="002A3CBE">
              <w:rPr>
                <w:rFonts w:eastAsia="Arial Bold"/>
                <w:vertAlign w:val="superscript"/>
              </w:rPr>
              <w:t>1</w:t>
            </w:r>
          </w:p>
        </w:tc>
      </w:tr>
      <w:tr w:rsidR="00447423" w:rsidRPr="002A3CBE" w14:paraId="4498EA3E" w14:textId="77777777" w:rsidTr="00D813AD">
        <w:tc>
          <w:tcPr>
            <w:tcW w:w="2427" w:type="dxa"/>
            <w:tcBorders>
              <w:top w:val="single" w:sz="4" w:space="0" w:color="1B556B" w:themeColor="text2"/>
              <w:bottom w:val="nil"/>
              <w:right w:val="nil"/>
            </w:tcBorders>
          </w:tcPr>
          <w:p w14:paraId="51FC3FAA" w14:textId="77777777" w:rsidR="00447423" w:rsidRPr="002A3CBE" w:rsidRDefault="00447423" w:rsidP="00F16E23">
            <w:pPr>
              <w:pStyle w:val="TableText"/>
              <w:spacing w:before="30" w:after="30"/>
              <w:rPr>
                <w:rFonts w:eastAsia="Arial Bold"/>
              </w:rPr>
            </w:pPr>
            <w:r w:rsidRPr="002A3CBE">
              <w:rPr>
                <w:rFonts w:eastAsia="Arial Bold"/>
              </w:rPr>
              <w:t xml:space="preserve">Cropland </w:t>
            </w:r>
          </w:p>
        </w:tc>
        <w:tc>
          <w:tcPr>
            <w:tcW w:w="4202" w:type="dxa"/>
            <w:tcBorders>
              <w:top w:val="single" w:sz="4" w:space="0" w:color="1B556B" w:themeColor="text2"/>
              <w:bottom w:val="nil"/>
            </w:tcBorders>
          </w:tcPr>
          <w:p w14:paraId="5523419C" w14:textId="77777777" w:rsidR="00447423" w:rsidRPr="002A3CBE" w:rsidRDefault="00447423" w:rsidP="00F16E23">
            <w:pPr>
              <w:pStyle w:val="TableText"/>
              <w:spacing w:before="30" w:after="30"/>
              <w:rPr>
                <w:rFonts w:eastAsia="Arial Bold"/>
              </w:rPr>
            </w:pPr>
            <w:r w:rsidRPr="002A3CBE">
              <w:rPr>
                <w:rFonts w:eastAsia="Arial Bold"/>
              </w:rPr>
              <w:t xml:space="preserve">Annual </w:t>
            </w:r>
          </w:p>
        </w:tc>
      </w:tr>
      <w:tr w:rsidR="00447423" w:rsidRPr="002A3CBE" w14:paraId="13071BDA" w14:textId="77777777" w:rsidTr="00087FA0">
        <w:tc>
          <w:tcPr>
            <w:tcW w:w="2427" w:type="dxa"/>
            <w:tcBorders>
              <w:top w:val="nil"/>
              <w:bottom w:val="single" w:sz="4" w:space="0" w:color="1B556B" w:themeColor="text2"/>
              <w:right w:val="nil"/>
            </w:tcBorders>
          </w:tcPr>
          <w:p w14:paraId="395F2DEE" w14:textId="77777777" w:rsidR="00447423" w:rsidRPr="002A3CBE" w:rsidRDefault="00447423" w:rsidP="00F16E23">
            <w:pPr>
              <w:pStyle w:val="TableText"/>
              <w:spacing w:before="30" w:after="30"/>
              <w:rPr>
                <w:rFonts w:eastAsia="Arial Bold"/>
              </w:rPr>
            </w:pPr>
          </w:p>
        </w:tc>
        <w:tc>
          <w:tcPr>
            <w:tcW w:w="4202" w:type="dxa"/>
            <w:tcBorders>
              <w:top w:val="nil"/>
              <w:bottom w:val="single" w:sz="4" w:space="0" w:color="1B556B" w:themeColor="text2"/>
            </w:tcBorders>
          </w:tcPr>
          <w:p w14:paraId="1371E266" w14:textId="77777777" w:rsidR="00447423" w:rsidRPr="002A3CBE" w:rsidRDefault="00447423" w:rsidP="00F16E23">
            <w:pPr>
              <w:pStyle w:val="TableText"/>
              <w:spacing w:before="30" w:after="30"/>
              <w:rPr>
                <w:rFonts w:eastAsia="Arial Bold"/>
              </w:rPr>
            </w:pPr>
            <w:r w:rsidRPr="002A3CBE">
              <w:rPr>
                <w:rFonts w:eastAsia="Arial Bold"/>
              </w:rPr>
              <w:t xml:space="preserve">Perennial </w:t>
            </w:r>
          </w:p>
        </w:tc>
      </w:tr>
      <w:tr w:rsidR="00447423" w:rsidRPr="002A3CBE" w14:paraId="1B2D2AA8" w14:textId="77777777" w:rsidTr="00F16E23">
        <w:tc>
          <w:tcPr>
            <w:tcW w:w="2427" w:type="dxa"/>
            <w:tcBorders>
              <w:top w:val="single" w:sz="4" w:space="0" w:color="1B556B" w:themeColor="text2"/>
              <w:bottom w:val="nil"/>
              <w:right w:val="nil"/>
            </w:tcBorders>
          </w:tcPr>
          <w:p w14:paraId="12C447E6" w14:textId="77777777" w:rsidR="00447423" w:rsidRPr="002A3CBE" w:rsidRDefault="00447423" w:rsidP="00F16E23">
            <w:pPr>
              <w:pStyle w:val="TableText"/>
              <w:spacing w:before="30" w:after="30"/>
              <w:rPr>
                <w:rFonts w:eastAsia="Arial Bold"/>
              </w:rPr>
            </w:pPr>
            <w:r w:rsidRPr="002A3CBE">
              <w:rPr>
                <w:rFonts w:eastAsia="Arial Bold"/>
              </w:rPr>
              <w:t xml:space="preserve">Grassland </w:t>
            </w:r>
          </w:p>
        </w:tc>
        <w:tc>
          <w:tcPr>
            <w:tcW w:w="4202" w:type="dxa"/>
            <w:tcBorders>
              <w:top w:val="single" w:sz="4" w:space="0" w:color="1B556B" w:themeColor="text2"/>
              <w:bottom w:val="single" w:sz="4" w:space="0" w:color="1B556B" w:themeColor="text2"/>
            </w:tcBorders>
          </w:tcPr>
          <w:p w14:paraId="0F0703E5" w14:textId="77777777" w:rsidR="00447423" w:rsidRPr="002A3CBE" w:rsidRDefault="00447423" w:rsidP="00F16E23">
            <w:pPr>
              <w:pStyle w:val="TableText"/>
              <w:spacing w:before="30" w:after="30"/>
              <w:rPr>
                <w:rFonts w:eastAsia="Arial Bold"/>
              </w:rPr>
            </w:pPr>
            <w:r w:rsidRPr="002A3CBE">
              <w:rPr>
                <w:rFonts w:eastAsia="Arial Bold"/>
              </w:rPr>
              <w:t xml:space="preserve">High producing </w:t>
            </w:r>
          </w:p>
        </w:tc>
      </w:tr>
      <w:tr w:rsidR="00447423" w:rsidRPr="002A3CBE" w14:paraId="013C067F" w14:textId="77777777" w:rsidTr="00F16E23">
        <w:tc>
          <w:tcPr>
            <w:tcW w:w="2427" w:type="dxa"/>
            <w:tcBorders>
              <w:bottom w:val="nil"/>
              <w:right w:val="nil"/>
            </w:tcBorders>
          </w:tcPr>
          <w:p w14:paraId="2ECA26EE" w14:textId="77777777" w:rsidR="00447423" w:rsidRPr="002A3CBE" w:rsidRDefault="00447423" w:rsidP="00F16E23">
            <w:pPr>
              <w:pStyle w:val="TableText"/>
              <w:spacing w:before="30" w:after="30"/>
              <w:rPr>
                <w:rFonts w:eastAsia="Arial Bold"/>
              </w:rPr>
            </w:pPr>
          </w:p>
        </w:tc>
        <w:tc>
          <w:tcPr>
            <w:tcW w:w="4202" w:type="dxa"/>
            <w:tcBorders>
              <w:top w:val="single" w:sz="4" w:space="0" w:color="1B556B" w:themeColor="text2"/>
              <w:bottom w:val="single" w:sz="4" w:space="0" w:color="1B556B" w:themeColor="text2"/>
            </w:tcBorders>
          </w:tcPr>
          <w:p w14:paraId="1C443F45" w14:textId="77777777" w:rsidR="00447423" w:rsidRPr="002A3CBE" w:rsidRDefault="00447423" w:rsidP="00F16E23">
            <w:pPr>
              <w:pStyle w:val="TableText"/>
              <w:spacing w:before="30" w:after="30"/>
              <w:rPr>
                <w:rFonts w:eastAsia="Arial Bold"/>
              </w:rPr>
            </w:pPr>
            <w:r w:rsidRPr="002A3CBE">
              <w:rPr>
                <w:rFonts w:eastAsia="Arial Bold"/>
              </w:rPr>
              <w:t xml:space="preserve">Low producing </w:t>
            </w:r>
          </w:p>
        </w:tc>
      </w:tr>
      <w:tr w:rsidR="00447423" w:rsidRPr="002A3CBE" w14:paraId="45C2D660" w14:textId="77777777" w:rsidTr="00F16E23">
        <w:tc>
          <w:tcPr>
            <w:tcW w:w="2427" w:type="dxa"/>
            <w:tcBorders>
              <w:top w:val="nil"/>
              <w:bottom w:val="single" w:sz="4" w:space="0" w:color="1B556B" w:themeColor="text2"/>
              <w:right w:val="nil"/>
            </w:tcBorders>
          </w:tcPr>
          <w:p w14:paraId="76D1F419" w14:textId="77777777" w:rsidR="00447423" w:rsidRPr="002A3CBE" w:rsidRDefault="00447423" w:rsidP="00F16E23">
            <w:pPr>
              <w:pStyle w:val="TableText"/>
              <w:spacing w:before="30" w:after="30"/>
              <w:rPr>
                <w:rFonts w:eastAsia="Arial Bold"/>
              </w:rPr>
            </w:pPr>
          </w:p>
        </w:tc>
        <w:tc>
          <w:tcPr>
            <w:tcW w:w="4202" w:type="dxa"/>
            <w:tcBorders>
              <w:top w:val="single" w:sz="4" w:space="0" w:color="1B556B" w:themeColor="text2"/>
              <w:bottom w:val="single" w:sz="4" w:space="0" w:color="1B556B" w:themeColor="text2"/>
            </w:tcBorders>
          </w:tcPr>
          <w:p w14:paraId="6F8E6B9A" w14:textId="77777777" w:rsidR="00447423" w:rsidRPr="002A3CBE" w:rsidRDefault="00447423" w:rsidP="00F16E23">
            <w:pPr>
              <w:pStyle w:val="TableText"/>
              <w:spacing w:before="30" w:after="30"/>
              <w:rPr>
                <w:rFonts w:eastAsia="Arial Bold"/>
              </w:rPr>
            </w:pPr>
            <w:r w:rsidRPr="002A3CBE">
              <w:rPr>
                <w:rFonts w:eastAsia="Arial Bold"/>
              </w:rPr>
              <w:t>With woody biomass</w:t>
            </w:r>
          </w:p>
        </w:tc>
      </w:tr>
      <w:tr w:rsidR="00447423" w:rsidRPr="002A3CBE" w14:paraId="2D11C75F" w14:textId="77777777" w:rsidTr="00F16E23">
        <w:tc>
          <w:tcPr>
            <w:tcW w:w="2427" w:type="dxa"/>
            <w:tcBorders>
              <w:top w:val="single" w:sz="4" w:space="0" w:color="1B556B" w:themeColor="text2"/>
              <w:bottom w:val="nil"/>
              <w:right w:val="nil"/>
            </w:tcBorders>
          </w:tcPr>
          <w:p w14:paraId="5EA6FC36" w14:textId="77777777" w:rsidR="00447423" w:rsidRPr="002A3CBE" w:rsidRDefault="00447423" w:rsidP="00F16E23">
            <w:pPr>
              <w:pStyle w:val="TableText"/>
              <w:spacing w:before="30" w:after="30"/>
            </w:pPr>
            <w:r w:rsidRPr="002A3CBE">
              <w:t>Wetlands</w:t>
            </w:r>
          </w:p>
        </w:tc>
        <w:tc>
          <w:tcPr>
            <w:tcW w:w="4202" w:type="dxa"/>
            <w:tcBorders>
              <w:top w:val="single" w:sz="4" w:space="0" w:color="1B556B" w:themeColor="text2"/>
              <w:bottom w:val="single" w:sz="4" w:space="0" w:color="1B556B" w:themeColor="text2"/>
            </w:tcBorders>
          </w:tcPr>
          <w:p w14:paraId="47268D91" w14:textId="77777777" w:rsidR="00447423" w:rsidRPr="002A3CBE" w:rsidRDefault="00447423" w:rsidP="00F16E23">
            <w:pPr>
              <w:pStyle w:val="TableText"/>
              <w:keepNext/>
              <w:spacing w:before="30" w:after="30"/>
              <w:rPr>
                <w:rFonts w:eastAsia="Arial Bold"/>
              </w:rPr>
            </w:pPr>
            <w:r w:rsidRPr="002A3CBE">
              <w:rPr>
                <w:rFonts w:eastAsia="Arial Bold"/>
              </w:rPr>
              <w:t xml:space="preserve">Open water </w:t>
            </w:r>
          </w:p>
        </w:tc>
      </w:tr>
      <w:tr w:rsidR="00447423" w:rsidRPr="002A3CBE" w14:paraId="256FAE8E" w14:textId="77777777" w:rsidTr="00F16E23">
        <w:tc>
          <w:tcPr>
            <w:tcW w:w="2427" w:type="dxa"/>
            <w:tcBorders>
              <w:top w:val="nil"/>
              <w:bottom w:val="single" w:sz="4" w:space="0" w:color="1B556B" w:themeColor="text2"/>
              <w:right w:val="nil"/>
            </w:tcBorders>
          </w:tcPr>
          <w:p w14:paraId="1E1A5D3B" w14:textId="77777777" w:rsidR="00447423" w:rsidRPr="002A3CBE" w:rsidRDefault="00447423" w:rsidP="00F16E23">
            <w:pPr>
              <w:pStyle w:val="TableText"/>
              <w:spacing w:before="30" w:after="30"/>
            </w:pPr>
          </w:p>
        </w:tc>
        <w:tc>
          <w:tcPr>
            <w:tcW w:w="4202" w:type="dxa"/>
            <w:tcBorders>
              <w:top w:val="single" w:sz="4" w:space="0" w:color="1B556B" w:themeColor="text2"/>
              <w:bottom w:val="single" w:sz="4" w:space="0" w:color="1B556B" w:themeColor="text2"/>
            </w:tcBorders>
          </w:tcPr>
          <w:p w14:paraId="7477727A" w14:textId="77777777" w:rsidR="00447423" w:rsidRPr="002A3CBE" w:rsidRDefault="00447423" w:rsidP="00F16E23">
            <w:pPr>
              <w:pStyle w:val="TableText"/>
              <w:keepNext/>
              <w:spacing w:before="30" w:after="30"/>
              <w:rPr>
                <w:rFonts w:eastAsia="Arial Bold"/>
              </w:rPr>
            </w:pPr>
            <w:r w:rsidRPr="002A3CBE">
              <w:rPr>
                <w:rFonts w:eastAsia="Arial Bold"/>
              </w:rPr>
              <w:t xml:space="preserve">Vegetated </w:t>
            </w:r>
          </w:p>
        </w:tc>
      </w:tr>
      <w:tr w:rsidR="00447423" w:rsidRPr="002A3CBE" w14:paraId="6F06A140" w14:textId="77777777" w:rsidTr="00F16E23">
        <w:tc>
          <w:tcPr>
            <w:tcW w:w="2427" w:type="dxa"/>
            <w:tcBorders>
              <w:top w:val="single" w:sz="4" w:space="0" w:color="1B556B" w:themeColor="text2"/>
              <w:bottom w:val="single" w:sz="4" w:space="0" w:color="1B556B" w:themeColor="text2"/>
              <w:right w:val="nil"/>
            </w:tcBorders>
          </w:tcPr>
          <w:p w14:paraId="4888375B" w14:textId="77777777" w:rsidR="00447423" w:rsidRPr="002A3CBE" w:rsidRDefault="00447423" w:rsidP="00F16E23">
            <w:pPr>
              <w:pStyle w:val="TableText"/>
              <w:spacing w:before="30" w:after="30"/>
              <w:rPr>
                <w:rFonts w:eastAsia="Arial Bold"/>
              </w:rPr>
            </w:pPr>
            <w:r w:rsidRPr="002A3CBE">
              <w:rPr>
                <w:rFonts w:eastAsia="Arial Bold"/>
              </w:rPr>
              <w:t>Settlements</w:t>
            </w:r>
          </w:p>
        </w:tc>
        <w:tc>
          <w:tcPr>
            <w:tcW w:w="4202" w:type="dxa"/>
            <w:tcBorders>
              <w:top w:val="single" w:sz="4" w:space="0" w:color="1B556B" w:themeColor="text2"/>
              <w:bottom w:val="single" w:sz="4" w:space="0" w:color="1B556B" w:themeColor="text2"/>
            </w:tcBorders>
          </w:tcPr>
          <w:p w14:paraId="2CC0799F" w14:textId="77777777" w:rsidR="00447423" w:rsidRPr="002A3CBE" w:rsidRDefault="00447423" w:rsidP="00F16E23">
            <w:pPr>
              <w:pStyle w:val="TableText"/>
              <w:spacing w:before="30" w:after="30"/>
              <w:rPr>
                <w:rFonts w:eastAsia="Arial Bold"/>
              </w:rPr>
            </w:pPr>
            <w:r w:rsidRPr="002A3CBE">
              <w:rPr>
                <w:rFonts w:eastAsia="Arial Bold"/>
              </w:rPr>
              <w:t>Settlements</w:t>
            </w:r>
          </w:p>
        </w:tc>
      </w:tr>
      <w:tr w:rsidR="00447423" w:rsidRPr="002A3CBE" w14:paraId="31E71509" w14:textId="77777777" w:rsidTr="00F16E23">
        <w:tc>
          <w:tcPr>
            <w:tcW w:w="2427" w:type="dxa"/>
            <w:tcBorders>
              <w:top w:val="single" w:sz="4" w:space="0" w:color="1B556B" w:themeColor="text2"/>
              <w:bottom w:val="single" w:sz="4" w:space="0" w:color="1B556B" w:themeColor="text2"/>
              <w:right w:val="nil"/>
            </w:tcBorders>
          </w:tcPr>
          <w:p w14:paraId="6C6501F1" w14:textId="77777777" w:rsidR="00447423" w:rsidRPr="002A3CBE" w:rsidRDefault="00447423" w:rsidP="00F16E23">
            <w:pPr>
              <w:pStyle w:val="TableText"/>
              <w:spacing w:before="30" w:after="30"/>
              <w:rPr>
                <w:rFonts w:eastAsia="Arial Bold"/>
              </w:rPr>
            </w:pPr>
            <w:r w:rsidRPr="002A3CBE">
              <w:rPr>
                <w:rFonts w:eastAsia="Arial Bold"/>
              </w:rPr>
              <w:t>Other land</w:t>
            </w:r>
          </w:p>
        </w:tc>
        <w:tc>
          <w:tcPr>
            <w:tcW w:w="4202" w:type="dxa"/>
            <w:tcBorders>
              <w:top w:val="single" w:sz="4" w:space="0" w:color="1B556B" w:themeColor="text2"/>
              <w:bottom w:val="single" w:sz="4" w:space="0" w:color="1B556B" w:themeColor="text2"/>
            </w:tcBorders>
          </w:tcPr>
          <w:p w14:paraId="7A0877C1" w14:textId="77777777" w:rsidR="00447423" w:rsidRPr="002A3CBE" w:rsidRDefault="00447423" w:rsidP="00F16E23">
            <w:pPr>
              <w:pStyle w:val="TableText"/>
              <w:spacing w:before="30" w:after="30"/>
              <w:rPr>
                <w:rFonts w:eastAsia="Arial Bold"/>
              </w:rPr>
            </w:pPr>
            <w:r w:rsidRPr="002A3CBE">
              <w:rPr>
                <w:rFonts w:eastAsia="Arial Bold"/>
              </w:rPr>
              <w:t>Other land</w:t>
            </w:r>
          </w:p>
        </w:tc>
      </w:tr>
    </w:tbl>
    <w:p w14:paraId="091EBFBB" w14:textId="77777777" w:rsidR="00447423" w:rsidRPr="002A3CBE" w:rsidRDefault="00447423" w:rsidP="00447423">
      <w:pPr>
        <w:pStyle w:val="BodyText"/>
        <w:spacing w:before="240" w:after="100"/>
      </w:pPr>
      <w:r w:rsidRPr="002A3CBE">
        <w:t>The land uses were chosen for their conformance with the dominant types in New Zealand, while still enabling reporting under the land use categories specified in the 2006 IPCC Guidelines</w:t>
      </w:r>
      <w:r w:rsidRPr="002A3CBE" w:rsidDel="00663F9D">
        <w:t xml:space="preserve"> </w:t>
      </w:r>
      <w:r w:rsidRPr="002A3CBE">
        <w:t xml:space="preserve">(IPCC, 2006a). The division of forest land uses into pre-1990 and post-1989 classes was made to support accounting under the Kyoto Protocol and the Paris Agreement (see volume 2, annex 9, for further information on New Zealand’s approach to LULUCF accounting under the Paris Agreement). </w:t>
      </w:r>
    </w:p>
    <w:p w14:paraId="7BAE2B04" w14:textId="77777777" w:rsidR="00447423" w:rsidRPr="002A3CBE" w:rsidRDefault="00447423" w:rsidP="00447423">
      <w:pPr>
        <w:pStyle w:val="BodyText"/>
        <w:spacing w:before="100" w:after="80"/>
      </w:pPr>
      <w:r w:rsidRPr="002A3CBE">
        <w:t xml:space="preserve">The national thresholds used by New Zealand to define </w:t>
      </w:r>
      <w:r w:rsidRPr="002A3CBE">
        <w:rPr>
          <w:i/>
        </w:rPr>
        <w:t>Forest land</w:t>
      </w:r>
      <w:r w:rsidRPr="002A3CBE">
        <w:t xml:space="preserve"> are: </w:t>
      </w:r>
    </w:p>
    <w:p w14:paraId="63B54099" w14:textId="77777777" w:rsidR="00447423" w:rsidRPr="002A3CBE" w:rsidRDefault="00447423" w:rsidP="00447423">
      <w:pPr>
        <w:pStyle w:val="Bullet"/>
        <w:numPr>
          <w:ilvl w:val="0"/>
          <w:numId w:val="29"/>
        </w:numPr>
        <w:spacing w:after="80"/>
        <w:ind w:left="397" w:hanging="397"/>
      </w:pPr>
      <w:r w:rsidRPr="002A3CBE">
        <w:t>a minimum area of 1 hectare</w:t>
      </w:r>
    </w:p>
    <w:p w14:paraId="3B7C0912" w14:textId="77777777" w:rsidR="00447423" w:rsidRPr="002A3CBE" w:rsidRDefault="00447423" w:rsidP="00447423">
      <w:pPr>
        <w:pStyle w:val="Bullet"/>
        <w:numPr>
          <w:ilvl w:val="0"/>
          <w:numId w:val="29"/>
        </w:numPr>
        <w:spacing w:after="80"/>
        <w:ind w:left="397" w:hanging="397"/>
      </w:pPr>
      <w:r w:rsidRPr="002A3CBE">
        <w:t>a crown cover of at least 30 percent</w:t>
      </w:r>
    </w:p>
    <w:p w14:paraId="2074C910" w14:textId="77777777" w:rsidR="00447423" w:rsidRPr="002A3CBE" w:rsidRDefault="00447423" w:rsidP="00447423">
      <w:pPr>
        <w:pStyle w:val="Bullet"/>
        <w:numPr>
          <w:ilvl w:val="0"/>
          <w:numId w:val="29"/>
        </w:numPr>
        <w:spacing w:after="80"/>
        <w:ind w:left="397" w:hanging="397"/>
      </w:pPr>
      <w:r w:rsidRPr="002A3CBE">
        <w:t xml:space="preserve">a minimum height of 5 metres at maturity </w:t>
      </w:r>
      <w:r w:rsidRPr="002A3CBE">
        <w:rPr>
          <w:i/>
          <w:iCs/>
        </w:rPr>
        <w:t>in situ</w:t>
      </w:r>
      <w:r w:rsidRPr="002A3CBE">
        <w:t xml:space="preserve"> (Ministry for the Environment, 2006)</w:t>
      </w:r>
    </w:p>
    <w:p w14:paraId="3B523644" w14:textId="77777777" w:rsidR="00447423" w:rsidRPr="002A3CBE" w:rsidRDefault="00447423" w:rsidP="00447423">
      <w:pPr>
        <w:pStyle w:val="Bullet"/>
        <w:numPr>
          <w:ilvl w:val="0"/>
          <w:numId w:val="29"/>
        </w:numPr>
        <w:ind w:left="397" w:hanging="397"/>
      </w:pPr>
      <w:r w:rsidRPr="002A3CBE">
        <w:t xml:space="preserve">a minimum forest width of 30 metres from canopy edge to canopy edge. </w:t>
      </w:r>
    </w:p>
    <w:p w14:paraId="5BF8A52B" w14:textId="77777777" w:rsidR="00447423" w:rsidRPr="002A3CBE" w:rsidRDefault="00447423" w:rsidP="00447423">
      <w:pPr>
        <w:pStyle w:val="BodyText"/>
        <w:spacing w:before="100" w:after="100"/>
      </w:pPr>
      <w:r w:rsidRPr="002A3CBE">
        <w:t xml:space="preserve">The definitions of New Zealand’s land uses, as they have been mapped, are provided in table 6.2.2. Further details are included in </w:t>
      </w:r>
      <w:r w:rsidRPr="002A3CBE">
        <w:rPr>
          <w:i/>
        </w:rPr>
        <w:t>Land Use and Carbon Analysis System:</w:t>
      </w:r>
      <w:r w:rsidRPr="002A3CBE">
        <w:t xml:space="preserve"> </w:t>
      </w:r>
      <w:r w:rsidRPr="002A3CBE">
        <w:rPr>
          <w:i/>
        </w:rPr>
        <w:t xml:space="preserve">Satellite imagery interpretation guide for land use classes </w:t>
      </w:r>
      <w:r w:rsidRPr="002A3CBE">
        <w:t>(2nd edition) (Ministry for the Environment, 2012).</w:t>
      </w:r>
    </w:p>
    <w:p w14:paraId="6CE553FC" w14:textId="77777777" w:rsidR="00447423" w:rsidRPr="002A3CBE" w:rsidRDefault="00447423" w:rsidP="00447423">
      <w:pPr>
        <w:pStyle w:val="Table"/>
      </w:pPr>
      <w:bookmarkStart w:id="1787" w:name="_Toc158979947"/>
      <w:bookmarkStart w:id="1788" w:name="_Toc164153880"/>
      <w:bookmarkStart w:id="1789" w:name="_Toc190873114"/>
      <w:bookmarkStart w:id="1790" w:name="_Toc194241753"/>
      <w:bookmarkStart w:id="1791" w:name="_Toc222837904"/>
      <w:bookmarkStart w:id="1792" w:name="_Toc226669050"/>
      <w:r w:rsidRPr="002A3CBE">
        <w:t>Table 6.2.2</w:t>
      </w:r>
      <w:r w:rsidRPr="002A3CBE">
        <w:tab/>
        <w:t>New Zealand’s mapping definitions for each land use</w:t>
      </w:r>
      <w:bookmarkEnd w:id="1787"/>
      <w:bookmarkEnd w:id="1788"/>
      <w:bookmarkEnd w:id="1789"/>
      <w:bookmarkEnd w:id="1790"/>
      <w:bookmarkEnd w:id="1791"/>
      <w:bookmarkEnd w:id="1792"/>
    </w:p>
    <w:tbl>
      <w:tblPr>
        <w:tblW w:w="8505" w:type="dxa"/>
        <w:tblLook w:val="01E0" w:firstRow="1" w:lastRow="1" w:firstColumn="1" w:lastColumn="1" w:noHBand="0" w:noVBand="0"/>
      </w:tblPr>
      <w:tblGrid>
        <w:gridCol w:w="1276"/>
        <w:gridCol w:w="7229"/>
      </w:tblGrid>
      <w:tr w:rsidR="00447423" w:rsidRPr="002A3CBE" w14:paraId="76BFF992" w14:textId="77777777" w:rsidTr="00F16E23">
        <w:trPr>
          <w:tblHeader/>
        </w:trPr>
        <w:tc>
          <w:tcPr>
            <w:tcW w:w="1276" w:type="dxa"/>
            <w:tcBorders>
              <w:top w:val="single" w:sz="4" w:space="0" w:color="1B556B" w:themeColor="text2"/>
              <w:bottom w:val="single" w:sz="4" w:space="0" w:color="1B556B" w:themeColor="text2"/>
            </w:tcBorders>
            <w:shd w:val="clear" w:color="auto" w:fill="1B556B" w:themeFill="text2"/>
          </w:tcPr>
          <w:p w14:paraId="34D3E3EF" w14:textId="77777777" w:rsidR="00447423" w:rsidRPr="002A3CBE" w:rsidRDefault="00447423" w:rsidP="00F16E23">
            <w:pPr>
              <w:pStyle w:val="TableTextBold"/>
              <w:keepNext/>
              <w:rPr>
                <w:noProof w:val="0"/>
                <w:color w:val="FFFFFF"/>
              </w:rPr>
            </w:pPr>
            <w:r w:rsidRPr="002A3CBE">
              <w:rPr>
                <w:noProof w:val="0"/>
                <w:color w:val="FFFFFF"/>
              </w:rPr>
              <w:t>Land use</w:t>
            </w:r>
          </w:p>
        </w:tc>
        <w:tc>
          <w:tcPr>
            <w:tcW w:w="7229" w:type="dxa"/>
            <w:tcBorders>
              <w:top w:val="single" w:sz="4" w:space="0" w:color="1B556B" w:themeColor="text2"/>
              <w:bottom w:val="single" w:sz="4" w:space="0" w:color="1B556B" w:themeColor="text2"/>
            </w:tcBorders>
            <w:shd w:val="clear" w:color="auto" w:fill="1B556B" w:themeFill="text2"/>
            <w:vAlign w:val="bottom"/>
          </w:tcPr>
          <w:p w14:paraId="3FDC0531" w14:textId="77777777" w:rsidR="00447423" w:rsidRPr="002A3CBE" w:rsidRDefault="00447423" w:rsidP="00F16E23">
            <w:pPr>
              <w:pStyle w:val="TableTextBold"/>
              <w:keepNext/>
              <w:rPr>
                <w:noProof w:val="0"/>
                <w:color w:val="FFFFFF"/>
              </w:rPr>
            </w:pPr>
            <w:r w:rsidRPr="002A3CBE">
              <w:rPr>
                <w:noProof w:val="0"/>
                <w:color w:val="FFFFFF"/>
              </w:rPr>
              <w:t>Definition</w:t>
            </w:r>
          </w:p>
        </w:tc>
      </w:tr>
      <w:tr w:rsidR="00447423" w:rsidRPr="002A3CBE" w14:paraId="2649DD86" w14:textId="77777777" w:rsidTr="00F16E23">
        <w:tc>
          <w:tcPr>
            <w:tcW w:w="1276" w:type="dxa"/>
            <w:tcBorders>
              <w:top w:val="single" w:sz="4" w:space="0" w:color="1B556B" w:themeColor="text2"/>
              <w:bottom w:val="single" w:sz="4" w:space="0" w:color="1B556B" w:themeColor="text2"/>
            </w:tcBorders>
          </w:tcPr>
          <w:p w14:paraId="3DD64EE6" w14:textId="77777777" w:rsidR="00447423" w:rsidRPr="002A3CBE" w:rsidRDefault="00447423" w:rsidP="00F16E23">
            <w:pPr>
              <w:pStyle w:val="TableText"/>
              <w:keepNext/>
              <w:rPr>
                <w:b/>
              </w:rPr>
            </w:pPr>
            <w:r w:rsidRPr="002A3CBE">
              <w:rPr>
                <w:b/>
              </w:rPr>
              <w:t xml:space="preserve">Pre-1990 natural forest </w:t>
            </w:r>
          </w:p>
        </w:tc>
        <w:tc>
          <w:tcPr>
            <w:tcW w:w="7229" w:type="dxa"/>
            <w:tcBorders>
              <w:top w:val="single" w:sz="4" w:space="0" w:color="1B556B" w:themeColor="text2"/>
              <w:bottom w:val="single" w:sz="4" w:space="0" w:color="1B556B" w:themeColor="text2"/>
            </w:tcBorders>
          </w:tcPr>
          <w:p w14:paraId="619DA6F1" w14:textId="77777777" w:rsidR="00447423" w:rsidRPr="002A3CBE" w:rsidRDefault="00447423" w:rsidP="00F16E23">
            <w:pPr>
              <w:pStyle w:val="TableText"/>
              <w:keepNext/>
              <w:spacing w:after="40"/>
            </w:pPr>
            <w:r w:rsidRPr="002A3CBE">
              <w:t>Areas that, on 1 January 1990, were and presently include:</w:t>
            </w:r>
          </w:p>
          <w:p w14:paraId="781A6023" w14:textId="77777777" w:rsidR="00447423" w:rsidRPr="002A3CBE" w:rsidRDefault="00447423" w:rsidP="00F16E23">
            <w:pPr>
              <w:pStyle w:val="TableBullet"/>
              <w:keepNext/>
              <w:spacing w:before="0" w:after="20"/>
            </w:pPr>
            <w:r w:rsidRPr="002A3CBE">
              <w:t xml:space="preserve">tall indigenous forest </w:t>
            </w:r>
          </w:p>
          <w:p w14:paraId="26E710D5" w14:textId="77777777" w:rsidR="00447423" w:rsidRPr="002A3CBE" w:rsidRDefault="00447423" w:rsidP="00F16E23">
            <w:pPr>
              <w:pStyle w:val="TableBullet"/>
              <w:keepNext/>
              <w:spacing w:before="0" w:after="20"/>
            </w:pPr>
            <w:r w:rsidRPr="002A3CBE">
              <w:t>self-sown exotic trees, such as wilding pines and grey willows (where managed as forest)</w:t>
            </w:r>
          </w:p>
          <w:p w14:paraId="097D876F" w14:textId="77777777" w:rsidR="00447423" w:rsidRPr="002A3CBE" w:rsidRDefault="00447423" w:rsidP="00F16E23">
            <w:pPr>
              <w:pStyle w:val="TableBullet"/>
              <w:keepNext/>
              <w:spacing w:before="0" w:after="20"/>
            </w:pPr>
            <w:r w:rsidRPr="002A3CBE">
              <w:t>broadleaved hardwood shrubland, k</w:t>
            </w:r>
            <w:r w:rsidRPr="002A3CBE">
              <w:rPr>
                <w:rFonts w:cs="Calibri"/>
              </w:rPr>
              <w:t>ā</w:t>
            </w:r>
            <w:r w:rsidRPr="002A3CBE">
              <w:t>nuka–m</w:t>
            </w:r>
            <w:r w:rsidRPr="002A3CBE">
              <w:rPr>
                <w:rFonts w:cs="Calibri"/>
              </w:rPr>
              <w:t>ā</w:t>
            </w:r>
            <w:r w:rsidRPr="002A3CBE">
              <w:t>nuka (</w:t>
            </w:r>
            <w:r w:rsidRPr="002A3CBE">
              <w:rPr>
                <w:i/>
              </w:rPr>
              <w:t>Leptospermum</w:t>
            </w:r>
            <w:r w:rsidRPr="002A3CBE">
              <w:t xml:space="preserve"> </w:t>
            </w:r>
            <w:r w:rsidRPr="002A3CBE">
              <w:rPr>
                <w:i/>
              </w:rPr>
              <w:t>scoparium</w:t>
            </w:r>
            <w:r w:rsidRPr="002A3CBE">
              <w:t>–</w:t>
            </w:r>
            <w:r w:rsidRPr="002A3CBE">
              <w:rPr>
                <w:i/>
              </w:rPr>
              <w:t>Kunzea</w:t>
            </w:r>
            <w:r w:rsidRPr="002A3CBE">
              <w:t xml:space="preserve"> spp.) shrubland and other woody shrubland (≥30 percent cover, with potential to reach ≥5 metres at maturity </w:t>
            </w:r>
            <w:r w:rsidRPr="002A3CBE">
              <w:rPr>
                <w:i/>
              </w:rPr>
              <w:t>in situ</w:t>
            </w:r>
            <w:r w:rsidRPr="002A3CBE">
              <w:t xml:space="preserve"> under current land management within 30–40 years)</w:t>
            </w:r>
          </w:p>
          <w:p w14:paraId="2FC16ED0" w14:textId="77777777" w:rsidR="00447423" w:rsidRPr="002A3CBE" w:rsidRDefault="00447423" w:rsidP="00F16E23">
            <w:pPr>
              <w:pStyle w:val="TableBullet"/>
              <w:keepNext/>
              <w:spacing w:before="0" w:after="20"/>
            </w:pPr>
            <w:r w:rsidRPr="002A3CBE">
              <w:t xml:space="preserve">areas of bare ground of any size that were previously forested but, due to natural disturbances (e.g., erosion, storms, fire), have temporarily lost vegetation cover </w:t>
            </w:r>
          </w:p>
          <w:p w14:paraId="2AC4F1F6" w14:textId="77777777" w:rsidR="00447423" w:rsidRPr="002A3CBE" w:rsidRDefault="00447423" w:rsidP="00F16E23">
            <w:pPr>
              <w:pStyle w:val="TableBullet"/>
              <w:keepNext/>
              <w:spacing w:before="0" w:after="20"/>
            </w:pPr>
            <w:r w:rsidRPr="002A3CBE">
              <w:t xml:space="preserve">areas that were planted forest at 1990 but are subsequently managed to regenerate with natural species that will meet the forest definition </w:t>
            </w:r>
          </w:p>
          <w:p w14:paraId="60834062" w14:textId="77777777" w:rsidR="00447423" w:rsidRPr="002A3CBE" w:rsidRDefault="00447423" w:rsidP="00F16E23">
            <w:pPr>
              <w:pStyle w:val="TableBullet"/>
              <w:keepNext/>
              <w:spacing w:before="0" w:after="20"/>
            </w:pPr>
            <w:r w:rsidRPr="002A3CBE">
              <w:t>roads and tracks less than 30 metres in width and other temporarily unstocked areas associated with a forest land use.</w:t>
            </w:r>
          </w:p>
        </w:tc>
      </w:tr>
      <w:tr w:rsidR="00447423" w:rsidRPr="002A3CBE" w14:paraId="2A1A6466" w14:textId="77777777" w:rsidTr="00F16E23">
        <w:tc>
          <w:tcPr>
            <w:tcW w:w="1276" w:type="dxa"/>
            <w:tcBorders>
              <w:top w:val="single" w:sz="4" w:space="0" w:color="1B556B" w:themeColor="text2"/>
              <w:bottom w:val="single" w:sz="4" w:space="0" w:color="365F91"/>
            </w:tcBorders>
          </w:tcPr>
          <w:p w14:paraId="7AC4230F" w14:textId="77777777" w:rsidR="00447423" w:rsidRPr="002A3CBE" w:rsidRDefault="00447423" w:rsidP="00F16E23">
            <w:pPr>
              <w:pStyle w:val="TableText"/>
              <w:spacing w:before="40"/>
              <w:rPr>
                <w:b/>
              </w:rPr>
            </w:pPr>
            <w:r w:rsidRPr="002A3CBE">
              <w:rPr>
                <w:b/>
              </w:rPr>
              <w:t>Pre-1990 planted forest</w:t>
            </w:r>
          </w:p>
        </w:tc>
        <w:tc>
          <w:tcPr>
            <w:tcW w:w="7229" w:type="dxa"/>
            <w:tcBorders>
              <w:top w:val="single" w:sz="4" w:space="0" w:color="1B556B" w:themeColor="text2"/>
              <w:bottom w:val="single" w:sz="4" w:space="0" w:color="365F91"/>
            </w:tcBorders>
          </w:tcPr>
          <w:p w14:paraId="5181FE4B" w14:textId="77777777" w:rsidR="00447423" w:rsidRPr="002A3CBE" w:rsidRDefault="00447423" w:rsidP="00F16E23">
            <w:pPr>
              <w:pStyle w:val="TableText"/>
              <w:spacing w:before="40" w:after="20"/>
            </w:pPr>
            <w:r w:rsidRPr="002A3CBE">
              <w:t>Areas that, on 1 January 1990, were and presently include:</w:t>
            </w:r>
          </w:p>
          <w:p w14:paraId="0305693A" w14:textId="77777777" w:rsidR="00447423" w:rsidRPr="002A3CBE" w:rsidRDefault="00447423" w:rsidP="00F16E23">
            <w:pPr>
              <w:pStyle w:val="TableBullet"/>
              <w:spacing w:before="0" w:after="20"/>
            </w:pPr>
            <w:r w:rsidRPr="002A3CBE">
              <w:t>radiata pine (</w:t>
            </w:r>
            <w:r w:rsidRPr="002A3CBE">
              <w:rPr>
                <w:i/>
              </w:rPr>
              <w:t>Pinus radiata</w:t>
            </w:r>
            <w:r w:rsidRPr="002A3CBE">
              <w:t>), Douglas fir (</w:t>
            </w:r>
            <w:r w:rsidRPr="002A3CBE">
              <w:rPr>
                <w:i/>
              </w:rPr>
              <w:t>Pseudotsuga menziesii</w:t>
            </w:r>
            <w:r w:rsidRPr="002A3CBE">
              <w:t>), eucalypts (</w:t>
            </w:r>
            <w:r w:rsidRPr="002A3CBE">
              <w:rPr>
                <w:i/>
              </w:rPr>
              <w:t xml:space="preserve">Eucalyptus </w:t>
            </w:r>
            <w:r w:rsidRPr="002A3CBE">
              <w:t xml:space="preserve">spp.) or other planted species (with potential to reach ≥5 metre height at maturity </w:t>
            </w:r>
            <w:r w:rsidRPr="002A3CBE">
              <w:rPr>
                <w:i/>
              </w:rPr>
              <w:t>in situ</w:t>
            </w:r>
            <w:r w:rsidRPr="002A3CBE">
              <w:t>) established before 1 January 1990 or replanted on land that was forest land as at 31 December 1989</w:t>
            </w:r>
          </w:p>
          <w:p w14:paraId="01A291B8" w14:textId="77777777" w:rsidR="00447423" w:rsidRPr="002A3CBE" w:rsidRDefault="00447423" w:rsidP="00F16E23">
            <w:pPr>
              <w:pStyle w:val="TableBullet"/>
              <w:spacing w:before="0" w:after="20"/>
            </w:pPr>
            <w:r w:rsidRPr="002A3CBE">
              <w:t>exotic forest species that were planted after 31 December 1989 on land that was natural forest</w:t>
            </w:r>
          </w:p>
          <w:p w14:paraId="54BCE370" w14:textId="77777777" w:rsidR="00447423" w:rsidRPr="002A3CBE" w:rsidRDefault="00447423" w:rsidP="00F16E23">
            <w:pPr>
              <w:pStyle w:val="TableBullet"/>
              <w:spacing w:before="0" w:after="20"/>
            </w:pPr>
            <w:r w:rsidRPr="002A3CBE">
              <w:t>riparian or erosion control plantings that meet the forest definition and that were planted before 1 January 1990</w:t>
            </w:r>
          </w:p>
          <w:p w14:paraId="6D6E14DF" w14:textId="77777777" w:rsidR="00447423" w:rsidRPr="002A3CBE" w:rsidRDefault="00447423" w:rsidP="00F16E23">
            <w:pPr>
              <w:pStyle w:val="TableBullet"/>
              <w:spacing w:before="0" w:after="20"/>
            </w:pPr>
            <w:r w:rsidRPr="002A3CBE">
              <w:t>harvested areas within pre-1990 planted forest (assuming these will be replanted, unless deforestation is later detected)</w:t>
            </w:r>
          </w:p>
          <w:p w14:paraId="3323B044" w14:textId="77777777" w:rsidR="00447423" w:rsidRPr="002A3CBE" w:rsidRDefault="00447423" w:rsidP="00F16E23">
            <w:pPr>
              <w:pStyle w:val="TableBullet"/>
              <w:spacing w:before="0" w:after="20"/>
            </w:pPr>
            <w:r w:rsidRPr="002A3CBE">
              <w:t xml:space="preserve">roads, tracks, skid sites and other temporarily unstocked areas less than 30 metres in width associated with a forest land use </w:t>
            </w:r>
          </w:p>
          <w:p w14:paraId="7B2DE0EA" w14:textId="77777777" w:rsidR="00447423" w:rsidRPr="002A3CBE" w:rsidRDefault="00447423" w:rsidP="00F16E23">
            <w:pPr>
              <w:pStyle w:val="TableBullet"/>
              <w:spacing w:before="0" w:after="40"/>
            </w:pPr>
            <w:r w:rsidRPr="002A3CBE">
              <w:t>areas of bare ground of any size that were previously forested at 31 December 1989 but, due to natural disturbances (e.g., erosion, storms, fire), have lost vegetation cover.</w:t>
            </w:r>
          </w:p>
        </w:tc>
      </w:tr>
      <w:tr w:rsidR="00447423" w:rsidRPr="002A3CBE" w14:paraId="07F13909" w14:textId="77777777" w:rsidTr="00F16E23">
        <w:tc>
          <w:tcPr>
            <w:tcW w:w="1276" w:type="dxa"/>
            <w:tcBorders>
              <w:top w:val="single" w:sz="4" w:space="0" w:color="365F91"/>
              <w:bottom w:val="single" w:sz="4" w:space="0" w:color="365F91"/>
            </w:tcBorders>
          </w:tcPr>
          <w:p w14:paraId="518A6C67" w14:textId="77777777" w:rsidR="00447423" w:rsidRPr="002A3CBE" w:rsidRDefault="00447423" w:rsidP="00F16E23">
            <w:pPr>
              <w:pStyle w:val="TableText"/>
              <w:spacing w:before="40"/>
              <w:rPr>
                <w:b/>
              </w:rPr>
            </w:pPr>
            <w:r w:rsidRPr="002A3CBE">
              <w:rPr>
                <w:b/>
              </w:rPr>
              <w:t xml:space="preserve">Post-1989 forest </w:t>
            </w:r>
          </w:p>
        </w:tc>
        <w:tc>
          <w:tcPr>
            <w:tcW w:w="7229" w:type="dxa"/>
            <w:tcBorders>
              <w:top w:val="single" w:sz="4" w:space="0" w:color="365F91"/>
              <w:bottom w:val="single" w:sz="4" w:space="0" w:color="365F91"/>
            </w:tcBorders>
          </w:tcPr>
          <w:p w14:paraId="466D92F8" w14:textId="77777777" w:rsidR="00447423" w:rsidRPr="002A3CBE" w:rsidRDefault="00447423" w:rsidP="00F16E23">
            <w:pPr>
              <w:pStyle w:val="TableText"/>
              <w:spacing w:before="40" w:after="20"/>
            </w:pPr>
            <w:r w:rsidRPr="002A3CBE">
              <w:t>Includes post-1989 planted forest, which consists of:</w:t>
            </w:r>
          </w:p>
          <w:p w14:paraId="74AC0EFB" w14:textId="77777777" w:rsidR="00447423" w:rsidRPr="002A3CBE" w:rsidRDefault="00447423" w:rsidP="00F16E23">
            <w:pPr>
              <w:pStyle w:val="TableBullet"/>
              <w:spacing w:before="0" w:after="20"/>
            </w:pPr>
            <w:r w:rsidRPr="002A3CBE">
              <w:t>exotic forest (with the potential to reach ≥5 metre height at maturity</w:t>
            </w:r>
            <w:r w:rsidRPr="002A3CBE">
              <w:rPr>
                <w:i/>
              </w:rPr>
              <w:t xml:space="preserve"> in situ</w:t>
            </w:r>
            <w:r w:rsidRPr="002A3CBE">
              <w:t>) planted or established on land that was non-forest land as at 31 December 1989 (e.g., radiata pine, Douglas fir, eucalypts or other planted species)</w:t>
            </w:r>
          </w:p>
          <w:p w14:paraId="07C799B0" w14:textId="77777777" w:rsidR="00447423" w:rsidRPr="002A3CBE" w:rsidRDefault="00447423" w:rsidP="00F16E23">
            <w:pPr>
              <w:pStyle w:val="TableBullet"/>
              <w:spacing w:before="0" w:after="20"/>
            </w:pPr>
            <w:r w:rsidRPr="002A3CBE">
              <w:t>riparian or erosion control plantings that meet the forest definition and that were planted after 31 December 1989</w:t>
            </w:r>
          </w:p>
          <w:p w14:paraId="0F5FBB00" w14:textId="77777777" w:rsidR="00447423" w:rsidRPr="002A3CBE" w:rsidRDefault="00447423" w:rsidP="00F16E23">
            <w:pPr>
              <w:pStyle w:val="TableBullet"/>
              <w:spacing w:before="0" w:after="0"/>
            </w:pPr>
            <w:r w:rsidRPr="002A3CBE">
              <w:t>harvested areas within post-1989 forest land (assuming these will be replanted, unless deforestation is later detected).</w:t>
            </w:r>
          </w:p>
          <w:p w14:paraId="66959C1B" w14:textId="77777777" w:rsidR="00447423" w:rsidRPr="002A3CBE" w:rsidRDefault="00447423" w:rsidP="00F16E23">
            <w:pPr>
              <w:pStyle w:val="TableText"/>
              <w:spacing w:after="40"/>
            </w:pPr>
            <w:r w:rsidRPr="002A3CBE">
              <w:t>Includes post-1989 natural forest, which consists of:</w:t>
            </w:r>
          </w:p>
          <w:p w14:paraId="14929EFD" w14:textId="77777777" w:rsidR="00447423" w:rsidRPr="002A3CBE" w:rsidRDefault="00447423" w:rsidP="00F16E23">
            <w:pPr>
              <w:pStyle w:val="TableBullet"/>
              <w:spacing w:before="0" w:after="20"/>
            </w:pPr>
            <w:r w:rsidRPr="002A3CBE">
              <w:t>forests arising from natural regeneration of indigenous tree species as a result of management change after 31 December 1989</w:t>
            </w:r>
          </w:p>
          <w:p w14:paraId="57EA07F5" w14:textId="77777777" w:rsidR="00447423" w:rsidRPr="002A3CBE" w:rsidRDefault="00447423" w:rsidP="00F16E23">
            <w:pPr>
              <w:pStyle w:val="TableBullet"/>
              <w:spacing w:before="0" w:after="20"/>
            </w:pPr>
            <w:r w:rsidRPr="002A3CBE">
              <w:t>self-sown exotic trees, such as wilding conifers or grey willows, established after 31 December 1989 (where managed as forest).</w:t>
            </w:r>
          </w:p>
          <w:p w14:paraId="484016BF" w14:textId="77777777" w:rsidR="00447423" w:rsidRPr="002A3CBE" w:rsidRDefault="00447423" w:rsidP="00F16E23">
            <w:pPr>
              <w:pStyle w:val="TableText"/>
              <w:spacing w:before="40" w:after="40"/>
            </w:pPr>
            <w:r w:rsidRPr="002A3CBE">
              <w:t>Includes areas within post-1989 natural forest or post-1989 planted forest that are:</w:t>
            </w:r>
          </w:p>
          <w:p w14:paraId="5DB587EF" w14:textId="77777777" w:rsidR="00447423" w:rsidRPr="002A3CBE" w:rsidRDefault="00447423" w:rsidP="00F16E23">
            <w:pPr>
              <w:pStyle w:val="TableBullet"/>
              <w:spacing w:before="0" w:after="20"/>
            </w:pPr>
            <w:r w:rsidRPr="002A3CBE">
              <w:t>roads, tracks, skid sites and other temporarily unstocked areas associated with a forest land use</w:t>
            </w:r>
          </w:p>
          <w:p w14:paraId="182CC0E8" w14:textId="77777777" w:rsidR="00447423" w:rsidRPr="002A3CBE" w:rsidRDefault="00447423" w:rsidP="00F16E23">
            <w:pPr>
              <w:pStyle w:val="TableBullet"/>
              <w:spacing w:before="0" w:after="20"/>
            </w:pPr>
            <w:r w:rsidRPr="002A3CBE">
              <w:t>areas of bare ground of any size that were previously forested (established after 31 December 1989) but, due to natural disturbances (e.g., erosion, storms, fire), have lost vegetation cover.</w:t>
            </w:r>
          </w:p>
        </w:tc>
      </w:tr>
      <w:tr w:rsidR="00447423" w:rsidRPr="002A3CBE" w14:paraId="2BD9DCD1" w14:textId="77777777" w:rsidTr="00F16E23">
        <w:tc>
          <w:tcPr>
            <w:tcW w:w="1276" w:type="dxa"/>
            <w:tcBorders>
              <w:top w:val="single" w:sz="4" w:space="0" w:color="365F91"/>
              <w:bottom w:val="single" w:sz="4" w:space="0" w:color="365F91"/>
            </w:tcBorders>
          </w:tcPr>
          <w:p w14:paraId="4C25BCF3" w14:textId="77777777" w:rsidR="00447423" w:rsidRPr="002A3CBE" w:rsidRDefault="00447423" w:rsidP="00F16E23">
            <w:pPr>
              <w:pStyle w:val="TableText"/>
              <w:spacing w:before="40"/>
              <w:rPr>
                <w:b/>
              </w:rPr>
            </w:pPr>
            <w:r w:rsidRPr="002A3CBE">
              <w:rPr>
                <w:b/>
              </w:rPr>
              <w:t>Annual cropland</w:t>
            </w:r>
          </w:p>
        </w:tc>
        <w:tc>
          <w:tcPr>
            <w:tcW w:w="7229" w:type="dxa"/>
            <w:tcBorders>
              <w:top w:val="single" w:sz="4" w:space="0" w:color="365F91"/>
              <w:bottom w:val="single" w:sz="4" w:space="0" w:color="365F91"/>
            </w:tcBorders>
          </w:tcPr>
          <w:p w14:paraId="5ECE9655" w14:textId="77777777" w:rsidR="00447423" w:rsidRPr="002A3CBE" w:rsidRDefault="00447423" w:rsidP="00F16E23">
            <w:pPr>
              <w:pStyle w:val="TableText"/>
              <w:spacing w:before="40" w:after="20"/>
            </w:pPr>
            <w:r w:rsidRPr="002A3CBE">
              <w:t>Includes:</w:t>
            </w:r>
          </w:p>
          <w:p w14:paraId="366A35D6" w14:textId="77777777" w:rsidR="00447423" w:rsidRPr="002A3CBE" w:rsidRDefault="00447423" w:rsidP="00F16E23">
            <w:pPr>
              <w:pStyle w:val="TableBullet"/>
              <w:spacing w:before="0" w:after="20"/>
            </w:pPr>
            <w:r w:rsidRPr="002A3CBE">
              <w:t>all annual crops</w:t>
            </w:r>
          </w:p>
          <w:p w14:paraId="23A02F5B" w14:textId="77777777" w:rsidR="00447423" w:rsidRPr="002A3CBE" w:rsidRDefault="00447423" w:rsidP="00F16E23">
            <w:pPr>
              <w:pStyle w:val="TableBullet"/>
              <w:spacing w:before="0" w:after="20"/>
            </w:pPr>
            <w:r w:rsidRPr="002A3CBE">
              <w:t>all cultivated bare ground</w:t>
            </w:r>
          </w:p>
          <w:p w14:paraId="53457D04" w14:textId="77777777" w:rsidR="00447423" w:rsidRPr="002A3CBE" w:rsidRDefault="00447423" w:rsidP="00F16E23">
            <w:pPr>
              <w:pStyle w:val="TableBullet"/>
              <w:spacing w:before="0" w:after="40"/>
            </w:pPr>
            <w:r w:rsidRPr="002A3CBE">
              <w:t>linear shelterbelts associated with annual cropland.</w:t>
            </w:r>
          </w:p>
        </w:tc>
      </w:tr>
      <w:tr w:rsidR="00447423" w:rsidRPr="002A3CBE" w14:paraId="349CAEA8" w14:textId="77777777" w:rsidTr="00F16E23">
        <w:tc>
          <w:tcPr>
            <w:tcW w:w="1276" w:type="dxa"/>
            <w:tcBorders>
              <w:top w:val="single" w:sz="4" w:space="0" w:color="365F91"/>
              <w:bottom w:val="single" w:sz="4" w:space="0" w:color="365F91"/>
            </w:tcBorders>
          </w:tcPr>
          <w:p w14:paraId="5FF91A03" w14:textId="77777777" w:rsidR="00447423" w:rsidRPr="002A3CBE" w:rsidRDefault="00447423" w:rsidP="00F16E23">
            <w:pPr>
              <w:pStyle w:val="TableText"/>
              <w:spacing w:before="40"/>
              <w:rPr>
                <w:b/>
              </w:rPr>
            </w:pPr>
            <w:r w:rsidRPr="002A3CBE">
              <w:rPr>
                <w:b/>
              </w:rPr>
              <w:t>Perennial cropland</w:t>
            </w:r>
          </w:p>
        </w:tc>
        <w:tc>
          <w:tcPr>
            <w:tcW w:w="7229" w:type="dxa"/>
            <w:tcBorders>
              <w:top w:val="single" w:sz="4" w:space="0" w:color="365F91"/>
              <w:bottom w:val="single" w:sz="4" w:space="0" w:color="365F91"/>
            </w:tcBorders>
          </w:tcPr>
          <w:p w14:paraId="7267C7FE" w14:textId="77777777" w:rsidR="00447423" w:rsidRPr="002A3CBE" w:rsidRDefault="00447423" w:rsidP="00F16E23">
            <w:pPr>
              <w:pStyle w:val="TableText"/>
              <w:spacing w:before="40" w:after="20"/>
            </w:pPr>
            <w:r w:rsidRPr="002A3CBE">
              <w:t>Includes:</w:t>
            </w:r>
          </w:p>
          <w:p w14:paraId="1270527D" w14:textId="77777777" w:rsidR="00447423" w:rsidRPr="002A3CBE" w:rsidRDefault="00447423" w:rsidP="00F16E23">
            <w:pPr>
              <w:pStyle w:val="TableBullet"/>
              <w:spacing w:before="0" w:after="20"/>
            </w:pPr>
            <w:r w:rsidRPr="002A3CBE">
              <w:t>all orchards and vineyards</w:t>
            </w:r>
          </w:p>
          <w:p w14:paraId="7A193895" w14:textId="77777777" w:rsidR="00447423" w:rsidRPr="002A3CBE" w:rsidRDefault="00447423" w:rsidP="00F16E23">
            <w:pPr>
              <w:pStyle w:val="TableBullet"/>
              <w:spacing w:before="0" w:after="40"/>
            </w:pPr>
            <w:r w:rsidRPr="002A3CBE">
              <w:t>linear shelterbelts associated with perennial cropland.</w:t>
            </w:r>
          </w:p>
        </w:tc>
      </w:tr>
      <w:tr w:rsidR="00447423" w:rsidRPr="002A3CBE" w14:paraId="5E36578D" w14:textId="77777777" w:rsidTr="00F16E23">
        <w:tc>
          <w:tcPr>
            <w:tcW w:w="1276" w:type="dxa"/>
            <w:tcBorders>
              <w:top w:val="single" w:sz="4" w:space="0" w:color="365F91"/>
              <w:bottom w:val="single" w:sz="4" w:space="0" w:color="365F91"/>
            </w:tcBorders>
          </w:tcPr>
          <w:p w14:paraId="79E526B0" w14:textId="77777777" w:rsidR="00447423" w:rsidRPr="002A3CBE" w:rsidRDefault="00447423" w:rsidP="00F16E23">
            <w:pPr>
              <w:pStyle w:val="TableText"/>
              <w:rPr>
                <w:b/>
              </w:rPr>
            </w:pPr>
            <w:r w:rsidRPr="002A3CBE">
              <w:rPr>
                <w:b/>
              </w:rPr>
              <w:t>High producing grassland</w:t>
            </w:r>
          </w:p>
        </w:tc>
        <w:tc>
          <w:tcPr>
            <w:tcW w:w="7229" w:type="dxa"/>
            <w:tcBorders>
              <w:top w:val="single" w:sz="4" w:space="0" w:color="365F91"/>
              <w:bottom w:val="single" w:sz="4" w:space="0" w:color="365F91"/>
            </w:tcBorders>
          </w:tcPr>
          <w:p w14:paraId="670A2EF6" w14:textId="77777777" w:rsidR="00447423" w:rsidRPr="002A3CBE" w:rsidRDefault="00447423" w:rsidP="00F16E23">
            <w:pPr>
              <w:pStyle w:val="TableText"/>
              <w:spacing w:after="20"/>
            </w:pPr>
            <w:r w:rsidRPr="002A3CBE">
              <w:t>Includes:</w:t>
            </w:r>
          </w:p>
          <w:p w14:paraId="0CB88B7B" w14:textId="77777777" w:rsidR="00447423" w:rsidRPr="002A3CBE" w:rsidRDefault="00447423" w:rsidP="00F16E23">
            <w:pPr>
              <w:pStyle w:val="TableBullet"/>
              <w:spacing w:before="0" w:after="20"/>
            </w:pPr>
            <w:r w:rsidRPr="002A3CBE">
              <w:t>grassland with high-quality pasture species</w:t>
            </w:r>
          </w:p>
          <w:p w14:paraId="1ECBA7AE" w14:textId="77777777" w:rsidR="00447423" w:rsidRPr="002A3CBE" w:rsidRDefault="00447423" w:rsidP="00F16E23">
            <w:pPr>
              <w:pStyle w:val="TableBullet"/>
              <w:spacing w:before="0" w:after="20"/>
            </w:pPr>
            <w:r w:rsidRPr="002A3CBE">
              <w:t>linear shelterbelts that are &lt;1 hectare in area or &lt;30 metres in mean width (larger shelterbelts are mapped separately as grassland with woody biomass)</w:t>
            </w:r>
          </w:p>
          <w:p w14:paraId="05EC8852" w14:textId="77777777" w:rsidR="00447423" w:rsidRPr="002A3CBE" w:rsidRDefault="00447423" w:rsidP="00F16E23">
            <w:pPr>
              <w:pStyle w:val="TableBullet"/>
              <w:spacing w:before="0" w:after="40"/>
            </w:pPr>
            <w:r w:rsidRPr="002A3CBE">
              <w:t>areas of bare ground of any size that were previously grassland but, due to natural disturbances (e.g., erosion), have lost vegetation cover.</w:t>
            </w:r>
          </w:p>
        </w:tc>
      </w:tr>
      <w:tr w:rsidR="00447423" w:rsidRPr="002A3CBE" w14:paraId="19ED8F31" w14:textId="77777777" w:rsidTr="00F16E23">
        <w:tc>
          <w:tcPr>
            <w:tcW w:w="1276" w:type="dxa"/>
            <w:tcBorders>
              <w:top w:val="single" w:sz="4" w:space="0" w:color="365F91"/>
              <w:bottom w:val="single" w:sz="4" w:space="0" w:color="365F91"/>
            </w:tcBorders>
          </w:tcPr>
          <w:p w14:paraId="65C9AB0A" w14:textId="77777777" w:rsidR="00447423" w:rsidRPr="002A3CBE" w:rsidRDefault="00447423" w:rsidP="00F16E23">
            <w:pPr>
              <w:pStyle w:val="TableText"/>
              <w:spacing w:before="40"/>
              <w:rPr>
                <w:b/>
              </w:rPr>
            </w:pPr>
            <w:r w:rsidRPr="002A3CBE">
              <w:rPr>
                <w:b/>
              </w:rPr>
              <w:t>Low producing grassland</w:t>
            </w:r>
          </w:p>
        </w:tc>
        <w:tc>
          <w:tcPr>
            <w:tcW w:w="7229" w:type="dxa"/>
            <w:tcBorders>
              <w:top w:val="single" w:sz="4" w:space="0" w:color="365F91"/>
              <w:bottom w:val="single" w:sz="4" w:space="0" w:color="365F91"/>
            </w:tcBorders>
          </w:tcPr>
          <w:p w14:paraId="04B39147" w14:textId="77777777" w:rsidR="00447423" w:rsidRPr="002A3CBE" w:rsidRDefault="00447423" w:rsidP="00F16E23">
            <w:pPr>
              <w:pStyle w:val="TableText"/>
              <w:spacing w:before="40" w:after="20"/>
            </w:pPr>
            <w:r w:rsidRPr="002A3CBE">
              <w:t>Includes:</w:t>
            </w:r>
          </w:p>
          <w:p w14:paraId="77D900D2" w14:textId="77777777" w:rsidR="00447423" w:rsidRPr="002A3CBE" w:rsidRDefault="00447423" w:rsidP="00F16E23">
            <w:pPr>
              <w:pStyle w:val="TableBullet"/>
              <w:spacing w:before="0" w:after="20"/>
            </w:pPr>
            <w:r w:rsidRPr="002A3CBE">
              <w:t xml:space="preserve">low-fertility grassland and tussock grasslands (e.g., </w:t>
            </w:r>
            <w:r w:rsidRPr="002A3CBE">
              <w:rPr>
                <w:i/>
              </w:rPr>
              <w:t>Chionochloa</w:t>
            </w:r>
            <w:r w:rsidRPr="002A3CBE">
              <w:t xml:space="preserve"> and </w:t>
            </w:r>
            <w:r w:rsidRPr="002A3CBE">
              <w:rPr>
                <w:i/>
              </w:rPr>
              <w:t xml:space="preserve">Festuca </w:t>
            </w:r>
            <w:r w:rsidRPr="002A3CBE">
              <w:t>spp.)</w:t>
            </w:r>
          </w:p>
          <w:p w14:paraId="5B0162B0" w14:textId="77777777" w:rsidR="00447423" w:rsidRPr="002A3CBE" w:rsidRDefault="00447423" w:rsidP="00F16E23">
            <w:pPr>
              <w:pStyle w:val="TableBullet"/>
              <w:spacing w:before="0" w:after="20"/>
            </w:pPr>
            <w:r w:rsidRPr="002A3CBE">
              <w:t>mostly hill country</w:t>
            </w:r>
          </w:p>
          <w:p w14:paraId="5F33D114" w14:textId="77777777" w:rsidR="00447423" w:rsidRPr="002A3CBE" w:rsidRDefault="00447423" w:rsidP="00F16E23">
            <w:pPr>
              <w:pStyle w:val="TableBullet"/>
              <w:spacing w:before="0" w:after="20"/>
            </w:pPr>
            <w:r w:rsidRPr="002A3CBE">
              <w:t>montane herbfields either at an altitude higher than above-timberline vegetation or where the herbfields are not mixed up with woody vegetation</w:t>
            </w:r>
          </w:p>
          <w:p w14:paraId="61E8CF9E" w14:textId="77777777" w:rsidR="00447423" w:rsidRPr="002A3CBE" w:rsidRDefault="00447423" w:rsidP="00F16E23">
            <w:pPr>
              <w:pStyle w:val="TableBullet"/>
              <w:spacing w:before="0" w:after="20"/>
            </w:pPr>
            <w:r w:rsidRPr="002A3CBE">
              <w:t>linear shelterbelts that are &lt;1 hectare in area or &lt;30 metres in mean width (larger shelterbelts are mapped separately as grassland with woody biomass)</w:t>
            </w:r>
          </w:p>
          <w:p w14:paraId="3B71DB0F" w14:textId="77777777" w:rsidR="00447423" w:rsidRPr="002A3CBE" w:rsidRDefault="00447423" w:rsidP="00F16E23">
            <w:pPr>
              <w:pStyle w:val="TableBullet"/>
              <w:spacing w:before="0" w:after="40"/>
            </w:pPr>
            <w:r w:rsidRPr="002A3CBE">
              <w:t>other areas of limited vegetation cover and significant bare soil, including erosion and coastal herbaceous sand-dune vegetation.</w:t>
            </w:r>
          </w:p>
        </w:tc>
      </w:tr>
      <w:tr w:rsidR="00447423" w:rsidRPr="002A3CBE" w14:paraId="7322DD8B" w14:textId="77777777" w:rsidTr="00F16E23">
        <w:tc>
          <w:tcPr>
            <w:tcW w:w="1276" w:type="dxa"/>
            <w:tcBorders>
              <w:top w:val="single" w:sz="4" w:space="0" w:color="365F91"/>
              <w:bottom w:val="single" w:sz="4" w:space="0" w:color="365F91"/>
            </w:tcBorders>
          </w:tcPr>
          <w:p w14:paraId="499AFBE1" w14:textId="77777777" w:rsidR="00447423" w:rsidRPr="002A3CBE" w:rsidRDefault="00447423" w:rsidP="00F16E23">
            <w:pPr>
              <w:pStyle w:val="TableText"/>
              <w:spacing w:before="40"/>
              <w:rPr>
                <w:b/>
              </w:rPr>
            </w:pPr>
            <w:r w:rsidRPr="002A3CBE">
              <w:rPr>
                <w:b/>
              </w:rPr>
              <w:t>Grassland with woody biomass</w:t>
            </w:r>
          </w:p>
        </w:tc>
        <w:tc>
          <w:tcPr>
            <w:tcW w:w="7229" w:type="dxa"/>
            <w:tcBorders>
              <w:top w:val="single" w:sz="4" w:space="0" w:color="365F91"/>
              <w:bottom w:val="single" w:sz="4" w:space="0" w:color="365F91"/>
            </w:tcBorders>
          </w:tcPr>
          <w:p w14:paraId="59BDBF9A" w14:textId="77777777" w:rsidR="00447423" w:rsidRPr="002A3CBE" w:rsidRDefault="00447423" w:rsidP="00F16E23">
            <w:pPr>
              <w:pStyle w:val="TableText"/>
              <w:spacing w:before="40" w:after="20"/>
            </w:pPr>
            <w:r w:rsidRPr="002A3CBE">
              <w:t>Includes:</w:t>
            </w:r>
          </w:p>
          <w:p w14:paraId="5F6C611E" w14:textId="77777777" w:rsidR="00447423" w:rsidRPr="002A3CBE" w:rsidRDefault="00447423" w:rsidP="00F16E23">
            <w:pPr>
              <w:pStyle w:val="TableBullet"/>
              <w:spacing w:before="0" w:after="20"/>
            </w:pPr>
            <w:r w:rsidRPr="002A3CBE">
              <w:t>grassland with matagouri (</w:t>
            </w:r>
            <w:r w:rsidRPr="002A3CBE">
              <w:rPr>
                <w:i/>
              </w:rPr>
              <w:t>Discaria toumatou</w:t>
            </w:r>
            <w:r w:rsidRPr="002A3CBE">
              <w:t>) and sweet briar (</w:t>
            </w:r>
            <w:r w:rsidRPr="002A3CBE">
              <w:rPr>
                <w:i/>
              </w:rPr>
              <w:t>Rosa rubiginosa</w:t>
            </w:r>
            <w:r w:rsidRPr="002A3CBE">
              <w:t xml:space="preserve">), broadleaved hardwood shrubland (e.g., māhoe – </w:t>
            </w:r>
            <w:r w:rsidRPr="002A3CBE">
              <w:rPr>
                <w:i/>
              </w:rPr>
              <w:t>Melicytus ramiflorus</w:t>
            </w:r>
            <w:r w:rsidRPr="002A3CBE">
              <w:t>), wineberry (</w:t>
            </w:r>
            <w:r w:rsidRPr="002A3CBE">
              <w:rPr>
                <w:i/>
              </w:rPr>
              <w:t>Aristotelia serrata</w:t>
            </w:r>
            <w:r w:rsidRPr="002A3CBE">
              <w:t xml:space="preserve">), </w:t>
            </w:r>
            <w:r w:rsidRPr="002A3CBE">
              <w:rPr>
                <w:i/>
              </w:rPr>
              <w:t>Pseudopanax</w:t>
            </w:r>
            <w:r w:rsidRPr="002A3CBE">
              <w:t xml:space="preserve"> spp., </w:t>
            </w:r>
            <w:r w:rsidRPr="002A3CBE">
              <w:rPr>
                <w:i/>
              </w:rPr>
              <w:t>Pittosporum</w:t>
            </w:r>
            <w:r w:rsidRPr="002A3CBE">
              <w:t xml:space="preserve"> spp.), kānuka–mānuka (</w:t>
            </w:r>
            <w:r w:rsidRPr="002A3CBE">
              <w:rPr>
                <w:i/>
              </w:rPr>
              <w:t>Leptospermum</w:t>
            </w:r>
            <w:r w:rsidRPr="002A3CBE">
              <w:t xml:space="preserve"> </w:t>
            </w:r>
            <w:r w:rsidRPr="002A3CBE">
              <w:rPr>
                <w:i/>
              </w:rPr>
              <w:t>scoparium</w:t>
            </w:r>
            <w:r w:rsidRPr="002A3CBE">
              <w:t>–</w:t>
            </w:r>
            <w:r w:rsidRPr="002A3CBE">
              <w:rPr>
                <w:i/>
              </w:rPr>
              <w:t>Kunzea</w:t>
            </w:r>
            <w:r w:rsidRPr="002A3CBE">
              <w:t xml:space="preserve"> spp.) shrubland, coastal and other woody shrubland (&lt;5 metres tall and any percentage of cover) where, under current management or environmental conditions (climate and/or soil), it is expected that the forest criteria will not be met over a 30- to 40-year period</w:t>
            </w:r>
          </w:p>
          <w:p w14:paraId="5BD6A47F" w14:textId="77777777" w:rsidR="00447423" w:rsidRPr="002A3CBE" w:rsidRDefault="00447423" w:rsidP="00F16E23">
            <w:pPr>
              <w:pStyle w:val="TableBullet"/>
              <w:spacing w:before="0" w:after="20"/>
            </w:pPr>
            <w:r w:rsidRPr="002A3CBE">
              <w:t>above-timberline shrubland vegetation intermixed with montane herbfields (does not have the potential to reach &gt;5 metres in height</w:t>
            </w:r>
            <w:r w:rsidRPr="002A3CBE">
              <w:rPr>
                <w:i/>
              </w:rPr>
              <w:t xml:space="preserve"> in situ</w:t>
            </w:r>
            <w:r w:rsidRPr="002A3CBE">
              <w:t>)</w:t>
            </w:r>
          </w:p>
          <w:p w14:paraId="54718BDB" w14:textId="77777777" w:rsidR="00447423" w:rsidRPr="002A3CBE" w:rsidRDefault="00447423" w:rsidP="00F16E23">
            <w:pPr>
              <w:pStyle w:val="TableBullet"/>
              <w:spacing w:before="0" w:after="20"/>
            </w:pPr>
            <w:r w:rsidRPr="002A3CBE">
              <w:t>grassland with tall tree species (&lt;30 percent cover), such as golf courses in rural areas (except where the Land Cover Database has classified these as settlements)</w:t>
            </w:r>
          </w:p>
          <w:p w14:paraId="230F23BB" w14:textId="77777777" w:rsidR="00447423" w:rsidRPr="002A3CBE" w:rsidRDefault="00447423" w:rsidP="00F16E23">
            <w:pPr>
              <w:pStyle w:val="TableBullet"/>
              <w:spacing w:before="0" w:after="20"/>
            </w:pPr>
            <w:r w:rsidRPr="002A3CBE">
              <w:t>grassland with riparian or erosion control plantings (&lt;30 percent cover)</w:t>
            </w:r>
          </w:p>
          <w:p w14:paraId="16DA883D" w14:textId="77777777" w:rsidR="00447423" w:rsidRPr="002A3CBE" w:rsidRDefault="00447423" w:rsidP="00F16E23">
            <w:pPr>
              <w:pStyle w:val="TableBullet"/>
              <w:spacing w:before="0" w:after="20"/>
            </w:pPr>
            <w:r w:rsidRPr="002A3CBE">
              <w:t>linear shelterbelts that are &gt;1 hectare in area and &lt;30 metres in mean width</w:t>
            </w:r>
          </w:p>
          <w:p w14:paraId="58A954B1" w14:textId="77777777" w:rsidR="00447423" w:rsidRPr="002A3CBE" w:rsidRDefault="00447423" w:rsidP="00F16E23">
            <w:pPr>
              <w:pStyle w:val="TableBullet"/>
              <w:spacing w:before="0" w:after="20"/>
            </w:pPr>
            <w:r w:rsidRPr="002A3CBE">
              <w:t>areas of bare ground of any size that previously contained grassland with woody biomass but, due to natural disturbances (e.g., erosion, fire), have lost vegetation cover.</w:t>
            </w:r>
          </w:p>
        </w:tc>
      </w:tr>
      <w:tr w:rsidR="00447423" w:rsidRPr="002A3CBE" w14:paraId="6C1D4695" w14:textId="77777777" w:rsidTr="00F16E23">
        <w:tc>
          <w:tcPr>
            <w:tcW w:w="1276" w:type="dxa"/>
            <w:tcBorders>
              <w:top w:val="single" w:sz="4" w:space="0" w:color="365F91"/>
              <w:bottom w:val="single" w:sz="4" w:space="0" w:color="365F91"/>
            </w:tcBorders>
          </w:tcPr>
          <w:p w14:paraId="1B9A1622" w14:textId="77777777" w:rsidR="00447423" w:rsidRPr="002A3CBE" w:rsidRDefault="00447423" w:rsidP="00F16E23">
            <w:pPr>
              <w:pStyle w:val="TableText"/>
              <w:spacing w:before="40"/>
              <w:rPr>
                <w:b/>
              </w:rPr>
            </w:pPr>
            <w:r w:rsidRPr="002A3CBE">
              <w:rPr>
                <w:b/>
              </w:rPr>
              <w:t>Open water</w:t>
            </w:r>
          </w:p>
        </w:tc>
        <w:tc>
          <w:tcPr>
            <w:tcW w:w="7229" w:type="dxa"/>
            <w:tcBorders>
              <w:top w:val="single" w:sz="4" w:space="0" w:color="365F91"/>
              <w:bottom w:val="single" w:sz="4" w:space="0" w:color="365F91"/>
            </w:tcBorders>
          </w:tcPr>
          <w:p w14:paraId="014FDAEA" w14:textId="77777777" w:rsidR="00447423" w:rsidRPr="002A3CBE" w:rsidRDefault="00447423" w:rsidP="00F16E23">
            <w:pPr>
              <w:pStyle w:val="TableText"/>
              <w:spacing w:before="40" w:after="20"/>
            </w:pPr>
            <w:r w:rsidRPr="002A3CBE">
              <w:t>Includes:</w:t>
            </w:r>
          </w:p>
          <w:p w14:paraId="6F8DFE33" w14:textId="77777777" w:rsidR="00447423" w:rsidRPr="002A3CBE" w:rsidRDefault="00447423" w:rsidP="00F16E23">
            <w:pPr>
              <w:pStyle w:val="TableBullet"/>
              <w:spacing w:before="0" w:after="20"/>
            </w:pPr>
            <w:r w:rsidRPr="002A3CBE">
              <w:t xml:space="preserve">lakes, rivers, dams and reservoirs </w:t>
            </w:r>
          </w:p>
          <w:p w14:paraId="355DD766" w14:textId="77777777" w:rsidR="00447423" w:rsidRPr="002A3CBE" w:rsidRDefault="00447423" w:rsidP="00F16E23">
            <w:pPr>
              <w:pStyle w:val="TableBullet"/>
              <w:spacing w:before="0" w:after="20"/>
            </w:pPr>
            <w:r w:rsidRPr="002A3CBE">
              <w:t>estuarine–tidal areas including mangroves.</w:t>
            </w:r>
          </w:p>
        </w:tc>
      </w:tr>
      <w:tr w:rsidR="00447423" w:rsidRPr="002A3CBE" w14:paraId="5026B80B" w14:textId="77777777" w:rsidTr="00F16E23">
        <w:tc>
          <w:tcPr>
            <w:tcW w:w="1276" w:type="dxa"/>
            <w:tcBorders>
              <w:top w:val="single" w:sz="4" w:space="0" w:color="365F91"/>
              <w:bottom w:val="single" w:sz="4" w:space="0" w:color="365F91"/>
            </w:tcBorders>
          </w:tcPr>
          <w:p w14:paraId="3A29BCDD" w14:textId="77777777" w:rsidR="00447423" w:rsidRPr="002A3CBE" w:rsidRDefault="00447423" w:rsidP="00F16E23">
            <w:pPr>
              <w:pStyle w:val="TableText"/>
              <w:spacing w:before="40"/>
              <w:rPr>
                <w:b/>
              </w:rPr>
            </w:pPr>
            <w:r w:rsidRPr="002A3CBE">
              <w:rPr>
                <w:b/>
              </w:rPr>
              <w:t>Vegetated wetland</w:t>
            </w:r>
          </w:p>
        </w:tc>
        <w:tc>
          <w:tcPr>
            <w:tcW w:w="7229" w:type="dxa"/>
            <w:tcBorders>
              <w:top w:val="single" w:sz="4" w:space="0" w:color="365F91"/>
              <w:bottom w:val="single" w:sz="4" w:space="0" w:color="365F91"/>
            </w:tcBorders>
          </w:tcPr>
          <w:p w14:paraId="6E3F3224" w14:textId="77777777" w:rsidR="00447423" w:rsidRPr="002A3CBE" w:rsidRDefault="00447423" w:rsidP="00F16E23">
            <w:pPr>
              <w:pStyle w:val="TableText"/>
              <w:spacing w:after="20"/>
            </w:pPr>
            <w:r w:rsidRPr="002A3CBE">
              <w:t>Includes:</w:t>
            </w:r>
          </w:p>
          <w:p w14:paraId="09737057" w14:textId="77777777" w:rsidR="00447423" w:rsidRPr="002A3CBE" w:rsidRDefault="00447423" w:rsidP="00F16E23">
            <w:pPr>
              <w:pStyle w:val="TableBullet"/>
              <w:spacing w:before="0" w:after="20"/>
            </w:pPr>
            <w:r w:rsidRPr="002A3CBE">
              <w:t xml:space="preserve">herbaceous and/or non-forest woody vegetation, including trees of any stature, in a wetland context (periodically or permanently flooded) </w:t>
            </w:r>
          </w:p>
          <w:p w14:paraId="2CA96464" w14:textId="77777777" w:rsidR="00447423" w:rsidRPr="002A3CBE" w:rsidRDefault="00447423" w:rsidP="00F16E23">
            <w:pPr>
              <w:pStyle w:val="TableBullet"/>
              <w:spacing w:before="0" w:after="20"/>
            </w:pPr>
            <w:r w:rsidRPr="002A3CBE">
              <w:t>areas under peat extraction</w:t>
            </w:r>
          </w:p>
          <w:p w14:paraId="797D1F4D" w14:textId="77777777" w:rsidR="00447423" w:rsidRPr="002A3CBE" w:rsidRDefault="00447423" w:rsidP="00F16E23">
            <w:pPr>
              <w:pStyle w:val="TableBullet"/>
              <w:spacing w:before="0" w:after="20"/>
            </w:pPr>
            <w:r w:rsidRPr="002A3CBE">
              <w:t>estuarine–tidal areas including mangroves.</w:t>
            </w:r>
          </w:p>
        </w:tc>
      </w:tr>
      <w:tr w:rsidR="00447423" w:rsidRPr="002A3CBE" w14:paraId="2ACFE388" w14:textId="77777777" w:rsidTr="00F16E23">
        <w:tc>
          <w:tcPr>
            <w:tcW w:w="1276" w:type="dxa"/>
            <w:tcBorders>
              <w:top w:val="single" w:sz="4" w:space="0" w:color="365F91"/>
              <w:bottom w:val="single" w:sz="4" w:space="0" w:color="365F91"/>
            </w:tcBorders>
          </w:tcPr>
          <w:p w14:paraId="786F6D90" w14:textId="77777777" w:rsidR="00447423" w:rsidRPr="002A3CBE" w:rsidRDefault="00447423" w:rsidP="00F16E23">
            <w:pPr>
              <w:pStyle w:val="TableTextBold"/>
              <w:spacing w:before="40"/>
              <w:rPr>
                <w:noProof w:val="0"/>
              </w:rPr>
            </w:pPr>
            <w:r w:rsidRPr="002A3CBE">
              <w:rPr>
                <w:noProof w:val="0"/>
              </w:rPr>
              <w:t>Settlements</w:t>
            </w:r>
          </w:p>
        </w:tc>
        <w:tc>
          <w:tcPr>
            <w:tcW w:w="7229" w:type="dxa"/>
            <w:tcBorders>
              <w:top w:val="single" w:sz="4" w:space="0" w:color="365F91"/>
              <w:bottom w:val="single" w:sz="4" w:space="0" w:color="365F91"/>
            </w:tcBorders>
          </w:tcPr>
          <w:p w14:paraId="65CB18E8" w14:textId="77777777" w:rsidR="00447423" w:rsidRPr="002A3CBE" w:rsidRDefault="00447423" w:rsidP="00F16E23">
            <w:pPr>
              <w:pStyle w:val="TableText"/>
              <w:spacing w:before="40" w:after="20"/>
            </w:pPr>
            <w:r w:rsidRPr="002A3CBE">
              <w:t>Includes:</w:t>
            </w:r>
          </w:p>
          <w:p w14:paraId="3B877631" w14:textId="77777777" w:rsidR="00447423" w:rsidRPr="002A3CBE" w:rsidRDefault="00447423" w:rsidP="00F16E23">
            <w:pPr>
              <w:pStyle w:val="TableBullet"/>
              <w:spacing w:before="0" w:after="20"/>
            </w:pPr>
            <w:r w:rsidRPr="002A3CBE">
              <w:t>built-up areas and impervious surfaces</w:t>
            </w:r>
          </w:p>
          <w:p w14:paraId="56CDFD95" w14:textId="77777777" w:rsidR="00447423" w:rsidRPr="002A3CBE" w:rsidRDefault="00447423" w:rsidP="00F16E23">
            <w:pPr>
              <w:pStyle w:val="TableBullet"/>
              <w:spacing w:before="0" w:after="20"/>
            </w:pPr>
            <w:r w:rsidRPr="002A3CBE">
              <w:t>grassland within ‘settlements’ including recreational areas, urban parklands and open spaces that do not meet the forest definition</w:t>
            </w:r>
          </w:p>
          <w:p w14:paraId="3786176B" w14:textId="77777777" w:rsidR="00447423" w:rsidRPr="002A3CBE" w:rsidRDefault="00447423" w:rsidP="00F16E23">
            <w:pPr>
              <w:pStyle w:val="TableBullet"/>
              <w:spacing w:before="0" w:after="20"/>
            </w:pPr>
            <w:r w:rsidRPr="002A3CBE">
              <w:t>major roading infrastructure</w:t>
            </w:r>
          </w:p>
          <w:p w14:paraId="2E3D38FE" w14:textId="77777777" w:rsidR="00447423" w:rsidRPr="002A3CBE" w:rsidRDefault="00447423" w:rsidP="00F16E23">
            <w:pPr>
              <w:pStyle w:val="TableBullet"/>
              <w:spacing w:before="0" w:after="20"/>
            </w:pPr>
            <w:r w:rsidRPr="002A3CBE">
              <w:t>airports and runways</w:t>
            </w:r>
          </w:p>
          <w:p w14:paraId="7DC028EF" w14:textId="77777777" w:rsidR="00447423" w:rsidRPr="002A3CBE" w:rsidRDefault="00447423" w:rsidP="00F16E23">
            <w:pPr>
              <w:pStyle w:val="TableBullet"/>
              <w:spacing w:before="0" w:after="20"/>
            </w:pPr>
            <w:r w:rsidRPr="002A3CBE">
              <w:t xml:space="preserve">dam infrastructure </w:t>
            </w:r>
          </w:p>
          <w:p w14:paraId="4FEF4FA9" w14:textId="77777777" w:rsidR="00447423" w:rsidRPr="002A3CBE" w:rsidRDefault="00447423" w:rsidP="00F16E23">
            <w:pPr>
              <w:pStyle w:val="TableBullet"/>
              <w:spacing w:before="0" w:after="20"/>
            </w:pPr>
            <w:r w:rsidRPr="002A3CBE">
              <w:t>urban subdivisions under construction.</w:t>
            </w:r>
          </w:p>
        </w:tc>
      </w:tr>
      <w:tr w:rsidR="00447423" w:rsidRPr="002A3CBE" w14:paraId="23E1CEF2" w14:textId="77777777" w:rsidTr="00F16E23">
        <w:tc>
          <w:tcPr>
            <w:tcW w:w="1276" w:type="dxa"/>
            <w:tcBorders>
              <w:top w:val="single" w:sz="4" w:space="0" w:color="365F91"/>
              <w:bottom w:val="single" w:sz="4" w:space="0" w:color="365F91"/>
            </w:tcBorders>
          </w:tcPr>
          <w:p w14:paraId="0458A9C8" w14:textId="77777777" w:rsidR="00447423" w:rsidRPr="002A3CBE" w:rsidRDefault="00447423" w:rsidP="00F16E23">
            <w:pPr>
              <w:pStyle w:val="TableText"/>
              <w:spacing w:before="40"/>
              <w:rPr>
                <w:b/>
              </w:rPr>
            </w:pPr>
            <w:r w:rsidRPr="002A3CBE">
              <w:rPr>
                <w:b/>
              </w:rPr>
              <w:t>Other land</w:t>
            </w:r>
          </w:p>
        </w:tc>
        <w:tc>
          <w:tcPr>
            <w:tcW w:w="7229" w:type="dxa"/>
            <w:tcBorders>
              <w:top w:val="single" w:sz="4" w:space="0" w:color="365F91"/>
              <w:bottom w:val="single" w:sz="4" w:space="0" w:color="365F91"/>
            </w:tcBorders>
          </w:tcPr>
          <w:p w14:paraId="58761B2C" w14:textId="77777777" w:rsidR="00447423" w:rsidRPr="002A3CBE" w:rsidRDefault="00447423" w:rsidP="00F16E23">
            <w:pPr>
              <w:pStyle w:val="TableText"/>
              <w:spacing w:before="40" w:after="20"/>
            </w:pPr>
            <w:r w:rsidRPr="002A3CBE">
              <w:t>Includes:</w:t>
            </w:r>
          </w:p>
          <w:p w14:paraId="45FD45B2" w14:textId="77777777" w:rsidR="00447423" w:rsidRPr="002A3CBE" w:rsidRDefault="00447423" w:rsidP="00F16E23">
            <w:pPr>
              <w:pStyle w:val="TableBullet"/>
              <w:spacing w:before="0" w:after="20"/>
            </w:pPr>
            <w:r w:rsidRPr="002A3CBE">
              <w:t>montane rock and/or scree</w:t>
            </w:r>
          </w:p>
          <w:p w14:paraId="206787EC" w14:textId="77777777" w:rsidR="00447423" w:rsidRPr="002A3CBE" w:rsidRDefault="00447423" w:rsidP="00F16E23">
            <w:pPr>
              <w:pStyle w:val="TableBullet"/>
              <w:spacing w:before="0" w:after="20"/>
            </w:pPr>
            <w:r w:rsidRPr="002A3CBE">
              <w:t>river gravels, rocky outcrops, sand dunes and beaches, coastal cliffs, mines (including spoil), quarries</w:t>
            </w:r>
          </w:p>
          <w:p w14:paraId="3ED61C6F" w14:textId="77777777" w:rsidR="00447423" w:rsidRPr="002A3CBE" w:rsidRDefault="00447423" w:rsidP="00F16E23">
            <w:pPr>
              <w:pStyle w:val="TableBullet"/>
              <w:spacing w:before="0" w:after="20"/>
            </w:pPr>
            <w:r w:rsidRPr="002A3CBE">
              <w:t>permanent ice and/or snow and glaciers</w:t>
            </w:r>
          </w:p>
          <w:p w14:paraId="370DB4E7" w14:textId="77777777" w:rsidR="00447423" w:rsidRPr="002A3CBE" w:rsidRDefault="00447423" w:rsidP="00F16E23">
            <w:pPr>
              <w:pStyle w:val="TableBullet"/>
              <w:spacing w:before="0" w:after="20"/>
            </w:pPr>
            <w:r w:rsidRPr="002A3CBE">
              <w:t>any other remaining land that does not fall into any of the other land use categories as described in volume 4, section 3.2 of the 2006 IPCC Guidelines (IPCC, 2006a).</w:t>
            </w:r>
          </w:p>
        </w:tc>
      </w:tr>
    </w:tbl>
    <w:p w14:paraId="28CCE944" w14:textId="77777777" w:rsidR="00447423" w:rsidRPr="002A3CBE" w:rsidRDefault="00447423" w:rsidP="00447423">
      <w:pPr>
        <w:pStyle w:val="Heading3"/>
      </w:pPr>
      <w:r w:rsidRPr="002A3CBE">
        <w:t>6.2.2</w:t>
      </w:r>
      <w:r w:rsidRPr="002A3CBE">
        <w:tab/>
        <w:t>Land representation approaches</w:t>
      </w:r>
    </w:p>
    <w:p w14:paraId="581D96E4" w14:textId="77777777" w:rsidR="00447423" w:rsidRPr="002A3CBE" w:rsidRDefault="00447423" w:rsidP="00447423">
      <w:pPr>
        <w:pStyle w:val="BodyText"/>
      </w:pPr>
      <w:r w:rsidRPr="002A3CBE">
        <w:t>New Zealand uses a combination of approaches 2 and 3 to determine annual land-use changes occurring between 1 January 1990 and 31 December 2024 (section 2.2.4, IPCC, 2014). This includes wall-to-wall mapping of all land use classes described in table 6.2.3 every four to five years (Approach 3), combined with other non-spatial activity data sets to infer the timing of land-use change between major mapping updates (Approach 2).</w:t>
      </w:r>
    </w:p>
    <w:p w14:paraId="023283B8" w14:textId="77777777" w:rsidR="00447423" w:rsidRPr="002A3CBE" w:rsidRDefault="00447423" w:rsidP="00447423">
      <w:pPr>
        <w:pStyle w:val="BodyText"/>
      </w:pPr>
      <w:r w:rsidRPr="002A3CBE">
        <w:t xml:space="preserve">An Approach 2 method is used to estimate gross land use transitions before 1990 using a variety of different sources and following the methodology described in Watts (unpublished) and reviewed in Hunter and McNeill (unpublished). This is further described in volume 2, annex 5, section A5.2.2. Applying this methodology allows for the land use transition matrix for the period 1962 to 1989 to be obtained (see table 6.2.3). </w:t>
      </w:r>
    </w:p>
    <w:p w14:paraId="66F3E9FB" w14:textId="77777777" w:rsidR="00447423" w:rsidRPr="002A3CBE" w:rsidRDefault="00447423" w:rsidP="00447423">
      <w:pPr>
        <w:pStyle w:val="BodyText"/>
        <w:sectPr w:rsidR="00447423" w:rsidRPr="002A3CBE" w:rsidSect="00447423">
          <w:footerReference w:type="even" r:id="rId214"/>
          <w:footerReference w:type="default" r:id="rId215"/>
          <w:pgSz w:w="11906" w:h="16838" w:code="9"/>
          <w:pgMar w:top="1418" w:right="1701" w:bottom="1418" w:left="1701" w:header="567" w:footer="567" w:gutter="0"/>
          <w:cols w:space="708"/>
          <w:docGrid w:linePitch="360"/>
        </w:sectPr>
      </w:pPr>
    </w:p>
    <w:p w14:paraId="36642E9C" w14:textId="77777777" w:rsidR="00447423" w:rsidRPr="002A3CBE" w:rsidRDefault="00447423" w:rsidP="00447423">
      <w:pPr>
        <w:pStyle w:val="Table"/>
        <w:spacing w:before="0"/>
      </w:pPr>
      <w:bookmarkStart w:id="1793" w:name="_Toc158979948"/>
      <w:bookmarkStart w:id="1794" w:name="_Toc164153881"/>
      <w:bookmarkStart w:id="1795" w:name="_Toc190873115"/>
      <w:bookmarkStart w:id="1796" w:name="_Toc194241754"/>
      <w:bookmarkStart w:id="1797" w:name="_Toc222837905"/>
      <w:bookmarkStart w:id="1798" w:name="_Toc226669051"/>
      <w:r w:rsidRPr="002A3CBE">
        <w:t>Table 6.2.3</w:t>
      </w:r>
      <w:r w:rsidRPr="002A3CBE">
        <w:tab/>
        <w:t>New Zealand’s land-use change matrix, from 1962 to 1989</w:t>
      </w:r>
      <w:bookmarkEnd w:id="1793"/>
      <w:bookmarkEnd w:id="1794"/>
      <w:r w:rsidRPr="002A3CBE">
        <w:t xml:space="preserve"> (kha)</w:t>
      </w:r>
      <w:bookmarkEnd w:id="1795"/>
      <w:bookmarkEnd w:id="1796"/>
      <w:bookmarkEnd w:id="1797"/>
      <w:bookmarkEnd w:id="1798"/>
    </w:p>
    <w:tbl>
      <w:tblPr>
        <w:tblW w:w="13948" w:type="dxa"/>
        <w:tblLayout w:type="fixed"/>
        <w:tblLook w:val="0420" w:firstRow="1" w:lastRow="0" w:firstColumn="0" w:lastColumn="0" w:noHBand="0" w:noVBand="1"/>
      </w:tblPr>
      <w:tblGrid>
        <w:gridCol w:w="1153"/>
        <w:gridCol w:w="2298"/>
        <w:gridCol w:w="719"/>
        <w:gridCol w:w="719"/>
        <w:gridCol w:w="719"/>
        <w:gridCol w:w="719"/>
        <w:gridCol w:w="719"/>
        <w:gridCol w:w="719"/>
        <w:gridCol w:w="719"/>
        <w:gridCol w:w="719"/>
        <w:gridCol w:w="719"/>
        <w:gridCol w:w="719"/>
        <w:gridCol w:w="719"/>
        <w:gridCol w:w="719"/>
        <w:gridCol w:w="719"/>
        <w:gridCol w:w="1150"/>
      </w:tblGrid>
      <w:tr w:rsidR="00447423" w:rsidRPr="002A3CBE" w14:paraId="371F11DC" w14:textId="77777777" w:rsidTr="00F16E23">
        <w:trPr>
          <w:tblHeader/>
        </w:trPr>
        <w:tc>
          <w:tcPr>
            <w:tcW w:w="1154" w:type="dxa"/>
            <w:tcBorders>
              <w:top w:val="single" w:sz="4" w:space="0" w:color="1B556B" w:themeColor="text2"/>
            </w:tcBorders>
            <w:shd w:val="clear" w:color="auto" w:fill="1B556B" w:themeFill="text2"/>
            <w:tcMar>
              <w:top w:w="0" w:type="dxa"/>
              <w:left w:w="85" w:type="dxa"/>
              <w:bottom w:w="0" w:type="dxa"/>
              <w:right w:w="85" w:type="dxa"/>
            </w:tcMar>
            <w:vAlign w:val="bottom"/>
          </w:tcPr>
          <w:p w14:paraId="3C5CDAC8" w14:textId="77777777" w:rsidR="00447423" w:rsidRPr="002A3CBE" w:rsidRDefault="00447423" w:rsidP="00F16E23">
            <w:pPr>
              <w:pStyle w:val="TableTextBold"/>
              <w:spacing w:after="0"/>
              <w:jc w:val="right"/>
              <w:rPr>
                <w:rFonts w:eastAsia="Calibri"/>
                <w:noProof w:val="0"/>
                <w:color w:val="FFFFFF" w:themeColor="background1"/>
              </w:rPr>
            </w:pPr>
          </w:p>
        </w:tc>
        <w:tc>
          <w:tcPr>
            <w:tcW w:w="2297" w:type="dxa"/>
            <w:tcBorders>
              <w:top w:val="single" w:sz="4" w:space="0" w:color="1B556B" w:themeColor="text2"/>
              <w:left w:val="nil"/>
            </w:tcBorders>
            <w:shd w:val="clear" w:color="auto" w:fill="1B556B" w:themeFill="text2"/>
            <w:vAlign w:val="bottom"/>
          </w:tcPr>
          <w:p w14:paraId="514208C4" w14:textId="77777777" w:rsidR="00447423" w:rsidRPr="002A3CBE" w:rsidRDefault="00447423" w:rsidP="00F16E23">
            <w:pPr>
              <w:pStyle w:val="TableTextBold"/>
              <w:spacing w:after="0"/>
              <w:jc w:val="right"/>
              <w:rPr>
                <w:rFonts w:eastAsia="Calibri"/>
                <w:noProof w:val="0"/>
                <w:color w:val="FFFFFF" w:themeColor="background1"/>
              </w:rPr>
            </w:pPr>
          </w:p>
        </w:tc>
        <w:tc>
          <w:tcPr>
            <w:tcW w:w="2876" w:type="dxa"/>
            <w:gridSpan w:val="4"/>
            <w:tcBorders>
              <w:top w:val="single" w:sz="4" w:space="0" w:color="1B556B" w:themeColor="text2"/>
            </w:tcBorders>
            <w:shd w:val="clear" w:color="auto" w:fill="1B556B" w:themeFill="text2"/>
            <w:tcMar>
              <w:top w:w="0" w:type="dxa"/>
              <w:left w:w="85" w:type="dxa"/>
              <w:bottom w:w="0" w:type="dxa"/>
              <w:right w:w="85" w:type="dxa"/>
            </w:tcMar>
            <w:vAlign w:val="bottom"/>
          </w:tcPr>
          <w:p w14:paraId="6D57266F" w14:textId="77777777" w:rsidR="00447423" w:rsidRPr="002A3CBE" w:rsidRDefault="00447423" w:rsidP="00F16E23">
            <w:pPr>
              <w:pStyle w:val="TableTextBold"/>
              <w:spacing w:after="0"/>
              <w:jc w:val="center"/>
              <w:rPr>
                <w:rFonts w:eastAsia="Calibri"/>
                <w:noProof w:val="0"/>
                <w:color w:val="FFFFFF" w:themeColor="background1"/>
              </w:rPr>
            </w:pPr>
            <w:r w:rsidRPr="002A3CBE">
              <w:rPr>
                <w:rFonts w:eastAsia="Calibri"/>
                <w:noProof w:val="0"/>
                <w:color w:val="FFFFFF" w:themeColor="background1"/>
              </w:rPr>
              <w:t>Forest land</w:t>
            </w:r>
          </w:p>
        </w:tc>
        <w:tc>
          <w:tcPr>
            <w:tcW w:w="1438" w:type="dxa"/>
            <w:gridSpan w:val="2"/>
            <w:tcBorders>
              <w:top w:val="single" w:sz="4" w:space="0" w:color="1B556B" w:themeColor="text2"/>
            </w:tcBorders>
            <w:shd w:val="clear" w:color="auto" w:fill="1B556B" w:themeFill="text2"/>
            <w:tcMar>
              <w:top w:w="0" w:type="dxa"/>
              <w:left w:w="85" w:type="dxa"/>
              <w:bottom w:w="0" w:type="dxa"/>
              <w:right w:w="85" w:type="dxa"/>
            </w:tcMar>
            <w:vAlign w:val="bottom"/>
          </w:tcPr>
          <w:p w14:paraId="436A6B5B" w14:textId="77777777" w:rsidR="00447423" w:rsidRPr="002A3CBE" w:rsidRDefault="00447423" w:rsidP="00F16E23">
            <w:pPr>
              <w:pStyle w:val="TableTextBold"/>
              <w:spacing w:after="0"/>
              <w:jc w:val="center"/>
              <w:rPr>
                <w:rFonts w:eastAsia="Calibri"/>
                <w:noProof w:val="0"/>
                <w:color w:val="FFFFFF" w:themeColor="background1"/>
              </w:rPr>
            </w:pPr>
            <w:r w:rsidRPr="002A3CBE">
              <w:rPr>
                <w:rFonts w:eastAsia="Calibri"/>
                <w:noProof w:val="0"/>
                <w:color w:val="FFFFFF" w:themeColor="background1"/>
              </w:rPr>
              <w:t>Cropland</w:t>
            </w:r>
          </w:p>
        </w:tc>
        <w:tc>
          <w:tcPr>
            <w:tcW w:w="2157" w:type="dxa"/>
            <w:gridSpan w:val="3"/>
            <w:tcBorders>
              <w:top w:val="single" w:sz="4" w:space="0" w:color="1B556B" w:themeColor="text2"/>
            </w:tcBorders>
            <w:shd w:val="clear" w:color="auto" w:fill="1B556B" w:themeFill="text2"/>
            <w:tcMar>
              <w:top w:w="0" w:type="dxa"/>
              <w:left w:w="85" w:type="dxa"/>
              <w:bottom w:w="0" w:type="dxa"/>
              <w:right w:w="85" w:type="dxa"/>
            </w:tcMar>
            <w:vAlign w:val="bottom"/>
          </w:tcPr>
          <w:p w14:paraId="64A565C9" w14:textId="77777777" w:rsidR="00447423" w:rsidRPr="002A3CBE" w:rsidRDefault="00447423" w:rsidP="00F16E23">
            <w:pPr>
              <w:pStyle w:val="TableTextBold"/>
              <w:spacing w:after="0"/>
              <w:jc w:val="center"/>
              <w:rPr>
                <w:rFonts w:eastAsia="Calibri"/>
                <w:noProof w:val="0"/>
                <w:color w:val="FFFFFF" w:themeColor="background1"/>
              </w:rPr>
            </w:pPr>
            <w:r w:rsidRPr="002A3CBE">
              <w:rPr>
                <w:rFonts w:eastAsia="Calibri"/>
                <w:noProof w:val="0"/>
                <w:color w:val="FFFFFF" w:themeColor="background1"/>
              </w:rPr>
              <w:t>Grassland</w:t>
            </w:r>
          </w:p>
        </w:tc>
        <w:tc>
          <w:tcPr>
            <w:tcW w:w="1438" w:type="dxa"/>
            <w:gridSpan w:val="2"/>
            <w:tcBorders>
              <w:top w:val="single" w:sz="4" w:space="0" w:color="1B556B" w:themeColor="text2"/>
            </w:tcBorders>
            <w:shd w:val="clear" w:color="auto" w:fill="1B556B" w:themeFill="text2"/>
            <w:tcMar>
              <w:top w:w="0" w:type="dxa"/>
              <w:left w:w="85" w:type="dxa"/>
              <w:bottom w:w="0" w:type="dxa"/>
              <w:right w:w="85" w:type="dxa"/>
            </w:tcMar>
            <w:vAlign w:val="bottom"/>
          </w:tcPr>
          <w:p w14:paraId="383EC728" w14:textId="77777777" w:rsidR="00447423" w:rsidRPr="002A3CBE" w:rsidRDefault="00447423" w:rsidP="00F16E23">
            <w:pPr>
              <w:pStyle w:val="TableTextBold"/>
              <w:spacing w:after="0"/>
              <w:jc w:val="center"/>
              <w:rPr>
                <w:rFonts w:eastAsia="Calibri"/>
                <w:noProof w:val="0"/>
                <w:color w:val="FFFFFF" w:themeColor="background1"/>
              </w:rPr>
            </w:pPr>
            <w:r w:rsidRPr="002A3CBE">
              <w:rPr>
                <w:rFonts w:eastAsia="Calibri"/>
                <w:noProof w:val="0"/>
                <w:color w:val="FFFFFF" w:themeColor="background1"/>
              </w:rPr>
              <w:t>Wetlands</w:t>
            </w:r>
          </w:p>
        </w:tc>
        <w:tc>
          <w:tcPr>
            <w:tcW w:w="2588" w:type="dxa"/>
            <w:gridSpan w:val="3"/>
            <w:tcBorders>
              <w:top w:val="single" w:sz="4" w:space="0" w:color="1B556B" w:themeColor="text2"/>
            </w:tcBorders>
            <w:shd w:val="clear" w:color="auto" w:fill="1B556B" w:themeFill="text2"/>
            <w:tcMar>
              <w:top w:w="0" w:type="dxa"/>
              <w:left w:w="85" w:type="dxa"/>
              <w:bottom w:w="0" w:type="dxa"/>
              <w:right w:w="85" w:type="dxa"/>
            </w:tcMar>
            <w:vAlign w:val="bottom"/>
          </w:tcPr>
          <w:p w14:paraId="5B6B1C07" w14:textId="77777777" w:rsidR="00447423" w:rsidRPr="002A3CBE" w:rsidRDefault="00447423" w:rsidP="00F16E23">
            <w:pPr>
              <w:pStyle w:val="TableTextBold"/>
              <w:jc w:val="center"/>
              <w:rPr>
                <w:rFonts w:eastAsia="Calibri"/>
                <w:noProof w:val="0"/>
                <w:color w:val="FFFFFF" w:themeColor="background1"/>
              </w:rPr>
            </w:pPr>
          </w:p>
        </w:tc>
      </w:tr>
      <w:tr w:rsidR="00447423" w:rsidRPr="002A3CBE" w14:paraId="7CABF8BB" w14:textId="77777777" w:rsidTr="00F16E23">
        <w:trPr>
          <w:trHeight w:val="1077"/>
          <w:tblHeader/>
        </w:trPr>
        <w:tc>
          <w:tcPr>
            <w:tcW w:w="1154" w:type="dxa"/>
            <w:tcBorders>
              <w:bottom w:val="single" w:sz="4" w:space="0" w:color="1B556B" w:themeColor="text2"/>
            </w:tcBorders>
            <w:shd w:val="clear" w:color="auto" w:fill="1B556B" w:themeFill="text2"/>
            <w:tcMar>
              <w:top w:w="0" w:type="dxa"/>
              <w:left w:w="85" w:type="dxa"/>
              <w:bottom w:w="0" w:type="dxa"/>
              <w:right w:w="85" w:type="dxa"/>
            </w:tcMar>
            <w:vAlign w:val="bottom"/>
          </w:tcPr>
          <w:p w14:paraId="3DFCEC2E" w14:textId="77777777" w:rsidR="00447423" w:rsidRPr="002A3CBE" w:rsidRDefault="00447423" w:rsidP="00F16E23">
            <w:pPr>
              <w:pStyle w:val="TableTextBold"/>
              <w:spacing w:before="0"/>
              <w:rPr>
                <w:rFonts w:eastAsia="Calibri"/>
                <w:noProof w:val="0"/>
              </w:rPr>
            </w:pPr>
            <w:r w:rsidRPr="002A3CBE">
              <w:rPr>
                <w:rFonts w:eastAsia="Calibri"/>
                <w:noProof w:val="0"/>
                <w:color w:val="FFFFFF" w:themeColor="background1"/>
              </w:rPr>
              <w:t>1989 land use</w:t>
            </w:r>
          </w:p>
        </w:tc>
        <w:tc>
          <w:tcPr>
            <w:tcW w:w="2297" w:type="dxa"/>
            <w:tcBorders>
              <w:left w:val="nil"/>
              <w:bottom w:val="single" w:sz="4" w:space="0" w:color="1B556B"/>
            </w:tcBorders>
            <w:shd w:val="clear" w:color="auto" w:fill="1B556B" w:themeFill="text2"/>
            <w:vAlign w:val="bottom"/>
          </w:tcPr>
          <w:p w14:paraId="2AFD7096" w14:textId="77777777" w:rsidR="00447423" w:rsidRPr="002A3CBE" w:rsidRDefault="00447423" w:rsidP="00F16E23">
            <w:pPr>
              <w:pStyle w:val="TableTextBold"/>
              <w:spacing w:before="0"/>
              <w:rPr>
                <w:rFonts w:eastAsia="Calibri"/>
                <w:noProof w:val="0"/>
              </w:rPr>
            </w:pPr>
            <w:r w:rsidRPr="002A3CBE">
              <w:rPr>
                <w:rFonts w:eastAsia="Calibri"/>
                <w:noProof w:val="0"/>
                <w:color w:val="FFFFFF" w:themeColor="background1"/>
              </w:rPr>
              <w:t>1962 land use</w:t>
            </w:r>
          </w:p>
        </w:tc>
        <w:tc>
          <w:tcPr>
            <w:tcW w:w="719" w:type="dxa"/>
            <w:tcBorders>
              <w:bottom w:val="single" w:sz="4" w:space="0" w:color="1B556B"/>
            </w:tcBorders>
            <w:shd w:val="clear" w:color="auto" w:fill="1B556B" w:themeFill="text2"/>
            <w:tcMar>
              <w:top w:w="0" w:type="dxa"/>
              <w:left w:w="85" w:type="dxa"/>
              <w:bottom w:w="0" w:type="dxa"/>
              <w:right w:w="85" w:type="dxa"/>
            </w:tcMar>
            <w:textDirection w:val="btLr"/>
          </w:tcPr>
          <w:p w14:paraId="57D4F618"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Pre-1990 natural</w:t>
            </w:r>
          </w:p>
        </w:tc>
        <w:tc>
          <w:tcPr>
            <w:tcW w:w="719" w:type="dxa"/>
            <w:tcBorders>
              <w:bottom w:val="single" w:sz="4" w:space="0" w:color="1B556B"/>
            </w:tcBorders>
            <w:shd w:val="clear" w:color="auto" w:fill="1B556B" w:themeFill="text2"/>
            <w:tcMar>
              <w:top w:w="0" w:type="dxa"/>
              <w:left w:w="85" w:type="dxa"/>
              <w:bottom w:w="0" w:type="dxa"/>
              <w:right w:w="85" w:type="dxa"/>
            </w:tcMar>
            <w:textDirection w:val="btLr"/>
          </w:tcPr>
          <w:p w14:paraId="1FF1DB20"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Pre-1990 planted</w:t>
            </w:r>
          </w:p>
        </w:tc>
        <w:tc>
          <w:tcPr>
            <w:tcW w:w="719" w:type="dxa"/>
            <w:tcBorders>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1C701D63"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Post-1989 planted</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142432BD"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Post-1989 natural</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4BBB32FC"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Annual</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679FBB78"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Perennial</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75E7E732"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High producing</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5C9D6BFD"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Low producing</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1E44A872"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With woody biomass</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4AFEE798"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Open water</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30078551"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Vegetated</w:t>
            </w:r>
          </w:p>
        </w:tc>
        <w:tc>
          <w:tcPr>
            <w:tcW w:w="719" w:type="dxa"/>
            <w:tcBorders>
              <w:left w:val="single" w:sz="4" w:space="0" w:color="1B556B" w:themeColor="text2"/>
              <w:bottom w:val="single" w:sz="4" w:space="0" w:color="1B556B"/>
              <w:right w:val="single" w:sz="4" w:space="0" w:color="1B556B" w:themeColor="text2"/>
            </w:tcBorders>
            <w:shd w:val="clear" w:color="auto" w:fill="1B556B" w:themeFill="text2"/>
            <w:tcMar>
              <w:top w:w="0" w:type="dxa"/>
              <w:left w:w="85" w:type="dxa"/>
              <w:bottom w:w="0" w:type="dxa"/>
              <w:right w:w="85" w:type="dxa"/>
            </w:tcMar>
            <w:textDirection w:val="btLr"/>
          </w:tcPr>
          <w:p w14:paraId="2B9238C3"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Settlements</w:t>
            </w:r>
          </w:p>
        </w:tc>
        <w:tc>
          <w:tcPr>
            <w:tcW w:w="719" w:type="dxa"/>
            <w:tcBorders>
              <w:left w:val="single" w:sz="4" w:space="0" w:color="1B556B" w:themeColor="text2"/>
              <w:bottom w:val="single" w:sz="4" w:space="0" w:color="1B556B"/>
            </w:tcBorders>
            <w:shd w:val="clear" w:color="auto" w:fill="1B556B" w:themeFill="text2"/>
            <w:tcMar>
              <w:top w:w="0" w:type="dxa"/>
              <w:left w:w="85" w:type="dxa"/>
              <w:bottom w:w="0" w:type="dxa"/>
              <w:right w:w="85" w:type="dxa"/>
            </w:tcMar>
            <w:textDirection w:val="btLr"/>
          </w:tcPr>
          <w:p w14:paraId="23985D7E" w14:textId="77777777" w:rsidR="00447423" w:rsidRPr="002A3CBE" w:rsidRDefault="00447423" w:rsidP="00F16E23">
            <w:pPr>
              <w:pBdr>
                <w:top w:val="none" w:sz="0" w:space="0" w:color="000000"/>
                <w:left w:val="none" w:sz="0" w:space="0" w:color="000000"/>
                <w:bottom w:val="none" w:sz="0" w:space="0" w:color="000000"/>
                <w:right w:val="none" w:sz="0" w:space="0" w:color="000000"/>
              </w:pBdr>
              <w:ind w:left="100" w:right="100"/>
              <w:rPr>
                <w:rFonts w:eastAsia="Calibri" w:cs="Calibri"/>
                <w:b/>
                <w:color w:val="FFFFFF"/>
                <w:sz w:val="16"/>
                <w:szCs w:val="16"/>
              </w:rPr>
            </w:pPr>
            <w:r w:rsidRPr="002A3CBE">
              <w:rPr>
                <w:rFonts w:eastAsia="Calibri" w:cs="Calibri"/>
                <w:b/>
                <w:color w:val="FFFFFF"/>
                <w:sz w:val="16"/>
                <w:szCs w:val="16"/>
              </w:rPr>
              <w:t>Other land</w:t>
            </w:r>
          </w:p>
        </w:tc>
        <w:tc>
          <w:tcPr>
            <w:tcW w:w="1150" w:type="dxa"/>
            <w:tcBorders>
              <w:bottom w:val="single" w:sz="4" w:space="0" w:color="1B556B"/>
            </w:tcBorders>
            <w:shd w:val="clear" w:color="auto" w:fill="1B556B" w:themeFill="text2"/>
            <w:tcMar>
              <w:top w:w="0" w:type="dxa"/>
              <w:left w:w="85" w:type="dxa"/>
              <w:bottom w:w="0" w:type="dxa"/>
              <w:right w:w="85" w:type="dxa"/>
            </w:tcMar>
            <w:vAlign w:val="bottom"/>
          </w:tcPr>
          <w:p w14:paraId="27477DA5" w14:textId="77777777" w:rsidR="00447423" w:rsidRPr="002A3CBE" w:rsidRDefault="00447423" w:rsidP="00282B4E">
            <w:pPr>
              <w:pBdr>
                <w:top w:val="none" w:sz="0" w:space="0" w:color="000000"/>
                <w:left w:val="none" w:sz="0" w:space="0" w:color="000000"/>
                <w:bottom w:val="none" w:sz="0" w:space="0" w:color="000000"/>
                <w:right w:val="none" w:sz="0" w:space="0" w:color="000000"/>
              </w:pBdr>
              <w:spacing w:after="60"/>
              <w:ind w:left="100" w:right="100"/>
              <w:jc w:val="right"/>
              <w:rPr>
                <w:rFonts w:eastAsia="Calibri" w:cs="Calibri"/>
                <w:b/>
                <w:color w:val="FFFFFF"/>
                <w:sz w:val="16"/>
                <w:szCs w:val="16"/>
              </w:rPr>
            </w:pPr>
            <w:r w:rsidRPr="002A3CBE">
              <w:rPr>
                <w:rFonts w:eastAsia="Calibri" w:cs="Calibri"/>
                <w:b/>
                <w:color w:val="FFFFFF"/>
                <w:sz w:val="16"/>
                <w:szCs w:val="16"/>
              </w:rPr>
              <w:t>Net area 31 Dec 1989 (kha)</w:t>
            </w:r>
          </w:p>
        </w:tc>
      </w:tr>
      <w:tr w:rsidR="00447423" w:rsidRPr="002A3CBE" w14:paraId="2420EBAF" w14:textId="77777777" w:rsidTr="00F16E23">
        <w:tc>
          <w:tcPr>
            <w:tcW w:w="1151" w:type="dxa"/>
            <w:vMerge w:val="restart"/>
            <w:tcBorders>
              <w:top w:val="single" w:sz="4" w:space="0" w:color="1B556B" w:themeColor="text2"/>
              <w:left w:val="single" w:sz="4" w:space="0" w:color="FFFFFF"/>
              <w:bottom w:val="single" w:sz="8" w:space="0" w:color="1B556B"/>
            </w:tcBorders>
            <w:shd w:val="clear" w:color="auto" w:fill="FFFFFF"/>
            <w:tcMar>
              <w:top w:w="0" w:type="dxa"/>
              <w:left w:w="85" w:type="dxa"/>
              <w:bottom w:w="0" w:type="dxa"/>
              <w:right w:w="85" w:type="dxa"/>
            </w:tcMar>
          </w:tcPr>
          <w:p w14:paraId="6C721D4F" w14:textId="77777777" w:rsidR="00447423" w:rsidRPr="002A3CBE" w:rsidRDefault="00447423" w:rsidP="00F16E23">
            <w:pPr>
              <w:pStyle w:val="TableTextBold"/>
              <w:rPr>
                <w:rFonts w:eastAsia="Calibri"/>
                <w:noProof w:val="0"/>
              </w:rPr>
            </w:pPr>
            <w:r w:rsidRPr="002A3CBE">
              <w:rPr>
                <w:rFonts w:eastAsia="Calibri"/>
                <w:noProof w:val="0"/>
              </w:rPr>
              <w:t>Forest land</w:t>
            </w:r>
          </w:p>
        </w:tc>
        <w:tc>
          <w:tcPr>
            <w:tcW w:w="230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0DB57CE" w14:textId="77777777" w:rsidR="00447423" w:rsidRPr="002A3CBE" w:rsidRDefault="00447423" w:rsidP="00F16E23">
            <w:pPr>
              <w:pStyle w:val="TableText"/>
              <w:rPr>
                <w:rFonts w:eastAsia="Calibri"/>
              </w:rPr>
            </w:pPr>
            <w:r w:rsidRPr="002A3CBE">
              <w:rPr>
                <w:rFonts w:eastAsia="Calibri"/>
              </w:rPr>
              <w:t>Pre-1990 natural</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29C480A2" w14:textId="77777777" w:rsidR="00447423" w:rsidRPr="002A3CBE" w:rsidRDefault="00447423" w:rsidP="00F16E23">
            <w:pPr>
              <w:pStyle w:val="TableText"/>
              <w:jc w:val="right"/>
              <w:rPr>
                <w:rFonts w:eastAsia="Calibri"/>
              </w:rPr>
            </w:pPr>
            <w:r w:rsidRPr="002A3CBE">
              <w:rPr>
                <w:rFonts w:eastAsia="Calibri"/>
              </w:rPr>
              <w:t>7,771</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28797F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6DF06F9" w14:textId="77777777" w:rsidR="00447423" w:rsidRPr="002A3CBE" w:rsidRDefault="00447423" w:rsidP="00F16E23">
            <w:pPr>
              <w:pStyle w:val="TableText"/>
              <w:jc w:val="right"/>
              <w:rPr>
                <w:rFonts w:asciiTheme="minorHAnsi" w:eastAsia="Calibri" w:hAnsiTheme="minorHAnsi" w:cstheme="minorHAns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51B69AE" w14:textId="77777777" w:rsidR="00447423" w:rsidRPr="002A3CBE" w:rsidRDefault="00447423" w:rsidP="00F16E23">
            <w:pPr>
              <w:pStyle w:val="TableText"/>
              <w:jc w:val="right"/>
              <w:rPr>
                <w:rFonts w:asciiTheme="minorHAnsi" w:eastAsia="Calibri" w:hAnsiTheme="minorHAnsi" w:cstheme="minorHAns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7B20F47" w14:textId="77777777" w:rsidR="00447423" w:rsidRPr="002A3CBE" w:rsidRDefault="00447423" w:rsidP="00F16E23">
            <w:pPr>
              <w:pStyle w:val="TableText"/>
              <w:jc w:val="right"/>
              <w:rPr>
                <w:rFonts w:asciiTheme="minorHAnsi" w:eastAsia="Calibri" w:hAnsiTheme="minorHAnsi" w:cstheme="minorHAns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500F32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07E0420"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D71265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8D925A8" w14:textId="77777777" w:rsidR="00447423" w:rsidRPr="002A3CBE" w:rsidRDefault="00447423" w:rsidP="00F16E23">
            <w:pPr>
              <w:pStyle w:val="TableText"/>
              <w:jc w:val="right"/>
              <w:rPr>
                <w:rFonts w:eastAsia="Calibri"/>
              </w:rPr>
            </w:pPr>
            <w:r w:rsidRPr="002A3CBE">
              <w:rPr>
                <w:rFonts w:eastAsia="Calibri"/>
              </w:rPr>
              <w:t>42</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D868B8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DA295C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159AD5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85AE01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1534F95" w14:textId="77777777" w:rsidR="00447423" w:rsidRPr="002A3CBE" w:rsidRDefault="00447423" w:rsidP="00F16E23">
            <w:pPr>
              <w:pStyle w:val="TableTextBold"/>
              <w:jc w:val="right"/>
              <w:rPr>
                <w:rFonts w:eastAsia="Calibri"/>
                <w:noProof w:val="0"/>
              </w:rPr>
            </w:pPr>
            <w:r w:rsidRPr="002A3CBE">
              <w:rPr>
                <w:rFonts w:eastAsia="Calibri"/>
                <w:noProof w:val="0"/>
              </w:rPr>
              <w:t>7,813</w:t>
            </w:r>
          </w:p>
        </w:tc>
      </w:tr>
      <w:tr w:rsidR="00447423" w:rsidRPr="002A3CBE" w14:paraId="291FF79D" w14:textId="77777777" w:rsidTr="00F16E23">
        <w:tc>
          <w:tcPr>
            <w:tcW w:w="1151" w:type="dxa"/>
            <w:vMerge/>
            <w:tcBorders>
              <w:top w:val="single" w:sz="8" w:space="0" w:color="1B556B"/>
              <w:left w:val="single" w:sz="4" w:space="0" w:color="FFFFFF"/>
              <w:bottom w:val="single" w:sz="8" w:space="0" w:color="1B556B"/>
            </w:tcBorders>
            <w:shd w:val="clear" w:color="auto" w:fill="FFFFFF"/>
            <w:tcMar>
              <w:top w:w="0" w:type="dxa"/>
              <w:left w:w="85" w:type="dxa"/>
              <w:bottom w:w="0" w:type="dxa"/>
              <w:right w:w="85" w:type="dxa"/>
            </w:tcMar>
          </w:tcPr>
          <w:p w14:paraId="1DFE696D" w14:textId="77777777" w:rsidR="00447423" w:rsidRPr="002A3CBE" w:rsidRDefault="00447423" w:rsidP="00F16E23">
            <w:pPr>
              <w:pStyle w:val="TableTextBold"/>
              <w:rPr>
                <w:rFonts w:eastAsia="Calibri"/>
                <w:noProof w:val="0"/>
              </w:rPr>
            </w:pPr>
          </w:p>
        </w:tc>
        <w:tc>
          <w:tcPr>
            <w:tcW w:w="230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41F2DB3" w14:textId="77777777" w:rsidR="00447423" w:rsidRPr="002A3CBE" w:rsidRDefault="00447423" w:rsidP="00F16E23">
            <w:pPr>
              <w:pStyle w:val="TableText"/>
              <w:rPr>
                <w:rFonts w:eastAsia="Calibri"/>
              </w:rPr>
            </w:pPr>
            <w:r w:rsidRPr="002A3CBE">
              <w:rPr>
                <w:rFonts w:eastAsia="Calibri"/>
              </w:rPr>
              <w:t>Pre-1990 planted</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B290138" w14:textId="77777777" w:rsidR="00447423" w:rsidRPr="002A3CBE" w:rsidRDefault="00447423" w:rsidP="00F16E23">
            <w:pPr>
              <w:pStyle w:val="TableText"/>
              <w:jc w:val="right"/>
              <w:rPr>
                <w:rFonts w:eastAsia="Calibri"/>
              </w:rPr>
            </w:pPr>
            <w:r w:rsidRPr="002A3CBE">
              <w:rPr>
                <w:rFonts w:eastAsia="Calibri"/>
              </w:rPr>
              <w:t>302</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6F20AF56" w14:textId="77777777" w:rsidR="00447423" w:rsidRPr="002A3CBE" w:rsidRDefault="00447423" w:rsidP="00F16E23">
            <w:pPr>
              <w:pStyle w:val="TableText"/>
              <w:jc w:val="right"/>
              <w:rPr>
                <w:rFonts w:eastAsia="Calibri"/>
              </w:rPr>
            </w:pPr>
            <w:r w:rsidRPr="002A3CBE">
              <w:rPr>
                <w:rFonts w:eastAsia="Calibri"/>
              </w:rPr>
              <w:t>453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3F368F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C0E5C7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DFD21F0"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30BA13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034C18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2F220C0" w14:textId="77777777" w:rsidR="00447423" w:rsidRPr="002A3CBE" w:rsidRDefault="00447423" w:rsidP="00F16E23">
            <w:pPr>
              <w:pStyle w:val="TableText"/>
              <w:jc w:val="right"/>
              <w:rPr>
                <w:rFonts w:eastAsia="Calibri"/>
              </w:rPr>
            </w:pPr>
            <w:r w:rsidRPr="002A3CBE">
              <w:rPr>
                <w:rFonts w:eastAsia="Calibri"/>
              </w:rPr>
              <w:t>399</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DDF607B" w14:textId="77777777" w:rsidR="00447423" w:rsidRPr="002A3CBE" w:rsidRDefault="00447423" w:rsidP="00F16E23">
            <w:pPr>
              <w:pStyle w:val="TableText"/>
              <w:jc w:val="right"/>
              <w:rPr>
                <w:rFonts w:eastAsia="Calibri"/>
              </w:rPr>
            </w:pPr>
            <w:r w:rsidRPr="002A3CBE">
              <w:rPr>
                <w:rFonts w:eastAsia="Calibri"/>
              </w:rPr>
              <w:t>393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D853CE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B7E4B2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716CE5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0F6ED5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BFD2277" w14:textId="77777777" w:rsidR="00447423" w:rsidRPr="002A3CBE" w:rsidRDefault="00447423" w:rsidP="00F16E23">
            <w:pPr>
              <w:pStyle w:val="TableTextBold"/>
              <w:jc w:val="right"/>
              <w:rPr>
                <w:rFonts w:eastAsia="Calibri"/>
                <w:noProof w:val="0"/>
              </w:rPr>
            </w:pPr>
            <w:r w:rsidRPr="002A3CBE">
              <w:rPr>
                <w:rFonts w:eastAsia="Calibri"/>
                <w:noProof w:val="0"/>
              </w:rPr>
              <w:t>1,547</w:t>
            </w:r>
          </w:p>
        </w:tc>
      </w:tr>
      <w:tr w:rsidR="00447423" w:rsidRPr="002A3CBE" w14:paraId="082D4544" w14:textId="77777777" w:rsidTr="00F16E23">
        <w:tc>
          <w:tcPr>
            <w:tcW w:w="1151" w:type="dxa"/>
            <w:vMerge/>
            <w:tcBorders>
              <w:top w:val="single" w:sz="8" w:space="0" w:color="1B556B"/>
              <w:left w:val="single" w:sz="4" w:space="0" w:color="FFFFFF"/>
              <w:bottom w:val="single" w:sz="8" w:space="0" w:color="1B556B"/>
            </w:tcBorders>
            <w:shd w:val="clear" w:color="auto" w:fill="FFFFFF"/>
            <w:tcMar>
              <w:top w:w="0" w:type="dxa"/>
              <w:left w:w="85" w:type="dxa"/>
              <w:bottom w:w="0" w:type="dxa"/>
              <w:right w:w="85" w:type="dxa"/>
            </w:tcMar>
          </w:tcPr>
          <w:p w14:paraId="4A6B0758" w14:textId="77777777" w:rsidR="00447423" w:rsidRPr="002A3CBE" w:rsidRDefault="00447423" w:rsidP="00F16E23">
            <w:pPr>
              <w:pStyle w:val="TableTextBold"/>
              <w:rPr>
                <w:rFonts w:eastAsia="Calibri"/>
                <w:noProof w:val="0"/>
              </w:rPr>
            </w:pPr>
          </w:p>
        </w:tc>
        <w:tc>
          <w:tcPr>
            <w:tcW w:w="230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705957C" w14:textId="77777777" w:rsidR="00447423" w:rsidRPr="002A3CBE" w:rsidRDefault="00447423" w:rsidP="00F16E23">
            <w:pPr>
              <w:pStyle w:val="TableText"/>
              <w:rPr>
                <w:rFonts w:eastAsia="Calibri"/>
              </w:rPr>
            </w:pPr>
            <w:r w:rsidRPr="002A3CBE">
              <w:rPr>
                <w:rFonts w:eastAsia="Calibri"/>
              </w:rPr>
              <w:t>Post-1989 planted</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C4479B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9FDEF6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4DD6AD9E" w14:textId="77777777" w:rsidR="00447423" w:rsidRPr="002A3CBE" w:rsidRDefault="00447423" w:rsidP="00F16E23">
            <w:pPr>
              <w:pStyle w:val="TableText"/>
              <w:jc w:val="right"/>
              <w:rPr>
                <w:rFonts w:eastAsia="Calibri"/>
              </w:rPr>
            </w:pPr>
            <w:r w:rsidRPr="002A3CBE">
              <w:rPr>
                <w:rFonts w:eastAsia="Calibri"/>
              </w:rPr>
              <w:t>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FCF66C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2A5EA9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2252243"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5A0066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7239C9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C3BAD5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875C3F0"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8EAA62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CF50973"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F784E1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55926AB" w14:textId="77777777" w:rsidR="00447423" w:rsidRPr="002A3CBE" w:rsidRDefault="00447423" w:rsidP="00F16E23">
            <w:pPr>
              <w:pStyle w:val="TableTextBold"/>
              <w:jc w:val="right"/>
              <w:rPr>
                <w:rFonts w:eastAsia="Calibri"/>
                <w:noProof w:val="0"/>
              </w:rPr>
            </w:pPr>
            <w:r w:rsidRPr="002A3CBE">
              <w:rPr>
                <w:rFonts w:eastAsia="Calibri"/>
                <w:noProof w:val="0"/>
              </w:rPr>
              <w:t>0</w:t>
            </w:r>
          </w:p>
        </w:tc>
      </w:tr>
      <w:tr w:rsidR="00447423" w:rsidRPr="002A3CBE" w14:paraId="72B11D63" w14:textId="77777777" w:rsidTr="00F16E23">
        <w:tc>
          <w:tcPr>
            <w:tcW w:w="1151" w:type="dxa"/>
            <w:vMerge/>
            <w:tcBorders>
              <w:top w:val="single" w:sz="8" w:space="0" w:color="1B556B"/>
              <w:left w:val="single" w:sz="4" w:space="0" w:color="FFFFFF"/>
              <w:bottom w:val="single" w:sz="4" w:space="0" w:color="1B556B"/>
            </w:tcBorders>
            <w:shd w:val="clear" w:color="auto" w:fill="FFFFFF"/>
            <w:tcMar>
              <w:top w:w="0" w:type="dxa"/>
              <w:left w:w="85" w:type="dxa"/>
              <w:bottom w:w="0" w:type="dxa"/>
              <w:right w:w="85" w:type="dxa"/>
            </w:tcMar>
          </w:tcPr>
          <w:p w14:paraId="4BC6FEB2" w14:textId="77777777" w:rsidR="00447423" w:rsidRPr="002A3CBE" w:rsidRDefault="00447423" w:rsidP="00F16E23">
            <w:pPr>
              <w:pStyle w:val="TableTextBold"/>
              <w:rPr>
                <w:rFonts w:eastAsia="Calibri"/>
                <w:noProof w:val="0"/>
              </w:rPr>
            </w:pPr>
          </w:p>
        </w:tc>
        <w:tc>
          <w:tcPr>
            <w:tcW w:w="230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C25C6F6" w14:textId="77777777" w:rsidR="00447423" w:rsidRPr="002A3CBE" w:rsidRDefault="00447423" w:rsidP="00F16E23">
            <w:pPr>
              <w:pStyle w:val="TableText"/>
              <w:rPr>
                <w:rFonts w:eastAsia="Calibri"/>
              </w:rPr>
            </w:pPr>
            <w:r w:rsidRPr="002A3CBE">
              <w:rPr>
                <w:rFonts w:eastAsia="Calibri"/>
              </w:rPr>
              <w:t>Post-1989 natural</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04E8C1B"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061BF4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0F2D31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5E99E9B5" w14:textId="77777777" w:rsidR="00447423" w:rsidRPr="002A3CBE" w:rsidRDefault="00447423" w:rsidP="00F16E23">
            <w:pPr>
              <w:pStyle w:val="TableText"/>
              <w:jc w:val="right"/>
              <w:rPr>
                <w:rFonts w:eastAsia="Calibri"/>
              </w:rPr>
            </w:pPr>
            <w:r w:rsidRPr="002A3CBE">
              <w:rPr>
                <w:rFonts w:eastAsia="Calibri"/>
              </w:rPr>
              <w:t>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1A7AD5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8B2456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A1DC6A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35BCC8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3C1AC7C"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802E44B"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1FCE38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DB129B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09A983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5CD5E8D" w14:textId="77777777" w:rsidR="00447423" w:rsidRPr="002A3CBE" w:rsidRDefault="00447423" w:rsidP="00F16E23">
            <w:pPr>
              <w:pStyle w:val="TableTextBold"/>
              <w:jc w:val="right"/>
              <w:rPr>
                <w:rFonts w:eastAsia="Calibri"/>
                <w:noProof w:val="0"/>
              </w:rPr>
            </w:pPr>
            <w:r w:rsidRPr="002A3CBE">
              <w:rPr>
                <w:rFonts w:eastAsia="Calibri"/>
                <w:noProof w:val="0"/>
              </w:rPr>
              <w:t>0</w:t>
            </w:r>
          </w:p>
        </w:tc>
      </w:tr>
      <w:tr w:rsidR="00447423" w:rsidRPr="002A3CBE" w14:paraId="315CE41F" w14:textId="77777777" w:rsidTr="00F16E23">
        <w:tc>
          <w:tcPr>
            <w:tcW w:w="1151" w:type="dxa"/>
            <w:vMerge w:val="restart"/>
            <w:tcBorders>
              <w:top w:val="single" w:sz="4" w:space="0" w:color="1B556B"/>
              <w:bottom w:val="single" w:sz="4" w:space="0" w:color="1B556B"/>
            </w:tcBorders>
            <w:shd w:val="clear" w:color="auto" w:fill="FFFFFF"/>
            <w:tcMar>
              <w:top w:w="0" w:type="dxa"/>
              <w:left w:w="85" w:type="dxa"/>
              <w:bottom w:w="0" w:type="dxa"/>
              <w:right w:w="85" w:type="dxa"/>
            </w:tcMar>
          </w:tcPr>
          <w:p w14:paraId="0FC1664A" w14:textId="77777777" w:rsidR="00447423" w:rsidRPr="002A3CBE" w:rsidRDefault="00447423" w:rsidP="00F16E23">
            <w:pPr>
              <w:pStyle w:val="TableTextBold"/>
              <w:rPr>
                <w:rFonts w:eastAsia="Calibri"/>
                <w:noProof w:val="0"/>
              </w:rPr>
            </w:pPr>
            <w:r w:rsidRPr="002A3CBE">
              <w:rPr>
                <w:rFonts w:eastAsia="Calibri"/>
                <w:noProof w:val="0"/>
              </w:rPr>
              <w:t>Cropland</w:t>
            </w:r>
          </w:p>
        </w:tc>
        <w:tc>
          <w:tcPr>
            <w:tcW w:w="2300" w:type="dxa"/>
            <w:tcBorders>
              <w:top w:val="single" w:sz="4" w:space="0" w:color="1B556B"/>
              <w:left w:val="nil"/>
              <w:bottom w:val="single" w:sz="4" w:space="0" w:color="1B556B"/>
              <w:right w:val="none" w:sz="0" w:space="0" w:color="000000"/>
            </w:tcBorders>
            <w:shd w:val="clear" w:color="auto" w:fill="FFFFFF"/>
            <w:tcMar>
              <w:top w:w="0" w:type="dxa"/>
              <w:left w:w="85" w:type="dxa"/>
              <w:bottom w:w="0" w:type="dxa"/>
              <w:right w:w="85" w:type="dxa"/>
            </w:tcMar>
            <w:vAlign w:val="center"/>
          </w:tcPr>
          <w:p w14:paraId="097DDA29" w14:textId="77777777" w:rsidR="00447423" w:rsidRPr="002A3CBE" w:rsidRDefault="00447423" w:rsidP="00F16E23">
            <w:pPr>
              <w:pStyle w:val="TableText"/>
              <w:rPr>
                <w:rFonts w:eastAsia="Calibri"/>
              </w:rPr>
            </w:pPr>
            <w:r w:rsidRPr="002A3CBE">
              <w:rPr>
                <w:rFonts w:eastAsia="Calibri"/>
              </w:rPr>
              <w:t>Annual</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3C270FF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419D467C"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49A5DA43"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7AB326A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D2DDE1"/>
            <w:tcMar>
              <w:top w:w="0" w:type="dxa"/>
              <w:left w:w="85" w:type="dxa"/>
              <w:bottom w:w="0" w:type="dxa"/>
              <w:right w:w="85" w:type="dxa"/>
            </w:tcMar>
            <w:vAlign w:val="center"/>
          </w:tcPr>
          <w:p w14:paraId="45DF17EE" w14:textId="77777777" w:rsidR="00447423" w:rsidRPr="002A3CBE" w:rsidRDefault="00447423" w:rsidP="00F16E23">
            <w:pPr>
              <w:pStyle w:val="TableText"/>
              <w:jc w:val="right"/>
              <w:rPr>
                <w:rFonts w:eastAsia="Calibri"/>
              </w:rPr>
            </w:pPr>
            <w:r w:rsidRPr="002A3CBE">
              <w:rPr>
                <w:rFonts w:eastAsia="Calibri"/>
              </w:rPr>
              <w:t>325</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1AA5ED1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6A8546D9" w14:textId="77777777" w:rsidR="00447423" w:rsidRPr="002A3CBE" w:rsidRDefault="00447423" w:rsidP="00F16E23">
            <w:pPr>
              <w:pStyle w:val="TableText"/>
              <w:jc w:val="right"/>
              <w:rPr>
                <w:rFonts w:eastAsia="Calibri"/>
              </w:rPr>
            </w:pPr>
            <w:r w:rsidRPr="002A3CBE">
              <w:rPr>
                <w:rFonts w:eastAsia="Calibri"/>
              </w:rPr>
              <w:t>21</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15FBD537" w14:textId="77777777" w:rsidR="00447423" w:rsidRPr="002A3CBE" w:rsidRDefault="00447423" w:rsidP="00F16E23">
            <w:pPr>
              <w:pStyle w:val="TableText"/>
              <w:jc w:val="right"/>
              <w:rPr>
                <w:rFonts w:eastAsia="Calibri"/>
              </w:rPr>
            </w:pPr>
            <w:r w:rsidRPr="002A3CBE">
              <w:rPr>
                <w:rFonts w:eastAsia="Calibri"/>
              </w:rPr>
              <w:t>9</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792F656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2A52637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35BE522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6162630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left w:val="none" w:sz="0" w:space="0" w:color="000000"/>
              <w:bottom w:val="single" w:sz="4" w:space="0" w:color="1B556B"/>
              <w:right w:val="none" w:sz="0" w:space="0" w:color="000000"/>
            </w:tcBorders>
            <w:shd w:val="clear" w:color="auto" w:fill="FFFFFF"/>
            <w:tcMar>
              <w:top w:w="0" w:type="dxa"/>
              <w:left w:w="85" w:type="dxa"/>
              <w:bottom w:w="0" w:type="dxa"/>
              <w:right w:w="85" w:type="dxa"/>
            </w:tcMar>
            <w:vAlign w:val="center"/>
          </w:tcPr>
          <w:p w14:paraId="167EF57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left w:val="none" w:sz="0" w:space="0" w:color="000000"/>
              <w:bottom w:val="single" w:sz="4" w:space="0" w:color="1B556B"/>
              <w:right w:val="single" w:sz="4" w:space="0" w:color="FFFFFF"/>
            </w:tcBorders>
            <w:shd w:val="clear" w:color="auto" w:fill="FFFFFF"/>
            <w:tcMar>
              <w:top w:w="0" w:type="dxa"/>
              <w:left w:w="85" w:type="dxa"/>
              <w:bottom w:w="0" w:type="dxa"/>
              <w:right w:w="85" w:type="dxa"/>
            </w:tcMar>
            <w:vAlign w:val="center"/>
          </w:tcPr>
          <w:p w14:paraId="1F9BA6DB" w14:textId="77777777" w:rsidR="00447423" w:rsidRPr="002A3CBE" w:rsidRDefault="00447423" w:rsidP="00F16E23">
            <w:pPr>
              <w:pStyle w:val="TableTextBold"/>
              <w:jc w:val="right"/>
              <w:rPr>
                <w:rFonts w:eastAsia="Calibri"/>
                <w:noProof w:val="0"/>
              </w:rPr>
            </w:pPr>
            <w:r w:rsidRPr="002A3CBE">
              <w:rPr>
                <w:rFonts w:eastAsia="Calibri"/>
                <w:noProof w:val="0"/>
              </w:rPr>
              <w:t>355</w:t>
            </w:r>
          </w:p>
        </w:tc>
      </w:tr>
      <w:tr w:rsidR="00447423" w:rsidRPr="002A3CBE" w14:paraId="0C862BB4" w14:textId="77777777" w:rsidTr="00F16E23">
        <w:tc>
          <w:tcPr>
            <w:tcW w:w="1151" w:type="dxa"/>
            <w:vMerge/>
            <w:tcBorders>
              <w:top w:val="single" w:sz="4" w:space="0" w:color="1B556B"/>
              <w:bottom w:val="single" w:sz="4" w:space="0" w:color="1B556B"/>
            </w:tcBorders>
            <w:shd w:val="clear" w:color="auto" w:fill="FFFFFF"/>
            <w:tcMar>
              <w:top w:w="0" w:type="dxa"/>
              <w:left w:w="85" w:type="dxa"/>
              <w:bottom w:w="0" w:type="dxa"/>
              <w:right w:w="85" w:type="dxa"/>
            </w:tcMar>
          </w:tcPr>
          <w:p w14:paraId="53A83474" w14:textId="77777777" w:rsidR="00447423" w:rsidRPr="002A3CBE" w:rsidRDefault="00447423" w:rsidP="00F16E23">
            <w:pPr>
              <w:pStyle w:val="TableTextBold"/>
              <w:rPr>
                <w:rFonts w:eastAsia="Calibri"/>
                <w:noProof w:val="0"/>
              </w:rPr>
            </w:pP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76F13302" w14:textId="77777777" w:rsidR="00447423" w:rsidRPr="002A3CBE" w:rsidRDefault="00447423" w:rsidP="00F16E23">
            <w:pPr>
              <w:pStyle w:val="TableText"/>
              <w:rPr>
                <w:rFonts w:eastAsia="Calibri"/>
              </w:rPr>
            </w:pPr>
            <w:r w:rsidRPr="002A3CBE">
              <w:rPr>
                <w:rFonts w:eastAsia="Calibri"/>
              </w:rPr>
              <w:t>Perennial</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E3ED10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AE5082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F77870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783177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B29066D" w14:textId="77777777" w:rsidR="00447423" w:rsidRPr="002A3CBE" w:rsidRDefault="00447423" w:rsidP="00F16E23">
            <w:pPr>
              <w:pStyle w:val="TableText"/>
              <w:jc w:val="right"/>
              <w:rPr>
                <w:rFonts w:eastAsia="Calibri"/>
              </w:rPr>
            </w:pPr>
            <w:r w:rsidRPr="002A3CBE">
              <w:rPr>
                <w:rFonts w:eastAsia="Calibri"/>
              </w:rPr>
              <w:t>1</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4FE872A4" w14:textId="77777777" w:rsidR="00447423" w:rsidRPr="002A3CBE" w:rsidRDefault="00447423" w:rsidP="00F16E23">
            <w:pPr>
              <w:pStyle w:val="TableText"/>
              <w:jc w:val="right"/>
              <w:rPr>
                <w:rFonts w:eastAsia="Calibri"/>
              </w:rPr>
            </w:pPr>
            <w:r w:rsidRPr="002A3CBE">
              <w:rPr>
                <w:rFonts w:eastAsia="Calibri"/>
              </w:rPr>
              <w:t>59</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382DEC3" w14:textId="77777777" w:rsidR="00447423" w:rsidRPr="002A3CBE" w:rsidRDefault="00447423" w:rsidP="00F16E23">
            <w:pPr>
              <w:pStyle w:val="TableText"/>
              <w:jc w:val="right"/>
              <w:rPr>
                <w:rFonts w:eastAsia="Calibri"/>
              </w:rPr>
            </w:pPr>
            <w:r w:rsidRPr="002A3CBE">
              <w:rPr>
                <w:rFonts w:eastAsia="Calibri"/>
              </w:rPr>
              <w:t>5</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EA8A8DE" w14:textId="77777777" w:rsidR="00447423" w:rsidRPr="002A3CBE" w:rsidRDefault="00447423" w:rsidP="00F16E23">
            <w:pPr>
              <w:pStyle w:val="TableText"/>
              <w:jc w:val="right"/>
              <w:rPr>
                <w:rFonts w:eastAsia="Calibri"/>
              </w:rPr>
            </w:pPr>
            <w:r w:rsidRPr="002A3CBE">
              <w:rPr>
                <w:rFonts w:eastAsia="Calibri"/>
              </w:rPr>
              <w:t>5</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763382B"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46EBCA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7478C1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ED5FDC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275E11C"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F49C7E3" w14:textId="77777777" w:rsidR="00447423" w:rsidRPr="002A3CBE" w:rsidRDefault="00447423" w:rsidP="00F16E23">
            <w:pPr>
              <w:pStyle w:val="TableTextBold"/>
              <w:jc w:val="right"/>
              <w:rPr>
                <w:rFonts w:eastAsia="Calibri"/>
                <w:noProof w:val="0"/>
              </w:rPr>
            </w:pPr>
            <w:r w:rsidRPr="002A3CBE">
              <w:rPr>
                <w:rFonts w:eastAsia="Calibri"/>
                <w:noProof w:val="0"/>
              </w:rPr>
              <w:t>69</w:t>
            </w:r>
          </w:p>
        </w:tc>
      </w:tr>
      <w:tr w:rsidR="00447423" w:rsidRPr="002A3CBE" w14:paraId="22799C05" w14:textId="77777777" w:rsidTr="00F16E23">
        <w:tc>
          <w:tcPr>
            <w:tcW w:w="1151" w:type="dxa"/>
            <w:vMerge w:val="restart"/>
            <w:tcBorders>
              <w:top w:val="single" w:sz="4" w:space="0" w:color="1B556B"/>
              <w:bottom w:val="single" w:sz="4" w:space="0" w:color="1B556B"/>
            </w:tcBorders>
            <w:shd w:val="clear" w:color="auto" w:fill="FFFFFF"/>
            <w:tcMar>
              <w:top w:w="0" w:type="dxa"/>
              <w:left w:w="85" w:type="dxa"/>
              <w:bottom w:w="0" w:type="dxa"/>
              <w:right w:w="85" w:type="dxa"/>
            </w:tcMar>
          </w:tcPr>
          <w:p w14:paraId="124762DF" w14:textId="77777777" w:rsidR="00447423" w:rsidRPr="002A3CBE" w:rsidRDefault="00447423" w:rsidP="00F16E23">
            <w:pPr>
              <w:pStyle w:val="TableTextBold"/>
              <w:rPr>
                <w:rFonts w:eastAsia="Calibri"/>
                <w:noProof w:val="0"/>
              </w:rPr>
            </w:pPr>
            <w:r w:rsidRPr="002A3CBE">
              <w:rPr>
                <w:rFonts w:eastAsia="Calibri"/>
                <w:noProof w:val="0"/>
              </w:rPr>
              <w:t>Grassland</w:t>
            </w: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57A8CD9E" w14:textId="77777777" w:rsidR="00447423" w:rsidRPr="002A3CBE" w:rsidRDefault="00447423" w:rsidP="00F16E23">
            <w:pPr>
              <w:pStyle w:val="TableText"/>
              <w:rPr>
                <w:rFonts w:eastAsia="Calibri"/>
              </w:rPr>
            </w:pPr>
            <w:r w:rsidRPr="002A3CBE">
              <w:rPr>
                <w:rFonts w:eastAsia="Calibri"/>
              </w:rPr>
              <w:t>High producing</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1E5009E" w14:textId="77777777" w:rsidR="00447423" w:rsidRPr="002A3CBE" w:rsidRDefault="00447423" w:rsidP="00F16E23">
            <w:pPr>
              <w:pStyle w:val="TableText"/>
              <w:jc w:val="right"/>
              <w:rPr>
                <w:rFonts w:eastAsia="Calibri"/>
              </w:rPr>
            </w:pPr>
            <w:r w:rsidRPr="002A3CBE">
              <w:rPr>
                <w:rFonts w:eastAsia="Calibri"/>
              </w:rPr>
              <w:t>84</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955552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9B1D73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69A8CC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218B8A4" w14:textId="77777777" w:rsidR="00447423" w:rsidRPr="002A3CBE" w:rsidRDefault="00447423" w:rsidP="00F16E23">
            <w:pPr>
              <w:pStyle w:val="TableText"/>
              <w:jc w:val="right"/>
              <w:rPr>
                <w:rFonts w:eastAsia="Calibri"/>
              </w:rPr>
            </w:pPr>
            <w:r w:rsidRPr="002A3CBE">
              <w:rPr>
                <w:rFonts w:eastAsia="Calibri"/>
              </w:rPr>
              <w:t>23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9704472" w14:textId="77777777" w:rsidR="00447423" w:rsidRPr="002A3CBE" w:rsidRDefault="00447423" w:rsidP="00F16E23">
            <w:pPr>
              <w:pStyle w:val="TableText"/>
              <w:jc w:val="right"/>
              <w:rPr>
                <w:rFonts w:eastAsia="Calibri"/>
              </w:rPr>
            </w:pPr>
            <w:r w:rsidRPr="002A3CBE">
              <w:rPr>
                <w:rFonts w:eastAsia="Calibri"/>
              </w:rPr>
              <w:t>20</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02FE8D3A" w14:textId="77777777" w:rsidR="00447423" w:rsidRPr="002A3CBE" w:rsidRDefault="00447423" w:rsidP="00F16E23">
            <w:pPr>
              <w:pStyle w:val="TableText"/>
              <w:jc w:val="right"/>
              <w:rPr>
                <w:rFonts w:eastAsia="Calibri"/>
              </w:rPr>
            </w:pPr>
            <w:r w:rsidRPr="002A3CBE">
              <w:rPr>
                <w:rFonts w:eastAsia="Calibri"/>
              </w:rPr>
              <w:t>4,809</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A7CAC4E" w14:textId="77777777" w:rsidR="00447423" w:rsidRPr="002A3CBE" w:rsidRDefault="00447423" w:rsidP="00F16E23">
            <w:pPr>
              <w:pStyle w:val="TableText"/>
              <w:jc w:val="right"/>
              <w:rPr>
                <w:rFonts w:eastAsia="Calibri"/>
              </w:rPr>
            </w:pPr>
            <w:r w:rsidRPr="002A3CBE">
              <w:rPr>
                <w:rFonts w:eastAsia="Calibri"/>
              </w:rPr>
              <w:t>461</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BEB1C0F" w14:textId="77777777" w:rsidR="00447423" w:rsidRPr="002A3CBE" w:rsidRDefault="00447423" w:rsidP="00F16E23">
            <w:pPr>
              <w:pStyle w:val="TableText"/>
              <w:jc w:val="right"/>
              <w:rPr>
                <w:rFonts w:eastAsia="Calibri"/>
              </w:rPr>
            </w:pPr>
            <w:r w:rsidRPr="002A3CBE">
              <w:rPr>
                <w:rFonts w:eastAsia="Calibri"/>
              </w:rPr>
              <w:t>346</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5A02F43"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D41DF94" w14:textId="77777777" w:rsidR="00447423" w:rsidRPr="002A3CBE" w:rsidRDefault="00447423" w:rsidP="00F16E23">
            <w:pPr>
              <w:pStyle w:val="TableText"/>
              <w:jc w:val="right"/>
              <w:rPr>
                <w:rFonts w:eastAsia="Calibri"/>
              </w:rPr>
            </w:pPr>
            <w:r w:rsidRPr="002A3CBE">
              <w:rPr>
                <w:rFonts w:eastAsia="Calibri"/>
              </w:rPr>
              <w:t>98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32AFA1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2CA4A6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5964FA0" w14:textId="77777777" w:rsidR="00447423" w:rsidRPr="002A3CBE" w:rsidRDefault="00447423" w:rsidP="00F16E23">
            <w:pPr>
              <w:pStyle w:val="TableTextBold"/>
              <w:jc w:val="right"/>
              <w:rPr>
                <w:rFonts w:eastAsia="Calibri"/>
                <w:noProof w:val="0"/>
              </w:rPr>
            </w:pPr>
            <w:r w:rsidRPr="002A3CBE">
              <w:rPr>
                <w:rFonts w:eastAsia="Calibri"/>
                <w:noProof w:val="0"/>
              </w:rPr>
              <w:t>5,840</w:t>
            </w:r>
          </w:p>
        </w:tc>
      </w:tr>
      <w:tr w:rsidR="00447423" w:rsidRPr="002A3CBE" w14:paraId="16F3199D" w14:textId="77777777" w:rsidTr="00F16E23">
        <w:tc>
          <w:tcPr>
            <w:tcW w:w="1151" w:type="dxa"/>
            <w:vMerge/>
            <w:tcBorders>
              <w:top w:val="single" w:sz="4" w:space="0" w:color="1B556B"/>
              <w:bottom w:val="single" w:sz="4" w:space="0" w:color="1B556B"/>
            </w:tcBorders>
            <w:shd w:val="clear" w:color="auto" w:fill="FFFFFF"/>
            <w:tcMar>
              <w:top w:w="0" w:type="dxa"/>
              <w:left w:w="85" w:type="dxa"/>
              <w:bottom w:w="0" w:type="dxa"/>
              <w:right w:w="85" w:type="dxa"/>
            </w:tcMar>
          </w:tcPr>
          <w:p w14:paraId="2E633F10" w14:textId="77777777" w:rsidR="00447423" w:rsidRPr="002A3CBE" w:rsidRDefault="00447423" w:rsidP="00F16E23">
            <w:pPr>
              <w:pStyle w:val="TableTextBold"/>
              <w:rPr>
                <w:rFonts w:eastAsia="Calibri"/>
                <w:noProof w:val="0"/>
              </w:rPr>
            </w:pP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30771B16" w14:textId="77777777" w:rsidR="00447423" w:rsidRPr="002A3CBE" w:rsidRDefault="00447423" w:rsidP="00F16E23">
            <w:pPr>
              <w:pStyle w:val="TableText"/>
              <w:rPr>
                <w:rFonts w:eastAsia="Calibri"/>
              </w:rPr>
            </w:pPr>
            <w:r w:rsidRPr="002A3CBE">
              <w:rPr>
                <w:rFonts w:eastAsia="Calibri"/>
              </w:rPr>
              <w:t>Low producing</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456DF66" w14:textId="77777777" w:rsidR="00447423" w:rsidRPr="002A3CBE" w:rsidRDefault="00447423" w:rsidP="00F16E23">
            <w:pPr>
              <w:pStyle w:val="TableText"/>
              <w:jc w:val="right"/>
              <w:rPr>
                <w:rFonts w:eastAsia="Calibri"/>
              </w:rPr>
            </w:pPr>
            <w:r w:rsidRPr="002A3CBE">
              <w:rPr>
                <w:rFonts w:eastAsia="Calibri"/>
              </w:rPr>
              <w:t>428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3C5460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21CBC6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373D1D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D46280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77994B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E4B0EF6"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2089F572" w14:textId="77777777" w:rsidR="00447423" w:rsidRPr="002A3CBE" w:rsidRDefault="00447423" w:rsidP="00F16E23">
            <w:pPr>
              <w:pStyle w:val="TableText"/>
              <w:jc w:val="right"/>
              <w:rPr>
                <w:rFonts w:eastAsia="Calibri"/>
              </w:rPr>
            </w:pPr>
            <w:r w:rsidRPr="002A3CBE">
              <w:rPr>
                <w:rFonts w:eastAsia="Calibri"/>
              </w:rPr>
              <w:t>7,447</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799D67A" w14:textId="77777777" w:rsidR="00447423" w:rsidRPr="002A3CBE" w:rsidRDefault="00447423" w:rsidP="00F16E23">
            <w:pPr>
              <w:pStyle w:val="TableText"/>
              <w:jc w:val="right"/>
              <w:rPr>
                <w:rFonts w:eastAsia="Calibri"/>
              </w:rPr>
            </w:pPr>
            <w:r w:rsidRPr="002A3CBE">
              <w:rPr>
                <w:rFonts w:eastAsia="Calibri"/>
              </w:rPr>
              <w:t>30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3C5EBC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AF2E286"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2E8EF1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D2A33D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713355D" w14:textId="77777777" w:rsidR="00447423" w:rsidRPr="002A3CBE" w:rsidRDefault="00447423" w:rsidP="00F16E23">
            <w:pPr>
              <w:pStyle w:val="TableTextBold"/>
              <w:jc w:val="right"/>
              <w:rPr>
                <w:rFonts w:eastAsia="Calibri"/>
                <w:noProof w:val="0"/>
              </w:rPr>
            </w:pPr>
            <w:r w:rsidRPr="002A3CBE">
              <w:rPr>
                <w:rFonts w:eastAsia="Calibri"/>
                <w:noProof w:val="0"/>
              </w:rPr>
              <w:t>7,905</w:t>
            </w:r>
          </w:p>
        </w:tc>
      </w:tr>
      <w:tr w:rsidR="00447423" w:rsidRPr="002A3CBE" w14:paraId="750F7F90" w14:textId="77777777" w:rsidTr="00F16E23">
        <w:tc>
          <w:tcPr>
            <w:tcW w:w="1151" w:type="dxa"/>
            <w:vMerge/>
            <w:tcBorders>
              <w:top w:val="single" w:sz="4" w:space="0" w:color="1B556B"/>
              <w:bottom w:val="single" w:sz="4" w:space="0" w:color="1B556B"/>
            </w:tcBorders>
            <w:shd w:val="clear" w:color="auto" w:fill="FFFFFF"/>
            <w:tcMar>
              <w:top w:w="0" w:type="dxa"/>
              <w:left w:w="85" w:type="dxa"/>
              <w:bottom w:w="0" w:type="dxa"/>
              <w:right w:w="85" w:type="dxa"/>
            </w:tcMar>
          </w:tcPr>
          <w:p w14:paraId="072A53EF" w14:textId="77777777" w:rsidR="00447423" w:rsidRPr="002A3CBE" w:rsidRDefault="00447423" w:rsidP="00F16E23">
            <w:pPr>
              <w:pStyle w:val="TableTextBold"/>
              <w:rPr>
                <w:rFonts w:eastAsia="Calibri"/>
                <w:noProof w:val="0"/>
              </w:rPr>
            </w:pP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7DE2BEA1" w14:textId="77777777" w:rsidR="00447423" w:rsidRPr="002A3CBE" w:rsidRDefault="00447423" w:rsidP="00F16E23">
            <w:pPr>
              <w:pStyle w:val="TableText"/>
              <w:rPr>
                <w:rFonts w:eastAsia="Calibri"/>
              </w:rPr>
            </w:pPr>
            <w:r w:rsidRPr="002A3CBE">
              <w:rPr>
                <w:rFonts w:eastAsia="Calibri"/>
              </w:rPr>
              <w:t>With woody biomass</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EB81946" w14:textId="77777777" w:rsidR="00447423" w:rsidRPr="002A3CBE" w:rsidRDefault="00447423" w:rsidP="00F16E23">
            <w:pPr>
              <w:pStyle w:val="TableText"/>
              <w:jc w:val="right"/>
              <w:rPr>
                <w:rFonts w:eastAsia="Calibri"/>
              </w:rPr>
            </w:pPr>
            <w:r w:rsidRPr="002A3CBE">
              <w:rPr>
                <w:rFonts w:eastAsia="Calibri"/>
              </w:rPr>
              <w:t>78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7AE9D1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0CE907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F8A10B6"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EAFCEE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9A1C03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D57A7A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6C7181E" w14:textId="77777777" w:rsidR="00447423" w:rsidRPr="002A3CBE" w:rsidRDefault="00447423" w:rsidP="00F16E23">
            <w:pPr>
              <w:pStyle w:val="TableText"/>
              <w:jc w:val="right"/>
              <w:rPr>
                <w:rFonts w:eastAsia="Calibri"/>
              </w:rPr>
            </w:pPr>
            <w:r w:rsidRPr="002A3CBE">
              <w:rPr>
                <w:rFonts w:eastAsia="Calibri"/>
              </w:rPr>
              <w:t>492</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0EF51310" w14:textId="77777777" w:rsidR="00447423" w:rsidRPr="002A3CBE" w:rsidRDefault="00447423" w:rsidP="00F16E23">
            <w:pPr>
              <w:pStyle w:val="TableText"/>
              <w:jc w:val="right"/>
              <w:rPr>
                <w:rFonts w:eastAsia="Calibri"/>
              </w:rPr>
            </w:pPr>
            <w:r w:rsidRPr="002A3CBE">
              <w:rPr>
                <w:rFonts w:eastAsia="Calibri"/>
              </w:rPr>
              <w:t>942</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AE9105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A240CE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40EED9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BBD186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05F5A14" w14:textId="77777777" w:rsidR="00447423" w:rsidRPr="002A3CBE" w:rsidRDefault="00447423" w:rsidP="00F16E23">
            <w:pPr>
              <w:pStyle w:val="TableTextBold"/>
              <w:jc w:val="right"/>
              <w:rPr>
                <w:rFonts w:eastAsia="Calibri"/>
                <w:noProof w:val="0"/>
              </w:rPr>
            </w:pPr>
            <w:r w:rsidRPr="002A3CBE">
              <w:rPr>
                <w:rFonts w:eastAsia="Calibri"/>
                <w:noProof w:val="0"/>
              </w:rPr>
              <w:t>1,512</w:t>
            </w:r>
          </w:p>
        </w:tc>
      </w:tr>
      <w:tr w:rsidR="00447423" w:rsidRPr="002A3CBE" w14:paraId="16F90876" w14:textId="77777777" w:rsidTr="00F16E23">
        <w:tc>
          <w:tcPr>
            <w:tcW w:w="1151" w:type="dxa"/>
            <w:vMerge w:val="restart"/>
            <w:tcBorders>
              <w:top w:val="single" w:sz="4" w:space="0" w:color="1B556B"/>
              <w:bottom w:val="single" w:sz="4" w:space="0" w:color="1B556B"/>
            </w:tcBorders>
            <w:shd w:val="clear" w:color="auto" w:fill="FFFFFF"/>
            <w:tcMar>
              <w:top w:w="0" w:type="dxa"/>
              <w:left w:w="85" w:type="dxa"/>
              <w:bottom w:w="0" w:type="dxa"/>
              <w:right w:w="85" w:type="dxa"/>
            </w:tcMar>
          </w:tcPr>
          <w:p w14:paraId="6E9DB065" w14:textId="77777777" w:rsidR="00447423" w:rsidRPr="002A3CBE" w:rsidRDefault="00447423" w:rsidP="00F16E23">
            <w:pPr>
              <w:pStyle w:val="TableTextBold"/>
              <w:rPr>
                <w:rFonts w:eastAsia="Calibri"/>
                <w:noProof w:val="0"/>
              </w:rPr>
            </w:pPr>
            <w:r w:rsidRPr="002A3CBE">
              <w:rPr>
                <w:rFonts w:eastAsia="Calibri"/>
                <w:noProof w:val="0"/>
              </w:rPr>
              <w:t>Wetlands</w:t>
            </w: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328500E9" w14:textId="77777777" w:rsidR="00447423" w:rsidRPr="002A3CBE" w:rsidRDefault="00447423" w:rsidP="00F16E23">
            <w:pPr>
              <w:pStyle w:val="TableText"/>
              <w:rPr>
                <w:rFonts w:eastAsia="Calibri"/>
              </w:rPr>
            </w:pPr>
            <w:r w:rsidRPr="002A3CBE">
              <w:rPr>
                <w:rFonts w:eastAsia="Calibri"/>
              </w:rPr>
              <w:t>Open water</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380CBFA" w14:textId="77777777" w:rsidR="00447423" w:rsidRPr="002A3CBE" w:rsidRDefault="00447423" w:rsidP="00F16E23">
            <w:pPr>
              <w:pStyle w:val="TableText"/>
              <w:jc w:val="right"/>
              <w:rPr>
                <w:rFonts w:eastAsia="Calibri"/>
              </w:rPr>
            </w:pPr>
            <w:r w:rsidRPr="002A3CBE">
              <w:rPr>
                <w:rFonts w:eastAsia="Calibri"/>
              </w:rPr>
              <w:t>14</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F1E0DC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F03BB4C"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D35465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FD99CC6"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A60584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D27A1D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4788D3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FCE8E90"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023FEF67" w14:textId="77777777" w:rsidR="00447423" w:rsidRPr="002A3CBE" w:rsidRDefault="00447423" w:rsidP="00F16E23">
            <w:pPr>
              <w:pStyle w:val="TableText"/>
              <w:jc w:val="right"/>
              <w:rPr>
                <w:rFonts w:eastAsia="Calibri"/>
              </w:rPr>
            </w:pPr>
            <w:r w:rsidRPr="002A3CBE">
              <w:rPr>
                <w:rFonts w:eastAsia="Calibri"/>
              </w:rPr>
              <w:t>513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9CFE1A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71106C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33E173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00CD29F" w14:textId="77777777" w:rsidR="00447423" w:rsidRPr="002A3CBE" w:rsidRDefault="00447423" w:rsidP="00F16E23">
            <w:pPr>
              <w:pStyle w:val="TableTextBold"/>
              <w:jc w:val="right"/>
              <w:rPr>
                <w:rFonts w:eastAsia="Calibri"/>
                <w:noProof w:val="0"/>
              </w:rPr>
            </w:pPr>
            <w:r w:rsidRPr="002A3CBE">
              <w:rPr>
                <w:rFonts w:eastAsia="Calibri"/>
                <w:noProof w:val="0"/>
              </w:rPr>
              <w:t>527</w:t>
            </w:r>
          </w:p>
        </w:tc>
      </w:tr>
      <w:tr w:rsidR="00447423" w:rsidRPr="002A3CBE" w14:paraId="649D5032" w14:textId="77777777" w:rsidTr="00F16E23">
        <w:tc>
          <w:tcPr>
            <w:tcW w:w="1151" w:type="dxa"/>
            <w:vMerge/>
            <w:tcBorders>
              <w:top w:val="single" w:sz="4" w:space="0" w:color="1B556B"/>
              <w:bottom w:val="single" w:sz="4" w:space="0" w:color="1B556B"/>
            </w:tcBorders>
            <w:shd w:val="clear" w:color="auto" w:fill="FFFFFF"/>
            <w:tcMar>
              <w:top w:w="0" w:type="dxa"/>
              <w:left w:w="85" w:type="dxa"/>
              <w:bottom w:w="0" w:type="dxa"/>
              <w:right w:w="85" w:type="dxa"/>
            </w:tcMar>
          </w:tcPr>
          <w:p w14:paraId="6AC66384" w14:textId="77777777" w:rsidR="00447423" w:rsidRPr="002A3CBE" w:rsidRDefault="00447423" w:rsidP="00F16E23">
            <w:pPr>
              <w:pStyle w:val="TableTextBold"/>
              <w:rPr>
                <w:rFonts w:eastAsia="Calibri"/>
                <w:noProof w:val="0"/>
              </w:rPr>
            </w:pP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57E4B830" w14:textId="77777777" w:rsidR="00447423" w:rsidRPr="002A3CBE" w:rsidRDefault="00447423" w:rsidP="00F16E23">
            <w:pPr>
              <w:pStyle w:val="TableText"/>
              <w:rPr>
                <w:rFonts w:eastAsia="Calibri"/>
              </w:rPr>
            </w:pPr>
            <w:r w:rsidRPr="002A3CBE">
              <w:rPr>
                <w:rFonts w:eastAsia="Calibri"/>
              </w:rPr>
              <w:t>Vegetated</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C7ADF60"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0D8733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AC7E874"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22D992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A5A814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D1D8B0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16A90E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045210A"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7116EE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2D8477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7E3A9F3B" w14:textId="77777777" w:rsidR="00447423" w:rsidRPr="002A3CBE" w:rsidRDefault="00447423" w:rsidP="00F16E23">
            <w:pPr>
              <w:pStyle w:val="TableText"/>
              <w:jc w:val="right"/>
              <w:rPr>
                <w:rFonts w:eastAsia="Calibri"/>
              </w:rPr>
            </w:pPr>
            <w:r w:rsidRPr="002A3CBE">
              <w:rPr>
                <w:rFonts w:eastAsia="Calibri"/>
              </w:rPr>
              <w:t>254</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9FB9611"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3B8D8E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566D244" w14:textId="77777777" w:rsidR="00447423" w:rsidRPr="002A3CBE" w:rsidRDefault="00447423" w:rsidP="00F16E23">
            <w:pPr>
              <w:pStyle w:val="TableTextBold"/>
              <w:jc w:val="right"/>
              <w:rPr>
                <w:rFonts w:eastAsia="Calibri"/>
                <w:noProof w:val="0"/>
              </w:rPr>
            </w:pPr>
            <w:r w:rsidRPr="002A3CBE">
              <w:rPr>
                <w:rFonts w:eastAsia="Calibri"/>
                <w:noProof w:val="0"/>
              </w:rPr>
              <w:t>254</w:t>
            </w:r>
          </w:p>
        </w:tc>
      </w:tr>
      <w:tr w:rsidR="00447423" w:rsidRPr="002A3CBE" w14:paraId="1AD017D9" w14:textId="77777777" w:rsidTr="00F16E23">
        <w:tc>
          <w:tcPr>
            <w:tcW w:w="1151" w:type="dxa"/>
            <w:tcBorders>
              <w:top w:val="single" w:sz="4" w:space="0" w:color="1B556B"/>
              <w:bottom w:val="single" w:sz="4" w:space="0" w:color="1B556B"/>
            </w:tcBorders>
            <w:shd w:val="clear" w:color="auto" w:fill="FFFFFF"/>
            <w:tcMar>
              <w:top w:w="0" w:type="dxa"/>
              <w:left w:w="85" w:type="dxa"/>
              <w:bottom w:w="0" w:type="dxa"/>
              <w:right w:w="85" w:type="dxa"/>
            </w:tcMar>
          </w:tcPr>
          <w:p w14:paraId="021A71AC" w14:textId="77777777" w:rsidR="00447423" w:rsidRPr="002A3CBE" w:rsidRDefault="00447423" w:rsidP="00F16E23">
            <w:pPr>
              <w:pStyle w:val="TableTextBold"/>
              <w:rPr>
                <w:rFonts w:eastAsia="Calibri"/>
                <w:noProof w:val="0"/>
              </w:rPr>
            </w:pPr>
            <w:r w:rsidRPr="002A3CBE">
              <w:rPr>
                <w:rFonts w:eastAsia="Calibri"/>
                <w:noProof w:val="0"/>
              </w:rPr>
              <w:t>Settlements</w:t>
            </w: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4B878F5A" w14:textId="77777777" w:rsidR="00447423" w:rsidRPr="002A3CBE" w:rsidRDefault="00447423" w:rsidP="00F16E23">
            <w:pPr>
              <w:pStyle w:val="TableText"/>
              <w:rPr>
                <w:rFonts w:eastAsia="Calibri"/>
              </w:rPr>
            </w:pPr>
            <w:r w:rsidRPr="002A3CBE">
              <w:rPr>
                <w:rFonts w:eastAsia="Calibri"/>
              </w:rPr>
              <w:t>Settlements</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A934E8F" w14:textId="77777777" w:rsidR="00447423" w:rsidRPr="002A3CBE" w:rsidRDefault="00447423" w:rsidP="00F16E23">
            <w:pPr>
              <w:pStyle w:val="TableText"/>
              <w:jc w:val="right"/>
              <w:rPr>
                <w:rFonts w:eastAsia="Calibri"/>
              </w:rPr>
            </w:pPr>
            <w:r w:rsidRPr="002A3CBE">
              <w:rPr>
                <w:rFonts w:eastAsia="Calibri"/>
              </w:rPr>
              <w:t>5</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0398CC7"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ADA9D69"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FD5AD5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368E277" w14:textId="77777777" w:rsidR="00447423" w:rsidRPr="002A3CBE" w:rsidRDefault="00447423" w:rsidP="00F16E23">
            <w:pPr>
              <w:pStyle w:val="TableText"/>
              <w:jc w:val="right"/>
              <w:rPr>
                <w:rFonts w:eastAsia="Calibri"/>
              </w:rPr>
            </w:pPr>
            <w:r w:rsidRPr="002A3CBE">
              <w:rPr>
                <w:rFonts w:eastAsia="Calibri"/>
              </w:rPr>
              <w:t>7</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9C4B79D" w14:textId="77777777" w:rsidR="00447423" w:rsidRPr="002A3CBE" w:rsidRDefault="00447423" w:rsidP="00F16E23">
            <w:pPr>
              <w:pStyle w:val="TableText"/>
              <w:jc w:val="right"/>
              <w:rPr>
                <w:rFonts w:eastAsia="Calibri"/>
              </w:rPr>
            </w:pPr>
            <w:r w:rsidRPr="002A3CBE">
              <w:rPr>
                <w:rFonts w:eastAsia="Calibri"/>
              </w:rPr>
              <w:t>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AC4C758" w14:textId="77777777" w:rsidR="00447423" w:rsidRPr="002A3CBE" w:rsidRDefault="00447423" w:rsidP="00F16E23">
            <w:pPr>
              <w:pStyle w:val="TableText"/>
              <w:jc w:val="right"/>
              <w:rPr>
                <w:rFonts w:eastAsia="Calibri"/>
              </w:rPr>
            </w:pPr>
            <w:r w:rsidRPr="002A3CBE">
              <w:rPr>
                <w:rFonts w:eastAsia="Calibri"/>
              </w:rPr>
              <w:t>7</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A20557B" w14:textId="77777777" w:rsidR="00447423" w:rsidRPr="002A3CBE" w:rsidRDefault="00447423" w:rsidP="00F16E23">
            <w:pPr>
              <w:pStyle w:val="TableText"/>
              <w:jc w:val="right"/>
              <w:rPr>
                <w:rFonts w:eastAsia="Calibri"/>
              </w:rPr>
            </w:pPr>
            <w:r w:rsidRPr="002A3CBE">
              <w:rPr>
                <w:rFonts w:eastAsia="Calibri"/>
              </w:rPr>
              <w:t>4</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57C39B5" w14:textId="77777777" w:rsidR="00447423" w:rsidRPr="002A3CBE" w:rsidRDefault="00447423" w:rsidP="00F16E23">
            <w:pPr>
              <w:pStyle w:val="TableText"/>
              <w:jc w:val="right"/>
              <w:rPr>
                <w:rFonts w:eastAsia="Calibri"/>
              </w:rPr>
            </w:pPr>
            <w:r w:rsidRPr="002A3CBE">
              <w:rPr>
                <w:rFonts w:eastAsia="Calibri"/>
              </w:rPr>
              <w:t>1</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9BEAF6B"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35C6D78"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4BE06704" w14:textId="77777777" w:rsidR="00447423" w:rsidRPr="002A3CBE" w:rsidRDefault="00447423" w:rsidP="00F16E23">
            <w:pPr>
              <w:pStyle w:val="TableText"/>
              <w:jc w:val="right"/>
              <w:rPr>
                <w:rFonts w:eastAsia="Calibri"/>
              </w:rPr>
            </w:pPr>
            <w:r w:rsidRPr="002A3CBE">
              <w:rPr>
                <w:rFonts w:eastAsia="Calibri"/>
              </w:rPr>
              <w:t>185</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ADCD6CC"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52941DB" w14:textId="77777777" w:rsidR="00447423" w:rsidRPr="002A3CBE" w:rsidRDefault="00447423" w:rsidP="00F16E23">
            <w:pPr>
              <w:pStyle w:val="TableTextBold"/>
              <w:jc w:val="right"/>
              <w:rPr>
                <w:rFonts w:eastAsia="Calibri"/>
                <w:noProof w:val="0"/>
              </w:rPr>
            </w:pPr>
            <w:r w:rsidRPr="002A3CBE">
              <w:rPr>
                <w:rFonts w:eastAsia="Calibri"/>
                <w:noProof w:val="0"/>
              </w:rPr>
              <w:t>208</w:t>
            </w:r>
          </w:p>
        </w:tc>
      </w:tr>
      <w:tr w:rsidR="00447423" w:rsidRPr="002A3CBE" w14:paraId="1CA55C09" w14:textId="77777777" w:rsidTr="00F16E23">
        <w:tc>
          <w:tcPr>
            <w:tcW w:w="1151" w:type="dxa"/>
            <w:tcBorders>
              <w:top w:val="single" w:sz="4" w:space="0" w:color="1B556B"/>
              <w:bottom w:val="single" w:sz="4" w:space="0" w:color="1B556B"/>
            </w:tcBorders>
            <w:shd w:val="clear" w:color="auto" w:fill="FFFFFF"/>
            <w:tcMar>
              <w:top w:w="0" w:type="dxa"/>
              <w:left w:w="85" w:type="dxa"/>
              <w:bottom w:w="0" w:type="dxa"/>
              <w:right w:w="85" w:type="dxa"/>
            </w:tcMar>
          </w:tcPr>
          <w:p w14:paraId="3C2F9688" w14:textId="77777777" w:rsidR="00447423" w:rsidRPr="002A3CBE" w:rsidRDefault="00447423" w:rsidP="00F16E23">
            <w:pPr>
              <w:pStyle w:val="TableTextBold"/>
              <w:rPr>
                <w:rFonts w:eastAsia="Calibri"/>
                <w:noProof w:val="0"/>
              </w:rPr>
            </w:pPr>
            <w:r w:rsidRPr="002A3CBE">
              <w:rPr>
                <w:rFonts w:eastAsia="Calibri"/>
                <w:noProof w:val="0"/>
              </w:rPr>
              <w:t>Other land</w:t>
            </w:r>
          </w:p>
        </w:tc>
        <w:tc>
          <w:tcPr>
            <w:tcW w:w="2300" w:type="dxa"/>
            <w:tcBorders>
              <w:top w:val="single" w:sz="4" w:space="0" w:color="1B556B"/>
              <w:left w:val="nil"/>
              <w:bottom w:val="single" w:sz="4" w:space="0" w:color="1B556B"/>
            </w:tcBorders>
            <w:shd w:val="clear" w:color="auto" w:fill="FFFFFF"/>
            <w:tcMar>
              <w:top w:w="0" w:type="dxa"/>
              <w:left w:w="85" w:type="dxa"/>
              <w:bottom w:w="0" w:type="dxa"/>
              <w:right w:w="85" w:type="dxa"/>
            </w:tcMar>
            <w:vAlign w:val="center"/>
          </w:tcPr>
          <w:p w14:paraId="08AEA9D0" w14:textId="77777777" w:rsidR="00447423" w:rsidRPr="002A3CBE" w:rsidRDefault="00447423" w:rsidP="00F16E23">
            <w:pPr>
              <w:pStyle w:val="TableText"/>
              <w:rPr>
                <w:rFonts w:eastAsia="Calibri"/>
              </w:rPr>
            </w:pPr>
            <w:r w:rsidRPr="002A3CBE">
              <w:rPr>
                <w:rFonts w:eastAsia="Calibri"/>
              </w:rPr>
              <w:t>Other land</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FB55233"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A1F4CDC"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DD4880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D74961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CAFE1AD"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2718F73"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999144E"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0ACD2E5"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1237DD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9A0B652"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57F2740"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A11BCAF" w14:textId="77777777" w:rsidR="00447423" w:rsidRPr="002A3CBE" w:rsidRDefault="00447423" w:rsidP="00F16E23">
            <w:pPr>
              <w:pStyle w:val="TableText"/>
              <w:jc w:val="right"/>
              <w:rPr>
                <w:rFonts w:eastAsia="Calibri"/>
              </w:rPr>
            </w:pPr>
            <w:r w:rsidRPr="002A3CBE">
              <w:rPr>
                <w:rFonts w:asciiTheme="minorHAnsi" w:eastAsia="Calibri" w:hAnsiTheme="minorHAnsi" w:cstheme="minorHAnsi"/>
              </w:rPr>
              <w:t>–</w:t>
            </w:r>
          </w:p>
        </w:tc>
        <w:tc>
          <w:tcPr>
            <w:tcW w:w="719"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058057ED" w14:textId="77777777" w:rsidR="00447423" w:rsidRPr="002A3CBE" w:rsidRDefault="00447423" w:rsidP="00F16E23">
            <w:pPr>
              <w:pStyle w:val="TableText"/>
              <w:jc w:val="right"/>
              <w:rPr>
                <w:rFonts w:eastAsia="Calibri"/>
              </w:rPr>
            </w:pPr>
            <w:r w:rsidRPr="002A3CBE">
              <w:rPr>
                <w:rFonts w:eastAsia="Calibri"/>
              </w:rPr>
              <w:t>896</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7B9C41D" w14:textId="77777777" w:rsidR="00447423" w:rsidRPr="002A3CBE" w:rsidRDefault="00447423" w:rsidP="00F16E23">
            <w:pPr>
              <w:pStyle w:val="TableTextBold"/>
              <w:jc w:val="right"/>
              <w:rPr>
                <w:rFonts w:eastAsia="Calibri"/>
                <w:noProof w:val="0"/>
              </w:rPr>
            </w:pPr>
            <w:r w:rsidRPr="002A3CBE">
              <w:rPr>
                <w:rFonts w:eastAsia="Calibri"/>
                <w:noProof w:val="0"/>
              </w:rPr>
              <w:t>896</w:t>
            </w:r>
          </w:p>
        </w:tc>
      </w:tr>
      <w:tr w:rsidR="00447423" w:rsidRPr="002A3CBE" w14:paraId="188BDBD2" w14:textId="77777777" w:rsidTr="00F16E23">
        <w:tc>
          <w:tcPr>
            <w:tcW w:w="3451" w:type="dxa"/>
            <w:gridSpan w:val="2"/>
            <w:tcBorders>
              <w:top w:val="single" w:sz="4" w:space="0" w:color="1B556B"/>
              <w:bottom w:val="single" w:sz="4" w:space="0" w:color="1B556B"/>
            </w:tcBorders>
            <w:shd w:val="clear" w:color="auto" w:fill="FFFFFF"/>
            <w:tcMar>
              <w:top w:w="0" w:type="dxa"/>
              <w:left w:w="85" w:type="dxa"/>
              <w:bottom w:w="0" w:type="dxa"/>
              <w:right w:w="85" w:type="dxa"/>
            </w:tcMar>
          </w:tcPr>
          <w:p w14:paraId="0EC89466" w14:textId="77777777" w:rsidR="00447423" w:rsidRPr="002A3CBE" w:rsidRDefault="00447423" w:rsidP="00F16E23">
            <w:pPr>
              <w:pStyle w:val="Tableboldblue"/>
              <w:rPr>
                <w:rFonts w:eastAsia="Calibri"/>
              </w:rPr>
            </w:pPr>
            <w:r w:rsidRPr="002A3CBE">
              <w:rPr>
                <w:rFonts w:eastAsia="Calibri"/>
              </w:rPr>
              <w:t>Area as at 1 Jan 1962 (kha)</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FF1B956" w14:textId="77777777" w:rsidR="00447423" w:rsidRPr="002A3CBE" w:rsidRDefault="00447423" w:rsidP="00F16E23">
            <w:pPr>
              <w:pStyle w:val="Tableboldblue"/>
              <w:jc w:val="right"/>
              <w:rPr>
                <w:rFonts w:eastAsia="Calibri"/>
              </w:rPr>
            </w:pPr>
            <w:r w:rsidRPr="002A3CBE">
              <w:rPr>
                <w:rFonts w:eastAsia="Calibri"/>
              </w:rPr>
              <w:t>8,683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75FFF7F" w14:textId="77777777" w:rsidR="00447423" w:rsidRPr="002A3CBE" w:rsidRDefault="00447423" w:rsidP="00F16E23">
            <w:pPr>
              <w:pStyle w:val="Tableboldblue"/>
              <w:jc w:val="right"/>
              <w:rPr>
                <w:rFonts w:eastAsia="Calibri"/>
              </w:rPr>
            </w:pPr>
            <w:r w:rsidRPr="002A3CBE">
              <w:rPr>
                <w:rFonts w:eastAsia="Calibri"/>
              </w:rPr>
              <w:t>453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8D96A26" w14:textId="77777777" w:rsidR="00447423" w:rsidRPr="002A3CBE" w:rsidRDefault="00447423" w:rsidP="00F16E23">
            <w:pPr>
              <w:pStyle w:val="Tableboldblue"/>
              <w:jc w:val="right"/>
              <w:rPr>
                <w:rFonts w:eastAsia="Calibri"/>
              </w:rPr>
            </w:pPr>
            <w:r w:rsidRPr="002A3CBE">
              <w:rPr>
                <w:rFonts w:asciiTheme="minorHAnsi" w:eastAsia="Calibri" w:hAnsiTheme="minorHAnsi" w:cstheme="minorHAnsi"/>
                <w:color w:val="000000"/>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7CA2ACA" w14:textId="77777777" w:rsidR="00447423" w:rsidRPr="002A3CBE" w:rsidRDefault="00447423" w:rsidP="00F16E23">
            <w:pPr>
              <w:pStyle w:val="Tableboldblue"/>
              <w:jc w:val="right"/>
              <w:rPr>
                <w:rFonts w:eastAsia="Calibri"/>
              </w:rPr>
            </w:pPr>
            <w:r w:rsidRPr="002A3CBE">
              <w:rPr>
                <w:rFonts w:asciiTheme="minorHAnsi" w:eastAsia="Calibri" w:hAnsiTheme="minorHAnsi" w:cstheme="minorHAnsi"/>
                <w:color w:val="000000"/>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1D8724F" w14:textId="77777777" w:rsidR="00447423" w:rsidRPr="002A3CBE" w:rsidRDefault="00447423" w:rsidP="00F16E23">
            <w:pPr>
              <w:pStyle w:val="Tableboldblue"/>
              <w:jc w:val="right"/>
              <w:rPr>
                <w:rFonts w:eastAsia="Calibri"/>
              </w:rPr>
            </w:pPr>
            <w:r w:rsidRPr="002A3CBE">
              <w:rPr>
                <w:rFonts w:eastAsia="Calibri"/>
              </w:rPr>
              <w:t>355</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7A5FBE4" w14:textId="77777777" w:rsidR="00447423" w:rsidRPr="002A3CBE" w:rsidRDefault="00447423" w:rsidP="00F16E23">
            <w:pPr>
              <w:pStyle w:val="Tableboldblue"/>
              <w:jc w:val="right"/>
              <w:rPr>
                <w:rFonts w:eastAsia="Calibri"/>
              </w:rPr>
            </w:pPr>
            <w:r w:rsidRPr="002A3CBE">
              <w:rPr>
                <w:rFonts w:eastAsia="Calibri"/>
              </w:rPr>
              <w:t>78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5BD46B4" w14:textId="77777777" w:rsidR="00447423" w:rsidRPr="002A3CBE" w:rsidRDefault="00447423" w:rsidP="00F16E23">
            <w:pPr>
              <w:pStyle w:val="Tableboldblue"/>
              <w:jc w:val="right"/>
              <w:rPr>
                <w:rFonts w:eastAsia="Calibri"/>
              </w:rPr>
            </w:pPr>
            <w:r w:rsidRPr="002A3CBE">
              <w:rPr>
                <w:rFonts w:eastAsia="Calibri"/>
              </w:rPr>
              <w:t>4,842</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94E17F2" w14:textId="77777777" w:rsidR="00447423" w:rsidRPr="002A3CBE" w:rsidRDefault="00447423" w:rsidP="00F16E23">
            <w:pPr>
              <w:pStyle w:val="Tableboldblue"/>
              <w:jc w:val="right"/>
              <w:rPr>
                <w:rFonts w:eastAsia="Calibri"/>
              </w:rPr>
            </w:pPr>
            <w:r w:rsidRPr="002A3CBE">
              <w:rPr>
                <w:rFonts w:eastAsia="Calibri"/>
              </w:rPr>
              <w:t>8,816</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3F96D5D" w14:textId="77777777" w:rsidR="00447423" w:rsidRPr="002A3CBE" w:rsidRDefault="00447423" w:rsidP="00F16E23">
            <w:pPr>
              <w:pStyle w:val="Tableboldblue"/>
              <w:jc w:val="right"/>
              <w:rPr>
                <w:rFonts w:eastAsia="Calibri"/>
              </w:rPr>
            </w:pPr>
            <w:r w:rsidRPr="002A3CBE">
              <w:rPr>
                <w:rFonts w:eastAsia="Calibri"/>
              </w:rPr>
              <w:t>1,752</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2E56971" w14:textId="77777777" w:rsidR="00447423" w:rsidRPr="002A3CBE" w:rsidRDefault="00447423" w:rsidP="00F16E23">
            <w:pPr>
              <w:pStyle w:val="Tableboldblue"/>
              <w:jc w:val="right"/>
              <w:rPr>
                <w:rFonts w:eastAsia="Calibri"/>
              </w:rPr>
            </w:pPr>
            <w:r w:rsidRPr="002A3CBE">
              <w:rPr>
                <w:rFonts w:eastAsia="Calibri"/>
              </w:rPr>
              <w:t>513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60AFA07" w14:textId="77777777" w:rsidR="00447423" w:rsidRPr="002A3CBE" w:rsidRDefault="00447423" w:rsidP="00F16E23">
            <w:pPr>
              <w:pStyle w:val="Tableboldblue"/>
              <w:jc w:val="right"/>
              <w:rPr>
                <w:rFonts w:eastAsia="Calibri"/>
              </w:rPr>
            </w:pPr>
            <w:r w:rsidRPr="002A3CBE">
              <w:rPr>
                <w:rFonts w:eastAsia="Calibri"/>
              </w:rPr>
              <w:t>352</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E26C0A0" w14:textId="77777777" w:rsidR="00447423" w:rsidRPr="002A3CBE" w:rsidRDefault="00447423" w:rsidP="00F16E23">
            <w:pPr>
              <w:pStyle w:val="Tableboldblue"/>
              <w:jc w:val="right"/>
              <w:rPr>
                <w:rFonts w:eastAsia="Calibri"/>
              </w:rPr>
            </w:pPr>
            <w:r w:rsidRPr="002A3CBE">
              <w:rPr>
                <w:rFonts w:eastAsia="Calibri"/>
              </w:rPr>
              <w:t>185</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FB88B0C" w14:textId="77777777" w:rsidR="00447423" w:rsidRPr="002A3CBE" w:rsidRDefault="00447423" w:rsidP="00F16E23">
            <w:pPr>
              <w:pStyle w:val="Tableboldblue"/>
              <w:jc w:val="right"/>
              <w:rPr>
                <w:rFonts w:eastAsia="Calibri"/>
              </w:rPr>
            </w:pPr>
            <w:r w:rsidRPr="002A3CBE">
              <w:rPr>
                <w:rFonts w:eastAsia="Calibri"/>
              </w:rPr>
              <w:t>896</w:t>
            </w:r>
          </w:p>
        </w:tc>
        <w:tc>
          <w:tcPr>
            <w:tcW w:w="1150" w:type="dxa"/>
            <w:tcBorders>
              <w:top w:val="single" w:sz="4" w:space="0" w:color="1B556B"/>
              <w:bottom w:val="single" w:sz="4" w:space="0" w:color="1B556B"/>
            </w:tcBorders>
            <w:shd w:val="clear" w:color="auto" w:fill="D2DDE1"/>
            <w:tcMar>
              <w:top w:w="0" w:type="dxa"/>
              <w:left w:w="85" w:type="dxa"/>
              <w:bottom w:w="0" w:type="dxa"/>
              <w:right w:w="85" w:type="dxa"/>
            </w:tcMar>
            <w:vAlign w:val="center"/>
          </w:tcPr>
          <w:p w14:paraId="25BB2BCB" w14:textId="77777777" w:rsidR="00447423" w:rsidRPr="002A3CBE" w:rsidRDefault="00447423" w:rsidP="00F16E23">
            <w:pPr>
              <w:pStyle w:val="Tableboldblue"/>
              <w:jc w:val="right"/>
              <w:rPr>
                <w:rFonts w:eastAsia="Calibri"/>
              </w:rPr>
            </w:pPr>
            <w:r w:rsidRPr="002A3CBE">
              <w:rPr>
                <w:rFonts w:eastAsia="Calibri"/>
              </w:rPr>
              <w:t>26,925</w:t>
            </w:r>
          </w:p>
        </w:tc>
      </w:tr>
      <w:tr w:rsidR="00447423" w:rsidRPr="002A3CBE" w14:paraId="6DFB10E8" w14:textId="77777777" w:rsidTr="00F16E23">
        <w:tc>
          <w:tcPr>
            <w:tcW w:w="3451" w:type="dxa"/>
            <w:gridSpan w:val="2"/>
            <w:tcBorders>
              <w:top w:val="single" w:sz="4" w:space="0" w:color="1B556B"/>
              <w:bottom w:val="single" w:sz="4" w:space="0" w:color="1B556B"/>
            </w:tcBorders>
            <w:shd w:val="clear" w:color="auto" w:fill="FFFFFF"/>
            <w:tcMar>
              <w:top w:w="0" w:type="dxa"/>
              <w:left w:w="85" w:type="dxa"/>
              <w:bottom w:w="0" w:type="dxa"/>
              <w:right w:w="85" w:type="dxa"/>
            </w:tcMar>
          </w:tcPr>
          <w:p w14:paraId="487CCF4C" w14:textId="77777777" w:rsidR="00447423" w:rsidRPr="002A3CBE" w:rsidRDefault="00447423" w:rsidP="00F16E23">
            <w:pPr>
              <w:pStyle w:val="Tableboldblue"/>
              <w:rPr>
                <w:rFonts w:eastAsia="Calibri"/>
              </w:rPr>
            </w:pPr>
            <w:r w:rsidRPr="002A3CBE">
              <w:rPr>
                <w:rFonts w:eastAsia="Calibri"/>
              </w:rPr>
              <w:t>Net change 1 Jan 1962–31 Dec 1989</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7295F70" w14:textId="77777777" w:rsidR="00447423" w:rsidRPr="002A3CBE" w:rsidRDefault="00447423" w:rsidP="00F16E23">
            <w:pPr>
              <w:pStyle w:val="Tableboldblue"/>
              <w:jc w:val="right"/>
              <w:rPr>
                <w:rFonts w:eastAsia="Calibri"/>
              </w:rPr>
            </w:pPr>
            <w:r w:rsidRPr="002A3CBE">
              <w:rPr>
                <w:rFonts w:eastAsia="Calibri"/>
              </w:rPr>
              <w:t>-870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93F3ACF" w14:textId="77777777" w:rsidR="00447423" w:rsidRPr="002A3CBE" w:rsidRDefault="00447423" w:rsidP="00F16E23">
            <w:pPr>
              <w:pStyle w:val="Tableboldblue"/>
              <w:jc w:val="right"/>
              <w:rPr>
                <w:rFonts w:eastAsia="Calibri"/>
              </w:rPr>
            </w:pPr>
            <w:r w:rsidRPr="002A3CBE">
              <w:rPr>
                <w:rFonts w:eastAsia="Calibri"/>
              </w:rPr>
              <w:t>1,094</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9BFD90F" w14:textId="77777777" w:rsidR="00447423" w:rsidRPr="002A3CBE" w:rsidRDefault="00447423" w:rsidP="00F16E23">
            <w:pPr>
              <w:pStyle w:val="Tableboldblue"/>
              <w:jc w:val="right"/>
              <w:rPr>
                <w:rFonts w:eastAsia="Calibri"/>
              </w:rPr>
            </w:pPr>
            <w:r w:rsidRPr="002A3CBE">
              <w:rPr>
                <w:rFonts w:asciiTheme="minorHAnsi" w:eastAsia="Calibri" w:hAnsiTheme="minorHAnsi" w:cstheme="minorHAnsi"/>
                <w:color w:val="000000"/>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FF707B1" w14:textId="77777777" w:rsidR="00447423" w:rsidRPr="002A3CBE" w:rsidRDefault="00447423" w:rsidP="00F16E23">
            <w:pPr>
              <w:pStyle w:val="Tableboldblue"/>
              <w:jc w:val="right"/>
              <w:rPr>
                <w:rFonts w:eastAsia="Calibri"/>
              </w:rPr>
            </w:pPr>
            <w:r w:rsidRPr="002A3CBE">
              <w:rPr>
                <w:rFonts w:asciiTheme="minorHAnsi" w:eastAsia="Calibri" w:hAnsiTheme="minorHAnsi" w:cstheme="minorHAnsi"/>
                <w:color w:val="000000"/>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2EED2B7" w14:textId="77777777" w:rsidR="00447423" w:rsidRPr="002A3CBE" w:rsidRDefault="00447423" w:rsidP="00F16E23">
            <w:pPr>
              <w:pStyle w:val="Tableboldblue"/>
              <w:jc w:val="right"/>
              <w:rPr>
                <w:rFonts w:eastAsia="Calibri"/>
              </w:rPr>
            </w:pPr>
            <w:r w:rsidRPr="002A3CBE">
              <w:rPr>
                <w:rFonts w:eastAsia="Calibri"/>
              </w:rPr>
              <w:t>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F167FEA" w14:textId="77777777" w:rsidR="00447423" w:rsidRPr="002A3CBE" w:rsidRDefault="00447423" w:rsidP="00F16E23">
            <w:pPr>
              <w:pStyle w:val="Tableboldblue"/>
              <w:jc w:val="right"/>
              <w:rPr>
                <w:rFonts w:eastAsia="Calibri"/>
              </w:rPr>
            </w:pPr>
            <w:r w:rsidRPr="002A3CBE">
              <w:rPr>
                <w:rFonts w:eastAsia="Calibri"/>
              </w:rPr>
              <w:t>-9</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6D35E7C8" w14:textId="77777777" w:rsidR="00447423" w:rsidRPr="002A3CBE" w:rsidRDefault="00447423" w:rsidP="00F16E23">
            <w:pPr>
              <w:pStyle w:val="Tableboldblue"/>
              <w:jc w:val="right"/>
              <w:rPr>
                <w:rFonts w:eastAsia="Calibri"/>
              </w:rPr>
            </w:pPr>
            <w:r w:rsidRPr="002A3CBE">
              <w:rPr>
                <w:rFonts w:eastAsia="Calibri"/>
              </w:rPr>
              <w:t>998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809D134" w14:textId="77777777" w:rsidR="00447423" w:rsidRPr="002A3CBE" w:rsidRDefault="00447423" w:rsidP="00F16E23">
            <w:pPr>
              <w:pStyle w:val="Tableboldblue"/>
              <w:jc w:val="right"/>
              <w:rPr>
                <w:rFonts w:eastAsia="Calibri"/>
              </w:rPr>
            </w:pPr>
            <w:r w:rsidRPr="002A3CBE">
              <w:rPr>
                <w:rFonts w:eastAsia="Calibri"/>
              </w:rPr>
              <w:t>-912</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BAB80F2" w14:textId="77777777" w:rsidR="00447423" w:rsidRPr="002A3CBE" w:rsidRDefault="00447423" w:rsidP="00F16E23">
            <w:pPr>
              <w:pStyle w:val="Tableboldblue"/>
              <w:jc w:val="right"/>
              <w:rPr>
                <w:rFonts w:eastAsia="Calibri"/>
              </w:rPr>
            </w:pPr>
            <w:r w:rsidRPr="002A3CBE">
              <w:rPr>
                <w:rFonts w:eastAsia="Calibri"/>
              </w:rPr>
              <w:t>-241</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D7EA193" w14:textId="77777777" w:rsidR="00447423" w:rsidRPr="002A3CBE" w:rsidRDefault="00447423" w:rsidP="00F16E23">
            <w:pPr>
              <w:pStyle w:val="Tableboldblue"/>
              <w:jc w:val="right"/>
              <w:rPr>
                <w:rFonts w:eastAsia="Calibri"/>
              </w:rPr>
            </w:pPr>
            <w:r w:rsidRPr="002A3CBE">
              <w:rPr>
                <w:rFonts w:eastAsia="Calibri"/>
              </w:rPr>
              <w:t>14</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E096031" w14:textId="77777777" w:rsidR="00447423" w:rsidRPr="002A3CBE" w:rsidRDefault="00447423" w:rsidP="00F16E23">
            <w:pPr>
              <w:pStyle w:val="Tableboldblue"/>
              <w:jc w:val="right"/>
              <w:rPr>
                <w:rFonts w:eastAsia="Calibri"/>
              </w:rPr>
            </w:pPr>
            <w:r w:rsidRPr="002A3CBE">
              <w:rPr>
                <w:rFonts w:eastAsia="Calibri"/>
              </w:rPr>
              <w:t>-98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8BBFED6" w14:textId="77777777" w:rsidR="00447423" w:rsidRPr="002A3CBE" w:rsidRDefault="00447423" w:rsidP="00F16E23">
            <w:pPr>
              <w:pStyle w:val="Tableboldblue"/>
              <w:jc w:val="right"/>
              <w:rPr>
                <w:rFonts w:eastAsia="Calibri"/>
              </w:rPr>
            </w:pPr>
            <w:r w:rsidRPr="002A3CBE">
              <w:rPr>
                <w:rFonts w:eastAsia="Calibri"/>
              </w:rPr>
              <w:t>23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F2C12B6" w14:textId="77777777" w:rsidR="00447423" w:rsidRPr="002A3CBE" w:rsidRDefault="00447423" w:rsidP="00F16E23">
            <w:pPr>
              <w:pStyle w:val="Tableboldblue"/>
              <w:jc w:val="right"/>
              <w:rPr>
                <w:rFonts w:eastAsia="Calibri"/>
              </w:rPr>
            </w:pPr>
            <w:r w:rsidRPr="002A3CBE">
              <w:rPr>
                <w:rFonts w:eastAsia="Calibri"/>
              </w:rPr>
              <w:t>0</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8D6A815" w14:textId="77777777" w:rsidR="00447423" w:rsidRPr="002A3CBE" w:rsidRDefault="00447423" w:rsidP="00F16E23">
            <w:pPr>
              <w:pStyle w:val="Tableboldblue"/>
              <w:jc w:val="right"/>
              <w:rPr>
                <w:rFonts w:eastAsia="Calibri"/>
              </w:rPr>
            </w:pPr>
            <w:r w:rsidRPr="002A3CBE">
              <w:rPr>
                <w:rFonts w:eastAsia="Calibri"/>
              </w:rPr>
              <w:t>0</w:t>
            </w:r>
          </w:p>
        </w:tc>
      </w:tr>
      <w:tr w:rsidR="00447423" w:rsidRPr="002A3CBE" w14:paraId="3320E9BC" w14:textId="77777777" w:rsidTr="00F16E23">
        <w:tc>
          <w:tcPr>
            <w:tcW w:w="3451" w:type="dxa"/>
            <w:gridSpan w:val="2"/>
            <w:tcBorders>
              <w:top w:val="single" w:sz="4" w:space="0" w:color="1B556B"/>
              <w:bottom w:val="single" w:sz="4" w:space="0" w:color="1B556B"/>
            </w:tcBorders>
            <w:shd w:val="clear" w:color="auto" w:fill="FFFFFF"/>
            <w:tcMar>
              <w:top w:w="0" w:type="dxa"/>
              <w:left w:w="85" w:type="dxa"/>
              <w:bottom w:w="0" w:type="dxa"/>
              <w:right w:w="85" w:type="dxa"/>
            </w:tcMar>
          </w:tcPr>
          <w:p w14:paraId="53C487F8" w14:textId="77777777" w:rsidR="00447423" w:rsidRPr="002A3CBE" w:rsidRDefault="00447423" w:rsidP="00F16E23">
            <w:pPr>
              <w:pStyle w:val="Tableboldblue"/>
              <w:rPr>
                <w:rFonts w:eastAsia="Calibri"/>
              </w:rPr>
            </w:pPr>
            <w:r w:rsidRPr="002A3CBE">
              <w:rPr>
                <w:rFonts w:eastAsia="Calibri"/>
              </w:rPr>
              <w:t>Net change 1962–1989 (%)</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5A12051" w14:textId="77777777" w:rsidR="00447423" w:rsidRPr="002A3CBE" w:rsidRDefault="00447423" w:rsidP="00F16E23">
            <w:pPr>
              <w:pStyle w:val="Tableboldblue"/>
              <w:jc w:val="right"/>
              <w:rPr>
                <w:rFonts w:eastAsia="Calibri"/>
              </w:rPr>
            </w:pPr>
            <w:r w:rsidRPr="002A3CBE">
              <w:rPr>
                <w:rFonts w:eastAsia="Calibri"/>
              </w:rPr>
              <w:t>-10.0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01619A7F" w14:textId="77777777" w:rsidR="00447423" w:rsidRPr="002A3CBE" w:rsidRDefault="00447423" w:rsidP="00F16E23">
            <w:pPr>
              <w:pStyle w:val="Tableboldblue"/>
              <w:jc w:val="right"/>
              <w:rPr>
                <w:rFonts w:eastAsia="Calibri"/>
              </w:rPr>
            </w:pPr>
            <w:r w:rsidRPr="002A3CBE">
              <w:rPr>
                <w:rFonts w:eastAsia="Calibri"/>
              </w:rPr>
              <w:t>241.4</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1870B02A" w14:textId="77777777" w:rsidR="00447423" w:rsidRPr="002A3CBE" w:rsidRDefault="00447423" w:rsidP="00F16E23">
            <w:pPr>
              <w:pStyle w:val="Tableboldblue"/>
              <w:jc w:val="right"/>
              <w:rPr>
                <w:rFonts w:eastAsia="Calibri"/>
              </w:rPr>
            </w:pPr>
            <w:r w:rsidRPr="002A3CBE">
              <w:rPr>
                <w:rFonts w:asciiTheme="minorHAnsi" w:eastAsia="Calibri" w:hAnsiTheme="minorHAnsi" w:cstheme="minorHAnsi"/>
                <w:color w:val="000000"/>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622ED50" w14:textId="77777777" w:rsidR="00447423" w:rsidRPr="002A3CBE" w:rsidRDefault="00447423" w:rsidP="00F16E23">
            <w:pPr>
              <w:pStyle w:val="Tableboldblue"/>
              <w:jc w:val="right"/>
              <w:rPr>
                <w:rFonts w:eastAsia="Calibri"/>
              </w:rPr>
            </w:pPr>
            <w:r w:rsidRPr="002A3CBE">
              <w:rPr>
                <w:rFonts w:asciiTheme="minorHAnsi" w:eastAsia="Calibri" w:hAnsiTheme="minorHAnsi" w:cstheme="minorHAnsi"/>
                <w:color w:val="000000"/>
              </w:rPr>
              <w:t>–</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4F6E1ED" w14:textId="77777777" w:rsidR="00447423" w:rsidRPr="002A3CBE" w:rsidRDefault="00447423" w:rsidP="00F16E23">
            <w:pPr>
              <w:pStyle w:val="Tableboldblue"/>
              <w:jc w:val="right"/>
              <w:rPr>
                <w:rFonts w:eastAsia="Calibri"/>
              </w:rPr>
            </w:pPr>
            <w:r w:rsidRPr="002A3CBE">
              <w:rPr>
                <w:rFonts w:eastAsia="Calibri"/>
              </w:rPr>
              <w:t>0.0</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3E462ABF" w14:textId="77777777" w:rsidR="00447423" w:rsidRPr="002A3CBE" w:rsidRDefault="00447423" w:rsidP="00F16E23">
            <w:pPr>
              <w:pStyle w:val="Tableboldblue"/>
              <w:jc w:val="right"/>
              <w:rPr>
                <w:rFonts w:eastAsia="Calibri"/>
              </w:rPr>
            </w:pPr>
            <w:r w:rsidRPr="002A3CBE">
              <w:rPr>
                <w:rFonts w:eastAsia="Calibri"/>
              </w:rPr>
              <w:t>-11.8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4E2BFB9" w14:textId="77777777" w:rsidR="00447423" w:rsidRPr="002A3CBE" w:rsidRDefault="00447423" w:rsidP="00F16E23">
            <w:pPr>
              <w:pStyle w:val="Tableboldblue"/>
              <w:jc w:val="right"/>
              <w:rPr>
                <w:rFonts w:eastAsia="Calibri"/>
              </w:rPr>
            </w:pPr>
            <w:r w:rsidRPr="002A3CBE">
              <w:rPr>
                <w:rFonts w:eastAsia="Calibri"/>
              </w:rPr>
              <w:t>20.6</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29E1E9FC" w14:textId="77777777" w:rsidR="00447423" w:rsidRPr="002A3CBE" w:rsidRDefault="00447423" w:rsidP="00F16E23">
            <w:pPr>
              <w:pStyle w:val="Tableboldblue"/>
              <w:jc w:val="right"/>
              <w:rPr>
                <w:rFonts w:eastAsia="Calibri"/>
              </w:rPr>
            </w:pPr>
            <w:r w:rsidRPr="002A3CBE">
              <w:rPr>
                <w:rFonts w:eastAsia="Calibri"/>
              </w:rPr>
              <w:t>-10.3</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ADA30DA" w14:textId="77777777" w:rsidR="00447423" w:rsidRPr="002A3CBE" w:rsidRDefault="00447423" w:rsidP="00F16E23">
            <w:pPr>
              <w:pStyle w:val="Tableboldblue"/>
              <w:jc w:val="right"/>
              <w:rPr>
                <w:rFonts w:eastAsia="Calibri"/>
              </w:rPr>
            </w:pPr>
            <w:r w:rsidRPr="002A3CBE">
              <w:rPr>
                <w:rFonts w:eastAsia="Calibri"/>
              </w:rPr>
              <w:t>-13.7</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F90FFE5" w14:textId="77777777" w:rsidR="00447423" w:rsidRPr="002A3CBE" w:rsidRDefault="00447423" w:rsidP="00F16E23">
            <w:pPr>
              <w:pStyle w:val="Tableboldblue"/>
              <w:jc w:val="right"/>
              <w:rPr>
                <w:rFonts w:eastAsia="Calibri"/>
              </w:rPr>
            </w:pPr>
            <w:r w:rsidRPr="002A3CBE">
              <w:rPr>
                <w:rFonts w:eastAsia="Calibri"/>
              </w:rPr>
              <w:t>2.8</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8B5F930" w14:textId="77777777" w:rsidR="00447423" w:rsidRPr="002A3CBE" w:rsidRDefault="00447423" w:rsidP="00F16E23">
            <w:pPr>
              <w:pStyle w:val="Tableboldblue"/>
              <w:jc w:val="right"/>
              <w:rPr>
                <w:rFonts w:eastAsia="Calibri"/>
              </w:rPr>
            </w:pPr>
            <w:r w:rsidRPr="002A3CBE">
              <w:rPr>
                <w:rFonts w:eastAsia="Calibri"/>
              </w:rPr>
              <w:t>-27.9</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78259029" w14:textId="77777777" w:rsidR="00447423" w:rsidRPr="002A3CBE" w:rsidRDefault="00447423" w:rsidP="00F16E23">
            <w:pPr>
              <w:pStyle w:val="Tableboldblue"/>
              <w:jc w:val="right"/>
              <w:rPr>
                <w:rFonts w:eastAsia="Calibri"/>
              </w:rPr>
            </w:pPr>
            <w:r w:rsidRPr="002A3CBE">
              <w:rPr>
                <w:rFonts w:eastAsia="Calibri"/>
              </w:rPr>
              <w:t>12.6</w:t>
            </w:r>
          </w:p>
        </w:tc>
        <w:tc>
          <w:tcPr>
            <w:tcW w:w="719"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54185A1F" w14:textId="77777777" w:rsidR="00447423" w:rsidRPr="002A3CBE" w:rsidRDefault="00447423" w:rsidP="00F16E23">
            <w:pPr>
              <w:pStyle w:val="Tableboldblue"/>
              <w:jc w:val="right"/>
              <w:rPr>
                <w:rFonts w:eastAsia="Calibri"/>
              </w:rPr>
            </w:pPr>
            <w:r w:rsidRPr="002A3CBE">
              <w:rPr>
                <w:rFonts w:eastAsia="Calibri"/>
              </w:rPr>
              <w:t>0.0</w:t>
            </w:r>
          </w:p>
        </w:tc>
        <w:tc>
          <w:tcPr>
            <w:tcW w:w="1150" w:type="dxa"/>
            <w:tcBorders>
              <w:top w:val="single" w:sz="4" w:space="0" w:color="1B556B"/>
              <w:bottom w:val="single" w:sz="4" w:space="0" w:color="1B556B"/>
            </w:tcBorders>
            <w:shd w:val="clear" w:color="auto" w:fill="FFFFFF"/>
            <w:tcMar>
              <w:top w:w="0" w:type="dxa"/>
              <w:left w:w="85" w:type="dxa"/>
              <w:bottom w:w="0" w:type="dxa"/>
              <w:right w:w="85" w:type="dxa"/>
            </w:tcMar>
            <w:vAlign w:val="center"/>
          </w:tcPr>
          <w:p w14:paraId="45464063" w14:textId="77777777" w:rsidR="00447423" w:rsidRPr="002A3CBE" w:rsidRDefault="00447423" w:rsidP="00F16E23">
            <w:pPr>
              <w:pStyle w:val="Tableboldblue"/>
              <w:jc w:val="right"/>
              <w:rPr>
                <w:rFonts w:eastAsia="Calibri"/>
              </w:rPr>
            </w:pPr>
            <w:r w:rsidRPr="002A3CBE">
              <w:rPr>
                <w:rFonts w:eastAsia="Calibri"/>
              </w:rPr>
              <w:t>0.0</w:t>
            </w:r>
          </w:p>
        </w:tc>
      </w:tr>
    </w:tbl>
    <w:p w14:paraId="10B3ADFD" w14:textId="77777777" w:rsidR="00447423" w:rsidRPr="002A3CBE" w:rsidRDefault="00447423" w:rsidP="00447423">
      <w:pPr>
        <w:pStyle w:val="BodyText"/>
      </w:pPr>
    </w:p>
    <w:p w14:paraId="58266A79" w14:textId="77777777" w:rsidR="00447423" w:rsidRPr="002A3CBE" w:rsidRDefault="00447423" w:rsidP="00447423">
      <w:pPr>
        <w:pStyle w:val="BodyText"/>
        <w:sectPr w:rsidR="00447423" w:rsidRPr="002A3CBE" w:rsidSect="00447423">
          <w:footerReference w:type="default" r:id="rId216"/>
          <w:pgSz w:w="16838" w:h="11906" w:orient="landscape" w:code="9"/>
          <w:pgMar w:top="1701" w:right="1418" w:bottom="1701" w:left="1418" w:header="567" w:footer="567" w:gutter="0"/>
          <w:cols w:space="708"/>
          <w:docGrid w:linePitch="360"/>
        </w:sectPr>
      </w:pPr>
    </w:p>
    <w:p w14:paraId="54CF7A33" w14:textId="77777777" w:rsidR="00447423" w:rsidRPr="002A3CBE" w:rsidRDefault="00447423" w:rsidP="00447423">
      <w:pPr>
        <w:pStyle w:val="Heading2"/>
        <w:spacing w:before="0"/>
      </w:pPr>
      <w:bookmarkStart w:id="1799" w:name="_Toc158980296"/>
      <w:bookmarkStart w:id="1800" w:name="_Toc164154204"/>
      <w:bookmarkStart w:id="1801" w:name="_Toc194312029"/>
      <w:bookmarkStart w:id="1802" w:name="_Toc226460783"/>
      <w:r w:rsidRPr="002A3CBE">
        <w:t>6.3</w:t>
      </w:r>
      <w:r w:rsidRPr="002A3CBE">
        <w:tab/>
        <w:t>Country-specific approaches</w:t>
      </w:r>
      <w:bookmarkEnd w:id="1799"/>
      <w:bookmarkEnd w:id="1800"/>
      <w:bookmarkEnd w:id="1801"/>
      <w:bookmarkEnd w:id="1802"/>
    </w:p>
    <w:p w14:paraId="368FD2FD" w14:textId="77777777" w:rsidR="00447423" w:rsidRPr="002A3CBE" w:rsidRDefault="00447423" w:rsidP="00447423">
      <w:pPr>
        <w:pStyle w:val="Heading3"/>
        <w:spacing w:before="240"/>
      </w:pPr>
      <w:r w:rsidRPr="002A3CBE">
        <w:t>6.3.1</w:t>
      </w:r>
      <w:r w:rsidRPr="002A3CBE">
        <w:tab/>
        <w:t>Information on approaches used for representing land areas and on land use databases used for the Inventory preparation</w:t>
      </w:r>
    </w:p>
    <w:p w14:paraId="469E134B" w14:textId="77777777" w:rsidR="00447423" w:rsidRPr="002A3CBE" w:rsidRDefault="00447423" w:rsidP="00447423">
      <w:pPr>
        <w:pStyle w:val="Heading4"/>
      </w:pPr>
      <w:r w:rsidRPr="002A3CBE">
        <w:t>General approach</w:t>
      </w:r>
    </w:p>
    <w:p w14:paraId="395706DA" w14:textId="77777777" w:rsidR="00447423" w:rsidRPr="002A3CBE" w:rsidRDefault="00447423" w:rsidP="00447423">
      <w:pPr>
        <w:pStyle w:val="BodyText"/>
      </w:pPr>
      <w:r w:rsidRPr="002A3CBE">
        <w:t>Areas of land use and land-use change between 1990 and 2024 are based on five wall-to-wall land use maps derived from satellite imagery at nominal mapping dates of 31 December 1989, 31 December 2007, 31 December 2012, 31 December 2016 and 31 December 2020 (see figure 6.3.1). Information on the methods used to compile these land use maps can be found in volume 2, annex 5, section A5</w:t>
      </w:r>
      <w:r w:rsidRPr="002A3CBE">
        <w:rPr>
          <w:spacing w:val="-2"/>
        </w:rPr>
        <w:t>.2.1.</w:t>
      </w:r>
    </w:p>
    <w:p w14:paraId="5AAEB488" w14:textId="77777777" w:rsidR="00447423" w:rsidRPr="002A3CBE" w:rsidRDefault="00447423" w:rsidP="00447423">
      <w:pPr>
        <w:pStyle w:val="BodyText"/>
      </w:pPr>
      <w:r w:rsidRPr="002A3CBE">
        <w:t>These maps are managed in a single spatial database to ensure consistency in the tracking of land-use change and to ensure any corrections to land use classifications are replicated through the entire time series. Information on the spatial data management system can be found in volume 2, annex 5, section A5.2.9.</w:t>
      </w:r>
    </w:p>
    <w:p w14:paraId="7B50AF5A" w14:textId="2C073009" w:rsidR="00447423" w:rsidRPr="002A3CBE" w:rsidRDefault="00447423" w:rsidP="00447423">
      <w:pPr>
        <w:pStyle w:val="BodyText"/>
      </w:pPr>
      <w:r w:rsidRPr="002A3CBE">
        <w:t xml:space="preserve">Area information from these maps is interpolated and extrapolated to obtain a complete time series of land-use change occurring between 1990 and 2024 (see volume 2, annex 5, section A5.2.2). </w:t>
      </w:r>
      <w:r w:rsidRPr="002A3CBE">
        <w:rPr>
          <w:spacing w:val="-2"/>
        </w:rPr>
        <w:t>Ancillary data – including aerial photography, additional satellite imagery, data from the</w:t>
      </w:r>
      <w:r w:rsidR="002E3A1E">
        <w:rPr>
          <w:spacing w:val="-2"/>
        </w:rPr>
        <w:t> </w:t>
      </w:r>
      <w:r w:rsidRPr="002A3CBE">
        <w:rPr>
          <w:spacing w:val="-2"/>
        </w:rPr>
        <w:t>NZ ETS</w:t>
      </w:r>
      <w:r w:rsidRPr="002A3CBE">
        <w:t xml:space="preserve"> and other national survey data – are used to support data interpolation and map production. </w:t>
      </w:r>
      <w:r w:rsidRPr="002A3CBE">
        <w:rPr>
          <w:spacing w:val="-2"/>
        </w:rPr>
        <w:t>Further information on the mapping methodology and imagery used, as well as the interpolation</w:t>
      </w:r>
      <w:r w:rsidRPr="002A3CBE">
        <w:t xml:space="preserve"> and extrapolation process to obtain a complete time series of land-use change occurring between 1990 and 2024 can be found in volume 2, annex 5, section A5.2.2. </w:t>
      </w:r>
    </w:p>
    <w:p w14:paraId="616409C0" w14:textId="77777777" w:rsidR="00447423" w:rsidRPr="002A3CBE" w:rsidRDefault="00447423" w:rsidP="00447423">
      <w:pPr>
        <w:pStyle w:val="Figure"/>
        <w:ind w:left="0" w:firstLine="0"/>
      </w:pPr>
      <w:bookmarkStart w:id="1803" w:name="_Toc158979909"/>
      <w:bookmarkStart w:id="1804" w:name="_Toc164154037"/>
      <w:bookmarkStart w:id="1805" w:name="_Toc190873406"/>
      <w:bookmarkStart w:id="1806" w:name="_Toc194674870"/>
      <w:bookmarkStart w:id="1807" w:name="_Toc222837970"/>
      <w:bookmarkStart w:id="1808" w:name="_Toc226200697"/>
      <w:r w:rsidRPr="002A3CBE">
        <w:t>Figure 6.3.1</w:t>
      </w:r>
      <w:r w:rsidRPr="002A3CBE">
        <w:tab/>
        <w:t>Land use map of New Zealand as at 31 December 2020</w:t>
      </w:r>
      <w:bookmarkEnd w:id="1803"/>
      <w:bookmarkEnd w:id="1804"/>
      <w:bookmarkEnd w:id="1805"/>
      <w:bookmarkEnd w:id="1806"/>
      <w:bookmarkEnd w:id="1807"/>
      <w:bookmarkEnd w:id="1808"/>
    </w:p>
    <w:p w14:paraId="55D706E8" w14:textId="77777777" w:rsidR="00447423" w:rsidRPr="002A3CBE" w:rsidRDefault="00447423" w:rsidP="00447423">
      <w:pPr>
        <w:spacing w:before="120" w:after="120"/>
      </w:pPr>
      <w:r w:rsidRPr="002A3CBE">
        <w:rPr>
          <w:noProof/>
        </w:rPr>
        <w:drawing>
          <wp:inline distT="0" distB="0" distL="0" distR="0" wp14:anchorId="1B202094" wp14:editId="032AFCE1">
            <wp:extent cx="5111340" cy="6048000"/>
            <wp:effectExtent l="0" t="0" r="0" b="0"/>
            <wp:docPr id="1745218009" name="Picture 174521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18009" name="Picture 1745218009"/>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a:stretch/>
                  </pic:blipFill>
                  <pic:spPr bwMode="auto">
                    <a:xfrm>
                      <a:off x="0" y="0"/>
                      <a:ext cx="5111340" cy="6048000"/>
                    </a:xfrm>
                    <a:prstGeom prst="rect">
                      <a:avLst/>
                    </a:prstGeom>
                    <a:noFill/>
                    <a:ln>
                      <a:noFill/>
                    </a:ln>
                    <a:extLst>
                      <a:ext uri="{53640926-AAD7-44D8-BBD7-CCE9431645EC}">
                        <a14:shadowObscured xmlns:a14="http://schemas.microsoft.com/office/drawing/2010/main"/>
                      </a:ext>
                    </a:extLst>
                  </pic:spPr>
                </pic:pic>
              </a:graphicData>
            </a:graphic>
          </wp:inline>
        </w:drawing>
      </w:r>
    </w:p>
    <w:p w14:paraId="3530CB4C" w14:textId="77777777" w:rsidR="00447423" w:rsidRPr="002A3CBE" w:rsidRDefault="00447423" w:rsidP="00447423">
      <w:pPr>
        <w:pStyle w:val="Noteundertable"/>
        <w:spacing w:after="0"/>
      </w:pPr>
      <w:r w:rsidRPr="002A3CBE">
        <w:rPr>
          <w:b/>
        </w:rPr>
        <w:t>Note:</w:t>
      </w:r>
      <w:r w:rsidRPr="002A3CBE">
        <w:tab/>
        <w:t>The inset map is of the Chatham Islands, which lie approximately 660 kilometres south-east of the south</w:t>
      </w:r>
      <w:r w:rsidRPr="002A3CBE">
        <w:noBreakHyphen/>
        <w:t xml:space="preserve">eastern corner of the North Island. </w:t>
      </w:r>
    </w:p>
    <w:p w14:paraId="2BF3F45C" w14:textId="77777777" w:rsidR="00447423" w:rsidRPr="002A3CBE" w:rsidRDefault="00447423" w:rsidP="00447423">
      <w:pPr>
        <w:pStyle w:val="Heading4"/>
      </w:pPr>
      <w:r w:rsidRPr="002A3CBE">
        <w:t>Updates for this submission</w:t>
      </w:r>
    </w:p>
    <w:p w14:paraId="48F2276B" w14:textId="77777777" w:rsidR="00447423" w:rsidRPr="002A3CBE" w:rsidRDefault="00447423" w:rsidP="00447423">
      <w:pPr>
        <w:pStyle w:val="BodyText"/>
        <w:spacing w:before="100" w:after="100"/>
      </w:pPr>
      <w:r w:rsidRPr="002A3CBE">
        <w:t>For this submission, minor improvements to the 2020 land use map have been made. Improvements have also been made to the 1989, 2007, 2012 and 2016 land use maps. This year, improvements have focused on:</w:t>
      </w:r>
    </w:p>
    <w:p w14:paraId="0CDEFDFB" w14:textId="77777777" w:rsidR="00447423" w:rsidRPr="002A3CBE" w:rsidRDefault="00447423" w:rsidP="00447423">
      <w:pPr>
        <w:pStyle w:val="Bullet"/>
        <w:spacing w:after="100"/>
      </w:pPr>
      <w:r w:rsidRPr="002A3CBE">
        <w:t>updates to mapping of new post-1989 forest areas based on areas added to Ministry for Primary Industries (MPI) forestry schemes including the NZ ETS</w:t>
      </w:r>
      <w:r w:rsidRPr="002A3CBE" w:rsidDel="007C2D45">
        <w:t xml:space="preserve"> </w:t>
      </w:r>
    </w:p>
    <w:p w14:paraId="61C22BF2" w14:textId="77777777" w:rsidR="00447423" w:rsidRPr="002A3CBE" w:rsidRDefault="00447423" w:rsidP="00447423">
      <w:pPr>
        <w:pStyle w:val="Bullet"/>
        <w:spacing w:after="100"/>
      </w:pPr>
      <w:r w:rsidRPr="002A3CBE">
        <w:t>updates to deforestation mapping based on a review of post-1989 forest areas withdrawn from the NZ ETS</w:t>
      </w:r>
    </w:p>
    <w:p w14:paraId="711CD1BB" w14:textId="77777777" w:rsidR="00447423" w:rsidRPr="002A3CBE" w:rsidRDefault="00447423" w:rsidP="00447423">
      <w:pPr>
        <w:pStyle w:val="Bullet"/>
      </w:pPr>
      <w:r w:rsidRPr="002A3CBE">
        <w:t>updates to the sub-classification of pre-1990 natural forest, particularly in relation to identifying tree weeds (wilding pines).</w:t>
      </w:r>
    </w:p>
    <w:p w14:paraId="79A6E592" w14:textId="77777777" w:rsidR="00447423" w:rsidRPr="002A3CBE" w:rsidRDefault="00447423" w:rsidP="00447423">
      <w:pPr>
        <w:pStyle w:val="Heading4"/>
      </w:pPr>
      <w:r w:rsidRPr="002A3CBE">
        <w:t>Quality assurance/quality control (QA/QC) and verification</w:t>
      </w:r>
    </w:p>
    <w:p w14:paraId="12C20EF3" w14:textId="77777777" w:rsidR="00447423" w:rsidRPr="002A3CBE" w:rsidRDefault="00447423" w:rsidP="00447423">
      <w:pPr>
        <w:pStyle w:val="BodyText"/>
        <w:spacing w:before="100" w:after="100"/>
      </w:pPr>
      <w:r w:rsidRPr="002A3CBE">
        <w:t>Quality-control and quality-assurance procedures (QA/QC) have been adopted for all data collection and data analyses, consistent with the 2006 IPCC Guidelines</w:t>
      </w:r>
      <w:r w:rsidRPr="002A3CBE" w:rsidDel="00663F9D">
        <w:t xml:space="preserve"> </w:t>
      </w:r>
      <w:r w:rsidRPr="002A3CBE">
        <w:t>(IPCC, 2006a) and New Zealand’s inventory quality-control and quality-assurance plan. Data quality and data assurance plans are established for each type of data used to determine carbon stock and stock changes, as well as for the mapping of the areal extent and spatial location of land</w:t>
      </w:r>
      <w:r w:rsidRPr="002A3CBE">
        <w:noBreakHyphen/>
        <w:t xml:space="preserve">use changes. Further information on QA/QC procedures specific to mapping can be found in volume 2, annex 5, section A5.2.1. </w:t>
      </w:r>
    </w:p>
    <w:p w14:paraId="39C42BF6" w14:textId="77777777" w:rsidR="00447423" w:rsidRPr="002A3CBE" w:rsidRDefault="00447423" w:rsidP="00447423">
      <w:pPr>
        <w:pStyle w:val="Heading4"/>
      </w:pPr>
      <w:r w:rsidRPr="002A3CBE">
        <w:t>Planned improvements</w:t>
      </w:r>
    </w:p>
    <w:p w14:paraId="35D7523C" w14:textId="77777777" w:rsidR="00447423" w:rsidRPr="002A3CBE" w:rsidRDefault="00447423" w:rsidP="00447423">
      <w:pPr>
        <w:pStyle w:val="BodyText"/>
        <w:spacing w:after="100"/>
      </w:pPr>
      <w:r w:rsidRPr="002A3CBE">
        <w:t>By October 2026, the following improvements will be made to land use activity data:</w:t>
      </w:r>
    </w:p>
    <w:p w14:paraId="207AA7C8" w14:textId="77777777" w:rsidR="00447423" w:rsidRPr="002A3CBE" w:rsidRDefault="00447423" w:rsidP="00447423">
      <w:pPr>
        <w:pStyle w:val="Bullet"/>
        <w:numPr>
          <w:ilvl w:val="0"/>
          <w:numId w:val="29"/>
        </w:numPr>
        <w:spacing w:after="100"/>
        <w:ind w:left="397" w:hanging="397"/>
      </w:pPr>
      <w:r w:rsidRPr="002A3CBE">
        <w:t>confirmation of mapped areas of deforestation for areas cleared during 2023 and 2024</w:t>
      </w:r>
    </w:p>
    <w:p w14:paraId="1C837149" w14:textId="77777777" w:rsidR="00447423" w:rsidRPr="002A3CBE" w:rsidRDefault="00447423" w:rsidP="00447423">
      <w:pPr>
        <w:pStyle w:val="Bullet"/>
        <w:numPr>
          <w:ilvl w:val="0"/>
          <w:numId w:val="29"/>
        </w:numPr>
        <w:spacing w:after="100"/>
        <w:ind w:left="397" w:hanging="397"/>
      </w:pPr>
      <w:r w:rsidRPr="002A3CBE">
        <w:t>updates to the 2020 land use map based on forestry mapping entered into the NZ ETS.</w:t>
      </w:r>
    </w:p>
    <w:p w14:paraId="799DB7E3" w14:textId="77777777" w:rsidR="00447423" w:rsidRPr="002A3CBE" w:rsidRDefault="00447423" w:rsidP="00447423">
      <w:pPr>
        <w:pStyle w:val="BodyText"/>
        <w:spacing w:after="100"/>
      </w:pPr>
      <w:r w:rsidRPr="002A3CBE">
        <w:t>An accuracy assessment of the 2020 land use map will also be completed by October 2026, and this will be used to inform further mapping improvement planning.</w:t>
      </w:r>
    </w:p>
    <w:p w14:paraId="32A46C69" w14:textId="77777777" w:rsidR="00447423" w:rsidRPr="002A3CBE" w:rsidRDefault="00447423" w:rsidP="00447423">
      <w:pPr>
        <w:pStyle w:val="Heading3"/>
        <w:spacing w:before="320"/>
      </w:pPr>
      <w:r w:rsidRPr="002A3CBE">
        <w:t>6.3.2</w:t>
      </w:r>
      <w:r w:rsidRPr="002A3CBE">
        <w:tab/>
        <w:t>Information on approaches used for reporting harvested wood products</w:t>
      </w:r>
    </w:p>
    <w:p w14:paraId="68DFD62D" w14:textId="77777777" w:rsidR="00447423" w:rsidRPr="002A3CBE" w:rsidRDefault="00447423" w:rsidP="00447423">
      <w:pPr>
        <w:pStyle w:val="BodyText"/>
        <w:spacing w:before="100" w:after="100"/>
      </w:pPr>
      <w:r w:rsidRPr="002A3CBE">
        <w:t xml:space="preserve">New Zealand applies the production approach to report on the </w:t>
      </w:r>
      <w:r w:rsidRPr="002A3CBE">
        <w:rPr>
          <w:i/>
          <w:iCs/>
        </w:rPr>
        <w:t xml:space="preserve">Harvested </w:t>
      </w:r>
      <w:r w:rsidRPr="002A3CBE">
        <w:rPr>
          <w:i/>
        </w:rPr>
        <w:t xml:space="preserve">wood products </w:t>
      </w:r>
      <w:r w:rsidRPr="002A3CBE">
        <w:rPr>
          <w:iCs/>
        </w:rPr>
        <w:t>category</w:t>
      </w:r>
      <w:r w:rsidRPr="002A3CBE">
        <w:t xml:space="preserve">. To do this, New Zealand has adapted the default </w:t>
      </w:r>
      <w:r w:rsidRPr="002A3CBE">
        <w:rPr>
          <w:i/>
          <w:iCs/>
        </w:rPr>
        <w:t>Harvested wood products</w:t>
      </w:r>
      <w:r w:rsidRPr="002A3CBE">
        <w:t xml:space="preserve"> model and uses a Tier 2 method (IPCC, 2006a, section 12.2.1.2), which involves using country-specific activity data and parameters.</w:t>
      </w:r>
    </w:p>
    <w:p w14:paraId="6E287AF9" w14:textId="77777777" w:rsidR="00447423" w:rsidRPr="002A3CBE" w:rsidRDefault="00447423" w:rsidP="00447423">
      <w:pPr>
        <w:pStyle w:val="BodyText"/>
        <w:spacing w:before="100" w:after="100"/>
      </w:pPr>
      <w:r w:rsidRPr="002A3CBE">
        <w:t xml:space="preserve">Further information is provided in section 6.10. </w:t>
      </w:r>
    </w:p>
    <w:p w14:paraId="2202A19D" w14:textId="77777777" w:rsidR="00447423" w:rsidRPr="002A3CBE" w:rsidRDefault="00447423" w:rsidP="00447423">
      <w:pPr>
        <w:pStyle w:val="Heading2"/>
      </w:pPr>
      <w:bookmarkStart w:id="1809" w:name="_Toc373395710"/>
      <w:bookmarkStart w:id="1810" w:name="_Toc391024700"/>
      <w:bookmarkStart w:id="1811" w:name="_Toc414531317"/>
      <w:bookmarkStart w:id="1812" w:name="_Toc474335459"/>
      <w:bookmarkStart w:id="1813" w:name="_Toc481751399"/>
      <w:bookmarkStart w:id="1814" w:name="_Toc522013951"/>
      <w:bookmarkStart w:id="1815" w:name="_Toc5269376"/>
      <w:bookmarkStart w:id="1816" w:name="_Toc36224416"/>
      <w:bookmarkStart w:id="1817" w:name="_Toc131591250"/>
      <w:bookmarkStart w:id="1818" w:name="_Toc158980297"/>
      <w:bookmarkStart w:id="1819" w:name="_Toc164154205"/>
      <w:bookmarkStart w:id="1820" w:name="_Toc194312030"/>
      <w:bookmarkStart w:id="1821" w:name="_Toc226460784"/>
      <w:r w:rsidRPr="002A3CBE">
        <w:t>6.4</w:t>
      </w:r>
      <w:r w:rsidRPr="002A3CBE">
        <w:tab/>
        <w:t>Forest land (4A)</w:t>
      </w:r>
      <w:bookmarkEnd w:id="1809"/>
      <w:bookmarkEnd w:id="1810"/>
      <w:bookmarkEnd w:id="1811"/>
      <w:bookmarkEnd w:id="1812"/>
      <w:bookmarkEnd w:id="1813"/>
      <w:bookmarkEnd w:id="1814"/>
      <w:bookmarkEnd w:id="1815"/>
      <w:bookmarkEnd w:id="1816"/>
      <w:bookmarkEnd w:id="1817"/>
      <w:bookmarkEnd w:id="1818"/>
      <w:bookmarkEnd w:id="1819"/>
      <w:bookmarkEnd w:id="1820"/>
      <w:bookmarkEnd w:id="1821"/>
    </w:p>
    <w:p w14:paraId="59FEC0F3" w14:textId="77777777" w:rsidR="00447423" w:rsidRPr="002A3CBE" w:rsidRDefault="00447423" w:rsidP="00447423">
      <w:pPr>
        <w:pStyle w:val="Heading3"/>
        <w:spacing w:before="240"/>
      </w:pPr>
      <w:bookmarkStart w:id="1822" w:name="_Toc255466325"/>
      <w:bookmarkStart w:id="1823" w:name="_Toc261513132"/>
      <w:bookmarkStart w:id="1824" w:name="_Toc261513745"/>
      <w:bookmarkStart w:id="1825" w:name="_Toc280630241"/>
      <w:bookmarkStart w:id="1826" w:name="_Toc373395711"/>
      <w:r w:rsidRPr="002A3CBE">
        <w:t>6.4.1</w:t>
      </w:r>
      <w:r w:rsidRPr="002A3CBE">
        <w:tab/>
        <w:t>Description</w:t>
      </w:r>
      <w:bookmarkEnd w:id="1822"/>
      <w:bookmarkEnd w:id="1823"/>
      <w:bookmarkEnd w:id="1824"/>
      <w:bookmarkEnd w:id="1825"/>
      <w:bookmarkEnd w:id="1826"/>
    </w:p>
    <w:p w14:paraId="1D3D1DF8" w14:textId="77777777" w:rsidR="00447423" w:rsidRPr="002A3CBE" w:rsidRDefault="00447423" w:rsidP="00447423">
      <w:pPr>
        <w:pStyle w:val="BodyText"/>
        <w:spacing w:before="100" w:after="100"/>
      </w:pPr>
      <w:r w:rsidRPr="002A3CBE">
        <w:rPr>
          <w:spacing w:val="-2"/>
        </w:rPr>
        <w:t xml:space="preserve">In 2024, </w:t>
      </w:r>
      <w:r w:rsidRPr="002A3CBE">
        <w:rPr>
          <w:i/>
          <w:spacing w:val="-2"/>
        </w:rPr>
        <w:t>Forest land</w:t>
      </w:r>
      <w:r w:rsidRPr="002A3CBE">
        <w:rPr>
          <w:spacing w:val="-2"/>
        </w:rPr>
        <w:t xml:space="preserve"> contributed </w:t>
      </w:r>
      <w:r w:rsidRPr="002A3CBE">
        <w:t xml:space="preserve">-18,611.5 </w:t>
      </w:r>
      <w:r w:rsidRPr="002A3CBE">
        <w:rPr>
          <w:spacing w:val="-2"/>
        </w:rPr>
        <w:t>kt CO</w:t>
      </w:r>
      <w:r w:rsidRPr="002A3CBE">
        <w:rPr>
          <w:spacing w:val="-2"/>
          <w:vertAlign w:val="subscript"/>
        </w:rPr>
        <w:t>2</w:t>
      </w:r>
      <w:r w:rsidRPr="002A3CBE">
        <w:rPr>
          <w:spacing w:val="-2"/>
        </w:rPr>
        <w:t xml:space="preserve">e of net emissions. Net emissions from </w:t>
      </w:r>
      <w:r w:rsidRPr="002A3CBE">
        <w:rPr>
          <w:i/>
          <w:spacing w:val="-2"/>
        </w:rPr>
        <w:t>Fores</w:t>
      </w:r>
      <w:r w:rsidRPr="002A3CBE">
        <w:rPr>
          <w:i/>
        </w:rPr>
        <w:t xml:space="preserve">t </w:t>
      </w:r>
      <w:r w:rsidRPr="002A3CBE">
        <w:rPr>
          <w:i/>
          <w:spacing w:val="-2"/>
        </w:rPr>
        <w:t>land</w:t>
      </w:r>
      <w:r w:rsidRPr="002A3CBE">
        <w:rPr>
          <w:spacing w:val="-2"/>
        </w:rPr>
        <w:t xml:space="preserve"> have increased by </w:t>
      </w:r>
      <w:r w:rsidRPr="002A3CBE">
        <w:t xml:space="preserve">4,788.6 </w:t>
      </w:r>
      <w:r w:rsidRPr="002A3CBE">
        <w:rPr>
          <w:spacing w:val="-2"/>
        </w:rPr>
        <w:t>kt CO</w:t>
      </w:r>
      <w:r w:rsidRPr="002A3CBE">
        <w:rPr>
          <w:spacing w:val="-2"/>
          <w:vertAlign w:val="subscript"/>
        </w:rPr>
        <w:t>2</w:t>
      </w:r>
      <w:r w:rsidRPr="002A3CBE">
        <w:rPr>
          <w:spacing w:val="-2"/>
        </w:rPr>
        <w:t>e (</w:t>
      </w:r>
      <w:r w:rsidRPr="002A3CBE">
        <w:t xml:space="preserve">20.5 </w:t>
      </w:r>
      <w:r w:rsidRPr="002A3CBE">
        <w:rPr>
          <w:spacing w:val="-2"/>
        </w:rPr>
        <w:t xml:space="preserve">percent) from the 1990 level of </w:t>
      </w:r>
      <w:r w:rsidRPr="002A3CBE">
        <w:t xml:space="preserve">-23,400.1 </w:t>
      </w:r>
      <w:r w:rsidRPr="002A3CBE">
        <w:rPr>
          <w:spacing w:val="-2"/>
        </w:rPr>
        <w:t xml:space="preserve">kt </w:t>
      </w:r>
      <w:r w:rsidRPr="002A3CBE">
        <w:t>CO</w:t>
      </w:r>
      <w:r w:rsidRPr="002A3CBE">
        <w:rPr>
          <w:vertAlign w:val="subscript"/>
        </w:rPr>
        <w:t>2</w:t>
      </w:r>
      <w:r w:rsidRPr="002A3CBE">
        <w:t>e</w:t>
      </w:r>
      <w:r w:rsidRPr="002A3CBE" w:rsidDel="00643905">
        <w:rPr>
          <w:spacing w:val="-2"/>
        </w:rPr>
        <w:t xml:space="preserve"> </w:t>
      </w:r>
      <w:r w:rsidRPr="002A3CBE">
        <w:t>(table 6.4.1). Between 1990 and 2024,</w:t>
      </w:r>
      <w:r w:rsidRPr="002A3CBE">
        <w:rPr>
          <w:i/>
        </w:rPr>
        <w:t xml:space="preserve"> Forest land</w:t>
      </w:r>
      <w:r w:rsidRPr="002A3CBE">
        <w:t xml:space="preserve"> is the most significant contributor to </w:t>
      </w:r>
      <w:r w:rsidRPr="002A3CBE">
        <w:rPr>
          <w:spacing w:val="-4"/>
        </w:rPr>
        <w:t>carbon stock changes in the LULUCF sector. In 2024, forests comprised 38.1 percent (10.3 million</w:t>
      </w:r>
      <w:r w:rsidRPr="002A3CBE">
        <w:t xml:space="preserve"> </w:t>
      </w:r>
      <w:r w:rsidRPr="002A3CBE">
        <w:rPr>
          <w:spacing w:val="-2"/>
        </w:rPr>
        <w:t xml:space="preserve">hectares) of New Zealand’s total land area. Note that emissions for the </w:t>
      </w:r>
      <w:r w:rsidRPr="002A3CBE">
        <w:rPr>
          <w:i/>
          <w:spacing w:val="-2"/>
        </w:rPr>
        <w:t>Harvested wood products</w:t>
      </w:r>
      <w:r w:rsidRPr="002A3CBE">
        <w:t xml:space="preserve"> category are reported separately within the common reporting tables (CRTs) and are described further in section 6.10. </w:t>
      </w:r>
    </w:p>
    <w:p w14:paraId="4CB377F4" w14:textId="77777777" w:rsidR="00447423" w:rsidRPr="002A3CBE" w:rsidRDefault="00447423" w:rsidP="00447423">
      <w:pPr>
        <w:pStyle w:val="BodyText"/>
      </w:pPr>
      <w:r w:rsidRPr="002A3CBE">
        <w:t xml:space="preserve">In 2024, </w:t>
      </w:r>
      <w:r w:rsidRPr="002A3CBE">
        <w:rPr>
          <w:i/>
        </w:rPr>
        <w:t>Forest land remaining forest land</w:t>
      </w:r>
      <w:r w:rsidRPr="002A3CBE">
        <w:t xml:space="preserve"> and </w:t>
      </w:r>
      <w:r w:rsidRPr="002A3CBE">
        <w:rPr>
          <w:i/>
        </w:rPr>
        <w:t>Land converted to forest land</w:t>
      </w:r>
      <w:r w:rsidRPr="002A3CBE">
        <w:t xml:space="preserve"> were key categories (based on a trend and level assessment). </w:t>
      </w:r>
    </w:p>
    <w:p w14:paraId="1C0DA2B6" w14:textId="77777777" w:rsidR="00447423" w:rsidRPr="002A3CBE" w:rsidRDefault="00447423" w:rsidP="00447423">
      <w:pPr>
        <w:pStyle w:val="Table"/>
      </w:pPr>
      <w:bookmarkStart w:id="1827" w:name="_Toc280630453"/>
      <w:bookmarkStart w:id="1828" w:name="_Toc310423404"/>
      <w:bookmarkStart w:id="1829" w:name="_Toc318362697"/>
      <w:bookmarkStart w:id="1830" w:name="_Toc342470759"/>
      <w:bookmarkStart w:id="1831" w:name="_Toc352504999"/>
      <w:bookmarkStart w:id="1832" w:name="_Toc373395724"/>
      <w:bookmarkStart w:id="1833" w:name="_Toc378853290"/>
      <w:bookmarkStart w:id="1834" w:name="_Toc391024088"/>
      <w:bookmarkStart w:id="1835" w:name="_Toc410028831"/>
      <w:bookmarkStart w:id="1836" w:name="_Toc414531459"/>
      <w:bookmarkStart w:id="1837" w:name="_Toc443645372"/>
      <w:bookmarkStart w:id="1838" w:name="_Toc474914591"/>
      <w:bookmarkStart w:id="1839" w:name="_Toc481751555"/>
      <w:bookmarkStart w:id="1840" w:name="_Toc522010612"/>
      <w:bookmarkStart w:id="1841" w:name="_Toc5269517"/>
      <w:bookmarkStart w:id="1842" w:name="_Toc33529391"/>
      <w:bookmarkStart w:id="1843" w:name="_Toc36224597"/>
      <w:bookmarkStart w:id="1844" w:name="_Toc131591391"/>
      <w:bookmarkStart w:id="1845" w:name="_Toc158979949"/>
      <w:bookmarkStart w:id="1846" w:name="_Toc164153882"/>
      <w:bookmarkStart w:id="1847" w:name="_Toc190873116"/>
      <w:bookmarkStart w:id="1848" w:name="_Toc194241755"/>
      <w:bookmarkStart w:id="1849" w:name="_Toc222837906"/>
      <w:bookmarkStart w:id="1850" w:name="_Toc226669052"/>
      <w:r w:rsidRPr="002A3CBE">
        <w:t>Table 6.4.1</w:t>
      </w:r>
      <w:r w:rsidRPr="002A3CBE">
        <w:tab/>
        <w:t xml:space="preserve">New Zealand’s land-use change for the </w:t>
      </w:r>
      <w:r w:rsidRPr="002A3CBE">
        <w:rPr>
          <w:i/>
        </w:rPr>
        <w:t>Forest land</w:t>
      </w:r>
      <w:r w:rsidRPr="002A3CBE">
        <w:t xml:space="preserve"> category, and associated</w:t>
      </w:r>
      <w:r w:rsidRPr="002A3CBE">
        <w:br/>
        <w:t>CO</w:t>
      </w:r>
      <w:r w:rsidRPr="002A3CBE">
        <w:rPr>
          <w:vertAlign w:val="subscript"/>
        </w:rPr>
        <w:t>2</w:t>
      </w:r>
      <w:r w:rsidRPr="002A3CBE">
        <w:t>e emissions</w:t>
      </w:r>
      <w:bookmarkEnd w:id="1827"/>
      <w:bookmarkEnd w:id="1828"/>
      <w:bookmarkEnd w:id="1829"/>
      <w:bookmarkEnd w:id="1830"/>
      <w:bookmarkEnd w:id="1831"/>
      <w:bookmarkEnd w:id="1832"/>
      <w:bookmarkEnd w:id="1833"/>
      <w:r w:rsidRPr="002A3CBE">
        <w:t xml:space="preserve">, in 1990 and </w:t>
      </w:r>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r w:rsidRPr="002A3CBE">
        <w:t>2024</w:t>
      </w:r>
      <w:bookmarkEnd w:id="1849"/>
      <w:bookmarkEnd w:id="1850"/>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33"/>
        <w:gridCol w:w="1014"/>
        <w:gridCol w:w="1014"/>
        <w:gridCol w:w="1127"/>
        <w:gridCol w:w="845"/>
        <w:gridCol w:w="845"/>
        <w:gridCol w:w="1127"/>
      </w:tblGrid>
      <w:tr w:rsidR="00447423" w:rsidRPr="002A3CBE" w14:paraId="04ADC478" w14:textId="77777777" w:rsidTr="00165540">
        <w:trPr>
          <w:tblHeader/>
        </w:trPr>
        <w:tc>
          <w:tcPr>
            <w:tcW w:w="2551" w:type="dxa"/>
            <w:tcBorders>
              <w:bottom w:val="nil"/>
            </w:tcBorders>
            <w:shd w:val="clear" w:color="auto" w:fill="1B556B"/>
            <w:tcMar>
              <w:top w:w="0" w:type="dxa"/>
              <w:left w:w="85" w:type="dxa"/>
              <w:bottom w:w="0" w:type="dxa"/>
              <w:right w:w="85" w:type="dxa"/>
            </w:tcMar>
            <w:vAlign w:val="center"/>
          </w:tcPr>
          <w:p w14:paraId="5227D624" w14:textId="77777777" w:rsidR="00447423" w:rsidRPr="002A3CBE" w:rsidRDefault="00447423" w:rsidP="00F16E23">
            <w:pPr>
              <w:pStyle w:val="TableTextBold"/>
              <w:keepNext/>
              <w:spacing w:before="40" w:after="0"/>
              <w:rPr>
                <w:rFonts w:eastAsia="Calibri"/>
                <w:noProof w:val="0"/>
                <w:color w:val="FFFFFF" w:themeColor="background1"/>
              </w:rPr>
            </w:pPr>
          </w:p>
        </w:tc>
        <w:tc>
          <w:tcPr>
            <w:tcW w:w="3174" w:type="dxa"/>
            <w:gridSpan w:val="3"/>
            <w:tcBorders>
              <w:bottom w:val="nil"/>
            </w:tcBorders>
            <w:shd w:val="clear" w:color="auto" w:fill="1B556B"/>
            <w:tcMar>
              <w:top w:w="0" w:type="dxa"/>
              <w:left w:w="85" w:type="dxa"/>
              <w:bottom w:w="0" w:type="dxa"/>
              <w:right w:w="85" w:type="dxa"/>
            </w:tcMar>
            <w:vAlign w:val="center"/>
          </w:tcPr>
          <w:p w14:paraId="5D4EFB7E" w14:textId="77777777" w:rsidR="00447423" w:rsidRPr="002A3CBE" w:rsidRDefault="00447423" w:rsidP="00F16E23">
            <w:pPr>
              <w:pStyle w:val="TableTextBold"/>
              <w:keepNext/>
              <w:spacing w:before="40" w:after="0"/>
              <w:jc w:val="center"/>
              <w:rPr>
                <w:rFonts w:eastAsia="Calibri"/>
                <w:noProof w:val="0"/>
                <w:color w:val="FFFFFF" w:themeColor="background1"/>
              </w:rPr>
            </w:pPr>
            <w:r w:rsidRPr="002A3CBE">
              <w:rPr>
                <w:rFonts w:eastAsia="Calibri"/>
                <w:noProof w:val="0"/>
                <w:color w:val="FFFFFF" w:themeColor="background1"/>
              </w:rPr>
              <w:t>Net area (ha)</w:t>
            </w:r>
          </w:p>
        </w:tc>
        <w:tc>
          <w:tcPr>
            <w:tcW w:w="2834" w:type="dxa"/>
            <w:gridSpan w:val="3"/>
            <w:tcBorders>
              <w:bottom w:val="nil"/>
            </w:tcBorders>
            <w:shd w:val="clear" w:color="auto" w:fill="1B556B"/>
            <w:tcMar>
              <w:top w:w="0" w:type="dxa"/>
              <w:left w:w="85" w:type="dxa"/>
              <w:bottom w:w="0" w:type="dxa"/>
              <w:right w:w="85" w:type="dxa"/>
            </w:tcMar>
            <w:vAlign w:val="center"/>
          </w:tcPr>
          <w:p w14:paraId="3A12F780" w14:textId="77777777" w:rsidR="00447423" w:rsidRPr="002A3CBE" w:rsidRDefault="00447423" w:rsidP="00F16E23">
            <w:pPr>
              <w:pStyle w:val="TableTextBold"/>
              <w:keepNext/>
              <w:spacing w:before="40" w:after="0"/>
              <w:jc w:val="center"/>
              <w:rPr>
                <w:rFonts w:eastAsia="Calibri"/>
                <w:noProof w:val="0"/>
                <w:color w:val="FFFFFF" w:themeColor="background1"/>
              </w:rPr>
            </w:pPr>
            <w:r w:rsidRPr="002A3CBE">
              <w:rPr>
                <w:rFonts w:eastAsia="Calibri"/>
                <w:noProof w:val="0"/>
                <w:color w:val="FFFFFF" w:themeColor="background1"/>
              </w:rPr>
              <w:t>Net emissions (kt CO₂e)</w:t>
            </w:r>
          </w:p>
        </w:tc>
      </w:tr>
      <w:tr w:rsidR="00447423" w:rsidRPr="002A3CBE" w14:paraId="50B38767" w14:textId="77777777" w:rsidTr="00165540">
        <w:trPr>
          <w:tblHeader/>
        </w:trPr>
        <w:tc>
          <w:tcPr>
            <w:tcW w:w="2551" w:type="dxa"/>
            <w:tcBorders>
              <w:top w:val="nil"/>
            </w:tcBorders>
            <w:shd w:val="clear" w:color="auto" w:fill="1B556B"/>
            <w:tcMar>
              <w:top w:w="0" w:type="dxa"/>
              <w:left w:w="85" w:type="dxa"/>
              <w:bottom w:w="0" w:type="dxa"/>
              <w:right w:w="85" w:type="dxa"/>
            </w:tcMar>
            <w:vAlign w:val="bottom"/>
          </w:tcPr>
          <w:p w14:paraId="1956D057" w14:textId="77777777" w:rsidR="00447423" w:rsidRPr="002A3CBE" w:rsidRDefault="00447423" w:rsidP="00F16E23">
            <w:pPr>
              <w:pStyle w:val="TableTextBold"/>
              <w:spacing w:before="30" w:after="30"/>
              <w:rPr>
                <w:rFonts w:eastAsia="Calibri"/>
                <w:noProof w:val="0"/>
                <w:color w:val="FFFFFF" w:themeColor="background1"/>
              </w:rPr>
            </w:pPr>
            <w:r w:rsidRPr="002A3CBE">
              <w:rPr>
                <w:rFonts w:eastAsia="Calibri"/>
                <w:noProof w:val="0"/>
                <w:color w:val="FFFFFF" w:themeColor="background1"/>
              </w:rPr>
              <w:t>Land use category</w:t>
            </w:r>
          </w:p>
        </w:tc>
        <w:tc>
          <w:tcPr>
            <w:tcW w:w="1020" w:type="dxa"/>
            <w:tcBorders>
              <w:top w:val="nil"/>
            </w:tcBorders>
            <w:shd w:val="clear" w:color="auto" w:fill="1B556B"/>
            <w:tcMar>
              <w:top w:w="0" w:type="dxa"/>
              <w:left w:w="85" w:type="dxa"/>
              <w:bottom w:w="0" w:type="dxa"/>
              <w:right w:w="85" w:type="dxa"/>
            </w:tcMar>
            <w:vAlign w:val="bottom"/>
          </w:tcPr>
          <w:p w14:paraId="32835B8B"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1990</w:t>
            </w:r>
          </w:p>
        </w:tc>
        <w:tc>
          <w:tcPr>
            <w:tcW w:w="1020" w:type="dxa"/>
            <w:tcBorders>
              <w:top w:val="nil"/>
            </w:tcBorders>
            <w:shd w:val="clear" w:color="auto" w:fill="1B556B"/>
            <w:tcMar>
              <w:top w:w="0" w:type="dxa"/>
              <w:left w:w="85" w:type="dxa"/>
              <w:bottom w:w="0" w:type="dxa"/>
              <w:right w:w="85" w:type="dxa"/>
            </w:tcMar>
            <w:vAlign w:val="bottom"/>
          </w:tcPr>
          <w:p w14:paraId="745BB757"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2024</w:t>
            </w:r>
          </w:p>
        </w:tc>
        <w:tc>
          <w:tcPr>
            <w:tcW w:w="1134" w:type="dxa"/>
            <w:tcBorders>
              <w:top w:val="nil"/>
            </w:tcBorders>
            <w:shd w:val="clear" w:color="auto" w:fill="1B556B"/>
            <w:tcMar>
              <w:top w:w="0" w:type="dxa"/>
              <w:left w:w="85" w:type="dxa"/>
              <w:bottom w:w="0" w:type="dxa"/>
              <w:right w:w="85" w:type="dxa"/>
            </w:tcMar>
            <w:vAlign w:val="bottom"/>
          </w:tcPr>
          <w:p w14:paraId="7D956842"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Change from 1990 (%)</w:t>
            </w:r>
          </w:p>
        </w:tc>
        <w:tc>
          <w:tcPr>
            <w:tcW w:w="850" w:type="dxa"/>
            <w:tcBorders>
              <w:top w:val="nil"/>
            </w:tcBorders>
            <w:shd w:val="clear" w:color="auto" w:fill="1B556B"/>
            <w:tcMar>
              <w:top w:w="0" w:type="dxa"/>
              <w:left w:w="85" w:type="dxa"/>
              <w:bottom w:w="0" w:type="dxa"/>
              <w:right w:w="85" w:type="dxa"/>
            </w:tcMar>
            <w:vAlign w:val="bottom"/>
          </w:tcPr>
          <w:p w14:paraId="67CD9C4B"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1990</w:t>
            </w:r>
          </w:p>
        </w:tc>
        <w:tc>
          <w:tcPr>
            <w:tcW w:w="850" w:type="dxa"/>
            <w:tcBorders>
              <w:top w:val="nil"/>
            </w:tcBorders>
            <w:shd w:val="clear" w:color="auto" w:fill="1B556B"/>
            <w:tcMar>
              <w:top w:w="0" w:type="dxa"/>
              <w:left w:w="85" w:type="dxa"/>
              <w:bottom w:w="0" w:type="dxa"/>
              <w:right w:w="85" w:type="dxa"/>
            </w:tcMar>
            <w:vAlign w:val="bottom"/>
          </w:tcPr>
          <w:p w14:paraId="55F1CDE0"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2024</w:t>
            </w:r>
          </w:p>
        </w:tc>
        <w:tc>
          <w:tcPr>
            <w:tcW w:w="1134" w:type="dxa"/>
            <w:tcBorders>
              <w:top w:val="nil"/>
            </w:tcBorders>
            <w:shd w:val="clear" w:color="auto" w:fill="1B556B"/>
            <w:tcMar>
              <w:top w:w="0" w:type="dxa"/>
              <w:left w:w="85" w:type="dxa"/>
              <w:bottom w:w="0" w:type="dxa"/>
              <w:right w:w="85" w:type="dxa"/>
            </w:tcMar>
            <w:vAlign w:val="bottom"/>
          </w:tcPr>
          <w:p w14:paraId="3873E20B"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34EC41BF" w14:textId="77777777" w:rsidTr="00165540">
        <w:tc>
          <w:tcPr>
            <w:tcW w:w="2551" w:type="dxa"/>
            <w:shd w:val="clear" w:color="auto" w:fill="FFFFFF"/>
            <w:tcMar>
              <w:top w:w="0" w:type="dxa"/>
              <w:left w:w="85" w:type="dxa"/>
              <w:bottom w:w="0" w:type="dxa"/>
              <w:right w:w="85" w:type="dxa"/>
            </w:tcMar>
            <w:vAlign w:val="center"/>
          </w:tcPr>
          <w:p w14:paraId="125E583B" w14:textId="77777777" w:rsidR="00447423" w:rsidRPr="002A3CBE" w:rsidRDefault="00447423" w:rsidP="00F16E23">
            <w:pPr>
              <w:pStyle w:val="TableText"/>
              <w:spacing w:before="20" w:after="20"/>
              <w:rPr>
                <w:rFonts w:eastAsia="Calibri"/>
              </w:rPr>
            </w:pPr>
            <w:r w:rsidRPr="002A3CBE">
              <w:rPr>
                <w:rFonts w:eastAsia="Calibri"/>
              </w:rPr>
              <w:t>Forest land remaining forest land</w:t>
            </w:r>
          </w:p>
        </w:tc>
        <w:tc>
          <w:tcPr>
            <w:tcW w:w="1020" w:type="dxa"/>
            <w:shd w:val="clear" w:color="auto" w:fill="FFFFFF"/>
            <w:tcMar>
              <w:top w:w="0" w:type="dxa"/>
              <w:left w:w="85" w:type="dxa"/>
              <w:bottom w:w="0" w:type="dxa"/>
              <w:right w:w="85" w:type="dxa"/>
            </w:tcMar>
            <w:vAlign w:val="center"/>
          </w:tcPr>
          <w:p w14:paraId="486B92CB" w14:textId="77777777" w:rsidR="00447423" w:rsidRPr="002A3CBE" w:rsidRDefault="00447423" w:rsidP="00F16E23">
            <w:pPr>
              <w:pStyle w:val="TableText"/>
              <w:spacing w:before="20" w:after="20"/>
              <w:jc w:val="right"/>
              <w:rPr>
                <w:rFonts w:eastAsia="Calibri"/>
              </w:rPr>
            </w:pPr>
            <w:r w:rsidRPr="002A3CBE">
              <w:rPr>
                <w:rFonts w:eastAsia="Calibri"/>
              </w:rPr>
              <w:t>8,538,648</w:t>
            </w:r>
          </w:p>
        </w:tc>
        <w:tc>
          <w:tcPr>
            <w:tcW w:w="1020" w:type="dxa"/>
            <w:shd w:val="clear" w:color="auto" w:fill="FFFFFF"/>
            <w:tcMar>
              <w:top w:w="0" w:type="dxa"/>
              <w:left w:w="85" w:type="dxa"/>
              <w:bottom w:w="0" w:type="dxa"/>
              <w:right w:w="85" w:type="dxa"/>
            </w:tcMar>
            <w:vAlign w:val="center"/>
          </w:tcPr>
          <w:p w14:paraId="61EB5AE6" w14:textId="77777777" w:rsidR="00447423" w:rsidRPr="002A3CBE" w:rsidRDefault="00447423" w:rsidP="00F16E23">
            <w:pPr>
              <w:pStyle w:val="TableText"/>
              <w:spacing w:before="20" w:after="20"/>
              <w:jc w:val="right"/>
              <w:rPr>
                <w:rFonts w:eastAsia="Calibri"/>
              </w:rPr>
            </w:pPr>
            <w:r w:rsidRPr="002A3CBE">
              <w:rPr>
                <w:rFonts w:eastAsia="Calibri"/>
              </w:rPr>
              <w:t>9,738,392</w:t>
            </w:r>
          </w:p>
        </w:tc>
        <w:tc>
          <w:tcPr>
            <w:tcW w:w="1134" w:type="dxa"/>
            <w:shd w:val="clear" w:color="auto" w:fill="FFFFFF"/>
            <w:tcMar>
              <w:top w:w="0" w:type="dxa"/>
              <w:left w:w="85" w:type="dxa"/>
              <w:bottom w:w="0" w:type="dxa"/>
              <w:right w:w="85" w:type="dxa"/>
            </w:tcMar>
            <w:vAlign w:val="center"/>
          </w:tcPr>
          <w:p w14:paraId="1D0B0BA3" w14:textId="77777777" w:rsidR="00447423" w:rsidRPr="002A3CBE" w:rsidRDefault="00447423" w:rsidP="00F16E23">
            <w:pPr>
              <w:pStyle w:val="TableText"/>
              <w:spacing w:before="20" w:after="20"/>
              <w:jc w:val="right"/>
              <w:rPr>
                <w:rFonts w:eastAsia="Calibri"/>
              </w:rPr>
            </w:pPr>
            <w:r w:rsidRPr="002A3CBE">
              <w:rPr>
                <w:rFonts w:eastAsia="Calibri"/>
              </w:rPr>
              <w:t>14.1</w:t>
            </w:r>
          </w:p>
        </w:tc>
        <w:tc>
          <w:tcPr>
            <w:tcW w:w="850" w:type="dxa"/>
            <w:shd w:val="clear" w:color="auto" w:fill="FFFFFF"/>
            <w:tcMar>
              <w:top w:w="0" w:type="dxa"/>
              <w:left w:w="85" w:type="dxa"/>
              <w:bottom w:w="0" w:type="dxa"/>
              <w:right w:w="85" w:type="dxa"/>
            </w:tcMar>
            <w:vAlign w:val="center"/>
          </w:tcPr>
          <w:p w14:paraId="4BCA3D23" w14:textId="77777777" w:rsidR="00447423" w:rsidRPr="002A3CBE" w:rsidRDefault="00447423" w:rsidP="00F16E23">
            <w:pPr>
              <w:pStyle w:val="TableText"/>
              <w:spacing w:before="20" w:after="20"/>
              <w:jc w:val="right"/>
              <w:rPr>
                <w:rFonts w:eastAsia="Calibri"/>
              </w:rPr>
            </w:pPr>
            <w:r w:rsidRPr="002A3CBE">
              <w:rPr>
                <w:rFonts w:eastAsia="Calibri"/>
              </w:rPr>
              <w:t>-5,413.3</w:t>
            </w:r>
          </w:p>
        </w:tc>
        <w:tc>
          <w:tcPr>
            <w:tcW w:w="850" w:type="dxa"/>
            <w:shd w:val="clear" w:color="auto" w:fill="FFFFFF"/>
            <w:tcMar>
              <w:top w:w="0" w:type="dxa"/>
              <w:left w:w="85" w:type="dxa"/>
              <w:bottom w:w="0" w:type="dxa"/>
              <w:right w:w="85" w:type="dxa"/>
            </w:tcMar>
            <w:vAlign w:val="center"/>
          </w:tcPr>
          <w:p w14:paraId="28984826" w14:textId="77777777" w:rsidR="00447423" w:rsidRPr="002A3CBE" w:rsidRDefault="00447423" w:rsidP="00F16E23">
            <w:pPr>
              <w:pStyle w:val="TableText"/>
              <w:spacing w:before="20" w:after="20"/>
              <w:jc w:val="right"/>
              <w:rPr>
                <w:rFonts w:eastAsia="Calibri"/>
              </w:rPr>
            </w:pPr>
            <w:r w:rsidRPr="002A3CBE">
              <w:rPr>
                <w:rFonts w:eastAsia="Calibri"/>
              </w:rPr>
              <w:t>-14,736.2</w:t>
            </w:r>
          </w:p>
        </w:tc>
        <w:tc>
          <w:tcPr>
            <w:tcW w:w="1134" w:type="dxa"/>
            <w:shd w:val="clear" w:color="auto" w:fill="FFFFFF"/>
            <w:tcMar>
              <w:top w:w="0" w:type="dxa"/>
              <w:left w:w="85" w:type="dxa"/>
              <w:bottom w:w="0" w:type="dxa"/>
              <w:right w:w="85" w:type="dxa"/>
            </w:tcMar>
            <w:vAlign w:val="center"/>
          </w:tcPr>
          <w:p w14:paraId="7514AAE0" w14:textId="77777777" w:rsidR="00447423" w:rsidRPr="002A3CBE" w:rsidRDefault="00447423" w:rsidP="00F16E23">
            <w:pPr>
              <w:pStyle w:val="TableText"/>
              <w:spacing w:before="20" w:after="20"/>
              <w:jc w:val="right"/>
              <w:rPr>
                <w:rFonts w:eastAsia="Calibri"/>
              </w:rPr>
            </w:pPr>
            <w:r w:rsidRPr="002A3CBE">
              <w:rPr>
                <w:rFonts w:eastAsia="Calibri"/>
              </w:rPr>
              <w:t>-172.2</w:t>
            </w:r>
          </w:p>
        </w:tc>
      </w:tr>
      <w:tr w:rsidR="00447423" w:rsidRPr="002A3CBE" w14:paraId="3C563D8B" w14:textId="77777777" w:rsidTr="00165540">
        <w:tc>
          <w:tcPr>
            <w:tcW w:w="2551" w:type="dxa"/>
            <w:shd w:val="clear" w:color="auto" w:fill="FFFFFF"/>
            <w:tcMar>
              <w:top w:w="0" w:type="dxa"/>
              <w:left w:w="85" w:type="dxa"/>
              <w:bottom w:w="0" w:type="dxa"/>
              <w:right w:w="85" w:type="dxa"/>
            </w:tcMar>
            <w:vAlign w:val="center"/>
          </w:tcPr>
          <w:p w14:paraId="66A3054A" w14:textId="77777777" w:rsidR="00447423" w:rsidRPr="002A3CBE" w:rsidRDefault="00447423" w:rsidP="00F16E23">
            <w:pPr>
              <w:pStyle w:val="TableText"/>
              <w:spacing w:before="20" w:after="20"/>
              <w:rPr>
                <w:rFonts w:eastAsia="Calibri"/>
              </w:rPr>
            </w:pPr>
            <w:r w:rsidRPr="002A3CBE">
              <w:rPr>
                <w:rFonts w:eastAsia="Calibri"/>
              </w:rPr>
              <w:t>Land converted to forest land</w:t>
            </w:r>
          </w:p>
        </w:tc>
        <w:tc>
          <w:tcPr>
            <w:tcW w:w="1020" w:type="dxa"/>
            <w:shd w:val="clear" w:color="auto" w:fill="FFFFFF"/>
            <w:tcMar>
              <w:top w:w="0" w:type="dxa"/>
              <w:left w:w="85" w:type="dxa"/>
              <w:bottom w:w="0" w:type="dxa"/>
              <w:right w:w="85" w:type="dxa"/>
            </w:tcMar>
            <w:vAlign w:val="center"/>
          </w:tcPr>
          <w:p w14:paraId="170EDDF9" w14:textId="77777777" w:rsidR="00447423" w:rsidRPr="002A3CBE" w:rsidRDefault="00447423" w:rsidP="00F16E23">
            <w:pPr>
              <w:pStyle w:val="TableText"/>
              <w:spacing w:before="20" w:after="20"/>
              <w:jc w:val="right"/>
              <w:rPr>
                <w:rFonts w:eastAsia="Calibri"/>
              </w:rPr>
            </w:pPr>
            <w:r w:rsidRPr="002A3CBE">
              <w:rPr>
                <w:rFonts w:eastAsia="Calibri"/>
              </w:rPr>
              <w:t>821,319</w:t>
            </w:r>
          </w:p>
        </w:tc>
        <w:tc>
          <w:tcPr>
            <w:tcW w:w="1020" w:type="dxa"/>
            <w:shd w:val="clear" w:color="auto" w:fill="FFFFFF"/>
            <w:tcMar>
              <w:top w:w="0" w:type="dxa"/>
              <w:left w:w="85" w:type="dxa"/>
              <w:bottom w:w="0" w:type="dxa"/>
              <w:right w:w="85" w:type="dxa"/>
            </w:tcMar>
            <w:vAlign w:val="center"/>
          </w:tcPr>
          <w:p w14:paraId="30665720" w14:textId="77777777" w:rsidR="00447423" w:rsidRPr="002A3CBE" w:rsidRDefault="00447423" w:rsidP="00F16E23">
            <w:pPr>
              <w:pStyle w:val="TableText"/>
              <w:spacing w:before="20" w:after="20"/>
              <w:jc w:val="right"/>
              <w:rPr>
                <w:rFonts w:eastAsia="Calibri"/>
              </w:rPr>
            </w:pPr>
            <w:r w:rsidRPr="002A3CBE">
              <w:rPr>
                <w:rFonts w:eastAsia="Calibri"/>
              </w:rPr>
              <w:t>515,850</w:t>
            </w:r>
          </w:p>
        </w:tc>
        <w:tc>
          <w:tcPr>
            <w:tcW w:w="1134" w:type="dxa"/>
            <w:shd w:val="clear" w:color="auto" w:fill="FFFFFF"/>
            <w:tcMar>
              <w:top w:w="0" w:type="dxa"/>
              <w:left w:w="85" w:type="dxa"/>
              <w:bottom w:w="0" w:type="dxa"/>
              <w:right w:w="85" w:type="dxa"/>
            </w:tcMar>
            <w:vAlign w:val="center"/>
          </w:tcPr>
          <w:p w14:paraId="61292CE8" w14:textId="77777777" w:rsidR="00447423" w:rsidRPr="002A3CBE" w:rsidRDefault="00447423" w:rsidP="00F16E23">
            <w:pPr>
              <w:pStyle w:val="TableText"/>
              <w:spacing w:before="20" w:after="20"/>
              <w:jc w:val="right"/>
              <w:rPr>
                <w:rFonts w:eastAsia="Calibri"/>
              </w:rPr>
            </w:pPr>
            <w:r w:rsidRPr="002A3CBE">
              <w:rPr>
                <w:rFonts w:eastAsia="Calibri"/>
              </w:rPr>
              <w:t>-37.2</w:t>
            </w:r>
          </w:p>
        </w:tc>
        <w:tc>
          <w:tcPr>
            <w:tcW w:w="850" w:type="dxa"/>
            <w:shd w:val="clear" w:color="auto" w:fill="FFFFFF"/>
            <w:tcMar>
              <w:top w:w="0" w:type="dxa"/>
              <w:left w:w="85" w:type="dxa"/>
              <w:bottom w:w="0" w:type="dxa"/>
              <w:right w:w="85" w:type="dxa"/>
            </w:tcMar>
            <w:vAlign w:val="center"/>
          </w:tcPr>
          <w:p w14:paraId="03ACA8A9" w14:textId="77777777" w:rsidR="00447423" w:rsidRPr="002A3CBE" w:rsidRDefault="00447423" w:rsidP="00F16E23">
            <w:pPr>
              <w:pStyle w:val="TableText"/>
              <w:spacing w:before="20" w:after="20"/>
              <w:jc w:val="right"/>
              <w:rPr>
                <w:rFonts w:eastAsia="Calibri"/>
              </w:rPr>
            </w:pPr>
            <w:r w:rsidRPr="002A3CBE">
              <w:rPr>
                <w:rFonts w:eastAsia="Calibri"/>
              </w:rPr>
              <w:t>-17,986.8</w:t>
            </w:r>
          </w:p>
        </w:tc>
        <w:tc>
          <w:tcPr>
            <w:tcW w:w="850" w:type="dxa"/>
            <w:shd w:val="clear" w:color="auto" w:fill="FFFFFF"/>
            <w:tcMar>
              <w:top w:w="0" w:type="dxa"/>
              <w:left w:w="85" w:type="dxa"/>
              <w:bottom w:w="0" w:type="dxa"/>
              <w:right w:w="85" w:type="dxa"/>
            </w:tcMar>
            <w:vAlign w:val="center"/>
          </w:tcPr>
          <w:p w14:paraId="11CF0FD9" w14:textId="77777777" w:rsidR="00447423" w:rsidRPr="002A3CBE" w:rsidRDefault="00447423" w:rsidP="00F16E23">
            <w:pPr>
              <w:pStyle w:val="TableText"/>
              <w:spacing w:before="20" w:after="20"/>
              <w:jc w:val="right"/>
              <w:rPr>
                <w:rFonts w:eastAsia="Calibri"/>
              </w:rPr>
            </w:pPr>
            <w:r w:rsidRPr="002A3CBE">
              <w:rPr>
                <w:rFonts w:eastAsia="Calibri"/>
              </w:rPr>
              <w:t>-3,875.3</w:t>
            </w:r>
          </w:p>
        </w:tc>
        <w:tc>
          <w:tcPr>
            <w:tcW w:w="1134" w:type="dxa"/>
            <w:shd w:val="clear" w:color="auto" w:fill="FFFFFF"/>
            <w:tcMar>
              <w:top w:w="0" w:type="dxa"/>
              <w:left w:w="85" w:type="dxa"/>
              <w:bottom w:w="0" w:type="dxa"/>
              <w:right w:w="85" w:type="dxa"/>
            </w:tcMar>
            <w:vAlign w:val="center"/>
          </w:tcPr>
          <w:p w14:paraId="4F9FB100" w14:textId="77777777" w:rsidR="00447423" w:rsidRPr="002A3CBE" w:rsidRDefault="00447423" w:rsidP="00F16E23">
            <w:pPr>
              <w:pStyle w:val="TableText"/>
              <w:spacing w:before="20" w:after="20"/>
              <w:jc w:val="right"/>
              <w:rPr>
                <w:rFonts w:eastAsia="Calibri"/>
              </w:rPr>
            </w:pPr>
            <w:r w:rsidRPr="002A3CBE">
              <w:rPr>
                <w:rFonts w:eastAsia="Calibri"/>
              </w:rPr>
              <w:t>78.5</w:t>
            </w:r>
          </w:p>
        </w:tc>
      </w:tr>
      <w:tr w:rsidR="00447423" w:rsidRPr="002A3CBE" w14:paraId="6535C4A1" w14:textId="77777777" w:rsidTr="00165540">
        <w:tc>
          <w:tcPr>
            <w:tcW w:w="2551" w:type="dxa"/>
            <w:shd w:val="clear" w:color="auto" w:fill="FFFFFF"/>
            <w:tcMar>
              <w:top w:w="0" w:type="dxa"/>
              <w:left w:w="85" w:type="dxa"/>
              <w:bottom w:w="0" w:type="dxa"/>
              <w:right w:w="85" w:type="dxa"/>
            </w:tcMar>
            <w:vAlign w:val="center"/>
          </w:tcPr>
          <w:p w14:paraId="5383D097" w14:textId="77777777" w:rsidR="00447423" w:rsidRPr="002A3CBE" w:rsidRDefault="00447423" w:rsidP="00F16E23">
            <w:pPr>
              <w:pStyle w:val="Tableboldblue"/>
              <w:spacing w:before="20" w:after="20"/>
              <w:rPr>
                <w:rFonts w:eastAsia="Calibri"/>
              </w:rPr>
            </w:pPr>
            <w:r w:rsidRPr="002A3CBE">
              <w:rPr>
                <w:rFonts w:eastAsia="Calibri"/>
              </w:rPr>
              <w:t>Total</w:t>
            </w:r>
          </w:p>
        </w:tc>
        <w:tc>
          <w:tcPr>
            <w:tcW w:w="1020" w:type="dxa"/>
            <w:shd w:val="clear" w:color="auto" w:fill="FFFFFF"/>
            <w:tcMar>
              <w:top w:w="0" w:type="dxa"/>
              <w:left w:w="85" w:type="dxa"/>
              <w:bottom w:w="0" w:type="dxa"/>
              <w:right w:w="85" w:type="dxa"/>
            </w:tcMar>
            <w:vAlign w:val="center"/>
          </w:tcPr>
          <w:p w14:paraId="02E61B8F" w14:textId="77777777" w:rsidR="00447423" w:rsidRPr="002A3CBE" w:rsidRDefault="00447423" w:rsidP="00F16E23">
            <w:pPr>
              <w:pStyle w:val="Tableboldblue"/>
              <w:spacing w:before="20" w:after="20"/>
              <w:jc w:val="right"/>
              <w:rPr>
                <w:rFonts w:eastAsia="Calibri"/>
              </w:rPr>
            </w:pPr>
            <w:r w:rsidRPr="002A3CBE">
              <w:rPr>
                <w:rFonts w:eastAsia="Calibri"/>
              </w:rPr>
              <w:t>9,359,968</w:t>
            </w:r>
          </w:p>
        </w:tc>
        <w:tc>
          <w:tcPr>
            <w:tcW w:w="1020" w:type="dxa"/>
            <w:shd w:val="clear" w:color="auto" w:fill="FFFFFF"/>
            <w:tcMar>
              <w:top w:w="0" w:type="dxa"/>
              <w:left w:w="85" w:type="dxa"/>
              <w:bottom w:w="0" w:type="dxa"/>
              <w:right w:w="85" w:type="dxa"/>
            </w:tcMar>
            <w:vAlign w:val="center"/>
          </w:tcPr>
          <w:p w14:paraId="50BBE33D" w14:textId="77777777" w:rsidR="00447423" w:rsidRPr="002A3CBE" w:rsidRDefault="00447423" w:rsidP="00F16E23">
            <w:pPr>
              <w:pStyle w:val="Tableboldblue"/>
              <w:spacing w:before="20" w:after="20"/>
              <w:jc w:val="right"/>
              <w:rPr>
                <w:rFonts w:eastAsia="Calibri"/>
              </w:rPr>
            </w:pPr>
            <w:r w:rsidRPr="002A3CBE">
              <w:rPr>
                <w:rFonts w:eastAsia="Calibri"/>
              </w:rPr>
              <w:t>10,254,242</w:t>
            </w:r>
          </w:p>
        </w:tc>
        <w:tc>
          <w:tcPr>
            <w:tcW w:w="1134" w:type="dxa"/>
            <w:shd w:val="clear" w:color="auto" w:fill="FFFFFF"/>
            <w:tcMar>
              <w:top w:w="0" w:type="dxa"/>
              <w:left w:w="85" w:type="dxa"/>
              <w:bottom w:w="0" w:type="dxa"/>
              <w:right w:w="85" w:type="dxa"/>
            </w:tcMar>
            <w:vAlign w:val="center"/>
          </w:tcPr>
          <w:p w14:paraId="53096E08" w14:textId="77777777" w:rsidR="00447423" w:rsidRPr="002A3CBE" w:rsidRDefault="00447423" w:rsidP="00F16E23">
            <w:pPr>
              <w:pStyle w:val="Tableboldblue"/>
              <w:spacing w:before="20" w:after="20"/>
              <w:jc w:val="right"/>
              <w:rPr>
                <w:rFonts w:eastAsia="Calibri"/>
              </w:rPr>
            </w:pPr>
            <w:r w:rsidRPr="002A3CBE">
              <w:rPr>
                <w:rFonts w:eastAsia="Calibri"/>
              </w:rPr>
              <w:t>9.6</w:t>
            </w:r>
          </w:p>
        </w:tc>
        <w:tc>
          <w:tcPr>
            <w:tcW w:w="850" w:type="dxa"/>
            <w:shd w:val="clear" w:color="auto" w:fill="FFFFFF"/>
            <w:tcMar>
              <w:top w:w="0" w:type="dxa"/>
              <w:left w:w="85" w:type="dxa"/>
              <w:bottom w:w="0" w:type="dxa"/>
              <w:right w:w="85" w:type="dxa"/>
            </w:tcMar>
            <w:vAlign w:val="center"/>
          </w:tcPr>
          <w:p w14:paraId="2BCF15B4" w14:textId="77777777" w:rsidR="00447423" w:rsidRPr="002A3CBE" w:rsidRDefault="00447423" w:rsidP="00F16E23">
            <w:pPr>
              <w:pStyle w:val="Tableboldblue"/>
              <w:spacing w:before="20" w:after="20"/>
              <w:jc w:val="right"/>
              <w:rPr>
                <w:rFonts w:eastAsia="Calibri"/>
              </w:rPr>
            </w:pPr>
            <w:r w:rsidRPr="002A3CBE">
              <w:rPr>
                <w:rFonts w:eastAsia="Calibri"/>
              </w:rPr>
              <w:t>-23,400.1</w:t>
            </w:r>
          </w:p>
        </w:tc>
        <w:tc>
          <w:tcPr>
            <w:tcW w:w="850" w:type="dxa"/>
            <w:shd w:val="clear" w:color="auto" w:fill="FFFFFF"/>
            <w:tcMar>
              <w:top w:w="0" w:type="dxa"/>
              <w:left w:w="85" w:type="dxa"/>
              <w:bottom w:w="0" w:type="dxa"/>
              <w:right w:w="85" w:type="dxa"/>
            </w:tcMar>
            <w:vAlign w:val="center"/>
          </w:tcPr>
          <w:p w14:paraId="42806A57" w14:textId="77777777" w:rsidR="00447423" w:rsidRPr="002A3CBE" w:rsidRDefault="00447423" w:rsidP="00F16E23">
            <w:pPr>
              <w:pStyle w:val="Tableboldblue"/>
              <w:spacing w:before="20" w:after="20"/>
              <w:jc w:val="right"/>
              <w:rPr>
                <w:rFonts w:eastAsia="Calibri"/>
              </w:rPr>
            </w:pPr>
            <w:r w:rsidRPr="002A3CBE">
              <w:rPr>
                <w:rFonts w:eastAsia="Calibri"/>
              </w:rPr>
              <w:t>-18,611.5</w:t>
            </w:r>
          </w:p>
        </w:tc>
        <w:tc>
          <w:tcPr>
            <w:tcW w:w="1134" w:type="dxa"/>
            <w:shd w:val="clear" w:color="auto" w:fill="FFFFFF"/>
            <w:tcMar>
              <w:top w:w="0" w:type="dxa"/>
              <w:left w:w="85" w:type="dxa"/>
              <w:bottom w:w="0" w:type="dxa"/>
              <w:right w:w="85" w:type="dxa"/>
            </w:tcMar>
            <w:vAlign w:val="center"/>
          </w:tcPr>
          <w:p w14:paraId="537C5E2D" w14:textId="77777777" w:rsidR="00447423" w:rsidRPr="002A3CBE" w:rsidRDefault="00447423" w:rsidP="00F16E23">
            <w:pPr>
              <w:pStyle w:val="Tableboldblue"/>
              <w:spacing w:before="20" w:after="20"/>
              <w:jc w:val="right"/>
              <w:rPr>
                <w:rFonts w:eastAsia="Calibri"/>
              </w:rPr>
            </w:pPr>
            <w:r w:rsidRPr="002A3CBE">
              <w:rPr>
                <w:rFonts w:eastAsia="Calibri"/>
              </w:rPr>
              <w:t>20.5</w:t>
            </w:r>
          </w:p>
        </w:tc>
      </w:tr>
    </w:tbl>
    <w:p w14:paraId="5AC53DFC" w14:textId="77777777" w:rsidR="00447423" w:rsidRPr="002A3CBE" w:rsidRDefault="00447423" w:rsidP="00447423">
      <w:pPr>
        <w:pStyle w:val="Noteundertable"/>
      </w:pPr>
      <w:r w:rsidRPr="002A3CBE">
        <w:rPr>
          <w:b/>
        </w:rPr>
        <w:t>Note:</w:t>
      </w:r>
      <w:r w:rsidRPr="002A3CBE">
        <w:tab/>
        <w:t xml:space="preserve">Net area in 1990 is as at 1 January 1990; net area in 2024 is as at 31 December 2024. The area of </w:t>
      </w:r>
      <w:r w:rsidRPr="002A3CBE">
        <w:rPr>
          <w:i/>
        </w:rPr>
        <w:t>Land converted to forest land</w:t>
      </w:r>
      <w:r w:rsidRPr="002A3CBE">
        <w:t xml:space="preserve"> includes land converted up to 20 years earlier, and net area values include land in a state of conversion (due to land-use change before 1990) and afforestation since 1990. Net emission estimates are for the whole year indicated. Columns may not total due to rounding, and percentages presented are calculated from unrounded values. </w:t>
      </w:r>
    </w:p>
    <w:p w14:paraId="5BE7E328" w14:textId="77777777" w:rsidR="00447423" w:rsidRPr="002A3CBE" w:rsidRDefault="00447423" w:rsidP="00447423">
      <w:pPr>
        <w:pStyle w:val="BodyText"/>
        <w:spacing w:before="100" w:after="100"/>
      </w:pPr>
      <w:r w:rsidRPr="002A3CBE">
        <w:t xml:space="preserve">New Zealand has applied the following parameters for land to be classified as </w:t>
      </w:r>
      <w:r w:rsidRPr="002A3CBE">
        <w:rPr>
          <w:i/>
          <w:iCs/>
        </w:rPr>
        <w:t>Forest land</w:t>
      </w:r>
      <w:r w:rsidRPr="002A3CBE">
        <w:t xml:space="preserve">: </w:t>
      </w:r>
    </w:p>
    <w:p w14:paraId="6A0263F9" w14:textId="77777777" w:rsidR="00447423" w:rsidRPr="002A3CBE" w:rsidRDefault="00447423" w:rsidP="00447423">
      <w:pPr>
        <w:pStyle w:val="Bullet"/>
        <w:numPr>
          <w:ilvl w:val="0"/>
          <w:numId w:val="29"/>
        </w:numPr>
        <w:spacing w:after="100"/>
        <w:ind w:left="397" w:hanging="397"/>
      </w:pPr>
      <w:r w:rsidRPr="002A3CBE">
        <w:t>minimum area of 1 hectare</w:t>
      </w:r>
    </w:p>
    <w:p w14:paraId="78C23D9E" w14:textId="77777777" w:rsidR="00447423" w:rsidRPr="002A3CBE" w:rsidRDefault="00447423" w:rsidP="00447423">
      <w:pPr>
        <w:pStyle w:val="Bullet"/>
        <w:numPr>
          <w:ilvl w:val="0"/>
          <w:numId w:val="29"/>
        </w:numPr>
        <w:spacing w:after="100"/>
        <w:ind w:left="397" w:hanging="397"/>
      </w:pPr>
      <w:r w:rsidRPr="002A3CBE">
        <w:t xml:space="preserve">potential to reach a minimum height of 5 metres </w:t>
      </w:r>
    </w:p>
    <w:p w14:paraId="4EC2C165" w14:textId="77777777" w:rsidR="00447423" w:rsidRPr="002A3CBE" w:rsidRDefault="00447423" w:rsidP="00447423">
      <w:pPr>
        <w:pStyle w:val="Bullet"/>
        <w:numPr>
          <w:ilvl w:val="0"/>
          <w:numId w:val="29"/>
        </w:numPr>
        <w:spacing w:after="100"/>
        <w:ind w:left="397" w:hanging="397"/>
      </w:pPr>
      <w:r w:rsidRPr="002A3CBE">
        <w:t>potential to reach a minimum crown cover of 30 percent</w:t>
      </w:r>
    </w:p>
    <w:p w14:paraId="20822838" w14:textId="77777777" w:rsidR="00447423" w:rsidRPr="002A3CBE" w:rsidRDefault="00447423" w:rsidP="00447423">
      <w:pPr>
        <w:pStyle w:val="Bullet"/>
        <w:numPr>
          <w:ilvl w:val="0"/>
          <w:numId w:val="29"/>
        </w:numPr>
        <w:spacing w:after="100"/>
        <w:ind w:left="397" w:hanging="397"/>
      </w:pPr>
      <w:r w:rsidRPr="002A3CBE">
        <w:t xml:space="preserve">a minimum forest width of 30 metres from canopy edge to canopy edge. </w:t>
      </w:r>
    </w:p>
    <w:p w14:paraId="3C4DAEBB" w14:textId="77777777" w:rsidR="00447423" w:rsidRPr="002A3CBE" w:rsidRDefault="00447423" w:rsidP="00447423">
      <w:pPr>
        <w:pStyle w:val="BodyText"/>
        <w:spacing w:before="100" w:after="100"/>
      </w:pPr>
      <w:r w:rsidRPr="002A3CBE">
        <w:t xml:space="preserve">Where the height and canopy cover parameters are not met at the time of mapping, the land has been classified as </w:t>
      </w:r>
      <w:r w:rsidRPr="002A3CBE">
        <w:rPr>
          <w:i/>
        </w:rPr>
        <w:t>Forest land</w:t>
      </w:r>
      <w:r w:rsidRPr="002A3CBE">
        <w:t xml:space="preserve"> if the land-management practice(s) and local site conditions (including climate) are such that the forest parameters will be met over a 30- to 40-year timeframe. Note that New Zealand does not report linear shelterbelts under the </w:t>
      </w:r>
      <w:r w:rsidRPr="002A3CBE">
        <w:rPr>
          <w:i/>
        </w:rPr>
        <w:t>Forest land</w:t>
      </w:r>
      <w:r w:rsidRPr="002A3CBE">
        <w:t xml:space="preserve"> category because they are not on land managed as forest. They form part of non-forest land uses, namely </w:t>
      </w:r>
      <w:r w:rsidRPr="002A3CBE">
        <w:rPr>
          <w:i/>
        </w:rPr>
        <w:t>Cropland</w:t>
      </w:r>
      <w:r w:rsidRPr="002A3CBE">
        <w:t xml:space="preserve"> and </w:t>
      </w:r>
      <w:r w:rsidRPr="002A3CBE">
        <w:rPr>
          <w:i/>
        </w:rPr>
        <w:t>Grassland</w:t>
      </w:r>
      <w:r w:rsidRPr="002A3CBE">
        <w:t xml:space="preserve"> (as shelter for crops and/or animals). </w:t>
      </w:r>
    </w:p>
    <w:p w14:paraId="0B35133B" w14:textId="77777777" w:rsidR="00447423" w:rsidRPr="002A3CBE" w:rsidRDefault="00447423" w:rsidP="00447423">
      <w:pPr>
        <w:pStyle w:val="BodyText"/>
        <w:spacing w:before="100" w:after="100"/>
      </w:pPr>
      <w:r w:rsidRPr="002A3CBE">
        <w:t xml:space="preserve">New Zealand uses four </w:t>
      </w:r>
      <w:r w:rsidRPr="002A3CBE">
        <w:rPr>
          <w:i/>
        </w:rPr>
        <w:t>Forest land</w:t>
      </w:r>
      <w:r w:rsidRPr="002A3CBE">
        <w:t xml:space="preserve"> types: pre-1990 natural forest (predominantly native forest), pre-1990 planted forest (predominantly </w:t>
      </w:r>
      <w:r w:rsidRPr="002A3CBE">
        <w:rPr>
          <w:i/>
        </w:rPr>
        <w:t>Pinus radiata</w:t>
      </w:r>
      <w:r w:rsidRPr="002A3CBE">
        <w:t>), post-1989 planted forest and post-1989 natural forest (where post-1989 forests are those established after 31 December 1989). The definitions used for mapping these land uses are given in table 6.2.2.</w:t>
      </w:r>
    </w:p>
    <w:p w14:paraId="0E2F6301" w14:textId="77777777" w:rsidR="00447423" w:rsidRPr="002A3CBE" w:rsidRDefault="00447423" w:rsidP="00447423">
      <w:pPr>
        <w:pStyle w:val="BodyText"/>
        <w:spacing w:before="100" w:after="100"/>
      </w:pPr>
      <w:r w:rsidRPr="002A3CBE">
        <w:t xml:space="preserve">Table 6.4.2 shows land-use change by </w:t>
      </w:r>
      <w:r w:rsidRPr="002A3CBE">
        <w:rPr>
          <w:i/>
          <w:iCs/>
        </w:rPr>
        <w:t>Forest land</w:t>
      </w:r>
      <w:r w:rsidRPr="002A3CBE">
        <w:t xml:space="preserve"> category since 1990 and the associated CO</w:t>
      </w:r>
      <w:r w:rsidRPr="002A3CBE">
        <w:rPr>
          <w:vertAlign w:val="subscript"/>
        </w:rPr>
        <w:t>2</w:t>
      </w:r>
      <w:r w:rsidRPr="002A3CBE">
        <w:t xml:space="preserve"> emissions from carbon stock change (note: non-CO</w:t>
      </w:r>
      <w:r w:rsidRPr="002A3CBE">
        <w:rPr>
          <w:vertAlign w:val="subscript"/>
        </w:rPr>
        <w:t>2</w:t>
      </w:r>
      <w:r w:rsidRPr="002A3CBE">
        <w:t xml:space="preserve"> emissions are reported elsewhere). </w:t>
      </w:r>
    </w:p>
    <w:p w14:paraId="4AF5C30D" w14:textId="77777777" w:rsidR="00447423" w:rsidRPr="002A3CBE" w:rsidRDefault="00447423" w:rsidP="00447423">
      <w:pPr>
        <w:pStyle w:val="Table"/>
      </w:pPr>
      <w:bookmarkStart w:id="1851" w:name="_Toc310423405"/>
      <w:bookmarkStart w:id="1852" w:name="_Toc318362698"/>
      <w:bookmarkStart w:id="1853" w:name="_Toc342470760"/>
      <w:bookmarkStart w:id="1854" w:name="_Toc352505000"/>
      <w:bookmarkStart w:id="1855" w:name="_Toc373395725"/>
      <w:bookmarkStart w:id="1856" w:name="_Toc378853291"/>
      <w:bookmarkStart w:id="1857" w:name="_Toc474914592"/>
      <w:bookmarkStart w:id="1858" w:name="_Toc481751556"/>
      <w:bookmarkStart w:id="1859" w:name="_Toc522010613"/>
      <w:bookmarkStart w:id="1860" w:name="_Toc5269518"/>
      <w:bookmarkStart w:id="1861" w:name="_Toc33529392"/>
      <w:bookmarkStart w:id="1862" w:name="_Toc36224598"/>
      <w:bookmarkStart w:id="1863" w:name="_Toc131591392"/>
      <w:bookmarkStart w:id="1864" w:name="_Toc158979950"/>
      <w:bookmarkStart w:id="1865" w:name="_Toc164153883"/>
      <w:bookmarkStart w:id="1866" w:name="_Toc190873117"/>
      <w:bookmarkStart w:id="1867" w:name="_Toc194241756"/>
      <w:bookmarkStart w:id="1868" w:name="_Toc222837907"/>
      <w:bookmarkStart w:id="1869" w:name="_Toc226669053"/>
      <w:bookmarkStart w:id="1870" w:name="_Toc391024089"/>
      <w:bookmarkStart w:id="1871" w:name="_Toc410028832"/>
      <w:bookmarkStart w:id="1872" w:name="_Toc414531460"/>
      <w:bookmarkStart w:id="1873" w:name="_Toc443645373"/>
      <w:r w:rsidRPr="002A3CBE">
        <w:t>Table 6.4.2</w:t>
      </w:r>
      <w:r w:rsidRPr="002A3CBE">
        <w:tab/>
        <w:t>Change in land area and associated CO</w:t>
      </w:r>
      <w:r w:rsidRPr="002A3CBE">
        <w:rPr>
          <w:vertAlign w:val="subscript"/>
        </w:rPr>
        <w:t>2</w:t>
      </w:r>
      <w:r w:rsidRPr="002A3CBE">
        <w:t xml:space="preserve"> emissions from carbon stock change</w:t>
      </w:r>
      <w:bookmarkEnd w:id="1851"/>
      <w:bookmarkEnd w:id="1852"/>
      <w:bookmarkEnd w:id="1853"/>
      <w:bookmarkEnd w:id="1854"/>
      <w:bookmarkEnd w:id="1855"/>
      <w:bookmarkEnd w:id="1856"/>
      <w:r w:rsidRPr="002A3CBE">
        <w:br/>
        <w:t>between 1990 and 2024 for New Zealand’s</w:t>
      </w:r>
      <w:r w:rsidRPr="002A3CBE">
        <w:rPr>
          <w:i/>
        </w:rPr>
        <w:t xml:space="preserve"> Forest land</w:t>
      </w:r>
      <w:bookmarkEnd w:id="1857"/>
      <w:bookmarkEnd w:id="1858"/>
      <w:bookmarkEnd w:id="1859"/>
      <w:bookmarkEnd w:id="1860"/>
      <w:bookmarkEnd w:id="1861"/>
      <w:bookmarkEnd w:id="1862"/>
      <w:bookmarkEnd w:id="1863"/>
      <w:bookmarkEnd w:id="1864"/>
      <w:bookmarkEnd w:id="1865"/>
      <w:bookmarkEnd w:id="1866"/>
      <w:bookmarkEnd w:id="1867"/>
      <w:bookmarkEnd w:id="1868"/>
      <w:bookmarkEnd w:id="1869"/>
      <w:r w:rsidRPr="002A3CBE">
        <w:t xml:space="preserve"> </w:t>
      </w:r>
      <w:bookmarkEnd w:id="1870"/>
      <w:bookmarkEnd w:id="1871"/>
      <w:bookmarkEnd w:id="1872"/>
      <w:bookmarkEnd w:id="1873"/>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30"/>
        <w:gridCol w:w="1095"/>
        <w:gridCol w:w="1096"/>
        <w:gridCol w:w="1096"/>
        <w:gridCol w:w="1096"/>
        <w:gridCol w:w="1096"/>
        <w:gridCol w:w="1096"/>
      </w:tblGrid>
      <w:tr w:rsidR="00447423" w:rsidRPr="002A3CBE" w14:paraId="144C00D3" w14:textId="77777777" w:rsidTr="00F16E23">
        <w:trPr>
          <w:tblHeader/>
        </w:trPr>
        <w:tc>
          <w:tcPr>
            <w:tcW w:w="1928" w:type="dxa"/>
            <w:shd w:val="clear" w:color="auto" w:fill="1B556B"/>
            <w:tcMar>
              <w:top w:w="0" w:type="dxa"/>
              <w:left w:w="85" w:type="dxa"/>
              <w:bottom w:w="0" w:type="dxa"/>
              <w:right w:w="85" w:type="dxa"/>
            </w:tcMar>
            <w:vAlign w:val="center"/>
          </w:tcPr>
          <w:p w14:paraId="5148B193" w14:textId="77777777" w:rsidR="00447423" w:rsidRPr="002A3CBE" w:rsidRDefault="00447423" w:rsidP="00F16E23">
            <w:pPr>
              <w:pStyle w:val="TableTextBold"/>
              <w:spacing w:before="40" w:after="0"/>
              <w:rPr>
                <w:rFonts w:eastAsia="Calibri"/>
                <w:noProof w:val="0"/>
                <w:color w:val="FFFFFF" w:themeColor="background1"/>
              </w:rPr>
            </w:pPr>
          </w:p>
        </w:tc>
        <w:tc>
          <w:tcPr>
            <w:tcW w:w="2188" w:type="dxa"/>
            <w:gridSpan w:val="2"/>
            <w:shd w:val="clear" w:color="auto" w:fill="1B556B"/>
            <w:tcMar>
              <w:top w:w="0" w:type="dxa"/>
              <w:left w:w="85" w:type="dxa"/>
              <w:bottom w:w="0" w:type="dxa"/>
              <w:right w:w="85" w:type="dxa"/>
            </w:tcMar>
            <w:vAlign w:val="center"/>
          </w:tcPr>
          <w:p w14:paraId="6CD124CC"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Net area (ha)</w:t>
            </w:r>
          </w:p>
        </w:tc>
        <w:tc>
          <w:tcPr>
            <w:tcW w:w="1094" w:type="dxa"/>
            <w:shd w:val="clear" w:color="auto" w:fill="1B556B"/>
            <w:tcMar>
              <w:top w:w="0" w:type="dxa"/>
              <w:left w:w="85" w:type="dxa"/>
              <w:bottom w:w="0" w:type="dxa"/>
              <w:right w:w="85" w:type="dxa"/>
            </w:tcMar>
            <w:vAlign w:val="center"/>
          </w:tcPr>
          <w:p w14:paraId="2E7DA27E"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Change from</w:t>
            </w:r>
          </w:p>
        </w:tc>
        <w:tc>
          <w:tcPr>
            <w:tcW w:w="2188" w:type="dxa"/>
            <w:gridSpan w:val="2"/>
            <w:shd w:val="clear" w:color="auto" w:fill="1B556B"/>
            <w:tcMar>
              <w:top w:w="0" w:type="dxa"/>
              <w:left w:w="85" w:type="dxa"/>
              <w:bottom w:w="0" w:type="dxa"/>
              <w:right w:w="85" w:type="dxa"/>
            </w:tcMar>
            <w:vAlign w:val="center"/>
          </w:tcPr>
          <w:p w14:paraId="24CF8355"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Net emissions (kt CO₂ only)</w:t>
            </w:r>
          </w:p>
        </w:tc>
        <w:tc>
          <w:tcPr>
            <w:tcW w:w="1094" w:type="dxa"/>
            <w:shd w:val="clear" w:color="auto" w:fill="1B556B"/>
            <w:tcMar>
              <w:top w:w="0" w:type="dxa"/>
              <w:left w:w="85" w:type="dxa"/>
              <w:bottom w:w="0" w:type="dxa"/>
              <w:right w:w="85" w:type="dxa"/>
            </w:tcMar>
            <w:vAlign w:val="center"/>
          </w:tcPr>
          <w:p w14:paraId="47EE1943"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Change from</w:t>
            </w:r>
          </w:p>
        </w:tc>
      </w:tr>
      <w:tr w:rsidR="00447423" w:rsidRPr="002A3CBE" w14:paraId="25A593D4" w14:textId="77777777" w:rsidTr="00F16E23">
        <w:trPr>
          <w:tblHeader/>
        </w:trPr>
        <w:tc>
          <w:tcPr>
            <w:tcW w:w="1928" w:type="dxa"/>
            <w:shd w:val="clear" w:color="auto" w:fill="1B556B"/>
            <w:tcMar>
              <w:top w:w="0" w:type="dxa"/>
              <w:left w:w="85" w:type="dxa"/>
              <w:bottom w:w="0" w:type="dxa"/>
              <w:right w:w="85" w:type="dxa"/>
            </w:tcMar>
            <w:vAlign w:val="center"/>
          </w:tcPr>
          <w:p w14:paraId="42C85E31"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Land use</w:t>
            </w:r>
          </w:p>
        </w:tc>
        <w:tc>
          <w:tcPr>
            <w:tcW w:w="1094" w:type="dxa"/>
            <w:shd w:val="clear" w:color="auto" w:fill="1B556B"/>
            <w:tcMar>
              <w:top w:w="0" w:type="dxa"/>
              <w:left w:w="85" w:type="dxa"/>
              <w:bottom w:w="0" w:type="dxa"/>
              <w:right w:w="85" w:type="dxa"/>
            </w:tcMar>
            <w:vAlign w:val="center"/>
          </w:tcPr>
          <w:p w14:paraId="1BD258D7"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1094" w:type="dxa"/>
            <w:shd w:val="clear" w:color="auto" w:fill="1B556B"/>
            <w:tcMar>
              <w:top w:w="0" w:type="dxa"/>
              <w:left w:w="85" w:type="dxa"/>
              <w:bottom w:w="0" w:type="dxa"/>
              <w:right w:w="85" w:type="dxa"/>
            </w:tcMar>
            <w:vAlign w:val="center"/>
          </w:tcPr>
          <w:p w14:paraId="6FA6FE2E"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094" w:type="dxa"/>
            <w:shd w:val="clear" w:color="auto" w:fill="1B556B"/>
            <w:tcMar>
              <w:top w:w="0" w:type="dxa"/>
              <w:left w:w="85" w:type="dxa"/>
              <w:bottom w:w="0" w:type="dxa"/>
              <w:right w:w="85" w:type="dxa"/>
            </w:tcMar>
            <w:vAlign w:val="center"/>
          </w:tcPr>
          <w:p w14:paraId="74720EE3"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 (%)</w:t>
            </w:r>
          </w:p>
        </w:tc>
        <w:tc>
          <w:tcPr>
            <w:tcW w:w="1094" w:type="dxa"/>
            <w:shd w:val="clear" w:color="auto" w:fill="1B556B"/>
            <w:tcMar>
              <w:top w:w="0" w:type="dxa"/>
              <w:left w:w="85" w:type="dxa"/>
              <w:bottom w:w="0" w:type="dxa"/>
              <w:right w:w="85" w:type="dxa"/>
            </w:tcMar>
            <w:vAlign w:val="center"/>
          </w:tcPr>
          <w:p w14:paraId="56B2151F"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1094" w:type="dxa"/>
            <w:shd w:val="clear" w:color="auto" w:fill="1B556B"/>
            <w:tcMar>
              <w:top w:w="0" w:type="dxa"/>
              <w:left w:w="85" w:type="dxa"/>
              <w:bottom w:w="0" w:type="dxa"/>
              <w:right w:w="85" w:type="dxa"/>
            </w:tcMar>
            <w:vAlign w:val="center"/>
          </w:tcPr>
          <w:p w14:paraId="08E12D71"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094" w:type="dxa"/>
            <w:shd w:val="clear" w:color="auto" w:fill="1B556B"/>
            <w:tcMar>
              <w:top w:w="0" w:type="dxa"/>
              <w:left w:w="85" w:type="dxa"/>
              <w:bottom w:w="0" w:type="dxa"/>
              <w:right w:w="85" w:type="dxa"/>
            </w:tcMar>
            <w:vAlign w:val="center"/>
          </w:tcPr>
          <w:p w14:paraId="41990019"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 (%)</w:t>
            </w:r>
          </w:p>
        </w:tc>
      </w:tr>
      <w:tr w:rsidR="00447423" w:rsidRPr="002A3CBE" w14:paraId="7625BA3E" w14:textId="77777777" w:rsidTr="00F16E23">
        <w:tc>
          <w:tcPr>
            <w:tcW w:w="1928" w:type="dxa"/>
            <w:shd w:val="clear" w:color="auto" w:fill="FFFFFF"/>
            <w:tcMar>
              <w:top w:w="0" w:type="dxa"/>
              <w:left w:w="85" w:type="dxa"/>
              <w:bottom w:w="0" w:type="dxa"/>
              <w:right w:w="85" w:type="dxa"/>
            </w:tcMar>
            <w:vAlign w:val="center"/>
          </w:tcPr>
          <w:p w14:paraId="5C24F033" w14:textId="77777777" w:rsidR="00447423" w:rsidRPr="002A3CBE" w:rsidRDefault="00447423" w:rsidP="00F16E23">
            <w:pPr>
              <w:pStyle w:val="TableText"/>
              <w:spacing w:before="20" w:after="20"/>
              <w:rPr>
                <w:rFonts w:eastAsia="Calibri"/>
              </w:rPr>
            </w:pPr>
            <w:r w:rsidRPr="002A3CBE">
              <w:rPr>
                <w:rFonts w:eastAsia="Calibri"/>
              </w:rPr>
              <w:t>Pre-1990 natural forest</w:t>
            </w:r>
          </w:p>
        </w:tc>
        <w:tc>
          <w:tcPr>
            <w:tcW w:w="1094" w:type="dxa"/>
            <w:shd w:val="clear" w:color="auto" w:fill="FFFFFF"/>
            <w:tcMar>
              <w:top w:w="0" w:type="dxa"/>
              <w:left w:w="85" w:type="dxa"/>
              <w:bottom w:w="0" w:type="dxa"/>
              <w:right w:w="85" w:type="dxa"/>
            </w:tcMar>
            <w:vAlign w:val="center"/>
          </w:tcPr>
          <w:p w14:paraId="101FB99C" w14:textId="77777777" w:rsidR="00447423" w:rsidRPr="002A3CBE" w:rsidRDefault="00447423" w:rsidP="00F16E23">
            <w:pPr>
              <w:pStyle w:val="TableText"/>
              <w:spacing w:before="20" w:after="20"/>
              <w:jc w:val="right"/>
              <w:rPr>
                <w:rFonts w:eastAsia="Calibri"/>
              </w:rPr>
            </w:pPr>
            <w:r w:rsidRPr="002A3CBE">
              <w:rPr>
                <w:rFonts w:eastAsia="Calibri"/>
              </w:rPr>
              <w:t>7,812,913</w:t>
            </w:r>
          </w:p>
        </w:tc>
        <w:tc>
          <w:tcPr>
            <w:tcW w:w="1094" w:type="dxa"/>
            <w:shd w:val="clear" w:color="auto" w:fill="FFFFFF"/>
            <w:tcMar>
              <w:top w:w="0" w:type="dxa"/>
              <w:left w:w="85" w:type="dxa"/>
              <w:bottom w:w="0" w:type="dxa"/>
              <w:right w:w="85" w:type="dxa"/>
            </w:tcMar>
            <w:vAlign w:val="center"/>
          </w:tcPr>
          <w:p w14:paraId="2C204A6C" w14:textId="77777777" w:rsidR="00447423" w:rsidRPr="002A3CBE" w:rsidRDefault="00447423" w:rsidP="00F16E23">
            <w:pPr>
              <w:pStyle w:val="TableText"/>
              <w:spacing w:before="20" w:after="20"/>
              <w:jc w:val="right"/>
              <w:rPr>
                <w:rFonts w:eastAsia="Calibri"/>
              </w:rPr>
            </w:pPr>
            <w:r w:rsidRPr="002A3CBE">
              <w:rPr>
                <w:rFonts w:eastAsia="Calibri"/>
              </w:rPr>
              <w:t>7,743,646</w:t>
            </w:r>
          </w:p>
        </w:tc>
        <w:tc>
          <w:tcPr>
            <w:tcW w:w="1094" w:type="dxa"/>
            <w:shd w:val="clear" w:color="auto" w:fill="FFFFFF"/>
            <w:tcMar>
              <w:top w:w="0" w:type="dxa"/>
              <w:left w:w="85" w:type="dxa"/>
              <w:bottom w:w="0" w:type="dxa"/>
              <w:right w:w="85" w:type="dxa"/>
            </w:tcMar>
            <w:vAlign w:val="center"/>
          </w:tcPr>
          <w:p w14:paraId="6DD3E647" w14:textId="77777777" w:rsidR="00447423" w:rsidRPr="002A3CBE" w:rsidRDefault="00447423" w:rsidP="00F16E23">
            <w:pPr>
              <w:pStyle w:val="TableText"/>
              <w:spacing w:before="20" w:after="20"/>
              <w:jc w:val="right"/>
              <w:rPr>
                <w:rFonts w:eastAsia="Calibri"/>
              </w:rPr>
            </w:pPr>
            <w:r w:rsidRPr="002A3CBE">
              <w:rPr>
                <w:rFonts w:eastAsia="Calibri"/>
              </w:rPr>
              <w:t>-0.9</w:t>
            </w:r>
          </w:p>
        </w:tc>
        <w:tc>
          <w:tcPr>
            <w:tcW w:w="1094" w:type="dxa"/>
            <w:shd w:val="clear" w:color="auto" w:fill="FFFFFF"/>
            <w:tcMar>
              <w:top w:w="0" w:type="dxa"/>
              <w:left w:w="85" w:type="dxa"/>
              <w:bottom w:w="0" w:type="dxa"/>
              <w:right w:w="85" w:type="dxa"/>
            </w:tcMar>
            <w:vAlign w:val="center"/>
          </w:tcPr>
          <w:p w14:paraId="753611D9" w14:textId="77777777" w:rsidR="00447423" w:rsidRPr="002A3CBE" w:rsidRDefault="00447423" w:rsidP="00F16E23">
            <w:pPr>
              <w:pStyle w:val="TableText"/>
              <w:spacing w:before="20" w:after="20"/>
              <w:jc w:val="right"/>
              <w:rPr>
                <w:rFonts w:eastAsia="Calibri"/>
              </w:rPr>
            </w:pPr>
            <w:r w:rsidRPr="002A3CBE">
              <w:rPr>
                <w:rFonts w:eastAsia="Calibri"/>
              </w:rPr>
              <w:t>-1,360.2</w:t>
            </w:r>
          </w:p>
        </w:tc>
        <w:tc>
          <w:tcPr>
            <w:tcW w:w="1094" w:type="dxa"/>
            <w:shd w:val="clear" w:color="auto" w:fill="FFFFFF"/>
            <w:tcMar>
              <w:top w:w="0" w:type="dxa"/>
              <w:left w:w="85" w:type="dxa"/>
              <w:bottom w:w="0" w:type="dxa"/>
              <w:right w:w="85" w:type="dxa"/>
            </w:tcMar>
            <w:vAlign w:val="center"/>
          </w:tcPr>
          <w:p w14:paraId="3657ACF1" w14:textId="77777777" w:rsidR="00447423" w:rsidRPr="002A3CBE" w:rsidRDefault="00447423" w:rsidP="00F16E23">
            <w:pPr>
              <w:pStyle w:val="TableText"/>
              <w:spacing w:before="20" w:after="20"/>
              <w:jc w:val="right"/>
              <w:rPr>
                <w:rFonts w:eastAsia="Calibri"/>
              </w:rPr>
            </w:pPr>
            <w:r w:rsidRPr="002A3CBE">
              <w:rPr>
                <w:rFonts w:eastAsia="Calibri"/>
              </w:rPr>
              <w:t>-1,438.8</w:t>
            </w:r>
          </w:p>
        </w:tc>
        <w:tc>
          <w:tcPr>
            <w:tcW w:w="1094" w:type="dxa"/>
            <w:shd w:val="clear" w:color="auto" w:fill="FFFFFF"/>
            <w:tcMar>
              <w:top w:w="0" w:type="dxa"/>
              <w:left w:w="85" w:type="dxa"/>
              <w:bottom w:w="0" w:type="dxa"/>
              <w:right w:w="85" w:type="dxa"/>
            </w:tcMar>
            <w:vAlign w:val="center"/>
          </w:tcPr>
          <w:p w14:paraId="5C925DCF" w14:textId="77777777" w:rsidR="00447423" w:rsidRPr="002A3CBE" w:rsidRDefault="00447423" w:rsidP="00F16E23">
            <w:pPr>
              <w:pStyle w:val="TableText"/>
              <w:spacing w:before="20" w:after="20"/>
              <w:jc w:val="right"/>
              <w:rPr>
                <w:rFonts w:eastAsia="Calibri"/>
              </w:rPr>
            </w:pPr>
            <w:r w:rsidRPr="002A3CBE">
              <w:rPr>
                <w:rFonts w:eastAsia="Calibri"/>
              </w:rPr>
              <w:t>-5.8</w:t>
            </w:r>
          </w:p>
        </w:tc>
      </w:tr>
      <w:tr w:rsidR="00447423" w:rsidRPr="002A3CBE" w14:paraId="1ACB97AD" w14:textId="77777777" w:rsidTr="00F16E23">
        <w:tc>
          <w:tcPr>
            <w:tcW w:w="1928" w:type="dxa"/>
            <w:shd w:val="clear" w:color="auto" w:fill="FFFFFF"/>
            <w:tcMar>
              <w:top w:w="0" w:type="dxa"/>
              <w:left w:w="85" w:type="dxa"/>
              <w:bottom w:w="0" w:type="dxa"/>
              <w:right w:w="85" w:type="dxa"/>
            </w:tcMar>
            <w:vAlign w:val="center"/>
          </w:tcPr>
          <w:p w14:paraId="2066D9E1" w14:textId="77777777" w:rsidR="00447423" w:rsidRPr="002A3CBE" w:rsidRDefault="00447423" w:rsidP="00F16E23">
            <w:pPr>
              <w:pStyle w:val="TableText"/>
              <w:spacing w:before="20" w:after="20"/>
              <w:rPr>
                <w:rFonts w:eastAsia="Calibri"/>
              </w:rPr>
            </w:pPr>
            <w:r w:rsidRPr="002A3CBE">
              <w:rPr>
                <w:rFonts w:eastAsia="Calibri"/>
              </w:rPr>
              <w:t>Pre-1990 planted forest</w:t>
            </w:r>
          </w:p>
        </w:tc>
        <w:tc>
          <w:tcPr>
            <w:tcW w:w="1094" w:type="dxa"/>
            <w:shd w:val="clear" w:color="auto" w:fill="FFFFFF"/>
            <w:tcMar>
              <w:top w:w="0" w:type="dxa"/>
              <w:left w:w="85" w:type="dxa"/>
              <w:bottom w:w="0" w:type="dxa"/>
              <w:right w:w="85" w:type="dxa"/>
            </w:tcMar>
            <w:vAlign w:val="center"/>
          </w:tcPr>
          <w:p w14:paraId="24C1623C" w14:textId="77777777" w:rsidR="00447423" w:rsidRPr="002A3CBE" w:rsidRDefault="00447423" w:rsidP="00F16E23">
            <w:pPr>
              <w:pStyle w:val="TableText"/>
              <w:spacing w:before="20" w:after="20"/>
              <w:jc w:val="right"/>
              <w:rPr>
                <w:rFonts w:eastAsia="Calibri"/>
              </w:rPr>
            </w:pPr>
            <w:r w:rsidRPr="002A3CBE">
              <w:rPr>
                <w:rFonts w:eastAsia="Calibri"/>
              </w:rPr>
              <w:t>1,547,055</w:t>
            </w:r>
          </w:p>
        </w:tc>
        <w:tc>
          <w:tcPr>
            <w:tcW w:w="1094" w:type="dxa"/>
            <w:shd w:val="clear" w:color="auto" w:fill="FFFFFF"/>
            <w:tcMar>
              <w:top w:w="0" w:type="dxa"/>
              <w:left w:w="85" w:type="dxa"/>
              <w:bottom w:w="0" w:type="dxa"/>
              <w:right w:w="85" w:type="dxa"/>
            </w:tcMar>
            <w:vAlign w:val="center"/>
          </w:tcPr>
          <w:p w14:paraId="29E254F1" w14:textId="77777777" w:rsidR="00447423" w:rsidRPr="002A3CBE" w:rsidRDefault="00447423" w:rsidP="00F16E23">
            <w:pPr>
              <w:pStyle w:val="TableText"/>
              <w:spacing w:before="20" w:after="20"/>
              <w:jc w:val="right"/>
              <w:rPr>
                <w:rFonts w:eastAsia="Calibri"/>
              </w:rPr>
            </w:pPr>
            <w:r w:rsidRPr="002A3CBE">
              <w:rPr>
                <w:rFonts w:eastAsia="Calibri"/>
              </w:rPr>
              <w:t>1,435,366</w:t>
            </w:r>
          </w:p>
        </w:tc>
        <w:tc>
          <w:tcPr>
            <w:tcW w:w="1094" w:type="dxa"/>
            <w:shd w:val="clear" w:color="auto" w:fill="FFFFFF"/>
            <w:tcMar>
              <w:top w:w="0" w:type="dxa"/>
              <w:left w:w="85" w:type="dxa"/>
              <w:bottom w:w="0" w:type="dxa"/>
              <w:right w:w="85" w:type="dxa"/>
            </w:tcMar>
            <w:vAlign w:val="center"/>
          </w:tcPr>
          <w:p w14:paraId="6AE15D6B" w14:textId="77777777" w:rsidR="00447423" w:rsidRPr="002A3CBE" w:rsidRDefault="00447423" w:rsidP="00F16E23">
            <w:pPr>
              <w:pStyle w:val="TableText"/>
              <w:spacing w:before="20" w:after="20"/>
              <w:jc w:val="right"/>
              <w:rPr>
                <w:rFonts w:eastAsia="Calibri"/>
              </w:rPr>
            </w:pPr>
            <w:r w:rsidRPr="002A3CBE">
              <w:rPr>
                <w:rFonts w:eastAsia="Calibri"/>
              </w:rPr>
              <w:t>-7.2</w:t>
            </w:r>
          </w:p>
        </w:tc>
        <w:tc>
          <w:tcPr>
            <w:tcW w:w="1094" w:type="dxa"/>
            <w:shd w:val="clear" w:color="auto" w:fill="FFFFFF"/>
            <w:tcMar>
              <w:top w:w="0" w:type="dxa"/>
              <w:left w:w="85" w:type="dxa"/>
              <w:bottom w:w="0" w:type="dxa"/>
              <w:right w:w="85" w:type="dxa"/>
            </w:tcMar>
            <w:vAlign w:val="center"/>
          </w:tcPr>
          <w:p w14:paraId="62C9B0BB" w14:textId="77777777" w:rsidR="00447423" w:rsidRPr="002A3CBE" w:rsidRDefault="00447423" w:rsidP="00F16E23">
            <w:pPr>
              <w:pStyle w:val="TableText"/>
              <w:spacing w:before="20" w:after="20"/>
              <w:jc w:val="right"/>
              <w:rPr>
                <w:rFonts w:eastAsia="Calibri"/>
              </w:rPr>
            </w:pPr>
            <w:r w:rsidRPr="002A3CBE">
              <w:rPr>
                <w:rFonts w:eastAsia="Calibri"/>
              </w:rPr>
              <w:t>-22,398.3</w:t>
            </w:r>
          </w:p>
        </w:tc>
        <w:tc>
          <w:tcPr>
            <w:tcW w:w="1094" w:type="dxa"/>
            <w:shd w:val="clear" w:color="auto" w:fill="FFFFFF"/>
            <w:tcMar>
              <w:top w:w="0" w:type="dxa"/>
              <w:left w:w="85" w:type="dxa"/>
              <w:bottom w:w="0" w:type="dxa"/>
              <w:right w:w="85" w:type="dxa"/>
            </w:tcMar>
            <w:vAlign w:val="center"/>
          </w:tcPr>
          <w:p w14:paraId="6E8DCE46" w14:textId="77777777" w:rsidR="00447423" w:rsidRPr="002A3CBE" w:rsidRDefault="00447423" w:rsidP="00F16E23">
            <w:pPr>
              <w:pStyle w:val="TableText"/>
              <w:spacing w:before="20" w:after="20"/>
              <w:jc w:val="right"/>
              <w:rPr>
                <w:rFonts w:eastAsia="Calibri"/>
              </w:rPr>
            </w:pPr>
            <w:r w:rsidRPr="002A3CBE">
              <w:rPr>
                <w:rFonts w:eastAsia="Calibri"/>
              </w:rPr>
              <w:t>-14,804.4</w:t>
            </w:r>
          </w:p>
        </w:tc>
        <w:tc>
          <w:tcPr>
            <w:tcW w:w="1094" w:type="dxa"/>
            <w:shd w:val="clear" w:color="auto" w:fill="FFFFFF"/>
            <w:tcMar>
              <w:top w:w="0" w:type="dxa"/>
              <w:left w:w="85" w:type="dxa"/>
              <w:bottom w:w="0" w:type="dxa"/>
              <w:right w:w="85" w:type="dxa"/>
            </w:tcMar>
            <w:vAlign w:val="center"/>
          </w:tcPr>
          <w:p w14:paraId="512F3330" w14:textId="77777777" w:rsidR="00447423" w:rsidRPr="002A3CBE" w:rsidRDefault="00447423" w:rsidP="00F16E23">
            <w:pPr>
              <w:pStyle w:val="TableText"/>
              <w:spacing w:before="20" w:after="20"/>
              <w:jc w:val="right"/>
              <w:rPr>
                <w:rFonts w:eastAsia="Calibri"/>
              </w:rPr>
            </w:pPr>
            <w:r w:rsidRPr="002A3CBE">
              <w:rPr>
                <w:rFonts w:eastAsia="Calibri"/>
              </w:rPr>
              <w:t>33.9</w:t>
            </w:r>
          </w:p>
        </w:tc>
      </w:tr>
      <w:tr w:rsidR="00447423" w:rsidRPr="002A3CBE" w14:paraId="59502C64" w14:textId="77777777" w:rsidTr="00F16E23">
        <w:tc>
          <w:tcPr>
            <w:tcW w:w="1928" w:type="dxa"/>
            <w:shd w:val="clear" w:color="auto" w:fill="FFFFFF"/>
            <w:tcMar>
              <w:top w:w="0" w:type="dxa"/>
              <w:left w:w="85" w:type="dxa"/>
              <w:bottom w:w="0" w:type="dxa"/>
              <w:right w:w="85" w:type="dxa"/>
            </w:tcMar>
            <w:vAlign w:val="center"/>
          </w:tcPr>
          <w:p w14:paraId="0F867628" w14:textId="77777777" w:rsidR="00447423" w:rsidRPr="002A3CBE" w:rsidRDefault="00447423" w:rsidP="00F16E23">
            <w:pPr>
              <w:pStyle w:val="TableText"/>
              <w:spacing w:before="20" w:after="20"/>
              <w:rPr>
                <w:rFonts w:eastAsia="Calibri"/>
              </w:rPr>
            </w:pPr>
            <w:r w:rsidRPr="002A3CBE">
              <w:rPr>
                <w:rFonts w:eastAsia="Calibri"/>
              </w:rPr>
              <w:t>Post-1989 planted forest</w:t>
            </w:r>
          </w:p>
        </w:tc>
        <w:tc>
          <w:tcPr>
            <w:tcW w:w="1094" w:type="dxa"/>
            <w:shd w:val="clear" w:color="auto" w:fill="FFFFFF"/>
            <w:tcMar>
              <w:top w:w="0" w:type="dxa"/>
              <w:left w:w="85" w:type="dxa"/>
              <w:bottom w:w="0" w:type="dxa"/>
              <w:right w:w="85" w:type="dxa"/>
            </w:tcMar>
            <w:vAlign w:val="center"/>
          </w:tcPr>
          <w:p w14:paraId="346F99C0" w14:textId="77777777" w:rsidR="00447423" w:rsidRPr="002A3CBE" w:rsidRDefault="00447423" w:rsidP="00F16E23">
            <w:pPr>
              <w:pStyle w:val="TableText"/>
              <w:spacing w:before="20" w:after="20"/>
              <w:jc w:val="right"/>
              <w:rPr>
                <w:rFonts w:eastAsia="Calibri"/>
              </w:rPr>
            </w:pPr>
            <w:r w:rsidRPr="002A3CBE">
              <w:rPr>
                <w:rFonts w:eastAsia="Calibri"/>
              </w:rPr>
              <w:t>0</w:t>
            </w:r>
          </w:p>
        </w:tc>
        <w:tc>
          <w:tcPr>
            <w:tcW w:w="1094" w:type="dxa"/>
            <w:shd w:val="clear" w:color="auto" w:fill="FFFFFF"/>
            <w:tcMar>
              <w:top w:w="0" w:type="dxa"/>
              <w:left w:w="85" w:type="dxa"/>
              <w:bottom w:w="0" w:type="dxa"/>
              <w:right w:w="85" w:type="dxa"/>
            </w:tcMar>
            <w:vAlign w:val="center"/>
          </w:tcPr>
          <w:p w14:paraId="386A1D96" w14:textId="77777777" w:rsidR="00447423" w:rsidRPr="002A3CBE" w:rsidRDefault="00447423" w:rsidP="00F16E23">
            <w:pPr>
              <w:pStyle w:val="TableText"/>
              <w:spacing w:before="20" w:after="20"/>
              <w:jc w:val="right"/>
              <w:rPr>
                <w:rFonts w:eastAsia="Calibri"/>
              </w:rPr>
            </w:pPr>
            <w:r w:rsidRPr="002A3CBE">
              <w:rPr>
                <w:rFonts w:eastAsia="Calibri"/>
              </w:rPr>
              <w:t>953,066</w:t>
            </w:r>
          </w:p>
        </w:tc>
        <w:tc>
          <w:tcPr>
            <w:tcW w:w="1094" w:type="dxa"/>
            <w:shd w:val="clear" w:color="auto" w:fill="FFFFFF"/>
            <w:tcMar>
              <w:top w:w="0" w:type="dxa"/>
              <w:left w:w="85" w:type="dxa"/>
              <w:bottom w:w="0" w:type="dxa"/>
              <w:right w:w="85" w:type="dxa"/>
            </w:tcMar>
            <w:vAlign w:val="center"/>
          </w:tcPr>
          <w:p w14:paraId="59FDDE3B" w14:textId="77777777" w:rsidR="00447423" w:rsidRPr="002A3CBE" w:rsidRDefault="00447423" w:rsidP="00F16E23">
            <w:pPr>
              <w:pStyle w:val="TableText"/>
              <w:spacing w:before="20" w:after="20"/>
              <w:jc w:val="right"/>
              <w:rPr>
                <w:rFonts w:eastAsia="Calibri"/>
              </w:rPr>
            </w:pPr>
            <w:r w:rsidRPr="002A3CBE">
              <w:rPr>
                <w:rFonts w:asciiTheme="minorHAnsi" w:eastAsia="Calibri" w:hAnsiTheme="minorHAnsi" w:cstheme="minorHAnsi"/>
              </w:rPr>
              <w:t>–</w:t>
            </w:r>
          </w:p>
        </w:tc>
        <w:tc>
          <w:tcPr>
            <w:tcW w:w="1094" w:type="dxa"/>
            <w:shd w:val="clear" w:color="auto" w:fill="FFFFFF"/>
            <w:tcMar>
              <w:top w:w="0" w:type="dxa"/>
              <w:left w:w="85" w:type="dxa"/>
              <w:bottom w:w="0" w:type="dxa"/>
              <w:right w:w="85" w:type="dxa"/>
            </w:tcMar>
            <w:vAlign w:val="center"/>
          </w:tcPr>
          <w:p w14:paraId="7B4355FF" w14:textId="77777777" w:rsidR="00447423" w:rsidRPr="002A3CBE" w:rsidRDefault="00447423" w:rsidP="00F16E23">
            <w:pPr>
              <w:pStyle w:val="TableText"/>
              <w:spacing w:before="20" w:after="20"/>
              <w:jc w:val="right"/>
              <w:rPr>
                <w:rFonts w:eastAsia="Calibri"/>
              </w:rPr>
            </w:pPr>
            <w:r w:rsidRPr="002A3CBE">
              <w:rPr>
                <w:rFonts w:eastAsia="Calibri"/>
              </w:rPr>
              <w:t>171.7</w:t>
            </w:r>
          </w:p>
        </w:tc>
        <w:tc>
          <w:tcPr>
            <w:tcW w:w="1094" w:type="dxa"/>
            <w:shd w:val="clear" w:color="auto" w:fill="FFFFFF"/>
            <w:tcMar>
              <w:top w:w="0" w:type="dxa"/>
              <w:left w:w="85" w:type="dxa"/>
              <w:bottom w:w="0" w:type="dxa"/>
              <w:right w:w="85" w:type="dxa"/>
            </w:tcMar>
            <w:vAlign w:val="center"/>
          </w:tcPr>
          <w:p w14:paraId="61470C4C" w14:textId="77777777" w:rsidR="00447423" w:rsidRPr="002A3CBE" w:rsidRDefault="00447423" w:rsidP="00F16E23">
            <w:pPr>
              <w:pStyle w:val="TableText"/>
              <w:spacing w:before="20" w:after="20"/>
              <w:jc w:val="right"/>
              <w:rPr>
                <w:rFonts w:eastAsia="Calibri"/>
              </w:rPr>
            </w:pPr>
            <w:r w:rsidRPr="002A3CBE">
              <w:rPr>
                <w:rFonts w:eastAsia="Calibri"/>
              </w:rPr>
              <w:t>-1,677.3</w:t>
            </w:r>
          </w:p>
        </w:tc>
        <w:tc>
          <w:tcPr>
            <w:tcW w:w="1094" w:type="dxa"/>
            <w:shd w:val="clear" w:color="auto" w:fill="FFFFFF"/>
            <w:tcMar>
              <w:top w:w="0" w:type="dxa"/>
              <w:left w:w="85" w:type="dxa"/>
              <w:bottom w:w="0" w:type="dxa"/>
              <w:right w:w="85" w:type="dxa"/>
            </w:tcMar>
            <w:vAlign w:val="center"/>
          </w:tcPr>
          <w:p w14:paraId="7DAFB8C4" w14:textId="77777777" w:rsidR="00447423" w:rsidRPr="002A3CBE" w:rsidRDefault="00447423" w:rsidP="00F16E23">
            <w:pPr>
              <w:pStyle w:val="TableText"/>
              <w:spacing w:before="20" w:after="20"/>
              <w:jc w:val="right"/>
              <w:rPr>
                <w:rFonts w:eastAsia="Calibri"/>
              </w:rPr>
            </w:pPr>
            <w:r w:rsidRPr="002A3CBE">
              <w:rPr>
                <w:rFonts w:eastAsia="Calibri"/>
              </w:rPr>
              <w:t>-1,077.0</w:t>
            </w:r>
          </w:p>
        </w:tc>
      </w:tr>
      <w:tr w:rsidR="00447423" w:rsidRPr="002A3CBE" w14:paraId="36D9EE5D" w14:textId="77777777" w:rsidTr="00F16E23">
        <w:tc>
          <w:tcPr>
            <w:tcW w:w="1928" w:type="dxa"/>
            <w:shd w:val="clear" w:color="auto" w:fill="FFFFFF"/>
            <w:tcMar>
              <w:top w:w="0" w:type="dxa"/>
              <w:left w:w="85" w:type="dxa"/>
              <w:bottom w:w="0" w:type="dxa"/>
              <w:right w:w="85" w:type="dxa"/>
            </w:tcMar>
            <w:vAlign w:val="center"/>
          </w:tcPr>
          <w:p w14:paraId="73C3D576" w14:textId="77777777" w:rsidR="00447423" w:rsidRPr="002A3CBE" w:rsidRDefault="00447423" w:rsidP="00F16E23">
            <w:pPr>
              <w:pStyle w:val="TableText"/>
              <w:spacing w:before="20" w:after="20"/>
              <w:rPr>
                <w:rFonts w:eastAsia="Calibri"/>
              </w:rPr>
            </w:pPr>
            <w:r w:rsidRPr="002A3CBE">
              <w:rPr>
                <w:rFonts w:eastAsia="Calibri"/>
              </w:rPr>
              <w:t>Post-1989 natural forest</w:t>
            </w:r>
          </w:p>
        </w:tc>
        <w:tc>
          <w:tcPr>
            <w:tcW w:w="1094" w:type="dxa"/>
            <w:shd w:val="clear" w:color="auto" w:fill="FFFFFF"/>
            <w:tcMar>
              <w:top w:w="0" w:type="dxa"/>
              <w:left w:w="85" w:type="dxa"/>
              <w:bottom w:w="0" w:type="dxa"/>
              <w:right w:w="85" w:type="dxa"/>
            </w:tcMar>
            <w:vAlign w:val="center"/>
          </w:tcPr>
          <w:p w14:paraId="3AE1079A" w14:textId="77777777" w:rsidR="00447423" w:rsidRPr="002A3CBE" w:rsidRDefault="00447423" w:rsidP="00F16E23">
            <w:pPr>
              <w:pStyle w:val="TableText"/>
              <w:spacing w:before="20" w:after="20"/>
              <w:jc w:val="right"/>
              <w:rPr>
                <w:rFonts w:eastAsia="Calibri"/>
              </w:rPr>
            </w:pPr>
            <w:r w:rsidRPr="002A3CBE">
              <w:rPr>
                <w:rFonts w:eastAsia="Calibri"/>
              </w:rPr>
              <w:t>0</w:t>
            </w:r>
          </w:p>
        </w:tc>
        <w:tc>
          <w:tcPr>
            <w:tcW w:w="1094" w:type="dxa"/>
            <w:shd w:val="clear" w:color="auto" w:fill="FFFFFF"/>
            <w:tcMar>
              <w:top w:w="0" w:type="dxa"/>
              <w:left w:w="85" w:type="dxa"/>
              <w:bottom w:w="0" w:type="dxa"/>
              <w:right w:w="85" w:type="dxa"/>
            </w:tcMar>
            <w:vAlign w:val="center"/>
          </w:tcPr>
          <w:p w14:paraId="65ED82F9" w14:textId="77777777" w:rsidR="00447423" w:rsidRPr="002A3CBE" w:rsidRDefault="00447423" w:rsidP="00F16E23">
            <w:pPr>
              <w:pStyle w:val="TableText"/>
              <w:spacing w:before="20" w:after="20"/>
              <w:jc w:val="right"/>
              <w:rPr>
                <w:rFonts w:eastAsia="Calibri"/>
              </w:rPr>
            </w:pPr>
            <w:r w:rsidRPr="002A3CBE">
              <w:rPr>
                <w:rFonts w:eastAsia="Calibri"/>
              </w:rPr>
              <w:t>122,163</w:t>
            </w:r>
          </w:p>
        </w:tc>
        <w:tc>
          <w:tcPr>
            <w:tcW w:w="1094" w:type="dxa"/>
            <w:shd w:val="clear" w:color="auto" w:fill="FFFFFF"/>
            <w:tcMar>
              <w:top w:w="0" w:type="dxa"/>
              <w:left w:w="85" w:type="dxa"/>
              <w:bottom w:w="0" w:type="dxa"/>
              <w:right w:w="85" w:type="dxa"/>
            </w:tcMar>
            <w:vAlign w:val="center"/>
          </w:tcPr>
          <w:p w14:paraId="63C6771A" w14:textId="77777777" w:rsidR="00447423" w:rsidRPr="002A3CBE" w:rsidRDefault="00447423" w:rsidP="00F16E23">
            <w:pPr>
              <w:pStyle w:val="TableText"/>
              <w:spacing w:before="20" w:after="20"/>
              <w:jc w:val="right"/>
              <w:rPr>
                <w:rFonts w:eastAsia="Calibri"/>
              </w:rPr>
            </w:pPr>
            <w:r w:rsidRPr="002A3CBE">
              <w:rPr>
                <w:rFonts w:asciiTheme="minorHAnsi" w:eastAsia="Calibri" w:hAnsiTheme="minorHAnsi" w:cstheme="minorHAnsi"/>
              </w:rPr>
              <w:t>–</w:t>
            </w:r>
          </w:p>
        </w:tc>
        <w:tc>
          <w:tcPr>
            <w:tcW w:w="1094" w:type="dxa"/>
            <w:shd w:val="clear" w:color="auto" w:fill="FFFFFF"/>
            <w:tcMar>
              <w:top w:w="0" w:type="dxa"/>
              <w:left w:w="85" w:type="dxa"/>
              <w:bottom w:w="0" w:type="dxa"/>
              <w:right w:w="85" w:type="dxa"/>
            </w:tcMar>
            <w:vAlign w:val="center"/>
          </w:tcPr>
          <w:p w14:paraId="4FD408D2" w14:textId="77777777" w:rsidR="00447423" w:rsidRPr="002A3CBE" w:rsidRDefault="00447423" w:rsidP="00F16E23">
            <w:pPr>
              <w:pStyle w:val="TableText"/>
              <w:spacing w:before="20" w:after="20"/>
              <w:jc w:val="right"/>
              <w:rPr>
                <w:rFonts w:eastAsia="Calibri"/>
              </w:rPr>
            </w:pPr>
            <w:r w:rsidRPr="002A3CBE">
              <w:rPr>
                <w:rFonts w:eastAsia="Calibri"/>
              </w:rPr>
              <w:t>6.1</w:t>
            </w:r>
          </w:p>
        </w:tc>
        <w:tc>
          <w:tcPr>
            <w:tcW w:w="1094" w:type="dxa"/>
            <w:shd w:val="clear" w:color="auto" w:fill="FFFFFF"/>
            <w:tcMar>
              <w:top w:w="0" w:type="dxa"/>
              <w:left w:w="85" w:type="dxa"/>
              <w:bottom w:w="0" w:type="dxa"/>
              <w:right w:w="85" w:type="dxa"/>
            </w:tcMar>
            <w:vAlign w:val="center"/>
          </w:tcPr>
          <w:p w14:paraId="14633B1B" w14:textId="77777777" w:rsidR="00447423" w:rsidRPr="002A3CBE" w:rsidRDefault="00447423" w:rsidP="00F16E23">
            <w:pPr>
              <w:pStyle w:val="TableText"/>
              <w:spacing w:before="20" w:after="20"/>
              <w:jc w:val="right"/>
              <w:rPr>
                <w:rFonts w:eastAsia="Calibri"/>
              </w:rPr>
            </w:pPr>
            <w:r w:rsidRPr="002A3CBE">
              <w:rPr>
                <w:rFonts w:eastAsia="Calibri"/>
              </w:rPr>
              <w:t>-855.2</w:t>
            </w:r>
          </w:p>
        </w:tc>
        <w:tc>
          <w:tcPr>
            <w:tcW w:w="1094" w:type="dxa"/>
            <w:shd w:val="clear" w:color="auto" w:fill="FFFFFF"/>
            <w:tcMar>
              <w:top w:w="0" w:type="dxa"/>
              <w:left w:w="85" w:type="dxa"/>
              <w:bottom w:w="0" w:type="dxa"/>
              <w:right w:w="85" w:type="dxa"/>
            </w:tcMar>
            <w:vAlign w:val="center"/>
          </w:tcPr>
          <w:p w14:paraId="3DDF33FB" w14:textId="77777777" w:rsidR="00447423" w:rsidRPr="002A3CBE" w:rsidRDefault="00447423" w:rsidP="00F16E23">
            <w:pPr>
              <w:pStyle w:val="TableText"/>
              <w:spacing w:before="20" w:after="20"/>
              <w:jc w:val="right"/>
              <w:rPr>
                <w:rFonts w:eastAsia="Calibri"/>
              </w:rPr>
            </w:pPr>
            <w:r w:rsidRPr="002A3CBE">
              <w:rPr>
                <w:rFonts w:eastAsia="Calibri"/>
              </w:rPr>
              <w:t>-14,137.4</w:t>
            </w:r>
          </w:p>
        </w:tc>
      </w:tr>
      <w:tr w:rsidR="00447423" w:rsidRPr="002A3CBE" w14:paraId="0857D1D3" w14:textId="77777777" w:rsidTr="00F16E23">
        <w:tc>
          <w:tcPr>
            <w:tcW w:w="1928" w:type="dxa"/>
            <w:shd w:val="clear" w:color="auto" w:fill="FFFFFF"/>
            <w:tcMar>
              <w:top w:w="0" w:type="dxa"/>
              <w:left w:w="85" w:type="dxa"/>
              <w:bottom w:w="0" w:type="dxa"/>
              <w:right w:w="85" w:type="dxa"/>
            </w:tcMar>
            <w:vAlign w:val="center"/>
          </w:tcPr>
          <w:p w14:paraId="619A38E1" w14:textId="77777777" w:rsidR="00447423" w:rsidRPr="002A3CBE" w:rsidRDefault="00447423" w:rsidP="00F16E23">
            <w:pPr>
              <w:pStyle w:val="Tableboldblue"/>
              <w:spacing w:before="20" w:after="20"/>
              <w:rPr>
                <w:rFonts w:eastAsia="Calibri"/>
              </w:rPr>
            </w:pPr>
            <w:r w:rsidRPr="002A3CBE">
              <w:rPr>
                <w:rFonts w:eastAsia="Calibri"/>
              </w:rPr>
              <w:t>Total</w:t>
            </w:r>
          </w:p>
        </w:tc>
        <w:tc>
          <w:tcPr>
            <w:tcW w:w="1094" w:type="dxa"/>
            <w:shd w:val="clear" w:color="auto" w:fill="FFFFFF"/>
            <w:tcMar>
              <w:top w:w="0" w:type="dxa"/>
              <w:left w:w="85" w:type="dxa"/>
              <w:bottom w:w="0" w:type="dxa"/>
              <w:right w:w="85" w:type="dxa"/>
            </w:tcMar>
            <w:vAlign w:val="center"/>
          </w:tcPr>
          <w:p w14:paraId="7484FA6F" w14:textId="77777777" w:rsidR="00447423" w:rsidRPr="002A3CBE" w:rsidRDefault="00447423" w:rsidP="00F16E23">
            <w:pPr>
              <w:pStyle w:val="Tableboldblue"/>
              <w:spacing w:before="20" w:after="20"/>
              <w:jc w:val="right"/>
              <w:rPr>
                <w:rFonts w:eastAsia="Calibri"/>
              </w:rPr>
            </w:pPr>
            <w:r w:rsidRPr="002A3CBE">
              <w:rPr>
                <w:rFonts w:eastAsia="Calibri"/>
              </w:rPr>
              <w:t>9,359,968</w:t>
            </w:r>
          </w:p>
        </w:tc>
        <w:tc>
          <w:tcPr>
            <w:tcW w:w="1094" w:type="dxa"/>
            <w:shd w:val="clear" w:color="auto" w:fill="FFFFFF"/>
            <w:tcMar>
              <w:top w:w="0" w:type="dxa"/>
              <w:left w:w="85" w:type="dxa"/>
              <w:bottom w:w="0" w:type="dxa"/>
              <w:right w:w="85" w:type="dxa"/>
            </w:tcMar>
            <w:vAlign w:val="center"/>
          </w:tcPr>
          <w:p w14:paraId="2C886757" w14:textId="77777777" w:rsidR="00447423" w:rsidRPr="002A3CBE" w:rsidRDefault="00447423" w:rsidP="00F16E23">
            <w:pPr>
              <w:pStyle w:val="Tableboldblue"/>
              <w:spacing w:before="20" w:after="20"/>
              <w:jc w:val="right"/>
              <w:rPr>
                <w:rFonts w:eastAsia="Calibri"/>
              </w:rPr>
            </w:pPr>
            <w:r w:rsidRPr="002A3CBE">
              <w:rPr>
                <w:rFonts w:eastAsia="Calibri"/>
              </w:rPr>
              <w:t>10,254,242</w:t>
            </w:r>
          </w:p>
        </w:tc>
        <w:tc>
          <w:tcPr>
            <w:tcW w:w="1094" w:type="dxa"/>
            <w:shd w:val="clear" w:color="auto" w:fill="FFFFFF"/>
            <w:tcMar>
              <w:top w:w="0" w:type="dxa"/>
              <w:left w:w="85" w:type="dxa"/>
              <w:bottom w:w="0" w:type="dxa"/>
              <w:right w:w="85" w:type="dxa"/>
            </w:tcMar>
            <w:vAlign w:val="center"/>
          </w:tcPr>
          <w:p w14:paraId="07F1478E" w14:textId="77777777" w:rsidR="00447423" w:rsidRPr="002A3CBE" w:rsidRDefault="00447423" w:rsidP="00F16E23">
            <w:pPr>
              <w:pStyle w:val="Tableboldblue"/>
              <w:spacing w:before="20" w:after="20"/>
              <w:jc w:val="right"/>
              <w:rPr>
                <w:rFonts w:eastAsia="Calibri"/>
              </w:rPr>
            </w:pPr>
            <w:r w:rsidRPr="002A3CBE">
              <w:rPr>
                <w:rFonts w:eastAsia="Calibri"/>
              </w:rPr>
              <w:t>9.6</w:t>
            </w:r>
          </w:p>
        </w:tc>
        <w:tc>
          <w:tcPr>
            <w:tcW w:w="1094" w:type="dxa"/>
            <w:shd w:val="clear" w:color="auto" w:fill="FFFFFF"/>
            <w:tcMar>
              <w:top w:w="0" w:type="dxa"/>
              <w:left w:w="85" w:type="dxa"/>
              <w:bottom w:w="0" w:type="dxa"/>
              <w:right w:w="85" w:type="dxa"/>
            </w:tcMar>
            <w:vAlign w:val="center"/>
          </w:tcPr>
          <w:p w14:paraId="4E52C8FC" w14:textId="77777777" w:rsidR="00447423" w:rsidRPr="002A3CBE" w:rsidRDefault="00447423" w:rsidP="00F16E23">
            <w:pPr>
              <w:pStyle w:val="Tableboldblue"/>
              <w:spacing w:before="20" w:after="20"/>
              <w:jc w:val="right"/>
              <w:rPr>
                <w:rFonts w:eastAsia="Calibri"/>
              </w:rPr>
            </w:pPr>
            <w:r w:rsidRPr="002A3CBE">
              <w:rPr>
                <w:rFonts w:eastAsia="Calibri"/>
              </w:rPr>
              <w:t>-23,580.7</w:t>
            </w:r>
          </w:p>
        </w:tc>
        <w:tc>
          <w:tcPr>
            <w:tcW w:w="1094" w:type="dxa"/>
            <w:shd w:val="clear" w:color="auto" w:fill="FFFFFF"/>
            <w:tcMar>
              <w:top w:w="0" w:type="dxa"/>
              <w:left w:w="85" w:type="dxa"/>
              <w:bottom w:w="0" w:type="dxa"/>
              <w:right w:w="85" w:type="dxa"/>
            </w:tcMar>
            <w:vAlign w:val="center"/>
          </w:tcPr>
          <w:p w14:paraId="58F54070" w14:textId="77777777" w:rsidR="00447423" w:rsidRPr="002A3CBE" w:rsidRDefault="00447423" w:rsidP="00F16E23">
            <w:pPr>
              <w:pStyle w:val="Tableboldblue"/>
              <w:spacing w:before="20" w:after="20"/>
              <w:jc w:val="right"/>
              <w:rPr>
                <w:rFonts w:eastAsia="Calibri"/>
              </w:rPr>
            </w:pPr>
            <w:r w:rsidRPr="002A3CBE">
              <w:rPr>
                <w:rFonts w:eastAsia="Calibri"/>
              </w:rPr>
              <w:t>-18,775.7</w:t>
            </w:r>
          </w:p>
        </w:tc>
        <w:tc>
          <w:tcPr>
            <w:tcW w:w="1094" w:type="dxa"/>
            <w:shd w:val="clear" w:color="auto" w:fill="FFFFFF"/>
            <w:tcMar>
              <w:top w:w="0" w:type="dxa"/>
              <w:left w:w="85" w:type="dxa"/>
              <w:bottom w:w="0" w:type="dxa"/>
              <w:right w:w="85" w:type="dxa"/>
            </w:tcMar>
            <w:vAlign w:val="center"/>
          </w:tcPr>
          <w:p w14:paraId="53B6012C" w14:textId="77777777" w:rsidR="00447423" w:rsidRPr="002A3CBE" w:rsidRDefault="00447423" w:rsidP="00F16E23">
            <w:pPr>
              <w:pStyle w:val="Tableboldblue"/>
              <w:spacing w:before="20" w:after="20"/>
              <w:jc w:val="right"/>
              <w:rPr>
                <w:rFonts w:eastAsia="Calibri"/>
              </w:rPr>
            </w:pPr>
            <w:r w:rsidRPr="002A3CBE">
              <w:rPr>
                <w:rFonts w:eastAsia="Calibri"/>
              </w:rPr>
              <w:t>20.4</w:t>
            </w:r>
          </w:p>
        </w:tc>
      </w:tr>
    </w:tbl>
    <w:p w14:paraId="2C194127" w14:textId="77777777" w:rsidR="00447423" w:rsidRPr="002A3CBE" w:rsidRDefault="00447423" w:rsidP="00447423">
      <w:pPr>
        <w:pStyle w:val="Noteundertable"/>
      </w:pPr>
      <w:r w:rsidRPr="002A3CBE">
        <w:rPr>
          <w:b/>
        </w:rPr>
        <w:t>Note:</w:t>
      </w:r>
      <w:r w:rsidRPr="002A3CBE">
        <w:tab/>
        <w:t xml:space="preserve">Net area in 1990 is as at 1 January 1990; net area in 2024 is as at 31 December 2024. Net area values include land in a state of conversion to forest (due to land-use change before 1990) and afforestation since 1990. Net emissions estimates are for the whole year indicated. Columns may not total due to rounding. Emissions associated with the conversion of forest to other land uses are reported in the land use category the land is converted to. </w:t>
      </w:r>
    </w:p>
    <w:p w14:paraId="5FE5432B" w14:textId="77777777" w:rsidR="00447423" w:rsidRPr="002A3CBE" w:rsidRDefault="00447423" w:rsidP="00447423">
      <w:pPr>
        <w:pStyle w:val="BodyText"/>
        <w:spacing w:before="100" w:after="100"/>
      </w:pPr>
      <w:r w:rsidRPr="002A3CBE">
        <w:t>Table 6.4.3 shows New Zealand’s carbon stock change by carbon pool and forest land type within the</w:t>
      </w:r>
      <w:r w:rsidRPr="002A3CBE">
        <w:rPr>
          <w:rFonts w:cs="Arial Bold"/>
        </w:rPr>
        <w:t xml:space="preserve"> </w:t>
      </w:r>
      <w:r w:rsidRPr="002A3CBE">
        <w:rPr>
          <w:rFonts w:cs="Arial Bold"/>
          <w:i/>
        </w:rPr>
        <w:t>Forest</w:t>
      </w:r>
      <w:r w:rsidRPr="002A3CBE">
        <w:rPr>
          <w:i/>
        </w:rPr>
        <w:t xml:space="preserve"> land</w:t>
      </w:r>
      <w:r w:rsidRPr="002A3CBE">
        <w:t xml:space="preserve"> category from 1990 to 2024. Over this period, the total carbon stock stored in </w:t>
      </w:r>
      <w:r w:rsidRPr="002A3CBE">
        <w:rPr>
          <w:i/>
        </w:rPr>
        <w:t>Forest land</w:t>
      </w:r>
      <w:r w:rsidRPr="002A3CBE">
        <w:t xml:space="preserve"> has increased by 238,190.1 kt C, equivalent to emissions of </w:t>
      </w:r>
      <w:r w:rsidRPr="002A3CBE">
        <w:br/>
        <w:t>-873,363.8 tonnes CO</w:t>
      </w:r>
      <w:r w:rsidRPr="002A3CBE">
        <w:rPr>
          <w:vertAlign w:val="subscript"/>
        </w:rPr>
        <w:t>2</w:t>
      </w:r>
      <w:r w:rsidRPr="002A3CBE">
        <w:t xml:space="preserve"> since 1990. </w:t>
      </w:r>
    </w:p>
    <w:p w14:paraId="794EA5D4" w14:textId="77777777" w:rsidR="00447423" w:rsidRPr="002A3CBE" w:rsidRDefault="00447423" w:rsidP="00447423">
      <w:pPr>
        <w:pStyle w:val="Table"/>
      </w:pPr>
      <w:bookmarkStart w:id="1874" w:name="_Toc280630454"/>
      <w:bookmarkStart w:id="1875" w:name="_Toc310423406"/>
      <w:bookmarkStart w:id="1876" w:name="_Toc318362699"/>
      <w:bookmarkStart w:id="1877" w:name="_Toc342470761"/>
      <w:bookmarkStart w:id="1878" w:name="_Toc352505001"/>
      <w:bookmarkStart w:id="1879" w:name="_Toc373395726"/>
      <w:bookmarkStart w:id="1880" w:name="_Toc378853292"/>
      <w:bookmarkStart w:id="1881" w:name="_Toc391024090"/>
      <w:bookmarkStart w:id="1882" w:name="_Toc410028833"/>
      <w:bookmarkStart w:id="1883" w:name="_Toc414531461"/>
      <w:bookmarkStart w:id="1884" w:name="_Toc443645374"/>
      <w:bookmarkStart w:id="1885" w:name="_Toc474914593"/>
      <w:bookmarkStart w:id="1886" w:name="_Toc481751557"/>
      <w:bookmarkStart w:id="1887" w:name="_Toc522010614"/>
      <w:bookmarkStart w:id="1888" w:name="_Toc5269519"/>
      <w:bookmarkStart w:id="1889" w:name="_Toc33529393"/>
      <w:bookmarkStart w:id="1890" w:name="_Toc36224599"/>
      <w:bookmarkStart w:id="1891" w:name="_Toc158979951"/>
      <w:bookmarkStart w:id="1892" w:name="_Toc164153884"/>
      <w:bookmarkStart w:id="1893" w:name="_Toc190873118"/>
      <w:bookmarkStart w:id="1894" w:name="_Toc194241757"/>
      <w:bookmarkStart w:id="1895" w:name="_Toc222837908"/>
      <w:bookmarkStart w:id="1896" w:name="_Toc226669054"/>
      <w:bookmarkStart w:id="1897" w:name="_Toc131591393"/>
      <w:r w:rsidRPr="002A3CBE">
        <w:t>Table 6.4.3</w:t>
      </w:r>
      <w:r w:rsidRPr="002A3CBE">
        <w:tab/>
        <w:t>New Zealand’s net carbon stock change by carbon pool for the</w:t>
      </w:r>
      <w:r w:rsidRPr="002A3CBE">
        <w:rPr>
          <w:rFonts w:cs="Arial Bold"/>
        </w:rPr>
        <w:t xml:space="preserve"> </w:t>
      </w:r>
      <w:r w:rsidRPr="002A3CBE">
        <w:rPr>
          <w:rFonts w:cs="Arial Bold"/>
          <w:i/>
        </w:rPr>
        <w:t>Forest</w:t>
      </w:r>
      <w:r w:rsidRPr="002A3CBE">
        <w:rPr>
          <w:i/>
        </w:rPr>
        <w:t xml:space="preserve"> land </w:t>
      </w:r>
      <w:r w:rsidRPr="002A3CBE">
        <w:t>category,</w:t>
      </w:r>
      <w:r w:rsidRPr="002A3CBE">
        <w:br/>
        <w:t>from 1990 to</w:t>
      </w:r>
      <w:bookmarkEnd w:id="1874"/>
      <w:bookmarkEnd w:id="1875"/>
      <w:bookmarkEnd w:id="1876"/>
      <w:bookmarkEnd w:id="1877"/>
      <w:bookmarkEnd w:id="1878"/>
      <w:bookmarkEnd w:id="1879"/>
      <w:bookmarkEnd w:id="1880"/>
      <w:bookmarkEnd w:id="1881"/>
      <w:r w:rsidRPr="002A3CBE">
        <w:t> </w:t>
      </w:r>
      <w:bookmarkEnd w:id="1882"/>
      <w:bookmarkEnd w:id="1883"/>
      <w:bookmarkEnd w:id="1884"/>
      <w:bookmarkEnd w:id="1885"/>
      <w:bookmarkEnd w:id="1886"/>
      <w:bookmarkEnd w:id="1887"/>
      <w:bookmarkEnd w:id="1888"/>
      <w:bookmarkEnd w:id="1889"/>
      <w:bookmarkEnd w:id="1890"/>
      <w:bookmarkEnd w:id="1891"/>
      <w:bookmarkEnd w:id="1892"/>
      <w:r w:rsidRPr="002A3CBE">
        <w:t>2024</w:t>
      </w:r>
      <w:bookmarkEnd w:id="1893"/>
      <w:bookmarkEnd w:id="1894"/>
      <w:bookmarkEnd w:id="1895"/>
      <w:bookmarkEnd w:id="1896"/>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843"/>
        <w:gridCol w:w="1276"/>
        <w:gridCol w:w="1559"/>
        <w:gridCol w:w="992"/>
        <w:gridCol w:w="993"/>
        <w:gridCol w:w="1842"/>
      </w:tblGrid>
      <w:tr w:rsidR="00447423" w:rsidRPr="002A3CBE" w14:paraId="7F30B087" w14:textId="77777777" w:rsidTr="00F16E23">
        <w:trPr>
          <w:tblHeader/>
        </w:trPr>
        <w:tc>
          <w:tcPr>
            <w:tcW w:w="1843" w:type="dxa"/>
            <w:shd w:val="clear" w:color="auto" w:fill="1B556B"/>
            <w:tcMar>
              <w:top w:w="0" w:type="dxa"/>
              <w:left w:w="85" w:type="dxa"/>
              <w:bottom w:w="0" w:type="dxa"/>
              <w:right w:w="85" w:type="dxa"/>
            </w:tcMar>
            <w:vAlign w:val="center"/>
          </w:tcPr>
          <w:p w14:paraId="593CB4B8" w14:textId="77777777" w:rsidR="00447423" w:rsidRPr="002A3CBE" w:rsidRDefault="00447423" w:rsidP="00F16E23">
            <w:pPr>
              <w:pStyle w:val="TableTextBold"/>
              <w:keepNext/>
              <w:spacing w:before="40" w:after="0"/>
              <w:rPr>
                <w:rFonts w:eastAsia="Calibri"/>
                <w:noProof w:val="0"/>
                <w:color w:val="FFFFFF" w:themeColor="background1"/>
              </w:rPr>
            </w:pPr>
          </w:p>
        </w:tc>
        <w:tc>
          <w:tcPr>
            <w:tcW w:w="4820" w:type="dxa"/>
            <w:gridSpan w:val="4"/>
            <w:shd w:val="clear" w:color="auto" w:fill="1B556B"/>
            <w:tcMar>
              <w:top w:w="0" w:type="dxa"/>
              <w:left w:w="85" w:type="dxa"/>
              <w:bottom w:w="0" w:type="dxa"/>
              <w:right w:w="85" w:type="dxa"/>
            </w:tcMar>
            <w:vAlign w:val="center"/>
          </w:tcPr>
          <w:p w14:paraId="08EDD6AE" w14:textId="77777777" w:rsidR="00447423" w:rsidRPr="002A3CBE" w:rsidRDefault="00447423" w:rsidP="00F16E23">
            <w:pPr>
              <w:pStyle w:val="TableTextBold"/>
              <w:keepNext/>
              <w:spacing w:before="40" w:after="0"/>
              <w:jc w:val="center"/>
              <w:rPr>
                <w:rFonts w:eastAsia="Calibri"/>
                <w:noProof w:val="0"/>
                <w:color w:val="FFFFFF" w:themeColor="background1"/>
              </w:rPr>
            </w:pPr>
            <w:r w:rsidRPr="002A3CBE">
              <w:rPr>
                <w:rFonts w:eastAsia="Calibri"/>
                <w:noProof w:val="0"/>
                <w:color w:val="FFFFFF" w:themeColor="background1"/>
              </w:rPr>
              <w:t>Net carbon stock change 1990–2024 (kt C)</w:t>
            </w:r>
          </w:p>
        </w:tc>
        <w:tc>
          <w:tcPr>
            <w:tcW w:w="1842" w:type="dxa"/>
            <w:shd w:val="clear" w:color="auto" w:fill="1B556B"/>
            <w:tcMar>
              <w:top w:w="0" w:type="dxa"/>
              <w:left w:w="85" w:type="dxa"/>
              <w:bottom w:w="0" w:type="dxa"/>
              <w:right w:w="85" w:type="dxa"/>
            </w:tcMar>
            <w:vAlign w:val="center"/>
          </w:tcPr>
          <w:p w14:paraId="275190E7" w14:textId="77777777" w:rsidR="00447423" w:rsidRPr="002A3CBE" w:rsidRDefault="00447423" w:rsidP="00F16E23">
            <w:pPr>
              <w:pStyle w:val="TableTextBold"/>
              <w:keepNext/>
              <w:spacing w:before="40" w:after="0"/>
              <w:jc w:val="right"/>
              <w:rPr>
                <w:rFonts w:eastAsia="Calibri"/>
                <w:noProof w:val="0"/>
                <w:color w:val="FFFFFF" w:themeColor="background1"/>
              </w:rPr>
            </w:pPr>
            <w:r w:rsidRPr="002A3CBE">
              <w:rPr>
                <w:rFonts w:eastAsia="Calibri"/>
                <w:noProof w:val="0"/>
                <w:color w:val="FFFFFF" w:themeColor="background1"/>
              </w:rPr>
              <w:t xml:space="preserve">Emissions 1990–2024 </w:t>
            </w:r>
          </w:p>
        </w:tc>
      </w:tr>
      <w:tr w:rsidR="00447423" w:rsidRPr="002A3CBE" w14:paraId="03D2866B" w14:textId="77777777" w:rsidTr="00F16E23">
        <w:trPr>
          <w:tblHeader/>
        </w:trPr>
        <w:tc>
          <w:tcPr>
            <w:tcW w:w="1843" w:type="dxa"/>
            <w:shd w:val="clear" w:color="auto" w:fill="1B556B"/>
            <w:tcMar>
              <w:top w:w="0" w:type="dxa"/>
              <w:left w:w="85" w:type="dxa"/>
              <w:bottom w:w="0" w:type="dxa"/>
              <w:right w:w="85" w:type="dxa"/>
            </w:tcMar>
            <w:vAlign w:val="center"/>
          </w:tcPr>
          <w:p w14:paraId="09F1173E" w14:textId="77777777" w:rsidR="00447423" w:rsidRPr="002A3CBE" w:rsidRDefault="00447423" w:rsidP="00F16E23">
            <w:pPr>
              <w:pStyle w:val="TableTextBold"/>
              <w:keepNext/>
              <w:spacing w:before="40" w:after="40"/>
              <w:rPr>
                <w:rFonts w:eastAsia="Calibri"/>
                <w:noProof w:val="0"/>
                <w:color w:val="FFFFFF" w:themeColor="background1"/>
              </w:rPr>
            </w:pPr>
            <w:r w:rsidRPr="002A3CBE">
              <w:rPr>
                <w:rFonts w:eastAsia="Calibri"/>
                <w:noProof w:val="0"/>
                <w:color w:val="FFFFFF" w:themeColor="background1"/>
              </w:rPr>
              <w:t>Land use</w:t>
            </w:r>
          </w:p>
        </w:tc>
        <w:tc>
          <w:tcPr>
            <w:tcW w:w="1276" w:type="dxa"/>
            <w:shd w:val="clear" w:color="auto" w:fill="1B556B"/>
            <w:tcMar>
              <w:top w:w="0" w:type="dxa"/>
              <w:left w:w="85" w:type="dxa"/>
              <w:bottom w:w="0" w:type="dxa"/>
              <w:right w:w="85" w:type="dxa"/>
            </w:tcMar>
            <w:vAlign w:val="center"/>
          </w:tcPr>
          <w:p w14:paraId="01156418"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Living biomass</w:t>
            </w:r>
          </w:p>
        </w:tc>
        <w:tc>
          <w:tcPr>
            <w:tcW w:w="1559" w:type="dxa"/>
            <w:shd w:val="clear" w:color="auto" w:fill="1B556B"/>
            <w:tcMar>
              <w:top w:w="0" w:type="dxa"/>
              <w:left w:w="85" w:type="dxa"/>
              <w:bottom w:w="0" w:type="dxa"/>
              <w:right w:w="85" w:type="dxa"/>
            </w:tcMar>
            <w:vAlign w:val="center"/>
          </w:tcPr>
          <w:p w14:paraId="2CAD9388"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Dead organic matter</w:t>
            </w:r>
          </w:p>
        </w:tc>
        <w:tc>
          <w:tcPr>
            <w:tcW w:w="992" w:type="dxa"/>
            <w:shd w:val="clear" w:color="auto" w:fill="1B556B"/>
            <w:tcMar>
              <w:top w:w="0" w:type="dxa"/>
              <w:left w:w="85" w:type="dxa"/>
              <w:bottom w:w="0" w:type="dxa"/>
              <w:right w:w="85" w:type="dxa"/>
            </w:tcMar>
            <w:vAlign w:val="center"/>
          </w:tcPr>
          <w:p w14:paraId="1A01A5B2"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Soils</w:t>
            </w:r>
          </w:p>
        </w:tc>
        <w:tc>
          <w:tcPr>
            <w:tcW w:w="993" w:type="dxa"/>
            <w:shd w:val="clear" w:color="auto" w:fill="1B556B"/>
            <w:tcMar>
              <w:top w:w="0" w:type="dxa"/>
              <w:left w:w="85" w:type="dxa"/>
              <w:bottom w:w="0" w:type="dxa"/>
              <w:right w:w="85" w:type="dxa"/>
            </w:tcMar>
            <w:vAlign w:val="center"/>
          </w:tcPr>
          <w:p w14:paraId="4C3E621C"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Total</w:t>
            </w:r>
          </w:p>
        </w:tc>
        <w:tc>
          <w:tcPr>
            <w:tcW w:w="1842" w:type="dxa"/>
            <w:shd w:val="clear" w:color="auto" w:fill="1B556B"/>
            <w:tcMar>
              <w:top w:w="0" w:type="dxa"/>
              <w:left w:w="85" w:type="dxa"/>
              <w:bottom w:w="0" w:type="dxa"/>
              <w:right w:w="85" w:type="dxa"/>
            </w:tcMar>
            <w:vAlign w:val="center"/>
          </w:tcPr>
          <w:p w14:paraId="1046B676" w14:textId="77777777" w:rsidR="00447423" w:rsidRPr="002A3CBE" w:rsidRDefault="00447423" w:rsidP="00F16E23">
            <w:pPr>
              <w:pStyle w:val="TableTextBold"/>
              <w:keepNext/>
              <w:spacing w:before="40" w:after="40"/>
              <w:jc w:val="right"/>
              <w:rPr>
                <w:rFonts w:eastAsia="Calibri"/>
                <w:noProof w:val="0"/>
                <w:color w:val="FFFFFF" w:themeColor="background1"/>
              </w:rPr>
            </w:pPr>
            <w:r w:rsidRPr="002A3CBE">
              <w:rPr>
                <w:rFonts w:eastAsia="Calibri"/>
                <w:noProof w:val="0"/>
                <w:color w:val="FFFFFF" w:themeColor="background1"/>
              </w:rPr>
              <w:t>(kt CO₂)</w:t>
            </w:r>
          </w:p>
        </w:tc>
      </w:tr>
      <w:tr w:rsidR="00447423" w:rsidRPr="002A3CBE" w14:paraId="23C59EF0" w14:textId="77777777" w:rsidTr="00F16E23">
        <w:tc>
          <w:tcPr>
            <w:tcW w:w="1843" w:type="dxa"/>
            <w:shd w:val="clear" w:color="auto" w:fill="FFFFFF"/>
            <w:tcMar>
              <w:top w:w="0" w:type="dxa"/>
              <w:left w:w="85" w:type="dxa"/>
              <w:bottom w:w="0" w:type="dxa"/>
              <w:right w:w="85" w:type="dxa"/>
            </w:tcMar>
            <w:vAlign w:val="center"/>
          </w:tcPr>
          <w:p w14:paraId="3E7B572A" w14:textId="77777777" w:rsidR="00447423" w:rsidRPr="002A3CBE" w:rsidRDefault="00447423" w:rsidP="00F16E23">
            <w:pPr>
              <w:pStyle w:val="TableText"/>
              <w:keepNext/>
              <w:spacing w:before="40" w:after="40"/>
              <w:rPr>
                <w:rFonts w:eastAsia="Calibri"/>
              </w:rPr>
            </w:pPr>
            <w:r w:rsidRPr="002A3CBE">
              <w:rPr>
                <w:rFonts w:eastAsia="Calibri"/>
              </w:rPr>
              <w:t>Pre-1990 natural forest</w:t>
            </w:r>
          </w:p>
        </w:tc>
        <w:tc>
          <w:tcPr>
            <w:tcW w:w="1276" w:type="dxa"/>
            <w:shd w:val="clear" w:color="auto" w:fill="FFFFFF"/>
            <w:tcMar>
              <w:top w:w="0" w:type="dxa"/>
              <w:left w:w="85" w:type="dxa"/>
              <w:bottom w:w="0" w:type="dxa"/>
              <w:right w:w="85" w:type="dxa"/>
            </w:tcMar>
            <w:vAlign w:val="center"/>
          </w:tcPr>
          <w:p w14:paraId="1CCBCB1D" w14:textId="77777777" w:rsidR="00447423" w:rsidRPr="002A3CBE" w:rsidRDefault="00447423" w:rsidP="00F16E23">
            <w:pPr>
              <w:pStyle w:val="TableText"/>
              <w:keepNext/>
              <w:spacing w:before="40" w:after="40"/>
              <w:jc w:val="right"/>
              <w:rPr>
                <w:rFonts w:eastAsia="Calibri"/>
              </w:rPr>
            </w:pPr>
            <w:r w:rsidRPr="002A3CBE">
              <w:rPr>
                <w:rFonts w:eastAsia="Calibri"/>
              </w:rPr>
              <w:t>11,782.3</w:t>
            </w:r>
          </w:p>
        </w:tc>
        <w:tc>
          <w:tcPr>
            <w:tcW w:w="1559" w:type="dxa"/>
            <w:shd w:val="clear" w:color="auto" w:fill="FFFFFF"/>
            <w:tcMar>
              <w:top w:w="0" w:type="dxa"/>
              <w:left w:w="85" w:type="dxa"/>
              <w:bottom w:w="0" w:type="dxa"/>
              <w:right w:w="85" w:type="dxa"/>
            </w:tcMar>
            <w:vAlign w:val="center"/>
          </w:tcPr>
          <w:p w14:paraId="513BDDBE" w14:textId="77777777" w:rsidR="00447423" w:rsidRPr="002A3CBE" w:rsidRDefault="00447423" w:rsidP="00F16E23">
            <w:pPr>
              <w:pStyle w:val="TableText"/>
              <w:keepNext/>
              <w:spacing w:before="40" w:after="40"/>
              <w:jc w:val="right"/>
              <w:rPr>
                <w:rFonts w:eastAsia="Calibri"/>
              </w:rPr>
            </w:pPr>
            <w:r w:rsidRPr="002A3CBE">
              <w:rPr>
                <w:rFonts w:eastAsia="Calibri"/>
              </w:rPr>
              <w:t>1,159.4</w:t>
            </w:r>
          </w:p>
        </w:tc>
        <w:tc>
          <w:tcPr>
            <w:tcW w:w="992" w:type="dxa"/>
            <w:shd w:val="clear" w:color="auto" w:fill="FFFFFF"/>
            <w:tcMar>
              <w:top w:w="0" w:type="dxa"/>
              <w:left w:w="85" w:type="dxa"/>
              <w:bottom w:w="0" w:type="dxa"/>
              <w:right w:w="85" w:type="dxa"/>
            </w:tcMar>
            <w:vAlign w:val="center"/>
          </w:tcPr>
          <w:p w14:paraId="00B6A36F" w14:textId="77777777" w:rsidR="00447423" w:rsidRPr="002A3CBE" w:rsidRDefault="00447423" w:rsidP="00F16E23">
            <w:pPr>
              <w:pStyle w:val="TableText"/>
              <w:keepNext/>
              <w:spacing w:before="40" w:after="40"/>
              <w:jc w:val="right"/>
              <w:rPr>
                <w:rFonts w:eastAsia="Calibri"/>
              </w:rPr>
            </w:pPr>
            <w:r w:rsidRPr="002A3CBE">
              <w:rPr>
                <w:rFonts w:eastAsia="Calibri"/>
              </w:rPr>
              <w:t>-135.8</w:t>
            </w:r>
          </w:p>
        </w:tc>
        <w:tc>
          <w:tcPr>
            <w:tcW w:w="993" w:type="dxa"/>
            <w:shd w:val="clear" w:color="auto" w:fill="FFFFFF"/>
            <w:tcMar>
              <w:top w:w="0" w:type="dxa"/>
              <w:left w:w="85" w:type="dxa"/>
              <w:bottom w:w="0" w:type="dxa"/>
              <w:right w:w="85" w:type="dxa"/>
            </w:tcMar>
            <w:vAlign w:val="center"/>
          </w:tcPr>
          <w:p w14:paraId="79A891E4" w14:textId="77777777" w:rsidR="00447423" w:rsidRPr="002A3CBE" w:rsidRDefault="00447423" w:rsidP="00F16E23">
            <w:pPr>
              <w:pStyle w:val="TableText"/>
              <w:keepNext/>
              <w:spacing w:before="40" w:after="40"/>
              <w:jc w:val="right"/>
              <w:rPr>
                <w:rFonts w:eastAsia="Calibri"/>
              </w:rPr>
            </w:pPr>
            <w:r w:rsidRPr="002A3CBE">
              <w:rPr>
                <w:rFonts w:eastAsia="Calibri"/>
              </w:rPr>
              <w:t>12,805.8</w:t>
            </w:r>
          </w:p>
        </w:tc>
        <w:tc>
          <w:tcPr>
            <w:tcW w:w="1842" w:type="dxa"/>
            <w:shd w:val="clear" w:color="auto" w:fill="FFFFFF"/>
            <w:tcMar>
              <w:top w:w="0" w:type="dxa"/>
              <w:left w:w="85" w:type="dxa"/>
              <w:bottom w:w="0" w:type="dxa"/>
              <w:right w:w="85" w:type="dxa"/>
            </w:tcMar>
            <w:vAlign w:val="center"/>
          </w:tcPr>
          <w:p w14:paraId="52F1DD5A" w14:textId="77777777" w:rsidR="00447423" w:rsidRPr="002A3CBE" w:rsidRDefault="00447423" w:rsidP="00F16E23">
            <w:pPr>
              <w:pStyle w:val="TableText"/>
              <w:keepNext/>
              <w:spacing w:before="40" w:after="40"/>
              <w:jc w:val="right"/>
              <w:rPr>
                <w:rFonts w:eastAsia="Calibri"/>
              </w:rPr>
            </w:pPr>
            <w:r w:rsidRPr="002A3CBE">
              <w:rPr>
                <w:rFonts w:eastAsia="Calibri"/>
              </w:rPr>
              <w:t>-46,954.7</w:t>
            </w:r>
          </w:p>
        </w:tc>
      </w:tr>
      <w:tr w:rsidR="00447423" w:rsidRPr="002A3CBE" w14:paraId="2904FAC8" w14:textId="77777777" w:rsidTr="002E3A1E">
        <w:tc>
          <w:tcPr>
            <w:tcW w:w="1843" w:type="dxa"/>
            <w:tcBorders>
              <w:bottom w:val="single" w:sz="4" w:space="0" w:color="1B556B"/>
            </w:tcBorders>
            <w:shd w:val="clear" w:color="auto" w:fill="FFFFFF"/>
            <w:tcMar>
              <w:top w:w="0" w:type="dxa"/>
              <w:left w:w="85" w:type="dxa"/>
              <w:bottom w:w="0" w:type="dxa"/>
              <w:right w:w="85" w:type="dxa"/>
            </w:tcMar>
            <w:vAlign w:val="center"/>
          </w:tcPr>
          <w:p w14:paraId="6F6F1D79" w14:textId="77777777" w:rsidR="00447423" w:rsidRPr="002A3CBE" w:rsidRDefault="00447423" w:rsidP="00F16E23">
            <w:pPr>
              <w:pStyle w:val="TableText"/>
              <w:keepNext/>
              <w:spacing w:before="40" w:after="40"/>
              <w:rPr>
                <w:rFonts w:eastAsia="Calibri"/>
              </w:rPr>
            </w:pPr>
            <w:r w:rsidRPr="002A3CBE">
              <w:rPr>
                <w:rFonts w:eastAsia="Calibri"/>
              </w:rPr>
              <w:t>Pre-1990 planted forest</w:t>
            </w:r>
          </w:p>
        </w:tc>
        <w:tc>
          <w:tcPr>
            <w:tcW w:w="1276" w:type="dxa"/>
            <w:tcBorders>
              <w:bottom w:val="single" w:sz="4" w:space="0" w:color="1B556B"/>
            </w:tcBorders>
            <w:shd w:val="clear" w:color="auto" w:fill="FFFFFF"/>
            <w:tcMar>
              <w:top w:w="0" w:type="dxa"/>
              <w:left w:w="85" w:type="dxa"/>
              <w:bottom w:w="0" w:type="dxa"/>
              <w:right w:w="85" w:type="dxa"/>
            </w:tcMar>
            <w:vAlign w:val="center"/>
          </w:tcPr>
          <w:p w14:paraId="14CAA551" w14:textId="77777777" w:rsidR="00447423" w:rsidRPr="002A3CBE" w:rsidRDefault="00447423" w:rsidP="00F16E23">
            <w:pPr>
              <w:pStyle w:val="TableText"/>
              <w:keepNext/>
              <w:spacing w:before="40" w:after="40"/>
              <w:jc w:val="right"/>
              <w:rPr>
                <w:rFonts w:eastAsia="Calibri"/>
              </w:rPr>
            </w:pPr>
            <w:r w:rsidRPr="002A3CBE">
              <w:rPr>
                <w:rFonts w:eastAsia="Calibri"/>
              </w:rPr>
              <w:t>120,834.3</w:t>
            </w:r>
          </w:p>
        </w:tc>
        <w:tc>
          <w:tcPr>
            <w:tcW w:w="1559" w:type="dxa"/>
            <w:tcBorders>
              <w:bottom w:val="single" w:sz="4" w:space="0" w:color="1B556B"/>
            </w:tcBorders>
            <w:shd w:val="clear" w:color="auto" w:fill="FFFFFF"/>
            <w:tcMar>
              <w:top w:w="0" w:type="dxa"/>
              <w:left w:w="85" w:type="dxa"/>
              <w:bottom w:w="0" w:type="dxa"/>
              <w:right w:w="85" w:type="dxa"/>
            </w:tcMar>
            <w:vAlign w:val="center"/>
          </w:tcPr>
          <w:p w14:paraId="3D34DFBB" w14:textId="77777777" w:rsidR="00447423" w:rsidRPr="002A3CBE" w:rsidRDefault="00447423" w:rsidP="00F16E23">
            <w:pPr>
              <w:pStyle w:val="TableText"/>
              <w:keepNext/>
              <w:spacing w:before="40" w:after="40"/>
              <w:jc w:val="right"/>
              <w:rPr>
                <w:rFonts w:eastAsia="Calibri"/>
              </w:rPr>
            </w:pPr>
            <w:r w:rsidRPr="002A3CBE">
              <w:rPr>
                <w:rFonts w:eastAsia="Calibri"/>
              </w:rPr>
              <w:t>16,409.8</w:t>
            </w:r>
          </w:p>
        </w:tc>
        <w:tc>
          <w:tcPr>
            <w:tcW w:w="992" w:type="dxa"/>
            <w:tcBorders>
              <w:bottom w:val="single" w:sz="4" w:space="0" w:color="1B556B"/>
            </w:tcBorders>
            <w:shd w:val="clear" w:color="auto" w:fill="FFFFFF"/>
            <w:tcMar>
              <w:top w:w="0" w:type="dxa"/>
              <w:left w:w="85" w:type="dxa"/>
              <w:bottom w:w="0" w:type="dxa"/>
              <w:right w:w="85" w:type="dxa"/>
            </w:tcMar>
            <w:vAlign w:val="center"/>
          </w:tcPr>
          <w:p w14:paraId="3077D177" w14:textId="77777777" w:rsidR="00447423" w:rsidRPr="002A3CBE" w:rsidRDefault="00447423" w:rsidP="00F16E23">
            <w:pPr>
              <w:pStyle w:val="TableText"/>
              <w:keepNext/>
              <w:spacing w:before="40" w:after="40"/>
              <w:jc w:val="right"/>
              <w:rPr>
                <w:rFonts w:eastAsia="Calibri"/>
              </w:rPr>
            </w:pPr>
            <w:r w:rsidRPr="002A3CBE">
              <w:rPr>
                <w:rFonts w:eastAsia="Calibri"/>
              </w:rPr>
              <w:t>-4,390.3</w:t>
            </w:r>
          </w:p>
        </w:tc>
        <w:tc>
          <w:tcPr>
            <w:tcW w:w="993" w:type="dxa"/>
            <w:tcBorders>
              <w:bottom w:val="single" w:sz="4" w:space="0" w:color="1B556B"/>
            </w:tcBorders>
            <w:shd w:val="clear" w:color="auto" w:fill="FFFFFF"/>
            <w:tcMar>
              <w:top w:w="0" w:type="dxa"/>
              <w:left w:w="85" w:type="dxa"/>
              <w:bottom w:w="0" w:type="dxa"/>
              <w:right w:w="85" w:type="dxa"/>
            </w:tcMar>
            <w:vAlign w:val="center"/>
          </w:tcPr>
          <w:p w14:paraId="7FAB9579" w14:textId="77777777" w:rsidR="00447423" w:rsidRPr="002A3CBE" w:rsidRDefault="00447423" w:rsidP="00F16E23">
            <w:pPr>
              <w:pStyle w:val="TableText"/>
              <w:keepNext/>
              <w:spacing w:before="40" w:after="40"/>
              <w:jc w:val="right"/>
              <w:rPr>
                <w:rFonts w:eastAsia="Calibri"/>
              </w:rPr>
            </w:pPr>
            <w:r w:rsidRPr="002A3CBE">
              <w:rPr>
                <w:rFonts w:eastAsia="Calibri"/>
              </w:rPr>
              <w:t>132,853.8</w:t>
            </w:r>
          </w:p>
        </w:tc>
        <w:tc>
          <w:tcPr>
            <w:tcW w:w="1842" w:type="dxa"/>
            <w:tcBorders>
              <w:bottom w:val="single" w:sz="4" w:space="0" w:color="1B556B"/>
            </w:tcBorders>
            <w:shd w:val="clear" w:color="auto" w:fill="FFFFFF"/>
            <w:tcMar>
              <w:top w:w="0" w:type="dxa"/>
              <w:left w:w="85" w:type="dxa"/>
              <w:bottom w:w="0" w:type="dxa"/>
              <w:right w:w="85" w:type="dxa"/>
            </w:tcMar>
            <w:vAlign w:val="center"/>
          </w:tcPr>
          <w:p w14:paraId="74923B97" w14:textId="77777777" w:rsidR="00447423" w:rsidRPr="002A3CBE" w:rsidRDefault="00447423" w:rsidP="00F16E23">
            <w:pPr>
              <w:pStyle w:val="TableText"/>
              <w:keepNext/>
              <w:spacing w:before="40" w:after="40"/>
              <w:jc w:val="right"/>
              <w:rPr>
                <w:rFonts w:eastAsia="Calibri"/>
              </w:rPr>
            </w:pPr>
            <w:r w:rsidRPr="002A3CBE">
              <w:rPr>
                <w:rFonts w:eastAsia="Calibri"/>
              </w:rPr>
              <w:t>-487,130.7</w:t>
            </w:r>
          </w:p>
        </w:tc>
      </w:tr>
      <w:tr w:rsidR="00447423" w:rsidRPr="002A3CBE" w14:paraId="6B8009C7" w14:textId="77777777" w:rsidTr="00F16E23">
        <w:tc>
          <w:tcPr>
            <w:tcW w:w="1843" w:type="dxa"/>
            <w:shd w:val="clear" w:color="auto" w:fill="FFFFFF"/>
            <w:tcMar>
              <w:top w:w="0" w:type="dxa"/>
              <w:left w:w="85" w:type="dxa"/>
              <w:bottom w:w="0" w:type="dxa"/>
              <w:right w:w="85" w:type="dxa"/>
            </w:tcMar>
            <w:vAlign w:val="center"/>
          </w:tcPr>
          <w:p w14:paraId="3F1585ED" w14:textId="77777777" w:rsidR="00447423" w:rsidRPr="002A3CBE" w:rsidRDefault="00447423" w:rsidP="00F16E23">
            <w:pPr>
              <w:pStyle w:val="TableText"/>
              <w:spacing w:before="40" w:after="40"/>
              <w:rPr>
                <w:rFonts w:eastAsia="Calibri"/>
              </w:rPr>
            </w:pPr>
            <w:r w:rsidRPr="002A3CBE">
              <w:rPr>
                <w:rFonts w:eastAsia="Calibri"/>
              </w:rPr>
              <w:t>Post-1989 planted forest</w:t>
            </w:r>
          </w:p>
        </w:tc>
        <w:tc>
          <w:tcPr>
            <w:tcW w:w="1276" w:type="dxa"/>
            <w:shd w:val="clear" w:color="auto" w:fill="FFFFFF"/>
            <w:tcMar>
              <w:top w:w="0" w:type="dxa"/>
              <w:left w:w="85" w:type="dxa"/>
              <w:bottom w:w="0" w:type="dxa"/>
              <w:right w:w="85" w:type="dxa"/>
            </w:tcMar>
            <w:vAlign w:val="center"/>
          </w:tcPr>
          <w:p w14:paraId="37BFA293" w14:textId="77777777" w:rsidR="00447423" w:rsidRPr="002A3CBE" w:rsidRDefault="00447423" w:rsidP="00F16E23">
            <w:pPr>
              <w:pStyle w:val="TableText"/>
              <w:spacing w:before="40" w:after="40"/>
              <w:jc w:val="right"/>
              <w:rPr>
                <w:rFonts w:eastAsia="Calibri"/>
              </w:rPr>
            </w:pPr>
            <w:r w:rsidRPr="002A3CBE">
              <w:rPr>
                <w:rFonts w:eastAsia="Calibri"/>
              </w:rPr>
              <w:t>80,880.2</w:t>
            </w:r>
          </w:p>
        </w:tc>
        <w:tc>
          <w:tcPr>
            <w:tcW w:w="1559" w:type="dxa"/>
            <w:shd w:val="clear" w:color="auto" w:fill="FFFFFF"/>
            <w:tcMar>
              <w:top w:w="0" w:type="dxa"/>
              <w:left w:w="85" w:type="dxa"/>
              <w:bottom w:w="0" w:type="dxa"/>
              <w:right w:w="85" w:type="dxa"/>
            </w:tcMar>
            <w:vAlign w:val="center"/>
          </w:tcPr>
          <w:p w14:paraId="4DCCB433" w14:textId="77777777" w:rsidR="00447423" w:rsidRPr="002A3CBE" w:rsidRDefault="00447423" w:rsidP="00F16E23">
            <w:pPr>
              <w:pStyle w:val="TableText"/>
              <w:spacing w:before="40" w:after="40"/>
              <w:jc w:val="right"/>
              <w:rPr>
                <w:rFonts w:eastAsia="Calibri"/>
              </w:rPr>
            </w:pPr>
            <w:r w:rsidRPr="002A3CBE">
              <w:rPr>
                <w:rFonts w:eastAsia="Calibri"/>
              </w:rPr>
              <w:t>16,838.9</w:t>
            </w:r>
          </w:p>
        </w:tc>
        <w:tc>
          <w:tcPr>
            <w:tcW w:w="992" w:type="dxa"/>
            <w:shd w:val="clear" w:color="auto" w:fill="FFFFFF"/>
            <w:tcMar>
              <w:top w:w="0" w:type="dxa"/>
              <w:left w:w="85" w:type="dxa"/>
              <w:bottom w:w="0" w:type="dxa"/>
              <w:right w:w="85" w:type="dxa"/>
            </w:tcMar>
            <w:vAlign w:val="center"/>
          </w:tcPr>
          <w:p w14:paraId="4129D75A" w14:textId="77777777" w:rsidR="00447423" w:rsidRPr="002A3CBE" w:rsidRDefault="00447423" w:rsidP="00F16E23">
            <w:pPr>
              <w:pStyle w:val="TableText"/>
              <w:spacing w:before="40" w:after="40"/>
              <w:jc w:val="right"/>
              <w:rPr>
                <w:rFonts w:eastAsia="Calibri"/>
              </w:rPr>
            </w:pPr>
            <w:r w:rsidRPr="002A3CBE">
              <w:rPr>
                <w:rFonts w:eastAsia="Calibri"/>
              </w:rPr>
              <w:t>-8,425.9</w:t>
            </w:r>
          </w:p>
        </w:tc>
        <w:tc>
          <w:tcPr>
            <w:tcW w:w="993" w:type="dxa"/>
            <w:shd w:val="clear" w:color="auto" w:fill="FFFFFF"/>
            <w:tcMar>
              <w:top w:w="0" w:type="dxa"/>
              <w:left w:w="85" w:type="dxa"/>
              <w:bottom w:w="0" w:type="dxa"/>
              <w:right w:w="85" w:type="dxa"/>
            </w:tcMar>
            <w:vAlign w:val="center"/>
          </w:tcPr>
          <w:p w14:paraId="7D3774D4" w14:textId="77777777" w:rsidR="00447423" w:rsidRPr="002A3CBE" w:rsidRDefault="00447423" w:rsidP="00F16E23">
            <w:pPr>
              <w:pStyle w:val="TableText"/>
              <w:spacing w:before="40" w:after="40"/>
              <w:jc w:val="right"/>
              <w:rPr>
                <w:rFonts w:eastAsia="Calibri"/>
              </w:rPr>
            </w:pPr>
            <w:r w:rsidRPr="002A3CBE">
              <w:rPr>
                <w:rFonts w:eastAsia="Calibri"/>
              </w:rPr>
              <w:t>89,293.2</w:t>
            </w:r>
          </w:p>
        </w:tc>
        <w:tc>
          <w:tcPr>
            <w:tcW w:w="1842" w:type="dxa"/>
            <w:shd w:val="clear" w:color="auto" w:fill="FFFFFF"/>
            <w:tcMar>
              <w:top w:w="0" w:type="dxa"/>
              <w:left w:w="85" w:type="dxa"/>
              <w:bottom w:w="0" w:type="dxa"/>
              <w:right w:w="85" w:type="dxa"/>
            </w:tcMar>
            <w:vAlign w:val="center"/>
          </w:tcPr>
          <w:p w14:paraId="5389E0C0" w14:textId="77777777" w:rsidR="00447423" w:rsidRPr="002A3CBE" w:rsidRDefault="00447423" w:rsidP="00F16E23">
            <w:pPr>
              <w:pStyle w:val="TableText"/>
              <w:spacing w:before="40" w:after="40"/>
              <w:jc w:val="right"/>
              <w:rPr>
                <w:rFonts w:eastAsia="Calibri"/>
              </w:rPr>
            </w:pPr>
            <w:r w:rsidRPr="002A3CBE">
              <w:rPr>
                <w:rFonts w:eastAsia="Calibri"/>
              </w:rPr>
              <w:t>-327,408.5</w:t>
            </w:r>
          </w:p>
        </w:tc>
      </w:tr>
      <w:tr w:rsidR="00447423" w:rsidRPr="002A3CBE" w14:paraId="0BCF2B99" w14:textId="77777777" w:rsidTr="00F16E23">
        <w:tc>
          <w:tcPr>
            <w:tcW w:w="1843" w:type="dxa"/>
            <w:shd w:val="clear" w:color="auto" w:fill="FFFFFF"/>
            <w:tcMar>
              <w:top w:w="0" w:type="dxa"/>
              <w:left w:w="85" w:type="dxa"/>
              <w:bottom w:w="0" w:type="dxa"/>
              <w:right w:w="85" w:type="dxa"/>
            </w:tcMar>
            <w:vAlign w:val="center"/>
          </w:tcPr>
          <w:p w14:paraId="2A0403F1" w14:textId="77777777" w:rsidR="00447423" w:rsidRPr="002A3CBE" w:rsidRDefault="00447423" w:rsidP="00F16E23">
            <w:pPr>
              <w:pStyle w:val="TableText"/>
              <w:spacing w:before="40" w:after="40"/>
              <w:rPr>
                <w:rFonts w:eastAsia="Calibri"/>
              </w:rPr>
            </w:pPr>
            <w:r w:rsidRPr="002A3CBE">
              <w:rPr>
                <w:rFonts w:eastAsia="Calibri"/>
              </w:rPr>
              <w:t>Post-1989 natural forest</w:t>
            </w:r>
          </w:p>
        </w:tc>
        <w:tc>
          <w:tcPr>
            <w:tcW w:w="1276" w:type="dxa"/>
            <w:shd w:val="clear" w:color="auto" w:fill="FFFFFF"/>
            <w:tcMar>
              <w:top w:w="0" w:type="dxa"/>
              <w:left w:w="85" w:type="dxa"/>
              <w:bottom w:w="0" w:type="dxa"/>
              <w:right w:w="85" w:type="dxa"/>
            </w:tcMar>
            <w:vAlign w:val="center"/>
          </w:tcPr>
          <w:p w14:paraId="7717F6B6" w14:textId="77777777" w:rsidR="00447423" w:rsidRPr="002A3CBE" w:rsidRDefault="00447423" w:rsidP="00F16E23">
            <w:pPr>
              <w:pStyle w:val="TableText"/>
              <w:spacing w:before="40" w:after="40"/>
              <w:jc w:val="right"/>
              <w:rPr>
                <w:rFonts w:eastAsia="Calibri"/>
              </w:rPr>
            </w:pPr>
            <w:r w:rsidRPr="002A3CBE">
              <w:rPr>
                <w:rFonts w:eastAsia="Calibri"/>
              </w:rPr>
              <w:t>4,050.3</w:t>
            </w:r>
          </w:p>
        </w:tc>
        <w:tc>
          <w:tcPr>
            <w:tcW w:w="1559" w:type="dxa"/>
            <w:shd w:val="clear" w:color="auto" w:fill="FFFFFF"/>
            <w:tcMar>
              <w:top w:w="0" w:type="dxa"/>
              <w:left w:w="85" w:type="dxa"/>
              <w:bottom w:w="0" w:type="dxa"/>
              <w:right w:w="85" w:type="dxa"/>
            </w:tcMar>
            <w:vAlign w:val="center"/>
          </w:tcPr>
          <w:p w14:paraId="6D608CDD" w14:textId="77777777" w:rsidR="00447423" w:rsidRPr="002A3CBE" w:rsidRDefault="00447423" w:rsidP="00F16E23">
            <w:pPr>
              <w:pStyle w:val="TableText"/>
              <w:spacing w:before="40" w:after="40"/>
              <w:jc w:val="right"/>
              <w:rPr>
                <w:rFonts w:eastAsia="Calibri"/>
              </w:rPr>
            </w:pPr>
            <w:r w:rsidRPr="002A3CBE">
              <w:rPr>
                <w:rFonts w:eastAsia="Calibri"/>
              </w:rPr>
              <w:t>45.9</w:t>
            </w:r>
          </w:p>
        </w:tc>
        <w:tc>
          <w:tcPr>
            <w:tcW w:w="992" w:type="dxa"/>
            <w:shd w:val="clear" w:color="auto" w:fill="FFFFFF"/>
            <w:tcMar>
              <w:top w:w="0" w:type="dxa"/>
              <w:left w:w="85" w:type="dxa"/>
              <w:bottom w:w="0" w:type="dxa"/>
              <w:right w:w="85" w:type="dxa"/>
            </w:tcMar>
            <w:vAlign w:val="center"/>
          </w:tcPr>
          <w:p w14:paraId="2C08F817" w14:textId="77777777" w:rsidR="00447423" w:rsidRPr="002A3CBE" w:rsidRDefault="00447423" w:rsidP="00F16E23">
            <w:pPr>
              <w:pStyle w:val="TableText"/>
              <w:spacing w:before="40" w:after="40"/>
              <w:jc w:val="right"/>
              <w:rPr>
                <w:rFonts w:eastAsia="Calibri"/>
              </w:rPr>
            </w:pPr>
            <w:r w:rsidRPr="002A3CBE">
              <w:rPr>
                <w:rFonts w:eastAsia="Calibri"/>
              </w:rPr>
              <w:t>-859.0</w:t>
            </w:r>
          </w:p>
        </w:tc>
        <w:tc>
          <w:tcPr>
            <w:tcW w:w="993" w:type="dxa"/>
            <w:shd w:val="clear" w:color="auto" w:fill="FFFFFF"/>
            <w:tcMar>
              <w:top w:w="0" w:type="dxa"/>
              <w:left w:w="85" w:type="dxa"/>
              <w:bottom w:w="0" w:type="dxa"/>
              <w:right w:w="85" w:type="dxa"/>
            </w:tcMar>
            <w:vAlign w:val="center"/>
          </w:tcPr>
          <w:p w14:paraId="6F22634B" w14:textId="77777777" w:rsidR="00447423" w:rsidRPr="002A3CBE" w:rsidRDefault="00447423" w:rsidP="00F16E23">
            <w:pPr>
              <w:pStyle w:val="TableText"/>
              <w:spacing w:before="40" w:after="40"/>
              <w:jc w:val="right"/>
              <w:rPr>
                <w:rFonts w:eastAsia="Calibri"/>
              </w:rPr>
            </w:pPr>
            <w:r w:rsidRPr="002A3CBE">
              <w:rPr>
                <w:rFonts w:eastAsia="Calibri"/>
              </w:rPr>
              <w:t>3,237.2</w:t>
            </w:r>
          </w:p>
        </w:tc>
        <w:tc>
          <w:tcPr>
            <w:tcW w:w="1842" w:type="dxa"/>
            <w:shd w:val="clear" w:color="auto" w:fill="FFFFFF"/>
            <w:tcMar>
              <w:top w:w="0" w:type="dxa"/>
              <w:left w:w="85" w:type="dxa"/>
              <w:bottom w:w="0" w:type="dxa"/>
              <w:right w:w="85" w:type="dxa"/>
            </w:tcMar>
            <w:vAlign w:val="center"/>
          </w:tcPr>
          <w:p w14:paraId="15482564" w14:textId="77777777" w:rsidR="00447423" w:rsidRPr="002A3CBE" w:rsidRDefault="00447423" w:rsidP="00F16E23">
            <w:pPr>
              <w:pStyle w:val="TableText"/>
              <w:spacing w:before="40" w:after="40"/>
              <w:jc w:val="right"/>
              <w:rPr>
                <w:rFonts w:eastAsia="Calibri"/>
              </w:rPr>
            </w:pPr>
            <w:r w:rsidRPr="002A3CBE">
              <w:rPr>
                <w:rFonts w:eastAsia="Calibri"/>
              </w:rPr>
              <w:t>-11,869.9</w:t>
            </w:r>
          </w:p>
        </w:tc>
      </w:tr>
      <w:tr w:rsidR="00447423" w:rsidRPr="002A3CBE" w14:paraId="49251F1F" w14:textId="77777777" w:rsidTr="00F16E23">
        <w:tc>
          <w:tcPr>
            <w:tcW w:w="1843" w:type="dxa"/>
            <w:shd w:val="clear" w:color="auto" w:fill="FFFFFF"/>
            <w:tcMar>
              <w:top w:w="0" w:type="dxa"/>
              <w:left w:w="85" w:type="dxa"/>
              <w:bottom w:w="0" w:type="dxa"/>
              <w:right w:w="85" w:type="dxa"/>
            </w:tcMar>
            <w:vAlign w:val="center"/>
          </w:tcPr>
          <w:p w14:paraId="25C83DE3"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276" w:type="dxa"/>
            <w:shd w:val="clear" w:color="auto" w:fill="FFFFFF"/>
            <w:tcMar>
              <w:top w:w="0" w:type="dxa"/>
              <w:left w:w="85" w:type="dxa"/>
              <w:bottom w:w="0" w:type="dxa"/>
              <w:right w:w="85" w:type="dxa"/>
            </w:tcMar>
            <w:vAlign w:val="center"/>
          </w:tcPr>
          <w:p w14:paraId="0DFAF4E0" w14:textId="77777777" w:rsidR="00447423" w:rsidRPr="002A3CBE" w:rsidRDefault="00447423" w:rsidP="00F16E23">
            <w:pPr>
              <w:pStyle w:val="Tableboldblue"/>
              <w:spacing w:before="40" w:after="40"/>
              <w:jc w:val="right"/>
              <w:rPr>
                <w:rFonts w:eastAsia="Calibri"/>
              </w:rPr>
            </w:pPr>
            <w:r w:rsidRPr="002A3CBE">
              <w:rPr>
                <w:rFonts w:eastAsia="Calibri"/>
              </w:rPr>
              <w:t>217,547.1</w:t>
            </w:r>
          </w:p>
        </w:tc>
        <w:tc>
          <w:tcPr>
            <w:tcW w:w="1559" w:type="dxa"/>
            <w:shd w:val="clear" w:color="auto" w:fill="FFFFFF"/>
            <w:tcMar>
              <w:top w:w="0" w:type="dxa"/>
              <w:left w:w="85" w:type="dxa"/>
              <w:bottom w:w="0" w:type="dxa"/>
              <w:right w:w="85" w:type="dxa"/>
            </w:tcMar>
            <w:vAlign w:val="center"/>
          </w:tcPr>
          <w:p w14:paraId="6F90ECD2" w14:textId="77777777" w:rsidR="00447423" w:rsidRPr="002A3CBE" w:rsidRDefault="00447423" w:rsidP="00F16E23">
            <w:pPr>
              <w:pStyle w:val="Tableboldblue"/>
              <w:spacing w:before="40" w:after="40"/>
              <w:jc w:val="right"/>
              <w:rPr>
                <w:rFonts w:eastAsia="Calibri"/>
              </w:rPr>
            </w:pPr>
            <w:r w:rsidRPr="002A3CBE">
              <w:rPr>
                <w:rFonts w:eastAsia="Calibri"/>
              </w:rPr>
              <w:t>34,453.9</w:t>
            </w:r>
          </w:p>
        </w:tc>
        <w:tc>
          <w:tcPr>
            <w:tcW w:w="992" w:type="dxa"/>
            <w:shd w:val="clear" w:color="auto" w:fill="FFFFFF"/>
            <w:tcMar>
              <w:top w:w="0" w:type="dxa"/>
              <w:left w:w="85" w:type="dxa"/>
              <w:bottom w:w="0" w:type="dxa"/>
              <w:right w:w="85" w:type="dxa"/>
            </w:tcMar>
            <w:vAlign w:val="center"/>
          </w:tcPr>
          <w:p w14:paraId="25DA1E04" w14:textId="77777777" w:rsidR="00447423" w:rsidRPr="002A3CBE" w:rsidRDefault="00447423" w:rsidP="00F16E23">
            <w:pPr>
              <w:pStyle w:val="Tableboldblue"/>
              <w:spacing w:before="40" w:after="40"/>
              <w:jc w:val="right"/>
              <w:rPr>
                <w:rFonts w:eastAsia="Calibri"/>
              </w:rPr>
            </w:pPr>
            <w:r w:rsidRPr="002A3CBE">
              <w:rPr>
                <w:rFonts w:eastAsia="Calibri"/>
              </w:rPr>
              <w:t>-13,810.9</w:t>
            </w:r>
          </w:p>
        </w:tc>
        <w:tc>
          <w:tcPr>
            <w:tcW w:w="993" w:type="dxa"/>
            <w:shd w:val="clear" w:color="auto" w:fill="FFFFFF"/>
            <w:tcMar>
              <w:top w:w="0" w:type="dxa"/>
              <w:left w:w="85" w:type="dxa"/>
              <w:bottom w:w="0" w:type="dxa"/>
              <w:right w:w="85" w:type="dxa"/>
            </w:tcMar>
            <w:vAlign w:val="center"/>
          </w:tcPr>
          <w:p w14:paraId="3BBE3E52" w14:textId="77777777" w:rsidR="00447423" w:rsidRPr="002A3CBE" w:rsidRDefault="00447423" w:rsidP="00F16E23">
            <w:pPr>
              <w:pStyle w:val="Tableboldblue"/>
              <w:spacing w:before="40" w:after="40"/>
              <w:jc w:val="right"/>
              <w:rPr>
                <w:rFonts w:eastAsia="Calibri"/>
              </w:rPr>
            </w:pPr>
            <w:r w:rsidRPr="002A3CBE">
              <w:rPr>
                <w:rFonts w:eastAsia="Calibri"/>
              </w:rPr>
              <w:t>238,190.1</w:t>
            </w:r>
          </w:p>
        </w:tc>
        <w:tc>
          <w:tcPr>
            <w:tcW w:w="1842" w:type="dxa"/>
            <w:shd w:val="clear" w:color="auto" w:fill="FFFFFF"/>
            <w:tcMar>
              <w:top w:w="0" w:type="dxa"/>
              <w:left w:w="85" w:type="dxa"/>
              <w:bottom w:w="0" w:type="dxa"/>
              <w:right w:w="85" w:type="dxa"/>
            </w:tcMar>
            <w:vAlign w:val="center"/>
          </w:tcPr>
          <w:p w14:paraId="0C69927B" w14:textId="77777777" w:rsidR="00447423" w:rsidRPr="002A3CBE" w:rsidRDefault="00447423" w:rsidP="00F16E23">
            <w:pPr>
              <w:pStyle w:val="Tableboldblue"/>
              <w:spacing w:before="40" w:after="40"/>
              <w:jc w:val="right"/>
              <w:rPr>
                <w:rFonts w:eastAsia="Calibri"/>
              </w:rPr>
            </w:pPr>
            <w:r w:rsidRPr="002A3CBE">
              <w:rPr>
                <w:rFonts w:eastAsia="Calibri"/>
              </w:rPr>
              <w:t>-873,363.8</w:t>
            </w:r>
          </w:p>
        </w:tc>
      </w:tr>
    </w:tbl>
    <w:bookmarkEnd w:id="1897"/>
    <w:p w14:paraId="3027C912" w14:textId="77777777" w:rsidR="00447423" w:rsidRPr="002A3CBE" w:rsidRDefault="00447423" w:rsidP="00447423">
      <w:pPr>
        <w:pStyle w:val="Noteundertable"/>
      </w:pPr>
      <w:r w:rsidRPr="002A3CBE">
        <w:rPr>
          <w:b/>
        </w:rPr>
        <w:t>Note:</w:t>
      </w:r>
      <w:r w:rsidRPr="002A3CBE">
        <w:tab/>
        <w:t>Emissions associated with the conversion of forest are reported in the land use category the land is converted to. Columns may not total due to rounding.</w:t>
      </w:r>
    </w:p>
    <w:p w14:paraId="01598518" w14:textId="77777777" w:rsidR="00447423" w:rsidRPr="002A3CBE" w:rsidRDefault="00447423" w:rsidP="00447423">
      <w:pPr>
        <w:pStyle w:val="BodyText"/>
      </w:pPr>
      <w:r w:rsidRPr="002A3CBE">
        <w:t>New Zealand’s emissions profile in the LULUCF sector is predominantly influenced by plantation forestry. The rapid growth rates of plantation forest relative to natural forest, and the timing of afforestation and harvesting cycles drive the emissions profile and will continue to do so in the future.</w:t>
      </w:r>
    </w:p>
    <w:p w14:paraId="62539D1E" w14:textId="77777777" w:rsidR="00447423" w:rsidRPr="002A3CBE" w:rsidRDefault="00447423" w:rsidP="00447423">
      <w:pPr>
        <w:pStyle w:val="Heading3"/>
        <w:spacing w:before="240"/>
      </w:pPr>
      <w:bookmarkStart w:id="1898" w:name="_Toc255466330"/>
      <w:bookmarkStart w:id="1899" w:name="_Toc261513137"/>
      <w:bookmarkStart w:id="1900" w:name="_Toc261513750"/>
      <w:bookmarkStart w:id="1901" w:name="_Toc280630246"/>
      <w:bookmarkStart w:id="1902" w:name="_Toc373395712"/>
      <w:r w:rsidRPr="002A3CBE">
        <w:t>6.4.2</w:t>
      </w:r>
      <w:r w:rsidRPr="002A3CBE">
        <w:tab/>
        <w:t>Methodological issues</w:t>
      </w:r>
      <w:bookmarkEnd w:id="1898"/>
      <w:bookmarkEnd w:id="1899"/>
      <w:bookmarkEnd w:id="1900"/>
      <w:bookmarkEnd w:id="1901"/>
      <w:bookmarkEnd w:id="1902"/>
    </w:p>
    <w:p w14:paraId="3CBF78F8" w14:textId="77777777" w:rsidR="00447423" w:rsidRPr="002A3CBE" w:rsidRDefault="00447423" w:rsidP="00447423">
      <w:pPr>
        <w:pStyle w:val="Heading4"/>
      </w:pPr>
      <w:bookmarkStart w:id="1903" w:name="_Hlk73696479"/>
      <w:r w:rsidRPr="002A3CBE">
        <w:t>Afforestation and reforestation</w:t>
      </w:r>
    </w:p>
    <w:bookmarkEnd w:id="1903"/>
    <w:p w14:paraId="189084B5" w14:textId="77777777" w:rsidR="00447423" w:rsidRPr="002A3CBE" w:rsidRDefault="00447423" w:rsidP="00447423">
      <w:pPr>
        <w:pStyle w:val="BodyText"/>
      </w:pPr>
      <w:r w:rsidRPr="002A3CBE">
        <w:t>Afforestation and reforestation areas of planted and natural forests are derived from a combination of land use mapping, national statistics and forestry scheme data. Annual rates of afforestation and reforestation are shown in figure 6.4.1 and are influenced greatly by market and policy conditions at the time, as described in section 6.1.1. Further details on how the area of afforestation is calculated are provided in volume 2, annex 5, section A5.2.2.</w:t>
      </w:r>
    </w:p>
    <w:p w14:paraId="7B3FD995" w14:textId="77777777" w:rsidR="00447423" w:rsidRPr="002A3CBE" w:rsidRDefault="00447423" w:rsidP="00447423">
      <w:pPr>
        <w:pStyle w:val="Figure"/>
        <w:spacing w:after="60"/>
      </w:pPr>
      <w:bookmarkStart w:id="1904" w:name="_Toc474914646"/>
      <w:bookmarkStart w:id="1905" w:name="_Toc481752028"/>
      <w:bookmarkStart w:id="1906" w:name="_Toc522010706"/>
      <w:bookmarkStart w:id="1907" w:name="_Toc5269709"/>
      <w:bookmarkStart w:id="1908" w:name="_Toc33529481"/>
      <w:bookmarkStart w:id="1909" w:name="_Toc36292811"/>
      <w:bookmarkStart w:id="1910" w:name="_Toc131591570"/>
      <w:bookmarkStart w:id="1911" w:name="_Toc158979910"/>
      <w:bookmarkStart w:id="1912" w:name="_Toc164154038"/>
      <w:bookmarkStart w:id="1913" w:name="_Toc190873407"/>
      <w:bookmarkStart w:id="1914" w:name="_Toc194674871"/>
      <w:bookmarkStart w:id="1915" w:name="_Toc222837971"/>
      <w:bookmarkStart w:id="1916" w:name="_Toc226200698"/>
      <w:r w:rsidRPr="002A3CBE">
        <w:t>Figure 6.4.1</w:t>
      </w:r>
      <w:r w:rsidRPr="002A3CBE">
        <w:tab/>
        <w:t>Annual areas of afforestation and reforestation in New Zealand, from 1990 to </w:t>
      </w:r>
      <w:bookmarkEnd w:id="1904"/>
      <w:bookmarkEnd w:id="1905"/>
      <w:bookmarkEnd w:id="1906"/>
      <w:bookmarkEnd w:id="1907"/>
      <w:bookmarkEnd w:id="1908"/>
      <w:bookmarkEnd w:id="1909"/>
      <w:bookmarkEnd w:id="1910"/>
      <w:bookmarkEnd w:id="1911"/>
      <w:bookmarkEnd w:id="1912"/>
      <w:r w:rsidRPr="002A3CBE">
        <w:t>2024</w:t>
      </w:r>
      <w:bookmarkEnd w:id="1913"/>
      <w:bookmarkEnd w:id="1914"/>
      <w:bookmarkEnd w:id="1915"/>
      <w:bookmarkEnd w:id="1916"/>
    </w:p>
    <w:p w14:paraId="5B8B346B" w14:textId="77777777" w:rsidR="00447423" w:rsidRPr="002A3CBE" w:rsidRDefault="00447423" w:rsidP="00447423">
      <w:pPr>
        <w:pStyle w:val="BodyText"/>
        <w:jc w:val="center"/>
      </w:pPr>
      <w:r w:rsidRPr="002A3CBE">
        <w:rPr>
          <w:noProof/>
        </w:rPr>
        <w:drawing>
          <wp:inline distT="0" distB="0" distL="0" distR="0" wp14:anchorId="07FE1954" wp14:editId="3A1E62AA">
            <wp:extent cx="4662769" cy="3657600"/>
            <wp:effectExtent l="0" t="0" r="5080" b="0"/>
            <wp:docPr id="300849272" name="Picture 300849272" descr="A graph of a number of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49272" name="Picture 300849272" descr="A graph of a number of columns&#10;&#10;AI-generated content may be incorrect."/>
                    <pic:cNvPicPr>
                      <a:picLocks noChangeAspect="1" noChangeArrowheads="1"/>
                    </pic:cNvPicPr>
                  </pic:nvPicPr>
                  <pic:blipFill rotWithShape="1">
                    <a:blip r:embed="rId218"/>
                    <a:srcRect b="1945"/>
                    <a:stretch>
                      <a:fillRect/>
                    </a:stretch>
                  </pic:blipFill>
                  <pic:spPr bwMode="auto">
                    <a:xfrm>
                      <a:off x="0" y="0"/>
                      <a:ext cx="65003" cy="50990"/>
                    </a:xfrm>
                    <a:prstGeom prst="rect">
                      <a:avLst/>
                    </a:prstGeom>
                    <a:noFill/>
                    <a:ln>
                      <a:noFill/>
                    </a:ln>
                    <a:extLst>
                      <a:ext uri="{53640926-AAD7-44D8-BBD7-CCE9431645EC}">
                        <a14:shadowObscured xmlns:a14="http://schemas.microsoft.com/office/drawing/2010/main"/>
                      </a:ext>
                    </a:extLst>
                  </pic:spPr>
                </pic:pic>
              </a:graphicData>
            </a:graphic>
          </wp:inline>
        </w:drawing>
      </w:r>
    </w:p>
    <w:p w14:paraId="0666E07D" w14:textId="77777777" w:rsidR="00447423" w:rsidRPr="002A3CBE" w:rsidRDefault="00447423" w:rsidP="00447423">
      <w:pPr>
        <w:pStyle w:val="Noteundertable"/>
        <w:spacing w:before="0"/>
        <w:ind w:left="0" w:firstLine="0"/>
      </w:pPr>
      <w:r w:rsidRPr="002A3CBE">
        <w:rPr>
          <w:b/>
        </w:rPr>
        <w:t>Note:</w:t>
      </w:r>
      <w:r w:rsidRPr="002A3CBE">
        <w:tab/>
        <w:t>Details on how the afforestation area is calculated are provided in volume 2, annex 5, section A5.2.2.</w:t>
      </w:r>
    </w:p>
    <w:p w14:paraId="33BED94D" w14:textId="77777777" w:rsidR="00447423" w:rsidRPr="002A3CBE" w:rsidRDefault="00447423" w:rsidP="00447423">
      <w:pPr>
        <w:pStyle w:val="BodyText"/>
      </w:pPr>
      <w:r w:rsidRPr="002A3CBE">
        <w:t>Post-1989 planted forests did not become a net sink until 1996 (figure 6.4.2) when net removals from forest growth surpassed net emissions. These emissions were due to the loss of biomass in carbon stocks associated with the previous land use before conversion, in addition to the loss of soil carbon associated with a land-use change to forestry.</w:t>
      </w:r>
    </w:p>
    <w:p w14:paraId="3BA33A29" w14:textId="77777777" w:rsidR="00447423" w:rsidRPr="002A3CBE" w:rsidRDefault="00447423" w:rsidP="00447423">
      <w:pPr>
        <w:pStyle w:val="Figure"/>
        <w:spacing w:after="60"/>
      </w:pPr>
      <w:bookmarkStart w:id="1917" w:name="_Toc280630493"/>
      <w:bookmarkStart w:id="1918" w:name="_Toc318362751"/>
      <w:bookmarkStart w:id="1919" w:name="_Toc342470831"/>
      <w:bookmarkStart w:id="1920" w:name="_Toc352505159"/>
      <w:bookmarkStart w:id="1921" w:name="_Toc373395719"/>
      <w:bookmarkStart w:id="1922" w:name="_Toc378853342"/>
      <w:bookmarkStart w:id="1923" w:name="_Toc405448092"/>
      <w:bookmarkStart w:id="1924" w:name="_Toc414531624"/>
      <w:bookmarkStart w:id="1925" w:name="_Toc474914647"/>
      <w:bookmarkStart w:id="1926" w:name="_Toc481752029"/>
      <w:bookmarkStart w:id="1927" w:name="_Toc522010707"/>
      <w:bookmarkStart w:id="1928" w:name="_Toc5269710"/>
      <w:bookmarkStart w:id="1929" w:name="_Toc33529482"/>
      <w:bookmarkStart w:id="1930" w:name="_Toc36292812"/>
      <w:bookmarkStart w:id="1931" w:name="_Toc131591571"/>
      <w:bookmarkStart w:id="1932" w:name="_Toc158979911"/>
      <w:bookmarkStart w:id="1933" w:name="_Toc164154039"/>
      <w:bookmarkStart w:id="1934" w:name="_Toc190873408"/>
      <w:bookmarkStart w:id="1935" w:name="_Toc194674872"/>
      <w:bookmarkStart w:id="1936" w:name="_Toc222837972"/>
      <w:bookmarkStart w:id="1937" w:name="_Toc226200699"/>
      <w:r w:rsidRPr="002A3CBE">
        <w:t>Figure 6.4.2</w:t>
      </w:r>
      <w:r w:rsidRPr="002A3CBE">
        <w:tab/>
        <w:t>New Zealand’s net carbon dioxide removals by post-1989 planted forests, from 1990 to </w:t>
      </w:r>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r w:rsidRPr="002A3CBE">
        <w:t>2024</w:t>
      </w:r>
      <w:bookmarkEnd w:id="1934"/>
      <w:bookmarkEnd w:id="1935"/>
      <w:bookmarkEnd w:id="1936"/>
      <w:bookmarkEnd w:id="1937"/>
    </w:p>
    <w:p w14:paraId="7FFB12E7" w14:textId="77777777" w:rsidR="00447423" w:rsidRPr="002A3CBE" w:rsidRDefault="00447423" w:rsidP="00447423">
      <w:pPr>
        <w:pStyle w:val="BodyText"/>
        <w:jc w:val="center"/>
      </w:pPr>
      <w:r w:rsidRPr="002A3CBE">
        <w:rPr>
          <w:noProof/>
        </w:rPr>
        <w:drawing>
          <wp:inline distT="0" distB="0" distL="0" distR="0" wp14:anchorId="3ABBE19C" wp14:editId="54CAECF2">
            <wp:extent cx="4572000" cy="3591764"/>
            <wp:effectExtent l="0" t="0" r="0" b="8890"/>
            <wp:docPr id="7" name="Picture 7"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of a graph&#10;&#10;AI-generated content may be incorrect."/>
                    <pic:cNvPicPr>
                      <a:picLocks noChangeAspect="1" noChangeArrowheads="1"/>
                    </pic:cNvPicPr>
                  </pic:nvPicPr>
                  <pic:blipFill rotWithShape="1">
                    <a:blip r:embed="rId219"/>
                    <a:srcRect b="1799"/>
                    <a:stretch>
                      <a:fillRect/>
                    </a:stretch>
                  </pic:blipFill>
                  <pic:spPr bwMode="auto">
                    <a:xfrm>
                      <a:off x="0" y="0"/>
                      <a:ext cx="63500" cy="49886"/>
                    </a:xfrm>
                    <a:prstGeom prst="rect">
                      <a:avLst/>
                    </a:prstGeom>
                    <a:noFill/>
                    <a:ln>
                      <a:noFill/>
                    </a:ln>
                    <a:extLst>
                      <a:ext uri="{53640926-AAD7-44D8-BBD7-CCE9431645EC}">
                        <a14:shadowObscured xmlns:a14="http://schemas.microsoft.com/office/drawing/2010/main"/>
                      </a:ext>
                    </a:extLst>
                  </pic:spPr>
                </pic:pic>
              </a:graphicData>
            </a:graphic>
          </wp:inline>
        </w:drawing>
      </w:r>
    </w:p>
    <w:p w14:paraId="5E112A37" w14:textId="77777777" w:rsidR="00447423" w:rsidRPr="002A3CBE" w:rsidRDefault="00447423" w:rsidP="00447423">
      <w:pPr>
        <w:pStyle w:val="Heading4"/>
        <w:spacing w:before="120"/>
      </w:pPr>
      <w:bookmarkStart w:id="1938" w:name="_Hlk73696492"/>
      <w:r w:rsidRPr="002A3CBE">
        <w:t>Harvesting</w:t>
      </w:r>
      <w:bookmarkEnd w:id="1938"/>
    </w:p>
    <w:p w14:paraId="538D7B63" w14:textId="77777777" w:rsidR="00447423" w:rsidRPr="002A3CBE" w:rsidRDefault="00447423" w:rsidP="00447423">
      <w:pPr>
        <w:pStyle w:val="BodyText"/>
      </w:pPr>
      <w:r w:rsidRPr="002A3CBE">
        <w:rPr>
          <w:spacing w:val="-2"/>
        </w:rPr>
        <w:t>The annual planted forest harvest area (both pre-1990 and post-1989 planted forest</w:t>
      </w:r>
      <w:r w:rsidRPr="002A3CBE">
        <w:t xml:space="preserve"> combined) from 1990 to 2024 is shown in figure 6.4.3. The method used to calculate the harvest area is outlined in volume 2, annex 5, section A5.2.5 ‘Calculation of harvest area’. Emissions from harvesting are dependent on the age of the forest being harvested. To accurately reflect the actual harvest ages that occur, and therefore the associated emissions, a harvest age profile is applied to the harvest area to determine the harvest area by age. Detailed methodology on how the harvest age profile is calculated for post-1989 planted forest and pre-1990 planted forest can be found in volume 2, annex 5, section A5.2.5 ‘Calculation of harvest area by age and forest age profile’.</w:t>
      </w:r>
    </w:p>
    <w:p w14:paraId="75C36505" w14:textId="77777777" w:rsidR="00447423" w:rsidRPr="002A3CBE" w:rsidRDefault="00447423" w:rsidP="00447423">
      <w:pPr>
        <w:pStyle w:val="BodyText"/>
      </w:pPr>
      <w:r w:rsidRPr="002A3CBE">
        <w:t xml:space="preserve">Only a minimal proportion of timber harvested is from natural forests. In 2024, an estimated 0.03 percent of New Zealand’s total forest timber production was from the harvesting of natural forests (Ministry for Primary Industries, 2025b). </w:t>
      </w:r>
    </w:p>
    <w:p w14:paraId="64076BC6" w14:textId="77777777" w:rsidR="00447423" w:rsidRPr="002A3CBE" w:rsidRDefault="00447423" w:rsidP="00447423">
      <w:pPr>
        <w:pStyle w:val="Figure"/>
      </w:pPr>
      <w:bookmarkStart w:id="1939" w:name="_Toc474914649"/>
      <w:bookmarkStart w:id="1940" w:name="_Toc481752031"/>
      <w:bookmarkStart w:id="1941" w:name="_Toc522010709"/>
      <w:bookmarkStart w:id="1942" w:name="_Toc5269711"/>
      <w:bookmarkStart w:id="1943" w:name="_Toc33529484"/>
      <w:bookmarkStart w:id="1944" w:name="_Toc36292814"/>
      <w:bookmarkStart w:id="1945" w:name="_Toc131591572"/>
      <w:bookmarkStart w:id="1946" w:name="_Toc158979912"/>
      <w:bookmarkStart w:id="1947" w:name="_Toc164154040"/>
      <w:bookmarkStart w:id="1948" w:name="_Toc190873409"/>
      <w:bookmarkStart w:id="1949" w:name="_Toc194674873"/>
      <w:bookmarkStart w:id="1950" w:name="_Toc222837973"/>
      <w:bookmarkStart w:id="1951" w:name="_Toc226200700"/>
      <w:r w:rsidRPr="002A3CBE">
        <w:t>Figure 6.4.3</w:t>
      </w:r>
      <w:r w:rsidRPr="002A3CBE">
        <w:tab/>
        <w:t>New Zealand’s area of planted forest harvest (inclusive of deforestation), from 1990</w:t>
      </w:r>
      <w:bookmarkEnd w:id="1939"/>
      <w:bookmarkEnd w:id="1940"/>
      <w:r w:rsidRPr="002A3CBE">
        <w:t> to </w:t>
      </w:r>
      <w:bookmarkEnd w:id="1941"/>
      <w:bookmarkEnd w:id="1942"/>
      <w:bookmarkEnd w:id="1943"/>
      <w:bookmarkEnd w:id="1944"/>
      <w:bookmarkEnd w:id="1945"/>
      <w:bookmarkEnd w:id="1946"/>
      <w:bookmarkEnd w:id="1947"/>
      <w:bookmarkEnd w:id="1948"/>
      <w:bookmarkEnd w:id="1949"/>
      <w:r w:rsidRPr="002A3CBE">
        <w:t>2024</w:t>
      </w:r>
      <w:bookmarkEnd w:id="1950"/>
      <w:bookmarkEnd w:id="1951"/>
    </w:p>
    <w:p w14:paraId="0BBE679F" w14:textId="77777777" w:rsidR="00447423" w:rsidRPr="002A3CBE" w:rsidRDefault="00447423" w:rsidP="00447423">
      <w:pPr>
        <w:pStyle w:val="BodyText"/>
        <w:jc w:val="center"/>
      </w:pPr>
      <w:r w:rsidRPr="002A3CBE">
        <w:rPr>
          <w:noProof/>
        </w:rPr>
        <w:drawing>
          <wp:inline distT="0" distB="0" distL="0" distR="0" wp14:anchorId="07F0E080" wp14:editId="3EE14725">
            <wp:extent cx="4572000" cy="3569817"/>
            <wp:effectExtent l="0" t="0" r="0" b="0"/>
            <wp:docPr id="631385595" name="Picture 631385595" descr="A graph of a number of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385595" name="Picture 631385595" descr="A graph of a number of columns&#10;&#10;AI-generated content may be incorrect."/>
                    <pic:cNvPicPr>
                      <a:picLocks noChangeAspect="1" noChangeArrowheads="1"/>
                    </pic:cNvPicPr>
                  </pic:nvPicPr>
                  <pic:blipFill rotWithShape="1">
                    <a:blip r:embed="rId220"/>
                    <a:srcRect t="-1" b="2401"/>
                    <a:stretch>
                      <a:fillRect/>
                    </a:stretch>
                  </pic:blipFill>
                  <pic:spPr bwMode="auto">
                    <a:xfrm>
                      <a:off x="0" y="0"/>
                      <a:ext cx="63500" cy="49581"/>
                    </a:xfrm>
                    <a:prstGeom prst="rect">
                      <a:avLst/>
                    </a:prstGeom>
                    <a:noFill/>
                    <a:ln>
                      <a:noFill/>
                    </a:ln>
                    <a:extLst>
                      <a:ext uri="{53640926-AAD7-44D8-BBD7-CCE9431645EC}">
                        <a14:shadowObscured xmlns:a14="http://schemas.microsoft.com/office/drawing/2010/main"/>
                      </a:ext>
                    </a:extLst>
                  </pic:spPr>
                </pic:pic>
              </a:graphicData>
            </a:graphic>
          </wp:inline>
        </w:drawing>
      </w:r>
    </w:p>
    <w:p w14:paraId="2299E653" w14:textId="77777777" w:rsidR="00447423" w:rsidRPr="002A3CBE" w:rsidRDefault="00447423" w:rsidP="00447423">
      <w:pPr>
        <w:pStyle w:val="Heading4"/>
        <w:spacing w:before="120"/>
      </w:pPr>
      <w:bookmarkStart w:id="1952" w:name="_Hlk73696500"/>
      <w:r w:rsidRPr="002A3CBE">
        <w:t>Deforestation</w:t>
      </w:r>
    </w:p>
    <w:bookmarkEnd w:id="1952"/>
    <w:p w14:paraId="0525D466" w14:textId="77777777" w:rsidR="00447423" w:rsidRPr="002A3CBE" w:rsidRDefault="00447423" w:rsidP="00447423">
      <w:pPr>
        <w:pStyle w:val="BodyText"/>
      </w:pPr>
      <w:r w:rsidRPr="002A3CBE">
        <w:t xml:space="preserve">In 2024, an estimated 2,083 hectares of </w:t>
      </w:r>
      <w:r w:rsidRPr="002A3CBE">
        <w:rPr>
          <w:i/>
        </w:rPr>
        <w:t>Forest land</w:t>
      </w:r>
      <w:r w:rsidRPr="002A3CBE">
        <w:t xml:space="preserve"> were converted to other land uses, primarily </w:t>
      </w:r>
      <w:r w:rsidRPr="002A3CBE">
        <w:rPr>
          <w:i/>
        </w:rPr>
        <w:t>Grassland</w:t>
      </w:r>
      <w:r w:rsidRPr="002A3CBE">
        <w:t xml:space="preserve">. Table 6.4.4 and figure 6.4.4 show the areas of </w:t>
      </w:r>
      <w:r w:rsidRPr="002A3CBE">
        <w:rPr>
          <w:i/>
        </w:rPr>
        <w:t>Forest land</w:t>
      </w:r>
      <w:r w:rsidRPr="002A3CBE">
        <w:t xml:space="preserve"> subject to deforestation since 1990 and in 2024. Figure 6.4.4 also illustrates how planted forest deforestation increased leading up to 2008 and then decreased after the introduction of the NZ ETS in 2008.</w:t>
      </w:r>
    </w:p>
    <w:p w14:paraId="17520328" w14:textId="77777777" w:rsidR="00447423" w:rsidRPr="002A3CBE" w:rsidRDefault="00447423" w:rsidP="00447423">
      <w:pPr>
        <w:pStyle w:val="Table"/>
      </w:pPr>
      <w:bookmarkStart w:id="1953" w:name="_Toc280630455"/>
      <w:bookmarkStart w:id="1954" w:name="_Toc310423407"/>
      <w:bookmarkStart w:id="1955" w:name="_Toc318362700"/>
      <w:bookmarkStart w:id="1956" w:name="_Toc342470762"/>
      <w:bookmarkStart w:id="1957" w:name="_Toc352505002"/>
      <w:bookmarkStart w:id="1958" w:name="_Toc373395727"/>
      <w:bookmarkStart w:id="1959" w:name="_Toc378853293"/>
      <w:bookmarkStart w:id="1960" w:name="_Toc391024091"/>
      <w:bookmarkStart w:id="1961" w:name="_Toc410028834"/>
      <w:bookmarkStart w:id="1962" w:name="_Toc414531462"/>
      <w:bookmarkStart w:id="1963" w:name="_Toc443645375"/>
      <w:bookmarkStart w:id="1964" w:name="_Toc474914594"/>
      <w:bookmarkStart w:id="1965" w:name="_Toc481751558"/>
      <w:bookmarkStart w:id="1966" w:name="_Toc522010615"/>
      <w:bookmarkStart w:id="1967" w:name="_Toc5269520"/>
      <w:bookmarkStart w:id="1968" w:name="_Toc33529394"/>
      <w:bookmarkStart w:id="1969" w:name="_Toc36224600"/>
      <w:bookmarkStart w:id="1970" w:name="_Toc131591394"/>
      <w:bookmarkStart w:id="1971" w:name="_Toc158979952"/>
      <w:bookmarkStart w:id="1972" w:name="_Toc164153885"/>
      <w:bookmarkStart w:id="1973" w:name="_Toc190873119"/>
      <w:bookmarkStart w:id="1974" w:name="_Toc194241758"/>
      <w:bookmarkStart w:id="1975" w:name="_Toc222837909"/>
      <w:bookmarkStart w:id="1976" w:name="_Toc226669055"/>
      <w:r w:rsidRPr="002A3CBE">
        <w:t>Table 6.4.4</w:t>
      </w:r>
      <w:r w:rsidRPr="002A3CBE">
        <w:tab/>
        <w:t xml:space="preserve">New Zealand’s </w:t>
      </w:r>
      <w:r w:rsidRPr="002A3CBE">
        <w:rPr>
          <w:i/>
        </w:rPr>
        <w:t xml:space="preserve">Forest land </w:t>
      </w:r>
      <w:r w:rsidRPr="002A3CBE">
        <w:t>subject to deforestation</w:t>
      </w:r>
      <w:bookmarkEnd w:id="1953"/>
      <w:bookmarkEnd w:id="1954"/>
      <w:bookmarkEnd w:id="1955"/>
      <w:bookmarkEnd w:id="1956"/>
      <w:bookmarkEnd w:id="1957"/>
      <w:bookmarkEnd w:id="1958"/>
      <w:bookmarkEnd w:id="1959"/>
      <w:bookmarkEnd w:id="1960"/>
      <w:bookmarkEnd w:id="1961"/>
      <w:r w:rsidRPr="002A3CBE">
        <w:t xml:space="preserve">, 1990 and </w:t>
      </w:r>
      <w:bookmarkEnd w:id="1962"/>
      <w:bookmarkEnd w:id="1963"/>
      <w:bookmarkEnd w:id="1964"/>
      <w:bookmarkEnd w:id="1965"/>
      <w:bookmarkEnd w:id="1966"/>
      <w:bookmarkEnd w:id="1967"/>
      <w:bookmarkEnd w:id="1968"/>
      <w:bookmarkEnd w:id="1969"/>
      <w:bookmarkEnd w:id="1970"/>
      <w:bookmarkEnd w:id="1971"/>
      <w:bookmarkEnd w:id="1972"/>
      <w:r w:rsidRPr="002A3CBE">
        <w:t>2024</w:t>
      </w:r>
      <w:bookmarkEnd w:id="1973"/>
      <w:bookmarkEnd w:id="1974"/>
      <w:bookmarkEnd w:id="1975"/>
      <w:bookmarkEnd w:id="1976"/>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985"/>
        <w:gridCol w:w="1304"/>
        <w:gridCol w:w="1304"/>
        <w:gridCol w:w="1304"/>
        <w:gridCol w:w="1304"/>
        <w:gridCol w:w="1304"/>
      </w:tblGrid>
      <w:tr w:rsidR="00447423" w:rsidRPr="002A3CBE" w14:paraId="257AE7A5" w14:textId="77777777" w:rsidTr="00F16E23">
        <w:trPr>
          <w:tblHeader/>
        </w:trPr>
        <w:tc>
          <w:tcPr>
            <w:tcW w:w="1984" w:type="dxa"/>
            <w:shd w:val="clear" w:color="auto" w:fill="1B556B"/>
            <w:tcMar>
              <w:top w:w="0" w:type="dxa"/>
              <w:left w:w="85" w:type="dxa"/>
              <w:bottom w:w="0" w:type="dxa"/>
              <w:right w:w="85" w:type="dxa"/>
            </w:tcMar>
            <w:vAlign w:val="center"/>
          </w:tcPr>
          <w:p w14:paraId="404FCE8D" w14:textId="77777777" w:rsidR="00447423" w:rsidRPr="002A3CBE" w:rsidRDefault="00447423" w:rsidP="00F16E23">
            <w:pPr>
              <w:pStyle w:val="TableTextBold"/>
              <w:spacing w:before="40" w:after="0"/>
              <w:rPr>
                <w:rFonts w:eastAsia="Calibri"/>
                <w:noProof w:val="0"/>
                <w:color w:val="FFFFFF" w:themeColor="background1"/>
              </w:rPr>
            </w:pPr>
          </w:p>
        </w:tc>
        <w:tc>
          <w:tcPr>
            <w:tcW w:w="3912" w:type="dxa"/>
            <w:gridSpan w:val="3"/>
            <w:shd w:val="clear" w:color="auto" w:fill="1B556B"/>
            <w:tcMar>
              <w:top w:w="0" w:type="dxa"/>
              <w:left w:w="85" w:type="dxa"/>
              <w:bottom w:w="0" w:type="dxa"/>
              <w:right w:w="85" w:type="dxa"/>
            </w:tcMar>
            <w:vAlign w:val="center"/>
          </w:tcPr>
          <w:p w14:paraId="50B3D9D4"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Deforestation since 1990</w:t>
            </w:r>
          </w:p>
        </w:tc>
        <w:tc>
          <w:tcPr>
            <w:tcW w:w="2608" w:type="dxa"/>
            <w:gridSpan w:val="2"/>
            <w:shd w:val="clear" w:color="auto" w:fill="1B556B"/>
            <w:tcMar>
              <w:top w:w="0" w:type="dxa"/>
              <w:left w:w="85" w:type="dxa"/>
              <w:bottom w:w="0" w:type="dxa"/>
              <w:right w:w="85" w:type="dxa"/>
            </w:tcMar>
            <w:vAlign w:val="center"/>
          </w:tcPr>
          <w:p w14:paraId="1EB8755B" w14:textId="77777777" w:rsidR="00447423" w:rsidRPr="002A3CBE" w:rsidRDefault="00447423" w:rsidP="00F16E23">
            <w:pPr>
              <w:pStyle w:val="TableTextBold"/>
              <w:spacing w:before="40" w:after="0"/>
              <w:ind w:left="258"/>
              <w:jc w:val="center"/>
              <w:rPr>
                <w:rFonts w:eastAsia="Calibri"/>
                <w:noProof w:val="0"/>
                <w:color w:val="FFFFFF" w:themeColor="background1"/>
              </w:rPr>
            </w:pPr>
            <w:r w:rsidRPr="002A3CBE">
              <w:rPr>
                <w:rFonts w:eastAsia="Calibri"/>
                <w:noProof w:val="0"/>
                <w:color w:val="FFFFFF" w:themeColor="background1"/>
              </w:rPr>
              <w:t>Deforestation in 2024</w:t>
            </w:r>
          </w:p>
        </w:tc>
      </w:tr>
      <w:tr w:rsidR="00447423" w:rsidRPr="002A3CBE" w14:paraId="15315D1D" w14:textId="77777777" w:rsidTr="00F16E23">
        <w:trPr>
          <w:tblHeader/>
        </w:trPr>
        <w:tc>
          <w:tcPr>
            <w:tcW w:w="1984" w:type="dxa"/>
            <w:shd w:val="clear" w:color="auto" w:fill="1B556B"/>
            <w:tcMar>
              <w:top w:w="0" w:type="dxa"/>
              <w:left w:w="85" w:type="dxa"/>
              <w:bottom w:w="0" w:type="dxa"/>
              <w:right w:w="85" w:type="dxa"/>
            </w:tcMar>
            <w:vAlign w:val="bottom"/>
          </w:tcPr>
          <w:p w14:paraId="771578A2"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Land use</w:t>
            </w:r>
          </w:p>
        </w:tc>
        <w:tc>
          <w:tcPr>
            <w:tcW w:w="1304" w:type="dxa"/>
            <w:shd w:val="clear" w:color="auto" w:fill="1B556B"/>
            <w:tcMar>
              <w:top w:w="0" w:type="dxa"/>
              <w:left w:w="85" w:type="dxa"/>
              <w:bottom w:w="0" w:type="dxa"/>
              <w:right w:w="85" w:type="dxa"/>
            </w:tcMar>
            <w:vAlign w:val="bottom"/>
          </w:tcPr>
          <w:p w14:paraId="0DC1DAF0" w14:textId="77777777" w:rsidR="00447423" w:rsidRPr="002A3CBE" w:rsidRDefault="00447423" w:rsidP="000D1595">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Area of forest in 1990 (ha)</w:t>
            </w:r>
          </w:p>
        </w:tc>
        <w:tc>
          <w:tcPr>
            <w:tcW w:w="1304" w:type="dxa"/>
            <w:shd w:val="clear" w:color="auto" w:fill="1B556B"/>
            <w:tcMar>
              <w:top w:w="0" w:type="dxa"/>
              <w:left w:w="85" w:type="dxa"/>
              <w:bottom w:w="0" w:type="dxa"/>
              <w:right w:w="85" w:type="dxa"/>
            </w:tcMar>
            <w:vAlign w:val="bottom"/>
          </w:tcPr>
          <w:p w14:paraId="60F8D4DE" w14:textId="77777777" w:rsidR="00447423" w:rsidRPr="002A3CBE" w:rsidRDefault="00447423" w:rsidP="000D1595">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Area (ha)</w:t>
            </w:r>
          </w:p>
        </w:tc>
        <w:tc>
          <w:tcPr>
            <w:tcW w:w="1304" w:type="dxa"/>
            <w:shd w:val="clear" w:color="auto" w:fill="1B556B"/>
            <w:tcMar>
              <w:top w:w="0" w:type="dxa"/>
              <w:left w:w="85" w:type="dxa"/>
              <w:bottom w:w="0" w:type="dxa"/>
              <w:right w:w="85" w:type="dxa"/>
            </w:tcMar>
            <w:vAlign w:val="bottom"/>
          </w:tcPr>
          <w:p w14:paraId="450B44E1" w14:textId="77777777" w:rsidR="00447423" w:rsidRPr="002A3CBE" w:rsidRDefault="00447423" w:rsidP="000D1595">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Proportion of 1990 area (%)</w:t>
            </w:r>
          </w:p>
        </w:tc>
        <w:tc>
          <w:tcPr>
            <w:tcW w:w="1304" w:type="dxa"/>
            <w:shd w:val="clear" w:color="auto" w:fill="1B556B"/>
            <w:tcMar>
              <w:top w:w="0" w:type="dxa"/>
              <w:left w:w="85" w:type="dxa"/>
              <w:bottom w:w="0" w:type="dxa"/>
              <w:right w:w="85" w:type="dxa"/>
            </w:tcMar>
            <w:vAlign w:val="bottom"/>
          </w:tcPr>
          <w:p w14:paraId="5C5E4BB8" w14:textId="77777777" w:rsidR="00447423" w:rsidRPr="002A3CBE" w:rsidRDefault="00447423" w:rsidP="000D1595">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Area (ha)</w:t>
            </w:r>
          </w:p>
        </w:tc>
        <w:tc>
          <w:tcPr>
            <w:tcW w:w="1304" w:type="dxa"/>
            <w:shd w:val="clear" w:color="auto" w:fill="1B556B"/>
            <w:tcMar>
              <w:top w:w="0" w:type="dxa"/>
              <w:left w:w="85" w:type="dxa"/>
              <w:bottom w:w="0" w:type="dxa"/>
              <w:right w:w="85" w:type="dxa"/>
            </w:tcMar>
            <w:vAlign w:val="bottom"/>
          </w:tcPr>
          <w:p w14:paraId="288BC5D6" w14:textId="77777777" w:rsidR="00447423" w:rsidRPr="002A3CBE" w:rsidRDefault="00447423" w:rsidP="000D1595">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Proportion of 1990 area (%)</w:t>
            </w:r>
          </w:p>
        </w:tc>
      </w:tr>
      <w:tr w:rsidR="00447423" w:rsidRPr="002A3CBE" w14:paraId="5E39ACEC" w14:textId="77777777" w:rsidTr="00F16E23">
        <w:tc>
          <w:tcPr>
            <w:tcW w:w="1984" w:type="dxa"/>
            <w:shd w:val="clear" w:color="auto" w:fill="FFFFFF"/>
            <w:tcMar>
              <w:top w:w="0" w:type="dxa"/>
              <w:left w:w="85" w:type="dxa"/>
              <w:bottom w:w="0" w:type="dxa"/>
              <w:right w:w="85" w:type="dxa"/>
            </w:tcMar>
            <w:vAlign w:val="center"/>
          </w:tcPr>
          <w:p w14:paraId="21CDE81F" w14:textId="77777777" w:rsidR="00447423" w:rsidRPr="002A3CBE" w:rsidRDefault="00447423" w:rsidP="00F16E23">
            <w:pPr>
              <w:pStyle w:val="TableText"/>
              <w:spacing w:before="40" w:after="40"/>
              <w:rPr>
                <w:rFonts w:eastAsia="Calibri"/>
              </w:rPr>
            </w:pPr>
            <w:r w:rsidRPr="002A3CBE">
              <w:rPr>
                <w:rFonts w:eastAsia="Calibri"/>
              </w:rPr>
              <w:t>Pre-1990 natural forest</w:t>
            </w:r>
          </w:p>
        </w:tc>
        <w:tc>
          <w:tcPr>
            <w:tcW w:w="1304" w:type="dxa"/>
            <w:shd w:val="clear" w:color="auto" w:fill="FFFFFF"/>
            <w:tcMar>
              <w:top w:w="0" w:type="dxa"/>
              <w:left w:w="85" w:type="dxa"/>
              <w:bottom w:w="0" w:type="dxa"/>
              <w:right w:w="85" w:type="dxa"/>
            </w:tcMar>
            <w:vAlign w:val="center"/>
          </w:tcPr>
          <w:p w14:paraId="734EA4C8" w14:textId="77777777" w:rsidR="00447423" w:rsidRPr="002A3CBE" w:rsidRDefault="00447423" w:rsidP="00F16E23">
            <w:pPr>
              <w:pStyle w:val="TableText"/>
              <w:spacing w:before="40" w:after="40"/>
              <w:jc w:val="right"/>
              <w:rPr>
                <w:rFonts w:eastAsia="Calibri"/>
              </w:rPr>
            </w:pPr>
            <w:r w:rsidRPr="002A3CBE">
              <w:rPr>
                <w:rFonts w:eastAsia="Calibri"/>
              </w:rPr>
              <w:t>7,812,913</w:t>
            </w:r>
          </w:p>
        </w:tc>
        <w:tc>
          <w:tcPr>
            <w:tcW w:w="1304" w:type="dxa"/>
            <w:shd w:val="clear" w:color="auto" w:fill="FFFFFF"/>
            <w:tcMar>
              <w:top w:w="0" w:type="dxa"/>
              <w:left w:w="85" w:type="dxa"/>
              <w:bottom w:w="0" w:type="dxa"/>
              <w:right w:w="85" w:type="dxa"/>
            </w:tcMar>
            <w:vAlign w:val="center"/>
          </w:tcPr>
          <w:p w14:paraId="2B147D5A" w14:textId="77777777" w:rsidR="00447423" w:rsidRPr="002A3CBE" w:rsidRDefault="00447423" w:rsidP="00F16E23">
            <w:pPr>
              <w:pStyle w:val="TableText"/>
              <w:spacing w:before="40" w:after="40"/>
              <w:jc w:val="right"/>
              <w:rPr>
                <w:rFonts w:eastAsia="Calibri"/>
              </w:rPr>
            </w:pPr>
            <w:r w:rsidRPr="002A3CBE">
              <w:rPr>
                <w:rFonts w:eastAsia="Calibri"/>
              </w:rPr>
              <w:t>48,222</w:t>
            </w:r>
          </w:p>
        </w:tc>
        <w:tc>
          <w:tcPr>
            <w:tcW w:w="1304" w:type="dxa"/>
            <w:shd w:val="clear" w:color="auto" w:fill="FFFFFF"/>
            <w:tcMar>
              <w:top w:w="0" w:type="dxa"/>
              <w:left w:w="85" w:type="dxa"/>
              <w:bottom w:w="0" w:type="dxa"/>
              <w:right w:w="85" w:type="dxa"/>
            </w:tcMar>
            <w:vAlign w:val="center"/>
          </w:tcPr>
          <w:p w14:paraId="4C19A05D" w14:textId="77777777" w:rsidR="00447423" w:rsidRPr="002A3CBE" w:rsidRDefault="00447423" w:rsidP="00F16E23">
            <w:pPr>
              <w:pStyle w:val="TableText"/>
              <w:spacing w:before="40" w:after="40"/>
              <w:jc w:val="right"/>
              <w:rPr>
                <w:rFonts w:eastAsia="Calibri"/>
              </w:rPr>
            </w:pPr>
            <w:r w:rsidRPr="002A3CBE">
              <w:rPr>
                <w:rFonts w:eastAsia="Calibri"/>
              </w:rPr>
              <w:t>0.62</w:t>
            </w:r>
          </w:p>
        </w:tc>
        <w:tc>
          <w:tcPr>
            <w:tcW w:w="1304" w:type="dxa"/>
            <w:shd w:val="clear" w:color="auto" w:fill="FFFFFF"/>
            <w:tcMar>
              <w:top w:w="0" w:type="dxa"/>
              <w:left w:w="85" w:type="dxa"/>
              <w:bottom w:w="0" w:type="dxa"/>
              <w:right w:w="85" w:type="dxa"/>
            </w:tcMar>
            <w:vAlign w:val="center"/>
          </w:tcPr>
          <w:p w14:paraId="0E29F23F" w14:textId="77777777" w:rsidR="00447423" w:rsidRPr="002A3CBE" w:rsidRDefault="00447423" w:rsidP="00F16E23">
            <w:pPr>
              <w:pStyle w:val="TableText"/>
              <w:spacing w:before="40" w:after="40"/>
              <w:jc w:val="right"/>
              <w:rPr>
                <w:rFonts w:eastAsia="Calibri"/>
              </w:rPr>
            </w:pPr>
            <w:r w:rsidRPr="002A3CBE">
              <w:rPr>
                <w:rFonts w:eastAsia="Calibri"/>
              </w:rPr>
              <w:t>429</w:t>
            </w:r>
          </w:p>
        </w:tc>
        <w:tc>
          <w:tcPr>
            <w:tcW w:w="1304" w:type="dxa"/>
            <w:shd w:val="clear" w:color="auto" w:fill="FFFFFF"/>
            <w:tcMar>
              <w:top w:w="0" w:type="dxa"/>
              <w:left w:w="85" w:type="dxa"/>
              <w:bottom w:w="0" w:type="dxa"/>
              <w:right w:w="85" w:type="dxa"/>
            </w:tcMar>
            <w:vAlign w:val="center"/>
          </w:tcPr>
          <w:p w14:paraId="7A3F01EC" w14:textId="77777777" w:rsidR="00447423" w:rsidRPr="002A3CBE" w:rsidRDefault="00447423" w:rsidP="00F16E23">
            <w:pPr>
              <w:pStyle w:val="TableText"/>
              <w:spacing w:before="40" w:after="40"/>
              <w:jc w:val="right"/>
              <w:rPr>
                <w:rFonts w:eastAsia="Calibri"/>
              </w:rPr>
            </w:pPr>
            <w:r w:rsidRPr="002A3CBE">
              <w:rPr>
                <w:rFonts w:eastAsia="Calibri"/>
              </w:rPr>
              <w:t>0.01</w:t>
            </w:r>
          </w:p>
        </w:tc>
      </w:tr>
      <w:tr w:rsidR="00447423" w:rsidRPr="002A3CBE" w14:paraId="78E94278" w14:textId="77777777" w:rsidTr="002E3A1E">
        <w:tc>
          <w:tcPr>
            <w:tcW w:w="1984" w:type="dxa"/>
            <w:tcBorders>
              <w:bottom w:val="single" w:sz="4" w:space="0" w:color="1B556B" w:themeColor="text2"/>
            </w:tcBorders>
            <w:shd w:val="clear" w:color="auto" w:fill="FFFFFF"/>
            <w:tcMar>
              <w:top w:w="0" w:type="dxa"/>
              <w:left w:w="85" w:type="dxa"/>
              <w:bottom w:w="0" w:type="dxa"/>
              <w:right w:w="85" w:type="dxa"/>
            </w:tcMar>
            <w:vAlign w:val="center"/>
          </w:tcPr>
          <w:p w14:paraId="65ABD30B" w14:textId="77777777" w:rsidR="00447423" w:rsidRPr="002A3CBE" w:rsidRDefault="00447423" w:rsidP="00F16E23">
            <w:pPr>
              <w:pStyle w:val="TableText"/>
              <w:spacing w:before="40" w:after="40"/>
              <w:rPr>
                <w:rFonts w:eastAsia="Calibri"/>
              </w:rPr>
            </w:pPr>
            <w:r w:rsidRPr="002A3CBE">
              <w:rPr>
                <w:rFonts w:eastAsia="Calibri"/>
              </w:rPr>
              <w:t>Pre-1990 planted forest</w:t>
            </w:r>
          </w:p>
        </w:tc>
        <w:tc>
          <w:tcPr>
            <w:tcW w:w="1304" w:type="dxa"/>
            <w:tcBorders>
              <w:bottom w:val="single" w:sz="4" w:space="0" w:color="1B556B" w:themeColor="text2"/>
            </w:tcBorders>
            <w:shd w:val="clear" w:color="auto" w:fill="FFFFFF"/>
            <w:tcMar>
              <w:top w:w="0" w:type="dxa"/>
              <w:left w:w="85" w:type="dxa"/>
              <w:bottom w:w="0" w:type="dxa"/>
              <w:right w:w="85" w:type="dxa"/>
            </w:tcMar>
            <w:vAlign w:val="center"/>
          </w:tcPr>
          <w:p w14:paraId="0BCC29C3" w14:textId="77777777" w:rsidR="00447423" w:rsidRPr="002A3CBE" w:rsidRDefault="00447423" w:rsidP="00F16E23">
            <w:pPr>
              <w:pStyle w:val="TableText"/>
              <w:spacing w:before="40" w:after="40"/>
              <w:jc w:val="right"/>
              <w:rPr>
                <w:rFonts w:eastAsia="Calibri"/>
              </w:rPr>
            </w:pPr>
            <w:r w:rsidRPr="002A3CBE">
              <w:rPr>
                <w:rFonts w:eastAsia="Calibri"/>
              </w:rPr>
              <w:t>1,547,055</w:t>
            </w:r>
          </w:p>
        </w:tc>
        <w:tc>
          <w:tcPr>
            <w:tcW w:w="1304" w:type="dxa"/>
            <w:tcBorders>
              <w:bottom w:val="single" w:sz="4" w:space="0" w:color="1B556B" w:themeColor="text2"/>
            </w:tcBorders>
            <w:shd w:val="clear" w:color="auto" w:fill="FFFFFF"/>
            <w:tcMar>
              <w:top w:w="0" w:type="dxa"/>
              <w:left w:w="85" w:type="dxa"/>
              <w:bottom w:w="0" w:type="dxa"/>
              <w:right w:w="85" w:type="dxa"/>
            </w:tcMar>
            <w:vAlign w:val="center"/>
          </w:tcPr>
          <w:p w14:paraId="326ACC5F" w14:textId="77777777" w:rsidR="00447423" w:rsidRPr="002A3CBE" w:rsidRDefault="00447423" w:rsidP="00F16E23">
            <w:pPr>
              <w:pStyle w:val="TableText"/>
              <w:spacing w:before="40" w:after="40"/>
              <w:jc w:val="right"/>
              <w:rPr>
                <w:rFonts w:eastAsia="Calibri"/>
              </w:rPr>
            </w:pPr>
            <w:r w:rsidRPr="002A3CBE">
              <w:rPr>
                <w:rFonts w:eastAsia="Calibri"/>
              </w:rPr>
              <w:t>136,042</w:t>
            </w:r>
          </w:p>
        </w:tc>
        <w:tc>
          <w:tcPr>
            <w:tcW w:w="1304" w:type="dxa"/>
            <w:tcBorders>
              <w:bottom w:val="single" w:sz="4" w:space="0" w:color="1B556B" w:themeColor="text2"/>
            </w:tcBorders>
            <w:shd w:val="clear" w:color="auto" w:fill="FFFFFF"/>
            <w:tcMar>
              <w:top w:w="0" w:type="dxa"/>
              <w:left w:w="85" w:type="dxa"/>
              <w:bottom w:w="0" w:type="dxa"/>
              <w:right w:w="85" w:type="dxa"/>
            </w:tcMar>
            <w:vAlign w:val="center"/>
          </w:tcPr>
          <w:p w14:paraId="462F2AA2" w14:textId="77777777" w:rsidR="00447423" w:rsidRPr="002A3CBE" w:rsidRDefault="00447423" w:rsidP="00F16E23">
            <w:pPr>
              <w:pStyle w:val="TableText"/>
              <w:spacing w:before="40" w:after="40"/>
              <w:jc w:val="right"/>
              <w:rPr>
                <w:rFonts w:eastAsia="Calibri"/>
              </w:rPr>
            </w:pPr>
            <w:r w:rsidRPr="002A3CBE">
              <w:rPr>
                <w:rFonts w:eastAsia="Calibri"/>
              </w:rPr>
              <w:t>8.79</w:t>
            </w:r>
          </w:p>
        </w:tc>
        <w:tc>
          <w:tcPr>
            <w:tcW w:w="1304" w:type="dxa"/>
            <w:tcBorders>
              <w:bottom w:val="single" w:sz="4" w:space="0" w:color="1B556B" w:themeColor="text2"/>
            </w:tcBorders>
            <w:shd w:val="clear" w:color="auto" w:fill="FFFFFF"/>
            <w:tcMar>
              <w:top w:w="0" w:type="dxa"/>
              <w:left w:w="85" w:type="dxa"/>
              <w:bottom w:w="0" w:type="dxa"/>
              <w:right w:w="85" w:type="dxa"/>
            </w:tcMar>
            <w:vAlign w:val="center"/>
          </w:tcPr>
          <w:p w14:paraId="1A8365B1" w14:textId="77777777" w:rsidR="00447423" w:rsidRPr="002A3CBE" w:rsidRDefault="00447423" w:rsidP="00F16E23">
            <w:pPr>
              <w:pStyle w:val="TableText"/>
              <w:spacing w:before="40" w:after="40"/>
              <w:jc w:val="right"/>
              <w:rPr>
                <w:rFonts w:eastAsia="Calibri"/>
              </w:rPr>
            </w:pPr>
            <w:r w:rsidRPr="002A3CBE">
              <w:rPr>
                <w:rFonts w:eastAsia="Calibri"/>
              </w:rPr>
              <w:t>262</w:t>
            </w:r>
          </w:p>
        </w:tc>
        <w:tc>
          <w:tcPr>
            <w:tcW w:w="1304" w:type="dxa"/>
            <w:tcBorders>
              <w:bottom w:val="single" w:sz="4" w:space="0" w:color="1B556B" w:themeColor="text2"/>
            </w:tcBorders>
            <w:shd w:val="clear" w:color="auto" w:fill="FFFFFF"/>
            <w:tcMar>
              <w:top w:w="0" w:type="dxa"/>
              <w:left w:w="85" w:type="dxa"/>
              <w:bottom w:w="0" w:type="dxa"/>
              <w:right w:w="85" w:type="dxa"/>
            </w:tcMar>
            <w:vAlign w:val="center"/>
          </w:tcPr>
          <w:p w14:paraId="3DE0ECCD" w14:textId="77777777" w:rsidR="00447423" w:rsidRPr="002A3CBE" w:rsidRDefault="00447423" w:rsidP="00F16E23">
            <w:pPr>
              <w:pStyle w:val="TableText"/>
              <w:spacing w:before="40" w:after="40"/>
              <w:jc w:val="right"/>
              <w:rPr>
                <w:rFonts w:eastAsia="Calibri"/>
              </w:rPr>
            </w:pPr>
            <w:r w:rsidRPr="002A3CBE">
              <w:rPr>
                <w:rFonts w:eastAsia="Calibri"/>
              </w:rPr>
              <w:t>0.02</w:t>
            </w:r>
          </w:p>
        </w:tc>
      </w:tr>
      <w:tr w:rsidR="00447423" w:rsidRPr="002A3CBE" w14:paraId="6F2A3099" w14:textId="77777777" w:rsidTr="00F16E23">
        <w:tc>
          <w:tcPr>
            <w:tcW w:w="1984" w:type="dxa"/>
            <w:shd w:val="clear" w:color="auto" w:fill="FFFFFF"/>
            <w:tcMar>
              <w:top w:w="0" w:type="dxa"/>
              <w:left w:w="85" w:type="dxa"/>
              <w:bottom w:w="0" w:type="dxa"/>
              <w:right w:w="85" w:type="dxa"/>
            </w:tcMar>
            <w:vAlign w:val="center"/>
          </w:tcPr>
          <w:p w14:paraId="27A7F92B" w14:textId="77777777" w:rsidR="00447423" w:rsidRPr="002A3CBE" w:rsidRDefault="00447423" w:rsidP="00F16E23">
            <w:pPr>
              <w:pStyle w:val="TableText"/>
              <w:spacing w:before="40" w:after="40"/>
              <w:rPr>
                <w:rFonts w:eastAsia="Calibri"/>
              </w:rPr>
            </w:pPr>
            <w:r w:rsidRPr="002A3CBE">
              <w:rPr>
                <w:rFonts w:eastAsia="Calibri"/>
              </w:rPr>
              <w:t>Post-1989 planted forest</w:t>
            </w:r>
          </w:p>
        </w:tc>
        <w:tc>
          <w:tcPr>
            <w:tcW w:w="1304" w:type="dxa"/>
            <w:shd w:val="clear" w:color="auto" w:fill="FFFFFF"/>
            <w:tcMar>
              <w:top w:w="0" w:type="dxa"/>
              <w:left w:w="85" w:type="dxa"/>
              <w:bottom w:w="0" w:type="dxa"/>
              <w:right w:w="85" w:type="dxa"/>
            </w:tcMar>
            <w:vAlign w:val="center"/>
          </w:tcPr>
          <w:p w14:paraId="720EBEF5" w14:textId="77777777" w:rsidR="00447423" w:rsidRPr="002A3CBE" w:rsidRDefault="00447423" w:rsidP="00F16E23">
            <w:pPr>
              <w:pStyle w:val="TableText"/>
              <w:spacing w:before="40" w:after="40"/>
              <w:jc w:val="right"/>
              <w:rPr>
                <w:rFonts w:eastAsia="Calibri"/>
              </w:rPr>
            </w:pPr>
            <w:r w:rsidRPr="002A3CBE">
              <w:rPr>
                <w:rFonts w:eastAsia="Calibri"/>
              </w:rPr>
              <w:t>0</w:t>
            </w:r>
          </w:p>
        </w:tc>
        <w:tc>
          <w:tcPr>
            <w:tcW w:w="1304" w:type="dxa"/>
            <w:shd w:val="clear" w:color="auto" w:fill="FFFFFF"/>
            <w:tcMar>
              <w:top w:w="0" w:type="dxa"/>
              <w:left w:w="85" w:type="dxa"/>
              <w:bottom w:w="0" w:type="dxa"/>
              <w:right w:w="85" w:type="dxa"/>
            </w:tcMar>
            <w:vAlign w:val="center"/>
          </w:tcPr>
          <w:p w14:paraId="3AC0C320" w14:textId="77777777" w:rsidR="00447423" w:rsidRPr="002A3CBE" w:rsidRDefault="00447423" w:rsidP="00F16E23">
            <w:pPr>
              <w:pStyle w:val="TableText"/>
              <w:spacing w:before="40" w:after="40"/>
              <w:jc w:val="right"/>
              <w:rPr>
                <w:rFonts w:eastAsia="Calibri"/>
              </w:rPr>
            </w:pPr>
            <w:r w:rsidRPr="002A3CBE">
              <w:rPr>
                <w:rFonts w:eastAsia="Calibri"/>
              </w:rPr>
              <w:t>59,177</w:t>
            </w:r>
          </w:p>
        </w:tc>
        <w:tc>
          <w:tcPr>
            <w:tcW w:w="1304" w:type="dxa"/>
            <w:shd w:val="clear" w:color="auto" w:fill="FFFFFF"/>
            <w:tcMar>
              <w:top w:w="0" w:type="dxa"/>
              <w:left w:w="85" w:type="dxa"/>
              <w:bottom w:w="0" w:type="dxa"/>
              <w:right w:w="85" w:type="dxa"/>
            </w:tcMar>
            <w:vAlign w:val="center"/>
          </w:tcPr>
          <w:p w14:paraId="100A81DD" w14:textId="77777777" w:rsidR="00447423" w:rsidRPr="002A3CBE" w:rsidRDefault="00447423" w:rsidP="00F16E23">
            <w:pPr>
              <w:pStyle w:val="TableText"/>
              <w:spacing w:before="40" w:after="40"/>
              <w:jc w:val="right"/>
              <w:rPr>
                <w:rFonts w:eastAsia="Calibri"/>
              </w:rPr>
            </w:pPr>
            <w:r w:rsidRPr="002A3CBE">
              <w:rPr>
                <w:rFonts w:asciiTheme="minorHAnsi" w:eastAsia="Calibri" w:hAnsiTheme="minorHAnsi" w:cstheme="minorHAnsi"/>
              </w:rPr>
              <w:t>–</w:t>
            </w:r>
          </w:p>
        </w:tc>
        <w:tc>
          <w:tcPr>
            <w:tcW w:w="1304" w:type="dxa"/>
            <w:shd w:val="clear" w:color="auto" w:fill="FFFFFF"/>
            <w:tcMar>
              <w:top w:w="0" w:type="dxa"/>
              <w:left w:w="85" w:type="dxa"/>
              <w:bottom w:w="0" w:type="dxa"/>
              <w:right w:w="85" w:type="dxa"/>
            </w:tcMar>
            <w:vAlign w:val="center"/>
          </w:tcPr>
          <w:p w14:paraId="7E24A996" w14:textId="77777777" w:rsidR="00447423" w:rsidRPr="002A3CBE" w:rsidRDefault="00447423" w:rsidP="00F16E23">
            <w:pPr>
              <w:pStyle w:val="TableText"/>
              <w:spacing w:before="40" w:after="40"/>
              <w:jc w:val="right"/>
              <w:rPr>
                <w:rFonts w:eastAsia="Calibri"/>
              </w:rPr>
            </w:pPr>
            <w:r w:rsidRPr="002A3CBE">
              <w:rPr>
                <w:rFonts w:eastAsia="Calibri"/>
              </w:rPr>
              <w:t>1,149</w:t>
            </w:r>
          </w:p>
        </w:tc>
        <w:tc>
          <w:tcPr>
            <w:tcW w:w="1304" w:type="dxa"/>
            <w:shd w:val="clear" w:color="auto" w:fill="FFFFFF"/>
            <w:tcMar>
              <w:top w:w="0" w:type="dxa"/>
              <w:left w:w="85" w:type="dxa"/>
              <w:bottom w:w="0" w:type="dxa"/>
              <w:right w:w="85" w:type="dxa"/>
            </w:tcMar>
            <w:vAlign w:val="center"/>
          </w:tcPr>
          <w:p w14:paraId="5F8AE96F" w14:textId="77777777" w:rsidR="00447423" w:rsidRPr="002A3CBE" w:rsidRDefault="00447423" w:rsidP="00F16E23">
            <w:pPr>
              <w:pStyle w:val="TableText"/>
              <w:spacing w:before="40" w:after="40"/>
              <w:jc w:val="right"/>
              <w:rPr>
                <w:rFonts w:eastAsia="Calibri"/>
              </w:rPr>
            </w:pPr>
            <w:r w:rsidRPr="002A3CBE">
              <w:rPr>
                <w:rFonts w:asciiTheme="minorHAnsi" w:eastAsia="Calibri" w:hAnsiTheme="minorHAnsi" w:cstheme="minorHAnsi"/>
              </w:rPr>
              <w:t>–</w:t>
            </w:r>
          </w:p>
        </w:tc>
      </w:tr>
      <w:tr w:rsidR="00447423" w:rsidRPr="002A3CBE" w14:paraId="2E3E0203" w14:textId="77777777" w:rsidTr="00F16E23">
        <w:tc>
          <w:tcPr>
            <w:tcW w:w="1984" w:type="dxa"/>
            <w:shd w:val="clear" w:color="auto" w:fill="FFFFFF"/>
            <w:tcMar>
              <w:top w:w="0" w:type="dxa"/>
              <w:left w:w="85" w:type="dxa"/>
              <w:bottom w:w="0" w:type="dxa"/>
              <w:right w:w="85" w:type="dxa"/>
            </w:tcMar>
            <w:vAlign w:val="center"/>
          </w:tcPr>
          <w:p w14:paraId="40973F4A" w14:textId="77777777" w:rsidR="00447423" w:rsidRPr="002A3CBE" w:rsidRDefault="00447423" w:rsidP="00F16E23">
            <w:pPr>
              <w:pStyle w:val="TableText"/>
              <w:spacing w:before="40" w:after="40"/>
              <w:rPr>
                <w:rFonts w:eastAsia="Calibri"/>
              </w:rPr>
            </w:pPr>
            <w:r w:rsidRPr="002A3CBE">
              <w:rPr>
                <w:rFonts w:eastAsia="Calibri"/>
              </w:rPr>
              <w:t>Post-1989 natural forest</w:t>
            </w:r>
          </w:p>
        </w:tc>
        <w:tc>
          <w:tcPr>
            <w:tcW w:w="1304" w:type="dxa"/>
            <w:shd w:val="clear" w:color="auto" w:fill="FFFFFF"/>
            <w:tcMar>
              <w:top w:w="0" w:type="dxa"/>
              <w:left w:w="85" w:type="dxa"/>
              <w:bottom w:w="0" w:type="dxa"/>
              <w:right w:w="85" w:type="dxa"/>
            </w:tcMar>
            <w:vAlign w:val="center"/>
          </w:tcPr>
          <w:p w14:paraId="0563CE55" w14:textId="77777777" w:rsidR="00447423" w:rsidRPr="002A3CBE" w:rsidRDefault="00447423" w:rsidP="00F16E23">
            <w:pPr>
              <w:pStyle w:val="TableText"/>
              <w:spacing w:before="40" w:after="40"/>
              <w:jc w:val="right"/>
              <w:rPr>
                <w:rFonts w:eastAsia="Calibri"/>
              </w:rPr>
            </w:pPr>
            <w:r w:rsidRPr="002A3CBE">
              <w:rPr>
                <w:rFonts w:eastAsia="Calibri"/>
              </w:rPr>
              <w:t>0</w:t>
            </w:r>
          </w:p>
        </w:tc>
        <w:tc>
          <w:tcPr>
            <w:tcW w:w="1304" w:type="dxa"/>
            <w:shd w:val="clear" w:color="auto" w:fill="FFFFFF"/>
            <w:tcMar>
              <w:top w:w="0" w:type="dxa"/>
              <w:left w:w="85" w:type="dxa"/>
              <w:bottom w:w="0" w:type="dxa"/>
              <w:right w:w="85" w:type="dxa"/>
            </w:tcMar>
            <w:vAlign w:val="center"/>
          </w:tcPr>
          <w:p w14:paraId="60EF3B30" w14:textId="77777777" w:rsidR="00447423" w:rsidRPr="002A3CBE" w:rsidRDefault="00447423" w:rsidP="00F16E23">
            <w:pPr>
              <w:pStyle w:val="TableText"/>
              <w:spacing w:before="40" w:after="40"/>
              <w:jc w:val="right"/>
              <w:rPr>
                <w:rFonts w:eastAsia="Calibri"/>
              </w:rPr>
            </w:pPr>
            <w:r w:rsidRPr="002A3CBE">
              <w:rPr>
                <w:rFonts w:eastAsia="Calibri"/>
              </w:rPr>
              <w:t>2,458</w:t>
            </w:r>
          </w:p>
        </w:tc>
        <w:tc>
          <w:tcPr>
            <w:tcW w:w="1304" w:type="dxa"/>
            <w:shd w:val="clear" w:color="auto" w:fill="FFFFFF"/>
            <w:tcMar>
              <w:top w:w="0" w:type="dxa"/>
              <w:left w:w="85" w:type="dxa"/>
              <w:bottom w:w="0" w:type="dxa"/>
              <w:right w:w="85" w:type="dxa"/>
            </w:tcMar>
            <w:vAlign w:val="center"/>
          </w:tcPr>
          <w:p w14:paraId="54BE9600" w14:textId="77777777" w:rsidR="00447423" w:rsidRPr="002A3CBE" w:rsidRDefault="00447423" w:rsidP="00F16E23">
            <w:pPr>
              <w:pStyle w:val="TableText"/>
              <w:spacing w:before="40" w:after="40"/>
              <w:jc w:val="right"/>
              <w:rPr>
                <w:rFonts w:eastAsia="Calibri"/>
              </w:rPr>
            </w:pPr>
            <w:r w:rsidRPr="002A3CBE">
              <w:rPr>
                <w:rFonts w:asciiTheme="minorHAnsi" w:eastAsia="Calibri" w:hAnsiTheme="minorHAnsi" w:cstheme="minorHAnsi"/>
              </w:rPr>
              <w:t>–</w:t>
            </w:r>
          </w:p>
        </w:tc>
        <w:tc>
          <w:tcPr>
            <w:tcW w:w="1304" w:type="dxa"/>
            <w:shd w:val="clear" w:color="auto" w:fill="FFFFFF"/>
            <w:tcMar>
              <w:top w:w="0" w:type="dxa"/>
              <w:left w:w="85" w:type="dxa"/>
              <w:bottom w:w="0" w:type="dxa"/>
              <w:right w:w="85" w:type="dxa"/>
            </w:tcMar>
            <w:vAlign w:val="center"/>
          </w:tcPr>
          <w:p w14:paraId="2E8D579E" w14:textId="77777777" w:rsidR="00447423" w:rsidRPr="002A3CBE" w:rsidRDefault="00447423" w:rsidP="00F16E23">
            <w:pPr>
              <w:pStyle w:val="TableText"/>
              <w:spacing w:before="40" w:after="40"/>
              <w:jc w:val="right"/>
              <w:rPr>
                <w:rFonts w:eastAsia="Calibri"/>
              </w:rPr>
            </w:pPr>
            <w:r w:rsidRPr="002A3CBE">
              <w:rPr>
                <w:rFonts w:eastAsia="Calibri"/>
              </w:rPr>
              <w:t>243</w:t>
            </w:r>
          </w:p>
        </w:tc>
        <w:tc>
          <w:tcPr>
            <w:tcW w:w="1304" w:type="dxa"/>
            <w:shd w:val="clear" w:color="auto" w:fill="FFFFFF"/>
            <w:tcMar>
              <w:top w:w="0" w:type="dxa"/>
              <w:left w:w="85" w:type="dxa"/>
              <w:bottom w:w="0" w:type="dxa"/>
              <w:right w:w="85" w:type="dxa"/>
            </w:tcMar>
            <w:vAlign w:val="center"/>
          </w:tcPr>
          <w:p w14:paraId="7F670529" w14:textId="77777777" w:rsidR="00447423" w:rsidRPr="002A3CBE" w:rsidRDefault="00447423" w:rsidP="00F16E23">
            <w:pPr>
              <w:pStyle w:val="TableText"/>
              <w:spacing w:before="40" w:after="40"/>
              <w:jc w:val="right"/>
              <w:rPr>
                <w:rFonts w:eastAsia="Calibri"/>
              </w:rPr>
            </w:pPr>
            <w:r w:rsidRPr="002A3CBE">
              <w:rPr>
                <w:rFonts w:asciiTheme="minorHAnsi" w:eastAsia="Calibri" w:hAnsiTheme="minorHAnsi" w:cstheme="minorHAnsi"/>
              </w:rPr>
              <w:t>–</w:t>
            </w:r>
          </w:p>
        </w:tc>
      </w:tr>
      <w:tr w:rsidR="00447423" w:rsidRPr="002A3CBE" w14:paraId="69A94BBD" w14:textId="77777777" w:rsidTr="00F16E23">
        <w:tc>
          <w:tcPr>
            <w:tcW w:w="1984" w:type="dxa"/>
            <w:shd w:val="clear" w:color="auto" w:fill="FFFFFF"/>
            <w:tcMar>
              <w:top w:w="0" w:type="dxa"/>
              <w:left w:w="85" w:type="dxa"/>
              <w:bottom w:w="0" w:type="dxa"/>
              <w:right w:w="85" w:type="dxa"/>
            </w:tcMar>
            <w:vAlign w:val="center"/>
          </w:tcPr>
          <w:p w14:paraId="1BDFFA58"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304" w:type="dxa"/>
            <w:shd w:val="clear" w:color="auto" w:fill="FFFFFF"/>
            <w:tcMar>
              <w:top w:w="0" w:type="dxa"/>
              <w:left w:w="85" w:type="dxa"/>
              <w:bottom w:w="0" w:type="dxa"/>
              <w:right w:w="85" w:type="dxa"/>
            </w:tcMar>
            <w:vAlign w:val="center"/>
          </w:tcPr>
          <w:p w14:paraId="7A93BFDB" w14:textId="77777777" w:rsidR="00447423" w:rsidRPr="002A3CBE" w:rsidRDefault="00447423" w:rsidP="00F16E23">
            <w:pPr>
              <w:pStyle w:val="Tableboldblue"/>
              <w:spacing w:before="40" w:after="40"/>
              <w:jc w:val="right"/>
              <w:rPr>
                <w:rFonts w:eastAsia="Calibri"/>
              </w:rPr>
            </w:pPr>
            <w:r w:rsidRPr="002A3CBE">
              <w:rPr>
                <w:rFonts w:eastAsia="Calibri"/>
              </w:rPr>
              <w:t>9,359,968</w:t>
            </w:r>
          </w:p>
        </w:tc>
        <w:tc>
          <w:tcPr>
            <w:tcW w:w="1304" w:type="dxa"/>
            <w:shd w:val="clear" w:color="auto" w:fill="FFFFFF"/>
            <w:tcMar>
              <w:top w:w="0" w:type="dxa"/>
              <w:left w:w="85" w:type="dxa"/>
              <w:bottom w:w="0" w:type="dxa"/>
              <w:right w:w="85" w:type="dxa"/>
            </w:tcMar>
            <w:vAlign w:val="center"/>
          </w:tcPr>
          <w:p w14:paraId="1134361D" w14:textId="77777777" w:rsidR="00447423" w:rsidRPr="002A3CBE" w:rsidRDefault="00447423" w:rsidP="00F16E23">
            <w:pPr>
              <w:pStyle w:val="Tableboldblue"/>
              <w:spacing w:before="40" w:after="40"/>
              <w:jc w:val="right"/>
              <w:rPr>
                <w:rFonts w:eastAsia="Calibri"/>
              </w:rPr>
            </w:pPr>
            <w:r w:rsidRPr="002A3CBE">
              <w:rPr>
                <w:rFonts w:eastAsia="Calibri"/>
              </w:rPr>
              <w:t>245,898</w:t>
            </w:r>
          </w:p>
        </w:tc>
        <w:tc>
          <w:tcPr>
            <w:tcW w:w="1304" w:type="dxa"/>
            <w:shd w:val="clear" w:color="auto" w:fill="FFFFFF"/>
            <w:tcMar>
              <w:top w:w="0" w:type="dxa"/>
              <w:left w:w="85" w:type="dxa"/>
              <w:bottom w:w="0" w:type="dxa"/>
              <w:right w:w="85" w:type="dxa"/>
            </w:tcMar>
            <w:vAlign w:val="center"/>
          </w:tcPr>
          <w:p w14:paraId="1B0CAC43" w14:textId="77777777" w:rsidR="00447423" w:rsidRPr="002A3CBE" w:rsidRDefault="00447423" w:rsidP="00F16E23">
            <w:pPr>
              <w:pStyle w:val="Tableboldblue"/>
              <w:spacing w:before="40" w:after="40"/>
              <w:jc w:val="right"/>
              <w:rPr>
                <w:rFonts w:eastAsia="Calibri"/>
              </w:rPr>
            </w:pPr>
            <w:r w:rsidRPr="002A3CBE">
              <w:rPr>
                <w:rFonts w:eastAsia="Calibri"/>
              </w:rPr>
              <w:t>2.63</w:t>
            </w:r>
          </w:p>
        </w:tc>
        <w:tc>
          <w:tcPr>
            <w:tcW w:w="1304" w:type="dxa"/>
            <w:shd w:val="clear" w:color="auto" w:fill="FFFFFF"/>
            <w:tcMar>
              <w:top w:w="0" w:type="dxa"/>
              <w:left w:w="85" w:type="dxa"/>
              <w:bottom w:w="0" w:type="dxa"/>
              <w:right w:w="85" w:type="dxa"/>
            </w:tcMar>
            <w:vAlign w:val="center"/>
          </w:tcPr>
          <w:p w14:paraId="503942E2" w14:textId="77777777" w:rsidR="00447423" w:rsidRPr="002A3CBE" w:rsidRDefault="00447423" w:rsidP="00F16E23">
            <w:pPr>
              <w:pStyle w:val="Tableboldblue"/>
              <w:spacing w:before="40" w:after="40"/>
              <w:jc w:val="right"/>
              <w:rPr>
                <w:rFonts w:eastAsia="Calibri"/>
              </w:rPr>
            </w:pPr>
            <w:r w:rsidRPr="002A3CBE">
              <w:rPr>
                <w:rFonts w:eastAsia="Calibri"/>
              </w:rPr>
              <w:t>2,083</w:t>
            </w:r>
          </w:p>
        </w:tc>
        <w:tc>
          <w:tcPr>
            <w:tcW w:w="1304" w:type="dxa"/>
            <w:shd w:val="clear" w:color="auto" w:fill="FFFFFF"/>
            <w:tcMar>
              <w:top w:w="0" w:type="dxa"/>
              <w:left w:w="85" w:type="dxa"/>
              <w:bottom w:w="0" w:type="dxa"/>
              <w:right w:w="85" w:type="dxa"/>
            </w:tcMar>
            <w:vAlign w:val="center"/>
          </w:tcPr>
          <w:p w14:paraId="3FC7A8F3" w14:textId="77777777" w:rsidR="00447423" w:rsidRPr="002A3CBE" w:rsidRDefault="00447423" w:rsidP="00F16E23">
            <w:pPr>
              <w:pStyle w:val="Tableboldblue"/>
              <w:spacing w:before="40" w:after="40"/>
              <w:jc w:val="right"/>
              <w:rPr>
                <w:rFonts w:eastAsia="Calibri"/>
              </w:rPr>
            </w:pPr>
            <w:r w:rsidRPr="002A3CBE">
              <w:rPr>
                <w:rFonts w:eastAsia="Calibri"/>
              </w:rPr>
              <w:t>0.02</w:t>
            </w:r>
          </w:p>
        </w:tc>
      </w:tr>
    </w:tbl>
    <w:p w14:paraId="1ECB8D38" w14:textId="77777777" w:rsidR="00447423" w:rsidRPr="002A3CBE" w:rsidRDefault="00447423" w:rsidP="00447423">
      <w:pPr>
        <w:pStyle w:val="Noteundertable"/>
      </w:pPr>
      <w:r w:rsidRPr="002A3CBE">
        <w:rPr>
          <w:b/>
        </w:rPr>
        <w:t>Note:</w:t>
      </w:r>
      <w:r w:rsidRPr="002A3CBE">
        <w:tab/>
        <w:t>The 2024 areas are as at 31 December 2024; 1990 areas are as at 1 January 1990 and, therefore, differ from 1990 area values in the common reporting tables, which are as at 31 December 1990. Columns may not total due to rounding.</w:t>
      </w:r>
    </w:p>
    <w:p w14:paraId="01F564FB" w14:textId="77777777" w:rsidR="00447423" w:rsidRPr="002A3CBE" w:rsidRDefault="00447423" w:rsidP="00447423">
      <w:pPr>
        <w:pStyle w:val="Figure"/>
      </w:pPr>
      <w:bookmarkStart w:id="1977" w:name="_Toc33529483"/>
      <w:bookmarkStart w:id="1978" w:name="_Toc36292813"/>
      <w:bookmarkStart w:id="1979" w:name="_Toc131591573"/>
      <w:bookmarkStart w:id="1980" w:name="_Toc158979913"/>
      <w:bookmarkStart w:id="1981" w:name="_Toc164154041"/>
      <w:bookmarkStart w:id="1982" w:name="_Toc190873410"/>
      <w:bookmarkStart w:id="1983" w:name="_Toc194674874"/>
      <w:bookmarkStart w:id="1984" w:name="_Toc222837974"/>
      <w:bookmarkStart w:id="1985" w:name="_Toc226200701"/>
      <w:r w:rsidRPr="002A3CBE">
        <w:t>Figure 6.4.4</w:t>
      </w:r>
      <w:r w:rsidRPr="002A3CBE">
        <w:tab/>
        <w:t xml:space="preserve">New Zealand’s area of deforestation by </w:t>
      </w:r>
      <w:r w:rsidRPr="002A3CBE">
        <w:rPr>
          <w:i/>
        </w:rPr>
        <w:t>Forest land</w:t>
      </w:r>
      <w:r w:rsidRPr="002A3CBE">
        <w:t xml:space="preserve"> category</w:t>
      </w:r>
      <w:bookmarkEnd w:id="1977"/>
      <w:bookmarkEnd w:id="1978"/>
      <w:bookmarkEnd w:id="1979"/>
      <w:bookmarkEnd w:id="1980"/>
      <w:bookmarkEnd w:id="1981"/>
      <w:bookmarkEnd w:id="1982"/>
      <w:bookmarkEnd w:id="1983"/>
      <w:bookmarkEnd w:id="1984"/>
      <w:r w:rsidRPr="002A3CBE">
        <w:t>, from 1990 to 2024</w:t>
      </w:r>
      <w:bookmarkEnd w:id="1985"/>
    </w:p>
    <w:p w14:paraId="3E2F972C" w14:textId="77777777" w:rsidR="00447423" w:rsidRPr="002A3CBE" w:rsidRDefault="00447423" w:rsidP="00447423">
      <w:pPr>
        <w:pStyle w:val="BodyText"/>
        <w:spacing w:after="160"/>
        <w:jc w:val="center"/>
      </w:pPr>
      <w:r w:rsidRPr="002A3CBE">
        <w:rPr>
          <w:noProof/>
        </w:rPr>
        <w:drawing>
          <wp:inline distT="0" distB="0" distL="0" distR="0" wp14:anchorId="63733C91" wp14:editId="56E7769E">
            <wp:extent cx="4572000" cy="3584448"/>
            <wp:effectExtent l="0" t="0" r="0" b="0"/>
            <wp:docPr id="1887955012" name="Picture 1887955012"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55012" name="Picture 1887955012" descr="A graph of different colored bars&#10;&#10;AI-generated content may be incorrect."/>
                    <pic:cNvPicPr>
                      <a:picLocks noChangeAspect="1" noChangeArrowheads="1"/>
                    </pic:cNvPicPr>
                  </pic:nvPicPr>
                  <pic:blipFill rotWithShape="1">
                    <a:blip r:embed="rId221"/>
                    <a:srcRect t="1" b="2001"/>
                    <a:stretch>
                      <a:fillRect/>
                    </a:stretch>
                  </pic:blipFill>
                  <pic:spPr bwMode="auto">
                    <a:xfrm>
                      <a:off x="0" y="0"/>
                      <a:ext cx="63500" cy="49784"/>
                    </a:xfrm>
                    <a:prstGeom prst="rect">
                      <a:avLst/>
                    </a:prstGeom>
                    <a:noFill/>
                    <a:ln>
                      <a:noFill/>
                    </a:ln>
                    <a:extLst>
                      <a:ext uri="{53640926-AAD7-44D8-BBD7-CCE9431645EC}">
                        <a14:shadowObscured xmlns:a14="http://schemas.microsoft.com/office/drawing/2010/main"/>
                      </a:ext>
                    </a:extLst>
                  </pic:spPr>
                </pic:pic>
              </a:graphicData>
            </a:graphic>
          </wp:inline>
        </w:drawing>
      </w:r>
    </w:p>
    <w:p w14:paraId="42C75059" w14:textId="77777777" w:rsidR="00447423" w:rsidRPr="002A3CBE" w:rsidRDefault="00447423" w:rsidP="00447423">
      <w:pPr>
        <w:pStyle w:val="BodyText"/>
      </w:pPr>
      <w:r w:rsidRPr="002A3CBE">
        <w:t>New Zealand assumes instant emissions of all biomass carbon at the time of deforestation, based on the following.</w:t>
      </w:r>
    </w:p>
    <w:p w14:paraId="73623D3F" w14:textId="77777777" w:rsidR="00447423" w:rsidRPr="002A3CBE" w:rsidRDefault="00447423" w:rsidP="00447423">
      <w:pPr>
        <w:pStyle w:val="Bullet"/>
        <w:numPr>
          <w:ilvl w:val="0"/>
          <w:numId w:val="29"/>
        </w:numPr>
        <w:ind w:left="397" w:hanging="397"/>
      </w:pPr>
      <w:r w:rsidRPr="002A3CBE">
        <w:t xml:space="preserve">The majority of deforestation since 2000 has resulted from land conversion to </w:t>
      </w:r>
      <w:r w:rsidRPr="002A3CBE">
        <w:rPr>
          <w:i/>
          <w:iCs/>
        </w:rPr>
        <w:t>Grassland</w:t>
      </w:r>
      <w:r w:rsidRPr="002A3CBE">
        <w:t>, leading to the rapid removal of all biomass as the land is prepared for farming.</w:t>
      </w:r>
    </w:p>
    <w:p w14:paraId="1AD48EB4" w14:textId="77777777" w:rsidR="00447423" w:rsidRPr="002A3CBE" w:rsidRDefault="00447423" w:rsidP="00447423">
      <w:pPr>
        <w:pStyle w:val="Bullet"/>
        <w:numPr>
          <w:ilvl w:val="0"/>
          <w:numId w:val="29"/>
        </w:numPr>
        <w:ind w:left="397" w:hanging="397"/>
      </w:pPr>
      <w:r w:rsidRPr="002A3CBE">
        <w:t>It is not practical to estimate emissions from residues following deforestation activity, given the rapid conversion from one land use to another and the multiple methods of removing residues. Furthermore, estimating biomass residue and decay rates for multiple disposal methods is difficult and costly.</w:t>
      </w:r>
    </w:p>
    <w:p w14:paraId="677349C2" w14:textId="487167A8" w:rsidR="00447423" w:rsidRPr="002A3CBE" w:rsidRDefault="00447423" w:rsidP="00447423">
      <w:pPr>
        <w:pStyle w:val="BodyText"/>
      </w:pPr>
      <w:r w:rsidRPr="002A3CBE">
        <w:t xml:space="preserve">Estimates of deforestation emissions for pre-1990 natural forest are based on the type of vegetation deforested, classed as tall forest or regenerating. This is done using spatial data on land cover (sourced from the Land Cover Database version 5 using the 2008 map year). These forest categories are defined in table 6.4.5. Tall forest deforestation emissions are </w:t>
      </w:r>
      <w:r w:rsidRPr="002A3CBE">
        <w:rPr>
          <w:spacing w:val="-2"/>
        </w:rPr>
        <w:t>determined from the average biomass carbon stock, per hectare, for tall forests. Regenerating</w:t>
      </w:r>
      <w:r w:rsidRPr="002A3CBE">
        <w:t xml:space="preserve"> forest deforestation emissions are determined from the average biomass carbon stock, per hectare, for regenerating forests. All carbon in biomass, for both tall and regenerating forest, is assumed in the calculations to be an instantaneous emission at the time of deforestation, because no information on the time lag of emissions from dead organic matter or below-ground biomass is currently available. Table 6.4.6 shows the</w:t>
      </w:r>
      <w:r w:rsidRPr="002A3CBE" w:rsidDel="00E24861">
        <w:t xml:space="preserve"> </w:t>
      </w:r>
      <w:r w:rsidRPr="002A3CBE">
        <w:t>areas of these two forest categories and table 6.4.7 shows the areas of pre-1990 natural forest deforestation split by</w:t>
      </w:r>
      <w:r w:rsidR="000D1595">
        <w:t> </w:t>
      </w:r>
      <w:r w:rsidRPr="002A3CBE">
        <w:t>these two forest types.</w:t>
      </w:r>
    </w:p>
    <w:p w14:paraId="4CE1846C" w14:textId="77777777" w:rsidR="00447423" w:rsidRPr="002A3CBE" w:rsidRDefault="00447423" w:rsidP="00447423">
      <w:pPr>
        <w:pStyle w:val="Table"/>
      </w:pPr>
      <w:bookmarkStart w:id="1986" w:name="_Toc131591395"/>
      <w:bookmarkStart w:id="1987" w:name="_Toc158979953"/>
      <w:bookmarkStart w:id="1988" w:name="_Toc164153886"/>
      <w:bookmarkStart w:id="1989" w:name="_Toc190873120"/>
      <w:bookmarkStart w:id="1990" w:name="_Toc194241759"/>
      <w:bookmarkStart w:id="1991" w:name="_Toc222837910"/>
      <w:bookmarkStart w:id="1992" w:name="_Toc226669056"/>
      <w:r w:rsidRPr="002A3CBE">
        <w:t>Table 6.4.5</w:t>
      </w:r>
      <w:r w:rsidRPr="002A3CBE">
        <w:tab/>
        <w:t>Pre-1990 natural forest categories and description</w:t>
      </w:r>
      <w:bookmarkEnd w:id="1986"/>
      <w:bookmarkEnd w:id="1987"/>
      <w:bookmarkEnd w:id="1988"/>
      <w:bookmarkEnd w:id="1989"/>
      <w:bookmarkEnd w:id="1990"/>
      <w:bookmarkEnd w:id="1991"/>
      <w:bookmarkEnd w:id="1992"/>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843"/>
        <w:gridCol w:w="6662"/>
      </w:tblGrid>
      <w:tr w:rsidR="00447423" w:rsidRPr="002A3CBE" w14:paraId="71E29DE3" w14:textId="77777777" w:rsidTr="00F16E23">
        <w:trPr>
          <w:tblHeader/>
        </w:trPr>
        <w:tc>
          <w:tcPr>
            <w:tcW w:w="1843" w:type="dxa"/>
            <w:shd w:val="clear" w:color="auto" w:fill="1B556B"/>
            <w:hideMark/>
          </w:tcPr>
          <w:p w14:paraId="02A20120" w14:textId="77777777" w:rsidR="00447423" w:rsidRPr="002A3CBE" w:rsidRDefault="00447423" w:rsidP="00F16E23">
            <w:pPr>
              <w:pStyle w:val="TableTextBold"/>
              <w:keepNext/>
              <w:spacing w:before="50" w:after="50" w:line="257" w:lineRule="auto"/>
              <w:rPr>
                <w:noProof w:val="0"/>
                <w:color w:val="FFFFFF"/>
              </w:rPr>
            </w:pPr>
            <w:r w:rsidRPr="002A3CBE">
              <w:rPr>
                <w:noProof w:val="0"/>
                <w:color w:val="FFFFFF"/>
              </w:rPr>
              <w:t>Natural forest category</w:t>
            </w:r>
          </w:p>
        </w:tc>
        <w:tc>
          <w:tcPr>
            <w:tcW w:w="6662" w:type="dxa"/>
            <w:shd w:val="clear" w:color="auto" w:fill="1B556B"/>
            <w:hideMark/>
          </w:tcPr>
          <w:p w14:paraId="1C11CC98" w14:textId="77777777" w:rsidR="00447423" w:rsidRPr="002A3CBE" w:rsidRDefault="00447423" w:rsidP="00F16E23">
            <w:pPr>
              <w:pStyle w:val="TableTextBold"/>
              <w:keepNext/>
              <w:spacing w:before="50" w:after="50" w:line="257" w:lineRule="auto"/>
              <w:rPr>
                <w:noProof w:val="0"/>
                <w:color w:val="FFFFFF"/>
              </w:rPr>
            </w:pPr>
            <w:r w:rsidRPr="002A3CBE">
              <w:rPr>
                <w:noProof w:val="0"/>
                <w:color w:val="FFFFFF"/>
              </w:rPr>
              <w:t>Description</w:t>
            </w:r>
          </w:p>
        </w:tc>
      </w:tr>
      <w:tr w:rsidR="00447423" w:rsidRPr="002A3CBE" w14:paraId="1D1D2CD9" w14:textId="77777777" w:rsidTr="00F16E23">
        <w:tc>
          <w:tcPr>
            <w:tcW w:w="1843" w:type="dxa"/>
            <w:hideMark/>
          </w:tcPr>
          <w:p w14:paraId="1DD006ED" w14:textId="77777777" w:rsidR="00447423" w:rsidRPr="002A3CBE" w:rsidRDefault="00447423" w:rsidP="00F16E23">
            <w:pPr>
              <w:pStyle w:val="TableText"/>
              <w:keepNext/>
              <w:spacing w:before="50" w:after="50" w:line="257" w:lineRule="auto"/>
              <w:rPr>
                <w:rFonts w:cs="Arial Bold"/>
                <w:szCs w:val="16"/>
              </w:rPr>
            </w:pPr>
            <w:r w:rsidRPr="002A3CBE">
              <w:rPr>
                <w:rFonts w:cs="Arial Bold"/>
                <w:szCs w:val="16"/>
              </w:rPr>
              <w:t>Tall</w:t>
            </w:r>
          </w:p>
        </w:tc>
        <w:tc>
          <w:tcPr>
            <w:tcW w:w="6662" w:type="dxa"/>
          </w:tcPr>
          <w:p w14:paraId="50A67682" w14:textId="77777777" w:rsidR="00447423" w:rsidRPr="002A3CBE" w:rsidRDefault="00447423" w:rsidP="00F16E23">
            <w:pPr>
              <w:pStyle w:val="TableText"/>
              <w:keepNext/>
              <w:spacing w:before="50" w:after="50" w:line="257" w:lineRule="auto"/>
              <w:rPr>
                <w:rFonts w:cs="Arial Bold"/>
                <w:szCs w:val="16"/>
              </w:rPr>
            </w:pPr>
            <w:r w:rsidRPr="002A3CBE">
              <w:rPr>
                <w:rFonts w:cs="Arial Bold"/>
                <w:szCs w:val="16"/>
              </w:rPr>
              <w:t>Made up of two LCDB5 classes: 1. indigenous forest; tall forest dominated by indigenous conifer, broadleaved or beech species; 2. broadleaved indigenous hardwoods; lowland scrub communities dominated by indigenous mixed broadleaved shrubs.</w:t>
            </w:r>
          </w:p>
        </w:tc>
      </w:tr>
      <w:tr w:rsidR="00447423" w:rsidRPr="002A3CBE" w14:paraId="08E9821C" w14:textId="77777777" w:rsidTr="00F16E23">
        <w:tc>
          <w:tcPr>
            <w:tcW w:w="1843" w:type="dxa"/>
          </w:tcPr>
          <w:p w14:paraId="034E4F96" w14:textId="77777777" w:rsidR="00447423" w:rsidRPr="002A3CBE" w:rsidRDefault="00447423" w:rsidP="00F16E23">
            <w:pPr>
              <w:pStyle w:val="TableText"/>
              <w:spacing w:before="50" w:after="50" w:line="256" w:lineRule="auto"/>
              <w:rPr>
                <w:rFonts w:cs="Arial Bold"/>
                <w:szCs w:val="16"/>
              </w:rPr>
            </w:pPr>
            <w:r w:rsidRPr="002A3CBE">
              <w:rPr>
                <w:rFonts w:cs="Arial Bold"/>
                <w:szCs w:val="16"/>
              </w:rPr>
              <w:t>Regenerating</w:t>
            </w:r>
          </w:p>
        </w:tc>
        <w:tc>
          <w:tcPr>
            <w:tcW w:w="6662" w:type="dxa"/>
          </w:tcPr>
          <w:p w14:paraId="6E4FDD4B" w14:textId="77777777" w:rsidR="00447423" w:rsidRPr="002A3CBE" w:rsidRDefault="00447423" w:rsidP="00F16E23">
            <w:pPr>
              <w:pStyle w:val="TableText"/>
              <w:spacing w:before="50" w:after="50" w:line="256" w:lineRule="auto"/>
              <w:rPr>
                <w:rFonts w:cs="Arial Bold"/>
                <w:szCs w:val="16"/>
              </w:rPr>
            </w:pPr>
            <w:r w:rsidRPr="002A3CBE">
              <w:rPr>
                <w:rFonts w:cs="Arial Bold"/>
                <w:szCs w:val="16"/>
              </w:rPr>
              <w:t>All other areas mapped as pre-1990 natural forest that fall outside the two LCDB5 classes above. Represents areas recovering from previous disturbances.</w:t>
            </w:r>
          </w:p>
        </w:tc>
      </w:tr>
    </w:tbl>
    <w:p w14:paraId="013119F5" w14:textId="77777777" w:rsidR="00447423" w:rsidRPr="002A3CBE" w:rsidRDefault="00447423" w:rsidP="00447423">
      <w:pPr>
        <w:pStyle w:val="Noteundertable"/>
        <w:spacing w:after="240"/>
      </w:pPr>
      <w:r w:rsidRPr="002A3CBE">
        <w:rPr>
          <w:b/>
          <w:bCs/>
        </w:rPr>
        <w:t>Note:</w:t>
      </w:r>
      <w:r w:rsidRPr="002A3CBE">
        <w:t xml:space="preserve"> </w:t>
      </w:r>
      <w:r w:rsidRPr="002A3CBE">
        <w:tab/>
        <w:t>LCDB5 = Land Cover Database version 5.</w:t>
      </w:r>
    </w:p>
    <w:p w14:paraId="53BD7ECE" w14:textId="77777777" w:rsidR="00447423" w:rsidRPr="002A3CBE" w:rsidRDefault="00447423" w:rsidP="00447423">
      <w:pPr>
        <w:pStyle w:val="Table"/>
      </w:pPr>
      <w:bookmarkStart w:id="1993" w:name="_Toc131591396"/>
      <w:bookmarkStart w:id="1994" w:name="_Toc158979954"/>
      <w:bookmarkStart w:id="1995" w:name="_Toc164153887"/>
      <w:bookmarkStart w:id="1996" w:name="_Toc190873121"/>
      <w:bookmarkStart w:id="1997" w:name="_Toc194241760"/>
      <w:bookmarkStart w:id="1998" w:name="_Toc222837911"/>
      <w:bookmarkStart w:id="1999" w:name="_Toc226669057"/>
      <w:r w:rsidRPr="002A3CBE">
        <w:t>Table 6.4.6</w:t>
      </w:r>
      <w:r w:rsidRPr="002A3CBE">
        <w:tab/>
        <w:t xml:space="preserve">Areas of tall and regenerating pre-1990 natural forest in 1990 and </w:t>
      </w:r>
      <w:bookmarkEnd w:id="1993"/>
      <w:bookmarkEnd w:id="1994"/>
      <w:bookmarkEnd w:id="1995"/>
      <w:bookmarkEnd w:id="1996"/>
      <w:bookmarkEnd w:id="1997"/>
      <w:r w:rsidRPr="002A3CBE">
        <w:t>2024</w:t>
      </w:r>
      <w:bookmarkEnd w:id="1998"/>
      <w:bookmarkEnd w:id="1999"/>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835"/>
        <w:gridCol w:w="2835"/>
        <w:gridCol w:w="2835"/>
      </w:tblGrid>
      <w:tr w:rsidR="00447423" w:rsidRPr="002A3CBE" w14:paraId="1DA19612" w14:textId="77777777" w:rsidTr="00F16E23">
        <w:trPr>
          <w:tblHeader/>
        </w:trPr>
        <w:tc>
          <w:tcPr>
            <w:tcW w:w="2835" w:type="dxa"/>
            <w:shd w:val="clear" w:color="auto" w:fill="1B556B"/>
            <w:tcMar>
              <w:top w:w="0" w:type="dxa"/>
              <w:left w:w="85" w:type="dxa"/>
              <w:bottom w:w="0" w:type="dxa"/>
              <w:right w:w="85" w:type="dxa"/>
            </w:tcMar>
            <w:vAlign w:val="center"/>
          </w:tcPr>
          <w:p w14:paraId="27B68486"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Pre-1990 forest sub-classification</w:t>
            </w:r>
          </w:p>
        </w:tc>
        <w:tc>
          <w:tcPr>
            <w:tcW w:w="2835" w:type="dxa"/>
            <w:shd w:val="clear" w:color="auto" w:fill="1B556B"/>
            <w:tcMar>
              <w:top w:w="0" w:type="dxa"/>
              <w:left w:w="85" w:type="dxa"/>
              <w:bottom w:w="0" w:type="dxa"/>
              <w:right w:w="85" w:type="dxa"/>
            </w:tcMar>
            <w:vAlign w:val="center"/>
          </w:tcPr>
          <w:p w14:paraId="2006C5E6"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Area of forest in 1990 (ha)</w:t>
            </w:r>
          </w:p>
        </w:tc>
        <w:tc>
          <w:tcPr>
            <w:tcW w:w="2835" w:type="dxa"/>
            <w:shd w:val="clear" w:color="auto" w:fill="1B556B"/>
            <w:tcMar>
              <w:top w:w="0" w:type="dxa"/>
              <w:left w:w="85" w:type="dxa"/>
              <w:bottom w:w="0" w:type="dxa"/>
              <w:right w:w="85" w:type="dxa"/>
            </w:tcMar>
            <w:vAlign w:val="center"/>
          </w:tcPr>
          <w:p w14:paraId="3EE2CB64"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Area of forest in 2024 (ha)</w:t>
            </w:r>
          </w:p>
        </w:tc>
      </w:tr>
      <w:tr w:rsidR="00447423" w:rsidRPr="002A3CBE" w14:paraId="66AD7C3B" w14:textId="77777777" w:rsidTr="00F16E23">
        <w:tc>
          <w:tcPr>
            <w:tcW w:w="2835" w:type="dxa"/>
            <w:shd w:val="clear" w:color="auto" w:fill="FFFFFF"/>
            <w:tcMar>
              <w:top w:w="0" w:type="dxa"/>
              <w:left w:w="85" w:type="dxa"/>
              <w:bottom w:w="0" w:type="dxa"/>
              <w:right w:w="85" w:type="dxa"/>
            </w:tcMar>
            <w:vAlign w:val="center"/>
          </w:tcPr>
          <w:p w14:paraId="5B06E2BD" w14:textId="77777777" w:rsidR="00447423" w:rsidRPr="002A3CBE" w:rsidRDefault="00447423" w:rsidP="00F16E23">
            <w:pPr>
              <w:pStyle w:val="TableText"/>
              <w:spacing w:before="40" w:after="40"/>
              <w:rPr>
                <w:rFonts w:eastAsia="Calibri"/>
              </w:rPr>
            </w:pPr>
            <w:r w:rsidRPr="002A3CBE">
              <w:rPr>
                <w:rFonts w:eastAsia="Calibri"/>
              </w:rPr>
              <w:t>Tall forest</w:t>
            </w:r>
          </w:p>
        </w:tc>
        <w:tc>
          <w:tcPr>
            <w:tcW w:w="2835" w:type="dxa"/>
            <w:shd w:val="clear" w:color="auto" w:fill="FFFFFF"/>
            <w:tcMar>
              <w:top w:w="0" w:type="dxa"/>
              <w:left w:w="85" w:type="dxa"/>
              <w:bottom w:w="0" w:type="dxa"/>
              <w:right w:w="85" w:type="dxa"/>
            </w:tcMar>
            <w:vAlign w:val="center"/>
          </w:tcPr>
          <w:p w14:paraId="32356153" w14:textId="77777777" w:rsidR="00447423" w:rsidRPr="002A3CBE" w:rsidRDefault="00447423" w:rsidP="00F16E23">
            <w:pPr>
              <w:pStyle w:val="TableText"/>
              <w:spacing w:before="40" w:after="40"/>
              <w:jc w:val="right"/>
              <w:rPr>
                <w:rFonts w:eastAsia="Calibri"/>
              </w:rPr>
            </w:pPr>
            <w:r w:rsidRPr="002A3CBE">
              <w:rPr>
                <w:rFonts w:eastAsia="Calibri"/>
              </w:rPr>
              <w:t>6,688,119</w:t>
            </w:r>
          </w:p>
        </w:tc>
        <w:tc>
          <w:tcPr>
            <w:tcW w:w="2835" w:type="dxa"/>
            <w:shd w:val="clear" w:color="auto" w:fill="FFFFFF"/>
            <w:tcMar>
              <w:top w:w="0" w:type="dxa"/>
              <w:left w:w="85" w:type="dxa"/>
              <w:bottom w:w="0" w:type="dxa"/>
              <w:right w:w="85" w:type="dxa"/>
            </w:tcMar>
            <w:vAlign w:val="center"/>
          </w:tcPr>
          <w:p w14:paraId="44E37FE0" w14:textId="77777777" w:rsidR="00447423" w:rsidRPr="002A3CBE" w:rsidRDefault="00447423" w:rsidP="00F16E23">
            <w:pPr>
              <w:pStyle w:val="TableText"/>
              <w:spacing w:before="40" w:after="40"/>
              <w:jc w:val="right"/>
              <w:rPr>
                <w:rFonts w:eastAsia="Calibri"/>
              </w:rPr>
            </w:pPr>
            <w:r w:rsidRPr="002A3CBE">
              <w:rPr>
                <w:rFonts w:eastAsia="Calibri"/>
              </w:rPr>
              <w:t>6,666,867</w:t>
            </w:r>
          </w:p>
        </w:tc>
      </w:tr>
      <w:tr w:rsidR="00447423" w:rsidRPr="002A3CBE" w14:paraId="1BD3A20B" w14:textId="77777777" w:rsidTr="00F16E23">
        <w:tc>
          <w:tcPr>
            <w:tcW w:w="2835" w:type="dxa"/>
            <w:shd w:val="clear" w:color="auto" w:fill="FFFFFF"/>
            <w:tcMar>
              <w:top w:w="0" w:type="dxa"/>
              <w:left w:w="85" w:type="dxa"/>
              <w:bottom w:w="0" w:type="dxa"/>
              <w:right w:w="85" w:type="dxa"/>
            </w:tcMar>
            <w:vAlign w:val="center"/>
          </w:tcPr>
          <w:p w14:paraId="2883C4B1" w14:textId="77777777" w:rsidR="00447423" w:rsidRPr="002A3CBE" w:rsidRDefault="00447423" w:rsidP="00F16E23">
            <w:pPr>
              <w:pStyle w:val="TableText"/>
              <w:spacing w:before="40" w:after="40"/>
              <w:rPr>
                <w:rFonts w:eastAsia="Calibri"/>
              </w:rPr>
            </w:pPr>
            <w:r w:rsidRPr="002A3CBE">
              <w:rPr>
                <w:rFonts w:eastAsia="Calibri"/>
              </w:rPr>
              <w:t>Regenerating forest</w:t>
            </w:r>
          </w:p>
        </w:tc>
        <w:tc>
          <w:tcPr>
            <w:tcW w:w="2835" w:type="dxa"/>
            <w:shd w:val="clear" w:color="auto" w:fill="FFFFFF"/>
            <w:tcMar>
              <w:top w:w="0" w:type="dxa"/>
              <w:left w:w="85" w:type="dxa"/>
              <w:bottom w:w="0" w:type="dxa"/>
              <w:right w:w="85" w:type="dxa"/>
            </w:tcMar>
            <w:vAlign w:val="center"/>
          </w:tcPr>
          <w:p w14:paraId="621D8B4C" w14:textId="77777777" w:rsidR="00447423" w:rsidRPr="002A3CBE" w:rsidRDefault="00447423" w:rsidP="00F16E23">
            <w:pPr>
              <w:pStyle w:val="TableText"/>
              <w:spacing w:before="40" w:after="40"/>
              <w:jc w:val="right"/>
              <w:rPr>
                <w:rFonts w:eastAsia="Calibri"/>
              </w:rPr>
            </w:pPr>
            <w:r w:rsidRPr="002A3CBE">
              <w:rPr>
                <w:rFonts w:eastAsia="Calibri"/>
              </w:rPr>
              <w:t>1,124,793</w:t>
            </w:r>
          </w:p>
        </w:tc>
        <w:tc>
          <w:tcPr>
            <w:tcW w:w="2835" w:type="dxa"/>
            <w:shd w:val="clear" w:color="auto" w:fill="FFFFFF"/>
            <w:tcMar>
              <w:top w:w="0" w:type="dxa"/>
              <w:left w:w="85" w:type="dxa"/>
              <w:bottom w:w="0" w:type="dxa"/>
              <w:right w:w="85" w:type="dxa"/>
            </w:tcMar>
            <w:vAlign w:val="center"/>
          </w:tcPr>
          <w:p w14:paraId="2275CA03" w14:textId="77777777" w:rsidR="00447423" w:rsidRPr="002A3CBE" w:rsidRDefault="00447423" w:rsidP="00F16E23">
            <w:pPr>
              <w:pStyle w:val="TableText"/>
              <w:spacing w:before="40" w:after="40"/>
              <w:jc w:val="right"/>
              <w:rPr>
                <w:rFonts w:eastAsia="Calibri"/>
              </w:rPr>
            </w:pPr>
            <w:r w:rsidRPr="002A3CBE">
              <w:rPr>
                <w:rFonts w:eastAsia="Calibri"/>
              </w:rPr>
              <w:t>1,076,780</w:t>
            </w:r>
          </w:p>
        </w:tc>
      </w:tr>
      <w:tr w:rsidR="00447423" w:rsidRPr="002A3CBE" w14:paraId="34372D89" w14:textId="77777777" w:rsidTr="00F16E23">
        <w:tc>
          <w:tcPr>
            <w:tcW w:w="2835" w:type="dxa"/>
            <w:shd w:val="clear" w:color="auto" w:fill="FFFFFF"/>
            <w:tcMar>
              <w:top w:w="0" w:type="dxa"/>
              <w:left w:w="85" w:type="dxa"/>
              <w:bottom w:w="0" w:type="dxa"/>
              <w:right w:w="85" w:type="dxa"/>
            </w:tcMar>
            <w:vAlign w:val="center"/>
          </w:tcPr>
          <w:p w14:paraId="20FC4861" w14:textId="77777777" w:rsidR="00447423" w:rsidRPr="002A3CBE" w:rsidRDefault="00447423" w:rsidP="00F16E23">
            <w:pPr>
              <w:pStyle w:val="Tableboldblue"/>
              <w:spacing w:before="40" w:after="40"/>
              <w:rPr>
                <w:rFonts w:eastAsia="Calibri"/>
              </w:rPr>
            </w:pPr>
            <w:r w:rsidRPr="002A3CBE">
              <w:rPr>
                <w:rFonts w:eastAsia="Calibri"/>
              </w:rPr>
              <w:t>Total</w:t>
            </w:r>
          </w:p>
        </w:tc>
        <w:tc>
          <w:tcPr>
            <w:tcW w:w="2835" w:type="dxa"/>
            <w:shd w:val="clear" w:color="auto" w:fill="FFFFFF"/>
            <w:tcMar>
              <w:top w:w="0" w:type="dxa"/>
              <w:left w:w="85" w:type="dxa"/>
              <w:bottom w:w="0" w:type="dxa"/>
              <w:right w:w="85" w:type="dxa"/>
            </w:tcMar>
            <w:vAlign w:val="center"/>
          </w:tcPr>
          <w:p w14:paraId="0971768D" w14:textId="77777777" w:rsidR="00447423" w:rsidRPr="002A3CBE" w:rsidRDefault="00447423" w:rsidP="00F16E23">
            <w:pPr>
              <w:pStyle w:val="Tableboldblue"/>
              <w:spacing w:before="40" w:after="40"/>
              <w:jc w:val="right"/>
              <w:rPr>
                <w:rFonts w:eastAsia="Calibri"/>
              </w:rPr>
            </w:pPr>
            <w:r w:rsidRPr="002A3CBE">
              <w:rPr>
                <w:rFonts w:eastAsia="Calibri"/>
              </w:rPr>
              <w:t>7,812,913</w:t>
            </w:r>
          </w:p>
        </w:tc>
        <w:tc>
          <w:tcPr>
            <w:tcW w:w="2835" w:type="dxa"/>
            <w:shd w:val="clear" w:color="auto" w:fill="FFFFFF"/>
            <w:tcMar>
              <w:top w:w="0" w:type="dxa"/>
              <w:left w:w="85" w:type="dxa"/>
              <w:bottom w:w="0" w:type="dxa"/>
              <w:right w:w="85" w:type="dxa"/>
            </w:tcMar>
            <w:vAlign w:val="center"/>
          </w:tcPr>
          <w:p w14:paraId="60DDB35F" w14:textId="77777777" w:rsidR="00447423" w:rsidRPr="002A3CBE" w:rsidRDefault="00447423" w:rsidP="00F16E23">
            <w:pPr>
              <w:pStyle w:val="Tableboldblue"/>
              <w:spacing w:before="40" w:after="40"/>
              <w:jc w:val="right"/>
              <w:rPr>
                <w:rFonts w:eastAsia="Calibri"/>
              </w:rPr>
            </w:pPr>
            <w:r w:rsidRPr="002A3CBE">
              <w:rPr>
                <w:rFonts w:eastAsia="Calibri"/>
              </w:rPr>
              <w:t>7,743,646</w:t>
            </w:r>
          </w:p>
        </w:tc>
      </w:tr>
    </w:tbl>
    <w:p w14:paraId="43DABB6F" w14:textId="77777777" w:rsidR="00447423" w:rsidRPr="002A3CBE" w:rsidRDefault="00447423" w:rsidP="00447423">
      <w:pPr>
        <w:pStyle w:val="Table"/>
        <w:spacing w:before="360"/>
        <w:ind w:left="1185" w:hanging="1185"/>
      </w:pPr>
      <w:bookmarkStart w:id="2000" w:name="_Toc131591397"/>
      <w:bookmarkStart w:id="2001" w:name="_Toc158979955"/>
      <w:bookmarkStart w:id="2002" w:name="_Toc164153888"/>
      <w:bookmarkStart w:id="2003" w:name="_Toc190873122"/>
      <w:bookmarkStart w:id="2004" w:name="_Toc194241761"/>
      <w:bookmarkStart w:id="2005" w:name="_Toc222837912"/>
      <w:bookmarkStart w:id="2006" w:name="_Toc226669058"/>
      <w:r w:rsidRPr="002A3CBE">
        <w:t>Table 6.4.7</w:t>
      </w:r>
      <w:r w:rsidRPr="002A3CBE">
        <w:tab/>
        <w:t xml:space="preserve">New Zealand’s pre-1990 natural forest deforestation area (ha), for natural forest categories, estimated by type, from </w:t>
      </w:r>
      <w:bookmarkEnd w:id="2000"/>
      <w:bookmarkEnd w:id="2001"/>
      <w:bookmarkEnd w:id="2002"/>
      <w:bookmarkEnd w:id="2003"/>
      <w:bookmarkEnd w:id="2004"/>
      <w:r w:rsidRPr="002A3CBE">
        <w:t>1990</w:t>
      </w:r>
      <w:r w:rsidRPr="002A3CBE">
        <w:rPr>
          <w:rFonts w:ascii="Arial" w:hAnsi="Arial" w:cs="Arial"/>
        </w:rPr>
        <w:t> </w:t>
      </w:r>
      <w:r w:rsidRPr="002A3CBE">
        <w:t>to</w:t>
      </w:r>
      <w:r w:rsidRPr="002A3CBE">
        <w:rPr>
          <w:rFonts w:ascii="Arial" w:hAnsi="Arial" w:cs="Arial"/>
        </w:rPr>
        <w:t> </w:t>
      </w:r>
      <w:r w:rsidRPr="002A3CBE">
        <w:t>2024</w:t>
      </w:r>
      <w:bookmarkEnd w:id="2005"/>
      <w:bookmarkEnd w:id="2006"/>
      <w:r w:rsidRPr="002A3CBE">
        <w:t> </w:t>
      </w:r>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701"/>
        <w:gridCol w:w="1134"/>
        <w:gridCol w:w="1134"/>
        <w:gridCol w:w="1134"/>
        <w:gridCol w:w="1134"/>
        <w:gridCol w:w="1134"/>
        <w:gridCol w:w="1134"/>
      </w:tblGrid>
      <w:tr w:rsidR="00447423" w:rsidRPr="002A3CBE" w14:paraId="7847A04F" w14:textId="77777777" w:rsidTr="00F16E23">
        <w:trPr>
          <w:tblHeader/>
        </w:trPr>
        <w:tc>
          <w:tcPr>
            <w:tcW w:w="1701" w:type="dxa"/>
            <w:shd w:val="clear" w:color="auto" w:fill="1B556B"/>
            <w:tcMar>
              <w:top w:w="0" w:type="dxa"/>
              <w:left w:w="85" w:type="dxa"/>
              <w:bottom w:w="0" w:type="dxa"/>
              <w:right w:w="85" w:type="dxa"/>
            </w:tcMar>
            <w:vAlign w:val="center"/>
          </w:tcPr>
          <w:p w14:paraId="395562EC" w14:textId="77777777" w:rsidR="00447423" w:rsidRPr="002A3CBE" w:rsidRDefault="00447423" w:rsidP="00F16E23">
            <w:pPr>
              <w:pStyle w:val="TableTextBold"/>
              <w:spacing w:before="40" w:after="40"/>
              <w:rPr>
                <w:rFonts w:eastAsia="Calibri" w:cs="Calibri"/>
                <w:noProof w:val="0"/>
                <w:color w:val="FFFFFF" w:themeColor="background1"/>
                <w:szCs w:val="16"/>
              </w:rPr>
            </w:pPr>
            <w:r w:rsidRPr="002A3CBE">
              <w:rPr>
                <w:rFonts w:eastAsia="Calibri" w:cs="Calibri"/>
                <w:noProof w:val="0"/>
                <w:color w:val="FFFFFF" w:themeColor="background1"/>
                <w:szCs w:val="16"/>
              </w:rPr>
              <w:t>Natural forest type</w:t>
            </w:r>
          </w:p>
        </w:tc>
        <w:tc>
          <w:tcPr>
            <w:tcW w:w="1134" w:type="dxa"/>
            <w:shd w:val="clear" w:color="auto" w:fill="1B556B"/>
            <w:tcMar>
              <w:top w:w="0" w:type="dxa"/>
              <w:left w:w="85" w:type="dxa"/>
              <w:bottom w:w="0" w:type="dxa"/>
              <w:right w:w="85" w:type="dxa"/>
            </w:tcMar>
            <w:vAlign w:val="center"/>
          </w:tcPr>
          <w:p w14:paraId="1BC0CA28"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1990–2007</w:t>
            </w:r>
          </w:p>
        </w:tc>
        <w:tc>
          <w:tcPr>
            <w:tcW w:w="1134" w:type="dxa"/>
            <w:shd w:val="clear" w:color="auto" w:fill="1B556B"/>
            <w:tcMar>
              <w:top w:w="0" w:type="dxa"/>
              <w:left w:w="85" w:type="dxa"/>
              <w:bottom w:w="0" w:type="dxa"/>
              <w:right w:w="85" w:type="dxa"/>
            </w:tcMar>
            <w:vAlign w:val="center"/>
          </w:tcPr>
          <w:p w14:paraId="4E1832E0"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2008–2012</w:t>
            </w:r>
          </w:p>
        </w:tc>
        <w:tc>
          <w:tcPr>
            <w:tcW w:w="1134" w:type="dxa"/>
            <w:shd w:val="clear" w:color="auto" w:fill="1B556B"/>
            <w:tcMar>
              <w:top w:w="0" w:type="dxa"/>
              <w:left w:w="85" w:type="dxa"/>
              <w:bottom w:w="0" w:type="dxa"/>
              <w:right w:w="85" w:type="dxa"/>
            </w:tcMar>
            <w:vAlign w:val="center"/>
          </w:tcPr>
          <w:p w14:paraId="1164AD1F"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2013–2017</w:t>
            </w:r>
          </w:p>
        </w:tc>
        <w:tc>
          <w:tcPr>
            <w:tcW w:w="1134" w:type="dxa"/>
            <w:shd w:val="clear" w:color="auto" w:fill="1B556B"/>
            <w:tcMar>
              <w:top w:w="0" w:type="dxa"/>
              <w:left w:w="85" w:type="dxa"/>
              <w:bottom w:w="0" w:type="dxa"/>
              <w:right w:w="85" w:type="dxa"/>
            </w:tcMar>
            <w:vAlign w:val="center"/>
          </w:tcPr>
          <w:p w14:paraId="5E522765"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2018–2022</w:t>
            </w:r>
          </w:p>
        </w:tc>
        <w:tc>
          <w:tcPr>
            <w:tcW w:w="1134" w:type="dxa"/>
            <w:shd w:val="clear" w:color="auto" w:fill="1B556B"/>
            <w:tcMar>
              <w:top w:w="0" w:type="dxa"/>
              <w:left w:w="85" w:type="dxa"/>
              <w:bottom w:w="0" w:type="dxa"/>
              <w:right w:w="85" w:type="dxa"/>
            </w:tcMar>
            <w:vAlign w:val="center"/>
          </w:tcPr>
          <w:p w14:paraId="10BE432F"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2023</w:t>
            </w:r>
            <w:r w:rsidRPr="002A3CBE">
              <w:rPr>
                <w:rFonts w:eastAsia="Arial" w:cs="Calibri"/>
                <w:noProof w:val="0"/>
                <w:color w:val="FFFFFF" w:themeColor="background1"/>
                <w:szCs w:val="16"/>
                <w:vertAlign w:val="superscript"/>
              </w:rPr>
              <w:t xml:space="preserve"> P</w:t>
            </w:r>
          </w:p>
        </w:tc>
        <w:tc>
          <w:tcPr>
            <w:tcW w:w="1134" w:type="dxa"/>
            <w:shd w:val="clear" w:color="auto" w:fill="1B556B"/>
            <w:tcMar>
              <w:top w:w="0" w:type="dxa"/>
              <w:left w:w="85" w:type="dxa"/>
              <w:bottom w:w="0" w:type="dxa"/>
              <w:right w:w="85" w:type="dxa"/>
            </w:tcMar>
            <w:vAlign w:val="center"/>
          </w:tcPr>
          <w:p w14:paraId="6E240E5B" w14:textId="77777777" w:rsidR="00447423" w:rsidRPr="002A3CBE" w:rsidRDefault="00447423" w:rsidP="00F16E23">
            <w:pPr>
              <w:pStyle w:val="TableTextBold"/>
              <w:spacing w:before="40" w:after="40"/>
              <w:jc w:val="right"/>
              <w:rPr>
                <w:rFonts w:eastAsia="Calibri" w:cs="Calibri"/>
                <w:noProof w:val="0"/>
                <w:color w:val="FFFFFF" w:themeColor="background1"/>
                <w:szCs w:val="16"/>
              </w:rPr>
            </w:pPr>
            <w:r w:rsidRPr="002A3CBE">
              <w:rPr>
                <w:rFonts w:eastAsia="Calibri" w:cs="Calibri"/>
                <w:noProof w:val="0"/>
                <w:color w:val="FFFFFF" w:themeColor="background1"/>
                <w:szCs w:val="16"/>
              </w:rPr>
              <w:t>2024</w:t>
            </w:r>
            <w:r w:rsidRPr="002A3CBE">
              <w:rPr>
                <w:rFonts w:eastAsia="Arial" w:cs="Calibri"/>
                <w:noProof w:val="0"/>
                <w:color w:val="FFFFFF" w:themeColor="background1"/>
                <w:szCs w:val="16"/>
                <w:vertAlign w:val="superscript"/>
              </w:rPr>
              <w:t xml:space="preserve"> P</w:t>
            </w:r>
          </w:p>
        </w:tc>
      </w:tr>
      <w:tr w:rsidR="00447423" w:rsidRPr="002A3CBE" w14:paraId="458541CB" w14:textId="77777777" w:rsidTr="00F16E23">
        <w:tc>
          <w:tcPr>
            <w:tcW w:w="1701" w:type="dxa"/>
            <w:shd w:val="clear" w:color="auto" w:fill="FFFFFF"/>
            <w:tcMar>
              <w:top w:w="0" w:type="dxa"/>
              <w:left w:w="85" w:type="dxa"/>
              <w:bottom w:w="0" w:type="dxa"/>
              <w:right w:w="85" w:type="dxa"/>
            </w:tcMar>
            <w:vAlign w:val="center"/>
          </w:tcPr>
          <w:p w14:paraId="6EDDDC39"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Tall forest</w:t>
            </w:r>
          </w:p>
        </w:tc>
        <w:tc>
          <w:tcPr>
            <w:tcW w:w="1134" w:type="dxa"/>
            <w:shd w:val="clear" w:color="auto" w:fill="FFFFFF"/>
            <w:tcMar>
              <w:top w:w="0" w:type="dxa"/>
              <w:left w:w="85" w:type="dxa"/>
              <w:bottom w:w="0" w:type="dxa"/>
              <w:right w:w="85" w:type="dxa"/>
            </w:tcMar>
            <w:vAlign w:val="center"/>
          </w:tcPr>
          <w:p w14:paraId="50567BB4"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9,596</w:t>
            </w:r>
          </w:p>
        </w:tc>
        <w:tc>
          <w:tcPr>
            <w:tcW w:w="1134" w:type="dxa"/>
            <w:shd w:val="clear" w:color="auto" w:fill="FFFFFF"/>
            <w:tcMar>
              <w:top w:w="0" w:type="dxa"/>
              <w:left w:w="85" w:type="dxa"/>
              <w:bottom w:w="0" w:type="dxa"/>
              <w:right w:w="85" w:type="dxa"/>
            </w:tcMar>
            <w:vAlign w:val="center"/>
          </w:tcPr>
          <w:p w14:paraId="20D4921E"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2,683</w:t>
            </w:r>
          </w:p>
        </w:tc>
        <w:tc>
          <w:tcPr>
            <w:tcW w:w="1134" w:type="dxa"/>
            <w:shd w:val="clear" w:color="auto" w:fill="FFFFFF"/>
            <w:tcMar>
              <w:top w:w="0" w:type="dxa"/>
              <w:left w:w="85" w:type="dxa"/>
              <w:bottom w:w="0" w:type="dxa"/>
              <w:right w:w="85" w:type="dxa"/>
            </w:tcMar>
            <w:vAlign w:val="center"/>
          </w:tcPr>
          <w:p w14:paraId="15F647B1"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1,884</w:t>
            </w:r>
          </w:p>
        </w:tc>
        <w:tc>
          <w:tcPr>
            <w:tcW w:w="1134" w:type="dxa"/>
            <w:shd w:val="clear" w:color="auto" w:fill="FFFFFF"/>
            <w:tcMar>
              <w:top w:w="0" w:type="dxa"/>
              <w:left w:w="85" w:type="dxa"/>
              <w:bottom w:w="0" w:type="dxa"/>
              <w:right w:w="85" w:type="dxa"/>
            </w:tcMar>
            <w:vAlign w:val="center"/>
          </w:tcPr>
          <w:p w14:paraId="24290D05"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1,050</w:t>
            </w:r>
          </w:p>
        </w:tc>
        <w:tc>
          <w:tcPr>
            <w:tcW w:w="1134" w:type="dxa"/>
            <w:shd w:val="clear" w:color="auto" w:fill="FFFFFF"/>
            <w:tcMar>
              <w:top w:w="0" w:type="dxa"/>
              <w:left w:w="85" w:type="dxa"/>
              <w:bottom w:w="0" w:type="dxa"/>
              <w:right w:w="85" w:type="dxa"/>
            </w:tcMar>
            <w:vAlign w:val="center"/>
          </w:tcPr>
          <w:p w14:paraId="55E549BD"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193</w:t>
            </w:r>
          </w:p>
        </w:tc>
        <w:tc>
          <w:tcPr>
            <w:tcW w:w="1134" w:type="dxa"/>
            <w:shd w:val="clear" w:color="auto" w:fill="FFFFFF"/>
            <w:tcMar>
              <w:top w:w="0" w:type="dxa"/>
              <w:left w:w="85" w:type="dxa"/>
              <w:bottom w:w="0" w:type="dxa"/>
              <w:right w:w="85" w:type="dxa"/>
            </w:tcMar>
            <w:vAlign w:val="center"/>
          </w:tcPr>
          <w:p w14:paraId="584AB817"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193</w:t>
            </w:r>
          </w:p>
        </w:tc>
      </w:tr>
      <w:tr w:rsidR="00447423" w:rsidRPr="002A3CBE" w14:paraId="2CE86B50" w14:textId="77777777" w:rsidTr="00F16E23">
        <w:tc>
          <w:tcPr>
            <w:tcW w:w="1701" w:type="dxa"/>
            <w:shd w:val="clear" w:color="auto" w:fill="FFFFFF"/>
            <w:tcMar>
              <w:top w:w="0" w:type="dxa"/>
              <w:left w:w="85" w:type="dxa"/>
              <w:bottom w:w="0" w:type="dxa"/>
              <w:right w:w="85" w:type="dxa"/>
            </w:tcMar>
            <w:vAlign w:val="center"/>
          </w:tcPr>
          <w:p w14:paraId="2439D0C1" w14:textId="77777777" w:rsidR="00447423" w:rsidRPr="002A3CBE" w:rsidRDefault="00447423" w:rsidP="00F16E23">
            <w:pPr>
              <w:pStyle w:val="TableText"/>
              <w:spacing w:before="40" w:after="40"/>
              <w:rPr>
                <w:rFonts w:eastAsia="Calibri" w:cs="Calibri"/>
                <w:szCs w:val="16"/>
              </w:rPr>
            </w:pPr>
            <w:r w:rsidRPr="002A3CBE">
              <w:rPr>
                <w:rFonts w:eastAsia="Calibri" w:cs="Calibri"/>
                <w:szCs w:val="16"/>
              </w:rPr>
              <w:t>Regenerating</w:t>
            </w:r>
          </w:p>
        </w:tc>
        <w:tc>
          <w:tcPr>
            <w:tcW w:w="1134" w:type="dxa"/>
            <w:shd w:val="clear" w:color="auto" w:fill="FFFFFF"/>
            <w:tcMar>
              <w:top w:w="0" w:type="dxa"/>
              <w:left w:w="85" w:type="dxa"/>
              <w:bottom w:w="0" w:type="dxa"/>
              <w:right w:w="85" w:type="dxa"/>
            </w:tcMar>
            <w:vAlign w:val="center"/>
          </w:tcPr>
          <w:p w14:paraId="590A44F1"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23,257</w:t>
            </w:r>
          </w:p>
        </w:tc>
        <w:tc>
          <w:tcPr>
            <w:tcW w:w="1134" w:type="dxa"/>
            <w:shd w:val="clear" w:color="auto" w:fill="FFFFFF"/>
            <w:tcMar>
              <w:top w:w="0" w:type="dxa"/>
              <w:left w:w="85" w:type="dxa"/>
              <w:bottom w:w="0" w:type="dxa"/>
              <w:right w:w="85" w:type="dxa"/>
            </w:tcMar>
            <w:vAlign w:val="center"/>
          </w:tcPr>
          <w:p w14:paraId="7A03C0AB"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5,154</w:t>
            </w:r>
          </w:p>
        </w:tc>
        <w:tc>
          <w:tcPr>
            <w:tcW w:w="1134" w:type="dxa"/>
            <w:shd w:val="clear" w:color="auto" w:fill="FFFFFF"/>
            <w:tcMar>
              <w:top w:w="0" w:type="dxa"/>
              <w:left w:w="85" w:type="dxa"/>
              <w:bottom w:w="0" w:type="dxa"/>
              <w:right w:w="85" w:type="dxa"/>
            </w:tcMar>
            <w:vAlign w:val="center"/>
          </w:tcPr>
          <w:p w14:paraId="7D034845"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2,325</w:t>
            </w:r>
          </w:p>
        </w:tc>
        <w:tc>
          <w:tcPr>
            <w:tcW w:w="1134" w:type="dxa"/>
            <w:shd w:val="clear" w:color="auto" w:fill="FFFFFF"/>
            <w:tcMar>
              <w:top w:w="0" w:type="dxa"/>
              <w:left w:w="85" w:type="dxa"/>
              <w:bottom w:w="0" w:type="dxa"/>
              <w:right w:w="85" w:type="dxa"/>
            </w:tcMar>
            <w:vAlign w:val="center"/>
          </w:tcPr>
          <w:p w14:paraId="01F86B7E"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1,413</w:t>
            </w:r>
          </w:p>
        </w:tc>
        <w:tc>
          <w:tcPr>
            <w:tcW w:w="1134" w:type="dxa"/>
            <w:shd w:val="clear" w:color="auto" w:fill="FFFFFF"/>
            <w:tcMar>
              <w:top w:w="0" w:type="dxa"/>
              <w:left w:w="85" w:type="dxa"/>
              <w:bottom w:w="0" w:type="dxa"/>
              <w:right w:w="85" w:type="dxa"/>
            </w:tcMar>
            <w:vAlign w:val="center"/>
          </w:tcPr>
          <w:p w14:paraId="32406DF5"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237</w:t>
            </w:r>
          </w:p>
        </w:tc>
        <w:tc>
          <w:tcPr>
            <w:tcW w:w="1134" w:type="dxa"/>
            <w:shd w:val="clear" w:color="auto" w:fill="FFFFFF"/>
            <w:tcMar>
              <w:top w:w="0" w:type="dxa"/>
              <w:left w:w="85" w:type="dxa"/>
              <w:bottom w:w="0" w:type="dxa"/>
              <w:right w:w="85" w:type="dxa"/>
            </w:tcMar>
            <w:vAlign w:val="center"/>
          </w:tcPr>
          <w:p w14:paraId="6CC717C9" w14:textId="77777777" w:rsidR="00447423" w:rsidRPr="002A3CBE" w:rsidRDefault="00447423" w:rsidP="00F16E23">
            <w:pPr>
              <w:pStyle w:val="TableText"/>
              <w:spacing w:before="40" w:after="40"/>
              <w:jc w:val="right"/>
              <w:rPr>
                <w:rFonts w:eastAsia="Calibri" w:cs="Calibri"/>
                <w:szCs w:val="16"/>
              </w:rPr>
            </w:pPr>
            <w:r w:rsidRPr="002A3CBE">
              <w:rPr>
                <w:rFonts w:eastAsia="Calibri" w:cs="Calibri"/>
                <w:szCs w:val="16"/>
              </w:rPr>
              <w:t>237</w:t>
            </w:r>
          </w:p>
        </w:tc>
      </w:tr>
      <w:tr w:rsidR="00447423" w:rsidRPr="002A3CBE" w14:paraId="58C69E51" w14:textId="77777777" w:rsidTr="00F16E23">
        <w:tc>
          <w:tcPr>
            <w:tcW w:w="1701" w:type="dxa"/>
            <w:shd w:val="clear" w:color="auto" w:fill="FFFFFF"/>
            <w:tcMar>
              <w:top w:w="0" w:type="dxa"/>
              <w:left w:w="85" w:type="dxa"/>
              <w:bottom w:w="0" w:type="dxa"/>
              <w:right w:w="85" w:type="dxa"/>
            </w:tcMar>
            <w:vAlign w:val="center"/>
          </w:tcPr>
          <w:p w14:paraId="6B69A81D" w14:textId="77777777" w:rsidR="00447423" w:rsidRPr="002A3CBE" w:rsidRDefault="00447423" w:rsidP="00F16E23">
            <w:pPr>
              <w:pStyle w:val="Tableboldblue"/>
              <w:spacing w:before="40" w:after="40"/>
              <w:rPr>
                <w:rFonts w:eastAsia="Calibri" w:cs="Calibri"/>
                <w:szCs w:val="16"/>
              </w:rPr>
            </w:pPr>
            <w:r w:rsidRPr="002A3CBE">
              <w:rPr>
                <w:rFonts w:eastAsia="Calibri" w:cs="Calibri"/>
                <w:szCs w:val="16"/>
              </w:rPr>
              <w:t>Total</w:t>
            </w:r>
          </w:p>
        </w:tc>
        <w:tc>
          <w:tcPr>
            <w:tcW w:w="1134" w:type="dxa"/>
            <w:shd w:val="clear" w:color="auto" w:fill="FFFFFF"/>
            <w:tcMar>
              <w:top w:w="0" w:type="dxa"/>
              <w:left w:w="85" w:type="dxa"/>
              <w:bottom w:w="0" w:type="dxa"/>
              <w:right w:w="85" w:type="dxa"/>
            </w:tcMar>
            <w:vAlign w:val="center"/>
          </w:tcPr>
          <w:p w14:paraId="4F634863" w14:textId="77777777" w:rsidR="00447423" w:rsidRPr="002A3CBE" w:rsidRDefault="00447423" w:rsidP="00F16E23">
            <w:pPr>
              <w:pStyle w:val="Tableboldblue"/>
              <w:spacing w:before="40" w:after="40"/>
              <w:jc w:val="right"/>
              <w:rPr>
                <w:rFonts w:eastAsia="Calibri" w:cs="Calibri"/>
                <w:szCs w:val="16"/>
              </w:rPr>
            </w:pPr>
            <w:r w:rsidRPr="002A3CBE">
              <w:rPr>
                <w:rFonts w:eastAsia="Calibri" w:cs="Calibri"/>
                <w:szCs w:val="16"/>
              </w:rPr>
              <w:t>32,853</w:t>
            </w:r>
          </w:p>
        </w:tc>
        <w:tc>
          <w:tcPr>
            <w:tcW w:w="1134" w:type="dxa"/>
            <w:shd w:val="clear" w:color="auto" w:fill="FFFFFF"/>
            <w:tcMar>
              <w:top w:w="0" w:type="dxa"/>
              <w:left w:w="85" w:type="dxa"/>
              <w:bottom w:w="0" w:type="dxa"/>
              <w:right w:w="85" w:type="dxa"/>
            </w:tcMar>
            <w:vAlign w:val="center"/>
          </w:tcPr>
          <w:p w14:paraId="2EDCCE84" w14:textId="77777777" w:rsidR="00447423" w:rsidRPr="002A3CBE" w:rsidRDefault="00447423" w:rsidP="00F16E23">
            <w:pPr>
              <w:pStyle w:val="Tableboldblue"/>
              <w:spacing w:before="40" w:after="40"/>
              <w:jc w:val="right"/>
              <w:rPr>
                <w:rFonts w:eastAsia="Calibri" w:cs="Calibri"/>
                <w:szCs w:val="16"/>
              </w:rPr>
            </w:pPr>
            <w:r w:rsidRPr="002A3CBE">
              <w:rPr>
                <w:rFonts w:eastAsia="Calibri" w:cs="Calibri"/>
                <w:szCs w:val="16"/>
              </w:rPr>
              <w:t>7,837</w:t>
            </w:r>
          </w:p>
        </w:tc>
        <w:tc>
          <w:tcPr>
            <w:tcW w:w="1134" w:type="dxa"/>
            <w:shd w:val="clear" w:color="auto" w:fill="FFFFFF"/>
            <w:tcMar>
              <w:top w:w="0" w:type="dxa"/>
              <w:left w:w="85" w:type="dxa"/>
              <w:bottom w:w="0" w:type="dxa"/>
              <w:right w:w="85" w:type="dxa"/>
            </w:tcMar>
            <w:vAlign w:val="center"/>
          </w:tcPr>
          <w:p w14:paraId="67EB5B8B" w14:textId="77777777" w:rsidR="00447423" w:rsidRPr="002A3CBE" w:rsidRDefault="00447423" w:rsidP="00F16E23">
            <w:pPr>
              <w:pStyle w:val="Tableboldblue"/>
              <w:spacing w:before="40" w:after="40"/>
              <w:jc w:val="right"/>
              <w:rPr>
                <w:rFonts w:eastAsia="Calibri" w:cs="Calibri"/>
                <w:szCs w:val="16"/>
              </w:rPr>
            </w:pPr>
            <w:r w:rsidRPr="002A3CBE">
              <w:rPr>
                <w:rFonts w:eastAsia="Calibri" w:cs="Calibri"/>
                <w:szCs w:val="16"/>
              </w:rPr>
              <w:t>4,209</w:t>
            </w:r>
          </w:p>
        </w:tc>
        <w:tc>
          <w:tcPr>
            <w:tcW w:w="1134" w:type="dxa"/>
            <w:shd w:val="clear" w:color="auto" w:fill="FFFFFF"/>
            <w:tcMar>
              <w:top w:w="0" w:type="dxa"/>
              <w:left w:w="85" w:type="dxa"/>
              <w:bottom w:w="0" w:type="dxa"/>
              <w:right w:w="85" w:type="dxa"/>
            </w:tcMar>
            <w:vAlign w:val="center"/>
          </w:tcPr>
          <w:p w14:paraId="4B23C92C" w14:textId="77777777" w:rsidR="00447423" w:rsidRPr="002A3CBE" w:rsidRDefault="00447423" w:rsidP="00F16E23">
            <w:pPr>
              <w:pStyle w:val="Tableboldblue"/>
              <w:spacing w:before="40" w:after="40"/>
              <w:jc w:val="right"/>
              <w:rPr>
                <w:rFonts w:eastAsia="Calibri" w:cs="Calibri"/>
                <w:szCs w:val="16"/>
              </w:rPr>
            </w:pPr>
            <w:r w:rsidRPr="002A3CBE">
              <w:rPr>
                <w:rFonts w:eastAsia="Calibri" w:cs="Calibri"/>
                <w:szCs w:val="16"/>
              </w:rPr>
              <w:t>2,463</w:t>
            </w:r>
          </w:p>
        </w:tc>
        <w:tc>
          <w:tcPr>
            <w:tcW w:w="1134" w:type="dxa"/>
            <w:shd w:val="clear" w:color="auto" w:fill="FFFFFF"/>
            <w:tcMar>
              <w:top w:w="0" w:type="dxa"/>
              <w:left w:w="85" w:type="dxa"/>
              <w:bottom w:w="0" w:type="dxa"/>
              <w:right w:w="85" w:type="dxa"/>
            </w:tcMar>
            <w:vAlign w:val="center"/>
          </w:tcPr>
          <w:p w14:paraId="36E9897B" w14:textId="77777777" w:rsidR="00447423" w:rsidRPr="002A3CBE" w:rsidRDefault="00447423" w:rsidP="00F16E23">
            <w:pPr>
              <w:pStyle w:val="Tableboldblue"/>
              <w:spacing w:before="40" w:after="40"/>
              <w:jc w:val="right"/>
              <w:rPr>
                <w:rFonts w:eastAsia="Calibri" w:cs="Calibri"/>
                <w:szCs w:val="16"/>
              </w:rPr>
            </w:pPr>
            <w:r w:rsidRPr="002A3CBE">
              <w:rPr>
                <w:rFonts w:eastAsia="Calibri" w:cs="Calibri"/>
                <w:szCs w:val="16"/>
              </w:rPr>
              <w:t>429</w:t>
            </w:r>
          </w:p>
        </w:tc>
        <w:tc>
          <w:tcPr>
            <w:tcW w:w="1134" w:type="dxa"/>
            <w:shd w:val="clear" w:color="auto" w:fill="FFFFFF"/>
            <w:tcMar>
              <w:top w:w="0" w:type="dxa"/>
              <w:left w:w="85" w:type="dxa"/>
              <w:bottom w:w="0" w:type="dxa"/>
              <w:right w:w="85" w:type="dxa"/>
            </w:tcMar>
            <w:vAlign w:val="center"/>
          </w:tcPr>
          <w:p w14:paraId="384C0E1F" w14:textId="77777777" w:rsidR="00447423" w:rsidRPr="002A3CBE" w:rsidRDefault="00447423" w:rsidP="00F16E23">
            <w:pPr>
              <w:pStyle w:val="Tableboldblue"/>
              <w:spacing w:before="40" w:after="40"/>
              <w:jc w:val="right"/>
              <w:rPr>
                <w:rFonts w:eastAsia="Calibri" w:cs="Calibri"/>
                <w:szCs w:val="16"/>
              </w:rPr>
            </w:pPr>
            <w:r w:rsidRPr="002A3CBE">
              <w:rPr>
                <w:rFonts w:eastAsia="Calibri" w:cs="Calibri"/>
                <w:szCs w:val="16"/>
              </w:rPr>
              <w:t>429</w:t>
            </w:r>
          </w:p>
        </w:tc>
      </w:tr>
    </w:tbl>
    <w:p w14:paraId="56B46836" w14:textId="77777777" w:rsidR="00447423" w:rsidRPr="002A3CBE" w:rsidRDefault="00447423" w:rsidP="00447423">
      <w:pPr>
        <w:pStyle w:val="Noteundertable"/>
        <w:rPr>
          <w:rFonts w:ascii="Yu Gothic Light" w:hAnsi="Yu Gothic Light" w:cs="Yu Gothic Light"/>
        </w:rPr>
      </w:pPr>
      <w:r w:rsidRPr="002A3CBE">
        <w:rPr>
          <w:b/>
        </w:rPr>
        <w:t>Note</w:t>
      </w:r>
      <w:r w:rsidRPr="002A3CBE">
        <w:t>:</w:t>
      </w:r>
      <w:r w:rsidRPr="002A3CBE">
        <w:tab/>
        <w:t>The 2024 areas are as at 31 December 2024; 1990 areas are as at 1 January 1990 and, therefore, differ from 1990 area values in the common reporting tables, which are as at 31 December 1990. P = provisional estimate. Columns may not total due to rounding. </w:t>
      </w:r>
    </w:p>
    <w:p w14:paraId="620EB0D6" w14:textId="77777777" w:rsidR="00447423" w:rsidRPr="002A3CBE" w:rsidRDefault="00447423" w:rsidP="00447423">
      <w:pPr>
        <w:pStyle w:val="BodyText"/>
      </w:pPr>
      <w:r w:rsidRPr="002A3CBE">
        <w:t>Estimates of biomass burning emissions associated with deforestation are provided in section 6.11.8.</w:t>
      </w:r>
    </w:p>
    <w:p w14:paraId="68A2FE0C" w14:textId="77777777" w:rsidR="00447423" w:rsidRPr="002A3CBE" w:rsidRDefault="00447423" w:rsidP="00447423">
      <w:pPr>
        <w:pStyle w:val="BodyText"/>
      </w:pPr>
      <w:r w:rsidRPr="002A3CBE">
        <w:t xml:space="preserve">Deforestation emissions are reported in the relevant </w:t>
      </w:r>
      <w:r w:rsidRPr="002A3CBE">
        <w:rPr>
          <w:i/>
        </w:rPr>
        <w:t>Land converted to</w:t>
      </w:r>
      <w:r w:rsidRPr="002A3CBE">
        <w:t xml:space="preserve"> category, as are all emissions from land-use change. </w:t>
      </w:r>
    </w:p>
    <w:p w14:paraId="4FF8F94F" w14:textId="77777777" w:rsidR="00447423" w:rsidRPr="002A3CBE" w:rsidRDefault="00447423" w:rsidP="00447423">
      <w:pPr>
        <w:pStyle w:val="Heading4"/>
      </w:pPr>
      <w:bookmarkStart w:id="2007" w:name="_Hlk73698248"/>
      <w:r w:rsidRPr="002A3CBE">
        <w:t>National forest inventory</w:t>
      </w:r>
    </w:p>
    <w:bookmarkEnd w:id="2007"/>
    <w:p w14:paraId="1D813B92" w14:textId="77777777" w:rsidR="00447423" w:rsidRPr="002A3CBE" w:rsidRDefault="00447423" w:rsidP="00447423">
      <w:pPr>
        <w:pStyle w:val="BodyText"/>
        <w:rPr>
          <w:rFonts w:cs="Calibri"/>
        </w:rPr>
      </w:pPr>
      <w:r w:rsidRPr="002A3CBE">
        <w:rPr>
          <w:rFonts w:cs="Calibri"/>
        </w:rPr>
        <w:t xml:space="preserve">New Zealand has established a sampling framework for forest inventory purposes based on an 8-kilometre national grid system (8 kilometres north–south by 8 kilometres east–west). The grid has a randomly selected origin and provides an unbiased framework for establishing plots for field and/or Light Detection and Ranging (LiDAR) measurements. The network is subdivided into a 4-kilometre grid for measurement of post-1989 forest. Forest monitoring plots are established and measured where a grid point falls on land mapped as </w:t>
      </w:r>
      <w:r w:rsidRPr="002A3CBE">
        <w:rPr>
          <w:rFonts w:cs="Calibri"/>
          <w:i/>
        </w:rPr>
        <w:t>Forest land</w:t>
      </w:r>
      <w:r w:rsidRPr="002A3CBE">
        <w:rPr>
          <w:rFonts w:cs="Calibri"/>
        </w:rPr>
        <w:t xml:space="preserve">. Figure 6.4.5 and figure 6.4.6 show the distribution of carbon monitoring plots for pre-1990 and post-1989 natural and planted forest throughout New Zealand. A further description of the plot network can be found in volume 2, annex 5, section A5.2.5 ‘National forest inventory’. </w:t>
      </w:r>
    </w:p>
    <w:p w14:paraId="01D70AC9" w14:textId="77777777" w:rsidR="00447423" w:rsidRPr="002A3CBE" w:rsidRDefault="00447423" w:rsidP="00447423">
      <w:pPr>
        <w:pStyle w:val="Figure"/>
      </w:pPr>
      <w:bookmarkStart w:id="2008" w:name="_Toc280630494"/>
      <w:bookmarkStart w:id="2009" w:name="_Toc318362753"/>
      <w:bookmarkStart w:id="2010" w:name="_Toc342470833"/>
      <w:bookmarkStart w:id="2011" w:name="_Toc352505161"/>
      <w:bookmarkStart w:id="2012" w:name="_Toc373395721"/>
      <w:bookmarkStart w:id="2013" w:name="_Toc378853344"/>
      <w:bookmarkStart w:id="2014" w:name="_Toc405448094"/>
      <w:bookmarkStart w:id="2015" w:name="_Toc414531626"/>
      <w:bookmarkStart w:id="2016" w:name="_Toc474914650"/>
      <w:bookmarkStart w:id="2017" w:name="_Toc481752032"/>
      <w:bookmarkStart w:id="2018" w:name="_Toc522010710"/>
      <w:bookmarkStart w:id="2019" w:name="_Toc5269712"/>
      <w:bookmarkStart w:id="2020" w:name="_Toc33529485"/>
      <w:bookmarkStart w:id="2021" w:name="_Toc36292815"/>
      <w:bookmarkStart w:id="2022" w:name="_Toc131591574"/>
      <w:bookmarkStart w:id="2023" w:name="_Toc158979914"/>
      <w:bookmarkStart w:id="2024" w:name="_Toc164154042"/>
      <w:bookmarkStart w:id="2025" w:name="_Toc190873411"/>
      <w:bookmarkStart w:id="2026" w:name="_Toc194674875"/>
      <w:bookmarkStart w:id="2027" w:name="_Toc222837975"/>
      <w:bookmarkStart w:id="2028" w:name="_Toc226200702"/>
      <w:r w:rsidRPr="002A3CBE">
        <w:t>Figure 6.4.5</w:t>
      </w:r>
      <w:r w:rsidRPr="002A3CBE">
        <w:tab/>
        <w:t>Locations of New Zealand’s pre-1990 forest carbon monitoring plots</w:t>
      </w:r>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p>
    <w:p w14:paraId="31C58415" w14:textId="77777777" w:rsidR="00447423" w:rsidRPr="002A3CBE" w:rsidRDefault="00447423" w:rsidP="00447423">
      <w:pPr>
        <w:pStyle w:val="BodyText"/>
        <w:jc w:val="center"/>
      </w:pPr>
      <w:r w:rsidRPr="002A3CBE">
        <w:rPr>
          <w:noProof/>
        </w:rPr>
        <w:drawing>
          <wp:inline distT="0" distB="0" distL="0" distR="0" wp14:anchorId="08BE737A" wp14:editId="3F3256B8">
            <wp:extent cx="5162550" cy="7286625"/>
            <wp:effectExtent l="19050" t="19050" r="19050" b="28575"/>
            <wp:docPr id="1269246902" name="Picture 2" descr="A map of new zealand with different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46902" name="Picture 2" descr="A map of new zealand with different colored dots&#10;&#10;AI-generated content may be incorrect."/>
                    <pic:cNvPicPr>
                      <a:picLocks noChangeAspect="1" noChangeArrowheads="1"/>
                    </pic:cNvPicPr>
                  </pic:nvPicPr>
                  <pic:blipFill rotWithShape="1">
                    <a:blip r:embed="rId222" cstate="hqprint">
                      <a:extLst>
                        <a:ext uri="{28A0092B-C50C-407E-A947-70E740481C1C}">
                          <a14:useLocalDpi xmlns:a14="http://schemas.microsoft.com/office/drawing/2010/main" val="0"/>
                        </a:ext>
                      </a:extLst>
                    </a:blip>
                    <a:srcRect/>
                    <a:stretch/>
                  </pic:blipFill>
                  <pic:spPr bwMode="auto">
                    <a:xfrm>
                      <a:off x="0" y="0"/>
                      <a:ext cx="5162550" cy="7286625"/>
                    </a:xfrm>
                    <a:prstGeom prst="rect">
                      <a:avLst/>
                    </a:prstGeom>
                    <a:noFill/>
                    <a:ln w="3175">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168E2EA" w14:textId="77777777" w:rsidR="00447423" w:rsidRPr="002A3CBE" w:rsidRDefault="00447423" w:rsidP="00447423">
      <w:pPr>
        <w:pStyle w:val="BodyText"/>
      </w:pPr>
    </w:p>
    <w:p w14:paraId="2FD5E7DA" w14:textId="77777777" w:rsidR="00447423" w:rsidRPr="002A3CBE" w:rsidRDefault="00447423" w:rsidP="00447423">
      <w:pPr>
        <w:pStyle w:val="Figure"/>
      </w:pPr>
      <w:bookmarkStart w:id="2029" w:name="_Toc33529486"/>
      <w:bookmarkStart w:id="2030" w:name="_Toc36292816"/>
      <w:bookmarkStart w:id="2031" w:name="_Toc131591575"/>
      <w:bookmarkStart w:id="2032" w:name="_Toc158979915"/>
      <w:bookmarkStart w:id="2033" w:name="_Toc164154043"/>
      <w:bookmarkStart w:id="2034" w:name="_Toc190873412"/>
      <w:bookmarkStart w:id="2035" w:name="_Toc194674876"/>
      <w:bookmarkStart w:id="2036" w:name="_Toc222837976"/>
      <w:bookmarkStart w:id="2037" w:name="_Toc226200703"/>
      <w:bookmarkStart w:id="2038" w:name="_Toc255466332"/>
      <w:bookmarkStart w:id="2039" w:name="_Toc261513139"/>
      <w:bookmarkStart w:id="2040" w:name="_Toc261513752"/>
      <w:bookmarkStart w:id="2041" w:name="_Toc280630248"/>
      <w:r w:rsidRPr="002A3CBE">
        <w:t>Figure 6.4.6</w:t>
      </w:r>
      <w:r w:rsidRPr="002A3CBE">
        <w:tab/>
        <w:t>Locations of New Zealand’s post-1989 forest plots</w:t>
      </w:r>
      <w:bookmarkEnd w:id="2029"/>
      <w:bookmarkEnd w:id="2030"/>
      <w:bookmarkEnd w:id="2031"/>
      <w:bookmarkEnd w:id="2032"/>
      <w:bookmarkEnd w:id="2033"/>
      <w:bookmarkEnd w:id="2034"/>
      <w:bookmarkEnd w:id="2035"/>
      <w:bookmarkEnd w:id="2036"/>
      <w:bookmarkEnd w:id="2037"/>
    </w:p>
    <w:p w14:paraId="3C2C5C8E" w14:textId="77777777" w:rsidR="00447423" w:rsidRPr="002A3CBE" w:rsidRDefault="00447423" w:rsidP="00447423">
      <w:pPr>
        <w:pStyle w:val="BodyText"/>
        <w:jc w:val="center"/>
      </w:pPr>
      <w:r w:rsidRPr="002A3CBE">
        <w:rPr>
          <w:noProof/>
        </w:rPr>
        <w:drawing>
          <wp:inline distT="0" distB="0" distL="0" distR="0" wp14:anchorId="55D5A9FE" wp14:editId="00E76452">
            <wp:extent cx="5085964" cy="7191375"/>
            <wp:effectExtent l="0" t="0" r="635" b="0"/>
            <wp:docPr id="987806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0654" name="Picture 98780654"/>
                    <pic:cNvPicPr/>
                  </pic:nvPicPr>
                  <pic:blipFill>
                    <a:blip r:embed="rId223">
                      <a:extLst>
                        <a:ext uri="{28A0092B-C50C-407E-A947-70E740481C1C}">
                          <a14:useLocalDpi xmlns:a14="http://schemas.microsoft.com/office/drawing/2010/main"/>
                        </a:ext>
                      </a:extLst>
                    </a:blip>
                    <a:stretch>
                      <a:fillRect/>
                    </a:stretch>
                  </pic:blipFill>
                  <pic:spPr>
                    <a:xfrm>
                      <a:off x="0" y="0"/>
                      <a:ext cx="5085964" cy="7191375"/>
                    </a:xfrm>
                    <a:prstGeom prst="rect">
                      <a:avLst/>
                    </a:prstGeom>
                    <a:ln>
                      <a:noFill/>
                    </a:ln>
                  </pic:spPr>
                </pic:pic>
              </a:graphicData>
            </a:graphic>
          </wp:inline>
        </w:drawing>
      </w:r>
    </w:p>
    <w:p w14:paraId="0CE78812" w14:textId="77777777" w:rsidR="00447423" w:rsidRPr="002A3CBE" w:rsidRDefault="00447423" w:rsidP="00447423">
      <w:pPr>
        <w:pStyle w:val="Heading4"/>
      </w:pPr>
      <w:bookmarkStart w:id="2042" w:name="_Toc255466331"/>
      <w:bookmarkStart w:id="2043" w:name="_Toc261513138"/>
      <w:bookmarkStart w:id="2044" w:name="_Toc261513751"/>
      <w:bookmarkStart w:id="2045" w:name="_Toc280630247"/>
      <w:bookmarkEnd w:id="2038"/>
      <w:bookmarkEnd w:id="2039"/>
      <w:bookmarkEnd w:id="2040"/>
      <w:bookmarkEnd w:id="2041"/>
      <w:r w:rsidRPr="002A3CBE">
        <w:t>Forest land remaining forest land</w:t>
      </w:r>
      <w:bookmarkEnd w:id="2042"/>
      <w:bookmarkEnd w:id="2043"/>
      <w:bookmarkEnd w:id="2044"/>
      <w:bookmarkEnd w:id="2045"/>
      <w:r w:rsidRPr="002A3CBE">
        <w:t xml:space="preserve"> (4.A.1)</w:t>
      </w:r>
    </w:p>
    <w:p w14:paraId="295BD97B" w14:textId="77777777" w:rsidR="00447423" w:rsidRPr="002A3CBE" w:rsidRDefault="00447423" w:rsidP="00447423">
      <w:pPr>
        <w:pStyle w:val="Heading5"/>
        <w:spacing w:before="180"/>
      </w:pPr>
      <w:r w:rsidRPr="002A3CBE">
        <w:t>Living biomass and dead organic matter</w:t>
      </w:r>
    </w:p>
    <w:p w14:paraId="43B30D57" w14:textId="77777777" w:rsidR="00447423" w:rsidRPr="002A3CBE" w:rsidRDefault="00447423" w:rsidP="00447423">
      <w:pPr>
        <w:pStyle w:val="BodyText"/>
        <w:keepLines/>
      </w:pPr>
      <w:r w:rsidRPr="002A3CBE">
        <w:t>Emissions and removals for the living biomass and dead organic matter pools have been calculated using Tier 2 and Tier 3 methods. At each forest plot, data are collected to calculate the volumes of trees, shrubs and dead organic matter present. These measurements are then used to estimate the carbon stocks for the biomass pools of:</w:t>
      </w:r>
    </w:p>
    <w:p w14:paraId="47138B49" w14:textId="77777777" w:rsidR="00447423" w:rsidRPr="002A3CBE" w:rsidRDefault="00447423" w:rsidP="00447423">
      <w:pPr>
        <w:pStyle w:val="Bullet"/>
        <w:numPr>
          <w:ilvl w:val="0"/>
          <w:numId w:val="29"/>
        </w:numPr>
        <w:ind w:left="397" w:hanging="397"/>
      </w:pPr>
      <w:r w:rsidRPr="002A3CBE">
        <w:t>living biomass (comprising above-ground biomass and below-ground biomass)</w:t>
      </w:r>
    </w:p>
    <w:p w14:paraId="53D350B3" w14:textId="77777777" w:rsidR="00447423" w:rsidRPr="002A3CBE" w:rsidRDefault="00447423" w:rsidP="00447423">
      <w:pPr>
        <w:pStyle w:val="Bullet"/>
        <w:numPr>
          <w:ilvl w:val="0"/>
          <w:numId w:val="29"/>
        </w:numPr>
        <w:ind w:left="397" w:hanging="397"/>
      </w:pPr>
      <w:r w:rsidRPr="002A3CBE">
        <w:t>dead organic matter (comprising dead wood and litter).</w:t>
      </w:r>
    </w:p>
    <w:p w14:paraId="6CCBD36B" w14:textId="77777777" w:rsidR="00447423" w:rsidRPr="002A3CBE" w:rsidRDefault="00447423" w:rsidP="00447423">
      <w:pPr>
        <w:pStyle w:val="BodyText"/>
      </w:pPr>
      <w:r w:rsidRPr="002A3CBE">
        <w:t xml:space="preserve">The method used to calculate the carbon stock in each biomass pool, for each forest classification, is summarised in table 6.4.8. </w:t>
      </w:r>
    </w:p>
    <w:p w14:paraId="627A9B64" w14:textId="77777777" w:rsidR="00447423" w:rsidRPr="002A3CBE" w:rsidRDefault="00447423" w:rsidP="00447423">
      <w:pPr>
        <w:pStyle w:val="BodyText"/>
      </w:pPr>
      <w:r w:rsidRPr="002A3CBE">
        <w:t>Carbon stocks in natural forest are estimated directly from the inventory plots. Further detail on methods can be found in volume 2, annex 5, section A5.2.5 ‘National forest inventory’.</w:t>
      </w:r>
    </w:p>
    <w:p w14:paraId="14A83E59" w14:textId="77777777" w:rsidR="00447423" w:rsidRPr="002A3CBE" w:rsidRDefault="00447423" w:rsidP="00447423">
      <w:pPr>
        <w:pStyle w:val="BodyText"/>
        <w:rPr>
          <w:rFonts w:eastAsia="Segoe UI" w:hAnsi="Segoe UI" w:cs="Segoe UI"/>
        </w:rPr>
      </w:pPr>
      <w:r w:rsidRPr="002A3CBE">
        <w:t xml:space="preserve">The carbon stocks for pre-1990 and post-1989 planted forest are calculated from yield tables </w:t>
      </w:r>
      <w:r w:rsidRPr="002A3CBE">
        <w:rPr>
          <w:spacing w:val="-2"/>
        </w:rPr>
        <w:t xml:space="preserve">derived from plot measurements, </w:t>
      </w:r>
      <w:r w:rsidRPr="002A3CBE">
        <w:rPr>
          <w:rFonts w:eastAsia="Segoe UI" w:cs="Segoe UI"/>
          <w:spacing w:val="-2"/>
        </w:rPr>
        <w:t>which are then applied to an estimated age-class distribution</w:t>
      </w:r>
      <w:r w:rsidRPr="002A3CBE">
        <w:rPr>
          <w:rFonts w:eastAsia="Segoe UI" w:hAnsi="Segoe UI" w:cs="Segoe UI"/>
        </w:rPr>
        <w:t>.</w:t>
      </w:r>
      <w:r w:rsidRPr="002A3CBE">
        <w:t xml:space="preserve"> </w:t>
      </w:r>
      <w:r w:rsidRPr="002A3CBE">
        <w:rPr>
          <w:rFonts w:eastAsia="Segoe UI" w:cs="Segoe UI"/>
          <w:spacing w:val="-2"/>
        </w:rPr>
        <w:t>The yield tables are based on data from all plots measured for the planted forest field inventory</w:t>
      </w:r>
      <w:r w:rsidRPr="002A3CBE">
        <w:rPr>
          <w:rFonts w:eastAsia="Segoe UI" w:hAnsi="Segoe UI" w:cs="Segoe UI"/>
        </w:rPr>
        <w:t xml:space="preserve"> from 2007 to 2022, with carbon stocks across the full time series calculated using interpolation between measurements (Paul et al., 2024) </w:t>
      </w:r>
    </w:p>
    <w:p w14:paraId="156C88D8" w14:textId="77777777" w:rsidR="00447423" w:rsidRPr="002A3CBE" w:rsidRDefault="00447423" w:rsidP="00447423">
      <w:pPr>
        <w:pStyle w:val="BodyText"/>
        <w:rPr>
          <w:rFonts w:eastAsia="Segoe UI" w:hAnsi="Segoe UI" w:cs="Segoe UI"/>
        </w:rPr>
      </w:pPr>
      <w:r w:rsidRPr="002A3CBE">
        <w:rPr>
          <w:rFonts w:eastAsia="Segoe UI" w:hAnsi="Segoe UI" w:cs="Segoe UI"/>
        </w:rPr>
        <w:t xml:space="preserve">A single yield table is applied to the post-1989 planted forest estate and two period-specific yield tables are applied to the pre-1990 planted forest estate based on plant date: pre-1990 forest planted before 1990 and pre-1990 forest planted from 1990 onwards. </w:t>
      </w:r>
    </w:p>
    <w:p w14:paraId="7FCA75E5" w14:textId="77777777" w:rsidR="00447423" w:rsidRPr="002A3CBE" w:rsidRDefault="00447423" w:rsidP="00447423">
      <w:pPr>
        <w:pStyle w:val="BodyText"/>
        <w:spacing w:before="100" w:after="100"/>
      </w:pPr>
      <w:r w:rsidRPr="002A3CBE">
        <w:t>The use of period-specific yield tables allows for a more accurate estimate of carbon stock gains and losses from planted forests through time. The planted forest y</w:t>
      </w:r>
      <w:r w:rsidRPr="002A3CBE">
        <w:rPr>
          <w:rFonts w:cs="Arial"/>
          <w:bCs/>
        </w:rPr>
        <w:t xml:space="preserve">ield tables (presented in volume 2, annex 5, section A.5.2.5 </w:t>
      </w:r>
      <w:r w:rsidRPr="002A3CBE">
        <w:t>‘</w:t>
      </w:r>
      <w:r w:rsidRPr="002A3CBE">
        <w:rPr>
          <w:rFonts w:cs="Arial"/>
          <w:bCs/>
        </w:rPr>
        <w:t>Planted forest yield tables</w:t>
      </w:r>
      <w:r w:rsidRPr="002A3CBE">
        <w:t>’</w:t>
      </w:r>
      <w:r w:rsidRPr="002A3CBE">
        <w:rPr>
          <w:rFonts w:cs="Arial"/>
          <w:bCs/>
        </w:rPr>
        <w:t xml:space="preserve">) show that pre-1990 planted forests planted after 1990 have the highest total biomass yield when compared with similarly </w:t>
      </w:r>
      <w:r w:rsidRPr="002A3CBE">
        <w:rPr>
          <w:rFonts w:cs="Arial"/>
          <w:bCs/>
          <w:spacing w:val="-2"/>
        </w:rPr>
        <w:t>aged pre-1990 planted forests planted before 1990, and post-1989 forests. In general, re</w:t>
      </w:r>
      <w:r w:rsidRPr="002A3CBE">
        <w:rPr>
          <w:rFonts w:cs="Arial"/>
          <w:bCs/>
          <w:spacing w:val="-2"/>
        </w:rPr>
        <w:noBreakHyphen/>
        <w:t>planted</w:t>
      </w:r>
      <w:r w:rsidRPr="002A3CBE">
        <w:rPr>
          <w:rFonts w:cs="Arial"/>
          <w:bCs/>
        </w:rPr>
        <w:t xml:space="preserve"> pre-1990 forests with younger trees show greater productivity (fast early growth), due to genetic improvements in stock planted recently, relative to stock planted more than 20 years ago (Paul et al., 2024). However, </w:t>
      </w:r>
      <w:r w:rsidRPr="002A3CBE">
        <w:rPr>
          <w:rFonts w:cs="Arial"/>
          <w:bCs/>
          <w:spacing w:val="-2"/>
        </w:rPr>
        <w:t>plots with slower growing tree species, such as Douglas fir, cypresses, coastal redwood</w:t>
      </w:r>
      <w:r w:rsidRPr="002A3CBE">
        <w:rPr>
          <w:rFonts w:cs="Arial"/>
          <w:bCs/>
        </w:rPr>
        <w:t xml:space="preserve"> and </w:t>
      </w:r>
      <w:r w:rsidRPr="002A3CBE" w:rsidDel="00237BDE">
        <w:rPr>
          <w:rFonts w:cs="Arial"/>
          <w:bCs/>
        </w:rPr>
        <w:t xml:space="preserve">slower growing </w:t>
      </w:r>
      <w:r w:rsidRPr="002A3CBE">
        <w:rPr>
          <w:rFonts w:cs="Arial"/>
          <w:bCs/>
          <w:i/>
          <w:iCs/>
        </w:rPr>
        <w:t>Eucalyptus</w:t>
      </w:r>
      <w:r w:rsidRPr="002A3CBE" w:rsidDel="00237BDE">
        <w:rPr>
          <w:rFonts w:cs="Arial"/>
          <w:bCs/>
        </w:rPr>
        <w:t xml:space="preserve"> species</w:t>
      </w:r>
      <w:r w:rsidRPr="002A3CBE">
        <w:rPr>
          <w:rFonts w:cs="Arial"/>
          <w:bCs/>
        </w:rPr>
        <w:t>, are an increasing part of the post-1989 estate, reducing the overall sequestration rate for this forest type, compared with pre-1990 planted forests. Less productive species are likely to be managed on longer rotations, and this can result in older age classes being dominated by relatively slow-growing plots, lowering the combined species yield trajectory (Paul et al., 2024).</w:t>
      </w:r>
      <w:r w:rsidRPr="002A3CBE">
        <w:t xml:space="preserve"> </w:t>
      </w:r>
    </w:p>
    <w:p w14:paraId="1519D193" w14:textId="77777777" w:rsidR="00447423" w:rsidRPr="002A3CBE" w:rsidRDefault="00447423" w:rsidP="00447423">
      <w:pPr>
        <w:pStyle w:val="BodyText"/>
      </w:pPr>
      <w:r w:rsidRPr="002A3CBE">
        <w:t xml:space="preserve">Where there has been a land-use change between natural forest and planted forest, the associated carbon changes are reported under </w:t>
      </w:r>
      <w:r w:rsidRPr="002A3CBE">
        <w:rPr>
          <w:i/>
        </w:rPr>
        <w:t>Forest land remaining forest land</w:t>
      </w:r>
      <w:r w:rsidRPr="002A3CBE">
        <w:rPr>
          <w:iCs/>
        </w:rPr>
        <w:t xml:space="preserve">, </w:t>
      </w:r>
      <w:r w:rsidRPr="002A3CBE">
        <w:t xml:space="preserve">provided the forest has already been established for 20 years. </w:t>
      </w:r>
    </w:p>
    <w:p w14:paraId="1A899FCA" w14:textId="77777777" w:rsidR="00447423" w:rsidRPr="002A3CBE" w:rsidRDefault="00447423" w:rsidP="00447423">
      <w:pPr>
        <w:pStyle w:val="BodyText"/>
      </w:pPr>
      <w:r w:rsidRPr="002A3CBE">
        <w:t xml:space="preserve">Where pre-1990 forest has undergone a deforestation event, changed to a different land use (such as </w:t>
      </w:r>
      <w:r w:rsidRPr="002A3CBE">
        <w:rPr>
          <w:i/>
          <w:iCs/>
        </w:rPr>
        <w:t>Grassland</w:t>
      </w:r>
      <w:r w:rsidRPr="002A3CBE">
        <w:t xml:space="preserve">), and then subsequently undergone another land-use change back to </w:t>
      </w:r>
      <w:r w:rsidRPr="002A3CBE">
        <w:rPr>
          <w:i/>
          <w:iCs/>
        </w:rPr>
        <w:t>Forest land</w:t>
      </w:r>
      <w:r w:rsidRPr="002A3CBE">
        <w:t xml:space="preserve">, the land use will be classified as pre-1990 forest. This is in line with the category definitions outlined in table 6.2.2. </w:t>
      </w:r>
    </w:p>
    <w:p w14:paraId="2CC3C261" w14:textId="77777777" w:rsidR="00447423" w:rsidRPr="002A3CBE" w:rsidRDefault="00447423" w:rsidP="00447423">
      <w:pPr>
        <w:pStyle w:val="BodyText"/>
      </w:pPr>
      <w:r w:rsidRPr="002A3CBE">
        <w:t xml:space="preserve">Detailed methodology for the plot network, sampling and yield table derivation, as well as validation of the yield tables with the measured plot data, can be found in volume 2, annex 5, section A5.2.5 ‘National forest inventory’ and section A5.2.5 ‘Forest land model validations’. </w:t>
      </w:r>
    </w:p>
    <w:p w14:paraId="6D04CD57" w14:textId="77777777" w:rsidR="00447423" w:rsidRPr="002A3CBE" w:rsidRDefault="00447423" w:rsidP="00447423">
      <w:pPr>
        <w:pStyle w:val="Table"/>
      </w:pPr>
      <w:bookmarkStart w:id="2046" w:name="_Toc280630456"/>
      <w:bookmarkStart w:id="2047" w:name="_Toc310423408"/>
      <w:bookmarkStart w:id="2048" w:name="_Toc318362701"/>
      <w:bookmarkStart w:id="2049" w:name="_Toc342470763"/>
      <w:bookmarkStart w:id="2050" w:name="_Toc352505003"/>
      <w:bookmarkStart w:id="2051" w:name="_Toc373395728"/>
      <w:bookmarkStart w:id="2052" w:name="_Toc378853294"/>
      <w:bookmarkStart w:id="2053" w:name="_Toc391024092"/>
      <w:bookmarkStart w:id="2054" w:name="_Toc410028835"/>
      <w:bookmarkStart w:id="2055" w:name="_Toc414531463"/>
      <w:bookmarkStart w:id="2056" w:name="_Toc443645376"/>
      <w:bookmarkStart w:id="2057" w:name="_Toc474914595"/>
      <w:bookmarkStart w:id="2058" w:name="_Toc481751559"/>
      <w:bookmarkStart w:id="2059" w:name="_Toc522010616"/>
      <w:bookmarkStart w:id="2060" w:name="_Toc5269521"/>
      <w:bookmarkStart w:id="2061" w:name="_Toc131591398"/>
      <w:bookmarkStart w:id="2062" w:name="_Toc158979956"/>
      <w:bookmarkStart w:id="2063" w:name="_Toc164153889"/>
      <w:bookmarkStart w:id="2064" w:name="_Toc190873123"/>
      <w:bookmarkStart w:id="2065" w:name="_Toc194241762"/>
      <w:bookmarkStart w:id="2066" w:name="_Toc222837913"/>
      <w:bookmarkStart w:id="2067" w:name="_Toc226669059"/>
      <w:r w:rsidRPr="002A3CBE">
        <w:t>Table 6.4.8</w:t>
      </w:r>
      <w:r w:rsidRPr="002A3CBE">
        <w:tab/>
        <w:t>Summary of methods used to calculate New Zealand’s forest biomass</w:t>
      </w:r>
      <w:r w:rsidRPr="002A3CBE">
        <w:br/>
        <w:t>carbon stock from plot data</w:t>
      </w:r>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p>
    <w:tbl>
      <w:tblPr>
        <w:tblW w:w="8505" w:type="dxa"/>
        <w:tblBorders>
          <w:top w:val="single" w:sz="4" w:space="0" w:color="1B556B"/>
          <w:bottom w:val="single" w:sz="4" w:space="0" w:color="1B556B"/>
          <w:right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419"/>
        <w:gridCol w:w="1276"/>
        <w:gridCol w:w="1716"/>
        <w:gridCol w:w="2369"/>
        <w:gridCol w:w="1725"/>
      </w:tblGrid>
      <w:tr w:rsidR="00447423" w:rsidRPr="002A3CBE" w14:paraId="3F32D80F" w14:textId="77777777" w:rsidTr="00F16E23">
        <w:trPr>
          <w:tblHeader/>
        </w:trPr>
        <w:tc>
          <w:tcPr>
            <w:tcW w:w="834" w:type="pct"/>
            <w:tcBorders>
              <w:right w:val="nil"/>
            </w:tcBorders>
            <w:shd w:val="clear" w:color="auto" w:fill="1B556B"/>
          </w:tcPr>
          <w:p w14:paraId="6C467518" w14:textId="77777777" w:rsidR="00447423" w:rsidRPr="002A3CBE" w:rsidRDefault="00447423" w:rsidP="00F16E23">
            <w:pPr>
              <w:pStyle w:val="TableTextBold"/>
              <w:rPr>
                <w:noProof w:val="0"/>
                <w:color w:val="FFFFFF"/>
              </w:rPr>
            </w:pPr>
          </w:p>
        </w:tc>
        <w:tc>
          <w:tcPr>
            <w:tcW w:w="1759" w:type="pct"/>
            <w:gridSpan w:val="2"/>
            <w:tcBorders>
              <w:left w:val="nil"/>
              <w:bottom w:val="single" w:sz="4" w:space="0" w:color="1B556B"/>
              <w:right w:val="nil"/>
            </w:tcBorders>
            <w:shd w:val="clear" w:color="auto" w:fill="1B556B"/>
          </w:tcPr>
          <w:p w14:paraId="66070889" w14:textId="77777777" w:rsidR="00447423" w:rsidRPr="002A3CBE" w:rsidRDefault="00447423" w:rsidP="00F16E23">
            <w:pPr>
              <w:pStyle w:val="TableTextBold"/>
              <w:rPr>
                <w:noProof w:val="0"/>
                <w:color w:val="FFFFFF"/>
              </w:rPr>
            </w:pPr>
            <w:r w:rsidRPr="002A3CBE">
              <w:rPr>
                <w:noProof w:val="0"/>
                <w:color w:val="FFFFFF"/>
              </w:rPr>
              <w:t>Pool</w:t>
            </w:r>
          </w:p>
        </w:tc>
        <w:tc>
          <w:tcPr>
            <w:tcW w:w="1393" w:type="pct"/>
            <w:tcBorders>
              <w:left w:val="nil"/>
              <w:bottom w:val="single" w:sz="4" w:space="0" w:color="1B556B"/>
              <w:right w:val="nil"/>
            </w:tcBorders>
            <w:shd w:val="clear" w:color="auto" w:fill="1B556B"/>
          </w:tcPr>
          <w:p w14:paraId="36DF627C" w14:textId="77777777" w:rsidR="00447423" w:rsidRPr="002A3CBE" w:rsidRDefault="00447423" w:rsidP="00F16E23">
            <w:pPr>
              <w:pStyle w:val="TableTextBold"/>
              <w:rPr>
                <w:noProof w:val="0"/>
                <w:color w:val="FFFFFF"/>
              </w:rPr>
            </w:pPr>
            <w:r w:rsidRPr="002A3CBE">
              <w:rPr>
                <w:noProof w:val="0"/>
                <w:color w:val="FFFFFF"/>
              </w:rPr>
              <w:t>Method</w:t>
            </w:r>
          </w:p>
        </w:tc>
        <w:tc>
          <w:tcPr>
            <w:tcW w:w="1014" w:type="pct"/>
            <w:tcBorders>
              <w:left w:val="nil"/>
              <w:bottom w:val="single" w:sz="4" w:space="0" w:color="1B556B"/>
              <w:right w:val="nil"/>
            </w:tcBorders>
            <w:shd w:val="clear" w:color="auto" w:fill="1B556B"/>
          </w:tcPr>
          <w:p w14:paraId="32D20C69" w14:textId="77777777" w:rsidR="00447423" w:rsidRPr="002A3CBE" w:rsidRDefault="00447423" w:rsidP="00F16E23">
            <w:pPr>
              <w:pStyle w:val="TableTextBold"/>
              <w:rPr>
                <w:noProof w:val="0"/>
                <w:color w:val="FFFFFF"/>
              </w:rPr>
            </w:pPr>
            <w:r w:rsidRPr="002A3CBE">
              <w:rPr>
                <w:noProof w:val="0"/>
                <w:color w:val="FFFFFF"/>
              </w:rPr>
              <w:t>Source</w:t>
            </w:r>
          </w:p>
        </w:tc>
      </w:tr>
      <w:tr w:rsidR="00447423" w:rsidRPr="002A3CBE" w14:paraId="46D68832" w14:textId="77777777" w:rsidTr="00F16E23">
        <w:tc>
          <w:tcPr>
            <w:tcW w:w="834" w:type="pct"/>
            <w:vMerge w:val="restart"/>
            <w:tcBorders>
              <w:right w:val="nil"/>
            </w:tcBorders>
          </w:tcPr>
          <w:p w14:paraId="1C978EF8" w14:textId="77777777" w:rsidR="00447423" w:rsidRPr="002A3CBE" w:rsidRDefault="00447423" w:rsidP="00F16E23">
            <w:pPr>
              <w:pStyle w:val="TableText"/>
              <w:rPr>
                <w:b/>
              </w:rPr>
            </w:pPr>
            <w:r w:rsidRPr="002A3CBE">
              <w:rPr>
                <w:b/>
              </w:rPr>
              <w:t>Pre-1990 natural forest</w:t>
            </w:r>
          </w:p>
        </w:tc>
        <w:tc>
          <w:tcPr>
            <w:tcW w:w="750" w:type="pct"/>
            <w:vMerge w:val="restart"/>
            <w:tcBorders>
              <w:left w:val="nil"/>
              <w:right w:val="nil"/>
            </w:tcBorders>
          </w:tcPr>
          <w:p w14:paraId="7D54798F" w14:textId="77777777" w:rsidR="00447423" w:rsidRPr="002A3CBE" w:rsidRDefault="00447423" w:rsidP="00F16E23">
            <w:pPr>
              <w:pStyle w:val="TableText"/>
              <w:rPr>
                <w:b/>
              </w:rPr>
            </w:pPr>
            <w:r w:rsidRPr="002A3CBE">
              <w:rPr>
                <w:b/>
              </w:rPr>
              <w:t>Living biomass</w:t>
            </w:r>
          </w:p>
        </w:tc>
        <w:tc>
          <w:tcPr>
            <w:tcW w:w="1009" w:type="pct"/>
            <w:tcBorders>
              <w:left w:val="nil"/>
              <w:bottom w:val="nil"/>
              <w:right w:val="nil"/>
            </w:tcBorders>
          </w:tcPr>
          <w:p w14:paraId="2CC86F5E" w14:textId="77777777" w:rsidR="00447423" w:rsidRPr="002A3CBE" w:rsidRDefault="00447423" w:rsidP="00F16E23">
            <w:pPr>
              <w:pStyle w:val="TableText"/>
            </w:pPr>
            <w:r w:rsidRPr="002A3CBE">
              <w:t>Above-ground biomass</w:t>
            </w:r>
          </w:p>
        </w:tc>
        <w:tc>
          <w:tcPr>
            <w:tcW w:w="1393" w:type="pct"/>
            <w:tcBorders>
              <w:left w:val="nil"/>
              <w:bottom w:val="nil"/>
              <w:right w:val="nil"/>
            </w:tcBorders>
          </w:tcPr>
          <w:p w14:paraId="20652BE9" w14:textId="77777777" w:rsidR="00447423" w:rsidRPr="002A3CBE" w:rsidRDefault="00447423" w:rsidP="00F16E23">
            <w:pPr>
              <w:pStyle w:val="TableText"/>
            </w:pPr>
            <w:r w:rsidRPr="002A3CBE">
              <w:t>Plot measurements; allometric equations</w:t>
            </w:r>
          </w:p>
        </w:tc>
        <w:tc>
          <w:tcPr>
            <w:tcW w:w="1014" w:type="pct"/>
            <w:tcBorders>
              <w:left w:val="nil"/>
              <w:bottom w:val="nil"/>
              <w:right w:val="nil"/>
            </w:tcBorders>
          </w:tcPr>
          <w:p w14:paraId="64525D6A" w14:textId="77777777" w:rsidR="00447423" w:rsidRPr="002A3CBE" w:rsidRDefault="00447423" w:rsidP="00F16E23">
            <w:pPr>
              <w:pStyle w:val="TableText"/>
            </w:pPr>
            <w:r w:rsidRPr="002A3CBE">
              <w:t>Paul et al. (2021)</w:t>
            </w:r>
          </w:p>
        </w:tc>
      </w:tr>
      <w:tr w:rsidR="00447423" w:rsidRPr="002A3CBE" w14:paraId="37FCB7BD" w14:textId="77777777" w:rsidTr="00F16E23">
        <w:tc>
          <w:tcPr>
            <w:tcW w:w="834" w:type="pct"/>
            <w:vMerge/>
            <w:tcBorders>
              <w:right w:val="nil"/>
            </w:tcBorders>
          </w:tcPr>
          <w:p w14:paraId="2F33B417" w14:textId="77777777" w:rsidR="00447423" w:rsidRPr="002A3CBE" w:rsidRDefault="00447423" w:rsidP="00F16E23">
            <w:pPr>
              <w:pStyle w:val="TableText"/>
              <w:rPr>
                <w:b/>
              </w:rPr>
            </w:pPr>
          </w:p>
        </w:tc>
        <w:tc>
          <w:tcPr>
            <w:tcW w:w="750" w:type="pct"/>
            <w:vMerge/>
            <w:tcBorders>
              <w:left w:val="nil"/>
              <w:right w:val="nil"/>
            </w:tcBorders>
          </w:tcPr>
          <w:p w14:paraId="6D90AC98" w14:textId="77777777" w:rsidR="00447423" w:rsidRPr="002A3CBE" w:rsidRDefault="00447423" w:rsidP="00F16E23">
            <w:pPr>
              <w:pStyle w:val="TableText"/>
              <w:rPr>
                <w:b/>
              </w:rPr>
            </w:pPr>
          </w:p>
        </w:tc>
        <w:tc>
          <w:tcPr>
            <w:tcW w:w="1009" w:type="pct"/>
            <w:tcBorders>
              <w:top w:val="nil"/>
              <w:left w:val="nil"/>
              <w:right w:val="nil"/>
            </w:tcBorders>
          </w:tcPr>
          <w:p w14:paraId="623A460B" w14:textId="77777777" w:rsidR="00447423" w:rsidRPr="002A3CBE" w:rsidRDefault="00447423" w:rsidP="00F16E23">
            <w:pPr>
              <w:pStyle w:val="TableText"/>
              <w:spacing w:before="20"/>
            </w:pPr>
            <w:r w:rsidRPr="002A3CBE">
              <w:t>Below-ground biomass</w:t>
            </w:r>
          </w:p>
        </w:tc>
        <w:tc>
          <w:tcPr>
            <w:tcW w:w="1393" w:type="pct"/>
            <w:tcBorders>
              <w:top w:val="nil"/>
              <w:left w:val="nil"/>
              <w:right w:val="nil"/>
            </w:tcBorders>
          </w:tcPr>
          <w:p w14:paraId="709DF387" w14:textId="77777777" w:rsidR="00447423" w:rsidRPr="002A3CBE" w:rsidRDefault="00447423" w:rsidP="00F16E23">
            <w:pPr>
              <w:pStyle w:val="TableText"/>
              <w:spacing w:before="20"/>
            </w:pPr>
            <w:r w:rsidRPr="002A3CBE">
              <w:t xml:space="preserve">Estimated as the ratio of below-ground biomass to above-ground biomass </w:t>
            </w:r>
          </w:p>
        </w:tc>
        <w:tc>
          <w:tcPr>
            <w:tcW w:w="1014" w:type="pct"/>
            <w:tcBorders>
              <w:top w:val="nil"/>
              <w:left w:val="nil"/>
              <w:right w:val="nil"/>
            </w:tcBorders>
          </w:tcPr>
          <w:p w14:paraId="76947295" w14:textId="77777777" w:rsidR="00447423" w:rsidRPr="002A3CBE" w:rsidRDefault="00447423" w:rsidP="00F16E23">
            <w:pPr>
              <w:pStyle w:val="TableText"/>
              <w:spacing w:before="20"/>
            </w:pPr>
            <w:r w:rsidRPr="002A3CBE">
              <w:t>Paul et al. (2021); Easdale et al. (2019)</w:t>
            </w:r>
          </w:p>
        </w:tc>
      </w:tr>
      <w:tr w:rsidR="00447423" w:rsidRPr="002A3CBE" w14:paraId="1C2C8445" w14:textId="77777777" w:rsidTr="00F16E23">
        <w:tc>
          <w:tcPr>
            <w:tcW w:w="834" w:type="pct"/>
            <w:vMerge/>
            <w:tcBorders>
              <w:right w:val="nil"/>
            </w:tcBorders>
          </w:tcPr>
          <w:p w14:paraId="7521A001" w14:textId="77777777" w:rsidR="00447423" w:rsidRPr="002A3CBE" w:rsidRDefault="00447423" w:rsidP="00F16E23">
            <w:pPr>
              <w:pStyle w:val="TableText"/>
              <w:rPr>
                <w:b/>
              </w:rPr>
            </w:pPr>
          </w:p>
        </w:tc>
        <w:tc>
          <w:tcPr>
            <w:tcW w:w="750" w:type="pct"/>
            <w:vMerge w:val="restart"/>
            <w:tcBorders>
              <w:left w:val="nil"/>
              <w:right w:val="nil"/>
            </w:tcBorders>
          </w:tcPr>
          <w:p w14:paraId="2604381B" w14:textId="77777777" w:rsidR="00447423" w:rsidRPr="002A3CBE" w:rsidRDefault="00447423" w:rsidP="00F16E23">
            <w:pPr>
              <w:pStyle w:val="TableText"/>
              <w:rPr>
                <w:b/>
              </w:rPr>
            </w:pPr>
            <w:r w:rsidRPr="002A3CBE">
              <w:rPr>
                <w:b/>
              </w:rPr>
              <w:t>Dead organic matter</w:t>
            </w:r>
          </w:p>
        </w:tc>
        <w:tc>
          <w:tcPr>
            <w:tcW w:w="1009" w:type="pct"/>
            <w:tcBorders>
              <w:top w:val="nil"/>
              <w:left w:val="nil"/>
              <w:bottom w:val="nil"/>
              <w:right w:val="nil"/>
            </w:tcBorders>
          </w:tcPr>
          <w:p w14:paraId="0AE93376" w14:textId="77777777" w:rsidR="00447423" w:rsidRPr="002A3CBE" w:rsidRDefault="00447423" w:rsidP="00F16E23">
            <w:pPr>
              <w:pStyle w:val="TableText"/>
            </w:pPr>
            <w:r w:rsidRPr="002A3CBE">
              <w:t>Dead wood</w:t>
            </w:r>
          </w:p>
        </w:tc>
        <w:tc>
          <w:tcPr>
            <w:tcW w:w="1393" w:type="pct"/>
            <w:tcBorders>
              <w:top w:val="nil"/>
              <w:left w:val="nil"/>
              <w:bottom w:val="nil"/>
              <w:right w:val="nil"/>
            </w:tcBorders>
          </w:tcPr>
          <w:p w14:paraId="2F67EC91" w14:textId="77777777" w:rsidR="00447423" w:rsidRPr="002A3CBE" w:rsidRDefault="00447423" w:rsidP="00F16E23">
            <w:pPr>
              <w:pStyle w:val="TableText"/>
            </w:pPr>
            <w:r w:rsidRPr="002A3CBE">
              <w:t xml:space="preserve">Modelled from plot measurements; allometric equations </w:t>
            </w:r>
          </w:p>
        </w:tc>
        <w:tc>
          <w:tcPr>
            <w:tcW w:w="1014" w:type="pct"/>
            <w:tcBorders>
              <w:top w:val="nil"/>
              <w:left w:val="nil"/>
              <w:bottom w:val="nil"/>
              <w:right w:val="nil"/>
            </w:tcBorders>
          </w:tcPr>
          <w:p w14:paraId="40EB4114" w14:textId="77777777" w:rsidR="00447423" w:rsidRPr="002A3CBE" w:rsidRDefault="00447423" w:rsidP="00F16E23">
            <w:pPr>
              <w:pStyle w:val="TableText"/>
            </w:pPr>
            <w:r w:rsidRPr="002A3CBE">
              <w:t xml:space="preserve">Garrett et al. (2019); Paul et al. (2021); Kimberley et al. (2019) </w:t>
            </w:r>
          </w:p>
        </w:tc>
      </w:tr>
      <w:tr w:rsidR="00447423" w:rsidRPr="002A3CBE" w14:paraId="5111FE7B" w14:textId="77777777" w:rsidTr="00F16E23">
        <w:tc>
          <w:tcPr>
            <w:tcW w:w="834" w:type="pct"/>
            <w:vMerge/>
            <w:tcBorders>
              <w:right w:val="nil"/>
            </w:tcBorders>
          </w:tcPr>
          <w:p w14:paraId="72DB0309" w14:textId="77777777" w:rsidR="00447423" w:rsidRPr="002A3CBE" w:rsidRDefault="00447423" w:rsidP="00F16E23">
            <w:pPr>
              <w:pStyle w:val="TableText"/>
              <w:rPr>
                <w:b/>
              </w:rPr>
            </w:pPr>
          </w:p>
        </w:tc>
        <w:tc>
          <w:tcPr>
            <w:tcW w:w="750" w:type="pct"/>
            <w:vMerge/>
            <w:tcBorders>
              <w:left w:val="nil"/>
              <w:right w:val="nil"/>
            </w:tcBorders>
          </w:tcPr>
          <w:p w14:paraId="57106468" w14:textId="77777777" w:rsidR="00447423" w:rsidRPr="002A3CBE" w:rsidRDefault="00447423" w:rsidP="00F16E23">
            <w:pPr>
              <w:pStyle w:val="TableText"/>
              <w:rPr>
                <w:b/>
              </w:rPr>
            </w:pPr>
          </w:p>
        </w:tc>
        <w:tc>
          <w:tcPr>
            <w:tcW w:w="1009" w:type="pct"/>
            <w:tcBorders>
              <w:top w:val="nil"/>
              <w:left w:val="nil"/>
              <w:right w:val="nil"/>
            </w:tcBorders>
          </w:tcPr>
          <w:p w14:paraId="2AE8D89A" w14:textId="77777777" w:rsidR="00447423" w:rsidRPr="002A3CBE" w:rsidRDefault="00447423" w:rsidP="00F16E23">
            <w:pPr>
              <w:pStyle w:val="TableText"/>
              <w:spacing w:before="20"/>
            </w:pPr>
            <w:r w:rsidRPr="002A3CBE">
              <w:t>Litter</w:t>
            </w:r>
          </w:p>
        </w:tc>
        <w:tc>
          <w:tcPr>
            <w:tcW w:w="1393" w:type="pct"/>
            <w:tcBorders>
              <w:top w:val="nil"/>
              <w:left w:val="nil"/>
              <w:right w:val="nil"/>
            </w:tcBorders>
          </w:tcPr>
          <w:p w14:paraId="41CA5839" w14:textId="77777777" w:rsidR="00447423" w:rsidRPr="002A3CBE" w:rsidRDefault="00447423" w:rsidP="00F16E23">
            <w:pPr>
              <w:pStyle w:val="TableText"/>
              <w:spacing w:before="20"/>
            </w:pPr>
            <w:r w:rsidRPr="002A3CBE">
              <w:t xml:space="preserve">Plot samples; laboratory analysis of samples collected at plots </w:t>
            </w:r>
          </w:p>
        </w:tc>
        <w:tc>
          <w:tcPr>
            <w:tcW w:w="1014" w:type="pct"/>
            <w:tcBorders>
              <w:top w:val="nil"/>
              <w:left w:val="nil"/>
              <w:right w:val="nil"/>
            </w:tcBorders>
          </w:tcPr>
          <w:p w14:paraId="0AA7591A" w14:textId="77777777" w:rsidR="00447423" w:rsidRPr="002A3CBE" w:rsidRDefault="00447423" w:rsidP="00F16E23">
            <w:pPr>
              <w:pStyle w:val="TableText"/>
              <w:spacing w:before="20"/>
            </w:pPr>
            <w:r w:rsidRPr="002A3CBE">
              <w:t>Paul et al. (2021); Garrett (unpublished)</w:t>
            </w:r>
          </w:p>
        </w:tc>
      </w:tr>
      <w:tr w:rsidR="00447423" w:rsidRPr="002A3CBE" w14:paraId="1468E66E" w14:textId="77777777" w:rsidTr="00F16E23">
        <w:tc>
          <w:tcPr>
            <w:tcW w:w="834" w:type="pct"/>
            <w:tcBorders>
              <w:bottom w:val="nil"/>
              <w:right w:val="nil"/>
            </w:tcBorders>
          </w:tcPr>
          <w:p w14:paraId="3A5C8BD3" w14:textId="77777777" w:rsidR="00447423" w:rsidRPr="002A3CBE" w:rsidRDefault="00447423" w:rsidP="00F16E23">
            <w:pPr>
              <w:pStyle w:val="TableText"/>
              <w:rPr>
                <w:b/>
              </w:rPr>
            </w:pPr>
            <w:r w:rsidRPr="002A3CBE">
              <w:rPr>
                <w:b/>
              </w:rPr>
              <w:t>Post-1989 natural forest</w:t>
            </w:r>
          </w:p>
        </w:tc>
        <w:tc>
          <w:tcPr>
            <w:tcW w:w="750" w:type="pct"/>
            <w:tcBorders>
              <w:left w:val="nil"/>
              <w:bottom w:val="nil"/>
              <w:right w:val="nil"/>
            </w:tcBorders>
          </w:tcPr>
          <w:p w14:paraId="0B6D0103" w14:textId="77777777" w:rsidR="00447423" w:rsidRPr="002A3CBE" w:rsidRDefault="00447423" w:rsidP="00F16E23">
            <w:pPr>
              <w:pStyle w:val="TableText"/>
            </w:pPr>
            <w:r w:rsidRPr="002A3CBE">
              <w:rPr>
                <w:b/>
              </w:rPr>
              <w:t>Living biomass</w:t>
            </w:r>
          </w:p>
        </w:tc>
        <w:tc>
          <w:tcPr>
            <w:tcW w:w="1009" w:type="pct"/>
            <w:tcBorders>
              <w:left w:val="nil"/>
              <w:bottom w:val="nil"/>
              <w:right w:val="nil"/>
            </w:tcBorders>
          </w:tcPr>
          <w:p w14:paraId="6FCC7E05" w14:textId="77777777" w:rsidR="00447423" w:rsidRPr="002A3CBE" w:rsidRDefault="00447423" w:rsidP="00F16E23">
            <w:pPr>
              <w:pStyle w:val="TableText"/>
            </w:pPr>
            <w:r w:rsidRPr="002A3CBE">
              <w:t>Above-ground biomass</w:t>
            </w:r>
          </w:p>
        </w:tc>
        <w:tc>
          <w:tcPr>
            <w:tcW w:w="1393" w:type="pct"/>
            <w:tcBorders>
              <w:left w:val="nil"/>
              <w:bottom w:val="nil"/>
              <w:right w:val="nil"/>
            </w:tcBorders>
          </w:tcPr>
          <w:p w14:paraId="130B6CEC" w14:textId="77777777" w:rsidR="00447423" w:rsidRPr="002A3CBE" w:rsidRDefault="00447423" w:rsidP="00F16E23">
            <w:pPr>
              <w:pStyle w:val="TableText"/>
            </w:pPr>
            <w:r w:rsidRPr="002A3CBE">
              <w:t>Plot measurements; allometric equations</w:t>
            </w:r>
          </w:p>
        </w:tc>
        <w:tc>
          <w:tcPr>
            <w:tcW w:w="1014" w:type="pct"/>
            <w:tcBorders>
              <w:left w:val="nil"/>
              <w:bottom w:val="nil"/>
              <w:right w:val="nil"/>
            </w:tcBorders>
          </w:tcPr>
          <w:p w14:paraId="385E4AD0" w14:textId="77777777" w:rsidR="00447423" w:rsidRPr="002A3CBE" w:rsidRDefault="00447423" w:rsidP="00F16E23">
            <w:pPr>
              <w:pStyle w:val="TableText"/>
            </w:pPr>
            <w:r w:rsidRPr="002A3CBE">
              <w:t>Paul et al. (2021)</w:t>
            </w:r>
          </w:p>
        </w:tc>
      </w:tr>
      <w:tr w:rsidR="00447423" w:rsidRPr="002A3CBE" w14:paraId="728A8F5E" w14:textId="77777777" w:rsidTr="00F16E23">
        <w:tc>
          <w:tcPr>
            <w:tcW w:w="834" w:type="pct"/>
            <w:tcBorders>
              <w:top w:val="nil"/>
              <w:bottom w:val="nil"/>
              <w:right w:val="nil"/>
            </w:tcBorders>
          </w:tcPr>
          <w:p w14:paraId="175CCDC6" w14:textId="77777777" w:rsidR="00447423" w:rsidRPr="002A3CBE" w:rsidRDefault="00447423" w:rsidP="00F16E23">
            <w:pPr>
              <w:pStyle w:val="TableText"/>
              <w:spacing w:before="20"/>
              <w:rPr>
                <w:b/>
              </w:rPr>
            </w:pPr>
          </w:p>
        </w:tc>
        <w:tc>
          <w:tcPr>
            <w:tcW w:w="750" w:type="pct"/>
            <w:tcBorders>
              <w:top w:val="nil"/>
              <w:left w:val="nil"/>
              <w:right w:val="nil"/>
            </w:tcBorders>
          </w:tcPr>
          <w:p w14:paraId="5E4EE72A" w14:textId="77777777" w:rsidR="00447423" w:rsidRPr="002A3CBE" w:rsidRDefault="00447423" w:rsidP="00F16E23">
            <w:pPr>
              <w:pStyle w:val="TableText"/>
              <w:spacing w:before="20"/>
            </w:pPr>
          </w:p>
        </w:tc>
        <w:tc>
          <w:tcPr>
            <w:tcW w:w="1009" w:type="pct"/>
            <w:tcBorders>
              <w:top w:val="nil"/>
              <w:left w:val="nil"/>
              <w:right w:val="nil"/>
            </w:tcBorders>
          </w:tcPr>
          <w:p w14:paraId="140725FB" w14:textId="77777777" w:rsidR="00447423" w:rsidRPr="002A3CBE" w:rsidRDefault="00447423" w:rsidP="00F16E23">
            <w:pPr>
              <w:pStyle w:val="TableText"/>
              <w:spacing w:before="20"/>
            </w:pPr>
            <w:r w:rsidRPr="002A3CBE">
              <w:t>Below-ground biomass</w:t>
            </w:r>
          </w:p>
        </w:tc>
        <w:tc>
          <w:tcPr>
            <w:tcW w:w="1393" w:type="pct"/>
            <w:tcBorders>
              <w:top w:val="nil"/>
              <w:left w:val="nil"/>
              <w:right w:val="nil"/>
            </w:tcBorders>
          </w:tcPr>
          <w:p w14:paraId="7148BAFD" w14:textId="77777777" w:rsidR="00447423" w:rsidRPr="002A3CBE" w:rsidRDefault="00447423" w:rsidP="00F16E23">
            <w:pPr>
              <w:pStyle w:val="TableText"/>
              <w:spacing w:before="20"/>
            </w:pPr>
            <w:r w:rsidRPr="002A3CBE">
              <w:t>Estimated as the ratio of below-ground biomass to above-ground biomass</w:t>
            </w:r>
          </w:p>
        </w:tc>
        <w:tc>
          <w:tcPr>
            <w:tcW w:w="1014" w:type="pct"/>
            <w:tcBorders>
              <w:top w:val="nil"/>
              <w:left w:val="nil"/>
              <w:right w:val="nil"/>
            </w:tcBorders>
          </w:tcPr>
          <w:p w14:paraId="0E3A6D94" w14:textId="77777777" w:rsidR="00447423" w:rsidRPr="002A3CBE" w:rsidRDefault="00447423" w:rsidP="00F16E23">
            <w:pPr>
              <w:pStyle w:val="TableText"/>
              <w:spacing w:before="20"/>
            </w:pPr>
            <w:r w:rsidRPr="002A3CBE">
              <w:t>Paul et al. (unpublished); Easdale et al. (2019)</w:t>
            </w:r>
          </w:p>
        </w:tc>
      </w:tr>
      <w:tr w:rsidR="00447423" w:rsidRPr="002A3CBE" w14:paraId="5DBD03DB" w14:textId="77777777" w:rsidTr="00F16E23">
        <w:tc>
          <w:tcPr>
            <w:tcW w:w="834" w:type="pct"/>
            <w:tcBorders>
              <w:top w:val="nil"/>
              <w:bottom w:val="nil"/>
              <w:right w:val="nil"/>
            </w:tcBorders>
          </w:tcPr>
          <w:p w14:paraId="48AB09BA" w14:textId="77777777" w:rsidR="00447423" w:rsidRPr="002A3CBE" w:rsidRDefault="00447423" w:rsidP="00F16E23">
            <w:pPr>
              <w:pStyle w:val="TableText"/>
            </w:pPr>
          </w:p>
        </w:tc>
        <w:tc>
          <w:tcPr>
            <w:tcW w:w="750" w:type="pct"/>
            <w:tcBorders>
              <w:left w:val="nil"/>
              <w:bottom w:val="nil"/>
              <w:right w:val="nil"/>
            </w:tcBorders>
          </w:tcPr>
          <w:p w14:paraId="64A0F2B8" w14:textId="77777777" w:rsidR="00447423" w:rsidRPr="002A3CBE" w:rsidRDefault="00447423" w:rsidP="00F16E23">
            <w:pPr>
              <w:pStyle w:val="TableTextBold"/>
              <w:rPr>
                <w:noProof w:val="0"/>
              </w:rPr>
            </w:pPr>
            <w:r w:rsidRPr="002A3CBE">
              <w:rPr>
                <w:noProof w:val="0"/>
              </w:rPr>
              <w:t>Dead organic matter</w:t>
            </w:r>
          </w:p>
        </w:tc>
        <w:tc>
          <w:tcPr>
            <w:tcW w:w="1009" w:type="pct"/>
            <w:tcBorders>
              <w:left w:val="nil"/>
              <w:bottom w:val="nil"/>
              <w:right w:val="nil"/>
            </w:tcBorders>
          </w:tcPr>
          <w:p w14:paraId="0D8C67FF" w14:textId="77777777" w:rsidR="00447423" w:rsidRPr="002A3CBE" w:rsidRDefault="00447423" w:rsidP="00F16E23">
            <w:pPr>
              <w:pStyle w:val="TableText"/>
            </w:pPr>
            <w:r w:rsidRPr="002A3CBE">
              <w:t>Dead wood</w:t>
            </w:r>
          </w:p>
        </w:tc>
        <w:tc>
          <w:tcPr>
            <w:tcW w:w="1393" w:type="pct"/>
            <w:tcBorders>
              <w:left w:val="nil"/>
              <w:bottom w:val="nil"/>
              <w:right w:val="nil"/>
            </w:tcBorders>
          </w:tcPr>
          <w:p w14:paraId="5E7E4B5F" w14:textId="77777777" w:rsidR="00447423" w:rsidRPr="002A3CBE" w:rsidRDefault="00447423" w:rsidP="00F16E23">
            <w:pPr>
              <w:pStyle w:val="TableText"/>
              <w:rPr>
                <w:rFonts w:cs="Segoe UI"/>
                <w:szCs w:val="16"/>
              </w:rPr>
            </w:pPr>
            <w:r w:rsidRPr="002A3CBE">
              <w:rPr>
                <w:rFonts w:cs="Segoe UI"/>
                <w:szCs w:val="16"/>
              </w:rPr>
              <w:t>Modelled from plot measurements; allometric model</w:t>
            </w:r>
          </w:p>
        </w:tc>
        <w:tc>
          <w:tcPr>
            <w:tcW w:w="1014" w:type="pct"/>
            <w:tcBorders>
              <w:left w:val="nil"/>
              <w:bottom w:val="nil"/>
              <w:right w:val="nil"/>
            </w:tcBorders>
          </w:tcPr>
          <w:p w14:paraId="2E1E5C05" w14:textId="77777777" w:rsidR="00447423" w:rsidRPr="002A3CBE" w:rsidRDefault="00447423" w:rsidP="00F16E23">
            <w:pPr>
              <w:pStyle w:val="TableText"/>
            </w:pPr>
            <w:r w:rsidRPr="002A3CBE">
              <w:t>Garrett et al. (2019); Paul et al. (unpublished); Kimberley et al. (2019)</w:t>
            </w:r>
          </w:p>
        </w:tc>
      </w:tr>
      <w:tr w:rsidR="00447423" w:rsidRPr="002A3CBE" w14:paraId="2E3711F2" w14:textId="77777777" w:rsidTr="00F16E23">
        <w:tc>
          <w:tcPr>
            <w:tcW w:w="834" w:type="pct"/>
            <w:tcBorders>
              <w:top w:val="nil"/>
              <w:right w:val="nil"/>
            </w:tcBorders>
          </w:tcPr>
          <w:p w14:paraId="3749D2CF" w14:textId="77777777" w:rsidR="00447423" w:rsidRPr="002A3CBE" w:rsidRDefault="00447423" w:rsidP="00F16E23">
            <w:pPr>
              <w:pStyle w:val="TableText"/>
              <w:spacing w:before="20"/>
            </w:pPr>
          </w:p>
        </w:tc>
        <w:tc>
          <w:tcPr>
            <w:tcW w:w="750" w:type="pct"/>
            <w:tcBorders>
              <w:top w:val="nil"/>
              <w:left w:val="nil"/>
              <w:right w:val="nil"/>
            </w:tcBorders>
          </w:tcPr>
          <w:p w14:paraId="26291868" w14:textId="77777777" w:rsidR="00447423" w:rsidRPr="002A3CBE" w:rsidRDefault="00447423" w:rsidP="00F16E23">
            <w:pPr>
              <w:pStyle w:val="TableTextBold"/>
              <w:spacing w:before="20"/>
              <w:rPr>
                <w:noProof w:val="0"/>
              </w:rPr>
            </w:pPr>
          </w:p>
        </w:tc>
        <w:tc>
          <w:tcPr>
            <w:tcW w:w="1009" w:type="pct"/>
            <w:tcBorders>
              <w:top w:val="nil"/>
              <w:left w:val="nil"/>
              <w:right w:val="nil"/>
            </w:tcBorders>
          </w:tcPr>
          <w:p w14:paraId="119A1305" w14:textId="77777777" w:rsidR="00447423" w:rsidRPr="002A3CBE" w:rsidRDefault="00447423" w:rsidP="00F16E23">
            <w:pPr>
              <w:pStyle w:val="TableText"/>
              <w:spacing w:before="20"/>
            </w:pPr>
            <w:r w:rsidRPr="002A3CBE">
              <w:t>Litter</w:t>
            </w:r>
          </w:p>
        </w:tc>
        <w:tc>
          <w:tcPr>
            <w:tcW w:w="1393" w:type="pct"/>
            <w:tcBorders>
              <w:top w:val="nil"/>
              <w:left w:val="nil"/>
              <w:right w:val="nil"/>
            </w:tcBorders>
          </w:tcPr>
          <w:p w14:paraId="5ED853FF" w14:textId="77777777" w:rsidR="00447423" w:rsidRPr="002A3CBE" w:rsidRDefault="00447423" w:rsidP="00F16E23">
            <w:pPr>
              <w:pStyle w:val="TableText"/>
              <w:spacing w:before="20"/>
              <w:rPr>
                <w:rFonts w:cs="Segoe UI"/>
                <w:szCs w:val="16"/>
              </w:rPr>
            </w:pPr>
            <w:r w:rsidRPr="002A3CBE">
              <w:rPr>
                <w:rFonts w:cs="Segoe UI"/>
                <w:szCs w:val="16"/>
              </w:rPr>
              <w:t>Allometric model and percentage of above-ground biomass</w:t>
            </w:r>
          </w:p>
        </w:tc>
        <w:tc>
          <w:tcPr>
            <w:tcW w:w="1014" w:type="pct"/>
            <w:tcBorders>
              <w:top w:val="nil"/>
              <w:left w:val="nil"/>
              <w:right w:val="nil"/>
            </w:tcBorders>
          </w:tcPr>
          <w:p w14:paraId="2C1B4BC8" w14:textId="77777777" w:rsidR="00447423" w:rsidRPr="002A3CBE" w:rsidRDefault="00447423" w:rsidP="00F16E23">
            <w:pPr>
              <w:pStyle w:val="TableText"/>
              <w:spacing w:before="20"/>
            </w:pPr>
            <w:r w:rsidRPr="002A3CBE">
              <w:t>Paul et al. (unpublished); Garrett (unpublished)</w:t>
            </w:r>
          </w:p>
        </w:tc>
      </w:tr>
      <w:tr w:rsidR="00447423" w:rsidRPr="002A3CBE" w14:paraId="1AE26E94" w14:textId="77777777" w:rsidTr="00F16E23">
        <w:tc>
          <w:tcPr>
            <w:tcW w:w="834" w:type="pct"/>
            <w:tcBorders>
              <w:bottom w:val="nil"/>
              <w:right w:val="nil"/>
            </w:tcBorders>
          </w:tcPr>
          <w:p w14:paraId="11B84609" w14:textId="77777777" w:rsidR="00447423" w:rsidRPr="002A3CBE" w:rsidRDefault="00447423" w:rsidP="00F16E23">
            <w:pPr>
              <w:pStyle w:val="TableText"/>
            </w:pPr>
            <w:r w:rsidRPr="002A3CBE">
              <w:rPr>
                <w:b/>
              </w:rPr>
              <w:t>Pre-1990 planted forest</w:t>
            </w:r>
          </w:p>
        </w:tc>
        <w:tc>
          <w:tcPr>
            <w:tcW w:w="750" w:type="pct"/>
            <w:tcBorders>
              <w:left w:val="nil"/>
              <w:bottom w:val="nil"/>
              <w:right w:val="nil"/>
            </w:tcBorders>
          </w:tcPr>
          <w:p w14:paraId="656387EE" w14:textId="77777777" w:rsidR="00447423" w:rsidRPr="002A3CBE" w:rsidRDefault="00447423" w:rsidP="00F16E23">
            <w:pPr>
              <w:pStyle w:val="TableText"/>
            </w:pPr>
            <w:r w:rsidRPr="002A3CBE">
              <w:rPr>
                <w:b/>
              </w:rPr>
              <w:t>Living biomass</w:t>
            </w:r>
          </w:p>
        </w:tc>
        <w:tc>
          <w:tcPr>
            <w:tcW w:w="1009" w:type="pct"/>
            <w:tcBorders>
              <w:left w:val="nil"/>
              <w:bottom w:val="nil"/>
              <w:right w:val="nil"/>
            </w:tcBorders>
          </w:tcPr>
          <w:p w14:paraId="3662AC4C" w14:textId="77777777" w:rsidR="00447423" w:rsidRPr="002A3CBE" w:rsidRDefault="00447423" w:rsidP="00F16E23">
            <w:pPr>
              <w:pStyle w:val="TableText"/>
            </w:pPr>
            <w:r w:rsidRPr="002A3CBE">
              <w:t>Above-ground biomass</w:t>
            </w:r>
          </w:p>
        </w:tc>
        <w:tc>
          <w:tcPr>
            <w:tcW w:w="1393" w:type="pct"/>
            <w:tcBorders>
              <w:left w:val="nil"/>
              <w:bottom w:val="nil"/>
              <w:right w:val="nil"/>
            </w:tcBorders>
          </w:tcPr>
          <w:p w14:paraId="0278BC99" w14:textId="77777777" w:rsidR="00447423" w:rsidRPr="002A3CBE" w:rsidRDefault="00447423" w:rsidP="00F16E23">
            <w:pPr>
              <w:pStyle w:val="TableText"/>
            </w:pPr>
            <w:r w:rsidRPr="002A3CBE">
              <w:t>Modelled through allometric equations, then included in national yield tables</w:t>
            </w:r>
          </w:p>
        </w:tc>
        <w:tc>
          <w:tcPr>
            <w:tcW w:w="1014" w:type="pct"/>
            <w:tcBorders>
              <w:left w:val="nil"/>
              <w:bottom w:val="nil"/>
              <w:right w:val="nil"/>
            </w:tcBorders>
          </w:tcPr>
          <w:p w14:paraId="6CE7FD04" w14:textId="77777777" w:rsidR="00447423" w:rsidRPr="002A3CBE" w:rsidRDefault="00447423" w:rsidP="00F16E23">
            <w:pPr>
              <w:pStyle w:val="TableText"/>
            </w:pPr>
            <w:r w:rsidRPr="002A3CBE">
              <w:t>Paul et al. (2024)</w:t>
            </w:r>
          </w:p>
        </w:tc>
      </w:tr>
      <w:tr w:rsidR="00447423" w:rsidRPr="002A3CBE" w14:paraId="120499B0" w14:textId="77777777" w:rsidTr="00F16E23">
        <w:tc>
          <w:tcPr>
            <w:tcW w:w="834" w:type="pct"/>
            <w:tcBorders>
              <w:top w:val="nil"/>
              <w:bottom w:val="nil"/>
              <w:right w:val="nil"/>
            </w:tcBorders>
          </w:tcPr>
          <w:p w14:paraId="7BB8F25D" w14:textId="77777777" w:rsidR="00447423" w:rsidRPr="002A3CBE" w:rsidRDefault="00447423" w:rsidP="00F16E23">
            <w:pPr>
              <w:pStyle w:val="TableText"/>
            </w:pPr>
          </w:p>
        </w:tc>
        <w:tc>
          <w:tcPr>
            <w:tcW w:w="750" w:type="pct"/>
            <w:tcBorders>
              <w:top w:val="nil"/>
              <w:left w:val="nil"/>
              <w:right w:val="nil"/>
            </w:tcBorders>
          </w:tcPr>
          <w:p w14:paraId="0136C862" w14:textId="77777777" w:rsidR="00447423" w:rsidRPr="002A3CBE" w:rsidRDefault="00447423" w:rsidP="00F16E23">
            <w:pPr>
              <w:pStyle w:val="TableText"/>
              <w:spacing w:before="20"/>
            </w:pPr>
          </w:p>
        </w:tc>
        <w:tc>
          <w:tcPr>
            <w:tcW w:w="1009" w:type="pct"/>
            <w:tcBorders>
              <w:top w:val="nil"/>
              <w:left w:val="nil"/>
              <w:right w:val="nil"/>
            </w:tcBorders>
          </w:tcPr>
          <w:p w14:paraId="2DB20EFA" w14:textId="77777777" w:rsidR="00447423" w:rsidRPr="002A3CBE" w:rsidRDefault="00447423" w:rsidP="00F16E23">
            <w:pPr>
              <w:pStyle w:val="TableText"/>
              <w:spacing w:before="20"/>
            </w:pPr>
            <w:r w:rsidRPr="002A3CBE">
              <w:t>Below-ground biomass</w:t>
            </w:r>
          </w:p>
        </w:tc>
        <w:tc>
          <w:tcPr>
            <w:tcW w:w="1393" w:type="pct"/>
            <w:tcBorders>
              <w:top w:val="nil"/>
              <w:left w:val="nil"/>
              <w:right w:val="nil"/>
            </w:tcBorders>
          </w:tcPr>
          <w:p w14:paraId="22F54937" w14:textId="77777777" w:rsidR="00447423" w:rsidRPr="002A3CBE" w:rsidRDefault="00447423" w:rsidP="00F16E23">
            <w:pPr>
              <w:pStyle w:val="TableText"/>
              <w:spacing w:before="20"/>
            </w:pPr>
            <w:r w:rsidRPr="002A3CBE">
              <w:t>Estimated as the ratio of below-ground biomass to above-ground biomass</w:t>
            </w:r>
          </w:p>
        </w:tc>
        <w:tc>
          <w:tcPr>
            <w:tcW w:w="1014" w:type="pct"/>
            <w:tcBorders>
              <w:top w:val="nil"/>
              <w:left w:val="nil"/>
              <w:right w:val="nil"/>
            </w:tcBorders>
          </w:tcPr>
          <w:p w14:paraId="37069165" w14:textId="77777777" w:rsidR="00447423" w:rsidRPr="002A3CBE" w:rsidRDefault="00447423" w:rsidP="00F16E23">
            <w:pPr>
              <w:pStyle w:val="TableText"/>
              <w:spacing w:before="20"/>
            </w:pPr>
            <w:r w:rsidRPr="002A3CBE">
              <w:t>Paul et al. (2024)</w:t>
            </w:r>
          </w:p>
        </w:tc>
      </w:tr>
      <w:tr w:rsidR="00447423" w:rsidRPr="002A3CBE" w14:paraId="34630830" w14:textId="77777777" w:rsidTr="00F16E23">
        <w:tc>
          <w:tcPr>
            <w:tcW w:w="834" w:type="pct"/>
            <w:tcBorders>
              <w:top w:val="nil"/>
              <w:bottom w:val="nil"/>
              <w:right w:val="nil"/>
            </w:tcBorders>
          </w:tcPr>
          <w:p w14:paraId="5588A364" w14:textId="77777777" w:rsidR="00447423" w:rsidRPr="002A3CBE" w:rsidRDefault="00447423" w:rsidP="00F16E23">
            <w:pPr>
              <w:pStyle w:val="TableText"/>
            </w:pPr>
          </w:p>
        </w:tc>
        <w:tc>
          <w:tcPr>
            <w:tcW w:w="750" w:type="pct"/>
            <w:tcBorders>
              <w:left w:val="nil"/>
              <w:bottom w:val="nil"/>
              <w:right w:val="nil"/>
            </w:tcBorders>
          </w:tcPr>
          <w:p w14:paraId="75F124D7" w14:textId="77777777" w:rsidR="00447423" w:rsidRPr="002A3CBE" w:rsidRDefault="00447423" w:rsidP="00F16E23">
            <w:pPr>
              <w:pStyle w:val="TableText"/>
            </w:pPr>
            <w:r w:rsidRPr="002A3CBE">
              <w:rPr>
                <w:b/>
              </w:rPr>
              <w:t>Dead organic matter</w:t>
            </w:r>
          </w:p>
        </w:tc>
        <w:tc>
          <w:tcPr>
            <w:tcW w:w="1009" w:type="pct"/>
            <w:tcBorders>
              <w:left w:val="nil"/>
              <w:bottom w:val="nil"/>
              <w:right w:val="nil"/>
            </w:tcBorders>
          </w:tcPr>
          <w:p w14:paraId="3F1F536D" w14:textId="77777777" w:rsidR="00447423" w:rsidRPr="002A3CBE" w:rsidRDefault="00447423" w:rsidP="00F16E23">
            <w:pPr>
              <w:pStyle w:val="TableText"/>
            </w:pPr>
            <w:r w:rsidRPr="002A3CBE">
              <w:t>Dead wood</w:t>
            </w:r>
          </w:p>
        </w:tc>
        <w:tc>
          <w:tcPr>
            <w:tcW w:w="1393" w:type="pct"/>
            <w:tcBorders>
              <w:left w:val="nil"/>
              <w:bottom w:val="nil"/>
              <w:right w:val="nil"/>
            </w:tcBorders>
          </w:tcPr>
          <w:p w14:paraId="2FD0583C" w14:textId="77777777" w:rsidR="00447423" w:rsidRPr="002A3CBE" w:rsidRDefault="00447423" w:rsidP="00F16E23">
            <w:pPr>
              <w:pStyle w:val="TableText"/>
            </w:pPr>
            <w:r w:rsidRPr="002A3CBE">
              <w:t>Allometric model using plot measurements, included in national yield tables. Harvest residues added to dead wood pool through the LUCAS Calculation and Reporting Application</w:t>
            </w:r>
          </w:p>
        </w:tc>
        <w:tc>
          <w:tcPr>
            <w:tcW w:w="1014" w:type="pct"/>
            <w:tcBorders>
              <w:left w:val="nil"/>
              <w:bottom w:val="nil"/>
              <w:right w:val="nil"/>
            </w:tcBorders>
          </w:tcPr>
          <w:p w14:paraId="66D5D541" w14:textId="77777777" w:rsidR="00447423" w:rsidRPr="002A3CBE" w:rsidRDefault="00447423" w:rsidP="00F16E23">
            <w:pPr>
              <w:pStyle w:val="TableText"/>
            </w:pPr>
            <w:r w:rsidRPr="002A3CBE">
              <w:t>Paul et al. (2024)</w:t>
            </w:r>
          </w:p>
        </w:tc>
      </w:tr>
      <w:tr w:rsidR="00447423" w:rsidRPr="002A3CBE" w14:paraId="2EA52C03" w14:textId="77777777" w:rsidTr="00F16E23">
        <w:tc>
          <w:tcPr>
            <w:tcW w:w="834" w:type="pct"/>
            <w:tcBorders>
              <w:top w:val="nil"/>
              <w:right w:val="nil"/>
            </w:tcBorders>
          </w:tcPr>
          <w:p w14:paraId="563DF0A7" w14:textId="77777777" w:rsidR="00447423" w:rsidRPr="002A3CBE" w:rsidRDefault="00447423" w:rsidP="00F16E23">
            <w:pPr>
              <w:pStyle w:val="TableText"/>
            </w:pPr>
          </w:p>
        </w:tc>
        <w:tc>
          <w:tcPr>
            <w:tcW w:w="750" w:type="pct"/>
            <w:tcBorders>
              <w:top w:val="nil"/>
              <w:left w:val="nil"/>
              <w:right w:val="nil"/>
            </w:tcBorders>
          </w:tcPr>
          <w:p w14:paraId="214620FE" w14:textId="77777777" w:rsidR="00447423" w:rsidRPr="002A3CBE" w:rsidRDefault="00447423" w:rsidP="00F16E23">
            <w:pPr>
              <w:pStyle w:val="TableText"/>
              <w:spacing w:before="20"/>
            </w:pPr>
          </w:p>
        </w:tc>
        <w:tc>
          <w:tcPr>
            <w:tcW w:w="1009" w:type="pct"/>
            <w:tcBorders>
              <w:top w:val="nil"/>
              <w:left w:val="nil"/>
              <w:right w:val="nil"/>
            </w:tcBorders>
          </w:tcPr>
          <w:p w14:paraId="1A6C8073" w14:textId="77777777" w:rsidR="00447423" w:rsidRPr="002A3CBE" w:rsidRDefault="00447423" w:rsidP="00F16E23">
            <w:pPr>
              <w:pStyle w:val="TableText"/>
              <w:spacing w:before="20"/>
            </w:pPr>
            <w:r w:rsidRPr="002A3CBE">
              <w:t>Litter</w:t>
            </w:r>
          </w:p>
        </w:tc>
        <w:tc>
          <w:tcPr>
            <w:tcW w:w="1393" w:type="pct"/>
            <w:tcBorders>
              <w:top w:val="nil"/>
              <w:left w:val="nil"/>
              <w:right w:val="nil"/>
            </w:tcBorders>
          </w:tcPr>
          <w:p w14:paraId="4F887CE4" w14:textId="77777777" w:rsidR="00447423" w:rsidRPr="002A3CBE" w:rsidRDefault="00447423" w:rsidP="00F16E23">
            <w:pPr>
              <w:pStyle w:val="TableText"/>
              <w:spacing w:before="20"/>
            </w:pPr>
            <w:r w:rsidRPr="002A3CBE">
              <w:rPr>
                <w:rFonts w:cs="Segoe UI"/>
                <w:szCs w:val="16"/>
              </w:rPr>
              <w:t>Allometric model and percentage of above-ground biomass</w:t>
            </w:r>
          </w:p>
        </w:tc>
        <w:tc>
          <w:tcPr>
            <w:tcW w:w="1014" w:type="pct"/>
            <w:tcBorders>
              <w:top w:val="nil"/>
              <w:left w:val="nil"/>
              <w:right w:val="nil"/>
            </w:tcBorders>
          </w:tcPr>
          <w:p w14:paraId="422C0ABF" w14:textId="77777777" w:rsidR="00447423" w:rsidRPr="002A3CBE" w:rsidRDefault="00447423" w:rsidP="00F16E23">
            <w:pPr>
              <w:pStyle w:val="TableText"/>
              <w:spacing w:before="20"/>
            </w:pPr>
            <w:r w:rsidRPr="002A3CBE">
              <w:t xml:space="preserve">Paul et al. (2024) </w:t>
            </w:r>
          </w:p>
        </w:tc>
      </w:tr>
      <w:tr w:rsidR="00447423" w:rsidRPr="002A3CBE" w14:paraId="6F5BF381" w14:textId="77777777" w:rsidTr="00F16E23">
        <w:tc>
          <w:tcPr>
            <w:tcW w:w="834" w:type="pct"/>
            <w:tcBorders>
              <w:bottom w:val="nil"/>
              <w:right w:val="nil"/>
            </w:tcBorders>
          </w:tcPr>
          <w:p w14:paraId="119634C7" w14:textId="77777777" w:rsidR="00447423" w:rsidRPr="002A3CBE" w:rsidRDefault="00447423" w:rsidP="00F16E23">
            <w:pPr>
              <w:pStyle w:val="TableText"/>
              <w:rPr>
                <w:b/>
              </w:rPr>
            </w:pPr>
            <w:r w:rsidRPr="002A3CBE">
              <w:rPr>
                <w:b/>
              </w:rPr>
              <w:t>Post-1989 planted forest</w:t>
            </w:r>
          </w:p>
        </w:tc>
        <w:tc>
          <w:tcPr>
            <w:tcW w:w="750" w:type="pct"/>
            <w:tcBorders>
              <w:left w:val="nil"/>
              <w:bottom w:val="nil"/>
              <w:right w:val="nil"/>
            </w:tcBorders>
          </w:tcPr>
          <w:p w14:paraId="4A7366EC" w14:textId="77777777" w:rsidR="00447423" w:rsidRPr="002A3CBE" w:rsidRDefault="00447423" w:rsidP="00F16E23">
            <w:pPr>
              <w:pStyle w:val="TableText"/>
            </w:pPr>
            <w:r w:rsidRPr="002A3CBE">
              <w:rPr>
                <w:b/>
              </w:rPr>
              <w:t>Living biomass</w:t>
            </w:r>
          </w:p>
        </w:tc>
        <w:tc>
          <w:tcPr>
            <w:tcW w:w="1009" w:type="pct"/>
            <w:tcBorders>
              <w:left w:val="nil"/>
              <w:bottom w:val="nil"/>
              <w:right w:val="nil"/>
            </w:tcBorders>
          </w:tcPr>
          <w:p w14:paraId="48404127" w14:textId="77777777" w:rsidR="00447423" w:rsidRPr="002A3CBE" w:rsidRDefault="00447423" w:rsidP="00F16E23">
            <w:pPr>
              <w:pStyle w:val="TableText"/>
            </w:pPr>
            <w:r w:rsidRPr="002A3CBE">
              <w:t>Above-ground biomass</w:t>
            </w:r>
          </w:p>
        </w:tc>
        <w:tc>
          <w:tcPr>
            <w:tcW w:w="1393" w:type="pct"/>
            <w:tcBorders>
              <w:left w:val="nil"/>
              <w:bottom w:val="nil"/>
              <w:right w:val="nil"/>
            </w:tcBorders>
          </w:tcPr>
          <w:p w14:paraId="641051B4" w14:textId="77777777" w:rsidR="00447423" w:rsidRPr="002A3CBE" w:rsidRDefault="00447423" w:rsidP="00F16E23">
            <w:pPr>
              <w:pStyle w:val="TableText"/>
            </w:pPr>
            <w:r w:rsidRPr="002A3CBE">
              <w:t>Modelled through allometric equations, then included in national yield tables</w:t>
            </w:r>
          </w:p>
        </w:tc>
        <w:tc>
          <w:tcPr>
            <w:tcW w:w="1014" w:type="pct"/>
            <w:tcBorders>
              <w:left w:val="nil"/>
              <w:bottom w:val="nil"/>
              <w:right w:val="nil"/>
            </w:tcBorders>
          </w:tcPr>
          <w:p w14:paraId="611B4CBE" w14:textId="77777777" w:rsidR="00447423" w:rsidRPr="002A3CBE" w:rsidRDefault="00447423" w:rsidP="00F16E23">
            <w:pPr>
              <w:pStyle w:val="TableText"/>
            </w:pPr>
            <w:r w:rsidRPr="002A3CBE">
              <w:t xml:space="preserve">Paul et al. (2024) </w:t>
            </w:r>
          </w:p>
        </w:tc>
      </w:tr>
      <w:tr w:rsidR="00447423" w:rsidRPr="002A3CBE" w14:paraId="41B87567" w14:textId="77777777" w:rsidTr="00F16E23">
        <w:tc>
          <w:tcPr>
            <w:tcW w:w="834" w:type="pct"/>
            <w:tcBorders>
              <w:top w:val="nil"/>
              <w:bottom w:val="nil"/>
              <w:right w:val="nil"/>
            </w:tcBorders>
          </w:tcPr>
          <w:p w14:paraId="35999DF1" w14:textId="77777777" w:rsidR="00447423" w:rsidRPr="002A3CBE" w:rsidRDefault="00447423" w:rsidP="00F16E23">
            <w:pPr>
              <w:pStyle w:val="TableText"/>
              <w:spacing w:before="20"/>
            </w:pPr>
          </w:p>
        </w:tc>
        <w:tc>
          <w:tcPr>
            <w:tcW w:w="750" w:type="pct"/>
            <w:tcBorders>
              <w:top w:val="nil"/>
              <w:left w:val="nil"/>
              <w:right w:val="nil"/>
            </w:tcBorders>
          </w:tcPr>
          <w:p w14:paraId="614CE69D" w14:textId="77777777" w:rsidR="00447423" w:rsidRPr="002A3CBE" w:rsidRDefault="00447423" w:rsidP="00F16E23">
            <w:pPr>
              <w:pStyle w:val="TableText"/>
              <w:spacing w:before="20"/>
            </w:pPr>
          </w:p>
        </w:tc>
        <w:tc>
          <w:tcPr>
            <w:tcW w:w="1009" w:type="pct"/>
            <w:tcBorders>
              <w:top w:val="nil"/>
              <w:left w:val="nil"/>
              <w:right w:val="nil"/>
            </w:tcBorders>
          </w:tcPr>
          <w:p w14:paraId="5E37FA7D" w14:textId="77777777" w:rsidR="00447423" w:rsidRPr="002A3CBE" w:rsidRDefault="00447423" w:rsidP="00F16E23">
            <w:pPr>
              <w:pStyle w:val="TableText"/>
              <w:spacing w:before="20"/>
            </w:pPr>
            <w:r w:rsidRPr="002A3CBE">
              <w:t>Below-ground biomass</w:t>
            </w:r>
          </w:p>
        </w:tc>
        <w:tc>
          <w:tcPr>
            <w:tcW w:w="1393" w:type="pct"/>
            <w:tcBorders>
              <w:top w:val="nil"/>
              <w:left w:val="nil"/>
              <w:right w:val="nil"/>
            </w:tcBorders>
          </w:tcPr>
          <w:p w14:paraId="24916501" w14:textId="77777777" w:rsidR="00447423" w:rsidRPr="002A3CBE" w:rsidRDefault="00447423" w:rsidP="00F16E23">
            <w:pPr>
              <w:pStyle w:val="TableText"/>
              <w:spacing w:before="20"/>
            </w:pPr>
            <w:r w:rsidRPr="002A3CBE">
              <w:t>Estimated as the ratio of below-ground biomass to above-ground biomass</w:t>
            </w:r>
          </w:p>
        </w:tc>
        <w:tc>
          <w:tcPr>
            <w:tcW w:w="1014" w:type="pct"/>
            <w:tcBorders>
              <w:top w:val="nil"/>
              <w:left w:val="nil"/>
              <w:right w:val="nil"/>
            </w:tcBorders>
          </w:tcPr>
          <w:p w14:paraId="78DC97CC" w14:textId="77777777" w:rsidR="00447423" w:rsidRPr="002A3CBE" w:rsidRDefault="00447423" w:rsidP="00F16E23">
            <w:pPr>
              <w:pStyle w:val="TableText"/>
              <w:spacing w:before="20"/>
            </w:pPr>
            <w:r w:rsidRPr="002A3CBE">
              <w:t>Paul et al. (2024)</w:t>
            </w:r>
          </w:p>
        </w:tc>
      </w:tr>
      <w:tr w:rsidR="00447423" w:rsidRPr="002A3CBE" w14:paraId="2F5E08A6" w14:textId="77777777" w:rsidTr="00F16E23">
        <w:tc>
          <w:tcPr>
            <w:tcW w:w="834" w:type="pct"/>
            <w:tcBorders>
              <w:top w:val="nil"/>
              <w:bottom w:val="nil"/>
              <w:right w:val="nil"/>
            </w:tcBorders>
          </w:tcPr>
          <w:p w14:paraId="5C7CD9D7" w14:textId="77777777" w:rsidR="00447423" w:rsidRPr="002A3CBE" w:rsidRDefault="00447423" w:rsidP="00746AE1">
            <w:pPr>
              <w:pStyle w:val="TableText"/>
              <w:spacing w:before="20" w:after="40"/>
            </w:pPr>
          </w:p>
        </w:tc>
        <w:tc>
          <w:tcPr>
            <w:tcW w:w="750" w:type="pct"/>
            <w:tcBorders>
              <w:left w:val="nil"/>
              <w:bottom w:val="nil"/>
              <w:right w:val="nil"/>
            </w:tcBorders>
          </w:tcPr>
          <w:p w14:paraId="3CBDFCC0" w14:textId="77777777" w:rsidR="00447423" w:rsidRPr="002A3CBE" w:rsidRDefault="00447423" w:rsidP="00746AE1">
            <w:pPr>
              <w:pStyle w:val="TableText"/>
              <w:spacing w:before="20" w:after="40"/>
            </w:pPr>
            <w:r w:rsidRPr="002A3CBE">
              <w:rPr>
                <w:b/>
              </w:rPr>
              <w:t>Dead organic matter</w:t>
            </w:r>
          </w:p>
        </w:tc>
        <w:tc>
          <w:tcPr>
            <w:tcW w:w="1009" w:type="pct"/>
            <w:tcBorders>
              <w:left w:val="nil"/>
              <w:bottom w:val="nil"/>
              <w:right w:val="nil"/>
            </w:tcBorders>
          </w:tcPr>
          <w:p w14:paraId="5F961DF3" w14:textId="77777777" w:rsidR="00447423" w:rsidRPr="002A3CBE" w:rsidRDefault="00447423" w:rsidP="00746AE1">
            <w:pPr>
              <w:pStyle w:val="TableText"/>
              <w:spacing w:before="20" w:after="40"/>
            </w:pPr>
            <w:r w:rsidRPr="002A3CBE">
              <w:t>Dead wood</w:t>
            </w:r>
          </w:p>
        </w:tc>
        <w:tc>
          <w:tcPr>
            <w:tcW w:w="1393" w:type="pct"/>
            <w:tcBorders>
              <w:left w:val="nil"/>
              <w:bottom w:val="nil"/>
              <w:right w:val="nil"/>
            </w:tcBorders>
          </w:tcPr>
          <w:p w14:paraId="1D07E911" w14:textId="77777777" w:rsidR="00447423" w:rsidRPr="002A3CBE" w:rsidRDefault="00447423" w:rsidP="00746AE1">
            <w:pPr>
              <w:pStyle w:val="TableText"/>
              <w:spacing w:before="20" w:after="40"/>
            </w:pPr>
            <w:r w:rsidRPr="002A3CBE">
              <w:t>Allometric model using plot measurements, included in national yield tables. Harvest residues added to dead wood pool through the LUCAS Calculation and Reporting Application</w:t>
            </w:r>
          </w:p>
        </w:tc>
        <w:tc>
          <w:tcPr>
            <w:tcW w:w="1014" w:type="pct"/>
            <w:tcBorders>
              <w:left w:val="nil"/>
              <w:bottom w:val="nil"/>
              <w:right w:val="nil"/>
            </w:tcBorders>
          </w:tcPr>
          <w:p w14:paraId="5384F955" w14:textId="77777777" w:rsidR="00447423" w:rsidRPr="002A3CBE" w:rsidRDefault="00447423" w:rsidP="00746AE1">
            <w:pPr>
              <w:pStyle w:val="TableText"/>
              <w:spacing w:before="20" w:after="40"/>
            </w:pPr>
            <w:r w:rsidRPr="002A3CBE">
              <w:t xml:space="preserve">Paul et al. (2024) </w:t>
            </w:r>
          </w:p>
        </w:tc>
      </w:tr>
      <w:tr w:rsidR="00447423" w:rsidRPr="002A3CBE" w14:paraId="35D2A6A0" w14:textId="77777777" w:rsidTr="00F16E23">
        <w:tc>
          <w:tcPr>
            <w:tcW w:w="834" w:type="pct"/>
            <w:tcBorders>
              <w:top w:val="nil"/>
              <w:right w:val="nil"/>
            </w:tcBorders>
          </w:tcPr>
          <w:p w14:paraId="457E88D1" w14:textId="77777777" w:rsidR="00447423" w:rsidRPr="002A3CBE" w:rsidRDefault="00447423" w:rsidP="00F16E23">
            <w:pPr>
              <w:pStyle w:val="TableText"/>
              <w:spacing w:before="20"/>
            </w:pPr>
          </w:p>
        </w:tc>
        <w:tc>
          <w:tcPr>
            <w:tcW w:w="750" w:type="pct"/>
            <w:tcBorders>
              <w:top w:val="nil"/>
              <w:left w:val="nil"/>
              <w:right w:val="nil"/>
            </w:tcBorders>
          </w:tcPr>
          <w:p w14:paraId="2253A2D4" w14:textId="77777777" w:rsidR="00447423" w:rsidRPr="002A3CBE" w:rsidRDefault="00447423" w:rsidP="00F16E23">
            <w:pPr>
              <w:pStyle w:val="TableText"/>
              <w:spacing w:before="20"/>
            </w:pPr>
          </w:p>
        </w:tc>
        <w:tc>
          <w:tcPr>
            <w:tcW w:w="1009" w:type="pct"/>
            <w:tcBorders>
              <w:top w:val="nil"/>
              <w:left w:val="nil"/>
              <w:right w:val="nil"/>
            </w:tcBorders>
          </w:tcPr>
          <w:p w14:paraId="7D9A5DE1" w14:textId="77777777" w:rsidR="00447423" w:rsidRPr="002A3CBE" w:rsidRDefault="00447423" w:rsidP="00F16E23">
            <w:pPr>
              <w:pStyle w:val="TableText"/>
              <w:spacing w:before="20"/>
            </w:pPr>
            <w:r w:rsidRPr="002A3CBE">
              <w:t>Litter</w:t>
            </w:r>
          </w:p>
        </w:tc>
        <w:tc>
          <w:tcPr>
            <w:tcW w:w="1393" w:type="pct"/>
            <w:tcBorders>
              <w:top w:val="nil"/>
              <w:left w:val="nil"/>
              <w:right w:val="nil"/>
            </w:tcBorders>
          </w:tcPr>
          <w:p w14:paraId="261069CA" w14:textId="77777777" w:rsidR="00447423" w:rsidRPr="002A3CBE" w:rsidRDefault="00447423" w:rsidP="00F16E23">
            <w:pPr>
              <w:pStyle w:val="TableText"/>
              <w:spacing w:before="20"/>
            </w:pPr>
            <w:r w:rsidRPr="002A3CBE">
              <w:rPr>
                <w:rFonts w:cs="Segoe UI"/>
                <w:szCs w:val="16"/>
              </w:rPr>
              <w:t>Allometric model and percentage of above-ground biomass</w:t>
            </w:r>
          </w:p>
        </w:tc>
        <w:tc>
          <w:tcPr>
            <w:tcW w:w="1014" w:type="pct"/>
            <w:tcBorders>
              <w:top w:val="nil"/>
              <w:left w:val="nil"/>
              <w:right w:val="nil"/>
            </w:tcBorders>
          </w:tcPr>
          <w:p w14:paraId="5EB73755" w14:textId="77777777" w:rsidR="00447423" w:rsidRPr="002A3CBE" w:rsidRDefault="00447423" w:rsidP="00F16E23">
            <w:pPr>
              <w:pStyle w:val="TableText"/>
              <w:spacing w:before="20"/>
            </w:pPr>
            <w:r w:rsidRPr="002A3CBE">
              <w:t>Paul et al. (2024)</w:t>
            </w:r>
          </w:p>
        </w:tc>
      </w:tr>
    </w:tbl>
    <w:p w14:paraId="6D4F0D6E" w14:textId="77777777" w:rsidR="00447423" w:rsidRPr="002A3CBE" w:rsidRDefault="00447423" w:rsidP="00447423">
      <w:pPr>
        <w:pStyle w:val="Heading5"/>
        <w:spacing w:before="360"/>
      </w:pPr>
      <w:bookmarkStart w:id="2068" w:name="_Toc255466335"/>
      <w:bookmarkStart w:id="2069" w:name="_Toc261513142"/>
      <w:bookmarkStart w:id="2070" w:name="_Toc261513755"/>
      <w:r w:rsidRPr="002A3CBE">
        <w:t>Soil organic carbon</w:t>
      </w:r>
      <w:bookmarkEnd w:id="2068"/>
      <w:bookmarkEnd w:id="2069"/>
      <w:bookmarkEnd w:id="2070"/>
      <w:r w:rsidRPr="002A3CBE">
        <w:t xml:space="preserve"> </w:t>
      </w:r>
    </w:p>
    <w:p w14:paraId="0CC335D7" w14:textId="77777777" w:rsidR="00447423" w:rsidRPr="002A3CBE" w:rsidRDefault="00447423" w:rsidP="00447423">
      <w:pPr>
        <w:pStyle w:val="BodyText"/>
        <w:spacing w:before="100" w:after="100"/>
      </w:pPr>
      <w:r w:rsidRPr="002A3CBE">
        <w:t xml:space="preserve">Soil organic carbon stocks in </w:t>
      </w:r>
      <w:r w:rsidRPr="002A3CBE">
        <w:rPr>
          <w:i/>
        </w:rPr>
        <w:t>Forest land</w:t>
      </w:r>
      <w:r w:rsidRPr="002A3CBE">
        <w:t xml:space="preserve"> </w:t>
      </w:r>
      <w:r w:rsidRPr="002A3CBE">
        <w:rPr>
          <w:i/>
        </w:rPr>
        <w:t>remaining forest land</w:t>
      </w:r>
      <w:r w:rsidRPr="002A3CBE">
        <w:t xml:space="preserve"> are estimated using a Tier 2 method for mineral soils, as described in volume 2, annex 5, section A5.2.4 ‘Mineral soils’</w:t>
      </w:r>
      <w:r w:rsidRPr="002A3CBE" w:rsidDel="00EC515B">
        <w:t>.</w:t>
      </w:r>
      <w:r w:rsidRPr="002A3CBE">
        <w:t xml:space="preserve"> </w:t>
      </w:r>
    </w:p>
    <w:p w14:paraId="37F53CC4" w14:textId="77777777" w:rsidR="00447423" w:rsidRPr="002A3CBE" w:rsidRDefault="00447423" w:rsidP="00447423">
      <w:pPr>
        <w:pStyle w:val="BodyText"/>
        <w:spacing w:before="100" w:after="100"/>
      </w:pPr>
      <w:r w:rsidRPr="002A3CBE">
        <w:t>For organic soils, IPCC good practice guidance is limited to the estimation of CO</w:t>
      </w:r>
      <w:r w:rsidRPr="002A3CBE">
        <w:rPr>
          <w:vertAlign w:val="subscript"/>
        </w:rPr>
        <w:t>2</w:t>
      </w:r>
      <w:r w:rsidRPr="002A3CBE">
        <w:t xml:space="preserve"> emissions associated with the drainage of organic soils in managed forests (IPCC, 2006a, section 4.2.3.1). In New Zealand, natural forests are not drained and, therefore, oxidation processes associated with drainage are not occurring. It is therefore assumed that there are no CO</w:t>
      </w:r>
      <w:r w:rsidRPr="002A3CBE">
        <w:rPr>
          <w:vertAlign w:val="subscript"/>
        </w:rPr>
        <w:t>2</w:t>
      </w:r>
      <w:r w:rsidRPr="002A3CBE">
        <w:t xml:space="preserve"> emissions from organic soils in pre-1990 natural forest land remaining pre</w:t>
      </w:r>
      <w:r w:rsidRPr="002A3CBE">
        <w:noBreakHyphen/>
        <w:t xml:space="preserve">1990 natural forest land. A Tier 1 approach for pre-1990 planted, post-1989 planted and post-1989 natural </w:t>
      </w:r>
      <w:r w:rsidRPr="002A3CBE">
        <w:rPr>
          <w:i/>
          <w:iCs/>
        </w:rPr>
        <w:t>Forest land remaining forest land</w:t>
      </w:r>
      <w:r w:rsidRPr="002A3CBE">
        <w:t xml:space="preserve"> is applied and is described further in volume 2, annex 5, section A5.2.4 ‘Organic soils’. </w:t>
      </w:r>
    </w:p>
    <w:p w14:paraId="562905DE" w14:textId="77777777" w:rsidR="00447423" w:rsidRPr="002A3CBE" w:rsidRDefault="00447423" w:rsidP="00447423">
      <w:pPr>
        <w:pStyle w:val="Heading5"/>
        <w:spacing w:before="200"/>
      </w:pPr>
      <w:r w:rsidRPr="002A3CBE">
        <w:t>Non-CO</w:t>
      </w:r>
      <w:r w:rsidRPr="002A3CBE">
        <w:rPr>
          <w:vertAlign w:val="subscript"/>
        </w:rPr>
        <w:t>2</w:t>
      </w:r>
      <w:r w:rsidRPr="002A3CBE">
        <w:t xml:space="preserve"> emissions for Forest land </w:t>
      </w:r>
    </w:p>
    <w:p w14:paraId="7ED2E73E" w14:textId="77777777" w:rsidR="00447423" w:rsidRPr="002A3CBE" w:rsidRDefault="00447423" w:rsidP="00447423">
      <w:pPr>
        <w:pStyle w:val="BodyText"/>
        <w:spacing w:before="100" w:after="100"/>
      </w:pPr>
      <w:r w:rsidRPr="002A3CBE">
        <w:t>Direct and indirect N</w:t>
      </w:r>
      <w:r w:rsidRPr="002A3CBE">
        <w:rPr>
          <w:vertAlign w:val="subscript"/>
        </w:rPr>
        <w:t>2</w:t>
      </w:r>
      <w:r w:rsidRPr="002A3CBE">
        <w:t>O emissions from fertilisation of forest land and disturbance associated with land use management conversion are described in section 6.11. Note that the calculations of indirect N</w:t>
      </w:r>
      <w:r w:rsidRPr="002A3CBE">
        <w:rPr>
          <w:vertAlign w:val="subscript"/>
        </w:rPr>
        <w:t>2</w:t>
      </w:r>
      <w:r w:rsidRPr="002A3CBE">
        <w:t xml:space="preserve">O are not disaggregated by category and are therefore not included in the emission subtotals for </w:t>
      </w:r>
      <w:r w:rsidRPr="002A3CBE">
        <w:rPr>
          <w:i/>
        </w:rPr>
        <w:t>Forest land</w:t>
      </w:r>
      <w:r w:rsidRPr="002A3CBE">
        <w:t>.</w:t>
      </w:r>
    </w:p>
    <w:p w14:paraId="7BFE2E4E" w14:textId="77777777" w:rsidR="00447423" w:rsidRPr="002A3CBE" w:rsidRDefault="00447423" w:rsidP="00447423">
      <w:pPr>
        <w:pStyle w:val="Heading4"/>
        <w:spacing w:before="200"/>
      </w:pPr>
      <w:bookmarkStart w:id="2071" w:name="_Toc255466343"/>
      <w:bookmarkStart w:id="2072" w:name="_Toc261513150"/>
      <w:bookmarkStart w:id="2073" w:name="_Toc261513763"/>
      <w:bookmarkStart w:id="2074" w:name="_Toc280630251"/>
      <w:r w:rsidRPr="002A3CBE">
        <w:t>Land converted to forest land</w:t>
      </w:r>
      <w:bookmarkEnd w:id="2071"/>
      <w:bookmarkEnd w:id="2072"/>
      <w:bookmarkEnd w:id="2073"/>
      <w:bookmarkEnd w:id="2074"/>
      <w:r w:rsidRPr="002A3CBE">
        <w:t xml:space="preserve"> (4.A.2)</w:t>
      </w:r>
    </w:p>
    <w:p w14:paraId="61435F0B" w14:textId="77777777" w:rsidR="00447423" w:rsidRPr="002A3CBE" w:rsidRDefault="00447423" w:rsidP="00447423">
      <w:pPr>
        <w:pStyle w:val="BodyText"/>
        <w:spacing w:before="100" w:after="100"/>
      </w:pPr>
      <w:r w:rsidRPr="002A3CBE">
        <w:t xml:space="preserve">All </w:t>
      </w:r>
      <w:r w:rsidRPr="002A3CBE">
        <w:rPr>
          <w:i/>
        </w:rPr>
        <w:t>Land converted to forest land</w:t>
      </w:r>
      <w:r w:rsidRPr="002A3CBE">
        <w:t xml:space="preserve"> since 1 January 1990, either by planting or as a result of human-induced changes in land-management practices (e.g., removing grazing stock and actively facilitating the regeneration of tree species), is included as post-1989 forest. Post</w:t>
      </w:r>
      <w:r w:rsidRPr="002A3CBE">
        <w:noBreakHyphen/>
        <w:t>1989 forest is split into two sub-categories for calculating emissions and removals: post</w:t>
      </w:r>
      <w:r w:rsidRPr="002A3CBE">
        <w:noBreakHyphen/>
        <w:t xml:space="preserve">1989 natural forest and post-1989 planted forest. </w:t>
      </w:r>
    </w:p>
    <w:p w14:paraId="70A21ACF" w14:textId="77777777" w:rsidR="00447423" w:rsidRPr="002A3CBE" w:rsidRDefault="00447423" w:rsidP="00447423">
      <w:pPr>
        <w:pStyle w:val="BodyText"/>
        <w:spacing w:before="100" w:after="100"/>
        <w:rPr>
          <w:spacing w:val="-2"/>
        </w:rPr>
      </w:pPr>
      <w:r w:rsidRPr="002A3CBE">
        <w:rPr>
          <w:spacing w:val="-2"/>
        </w:rPr>
        <w:t>The area of land converted to natural and planted forests is derived from a combination of land use mapping, national statistics and forestry scheme data. Further details on how the area of new forest establishment is calculated are provided in volume 2, annex 5, section A5.2.2</w:t>
      </w:r>
      <w:r w:rsidRPr="002A3CBE">
        <w:t>.</w:t>
      </w:r>
    </w:p>
    <w:p w14:paraId="15EB7408" w14:textId="77777777" w:rsidR="00447423" w:rsidRPr="002A3CBE" w:rsidRDefault="00447423" w:rsidP="00447423">
      <w:pPr>
        <w:pStyle w:val="BodyText"/>
        <w:spacing w:before="100" w:after="100"/>
        <w:rPr>
          <w:spacing w:val="-2"/>
        </w:rPr>
      </w:pPr>
      <w:r w:rsidRPr="002A3CBE">
        <w:rPr>
          <w:spacing w:val="-2"/>
        </w:rPr>
        <w:t xml:space="preserve">When non-forest land is converted to forest land, all carbon in living biomass that was present at the time of forest establishment is assumed to be instantly emitted as a result of forest establishment preparation, with the exception of </w:t>
      </w:r>
      <w:r w:rsidRPr="002A3CBE">
        <w:rPr>
          <w:i/>
          <w:iCs/>
          <w:spacing w:val="-2"/>
        </w:rPr>
        <w:t xml:space="preserve">Grassland with woody biomass </w:t>
      </w:r>
      <w:r w:rsidRPr="002A3CBE">
        <w:rPr>
          <w:spacing w:val="-2"/>
        </w:rPr>
        <w:t xml:space="preserve">conversion to </w:t>
      </w:r>
      <w:r w:rsidRPr="002A3CBE">
        <w:rPr>
          <w:i/>
          <w:spacing w:val="-2"/>
        </w:rPr>
        <w:t>Post-1989 natural forest</w:t>
      </w:r>
      <w:r w:rsidRPr="002A3CBE">
        <w:rPr>
          <w:spacing w:val="-2"/>
        </w:rPr>
        <w:t xml:space="preserve">. Conversions from </w:t>
      </w:r>
      <w:r w:rsidRPr="002A3CBE">
        <w:rPr>
          <w:i/>
          <w:iCs/>
          <w:spacing w:val="-2"/>
        </w:rPr>
        <w:t>Grassland with woody biomass</w:t>
      </w:r>
      <w:r w:rsidRPr="002A3CBE">
        <w:rPr>
          <w:spacing w:val="-2"/>
        </w:rPr>
        <w:t xml:space="preserve"> to post-1989 natural forest represent ecological succession and do not involve the clearance of vegetation. A special case yield table (see volume 2, annex 5, section A5.2.</w:t>
      </w:r>
      <w:r w:rsidRPr="002A3CBE" w:rsidDel="002D24D7">
        <w:rPr>
          <w:spacing w:val="-2"/>
        </w:rPr>
        <w:t>5</w:t>
      </w:r>
      <w:r w:rsidRPr="002A3CBE">
        <w:rPr>
          <w:spacing w:val="-2"/>
        </w:rPr>
        <w:t>, table A5.2.18) is used in these instances. This yield table has the same starting carbon stock as transitional </w:t>
      </w:r>
      <w:r w:rsidRPr="002A3CBE">
        <w:rPr>
          <w:i/>
          <w:iCs/>
          <w:spacing w:val="-2"/>
        </w:rPr>
        <w:t>Grassland with woody biomass</w:t>
      </w:r>
      <w:r w:rsidRPr="002A3CBE">
        <w:rPr>
          <w:spacing w:val="-2"/>
        </w:rPr>
        <w:t xml:space="preserve">, therefore, resulting in no net emissions occurring from biomass in the first year after conversion. This does not affect net </w:t>
      </w:r>
      <w:r w:rsidRPr="002A3CBE">
        <w:t>CO</w:t>
      </w:r>
      <w:r w:rsidRPr="002A3CBE">
        <w:rPr>
          <w:vertAlign w:val="subscript"/>
        </w:rPr>
        <w:t>2</w:t>
      </w:r>
      <w:r w:rsidRPr="002A3CBE">
        <w:rPr>
          <w:spacing w:val="-2"/>
        </w:rPr>
        <w:t xml:space="preserve"> removals by the time the forest reaches the age of 30 years, but affects the year in which reported emissions and removals occur. </w:t>
      </w:r>
    </w:p>
    <w:p w14:paraId="04CF2210" w14:textId="77777777" w:rsidR="00447423" w:rsidRPr="002A3CBE" w:rsidRDefault="00447423" w:rsidP="00447423">
      <w:pPr>
        <w:pStyle w:val="BodyText"/>
        <w:spacing w:before="100" w:after="100"/>
        <w:rPr>
          <w:rFonts w:cs="Calibri"/>
        </w:rPr>
      </w:pPr>
      <w:r w:rsidRPr="002A3CBE">
        <w:rPr>
          <w:rFonts w:cs="Calibri"/>
        </w:rPr>
        <w:t xml:space="preserve">Of the non-forest land converted to post-1989 forest between 1990 and 2024, approximately 56.5 percent has been converted from </w:t>
      </w:r>
      <w:r w:rsidRPr="002A3CBE">
        <w:rPr>
          <w:rFonts w:cs="Calibri"/>
          <w:i/>
          <w:iCs/>
        </w:rPr>
        <w:t>Low producing grassland</w:t>
      </w:r>
      <w:r w:rsidRPr="002A3CBE">
        <w:rPr>
          <w:rFonts w:cs="Calibri"/>
        </w:rPr>
        <w:t xml:space="preserve">, 18.2 percent from </w:t>
      </w:r>
      <w:r w:rsidRPr="002A3CBE">
        <w:rPr>
          <w:rFonts w:cs="Calibri"/>
          <w:i/>
          <w:iCs/>
        </w:rPr>
        <w:t>Grassland with woody biomass</w:t>
      </w:r>
      <w:r w:rsidRPr="002A3CBE">
        <w:rPr>
          <w:rFonts w:cs="Calibri"/>
        </w:rPr>
        <w:t xml:space="preserve"> and a further 24.5 percent from </w:t>
      </w:r>
      <w:r w:rsidRPr="002A3CBE">
        <w:rPr>
          <w:rFonts w:cs="Calibri"/>
          <w:i/>
          <w:iCs/>
        </w:rPr>
        <w:t>High producing grassland</w:t>
      </w:r>
      <w:r w:rsidRPr="002A3CBE">
        <w:rPr>
          <w:rFonts w:cs="Calibri"/>
        </w:rPr>
        <w:t xml:space="preserve">. </w:t>
      </w:r>
      <w:r w:rsidRPr="002A3CBE">
        <w:rPr>
          <w:rFonts w:cs="Calibri"/>
          <w:spacing w:val="-2"/>
        </w:rPr>
        <w:t xml:space="preserve">Note that the grassland type allocated to afforestation in non-mapped years is proportionally based on previously mapped years. </w:t>
      </w:r>
      <w:r w:rsidRPr="002A3CBE">
        <w:rPr>
          <w:rFonts w:cs="Calibri"/>
          <w:i/>
          <w:iCs/>
          <w:spacing w:val="-2"/>
        </w:rPr>
        <w:t>Grassland with woody biomass</w:t>
      </w:r>
      <w:r w:rsidRPr="002A3CBE">
        <w:rPr>
          <w:rFonts w:cs="Calibri"/>
          <w:spacing w:val="-2"/>
        </w:rPr>
        <w:t xml:space="preserve"> provides the largest source of emissions associated with land-use change to planted forest, due to the amount of biomass present before land use conversion. </w:t>
      </w:r>
    </w:p>
    <w:p w14:paraId="195A7A69" w14:textId="77777777" w:rsidR="00447423" w:rsidRPr="002A3CBE" w:rsidRDefault="00447423" w:rsidP="00447423">
      <w:pPr>
        <w:pStyle w:val="BodyText"/>
        <w:spacing w:before="100" w:after="100"/>
      </w:pPr>
      <w:r w:rsidRPr="002A3CBE">
        <w:t xml:space="preserve">Details on the methods, plot network, sampling framework and biomass pools for both post-1989 planted and post-1989 natural forest are provided in volume 2, annex 5, section A5.2.5 ‘National forest inventory’. </w:t>
      </w:r>
    </w:p>
    <w:p w14:paraId="3F16C345" w14:textId="77777777" w:rsidR="00447423" w:rsidRPr="002A3CBE" w:rsidRDefault="00447423" w:rsidP="00447423">
      <w:pPr>
        <w:pStyle w:val="Heading3"/>
      </w:pPr>
      <w:bookmarkStart w:id="2075" w:name="_Toc255466354"/>
      <w:bookmarkStart w:id="2076" w:name="_Toc261513161"/>
      <w:bookmarkStart w:id="2077" w:name="_Toc261513774"/>
      <w:bookmarkStart w:id="2078" w:name="_Toc280630254"/>
      <w:bookmarkStart w:id="2079" w:name="_Toc373395713"/>
      <w:r w:rsidRPr="002A3CBE">
        <w:t>6</w:t>
      </w:r>
      <w:bookmarkStart w:id="2080" w:name="_Hlk73363629"/>
      <w:r w:rsidRPr="002A3CBE">
        <w:t>.4.3</w:t>
      </w:r>
      <w:r w:rsidRPr="002A3CBE">
        <w:tab/>
        <w:t>Uncertainty assessment and time-series consistency</w:t>
      </w:r>
      <w:bookmarkEnd w:id="2075"/>
      <w:bookmarkEnd w:id="2076"/>
      <w:bookmarkEnd w:id="2077"/>
      <w:bookmarkEnd w:id="2078"/>
      <w:bookmarkEnd w:id="2079"/>
    </w:p>
    <w:p w14:paraId="674DFF96" w14:textId="77777777" w:rsidR="00447423" w:rsidRPr="002A3CBE" w:rsidRDefault="00447423" w:rsidP="00447423">
      <w:pPr>
        <w:pStyle w:val="BodyText"/>
      </w:pPr>
      <w:r w:rsidRPr="002A3CBE">
        <w:t xml:space="preserve">The uncertainty in net carbon dioxide emissions from </w:t>
      </w:r>
      <w:r w:rsidRPr="002A3CBE">
        <w:rPr>
          <w:i/>
          <w:iCs/>
        </w:rPr>
        <w:t>Forest land</w:t>
      </w:r>
      <w:r w:rsidRPr="002A3CBE">
        <w:t xml:space="preserve"> was 61.9 percent in 2024, accounting for 55.4 percent of the total uncertainty in emissions from the LULUCF sector. The uncertainty associated with the emissions from each forest class is shown in table 6.4.9. </w:t>
      </w:r>
    </w:p>
    <w:p w14:paraId="36530F4F" w14:textId="77777777" w:rsidR="00447423" w:rsidRPr="002A3CBE" w:rsidRDefault="00447423" w:rsidP="00447423">
      <w:pPr>
        <w:pStyle w:val="BodyText"/>
      </w:pPr>
      <w:r w:rsidRPr="002A3CBE">
        <w:t>Time-series consistency is ensured by applying consistent methods and full recalculations in the event of any refinement or improvement to the methodology. The methods used to calculate the uncertainty values are further described in volume 2, annex 5, section A5.2.8.</w:t>
      </w:r>
    </w:p>
    <w:p w14:paraId="2B7F202B" w14:textId="77777777" w:rsidR="00447423" w:rsidRPr="002A3CBE" w:rsidRDefault="00447423" w:rsidP="00447423">
      <w:pPr>
        <w:pStyle w:val="Table"/>
      </w:pPr>
      <w:bookmarkStart w:id="2081" w:name="_Toc131591399"/>
      <w:bookmarkStart w:id="2082" w:name="_Toc158979957"/>
      <w:bookmarkStart w:id="2083" w:name="_Toc164153890"/>
      <w:bookmarkStart w:id="2084" w:name="_Toc190873124"/>
      <w:bookmarkStart w:id="2085" w:name="_Toc194241763"/>
      <w:bookmarkStart w:id="2086" w:name="_Toc222837914"/>
      <w:bookmarkStart w:id="2087" w:name="_Toc226669060"/>
      <w:r w:rsidRPr="002A3CBE">
        <w:t>Table 6.4.9</w:t>
      </w:r>
      <w:r w:rsidRPr="002A3CBE">
        <w:tab/>
        <w:t xml:space="preserve">Uncertainty in carbon stock change emissions in 2024 from </w:t>
      </w:r>
      <w:r w:rsidRPr="002A3CBE">
        <w:rPr>
          <w:i/>
        </w:rPr>
        <w:t>Forest land</w:t>
      </w:r>
      <w:bookmarkEnd w:id="2081"/>
      <w:bookmarkEnd w:id="2082"/>
      <w:bookmarkEnd w:id="2083"/>
      <w:bookmarkEnd w:id="2084"/>
      <w:bookmarkEnd w:id="2085"/>
      <w:bookmarkEnd w:id="2086"/>
      <w:bookmarkEnd w:id="2087"/>
    </w:p>
    <w:tbl>
      <w:tblPr>
        <w:tblW w:w="8505" w:type="dxa"/>
        <w:tblLayout w:type="fixed"/>
        <w:tblLook w:val="04A0" w:firstRow="1" w:lastRow="0" w:firstColumn="1" w:lastColumn="0" w:noHBand="0" w:noVBand="1"/>
      </w:tblPr>
      <w:tblGrid>
        <w:gridCol w:w="1985"/>
        <w:gridCol w:w="1559"/>
        <w:gridCol w:w="2126"/>
        <w:gridCol w:w="2835"/>
      </w:tblGrid>
      <w:tr w:rsidR="00447423" w:rsidRPr="002A3CBE" w14:paraId="77FB70F8" w14:textId="77777777" w:rsidTr="00F16E23">
        <w:tc>
          <w:tcPr>
            <w:tcW w:w="1985" w:type="dxa"/>
            <w:tcBorders>
              <w:top w:val="single" w:sz="4" w:space="0" w:color="1B556B" w:themeColor="text2"/>
            </w:tcBorders>
            <w:shd w:val="clear" w:color="auto" w:fill="1B556B" w:themeFill="text2"/>
            <w:vAlign w:val="bottom"/>
          </w:tcPr>
          <w:p w14:paraId="4701DCA0" w14:textId="77777777" w:rsidR="00447423" w:rsidRPr="002A3CBE" w:rsidRDefault="00447423" w:rsidP="00F16E23">
            <w:pPr>
              <w:pStyle w:val="TableTextBold"/>
              <w:spacing w:before="40" w:after="40"/>
              <w:rPr>
                <w:noProof w:val="0"/>
                <w:color w:val="FFFFFF"/>
                <w:szCs w:val="16"/>
              </w:rPr>
            </w:pPr>
          </w:p>
        </w:tc>
        <w:tc>
          <w:tcPr>
            <w:tcW w:w="1559" w:type="dxa"/>
            <w:tcBorders>
              <w:top w:val="single" w:sz="4" w:space="0" w:color="1B556B" w:themeColor="text2"/>
            </w:tcBorders>
            <w:shd w:val="clear" w:color="auto" w:fill="1B556B" w:themeFill="text2"/>
            <w:vAlign w:val="bottom"/>
          </w:tcPr>
          <w:p w14:paraId="2D79B926"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Emissions (kt CO</w:t>
            </w:r>
            <w:r w:rsidRPr="002A3CBE">
              <w:rPr>
                <w:noProof w:val="0"/>
                <w:color w:val="FFFFFF"/>
                <w:szCs w:val="16"/>
                <w:vertAlign w:val="subscript"/>
              </w:rPr>
              <w:t>2</w:t>
            </w:r>
            <w:r w:rsidRPr="002A3CBE">
              <w:rPr>
                <w:noProof w:val="0"/>
                <w:color w:val="FFFFFF"/>
                <w:szCs w:val="16"/>
              </w:rPr>
              <w:t>e)</w:t>
            </w:r>
          </w:p>
        </w:tc>
        <w:tc>
          <w:tcPr>
            <w:tcW w:w="2126" w:type="dxa"/>
            <w:tcBorders>
              <w:top w:val="single" w:sz="4" w:space="0" w:color="1B556B" w:themeColor="text2"/>
            </w:tcBorders>
            <w:shd w:val="clear" w:color="auto" w:fill="1B556B" w:themeFill="text2"/>
            <w:vAlign w:val="bottom"/>
          </w:tcPr>
          <w:p w14:paraId="31C0A42C"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Uncertainty in emissions (%)</w:t>
            </w:r>
          </w:p>
        </w:tc>
        <w:tc>
          <w:tcPr>
            <w:tcW w:w="2835" w:type="dxa"/>
            <w:tcBorders>
              <w:top w:val="single" w:sz="4" w:space="0" w:color="1B556B" w:themeColor="text2"/>
            </w:tcBorders>
            <w:shd w:val="clear" w:color="auto" w:fill="1B556B" w:themeFill="text2"/>
            <w:vAlign w:val="bottom"/>
          </w:tcPr>
          <w:p w14:paraId="4666FCC2"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Contribution to LULUCF uncertainty (%)</w:t>
            </w:r>
          </w:p>
        </w:tc>
      </w:tr>
      <w:tr w:rsidR="00447423" w:rsidRPr="002A3CBE" w14:paraId="3E6E372A" w14:textId="77777777" w:rsidTr="00F16E23">
        <w:tc>
          <w:tcPr>
            <w:tcW w:w="1985" w:type="dxa"/>
            <w:tcBorders>
              <w:top w:val="single" w:sz="4" w:space="0" w:color="1B556B" w:themeColor="text2"/>
              <w:bottom w:val="single" w:sz="4" w:space="0" w:color="365F91"/>
            </w:tcBorders>
            <w:vAlign w:val="bottom"/>
          </w:tcPr>
          <w:p w14:paraId="0429D9C7" w14:textId="77777777" w:rsidR="00447423" w:rsidRPr="002A3CBE" w:rsidRDefault="00447423" w:rsidP="00F16E23">
            <w:pPr>
              <w:pStyle w:val="TableText"/>
              <w:spacing w:before="40" w:after="40"/>
              <w:rPr>
                <w:szCs w:val="16"/>
              </w:rPr>
            </w:pPr>
            <w:r w:rsidRPr="002A3CBE">
              <w:rPr>
                <w:rFonts w:cs="Calibri"/>
                <w:color w:val="000000"/>
                <w:szCs w:val="16"/>
              </w:rPr>
              <w:t>Pre-1990 planted forest</w:t>
            </w:r>
          </w:p>
        </w:tc>
        <w:tc>
          <w:tcPr>
            <w:tcW w:w="1559" w:type="dxa"/>
            <w:tcBorders>
              <w:top w:val="single" w:sz="4" w:space="0" w:color="1B556B" w:themeColor="text2"/>
              <w:bottom w:val="single" w:sz="4" w:space="0" w:color="365F91"/>
            </w:tcBorders>
          </w:tcPr>
          <w:p w14:paraId="54944830" w14:textId="77777777" w:rsidR="00447423" w:rsidRPr="002A3CBE" w:rsidRDefault="00447423" w:rsidP="00F16E23">
            <w:pPr>
              <w:pStyle w:val="TableText"/>
              <w:spacing w:before="40" w:after="40"/>
              <w:jc w:val="right"/>
              <w:rPr>
                <w:szCs w:val="16"/>
              </w:rPr>
            </w:pPr>
            <w:r w:rsidRPr="002A3CBE">
              <w:t>-14,804.4</w:t>
            </w:r>
          </w:p>
        </w:tc>
        <w:tc>
          <w:tcPr>
            <w:tcW w:w="2126" w:type="dxa"/>
            <w:tcBorders>
              <w:top w:val="single" w:sz="4" w:space="0" w:color="1B556B" w:themeColor="text2"/>
              <w:bottom w:val="single" w:sz="4" w:space="0" w:color="365F91"/>
            </w:tcBorders>
          </w:tcPr>
          <w:p w14:paraId="57A2294F" w14:textId="77777777" w:rsidR="00447423" w:rsidRPr="002A3CBE" w:rsidRDefault="00447423" w:rsidP="00F16E23">
            <w:pPr>
              <w:pStyle w:val="TableText"/>
              <w:spacing w:before="40" w:after="40"/>
              <w:jc w:val="right"/>
              <w:rPr>
                <w:rFonts w:cs="Segoe UI"/>
                <w:szCs w:val="16"/>
              </w:rPr>
            </w:pPr>
            <w:r w:rsidRPr="002A3CBE">
              <w:t>65.3</w:t>
            </w:r>
          </w:p>
        </w:tc>
        <w:tc>
          <w:tcPr>
            <w:tcW w:w="2835" w:type="dxa"/>
            <w:tcBorders>
              <w:top w:val="single" w:sz="4" w:space="0" w:color="1B556B" w:themeColor="text2"/>
              <w:bottom w:val="single" w:sz="4" w:space="0" w:color="365F91"/>
            </w:tcBorders>
          </w:tcPr>
          <w:p w14:paraId="0317ADAB" w14:textId="77777777" w:rsidR="00447423" w:rsidRPr="002A3CBE" w:rsidRDefault="00447423" w:rsidP="00F16E23">
            <w:pPr>
              <w:pStyle w:val="TableText"/>
              <w:spacing w:before="40" w:after="40"/>
              <w:jc w:val="right"/>
              <w:rPr>
                <w:rFonts w:cs="Segoe UI"/>
                <w:szCs w:val="16"/>
              </w:rPr>
            </w:pPr>
            <w:r w:rsidRPr="002A3CBE">
              <w:t>46.1</w:t>
            </w:r>
          </w:p>
        </w:tc>
      </w:tr>
      <w:tr w:rsidR="00447423" w:rsidRPr="002A3CBE" w14:paraId="0FF0A2B6" w14:textId="77777777" w:rsidTr="00F16E23">
        <w:tc>
          <w:tcPr>
            <w:tcW w:w="1985" w:type="dxa"/>
            <w:tcBorders>
              <w:top w:val="single" w:sz="4" w:space="0" w:color="365F91"/>
              <w:bottom w:val="single" w:sz="4" w:space="0" w:color="365F91"/>
            </w:tcBorders>
            <w:vAlign w:val="bottom"/>
          </w:tcPr>
          <w:p w14:paraId="25470906" w14:textId="77777777" w:rsidR="00447423" w:rsidRPr="002A3CBE" w:rsidRDefault="00447423" w:rsidP="00F16E23">
            <w:pPr>
              <w:pStyle w:val="TableText"/>
              <w:spacing w:before="40" w:after="40"/>
              <w:rPr>
                <w:szCs w:val="16"/>
              </w:rPr>
            </w:pPr>
            <w:r w:rsidRPr="002A3CBE">
              <w:rPr>
                <w:rFonts w:cs="Calibri"/>
                <w:color w:val="000000"/>
                <w:szCs w:val="16"/>
              </w:rPr>
              <w:t>Post-1989 planted forest</w:t>
            </w:r>
          </w:p>
        </w:tc>
        <w:tc>
          <w:tcPr>
            <w:tcW w:w="1559" w:type="dxa"/>
            <w:tcBorders>
              <w:top w:val="single" w:sz="4" w:space="0" w:color="365F91"/>
              <w:bottom w:val="single" w:sz="4" w:space="0" w:color="365F91"/>
            </w:tcBorders>
          </w:tcPr>
          <w:p w14:paraId="3131EF97" w14:textId="77777777" w:rsidR="00447423" w:rsidRPr="002A3CBE" w:rsidRDefault="00447423" w:rsidP="00F16E23">
            <w:pPr>
              <w:pStyle w:val="TableText"/>
              <w:spacing w:before="40" w:after="40"/>
              <w:jc w:val="right"/>
              <w:rPr>
                <w:szCs w:val="16"/>
              </w:rPr>
            </w:pPr>
            <w:r w:rsidRPr="002A3CBE">
              <w:t>-1,677.3</w:t>
            </w:r>
          </w:p>
        </w:tc>
        <w:tc>
          <w:tcPr>
            <w:tcW w:w="2126" w:type="dxa"/>
            <w:tcBorders>
              <w:top w:val="single" w:sz="4" w:space="0" w:color="365F91"/>
              <w:bottom w:val="single" w:sz="4" w:space="0" w:color="365F91"/>
            </w:tcBorders>
          </w:tcPr>
          <w:p w14:paraId="63C14779" w14:textId="77777777" w:rsidR="00447423" w:rsidRPr="002A3CBE" w:rsidRDefault="00447423" w:rsidP="00F16E23">
            <w:pPr>
              <w:pStyle w:val="TableText"/>
              <w:spacing w:before="40" w:after="40"/>
              <w:jc w:val="right"/>
              <w:rPr>
                <w:rFonts w:cs="Segoe UI"/>
                <w:szCs w:val="16"/>
              </w:rPr>
            </w:pPr>
            <w:r w:rsidRPr="002A3CBE">
              <w:t>319.0</w:t>
            </w:r>
          </w:p>
        </w:tc>
        <w:tc>
          <w:tcPr>
            <w:tcW w:w="2835" w:type="dxa"/>
            <w:tcBorders>
              <w:top w:val="single" w:sz="4" w:space="0" w:color="365F91"/>
              <w:bottom w:val="single" w:sz="4" w:space="0" w:color="365F91"/>
            </w:tcBorders>
          </w:tcPr>
          <w:p w14:paraId="08DFE213" w14:textId="77777777" w:rsidR="00447423" w:rsidRPr="002A3CBE" w:rsidRDefault="00447423" w:rsidP="00F16E23">
            <w:pPr>
              <w:pStyle w:val="TableText"/>
              <w:spacing w:before="40" w:after="40"/>
              <w:jc w:val="right"/>
              <w:rPr>
                <w:rFonts w:cs="Segoe UI"/>
                <w:szCs w:val="16"/>
              </w:rPr>
            </w:pPr>
            <w:r w:rsidRPr="002A3CBE">
              <w:t>25.5</w:t>
            </w:r>
          </w:p>
        </w:tc>
      </w:tr>
      <w:tr w:rsidR="00447423" w:rsidRPr="002A3CBE" w14:paraId="34B34A43" w14:textId="77777777" w:rsidTr="00F16E23">
        <w:tc>
          <w:tcPr>
            <w:tcW w:w="1985" w:type="dxa"/>
            <w:tcBorders>
              <w:top w:val="single" w:sz="4" w:space="0" w:color="365F91"/>
              <w:bottom w:val="single" w:sz="4" w:space="0" w:color="365F91"/>
            </w:tcBorders>
            <w:vAlign w:val="bottom"/>
          </w:tcPr>
          <w:p w14:paraId="1D9ECF40" w14:textId="77777777" w:rsidR="00447423" w:rsidRPr="002A3CBE" w:rsidRDefault="00447423" w:rsidP="00F16E23">
            <w:pPr>
              <w:pStyle w:val="TableText"/>
              <w:spacing w:before="40" w:after="40"/>
              <w:rPr>
                <w:szCs w:val="16"/>
              </w:rPr>
            </w:pPr>
            <w:r w:rsidRPr="002A3CBE">
              <w:rPr>
                <w:rFonts w:cs="Calibri"/>
                <w:color w:val="000000"/>
                <w:szCs w:val="16"/>
              </w:rPr>
              <w:t>Pre-1990 natural forest</w:t>
            </w:r>
          </w:p>
        </w:tc>
        <w:tc>
          <w:tcPr>
            <w:tcW w:w="1559" w:type="dxa"/>
            <w:tcBorders>
              <w:top w:val="single" w:sz="4" w:space="0" w:color="365F91"/>
              <w:bottom w:val="single" w:sz="4" w:space="0" w:color="365F91"/>
            </w:tcBorders>
          </w:tcPr>
          <w:p w14:paraId="70818764" w14:textId="77777777" w:rsidR="00447423" w:rsidRPr="002A3CBE" w:rsidRDefault="00447423" w:rsidP="00F16E23">
            <w:pPr>
              <w:pStyle w:val="TableText"/>
              <w:spacing w:before="40" w:after="40"/>
              <w:jc w:val="right"/>
              <w:rPr>
                <w:szCs w:val="16"/>
              </w:rPr>
            </w:pPr>
            <w:r w:rsidRPr="002A3CBE">
              <w:t>-1,438.8</w:t>
            </w:r>
          </w:p>
        </w:tc>
        <w:tc>
          <w:tcPr>
            <w:tcW w:w="2126" w:type="dxa"/>
            <w:tcBorders>
              <w:top w:val="single" w:sz="4" w:space="0" w:color="365F91"/>
              <w:bottom w:val="single" w:sz="4" w:space="0" w:color="365F91"/>
            </w:tcBorders>
          </w:tcPr>
          <w:p w14:paraId="3433E98F" w14:textId="77777777" w:rsidR="00447423" w:rsidRPr="002A3CBE" w:rsidRDefault="00447423" w:rsidP="00F16E23">
            <w:pPr>
              <w:pStyle w:val="TableText"/>
              <w:spacing w:before="40" w:after="40"/>
              <w:jc w:val="right"/>
              <w:rPr>
                <w:rFonts w:cs="Segoe UI"/>
                <w:szCs w:val="16"/>
              </w:rPr>
            </w:pPr>
            <w:r w:rsidRPr="002A3CBE">
              <w:t>250.3</w:t>
            </w:r>
          </w:p>
        </w:tc>
        <w:tc>
          <w:tcPr>
            <w:tcW w:w="2835" w:type="dxa"/>
            <w:tcBorders>
              <w:top w:val="single" w:sz="4" w:space="0" w:color="365F91"/>
              <w:bottom w:val="single" w:sz="4" w:space="0" w:color="365F91"/>
            </w:tcBorders>
          </w:tcPr>
          <w:p w14:paraId="4693F1E2" w14:textId="77777777" w:rsidR="00447423" w:rsidRPr="002A3CBE" w:rsidRDefault="00447423" w:rsidP="00F16E23">
            <w:pPr>
              <w:pStyle w:val="TableText"/>
              <w:spacing w:before="40" w:after="40"/>
              <w:jc w:val="right"/>
              <w:rPr>
                <w:rFonts w:cs="Segoe UI"/>
                <w:szCs w:val="16"/>
              </w:rPr>
            </w:pPr>
            <w:r w:rsidRPr="002A3CBE">
              <w:t>17.2</w:t>
            </w:r>
          </w:p>
        </w:tc>
      </w:tr>
      <w:tr w:rsidR="00447423" w:rsidRPr="002A3CBE" w14:paraId="6F1E529F" w14:textId="77777777" w:rsidTr="00F16E23">
        <w:tc>
          <w:tcPr>
            <w:tcW w:w="1985" w:type="dxa"/>
            <w:tcBorders>
              <w:top w:val="single" w:sz="4" w:space="0" w:color="365F91"/>
              <w:bottom w:val="single" w:sz="4" w:space="0" w:color="365F91"/>
            </w:tcBorders>
            <w:vAlign w:val="bottom"/>
          </w:tcPr>
          <w:p w14:paraId="5D34BA0A" w14:textId="77777777" w:rsidR="00447423" w:rsidRPr="002A3CBE" w:rsidRDefault="00447423" w:rsidP="00F16E23">
            <w:pPr>
              <w:pStyle w:val="TableText"/>
              <w:spacing w:before="40" w:after="40"/>
              <w:rPr>
                <w:szCs w:val="16"/>
              </w:rPr>
            </w:pPr>
            <w:r w:rsidRPr="002A3CBE">
              <w:rPr>
                <w:rFonts w:cs="Calibri"/>
                <w:color w:val="000000"/>
                <w:szCs w:val="16"/>
              </w:rPr>
              <w:t>Post-1989 natural forest</w:t>
            </w:r>
          </w:p>
        </w:tc>
        <w:tc>
          <w:tcPr>
            <w:tcW w:w="1559" w:type="dxa"/>
            <w:tcBorders>
              <w:top w:val="single" w:sz="4" w:space="0" w:color="365F91"/>
              <w:bottom w:val="single" w:sz="4" w:space="0" w:color="365F91"/>
            </w:tcBorders>
          </w:tcPr>
          <w:p w14:paraId="4AD1F955" w14:textId="77777777" w:rsidR="00447423" w:rsidRPr="002A3CBE" w:rsidRDefault="00447423" w:rsidP="00F16E23">
            <w:pPr>
              <w:pStyle w:val="TableText"/>
              <w:spacing w:before="40" w:after="40"/>
              <w:jc w:val="right"/>
              <w:rPr>
                <w:szCs w:val="16"/>
              </w:rPr>
            </w:pPr>
            <w:r w:rsidRPr="002A3CBE">
              <w:t>-855.2</w:t>
            </w:r>
          </w:p>
        </w:tc>
        <w:tc>
          <w:tcPr>
            <w:tcW w:w="2126" w:type="dxa"/>
            <w:tcBorders>
              <w:top w:val="single" w:sz="4" w:space="0" w:color="365F91"/>
              <w:bottom w:val="single" w:sz="4" w:space="0" w:color="365F91"/>
            </w:tcBorders>
          </w:tcPr>
          <w:p w14:paraId="74571AB3" w14:textId="77777777" w:rsidR="00447423" w:rsidRPr="002A3CBE" w:rsidRDefault="00447423" w:rsidP="00F16E23">
            <w:pPr>
              <w:pStyle w:val="TableText"/>
              <w:spacing w:before="40" w:after="40"/>
              <w:jc w:val="right"/>
              <w:rPr>
                <w:rFonts w:cs="Segoe UI"/>
                <w:szCs w:val="16"/>
              </w:rPr>
            </w:pPr>
            <w:r w:rsidRPr="002A3CBE">
              <w:t>35.4</w:t>
            </w:r>
          </w:p>
        </w:tc>
        <w:tc>
          <w:tcPr>
            <w:tcW w:w="2835" w:type="dxa"/>
            <w:tcBorders>
              <w:top w:val="single" w:sz="4" w:space="0" w:color="365F91"/>
              <w:bottom w:val="single" w:sz="4" w:space="0" w:color="365F91"/>
            </w:tcBorders>
          </w:tcPr>
          <w:p w14:paraId="4CA849A6" w14:textId="77777777" w:rsidR="00447423" w:rsidRPr="002A3CBE" w:rsidRDefault="00447423" w:rsidP="00F16E23">
            <w:pPr>
              <w:pStyle w:val="TableText"/>
              <w:spacing w:before="40" w:after="40"/>
              <w:jc w:val="right"/>
              <w:rPr>
                <w:rFonts w:cs="Segoe UI"/>
                <w:szCs w:val="16"/>
              </w:rPr>
            </w:pPr>
            <w:r w:rsidRPr="002A3CBE">
              <w:t>1.4</w:t>
            </w:r>
          </w:p>
        </w:tc>
      </w:tr>
      <w:tr w:rsidR="00447423" w:rsidRPr="002A3CBE" w14:paraId="3F9C943B" w14:textId="77777777" w:rsidTr="00F16E23">
        <w:tc>
          <w:tcPr>
            <w:tcW w:w="1985" w:type="dxa"/>
            <w:tcBorders>
              <w:top w:val="single" w:sz="4" w:space="0" w:color="365F91"/>
              <w:bottom w:val="single" w:sz="4" w:space="0" w:color="365F91"/>
            </w:tcBorders>
          </w:tcPr>
          <w:p w14:paraId="79549E7C" w14:textId="77777777" w:rsidR="00447423" w:rsidRPr="002A3CBE" w:rsidRDefault="00447423" w:rsidP="00F16E23">
            <w:pPr>
              <w:pStyle w:val="Tableboldblue"/>
              <w:spacing w:before="40" w:after="40"/>
              <w:rPr>
                <w:rFonts w:ascii="Arial Bold" w:hAnsi="Arial Bold" w:cs="Arial Bold"/>
                <w:szCs w:val="16"/>
              </w:rPr>
            </w:pPr>
            <w:r w:rsidRPr="002A3CBE">
              <w:rPr>
                <w:szCs w:val="16"/>
              </w:rPr>
              <w:t>Total</w:t>
            </w:r>
          </w:p>
        </w:tc>
        <w:tc>
          <w:tcPr>
            <w:tcW w:w="1559" w:type="dxa"/>
            <w:tcBorders>
              <w:top w:val="single" w:sz="4" w:space="0" w:color="365F91"/>
              <w:bottom w:val="single" w:sz="4" w:space="0" w:color="365F91"/>
            </w:tcBorders>
          </w:tcPr>
          <w:p w14:paraId="3E50FDA6" w14:textId="77777777" w:rsidR="00447423" w:rsidRPr="002A3CBE" w:rsidRDefault="00447423" w:rsidP="00F16E23">
            <w:pPr>
              <w:pStyle w:val="Tableboldblue"/>
              <w:spacing w:before="40" w:after="40"/>
              <w:jc w:val="right"/>
              <w:rPr>
                <w:rFonts w:cs="Calibri"/>
              </w:rPr>
            </w:pPr>
            <w:r w:rsidRPr="002A3CBE">
              <w:t>-18,775.7</w:t>
            </w:r>
          </w:p>
        </w:tc>
        <w:tc>
          <w:tcPr>
            <w:tcW w:w="2126" w:type="dxa"/>
            <w:tcBorders>
              <w:top w:val="single" w:sz="4" w:space="0" w:color="365F91"/>
              <w:bottom w:val="single" w:sz="4" w:space="0" w:color="365F91"/>
            </w:tcBorders>
          </w:tcPr>
          <w:p w14:paraId="441F93DC" w14:textId="77777777" w:rsidR="00447423" w:rsidRPr="002A3CBE" w:rsidRDefault="00447423" w:rsidP="00F16E23">
            <w:pPr>
              <w:pStyle w:val="Tableboldblue"/>
              <w:spacing w:before="40" w:after="40"/>
              <w:jc w:val="right"/>
              <w:rPr>
                <w:rFonts w:cs="Calibri"/>
              </w:rPr>
            </w:pPr>
            <w:r w:rsidRPr="002A3CBE">
              <w:t>61.9</w:t>
            </w:r>
          </w:p>
        </w:tc>
        <w:tc>
          <w:tcPr>
            <w:tcW w:w="2835" w:type="dxa"/>
            <w:tcBorders>
              <w:top w:val="single" w:sz="4" w:space="0" w:color="365F91"/>
              <w:bottom w:val="single" w:sz="4" w:space="0" w:color="365F91"/>
            </w:tcBorders>
          </w:tcPr>
          <w:p w14:paraId="0A782E80" w14:textId="77777777" w:rsidR="00447423" w:rsidRPr="002A3CBE" w:rsidRDefault="00447423" w:rsidP="00F16E23">
            <w:pPr>
              <w:pStyle w:val="Tableboldblue"/>
              <w:spacing w:before="40" w:after="40"/>
              <w:jc w:val="right"/>
              <w:rPr>
                <w:rFonts w:cs="Calibri"/>
              </w:rPr>
            </w:pPr>
            <w:r w:rsidRPr="002A3CBE">
              <w:t>55.4</w:t>
            </w:r>
          </w:p>
        </w:tc>
      </w:tr>
    </w:tbl>
    <w:p w14:paraId="74EF69F5" w14:textId="77777777" w:rsidR="00447423" w:rsidRPr="002A3CBE" w:rsidRDefault="00447423" w:rsidP="00447423">
      <w:pPr>
        <w:pStyle w:val="Heading3"/>
        <w:spacing w:before="400"/>
      </w:pPr>
      <w:bookmarkStart w:id="2088" w:name="_Toc255466360"/>
      <w:bookmarkStart w:id="2089" w:name="_Toc261513167"/>
      <w:bookmarkStart w:id="2090" w:name="_Toc261513780"/>
      <w:bookmarkStart w:id="2091" w:name="_Toc280630258"/>
      <w:bookmarkStart w:id="2092" w:name="_Toc373395714"/>
      <w:bookmarkEnd w:id="2080"/>
      <w:r w:rsidRPr="002A3CBE">
        <w:t>6.4.4</w:t>
      </w:r>
      <w:r w:rsidRPr="002A3CBE">
        <w:tab/>
        <w:t>Category-specific QA/QC and verification</w:t>
      </w:r>
      <w:bookmarkEnd w:id="2088"/>
      <w:bookmarkEnd w:id="2089"/>
      <w:bookmarkEnd w:id="2090"/>
      <w:bookmarkEnd w:id="2091"/>
      <w:bookmarkEnd w:id="2092"/>
    </w:p>
    <w:p w14:paraId="1FC0C3A2" w14:textId="77777777" w:rsidR="00447423" w:rsidRPr="002A3CBE" w:rsidRDefault="00447423" w:rsidP="00447423">
      <w:pPr>
        <w:pStyle w:val="BodyText"/>
      </w:pPr>
      <w:r w:rsidRPr="002A3CBE">
        <w:t xml:space="preserve">Carbon dioxide emissions from both </w:t>
      </w:r>
      <w:r w:rsidRPr="002A3CBE">
        <w:rPr>
          <w:i/>
        </w:rPr>
        <w:t>Forest land remaining forest land</w:t>
      </w:r>
      <w:r w:rsidRPr="002A3CBE">
        <w:t xml:space="preserve"> and </w:t>
      </w:r>
      <w:r w:rsidRPr="002A3CBE">
        <w:rPr>
          <w:i/>
        </w:rPr>
        <w:t xml:space="preserve">Land converted to forest land </w:t>
      </w:r>
      <w:r w:rsidRPr="002A3CBE">
        <w:t>are key categories for both level and trend assessments. In the preparation of this inventory, the data for these emissions underwent Tier 1 QA/QC checks as well as Tier 2 category-specific QA/QC checks. Details of these checks are provided in volume 2, annex 5, section A5.2.5 ‘National forest inventory’.</w:t>
      </w:r>
    </w:p>
    <w:p w14:paraId="411DD96B" w14:textId="77777777" w:rsidR="00447423" w:rsidRPr="002A3CBE" w:rsidRDefault="00447423" w:rsidP="00447423">
      <w:pPr>
        <w:pStyle w:val="Heading3"/>
        <w:spacing w:before="280"/>
      </w:pPr>
      <w:r w:rsidRPr="002A3CBE">
        <w:t>6.4.5</w:t>
      </w:r>
      <w:r w:rsidRPr="002A3CBE">
        <w:tab/>
        <w:t>Category-specific recalculations</w:t>
      </w:r>
    </w:p>
    <w:p w14:paraId="312AC739" w14:textId="77777777" w:rsidR="00447423" w:rsidRPr="002A3CBE" w:rsidRDefault="00447423" w:rsidP="00447423">
      <w:pPr>
        <w:pStyle w:val="BodyText"/>
      </w:pPr>
      <w:r w:rsidRPr="002A3CBE">
        <w:t xml:space="preserve">In this submission, New Zealand has recalculated its emission estimates for the whole LULUCF </w:t>
      </w:r>
      <w:r w:rsidRPr="002A3CBE">
        <w:rPr>
          <w:spacing w:val="-2"/>
        </w:rPr>
        <w:t xml:space="preserve">sector from 1990, including the </w:t>
      </w:r>
      <w:r w:rsidRPr="002A3CBE">
        <w:rPr>
          <w:i/>
          <w:spacing w:val="-2"/>
        </w:rPr>
        <w:t>Forest land</w:t>
      </w:r>
      <w:r w:rsidRPr="002A3CBE">
        <w:rPr>
          <w:spacing w:val="-2"/>
        </w:rPr>
        <w:t xml:space="preserve"> category. These recalculations used improved activity</w:t>
      </w:r>
      <w:r w:rsidRPr="002A3CBE">
        <w:t xml:space="preserve"> data, incorporating minor updates to the 2020 land use map, and new data on the proportion of standing permanent forest versus forest planned for harvest used to improve harvest age modelling. The impact of the recalculations on net CO</w:t>
      </w:r>
      <w:r w:rsidRPr="002A3CBE">
        <w:rPr>
          <w:vertAlign w:val="subscript"/>
        </w:rPr>
        <w:t>2</w:t>
      </w:r>
      <w:r w:rsidRPr="002A3CBE">
        <w:t xml:space="preserve">e emission estimates for the </w:t>
      </w:r>
      <w:r w:rsidRPr="002A3CBE">
        <w:rPr>
          <w:i/>
        </w:rPr>
        <w:t>Forest land</w:t>
      </w:r>
      <w:r w:rsidRPr="002A3CBE">
        <w:t xml:space="preserve"> category is provided in table 6.4.10. The differences shown are a result of recalculations for all carbon pools required in reporting for </w:t>
      </w:r>
      <w:r w:rsidRPr="002A3CBE">
        <w:rPr>
          <w:i/>
          <w:iCs/>
        </w:rPr>
        <w:t>Forest land</w:t>
      </w:r>
      <w:r w:rsidRPr="002A3CBE">
        <w:t xml:space="preserve"> under the LULUCF sector. </w:t>
      </w:r>
    </w:p>
    <w:p w14:paraId="51299805" w14:textId="77777777" w:rsidR="00447423" w:rsidRPr="002A3CBE" w:rsidRDefault="00447423" w:rsidP="00447423">
      <w:pPr>
        <w:pStyle w:val="Table"/>
      </w:pPr>
      <w:bookmarkStart w:id="2093" w:name="_Toc280630460"/>
      <w:bookmarkStart w:id="2094" w:name="_Toc310423413"/>
      <w:bookmarkStart w:id="2095" w:name="_Toc318362706"/>
      <w:bookmarkStart w:id="2096" w:name="_Toc342470768"/>
      <w:bookmarkStart w:id="2097" w:name="_Toc352505008"/>
      <w:bookmarkStart w:id="2098" w:name="_Toc373395733"/>
      <w:bookmarkStart w:id="2099" w:name="_Toc378853299"/>
      <w:bookmarkStart w:id="2100" w:name="_Toc391024097"/>
      <w:bookmarkStart w:id="2101" w:name="_Toc410028840"/>
      <w:bookmarkStart w:id="2102" w:name="_Toc414531468"/>
      <w:bookmarkStart w:id="2103" w:name="_Toc443645381"/>
      <w:bookmarkStart w:id="2104" w:name="_Toc474914600"/>
      <w:bookmarkStart w:id="2105" w:name="_Toc481751564"/>
      <w:bookmarkStart w:id="2106" w:name="_Toc522010621"/>
      <w:bookmarkStart w:id="2107" w:name="_Toc5269526"/>
      <w:bookmarkStart w:id="2108" w:name="_Toc33529400"/>
      <w:bookmarkStart w:id="2109" w:name="_Toc36224606"/>
      <w:bookmarkStart w:id="2110" w:name="_Toc131591400"/>
      <w:bookmarkStart w:id="2111" w:name="_Toc158979958"/>
      <w:bookmarkStart w:id="2112" w:name="_Toc164153891"/>
      <w:bookmarkStart w:id="2113" w:name="_Toc190873125"/>
      <w:bookmarkStart w:id="2114" w:name="_Toc194241764"/>
      <w:bookmarkStart w:id="2115" w:name="_Toc222837915"/>
      <w:bookmarkStart w:id="2116" w:name="_Toc226669061"/>
      <w:r w:rsidRPr="002A3CBE">
        <w:t xml:space="preserve">Table 6.4.10 </w:t>
      </w:r>
      <w:r w:rsidRPr="002A3CBE">
        <w:tab/>
        <w:t xml:space="preserve">Recalculations of New Zealand’s estimates for the </w:t>
      </w:r>
      <w:r w:rsidRPr="002A3CBE">
        <w:rPr>
          <w:i/>
        </w:rPr>
        <w:t>Forest land</w:t>
      </w:r>
      <w:r w:rsidRPr="002A3CBE">
        <w:t xml:space="preserve"> category in 1990 and</w:t>
      </w:r>
      <w:bookmarkEnd w:id="2093"/>
      <w:bookmarkEnd w:id="2094"/>
      <w:bookmarkEnd w:id="2095"/>
      <w:bookmarkEnd w:id="2096"/>
      <w:bookmarkEnd w:id="2097"/>
      <w:bookmarkEnd w:id="2098"/>
      <w:bookmarkEnd w:id="2099"/>
      <w:bookmarkEnd w:id="2100"/>
      <w:r w:rsidRPr="002A3CBE">
        <w:t> </w:t>
      </w:r>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r w:rsidRPr="002A3CBE">
        <w:t>2023</w:t>
      </w:r>
      <w:bookmarkEnd w:id="2115"/>
      <w:bookmarkEnd w:id="2116"/>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268"/>
        <w:gridCol w:w="1559"/>
        <w:gridCol w:w="1413"/>
        <w:gridCol w:w="2268"/>
        <w:gridCol w:w="996"/>
      </w:tblGrid>
      <w:tr w:rsidR="00447423" w:rsidRPr="002A3CBE" w14:paraId="43CF3C6B" w14:textId="77777777" w:rsidTr="00F16E23">
        <w:trPr>
          <w:tblHeader/>
        </w:trPr>
        <w:tc>
          <w:tcPr>
            <w:tcW w:w="2268" w:type="dxa"/>
            <w:shd w:val="clear" w:color="auto" w:fill="1B556B"/>
            <w:tcMar>
              <w:top w:w="0" w:type="dxa"/>
              <w:left w:w="85" w:type="dxa"/>
              <w:bottom w:w="0" w:type="dxa"/>
              <w:right w:w="85" w:type="dxa"/>
            </w:tcMar>
            <w:vAlign w:val="center"/>
          </w:tcPr>
          <w:p w14:paraId="43B9C824" w14:textId="77777777" w:rsidR="00447423" w:rsidRPr="002A3CBE" w:rsidRDefault="00447423" w:rsidP="00F16E23">
            <w:pPr>
              <w:pStyle w:val="TableTextBold"/>
              <w:spacing w:before="40" w:after="40"/>
              <w:rPr>
                <w:rFonts w:eastAsia="Calibri"/>
                <w:noProof w:val="0"/>
                <w:color w:val="FFFFFF" w:themeColor="background1"/>
              </w:rPr>
            </w:pPr>
          </w:p>
        </w:tc>
        <w:tc>
          <w:tcPr>
            <w:tcW w:w="1559" w:type="dxa"/>
            <w:shd w:val="clear" w:color="auto" w:fill="1B556B"/>
            <w:tcMar>
              <w:top w:w="0" w:type="dxa"/>
              <w:left w:w="85" w:type="dxa"/>
              <w:bottom w:w="0" w:type="dxa"/>
              <w:right w:w="85" w:type="dxa"/>
            </w:tcMar>
            <w:vAlign w:val="center"/>
          </w:tcPr>
          <w:p w14:paraId="493FDC21"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2025 submission</w:t>
            </w:r>
          </w:p>
        </w:tc>
        <w:tc>
          <w:tcPr>
            <w:tcW w:w="1413" w:type="dxa"/>
            <w:shd w:val="clear" w:color="auto" w:fill="1B556B"/>
            <w:tcMar>
              <w:top w:w="0" w:type="dxa"/>
              <w:left w:w="85" w:type="dxa"/>
              <w:bottom w:w="0" w:type="dxa"/>
              <w:right w:w="85" w:type="dxa"/>
            </w:tcMar>
            <w:vAlign w:val="center"/>
          </w:tcPr>
          <w:p w14:paraId="31ECA9AB"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2026 submission</w:t>
            </w:r>
          </w:p>
        </w:tc>
        <w:tc>
          <w:tcPr>
            <w:tcW w:w="2268" w:type="dxa"/>
            <w:shd w:val="clear" w:color="auto" w:fill="1B556B"/>
            <w:tcMar>
              <w:top w:w="0" w:type="dxa"/>
              <w:left w:w="85" w:type="dxa"/>
              <w:bottom w:w="0" w:type="dxa"/>
              <w:right w:w="85" w:type="dxa"/>
            </w:tcMar>
            <w:vAlign w:val="center"/>
          </w:tcPr>
          <w:p w14:paraId="5F35CA21"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2025 submission</w:t>
            </w:r>
          </w:p>
        </w:tc>
        <w:tc>
          <w:tcPr>
            <w:tcW w:w="996" w:type="dxa"/>
            <w:shd w:val="clear" w:color="auto" w:fill="1B556B"/>
            <w:tcMar>
              <w:top w:w="0" w:type="dxa"/>
              <w:left w:w="85" w:type="dxa"/>
              <w:bottom w:w="0" w:type="dxa"/>
              <w:right w:w="85" w:type="dxa"/>
            </w:tcMar>
            <w:vAlign w:val="center"/>
          </w:tcPr>
          <w:p w14:paraId="2D9838FE"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 xml:space="preserve">Change (%) </w:t>
            </w:r>
          </w:p>
        </w:tc>
      </w:tr>
      <w:tr w:rsidR="00447423" w:rsidRPr="002A3CBE" w14:paraId="50824C4B" w14:textId="77777777" w:rsidTr="00F16E23">
        <w:tc>
          <w:tcPr>
            <w:tcW w:w="2268" w:type="dxa"/>
            <w:shd w:val="clear" w:color="auto" w:fill="FFFFFF"/>
            <w:tcMar>
              <w:top w:w="0" w:type="dxa"/>
              <w:left w:w="85" w:type="dxa"/>
              <w:bottom w:w="0" w:type="dxa"/>
              <w:right w:w="85" w:type="dxa"/>
            </w:tcMar>
            <w:vAlign w:val="center"/>
          </w:tcPr>
          <w:p w14:paraId="004DAE0A" w14:textId="77777777" w:rsidR="00447423" w:rsidRPr="002A3CBE" w:rsidRDefault="00447423" w:rsidP="00F16E23">
            <w:pPr>
              <w:pStyle w:val="Tableboldblue"/>
              <w:spacing w:before="40" w:after="40"/>
              <w:rPr>
                <w:rFonts w:eastAsia="Calibri"/>
              </w:rPr>
            </w:pPr>
            <w:r w:rsidRPr="002A3CBE">
              <w:rPr>
                <w:rFonts w:eastAsia="Calibri"/>
              </w:rPr>
              <w:t>Net emissions (kt CO</w:t>
            </w:r>
            <w:r w:rsidRPr="002A3CBE">
              <w:rPr>
                <w:rFonts w:eastAsia="Calibri"/>
                <w:vertAlign w:val="subscript"/>
              </w:rPr>
              <w:t>2</w:t>
            </w:r>
            <w:r w:rsidRPr="002A3CBE">
              <w:rPr>
                <w:rFonts w:eastAsia="Calibri"/>
              </w:rPr>
              <w:t>e)</w:t>
            </w:r>
          </w:p>
        </w:tc>
        <w:tc>
          <w:tcPr>
            <w:tcW w:w="1559" w:type="dxa"/>
            <w:shd w:val="clear" w:color="auto" w:fill="FFFFFF"/>
            <w:tcMar>
              <w:top w:w="0" w:type="dxa"/>
              <w:left w:w="85" w:type="dxa"/>
              <w:bottom w:w="0" w:type="dxa"/>
              <w:right w:w="85" w:type="dxa"/>
            </w:tcMar>
            <w:vAlign w:val="center"/>
          </w:tcPr>
          <w:p w14:paraId="3F1A6EF4" w14:textId="77777777" w:rsidR="00447423" w:rsidRPr="002A3CBE" w:rsidRDefault="00447423" w:rsidP="00F16E23">
            <w:pPr>
              <w:pStyle w:val="Tableboldblue"/>
              <w:spacing w:before="40" w:after="40"/>
              <w:jc w:val="right"/>
              <w:rPr>
                <w:rFonts w:eastAsia="Calibri"/>
              </w:rPr>
            </w:pPr>
          </w:p>
        </w:tc>
        <w:tc>
          <w:tcPr>
            <w:tcW w:w="1413" w:type="dxa"/>
            <w:shd w:val="clear" w:color="auto" w:fill="FFFFFF"/>
            <w:tcMar>
              <w:top w:w="0" w:type="dxa"/>
              <w:left w:w="85" w:type="dxa"/>
              <w:bottom w:w="0" w:type="dxa"/>
              <w:right w:w="85" w:type="dxa"/>
            </w:tcMar>
            <w:vAlign w:val="center"/>
          </w:tcPr>
          <w:p w14:paraId="741F5EC1" w14:textId="77777777" w:rsidR="00447423" w:rsidRPr="002A3CBE" w:rsidRDefault="00447423" w:rsidP="00F16E23">
            <w:pPr>
              <w:pStyle w:val="Tableboldblue"/>
              <w:spacing w:before="40" w:after="40"/>
              <w:jc w:val="right"/>
              <w:rPr>
                <w:rFonts w:eastAsia="Calibri"/>
              </w:rPr>
            </w:pPr>
          </w:p>
        </w:tc>
        <w:tc>
          <w:tcPr>
            <w:tcW w:w="2268" w:type="dxa"/>
            <w:shd w:val="clear" w:color="auto" w:fill="FFFFFF"/>
            <w:tcMar>
              <w:top w:w="0" w:type="dxa"/>
              <w:left w:w="85" w:type="dxa"/>
              <w:bottom w:w="0" w:type="dxa"/>
              <w:right w:w="85" w:type="dxa"/>
            </w:tcMar>
            <w:vAlign w:val="center"/>
          </w:tcPr>
          <w:p w14:paraId="728311B7" w14:textId="77777777" w:rsidR="00447423" w:rsidRPr="002A3CBE" w:rsidRDefault="00447423" w:rsidP="00F16E23">
            <w:pPr>
              <w:pStyle w:val="Tableboldblue"/>
              <w:spacing w:before="40" w:after="40"/>
              <w:jc w:val="right"/>
              <w:rPr>
                <w:rFonts w:eastAsia="Calibri"/>
              </w:rPr>
            </w:pPr>
          </w:p>
        </w:tc>
        <w:tc>
          <w:tcPr>
            <w:tcW w:w="996" w:type="dxa"/>
            <w:shd w:val="clear" w:color="auto" w:fill="FFFFFF"/>
            <w:tcMar>
              <w:top w:w="0" w:type="dxa"/>
              <w:left w:w="85" w:type="dxa"/>
              <w:bottom w:w="0" w:type="dxa"/>
              <w:right w:w="85" w:type="dxa"/>
            </w:tcMar>
            <w:vAlign w:val="center"/>
          </w:tcPr>
          <w:p w14:paraId="294B8035" w14:textId="77777777" w:rsidR="00447423" w:rsidRPr="002A3CBE" w:rsidRDefault="00447423" w:rsidP="00F16E23">
            <w:pPr>
              <w:pStyle w:val="Tableboldblue"/>
              <w:spacing w:before="40" w:after="40"/>
              <w:jc w:val="right"/>
              <w:rPr>
                <w:rFonts w:eastAsia="Calibri"/>
              </w:rPr>
            </w:pPr>
          </w:p>
        </w:tc>
      </w:tr>
      <w:tr w:rsidR="00447423" w:rsidRPr="002A3CBE" w14:paraId="3A56BFEF" w14:textId="77777777" w:rsidTr="00F16E23">
        <w:tc>
          <w:tcPr>
            <w:tcW w:w="2268" w:type="dxa"/>
            <w:shd w:val="clear" w:color="auto" w:fill="FFFFFF"/>
            <w:tcMar>
              <w:top w:w="0" w:type="dxa"/>
              <w:left w:w="85" w:type="dxa"/>
              <w:bottom w:w="0" w:type="dxa"/>
              <w:right w:w="85" w:type="dxa"/>
            </w:tcMar>
            <w:vAlign w:val="center"/>
          </w:tcPr>
          <w:p w14:paraId="31B5A753" w14:textId="77777777" w:rsidR="00447423" w:rsidRPr="002A3CBE" w:rsidRDefault="00447423" w:rsidP="00F16E23">
            <w:pPr>
              <w:pStyle w:val="TableText"/>
              <w:spacing w:before="40" w:after="40"/>
              <w:rPr>
                <w:rFonts w:eastAsia="Calibri"/>
              </w:rPr>
            </w:pPr>
            <w:r w:rsidRPr="002A3CBE">
              <w:rPr>
                <w:rFonts w:eastAsia="Calibri"/>
              </w:rPr>
              <w:t>1990</w:t>
            </w:r>
          </w:p>
        </w:tc>
        <w:tc>
          <w:tcPr>
            <w:tcW w:w="1559" w:type="dxa"/>
            <w:shd w:val="clear" w:color="auto" w:fill="FFFFFF"/>
            <w:tcMar>
              <w:top w:w="0" w:type="dxa"/>
              <w:left w:w="85" w:type="dxa"/>
              <w:bottom w:w="0" w:type="dxa"/>
              <w:right w:w="85" w:type="dxa"/>
            </w:tcMar>
            <w:vAlign w:val="center"/>
          </w:tcPr>
          <w:p w14:paraId="20E0D8F8" w14:textId="77777777" w:rsidR="00447423" w:rsidRPr="002A3CBE" w:rsidRDefault="00447423" w:rsidP="00F16E23">
            <w:pPr>
              <w:pStyle w:val="TableText"/>
              <w:spacing w:before="40" w:after="40"/>
              <w:jc w:val="right"/>
              <w:rPr>
                <w:rFonts w:eastAsia="Calibri"/>
              </w:rPr>
            </w:pPr>
            <w:r w:rsidRPr="002A3CBE">
              <w:rPr>
                <w:rFonts w:eastAsia="Calibri"/>
              </w:rPr>
              <w:t>-23,279.5</w:t>
            </w:r>
          </w:p>
        </w:tc>
        <w:tc>
          <w:tcPr>
            <w:tcW w:w="1413" w:type="dxa"/>
            <w:shd w:val="clear" w:color="auto" w:fill="FFFFFF"/>
            <w:tcMar>
              <w:top w:w="0" w:type="dxa"/>
              <w:left w:w="85" w:type="dxa"/>
              <w:bottom w:w="0" w:type="dxa"/>
              <w:right w:w="85" w:type="dxa"/>
            </w:tcMar>
            <w:vAlign w:val="center"/>
          </w:tcPr>
          <w:p w14:paraId="6CF07650" w14:textId="77777777" w:rsidR="00447423" w:rsidRPr="002A3CBE" w:rsidRDefault="00447423" w:rsidP="00F16E23">
            <w:pPr>
              <w:pStyle w:val="TableText"/>
              <w:spacing w:before="40" w:after="40"/>
              <w:jc w:val="right"/>
              <w:rPr>
                <w:rFonts w:eastAsia="Calibri"/>
              </w:rPr>
            </w:pPr>
            <w:r w:rsidRPr="002A3CBE">
              <w:rPr>
                <w:rFonts w:eastAsia="Calibri"/>
              </w:rPr>
              <w:t>-23,400.1</w:t>
            </w:r>
          </w:p>
        </w:tc>
        <w:tc>
          <w:tcPr>
            <w:tcW w:w="2268" w:type="dxa"/>
            <w:shd w:val="clear" w:color="auto" w:fill="FFFFFF"/>
            <w:tcMar>
              <w:top w:w="0" w:type="dxa"/>
              <w:left w:w="85" w:type="dxa"/>
              <w:bottom w:w="0" w:type="dxa"/>
              <w:right w:w="85" w:type="dxa"/>
            </w:tcMar>
            <w:vAlign w:val="center"/>
          </w:tcPr>
          <w:p w14:paraId="5FF7BB32" w14:textId="77777777" w:rsidR="00447423" w:rsidRPr="002A3CBE" w:rsidRDefault="00447423" w:rsidP="00F16E23">
            <w:pPr>
              <w:pStyle w:val="TableText"/>
              <w:spacing w:before="40" w:after="40"/>
              <w:jc w:val="right"/>
              <w:rPr>
                <w:rFonts w:eastAsia="Calibri"/>
              </w:rPr>
            </w:pPr>
            <w:r w:rsidRPr="002A3CBE">
              <w:rPr>
                <w:rFonts w:eastAsia="Calibri"/>
              </w:rPr>
              <w:t>-120.6</w:t>
            </w:r>
          </w:p>
        </w:tc>
        <w:tc>
          <w:tcPr>
            <w:tcW w:w="996" w:type="dxa"/>
            <w:shd w:val="clear" w:color="auto" w:fill="FFFFFF"/>
            <w:tcMar>
              <w:top w:w="0" w:type="dxa"/>
              <w:left w:w="85" w:type="dxa"/>
              <w:bottom w:w="0" w:type="dxa"/>
              <w:right w:w="85" w:type="dxa"/>
            </w:tcMar>
            <w:vAlign w:val="center"/>
          </w:tcPr>
          <w:p w14:paraId="3DD548CD" w14:textId="77777777" w:rsidR="00447423" w:rsidRPr="002A3CBE" w:rsidRDefault="00447423" w:rsidP="00F16E23">
            <w:pPr>
              <w:pStyle w:val="TableText"/>
              <w:spacing w:before="40" w:after="40"/>
              <w:jc w:val="right"/>
              <w:rPr>
                <w:rFonts w:eastAsia="Calibri"/>
              </w:rPr>
            </w:pPr>
            <w:r w:rsidRPr="002A3CBE">
              <w:rPr>
                <w:rFonts w:eastAsia="Calibri"/>
              </w:rPr>
              <w:t>-0.5</w:t>
            </w:r>
          </w:p>
        </w:tc>
      </w:tr>
      <w:tr w:rsidR="00447423" w:rsidRPr="002A3CBE" w14:paraId="70509CA2" w14:textId="77777777" w:rsidTr="00F16E23">
        <w:tc>
          <w:tcPr>
            <w:tcW w:w="2268" w:type="dxa"/>
            <w:shd w:val="clear" w:color="auto" w:fill="FFFFFF"/>
            <w:tcMar>
              <w:top w:w="0" w:type="dxa"/>
              <w:left w:w="85" w:type="dxa"/>
              <w:bottom w:w="0" w:type="dxa"/>
              <w:right w:w="85" w:type="dxa"/>
            </w:tcMar>
            <w:vAlign w:val="center"/>
          </w:tcPr>
          <w:p w14:paraId="2D0DF709" w14:textId="77777777" w:rsidR="00447423" w:rsidRPr="002A3CBE" w:rsidRDefault="00447423" w:rsidP="00F16E23">
            <w:pPr>
              <w:pStyle w:val="TableText"/>
              <w:spacing w:before="40" w:after="40"/>
              <w:rPr>
                <w:rFonts w:eastAsia="Calibri"/>
              </w:rPr>
            </w:pPr>
            <w:r w:rsidRPr="002A3CBE">
              <w:rPr>
                <w:rFonts w:eastAsia="Calibri"/>
              </w:rPr>
              <w:t>2023</w:t>
            </w:r>
          </w:p>
        </w:tc>
        <w:tc>
          <w:tcPr>
            <w:tcW w:w="1559" w:type="dxa"/>
            <w:shd w:val="clear" w:color="auto" w:fill="FFFFFF"/>
            <w:tcMar>
              <w:top w:w="0" w:type="dxa"/>
              <w:left w:w="85" w:type="dxa"/>
              <w:bottom w:w="0" w:type="dxa"/>
              <w:right w:w="85" w:type="dxa"/>
            </w:tcMar>
            <w:vAlign w:val="center"/>
          </w:tcPr>
          <w:p w14:paraId="0BCAEB7D" w14:textId="77777777" w:rsidR="00447423" w:rsidRPr="002A3CBE" w:rsidRDefault="00447423" w:rsidP="00F16E23">
            <w:pPr>
              <w:pStyle w:val="TableText"/>
              <w:spacing w:before="40" w:after="40"/>
              <w:jc w:val="right"/>
              <w:rPr>
                <w:rFonts w:eastAsia="Calibri"/>
              </w:rPr>
            </w:pPr>
            <w:r w:rsidRPr="002A3CBE">
              <w:rPr>
                <w:rFonts w:eastAsia="Calibri"/>
              </w:rPr>
              <w:t>-18,235.7</w:t>
            </w:r>
          </w:p>
        </w:tc>
        <w:tc>
          <w:tcPr>
            <w:tcW w:w="1413" w:type="dxa"/>
            <w:shd w:val="clear" w:color="auto" w:fill="FFFFFF"/>
            <w:tcMar>
              <w:top w:w="0" w:type="dxa"/>
              <w:left w:w="85" w:type="dxa"/>
              <w:bottom w:w="0" w:type="dxa"/>
              <w:right w:w="85" w:type="dxa"/>
            </w:tcMar>
            <w:vAlign w:val="center"/>
          </w:tcPr>
          <w:p w14:paraId="02B8DE60" w14:textId="77777777" w:rsidR="00447423" w:rsidRPr="002A3CBE" w:rsidRDefault="00447423" w:rsidP="00F16E23">
            <w:pPr>
              <w:pStyle w:val="TableText"/>
              <w:spacing w:before="40" w:after="40"/>
              <w:jc w:val="right"/>
              <w:rPr>
                <w:rFonts w:eastAsia="Calibri"/>
              </w:rPr>
            </w:pPr>
            <w:r w:rsidRPr="002A3CBE">
              <w:rPr>
                <w:rFonts w:eastAsia="Calibri"/>
              </w:rPr>
              <w:t>-17,910.3</w:t>
            </w:r>
          </w:p>
        </w:tc>
        <w:tc>
          <w:tcPr>
            <w:tcW w:w="2268" w:type="dxa"/>
            <w:shd w:val="clear" w:color="auto" w:fill="FFFFFF"/>
            <w:tcMar>
              <w:top w:w="0" w:type="dxa"/>
              <w:left w:w="85" w:type="dxa"/>
              <w:bottom w:w="0" w:type="dxa"/>
              <w:right w:w="85" w:type="dxa"/>
            </w:tcMar>
            <w:vAlign w:val="center"/>
          </w:tcPr>
          <w:p w14:paraId="0937B2B0" w14:textId="77777777" w:rsidR="00447423" w:rsidRPr="002A3CBE" w:rsidRDefault="00447423" w:rsidP="00F16E23">
            <w:pPr>
              <w:pStyle w:val="TableText"/>
              <w:spacing w:before="40" w:after="40"/>
              <w:jc w:val="right"/>
              <w:rPr>
                <w:rFonts w:eastAsia="Calibri"/>
              </w:rPr>
            </w:pPr>
            <w:r w:rsidRPr="002A3CBE">
              <w:rPr>
                <w:rFonts w:eastAsia="Calibri"/>
              </w:rPr>
              <w:t>325.4</w:t>
            </w:r>
          </w:p>
        </w:tc>
        <w:tc>
          <w:tcPr>
            <w:tcW w:w="996" w:type="dxa"/>
            <w:shd w:val="clear" w:color="auto" w:fill="FFFFFF"/>
            <w:tcMar>
              <w:top w:w="0" w:type="dxa"/>
              <w:left w:w="85" w:type="dxa"/>
              <w:bottom w:w="0" w:type="dxa"/>
              <w:right w:w="85" w:type="dxa"/>
            </w:tcMar>
            <w:vAlign w:val="center"/>
          </w:tcPr>
          <w:p w14:paraId="38CECB0E" w14:textId="77777777" w:rsidR="00447423" w:rsidRPr="002A3CBE" w:rsidRDefault="00447423" w:rsidP="00F16E23">
            <w:pPr>
              <w:pStyle w:val="TableText"/>
              <w:spacing w:before="40" w:after="40"/>
              <w:jc w:val="right"/>
              <w:rPr>
                <w:rFonts w:eastAsia="Calibri"/>
              </w:rPr>
            </w:pPr>
            <w:r w:rsidRPr="002A3CBE">
              <w:rPr>
                <w:rFonts w:eastAsia="Calibri"/>
              </w:rPr>
              <w:t>1.8</w:t>
            </w:r>
          </w:p>
        </w:tc>
      </w:tr>
      <w:tr w:rsidR="00447423" w:rsidRPr="002A3CBE" w14:paraId="38198A27" w14:textId="77777777" w:rsidTr="00F16E23">
        <w:tc>
          <w:tcPr>
            <w:tcW w:w="2268" w:type="dxa"/>
            <w:shd w:val="clear" w:color="auto" w:fill="FFFFFF"/>
            <w:tcMar>
              <w:top w:w="0" w:type="dxa"/>
              <w:left w:w="85" w:type="dxa"/>
              <w:bottom w:w="0" w:type="dxa"/>
              <w:right w:w="85" w:type="dxa"/>
            </w:tcMar>
            <w:vAlign w:val="center"/>
          </w:tcPr>
          <w:p w14:paraId="5F95EB7C" w14:textId="77777777" w:rsidR="00447423" w:rsidRPr="002A3CBE" w:rsidRDefault="00447423" w:rsidP="00F16E23">
            <w:pPr>
              <w:pStyle w:val="Tableboldblue"/>
              <w:spacing w:before="40" w:after="40"/>
              <w:rPr>
                <w:rFonts w:eastAsia="Calibri"/>
              </w:rPr>
            </w:pPr>
            <w:r w:rsidRPr="002A3CBE">
              <w:rPr>
                <w:rFonts w:eastAsia="Calibri"/>
              </w:rPr>
              <w:t>Area (hectares)</w:t>
            </w:r>
          </w:p>
        </w:tc>
        <w:tc>
          <w:tcPr>
            <w:tcW w:w="1559" w:type="dxa"/>
            <w:shd w:val="clear" w:color="auto" w:fill="FFFFFF"/>
            <w:tcMar>
              <w:top w:w="0" w:type="dxa"/>
              <w:left w:w="85" w:type="dxa"/>
              <w:bottom w:w="0" w:type="dxa"/>
              <w:right w:w="85" w:type="dxa"/>
            </w:tcMar>
            <w:vAlign w:val="center"/>
          </w:tcPr>
          <w:p w14:paraId="1577DEF9" w14:textId="77777777" w:rsidR="00447423" w:rsidRPr="002A3CBE" w:rsidRDefault="00447423" w:rsidP="00F16E23">
            <w:pPr>
              <w:pStyle w:val="Tableboldblue"/>
              <w:spacing w:before="40" w:after="40"/>
              <w:jc w:val="right"/>
              <w:rPr>
                <w:rFonts w:eastAsia="Calibri"/>
              </w:rPr>
            </w:pPr>
          </w:p>
        </w:tc>
        <w:tc>
          <w:tcPr>
            <w:tcW w:w="1413" w:type="dxa"/>
            <w:shd w:val="clear" w:color="auto" w:fill="FFFFFF"/>
            <w:tcMar>
              <w:top w:w="0" w:type="dxa"/>
              <w:left w:w="85" w:type="dxa"/>
              <w:bottom w:w="0" w:type="dxa"/>
              <w:right w:w="85" w:type="dxa"/>
            </w:tcMar>
            <w:vAlign w:val="center"/>
          </w:tcPr>
          <w:p w14:paraId="32B1B1A7" w14:textId="77777777" w:rsidR="00447423" w:rsidRPr="002A3CBE" w:rsidRDefault="00447423" w:rsidP="00F16E23">
            <w:pPr>
              <w:pStyle w:val="Tableboldblue"/>
              <w:spacing w:before="40" w:after="40"/>
              <w:jc w:val="right"/>
              <w:rPr>
                <w:rFonts w:eastAsia="Calibri"/>
              </w:rPr>
            </w:pPr>
          </w:p>
        </w:tc>
        <w:tc>
          <w:tcPr>
            <w:tcW w:w="2268" w:type="dxa"/>
            <w:shd w:val="clear" w:color="auto" w:fill="FFFFFF"/>
            <w:tcMar>
              <w:top w:w="0" w:type="dxa"/>
              <w:left w:w="85" w:type="dxa"/>
              <w:bottom w:w="0" w:type="dxa"/>
              <w:right w:w="85" w:type="dxa"/>
            </w:tcMar>
            <w:vAlign w:val="center"/>
          </w:tcPr>
          <w:p w14:paraId="65F91A2C" w14:textId="77777777" w:rsidR="00447423" w:rsidRPr="002A3CBE" w:rsidRDefault="00447423" w:rsidP="00F16E23">
            <w:pPr>
              <w:pStyle w:val="Tableboldblue"/>
              <w:spacing w:before="40" w:after="40"/>
              <w:jc w:val="right"/>
              <w:rPr>
                <w:rFonts w:eastAsia="Calibri"/>
              </w:rPr>
            </w:pPr>
          </w:p>
        </w:tc>
        <w:tc>
          <w:tcPr>
            <w:tcW w:w="996" w:type="dxa"/>
            <w:shd w:val="clear" w:color="auto" w:fill="FFFFFF"/>
            <w:tcMar>
              <w:top w:w="0" w:type="dxa"/>
              <w:left w:w="85" w:type="dxa"/>
              <w:bottom w:w="0" w:type="dxa"/>
              <w:right w:w="85" w:type="dxa"/>
            </w:tcMar>
            <w:vAlign w:val="center"/>
          </w:tcPr>
          <w:p w14:paraId="206E0744" w14:textId="77777777" w:rsidR="00447423" w:rsidRPr="002A3CBE" w:rsidRDefault="00447423" w:rsidP="00F16E23">
            <w:pPr>
              <w:pStyle w:val="Tableboldblue"/>
              <w:spacing w:before="40" w:after="40"/>
              <w:jc w:val="right"/>
              <w:rPr>
                <w:rFonts w:eastAsia="Calibri"/>
              </w:rPr>
            </w:pPr>
          </w:p>
        </w:tc>
      </w:tr>
      <w:tr w:rsidR="00447423" w:rsidRPr="002A3CBE" w14:paraId="50B87B57" w14:textId="77777777" w:rsidTr="00F16E23">
        <w:tc>
          <w:tcPr>
            <w:tcW w:w="2268" w:type="dxa"/>
            <w:shd w:val="clear" w:color="auto" w:fill="FFFFFF"/>
            <w:tcMar>
              <w:top w:w="0" w:type="dxa"/>
              <w:left w:w="85" w:type="dxa"/>
              <w:bottom w:w="0" w:type="dxa"/>
              <w:right w:w="85" w:type="dxa"/>
            </w:tcMar>
            <w:vAlign w:val="center"/>
          </w:tcPr>
          <w:p w14:paraId="46D5DAD3" w14:textId="77777777" w:rsidR="00447423" w:rsidRPr="002A3CBE" w:rsidRDefault="00447423" w:rsidP="00F16E23">
            <w:pPr>
              <w:pStyle w:val="TableText"/>
              <w:spacing w:before="40" w:after="40"/>
              <w:rPr>
                <w:rFonts w:eastAsia="Calibri"/>
              </w:rPr>
            </w:pPr>
            <w:r w:rsidRPr="002A3CBE">
              <w:rPr>
                <w:rFonts w:eastAsia="Calibri"/>
              </w:rPr>
              <w:t>1990</w:t>
            </w:r>
          </w:p>
        </w:tc>
        <w:tc>
          <w:tcPr>
            <w:tcW w:w="1559" w:type="dxa"/>
            <w:shd w:val="clear" w:color="auto" w:fill="FFFFFF"/>
            <w:tcMar>
              <w:top w:w="0" w:type="dxa"/>
              <w:left w:w="85" w:type="dxa"/>
              <w:bottom w:w="0" w:type="dxa"/>
              <w:right w:w="85" w:type="dxa"/>
            </w:tcMar>
            <w:vAlign w:val="center"/>
          </w:tcPr>
          <w:p w14:paraId="1538B6A2" w14:textId="77777777" w:rsidR="00447423" w:rsidRPr="002A3CBE" w:rsidRDefault="00447423" w:rsidP="00F16E23">
            <w:pPr>
              <w:pStyle w:val="TableText"/>
              <w:spacing w:before="40" w:after="40"/>
              <w:jc w:val="right"/>
              <w:rPr>
                <w:rFonts w:eastAsia="Calibri"/>
              </w:rPr>
            </w:pPr>
            <w:r w:rsidRPr="002A3CBE">
              <w:rPr>
                <w:rFonts w:eastAsia="Calibri"/>
              </w:rPr>
              <w:t>9,372,869</w:t>
            </w:r>
          </w:p>
        </w:tc>
        <w:tc>
          <w:tcPr>
            <w:tcW w:w="1413" w:type="dxa"/>
            <w:shd w:val="clear" w:color="auto" w:fill="FFFFFF"/>
            <w:tcMar>
              <w:top w:w="0" w:type="dxa"/>
              <w:left w:w="85" w:type="dxa"/>
              <w:bottom w:w="0" w:type="dxa"/>
              <w:right w:w="85" w:type="dxa"/>
            </w:tcMar>
            <w:vAlign w:val="center"/>
          </w:tcPr>
          <w:p w14:paraId="3BC3207F" w14:textId="77777777" w:rsidR="00447423" w:rsidRPr="002A3CBE" w:rsidRDefault="00447423" w:rsidP="00F16E23">
            <w:pPr>
              <w:pStyle w:val="TableText"/>
              <w:spacing w:before="40" w:after="40"/>
              <w:jc w:val="right"/>
              <w:rPr>
                <w:rFonts w:eastAsia="Calibri"/>
              </w:rPr>
            </w:pPr>
            <w:r w:rsidRPr="002A3CBE">
              <w:rPr>
                <w:rFonts w:eastAsia="Calibri"/>
              </w:rPr>
              <w:t>9,372,881</w:t>
            </w:r>
          </w:p>
        </w:tc>
        <w:tc>
          <w:tcPr>
            <w:tcW w:w="2268" w:type="dxa"/>
            <w:shd w:val="clear" w:color="auto" w:fill="FFFFFF"/>
            <w:tcMar>
              <w:top w:w="0" w:type="dxa"/>
              <w:left w:w="85" w:type="dxa"/>
              <w:bottom w:w="0" w:type="dxa"/>
              <w:right w:w="85" w:type="dxa"/>
            </w:tcMar>
            <w:vAlign w:val="center"/>
          </w:tcPr>
          <w:p w14:paraId="47C27217" w14:textId="77777777" w:rsidR="00447423" w:rsidRPr="002A3CBE" w:rsidRDefault="00447423" w:rsidP="00F16E23">
            <w:pPr>
              <w:pStyle w:val="TableText"/>
              <w:spacing w:before="40" w:after="40"/>
              <w:jc w:val="right"/>
              <w:rPr>
                <w:rFonts w:eastAsia="Calibri"/>
              </w:rPr>
            </w:pPr>
            <w:r w:rsidRPr="002A3CBE">
              <w:rPr>
                <w:rFonts w:eastAsia="Calibri"/>
              </w:rPr>
              <w:t>12</w:t>
            </w:r>
          </w:p>
        </w:tc>
        <w:tc>
          <w:tcPr>
            <w:tcW w:w="996" w:type="dxa"/>
            <w:shd w:val="clear" w:color="auto" w:fill="FFFFFF"/>
            <w:tcMar>
              <w:top w:w="0" w:type="dxa"/>
              <w:left w:w="85" w:type="dxa"/>
              <w:bottom w:w="0" w:type="dxa"/>
              <w:right w:w="85" w:type="dxa"/>
            </w:tcMar>
            <w:vAlign w:val="center"/>
          </w:tcPr>
          <w:p w14:paraId="099FC0EA" w14:textId="77777777" w:rsidR="00447423" w:rsidRPr="002A3CBE" w:rsidRDefault="00447423" w:rsidP="00F16E23">
            <w:pPr>
              <w:pStyle w:val="TableText"/>
              <w:spacing w:before="40" w:after="40"/>
              <w:jc w:val="right"/>
              <w:rPr>
                <w:rFonts w:eastAsia="Calibri"/>
              </w:rPr>
            </w:pPr>
            <w:r w:rsidRPr="002A3CBE">
              <w:rPr>
                <w:rFonts w:eastAsia="Calibri"/>
              </w:rPr>
              <w:t>0.0</w:t>
            </w:r>
          </w:p>
        </w:tc>
      </w:tr>
      <w:tr w:rsidR="00447423" w:rsidRPr="002A3CBE" w14:paraId="76053102" w14:textId="77777777" w:rsidTr="00F16E23">
        <w:tc>
          <w:tcPr>
            <w:tcW w:w="2268" w:type="dxa"/>
            <w:shd w:val="clear" w:color="auto" w:fill="FFFFFF"/>
            <w:tcMar>
              <w:top w:w="0" w:type="dxa"/>
              <w:left w:w="85" w:type="dxa"/>
              <w:bottom w:w="0" w:type="dxa"/>
              <w:right w:w="85" w:type="dxa"/>
            </w:tcMar>
            <w:vAlign w:val="center"/>
          </w:tcPr>
          <w:p w14:paraId="5060AA7F" w14:textId="77777777" w:rsidR="00447423" w:rsidRPr="002A3CBE" w:rsidRDefault="00447423" w:rsidP="00F16E23">
            <w:pPr>
              <w:pStyle w:val="TableText"/>
              <w:spacing w:before="40" w:after="40"/>
              <w:rPr>
                <w:rFonts w:eastAsia="Calibri"/>
              </w:rPr>
            </w:pPr>
            <w:r w:rsidRPr="002A3CBE">
              <w:rPr>
                <w:rFonts w:eastAsia="Calibri"/>
              </w:rPr>
              <w:t>2023</w:t>
            </w:r>
          </w:p>
        </w:tc>
        <w:tc>
          <w:tcPr>
            <w:tcW w:w="1559" w:type="dxa"/>
            <w:shd w:val="clear" w:color="auto" w:fill="FFFFFF"/>
            <w:tcMar>
              <w:top w:w="0" w:type="dxa"/>
              <w:left w:w="85" w:type="dxa"/>
              <w:bottom w:w="0" w:type="dxa"/>
              <w:right w:w="85" w:type="dxa"/>
            </w:tcMar>
            <w:vAlign w:val="center"/>
          </w:tcPr>
          <w:p w14:paraId="2779A793" w14:textId="77777777" w:rsidR="00447423" w:rsidRPr="002A3CBE" w:rsidRDefault="00447423" w:rsidP="00F16E23">
            <w:pPr>
              <w:pStyle w:val="TableText"/>
              <w:spacing w:before="40" w:after="40"/>
              <w:jc w:val="right"/>
              <w:rPr>
                <w:rFonts w:eastAsia="Calibri"/>
              </w:rPr>
            </w:pPr>
            <w:r w:rsidRPr="002A3CBE">
              <w:rPr>
                <w:rFonts w:eastAsia="Calibri"/>
              </w:rPr>
              <w:t>10,172,865</w:t>
            </w:r>
          </w:p>
        </w:tc>
        <w:tc>
          <w:tcPr>
            <w:tcW w:w="1413" w:type="dxa"/>
            <w:shd w:val="clear" w:color="auto" w:fill="FFFFFF"/>
            <w:tcMar>
              <w:top w:w="0" w:type="dxa"/>
              <w:left w:w="85" w:type="dxa"/>
              <w:bottom w:w="0" w:type="dxa"/>
              <w:right w:w="85" w:type="dxa"/>
            </w:tcMar>
            <w:vAlign w:val="center"/>
          </w:tcPr>
          <w:p w14:paraId="011E794A" w14:textId="77777777" w:rsidR="00447423" w:rsidRPr="002A3CBE" w:rsidRDefault="00447423" w:rsidP="00F16E23">
            <w:pPr>
              <w:pStyle w:val="TableText"/>
              <w:spacing w:before="40" w:after="40"/>
              <w:jc w:val="right"/>
              <w:rPr>
                <w:rFonts w:eastAsia="Calibri"/>
              </w:rPr>
            </w:pPr>
            <w:r w:rsidRPr="002A3CBE">
              <w:rPr>
                <w:rFonts w:eastAsia="Calibri"/>
              </w:rPr>
              <w:t>10,184,388</w:t>
            </w:r>
          </w:p>
        </w:tc>
        <w:tc>
          <w:tcPr>
            <w:tcW w:w="2268" w:type="dxa"/>
            <w:shd w:val="clear" w:color="auto" w:fill="FFFFFF"/>
            <w:tcMar>
              <w:top w:w="0" w:type="dxa"/>
              <w:left w:w="85" w:type="dxa"/>
              <w:bottom w:w="0" w:type="dxa"/>
              <w:right w:w="85" w:type="dxa"/>
            </w:tcMar>
            <w:vAlign w:val="center"/>
          </w:tcPr>
          <w:p w14:paraId="091FB8EB" w14:textId="77777777" w:rsidR="00447423" w:rsidRPr="002A3CBE" w:rsidRDefault="00447423" w:rsidP="00F16E23">
            <w:pPr>
              <w:pStyle w:val="TableText"/>
              <w:spacing w:before="40" w:after="40"/>
              <w:jc w:val="right"/>
              <w:rPr>
                <w:rFonts w:eastAsia="Calibri"/>
              </w:rPr>
            </w:pPr>
            <w:r w:rsidRPr="002A3CBE">
              <w:rPr>
                <w:rFonts w:eastAsia="Calibri"/>
              </w:rPr>
              <w:t>11,523</w:t>
            </w:r>
          </w:p>
        </w:tc>
        <w:tc>
          <w:tcPr>
            <w:tcW w:w="996" w:type="dxa"/>
            <w:shd w:val="clear" w:color="auto" w:fill="FFFFFF"/>
            <w:tcMar>
              <w:top w:w="0" w:type="dxa"/>
              <w:left w:w="85" w:type="dxa"/>
              <w:bottom w:w="0" w:type="dxa"/>
              <w:right w:w="85" w:type="dxa"/>
            </w:tcMar>
            <w:vAlign w:val="center"/>
          </w:tcPr>
          <w:p w14:paraId="2105C938" w14:textId="77777777" w:rsidR="00447423" w:rsidRPr="002A3CBE" w:rsidRDefault="00447423" w:rsidP="00F16E23">
            <w:pPr>
              <w:pStyle w:val="TableText"/>
              <w:spacing w:before="40" w:after="40"/>
              <w:jc w:val="right"/>
              <w:rPr>
                <w:rFonts w:eastAsia="Calibri"/>
              </w:rPr>
            </w:pPr>
            <w:r w:rsidRPr="002A3CBE">
              <w:rPr>
                <w:rFonts w:eastAsia="Calibri"/>
              </w:rPr>
              <w:t>0.1</w:t>
            </w:r>
          </w:p>
        </w:tc>
      </w:tr>
    </w:tbl>
    <w:p w14:paraId="4036231C" w14:textId="77777777" w:rsidR="00447423" w:rsidRPr="002A3CBE" w:rsidRDefault="00447423" w:rsidP="00447423">
      <w:pPr>
        <w:pStyle w:val="BodyText"/>
        <w:rPr>
          <w:sz w:val="18"/>
          <w:szCs w:val="18"/>
        </w:rPr>
      </w:pPr>
      <w:r w:rsidRPr="002A3CBE">
        <w:rPr>
          <w:b/>
          <w:sz w:val="18"/>
          <w:szCs w:val="18"/>
        </w:rPr>
        <w:t>Note:</w:t>
      </w:r>
      <w:r w:rsidRPr="002A3CBE">
        <w:rPr>
          <w:sz w:val="18"/>
          <w:szCs w:val="18"/>
        </w:rPr>
        <w:tab/>
        <w:t xml:space="preserve">Areas are as at the end of the year indicated. </w:t>
      </w:r>
    </w:p>
    <w:p w14:paraId="77EDB153" w14:textId="77777777" w:rsidR="00447423" w:rsidRPr="002A3CBE" w:rsidRDefault="00447423" w:rsidP="00447423">
      <w:pPr>
        <w:pStyle w:val="BodyText"/>
      </w:pPr>
      <w:r w:rsidRPr="002A3CBE">
        <w:rPr>
          <w:spacing w:val="-2"/>
        </w:rPr>
        <w:t xml:space="preserve">For </w:t>
      </w:r>
      <w:r w:rsidRPr="002A3CBE">
        <w:rPr>
          <w:i/>
          <w:spacing w:val="-2"/>
        </w:rPr>
        <w:t>Forest land</w:t>
      </w:r>
      <w:r w:rsidRPr="002A3CBE">
        <w:rPr>
          <w:spacing w:val="-2"/>
        </w:rPr>
        <w:t>, a number of improvements made to both the planted and natural forest activity</w:t>
      </w:r>
      <w:r w:rsidRPr="002A3CBE">
        <w:t xml:space="preserve"> data led to a recalculation across the time series. These are described in more detail below.</w:t>
      </w:r>
      <w:bookmarkStart w:id="2117" w:name="_Toc255466362"/>
      <w:bookmarkStart w:id="2118" w:name="_Toc261513169"/>
      <w:bookmarkStart w:id="2119" w:name="_Toc261513782"/>
      <w:bookmarkStart w:id="2120" w:name="_Toc280630260"/>
      <w:r w:rsidRPr="002A3CBE">
        <w:t xml:space="preserve"> </w:t>
      </w:r>
    </w:p>
    <w:p w14:paraId="74B8BA48" w14:textId="77777777" w:rsidR="00447423" w:rsidRPr="002A3CBE" w:rsidRDefault="00447423" w:rsidP="00447423">
      <w:pPr>
        <w:pStyle w:val="Heading5"/>
      </w:pPr>
      <w:r w:rsidRPr="002A3CBE">
        <w:t>Activity data</w:t>
      </w:r>
      <w:bookmarkEnd w:id="2117"/>
      <w:bookmarkEnd w:id="2118"/>
      <w:bookmarkEnd w:id="2119"/>
      <w:bookmarkEnd w:id="2120"/>
    </w:p>
    <w:p w14:paraId="6DCF432E" w14:textId="77777777" w:rsidR="00447423" w:rsidRPr="002A3CBE" w:rsidRDefault="00447423" w:rsidP="00447423">
      <w:pPr>
        <w:pStyle w:val="BodyText"/>
        <w:spacing w:before="80" w:after="100"/>
      </w:pPr>
      <w:bookmarkStart w:id="2121" w:name="_Toc255466366"/>
      <w:bookmarkStart w:id="2122" w:name="_Toc261513173"/>
      <w:bookmarkStart w:id="2123" w:name="_Toc261513786"/>
      <w:r w:rsidRPr="002A3CBE">
        <w:rPr>
          <w:spacing w:val="-2"/>
        </w:rPr>
        <w:t>The area estimates of afforestation and deforestation were updated for this</w:t>
      </w:r>
      <w:r w:rsidRPr="002A3CBE">
        <w:t xml:space="preserve"> submission, following updates to forestry scheme data and mapping improvements (see volume 2, annex 5, section A5.2.2). </w:t>
      </w:r>
    </w:p>
    <w:p w14:paraId="4351329F" w14:textId="77777777" w:rsidR="00447423" w:rsidRPr="002A3CBE" w:rsidRDefault="00447423" w:rsidP="00447423">
      <w:pPr>
        <w:pStyle w:val="BodyText"/>
        <w:spacing w:before="100" w:after="100"/>
        <w:rPr>
          <w:rFonts w:cs="Arial"/>
        </w:rPr>
      </w:pPr>
      <w:r w:rsidRPr="002A3CBE">
        <w:rPr>
          <w:rFonts w:cs="Arial"/>
        </w:rPr>
        <w:t>All deforestation is mapped up to 2020 and incorporated into the 2020 land use map.</w:t>
      </w:r>
      <w:r w:rsidRPr="002A3CBE">
        <w:rPr>
          <w:rStyle w:val="BulletChar"/>
          <w:rFonts w:eastAsiaTheme="minorEastAsia" w:cs="Arial"/>
        </w:rPr>
        <w:t xml:space="preserve"> </w:t>
      </w:r>
      <w:r w:rsidRPr="002A3CBE">
        <w:rPr>
          <w:rFonts w:cs="Arial"/>
        </w:rPr>
        <w:t>Minor corrections to deforestation mapping across the time series were made, leading to minor changes in total deforestation area for each year from 2008 to 2020 inclusive. </w:t>
      </w:r>
    </w:p>
    <w:p w14:paraId="1D0FE1CB" w14:textId="77777777" w:rsidR="00447423" w:rsidRPr="002A3CBE" w:rsidRDefault="00447423" w:rsidP="00447423">
      <w:pPr>
        <w:pStyle w:val="BodyText"/>
        <w:spacing w:before="100" w:after="100"/>
      </w:pPr>
      <w:r w:rsidRPr="002A3CBE">
        <w:rPr>
          <w:rFonts w:cs="Arial"/>
        </w:rPr>
        <w:t>For pre-1990 natural forest and post-1989 natural forest, defores</w:t>
      </w:r>
      <w:r w:rsidRPr="002A3CBE">
        <w:t xml:space="preserve">tation has been mapped for 2021 and 2022. Estimates of the area deforested in 2023 and 2024 were calculated as the average deforestation area for the last three mapped years (2020 to 2022), the same method applied in previous submissions. </w:t>
      </w:r>
    </w:p>
    <w:p w14:paraId="0555EF08" w14:textId="77777777" w:rsidR="00447423" w:rsidRPr="002A3CBE" w:rsidRDefault="00447423" w:rsidP="00447423">
      <w:pPr>
        <w:pStyle w:val="BodyText"/>
        <w:spacing w:before="100" w:after="100"/>
      </w:pPr>
      <w:r w:rsidRPr="002A3CBE">
        <w:t>Planted forest deforestation occurring in 2021 and 2022 has been mapped. Deforestation area estimates for 2023 and 2024 were estimated as described in volume 2, annex 5, section A5.2.2. The overall impact on emissions from changes to activity data for 2023 is an increase of approximately 325.4</w:t>
      </w:r>
      <w:r w:rsidRPr="002A3CBE">
        <w:rPr>
          <w:color w:val="333333"/>
        </w:rPr>
        <w:t xml:space="preserve"> kt CO</w:t>
      </w:r>
      <w:r w:rsidRPr="002A3CBE">
        <w:rPr>
          <w:color w:val="333333"/>
          <w:vertAlign w:val="subscript"/>
        </w:rPr>
        <w:t>2</w:t>
      </w:r>
      <w:r w:rsidRPr="002A3CBE">
        <w:rPr>
          <w:color w:val="333333"/>
        </w:rPr>
        <w:t>e</w:t>
      </w:r>
      <w:r w:rsidRPr="002A3CBE">
        <w:t>.</w:t>
      </w:r>
    </w:p>
    <w:p w14:paraId="4CBFC7EB" w14:textId="77777777" w:rsidR="00447423" w:rsidRPr="002A3CBE" w:rsidRDefault="00447423" w:rsidP="00447423">
      <w:pPr>
        <w:pStyle w:val="Heading5"/>
      </w:pPr>
      <w:r w:rsidRPr="002A3CBE">
        <w:t xml:space="preserve">Planted forest – updates to yield tables and emissions calculations. </w:t>
      </w:r>
    </w:p>
    <w:p w14:paraId="74655D2E" w14:textId="77777777" w:rsidR="00447423" w:rsidRPr="002A3CBE" w:rsidRDefault="00447423" w:rsidP="00447423">
      <w:pPr>
        <w:pStyle w:val="BodyText"/>
        <w:spacing w:before="80" w:after="100"/>
      </w:pPr>
      <w:r w:rsidRPr="002A3CBE">
        <w:t>In this submission, there are no recalculations associated with planted forest yield tables. Yield tables for both pre-1990 planted forest and post-1989 planted forest were last updated for the 2023 submission (see volume 2, annex 5, section A.5.2.5 ‘Planted forest yield tables’).</w:t>
      </w:r>
    </w:p>
    <w:p w14:paraId="6FB4B39B" w14:textId="77777777" w:rsidR="00447423" w:rsidRPr="002A3CBE" w:rsidRDefault="00447423" w:rsidP="00447423">
      <w:pPr>
        <w:pStyle w:val="Heading5"/>
      </w:pPr>
      <w:r w:rsidRPr="002A3CBE">
        <w:t xml:space="preserve">Natural forest – </w:t>
      </w:r>
      <w:r w:rsidRPr="002A3CBE" w:rsidDel="009D4E4E">
        <w:t xml:space="preserve">updates to </w:t>
      </w:r>
      <w:r w:rsidRPr="002A3CBE">
        <w:t>yield tables and emissions calculations</w:t>
      </w:r>
    </w:p>
    <w:p w14:paraId="025B31EE" w14:textId="77777777" w:rsidR="00447423" w:rsidRPr="002A3CBE" w:rsidRDefault="00447423" w:rsidP="00447423">
      <w:pPr>
        <w:pStyle w:val="BodyText"/>
        <w:spacing w:before="80" w:after="100"/>
      </w:pPr>
      <w:r w:rsidRPr="002A3CBE">
        <w:t>In this submission, there are no recalculations associated with natural forest yield tables.</w:t>
      </w:r>
      <w:r w:rsidRPr="002A3CBE" w:rsidDel="005B6A7A">
        <w:t xml:space="preserve"> </w:t>
      </w:r>
      <w:r w:rsidRPr="002A3CBE">
        <w:t>Yield tables for both pre-1990 natural forest and post-1989 natural forest were last updated for the</w:t>
      </w:r>
      <w:r w:rsidRPr="002A3CBE" w:rsidDel="005B17E0">
        <w:t xml:space="preserve"> </w:t>
      </w:r>
      <w:r w:rsidRPr="002A3CBE">
        <w:t>2022 submission</w:t>
      </w:r>
      <w:r w:rsidRPr="002A3CBE" w:rsidDel="00761B2B">
        <w:t xml:space="preserve"> </w:t>
      </w:r>
      <w:r w:rsidRPr="002A3CBE">
        <w:t>(see volume 2, annex 5, section A5.2.5 ‘Natural forest carbon stock change estimates and yield tables’).</w:t>
      </w:r>
    </w:p>
    <w:p w14:paraId="7F972B3C" w14:textId="77777777" w:rsidR="00447423" w:rsidRPr="002A3CBE" w:rsidRDefault="00447423" w:rsidP="00447423">
      <w:pPr>
        <w:pStyle w:val="Heading3"/>
        <w:spacing w:before="320"/>
      </w:pPr>
      <w:bookmarkStart w:id="2124" w:name="_Toc255466368"/>
      <w:bookmarkStart w:id="2125" w:name="_Toc261513175"/>
      <w:bookmarkStart w:id="2126" w:name="_Toc261513788"/>
      <w:bookmarkStart w:id="2127" w:name="_Toc280630262"/>
      <w:bookmarkStart w:id="2128" w:name="_Toc373395716"/>
      <w:bookmarkStart w:id="2129" w:name="_Toc139253961"/>
      <w:bookmarkEnd w:id="2121"/>
      <w:bookmarkEnd w:id="2122"/>
      <w:bookmarkEnd w:id="2123"/>
      <w:r w:rsidRPr="002A3CBE">
        <w:t>6.4.6</w:t>
      </w:r>
      <w:r w:rsidRPr="002A3CBE">
        <w:tab/>
        <w:t>Category-specific planned improvements</w:t>
      </w:r>
      <w:bookmarkEnd w:id="2124"/>
      <w:bookmarkEnd w:id="2125"/>
      <w:bookmarkEnd w:id="2126"/>
      <w:bookmarkEnd w:id="2127"/>
      <w:bookmarkEnd w:id="2128"/>
      <w:bookmarkEnd w:id="2129"/>
    </w:p>
    <w:p w14:paraId="65628A58" w14:textId="77777777" w:rsidR="00447423" w:rsidRPr="002A3CBE" w:rsidRDefault="00447423" w:rsidP="00447423">
      <w:pPr>
        <w:pStyle w:val="Heading4"/>
        <w:spacing w:before="180"/>
      </w:pPr>
      <w:r w:rsidRPr="002A3CBE">
        <w:t>Plot networks and yield tables</w:t>
      </w:r>
    </w:p>
    <w:p w14:paraId="106231F5" w14:textId="77777777" w:rsidR="00447423" w:rsidRPr="002A3CBE" w:rsidRDefault="00447423" w:rsidP="00447423">
      <w:pPr>
        <w:pStyle w:val="BodyText"/>
        <w:spacing w:before="80" w:after="100"/>
      </w:pPr>
      <w:r w:rsidRPr="002A3CBE">
        <w:t xml:space="preserve">New Zealand will continue to measure the pre-1990 natural forest plot network on a 10-year cycle and analyse the data collected as they become available. Updated emissions estimates, using updated analytical methods, will be incorporated into future submissions as they become available. </w:t>
      </w:r>
    </w:p>
    <w:p w14:paraId="22232B45" w14:textId="77777777" w:rsidR="00447423" w:rsidRPr="002A3CBE" w:rsidRDefault="00447423" w:rsidP="00447423">
      <w:pPr>
        <w:pStyle w:val="BodyText"/>
        <w:spacing w:before="100" w:after="100"/>
      </w:pPr>
      <w:r w:rsidRPr="002A3CBE">
        <w:rPr>
          <w:spacing w:val="-2"/>
        </w:rPr>
        <w:t>The current post-1989 natural forest plot</w:t>
      </w:r>
      <w:r w:rsidRPr="002A3CBE">
        <w:t> network was re</w:t>
      </w:r>
      <w:r w:rsidRPr="002A3CBE">
        <w:noBreakHyphen/>
        <w:t xml:space="preserve">measured in </w:t>
      </w:r>
      <w:r w:rsidRPr="002A3CBE" w:rsidDel="00451664">
        <w:t>2023</w:t>
      </w:r>
      <w:r w:rsidRPr="002A3CBE">
        <w:t>/24, and the methodological approaches for both re-measurement and analysis have been identified as an improvement priority. When sufficient data are available, an additional yield table will be developed for post-1989 natural forest. This will be produced by disaggregating data from </w:t>
      </w:r>
      <w:r w:rsidRPr="002A3CBE">
        <w:rPr>
          <w:spacing w:val="-2"/>
        </w:rPr>
        <w:t xml:space="preserve">plots dominated by exotic vegetation (typically </w:t>
      </w:r>
      <w:r w:rsidRPr="002A3CBE">
        <w:rPr>
          <w:i/>
          <w:iCs/>
          <w:spacing w:val="-2"/>
        </w:rPr>
        <w:t>Pinus spp.</w:t>
      </w:r>
      <w:r w:rsidRPr="002A3CBE">
        <w:rPr>
          <w:spacing w:val="-2"/>
        </w:rPr>
        <w:t xml:space="preserve"> or ‘wilding pines’) from those dominated by native vegetation communities. The current method of including both vegetatio</w:t>
      </w:r>
      <w:r w:rsidRPr="002A3CBE">
        <w:t>n types in the one yield table, due to a low sample size for the post-1989 natural forest (a total of 25 plots), limits its applicability in reporting carbon stock change and other areas of conservation and environmental management. At present, these yield tables should always be reported clearly as being the combination of both native and exotic post-1989 natural forest. Providing sufficient funding can be attained, the number of post-1989 natural forest plots surveyed will be increased in future to provide an</w:t>
      </w:r>
      <w:r w:rsidRPr="002A3CBE" w:rsidDel="00190075">
        <w:t xml:space="preserve"> </w:t>
      </w:r>
      <w:r w:rsidRPr="002A3CBE">
        <w:t>overall sample large enough to separate into native and exotic communities and two respective yield tables.</w:t>
      </w:r>
    </w:p>
    <w:p w14:paraId="3A3FB070" w14:textId="77777777" w:rsidR="00447423" w:rsidRPr="002A3CBE" w:rsidRDefault="00447423" w:rsidP="00447423">
      <w:pPr>
        <w:pStyle w:val="BodyText"/>
      </w:pPr>
      <w:r w:rsidRPr="002A3CBE">
        <w:t>The complete planted forest plot network (pre-1990 and post</w:t>
      </w:r>
      <w:r w:rsidRPr="002A3CBE">
        <w:noBreakHyphen/>
        <w:t xml:space="preserve">1989) is being re-measured on a continuous basis (at five-year intervals). These data will be incorporated as they become available. </w:t>
      </w:r>
    </w:p>
    <w:p w14:paraId="38607F45" w14:textId="77777777" w:rsidR="00447423" w:rsidRPr="002A3CBE" w:rsidRDefault="00447423" w:rsidP="00447423">
      <w:pPr>
        <w:pStyle w:val="Heading4"/>
        <w:spacing w:before="200"/>
      </w:pPr>
      <w:r w:rsidRPr="002A3CBE">
        <w:t>Natural forest plot data</w:t>
      </w:r>
    </w:p>
    <w:p w14:paraId="68FF57F3" w14:textId="77777777" w:rsidR="00447423" w:rsidRPr="002A3CBE" w:rsidRDefault="00447423" w:rsidP="00447423">
      <w:pPr>
        <w:pStyle w:val="BodyText"/>
      </w:pPr>
      <w:r w:rsidRPr="002A3CBE">
        <w:rPr>
          <w:spacing w:val="-2"/>
        </w:rPr>
        <w:t>Work has recently been undertaken to improve the quality of the LUCAS pre-1990 natural forest plot data through a data checking and correction project (Arnst and Vickers, unpublished</w:t>
      </w:r>
      <w:r w:rsidRPr="002A3CBE">
        <w:t xml:space="preserve">; Arnst et al., unpublished). These corrections will enhance the robustness and repeatability of all </w:t>
      </w:r>
      <w:r w:rsidRPr="002A3CBE">
        <w:rPr>
          <w:spacing w:val="-2"/>
        </w:rPr>
        <w:t>subsequent analyses undertaken using these data. Further work is currently under way toward</w:t>
      </w:r>
      <w:r w:rsidRPr="002A3CBE">
        <w:t>s increased transparency and reproducibility of analysis, in addition to a sensitivity analysis to better tailor the analytical approach to the pre-1990 natural forest inventory. Following completion of these analyses, data collected during the most recent 10-year measurement cycle, carried out from 2014 to 2024, will be incorporated into the subsequent submission.</w:t>
      </w:r>
    </w:p>
    <w:p w14:paraId="26DDF5F9" w14:textId="77777777" w:rsidR="00447423" w:rsidRPr="002A3CBE" w:rsidRDefault="00447423" w:rsidP="00447423">
      <w:pPr>
        <w:pStyle w:val="BodyText"/>
      </w:pPr>
      <w:r w:rsidRPr="002A3CBE">
        <w:t xml:space="preserve">Electronic data capture by field teams was implemented from 2020 to 2021, supplementing the paper plot sheets previously used. Subsequently, QA/QC on the entire set of stem-related data (i.e., diameter, height, species) has been possible prior to upload into the database, improving on the 10 percent previously checked manually. Electronic data capture has markedly improved data quality, and any errors in tree stem-related data can be readily identified when data are uploaded to the database. </w:t>
      </w:r>
    </w:p>
    <w:p w14:paraId="2C320C21" w14:textId="77777777" w:rsidR="00447423" w:rsidRPr="002A3CBE" w:rsidRDefault="00447423" w:rsidP="00447423">
      <w:pPr>
        <w:pStyle w:val="Heading4"/>
        <w:spacing w:before="200"/>
      </w:pPr>
      <w:r w:rsidRPr="002A3CBE">
        <w:t>Mapping and activity data</w:t>
      </w:r>
    </w:p>
    <w:p w14:paraId="17080A15" w14:textId="77777777" w:rsidR="00447423" w:rsidRPr="002A3CBE" w:rsidRDefault="00447423" w:rsidP="00447423">
      <w:pPr>
        <w:pStyle w:val="BodyText"/>
        <w:rPr>
          <w:rFonts w:eastAsiaTheme="minorEastAsia"/>
        </w:rPr>
      </w:pPr>
      <w:r w:rsidRPr="002A3CBE">
        <w:t xml:space="preserve">Mapping of forest areas will be improved through updates to the 2020 land use map. Planned forest-specific mapping improvements include </w:t>
      </w:r>
      <w:r w:rsidRPr="002A3CBE">
        <w:rPr>
          <w:rFonts w:eastAsiaTheme="minorEastAsia"/>
        </w:rPr>
        <w:t xml:space="preserve">mapping of newly </w:t>
      </w:r>
      <w:r w:rsidRPr="002A3CBE">
        <w:t>planted</w:t>
      </w:r>
      <w:r w:rsidRPr="002A3CBE">
        <w:rPr>
          <w:rFonts w:eastAsiaTheme="minorEastAsia"/>
        </w:rPr>
        <w:t xml:space="preserve"> forests through data supplied from government-funded forestry scheme mapping, including the NZ ETS, and identified in Sentinel-2 satellite imagery, as well as biennial deforestation mapping updates.</w:t>
      </w:r>
    </w:p>
    <w:p w14:paraId="2A779508" w14:textId="77777777" w:rsidR="00447423" w:rsidRPr="002A3CBE" w:rsidRDefault="00447423" w:rsidP="00447423">
      <w:pPr>
        <w:pStyle w:val="Heading4"/>
        <w:spacing w:before="200"/>
      </w:pPr>
      <w:r w:rsidRPr="002A3CBE">
        <w:t>Planted forest model</w:t>
      </w:r>
    </w:p>
    <w:p w14:paraId="489D1FBC" w14:textId="77777777" w:rsidR="00447423" w:rsidRPr="002A3CBE" w:rsidRDefault="00447423" w:rsidP="00447423">
      <w:pPr>
        <w:pStyle w:val="BodyText"/>
      </w:pPr>
      <w:r w:rsidRPr="002A3CBE">
        <w:t xml:space="preserve">Quality-assurance and quality-control processes for checking and improving consistency </w:t>
      </w:r>
      <w:r w:rsidRPr="002A3CBE">
        <w:rPr>
          <w:spacing w:val="-2"/>
        </w:rPr>
        <w:t>between different data sets are planned for a future submission. Currently, a few inconsistencies</w:t>
      </w:r>
      <w:r w:rsidRPr="002A3CBE">
        <w:t xml:space="preserve"> require further investigation and remediation. These inconsistencies include:</w:t>
      </w:r>
    </w:p>
    <w:p w14:paraId="4ED7423E" w14:textId="77777777" w:rsidR="00447423" w:rsidRPr="002A3CBE" w:rsidRDefault="00447423" w:rsidP="00447423">
      <w:pPr>
        <w:pStyle w:val="Bullet"/>
      </w:pPr>
      <w:r w:rsidRPr="002A3CBE">
        <w:t>the estimated annual volume removed from planted forests, based on the Calculation and Reporting Application model, is not entirely consistent with estimated annual roundwood volume statistics produced by MPI (Ministry for Primary Industries, 2023) for part of the time series (1990 to 2015). Note that a comparison between the two data sources across the time series was carried out and is further described in volume 2, annex 5, section A5.2.5 ‘Forest land model validations’</w:t>
      </w:r>
    </w:p>
    <w:p w14:paraId="33152149" w14:textId="77777777" w:rsidR="00447423" w:rsidRPr="002A3CBE" w:rsidRDefault="00447423" w:rsidP="00447423">
      <w:pPr>
        <w:pStyle w:val="Bullet"/>
      </w:pPr>
      <w:r w:rsidRPr="002A3CBE">
        <w:t>the pre-1990 planted forest average carbon stock per hectare estimated from the Calculation and Reporting Application model is greater than the average carbon stock per hectare estimated from plots in the forest inventory (further described in volume 2, annex 5, section A5.2.5 ‘Forest land model validations’)</w:t>
      </w:r>
    </w:p>
    <w:p w14:paraId="4CAAC26A" w14:textId="77777777" w:rsidR="00447423" w:rsidRPr="002A3CBE" w:rsidRDefault="00447423" w:rsidP="00447423">
      <w:pPr>
        <w:pStyle w:val="Bullet"/>
      </w:pPr>
      <w:r w:rsidRPr="002A3CBE">
        <w:t>the pre-1990 planted forest yield tables have higher carbon stock per hectare estimates on average than plots measured in the planted forest inventory (further described in volume 2, annex 5, section A5.2.5 ‘Forest land model validations’).</w:t>
      </w:r>
    </w:p>
    <w:p w14:paraId="4DF12EA1" w14:textId="77777777" w:rsidR="00447423" w:rsidRPr="002A3CBE" w:rsidRDefault="00447423" w:rsidP="00447423">
      <w:pPr>
        <w:pStyle w:val="Heading2"/>
      </w:pPr>
      <w:bookmarkStart w:id="2130" w:name="_Toc255466369"/>
      <w:bookmarkStart w:id="2131" w:name="_Toc261513176"/>
      <w:bookmarkStart w:id="2132" w:name="_Toc261513789"/>
      <w:bookmarkStart w:id="2133" w:name="_Toc280630263"/>
      <w:bookmarkStart w:id="2134" w:name="_Toc310423453"/>
      <w:bookmarkStart w:id="2135" w:name="_Toc342470719"/>
      <w:bookmarkStart w:id="2136" w:name="_Toc352504871"/>
      <w:bookmarkStart w:id="2137" w:name="_Toc391024701"/>
      <w:bookmarkStart w:id="2138" w:name="_Toc414531318"/>
      <w:bookmarkStart w:id="2139" w:name="_Toc474335460"/>
      <w:bookmarkStart w:id="2140" w:name="_Toc481751400"/>
      <w:bookmarkStart w:id="2141" w:name="_Toc522013952"/>
      <w:bookmarkStart w:id="2142" w:name="_Toc5269377"/>
      <w:bookmarkStart w:id="2143" w:name="_Toc36224417"/>
      <w:bookmarkStart w:id="2144" w:name="_Toc131591251"/>
      <w:bookmarkStart w:id="2145" w:name="_Toc158980298"/>
      <w:bookmarkStart w:id="2146" w:name="_Toc164154206"/>
      <w:bookmarkStart w:id="2147" w:name="_Toc194312031"/>
      <w:bookmarkStart w:id="2148" w:name="_Toc226460785"/>
      <w:r w:rsidRPr="002A3CBE">
        <w:t>6.5</w:t>
      </w:r>
      <w:r w:rsidRPr="002A3CBE">
        <w:tab/>
        <w:t>Cropland (4B)</w:t>
      </w:r>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p>
    <w:p w14:paraId="3896B353" w14:textId="77777777" w:rsidR="00447423" w:rsidRPr="002A3CBE" w:rsidRDefault="00447423" w:rsidP="00447423">
      <w:pPr>
        <w:pStyle w:val="Heading3"/>
        <w:spacing w:before="180"/>
      </w:pPr>
      <w:bookmarkStart w:id="2149" w:name="_Toc139253963"/>
      <w:bookmarkStart w:id="2150" w:name="_Toc255466370"/>
      <w:bookmarkStart w:id="2151" w:name="_Toc261513177"/>
      <w:bookmarkStart w:id="2152" w:name="_Toc261513790"/>
      <w:bookmarkStart w:id="2153" w:name="_Toc280630264"/>
      <w:r w:rsidRPr="002A3CBE">
        <w:t>6.5.1</w:t>
      </w:r>
      <w:r w:rsidRPr="002A3CBE">
        <w:tab/>
        <w:t>Description</w:t>
      </w:r>
      <w:bookmarkEnd w:id="2149"/>
      <w:bookmarkEnd w:id="2150"/>
      <w:bookmarkEnd w:id="2151"/>
      <w:bookmarkEnd w:id="2152"/>
      <w:bookmarkEnd w:id="2153"/>
    </w:p>
    <w:p w14:paraId="086A5305" w14:textId="77777777" w:rsidR="00447423" w:rsidRPr="002A3CBE" w:rsidRDefault="00447423" w:rsidP="00447423">
      <w:pPr>
        <w:pStyle w:val="BodyText"/>
        <w:spacing w:before="80" w:after="100"/>
      </w:pPr>
      <w:r w:rsidRPr="002A3CBE">
        <w:rPr>
          <w:spacing w:val="-2"/>
        </w:rPr>
        <w:t xml:space="preserve">In 2024, the net emissions from </w:t>
      </w:r>
      <w:r w:rsidRPr="002A3CBE">
        <w:rPr>
          <w:i/>
          <w:spacing w:val="-2"/>
        </w:rPr>
        <w:t>Cropland</w:t>
      </w:r>
      <w:r w:rsidRPr="002A3CBE">
        <w:rPr>
          <w:spacing w:val="-2"/>
        </w:rPr>
        <w:t xml:space="preserve"> were </w:t>
      </w:r>
      <w:r w:rsidRPr="002A3CBE">
        <w:t xml:space="preserve">580.0 </w:t>
      </w:r>
      <w:r w:rsidRPr="002A3CBE">
        <w:rPr>
          <w:spacing w:val="-2"/>
        </w:rPr>
        <w:t>kt CO</w:t>
      </w:r>
      <w:r w:rsidRPr="002A3CBE">
        <w:rPr>
          <w:spacing w:val="-2"/>
          <w:vertAlign w:val="subscript"/>
        </w:rPr>
        <w:t>2</w:t>
      </w:r>
      <w:r w:rsidRPr="002A3CBE">
        <w:rPr>
          <w:spacing w:val="-2"/>
        </w:rPr>
        <w:t xml:space="preserve">e, comprising </w:t>
      </w:r>
      <w:r w:rsidRPr="002A3CBE">
        <w:t xml:space="preserve">550.2 </w:t>
      </w:r>
      <w:r w:rsidRPr="002A3CBE">
        <w:rPr>
          <w:spacing w:val="-2"/>
        </w:rPr>
        <w:t>kt </w:t>
      </w:r>
      <w:r w:rsidRPr="002A3CBE">
        <w:t>CO</w:t>
      </w:r>
      <w:r w:rsidRPr="002A3CBE">
        <w:rPr>
          <w:spacing w:val="-2"/>
          <w:vertAlign w:val="subscript"/>
        </w:rPr>
        <w:t>2</w:t>
      </w:r>
      <w:r w:rsidRPr="002A3CBE">
        <w:t xml:space="preserve"> from carbon stock change and 0.11 kt N</w:t>
      </w:r>
      <w:r w:rsidRPr="002A3CBE">
        <w:rPr>
          <w:vertAlign w:val="subscript"/>
        </w:rPr>
        <w:t>2</w:t>
      </w:r>
      <w:r w:rsidRPr="002A3CBE">
        <w:t>O (29.8 kt CO</w:t>
      </w:r>
      <w:r w:rsidRPr="002A3CBE">
        <w:rPr>
          <w:vertAlign w:val="subscript"/>
        </w:rPr>
        <w:t>2</w:t>
      </w:r>
      <w:r w:rsidRPr="002A3CBE">
        <w:t xml:space="preserve">e) from the nitrogen mineralisation on </w:t>
      </w:r>
      <w:r w:rsidRPr="002A3CBE">
        <w:rPr>
          <w:i/>
        </w:rPr>
        <w:t>Land converted to cropland</w:t>
      </w:r>
      <w:r w:rsidRPr="002A3CBE">
        <w:t xml:space="preserve">. Net emissions from </w:t>
      </w:r>
      <w:r w:rsidRPr="002A3CBE">
        <w:rPr>
          <w:i/>
        </w:rPr>
        <w:t>Cropland</w:t>
      </w:r>
      <w:r w:rsidRPr="002A3CBE">
        <w:t xml:space="preserve"> have increased by 143.2 kt CO</w:t>
      </w:r>
      <w:r w:rsidRPr="002A3CBE">
        <w:rPr>
          <w:vertAlign w:val="subscript"/>
        </w:rPr>
        <w:t>2</w:t>
      </w:r>
      <w:r w:rsidRPr="002A3CBE">
        <w:t xml:space="preserve">e (32.8 percent) from the 1990 level when net emissions were </w:t>
      </w:r>
      <w:r w:rsidRPr="002A3CBE">
        <w:rPr>
          <w:bCs/>
        </w:rPr>
        <w:t xml:space="preserve">436.8 </w:t>
      </w:r>
      <w:r w:rsidRPr="002A3CBE">
        <w:t>kt CO</w:t>
      </w:r>
      <w:r w:rsidRPr="002A3CBE">
        <w:rPr>
          <w:vertAlign w:val="subscript"/>
        </w:rPr>
        <w:t>2</w:t>
      </w:r>
      <w:r w:rsidRPr="002A3CBE">
        <w:t>e (table 6.5.1).</w:t>
      </w:r>
    </w:p>
    <w:p w14:paraId="71FF8E73" w14:textId="77777777" w:rsidR="00447423" w:rsidRPr="002A3CBE" w:rsidRDefault="00447423" w:rsidP="00447423">
      <w:pPr>
        <w:pStyle w:val="Table"/>
      </w:pPr>
      <w:bookmarkStart w:id="2154" w:name="_Toc280630461"/>
      <w:bookmarkStart w:id="2155" w:name="_Toc310423414"/>
      <w:bookmarkStart w:id="2156" w:name="_Toc318362707"/>
      <w:bookmarkStart w:id="2157" w:name="_Toc342470769"/>
      <w:bookmarkStart w:id="2158" w:name="_Toc352505009"/>
      <w:bookmarkStart w:id="2159" w:name="_Toc378853300"/>
      <w:bookmarkStart w:id="2160" w:name="_Toc391024098"/>
      <w:bookmarkStart w:id="2161" w:name="_Toc410028841"/>
      <w:bookmarkStart w:id="2162" w:name="_Toc414531469"/>
      <w:bookmarkStart w:id="2163" w:name="_Toc443645382"/>
      <w:bookmarkStart w:id="2164" w:name="_Toc474914601"/>
      <w:bookmarkStart w:id="2165" w:name="_Toc481751565"/>
      <w:bookmarkStart w:id="2166" w:name="_Toc522010622"/>
      <w:bookmarkStart w:id="2167" w:name="_Toc5269527"/>
      <w:bookmarkStart w:id="2168" w:name="_Toc33529401"/>
      <w:bookmarkStart w:id="2169" w:name="_Toc36224607"/>
      <w:bookmarkStart w:id="2170" w:name="_Toc65243604"/>
      <w:bookmarkStart w:id="2171" w:name="_Toc131591401"/>
      <w:bookmarkStart w:id="2172" w:name="_Toc158979959"/>
      <w:bookmarkStart w:id="2173" w:name="_Toc164153892"/>
      <w:bookmarkStart w:id="2174" w:name="_Toc190873126"/>
      <w:bookmarkStart w:id="2175" w:name="_Toc194241765"/>
      <w:bookmarkStart w:id="2176" w:name="_Toc222837916"/>
      <w:bookmarkStart w:id="2177" w:name="_Toc226669062"/>
      <w:r w:rsidRPr="002A3CBE">
        <w:t>Table 6.5.1</w:t>
      </w:r>
      <w:r w:rsidRPr="002A3CBE">
        <w:tab/>
        <w:t xml:space="preserve">New Zealand’s land-use change by </w:t>
      </w:r>
      <w:r w:rsidRPr="002A3CBE">
        <w:rPr>
          <w:i/>
        </w:rPr>
        <w:t>Cropland</w:t>
      </w:r>
      <w:r w:rsidRPr="002A3CBE">
        <w:t xml:space="preserve"> category, and associated CO</w:t>
      </w:r>
      <w:r w:rsidRPr="002A3CBE">
        <w:rPr>
          <w:vertAlign w:val="subscript"/>
        </w:rPr>
        <w:t>2</w:t>
      </w:r>
      <w:r w:rsidRPr="002A3CBE">
        <w:t>e emissions</w:t>
      </w:r>
      <w:bookmarkEnd w:id="2154"/>
      <w:bookmarkEnd w:id="2155"/>
      <w:bookmarkEnd w:id="2156"/>
      <w:bookmarkEnd w:id="2157"/>
      <w:bookmarkEnd w:id="2158"/>
      <w:bookmarkEnd w:id="2159"/>
      <w:r w:rsidRPr="002A3CBE">
        <w:t>, 1990</w:t>
      </w:r>
      <w:bookmarkEnd w:id="2160"/>
      <w:r w:rsidRPr="002A3CBE">
        <w:t> and</w:t>
      </w:r>
      <w:bookmarkEnd w:id="2161"/>
      <w:bookmarkEnd w:id="2162"/>
      <w:bookmarkEnd w:id="2163"/>
      <w:bookmarkEnd w:id="2164"/>
      <w:bookmarkEnd w:id="2165"/>
      <w:bookmarkEnd w:id="2166"/>
      <w:bookmarkEnd w:id="2167"/>
      <w:bookmarkEnd w:id="2168"/>
      <w:bookmarkEnd w:id="2169"/>
      <w:bookmarkEnd w:id="2170"/>
      <w:bookmarkEnd w:id="2171"/>
      <w:bookmarkEnd w:id="2172"/>
      <w:bookmarkEnd w:id="2173"/>
      <w:r w:rsidRPr="002A3CBE">
        <w:t> 2024</w:t>
      </w:r>
      <w:bookmarkEnd w:id="2174"/>
      <w:bookmarkEnd w:id="2175"/>
      <w:bookmarkEnd w:id="2176"/>
      <w:bookmarkEnd w:id="2177"/>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33"/>
        <w:gridCol w:w="1014"/>
        <w:gridCol w:w="1014"/>
        <w:gridCol w:w="1127"/>
        <w:gridCol w:w="845"/>
        <w:gridCol w:w="845"/>
        <w:gridCol w:w="1127"/>
      </w:tblGrid>
      <w:tr w:rsidR="00447423" w:rsidRPr="002A3CBE" w14:paraId="68B3667F" w14:textId="77777777" w:rsidTr="00F16E23">
        <w:trPr>
          <w:trHeight w:val="20"/>
          <w:tblHeader/>
        </w:trPr>
        <w:tc>
          <w:tcPr>
            <w:tcW w:w="2551" w:type="dxa"/>
            <w:shd w:val="clear" w:color="auto" w:fill="1B556B"/>
            <w:tcMar>
              <w:top w:w="0" w:type="dxa"/>
              <w:left w:w="85" w:type="dxa"/>
              <w:bottom w:w="0" w:type="dxa"/>
              <w:right w:w="85" w:type="dxa"/>
            </w:tcMar>
            <w:vAlign w:val="center"/>
          </w:tcPr>
          <w:p w14:paraId="7408D559" w14:textId="77777777" w:rsidR="00447423" w:rsidRPr="002A3CBE" w:rsidRDefault="00447423" w:rsidP="00F16E23">
            <w:pPr>
              <w:pStyle w:val="TableTextBold"/>
              <w:spacing w:before="40" w:after="0"/>
              <w:rPr>
                <w:rFonts w:eastAsia="Calibri"/>
                <w:noProof w:val="0"/>
                <w:color w:val="FFFFFF" w:themeColor="background1"/>
              </w:rPr>
            </w:pPr>
          </w:p>
        </w:tc>
        <w:tc>
          <w:tcPr>
            <w:tcW w:w="3174" w:type="dxa"/>
            <w:gridSpan w:val="3"/>
            <w:shd w:val="clear" w:color="auto" w:fill="1B556B"/>
            <w:tcMar>
              <w:top w:w="0" w:type="dxa"/>
              <w:left w:w="85" w:type="dxa"/>
              <w:bottom w:w="0" w:type="dxa"/>
              <w:right w:w="85" w:type="dxa"/>
            </w:tcMar>
            <w:vAlign w:val="center"/>
          </w:tcPr>
          <w:p w14:paraId="11EDB60A" w14:textId="77777777" w:rsidR="00447423" w:rsidRPr="002A3CBE" w:rsidRDefault="00447423" w:rsidP="00F16E23">
            <w:pPr>
              <w:pStyle w:val="TableTextBold"/>
              <w:spacing w:before="40" w:after="0"/>
              <w:ind w:right="780"/>
              <w:jc w:val="center"/>
              <w:rPr>
                <w:rFonts w:eastAsia="Calibri"/>
                <w:noProof w:val="0"/>
                <w:color w:val="FFFFFF" w:themeColor="background1"/>
              </w:rPr>
            </w:pPr>
            <w:r w:rsidRPr="002A3CBE">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center"/>
          </w:tcPr>
          <w:p w14:paraId="676D571A" w14:textId="77777777" w:rsidR="00447423" w:rsidRPr="002A3CBE" w:rsidRDefault="00447423" w:rsidP="00F16E23">
            <w:pPr>
              <w:pStyle w:val="TableTextBold"/>
              <w:spacing w:before="40" w:after="0"/>
              <w:ind w:right="911"/>
              <w:jc w:val="center"/>
              <w:rPr>
                <w:rFonts w:eastAsia="Calibri"/>
                <w:noProof w:val="0"/>
                <w:color w:val="FFFFFF" w:themeColor="background1"/>
              </w:rPr>
            </w:pPr>
            <w:r w:rsidRPr="002A3CBE">
              <w:rPr>
                <w:rFonts w:eastAsia="Calibri"/>
                <w:noProof w:val="0"/>
                <w:color w:val="FFFFFF" w:themeColor="background1"/>
              </w:rPr>
              <w:t>Net emissions (kt CO₂e)</w:t>
            </w:r>
          </w:p>
        </w:tc>
      </w:tr>
      <w:tr w:rsidR="00447423" w:rsidRPr="002A3CBE" w14:paraId="6278A890" w14:textId="77777777" w:rsidTr="00F16E23">
        <w:trPr>
          <w:trHeight w:val="20"/>
          <w:tblHeader/>
        </w:trPr>
        <w:tc>
          <w:tcPr>
            <w:tcW w:w="2551" w:type="dxa"/>
            <w:shd w:val="clear" w:color="auto" w:fill="1B556B"/>
            <w:tcMar>
              <w:top w:w="0" w:type="dxa"/>
              <w:left w:w="85" w:type="dxa"/>
              <w:bottom w:w="0" w:type="dxa"/>
              <w:right w:w="85" w:type="dxa"/>
            </w:tcMar>
            <w:vAlign w:val="bottom"/>
          </w:tcPr>
          <w:p w14:paraId="456FFF1C" w14:textId="77777777" w:rsidR="00447423" w:rsidRPr="002A3CBE" w:rsidRDefault="00447423" w:rsidP="00F16E23">
            <w:pPr>
              <w:pStyle w:val="TableTextBold"/>
              <w:spacing w:before="0" w:after="30"/>
              <w:rPr>
                <w:rFonts w:eastAsia="Calibri"/>
                <w:noProof w:val="0"/>
                <w:color w:val="FFFFFF" w:themeColor="background1"/>
              </w:rPr>
            </w:pPr>
            <w:r w:rsidRPr="002A3CBE">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749AC15E"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6FF91813"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421D8484"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0171A049"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7F1ECC4F"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5B90F0F4"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0DCD0FD0" w14:textId="77777777" w:rsidTr="00F16E23">
        <w:trPr>
          <w:trHeight w:val="20"/>
        </w:trPr>
        <w:tc>
          <w:tcPr>
            <w:tcW w:w="2551" w:type="dxa"/>
            <w:shd w:val="clear" w:color="auto" w:fill="FFFFFF"/>
            <w:tcMar>
              <w:top w:w="0" w:type="dxa"/>
              <w:left w:w="85" w:type="dxa"/>
              <w:bottom w:w="0" w:type="dxa"/>
              <w:right w:w="85" w:type="dxa"/>
            </w:tcMar>
            <w:vAlign w:val="center"/>
          </w:tcPr>
          <w:p w14:paraId="49E79A0B" w14:textId="77777777" w:rsidR="00447423" w:rsidRPr="002A3CBE" w:rsidRDefault="00447423" w:rsidP="00F16E23">
            <w:pPr>
              <w:pStyle w:val="TableText"/>
              <w:spacing w:before="30" w:after="30"/>
              <w:rPr>
                <w:rFonts w:eastAsia="Calibri"/>
              </w:rPr>
            </w:pPr>
            <w:r w:rsidRPr="002A3CBE">
              <w:rPr>
                <w:rFonts w:eastAsia="Calibri"/>
              </w:rPr>
              <w:t>Cropland remaining cropland</w:t>
            </w:r>
          </w:p>
        </w:tc>
        <w:tc>
          <w:tcPr>
            <w:tcW w:w="1020" w:type="dxa"/>
            <w:shd w:val="clear" w:color="auto" w:fill="FFFFFF"/>
            <w:tcMar>
              <w:top w:w="0" w:type="dxa"/>
              <w:left w:w="85" w:type="dxa"/>
              <w:bottom w:w="0" w:type="dxa"/>
              <w:right w:w="85" w:type="dxa"/>
            </w:tcMar>
            <w:vAlign w:val="center"/>
          </w:tcPr>
          <w:p w14:paraId="550D69E4" w14:textId="77777777" w:rsidR="00447423" w:rsidRPr="002A3CBE" w:rsidRDefault="00447423" w:rsidP="00F16E23">
            <w:pPr>
              <w:pStyle w:val="TableText"/>
              <w:spacing w:before="30" w:after="30"/>
              <w:jc w:val="right"/>
              <w:rPr>
                <w:rFonts w:eastAsia="Calibri"/>
              </w:rPr>
            </w:pPr>
            <w:r w:rsidRPr="002A3CBE">
              <w:rPr>
                <w:rFonts w:eastAsia="Calibri"/>
              </w:rPr>
              <w:t>395,790</w:t>
            </w:r>
          </w:p>
        </w:tc>
        <w:tc>
          <w:tcPr>
            <w:tcW w:w="1020" w:type="dxa"/>
            <w:shd w:val="clear" w:color="auto" w:fill="FFFFFF"/>
            <w:tcMar>
              <w:top w:w="0" w:type="dxa"/>
              <w:left w:w="85" w:type="dxa"/>
              <w:bottom w:w="0" w:type="dxa"/>
              <w:right w:w="85" w:type="dxa"/>
            </w:tcMar>
            <w:vAlign w:val="center"/>
          </w:tcPr>
          <w:p w14:paraId="7EA43E1E" w14:textId="77777777" w:rsidR="00447423" w:rsidRPr="002A3CBE" w:rsidRDefault="00447423" w:rsidP="00F16E23">
            <w:pPr>
              <w:pStyle w:val="TableText"/>
              <w:spacing w:before="30" w:after="30"/>
              <w:jc w:val="right"/>
              <w:rPr>
                <w:rFonts w:eastAsia="Calibri"/>
              </w:rPr>
            </w:pPr>
            <w:r w:rsidRPr="002A3CBE">
              <w:rPr>
                <w:rFonts w:eastAsia="Calibri"/>
              </w:rPr>
              <w:t>365,015</w:t>
            </w:r>
          </w:p>
        </w:tc>
        <w:tc>
          <w:tcPr>
            <w:tcW w:w="1134" w:type="dxa"/>
            <w:shd w:val="clear" w:color="auto" w:fill="FFFFFF"/>
            <w:tcMar>
              <w:top w:w="0" w:type="dxa"/>
              <w:left w:w="85" w:type="dxa"/>
              <w:bottom w:w="0" w:type="dxa"/>
              <w:right w:w="85" w:type="dxa"/>
            </w:tcMar>
            <w:vAlign w:val="center"/>
          </w:tcPr>
          <w:p w14:paraId="7DF0137C" w14:textId="77777777" w:rsidR="00447423" w:rsidRPr="002A3CBE" w:rsidRDefault="00447423" w:rsidP="00F16E23">
            <w:pPr>
              <w:pStyle w:val="TableText"/>
              <w:spacing w:before="30" w:after="30"/>
              <w:jc w:val="right"/>
              <w:rPr>
                <w:rFonts w:eastAsia="Calibri"/>
              </w:rPr>
            </w:pPr>
            <w:r w:rsidRPr="002A3CBE">
              <w:rPr>
                <w:rFonts w:eastAsia="Calibri"/>
              </w:rPr>
              <w:t>-7.8</w:t>
            </w:r>
          </w:p>
        </w:tc>
        <w:tc>
          <w:tcPr>
            <w:tcW w:w="850" w:type="dxa"/>
            <w:shd w:val="clear" w:color="auto" w:fill="FFFFFF"/>
            <w:tcMar>
              <w:top w:w="0" w:type="dxa"/>
              <w:left w:w="85" w:type="dxa"/>
              <w:bottom w:w="0" w:type="dxa"/>
              <w:right w:w="85" w:type="dxa"/>
            </w:tcMar>
            <w:vAlign w:val="center"/>
          </w:tcPr>
          <w:p w14:paraId="7E286F5C" w14:textId="77777777" w:rsidR="00447423" w:rsidRPr="002A3CBE" w:rsidRDefault="00447423" w:rsidP="00F16E23">
            <w:pPr>
              <w:pStyle w:val="TableText"/>
              <w:spacing w:before="30" w:after="30"/>
              <w:jc w:val="right"/>
              <w:rPr>
                <w:rFonts w:eastAsia="Calibri"/>
              </w:rPr>
            </w:pPr>
            <w:r w:rsidRPr="002A3CBE">
              <w:rPr>
                <w:rFonts w:eastAsia="Calibri"/>
              </w:rPr>
              <w:t>352.9</w:t>
            </w:r>
          </w:p>
        </w:tc>
        <w:tc>
          <w:tcPr>
            <w:tcW w:w="850" w:type="dxa"/>
            <w:shd w:val="clear" w:color="auto" w:fill="FFFFFF"/>
            <w:tcMar>
              <w:top w:w="0" w:type="dxa"/>
              <w:left w:w="85" w:type="dxa"/>
              <w:bottom w:w="0" w:type="dxa"/>
              <w:right w:w="85" w:type="dxa"/>
            </w:tcMar>
            <w:vAlign w:val="center"/>
          </w:tcPr>
          <w:p w14:paraId="70450B3D" w14:textId="77777777" w:rsidR="00447423" w:rsidRPr="002A3CBE" w:rsidRDefault="00447423" w:rsidP="00F16E23">
            <w:pPr>
              <w:pStyle w:val="TableText"/>
              <w:spacing w:before="30" w:after="30"/>
              <w:jc w:val="right"/>
              <w:rPr>
                <w:rFonts w:eastAsia="Calibri"/>
              </w:rPr>
            </w:pPr>
            <w:r w:rsidRPr="002A3CBE">
              <w:rPr>
                <w:rFonts w:eastAsia="Calibri"/>
              </w:rPr>
              <w:t>251.3</w:t>
            </w:r>
          </w:p>
        </w:tc>
        <w:tc>
          <w:tcPr>
            <w:tcW w:w="1134" w:type="dxa"/>
            <w:shd w:val="clear" w:color="auto" w:fill="FFFFFF"/>
            <w:tcMar>
              <w:top w:w="0" w:type="dxa"/>
              <w:left w:w="85" w:type="dxa"/>
              <w:bottom w:w="0" w:type="dxa"/>
              <w:right w:w="85" w:type="dxa"/>
            </w:tcMar>
            <w:vAlign w:val="center"/>
          </w:tcPr>
          <w:p w14:paraId="23CD15E1" w14:textId="77777777" w:rsidR="00447423" w:rsidRPr="002A3CBE" w:rsidRDefault="00447423" w:rsidP="00F16E23">
            <w:pPr>
              <w:pStyle w:val="TableText"/>
              <w:spacing w:before="30" w:after="30"/>
              <w:jc w:val="right"/>
              <w:rPr>
                <w:rFonts w:eastAsia="Calibri"/>
              </w:rPr>
            </w:pPr>
            <w:r w:rsidRPr="002A3CBE">
              <w:rPr>
                <w:rFonts w:eastAsia="Calibri"/>
              </w:rPr>
              <w:t>-28.8</w:t>
            </w:r>
          </w:p>
        </w:tc>
      </w:tr>
      <w:tr w:rsidR="00447423" w:rsidRPr="002A3CBE" w14:paraId="7464C517" w14:textId="77777777" w:rsidTr="00F16E23">
        <w:trPr>
          <w:trHeight w:val="20"/>
        </w:trPr>
        <w:tc>
          <w:tcPr>
            <w:tcW w:w="2551" w:type="dxa"/>
            <w:shd w:val="clear" w:color="auto" w:fill="FFFFFF"/>
            <w:tcMar>
              <w:top w:w="0" w:type="dxa"/>
              <w:left w:w="85" w:type="dxa"/>
              <w:bottom w:w="0" w:type="dxa"/>
              <w:right w:w="85" w:type="dxa"/>
            </w:tcMar>
            <w:vAlign w:val="center"/>
          </w:tcPr>
          <w:p w14:paraId="0EE46573" w14:textId="77777777" w:rsidR="00447423" w:rsidRPr="002A3CBE" w:rsidRDefault="00447423" w:rsidP="00F16E23">
            <w:pPr>
              <w:pStyle w:val="TableText"/>
              <w:spacing w:before="30" w:after="30"/>
              <w:rPr>
                <w:rFonts w:eastAsia="Calibri"/>
              </w:rPr>
            </w:pPr>
            <w:r w:rsidRPr="002A3CBE">
              <w:rPr>
                <w:rFonts w:eastAsia="Calibri"/>
              </w:rPr>
              <w:t>Land converted to cropland</w:t>
            </w:r>
          </w:p>
        </w:tc>
        <w:tc>
          <w:tcPr>
            <w:tcW w:w="1020" w:type="dxa"/>
            <w:shd w:val="clear" w:color="auto" w:fill="FFFFFF"/>
            <w:tcMar>
              <w:top w:w="0" w:type="dxa"/>
              <w:left w:w="85" w:type="dxa"/>
              <w:bottom w:w="0" w:type="dxa"/>
              <w:right w:w="85" w:type="dxa"/>
            </w:tcMar>
            <w:vAlign w:val="center"/>
          </w:tcPr>
          <w:p w14:paraId="6B1499CF" w14:textId="77777777" w:rsidR="00447423" w:rsidRPr="002A3CBE" w:rsidRDefault="00447423" w:rsidP="00F16E23">
            <w:pPr>
              <w:pStyle w:val="TableText"/>
              <w:spacing w:before="30" w:after="30"/>
              <w:jc w:val="right"/>
              <w:rPr>
                <w:rFonts w:eastAsia="Calibri"/>
              </w:rPr>
            </w:pPr>
            <w:r w:rsidRPr="002A3CBE">
              <w:rPr>
                <w:rFonts w:eastAsia="Calibri"/>
              </w:rPr>
              <w:t>28,306</w:t>
            </w:r>
          </w:p>
        </w:tc>
        <w:tc>
          <w:tcPr>
            <w:tcW w:w="1020" w:type="dxa"/>
            <w:shd w:val="clear" w:color="auto" w:fill="FFFFFF"/>
            <w:tcMar>
              <w:top w:w="0" w:type="dxa"/>
              <w:left w:w="85" w:type="dxa"/>
              <w:bottom w:w="0" w:type="dxa"/>
              <w:right w:w="85" w:type="dxa"/>
            </w:tcMar>
            <w:vAlign w:val="center"/>
          </w:tcPr>
          <w:p w14:paraId="105D7A69" w14:textId="77777777" w:rsidR="00447423" w:rsidRPr="002A3CBE" w:rsidRDefault="00447423" w:rsidP="00F16E23">
            <w:pPr>
              <w:pStyle w:val="TableText"/>
              <w:spacing w:before="30" w:after="30"/>
              <w:jc w:val="right"/>
              <w:rPr>
                <w:rFonts w:eastAsia="Calibri"/>
              </w:rPr>
            </w:pPr>
            <w:r w:rsidRPr="002A3CBE">
              <w:rPr>
                <w:rFonts w:eastAsia="Calibri"/>
              </w:rPr>
              <w:t>139,925</w:t>
            </w:r>
          </w:p>
        </w:tc>
        <w:tc>
          <w:tcPr>
            <w:tcW w:w="1134" w:type="dxa"/>
            <w:shd w:val="clear" w:color="auto" w:fill="FFFFFF"/>
            <w:tcMar>
              <w:top w:w="0" w:type="dxa"/>
              <w:left w:w="85" w:type="dxa"/>
              <w:bottom w:w="0" w:type="dxa"/>
              <w:right w:w="85" w:type="dxa"/>
            </w:tcMar>
            <w:vAlign w:val="center"/>
          </w:tcPr>
          <w:p w14:paraId="6D2DCA4F" w14:textId="77777777" w:rsidR="00447423" w:rsidRPr="002A3CBE" w:rsidRDefault="00447423" w:rsidP="00F16E23">
            <w:pPr>
              <w:pStyle w:val="TableText"/>
              <w:spacing w:before="30" w:after="30"/>
              <w:jc w:val="right"/>
              <w:rPr>
                <w:rFonts w:eastAsia="Calibri"/>
              </w:rPr>
            </w:pPr>
            <w:r w:rsidRPr="002A3CBE">
              <w:rPr>
                <w:rFonts w:eastAsia="Calibri"/>
              </w:rPr>
              <w:t>394.3</w:t>
            </w:r>
          </w:p>
        </w:tc>
        <w:tc>
          <w:tcPr>
            <w:tcW w:w="850" w:type="dxa"/>
            <w:shd w:val="clear" w:color="auto" w:fill="FFFFFF"/>
            <w:tcMar>
              <w:top w:w="0" w:type="dxa"/>
              <w:left w:w="85" w:type="dxa"/>
              <w:bottom w:w="0" w:type="dxa"/>
              <w:right w:w="85" w:type="dxa"/>
            </w:tcMar>
            <w:vAlign w:val="center"/>
          </w:tcPr>
          <w:p w14:paraId="10B7336F" w14:textId="77777777" w:rsidR="00447423" w:rsidRPr="002A3CBE" w:rsidRDefault="00447423" w:rsidP="00F16E23">
            <w:pPr>
              <w:pStyle w:val="TableText"/>
              <w:spacing w:before="30" w:after="30"/>
              <w:jc w:val="right"/>
              <w:rPr>
                <w:rFonts w:eastAsia="Calibri"/>
              </w:rPr>
            </w:pPr>
            <w:r w:rsidRPr="002A3CBE">
              <w:rPr>
                <w:rFonts w:eastAsia="Calibri"/>
              </w:rPr>
              <w:t>83.9</w:t>
            </w:r>
          </w:p>
        </w:tc>
        <w:tc>
          <w:tcPr>
            <w:tcW w:w="850" w:type="dxa"/>
            <w:shd w:val="clear" w:color="auto" w:fill="FFFFFF"/>
            <w:tcMar>
              <w:top w:w="0" w:type="dxa"/>
              <w:left w:w="85" w:type="dxa"/>
              <w:bottom w:w="0" w:type="dxa"/>
              <w:right w:w="85" w:type="dxa"/>
            </w:tcMar>
            <w:vAlign w:val="center"/>
          </w:tcPr>
          <w:p w14:paraId="5F3CF12E" w14:textId="77777777" w:rsidR="00447423" w:rsidRPr="002A3CBE" w:rsidRDefault="00447423" w:rsidP="00F16E23">
            <w:pPr>
              <w:pStyle w:val="TableText"/>
              <w:spacing w:before="30" w:after="30"/>
              <w:jc w:val="right"/>
              <w:rPr>
                <w:rFonts w:eastAsia="Calibri"/>
              </w:rPr>
            </w:pPr>
            <w:r w:rsidRPr="002A3CBE">
              <w:rPr>
                <w:rFonts w:eastAsia="Calibri"/>
              </w:rPr>
              <w:t>328.6</w:t>
            </w:r>
          </w:p>
        </w:tc>
        <w:tc>
          <w:tcPr>
            <w:tcW w:w="1134" w:type="dxa"/>
            <w:shd w:val="clear" w:color="auto" w:fill="FFFFFF"/>
            <w:tcMar>
              <w:top w:w="0" w:type="dxa"/>
              <w:left w:w="85" w:type="dxa"/>
              <w:bottom w:w="0" w:type="dxa"/>
              <w:right w:w="85" w:type="dxa"/>
            </w:tcMar>
            <w:vAlign w:val="center"/>
          </w:tcPr>
          <w:p w14:paraId="3FFD52F8" w14:textId="77777777" w:rsidR="00447423" w:rsidRPr="002A3CBE" w:rsidRDefault="00447423" w:rsidP="00F16E23">
            <w:pPr>
              <w:pStyle w:val="TableText"/>
              <w:spacing w:before="30" w:after="30"/>
              <w:jc w:val="right"/>
              <w:rPr>
                <w:rFonts w:eastAsia="Calibri"/>
              </w:rPr>
            </w:pPr>
            <w:r w:rsidRPr="002A3CBE">
              <w:rPr>
                <w:rFonts w:eastAsia="Calibri"/>
              </w:rPr>
              <w:t>291.6</w:t>
            </w:r>
          </w:p>
        </w:tc>
      </w:tr>
      <w:tr w:rsidR="00447423" w:rsidRPr="002A3CBE" w14:paraId="7D79E375" w14:textId="77777777" w:rsidTr="00F16E23">
        <w:trPr>
          <w:trHeight w:val="20"/>
        </w:trPr>
        <w:tc>
          <w:tcPr>
            <w:tcW w:w="2551" w:type="dxa"/>
            <w:shd w:val="clear" w:color="auto" w:fill="FFFFFF"/>
            <w:tcMar>
              <w:top w:w="0" w:type="dxa"/>
              <w:left w:w="85" w:type="dxa"/>
              <w:bottom w:w="0" w:type="dxa"/>
              <w:right w:w="85" w:type="dxa"/>
            </w:tcMar>
            <w:vAlign w:val="center"/>
          </w:tcPr>
          <w:p w14:paraId="58E9EAC1" w14:textId="77777777" w:rsidR="00447423" w:rsidRPr="002A3CBE" w:rsidRDefault="00447423" w:rsidP="00F16E23">
            <w:pPr>
              <w:pStyle w:val="Tableboldblue"/>
              <w:spacing w:before="30" w:after="30"/>
              <w:rPr>
                <w:rFonts w:eastAsia="Calibri"/>
              </w:rPr>
            </w:pPr>
            <w:r w:rsidRPr="002A3CBE">
              <w:rPr>
                <w:rFonts w:eastAsia="Calibri"/>
              </w:rPr>
              <w:t>Total</w:t>
            </w:r>
          </w:p>
        </w:tc>
        <w:tc>
          <w:tcPr>
            <w:tcW w:w="1020" w:type="dxa"/>
            <w:shd w:val="clear" w:color="auto" w:fill="FFFFFF"/>
            <w:tcMar>
              <w:top w:w="0" w:type="dxa"/>
              <w:left w:w="85" w:type="dxa"/>
              <w:bottom w:w="0" w:type="dxa"/>
              <w:right w:w="85" w:type="dxa"/>
            </w:tcMar>
            <w:vAlign w:val="center"/>
          </w:tcPr>
          <w:p w14:paraId="20DFE16E" w14:textId="77777777" w:rsidR="00447423" w:rsidRPr="002A3CBE" w:rsidRDefault="00447423" w:rsidP="00F16E23">
            <w:pPr>
              <w:pStyle w:val="Tableboldblue"/>
              <w:spacing w:before="30" w:after="30"/>
              <w:jc w:val="right"/>
              <w:rPr>
                <w:rFonts w:eastAsia="Calibri"/>
              </w:rPr>
            </w:pPr>
            <w:r w:rsidRPr="002A3CBE">
              <w:rPr>
                <w:rFonts w:eastAsia="Calibri"/>
              </w:rPr>
              <w:t>424,097</w:t>
            </w:r>
          </w:p>
        </w:tc>
        <w:tc>
          <w:tcPr>
            <w:tcW w:w="1020" w:type="dxa"/>
            <w:shd w:val="clear" w:color="auto" w:fill="FFFFFF"/>
            <w:tcMar>
              <w:top w:w="0" w:type="dxa"/>
              <w:left w:w="85" w:type="dxa"/>
              <w:bottom w:w="0" w:type="dxa"/>
              <w:right w:w="85" w:type="dxa"/>
            </w:tcMar>
            <w:vAlign w:val="center"/>
          </w:tcPr>
          <w:p w14:paraId="47D80157" w14:textId="77777777" w:rsidR="00447423" w:rsidRPr="002A3CBE" w:rsidRDefault="00447423" w:rsidP="00F16E23">
            <w:pPr>
              <w:pStyle w:val="Tableboldblue"/>
              <w:spacing w:before="30" w:after="30"/>
              <w:jc w:val="right"/>
              <w:rPr>
                <w:rFonts w:eastAsia="Calibri"/>
              </w:rPr>
            </w:pPr>
            <w:r w:rsidRPr="002A3CBE">
              <w:rPr>
                <w:rFonts w:eastAsia="Calibri"/>
              </w:rPr>
              <w:t>504,940</w:t>
            </w:r>
          </w:p>
        </w:tc>
        <w:tc>
          <w:tcPr>
            <w:tcW w:w="1134" w:type="dxa"/>
            <w:shd w:val="clear" w:color="auto" w:fill="FFFFFF"/>
            <w:tcMar>
              <w:top w:w="0" w:type="dxa"/>
              <w:left w:w="85" w:type="dxa"/>
              <w:bottom w:w="0" w:type="dxa"/>
              <w:right w:w="85" w:type="dxa"/>
            </w:tcMar>
            <w:vAlign w:val="center"/>
          </w:tcPr>
          <w:p w14:paraId="44B85247" w14:textId="77777777" w:rsidR="00447423" w:rsidRPr="002A3CBE" w:rsidRDefault="00447423" w:rsidP="00F16E23">
            <w:pPr>
              <w:pStyle w:val="Tableboldblue"/>
              <w:spacing w:before="30" w:after="30"/>
              <w:jc w:val="right"/>
              <w:rPr>
                <w:rFonts w:eastAsia="Calibri"/>
              </w:rPr>
            </w:pPr>
            <w:r w:rsidRPr="002A3CBE">
              <w:rPr>
                <w:rFonts w:eastAsia="Calibri"/>
              </w:rPr>
              <w:t>19.1</w:t>
            </w:r>
          </w:p>
        </w:tc>
        <w:tc>
          <w:tcPr>
            <w:tcW w:w="850" w:type="dxa"/>
            <w:shd w:val="clear" w:color="auto" w:fill="FFFFFF"/>
            <w:tcMar>
              <w:top w:w="0" w:type="dxa"/>
              <w:left w:w="85" w:type="dxa"/>
              <w:bottom w:w="0" w:type="dxa"/>
              <w:right w:w="85" w:type="dxa"/>
            </w:tcMar>
            <w:vAlign w:val="center"/>
          </w:tcPr>
          <w:p w14:paraId="6E39484E" w14:textId="77777777" w:rsidR="00447423" w:rsidRPr="002A3CBE" w:rsidRDefault="00447423" w:rsidP="00F16E23">
            <w:pPr>
              <w:pStyle w:val="Tableboldblue"/>
              <w:spacing w:before="30" w:after="30"/>
              <w:jc w:val="right"/>
              <w:rPr>
                <w:rFonts w:eastAsia="Calibri"/>
              </w:rPr>
            </w:pPr>
            <w:r w:rsidRPr="002A3CBE">
              <w:rPr>
                <w:rFonts w:eastAsia="Calibri"/>
              </w:rPr>
              <w:t>436.8</w:t>
            </w:r>
          </w:p>
        </w:tc>
        <w:tc>
          <w:tcPr>
            <w:tcW w:w="850" w:type="dxa"/>
            <w:shd w:val="clear" w:color="auto" w:fill="FFFFFF"/>
            <w:tcMar>
              <w:top w:w="0" w:type="dxa"/>
              <w:left w:w="85" w:type="dxa"/>
              <w:bottom w:w="0" w:type="dxa"/>
              <w:right w:w="85" w:type="dxa"/>
            </w:tcMar>
            <w:vAlign w:val="center"/>
          </w:tcPr>
          <w:p w14:paraId="2697C25D" w14:textId="77777777" w:rsidR="00447423" w:rsidRPr="002A3CBE" w:rsidRDefault="00447423" w:rsidP="00F16E23">
            <w:pPr>
              <w:pStyle w:val="Tableboldblue"/>
              <w:spacing w:before="30" w:after="30"/>
              <w:jc w:val="right"/>
              <w:rPr>
                <w:rFonts w:eastAsia="Calibri"/>
              </w:rPr>
            </w:pPr>
            <w:r w:rsidRPr="002A3CBE">
              <w:rPr>
                <w:rFonts w:eastAsia="Calibri"/>
              </w:rPr>
              <w:t>580.0</w:t>
            </w:r>
          </w:p>
        </w:tc>
        <w:tc>
          <w:tcPr>
            <w:tcW w:w="1134" w:type="dxa"/>
            <w:shd w:val="clear" w:color="auto" w:fill="FFFFFF"/>
            <w:tcMar>
              <w:top w:w="0" w:type="dxa"/>
              <w:left w:w="85" w:type="dxa"/>
              <w:bottom w:w="0" w:type="dxa"/>
              <w:right w:w="85" w:type="dxa"/>
            </w:tcMar>
            <w:vAlign w:val="center"/>
          </w:tcPr>
          <w:p w14:paraId="27081E29" w14:textId="77777777" w:rsidR="00447423" w:rsidRPr="002A3CBE" w:rsidRDefault="00447423" w:rsidP="00F16E23">
            <w:pPr>
              <w:pStyle w:val="Tableboldblue"/>
              <w:spacing w:before="30" w:after="30"/>
              <w:jc w:val="right"/>
              <w:rPr>
                <w:rFonts w:eastAsia="Calibri"/>
              </w:rPr>
            </w:pPr>
            <w:r w:rsidRPr="002A3CBE">
              <w:rPr>
                <w:rFonts w:eastAsia="Calibri"/>
              </w:rPr>
              <w:t>32.8</w:t>
            </w:r>
          </w:p>
        </w:tc>
      </w:tr>
    </w:tbl>
    <w:p w14:paraId="4817F42B" w14:textId="77777777" w:rsidR="00447423" w:rsidRPr="002A3CBE" w:rsidRDefault="00447423" w:rsidP="00447423">
      <w:pPr>
        <w:pStyle w:val="Noteundertable"/>
        <w:spacing w:after="80"/>
      </w:pPr>
      <w:r w:rsidRPr="002A3CBE">
        <w:rPr>
          <w:b/>
        </w:rPr>
        <w:t>Note:</w:t>
      </w:r>
      <w:r w:rsidRPr="002A3CBE">
        <w:tab/>
        <w:t xml:space="preserve">Net area in 1990 is as at 1 January 1990; net area in 2024 is as at 31 December 2024. </w:t>
      </w:r>
      <w:r w:rsidRPr="002A3CBE">
        <w:rPr>
          <w:i/>
        </w:rPr>
        <w:t>Land converted to cropland</w:t>
      </w:r>
      <w:r w:rsidRPr="002A3CBE">
        <w:t xml:space="preserve"> includes land converted up to 20 years earlier. Net emission values are for the whole year indicated. Values include carbon dioxide equivalent emissions from nitrous oxide</w:t>
      </w:r>
      <w:r w:rsidRPr="002A3CBE" w:rsidDel="008E1888">
        <w:t xml:space="preserve"> </w:t>
      </w:r>
      <w:r w:rsidRPr="002A3CBE">
        <w:t xml:space="preserve">from cultivation of land. </w:t>
      </w:r>
    </w:p>
    <w:p w14:paraId="59FEE86A" w14:textId="77777777" w:rsidR="00447423" w:rsidRPr="002A3CBE" w:rsidRDefault="00447423" w:rsidP="00447423">
      <w:pPr>
        <w:pStyle w:val="BodyText"/>
        <w:spacing w:before="100" w:after="100"/>
      </w:pPr>
      <w:r w:rsidRPr="002A3CBE">
        <w:t xml:space="preserve">The </w:t>
      </w:r>
      <w:r w:rsidRPr="002A3CBE">
        <w:rPr>
          <w:i/>
        </w:rPr>
        <w:t>Land converted to cropland</w:t>
      </w:r>
      <w:r w:rsidRPr="002A3CBE">
        <w:t xml:space="preserve"> category is responsible for the majority of </w:t>
      </w:r>
      <w:r w:rsidRPr="002A3CBE">
        <w:rPr>
          <w:i/>
        </w:rPr>
        <w:t>Cropland</w:t>
      </w:r>
      <w:r w:rsidRPr="002A3CBE">
        <w:t xml:space="preserve"> emissions. This category comprised 27.7 percent of all </w:t>
      </w:r>
      <w:r w:rsidRPr="002A3CBE">
        <w:rPr>
          <w:i/>
        </w:rPr>
        <w:t>Cropland</w:t>
      </w:r>
      <w:r w:rsidRPr="002A3CBE">
        <w:t xml:space="preserve"> area in 2024. </w:t>
      </w:r>
    </w:p>
    <w:p w14:paraId="23271FB3" w14:textId="77777777" w:rsidR="00447423" w:rsidRPr="002A3CBE" w:rsidRDefault="00447423" w:rsidP="00447423">
      <w:pPr>
        <w:pStyle w:val="BodyText"/>
        <w:spacing w:before="100" w:after="100"/>
      </w:pPr>
      <w:r w:rsidRPr="002A3CBE">
        <w:t xml:space="preserve">Most emissions due to carbon stock change that have occurred in the </w:t>
      </w:r>
      <w:r w:rsidRPr="002A3CBE">
        <w:rPr>
          <w:i/>
        </w:rPr>
        <w:t>Cropland</w:t>
      </w:r>
      <w:r w:rsidRPr="002A3CBE">
        <w:t xml:space="preserve"> category since 1990 are in the SOC pool (5,145.0 kt C) (table 6.5.2). Within the SOC pool, the majority of changes in carbon stocks result from drained organic soils (3,535.0 kt C). This is because organic soils continue to lose carbon even after the 20-year transition period (IPCC, 2006a).</w:t>
      </w:r>
    </w:p>
    <w:p w14:paraId="2EF7CCCD" w14:textId="77777777" w:rsidR="00447423" w:rsidRPr="002A3CBE" w:rsidRDefault="00447423" w:rsidP="00447423">
      <w:pPr>
        <w:pStyle w:val="Table"/>
      </w:pPr>
      <w:bookmarkStart w:id="2178" w:name="_Toc378853301"/>
      <w:bookmarkStart w:id="2179" w:name="_Toc391024099"/>
      <w:bookmarkStart w:id="2180" w:name="_Toc410028842"/>
      <w:bookmarkStart w:id="2181" w:name="_Toc414531470"/>
      <w:bookmarkStart w:id="2182" w:name="_Toc443645383"/>
      <w:bookmarkStart w:id="2183" w:name="_Toc474914602"/>
      <w:bookmarkStart w:id="2184" w:name="_Toc481751566"/>
      <w:bookmarkStart w:id="2185" w:name="_Toc522010623"/>
      <w:bookmarkStart w:id="2186" w:name="_Toc5269528"/>
      <w:bookmarkStart w:id="2187" w:name="_Toc33529402"/>
      <w:bookmarkStart w:id="2188" w:name="_Toc36224608"/>
      <w:bookmarkStart w:id="2189" w:name="_Toc65243605"/>
      <w:bookmarkStart w:id="2190" w:name="_Toc131591402"/>
      <w:bookmarkStart w:id="2191" w:name="_Toc158979960"/>
      <w:bookmarkStart w:id="2192" w:name="_Toc164153893"/>
      <w:bookmarkStart w:id="2193" w:name="_Toc190873127"/>
      <w:bookmarkStart w:id="2194" w:name="_Toc194241766"/>
      <w:bookmarkStart w:id="2195" w:name="_Toc222837917"/>
      <w:bookmarkStart w:id="2196" w:name="_Toc226669063"/>
      <w:r w:rsidRPr="002A3CBE">
        <w:t>Table 6.5.2</w:t>
      </w:r>
      <w:r w:rsidRPr="002A3CBE">
        <w:tab/>
        <w:t>New Zealand’s carbon stock change by carbon pool for the</w:t>
      </w:r>
      <w:r w:rsidRPr="002A3CBE">
        <w:rPr>
          <w:rFonts w:cs="Arial Bold"/>
        </w:rPr>
        <w:t xml:space="preserve"> </w:t>
      </w:r>
      <w:r w:rsidRPr="002A3CBE">
        <w:rPr>
          <w:rFonts w:cs="Arial Bold"/>
          <w:i/>
        </w:rPr>
        <w:t>Crop</w:t>
      </w:r>
      <w:r w:rsidRPr="002A3CBE">
        <w:rPr>
          <w:i/>
        </w:rPr>
        <w:t>land</w:t>
      </w:r>
      <w:r w:rsidRPr="002A3CBE">
        <w:t xml:space="preserve"> category, from 1990 to</w:t>
      </w:r>
      <w:bookmarkEnd w:id="2178"/>
      <w:bookmarkEnd w:id="2179"/>
      <w:r w:rsidRPr="002A3CBE">
        <w:t> </w:t>
      </w:r>
      <w:bookmarkEnd w:id="2180"/>
      <w:bookmarkEnd w:id="2181"/>
      <w:bookmarkEnd w:id="2182"/>
      <w:bookmarkEnd w:id="2183"/>
      <w:bookmarkEnd w:id="2184"/>
      <w:bookmarkEnd w:id="2185"/>
      <w:bookmarkEnd w:id="2186"/>
      <w:bookmarkEnd w:id="2187"/>
      <w:bookmarkEnd w:id="2188"/>
      <w:bookmarkEnd w:id="2189"/>
      <w:bookmarkEnd w:id="2190"/>
      <w:bookmarkEnd w:id="2191"/>
      <w:bookmarkEnd w:id="2192"/>
      <w:r w:rsidRPr="002A3CBE">
        <w:t>2024</w:t>
      </w:r>
      <w:bookmarkEnd w:id="2193"/>
      <w:bookmarkEnd w:id="2194"/>
      <w:bookmarkEnd w:id="2195"/>
      <w:bookmarkEnd w:id="2196"/>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843"/>
        <w:gridCol w:w="1276"/>
        <w:gridCol w:w="1559"/>
        <w:gridCol w:w="1134"/>
        <w:gridCol w:w="992"/>
        <w:gridCol w:w="1701"/>
      </w:tblGrid>
      <w:tr w:rsidR="00447423" w:rsidRPr="002A3CBE" w14:paraId="56FA9C32" w14:textId="77777777" w:rsidTr="00F16E23">
        <w:trPr>
          <w:tblHeader/>
        </w:trPr>
        <w:tc>
          <w:tcPr>
            <w:tcW w:w="1843" w:type="dxa"/>
            <w:shd w:val="clear" w:color="auto" w:fill="1B556B"/>
            <w:tcMar>
              <w:top w:w="0" w:type="dxa"/>
              <w:left w:w="85" w:type="dxa"/>
              <w:bottom w:w="0" w:type="dxa"/>
              <w:right w:w="85" w:type="dxa"/>
            </w:tcMar>
            <w:vAlign w:val="center"/>
          </w:tcPr>
          <w:p w14:paraId="7378A5D8" w14:textId="77777777" w:rsidR="00447423" w:rsidRPr="002A3CBE" w:rsidRDefault="00447423" w:rsidP="00F16E23">
            <w:pPr>
              <w:pStyle w:val="TableTextBold"/>
              <w:spacing w:before="40" w:after="40"/>
              <w:jc w:val="center"/>
              <w:rPr>
                <w:rFonts w:eastAsia="Calibri"/>
                <w:noProof w:val="0"/>
                <w:color w:val="FFFFFF" w:themeColor="background1"/>
              </w:rPr>
            </w:pPr>
          </w:p>
        </w:tc>
        <w:tc>
          <w:tcPr>
            <w:tcW w:w="4961" w:type="dxa"/>
            <w:gridSpan w:val="4"/>
            <w:shd w:val="clear" w:color="auto" w:fill="1B556B"/>
            <w:tcMar>
              <w:top w:w="0" w:type="dxa"/>
              <w:left w:w="85" w:type="dxa"/>
              <w:bottom w:w="0" w:type="dxa"/>
              <w:right w:w="85" w:type="dxa"/>
            </w:tcMar>
            <w:vAlign w:val="center"/>
          </w:tcPr>
          <w:p w14:paraId="767F3358" w14:textId="77777777" w:rsidR="00447423" w:rsidRPr="002A3CBE" w:rsidRDefault="00447423" w:rsidP="00F16E23">
            <w:pPr>
              <w:pStyle w:val="TableTextBold"/>
              <w:spacing w:before="40" w:after="40"/>
              <w:jc w:val="center"/>
              <w:rPr>
                <w:rFonts w:eastAsia="Calibri"/>
                <w:noProof w:val="0"/>
                <w:color w:val="FFFFFF" w:themeColor="background1"/>
              </w:rPr>
            </w:pPr>
            <w:r w:rsidRPr="002A3CBE">
              <w:rPr>
                <w:rFonts w:eastAsia="Calibri"/>
                <w:noProof w:val="0"/>
                <w:color w:val="FFFFFF" w:themeColor="background1"/>
              </w:rPr>
              <w:t>Net carbon stock change 1990–2024 (kt C)</w:t>
            </w:r>
          </w:p>
        </w:tc>
        <w:tc>
          <w:tcPr>
            <w:tcW w:w="1701" w:type="dxa"/>
            <w:shd w:val="clear" w:color="auto" w:fill="1B556B"/>
            <w:tcMar>
              <w:top w:w="0" w:type="dxa"/>
              <w:left w:w="85" w:type="dxa"/>
              <w:bottom w:w="0" w:type="dxa"/>
              <w:right w:w="85" w:type="dxa"/>
            </w:tcMar>
            <w:vAlign w:val="center"/>
          </w:tcPr>
          <w:p w14:paraId="08E1BC1F"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Emissions 1990–2024</w:t>
            </w:r>
          </w:p>
        </w:tc>
      </w:tr>
      <w:tr w:rsidR="00447423" w:rsidRPr="002A3CBE" w14:paraId="0BDB02AE" w14:textId="77777777" w:rsidTr="00F16E23">
        <w:trPr>
          <w:tblHeader/>
        </w:trPr>
        <w:tc>
          <w:tcPr>
            <w:tcW w:w="1843" w:type="dxa"/>
            <w:shd w:val="clear" w:color="auto" w:fill="1B556B"/>
            <w:tcMar>
              <w:top w:w="0" w:type="dxa"/>
              <w:left w:w="85" w:type="dxa"/>
              <w:bottom w:w="0" w:type="dxa"/>
              <w:right w:w="85" w:type="dxa"/>
            </w:tcMar>
            <w:vAlign w:val="center"/>
          </w:tcPr>
          <w:p w14:paraId="67470713" w14:textId="77777777" w:rsidR="00447423" w:rsidRPr="002A3CBE" w:rsidRDefault="00447423" w:rsidP="00F16E23">
            <w:pPr>
              <w:pStyle w:val="TableTextBold"/>
              <w:spacing w:before="0" w:after="30"/>
              <w:rPr>
                <w:rFonts w:eastAsia="Calibri"/>
                <w:noProof w:val="0"/>
                <w:color w:val="FFFFFF" w:themeColor="background1"/>
              </w:rPr>
            </w:pPr>
            <w:r w:rsidRPr="002A3CBE">
              <w:rPr>
                <w:rFonts w:eastAsia="Calibri"/>
                <w:noProof w:val="0"/>
                <w:color w:val="FFFFFF" w:themeColor="background1"/>
              </w:rPr>
              <w:t>Land use</w:t>
            </w:r>
          </w:p>
        </w:tc>
        <w:tc>
          <w:tcPr>
            <w:tcW w:w="1276" w:type="dxa"/>
            <w:shd w:val="clear" w:color="auto" w:fill="1B556B"/>
            <w:tcMar>
              <w:top w:w="0" w:type="dxa"/>
              <w:left w:w="85" w:type="dxa"/>
              <w:bottom w:w="0" w:type="dxa"/>
              <w:right w:w="85" w:type="dxa"/>
            </w:tcMar>
            <w:vAlign w:val="center"/>
          </w:tcPr>
          <w:p w14:paraId="2AE746BC"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Living biomass</w:t>
            </w:r>
          </w:p>
        </w:tc>
        <w:tc>
          <w:tcPr>
            <w:tcW w:w="1559" w:type="dxa"/>
            <w:shd w:val="clear" w:color="auto" w:fill="1B556B"/>
            <w:tcMar>
              <w:top w:w="0" w:type="dxa"/>
              <w:left w:w="85" w:type="dxa"/>
              <w:bottom w:w="0" w:type="dxa"/>
              <w:right w:w="85" w:type="dxa"/>
            </w:tcMar>
            <w:vAlign w:val="center"/>
          </w:tcPr>
          <w:p w14:paraId="0591642E"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Dead organic matter</w:t>
            </w:r>
          </w:p>
        </w:tc>
        <w:tc>
          <w:tcPr>
            <w:tcW w:w="1134" w:type="dxa"/>
            <w:shd w:val="clear" w:color="auto" w:fill="1B556B"/>
            <w:tcMar>
              <w:top w:w="0" w:type="dxa"/>
              <w:left w:w="85" w:type="dxa"/>
              <w:bottom w:w="0" w:type="dxa"/>
              <w:right w:w="85" w:type="dxa"/>
            </w:tcMar>
            <w:vAlign w:val="center"/>
          </w:tcPr>
          <w:p w14:paraId="35BCEFEF"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Soils</w:t>
            </w:r>
          </w:p>
        </w:tc>
        <w:tc>
          <w:tcPr>
            <w:tcW w:w="992" w:type="dxa"/>
            <w:shd w:val="clear" w:color="auto" w:fill="1B556B"/>
            <w:tcMar>
              <w:top w:w="0" w:type="dxa"/>
              <w:left w:w="85" w:type="dxa"/>
              <w:bottom w:w="0" w:type="dxa"/>
              <w:right w:w="85" w:type="dxa"/>
            </w:tcMar>
            <w:vAlign w:val="center"/>
          </w:tcPr>
          <w:p w14:paraId="2C4D78A5"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Total</w:t>
            </w:r>
          </w:p>
        </w:tc>
        <w:tc>
          <w:tcPr>
            <w:tcW w:w="1701" w:type="dxa"/>
            <w:shd w:val="clear" w:color="auto" w:fill="1B556B"/>
            <w:tcMar>
              <w:top w:w="0" w:type="dxa"/>
              <w:left w:w="85" w:type="dxa"/>
              <w:bottom w:w="0" w:type="dxa"/>
              <w:right w:w="85" w:type="dxa"/>
            </w:tcMar>
            <w:vAlign w:val="center"/>
          </w:tcPr>
          <w:p w14:paraId="331A1D18" w14:textId="77777777" w:rsidR="00447423" w:rsidRPr="002A3CBE" w:rsidRDefault="00447423" w:rsidP="00F16E23">
            <w:pPr>
              <w:pStyle w:val="TableTextBold"/>
              <w:spacing w:before="0" w:after="30"/>
              <w:jc w:val="right"/>
              <w:rPr>
                <w:rFonts w:eastAsia="Calibri"/>
                <w:noProof w:val="0"/>
                <w:color w:val="FFFFFF" w:themeColor="background1"/>
              </w:rPr>
            </w:pPr>
            <w:r w:rsidRPr="002A3CBE">
              <w:rPr>
                <w:rFonts w:eastAsia="Calibri"/>
                <w:noProof w:val="0"/>
                <w:color w:val="FFFFFF" w:themeColor="background1"/>
              </w:rPr>
              <w:t>(kt CO₂)</w:t>
            </w:r>
          </w:p>
        </w:tc>
      </w:tr>
      <w:tr w:rsidR="00447423" w:rsidRPr="002A3CBE" w14:paraId="6FD92B37" w14:textId="77777777" w:rsidTr="00F16E23">
        <w:tc>
          <w:tcPr>
            <w:tcW w:w="1843" w:type="dxa"/>
            <w:shd w:val="clear" w:color="auto" w:fill="FFFFFF"/>
            <w:tcMar>
              <w:top w:w="0" w:type="dxa"/>
              <w:left w:w="85" w:type="dxa"/>
              <w:bottom w:w="0" w:type="dxa"/>
              <w:right w:w="85" w:type="dxa"/>
            </w:tcMar>
            <w:vAlign w:val="center"/>
          </w:tcPr>
          <w:p w14:paraId="6C028255" w14:textId="77777777" w:rsidR="00447423" w:rsidRPr="002A3CBE" w:rsidRDefault="00447423" w:rsidP="00F16E23">
            <w:pPr>
              <w:pStyle w:val="TableText"/>
              <w:spacing w:before="30" w:after="30"/>
              <w:rPr>
                <w:rFonts w:eastAsia="Calibri"/>
              </w:rPr>
            </w:pPr>
            <w:r w:rsidRPr="002A3CBE">
              <w:rPr>
                <w:rFonts w:eastAsia="Calibri"/>
              </w:rPr>
              <w:t>Annual cropland</w:t>
            </w:r>
          </w:p>
        </w:tc>
        <w:tc>
          <w:tcPr>
            <w:tcW w:w="1276" w:type="dxa"/>
            <w:shd w:val="clear" w:color="auto" w:fill="FFFFFF"/>
            <w:tcMar>
              <w:top w:w="0" w:type="dxa"/>
              <w:left w:w="85" w:type="dxa"/>
              <w:bottom w:w="0" w:type="dxa"/>
              <w:right w:w="85" w:type="dxa"/>
            </w:tcMar>
            <w:vAlign w:val="center"/>
          </w:tcPr>
          <w:p w14:paraId="374EEEC4" w14:textId="77777777" w:rsidR="00447423" w:rsidRPr="002A3CBE" w:rsidRDefault="00447423" w:rsidP="00F16E23">
            <w:pPr>
              <w:pStyle w:val="TableText"/>
              <w:spacing w:before="30" w:after="30"/>
              <w:jc w:val="right"/>
              <w:rPr>
                <w:rFonts w:eastAsia="Calibri"/>
              </w:rPr>
            </w:pPr>
            <w:r w:rsidRPr="002A3CBE">
              <w:rPr>
                <w:rFonts w:eastAsia="Calibri"/>
              </w:rPr>
              <w:t>214.6</w:t>
            </w:r>
          </w:p>
        </w:tc>
        <w:tc>
          <w:tcPr>
            <w:tcW w:w="1559" w:type="dxa"/>
            <w:shd w:val="clear" w:color="auto" w:fill="FFFFFF"/>
            <w:tcMar>
              <w:top w:w="0" w:type="dxa"/>
              <w:left w:w="85" w:type="dxa"/>
              <w:bottom w:w="0" w:type="dxa"/>
              <w:right w:w="85" w:type="dxa"/>
            </w:tcMar>
            <w:vAlign w:val="center"/>
          </w:tcPr>
          <w:p w14:paraId="6A2AA0A7" w14:textId="77777777" w:rsidR="00447423" w:rsidRPr="002A3CBE" w:rsidRDefault="00447423" w:rsidP="00F16E23">
            <w:pPr>
              <w:pStyle w:val="TableText"/>
              <w:spacing w:before="30" w:after="30"/>
              <w:jc w:val="right"/>
              <w:rPr>
                <w:rFonts w:eastAsia="Calibri"/>
              </w:rPr>
            </w:pPr>
            <w:r w:rsidRPr="002A3CBE">
              <w:rPr>
                <w:rFonts w:eastAsia="Calibri"/>
              </w:rPr>
              <w:t>-13.9</w:t>
            </w:r>
          </w:p>
        </w:tc>
        <w:tc>
          <w:tcPr>
            <w:tcW w:w="1134" w:type="dxa"/>
            <w:shd w:val="clear" w:color="auto" w:fill="FFFFFF"/>
            <w:tcMar>
              <w:top w:w="0" w:type="dxa"/>
              <w:left w:w="85" w:type="dxa"/>
              <w:bottom w:w="0" w:type="dxa"/>
              <w:right w:w="85" w:type="dxa"/>
            </w:tcMar>
            <w:vAlign w:val="center"/>
          </w:tcPr>
          <w:p w14:paraId="00622381" w14:textId="77777777" w:rsidR="00447423" w:rsidRPr="002A3CBE" w:rsidRDefault="00447423" w:rsidP="00F16E23">
            <w:pPr>
              <w:pStyle w:val="TableText"/>
              <w:spacing w:before="30" w:after="30"/>
              <w:jc w:val="right"/>
              <w:rPr>
                <w:rFonts w:eastAsia="Calibri"/>
              </w:rPr>
            </w:pPr>
            <w:r w:rsidRPr="002A3CBE">
              <w:rPr>
                <w:rFonts w:eastAsia="Calibri"/>
              </w:rPr>
              <w:t>-3,588.1</w:t>
            </w:r>
          </w:p>
        </w:tc>
        <w:tc>
          <w:tcPr>
            <w:tcW w:w="992" w:type="dxa"/>
            <w:shd w:val="clear" w:color="auto" w:fill="FFFFFF"/>
            <w:tcMar>
              <w:top w:w="0" w:type="dxa"/>
              <w:left w:w="85" w:type="dxa"/>
              <w:bottom w:w="0" w:type="dxa"/>
              <w:right w:w="85" w:type="dxa"/>
            </w:tcMar>
            <w:vAlign w:val="center"/>
          </w:tcPr>
          <w:p w14:paraId="4FF8B081" w14:textId="77777777" w:rsidR="00447423" w:rsidRPr="002A3CBE" w:rsidRDefault="00447423" w:rsidP="00F16E23">
            <w:pPr>
              <w:pStyle w:val="TableText"/>
              <w:spacing w:before="30" w:after="30"/>
              <w:jc w:val="right"/>
              <w:rPr>
                <w:rFonts w:eastAsia="Calibri"/>
              </w:rPr>
            </w:pPr>
            <w:r w:rsidRPr="002A3CBE">
              <w:rPr>
                <w:rFonts w:eastAsia="Calibri"/>
              </w:rPr>
              <w:t>-3,387.4</w:t>
            </w:r>
          </w:p>
        </w:tc>
        <w:tc>
          <w:tcPr>
            <w:tcW w:w="1701" w:type="dxa"/>
            <w:shd w:val="clear" w:color="auto" w:fill="FFFFFF"/>
            <w:tcMar>
              <w:top w:w="0" w:type="dxa"/>
              <w:left w:w="85" w:type="dxa"/>
              <w:bottom w:w="0" w:type="dxa"/>
              <w:right w:w="85" w:type="dxa"/>
            </w:tcMar>
            <w:vAlign w:val="center"/>
          </w:tcPr>
          <w:p w14:paraId="129817E3" w14:textId="77777777" w:rsidR="00447423" w:rsidRPr="002A3CBE" w:rsidRDefault="00447423" w:rsidP="00F16E23">
            <w:pPr>
              <w:pStyle w:val="TableText"/>
              <w:spacing w:before="30" w:after="30"/>
              <w:jc w:val="right"/>
              <w:rPr>
                <w:rFonts w:eastAsia="Calibri"/>
              </w:rPr>
            </w:pPr>
            <w:r w:rsidRPr="002A3CBE">
              <w:rPr>
                <w:rFonts w:eastAsia="Calibri"/>
              </w:rPr>
              <w:t>12,420.6</w:t>
            </w:r>
          </w:p>
        </w:tc>
      </w:tr>
      <w:tr w:rsidR="00447423" w:rsidRPr="002A3CBE" w14:paraId="2C5E3264" w14:textId="77777777" w:rsidTr="00F16E23">
        <w:tc>
          <w:tcPr>
            <w:tcW w:w="1843" w:type="dxa"/>
            <w:shd w:val="clear" w:color="auto" w:fill="FFFFFF"/>
            <w:tcMar>
              <w:top w:w="0" w:type="dxa"/>
              <w:left w:w="85" w:type="dxa"/>
              <w:bottom w:w="0" w:type="dxa"/>
              <w:right w:w="85" w:type="dxa"/>
            </w:tcMar>
            <w:vAlign w:val="center"/>
          </w:tcPr>
          <w:p w14:paraId="795BCF51" w14:textId="77777777" w:rsidR="00447423" w:rsidRPr="002A3CBE" w:rsidRDefault="00447423" w:rsidP="00F16E23">
            <w:pPr>
              <w:pStyle w:val="TableText"/>
              <w:spacing w:before="30" w:after="30"/>
              <w:rPr>
                <w:rFonts w:eastAsia="Calibri"/>
              </w:rPr>
            </w:pPr>
            <w:r w:rsidRPr="002A3CBE">
              <w:rPr>
                <w:rFonts w:eastAsia="Calibri"/>
              </w:rPr>
              <w:t>Perennial cropland</w:t>
            </w:r>
          </w:p>
        </w:tc>
        <w:tc>
          <w:tcPr>
            <w:tcW w:w="1276" w:type="dxa"/>
            <w:shd w:val="clear" w:color="auto" w:fill="FFFFFF"/>
            <w:tcMar>
              <w:top w:w="0" w:type="dxa"/>
              <w:left w:w="85" w:type="dxa"/>
              <w:bottom w:w="0" w:type="dxa"/>
              <w:right w:w="85" w:type="dxa"/>
            </w:tcMar>
            <w:vAlign w:val="center"/>
          </w:tcPr>
          <w:p w14:paraId="522D5DD2" w14:textId="77777777" w:rsidR="00447423" w:rsidRPr="002A3CBE" w:rsidRDefault="00447423" w:rsidP="00F16E23">
            <w:pPr>
              <w:pStyle w:val="TableText"/>
              <w:spacing w:before="30" w:after="30"/>
              <w:jc w:val="right"/>
              <w:rPr>
                <w:rFonts w:eastAsia="Calibri"/>
              </w:rPr>
            </w:pPr>
            <w:r w:rsidRPr="002A3CBE">
              <w:rPr>
                <w:rFonts w:eastAsia="Calibri"/>
              </w:rPr>
              <w:t>564.4</w:t>
            </w:r>
          </w:p>
        </w:tc>
        <w:tc>
          <w:tcPr>
            <w:tcW w:w="1559" w:type="dxa"/>
            <w:shd w:val="clear" w:color="auto" w:fill="FFFFFF"/>
            <w:tcMar>
              <w:top w:w="0" w:type="dxa"/>
              <w:left w:w="85" w:type="dxa"/>
              <w:bottom w:w="0" w:type="dxa"/>
              <w:right w:w="85" w:type="dxa"/>
            </w:tcMar>
            <w:vAlign w:val="center"/>
          </w:tcPr>
          <w:p w14:paraId="317523D2" w14:textId="77777777" w:rsidR="00447423" w:rsidRPr="002A3CBE" w:rsidRDefault="00447423" w:rsidP="00F16E23">
            <w:pPr>
              <w:pStyle w:val="TableText"/>
              <w:spacing w:before="30" w:after="30"/>
              <w:jc w:val="right"/>
              <w:rPr>
                <w:rFonts w:eastAsia="Calibri"/>
              </w:rPr>
            </w:pPr>
            <w:r w:rsidRPr="002A3CBE">
              <w:rPr>
                <w:rFonts w:eastAsia="Calibri"/>
              </w:rPr>
              <w:t>-9.4</w:t>
            </w:r>
          </w:p>
        </w:tc>
        <w:tc>
          <w:tcPr>
            <w:tcW w:w="1134" w:type="dxa"/>
            <w:shd w:val="clear" w:color="auto" w:fill="FFFFFF"/>
            <w:tcMar>
              <w:top w:w="0" w:type="dxa"/>
              <w:left w:w="85" w:type="dxa"/>
              <w:bottom w:w="0" w:type="dxa"/>
              <w:right w:w="85" w:type="dxa"/>
            </w:tcMar>
            <w:vAlign w:val="center"/>
          </w:tcPr>
          <w:p w14:paraId="75EC03A8" w14:textId="77777777" w:rsidR="00447423" w:rsidRPr="002A3CBE" w:rsidRDefault="00447423" w:rsidP="00F16E23">
            <w:pPr>
              <w:pStyle w:val="TableText"/>
              <w:spacing w:before="30" w:after="30"/>
              <w:jc w:val="right"/>
              <w:rPr>
                <w:rFonts w:eastAsia="Calibri"/>
              </w:rPr>
            </w:pPr>
            <w:r w:rsidRPr="002A3CBE">
              <w:rPr>
                <w:rFonts w:eastAsia="Calibri"/>
              </w:rPr>
              <w:t>-1,556.9</w:t>
            </w:r>
          </w:p>
        </w:tc>
        <w:tc>
          <w:tcPr>
            <w:tcW w:w="992" w:type="dxa"/>
            <w:shd w:val="clear" w:color="auto" w:fill="FFFFFF"/>
            <w:tcMar>
              <w:top w:w="0" w:type="dxa"/>
              <w:left w:w="85" w:type="dxa"/>
              <w:bottom w:w="0" w:type="dxa"/>
              <w:right w:w="85" w:type="dxa"/>
            </w:tcMar>
            <w:vAlign w:val="center"/>
          </w:tcPr>
          <w:p w14:paraId="7A553219" w14:textId="77777777" w:rsidR="00447423" w:rsidRPr="002A3CBE" w:rsidRDefault="00447423" w:rsidP="00F16E23">
            <w:pPr>
              <w:pStyle w:val="TableText"/>
              <w:spacing w:before="30" w:after="30"/>
              <w:jc w:val="right"/>
              <w:rPr>
                <w:rFonts w:eastAsia="Calibri"/>
              </w:rPr>
            </w:pPr>
            <w:r w:rsidRPr="002A3CBE">
              <w:rPr>
                <w:rFonts w:eastAsia="Calibri"/>
              </w:rPr>
              <w:t>-1,001.8</w:t>
            </w:r>
          </w:p>
        </w:tc>
        <w:tc>
          <w:tcPr>
            <w:tcW w:w="1701" w:type="dxa"/>
            <w:shd w:val="clear" w:color="auto" w:fill="FFFFFF"/>
            <w:tcMar>
              <w:top w:w="0" w:type="dxa"/>
              <w:left w:w="85" w:type="dxa"/>
              <w:bottom w:w="0" w:type="dxa"/>
              <w:right w:w="85" w:type="dxa"/>
            </w:tcMar>
            <w:vAlign w:val="center"/>
          </w:tcPr>
          <w:p w14:paraId="316FE2D7" w14:textId="77777777" w:rsidR="00447423" w:rsidRPr="002A3CBE" w:rsidRDefault="00447423" w:rsidP="00F16E23">
            <w:pPr>
              <w:pStyle w:val="TableText"/>
              <w:spacing w:before="30" w:after="30"/>
              <w:jc w:val="right"/>
              <w:rPr>
                <w:rFonts w:eastAsia="Calibri"/>
              </w:rPr>
            </w:pPr>
            <w:r w:rsidRPr="002A3CBE">
              <w:rPr>
                <w:rFonts w:eastAsia="Calibri"/>
              </w:rPr>
              <w:t>3,673.4</w:t>
            </w:r>
          </w:p>
        </w:tc>
      </w:tr>
      <w:tr w:rsidR="00447423" w:rsidRPr="002A3CBE" w14:paraId="6DC3F788" w14:textId="77777777" w:rsidTr="00F16E23">
        <w:tc>
          <w:tcPr>
            <w:tcW w:w="1843" w:type="dxa"/>
            <w:shd w:val="clear" w:color="auto" w:fill="FFFFFF"/>
            <w:tcMar>
              <w:top w:w="0" w:type="dxa"/>
              <w:left w:w="85" w:type="dxa"/>
              <w:bottom w:w="0" w:type="dxa"/>
              <w:right w:w="85" w:type="dxa"/>
            </w:tcMar>
            <w:vAlign w:val="center"/>
          </w:tcPr>
          <w:p w14:paraId="34BFE977" w14:textId="77777777" w:rsidR="00447423" w:rsidRPr="002A3CBE" w:rsidRDefault="00447423" w:rsidP="00F16E23">
            <w:pPr>
              <w:pStyle w:val="Tableboldblue"/>
              <w:spacing w:before="30" w:after="30"/>
              <w:rPr>
                <w:rFonts w:eastAsia="Calibri"/>
              </w:rPr>
            </w:pPr>
            <w:r w:rsidRPr="002A3CBE">
              <w:rPr>
                <w:rFonts w:eastAsia="Calibri"/>
              </w:rPr>
              <w:t>Total</w:t>
            </w:r>
          </w:p>
        </w:tc>
        <w:tc>
          <w:tcPr>
            <w:tcW w:w="1276" w:type="dxa"/>
            <w:shd w:val="clear" w:color="auto" w:fill="FFFFFF"/>
            <w:tcMar>
              <w:top w:w="0" w:type="dxa"/>
              <w:left w:w="85" w:type="dxa"/>
              <w:bottom w:w="0" w:type="dxa"/>
              <w:right w:w="85" w:type="dxa"/>
            </w:tcMar>
            <w:vAlign w:val="center"/>
          </w:tcPr>
          <w:p w14:paraId="416C4A7B" w14:textId="77777777" w:rsidR="00447423" w:rsidRPr="002A3CBE" w:rsidRDefault="00447423" w:rsidP="00F16E23">
            <w:pPr>
              <w:pStyle w:val="Tableboldblue"/>
              <w:spacing w:before="30" w:after="30"/>
              <w:jc w:val="right"/>
              <w:rPr>
                <w:rFonts w:eastAsia="Calibri"/>
              </w:rPr>
            </w:pPr>
            <w:r w:rsidRPr="002A3CBE">
              <w:rPr>
                <w:rFonts w:eastAsia="Calibri"/>
              </w:rPr>
              <w:t>779.0</w:t>
            </w:r>
          </w:p>
        </w:tc>
        <w:tc>
          <w:tcPr>
            <w:tcW w:w="1559" w:type="dxa"/>
            <w:shd w:val="clear" w:color="auto" w:fill="FFFFFF"/>
            <w:tcMar>
              <w:top w:w="0" w:type="dxa"/>
              <w:left w:w="85" w:type="dxa"/>
              <w:bottom w:w="0" w:type="dxa"/>
              <w:right w:w="85" w:type="dxa"/>
            </w:tcMar>
            <w:vAlign w:val="center"/>
          </w:tcPr>
          <w:p w14:paraId="727218C3" w14:textId="77777777" w:rsidR="00447423" w:rsidRPr="002A3CBE" w:rsidRDefault="00447423" w:rsidP="00F16E23">
            <w:pPr>
              <w:pStyle w:val="Tableboldblue"/>
              <w:spacing w:before="30" w:after="30"/>
              <w:jc w:val="right"/>
              <w:rPr>
                <w:rFonts w:eastAsia="Calibri"/>
              </w:rPr>
            </w:pPr>
            <w:r w:rsidRPr="002A3CBE">
              <w:rPr>
                <w:rFonts w:eastAsia="Calibri"/>
              </w:rPr>
              <w:t>-23.3</w:t>
            </w:r>
          </w:p>
        </w:tc>
        <w:tc>
          <w:tcPr>
            <w:tcW w:w="1134" w:type="dxa"/>
            <w:shd w:val="clear" w:color="auto" w:fill="FFFFFF"/>
            <w:tcMar>
              <w:top w:w="0" w:type="dxa"/>
              <w:left w:w="85" w:type="dxa"/>
              <w:bottom w:w="0" w:type="dxa"/>
              <w:right w:w="85" w:type="dxa"/>
            </w:tcMar>
            <w:vAlign w:val="center"/>
          </w:tcPr>
          <w:p w14:paraId="1E2CE701" w14:textId="77777777" w:rsidR="00447423" w:rsidRPr="002A3CBE" w:rsidRDefault="00447423" w:rsidP="00F16E23">
            <w:pPr>
              <w:pStyle w:val="Tableboldblue"/>
              <w:spacing w:before="30" w:after="30"/>
              <w:jc w:val="right"/>
              <w:rPr>
                <w:rFonts w:eastAsia="Calibri"/>
              </w:rPr>
            </w:pPr>
            <w:r w:rsidRPr="002A3CBE">
              <w:rPr>
                <w:rFonts w:eastAsia="Calibri"/>
              </w:rPr>
              <w:t>-5,145.0</w:t>
            </w:r>
          </w:p>
        </w:tc>
        <w:tc>
          <w:tcPr>
            <w:tcW w:w="992" w:type="dxa"/>
            <w:shd w:val="clear" w:color="auto" w:fill="FFFFFF"/>
            <w:tcMar>
              <w:top w:w="0" w:type="dxa"/>
              <w:left w:w="85" w:type="dxa"/>
              <w:bottom w:w="0" w:type="dxa"/>
              <w:right w:w="85" w:type="dxa"/>
            </w:tcMar>
            <w:vAlign w:val="center"/>
          </w:tcPr>
          <w:p w14:paraId="3BA6D613" w14:textId="77777777" w:rsidR="00447423" w:rsidRPr="002A3CBE" w:rsidRDefault="00447423" w:rsidP="00F16E23">
            <w:pPr>
              <w:pStyle w:val="Tableboldblue"/>
              <w:spacing w:before="30" w:after="30"/>
              <w:jc w:val="right"/>
              <w:rPr>
                <w:rFonts w:eastAsia="Calibri"/>
              </w:rPr>
            </w:pPr>
            <w:r w:rsidRPr="002A3CBE">
              <w:rPr>
                <w:rFonts w:eastAsia="Calibri"/>
              </w:rPr>
              <w:t>-4,389.3</w:t>
            </w:r>
          </w:p>
        </w:tc>
        <w:tc>
          <w:tcPr>
            <w:tcW w:w="1701" w:type="dxa"/>
            <w:shd w:val="clear" w:color="auto" w:fill="FFFFFF"/>
            <w:tcMar>
              <w:top w:w="0" w:type="dxa"/>
              <w:left w:w="85" w:type="dxa"/>
              <w:bottom w:w="0" w:type="dxa"/>
              <w:right w:w="85" w:type="dxa"/>
            </w:tcMar>
            <w:vAlign w:val="center"/>
          </w:tcPr>
          <w:p w14:paraId="0A6F6009" w14:textId="77777777" w:rsidR="00447423" w:rsidRPr="002A3CBE" w:rsidRDefault="00447423" w:rsidP="00F16E23">
            <w:pPr>
              <w:pStyle w:val="Tableboldblue"/>
              <w:spacing w:before="30" w:after="30"/>
              <w:jc w:val="right"/>
              <w:rPr>
                <w:rFonts w:eastAsia="Calibri"/>
              </w:rPr>
            </w:pPr>
            <w:r w:rsidRPr="002A3CBE">
              <w:rPr>
                <w:rFonts w:eastAsia="Calibri"/>
              </w:rPr>
              <w:t>16,094.0</w:t>
            </w:r>
          </w:p>
        </w:tc>
      </w:tr>
    </w:tbl>
    <w:p w14:paraId="11FC1A70" w14:textId="77777777" w:rsidR="00447423" w:rsidRPr="002A3CBE" w:rsidRDefault="00447423" w:rsidP="00447423">
      <w:pPr>
        <w:pStyle w:val="Noteundertable"/>
        <w:spacing w:after="80"/>
      </w:pPr>
      <w:r w:rsidRPr="002A3CBE">
        <w:rPr>
          <w:b/>
        </w:rPr>
        <w:t>Note:</w:t>
      </w:r>
      <w:r w:rsidRPr="002A3CBE">
        <w:tab/>
        <w:t xml:space="preserve">This table includes carbon dioxide emissions from carbon stock change only (so it does not include emissions from nitrous oxide disturbance). The reported dead organic matter losses result from the loss of dead organic matter of woody land use categories on conversion to cropland. Columns may not total due to rounding. </w:t>
      </w:r>
    </w:p>
    <w:p w14:paraId="0F8F023F" w14:textId="77777777" w:rsidR="00447423" w:rsidRPr="002A3CBE" w:rsidRDefault="00447423" w:rsidP="00447423">
      <w:pPr>
        <w:pStyle w:val="BodyText"/>
        <w:spacing w:before="100" w:after="100"/>
      </w:pPr>
      <w:r w:rsidRPr="002A3CBE">
        <w:t xml:space="preserve">Table 6.5.3 shows land-use change by </w:t>
      </w:r>
      <w:r w:rsidRPr="002A3CBE">
        <w:rPr>
          <w:i/>
        </w:rPr>
        <w:t>Cropland</w:t>
      </w:r>
      <w:r w:rsidRPr="002A3CBE">
        <w:t xml:space="preserve"> land use since 1990, and the associated CO</w:t>
      </w:r>
      <w:r w:rsidRPr="002A3CBE">
        <w:rPr>
          <w:vertAlign w:val="subscript"/>
        </w:rPr>
        <w:t>2</w:t>
      </w:r>
      <w:r w:rsidRPr="002A3CBE">
        <w:t xml:space="preserve"> emissions from carbon stock change. The </w:t>
      </w:r>
      <w:r w:rsidRPr="002A3CBE">
        <w:rPr>
          <w:i/>
        </w:rPr>
        <w:t>Cropland</w:t>
      </w:r>
      <w:r w:rsidRPr="002A3CBE">
        <w:t xml:space="preserve"> category in New Zealand is separated into two land use types: annual and perennial. In 2024, annual cropland accounted for 1.5 percent of total land area, and perennial cropland accounted for 0.4 percent of total land area in New Zealand. </w:t>
      </w:r>
    </w:p>
    <w:p w14:paraId="7C55F044" w14:textId="77777777" w:rsidR="00447423" w:rsidRPr="002A3CBE" w:rsidRDefault="00447423" w:rsidP="00447423">
      <w:pPr>
        <w:pStyle w:val="BodyText"/>
        <w:spacing w:before="100" w:after="100"/>
      </w:pPr>
      <w:r w:rsidRPr="002A3CBE">
        <w:t xml:space="preserve">Annual crops include cereals, grains, oil seeds, vegetables, root crops and forages. Perennial crops include orchards, vineyards and their associated shelterbelts except where these shelterbelts meet the criteria for the </w:t>
      </w:r>
      <w:r w:rsidRPr="002A3CBE">
        <w:rPr>
          <w:i/>
        </w:rPr>
        <w:t>Forest land</w:t>
      </w:r>
      <w:r w:rsidRPr="002A3CBE">
        <w:t xml:space="preserve"> category. </w:t>
      </w:r>
    </w:p>
    <w:p w14:paraId="07EF688D" w14:textId="77777777" w:rsidR="00447423" w:rsidRPr="002A3CBE" w:rsidRDefault="00447423" w:rsidP="00447423">
      <w:pPr>
        <w:pStyle w:val="BodyText"/>
        <w:spacing w:before="100" w:after="100"/>
      </w:pPr>
      <w:r w:rsidRPr="002A3CBE">
        <w:t xml:space="preserve">The amount of carbon stored in, emitted by or removed from </w:t>
      </w:r>
      <w:r w:rsidRPr="002A3CBE">
        <w:rPr>
          <w:i/>
        </w:rPr>
        <w:t>Cropland</w:t>
      </w:r>
      <w:r w:rsidRPr="002A3CBE">
        <w:t xml:space="preserve"> depends on crop type, management practices, soil properties and climate variables. Annual crops are harvested each year, with little long-term storage of carbon in biomass. Woody vegetation in orchards stores more carbon in biomass, with the amount largely determined by the crop species and presence of shelterbelts. </w:t>
      </w:r>
    </w:p>
    <w:p w14:paraId="068AA8D7" w14:textId="77777777" w:rsidR="00447423" w:rsidRPr="002A3CBE" w:rsidRDefault="00447423" w:rsidP="00447423">
      <w:pPr>
        <w:pStyle w:val="Table"/>
      </w:pPr>
      <w:bookmarkStart w:id="2197" w:name="_Toc310423415"/>
      <w:bookmarkStart w:id="2198" w:name="_Toc318362708"/>
      <w:bookmarkStart w:id="2199" w:name="_Toc342470770"/>
      <w:bookmarkStart w:id="2200" w:name="_Toc352505010"/>
      <w:bookmarkStart w:id="2201" w:name="_Toc378853302"/>
      <w:bookmarkStart w:id="2202" w:name="_Toc391024100"/>
      <w:bookmarkStart w:id="2203" w:name="_Toc410028843"/>
      <w:bookmarkStart w:id="2204" w:name="_Toc414531471"/>
      <w:bookmarkStart w:id="2205" w:name="_Toc443645384"/>
      <w:bookmarkStart w:id="2206" w:name="_Toc474914603"/>
      <w:bookmarkStart w:id="2207" w:name="_Toc481751567"/>
      <w:bookmarkStart w:id="2208" w:name="_Toc522010624"/>
      <w:bookmarkStart w:id="2209" w:name="_Toc5269529"/>
      <w:bookmarkStart w:id="2210" w:name="_Toc33529403"/>
      <w:bookmarkStart w:id="2211" w:name="_Toc36224609"/>
      <w:bookmarkStart w:id="2212" w:name="_Toc65243606"/>
      <w:bookmarkStart w:id="2213" w:name="_Toc131591403"/>
      <w:bookmarkStart w:id="2214" w:name="_Toc158979961"/>
      <w:bookmarkStart w:id="2215" w:name="_Toc164153894"/>
      <w:bookmarkStart w:id="2216" w:name="_Toc190873128"/>
      <w:bookmarkStart w:id="2217" w:name="_Toc194241767"/>
      <w:bookmarkStart w:id="2218" w:name="_Toc222837918"/>
      <w:bookmarkStart w:id="2219" w:name="_Toc226669064"/>
      <w:r w:rsidRPr="002A3CBE">
        <w:t>Table 6.5.3</w:t>
      </w:r>
      <w:r w:rsidRPr="002A3CBE">
        <w:tab/>
        <w:t xml:space="preserve">New Zealand’s land-use change by </w:t>
      </w:r>
      <w:r w:rsidRPr="002A3CBE">
        <w:rPr>
          <w:i/>
        </w:rPr>
        <w:t>Cropland</w:t>
      </w:r>
      <w:r w:rsidRPr="002A3CBE">
        <w:t xml:space="preserve"> land use, and associated CO</w:t>
      </w:r>
      <w:r w:rsidRPr="002A3CBE">
        <w:rPr>
          <w:vertAlign w:val="subscript"/>
        </w:rPr>
        <w:t>2</w:t>
      </w:r>
      <w:r w:rsidRPr="002A3CBE">
        <w:t xml:space="preserve"> emissions from carbon stock change</w:t>
      </w:r>
      <w:bookmarkEnd w:id="2197"/>
      <w:bookmarkEnd w:id="2198"/>
      <w:bookmarkEnd w:id="2199"/>
      <w:bookmarkEnd w:id="2200"/>
      <w:bookmarkEnd w:id="2201"/>
      <w:r w:rsidRPr="002A3CBE">
        <w:t>, from 1990 to</w:t>
      </w:r>
      <w:bookmarkEnd w:id="2202"/>
      <w:r w:rsidRPr="002A3CBE">
        <w:t> </w:t>
      </w:r>
      <w:bookmarkEnd w:id="2203"/>
      <w:bookmarkEnd w:id="2204"/>
      <w:bookmarkEnd w:id="2205"/>
      <w:bookmarkEnd w:id="2206"/>
      <w:bookmarkEnd w:id="2207"/>
      <w:bookmarkEnd w:id="2208"/>
      <w:bookmarkEnd w:id="2209"/>
      <w:bookmarkEnd w:id="2210"/>
      <w:bookmarkEnd w:id="2211"/>
      <w:bookmarkEnd w:id="2212"/>
      <w:bookmarkEnd w:id="2213"/>
      <w:bookmarkEnd w:id="2214"/>
      <w:bookmarkEnd w:id="2215"/>
      <w:r w:rsidRPr="002A3CBE">
        <w:t>2024</w:t>
      </w:r>
      <w:bookmarkEnd w:id="2216"/>
      <w:bookmarkEnd w:id="2217"/>
      <w:bookmarkEnd w:id="2218"/>
      <w:bookmarkEnd w:id="2219"/>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622"/>
        <w:gridCol w:w="952"/>
        <w:gridCol w:w="952"/>
        <w:gridCol w:w="1454"/>
        <w:gridCol w:w="1119"/>
        <w:gridCol w:w="952"/>
        <w:gridCol w:w="1454"/>
      </w:tblGrid>
      <w:tr w:rsidR="00447423" w:rsidRPr="002A3CBE" w14:paraId="3B5B3288" w14:textId="77777777" w:rsidTr="00F16E23">
        <w:trPr>
          <w:tblHeader/>
        </w:trPr>
        <w:tc>
          <w:tcPr>
            <w:tcW w:w="1622" w:type="dxa"/>
            <w:shd w:val="clear" w:color="auto" w:fill="1B556B"/>
            <w:tcMar>
              <w:top w:w="0" w:type="dxa"/>
              <w:left w:w="85" w:type="dxa"/>
              <w:bottom w:w="0" w:type="dxa"/>
              <w:right w:w="85" w:type="dxa"/>
            </w:tcMar>
            <w:vAlign w:val="center"/>
          </w:tcPr>
          <w:p w14:paraId="107BFBC0" w14:textId="77777777" w:rsidR="00447423" w:rsidRPr="002A3CBE" w:rsidRDefault="00447423" w:rsidP="00F16E23">
            <w:pPr>
              <w:pStyle w:val="TableTextBold"/>
              <w:spacing w:before="40" w:after="0"/>
              <w:rPr>
                <w:rFonts w:eastAsia="Calibri"/>
                <w:noProof w:val="0"/>
                <w:color w:val="FFFFFF" w:themeColor="background1"/>
              </w:rPr>
            </w:pPr>
          </w:p>
        </w:tc>
        <w:tc>
          <w:tcPr>
            <w:tcW w:w="1904" w:type="dxa"/>
            <w:gridSpan w:val="2"/>
            <w:shd w:val="clear" w:color="auto" w:fill="1B556B"/>
            <w:tcMar>
              <w:top w:w="0" w:type="dxa"/>
              <w:left w:w="85" w:type="dxa"/>
              <w:bottom w:w="0" w:type="dxa"/>
              <w:right w:w="85" w:type="dxa"/>
            </w:tcMar>
            <w:vAlign w:val="center"/>
          </w:tcPr>
          <w:p w14:paraId="7F75BEB3" w14:textId="77777777" w:rsidR="00447423" w:rsidRPr="002A3CBE" w:rsidRDefault="00447423" w:rsidP="00F16E23">
            <w:pPr>
              <w:pStyle w:val="TableTextBold"/>
              <w:spacing w:before="40" w:after="0"/>
              <w:ind w:left="423"/>
              <w:jc w:val="center"/>
              <w:rPr>
                <w:rFonts w:eastAsia="Calibri"/>
                <w:noProof w:val="0"/>
                <w:color w:val="FFFFFF" w:themeColor="background1"/>
              </w:rPr>
            </w:pPr>
            <w:r w:rsidRPr="002A3CBE">
              <w:rPr>
                <w:rFonts w:eastAsia="Calibri"/>
                <w:noProof w:val="0"/>
                <w:color w:val="FFFFFF" w:themeColor="background1"/>
              </w:rPr>
              <w:t>Net area (ha)</w:t>
            </w:r>
          </w:p>
        </w:tc>
        <w:tc>
          <w:tcPr>
            <w:tcW w:w="1454" w:type="dxa"/>
            <w:vMerge w:val="restart"/>
            <w:shd w:val="clear" w:color="auto" w:fill="1B556B"/>
            <w:tcMar>
              <w:top w:w="0" w:type="dxa"/>
              <w:left w:w="85" w:type="dxa"/>
              <w:bottom w:w="0" w:type="dxa"/>
              <w:right w:w="85" w:type="dxa"/>
            </w:tcMar>
            <w:vAlign w:val="center"/>
          </w:tcPr>
          <w:p w14:paraId="6321E3F1" w14:textId="77777777" w:rsidR="00447423" w:rsidRPr="002A3CBE" w:rsidRDefault="00447423" w:rsidP="00F16E23">
            <w:pPr>
              <w:pStyle w:val="TableTextBold"/>
              <w:spacing w:before="40" w:after="0"/>
              <w:jc w:val="right"/>
              <w:rPr>
                <w:rFonts w:eastAsia="Calibri"/>
                <w:noProof w:val="0"/>
                <w:color w:val="FFFFFF" w:themeColor="background1"/>
              </w:rPr>
            </w:pPr>
            <w:r w:rsidRPr="002A3CBE">
              <w:rPr>
                <w:rFonts w:eastAsia="Calibri"/>
                <w:noProof w:val="0"/>
                <w:color w:val="FFFFFF" w:themeColor="background1"/>
              </w:rPr>
              <w:t xml:space="preserve">Change from </w:t>
            </w:r>
            <w:r w:rsidRPr="002A3CBE">
              <w:rPr>
                <w:rFonts w:eastAsia="Calibri"/>
                <w:noProof w:val="0"/>
                <w:color w:val="FFFFFF" w:themeColor="background1"/>
              </w:rPr>
              <w:br/>
              <w:t>1990 (%)</w:t>
            </w:r>
          </w:p>
        </w:tc>
        <w:tc>
          <w:tcPr>
            <w:tcW w:w="2071" w:type="dxa"/>
            <w:gridSpan w:val="2"/>
            <w:shd w:val="clear" w:color="auto" w:fill="1B556B"/>
            <w:tcMar>
              <w:top w:w="0" w:type="dxa"/>
              <w:left w:w="85" w:type="dxa"/>
              <w:bottom w:w="0" w:type="dxa"/>
              <w:right w:w="85" w:type="dxa"/>
            </w:tcMar>
            <w:vAlign w:val="center"/>
          </w:tcPr>
          <w:p w14:paraId="26328BC3"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Net emissions (kt CO₂ only)</w:t>
            </w:r>
          </w:p>
        </w:tc>
        <w:tc>
          <w:tcPr>
            <w:tcW w:w="1454" w:type="dxa"/>
            <w:vMerge w:val="restart"/>
            <w:shd w:val="clear" w:color="auto" w:fill="1B556B"/>
            <w:tcMar>
              <w:top w:w="0" w:type="dxa"/>
              <w:left w:w="85" w:type="dxa"/>
              <w:bottom w:w="0" w:type="dxa"/>
              <w:right w:w="85" w:type="dxa"/>
            </w:tcMar>
            <w:vAlign w:val="center"/>
          </w:tcPr>
          <w:p w14:paraId="7C28914D" w14:textId="77777777" w:rsidR="00447423" w:rsidRPr="002A3CBE" w:rsidRDefault="00447423" w:rsidP="00F16E23">
            <w:pPr>
              <w:pStyle w:val="TableTextBold"/>
              <w:spacing w:before="40" w:after="0"/>
              <w:jc w:val="right"/>
              <w:rPr>
                <w:rFonts w:eastAsia="Calibri"/>
                <w:noProof w:val="0"/>
                <w:color w:val="FFFFFF" w:themeColor="background1"/>
              </w:rPr>
            </w:pPr>
            <w:r w:rsidRPr="002A3CBE">
              <w:rPr>
                <w:rFonts w:eastAsia="Calibri"/>
                <w:noProof w:val="0"/>
                <w:color w:val="FFFFFF" w:themeColor="background1"/>
              </w:rPr>
              <w:t>Change from</w:t>
            </w:r>
            <w:r w:rsidRPr="002A3CBE">
              <w:rPr>
                <w:rFonts w:eastAsia="Calibri"/>
                <w:noProof w:val="0"/>
                <w:color w:val="FFFFFF" w:themeColor="background1"/>
              </w:rPr>
              <w:br/>
              <w:t>1990 (%)</w:t>
            </w:r>
          </w:p>
        </w:tc>
      </w:tr>
      <w:tr w:rsidR="00447423" w:rsidRPr="002A3CBE" w14:paraId="45C41597" w14:textId="77777777" w:rsidTr="00F16E23">
        <w:trPr>
          <w:tblHeader/>
        </w:trPr>
        <w:tc>
          <w:tcPr>
            <w:tcW w:w="1622" w:type="dxa"/>
            <w:shd w:val="clear" w:color="auto" w:fill="1B556B"/>
            <w:tcMar>
              <w:top w:w="0" w:type="dxa"/>
              <w:left w:w="85" w:type="dxa"/>
              <w:bottom w:w="0" w:type="dxa"/>
              <w:right w:w="85" w:type="dxa"/>
            </w:tcMar>
            <w:vAlign w:val="center"/>
          </w:tcPr>
          <w:p w14:paraId="34AE531D"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Land use</w:t>
            </w:r>
          </w:p>
        </w:tc>
        <w:tc>
          <w:tcPr>
            <w:tcW w:w="952" w:type="dxa"/>
            <w:shd w:val="clear" w:color="auto" w:fill="1B556B"/>
            <w:tcMar>
              <w:top w:w="0" w:type="dxa"/>
              <w:left w:w="85" w:type="dxa"/>
              <w:bottom w:w="0" w:type="dxa"/>
              <w:right w:w="85" w:type="dxa"/>
            </w:tcMar>
            <w:vAlign w:val="center"/>
          </w:tcPr>
          <w:p w14:paraId="1EB752DC"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952" w:type="dxa"/>
            <w:shd w:val="clear" w:color="auto" w:fill="1B556B"/>
            <w:tcMar>
              <w:top w:w="0" w:type="dxa"/>
              <w:left w:w="85" w:type="dxa"/>
              <w:bottom w:w="0" w:type="dxa"/>
              <w:right w:w="85" w:type="dxa"/>
            </w:tcMar>
            <w:vAlign w:val="center"/>
          </w:tcPr>
          <w:p w14:paraId="79F274CC"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454" w:type="dxa"/>
            <w:vMerge/>
            <w:shd w:val="clear" w:color="auto" w:fill="1B556B"/>
            <w:tcMar>
              <w:top w:w="0" w:type="dxa"/>
              <w:left w:w="85" w:type="dxa"/>
              <w:bottom w:w="0" w:type="dxa"/>
              <w:right w:w="85" w:type="dxa"/>
            </w:tcMar>
            <w:vAlign w:val="center"/>
          </w:tcPr>
          <w:p w14:paraId="65779CC2" w14:textId="77777777" w:rsidR="00447423" w:rsidRPr="002A3CBE" w:rsidRDefault="00447423" w:rsidP="00F16E23">
            <w:pPr>
              <w:pStyle w:val="TableTextBold"/>
              <w:spacing w:before="40" w:after="40"/>
              <w:jc w:val="right"/>
              <w:rPr>
                <w:rFonts w:eastAsia="Calibri"/>
                <w:noProof w:val="0"/>
                <w:color w:val="FFFFFF" w:themeColor="background1"/>
              </w:rPr>
            </w:pPr>
          </w:p>
        </w:tc>
        <w:tc>
          <w:tcPr>
            <w:tcW w:w="1119" w:type="dxa"/>
            <w:shd w:val="clear" w:color="auto" w:fill="1B556B"/>
            <w:tcMar>
              <w:top w:w="0" w:type="dxa"/>
              <w:left w:w="85" w:type="dxa"/>
              <w:bottom w:w="0" w:type="dxa"/>
              <w:right w:w="85" w:type="dxa"/>
            </w:tcMar>
            <w:vAlign w:val="center"/>
          </w:tcPr>
          <w:p w14:paraId="38C5B8FC"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952" w:type="dxa"/>
            <w:shd w:val="clear" w:color="auto" w:fill="1B556B"/>
            <w:tcMar>
              <w:top w:w="0" w:type="dxa"/>
              <w:left w:w="85" w:type="dxa"/>
              <w:bottom w:w="0" w:type="dxa"/>
              <w:right w:w="85" w:type="dxa"/>
            </w:tcMar>
            <w:vAlign w:val="center"/>
          </w:tcPr>
          <w:p w14:paraId="145674B7"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454" w:type="dxa"/>
            <w:vMerge/>
            <w:shd w:val="clear" w:color="auto" w:fill="1B556B"/>
            <w:tcMar>
              <w:top w:w="0" w:type="dxa"/>
              <w:left w:w="85" w:type="dxa"/>
              <w:bottom w:w="0" w:type="dxa"/>
              <w:right w:w="85" w:type="dxa"/>
            </w:tcMar>
            <w:vAlign w:val="center"/>
          </w:tcPr>
          <w:p w14:paraId="53C849CD" w14:textId="77777777" w:rsidR="00447423" w:rsidRPr="002A3CBE" w:rsidRDefault="00447423" w:rsidP="00F16E23">
            <w:pPr>
              <w:pStyle w:val="TableTextBold"/>
              <w:spacing w:before="40" w:after="40"/>
              <w:jc w:val="right"/>
              <w:rPr>
                <w:rFonts w:eastAsia="Calibri"/>
                <w:noProof w:val="0"/>
                <w:color w:val="FFFFFF" w:themeColor="background1"/>
              </w:rPr>
            </w:pPr>
          </w:p>
        </w:tc>
      </w:tr>
      <w:tr w:rsidR="00447423" w:rsidRPr="002A3CBE" w14:paraId="63211FC1" w14:textId="77777777" w:rsidTr="00F16E23">
        <w:tc>
          <w:tcPr>
            <w:tcW w:w="1622" w:type="dxa"/>
            <w:shd w:val="clear" w:color="auto" w:fill="FFFFFF"/>
            <w:tcMar>
              <w:top w:w="0" w:type="dxa"/>
              <w:left w:w="85" w:type="dxa"/>
              <w:bottom w:w="0" w:type="dxa"/>
              <w:right w:w="85" w:type="dxa"/>
            </w:tcMar>
            <w:vAlign w:val="center"/>
          </w:tcPr>
          <w:p w14:paraId="0E7D0CB6" w14:textId="77777777" w:rsidR="00447423" w:rsidRPr="002A3CBE" w:rsidRDefault="00447423" w:rsidP="00F16E23">
            <w:pPr>
              <w:pStyle w:val="TableText"/>
              <w:spacing w:before="40" w:after="40"/>
              <w:rPr>
                <w:rFonts w:eastAsia="Calibri"/>
              </w:rPr>
            </w:pPr>
            <w:r w:rsidRPr="002A3CBE">
              <w:rPr>
                <w:rFonts w:eastAsia="Calibri"/>
              </w:rPr>
              <w:t>Annual cropland</w:t>
            </w:r>
          </w:p>
        </w:tc>
        <w:tc>
          <w:tcPr>
            <w:tcW w:w="952" w:type="dxa"/>
            <w:shd w:val="clear" w:color="auto" w:fill="FFFFFF"/>
            <w:tcMar>
              <w:top w:w="0" w:type="dxa"/>
              <w:left w:w="85" w:type="dxa"/>
              <w:bottom w:w="0" w:type="dxa"/>
              <w:right w:w="85" w:type="dxa"/>
            </w:tcMar>
            <w:vAlign w:val="center"/>
          </w:tcPr>
          <w:p w14:paraId="6E5D6733" w14:textId="77777777" w:rsidR="00447423" w:rsidRPr="002A3CBE" w:rsidRDefault="00447423" w:rsidP="00F16E23">
            <w:pPr>
              <w:pStyle w:val="TableText"/>
              <w:spacing w:before="40" w:after="40"/>
              <w:jc w:val="right"/>
              <w:rPr>
                <w:rFonts w:eastAsia="Calibri"/>
              </w:rPr>
            </w:pPr>
            <w:r w:rsidRPr="002A3CBE">
              <w:rPr>
                <w:rFonts w:eastAsia="Calibri"/>
              </w:rPr>
              <w:t>355,073</w:t>
            </w:r>
          </w:p>
        </w:tc>
        <w:tc>
          <w:tcPr>
            <w:tcW w:w="952" w:type="dxa"/>
            <w:shd w:val="clear" w:color="auto" w:fill="FFFFFF"/>
            <w:tcMar>
              <w:top w:w="0" w:type="dxa"/>
              <w:left w:w="85" w:type="dxa"/>
              <w:bottom w:w="0" w:type="dxa"/>
              <w:right w:w="85" w:type="dxa"/>
            </w:tcMar>
            <w:vAlign w:val="center"/>
          </w:tcPr>
          <w:p w14:paraId="104CFB81" w14:textId="77777777" w:rsidR="00447423" w:rsidRPr="002A3CBE" w:rsidRDefault="00447423" w:rsidP="00F16E23">
            <w:pPr>
              <w:pStyle w:val="TableText"/>
              <w:spacing w:before="40" w:after="40"/>
              <w:jc w:val="right"/>
              <w:rPr>
                <w:rFonts w:eastAsia="Calibri"/>
              </w:rPr>
            </w:pPr>
            <w:r w:rsidRPr="002A3CBE">
              <w:rPr>
                <w:rFonts w:eastAsia="Calibri"/>
              </w:rPr>
              <w:t>396,478</w:t>
            </w:r>
          </w:p>
        </w:tc>
        <w:tc>
          <w:tcPr>
            <w:tcW w:w="1454" w:type="dxa"/>
            <w:shd w:val="clear" w:color="auto" w:fill="FFFFFF"/>
            <w:tcMar>
              <w:top w:w="0" w:type="dxa"/>
              <w:left w:w="85" w:type="dxa"/>
              <w:bottom w:w="0" w:type="dxa"/>
              <w:right w:w="85" w:type="dxa"/>
            </w:tcMar>
            <w:vAlign w:val="center"/>
          </w:tcPr>
          <w:p w14:paraId="74592D98" w14:textId="77777777" w:rsidR="00447423" w:rsidRPr="002A3CBE" w:rsidRDefault="00447423" w:rsidP="00F16E23">
            <w:pPr>
              <w:pStyle w:val="TableText"/>
              <w:spacing w:before="40" w:after="40"/>
              <w:jc w:val="right"/>
              <w:rPr>
                <w:rFonts w:eastAsia="Calibri"/>
              </w:rPr>
            </w:pPr>
            <w:r w:rsidRPr="002A3CBE">
              <w:rPr>
                <w:rFonts w:eastAsia="Calibri"/>
              </w:rPr>
              <w:t>11.7</w:t>
            </w:r>
          </w:p>
        </w:tc>
        <w:tc>
          <w:tcPr>
            <w:tcW w:w="1119" w:type="dxa"/>
            <w:shd w:val="clear" w:color="auto" w:fill="FFFFFF"/>
            <w:tcMar>
              <w:top w:w="0" w:type="dxa"/>
              <w:left w:w="85" w:type="dxa"/>
              <w:bottom w:w="0" w:type="dxa"/>
              <w:right w:w="85" w:type="dxa"/>
            </w:tcMar>
            <w:vAlign w:val="center"/>
          </w:tcPr>
          <w:p w14:paraId="1C372718" w14:textId="77777777" w:rsidR="00447423" w:rsidRPr="002A3CBE" w:rsidRDefault="00447423" w:rsidP="00F16E23">
            <w:pPr>
              <w:pStyle w:val="TableText"/>
              <w:spacing w:before="40" w:after="40"/>
              <w:jc w:val="right"/>
              <w:rPr>
                <w:rFonts w:eastAsia="Calibri"/>
              </w:rPr>
            </w:pPr>
            <w:r w:rsidRPr="002A3CBE">
              <w:rPr>
                <w:rFonts w:eastAsia="Calibri"/>
              </w:rPr>
              <w:t>327.1</w:t>
            </w:r>
          </w:p>
        </w:tc>
        <w:tc>
          <w:tcPr>
            <w:tcW w:w="952" w:type="dxa"/>
            <w:shd w:val="clear" w:color="auto" w:fill="FFFFFF"/>
            <w:tcMar>
              <w:top w:w="0" w:type="dxa"/>
              <w:left w:w="85" w:type="dxa"/>
              <w:bottom w:w="0" w:type="dxa"/>
              <w:right w:w="85" w:type="dxa"/>
            </w:tcMar>
            <w:vAlign w:val="center"/>
          </w:tcPr>
          <w:p w14:paraId="0AE37566" w14:textId="77777777" w:rsidR="00447423" w:rsidRPr="002A3CBE" w:rsidRDefault="00447423" w:rsidP="00F16E23">
            <w:pPr>
              <w:pStyle w:val="TableText"/>
              <w:spacing w:before="40" w:after="40"/>
              <w:jc w:val="right"/>
              <w:rPr>
                <w:rFonts w:eastAsia="Calibri"/>
              </w:rPr>
            </w:pPr>
            <w:r w:rsidRPr="002A3CBE">
              <w:rPr>
                <w:rFonts w:eastAsia="Calibri"/>
              </w:rPr>
              <w:t>489.7</w:t>
            </w:r>
          </w:p>
        </w:tc>
        <w:tc>
          <w:tcPr>
            <w:tcW w:w="1454" w:type="dxa"/>
            <w:shd w:val="clear" w:color="auto" w:fill="FFFFFF"/>
            <w:tcMar>
              <w:top w:w="0" w:type="dxa"/>
              <w:left w:w="85" w:type="dxa"/>
              <w:bottom w:w="0" w:type="dxa"/>
              <w:right w:w="85" w:type="dxa"/>
            </w:tcMar>
            <w:vAlign w:val="center"/>
          </w:tcPr>
          <w:p w14:paraId="531B8DF0" w14:textId="77777777" w:rsidR="00447423" w:rsidRPr="002A3CBE" w:rsidRDefault="00447423" w:rsidP="00F16E23">
            <w:pPr>
              <w:pStyle w:val="TableText"/>
              <w:spacing w:before="40" w:after="40"/>
              <w:jc w:val="right"/>
              <w:rPr>
                <w:rFonts w:eastAsia="Calibri"/>
              </w:rPr>
            </w:pPr>
            <w:r w:rsidRPr="002A3CBE">
              <w:rPr>
                <w:rFonts w:eastAsia="Calibri"/>
              </w:rPr>
              <w:t>49.7</w:t>
            </w:r>
          </w:p>
        </w:tc>
      </w:tr>
      <w:tr w:rsidR="00447423" w:rsidRPr="002A3CBE" w14:paraId="14F36334" w14:textId="77777777" w:rsidTr="00F16E23">
        <w:tc>
          <w:tcPr>
            <w:tcW w:w="1622" w:type="dxa"/>
            <w:shd w:val="clear" w:color="auto" w:fill="FFFFFF"/>
            <w:tcMar>
              <w:top w:w="0" w:type="dxa"/>
              <w:left w:w="85" w:type="dxa"/>
              <w:bottom w:w="0" w:type="dxa"/>
              <w:right w:w="85" w:type="dxa"/>
            </w:tcMar>
            <w:vAlign w:val="center"/>
          </w:tcPr>
          <w:p w14:paraId="08CC1AB7" w14:textId="77777777" w:rsidR="00447423" w:rsidRPr="002A3CBE" w:rsidRDefault="00447423" w:rsidP="00F16E23">
            <w:pPr>
              <w:pStyle w:val="TableText"/>
              <w:spacing w:before="40" w:after="40"/>
              <w:rPr>
                <w:rFonts w:eastAsia="Calibri"/>
              </w:rPr>
            </w:pPr>
            <w:r w:rsidRPr="002A3CBE">
              <w:rPr>
                <w:rFonts w:eastAsia="Calibri"/>
              </w:rPr>
              <w:t>Perennial cropland</w:t>
            </w:r>
          </w:p>
        </w:tc>
        <w:tc>
          <w:tcPr>
            <w:tcW w:w="952" w:type="dxa"/>
            <w:shd w:val="clear" w:color="auto" w:fill="FFFFFF"/>
            <w:tcMar>
              <w:top w:w="0" w:type="dxa"/>
              <w:left w:w="85" w:type="dxa"/>
              <w:bottom w:w="0" w:type="dxa"/>
              <w:right w:w="85" w:type="dxa"/>
            </w:tcMar>
            <w:vAlign w:val="center"/>
          </w:tcPr>
          <w:p w14:paraId="19298BAA" w14:textId="77777777" w:rsidR="00447423" w:rsidRPr="002A3CBE" w:rsidRDefault="00447423" w:rsidP="00F16E23">
            <w:pPr>
              <w:pStyle w:val="TableText"/>
              <w:spacing w:before="40" w:after="40"/>
              <w:jc w:val="right"/>
              <w:rPr>
                <w:rFonts w:eastAsia="Calibri"/>
              </w:rPr>
            </w:pPr>
            <w:r w:rsidRPr="002A3CBE">
              <w:rPr>
                <w:rFonts w:eastAsia="Calibri"/>
              </w:rPr>
              <w:t>69,023</w:t>
            </w:r>
          </w:p>
        </w:tc>
        <w:tc>
          <w:tcPr>
            <w:tcW w:w="952" w:type="dxa"/>
            <w:shd w:val="clear" w:color="auto" w:fill="FFFFFF"/>
            <w:tcMar>
              <w:top w:w="0" w:type="dxa"/>
              <w:left w:w="85" w:type="dxa"/>
              <w:bottom w:w="0" w:type="dxa"/>
              <w:right w:w="85" w:type="dxa"/>
            </w:tcMar>
            <w:vAlign w:val="center"/>
          </w:tcPr>
          <w:p w14:paraId="69DFC089" w14:textId="77777777" w:rsidR="00447423" w:rsidRPr="002A3CBE" w:rsidRDefault="00447423" w:rsidP="00F16E23">
            <w:pPr>
              <w:pStyle w:val="TableText"/>
              <w:spacing w:before="40" w:after="40"/>
              <w:jc w:val="right"/>
              <w:rPr>
                <w:rFonts w:eastAsia="Calibri"/>
              </w:rPr>
            </w:pPr>
            <w:r w:rsidRPr="002A3CBE">
              <w:rPr>
                <w:rFonts w:eastAsia="Calibri"/>
              </w:rPr>
              <w:t>108,463</w:t>
            </w:r>
          </w:p>
        </w:tc>
        <w:tc>
          <w:tcPr>
            <w:tcW w:w="1454" w:type="dxa"/>
            <w:shd w:val="clear" w:color="auto" w:fill="FFFFFF"/>
            <w:tcMar>
              <w:top w:w="0" w:type="dxa"/>
              <w:left w:w="85" w:type="dxa"/>
              <w:bottom w:w="0" w:type="dxa"/>
              <w:right w:w="85" w:type="dxa"/>
            </w:tcMar>
            <w:vAlign w:val="center"/>
          </w:tcPr>
          <w:p w14:paraId="47EA486C" w14:textId="77777777" w:rsidR="00447423" w:rsidRPr="002A3CBE" w:rsidRDefault="00447423" w:rsidP="00F16E23">
            <w:pPr>
              <w:pStyle w:val="TableText"/>
              <w:spacing w:before="40" w:after="40"/>
              <w:jc w:val="right"/>
              <w:rPr>
                <w:rFonts w:eastAsia="Calibri"/>
              </w:rPr>
            </w:pPr>
            <w:r w:rsidRPr="002A3CBE">
              <w:rPr>
                <w:rFonts w:eastAsia="Calibri"/>
              </w:rPr>
              <w:t>57.1</w:t>
            </w:r>
          </w:p>
        </w:tc>
        <w:tc>
          <w:tcPr>
            <w:tcW w:w="1119" w:type="dxa"/>
            <w:shd w:val="clear" w:color="auto" w:fill="FFFFFF"/>
            <w:tcMar>
              <w:top w:w="0" w:type="dxa"/>
              <w:left w:w="85" w:type="dxa"/>
              <w:bottom w:w="0" w:type="dxa"/>
              <w:right w:w="85" w:type="dxa"/>
            </w:tcMar>
            <w:vAlign w:val="center"/>
          </w:tcPr>
          <w:p w14:paraId="01E92C5B" w14:textId="77777777" w:rsidR="00447423" w:rsidRPr="002A3CBE" w:rsidRDefault="00447423" w:rsidP="00F16E23">
            <w:pPr>
              <w:pStyle w:val="TableText"/>
              <w:spacing w:before="40" w:after="40"/>
              <w:jc w:val="right"/>
              <w:rPr>
                <w:rFonts w:eastAsia="Calibri"/>
              </w:rPr>
            </w:pPr>
            <w:r w:rsidRPr="002A3CBE">
              <w:rPr>
                <w:rFonts w:eastAsia="Calibri"/>
              </w:rPr>
              <w:t>103.0</w:t>
            </w:r>
          </w:p>
        </w:tc>
        <w:tc>
          <w:tcPr>
            <w:tcW w:w="952" w:type="dxa"/>
            <w:shd w:val="clear" w:color="auto" w:fill="FFFFFF"/>
            <w:tcMar>
              <w:top w:w="0" w:type="dxa"/>
              <w:left w:w="85" w:type="dxa"/>
              <w:bottom w:w="0" w:type="dxa"/>
              <w:right w:w="85" w:type="dxa"/>
            </w:tcMar>
            <w:vAlign w:val="center"/>
          </w:tcPr>
          <w:p w14:paraId="69575FB8" w14:textId="77777777" w:rsidR="00447423" w:rsidRPr="002A3CBE" w:rsidRDefault="00447423" w:rsidP="00F16E23">
            <w:pPr>
              <w:pStyle w:val="TableText"/>
              <w:spacing w:before="40" w:after="40"/>
              <w:jc w:val="right"/>
              <w:rPr>
                <w:rFonts w:eastAsia="Calibri"/>
              </w:rPr>
            </w:pPr>
            <w:r w:rsidRPr="002A3CBE">
              <w:rPr>
                <w:rFonts w:eastAsia="Calibri"/>
              </w:rPr>
              <w:t>60.5</w:t>
            </w:r>
          </w:p>
        </w:tc>
        <w:tc>
          <w:tcPr>
            <w:tcW w:w="1454" w:type="dxa"/>
            <w:shd w:val="clear" w:color="auto" w:fill="FFFFFF"/>
            <w:tcMar>
              <w:top w:w="0" w:type="dxa"/>
              <w:left w:w="85" w:type="dxa"/>
              <w:bottom w:w="0" w:type="dxa"/>
              <w:right w:w="85" w:type="dxa"/>
            </w:tcMar>
            <w:vAlign w:val="center"/>
          </w:tcPr>
          <w:p w14:paraId="58000CAE" w14:textId="77777777" w:rsidR="00447423" w:rsidRPr="002A3CBE" w:rsidRDefault="00447423" w:rsidP="00F16E23">
            <w:pPr>
              <w:pStyle w:val="TableText"/>
              <w:spacing w:before="40" w:after="40"/>
              <w:jc w:val="right"/>
              <w:rPr>
                <w:rFonts w:eastAsia="Calibri"/>
              </w:rPr>
            </w:pPr>
            <w:r w:rsidRPr="002A3CBE">
              <w:rPr>
                <w:rFonts w:eastAsia="Calibri"/>
              </w:rPr>
              <w:t>-41.2</w:t>
            </w:r>
          </w:p>
        </w:tc>
      </w:tr>
      <w:tr w:rsidR="00447423" w:rsidRPr="002A3CBE" w14:paraId="1679CC90" w14:textId="77777777" w:rsidTr="00F16E23">
        <w:tc>
          <w:tcPr>
            <w:tcW w:w="1622" w:type="dxa"/>
            <w:shd w:val="clear" w:color="auto" w:fill="FFFFFF"/>
            <w:tcMar>
              <w:top w:w="0" w:type="dxa"/>
              <w:left w:w="85" w:type="dxa"/>
              <w:bottom w:w="0" w:type="dxa"/>
              <w:right w:w="85" w:type="dxa"/>
            </w:tcMar>
            <w:vAlign w:val="center"/>
          </w:tcPr>
          <w:p w14:paraId="58317C42" w14:textId="77777777" w:rsidR="00447423" w:rsidRPr="002A3CBE" w:rsidRDefault="00447423" w:rsidP="00F16E23">
            <w:pPr>
              <w:pStyle w:val="Tableboldblue"/>
              <w:spacing w:before="40" w:after="40"/>
              <w:rPr>
                <w:rFonts w:eastAsia="Calibri"/>
              </w:rPr>
            </w:pPr>
            <w:r w:rsidRPr="002A3CBE">
              <w:rPr>
                <w:rFonts w:eastAsia="Calibri"/>
              </w:rPr>
              <w:t>Total</w:t>
            </w:r>
          </w:p>
        </w:tc>
        <w:tc>
          <w:tcPr>
            <w:tcW w:w="952" w:type="dxa"/>
            <w:shd w:val="clear" w:color="auto" w:fill="FFFFFF"/>
            <w:tcMar>
              <w:top w:w="0" w:type="dxa"/>
              <w:left w:w="85" w:type="dxa"/>
              <w:bottom w:w="0" w:type="dxa"/>
              <w:right w:w="85" w:type="dxa"/>
            </w:tcMar>
            <w:vAlign w:val="center"/>
          </w:tcPr>
          <w:p w14:paraId="7D78DCEB" w14:textId="77777777" w:rsidR="00447423" w:rsidRPr="002A3CBE" w:rsidRDefault="00447423" w:rsidP="00F16E23">
            <w:pPr>
              <w:pStyle w:val="Tableboldblue"/>
              <w:spacing w:before="40" w:after="40"/>
              <w:jc w:val="right"/>
              <w:rPr>
                <w:rFonts w:eastAsia="Calibri"/>
              </w:rPr>
            </w:pPr>
            <w:r w:rsidRPr="002A3CBE">
              <w:rPr>
                <w:rFonts w:eastAsia="Calibri"/>
              </w:rPr>
              <w:t>424,097</w:t>
            </w:r>
          </w:p>
        </w:tc>
        <w:tc>
          <w:tcPr>
            <w:tcW w:w="952" w:type="dxa"/>
            <w:shd w:val="clear" w:color="auto" w:fill="FFFFFF"/>
            <w:tcMar>
              <w:top w:w="0" w:type="dxa"/>
              <w:left w:w="85" w:type="dxa"/>
              <w:bottom w:w="0" w:type="dxa"/>
              <w:right w:w="85" w:type="dxa"/>
            </w:tcMar>
            <w:vAlign w:val="center"/>
          </w:tcPr>
          <w:p w14:paraId="20C0279F" w14:textId="77777777" w:rsidR="00447423" w:rsidRPr="002A3CBE" w:rsidRDefault="00447423" w:rsidP="00F16E23">
            <w:pPr>
              <w:pStyle w:val="Tableboldblue"/>
              <w:spacing w:before="40" w:after="40"/>
              <w:jc w:val="right"/>
              <w:rPr>
                <w:rFonts w:eastAsia="Calibri"/>
              </w:rPr>
            </w:pPr>
            <w:r w:rsidRPr="002A3CBE">
              <w:rPr>
                <w:rFonts w:eastAsia="Calibri"/>
              </w:rPr>
              <w:t>504,940</w:t>
            </w:r>
          </w:p>
        </w:tc>
        <w:tc>
          <w:tcPr>
            <w:tcW w:w="1454" w:type="dxa"/>
            <w:shd w:val="clear" w:color="auto" w:fill="FFFFFF"/>
            <w:tcMar>
              <w:top w:w="0" w:type="dxa"/>
              <w:left w:w="85" w:type="dxa"/>
              <w:bottom w:w="0" w:type="dxa"/>
              <w:right w:w="85" w:type="dxa"/>
            </w:tcMar>
            <w:vAlign w:val="center"/>
          </w:tcPr>
          <w:p w14:paraId="06BCC92B" w14:textId="77777777" w:rsidR="00447423" w:rsidRPr="002A3CBE" w:rsidRDefault="00447423" w:rsidP="00F16E23">
            <w:pPr>
              <w:pStyle w:val="Tableboldblue"/>
              <w:spacing w:before="40" w:after="40"/>
              <w:jc w:val="right"/>
              <w:rPr>
                <w:rFonts w:eastAsia="Calibri"/>
              </w:rPr>
            </w:pPr>
            <w:r w:rsidRPr="002A3CBE">
              <w:rPr>
                <w:rFonts w:eastAsia="Calibri"/>
              </w:rPr>
              <w:t>19.1</w:t>
            </w:r>
          </w:p>
        </w:tc>
        <w:tc>
          <w:tcPr>
            <w:tcW w:w="1119" w:type="dxa"/>
            <w:shd w:val="clear" w:color="auto" w:fill="FFFFFF"/>
            <w:tcMar>
              <w:top w:w="0" w:type="dxa"/>
              <w:left w:w="85" w:type="dxa"/>
              <w:bottom w:w="0" w:type="dxa"/>
              <w:right w:w="85" w:type="dxa"/>
            </w:tcMar>
            <w:vAlign w:val="center"/>
          </w:tcPr>
          <w:p w14:paraId="137E3843" w14:textId="77777777" w:rsidR="00447423" w:rsidRPr="002A3CBE" w:rsidRDefault="00447423" w:rsidP="00F16E23">
            <w:pPr>
              <w:pStyle w:val="Tableboldblue"/>
              <w:spacing w:before="40" w:after="40"/>
              <w:jc w:val="right"/>
              <w:rPr>
                <w:rFonts w:eastAsia="Calibri"/>
              </w:rPr>
            </w:pPr>
            <w:r w:rsidRPr="002A3CBE">
              <w:rPr>
                <w:rFonts w:eastAsia="Calibri"/>
              </w:rPr>
              <w:t>430.1</w:t>
            </w:r>
          </w:p>
        </w:tc>
        <w:tc>
          <w:tcPr>
            <w:tcW w:w="952" w:type="dxa"/>
            <w:shd w:val="clear" w:color="auto" w:fill="FFFFFF"/>
            <w:tcMar>
              <w:top w:w="0" w:type="dxa"/>
              <w:left w:w="85" w:type="dxa"/>
              <w:bottom w:w="0" w:type="dxa"/>
              <w:right w:w="85" w:type="dxa"/>
            </w:tcMar>
            <w:vAlign w:val="center"/>
          </w:tcPr>
          <w:p w14:paraId="6C411A4F" w14:textId="77777777" w:rsidR="00447423" w:rsidRPr="002A3CBE" w:rsidRDefault="00447423" w:rsidP="00F16E23">
            <w:pPr>
              <w:pStyle w:val="Tableboldblue"/>
              <w:spacing w:before="40" w:after="40"/>
              <w:jc w:val="right"/>
              <w:rPr>
                <w:rFonts w:eastAsia="Calibri"/>
              </w:rPr>
            </w:pPr>
            <w:r w:rsidRPr="002A3CBE">
              <w:rPr>
                <w:rFonts w:eastAsia="Calibri"/>
              </w:rPr>
              <w:t>550.2</w:t>
            </w:r>
          </w:p>
        </w:tc>
        <w:tc>
          <w:tcPr>
            <w:tcW w:w="1454" w:type="dxa"/>
            <w:shd w:val="clear" w:color="auto" w:fill="FFFFFF"/>
            <w:tcMar>
              <w:top w:w="0" w:type="dxa"/>
              <w:left w:w="85" w:type="dxa"/>
              <w:bottom w:w="0" w:type="dxa"/>
              <w:right w:w="85" w:type="dxa"/>
            </w:tcMar>
            <w:vAlign w:val="center"/>
          </w:tcPr>
          <w:p w14:paraId="189B3CD7" w14:textId="77777777" w:rsidR="00447423" w:rsidRPr="002A3CBE" w:rsidRDefault="00447423" w:rsidP="00F16E23">
            <w:pPr>
              <w:pStyle w:val="Tableboldblue"/>
              <w:spacing w:before="40" w:after="40"/>
              <w:jc w:val="right"/>
              <w:rPr>
                <w:rFonts w:eastAsia="Calibri"/>
              </w:rPr>
            </w:pPr>
            <w:r w:rsidRPr="002A3CBE">
              <w:rPr>
                <w:rFonts w:eastAsia="Calibri"/>
              </w:rPr>
              <w:t>27.9</w:t>
            </w:r>
          </w:p>
        </w:tc>
      </w:tr>
    </w:tbl>
    <w:p w14:paraId="59A97C97" w14:textId="77777777" w:rsidR="00447423" w:rsidRPr="002A3CBE" w:rsidRDefault="00447423" w:rsidP="00447423">
      <w:pPr>
        <w:pStyle w:val="Noteundertable"/>
      </w:pPr>
      <w:r w:rsidRPr="002A3CBE">
        <w:rPr>
          <w:b/>
        </w:rPr>
        <w:t>Note:</w:t>
      </w:r>
      <w:r w:rsidRPr="002A3CBE">
        <w:tab/>
        <w:t>Net area in 1990 is as at 1 January 1990; net area in 2024 is as at 31 December 2024. This table includes carbon dioxide emissions from carbon stock change only. Columns may not total due to rounding.</w:t>
      </w:r>
    </w:p>
    <w:p w14:paraId="561D833F" w14:textId="77777777" w:rsidR="00447423" w:rsidRPr="002A3CBE" w:rsidRDefault="00447423" w:rsidP="00447423">
      <w:pPr>
        <w:pStyle w:val="BodyText"/>
      </w:pPr>
      <w:r w:rsidRPr="002A3CBE">
        <w:t xml:space="preserve">A summary of land-use change within the </w:t>
      </w:r>
      <w:r w:rsidRPr="002A3CBE">
        <w:rPr>
          <w:i/>
        </w:rPr>
        <w:t>Cropland</w:t>
      </w:r>
      <w:r w:rsidRPr="002A3CBE">
        <w:t xml:space="preserve"> category, by land use type and land conversion status, is provided in table 6.5.4. This shows that land-use change within the </w:t>
      </w:r>
      <w:r w:rsidRPr="002A3CBE">
        <w:rPr>
          <w:i/>
        </w:rPr>
        <w:t>Cropland</w:t>
      </w:r>
      <w:r w:rsidRPr="002A3CBE">
        <w:t xml:space="preserve"> category has been dominated by conversions to annual cropland.</w:t>
      </w:r>
    </w:p>
    <w:p w14:paraId="4540F249" w14:textId="77777777" w:rsidR="00447423" w:rsidRPr="002A3CBE" w:rsidRDefault="00447423" w:rsidP="00447423">
      <w:pPr>
        <w:pStyle w:val="Table"/>
      </w:pPr>
      <w:bookmarkStart w:id="2220" w:name="_Toc310423416"/>
      <w:bookmarkStart w:id="2221" w:name="_Toc318362709"/>
      <w:bookmarkStart w:id="2222" w:name="_Toc342470771"/>
      <w:bookmarkStart w:id="2223" w:name="_Toc352505011"/>
      <w:bookmarkStart w:id="2224" w:name="_Toc378853303"/>
      <w:bookmarkStart w:id="2225" w:name="_Toc391024101"/>
      <w:bookmarkStart w:id="2226" w:name="_Toc410028844"/>
      <w:bookmarkStart w:id="2227" w:name="_Toc414531472"/>
      <w:bookmarkStart w:id="2228" w:name="_Toc443645385"/>
      <w:bookmarkStart w:id="2229" w:name="_Toc474914604"/>
      <w:bookmarkStart w:id="2230" w:name="_Toc481751568"/>
      <w:bookmarkStart w:id="2231" w:name="_Toc522010625"/>
      <w:bookmarkStart w:id="2232" w:name="_Toc5269530"/>
      <w:bookmarkStart w:id="2233" w:name="_Toc33529404"/>
      <w:bookmarkStart w:id="2234" w:name="_Toc36224610"/>
      <w:bookmarkStart w:id="2235" w:name="_Toc65243607"/>
      <w:bookmarkStart w:id="2236" w:name="_Toc131591404"/>
      <w:bookmarkStart w:id="2237" w:name="_Toc158979962"/>
      <w:bookmarkStart w:id="2238" w:name="_Toc164153895"/>
      <w:bookmarkStart w:id="2239" w:name="_Toc190873129"/>
      <w:bookmarkStart w:id="2240" w:name="_Toc194241768"/>
      <w:bookmarkStart w:id="2241" w:name="_Toc222837919"/>
      <w:bookmarkStart w:id="2242" w:name="_Toc226669065"/>
      <w:r w:rsidRPr="002A3CBE">
        <w:t>Table 6.5.4</w:t>
      </w:r>
      <w:r w:rsidRPr="002A3CBE">
        <w:tab/>
        <w:t xml:space="preserve">New Zealand’s land-use change for the </w:t>
      </w:r>
      <w:r w:rsidRPr="002A3CBE">
        <w:rPr>
          <w:i/>
        </w:rPr>
        <w:t>Cropland</w:t>
      </w:r>
      <w:r w:rsidRPr="002A3CBE">
        <w:t xml:space="preserve"> category, from 1990 to</w:t>
      </w:r>
      <w:bookmarkEnd w:id="2220"/>
      <w:bookmarkEnd w:id="2221"/>
      <w:bookmarkEnd w:id="2222"/>
      <w:bookmarkEnd w:id="2223"/>
      <w:bookmarkEnd w:id="2224"/>
      <w:bookmarkEnd w:id="2225"/>
      <w:r w:rsidRPr="002A3CBE">
        <w:t> </w:t>
      </w:r>
      <w:bookmarkEnd w:id="2226"/>
      <w:bookmarkEnd w:id="2227"/>
      <w:bookmarkEnd w:id="2228"/>
      <w:bookmarkEnd w:id="2229"/>
      <w:bookmarkEnd w:id="2230"/>
      <w:bookmarkEnd w:id="2231"/>
      <w:bookmarkEnd w:id="2232"/>
      <w:bookmarkEnd w:id="2233"/>
      <w:bookmarkEnd w:id="2234"/>
      <w:bookmarkEnd w:id="2235"/>
      <w:bookmarkEnd w:id="2236"/>
      <w:bookmarkEnd w:id="2237"/>
      <w:bookmarkEnd w:id="2238"/>
      <w:r w:rsidRPr="002A3CBE">
        <w:t>2024</w:t>
      </w:r>
      <w:bookmarkEnd w:id="2239"/>
      <w:bookmarkEnd w:id="2240"/>
      <w:bookmarkEnd w:id="2241"/>
      <w:bookmarkEnd w:id="2242"/>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283"/>
        <w:gridCol w:w="2283"/>
        <w:gridCol w:w="1313"/>
        <w:gridCol w:w="1313"/>
        <w:gridCol w:w="1313"/>
      </w:tblGrid>
      <w:tr w:rsidR="00447423" w:rsidRPr="002A3CBE" w14:paraId="651C158C" w14:textId="77777777" w:rsidTr="00F16E23">
        <w:trPr>
          <w:tblHeader/>
        </w:trPr>
        <w:tc>
          <w:tcPr>
            <w:tcW w:w="2268" w:type="dxa"/>
            <w:shd w:val="clear" w:color="auto" w:fill="1B556B"/>
            <w:tcMar>
              <w:top w:w="0" w:type="dxa"/>
              <w:left w:w="85" w:type="dxa"/>
              <w:bottom w:w="0" w:type="dxa"/>
              <w:right w:w="85" w:type="dxa"/>
            </w:tcMar>
            <w:vAlign w:val="bottom"/>
          </w:tcPr>
          <w:p w14:paraId="679BB1A9" w14:textId="77777777" w:rsidR="00447423" w:rsidRPr="002A3CBE" w:rsidRDefault="00447423" w:rsidP="00F16E23">
            <w:pPr>
              <w:pStyle w:val="TableTextBold"/>
              <w:spacing w:before="40" w:after="40"/>
              <w:rPr>
                <w:rFonts w:eastAsia="Calibri"/>
                <w:noProof w:val="0"/>
                <w:color w:val="FFFFFF" w:themeColor="background1"/>
                <w:szCs w:val="16"/>
              </w:rPr>
            </w:pPr>
            <w:r w:rsidRPr="002A3CBE">
              <w:rPr>
                <w:rFonts w:eastAsia="Calibri"/>
                <w:i/>
                <w:iCs/>
                <w:noProof w:val="0"/>
                <w:color w:val="FFFFFF" w:themeColor="background1"/>
                <w:szCs w:val="16"/>
              </w:rPr>
              <w:t>Cropland</w:t>
            </w:r>
            <w:r w:rsidRPr="002A3CBE">
              <w:rPr>
                <w:rFonts w:eastAsia="Calibri"/>
                <w:noProof w:val="0"/>
                <w:color w:val="FFFFFF" w:themeColor="background1"/>
                <w:szCs w:val="16"/>
              </w:rPr>
              <w:t xml:space="preserve"> category</w:t>
            </w:r>
          </w:p>
        </w:tc>
        <w:tc>
          <w:tcPr>
            <w:tcW w:w="2268" w:type="dxa"/>
            <w:shd w:val="clear" w:color="auto" w:fill="1B556B"/>
            <w:tcMar>
              <w:top w:w="0" w:type="dxa"/>
              <w:left w:w="85" w:type="dxa"/>
              <w:bottom w:w="0" w:type="dxa"/>
              <w:right w:w="85" w:type="dxa"/>
            </w:tcMar>
            <w:vAlign w:val="bottom"/>
          </w:tcPr>
          <w:p w14:paraId="5AFB83C0" w14:textId="77777777" w:rsidR="00447423" w:rsidRPr="002A3CBE" w:rsidRDefault="00447423" w:rsidP="00F16E23">
            <w:pPr>
              <w:pStyle w:val="TableTextBold"/>
              <w:spacing w:before="40" w:after="40"/>
              <w:rPr>
                <w:rFonts w:eastAsia="Calibri"/>
                <w:noProof w:val="0"/>
                <w:color w:val="FFFFFF" w:themeColor="background1"/>
                <w:szCs w:val="16"/>
              </w:rPr>
            </w:pPr>
          </w:p>
        </w:tc>
        <w:tc>
          <w:tcPr>
            <w:tcW w:w="1304" w:type="dxa"/>
            <w:shd w:val="clear" w:color="auto" w:fill="1B556B"/>
            <w:tcMar>
              <w:top w:w="0" w:type="dxa"/>
              <w:left w:w="85" w:type="dxa"/>
              <w:bottom w:w="0" w:type="dxa"/>
              <w:right w:w="85" w:type="dxa"/>
            </w:tcMar>
            <w:vAlign w:val="bottom"/>
          </w:tcPr>
          <w:p w14:paraId="7DFA310A" w14:textId="77777777" w:rsidR="00447423" w:rsidRPr="002A3CBE" w:rsidRDefault="00447423" w:rsidP="00F16E23">
            <w:pPr>
              <w:pStyle w:val="TableTextBold"/>
              <w:spacing w:before="40" w:after="40"/>
              <w:jc w:val="right"/>
              <w:rPr>
                <w:rFonts w:eastAsia="Calibri"/>
                <w:noProof w:val="0"/>
                <w:color w:val="FFFFFF" w:themeColor="background1"/>
                <w:szCs w:val="16"/>
              </w:rPr>
            </w:pPr>
            <w:r w:rsidRPr="002A3CBE">
              <w:rPr>
                <w:rFonts w:eastAsia="Calibri"/>
                <w:noProof w:val="0"/>
                <w:color w:val="FFFFFF" w:themeColor="background1"/>
                <w:szCs w:val="16"/>
              </w:rPr>
              <w:t>Net area (ha) as at 1990</w:t>
            </w:r>
          </w:p>
        </w:tc>
        <w:tc>
          <w:tcPr>
            <w:tcW w:w="1304" w:type="dxa"/>
            <w:shd w:val="clear" w:color="auto" w:fill="1B556B"/>
            <w:tcMar>
              <w:top w:w="0" w:type="dxa"/>
              <w:left w:w="85" w:type="dxa"/>
              <w:bottom w:w="0" w:type="dxa"/>
              <w:right w:w="85" w:type="dxa"/>
            </w:tcMar>
            <w:vAlign w:val="bottom"/>
          </w:tcPr>
          <w:p w14:paraId="02385A1A" w14:textId="77777777" w:rsidR="00447423" w:rsidRPr="002A3CBE" w:rsidRDefault="00447423" w:rsidP="00F16E23">
            <w:pPr>
              <w:pStyle w:val="TableTextBold"/>
              <w:spacing w:before="40" w:after="40"/>
              <w:jc w:val="right"/>
              <w:rPr>
                <w:rFonts w:eastAsia="Calibri"/>
                <w:noProof w:val="0"/>
                <w:color w:val="FFFFFF" w:themeColor="background1"/>
                <w:szCs w:val="16"/>
              </w:rPr>
            </w:pPr>
            <w:r w:rsidRPr="002A3CBE">
              <w:rPr>
                <w:rFonts w:eastAsia="Calibri"/>
                <w:noProof w:val="0"/>
                <w:color w:val="FFFFFF" w:themeColor="background1"/>
                <w:szCs w:val="16"/>
              </w:rPr>
              <w:t>Net area (ha) as at 2024</w:t>
            </w:r>
          </w:p>
        </w:tc>
        <w:tc>
          <w:tcPr>
            <w:tcW w:w="1304" w:type="dxa"/>
            <w:shd w:val="clear" w:color="auto" w:fill="1B556B"/>
            <w:tcMar>
              <w:top w:w="0" w:type="dxa"/>
              <w:left w:w="85" w:type="dxa"/>
              <w:bottom w:w="0" w:type="dxa"/>
              <w:right w:w="85" w:type="dxa"/>
            </w:tcMar>
            <w:vAlign w:val="bottom"/>
          </w:tcPr>
          <w:p w14:paraId="46E54886" w14:textId="77777777" w:rsidR="00447423" w:rsidRPr="002A3CBE" w:rsidRDefault="00447423" w:rsidP="00F16E23">
            <w:pPr>
              <w:pStyle w:val="TableTextBold"/>
              <w:spacing w:before="40" w:after="40"/>
              <w:jc w:val="right"/>
              <w:rPr>
                <w:rFonts w:eastAsia="Calibri"/>
                <w:noProof w:val="0"/>
                <w:color w:val="FFFFFF" w:themeColor="background1"/>
                <w:szCs w:val="16"/>
              </w:rPr>
            </w:pPr>
            <w:r w:rsidRPr="002A3CBE">
              <w:rPr>
                <w:rFonts w:eastAsia="Calibri"/>
                <w:noProof w:val="0"/>
                <w:color w:val="FFFFFF" w:themeColor="background1"/>
                <w:szCs w:val="16"/>
              </w:rPr>
              <w:t>Change from 1990 (%)</w:t>
            </w:r>
          </w:p>
        </w:tc>
      </w:tr>
      <w:tr w:rsidR="00447423" w:rsidRPr="002A3CBE" w14:paraId="07A00EC7" w14:textId="77777777" w:rsidTr="00F16E23">
        <w:tc>
          <w:tcPr>
            <w:tcW w:w="2268" w:type="dxa"/>
            <w:tcBorders>
              <w:bottom w:val="nil"/>
            </w:tcBorders>
            <w:shd w:val="clear" w:color="auto" w:fill="FFFFFF"/>
            <w:tcMar>
              <w:top w:w="0" w:type="dxa"/>
              <w:left w:w="85" w:type="dxa"/>
              <w:bottom w:w="0" w:type="dxa"/>
              <w:right w:w="85" w:type="dxa"/>
            </w:tcMar>
            <w:vAlign w:val="center"/>
          </w:tcPr>
          <w:p w14:paraId="017376AD" w14:textId="77777777" w:rsidR="00447423" w:rsidRPr="002A3CBE" w:rsidRDefault="00447423" w:rsidP="00F16E23">
            <w:pPr>
              <w:pStyle w:val="TableText"/>
              <w:spacing w:before="40" w:after="40"/>
              <w:rPr>
                <w:rFonts w:eastAsia="Calibri"/>
                <w:szCs w:val="16"/>
              </w:rPr>
            </w:pPr>
            <w:r w:rsidRPr="002A3CBE">
              <w:rPr>
                <w:rFonts w:eastAsia="Calibri"/>
                <w:szCs w:val="16"/>
              </w:rPr>
              <w:t>Cropland remaining cropland</w:t>
            </w:r>
          </w:p>
        </w:tc>
        <w:tc>
          <w:tcPr>
            <w:tcW w:w="2268" w:type="dxa"/>
            <w:shd w:val="clear" w:color="auto" w:fill="FFFFFF"/>
            <w:tcMar>
              <w:top w:w="0" w:type="dxa"/>
              <w:left w:w="85" w:type="dxa"/>
              <w:bottom w:w="0" w:type="dxa"/>
              <w:right w:w="85" w:type="dxa"/>
            </w:tcMar>
            <w:vAlign w:val="center"/>
          </w:tcPr>
          <w:p w14:paraId="459C8405" w14:textId="77777777" w:rsidR="00447423" w:rsidRPr="002A3CBE" w:rsidRDefault="00447423" w:rsidP="00F16E23">
            <w:pPr>
              <w:pStyle w:val="TableText"/>
              <w:spacing w:before="40" w:after="40"/>
              <w:rPr>
                <w:rFonts w:eastAsia="Calibri"/>
                <w:szCs w:val="16"/>
              </w:rPr>
            </w:pPr>
            <w:r w:rsidRPr="002A3CBE">
              <w:rPr>
                <w:rFonts w:eastAsia="Calibri"/>
                <w:szCs w:val="16"/>
              </w:rPr>
              <w:t>Annual remaining annual</w:t>
            </w:r>
          </w:p>
        </w:tc>
        <w:tc>
          <w:tcPr>
            <w:tcW w:w="1304" w:type="dxa"/>
            <w:shd w:val="clear" w:color="auto" w:fill="FFFFFF"/>
            <w:tcMar>
              <w:top w:w="0" w:type="dxa"/>
              <w:left w:w="85" w:type="dxa"/>
              <w:bottom w:w="0" w:type="dxa"/>
              <w:right w:w="85" w:type="dxa"/>
            </w:tcMar>
            <w:vAlign w:val="center"/>
          </w:tcPr>
          <w:p w14:paraId="20817E00"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333,588</w:t>
            </w:r>
          </w:p>
        </w:tc>
        <w:tc>
          <w:tcPr>
            <w:tcW w:w="1304" w:type="dxa"/>
            <w:shd w:val="clear" w:color="auto" w:fill="FFFFFF"/>
            <w:tcMar>
              <w:top w:w="0" w:type="dxa"/>
              <w:left w:w="85" w:type="dxa"/>
              <w:bottom w:w="0" w:type="dxa"/>
              <w:right w:w="85" w:type="dxa"/>
            </w:tcMar>
            <w:vAlign w:val="center"/>
          </w:tcPr>
          <w:p w14:paraId="22CB7E33"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266,729</w:t>
            </w:r>
          </w:p>
        </w:tc>
        <w:tc>
          <w:tcPr>
            <w:tcW w:w="1304" w:type="dxa"/>
            <w:shd w:val="clear" w:color="auto" w:fill="FFFFFF"/>
            <w:tcMar>
              <w:top w:w="0" w:type="dxa"/>
              <w:left w:w="85" w:type="dxa"/>
              <w:bottom w:w="0" w:type="dxa"/>
              <w:right w:w="85" w:type="dxa"/>
            </w:tcMar>
            <w:vAlign w:val="center"/>
          </w:tcPr>
          <w:p w14:paraId="73B526D7"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-20.0</w:t>
            </w:r>
          </w:p>
        </w:tc>
      </w:tr>
      <w:tr w:rsidR="00447423" w:rsidRPr="002A3CBE" w14:paraId="7EC7A76A" w14:textId="77777777" w:rsidTr="00F16E23">
        <w:tc>
          <w:tcPr>
            <w:tcW w:w="2268" w:type="dxa"/>
            <w:tcBorders>
              <w:top w:val="nil"/>
              <w:bottom w:val="nil"/>
            </w:tcBorders>
            <w:shd w:val="clear" w:color="auto" w:fill="FFFFFF"/>
            <w:tcMar>
              <w:top w:w="0" w:type="dxa"/>
              <w:left w:w="85" w:type="dxa"/>
              <w:bottom w:w="0" w:type="dxa"/>
              <w:right w:w="85" w:type="dxa"/>
            </w:tcMar>
            <w:vAlign w:val="center"/>
          </w:tcPr>
          <w:p w14:paraId="2263A7C2" w14:textId="77777777" w:rsidR="00447423" w:rsidRPr="002A3CBE" w:rsidRDefault="00447423" w:rsidP="00F16E23">
            <w:pPr>
              <w:pStyle w:val="TableText"/>
              <w:spacing w:before="40" w:after="40"/>
              <w:rPr>
                <w:rFonts w:eastAsia="Calibri"/>
                <w:szCs w:val="16"/>
              </w:rPr>
            </w:pPr>
          </w:p>
        </w:tc>
        <w:tc>
          <w:tcPr>
            <w:tcW w:w="2268" w:type="dxa"/>
            <w:shd w:val="clear" w:color="auto" w:fill="FFFFFF"/>
            <w:tcMar>
              <w:top w:w="0" w:type="dxa"/>
              <w:left w:w="85" w:type="dxa"/>
              <w:bottom w:w="0" w:type="dxa"/>
              <w:right w:w="85" w:type="dxa"/>
            </w:tcMar>
            <w:vAlign w:val="center"/>
          </w:tcPr>
          <w:p w14:paraId="6427918B" w14:textId="77777777" w:rsidR="00447423" w:rsidRPr="002A3CBE" w:rsidRDefault="00447423" w:rsidP="00F16E23">
            <w:pPr>
              <w:pStyle w:val="TableText"/>
              <w:spacing w:before="40" w:after="40"/>
              <w:rPr>
                <w:rFonts w:eastAsia="Calibri"/>
                <w:szCs w:val="16"/>
              </w:rPr>
            </w:pPr>
            <w:r w:rsidRPr="002A3CBE">
              <w:rPr>
                <w:rFonts w:eastAsia="Calibri"/>
                <w:szCs w:val="16"/>
              </w:rPr>
              <w:t>Perennial remaining perennial</w:t>
            </w:r>
          </w:p>
        </w:tc>
        <w:tc>
          <w:tcPr>
            <w:tcW w:w="1304" w:type="dxa"/>
            <w:shd w:val="clear" w:color="auto" w:fill="FFFFFF"/>
            <w:tcMar>
              <w:top w:w="0" w:type="dxa"/>
              <w:left w:w="85" w:type="dxa"/>
              <w:bottom w:w="0" w:type="dxa"/>
              <w:right w:w="85" w:type="dxa"/>
            </w:tcMar>
            <w:vAlign w:val="center"/>
          </w:tcPr>
          <w:p w14:paraId="5D077A0E"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61,557</w:t>
            </w:r>
          </w:p>
        </w:tc>
        <w:tc>
          <w:tcPr>
            <w:tcW w:w="1304" w:type="dxa"/>
            <w:shd w:val="clear" w:color="auto" w:fill="FFFFFF"/>
            <w:tcMar>
              <w:top w:w="0" w:type="dxa"/>
              <w:left w:w="85" w:type="dxa"/>
              <w:bottom w:w="0" w:type="dxa"/>
              <w:right w:w="85" w:type="dxa"/>
            </w:tcMar>
            <w:vAlign w:val="center"/>
          </w:tcPr>
          <w:p w14:paraId="02E24EE5"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93,055</w:t>
            </w:r>
          </w:p>
        </w:tc>
        <w:tc>
          <w:tcPr>
            <w:tcW w:w="1304" w:type="dxa"/>
            <w:shd w:val="clear" w:color="auto" w:fill="FFFFFF"/>
            <w:tcMar>
              <w:top w:w="0" w:type="dxa"/>
              <w:left w:w="85" w:type="dxa"/>
              <w:bottom w:w="0" w:type="dxa"/>
              <w:right w:w="85" w:type="dxa"/>
            </w:tcMar>
            <w:vAlign w:val="center"/>
          </w:tcPr>
          <w:p w14:paraId="3EF95892"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51.2</w:t>
            </w:r>
          </w:p>
        </w:tc>
      </w:tr>
      <w:tr w:rsidR="00447423" w:rsidRPr="002A3CBE" w14:paraId="4CCAB4DD" w14:textId="77777777" w:rsidTr="00F16E23">
        <w:tc>
          <w:tcPr>
            <w:tcW w:w="2268" w:type="dxa"/>
            <w:tcBorders>
              <w:top w:val="nil"/>
              <w:bottom w:val="nil"/>
            </w:tcBorders>
            <w:shd w:val="clear" w:color="auto" w:fill="FFFFFF"/>
            <w:tcMar>
              <w:top w:w="0" w:type="dxa"/>
              <w:left w:w="85" w:type="dxa"/>
              <w:bottom w:w="0" w:type="dxa"/>
              <w:right w:w="85" w:type="dxa"/>
            </w:tcMar>
            <w:vAlign w:val="center"/>
          </w:tcPr>
          <w:p w14:paraId="4C6E7E33" w14:textId="77777777" w:rsidR="00447423" w:rsidRPr="002A3CBE" w:rsidRDefault="00447423" w:rsidP="00F16E23">
            <w:pPr>
              <w:pStyle w:val="TableText"/>
              <w:spacing w:before="40" w:after="40"/>
              <w:rPr>
                <w:rFonts w:eastAsia="Calibri"/>
                <w:szCs w:val="16"/>
              </w:rPr>
            </w:pPr>
          </w:p>
        </w:tc>
        <w:tc>
          <w:tcPr>
            <w:tcW w:w="2268" w:type="dxa"/>
            <w:shd w:val="clear" w:color="auto" w:fill="FFFFFF"/>
            <w:tcMar>
              <w:top w:w="0" w:type="dxa"/>
              <w:left w:w="85" w:type="dxa"/>
              <w:bottom w:w="0" w:type="dxa"/>
              <w:right w:w="85" w:type="dxa"/>
            </w:tcMar>
            <w:vAlign w:val="center"/>
          </w:tcPr>
          <w:p w14:paraId="45EC4B8F" w14:textId="77777777" w:rsidR="00447423" w:rsidRPr="002A3CBE" w:rsidRDefault="00447423" w:rsidP="00F16E23">
            <w:pPr>
              <w:pStyle w:val="TableText"/>
              <w:spacing w:before="40" w:after="40"/>
              <w:rPr>
                <w:rFonts w:eastAsia="Calibri"/>
                <w:szCs w:val="16"/>
              </w:rPr>
            </w:pPr>
            <w:r w:rsidRPr="002A3CBE">
              <w:rPr>
                <w:rFonts w:eastAsia="Calibri"/>
                <w:szCs w:val="16"/>
              </w:rPr>
              <w:t>Annual to perennial</w:t>
            </w:r>
          </w:p>
        </w:tc>
        <w:tc>
          <w:tcPr>
            <w:tcW w:w="1304" w:type="dxa"/>
            <w:shd w:val="clear" w:color="auto" w:fill="FFFFFF"/>
            <w:tcMar>
              <w:top w:w="0" w:type="dxa"/>
              <w:left w:w="85" w:type="dxa"/>
              <w:bottom w:w="0" w:type="dxa"/>
              <w:right w:w="85" w:type="dxa"/>
            </w:tcMar>
            <w:vAlign w:val="center"/>
          </w:tcPr>
          <w:p w14:paraId="151B8F68"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645</w:t>
            </w:r>
          </w:p>
        </w:tc>
        <w:tc>
          <w:tcPr>
            <w:tcW w:w="1304" w:type="dxa"/>
            <w:shd w:val="clear" w:color="auto" w:fill="FFFFFF"/>
            <w:tcMar>
              <w:top w:w="0" w:type="dxa"/>
              <w:left w:w="85" w:type="dxa"/>
              <w:bottom w:w="0" w:type="dxa"/>
              <w:right w:w="85" w:type="dxa"/>
            </w:tcMar>
            <w:vAlign w:val="center"/>
          </w:tcPr>
          <w:p w14:paraId="5D59562E"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4,287</w:t>
            </w:r>
          </w:p>
        </w:tc>
        <w:tc>
          <w:tcPr>
            <w:tcW w:w="1304" w:type="dxa"/>
            <w:shd w:val="clear" w:color="auto" w:fill="FFFFFF"/>
            <w:tcMar>
              <w:top w:w="0" w:type="dxa"/>
              <w:left w:w="85" w:type="dxa"/>
              <w:bottom w:w="0" w:type="dxa"/>
              <w:right w:w="85" w:type="dxa"/>
            </w:tcMar>
            <w:vAlign w:val="center"/>
          </w:tcPr>
          <w:p w14:paraId="474C14E7"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564.6</w:t>
            </w:r>
          </w:p>
        </w:tc>
      </w:tr>
      <w:tr w:rsidR="00447423" w:rsidRPr="002A3CBE" w14:paraId="4C81EFFB" w14:textId="77777777" w:rsidTr="00F16E23">
        <w:tc>
          <w:tcPr>
            <w:tcW w:w="2268" w:type="dxa"/>
            <w:tcBorders>
              <w:top w:val="nil"/>
              <w:bottom w:val="nil"/>
            </w:tcBorders>
            <w:shd w:val="clear" w:color="auto" w:fill="FFFFFF"/>
            <w:tcMar>
              <w:top w:w="0" w:type="dxa"/>
              <w:left w:w="85" w:type="dxa"/>
              <w:bottom w:w="0" w:type="dxa"/>
              <w:right w:w="85" w:type="dxa"/>
            </w:tcMar>
            <w:vAlign w:val="center"/>
          </w:tcPr>
          <w:p w14:paraId="17895F0D" w14:textId="77777777" w:rsidR="00447423" w:rsidRPr="002A3CBE" w:rsidRDefault="00447423" w:rsidP="00F16E23">
            <w:pPr>
              <w:pStyle w:val="TableText"/>
              <w:spacing w:before="40" w:after="40"/>
              <w:rPr>
                <w:rFonts w:eastAsia="Calibri"/>
                <w:szCs w:val="16"/>
              </w:rPr>
            </w:pPr>
          </w:p>
        </w:tc>
        <w:tc>
          <w:tcPr>
            <w:tcW w:w="2268" w:type="dxa"/>
            <w:shd w:val="clear" w:color="auto" w:fill="FFFFFF"/>
            <w:tcMar>
              <w:top w:w="0" w:type="dxa"/>
              <w:left w:w="85" w:type="dxa"/>
              <w:bottom w:w="0" w:type="dxa"/>
              <w:right w:w="85" w:type="dxa"/>
            </w:tcMar>
            <w:vAlign w:val="center"/>
          </w:tcPr>
          <w:p w14:paraId="0C102442" w14:textId="77777777" w:rsidR="00447423" w:rsidRPr="002A3CBE" w:rsidRDefault="00447423" w:rsidP="00F16E23">
            <w:pPr>
              <w:pStyle w:val="TableText"/>
              <w:spacing w:before="40" w:after="40"/>
              <w:rPr>
                <w:rFonts w:eastAsia="Calibri"/>
                <w:szCs w:val="16"/>
              </w:rPr>
            </w:pPr>
            <w:r w:rsidRPr="002A3CBE">
              <w:rPr>
                <w:rFonts w:eastAsia="Calibri"/>
                <w:szCs w:val="16"/>
              </w:rPr>
              <w:t>Perennial to annual</w:t>
            </w:r>
          </w:p>
        </w:tc>
        <w:tc>
          <w:tcPr>
            <w:tcW w:w="1304" w:type="dxa"/>
            <w:shd w:val="clear" w:color="auto" w:fill="FFFFFF"/>
            <w:tcMar>
              <w:top w:w="0" w:type="dxa"/>
              <w:left w:w="85" w:type="dxa"/>
              <w:bottom w:w="0" w:type="dxa"/>
              <w:right w:w="85" w:type="dxa"/>
            </w:tcMar>
            <w:vAlign w:val="center"/>
          </w:tcPr>
          <w:p w14:paraId="624BA3BC"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0</w:t>
            </w:r>
          </w:p>
        </w:tc>
        <w:tc>
          <w:tcPr>
            <w:tcW w:w="1304" w:type="dxa"/>
            <w:shd w:val="clear" w:color="auto" w:fill="FFFFFF"/>
            <w:tcMar>
              <w:top w:w="0" w:type="dxa"/>
              <w:left w:w="85" w:type="dxa"/>
              <w:bottom w:w="0" w:type="dxa"/>
              <w:right w:w="85" w:type="dxa"/>
            </w:tcMar>
            <w:vAlign w:val="center"/>
          </w:tcPr>
          <w:p w14:paraId="0AD54023"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944</w:t>
            </w:r>
          </w:p>
        </w:tc>
        <w:tc>
          <w:tcPr>
            <w:tcW w:w="1304" w:type="dxa"/>
            <w:shd w:val="clear" w:color="auto" w:fill="FFFFFF"/>
            <w:tcMar>
              <w:top w:w="0" w:type="dxa"/>
              <w:left w:w="85" w:type="dxa"/>
              <w:bottom w:w="0" w:type="dxa"/>
              <w:right w:w="85" w:type="dxa"/>
            </w:tcMar>
            <w:vAlign w:val="center"/>
          </w:tcPr>
          <w:p w14:paraId="320A3437" w14:textId="77777777" w:rsidR="00447423" w:rsidRPr="002A3CBE" w:rsidRDefault="00447423" w:rsidP="00F16E23">
            <w:pPr>
              <w:pStyle w:val="TableText"/>
              <w:spacing w:before="40" w:after="40"/>
              <w:jc w:val="right"/>
              <w:rPr>
                <w:rFonts w:eastAsia="Calibri"/>
                <w:szCs w:val="16"/>
              </w:rPr>
            </w:pPr>
            <w:r w:rsidRPr="002A3CBE">
              <w:rPr>
                <w:rFonts w:asciiTheme="minorHAnsi" w:eastAsia="Calibri" w:hAnsiTheme="minorHAnsi" w:cstheme="minorHAnsi"/>
                <w:szCs w:val="16"/>
              </w:rPr>
              <w:t>–</w:t>
            </w:r>
          </w:p>
        </w:tc>
      </w:tr>
      <w:tr w:rsidR="00447423" w:rsidRPr="002A3CBE" w14:paraId="766AA759" w14:textId="77777777" w:rsidTr="00F16E23">
        <w:tc>
          <w:tcPr>
            <w:tcW w:w="2268" w:type="dxa"/>
            <w:tcBorders>
              <w:top w:val="nil"/>
              <w:bottom w:val="single" w:sz="4" w:space="0" w:color="1B556B"/>
            </w:tcBorders>
            <w:shd w:val="clear" w:color="auto" w:fill="FFFFFF"/>
            <w:tcMar>
              <w:top w:w="0" w:type="dxa"/>
              <w:left w:w="85" w:type="dxa"/>
              <w:bottom w:w="0" w:type="dxa"/>
              <w:right w:w="85" w:type="dxa"/>
            </w:tcMar>
            <w:vAlign w:val="center"/>
          </w:tcPr>
          <w:p w14:paraId="2FE04D65" w14:textId="77777777" w:rsidR="00447423" w:rsidRPr="002A3CBE" w:rsidRDefault="00447423" w:rsidP="00F16E23">
            <w:pPr>
              <w:pStyle w:val="TableText"/>
              <w:spacing w:before="40" w:after="40"/>
              <w:rPr>
                <w:rFonts w:eastAsia="Calibri"/>
                <w:i/>
                <w:szCs w:val="16"/>
              </w:rPr>
            </w:pPr>
          </w:p>
        </w:tc>
        <w:tc>
          <w:tcPr>
            <w:tcW w:w="2268" w:type="dxa"/>
            <w:shd w:val="clear" w:color="auto" w:fill="FFFFFF"/>
            <w:tcMar>
              <w:top w:w="0" w:type="dxa"/>
              <w:left w:w="85" w:type="dxa"/>
              <w:bottom w:w="0" w:type="dxa"/>
              <w:right w:w="85" w:type="dxa"/>
            </w:tcMar>
            <w:vAlign w:val="center"/>
          </w:tcPr>
          <w:p w14:paraId="4B05F408" w14:textId="77777777" w:rsidR="00447423" w:rsidRPr="002A3CBE" w:rsidRDefault="00447423" w:rsidP="00F16E23">
            <w:pPr>
              <w:pStyle w:val="TableText"/>
              <w:spacing w:before="40" w:after="40"/>
              <w:rPr>
                <w:rFonts w:eastAsia="Calibri"/>
                <w:i/>
                <w:szCs w:val="16"/>
              </w:rPr>
            </w:pPr>
            <w:r w:rsidRPr="002A3CBE">
              <w:rPr>
                <w:rFonts w:eastAsia="Calibri"/>
                <w:i/>
                <w:szCs w:val="16"/>
              </w:rPr>
              <w:t>Subtotal</w:t>
            </w:r>
          </w:p>
        </w:tc>
        <w:tc>
          <w:tcPr>
            <w:tcW w:w="1304" w:type="dxa"/>
            <w:shd w:val="clear" w:color="auto" w:fill="FFFFFF"/>
            <w:tcMar>
              <w:top w:w="0" w:type="dxa"/>
              <w:left w:w="85" w:type="dxa"/>
              <w:bottom w:w="0" w:type="dxa"/>
              <w:right w:w="85" w:type="dxa"/>
            </w:tcMar>
            <w:vAlign w:val="center"/>
          </w:tcPr>
          <w:p w14:paraId="3E6FB6AA" w14:textId="77777777" w:rsidR="00447423" w:rsidRPr="002A3CBE" w:rsidRDefault="00447423" w:rsidP="00F16E23">
            <w:pPr>
              <w:pStyle w:val="TableText"/>
              <w:spacing w:before="40" w:after="40"/>
              <w:jc w:val="right"/>
              <w:rPr>
                <w:rFonts w:eastAsia="Calibri"/>
                <w:i/>
                <w:szCs w:val="16"/>
              </w:rPr>
            </w:pPr>
            <w:r w:rsidRPr="002A3CBE">
              <w:rPr>
                <w:rFonts w:eastAsia="Calibri"/>
                <w:i/>
                <w:szCs w:val="16"/>
              </w:rPr>
              <w:t>395,790</w:t>
            </w:r>
          </w:p>
        </w:tc>
        <w:tc>
          <w:tcPr>
            <w:tcW w:w="1304" w:type="dxa"/>
            <w:shd w:val="clear" w:color="auto" w:fill="FFFFFF"/>
            <w:tcMar>
              <w:top w:w="0" w:type="dxa"/>
              <w:left w:w="85" w:type="dxa"/>
              <w:bottom w:w="0" w:type="dxa"/>
              <w:right w:w="85" w:type="dxa"/>
            </w:tcMar>
            <w:vAlign w:val="center"/>
          </w:tcPr>
          <w:p w14:paraId="5EBF76D7" w14:textId="77777777" w:rsidR="00447423" w:rsidRPr="002A3CBE" w:rsidRDefault="00447423" w:rsidP="00F16E23">
            <w:pPr>
              <w:pStyle w:val="TableText"/>
              <w:spacing w:before="40" w:after="40"/>
              <w:jc w:val="right"/>
              <w:rPr>
                <w:rFonts w:eastAsia="Calibri"/>
                <w:i/>
                <w:szCs w:val="16"/>
              </w:rPr>
            </w:pPr>
            <w:r w:rsidRPr="002A3CBE">
              <w:rPr>
                <w:rFonts w:eastAsia="Calibri"/>
                <w:i/>
                <w:szCs w:val="16"/>
              </w:rPr>
              <w:t>365,015</w:t>
            </w:r>
          </w:p>
        </w:tc>
        <w:tc>
          <w:tcPr>
            <w:tcW w:w="1304" w:type="dxa"/>
            <w:shd w:val="clear" w:color="auto" w:fill="FFFFFF"/>
            <w:tcMar>
              <w:top w:w="0" w:type="dxa"/>
              <w:left w:w="85" w:type="dxa"/>
              <w:bottom w:w="0" w:type="dxa"/>
              <w:right w:w="85" w:type="dxa"/>
            </w:tcMar>
            <w:vAlign w:val="center"/>
          </w:tcPr>
          <w:p w14:paraId="723F0333" w14:textId="77777777" w:rsidR="00447423" w:rsidRPr="002A3CBE" w:rsidRDefault="00447423" w:rsidP="00F16E23">
            <w:pPr>
              <w:pStyle w:val="TableText"/>
              <w:spacing w:before="40" w:after="40"/>
              <w:jc w:val="right"/>
              <w:rPr>
                <w:rFonts w:eastAsia="Calibri"/>
                <w:i/>
                <w:szCs w:val="16"/>
              </w:rPr>
            </w:pPr>
            <w:r w:rsidRPr="002A3CBE">
              <w:rPr>
                <w:rFonts w:eastAsia="Calibri"/>
                <w:i/>
                <w:szCs w:val="16"/>
              </w:rPr>
              <w:t>-7.8</w:t>
            </w:r>
          </w:p>
        </w:tc>
      </w:tr>
      <w:tr w:rsidR="00447423" w:rsidRPr="002A3CBE" w14:paraId="0D3B4DB8" w14:textId="77777777" w:rsidTr="00F16E23">
        <w:tc>
          <w:tcPr>
            <w:tcW w:w="2268" w:type="dxa"/>
            <w:tcBorders>
              <w:top w:val="single" w:sz="4" w:space="0" w:color="1B556B"/>
              <w:bottom w:val="nil"/>
            </w:tcBorders>
            <w:shd w:val="clear" w:color="auto" w:fill="FFFFFF"/>
            <w:tcMar>
              <w:top w:w="0" w:type="dxa"/>
              <w:left w:w="85" w:type="dxa"/>
              <w:bottom w:w="0" w:type="dxa"/>
              <w:right w:w="85" w:type="dxa"/>
            </w:tcMar>
            <w:vAlign w:val="center"/>
          </w:tcPr>
          <w:p w14:paraId="74A2E9DB" w14:textId="77777777" w:rsidR="00447423" w:rsidRPr="002A3CBE" w:rsidRDefault="00447423" w:rsidP="00F16E23">
            <w:pPr>
              <w:pStyle w:val="TableText"/>
              <w:spacing w:before="40" w:after="40"/>
              <w:rPr>
                <w:rFonts w:eastAsia="Calibri"/>
                <w:szCs w:val="16"/>
              </w:rPr>
            </w:pPr>
            <w:r w:rsidRPr="002A3CBE">
              <w:rPr>
                <w:rFonts w:eastAsia="Calibri"/>
                <w:szCs w:val="16"/>
              </w:rPr>
              <w:t>Land converted to cropland</w:t>
            </w:r>
          </w:p>
        </w:tc>
        <w:tc>
          <w:tcPr>
            <w:tcW w:w="2268" w:type="dxa"/>
            <w:shd w:val="clear" w:color="auto" w:fill="FFFFFF"/>
            <w:tcMar>
              <w:top w:w="0" w:type="dxa"/>
              <w:left w:w="85" w:type="dxa"/>
              <w:bottom w:w="0" w:type="dxa"/>
              <w:right w:w="85" w:type="dxa"/>
            </w:tcMar>
            <w:vAlign w:val="center"/>
          </w:tcPr>
          <w:p w14:paraId="28F25F63" w14:textId="77777777" w:rsidR="00447423" w:rsidRPr="002A3CBE" w:rsidRDefault="00447423" w:rsidP="00F16E23">
            <w:pPr>
              <w:pStyle w:val="TableText"/>
              <w:spacing w:before="40" w:after="40"/>
              <w:rPr>
                <w:rFonts w:eastAsia="Calibri"/>
                <w:szCs w:val="16"/>
              </w:rPr>
            </w:pPr>
            <w:r w:rsidRPr="002A3CBE">
              <w:rPr>
                <w:rFonts w:eastAsia="Calibri"/>
                <w:szCs w:val="16"/>
              </w:rPr>
              <w:t>Annual cropland</w:t>
            </w:r>
          </w:p>
        </w:tc>
        <w:tc>
          <w:tcPr>
            <w:tcW w:w="1304" w:type="dxa"/>
            <w:shd w:val="clear" w:color="auto" w:fill="FFFFFF"/>
            <w:tcMar>
              <w:top w:w="0" w:type="dxa"/>
              <w:left w:w="85" w:type="dxa"/>
              <w:bottom w:w="0" w:type="dxa"/>
              <w:right w:w="85" w:type="dxa"/>
            </w:tcMar>
            <w:vAlign w:val="center"/>
          </w:tcPr>
          <w:p w14:paraId="754210EF"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21,485</w:t>
            </w:r>
          </w:p>
        </w:tc>
        <w:tc>
          <w:tcPr>
            <w:tcW w:w="1304" w:type="dxa"/>
            <w:shd w:val="clear" w:color="auto" w:fill="FFFFFF"/>
            <w:tcMar>
              <w:top w:w="0" w:type="dxa"/>
              <w:left w:w="85" w:type="dxa"/>
              <w:bottom w:w="0" w:type="dxa"/>
              <w:right w:w="85" w:type="dxa"/>
            </w:tcMar>
            <w:vAlign w:val="center"/>
          </w:tcPr>
          <w:p w14:paraId="029094F8"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128,804</w:t>
            </w:r>
          </w:p>
        </w:tc>
        <w:tc>
          <w:tcPr>
            <w:tcW w:w="1304" w:type="dxa"/>
            <w:shd w:val="clear" w:color="auto" w:fill="FFFFFF"/>
            <w:tcMar>
              <w:top w:w="0" w:type="dxa"/>
              <w:left w:w="85" w:type="dxa"/>
              <w:bottom w:w="0" w:type="dxa"/>
              <w:right w:w="85" w:type="dxa"/>
            </w:tcMar>
            <w:vAlign w:val="center"/>
          </w:tcPr>
          <w:p w14:paraId="7FAF902F"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499.5</w:t>
            </w:r>
          </w:p>
        </w:tc>
      </w:tr>
      <w:tr w:rsidR="00447423" w:rsidRPr="002A3CBE" w14:paraId="46084568" w14:textId="77777777" w:rsidTr="00F16E23">
        <w:tc>
          <w:tcPr>
            <w:tcW w:w="2268" w:type="dxa"/>
            <w:tcBorders>
              <w:top w:val="nil"/>
              <w:bottom w:val="nil"/>
            </w:tcBorders>
            <w:shd w:val="clear" w:color="auto" w:fill="FFFFFF"/>
            <w:tcMar>
              <w:top w:w="0" w:type="dxa"/>
              <w:left w:w="85" w:type="dxa"/>
              <w:bottom w:w="0" w:type="dxa"/>
              <w:right w:w="85" w:type="dxa"/>
            </w:tcMar>
            <w:vAlign w:val="center"/>
          </w:tcPr>
          <w:p w14:paraId="372152F4" w14:textId="77777777" w:rsidR="00447423" w:rsidRPr="002A3CBE" w:rsidRDefault="00447423" w:rsidP="00F16E23">
            <w:pPr>
              <w:pStyle w:val="TableText"/>
              <w:spacing w:before="40" w:after="40"/>
              <w:rPr>
                <w:rFonts w:eastAsia="Calibri"/>
                <w:szCs w:val="16"/>
              </w:rPr>
            </w:pPr>
          </w:p>
        </w:tc>
        <w:tc>
          <w:tcPr>
            <w:tcW w:w="2268" w:type="dxa"/>
            <w:shd w:val="clear" w:color="auto" w:fill="FFFFFF"/>
            <w:tcMar>
              <w:top w:w="0" w:type="dxa"/>
              <w:left w:w="85" w:type="dxa"/>
              <w:bottom w:w="0" w:type="dxa"/>
              <w:right w:w="85" w:type="dxa"/>
            </w:tcMar>
            <w:vAlign w:val="center"/>
          </w:tcPr>
          <w:p w14:paraId="14781C95" w14:textId="77777777" w:rsidR="00447423" w:rsidRPr="002A3CBE" w:rsidRDefault="00447423" w:rsidP="00F16E23">
            <w:pPr>
              <w:pStyle w:val="TableText"/>
              <w:spacing w:before="40" w:after="40"/>
              <w:rPr>
                <w:rFonts w:eastAsia="Calibri"/>
                <w:szCs w:val="16"/>
              </w:rPr>
            </w:pPr>
            <w:r w:rsidRPr="002A3CBE">
              <w:rPr>
                <w:rFonts w:eastAsia="Calibri"/>
                <w:szCs w:val="16"/>
              </w:rPr>
              <w:t>Perennial cropland</w:t>
            </w:r>
          </w:p>
        </w:tc>
        <w:tc>
          <w:tcPr>
            <w:tcW w:w="1304" w:type="dxa"/>
            <w:shd w:val="clear" w:color="auto" w:fill="FFFFFF"/>
            <w:tcMar>
              <w:top w:w="0" w:type="dxa"/>
              <w:left w:w="85" w:type="dxa"/>
              <w:bottom w:w="0" w:type="dxa"/>
              <w:right w:w="85" w:type="dxa"/>
            </w:tcMar>
            <w:vAlign w:val="center"/>
          </w:tcPr>
          <w:p w14:paraId="5EED2D9C"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6,821</w:t>
            </w:r>
          </w:p>
        </w:tc>
        <w:tc>
          <w:tcPr>
            <w:tcW w:w="1304" w:type="dxa"/>
            <w:shd w:val="clear" w:color="auto" w:fill="FFFFFF"/>
            <w:tcMar>
              <w:top w:w="0" w:type="dxa"/>
              <w:left w:w="85" w:type="dxa"/>
              <w:bottom w:w="0" w:type="dxa"/>
              <w:right w:w="85" w:type="dxa"/>
            </w:tcMar>
            <w:vAlign w:val="center"/>
          </w:tcPr>
          <w:p w14:paraId="4BFB9D53"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11,121</w:t>
            </w:r>
          </w:p>
        </w:tc>
        <w:tc>
          <w:tcPr>
            <w:tcW w:w="1304" w:type="dxa"/>
            <w:shd w:val="clear" w:color="auto" w:fill="FFFFFF"/>
            <w:tcMar>
              <w:top w:w="0" w:type="dxa"/>
              <w:left w:w="85" w:type="dxa"/>
              <w:bottom w:w="0" w:type="dxa"/>
              <w:right w:w="85" w:type="dxa"/>
            </w:tcMar>
            <w:vAlign w:val="center"/>
          </w:tcPr>
          <w:p w14:paraId="0ECF6953" w14:textId="77777777" w:rsidR="00447423" w:rsidRPr="002A3CBE" w:rsidRDefault="00447423" w:rsidP="00F16E23">
            <w:pPr>
              <w:pStyle w:val="TableText"/>
              <w:spacing w:before="40" w:after="40"/>
              <w:jc w:val="right"/>
              <w:rPr>
                <w:rFonts w:eastAsia="Calibri"/>
                <w:szCs w:val="16"/>
              </w:rPr>
            </w:pPr>
            <w:r w:rsidRPr="002A3CBE">
              <w:rPr>
                <w:rFonts w:eastAsia="Calibri"/>
                <w:szCs w:val="16"/>
              </w:rPr>
              <w:t>63.0</w:t>
            </w:r>
          </w:p>
        </w:tc>
      </w:tr>
      <w:tr w:rsidR="00447423" w:rsidRPr="002A3CBE" w14:paraId="18CDA955" w14:textId="77777777" w:rsidTr="00F16E23">
        <w:tc>
          <w:tcPr>
            <w:tcW w:w="2268" w:type="dxa"/>
            <w:tcBorders>
              <w:top w:val="nil"/>
            </w:tcBorders>
            <w:shd w:val="clear" w:color="auto" w:fill="FFFFFF"/>
            <w:tcMar>
              <w:top w:w="0" w:type="dxa"/>
              <w:left w:w="85" w:type="dxa"/>
              <w:bottom w:w="0" w:type="dxa"/>
              <w:right w:w="85" w:type="dxa"/>
            </w:tcMar>
            <w:vAlign w:val="center"/>
          </w:tcPr>
          <w:p w14:paraId="465B7FB9" w14:textId="77777777" w:rsidR="00447423" w:rsidRPr="002A3CBE" w:rsidRDefault="00447423" w:rsidP="00F16E23">
            <w:pPr>
              <w:pStyle w:val="TableText"/>
              <w:spacing w:before="40" w:after="40"/>
              <w:rPr>
                <w:rFonts w:eastAsia="Calibri"/>
                <w:i/>
                <w:szCs w:val="16"/>
              </w:rPr>
            </w:pPr>
          </w:p>
        </w:tc>
        <w:tc>
          <w:tcPr>
            <w:tcW w:w="2268" w:type="dxa"/>
            <w:shd w:val="clear" w:color="auto" w:fill="FFFFFF"/>
            <w:tcMar>
              <w:top w:w="0" w:type="dxa"/>
              <w:left w:w="85" w:type="dxa"/>
              <w:bottom w:w="0" w:type="dxa"/>
              <w:right w:w="85" w:type="dxa"/>
            </w:tcMar>
            <w:vAlign w:val="center"/>
          </w:tcPr>
          <w:p w14:paraId="3F3FA6FC" w14:textId="77777777" w:rsidR="00447423" w:rsidRPr="002A3CBE" w:rsidRDefault="00447423" w:rsidP="00F16E23">
            <w:pPr>
              <w:pStyle w:val="TableText"/>
              <w:spacing w:before="40" w:after="40"/>
              <w:rPr>
                <w:rFonts w:eastAsia="Calibri"/>
                <w:i/>
                <w:szCs w:val="16"/>
              </w:rPr>
            </w:pPr>
            <w:r w:rsidRPr="002A3CBE">
              <w:rPr>
                <w:rFonts w:eastAsia="Calibri"/>
                <w:i/>
                <w:szCs w:val="16"/>
              </w:rPr>
              <w:t>Subtotal</w:t>
            </w:r>
          </w:p>
        </w:tc>
        <w:tc>
          <w:tcPr>
            <w:tcW w:w="1304" w:type="dxa"/>
            <w:shd w:val="clear" w:color="auto" w:fill="FFFFFF"/>
            <w:tcMar>
              <w:top w:w="0" w:type="dxa"/>
              <w:left w:w="85" w:type="dxa"/>
              <w:bottom w:w="0" w:type="dxa"/>
              <w:right w:w="85" w:type="dxa"/>
            </w:tcMar>
            <w:vAlign w:val="center"/>
          </w:tcPr>
          <w:p w14:paraId="07F5F608" w14:textId="77777777" w:rsidR="00447423" w:rsidRPr="002A3CBE" w:rsidRDefault="00447423" w:rsidP="00F16E23">
            <w:pPr>
              <w:pStyle w:val="TableText"/>
              <w:spacing w:before="40" w:after="40"/>
              <w:jc w:val="right"/>
              <w:rPr>
                <w:rFonts w:eastAsia="Calibri"/>
                <w:i/>
                <w:szCs w:val="16"/>
              </w:rPr>
            </w:pPr>
            <w:r w:rsidRPr="002A3CBE">
              <w:rPr>
                <w:rFonts w:eastAsia="Calibri"/>
                <w:i/>
                <w:szCs w:val="16"/>
              </w:rPr>
              <w:t>28,306</w:t>
            </w:r>
          </w:p>
        </w:tc>
        <w:tc>
          <w:tcPr>
            <w:tcW w:w="1304" w:type="dxa"/>
            <w:shd w:val="clear" w:color="auto" w:fill="FFFFFF"/>
            <w:tcMar>
              <w:top w:w="0" w:type="dxa"/>
              <w:left w:w="85" w:type="dxa"/>
              <w:bottom w:w="0" w:type="dxa"/>
              <w:right w:w="85" w:type="dxa"/>
            </w:tcMar>
            <w:vAlign w:val="center"/>
          </w:tcPr>
          <w:p w14:paraId="01EC3447" w14:textId="77777777" w:rsidR="00447423" w:rsidRPr="002A3CBE" w:rsidRDefault="00447423" w:rsidP="00F16E23">
            <w:pPr>
              <w:pStyle w:val="TableText"/>
              <w:spacing w:before="40" w:after="40"/>
              <w:jc w:val="right"/>
              <w:rPr>
                <w:rFonts w:eastAsia="Calibri"/>
                <w:i/>
                <w:szCs w:val="16"/>
              </w:rPr>
            </w:pPr>
            <w:r w:rsidRPr="002A3CBE">
              <w:rPr>
                <w:rFonts w:eastAsia="Calibri"/>
                <w:i/>
                <w:szCs w:val="16"/>
              </w:rPr>
              <w:t>139,925</w:t>
            </w:r>
          </w:p>
        </w:tc>
        <w:tc>
          <w:tcPr>
            <w:tcW w:w="1304" w:type="dxa"/>
            <w:shd w:val="clear" w:color="auto" w:fill="FFFFFF"/>
            <w:tcMar>
              <w:top w:w="0" w:type="dxa"/>
              <w:left w:w="85" w:type="dxa"/>
              <w:bottom w:w="0" w:type="dxa"/>
              <w:right w:w="85" w:type="dxa"/>
            </w:tcMar>
            <w:vAlign w:val="center"/>
          </w:tcPr>
          <w:p w14:paraId="5D9E3114" w14:textId="77777777" w:rsidR="00447423" w:rsidRPr="002A3CBE" w:rsidRDefault="00447423" w:rsidP="00F16E23">
            <w:pPr>
              <w:pStyle w:val="TableText"/>
              <w:spacing w:before="40" w:after="40"/>
              <w:jc w:val="right"/>
              <w:rPr>
                <w:rFonts w:eastAsia="Calibri"/>
                <w:i/>
                <w:szCs w:val="16"/>
              </w:rPr>
            </w:pPr>
            <w:r w:rsidRPr="002A3CBE">
              <w:rPr>
                <w:rFonts w:eastAsia="Calibri"/>
                <w:i/>
                <w:szCs w:val="16"/>
              </w:rPr>
              <w:t>394.3</w:t>
            </w:r>
          </w:p>
        </w:tc>
      </w:tr>
      <w:tr w:rsidR="00447423" w:rsidRPr="002A3CBE" w14:paraId="7E0693AB" w14:textId="77777777" w:rsidTr="00F16E23">
        <w:tc>
          <w:tcPr>
            <w:tcW w:w="2268" w:type="dxa"/>
            <w:shd w:val="clear" w:color="auto" w:fill="FFFFFF"/>
            <w:tcMar>
              <w:top w:w="0" w:type="dxa"/>
              <w:left w:w="85" w:type="dxa"/>
              <w:bottom w:w="0" w:type="dxa"/>
              <w:right w:w="85" w:type="dxa"/>
            </w:tcMar>
            <w:vAlign w:val="center"/>
          </w:tcPr>
          <w:p w14:paraId="24E5DCED" w14:textId="77777777" w:rsidR="00447423" w:rsidRPr="002A3CBE" w:rsidRDefault="00447423" w:rsidP="00F16E23">
            <w:pPr>
              <w:pStyle w:val="Tableboldblue"/>
              <w:spacing w:before="40" w:after="40"/>
              <w:rPr>
                <w:rFonts w:eastAsia="Calibri"/>
                <w:szCs w:val="16"/>
              </w:rPr>
            </w:pPr>
            <w:r w:rsidRPr="002A3CBE">
              <w:rPr>
                <w:rFonts w:eastAsia="Calibri"/>
                <w:szCs w:val="16"/>
              </w:rPr>
              <w:t>Total</w:t>
            </w:r>
          </w:p>
        </w:tc>
        <w:tc>
          <w:tcPr>
            <w:tcW w:w="2268" w:type="dxa"/>
            <w:shd w:val="clear" w:color="auto" w:fill="FFFFFF"/>
            <w:tcMar>
              <w:top w:w="0" w:type="dxa"/>
              <w:left w:w="85" w:type="dxa"/>
              <w:bottom w:w="0" w:type="dxa"/>
              <w:right w:w="85" w:type="dxa"/>
            </w:tcMar>
            <w:vAlign w:val="center"/>
          </w:tcPr>
          <w:p w14:paraId="215928AC" w14:textId="77777777" w:rsidR="00447423" w:rsidRPr="002A3CBE" w:rsidRDefault="00447423" w:rsidP="00F16E23">
            <w:pPr>
              <w:pStyle w:val="Tableboldblue"/>
              <w:spacing w:before="40" w:after="40"/>
              <w:rPr>
                <w:rFonts w:eastAsia="Calibri"/>
                <w:szCs w:val="16"/>
              </w:rPr>
            </w:pPr>
          </w:p>
        </w:tc>
        <w:tc>
          <w:tcPr>
            <w:tcW w:w="1304" w:type="dxa"/>
            <w:shd w:val="clear" w:color="auto" w:fill="FFFFFF"/>
            <w:tcMar>
              <w:top w:w="0" w:type="dxa"/>
              <w:left w:w="85" w:type="dxa"/>
              <w:bottom w:w="0" w:type="dxa"/>
              <w:right w:w="85" w:type="dxa"/>
            </w:tcMar>
            <w:vAlign w:val="center"/>
          </w:tcPr>
          <w:p w14:paraId="747A0747" w14:textId="77777777" w:rsidR="00447423" w:rsidRPr="002A3CBE" w:rsidRDefault="00447423" w:rsidP="00F16E23">
            <w:pPr>
              <w:pStyle w:val="Tableboldblue"/>
              <w:spacing w:before="40" w:after="40"/>
              <w:jc w:val="right"/>
              <w:rPr>
                <w:rFonts w:eastAsia="Calibri"/>
                <w:szCs w:val="16"/>
              </w:rPr>
            </w:pPr>
            <w:r w:rsidRPr="002A3CBE">
              <w:rPr>
                <w:rFonts w:eastAsia="Calibri"/>
                <w:szCs w:val="16"/>
              </w:rPr>
              <w:t>424,097</w:t>
            </w:r>
          </w:p>
        </w:tc>
        <w:tc>
          <w:tcPr>
            <w:tcW w:w="1304" w:type="dxa"/>
            <w:shd w:val="clear" w:color="auto" w:fill="FFFFFF"/>
            <w:tcMar>
              <w:top w:w="0" w:type="dxa"/>
              <w:left w:w="85" w:type="dxa"/>
              <w:bottom w:w="0" w:type="dxa"/>
              <w:right w:w="85" w:type="dxa"/>
            </w:tcMar>
            <w:vAlign w:val="center"/>
          </w:tcPr>
          <w:p w14:paraId="087622DC" w14:textId="77777777" w:rsidR="00447423" w:rsidRPr="002A3CBE" w:rsidRDefault="00447423" w:rsidP="00F16E23">
            <w:pPr>
              <w:pStyle w:val="Tableboldblue"/>
              <w:spacing w:before="40" w:after="40"/>
              <w:jc w:val="right"/>
              <w:rPr>
                <w:rFonts w:eastAsia="Calibri"/>
                <w:szCs w:val="16"/>
              </w:rPr>
            </w:pPr>
            <w:r w:rsidRPr="002A3CBE">
              <w:rPr>
                <w:rFonts w:eastAsia="Calibri"/>
                <w:szCs w:val="16"/>
              </w:rPr>
              <w:t>504,940</w:t>
            </w:r>
          </w:p>
        </w:tc>
        <w:tc>
          <w:tcPr>
            <w:tcW w:w="1304" w:type="dxa"/>
            <w:shd w:val="clear" w:color="auto" w:fill="FFFFFF"/>
            <w:tcMar>
              <w:top w:w="0" w:type="dxa"/>
              <w:left w:w="85" w:type="dxa"/>
              <w:bottom w:w="0" w:type="dxa"/>
              <w:right w:w="85" w:type="dxa"/>
            </w:tcMar>
            <w:vAlign w:val="center"/>
          </w:tcPr>
          <w:p w14:paraId="37241356" w14:textId="77777777" w:rsidR="00447423" w:rsidRPr="002A3CBE" w:rsidRDefault="00447423" w:rsidP="00F16E23">
            <w:pPr>
              <w:pStyle w:val="Tableboldblue"/>
              <w:spacing w:before="40" w:after="40"/>
              <w:jc w:val="right"/>
              <w:rPr>
                <w:rFonts w:eastAsia="Calibri"/>
                <w:szCs w:val="16"/>
              </w:rPr>
            </w:pPr>
            <w:r w:rsidRPr="002A3CBE">
              <w:rPr>
                <w:rFonts w:eastAsia="Calibri"/>
                <w:szCs w:val="16"/>
              </w:rPr>
              <w:t>19.1</w:t>
            </w:r>
          </w:p>
        </w:tc>
      </w:tr>
    </w:tbl>
    <w:p w14:paraId="5D5C079F" w14:textId="77777777" w:rsidR="00447423" w:rsidRPr="002A3CBE" w:rsidRDefault="00447423" w:rsidP="00447423">
      <w:pPr>
        <w:pStyle w:val="Noteundertable"/>
      </w:pPr>
      <w:r w:rsidRPr="002A3CBE">
        <w:rPr>
          <w:b/>
        </w:rPr>
        <w:t>Note:</w:t>
      </w:r>
      <w:r w:rsidRPr="002A3CBE">
        <w:tab/>
        <w:t>This table shows the change between 1 January 1990 and 31 December 2024. Columns may not total due to rounding.</w:t>
      </w:r>
    </w:p>
    <w:p w14:paraId="2E9D4C62" w14:textId="77777777" w:rsidR="00447423" w:rsidRPr="002A3CBE" w:rsidRDefault="00447423" w:rsidP="00447423">
      <w:pPr>
        <w:pStyle w:val="BodyText"/>
        <w:spacing w:before="100" w:after="100"/>
      </w:pPr>
      <w:r w:rsidRPr="002A3CBE">
        <w:t xml:space="preserve">In 2024, </w:t>
      </w:r>
      <w:r w:rsidRPr="002A3CBE">
        <w:rPr>
          <w:i/>
        </w:rPr>
        <w:t>Cropland remaining cropland</w:t>
      </w:r>
      <w:r w:rsidRPr="002A3CBE">
        <w:t xml:space="preserve"> and</w:t>
      </w:r>
      <w:r w:rsidRPr="002A3CBE">
        <w:rPr>
          <w:i/>
          <w:iCs/>
        </w:rPr>
        <w:t xml:space="preserve"> </w:t>
      </w:r>
      <w:r w:rsidRPr="002A3CBE">
        <w:rPr>
          <w:rFonts w:cs="Calibri"/>
          <w:i/>
          <w:color w:val="000000" w:themeColor="text1"/>
        </w:rPr>
        <w:t>Land converted to cropland</w:t>
      </w:r>
      <w:r w:rsidRPr="002A3CBE">
        <w:t xml:space="preserve"> were identified as key categories for the level and trend assessment.</w:t>
      </w:r>
      <w:bookmarkStart w:id="2243" w:name="_Toc139253964"/>
      <w:bookmarkStart w:id="2244" w:name="_Toc255466373"/>
      <w:bookmarkStart w:id="2245" w:name="_Toc261513180"/>
      <w:bookmarkStart w:id="2246" w:name="_Toc261513793"/>
      <w:bookmarkStart w:id="2247" w:name="_Toc280630265"/>
    </w:p>
    <w:p w14:paraId="63881B79" w14:textId="77777777" w:rsidR="00447423" w:rsidRPr="002A3CBE" w:rsidRDefault="00447423" w:rsidP="00447423">
      <w:pPr>
        <w:pStyle w:val="Heading3"/>
        <w:spacing w:before="180"/>
      </w:pPr>
      <w:r w:rsidRPr="002A3CBE">
        <w:t>6.5.2</w:t>
      </w:r>
      <w:r w:rsidRPr="002A3CBE">
        <w:tab/>
        <w:t>Methodological issues</w:t>
      </w:r>
      <w:bookmarkEnd w:id="2243"/>
      <w:bookmarkEnd w:id="2244"/>
      <w:bookmarkEnd w:id="2245"/>
      <w:bookmarkEnd w:id="2246"/>
      <w:bookmarkEnd w:id="2247"/>
      <w:r w:rsidRPr="002A3CBE">
        <w:t xml:space="preserve"> </w:t>
      </w:r>
    </w:p>
    <w:p w14:paraId="7792E2EB" w14:textId="77777777" w:rsidR="00447423" w:rsidRPr="002A3CBE" w:rsidRDefault="00447423" w:rsidP="00447423">
      <w:pPr>
        <w:pStyle w:val="BodyText"/>
      </w:pPr>
      <w:r w:rsidRPr="002A3CBE">
        <w:t xml:space="preserve">Emissions and removals for the living biomass and dead organic matter pools have been calculated using IPCC Tier 1 emission factors for annual cropland, Tier 2 emission factors for perennial cropland (Davis and Wakelin, unpublished) and activity data as described in section 6.2. Emissions and removals by the SOC pool are estimated using a Tier 2 method for mineral soils and IPCC Tier 1 defaults for organic soils, as described in volume 2, annex 5, section A5.2.4. </w:t>
      </w:r>
    </w:p>
    <w:p w14:paraId="59185C23" w14:textId="77777777" w:rsidR="00447423" w:rsidRPr="002A3CBE" w:rsidRDefault="00447423" w:rsidP="00447423">
      <w:pPr>
        <w:pStyle w:val="BodyText"/>
      </w:pPr>
      <w:r w:rsidRPr="002A3CBE">
        <w:t xml:space="preserve">A summary of the New Zealand emission factors and other parameters used to estimate greenhouse gas emissions for the </w:t>
      </w:r>
      <w:r w:rsidRPr="002A3CBE">
        <w:rPr>
          <w:i/>
        </w:rPr>
        <w:t>Cropland</w:t>
      </w:r>
      <w:r w:rsidRPr="002A3CBE">
        <w:t xml:space="preserve"> category is provided in table 6.5.5. </w:t>
      </w:r>
      <w:bookmarkStart w:id="2248" w:name="_Toc310423418"/>
      <w:bookmarkStart w:id="2249" w:name="_Toc318362711"/>
      <w:bookmarkStart w:id="2250" w:name="_Toc342470773"/>
      <w:bookmarkStart w:id="2251" w:name="_Toc352505013"/>
      <w:bookmarkStart w:id="2252" w:name="_Toc378853304"/>
    </w:p>
    <w:p w14:paraId="169393D8" w14:textId="77777777" w:rsidR="00447423" w:rsidRPr="002A3CBE" w:rsidRDefault="00447423" w:rsidP="00447423">
      <w:pPr>
        <w:pStyle w:val="Table"/>
      </w:pPr>
      <w:bookmarkStart w:id="2253" w:name="_Toc391024102"/>
      <w:bookmarkStart w:id="2254" w:name="_Toc410028845"/>
      <w:bookmarkStart w:id="2255" w:name="_Toc414531473"/>
      <w:bookmarkStart w:id="2256" w:name="_Toc443645386"/>
      <w:bookmarkStart w:id="2257" w:name="_Toc474914605"/>
      <w:bookmarkStart w:id="2258" w:name="_Toc481751569"/>
      <w:bookmarkStart w:id="2259" w:name="_Toc522010626"/>
      <w:bookmarkStart w:id="2260" w:name="_Toc5269531"/>
      <w:bookmarkStart w:id="2261" w:name="_Toc33529405"/>
      <w:bookmarkStart w:id="2262" w:name="_Toc36224611"/>
      <w:bookmarkStart w:id="2263" w:name="_Toc65243608"/>
      <w:bookmarkStart w:id="2264" w:name="_Toc131591405"/>
      <w:bookmarkStart w:id="2265" w:name="_Toc158979963"/>
      <w:bookmarkStart w:id="2266" w:name="_Toc164153896"/>
      <w:bookmarkStart w:id="2267" w:name="_Toc190873130"/>
      <w:bookmarkStart w:id="2268" w:name="_Toc194241769"/>
      <w:bookmarkStart w:id="2269" w:name="_Toc222837920"/>
      <w:bookmarkStart w:id="2270" w:name="_Toc226669066"/>
      <w:r w:rsidRPr="002A3CBE">
        <w:t>Table 6.5.5</w:t>
      </w:r>
      <w:r w:rsidRPr="002A3CBE">
        <w:tab/>
        <w:t>Summary of New Zealand’s carbon stock change emission factors for the </w:t>
      </w:r>
      <w:r w:rsidRPr="002A3CBE">
        <w:rPr>
          <w:i/>
        </w:rPr>
        <w:t>Cropland</w:t>
      </w:r>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r w:rsidRPr="002A3CBE">
        <w:t xml:space="preserve"> category</w:t>
      </w:r>
      <w:bookmarkEnd w:id="2264"/>
      <w:bookmarkEnd w:id="2265"/>
      <w:bookmarkEnd w:id="2266"/>
      <w:bookmarkEnd w:id="2267"/>
      <w:bookmarkEnd w:id="2268"/>
      <w:bookmarkEnd w:id="2269"/>
      <w:bookmarkEnd w:id="2270"/>
      <w:r w:rsidRPr="002A3CBE">
        <w:t xml:space="preserve"> </w:t>
      </w:r>
    </w:p>
    <w:tbl>
      <w:tblPr>
        <w:tblW w:w="8505" w:type="dxa"/>
        <w:tblLayout w:type="fixed"/>
        <w:tblCellMar>
          <w:left w:w="85" w:type="dxa"/>
          <w:right w:w="57" w:type="dxa"/>
        </w:tblCellMar>
        <w:tblLook w:val="04A0" w:firstRow="1" w:lastRow="0" w:firstColumn="1" w:lastColumn="0" w:noHBand="0" w:noVBand="1"/>
      </w:tblPr>
      <w:tblGrid>
        <w:gridCol w:w="886"/>
        <w:gridCol w:w="1535"/>
        <w:gridCol w:w="1122"/>
        <w:gridCol w:w="1241"/>
        <w:gridCol w:w="1028"/>
        <w:gridCol w:w="2693"/>
      </w:tblGrid>
      <w:tr w:rsidR="00447423" w:rsidRPr="002A3CBE" w14:paraId="0F6FAB72" w14:textId="77777777" w:rsidTr="00F16E23">
        <w:trPr>
          <w:tblHeader/>
        </w:trPr>
        <w:tc>
          <w:tcPr>
            <w:tcW w:w="886" w:type="dxa"/>
            <w:tcBorders>
              <w:top w:val="single" w:sz="4" w:space="0" w:color="1B556B"/>
              <w:bottom w:val="single" w:sz="4" w:space="0" w:color="1B556B"/>
            </w:tcBorders>
            <w:shd w:val="clear" w:color="auto" w:fill="1B556B"/>
            <w:vAlign w:val="bottom"/>
          </w:tcPr>
          <w:p w14:paraId="369B72E0" w14:textId="77777777" w:rsidR="00447423" w:rsidRPr="002A3CBE" w:rsidRDefault="00447423" w:rsidP="00F16E23">
            <w:pPr>
              <w:pStyle w:val="TableTextBold"/>
              <w:keepNext/>
              <w:spacing w:before="40" w:after="40"/>
              <w:rPr>
                <w:rFonts w:cs="Segoe UI"/>
                <w:noProof w:val="0"/>
                <w:color w:val="FFFFFF"/>
                <w:szCs w:val="16"/>
              </w:rPr>
            </w:pPr>
            <w:r w:rsidRPr="002A3CBE">
              <w:rPr>
                <w:rFonts w:cs="Segoe UI"/>
                <w:noProof w:val="0"/>
                <w:color w:val="FFFFFF"/>
                <w:szCs w:val="16"/>
              </w:rPr>
              <w:t>Land use</w:t>
            </w:r>
          </w:p>
        </w:tc>
        <w:tc>
          <w:tcPr>
            <w:tcW w:w="1535" w:type="dxa"/>
            <w:tcBorders>
              <w:top w:val="single" w:sz="4" w:space="0" w:color="1B556B"/>
              <w:bottom w:val="single" w:sz="4" w:space="0" w:color="1B556B"/>
            </w:tcBorders>
            <w:shd w:val="clear" w:color="auto" w:fill="1B556B"/>
            <w:vAlign w:val="bottom"/>
          </w:tcPr>
          <w:p w14:paraId="0492D811" w14:textId="77777777" w:rsidR="00447423" w:rsidRPr="002A3CBE" w:rsidRDefault="00447423" w:rsidP="00F16E23">
            <w:pPr>
              <w:pStyle w:val="TableTextBold"/>
              <w:keepNext/>
              <w:spacing w:before="40" w:after="40"/>
              <w:rPr>
                <w:rFonts w:cs="Segoe UI"/>
                <w:noProof w:val="0"/>
                <w:color w:val="FFFFFF"/>
                <w:szCs w:val="16"/>
              </w:rPr>
            </w:pPr>
            <w:r w:rsidRPr="002A3CBE">
              <w:rPr>
                <w:rFonts w:cs="Segoe UI"/>
                <w:noProof w:val="0"/>
                <w:color w:val="FFFFFF"/>
                <w:szCs w:val="16"/>
              </w:rPr>
              <w:t>Carbon pool</w:t>
            </w:r>
          </w:p>
        </w:tc>
        <w:tc>
          <w:tcPr>
            <w:tcW w:w="1122" w:type="dxa"/>
            <w:tcBorders>
              <w:top w:val="single" w:sz="4" w:space="0" w:color="1B556B"/>
              <w:bottom w:val="single" w:sz="4" w:space="0" w:color="1B556B"/>
            </w:tcBorders>
            <w:shd w:val="clear" w:color="auto" w:fill="1B556B"/>
            <w:vAlign w:val="bottom"/>
          </w:tcPr>
          <w:p w14:paraId="1077ABBE" w14:textId="77777777" w:rsidR="00447423" w:rsidRPr="002A3CBE" w:rsidRDefault="00447423" w:rsidP="00F16E23">
            <w:pPr>
              <w:pStyle w:val="TableTextBold"/>
              <w:keepNext/>
              <w:spacing w:before="40" w:after="40"/>
              <w:rPr>
                <w:rFonts w:cs="Segoe UI"/>
                <w:noProof w:val="0"/>
                <w:color w:val="FFFFFF"/>
                <w:szCs w:val="16"/>
              </w:rPr>
            </w:pPr>
            <w:r w:rsidRPr="002A3CBE">
              <w:rPr>
                <w:rFonts w:cs="Segoe UI"/>
                <w:noProof w:val="0"/>
                <w:color w:val="FFFFFF"/>
                <w:szCs w:val="16"/>
              </w:rPr>
              <w:t xml:space="preserve">Steady state carbon stock </w:t>
            </w:r>
            <w:r w:rsidRPr="002A3CBE">
              <w:rPr>
                <w:rFonts w:cs="Segoe UI"/>
                <w:noProof w:val="0"/>
                <w:color w:val="FFFFFF"/>
                <w:szCs w:val="16"/>
              </w:rPr>
              <w:br/>
              <w:t>(t C ha</w:t>
            </w:r>
            <w:r w:rsidRPr="002A3CBE">
              <w:rPr>
                <w:rFonts w:cs="Segoe UI"/>
                <w:noProof w:val="0"/>
                <w:color w:val="FFFFFF"/>
                <w:szCs w:val="16"/>
                <w:vertAlign w:val="superscript"/>
              </w:rPr>
              <w:t>–1</w:t>
            </w:r>
            <w:r w:rsidRPr="002A3CBE">
              <w:rPr>
                <w:rFonts w:cs="Segoe UI"/>
                <w:noProof w:val="0"/>
                <w:color w:val="FFFFFF"/>
                <w:szCs w:val="16"/>
              </w:rPr>
              <w:t>)</w:t>
            </w:r>
          </w:p>
        </w:tc>
        <w:tc>
          <w:tcPr>
            <w:tcW w:w="1241" w:type="dxa"/>
            <w:tcBorders>
              <w:top w:val="single" w:sz="4" w:space="0" w:color="1B556B"/>
              <w:bottom w:val="single" w:sz="4" w:space="0" w:color="1B556B"/>
            </w:tcBorders>
            <w:shd w:val="clear" w:color="auto" w:fill="1B556B"/>
            <w:vAlign w:val="bottom"/>
          </w:tcPr>
          <w:p w14:paraId="5A0447E7" w14:textId="77777777" w:rsidR="00447423" w:rsidRPr="002A3CBE" w:rsidRDefault="00447423" w:rsidP="00F16E23">
            <w:pPr>
              <w:pStyle w:val="TableTextBold"/>
              <w:keepNext/>
              <w:spacing w:before="40" w:after="40"/>
              <w:rPr>
                <w:rFonts w:cs="Segoe UI"/>
                <w:noProof w:val="0"/>
                <w:color w:val="FFFFFF"/>
                <w:szCs w:val="16"/>
              </w:rPr>
            </w:pPr>
            <w:r w:rsidRPr="002A3CBE">
              <w:rPr>
                <w:rFonts w:cs="Segoe UI"/>
                <w:noProof w:val="0"/>
                <w:color w:val="FFFFFF"/>
                <w:szCs w:val="16"/>
              </w:rPr>
              <w:t xml:space="preserve">Annual carbon stock change </w:t>
            </w:r>
            <w:r w:rsidRPr="002A3CBE">
              <w:rPr>
                <w:rFonts w:cs="Segoe UI"/>
                <w:noProof w:val="0"/>
                <w:color w:val="FFFFFF"/>
                <w:szCs w:val="16"/>
              </w:rPr>
              <w:br/>
              <w:t>(t C ha</w:t>
            </w:r>
            <w:r w:rsidRPr="002A3CBE">
              <w:rPr>
                <w:rFonts w:cs="Segoe UI"/>
                <w:noProof w:val="0"/>
                <w:color w:val="FFFFFF"/>
                <w:szCs w:val="16"/>
                <w:vertAlign w:val="superscript"/>
              </w:rPr>
              <w:t>–1</w:t>
            </w:r>
            <w:r w:rsidRPr="002A3CBE">
              <w:rPr>
                <w:rFonts w:cs="Segoe UI"/>
                <w:noProof w:val="0"/>
                <w:color w:val="FFFFFF"/>
                <w:szCs w:val="16"/>
              </w:rPr>
              <w:t>)</w:t>
            </w:r>
          </w:p>
        </w:tc>
        <w:tc>
          <w:tcPr>
            <w:tcW w:w="1028" w:type="dxa"/>
            <w:tcBorders>
              <w:top w:val="single" w:sz="4" w:space="0" w:color="1B556B"/>
              <w:bottom w:val="single" w:sz="4" w:space="0" w:color="1B556B"/>
            </w:tcBorders>
            <w:shd w:val="clear" w:color="auto" w:fill="1B556B"/>
            <w:vAlign w:val="bottom"/>
          </w:tcPr>
          <w:p w14:paraId="71474560" w14:textId="77777777" w:rsidR="00447423" w:rsidRPr="002A3CBE" w:rsidRDefault="00447423" w:rsidP="00F16E23">
            <w:pPr>
              <w:pStyle w:val="TableTextBold"/>
              <w:keepNext/>
              <w:spacing w:before="40" w:after="40"/>
              <w:rPr>
                <w:rFonts w:cs="Segoe UI"/>
                <w:noProof w:val="0"/>
                <w:color w:val="FFFFFF"/>
                <w:szCs w:val="16"/>
              </w:rPr>
            </w:pPr>
            <w:r w:rsidRPr="002A3CBE">
              <w:rPr>
                <w:rFonts w:cs="Segoe UI"/>
                <w:noProof w:val="0"/>
                <w:color w:val="FFFFFF"/>
                <w:szCs w:val="16"/>
              </w:rPr>
              <w:t>Years to reach steady state</w:t>
            </w:r>
          </w:p>
        </w:tc>
        <w:tc>
          <w:tcPr>
            <w:tcW w:w="2693" w:type="dxa"/>
            <w:tcBorders>
              <w:top w:val="single" w:sz="4" w:space="0" w:color="1B556B"/>
              <w:bottom w:val="single" w:sz="4" w:space="0" w:color="1B556B"/>
            </w:tcBorders>
            <w:shd w:val="clear" w:color="auto" w:fill="1B556B"/>
            <w:vAlign w:val="bottom"/>
          </w:tcPr>
          <w:p w14:paraId="563D799F" w14:textId="77777777" w:rsidR="00447423" w:rsidRPr="002A3CBE" w:rsidRDefault="00447423" w:rsidP="00F16E23">
            <w:pPr>
              <w:pStyle w:val="TableTextBold"/>
              <w:keepNext/>
              <w:spacing w:before="40" w:after="40"/>
              <w:rPr>
                <w:rFonts w:cs="Segoe UI"/>
                <w:noProof w:val="0"/>
                <w:color w:val="FFFFFF"/>
                <w:szCs w:val="16"/>
              </w:rPr>
            </w:pPr>
            <w:r w:rsidRPr="002A3CBE">
              <w:rPr>
                <w:rFonts w:cs="Segoe UI"/>
                <w:noProof w:val="0"/>
                <w:color w:val="FFFFFF"/>
                <w:szCs w:val="16"/>
              </w:rPr>
              <w:t>Source</w:t>
            </w:r>
          </w:p>
        </w:tc>
      </w:tr>
      <w:tr w:rsidR="00447423" w:rsidRPr="002A3CBE" w14:paraId="217FBEF8" w14:textId="77777777" w:rsidTr="00F16E23">
        <w:tc>
          <w:tcPr>
            <w:tcW w:w="886" w:type="dxa"/>
            <w:tcBorders>
              <w:top w:val="single" w:sz="4" w:space="0" w:color="1B556B"/>
            </w:tcBorders>
          </w:tcPr>
          <w:p w14:paraId="4A10F05B" w14:textId="77777777" w:rsidR="00447423" w:rsidRPr="002A3CBE" w:rsidRDefault="00447423" w:rsidP="00F16E23">
            <w:pPr>
              <w:pStyle w:val="TableTextBold"/>
              <w:keepNext/>
              <w:spacing w:before="40" w:after="40"/>
              <w:rPr>
                <w:rFonts w:cs="Segoe UI"/>
                <w:noProof w:val="0"/>
                <w:szCs w:val="16"/>
              </w:rPr>
            </w:pPr>
            <w:r w:rsidRPr="002A3CBE">
              <w:rPr>
                <w:rFonts w:cs="Segoe UI"/>
                <w:noProof w:val="0"/>
                <w:szCs w:val="16"/>
              </w:rPr>
              <w:t>Annual</w:t>
            </w:r>
          </w:p>
        </w:tc>
        <w:tc>
          <w:tcPr>
            <w:tcW w:w="1535" w:type="dxa"/>
            <w:tcBorders>
              <w:top w:val="single" w:sz="4" w:space="0" w:color="1B556B"/>
              <w:bottom w:val="single" w:sz="4" w:space="0" w:color="1B556B"/>
            </w:tcBorders>
          </w:tcPr>
          <w:p w14:paraId="06E1B8E4" w14:textId="77777777" w:rsidR="00447423" w:rsidRPr="002A3CBE" w:rsidRDefault="00447423" w:rsidP="00F16E23">
            <w:pPr>
              <w:pStyle w:val="TableText"/>
              <w:keepNext/>
              <w:spacing w:before="40" w:after="40"/>
              <w:rPr>
                <w:rFonts w:cs="Segoe UI"/>
                <w:szCs w:val="16"/>
              </w:rPr>
            </w:pPr>
            <w:r w:rsidRPr="002A3CBE">
              <w:rPr>
                <w:rFonts w:cs="Segoe UI"/>
                <w:szCs w:val="16"/>
              </w:rPr>
              <w:t>Biomass</w:t>
            </w:r>
          </w:p>
        </w:tc>
        <w:tc>
          <w:tcPr>
            <w:tcW w:w="1122" w:type="dxa"/>
            <w:tcBorders>
              <w:top w:val="single" w:sz="4" w:space="0" w:color="1B556B"/>
              <w:bottom w:val="single" w:sz="4" w:space="0" w:color="1B556B"/>
            </w:tcBorders>
          </w:tcPr>
          <w:p w14:paraId="1C7EB089" w14:textId="77777777" w:rsidR="00447423" w:rsidRPr="002A3CBE" w:rsidRDefault="00447423" w:rsidP="00F16E23">
            <w:pPr>
              <w:pStyle w:val="TableText"/>
              <w:keepNext/>
              <w:spacing w:before="40" w:after="40"/>
              <w:jc w:val="center"/>
              <w:rPr>
                <w:rFonts w:cs="Segoe UI"/>
                <w:szCs w:val="16"/>
              </w:rPr>
            </w:pPr>
          </w:p>
        </w:tc>
        <w:tc>
          <w:tcPr>
            <w:tcW w:w="1241" w:type="dxa"/>
            <w:tcBorders>
              <w:top w:val="single" w:sz="4" w:space="0" w:color="1B556B"/>
              <w:bottom w:val="single" w:sz="4" w:space="0" w:color="1B556B"/>
            </w:tcBorders>
          </w:tcPr>
          <w:p w14:paraId="434749F7" w14:textId="77777777" w:rsidR="00447423" w:rsidRPr="002A3CBE" w:rsidRDefault="00447423" w:rsidP="00F16E23">
            <w:pPr>
              <w:pStyle w:val="TableText"/>
              <w:keepNext/>
              <w:spacing w:before="40" w:after="40"/>
              <w:jc w:val="center"/>
              <w:rPr>
                <w:rFonts w:cs="Segoe UI"/>
                <w:szCs w:val="16"/>
              </w:rPr>
            </w:pPr>
          </w:p>
        </w:tc>
        <w:tc>
          <w:tcPr>
            <w:tcW w:w="1028" w:type="dxa"/>
            <w:tcBorders>
              <w:top w:val="single" w:sz="4" w:space="0" w:color="1B556B"/>
              <w:bottom w:val="single" w:sz="4" w:space="0" w:color="1B556B"/>
            </w:tcBorders>
          </w:tcPr>
          <w:p w14:paraId="20ED6C8A" w14:textId="77777777" w:rsidR="00447423" w:rsidRPr="002A3CBE" w:rsidRDefault="00447423" w:rsidP="00F16E23">
            <w:pPr>
              <w:pStyle w:val="TableText"/>
              <w:keepNext/>
              <w:spacing w:before="40" w:after="40"/>
              <w:jc w:val="center"/>
              <w:rPr>
                <w:rFonts w:cs="Segoe UI"/>
                <w:szCs w:val="16"/>
              </w:rPr>
            </w:pPr>
          </w:p>
        </w:tc>
        <w:tc>
          <w:tcPr>
            <w:tcW w:w="2693" w:type="dxa"/>
            <w:tcBorders>
              <w:top w:val="single" w:sz="4" w:space="0" w:color="1B556B"/>
              <w:bottom w:val="single" w:sz="4" w:space="0" w:color="1B556B"/>
            </w:tcBorders>
          </w:tcPr>
          <w:p w14:paraId="4F699B83" w14:textId="77777777" w:rsidR="00447423" w:rsidRPr="002A3CBE" w:rsidRDefault="00447423" w:rsidP="00F16E23">
            <w:pPr>
              <w:pStyle w:val="TableText"/>
              <w:keepNext/>
              <w:spacing w:before="40" w:after="40"/>
              <w:rPr>
                <w:rFonts w:cs="Segoe UI"/>
                <w:szCs w:val="16"/>
              </w:rPr>
            </w:pPr>
          </w:p>
        </w:tc>
      </w:tr>
      <w:tr w:rsidR="00447423" w:rsidRPr="002A3CBE" w14:paraId="01856133" w14:textId="77777777" w:rsidTr="00F16E23">
        <w:tc>
          <w:tcPr>
            <w:tcW w:w="886" w:type="dxa"/>
          </w:tcPr>
          <w:p w14:paraId="3CCDE36C" w14:textId="77777777" w:rsidR="00447423" w:rsidRPr="002A3CBE" w:rsidRDefault="00447423" w:rsidP="00F16E23">
            <w:pPr>
              <w:pStyle w:val="TableText"/>
              <w:keepNext/>
              <w:spacing w:before="40" w:after="40"/>
              <w:rPr>
                <w:rFonts w:cs="Segoe UI"/>
                <w:szCs w:val="16"/>
              </w:rPr>
            </w:pPr>
            <w:r w:rsidRPr="002A3CBE">
              <w:rPr>
                <w:rFonts w:cs="Segoe UI"/>
                <w:szCs w:val="16"/>
              </w:rPr>
              <w:t> </w:t>
            </w:r>
          </w:p>
        </w:tc>
        <w:tc>
          <w:tcPr>
            <w:tcW w:w="1535" w:type="dxa"/>
            <w:tcBorders>
              <w:top w:val="single" w:sz="4" w:space="0" w:color="1B556B"/>
              <w:bottom w:val="single" w:sz="4" w:space="0" w:color="1B556B"/>
            </w:tcBorders>
          </w:tcPr>
          <w:p w14:paraId="419A69F8" w14:textId="77777777" w:rsidR="00447423" w:rsidRPr="002A3CBE" w:rsidRDefault="00447423" w:rsidP="00F16E23">
            <w:pPr>
              <w:pStyle w:val="TableText"/>
              <w:keepNext/>
              <w:spacing w:before="40" w:after="40"/>
              <w:rPr>
                <w:rFonts w:cs="Segoe UI"/>
                <w:szCs w:val="16"/>
              </w:rPr>
            </w:pPr>
            <w:r w:rsidRPr="002A3CBE">
              <w:rPr>
                <w:rFonts w:cs="Segoe UI"/>
                <w:szCs w:val="16"/>
              </w:rPr>
              <w:t>Living biomass</w:t>
            </w:r>
          </w:p>
        </w:tc>
        <w:tc>
          <w:tcPr>
            <w:tcW w:w="1122" w:type="dxa"/>
            <w:tcBorders>
              <w:top w:val="single" w:sz="4" w:space="0" w:color="1B556B"/>
              <w:bottom w:val="single" w:sz="4" w:space="0" w:color="1B556B"/>
            </w:tcBorders>
          </w:tcPr>
          <w:p w14:paraId="5BE030B9" w14:textId="77777777" w:rsidR="00447423" w:rsidRPr="002A3CBE" w:rsidRDefault="00447423" w:rsidP="00F16E23">
            <w:pPr>
              <w:pStyle w:val="TableText"/>
              <w:keepNext/>
              <w:spacing w:before="40" w:after="40"/>
              <w:rPr>
                <w:rFonts w:cs="Segoe UI"/>
                <w:szCs w:val="16"/>
              </w:rPr>
            </w:pPr>
            <w:r w:rsidRPr="002A3CBE">
              <w:rPr>
                <w:rFonts w:cs="Segoe UI"/>
                <w:szCs w:val="16"/>
              </w:rPr>
              <w:t>5.0</w:t>
            </w:r>
          </w:p>
        </w:tc>
        <w:tc>
          <w:tcPr>
            <w:tcW w:w="1241" w:type="dxa"/>
            <w:tcBorders>
              <w:top w:val="single" w:sz="4" w:space="0" w:color="1B556B"/>
              <w:bottom w:val="single" w:sz="4" w:space="0" w:color="1B556B"/>
            </w:tcBorders>
          </w:tcPr>
          <w:p w14:paraId="42BA1D0C" w14:textId="77777777" w:rsidR="00447423" w:rsidRPr="002A3CBE" w:rsidRDefault="00447423" w:rsidP="00F16E23">
            <w:pPr>
              <w:pStyle w:val="TableText"/>
              <w:keepNext/>
              <w:spacing w:before="40" w:after="40"/>
              <w:rPr>
                <w:rFonts w:cs="Segoe UI"/>
                <w:szCs w:val="16"/>
              </w:rPr>
            </w:pPr>
            <w:r w:rsidRPr="002A3CBE">
              <w:rPr>
                <w:rFonts w:cs="Segoe UI"/>
                <w:szCs w:val="16"/>
              </w:rPr>
              <w:t>NA</w:t>
            </w:r>
          </w:p>
        </w:tc>
        <w:tc>
          <w:tcPr>
            <w:tcW w:w="1028" w:type="dxa"/>
            <w:tcBorders>
              <w:top w:val="single" w:sz="4" w:space="0" w:color="1B556B"/>
              <w:bottom w:val="single" w:sz="4" w:space="0" w:color="1B556B"/>
            </w:tcBorders>
            <w:tcMar>
              <w:right w:w="85" w:type="dxa"/>
            </w:tcMar>
          </w:tcPr>
          <w:p w14:paraId="78F92827" w14:textId="77777777" w:rsidR="00447423" w:rsidRPr="002A3CBE" w:rsidRDefault="00447423" w:rsidP="00F16E23">
            <w:pPr>
              <w:pStyle w:val="TableText"/>
              <w:keepNext/>
              <w:spacing w:before="40" w:after="40"/>
              <w:rPr>
                <w:rFonts w:cs="Segoe UI"/>
                <w:szCs w:val="16"/>
              </w:rPr>
            </w:pPr>
            <w:r w:rsidRPr="002A3CBE">
              <w:rPr>
                <w:rFonts w:cs="Segoe UI"/>
                <w:szCs w:val="16"/>
              </w:rPr>
              <w:t>1</w:t>
            </w:r>
          </w:p>
        </w:tc>
        <w:tc>
          <w:tcPr>
            <w:tcW w:w="2693" w:type="dxa"/>
            <w:tcBorders>
              <w:top w:val="single" w:sz="4" w:space="0" w:color="1B556B"/>
              <w:bottom w:val="single" w:sz="4" w:space="0" w:color="1B556B"/>
            </w:tcBorders>
          </w:tcPr>
          <w:p w14:paraId="0986555C" w14:textId="77777777" w:rsidR="00447423" w:rsidRPr="002A3CBE" w:rsidRDefault="00447423" w:rsidP="00F16E23">
            <w:pPr>
              <w:pStyle w:val="TableText"/>
              <w:keepNext/>
              <w:spacing w:before="40" w:after="40"/>
              <w:rPr>
                <w:rFonts w:cs="Segoe UI"/>
                <w:szCs w:val="16"/>
              </w:rPr>
            </w:pPr>
            <w:r w:rsidRPr="002A3CBE">
              <w:rPr>
                <w:rFonts w:cs="Segoe UI"/>
                <w:szCs w:val="16"/>
              </w:rPr>
              <w:t>IPCC default (table 5.9, IPCC, 2006a)</w:t>
            </w:r>
          </w:p>
        </w:tc>
      </w:tr>
      <w:tr w:rsidR="00447423" w:rsidRPr="002A3CBE" w14:paraId="58410A07" w14:textId="77777777" w:rsidTr="00F16E23">
        <w:tc>
          <w:tcPr>
            <w:tcW w:w="886" w:type="dxa"/>
          </w:tcPr>
          <w:p w14:paraId="74EE8C89" w14:textId="77777777" w:rsidR="00447423" w:rsidRPr="002A3CBE" w:rsidRDefault="00447423" w:rsidP="00F16E23">
            <w:pPr>
              <w:pStyle w:val="TableText"/>
              <w:keepNext/>
              <w:spacing w:before="40" w:after="40"/>
              <w:rPr>
                <w:rFonts w:cs="Segoe UI"/>
                <w:szCs w:val="16"/>
              </w:rPr>
            </w:pPr>
            <w:r w:rsidRPr="002A3CBE">
              <w:rPr>
                <w:rFonts w:cs="Segoe UI"/>
                <w:szCs w:val="16"/>
              </w:rPr>
              <w:t> </w:t>
            </w:r>
          </w:p>
        </w:tc>
        <w:tc>
          <w:tcPr>
            <w:tcW w:w="1535" w:type="dxa"/>
            <w:tcBorders>
              <w:top w:val="single" w:sz="4" w:space="0" w:color="1B556B"/>
              <w:bottom w:val="single" w:sz="4" w:space="0" w:color="1B556B"/>
            </w:tcBorders>
          </w:tcPr>
          <w:p w14:paraId="7E9247A6" w14:textId="77777777" w:rsidR="00447423" w:rsidRPr="002A3CBE" w:rsidRDefault="00447423" w:rsidP="00F16E23">
            <w:pPr>
              <w:pStyle w:val="TableText"/>
              <w:keepNext/>
              <w:spacing w:before="40" w:after="40"/>
              <w:rPr>
                <w:rFonts w:cs="Segoe UI"/>
                <w:szCs w:val="16"/>
              </w:rPr>
            </w:pPr>
            <w:r w:rsidRPr="002A3CBE">
              <w:rPr>
                <w:rFonts w:cs="Segoe UI"/>
                <w:szCs w:val="16"/>
              </w:rPr>
              <w:t>Dead organic matter</w:t>
            </w:r>
          </w:p>
        </w:tc>
        <w:tc>
          <w:tcPr>
            <w:tcW w:w="1122" w:type="dxa"/>
            <w:tcBorders>
              <w:top w:val="single" w:sz="4" w:space="0" w:color="1B556B"/>
              <w:bottom w:val="single" w:sz="4" w:space="0" w:color="1B556B"/>
            </w:tcBorders>
          </w:tcPr>
          <w:p w14:paraId="4CD395A1" w14:textId="77777777" w:rsidR="00447423" w:rsidRPr="002A3CBE" w:rsidRDefault="00447423" w:rsidP="00F16E23">
            <w:pPr>
              <w:pStyle w:val="TableText"/>
              <w:keepNext/>
              <w:spacing w:before="40" w:after="40"/>
              <w:rPr>
                <w:rFonts w:cs="Segoe UI"/>
                <w:szCs w:val="16"/>
              </w:rPr>
            </w:pPr>
            <w:r w:rsidRPr="002A3CBE">
              <w:rPr>
                <w:rFonts w:cs="Segoe UI"/>
                <w:szCs w:val="16"/>
              </w:rPr>
              <w:t>NE</w:t>
            </w:r>
          </w:p>
        </w:tc>
        <w:tc>
          <w:tcPr>
            <w:tcW w:w="1241" w:type="dxa"/>
            <w:tcBorders>
              <w:top w:val="single" w:sz="4" w:space="0" w:color="1B556B"/>
              <w:bottom w:val="single" w:sz="4" w:space="0" w:color="1B556B"/>
            </w:tcBorders>
          </w:tcPr>
          <w:p w14:paraId="6C2011BC" w14:textId="77777777" w:rsidR="00447423" w:rsidRPr="002A3CBE" w:rsidRDefault="00447423" w:rsidP="00F16E23">
            <w:pPr>
              <w:pStyle w:val="TableText"/>
              <w:keepNext/>
              <w:spacing w:before="40" w:after="40"/>
              <w:rPr>
                <w:rFonts w:cs="Segoe UI"/>
                <w:szCs w:val="16"/>
              </w:rPr>
            </w:pPr>
            <w:r w:rsidRPr="002A3CBE">
              <w:rPr>
                <w:rFonts w:cs="Segoe UI"/>
                <w:szCs w:val="16"/>
              </w:rPr>
              <w:t>NE</w:t>
            </w:r>
          </w:p>
        </w:tc>
        <w:tc>
          <w:tcPr>
            <w:tcW w:w="1028" w:type="dxa"/>
            <w:tcBorders>
              <w:top w:val="single" w:sz="4" w:space="0" w:color="1B556B"/>
              <w:bottom w:val="single" w:sz="4" w:space="0" w:color="1B556B"/>
            </w:tcBorders>
            <w:tcMar>
              <w:right w:w="85" w:type="dxa"/>
            </w:tcMar>
          </w:tcPr>
          <w:p w14:paraId="255547BE" w14:textId="77777777" w:rsidR="00447423" w:rsidRPr="002A3CBE" w:rsidRDefault="00447423" w:rsidP="00F16E23">
            <w:pPr>
              <w:pStyle w:val="TableText"/>
              <w:keepNext/>
              <w:spacing w:before="40" w:after="40"/>
              <w:rPr>
                <w:rFonts w:cs="Segoe UI"/>
                <w:szCs w:val="16"/>
              </w:rPr>
            </w:pPr>
            <w:r w:rsidRPr="002A3CBE">
              <w:rPr>
                <w:rFonts w:cs="Segoe UI"/>
                <w:szCs w:val="16"/>
              </w:rPr>
              <w:t>NA</w:t>
            </w:r>
          </w:p>
        </w:tc>
        <w:tc>
          <w:tcPr>
            <w:tcW w:w="2693" w:type="dxa"/>
            <w:tcBorders>
              <w:top w:val="single" w:sz="4" w:space="0" w:color="1B556B"/>
              <w:bottom w:val="single" w:sz="4" w:space="0" w:color="1B556B"/>
            </w:tcBorders>
          </w:tcPr>
          <w:p w14:paraId="53AE13F9" w14:textId="77777777" w:rsidR="00447423" w:rsidRPr="002A3CBE" w:rsidRDefault="00447423" w:rsidP="00F16E23">
            <w:pPr>
              <w:pStyle w:val="TableText"/>
              <w:keepNext/>
              <w:spacing w:before="40" w:after="40"/>
              <w:rPr>
                <w:rFonts w:cs="Segoe UI"/>
                <w:szCs w:val="16"/>
              </w:rPr>
            </w:pPr>
            <w:r w:rsidRPr="002A3CBE">
              <w:rPr>
                <w:rFonts w:cs="Segoe UI"/>
                <w:szCs w:val="16"/>
              </w:rPr>
              <w:t>No IPCC guidelines</w:t>
            </w:r>
          </w:p>
        </w:tc>
      </w:tr>
      <w:tr w:rsidR="00447423" w:rsidRPr="002A3CBE" w14:paraId="69395B07" w14:textId="77777777" w:rsidTr="005A3E6C">
        <w:tc>
          <w:tcPr>
            <w:tcW w:w="886" w:type="dxa"/>
          </w:tcPr>
          <w:p w14:paraId="522A8ED3" w14:textId="77777777" w:rsidR="00447423" w:rsidRPr="002A3CBE" w:rsidRDefault="00447423" w:rsidP="00F16E23">
            <w:pPr>
              <w:pStyle w:val="TableText"/>
              <w:keepNext/>
              <w:spacing w:before="40" w:after="40"/>
              <w:rPr>
                <w:rFonts w:cs="Segoe UI"/>
                <w:szCs w:val="16"/>
              </w:rPr>
            </w:pPr>
            <w:r w:rsidRPr="002A3CBE">
              <w:rPr>
                <w:rFonts w:cs="Segoe UI"/>
                <w:szCs w:val="16"/>
              </w:rPr>
              <w:t> </w:t>
            </w:r>
          </w:p>
        </w:tc>
        <w:tc>
          <w:tcPr>
            <w:tcW w:w="1535" w:type="dxa"/>
            <w:tcBorders>
              <w:top w:val="single" w:sz="4" w:space="0" w:color="1B556B"/>
              <w:bottom w:val="single" w:sz="4" w:space="0" w:color="1B556B"/>
            </w:tcBorders>
          </w:tcPr>
          <w:p w14:paraId="45B61E27" w14:textId="77777777" w:rsidR="00447423" w:rsidRPr="002A3CBE" w:rsidRDefault="00447423" w:rsidP="00F16E23">
            <w:pPr>
              <w:pStyle w:val="TableText"/>
              <w:keepNext/>
              <w:spacing w:before="40" w:after="40"/>
              <w:rPr>
                <w:rFonts w:cs="Segoe UI"/>
                <w:szCs w:val="16"/>
              </w:rPr>
            </w:pPr>
            <w:r w:rsidRPr="002A3CBE">
              <w:rPr>
                <w:rFonts w:cs="Segoe UI"/>
                <w:szCs w:val="16"/>
              </w:rPr>
              <w:t>Soils</w:t>
            </w:r>
          </w:p>
        </w:tc>
        <w:tc>
          <w:tcPr>
            <w:tcW w:w="1122" w:type="dxa"/>
            <w:tcBorders>
              <w:top w:val="single" w:sz="4" w:space="0" w:color="1B556B"/>
              <w:bottom w:val="single" w:sz="4" w:space="0" w:color="1B556B"/>
            </w:tcBorders>
          </w:tcPr>
          <w:p w14:paraId="76AF8E6A" w14:textId="77777777" w:rsidR="00447423" w:rsidRPr="002A3CBE" w:rsidRDefault="00447423" w:rsidP="00F16E23">
            <w:pPr>
              <w:pStyle w:val="TableText"/>
              <w:keepNext/>
              <w:spacing w:before="40" w:after="40"/>
              <w:rPr>
                <w:rFonts w:cs="Segoe UI"/>
                <w:szCs w:val="16"/>
              </w:rPr>
            </w:pPr>
          </w:p>
        </w:tc>
        <w:tc>
          <w:tcPr>
            <w:tcW w:w="1241" w:type="dxa"/>
            <w:tcBorders>
              <w:top w:val="single" w:sz="4" w:space="0" w:color="1B556B"/>
              <w:bottom w:val="single" w:sz="4" w:space="0" w:color="1B556B"/>
            </w:tcBorders>
          </w:tcPr>
          <w:p w14:paraId="47F766F4" w14:textId="77777777" w:rsidR="00447423" w:rsidRPr="002A3CBE" w:rsidRDefault="00447423" w:rsidP="00F16E23">
            <w:pPr>
              <w:pStyle w:val="TableText"/>
              <w:keepNext/>
              <w:spacing w:before="40" w:after="40"/>
              <w:rPr>
                <w:rFonts w:cs="Segoe UI"/>
                <w:szCs w:val="16"/>
              </w:rPr>
            </w:pPr>
          </w:p>
        </w:tc>
        <w:tc>
          <w:tcPr>
            <w:tcW w:w="1028" w:type="dxa"/>
            <w:tcBorders>
              <w:top w:val="single" w:sz="4" w:space="0" w:color="1B556B"/>
              <w:bottom w:val="single" w:sz="4" w:space="0" w:color="1B556B"/>
            </w:tcBorders>
            <w:tcMar>
              <w:right w:w="85" w:type="dxa"/>
            </w:tcMar>
          </w:tcPr>
          <w:p w14:paraId="79356E96" w14:textId="77777777" w:rsidR="00447423" w:rsidRPr="002A3CBE" w:rsidRDefault="00447423" w:rsidP="00F16E23">
            <w:pPr>
              <w:pStyle w:val="TableText"/>
              <w:keepNext/>
              <w:spacing w:before="40" w:after="40"/>
              <w:rPr>
                <w:rFonts w:cs="Segoe UI"/>
                <w:szCs w:val="16"/>
              </w:rPr>
            </w:pPr>
          </w:p>
        </w:tc>
        <w:tc>
          <w:tcPr>
            <w:tcW w:w="2693" w:type="dxa"/>
            <w:tcBorders>
              <w:top w:val="single" w:sz="4" w:space="0" w:color="1B556B"/>
              <w:bottom w:val="single" w:sz="4" w:space="0" w:color="1B556B"/>
            </w:tcBorders>
          </w:tcPr>
          <w:p w14:paraId="11E0696E" w14:textId="77777777" w:rsidR="00447423" w:rsidRPr="002A3CBE" w:rsidRDefault="00447423" w:rsidP="00F16E23">
            <w:pPr>
              <w:pStyle w:val="TableText"/>
              <w:keepNext/>
              <w:spacing w:before="40" w:after="40"/>
              <w:rPr>
                <w:rFonts w:cs="Segoe UI"/>
                <w:szCs w:val="16"/>
              </w:rPr>
            </w:pPr>
          </w:p>
        </w:tc>
      </w:tr>
      <w:tr w:rsidR="00447423" w:rsidRPr="002A3CBE" w14:paraId="22161BD4" w14:textId="77777777" w:rsidTr="00F16E23">
        <w:tc>
          <w:tcPr>
            <w:tcW w:w="886" w:type="dxa"/>
          </w:tcPr>
          <w:p w14:paraId="586612FA" w14:textId="77777777" w:rsidR="00447423" w:rsidRPr="002A3CBE" w:rsidRDefault="00447423" w:rsidP="00F16E23">
            <w:pPr>
              <w:pStyle w:val="TableText"/>
              <w:spacing w:before="40" w:after="40"/>
              <w:rPr>
                <w:rFonts w:cs="Segoe UI"/>
                <w:szCs w:val="16"/>
              </w:rPr>
            </w:pPr>
          </w:p>
        </w:tc>
        <w:tc>
          <w:tcPr>
            <w:tcW w:w="1535" w:type="dxa"/>
            <w:tcBorders>
              <w:top w:val="single" w:sz="4" w:space="0" w:color="1B556B"/>
              <w:bottom w:val="single" w:sz="4" w:space="0" w:color="1B556B"/>
            </w:tcBorders>
          </w:tcPr>
          <w:p w14:paraId="5EF2EF30" w14:textId="77777777" w:rsidR="00447423" w:rsidRPr="002A3CBE" w:rsidRDefault="00447423" w:rsidP="00F16E23">
            <w:pPr>
              <w:pStyle w:val="TableText"/>
              <w:spacing w:before="40" w:after="40"/>
              <w:rPr>
                <w:rFonts w:cs="Segoe UI"/>
                <w:szCs w:val="16"/>
              </w:rPr>
            </w:pPr>
            <w:r w:rsidRPr="002A3CBE">
              <w:rPr>
                <w:rFonts w:cs="Segoe UI"/>
                <w:szCs w:val="16"/>
              </w:rPr>
              <w:t xml:space="preserve">Mineral </w:t>
            </w:r>
          </w:p>
        </w:tc>
        <w:tc>
          <w:tcPr>
            <w:tcW w:w="1122" w:type="dxa"/>
            <w:tcBorders>
              <w:top w:val="single" w:sz="4" w:space="0" w:color="1B556B"/>
              <w:bottom w:val="single" w:sz="4" w:space="0" w:color="1B556B"/>
            </w:tcBorders>
          </w:tcPr>
          <w:p w14:paraId="28CEF3A2" w14:textId="77777777" w:rsidR="00447423" w:rsidRPr="002A3CBE" w:rsidRDefault="00447423" w:rsidP="00F16E23">
            <w:pPr>
              <w:pStyle w:val="TableText"/>
              <w:spacing w:before="40" w:after="40"/>
              <w:rPr>
                <w:rFonts w:cs="Segoe UI"/>
                <w:szCs w:val="16"/>
              </w:rPr>
            </w:pPr>
            <w:r w:rsidRPr="002A3CBE">
              <w:rPr>
                <w:rFonts w:cs="Segoe UI"/>
                <w:szCs w:val="16"/>
              </w:rPr>
              <w:t>89.77</w:t>
            </w:r>
          </w:p>
        </w:tc>
        <w:tc>
          <w:tcPr>
            <w:tcW w:w="1241" w:type="dxa"/>
            <w:tcBorders>
              <w:top w:val="single" w:sz="4" w:space="0" w:color="1B556B"/>
              <w:bottom w:val="single" w:sz="4" w:space="0" w:color="1B556B"/>
            </w:tcBorders>
          </w:tcPr>
          <w:p w14:paraId="2665569C" w14:textId="77777777" w:rsidR="00447423" w:rsidRPr="002A3CBE" w:rsidRDefault="00447423" w:rsidP="00F16E23">
            <w:pPr>
              <w:pStyle w:val="TableText"/>
              <w:spacing w:before="40" w:after="40"/>
              <w:rPr>
                <w:rFonts w:cs="Segoe UI"/>
                <w:szCs w:val="16"/>
              </w:rPr>
            </w:pPr>
            <w:r w:rsidRPr="002A3CBE">
              <w:rPr>
                <w:rFonts w:cs="Segoe UI"/>
                <w:szCs w:val="16"/>
              </w:rPr>
              <w:t>*</w:t>
            </w:r>
          </w:p>
        </w:tc>
        <w:tc>
          <w:tcPr>
            <w:tcW w:w="1028" w:type="dxa"/>
            <w:tcBorders>
              <w:top w:val="single" w:sz="4" w:space="0" w:color="1B556B"/>
              <w:bottom w:val="single" w:sz="4" w:space="0" w:color="1B556B"/>
            </w:tcBorders>
            <w:tcMar>
              <w:right w:w="85" w:type="dxa"/>
            </w:tcMar>
          </w:tcPr>
          <w:p w14:paraId="18B86076" w14:textId="77777777" w:rsidR="00447423" w:rsidRPr="002A3CBE" w:rsidRDefault="00447423" w:rsidP="00F16E23">
            <w:pPr>
              <w:pStyle w:val="TableText"/>
              <w:spacing w:before="40" w:after="40"/>
              <w:rPr>
                <w:rFonts w:cs="Segoe UI"/>
                <w:szCs w:val="16"/>
              </w:rPr>
            </w:pPr>
            <w:r w:rsidRPr="002A3CBE">
              <w:rPr>
                <w:rFonts w:cs="Segoe UI"/>
                <w:szCs w:val="16"/>
              </w:rPr>
              <w:t>20</w:t>
            </w:r>
          </w:p>
        </w:tc>
        <w:tc>
          <w:tcPr>
            <w:tcW w:w="2693" w:type="dxa"/>
            <w:tcBorders>
              <w:top w:val="single" w:sz="4" w:space="0" w:color="1B556B"/>
              <w:bottom w:val="single" w:sz="4" w:space="0" w:color="1B556B"/>
            </w:tcBorders>
          </w:tcPr>
          <w:p w14:paraId="745954C6" w14:textId="77777777" w:rsidR="00447423" w:rsidRPr="002A3CBE" w:rsidRDefault="00447423" w:rsidP="00F16E23">
            <w:pPr>
              <w:pStyle w:val="TableText"/>
              <w:spacing w:before="40" w:after="40"/>
              <w:rPr>
                <w:rFonts w:cs="Segoe UI"/>
                <w:szCs w:val="16"/>
              </w:rPr>
            </w:pPr>
            <w:r w:rsidRPr="002A3CBE">
              <w:rPr>
                <w:rFonts w:cs="Segoe UI"/>
                <w:szCs w:val="16"/>
              </w:rPr>
              <w:t>New Zealand-specific EF (McNeill and Barringer, unpublished)</w:t>
            </w:r>
          </w:p>
        </w:tc>
      </w:tr>
      <w:tr w:rsidR="00447423" w:rsidRPr="002A3CBE" w14:paraId="0C049030" w14:textId="77777777" w:rsidTr="00F16E23">
        <w:tc>
          <w:tcPr>
            <w:tcW w:w="886" w:type="dxa"/>
            <w:tcBorders>
              <w:bottom w:val="single" w:sz="4" w:space="0" w:color="1B556B"/>
            </w:tcBorders>
          </w:tcPr>
          <w:p w14:paraId="45365D12" w14:textId="77777777" w:rsidR="00447423" w:rsidRPr="002A3CBE" w:rsidRDefault="00447423" w:rsidP="00F16E23">
            <w:pPr>
              <w:pStyle w:val="TableText"/>
              <w:spacing w:before="40" w:after="40"/>
              <w:rPr>
                <w:rFonts w:cs="Segoe UI"/>
                <w:szCs w:val="16"/>
              </w:rPr>
            </w:pPr>
          </w:p>
        </w:tc>
        <w:tc>
          <w:tcPr>
            <w:tcW w:w="1535" w:type="dxa"/>
            <w:tcBorders>
              <w:top w:val="single" w:sz="4" w:space="0" w:color="1B556B"/>
              <w:bottom w:val="single" w:sz="4" w:space="0" w:color="1B556B"/>
            </w:tcBorders>
          </w:tcPr>
          <w:p w14:paraId="519D5933" w14:textId="77777777" w:rsidR="00447423" w:rsidRPr="002A3CBE" w:rsidRDefault="00447423" w:rsidP="00F16E23">
            <w:pPr>
              <w:pStyle w:val="TableText"/>
              <w:spacing w:before="40" w:after="40"/>
              <w:rPr>
                <w:rFonts w:cs="Segoe UI"/>
                <w:szCs w:val="16"/>
              </w:rPr>
            </w:pPr>
            <w:r w:rsidRPr="002A3CBE">
              <w:rPr>
                <w:rFonts w:cs="Segoe UI"/>
                <w:szCs w:val="16"/>
              </w:rPr>
              <w:t xml:space="preserve">Organic </w:t>
            </w:r>
          </w:p>
        </w:tc>
        <w:tc>
          <w:tcPr>
            <w:tcW w:w="1122" w:type="dxa"/>
            <w:tcBorders>
              <w:top w:val="single" w:sz="4" w:space="0" w:color="1B556B"/>
              <w:bottom w:val="single" w:sz="4" w:space="0" w:color="1B556B"/>
            </w:tcBorders>
          </w:tcPr>
          <w:p w14:paraId="1C73D551" w14:textId="77777777" w:rsidR="00447423" w:rsidRPr="002A3CBE" w:rsidRDefault="00447423" w:rsidP="00F16E23">
            <w:pPr>
              <w:pStyle w:val="TableText"/>
              <w:spacing w:before="40" w:after="40"/>
              <w:rPr>
                <w:rFonts w:cs="Segoe UI"/>
                <w:szCs w:val="16"/>
              </w:rPr>
            </w:pPr>
            <w:r w:rsidRPr="002A3CBE">
              <w:rPr>
                <w:rFonts w:cs="Segoe UI"/>
                <w:szCs w:val="16"/>
              </w:rPr>
              <w:t>NE</w:t>
            </w:r>
          </w:p>
        </w:tc>
        <w:tc>
          <w:tcPr>
            <w:tcW w:w="1241" w:type="dxa"/>
            <w:tcBorders>
              <w:top w:val="single" w:sz="4" w:space="0" w:color="1B556B"/>
              <w:bottom w:val="single" w:sz="4" w:space="0" w:color="1B556B"/>
            </w:tcBorders>
          </w:tcPr>
          <w:p w14:paraId="22CB4B76" w14:textId="77777777" w:rsidR="00447423" w:rsidRPr="002A3CBE" w:rsidRDefault="00447423" w:rsidP="00F16E23">
            <w:pPr>
              <w:pStyle w:val="TableText"/>
              <w:spacing w:before="40" w:after="40"/>
              <w:rPr>
                <w:rFonts w:cs="Segoe UI"/>
                <w:szCs w:val="16"/>
              </w:rPr>
            </w:pPr>
            <w:r w:rsidRPr="002A3CBE">
              <w:rPr>
                <w:rFonts w:cs="Segoe UI"/>
                <w:szCs w:val="16"/>
              </w:rPr>
              <w:t>-5.0 or -10.0**</w:t>
            </w:r>
          </w:p>
        </w:tc>
        <w:tc>
          <w:tcPr>
            <w:tcW w:w="1028" w:type="dxa"/>
            <w:tcBorders>
              <w:top w:val="single" w:sz="4" w:space="0" w:color="1B556B"/>
              <w:bottom w:val="single" w:sz="4" w:space="0" w:color="1B556B"/>
            </w:tcBorders>
            <w:tcMar>
              <w:right w:w="85" w:type="dxa"/>
            </w:tcMar>
          </w:tcPr>
          <w:p w14:paraId="6C1AA8D5" w14:textId="77777777" w:rsidR="00447423" w:rsidRPr="002A3CBE" w:rsidRDefault="00447423" w:rsidP="00F16E23">
            <w:pPr>
              <w:pStyle w:val="TableText"/>
              <w:spacing w:before="40" w:after="40"/>
              <w:rPr>
                <w:rFonts w:cs="Segoe UI"/>
                <w:szCs w:val="16"/>
              </w:rPr>
            </w:pPr>
          </w:p>
        </w:tc>
        <w:tc>
          <w:tcPr>
            <w:tcW w:w="2693" w:type="dxa"/>
            <w:tcBorders>
              <w:top w:val="single" w:sz="4" w:space="0" w:color="1B556B"/>
              <w:bottom w:val="single" w:sz="4" w:space="0" w:color="1B556B"/>
            </w:tcBorders>
          </w:tcPr>
          <w:p w14:paraId="55CBF1B5" w14:textId="77777777" w:rsidR="00447423" w:rsidRPr="002A3CBE" w:rsidRDefault="00447423" w:rsidP="00F16E23">
            <w:pPr>
              <w:pStyle w:val="TableText"/>
              <w:spacing w:before="40" w:after="40"/>
              <w:rPr>
                <w:rFonts w:cs="Segoe UI"/>
                <w:szCs w:val="16"/>
              </w:rPr>
            </w:pPr>
            <w:r w:rsidRPr="002A3CBE">
              <w:rPr>
                <w:rFonts w:cs="Segoe UI"/>
                <w:szCs w:val="16"/>
              </w:rPr>
              <w:t>IPCC Tier 1 default (table 5.6, IPCC, 2006a)</w:t>
            </w:r>
          </w:p>
        </w:tc>
      </w:tr>
      <w:tr w:rsidR="00447423" w:rsidRPr="002A3CBE" w14:paraId="67B455C5" w14:textId="77777777" w:rsidTr="00F16E23">
        <w:tc>
          <w:tcPr>
            <w:tcW w:w="886" w:type="dxa"/>
            <w:tcBorders>
              <w:top w:val="single" w:sz="4" w:space="0" w:color="1B556B"/>
            </w:tcBorders>
          </w:tcPr>
          <w:p w14:paraId="261C3657" w14:textId="77777777" w:rsidR="00447423" w:rsidRPr="002A3CBE" w:rsidRDefault="00447423" w:rsidP="00F16E23">
            <w:pPr>
              <w:pStyle w:val="TableTextBold"/>
              <w:spacing w:before="40" w:after="40"/>
              <w:rPr>
                <w:noProof w:val="0"/>
              </w:rPr>
            </w:pPr>
            <w:r w:rsidRPr="002A3CBE">
              <w:rPr>
                <w:noProof w:val="0"/>
              </w:rPr>
              <w:t>Perennial</w:t>
            </w:r>
          </w:p>
        </w:tc>
        <w:tc>
          <w:tcPr>
            <w:tcW w:w="1535" w:type="dxa"/>
            <w:tcBorders>
              <w:top w:val="single" w:sz="4" w:space="0" w:color="1B556B"/>
              <w:bottom w:val="single" w:sz="4" w:space="0" w:color="1B556B"/>
            </w:tcBorders>
          </w:tcPr>
          <w:p w14:paraId="235D6439" w14:textId="77777777" w:rsidR="00447423" w:rsidRPr="002A3CBE" w:rsidRDefault="00447423" w:rsidP="00F16E23">
            <w:pPr>
              <w:pStyle w:val="TableText"/>
              <w:keepNext/>
              <w:spacing w:before="40" w:after="40"/>
              <w:rPr>
                <w:rFonts w:cs="Segoe UI"/>
                <w:szCs w:val="16"/>
              </w:rPr>
            </w:pPr>
            <w:r w:rsidRPr="002A3CBE">
              <w:rPr>
                <w:rFonts w:cs="Segoe UI"/>
                <w:szCs w:val="16"/>
              </w:rPr>
              <w:t>Biomass</w:t>
            </w:r>
          </w:p>
        </w:tc>
        <w:tc>
          <w:tcPr>
            <w:tcW w:w="1122" w:type="dxa"/>
            <w:tcBorders>
              <w:top w:val="single" w:sz="4" w:space="0" w:color="1B556B"/>
              <w:bottom w:val="single" w:sz="4" w:space="0" w:color="1B556B"/>
            </w:tcBorders>
          </w:tcPr>
          <w:p w14:paraId="50DAB686" w14:textId="77777777" w:rsidR="00447423" w:rsidRPr="002A3CBE" w:rsidRDefault="00447423" w:rsidP="00F16E23">
            <w:pPr>
              <w:pStyle w:val="TableText"/>
              <w:keepNext/>
              <w:spacing w:before="40" w:after="40"/>
              <w:rPr>
                <w:rFonts w:cs="Segoe UI"/>
                <w:szCs w:val="16"/>
              </w:rPr>
            </w:pPr>
          </w:p>
        </w:tc>
        <w:tc>
          <w:tcPr>
            <w:tcW w:w="1241" w:type="dxa"/>
            <w:tcBorders>
              <w:top w:val="single" w:sz="4" w:space="0" w:color="1B556B"/>
              <w:bottom w:val="single" w:sz="4" w:space="0" w:color="1B556B"/>
            </w:tcBorders>
          </w:tcPr>
          <w:p w14:paraId="71990805" w14:textId="77777777" w:rsidR="00447423" w:rsidRPr="002A3CBE" w:rsidRDefault="00447423" w:rsidP="00F16E23">
            <w:pPr>
              <w:pStyle w:val="TableText"/>
              <w:keepNext/>
              <w:spacing w:before="40" w:after="40"/>
              <w:rPr>
                <w:rFonts w:cs="Segoe UI"/>
                <w:szCs w:val="16"/>
              </w:rPr>
            </w:pPr>
          </w:p>
        </w:tc>
        <w:tc>
          <w:tcPr>
            <w:tcW w:w="1028" w:type="dxa"/>
            <w:tcBorders>
              <w:top w:val="single" w:sz="4" w:space="0" w:color="1B556B"/>
              <w:bottom w:val="single" w:sz="4" w:space="0" w:color="1B556B"/>
            </w:tcBorders>
            <w:tcMar>
              <w:right w:w="85" w:type="dxa"/>
            </w:tcMar>
          </w:tcPr>
          <w:p w14:paraId="16D5A3C0" w14:textId="77777777" w:rsidR="00447423" w:rsidRPr="002A3CBE" w:rsidRDefault="00447423" w:rsidP="00F16E23">
            <w:pPr>
              <w:pStyle w:val="TableText"/>
              <w:keepNext/>
              <w:spacing w:before="40" w:after="40"/>
              <w:rPr>
                <w:rFonts w:cs="Segoe UI"/>
                <w:szCs w:val="16"/>
              </w:rPr>
            </w:pPr>
          </w:p>
        </w:tc>
        <w:tc>
          <w:tcPr>
            <w:tcW w:w="2693" w:type="dxa"/>
            <w:tcBorders>
              <w:top w:val="single" w:sz="4" w:space="0" w:color="1B556B"/>
              <w:bottom w:val="single" w:sz="4" w:space="0" w:color="1B556B"/>
            </w:tcBorders>
          </w:tcPr>
          <w:p w14:paraId="1CF7C103" w14:textId="77777777" w:rsidR="00447423" w:rsidRPr="002A3CBE" w:rsidRDefault="00447423" w:rsidP="00F16E23">
            <w:pPr>
              <w:pStyle w:val="TableText"/>
              <w:keepNext/>
              <w:spacing w:before="40" w:after="40"/>
              <w:rPr>
                <w:rFonts w:cs="Segoe UI"/>
                <w:szCs w:val="16"/>
              </w:rPr>
            </w:pPr>
          </w:p>
        </w:tc>
      </w:tr>
      <w:tr w:rsidR="00447423" w:rsidRPr="002A3CBE" w14:paraId="3DF77B7C" w14:textId="77777777" w:rsidTr="00F16E23">
        <w:tc>
          <w:tcPr>
            <w:tcW w:w="886" w:type="dxa"/>
          </w:tcPr>
          <w:p w14:paraId="0C4B63ED" w14:textId="77777777" w:rsidR="00447423" w:rsidRPr="002A3CBE" w:rsidRDefault="00447423" w:rsidP="00F16E23">
            <w:pPr>
              <w:pStyle w:val="TableText"/>
              <w:spacing w:before="40" w:after="40"/>
            </w:pPr>
            <w:r w:rsidRPr="002A3CBE">
              <w:t> </w:t>
            </w:r>
          </w:p>
        </w:tc>
        <w:tc>
          <w:tcPr>
            <w:tcW w:w="1535" w:type="dxa"/>
            <w:tcBorders>
              <w:top w:val="single" w:sz="4" w:space="0" w:color="1B556B"/>
              <w:bottom w:val="single" w:sz="4" w:space="0" w:color="1B556B"/>
            </w:tcBorders>
          </w:tcPr>
          <w:p w14:paraId="43452A27" w14:textId="77777777" w:rsidR="00447423" w:rsidRPr="002A3CBE" w:rsidRDefault="00447423" w:rsidP="00F16E23">
            <w:pPr>
              <w:pStyle w:val="TableText"/>
              <w:keepNext/>
              <w:spacing w:before="40" w:after="40"/>
              <w:rPr>
                <w:rFonts w:cs="Segoe UI"/>
                <w:szCs w:val="16"/>
              </w:rPr>
            </w:pPr>
            <w:r w:rsidRPr="002A3CBE">
              <w:rPr>
                <w:rFonts w:cs="Segoe UI"/>
                <w:szCs w:val="16"/>
              </w:rPr>
              <w:t>Living biomass</w:t>
            </w:r>
          </w:p>
        </w:tc>
        <w:tc>
          <w:tcPr>
            <w:tcW w:w="1122" w:type="dxa"/>
            <w:tcBorders>
              <w:top w:val="single" w:sz="4" w:space="0" w:color="1B556B"/>
              <w:bottom w:val="single" w:sz="4" w:space="0" w:color="1B556B"/>
            </w:tcBorders>
          </w:tcPr>
          <w:p w14:paraId="4F6EF6B4" w14:textId="77777777" w:rsidR="00447423" w:rsidRPr="002A3CBE" w:rsidRDefault="00447423" w:rsidP="00F16E23">
            <w:pPr>
              <w:pStyle w:val="TableText"/>
              <w:keepNext/>
              <w:spacing w:before="40" w:after="40"/>
              <w:rPr>
                <w:rFonts w:cs="Segoe UI"/>
                <w:szCs w:val="16"/>
              </w:rPr>
            </w:pPr>
            <w:r w:rsidRPr="002A3CBE">
              <w:rPr>
                <w:rFonts w:cs="Segoe UI"/>
                <w:szCs w:val="16"/>
              </w:rPr>
              <w:t>18.76</w:t>
            </w:r>
          </w:p>
        </w:tc>
        <w:tc>
          <w:tcPr>
            <w:tcW w:w="1241" w:type="dxa"/>
            <w:tcBorders>
              <w:top w:val="single" w:sz="4" w:space="0" w:color="1B556B"/>
              <w:bottom w:val="single" w:sz="4" w:space="0" w:color="1B556B"/>
            </w:tcBorders>
          </w:tcPr>
          <w:p w14:paraId="6EFB3DBD" w14:textId="77777777" w:rsidR="00447423" w:rsidRPr="002A3CBE" w:rsidRDefault="00447423" w:rsidP="00F16E23">
            <w:pPr>
              <w:pStyle w:val="TableText"/>
              <w:keepNext/>
              <w:spacing w:before="40" w:after="40"/>
              <w:rPr>
                <w:rFonts w:cs="Segoe UI"/>
                <w:szCs w:val="16"/>
              </w:rPr>
            </w:pPr>
            <w:r w:rsidRPr="002A3CBE">
              <w:rPr>
                <w:rFonts w:cs="Segoe UI"/>
                <w:szCs w:val="16"/>
              </w:rPr>
              <w:t>0.67</w:t>
            </w:r>
          </w:p>
        </w:tc>
        <w:tc>
          <w:tcPr>
            <w:tcW w:w="1028" w:type="dxa"/>
            <w:tcBorders>
              <w:top w:val="single" w:sz="4" w:space="0" w:color="1B556B"/>
              <w:bottom w:val="single" w:sz="4" w:space="0" w:color="1B556B"/>
            </w:tcBorders>
            <w:tcMar>
              <w:right w:w="85" w:type="dxa"/>
            </w:tcMar>
          </w:tcPr>
          <w:p w14:paraId="377C8082" w14:textId="77777777" w:rsidR="00447423" w:rsidRPr="002A3CBE" w:rsidRDefault="00447423" w:rsidP="00F16E23">
            <w:pPr>
              <w:pStyle w:val="TableText"/>
              <w:keepNext/>
              <w:spacing w:before="40" w:after="40"/>
              <w:rPr>
                <w:rFonts w:cs="Segoe UI"/>
                <w:szCs w:val="16"/>
              </w:rPr>
            </w:pPr>
            <w:r w:rsidRPr="002A3CBE">
              <w:rPr>
                <w:rFonts w:cs="Segoe UI"/>
                <w:szCs w:val="16"/>
              </w:rPr>
              <w:t>28</w:t>
            </w:r>
          </w:p>
        </w:tc>
        <w:tc>
          <w:tcPr>
            <w:tcW w:w="2693" w:type="dxa"/>
            <w:tcBorders>
              <w:top w:val="single" w:sz="4" w:space="0" w:color="1B556B"/>
              <w:bottom w:val="single" w:sz="4" w:space="0" w:color="1B556B"/>
            </w:tcBorders>
          </w:tcPr>
          <w:p w14:paraId="3E5AD704" w14:textId="77777777" w:rsidR="00447423" w:rsidRPr="002A3CBE" w:rsidRDefault="00447423" w:rsidP="00F16E23">
            <w:pPr>
              <w:pStyle w:val="TableText"/>
              <w:keepNext/>
              <w:spacing w:before="40" w:after="40"/>
              <w:rPr>
                <w:rFonts w:cs="Segoe UI"/>
                <w:szCs w:val="16"/>
              </w:rPr>
            </w:pPr>
            <w:r w:rsidRPr="002A3CBE">
              <w:rPr>
                <w:rFonts w:cs="Segoe UI"/>
                <w:szCs w:val="16"/>
              </w:rPr>
              <w:t>New Zealand-specific EF (Davis and Wakelin, unpublished)</w:t>
            </w:r>
          </w:p>
        </w:tc>
      </w:tr>
      <w:tr w:rsidR="00447423" w:rsidRPr="002A3CBE" w14:paraId="67BBEB27" w14:textId="77777777" w:rsidTr="00F16E23">
        <w:tc>
          <w:tcPr>
            <w:tcW w:w="886" w:type="dxa"/>
          </w:tcPr>
          <w:p w14:paraId="5A492561" w14:textId="77777777" w:rsidR="00447423" w:rsidRPr="002A3CBE" w:rsidRDefault="00447423" w:rsidP="00F16E23">
            <w:pPr>
              <w:pStyle w:val="TableText"/>
              <w:spacing w:before="40" w:after="40"/>
              <w:rPr>
                <w:rFonts w:cs="Segoe UI"/>
                <w:szCs w:val="16"/>
              </w:rPr>
            </w:pPr>
            <w:r w:rsidRPr="002A3CBE">
              <w:rPr>
                <w:rFonts w:cs="Segoe UI"/>
                <w:szCs w:val="16"/>
              </w:rPr>
              <w:t> </w:t>
            </w:r>
          </w:p>
        </w:tc>
        <w:tc>
          <w:tcPr>
            <w:tcW w:w="1535" w:type="dxa"/>
            <w:tcBorders>
              <w:top w:val="single" w:sz="4" w:space="0" w:color="1B556B"/>
              <w:bottom w:val="single" w:sz="4" w:space="0" w:color="1B556B"/>
            </w:tcBorders>
          </w:tcPr>
          <w:p w14:paraId="432BD234" w14:textId="77777777" w:rsidR="00447423" w:rsidRPr="002A3CBE" w:rsidRDefault="00447423" w:rsidP="00F16E23">
            <w:pPr>
              <w:pStyle w:val="TableText"/>
              <w:spacing w:before="40" w:after="40"/>
              <w:rPr>
                <w:rFonts w:cs="Segoe UI"/>
                <w:szCs w:val="16"/>
              </w:rPr>
            </w:pPr>
            <w:r w:rsidRPr="002A3CBE">
              <w:rPr>
                <w:rFonts w:cs="Segoe UI"/>
                <w:szCs w:val="16"/>
              </w:rPr>
              <w:t>Dead organic matter</w:t>
            </w:r>
          </w:p>
        </w:tc>
        <w:tc>
          <w:tcPr>
            <w:tcW w:w="1122" w:type="dxa"/>
            <w:tcBorders>
              <w:top w:val="single" w:sz="4" w:space="0" w:color="1B556B"/>
              <w:bottom w:val="single" w:sz="4" w:space="0" w:color="1B556B"/>
            </w:tcBorders>
          </w:tcPr>
          <w:p w14:paraId="032BF82D" w14:textId="77777777" w:rsidR="00447423" w:rsidRPr="002A3CBE" w:rsidRDefault="00447423" w:rsidP="00F16E23">
            <w:pPr>
              <w:pStyle w:val="TableText"/>
              <w:spacing w:before="40" w:after="40"/>
              <w:rPr>
                <w:rFonts w:cs="Segoe UI"/>
                <w:szCs w:val="16"/>
              </w:rPr>
            </w:pPr>
            <w:r w:rsidRPr="002A3CBE">
              <w:rPr>
                <w:rFonts w:cs="Segoe UI"/>
                <w:szCs w:val="16"/>
              </w:rPr>
              <w:t>NE</w:t>
            </w:r>
          </w:p>
        </w:tc>
        <w:tc>
          <w:tcPr>
            <w:tcW w:w="1241" w:type="dxa"/>
            <w:tcBorders>
              <w:top w:val="single" w:sz="4" w:space="0" w:color="1B556B"/>
              <w:bottom w:val="single" w:sz="4" w:space="0" w:color="1B556B"/>
            </w:tcBorders>
          </w:tcPr>
          <w:p w14:paraId="48DC7D4F" w14:textId="77777777" w:rsidR="00447423" w:rsidRPr="002A3CBE" w:rsidRDefault="00447423" w:rsidP="00F16E23">
            <w:pPr>
              <w:pStyle w:val="TableText"/>
              <w:spacing w:before="40" w:after="40"/>
              <w:rPr>
                <w:rFonts w:cs="Segoe UI"/>
                <w:szCs w:val="16"/>
              </w:rPr>
            </w:pPr>
            <w:r w:rsidRPr="002A3CBE">
              <w:rPr>
                <w:rFonts w:cs="Segoe UI"/>
                <w:szCs w:val="16"/>
              </w:rPr>
              <w:t>NE</w:t>
            </w:r>
          </w:p>
        </w:tc>
        <w:tc>
          <w:tcPr>
            <w:tcW w:w="1028" w:type="dxa"/>
            <w:tcBorders>
              <w:top w:val="single" w:sz="4" w:space="0" w:color="1B556B"/>
              <w:bottom w:val="single" w:sz="4" w:space="0" w:color="1B556B"/>
            </w:tcBorders>
            <w:tcMar>
              <w:right w:w="85" w:type="dxa"/>
            </w:tcMar>
          </w:tcPr>
          <w:p w14:paraId="4DC02AEC" w14:textId="77777777" w:rsidR="00447423" w:rsidRPr="002A3CBE" w:rsidRDefault="00447423" w:rsidP="00F16E23">
            <w:pPr>
              <w:pStyle w:val="TableText"/>
              <w:spacing w:before="40" w:after="40"/>
              <w:rPr>
                <w:rFonts w:cs="Segoe UI"/>
                <w:szCs w:val="16"/>
              </w:rPr>
            </w:pPr>
            <w:r w:rsidRPr="002A3CBE">
              <w:rPr>
                <w:rFonts w:cs="Segoe UI"/>
                <w:szCs w:val="16"/>
              </w:rPr>
              <w:t>NA</w:t>
            </w:r>
          </w:p>
        </w:tc>
        <w:tc>
          <w:tcPr>
            <w:tcW w:w="2693" w:type="dxa"/>
            <w:tcBorders>
              <w:top w:val="single" w:sz="4" w:space="0" w:color="1B556B"/>
              <w:bottom w:val="single" w:sz="4" w:space="0" w:color="1B556B"/>
            </w:tcBorders>
          </w:tcPr>
          <w:p w14:paraId="603B8DCD" w14:textId="77777777" w:rsidR="00447423" w:rsidRPr="002A3CBE" w:rsidRDefault="00447423" w:rsidP="00F16E23">
            <w:pPr>
              <w:pStyle w:val="TableText"/>
              <w:spacing w:before="40" w:after="40"/>
              <w:rPr>
                <w:rFonts w:cs="Segoe UI"/>
                <w:szCs w:val="16"/>
              </w:rPr>
            </w:pPr>
            <w:r w:rsidRPr="002A3CBE">
              <w:rPr>
                <w:rFonts w:cs="Segoe UI"/>
                <w:szCs w:val="16"/>
              </w:rPr>
              <w:t>No IPCC guidelines</w:t>
            </w:r>
          </w:p>
        </w:tc>
      </w:tr>
      <w:tr w:rsidR="00447423" w:rsidRPr="002A3CBE" w14:paraId="651E7F29" w14:textId="77777777" w:rsidTr="00F16E23">
        <w:tc>
          <w:tcPr>
            <w:tcW w:w="886" w:type="dxa"/>
          </w:tcPr>
          <w:p w14:paraId="2F3936C6" w14:textId="77777777" w:rsidR="00447423" w:rsidRPr="002A3CBE" w:rsidRDefault="00447423" w:rsidP="00F16E23">
            <w:pPr>
              <w:pStyle w:val="TableText"/>
              <w:spacing w:before="40" w:after="40"/>
              <w:rPr>
                <w:rFonts w:cs="Segoe UI"/>
                <w:szCs w:val="16"/>
              </w:rPr>
            </w:pPr>
            <w:r w:rsidRPr="002A3CBE">
              <w:rPr>
                <w:rFonts w:cs="Segoe UI"/>
                <w:szCs w:val="16"/>
              </w:rPr>
              <w:t> </w:t>
            </w:r>
          </w:p>
        </w:tc>
        <w:tc>
          <w:tcPr>
            <w:tcW w:w="1535" w:type="dxa"/>
            <w:tcBorders>
              <w:top w:val="single" w:sz="4" w:space="0" w:color="1B556B"/>
              <w:bottom w:val="single" w:sz="4" w:space="0" w:color="1B556B"/>
            </w:tcBorders>
          </w:tcPr>
          <w:p w14:paraId="40F70A38" w14:textId="77777777" w:rsidR="00447423" w:rsidRPr="002A3CBE" w:rsidRDefault="00447423" w:rsidP="00F16E23">
            <w:pPr>
              <w:pStyle w:val="TableText"/>
              <w:keepNext/>
              <w:spacing w:before="40" w:after="40"/>
              <w:rPr>
                <w:rFonts w:cs="Segoe UI"/>
                <w:szCs w:val="16"/>
              </w:rPr>
            </w:pPr>
            <w:r w:rsidRPr="002A3CBE">
              <w:rPr>
                <w:rFonts w:cs="Segoe UI"/>
                <w:szCs w:val="16"/>
              </w:rPr>
              <w:t>Soils</w:t>
            </w:r>
          </w:p>
        </w:tc>
        <w:tc>
          <w:tcPr>
            <w:tcW w:w="1122" w:type="dxa"/>
            <w:tcBorders>
              <w:top w:val="single" w:sz="4" w:space="0" w:color="1B556B"/>
              <w:bottom w:val="single" w:sz="4" w:space="0" w:color="1B556B"/>
            </w:tcBorders>
          </w:tcPr>
          <w:p w14:paraId="604FDA56" w14:textId="77777777" w:rsidR="00447423" w:rsidRPr="002A3CBE" w:rsidRDefault="00447423" w:rsidP="00F16E23">
            <w:pPr>
              <w:pStyle w:val="TableText"/>
              <w:keepNext/>
              <w:spacing w:before="40" w:after="40"/>
              <w:rPr>
                <w:rFonts w:cs="Segoe UI"/>
                <w:szCs w:val="16"/>
              </w:rPr>
            </w:pPr>
          </w:p>
        </w:tc>
        <w:tc>
          <w:tcPr>
            <w:tcW w:w="1241" w:type="dxa"/>
            <w:tcBorders>
              <w:top w:val="single" w:sz="4" w:space="0" w:color="1B556B"/>
              <w:bottom w:val="single" w:sz="4" w:space="0" w:color="1B556B"/>
            </w:tcBorders>
          </w:tcPr>
          <w:p w14:paraId="727806D5" w14:textId="77777777" w:rsidR="00447423" w:rsidRPr="002A3CBE" w:rsidRDefault="00447423" w:rsidP="00F16E23">
            <w:pPr>
              <w:pStyle w:val="TableText"/>
              <w:keepNext/>
              <w:spacing w:before="40" w:after="40"/>
              <w:rPr>
                <w:rFonts w:cs="Segoe UI"/>
                <w:szCs w:val="16"/>
              </w:rPr>
            </w:pPr>
          </w:p>
        </w:tc>
        <w:tc>
          <w:tcPr>
            <w:tcW w:w="1028" w:type="dxa"/>
            <w:tcBorders>
              <w:top w:val="single" w:sz="4" w:space="0" w:color="1B556B"/>
              <w:bottom w:val="single" w:sz="4" w:space="0" w:color="1B556B"/>
            </w:tcBorders>
            <w:tcMar>
              <w:right w:w="85" w:type="dxa"/>
            </w:tcMar>
          </w:tcPr>
          <w:p w14:paraId="01AB014F" w14:textId="77777777" w:rsidR="00447423" w:rsidRPr="002A3CBE" w:rsidRDefault="00447423" w:rsidP="00F16E23">
            <w:pPr>
              <w:pStyle w:val="TableText"/>
              <w:keepNext/>
              <w:spacing w:before="40" w:after="40"/>
              <w:rPr>
                <w:rFonts w:cs="Segoe UI"/>
                <w:szCs w:val="16"/>
              </w:rPr>
            </w:pPr>
          </w:p>
        </w:tc>
        <w:tc>
          <w:tcPr>
            <w:tcW w:w="2693" w:type="dxa"/>
            <w:tcBorders>
              <w:top w:val="single" w:sz="4" w:space="0" w:color="1B556B"/>
              <w:bottom w:val="single" w:sz="4" w:space="0" w:color="1B556B"/>
            </w:tcBorders>
          </w:tcPr>
          <w:p w14:paraId="185DE4C8" w14:textId="77777777" w:rsidR="00447423" w:rsidRPr="002A3CBE" w:rsidRDefault="00447423" w:rsidP="00F16E23">
            <w:pPr>
              <w:pStyle w:val="TableText"/>
              <w:keepNext/>
              <w:spacing w:before="40" w:after="40"/>
              <w:rPr>
                <w:rFonts w:cs="Segoe UI"/>
                <w:szCs w:val="16"/>
              </w:rPr>
            </w:pPr>
          </w:p>
        </w:tc>
      </w:tr>
      <w:tr w:rsidR="00447423" w:rsidRPr="002A3CBE" w14:paraId="50F0DFE9" w14:textId="77777777" w:rsidTr="00F16E23">
        <w:tc>
          <w:tcPr>
            <w:tcW w:w="886" w:type="dxa"/>
          </w:tcPr>
          <w:p w14:paraId="5E0122B5" w14:textId="77777777" w:rsidR="00447423" w:rsidRPr="002A3CBE" w:rsidRDefault="00447423" w:rsidP="00F16E23">
            <w:pPr>
              <w:pStyle w:val="TableText"/>
              <w:spacing w:before="40" w:after="40"/>
            </w:pPr>
          </w:p>
        </w:tc>
        <w:tc>
          <w:tcPr>
            <w:tcW w:w="1535" w:type="dxa"/>
            <w:tcBorders>
              <w:top w:val="single" w:sz="4" w:space="0" w:color="1B556B"/>
              <w:bottom w:val="single" w:sz="4" w:space="0" w:color="1B556B"/>
            </w:tcBorders>
          </w:tcPr>
          <w:p w14:paraId="6C9D5949" w14:textId="77777777" w:rsidR="00447423" w:rsidRPr="002A3CBE" w:rsidRDefault="00447423" w:rsidP="00F16E23">
            <w:pPr>
              <w:pStyle w:val="TableText"/>
              <w:keepNext/>
              <w:spacing w:before="40" w:after="40"/>
              <w:rPr>
                <w:rFonts w:cs="Segoe UI"/>
                <w:szCs w:val="16"/>
              </w:rPr>
            </w:pPr>
            <w:r w:rsidRPr="002A3CBE">
              <w:rPr>
                <w:rFonts w:cs="Segoe UI"/>
                <w:szCs w:val="16"/>
              </w:rPr>
              <w:t xml:space="preserve">Mineral </w:t>
            </w:r>
          </w:p>
        </w:tc>
        <w:tc>
          <w:tcPr>
            <w:tcW w:w="1122" w:type="dxa"/>
            <w:tcBorders>
              <w:top w:val="single" w:sz="4" w:space="0" w:color="1B556B"/>
              <w:bottom w:val="single" w:sz="4" w:space="0" w:color="1B556B"/>
            </w:tcBorders>
          </w:tcPr>
          <w:p w14:paraId="6B77360F" w14:textId="77777777" w:rsidR="00447423" w:rsidRPr="002A3CBE" w:rsidRDefault="00447423" w:rsidP="00F16E23">
            <w:pPr>
              <w:pStyle w:val="TableText"/>
              <w:keepNext/>
              <w:spacing w:before="40" w:after="40"/>
              <w:rPr>
                <w:rFonts w:cs="Segoe UI"/>
                <w:szCs w:val="16"/>
              </w:rPr>
            </w:pPr>
            <w:r w:rsidRPr="002A3CBE">
              <w:rPr>
                <w:rFonts w:cs="Segoe UI"/>
                <w:szCs w:val="16"/>
              </w:rPr>
              <w:t>88.44</w:t>
            </w:r>
          </w:p>
        </w:tc>
        <w:tc>
          <w:tcPr>
            <w:tcW w:w="1241" w:type="dxa"/>
            <w:tcBorders>
              <w:top w:val="single" w:sz="4" w:space="0" w:color="1B556B"/>
              <w:bottom w:val="single" w:sz="4" w:space="0" w:color="1B556B"/>
            </w:tcBorders>
          </w:tcPr>
          <w:p w14:paraId="5761D70F" w14:textId="77777777" w:rsidR="00447423" w:rsidRPr="002A3CBE" w:rsidRDefault="00447423" w:rsidP="00F16E23">
            <w:pPr>
              <w:pStyle w:val="TableText"/>
              <w:keepNext/>
              <w:spacing w:before="40" w:after="40"/>
              <w:rPr>
                <w:rFonts w:cs="Segoe UI"/>
                <w:szCs w:val="16"/>
              </w:rPr>
            </w:pPr>
            <w:r w:rsidRPr="002A3CBE">
              <w:rPr>
                <w:rFonts w:cs="Segoe UI"/>
                <w:szCs w:val="16"/>
              </w:rPr>
              <w:t>*</w:t>
            </w:r>
          </w:p>
        </w:tc>
        <w:tc>
          <w:tcPr>
            <w:tcW w:w="1028" w:type="dxa"/>
            <w:tcBorders>
              <w:top w:val="single" w:sz="4" w:space="0" w:color="1B556B"/>
              <w:bottom w:val="single" w:sz="4" w:space="0" w:color="1B556B"/>
            </w:tcBorders>
            <w:tcMar>
              <w:right w:w="85" w:type="dxa"/>
            </w:tcMar>
          </w:tcPr>
          <w:p w14:paraId="5F842CCB" w14:textId="77777777" w:rsidR="00447423" w:rsidRPr="002A3CBE" w:rsidRDefault="00447423" w:rsidP="00F16E23">
            <w:pPr>
              <w:pStyle w:val="TableText"/>
              <w:keepNext/>
              <w:spacing w:before="40" w:after="40"/>
              <w:rPr>
                <w:rFonts w:cs="Segoe UI"/>
                <w:szCs w:val="16"/>
              </w:rPr>
            </w:pPr>
            <w:r w:rsidRPr="002A3CBE">
              <w:rPr>
                <w:rFonts w:cs="Segoe UI"/>
                <w:szCs w:val="16"/>
              </w:rPr>
              <w:t>20</w:t>
            </w:r>
          </w:p>
        </w:tc>
        <w:tc>
          <w:tcPr>
            <w:tcW w:w="2693" w:type="dxa"/>
            <w:tcBorders>
              <w:top w:val="single" w:sz="4" w:space="0" w:color="1B556B"/>
              <w:bottom w:val="single" w:sz="4" w:space="0" w:color="1B556B"/>
            </w:tcBorders>
          </w:tcPr>
          <w:p w14:paraId="6CB7597C" w14:textId="77777777" w:rsidR="00447423" w:rsidRPr="002A3CBE" w:rsidRDefault="00447423" w:rsidP="00F16E23">
            <w:pPr>
              <w:pStyle w:val="TableText"/>
              <w:keepNext/>
              <w:spacing w:before="40" w:after="40"/>
              <w:rPr>
                <w:rFonts w:cs="Segoe UI"/>
                <w:szCs w:val="16"/>
              </w:rPr>
            </w:pPr>
            <w:r w:rsidRPr="002A3CBE">
              <w:rPr>
                <w:rFonts w:cs="Segoe UI"/>
                <w:szCs w:val="16"/>
              </w:rPr>
              <w:t>New Zealand-specific EF (McNeill and Barringer, unpublished)</w:t>
            </w:r>
          </w:p>
        </w:tc>
      </w:tr>
      <w:tr w:rsidR="00447423" w:rsidRPr="002A3CBE" w14:paraId="3AA18D4B" w14:textId="77777777" w:rsidTr="00F16E23">
        <w:tc>
          <w:tcPr>
            <w:tcW w:w="886" w:type="dxa"/>
            <w:tcBorders>
              <w:bottom w:val="single" w:sz="4" w:space="0" w:color="1B556B"/>
            </w:tcBorders>
          </w:tcPr>
          <w:p w14:paraId="43CABCD8" w14:textId="77777777" w:rsidR="00447423" w:rsidRPr="002A3CBE" w:rsidRDefault="00447423" w:rsidP="00F16E23">
            <w:pPr>
              <w:pStyle w:val="TableText"/>
              <w:spacing w:before="40" w:after="40"/>
              <w:rPr>
                <w:rFonts w:cs="Segoe UI"/>
                <w:szCs w:val="16"/>
              </w:rPr>
            </w:pPr>
          </w:p>
        </w:tc>
        <w:tc>
          <w:tcPr>
            <w:tcW w:w="1535" w:type="dxa"/>
            <w:tcBorders>
              <w:top w:val="single" w:sz="4" w:space="0" w:color="1B556B"/>
              <w:bottom w:val="single" w:sz="4" w:space="0" w:color="1B556B"/>
            </w:tcBorders>
          </w:tcPr>
          <w:p w14:paraId="53BB8415" w14:textId="77777777" w:rsidR="00447423" w:rsidRPr="002A3CBE" w:rsidRDefault="00447423" w:rsidP="00F16E23">
            <w:pPr>
              <w:pStyle w:val="TableText"/>
              <w:spacing w:before="40" w:after="40"/>
              <w:rPr>
                <w:rFonts w:cs="Segoe UI"/>
                <w:szCs w:val="16"/>
              </w:rPr>
            </w:pPr>
            <w:r w:rsidRPr="002A3CBE">
              <w:rPr>
                <w:rFonts w:cs="Segoe UI"/>
                <w:szCs w:val="16"/>
              </w:rPr>
              <w:t>Organic</w:t>
            </w:r>
          </w:p>
        </w:tc>
        <w:tc>
          <w:tcPr>
            <w:tcW w:w="1122" w:type="dxa"/>
            <w:tcBorders>
              <w:top w:val="single" w:sz="4" w:space="0" w:color="1B556B"/>
              <w:bottom w:val="single" w:sz="4" w:space="0" w:color="1B556B"/>
            </w:tcBorders>
          </w:tcPr>
          <w:p w14:paraId="5BC6FCC2" w14:textId="77777777" w:rsidR="00447423" w:rsidRPr="002A3CBE" w:rsidRDefault="00447423" w:rsidP="00F16E23">
            <w:pPr>
              <w:pStyle w:val="TableText"/>
              <w:spacing w:before="40" w:after="40"/>
              <w:rPr>
                <w:rFonts w:cs="Segoe UI"/>
                <w:szCs w:val="16"/>
              </w:rPr>
            </w:pPr>
            <w:r w:rsidRPr="002A3CBE">
              <w:rPr>
                <w:rFonts w:cs="Segoe UI"/>
                <w:szCs w:val="16"/>
              </w:rPr>
              <w:t>NE</w:t>
            </w:r>
          </w:p>
        </w:tc>
        <w:tc>
          <w:tcPr>
            <w:tcW w:w="1241" w:type="dxa"/>
            <w:tcBorders>
              <w:top w:val="single" w:sz="4" w:space="0" w:color="1B556B"/>
              <w:bottom w:val="single" w:sz="4" w:space="0" w:color="1B556B"/>
            </w:tcBorders>
          </w:tcPr>
          <w:p w14:paraId="7BDB843A" w14:textId="77777777" w:rsidR="00447423" w:rsidRPr="002A3CBE" w:rsidRDefault="00447423" w:rsidP="00F16E23">
            <w:pPr>
              <w:pStyle w:val="TableText"/>
              <w:spacing w:before="40" w:after="40"/>
              <w:rPr>
                <w:rFonts w:cs="Segoe UI"/>
                <w:szCs w:val="16"/>
              </w:rPr>
            </w:pPr>
            <w:r w:rsidRPr="002A3CBE">
              <w:rPr>
                <w:rFonts w:cs="Segoe UI"/>
                <w:szCs w:val="16"/>
              </w:rPr>
              <w:t>-5.0 or -10.0**</w:t>
            </w:r>
          </w:p>
        </w:tc>
        <w:tc>
          <w:tcPr>
            <w:tcW w:w="1028" w:type="dxa"/>
            <w:tcBorders>
              <w:top w:val="single" w:sz="4" w:space="0" w:color="1B556B"/>
              <w:bottom w:val="single" w:sz="4" w:space="0" w:color="1B556B"/>
            </w:tcBorders>
          </w:tcPr>
          <w:p w14:paraId="2F6C9889" w14:textId="77777777" w:rsidR="00447423" w:rsidRPr="002A3CBE" w:rsidRDefault="00447423" w:rsidP="00F16E23">
            <w:pPr>
              <w:pStyle w:val="TableText"/>
              <w:spacing w:before="40" w:after="40"/>
              <w:jc w:val="right"/>
              <w:rPr>
                <w:rFonts w:cs="Segoe UI"/>
                <w:szCs w:val="16"/>
              </w:rPr>
            </w:pPr>
          </w:p>
        </w:tc>
        <w:tc>
          <w:tcPr>
            <w:tcW w:w="2693" w:type="dxa"/>
            <w:tcBorders>
              <w:top w:val="single" w:sz="4" w:space="0" w:color="1B556B"/>
              <w:bottom w:val="single" w:sz="4" w:space="0" w:color="1B556B"/>
            </w:tcBorders>
          </w:tcPr>
          <w:p w14:paraId="74249629" w14:textId="77777777" w:rsidR="00447423" w:rsidRPr="002A3CBE" w:rsidRDefault="00447423" w:rsidP="00F16E23">
            <w:pPr>
              <w:pStyle w:val="TableText"/>
              <w:spacing w:before="40" w:after="40"/>
              <w:rPr>
                <w:rFonts w:cs="Segoe UI"/>
                <w:szCs w:val="16"/>
              </w:rPr>
            </w:pPr>
            <w:r w:rsidRPr="002A3CBE">
              <w:rPr>
                <w:rFonts w:cs="Segoe UI"/>
                <w:szCs w:val="16"/>
              </w:rPr>
              <w:t>IPCC Tier 1 default (table 5.6, IPCC, 2006a)</w:t>
            </w:r>
          </w:p>
        </w:tc>
      </w:tr>
    </w:tbl>
    <w:p w14:paraId="62B64D63" w14:textId="77777777" w:rsidR="00447423" w:rsidRPr="002A3CBE" w:rsidRDefault="00447423" w:rsidP="00447423">
      <w:pPr>
        <w:pStyle w:val="Noteundertable"/>
        <w:spacing w:after="0"/>
      </w:pPr>
      <w:r w:rsidRPr="002A3CBE">
        <w:rPr>
          <w:b/>
        </w:rPr>
        <w:t>Note:</w:t>
      </w:r>
      <w:r w:rsidRPr="002A3CBE">
        <w:tab/>
        <w:t>EF = emission factor; NA = not applicable; NE = not estimated. * Annual carbon stock change in mineral soils on land undergoing land-use change will depend on the land use category the land has been converted to or from; see volume 2, annex 5, section A5.2.4 ‘Mineral soils’.</w:t>
      </w:r>
      <w:r w:rsidRPr="002A3CBE">
        <w:rPr>
          <w:szCs w:val="18"/>
        </w:rPr>
        <w:t xml:space="preserve"> ** The emission factor for organic soils is </w:t>
      </w:r>
      <w:r w:rsidRPr="002A3CBE">
        <w:rPr>
          <w:szCs w:val="18"/>
        </w:rPr>
        <w:noBreakHyphen/>
        <w:t>5.0 tonnes carbon (C) ha</w:t>
      </w:r>
      <w:r w:rsidRPr="002A3CBE">
        <w:rPr>
          <w:szCs w:val="18"/>
          <w:vertAlign w:val="superscript"/>
        </w:rPr>
        <w:t xml:space="preserve">–1 </w:t>
      </w:r>
      <w:r w:rsidRPr="002A3CBE">
        <w:rPr>
          <w:szCs w:val="18"/>
        </w:rPr>
        <w:t>yr</w:t>
      </w:r>
      <w:r w:rsidRPr="002A3CBE">
        <w:rPr>
          <w:szCs w:val="18"/>
          <w:vertAlign w:val="superscript"/>
        </w:rPr>
        <w:t>–1</w:t>
      </w:r>
      <w:r w:rsidRPr="002A3CBE">
        <w:rPr>
          <w:szCs w:val="18"/>
        </w:rPr>
        <w:t xml:space="preserve"> for cold temperate regions and -10.0 tonnes C ha</w:t>
      </w:r>
      <w:r w:rsidRPr="002A3CBE">
        <w:rPr>
          <w:szCs w:val="18"/>
          <w:vertAlign w:val="superscript"/>
        </w:rPr>
        <w:t xml:space="preserve">–1 </w:t>
      </w:r>
      <w:r w:rsidRPr="002A3CBE">
        <w:rPr>
          <w:szCs w:val="18"/>
        </w:rPr>
        <w:t>yr</w:t>
      </w:r>
      <w:r w:rsidRPr="002A3CBE">
        <w:rPr>
          <w:szCs w:val="18"/>
          <w:vertAlign w:val="superscript"/>
        </w:rPr>
        <w:t>–1</w:t>
      </w:r>
      <w:r w:rsidRPr="002A3CBE">
        <w:rPr>
          <w:szCs w:val="18"/>
        </w:rPr>
        <w:t xml:space="preserve"> for warm temperate regions.</w:t>
      </w:r>
    </w:p>
    <w:p w14:paraId="06C3B253" w14:textId="77777777" w:rsidR="00447423" w:rsidRPr="002A3CBE" w:rsidRDefault="00447423" w:rsidP="00447423">
      <w:pPr>
        <w:pStyle w:val="Heading4"/>
      </w:pPr>
      <w:bookmarkStart w:id="2271" w:name="_Toc280630266"/>
      <w:r w:rsidRPr="002A3CBE">
        <w:t>Cropland remaining cropland</w:t>
      </w:r>
      <w:bookmarkEnd w:id="2271"/>
      <w:r w:rsidRPr="002A3CBE">
        <w:t xml:space="preserve"> (4.B.1)</w:t>
      </w:r>
    </w:p>
    <w:p w14:paraId="1C9CC816" w14:textId="77777777" w:rsidR="00447423" w:rsidRPr="002A3CBE" w:rsidRDefault="00447423" w:rsidP="00447423">
      <w:pPr>
        <w:pStyle w:val="BodyText"/>
        <w:spacing w:before="100" w:after="100"/>
      </w:pPr>
      <w:r w:rsidRPr="002A3CBE">
        <w:t xml:space="preserve">For </w:t>
      </w:r>
      <w:r w:rsidRPr="002A3CBE">
        <w:rPr>
          <w:i/>
        </w:rPr>
        <w:t>Cropland remaining cropland</w:t>
      </w:r>
      <w:r w:rsidRPr="002A3CBE">
        <w:t xml:space="preserve">, the Tier 1 assumption is that for annual cropland there is no change in biomass carbon stocks after the first year (IPCC, 2006a, section 5.2.1). The rationale is that the increase in biomass stocks in a single year is equal to the biomass losses from harvest and mortality in that same year. For perennial cropland, there is a change in carbon stocks associated with a land-use change. Where land-use change has occurred between the </w:t>
      </w:r>
      <w:r w:rsidRPr="002A3CBE">
        <w:rPr>
          <w:i/>
        </w:rPr>
        <w:t>Cropland</w:t>
      </w:r>
      <w:r w:rsidRPr="002A3CBE">
        <w:t xml:space="preserve"> land use categories, carbon stock changes are reported in </w:t>
      </w:r>
      <w:r w:rsidRPr="002A3CBE">
        <w:rPr>
          <w:i/>
        </w:rPr>
        <w:t>Cropland remaining cropland</w:t>
      </w:r>
      <w:r w:rsidRPr="002A3CBE">
        <w:t xml:space="preserve">. </w:t>
      </w:r>
    </w:p>
    <w:p w14:paraId="45B4B4BB" w14:textId="77777777" w:rsidR="00447423" w:rsidRPr="002A3CBE" w:rsidRDefault="00447423" w:rsidP="00447423">
      <w:pPr>
        <w:pStyle w:val="Heading5"/>
      </w:pPr>
      <w:bookmarkStart w:id="2272" w:name="_Toc255466375"/>
      <w:bookmarkStart w:id="2273" w:name="_Toc261513182"/>
      <w:bookmarkStart w:id="2274" w:name="_Toc261513795"/>
      <w:bookmarkStart w:id="2275" w:name="_Toc280630267"/>
      <w:r w:rsidRPr="002A3CBE">
        <w:t>Living biomass</w:t>
      </w:r>
      <w:bookmarkEnd w:id="2272"/>
      <w:bookmarkEnd w:id="2273"/>
      <w:bookmarkEnd w:id="2274"/>
      <w:bookmarkEnd w:id="2275"/>
    </w:p>
    <w:p w14:paraId="40864160" w14:textId="77777777" w:rsidR="00447423" w:rsidRPr="002A3CBE" w:rsidRDefault="00447423" w:rsidP="00447423">
      <w:pPr>
        <w:pStyle w:val="BodyText"/>
        <w:spacing w:before="100" w:after="100"/>
      </w:pPr>
      <w:r w:rsidRPr="002A3CBE">
        <w:t>To estimate carbon stock change in living biomass for annual cropland converted to perennial cropland, New Zealand uses Tier 1 defaults for biomass carbon stocks at harvest (IPCC, 2006a, table 5.9). The Tier 1 method for estimating carbon change assumes carbon stocks in biomass immediately after conversion are zero; that is, the land is cleared of all vegetation before planting crops (5.0 tonnes carbon (C) ha</w:t>
      </w:r>
      <w:r w:rsidRPr="002A3CBE">
        <w:rPr>
          <w:vertAlign w:val="superscript"/>
        </w:rPr>
        <w:t>–1</w:t>
      </w:r>
      <w:r w:rsidRPr="002A3CBE">
        <w:t xml:space="preserve"> is instantly oxidised in the year of conversion). </w:t>
      </w:r>
    </w:p>
    <w:p w14:paraId="7986D8BD" w14:textId="77777777" w:rsidR="00447423" w:rsidRPr="002A3CBE" w:rsidRDefault="00447423" w:rsidP="00447423">
      <w:pPr>
        <w:pStyle w:val="BodyText"/>
        <w:spacing w:before="100" w:after="100"/>
      </w:pPr>
      <w:r w:rsidRPr="002A3CBE">
        <w:t>To estimate growth after conversion of annual cropland to perennial cropland, New Zealand uses the biomass accumulation rate of 0.67 tonnes C ha</w:t>
      </w:r>
      <w:r w:rsidRPr="002A3CBE">
        <w:rPr>
          <w:vertAlign w:val="superscript"/>
        </w:rPr>
        <w:t xml:space="preserve">–1 </w:t>
      </w:r>
      <w:r w:rsidRPr="002A3CBE">
        <w:t>yr</w:t>
      </w:r>
      <w:r w:rsidRPr="002A3CBE">
        <w:rPr>
          <w:vertAlign w:val="superscript"/>
        </w:rPr>
        <w:t>–1</w:t>
      </w:r>
      <w:r w:rsidRPr="002A3CBE">
        <w:t>. This value is based on the New Zealand-specific value of 18.76 tonnes C ha</w:t>
      </w:r>
      <w:r w:rsidRPr="002A3CBE">
        <w:rPr>
          <w:spacing w:val="-2"/>
          <w:vertAlign w:val="superscript"/>
        </w:rPr>
        <w:t>–1</w:t>
      </w:r>
      <w:r w:rsidRPr="002A3CBE">
        <w:t xml:space="preserve"> sequestered over 28 years (</w:t>
      </w:r>
      <w:r w:rsidRPr="002A3CBE">
        <w:rPr>
          <w:spacing w:val="-2"/>
        </w:rPr>
        <w:t xml:space="preserve">Davis and Wakelin, </w:t>
      </w:r>
      <w:r w:rsidRPr="002A3CBE">
        <w:t>unpublished). It is assumed any biomass gains after this 28-year period are compensated for by biomass loss from pruning and other management practices, resulting in a net zero change in biomass stock of perennial cropland remaining perennial cropland.</w:t>
      </w:r>
    </w:p>
    <w:p w14:paraId="4535B4D5" w14:textId="77777777" w:rsidR="00447423" w:rsidRPr="002A3CBE" w:rsidRDefault="00447423" w:rsidP="00447423">
      <w:pPr>
        <w:pStyle w:val="BodyText"/>
        <w:spacing w:before="100" w:after="100"/>
      </w:pPr>
      <w:r w:rsidRPr="002A3CBE">
        <w:t xml:space="preserve">The available activity data do not provide information on areas of perennial cropland temporarily destocked; therefore, no losses in carbon stock due to temporary destocking are reported. Consequently, no gains in these areas are reported either when they are restocked. </w:t>
      </w:r>
    </w:p>
    <w:p w14:paraId="3867380E" w14:textId="77777777" w:rsidR="00447423" w:rsidRPr="002A3CBE" w:rsidRDefault="00447423" w:rsidP="00447423">
      <w:pPr>
        <w:pStyle w:val="Heading5"/>
        <w:spacing w:before="220"/>
      </w:pPr>
      <w:bookmarkStart w:id="2276" w:name="_Toc255466376"/>
      <w:bookmarkStart w:id="2277" w:name="_Toc261513183"/>
      <w:bookmarkStart w:id="2278" w:name="_Toc261513796"/>
      <w:bookmarkStart w:id="2279" w:name="_Toc280630268"/>
      <w:r w:rsidRPr="002A3CBE">
        <w:t>Dead organic matter</w:t>
      </w:r>
      <w:bookmarkEnd w:id="2276"/>
      <w:bookmarkEnd w:id="2277"/>
      <w:bookmarkEnd w:id="2278"/>
      <w:bookmarkEnd w:id="2279"/>
    </w:p>
    <w:p w14:paraId="6ADE4168" w14:textId="77777777" w:rsidR="00447423" w:rsidRPr="002A3CBE" w:rsidRDefault="00447423" w:rsidP="00447423">
      <w:pPr>
        <w:pStyle w:val="BodyText"/>
        <w:spacing w:before="100" w:after="100"/>
      </w:pPr>
      <w:r w:rsidRPr="002A3CBE">
        <w:t xml:space="preserve">New Zealand does not report estimates of dead organic matter in this category. The notation key NE (not estimated) is used in the CRTs, in accordance with paragraph 37(b) of </w:t>
      </w:r>
      <w:r w:rsidRPr="002A3CBE">
        <w:rPr>
          <w:spacing w:val="-2"/>
        </w:rPr>
        <w:t>Decision 24/CP.19 (UNFCCC, 2014). There is insufficient information to provide a basic approach with default parameters to estimate carbon stock change in dead organic matter pools</w:t>
      </w:r>
      <w:r w:rsidRPr="002A3CBE">
        <w:t xml:space="preserve"> in </w:t>
      </w:r>
      <w:r w:rsidRPr="002A3CBE">
        <w:rPr>
          <w:i/>
        </w:rPr>
        <w:t>Cropland</w:t>
      </w:r>
      <w:r w:rsidRPr="002A3CBE">
        <w:t xml:space="preserve"> </w:t>
      </w:r>
      <w:r w:rsidRPr="002A3CBE">
        <w:rPr>
          <w:i/>
        </w:rPr>
        <w:t>remaining cropland</w:t>
      </w:r>
      <w:r w:rsidRPr="002A3CBE">
        <w:t xml:space="preserve"> and, consequently, no Tier 1 method is provided (IPCC, 2006a).</w:t>
      </w:r>
    </w:p>
    <w:p w14:paraId="6B802831" w14:textId="77777777" w:rsidR="00447423" w:rsidRPr="002A3CBE" w:rsidRDefault="00447423" w:rsidP="00447423">
      <w:pPr>
        <w:pStyle w:val="Heading5"/>
        <w:spacing w:before="220"/>
      </w:pPr>
      <w:bookmarkStart w:id="2280" w:name="_Toc255466377"/>
      <w:bookmarkStart w:id="2281" w:name="_Toc261513184"/>
      <w:bookmarkStart w:id="2282" w:name="_Toc261513797"/>
      <w:bookmarkStart w:id="2283" w:name="_Toc280630269"/>
      <w:r w:rsidRPr="002A3CBE">
        <w:t>Soil organic carbon</w:t>
      </w:r>
      <w:bookmarkEnd w:id="2280"/>
      <w:bookmarkEnd w:id="2281"/>
      <w:bookmarkEnd w:id="2282"/>
      <w:bookmarkEnd w:id="2283"/>
      <w:r w:rsidRPr="002A3CBE">
        <w:t xml:space="preserve"> </w:t>
      </w:r>
    </w:p>
    <w:p w14:paraId="2E92D1EB" w14:textId="77777777" w:rsidR="00447423" w:rsidRPr="002A3CBE" w:rsidRDefault="00447423" w:rsidP="00447423">
      <w:pPr>
        <w:pStyle w:val="BodyText"/>
        <w:spacing w:before="100" w:after="100"/>
      </w:pPr>
      <w:bookmarkStart w:id="2284" w:name="_Toc255466381"/>
      <w:bookmarkStart w:id="2285" w:name="_Toc261513188"/>
      <w:bookmarkStart w:id="2286" w:name="_Toc261513801"/>
      <w:bookmarkStart w:id="2287" w:name="_Toc280630272"/>
      <w:r w:rsidRPr="002A3CBE">
        <w:t xml:space="preserve">Soil organic carbon stocks in mineral soil for </w:t>
      </w:r>
      <w:r w:rsidRPr="002A3CBE">
        <w:rPr>
          <w:i/>
        </w:rPr>
        <w:t>Cropland remaining cropland</w:t>
      </w:r>
      <w:r w:rsidRPr="002A3CBE">
        <w:t xml:space="preserve"> are estimated using </w:t>
      </w:r>
      <w:r w:rsidRPr="002A3CBE">
        <w:rPr>
          <w:spacing w:val="-2"/>
        </w:rPr>
        <w:t>a Tier 2 method (see volume 2, annex 5, section A5.2.4 ‘Mineral soils’). For organic soils, loss of soil carbon is estimated using the Tier 1 method as described in volume 2, annex 5, section A5.2.4 ‘Organic soils’</w:t>
      </w:r>
      <w:r w:rsidRPr="002A3CBE">
        <w:t xml:space="preserve">. </w:t>
      </w:r>
    </w:p>
    <w:p w14:paraId="518BF06C" w14:textId="77777777" w:rsidR="00447423" w:rsidRPr="002A3CBE" w:rsidRDefault="00447423" w:rsidP="00447423">
      <w:pPr>
        <w:pStyle w:val="BodyText"/>
        <w:spacing w:before="100" w:after="100"/>
      </w:pPr>
      <w:r w:rsidRPr="002A3CBE">
        <w:t xml:space="preserve">Mineral soil carbon change for annual cropland converted to perennial cropland and vice versa is estimated using the IPCC default method of applying a linear rate of change over 20 years (IPCC, 2006a, equation 2.25). </w:t>
      </w:r>
    </w:p>
    <w:p w14:paraId="00934717" w14:textId="77777777" w:rsidR="00447423" w:rsidRPr="002A3CBE" w:rsidRDefault="00447423" w:rsidP="00447423">
      <w:pPr>
        <w:pStyle w:val="Heading5"/>
        <w:spacing w:before="220"/>
      </w:pPr>
      <w:r w:rsidRPr="002A3CBE">
        <w:t>Non-CO</w:t>
      </w:r>
      <w:r w:rsidRPr="002A3CBE">
        <w:rPr>
          <w:vertAlign w:val="subscript"/>
        </w:rPr>
        <w:t>2</w:t>
      </w:r>
      <w:r w:rsidRPr="002A3CBE">
        <w:t xml:space="preserve"> emissions</w:t>
      </w:r>
    </w:p>
    <w:p w14:paraId="2D1AE764" w14:textId="77777777" w:rsidR="00447423" w:rsidRPr="002A3CBE" w:rsidRDefault="00447423" w:rsidP="00447423">
      <w:pPr>
        <w:pStyle w:val="BodyText"/>
        <w:spacing w:before="100" w:after="100"/>
      </w:pPr>
      <w:r w:rsidRPr="002A3CBE">
        <w:t>All direct and indirect N</w:t>
      </w:r>
      <w:r w:rsidRPr="002A3CBE">
        <w:rPr>
          <w:vertAlign w:val="subscript"/>
        </w:rPr>
        <w:t>2</w:t>
      </w:r>
      <w:r w:rsidRPr="002A3CBE">
        <w:t xml:space="preserve">O emissions occurring from management activities in </w:t>
      </w:r>
      <w:r w:rsidRPr="002A3CBE">
        <w:rPr>
          <w:i/>
        </w:rPr>
        <w:t>Cropland remaining cropland</w:t>
      </w:r>
      <w:r w:rsidRPr="002A3CBE">
        <w:t xml:space="preserve"> are reported under the Agriculture sector. </w:t>
      </w:r>
    </w:p>
    <w:p w14:paraId="7C2BBD58" w14:textId="77777777" w:rsidR="00447423" w:rsidRPr="002A3CBE" w:rsidRDefault="00447423" w:rsidP="00447423">
      <w:pPr>
        <w:pStyle w:val="Heading4"/>
      </w:pPr>
      <w:r w:rsidRPr="002A3CBE">
        <w:t>Land converted to cropland</w:t>
      </w:r>
      <w:bookmarkEnd w:id="2284"/>
      <w:bookmarkEnd w:id="2285"/>
      <w:bookmarkEnd w:id="2286"/>
      <w:bookmarkEnd w:id="2287"/>
      <w:r w:rsidRPr="002A3CBE">
        <w:t xml:space="preserve"> (4.B.2)</w:t>
      </w:r>
    </w:p>
    <w:p w14:paraId="350BD264" w14:textId="77777777" w:rsidR="00447423" w:rsidRPr="002A3CBE" w:rsidRDefault="00447423" w:rsidP="00447423">
      <w:pPr>
        <w:pStyle w:val="Heading5"/>
        <w:spacing w:before="180"/>
      </w:pPr>
      <w:bookmarkStart w:id="2288" w:name="_Toc255466382"/>
      <w:bookmarkStart w:id="2289" w:name="_Toc261513189"/>
      <w:bookmarkStart w:id="2290" w:name="_Toc261513802"/>
      <w:bookmarkStart w:id="2291" w:name="_Toc280630273"/>
      <w:r w:rsidRPr="002A3CBE">
        <w:t>Living biomass</w:t>
      </w:r>
      <w:bookmarkEnd w:id="2288"/>
      <w:bookmarkEnd w:id="2289"/>
      <w:bookmarkEnd w:id="2290"/>
      <w:bookmarkEnd w:id="2291"/>
    </w:p>
    <w:p w14:paraId="21931A7A" w14:textId="77777777" w:rsidR="00447423" w:rsidRPr="002A3CBE" w:rsidRDefault="00447423" w:rsidP="00447423">
      <w:pPr>
        <w:pStyle w:val="BodyText"/>
        <w:spacing w:before="100" w:after="100"/>
      </w:pPr>
      <w:r w:rsidRPr="002A3CBE">
        <w:t xml:space="preserve">New Zealand uses a Tier 1 method, and a combination of IPCC default and New Zealand-specific emission factors, to calculate emissions for </w:t>
      </w:r>
      <w:r w:rsidRPr="002A3CBE">
        <w:rPr>
          <w:i/>
        </w:rPr>
        <w:t>Land converted to cropland</w:t>
      </w:r>
      <w:r w:rsidRPr="002A3CBE">
        <w:t xml:space="preserve">. The Tier 1 method multiplies the area of </w:t>
      </w:r>
      <w:r w:rsidRPr="002A3CBE">
        <w:rPr>
          <w:i/>
        </w:rPr>
        <w:t>Land converted to cropland</w:t>
      </w:r>
      <w:r w:rsidRPr="002A3CBE">
        <w:t xml:space="preserve"> annually by the carbon stock change per area for that type of conversion. </w:t>
      </w:r>
    </w:p>
    <w:p w14:paraId="236B6D20" w14:textId="77777777" w:rsidR="00447423" w:rsidRPr="002A3CBE" w:rsidRDefault="00447423" w:rsidP="00447423">
      <w:pPr>
        <w:pStyle w:val="BodyText"/>
        <w:spacing w:before="100" w:after="100"/>
      </w:pPr>
      <w:r w:rsidRPr="002A3CBE">
        <w:t>The Tier 1 method assumes carbon in living biomass and dead organic matter immediately after conversion is zero; that is, the land is cleared of all vegetation before planting crops. The amount of biomass cleared when land at steady state is converted is dependent on the land use category undergoing the conversion and is described further under each category-specific section in this chapter.</w:t>
      </w:r>
    </w:p>
    <w:p w14:paraId="6B461DF1" w14:textId="77777777" w:rsidR="00447423" w:rsidRPr="002A3CBE" w:rsidRDefault="00447423" w:rsidP="00447423">
      <w:pPr>
        <w:pStyle w:val="BodyText"/>
      </w:pPr>
      <w:r w:rsidRPr="002A3CBE">
        <w:t>The Tier 1 method also includes changes in carbon stocks from one year of growth in the year conversion takes place, as outlined in equation 2.5 of the 2006 IPCC Guidelines (IPCC, 2006a).</w:t>
      </w:r>
    </w:p>
    <w:p w14:paraId="7BF7A507" w14:textId="77777777" w:rsidR="00447423" w:rsidRPr="002A3CBE" w:rsidRDefault="00447423" w:rsidP="00447423">
      <w:pPr>
        <w:pStyle w:val="BodyText"/>
      </w:pPr>
      <w:r w:rsidRPr="002A3CBE">
        <w:t>To estimate growth after conversion to annual cropland, New Zealand uses the IPCC default biomass accumulation rate of 5.0 tonnes C ha</w:t>
      </w:r>
      <w:r w:rsidRPr="002A3CBE">
        <w:rPr>
          <w:vertAlign w:val="superscript"/>
        </w:rPr>
        <w:t>–1</w:t>
      </w:r>
      <w:r w:rsidRPr="002A3CBE">
        <w:t xml:space="preserve"> for the first year following conversion (IPCC, 2006a, table 5.9). After the first year, any increase in biomass stocks in annual cropland </w:t>
      </w:r>
      <w:r w:rsidRPr="002A3CBE">
        <w:rPr>
          <w:spacing w:val="-2"/>
        </w:rPr>
        <w:t>is assumed equal to biomass losses from harvest and mortality in that same year and, therefore</w:t>
      </w:r>
      <w:r w:rsidRPr="002A3CBE">
        <w:t xml:space="preserve">, after the first year there is no net accumulation of biomass carbon stocks in </w:t>
      </w:r>
      <w:r w:rsidRPr="002A3CBE">
        <w:rPr>
          <w:iCs/>
        </w:rPr>
        <w:t>annual</w:t>
      </w:r>
      <w:r w:rsidRPr="002A3CBE">
        <w:rPr>
          <w:i/>
        </w:rPr>
        <w:t xml:space="preserve"> </w:t>
      </w:r>
      <w:r w:rsidRPr="002A3CBE">
        <w:rPr>
          <w:iCs/>
        </w:rPr>
        <w:t>cropland remaining annual cropland</w:t>
      </w:r>
      <w:r w:rsidRPr="002A3CBE">
        <w:t xml:space="preserve"> (IPCC, 2006a, section 5.2.1).</w:t>
      </w:r>
    </w:p>
    <w:p w14:paraId="6682EEC2" w14:textId="77777777" w:rsidR="00447423" w:rsidRPr="002A3CBE" w:rsidRDefault="00447423" w:rsidP="00447423">
      <w:pPr>
        <w:pStyle w:val="BodyText"/>
      </w:pPr>
      <w:r w:rsidRPr="002A3CBE">
        <w:t>To estimate growth after conversion to perennial cropland, New Zealand uses the biomass accumulation rate of 0.67 tonnes C ha</w:t>
      </w:r>
      <w:r w:rsidRPr="002A3CBE">
        <w:rPr>
          <w:vertAlign w:val="superscript"/>
        </w:rPr>
        <w:t xml:space="preserve">–1 </w:t>
      </w:r>
      <w:r w:rsidRPr="002A3CBE">
        <w:t>yr</w:t>
      </w:r>
      <w:r w:rsidRPr="002A3CBE">
        <w:rPr>
          <w:vertAlign w:val="superscript"/>
        </w:rPr>
        <w:t>–1</w:t>
      </w:r>
      <w:r w:rsidRPr="002A3CBE">
        <w:t xml:space="preserve"> until 18.76 tonnes C ha</w:t>
      </w:r>
      <w:r w:rsidRPr="002A3CBE">
        <w:rPr>
          <w:spacing w:val="-2"/>
          <w:vertAlign w:val="superscript"/>
        </w:rPr>
        <w:t>–1</w:t>
      </w:r>
      <w:r w:rsidRPr="002A3CBE">
        <w:t xml:space="preserve"> is reached, as described in the </w:t>
      </w:r>
      <w:r w:rsidRPr="002A3CBE">
        <w:rPr>
          <w:i/>
          <w:iCs/>
        </w:rPr>
        <w:t>Cropland remaining cropland</w:t>
      </w:r>
      <w:r w:rsidRPr="002A3CBE">
        <w:t xml:space="preserve"> section above. The final eight years of biomass gain are reported in </w:t>
      </w:r>
      <w:r w:rsidRPr="002A3CBE">
        <w:rPr>
          <w:i/>
          <w:iCs/>
        </w:rPr>
        <w:t>Cropland remaining cropland</w:t>
      </w:r>
      <w:r w:rsidRPr="002A3CBE">
        <w:t xml:space="preserve"> because the 2006 IPCC Guidelines (IPCC, 2006a) default transition period of 20 years has been applied across the entire LULUCF sector. </w:t>
      </w:r>
    </w:p>
    <w:p w14:paraId="480E7400" w14:textId="77777777" w:rsidR="00447423" w:rsidRPr="002A3CBE" w:rsidRDefault="00447423" w:rsidP="00447423">
      <w:pPr>
        <w:pStyle w:val="Heading5"/>
      </w:pPr>
      <w:bookmarkStart w:id="2292" w:name="_Toc255466383"/>
      <w:bookmarkStart w:id="2293" w:name="_Toc261513190"/>
      <w:bookmarkStart w:id="2294" w:name="_Toc261513803"/>
      <w:bookmarkStart w:id="2295" w:name="_Toc280630274"/>
      <w:r w:rsidRPr="002A3CBE">
        <w:t>Dead organic matter</w:t>
      </w:r>
      <w:bookmarkEnd w:id="2292"/>
      <w:bookmarkEnd w:id="2293"/>
      <w:bookmarkEnd w:id="2294"/>
      <w:bookmarkEnd w:id="2295"/>
    </w:p>
    <w:p w14:paraId="6D84F093" w14:textId="77777777" w:rsidR="00447423" w:rsidRPr="002A3CBE" w:rsidRDefault="00447423" w:rsidP="00447423">
      <w:pPr>
        <w:pStyle w:val="BodyText"/>
      </w:pPr>
      <w:r w:rsidRPr="002A3CBE">
        <w:t xml:space="preserve">New Zealand reports only losses in dead organic matter associated with the previous land use for this category. The losses are calculated based on the carbon in dead organic matter at the site before conversion to </w:t>
      </w:r>
      <w:r w:rsidRPr="002A3CBE">
        <w:rPr>
          <w:i/>
        </w:rPr>
        <w:t>Cropland</w:t>
      </w:r>
      <w:r w:rsidRPr="002A3CBE">
        <w:t xml:space="preserve">. It is assumed that, immediately after conversion, dead organic matter is zero (all carbon in dead organic matter before conversion is instantly oxidised in the year of conversion). There is insufficient information to estimate gain in carbon stock in dead organic matter pools after land is converted to </w:t>
      </w:r>
      <w:r w:rsidRPr="002A3CBE">
        <w:rPr>
          <w:i/>
        </w:rPr>
        <w:t>Cropland</w:t>
      </w:r>
      <w:r w:rsidRPr="002A3CBE">
        <w:t xml:space="preserve"> (IPCC, 2006a). Consequently, where there are no dead organic matter losses associated with the previous land use, the notation key NA (not applicable) is used in the CRTs in accordance with Decision 24/CP.19 (UNFCCC, 2014) because a given source and/or sink category does not result in emissions or removals of a specific gas.</w:t>
      </w:r>
    </w:p>
    <w:p w14:paraId="200E29AC" w14:textId="77777777" w:rsidR="00447423" w:rsidRPr="002A3CBE" w:rsidRDefault="00447423" w:rsidP="00447423">
      <w:pPr>
        <w:pStyle w:val="Heading5"/>
      </w:pPr>
      <w:bookmarkStart w:id="2296" w:name="_Toc255466384"/>
      <w:bookmarkStart w:id="2297" w:name="_Toc261513191"/>
      <w:bookmarkStart w:id="2298" w:name="_Toc261513804"/>
      <w:bookmarkStart w:id="2299" w:name="_Toc280630275"/>
      <w:r w:rsidRPr="002A3CBE">
        <w:t>Soil organic carbon</w:t>
      </w:r>
      <w:bookmarkEnd w:id="2296"/>
      <w:bookmarkEnd w:id="2297"/>
      <w:bookmarkEnd w:id="2298"/>
      <w:bookmarkEnd w:id="2299"/>
      <w:r w:rsidRPr="002A3CBE">
        <w:t xml:space="preserve"> </w:t>
      </w:r>
    </w:p>
    <w:p w14:paraId="5A615F1C" w14:textId="77777777" w:rsidR="00447423" w:rsidRPr="002A3CBE" w:rsidRDefault="00447423" w:rsidP="00447423">
      <w:pPr>
        <w:pStyle w:val="BodyText"/>
        <w:spacing w:before="80" w:after="100"/>
      </w:pPr>
      <w:bookmarkStart w:id="2300" w:name="_Toc255466385"/>
      <w:bookmarkStart w:id="2301" w:name="_Toc261513192"/>
      <w:bookmarkStart w:id="2302" w:name="_Toc261513805"/>
      <w:bookmarkStart w:id="2303" w:name="_Toc280630276"/>
      <w:r w:rsidRPr="002A3CBE">
        <w:rPr>
          <w:spacing w:val="-2"/>
        </w:rPr>
        <w:t xml:space="preserve">Soil organic carbon stocks in </w:t>
      </w:r>
      <w:r w:rsidRPr="002A3CBE">
        <w:rPr>
          <w:i/>
          <w:spacing w:val="-2"/>
        </w:rPr>
        <w:t>Land converted to cropland</w:t>
      </w:r>
      <w:r w:rsidRPr="002A3CBE">
        <w:rPr>
          <w:spacing w:val="-2"/>
        </w:rPr>
        <w:t xml:space="preserve"> are estimated using a Tier 2 method for mineral soils and a Tier 1 method for organic soils (see volume 2, annex 5, section A5.2.4, for further information)</w:t>
      </w:r>
      <w:r w:rsidRPr="002A3CBE">
        <w:t xml:space="preserve">. </w:t>
      </w:r>
    </w:p>
    <w:p w14:paraId="648A94C7" w14:textId="77777777" w:rsidR="00447423" w:rsidRPr="002A3CBE" w:rsidRDefault="00447423" w:rsidP="00447423">
      <w:pPr>
        <w:pStyle w:val="Heading5"/>
      </w:pPr>
      <w:r w:rsidRPr="002A3CBE">
        <w:t>Non-CO</w:t>
      </w:r>
      <w:r w:rsidRPr="002A3CBE">
        <w:rPr>
          <w:vertAlign w:val="subscript"/>
        </w:rPr>
        <w:t>2</w:t>
      </w:r>
      <w:r w:rsidRPr="002A3CBE">
        <w:t xml:space="preserve"> emissions</w:t>
      </w:r>
      <w:bookmarkEnd w:id="2300"/>
      <w:bookmarkEnd w:id="2301"/>
      <w:bookmarkEnd w:id="2302"/>
      <w:bookmarkEnd w:id="2303"/>
    </w:p>
    <w:p w14:paraId="337A8DCE" w14:textId="77777777" w:rsidR="00447423" w:rsidRPr="002A3CBE" w:rsidRDefault="00447423" w:rsidP="00447423">
      <w:pPr>
        <w:pStyle w:val="BodyText"/>
      </w:pPr>
      <w:r w:rsidRPr="002A3CBE">
        <w:t xml:space="preserve">Nitrous oxide emissions from disturbance associated with land use conversion to </w:t>
      </w:r>
      <w:r w:rsidRPr="002A3CBE">
        <w:rPr>
          <w:i/>
        </w:rPr>
        <w:t>Cropland</w:t>
      </w:r>
      <w:r w:rsidRPr="002A3CBE">
        <w:t xml:space="preserve"> and land use management are described in section 6.11. </w:t>
      </w:r>
    </w:p>
    <w:p w14:paraId="7F9EE6CF" w14:textId="77777777" w:rsidR="00447423" w:rsidRPr="002A3CBE" w:rsidRDefault="00447423" w:rsidP="00447423">
      <w:pPr>
        <w:pStyle w:val="Heading3"/>
      </w:pPr>
      <w:bookmarkStart w:id="2304" w:name="_Toc139253965"/>
      <w:bookmarkStart w:id="2305" w:name="_Toc255466388"/>
      <w:bookmarkStart w:id="2306" w:name="_Toc261513195"/>
      <w:bookmarkStart w:id="2307" w:name="_Toc261513808"/>
      <w:bookmarkStart w:id="2308" w:name="_Toc280630277"/>
      <w:r w:rsidRPr="002A3CBE">
        <w:t>6.5.3</w:t>
      </w:r>
      <w:r w:rsidRPr="002A3CBE">
        <w:tab/>
        <w:t>Uncertainty assessment and time-series consistency</w:t>
      </w:r>
      <w:bookmarkEnd w:id="2304"/>
      <w:bookmarkEnd w:id="2305"/>
      <w:bookmarkEnd w:id="2306"/>
      <w:bookmarkEnd w:id="2307"/>
      <w:bookmarkEnd w:id="2308"/>
    </w:p>
    <w:p w14:paraId="0E097E46" w14:textId="77777777" w:rsidR="00447423" w:rsidRPr="002A3CBE" w:rsidRDefault="00447423" w:rsidP="00447423">
      <w:pPr>
        <w:pStyle w:val="BodyText"/>
      </w:pPr>
      <w:r w:rsidRPr="002A3CBE">
        <w:t>The uncertainty in net CO</w:t>
      </w:r>
      <w:r w:rsidRPr="002A3CBE">
        <w:rPr>
          <w:vertAlign w:val="subscript"/>
        </w:rPr>
        <w:t>2</w:t>
      </w:r>
      <w:r w:rsidRPr="002A3CBE">
        <w:t xml:space="preserve"> emissions from </w:t>
      </w:r>
      <w:r w:rsidRPr="002A3CBE">
        <w:rPr>
          <w:i/>
          <w:iCs/>
        </w:rPr>
        <w:t>Cropland</w:t>
      </w:r>
      <w:r w:rsidRPr="002A3CBE">
        <w:t xml:space="preserve"> was 61.4 percent in 2024. The uncertainty in net CO</w:t>
      </w:r>
      <w:r w:rsidRPr="002A3CBE">
        <w:rPr>
          <w:vertAlign w:val="subscript"/>
        </w:rPr>
        <w:t>2</w:t>
      </w:r>
      <w:r w:rsidRPr="002A3CBE">
        <w:t xml:space="preserve"> emissions from </w:t>
      </w:r>
      <w:r w:rsidRPr="002A3CBE">
        <w:rPr>
          <w:i/>
        </w:rPr>
        <w:t>Cropland</w:t>
      </w:r>
      <w:r w:rsidRPr="002A3CBE">
        <w:t xml:space="preserve"> accounted for 1.6 percent of the total uncertainty in emissions from the LULUCF sector. The uncertainty associated with the emissions from each </w:t>
      </w:r>
      <w:r w:rsidRPr="002A3CBE">
        <w:rPr>
          <w:i/>
          <w:iCs/>
        </w:rPr>
        <w:t>Cropland</w:t>
      </w:r>
      <w:r w:rsidRPr="002A3CBE">
        <w:t xml:space="preserve"> class is shown in table 6.5.6. The methods used to calculate the uncertainty are further described in volume 2, annex 5, section A5.2.8. </w:t>
      </w:r>
    </w:p>
    <w:p w14:paraId="1D3E0CA3" w14:textId="77777777" w:rsidR="00447423" w:rsidRPr="002A3CBE" w:rsidRDefault="00447423" w:rsidP="00447423">
      <w:pPr>
        <w:pStyle w:val="BodyText"/>
      </w:pPr>
      <w:r w:rsidRPr="002A3CBE">
        <w:t xml:space="preserve">Time-series consistency is ensured by applying consistent methods and full recalculations in the event of any refinement or improvement to methodology. </w:t>
      </w:r>
    </w:p>
    <w:p w14:paraId="70778E72" w14:textId="77777777" w:rsidR="00447423" w:rsidRPr="002A3CBE" w:rsidRDefault="00447423" w:rsidP="00447423">
      <w:pPr>
        <w:pStyle w:val="Table"/>
      </w:pPr>
      <w:bookmarkStart w:id="2309" w:name="_Toc131591406"/>
      <w:bookmarkStart w:id="2310" w:name="_Toc158979964"/>
      <w:bookmarkStart w:id="2311" w:name="_Toc164153897"/>
      <w:bookmarkStart w:id="2312" w:name="_Toc190873131"/>
      <w:bookmarkStart w:id="2313" w:name="_Toc194241770"/>
      <w:bookmarkStart w:id="2314" w:name="_Toc222837921"/>
      <w:bookmarkStart w:id="2315" w:name="_Toc226669067"/>
      <w:bookmarkStart w:id="2316" w:name="_Toc280630463"/>
      <w:bookmarkStart w:id="2317" w:name="_Toc310423419"/>
      <w:bookmarkStart w:id="2318" w:name="_Toc318362712"/>
      <w:bookmarkStart w:id="2319" w:name="_Toc342470774"/>
      <w:bookmarkStart w:id="2320" w:name="_Toc352505014"/>
      <w:bookmarkStart w:id="2321" w:name="_Toc378853305"/>
      <w:bookmarkStart w:id="2322" w:name="_Toc391024103"/>
      <w:bookmarkStart w:id="2323" w:name="_Toc410028846"/>
      <w:bookmarkStart w:id="2324" w:name="_Toc414531474"/>
      <w:bookmarkStart w:id="2325" w:name="_Toc443645387"/>
      <w:bookmarkStart w:id="2326" w:name="_Toc474914606"/>
      <w:bookmarkStart w:id="2327" w:name="_Toc481751570"/>
      <w:bookmarkStart w:id="2328" w:name="_Toc522010627"/>
      <w:bookmarkStart w:id="2329" w:name="_Toc5269532"/>
      <w:bookmarkStart w:id="2330" w:name="_Toc33529406"/>
      <w:bookmarkStart w:id="2331" w:name="_Toc36224612"/>
      <w:bookmarkStart w:id="2332" w:name="_Toc65243609"/>
      <w:r w:rsidRPr="002A3CBE">
        <w:t>Table 6.5.6</w:t>
      </w:r>
      <w:r w:rsidRPr="002A3CBE">
        <w:tab/>
        <w:t xml:space="preserve">Uncertainty in net carbon stock change emissions in 2024 for </w:t>
      </w:r>
      <w:r w:rsidRPr="002A3CBE">
        <w:rPr>
          <w:bCs/>
        </w:rPr>
        <w:t xml:space="preserve">the </w:t>
      </w:r>
      <w:r w:rsidRPr="002A3CBE">
        <w:rPr>
          <w:i/>
        </w:rPr>
        <w:t>Cropland</w:t>
      </w:r>
      <w:r w:rsidRPr="002A3CBE">
        <w:t xml:space="preserve"> </w:t>
      </w:r>
      <w:r w:rsidRPr="002A3CBE">
        <w:rPr>
          <w:bCs/>
          <w:iCs/>
        </w:rPr>
        <w:t>category</w:t>
      </w:r>
      <w:bookmarkEnd w:id="2309"/>
      <w:bookmarkEnd w:id="2310"/>
      <w:bookmarkEnd w:id="2311"/>
      <w:bookmarkEnd w:id="2312"/>
      <w:bookmarkEnd w:id="2313"/>
      <w:bookmarkEnd w:id="2314"/>
      <w:bookmarkEnd w:id="2315"/>
    </w:p>
    <w:tbl>
      <w:tblPr>
        <w:tblW w:w="8505" w:type="dxa"/>
        <w:tblLayout w:type="fixed"/>
        <w:tblLook w:val="04A0" w:firstRow="1" w:lastRow="0" w:firstColumn="1" w:lastColumn="0" w:noHBand="0" w:noVBand="1"/>
      </w:tblPr>
      <w:tblGrid>
        <w:gridCol w:w="1554"/>
        <w:gridCol w:w="1835"/>
        <w:gridCol w:w="2259"/>
        <w:gridCol w:w="2857"/>
      </w:tblGrid>
      <w:tr w:rsidR="00447423" w:rsidRPr="002A3CBE" w14:paraId="76D861A3" w14:textId="77777777" w:rsidTr="00F16E23">
        <w:tc>
          <w:tcPr>
            <w:tcW w:w="1554" w:type="dxa"/>
            <w:tcBorders>
              <w:top w:val="single" w:sz="4" w:space="0" w:color="1B556B" w:themeColor="text2"/>
            </w:tcBorders>
            <w:shd w:val="clear" w:color="auto" w:fill="1B556B" w:themeFill="text2"/>
            <w:vAlign w:val="bottom"/>
          </w:tcPr>
          <w:p w14:paraId="35A0A553" w14:textId="77777777" w:rsidR="00447423" w:rsidRPr="002A3CBE" w:rsidRDefault="00447423" w:rsidP="00F16E23">
            <w:pPr>
              <w:pStyle w:val="TableTextBold"/>
              <w:keepNext/>
              <w:spacing w:before="40" w:after="40"/>
              <w:rPr>
                <w:noProof w:val="0"/>
                <w:color w:val="FFFFFF"/>
                <w:szCs w:val="16"/>
              </w:rPr>
            </w:pPr>
            <w:r w:rsidRPr="002A3CBE">
              <w:rPr>
                <w:noProof w:val="0"/>
                <w:color w:val="FFFFFF" w:themeColor="background1"/>
                <w:szCs w:val="16"/>
              </w:rPr>
              <w:t>Land use</w:t>
            </w:r>
          </w:p>
        </w:tc>
        <w:tc>
          <w:tcPr>
            <w:tcW w:w="1835" w:type="dxa"/>
            <w:tcBorders>
              <w:top w:val="single" w:sz="4" w:space="0" w:color="1B556B" w:themeColor="text2"/>
            </w:tcBorders>
            <w:shd w:val="clear" w:color="auto" w:fill="1B556B" w:themeFill="text2"/>
            <w:vAlign w:val="bottom"/>
          </w:tcPr>
          <w:p w14:paraId="6EF32902"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Emissions (kt CO</w:t>
            </w:r>
            <w:r w:rsidRPr="002A3CBE">
              <w:rPr>
                <w:noProof w:val="0"/>
                <w:color w:val="FFFFFF"/>
                <w:szCs w:val="16"/>
                <w:vertAlign w:val="subscript"/>
              </w:rPr>
              <w:t>2</w:t>
            </w:r>
            <w:r w:rsidRPr="002A3CBE">
              <w:rPr>
                <w:noProof w:val="0"/>
                <w:color w:val="FFFFFF"/>
                <w:szCs w:val="16"/>
              </w:rPr>
              <w:t>e)</w:t>
            </w:r>
          </w:p>
        </w:tc>
        <w:tc>
          <w:tcPr>
            <w:tcW w:w="2259" w:type="dxa"/>
            <w:tcBorders>
              <w:top w:val="single" w:sz="4" w:space="0" w:color="1B556B" w:themeColor="text2"/>
            </w:tcBorders>
            <w:shd w:val="clear" w:color="auto" w:fill="1B556B" w:themeFill="text2"/>
            <w:vAlign w:val="bottom"/>
          </w:tcPr>
          <w:p w14:paraId="017912FD"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Uncertainty in emissions (%)</w:t>
            </w:r>
          </w:p>
        </w:tc>
        <w:tc>
          <w:tcPr>
            <w:tcW w:w="2857" w:type="dxa"/>
            <w:tcBorders>
              <w:top w:val="single" w:sz="4" w:space="0" w:color="1B556B" w:themeColor="text2"/>
            </w:tcBorders>
            <w:shd w:val="clear" w:color="auto" w:fill="1B556B" w:themeFill="text2"/>
            <w:vAlign w:val="bottom"/>
          </w:tcPr>
          <w:p w14:paraId="1CDA1EB2"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Contribution to LULUCF uncertainty (%)</w:t>
            </w:r>
          </w:p>
        </w:tc>
      </w:tr>
      <w:tr w:rsidR="00447423" w:rsidRPr="002A3CBE" w14:paraId="108CDA85" w14:textId="77777777" w:rsidTr="00F16E23">
        <w:tc>
          <w:tcPr>
            <w:tcW w:w="1554" w:type="dxa"/>
            <w:tcBorders>
              <w:top w:val="single" w:sz="4" w:space="0" w:color="1B556B" w:themeColor="text2"/>
              <w:bottom w:val="single" w:sz="4" w:space="0" w:color="365F91"/>
            </w:tcBorders>
          </w:tcPr>
          <w:p w14:paraId="6626A0C9" w14:textId="77777777" w:rsidR="00447423" w:rsidRPr="002A3CBE" w:rsidRDefault="00447423" w:rsidP="00F16E23">
            <w:pPr>
              <w:pStyle w:val="TableText"/>
              <w:spacing w:before="40" w:after="40"/>
            </w:pPr>
            <w:r w:rsidRPr="002A3CBE">
              <w:t>Annual cropland</w:t>
            </w:r>
          </w:p>
        </w:tc>
        <w:tc>
          <w:tcPr>
            <w:tcW w:w="1835" w:type="dxa"/>
            <w:tcBorders>
              <w:top w:val="single" w:sz="4" w:space="0" w:color="1B556B" w:themeColor="text2"/>
              <w:bottom w:val="single" w:sz="4" w:space="0" w:color="365F91"/>
            </w:tcBorders>
          </w:tcPr>
          <w:p w14:paraId="72F33D45" w14:textId="77777777" w:rsidR="00447423" w:rsidRPr="002A3CBE" w:rsidRDefault="00447423" w:rsidP="00F16E23">
            <w:pPr>
              <w:pStyle w:val="TableText"/>
              <w:spacing w:before="40" w:after="40"/>
              <w:jc w:val="right"/>
              <w:rPr>
                <w:szCs w:val="16"/>
              </w:rPr>
            </w:pPr>
            <w:r w:rsidRPr="002A3CBE">
              <w:t>489.7</w:t>
            </w:r>
          </w:p>
        </w:tc>
        <w:tc>
          <w:tcPr>
            <w:tcW w:w="2259" w:type="dxa"/>
            <w:tcBorders>
              <w:top w:val="single" w:sz="4" w:space="0" w:color="1B556B" w:themeColor="text2"/>
              <w:bottom w:val="single" w:sz="4" w:space="0" w:color="365F91"/>
            </w:tcBorders>
          </w:tcPr>
          <w:p w14:paraId="788282BD" w14:textId="77777777" w:rsidR="00447423" w:rsidRPr="002A3CBE" w:rsidRDefault="00447423" w:rsidP="00F16E23">
            <w:pPr>
              <w:pStyle w:val="TableText"/>
              <w:spacing w:before="40" w:after="40"/>
              <w:jc w:val="right"/>
              <w:rPr>
                <w:szCs w:val="16"/>
              </w:rPr>
            </w:pPr>
            <w:r w:rsidRPr="002A3CBE">
              <w:t>66.3</w:t>
            </w:r>
          </w:p>
        </w:tc>
        <w:tc>
          <w:tcPr>
            <w:tcW w:w="2857" w:type="dxa"/>
            <w:tcBorders>
              <w:top w:val="single" w:sz="4" w:space="0" w:color="1B556B" w:themeColor="text2"/>
              <w:bottom w:val="single" w:sz="4" w:space="0" w:color="365F91"/>
            </w:tcBorders>
          </w:tcPr>
          <w:p w14:paraId="41DE8479" w14:textId="77777777" w:rsidR="00447423" w:rsidRPr="002A3CBE" w:rsidRDefault="00447423" w:rsidP="00F16E23">
            <w:pPr>
              <w:pStyle w:val="TableText"/>
              <w:spacing w:before="40" w:after="40"/>
              <w:jc w:val="right"/>
              <w:rPr>
                <w:szCs w:val="16"/>
              </w:rPr>
            </w:pPr>
            <w:r w:rsidRPr="002A3CBE">
              <w:t>1.5</w:t>
            </w:r>
          </w:p>
        </w:tc>
      </w:tr>
      <w:tr w:rsidR="00447423" w:rsidRPr="002A3CBE" w14:paraId="27258B70" w14:textId="77777777" w:rsidTr="00F16E23">
        <w:tc>
          <w:tcPr>
            <w:tcW w:w="1554" w:type="dxa"/>
            <w:tcBorders>
              <w:top w:val="single" w:sz="4" w:space="0" w:color="365F91"/>
              <w:bottom w:val="single" w:sz="4" w:space="0" w:color="365F91"/>
            </w:tcBorders>
          </w:tcPr>
          <w:p w14:paraId="06A7DB83" w14:textId="77777777" w:rsidR="00447423" w:rsidRPr="002A3CBE" w:rsidRDefault="00447423" w:rsidP="00F16E23">
            <w:pPr>
              <w:pStyle w:val="TableText"/>
              <w:spacing w:before="40" w:after="40"/>
            </w:pPr>
            <w:r w:rsidRPr="002A3CBE">
              <w:t>Perennial cropland</w:t>
            </w:r>
          </w:p>
        </w:tc>
        <w:tc>
          <w:tcPr>
            <w:tcW w:w="1835" w:type="dxa"/>
            <w:tcBorders>
              <w:top w:val="single" w:sz="4" w:space="0" w:color="365F91"/>
              <w:bottom w:val="single" w:sz="4" w:space="0" w:color="365F91"/>
            </w:tcBorders>
          </w:tcPr>
          <w:p w14:paraId="709CF718" w14:textId="77777777" w:rsidR="00447423" w:rsidRPr="002A3CBE" w:rsidRDefault="00447423" w:rsidP="00F16E23">
            <w:pPr>
              <w:pStyle w:val="TableText"/>
              <w:spacing w:before="40" w:after="40"/>
              <w:jc w:val="right"/>
              <w:rPr>
                <w:szCs w:val="16"/>
              </w:rPr>
            </w:pPr>
            <w:r w:rsidRPr="002A3CBE">
              <w:t>60.5</w:t>
            </w:r>
          </w:p>
        </w:tc>
        <w:tc>
          <w:tcPr>
            <w:tcW w:w="2259" w:type="dxa"/>
            <w:tcBorders>
              <w:top w:val="single" w:sz="4" w:space="0" w:color="365F91"/>
              <w:bottom w:val="single" w:sz="4" w:space="0" w:color="365F91"/>
            </w:tcBorders>
          </w:tcPr>
          <w:p w14:paraId="50C05100" w14:textId="77777777" w:rsidR="00447423" w:rsidRPr="002A3CBE" w:rsidRDefault="00447423" w:rsidP="00F16E23">
            <w:pPr>
              <w:pStyle w:val="TableText"/>
              <w:spacing w:before="40" w:after="40"/>
              <w:jc w:val="right"/>
              <w:rPr>
                <w:szCs w:val="16"/>
              </w:rPr>
            </w:pPr>
            <w:r w:rsidRPr="002A3CBE">
              <w:t>152.8</w:t>
            </w:r>
          </w:p>
        </w:tc>
        <w:tc>
          <w:tcPr>
            <w:tcW w:w="2857" w:type="dxa"/>
            <w:tcBorders>
              <w:top w:val="single" w:sz="4" w:space="0" w:color="365F91"/>
              <w:bottom w:val="single" w:sz="4" w:space="0" w:color="365F91"/>
            </w:tcBorders>
          </w:tcPr>
          <w:p w14:paraId="7CF03B72" w14:textId="77777777" w:rsidR="00447423" w:rsidRPr="002A3CBE" w:rsidRDefault="00447423" w:rsidP="00F16E23">
            <w:pPr>
              <w:pStyle w:val="TableText"/>
              <w:spacing w:before="40" w:after="40"/>
              <w:jc w:val="right"/>
              <w:rPr>
                <w:szCs w:val="16"/>
              </w:rPr>
            </w:pPr>
            <w:r w:rsidRPr="002A3CBE">
              <w:t>0.4</w:t>
            </w:r>
          </w:p>
        </w:tc>
      </w:tr>
      <w:tr w:rsidR="00447423" w:rsidRPr="002A3CBE" w14:paraId="337B48E4" w14:textId="77777777" w:rsidTr="00F16E23">
        <w:tc>
          <w:tcPr>
            <w:tcW w:w="1554" w:type="dxa"/>
            <w:tcBorders>
              <w:top w:val="single" w:sz="4" w:space="0" w:color="365F91"/>
              <w:bottom w:val="single" w:sz="4" w:space="0" w:color="365F91"/>
            </w:tcBorders>
          </w:tcPr>
          <w:p w14:paraId="66630773" w14:textId="77777777" w:rsidR="00447423" w:rsidRPr="002A3CBE" w:rsidRDefault="00447423" w:rsidP="00F16E23">
            <w:pPr>
              <w:pStyle w:val="TableTextBold"/>
              <w:spacing w:before="40" w:after="40"/>
              <w:rPr>
                <w:noProof w:val="0"/>
                <w:color w:val="1B556B"/>
              </w:rPr>
            </w:pPr>
            <w:r w:rsidRPr="002A3CBE">
              <w:rPr>
                <w:noProof w:val="0"/>
                <w:color w:val="1B556B"/>
              </w:rPr>
              <w:t xml:space="preserve">Total </w:t>
            </w:r>
          </w:p>
        </w:tc>
        <w:tc>
          <w:tcPr>
            <w:tcW w:w="1835" w:type="dxa"/>
            <w:tcBorders>
              <w:top w:val="single" w:sz="4" w:space="0" w:color="365F91"/>
              <w:bottom w:val="single" w:sz="4" w:space="0" w:color="365F91"/>
            </w:tcBorders>
          </w:tcPr>
          <w:p w14:paraId="0021B6B9" w14:textId="77777777" w:rsidR="00447423" w:rsidRPr="002A3CBE" w:rsidRDefault="00447423" w:rsidP="00F16E23">
            <w:pPr>
              <w:pStyle w:val="TableTextBold"/>
              <w:spacing w:before="40" w:after="40"/>
              <w:jc w:val="right"/>
              <w:rPr>
                <w:rFonts w:cs="Calibri"/>
                <w:noProof w:val="0"/>
                <w:color w:val="1B556B" w:themeColor="text2"/>
              </w:rPr>
            </w:pPr>
            <w:r w:rsidRPr="002A3CBE">
              <w:rPr>
                <w:rFonts w:cs="Calibri"/>
                <w:noProof w:val="0"/>
                <w:color w:val="1B556B" w:themeColor="text2"/>
              </w:rPr>
              <w:t>550.2</w:t>
            </w:r>
          </w:p>
        </w:tc>
        <w:tc>
          <w:tcPr>
            <w:tcW w:w="2259" w:type="dxa"/>
            <w:tcBorders>
              <w:top w:val="single" w:sz="4" w:space="0" w:color="365F91"/>
              <w:bottom w:val="single" w:sz="4" w:space="0" w:color="365F91"/>
            </w:tcBorders>
          </w:tcPr>
          <w:p w14:paraId="286B98EC" w14:textId="77777777" w:rsidR="00447423" w:rsidRPr="002A3CBE" w:rsidRDefault="00447423" w:rsidP="00F16E23">
            <w:pPr>
              <w:pStyle w:val="TableTextBold"/>
              <w:spacing w:before="40" w:after="40"/>
              <w:jc w:val="right"/>
              <w:rPr>
                <w:rFonts w:cs="Calibri"/>
                <w:noProof w:val="0"/>
                <w:color w:val="1B556B" w:themeColor="text2"/>
              </w:rPr>
            </w:pPr>
            <w:r w:rsidRPr="002A3CBE">
              <w:rPr>
                <w:rFonts w:cs="Calibri"/>
                <w:noProof w:val="0"/>
                <w:color w:val="1B556B" w:themeColor="text2"/>
              </w:rPr>
              <w:t>61.4</w:t>
            </w:r>
          </w:p>
        </w:tc>
        <w:tc>
          <w:tcPr>
            <w:tcW w:w="2857" w:type="dxa"/>
            <w:tcBorders>
              <w:top w:val="single" w:sz="4" w:space="0" w:color="365F91"/>
              <w:bottom w:val="single" w:sz="4" w:space="0" w:color="365F91"/>
            </w:tcBorders>
          </w:tcPr>
          <w:p w14:paraId="42D654AD" w14:textId="77777777" w:rsidR="00447423" w:rsidRPr="002A3CBE" w:rsidRDefault="00447423" w:rsidP="00F16E23">
            <w:pPr>
              <w:pStyle w:val="TableTextBold"/>
              <w:spacing w:before="40" w:after="40"/>
              <w:jc w:val="right"/>
              <w:rPr>
                <w:rFonts w:cs="Calibri"/>
                <w:noProof w:val="0"/>
                <w:color w:val="1B556B" w:themeColor="text2"/>
              </w:rPr>
            </w:pPr>
            <w:r w:rsidRPr="002A3CBE">
              <w:rPr>
                <w:rFonts w:cs="Calibri"/>
                <w:noProof w:val="0"/>
                <w:color w:val="1B556B" w:themeColor="text2"/>
              </w:rPr>
              <w:t>1.6</w:t>
            </w:r>
          </w:p>
        </w:tc>
      </w:tr>
    </w:tbl>
    <w:p w14:paraId="1BA816B7" w14:textId="77777777" w:rsidR="00447423" w:rsidRPr="002A3CBE" w:rsidRDefault="00447423" w:rsidP="00447423">
      <w:pPr>
        <w:pStyle w:val="Heading3"/>
        <w:spacing w:before="400"/>
      </w:pPr>
      <w:bookmarkStart w:id="2333" w:name="_Toc139253966"/>
      <w:bookmarkStart w:id="2334" w:name="_Toc255466389"/>
      <w:bookmarkStart w:id="2335" w:name="_Toc261513196"/>
      <w:bookmarkStart w:id="2336" w:name="_Toc261513809"/>
      <w:bookmarkStart w:id="2337" w:name="_Toc280630278"/>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r w:rsidRPr="002A3CBE">
        <w:t>6.5.4</w:t>
      </w:r>
      <w:r w:rsidRPr="002A3CBE">
        <w:tab/>
        <w:t>Category-specific QA/QC and verification</w:t>
      </w:r>
      <w:bookmarkEnd w:id="2333"/>
      <w:bookmarkEnd w:id="2334"/>
      <w:bookmarkEnd w:id="2335"/>
      <w:bookmarkEnd w:id="2336"/>
      <w:bookmarkEnd w:id="2337"/>
    </w:p>
    <w:p w14:paraId="1A7C33B0" w14:textId="77777777" w:rsidR="00447423" w:rsidRPr="002A3CBE" w:rsidRDefault="00447423" w:rsidP="00447423">
      <w:pPr>
        <w:pStyle w:val="BodyText"/>
        <w:spacing w:after="100"/>
      </w:pPr>
      <w:r w:rsidRPr="002A3CBE">
        <w:rPr>
          <w:i/>
        </w:rPr>
        <w:t>Cropland remaining cropland</w:t>
      </w:r>
      <w:r w:rsidRPr="002A3CBE">
        <w:t xml:space="preserve"> and </w:t>
      </w:r>
      <w:r w:rsidRPr="002A3CBE">
        <w:rPr>
          <w:rFonts w:cs="Calibri"/>
          <w:i/>
          <w:color w:val="000000"/>
        </w:rPr>
        <w:t>Land converted to cropland</w:t>
      </w:r>
      <w:r w:rsidRPr="002A3CBE">
        <w:t xml:space="preserve"> were identified as key categories for the level and trend assessment in 2024. As part of verification of the New Zealand-specific above-ground biomass emission factor for perennial cropland, this factor has been compared with the IPCC default for temperate perennial cropland (IPCC, 2006a, table 5.1). The New Zealand value for above-</w:t>
      </w:r>
      <w:r w:rsidRPr="002A3CBE">
        <w:rPr>
          <w:spacing w:val="-2"/>
        </w:rPr>
        <w:t>ground biomass of 18.76 tonnes C ha</w:t>
      </w:r>
      <w:r w:rsidRPr="002A3CBE">
        <w:rPr>
          <w:spacing w:val="-2"/>
          <w:vertAlign w:val="superscript"/>
        </w:rPr>
        <w:t xml:space="preserve">–1 </w:t>
      </w:r>
      <w:r w:rsidRPr="002A3CBE">
        <w:rPr>
          <w:spacing w:val="-2"/>
        </w:rPr>
        <w:t>is much lower than the default value of 63 tonnes C ha</w:t>
      </w:r>
      <w:r w:rsidRPr="002A3CBE">
        <w:rPr>
          <w:spacing w:val="-2"/>
          <w:vertAlign w:val="superscript"/>
        </w:rPr>
        <w:t>–1</w:t>
      </w:r>
      <w:r w:rsidRPr="002A3CBE">
        <w:t xml:space="preserve"> provided in the 2006 IPCC Guidelines (IPCC, 2006a). Further research into the differences between the values has shown the IPCC default value is based on just four studies of agroforestry systems where crops are grown in rotation with trees, and none of these studies is New Zealand specific. The country-specific emission factor used is based on a New Zealand study, taking into account that New Zealand’s main perennial crops are not grown in rotation with trees (i.e., are not part of an agroforestry system) and that a significant proportion of New Zealand’s main perennial crops are vine fruit, such as</w:t>
      </w:r>
      <w:r w:rsidRPr="002A3CBE" w:rsidDel="00563489">
        <w:t xml:space="preserve"> </w:t>
      </w:r>
      <w:r w:rsidRPr="002A3CBE">
        <w:t>kiwifruit and grapes (Davis and Wakelin, unpublished). This means</w:t>
      </w:r>
      <w:r w:rsidRPr="002A3CBE" w:rsidDel="00563489">
        <w:t xml:space="preserve"> </w:t>
      </w:r>
      <w:r w:rsidRPr="002A3CBE">
        <w:t xml:space="preserve">the country-specific value has lower carbon stocks per hectare in living biomass at maturity than the </w:t>
      </w:r>
      <w:r w:rsidRPr="002A3CBE">
        <w:rPr>
          <w:i/>
        </w:rPr>
        <w:t>Cropland</w:t>
      </w:r>
      <w:r w:rsidRPr="002A3CBE">
        <w:t xml:space="preserve"> types included in the study on which the IPCC default value is based. </w:t>
      </w:r>
    </w:p>
    <w:p w14:paraId="29D7AC2C" w14:textId="77777777" w:rsidR="00447423" w:rsidRPr="002A3CBE" w:rsidRDefault="00447423" w:rsidP="00447423">
      <w:pPr>
        <w:pStyle w:val="Heading3"/>
        <w:spacing w:before="320"/>
      </w:pPr>
      <w:bookmarkStart w:id="2338" w:name="_Toc139253967"/>
      <w:bookmarkStart w:id="2339" w:name="_Toc255466390"/>
      <w:bookmarkStart w:id="2340" w:name="_Toc261513197"/>
      <w:bookmarkStart w:id="2341" w:name="_Toc261513810"/>
      <w:bookmarkStart w:id="2342" w:name="_Toc280630279"/>
      <w:r w:rsidRPr="002A3CBE">
        <w:t>6.5.5</w:t>
      </w:r>
      <w:r w:rsidRPr="002A3CBE">
        <w:tab/>
        <w:t>Category-specific recalculations</w:t>
      </w:r>
      <w:bookmarkEnd w:id="2338"/>
      <w:bookmarkEnd w:id="2339"/>
      <w:bookmarkEnd w:id="2340"/>
      <w:bookmarkEnd w:id="2341"/>
      <w:bookmarkEnd w:id="2342"/>
    </w:p>
    <w:p w14:paraId="51F4E787" w14:textId="77777777" w:rsidR="00447423" w:rsidRPr="002A3CBE" w:rsidRDefault="00447423" w:rsidP="00447423">
      <w:pPr>
        <w:pStyle w:val="BodyText"/>
        <w:spacing w:before="100" w:after="100"/>
      </w:pPr>
      <w:r w:rsidRPr="002A3CBE">
        <w:t xml:space="preserve">Recalculations of the entire time series were carried out for the </w:t>
      </w:r>
      <w:r w:rsidRPr="002A3CBE">
        <w:rPr>
          <w:i/>
          <w:iCs/>
        </w:rPr>
        <w:t>Cropland</w:t>
      </w:r>
      <w:r w:rsidRPr="002A3CBE">
        <w:t xml:space="preserve"> category as a result of updated activity data resulting from minor improvements to land use mapping. The magnitude of change in this category is largely attributable to revised emission factors for </w:t>
      </w:r>
      <w:r w:rsidRPr="002A3CBE">
        <w:rPr>
          <w:i/>
          <w:iCs/>
        </w:rPr>
        <w:t>Grassland</w:t>
      </w:r>
      <w:r w:rsidRPr="002A3CBE">
        <w:t xml:space="preserve">, which exert a strong influence on cropland estimates due to the close interaction between these land use classes. Consequently, updates applied to </w:t>
      </w:r>
      <w:r w:rsidRPr="002A3CBE">
        <w:rPr>
          <w:i/>
          <w:iCs/>
        </w:rPr>
        <w:t xml:space="preserve">Grassland </w:t>
      </w:r>
      <w:r w:rsidRPr="002A3CBE">
        <w:t xml:space="preserve">parameters have resulted in a cascading effect on </w:t>
      </w:r>
      <w:r w:rsidRPr="002A3CBE">
        <w:rPr>
          <w:i/>
          <w:iCs/>
        </w:rPr>
        <w:t>Cropland</w:t>
      </w:r>
      <w:r w:rsidRPr="002A3CBE">
        <w:t xml:space="preserve"> emissions. The impact of recalculations on net CO</w:t>
      </w:r>
      <w:r w:rsidRPr="002A3CBE">
        <w:rPr>
          <w:vertAlign w:val="subscript"/>
        </w:rPr>
        <w:t>2</w:t>
      </w:r>
      <w:r w:rsidRPr="002A3CBE">
        <w:t xml:space="preserve">e emission estimates for the </w:t>
      </w:r>
      <w:r w:rsidRPr="002A3CBE">
        <w:rPr>
          <w:i/>
        </w:rPr>
        <w:t>Cropland</w:t>
      </w:r>
      <w:r w:rsidRPr="002A3CBE">
        <w:t xml:space="preserve"> category is shown in table 6.5.7.</w:t>
      </w:r>
    </w:p>
    <w:p w14:paraId="3B631430" w14:textId="77777777" w:rsidR="00447423" w:rsidRPr="002A3CBE" w:rsidRDefault="00447423" w:rsidP="00447423">
      <w:pPr>
        <w:pStyle w:val="Table"/>
      </w:pPr>
      <w:bookmarkStart w:id="2343" w:name="_Toc280630464"/>
      <w:bookmarkStart w:id="2344" w:name="_Toc310423420"/>
      <w:bookmarkStart w:id="2345" w:name="_Toc318362713"/>
      <w:bookmarkStart w:id="2346" w:name="_Toc342470775"/>
      <w:bookmarkStart w:id="2347" w:name="_Toc352505015"/>
      <w:bookmarkStart w:id="2348" w:name="_Toc378853306"/>
      <w:bookmarkStart w:id="2349" w:name="_Toc391024104"/>
      <w:bookmarkStart w:id="2350" w:name="_Toc410028847"/>
      <w:bookmarkStart w:id="2351" w:name="_Toc414531475"/>
      <w:bookmarkStart w:id="2352" w:name="_Toc443645388"/>
      <w:bookmarkStart w:id="2353" w:name="_Toc474914607"/>
      <w:bookmarkStart w:id="2354" w:name="_Toc481751571"/>
      <w:bookmarkStart w:id="2355" w:name="_Toc522010628"/>
      <w:bookmarkStart w:id="2356" w:name="_Toc5269533"/>
      <w:bookmarkStart w:id="2357" w:name="_Toc33529407"/>
      <w:bookmarkStart w:id="2358" w:name="_Toc36224613"/>
      <w:bookmarkStart w:id="2359" w:name="_Toc65243610"/>
      <w:bookmarkStart w:id="2360" w:name="_Toc131591407"/>
      <w:bookmarkStart w:id="2361" w:name="_Toc158979965"/>
      <w:bookmarkStart w:id="2362" w:name="_Toc164153898"/>
      <w:bookmarkStart w:id="2363" w:name="_Toc190873132"/>
      <w:bookmarkStart w:id="2364" w:name="_Toc194241771"/>
      <w:bookmarkStart w:id="2365" w:name="_Toc222837922"/>
      <w:bookmarkStart w:id="2366" w:name="_Toc226669068"/>
      <w:r w:rsidRPr="002A3CBE">
        <w:t>Table 6.5.7</w:t>
      </w:r>
      <w:r w:rsidRPr="002A3CBE">
        <w:tab/>
        <w:t xml:space="preserve">Recalculations of New Zealand’s net emissions from the </w:t>
      </w:r>
      <w:r w:rsidRPr="002A3CBE">
        <w:rPr>
          <w:i/>
        </w:rPr>
        <w:t>Cropland</w:t>
      </w:r>
      <w:r w:rsidRPr="002A3CBE">
        <w:t xml:space="preserve"> category in 1990 and</w:t>
      </w:r>
      <w:bookmarkEnd w:id="2343"/>
      <w:bookmarkEnd w:id="2344"/>
      <w:bookmarkEnd w:id="2345"/>
      <w:bookmarkEnd w:id="2346"/>
      <w:bookmarkEnd w:id="2347"/>
      <w:bookmarkEnd w:id="2348"/>
      <w:bookmarkEnd w:id="2349"/>
      <w:r w:rsidRPr="002A3CBE">
        <w:t> </w:t>
      </w:r>
      <w:bookmarkEnd w:id="2350"/>
      <w:bookmarkEnd w:id="2351"/>
      <w:bookmarkEnd w:id="2352"/>
      <w:bookmarkEnd w:id="2353"/>
      <w:bookmarkEnd w:id="2354"/>
      <w:bookmarkEnd w:id="2355"/>
      <w:bookmarkEnd w:id="2356"/>
      <w:bookmarkEnd w:id="2357"/>
      <w:bookmarkEnd w:id="2358"/>
      <w:bookmarkEnd w:id="2359"/>
      <w:bookmarkEnd w:id="2360"/>
      <w:bookmarkEnd w:id="2361"/>
      <w:bookmarkEnd w:id="2362"/>
      <w:r w:rsidRPr="002A3CBE">
        <w:t>2023</w:t>
      </w:r>
      <w:bookmarkEnd w:id="2363"/>
      <w:bookmarkEnd w:id="2364"/>
      <w:bookmarkEnd w:id="2365"/>
      <w:bookmarkEnd w:id="2366"/>
      <w:r w:rsidRPr="002A3CBE">
        <w:t xml:space="preserve"> </w:t>
      </w:r>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85"/>
        <w:gridCol w:w="1417"/>
        <w:gridCol w:w="1418"/>
        <w:gridCol w:w="2551"/>
        <w:gridCol w:w="1134"/>
      </w:tblGrid>
      <w:tr w:rsidR="00447423" w:rsidRPr="002A3CBE" w14:paraId="3BC70F2D" w14:textId="77777777" w:rsidTr="00F16E23">
        <w:trPr>
          <w:tblHeader/>
        </w:trPr>
        <w:tc>
          <w:tcPr>
            <w:tcW w:w="1985" w:type="dxa"/>
            <w:shd w:val="clear" w:color="auto" w:fill="1B556B"/>
            <w:tcMar>
              <w:top w:w="0" w:type="dxa"/>
              <w:left w:w="85" w:type="dxa"/>
              <w:bottom w:w="0" w:type="dxa"/>
              <w:right w:w="85" w:type="dxa"/>
            </w:tcMar>
            <w:vAlign w:val="center"/>
          </w:tcPr>
          <w:p w14:paraId="630A4FB9" w14:textId="77777777" w:rsidR="00447423" w:rsidRPr="002A3CBE" w:rsidRDefault="00447423" w:rsidP="00F16E23">
            <w:pPr>
              <w:pStyle w:val="TableTextBold"/>
              <w:spacing w:before="40" w:after="30"/>
              <w:rPr>
                <w:rFonts w:eastAsia="Calibri"/>
                <w:noProof w:val="0"/>
                <w:color w:val="FFFFFF" w:themeColor="background1"/>
              </w:rPr>
            </w:pPr>
          </w:p>
        </w:tc>
        <w:tc>
          <w:tcPr>
            <w:tcW w:w="1417" w:type="dxa"/>
            <w:shd w:val="clear" w:color="auto" w:fill="1B556B"/>
            <w:tcMar>
              <w:top w:w="0" w:type="dxa"/>
              <w:left w:w="85" w:type="dxa"/>
              <w:bottom w:w="0" w:type="dxa"/>
              <w:right w:w="85" w:type="dxa"/>
            </w:tcMar>
            <w:vAlign w:val="center"/>
          </w:tcPr>
          <w:p w14:paraId="1DA167B1" w14:textId="77777777" w:rsidR="00447423" w:rsidRPr="002A3CBE" w:rsidRDefault="00447423" w:rsidP="00F16E23">
            <w:pPr>
              <w:pStyle w:val="TableTextBold"/>
              <w:spacing w:before="40" w:after="30"/>
              <w:jc w:val="right"/>
              <w:rPr>
                <w:rFonts w:eastAsia="Calibri"/>
                <w:noProof w:val="0"/>
                <w:color w:val="FFFFFF" w:themeColor="background1"/>
              </w:rPr>
            </w:pPr>
            <w:r w:rsidRPr="002A3CBE">
              <w:rPr>
                <w:rFonts w:eastAsia="Calibri"/>
                <w:noProof w:val="0"/>
                <w:color w:val="FFFFFF" w:themeColor="background1"/>
              </w:rPr>
              <w:t>2025 submission</w:t>
            </w:r>
          </w:p>
        </w:tc>
        <w:tc>
          <w:tcPr>
            <w:tcW w:w="1418" w:type="dxa"/>
            <w:shd w:val="clear" w:color="auto" w:fill="1B556B"/>
            <w:tcMar>
              <w:top w:w="0" w:type="dxa"/>
              <w:left w:w="85" w:type="dxa"/>
              <w:bottom w:w="0" w:type="dxa"/>
              <w:right w:w="85" w:type="dxa"/>
            </w:tcMar>
            <w:vAlign w:val="center"/>
          </w:tcPr>
          <w:p w14:paraId="5413B1F7" w14:textId="77777777" w:rsidR="00447423" w:rsidRPr="002A3CBE" w:rsidRDefault="00447423" w:rsidP="00F16E23">
            <w:pPr>
              <w:pStyle w:val="TableTextBold"/>
              <w:spacing w:before="40" w:after="30"/>
              <w:jc w:val="right"/>
              <w:rPr>
                <w:rFonts w:eastAsia="Calibri"/>
                <w:noProof w:val="0"/>
                <w:color w:val="FFFFFF" w:themeColor="background1"/>
              </w:rPr>
            </w:pPr>
            <w:r w:rsidRPr="002A3CBE">
              <w:rPr>
                <w:rFonts w:eastAsia="Calibri"/>
                <w:noProof w:val="0"/>
                <w:color w:val="FFFFFF" w:themeColor="background1"/>
              </w:rPr>
              <w:t>2026 submission</w:t>
            </w:r>
          </w:p>
        </w:tc>
        <w:tc>
          <w:tcPr>
            <w:tcW w:w="2551" w:type="dxa"/>
            <w:shd w:val="clear" w:color="auto" w:fill="1B556B"/>
            <w:tcMar>
              <w:top w:w="0" w:type="dxa"/>
              <w:left w:w="85" w:type="dxa"/>
              <w:bottom w:w="0" w:type="dxa"/>
              <w:right w:w="85" w:type="dxa"/>
            </w:tcMar>
            <w:vAlign w:val="center"/>
          </w:tcPr>
          <w:p w14:paraId="129F2135" w14:textId="77777777" w:rsidR="00447423" w:rsidRPr="002A3CBE" w:rsidRDefault="00447423" w:rsidP="00F16E23">
            <w:pPr>
              <w:pStyle w:val="TableTextBold"/>
              <w:spacing w:before="40" w:after="30"/>
              <w:jc w:val="right"/>
              <w:rPr>
                <w:rFonts w:eastAsia="Calibri"/>
                <w:noProof w:val="0"/>
                <w:color w:val="FFFFFF" w:themeColor="background1"/>
              </w:rPr>
            </w:pPr>
            <w:r w:rsidRPr="002A3CBE">
              <w:rPr>
                <w:rFonts w:eastAsia="Calibri"/>
                <w:noProof w:val="0"/>
                <w:color w:val="FFFFFF" w:themeColor="background1"/>
              </w:rPr>
              <w:t>Change from 2025 submission</w:t>
            </w:r>
          </w:p>
        </w:tc>
        <w:tc>
          <w:tcPr>
            <w:tcW w:w="1134" w:type="dxa"/>
            <w:shd w:val="clear" w:color="auto" w:fill="1B556B"/>
            <w:tcMar>
              <w:top w:w="0" w:type="dxa"/>
              <w:left w:w="85" w:type="dxa"/>
              <w:bottom w:w="0" w:type="dxa"/>
              <w:right w:w="85" w:type="dxa"/>
            </w:tcMar>
            <w:vAlign w:val="center"/>
          </w:tcPr>
          <w:p w14:paraId="7DC9A4E0" w14:textId="77777777" w:rsidR="00447423" w:rsidRPr="002A3CBE" w:rsidRDefault="00447423" w:rsidP="00F16E23">
            <w:pPr>
              <w:pStyle w:val="TableTextBold"/>
              <w:spacing w:before="40" w:after="30"/>
              <w:jc w:val="right"/>
              <w:rPr>
                <w:rFonts w:eastAsia="Calibri"/>
                <w:noProof w:val="0"/>
                <w:color w:val="FFFFFF" w:themeColor="background1"/>
              </w:rPr>
            </w:pPr>
            <w:r w:rsidRPr="002A3CBE">
              <w:rPr>
                <w:rFonts w:eastAsia="Calibri"/>
                <w:noProof w:val="0"/>
                <w:color w:val="FFFFFF" w:themeColor="background1"/>
              </w:rPr>
              <w:t>Change (%)</w:t>
            </w:r>
          </w:p>
        </w:tc>
      </w:tr>
      <w:tr w:rsidR="00447423" w:rsidRPr="002A3CBE" w14:paraId="73BBEF67" w14:textId="77777777" w:rsidTr="00F16E23">
        <w:tc>
          <w:tcPr>
            <w:tcW w:w="1985" w:type="dxa"/>
            <w:shd w:val="clear" w:color="auto" w:fill="FFFFFF"/>
            <w:tcMar>
              <w:top w:w="0" w:type="dxa"/>
              <w:left w:w="85" w:type="dxa"/>
              <w:bottom w:w="0" w:type="dxa"/>
              <w:right w:w="85" w:type="dxa"/>
            </w:tcMar>
            <w:vAlign w:val="center"/>
          </w:tcPr>
          <w:p w14:paraId="5E9DF71B" w14:textId="77777777" w:rsidR="00447423" w:rsidRPr="002A3CBE" w:rsidRDefault="00447423" w:rsidP="00F16E23">
            <w:pPr>
              <w:pStyle w:val="Tableboldblue"/>
              <w:spacing w:before="40" w:after="30"/>
              <w:rPr>
                <w:rFonts w:eastAsia="Calibri"/>
              </w:rPr>
            </w:pPr>
            <w:r w:rsidRPr="002A3CBE">
              <w:rPr>
                <w:rFonts w:eastAsia="Calibri"/>
              </w:rPr>
              <w:t>Net emissions (kt CO</w:t>
            </w:r>
            <w:r w:rsidRPr="002A3CBE">
              <w:rPr>
                <w:rFonts w:eastAsia="Calibri"/>
                <w:vertAlign w:val="subscript"/>
              </w:rPr>
              <w:t>2</w:t>
            </w:r>
            <w:r w:rsidRPr="002A3CBE">
              <w:rPr>
                <w:rFonts w:eastAsia="Calibri"/>
              </w:rPr>
              <w:t>e)</w:t>
            </w:r>
          </w:p>
        </w:tc>
        <w:tc>
          <w:tcPr>
            <w:tcW w:w="1417" w:type="dxa"/>
            <w:shd w:val="clear" w:color="auto" w:fill="FFFFFF"/>
            <w:tcMar>
              <w:top w:w="0" w:type="dxa"/>
              <w:left w:w="85" w:type="dxa"/>
              <w:bottom w:w="0" w:type="dxa"/>
              <w:right w:w="85" w:type="dxa"/>
            </w:tcMar>
            <w:vAlign w:val="center"/>
          </w:tcPr>
          <w:p w14:paraId="6D1DA4C4" w14:textId="77777777" w:rsidR="00447423" w:rsidRPr="002A3CBE" w:rsidRDefault="00447423" w:rsidP="00F16E23">
            <w:pPr>
              <w:pStyle w:val="Tableboldblue"/>
              <w:spacing w:before="40" w:after="30"/>
              <w:rPr>
                <w:rFonts w:eastAsia="Calibri"/>
              </w:rPr>
            </w:pPr>
          </w:p>
        </w:tc>
        <w:tc>
          <w:tcPr>
            <w:tcW w:w="1418" w:type="dxa"/>
            <w:shd w:val="clear" w:color="auto" w:fill="FFFFFF"/>
            <w:tcMar>
              <w:top w:w="0" w:type="dxa"/>
              <w:left w:w="85" w:type="dxa"/>
              <w:bottom w:w="0" w:type="dxa"/>
              <w:right w:w="85" w:type="dxa"/>
            </w:tcMar>
            <w:vAlign w:val="center"/>
          </w:tcPr>
          <w:p w14:paraId="2546EADE" w14:textId="77777777" w:rsidR="00447423" w:rsidRPr="002A3CBE" w:rsidRDefault="00447423" w:rsidP="00F16E23">
            <w:pPr>
              <w:pStyle w:val="Tableboldblue"/>
              <w:spacing w:before="40" w:after="30"/>
              <w:rPr>
                <w:rFonts w:eastAsia="Calibri"/>
              </w:rPr>
            </w:pPr>
          </w:p>
        </w:tc>
        <w:tc>
          <w:tcPr>
            <w:tcW w:w="2551" w:type="dxa"/>
            <w:shd w:val="clear" w:color="auto" w:fill="FFFFFF"/>
            <w:tcMar>
              <w:top w:w="0" w:type="dxa"/>
              <w:left w:w="85" w:type="dxa"/>
              <w:bottom w:w="0" w:type="dxa"/>
              <w:right w:w="85" w:type="dxa"/>
            </w:tcMar>
            <w:vAlign w:val="center"/>
          </w:tcPr>
          <w:p w14:paraId="2CACFD46" w14:textId="77777777" w:rsidR="00447423" w:rsidRPr="002A3CBE" w:rsidRDefault="00447423" w:rsidP="00F16E23">
            <w:pPr>
              <w:pStyle w:val="Tableboldblue"/>
              <w:spacing w:before="40" w:after="30"/>
              <w:rPr>
                <w:rFonts w:eastAsia="Calibri"/>
              </w:rPr>
            </w:pPr>
          </w:p>
        </w:tc>
        <w:tc>
          <w:tcPr>
            <w:tcW w:w="1134" w:type="dxa"/>
            <w:shd w:val="clear" w:color="auto" w:fill="FFFFFF"/>
            <w:tcMar>
              <w:top w:w="0" w:type="dxa"/>
              <w:left w:w="85" w:type="dxa"/>
              <w:bottom w:w="0" w:type="dxa"/>
              <w:right w:w="85" w:type="dxa"/>
            </w:tcMar>
            <w:vAlign w:val="center"/>
          </w:tcPr>
          <w:p w14:paraId="037D29DF" w14:textId="77777777" w:rsidR="00447423" w:rsidRPr="002A3CBE" w:rsidRDefault="00447423" w:rsidP="00F16E23">
            <w:pPr>
              <w:pStyle w:val="Tableboldblue"/>
              <w:spacing w:before="40" w:after="30"/>
              <w:rPr>
                <w:rFonts w:eastAsia="Calibri"/>
              </w:rPr>
            </w:pPr>
          </w:p>
        </w:tc>
      </w:tr>
      <w:tr w:rsidR="00447423" w:rsidRPr="002A3CBE" w14:paraId="5B7E74CB" w14:textId="77777777" w:rsidTr="00F16E23">
        <w:tc>
          <w:tcPr>
            <w:tcW w:w="1985" w:type="dxa"/>
            <w:shd w:val="clear" w:color="auto" w:fill="FFFFFF"/>
            <w:tcMar>
              <w:top w:w="0" w:type="dxa"/>
              <w:left w:w="85" w:type="dxa"/>
              <w:bottom w:w="0" w:type="dxa"/>
              <w:right w:w="85" w:type="dxa"/>
            </w:tcMar>
            <w:vAlign w:val="center"/>
          </w:tcPr>
          <w:p w14:paraId="0BDC46BF" w14:textId="77777777" w:rsidR="00447423" w:rsidRPr="002A3CBE" w:rsidRDefault="00447423" w:rsidP="00F16E23">
            <w:pPr>
              <w:pStyle w:val="TableText"/>
              <w:spacing w:before="40" w:after="30"/>
              <w:rPr>
                <w:rFonts w:eastAsia="Calibri"/>
              </w:rPr>
            </w:pPr>
            <w:r w:rsidRPr="002A3CBE">
              <w:rPr>
                <w:rFonts w:eastAsia="Calibri"/>
              </w:rPr>
              <w:t>1990</w:t>
            </w:r>
          </w:p>
        </w:tc>
        <w:tc>
          <w:tcPr>
            <w:tcW w:w="1417" w:type="dxa"/>
            <w:shd w:val="clear" w:color="auto" w:fill="FFFFFF"/>
            <w:tcMar>
              <w:top w:w="0" w:type="dxa"/>
              <w:left w:w="85" w:type="dxa"/>
              <w:bottom w:w="0" w:type="dxa"/>
              <w:right w:w="85" w:type="dxa"/>
            </w:tcMar>
            <w:vAlign w:val="center"/>
          </w:tcPr>
          <w:p w14:paraId="1C92B879" w14:textId="77777777" w:rsidR="00447423" w:rsidRPr="002A3CBE" w:rsidRDefault="00447423" w:rsidP="00F16E23">
            <w:pPr>
              <w:pStyle w:val="TableText"/>
              <w:spacing w:before="40" w:after="30"/>
              <w:jc w:val="right"/>
              <w:rPr>
                <w:rFonts w:eastAsia="Calibri"/>
              </w:rPr>
            </w:pPr>
            <w:r w:rsidRPr="002A3CBE">
              <w:rPr>
                <w:rFonts w:eastAsia="Calibri"/>
              </w:rPr>
              <w:t>478.3</w:t>
            </w:r>
          </w:p>
        </w:tc>
        <w:tc>
          <w:tcPr>
            <w:tcW w:w="1418" w:type="dxa"/>
            <w:shd w:val="clear" w:color="auto" w:fill="FFFFFF"/>
            <w:tcMar>
              <w:top w:w="0" w:type="dxa"/>
              <w:left w:w="85" w:type="dxa"/>
              <w:bottom w:w="0" w:type="dxa"/>
              <w:right w:w="85" w:type="dxa"/>
            </w:tcMar>
            <w:vAlign w:val="center"/>
          </w:tcPr>
          <w:p w14:paraId="43BBBE71" w14:textId="77777777" w:rsidR="00447423" w:rsidRPr="002A3CBE" w:rsidRDefault="00447423" w:rsidP="00F16E23">
            <w:pPr>
              <w:pStyle w:val="TableText"/>
              <w:spacing w:before="40" w:after="30"/>
              <w:jc w:val="right"/>
              <w:rPr>
                <w:rFonts w:eastAsia="Calibri"/>
              </w:rPr>
            </w:pPr>
            <w:r w:rsidRPr="002A3CBE">
              <w:rPr>
                <w:rFonts w:eastAsia="Calibri"/>
              </w:rPr>
              <w:t>436.8</w:t>
            </w:r>
          </w:p>
        </w:tc>
        <w:tc>
          <w:tcPr>
            <w:tcW w:w="2551" w:type="dxa"/>
            <w:shd w:val="clear" w:color="auto" w:fill="FFFFFF"/>
            <w:tcMar>
              <w:top w:w="0" w:type="dxa"/>
              <w:left w:w="85" w:type="dxa"/>
              <w:bottom w:w="0" w:type="dxa"/>
              <w:right w:w="85" w:type="dxa"/>
            </w:tcMar>
            <w:vAlign w:val="center"/>
          </w:tcPr>
          <w:p w14:paraId="1485CFA4" w14:textId="77777777" w:rsidR="00447423" w:rsidRPr="002A3CBE" w:rsidRDefault="00447423" w:rsidP="00F16E23">
            <w:pPr>
              <w:pStyle w:val="TableText"/>
              <w:spacing w:before="40" w:after="30"/>
              <w:jc w:val="right"/>
              <w:rPr>
                <w:rFonts w:eastAsia="Calibri"/>
              </w:rPr>
            </w:pPr>
            <w:r w:rsidRPr="002A3CBE">
              <w:rPr>
                <w:rFonts w:eastAsia="Calibri"/>
              </w:rPr>
              <w:t>-41.5</w:t>
            </w:r>
          </w:p>
        </w:tc>
        <w:tc>
          <w:tcPr>
            <w:tcW w:w="1134" w:type="dxa"/>
            <w:shd w:val="clear" w:color="auto" w:fill="FFFFFF"/>
            <w:tcMar>
              <w:top w:w="0" w:type="dxa"/>
              <w:left w:w="85" w:type="dxa"/>
              <w:bottom w:w="0" w:type="dxa"/>
              <w:right w:w="85" w:type="dxa"/>
            </w:tcMar>
            <w:vAlign w:val="center"/>
          </w:tcPr>
          <w:p w14:paraId="6C7B9134" w14:textId="77777777" w:rsidR="00447423" w:rsidRPr="002A3CBE" w:rsidRDefault="00447423" w:rsidP="00F16E23">
            <w:pPr>
              <w:pStyle w:val="TableText"/>
              <w:spacing w:before="40" w:after="30"/>
              <w:jc w:val="right"/>
              <w:rPr>
                <w:rFonts w:eastAsia="Calibri"/>
              </w:rPr>
            </w:pPr>
            <w:r w:rsidRPr="002A3CBE">
              <w:rPr>
                <w:rFonts w:eastAsia="Calibri"/>
              </w:rPr>
              <w:t>-8.7</w:t>
            </w:r>
          </w:p>
        </w:tc>
      </w:tr>
      <w:tr w:rsidR="00447423" w:rsidRPr="002A3CBE" w14:paraId="020D7EB4" w14:textId="77777777" w:rsidTr="00F16E23">
        <w:tc>
          <w:tcPr>
            <w:tcW w:w="1985" w:type="dxa"/>
            <w:shd w:val="clear" w:color="auto" w:fill="FFFFFF"/>
            <w:tcMar>
              <w:top w:w="0" w:type="dxa"/>
              <w:left w:w="85" w:type="dxa"/>
              <w:bottom w:w="0" w:type="dxa"/>
              <w:right w:w="85" w:type="dxa"/>
            </w:tcMar>
            <w:vAlign w:val="center"/>
          </w:tcPr>
          <w:p w14:paraId="1D538829" w14:textId="77777777" w:rsidR="00447423" w:rsidRPr="002A3CBE" w:rsidRDefault="00447423" w:rsidP="00F16E23">
            <w:pPr>
              <w:pStyle w:val="TableText"/>
              <w:spacing w:before="40" w:after="30"/>
              <w:rPr>
                <w:rFonts w:eastAsia="Calibri"/>
              </w:rPr>
            </w:pPr>
            <w:r w:rsidRPr="002A3CBE">
              <w:rPr>
                <w:rFonts w:eastAsia="Calibri"/>
              </w:rPr>
              <w:t>2023</w:t>
            </w:r>
          </w:p>
        </w:tc>
        <w:tc>
          <w:tcPr>
            <w:tcW w:w="1417" w:type="dxa"/>
            <w:shd w:val="clear" w:color="auto" w:fill="FFFFFF"/>
            <w:tcMar>
              <w:top w:w="0" w:type="dxa"/>
              <w:left w:w="85" w:type="dxa"/>
              <w:bottom w:w="0" w:type="dxa"/>
              <w:right w:w="85" w:type="dxa"/>
            </w:tcMar>
            <w:vAlign w:val="center"/>
          </w:tcPr>
          <w:p w14:paraId="289B3C67" w14:textId="77777777" w:rsidR="00447423" w:rsidRPr="002A3CBE" w:rsidRDefault="00447423" w:rsidP="00F16E23">
            <w:pPr>
              <w:pStyle w:val="TableText"/>
              <w:spacing w:before="40" w:after="30"/>
              <w:jc w:val="right"/>
              <w:rPr>
                <w:rFonts w:eastAsia="Calibri"/>
              </w:rPr>
            </w:pPr>
            <w:r w:rsidRPr="002A3CBE">
              <w:rPr>
                <w:rFonts w:eastAsia="Calibri"/>
              </w:rPr>
              <w:t>749.8</w:t>
            </w:r>
          </w:p>
        </w:tc>
        <w:tc>
          <w:tcPr>
            <w:tcW w:w="1418" w:type="dxa"/>
            <w:shd w:val="clear" w:color="auto" w:fill="FFFFFF"/>
            <w:tcMar>
              <w:top w:w="0" w:type="dxa"/>
              <w:left w:w="85" w:type="dxa"/>
              <w:bottom w:w="0" w:type="dxa"/>
              <w:right w:w="85" w:type="dxa"/>
            </w:tcMar>
            <w:vAlign w:val="center"/>
          </w:tcPr>
          <w:p w14:paraId="6668F509" w14:textId="77777777" w:rsidR="00447423" w:rsidRPr="002A3CBE" w:rsidRDefault="00447423" w:rsidP="00F16E23">
            <w:pPr>
              <w:pStyle w:val="TableText"/>
              <w:spacing w:before="40" w:after="30"/>
              <w:jc w:val="right"/>
              <w:rPr>
                <w:rFonts w:eastAsia="Calibri"/>
              </w:rPr>
            </w:pPr>
            <w:r w:rsidRPr="002A3CBE">
              <w:rPr>
                <w:rFonts w:eastAsia="Calibri"/>
              </w:rPr>
              <w:t>539.4</w:t>
            </w:r>
          </w:p>
        </w:tc>
        <w:tc>
          <w:tcPr>
            <w:tcW w:w="2551" w:type="dxa"/>
            <w:shd w:val="clear" w:color="auto" w:fill="FFFFFF"/>
            <w:tcMar>
              <w:top w:w="0" w:type="dxa"/>
              <w:left w:w="85" w:type="dxa"/>
              <w:bottom w:w="0" w:type="dxa"/>
              <w:right w:w="85" w:type="dxa"/>
            </w:tcMar>
            <w:vAlign w:val="center"/>
          </w:tcPr>
          <w:p w14:paraId="638D4E42" w14:textId="77777777" w:rsidR="00447423" w:rsidRPr="002A3CBE" w:rsidRDefault="00447423" w:rsidP="00F16E23">
            <w:pPr>
              <w:pStyle w:val="TableText"/>
              <w:spacing w:before="40" w:after="30"/>
              <w:jc w:val="right"/>
              <w:rPr>
                <w:rFonts w:eastAsia="Calibri"/>
              </w:rPr>
            </w:pPr>
            <w:r w:rsidRPr="002A3CBE">
              <w:rPr>
                <w:rFonts w:eastAsia="Calibri"/>
              </w:rPr>
              <w:t>-210.4</w:t>
            </w:r>
          </w:p>
        </w:tc>
        <w:tc>
          <w:tcPr>
            <w:tcW w:w="1134" w:type="dxa"/>
            <w:shd w:val="clear" w:color="auto" w:fill="FFFFFF"/>
            <w:tcMar>
              <w:top w:w="0" w:type="dxa"/>
              <w:left w:w="85" w:type="dxa"/>
              <w:bottom w:w="0" w:type="dxa"/>
              <w:right w:w="85" w:type="dxa"/>
            </w:tcMar>
            <w:vAlign w:val="center"/>
          </w:tcPr>
          <w:p w14:paraId="3F001AB6" w14:textId="77777777" w:rsidR="00447423" w:rsidRPr="002A3CBE" w:rsidRDefault="00447423" w:rsidP="00F16E23">
            <w:pPr>
              <w:pStyle w:val="TableText"/>
              <w:spacing w:before="40" w:after="30"/>
              <w:jc w:val="right"/>
              <w:rPr>
                <w:rFonts w:eastAsia="Calibri"/>
              </w:rPr>
            </w:pPr>
            <w:r w:rsidRPr="002A3CBE">
              <w:rPr>
                <w:rFonts w:eastAsia="Calibri"/>
              </w:rPr>
              <w:t>-28.1</w:t>
            </w:r>
          </w:p>
        </w:tc>
      </w:tr>
      <w:tr w:rsidR="00447423" w:rsidRPr="002A3CBE" w14:paraId="37455361" w14:textId="77777777" w:rsidTr="00F16E23">
        <w:tc>
          <w:tcPr>
            <w:tcW w:w="1985" w:type="dxa"/>
            <w:shd w:val="clear" w:color="auto" w:fill="FFFFFF"/>
            <w:tcMar>
              <w:top w:w="0" w:type="dxa"/>
              <w:left w:w="85" w:type="dxa"/>
              <w:bottom w:w="0" w:type="dxa"/>
              <w:right w:w="85" w:type="dxa"/>
            </w:tcMar>
            <w:vAlign w:val="center"/>
          </w:tcPr>
          <w:p w14:paraId="5AC276E9" w14:textId="77777777" w:rsidR="00447423" w:rsidRPr="002A3CBE" w:rsidRDefault="00447423" w:rsidP="00F16E23">
            <w:pPr>
              <w:pStyle w:val="Tableboldblue"/>
              <w:spacing w:before="40" w:after="30"/>
              <w:rPr>
                <w:rFonts w:eastAsia="Calibri"/>
              </w:rPr>
            </w:pPr>
            <w:r w:rsidRPr="002A3CBE">
              <w:rPr>
                <w:rFonts w:eastAsia="Calibri"/>
              </w:rPr>
              <w:t>Area (hectares)</w:t>
            </w:r>
          </w:p>
        </w:tc>
        <w:tc>
          <w:tcPr>
            <w:tcW w:w="1417" w:type="dxa"/>
            <w:shd w:val="clear" w:color="auto" w:fill="FFFFFF"/>
            <w:tcMar>
              <w:top w:w="0" w:type="dxa"/>
              <w:left w:w="85" w:type="dxa"/>
              <w:bottom w:w="0" w:type="dxa"/>
              <w:right w:w="85" w:type="dxa"/>
            </w:tcMar>
            <w:vAlign w:val="center"/>
          </w:tcPr>
          <w:p w14:paraId="7158B956" w14:textId="77777777" w:rsidR="00447423" w:rsidRPr="002A3CBE" w:rsidRDefault="00447423" w:rsidP="00F16E23">
            <w:pPr>
              <w:pStyle w:val="Tableboldblue"/>
              <w:spacing w:before="40" w:after="30"/>
              <w:rPr>
                <w:rFonts w:eastAsia="Calibri"/>
              </w:rPr>
            </w:pPr>
          </w:p>
        </w:tc>
        <w:tc>
          <w:tcPr>
            <w:tcW w:w="1418" w:type="dxa"/>
            <w:shd w:val="clear" w:color="auto" w:fill="FFFFFF"/>
            <w:tcMar>
              <w:top w:w="0" w:type="dxa"/>
              <w:left w:w="85" w:type="dxa"/>
              <w:bottom w:w="0" w:type="dxa"/>
              <w:right w:w="85" w:type="dxa"/>
            </w:tcMar>
            <w:vAlign w:val="center"/>
          </w:tcPr>
          <w:p w14:paraId="73CB1046" w14:textId="77777777" w:rsidR="00447423" w:rsidRPr="002A3CBE" w:rsidRDefault="00447423" w:rsidP="00F16E23">
            <w:pPr>
              <w:pStyle w:val="Tableboldblue"/>
              <w:spacing w:before="40" w:after="30"/>
              <w:rPr>
                <w:rFonts w:eastAsia="Calibri"/>
              </w:rPr>
            </w:pPr>
          </w:p>
        </w:tc>
        <w:tc>
          <w:tcPr>
            <w:tcW w:w="2551" w:type="dxa"/>
            <w:shd w:val="clear" w:color="auto" w:fill="FFFFFF"/>
            <w:tcMar>
              <w:top w:w="0" w:type="dxa"/>
              <w:left w:w="85" w:type="dxa"/>
              <w:bottom w:w="0" w:type="dxa"/>
              <w:right w:w="85" w:type="dxa"/>
            </w:tcMar>
            <w:vAlign w:val="center"/>
          </w:tcPr>
          <w:p w14:paraId="503C4D55" w14:textId="77777777" w:rsidR="00447423" w:rsidRPr="002A3CBE" w:rsidRDefault="00447423" w:rsidP="00F16E23">
            <w:pPr>
              <w:pStyle w:val="Tableboldblue"/>
              <w:spacing w:before="40" w:after="30"/>
              <w:rPr>
                <w:rFonts w:eastAsia="Calibri"/>
              </w:rPr>
            </w:pPr>
          </w:p>
        </w:tc>
        <w:tc>
          <w:tcPr>
            <w:tcW w:w="1134" w:type="dxa"/>
            <w:shd w:val="clear" w:color="auto" w:fill="FFFFFF"/>
            <w:tcMar>
              <w:top w:w="0" w:type="dxa"/>
              <w:left w:w="85" w:type="dxa"/>
              <w:bottom w:w="0" w:type="dxa"/>
              <w:right w:w="85" w:type="dxa"/>
            </w:tcMar>
            <w:vAlign w:val="center"/>
          </w:tcPr>
          <w:p w14:paraId="346F921E" w14:textId="77777777" w:rsidR="00447423" w:rsidRPr="002A3CBE" w:rsidRDefault="00447423" w:rsidP="00F16E23">
            <w:pPr>
              <w:pStyle w:val="Tableboldblue"/>
              <w:spacing w:before="40" w:after="30"/>
              <w:rPr>
                <w:rFonts w:eastAsia="Calibri"/>
              </w:rPr>
            </w:pPr>
          </w:p>
        </w:tc>
      </w:tr>
      <w:tr w:rsidR="00447423" w:rsidRPr="002A3CBE" w14:paraId="4DD8D556" w14:textId="77777777" w:rsidTr="00F16E23">
        <w:tc>
          <w:tcPr>
            <w:tcW w:w="1985" w:type="dxa"/>
            <w:shd w:val="clear" w:color="auto" w:fill="FFFFFF"/>
            <w:tcMar>
              <w:top w:w="0" w:type="dxa"/>
              <w:left w:w="85" w:type="dxa"/>
              <w:bottom w:w="0" w:type="dxa"/>
              <w:right w:w="85" w:type="dxa"/>
            </w:tcMar>
            <w:vAlign w:val="center"/>
          </w:tcPr>
          <w:p w14:paraId="799C78D7" w14:textId="77777777" w:rsidR="00447423" w:rsidRPr="002A3CBE" w:rsidRDefault="00447423" w:rsidP="00F16E23">
            <w:pPr>
              <w:pStyle w:val="TableText"/>
              <w:spacing w:before="40" w:after="30"/>
              <w:rPr>
                <w:rFonts w:eastAsia="Calibri"/>
              </w:rPr>
            </w:pPr>
            <w:r w:rsidRPr="002A3CBE">
              <w:rPr>
                <w:rFonts w:eastAsia="Calibri"/>
              </w:rPr>
              <w:t>1990</w:t>
            </w:r>
          </w:p>
        </w:tc>
        <w:tc>
          <w:tcPr>
            <w:tcW w:w="1417" w:type="dxa"/>
            <w:shd w:val="clear" w:color="auto" w:fill="FFFFFF"/>
            <w:tcMar>
              <w:top w:w="0" w:type="dxa"/>
              <w:left w:w="85" w:type="dxa"/>
              <w:bottom w:w="0" w:type="dxa"/>
              <w:right w:w="85" w:type="dxa"/>
            </w:tcMar>
            <w:vAlign w:val="center"/>
          </w:tcPr>
          <w:p w14:paraId="02D4D0B0" w14:textId="77777777" w:rsidR="00447423" w:rsidRPr="002A3CBE" w:rsidRDefault="00447423" w:rsidP="00F16E23">
            <w:pPr>
              <w:pStyle w:val="TableText"/>
              <w:spacing w:before="40" w:after="30"/>
              <w:jc w:val="right"/>
              <w:rPr>
                <w:rFonts w:eastAsia="Calibri"/>
              </w:rPr>
            </w:pPr>
            <w:r w:rsidRPr="002A3CBE">
              <w:rPr>
                <w:rFonts w:eastAsia="Calibri"/>
              </w:rPr>
              <w:t>426,841</w:t>
            </w:r>
          </w:p>
        </w:tc>
        <w:tc>
          <w:tcPr>
            <w:tcW w:w="1418" w:type="dxa"/>
            <w:shd w:val="clear" w:color="auto" w:fill="FFFFFF"/>
            <w:tcMar>
              <w:top w:w="0" w:type="dxa"/>
              <w:left w:w="85" w:type="dxa"/>
              <w:bottom w:w="0" w:type="dxa"/>
              <w:right w:w="85" w:type="dxa"/>
            </w:tcMar>
            <w:vAlign w:val="center"/>
          </w:tcPr>
          <w:p w14:paraId="395697BA" w14:textId="77777777" w:rsidR="00447423" w:rsidRPr="002A3CBE" w:rsidRDefault="00447423" w:rsidP="00F16E23">
            <w:pPr>
              <w:pStyle w:val="TableText"/>
              <w:spacing w:before="40" w:after="30"/>
              <w:jc w:val="right"/>
              <w:rPr>
                <w:rFonts w:eastAsia="Calibri"/>
              </w:rPr>
            </w:pPr>
            <w:r w:rsidRPr="002A3CBE">
              <w:rPr>
                <w:rFonts w:eastAsia="Calibri"/>
              </w:rPr>
              <w:t>426,833</w:t>
            </w:r>
          </w:p>
        </w:tc>
        <w:tc>
          <w:tcPr>
            <w:tcW w:w="2551" w:type="dxa"/>
            <w:shd w:val="clear" w:color="auto" w:fill="FFFFFF"/>
            <w:tcMar>
              <w:top w:w="0" w:type="dxa"/>
              <w:left w:w="85" w:type="dxa"/>
              <w:bottom w:w="0" w:type="dxa"/>
              <w:right w:w="85" w:type="dxa"/>
            </w:tcMar>
            <w:vAlign w:val="center"/>
          </w:tcPr>
          <w:p w14:paraId="4A077F5B" w14:textId="77777777" w:rsidR="00447423" w:rsidRPr="002A3CBE" w:rsidRDefault="00447423" w:rsidP="00F16E23">
            <w:pPr>
              <w:pStyle w:val="TableText"/>
              <w:spacing w:before="40" w:after="30"/>
              <w:jc w:val="right"/>
              <w:rPr>
                <w:rFonts w:eastAsia="Calibri"/>
              </w:rPr>
            </w:pPr>
            <w:r w:rsidRPr="002A3CBE">
              <w:rPr>
                <w:rFonts w:eastAsia="Calibri"/>
              </w:rPr>
              <w:t>-8</w:t>
            </w:r>
          </w:p>
        </w:tc>
        <w:tc>
          <w:tcPr>
            <w:tcW w:w="1134" w:type="dxa"/>
            <w:shd w:val="clear" w:color="auto" w:fill="FFFFFF"/>
            <w:tcMar>
              <w:top w:w="0" w:type="dxa"/>
              <w:left w:w="85" w:type="dxa"/>
              <w:bottom w:w="0" w:type="dxa"/>
              <w:right w:w="85" w:type="dxa"/>
            </w:tcMar>
            <w:vAlign w:val="center"/>
          </w:tcPr>
          <w:p w14:paraId="1CADAD2A" w14:textId="77777777" w:rsidR="00447423" w:rsidRPr="002A3CBE" w:rsidRDefault="00447423" w:rsidP="00F16E23">
            <w:pPr>
              <w:pStyle w:val="TableText"/>
              <w:spacing w:before="40" w:after="30"/>
              <w:jc w:val="right"/>
              <w:rPr>
                <w:rFonts w:eastAsia="Calibri"/>
              </w:rPr>
            </w:pPr>
            <w:r w:rsidRPr="002A3CBE">
              <w:rPr>
                <w:rFonts w:eastAsia="Calibri"/>
              </w:rPr>
              <w:t>-0.0</w:t>
            </w:r>
          </w:p>
        </w:tc>
      </w:tr>
      <w:tr w:rsidR="00447423" w:rsidRPr="002A3CBE" w14:paraId="775FB488" w14:textId="77777777" w:rsidTr="00F16E23">
        <w:tc>
          <w:tcPr>
            <w:tcW w:w="1985" w:type="dxa"/>
            <w:shd w:val="clear" w:color="auto" w:fill="FFFFFF"/>
            <w:tcMar>
              <w:top w:w="0" w:type="dxa"/>
              <w:left w:w="85" w:type="dxa"/>
              <w:bottom w:w="0" w:type="dxa"/>
              <w:right w:w="85" w:type="dxa"/>
            </w:tcMar>
            <w:vAlign w:val="center"/>
          </w:tcPr>
          <w:p w14:paraId="127D1D1C" w14:textId="77777777" w:rsidR="00447423" w:rsidRPr="002A3CBE" w:rsidRDefault="00447423" w:rsidP="00F16E23">
            <w:pPr>
              <w:pStyle w:val="TableText"/>
              <w:spacing w:before="40" w:after="30"/>
              <w:rPr>
                <w:rFonts w:eastAsia="Calibri"/>
              </w:rPr>
            </w:pPr>
            <w:r w:rsidRPr="002A3CBE">
              <w:rPr>
                <w:rFonts w:eastAsia="Calibri"/>
              </w:rPr>
              <w:t>2023</w:t>
            </w:r>
          </w:p>
        </w:tc>
        <w:tc>
          <w:tcPr>
            <w:tcW w:w="1417" w:type="dxa"/>
            <w:shd w:val="clear" w:color="auto" w:fill="FFFFFF"/>
            <w:tcMar>
              <w:top w:w="0" w:type="dxa"/>
              <w:left w:w="85" w:type="dxa"/>
              <w:bottom w:w="0" w:type="dxa"/>
              <w:right w:w="85" w:type="dxa"/>
            </w:tcMar>
            <w:vAlign w:val="center"/>
          </w:tcPr>
          <w:p w14:paraId="64D27EFB" w14:textId="77777777" w:rsidR="00447423" w:rsidRPr="002A3CBE" w:rsidRDefault="00447423" w:rsidP="00F16E23">
            <w:pPr>
              <w:pStyle w:val="TableText"/>
              <w:spacing w:before="40" w:after="30"/>
              <w:jc w:val="right"/>
              <w:rPr>
                <w:rFonts w:eastAsia="Calibri"/>
              </w:rPr>
            </w:pPr>
            <w:r w:rsidRPr="002A3CBE">
              <w:rPr>
                <w:rFonts w:eastAsia="Calibri"/>
              </w:rPr>
              <w:t>497,239</w:t>
            </w:r>
          </w:p>
        </w:tc>
        <w:tc>
          <w:tcPr>
            <w:tcW w:w="1418" w:type="dxa"/>
            <w:shd w:val="clear" w:color="auto" w:fill="FFFFFF"/>
            <w:tcMar>
              <w:top w:w="0" w:type="dxa"/>
              <w:left w:w="85" w:type="dxa"/>
              <w:bottom w:w="0" w:type="dxa"/>
              <w:right w:w="85" w:type="dxa"/>
            </w:tcMar>
            <w:vAlign w:val="center"/>
          </w:tcPr>
          <w:p w14:paraId="7A5E4BC8" w14:textId="77777777" w:rsidR="00447423" w:rsidRPr="002A3CBE" w:rsidRDefault="00447423" w:rsidP="00F16E23">
            <w:pPr>
              <w:pStyle w:val="TableText"/>
              <w:spacing w:before="40" w:after="30"/>
              <w:jc w:val="right"/>
              <w:rPr>
                <w:rFonts w:eastAsia="Calibri"/>
              </w:rPr>
            </w:pPr>
            <w:r w:rsidRPr="002A3CBE">
              <w:rPr>
                <w:rFonts w:eastAsia="Calibri"/>
              </w:rPr>
              <w:t>497,472</w:t>
            </w:r>
          </w:p>
        </w:tc>
        <w:tc>
          <w:tcPr>
            <w:tcW w:w="2551" w:type="dxa"/>
            <w:shd w:val="clear" w:color="auto" w:fill="FFFFFF"/>
            <w:tcMar>
              <w:top w:w="0" w:type="dxa"/>
              <w:left w:w="85" w:type="dxa"/>
              <w:bottom w:w="0" w:type="dxa"/>
              <w:right w:w="85" w:type="dxa"/>
            </w:tcMar>
            <w:vAlign w:val="center"/>
          </w:tcPr>
          <w:p w14:paraId="0E8E2761" w14:textId="77777777" w:rsidR="00447423" w:rsidRPr="002A3CBE" w:rsidRDefault="00447423" w:rsidP="00F16E23">
            <w:pPr>
              <w:pStyle w:val="TableText"/>
              <w:spacing w:before="40" w:after="30"/>
              <w:jc w:val="right"/>
              <w:rPr>
                <w:rFonts w:eastAsia="Calibri"/>
              </w:rPr>
            </w:pPr>
            <w:r w:rsidRPr="002A3CBE">
              <w:rPr>
                <w:rFonts w:eastAsia="Calibri"/>
              </w:rPr>
              <w:t>233</w:t>
            </w:r>
          </w:p>
        </w:tc>
        <w:tc>
          <w:tcPr>
            <w:tcW w:w="1134" w:type="dxa"/>
            <w:shd w:val="clear" w:color="auto" w:fill="FFFFFF"/>
            <w:tcMar>
              <w:top w:w="0" w:type="dxa"/>
              <w:left w:w="85" w:type="dxa"/>
              <w:bottom w:w="0" w:type="dxa"/>
              <w:right w:w="85" w:type="dxa"/>
            </w:tcMar>
            <w:vAlign w:val="center"/>
          </w:tcPr>
          <w:p w14:paraId="7E89611E" w14:textId="77777777" w:rsidR="00447423" w:rsidRPr="002A3CBE" w:rsidRDefault="00447423" w:rsidP="00F16E23">
            <w:pPr>
              <w:pStyle w:val="TableText"/>
              <w:spacing w:before="40" w:after="30"/>
              <w:jc w:val="right"/>
              <w:rPr>
                <w:rFonts w:eastAsia="Calibri"/>
              </w:rPr>
            </w:pPr>
            <w:r w:rsidRPr="002A3CBE">
              <w:rPr>
                <w:rFonts w:eastAsia="Calibri"/>
              </w:rPr>
              <w:t>0.0</w:t>
            </w:r>
          </w:p>
        </w:tc>
      </w:tr>
    </w:tbl>
    <w:p w14:paraId="2D9DB055" w14:textId="77777777" w:rsidR="00447423" w:rsidRPr="002A3CBE" w:rsidRDefault="00447423" w:rsidP="00447423">
      <w:pPr>
        <w:pStyle w:val="Noteundertable"/>
        <w:spacing w:after="0"/>
        <w:ind w:left="0" w:firstLine="0"/>
      </w:pPr>
      <w:bookmarkStart w:id="2367" w:name="_Toc139253968"/>
      <w:bookmarkStart w:id="2368" w:name="_Toc255466391"/>
      <w:bookmarkStart w:id="2369" w:name="_Toc261513198"/>
      <w:bookmarkStart w:id="2370" w:name="_Toc261513811"/>
      <w:bookmarkStart w:id="2371" w:name="_Toc280630283"/>
      <w:r w:rsidRPr="002A3CBE">
        <w:rPr>
          <w:b/>
        </w:rPr>
        <w:t>Note:</w:t>
      </w:r>
      <w:r w:rsidRPr="002A3CBE">
        <w:tab/>
        <w:t>Columns may not total due to rounding.</w:t>
      </w:r>
    </w:p>
    <w:p w14:paraId="15826826" w14:textId="77777777" w:rsidR="00447423" w:rsidRPr="002A3CBE" w:rsidRDefault="00447423" w:rsidP="00447423">
      <w:pPr>
        <w:pStyle w:val="Heading3"/>
      </w:pPr>
      <w:r w:rsidRPr="002A3CBE">
        <w:t>6.5.6</w:t>
      </w:r>
      <w:r w:rsidRPr="002A3CBE">
        <w:tab/>
        <w:t>Category-specific planned improvements</w:t>
      </w:r>
      <w:bookmarkEnd w:id="2367"/>
      <w:bookmarkEnd w:id="2368"/>
      <w:bookmarkEnd w:id="2369"/>
      <w:bookmarkEnd w:id="2370"/>
      <w:bookmarkEnd w:id="2371"/>
    </w:p>
    <w:p w14:paraId="46E24748" w14:textId="77777777" w:rsidR="00447423" w:rsidRPr="002A3CBE" w:rsidRDefault="00447423" w:rsidP="00447423">
      <w:pPr>
        <w:pStyle w:val="BodyText"/>
        <w:spacing w:before="100" w:after="100"/>
      </w:pPr>
      <w:r w:rsidRPr="002A3CBE">
        <w:t xml:space="preserve">A longitudinal study on the impact of management practices on </w:t>
      </w:r>
      <w:r w:rsidRPr="002A3CBE">
        <w:rPr>
          <w:i/>
          <w:iCs/>
        </w:rPr>
        <w:t>Grassland</w:t>
      </w:r>
      <w:r w:rsidRPr="002A3CBE">
        <w:t xml:space="preserve"> and </w:t>
      </w:r>
      <w:r w:rsidRPr="002A3CBE">
        <w:rPr>
          <w:i/>
          <w:iCs/>
        </w:rPr>
        <w:t>Cropland</w:t>
      </w:r>
      <w:r w:rsidRPr="002A3CBE">
        <w:t xml:space="preserve"> soils is under way (Manaaki Whenua Landcare Research, 2020). This study will collect time-series data on a network of 500 soil sample plots over 12 years. This is likely to improve the SOC reference values for </w:t>
      </w:r>
      <w:r w:rsidRPr="002A3CBE">
        <w:rPr>
          <w:i/>
          <w:iCs/>
        </w:rPr>
        <w:t>Cropland</w:t>
      </w:r>
      <w:r w:rsidRPr="002A3CBE">
        <w:t xml:space="preserve">. These data are expected to be available for the updated soil carbon stock estimates and model and are planned to be incorporated into the 2027 submission. </w:t>
      </w:r>
    </w:p>
    <w:p w14:paraId="71D567F3" w14:textId="77777777" w:rsidR="00447423" w:rsidRPr="002A3CBE" w:rsidRDefault="00447423" w:rsidP="00447423">
      <w:pPr>
        <w:pStyle w:val="BodyText"/>
        <w:spacing w:before="100" w:after="100"/>
      </w:pPr>
      <w:r w:rsidRPr="002A3CBE">
        <w:rPr>
          <w:rFonts w:asciiTheme="minorHAnsi" w:hAnsiTheme="minorHAnsi"/>
          <w:color w:val="000000" w:themeColor="text1"/>
        </w:rPr>
        <w:t>This work will substantially improve the accuracy of soil carbon estimates and provide a framework to include management effects within land uses.</w:t>
      </w:r>
      <w:r w:rsidRPr="002A3CBE">
        <w:t xml:space="preserve"> The data will be incorporated into inventory submissions as they become available.</w:t>
      </w:r>
    </w:p>
    <w:p w14:paraId="2301CA78" w14:textId="77777777" w:rsidR="00447423" w:rsidRPr="002A3CBE" w:rsidRDefault="00447423" w:rsidP="00447423">
      <w:pPr>
        <w:pStyle w:val="Heading2"/>
        <w:spacing w:before="280"/>
      </w:pPr>
      <w:bookmarkStart w:id="2372" w:name="_Toc69611750"/>
      <w:bookmarkStart w:id="2373" w:name="_Toc69612706"/>
      <w:bookmarkStart w:id="2374" w:name="_Toc69612905"/>
      <w:bookmarkStart w:id="2375" w:name="_Toc69613165"/>
      <w:bookmarkStart w:id="2376" w:name="_Toc69633329"/>
      <w:bookmarkStart w:id="2377" w:name="_Toc69717494"/>
      <w:bookmarkStart w:id="2378" w:name="_Toc69802976"/>
      <w:bookmarkStart w:id="2379" w:name="_Toc69815113"/>
      <w:bookmarkStart w:id="2380" w:name="_Toc70492406"/>
      <w:bookmarkStart w:id="2381" w:name="_Toc101310612"/>
      <w:bookmarkStart w:id="2382" w:name="_Toc101318472"/>
      <w:bookmarkStart w:id="2383" w:name="_Toc101318577"/>
      <w:bookmarkStart w:id="2384" w:name="_Toc101318761"/>
      <w:bookmarkStart w:id="2385" w:name="_Toc101334037"/>
      <w:bookmarkStart w:id="2386" w:name="_Toc134847215"/>
      <w:bookmarkStart w:id="2387" w:name="_Toc139253969"/>
      <w:bookmarkStart w:id="2388" w:name="_Toc144710423"/>
      <w:bookmarkStart w:id="2389" w:name="_Toc165890377"/>
      <w:bookmarkStart w:id="2390" w:name="_Toc195322671"/>
      <w:bookmarkStart w:id="2391" w:name="_Toc255466392"/>
      <w:bookmarkStart w:id="2392" w:name="_Toc261513199"/>
      <w:bookmarkStart w:id="2393" w:name="_Toc261513812"/>
      <w:bookmarkStart w:id="2394" w:name="_Toc280630284"/>
      <w:bookmarkStart w:id="2395" w:name="_Toc310423454"/>
      <w:bookmarkStart w:id="2396" w:name="_Toc342470720"/>
      <w:bookmarkStart w:id="2397" w:name="_Toc352504872"/>
      <w:bookmarkStart w:id="2398" w:name="_Toc391024702"/>
      <w:bookmarkStart w:id="2399" w:name="_Toc414531319"/>
      <w:bookmarkStart w:id="2400" w:name="_Toc474335461"/>
      <w:bookmarkStart w:id="2401" w:name="_Toc481751401"/>
      <w:bookmarkStart w:id="2402" w:name="_Toc522013953"/>
      <w:bookmarkStart w:id="2403" w:name="_Toc5269378"/>
      <w:bookmarkStart w:id="2404" w:name="_Toc36224418"/>
      <w:bookmarkStart w:id="2405" w:name="_Toc131591252"/>
      <w:bookmarkStart w:id="2406" w:name="_Toc158980299"/>
      <w:bookmarkStart w:id="2407" w:name="_Toc164154207"/>
      <w:bookmarkStart w:id="2408" w:name="_Toc194312032"/>
      <w:bookmarkStart w:id="2409" w:name="_Toc226460786"/>
      <w:r w:rsidRPr="002A3CBE">
        <w:t>6.6</w:t>
      </w:r>
      <w:r w:rsidRPr="002A3CBE">
        <w:tab/>
        <w:t>Grassland (4C)</w:t>
      </w:r>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p>
    <w:p w14:paraId="16C1145F" w14:textId="77777777" w:rsidR="00447423" w:rsidRPr="002A3CBE" w:rsidRDefault="00447423" w:rsidP="00447423">
      <w:pPr>
        <w:pStyle w:val="Heading3"/>
        <w:spacing w:before="200"/>
      </w:pPr>
      <w:bookmarkStart w:id="2410" w:name="_Toc139253970"/>
      <w:bookmarkStart w:id="2411" w:name="_Toc255466393"/>
      <w:bookmarkStart w:id="2412" w:name="_Toc261513200"/>
      <w:bookmarkStart w:id="2413" w:name="_Toc261513813"/>
      <w:bookmarkStart w:id="2414" w:name="_Toc280630285"/>
      <w:r w:rsidRPr="002A3CBE">
        <w:t>6.6.1</w:t>
      </w:r>
      <w:r w:rsidRPr="002A3CBE">
        <w:tab/>
        <w:t>Description</w:t>
      </w:r>
      <w:bookmarkEnd w:id="2410"/>
      <w:bookmarkEnd w:id="2411"/>
      <w:bookmarkEnd w:id="2412"/>
      <w:bookmarkEnd w:id="2413"/>
      <w:bookmarkEnd w:id="2414"/>
    </w:p>
    <w:p w14:paraId="08372B86" w14:textId="77777777" w:rsidR="00447423" w:rsidRPr="002A3CBE" w:rsidRDefault="00447423" w:rsidP="00447423">
      <w:pPr>
        <w:pStyle w:val="BodyText"/>
        <w:spacing w:before="100" w:after="100"/>
      </w:pPr>
      <w:r w:rsidRPr="002A3CBE">
        <w:t xml:space="preserve">In 2024, the net emissions from </w:t>
      </w:r>
      <w:r w:rsidRPr="002A3CBE">
        <w:rPr>
          <w:i/>
        </w:rPr>
        <w:t>Grassland</w:t>
      </w:r>
      <w:r w:rsidRPr="002A3CBE">
        <w:t xml:space="preserve"> were 2,186.9 kt CO</w:t>
      </w:r>
      <w:r w:rsidRPr="002A3CBE">
        <w:rPr>
          <w:vertAlign w:val="subscript"/>
        </w:rPr>
        <w:t>2</w:t>
      </w:r>
      <w:r w:rsidRPr="002A3CBE">
        <w:t>e (table 6.6.1). These emissions comprise 2,150.6 kt CO</w:t>
      </w:r>
      <w:r w:rsidRPr="002A3CBE">
        <w:rPr>
          <w:vertAlign w:val="subscript"/>
        </w:rPr>
        <w:t>2</w:t>
      </w:r>
      <w:r w:rsidRPr="002A3CBE">
        <w:t xml:space="preserve"> emissions from carbon stock change, 0.05 kt N</w:t>
      </w:r>
      <w:r w:rsidRPr="002A3CBE">
        <w:rPr>
          <w:vertAlign w:val="subscript"/>
        </w:rPr>
        <w:t>2</w:t>
      </w:r>
      <w:r w:rsidRPr="002A3CBE">
        <w:t>O (13.2 kt CO</w:t>
      </w:r>
      <w:r w:rsidRPr="002A3CBE">
        <w:rPr>
          <w:vertAlign w:val="subscript"/>
        </w:rPr>
        <w:t>2</w:t>
      </w:r>
      <w:r w:rsidRPr="002A3CBE">
        <w:t>e) and 0.8 kt CH</w:t>
      </w:r>
      <w:r w:rsidRPr="002A3CBE">
        <w:rPr>
          <w:vertAlign w:val="subscript"/>
        </w:rPr>
        <w:t>4</w:t>
      </w:r>
      <w:r w:rsidRPr="002A3CBE">
        <w:t xml:space="preserve"> (23.1 kt CO</w:t>
      </w:r>
      <w:r w:rsidRPr="002A3CBE">
        <w:rPr>
          <w:vertAlign w:val="subscript"/>
        </w:rPr>
        <w:t>2</w:t>
      </w:r>
      <w:r w:rsidRPr="002A3CBE">
        <w:t xml:space="preserve">e) emissions from </w:t>
      </w:r>
      <w:r w:rsidRPr="002A3CBE">
        <w:rPr>
          <w:i/>
        </w:rPr>
        <w:t>Biomass burning</w:t>
      </w:r>
      <w:r w:rsidRPr="002A3CBE">
        <w:t xml:space="preserve"> and nitrogen mineralisation on </w:t>
      </w:r>
      <w:r w:rsidRPr="002A3CBE">
        <w:rPr>
          <w:i/>
        </w:rPr>
        <w:t>Land converted to grassland</w:t>
      </w:r>
      <w:r w:rsidRPr="002A3CBE">
        <w:t>.</w:t>
      </w:r>
    </w:p>
    <w:p w14:paraId="478D7132" w14:textId="77777777" w:rsidR="00447423" w:rsidRPr="002A3CBE" w:rsidRDefault="00447423" w:rsidP="00447423">
      <w:pPr>
        <w:pStyle w:val="BodyText"/>
        <w:spacing w:before="100" w:after="100"/>
      </w:pPr>
      <w:r w:rsidRPr="002A3CBE">
        <w:t xml:space="preserve">Net emissions from </w:t>
      </w:r>
      <w:r w:rsidRPr="002A3CBE">
        <w:rPr>
          <w:i/>
        </w:rPr>
        <w:t xml:space="preserve">Grassland </w:t>
      </w:r>
      <w:r w:rsidRPr="002A3CBE">
        <w:t>have increased by 196.7 kt CO</w:t>
      </w:r>
      <w:r w:rsidRPr="002A3CBE">
        <w:rPr>
          <w:vertAlign w:val="subscript"/>
        </w:rPr>
        <w:t>2</w:t>
      </w:r>
      <w:r w:rsidRPr="002A3CBE">
        <w:t>e (9.9 percent) from the 1990 level of 1,990.1 kt CO</w:t>
      </w:r>
      <w:r w:rsidRPr="002A3CBE">
        <w:rPr>
          <w:vertAlign w:val="subscript"/>
        </w:rPr>
        <w:t>2</w:t>
      </w:r>
      <w:r w:rsidRPr="002A3CBE">
        <w:t>e (table 6.6.1). The majority of this change occurred in pre-1990 planted forest that has since been converted to high producing grassland and is the result of deforestation that involves large losses in the living biomass pool.</w:t>
      </w:r>
    </w:p>
    <w:p w14:paraId="183C69E0" w14:textId="77777777" w:rsidR="00447423" w:rsidRPr="002A3CBE" w:rsidRDefault="00447423" w:rsidP="00447423">
      <w:pPr>
        <w:pStyle w:val="BodyText"/>
        <w:spacing w:before="100" w:after="100"/>
      </w:pPr>
      <w:r w:rsidRPr="002A3CBE">
        <w:t xml:space="preserve">The </w:t>
      </w:r>
      <w:r w:rsidRPr="002A3CBE">
        <w:rPr>
          <w:i/>
        </w:rPr>
        <w:t>Grassland remaining grassland</w:t>
      </w:r>
      <w:r w:rsidRPr="002A3CBE">
        <w:t xml:space="preserve"> and </w:t>
      </w:r>
      <w:r w:rsidRPr="002A3CBE">
        <w:rPr>
          <w:i/>
        </w:rPr>
        <w:t>Land converted to grassland</w:t>
      </w:r>
      <w:r w:rsidRPr="002A3CBE">
        <w:t xml:space="preserve"> categories were identified as key categories for the level and trend assessment in 2024.</w:t>
      </w:r>
    </w:p>
    <w:p w14:paraId="60B680A1" w14:textId="77777777" w:rsidR="00447423" w:rsidRPr="002A3CBE" w:rsidRDefault="00447423" w:rsidP="00447423">
      <w:pPr>
        <w:pStyle w:val="Table"/>
      </w:pPr>
      <w:bookmarkStart w:id="2415" w:name="_Toc280630465"/>
      <w:bookmarkStart w:id="2416" w:name="_Toc310423421"/>
      <w:bookmarkStart w:id="2417" w:name="_Toc318362714"/>
      <w:bookmarkStart w:id="2418" w:name="_Toc342470776"/>
      <w:bookmarkStart w:id="2419" w:name="_Toc352505016"/>
      <w:bookmarkStart w:id="2420" w:name="_Toc378853307"/>
      <w:bookmarkStart w:id="2421" w:name="_Toc391024105"/>
      <w:bookmarkStart w:id="2422" w:name="_Toc410028848"/>
      <w:bookmarkStart w:id="2423" w:name="_Toc414531476"/>
      <w:bookmarkStart w:id="2424" w:name="_Toc443645389"/>
      <w:bookmarkStart w:id="2425" w:name="_Toc474914608"/>
      <w:bookmarkStart w:id="2426" w:name="_Toc481751572"/>
      <w:bookmarkStart w:id="2427" w:name="_Toc522010629"/>
      <w:bookmarkStart w:id="2428" w:name="_Toc5269534"/>
      <w:bookmarkStart w:id="2429" w:name="_Toc33529408"/>
      <w:bookmarkStart w:id="2430" w:name="_Toc36224614"/>
      <w:bookmarkStart w:id="2431" w:name="_Toc131591408"/>
      <w:bookmarkStart w:id="2432" w:name="_Toc158979966"/>
      <w:bookmarkStart w:id="2433" w:name="_Toc164153899"/>
      <w:bookmarkStart w:id="2434" w:name="_Toc190873133"/>
      <w:bookmarkStart w:id="2435" w:name="_Toc194241772"/>
      <w:bookmarkStart w:id="2436" w:name="_Toc222837923"/>
      <w:bookmarkStart w:id="2437" w:name="_Toc226669069"/>
      <w:r w:rsidRPr="002A3CBE">
        <w:t>Table 6.6.1</w:t>
      </w:r>
      <w:r w:rsidRPr="002A3CBE">
        <w:tab/>
      </w:r>
      <w:r w:rsidRPr="002A3CBE">
        <w:rPr>
          <w:szCs w:val="18"/>
        </w:rPr>
        <w:t xml:space="preserve">New Zealand’s land-use change for the </w:t>
      </w:r>
      <w:r w:rsidRPr="002A3CBE">
        <w:rPr>
          <w:i/>
          <w:szCs w:val="18"/>
        </w:rPr>
        <w:t>Grassland</w:t>
      </w:r>
      <w:r w:rsidRPr="002A3CBE">
        <w:rPr>
          <w:szCs w:val="18"/>
        </w:rPr>
        <w:t xml:space="preserve"> category, and associated</w:t>
      </w:r>
      <w:r w:rsidRPr="002A3CBE">
        <w:rPr>
          <w:szCs w:val="18"/>
        </w:rPr>
        <w:br/>
        <w:t>CO</w:t>
      </w:r>
      <w:r w:rsidRPr="002A3CBE">
        <w:rPr>
          <w:szCs w:val="18"/>
          <w:vertAlign w:val="subscript"/>
        </w:rPr>
        <w:t>2</w:t>
      </w:r>
      <w:r w:rsidRPr="002A3CBE">
        <w:rPr>
          <w:szCs w:val="18"/>
        </w:rPr>
        <w:t>e emissions</w:t>
      </w:r>
      <w:r w:rsidRPr="002A3CBE">
        <w:t>, from 1990 to</w:t>
      </w:r>
      <w:bookmarkEnd w:id="2415"/>
      <w:bookmarkEnd w:id="2416"/>
      <w:bookmarkEnd w:id="2417"/>
      <w:bookmarkEnd w:id="2418"/>
      <w:bookmarkEnd w:id="2419"/>
      <w:r w:rsidRPr="002A3CBE">
        <w:t> </w:t>
      </w:r>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r w:rsidRPr="002A3CBE">
        <w:t>2024</w:t>
      </w:r>
      <w:bookmarkEnd w:id="2434"/>
      <w:bookmarkEnd w:id="2435"/>
      <w:bookmarkEnd w:id="2436"/>
      <w:bookmarkEnd w:id="2437"/>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33"/>
        <w:gridCol w:w="1014"/>
        <w:gridCol w:w="1014"/>
        <w:gridCol w:w="1127"/>
        <w:gridCol w:w="845"/>
        <w:gridCol w:w="845"/>
        <w:gridCol w:w="1127"/>
      </w:tblGrid>
      <w:tr w:rsidR="00447423" w:rsidRPr="002A3CBE" w14:paraId="71172FD9" w14:textId="77777777" w:rsidTr="00F16E23">
        <w:trPr>
          <w:tblHeader/>
        </w:trPr>
        <w:tc>
          <w:tcPr>
            <w:tcW w:w="2551" w:type="dxa"/>
            <w:shd w:val="clear" w:color="auto" w:fill="1B556B"/>
            <w:tcMar>
              <w:top w:w="0" w:type="dxa"/>
              <w:left w:w="85" w:type="dxa"/>
              <w:bottom w:w="0" w:type="dxa"/>
              <w:right w:w="85" w:type="dxa"/>
            </w:tcMar>
            <w:vAlign w:val="center"/>
          </w:tcPr>
          <w:p w14:paraId="54717A8D" w14:textId="77777777" w:rsidR="00447423" w:rsidRPr="002A3CBE" w:rsidRDefault="00447423" w:rsidP="00F16E23">
            <w:pPr>
              <w:pStyle w:val="TableTextBold"/>
              <w:spacing w:before="40" w:after="0"/>
              <w:rPr>
                <w:rFonts w:eastAsia="Calibri"/>
                <w:noProof w:val="0"/>
                <w:color w:val="FFFFFF" w:themeColor="background1"/>
              </w:rPr>
            </w:pPr>
          </w:p>
        </w:tc>
        <w:tc>
          <w:tcPr>
            <w:tcW w:w="3174" w:type="dxa"/>
            <w:gridSpan w:val="3"/>
            <w:shd w:val="clear" w:color="auto" w:fill="1B556B"/>
            <w:tcMar>
              <w:top w:w="0" w:type="dxa"/>
              <w:left w:w="85" w:type="dxa"/>
              <w:bottom w:w="0" w:type="dxa"/>
              <w:right w:w="85" w:type="dxa"/>
            </w:tcMar>
            <w:vAlign w:val="center"/>
          </w:tcPr>
          <w:p w14:paraId="207759CD" w14:textId="77777777" w:rsidR="00447423" w:rsidRPr="002A3CBE" w:rsidRDefault="00447423" w:rsidP="00F16E23">
            <w:pPr>
              <w:pStyle w:val="TableTextBold"/>
              <w:spacing w:before="40" w:after="0"/>
              <w:ind w:right="213"/>
              <w:jc w:val="center"/>
              <w:rPr>
                <w:rFonts w:eastAsia="Calibri"/>
                <w:noProof w:val="0"/>
                <w:color w:val="FFFFFF" w:themeColor="background1"/>
              </w:rPr>
            </w:pPr>
            <w:r w:rsidRPr="002A3CBE">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center"/>
          </w:tcPr>
          <w:p w14:paraId="1DBCDA80" w14:textId="77777777" w:rsidR="00447423" w:rsidRPr="002A3CBE" w:rsidRDefault="00447423" w:rsidP="00F16E23">
            <w:pPr>
              <w:pStyle w:val="TableTextBold"/>
              <w:spacing w:before="40" w:after="0"/>
              <w:ind w:right="486"/>
              <w:jc w:val="center"/>
              <w:rPr>
                <w:rFonts w:eastAsia="Calibri"/>
                <w:noProof w:val="0"/>
                <w:color w:val="FFFFFF" w:themeColor="background1"/>
              </w:rPr>
            </w:pPr>
            <w:r w:rsidRPr="002A3CBE">
              <w:rPr>
                <w:rFonts w:eastAsia="Calibri"/>
                <w:noProof w:val="0"/>
                <w:color w:val="FFFFFF" w:themeColor="background1"/>
              </w:rPr>
              <w:t>Net emissions (kt CO₂e)</w:t>
            </w:r>
          </w:p>
        </w:tc>
      </w:tr>
      <w:tr w:rsidR="00447423" w:rsidRPr="002A3CBE" w14:paraId="1B7AB1E8" w14:textId="77777777" w:rsidTr="00F16E23">
        <w:trPr>
          <w:tblHeader/>
        </w:trPr>
        <w:tc>
          <w:tcPr>
            <w:tcW w:w="2551" w:type="dxa"/>
            <w:shd w:val="clear" w:color="auto" w:fill="1B556B"/>
            <w:tcMar>
              <w:top w:w="0" w:type="dxa"/>
              <w:left w:w="85" w:type="dxa"/>
              <w:bottom w:w="0" w:type="dxa"/>
              <w:right w:w="85" w:type="dxa"/>
            </w:tcMar>
            <w:vAlign w:val="bottom"/>
          </w:tcPr>
          <w:p w14:paraId="21937F63" w14:textId="77777777" w:rsidR="00447423" w:rsidRPr="002A3CBE" w:rsidRDefault="00447423" w:rsidP="00F16E23">
            <w:pPr>
              <w:pStyle w:val="TableTextBold"/>
              <w:spacing w:before="0" w:after="40"/>
              <w:rPr>
                <w:rFonts w:eastAsia="Calibri"/>
                <w:noProof w:val="0"/>
                <w:color w:val="FFFFFF" w:themeColor="background1"/>
              </w:rPr>
            </w:pPr>
            <w:r w:rsidRPr="002A3CBE">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328AADA4"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0D343AA8"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27BAFCD9"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4B82E50D"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779A03DA"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6A92C41E"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218EFB03" w14:textId="77777777" w:rsidTr="00F16E23">
        <w:tc>
          <w:tcPr>
            <w:tcW w:w="2551" w:type="dxa"/>
            <w:shd w:val="clear" w:color="auto" w:fill="FFFFFF"/>
            <w:tcMar>
              <w:top w:w="0" w:type="dxa"/>
              <w:left w:w="85" w:type="dxa"/>
              <w:bottom w:w="0" w:type="dxa"/>
              <w:right w:w="85" w:type="dxa"/>
            </w:tcMar>
            <w:vAlign w:val="center"/>
          </w:tcPr>
          <w:p w14:paraId="4D07C030" w14:textId="77777777" w:rsidR="00447423" w:rsidRPr="002A3CBE" w:rsidRDefault="00447423" w:rsidP="00F16E23">
            <w:pPr>
              <w:pStyle w:val="TableText"/>
              <w:spacing w:before="40" w:after="40"/>
              <w:rPr>
                <w:rFonts w:eastAsia="Calibri"/>
              </w:rPr>
            </w:pPr>
            <w:r w:rsidRPr="002A3CBE">
              <w:rPr>
                <w:rFonts w:eastAsia="Calibri"/>
              </w:rPr>
              <w:t>Grassland remaining grassland</w:t>
            </w:r>
          </w:p>
        </w:tc>
        <w:tc>
          <w:tcPr>
            <w:tcW w:w="1020" w:type="dxa"/>
            <w:shd w:val="clear" w:color="auto" w:fill="FFFFFF"/>
            <w:tcMar>
              <w:top w:w="0" w:type="dxa"/>
              <w:left w:w="85" w:type="dxa"/>
              <w:bottom w:w="0" w:type="dxa"/>
              <w:right w:w="85" w:type="dxa"/>
            </w:tcMar>
            <w:vAlign w:val="center"/>
          </w:tcPr>
          <w:p w14:paraId="3D64C00A" w14:textId="77777777" w:rsidR="00447423" w:rsidRPr="002A3CBE" w:rsidRDefault="00447423" w:rsidP="00F16E23">
            <w:pPr>
              <w:pStyle w:val="TableText"/>
              <w:spacing w:before="40" w:after="40"/>
              <w:jc w:val="right"/>
              <w:rPr>
                <w:rFonts w:eastAsia="Calibri"/>
              </w:rPr>
            </w:pPr>
            <w:r w:rsidRPr="002A3CBE">
              <w:rPr>
                <w:rFonts w:eastAsia="Calibri"/>
              </w:rPr>
              <w:t>14,904,741</w:t>
            </w:r>
          </w:p>
        </w:tc>
        <w:tc>
          <w:tcPr>
            <w:tcW w:w="1020" w:type="dxa"/>
            <w:shd w:val="clear" w:color="auto" w:fill="FFFFFF"/>
            <w:tcMar>
              <w:top w:w="0" w:type="dxa"/>
              <w:left w:w="85" w:type="dxa"/>
              <w:bottom w:w="0" w:type="dxa"/>
              <w:right w:w="85" w:type="dxa"/>
            </w:tcMar>
            <w:vAlign w:val="center"/>
          </w:tcPr>
          <w:p w14:paraId="5D2807DD" w14:textId="77777777" w:rsidR="00447423" w:rsidRPr="002A3CBE" w:rsidRDefault="00447423" w:rsidP="00F16E23">
            <w:pPr>
              <w:pStyle w:val="TableText"/>
              <w:spacing w:before="40" w:after="40"/>
              <w:jc w:val="right"/>
              <w:rPr>
                <w:rFonts w:eastAsia="Calibri"/>
              </w:rPr>
            </w:pPr>
            <w:r w:rsidRPr="002A3CBE">
              <w:rPr>
                <w:rFonts w:eastAsia="Calibri"/>
              </w:rPr>
              <w:t>13,960,997</w:t>
            </w:r>
          </w:p>
        </w:tc>
        <w:tc>
          <w:tcPr>
            <w:tcW w:w="1134" w:type="dxa"/>
            <w:shd w:val="clear" w:color="auto" w:fill="FFFFFF"/>
            <w:tcMar>
              <w:top w:w="0" w:type="dxa"/>
              <w:left w:w="85" w:type="dxa"/>
              <w:bottom w:w="0" w:type="dxa"/>
              <w:right w:w="85" w:type="dxa"/>
            </w:tcMar>
            <w:vAlign w:val="center"/>
          </w:tcPr>
          <w:p w14:paraId="63C28705" w14:textId="77777777" w:rsidR="00447423" w:rsidRPr="002A3CBE" w:rsidRDefault="00447423" w:rsidP="00F16E23">
            <w:pPr>
              <w:pStyle w:val="TableText"/>
              <w:spacing w:before="40" w:after="40"/>
              <w:jc w:val="right"/>
              <w:rPr>
                <w:rFonts w:eastAsia="Calibri"/>
              </w:rPr>
            </w:pPr>
            <w:r w:rsidRPr="002A3CBE">
              <w:rPr>
                <w:rFonts w:eastAsia="Calibri"/>
              </w:rPr>
              <w:t>-6.3</w:t>
            </w:r>
          </w:p>
        </w:tc>
        <w:tc>
          <w:tcPr>
            <w:tcW w:w="850" w:type="dxa"/>
            <w:shd w:val="clear" w:color="auto" w:fill="FFFFFF"/>
            <w:tcMar>
              <w:top w:w="0" w:type="dxa"/>
              <w:left w:w="85" w:type="dxa"/>
              <w:bottom w:w="0" w:type="dxa"/>
              <w:right w:w="85" w:type="dxa"/>
            </w:tcMar>
            <w:vAlign w:val="center"/>
          </w:tcPr>
          <w:p w14:paraId="38C2AD93" w14:textId="77777777" w:rsidR="00447423" w:rsidRPr="002A3CBE" w:rsidRDefault="00447423" w:rsidP="00F16E23">
            <w:pPr>
              <w:pStyle w:val="TableText"/>
              <w:spacing w:before="40" w:after="40"/>
              <w:jc w:val="right"/>
              <w:rPr>
                <w:rFonts w:eastAsia="Calibri"/>
              </w:rPr>
            </w:pPr>
            <w:r w:rsidRPr="002A3CBE">
              <w:rPr>
                <w:rFonts w:eastAsia="Calibri"/>
              </w:rPr>
              <w:t>1,464.2</w:t>
            </w:r>
          </w:p>
        </w:tc>
        <w:tc>
          <w:tcPr>
            <w:tcW w:w="850" w:type="dxa"/>
            <w:shd w:val="clear" w:color="auto" w:fill="FFFFFF"/>
            <w:tcMar>
              <w:top w:w="0" w:type="dxa"/>
              <w:left w:w="85" w:type="dxa"/>
              <w:bottom w:w="0" w:type="dxa"/>
              <w:right w:w="85" w:type="dxa"/>
            </w:tcMar>
            <w:vAlign w:val="center"/>
          </w:tcPr>
          <w:p w14:paraId="1F89A351" w14:textId="77777777" w:rsidR="00447423" w:rsidRPr="002A3CBE" w:rsidRDefault="00447423" w:rsidP="00F16E23">
            <w:pPr>
              <w:pStyle w:val="TableText"/>
              <w:spacing w:before="40" w:after="40"/>
              <w:jc w:val="right"/>
              <w:rPr>
                <w:rFonts w:eastAsia="Calibri"/>
              </w:rPr>
            </w:pPr>
            <w:r w:rsidRPr="002A3CBE">
              <w:rPr>
                <w:rFonts w:eastAsia="Calibri"/>
              </w:rPr>
              <w:t>1,379.6</w:t>
            </w:r>
          </w:p>
        </w:tc>
        <w:tc>
          <w:tcPr>
            <w:tcW w:w="1134" w:type="dxa"/>
            <w:shd w:val="clear" w:color="auto" w:fill="FFFFFF"/>
            <w:tcMar>
              <w:top w:w="0" w:type="dxa"/>
              <w:left w:w="85" w:type="dxa"/>
              <w:bottom w:w="0" w:type="dxa"/>
              <w:right w:w="85" w:type="dxa"/>
            </w:tcMar>
            <w:vAlign w:val="center"/>
          </w:tcPr>
          <w:p w14:paraId="7E4B15C4" w14:textId="77777777" w:rsidR="00447423" w:rsidRPr="002A3CBE" w:rsidRDefault="00447423" w:rsidP="00F16E23">
            <w:pPr>
              <w:pStyle w:val="TableText"/>
              <w:spacing w:before="40" w:after="40"/>
              <w:jc w:val="right"/>
              <w:rPr>
                <w:rFonts w:eastAsia="Calibri"/>
              </w:rPr>
            </w:pPr>
            <w:r w:rsidRPr="002A3CBE">
              <w:rPr>
                <w:rFonts w:eastAsia="Calibri"/>
              </w:rPr>
              <w:t>-5.8</w:t>
            </w:r>
          </w:p>
        </w:tc>
      </w:tr>
      <w:tr w:rsidR="00447423" w:rsidRPr="002A3CBE" w14:paraId="5E68D14F" w14:textId="77777777" w:rsidTr="00F16E23">
        <w:tc>
          <w:tcPr>
            <w:tcW w:w="2551" w:type="dxa"/>
            <w:shd w:val="clear" w:color="auto" w:fill="FFFFFF"/>
            <w:tcMar>
              <w:top w:w="0" w:type="dxa"/>
              <w:left w:w="85" w:type="dxa"/>
              <w:bottom w:w="0" w:type="dxa"/>
              <w:right w:w="85" w:type="dxa"/>
            </w:tcMar>
            <w:vAlign w:val="center"/>
          </w:tcPr>
          <w:p w14:paraId="054070D8" w14:textId="77777777" w:rsidR="00447423" w:rsidRPr="002A3CBE" w:rsidRDefault="00447423" w:rsidP="00F16E23">
            <w:pPr>
              <w:pStyle w:val="TableText"/>
              <w:spacing w:before="40" w:after="40"/>
              <w:rPr>
                <w:rFonts w:eastAsia="Calibri"/>
              </w:rPr>
            </w:pPr>
            <w:r w:rsidRPr="002A3CBE">
              <w:rPr>
                <w:rFonts w:eastAsia="Calibri"/>
              </w:rPr>
              <w:t>Land converted to grassland</w:t>
            </w:r>
          </w:p>
        </w:tc>
        <w:tc>
          <w:tcPr>
            <w:tcW w:w="1020" w:type="dxa"/>
            <w:shd w:val="clear" w:color="auto" w:fill="FFFFFF"/>
            <w:tcMar>
              <w:top w:w="0" w:type="dxa"/>
              <w:left w:w="85" w:type="dxa"/>
              <w:bottom w:w="0" w:type="dxa"/>
              <w:right w:w="85" w:type="dxa"/>
            </w:tcMar>
            <w:vAlign w:val="center"/>
          </w:tcPr>
          <w:p w14:paraId="1435BE47" w14:textId="77777777" w:rsidR="00447423" w:rsidRPr="002A3CBE" w:rsidRDefault="00447423" w:rsidP="00F16E23">
            <w:pPr>
              <w:pStyle w:val="TableText"/>
              <w:spacing w:before="40" w:after="40"/>
              <w:jc w:val="right"/>
              <w:rPr>
                <w:rFonts w:eastAsia="Calibri"/>
              </w:rPr>
            </w:pPr>
            <w:r w:rsidRPr="002A3CBE">
              <w:rPr>
                <w:rFonts w:eastAsia="Calibri"/>
              </w:rPr>
              <w:t>351,543</w:t>
            </w:r>
          </w:p>
        </w:tc>
        <w:tc>
          <w:tcPr>
            <w:tcW w:w="1020" w:type="dxa"/>
            <w:shd w:val="clear" w:color="auto" w:fill="FFFFFF"/>
            <w:tcMar>
              <w:top w:w="0" w:type="dxa"/>
              <w:left w:w="85" w:type="dxa"/>
              <w:bottom w:w="0" w:type="dxa"/>
              <w:right w:w="85" w:type="dxa"/>
            </w:tcMar>
            <w:vAlign w:val="center"/>
          </w:tcPr>
          <w:p w14:paraId="6CD158EC" w14:textId="77777777" w:rsidR="00447423" w:rsidRPr="002A3CBE" w:rsidRDefault="00447423" w:rsidP="00F16E23">
            <w:pPr>
              <w:pStyle w:val="TableText"/>
              <w:spacing w:before="40" w:after="40"/>
              <w:jc w:val="right"/>
              <w:rPr>
                <w:rFonts w:eastAsia="Calibri"/>
              </w:rPr>
            </w:pPr>
            <w:r w:rsidRPr="002A3CBE">
              <w:rPr>
                <w:rFonts w:eastAsia="Calibri"/>
              </w:rPr>
              <w:t>286,080</w:t>
            </w:r>
          </w:p>
        </w:tc>
        <w:tc>
          <w:tcPr>
            <w:tcW w:w="1134" w:type="dxa"/>
            <w:shd w:val="clear" w:color="auto" w:fill="FFFFFF"/>
            <w:tcMar>
              <w:top w:w="0" w:type="dxa"/>
              <w:left w:w="85" w:type="dxa"/>
              <w:bottom w:w="0" w:type="dxa"/>
              <w:right w:w="85" w:type="dxa"/>
            </w:tcMar>
            <w:vAlign w:val="center"/>
          </w:tcPr>
          <w:p w14:paraId="364D393D" w14:textId="77777777" w:rsidR="00447423" w:rsidRPr="002A3CBE" w:rsidRDefault="00447423" w:rsidP="00F16E23">
            <w:pPr>
              <w:pStyle w:val="TableText"/>
              <w:spacing w:before="40" w:after="40"/>
              <w:jc w:val="right"/>
              <w:rPr>
                <w:rFonts w:eastAsia="Calibri"/>
              </w:rPr>
            </w:pPr>
            <w:r w:rsidRPr="002A3CBE">
              <w:rPr>
                <w:rFonts w:eastAsia="Calibri"/>
              </w:rPr>
              <w:t>-18.6</w:t>
            </w:r>
          </w:p>
        </w:tc>
        <w:tc>
          <w:tcPr>
            <w:tcW w:w="850" w:type="dxa"/>
            <w:shd w:val="clear" w:color="auto" w:fill="FFFFFF"/>
            <w:tcMar>
              <w:top w:w="0" w:type="dxa"/>
              <w:left w:w="85" w:type="dxa"/>
              <w:bottom w:w="0" w:type="dxa"/>
              <w:right w:w="85" w:type="dxa"/>
            </w:tcMar>
            <w:vAlign w:val="center"/>
          </w:tcPr>
          <w:p w14:paraId="4B99BB64" w14:textId="77777777" w:rsidR="00447423" w:rsidRPr="002A3CBE" w:rsidRDefault="00447423" w:rsidP="00F16E23">
            <w:pPr>
              <w:pStyle w:val="TableText"/>
              <w:spacing w:before="40" w:after="40"/>
              <w:jc w:val="right"/>
              <w:rPr>
                <w:rFonts w:eastAsia="Calibri"/>
              </w:rPr>
            </w:pPr>
            <w:r w:rsidRPr="002A3CBE">
              <w:rPr>
                <w:rFonts w:eastAsia="Calibri"/>
              </w:rPr>
              <w:t>526.0</w:t>
            </w:r>
          </w:p>
        </w:tc>
        <w:tc>
          <w:tcPr>
            <w:tcW w:w="850" w:type="dxa"/>
            <w:shd w:val="clear" w:color="auto" w:fill="FFFFFF"/>
            <w:tcMar>
              <w:top w:w="0" w:type="dxa"/>
              <w:left w:w="85" w:type="dxa"/>
              <w:bottom w:w="0" w:type="dxa"/>
              <w:right w:w="85" w:type="dxa"/>
            </w:tcMar>
            <w:vAlign w:val="center"/>
          </w:tcPr>
          <w:p w14:paraId="63B6CA2F" w14:textId="77777777" w:rsidR="00447423" w:rsidRPr="002A3CBE" w:rsidRDefault="00447423" w:rsidP="00F16E23">
            <w:pPr>
              <w:pStyle w:val="TableText"/>
              <w:spacing w:before="40" w:after="40"/>
              <w:jc w:val="right"/>
              <w:rPr>
                <w:rFonts w:eastAsia="Calibri"/>
              </w:rPr>
            </w:pPr>
            <w:r w:rsidRPr="002A3CBE">
              <w:rPr>
                <w:rFonts w:eastAsia="Calibri"/>
              </w:rPr>
              <w:t>807.3</w:t>
            </w:r>
          </w:p>
        </w:tc>
        <w:tc>
          <w:tcPr>
            <w:tcW w:w="1134" w:type="dxa"/>
            <w:shd w:val="clear" w:color="auto" w:fill="FFFFFF"/>
            <w:tcMar>
              <w:top w:w="0" w:type="dxa"/>
              <w:left w:w="85" w:type="dxa"/>
              <w:bottom w:w="0" w:type="dxa"/>
              <w:right w:w="85" w:type="dxa"/>
            </w:tcMar>
            <w:vAlign w:val="center"/>
          </w:tcPr>
          <w:p w14:paraId="76776BA0" w14:textId="77777777" w:rsidR="00447423" w:rsidRPr="002A3CBE" w:rsidRDefault="00447423" w:rsidP="00F16E23">
            <w:pPr>
              <w:pStyle w:val="TableText"/>
              <w:spacing w:before="40" w:after="40"/>
              <w:jc w:val="right"/>
              <w:rPr>
                <w:rFonts w:eastAsia="Calibri"/>
              </w:rPr>
            </w:pPr>
            <w:r w:rsidRPr="002A3CBE">
              <w:rPr>
                <w:rFonts w:eastAsia="Calibri"/>
              </w:rPr>
              <w:t>53.5</w:t>
            </w:r>
          </w:p>
        </w:tc>
      </w:tr>
      <w:tr w:rsidR="00447423" w:rsidRPr="002A3CBE" w14:paraId="6186CBB3" w14:textId="77777777" w:rsidTr="00F16E23">
        <w:tc>
          <w:tcPr>
            <w:tcW w:w="2551" w:type="dxa"/>
            <w:shd w:val="clear" w:color="auto" w:fill="FFFFFF"/>
            <w:tcMar>
              <w:top w:w="0" w:type="dxa"/>
              <w:left w:w="85" w:type="dxa"/>
              <w:bottom w:w="0" w:type="dxa"/>
              <w:right w:w="85" w:type="dxa"/>
            </w:tcMar>
            <w:vAlign w:val="center"/>
          </w:tcPr>
          <w:p w14:paraId="7632AB06"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020" w:type="dxa"/>
            <w:shd w:val="clear" w:color="auto" w:fill="FFFFFF"/>
            <w:tcMar>
              <w:top w:w="0" w:type="dxa"/>
              <w:left w:w="85" w:type="dxa"/>
              <w:bottom w:w="0" w:type="dxa"/>
              <w:right w:w="85" w:type="dxa"/>
            </w:tcMar>
            <w:vAlign w:val="center"/>
          </w:tcPr>
          <w:p w14:paraId="10D7F187" w14:textId="77777777" w:rsidR="00447423" w:rsidRPr="002A3CBE" w:rsidRDefault="00447423" w:rsidP="00F16E23">
            <w:pPr>
              <w:pStyle w:val="Tableboldblue"/>
              <w:spacing w:before="40" w:after="40"/>
              <w:jc w:val="right"/>
              <w:rPr>
                <w:rFonts w:eastAsia="Calibri"/>
              </w:rPr>
            </w:pPr>
            <w:r w:rsidRPr="002A3CBE">
              <w:rPr>
                <w:rFonts w:eastAsia="Calibri"/>
              </w:rPr>
              <w:t>15,256,284</w:t>
            </w:r>
          </w:p>
        </w:tc>
        <w:tc>
          <w:tcPr>
            <w:tcW w:w="1020" w:type="dxa"/>
            <w:shd w:val="clear" w:color="auto" w:fill="FFFFFF"/>
            <w:tcMar>
              <w:top w:w="0" w:type="dxa"/>
              <w:left w:w="85" w:type="dxa"/>
              <w:bottom w:w="0" w:type="dxa"/>
              <w:right w:w="85" w:type="dxa"/>
            </w:tcMar>
            <w:vAlign w:val="center"/>
          </w:tcPr>
          <w:p w14:paraId="475994B2" w14:textId="77777777" w:rsidR="00447423" w:rsidRPr="002A3CBE" w:rsidRDefault="00447423" w:rsidP="00F16E23">
            <w:pPr>
              <w:pStyle w:val="Tableboldblue"/>
              <w:spacing w:before="40" w:after="40"/>
              <w:jc w:val="right"/>
              <w:rPr>
                <w:rFonts w:eastAsia="Calibri"/>
              </w:rPr>
            </w:pPr>
            <w:r w:rsidRPr="002A3CBE">
              <w:rPr>
                <w:rFonts w:eastAsia="Calibri"/>
              </w:rPr>
              <w:t>14,247,078</w:t>
            </w:r>
          </w:p>
        </w:tc>
        <w:tc>
          <w:tcPr>
            <w:tcW w:w="1134" w:type="dxa"/>
            <w:shd w:val="clear" w:color="auto" w:fill="FFFFFF"/>
            <w:tcMar>
              <w:top w:w="0" w:type="dxa"/>
              <w:left w:w="85" w:type="dxa"/>
              <w:bottom w:w="0" w:type="dxa"/>
              <w:right w:w="85" w:type="dxa"/>
            </w:tcMar>
            <w:vAlign w:val="center"/>
          </w:tcPr>
          <w:p w14:paraId="52AA4389" w14:textId="77777777" w:rsidR="00447423" w:rsidRPr="002A3CBE" w:rsidRDefault="00447423" w:rsidP="00F16E23">
            <w:pPr>
              <w:pStyle w:val="Tableboldblue"/>
              <w:spacing w:before="40" w:after="40"/>
              <w:jc w:val="right"/>
              <w:rPr>
                <w:rFonts w:eastAsia="Calibri"/>
              </w:rPr>
            </w:pPr>
            <w:r w:rsidRPr="002A3CBE">
              <w:rPr>
                <w:rFonts w:eastAsia="Calibri"/>
              </w:rPr>
              <w:t>-6.6</w:t>
            </w:r>
          </w:p>
        </w:tc>
        <w:tc>
          <w:tcPr>
            <w:tcW w:w="850" w:type="dxa"/>
            <w:shd w:val="clear" w:color="auto" w:fill="FFFFFF"/>
            <w:tcMar>
              <w:top w:w="0" w:type="dxa"/>
              <w:left w:w="85" w:type="dxa"/>
              <w:bottom w:w="0" w:type="dxa"/>
              <w:right w:w="85" w:type="dxa"/>
            </w:tcMar>
            <w:vAlign w:val="center"/>
          </w:tcPr>
          <w:p w14:paraId="68EDB48F" w14:textId="77777777" w:rsidR="00447423" w:rsidRPr="002A3CBE" w:rsidRDefault="00447423" w:rsidP="00F16E23">
            <w:pPr>
              <w:pStyle w:val="Tableboldblue"/>
              <w:spacing w:before="40" w:after="40"/>
              <w:jc w:val="right"/>
              <w:rPr>
                <w:rFonts w:eastAsia="Calibri"/>
              </w:rPr>
            </w:pPr>
            <w:r w:rsidRPr="002A3CBE">
              <w:rPr>
                <w:rFonts w:eastAsia="Calibri"/>
              </w:rPr>
              <w:t>1,990.1</w:t>
            </w:r>
          </w:p>
        </w:tc>
        <w:tc>
          <w:tcPr>
            <w:tcW w:w="850" w:type="dxa"/>
            <w:shd w:val="clear" w:color="auto" w:fill="FFFFFF"/>
            <w:tcMar>
              <w:top w:w="0" w:type="dxa"/>
              <w:left w:w="85" w:type="dxa"/>
              <w:bottom w:w="0" w:type="dxa"/>
              <w:right w:w="85" w:type="dxa"/>
            </w:tcMar>
            <w:vAlign w:val="center"/>
          </w:tcPr>
          <w:p w14:paraId="0234D155" w14:textId="77777777" w:rsidR="00447423" w:rsidRPr="002A3CBE" w:rsidRDefault="00447423" w:rsidP="00F16E23">
            <w:pPr>
              <w:pStyle w:val="Tableboldblue"/>
              <w:spacing w:before="40" w:after="40"/>
              <w:jc w:val="right"/>
              <w:rPr>
                <w:rFonts w:eastAsia="Calibri"/>
              </w:rPr>
            </w:pPr>
            <w:r w:rsidRPr="002A3CBE">
              <w:rPr>
                <w:rFonts w:eastAsia="Calibri"/>
              </w:rPr>
              <w:t>2,186.9</w:t>
            </w:r>
          </w:p>
        </w:tc>
        <w:tc>
          <w:tcPr>
            <w:tcW w:w="1134" w:type="dxa"/>
            <w:shd w:val="clear" w:color="auto" w:fill="FFFFFF"/>
            <w:tcMar>
              <w:top w:w="0" w:type="dxa"/>
              <w:left w:w="85" w:type="dxa"/>
              <w:bottom w:w="0" w:type="dxa"/>
              <w:right w:w="85" w:type="dxa"/>
            </w:tcMar>
            <w:vAlign w:val="center"/>
          </w:tcPr>
          <w:p w14:paraId="3F4F5543" w14:textId="77777777" w:rsidR="00447423" w:rsidRPr="002A3CBE" w:rsidRDefault="00447423" w:rsidP="00F16E23">
            <w:pPr>
              <w:pStyle w:val="Tableboldblue"/>
              <w:spacing w:before="40" w:after="40"/>
              <w:jc w:val="right"/>
              <w:rPr>
                <w:rFonts w:eastAsia="Calibri"/>
              </w:rPr>
            </w:pPr>
            <w:r w:rsidRPr="002A3CBE">
              <w:rPr>
                <w:rFonts w:eastAsia="Calibri"/>
              </w:rPr>
              <w:t>9.9</w:t>
            </w:r>
          </w:p>
        </w:tc>
      </w:tr>
    </w:tbl>
    <w:p w14:paraId="0B417323" w14:textId="77777777" w:rsidR="00447423" w:rsidRPr="002A3CBE" w:rsidRDefault="00447423" w:rsidP="00447423">
      <w:pPr>
        <w:pStyle w:val="Noteundertable"/>
        <w:spacing w:after="100"/>
        <w:rPr>
          <w:rFonts w:eastAsia="Segoe UI"/>
        </w:rPr>
      </w:pPr>
      <w:r w:rsidRPr="002A3CBE">
        <w:rPr>
          <w:rFonts w:eastAsia="Segoe UI"/>
          <w:b/>
        </w:rPr>
        <w:t>Note:</w:t>
      </w:r>
      <w:r w:rsidRPr="002A3CBE">
        <w:rPr>
          <w:rFonts w:eastAsia="Segoe UI"/>
        </w:rPr>
        <w:tab/>
      </w:r>
      <w:r w:rsidRPr="002A3CBE">
        <w:t xml:space="preserve">Net area in 1990 is as at 1 January 1990; net area in 2024 is as at 31 December 2024. </w:t>
      </w:r>
      <w:r w:rsidRPr="002A3CBE">
        <w:rPr>
          <w:i/>
        </w:rPr>
        <w:t>Land converted to grassland</w:t>
      </w:r>
      <w:r w:rsidRPr="002A3CBE">
        <w:t xml:space="preserve"> includes land converted up to 20 years earlier. Net emission estimates are for the whole year indicated. Columns may not total due to rounding.</w:t>
      </w:r>
    </w:p>
    <w:p w14:paraId="68EAC8C6" w14:textId="77777777" w:rsidR="00447423" w:rsidRPr="002A3CBE" w:rsidRDefault="00447423" w:rsidP="00447423">
      <w:pPr>
        <w:pStyle w:val="BodyText"/>
        <w:spacing w:after="100"/>
      </w:pPr>
      <w:r w:rsidRPr="002A3CBE">
        <w:t xml:space="preserve">In New Zealand, the </w:t>
      </w:r>
      <w:r w:rsidRPr="002A3CBE">
        <w:rPr>
          <w:i/>
        </w:rPr>
        <w:t>Grassland</w:t>
      </w:r>
      <w:r w:rsidRPr="002A3CBE">
        <w:t xml:space="preserve"> category is used to describe a range of land cover types. In this submission, three types of </w:t>
      </w:r>
      <w:r w:rsidRPr="002A3CBE">
        <w:rPr>
          <w:i/>
        </w:rPr>
        <w:t>Grassland</w:t>
      </w:r>
      <w:r w:rsidRPr="002A3CBE">
        <w:t xml:space="preserve"> are used: high producing, low producing, and with woody biomass. Detailed descriptions of each </w:t>
      </w:r>
      <w:r w:rsidRPr="002A3CBE">
        <w:rPr>
          <w:i/>
        </w:rPr>
        <w:t>Grassland</w:t>
      </w:r>
      <w:r w:rsidRPr="002A3CBE">
        <w:t xml:space="preserve"> type can be found in table 6.2.2 and are briefly summarised below:</w:t>
      </w:r>
    </w:p>
    <w:p w14:paraId="12254393" w14:textId="77777777" w:rsidR="00447423" w:rsidRPr="002A3CBE" w:rsidRDefault="00447423" w:rsidP="00447423">
      <w:pPr>
        <w:pStyle w:val="Bullet"/>
        <w:numPr>
          <w:ilvl w:val="0"/>
          <w:numId w:val="29"/>
        </w:numPr>
        <w:spacing w:after="100"/>
        <w:ind w:left="397" w:hanging="397"/>
      </w:pPr>
      <w:r w:rsidRPr="002A3CBE">
        <w:rPr>
          <w:i/>
          <w:iCs/>
        </w:rPr>
        <w:t xml:space="preserve">High producing grassland </w:t>
      </w:r>
      <w:r w:rsidRPr="002A3CBE">
        <w:t>– intensively managed pasture land</w:t>
      </w:r>
    </w:p>
    <w:p w14:paraId="3A9E2A9B" w14:textId="77777777" w:rsidR="00447423" w:rsidRPr="002A3CBE" w:rsidRDefault="00447423" w:rsidP="00447423">
      <w:pPr>
        <w:pStyle w:val="Bullet"/>
        <w:numPr>
          <w:ilvl w:val="0"/>
          <w:numId w:val="29"/>
        </w:numPr>
        <w:spacing w:after="100"/>
        <w:ind w:left="397" w:hanging="397"/>
      </w:pPr>
      <w:r w:rsidRPr="002A3CBE">
        <w:rPr>
          <w:i/>
          <w:iCs/>
        </w:rPr>
        <w:t>Low producing grassland</w:t>
      </w:r>
      <w:r w:rsidRPr="002A3CBE">
        <w:t xml:space="preserve"> – low-fertility grasses on hill country, areas of native tussock and areas composed of low, shrubby vegetation, both above and below the timberline</w:t>
      </w:r>
    </w:p>
    <w:p w14:paraId="60D54BBB" w14:textId="77777777" w:rsidR="00447423" w:rsidRPr="002A3CBE" w:rsidRDefault="00447423" w:rsidP="00447423">
      <w:pPr>
        <w:pStyle w:val="Bullet"/>
        <w:numPr>
          <w:ilvl w:val="0"/>
          <w:numId w:val="29"/>
        </w:numPr>
        <w:spacing w:after="100"/>
        <w:ind w:left="397" w:hanging="397"/>
      </w:pPr>
      <w:r w:rsidRPr="002A3CBE">
        <w:rPr>
          <w:i/>
          <w:iCs/>
        </w:rPr>
        <w:t>Grassland with woody biomass</w:t>
      </w:r>
      <w:r w:rsidRPr="002A3CBE">
        <w:t xml:space="preserve"> – grassland areas where the cover of woody species is less than 30 percent and/or does not meet, nor has the potential to meet, the New Zealand forest definition due to the current management regime (e.g., periodically cleared for grazing), or due to characteristics of the vegetation or environmental constraints (e.g., alpine shrubland).</w:t>
      </w:r>
    </w:p>
    <w:p w14:paraId="71C73373" w14:textId="77777777" w:rsidR="00447423" w:rsidRPr="002A3CBE" w:rsidRDefault="00447423" w:rsidP="00447423">
      <w:pPr>
        <w:pStyle w:val="BodyText"/>
        <w:spacing w:before="100" w:after="100"/>
      </w:pPr>
      <w:r w:rsidRPr="002A3CBE">
        <w:rPr>
          <w:i/>
          <w:iCs/>
        </w:rPr>
        <w:t>Grassland with woody biomass</w:t>
      </w:r>
      <w:r w:rsidRPr="002A3CBE">
        <w:t xml:space="preserve"> is a diverse land use and has therefore been disaggregated into two types: permanent (51.1 percent) and transitional (48.9 percent), as described in table 6.6.2. A grid-based assessment of </w:t>
      </w:r>
      <w:r w:rsidRPr="002A3CBE">
        <w:rPr>
          <w:i/>
          <w:iCs/>
        </w:rPr>
        <w:t>Grassland with woody biomass</w:t>
      </w:r>
      <w:r w:rsidRPr="002A3CBE">
        <w:t xml:space="preserve"> was used to determine this disaggregation; this was done through a combination of plot measurements and virtual assessments of grid points where plots did not exist (Wakelin and Beets, 2013). Separate emission factors for each type of </w:t>
      </w:r>
      <w:r w:rsidRPr="002A3CBE">
        <w:rPr>
          <w:i/>
          <w:iCs/>
        </w:rPr>
        <w:t>Grassland with woody biomass</w:t>
      </w:r>
      <w:r w:rsidRPr="002A3CBE">
        <w:t xml:space="preserve"> are derived from the LUCAS national plot network (Wakelin and Beets, 2013). Within the CRTs, reporting on </w:t>
      </w:r>
      <w:r w:rsidRPr="002A3CBE">
        <w:rPr>
          <w:i/>
          <w:iCs/>
        </w:rPr>
        <w:t>Grassland with woody biomass</w:t>
      </w:r>
      <w:r w:rsidRPr="002A3CBE">
        <w:t xml:space="preserve"> is at the aggregate level. </w:t>
      </w:r>
    </w:p>
    <w:p w14:paraId="020DBFE9" w14:textId="77777777" w:rsidR="00447423" w:rsidRPr="002A3CBE" w:rsidRDefault="00447423" w:rsidP="00447423">
      <w:pPr>
        <w:pStyle w:val="Table"/>
      </w:pPr>
      <w:bookmarkStart w:id="2438" w:name="_Toc131591409"/>
      <w:bookmarkStart w:id="2439" w:name="_Toc158979967"/>
      <w:bookmarkStart w:id="2440" w:name="_Toc164153900"/>
      <w:bookmarkStart w:id="2441" w:name="_Toc190873134"/>
      <w:bookmarkStart w:id="2442" w:name="_Toc194241773"/>
      <w:bookmarkStart w:id="2443" w:name="_Toc222837924"/>
      <w:bookmarkStart w:id="2444" w:name="_Toc226669070"/>
      <w:r w:rsidRPr="002A3CBE">
        <w:t>Table 6.6.2</w:t>
      </w:r>
      <w:r w:rsidRPr="002A3CBE">
        <w:tab/>
      </w:r>
      <w:r w:rsidRPr="002A3CBE">
        <w:rPr>
          <w:i/>
          <w:iCs/>
        </w:rPr>
        <w:t>Grassland with woody biomass</w:t>
      </w:r>
      <w:r w:rsidRPr="002A3CBE">
        <w:t xml:space="preserve"> categories and description</w:t>
      </w:r>
      <w:bookmarkEnd w:id="2438"/>
      <w:bookmarkEnd w:id="2439"/>
      <w:bookmarkEnd w:id="2440"/>
      <w:bookmarkEnd w:id="2441"/>
      <w:bookmarkEnd w:id="2442"/>
      <w:bookmarkEnd w:id="2443"/>
      <w:bookmarkEnd w:id="2444"/>
    </w:p>
    <w:tbl>
      <w:tblPr>
        <w:tblW w:w="8505" w:type="dxa"/>
        <w:tblBorders>
          <w:top w:val="single" w:sz="4" w:space="0" w:color="365F91"/>
          <w:bottom w:val="single" w:sz="4" w:space="0" w:color="365F91"/>
          <w:insideH w:val="single" w:sz="4" w:space="0" w:color="365F91"/>
          <w:insideV w:val="single" w:sz="4" w:space="0" w:color="365F91"/>
        </w:tblBorders>
        <w:tblCellMar>
          <w:right w:w="85" w:type="dxa"/>
        </w:tblCellMar>
        <w:tblLook w:val="04A0" w:firstRow="1" w:lastRow="0" w:firstColumn="1" w:lastColumn="0" w:noHBand="0" w:noVBand="1"/>
      </w:tblPr>
      <w:tblGrid>
        <w:gridCol w:w="1985"/>
        <w:gridCol w:w="3260"/>
        <w:gridCol w:w="3260"/>
      </w:tblGrid>
      <w:tr w:rsidR="00447423" w:rsidRPr="002A3CBE" w14:paraId="362C1531" w14:textId="77777777" w:rsidTr="00F16E23">
        <w:trPr>
          <w:tblHeader/>
        </w:trPr>
        <w:tc>
          <w:tcPr>
            <w:tcW w:w="1985" w:type="dxa"/>
            <w:tcBorders>
              <w:top w:val="single" w:sz="4" w:space="0" w:color="1B556B"/>
              <w:left w:val="nil"/>
              <w:bottom w:val="single" w:sz="4" w:space="0" w:color="1B556B"/>
              <w:right w:val="nil"/>
            </w:tcBorders>
            <w:shd w:val="clear" w:color="auto" w:fill="1B556B" w:themeFill="text2"/>
            <w:hideMark/>
          </w:tcPr>
          <w:p w14:paraId="64880E4E" w14:textId="77777777" w:rsidR="00447423" w:rsidRPr="002A3CBE" w:rsidRDefault="00447423" w:rsidP="00F16E23">
            <w:pPr>
              <w:pStyle w:val="TableTextBold"/>
              <w:spacing w:before="40" w:after="40" w:line="256" w:lineRule="auto"/>
              <w:rPr>
                <w:noProof w:val="0"/>
                <w:color w:val="FFFFFF"/>
              </w:rPr>
            </w:pPr>
            <w:r w:rsidRPr="002A3CBE">
              <w:rPr>
                <w:i/>
                <w:iCs/>
                <w:noProof w:val="0"/>
                <w:color w:val="FFFFFF"/>
              </w:rPr>
              <w:t>Grassland with woody biomass</w:t>
            </w:r>
            <w:r w:rsidRPr="002A3CBE">
              <w:rPr>
                <w:noProof w:val="0"/>
                <w:color w:val="FFFFFF"/>
              </w:rPr>
              <w:t xml:space="preserve"> categories</w:t>
            </w:r>
          </w:p>
        </w:tc>
        <w:tc>
          <w:tcPr>
            <w:tcW w:w="3260" w:type="dxa"/>
            <w:tcBorders>
              <w:top w:val="single" w:sz="4" w:space="0" w:color="1B556B"/>
              <w:left w:val="nil"/>
              <w:bottom w:val="single" w:sz="4" w:space="0" w:color="1B556B"/>
              <w:right w:val="nil"/>
            </w:tcBorders>
            <w:shd w:val="clear" w:color="auto" w:fill="1B556B" w:themeFill="text2"/>
            <w:vAlign w:val="bottom"/>
            <w:hideMark/>
          </w:tcPr>
          <w:p w14:paraId="5299BD2C" w14:textId="77777777" w:rsidR="00447423" w:rsidRPr="002A3CBE" w:rsidRDefault="00447423" w:rsidP="00F16E23">
            <w:pPr>
              <w:pStyle w:val="TableTextBold"/>
              <w:spacing w:before="40" w:after="40" w:line="256" w:lineRule="auto"/>
              <w:rPr>
                <w:noProof w:val="0"/>
                <w:color w:val="FFFFFF"/>
              </w:rPr>
            </w:pPr>
            <w:r w:rsidRPr="002A3CBE">
              <w:rPr>
                <w:noProof w:val="0"/>
                <w:color w:val="FFFFFF"/>
              </w:rPr>
              <w:t>Description</w:t>
            </w:r>
          </w:p>
        </w:tc>
        <w:tc>
          <w:tcPr>
            <w:tcW w:w="3260" w:type="dxa"/>
            <w:tcBorders>
              <w:top w:val="single" w:sz="4" w:space="0" w:color="1B556B"/>
              <w:left w:val="nil"/>
              <w:bottom w:val="single" w:sz="4" w:space="0" w:color="1B556B"/>
              <w:right w:val="single" w:sz="4" w:space="0" w:color="365F91"/>
            </w:tcBorders>
            <w:shd w:val="clear" w:color="auto" w:fill="1B556B" w:themeFill="text2"/>
            <w:vAlign w:val="bottom"/>
          </w:tcPr>
          <w:p w14:paraId="6EFB34F9" w14:textId="77777777" w:rsidR="00447423" w:rsidRPr="002A3CBE" w:rsidRDefault="00447423" w:rsidP="00F16E23">
            <w:pPr>
              <w:pStyle w:val="TableTextBold"/>
              <w:spacing w:before="40" w:after="40" w:line="256" w:lineRule="auto"/>
              <w:rPr>
                <w:noProof w:val="0"/>
                <w:color w:val="FFFFFF"/>
              </w:rPr>
            </w:pPr>
            <w:r w:rsidRPr="002A3CBE">
              <w:rPr>
                <w:noProof w:val="0"/>
                <w:color w:val="FFFFFF"/>
              </w:rPr>
              <w:t xml:space="preserve">Expected occurrence </w:t>
            </w:r>
          </w:p>
        </w:tc>
      </w:tr>
      <w:tr w:rsidR="00447423" w:rsidRPr="002A3CBE" w14:paraId="08A644E6" w14:textId="77777777" w:rsidTr="00F16E23">
        <w:tc>
          <w:tcPr>
            <w:tcW w:w="1985" w:type="dxa"/>
            <w:tcBorders>
              <w:top w:val="single" w:sz="4" w:space="0" w:color="1B556B"/>
              <w:left w:val="nil"/>
              <w:bottom w:val="single" w:sz="4" w:space="0" w:color="365F91"/>
              <w:right w:val="nil"/>
            </w:tcBorders>
            <w:hideMark/>
          </w:tcPr>
          <w:p w14:paraId="5435BF75" w14:textId="77777777" w:rsidR="00447423" w:rsidRPr="002A3CBE" w:rsidRDefault="00447423" w:rsidP="00F16E23">
            <w:pPr>
              <w:pStyle w:val="TableText"/>
              <w:spacing w:before="40" w:after="40" w:line="256" w:lineRule="auto"/>
              <w:rPr>
                <w:rFonts w:cs="Arial Bold"/>
                <w:szCs w:val="16"/>
              </w:rPr>
            </w:pPr>
            <w:r w:rsidRPr="002A3CBE">
              <w:rPr>
                <w:rFonts w:cs="Arial Bold"/>
                <w:szCs w:val="16"/>
              </w:rPr>
              <w:t xml:space="preserve">Transitional </w:t>
            </w:r>
          </w:p>
        </w:tc>
        <w:tc>
          <w:tcPr>
            <w:tcW w:w="3260" w:type="dxa"/>
            <w:tcBorders>
              <w:top w:val="single" w:sz="4" w:space="0" w:color="1B556B"/>
              <w:left w:val="nil"/>
              <w:bottom w:val="single" w:sz="4" w:space="0" w:color="365F91"/>
              <w:right w:val="nil"/>
            </w:tcBorders>
            <w:hideMark/>
          </w:tcPr>
          <w:p w14:paraId="2CFED05C" w14:textId="77777777" w:rsidR="00447423" w:rsidRPr="002A3CBE" w:rsidRDefault="00447423" w:rsidP="00F16E23">
            <w:pPr>
              <w:pStyle w:val="TableText"/>
              <w:spacing w:before="40" w:after="40" w:line="256" w:lineRule="auto"/>
              <w:rPr>
                <w:rFonts w:cs="Arial Bold"/>
                <w:szCs w:val="16"/>
              </w:rPr>
            </w:pPr>
            <w:r w:rsidRPr="002A3CBE">
              <w:rPr>
                <w:rFonts w:cs="Arial Bold"/>
                <w:szCs w:val="16"/>
              </w:rPr>
              <w:t xml:space="preserve">Areas of woody shrublands within farmland that </w:t>
            </w:r>
            <w:r w:rsidRPr="002A3CBE">
              <w:t>do not become forest over a 30- to 40</w:t>
            </w:r>
            <w:r w:rsidRPr="002A3CBE">
              <w:noBreakHyphen/>
              <w:t>year timeframe (Trotter and MacKay, unpublished).</w:t>
            </w:r>
          </w:p>
        </w:tc>
        <w:tc>
          <w:tcPr>
            <w:tcW w:w="3260" w:type="dxa"/>
            <w:tcBorders>
              <w:top w:val="single" w:sz="4" w:space="0" w:color="1B556B"/>
              <w:left w:val="nil"/>
              <w:bottom w:val="single" w:sz="4" w:space="0" w:color="365F91"/>
              <w:right w:val="nil"/>
            </w:tcBorders>
          </w:tcPr>
          <w:p w14:paraId="468C1FA1" w14:textId="77777777" w:rsidR="00447423" w:rsidRPr="002A3CBE" w:rsidRDefault="00447423" w:rsidP="00F16E23">
            <w:pPr>
              <w:pStyle w:val="TableText"/>
              <w:spacing w:before="40" w:after="40" w:line="256" w:lineRule="auto"/>
              <w:rPr>
                <w:rFonts w:cs="Arial Bold"/>
                <w:szCs w:val="16"/>
              </w:rPr>
            </w:pPr>
            <w:r w:rsidRPr="002A3CBE">
              <w:rPr>
                <w:rFonts w:cs="Arial Bold"/>
                <w:szCs w:val="16"/>
              </w:rPr>
              <w:t xml:space="preserve">Where livestock grazes areas of woody shrubland or where woody shrubland is managed in other ways (e.g., spraying) to prevent it from becoming forest. </w:t>
            </w:r>
          </w:p>
        </w:tc>
      </w:tr>
      <w:tr w:rsidR="00447423" w:rsidRPr="002A3CBE" w14:paraId="64B3E449" w14:textId="77777777" w:rsidTr="00F16E23">
        <w:tc>
          <w:tcPr>
            <w:tcW w:w="1985" w:type="dxa"/>
            <w:tcBorders>
              <w:top w:val="single" w:sz="4" w:space="0" w:color="365F91"/>
              <w:left w:val="nil"/>
              <w:bottom w:val="single" w:sz="4" w:space="0" w:color="365F91"/>
              <w:right w:val="nil"/>
            </w:tcBorders>
          </w:tcPr>
          <w:p w14:paraId="6DADE420" w14:textId="77777777" w:rsidR="00447423" w:rsidRPr="002A3CBE" w:rsidRDefault="00447423" w:rsidP="00F16E23">
            <w:pPr>
              <w:pStyle w:val="TableText"/>
              <w:spacing w:before="40" w:after="40" w:line="256" w:lineRule="auto"/>
              <w:rPr>
                <w:rFonts w:cs="Arial Bold"/>
                <w:szCs w:val="16"/>
              </w:rPr>
            </w:pPr>
            <w:r w:rsidRPr="002A3CBE">
              <w:rPr>
                <w:rFonts w:cs="Arial Bold"/>
                <w:szCs w:val="16"/>
              </w:rPr>
              <w:t>Permanent</w:t>
            </w:r>
          </w:p>
        </w:tc>
        <w:tc>
          <w:tcPr>
            <w:tcW w:w="3260" w:type="dxa"/>
            <w:tcBorders>
              <w:top w:val="single" w:sz="4" w:space="0" w:color="365F91"/>
              <w:left w:val="nil"/>
              <w:bottom w:val="single" w:sz="4" w:space="0" w:color="365F91"/>
              <w:right w:val="nil"/>
            </w:tcBorders>
            <w:hideMark/>
          </w:tcPr>
          <w:p w14:paraId="43157EC9" w14:textId="77777777" w:rsidR="00447423" w:rsidRPr="002A3CBE" w:rsidRDefault="00447423" w:rsidP="00F16E23">
            <w:pPr>
              <w:pStyle w:val="TableText"/>
              <w:spacing w:before="40" w:after="40" w:line="256" w:lineRule="auto"/>
              <w:rPr>
                <w:rFonts w:cs="Arial Bold"/>
                <w:szCs w:val="16"/>
              </w:rPr>
            </w:pPr>
            <w:r w:rsidRPr="002A3CBE">
              <w:rPr>
                <w:rFonts w:cs="Arial Bold"/>
                <w:szCs w:val="16"/>
              </w:rPr>
              <w:t xml:space="preserve">Land covered by woody vegetation that does not meet the forest definition and is not expected to do so under current ecological, management or environmental conditions. </w:t>
            </w:r>
          </w:p>
        </w:tc>
        <w:tc>
          <w:tcPr>
            <w:tcW w:w="3260" w:type="dxa"/>
            <w:tcBorders>
              <w:top w:val="single" w:sz="4" w:space="0" w:color="365F91"/>
              <w:left w:val="nil"/>
              <w:bottom w:val="single" w:sz="4" w:space="0" w:color="365F91"/>
              <w:right w:val="nil"/>
            </w:tcBorders>
          </w:tcPr>
          <w:p w14:paraId="2AADB2DF" w14:textId="77777777" w:rsidR="00447423" w:rsidRPr="002A3CBE" w:rsidRDefault="00447423" w:rsidP="00F16E23">
            <w:pPr>
              <w:pStyle w:val="TableText"/>
              <w:spacing w:before="40" w:after="40" w:line="256" w:lineRule="auto"/>
              <w:rPr>
                <w:rFonts w:cs="Arial Bold"/>
                <w:szCs w:val="16"/>
              </w:rPr>
            </w:pPr>
            <w:r w:rsidRPr="002A3CBE">
              <w:rPr>
                <w:rFonts w:cs="Arial Bold"/>
                <w:szCs w:val="16"/>
              </w:rPr>
              <w:t>Where abiotic conditions at a site are conducive to low-stature vegetation; for example, vegetation growing at high altitudes, on low-fertility soil or on frost flats.</w:t>
            </w:r>
          </w:p>
        </w:tc>
      </w:tr>
    </w:tbl>
    <w:p w14:paraId="6449A51A" w14:textId="77777777" w:rsidR="00447423" w:rsidRPr="002A3CBE" w:rsidRDefault="00447423" w:rsidP="00447423">
      <w:pPr>
        <w:pStyle w:val="BodyText"/>
        <w:spacing w:before="240" w:after="100"/>
      </w:pPr>
      <w:r w:rsidRPr="002A3CBE">
        <w:t xml:space="preserve">In 2024, there were 6,720,087 hectares of </w:t>
      </w:r>
      <w:r w:rsidRPr="002A3CBE">
        <w:rPr>
          <w:i/>
          <w:iCs/>
        </w:rPr>
        <w:t>H</w:t>
      </w:r>
      <w:r w:rsidRPr="002A3CBE">
        <w:rPr>
          <w:i/>
        </w:rPr>
        <w:t>igh producing grassland</w:t>
      </w:r>
      <w:r w:rsidRPr="002A3CBE">
        <w:t xml:space="preserve"> (25.0 percent of total land area), 6,189,857 hectares of </w:t>
      </w:r>
      <w:r w:rsidRPr="002A3CBE">
        <w:rPr>
          <w:i/>
          <w:iCs/>
        </w:rPr>
        <w:t>Low producing grassland</w:t>
      </w:r>
      <w:r w:rsidRPr="002A3CBE">
        <w:t xml:space="preserve"> (23.0 percent of total land area) and 1,337,134 hectares of </w:t>
      </w:r>
      <w:r w:rsidRPr="002A3CBE">
        <w:rPr>
          <w:i/>
          <w:iCs/>
        </w:rPr>
        <w:t>Grassland with woody biomass</w:t>
      </w:r>
      <w:r w:rsidRPr="002A3CBE">
        <w:t xml:space="preserve"> (5.0 percent of total land area). The area of</w:t>
      </w:r>
      <w:r w:rsidRPr="002A3CBE">
        <w:rPr>
          <w:i/>
          <w:iCs/>
        </w:rPr>
        <w:t xml:space="preserve"> Grassland with woody biomass</w:t>
      </w:r>
      <w:r w:rsidRPr="002A3CBE">
        <w:t xml:space="preserve"> comprises 479,266 hectares of permanent and 857,868 hectares of transitional </w:t>
      </w:r>
      <w:r w:rsidRPr="002A3CBE">
        <w:rPr>
          <w:i/>
          <w:iCs/>
        </w:rPr>
        <w:t>Grassland with woody biomass</w:t>
      </w:r>
      <w:r w:rsidRPr="002A3CBE">
        <w:t xml:space="preserve">. </w:t>
      </w:r>
    </w:p>
    <w:p w14:paraId="784FB574" w14:textId="77777777" w:rsidR="00447423" w:rsidRPr="002A3CBE" w:rsidRDefault="00447423" w:rsidP="00447423">
      <w:pPr>
        <w:pStyle w:val="BodyText"/>
        <w:spacing w:after="100"/>
      </w:pPr>
      <w:r w:rsidRPr="002A3CBE">
        <w:t xml:space="preserve">From 1990 to 2024, the net carbon stock change attributed to </w:t>
      </w:r>
      <w:r w:rsidRPr="002A3CBE">
        <w:rPr>
          <w:i/>
        </w:rPr>
        <w:t>Grassland</w:t>
      </w:r>
      <w:r w:rsidRPr="002A3CBE">
        <w:t xml:space="preserve"> was a loss of 54,061.1 kt C, equivalent to 198,224.1 kt CO</w:t>
      </w:r>
      <w:r w:rsidRPr="002A3CBE">
        <w:rPr>
          <w:vertAlign w:val="subscript"/>
        </w:rPr>
        <w:t>2</w:t>
      </w:r>
      <w:r w:rsidRPr="002A3CBE">
        <w:t xml:space="preserve"> emissions (table 6.6.3). The majority of these emissions are due to the loss of living biomass carbon stock associated with </w:t>
      </w:r>
      <w:r w:rsidRPr="002A3CBE">
        <w:rPr>
          <w:i/>
        </w:rPr>
        <w:t>Forest land</w:t>
      </w:r>
      <w:r w:rsidRPr="002A3CBE">
        <w:t xml:space="preserve"> conversion to </w:t>
      </w:r>
      <w:r w:rsidRPr="002A3CBE">
        <w:rPr>
          <w:i/>
        </w:rPr>
        <w:t>Grassland</w:t>
      </w:r>
      <w:r w:rsidRPr="002A3CBE">
        <w:t xml:space="preserve"> (deforestation).</w:t>
      </w:r>
    </w:p>
    <w:p w14:paraId="24F10945" w14:textId="77777777" w:rsidR="00447423" w:rsidRPr="002A3CBE" w:rsidRDefault="00447423" w:rsidP="00447423">
      <w:pPr>
        <w:pStyle w:val="Table"/>
      </w:pPr>
      <w:bookmarkStart w:id="2445" w:name="_Toc280630467"/>
      <w:bookmarkStart w:id="2446" w:name="_Toc310423423"/>
      <w:bookmarkStart w:id="2447" w:name="_Toc318362716"/>
      <w:bookmarkStart w:id="2448" w:name="_Toc342470778"/>
      <w:bookmarkStart w:id="2449" w:name="_Toc352505018"/>
      <w:bookmarkStart w:id="2450" w:name="_Toc378853308"/>
      <w:bookmarkStart w:id="2451" w:name="_Toc391024106"/>
      <w:bookmarkStart w:id="2452" w:name="_Toc410028849"/>
      <w:bookmarkStart w:id="2453" w:name="_Toc414531477"/>
      <w:bookmarkStart w:id="2454" w:name="_Toc443645390"/>
      <w:bookmarkStart w:id="2455" w:name="_Toc474914609"/>
      <w:bookmarkStart w:id="2456" w:name="_Toc481751573"/>
      <w:bookmarkStart w:id="2457" w:name="_Toc522010630"/>
      <w:bookmarkStart w:id="2458" w:name="_Toc5269535"/>
      <w:bookmarkStart w:id="2459" w:name="_Toc33529409"/>
      <w:bookmarkStart w:id="2460" w:name="_Toc36224615"/>
      <w:bookmarkStart w:id="2461" w:name="_Toc131591410"/>
      <w:bookmarkStart w:id="2462" w:name="_Toc158979968"/>
      <w:bookmarkStart w:id="2463" w:name="_Toc164153901"/>
      <w:bookmarkStart w:id="2464" w:name="_Toc190873135"/>
      <w:bookmarkStart w:id="2465" w:name="_Toc194241774"/>
      <w:bookmarkStart w:id="2466" w:name="_Toc222837925"/>
      <w:bookmarkStart w:id="2467" w:name="_Toc226669071"/>
      <w:r w:rsidRPr="002A3CBE">
        <w:t>Table 6.6.3</w:t>
      </w:r>
      <w:r w:rsidRPr="002A3CBE">
        <w:tab/>
        <w:t>New Zealand’s carbon stock change by carbon pool for the</w:t>
      </w:r>
      <w:r w:rsidRPr="002A3CBE">
        <w:rPr>
          <w:rFonts w:cs="Arial Bold"/>
        </w:rPr>
        <w:t xml:space="preserve"> </w:t>
      </w:r>
      <w:r w:rsidRPr="002A3CBE">
        <w:rPr>
          <w:rFonts w:cs="Arial Bold"/>
          <w:i/>
        </w:rPr>
        <w:t>Grassland</w:t>
      </w:r>
      <w:r w:rsidRPr="002A3CBE">
        <w:t xml:space="preserve"> category,</w:t>
      </w:r>
      <w:r w:rsidRPr="002A3CBE">
        <w:br/>
        <w:t>from 1990 to</w:t>
      </w:r>
      <w:bookmarkEnd w:id="2445"/>
      <w:bookmarkEnd w:id="2446"/>
      <w:bookmarkEnd w:id="2447"/>
      <w:bookmarkEnd w:id="2448"/>
      <w:bookmarkEnd w:id="2449"/>
      <w:bookmarkEnd w:id="2450"/>
      <w:bookmarkEnd w:id="2451"/>
      <w:r w:rsidRPr="002A3CBE">
        <w:t> </w:t>
      </w:r>
      <w:bookmarkEnd w:id="2452"/>
      <w:bookmarkEnd w:id="2453"/>
      <w:bookmarkEnd w:id="2454"/>
      <w:bookmarkEnd w:id="2455"/>
      <w:bookmarkEnd w:id="2456"/>
      <w:bookmarkEnd w:id="2457"/>
      <w:bookmarkEnd w:id="2458"/>
      <w:bookmarkEnd w:id="2459"/>
      <w:bookmarkEnd w:id="2460"/>
      <w:bookmarkEnd w:id="2461"/>
      <w:bookmarkEnd w:id="2462"/>
      <w:bookmarkEnd w:id="2463"/>
      <w:r w:rsidRPr="002A3CBE">
        <w:t>2024</w:t>
      </w:r>
      <w:bookmarkEnd w:id="2464"/>
      <w:bookmarkEnd w:id="2465"/>
      <w:bookmarkEnd w:id="2466"/>
      <w:bookmarkEnd w:id="2467"/>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383"/>
        <w:gridCol w:w="1161"/>
        <w:gridCol w:w="1559"/>
        <w:gridCol w:w="851"/>
        <w:gridCol w:w="850"/>
        <w:gridCol w:w="1701"/>
      </w:tblGrid>
      <w:tr w:rsidR="00447423" w:rsidRPr="002A3CBE" w14:paraId="26121D56" w14:textId="77777777" w:rsidTr="00F16E23">
        <w:trPr>
          <w:tblHeader/>
        </w:trPr>
        <w:tc>
          <w:tcPr>
            <w:tcW w:w="2383" w:type="dxa"/>
            <w:shd w:val="clear" w:color="auto" w:fill="1B556B"/>
            <w:tcMar>
              <w:top w:w="0" w:type="dxa"/>
              <w:left w:w="85" w:type="dxa"/>
              <w:bottom w:w="0" w:type="dxa"/>
              <w:right w:w="85" w:type="dxa"/>
            </w:tcMar>
            <w:vAlign w:val="center"/>
          </w:tcPr>
          <w:p w14:paraId="4DFD65B8" w14:textId="77777777" w:rsidR="00447423" w:rsidRPr="002A3CBE" w:rsidRDefault="00447423" w:rsidP="00F16E23">
            <w:pPr>
              <w:pStyle w:val="TableTextBold"/>
              <w:spacing w:after="0"/>
              <w:rPr>
                <w:rFonts w:eastAsia="Calibri"/>
                <w:noProof w:val="0"/>
                <w:color w:val="FFFFFF" w:themeColor="background1"/>
              </w:rPr>
            </w:pPr>
          </w:p>
        </w:tc>
        <w:tc>
          <w:tcPr>
            <w:tcW w:w="4421" w:type="dxa"/>
            <w:gridSpan w:val="4"/>
            <w:shd w:val="clear" w:color="auto" w:fill="1B556B"/>
            <w:tcMar>
              <w:top w:w="0" w:type="dxa"/>
              <w:left w:w="85" w:type="dxa"/>
              <w:bottom w:w="0" w:type="dxa"/>
              <w:right w:w="85" w:type="dxa"/>
            </w:tcMar>
            <w:vAlign w:val="center"/>
          </w:tcPr>
          <w:p w14:paraId="0D3432E4" w14:textId="77777777" w:rsidR="00447423" w:rsidRPr="002A3CBE" w:rsidRDefault="00447423" w:rsidP="00F16E23">
            <w:pPr>
              <w:pStyle w:val="TableTextBold"/>
              <w:spacing w:after="0"/>
              <w:jc w:val="center"/>
              <w:rPr>
                <w:rFonts w:eastAsia="Calibri"/>
                <w:noProof w:val="0"/>
                <w:color w:val="FFFFFF" w:themeColor="background1"/>
              </w:rPr>
            </w:pPr>
            <w:r w:rsidRPr="002A3CBE">
              <w:rPr>
                <w:rFonts w:eastAsia="Calibri"/>
                <w:noProof w:val="0"/>
                <w:color w:val="FFFFFF" w:themeColor="background1"/>
              </w:rPr>
              <w:t>Net carbon stock change 1990–2024 (kt C)</w:t>
            </w:r>
          </w:p>
        </w:tc>
        <w:tc>
          <w:tcPr>
            <w:tcW w:w="1701" w:type="dxa"/>
            <w:shd w:val="clear" w:color="auto" w:fill="1B556B"/>
            <w:tcMar>
              <w:top w:w="0" w:type="dxa"/>
              <w:left w:w="85" w:type="dxa"/>
              <w:bottom w:w="0" w:type="dxa"/>
              <w:right w:w="85" w:type="dxa"/>
            </w:tcMar>
            <w:vAlign w:val="center"/>
          </w:tcPr>
          <w:p w14:paraId="26910FA6" w14:textId="77777777" w:rsidR="00447423" w:rsidRPr="002A3CBE" w:rsidRDefault="00447423" w:rsidP="00F16E23">
            <w:pPr>
              <w:pStyle w:val="TableTextBold"/>
              <w:spacing w:after="0"/>
              <w:jc w:val="right"/>
              <w:rPr>
                <w:rFonts w:eastAsia="Calibri"/>
                <w:noProof w:val="0"/>
                <w:color w:val="FFFFFF" w:themeColor="background1"/>
              </w:rPr>
            </w:pPr>
            <w:r w:rsidRPr="002A3CBE">
              <w:rPr>
                <w:rFonts w:eastAsia="Calibri"/>
                <w:noProof w:val="0"/>
                <w:color w:val="FFFFFF" w:themeColor="background1"/>
              </w:rPr>
              <w:t>Emissions 1990–2024</w:t>
            </w:r>
          </w:p>
        </w:tc>
      </w:tr>
      <w:tr w:rsidR="00447423" w:rsidRPr="002A3CBE" w14:paraId="38A891E1" w14:textId="77777777" w:rsidTr="00F16E23">
        <w:trPr>
          <w:tblHeader/>
        </w:trPr>
        <w:tc>
          <w:tcPr>
            <w:tcW w:w="2383" w:type="dxa"/>
            <w:shd w:val="clear" w:color="auto" w:fill="1B556B"/>
            <w:tcMar>
              <w:top w:w="0" w:type="dxa"/>
              <w:left w:w="85" w:type="dxa"/>
              <w:bottom w:w="0" w:type="dxa"/>
              <w:right w:w="85" w:type="dxa"/>
            </w:tcMar>
            <w:vAlign w:val="center"/>
          </w:tcPr>
          <w:p w14:paraId="1FFC3167" w14:textId="77777777" w:rsidR="00447423" w:rsidRPr="002A3CBE" w:rsidRDefault="00447423" w:rsidP="00F16E23">
            <w:pPr>
              <w:pStyle w:val="TableTextBold"/>
              <w:spacing w:before="0"/>
              <w:rPr>
                <w:rFonts w:eastAsia="Calibri"/>
                <w:noProof w:val="0"/>
                <w:color w:val="FFFFFF" w:themeColor="background1"/>
              </w:rPr>
            </w:pPr>
            <w:r w:rsidRPr="002A3CBE">
              <w:rPr>
                <w:rFonts w:eastAsia="Calibri"/>
                <w:noProof w:val="0"/>
                <w:color w:val="FFFFFF" w:themeColor="background1"/>
              </w:rPr>
              <w:t>Land use</w:t>
            </w:r>
          </w:p>
        </w:tc>
        <w:tc>
          <w:tcPr>
            <w:tcW w:w="1161" w:type="dxa"/>
            <w:shd w:val="clear" w:color="auto" w:fill="1B556B"/>
            <w:tcMar>
              <w:top w:w="0" w:type="dxa"/>
              <w:left w:w="85" w:type="dxa"/>
              <w:bottom w:w="0" w:type="dxa"/>
              <w:right w:w="85" w:type="dxa"/>
            </w:tcMar>
            <w:vAlign w:val="center"/>
          </w:tcPr>
          <w:p w14:paraId="290008FF" w14:textId="77777777" w:rsidR="00447423" w:rsidRPr="002A3CBE" w:rsidRDefault="00447423" w:rsidP="00F16E23">
            <w:pPr>
              <w:pStyle w:val="TableTextBold"/>
              <w:spacing w:before="0"/>
              <w:jc w:val="right"/>
              <w:rPr>
                <w:rFonts w:eastAsia="Calibri"/>
                <w:noProof w:val="0"/>
                <w:color w:val="FFFFFF" w:themeColor="background1"/>
              </w:rPr>
            </w:pPr>
            <w:r w:rsidRPr="002A3CBE">
              <w:rPr>
                <w:rFonts w:eastAsia="Calibri"/>
                <w:noProof w:val="0"/>
                <w:color w:val="FFFFFF" w:themeColor="background1"/>
              </w:rPr>
              <w:t>Living biomass</w:t>
            </w:r>
          </w:p>
        </w:tc>
        <w:tc>
          <w:tcPr>
            <w:tcW w:w="1559" w:type="dxa"/>
            <w:shd w:val="clear" w:color="auto" w:fill="1B556B"/>
            <w:tcMar>
              <w:top w:w="0" w:type="dxa"/>
              <w:left w:w="85" w:type="dxa"/>
              <w:bottom w:w="0" w:type="dxa"/>
              <w:right w:w="85" w:type="dxa"/>
            </w:tcMar>
            <w:vAlign w:val="center"/>
          </w:tcPr>
          <w:p w14:paraId="0165EA8B" w14:textId="77777777" w:rsidR="00447423" w:rsidRPr="002A3CBE" w:rsidRDefault="00447423" w:rsidP="00F16E23">
            <w:pPr>
              <w:pStyle w:val="TableTextBold"/>
              <w:spacing w:before="0"/>
              <w:jc w:val="right"/>
              <w:rPr>
                <w:rFonts w:eastAsia="Calibri"/>
                <w:noProof w:val="0"/>
                <w:color w:val="FFFFFF" w:themeColor="background1"/>
              </w:rPr>
            </w:pPr>
            <w:r w:rsidRPr="002A3CBE">
              <w:rPr>
                <w:rFonts w:eastAsia="Calibri"/>
                <w:noProof w:val="0"/>
                <w:color w:val="FFFFFF" w:themeColor="background1"/>
              </w:rPr>
              <w:t>Dead organic matter</w:t>
            </w:r>
          </w:p>
        </w:tc>
        <w:tc>
          <w:tcPr>
            <w:tcW w:w="851" w:type="dxa"/>
            <w:shd w:val="clear" w:color="auto" w:fill="1B556B"/>
            <w:tcMar>
              <w:top w:w="0" w:type="dxa"/>
              <w:left w:w="85" w:type="dxa"/>
              <w:bottom w:w="0" w:type="dxa"/>
              <w:right w:w="85" w:type="dxa"/>
            </w:tcMar>
            <w:vAlign w:val="center"/>
          </w:tcPr>
          <w:p w14:paraId="3DE38A0C" w14:textId="77777777" w:rsidR="00447423" w:rsidRPr="002A3CBE" w:rsidRDefault="00447423" w:rsidP="00F16E23">
            <w:pPr>
              <w:pStyle w:val="TableTextBold"/>
              <w:spacing w:before="0"/>
              <w:jc w:val="right"/>
              <w:rPr>
                <w:rFonts w:eastAsia="Calibri"/>
                <w:noProof w:val="0"/>
                <w:color w:val="FFFFFF" w:themeColor="background1"/>
              </w:rPr>
            </w:pPr>
            <w:r w:rsidRPr="002A3CBE">
              <w:rPr>
                <w:rFonts w:eastAsia="Calibri"/>
                <w:noProof w:val="0"/>
                <w:color w:val="FFFFFF" w:themeColor="background1"/>
              </w:rPr>
              <w:t>Soils</w:t>
            </w:r>
          </w:p>
        </w:tc>
        <w:tc>
          <w:tcPr>
            <w:tcW w:w="850" w:type="dxa"/>
            <w:shd w:val="clear" w:color="auto" w:fill="1B556B"/>
            <w:tcMar>
              <w:top w:w="0" w:type="dxa"/>
              <w:left w:w="85" w:type="dxa"/>
              <w:bottom w:w="0" w:type="dxa"/>
              <w:right w:w="85" w:type="dxa"/>
            </w:tcMar>
            <w:vAlign w:val="center"/>
          </w:tcPr>
          <w:p w14:paraId="5D33C700" w14:textId="77777777" w:rsidR="00447423" w:rsidRPr="002A3CBE" w:rsidRDefault="00447423" w:rsidP="00F16E23">
            <w:pPr>
              <w:pStyle w:val="TableTextBold"/>
              <w:spacing w:before="0"/>
              <w:jc w:val="right"/>
              <w:rPr>
                <w:rFonts w:eastAsia="Calibri"/>
                <w:noProof w:val="0"/>
                <w:color w:val="FFFFFF" w:themeColor="background1"/>
              </w:rPr>
            </w:pPr>
            <w:r w:rsidRPr="002A3CBE">
              <w:rPr>
                <w:rFonts w:eastAsia="Calibri"/>
                <w:noProof w:val="0"/>
                <w:color w:val="FFFFFF" w:themeColor="background1"/>
              </w:rPr>
              <w:t>Total</w:t>
            </w:r>
          </w:p>
        </w:tc>
        <w:tc>
          <w:tcPr>
            <w:tcW w:w="1701" w:type="dxa"/>
            <w:shd w:val="clear" w:color="auto" w:fill="1B556B"/>
            <w:tcMar>
              <w:top w:w="0" w:type="dxa"/>
              <w:left w:w="85" w:type="dxa"/>
              <w:bottom w:w="0" w:type="dxa"/>
              <w:right w:w="85" w:type="dxa"/>
            </w:tcMar>
            <w:vAlign w:val="center"/>
          </w:tcPr>
          <w:p w14:paraId="26662BBC" w14:textId="77777777" w:rsidR="00447423" w:rsidRPr="002A3CBE" w:rsidRDefault="00447423" w:rsidP="00F16E23">
            <w:pPr>
              <w:pStyle w:val="TableTextBold"/>
              <w:spacing w:before="0"/>
              <w:jc w:val="right"/>
              <w:rPr>
                <w:rFonts w:eastAsia="Calibri"/>
                <w:noProof w:val="0"/>
                <w:color w:val="FFFFFF" w:themeColor="background1"/>
              </w:rPr>
            </w:pPr>
            <w:r w:rsidRPr="002A3CBE">
              <w:rPr>
                <w:rFonts w:eastAsia="Calibri"/>
                <w:noProof w:val="0"/>
                <w:color w:val="FFFFFF" w:themeColor="background1"/>
              </w:rPr>
              <w:t>(kt CO₂)</w:t>
            </w:r>
          </w:p>
        </w:tc>
      </w:tr>
      <w:tr w:rsidR="00447423" w:rsidRPr="002A3CBE" w14:paraId="5C7EED0A" w14:textId="77777777" w:rsidTr="00F16E23">
        <w:tc>
          <w:tcPr>
            <w:tcW w:w="2383" w:type="dxa"/>
            <w:shd w:val="clear" w:color="auto" w:fill="FFFFFF"/>
            <w:tcMar>
              <w:top w:w="0" w:type="dxa"/>
              <w:left w:w="85" w:type="dxa"/>
              <w:bottom w:w="0" w:type="dxa"/>
              <w:right w:w="85" w:type="dxa"/>
            </w:tcMar>
            <w:vAlign w:val="center"/>
          </w:tcPr>
          <w:p w14:paraId="35F142A0" w14:textId="77777777" w:rsidR="00447423" w:rsidRPr="002A3CBE" w:rsidRDefault="00447423" w:rsidP="00F16E23">
            <w:pPr>
              <w:pStyle w:val="TableText"/>
              <w:spacing w:before="40" w:after="40"/>
              <w:rPr>
                <w:rFonts w:eastAsia="Calibri"/>
              </w:rPr>
            </w:pPr>
            <w:r w:rsidRPr="002A3CBE">
              <w:rPr>
                <w:rFonts w:eastAsia="Calibri"/>
              </w:rPr>
              <w:t>Grassland – high producing</w:t>
            </w:r>
          </w:p>
        </w:tc>
        <w:tc>
          <w:tcPr>
            <w:tcW w:w="1161" w:type="dxa"/>
            <w:shd w:val="clear" w:color="auto" w:fill="FFFFFF"/>
            <w:tcMar>
              <w:top w:w="0" w:type="dxa"/>
              <w:left w:w="85" w:type="dxa"/>
              <w:bottom w:w="0" w:type="dxa"/>
              <w:right w:w="85" w:type="dxa"/>
            </w:tcMar>
            <w:vAlign w:val="center"/>
          </w:tcPr>
          <w:p w14:paraId="0395BE75" w14:textId="77777777" w:rsidR="00447423" w:rsidRPr="002A3CBE" w:rsidRDefault="00447423" w:rsidP="00F16E23">
            <w:pPr>
              <w:pStyle w:val="TableText"/>
              <w:spacing w:before="40" w:after="40"/>
              <w:jc w:val="right"/>
              <w:rPr>
                <w:rFonts w:eastAsia="Calibri"/>
              </w:rPr>
            </w:pPr>
            <w:r w:rsidRPr="002A3CBE">
              <w:rPr>
                <w:rFonts w:eastAsia="Calibri"/>
              </w:rPr>
              <w:t>-25,969.9</w:t>
            </w:r>
          </w:p>
        </w:tc>
        <w:tc>
          <w:tcPr>
            <w:tcW w:w="1559" w:type="dxa"/>
            <w:shd w:val="clear" w:color="auto" w:fill="FFFFFF"/>
            <w:tcMar>
              <w:top w:w="0" w:type="dxa"/>
              <w:left w:w="85" w:type="dxa"/>
              <w:bottom w:w="0" w:type="dxa"/>
              <w:right w:w="85" w:type="dxa"/>
            </w:tcMar>
            <w:vAlign w:val="center"/>
          </w:tcPr>
          <w:p w14:paraId="22B8492D" w14:textId="77777777" w:rsidR="00447423" w:rsidRPr="002A3CBE" w:rsidRDefault="00447423" w:rsidP="00F16E23">
            <w:pPr>
              <w:pStyle w:val="TableText"/>
              <w:spacing w:before="40" w:after="40"/>
              <w:jc w:val="right"/>
              <w:rPr>
                <w:rFonts w:eastAsia="Calibri"/>
              </w:rPr>
            </w:pPr>
            <w:r w:rsidRPr="002A3CBE">
              <w:rPr>
                <w:rFonts w:eastAsia="Calibri"/>
              </w:rPr>
              <w:t>-2,312.6</w:t>
            </w:r>
          </w:p>
        </w:tc>
        <w:tc>
          <w:tcPr>
            <w:tcW w:w="851" w:type="dxa"/>
            <w:shd w:val="clear" w:color="auto" w:fill="FFFFFF"/>
            <w:tcMar>
              <w:top w:w="0" w:type="dxa"/>
              <w:left w:w="85" w:type="dxa"/>
              <w:bottom w:w="0" w:type="dxa"/>
              <w:right w:w="85" w:type="dxa"/>
            </w:tcMar>
            <w:vAlign w:val="center"/>
          </w:tcPr>
          <w:p w14:paraId="12DBFF71" w14:textId="77777777" w:rsidR="00447423" w:rsidRPr="002A3CBE" w:rsidRDefault="00447423" w:rsidP="00F16E23">
            <w:pPr>
              <w:pStyle w:val="TableText"/>
              <w:spacing w:before="40" w:after="40"/>
              <w:jc w:val="right"/>
              <w:rPr>
                <w:rFonts w:eastAsia="Calibri"/>
              </w:rPr>
            </w:pPr>
            <w:r w:rsidRPr="002A3CBE">
              <w:rPr>
                <w:rFonts w:eastAsia="Calibri"/>
              </w:rPr>
              <w:t>-9,740.4</w:t>
            </w:r>
          </w:p>
        </w:tc>
        <w:tc>
          <w:tcPr>
            <w:tcW w:w="850" w:type="dxa"/>
            <w:shd w:val="clear" w:color="auto" w:fill="FFFFFF"/>
            <w:tcMar>
              <w:top w:w="0" w:type="dxa"/>
              <w:left w:w="85" w:type="dxa"/>
              <w:bottom w:w="0" w:type="dxa"/>
              <w:right w:w="85" w:type="dxa"/>
            </w:tcMar>
            <w:vAlign w:val="center"/>
          </w:tcPr>
          <w:p w14:paraId="1CE35F74" w14:textId="77777777" w:rsidR="00447423" w:rsidRPr="002A3CBE" w:rsidRDefault="00447423" w:rsidP="00F16E23">
            <w:pPr>
              <w:pStyle w:val="TableText"/>
              <w:spacing w:before="40" w:after="40"/>
              <w:jc w:val="right"/>
              <w:rPr>
                <w:rFonts w:eastAsia="Calibri"/>
              </w:rPr>
            </w:pPr>
            <w:r w:rsidRPr="002A3CBE">
              <w:rPr>
                <w:rFonts w:eastAsia="Calibri"/>
              </w:rPr>
              <w:t>-38,022.8</w:t>
            </w:r>
          </w:p>
        </w:tc>
        <w:tc>
          <w:tcPr>
            <w:tcW w:w="1701" w:type="dxa"/>
            <w:shd w:val="clear" w:color="auto" w:fill="FFFFFF"/>
            <w:tcMar>
              <w:top w:w="0" w:type="dxa"/>
              <w:left w:w="85" w:type="dxa"/>
              <w:bottom w:w="0" w:type="dxa"/>
              <w:right w:w="85" w:type="dxa"/>
            </w:tcMar>
            <w:vAlign w:val="center"/>
          </w:tcPr>
          <w:p w14:paraId="59D1B0F8" w14:textId="77777777" w:rsidR="00447423" w:rsidRPr="002A3CBE" w:rsidRDefault="00447423" w:rsidP="00F16E23">
            <w:pPr>
              <w:pStyle w:val="TableText"/>
              <w:spacing w:before="40" w:after="40"/>
              <w:jc w:val="right"/>
              <w:rPr>
                <w:rFonts w:eastAsia="Calibri"/>
              </w:rPr>
            </w:pPr>
            <w:r w:rsidRPr="002A3CBE">
              <w:rPr>
                <w:rFonts w:eastAsia="Calibri"/>
              </w:rPr>
              <w:t>139,417.1</w:t>
            </w:r>
          </w:p>
        </w:tc>
      </w:tr>
      <w:tr w:rsidR="00447423" w:rsidRPr="002A3CBE" w14:paraId="627ECC16" w14:textId="77777777" w:rsidTr="00F16E23">
        <w:tc>
          <w:tcPr>
            <w:tcW w:w="2383" w:type="dxa"/>
            <w:shd w:val="clear" w:color="auto" w:fill="FFFFFF"/>
            <w:tcMar>
              <w:top w:w="0" w:type="dxa"/>
              <w:left w:w="85" w:type="dxa"/>
              <w:bottom w:w="0" w:type="dxa"/>
              <w:right w:w="85" w:type="dxa"/>
            </w:tcMar>
            <w:vAlign w:val="center"/>
          </w:tcPr>
          <w:p w14:paraId="0C587566" w14:textId="77777777" w:rsidR="00447423" w:rsidRPr="002A3CBE" w:rsidRDefault="00447423" w:rsidP="00F16E23">
            <w:pPr>
              <w:pStyle w:val="TableText"/>
              <w:spacing w:before="40" w:after="40"/>
              <w:rPr>
                <w:rFonts w:eastAsia="Calibri"/>
              </w:rPr>
            </w:pPr>
            <w:r w:rsidRPr="002A3CBE">
              <w:rPr>
                <w:rFonts w:eastAsia="Calibri"/>
              </w:rPr>
              <w:t>Grassland – low producing</w:t>
            </w:r>
          </w:p>
        </w:tc>
        <w:tc>
          <w:tcPr>
            <w:tcW w:w="1161" w:type="dxa"/>
            <w:shd w:val="clear" w:color="auto" w:fill="FFFFFF"/>
            <w:tcMar>
              <w:top w:w="0" w:type="dxa"/>
              <w:left w:w="85" w:type="dxa"/>
              <w:bottom w:w="0" w:type="dxa"/>
              <w:right w:w="85" w:type="dxa"/>
            </w:tcMar>
            <w:vAlign w:val="center"/>
          </w:tcPr>
          <w:p w14:paraId="389C7896" w14:textId="77777777" w:rsidR="00447423" w:rsidRPr="002A3CBE" w:rsidRDefault="00447423" w:rsidP="00F16E23">
            <w:pPr>
              <w:pStyle w:val="TableText"/>
              <w:spacing w:before="40" w:after="40"/>
              <w:jc w:val="right"/>
              <w:rPr>
                <w:rFonts w:eastAsia="Calibri"/>
              </w:rPr>
            </w:pPr>
            <w:r w:rsidRPr="002A3CBE">
              <w:rPr>
                <w:rFonts w:eastAsia="Calibri"/>
              </w:rPr>
              <w:t>-10,120.0</w:t>
            </w:r>
          </w:p>
        </w:tc>
        <w:tc>
          <w:tcPr>
            <w:tcW w:w="1559" w:type="dxa"/>
            <w:shd w:val="clear" w:color="auto" w:fill="FFFFFF"/>
            <w:tcMar>
              <w:top w:w="0" w:type="dxa"/>
              <w:left w:w="85" w:type="dxa"/>
              <w:bottom w:w="0" w:type="dxa"/>
              <w:right w:w="85" w:type="dxa"/>
            </w:tcMar>
            <w:vAlign w:val="center"/>
          </w:tcPr>
          <w:p w14:paraId="65CAE49D" w14:textId="77777777" w:rsidR="00447423" w:rsidRPr="002A3CBE" w:rsidRDefault="00447423" w:rsidP="00F16E23">
            <w:pPr>
              <w:pStyle w:val="TableText"/>
              <w:spacing w:before="40" w:after="40"/>
              <w:jc w:val="right"/>
              <w:rPr>
                <w:rFonts w:eastAsia="Calibri"/>
              </w:rPr>
            </w:pPr>
            <w:r w:rsidRPr="002A3CBE">
              <w:rPr>
                <w:rFonts w:eastAsia="Calibri"/>
              </w:rPr>
              <w:t>-1,394.9</w:t>
            </w:r>
          </w:p>
        </w:tc>
        <w:tc>
          <w:tcPr>
            <w:tcW w:w="851" w:type="dxa"/>
            <w:shd w:val="clear" w:color="auto" w:fill="FFFFFF"/>
            <w:tcMar>
              <w:top w:w="0" w:type="dxa"/>
              <w:left w:w="85" w:type="dxa"/>
              <w:bottom w:w="0" w:type="dxa"/>
              <w:right w:w="85" w:type="dxa"/>
            </w:tcMar>
            <w:vAlign w:val="center"/>
          </w:tcPr>
          <w:p w14:paraId="33B137DF" w14:textId="77777777" w:rsidR="00447423" w:rsidRPr="002A3CBE" w:rsidRDefault="00447423" w:rsidP="00F16E23">
            <w:pPr>
              <w:pStyle w:val="TableText"/>
              <w:spacing w:before="40" w:after="40"/>
              <w:jc w:val="right"/>
              <w:rPr>
                <w:rFonts w:eastAsia="Calibri"/>
              </w:rPr>
            </w:pPr>
            <w:r w:rsidRPr="002A3CBE">
              <w:rPr>
                <w:rFonts w:eastAsia="Calibri"/>
              </w:rPr>
              <w:t>740.7</w:t>
            </w:r>
          </w:p>
        </w:tc>
        <w:tc>
          <w:tcPr>
            <w:tcW w:w="850" w:type="dxa"/>
            <w:shd w:val="clear" w:color="auto" w:fill="FFFFFF"/>
            <w:tcMar>
              <w:top w:w="0" w:type="dxa"/>
              <w:left w:w="85" w:type="dxa"/>
              <w:bottom w:w="0" w:type="dxa"/>
              <w:right w:w="85" w:type="dxa"/>
            </w:tcMar>
            <w:vAlign w:val="center"/>
          </w:tcPr>
          <w:p w14:paraId="30B941E0" w14:textId="77777777" w:rsidR="00447423" w:rsidRPr="002A3CBE" w:rsidRDefault="00447423" w:rsidP="00F16E23">
            <w:pPr>
              <w:pStyle w:val="TableText"/>
              <w:spacing w:before="40" w:after="40"/>
              <w:jc w:val="right"/>
              <w:rPr>
                <w:rFonts w:eastAsia="Calibri"/>
              </w:rPr>
            </w:pPr>
            <w:r w:rsidRPr="002A3CBE">
              <w:rPr>
                <w:rFonts w:eastAsia="Calibri"/>
              </w:rPr>
              <w:t>-10,774.1</w:t>
            </w:r>
          </w:p>
        </w:tc>
        <w:tc>
          <w:tcPr>
            <w:tcW w:w="1701" w:type="dxa"/>
            <w:shd w:val="clear" w:color="auto" w:fill="FFFFFF"/>
            <w:tcMar>
              <w:top w:w="0" w:type="dxa"/>
              <w:left w:w="85" w:type="dxa"/>
              <w:bottom w:w="0" w:type="dxa"/>
              <w:right w:w="85" w:type="dxa"/>
            </w:tcMar>
            <w:vAlign w:val="center"/>
          </w:tcPr>
          <w:p w14:paraId="4E20FC60" w14:textId="77777777" w:rsidR="00447423" w:rsidRPr="002A3CBE" w:rsidRDefault="00447423" w:rsidP="00F16E23">
            <w:pPr>
              <w:pStyle w:val="TableText"/>
              <w:spacing w:before="40" w:after="40"/>
              <w:jc w:val="right"/>
              <w:rPr>
                <w:rFonts w:eastAsia="Calibri"/>
              </w:rPr>
            </w:pPr>
            <w:r w:rsidRPr="002A3CBE">
              <w:rPr>
                <w:rFonts w:eastAsia="Calibri"/>
              </w:rPr>
              <w:t>39,505.2</w:t>
            </w:r>
          </w:p>
        </w:tc>
      </w:tr>
      <w:tr w:rsidR="00447423" w:rsidRPr="002A3CBE" w14:paraId="6DD4D328" w14:textId="77777777" w:rsidTr="00F16E23">
        <w:tc>
          <w:tcPr>
            <w:tcW w:w="2383" w:type="dxa"/>
            <w:shd w:val="clear" w:color="auto" w:fill="FFFFFF"/>
            <w:tcMar>
              <w:top w:w="0" w:type="dxa"/>
              <w:left w:w="85" w:type="dxa"/>
              <w:bottom w:w="0" w:type="dxa"/>
              <w:right w:w="85" w:type="dxa"/>
            </w:tcMar>
            <w:vAlign w:val="center"/>
          </w:tcPr>
          <w:p w14:paraId="35684055" w14:textId="77777777" w:rsidR="00447423" w:rsidRPr="002A3CBE" w:rsidRDefault="00447423" w:rsidP="00F16E23">
            <w:pPr>
              <w:pStyle w:val="TableText"/>
              <w:spacing w:before="40" w:after="40"/>
              <w:rPr>
                <w:rFonts w:eastAsia="Calibri"/>
              </w:rPr>
            </w:pPr>
            <w:r w:rsidRPr="002A3CBE">
              <w:rPr>
                <w:rFonts w:eastAsia="Calibri"/>
              </w:rPr>
              <w:t>Grassland – with woody biomass</w:t>
            </w:r>
          </w:p>
        </w:tc>
        <w:tc>
          <w:tcPr>
            <w:tcW w:w="1161" w:type="dxa"/>
            <w:shd w:val="clear" w:color="auto" w:fill="FFFFFF"/>
            <w:tcMar>
              <w:top w:w="0" w:type="dxa"/>
              <w:left w:w="85" w:type="dxa"/>
              <w:bottom w:w="0" w:type="dxa"/>
              <w:right w:w="85" w:type="dxa"/>
            </w:tcMar>
            <w:vAlign w:val="center"/>
          </w:tcPr>
          <w:p w14:paraId="7B78DCA2" w14:textId="77777777" w:rsidR="00447423" w:rsidRPr="002A3CBE" w:rsidRDefault="00447423" w:rsidP="00F16E23">
            <w:pPr>
              <w:pStyle w:val="TableText"/>
              <w:spacing w:before="40" w:after="40"/>
              <w:jc w:val="right"/>
              <w:rPr>
                <w:rFonts w:eastAsia="Calibri"/>
              </w:rPr>
            </w:pPr>
            <w:r w:rsidRPr="002A3CBE">
              <w:rPr>
                <w:rFonts w:eastAsia="Calibri"/>
              </w:rPr>
              <w:t>-3,664.7</w:t>
            </w:r>
          </w:p>
        </w:tc>
        <w:tc>
          <w:tcPr>
            <w:tcW w:w="1559" w:type="dxa"/>
            <w:shd w:val="clear" w:color="auto" w:fill="FFFFFF"/>
            <w:tcMar>
              <w:top w:w="0" w:type="dxa"/>
              <w:left w:w="85" w:type="dxa"/>
              <w:bottom w:w="0" w:type="dxa"/>
              <w:right w:w="85" w:type="dxa"/>
            </w:tcMar>
            <w:vAlign w:val="center"/>
          </w:tcPr>
          <w:p w14:paraId="66B5384C" w14:textId="77777777" w:rsidR="00447423" w:rsidRPr="002A3CBE" w:rsidRDefault="00447423" w:rsidP="00F16E23">
            <w:pPr>
              <w:pStyle w:val="TableText"/>
              <w:spacing w:before="40" w:after="40"/>
              <w:jc w:val="right"/>
              <w:rPr>
                <w:rFonts w:eastAsia="Calibri"/>
              </w:rPr>
            </w:pPr>
            <w:r w:rsidRPr="002A3CBE">
              <w:rPr>
                <w:rFonts w:eastAsia="Calibri"/>
              </w:rPr>
              <w:t>-638.8</w:t>
            </w:r>
          </w:p>
        </w:tc>
        <w:tc>
          <w:tcPr>
            <w:tcW w:w="851" w:type="dxa"/>
            <w:shd w:val="clear" w:color="auto" w:fill="FFFFFF"/>
            <w:tcMar>
              <w:top w:w="0" w:type="dxa"/>
              <w:left w:w="85" w:type="dxa"/>
              <w:bottom w:w="0" w:type="dxa"/>
              <w:right w:w="85" w:type="dxa"/>
            </w:tcMar>
            <w:vAlign w:val="center"/>
          </w:tcPr>
          <w:p w14:paraId="513DA8C7" w14:textId="77777777" w:rsidR="00447423" w:rsidRPr="002A3CBE" w:rsidRDefault="00447423" w:rsidP="00F16E23">
            <w:pPr>
              <w:pStyle w:val="TableText"/>
              <w:spacing w:before="40" w:after="40"/>
              <w:jc w:val="right"/>
              <w:rPr>
                <w:rFonts w:eastAsia="Calibri"/>
              </w:rPr>
            </w:pPr>
            <w:r w:rsidRPr="002A3CBE">
              <w:rPr>
                <w:rFonts w:eastAsia="Calibri"/>
              </w:rPr>
              <w:t>-960.6</w:t>
            </w:r>
          </w:p>
        </w:tc>
        <w:tc>
          <w:tcPr>
            <w:tcW w:w="850" w:type="dxa"/>
            <w:shd w:val="clear" w:color="auto" w:fill="FFFFFF"/>
            <w:tcMar>
              <w:top w:w="0" w:type="dxa"/>
              <w:left w:w="85" w:type="dxa"/>
              <w:bottom w:w="0" w:type="dxa"/>
              <w:right w:w="85" w:type="dxa"/>
            </w:tcMar>
            <w:vAlign w:val="center"/>
          </w:tcPr>
          <w:p w14:paraId="4580CD15" w14:textId="77777777" w:rsidR="00447423" w:rsidRPr="002A3CBE" w:rsidRDefault="00447423" w:rsidP="00F16E23">
            <w:pPr>
              <w:pStyle w:val="TableText"/>
              <w:spacing w:before="40" w:after="40"/>
              <w:jc w:val="right"/>
              <w:rPr>
                <w:rFonts w:eastAsia="Calibri"/>
              </w:rPr>
            </w:pPr>
            <w:r w:rsidRPr="002A3CBE">
              <w:rPr>
                <w:rFonts w:eastAsia="Calibri"/>
              </w:rPr>
              <w:t>-5,264.1</w:t>
            </w:r>
          </w:p>
        </w:tc>
        <w:tc>
          <w:tcPr>
            <w:tcW w:w="1701" w:type="dxa"/>
            <w:shd w:val="clear" w:color="auto" w:fill="FFFFFF"/>
            <w:tcMar>
              <w:top w:w="0" w:type="dxa"/>
              <w:left w:w="85" w:type="dxa"/>
              <w:bottom w:w="0" w:type="dxa"/>
              <w:right w:w="85" w:type="dxa"/>
            </w:tcMar>
            <w:vAlign w:val="center"/>
          </w:tcPr>
          <w:p w14:paraId="794882F4" w14:textId="77777777" w:rsidR="00447423" w:rsidRPr="002A3CBE" w:rsidRDefault="00447423" w:rsidP="00F16E23">
            <w:pPr>
              <w:pStyle w:val="TableText"/>
              <w:spacing w:before="40" w:after="40"/>
              <w:jc w:val="right"/>
              <w:rPr>
                <w:rFonts w:eastAsia="Calibri"/>
              </w:rPr>
            </w:pPr>
            <w:r w:rsidRPr="002A3CBE">
              <w:rPr>
                <w:rFonts w:eastAsia="Calibri"/>
              </w:rPr>
              <w:t>19,301.8</w:t>
            </w:r>
          </w:p>
        </w:tc>
      </w:tr>
      <w:tr w:rsidR="00447423" w:rsidRPr="002A3CBE" w14:paraId="555936E1" w14:textId="77777777" w:rsidTr="00F16E23">
        <w:tc>
          <w:tcPr>
            <w:tcW w:w="2383" w:type="dxa"/>
            <w:shd w:val="clear" w:color="auto" w:fill="FFFFFF"/>
            <w:tcMar>
              <w:top w:w="0" w:type="dxa"/>
              <w:left w:w="85" w:type="dxa"/>
              <w:bottom w:w="0" w:type="dxa"/>
              <w:right w:w="85" w:type="dxa"/>
            </w:tcMar>
            <w:vAlign w:val="center"/>
          </w:tcPr>
          <w:p w14:paraId="18B5A3F0"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161" w:type="dxa"/>
            <w:shd w:val="clear" w:color="auto" w:fill="FFFFFF"/>
            <w:tcMar>
              <w:top w:w="0" w:type="dxa"/>
              <w:left w:w="85" w:type="dxa"/>
              <w:bottom w:w="0" w:type="dxa"/>
              <w:right w:w="85" w:type="dxa"/>
            </w:tcMar>
            <w:vAlign w:val="center"/>
          </w:tcPr>
          <w:p w14:paraId="0B5EF227" w14:textId="77777777" w:rsidR="00447423" w:rsidRPr="002A3CBE" w:rsidRDefault="00447423" w:rsidP="00F16E23">
            <w:pPr>
              <w:pStyle w:val="Tableboldblue"/>
              <w:spacing w:before="40" w:after="40"/>
              <w:jc w:val="right"/>
              <w:rPr>
                <w:rFonts w:eastAsia="Calibri"/>
              </w:rPr>
            </w:pPr>
            <w:r w:rsidRPr="002A3CBE">
              <w:rPr>
                <w:rFonts w:eastAsia="Calibri"/>
              </w:rPr>
              <w:t>-39,754.6</w:t>
            </w:r>
          </w:p>
        </w:tc>
        <w:tc>
          <w:tcPr>
            <w:tcW w:w="1559" w:type="dxa"/>
            <w:shd w:val="clear" w:color="auto" w:fill="FFFFFF"/>
            <w:tcMar>
              <w:top w:w="0" w:type="dxa"/>
              <w:left w:w="85" w:type="dxa"/>
              <w:bottom w:w="0" w:type="dxa"/>
              <w:right w:w="85" w:type="dxa"/>
            </w:tcMar>
            <w:vAlign w:val="center"/>
          </w:tcPr>
          <w:p w14:paraId="547C6BFA" w14:textId="77777777" w:rsidR="00447423" w:rsidRPr="002A3CBE" w:rsidRDefault="00447423" w:rsidP="00F16E23">
            <w:pPr>
              <w:pStyle w:val="Tableboldblue"/>
              <w:spacing w:before="40" w:after="40"/>
              <w:jc w:val="right"/>
              <w:rPr>
                <w:rFonts w:eastAsia="Calibri"/>
              </w:rPr>
            </w:pPr>
            <w:r w:rsidRPr="002A3CBE">
              <w:rPr>
                <w:rFonts w:eastAsia="Calibri"/>
              </w:rPr>
              <w:t>-4,346.3</w:t>
            </w:r>
          </w:p>
        </w:tc>
        <w:tc>
          <w:tcPr>
            <w:tcW w:w="851" w:type="dxa"/>
            <w:shd w:val="clear" w:color="auto" w:fill="FFFFFF"/>
            <w:tcMar>
              <w:top w:w="0" w:type="dxa"/>
              <w:left w:w="85" w:type="dxa"/>
              <w:bottom w:w="0" w:type="dxa"/>
              <w:right w:w="85" w:type="dxa"/>
            </w:tcMar>
            <w:vAlign w:val="center"/>
          </w:tcPr>
          <w:p w14:paraId="44473D4C" w14:textId="77777777" w:rsidR="00447423" w:rsidRPr="002A3CBE" w:rsidRDefault="00447423" w:rsidP="00F16E23">
            <w:pPr>
              <w:pStyle w:val="Tableboldblue"/>
              <w:spacing w:before="40" w:after="40"/>
              <w:jc w:val="right"/>
              <w:rPr>
                <w:rFonts w:eastAsia="Calibri"/>
              </w:rPr>
            </w:pPr>
            <w:r w:rsidRPr="002A3CBE">
              <w:rPr>
                <w:rFonts w:eastAsia="Calibri"/>
              </w:rPr>
              <w:t>-9,960.2</w:t>
            </w:r>
          </w:p>
        </w:tc>
        <w:tc>
          <w:tcPr>
            <w:tcW w:w="850" w:type="dxa"/>
            <w:shd w:val="clear" w:color="auto" w:fill="FFFFFF"/>
            <w:tcMar>
              <w:top w:w="0" w:type="dxa"/>
              <w:left w:w="85" w:type="dxa"/>
              <w:bottom w:w="0" w:type="dxa"/>
              <w:right w:w="85" w:type="dxa"/>
            </w:tcMar>
            <w:vAlign w:val="center"/>
          </w:tcPr>
          <w:p w14:paraId="7C076087" w14:textId="77777777" w:rsidR="00447423" w:rsidRPr="002A3CBE" w:rsidRDefault="00447423" w:rsidP="00F16E23">
            <w:pPr>
              <w:pStyle w:val="Tableboldblue"/>
              <w:spacing w:before="40" w:after="40"/>
              <w:jc w:val="right"/>
              <w:rPr>
                <w:rFonts w:eastAsia="Calibri"/>
              </w:rPr>
            </w:pPr>
            <w:r w:rsidRPr="002A3CBE">
              <w:rPr>
                <w:rFonts w:eastAsia="Calibri"/>
              </w:rPr>
              <w:t>-54,061.1</w:t>
            </w:r>
          </w:p>
        </w:tc>
        <w:tc>
          <w:tcPr>
            <w:tcW w:w="1701" w:type="dxa"/>
            <w:shd w:val="clear" w:color="auto" w:fill="FFFFFF"/>
            <w:tcMar>
              <w:top w:w="0" w:type="dxa"/>
              <w:left w:w="85" w:type="dxa"/>
              <w:bottom w:w="0" w:type="dxa"/>
              <w:right w:w="85" w:type="dxa"/>
            </w:tcMar>
            <w:vAlign w:val="center"/>
          </w:tcPr>
          <w:p w14:paraId="420F05AB" w14:textId="77777777" w:rsidR="00447423" w:rsidRPr="002A3CBE" w:rsidRDefault="00447423" w:rsidP="00F16E23">
            <w:pPr>
              <w:pStyle w:val="Tableboldblue"/>
              <w:spacing w:before="40" w:after="40"/>
              <w:jc w:val="right"/>
              <w:rPr>
                <w:rFonts w:eastAsia="Calibri"/>
              </w:rPr>
            </w:pPr>
            <w:r w:rsidRPr="002A3CBE">
              <w:rPr>
                <w:rFonts w:eastAsia="Calibri"/>
              </w:rPr>
              <w:t>198,224.1</w:t>
            </w:r>
          </w:p>
        </w:tc>
      </w:tr>
    </w:tbl>
    <w:p w14:paraId="5A9B33B2" w14:textId="77777777" w:rsidR="00447423" w:rsidRPr="002A3CBE" w:rsidRDefault="00447423" w:rsidP="00447423">
      <w:pPr>
        <w:pStyle w:val="Noteundertable"/>
        <w:spacing w:before="80" w:after="0"/>
        <w:ind w:left="0" w:firstLine="0"/>
      </w:pPr>
      <w:r w:rsidRPr="002A3CBE">
        <w:rPr>
          <w:b/>
          <w:bCs/>
        </w:rPr>
        <w:t>Note</w:t>
      </w:r>
      <w:r w:rsidRPr="002A3CBE">
        <w:rPr>
          <w:b/>
        </w:rPr>
        <w:t>:</w:t>
      </w:r>
      <w:r w:rsidRPr="002A3CBE">
        <w:tab/>
        <w:t>Columns may not total due to rounding.</w:t>
      </w:r>
    </w:p>
    <w:p w14:paraId="0F1B2B54" w14:textId="77777777" w:rsidR="00447423" w:rsidRPr="002A3CBE" w:rsidRDefault="00447423" w:rsidP="00447423">
      <w:pPr>
        <w:pStyle w:val="Heading4"/>
      </w:pPr>
      <w:bookmarkStart w:id="2468" w:name="_Toc255466394"/>
      <w:bookmarkStart w:id="2469" w:name="_Toc261513201"/>
      <w:bookmarkStart w:id="2470" w:name="_Toc261513814"/>
      <w:bookmarkStart w:id="2471" w:name="_Toc280630286"/>
      <w:r w:rsidRPr="002A3CBE">
        <w:t>Grassland remaining grassland</w:t>
      </w:r>
      <w:bookmarkEnd w:id="2468"/>
      <w:bookmarkEnd w:id="2469"/>
      <w:bookmarkEnd w:id="2470"/>
      <w:bookmarkEnd w:id="2471"/>
    </w:p>
    <w:p w14:paraId="2059EC11" w14:textId="77777777" w:rsidR="00447423" w:rsidRPr="002A3CBE" w:rsidRDefault="00447423" w:rsidP="00447423">
      <w:pPr>
        <w:pStyle w:val="BodyText"/>
        <w:spacing w:before="80" w:after="80"/>
      </w:pPr>
      <w:r w:rsidRPr="002A3CBE">
        <w:t xml:space="preserve">There were 13,960,997 hectares of </w:t>
      </w:r>
      <w:r w:rsidRPr="002A3CBE">
        <w:rPr>
          <w:i/>
        </w:rPr>
        <w:t>Grassland remaining grassland</w:t>
      </w:r>
      <w:r w:rsidRPr="002A3CBE">
        <w:t xml:space="preserve"> as at 2024, equivalent to 51.9 percent of New Zealand’s total land area. </w:t>
      </w:r>
    </w:p>
    <w:p w14:paraId="34C204A5" w14:textId="77777777" w:rsidR="00447423" w:rsidRPr="002A3CBE" w:rsidRDefault="00447423" w:rsidP="00447423">
      <w:pPr>
        <w:pStyle w:val="Heading4"/>
        <w:spacing w:before="180"/>
      </w:pPr>
      <w:bookmarkStart w:id="2472" w:name="_Toc255466395"/>
      <w:bookmarkStart w:id="2473" w:name="_Toc261513202"/>
      <w:bookmarkStart w:id="2474" w:name="_Toc261513815"/>
      <w:bookmarkStart w:id="2475" w:name="_Toc280630287"/>
      <w:r w:rsidRPr="002A3CBE">
        <w:t>Land converted to grassland</w:t>
      </w:r>
      <w:bookmarkEnd w:id="2472"/>
      <w:bookmarkEnd w:id="2473"/>
      <w:bookmarkEnd w:id="2474"/>
      <w:bookmarkEnd w:id="2475"/>
    </w:p>
    <w:p w14:paraId="1238F7D3" w14:textId="77777777" w:rsidR="00447423" w:rsidRPr="002A3CBE" w:rsidRDefault="00447423" w:rsidP="00447423">
      <w:pPr>
        <w:pStyle w:val="BodyText"/>
        <w:spacing w:before="80" w:after="100"/>
      </w:pPr>
      <w:r w:rsidRPr="002A3CBE">
        <w:rPr>
          <w:spacing w:val="-2"/>
        </w:rPr>
        <w:t xml:space="preserve">In 2024, an estimated 9,045 hectares of land were converted to </w:t>
      </w:r>
      <w:r w:rsidRPr="002A3CBE">
        <w:rPr>
          <w:i/>
          <w:spacing w:val="-2"/>
        </w:rPr>
        <w:t>Grassland</w:t>
      </w:r>
      <w:r w:rsidRPr="002A3CBE">
        <w:rPr>
          <w:spacing w:val="-2"/>
        </w:rPr>
        <w:t>, while 86,663 hectare</w:t>
      </w:r>
      <w:r w:rsidRPr="002A3CBE">
        <w:t xml:space="preserve">s of </w:t>
      </w:r>
      <w:r w:rsidRPr="002A3CBE">
        <w:rPr>
          <w:i/>
        </w:rPr>
        <w:t>Grassland</w:t>
      </w:r>
      <w:r w:rsidRPr="002A3CBE">
        <w:t xml:space="preserve"> were converted to other land use categories.</w:t>
      </w:r>
    </w:p>
    <w:p w14:paraId="2E8810E0" w14:textId="110B52F9" w:rsidR="00447423" w:rsidRPr="002A3CBE" w:rsidRDefault="00447423" w:rsidP="00447423">
      <w:pPr>
        <w:pStyle w:val="BodyText"/>
        <w:spacing w:before="80" w:after="100"/>
      </w:pPr>
      <w:r w:rsidRPr="002A3CBE">
        <w:t xml:space="preserve">The majority (67.7 percent) of </w:t>
      </w:r>
      <w:r w:rsidRPr="002A3CBE">
        <w:rPr>
          <w:i/>
        </w:rPr>
        <w:t>Land converted to grassland</w:t>
      </w:r>
      <w:r w:rsidRPr="002A3CBE">
        <w:t xml:space="preserve"> since 1 January 1990 is land that was previously </w:t>
      </w:r>
      <w:r w:rsidRPr="002A3CBE">
        <w:rPr>
          <w:i/>
        </w:rPr>
        <w:t>Forest land</w:t>
      </w:r>
      <w:r w:rsidRPr="002A3CBE">
        <w:t xml:space="preserve">. The 239,201 hectares of </w:t>
      </w:r>
      <w:r w:rsidRPr="002A3CBE">
        <w:rPr>
          <w:i/>
        </w:rPr>
        <w:t>Forest land</w:t>
      </w:r>
      <w:r w:rsidRPr="002A3CBE">
        <w:t xml:space="preserve"> converted to </w:t>
      </w:r>
      <w:r w:rsidRPr="002A3CBE">
        <w:rPr>
          <w:i/>
        </w:rPr>
        <w:t>Grassland</w:t>
      </w:r>
      <w:r w:rsidRPr="002A3CBE">
        <w:t xml:space="preserve"> since</w:t>
      </w:r>
      <w:r w:rsidR="00F40544">
        <w:t> </w:t>
      </w:r>
      <w:r w:rsidRPr="002A3CBE">
        <w:t>1 January 1990 comprise an estimated 132,689 hectares of pre-1990 planted forest, 58,051</w:t>
      </w:r>
      <w:r w:rsidR="002A3C0E">
        <w:t> </w:t>
      </w:r>
      <w:r w:rsidRPr="002A3CBE">
        <w:t>hectares of post-1989 planted forest, 46,020 hectares of pre-1990 natural forest and 2,442</w:t>
      </w:r>
      <w:r w:rsidR="002A3C0E">
        <w:t> </w:t>
      </w:r>
      <w:r w:rsidRPr="002A3CBE">
        <w:t xml:space="preserve">hectares of post-1989 natural forest. For more information on deforestation, see volume 2, annex 5, section A5.2.2. Land-use change of </w:t>
      </w:r>
      <w:r w:rsidRPr="002A3CBE">
        <w:rPr>
          <w:i/>
        </w:rPr>
        <w:t>Forest land</w:t>
      </w:r>
      <w:r w:rsidRPr="002A3CBE">
        <w:t xml:space="preserve"> to </w:t>
      </w:r>
      <w:r w:rsidRPr="002A3CBE">
        <w:rPr>
          <w:i/>
        </w:rPr>
        <w:t xml:space="preserve">Grassland </w:t>
      </w:r>
      <w:r w:rsidRPr="002A3CBE">
        <w:t>resulted in net</w:t>
      </w:r>
      <w:r w:rsidR="002A3C0E">
        <w:t> </w:t>
      </w:r>
      <w:r w:rsidRPr="002A3CBE">
        <w:t>emissions of 968.4 kt CO</w:t>
      </w:r>
      <w:r w:rsidRPr="002A3CBE">
        <w:rPr>
          <w:vertAlign w:val="subscript"/>
        </w:rPr>
        <w:t xml:space="preserve">2 </w:t>
      </w:r>
      <w:r w:rsidRPr="002A3CBE">
        <w:t>in 2024.</w:t>
      </w:r>
    </w:p>
    <w:p w14:paraId="34FC3632" w14:textId="77777777" w:rsidR="00447423" w:rsidRPr="002A3CBE" w:rsidRDefault="00447423" w:rsidP="00447423">
      <w:pPr>
        <w:pStyle w:val="Heading3"/>
      </w:pPr>
      <w:bookmarkStart w:id="2476" w:name="_Toc139253971"/>
      <w:bookmarkStart w:id="2477" w:name="_Toc255466396"/>
      <w:bookmarkStart w:id="2478" w:name="_Toc261513203"/>
      <w:bookmarkStart w:id="2479" w:name="_Toc261513816"/>
      <w:bookmarkStart w:id="2480" w:name="_Toc280630288"/>
      <w:r w:rsidRPr="002A3CBE">
        <w:t>6.6.2</w:t>
      </w:r>
      <w:r w:rsidRPr="002A3CBE">
        <w:tab/>
        <w:t>Methodological issues</w:t>
      </w:r>
      <w:bookmarkEnd w:id="2476"/>
      <w:bookmarkEnd w:id="2477"/>
      <w:bookmarkEnd w:id="2478"/>
      <w:bookmarkEnd w:id="2479"/>
      <w:bookmarkEnd w:id="2480"/>
    </w:p>
    <w:p w14:paraId="4AB7E751" w14:textId="5D3E04A9" w:rsidR="00447423" w:rsidRPr="002A3CBE" w:rsidRDefault="00447423" w:rsidP="00447423">
      <w:pPr>
        <w:pStyle w:val="BodyText"/>
        <w:spacing w:before="100" w:after="100"/>
        <w:rPr>
          <w:spacing w:val="-2"/>
        </w:rPr>
      </w:pPr>
      <w:r w:rsidRPr="002A3CBE">
        <w:t xml:space="preserve">Emissions and removals in the </w:t>
      </w:r>
      <w:r w:rsidRPr="002A3CBE">
        <w:rPr>
          <w:i/>
          <w:iCs/>
        </w:rPr>
        <w:t>Grassland</w:t>
      </w:r>
      <w:r w:rsidRPr="002A3CBE">
        <w:t xml:space="preserve"> category have been calculated using country-specific factors for all carbon pools representing living biomass, while dead organic matter is only included for </w:t>
      </w:r>
      <w:r w:rsidRPr="002A3CBE">
        <w:rPr>
          <w:i/>
          <w:iCs/>
        </w:rPr>
        <w:t>Grassland with woody biomass</w:t>
      </w:r>
      <w:r w:rsidRPr="002A3CBE">
        <w:t xml:space="preserve"> due to the absence of guidelines for the other grassland types (table 6.6.4). Emissions and removals from mineral soils are estimated using a</w:t>
      </w:r>
      <w:r w:rsidR="002A3C0E">
        <w:t> </w:t>
      </w:r>
      <w:r w:rsidRPr="002A3CBE">
        <w:rPr>
          <w:spacing w:val="-2"/>
        </w:rPr>
        <w:t>Tier 2 method, whereas organic soils are estimated using a Tier 1 method (see volume 2, annex</w:t>
      </w:r>
      <w:r w:rsidR="002A3C0E">
        <w:rPr>
          <w:spacing w:val="-2"/>
        </w:rPr>
        <w:t> </w:t>
      </w:r>
      <w:r w:rsidRPr="002A3CBE">
        <w:rPr>
          <w:spacing w:val="-2"/>
        </w:rPr>
        <w:t xml:space="preserve">5, section A5.2.4). </w:t>
      </w:r>
    </w:p>
    <w:p w14:paraId="0C31EF63" w14:textId="77777777" w:rsidR="00447423" w:rsidRPr="002A3CBE" w:rsidRDefault="00447423" w:rsidP="00447423">
      <w:pPr>
        <w:pStyle w:val="Table"/>
      </w:pPr>
      <w:bookmarkStart w:id="2481" w:name="_Toc310423425"/>
      <w:bookmarkStart w:id="2482" w:name="_Toc318362718"/>
      <w:bookmarkStart w:id="2483" w:name="_Toc342470780"/>
      <w:bookmarkStart w:id="2484" w:name="_Toc352505020"/>
      <w:bookmarkStart w:id="2485" w:name="_Toc378853309"/>
      <w:bookmarkStart w:id="2486" w:name="_Toc391024107"/>
      <w:bookmarkStart w:id="2487" w:name="_Toc410028850"/>
      <w:bookmarkStart w:id="2488" w:name="_Toc414531478"/>
      <w:bookmarkStart w:id="2489" w:name="_Toc443645391"/>
      <w:bookmarkStart w:id="2490" w:name="_Toc474914610"/>
      <w:bookmarkStart w:id="2491" w:name="_Toc481751574"/>
      <w:bookmarkStart w:id="2492" w:name="_Toc522010631"/>
      <w:bookmarkStart w:id="2493" w:name="_Toc5269536"/>
      <w:bookmarkStart w:id="2494" w:name="_Toc33529410"/>
      <w:bookmarkStart w:id="2495" w:name="_Toc36224616"/>
      <w:bookmarkStart w:id="2496" w:name="_Toc131591411"/>
      <w:bookmarkStart w:id="2497" w:name="_Toc158979969"/>
      <w:bookmarkStart w:id="2498" w:name="_Toc164153902"/>
      <w:bookmarkStart w:id="2499" w:name="_Toc190873136"/>
      <w:bookmarkStart w:id="2500" w:name="_Toc194241775"/>
      <w:bookmarkStart w:id="2501" w:name="_Toc222837926"/>
      <w:bookmarkStart w:id="2502" w:name="_Toc226669072"/>
      <w:bookmarkStart w:id="2503" w:name="_Toc255466397"/>
      <w:bookmarkStart w:id="2504" w:name="_Toc261513204"/>
      <w:bookmarkStart w:id="2505" w:name="_Toc261513817"/>
      <w:r w:rsidRPr="002A3CBE">
        <w:t>Table 6.6.4</w:t>
      </w:r>
      <w:r w:rsidRPr="002A3CBE">
        <w:tab/>
        <w:t xml:space="preserve">Summary of New Zealand’s biomass emission factors for </w:t>
      </w:r>
      <w:r w:rsidRPr="002A3CBE">
        <w:rPr>
          <w:i/>
        </w:rPr>
        <w:t>Grassland</w:t>
      </w:r>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p>
    <w:tbl>
      <w:tblPr>
        <w:tblW w:w="8505" w:type="dxa"/>
        <w:tblLook w:val="04A0" w:firstRow="1" w:lastRow="0" w:firstColumn="1" w:lastColumn="0" w:noHBand="0" w:noVBand="1"/>
      </w:tblPr>
      <w:tblGrid>
        <w:gridCol w:w="1246"/>
        <w:gridCol w:w="1731"/>
        <w:gridCol w:w="1276"/>
        <w:gridCol w:w="1276"/>
        <w:gridCol w:w="1275"/>
        <w:gridCol w:w="1701"/>
      </w:tblGrid>
      <w:tr w:rsidR="00447423" w:rsidRPr="002A3CBE" w14:paraId="218662AE" w14:textId="77777777" w:rsidTr="00F16E23">
        <w:trPr>
          <w:trHeight w:val="20"/>
          <w:tblHeader/>
        </w:trPr>
        <w:tc>
          <w:tcPr>
            <w:tcW w:w="1246" w:type="dxa"/>
            <w:tcBorders>
              <w:top w:val="single" w:sz="4" w:space="0" w:color="1B556B"/>
              <w:bottom w:val="single" w:sz="4" w:space="0" w:color="1B556B"/>
            </w:tcBorders>
            <w:shd w:val="clear" w:color="auto" w:fill="1B556B" w:themeFill="text2"/>
            <w:vAlign w:val="bottom"/>
          </w:tcPr>
          <w:p w14:paraId="72B95E16" w14:textId="77777777" w:rsidR="00447423" w:rsidRPr="002A3CBE" w:rsidRDefault="00447423" w:rsidP="00F16E23">
            <w:pPr>
              <w:pStyle w:val="TableTextBold"/>
              <w:keepNext/>
              <w:spacing w:before="30" w:after="30"/>
              <w:rPr>
                <w:rFonts w:cs="Calibri"/>
                <w:noProof w:val="0"/>
                <w:color w:val="FFFFFF"/>
                <w:szCs w:val="16"/>
              </w:rPr>
            </w:pPr>
            <w:r w:rsidRPr="002A3CBE">
              <w:rPr>
                <w:rFonts w:cs="Calibri"/>
                <w:noProof w:val="0"/>
                <w:color w:val="FFFFFF"/>
                <w:szCs w:val="16"/>
              </w:rPr>
              <w:t>Land use</w:t>
            </w:r>
          </w:p>
        </w:tc>
        <w:tc>
          <w:tcPr>
            <w:tcW w:w="1731" w:type="dxa"/>
            <w:tcBorders>
              <w:top w:val="single" w:sz="4" w:space="0" w:color="1B556B"/>
              <w:bottom w:val="single" w:sz="4" w:space="0" w:color="1B556B"/>
            </w:tcBorders>
            <w:shd w:val="clear" w:color="auto" w:fill="1B556B" w:themeFill="text2"/>
            <w:vAlign w:val="bottom"/>
          </w:tcPr>
          <w:p w14:paraId="4C5B69E1" w14:textId="77777777" w:rsidR="00447423" w:rsidRPr="002A3CBE" w:rsidRDefault="00447423" w:rsidP="00F16E23">
            <w:pPr>
              <w:pStyle w:val="TableTextBold"/>
              <w:spacing w:before="30" w:after="30"/>
              <w:rPr>
                <w:rFonts w:cs="Calibri"/>
                <w:noProof w:val="0"/>
                <w:color w:val="FFFFFF"/>
                <w:szCs w:val="16"/>
              </w:rPr>
            </w:pPr>
            <w:r w:rsidRPr="002A3CBE">
              <w:rPr>
                <w:rFonts w:cs="Calibri"/>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69F9A830" w14:textId="77777777" w:rsidR="00447423" w:rsidRPr="002A3CBE" w:rsidRDefault="00447423" w:rsidP="00F16E23">
            <w:pPr>
              <w:pStyle w:val="TableTextBold"/>
              <w:spacing w:before="30" w:after="30"/>
              <w:rPr>
                <w:rFonts w:cs="Calibri"/>
                <w:noProof w:val="0"/>
                <w:color w:val="FFFFFF"/>
                <w:szCs w:val="16"/>
              </w:rPr>
            </w:pPr>
            <w:r w:rsidRPr="002A3CBE">
              <w:rPr>
                <w:rFonts w:cs="Calibri"/>
                <w:noProof w:val="0"/>
                <w:color w:val="FFFFFF"/>
                <w:szCs w:val="16"/>
              </w:rPr>
              <w:t>Steady state carbon stock</w:t>
            </w:r>
            <w:r w:rsidRPr="002A3CBE">
              <w:rPr>
                <w:rFonts w:cs="Calibri"/>
                <w:noProof w:val="0"/>
                <w:color w:val="FFFFFF"/>
                <w:szCs w:val="16"/>
              </w:rPr>
              <w:br/>
              <w:t>(t C ha</w:t>
            </w:r>
            <w:r w:rsidRPr="002A3CBE">
              <w:rPr>
                <w:rFonts w:cs="Calibri"/>
                <w:noProof w:val="0"/>
                <w:color w:val="FFFFFF"/>
                <w:szCs w:val="16"/>
                <w:vertAlign w:val="superscript"/>
              </w:rPr>
              <w:t>–1</w:t>
            </w:r>
            <w:r w:rsidRPr="002A3CBE">
              <w:rPr>
                <w:rFonts w:cs="Calibri"/>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29B63645" w14:textId="77777777" w:rsidR="00447423" w:rsidRPr="002A3CBE" w:rsidRDefault="00447423" w:rsidP="00F16E23">
            <w:pPr>
              <w:pStyle w:val="TableTextBold"/>
              <w:spacing w:before="30" w:after="30"/>
              <w:rPr>
                <w:rFonts w:cs="Calibri"/>
                <w:noProof w:val="0"/>
                <w:color w:val="FFFFFF"/>
                <w:szCs w:val="16"/>
              </w:rPr>
            </w:pPr>
            <w:r w:rsidRPr="002A3CBE">
              <w:rPr>
                <w:rFonts w:cs="Calibri"/>
                <w:noProof w:val="0"/>
                <w:color w:val="FFFFFF"/>
                <w:szCs w:val="16"/>
              </w:rPr>
              <w:t xml:space="preserve">Annual carbon accumulation </w:t>
            </w:r>
            <w:r w:rsidRPr="002A3CBE">
              <w:rPr>
                <w:rFonts w:cs="Calibri"/>
                <w:noProof w:val="0"/>
                <w:color w:val="FFFFFF"/>
                <w:szCs w:val="16"/>
              </w:rPr>
              <w:br/>
              <w:t>(t C ha</w:t>
            </w:r>
            <w:r w:rsidRPr="002A3CBE">
              <w:rPr>
                <w:rFonts w:cs="Calibri"/>
                <w:noProof w:val="0"/>
                <w:color w:val="FFFFFF"/>
                <w:szCs w:val="16"/>
                <w:vertAlign w:val="superscript"/>
              </w:rPr>
              <w:t>–1</w:t>
            </w:r>
            <w:r w:rsidRPr="002A3CBE">
              <w:rPr>
                <w:rFonts w:cs="Calibri"/>
                <w:noProof w:val="0"/>
                <w:color w:val="FFFFFF"/>
                <w:szCs w:val="16"/>
              </w:rPr>
              <w:t>)</w:t>
            </w:r>
          </w:p>
        </w:tc>
        <w:tc>
          <w:tcPr>
            <w:tcW w:w="1275" w:type="dxa"/>
            <w:tcBorders>
              <w:top w:val="single" w:sz="4" w:space="0" w:color="1B556B"/>
              <w:bottom w:val="single" w:sz="4" w:space="0" w:color="1B556B"/>
            </w:tcBorders>
            <w:shd w:val="clear" w:color="auto" w:fill="1B556B" w:themeFill="text2"/>
            <w:vAlign w:val="bottom"/>
          </w:tcPr>
          <w:p w14:paraId="4E4CC012" w14:textId="77777777" w:rsidR="00447423" w:rsidRPr="002A3CBE" w:rsidRDefault="00447423" w:rsidP="00F16E23">
            <w:pPr>
              <w:pStyle w:val="TableTextBold"/>
              <w:spacing w:before="30" w:after="30"/>
              <w:rPr>
                <w:rFonts w:cs="Calibri"/>
                <w:noProof w:val="0"/>
                <w:color w:val="FFFFFF"/>
                <w:szCs w:val="16"/>
              </w:rPr>
            </w:pPr>
            <w:r w:rsidRPr="002A3CBE">
              <w:rPr>
                <w:rFonts w:cs="Calibri"/>
                <w:noProof w:val="0"/>
                <w:color w:val="FFFFFF"/>
                <w:szCs w:val="16"/>
              </w:rPr>
              <w:t>Years to reach steady state</w:t>
            </w:r>
          </w:p>
        </w:tc>
        <w:tc>
          <w:tcPr>
            <w:tcW w:w="1701" w:type="dxa"/>
            <w:tcBorders>
              <w:top w:val="single" w:sz="4" w:space="0" w:color="1B556B"/>
              <w:bottom w:val="single" w:sz="4" w:space="0" w:color="1B556B"/>
            </w:tcBorders>
            <w:shd w:val="clear" w:color="auto" w:fill="1B556B" w:themeFill="text2"/>
            <w:vAlign w:val="bottom"/>
          </w:tcPr>
          <w:p w14:paraId="7171458F" w14:textId="77777777" w:rsidR="00447423" w:rsidRPr="002A3CBE" w:rsidRDefault="00447423" w:rsidP="00F16E23">
            <w:pPr>
              <w:pStyle w:val="TableTextBold"/>
              <w:spacing w:before="30" w:after="30"/>
              <w:rPr>
                <w:rFonts w:cs="Calibri"/>
                <w:noProof w:val="0"/>
                <w:color w:val="FFFFFF"/>
                <w:szCs w:val="16"/>
              </w:rPr>
            </w:pPr>
            <w:r w:rsidRPr="002A3CBE">
              <w:rPr>
                <w:rFonts w:cs="Calibri"/>
                <w:noProof w:val="0"/>
                <w:color w:val="FFFFFF"/>
                <w:szCs w:val="16"/>
              </w:rPr>
              <w:t>Source</w:t>
            </w:r>
          </w:p>
        </w:tc>
      </w:tr>
      <w:tr w:rsidR="00447423" w:rsidRPr="002A3CBE" w14:paraId="7D85B5FA" w14:textId="77777777" w:rsidTr="00F16E23">
        <w:trPr>
          <w:trHeight w:val="20"/>
        </w:trPr>
        <w:tc>
          <w:tcPr>
            <w:tcW w:w="1246" w:type="dxa"/>
            <w:vMerge w:val="restart"/>
            <w:tcBorders>
              <w:top w:val="single" w:sz="4" w:space="0" w:color="1B556B"/>
            </w:tcBorders>
          </w:tcPr>
          <w:p w14:paraId="3B847E0F" w14:textId="77777777" w:rsidR="00447423" w:rsidRPr="002A3CBE" w:rsidRDefault="00447423" w:rsidP="00F16E23">
            <w:pPr>
              <w:pStyle w:val="TableText"/>
              <w:spacing w:before="30" w:after="30"/>
              <w:rPr>
                <w:rFonts w:cs="Calibri"/>
                <w:szCs w:val="16"/>
              </w:rPr>
            </w:pPr>
            <w:r w:rsidRPr="002A3CBE">
              <w:rPr>
                <w:rFonts w:cs="Calibri"/>
                <w:szCs w:val="16"/>
              </w:rPr>
              <w:t>High producing</w:t>
            </w:r>
          </w:p>
        </w:tc>
        <w:tc>
          <w:tcPr>
            <w:tcW w:w="1731" w:type="dxa"/>
            <w:tcBorders>
              <w:top w:val="single" w:sz="4" w:space="0" w:color="1B556B"/>
              <w:bottom w:val="single" w:sz="4" w:space="0" w:color="1B556B"/>
            </w:tcBorders>
          </w:tcPr>
          <w:p w14:paraId="64E4DEE9" w14:textId="77777777" w:rsidR="00447423" w:rsidRPr="002A3CBE" w:rsidRDefault="00447423" w:rsidP="00F16E23">
            <w:pPr>
              <w:pStyle w:val="TableText"/>
              <w:spacing w:before="30" w:after="30"/>
              <w:rPr>
                <w:rFonts w:cs="Calibri"/>
                <w:b/>
                <w:szCs w:val="16"/>
              </w:rPr>
            </w:pPr>
            <w:r w:rsidRPr="002A3CBE">
              <w:rPr>
                <w:rFonts w:cs="Calibri"/>
                <w:b/>
                <w:szCs w:val="16"/>
              </w:rPr>
              <w:t>Total biomass</w:t>
            </w:r>
          </w:p>
        </w:tc>
        <w:tc>
          <w:tcPr>
            <w:tcW w:w="1276" w:type="dxa"/>
            <w:tcBorders>
              <w:top w:val="single" w:sz="4" w:space="0" w:color="1B556B"/>
              <w:bottom w:val="single" w:sz="4" w:space="0" w:color="1B556B"/>
            </w:tcBorders>
          </w:tcPr>
          <w:p w14:paraId="3B488C34" w14:textId="77777777" w:rsidR="00447423" w:rsidRPr="002A3CBE" w:rsidRDefault="00447423" w:rsidP="00F16E23">
            <w:pPr>
              <w:pStyle w:val="TableText"/>
              <w:spacing w:before="30" w:after="30"/>
              <w:rPr>
                <w:rFonts w:cs="Calibri"/>
                <w:b/>
                <w:szCs w:val="16"/>
                <w:highlight w:val="yellow"/>
              </w:rPr>
            </w:pPr>
            <w:r w:rsidRPr="002A3CBE">
              <w:rPr>
                <w:rFonts w:cs="Calibri"/>
                <w:b/>
                <w:szCs w:val="16"/>
              </w:rPr>
              <w:t>2.341</w:t>
            </w:r>
          </w:p>
        </w:tc>
        <w:tc>
          <w:tcPr>
            <w:tcW w:w="1276" w:type="dxa"/>
            <w:tcBorders>
              <w:top w:val="single" w:sz="4" w:space="0" w:color="1B556B"/>
              <w:bottom w:val="single" w:sz="4" w:space="0" w:color="1B556B"/>
            </w:tcBorders>
          </w:tcPr>
          <w:p w14:paraId="69376E85" w14:textId="77777777" w:rsidR="00447423" w:rsidRPr="002A3CBE" w:rsidRDefault="00447423" w:rsidP="00F16E23">
            <w:pPr>
              <w:pStyle w:val="TableText"/>
              <w:spacing w:before="30" w:after="30"/>
              <w:rPr>
                <w:rFonts w:cs="Calibri"/>
                <w:b/>
                <w:szCs w:val="16"/>
                <w:highlight w:val="yellow"/>
              </w:rPr>
            </w:pPr>
            <w:r w:rsidRPr="002A3CBE">
              <w:rPr>
                <w:rFonts w:cs="Calibri"/>
                <w:b/>
                <w:szCs w:val="16"/>
              </w:rPr>
              <w:t>2.341</w:t>
            </w:r>
          </w:p>
        </w:tc>
        <w:tc>
          <w:tcPr>
            <w:tcW w:w="1275" w:type="dxa"/>
            <w:tcBorders>
              <w:top w:val="single" w:sz="4" w:space="0" w:color="1B556B"/>
              <w:bottom w:val="single" w:sz="4" w:space="0" w:color="1B556B"/>
            </w:tcBorders>
          </w:tcPr>
          <w:p w14:paraId="0E97D709" w14:textId="77777777" w:rsidR="00447423" w:rsidRPr="002A3CBE" w:rsidRDefault="00447423" w:rsidP="00F16E23">
            <w:pPr>
              <w:pStyle w:val="TableText"/>
              <w:spacing w:before="30" w:after="30"/>
              <w:rPr>
                <w:rFonts w:cs="Calibri"/>
                <w:b/>
                <w:szCs w:val="16"/>
              </w:rPr>
            </w:pPr>
            <w:r w:rsidRPr="002A3CBE">
              <w:rPr>
                <w:rFonts w:cs="Calibri"/>
                <w:b/>
                <w:szCs w:val="16"/>
              </w:rPr>
              <w:t>1</w:t>
            </w:r>
          </w:p>
        </w:tc>
        <w:tc>
          <w:tcPr>
            <w:tcW w:w="1701" w:type="dxa"/>
            <w:vMerge w:val="restart"/>
            <w:tcBorders>
              <w:top w:val="single" w:sz="4" w:space="0" w:color="1B556B"/>
              <w:bottom w:val="single" w:sz="4" w:space="0" w:color="365F91"/>
            </w:tcBorders>
          </w:tcPr>
          <w:p w14:paraId="72212B44" w14:textId="77777777" w:rsidR="00447423" w:rsidRPr="002A3CBE" w:rsidRDefault="00447423" w:rsidP="00F16E23">
            <w:pPr>
              <w:pStyle w:val="TableText"/>
              <w:spacing w:before="30" w:after="30"/>
              <w:rPr>
                <w:rFonts w:cs="Calibri"/>
                <w:szCs w:val="16"/>
              </w:rPr>
            </w:pPr>
            <w:r w:rsidRPr="002A3CBE">
              <w:rPr>
                <w:rFonts w:cs="Calibri"/>
                <w:szCs w:val="16"/>
              </w:rPr>
              <w:t>Vibart et al. (2025)</w:t>
            </w:r>
          </w:p>
        </w:tc>
      </w:tr>
      <w:tr w:rsidR="00447423" w:rsidRPr="002A3CBE" w14:paraId="5D5E1F1A" w14:textId="77777777" w:rsidTr="00F16E23">
        <w:trPr>
          <w:trHeight w:val="20"/>
        </w:trPr>
        <w:tc>
          <w:tcPr>
            <w:tcW w:w="1246" w:type="dxa"/>
            <w:vMerge/>
          </w:tcPr>
          <w:p w14:paraId="0DA335C7"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4952D3CE" w14:textId="77777777" w:rsidR="00447423" w:rsidRPr="002A3CBE" w:rsidRDefault="00447423" w:rsidP="00F16E23">
            <w:pPr>
              <w:pStyle w:val="TableText"/>
              <w:spacing w:before="30" w:after="30"/>
              <w:rPr>
                <w:rFonts w:cs="Calibri"/>
                <w:i/>
                <w:szCs w:val="16"/>
              </w:rPr>
            </w:pPr>
            <w:r w:rsidRPr="002A3CBE">
              <w:rPr>
                <w:rFonts w:cs="Calibri"/>
                <w:i/>
                <w:szCs w:val="16"/>
              </w:rPr>
              <w:t>Living biomass</w:t>
            </w:r>
          </w:p>
        </w:tc>
        <w:tc>
          <w:tcPr>
            <w:tcW w:w="1276" w:type="dxa"/>
            <w:tcBorders>
              <w:top w:val="single" w:sz="4" w:space="0" w:color="1B556B"/>
              <w:bottom w:val="single" w:sz="4" w:space="0" w:color="1B556B"/>
            </w:tcBorders>
          </w:tcPr>
          <w:p w14:paraId="09946EBD" w14:textId="77777777" w:rsidR="00447423" w:rsidRPr="002A3CBE" w:rsidRDefault="00447423" w:rsidP="00F16E23">
            <w:pPr>
              <w:pStyle w:val="TableText"/>
              <w:spacing w:before="30" w:after="30"/>
              <w:rPr>
                <w:rFonts w:cs="Calibri"/>
                <w:szCs w:val="16"/>
                <w:highlight w:val="yellow"/>
              </w:rPr>
            </w:pPr>
          </w:p>
        </w:tc>
        <w:tc>
          <w:tcPr>
            <w:tcW w:w="1276" w:type="dxa"/>
            <w:tcBorders>
              <w:top w:val="single" w:sz="4" w:space="0" w:color="1B556B"/>
              <w:bottom w:val="single" w:sz="4" w:space="0" w:color="1B556B"/>
            </w:tcBorders>
          </w:tcPr>
          <w:p w14:paraId="1E690787" w14:textId="77777777" w:rsidR="00447423" w:rsidRPr="002A3CBE" w:rsidRDefault="00447423" w:rsidP="00F16E23">
            <w:pPr>
              <w:pStyle w:val="TableText"/>
              <w:spacing w:before="30" w:after="30"/>
              <w:rPr>
                <w:rFonts w:cs="Calibri"/>
                <w:szCs w:val="16"/>
                <w:highlight w:val="yellow"/>
              </w:rPr>
            </w:pPr>
          </w:p>
        </w:tc>
        <w:tc>
          <w:tcPr>
            <w:tcW w:w="1275" w:type="dxa"/>
            <w:tcBorders>
              <w:top w:val="single" w:sz="4" w:space="0" w:color="1B556B"/>
              <w:bottom w:val="single" w:sz="4" w:space="0" w:color="1B556B"/>
            </w:tcBorders>
          </w:tcPr>
          <w:p w14:paraId="3E5288BB" w14:textId="77777777" w:rsidR="00447423" w:rsidRPr="002A3CBE" w:rsidRDefault="00447423" w:rsidP="00F16E23">
            <w:pPr>
              <w:pStyle w:val="TableText"/>
              <w:spacing w:before="30" w:after="30"/>
              <w:rPr>
                <w:rFonts w:cs="Calibri"/>
                <w:szCs w:val="16"/>
              </w:rPr>
            </w:pPr>
          </w:p>
        </w:tc>
        <w:tc>
          <w:tcPr>
            <w:tcW w:w="1701" w:type="dxa"/>
            <w:vMerge/>
          </w:tcPr>
          <w:p w14:paraId="7F543ABB" w14:textId="77777777" w:rsidR="00447423" w:rsidRPr="002A3CBE" w:rsidRDefault="00447423" w:rsidP="00F16E23">
            <w:pPr>
              <w:pStyle w:val="TableText"/>
              <w:spacing w:before="30" w:after="30"/>
              <w:rPr>
                <w:rFonts w:cs="Calibri"/>
                <w:szCs w:val="16"/>
              </w:rPr>
            </w:pPr>
          </w:p>
        </w:tc>
      </w:tr>
      <w:tr w:rsidR="00447423" w:rsidRPr="002A3CBE" w14:paraId="0A9155BD" w14:textId="77777777" w:rsidTr="00F16E23">
        <w:trPr>
          <w:trHeight w:val="20"/>
        </w:trPr>
        <w:tc>
          <w:tcPr>
            <w:tcW w:w="1246" w:type="dxa"/>
            <w:vMerge/>
          </w:tcPr>
          <w:p w14:paraId="7EDC1C5B"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5D38CF2F" w14:textId="77777777" w:rsidR="00447423" w:rsidRPr="002A3CBE" w:rsidRDefault="00447423" w:rsidP="00F16E23">
            <w:pPr>
              <w:pStyle w:val="TableText"/>
              <w:spacing w:before="30" w:after="30"/>
              <w:rPr>
                <w:rFonts w:cs="Calibri"/>
                <w:szCs w:val="16"/>
              </w:rPr>
            </w:pPr>
            <w:r w:rsidRPr="002A3CBE">
              <w:rPr>
                <w:rFonts w:cs="Calibri"/>
                <w:szCs w:val="16"/>
              </w:rPr>
              <w:tab/>
              <w:t>AGB</w:t>
            </w:r>
          </w:p>
        </w:tc>
        <w:tc>
          <w:tcPr>
            <w:tcW w:w="1276" w:type="dxa"/>
            <w:tcBorders>
              <w:top w:val="single" w:sz="4" w:space="0" w:color="1B556B"/>
              <w:bottom w:val="single" w:sz="4" w:space="0" w:color="1B556B"/>
            </w:tcBorders>
          </w:tcPr>
          <w:p w14:paraId="67712F4A" w14:textId="77777777" w:rsidR="00447423" w:rsidRPr="002A3CBE" w:rsidRDefault="00447423" w:rsidP="00F16E23">
            <w:pPr>
              <w:pStyle w:val="TableText"/>
              <w:spacing w:before="30" w:after="30"/>
              <w:rPr>
                <w:rFonts w:cs="Calibri"/>
                <w:szCs w:val="16"/>
                <w:highlight w:val="yellow"/>
              </w:rPr>
            </w:pPr>
            <w:r w:rsidRPr="002A3CBE">
              <w:rPr>
                <w:rFonts w:cs="Calibri"/>
                <w:szCs w:val="16"/>
              </w:rPr>
              <w:t>0.996</w:t>
            </w:r>
          </w:p>
        </w:tc>
        <w:tc>
          <w:tcPr>
            <w:tcW w:w="1276" w:type="dxa"/>
            <w:tcBorders>
              <w:top w:val="single" w:sz="4" w:space="0" w:color="1B556B"/>
              <w:bottom w:val="single" w:sz="4" w:space="0" w:color="1B556B"/>
            </w:tcBorders>
          </w:tcPr>
          <w:p w14:paraId="7C301554" w14:textId="77777777" w:rsidR="00447423" w:rsidRPr="002A3CBE" w:rsidRDefault="00447423" w:rsidP="00F16E23">
            <w:pPr>
              <w:pStyle w:val="TableText"/>
              <w:spacing w:before="30" w:after="30"/>
              <w:rPr>
                <w:rFonts w:cs="Calibri"/>
                <w:szCs w:val="16"/>
                <w:highlight w:val="yellow"/>
              </w:rPr>
            </w:pPr>
            <w:r w:rsidRPr="002A3CBE">
              <w:rPr>
                <w:rFonts w:cs="Calibri"/>
                <w:szCs w:val="16"/>
              </w:rPr>
              <w:t>0.996</w:t>
            </w:r>
          </w:p>
        </w:tc>
        <w:tc>
          <w:tcPr>
            <w:tcW w:w="1275" w:type="dxa"/>
            <w:tcBorders>
              <w:top w:val="single" w:sz="4" w:space="0" w:color="1B556B"/>
              <w:bottom w:val="single" w:sz="4" w:space="0" w:color="1B556B"/>
            </w:tcBorders>
          </w:tcPr>
          <w:p w14:paraId="5BAF237C" w14:textId="77777777" w:rsidR="00447423" w:rsidRPr="002A3CBE" w:rsidRDefault="00447423" w:rsidP="00F16E23">
            <w:pPr>
              <w:pStyle w:val="TableText"/>
              <w:spacing w:before="30" w:after="30"/>
              <w:rPr>
                <w:rFonts w:cs="Calibri"/>
                <w:szCs w:val="16"/>
              </w:rPr>
            </w:pPr>
            <w:r w:rsidRPr="002A3CBE">
              <w:rPr>
                <w:rFonts w:cs="Calibri"/>
                <w:szCs w:val="16"/>
              </w:rPr>
              <w:t>1</w:t>
            </w:r>
          </w:p>
        </w:tc>
        <w:tc>
          <w:tcPr>
            <w:tcW w:w="1701" w:type="dxa"/>
            <w:vMerge/>
          </w:tcPr>
          <w:p w14:paraId="68F14282" w14:textId="77777777" w:rsidR="00447423" w:rsidRPr="002A3CBE" w:rsidRDefault="00447423" w:rsidP="00F16E23">
            <w:pPr>
              <w:pStyle w:val="TableText"/>
              <w:spacing w:before="30" w:after="30"/>
              <w:rPr>
                <w:rFonts w:cs="Calibri"/>
                <w:szCs w:val="16"/>
              </w:rPr>
            </w:pPr>
          </w:p>
        </w:tc>
      </w:tr>
      <w:tr w:rsidR="00447423" w:rsidRPr="002A3CBE" w14:paraId="693506F4" w14:textId="77777777" w:rsidTr="00F16E23">
        <w:trPr>
          <w:trHeight w:val="20"/>
        </w:trPr>
        <w:tc>
          <w:tcPr>
            <w:tcW w:w="1246" w:type="dxa"/>
            <w:vMerge/>
          </w:tcPr>
          <w:p w14:paraId="0492E557"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1274FE7E" w14:textId="77777777" w:rsidR="00447423" w:rsidRPr="002A3CBE" w:rsidRDefault="00447423" w:rsidP="00F16E23">
            <w:pPr>
              <w:pStyle w:val="TableText"/>
              <w:spacing w:before="30" w:after="30"/>
              <w:rPr>
                <w:rFonts w:cs="Calibri"/>
                <w:szCs w:val="16"/>
              </w:rPr>
            </w:pPr>
            <w:r w:rsidRPr="002A3CBE">
              <w:rPr>
                <w:rFonts w:cs="Calibri"/>
                <w:szCs w:val="16"/>
              </w:rPr>
              <w:tab/>
              <w:t>BGB</w:t>
            </w:r>
          </w:p>
        </w:tc>
        <w:tc>
          <w:tcPr>
            <w:tcW w:w="1276" w:type="dxa"/>
            <w:tcBorders>
              <w:top w:val="single" w:sz="4" w:space="0" w:color="1B556B"/>
              <w:bottom w:val="single" w:sz="4" w:space="0" w:color="1B556B"/>
            </w:tcBorders>
          </w:tcPr>
          <w:p w14:paraId="2D53F0FB" w14:textId="77777777" w:rsidR="00447423" w:rsidRPr="002A3CBE" w:rsidRDefault="00447423" w:rsidP="00F16E23">
            <w:pPr>
              <w:pStyle w:val="TableText"/>
              <w:spacing w:before="30" w:after="30"/>
              <w:rPr>
                <w:rFonts w:cs="Calibri"/>
                <w:szCs w:val="16"/>
                <w:highlight w:val="yellow"/>
              </w:rPr>
            </w:pPr>
            <w:r w:rsidRPr="002A3CBE">
              <w:rPr>
                <w:rFonts w:cs="Calibri"/>
                <w:szCs w:val="16"/>
              </w:rPr>
              <w:t>1.345</w:t>
            </w:r>
          </w:p>
        </w:tc>
        <w:tc>
          <w:tcPr>
            <w:tcW w:w="1276" w:type="dxa"/>
            <w:tcBorders>
              <w:top w:val="single" w:sz="4" w:space="0" w:color="1B556B"/>
              <w:bottom w:val="single" w:sz="4" w:space="0" w:color="1B556B"/>
            </w:tcBorders>
          </w:tcPr>
          <w:p w14:paraId="0850926C" w14:textId="77777777" w:rsidR="00447423" w:rsidRPr="002A3CBE" w:rsidRDefault="00447423" w:rsidP="00F16E23">
            <w:pPr>
              <w:pStyle w:val="TableText"/>
              <w:spacing w:before="30" w:after="30"/>
              <w:rPr>
                <w:rFonts w:cs="Calibri"/>
                <w:szCs w:val="16"/>
                <w:highlight w:val="yellow"/>
              </w:rPr>
            </w:pPr>
            <w:r w:rsidRPr="002A3CBE">
              <w:rPr>
                <w:rFonts w:cs="Calibri"/>
                <w:szCs w:val="16"/>
              </w:rPr>
              <w:t>1.345</w:t>
            </w:r>
          </w:p>
        </w:tc>
        <w:tc>
          <w:tcPr>
            <w:tcW w:w="1275" w:type="dxa"/>
            <w:tcBorders>
              <w:top w:val="single" w:sz="4" w:space="0" w:color="1B556B"/>
              <w:bottom w:val="single" w:sz="4" w:space="0" w:color="1B556B"/>
            </w:tcBorders>
          </w:tcPr>
          <w:p w14:paraId="160DE66B" w14:textId="77777777" w:rsidR="00447423" w:rsidRPr="002A3CBE" w:rsidRDefault="00447423" w:rsidP="00F16E23">
            <w:pPr>
              <w:pStyle w:val="TableText"/>
              <w:spacing w:before="30" w:after="30"/>
              <w:rPr>
                <w:rFonts w:cs="Calibri"/>
                <w:szCs w:val="16"/>
              </w:rPr>
            </w:pPr>
            <w:r w:rsidRPr="002A3CBE">
              <w:rPr>
                <w:rFonts w:cs="Calibri"/>
                <w:szCs w:val="16"/>
              </w:rPr>
              <w:t>1</w:t>
            </w:r>
          </w:p>
        </w:tc>
        <w:tc>
          <w:tcPr>
            <w:tcW w:w="1701" w:type="dxa"/>
            <w:vMerge/>
            <w:tcBorders>
              <w:bottom w:val="single" w:sz="4" w:space="0" w:color="1B556B"/>
            </w:tcBorders>
          </w:tcPr>
          <w:p w14:paraId="2E4D5EA7" w14:textId="77777777" w:rsidR="00447423" w:rsidRPr="002A3CBE" w:rsidRDefault="00447423" w:rsidP="00F16E23">
            <w:pPr>
              <w:pStyle w:val="TableText"/>
              <w:spacing w:before="30" w:after="30"/>
              <w:rPr>
                <w:rFonts w:cs="Calibri"/>
                <w:szCs w:val="16"/>
              </w:rPr>
            </w:pPr>
          </w:p>
        </w:tc>
      </w:tr>
      <w:tr w:rsidR="00447423" w:rsidRPr="002A3CBE" w14:paraId="2DA9E19C" w14:textId="77777777" w:rsidTr="00F16E23">
        <w:trPr>
          <w:trHeight w:val="20"/>
        </w:trPr>
        <w:tc>
          <w:tcPr>
            <w:tcW w:w="1246" w:type="dxa"/>
            <w:vMerge/>
            <w:tcBorders>
              <w:bottom w:val="single" w:sz="4" w:space="0" w:color="1B556B"/>
            </w:tcBorders>
          </w:tcPr>
          <w:p w14:paraId="3258BA20"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10E91E4B" w14:textId="77777777" w:rsidR="00447423" w:rsidRPr="002A3CBE" w:rsidRDefault="00447423" w:rsidP="00F16E23">
            <w:pPr>
              <w:pStyle w:val="TableText"/>
              <w:spacing w:before="30" w:after="30"/>
              <w:rPr>
                <w:rFonts w:cs="Calibri"/>
                <w:i/>
                <w:szCs w:val="16"/>
              </w:rPr>
            </w:pPr>
            <w:r w:rsidRPr="002A3CBE">
              <w:rPr>
                <w:rFonts w:cs="Calibri"/>
                <w:i/>
                <w:szCs w:val="16"/>
              </w:rPr>
              <w:t>Dead organic matter</w:t>
            </w:r>
          </w:p>
        </w:tc>
        <w:tc>
          <w:tcPr>
            <w:tcW w:w="1276" w:type="dxa"/>
            <w:tcBorders>
              <w:top w:val="single" w:sz="4" w:space="0" w:color="1B556B"/>
              <w:bottom w:val="single" w:sz="4" w:space="0" w:color="1B556B"/>
            </w:tcBorders>
          </w:tcPr>
          <w:p w14:paraId="5A3BCD5B" w14:textId="77777777" w:rsidR="00447423" w:rsidRPr="002A3CBE" w:rsidRDefault="00447423" w:rsidP="00F16E23">
            <w:pPr>
              <w:pStyle w:val="TableText"/>
              <w:spacing w:before="30" w:after="30"/>
              <w:rPr>
                <w:rFonts w:cs="Calibri"/>
                <w:szCs w:val="16"/>
                <w:highlight w:val="yellow"/>
              </w:rPr>
            </w:pPr>
            <w:r w:rsidRPr="002A3CBE">
              <w:rPr>
                <w:rFonts w:cs="Calibri"/>
                <w:szCs w:val="16"/>
              </w:rPr>
              <w:t>NE</w:t>
            </w:r>
          </w:p>
        </w:tc>
        <w:tc>
          <w:tcPr>
            <w:tcW w:w="1276" w:type="dxa"/>
            <w:tcBorders>
              <w:top w:val="single" w:sz="4" w:space="0" w:color="1B556B"/>
              <w:bottom w:val="single" w:sz="4" w:space="0" w:color="1B556B"/>
            </w:tcBorders>
          </w:tcPr>
          <w:p w14:paraId="4341F90B" w14:textId="77777777" w:rsidR="00447423" w:rsidRPr="002A3CBE" w:rsidRDefault="00447423" w:rsidP="00F16E23">
            <w:pPr>
              <w:pStyle w:val="TableText"/>
              <w:spacing w:before="30" w:after="30"/>
              <w:rPr>
                <w:rFonts w:cs="Calibri"/>
                <w:szCs w:val="16"/>
                <w:highlight w:val="yellow"/>
              </w:rPr>
            </w:pPr>
            <w:r w:rsidRPr="002A3CBE">
              <w:rPr>
                <w:rFonts w:cs="Calibri"/>
                <w:szCs w:val="16"/>
              </w:rPr>
              <w:t>NE</w:t>
            </w:r>
          </w:p>
        </w:tc>
        <w:tc>
          <w:tcPr>
            <w:tcW w:w="1275" w:type="dxa"/>
            <w:tcBorders>
              <w:top w:val="single" w:sz="4" w:space="0" w:color="1B556B"/>
              <w:bottom w:val="single" w:sz="4" w:space="0" w:color="1B556B"/>
            </w:tcBorders>
          </w:tcPr>
          <w:p w14:paraId="54FC04CB" w14:textId="77777777" w:rsidR="00447423" w:rsidRPr="002A3CBE" w:rsidRDefault="00447423" w:rsidP="00F16E23">
            <w:pPr>
              <w:pStyle w:val="TableText"/>
              <w:spacing w:before="30" w:after="30"/>
              <w:rPr>
                <w:rFonts w:cs="Calibri"/>
                <w:szCs w:val="16"/>
              </w:rPr>
            </w:pPr>
            <w:r w:rsidRPr="002A3CBE">
              <w:rPr>
                <w:rFonts w:cs="Calibri"/>
                <w:szCs w:val="16"/>
              </w:rPr>
              <w:t>NA</w:t>
            </w:r>
          </w:p>
        </w:tc>
        <w:tc>
          <w:tcPr>
            <w:tcW w:w="1701" w:type="dxa"/>
            <w:tcBorders>
              <w:top w:val="single" w:sz="4" w:space="0" w:color="1B556B"/>
              <w:bottom w:val="single" w:sz="4" w:space="0" w:color="1B556B"/>
            </w:tcBorders>
          </w:tcPr>
          <w:p w14:paraId="6350CBDE" w14:textId="77777777" w:rsidR="00447423" w:rsidRPr="002A3CBE" w:rsidRDefault="00447423" w:rsidP="00F16E23">
            <w:pPr>
              <w:pStyle w:val="TableText"/>
              <w:spacing w:before="30" w:after="30"/>
              <w:rPr>
                <w:rFonts w:cs="Calibri"/>
                <w:szCs w:val="16"/>
              </w:rPr>
            </w:pPr>
            <w:r w:rsidRPr="002A3CBE">
              <w:rPr>
                <w:rFonts w:cs="Calibri"/>
                <w:szCs w:val="16"/>
              </w:rPr>
              <w:t>No IPCC guidelines</w:t>
            </w:r>
          </w:p>
        </w:tc>
      </w:tr>
      <w:tr w:rsidR="00447423" w:rsidRPr="002A3CBE" w14:paraId="6B6362A2" w14:textId="77777777" w:rsidTr="00F16E23">
        <w:trPr>
          <w:trHeight w:val="20"/>
        </w:trPr>
        <w:tc>
          <w:tcPr>
            <w:tcW w:w="1246" w:type="dxa"/>
            <w:vMerge w:val="restart"/>
            <w:tcBorders>
              <w:top w:val="single" w:sz="4" w:space="0" w:color="1B556B"/>
              <w:bottom w:val="single" w:sz="4" w:space="0" w:color="1B556B"/>
            </w:tcBorders>
          </w:tcPr>
          <w:p w14:paraId="6940EEF8" w14:textId="77777777" w:rsidR="00447423" w:rsidRPr="002A3CBE" w:rsidRDefault="00447423" w:rsidP="00F16E23">
            <w:pPr>
              <w:pStyle w:val="TableText"/>
              <w:spacing w:before="30" w:after="30"/>
              <w:rPr>
                <w:rFonts w:cs="Calibri"/>
                <w:szCs w:val="16"/>
              </w:rPr>
            </w:pPr>
            <w:r w:rsidRPr="002A3CBE">
              <w:rPr>
                <w:rFonts w:cs="Calibri"/>
                <w:szCs w:val="16"/>
              </w:rPr>
              <w:t>Low producing</w:t>
            </w:r>
          </w:p>
        </w:tc>
        <w:tc>
          <w:tcPr>
            <w:tcW w:w="1731" w:type="dxa"/>
            <w:tcBorders>
              <w:top w:val="single" w:sz="4" w:space="0" w:color="1B556B"/>
              <w:bottom w:val="single" w:sz="4" w:space="0" w:color="1B556B"/>
            </w:tcBorders>
          </w:tcPr>
          <w:p w14:paraId="7B1C7D00" w14:textId="77777777" w:rsidR="00447423" w:rsidRPr="002A3CBE" w:rsidRDefault="00447423" w:rsidP="00F16E23">
            <w:pPr>
              <w:pStyle w:val="TableText"/>
              <w:spacing w:before="30" w:after="30"/>
              <w:rPr>
                <w:rFonts w:cs="Calibri"/>
                <w:b/>
                <w:szCs w:val="16"/>
              </w:rPr>
            </w:pPr>
            <w:r w:rsidRPr="002A3CBE">
              <w:rPr>
                <w:rFonts w:cs="Calibri"/>
                <w:b/>
                <w:szCs w:val="16"/>
              </w:rPr>
              <w:t>Total biomass</w:t>
            </w:r>
          </w:p>
        </w:tc>
        <w:tc>
          <w:tcPr>
            <w:tcW w:w="1276" w:type="dxa"/>
            <w:tcBorders>
              <w:top w:val="single" w:sz="4" w:space="0" w:color="1B556B"/>
              <w:bottom w:val="single" w:sz="4" w:space="0" w:color="1B556B"/>
            </w:tcBorders>
          </w:tcPr>
          <w:p w14:paraId="0EF47232" w14:textId="77777777" w:rsidR="00447423" w:rsidRPr="002A3CBE" w:rsidRDefault="00447423" w:rsidP="00F16E23">
            <w:pPr>
              <w:pStyle w:val="TableText"/>
              <w:spacing w:before="30" w:after="30"/>
              <w:rPr>
                <w:rFonts w:cs="Calibri"/>
                <w:b/>
                <w:szCs w:val="16"/>
                <w:highlight w:val="yellow"/>
              </w:rPr>
            </w:pPr>
            <w:r w:rsidRPr="002A3CBE">
              <w:rPr>
                <w:rFonts w:cs="Calibri"/>
                <w:b/>
                <w:szCs w:val="16"/>
              </w:rPr>
              <w:t>4.481</w:t>
            </w:r>
          </w:p>
        </w:tc>
        <w:tc>
          <w:tcPr>
            <w:tcW w:w="1276" w:type="dxa"/>
            <w:tcBorders>
              <w:top w:val="single" w:sz="4" w:space="0" w:color="1B556B"/>
              <w:bottom w:val="single" w:sz="4" w:space="0" w:color="1B556B"/>
            </w:tcBorders>
          </w:tcPr>
          <w:p w14:paraId="52CDB21E" w14:textId="77777777" w:rsidR="00447423" w:rsidRPr="002A3CBE" w:rsidRDefault="00447423" w:rsidP="00F16E23">
            <w:pPr>
              <w:pStyle w:val="TableText"/>
              <w:spacing w:before="30" w:after="30"/>
              <w:rPr>
                <w:rFonts w:cs="Calibri"/>
                <w:b/>
                <w:szCs w:val="16"/>
                <w:highlight w:val="yellow"/>
              </w:rPr>
            </w:pPr>
            <w:r w:rsidRPr="002A3CBE">
              <w:rPr>
                <w:rFonts w:cs="Calibri"/>
                <w:b/>
                <w:szCs w:val="16"/>
              </w:rPr>
              <w:t>4.481</w:t>
            </w:r>
          </w:p>
        </w:tc>
        <w:tc>
          <w:tcPr>
            <w:tcW w:w="1275" w:type="dxa"/>
            <w:tcBorders>
              <w:top w:val="single" w:sz="4" w:space="0" w:color="1B556B"/>
              <w:bottom w:val="single" w:sz="4" w:space="0" w:color="1B556B"/>
            </w:tcBorders>
          </w:tcPr>
          <w:p w14:paraId="38370D74" w14:textId="77777777" w:rsidR="00447423" w:rsidRPr="002A3CBE" w:rsidRDefault="00447423" w:rsidP="00F16E23">
            <w:pPr>
              <w:pStyle w:val="TableText"/>
              <w:spacing w:before="30" w:after="30"/>
              <w:rPr>
                <w:rFonts w:cs="Calibri"/>
                <w:b/>
                <w:szCs w:val="16"/>
              </w:rPr>
            </w:pPr>
            <w:r w:rsidRPr="002A3CBE">
              <w:rPr>
                <w:rFonts w:cs="Calibri"/>
                <w:b/>
                <w:szCs w:val="16"/>
              </w:rPr>
              <w:t>1</w:t>
            </w:r>
          </w:p>
        </w:tc>
        <w:tc>
          <w:tcPr>
            <w:tcW w:w="1701" w:type="dxa"/>
            <w:vMerge w:val="restart"/>
            <w:tcBorders>
              <w:top w:val="single" w:sz="4" w:space="0" w:color="1B556B"/>
              <w:bottom w:val="single" w:sz="4" w:space="0" w:color="365F91"/>
            </w:tcBorders>
          </w:tcPr>
          <w:p w14:paraId="330BEBD7" w14:textId="77777777" w:rsidR="00447423" w:rsidRPr="002A3CBE" w:rsidRDefault="00447423" w:rsidP="00F16E23">
            <w:pPr>
              <w:pStyle w:val="TableText"/>
              <w:spacing w:before="30" w:after="30"/>
              <w:rPr>
                <w:rFonts w:cs="Calibri"/>
                <w:szCs w:val="16"/>
              </w:rPr>
            </w:pPr>
            <w:r w:rsidRPr="002A3CBE">
              <w:rPr>
                <w:rFonts w:cs="Calibri"/>
                <w:szCs w:val="16"/>
              </w:rPr>
              <w:t>Vibart et al. (2025)</w:t>
            </w:r>
          </w:p>
        </w:tc>
      </w:tr>
      <w:tr w:rsidR="00447423" w:rsidRPr="002A3CBE" w14:paraId="5BA75DDA" w14:textId="77777777" w:rsidTr="00F16E23">
        <w:trPr>
          <w:trHeight w:val="20"/>
        </w:trPr>
        <w:tc>
          <w:tcPr>
            <w:tcW w:w="1246" w:type="dxa"/>
            <w:vMerge/>
            <w:tcBorders>
              <w:bottom w:val="single" w:sz="4" w:space="0" w:color="1B556B"/>
            </w:tcBorders>
          </w:tcPr>
          <w:p w14:paraId="5ECBBE49"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494FE3D7" w14:textId="77777777" w:rsidR="00447423" w:rsidRPr="002A3CBE" w:rsidRDefault="00447423" w:rsidP="00F16E23">
            <w:pPr>
              <w:pStyle w:val="TableText"/>
              <w:spacing w:before="30" w:after="30"/>
              <w:rPr>
                <w:rFonts w:cs="Calibri"/>
                <w:i/>
                <w:szCs w:val="16"/>
              </w:rPr>
            </w:pPr>
            <w:r w:rsidRPr="002A3CBE">
              <w:rPr>
                <w:rFonts w:cs="Calibri"/>
                <w:i/>
                <w:szCs w:val="16"/>
              </w:rPr>
              <w:t>Living biomass</w:t>
            </w:r>
          </w:p>
        </w:tc>
        <w:tc>
          <w:tcPr>
            <w:tcW w:w="1276" w:type="dxa"/>
            <w:tcBorders>
              <w:top w:val="single" w:sz="4" w:space="0" w:color="1B556B"/>
              <w:bottom w:val="single" w:sz="4" w:space="0" w:color="1B556B"/>
            </w:tcBorders>
          </w:tcPr>
          <w:p w14:paraId="18E48979" w14:textId="77777777" w:rsidR="00447423" w:rsidRPr="002A3CBE" w:rsidRDefault="00447423" w:rsidP="00F16E23">
            <w:pPr>
              <w:pStyle w:val="TableText"/>
              <w:spacing w:before="30" w:after="30"/>
              <w:rPr>
                <w:rFonts w:cs="Calibri"/>
                <w:szCs w:val="16"/>
                <w:highlight w:val="yellow"/>
              </w:rPr>
            </w:pPr>
          </w:p>
        </w:tc>
        <w:tc>
          <w:tcPr>
            <w:tcW w:w="1276" w:type="dxa"/>
            <w:tcBorders>
              <w:top w:val="single" w:sz="4" w:space="0" w:color="1B556B"/>
              <w:bottom w:val="single" w:sz="4" w:space="0" w:color="1B556B"/>
            </w:tcBorders>
          </w:tcPr>
          <w:p w14:paraId="127A9CAF" w14:textId="77777777" w:rsidR="00447423" w:rsidRPr="002A3CBE" w:rsidRDefault="00447423" w:rsidP="00F16E23">
            <w:pPr>
              <w:pStyle w:val="TableText"/>
              <w:spacing w:before="30" w:after="30"/>
              <w:rPr>
                <w:rFonts w:cs="Calibri"/>
                <w:szCs w:val="16"/>
                <w:highlight w:val="yellow"/>
              </w:rPr>
            </w:pPr>
          </w:p>
        </w:tc>
        <w:tc>
          <w:tcPr>
            <w:tcW w:w="1275" w:type="dxa"/>
            <w:tcBorders>
              <w:top w:val="single" w:sz="4" w:space="0" w:color="1B556B"/>
              <w:bottom w:val="single" w:sz="4" w:space="0" w:color="1B556B"/>
            </w:tcBorders>
          </w:tcPr>
          <w:p w14:paraId="04D9A21F" w14:textId="77777777" w:rsidR="00447423" w:rsidRPr="002A3CBE" w:rsidRDefault="00447423" w:rsidP="00F16E23">
            <w:pPr>
              <w:pStyle w:val="TableText"/>
              <w:spacing w:before="30" w:after="30"/>
              <w:rPr>
                <w:rFonts w:cs="Calibri"/>
                <w:szCs w:val="16"/>
              </w:rPr>
            </w:pPr>
          </w:p>
        </w:tc>
        <w:tc>
          <w:tcPr>
            <w:tcW w:w="1701" w:type="dxa"/>
            <w:vMerge/>
          </w:tcPr>
          <w:p w14:paraId="2C2D29BF" w14:textId="77777777" w:rsidR="00447423" w:rsidRPr="002A3CBE" w:rsidRDefault="00447423" w:rsidP="00F16E23">
            <w:pPr>
              <w:pStyle w:val="TableText"/>
              <w:spacing w:before="30" w:after="30"/>
              <w:rPr>
                <w:rFonts w:cs="Calibri"/>
                <w:szCs w:val="16"/>
              </w:rPr>
            </w:pPr>
          </w:p>
        </w:tc>
      </w:tr>
      <w:tr w:rsidR="00447423" w:rsidRPr="002A3CBE" w14:paraId="74734D7E" w14:textId="77777777" w:rsidTr="00F16E23">
        <w:trPr>
          <w:trHeight w:val="20"/>
        </w:trPr>
        <w:tc>
          <w:tcPr>
            <w:tcW w:w="1246" w:type="dxa"/>
            <w:vMerge/>
            <w:tcBorders>
              <w:bottom w:val="single" w:sz="4" w:space="0" w:color="1B556B"/>
            </w:tcBorders>
          </w:tcPr>
          <w:p w14:paraId="3EC84964"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24B448F6" w14:textId="77777777" w:rsidR="00447423" w:rsidRPr="002A3CBE" w:rsidRDefault="00447423" w:rsidP="00F16E23">
            <w:pPr>
              <w:pStyle w:val="TableText"/>
              <w:spacing w:before="30" w:after="30"/>
              <w:rPr>
                <w:rFonts w:cs="Calibri"/>
                <w:szCs w:val="16"/>
              </w:rPr>
            </w:pPr>
            <w:r w:rsidRPr="002A3CBE">
              <w:rPr>
                <w:rFonts w:cs="Calibri"/>
                <w:szCs w:val="16"/>
              </w:rPr>
              <w:tab/>
              <w:t>AGB</w:t>
            </w:r>
          </w:p>
        </w:tc>
        <w:tc>
          <w:tcPr>
            <w:tcW w:w="1276" w:type="dxa"/>
            <w:tcBorders>
              <w:top w:val="single" w:sz="4" w:space="0" w:color="1B556B"/>
              <w:bottom w:val="single" w:sz="4" w:space="0" w:color="1B556B"/>
            </w:tcBorders>
          </w:tcPr>
          <w:p w14:paraId="335FD1B8" w14:textId="77777777" w:rsidR="00447423" w:rsidRPr="002A3CBE" w:rsidRDefault="00447423" w:rsidP="00F16E23">
            <w:pPr>
              <w:pStyle w:val="TableText"/>
              <w:spacing w:before="30" w:after="30"/>
              <w:rPr>
                <w:rFonts w:cs="Calibri"/>
                <w:szCs w:val="16"/>
                <w:highlight w:val="yellow"/>
              </w:rPr>
            </w:pPr>
            <w:r w:rsidRPr="002A3CBE">
              <w:rPr>
                <w:rFonts w:cs="Calibri"/>
                <w:szCs w:val="16"/>
              </w:rPr>
              <w:t>0.966</w:t>
            </w:r>
          </w:p>
        </w:tc>
        <w:tc>
          <w:tcPr>
            <w:tcW w:w="1276" w:type="dxa"/>
            <w:tcBorders>
              <w:top w:val="single" w:sz="4" w:space="0" w:color="1B556B"/>
              <w:bottom w:val="single" w:sz="4" w:space="0" w:color="1B556B"/>
            </w:tcBorders>
          </w:tcPr>
          <w:p w14:paraId="7DFD5D33" w14:textId="77777777" w:rsidR="00447423" w:rsidRPr="002A3CBE" w:rsidRDefault="00447423" w:rsidP="00F16E23">
            <w:pPr>
              <w:pStyle w:val="TableText"/>
              <w:spacing w:before="30" w:after="30"/>
              <w:rPr>
                <w:rFonts w:cs="Calibri"/>
                <w:szCs w:val="16"/>
                <w:highlight w:val="yellow"/>
              </w:rPr>
            </w:pPr>
            <w:r w:rsidRPr="002A3CBE">
              <w:rPr>
                <w:rFonts w:cs="Calibri"/>
                <w:szCs w:val="16"/>
              </w:rPr>
              <w:t>0.966</w:t>
            </w:r>
          </w:p>
        </w:tc>
        <w:tc>
          <w:tcPr>
            <w:tcW w:w="1275" w:type="dxa"/>
            <w:tcBorders>
              <w:top w:val="single" w:sz="4" w:space="0" w:color="1B556B"/>
              <w:bottom w:val="single" w:sz="4" w:space="0" w:color="1B556B"/>
            </w:tcBorders>
          </w:tcPr>
          <w:p w14:paraId="7BED7A2A" w14:textId="77777777" w:rsidR="00447423" w:rsidRPr="002A3CBE" w:rsidRDefault="00447423" w:rsidP="00F16E23">
            <w:pPr>
              <w:pStyle w:val="TableText"/>
              <w:spacing w:before="30" w:after="30"/>
              <w:rPr>
                <w:rFonts w:cs="Calibri"/>
                <w:szCs w:val="16"/>
              </w:rPr>
            </w:pPr>
            <w:r w:rsidRPr="002A3CBE">
              <w:rPr>
                <w:rFonts w:cs="Calibri"/>
                <w:szCs w:val="16"/>
              </w:rPr>
              <w:t>1</w:t>
            </w:r>
          </w:p>
        </w:tc>
        <w:tc>
          <w:tcPr>
            <w:tcW w:w="1701" w:type="dxa"/>
            <w:vMerge/>
          </w:tcPr>
          <w:p w14:paraId="60749B36" w14:textId="77777777" w:rsidR="00447423" w:rsidRPr="002A3CBE" w:rsidRDefault="00447423" w:rsidP="00F16E23">
            <w:pPr>
              <w:pStyle w:val="TableText"/>
              <w:spacing w:before="30" w:after="30"/>
              <w:rPr>
                <w:rFonts w:cs="Calibri"/>
                <w:szCs w:val="16"/>
              </w:rPr>
            </w:pPr>
          </w:p>
        </w:tc>
      </w:tr>
      <w:tr w:rsidR="00447423" w:rsidRPr="002A3CBE" w14:paraId="7627E6D5" w14:textId="77777777" w:rsidTr="00F16E23">
        <w:trPr>
          <w:trHeight w:val="20"/>
        </w:trPr>
        <w:tc>
          <w:tcPr>
            <w:tcW w:w="1246" w:type="dxa"/>
            <w:vMerge/>
            <w:tcBorders>
              <w:bottom w:val="single" w:sz="4" w:space="0" w:color="1B556B"/>
            </w:tcBorders>
          </w:tcPr>
          <w:p w14:paraId="0670C3AD"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2F0F82B7" w14:textId="77777777" w:rsidR="00447423" w:rsidRPr="002A3CBE" w:rsidRDefault="00447423" w:rsidP="00F16E23">
            <w:pPr>
              <w:pStyle w:val="TableText"/>
              <w:spacing w:before="30" w:after="30"/>
              <w:rPr>
                <w:rFonts w:cs="Calibri"/>
                <w:szCs w:val="16"/>
              </w:rPr>
            </w:pPr>
            <w:r w:rsidRPr="002A3CBE">
              <w:rPr>
                <w:rFonts w:cs="Calibri"/>
                <w:szCs w:val="16"/>
              </w:rPr>
              <w:tab/>
              <w:t>BGB</w:t>
            </w:r>
          </w:p>
        </w:tc>
        <w:tc>
          <w:tcPr>
            <w:tcW w:w="1276" w:type="dxa"/>
            <w:tcBorders>
              <w:top w:val="single" w:sz="4" w:space="0" w:color="1B556B"/>
              <w:bottom w:val="single" w:sz="4" w:space="0" w:color="1B556B"/>
            </w:tcBorders>
          </w:tcPr>
          <w:p w14:paraId="0116692C" w14:textId="77777777" w:rsidR="00447423" w:rsidRPr="002A3CBE" w:rsidRDefault="00447423" w:rsidP="00F16E23">
            <w:pPr>
              <w:pStyle w:val="TableText"/>
              <w:spacing w:before="30" w:after="30"/>
              <w:rPr>
                <w:rFonts w:cs="Calibri"/>
                <w:szCs w:val="16"/>
                <w:highlight w:val="yellow"/>
              </w:rPr>
            </w:pPr>
            <w:r w:rsidRPr="002A3CBE">
              <w:rPr>
                <w:rFonts w:cs="Calibri"/>
                <w:szCs w:val="16"/>
              </w:rPr>
              <w:t>3.515</w:t>
            </w:r>
          </w:p>
        </w:tc>
        <w:tc>
          <w:tcPr>
            <w:tcW w:w="1276" w:type="dxa"/>
            <w:tcBorders>
              <w:top w:val="single" w:sz="4" w:space="0" w:color="1B556B"/>
              <w:bottom w:val="single" w:sz="4" w:space="0" w:color="1B556B"/>
            </w:tcBorders>
          </w:tcPr>
          <w:p w14:paraId="53CD636C" w14:textId="77777777" w:rsidR="00447423" w:rsidRPr="002A3CBE" w:rsidRDefault="00447423" w:rsidP="00F16E23">
            <w:pPr>
              <w:pStyle w:val="TableText"/>
              <w:spacing w:before="30" w:after="30"/>
              <w:rPr>
                <w:rFonts w:cs="Calibri"/>
                <w:szCs w:val="16"/>
                <w:highlight w:val="yellow"/>
              </w:rPr>
            </w:pPr>
            <w:r w:rsidRPr="002A3CBE">
              <w:rPr>
                <w:rFonts w:cs="Calibri"/>
                <w:szCs w:val="16"/>
              </w:rPr>
              <w:t>3.515</w:t>
            </w:r>
          </w:p>
        </w:tc>
        <w:tc>
          <w:tcPr>
            <w:tcW w:w="1275" w:type="dxa"/>
            <w:tcBorders>
              <w:top w:val="single" w:sz="4" w:space="0" w:color="1B556B"/>
              <w:bottom w:val="single" w:sz="4" w:space="0" w:color="1B556B"/>
            </w:tcBorders>
          </w:tcPr>
          <w:p w14:paraId="096C070C" w14:textId="77777777" w:rsidR="00447423" w:rsidRPr="002A3CBE" w:rsidRDefault="00447423" w:rsidP="00F16E23">
            <w:pPr>
              <w:pStyle w:val="TableText"/>
              <w:spacing w:before="30" w:after="30"/>
              <w:rPr>
                <w:rFonts w:cs="Calibri"/>
                <w:szCs w:val="16"/>
              </w:rPr>
            </w:pPr>
            <w:r w:rsidRPr="002A3CBE">
              <w:rPr>
                <w:rFonts w:cs="Calibri"/>
                <w:szCs w:val="16"/>
              </w:rPr>
              <w:t>1</w:t>
            </w:r>
          </w:p>
        </w:tc>
        <w:tc>
          <w:tcPr>
            <w:tcW w:w="1701" w:type="dxa"/>
            <w:vMerge/>
          </w:tcPr>
          <w:p w14:paraId="10570A04" w14:textId="77777777" w:rsidR="00447423" w:rsidRPr="002A3CBE" w:rsidRDefault="00447423" w:rsidP="00F16E23">
            <w:pPr>
              <w:pStyle w:val="TableText"/>
              <w:spacing w:before="30" w:after="30"/>
              <w:rPr>
                <w:rFonts w:cs="Calibri"/>
                <w:szCs w:val="16"/>
              </w:rPr>
            </w:pPr>
          </w:p>
        </w:tc>
      </w:tr>
      <w:tr w:rsidR="00447423" w:rsidRPr="002A3CBE" w14:paraId="630EF29E" w14:textId="77777777" w:rsidTr="00F16E23">
        <w:trPr>
          <w:trHeight w:val="20"/>
        </w:trPr>
        <w:tc>
          <w:tcPr>
            <w:tcW w:w="1246" w:type="dxa"/>
            <w:vMerge/>
            <w:tcBorders>
              <w:bottom w:val="single" w:sz="4" w:space="0" w:color="1B556B"/>
            </w:tcBorders>
          </w:tcPr>
          <w:p w14:paraId="73CF8019"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7A722FB2" w14:textId="77777777" w:rsidR="00447423" w:rsidRPr="002A3CBE" w:rsidRDefault="00447423" w:rsidP="00F16E23">
            <w:pPr>
              <w:pStyle w:val="TableText"/>
              <w:spacing w:before="30" w:after="30"/>
              <w:rPr>
                <w:rFonts w:cs="Calibri"/>
                <w:i/>
                <w:szCs w:val="16"/>
              </w:rPr>
            </w:pPr>
            <w:r w:rsidRPr="002A3CBE">
              <w:rPr>
                <w:rFonts w:cs="Calibri"/>
                <w:i/>
                <w:szCs w:val="16"/>
              </w:rPr>
              <w:t>Dead organic matter</w:t>
            </w:r>
          </w:p>
        </w:tc>
        <w:tc>
          <w:tcPr>
            <w:tcW w:w="1276" w:type="dxa"/>
            <w:tcBorders>
              <w:top w:val="single" w:sz="4" w:space="0" w:color="1B556B"/>
              <w:bottom w:val="single" w:sz="4" w:space="0" w:color="1B556B"/>
            </w:tcBorders>
          </w:tcPr>
          <w:p w14:paraId="099CC02B" w14:textId="77777777" w:rsidR="00447423" w:rsidRPr="002A3CBE" w:rsidRDefault="00447423" w:rsidP="00F16E23">
            <w:pPr>
              <w:pStyle w:val="TableText"/>
              <w:spacing w:before="30" w:after="30"/>
              <w:rPr>
                <w:rFonts w:cs="Calibri"/>
                <w:szCs w:val="16"/>
              </w:rPr>
            </w:pPr>
            <w:r w:rsidRPr="002A3CBE">
              <w:rPr>
                <w:rFonts w:cs="Calibri"/>
                <w:szCs w:val="16"/>
              </w:rPr>
              <w:t>NE</w:t>
            </w:r>
          </w:p>
        </w:tc>
        <w:tc>
          <w:tcPr>
            <w:tcW w:w="1276" w:type="dxa"/>
            <w:tcBorders>
              <w:top w:val="single" w:sz="4" w:space="0" w:color="1B556B"/>
              <w:bottom w:val="single" w:sz="4" w:space="0" w:color="1B556B"/>
            </w:tcBorders>
          </w:tcPr>
          <w:p w14:paraId="5D84F8E0" w14:textId="77777777" w:rsidR="00447423" w:rsidRPr="002A3CBE" w:rsidRDefault="00447423" w:rsidP="00F16E23">
            <w:pPr>
              <w:pStyle w:val="TableText"/>
              <w:spacing w:before="30" w:after="30"/>
              <w:rPr>
                <w:rFonts w:cs="Calibri"/>
                <w:szCs w:val="16"/>
              </w:rPr>
            </w:pPr>
            <w:r w:rsidRPr="002A3CBE">
              <w:rPr>
                <w:rFonts w:cs="Calibri"/>
                <w:szCs w:val="16"/>
              </w:rPr>
              <w:t>NA</w:t>
            </w:r>
          </w:p>
        </w:tc>
        <w:tc>
          <w:tcPr>
            <w:tcW w:w="1275" w:type="dxa"/>
            <w:tcBorders>
              <w:top w:val="single" w:sz="4" w:space="0" w:color="1B556B"/>
              <w:bottom w:val="single" w:sz="4" w:space="0" w:color="1B556B"/>
            </w:tcBorders>
          </w:tcPr>
          <w:p w14:paraId="514C9F9C" w14:textId="77777777" w:rsidR="00447423" w:rsidRPr="002A3CBE" w:rsidRDefault="00447423" w:rsidP="00F16E23">
            <w:pPr>
              <w:pStyle w:val="TableText"/>
              <w:spacing w:before="30" w:after="30"/>
              <w:rPr>
                <w:rFonts w:cs="Calibri"/>
                <w:szCs w:val="16"/>
              </w:rPr>
            </w:pPr>
            <w:r w:rsidRPr="002A3CBE">
              <w:rPr>
                <w:rFonts w:cs="Calibri"/>
                <w:szCs w:val="16"/>
              </w:rPr>
              <w:t>NA</w:t>
            </w:r>
          </w:p>
        </w:tc>
        <w:tc>
          <w:tcPr>
            <w:tcW w:w="1701" w:type="dxa"/>
            <w:tcBorders>
              <w:top w:val="single" w:sz="4" w:space="0" w:color="365F91"/>
              <w:bottom w:val="single" w:sz="4" w:space="0" w:color="1B556B"/>
            </w:tcBorders>
          </w:tcPr>
          <w:p w14:paraId="039415A4" w14:textId="77777777" w:rsidR="00447423" w:rsidRPr="002A3CBE" w:rsidRDefault="00447423" w:rsidP="00F16E23">
            <w:pPr>
              <w:pStyle w:val="TableText"/>
              <w:spacing w:before="30" w:after="30"/>
              <w:rPr>
                <w:rFonts w:cs="Calibri"/>
                <w:szCs w:val="16"/>
              </w:rPr>
            </w:pPr>
            <w:r w:rsidRPr="002A3CBE">
              <w:rPr>
                <w:rFonts w:cs="Calibri"/>
                <w:szCs w:val="16"/>
              </w:rPr>
              <w:t>No IPCC guidelines</w:t>
            </w:r>
          </w:p>
        </w:tc>
      </w:tr>
      <w:tr w:rsidR="00447423" w:rsidRPr="002A3CBE" w14:paraId="306AA695" w14:textId="77777777" w:rsidTr="00F16E23">
        <w:trPr>
          <w:trHeight w:val="20"/>
        </w:trPr>
        <w:tc>
          <w:tcPr>
            <w:tcW w:w="1246" w:type="dxa"/>
            <w:vMerge w:val="restart"/>
            <w:tcBorders>
              <w:top w:val="single" w:sz="4" w:space="0" w:color="1B556B"/>
              <w:bottom w:val="single" w:sz="4" w:space="0" w:color="1B556B"/>
            </w:tcBorders>
          </w:tcPr>
          <w:p w14:paraId="4F7E8086" w14:textId="77777777" w:rsidR="00447423" w:rsidRPr="002A3CBE" w:rsidRDefault="00447423" w:rsidP="00F16E23">
            <w:pPr>
              <w:pStyle w:val="TableText"/>
              <w:spacing w:before="30" w:after="30"/>
              <w:rPr>
                <w:rFonts w:cs="Calibri"/>
                <w:szCs w:val="16"/>
              </w:rPr>
            </w:pPr>
            <w:r w:rsidRPr="002A3CBE">
              <w:rPr>
                <w:rFonts w:cs="Calibri"/>
                <w:szCs w:val="16"/>
              </w:rPr>
              <w:t>With woody biomass –transitional</w:t>
            </w:r>
          </w:p>
        </w:tc>
        <w:tc>
          <w:tcPr>
            <w:tcW w:w="1731" w:type="dxa"/>
            <w:tcBorders>
              <w:top w:val="single" w:sz="4" w:space="0" w:color="1B556B"/>
              <w:bottom w:val="single" w:sz="4" w:space="0" w:color="365F91"/>
            </w:tcBorders>
          </w:tcPr>
          <w:p w14:paraId="43156873" w14:textId="77777777" w:rsidR="00447423" w:rsidRPr="002A3CBE" w:rsidRDefault="00447423" w:rsidP="00F16E23">
            <w:pPr>
              <w:pStyle w:val="TableText"/>
              <w:spacing w:before="30" w:after="30"/>
              <w:rPr>
                <w:rFonts w:cs="Calibri"/>
                <w:b/>
                <w:szCs w:val="16"/>
              </w:rPr>
            </w:pPr>
            <w:r w:rsidRPr="002A3CBE">
              <w:rPr>
                <w:rFonts w:cs="Calibri"/>
                <w:b/>
                <w:szCs w:val="16"/>
              </w:rPr>
              <w:t>Total biomass</w:t>
            </w:r>
          </w:p>
        </w:tc>
        <w:tc>
          <w:tcPr>
            <w:tcW w:w="1276" w:type="dxa"/>
            <w:tcBorders>
              <w:top w:val="single" w:sz="4" w:space="0" w:color="1B556B"/>
              <w:bottom w:val="single" w:sz="4" w:space="0" w:color="365F91"/>
            </w:tcBorders>
          </w:tcPr>
          <w:p w14:paraId="2754E077" w14:textId="77777777" w:rsidR="00447423" w:rsidRPr="002A3CBE" w:rsidRDefault="00447423" w:rsidP="00F16E23">
            <w:pPr>
              <w:pStyle w:val="TableText"/>
              <w:spacing w:before="30" w:after="30"/>
              <w:rPr>
                <w:rFonts w:cs="Calibri"/>
                <w:b/>
                <w:szCs w:val="16"/>
              </w:rPr>
            </w:pPr>
            <w:r w:rsidRPr="002A3CBE">
              <w:rPr>
                <w:rFonts w:cs="Calibri"/>
                <w:b/>
                <w:szCs w:val="16"/>
              </w:rPr>
              <w:t>13.05</w:t>
            </w:r>
          </w:p>
        </w:tc>
        <w:tc>
          <w:tcPr>
            <w:tcW w:w="1276" w:type="dxa"/>
            <w:tcBorders>
              <w:top w:val="single" w:sz="4" w:space="0" w:color="1B556B"/>
              <w:bottom w:val="single" w:sz="4" w:space="0" w:color="365F91"/>
            </w:tcBorders>
          </w:tcPr>
          <w:p w14:paraId="7E340327" w14:textId="77777777" w:rsidR="00447423" w:rsidRPr="002A3CBE" w:rsidRDefault="00447423" w:rsidP="00F16E23">
            <w:pPr>
              <w:pStyle w:val="TableText"/>
              <w:spacing w:before="30" w:after="30"/>
              <w:rPr>
                <w:rFonts w:cs="Calibri"/>
                <w:b/>
                <w:szCs w:val="16"/>
              </w:rPr>
            </w:pPr>
            <w:r w:rsidRPr="002A3CBE">
              <w:rPr>
                <w:rFonts w:cs="Calibri"/>
                <w:b/>
                <w:szCs w:val="16"/>
              </w:rPr>
              <w:t>0.48</w:t>
            </w:r>
          </w:p>
        </w:tc>
        <w:tc>
          <w:tcPr>
            <w:tcW w:w="1275" w:type="dxa"/>
            <w:tcBorders>
              <w:top w:val="single" w:sz="4" w:space="0" w:color="1B556B"/>
              <w:bottom w:val="single" w:sz="4" w:space="0" w:color="365F91"/>
            </w:tcBorders>
          </w:tcPr>
          <w:p w14:paraId="2C69EBC6" w14:textId="77777777" w:rsidR="00447423" w:rsidRPr="002A3CBE" w:rsidRDefault="00447423" w:rsidP="00F16E23">
            <w:pPr>
              <w:pStyle w:val="TableText"/>
              <w:spacing w:before="30" w:after="30"/>
              <w:rPr>
                <w:rFonts w:cs="Calibri"/>
                <w:b/>
                <w:szCs w:val="16"/>
              </w:rPr>
            </w:pPr>
            <w:r w:rsidRPr="002A3CBE">
              <w:rPr>
                <w:rFonts w:cs="Calibri"/>
                <w:b/>
                <w:szCs w:val="16"/>
              </w:rPr>
              <w:t>20</w:t>
            </w:r>
          </w:p>
        </w:tc>
        <w:tc>
          <w:tcPr>
            <w:tcW w:w="1701" w:type="dxa"/>
            <w:vMerge w:val="restart"/>
            <w:tcBorders>
              <w:top w:val="single" w:sz="4" w:space="0" w:color="1B556B"/>
              <w:bottom w:val="single" w:sz="4" w:space="0" w:color="365F91"/>
            </w:tcBorders>
          </w:tcPr>
          <w:p w14:paraId="7686E777" w14:textId="77777777" w:rsidR="00447423" w:rsidRPr="002A3CBE" w:rsidRDefault="00447423" w:rsidP="00F16E23">
            <w:pPr>
              <w:pStyle w:val="TableText"/>
              <w:spacing w:before="30" w:after="30"/>
              <w:rPr>
                <w:rFonts w:cs="Calibri"/>
                <w:szCs w:val="16"/>
              </w:rPr>
            </w:pPr>
            <w:r w:rsidRPr="002A3CBE">
              <w:rPr>
                <w:rFonts w:cs="Calibri"/>
                <w:szCs w:val="16"/>
              </w:rPr>
              <w:t>Wakelin and Beets (2013)</w:t>
            </w:r>
          </w:p>
        </w:tc>
      </w:tr>
      <w:tr w:rsidR="00447423" w:rsidRPr="002A3CBE" w14:paraId="109DAD5A" w14:textId="77777777" w:rsidTr="00F16E23">
        <w:trPr>
          <w:trHeight w:val="20"/>
        </w:trPr>
        <w:tc>
          <w:tcPr>
            <w:tcW w:w="1246" w:type="dxa"/>
            <w:vMerge/>
            <w:tcBorders>
              <w:bottom w:val="single" w:sz="4" w:space="0" w:color="1B556B"/>
            </w:tcBorders>
          </w:tcPr>
          <w:p w14:paraId="068580C4" w14:textId="77777777" w:rsidR="00447423" w:rsidRPr="002A3CBE" w:rsidRDefault="00447423" w:rsidP="00F16E23">
            <w:pPr>
              <w:pStyle w:val="TableText"/>
              <w:spacing w:before="30" w:after="30"/>
              <w:rPr>
                <w:rFonts w:cs="Calibri"/>
                <w:szCs w:val="16"/>
              </w:rPr>
            </w:pPr>
          </w:p>
        </w:tc>
        <w:tc>
          <w:tcPr>
            <w:tcW w:w="1731" w:type="dxa"/>
            <w:tcBorders>
              <w:top w:val="single" w:sz="4" w:space="0" w:color="365F91"/>
              <w:bottom w:val="single" w:sz="4" w:space="0" w:color="365F91"/>
            </w:tcBorders>
          </w:tcPr>
          <w:p w14:paraId="4AA9A27D" w14:textId="77777777" w:rsidR="00447423" w:rsidRPr="002A3CBE" w:rsidRDefault="00447423" w:rsidP="00F16E23">
            <w:pPr>
              <w:pStyle w:val="TableText"/>
              <w:spacing w:before="30" w:after="30"/>
              <w:rPr>
                <w:rFonts w:cs="Calibri"/>
                <w:i/>
                <w:szCs w:val="16"/>
              </w:rPr>
            </w:pPr>
            <w:r w:rsidRPr="002A3CBE">
              <w:rPr>
                <w:rFonts w:cs="Calibri"/>
                <w:i/>
                <w:szCs w:val="16"/>
              </w:rPr>
              <w:t>Living biomass</w:t>
            </w:r>
          </w:p>
        </w:tc>
        <w:tc>
          <w:tcPr>
            <w:tcW w:w="1276" w:type="dxa"/>
            <w:tcBorders>
              <w:top w:val="single" w:sz="4" w:space="0" w:color="365F91"/>
              <w:bottom w:val="single" w:sz="4" w:space="0" w:color="365F91"/>
            </w:tcBorders>
          </w:tcPr>
          <w:p w14:paraId="68CB7398" w14:textId="77777777" w:rsidR="00447423" w:rsidRPr="002A3CBE" w:rsidRDefault="00447423" w:rsidP="00F16E23">
            <w:pPr>
              <w:pStyle w:val="TableText"/>
              <w:spacing w:before="30" w:after="30"/>
              <w:rPr>
                <w:rFonts w:cs="Calibri"/>
                <w:szCs w:val="16"/>
              </w:rPr>
            </w:pPr>
          </w:p>
        </w:tc>
        <w:tc>
          <w:tcPr>
            <w:tcW w:w="1276" w:type="dxa"/>
            <w:tcBorders>
              <w:top w:val="single" w:sz="4" w:space="0" w:color="365F91"/>
              <w:bottom w:val="single" w:sz="4" w:space="0" w:color="365F91"/>
            </w:tcBorders>
          </w:tcPr>
          <w:p w14:paraId="601E746B" w14:textId="77777777" w:rsidR="00447423" w:rsidRPr="002A3CBE" w:rsidRDefault="00447423" w:rsidP="00F16E23">
            <w:pPr>
              <w:pStyle w:val="TableText"/>
              <w:spacing w:before="30" w:after="30"/>
              <w:rPr>
                <w:rFonts w:cs="Calibri"/>
                <w:szCs w:val="16"/>
              </w:rPr>
            </w:pPr>
          </w:p>
        </w:tc>
        <w:tc>
          <w:tcPr>
            <w:tcW w:w="1275" w:type="dxa"/>
            <w:tcBorders>
              <w:top w:val="single" w:sz="4" w:space="0" w:color="365F91"/>
              <w:bottom w:val="single" w:sz="4" w:space="0" w:color="365F91"/>
            </w:tcBorders>
          </w:tcPr>
          <w:p w14:paraId="0B6523C9" w14:textId="77777777" w:rsidR="00447423" w:rsidRPr="002A3CBE" w:rsidRDefault="00447423" w:rsidP="00F16E23">
            <w:pPr>
              <w:pStyle w:val="TableText"/>
              <w:spacing w:before="30" w:after="30"/>
              <w:rPr>
                <w:rFonts w:cs="Calibri"/>
                <w:szCs w:val="16"/>
              </w:rPr>
            </w:pPr>
          </w:p>
        </w:tc>
        <w:tc>
          <w:tcPr>
            <w:tcW w:w="1701" w:type="dxa"/>
            <w:vMerge/>
          </w:tcPr>
          <w:p w14:paraId="421A939C" w14:textId="77777777" w:rsidR="00447423" w:rsidRPr="002A3CBE" w:rsidRDefault="00447423" w:rsidP="00F16E23">
            <w:pPr>
              <w:pStyle w:val="TableText"/>
              <w:spacing w:before="30" w:after="30"/>
              <w:rPr>
                <w:rFonts w:cs="Calibri"/>
                <w:szCs w:val="16"/>
              </w:rPr>
            </w:pPr>
          </w:p>
        </w:tc>
      </w:tr>
      <w:tr w:rsidR="00447423" w:rsidRPr="002A3CBE" w14:paraId="6BE29400" w14:textId="77777777" w:rsidTr="00F16E23">
        <w:trPr>
          <w:trHeight w:val="20"/>
        </w:trPr>
        <w:tc>
          <w:tcPr>
            <w:tcW w:w="1246" w:type="dxa"/>
            <w:vMerge/>
            <w:tcBorders>
              <w:bottom w:val="single" w:sz="4" w:space="0" w:color="1B556B"/>
            </w:tcBorders>
          </w:tcPr>
          <w:p w14:paraId="0C101BD5" w14:textId="77777777" w:rsidR="00447423" w:rsidRPr="002A3CBE" w:rsidRDefault="00447423" w:rsidP="00F16E23">
            <w:pPr>
              <w:pStyle w:val="TableText"/>
              <w:spacing w:before="30" w:after="30"/>
              <w:rPr>
                <w:rFonts w:cs="Calibri"/>
                <w:szCs w:val="16"/>
              </w:rPr>
            </w:pPr>
          </w:p>
        </w:tc>
        <w:tc>
          <w:tcPr>
            <w:tcW w:w="1731" w:type="dxa"/>
            <w:tcBorders>
              <w:top w:val="single" w:sz="4" w:space="0" w:color="365F91"/>
              <w:bottom w:val="single" w:sz="4" w:space="0" w:color="365F91"/>
            </w:tcBorders>
          </w:tcPr>
          <w:p w14:paraId="61086E74" w14:textId="77777777" w:rsidR="00447423" w:rsidRPr="002A3CBE" w:rsidRDefault="00447423" w:rsidP="00F16E23">
            <w:pPr>
              <w:pStyle w:val="TableText"/>
              <w:spacing w:before="30" w:after="30"/>
              <w:rPr>
                <w:rFonts w:cs="Calibri"/>
                <w:szCs w:val="16"/>
              </w:rPr>
            </w:pPr>
            <w:r w:rsidRPr="002A3CBE">
              <w:rPr>
                <w:rFonts w:cs="Calibri"/>
                <w:szCs w:val="16"/>
              </w:rPr>
              <w:tab/>
              <w:t>AGB</w:t>
            </w:r>
          </w:p>
        </w:tc>
        <w:tc>
          <w:tcPr>
            <w:tcW w:w="1276" w:type="dxa"/>
            <w:tcBorders>
              <w:top w:val="single" w:sz="4" w:space="0" w:color="365F91"/>
              <w:bottom w:val="single" w:sz="4" w:space="0" w:color="365F91"/>
            </w:tcBorders>
          </w:tcPr>
          <w:p w14:paraId="1B823B33" w14:textId="77777777" w:rsidR="00447423" w:rsidRPr="002A3CBE" w:rsidRDefault="00447423" w:rsidP="00F16E23">
            <w:pPr>
              <w:pStyle w:val="TableText"/>
              <w:spacing w:before="30" w:after="30"/>
              <w:rPr>
                <w:rFonts w:cs="Calibri"/>
                <w:szCs w:val="16"/>
              </w:rPr>
            </w:pPr>
            <w:r w:rsidRPr="002A3CBE">
              <w:rPr>
                <w:rFonts w:cs="Calibri"/>
                <w:szCs w:val="16"/>
              </w:rPr>
              <w:t>9.35</w:t>
            </w:r>
          </w:p>
        </w:tc>
        <w:tc>
          <w:tcPr>
            <w:tcW w:w="1276" w:type="dxa"/>
            <w:tcBorders>
              <w:top w:val="single" w:sz="4" w:space="0" w:color="365F91"/>
              <w:bottom w:val="single" w:sz="4" w:space="0" w:color="365F91"/>
            </w:tcBorders>
          </w:tcPr>
          <w:p w14:paraId="6E25CBF2" w14:textId="77777777" w:rsidR="00447423" w:rsidRPr="002A3CBE" w:rsidRDefault="00447423" w:rsidP="00F16E23">
            <w:pPr>
              <w:pStyle w:val="TableText"/>
              <w:spacing w:before="30" w:after="30"/>
              <w:rPr>
                <w:rFonts w:cs="Calibri"/>
                <w:szCs w:val="16"/>
              </w:rPr>
            </w:pPr>
            <w:r w:rsidRPr="002A3CBE">
              <w:rPr>
                <w:rFonts w:cs="Calibri"/>
                <w:szCs w:val="16"/>
              </w:rPr>
              <w:t>0.36</w:t>
            </w:r>
          </w:p>
        </w:tc>
        <w:tc>
          <w:tcPr>
            <w:tcW w:w="1275" w:type="dxa"/>
            <w:tcBorders>
              <w:top w:val="single" w:sz="4" w:space="0" w:color="365F91"/>
              <w:bottom w:val="single" w:sz="4" w:space="0" w:color="365F91"/>
            </w:tcBorders>
          </w:tcPr>
          <w:p w14:paraId="3B0DFA80" w14:textId="77777777" w:rsidR="00447423" w:rsidRPr="002A3CBE" w:rsidRDefault="00447423" w:rsidP="00F16E23">
            <w:pPr>
              <w:pStyle w:val="TableText"/>
              <w:spacing w:before="30" w:after="30"/>
              <w:rPr>
                <w:rFonts w:cs="Calibri"/>
                <w:szCs w:val="16"/>
              </w:rPr>
            </w:pPr>
            <w:r w:rsidRPr="002A3CBE">
              <w:rPr>
                <w:rFonts w:cs="Calibri"/>
                <w:szCs w:val="16"/>
              </w:rPr>
              <w:t>20</w:t>
            </w:r>
          </w:p>
        </w:tc>
        <w:tc>
          <w:tcPr>
            <w:tcW w:w="1701" w:type="dxa"/>
            <w:vMerge/>
          </w:tcPr>
          <w:p w14:paraId="224FD672" w14:textId="77777777" w:rsidR="00447423" w:rsidRPr="002A3CBE" w:rsidRDefault="00447423" w:rsidP="00F16E23">
            <w:pPr>
              <w:pStyle w:val="TableText"/>
              <w:spacing w:before="30" w:after="30"/>
              <w:rPr>
                <w:rFonts w:cs="Calibri"/>
                <w:szCs w:val="16"/>
              </w:rPr>
            </w:pPr>
          </w:p>
        </w:tc>
      </w:tr>
      <w:tr w:rsidR="00447423" w:rsidRPr="002A3CBE" w14:paraId="2FE6C9CD" w14:textId="77777777" w:rsidTr="00F16E23">
        <w:trPr>
          <w:trHeight w:val="20"/>
        </w:trPr>
        <w:tc>
          <w:tcPr>
            <w:tcW w:w="1246" w:type="dxa"/>
            <w:vMerge/>
            <w:tcBorders>
              <w:bottom w:val="single" w:sz="4" w:space="0" w:color="1B556B"/>
            </w:tcBorders>
          </w:tcPr>
          <w:p w14:paraId="6E54B3DE" w14:textId="77777777" w:rsidR="00447423" w:rsidRPr="002A3CBE" w:rsidRDefault="00447423" w:rsidP="00F16E23">
            <w:pPr>
              <w:pStyle w:val="TableText"/>
              <w:spacing w:before="30" w:after="30"/>
              <w:rPr>
                <w:rFonts w:cs="Calibri"/>
                <w:szCs w:val="16"/>
              </w:rPr>
            </w:pPr>
          </w:p>
        </w:tc>
        <w:tc>
          <w:tcPr>
            <w:tcW w:w="1731" w:type="dxa"/>
            <w:tcBorders>
              <w:top w:val="single" w:sz="4" w:space="0" w:color="365F91"/>
              <w:bottom w:val="single" w:sz="4" w:space="0" w:color="365F91"/>
            </w:tcBorders>
          </w:tcPr>
          <w:p w14:paraId="42852CD5" w14:textId="77777777" w:rsidR="00447423" w:rsidRPr="002A3CBE" w:rsidRDefault="00447423" w:rsidP="00F16E23">
            <w:pPr>
              <w:pStyle w:val="TableText"/>
              <w:spacing w:before="30" w:after="30"/>
              <w:rPr>
                <w:rFonts w:cs="Calibri"/>
                <w:szCs w:val="16"/>
              </w:rPr>
            </w:pPr>
            <w:r w:rsidRPr="002A3CBE">
              <w:rPr>
                <w:rFonts w:cs="Calibri"/>
                <w:szCs w:val="16"/>
              </w:rPr>
              <w:tab/>
              <w:t>BGB</w:t>
            </w:r>
          </w:p>
        </w:tc>
        <w:tc>
          <w:tcPr>
            <w:tcW w:w="1276" w:type="dxa"/>
            <w:tcBorders>
              <w:top w:val="single" w:sz="4" w:space="0" w:color="365F91"/>
              <w:bottom w:val="single" w:sz="4" w:space="0" w:color="365F91"/>
            </w:tcBorders>
          </w:tcPr>
          <w:p w14:paraId="0A15B17D" w14:textId="77777777" w:rsidR="00447423" w:rsidRPr="002A3CBE" w:rsidRDefault="00447423" w:rsidP="00F16E23">
            <w:pPr>
              <w:pStyle w:val="TableText"/>
              <w:spacing w:before="30" w:after="30"/>
              <w:rPr>
                <w:rFonts w:cs="Calibri"/>
                <w:szCs w:val="16"/>
              </w:rPr>
            </w:pPr>
            <w:r w:rsidRPr="002A3CBE">
              <w:rPr>
                <w:rFonts w:cs="Calibri"/>
                <w:szCs w:val="16"/>
              </w:rPr>
              <w:t>3.05</w:t>
            </w:r>
          </w:p>
        </w:tc>
        <w:tc>
          <w:tcPr>
            <w:tcW w:w="1276" w:type="dxa"/>
            <w:tcBorders>
              <w:top w:val="single" w:sz="4" w:space="0" w:color="365F91"/>
              <w:bottom w:val="single" w:sz="4" w:space="0" w:color="365F91"/>
            </w:tcBorders>
          </w:tcPr>
          <w:p w14:paraId="7D46AE2C" w14:textId="77777777" w:rsidR="00447423" w:rsidRPr="002A3CBE" w:rsidRDefault="00447423" w:rsidP="00F16E23">
            <w:pPr>
              <w:pStyle w:val="TableText"/>
              <w:spacing w:before="30" w:after="30"/>
              <w:rPr>
                <w:rFonts w:cs="Calibri"/>
                <w:szCs w:val="16"/>
              </w:rPr>
            </w:pPr>
            <w:r w:rsidRPr="002A3CBE">
              <w:rPr>
                <w:rFonts w:cs="Calibri"/>
                <w:szCs w:val="16"/>
              </w:rPr>
              <w:t>0.08</w:t>
            </w:r>
          </w:p>
        </w:tc>
        <w:tc>
          <w:tcPr>
            <w:tcW w:w="1275" w:type="dxa"/>
            <w:tcBorders>
              <w:top w:val="single" w:sz="4" w:space="0" w:color="365F91"/>
              <w:bottom w:val="single" w:sz="4" w:space="0" w:color="365F91"/>
            </w:tcBorders>
          </w:tcPr>
          <w:p w14:paraId="1B94BCCE" w14:textId="77777777" w:rsidR="00447423" w:rsidRPr="002A3CBE" w:rsidRDefault="00447423" w:rsidP="00F16E23">
            <w:pPr>
              <w:pStyle w:val="TableText"/>
              <w:spacing w:before="30" w:after="30"/>
              <w:rPr>
                <w:rFonts w:cs="Calibri"/>
                <w:szCs w:val="16"/>
              </w:rPr>
            </w:pPr>
            <w:r w:rsidRPr="002A3CBE">
              <w:rPr>
                <w:rFonts w:cs="Calibri"/>
                <w:szCs w:val="16"/>
              </w:rPr>
              <w:t>20</w:t>
            </w:r>
          </w:p>
        </w:tc>
        <w:tc>
          <w:tcPr>
            <w:tcW w:w="1701" w:type="dxa"/>
            <w:vMerge/>
          </w:tcPr>
          <w:p w14:paraId="341BF730" w14:textId="77777777" w:rsidR="00447423" w:rsidRPr="002A3CBE" w:rsidRDefault="00447423" w:rsidP="00F16E23">
            <w:pPr>
              <w:pStyle w:val="TableText"/>
              <w:spacing w:before="30" w:after="30"/>
              <w:rPr>
                <w:rFonts w:cs="Calibri"/>
                <w:szCs w:val="16"/>
              </w:rPr>
            </w:pPr>
          </w:p>
        </w:tc>
      </w:tr>
      <w:tr w:rsidR="00447423" w:rsidRPr="002A3CBE" w14:paraId="25FBED66" w14:textId="77777777" w:rsidTr="00F16E23">
        <w:trPr>
          <w:trHeight w:val="20"/>
        </w:trPr>
        <w:tc>
          <w:tcPr>
            <w:tcW w:w="1246" w:type="dxa"/>
            <w:vMerge/>
            <w:tcBorders>
              <w:bottom w:val="single" w:sz="4" w:space="0" w:color="1B556B"/>
            </w:tcBorders>
          </w:tcPr>
          <w:p w14:paraId="43D87D63" w14:textId="77777777" w:rsidR="00447423" w:rsidRPr="002A3CBE" w:rsidRDefault="00447423" w:rsidP="00F16E23">
            <w:pPr>
              <w:pStyle w:val="TableText"/>
              <w:spacing w:before="30" w:after="30"/>
              <w:rPr>
                <w:rFonts w:cs="Calibri"/>
                <w:szCs w:val="16"/>
              </w:rPr>
            </w:pPr>
          </w:p>
        </w:tc>
        <w:tc>
          <w:tcPr>
            <w:tcW w:w="1731" w:type="dxa"/>
            <w:tcBorders>
              <w:top w:val="single" w:sz="4" w:space="0" w:color="365F91"/>
              <w:bottom w:val="single" w:sz="4" w:space="0" w:color="365F91"/>
            </w:tcBorders>
          </w:tcPr>
          <w:p w14:paraId="634F167B" w14:textId="77777777" w:rsidR="00447423" w:rsidRPr="002A3CBE" w:rsidRDefault="00447423" w:rsidP="00F16E23">
            <w:pPr>
              <w:pStyle w:val="TableText"/>
              <w:spacing w:before="30" w:after="30"/>
              <w:rPr>
                <w:rFonts w:cs="Calibri"/>
                <w:i/>
                <w:szCs w:val="16"/>
              </w:rPr>
            </w:pPr>
            <w:r w:rsidRPr="002A3CBE">
              <w:rPr>
                <w:rFonts w:cs="Calibri"/>
                <w:i/>
                <w:szCs w:val="16"/>
              </w:rPr>
              <w:t>Dead organic matter</w:t>
            </w:r>
          </w:p>
        </w:tc>
        <w:tc>
          <w:tcPr>
            <w:tcW w:w="1276" w:type="dxa"/>
            <w:tcBorders>
              <w:top w:val="single" w:sz="4" w:space="0" w:color="365F91"/>
              <w:bottom w:val="single" w:sz="4" w:space="0" w:color="365F91"/>
            </w:tcBorders>
          </w:tcPr>
          <w:p w14:paraId="6C1E4C84" w14:textId="77777777" w:rsidR="00447423" w:rsidRPr="002A3CBE" w:rsidRDefault="00447423" w:rsidP="00F16E23">
            <w:pPr>
              <w:pStyle w:val="TableText"/>
              <w:spacing w:before="30" w:after="30"/>
              <w:rPr>
                <w:rFonts w:cs="Calibri"/>
                <w:szCs w:val="16"/>
              </w:rPr>
            </w:pPr>
          </w:p>
        </w:tc>
        <w:tc>
          <w:tcPr>
            <w:tcW w:w="1276" w:type="dxa"/>
            <w:tcBorders>
              <w:top w:val="single" w:sz="4" w:space="0" w:color="365F91"/>
              <w:bottom w:val="single" w:sz="4" w:space="0" w:color="365F91"/>
            </w:tcBorders>
          </w:tcPr>
          <w:p w14:paraId="616A4A01" w14:textId="77777777" w:rsidR="00447423" w:rsidRPr="002A3CBE" w:rsidRDefault="00447423" w:rsidP="00F16E23">
            <w:pPr>
              <w:pStyle w:val="TableText"/>
              <w:spacing w:before="30" w:after="30"/>
              <w:rPr>
                <w:rFonts w:cs="Calibri"/>
                <w:szCs w:val="16"/>
              </w:rPr>
            </w:pPr>
          </w:p>
        </w:tc>
        <w:tc>
          <w:tcPr>
            <w:tcW w:w="1275" w:type="dxa"/>
            <w:tcBorders>
              <w:top w:val="single" w:sz="4" w:space="0" w:color="365F91"/>
              <w:bottom w:val="single" w:sz="4" w:space="0" w:color="365F91"/>
            </w:tcBorders>
          </w:tcPr>
          <w:p w14:paraId="45A5F17D" w14:textId="77777777" w:rsidR="00447423" w:rsidRPr="002A3CBE" w:rsidRDefault="00447423" w:rsidP="00F16E23">
            <w:pPr>
              <w:pStyle w:val="TableText"/>
              <w:spacing w:before="30" w:after="30"/>
              <w:rPr>
                <w:rFonts w:cs="Calibri"/>
                <w:szCs w:val="16"/>
              </w:rPr>
            </w:pPr>
          </w:p>
        </w:tc>
        <w:tc>
          <w:tcPr>
            <w:tcW w:w="1701" w:type="dxa"/>
            <w:vMerge/>
          </w:tcPr>
          <w:p w14:paraId="0A2E1C2F" w14:textId="77777777" w:rsidR="00447423" w:rsidRPr="002A3CBE" w:rsidRDefault="00447423" w:rsidP="00F16E23">
            <w:pPr>
              <w:pStyle w:val="TableText"/>
              <w:spacing w:before="30" w:after="30"/>
              <w:rPr>
                <w:rFonts w:cs="Calibri"/>
                <w:szCs w:val="16"/>
              </w:rPr>
            </w:pPr>
          </w:p>
        </w:tc>
      </w:tr>
      <w:tr w:rsidR="00447423" w:rsidRPr="002A3CBE" w14:paraId="34CF9920" w14:textId="77777777" w:rsidTr="00F16E23">
        <w:trPr>
          <w:trHeight w:val="20"/>
        </w:trPr>
        <w:tc>
          <w:tcPr>
            <w:tcW w:w="1246" w:type="dxa"/>
            <w:vMerge/>
            <w:tcBorders>
              <w:bottom w:val="single" w:sz="4" w:space="0" w:color="1B556B"/>
            </w:tcBorders>
          </w:tcPr>
          <w:p w14:paraId="4CCF2FFB" w14:textId="77777777" w:rsidR="00447423" w:rsidRPr="002A3CBE" w:rsidRDefault="00447423" w:rsidP="00F16E23">
            <w:pPr>
              <w:pStyle w:val="TableText"/>
              <w:spacing w:before="30" w:after="30"/>
              <w:rPr>
                <w:rFonts w:cs="Calibri"/>
                <w:szCs w:val="16"/>
              </w:rPr>
            </w:pPr>
          </w:p>
        </w:tc>
        <w:tc>
          <w:tcPr>
            <w:tcW w:w="1731" w:type="dxa"/>
            <w:tcBorders>
              <w:top w:val="single" w:sz="4" w:space="0" w:color="365F91"/>
              <w:bottom w:val="single" w:sz="4" w:space="0" w:color="365F91"/>
            </w:tcBorders>
          </w:tcPr>
          <w:p w14:paraId="4370866D" w14:textId="77777777" w:rsidR="00447423" w:rsidRPr="002A3CBE" w:rsidRDefault="00447423" w:rsidP="00F16E23">
            <w:pPr>
              <w:pStyle w:val="TableText"/>
              <w:spacing w:before="30" w:after="30"/>
              <w:rPr>
                <w:rFonts w:cs="Calibri"/>
                <w:szCs w:val="16"/>
              </w:rPr>
            </w:pPr>
            <w:r w:rsidRPr="002A3CBE">
              <w:rPr>
                <w:rFonts w:cs="Calibri"/>
                <w:szCs w:val="16"/>
              </w:rPr>
              <w:tab/>
              <w:t>Dead wood</w:t>
            </w:r>
          </w:p>
        </w:tc>
        <w:tc>
          <w:tcPr>
            <w:tcW w:w="1276" w:type="dxa"/>
            <w:tcBorders>
              <w:top w:val="single" w:sz="4" w:space="0" w:color="365F91"/>
              <w:bottom w:val="single" w:sz="4" w:space="0" w:color="365F91"/>
            </w:tcBorders>
          </w:tcPr>
          <w:p w14:paraId="4EE1E00F" w14:textId="77777777" w:rsidR="00447423" w:rsidRPr="002A3CBE" w:rsidRDefault="00447423" w:rsidP="00F16E23">
            <w:pPr>
              <w:pStyle w:val="TableText"/>
              <w:spacing w:before="30" w:after="30"/>
              <w:rPr>
                <w:rFonts w:cs="Calibri"/>
                <w:szCs w:val="16"/>
              </w:rPr>
            </w:pPr>
            <w:r w:rsidRPr="002A3CBE">
              <w:rPr>
                <w:rFonts w:cs="Calibri"/>
                <w:szCs w:val="16"/>
              </w:rPr>
              <w:t>0.10</w:t>
            </w:r>
          </w:p>
        </w:tc>
        <w:tc>
          <w:tcPr>
            <w:tcW w:w="1276" w:type="dxa"/>
            <w:tcBorders>
              <w:top w:val="single" w:sz="4" w:space="0" w:color="365F91"/>
              <w:bottom w:val="single" w:sz="4" w:space="0" w:color="365F91"/>
            </w:tcBorders>
          </w:tcPr>
          <w:p w14:paraId="4A5D7ED5" w14:textId="77777777" w:rsidR="00447423" w:rsidRPr="002A3CBE" w:rsidRDefault="00447423" w:rsidP="00F16E23">
            <w:pPr>
              <w:pStyle w:val="TableText"/>
              <w:spacing w:before="30" w:after="30"/>
              <w:rPr>
                <w:rFonts w:cs="Calibri"/>
                <w:szCs w:val="16"/>
              </w:rPr>
            </w:pPr>
            <w:r w:rsidRPr="002A3CBE">
              <w:rPr>
                <w:rFonts w:cs="Calibri"/>
                <w:szCs w:val="16"/>
              </w:rPr>
              <w:t>0.004</w:t>
            </w:r>
          </w:p>
        </w:tc>
        <w:tc>
          <w:tcPr>
            <w:tcW w:w="1275" w:type="dxa"/>
            <w:tcBorders>
              <w:top w:val="single" w:sz="4" w:space="0" w:color="365F91"/>
              <w:bottom w:val="single" w:sz="4" w:space="0" w:color="365F91"/>
            </w:tcBorders>
          </w:tcPr>
          <w:p w14:paraId="7FD793FB" w14:textId="77777777" w:rsidR="00447423" w:rsidRPr="002A3CBE" w:rsidRDefault="00447423" w:rsidP="00F16E23">
            <w:pPr>
              <w:pStyle w:val="TableText"/>
              <w:spacing w:before="30" w:after="30"/>
              <w:rPr>
                <w:rFonts w:cs="Calibri"/>
                <w:szCs w:val="16"/>
              </w:rPr>
            </w:pPr>
            <w:r w:rsidRPr="002A3CBE">
              <w:rPr>
                <w:rFonts w:cs="Calibri"/>
                <w:szCs w:val="16"/>
              </w:rPr>
              <w:t>20</w:t>
            </w:r>
          </w:p>
        </w:tc>
        <w:tc>
          <w:tcPr>
            <w:tcW w:w="1701" w:type="dxa"/>
            <w:vMerge/>
          </w:tcPr>
          <w:p w14:paraId="0C5505E3" w14:textId="77777777" w:rsidR="00447423" w:rsidRPr="002A3CBE" w:rsidRDefault="00447423" w:rsidP="00F16E23">
            <w:pPr>
              <w:pStyle w:val="TableText"/>
              <w:spacing w:before="30" w:after="30"/>
              <w:rPr>
                <w:rFonts w:cs="Calibri"/>
                <w:szCs w:val="16"/>
              </w:rPr>
            </w:pPr>
          </w:p>
        </w:tc>
      </w:tr>
      <w:tr w:rsidR="00447423" w:rsidRPr="002A3CBE" w14:paraId="0F391976" w14:textId="77777777" w:rsidTr="00F16E23">
        <w:trPr>
          <w:trHeight w:val="20"/>
        </w:trPr>
        <w:tc>
          <w:tcPr>
            <w:tcW w:w="1246" w:type="dxa"/>
            <w:vMerge/>
            <w:tcBorders>
              <w:bottom w:val="single" w:sz="4" w:space="0" w:color="1B556B"/>
            </w:tcBorders>
          </w:tcPr>
          <w:p w14:paraId="1B323B4A" w14:textId="77777777" w:rsidR="00447423" w:rsidRPr="002A3CBE" w:rsidRDefault="00447423" w:rsidP="00F16E23">
            <w:pPr>
              <w:pStyle w:val="TableText"/>
              <w:spacing w:before="30" w:after="30"/>
              <w:rPr>
                <w:rFonts w:cs="Calibri"/>
                <w:szCs w:val="16"/>
              </w:rPr>
            </w:pPr>
          </w:p>
        </w:tc>
        <w:tc>
          <w:tcPr>
            <w:tcW w:w="1731" w:type="dxa"/>
            <w:tcBorders>
              <w:top w:val="single" w:sz="4" w:space="0" w:color="365F91"/>
              <w:bottom w:val="single" w:sz="4" w:space="0" w:color="1B556B"/>
            </w:tcBorders>
          </w:tcPr>
          <w:p w14:paraId="7119577A" w14:textId="77777777" w:rsidR="00447423" w:rsidRPr="002A3CBE" w:rsidRDefault="00447423" w:rsidP="00F16E23">
            <w:pPr>
              <w:pStyle w:val="TableText"/>
              <w:spacing w:before="30" w:after="30"/>
              <w:rPr>
                <w:rFonts w:cs="Calibri"/>
                <w:szCs w:val="16"/>
              </w:rPr>
            </w:pPr>
            <w:r w:rsidRPr="002A3CBE">
              <w:rPr>
                <w:rFonts w:cs="Calibri"/>
                <w:szCs w:val="16"/>
              </w:rPr>
              <w:tab/>
              <w:t>Litter</w:t>
            </w:r>
          </w:p>
        </w:tc>
        <w:tc>
          <w:tcPr>
            <w:tcW w:w="1276" w:type="dxa"/>
            <w:tcBorders>
              <w:top w:val="single" w:sz="4" w:space="0" w:color="365F91"/>
              <w:bottom w:val="single" w:sz="4" w:space="0" w:color="1B556B"/>
            </w:tcBorders>
          </w:tcPr>
          <w:p w14:paraId="743DDC1A" w14:textId="77777777" w:rsidR="00447423" w:rsidRPr="002A3CBE" w:rsidRDefault="00447423" w:rsidP="00F16E23">
            <w:pPr>
              <w:pStyle w:val="TableText"/>
              <w:spacing w:before="30" w:after="30"/>
              <w:rPr>
                <w:rFonts w:cs="Calibri"/>
                <w:szCs w:val="16"/>
              </w:rPr>
            </w:pPr>
            <w:r w:rsidRPr="002A3CBE">
              <w:rPr>
                <w:rFonts w:cs="Calibri"/>
                <w:szCs w:val="16"/>
              </w:rPr>
              <w:t>0.55</w:t>
            </w:r>
          </w:p>
        </w:tc>
        <w:tc>
          <w:tcPr>
            <w:tcW w:w="1276" w:type="dxa"/>
            <w:tcBorders>
              <w:top w:val="single" w:sz="4" w:space="0" w:color="365F91"/>
              <w:bottom w:val="single" w:sz="4" w:space="0" w:color="1B556B"/>
            </w:tcBorders>
          </w:tcPr>
          <w:p w14:paraId="0431CA29" w14:textId="77777777" w:rsidR="00447423" w:rsidRPr="002A3CBE" w:rsidRDefault="00447423" w:rsidP="00F16E23">
            <w:pPr>
              <w:pStyle w:val="TableText"/>
              <w:spacing w:before="30" w:after="30"/>
              <w:rPr>
                <w:rFonts w:cs="Calibri"/>
                <w:szCs w:val="16"/>
              </w:rPr>
            </w:pPr>
            <w:r w:rsidRPr="002A3CBE">
              <w:rPr>
                <w:rFonts w:cs="Calibri"/>
                <w:szCs w:val="16"/>
              </w:rPr>
              <w:t>0.02</w:t>
            </w:r>
          </w:p>
        </w:tc>
        <w:tc>
          <w:tcPr>
            <w:tcW w:w="1275" w:type="dxa"/>
            <w:tcBorders>
              <w:top w:val="single" w:sz="4" w:space="0" w:color="365F91"/>
              <w:bottom w:val="single" w:sz="4" w:space="0" w:color="1B556B"/>
            </w:tcBorders>
          </w:tcPr>
          <w:p w14:paraId="05252BFD" w14:textId="77777777" w:rsidR="00447423" w:rsidRPr="002A3CBE" w:rsidRDefault="00447423" w:rsidP="00F16E23">
            <w:pPr>
              <w:pStyle w:val="TableText"/>
              <w:spacing w:before="30" w:after="30"/>
              <w:rPr>
                <w:rFonts w:cs="Calibri"/>
                <w:szCs w:val="16"/>
              </w:rPr>
            </w:pPr>
            <w:r w:rsidRPr="002A3CBE">
              <w:rPr>
                <w:rFonts w:cs="Calibri"/>
                <w:szCs w:val="16"/>
              </w:rPr>
              <w:t>20</w:t>
            </w:r>
          </w:p>
        </w:tc>
        <w:tc>
          <w:tcPr>
            <w:tcW w:w="1701" w:type="dxa"/>
            <w:vMerge/>
            <w:tcBorders>
              <w:bottom w:val="single" w:sz="4" w:space="0" w:color="1B556B"/>
            </w:tcBorders>
          </w:tcPr>
          <w:p w14:paraId="7E153903" w14:textId="77777777" w:rsidR="00447423" w:rsidRPr="002A3CBE" w:rsidRDefault="00447423" w:rsidP="00F16E23">
            <w:pPr>
              <w:pStyle w:val="TableText"/>
              <w:spacing w:before="30" w:after="30"/>
              <w:rPr>
                <w:rFonts w:cs="Calibri"/>
                <w:szCs w:val="16"/>
              </w:rPr>
            </w:pPr>
          </w:p>
        </w:tc>
      </w:tr>
      <w:tr w:rsidR="00447423" w:rsidRPr="002A3CBE" w14:paraId="5284A1F0" w14:textId="77777777" w:rsidTr="00F16E23">
        <w:trPr>
          <w:trHeight w:val="20"/>
        </w:trPr>
        <w:tc>
          <w:tcPr>
            <w:tcW w:w="1246" w:type="dxa"/>
            <w:vMerge w:val="restart"/>
            <w:tcBorders>
              <w:top w:val="single" w:sz="4" w:space="0" w:color="1B556B"/>
              <w:bottom w:val="single" w:sz="4" w:space="0" w:color="1B556B"/>
            </w:tcBorders>
          </w:tcPr>
          <w:p w14:paraId="1C92709A" w14:textId="77777777" w:rsidR="00447423" w:rsidRPr="002A3CBE" w:rsidRDefault="00447423" w:rsidP="00F16E23">
            <w:pPr>
              <w:pStyle w:val="TableText"/>
              <w:spacing w:before="30" w:after="30"/>
              <w:rPr>
                <w:rFonts w:cs="Calibri"/>
                <w:szCs w:val="16"/>
              </w:rPr>
            </w:pPr>
            <w:r w:rsidRPr="002A3CBE">
              <w:rPr>
                <w:rFonts w:cs="Calibri"/>
                <w:szCs w:val="16"/>
              </w:rPr>
              <w:t>With woody biomass – permanent</w:t>
            </w:r>
          </w:p>
        </w:tc>
        <w:tc>
          <w:tcPr>
            <w:tcW w:w="1731" w:type="dxa"/>
            <w:tcBorders>
              <w:top w:val="single" w:sz="4" w:space="0" w:color="1B556B"/>
              <w:bottom w:val="single" w:sz="4" w:space="0" w:color="1B556B"/>
            </w:tcBorders>
          </w:tcPr>
          <w:p w14:paraId="38F68848" w14:textId="77777777" w:rsidR="00447423" w:rsidRPr="002A3CBE" w:rsidRDefault="00447423" w:rsidP="00F16E23">
            <w:pPr>
              <w:pStyle w:val="TableText"/>
              <w:spacing w:before="30" w:after="30"/>
              <w:rPr>
                <w:rFonts w:cs="Calibri"/>
                <w:b/>
                <w:szCs w:val="16"/>
              </w:rPr>
            </w:pPr>
            <w:r w:rsidRPr="002A3CBE">
              <w:rPr>
                <w:rFonts w:cs="Calibri"/>
                <w:b/>
                <w:szCs w:val="16"/>
              </w:rPr>
              <w:t>Total biomass</w:t>
            </w:r>
          </w:p>
        </w:tc>
        <w:tc>
          <w:tcPr>
            <w:tcW w:w="1276" w:type="dxa"/>
            <w:tcBorders>
              <w:top w:val="single" w:sz="4" w:space="0" w:color="1B556B"/>
              <w:bottom w:val="single" w:sz="4" w:space="0" w:color="1B556B"/>
            </w:tcBorders>
          </w:tcPr>
          <w:p w14:paraId="64D6FECE" w14:textId="77777777" w:rsidR="00447423" w:rsidRPr="002A3CBE" w:rsidRDefault="00447423" w:rsidP="00F16E23">
            <w:pPr>
              <w:pStyle w:val="TableText"/>
              <w:spacing w:before="30" w:after="30"/>
              <w:rPr>
                <w:rFonts w:cs="Calibri"/>
                <w:b/>
                <w:szCs w:val="16"/>
              </w:rPr>
            </w:pPr>
            <w:r w:rsidRPr="002A3CBE">
              <w:rPr>
                <w:rFonts w:cs="Calibri"/>
                <w:b/>
                <w:szCs w:val="16"/>
              </w:rPr>
              <w:t>60.57</w:t>
            </w:r>
          </w:p>
        </w:tc>
        <w:tc>
          <w:tcPr>
            <w:tcW w:w="1276" w:type="dxa"/>
            <w:tcBorders>
              <w:top w:val="single" w:sz="4" w:space="0" w:color="1B556B"/>
              <w:bottom w:val="single" w:sz="4" w:space="0" w:color="1B556B"/>
            </w:tcBorders>
          </w:tcPr>
          <w:p w14:paraId="26FA1E12" w14:textId="77777777" w:rsidR="00447423" w:rsidRPr="002A3CBE" w:rsidRDefault="00447423" w:rsidP="00F16E23">
            <w:pPr>
              <w:pStyle w:val="TableText"/>
              <w:spacing w:before="30" w:after="30"/>
              <w:rPr>
                <w:rFonts w:cs="Calibri"/>
                <w:b/>
                <w:szCs w:val="16"/>
              </w:rPr>
            </w:pPr>
            <w:r w:rsidRPr="002A3CBE">
              <w:rPr>
                <w:rFonts w:cs="Calibri"/>
                <w:b/>
                <w:bCs/>
                <w:szCs w:val="16"/>
              </w:rPr>
              <w:t>NO</w:t>
            </w:r>
          </w:p>
        </w:tc>
        <w:tc>
          <w:tcPr>
            <w:tcW w:w="1275" w:type="dxa"/>
            <w:tcBorders>
              <w:top w:val="single" w:sz="4" w:space="0" w:color="1B556B"/>
              <w:bottom w:val="single" w:sz="4" w:space="0" w:color="1B556B"/>
            </w:tcBorders>
          </w:tcPr>
          <w:p w14:paraId="64606E54" w14:textId="77777777" w:rsidR="00447423" w:rsidRPr="002A3CBE" w:rsidRDefault="00447423" w:rsidP="00F16E23">
            <w:pPr>
              <w:pStyle w:val="TableText"/>
              <w:spacing w:before="30" w:after="30"/>
              <w:rPr>
                <w:rFonts w:cs="Calibri"/>
                <w:b/>
                <w:szCs w:val="16"/>
              </w:rPr>
            </w:pPr>
            <w:r w:rsidRPr="002A3CBE">
              <w:rPr>
                <w:rFonts w:cs="Calibri"/>
                <w:b/>
                <w:bCs/>
                <w:szCs w:val="16"/>
              </w:rPr>
              <w:t>NO</w:t>
            </w:r>
          </w:p>
        </w:tc>
        <w:tc>
          <w:tcPr>
            <w:tcW w:w="1701" w:type="dxa"/>
            <w:vMerge w:val="restart"/>
            <w:tcBorders>
              <w:top w:val="single" w:sz="4" w:space="0" w:color="1B556B"/>
              <w:bottom w:val="single" w:sz="4" w:space="0" w:color="1B556B"/>
            </w:tcBorders>
          </w:tcPr>
          <w:p w14:paraId="62758BE4" w14:textId="77777777" w:rsidR="00447423" w:rsidRPr="002A3CBE" w:rsidRDefault="00447423" w:rsidP="00F16E23">
            <w:pPr>
              <w:pStyle w:val="TableText"/>
              <w:spacing w:before="30" w:after="30"/>
              <w:rPr>
                <w:rFonts w:cs="Calibri"/>
                <w:szCs w:val="16"/>
              </w:rPr>
            </w:pPr>
            <w:r w:rsidRPr="002A3CBE">
              <w:rPr>
                <w:rFonts w:cs="Calibri"/>
                <w:szCs w:val="16"/>
              </w:rPr>
              <w:t>Wakelin and Beets (2013)</w:t>
            </w:r>
          </w:p>
        </w:tc>
      </w:tr>
      <w:tr w:rsidR="00447423" w:rsidRPr="002A3CBE" w14:paraId="30ADA45E" w14:textId="77777777" w:rsidTr="00F16E23">
        <w:trPr>
          <w:trHeight w:val="20"/>
        </w:trPr>
        <w:tc>
          <w:tcPr>
            <w:tcW w:w="1246" w:type="dxa"/>
            <w:vMerge/>
            <w:tcBorders>
              <w:top w:val="single" w:sz="4" w:space="0" w:color="1B556B"/>
              <w:bottom w:val="single" w:sz="4" w:space="0" w:color="1B556B"/>
            </w:tcBorders>
          </w:tcPr>
          <w:p w14:paraId="4545548C"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0FC948F7" w14:textId="77777777" w:rsidR="00447423" w:rsidRPr="002A3CBE" w:rsidRDefault="00447423" w:rsidP="00F16E23">
            <w:pPr>
              <w:pStyle w:val="TableText"/>
              <w:spacing w:before="30" w:after="30"/>
              <w:rPr>
                <w:rFonts w:cs="Calibri"/>
                <w:i/>
                <w:szCs w:val="16"/>
              </w:rPr>
            </w:pPr>
            <w:r w:rsidRPr="002A3CBE">
              <w:rPr>
                <w:rFonts w:cs="Calibri"/>
                <w:i/>
                <w:szCs w:val="16"/>
              </w:rPr>
              <w:t>Living biomass</w:t>
            </w:r>
          </w:p>
        </w:tc>
        <w:tc>
          <w:tcPr>
            <w:tcW w:w="1276" w:type="dxa"/>
            <w:tcBorders>
              <w:top w:val="single" w:sz="4" w:space="0" w:color="1B556B"/>
              <w:bottom w:val="single" w:sz="4" w:space="0" w:color="1B556B"/>
            </w:tcBorders>
          </w:tcPr>
          <w:p w14:paraId="3800F7DC" w14:textId="77777777" w:rsidR="00447423" w:rsidRPr="002A3CBE" w:rsidRDefault="00447423" w:rsidP="00F16E23">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18317B61" w14:textId="77777777" w:rsidR="00447423" w:rsidRPr="002A3CBE" w:rsidRDefault="00447423" w:rsidP="00F16E23">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3D570484" w14:textId="77777777" w:rsidR="00447423" w:rsidRPr="002A3CBE" w:rsidRDefault="00447423" w:rsidP="00F16E23">
            <w:pPr>
              <w:pStyle w:val="TableText"/>
              <w:spacing w:before="30" w:after="30"/>
              <w:jc w:val="right"/>
              <w:rPr>
                <w:rFonts w:cs="Calibri"/>
                <w:szCs w:val="16"/>
              </w:rPr>
            </w:pPr>
          </w:p>
        </w:tc>
        <w:tc>
          <w:tcPr>
            <w:tcW w:w="1701" w:type="dxa"/>
            <w:vMerge/>
            <w:tcBorders>
              <w:top w:val="single" w:sz="4" w:space="0" w:color="1B556B"/>
              <w:bottom w:val="single" w:sz="4" w:space="0" w:color="1B556B"/>
            </w:tcBorders>
          </w:tcPr>
          <w:p w14:paraId="4E551258" w14:textId="77777777" w:rsidR="00447423" w:rsidRPr="002A3CBE" w:rsidRDefault="00447423" w:rsidP="00F16E23">
            <w:pPr>
              <w:pStyle w:val="TableText"/>
              <w:spacing w:before="30" w:after="30"/>
              <w:rPr>
                <w:rFonts w:cs="Calibri"/>
                <w:szCs w:val="16"/>
              </w:rPr>
            </w:pPr>
          </w:p>
        </w:tc>
      </w:tr>
      <w:tr w:rsidR="00447423" w:rsidRPr="002A3CBE" w14:paraId="43D2768B" w14:textId="77777777" w:rsidTr="00F16E23">
        <w:trPr>
          <w:trHeight w:val="20"/>
        </w:trPr>
        <w:tc>
          <w:tcPr>
            <w:tcW w:w="1246" w:type="dxa"/>
            <w:vMerge/>
            <w:tcBorders>
              <w:bottom w:val="single" w:sz="4" w:space="0" w:color="1B556B"/>
            </w:tcBorders>
          </w:tcPr>
          <w:p w14:paraId="1087814B"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3977D73D" w14:textId="77777777" w:rsidR="00447423" w:rsidRPr="002A3CBE" w:rsidRDefault="00447423" w:rsidP="00F16E23">
            <w:pPr>
              <w:pStyle w:val="TableText"/>
              <w:spacing w:before="30" w:after="30"/>
              <w:rPr>
                <w:rFonts w:cs="Calibri"/>
                <w:szCs w:val="16"/>
              </w:rPr>
            </w:pPr>
            <w:r w:rsidRPr="002A3CBE">
              <w:rPr>
                <w:rFonts w:cs="Calibri"/>
                <w:szCs w:val="16"/>
              </w:rPr>
              <w:tab/>
              <w:t>AGB</w:t>
            </w:r>
          </w:p>
        </w:tc>
        <w:tc>
          <w:tcPr>
            <w:tcW w:w="1276" w:type="dxa"/>
            <w:tcBorders>
              <w:top w:val="single" w:sz="4" w:space="0" w:color="1B556B"/>
              <w:bottom w:val="single" w:sz="4" w:space="0" w:color="1B556B"/>
            </w:tcBorders>
          </w:tcPr>
          <w:p w14:paraId="45891374" w14:textId="77777777" w:rsidR="00447423" w:rsidRPr="002A3CBE" w:rsidRDefault="00447423" w:rsidP="00F16E23">
            <w:pPr>
              <w:pStyle w:val="TableText"/>
              <w:spacing w:before="30" w:after="30"/>
              <w:rPr>
                <w:rFonts w:cs="Calibri"/>
                <w:szCs w:val="16"/>
              </w:rPr>
            </w:pPr>
            <w:r w:rsidRPr="002A3CBE">
              <w:rPr>
                <w:rFonts w:cs="Calibri"/>
                <w:szCs w:val="16"/>
              </w:rPr>
              <w:t>45.18</w:t>
            </w:r>
          </w:p>
        </w:tc>
        <w:tc>
          <w:tcPr>
            <w:tcW w:w="1276" w:type="dxa"/>
            <w:tcBorders>
              <w:top w:val="single" w:sz="4" w:space="0" w:color="1B556B"/>
              <w:bottom w:val="single" w:sz="4" w:space="0" w:color="1B556B"/>
            </w:tcBorders>
          </w:tcPr>
          <w:p w14:paraId="36BC303E" w14:textId="77777777" w:rsidR="00447423" w:rsidRPr="002A3CBE" w:rsidRDefault="00447423" w:rsidP="00F16E23">
            <w:pPr>
              <w:pStyle w:val="TableText"/>
              <w:spacing w:before="30" w:after="30"/>
              <w:rPr>
                <w:rFonts w:cs="Calibri"/>
                <w:szCs w:val="16"/>
              </w:rPr>
            </w:pPr>
            <w:r w:rsidRPr="002A3CBE">
              <w:rPr>
                <w:rFonts w:cs="Calibri"/>
                <w:szCs w:val="16"/>
              </w:rPr>
              <w:t>NO</w:t>
            </w:r>
          </w:p>
        </w:tc>
        <w:tc>
          <w:tcPr>
            <w:tcW w:w="1275" w:type="dxa"/>
            <w:tcBorders>
              <w:top w:val="single" w:sz="4" w:space="0" w:color="1B556B"/>
              <w:bottom w:val="single" w:sz="4" w:space="0" w:color="1B556B"/>
            </w:tcBorders>
          </w:tcPr>
          <w:p w14:paraId="6C9391F6" w14:textId="77777777" w:rsidR="00447423" w:rsidRPr="002A3CBE" w:rsidRDefault="00447423" w:rsidP="00F16E23">
            <w:pPr>
              <w:pStyle w:val="TableText"/>
              <w:spacing w:before="30" w:after="30"/>
              <w:rPr>
                <w:rFonts w:cs="Calibri"/>
                <w:szCs w:val="16"/>
              </w:rPr>
            </w:pPr>
            <w:r w:rsidRPr="002A3CBE">
              <w:rPr>
                <w:rFonts w:cs="Calibri"/>
                <w:b/>
                <w:bCs/>
                <w:szCs w:val="16"/>
              </w:rPr>
              <w:t>NO</w:t>
            </w:r>
          </w:p>
        </w:tc>
        <w:tc>
          <w:tcPr>
            <w:tcW w:w="1701" w:type="dxa"/>
            <w:vMerge/>
            <w:tcBorders>
              <w:bottom w:val="single" w:sz="4" w:space="0" w:color="1B556B"/>
            </w:tcBorders>
          </w:tcPr>
          <w:p w14:paraId="74538998" w14:textId="77777777" w:rsidR="00447423" w:rsidRPr="002A3CBE" w:rsidRDefault="00447423" w:rsidP="00F16E23">
            <w:pPr>
              <w:pStyle w:val="TableText"/>
              <w:spacing w:before="30" w:after="30"/>
              <w:rPr>
                <w:rFonts w:cs="Calibri"/>
                <w:szCs w:val="16"/>
              </w:rPr>
            </w:pPr>
          </w:p>
        </w:tc>
      </w:tr>
      <w:tr w:rsidR="00447423" w:rsidRPr="002A3CBE" w14:paraId="5000379C" w14:textId="77777777" w:rsidTr="00F16E23">
        <w:trPr>
          <w:trHeight w:val="20"/>
        </w:trPr>
        <w:tc>
          <w:tcPr>
            <w:tcW w:w="1246" w:type="dxa"/>
            <w:vMerge/>
            <w:tcBorders>
              <w:bottom w:val="single" w:sz="4" w:space="0" w:color="1B556B"/>
            </w:tcBorders>
          </w:tcPr>
          <w:p w14:paraId="7C1A82BE"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2016A178" w14:textId="77777777" w:rsidR="00447423" w:rsidRPr="002A3CBE" w:rsidRDefault="00447423" w:rsidP="00F16E23">
            <w:pPr>
              <w:pStyle w:val="TableText"/>
              <w:spacing w:before="30" w:after="30"/>
              <w:rPr>
                <w:rFonts w:cs="Calibri"/>
                <w:szCs w:val="16"/>
              </w:rPr>
            </w:pPr>
            <w:r w:rsidRPr="002A3CBE">
              <w:rPr>
                <w:rFonts w:cs="Calibri"/>
                <w:szCs w:val="16"/>
              </w:rPr>
              <w:tab/>
              <w:t>BGB</w:t>
            </w:r>
          </w:p>
        </w:tc>
        <w:tc>
          <w:tcPr>
            <w:tcW w:w="1276" w:type="dxa"/>
            <w:tcBorders>
              <w:top w:val="single" w:sz="4" w:space="0" w:color="1B556B"/>
              <w:bottom w:val="single" w:sz="4" w:space="0" w:color="1B556B"/>
            </w:tcBorders>
          </w:tcPr>
          <w:p w14:paraId="1F3D488B" w14:textId="77777777" w:rsidR="00447423" w:rsidRPr="002A3CBE" w:rsidRDefault="00447423" w:rsidP="00F16E23">
            <w:pPr>
              <w:pStyle w:val="TableText"/>
              <w:spacing w:before="30" w:after="30"/>
              <w:rPr>
                <w:rFonts w:cs="Calibri"/>
                <w:szCs w:val="16"/>
              </w:rPr>
            </w:pPr>
            <w:r w:rsidRPr="002A3CBE">
              <w:rPr>
                <w:rFonts w:cs="Calibri"/>
                <w:szCs w:val="16"/>
              </w:rPr>
              <w:t>11.71</w:t>
            </w:r>
          </w:p>
        </w:tc>
        <w:tc>
          <w:tcPr>
            <w:tcW w:w="1276" w:type="dxa"/>
            <w:tcBorders>
              <w:top w:val="single" w:sz="4" w:space="0" w:color="1B556B"/>
              <w:bottom w:val="single" w:sz="4" w:space="0" w:color="1B556B"/>
            </w:tcBorders>
          </w:tcPr>
          <w:p w14:paraId="0D14CF12" w14:textId="77777777" w:rsidR="00447423" w:rsidRPr="002A3CBE" w:rsidRDefault="00447423" w:rsidP="00F16E23">
            <w:pPr>
              <w:pStyle w:val="TableText"/>
              <w:spacing w:before="30" w:after="30"/>
              <w:rPr>
                <w:rFonts w:cs="Calibri"/>
                <w:szCs w:val="16"/>
              </w:rPr>
            </w:pPr>
            <w:r w:rsidRPr="002A3CBE">
              <w:rPr>
                <w:rFonts w:cs="Calibri"/>
                <w:szCs w:val="16"/>
              </w:rPr>
              <w:t>NO</w:t>
            </w:r>
          </w:p>
        </w:tc>
        <w:tc>
          <w:tcPr>
            <w:tcW w:w="1275" w:type="dxa"/>
            <w:tcBorders>
              <w:top w:val="single" w:sz="4" w:space="0" w:color="1B556B"/>
              <w:bottom w:val="single" w:sz="4" w:space="0" w:color="1B556B"/>
            </w:tcBorders>
          </w:tcPr>
          <w:p w14:paraId="72589F75" w14:textId="77777777" w:rsidR="00447423" w:rsidRPr="002A3CBE" w:rsidRDefault="00447423" w:rsidP="00F16E23">
            <w:pPr>
              <w:pStyle w:val="TableText"/>
              <w:spacing w:before="30" w:after="30"/>
              <w:rPr>
                <w:rFonts w:cs="Calibri"/>
                <w:szCs w:val="16"/>
              </w:rPr>
            </w:pPr>
            <w:r w:rsidRPr="002A3CBE">
              <w:rPr>
                <w:rFonts w:cs="Calibri"/>
                <w:b/>
                <w:bCs/>
                <w:szCs w:val="16"/>
              </w:rPr>
              <w:t>NO</w:t>
            </w:r>
          </w:p>
        </w:tc>
        <w:tc>
          <w:tcPr>
            <w:tcW w:w="1701" w:type="dxa"/>
            <w:vMerge/>
            <w:tcBorders>
              <w:bottom w:val="single" w:sz="4" w:space="0" w:color="1B556B"/>
            </w:tcBorders>
          </w:tcPr>
          <w:p w14:paraId="4CEA3501" w14:textId="77777777" w:rsidR="00447423" w:rsidRPr="002A3CBE" w:rsidRDefault="00447423" w:rsidP="00F16E23">
            <w:pPr>
              <w:pStyle w:val="TableText"/>
              <w:spacing w:before="30" w:after="30"/>
              <w:rPr>
                <w:rFonts w:cs="Calibri"/>
                <w:szCs w:val="16"/>
              </w:rPr>
            </w:pPr>
          </w:p>
        </w:tc>
      </w:tr>
      <w:tr w:rsidR="00447423" w:rsidRPr="002A3CBE" w14:paraId="643E1C96" w14:textId="77777777" w:rsidTr="00F16E23">
        <w:trPr>
          <w:trHeight w:val="20"/>
        </w:trPr>
        <w:tc>
          <w:tcPr>
            <w:tcW w:w="1246" w:type="dxa"/>
            <w:vMerge/>
            <w:tcBorders>
              <w:bottom w:val="single" w:sz="4" w:space="0" w:color="1B556B"/>
            </w:tcBorders>
          </w:tcPr>
          <w:p w14:paraId="33624A1E"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5CC230B2" w14:textId="77777777" w:rsidR="00447423" w:rsidRPr="002A3CBE" w:rsidRDefault="00447423" w:rsidP="00F16E23">
            <w:pPr>
              <w:pStyle w:val="TableText"/>
              <w:spacing w:before="30" w:after="30"/>
              <w:rPr>
                <w:rFonts w:cs="Calibri"/>
                <w:i/>
                <w:szCs w:val="16"/>
              </w:rPr>
            </w:pPr>
            <w:r w:rsidRPr="002A3CBE">
              <w:rPr>
                <w:rFonts w:cs="Calibri"/>
                <w:i/>
                <w:szCs w:val="16"/>
              </w:rPr>
              <w:t>Dead organic matter</w:t>
            </w:r>
          </w:p>
        </w:tc>
        <w:tc>
          <w:tcPr>
            <w:tcW w:w="1276" w:type="dxa"/>
            <w:tcBorders>
              <w:top w:val="single" w:sz="4" w:space="0" w:color="1B556B"/>
              <w:bottom w:val="single" w:sz="4" w:space="0" w:color="1B556B"/>
            </w:tcBorders>
          </w:tcPr>
          <w:p w14:paraId="20D307AA" w14:textId="77777777" w:rsidR="00447423" w:rsidRPr="002A3CBE" w:rsidRDefault="00447423" w:rsidP="00F16E23">
            <w:pPr>
              <w:pStyle w:val="TableText"/>
              <w:spacing w:before="30" w:after="30"/>
              <w:rPr>
                <w:rFonts w:cs="Calibri"/>
                <w:szCs w:val="16"/>
              </w:rPr>
            </w:pPr>
          </w:p>
        </w:tc>
        <w:tc>
          <w:tcPr>
            <w:tcW w:w="1276" w:type="dxa"/>
            <w:tcBorders>
              <w:top w:val="single" w:sz="4" w:space="0" w:color="1B556B"/>
              <w:bottom w:val="single" w:sz="4" w:space="0" w:color="1B556B"/>
            </w:tcBorders>
          </w:tcPr>
          <w:p w14:paraId="5AD9C6EB" w14:textId="77777777" w:rsidR="00447423" w:rsidRPr="002A3CBE" w:rsidRDefault="00447423" w:rsidP="00F16E23">
            <w:pPr>
              <w:pStyle w:val="TableText"/>
              <w:spacing w:before="30" w:after="30"/>
              <w:rPr>
                <w:rFonts w:cs="Calibri"/>
                <w:szCs w:val="16"/>
              </w:rPr>
            </w:pPr>
          </w:p>
        </w:tc>
        <w:tc>
          <w:tcPr>
            <w:tcW w:w="1275" w:type="dxa"/>
            <w:tcBorders>
              <w:top w:val="single" w:sz="4" w:space="0" w:color="1B556B"/>
              <w:bottom w:val="single" w:sz="4" w:space="0" w:color="1B556B"/>
            </w:tcBorders>
          </w:tcPr>
          <w:p w14:paraId="6FB10E1E" w14:textId="77777777" w:rsidR="00447423" w:rsidRPr="002A3CBE" w:rsidRDefault="00447423" w:rsidP="00F16E23">
            <w:pPr>
              <w:pStyle w:val="TableText"/>
              <w:spacing w:before="30" w:after="30"/>
              <w:rPr>
                <w:rFonts w:cs="Calibri"/>
                <w:szCs w:val="16"/>
              </w:rPr>
            </w:pPr>
            <w:r w:rsidRPr="002A3CBE">
              <w:rPr>
                <w:rFonts w:cs="Calibri"/>
                <w:b/>
                <w:bCs/>
                <w:szCs w:val="16"/>
              </w:rPr>
              <w:t>NO</w:t>
            </w:r>
          </w:p>
        </w:tc>
        <w:tc>
          <w:tcPr>
            <w:tcW w:w="1701" w:type="dxa"/>
            <w:vMerge/>
            <w:tcBorders>
              <w:bottom w:val="single" w:sz="4" w:space="0" w:color="1B556B"/>
            </w:tcBorders>
          </w:tcPr>
          <w:p w14:paraId="7677928D" w14:textId="77777777" w:rsidR="00447423" w:rsidRPr="002A3CBE" w:rsidRDefault="00447423" w:rsidP="00F16E23">
            <w:pPr>
              <w:pStyle w:val="TableText"/>
              <w:spacing w:before="30" w:after="30"/>
              <w:rPr>
                <w:rFonts w:cs="Calibri"/>
                <w:szCs w:val="16"/>
              </w:rPr>
            </w:pPr>
          </w:p>
        </w:tc>
      </w:tr>
      <w:tr w:rsidR="00447423" w:rsidRPr="002A3CBE" w14:paraId="5AE561BA" w14:textId="77777777" w:rsidTr="00F16E23">
        <w:trPr>
          <w:trHeight w:val="20"/>
        </w:trPr>
        <w:tc>
          <w:tcPr>
            <w:tcW w:w="1246" w:type="dxa"/>
            <w:vMerge/>
            <w:tcBorders>
              <w:bottom w:val="single" w:sz="4" w:space="0" w:color="1B556B"/>
            </w:tcBorders>
          </w:tcPr>
          <w:p w14:paraId="3DDB9FF4"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2D9417FA" w14:textId="77777777" w:rsidR="00447423" w:rsidRPr="002A3CBE" w:rsidRDefault="00447423" w:rsidP="00F16E23">
            <w:pPr>
              <w:pStyle w:val="TableText"/>
              <w:spacing w:before="30" w:after="30"/>
              <w:rPr>
                <w:rFonts w:cs="Calibri"/>
                <w:szCs w:val="16"/>
              </w:rPr>
            </w:pPr>
            <w:r w:rsidRPr="002A3CBE">
              <w:rPr>
                <w:rFonts w:cs="Calibri"/>
                <w:szCs w:val="16"/>
              </w:rPr>
              <w:tab/>
              <w:t>Dead wood</w:t>
            </w:r>
          </w:p>
        </w:tc>
        <w:tc>
          <w:tcPr>
            <w:tcW w:w="1276" w:type="dxa"/>
            <w:tcBorders>
              <w:top w:val="single" w:sz="4" w:space="0" w:color="1B556B"/>
              <w:bottom w:val="single" w:sz="4" w:space="0" w:color="1B556B"/>
            </w:tcBorders>
          </w:tcPr>
          <w:p w14:paraId="25689E79" w14:textId="77777777" w:rsidR="00447423" w:rsidRPr="002A3CBE" w:rsidRDefault="00447423" w:rsidP="00F16E23">
            <w:pPr>
              <w:pStyle w:val="TableText"/>
              <w:spacing w:before="30" w:after="30"/>
              <w:rPr>
                <w:rFonts w:cs="Calibri"/>
                <w:szCs w:val="16"/>
              </w:rPr>
            </w:pPr>
            <w:r w:rsidRPr="002A3CBE">
              <w:rPr>
                <w:rFonts w:cs="Calibri"/>
                <w:szCs w:val="16"/>
              </w:rPr>
              <w:t>3.68</w:t>
            </w:r>
          </w:p>
        </w:tc>
        <w:tc>
          <w:tcPr>
            <w:tcW w:w="1276" w:type="dxa"/>
            <w:tcBorders>
              <w:top w:val="single" w:sz="4" w:space="0" w:color="1B556B"/>
              <w:bottom w:val="single" w:sz="4" w:space="0" w:color="1B556B"/>
            </w:tcBorders>
          </w:tcPr>
          <w:p w14:paraId="39945AD4" w14:textId="77777777" w:rsidR="00447423" w:rsidRPr="002A3CBE" w:rsidRDefault="00447423" w:rsidP="00F16E23">
            <w:pPr>
              <w:pStyle w:val="TableText"/>
              <w:spacing w:before="30" w:after="30"/>
              <w:rPr>
                <w:rFonts w:cs="Calibri"/>
                <w:szCs w:val="16"/>
              </w:rPr>
            </w:pPr>
            <w:r w:rsidRPr="002A3CBE">
              <w:rPr>
                <w:rFonts w:cs="Calibri"/>
                <w:szCs w:val="16"/>
              </w:rPr>
              <w:t>NO</w:t>
            </w:r>
          </w:p>
        </w:tc>
        <w:tc>
          <w:tcPr>
            <w:tcW w:w="1275" w:type="dxa"/>
            <w:tcBorders>
              <w:top w:val="single" w:sz="4" w:space="0" w:color="1B556B"/>
              <w:bottom w:val="single" w:sz="4" w:space="0" w:color="1B556B"/>
            </w:tcBorders>
          </w:tcPr>
          <w:p w14:paraId="0B6D4CD0" w14:textId="77777777" w:rsidR="00447423" w:rsidRPr="002A3CBE" w:rsidRDefault="00447423" w:rsidP="00F16E23">
            <w:pPr>
              <w:pStyle w:val="TableText"/>
              <w:spacing w:before="30" w:after="30"/>
              <w:rPr>
                <w:rFonts w:cs="Calibri"/>
                <w:szCs w:val="16"/>
              </w:rPr>
            </w:pPr>
            <w:r w:rsidRPr="002A3CBE">
              <w:rPr>
                <w:rFonts w:cs="Calibri"/>
                <w:b/>
                <w:bCs/>
                <w:szCs w:val="16"/>
              </w:rPr>
              <w:t>NO</w:t>
            </w:r>
          </w:p>
        </w:tc>
        <w:tc>
          <w:tcPr>
            <w:tcW w:w="1701" w:type="dxa"/>
            <w:vMerge/>
            <w:tcBorders>
              <w:bottom w:val="single" w:sz="4" w:space="0" w:color="1B556B"/>
            </w:tcBorders>
          </w:tcPr>
          <w:p w14:paraId="7B287A36" w14:textId="77777777" w:rsidR="00447423" w:rsidRPr="002A3CBE" w:rsidRDefault="00447423" w:rsidP="00F16E23">
            <w:pPr>
              <w:pStyle w:val="TableText"/>
              <w:spacing w:before="30" w:after="30"/>
              <w:rPr>
                <w:rFonts w:cs="Calibri"/>
                <w:szCs w:val="16"/>
              </w:rPr>
            </w:pPr>
          </w:p>
        </w:tc>
      </w:tr>
      <w:tr w:rsidR="00447423" w:rsidRPr="002A3CBE" w14:paraId="75E17617" w14:textId="77777777" w:rsidTr="00F16E23">
        <w:trPr>
          <w:trHeight w:val="20"/>
        </w:trPr>
        <w:tc>
          <w:tcPr>
            <w:tcW w:w="1246" w:type="dxa"/>
            <w:vMerge/>
            <w:tcBorders>
              <w:bottom w:val="single" w:sz="4" w:space="0" w:color="1B556B"/>
            </w:tcBorders>
          </w:tcPr>
          <w:p w14:paraId="2CE2FD01" w14:textId="77777777" w:rsidR="00447423" w:rsidRPr="002A3CBE" w:rsidRDefault="00447423" w:rsidP="00F16E23">
            <w:pPr>
              <w:pStyle w:val="TableText"/>
              <w:spacing w:before="30" w:after="30"/>
              <w:rPr>
                <w:rFonts w:cs="Calibri"/>
                <w:szCs w:val="16"/>
              </w:rPr>
            </w:pPr>
          </w:p>
        </w:tc>
        <w:tc>
          <w:tcPr>
            <w:tcW w:w="1731" w:type="dxa"/>
            <w:tcBorders>
              <w:top w:val="single" w:sz="4" w:space="0" w:color="1B556B"/>
              <w:bottom w:val="single" w:sz="4" w:space="0" w:color="1B556B"/>
            </w:tcBorders>
          </w:tcPr>
          <w:p w14:paraId="1B10E070" w14:textId="77777777" w:rsidR="00447423" w:rsidRPr="002A3CBE" w:rsidRDefault="00447423" w:rsidP="00F16E23">
            <w:pPr>
              <w:pStyle w:val="TableText"/>
              <w:spacing w:before="30" w:after="30"/>
              <w:rPr>
                <w:rFonts w:cs="Calibri"/>
                <w:szCs w:val="16"/>
              </w:rPr>
            </w:pPr>
            <w:r w:rsidRPr="002A3CBE">
              <w:rPr>
                <w:rFonts w:cs="Calibri"/>
                <w:szCs w:val="16"/>
              </w:rPr>
              <w:tab/>
              <w:t>Litter</w:t>
            </w:r>
          </w:p>
        </w:tc>
        <w:tc>
          <w:tcPr>
            <w:tcW w:w="1276" w:type="dxa"/>
            <w:tcBorders>
              <w:top w:val="single" w:sz="4" w:space="0" w:color="1B556B"/>
              <w:bottom w:val="single" w:sz="4" w:space="0" w:color="1B556B"/>
            </w:tcBorders>
          </w:tcPr>
          <w:p w14:paraId="717EF0B1" w14:textId="77777777" w:rsidR="00447423" w:rsidRPr="002A3CBE" w:rsidRDefault="00447423" w:rsidP="00F16E23">
            <w:pPr>
              <w:pStyle w:val="TableText"/>
              <w:spacing w:before="30" w:after="30"/>
              <w:rPr>
                <w:rFonts w:cs="Calibri"/>
                <w:szCs w:val="16"/>
              </w:rPr>
            </w:pPr>
            <w:r w:rsidRPr="002A3CBE">
              <w:rPr>
                <w:rFonts w:cs="Calibri"/>
                <w:szCs w:val="16"/>
              </w:rPr>
              <w:t>0.00</w:t>
            </w:r>
          </w:p>
        </w:tc>
        <w:tc>
          <w:tcPr>
            <w:tcW w:w="1276" w:type="dxa"/>
            <w:tcBorders>
              <w:top w:val="single" w:sz="4" w:space="0" w:color="1B556B"/>
              <w:bottom w:val="single" w:sz="4" w:space="0" w:color="1B556B"/>
            </w:tcBorders>
          </w:tcPr>
          <w:p w14:paraId="2DE4A57F" w14:textId="77777777" w:rsidR="00447423" w:rsidRPr="002A3CBE" w:rsidRDefault="00447423" w:rsidP="00F16E23">
            <w:pPr>
              <w:pStyle w:val="TableText"/>
              <w:spacing w:before="30" w:after="30"/>
              <w:rPr>
                <w:rFonts w:cs="Calibri"/>
                <w:szCs w:val="16"/>
              </w:rPr>
            </w:pPr>
            <w:r w:rsidRPr="002A3CBE">
              <w:rPr>
                <w:rFonts w:cs="Calibri"/>
                <w:szCs w:val="16"/>
              </w:rPr>
              <w:t>NO</w:t>
            </w:r>
          </w:p>
        </w:tc>
        <w:tc>
          <w:tcPr>
            <w:tcW w:w="1275" w:type="dxa"/>
            <w:tcBorders>
              <w:top w:val="single" w:sz="4" w:space="0" w:color="1B556B"/>
              <w:bottom w:val="single" w:sz="4" w:space="0" w:color="1B556B"/>
            </w:tcBorders>
          </w:tcPr>
          <w:p w14:paraId="37ADC1E5" w14:textId="77777777" w:rsidR="00447423" w:rsidRPr="002A3CBE" w:rsidRDefault="00447423" w:rsidP="00F16E23">
            <w:pPr>
              <w:pStyle w:val="TableText"/>
              <w:spacing w:before="30" w:after="30"/>
              <w:rPr>
                <w:rFonts w:cs="Calibri"/>
                <w:szCs w:val="16"/>
              </w:rPr>
            </w:pPr>
            <w:r w:rsidRPr="002A3CBE">
              <w:rPr>
                <w:rFonts w:cs="Calibri"/>
                <w:b/>
                <w:bCs/>
                <w:szCs w:val="16"/>
              </w:rPr>
              <w:t>NO</w:t>
            </w:r>
          </w:p>
        </w:tc>
        <w:tc>
          <w:tcPr>
            <w:tcW w:w="1701" w:type="dxa"/>
            <w:vMerge/>
            <w:tcBorders>
              <w:bottom w:val="single" w:sz="4" w:space="0" w:color="1B556B"/>
            </w:tcBorders>
          </w:tcPr>
          <w:p w14:paraId="1FF42FFB" w14:textId="77777777" w:rsidR="00447423" w:rsidRPr="002A3CBE" w:rsidRDefault="00447423" w:rsidP="00F16E23">
            <w:pPr>
              <w:pStyle w:val="TableText"/>
              <w:spacing w:before="30" w:after="30"/>
              <w:rPr>
                <w:rFonts w:cs="Calibri"/>
                <w:szCs w:val="16"/>
              </w:rPr>
            </w:pPr>
          </w:p>
        </w:tc>
      </w:tr>
    </w:tbl>
    <w:p w14:paraId="657C3C40" w14:textId="77777777" w:rsidR="00447423" w:rsidRPr="002A3CBE" w:rsidRDefault="00447423" w:rsidP="00447423">
      <w:pPr>
        <w:pStyle w:val="Noteundertable"/>
      </w:pPr>
      <w:r w:rsidRPr="002A3CBE">
        <w:rPr>
          <w:b/>
        </w:rPr>
        <w:t>Note:</w:t>
      </w:r>
      <w:r w:rsidRPr="002A3CBE">
        <w:tab/>
        <w:t xml:space="preserve">AGB = above-ground biomass; BGB = below-ground biomass; NA = not applicable; NE = not estimated; NO = not occurring. Columns may not total due to rounding. Note that the annual accumulation rates for </w:t>
      </w:r>
      <w:r w:rsidRPr="002A3CBE">
        <w:rPr>
          <w:i/>
          <w:iCs/>
        </w:rPr>
        <w:t>Grassland with woody biomass</w:t>
      </w:r>
      <w:r w:rsidRPr="002A3CBE">
        <w:t xml:space="preserve"> – transitional do not equal the total biomass steady state carbon stock value over 20 years because the starting stock value at year 1 is 3.54 tonnes carbon ha</w:t>
      </w:r>
      <w:r w:rsidRPr="002A3CBE">
        <w:rPr>
          <w:vertAlign w:val="superscript"/>
        </w:rPr>
        <w:t>–1</w:t>
      </w:r>
      <w:r w:rsidRPr="002A3CBE">
        <w:t xml:space="preserve">. </w:t>
      </w:r>
    </w:p>
    <w:p w14:paraId="6A2052AB" w14:textId="77777777" w:rsidR="00447423" w:rsidRPr="002A3CBE" w:rsidRDefault="00447423" w:rsidP="00447423">
      <w:pPr>
        <w:pStyle w:val="Heading4"/>
      </w:pPr>
      <w:bookmarkStart w:id="2506" w:name="_Toc280630289"/>
      <w:r w:rsidRPr="002A3CBE">
        <w:t>Grassland remaining grassland</w:t>
      </w:r>
      <w:bookmarkEnd w:id="2503"/>
      <w:bookmarkEnd w:id="2504"/>
      <w:bookmarkEnd w:id="2505"/>
      <w:bookmarkEnd w:id="2506"/>
      <w:r w:rsidRPr="002A3CBE">
        <w:t xml:space="preserve"> (4.C.1)</w:t>
      </w:r>
    </w:p>
    <w:p w14:paraId="751047C7" w14:textId="77777777" w:rsidR="00447423" w:rsidRPr="002A3CBE" w:rsidRDefault="00447423" w:rsidP="00447423">
      <w:pPr>
        <w:pStyle w:val="BodyText"/>
      </w:pPr>
      <w:r w:rsidRPr="002A3CBE">
        <w:t xml:space="preserve">For </w:t>
      </w:r>
      <w:r w:rsidRPr="002A3CBE">
        <w:rPr>
          <w:i/>
        </w:rPr>
        <w:t>Grassland remaining grassland</w:t>
      </w:r>
      <w:r w:rsidRPr="002A3CBE">
        <w:t xml:space="preserve">, it is assumed that there is no change in carbon stocks for </w:t>
      </w:r>
      <w:r w:rsidRPr="002A3CBE">
        <w:rPr>
          <w:i/>
          <w:iCs/>
          <w:spacing w:val="-2"/>
        </w:rPr>
        <w:t>Grassland</w:t>
      </w:r>
      <w:r w:rsidRPr="002A3CBE">
        <w:rPr>
          <w:spacing w:val="-2"/>
        </w:rPr>
        <w:t xml:space="preserve"> remaining in the same </w:t>
      </w:r>
      <w:r w:rsidRPr="002A3CBE">
        <w:rPr>
          <w:i/>
          <w:iCs/>
          <w:spacing w:val="-2"/>
        </w:rPr>
        <w:t>Grassland</w:t>
      </w:r>
      <w:r w:rsidRPr="002A3CBE">
        <w:rPr>
          <w:spacing w:val="-2"/>
        </w:rPr>
        <w:t xml:space="preserve"> category (IPCC, 2006a, section 6.2.1.1). The rationale</w:t>
      </w:r>
      <w:r w:rsidRPr="002A3CBE">
        <w:t xml:space="preserve"> is that, where management practices are static, carbon stocks will be in an approximately steady state; that is, carbon gain through plant growth is roughly balanced by losses from management. New Zealand has reported NA in the CRTs where there is no land-use change at the category level because no emissions or removals are assumed to have occurred. However, a significant area (370,318 hectares) is currently in a state of conversion from one </w:t>
      </w:r>
      <w:r w:rsidRPr="002A3CBE">
        <w:rPr>
          <w:i/>
          <w:iCs/>
        </w:rPr>
        <w:t>Grassland</w:t>
      </w:r>
      <w:r w:rsidRPr="002A3CBE">
        <w:t xml:space="preserve"> type to another. The carbon stock changes for these land-use changes are reported under </w:t>
      </w:r>
      <w:r w:rsidRPr="002A3CBE">
        <w:rPr>
          <w:i/>
        </w:rPr>
        <w:t>Grassland remaining grassland</w:t>
      </w:r>
      <w:r w:rsidRPr="002A3CBE">
        <w:t>.</w:t>
      </w:r>
    </w:p>
    <w:p w14:paraId="0C9E9F72" w14:textId="77777777" w:rsidR="00447423" w:rsidRPr="002A3CBE" w:rsidRDefault="00447423" w:rsidP="00447423">
      <w:pPr>
        <w:pStyle w:val="Heading5"/>
      </w:pPr>
      <w:bookmarkStart w:id="2507" w:name="_Toc255466398"/>
      <w:bookmarkStart w:id="2508" w:name="_Toc261513205"/>
      <w:bookmarkStart w:id="2509" w:name="_Toc261513818"/>
      <w:bookmarkStart w:id="2510" w:name="_Toc280630290"/>
      <w:r w:rsidRPr="002A3CBE">
        <w:t>Living biomass</w:t>
      </w:r>
      <w:bookmarkEnd w:id="2507"/>
      <w:bookmarkEnd w:id="2508"/>
      <w:bookmarkEnd w:id="2509"/>
      <w:bookmarkEnd w:id="2510"/>
    </w:p>
    <w:p w14:paraId="3C579F86" w14:textId="77777777" w:rsidR="00447423" w:rsidRPr="002A3CBE" w:rsidRDefault="00447423" w:rsidP="00447423">
      <w:pPr>
        <w:pStyle w:val="BodyText"/>
        <w:spacing w:before="80" w:after="100"/>
      </w:pPr>
      <w:r w:rsidRPr="002A3CBE">
        <w:t xml:space="preserve">To calculate carbon stock change in living biomass on land converted from one </w:t>
      </w:r>
      <w:r w:rsidRPr="002A3CBE">
        <w:rPr>
          <w:i/>
          <w:iCs/>
        </w:rPr>
        <w:t xml:space="preserve">Grassland </w:t>
      </w:r>
      <w:r w:rsidRPr="002A3CBE">
        <w:t xml:space="preserve">category to another (e.g., </w:t>
      </w:r>
      <w:r w:rsidRPr="002A3CBE">
        <w:rPr>
          <w:i/>
          <w:iCs/>
        </w:rPr>
        <w:t>Low producing grassland</w:t>
      </w:r>
      <w:r w:rsidRPr="002A3CBE">
        <w:t xml:space="preserve"> converted to </w:t>
      </w:r>
      <w:r w:rsidRPr="002A3CBE">
        <w:rPr>
          <w:i/>
          <w:iCs/>
        </w:rPr>
        <w:t>High producing grassland</w:t>
      </w:r>
      <w:r w:rsidRPr="002A3CBE">
        <w:t xml:space="preserve">), it is assumed the carbon in living biomass immediately after conversion is zero; that is, the land is cleared of all vegetation. In the same year, carbon stocks in living biomass increase by the amount given in table 6.6.4, representing the annual growth in biomass for land converted to another land use. </w:t>
      </w:r>
    </w:p>
    <w:p w14:paraId="088F999F" w14:textId="77777777" w:rsidR="00447423" w:rsidRPr="002A3CBE" w:rsidRDefault="00447423" w:rsidP="00447423">
      <w:pPr>
        <w:pStyle w:val="Heading5"/>
      </w:pPr>
      <w:bookmarkStart w:id="2511" w:name="_Toc255466399"/>
      <w:bookmarkStart w:id="2512" w:name="_Toc261513206"/>
      <w:bookmarkStart w:id="2513" w:name="_Toc261513819"/>
      <w:bookmarkStart w:id="2514" w:name="_Toc280630291"/>
      <w:r w:rsidRPr="002A3CBE">
        <w:t>Dead organic matter</w:t>
      </w:r>
      <w:bookmarkEnd w:id="2511"/>
      <w:bookmarkEnd w:id="2512"/>
      <w:bookmarkEnd w:id="2513"/>
      <w:bookmarkEnd w:id="2514"/>
    </w:p>
    <w:p w14:paraId="0805163F" w14:textId="77777777" w:rsidR="00447423" w:rsidRPr="002A3CBE" w:rsidRDefault="00447423" w:rsidP="00447423">
      <w:pPr>
        <w:pStyle w:val="BodyText"/>
        <w:spacing w:before="100" w:after="100"/>
      </w:pPr>
      <w:r w:rsidRPr="002A3CBE">
        <w:t xml:space="preserve">New Zealand does not report estimates of dead organic matter for </w:t>
      </w:r>
      <w:r w:rsidRPr="002A3CBE">
        <w:rPr>
          <w:i/>
          <w:iCs/>
        </w:rPr>
        <w:t>H</w:t>
      </w:r>
      <w:r w:rsidRPr="002A3CBE">
        <w:rPr>
          <w:i/>
        </w:rPr>
        <w:t>igh producing grassland</w:t>
      </w:r>
      <w:r w:rsidRPr="002A3CBE">
        <w:t xml:space="preserve"> or </w:t>
      </w:r>
      <w:r w:rsidRPr="002A3CBE">
        <w:rPr>
          <w:i/>
          <w:iCs/>
        </w:rPr>
        <w:t>L</w:t>
      </w:r>
      <w:r w:rsidRPr="002A3CBE">
        <w:rPr>
          <w:i/>
        </w:rPr>
        <w:t>ow producing grassland</w:t>
      </w:r>
      <w:r w:rsidRPr="002A3CBE">
        <w:t xml:space="preserve">. There is insufficient information to develop default coefficients for estimating the dead organic matter pool for these two categories (IPCC, 2006a). The notation key NE is used in the CRTs. </w:t>
      </w:r>
    </w:p>
    <w:p w14:paraId="46332C2E" w14:textId="77777777" w:rsidR="00447423" w:rsidRPr="002A3CBE" w:rsidRDefault="00447423" w:rsidP="00447423">
      <w:pPr>
        <w:pStyle w:val="BodyText"/>
        <w:spacing w:before="100" w:after="100"/>
      </w:pPr>
      <w:r w:rsidRPr="002A3CBE">
        <w:t xml:space="preserve">For </w:t>
      </w:r>
      <w:r w:rsidRPr="002A3CBE">
        <w:rPr>
          <w:i/>
          <w:iCs/>
        </w:rPr>
        <w:t>Grassland with woody biomass</w:t>
      </w:r>
      <w:r w:rsidRPr="002A3CBE">
        <w:t>, an estimate of dead organic matter is derived from the LUCAS national plot network (Wakelin and Beets, 2013) and estimates of changes in dead organic matter stocks with conversion to and from this land use are reported.</w:t>
      </w:r>
    </w:p>
    <w:p w14:paraId="3432AA84" w14:textId="77777777" w:rsidR="00447423" w:rsidRPr="002A3CBE" w:rsidRDefault="00447423" w:rsidP="00447423">
      <w:pPr>
        <w:pStyle w:val="Heading5"/>
        <w:spacing w:before="180"/>
      </w:pPr>
      <w:bookmarkStart w:id="2515" w:name="_Toc255466400"/>
      <w:bookmarkStart w:id="2516" w:name="_Toc261513207"/>
      <w:bookmarkStart w:id="2517" w:name="_Toc261513820"/>
      <w:bookmarkStart w:id="2518" w:name="_Toc280630292"/>
      <w:r w:rsidRPr="002A3CBE">
        <w:t>Soil organic carbon</w:t>
      </w:r>
      <w:bookmarkEnd w:id="2515"/>
      <w:bookmarkEnd w:id="2516"/>
      <w:bookmarkEnd w:id="2517"/>
      <w:bookmarkEnd w:id="2518"/>
      <w:r w:rsidRPr="002A3CBE">
        <w:t xml:space="preserve"> </w:t>
      </w:r>
    </w:p>
    <w:p w14:paraId="16C46093" w14:textId="77777777" w:rsidR="00447423" w:rsidRPr="002A3CBE" w:rsidRDefault="00447423" w:rsidP="00447423">
      <w:pPr>
        <w:pStyle w:val="BodyText"/>
        <w:spacing w:before="100" w:after="100"/>
      </w:pPr>
      <w:bookmarkStart w:id="2519" w:name="_Toc255466401"/>
      <w:bookmarkStart w:id="2520" w:name="_Toc261513208"/>
      <w:bookmarkStart w:id="2521" w:name="_Toc261513821"/>
      <w:r w:rsidRPr="002A3CBE">
        <w:rPr>
          <w:spacing w:val="-2"/>
        </w:rPr>
        <w:t xml:space="preserve">Soil organic carbon stocks in </w:t>
      </w:r>
      <w:r w:rsidRPr="002A3CBE">
        <w:rPr>
          <w:i/>
          <w:spacing w:val="-2"/>
        </w:rPr>
        <w:t>Grassland remaining grassland</w:t>
      </w:r>
      <w:r w:rsidRPr="002A3CBE">
        <w:rPr>
          <w:spacing w:val="-2"/>
        </w:rPr>
        <w:t xml:space="preserve"> are estimated using a Tier 2 method for mineral soils and a Tier 1 method for organic soils (see volume 2, annex 5, section A5.2.4)</w:t>
      </w:r>
      <w:r w:rsidRPr="002A3CBE">
        <w:t xml:space="preserve">. </w:t>
      </w:r>
      <w:bookmarkStart w:id="2522" w:name="_Toc255466404"/>
      <w:bookmarkStart w:id="2523" w:name="_Toc261513211"/>
      <w:bookmarkStart w:id="2524" w:name="_Toc261513824"/>
      <w:bookmarkStart w:id="2525" w:name="_Toc280630295"/>
      <w:bookmarkEnd w:id="2519"/>
      <w:bookmarkEnd w:id="2520"/>
      <w:bookmarkEnd w:id="2521"/>
    </w:p>
    <w:p w14:paraId="06B999FC" w14:textId="77777777" w:rsidR="00447423" w:rsidRPr="002A3CBE" w:rsidRDefault="00447423" w:rsidP="00447423">
      <w:pPr>
        <w:pStyle w:val="Heading5"/>
      </w:pPr>
      <w:r w:rsidRPr="002A3CBE">
        <w:t>Non-CO</w:t>
      </w:r>
      <w:r w:rsidRPr="002A3CBE">
        <w:rPr>
          <w:vertAlign w:val="subscript"/>
        </w:rPr>
        <w:t>2</w:t>
      </w:r>
      <w:r w:rsidRPr="002A3CBE">
        <w:t xml:space="preserve"> emissions</w:t>
      </w:r>
    </w:p>
    <w:p w14:paraId="1954FCF7" w14:textId="77777777" w:rsidR="00447423" w:rsidRPr="002A3CBE" w:rsidRDefault="00447423" w:rsidP="00447423">
      <w:pPr>
        <w:pStyle w:val="BodyText"/>
        <w:spacing w:before="100" w:after="100"/>
      </w:pPr>
      <w:r w:rsidRPr="002A3CBE">
        <w:t>Direct and indirect N</w:t>
      </w:r>
      <w:r w:rsidRPr="002A3CBE">
        <w:rPr>
          <w:vertAlign w:val="subscript"/>
        </w:rPr>
        <w:t>2</w:t>
      </w:r>
      <w:r w:rsidRPr="002A3CBE">
        <w:t xml:space="preserve">O emissions occurring as a result of nitrogen inputs, as well as drainage of managed soils, in </w:t>
      </w:r>
      <w:r w:rsidRPr="002A3CBE">
        <w:rPr>
          <w:i/>
        </w:rPr>
        <w:t>Grassland remaining grassland</w:t>
      </w:r>
      <w:r w:rsidRPr="002A3CBE">
        <w:t xml:space="preserve"> are reported under the Agriculture sector. </w:t>
      </w:r>
    </w:p>
    <w:p w14:paraId="6C794DD8" w14:textId="77777777" w:rsidR="00447423" w:rsidRPr="002A3CBE" w:rsidRDefault="00447423" w:rsidP="00447423">
      <w:pPr>
        <w:pStyle w:val="Heading4"/>
      </w:pPr>
      <w:r w:rsidRPr="002A3CBE">
        <w:t>Land converted to grassland</w:t>
      </w:r>
      <w:bookmarkEnd w:id="2522"/>
      <w:bookmarkEnd w:id="2523"/>
      <w:bookmarkEnd w:id="2524"/>
      <w:bookmarkEnd w:id="2525"/>
      <w:r w:rsidRPr="002A3CBE">
        <w:t xml:space="preserve"> (4.C.2)</w:t>
      </w:r>
    </w:p>
    <w:p w14:paraId="04AC4791" w14:textId="77777777" w:rsidR="00447423" w:rsidRPr="002A3CBE" w:rsidRDefault="00447423" w:rsidP="00447423">
      <w:pPr>
        <w:pStyle w:val="Heading5"/>
        <w:spacing w:before="180"/>
      </w:pPr>
      <w:bookmarkStart w:id="2526" w:name="_Toc255466405"/>
      <w:bookmarkStart w:id="2527" w:name="_Toc261513212"/>
      <w:bookmarkStart w:id="2528" w:name="_Toc261513825"/>
      <w:bookmarkStart w:id="2529" w:name="_Toc280630296"/>
      <w:r w:rsidRPr="002A3CBE">
        <w:t>Living biomass</w:t>
      </w:r>
      <w:bookmarkEnd w:id="2526"/>
      <w:bookmarkEnd w:id="2527"/>
      <w:bookmarkEnd w:id="2528"/>
      <w:bookmarkEnd w:id="2529"/>
    </w:p>
    <w:p w14:paraId="60422EF6" w14:textId="77777777" w:rsidR="00447423" w:rsidRPr="002A3CBE" w:rsidRDefault="00447423" w:rsidP="00447423">
      <w:pPr>
        <w:pStyle w:val="BodyText"/>
        <w:spacing w:before="100" w:after="100"/>
      </w:pPr>
      <w:r w:rsidRPr="002A3CBE">
        <w:t xml:space="preserve">New Zealand applies a Tier 2 method to calculate emissions for </w:t>
      </w:r>
      <w:r w:rsidRPr="002A3CBE">
        <w:rPr>
          <w:i/>
        </w:rPr>
        <w:t>Land converted to grassland</w:t>
      </w:r>
      <w:r w:rsidRPr="002A3CBE">
        <w:t xml:space="preserve">. The Tier 2 method multiplies the area of </w:t>
      </w:r>
      <w:r w:rsidRPr="002A3CBE">
        <w:rPr>
          <w:i/>
        </w:rPr>
        <w:t>Land converted to grassland</w:t>
      </w:r>
      <w:r w:rsidRPr="002A3CBE">
        <w:t xml:space="preserve"> annually by the carbon stock change per area for that type of conversion, using New Zealand-specific emission factors. </w:t>
      </w:r>
    </w:p>
    <w:p w14:paraId="6610706D" w14:textId="77777777" w:rsidR="00447423" w:rsidRPr="002A3CBE" w:rsidRDefault="00447423" w:rsidP="00447423">
      <w:pPr>
        <w:pStyle w:val="BodyText"/>
        <w:spacing w:before="100" w:after="100"/>
      </w:pPr>
      <w:r w:rsidRPr="002A3CBE">
        <w:t xml:space="preserve">The Tier 2 method assumes carbon in living biomass immediately after conversion is zero; that is, the land is cleared of all vegetation at conversion and is instantly oxidised. The Tier 2 method also includes changes in carbon stocks from one year of growth from the </w:t>
      </w:r>
      <w:r w:rsidRPr="002A3CBE">
        <w:rPr>
          <w:i/>
          <w:iCs/>
        </w:rPr>
        <w:t>Grassland</w:t>
      </w:r>
      <w:r w:rsidRPr="002A3CBE">
        <w:t xml:space="preserve"> category that land was converted to in the year conversion takes place, as outlined in equation 2.9 of the 2006 IPCC Guidelines (IPCC, 2006a).</w:t>
      </w:r>
    </w:p>
    <w:p w14:paraId="1FB5F65E" w14:textId="77777777" w:rsidR="00447423" w:rsidRPr="002A3CBE" w:rsidRDefault="00447423" w:rsidP="00447423">
      <w:pPr>
        <w:pStyle w:val="Heading5"/>
        <w:spacing w:before="180"/>
      </w:pPr>
      <w:bookmarkStart w:id="2530" w:name="_Toc255466406"/>
      <w:bookmarkStart w:id="2531" w:name="_Toc261513213"/>
      <w:bookmarkStart w:id="2532" w:name="_Toc261513826"/>
      <w:bookmarkStart w:id="2533" w:name="_Toc280630297"/>
      <w:r w:rsidRPr="002A3CBE">
        <w:t>Dead organic matter</w:t>
      </w:r>
      <w:bookmarkEnd w:id="2530"/>
      <w:bookmarkEnd w:id="2531"/>
      <w:bookmarkEnd w:id="2532"/>
      <w:bookmarkEnd w:id="2533"/>
    </w:p>
    <w:p w14:paraId="22B935CA" w14:textId="77777777" w:rsidR="00447423" w:rsidRPr="002A3CBE" w:rsidRDefault="00447423" w:rsidP="00447423">
      <w:pPr>
        <w:pStyle w:val="BodyText"/>
        <w:spacing w:before="80" w:after="100"/>
      </w:pPr>
      <w:r w:rsidRPr="002A3CBE">
        <w:rPr>
          <w:spacing w:val="-2"/>
        </w:rPr>
        <w:t xml:space="preserve">For land conversion to </w:t>
      </w:r>
      <w:r w:rsidRPr="002A3CBE">
        <w:rPr>
          <w:i/>
          <w:iCs/>
          <w:spacing w:val="-2"/>
        </w:rPr>
        <w:t>H</w:t>
      </w:r>
      <w:r w:rsidRPr="002A3CBE">
        <w:rPr>
          <w:i/>
          <w:spacing w:val="-2"/>
        </w:rPr>
        <w:t xml:space="preserve">igh producing grassland </w:t>
      </w:r>
      <w:r w:rsidRPr="002A3CBE">
        <w:rPr>
          <w:spacing w:val="-2"/>
        </w:rPr>
        <w:t>and</w:t>
      </w:r>
      <w:r w:rsidRPr="002A3CBE">
        <w:rPr>
          <w:i/>
          <w:spacing w:val="-2"/>
        </w:rPr>
        <w:t xml:space="preserve"> </w:t>
      </w:r>
      <w:r w:rsidRPr="002A3CBE">
        <w:rPr>
          <w:i/>
          <w:iCs/>
          <w:spacing w:val="-2"/>
        </w:rPr>
        <w:t>L</w:t>
      </w:r>
      <w:r w:rsidRPr="002A3CBE">
        <w:rPr>
          <w:i/>
          <w:spacing w:val="-2"/>
        </w:rPr>
        <w:t>ow producing grassland</w:t>
      </w:r>
      <w:r w:rsidRPr="002A3CBE">
        <w:rPr>
          <w:spacing w:val="-2"/>
        </w:rPr>
        <w:t xml:space="preserve">, New Zealand reports only losses in dead organic matter. The losses are calculated based on the carbon in dead organic matter at the site before conversion to </w:t>
      </w:r>
      <w:r w:rsidRPr="002A3CBE">
        <w:rPr>
          <w:i/>
          <w:spacing w:val="-2"/>
        </w:rPr>
        <w:t>Grassland</w:t>
      </w:r>
      <w:r w:rsidRPr="002A3CBE">
        <w:rPr>
          <w:spacing w:val="-2"/>
        </w:rPr>
        <w:t xml:space="preserve">. It is assumed that, immediately after conversion, the carbon in the dead organic matter pool is zero (all carbon in dead organic matter before conversion is instantly oxidised in the year of conversion). New Zealand applies the Tier 1 default method to high and low producing grassland land uses, which assumes there is no dead wood or litter accumulating in </w:t>
      </w:r>
      <w:r w:rsidRPr="002A3CBE">
        <w:rPr>
          <w:i/>
          <w:spacing w:val="-2"/>
        </w:rPr>
        <w:t>Land converted to grassland</w:t>
      </w:r>
      <w:r w:rsidRPr="002A3CBE">
        <w:rPr>
          <w:spacing w:val="-2"/>
        </w:rPr>
        <w:t xml:space="preserve"> (IPCC, 2006a). Therefore, where there are no dead organic matter losses associated with the previous land use, the notation key NE is used in the CRTs, in accordance with Decision 24/CP.19 (UNFCCC, 2014</w:t>
      </w:r>
      <w:r w:rsidRPr="002A3CBE">
        <w:t>).</w:t>
      </w:r>
    </w:p>
    <w:p w14:paraId="36513E5B" w14:textId="77777777" w:rsidR="00447423" w:rsidRPr="002A3CBE" w:rsidRDefault="00447423" w:rsidP="00447423">
      <w:pPr>
        <w:pStyle w:val="BodyText"/>
      </w:pPr>
      <w:r w:rsidRPr="002A3CBE">
        <w:t xml:space="preserve">Where land is converted to </w:t>
      </w:r>
      <w:r w:rsidRPr="002A3CBE">
        <w:rPr>
          <w:i/>
          <w:iCs/>
        </w:rPr>
        <w:t>Grassland with woody biomass</w:t>
      </w:r>
      <w:r w:rsidRPr="002A3CBE">
        <w:t>, dead organic matter accumulates to 0.65 tonnes C ha</w:t>
      </w:r>
      <w:r w:rsidRPr="002A3CBE">
        <w:rPr>
          <w:vertAlign w:val="superscript"/>
        </w:rPr>
        <w:t>–1</w:t>
      </w:r>
      <w:r w:rsidRPr="002A3CBE">
        <w:t xml:space="preserve"> (see table 6.6.4) over 20 years (the IPCC default period for land to reach steady state (IPCC, 2006a)).</w:t>
      </w:r>
    </w:p>
    <w:p w14:paraId="65D1F6D5" w14:textId="77777777" w:rsidR="00447423" w:rsidRPr="002A3CBE" w:rsidRDefault="00447423" w:rsidP="00447423">
      <w:pPr>
        <w:pStyle w:val="Heading5"/>
      </w:pPr>
      <w:bookmarkStart w:id="2534" w:name="_Toc255466407"/>
      <w:bookmarkStart w:id="2535" w:name="_Toc261513214"/>
      <w:bookmarkStart w:id="2536" w:name="_Toc261513827"/>
      <w:bookmarkStart w:id="2537" w:name="_Toc280630298"/>
      <w:bookmarkStart w:id="2538" w:name="_Toc139253972"/>
      <w:r w:rsidRPr="002A3CBE">
        <w:t>Soil organic carbon</w:t>
      </w:r>
      <w:bookmarkEnd w:id="2534"/>
      <w:bookmarkEnd w:id="2535"/>
      <w:bookmarkEnd w:id="2536"/>
      <w:bookmarkEnd w:id="2537"/>
    </w:p>
    <w:p w14:paraId="42F7380C" w14:textId="77777777" w:rsidR="00447423" w:rsidRPr="002A3CBE" w:rsidRDefault="00447423" w:rsidP="00447423">
      <w:pPr>
        <w:pStyle w:val="BodyText"/>
      </w:pPr>
      <w:r w:rsidRPr="002A3CBE">
        <w:t xml:space="preserve">Soil organic carbon stocks in </w:t>
      </w:r>
      <w:r w:rsidRPr="002A3CBE">
        <w:rPr>
          <w:i/>
        </w:rPr>
        <w:t>Land converted to grassland</w:t>
      </w:r>
      <w:r w:rsidRPr="002A3CBE">
        <w:t xml:space="preserve"> are estimated using a Tier 2 method for mineral soils and a Tier 1 method for organic soils (see volume 2, annex 5, section A5.2.4). </w:t>
      </w:r>
    </w:p>
    <w:p w14:paraId="212E0911" w14:textId="77777777" w:rsidR="00447423" w:rsidRPr="002A3CBE" w:rsidRDefault="00447423" w:rsidP="00447423">
      <w:pPr>
        <w:pStyle w:val="Heading5"/>
      </w:pPr>
      <w:r w:rsidRPr="002A3CBE">
        <w:t>Non-CO</w:t>
      </w:r>
      <w:r w:rsidRPr="002A3CBE">
        <w:rPr>
          <w:vertAlign w:val="subscript"/>
        </w:rPr>
        <w:t>2</w:t>
      </w:r>
      <w:r w:rsidRPr="002A3CBE">
        <w:t xml:space="preserve"> emissions</w:t>
      </w:r>
    </w:p>
    <w:p w14:paraId="7E1E8972" w14:textId="77777777" w:rsidR="00447423" w:rsidRPr="002A3CBE" w:rsidRDefault="00447423" w:rsidP="00447423">
      <w:pPr>
        <w:pStyle w:val="BodyText"/>
      </w:pPr>
      <w:r w:rsidRPr="002A3CBE">
        <w:t>Nitrous oxide emissions from disturbance associated with land use conversion to </w:t>
      </w:r>
      <w:r w:rsidRPr="002A3CBE">
        <w:rPr>
          <w:i/>
          <w:iCs/>
        </w:rPr>
        <w:t xml:space="preserve">Grassland </w:t>
      </w:r>
      <w:r w:rsidRPr="002A3CBE">
        <w:t xml:space="preserve">and land use management are described in section 6.11. </w:t>
      </w:r>
    </w:p>
    <w:p w14:paraId="748BC40F" w14:textId="77777777" w:rsidR="00447423" w:rsidRPr="002A3CBE" w:rsidRDefault="00447423" w:rsidP="00447423">
      <w:pPr>
        <w:pStyle w:val="Heading3"/>
      </w:pPr>
      <w:bookmarkStart w:id="2539" w:name="_Toc255466410"/>
      <w:bookmarkStart w:id="2540" w:name="_Toc261513217"/>
      <w:bookmarkStart w:id="2541" w:name="_Toc261513830"/>
      <w:bookmarkStart w:id="2542" w:name="_Toc280630300"/>
      <w:r w:rsidRPr="002A3CBE">
        <w:t>6.6.3</w:t>
      </w:r>
      <w:r w:rsidRPr="002A3CBE">
        <w:tab/>
        <w:t>Uncertainty assessment and time-series consistency</w:t>
      </w:r>
      <w:bookmarkEnd w:id="2538"/>
      <w:bookmarkEnd w:id="2539"/>
      <w:bookmarkEnd w:id="2540"/>
      <w:bookmarkEnd w:id="2541"/>
      <w:bookmarkEnd w:id="2542"/>
    </w:p>
    <w:p w14:paraId="30ED7826" w14:textId="77777777" w:rsidR="00447423" w:rsidRPr="002A3CBE" w:rsidRDefault="00447423" w:rsidP="00447423">
      <w:pPr>
        <w:pStyle w:val="BodyText"/>
        <w:keepLines/>
      </w:pPr>
      <w:bookmarkStart w:id="2543" w:name="_Hlk73364961"/>
      <w:r w:rsidRPr="002A3CBE">
        <w:t>The uncertainty in net CO</w:t>
      </w:r>
      <w:r w:rsidRPr="002A3CBE">
        <w:rPr>
          <w:vertAlign w:val="subscript"/>
        </w:rPr>
        <w:t>2</w:t>
      </w:r>
      <w:r w:rsidRPr="002A3CBE">
        <w:t xml:space="preserve"> emissions from </w:t>
      </w:r>
      <w:r w:rsidRPr="002A3CBE">
        <w:rPr>
          <w:i/>
        </w:rPr>
        <w:t>Grassland</w:t>
      </w:r>
      <w:r w:rsidRPr="002A3CBE">
        <w:t xml:space="preserve"> was 52.5 percent in 2024. The uncertainty in net CO</w:t>
      </w:r>
      <w:r w:rsidRPr="002A3CBE">
        <w:rPr>
          <w:vertAlign w:val="subscript"/>
        </w:rPr>
        <w:t>2</w:t>
      </w:r>
      <w:r w:rsidRPr="002A3CBE">
        <w:t xml:space="preserve"> emissions from </w:t>
      </w:r>
      <w:r w:rsidRPr="002A3CBE">
        <w:rPr>
          <w:i/>
        </w:rPr>
        <w:t>Grassland</w:t>
      </w:r>
      <w:r w:rsidRPr="002A3CBE">
        <w:t xml:space="preserve"> accounted for 5.4 percent of the total uncertainty in emissions from the LULUCF sector. The uncertainty associated with the emissions from each </w:t>
      </w:r>
      <w:r w:rsidRPr="002A3CBE">
        <w:rPr>
          <w:i/>
        </w:rPr>
        <w:t>Grassland</w:t>
      </w:r>
      <w:r w:rsidRPr="002A3CBE">
        <w:t xml:space="preserve"> class is shown in table 6.6.5. The methods used to calculate the uncertainty are further described in volume 2, annex 5, section A5.2.8. </w:t>
      </w:r>
    </w:p>
    <w:p w14:paraId="212717A8" w14:textId="77777777" w:rsidR="00447423" w:rsidRPr="002A3CBE" w:rsidRDefault="00447423" w:rsidP="00447423">
      <w:pPr>
        <w:pStyle w:val="BodyText"/>
      </w:pPr>
      <w:r w:rsidRPr="002A3CBE">
        <w:t xml:space="preserve">Time-series consistency is ensured by applying consistent methods and full recalculations in the event of any refinement or improvement to methodology. </w:t>
      </w:r>
    </w:p>
    <w:p w14:paraId="73C3574D" w14:textId="77777777" w:rsidR="00447423" w:rsidRPr="002A3CBE" w:rsidRDefault="00447423" w:rsidP="00447423">
      <w:pPr>
        <w:pStyle w:val="Table"/>
      </w:pPr>
      <w:bookmarkStart w:id="2544" w:name="_Toc131591412"/>
      <w:bookmarkStart w:id="2545" w:name="_Toc158979970"/>
      <w:bookmarkStart w:id="2546" w:name="_Toc164153903"/>
      <w:bookmarkStart w:id="2547" w:name="_Toc190873137"/>
      <w:bookmarkStart w:id="2548" w:name="_Toc194241776"/>
      <w:bookmarkStart w:id="2549" w:name="_Toc222837927"/>
      <w:bookmarkStart w:id="2550" w:name="_Toc226669073"/>
      <w:r w:rsidRPr="002A3CBE">
        <w:t>Table 6.6.5</w:t>
      </w:r>
      <w:r w:rsidRPr="002A3CBE">
        <w:tab/>
        <w:t xml:space="preserve">Uncertainty in carbon stock change emissions in 2024 for </w:t>
      </w:r>
      <w:r w:rsidRPr="002A3CBE">
        <w:rPr>
          <w:i/>
        </w:rPr>
        <w:t>Grassland</w:t>
      </w:r>
      <w:bookmarkEnd w:id="2544"/>
      <w:bookmarkEnd w:id="2545"/>
      <w:bookmarkEnd w:id="2546"/>
      <w:bookmarkEnd w:id="2547"/>
      <w:bookmarkEnd w:id="2548"/>
      <w:bookmarkEnd w:id="2549"/>
      <w:bookmarkEnd w:id="2550"/>
      <w:r w:rsidRPr="002A3CBE">
        <w:t xml:space="preserve"> </w:t>
      </w:r>
    </w:p>
    <w:tbl>
      <w:tblPr>
        <w:tblW w:w="8505" w:type="dxa"/>
        <w:tblLayout w:type="fixed"/>
        <w:tblLook w:val="04A0" w:firstRow="1" w:lastRow="0" w:firstColumn="1" w:lastColumn="0" w:noHBand="0" w:noVBand="1"/>
      </w:tblPr>
      <w:tblGrid>
        <w:gridCol w:w="2851"/>
        <w:gridCol w:w="1883"/>
        <w:gridCol w:w="1883"/>
        <w:gridCol w:w="1888"/>
      </w:tblGrid>
      <w:tr w:rsidR="00447423" w:rsidRPr="002A3CBE" w14:paraId="4CA8CAD9" w14:textId="77777777" w:rsidTr="00F16E23">
        <w:tc>
          <w:tcPr>
            <w:tcW w:w="2851" w:type="dxa"/>
            <w:tcBorders>
              <w:top w:val="single" w:sz="4" w:space="0" w:color="1B556B" w:themeColor="text2"/>
              <w:bottom w:val="single" w:sz="4" w:space="0" w:color="1B556B" w:themeColor="text2"/>
            </w:tcBorders>
            <w:shd w:val="clear" w:color="auto" w:fill="1B556B" w:themeFill="text2"/>
            <w:vAlign w:val="bottom"/>
          </w:tcPr>
          <w:p w14:paraId="27F92BEC" w14:textId="77777777" w:rsidR="00447423" w:rsidRPr="002A3CBE" w:rsidRDefault="00447423" w:rsidP="00F16E23">
            <w:pPr>
              <w:pStyle w:val="TableTextBold"/>
              <w:keepNext/>
              <w:spacing w:before="40" w:after="40"/>
              <w:rPr>
                <w:noProof w:val="0"/>
                <w:color w:val="FFFFFF"/>
                <w:szCs w:val="16"/>
              </w:rPr>
            </w:pPr>
          </w:p>
        </w:tc>
        <w:tc>
          <w:tcPr>
            <w:tcW w:w="1883" w:type="dxa"/>
            <w:tcBorders>
              <w:top w:val="single" w:sz="4" w:space="0" w:color="1B556B" w:themeColor="text2"/>
              <w:bottom w:val="single" w:sz="4" w:space="0" w:color="1B556B" w:themeColor="text2"/>
            </w:tcBorders>
            <w:shd w:val="clear" w:color="auto" w:fill="1B556B" w:themeFill="text2"/>
            <w:vAlign w:val="bottom"/>
          </w:tcPr>
          <w:p w14:paraId="1D16B575"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Emissions (kt CO</w:t>
            </w:r>
            <w:r w:rsidRPr="002A3CBE">
              <w:rPr>
                <w:noProof w:val="0"/>
                <w:color w:val="FFFFFF"/>
                <w:szCs w:val="16"/>
                <w:vertAlign w:val="subscript"/>
              </w:rPr>
              <w:t>2</w:t>
            </w:r>
            <w:r w:rsidRPr="002A3CBE">
              <w:rPr>
                <w:noProof w:val="0"/>
                <w:color w:val="FFFFFF"/>
                <w:szCs w:val="16"/>
              </w:rPr>
              <w:t>e)</w:t>
            </w:r>
          </w:p>
        </w:tc>
        <w:tc>
          <w:tcPr>
            <w:tcW w:w="1883" w:type="dxa"/>
            <w:tcBorders>
              <w:top w:val="single" w:sz="4" w:space="0" w:color="1B556B" w:themeColor="text2"/>
              <w:bottom w:val="single" w:sz="4" w:space="0" w:color="1B556B" w:themeColor="text2"/>
            </w:tcBorders>
            <w:shd w:val="clear" w:color="auto" w:fill="1B556B" w:themeFill="text2"/>
            <w:vAlign w:val="bottom"/>
          </w:tcPr>
          <w:p w14:paraId="0B3C103D"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Uncertainty in emissions (%)</w:t>
            </w:r>
          </w:p>
        </w:tc>
        <w:tc>
          <w:tcPr>
            <w:tcW w:w="1888" w:type="dxa"/>
            <w:tcBorders>
              <w:top w:val="single" w:sz="4" w:space="0" w:color="1B556B" w:themeColor="text2"/>
              <w:bottom w:val="single" w:sz="4" w:space="0" w:color="1B556B" w:themeColor="text2"/>
            </w:tcBorders>
            <w:shd w:val="clear" w:color="auto" w:fill="1B556B" w:themeFill="text2"/>
            <w:vAlign w:val="bottom"/>
          </w:tcPr>
          <w:p w14:paraId="1A47B99F"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Contribution to LULUCF uncertainty (%)</w:t>
            </w:r>
          </w:p>
        </w:tc>
      </w:tr>
      <w:tr w:rsidR="00447423" w:rsidRPr="002A3CBE" w14:paraId="579C7487" w14:textId="77777777" w:rsidTr="00F16E23">
        <w:tc>
          <w:tcPr>
            <w:tcW w:w="2851" w:type="dxa"/>
            <w:tcBorders>
              <w:top w:val="single" w:sz="4" w:space="0" w:color="1B556B" w:themeColor="text2"/>
              <w:bottom w:val="single" w:sz="4" w:space="0" w:color="1B556B" w:themeColor="text2"/>
            </w:tcBorders>
          </w:tcPr>
          <w:p w14:paraId="027AC89E" w14:textId="77777777" w:rsidR="00447423" w:rsidRPr="002A3CBE" w:rsidRDefault="00447423" w:rsidP="00F16E23">
            <w:pPr>
              <w:pStyle w:val="TableText"/>
              <w:spacing w:before="40" w:after="40"/>
              <w:rPr>
                <w:szCs w:val="16"/>
              </w:rPr>
            </w:pPr>
            <w:r w:rsidRPr="002A3CBE">
              <w:rPr>
                <w:szCs w:val="16"/>
              </w:rPr>
              <w:t>Grassland – low producing</w:t>
            </w:r>
          </w:p>
        </w:tc>
        <w:tc>
          <w:tcPr>
            <w:tcW w:w="1883" w:type="dxa"/>
            <w:tcBorders>
              <w:top w:val="single" w:sz="4" w:space="0" w:color="1B556B" w:themeColor="text2"/>
              <w:bottom w:val="single" w:sz="4" w:space="0" w:color="1B556B" w:themeColor="text2"/>
            </w:tcBorders>
          </w:tcPr>
          <w:p w14:paraId="3B6F0A73" w14:textId="77777777" w:rsidR="00447423" w:rsidRPr="002A3CBE" w:rsidRDefault="00447423" w:rsidP="00F16E23">
            <w:pPr>
              <w:pStyle w:val="TableText"/>
              <w:spacing w:before="40" w:after="40"/>
              <w:jc w:val="right"/>
              <w:rPr>
                <w:szCs w:val="16"/>
              </w:rPr>
            </w:pPr>
            <w:r w:rsidRPr="002A3CBE">
              <w:t>1,613.4</w:t>
            </w:r>
          </w:p>
        </w:tc>
        <w:tc>
          <w:tcPr>
            <w:tcW w:w="1883" w:type="dxa"/>
            <w:tcBorders>
              <w:top w:val="single" w:sz="4" w:space="0" w:color="1B556B" w:themeColor="text2"/>
              <w:bottom w:val="single" w:sz="4" w:space="0" w:color="1B556B" w:themeColor="text2"/>
            </w:tcBorders>
          </w:tcPr>
          <w:p w14:paraId="2DF0A856" w14:textId="77777777" w:rsidR="00447423" w:rsidRPr="002A3CBE" w:rsidRDefault="00447423" w:rsidP="00F16E23">
            <w:pPr>
              <w:pStyle w:val="TableText"/>
              <w:spacing w:before="40" w:after="40"/>
              <w:jc w:val="right"/>
              <w:rPr>
                <w:rFonts w:cs="Segoe UI"/>
                <w:szCs w:val="16"/>
              </w:rPr>
            </w:pPr>
            <w:r w:rsidRPr="002A3CBE">
              <w:t>69.1</w:t>
            </w:r>
          </w:p>
        </w:tc>
        <w:tc>
          <w:tcPr>
            <w:tcW w:w="1888" w:type="dxa"/>
            <w:tcBorders>
              <w:top w:val="single" w:sz="4" w:space="0" w:color="1B556B" w:themeColor="text2"/>
              <w:bottom w:val="single" w:sz="4" w:space="0" w:color="1B556B" w:themeColor="text2"/>
            </w:tcBorders>
          </w:tcPr>
          <w:p w14:paraId="0476AB76" w14:textId="77777777" w:rsidR="00447423" w:rsidRPr="002A3CBE" w:rsidRDefault="00447423" w:rsidP="00F16E23">
            <w:pPr>
              <w:pStyle w:val="TableText"/>
              <w:spacing w:before="40" w:after="40"/>
              <w:jc w:val="right"/>
              <w:rPr>
                <w:rFonts w:cs="Segoe UI"/>
                <w:szCs w:val="16"/>
              </w:rPr>
            </w:pPr>
            <w:r w:rsidRPr="002A3CBE">
              <w:t>5.3</w:t>
            </w:r>
          </w:p>
        </w:tc>
      </w:tr>
      <w:tr w:rsidR="00447423" w:rsidRPr="002A3CBE" w14:paraId="4DBDA279" w14:textId="77777777" w:rsidTr="00F16E23">
        <w:tc>
          <w:tcPr>
            <w:tcW w:w="2851" w:type="dxa"/>
            <w:tcBorders>
              <w:top w:val="single" w:sz="4" w:space="0" w:color="1B556B" w:themeColor="text2"/>
              <w:bottom w:val="single" w:sz="4" w:space="0" w:color="1B556B" w:themeColor="text2"/>
            </w:tcBorders>
          </w:tcPr>
          <w:p w14:paraId="282F54C2" w14:textId="77777777" w:rsidR="00447423" w:rsidRPr="002A3CBE" w:rsidRDefault="00447423" w:rsidP="00F16E23">
            <w:pPr>
              <w:pStyle w:val="TableText"/>
              <w:spacing w:before="40" w:after="40"/>
              <w:rPr>
                <w:szCs w:val="16"/>
              </w:rPr>
            </w:pPr>
            <w:r w:rsidRPr="002A3CBE">
              <w:rPr>
                <w:szCs w:val="16"/>
              </w:rPr>
              <w:t>Grassland – high producing</w:t>
            </w:r>
          </w:p>
        </w:tc>
        <w:tc>
          <w:tcPr>
            <w:tcW w:w="1883" w:type="dxa"/>
            <w:tcBorders>
              <w:top w:val="single" w:sz="4" w:space="0" w:color="1B556B" w:themeColor="text2"/>
              <w:bottom w:val="single" w:sz="4" w:space="0" w:color="1B556B" w:themeColor="text2"/>
            </w:tcBorders>
          </w:tcPr>
          <w:p w14:paraId="3AD357AA" w14:textId="77777777" w:rsidR="00447423" w:rsidRPr="002A3CBE" w:rsidRDefault="00447423" w:rsidP="00F16E23">
            <w:pPr>
              <w:pStyle w:val="TableText"/>
              <w:spacing w:before="40" w:after="40"/>
              <w:jc w:val="right"/>
              <w:rPr>
                <w:szCs w:val="16"/>
              </w:rPr>
            </w:pPr>
            <w:r w:rsidRPr="002A3CBE">
              <w:t>300.0</w:t>
            </w:r>
          </w:p>
        </w:tc>
        <w:tc>
          <w:tcPr>
            <w:tcW w:w="1883" w:type="dxa"/>
            <w:tcBorders>
              <w:top w:val="single" w:sz="4" w:space="0" w:color="1B556B" w:themeColor="text2"/>
              <w:bottom w:val="single" w:sz="4" w:space="0" w:color="1B556B" w:themeColor="text2"/>
            </w:tcBorders>
          </w:tcPr>
          <w:p w14:paraId="58D6EFA5" w14:textId="77777777" w:rsidR="00447423" w:rsidRPr="002A3CBE" w:rsidRDefault="00447423" w:rsidP="00F16E23">
            <w:pPr>
              <w:pStyle w:val="TableText"/>
              <w:spacing w:before="40" w:after="40"/>
              <w:jc w:val="right"/>
              <w:rPr>
                <w:rFonts w:cs="Segoe UI"/>
                <w:szCs w:val="16"/>
              </w:rPr>
            </w:pPr>
            <w:r w:rsidRPr="002A3CBE">
              <w:t>34.3</w:t>
            </w:r>
          </w:p>
        </w:tc>
        <w:tc>
          <w:tcPr>
            <w:tcW w:w="1888" w:type="dxa"/>
            <w:tcBorders>
              <w:top w:val="single" w:sz="4" w:space="0" w:color="1B556B" w:themeColor="text2"/>
              <w:bottom w:val="single" w:sz="4" w:space="0" w:color="1B556B" w:themeColor="text2"/>
            </w:tcBorders>
          </w:tcPr>
          <w:p w14:paraId="48B47371" w14:textId="77777777" w:rsidR="00447423" w:rsidRPr="002A3CBE" w:rsidRDefault="00447423" w:rsidP="00F16E23">
            <w:pPr>
              <w:pStyle w:val="TableText"/>
              <w:spacing w:before="40" w:after="40"/>
              <w:jc w:val="right"/>
              <w:rPr>
                <w:rFonts w:cs="Segoe UI"/>
                <w:szCs w:val="16"/>
              </w:rPr>
            </w:pPr>
            <w:r w:rsidRPr="002A3CBE">
              <w:t>0.5</w:t>
            </w:r>
          </w:p>
        </w:tc>
      </w:tr>
      <w:tr w:rsidR="00447423" w:rsidRPr="002A3CBE" w14:paraId="4DD7B5B7" w14:textId="77777777" w:rsidTr="00F16E23">
        <w:tc>
          <w:tcPr>
            <w:tcW w:w="2851" w:type="dxa"/>
            <w:tcBorders>
              <w:top w:val="single" w:sz="4" w:space="0" w:color="1B556B" w:themeColor="text2"/>
              <w:bottom w:val="single" w:sz="4" w:space="0" w:color="1B556B" w:themeColor="text2"/>
            </w:tcBorders>
          </w:tcPr>
          <w:p w14:paraId="7F0ECF6C" w14:textId="77777777" w:rsidR="00447423" w:rsidRPr="002A3CBE" w:rsidRDefault="00447423" w:rsidP="00F16E23">
            <w:pPr>
              <w:pStyle w:val="TableText"/>
              <w:spacing w:before="40" w:after="40"/>
              <w:rPr>
                <w:szCs w:val="16"/>
              </w:rPr>
            </w:pPr>
            <w:r w:rsidRPr="002A3CBE">
              <w:rPr>
                <w:szCs w:val="16"/>
              </w:rPr>
              <w:t>Grassland – with woody biomass</w:t>
            </w:r>
          </w:p>
        </w:tc>
        <w:tc>
          <w:tcPr>
            <w:tcW w:w="1883" w:type="dxa"/>
            <w:tcBorders>
              <w:top w:val="single" w:sz="4" w:space="0" w:color="1B556B" w:themeColor="text2"/>
              <w:bottom w:val="single" w:sz="4" w:space="0" w:color="1B556B" w:themeColor="text2"/>
            </w:tcBorders>
          </w:tcPr>
          <w:p w14:paraId="76386FC5" w14:textId="77777777" w:rsidR="00447423" w:rsidRPr="002A3CBE" w:rsidRDefault="00447423" w:rsidP="00F16E23">
            <w:pPr>
              <w:pStyle w:val="TableText"/>
              <w:spacing w:before="40" w:after="40"/>
              <w:jc w:val="right"/>
              <w:rPr>
                <w:szCs w:val="16"/>
              </w:rPr>
            </w:pPr>
            <w:r w:rsidRPr="002A3CBE">
              <w:t>237.2</w:t>
            </w:r>
          </w:p>
        </w:tc>
        <w:tc>
          <w:tcPr>
            <w:tcW w:w="1883" w:type="dxa"/>
            <w:tcBorders>
              <w:top w:val="single" w:sz="4" w:space="0" w:color="1B556B" w:themeColor="text2"/>
              <w:bottom w:val="single" w:sz="4" w:space="0" w:color="1B556B" w:themeColor="text2"/>
            </w:tcBorders>
          </w:tcPr>
          <w:p w14:paraId="6E24DD69" w14:textId="77777777" w:rsidR="00447423" w:rsidRPr="002A3CBE" w:rsidRDefault="00447423" w:rsidP="00F16E23">
            <w:pPr>
              <w:pStyle w:val="TableText"/>
              <w:spacing w:before="40" w:after="40"/>
              <w:jc w:val="right"/>
              <w:rPr>
                <w:szCs w:val="16"/>
              </w:rPr>
            </w:pPr>
            <w:r w:rsidRPr="002A3CBE">
              <w:t>61.1</w:t>
            </w:r>
          </w:p>
        </w:tc>
        <w:tc>
          <w:tcPr>
            <w:tcW w:w="1888" w:type="dxa"/>
            <w:tcBorders>
              <w:top w:val="single" w:sz="4" w:space="0" w:color="1B556B" w:themeColor="text2"/>
              <w:bottom w:val="single" w:sz="4" w:space="0" w:color="1B556B" w:themeColor="text2"/>
            </w:tcBorders>
          </w:tcPr>
          <w:p w14:paraId="174F074C" w14:textId="77777777" w:rsidR="00447423" w:rsidRPr="002A3CBE" w:rsidRDefault="00447423" w:rsidP="00F16E23">
            <w:pPr>
              <w:pStyle w:val="TableText"/>
              <w:spacing w:before="40" w:after="40"/>
              <w:jc w:val="right"/>
              <w:rPr>
                <w:szCs w:val="16"/>
              </w:rPr>
            </w:pPr>
            <w:r w:rsidRPr="002A3CBE">
              <w:t>0.7</w:t>
            </w:r>
          </w:p>
        </w:tc>
      </w:tr>
      <w:tr w:rsidR="00447423" w:rsidRPr="002A3CBE" w14:paraId="22A1A4DD" w14:textId="77777777" w:rsidTr="00F16E23">
        <w:tc>
          <w:tcPr>
            <w:tcW w:w="2851" w:type="dxa"/>
            <w:tcBorders>
              <w:top w:val="single" w:sz="4" w:space="0" w:color="1B556B" w:themeColor="text2"/>
              <w:bottom w:val="single" w:sz="4" w:space="0" w:color="1B556B" w:themeColor="text2"/>
            </w:tcBorders>
          </w:tcPr>
          <w:p w14:paraId="676315C7" w14:textId="77777777" w:rsidR="00447423" w:rsidRPr="002A3CBE" w:rsidRDefault="00447423" w:rsidP="00F16E23">
            <w:pPr>
              <w:pStyle w:val="Tableboldblue"/>
              <w:spacing w:before="40" w:after="40"/>
            </w:pPr>
            <w:r w:rsidRPr="002A3CBE">
              <w:t xml:space="preserve">Total </w:t>
            </w:r>
          </w:p>
        </w:tc>
        <w:tc>
          <w:tcPr>
            <w:tcW w:w="1883" w:type="dxa"/>
            <w:tcBorders>
              <w:top w:val="single" w:sz="4" w:space="0" w:color="1B556B" w:themeColor="text2"/>
              <w:bottom w:val="single" w:sz="4" w:space="0" w:color="1B556B" w:themeColor="text2"/>
            </w:tcBorders>
          </w:tcPr>
          <w:p w14:paraId="5F476D80" w14:textId="77777777" w:rsidR="00447423" w:rsidRPr="002A3CBE" w:rsidRDefault="00447423" w:rsidP="00F16E23">
            <w:pPr>
              <w:pStyle w:val="Tableboldblue"/>
              <w:spacing w:before="40" w:after="40"/>
              <w:jc w:val="right"/>
              <w:rPr>
                <w:rFonts w:cs="Calibri"/>
              </w:rPr>
            </w:pPr>
            <w:r w:rsidRPr="002A3CBE">
              <w:t>2,150.6</w:t>
            </w:r>
          </w:p>
        </w:tc>
        <w:tc>
          <w:tcPr>
            <w:tcW w:w="1883" w:type="dxa"/>
            <w:tcBorders>
              <w:top w:val="single" w:sz="4" w:space="0" w:color="1B556B" w:themeColor="text2"/>
              <w:bottom w:val="single" w:sz="4" w:space="0" w:color="1B556B" w:themeColor="text2"/>
            </w:tcBorders>
          </w:tcPr>
          <w:p w14:paraId="5240AB27" w14:textId="77777777" w:rsidR="00447423" w:rsidRPr="002A3CBE" w:rsidRDefault="00447423" w:rsidP="00F16E23">
            <w:pPr>
              <w:pStyle w:val="Tableboldblue"/>
              <w:spacing w:before="40" w:after="40"/>
              <w:jc w:val="right"/>
              <w:rPr>
                <w:rFonts w:cs="Calibri"/>
              </w:rPr>
            </w:pPr>
            <w:r w:rsidRPr="002A3CBE">
              <w:t>52.5</w:t>
            </w:r>
          </w:p>
        </w:tc>
        <w:tc>
          <w:tcPr>
            <w:tcW w:w="1888" w:type="dxa"/>
            <w:tcBorders>
              <w:top w:val="single" w:sz="4" w:space="0" w:color="1B556B" w:themeColor="text2"/>
              <w:bottom w:val="single" w:sz="4" w:space="0" w:color="1B556B" w:themeColor="text2"/>
            </w:tcBorders>
          </w:tcPr>
          <w:p w14:paraId="15F2E757" w14:textId="77777777" w:rsidR="00447423" w:rsidRPr="002A3CBE" w:rsidRDefault="00447423" w:rsidP="00F16E23">
            <w:pPr>
              <w:pStyle w:val="Tableboldblue"/>
              <w:spacing w:before="40" w:after="40"/>
              <w:jc w:val="right"/>
              <w:rPr>
                <w:rFonts w:cs="Calibri"/>
              </w:rPr>
            </w:pPr>
            <w:r w:rsidRPr="002A3CBE">
              <w:t>5.4</w:t>
            </w:r>
          </w:p>
        </w:tc>
      </w:tr>
    </w:tbl>
    <w:p w14:paraId="2E3E64DD" w14:textId="77777777" w:rsidR="00447423" w:rsidRPr="002A3CBE" w:rsidRDefault="00447423" w:rsidP="00447423">
      <w:pPr>
        <w:pStyle w:val="Heading3"/>
        <w:spacing w:before="440"/>
      </w:pPr>
      <w:bookmarkStart w:id="2551" w:name="_Toc139253973"/>
      <w:bookmarkStart w:id="2552" w:name="_Toc255466411"/>
      <w:bookmarkStart w:id="2553" w:name="_Toc261513218"/>
      <w:bookmarkStart w:id="2554" w:name="_Toc261513831"/>
      <w:bookmarkStart w:id="2555" w:name="_Toc280630301"/>
      <w:bookmarkEnd w:id="2543"/>
      <w:r w:rsidRPr="002A3CBE">
        <w:t>6.6.4</w:t>
      </w:r>
      <w:r w:rsidRPr="002A3CBE">
        <w:tab/>
        <w:t>Category-specific QA/QC and verification</w:t>
      </w:r>
      <w:bookmarkEnd w:id="2551"/>
      <w:bookmarkEnd w:id="2552"/>
      <w:bookmarkEnd w:id="2553"/>
      <w:bookmarkEnd w:id="2554"/>
      <w:bookmarkEnd w:id="2555"/>
    </w:p>
    <w:p w14:paraId="2AB03D11" w14:textId="77777777" w:rsidR="00447423" w:rsidRPr="002A3CBE" w:rsidRDefault="00447423" w:rsidP="00447423">
      <w:pPr>
        <w:pStyle w:val="BodyText"/>
      </w:pPr>
      <w:bookmarkStart w:id="2556" w:name="_Toc139253974"/>
      <w:r w:rsidRPr="002A3CBE">
        <w:t xml:space="preserve">Emissions from the </w:t>
      </w:r>
      <w:r w:rsidRPr="002A3CBE">
        <w:rPr>
          <w:i/>
        </w:rPr>
        <w:t>Grassland remaining grassland</w:t>
      </w:r>
      <w:r w:rsidRPr="002A3CBE">
        <w:t xml:space="preserve"> and </w:t>
      </w:r>
      <w:r w:rsidRPr="002A3CBE">
        <w:rPr>
          <w:i/>
        </w:rPr>
        <w:t>Land converted to grassland</w:t>
      </w:r>
      <w:r w:rsidRPr="002A3CBE">
        <w:t xml:space="preserve"> categories are key categories (level and trend). In the preparation of this inventory, the data for these emissions underwent Tier 1 quality checks. </w:t>
      </w:r>
    </w:p>
    <w:p w14:paraId="4623734B" w14:textId="77777777" w:rsidR="00447423" w:rsidRPr="002A3CBE" w:rsidRDefault="00447423" w:rsidP="00447423">
      <w:pPr>
        <w:pStyle w:val="Heading3"/>
      </w:pPr>
      <w:bookmarkStart w:id="2557" w:name="_Toc255466412"/>
      <w:bookmarkStart w:id="2558" w:name="_Toc261513219"/>
      <w:bookmarkStart w:id="2559" w:name="_Toc261513832"/>
      <w:bookmarkStart w:id="2560" w:name="_Toc280630302"/>
      <w:r w:rsidRPr="002A3CBE">
        <w:t>6.6.5</w:t>
      </w:r>
      <w:r w:rsidRPr="002A3CBE">
        <w:tab/>
        <w:t>Category-specific recalculations</w:t>
      </w:r>
      <w:bookmarkEnd w:id="2556"/>
      <w:bookmarkEnd w:id="2557"/>
      <w:bookmarkEnd w:id="2558"/>
      <w:bookmarkEnd w:id="2559"/>
      <w:bookmarkEnd w:id="2560"/>
    </w:p>
    <w:p w14:paraId="590ACDF9" w14:textId="77777777" w:rsidR="00447423" w:rsidRPr="002A3CBE" w:rsidRDefault="00447423" w:rsidP="00447423">
      <w:pPr>
        <w:pStyle w:val="BodyText"/>
        <w:spacing w:before="240"/>
      </w:pPr>
      <w:bookmarkStart w:id="2561" w:name="_Toc139253975"/>
      <w:r w:rsidRPr="002A3CBE">
        <w:t>Recalculations of the entire time series were carried out for this category as a result of updates to emission factors. The impact of recalculations on net CO</w:t>
      </w:r>
      <w:r w:rsidRPr="002A3CBE">
        <w:rPr>
          <w:vertAlign w:val="subscript"/>
        </w:rPr>
        <w:t>2</w:t>
      </w:r>
      <w:r w:rsidRPr="002A3CBE">
        <w:t xml:space="preserve">e emission estimates for the </w:t>
      </w:r>
      <w:r w:rsidRPr="002A3CBE">
        <w:rPr>
          <w:i/>
        </w:rPr>
        <w:t>Grassland</w:t>
      </w:r>
      <w:r w:rsidRPr="002A3CBE">
        <w:t xml:space="preserve"> category is shown in table 6.6.6. The recalculation indicates a 4.5 percent increase in emissions for 2023.</w:t>
      </w:r>
    </w:p>
    <w:p w14:paraId="0E8CBF79" w14:textId="77777777" w:rsidR="00447423" w:rsidRPr="002A3CBE" w:rsidRDefault="00447423" w:rsidP="00447423">
      <w:pPr>
        <w:pStyle w:val="Table"/>
      </w:pPr>
      <w:bookmarkStart w:id="2562" w:name="_Toc310423428"/>
      <w:bookmarkStart w:id="2563" w:name="_Toc318362721"/>
      <w:bookmarkStart w:id="2564" w:name="_Toc342470783"/>
      <w:bookmarkStart w:id="2565" w:name="_Toc352505023"/>
      <w:bookmarkStart w:id="2566" w:name="_Toc378853312"/>
      <w:bookmarkStart w:id="2567" w:name="_Toc391024110"/>
      <w:bookmarkStart w:id="2568" w:name="_Toc410028853"/>
      <w:bookmarkStart w:id="2569" w:name="_Toc414531481"/>
      <w:bookmarkStart w:id="2570" w:name="_Toc443645394"/>
      <w:bookmarkStart w:id="2571" w:name="_Toc474914613"/>
      <w:bookmarkStart w:id="2572" w:name="_Toc481751577"/>
      <w:bookmarkStart w:id="2573" w:name="_Toc522010634"/>
      <w:bookmarkStart w:id="2574" w:name="_Toc5269539"/>
      <w:bookmarkStart w:id="2575" w:name="_Toc33529413"/>
      <w:bookmarkStart w:id="2576" w:name="_Toc36224619"/>
      <w:bookmarkStart w:id="2577" w:name="_Toc131591413"/>
      <w:bookmarkStart w:id="2578" w:name="_Toc158979971"/>
      <w:bookmarkStart w:id="2579" w:name="_Toc164153904"/>
      <w:bookmarkStart w:id="2580" w:name="_Toc190873138"/>
      <w:bookmarkStart w:id="2581" w:name="_Toc194241777"/>
      <w:bookmarkStart w:id="2582" w:name="_Toc222837928"/>
      <w:bookmarkStart w:id="2583" w:name="_Toc226669074"/>
      <w:r w:rsidRPr="002A3CBE">
        <w:t>Table 6.6.6</w:t>
      </w:r>
      <w:r w:rsidRPr="002A3CBE">
        <w:tab/>
        <w:t xml:space="preserve">Recalculations of New Zealand’s net emissions from the </w:t>
      </w:r>
      <w:r w:rsidRPr="002A3CBE">
        <w:rPr>
          <w:i/>
        </w:rPr>
        <w:t>Grassland</w:t>
      </w:r>
      <w:r w:rsidRPr="002A3CBE">
        <w:t xml:space="preserve"> category in 1990 and</w:t>
      </w:r>
      <w:bookmarkEnd w:id="2562"/>
      <w:bookmarkEnd w:id="2563"/>
      <w:bookmarkEnd w:id="2564"/>
      <w:bookmarkEnd w:id="2565"/>
      <w:bookmarkEnd w:id="2566"/>
      <w:bookmarkEnd w:id="2567"/>
      <w:r w:rsidRPr="002A3CBE">
        <w:t> </w:t>
      </w:r>
      <w:bookmarkEnd w:id="2568"/>
      <w:bookmarkEnd w:id="2569"/>
      <w:bookmarkEnd w:id="2570"/>
      <w:bookmarkEnd w:id="2571"/>
      <w:bookmarkEnd w:id="2572"/>
      <w:bookmarkEnd w:id="2573"/>
      <w:bookmarkEnd w:id="2574"/>
      <w:bookmarkEnd w:id="2575"/>
      <w:bookmarkEnd w:id="2576"/>
      <w:bookmarkEnd w:id="2577"/>
      <w:bookmarkEnd w:id="2578"/>
      <w:bookmarkEnd w:id="2579"/>
      <w:r w:rsidRPr="002A3CBE">
        <w:t>2023</w:t>
      </w:r>
      <w:bookmarkEnd w:id="2580"/>
      <w:bookmarkEnd w:id="2581"/>
      <w:bookmarkEnd w:id="2582"/>
      <w:bookmarkEnd w:id="2583"/>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843"/>
        <w:gridCol w:w="1418"/>
        <w:gridCol w:w="1559"/>
        <w:gridCol w:w="2551"/>
        <w:gridCol w:w="1134"/>
      </w:tblGrid>
      <w:tr w:rsidR="00447423" w:rsidRPr="002A3CBE" w14:paraId="0935D49F" w14:textId="77777777" w:rsidTr="00F16E23">
        <w:trPr>
          <w:tblHeader/>
        </w:trPr>
        <w:tc>
          <w:tcPr>
            <w:tcW w:w="1843" w:type="dxa"/>
            <w:shd w:val="clear" w:color="auto" w:fill="1B556B"/>
            <w:tcMar>
              <w:top w:w="0" w:type="dxa"/>
              <w:left w:w="85" w:type="dxa"/>
              <w:bottom w:w="0" w:type="dxa"/>
              <w:right w:w="85" w:type="dxa"/>
            </w:tcMar>
            <w:vAlign w:val="center"/>
          </w:tcPr>
          <w:p w14:paraId="489A3BA8" w14:textId="77777777" w:rsidR="00447423" w:rsidRPr="002A3CBE" w:rsidRDefault="00447423" w:rsidP="00F16E23">
            <w:pPr>
              <w:pStyle w:val="TableTextBold"/>
              <w:spacing w:before="40" w:after="40"/>
              <w:rPr>
                <w:rFonts w:eastAsia="Calibri"/>
                <w:noProof w:val="0"/>
                <w:color w:val="FFFFFF" w:themeColor="background1"/>
              </w:rPr>
            </w:pPr>
          </w:p>
        </w:tc>
        <w:tc>
          <w:tcPr>
            <w:tcW w:w="1418" w:type="dxa"/>
            <w:shd w:val="clear" w:color="auto" w:fill="1B556B"/>
            <w:tcMar>
              <w:top w:w="0" w:type="dxa"/>
              <w:left w:w="85" w:type="dxa"/>
              <w:bottom w:w="0" w:type="dxa"/>
              <w:right w:w="85" w:type="dxa"/>
            </w:tcMar>
            <w:vAlign w:val="center"/>
          </w:tcPr>
          <w:p w14:paraId="5FEF666F"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2025 submission</w:t>
            </w:r>
          </w:p>
        </w:tc>
        <w:tc>
          <w:tcPr>
            <w:tcW w:w="1559" w:type="dxa"/>
            <w:shd w:val="clear" w:color="auto" w:fill="1B556B"/>
            <w:tcMar>
              <w:top w:w="0" w:type="dxa"/>
              <w:left w:w="85" w:type="dxa"/>
              <w:bottom w:w="0" w:type="dxa"/>
              <w:right w:w="85" w:type="dxa"/>
            </w:tcMar>
            <w:vAlign w:val="center"/>
          </w:tcPr>
          <w:p w14:paraId="7E399852"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2026 submission</w:t>
            </w:r>
          </w:p>
        </w:tc>
        <w:tc>
          <w:tcPr>
            <w:tcW w:w="2551" w:type="dxa"/>
            <w:shd w:val="clear" w:color="auto" w:fill="1B556B"/>
            <w:tcMar>
              <w:top w:w="0" w:type="dxa"/>
              <w:left w:w="85" w:type="dxa"/>
              <w:bottom w:w="0" w:type="dxa"/>
              <w:right w:w="85" w:type="dxa"/>
            </w:tcMar>
            <w:vAlign w:val="center"/>
          </w:tcPr>
          <w:p w14:paraId="0295867E"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2025 submission</w:t>
            </w:r>
          </w:p>
        </w:tc>
        <w:tc>
          <w:tcPr>
            <w:tcW w:w="1134" w:type="dxa"/>
            <w:shd w:val="clear" w:color="auto" w:fill="1B556B"/>
            <w:tcMar>
              <w:top w:w="0" w:type="dxa"/>
              <w:left w:w="85" w:type="dxa"/>
              <w:bottom w:w="0" w:type="dxa"/>
              <w:right w:w="85" w:type="dxa"/>
            </w:tcMar>
            <w:vAlign w:val="center"/>
          </w:tcPr>
          <w:p w14:paraId="3D553743"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 xml:space="preserve">Change (%) </w:t>
            </w:r>
          </w:p>
        </w:tc>
      </w:tr>
      <w:tr w:rsidR="00447423" w:rsidRPr="002A3CBE" w14:paraId="7DD1EA83" w14:textId="77777777" w:rsidTr="00F16E23">
        <w:tc>
          <w:tcPr>
            <w:tcW w:w="1843" w:type="dxa"/>
            <w:shd w:val="clear" w:color="auto" w:fill="FFFFFF"/>
            <w:tcMar>
              <w:top w:w="0" w:type="dxa"/>
              <w:left w:w="85" w:type="dxa"/>
              <w:bottom w:w="0" w:type="dxa"/>
              <w:right w:w="85" w:type="dxa"/>
            </w:tcMar>
            <w:vAlign w:val="center"/>
          </w:tcPr>
          <w:p w14:paraId="712A829E" w14:textId="77777777" w:rsidR="00447423" w:rsidRPr="002A3CBE" w:rsidRDefault="00447423" w:rsidP="00F16E23">
            <w:pPr>
              <w:pStyle w:val="Tableboldblue"/>
              <w:spacing w:before="40" w:after="40"/>
              <w:rPr>
                <w:rFonts w:eastAsia="Calibri"/>
              </w:rPr>
            </w:pPr>
            <w:r w:rsidRPr="002A3CBE">
              <w:rPr>
                <w:rFonts w:eastAsia="Calibri"/>
              </w:rPr>
              <w:t>Net emissions (kt CO</w:t>
            </w:r>
            <w:r w:rsidRPr="002A3CBE">
              <w:rPr>
                <w:rFonts w:eastAsia="Calibri"/>
                <w:vertAlign w:val="subscript"/>
              </w:rPr>
              <w:t>2</w:t>
            </w:r>
            <w:r w:rsidRPr="002A3CBE">
              <w:rPr>
                <w:rFonts w:eastAsia="Calibri"/>
              </w:rPr>
              <w:t>e)</w:t>
            </w:r>
          </w:p>
        </w:tc>
        <w:tc>
          <w:tcPr>
            <w:tcW w:w="1418" w:type="dxa"/>
            <w:shd w:val="clear" w:color="auto" w:fill="FFFFFF"/>
            <w:tcMar>
              <w:top w:w="0" w:type="dxa"/>
              <w:left w:w="85" w:type="dxa"/>
              <w:bottom w:w="0" w:type="dxa"/>
              <w:right w:w="85" w:type="dxa"/>
            </w:tcMar>
            <w:vAlign w:val="center"/>
          </w:tcPr>
          <w:p w14:paraId="06E1E3B5" w14:textId="77777777" w:rsidR="00447423" w:rsidRPr="002A3CBE" w:rsidRDefault="00447423" w:rsidP="00F16E23">
            <w:pPr>
              <w:pStyle w:val="Tableboldblue"/>
              <w:spacing w:before="40" w:after="40"/>
              <w:rPr>
                <w:rFonts w:eastAsia="Calibri"/>
              </w:rPr>
            </w:pPr>
          </w:p>
        </w:tc>
        <w:tc>
          <w:tcPr>
            <w:tcW w:w="1559" w:type="dxa"/>
            <w:shd w:val="clear" w:color="auto" w:fill="FFFFFF"/>
            <w:tcMar>
              <w:top w:w="0" w:type="dxa"/>
              <w:left w:w="85" w:type="dxa"/>
              <w:bottom w:w="0" w:type="dxa"/>
              <w:right w:w="85" w:type="dxa"/>
            </w:tcMar>
            <w:vAlign w:val="center"/>
          </w:tcPr>
          <w:p w14:paraId="22E9576B" w14:textId="77777777" w:rsidR="00447423" w:rsidRPr="002A3CBE" w:rsidRDefault="00447423" w:rsidP="00F16E23">
            <w:pPr>
              <w:pStyle w:val="Tableboldblue"/>
              <w:spacing w:before="40" w:after="40"/>
              <w:rPr>
                <w:rFonts w:eastAsia="Calibri"/>
              </w:rPr>
            </w:pPr>
          </w:p>
        </w:tc>
        <w:tc>
          <w:tcPr>
            <w:tcW w:w="2551" w:type="dxa"/>
            <w:shd w:val="clear" w:color="auto" w:fill="FFFFFF"/>
            <w:tcMar>
              <w:top w:w="0" w:type="dxa"/>
              <w:left w:w="85" w:type="dxa"/>
              <w:bottom w:w="0" w:type="dxa"/>
              <w:right w:w="85" w:type="dxa"/>
            </w:tcMar>
            <w:vAlign w:val="center"/>
          </w:tcPr>
          <w:p w14:paraId="6CCB7457" w14:textId="77777777" w:rsidR="00447423" w:rsidRPr="002A3CBE" w:rsidRDefault="00447423" w:rsidP="00F16E23">
            <w:pPr>
              <w:pStyle w:val="Tableboldblue"/>
              <w:spacing w:before="40" w:after="40"/>
              <w:rPr>
                <w:rFonts w:eastAsia="Calibri"/>
              </w:rPr>
            </w:pPr>
          </w:p>
        </w:tc>
        <w:tc>
          <w:tcPr>
            <w:tcW w:w="1134" w:type="dxa"/>
            <w:shd w:val="clear" w:color="auto" w:fill="FFFFFF"/>
            <w:tcMar>
              <w:top w:w="0" w:type="dxa"/>
              <w:left w:w="85" w:type="dxa"/>
              <w:bottom w:w="0" w:type="dxa"/>
              <w:right w:w="85" w:type="dxa"/>
            </w:tcMar>
            <w:vAlign w:val="center"/>
          </w:tcPr>
          <w:p w14:paraId="543B30F4" w14:textId="77777777" w:rsidR="00447423" w:rsidRPr="002A3CBE" w:rsidRDefault="00447423" w:rsidP="00F16E23">
            <w:pPr>
              <w:pStyle w:val="Tableboldblue"/>
              <w:spacing w:before="40" w:after="40"/>
              <w:rPr>
                <w:rFonts w:eastAsia="Calibri"/>
              </w:rPr>
            </w:pPr>
          </w:p>
        </w:tc>
      </w:tr>
      <w:tr w:rsidR="00447423" w:rsidRPr="002A3CBE" w14:paraId="63613F83" w14:textId="77777777" w:rsidTr="00F16E23">
        <w:tc>
          <w:tcPr>
            <w:tcW w:w="1843" w:type="dxa"/>
            <w:shd w:val="clear" w:color="auto" w:fill="FFFFFF"/>
            <w:tcMar>
              <w:top w:w="0" w:type="dxa"/>
              <w:left w:w="85" w:type="dxa"/>
              <w:bottom w:w="0" w:type="dxa"/>
              <w:right w:w="85" w:type="dxa"/>
            </w:tcMar>
            <w:vAlign w:val="center"/>
          </w:tcPr>
          <w:p w14:paraId="791E96AD" w14:textId="77777777" w:rsidR="00447423" w:rsidRPr="002A3CBE" w:rsidRDefault="00447423" w:rsidP="00F16E23">
            <w:pPr>
              <w:pStyle w:val="TableText"/>
              <w:spacing w:before="40" w:after="40"/>
              <w:rPr>
                <w:rFonts w:eastAsia="Calibri"/>
              </w:rPr>
            </w:pPr>
            <w:r w:rsidRPr="002A3CBE">
              <w:rPr>
                <w:rFonts w:eastAsia="Calibri"/>
              </w:rPr>
              <w:t>1990</w:t>
            </w:r>
          </w:p>
        </w:tc>
        <w:tc>
          <w:tcPr>
            <w:tcW w:w="1418" w:type="dxa"/>
            <w:shd w:val="clear" w:color="auto" w:fill="FFFFFF"/>
            <w:tcMar>
              <w:top w:w="0" w:type="dxa"/>
              <w:left w:w="85" w:type="dxa"/>
              <w:bottom w:w="0" w:type="dxa"/>
              <w:right w:w="85" w:type="dxa"/>
            </w:tcMar>
            <w:vAlign w:val="center"/>
          </w:tcPr>
          <w:p w14:paraId="25876B0D" w14:textId="77777777" w:rsidR="00447423" w:rsidRPr="002A3CBE" w:rsidRDefault="00447423" w:rsidP="00F16E23">
            <w:pPr>
              <w:pStyle w:val="TableText"/>
              <w:spacing w:before="40" w:after="40"/>
              <w:jc w:val="right"/>
              <w:rPr>
                <w:rFonts w:eastAsia="Calibri"/>
              </w:rPr>
            </w:pPr>
            <w:r w:rsidRPr="002A3CBE">
              <w:rPr>
                <w:rFonts w:eastAsia="Calibri"/>
              </w:rPr>
              <w:t>819.9</w:t>
            </w:r>
          </w:p>
        </w:tc>
        <w:tc>
          <w:tcPr>
            <w:tcW w:w="1559" w:type="dxa"/>
            <w:shd w:val="clear" w:color="auto" w:fill="FFFFFF"/>
            <w:tcMar>
              <w:top w:w="0" w:type="dxa"/>
              <w:left w:w="85" w:type="dxa"/>
              <w:bottom w:w="0" w:type="dxa"/>
              <w:right w:w="85" w:type="dxa"/>
            </w:tcMar>
            <w:vAlign w:val="center"/>
          </w:tcPr>
          <w:p w14:paraId="5722A378" w14:textId="77777777" w:rsidR="00447423" w:rsidRPr="002A3CBE" w:rsidRDefault="00447423" w:rsidP="00F16E23">
            <w:pPr>
              <w:pStyle w:val="TableText"/>
              <w:spacing w:before="40" w:after="40"/>
              <w:jc w:val="right"/>
              <w:rPr>
                <w:rFonts w:eastAsia="Calibri"/>
              </w:rPr>
            </w:pPr>
            <w:r w:rsidRPr="002A3CBE">
              <w:rPr>
                <w:rFonts w:eastAsia="Calibri"/>
              </w:rPr>
              <w:t>1,990.1</w:t>
            </w:r>
          </w:p>
        </w:tc>
        <w:tc>
          <w:tcPr>
            <w:tcW w:w="2551" w:type="dxa"/>
            <w:shd w:val="clear" w:color="auto" w:fill="FFFFFF"/>
            <w:tcMar>
              <w:top w:w="0" w:type="dxa"/>
              <w:left w:w="85" w:type="dxa"/>
              <w:bottom w:w="0" w:type="dxa"/>
              <w:right w:w="85" w:type="dxa"/>
            </w:tcMar>
            <w:vAlign w:val="center"/>
          </w:tcPr>
          <w:p w14:paraId="66E612F3" w14:textId="77777777" w:rsidR="00447423" w:rsidRPr="002A3CBE" w:rsidRDefault="00447423" w:rsidP="00F16E23">
            <w:pPr>
              <w:pStyle w:val="TableText"/>
              <w:spacing w:before="40" w:after="40"/>
              <w:jc w:val="right"/>
              <w:rPr>
                <w:rFonts w:eastAsia="Calibri"/>
              </w:rPr>
            </w:pPr>
            <w:r w:rsidRPr="002A3CBE">
              <w:rPr>
                <w:rFonts w:eastAsia="Calibri"/>
              </w:rPr>
              <w:t>1,170.2</w:t>
            </w:r>
          </w:p>
        </w:tc>
        <w:tc>
          <w:tcPr>
            <w:tcW w:w="1134" w:type="dxa"/>
            <w:shd w:val="clear" w:color="auto" w:fill="FFFFFF"/>
            <w:tcMar>
              <w:top w:w="0" w:type="dxa"/>
              <w:left w:w="85" w:type="dxa"/>
              <w:bottom w:w="0" w:type="dxa"/>
              <w:right w:w="85" w:type="dxa"/>
            </w:tcMar>
            <w:vAlign w:val="center"/>
          </w:tcPr>
          <w:p w14:paraId="2371E4BF" w14:textId="77777777" w:rsidR="00447423" w:rsidRPr="002A3CBE" w:rsidRDefault="00447423" w:rsidP="00F16E23">
            <w:pPr>
              <w:pStyle w:val="TableText"/>
              <w:spacing w:before="40" w:after="40"/>
              <w:jc w:val="right"/>
              <w:rPr>
                <w:rFonts w:eastAsia="Calibri"/>
              </w:rPr>
            </w:pPr>
            <w:r w:rsidRPr="002A3CBE">
              <w:rPr>
                <w:rFonts w:eastAsia="Calibri"/>
              </w:rPr>
              <w:t>142.7</w:t>
            </w:r>
          </w:p>
        </w:tc>
      </w:tr>
      <w:tr w:rsidR="00447423" w:rsidRPr="002A3CBE" w14:paraId="4A5F56A5" w14:textId="77777777" w:rsidTr="00F16E23">
        <w:tc>
          <w:tcPr>
            <w:tcW w:w="1843" w:type="dxa"/>
            <w:shd w:val="clear" w:color="auto" w:fill="FFFFFF"/>
            <w:tcMar>
              <w:top w:w="0" w:type="dxa"/>
              <w:left w:w="85" w:type="dxa"/>
              <w:bottom w:w="0" w:type="dxa"/>
              <w:right w:w="85" w:type="dxa"/>
            </w:tcMar>
            <w:vAlign w:val="center"/>
          </w:tcPr>
          <w:p w14:paraId="24CE7369" w14:textId="77777777" w:rsidR="00447423" w:rsidRPr="002A3CBE" w:rsidRDefault="00447423" w:rsidP="00F16E23">
            <w:pPr>
              <w:pStyle w:val="TableText"/>
              <w:spacing w:before="40" w:after="40"/>
              <w:rPr>
                <w:rFonts w:eastAsia="Calibri"/>
              </w:rPr>
            </w:pPr>
            <w:r w:rsidRPr="002A3CBE">
              <w:rPr>
                <w:rFonts w:eastAsia="Calibri"/>
              </w:rPr>
              <w:t>2023</w:t>
            </w:r>
          </w:p>
        </w:tc>
        <w:tc>
          <w:tcPr>
            <w:tcW w:w="1418" w:type="dxa"/>
            <w:shd w:val="clear" w:color="auto" w:fill="FFFFFF"/>
            <w:tcMar>
              <w:top w:w="0" w:type="dxa"/>
              <w:left w:w="85" w:type="dxa"/>
              <w:bottom w:w="0" w:type="dxa"/>
              <w:right w:w="85" w:type="dxa"/>
            </w:tcMar>
            <w:vAlign w:val="center"/>
          </w:tcPr>
          <w:p w14:paraId="1F2E4F6D" w14:textId="77777777" w:rsidR="00447423" w:rsidRPr="002A3CBE" w:rsidRDefault="00447423" w:rsidP="00F16E23">
            <w:pPr>
              <w:pStyle w:val="TableText"/>
              <w:spacing w:before="40" w:after="40"/>
              <w:jc w:val="right"/>
              <w:rPr>
                <w:rFonts w:eastAsia="Calibri"/>
              </w:rPr>
            </w:pPr>
            <w:r w:rsidRPr="002A3CBE">
              <w:rPr>
                <w:rFonts w:eastAsia="Calibri"/>
              </w:rPr>
              <w:t>2,884.2</w:t>
            </w:r>
          </w:p>
        </w:tc>
        <w:tc>
          <w:tcPr>
            <w:tcW w:w="1559" w:type="dxa"/>
            <w:shd w:val="clear" w:color="auto" w:fill="FFFFFF"/>
            <w:tcMar>
              <w:top w:w="0" w:type="dxa"/>
              <w:left w:w="85" w:type="dxa"/>
              <w:bottom w:w="0" w:type="dxa"/>
              <w:right w:w="85" w:type="dxa"/>
            </w:tcMar>
            <w:vAlign w:val="center"/>
          </w:tcPr>
          <w:p w14:paraId="4EA9B8A0" w14:textId="77777777" w:rsidR="00447423" w:rsidRPr="002A3CBE" w:rsidRDefault="00447423" w:rsidP="00F16E23">
            <w:pPr>
              <w:pStyle w:val="TableText"/>
              <w:spacing w:before="40" w:after="40"/>
              <w:jc w:val="right"/>
              <w:rPr>
                <w:rFonts w:eastAsia="Calibri"/>
              </w:rPr>
            </w:pPr>
            <w:r w:rsidRPr="002A3CBE">
              <w:rPr>
                <w:rFonts w:eastAsia="Calibri"/>
              </w:rPr>
              <w:t>3,014.0</w:t>
            </w:r>
          </w:p>
        </w:tc>
        <w:tc>
          <w:tcPr>
            <w:tcW w:w="2551" w:type="dxa"/>
            <w:shd w:val="clear" w:color="auto" w:fill="FFFFFF"/>
            <w:tcMar>
              <w:top w:w="0" w:type="dxa"/>
              <w:left w:w="85" w:type="dxa"/>
              <w:bottom w:w="0" w:type="dxa"/>
              <w:right w:w="85" w:type="dxa"/>
            </w:tcMar>
            <w:vAlign w:val="center"/>
          </w:tcPr>
          <w:p w14:paraId="601CBC86" w14:textId="77777777" w:rsidR="00447423" w:rsidRPr="002A3CBE" w:rsidRDefault="00447423" w:rsidP="00F16E23">
            <w:pPr>
              <w:pStyle w:val="TableText"/>
              <w:spacing w:before="40" w:after="40"/>
              <w:jc w:val="right"/>
              <w:rPr>
                <w:rFonts w:eastAsia="Calibri"/>
              </w:rPr>
            </w:pPr>
            <w:r w:rsidRPr="002A3CBE">
              <w:rPr>
                <w:rFonts w:eastAsia="Calibri"/>
              </w:rPr>
              <w:t>129.8</w:t>
            </w:r>
          </w:p>
        </w:tc>
        <w:tc>
          <w:tcPr>
            <w:tcW w:w="1134" w:type="dxa"/>
            <w:shd w:val="clear" w:color="auto" w:fill="FFFFFF"/>
            <w:tcMar>
              <w:top w:w="0" w:type="dxa"/>
              <w:left w:w="85" w:type="dxa"/>
              <w:bottom w:w="0" w:type="dxa"/>
              <w:right w:w="85" w:type="dxa"/>
            </w:tcMar>
            <w:vAlign w:val="center"/>
          </w:tcPr>
          <w:p w14:paraId="497937D2" w14:textId="77777777" w:rsidR="00447423" w:rsidRPr="002A3CBE" w:rsidRDefault="00447423" w:rsidP="00F16E23">
            <w:pPr>
              <w:pStyle w:val="TableText"/>
              <w:spacing w:before="40" w:after="40"/>
              <w:jc w:val="right"/>
              <w:rPr>
                <w:rFonts w:eastAsia="Calibri"/>
              </w:rPr>
            </w:pPr>
            <w:r w:rsidRPr="002A3CBE">
              <w:rPr>
                <w:rFonts w:eastAsia="Calibri"/>
              </w:rPr>
              <w:t>4.5</w:t>
            </w:r>
          </w:p>
        </w:tc>
      </w:tr>
      <w:tr w:rsidR="00447423" w:rsidRPr="002A3CBE" w14:paraId="3985FDD9" w14:textId="77777777" w:rsidTr="00F16E23">
        <w:tc>
          <w:tcPr>
            <w:tcW w:w="1843" w:type="dxa"/>
            <w:shd w:val="clear" w:color="auto" w:fill="FFFFFF"/>
            <w:tcMar>
              <w:top w:w="0" w:type="dxa"/>
              <w:left w:w="85" w:type="dxa"/>
              <w:bottom w:w="0" w:type="dxa"/>
              <w:right w:w="85" w:type="dxa"/>
            </w:tcMar>
            <w:vAlign w:val="center"/>
          </w:tcPr>
          <w:p w14:paraId="468BCC3C" w14:textId="77777777" w:rsidR="00447423" w:rsidRPr="002A3CBE" w:rsidRDefault="00447423" w:rsidP="00F16E23">
            <w:pPr>
              <w:pStyle w:val="Tableboldblue"/>
              <w:spacing w:before="40" w:after="40"/>
              <w:rPr>
                <w:rFonts w:eastAsia="Calibri"/>
              </w:rPr>
            </w:pPr>
            <w:r w:rsidRPr="002A3CBE">
              <w:rPr>
                <w:rFonts w:eastAsia="Calibri"/>
              </w:rPr>
              <w:t>Area (hectares)</w:t>
            </w:r>
          </w:p>
        </w:tc>
        <w:tc>
          <w:tcPr>
            <w:tcW w:w="1418" w:type="dxa"/>
            <w:shd w:val="clear" w:color="auto" w:fill="FFFFFF"/>
            <w:tcMar>
              <w:top w:w="0" w:type="dxa"/>
              <w:left w:w="85" w:type="dxa"/>
              <w:bottom w:w="0" w:type="dxa"/>
              <w:right w:w="85" w:type="dxa"/>
            </w:tcMar>
            <w:vAlign w:val="center"/>
          </w:tcPr>
          <w:p w14:paraId="7C2700E5" w14:textId="77777777" w:rsidR="00447423" w:rsidRPr="002A3CBE" w:rsidRDefault="00447423" w:rsidP="00F16E23">
            <w:pPr>
              <w:pStyle w:val="Tableboldblue"/>
              <w:spacing w:before="40" w:after="40"/>
              <w:rPr>
                <w:rFonts w:eastAsia="Calibri"/>
              </w:rPr>
            </w:pPr>
          </w:p>
        </w:tc>
        <w:tc>
          <w:tcPr>
            <w:tcW w:w="1559" w:type="dxa"/>
            <w:shd w:val="clear" w:color="auto" w:fill="FFFFFF"/>
            <w:tcMar>
              <w:top w:w="0" w:type="dxa"/>
              <w:left w:w="85" w:type="dxa"/>
              <w:bottom w:w="0" w:type="dxa"/>
              <w:right w:w="85" w:type="dxa"/>
            </w:tcMar>
            <w:vAlign w:val="center"/>
          </w:tcPr>
          <w:p w14:paraId="7F5A4EFE" w14:textId="77777777" w:rsidR="00447423" w:rsidRPr="002A3CBE" w:rsidRDefault="00447423" w:rsidP="00F16E23">
            <w:pPr>
              <w:pStyle w:val="Tableboldblue"/>
              <w:spacing w:before="40" w:after="40"/>
              <w:rPr>
                <w:rFonts w:eastAsia="Calibri"/>
              </w:rPr>
            </w:pPr>
          </w:p>
        </w:tc>
        <w:tc>
          <w:tcPr>
            <w:tcW w:w="2551" w:type="dxa"/>
            <w:shd w:val="clear" w:color="auto" w:fill="FFFFFF"/>
            <w:tcMar>
              <w:top w:w="0" w:type="dxa"/>
              <w:left w:w="85" w:type="dxa"/>
              <w:bottom w:w="0" w:type="dxa"/>
              <w:right w:w="85" w:type="dxa"/>
            </w:tcMar>
            <w:vAlign w:val="center"/>
          </w:tcPr>
          <w:p w14:paraId="46956594" w14:textId="77777777" w:rsidR="00447423" w:rsidRPr="002A3CBE" w:rsidRDefault="00447423" w:rsidP="00F16E23">
            <w:pPr>
              <w:pStyle w:val="Tableboldblue"/>
              <w:spacing w:before="40" w:after="40"/>
              <w:rPr>
                <w:rFonts w:eastAsia="Calibri"/>
              </w:rPr>
            </w:pPr>
          </w:p>
        </w:tc>
        <w:tc>
          <w:tcPr>
            <w:tcW w:w="1134" w:type="dxa"/>
            <w:shd w:val="clear" w:color="auto" w:fill="FFFFFF"/>
            <w:tcMar>
              <w:top w:w="0" w:type="dxa"/>
              <w:left w:w="85" w:type="dxa"/>
              <w:bottom w:w="0" w:type="dxa"/>
              <w:right w:w="85" w:type="dxa"/>
            </w:tcMar>
            <w:vAlign w:val="center"/>
          </w:tcPr>
          <w:p w14:paraId="6C66A99E" w14:textId="77777777" w:rsidR="00447423" w:rsidRPr="002A3CBE" w:rsidRDefault="00447423" w:rsidP="00F16E23">
            <w:pPr>
              <w:pStyle w:val="Tableboldblue"/>
              <w:spacing w:before="40" w:after="40"/>
              <w:rPr>
                <w:rFonts w:eastAsia="Calibri"/>
              </w:rPr>
            </w:pPr>
          </w:p>
        </w:tc>
      </w:tr>
      <w:tr w:rsidR="00447423" w:rsidRPr="002A3CBE" w14:paraId="7E629462" w14:textId="77777777" w:rsidTr="00F16E23">
        <w:tc>
          <w:tcPr>
            <w:tcW w:w="1843" w:type="dxa"/>
            <w:shd w:val="clear" w:color="auto" w:fill="FFFFFF"/>
            <w:tcMar>
              <w:top w:w="0" w:type="dxa"/>
              <w:left w:w="85" w:type="dxa"/>
              <w:bottom w:w="0" w:type="dxa"/>
              <w:right w:w="85" w:type="dxa"/>
            </w:tcMar>
            <w:vAlign w:val="center"/>
          </w:tcPr>
          <w:p w14:paraId="64683397" w14:textId="77777777" w:rsidR="00447423" w:rsidRPr="002A3CBE" w:rsidRDefault="00447423" w:rsidP="00F16E23">
            <w:pPr>
              <w:pStyle w:val="TableText"/>
              <w:spacing w:before="40" w:after="40"/>
              <w:rPr>
                <w:rFonts w:eastAsia="Calibri"/>
              </w:rPr>
            </w:pPr>
            <w:r w:rsidRPr="002A3CBE">
              <w:rPr>
                <w:rFonts w:eastAsia="Calibri"/>
              </w:rPr>
              <w:t>1990</w:t>
            </w:r>
          </w:p>
        </w:tc>
        <w:tc>
          <w:tcPr>
            <w:tcW w:w="1418" w:type="dxa"/>
            <w:shd w:val="clear" w:color="auto" w:fill="FFFFFF"/>
            <w:tcMar>
              <w:top w:w="0" w:type="dxa"/>
              <w:left w:w="85" w:type="dxa"/>
              <w:bottom w:w="0" w:type="dxa"/>
              <w:right w:w="85" w:type="dxa"/>
            </w:tcMar>
            <w:vAlign w:val="center"/>
          </w:tcPr>
          <w:p w14:paraId="0C9005D2" w14:textId="77777777" w:rsidR="00447423" w:rsidRPr="002A3CBE" w:rsidRDefault="00447423" w:rsidP="00F16E23">
            <w:pPr>
              <w:pStyle w:val="TableText"/>
              <w:spacing w:before="40" w:after="40"/>
              <w:jc w:val="right"/>
              <w:rPr>
                <w:rFonts w:eastAsia="Calibri"/>
              </w:rPr>
            </w:pPr>
            <w:r w:rsidRPr="002A3CBE">
              <w:rPr>
                <w:rFonts w:eastAsia="Calibri"/>
              </w:rPr>
              <w:t>15,239,673</w:t>
            </w:r>
          </w:p>
        </w:tc>
        <w:tc>
          <w:tcPr>
            <w:tcW w:w="1559" w:type="dxa"/>
            <w:shd w:val="clear" w:color="auto" w:fill="FFFFFF"/>
            <w:tcMar>
              <w:top w:w="0" w:type="dxa"/>
              <w:left w:w="85" w:type="dxa"/>
              <w:bottom w:w="0" w:type="dxa"/>
              <w:right w:w="85" w:type="dxa"/>
            </w:tcMar>
            <w:vAlign w:val="center"/>
          </w:tcPr>
          <w:p w14:paraId="0C3BF43A" w14:textId="77777777" w:rsidR="00447423" w:rsidRPr="002A3CBE" w:rsidRDefault="00447423" w:rsidP="00F16E23">
            <w:pPr>
              <w:pStyle w:val="TableText"/>
              <w:spacing w:before="40" w:after="40"/>
              <w:jc w:val="right"/>
              <w:rPr>
                <w:rFonts w:eastAsia="Calibri"/>
              </w:rPr>
            </w:pPr>
            <w:r w:rsidRPr="002A3CBE">
              <w:rPr>
                <w:rFonts w:eastAsia="Calibri"/>
              </w:rPr>
              <w:t>15,239,672</w:t>
            </w:r>
          </w:p>
        </w:tc>
        <w:tc>
          <w:tcPr>
            <w:tcW w:w="2551" w:type="dxa"/>
            <w:shd w:val="clear" w:color="auto" w:fill="FFFFFF"/>
            <w:tcMar>
              <w:top w:w="0" w:type="dxa"/>
              <w:left w:w="85" w:type="dxa"/>
              <w:bottom w:w="0" w:type="dxa"/>
              <w:right w:w="85" w:type="dxa"/>
            </w:tcMar>
            <w:vAlign w:val="center"/>
          </w:tcPr>
          <w:p w14:paraId="73150B9E" w14:textId="77777777" w:rsidR="00447423" w:rsidRPr="002A3CBE" w:rsidRDefault="00447423" w:rsidP="00F16E23">
            <w:pPr>
              <w:pStyle w:val="TableText"/>
              <w:spacing w:before="40" w:after="40"/>
              <w:jc w:val="right"/>
              <w:rPr>
                <w:rFonts w:eastAsia="Calibri"/>
              </w:rPr>
            </w:pPr>
            <w:r w:rsidRPr="002A3CBE">
              <w:rPr>
                <w:rFonts w:eastAsia="Calibri"/>
              </w:rPr>
              <w:t>-1</w:t>
            </w:r>
          </w:p>
        </w:tc>
        <w:tc>
          <w:tcPr>
            <w:tcW w:w="1134" w:type="dxa"/>
            <w:shd w:val="clear" w:color="auto" w:fill="FFFFFF"/>
            <w:tcMar>
              <w:top w:w="0" w:type="dxa"/>
              <w:left w:w="85" w:type="dxa"/>
              <w:bottom w:w="0" w:type="dxa"/>
              <w:right w:w="85" w:type="dxa"/>
            </w:tcMar>
            <w:vAlign w:val="center"/>
          </w:tcPr>
          <w:p w14:paraId="096B8F3C" w14:textId="77777777" w:rsidR="00447423" w:rsidRPr="002A3CBE" w:rsidRDefault="00447423" w:rsidP="00F16E23">
            <w:pPr>
              <w:pStyle w:val="TableText"/>
              <w:spacing w:before="40" w:after="40"/>
              <w:jc w:val="right"/>
              <w:rPr>
                <w:rFonts w:eastAsia="Calibri"/>
              </w:rPr>
            </w:pPr>
            <w:r w:rsidRPr="002A3CBE">
              <w:rPr>
                <w:rFonts w:eastAsia="Calibri"/>
              </w:rPr>
              <w:t>-0.0</w:t>
            </w:r>
          </w:p>
        </w:tc>
      </w:tr>
      <w:tr w:rsidR="00447423" w:rsidRPr="002A3CBE" w14:paraId="6B164D49" w14:textId="77777777" w:rsidTr="00F16E23">
        <w:tc>
          <w:tcPr>
            <w:tcW w:w="1843" w:type="dxa"/>
            <w:shd w:val="clear" w:color="auto" w:fill="FFFFFF"/>
            <w:tcMar>
              <w:top w:w="0" w:type="dxa"/>
              <w:left w:w="85" w:type="dxa"/>
              <w:bottom w:w="0" w:type="dxa"/>
              <w:right w:w="85" w:type="dxa"/>
            </w:tcMar>
            <w:vAlign w:val="center"/>
          </w:tcPr>
          <w:p w14:paraId="26E37E85" w14:textId="77777777" w:rsidR="00447423" w:rsidRPr="002A3CBE" w:rsidRDefault="00447423" w:rsidP="00F16E23">
            <w:pPr>
              <w:pStyle w:val="TableText"/>
              <w:spacing w:before="40" w:after="40"/>
              <w:rPr>
                <w:rFonts w:eastAsia="Calibri"/>
              </w:rPr>
            </w:pPr>
            <w:r w:rsidRPr="002A3CBE">
              <w:rPr>
                <w:rFonts w:eastAsia="Calibri"/>
              </w:rPr>
              <w:t>2023</w:t>
            </w:r>
          </w:p>
        </w:tc>
        <w:tc>
          <w:tcPr>
            <w:tcW w:w="1418" w:type="dxa"/>
            <w:shd w:val="clear" w:color="auto" w:fill="FFFFFF"/>
            <w:tcMar>
              <w:top w:w="0" w:type="dxa"/>
              <w:left w:w="85" w:type="dxa"/>
              <w:bottom w:w="0" w:type="dxa"/>
              <w:right w:w="85" w:type="dxa"/>
            </w:tcMar>
            <w:vAlign w:val="center"/>
          </w:tcPr>
          <w:p w14:paraId="0079852B" w14:textId="77777777" w:rsidR="00447423" w:rsidRPr="002A3CBE" w:rsidRDefault="00447423" w:rsidP="00F16E23">
            <w:pPr>
              <w:pStyle w:val="TableText"/>
              <w:spacing w:before="40" w:after="40"/>
              <w:jc w:val="right"/>
              <w:rPr>
                <w:rFonts w:eastAsia="Calibri"/>
              </w:rPr>
            </w:pPr>
            <w:r w:rsidRPr="002A3CBE">
              <w:rPr>
                <w:rFonts w:eastAsia="Calibri"/>
              </w:rPr>
              <w:t>14,333,242</w:t>
            </w:r>
          </w:p>
        </w:tc>
        <w:tc>
          <w:tcPr>
            <w:tcW w:w="1559" w:type="dxa"/>
            <w:shd w:val="clear" w:color="auto" w:fill="FFFFFF"/>
            <w:tcMar>
              <w:top w:w="0" w:type="dxa"/>
              <w:left w:w="85" w:type="dxa"/>
              <w:bottom w:w="0" w:type="dxa"/>
              <w:right w:w="85" w:type="dxa"/>
            </w:tcMar>
            <w:vAlign w:val="center"/>
          </w:tcPr>
          <w:p w14:paraId="50F675B9" w14:textId="77777777" w:rsidR="00447423" w:rsidRPr="002A3CBE" w:rsidRDefault="00447423" w:rsidP="00F16E23">
            <w:pPr>
              <w:pStyle w:val="TableText"/>
              <w:spacing w:before="40" w:after="40"/>
              <w:jc w:val="right"/>
              <w:rPr>
                <w:rFonts w:eastAsia="Calibri"/>
              </w:rPr>
            </w:pPr>
            <w:r w:rsidRPr="002A3CBE">
              <w:rPr>
                <w:rFonts w:eastAsia="Calibri"/>
              </w:rPr>
              <w:t>14,324,696</w:t>
            </w:r>
          </w:p>
        </w:tc>
        <w:tc>
          <w:tcPr>
            <w:tcW w:w="2551" w:type="dxa"/>
            <w:shd w:val="clear" w:color="auto" w:fill="FFFFFF"/>
            <w:tcMar>
              <w:top w:w="0" w:type="dxa"/>
              <w:left w:w="85" w:type="dxa"/>
              <w:bottom w:w="0" w:type="dxa"/>
              <w:right w:w="85" w:type="dxa"/>
            </w:tcMar>
            <w:vAlign w:val="center"/>
          </w:tcPr>
          <w:p w14:paraId="1A0F0F68" w14:textId="77777777" w:rsidR="00447423" w:rsidRPr="002A3CBE" w:rsidRDefault="00447423" w:rsidP="00F16E23">
            <w:pPr>
              <w:pStyle w:val="TableText"/>
              <w:spacing w:before="40" w:after="40"/>
              <w:jc w:val="right"/>
              <w:rPr>
                <w:rFonts w:eastAsia="Calibri"/>
              </w:rPr>
            </w:pPr>
            <w:r w:rsidRPr="002A3CBE">
              <w:rPr>
                <w:rFonts w:eastAsia="Calibri"/>
              </w:rPr>
              <w:t>-8,546</w:t>
            </w:r>
          </w:p>
        </w:tc>
        <w:tc>
          <w:tcPr>
            <w:tcW w:w="1134" w:type="dxa"/>
            <w:shd w:val="clear" w:color="auto" w:fill="FFFFFF"/>
            <w:tcMar>
              <w:top w:w="0" w:type="dxa"/>
              <w:left w:w="85" w:type="dxa"/>
              <w:bottom w:w="0" w:type="dxa"/>
              <w:right w:w="85" w:type="dxa"/>
            </w:tcMar>
            <w:vAlign w:val="center"/>
          </w:tcPr>
          <w:p w14:paraId="4ECEB583" w14:textId="77777777" w:rsidR="00447423" w:rsidRPr="002A3CBE" w:rsidRDefault="00447423" w:rsidP="00F16E23">
            <w:pPr>
              <w:pStyle w:val="TableText"/>
              <w:spacing w:before="40" w:after="40"/>
              <w:jc w:val="right"/>
              <w:rPr>
                <w:rFonts w:eastAsia="Calibri"/>
              </w:rPr>
            </w:pPr>
            <w:r w:rsidRPr="002A3CBE">
              <w:rPr>
                <w:rFonts w:eastAsia="Calibri"/>
              </w:rPr>
              <w:t>-0.1</w:t>
            </w:r>
          </w:p>
        </w:tc>
      </w:tr>
    </w:tbl>
    <w:p w14:paraId="519FDC89" w14:textId="77777777" w:rsidR="00447423" w:rsidRPr="002A3CBE" w:rsidRDefault="00447423" w:rsidP="00447423">
      <w:pPr>
        <w:pStyle w:val="Heading3"/>
        <w:spacing w:before="400"/>
      </w:pPr>
      <w:bookmarkStart w:id="2584" w:name="_Toc255466413"/>
      <w:bookmarkStart w:id="2585" w:name="_Toc261513220"/>
      <w:bookmarkStart w:id="2586" w:name="_Toc261513833"/>
      <w:bookmarkStart w:id="2587" w:name="_Toc280630305"/>
      <w:r w:rsidRPr="002A3CBE">
        <w:t>6.6.6</w:t>
      </w:r>
      <w:r w:rsidRPr="002A3CBE">
        <w:tab/>
        <w:t>Category-specific planned improvements</w:t>
      </w:r>
      <w:bookmarkEnd w:id="2561"/>
      <w:bookmarkEnd w:id="2584"/>
      <w:bookmarkEnd w:id="2585"/>
      <w:bookmarkEnd w:id="2586"/>
      <w:bookmarkEnd w:id="2587"/>
    </w:p>
    <w:p w14:paraId="7CDC46B6" w14:textId="77777777" w:rsidR="00447423" w:rsidRPr="002A3CBE" w:rsidRDefault="00447423" w:rsidP="00447423">
      <w:pPr>
        <w:pStyle w:val="BodyText"/>
        <w:spacing w:before="100" w:after="100"/>
      </w:pPr>
      <w:r w:rsidRPr="002A3CBE">
        <w:t xml:space="preserve">A longitudinal study on the impact of management practices on soil carbon stocks in </w:t>
      </w:r>
      <w:r w:rsidRPr="002A3CBE">
        <w:rPr>
          <w:i/>
          <w:iCs/>
        </w:rPr>
        <w:t>Grassland</w:t>
      </w:r>
      <w:r w:rsidRPr="002A3CBE">
        <w:t xml:space="preserve"> and </w:t>
      </w:r>
      <w:r w:rsidRPr="002A3CBE">
        <w:rPr>
          <w:i/>
          <w:iCs/>
        </w:rPr>
        <w:t>Cropland</w:t>
      </w:r>
      <w:r w:rsidRPr="002A3CBE">
        <w:t xml:space="preserve"> is under way, along with improvements to the Soil CMS. This is further described in section 6.5.6.</w:t>
      </w:r>
    </w:p>
    <w:p w14:paraId="2991B73E" w14:textId="77777777" w:rsidR="00447423" w:rsidRPr="002A3CBE" w:rsidRDefault="00447423" w:rsidP="00447423">
      <w:pPr>
        <w:pStyle w:val="Heading2"/>
        <w:spacing w:before="280"/>
      </w:pPr>
      <w:bookmarkStart w:id="2588" w:name="_Toc310423455"/>
      <w:bookmarkStart w:id="2589" w:name="_Toc342470721"/>
      <w:bookmarkStart w:id="2590" w:name="_Toc352504873"/>
      <w:bookmarkStart w:id="2591" w:name="_Toc391024703"/>
      <w:bookmarkStart w:id="2592" w:name="_Toc414531320"/>
      <w:bookmarkStart w:id="2593" w:name="_Toc474335462"/>
      <w:bookmarkStart w:id="2594" w:name="_Toc481751402"/>
      <w:bookmarkStart w:id="2595" w:name="_Toc522013954"/>
      <w:bookmarkStart w:id="2596" w:name="_Toc5269379"/>
      <w:bookmarkStart w:id="2597" w:name="_Toc36224419"/>
      <w:bookmarkStart w:id="2598" w:name="_Toc131591253"/>
      <w:bookmarkStart w:id="2599" w:name="_Toc158980300"/>
      <w:bookmarkStart w:id="2600" w:name="_Toc164154208"/>
      <w:bookmarkStart w:id="2601" w:name="_Toc194312033"/>
      <w:bookmarkStart w:id="2602" w:name="_Toc226460787"/>
      <w:r w:rsidRPr="002A3CBE">
        <w:t>6.7</w:t>
      </w:r>
      <w:r w:rsidRPr="002A3CBE">
        <w:tab/>
        <w:t>Wetlands (4D)</w:t>
      </w:r>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p>
    <w:p w14:paraId="562F9A91" w14:textId="77777777" w:rsidR="00447423" w:rsidRPr="002A3CBE" w:rsidRDefault="00447423" w:rsidP="00447423">
      <w:pPr>
        <w:pStyle w:val="Heading3"/>
        <w:spacing w:before="240"/>
      </w:pPr>
      <w:r w:rsidRPr="002A3CBE">
        <w:t>6.7.1</w:t>
      </w:r>
      <w:r w:rsidRPr="002A3CBE">
        <w:tab/>
        <w:t>Description</w:t>
      </w:r>
    </w:p>
    <w:p w14:paraId="7B498CBB" w14:textId="77777777" w:rsidR="00447423" w:rsidRPr="002A3CBE" w:rsidRDefault="00447423" w:rsidP="00447423">
      <w:pPr>
        <w:pStyle w:val="BodyText"/>
        <w:spacing w:before="100" w:after="100"/>
      </w:pPr>
      <w:r w:rsidRPr="002A3CBE">
        <w:t>In 2024, there were 5.8 kt CO</w:t>
      </w:r>
      <w:r w:rsidRPr="002A3CBE">
        <w:rPr>
          <w:vertAlign w:val="subscript"/>
        </w:rPr>
        <w:t>2</w:t>
      </w:r>
      <w:r w:rsidRPr="002A3CBE">
        <w:t xml:space="preserve">e net emissions from </w:t>
      </w:r>
      <w:r w:rsidRPr="002A3CBE">
        <w:rPr>
          <w:i/>
        </w:rPr>
        <w:t>Wetlands</w:t>
      </w:r>
      <w:r w:rsidRPr="002A3CBE">
        <w:t xml:space="preserve">, compared with net emissions of </w:t>
      </w:r>
      <w:r w:rsidRPr="002A3CBE">
        <w:noBreakHyphen/>
        <w:t>8.1 kt CO</w:t>
      </w:r>
      <w:r w:rsidRPr="002A3CBE">
        <w:rPr>
          <w:vertAlign w:val="subscript"/>
        </w:rPr>
        <w:t>2</w:t>
      </w:r>
      <w:r w:rsidRPr="002A3CBE">
        <w:t xml:space="preserve">e from </w:t>
      </w:r>
      <w:r w:rsidRPr="002A3CBE">
        <w:rPr>
          <w:i/>
        </w:rPr>
        <w:t>Wetlands</w:t>
      </w:r>
      <w:r w:rsidRPr="002A3CBE">
        <w:t xml:space="preserve"> in 1990 (table 6.7.1). This changing trend, from net remover in 1990 to net emitter in 2024, is due to a shift in land-use change patterns that has been observed since 1990, when compared with the changes that had occurred before 1990.</w:t>
      </w:r>
    </w:p>
    <w:p w14:paraId="4FA8DCE4" w14:textId="77777777" w:rsidR="00447423" w:rsidRPr="002A3CBE" w:rsidRDefault="00447423" w:rsidP="00447423">
      <w:pPr>
        <w:pStyle w:val="BodyText"/>
        <w:spacing w:before="100" w:after="100"/>
      </w:pPr>
      <w:r w:rsidRPr="002A3CBE">
        <w:t xml:space="preserve">As of 2024, there were 7,245 hectares in a state of conversion to </w:t>
      </w:r>
      <w:r w:rsidRPr="002A3CBE">
        <w:rPr>
          <w:i/>
        </w:rPr>
        <w:t>Wetlands</w:t>
      </w:r>
      <w:r w:rsidRPr="002A3CBE">
        <w:t xml:space="preserve"> (table 6.7.1). These lands have been converted to </w:t>
      </w:r>
      <w:r w:rsidRPr="002A3CBE">
        <w:rPr>
          <w:i/>
        </w:rPr>
        <w:t>Wetlands</w:t>
      </w:r>
      <w:r w:rsidRPr="002A3CBE">
        <w:t xml:space="preserve"> during the previous 20 years but have not yet reached steady state.</w:t>
      </w:r>
    </w:p>
    <w:p w14:paraId="1C2EF384" w14:textId="77777777" w:rsidR="00447423" w:rsidRPr="002A3CBE" w:rsidRDefault="00447423" w:rsidP="00447423">
      <w:pPr>
        <w:pStyle w:val="BodyText"/>
        <w:spacing w:before="100" w:after="100"/>
      </w:pPr>
      <w:r w:rsidRPr="002A3CBE">
        <w:t xml:space="preserve">Removals from the </w:t>
      </w:r>
      <w:r w:rsidRPr="002A3CBE">
        <w:rPr>
          <w:i/>
          <w:iCs/>
        </w:rPr>
        <w:t>Wetlands</w:t>
      </w:r>
      <w:r w:rsidRPr="002A3CBE">
        <w:t xml:space="preserve"> category are driven by increases to mineral soil carbon stocks following conversions to wetland (4.6 kt CO</w:t>
      </w:r>
      <w:r w:rsidRPr="002A3CBE">
        <w:rPr>
          <w:vertAlign w:val="subscript"/>
        </w:rPr>
        <w:t>2</w:t>
      </w:r>
      <w:r w:rsidRPr="002A3CBE">
        <w:t>e of removals in 2024 from mineral soils), while emissions are driven by the extraction of peat each year.</w:t>
      </w:r>
    </w:p>
    <w:p w14:paraId="5040DCE1" w14:textId="77777777" w:rsidR="00447423" w:rsidRPr="002A3CBE" w:rsidRDefault="00447423" w:rsidP="00447423">
      <w:pPr>
        <w:pStyle w:val="Table"/>
      </w:pPr>
      <w:bookmarkStart w:id="2603" w:name="_Toc342470784"/>
      <w:bookmarkStart w:id="2604" w:name="_Toc352505024"/>
      <w:bookmarkStart w:id="2605" w:name="_Toc378853313"/>
      <w:bookmarkStart w:id="2606" w:name="_Toc391024111"/>
      <w:bookmarkStart w:id="2607" w:name="_Toc410028854"/>
      <w:bookmarkStart w:id="2608" w:name="_Toc414531482"/>
      <w:bookmarkStart w:id="2609" w:name="_Toc443645395"/>
      <w:bookmarkStart w:id="2610" w:name="_Toc474914614"/>
      <w:bookmarkStart w:id="2611" w:name="_Toc481751578"/>
      <w:bookmarkStart w:id="2612" w:name="_Toc522010635"/>
      <w:bookmarkStart w:id="2613" w:name="_Toc5269540"/>
      <w:bookmarkStart w:id="2614" w:name="_Toc33529414"/>
      <w:bookmarkStart w:id="2615" w:name="_Toc36224620"/>
      <w:bookmarkStart w:id="2616" w:name="_Toc131591414"/>
      <w:bookmarkStart w:id="2617" w:name="_Toc158979972"/>
      <w:bookmarkStart w:id="2618" w:name="_Toc164153905"/>
      <w:bookmarkStart w:id="2619" w:name="_Toc190873139"/>
      <w:bookmarkStart w:id="2620" w:name="_Toc194241778"/>
      <w:bookmarkStart w:id="2621" w:name="_Toc222837929"/>
      <w:bookmarkStart w:id="2622" w:name="_Toc226669075"/>
      <w:r w:rsidRPr="002A3CBE">
        <w:t>Table 6.7.1</w:t>
      </w:r>
      <w:r w:rsidRPr="002A3CBE">
        <w:tab/>
        <w:t xml:space="preserve">New Zealand’s land-use change for the </w:t>
      </w:r>
      <w:r w:rsidRPr="002A3CBE">
        <w:rPr>
          <w:i/>
        </w:rPr>
        <w:t>Wetlands</w:t>
      </w:r>
      <w:r w:rsidRPr="002A3CBE">
        <w:t xml:space="preserve"> category, and associated</w:t>
      </w:r>
      <w:r w:rsidRPr="002A3CBE">
        <w:br/>
        <w:t>CO</w:t>
      </w:r>
      <w:r w:rsidRPr="002A3CBE">
        <w:rPr>
          <w:vertAlign w:val="subscript"/>
        </w:rPr>
        <w:t>2</w:t>
      </w:r>
      <w:r w:rsidRPr="002A3CBE">
        <w:t>e emissions</w:t>
      </w:r>
      <w:bookmarkEnd w:id="2603"/>
      <w:bookmarkEnd w:id="2604"/>
      <w:bookmarkEnd w:id="2605"/>
      <w:r w:rsidRPr="002A3CBE">
        <w:t xml:space="preserve">, in 1990 and </w:t>
      </w:r>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r w:rsidRPr="002A3CBE">
        <w:t>2024</w:t>
      </w:r>
      <w:bookmarkEnd w:id="2621"/>
      <w:bookmarkEnd w:id="2622"/>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33"/>
        <w:gridCol w:w="1014"/>
        <w:gridCol w:w="1014"/>
        <w:gridCol w:w="1127"/>
        <w:gridCol w:w="845"/>
        <w:gridCol w:w="845"/>
        <w:gridCol w:w="1127"/>
      </w:tblGrid>
      <w:tr w:rsidR="00447423" w:rsidRPr="002A3CBE" w14:paraId="2BF645D6" w14:textId="77777777" w:rsidTr="00F16E23">
        <w:trPr>
          <w:tblHeader/>
        </w:trPr>
        <w:tc>
          <w:tcPr>
            <w:tcW w:w="2551" w:type="dxa"/>
            <w:shd w:val="clear" w:color="auto" w:fill="1B556B"/>
            <w:tcMar>
              <w:top w:w="0" w:type="dxa"/>
              <w:left w:w="85" w:type="dxa"/>
              <w:bottom w:w="0" w:type="dxa"/>
              <w:right w:w="85" w:type="dxa"/>
            </w:tcMar>
            <w:vAlign w:val="center"/>
          </w:tcPr>
          <w:p w14:paraId="636679FB" w14:textId="77777777" w:rsidR="00447423" w:rsidRPr="002A3CBE" w:rsidRDefault="00447423" w:rsidP="00F16E23">
            <w:pPr>
              <w:pStyle w:val="TableTextBold"/>
              <w:spacing w:before="40" w:after="0"/>
              <w:rPr>
                <w:rFonts w:eastAsia="Calibri"/>
                <w:noProof w:val="0"/>
                <w:color w:val="FFFFFF" w:themeColor="background1"/>
              </w:rPr>
            </w:pPr>
          </w:p>
        </w:tc>
        <w:tc>
          <w:tcPr>
            <w:tcW w:w="3174" w:type="dxa"/>
            <w:gridSpan w:val="3"/>
            <w:shd w:val="clear" w:color="auto" w:fill="1B556B"/>
            <w:tcMar>
              <w:top w:w="0" w:type="dxa"/>
              <w:left w:w="85" w:type="dxa"/>
              <w:bottom w:w="0" w:type="dxa"/>
              <w:right w:w="85" w:type="dxa"/>
            </w:tcMar>
            <w:vAlign w:val="center"/>
          </w:tcPr>
          <w:p w14:paraId="6D626EA5" w14:textId="77777777" w:rsidR="00447423" w:rsidRPr="002A3CBE" w:rsidRDefault="00447423" w:rsidP="00F16E23">
            <w:pPr>
              <w:pStyle w:val="TableTextBold"/>
              <w:spacing w:before="40" w:after="0"/>
              <w:ind w:right="497"/>
              <w:jc w:val="center"/>
              <w:rPr>
                <w:rFonts w:eastAsia="Calibri"/>
                <w:noProof w:val="0"/>
                <w:color w:val="FFFFFF" w:themeColor="background1"/>
              </w:rPr>
            </w:pPr>
            <w:r w:rsidRPr="002A3CBE">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center"/>
          </w:tcPr>
          <w:p w14:paraId="743B8F53" w14:textId="77777777" w:rsidR="00447423" w:rsidRPr="002A3CBE" w:rsidRDefault="00447423" w:rsidP="00F16E23">
            <w:pPr>
              <w:pStyle w:val="TableTextBold"/>
              <w:spacing w:before="40" w:after="0"/>
              <w:ind w:right="486"/>
              <w:jc w:val="center"/>
              <w:rPr>
                <w:rFonts w:eastAsia="Calibri"/>
                <w:noProof w:val="0"/>
                <w:color w:val="FFFFFF" w:themeColor="background1"/>
              </w:rPr>
            </w:pPr>
            <w:r w:rsidRPr="002A3CBE">
              <w:rPr>
                <w:rFonts w:eastAsia="Calibri"/>
                <w:noProof w:val="0"/>
                <w:color w:val="FFFFFF" w:themeColor="background1"/>
              </w:rPr>
              <w:t>Net emissions (kt CO₂e)</w:t>
            </w:r>
          </w:p>
        </w:tc>
      </w:tr>
      <w:tr w:rsidR="00447423" w:rsidRPr="002A3CBE" w14:paraId="5A2DE09A" w14:textId="77777777" w:rsidTr="00F16E23">
        <w:trPr>
          <w:tblHeader/>
        </w:trPr>
        <w:tc>
          <w:tcPr>
            <w:tcW w:w="2551" w:type="dxa"/>
            <w:shd w:val="clear" w:color="auto" w:fill="1B556B"/>
            <w:tcMar>
              <w:top w:w="0" w:type="dxa"/>
              <w:left w:w="85" w:type="dxa"/>
              <w:bottom w:w="0" w:type="dxa"/>
              <w:right w:w="85" w:type="dxa"/>
            </w:tcMar>
            <w:vAlign w:val="bottom"/>
          </w:tcPr>
          <w:p w14:paraId="21E1DEC3" w14:textId="77777777" w:rsidR="00447423" w:rsidRPr="002A3CBE" w:rsidRDefault="00447423" w:rsidP="00F16E23">
            <w:pPr>
              <w:pStyle w:val="TableTextBold"/>
              <w:spacing w:before="0" w:after="40"/>
              <w:rPr>
                <w:rFonts w:eastAsia="Calibri"/>
                <w:noProof w:val="0"/>
                <w:color w:val="FFFFFF" w:themeColor="background1"/>
              </w:rPr>
            </w:pPr>
            <w:r w:rsidRPr="002A3CBE">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712BA545"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32703E61"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1715E1E3"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3D87825A"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12A09C14"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36905587"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3EEC28F9" w14:textId="77777777" w:rsidTr="002A3C0E">
        <w:tc>
          <w:tcPr>
            <w:tcW w:w="2551" w:type="dxa"/>
            <w:tcBorders>
              <w:bottom w:val="single" w:sz="4" w:space="0" w:color="1B556B"/>
            </w:tcBorders>
            <w:shd w:val="clear" w:color="auto" w:fill="FFFFFF"/>
            <w:tcMar>
              <w:top w:w="0" w:type="dxa"/>
              <w:left w:w="85" w:type="dxa"/>
              <w:bottom w:w="0" w:type="dxa"/>
              <w:right w:w="85" w:type="dxa"/>
            </w:tcMar>
            <w:vAlign w:val="center"/>
          </w:tcPr>
          <w:p w14:paraId="2D0E5581" w14:textId="77777777" w:rsidR="00447423" w:rsidRPr="002A3CBE" w:rsidRDefault="00447423" w:rsidP="00F16E23">
            <w:pPr>
              <w:pStyle w:val="TableText"/>
              <w:spacing w:before="40" w:after="40"/>
              <w:rPr>
                <w:rFonts w:eastAsia="Calibri"/>
              </w:rPr>
            </w:pPr>
            <w:r w:rsidRPr="002A3CBE">
              <w:rPr>
                <w:rFonts w:eastAsia="Calibri"/>
              </w:rPr>
              <w:t>Wetlands remaining wetlands</w:t>
            </w:r>
          </w:p>
        </w:tc>
        <w:tc>
          <w:tcPr>
            <w:tcW w:w="1020" w:type="dxa"/>
            <w:tcBorders>
              <w:bottom w:val="single" w:sz="4" w:space="0" w:color="1B556B"/>
            </w:tcBorders>
            <w:shd w:val="clear" w:color="auto" w:fill="FFFFFF"/>
            <w:tcMar>
              <w:top w:w="0" w:type="dxa"/>
              <w:left w:w="85" w:type="dxa"/>
              <w:bottom w:w="0" w:type="dxa"/>
              <w:right w:w="85" w:type="dxa"/>
            </w:tcMar>
            <w:vAlign w:val="center"/>
          </w:tcPr>
          <w:p w14:paraId="19F2FC60" w14:textId="77777777" w:rsidR="00447423" w:rsidRPr="002A3CBE" w:rsidRDefault="00447423" w:rsidP="00F16E23">
            <w:pPr>
              <w:pStyle w:val="TableText"/>
              <w:spacing w:before="40" w:after="40"/>
              <w:jc w:val="right"/>
              <w:rPr>
                <w:rFonts w:eastAsia="Calibri"/>
              </w:rPr>
            </w:pPr>
            <w:r w:rsidRPr="002A3CBE">
              <w:rPr>
                <w:rFonts w:eastAsia="Calibri"/>
              </w:rPr>
              <w:t>770,742</w:t>
            </w:r>
          </w:p>
        </w:tc>
        <w:tc>
          <w:tcPr>
            <w:tcW w:w="1020" w:type="dxa"/>
            <w:tcBorders>
              <w:bottom w:val="single" w:sz="4" w:space="0" w:color="1B556B"/>
            </w:tcBorders>
            <w:shd w:val="clear" w:color="auto" w:fill="FFFFFF"/>
            <w:tcMar>
              <w:top w:w="0" w:type="dxa"/>
              <w:left w:w="85" w:type="dxa"/>
              <w:bottom w:w="0" w:type="dxa"/>
              <w:right w:w="85" w:type="dxa"/>
            </w:tcMar>
            <w:vAlign w:val="center"/>
          </w:tcPr>
          <w:p w14:paraId="19C89F6E" w14:textId="77777777" w:rsidR="00447423" w:rsidRPr="002A3CBE" w:rsidRDefault="00447423" w:rsidP="00F16E23">
            <w:pPr>
              <w:pStyle w:val="TableText"/>
              <w:spacing w:before="40" w:after="40"/>
              <w:jc w:val="right"/>
              <w:rPr>
                <w:rFonts w:eastAsia="Calibri"/>
              </w:rPr>
            </w:pPr>
            <w:r w:rsidRPr="002A3CBE">
              <w:rPr>
                <w:rFonts w:eastAsia="Calibri"/>
              </w:rPr>
              <w:t>770,487</w:t>
            </w:r>
          </w:p>
        </w:tc>
        <w:tc>
          <w:tcPr>
            <w:tcW w:w="1134" w:type="dxa"/>
            <w:tcBorders>
              <w:bottom w:val="single" w:sz="4" w:space="0" w:color="1B556B"/>
            </w:tcBorders>
            <w:shd w:val="clear" w:color="auto" w:fill="FFFFFF"/>
            <w:tcMar>
              <w:top w:w="0" w:type="dxa"/>
              <w:left w:w="85" w:type="dxa"/>
              <w:bottom w:w="0" w:type="dxa"/>
              <w:right w:w="85" w:type="dxa"/>
            </w:tcMar>
            <w:vAlign w:val="center"/>
          </w:tcPr>
          <w:p w14:paraId="40990D69" w14:textId="77777777" w:rsidR="00447423" w:rsidRPr="002A3CBE" w:rsidRDefault="00447423" w:rsidP="00F16E23">
            <w:pPr>
              <w:pStyle w:val="TableText"/>
              <w:spacing w:before="40" w:after="40"/>
              <w:jc w:val="right"/>
              <w:rPr>
                <w:rFonts w:eastAsia="Calibri"/>
              </w:rPr>
            </w:pPr>
            <w:r w:rsidRPr="002A3CBE">
              <w:rPr>
                <w:rFonts w:eastAsia="Calibri"/>
              </w:rPr>
              <w:t>0.0</w:t>
            </w:r>
          </w:p>
        </w:tc>
        <w:tc>
          <w:tcPr>
            <w:tcW w:w="850" w:type="dxa"/>
            <w:tcBorders>
              <w:bottom w:val="single" w:sz="4" w:space="0" w:color="1B556B"/>
            </w:tcBorders>
            <w:shd w:val="clear" w:color="auto" w:fill="FFFFFF"/>
            <w:tcMar>
              <w:top w:w="0" w:type="dxa"/>
              <w:left w:w="85" w:type="dxa"/>
              <w:bottom w:w="0" w:type="dxa"/>
              <w:right w:w="85" w:type="dxa"/>
            </w:tcMar>
            <w:vAlign w:val="center"/>
          </w:tcPr>
          <w:p w14:paraId="4AA455CD" w14:textId="77777777" w:rsidR="00447423" w:rsidRPr="002A3CBE" w:rsidRDefault="00447423" w:rsidP="00F16E23">
            <w:pPr>
              <w:pStyle w:val="TableText"/>
              <w:spacing w:before="40" w:after="40"/>
              <w:jc w:val="right"/>
              <w:rPr>
                <w:rFonts w:eastAsia="Calibri"/>
              </w:rPr>
            </w:pPr>
            <w:r w:rsidRPr="002A3CBE">
              <w:rPr>
                <w:rFonts w:eastAsia="Calibri"/>
              </w:rPr>
              <w:t>11.5</w:t>
            </w:r>
          </w:p>
        </w:tc>
        <w:tc>
          <w:tcPr>
            <w:tcW w:w="850" w:type="dxa"/>
            <w:tcBorders>
              <w:bottom w:val="single" w:sz="4" w:space="0" w:color="1B556B"/>
            </w:tcBorders>
            <w:shd w:val="clear" w:color="auto" w:fill="FFFFFF"/>
            <w:tcMar>
              <w:top w:w="0" w:type="dxa"/>
              <w:left w:w="85" w:type="dxa"/>
              <w:bottom w:w="0" w:type="dxa"/>
              <w:right w:w="85" w:type="dxa"/>
            </w:tcMar>
            <w:vAlign w:val="center"/>
          </w:tcPr>
          <w:p w14:paraId="1D7C7F74" w14:textId="77777777" w:rsidR="00447423" w:rsidRPr="002A3CBE" w:rsidRDefault="00447423" w:rsidP="00F16E23">
            <w:pPr>
              <w:pStyle w:val="TableText"/>
              <w:spacing w:before="40" w:after="40"/>
              <w:jc w:val="right"/>
              <w:rPr>
                <w:rFonts w:eastAsia="Calibri"/>
              </w:rPr>
            </w:pPr>
            <w:r w:rsidRPr="002A3CBE">
              <w:rPr>
                <w:rFonts w:eastAsia="Calibri"/>
              </w:rPr>
              <w:t>22.6</w:t>
            </w:r>
          </w:p>
        </w:tc>
        <w:tc>
          <w:tcPr>
            <w:tcW w:w="1134" w:type="dxa"/>
            <w:tcBorders>
              <w:bottom w:val="single" w:sz="4" w:space="0" w:color="1B556B"/>
            </w:tcBorders>
            <w:shd w:val="clear" w:color="auto" w:fill="FFFFFF"/>
            <w:tcMar>
              <w:top w:w="0" w:type="dxa"/>
              <w:left w:w="85" w:type="dxa"/>
              <w:bottom w:w="0" w:type="dxa"/>
              <w:right w:w="85" w:type="dxa"/>
            </w:tcMar>
            <w:vAlign w:val="center"/>
          </w:tcPr>
          <w:p w14:paraId="4C3240C8" w14:textId="77777777" w:rsidR="00447423" w:rsidRPr="002A3CBE" w:rsidRDefault="00447423" w:rsidP="00F16E23">
            <w:pPr>
              <w:pStyle w:val="TableText"/>
              <w:spacing w:before="40" w:after="40"/>
              <w:jc w:val="right"/>
              <w:rPr>
                <w:rFonts w:eastAsia="Calibri"/>
              </w:rPr>
            </w:pPr>
            <w:r w:rsidRPr="002A3CBE">
              <w:rPr>
                <w:rFonts w:eastAsia="Calibri"/>
              </w:rPr>
              <w:t>95.5</w:t>
            </w:r>
          </w:p>
        </w:tc>
      </w:tr>
      <w:tr w:rsidR="00447423" w:rsidRPr="002A3CBE" w14:paraId="0C21D9A6" w14:textId="77777777" w:rsidTr="00F16E23">
        <w:tc>
          <w:tcPr>
            <w:tcW w:w="2551" w:type="dxa"/>
            <w:shd w:val="clear" w:color="auto" w:fill="FFFFFF"/>
            <w:tcMar>
              <w:top w:w="0" w:type="dxa"/>
              <w:left w:w="85" w:type="dxa"/>
              <w:bottom w:w="0" w:type="dxa"/>
              <w:right w:w="85" w:type="dxa"/>
            </w:tcMar>
            <w:vAlign w:val="center"/>
          </w:tcPr>
          <w:p w14:paraId="04ECBD04" w14:textId="77777777" w:rsidR="00447423" w:rsidRPr="002A3CBE" w:rsidRDefault="00447423" w:rsidP="00F16E23">
            <w:pPr>
              <w:pStyle w:val="TableText"/>
              <w:spacing w:before="40" w:after="40"/>
              <w:rPr>
                <w:rFonts w:eastAsia="Calibri"/>
              </w:rPr>
            </w:pPr>
            <w:r w:rsidRPr="002A3CBE">
              <w:rPr>
                <w:rFonts w:eastAsia="Calibri"/>
              </w:rPr>
              <w:t>Land converted to wetlands</w:t>
            </w:r>
          </w:p>
        </w:tc>
        <w:tc>
          <w:tcPr>
            <w:tcW w:w="1020" w:type="dxa"/>
            <w:shd w:val="clear" w:color="auto" w:fill="FFFFFF"/>
            <w:tcMar>
              <w:top w:w="0" w:type="dxa"/>
              <w:left w:w="85" w:type="dxa"/>
              <w:bottom w:w="0" w:type="dxa"/>
              <w:right w:w="85" w:type="dxa"/>
            </w:tcMar>
            <w:vAlign w:val="center"/>
          </w:tcPr>
          <w:p w14:paraId="091BECCB" w14:textId="77777777" w:rsidR="00447423" w:rsidRPr="002A3CBE" w:rsidRDefault="00447423" w:rsidP="00F16E23">
            <w:pPr>
              <w:pStyle w:val="TableText"/>
              <w:spacing w:before="40" w:after="40"/>
              <w:jc w:val="right"/>
              <w:rPr>
                <w:rFonts w:eastAsia="Calibri"/>
              </w:rPr>
            </w:pPr>
            <w:r w:rsidRPr="002A3CBE">
              <w:rPr>
                <w:rFonts w:eastAsia="Calibri"/>
              </w:rPr>
              <w:t>10,276</w:t>
            </w:r>
          </w:p>
        </w:tc>
        <w:tc>
          <w:tcPr>
            <w:tcW w:w="1020" w:type="dxa"/>
            <w:shd w:val="clear" w:color="auto" w:fill="FFFFFF"/>
            <w:tcMar>
              <w:top w:w="0" w:type="dxa"/>
              <w:left w:w="85" w:type="dxa"/>
              <w:bottom w:w="0" w:type="dxa"/>
              <w:right w:w="85" w:type="dxa"/>
            </w:tcMar>
            <w:vAlign w:val="center"/>
          </w:tcPr>
          <w:p w14:paraId="0F57CCEA" w14:textId="77777777" w:rsidR="00447423" w:rsidRPr="002A3CBE" w:rsidRDefault="00447423" w:rsidP="00F16E23">
            <w:pPr>
              <w:pStyle w:val="TableText"/>
              <w:spacing w:before="40" w:after="40"/>
              <w:jc w:val="right"/>
              <w:rPr>
                <w:rFonts w:eastAsia="Calibri"/>
              </w:rPr>
            </w:pPr>
            <w:r w:rsidRPr="002A3CBE">
              <w:rPr>
                <w:rFonts w:eastAsia="Calibri"/>
              </w:rPr>
              <w:t>7,245</w:t>
            </w:r>
          </w:p>
        </w:tc>
        <w:tc>
          <w:tcPr>
            <w:tcW w:w="1134" w:type="dxa"/>
            <w:shd w:val="clear" w:color="auto" w:fill="FFFFFF"/>
            <w:tcMar>
              <w:top w:w="0" w:type="dxa"/>
              <w:left w:w="85" w:type="dxa"/>
              <w:bottom w:w="0" w:type="dxa"/>
              <w:right w:w="85" w:type="dxa"/>
            </w:tcMar>
            <w:vAlign w:val="center"/>
          </w:tcPr>
          <w:p w14:paraId="365CE415" w14:textId="77777777" w:rsidR="00447423" w:rsidRPr="002A3CBE" w:rsidRDefault="00447423" w:rsidP="00F16E23">
            <w:pPr>
              <w:pStyle w:val="TableText"/>
              <w:spacing w:before="40" w:after="40"/>
              <w:jc w:val="right"/>
              <w:rPr>
                <w:rFonts w:eastAsia="Calibri"/>
              </w:rPr>
            </w:pPr>
            <w:r w:rsidRPr="002A3CBE">
              <w:rPr>
                <w:rFonts w:eastAsia="Calibri"/>
              </w:rPr>
              <w:t>-29.5</w:t>
            </w:r>
          </w:p>
        </w:tc>
        <w:tc>
          <w:tcPr>
            <w:tcW w:w="850" w:type="dxa"/>
            <w:shd w:val="clear" w:color="auto" w:fill="FFFFFF"/>
            <w:tcMar>
              <w:top w:w="0" w:type="dxa"/>
              <w:left w:w="85" w:type="dxa"/>
              <w:bottom w:w="0" w:type="dxa"/>
              <w:right w:w="85" w:type="dxa"/>
            </w:tcMar>
            <w:vAlign w:val="center"/>
          </w:tcPr>
          <w:p w14:paraId="24A6C083" w14:textId="77777777" w:rsidR="00447423" w:rsidRPr="002A3CBE" w:rsidRDefault="00447423" w:rsidP="00F16E23">
            <w:pPr>
              <w:pStyle w:val="TableText"/>
              <w:spacing w:before="40" w:after="40"/>
              <w:jc w:val="right"/>
              <w:rPr>
                <w:rFonts w:eastAsia="Calibri"/>
              </w:rPr>
            </w:pPr>
            <w:r w:rsidRPr="002A3CBE">
              <w:rPr>
                <w:rFonts w:eastAsia="Calibri"/>
              </w:rPr>
              <w:t>-19.7</w:t>
            </w:r>
          </w:p>
        </w:tc>
        <w:tc>
          <w:tcPr>
            <w:tcW w:w="850" w:type="dxa"/>
            <w:shd w:val="clear" w:color="auto" w:fill="FFFFFF"/>
            <w:tcMar>
              <w:top w:w="0" w:type="dxa"/>
              <w:left w:w="85" w:type="dxa"/>
              <w:bottom w:w="0" w:type="dxa"/>
              <w:right w:w="85" w:type="dxa"/>
            </w:tcMar>
            <w:vAlign w:val="center"/>
          </w:tcPr>
          <w:p w14:paraId="2C3434FD" w14:textId="77777777" w:rsidR="00447423" w:rsidRPr="002A3CBE" w:rsidRDefault="00447423" w:rsidP="00F16E23">
            <w:pPr>
              <w:pStyle w:val="TableText"/>
              <w:spacing w:before="40" w:after="40"/>
              <w:jc w:val="right"/>
              <w:rPr>
                <w:rFonts w:eastAsia="Calibri"/>
              </w:rPr>
            </w:pPr>
            <w:r w:rsidRPr="002A3CBE">
              <w:rPr>
                <w:rFonts w:eastAsia="Calibri"/>
              </w:rPr>
              <w:t>-16.7</w:t>
            </w:r>
          </w:p>
        </w:tc>
        <w:tc>
          <w:tcPr>
            <w:tcW w:w="1134" w:type="dxa"/>
            <w:shd w:val="clear" w:color="auto" w:fill="FFFFFF"/>
            <w:tcMar>
              <w:top w:w="0" w:type="dxa"/>
              <w:left w:w="85" w:type="dxa"/>
              <w:bottom w:w="0" w:type="dxa"/>
              <w:right w:w="85" w:type="dxa"/>
            </w:tcMar>
            <w:vAlign w:val="center"/>
          </w:tcPr>
          <w:p w14:paraId="69E187C1" w14:textId="77777777" w:rsidR="00447423" w:rsidRPr="002A3CBE" w:rsidRDefault="00447423" w:rsidP="00F16E23">
            <w:pPr>
              <w:pStyle w:val="TableText"/>
              <w:spacing w:before="40" w:after="40"/>
              <w:jc w:val="right"/>
              <w:rPr>
                <w:rFonts w:eastAsia="Calibri"/>
              </w:rPr>
            </w:pPr>
            <w:r w:rsidRPr="002A3CBE">
              <w:rPr>
                <w:rFonts w:eastAsia="Calibri"/>
              </w:rPr>
              <w:t>14.9</w:t>
            </w:r>
          </w:p>
        </w:tc>
      </w:tr>
      <w:tr w:rsidR="00447423" w:rsidRPr="002A3CBE" w14:paraId="52892E6D" w14:textId="77777777" w:rsidTr="00F16E23">
        <w:tc>
          <w:tcPr>
            <w:tcW w:w="2551" w:type="dxa"/>
            <w:shd w:val="clear" w:color="auto" w:fill="FFFFFF"/>
            <w:tcMar>
              <w:top w:w="0" w:type="dxa"/>
              <w:left w:w="85" w:type="dxa"/>
              <w:bottom w:w="0" w:type="dxa"/>
              <w:right w:w="85" w:type="dxa"/>
            </w:tcMar>
            <w:vAlign w:val="center"/>
          </w:tcPr>
          <w:p w14:paraId="09A76350"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020" w:type="dxa"/>
            <w:shd w:val="clear" w:color="auto" w:fill="FFFFFF"/>
            <w:tcMar>
              <w:top w:w="0" w:type="dxa"/>
              <w:left w:w="85" w:type="dxa"/>
              <w:bottom w:w="0" w:type="dxa"/>
              <w:right w:w="85" w:type="dxa"/>
            </w:tcMar>
            <w:vAlign w:val="center"/>
          </w:tcPr>
          <w:p w14:paraId="7599BBC4" w14:textId="77777777" w:rsidR="00447423" w:rsidRPr="002A3CBE" w:rsidRDefault="00447423" w:rsidP="00F16E23">
            <w:pPr>
              <w:pStyle w:val="Tableboldblue"/>
              <w:spacing w:before="40" w:after="40"/>
              <w:jc w:val="right"/>
              <w:rPr>
                <w:rFonts w:eastAsia="Calibri"/>
              </w:rPr>
            </w:pPr>
            <w:r w:rsidRPr="002A3CBE">
              <w:rPr>
                <w:rFonts w:eastAsia="Calibri"/>
              </w:rPr>
              <w:t>781,018</w:t>
            </w:r>
          </w:p>
        </w:tc>
        <w:tc>
          <w:tcPr>
            <w:tcW w:w="1020" w:type="dxa"/>
            <w:shd w:val="clear" w:color="auto" w:fill="FFFFFF"/>
            <w:tcMar>
              <w:top w:w="0" w:type="dxa"/>
              <w:left w:w="85" w:type="dxa"/>
              <w:bottom w:w="0" w:type="dxa"/>
              <w:right w:w="85" w:type="dxa"/>
            </w:tcMar>
            <w:vAlign w:val="center"/>
          </w:tcPr>
          <w:p w14:paraId="25C547E3" w14:textId="77777777" w:rsidR="00447423" w:rsidRPr="002A3CBE" w:rsidRDefault="00447423" w:rsidP="00F16E23">
            <w:pPr>
              <w:pStyle w:val="Tableboldblue"/>
              <w:spacing w:before="40" w:after="40"/>
              <w:jc w:val="right"/>
              <w:rPr>
                <w:rFonts w:eastAsia="Calibri"/>
              </w:rPr>
            </w:pPr>
            <w:r w:rsidRPr="002A3CBE">
              <w:rPr>
                <w:rFonts w:eastAsia="Calibri"/>
              </w:rPr>
              <w:t>777,732</w:t>
            </w:r>
          </w:p>
        </w:tc>
        <w:tc>
          <w:tcPr>
            <w:tcW w:w="1134" w:type="dxa"/>
            <w:shd w:val="clear" w:color="auto" w:fill="FFFFFF"/>
            <w:tcMar>
              <w:top w:w="0" w:type="dxa"/>
              <w:left w:w="85" w:type="dxa"/>
              <w:bottom w:w="0" w:type="dxa"/>
              <w:right w:w="85" w:type="dxa"/>
            </w:tcMar>
            <w:vAlign w:val="center"/>
          </w:tcPr>
          <w:p w14:paraId="1C63A8B5" w14:textId="77777777" w:rsidR="00447423" w:rsidRPr="002A3CBE" w:rsidRDefault="00447423" w:rsidP="00F16E23">
            <w:pPr>
              <w:pStyle w:val="Tableboldblue"/>
              <w:spacing w:before="40" w:after="40"/>
              <w:jc w:val="right"/>
              <w:rPr>
                <w:rFonts w:eastAsia="Calibri"/>
              </w:rPr>
            </w:pPr>
            <w:r w:rsidRPr="002A3CBE">
              <w:rPr>
                <w:rFonts w:eastAsia="Calibri"/>
              </w:rPr>
              <w:t>-0.4</w:t>
            </w:r>
          </w:p>
        </w:tc>
        <w:tc>
          <w:tcPr>
            <w:tcW w:w="850" w:type="dxa"/>
            <w:shd w:val="clear" w:color="auto" w:fill="FFFFFF"/>
            <w:tcMar>
              <w:top w:w="0" w:type="dxa"/>
              <w:left w:w="85" w:type="dxa"/>
              <w:bottom w:w="0" w:type="dxa"/>
              <w:right w:w="85" w:type="dxa"/>
            </w:tcMar>
            <w:vAlign w:val="center"/>
          </w:tcPr>
          <w:p w14:paraId="364BE80B" w14:textId="77777777" w:rsidR="00447423" w:rsidRPr="002A3CBE" w:rsidRDefault="00447423" w:rsidP="00F16E23">
            <w:pPr>
              <w:pStyle w:val="Tableboldblue"/>
              <w:spacing w:before="40" w:after="40"/>
              <w:jc w:val="right"/>
              <w:rPr>
                <w:rFonts w:eastAsia="Calibri"/>
              </w:rPr>
            </w:pPr>
            <w:r w:rsidRPr="002A3CBE">
              <w:rPr>
                <w:rFonts w:eastAsia="Calibri"/>
              </w:rPr>
              <w:t>-8.1</w:t>
            </w:r>
          </w:p>
        </w:tc>
        <w:tc>
          <w:tcPr>
            <w:tcW w:w="850" w:type="dxa"/>
            <w:shd w:val="clear" w:color="auto" w:fill="FFFFFF"/>
            <w:tcMar>
              <w:top w:w="0" w:type="dxa"/>
              <w:left w:w="85" w:type="dxa"/>
              <w:bottom w:w="0" w:type="dxa"/>
              <w:right w:w="85" w:type="dxa"/>
            </w:tcMar>
            <w:vAlign w:val="center"/>
          </w:tcPr>
          <w:p w14:paraId="1911C1FE" w14:textId="77777777" w:rsidR="00447423" w:rsidRPr="002A3CBE" w:rsidRDefault="00447423" w:rsidP="00F16E23">
            <w:pPr>
              <w:pStyle w:val="Tableboldblue"/>
              <w:spacing w:before="40" w:after="40"/>
              <w:jc w:val="right"/>
              <w:rPr>
                <w:rFonts w:eastAsia="Calibri"/>
              </w:rPr>
            </w:pPr>
            <w:r w:rsidRPr="002A3CBE">
              <w:rPr>
                <w:rFonts w:eastAsia="Calibri"/>
              </w:rPr>
              <w:t>5.8</w:t>
            </w:r>
          </w:p>
        </w:tc>
        <w:tc>
          <w:tcPr>
            <w:tcW w:w="1134" w:type="dxa"/>
            <w:shd w:val="clear" w:color="auto" w:fill="FFFFFF"/>
            <w:tcMar>
              <w:top w:w="0" w:type="dxa"/>
              <w:left w:w="85" w:type="dxa"/>
              <w:bottom w:w="0" w:type="dxa"/>
              <w:right w:w="85" w:type="dxa"/>
            </w:tcMar>
            <w:vAlign w:val="center"/>
          </w:tcPr>
          <w:p w14:paraId="594BF880" w14:textId="77777777" w:rsidR="00447423" w:rsidRPr="002A3CBE" w:rsidRDefault="00447423" w:rsidP="00F16E23">
            <w:pPr>
              <w:pStyle w:val="Tableboldblue"/>
              <w:spacing w:before="40" w:after="40"/>
              <w:jc w:val="right"/>
              <w:rPr>
                <w:rFonts w:eastAsia="Calibri"/>
              </w:rPr>
            </w:pPr>
            <w:r w:rsidRPr="002A3CBE">
              <w:rPr>
                <w:rFonts w:eastAsia="Calibri"/>
              </w:rPr>
              <w:t>171.6</w:t>
            </w:r>
          </w:p>
        </w:tc>
      </w:tr>
    </w:tbl>
    <w:p w14:paraId="73C6E2F6" w14:textId="77777777" w:rsidR="00447423" w:rsidRPr="002A3CBE" w:rsidRDefault="00447423" w:rsidP="00447423">
      <w:pPr>
        <w:pStyle w:val="Noteundertable"/>
        <w:spacing w:after="80"/>
      </w:pPr>
      <w:r w:rsidRPr="002A3CBE">
        <w:rPr>
          <w:b/>
          <w:bCs/>
        </w:rPr>
        <w:t xml:space="preserve">Note: </w:t>
      </w:r>
      <w:r w:rsidRPr="002A3CBE">
        <w:tab/>
        <w:t>Net area in 1990 is as at 1 January 1990; net area in 2024 is as at 31 December 2024.</w:t>
      </w:r>
      <w:r w:rsidRPr="002A3CBE">
        <w:rPr>
          <w:i/>
          <w:iCs/>
        </w:rPr>
        <w:t xml:space="preserve"> Land converted to wetlands</w:t>
      </w:r>
      <w:r w:rsidRPr="002A3CBE">
        <w:t xml:space="preserve"> includes land converted up to 20 years earlier. Net emission values are for the whole year indicated. Columns may not total due to rounding.</w:t>
      </w:r>
    </w:p>
    <w:p w14:paraId="2FFDEFA1" w14:textId="77777777" w:rsidR="00447423" w:rsidRPr="002A3CBE" w:rsidRDefault="00447423" w:rsidP="00447423">
      <w:pPr>
        <w:pStyle w:val="BodyText"/>
        <w:spacing w:before="100" w:after="100"/>
      </w:pPr>
      <w:r w:rsidRPr="002A3CBE">
        <w:t xml:space="preserve">New Zealand’s </w:t>
      </w:r>
      <w:r w:rsidRPr="002A3CBE">
        <w:rPr>
          <w:i/>
        </w:rPr>
        <w:t>Wetlands</w:t>
      </w:r>
      <w:r w:rsidRPr="002A3CBE">
        <w:t xml:space="preserve"> are currently mapped into two types: open water, which includes artificially flooded lands, lakes and rivers; and vegetated wetland, which includes herbaceous vegetation that is periodically flooded, and estuarine and tidal areas. Flooded lands, a category of </w:t>
      </w:r>
      <w:r w:rsidRPr="002A3CBE">
        <w:rPr>
          <w:i/>
        </w:rPr>
        <w:t>Wetlands</w:t>
      </w:r>
      <w:r w:rsidRPr="002A3CBE">
        <w:t>, are defined in the 2006 IPCC Guidelines</w:t>
      </w:r>
      <w:r w:rsidRPr="002A3CBE" w:rsidDel="0015189E">
        <w:t xml:space="preserve"> </w:t>
      </w:r>
      <w:r w:rsidRPr="002A3CBE">
        <w:t>(IPCC, 2006a, p 7.19) as:</w:t>
      </w:r>
    </w:p>
    <w:p w14:paraId="3BDEBB7F" w14:textId="77777777" w:rsidR="00447423" w:rsidRPr="002A3CBE" w:rsidRDefault="00447423" w:rsidP="00C611D3">
      <w:pPr>
        <w:pStyle w:val="Quote"/>
        <w:spacing w:before="60" w:line="240" w:lineRule="atLeast"/>
      </w:pPr>
      <w:r w:rsidRPr="002A3CBE">
        <w:t>… water bodies where human activities have caused changes in the amount of surface area covered by water, typically through water level regulation. … Regulated lakes and rivers that do not have substantial changes in water area in comparison with the pre</w:t>
      </w:r>
      <w:r w:rsidRPr="002A3CBE">
        <w:noBreakHyphen/>
        <w:t>flooded ecosystem are not considered as Flooded Lands.</w:t>
      </w:r>
    </w:p>
    <w:p w14:paraId="6ACBBFF7" w14:textId="77777777" w:rsidR="00447423" w:rsidRPr="002A3CBE" w:rsidRDefault="00447423" w:rsidP="00447423">
      <w:pPr>
        <w:pStyle w:val="BodyText"/>
        <w:rPr>
          <w:rFonts w:cs="Calibri"/>
        </w:rPr>
      </w:pPr>
      <w:r w:rsidRPr="002A3CBE">
        <w:t xml:space="preserve">The majority of New Zealand’s hydroelectric schemes are based on rivers and lakes where the main pre-flooded ecosystem was a natural lake or river; therefore, they are not defined </w:t>
      </w:r>
      <w:r w:rsidRPr="002A3CBE">
        <w:rPr>
          <w:rFonts w:cs="Calibri"/>
        </w:rPr>
        <w:t>as flooded lands.</w:t>
      </w:r>
      <w:r w:rsidRPr="002A3CBE">
        <w:rPr>
          <w:rStyle w:val="FootnoteReference"/>
        </w:rPr>
        <w:footnoteReference w:id="50"/>
      </w:r>
      <w:r w:rsidRPr="002A3CBE">
        <w:rPr>
          <w:rFonts w:cs="Calibri"/>
        </w:rPr>
        <w:t xml:space="preserve"> </w:t>
      </w:r>
    </w:p>
    <w:p w14:paraId="259055DA" w14:textId="77777777" w:rsidR="00447423" w:rsidRPr="002A3CBE" w:rsidRDefault="00447423" w:rsidP="00447423">
      <w:pPr>
        <w:pStyle w:val="BodyText"/>
      </w:pPr>
      <w:r w:rsidRPr="002A3CBE">
        <w:t>In 2024, there were 537,801 hectares of open water and 239,931 hectares of vegetated wetlands. Together, these two land use types make up 2.9 percent of the total New Zealand land area.</w:t>
      </w:r>
    </w:p>
    <w:p w14:paraId="2D3A4E0F" w14:textId="77777777" w:rsidR="00447423" w:rsidRPr="002A3CBE" w:rsidRDefault="00447423" w:rsidP="00447423">
      <w:pPr>
        <w:pStyle w:val="BodyText"/>
        <w:spacing w:before="100" w:after="100"/>
      </w:pPr>
      <w:r w:rsidRPr="002A3CBE">
        <w:t xml:space="preserve">In 2016, a study was commissioned to identify and map current and historical (from 1990) horticultural peat mining areas, peat type and quantity, and post-mining activities (Clarkson, unpublished). This work estimated there were 273 hectares under peat extraction in 2015. Due to a lack of further information, this area is assumed to be constant from 1990 to 2024. The results of this study have been incorporated into New Zealand’s land use maps. </w:t>
      </w:r>
    </w:p>
    <w:p w14:paraId="30D16254" w14:textId="77777777" w:rsidR="00447423" w:rsidRPr="002A3CBE" w:rsidRDefault="00447423" w:rsidP="00447423">
      <w:pPr>
        <w:pStyle w:val="BodyText"/>
        <w:spacing w:before="100" w:after="100"/>
      </w:pPr>
      <w:r w:rsidRPr="002A3CBE">
        <w:t xml:space="preserve">From 1990 to 2024, the net carbon stocks in </w:t>
      </w:r>
      <w:r w:rsidRPr="002A3CBE">
        <w:rPr>
          <w:i/>
        </w:rPr>
        <w:t>Wetlands</w:t>
      </w:r>
      <w:r w:rsidRPr="002A3CBE">
        <w:t xml:space="preserve"> decreased by 4.4 kt C, equivalent to emissions of -16.3 kt CO</w:t>
      </w:r>
      <w:r w:rsidRPr="002A3CBE">
        <w:rPr>
          <w:vertAlign w:val="subscript"/>
        </w:rPr>
        <w:t>2</w:t>
      </w:r>
      <w:r w:rsidRPr="002A3CBE">
        <w:t xml:space="preserve"> in total since 1990 (table 6.7.2).</w:t>
      </w:r>
    </w:p>
    <w:p w14:paraId="6BB5F1ED" w14:textId="77777777" w:rsidR="00447423" w:rsidRPr="002A3CBE" w:rsidRDefault="00447423" w:rsidP="00447423">
      <w:pPr>
        <w:pStyle w:val="Table"/>
        <w:rPr>
          <w:spacing w:val="-2"/>
        </w:rPr>
      </w:pPr>
      <w:bookmarkStart w:id="2623" w:name="_Toc342470785"/>
      <w:bookmarkStart w:id="2624" w:name="_Toc352505025"/>
      <w:bookmarkStart w:id="2625" w:name="_Toc378853314"/>
      <w:bookmarkStart w:id="2626" w:name="_Toc391024112"/>
      <w:bookmarkStart w:id="2627" w:name="_Toc410028855"/>
      <w:bookmarkStart w:id="2628" w:name="_Toc414531483"/>
      <w:bookmarkStart w:id="2629" w:name="_Toc443645396"/>
      <w:bookmarkStart w:id="2630" w:name="_Toc474914615"/>
      <w:bookmarkStart w:id="2631" w:name="_Toc481751579"/>
      <w:bookmarkStart w:id="2632" w:name="_Toc522010636"/>
      <w:bookmarkStart w:id="2633" w:name="_Toc5269541"/>
      <w:bookmarkStart w:id="2634" w:name="_Toc33529415"/>
      <w:bookmarkStart w:id="2635" w:name="_Toc36224621"/>
      <w:bookmarkStart w:id="2636" w:name="_Toc131591415"/>
      <w:bookmarkStart w:id="2637" w:name="_Toc158979973"/>
      <w:bookmarkStart w:id="2638" w:name="_Toc164153906"/>
      <w:bookmarkStart w:id="2639" w:name="_Toc190873140"/>
      <w:bookmarkStart w:id="2640" w:name="_Toc194241779"/>
      <w:bookmarkStart w:id="2641" w:name="_Toc222837930"/>
      <w:bookmarkStart w:id="2642" w:name="_Toc226669076"/>
      <w:r w:rsidRPr="002A3CBE">
        <w:t>Table 6.7.2</w:t>
      </w:r>
      <w:r w:rsidRPr="002A3CBE">
        <w:tab/>
      </w:r>
      <w:r w:rsidRPr="002A3CBE">
        <w:rPr>
          <w:spacing w:val="-2"/>
        </w:rPr>
        <w:t xml:space="preserve">New Zealand’s carbon stock change by carbon pool for the </w:t>
      </w:r>
      <w:r w:rsidRPr="002A3CBE">
        <w:rPr>
          <w:i/>
          <w:spacing w:val="-2"/>
        </w:rPr>
        <w:t>Wetlands</w:t>
      </w:r>
      <w:r w:rsidRPr="002A3CBE">
        <w:rPr>
          <w:spacing w:val="-2"/>
        </w:rPr>
        <w:t xml:space="preserve"> category, from 1990 to</w:t>
      </w:r>
      <w:bookmarkEnd w:id="2623"/>
      <w:bookmarkEnd w:id="2624"/>
      <w:bookmarkEnd w:id="2625"/>
      <w:bookmarkEnd w:id="2626"/>
      <w:r w:rsidRPr="002A3CBE">
        <w:rPr>
          <w:spacing w:val="-2"/>
        </w:rPr>
        <w:t> </w:t>
      </w:r>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r w:rsidRPr="002A3CBE">
        <w:rPr>
          <w:spacing w:val="-2"/>
        </w:rPr>
        <w:t>2024</w:t>
      </w:r>
      <w:bookmarkEnd w:id="2641"/>
      <w:bookmarkEnd w:id="2642"/>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85"/>
        <w:gridCol w:w="1276"/>
        <w:gridCol w:w="1559"/>
        <w:gridCol w:w="992"/>
        <w:gridCol w:w="992"/>
        <w:gridCol w:w="1701"/>
      </w:tblGrid>
      <w:tr w:rsidR="00447423" w:rsidRPr="002A3CBE" w14:paraId="5E2B1DB2" w14:textId="77777777" w:rsidTr="00F16E23">
        <w:trPr>
          <w:tblHeader/>
        </w:trPr>
        <w:tc>
          <w:tcPr>
            <w:tcW w:w="1985" w:type="dxa"/>
            <w:shd w:val="clear" w:color="auto" w:fill="1B556B"/>
            <w:tcMar>
              <w:top w:w="0" w:type="dxa"/>
              <w:left w:w="85" w:type="dxa"/>
              <w:bottom w:w="0" w:type="dxa"/>
              <w:right w:w="85" w:type="dxa"/>
            </w:tcMar>
            <w:vAlign w:val="center"/>
          </w:tcPr>
          <w:p w14:paraId="3E0F00E4" w14:textId="77777777" w:rsidR="00447423" w:rsidRPr="002A3CBE" w:rsidRDefault="00447423" w:rsidP="00F16E23">
            <w:pPr>
              <w:pStyle w:val="TableTextBold"/>
              <w:spacing w:before="40" w:after="0"/>
              <w:rPr>
                <w:rFonts w:eastAsia="Calibri"/>
                <w:noProof w:val="0"/>
                <w:color w:val="FFFFFF" w:themeColor="background1"/>
              </w:rPr>
            </w:pPr>
          </w:p>
        </w:tc>
        <w:tc>
          <w:tcPr>
            <w:tcW w:w="4819" w:type="dxa"/>
            <w:gridSpan w:val="4"/>
            <w:shd w:val="clear" w:color="auto" w:fill="1B556B"/>
            <w:tcMar>
              <w:top w:w="0" w:type="dxa"/>
              <w:left w:w="85" w:type="dxa"/>
              <w:bottom w:w="0" w:type="dxa"/>
              <w:right w:w="85" w:type="dxa"/>
            </w:tcMar>
            <w:vAlign w:val="center"/>
          </w:tcPr>
          <w:p w14:paraId="60A204F7" w14:textId="77777777" w:rsidR="00447423" w:rsidRPr="002A3CBE" w:rsidRDefault="00447423" w:rsidP="00F16E23">
            <w:pPr>
              <w:pStyle w:val="TableTextBold"/>
              <w:spacing w:before="40" w:after="0"/>
              <w:rPr>
                <w:rFonts w:eastAsia="Calibri"/>
                <w:noProof w:val="0"/>
                <w:color w:val="FFFFFF" w:themeColor="background1"/>
              </w:rPr>
            </w:pPr>
            <w:r w:rsidRPr="002A3CBE">
              <w:rPr>
                <w:rFonts w:eastAsia="Calibri"/>
                <w:noProof w:val="0"/>
                <w:color w:val="FFFFFF" w:themeColor="background1"/>
              </w:rPr>
              <w:t>Net carbon stock change 1990–2024 (kt C)</w:t>
            </w:r>
          </w:p>
        </w:tc>
        <w:tc>
          <w:tcPr>
            <w:tcW w:w="1701" w:type="dxa"/>
            <w:shd w:val="clear" w:color="auto" w:fill="1B556B"/>
            <w:tcMar>
              <w:top w:w="0" w:type="dxa"/>
              <w:left w:w="85" w:type="dxa"/>
              <w:bottom w:w="0" w:type="dxa"/>
              <w:right w:w="85" w:type="dxa"/>
            </w:tcMar>
            <w:vAlign w:val="center"/>
          </w:tcPr>
          <w:p w14:paraId="42A56547" w14:textId="77777777" w:rsidR="00447423" w:rsidRPr="002A3CBE" w:rsidRDefault="00447423" w:rsidP="00F16E23">
            <w:pPr>
              <w:pStyle w:val="TableTextBold"/>
              <w:spacing w:before="40" w:after="0"/>
              <w:jc w:val="right"/>
              <w:rPr>
                <w:rFonts w:eastAsia="Calibri"/>
                <w:noProof w:val="0"/>
                <w:color w:val="FFFFFF" w:themeColor="background1"/>
              </w:rPr>
            </w:pPr>
            <w:r w:rsidRPr="002A3CBE">
              <w:rPr>
                <w:rFonts w:eastAsia="Calibri"/>
                <w:noProof w:val="0"/>
                <w:color w:val="FFFFFF" w:themeColor="background1"/>
              </w:rPr>
              <w:t>Emissions 1990–2024</w:t>
            </w:r>
          </w:p>
        </w:tc>
      </w:tr>
      <w:tr w:rsidR="00447423" w:rsidRPr="002A3CBE" w14:paraId="66085612" w14:textId="77777777" w:rsidTr="00F16E23">
        <w:trPr>
          <w:tblHeader/>
        </w:trPr>
        <w:tc>
          <w:tcPr>
            <w:tcW w:w="1985" w:type="dxa"/>
            <w:shd w:val="clear" w:color="auto" w:fill="1B556B"/>
            <w:tcMar>
              <w:top w:w="0" w:type="dxa"/>
              <w:left w:w="85" w:type="dxa"/>
              <w:bottom w:w="0" w:type="dxa"/>
              <w:right w:w="85" w:type="dxa"/>
            </w:tcMar>
            <w:vAlign w:val="center"/>
          </w:tcPr>
          <w:p w14:paraId="371F2BC0" w14:textId="77777777" w:rsidR="00447423" w:rsidRPr="002A3CBE" w:rsidRDefault="00447423" w:rsidP="00F16E23">
            <w:pPr>
              <w:pStyle w:val="TableTextBold"/>
              <w:spacing w:before="0" w:after="40"/>
              <w:rPr>
                <w:rFonts w:eastAsia="Calibri"/>
                <w:noProof w:val="0"/>
                <w:color w:val="FFFFFF" w:themeColor="background1"/>
              </w:rPr>
            </w:pPr>
            <w:r w:rsidRPr="002A3CBE">
              <w:rPr>
                <w:rFonts w:eastAsia="Calibri"/>
                <w:noProof w:val="0"/>
                <w:color w:val="FFFFFF" w:themeColor="background1"/>
              </w:rPr>
              <w:t>Land use</w:t>
            </w:r>
          </w:p>
        </w:tc>
        <w:tc>
          <w:tcPr>
            <w:tcW w:w="1276" w:type="dxa"/>
            <w:shd w:val="clear" w:color="auto" w:fill="1B556B"/>
            <w:tcMar>
              <w:top w:w="0" w:type="dxa"/>
              <w:left w:w="85" w:type="dxa"/>
              <w:bottom w:w="0" w:type="dxa"/>
              <w:right w:w="85" w:type="dxa"/>
            </w:tcMar>
            <w:vAlign w:val="center"/>
          </w:tcPr>
          <w:p w14:paraId="41DE48C8"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Living biomass</w:t>
            </w:r>
          </w:p>
        </w:tc>
        <w:tc>
          <w:tcPr>
            <w:tcW w:w="1559" w:type="dxa"/>
            <w:shd w:val="clear" w:color="auto" w:fill="1B556B"/>
            <w:tcMar>
              <w:top w:w="0" w:type="dxa"/>
              <w:left w:w="85" w:type="dxa"/>
              <w:bottom w:w="0" w:type="dxa"/>
              <w:right w:w="85" w:type="dxa"/>
            </w:tcMar>
            <w:vAlign w:val="center"/>
          </w:tcPr>
          <w:p w14:paraId="079AE6F1"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Dead organic matter</w:t>
            </w:r>
          </w:p>
        </w:tc>
        <w:tc>
          <w:tcPr>
            <w:tcW w:w="992" w:type="dxa"/>
            <w:shd w:val="clear" w:color="auto" w:fill="1B556B"/>
            <w:tcMar>
              <w:top w:w="0" w:type="dxa"/>
              <w:left w:w="85" w:type="dxa"/>
              <w:bottom w:w="0" w:type="dxa"/>
              <w:right w:w="85" w:type="dxa"/>
            </w:tcMar>
            <w:vAlign w:val="center"/>
          </w:tcPr>
          <w:p w14:paraId="5C9A6D90"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Soils</w:t>
            </w:r>
          </w:p>
        </w:tc>
        <w:tc>
          <w:tcPr>
            <w:tcW w:w="992" w:type="dxa"/>
            <w:shd w:val="clear" w:color="auto" w:fill="1B556B"/>
            <w:tcMar>
              <w:top w:w="0" w:type="dxa"/>
              <w:left w:w="85" w:type="dxa"/>
              <w:bottom w:w="0" w:type="dxa"/>
              <w:right w:w="85" w:type="dxa"/>
            </w:tcMar>
            <w:vAlign w:val="center"/>
          </w:tcPr>
          <w:p w14:paraId="2B6A0821"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Total</w:t>
            </w:r>
          </w:p>
        </w:tc>
        <w:tc>
          <w:tcPr>
            <w:tcW w:w="1701" w:type="dxa"/>
            <w:shd w:val="clear" w:color="auto" w:fill="1B556B"/>
            <w:tcMar>
              <w:top w:w="0" w:type="dxa"/>
              <w:left w:w="85" w:type="dxa"/>
              <w:bottom w:w="0" w:type="dxa"/>
              <w:right w:w="85" w:type="dxa"/>
            </w:tcMar>
            <w:vAlign w:val="center"/>
          </w:tcPr>
          <w:p w14:paraId="1DC69329"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(kt CO₂)</w:t>
            </w:r>
          </w:p>
        </w:tc>
      </w:tr>
      <w:tr w:rsidR="00447423" w:rsidRPr="002A3CBE" w14:paraId="02395CE7" w14:textId="77777777" w:rsidTr="00F16E23">
        <w:tc>
          <w:tcPr>
            <w:tcW w:w="1985" w:type="dxa"/>
            <w:shd w:val="clear" w:color="auto" w:fill="FFFFFF"/>
            <w:tcMar>
              <w:top w:w="0" w:type="dxa"/>
              <w:left w:w="85" w:type="dxa"/>
              <w:bottom w:w="0" w:type="dxa"/>
              <w:right w:w="85" w:type="dxa"/>
            </w:tcMar>
            <w:vAlign w:val="center"/>
          </w:tcPr>
          <w:p w14:paraId="68DAE9FF" w14:textId="77777777" w:rsidR="00447423" w:rsidRPr="002A3CBE" w:rsidRDefault="00447423" w:rsidP="00F16E23">
            <w:pPr>
              <w:pStyle w:val="TableText"/>
              <w:spacing w:before="30" w:after="30"/>
              <w:rPr>
                <w:rFonts w:eastAsia="Calibri"/>
              </w:rPr>
            </w:pPr>
            <w:r w:rsidRPr="002A3CBE">
              <w:rPr>
                <w:rFonts w:eastAsia="Calibri"/>
              </w:rPr>
              <w:t>Wetlands – vegetated</w:t>
            </w:r>
          </w:p>
        </w:tc>
        <w:tc>
          <w:tcPr>
            <w:tcW w:w="1276" w:type="dxa"/>
            <w:shd w:val="clear" w:color="auto" w:fill="FFFFFF"/>
            <w:tcMar>
              <w:top w:w="0" w:type="dxa"/>
              <w:left w:w="85" w:type="dxa"/>
              <w:bottom w:w="0" w:type="dxa"/>
              <w:right w:w="85" w:type="dxa"/>
            </w:tcMar>
            <w:vAlign w:val="center"/>
          </w:tcPr>
          <w:p w14:paraId="314FC656" w14:textId="77777777" w:rsidR="00447423" w:rsidRPr="002A3CBE" w:rsidRDefault="00447423" w:rsidP="00F16E23">
            <w:pPr>
              <w:pStyle w:val="TableText"/>
              <w:spacing w:before="30" w:after="30"/>
              <w:jc w:val="right"/>
              <w:rPr>
                <w:rFonts w:eastAsia="Calibri"/>
              </w:rPr>
            </w:pPr>
            <w:r w:rsidRPr="002A3CBE">
              <w:rPr>
                <w:rFonts w:eastAsia="Calibri"/>
              </w:rPr>
              <w:t>-17.8</w:t>
            </w:r>
          </w:p>
        </w:tc>
        <w:tc>
          <w:tcPr>
            <w:tcW w:w="1559" w:type="dxa"/>
            <w:shd w:val="clear" w:color="auto" w:fill="FFFFFF"/>
            <w:tcMar>
              <w:top w:w="0" w:type="dxa"/>
              <w:left w:w="85" w:type="dxa"/>
              <w:bottom w:w="0" w:type="dxa"/>
              <w:right w:w="85" w:type="dxa"/>
            </w:tcMar>
            <w:vAlign w:val="center"/>
          </w:tcPr>
          <w:p w14:paraId="5C789DE4" w14:textId="77777777" w:rsidR="00447423" w:rsidRPr="002A3CBE" w:rsidRDefault="00447423" w:rsidP="00F16E23">
            <w:pPr>
              <w:pStyle w:val="TableText"/>
              <w:spacing w:before="30" w:after="30"/>
              <w:jc w:val="right"/>
              <w:rPr>
                <w:rFonts w:eastAsia="Calibri"/>
              </w:rPr>
            </w:pPr>
            <w:r w:rsidRPr="002A3CBE">
              <w:rPr>
                <w:rFonts w:eastAsia="Calibri"/>
              </w:rPr>
              <w:t>-2.7</w:t>
            </w:r>
          </w:p>
        </w:tc>
        <w:tc>
          <w:tcPr>
            <w:tcW w:w="992" w:type="dxa"/>
            <w:shd w:val="clear" w:color="auto" w:fill="FFFFFF"/>
            <w:tcMar>
              <w:top w:w="0" w:type="dxa"/>
              <w:left w:w="85" w:type="dxa"/>
              <w:bottom w:w="0" w:type="dxa"/>
              <w:right w:w="85" w:type="dxa"/>
            </w:tcMar>
            <w:vAlign w:val="center"/>
          </w:tcPr>
          <w:p w14:paraId="1A4E2D11" w14:textId="77777777" w:rsidR="00447423" w:rsidRPr="002A3CBE" w:rsidRDefault="00447423" w:rsidP="00F16E23">
            <w:pPr>
              <w:pStyle w:val="TableText"/>
              <w:spacing w:before="30" w:after="30"/>
              <w:jc w:val="right"/>
              <w:rPr>
                <w:rFonts w:eastAsia="Calibri"/>
              </w:rPr>
            </w:pPr>
            <w:r w:rsidRPr="002A3CBE">
              <w:rPr>
                <w:rFonts w:eastAsia="Calibri"/>
              </w:rPr>
              <w:t>15.3</w:t>
            </w:r>
          </w:p>
        </w:tc>
        <w:tc>
          <w:tcPr>
            <w:tcW w:w="992" w:type="dxa"/>
            <w:shd w:val="clear" w:color="auto" w:fill="FFFFFF"/>
            <w:tcMar>
              <w:top w:w="0" w:type="dxa"/>
              <w:left w:w="85" w:type="dxa"/>
              <w:bottom w:w="0" w:type="dxa"/>
              <w:right w:w="85" w:type="dxa"/>
            </w:tcMar>
            <w:vAlign w:val="center"/>
          </w:tcPr>
          <w:p w14:paraId="4423949B" w14:textId="77777777" w:rsidR="00447423" w:rsidRPr="002A3CBE" w:rsidRDefault="00447423" w:rsidP="00F16E23">
            <w:pPr>
              <w:pStyle w:val="TableText"/>
              <w:spacing w:before="30" w:after="30"/>
              <w:jc w:val="right"/>
              <w:rPr>
                <w:rFonts w:eastAsia="Calibri"/>
              </w:rPr>
            </w:pPr>
            <w:r w:rsidRPr="002A3CBE">
              <w:rPr>
                <w:rFonts w:eastAsia="Calibri"/>
              </w:rPr>
              <w:t>-5.2</w:t>
            </w:r>
          </w:p>
        </w:tc>
        <w:tc>
          <w:tcPr>
            <w:tcW w:w="1701" w:type="dxa"/>
            <w:shd w:val="clear" w:color="auto" w:fill="FFFFFF"/>
            <w:tcMar>
              <w:top w:w="0" w:type="dxa"/>
              <w:left w:w="85" w:type="dxa"/>
              <w:bottom w:w="0" w:type="dxa"/>
              <w:right w:w="85" w:type="dxa"/>
            </w:tcMar>
            <w:vAlign w:val="center"/>
          </w:tcPr>
          <w:p w14:paraId="2408D753" w14:textId="77777777" w:rsidR="00447423" w:rsidRPr="002A3CBE" w:rsidRDefault="00447423" w:rsidP="00F16E23">
            <w:pPr>
              <w:pStyle w:val="TableText"/>
              <w:spacing w:before="30" w:after="30"/>
              <w:jc w:val="right"/>
              <w:rPr>
                <w:rFonts w:eastAsia="Calibri"/>
              </w:rPr>
            </w:pPr>
            <w:r w:rsidRPr="002A3CBE">
              <w:rPr>
                <w:rFonts w:eastAsia="Calibri"/>
              </w:rPr>
              <w:t>19.0</w:t>
            </w:r>
          </w:p>
        </w:tc>
      </w:tr>
      <w:tr w:rsidR="00447423" w:rsidRPr="002A3CBE" w14:paraId="10A1FE9D" w14:textId="77777777" w:rsidTr="00F16E23">
        <w:tc>
          <w:tcPr>
            <w:tcW w:w="1985" w:type="dxa"/>
            <w:shd w:val="clear" w:color="auto" w:fill="FFFFFF"/>
            <w:tcMar>
              <w:top w:w="0" w:type="dxa"/>
              <w:left w:w="85" w:type="dxa"/>
              <w:bottom w:w="0" w:type="dxa"/>
              <w:right w:w="85" w:type="dxa"/>
            </w:tcMar>
            <w:vAlign w:val="center"/>
          </w:tcPr>
          <w:p w14:paraId="6DADC3E9" w14:textId="77777777" w:rsidR="00447423" w:rsidRPr="002A3CBE" w:rsidRDefault="00447423" w:rsidP="00F16E23">
            <w:pPr>
              <w:pStyle w:val="TableText"/>
              <w:spacing w:before="30" w:after="30"/>
              <w:rPr>
                <w:rFonts w:eastAsia="Calibri"/>
              </w:rPr>
            </w:pPr>
            <w:r w:rsidRPr="002A3CBE">
              <w:rPr>
                <w:rFonts w:eastAsia="Calibri"/>
              </w:rPr>
              <w:t>Wetlands – open water</w:t>
            </w:r>
          </w:p>
        </w:tc>
        <w:tc>
          <w:tcPr>
            <w:tcW w:w="1276" w:type="dxa"/>
            <w:shd w:val="clear" w:color="auto" w:fill="FFFFFF"/>
            <w:tcMar>
              <w:top w:w="0" w:type="dxa"/>
              <w:left w:w="85" w:type="dxa"/>
              <w:bottom w:w="0" w:type="dxa"/>
              <w:right w:w="85" w:type="dxa"/>
            </w:tcMar>
            <w:vAlign w:val="center"/>
          </w:tcPr>
          <w:p w14:paraId="3E41B21D" w14:textId="77777777" w:rsidR="00447423" w:rsidRPr="002A3CBE" w:rsidRDefault="00447423" w:rsidP="00F16E23">
            <w:pPr>
              <w:pStyle w:val="TableText"/>
              <w:spacing w:before="30" w:after="30"/>
              <w:jc w:val="right"/>
              <w:rPr>
                <w:rFonts w:eastAsia="Calibri"/>
              </w:rPr>
            </w:pPr>
            <w:r w:rsidRPr="002A3CBE">
              <w:rPr>
                <w:rFonts w:eastAsia="Calibri"/>
              </w:rPr>
              <w:t>-102.5</w:t>
            </w:r>
          </w:p>
        </w:tc>
        <w:tc>
          <w:tcPr>
            <w:tcW w:w="1559" w:type="dxa"/>
            <w:shd w:val="clear" w:color="auto" w:fill="FFFFFF"/>
            <w:tcMar>
              <w:top w:w="0" w:type="dxa"/>
              <w:left w:w="85" w:type="dxa"/>
              <w:bottom w:w="0" w:type="dxa"/>
              <w:right w:w="85" w:type="dxa"/>
            </w:tcMar>
            <w:vAlign w:val="center"/>
          </w:tcPr>
          <w:p w14:paraId="795AE5AA" w14:textId="77777777" w:rsidR="00447423" w:rsidRPr="002A3CBE" w:rsidRDefault="00447423" w:rsidP="00F16E23">
            <w:pPr>
              <w:pStyle w:val="TableText"/>
              <w:spacing w:before="30" w:after="30"/>
              <w:jc w:val="right"/>
              <w:rPr>
                <w:rFonts w:eastAsia="Calibri"/>
              </w:rPr>
            </w:pPr>
            <w:r w:rsidRPr="002A3CBE">
              <w:rPr>
                <w:rFonts w:eastAsia="Calibri"/>
              </w:rPr>
              <w:t>-7.2</w:t>
            </w:r>
          </w:p>
        </w:tc>
        <w:tc>
          <w:tcPr>
            <w:tcW w:w="992" w:type="dxa"/>
            <w:shd w:val="clear" w:color="auto" w:fill="FFFFFF"/>
            <w:tcMar>
              <w:top w:w="0" w:type="dxa"/>
              <w:left w:w="85" w:type="dxa"/>
              <w:bottom w:w="0" w:type="dxa"/>
              <w:right w:w="85" w:type="dxa"/>
            </w:tcMar>
            <w:vAlign w:val="center"/>
          </w:tcPr>
          <w:p w14:paraId="2F299083" w14:textId="77777777" w:rsidR="00447423" w:rsidRPr="002A3CBE" w:rsidRDefault="00447423" w:rsidP="00F16E23">
            <w:pPr>
              <w:pStyle w:val="TableText"/>
              <w:spacing w:before="30" w:after="30"/>
              <w:jc w:val="right"/>
              <w:rPr>
                <w:rFonts w:eastAsia="Calibri"/>
              </w:rPr>
            </w:pPr>
            <w:r w:rsidRPr="002A3CBE">
              <w:rPr>
                <w:rFonts w:eastAsia="Calibri"/>
              </w:rPr>
              <w:t>119.2</w:t>
            </w:r>
          </w:p>
        </w:tc>
        <w:tc>
          <w:tcPr>
            <w:tcW w:w="992" w:type="dxa"/>
            <w:shd w:val="clear" w:color="auto" w:fill="FFFFFF"/>
            <w:tcMar>
              <w:top w:w="0" w:type="dxa"/>
              <w:left w:w="85" w:type="dxa"/>
              <w:bottom w:w="0" w:type="dxa"/>
              <w:right w:w="85" w:type="dxa"/>
            </w:tcMar>
            <w:vAlign w:val="center"/>
          </w:tcPr>
          <w:p w14:paraId="6899BED7" w14:textId="77777777" w:rsidR="00447423" w:rsidRPr="002A3CBE" w:rsidRDefault="00447423" w:rsidP="00F16E23">
            <w:pPr>
              <w:pStyle w:val="TableText"/>
              <w:spacing w:before="30" w:after="30"/>
              <w:jc w:val="right"/>
              <w:rPr>
                <w:rFonts w:eastAsia="Calibri"/>
              </w:rPr>
            </w:pPr>
            <w:r w:rsidRPr="002A3CBE">
              <w:rPr>
                <w:rFonts w:eastAsia="Calibri"/>
              </w:rPr>
              <w:t>9.6</w:t>
            </w:r>
          </w:p>
        </w:tc>
        <w:tc>
          <w:tcPr>
            <w:tcW w:w="1701" w:type="dxa"/>
            <w:shd w:val="clear" w:color="auto" w:fill="FFFFFF"/>
            <w:tcMar>
              <w:top w:w="0" w:type="dxa"/>
              <w:left w:w="85" w:type="dxa"/>
              <w:bottom w:w="0" w:type="dxa"/>
              <w:right w:w="85" w:type="dxa"/>
            </w:tcMar>
            <w:vAlign w:val="center"/>
          </w:tcPr>
          <w:p w14:paraId="6D3B225B" w14:textId="77777777" w:rsidR="00447423" w:rsidRPr="002A3CBE" w:rsidRDefault="00447423" w:rsidP="00F16E23">
            <w:pPr>
              <w:pStyle w:val="TableText"/>
              <w:spacing w:before="30" w:after="30"/>
              <w:jc w:val="right"/>
              <w:rPr>
                <w:rFonts w:eastAsia="Calibri"/>
              </w:rPr>
            </w:pPr>
            <w:r w:rsidRPr="002A3CBE">
              <w:rPr>
                <w:rFonts w:eastAsia="Calibri"/>
              </w:rPr>
              <w:t>-35.2</w:t>
            </w:r>
          </w:p>
        </w:tc>
      </w:tr>
      <w:tr w:rsidR="00447423" w:rsidRPr="002A3CBE" w14:paraId="1181862F" w14:textId="77777777" w:rsidTr="00F16E23">
        <w:tc>
          <w:tcPr>
            <w:tcW w:w="1985" w:type="dxa"/>
            <w:shd w:val="clear" w:color="auto" w:fill="FFFFFF"/>
            <w:tcMar>
              <w:top w:w="0" w:type="dxa"/>
              <w:left w:w="85" w:type="dxa"/>
              <w:bottom w:w="0" w:type="dxa"/>
              <w:right w:w="85" w:type="dxa"/>
            </w:tcMar>
            <w:vAlign w:val="center"/>
          </w:tcPr>
          <w:p w14:paraId="31B182C3" w14:textId="77777777" w:rsidR="00447423" w:rsidRPr="002A3CBE" w:rsidRDefault="00447423" w:rsidP="00F16E23">
            <w:pPr>
              <w:pStyle w:val="Tableboldblue"/>
              <w:spacing w:before="30" w:after="30"/>
              <w:rPr>
                <w:rFonts w:eastAsia="Calibri"/>
              </w:rPr>
            </w:pPr>
            <w:r w:rsidRPr="002A3CBE">
              <w:rPr>
                <w:rFonts w:eastAsia="Calibri"/>
              </w:rPr>
              <w:t>Total</w:t>
            </w:r>
          </w:p>
        </w:tc>
        <w:tc>
          <w:tcPr>
            <w:tcW w:w="1276" w:type="dxa"/>
            <w:shd w:val="clear" w:color="auto" w:fill="FFFFFF"/>
            <w:tcMar>
              <w:top w:w="0" w:type="dxa"/>
              <w:left w:w="85" w:type="dxa"/>
              <w:bottom w:w="0" w:type="dxa"/>
              <w:right w:w="85" w:type="dxa"/>
            </w:tcMar>
            <w:vAlign w:val="center"/>
          </w:tcPr>
          <w:p w14:paraId="01F22F63" w14:textId="77777777" w:rsidR="00447423" w:rsidRPr="002A3CBE" w:rsidRDefault="00447423" w:rsidP="00F16E23">
            <w:pPr>
              <w:pStyle w:val="Tableboldblue"/>
              <w:spacing w:before="30" w:after="30"/>
              <w:jc w:val="right"/>
              <w:rPr>
                <w:rFonts w:eastAsia="Calibri"/>
              </w:rPr>
            </w:pPr>
            <w:r w:rsidRPr="002A3CBE">
              <w:rPr>
                <w:rFonts w:eastAsia="Calibri"/>
              </w:rPr>
              <w:t>-120.3</w:t>
            </w:r>
          </w:p>
        </w:tc>
        <w:tc>
          <w:tcPr>
            <w:tcW w:w="1559" w:type="dxa"/>
            <w:shd w:val="clear" w:color="auto" w:fill="FFFFFF"/>
            <w:tcMar>
              <w:top w:w="0" w:type="dxa"/>
              <w:left w:w="85" w:type="dxa"/>
              <w:bottom w:w="0" w:type="dxa"/>
              <w:right w:w="85" w:type="dxa"/>
            </w:tcMar>
            <w:vAlign w:val="center"/>
          </w:tcPr>
          <w:p w14:paraId="43109373" w14:textId="77777777" w:rsidR="00447423" w:rsidRPr="002A3CBE" w:rsidRDefault="00447423" w:rsidP="00F16E23">
            <w:pPr>
              <w:pStyle w:val="Tableboldblue"/>
              <w:spacing w:before="30" w:after="30"/>
              <w:jc w:val="right"/>
              <w:rPr>
                <w:rFonts w:eastAsia="Calibri"/>
              </w:rPr>
            </w:pPr>
            <w:r w:rsidRPr="002A3CBE">
              <w:rPr>
                <w:rFonts w:eastAsia="Calibri"/>
              </w:rPr>
              <w:t>-9.8</w:t>
            </w:r>
          </w:p>
        </w:tc>
        <w:tc>
          <w:tcPr>
            <w:tcW w:w="992" w:type="dxa"/>
            <w:shd w:val="clear" w:color="auto" w:fill="FFFFFF"/>
            <w:tcMar>
              <w:top w:w="0" w:type="dxa"/>
              <w:left w:w="85" w:type="dxa"/>
              <w:bottom w:w="0" w:type="dxa"/>
              <w:right w:w="85" w:type="dxa"/>
            </w:tcMar>
            <w:vAlign w:val="center"/>
          </w:tcPr>
          <w:p w14:paraId="6DF57C3E" w14:textId="77777777" w:rsidR="00447423" w:rsidRPr="002A3CBE" w:rsidRDefault="00447423" w:rsidP="00F16E23">
            <w:pPr>
              <w:pStyle w:val="Tableboldblue"/>
              <w:spacing w:before="30" w:after="30"/>
              <w:jc w:val="right"/>
              <w:rPr>
                <w:rFonts w:eastAsia="Calibri"/>
              </w:rPr>
            </w:pPr>
            <w:r w:rsidRPr="002A3CBE">
              <w:rPr>
                <w:rFonts w:eastAsia="Calibri"/>
              </w:rPr>
              <w:t>134.6</w:t>
            </w:r>
          </w:p>
        </w:tc>
        <w:tc>
          <w:tcPr>
            <w:tcW w:w="992" w:type="dxa"/>
            <w:shd w:val="clear" w:color="auto" w:fill="FFFFFF"/>
            <w:tcMar>
              <w:top w:w="0" w:type="dxa"/>
              <w:left w:w="85" w:type="dxa"/>
              <w:bottom w:w="0" w:type="dxa"/>
              <w:right w:w="85" w:type="dxa"/>
            </w:tcMar>
            <w:vAlign w:val="center"/>
          </w:tcPr>
          <w:p w14:paraId="7DAC42B7" w14:textId="77777777" w:rsidR="00447423" w:rsidRPr="002A3CBE" w:rsidRDefault="00447423" w:rsidP="00F16E23">
            <w:pPr>
              <w:pStyle w:val="Tableboldblue"/>
              <w:spacing w:before="30" w:after="30"/>
              <w:jc w:val="right"/>
              <w:rPr>
                <w:rFonts w:eastAsia="Calibri"/>
              </w:rPr>
            </w:pPr>
            <w:r w:rsidRPr="002A3CBE">
              <w:rPr>
                <w:rFonts w:eastAsia="Calibri"/>
              </w:rPr>
              <w:t>4.4</w:t>
            </w:r>
          </w:p>
        </w:tc>
        <w:tc>
          <w:tcPr>
            <w:tcW w:w="1701" w:type="dxa"/>
            <w:shd w:val="clear" w:color="auto" w:fill="FFFFFF"/>
            <w:tcMar>
              <w:top w:w="0" w:type="dxa"/>
              <w:left w:w="85" w:type="dxa"/>
              <w:bottom w:w="0" w:type="dxa"/>
              <w:right w:w="85" w:type="dxa"/>
            </w:tcMar>
            <w:vAlign w:val="center"/>
          </w:tcPr>
          <w:p w14:paraId="548871C5" w14:textId="77777777" w:rsidR="00447423" w:rsidRPr="002A3CBE" w:rsidRDefault="00447423" w:rsidP="00F16E23">
            <w:pPr>
              <w:pStyle w:val="Tableboldblue"/>
              <w:spacing w:before="30" w:after="30"/>
              <w:jc w:val="right"/>
              <w:rPr>
                <w:rFonts w:eastAsia="Calibri"/>
              </w:rPr>
            </w:pPr>
            <w:r w:rsidRPr="002A3CBE">
              <w:rPr>
                <w:rFonts w:eastAsia="Calibri"/>
              </w:rPr>
              <w:t>-16.3</w:t>
            </w:r>
          </w:p>
        </w:tc>
      </w:tr>
    </w:tbl>
    <w:p w14:paraId="310576F7" w14:textId="77777777" w:rsidR="00447423" w:rsidRPr="002A3CBE" w:rsidRDefault="00447423" w:rsidP="00447423">
      <w:pPr>
        <w:pStyle w:val="Noteundertable"/>
        <w:ind w:left="0" w:firstLine="0"/>
      </w:pPr>
      <w:r w:rsidRPr="002A3CBE">
        <w:rPr>
          <w:b/>
        </w:rPr>
        <w:t xml:space="preserve">Note: </w:t>
      </w:r>
      <w:r w:rsidRPr="002A3CBE">
        <w:rPr>
          <w:b/>
        </w:rPr>
        <w:tab/>
      </w:r>
      <w:r w:rsidRPr="002A3CBE">
        <w:t xml:space="preserve">Columns may not total due to rounding. </w:t>
      </w:r>
    </w:p>
    <w:p w14:paraId="39B1BCEB" w14:textId="77777777" w:rsidR="00447423" w:rsidRPr="002A3CBE" w:rsidRDefault="00447423" w:rsidP="00447423">
      <w:pPr>
        <w:pStyle w:val="Heading3"/>
        <w:spacing w:before="320"/>
      </w:pPr>
      <w:r w:rsidRPr="002A3CBE">
        <w:t>6.7.2</w:t>
      </w:r>
      <w:r w:rsidRPr="002A3CBE">
        <w:tab/>
        <w:t>Methodological issues</w:t>
      </w:r>
    </w:p>
    <w:p w14:paraId="72A95F61" w14:textId="77777777" w:rsidR="00447423" w:rsidRPr="002A3CBE" w:rsidRDefault="00447423" w:rsidP="00447423">
      <w:pPr>
        <w:pStyle w:val="Heading4"/>
        <w:spacing w:before="180"/>
      </w:pPr>
      <w:r w:rsidRPr="002A3CBE">
        <w:t>Wetlands remaining wetlands (4.D.1)</w:t>
      </w:r>
    </w:p>
    <w:p w14:paraId="66BD0E89" w14:textId="77777777" w:rsidR="00447423" w:rsidRPr="002A3CBE" w:rsidRDefault="00447423" w:rsidP="00447423">
      <w:pPr>
        <w:pStyle w:val="Heading5"/>
        <w:spacing w:before="180"/>
      </w:pPr>
      <w:r w:rsidRPr="002A3CBE">
        <w:t xml:space="preserve">Living biomass and dead organic matter </w:t>
      </w:r>
    </w:p>
    <w:p w14:paraId="7DE3992C" w14:textId="77777777" w:rsidR="00447423" w:rsidRPr="002A3CBE" w:rsidRDefault="00447423" w:rsidP="00447423">
      <w:pPr>
        <w:pStyle w:val="BodyText"/>
        <w:spacing w:before="80" w:after="100"/>
      </w:pPr>
      <w:r w:rsidRPr="002A3CBE">
        <w:t>New Zealand applies Tier 1 methods for estimating CO</w:t>
      </w:r>
      <w:r w:rsidRPr="002A3CBE">
        <w:rPr>
          <w:vertAlign w:val="subscript"/>
        </w:rPr>
        <w:t>2</w:t>
      </w:r>
      <w:r w:rsidRPr="002A3CBE">
        <w:t xml:space="preserve"> emissions in </w:t>
      </w:r>
      <w:r w:rsidRPr="002A3CBE">
        <w:rPr>
          <w:i/>
        </w:rPr>
        <w:t>Wetlands remaining wetlands</w:t>
      </w:r>
      <w:r w:rsidRPr="002A3CBE">
        <w:t xml:space="preserve"> (following the guidance provided in section 7.1 of the 2006 IPCC Guidelines</w:t>
      </w:r>
      <w:r w:rsidRPr="002A3CBE" w:rsidDel="0015189E">
        <w:t xml:space="preserve"> </w:t>
      </w:r>
      <w:r w:rsidRPr="002A3CBE">
        <w:t xml:space="preserve">(IPCC, 2006a)). Improvements planned for methods in the </w:t>
      </w:r>
      <w:r w:rsidRPr="002A3CBE">
        <w:rPr>
          <w:i/>
          <w:iCs/>
        </w:rPr>
        <w:t>Wetlands</w:t>
      </w:r>
      <w:r w:rsidRPr="002A3CBE">
        <w:t xml:space="preserve"> category are outlined in section 6.7.6. Chapter 7 of the 2006 IPCC Guidelines (IPCC, 2006a) provides guidance for estimating emissions from flooded land and extraction from peat land. Recultivation of peat land is included under the Agriculture sector.</w:t>
      </w:r>
    </w:p>
    <w:p w14:paraId="1F783368" w14:textId="77777777" w:rsidR="00447423" w:rsidRPr="002A3CBE" w:rsidRDefault="00447423" w:rsidP="00447423">
      <w:pPr>
        <w:pStyle w:val="BodyText"/>
        <w:spacing w:before="100" w:after="100"/>
      </w:pPr>
      <w:r w:rsidRPr="002A3CBE">
        <w:t xml:space="preserve">Due to the current lack of data on biomass carbon stock change in </w:t>
      </w:r>
      <w:r w:rsidRPr="002A3CBE">
        <w:rPr>
          <w:i/>
        </w:rPr>
        <w:t>Wetlands remaining wetlands</w:t>
      </w:r>
      <w:r w:rsidRPr="002A3CBE">
        <w:t>, New Zealand has not prepared estimates for change in living biomass or dead organic matter for this category. New Zealand reports the notation key NE in the CRT for this category. However, carbon stock changes associated with changes between the two wetland sub-categories (</w:t>
      </w:r>
      <w:r w:rsidRPr="002A3CBE">
        <w:rPr>
          <w:i/>
          <w:iCs/>
        </w:rPr>
        <w:t>Wetlands – vegetated</w:t>
      </w:r>
      <w:r w:rsidRPr="002A3CBE">
        <w:t xml:space="preserve"> and </w:t>
      </w:r>
      <w:r w:rsidRPr="002A3CBE">
        <w:rPr>
          <w:i/>
          <w:iCs/>
        </w:rPr>
        <w:t>Wetlands – open water</w:t>
      </w:r>
      <w:r w:rsidRPr="002A3CBE">
        <w:t xml:space="preserve">) are reported under </w:t>
      </w:r>
      <w:r w:rsidRPr="002A3CBE">
        <w:rPr>
          <w:i/>
          <w:iCs/>
        </w:rPr>
        <w:t>Wetlands remaining wetlands</w:t>
      </w:r>
      <w:r w:rsidRPr="002A3CBE">
        <w:t>.</w:t>
      </w:r>
    </w:p>
    <w:p w14:paraId="6158F186" w14:textId="77777777" w:rsidR="00447423" w:rsidRPr="002A3CBE" w:rsidRDefault="00447423" w:rsidP="00447423">
      <w:pPr>
        <w:pStyle w:val="Heading5"/>
      </w:pPr>
      <w:r w:rsidRPr="002A3CBE">
        <w:t xml:space="preserve">Soil organic carbon </w:t>
      </w:r>
    </w:p>
    <w:p w14:paraId="2C368C3B" w14:textId="77777777" w:rsidR="00447423" w:rsidRPr="002A3CBE" w:rsidRDefault="00447423" w:rsidP="00447423">
      <w:pPr>
        <w:pStyle w:val="BodyText"/>
        <w:spacing w:before="80" w:after="100"/>
      </w:pPr>
      <w:r w:rsidRPr="002A3CBE">
        <w:rPr>
          <w:spacing w:val="-2"/>
        </w:rPr>
        <w:t xml:space="preserve">Soil organic carbon stocks in </w:t>
      </w:r>
      <w:r w:rsidRPr="002A3CBE">
        <w:rPr>
          <w:i/>
          <w:spacing w:val="-2"/>
        </w:rPr>
        <w:t>Wetlands remaining wetlands</w:t>
      </w:r>
      <w:r w:rsidRPr="002A3CBE">
        <w:rPr>
          <w:spacing w:val="-2"/>
        </w:rPr>
        <w:t xml:space="preserve"> are estimated using a Tier 2 method for mineral soils and Tier 1 methods for organic soils (see volume 2, annex 5, section A5.2.4). For open water,</w:t>
      </w:r>
      <w:r w:rsidRPr="002A3CBE">
        <w:t xml:space="preserve"> the SOC stock at equilibrium is assumed to be the same value as that of low producing grassland</w:t>
      </w:r>
      <w:r w:rsidRPr="002A3CBE" w:rsidDel="008B41C2">
        <w:t>.</w:t>
      </w:r>
      <w:r w:rsidRPr="002A3CBE">
        <w:t xml:space="preserve"> </w:t>
      </w:r>
    </w:p>
    <w:p w14:paraId="43AE7226" w14:textId="77777777" w:rsidR="00447423" w:rsidRPr="002A3CBE" w:rsidRDefault="00447423" w:rsidP="00447423">
      <w:pPr>
        <w:pStyle w:val="BodyText"/>
        <w:spacing w:before="100" w:after="100"/>
      </w:pPr>
      <w:r w:rsidRPr="002A3CBE">
        <w:t>For mineral soils, as with living biomass and dead organic matter, there are no emissions for wetlands in steady state, so the notation key NE is used, in accordance with Decision 24/CP.19 (UNFCCC, 2014).</w:t>
      </w:r>
    </w:p>
    <w:p w14:paraId="165DF6EC" w14:textId="77777777" w:rsidR="00447423" w:rsidRPr="002A3CBE" w:rsidRDefault="00447423" w:rsidP="00447423">
      <w:pPr>
        <w:pStyle w:val="BodyText"/>
        <w:spacing w:before="100" w:after="100"/>
      </w:pPr>
      <w:r w:rsidRPr="002A3CBE">
        <w:t>For organic soils, IPCC good practice guidance is limited to the estimation of CO</w:t>
      </w:r>
      <w:r w:rsidRPr="002A3CBE">
        <w:rPr>
          <w:vertAlign w:val="subscript"/>
        </w:rPr>
        <w:t>2</w:t>
      </w:r>
      <w:r w:rsidRPr="002A3CBE">
        <w:t xml:space="preserve"> emissions associated with peat extraction. In New Zealand, oligotrophic Sphagnum peat is mined for horticultural use (Clarkson, unpublished). Carbon dioxide emissions from the extraction of horticultural peat are estimated from two sources: on-site emissions from peat production and off-site emissions from its subsequent use. Tier 1 default emission factors are applied. </w:t>
      </w:r>
      <w:r w:rsidRPr="002A3CBE">
        <w:rPr>
          <w:spacing w:val="-2"/>
        </w:rPr>
        <w:t>Non-CO</w:t>
      </w:r>
      <w:r w:rsidRPr="002A3CBE">
        <w:rPr>
          <w:spacing w:val="-2"/>
          <w:vertAlign w:val="subscript"/>
        </w:rPr>
        <w:t>2</w:t>
      </w:r>
      <w:r w:rsidRPr="002A3CBE">
        <w:rPr>
          <w:spacing w:val="-2"/>
        </w:rPr>
        <w:t xml:space="preserve"> emissions are not estimated because there is no method for estimating N</w:t>
      </w:r>
      <w:r w:rsidRPr="002A3CBE">
        <w:rPr>
          <w:spacing w:val="-2"/>
          <w:vertAlign w:val="subscript"/>
        </w:rPr>
        <w:t>2</w:t>
      </w:r>
      <w:r w:rsidRPr="002A3CBE">
        <w:rPr>
          <w:spacing w:val="-2"/>
        </w:rPr>
        <w:t>O emissions</w:t>
      </w:r>
      <w:r w:rsidRPr="002A3CBE">
        <w:t xml:space="preserve"> from the extraction of nutrient-poor peat and no CH</w:t>
      </w:r>
      <w:r w:rsidRPr="002A3CBE">
        <w:rPr>
          <w:vertAlign w:val="subscript"/>
        </w:rPr>
        <w:t>4</w:t>
      </w:r>
      <w:r w:rsidRPr="002A3CBE">
        <w:t xml:space="preserve"> emissions occur from this activity.</w:t>
      </w:r>
      <w:r w:rsidRPr="002A3CBE" w:rsidDel="009722AE">
        <w:t xml:space="preserve"> </w:t>
      </w:r>
      <w:r w:rsidRPr="002A3CBE">
        <w:t>New Zealand is following the methodology for reporting N</w:t>
      </w:r>
      <w:r w:rsidRPr="002A3CBE">
        <w:rPr>
          <w:vertAlign w:val="subscript"/>
        </w:rPr>
        <w:t>2</w:t>
      </w:r>
      <w:r w:rsidRPr="002A3CBE">
        <w:t>O emissions from</w:t>
      </w:r>
      <w:r w:rsidRPr="002A3CBE">
        <w:rPr>
          <w:i/>
        </w:rPr>
        <w:t xml:space="preserve"> Wetlands remaining </w:t>
      </w:r>
      <w:r w:rsidRPr="002A3CBE">
        <w:t>w</w:t>
      </w:r>
      <w:r w:rsidRPr="002A3CBE">
        <w:rPr>
          <w:i/>
          <w:spacing w:val="-2"/>
        </w:rPr>
        <w:t>etlands</w:t>
      </w:r>
      <w:r w:rsidRPr="002A3CBE">
        <w:rPr>
          <w:iCs/>
          <w:spacing w:val="-2"/>
        </w:rPr>
        <w:t>,</w:t>
      </w:r>
      <w:r w:rsidRPr="002A3CBE">
        <w:rPr>
          <w:spacing w:val="-2"/>
        </w:rPr>
        <w:t xml:space="preserve"> in line with volume 4, section 7.2.1.2 of the 2006 IPCC Guidelines (IPCC, 2006a). </w:t>
      </w:r>
    </w:p>
    <w:p w14:paraId="2DD66A6B" w14:textId="77777777" w:rsidR="00447423" w:rsidRPr="002A3CBE" w:rsidRDefault="00447423" w:rsidP="00447423">
      <w:pPr>
        <w:pStyle w:val="Heading5"/>
      </w:pPr>
      <w:r w:rsidRPr="002A3CBE">
        <w:t>Activity data</w:t>
      </w:r>
    </w:p>
    <w:p w14:paraId="15BD4492" w14:textId="77777777" w:rsidR="00447423" w:rsidRPr="002A3CBE" w:rsidRDefault="00447423" w:rsidP="00447423">
      <w:pPr>
        <w:pStyle w:val="BodyText"/>
      </w:pPr>
      <w:r w:rsidRPr="002A3CBE">
        <w:t xml:space="preserve">The </w:t>
      </w:r>
      <w:r w:rsidRPr="002A3CBE">
        <w:rPr>
          <w:i/>
          <w:iCs/>
        </w:rPr>
        <w:t>V</w:t>
      </w:r>
      <w:r w:rsidRPr="002A3CBE">
        <w:rPr>
          <w:i/>
        </w:rPr>
        <w:t>egetated wetland</w:t>
      </w:r>
      <w:r w:rsidRPr="002A3CBE">
        <w:t xml:space="preserve"> category includes areas of forest that are part of the wetland ecosystem. Where the forest area has been judged to be part of the wetland ecosystem, it has been classed as vegetated wetland.</w:t>
      </w:r>
    </w:p>
    <w:p w14:paraId="18FC4346" w14:textId="77777777" w:rsidR="00447423" w:rsidRPr="002A3CBE" w:rsidRDefault="00447423" w:rsidP="00447423">
      <w:pPr>
        <w:pStyle w:val="Heading4"/>
      </w:pPr>
      <w:r w:rsidRPr="002A3CBE">
        <w:t>Land converted to wetlands (4.D.2)</w:t>
      </w:r>
    </w:p>
    <w:p w14:paraId="20AD8AAE" w14:textId="77777777" w:rsidR="00447423" w:rsidRPr="002A3CBE" w:rsidRDefault="00447423" w:rsidP="00447423">
      <w:pPr>
        <w:pStyle w:val="BodyText"/>
      </w:pPr>
      <w:r w:rsidRPr="002A3CBE">
        <w:t>Between 1990 and 2024, 11,215 hectares of land were converted to</w:t>
      </w:r>
      <w:r w:rsidRPr="002A3CBE">
        <w:rPr>
          <w:i/>
        </w:rPr>
        <w:t xml:space="preserve"> Wetlands</w:t>
      </w:r>
      <w:r w:rsidRPr="002A3CBE">
        <w:t xml:space="preserve">, while 14,501 hectares of </w:t>
      </w:r>
      <w:r w:rsidRPr="002A3CBE">
        <w:rPr>
          <w:i/>
        </w:rPr>
        <w:t>Wetlands</w:t>
      </w:r>
      <w:r w:rsidRPr="002A3CBE">
        <w:t xml:space="preserve"> were converted to other land uses (mainly </w:t>
      </w:r>
      <w:r w:rsidRPr="002A3CBE">
        <w:rPr>
          <w:i/>
        </w:rPr>
        <w:t>Grassland</w:t>
      </w:r>
      <w:r w:rsidRPr="002A3CBE">
        <w:rPr>
          <w:iCs/>
        </w:rPr>
        <w:t>,</w:t>
      </w:r>
      <w:r w:rsidRPr="002A3CBE">
        <w:t xml:space="preserve"> at 8,817 hectares). This resulted in a net decrease in total area reported under </w:t>
      </w:r>
      <w:r w:rsidRPr="002A3CBE">
        <w:rPr>
          <w:i/>
        </w:rPr>
        <w:t>Wetlands</w:t>
      </w:r>
      <w:r w:rsidRPr="002A3CBE">
        <w:t xml:space="preserve"> of 3,286 hectares. The wetland losses were mainly related to the conversion of vegetated </w:t>
      </w:r>
      <w:r w:rsidRPr="002A3CBE">
        <w:rPr>
          <w:spacing w:val="-2"/>
        </w:rPr>
        <w:t>wetland to grassland (</w:t>
      </w:r>
      <w:r w:rsidRPr="002A3CBE">
        <w:t xml:space="preserve">8,277 </w:t>
      </w:r>
      <w:r w:rsidRPr="002A3CBE">
        <w:rPr>
          <w:spacing w:val="-2"/>
        </w:rPr>
        <w:t>hectares). Increases in the area of wetland open water (</w:t>
      </w:r>
      <w:r w:rsidRPr="002A3CBE">
        <w:t>11,243 </w:t>
      </w:r>
      <w:r w:rsidRPr="002A3CBE">
        <w:rPr>
          <w:spacing w:val="-2"/>
        </w:rPr>
        <w:t>hectares)</w:t>
      </w:r>
      <w:r w:rsidRPr="002A3CBE">
        <w:t xml:space="preserve"> are mainly due to the development of irrigation ponds in the Canterbury and Otago regions. However, on visual inspection of the 2020 land use map, it was determined that approximately 1,000 hectares of new open water have resulted from new lakes forming within the Southern Alps, often at the foot of glaciers.</w:t>
      </w:r>
    </w:p>
    <w:p w14:paraId="3CADFC2B" w14:textId="77777777" w:rsidR="00447423" w:rsidRPr="002A3CBE" w:rsidRDefault="00447423" w:rsidP="00447423">
      <w:pPr>
        <w:pStyle w:val="BodyText"/>
        <w:spacing w:before="100" w:after="100"/>
      </w:pPr>
      <w:r w:rsidRPr="002A3CBE">
        <w:rPr>
          <w:iCs/>
        </w:rPr>
        <w:t xml:space="preserve">Emissions from </w:t>
      </w:r>
      <w:r w:rsidRPr="002A3CBE">
        <w:rPr>
          <w:i/>
        </w:rPr>
        <w:t>Land converted to peat extraction</w:t>
      </w:r>
      <w:r w:rsidRPr="002A3CBE">
        <w:t xml:space="preserve"> are reported in the CRTs as NE because the areas under peat extraction have remained static since 1990. For </w:t>
      </w:r>
      <w:r w:rsidRPr="002A3CBE">
        <w:rPr>
          <w:i/>
        </w:rPr>
        <w:t>Land converted to flooded land</w:t>
      </w:r>
      <w:r w:rsidRPr="002A3CBE">
        <w:t xml:space="preserve">, the area is included in the area mapped as </w:t>
      </w:r>
      <w:r w:rsidRPr="002A3CBE">
        <w:rPr>
          <w:i/>
        </w:rPr>
        <w:t>Land converted to open water</w:t>
      </w:r>
      <w:r w:rsidRPr="002A3CBE">
        <w:t xml:space="preserve"> (this category includes naturally occurring open water (natural lakes) as well as intentionally flooded land). </w:t>
      </w:r>
      <w:r w:rsidRPr="002A3CBE">
        <w:rPr>
          <w:spacing w:val="-2"/>
        </w:rPr>
        <w:t xml:space="preserve">This means emissions for </w:t>
      </w:r>
      <w:r w:rsidRPr="002A3CBE">
        <w:rPr>
          <w:i/>
          <w:spacing w:val="-2"/>
        </w:rPr>
        <w:t>Land converted to flooded land</w:t>
      </w:r>
      <w:r w:rsidRPr="002A3CBE">
        <w:rPr>
          <w:spacing w:val="-2"/>
        </w:rPr>
        <w:t xml:space="preserve"> are reported as IE (included elsewhere</w:t>
      </w:r>
      <w:r w:rsidRPr="002A3CBE">
        <w:t xml:space="preserve">), and these emissions are captured under </w:t>
      </w:r>
      <w:r w:rsidRPr="002A3CBE">
        <w:rPr>
          <w:i/>
        </w:rPr>
        <w:t>Land converted to open water</w:t>
      </w:r>
      <w:r w:rsidRPr="002A3CBE">
        <w:t xml:space="preserve"> instead.</w:t>
      </w:r>
    </w:p>
    <w:p w14:paraId="79AFD7FB" w14:textId="77777777" w:rsidR="00447423" w:rsidRPr="002A3CBE" w:rsidRDefault="00447423" w:rsidP="00447423">
      <w:pPr>
        <w:pStyle w:val="Heading5"/>
      </w:pPr>
      <w:r w:rsidRPr="002A3CBE">
        <w:t xml:space="preserve">Living biomass and dead organic matter </w:t>
      </w:r>
    </w:p>
    <w:p w14:paraId="69FDBAA2" w14:textId="77777777" w:rsidR="00447423" w:rsidRPr="002A3CBE" w:rsidRDefault="00447423" w:rsidP="00447423">
      <w:pPr>
        <w:pStyle w:val="BodyText"/>
        <w:spacing w:before="100"/>
        <w:rPr>
          <w:spacing w:val="-2"/>
        </w:rPr>
      </w:pPr>
      <w:r w:rsidRPr="002A3CBE">
        <w:rPr>
          <w:spacing w:val="-2"/>
        </w:rPr>
        <w:t xml:space="preserve">New Zealand uses a combination of Tier 1 and Tier 2 methods to calculate emissions from </w:t>
      </w:r>
      <w:r w:rsidRPr="002A3CBE">
        <w:rPr>
          <w:i/>
          <w:spacing w:val="-2"/>
        </w:rPr>
        <w:t>Land converted to wetlands</w:t>
      </w:r>
      <w:r w:rsidRPr="002A3CBE">
        <w:rPr>
          <w:spacing w:val="-2"/>
        </w:rPr>
        <w:t xml:space="preserve"> (IPCC, 2006a, equation 7.10). The Tier 1 method assumes the carbon in living biomass and dead organic matter present before conversion is lost in the same year as the conversion takes place. </w:t>
      </w:r>
      <w:r w:rsidRPr="002A3CBE">
        <w:t xml:space="preserve">All emissions from land-use change to </w:t>
      </w:r>
      <w:r w:rsidRPr="002A3CBE">
        <w:rPr>
          <w:i/>
        </w:rPr>
        <w:t>Wetlands</w:t>
      </w:r>
      <w:r w:rsidRPr="002A3CBE">
        <w:t xml:space="preserve"> from the removal of the previous vegetation are instantly emitted.</w:t>
      </w:r>
    </w:p>
    <w:p w14:paraId="45EDBBD5" w14:textId="77777777" w:rsidR="00447423" w:rsidRPr="002A3CBE" w:rsidRDefault="00447423" w:rsidP="00447423">
      <w:pPr>
        <w:pStyle w:val="BodyText"/>
      </w:pPr>
      <w:r w:rsidRPr="002A3CBE">
        <w:rPr>
          <w:spacing w:val="-2"/>
        </w:rPr>
        <w:t>For open water wetlands, the carbon stocks in living biomass and dead organic matter following</w:t>
      </w:r>
      <w:r w:rsidRPr="002A3CBE">
        <w:t xml:space="preserve"> conversions are equal to zero. For </w:t>
      </w:r>
      <w:r w:rsidRPr="002A3CBE">
        <w:rPr>
          <w:i/>
        </w:rPr>
        <w:t>Vegetated wetlands</w:t>
      </w:r>
      <w:r w:rsidRPr="002A3CBE">
        <w:t xml:space="preserve">, a Tier 2 method is used that includes </w:t>
      </w:r>
      <w:r w:rsidRPr="002A3CBE">
        <w:rPr>
          <w:spacing w:val="-2"/>
        </w:rPr>
        <w:t>changes in carbon stocks from the year of conversion into this category, as outlined in equation 2.9</w:t>
      </w:r>
      <w:r w:rsidRPr="002A3CBE">
        <w:t xml:space="preserve"> of the 2006 IPCC Guidelines (IPCC, 2006a).</w:t>
      </w:r>
      <w:r w:rsidRPr="002A3CBE" w:rsidDel="001D2727">
        <w:t xml:space="preserve"> </w:t>
      </w:r>
      <w:r w:rsidRPr="002A3CBE">
        <w:t xml:space="preserve">When land is converted to </w:t>
      </w:r>
      <w:r w:rsidRPr="002A3CBE">
        <w:rPr>
          <w:i/>
        </w:rPr>
        <w:t>Vegetated wetlands</w:t>
      </w:r>
      <w:r w:rsidRPr="002A3CBE">
        <w:t>, living biomass accumulates 1.4 tonnes C ha</w:t>
      </w:r>
      <w:r w:rsidRPr="002A3CBE">
        <w:rPr>
          <w:vertAlign w:val="superscript"/>
        </w:rPr>
        <w:t>–1</w:t>
      </w:r>
      <w:r w:rsidRPr="002A3CBE">
        <w:t xml:space="preserve"> yr</w:t>
      </w:r>
      <w:r w:rsidRPr="002A3CBE">
        <w:rPr>
          <w:vertAlign w:val="superscript"/>
        </w:rPr>
        <w:t>–1</w:t>
      </w:r>
      <w:r w:rsidRPr="002A3CBE">
        <w:t xml:space="preserve"> (table 6.7.3) over 20 years (the IPCC default period for land to reach steady state (IPCC, 2006a)). This rate of accumulation is based on a literature review of carbon stocks in New Zealand wetland vegetation (Easdale et al., 2022). Due to the methods used in the review, the above-ground component of the estimated accumulation rate is based on biomass estimates of living and dead plant material as well as coarse dead wood for the woody vegetation types that are included in the </w:t>
      </w:r>
      <w:r w:rsidRPr="002A3CBE">
        <w:rPr>
          <w:i/>
        </w:rPr>
        <w:t>Vegetated wetland</w:t>
      </w:r>
      <w:r w:rsidRPr="002A3CBE">
        <w:t xml:space="preserve"> category (Easdale et al., 2022). </w:t>
      </w:r>
    </w:p>
    <w:p w14:paraId="4C4BB232" w14:textId="77777777" w:rsidR="00447423" w:rsidRPr="002A3CBE" w:rsidRDefault="00447423" w:rsidP="00447423">
      <w:pPr>
        <w:pStyle w:val="Table"/>
      </w:pPr>
      <w:bookmarkStart w:id="2643" w:name="_Toc131591416"/>
      <w:bookmarkStart w:id="2644" w:name="_Toc158979974"/>
      <w:bookmarkStart w:id="2645" w:name="_Toc164153907"/>
      <w:bookmarkStart w:id="2646" w:name="_Toc190873141"/>
      <w:bookmarkStart w:id="2647" w:name="_Toc194241780"/>
      <w:bookmarkStart w:id="2648" w:name="_Toc222837931"/>
      <w:bookmarkStart w:id="2649" w:name="_Toc226669077"/>
      <w:r w:rsidRPr="002A3CBE">
        <w:t>Table 6.7.3</w:t>
      </w:r>
      <w:r w:rsidRPr="002A3CBE">
        <w:tab/>
        <w:t xml:space="preserve">Summary of New Zealand’s biomass emission factors for </w:t>
      </w:r>
      <w:r w:rsidRPr="002A3CBE">
        <w:rPr>
          <w:i/>
        </w:rPr>
        <w:t>Wetlands</w:t>
      </w:r>
      <w:bookmarkEnd w:id="2643"/>
      <w:bookmarkEnd w:id="2644"/>
      <w:bookmarkEnd w:id="2645"/>
      <w:bookmarkEnd w:id="2646"/>
      <w:bookmarkEnd w:id="2647"/>
      <w:bookmarkEnd w:id="2648"/>
      <w:bookmarkEnd w:id="2649"/>
    </w:p>
    <w:tbl>
      <w:tblPr>
        <w:tblW w:w="8505" w:type="dxa"/>
        <w:tblLook w:val="04A0" w:firstRow="1" w:lastRow="0" w:firstColumn="1" w:lastColumn="0" w:noHBand="0" w:noVBand="1"/>
      </w:tblPr>
      <w:tblGrid>
        <w:gridCol w:w="1246"/>
        <w:gridCol w:w="1589"/>
        <w:gridCol w:w="1276"/>
        <w:gridCol w:w="1276"/>
        <w:gridCol w:w="1134"/>
        <w:gridCol w:w="1984"/>
      </w:tblGrid>
      <w:tr w:rsidR="00447423" w:rsidRPr="002A3CBE" w14:paraId="221C0114" w14:textId="77777777" w:rsidTr="00F16E23">
        <w:trPr>
          <w:trHeight w:val="20"/>
          <w:tblHeader/>
        </w:trPr>
        <w:tc>
          <w:tcPr>
            <w:tcW w:w="1246" w:type="dxa"/>
            <w:tcBorders>
              <w:top w:val="single" w:sz="4" w:space="0" w:color="1B556B"/>
              <w:bottom w:val="single" w:sz="4" w:space="0" w:color="1B556B"/>
            </w:tcBorders>
            <w:shd w:val="clear" w:color="auto" w:fill="1B556B" w:themeFill="text2"/>
            <w:vAlign w:val="bottom"/>
          </w:tcPr>
          <w:p w14:paraId="0EFFFD83" w14:textId="77777777" w:rsidR="00447423" w:rsidRPr="002A3CBE" w:rsidRDefault="00447423" w:rsidP="00F16E23">
            <w:pPr>
              <w:pStyle w:val="TableTextBold"/>
              <w:keepNext/>
              <w:spacing w:before="40"/>
              <w:rPr>
                <w:noProof w:val="0"/>
                <w:color w:val="FFFFFF"/>
                <w:szCs w:val="16"/>
              </w:rPr>
            </w:pPr>
            <w:r w:rsidRPr="002A3CBE">
              <w:rPr>
                <w:noProof w:val="0"/>
                <w:color w:val="FFFFFF"/>
                <w:szCs w:val="16"/>
              </w:rPr>
              <w:t>Land use</w:t>
            </w:r>
          </w:p>
        </w:tc>
        <w:tc>
          <w:tcPr>
            <w:tcW w:w="1589" w:type="dxa"/>
            <w:tcBorders>
              <w:top w:val="single" w:sz="4" w:space="0" w:color="1B556B"/>
              <w:bottom w:val="single" w:sz="4" w:space="0" w:color="1B556B"/>
            </w:tcBorders>
            <w:shd w:val="clear" w:color="auto" w:fill="1B556B" w:themeFill="text2"/>
            <w:vAlign w:val="bottom"/>
          </w:tcPr>
          <w:p w14:paraId="0DAD39CC" w14:textId="77777777" w:rsidR="00447423" w:rsidRPr="002A3CBE" w:rsidRDefault="00447423" w:rsidP="00F16E23">
            <w:pPr>
              <w:pStyle w:val="TableTextBold"/>
              <w:keepNext/>
              <w:spacing w:before="40"/>
              <w:rPr>
                <w:noProof w:val="0"/>
                <w:color w:val="FFFFFF"/>
                <w:szCs w:val="16"/>
              </w:rPr>
            </w:pPr>
            <w:r w:rsidRPr="002A3CBE">
              <w:rPr>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498F0B38" w14:textId="77777777" w:rsidR="00447423" w:rsidRPr="002A3CBE" w:rsidRDefault="00447423" w:rsidP="00F16E23">
            <w:pPr>
              <w:pStyle w:val="TableTextBold"/>
              <w:keepNext/>
              <w:spacing w:before="40"/>
              <w:rPr>
                <w:noProof w:val="0"/>
                <w:color w:val="FFFFFF"/>
                <w:szCs w:val="16"/>
              </w:rPr>
            </w:pPr>
            <w:r w:rsidRPr="002A3CBE">
              <w:rPr>
                <w:noProof w:val="0"/>
                <w:color w:val="FFFFFF"/>
                <w:szCs w:val="16"/>
              </w:rPr>
              <w:t>Steady state carbon stock</w:t>
            </w:r>
            <w:r w:rsidRPr="002A3CBE">
              <w:rPr>
                <w:noProof w:val="0"/>
                <w:color w:val="FFFFFF"/>
                <w:szCs w:val="16"/>
              </w:rPr>
              <w:br/>
              <w:t>(t C ha</w:t>
            </w:r>
            <w:r w:rsidRPr="002A3CBE">
              <w:rPr>
                <w:noProof w:val="0"/>
                <w:color w:val="FFFFFF"/>
                <w:szCs w:val="16"/>
                <w:vertAlign w:val="superscript"/>
              </w:rPr>
              <w:t>–1</w:t>
            </w:r>
            <w:r w:rsidRPr="002A3CBE">
              <w:rPr>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0FAE4175" w14:textId="77777777" w:rsidR="00447423" w:rsidRPr="002A3CBE" w:rsidRDefault="00447423" w:rsidP="00F16E23">
            <w:pPr>
              <w:pStyle w:val="TableTextBold"/>
              <w:keepNext/>
              <w:spacing w:before="40"/>
              <w:rPr>
                <w:noProof w:val="0"/>
                <w:color w:val="FFFFFF"/>
                <w:szCs w:val="16"/>
              </w:rPr>
            </w:pPr>
            <w:r w:rsidRPr="002A3CBE">
              <w:rPr>
                <w:noProof w:val="0"/>
                <w:color w:val="FFFFFF"/>
                <w:szCs w:val="16"/>
              </w:rPr>
              <w:t xml:space="preserve">Annual carbon accumulation </w:t>
            </w:r>
            <w:r w:rsidRPr="002A3CBE">
              <w:rPr>
                <w:noProof w:val="0"/>
                <w:color w:val="FFFFFF"/>
                <w:szCs w:val="16"/>
              </w:rPr>
              <w:br/>
              <w:t>(t C ha</w:t>
            </w:r>
            <w:r w:rsidRPr="002A3CBE">
              <w:rPr>
                <w:noProof w:val="0"/>
                <w:color w:val="FFFFFF"/>
                <w:szCs w:val="16"/>
                <w:vertAlign w:val="superscript"/>
              </w:rPr>
              <w:t>–1</w:t>
            </w:r>
            <w:r w:rsidRPr="002A3CBE">
              <w:rPr>
                <w:noProof w:val="0"/>
                <w:color w:val="FFFFFF"/>
                <w:szCs w:val="16"/>
              </w:rPr>
              <w:t>)</w:t>
            </w:r>
          </w:p>
        </w:tc>
        <w:tc>
          <w:tcPr>
            <w:tcW w:w="1134" w:type="dxa"/>
            <w:tcBorders>
              <w:top w:val="single" w:sz="4" w:space="0" w:color="1B556B"/>
              <w:bottom w:val="single" w:sz="4" w:space="0" w:color="1B556B"/>
            </w:tcBorders>
            <w:shd w:val="clear" w:color="auto" w:fill="1B556B" w:themeFill="text2"/>
            <w:vAlign w:val="bottom"/>
          </w:tcPr>
          <w:p w14:paraId="2B11DE60" w14:textId="77777777" w:rsidR="00447423" w:rsidRPr="002A3CBE" w:rsidRDefault="00447423" w:rsidP="00F16E23">
            <w:pPr>
              <w:pStyle w:val="TableTextBold"/>
              <w:keepNext/>
              <w:spacing w:before="40"/>
              <w:rPr>
                <w:noProof w:val="0"/>
                <w:color w:val="FFFFFF"/>
                <w:szCs w:val="16"/>
              </w:rPr>
            </w:pPr>
            <w:r w:rsidRPr="002A3CBE">
              <w:rPr>
                <w:noProof w:val="0"/>
                <w:color w:val="FFFFFF"/>
                <w:szCs w:val="16"/>
              </w:rPr>
              <w:t>Years to reach steady state</w:t>
            </w:r>
          </w:p>
        </w:tc>
        <w:tc>
          <w:tcPr>
            <w:tcW w:w="1984" w:type="dxa"/>
            <w:tcBorders>
              <w:top w:val="single" w:sz="4" w:space="0" w:color="1B556B"/>
              <w:bottom w:val="single" w:sz="4" w:space="0" w:color="1B556B"/>
            </w:tcBorders>
            <w:shd w:val="clear" w:color="auto" w:fill="1B556B" w:themeFill="text2"/>
            <w:vAlign w:val="bottom"/>
          </w:tcPr>
          <w:p w14:paraId="678CDD8B" w14:textId="77777777" w:rsidR="00447423" w:rsidRPr="002A3CBE" w:rsidRDefault="00447423" w:rsidP="00F16E23">
            <w:pPr>
              <w:pStyle w:val="TableTextBold"/>
              <w:keepNext/>
              <w:spacing w:before="40"/>
              <w:rPr>
                <w:noProof w:val="0"/>
                <w:color w:val="FFFFFF"/>
                <w:szCs w:val="16"/>
              </w:rPr>
            </w:pPr>
            <w:r w:rsidRPr="002A3CBE">
              <w:rPr>
                <w:noProof w:val="0"/>
                <w:color w:val="FFFFFF"/>
                <w:szCs w:val="16"/>
              </w:rPr>
              <w:t>Source</w:t>
            </w:r>
          </w:p>
        </w:tc>
      </w:tr>
      <w:tr w:rsidR="00447423" w:rsidRPr="002A3CBE" w14:paraId="5D1D71DE" w14:textId="77777777" w:rsidTr="002A3C0E">
        <w:trPr>
          <w:trHeight w:val="20"/>
        </w:trPr>
        <w:tc>
          <w:tcPr>
            <w:tcW w:w="1246" w:type="dxa"/>
            <w:vMerge w:val="restart"/>
            <w:tcBorders>
              <w:top w:val="single" w:sz="4" w:space="0" w:color="1B556B"/>
              <w:bottom w:val="single" w:sz="4" w:space="0" w:color="1B556B"/>
            </w:tcBorders>
          </w:tcPr>
          <w:p w14:paraId="27621F1A" w14:textId="77777777" w:rsidR="00447423" w:rsidRPr="002A3CBE" w:rsidRDefault="00447423" w:rsidP="00F16E23">
            <w:pPr>
              <w:pStyle w:val="TableText"/>
              <w:keepNext/>
              <w:spacing w:before="40" w:after="40"/>
              <w:rPr>
                <w:szCs w:val="16"/>
              </w:rPr>
            </w:pPr>
            <w:r w:rsidRPr="002A3CBE">
              <w:rPr>
                <w:szCs w:val="16"/>
              </w:rPr>
              <w:t>Open water</w:t>
            </w:r>
          </w:p>
        </w:tc>
        <w:tc>
          <w:tcPr>
            <w:tcW w:w="1589" w:type="dxa"/>
            <w:tcBorders>
              <w:top w:val="single" w:sz="4" w:space="0" w:color="1B556B"/>
              <w:bottom w:val="single" w:sz="4" w:space="0" w:color="1B556B"/>
            </w:tcBorders>
          </w:tcPr>
          <w:p w14:paraId="7A50032E" w14:textId="77777777" w:rsidR="00447423" w:rsidRPr="002A3CBE" w:rsidRDefault="00447423" w:rsidP="00F16E23">
            <w:pPr>
              <w:pStyle w:val="TableText"/>
              <w:keepNext/>
              <w:spacing w:before="40" w:after="40"/>
              <w:rPr>
                <w:b/>
                <w:color w:val="1B556B"/>
                <w:szCs w:val="16"/>
              </w:rPr>
            </w:pPr>
            <w:r w:rsidRPr="002A3CBE">
              <w:rPr>
                <w:b/>
                <w:color w:val="1B556B"/>
                <w:szCs w:val="16"/>
              </w:rPr>
              <w:t>Total biomass</w:t>
            </w:r>
          </w:p>
        </w:tc>
        <w:tc>
          <w:tcPr>
            <w:tcW w:w="1276" w:type="dxa"/>
            <w:tcBorders>
              <w:top w:val="single" w:sz="4" w:space="0" w:color="1B556B"/>
              <w:bottom w:val="single" w:sz="4" w:space="0" w:color="1B556B"/>
            </w:tcBorders>
          </w:tcPr>
          <w:p w14:paraId="6A96FAA3" w14:textId="77777777" w:rsidR="00447423" w:rsidRPr="002A3CBE" w:rsidRDefault="00447423" w:rsidP="00F16E23">
            <w:pPr>
              <w:pStyle w:val="TableText"/>
              <w:keepNext/>
              <w:spacing w:before="40" w:after="40"/>
              <w:rPr>
                <w:b/>
                <w:color w:val="1B556B"/>
                <w:szCs w:val="16"/>
              </w:rPr>
            </w:pPr>
            <w:r w:rsidRPr="002A3CBE">
              <w:rPr>
                <w:b/>
                <w:color w:val="1B556B"/>
              </w:rPr>
              <w:t>NE</w:t>
            </w:r>
          </w:p>
        </w:tc>
        <w:tc>
          <w:tcPr>
            <w:tcW w:w="1276" w:type="dxa"/>
            <w:tcBorders>
              <w:top w:val="single" w:sz="4" w:space="0" w:color="1B556B"/>
              <w:bottom w:val="single" w:sz="4" w:space="0" w:color="1B556B"/>
            </w:tcBorders>
          </w:tcPr>
          <w:p w14:paraId="3D1A3407" w14:textId="77777777" w:rsidR="00447423" w:rsidRPr="002A3CBE" w:rsidRDefault="00447423" w:rsidP="00F16E23">
            <w:pPr>
              <w:pStyle w:val="TableText"/>
              <w:keepNext/>
              <w:spacing w:before="40" w:after="40"/>
              <w:rPr>
                <w:b/>
                <w:color w:val="1B556B"/>
                <w:szCs w:val="16"/>
              </w:rPr>
            </w:pPr>
            <w:r w:rsidRPr="002A3CBE">
              <w:rPr>
                <w:b/>
                <w:color w:val="1B556B"/>
              </w:rPr>
              <w:t>NE</w:t>
            </w:r>
          </w:p>
        </w:tc>
        <w:tc>
          <w:tcPr>
            <w:tcW w:w="1134" w:type="dxa"/>
            <w:tcBorders>
              <w:top w:val="single" w:sz="4" w:space="0" w:color="1B556B"/>
              <w:bottom w:val="single" w:sz="4" w:space="0" w:color="1B556B"/>
            </w:tcBorders>
          </w:tcPr>
          <w:p w14:paraId="314AD134" w14:textId="77777777" w:rsidR="00447423" w:rsidRPr="002A3CBE" w:rsidRDefault="00447423" w:rsidP="00F16E23">
            <w:pPr>
              <w:pStyle w:val="TableText"/>
              <w:keepNext/>
              <w:spacing w:before="40" w:after="40"/>
              <w:rPr>
                <w:b/>
                <w:color w:val="1B556B"/>
                <w:szCs w:val="16"/>
              </w:rPr>
            </w:pPr>
            <w:r w:rsidRPr="002A3CBE">
              <w:rPr>
                <w:b/>
                <w:color w:val="1B556B"/>
                <w:szCs w:val="16"/>
              </w:rPr>
              <w:t>NE</w:t>
            </w:r>
          </w:p>
        </w:tc>
        <w:tc>
          <w:tcPr>
            <w:tcW w:w="1984" w:type="dxa"/>
            <w:vMerge w:val="restart"/>
            <w:tcBorders>
              <w:top w:val="single" w:sz="4" w:space="0" w:color="1B556B"/>
            </w:tcBorders>
          </w:tcPr>
          <w:p w14:paraId="1E487782" w14:textId="77777777" w:rsidR="00447423" w:rsidRPr="002A3CBE" w:rsidRDefault="00447423" w:rsidP="00F16E23">
            <w:pPr>
              <w:pStyle w:val="TableText"/>
              <w:keepNext/>
              <w:spacing w:before="40" w:after="40"/>
              <w:rPr>
                <w:szCs w:val="16"/>
              </w:rPr>
            </w:pPr>
            <w:r w:rsidRPr="002A3CBE">
              <w:rPr>
                <w:szCs w:val="16"/>
              </w:rPr>
              <w:t>No IPCC guidelines</w:t>
            </w:r>
          </w:p>
        </w:tc>
      </w:tr>
      <w:tr w:rsidR="00447423" w:rsidRPr="002A3CBE" w14:paraId="37F155FE" w14:textId="77777777" w:rsidTr="00F16E23">
        <w:trPr>
          <w:trHeight w:val="20"/>
        </w:trPr>
        <w:tc>
          <w:tcPr>
            <w:tcW w:w="1246" w:type="dxa"/>
            <w:vMerge/>
            <w:tcBorders>
              <w:bottom w:val="single" w:sz="4" w:space="0" w:color="1B556B"/>
            </w:tcBorders>
          </w:tcPr>
          <w:p w14:paraId="4DA641F7" w14:textId="77777777" w:rsidR="00447423" w:rsidRPr="002A3CBE" w:rsidRDefault="00447423" w:rsidP="00F16E23">
            <w:pPr>
              <w:pStyle w:val="TableText"/>
              <w:keepNext/>
              <w:spacing w:before="40" w:after="40"/>
              <w:rPr>
                <w:szCs w:val="16"/>
              </w:rPr>
            </w:pPr>
          </w:p>
        </w:tc>
        <w:tc>
          <w:tcPr>
            <w:tcW w:w="1589" w:type="dxa"/>
            <w:tcBorders>
              <w:top w:val="single" w:sz="4" w:space="0" w:color="1B556B"/>
              <w:bottom w:val="single" w:sz="4" w:space="0" w:color="1B556B"/>
            </w:tcBorders>
          </w:tcPr>
          <w:p w14:paraId="7E3D8548" w14:textId="77777777" w:rsidR="00447423" w:rsidRPr="002A3CBE" w:rsidRDefault="00447423" w:rsidP="00F16E23">
            <w:pPr>
              <w:pStyle w:val="TableText"/>
              <w:keepNext/>
              <w:spacing w:before="40" w:after="40"/>
              <w:rPr>
                <w:i/>
                <w:szCs w:val="16"/>
              </w:rPr>
            </w:pPr>
            <w:r w:rsidRPr="002A3CBE">
              <w:rPr>
                <w:i/>
                <w:szCs w:val="16"/>
              </w:rPr>
              <w:t>Living biomass</w:t>
            </w:r>
          </w:p>
        </w:tc>
        <w:tc>
          <w:tcPr>
            <w:tcW w:w="1276" w:type="dxa"/>
            <w:tcBorders>
              <w:top w:val="single" w:sz="4" w:space="0" w:color="1B556B"/>
              <w:bottom w:val="single" w:sz="4" w:space="0" w:color="1B556B"/>
            </w:tcBorders>
          </w:tcPr>
          <w:p w14:paraId="192F1238" w14:textId="77777777" w:rsidR="00447423" w:rsidRPr="002A3CBE" w:rsidRDefault="00447423" w:rsidP="00F16E23">
            <w:pPr>
              <w:pStyle w:val="TableText"/>
              <w:keepNext/>
              <w:spacing w:before="40" w:after="40"/>
              <w:rPr>
                <w:szCs w:val="16"/>
              </w:rPr>
            </w:pPr>
          </w:p>
        </w:tc>
        <w:tc>
          <w:tcPr>
            <w:tcW w:w="1276" w:type="dxa"/>
            <w:tcBorders>
              <w:top w:val="single" w:sz="4" w:space="0" w:color="1B556B"/>
              <w:bottom w:val="single" w:sz="4" w:space="0" w:color="1B556B"/>
            </w:tcBorders>
          </w:tcPr>
          <w:p w14:paraId="3DDAB9F2" w14:textId="77777777" w:rsidR="00447423" w:rsidRPr="002A3CBE" w:rsidRDefault="00447423" w:rsidP="00F16E23">
            <w:pPr>
              <w:pStyle w:val="TableText"/>
              <w:keepNext/>
              <w:spacing w:before="40" w:after="40"/>
              <w:rPr>
                <w:szCs w:val="16"/>
              </w:rPr>
            </w:pPr>
          </w:p>
        </w:tc>
        <w:tc>
          <w:tcPr>
            <w:tcW w:w="1134" w:type="dxa"/>
            <w:tcBorders>
              <w:top w:val="single" w:sz="4" w:space="0" w:color="1B556B"/>
              <w:bottom w:val="single" w:sz="4" w:space="0" w:color="1B556B"/>
            </w:tcBorders>
          </w:tcPr>
          <w:p w14:paraId="0B1C5D52" w14:textId="77777777" w:rsidR="00447423" w:rsidRPr="002A3CBE" w:rsidRDefault="00447423" w:rsidP="00F16E23">
            <w:pPr>
              <w:pStyle w:val="TableText"/>
              <w:keepNext/>
              <w:spacing w:before="40" w:after="40"/>
              <w:rPr>
                <w:szCs w:val="16"/>
              </w:rPr>
            </w:pPr>
          </w:p>
        </w:tc>
        <w:tc>
          <w:tcPr>
            <w:tcW w:w="1984" w:type="dxa"/>
            <w:vMerge/>
          </w:tcPr>
          <w:p w14:paraId="5A34D58D" w14:textId="77777777" w:rsidR="00447423" w:rsidRPr="002A3CBE" w:rsidRDefault="00447423" w:rsidP="00F16E23">
            <w:pPr>
              <w:pStyle w:val="TableText"/>
              <w:keepNext/>
              <w:spacing w:before="40" w:after="40"/>
              <w:rPr>
                <w:szCs w:val="16"/>
              </w:rPr>
            </w:pPr>
          </w:p>
        </w:tc>
      </w:tr>
      <w:tr w:rsidR="00447423" w:rsidRPr="002A3CBE" w14:paraId="442FF3F2" w14:textId="77777777" w:rsidTr="00F16E23">
        <w:trPr>
          <w:trHeight w:val="20"/>
        </w:trPr>
        <w:tc>
          <w:tcPr>
            <w:tcW w:w="1246" w:type="dxa"/>
            <w:vMerge/>
            <w:tcBorders>
              <w:bottom w:val="single" w:sz="4" w:space="0" w:color="1B556B"/>
            </w:tcBorders>
          </w:tcPr>
          <w:p w14:paraId="407CCDF6" w14:textId="77777777" w:rsidR="00447423" w:rsidRPr="002A3CBE" w:rsidRDefault="00447423" w:rsidP="00F16E23">
            <w:pPr>
              <w:pStyle w:val="TableText"/>
              <w:keepNext/>
              <w:spacing w:before="40" w:after="40"/>
              <w:rPr>
                <w:szCs w:val="16"/>
              </w:rPr>
            </w:pPr>
          </w:p>
        </w:tc>
        <w:tc>
          <w:tcPr>
            <w:tcW w:w="1589" w:type="dxa"/>
            <w:tcBorders>
              <w:top w:val="single" w:sz="4" w:space="0" w:color="1B556B"/>
              <w:bottom w:val="single" w:sz="4" w:space="0" w:color="1B556B"/>
            </w:tcBorders>
          </w:tcPr>
          <w:p w14:paraId="0EF6244C" w14:textId="77777777" w:rsidR="00447423" w:rsidRPr="002A3CBE" w:rsidRDefault="00447423" w:rsidP="00F16E23">
            <w:pPr>
              <w:pStyle w:val="TableText"/>
              <w:keepNext/>
              <w:spacing w:before="40" w:after="40"/>
              <w:rPr>
                <w:szCs w:val="16"/>
              </w:rPr>
            </w:pPr>
            <w:r w:rsidRPr="002A3CBE">
              <w:rPr>
                <w:szCs w:val="16"/>
              </w:rPr>
              <w:tab/>
              <w:t>AGB</w:t>
            </w:r>
          </w:p>
        </w:tc>
        <w:tc>
          <w:tcPr>
            <w:tcW w:w="1276" w:type="dxa"/>
            <w:tcBorders>
              <w:top w:val="single" w:sz="4" w:space="0" w:color="1B556B"/>
              <w:bottom w:val="single" w:sz="4" w:space="0" w:color="1B556B"/>
            </w:tcBorders>
          </w:tcPr>
          <w:p w14:paraId="13DB277E" w14:textId="77777777" w:rsidR="00447423" w:rsidRPr="002A3CBE" w:rsidRDefault="00447423" w:rsidP="00F16E23">
            <w:pPr>
              <w:pStyle w:val="TableText"/>
              <w:keepNext/>
              <w:spacing w:before="40" w:after="40"/>
              <w:rPr>
                <w:szCs w:val="16"/>
              </w:rPr>
            </w:pPr>
            <w:r w:rsidRPr="002A3CBE">
              <w:t>NE</w:t>
            </w:r>
          </w:p>
        </w:tc>
        <w:tc>
          <w:tcPr>
            <w:tcW w:w="1276" w:type="dxa"/>
            <w:tcBorders>
              <w:top w:val="single" w:sz="4" w:space="0" w:color="1B556B"/>
              <w:bottom w:val="single" w:sz="4" w:space="0" w:color="1B556B"/>
            </w:tcBorders>
          </w:tcPr>
          <w:p w14:paraId="5986C2DF" w14:textId="77777777" w:rsidR="00447423" w:rsidRPr="002A3CBE" w:rsidRDefault="00447423" w:rsidP="00F16E23">
            <w:pPr>
              <w:pStyle w:val="TableText"/>
              <w:keepNext/>
              <w:spacing w:before="40" w:after="40"/>
              <w:rPr>
                <w:szCs w:val="16"/>
              </w:rPr>
            </w:pPr>
            <w:r w:rsidRPr="002A3CBE">
              <w:rPr>
                <w:szCs w:val="16"/>
              </w:rPr>
              <w:t>NE</w:t>
            </w:r>
          </w:p>
        </w:tc>
        <w:tc>
          <w:tcPr>
            <w:tcW w:w="1134" w:type="dxa"/>
            <w:tcBorders>
              <w:top w:val="single" w:sz="4" w:space="0" w:color="1B556B"/>
              <w:bottom w:val="single" w:sz="4" w:space="0" w:color="1B556B"/>
            </w:tcBorders>
          </w:tcPr>
          <w:p w14:paraId="21EEC466" w14:textId="77777777" w:rsidR="00447423" w:rsidRPr="002A3CBE" w:rsidRDefault="00447423" w:rsidP="00F16E23">
            <w:pPr>
              <w:pStyle w:val="TableText"/>
              <w:keepNext/>
              <w:spacing w:before="40" w:after="40"/>
              <w:rPr>
                <w:szCs w:val="16"/>
              </w:rPr>
            </w:pPr>
            <w:r w:rsidRPr="002A3CBE">
              <w:rPr>
                <w:szCs w:val="16"/>
              </w:rPr>
              <w:t>NE</w:t>
            </w:r>
          </w:p>
        </w:tc>
        <w:tc>
          <w:tcPr>
            <w:tcW w:w="1984" w:type="dxa"/>
            <w:vMerge/>
          </w:tcPr>
          <w:p w14:paraId="5FF1394C" w14:textId="77777777" w:rsidR="00447423" w:rsidRPr="002A3CBE" w:rsidRDefault="00447423" w:rsidP="00F16E23">
            <w:pPr>
              <w:pStyle w:val="TableText"/>
              <w:keepNext/>
              <w:spacing w:before="40" w:after="40"/>
              <w:rPr>
                <w:szCs w:val="16"/>
              </w:rPr>
            </w:pPr>
          </w:p>
        </w:tc>
      </w:tr>
      <w:tr w:rsidR="00447423" w:rsidRPr="002A3CBE" w14:paraId="460AE7AC" w14:textId="77777777" w:rsidTr="00F16E23">
        <w:trPr>
          <w:trHeight w:val="20"/>
        </w:trPr>
        <w:tc>
          <w:tcPr>
            <w:tcW w:w="1246" w:type="dxa"/>
            <w:vMerge/>
            <w:tcBorders>
              <w:bottom w:val="single" w:sz="4" w:space="0" w:color="1B556B"/>
            </w:tcBorders>
          </w:tcPr>
          <w:p w14:paraId="7EAE74DC" w14:textId="77777777" w:rsidR="00447423" w:rsidRPr="002A3CBE" w:rsidRDefault="00447423" w:rsidP="00F16E23">
            <w:pPr>
              <w:pStyle w:val="TableText"/>
              <w:keepNext/>
              <w:spacing w:before="40" w:after="40"/>
              <w:rPr>
                <w:szCs w:val="16"/>
              </w:rPr>
            </w:pPr>
          </w:p>
        </w:tc>
        <w:tc>
          <w:tcPr>
            <w:tcW w:w="1589" w:type="dxa"/>
            <w:tcBorders>
              <w:top w:val="single" w:sz="4" w:space="0" w:color="1B556B"/>
              <w:bottom w:val="single" w:sz="4" w:space="0" w:color="1B556B"/>
            </w:tcBorders>
          </w:tcPr>
          <w:p w14:paraId="05C615FC" w14:textId="77777777" w:rsidR="00447423" w:rsidRPr="002A3CBE" w:rsidRDefault="00447423" w:rsidP="00F16E23">
            <w:pPr>
              <w:pStyle w:val="TableText"/>
              <w:keepNext/>
              <w:spacing w:before="40" w:after="40"/>
              <w:rPr>
                <w:szCs w:val="16"/>
              </w:rPr>
            </w:pPr>
            <w:r w:rsidRPr="002A3CBE">
              <w:rPr>
                <w:szCs w:val="16"/>
              </w:rPr>
              <w:tab/>
              <w:t>BGB</w:t>
            </w:r>
          </w:p>
        </w:tc>
        <w:tc>
          <w:tcPr>
            <w:tcW w:w="1276" w:type="dxa"/>
            <w:tcBorders>
              <w:top w:val="single" w:sz="4" w:space="0" w:color="1B556B"/>
              <w:bottom w:val="single" w:sz="4" w:space="0" w:color="1B556B"/>
            </w:tcBorders>
          </w:tcPr>
          <w:p w14:paraId="1B4613FB" w14:textId="77777777" w:rsidR="00447423" w:rsidRPr="002A3CBE" w:rsidRDefault="00447423" w:rsidP="00F16E23">
            <w:pPr>
              <w:pStyle w:val="TableText"/>
              <w:keepNext/>
              <w:spacing w:before="40" w:after="40"/>
              <w:rPr>
                <w:szCs w:val="16"/>
              </w:rPr>
            </w:pPr>
            <w:r w:rsidRPr="002A3CBE">
              <w:t>NE</w:t>
            </w:r>
          </w:p>
        </w:tc>
        <w:tc>
          <w:tcPr>
            <w:tcW w:w="1276" w:type="dxa"/>
            <w:tcBorders>
              <w:top w:val="single" w:sz="4" w:space="0" w:color="1B556B"/>
              <w:bottom w:val="single" w:sz="4" w:space="0" w:color="1B556B"/>
            </w:tcBorders>
          </w:tcPr>
          <w:p w14:paraId="6A7936D5" w14:textId="77777777" w:rsidR="00447423" w:rsidRPr="002A3CBE" w:rsidRDefault="00447423" w:rsidP="00F16E23">
            <w:pPr>
              <w:pStyle w:val="TableText"/>
              <w:keepNext/>
              <w:spacing w:before="40" w:after="40"/>
              <w:rPr>
                <w:szCs w:val="16"/>
              </w:rPr>
            </w:pPr>
            <w:r w:rsidRPr="002A3CBE">
              <w:rPr>
                <w:szCs w:val="16"/>
              </w:rPr>
              <w:t>NE</w:t>
            </w:r>
          </w:p>
        </w:tc>
        <w:tc>
          <w:tcPr>
            <w:tcW w:w="1134" w:type="dxa"/>
            <w:tcBorders>
              <w:top w:val="single" w:sz="4" w:space="0" w:color="1B556B"/>
              <w:bottom w:val="single" w:sz="4" w:space="0" w:color="1B556B"/>
            </w:tcBorders>
          </w:tcPr>
          <w:p w14:paraId="4739817D" w14:textId="77777777" w:rsidR="00447423" w:rsidRPr="002A3CBE" w:rsidRDefault="00447423" w:rsidP="00F16E23">
            <w:pPr>
              <w:pStyle w:val="TableText"/>
              <w:keepNext/>
              <w:spacing w:before="40" w:after="40"/>
              <w:rPr>
                <w:szCs w:val="16"/>
              </w:rPr>
            </w:pPr>
            <w:r w:rsidRPr="002A3CBE">
              <w:rPr>
                <w:szCs w:val="16"/>
              </w:rPr>
              <w:t>NE</w:t>
            </w:r>
          </w:p>
        </w:tc>
        <w:tc>
          <w:tcPr>
            <w:tcW w:w="1984" w:type="dxa"/>
            <w:vMerge/>
          </w:tcPr>
          <w:p w14:paraId="042978C6" w14:textId="77777777" w:rsidR="00447423" w:rsidRPr="002A3CBE" w:rsidRDefault="00447423" w:rsidP="00F16E23">
            <w:pPr>
              <w:pStyle w:val="TableText"/>
              <w:keepNext/>
              <w:spacing w:before="40" w:after="40"/>
              <w:rPr>
                <w:szCs w:val="16"/>
              </w:rPr>
            </w:pPr>
          </w:p>
        </w:tc>
      </w:tr>
      <w:tr w:rsidR="00447423" w:rsidRPr="002A3CBE" w14:paraId="4453B729" w14:textId="77777777" w:rsidTr="00F16E23">
        <w:trPr>
          <w:trHeight w:val="20"/>
        </w:trPr>
        <w:tc>
          <w:tcPr>
            <w:tcW w:w="1246" w:type="dxa"/>
            <w:vMerge/>
            <w:tcBorders>
              <w:bottom w:val="single" w:sz="4" w:space="0" w:color="1B556B"/>
            </w:tcBorders>
          </w:tcPr>
          <w:p w14:paraId="2B667D9D" w14:textId="77777777" w:rsidR="00447423" w:rsidRPr="002A3CBE" w:rsidRDefault="00447423" w:rsidP="00F16E23">
            <w:pPr>
              <w:pStyle w:val="TableText"/>
              <w:spacing w:before="40" w:after="40"/>
              <w:rPr>
                <w:szCs w:val="16"/>
              </w:rPr>
            </w:pPr>
          </w:p>
        </w:tc>
        <w:tc>
          <w:tcPr>
            <w:tcW w:w="1589" w:type="dxa"/>
            <w:tcBorders>
              <w:top w:val="single" w:sz="4" w:space="0" w:color="1B556B"/>
              <w:bottom w:val="single" w:sz="4" w:space="0" w:color="1B556B"/>
            </w:tcBorders>
          </w:tcPr>
          <w:p w14:paraId="15EDB87E" w14:textId="77777777" w:rsidR="00447423" w:rsidRPr="002A3CBE" w:rsidRDefault="00447423" w:rsidP="00F16E23">
            <w:pPr>
              <w:pStyle w:val="TableText"/>
              <w:spacing w:before="40" w:after="40"/>
              <w:rPr>
                <w:i/>
                <w:szCs w:val="16"/>
              </w:rPr>
            </w:pPr>
            <w:r w:rsidRPr="002A3CBE">
              <w:rPr>
                <w:i/>
                <w:szCs w:val="16"/>
              </w:rPr>
              <w:t>Dead organic matter</w:t>
            </w:r>
          </w:p>
        </w:tc>
        <w:tc>
          <w:tcPr>
            <w:tcW w:w="1276" w:type="dxa"/>
            <w:tcBorders>
              <w:top w:val="single" w:sz="4" w:space="0" w:color="1B556B"/>
              <w:bottom w:val="single" w:sz="4" w:space="0" w:color="1B556B"/>
            </w:tcBorders>
          </w:tcPr>
          <w:p w14:paraId="5BCB860D" w14:textId="77777777" w:rsidR="00447423" w:rsidRPr="002A3CBE" w:rsidRDefault="00447423" w:rsidP="00F16E23">
            <w:pPr>
              <w:pStyle w:val="TableText"/>
              <w:spacing w:before="40" w:after="40"/>
            </w:pPr>
            <w:r w:rsidRPr="002A3CBE">
              <w:t>NE</w:t>
            </w:r>
          </w:p>
        </w:tc>
        <w:tc>
          <w:tcPr>
            <w:tcW w:w="1276" w:type="dxa"/>
            <w:tcBorders>
              <w:top w:val="single" w:sz="4" w:space="0" w:color="1B556B"/>
              <w:bottom w:val="single" w:sz="4" w:space="0" w:color="1B556B"/>
            </w:tcBorders>
          </w:tcPr>
          <w:p w14:paraId="29E2771E" w14:textId="77777777" w:rsidR="00447423" w:rsidRPr="002A3CBE" w:rsidRDefault="00447423" w:rsidP="00F16E23">
            <w:pPr>
              <w:pStyle w:val="TableText"/>
              <w:spacing w:before="40" w:after="40"/>
            </w:pPr>
            <w:r w:rsidRPr="002A3CBE">
              <w:t>NE</w:t>
            </w:r>
          </w:p>
        </w:tc>
        <w:tc>
          <w:tcPr>
            <w:tcW w:w="1134" w:type="dxa"/>
            <w:tcBorders>
              <w:top w:val="single" w:sz="4" w:space="0" w:color="1B556B"/>
              <w:bottom w:val="single" w:sz="4" w:space="0" w:color="1B556B"/>
            </w:tcBorders>
          </w:tcPr>
          <w:p w14:paraId="70007DEE" w14:textId="77777777" w:rsidR="00447423" w:rsidRPr="002A3CBE" w:rsidRDefault="00447423" w:rsidP="00F16E23">
            <w:pPr>
              <w:pStyle w:val="TableText"/>
              <w:spacing w:before="40" w:after="40"/>
            </w:pPr>
            <w:r w:rsidRPr="002A3CBE">
              <w:t>NE</w:t>
            </w:r>
          </w:p>
        </w:tc>
        <w:tc>
          <w:tcPr>
            <w:tcW w:w="1984" w:type="dxa"/>
            <w:vMerge/>
            <w:tcBorders>
              <w:bottom w:val="single" w:sz="4" w:space="0" w:color="1B556B"/>
            </w:tcBorders>
          </w:tcPr>
          <w:p w14:paraId="5DEC10F7" w14:textId="77777777" w:rsidR="00447423" w:rsidRPr="002A3CBE" w:rsidRDefault="00447423" w:rsidP="00F16E23">
            <w:pPr>
              <w:pStyle w:val="TableText"/>
              <w:spacing w:before="40" w:after="40"/>
              <w:rPr>
                <w:szCs w:val="16"/>
              </w:rPr>
            </w:pPr>
          </w:p>
        </w:tc>
      </w:tr>
      <w:tr w:rsidR="00447423" w:rsidRPr="002A3CBE" w14:paraId="7A33EE89" w14:textId="77777777" w:rsidTr="00F16E23">
        <w:trPr>
          <w:trHeight w:val="20"/>
        </w:trPr>
        <w:tc>
          <w:tcPr>
            <w:tcW w:w="1246" w:type="dxa"/>
            <w:vMerge w:val="restart"/>
            <w:tcBorders>
              <w:top w:val="single" w:sz="4" w:space="0" w:color="1B556B"/>
              <w:bottom w:val="single" w:sz="4" w:space="0" w:color="1B556B"/>
            </w:tcBorders>
          </w:tcPr>
          <w:p w14:paraId="5AA67B28" w14:textId="77777777" w:rsidR="00447423" w:rsidRPr="002A3CBE" w:rsidRDefault="00447423" w:rsidP="00F16E23">
            <w:pPr>
              <w:pStyle w:val="TableText"/>
              <w:spacing w:before="40" w:after="40"/>
              <w:rPr>
                <w:szCs w:val="16"/>
              </w:rPr>
            </w:pPr>
            <w:r w:rsidRPr="002A3CBE">
              <w:rPr>
                <w:szCs w:val="16"/>
              </w:rPr>
              <w:t>Vegetated</w:t>
            </w:r>
          </w:p>
        </w:tc>
        <w:tc>
          <w:tcPr>
            <w:tcW w:w="1589" w:type="dxa"/>
            <w:tcBorders>
              <w:top w:val="single" w:sz="4" w:space="0" w:color="1B556B"/>
              <w:bottom w:val="single" w:sz="4" w:space="0" w:color="1B556B"/>
            </w:tcBorders>
          </w:tcPr>
          <w:p w14:paraId="3FCF9083" w14:textId="77777777" w:rsidR="00447423" w:rsidRPr="002A3CBE" w:rsidRDefault="00447423" w:rsidP="00F16E23">
            <w:pPr>
              <w:pStyle w:val="TableText"/>
              <w:spacing w:before="40" w:after="40"/>
              <w:rPr>
                <w:b/>
                <w:color w:val="1B556B"/>
                <w:szCs w:val="16"/>
              </w:rPr>
            </w:pPr>
            <w:r w:rsidRPr="002A3CBE">
              <w:rPr>
                <w:b/>
                <w:color w:val="1B556B"/>
                <w:szCs w:val="16"/>
              </w:rPr>
              <w:t>Total biomass</w:t>
            </w:r>
          </w:p>
        </w:tc>
        <w:tc>
          <w:tcPr>
            <w:tcW w:w="1276" w:type="dxa"/>
            <w:tcBorders>
              <w:top w:val="single" w:sz="4" w:space="0" w:color="1B556B"/>
              <w:bottom w:val="single" w:sz="4" w:space="0" w:color="1B556B"/>
            </w:tcBorders>
          </w:tcPr>
          <w:p w14:paraId="18E7C969" w14:textId="77777777" w:rsidR="00447423" w:rsidRPr="002A3CBE" w:rsidRDefault="00447423" w:rsidP="00F16E23">
            <w:pPr>
              <w:pStyle w:val="TableText"/>
              <w:spacing w:before="40" w:after="40"/>
              <w:rPr>
                <w:b/>
                <w:color w:val="1B556B"/>
                <w:szCs w:val="16"/>
              </w:rPr>
            </w:pPr>
            <w:r w:rsidRPr="002A3CBE">
              <w:rPr>
                <w:b/>
                <w:color w:val="1B556B"/>
                <w:szCs w:val="16"/>
              </w:rPr>
              <w:t>27.6</w:t>
            </w:r>
          </w:p>
        </w:tc>
        <w:tc>
          <w:tcPr>
            <w:tcW w:w="1276" w:type="dxa"/>
            <w:tcBorders>
              <w:top w:val="single" w:sz="4" w:space="0" w:color="1B556B"/>
              <w:bottom w:val="single" w:sz="4" w:space="0" w:color="1B556B"/>
            </w:tcBorders>
          </w:tcPr>
          <w:p w14:paraId="0F267021" w14:textId="77777777" w:rsidR="00447423" w:rsidRPr="002A3CBE" w:rsidRDefault="00447423" w:rsidP="00F16E23">
            <w:pPr>
              <w:pStyle w:val="TableText"/>
              <w:spacing w:before="40" w:after="40"/>
              <w:rPr>
                <w:b/>
                <w:color w:val="1B556B"/>
              </w:rPr>
            </w:pPr>
            <w:r w:rsidRPr="002A3CBE">
              <w:rPr>
                <w:b/>
                <w:color w:val="1B556B"/>
              </w:rPr>
              <w:t>1.4</w:t>
            </w:r>
          </w:p>
        </w:tc>
        <w:tc>
          <w:tcPr>
            <w:tcW w:w="1134" w:type="dxa"/>
            <w:tcBorders>
              <w:top w:val="single" w:sz="4" w:space="0" w:color="1B556B"/>
              <w:bottom w:val="single" w:sz="4" w:space="0" w:color="1B556B"/>
            </w:tcBorders>
          </w:tcPr>
          <w:p w14:paraId="50A85131" w14:textId="77777777" w:rsidR="00447423" w:rsidRPr="002A3CBE" w:rsidRDefault="00447423" w:rsidP="00F16E23">
            <w:pPr>
              <w:pStyle w:val="TableText"/>
              <w:spacing w:before="40" w:after="40"/>
              <w:rPr>
                <w:b/>
                <w:color w:val="1B556B"/>
              </w:rPr>
            </w:pPr>
            <w:r w:rsidRPr="002A3CBE">
              <w:rPr>
                <w:b/>
                <w:color w:val="1B556B"/>
              </w:rPr>
              <w:t>20</w:t>
            </w:r>
          </w:p>
        </w:tc>
        <w:tc>
          <w:tcPr>
            <w:tcW w:w="1984" w:type="dxa"/>
            <w:vMerge w:val="restart"/>
            <w:tcBorders>
              <w:top w:val="single" w:sz="4" w:space="0" w:color="1B556B"/>
              <w:bottom w:val="single" w:sz="4" w:space="0" w:color="1B556B"/>
            </w:tcBorders>
          </w:tcPr>
          <w:p w14:paraId="643FAF46" w14:textId="77777777" w:rsidR="00447423" w:rsidRPr="002A3CBE" w:rsidRDefault="00447423" w:rsidP="00F16E23">
            <w:pPr>
              <w:pStyle w:val="TableText"/>
              <w:spacing w:before="40" w:after="40"/>
              <w:rPr>
                <w:szCs w:val="16"/>
              </w:rPr>
            </w:pPr>
            <w:r w:rsidRPr="002A3CBE">
              <w:rPr>
                <w:szCs w:val="16"/>
              </w:rPr>
              <w:t>Easdale et al. (2022)</w:t>
            </w:r>
          </w:p>
        </w:tc>
      </w:tr>
      <w:tr w:rsidR="00447423" w:rsidRPr="002A3CBE" w14:paraId="13E17398" w14:textId="77777777" w:rsidTr="00F16E23">
        <w:trPr>
          <w:trHeight w:val="20"/>
        </w:trPr>
        <w:tc>
          <w:tcPr>
            <w:tcW w:w="1246" w:type="dxa"/>
            <w:vMerge/>
            <w:tcBorders>
              <w:top w:val="single" w:sz="4" w:space="0" w:color="1B556B"/>
              <w:bottom w:val="single" w:sz="4" w:space="0" w:color="1B556B"/>
            </w:tcBorders>
          </w:tcPr>
          <w:p w14:paraId="3553035E" w14:textId="77777777" w:rsidR="00447423" w:rsidRPr="002A3CBE" w:rsidRDefault="00447423" w:rsidP="00F16E23">
            <w:pPr>
              <w:pStyle w:val="TableText"/>
              <w:spacing w:before="40" w:after="40"/>
              <w:rPr>
                <w:szCs w:val="16"/>
              </w:rPr>
            </w:pPr>
          </w:p>
        </w:tc>
        <w:tc>
          <w:tcPr>
            <w:tcW w:w="1589" w:type="dxa"/>
            <w:tcBorders>
              <w:top w:val="single" w:sz="4" w:space="0" w:color="1B556B"/>
              <w:bottom w:val="single" w:sz="4" w:space="0" w:color="1B556B"/>
            </w:tcBorders>
          </w:tcPr>
          <w:p w14:paraId="4CB501E4" w14:textId="77777777" w:rsidR="00447423" w:rsidRPr="002A3CBE" w:rsidRDefault="00447423" w:rsidP="00F16E23">
            <w:pPr>
              <w:pStyle w:val="TableText"/>
              <w:spacing w:before="40" w:after="40"/>
              <w:rPr>
                <w:i/>
                <w:szCs w:val="16"/>
              </w:rPr>
            </w:pPr>
            <w:r w:rsidRPr="002A3CBE">
              <w:rPr>
                <w:i/>
                <w:szCs w:val="16"/>
              </w:rPr>
              <w:t>Living biomass</w:t>
            </w:r>
          </w:p>
        </w:tc>
        <w:tc>
          <w:tcPr>
            <w:tcW w:w="1276" w:type="dxa"/>
            <w:tcBorders>
              <w:top w:val="single" w:sz="4" w:space="0" w:color="1B556B"/>
              <w:bottom w:val="single" w:sz="4" w:space="0" w:color="1B556B"/>
            </w:tcBorders>
          </w:tcPr>
          <w:p w14:paraId="57167260" w14:textId="77777777" w:rsidR="00447423" w:rsidRPr="002A3CBE" w:rsidRDefault="00447423" w:rsidP="00F16E23">
            <w:pPr>
              <w:pStyle w:val="TableText"/>
              <w:spacing w:before="40" w:after="40"/>
              <w:rPr>
                <w:szCs w:val="16"/>
              </w:rPr>
            </w:pPr>
          </w:p>
        </w:tc>
        <w:tc>
          <w:tcPr>
            <w:tcW w:w="1276" w:type="dxa"/>
            <w:tcBorders>
              <w:top w:val="single" w:sz="4" w:space="0" w:color="1B556B"/>
              <w:bottom w:val="single" w:sz="4" w:space="0" w:color="1B556B"/>
            </w:tcBorders>
          </w:tcPr>
          <w:p w14:paraId="132EB1F5" w14:textId="77777777" w:rsidR="00447423" w:rsidRPr="002A3CBE" w:rsidRDefault="00447423" w:rsidP="00F16E23">
            <w:pPr>
              <w:pStyle w:val="TableText"/>
              <w:spacing w:before="40" w:after="40"/>
              <w:rPr>
                <w:szCs w:val="16"/>
              </w:rPr>
            </w:pPr>
          </w:p>
        </w:tc>
        <w:tc>
          <w:tcPr>
            <w:tcW w:w="1134" w:type="dxa"/>
            <w:tcBorders>
              <w:top w:val="single" w:sz="4" w:space="0" w:color="1B556B"/>
              <w:bottom w:val="single" w:sz="4" w:space="0" w:color="1B556B"/>
            </w:tcBorders>
          </w:tcPr>
          <w:p w14:paraId="016DB8C2" w14:textId="77777777" w:rsidR="00447423" w:rsidRPr="002A3CBE" w:rsidRDefault="00447423" w:rsidP="00F16E23">
            <w:pPr>
              <w:pStyle w:val="TableText"/>
              <w:spacing w:before="40" w:after="40"/>
              <w:rPr>
                <w:szCs w:val="16"/>
              </w:rPr>
            </w:pPr>
          </w:p>
        </w:tc>
        <w:tc>
          <w:tcPr>
            <w:tcW w:w="1984" w:type="dxa"/>
            <w:vMerge/>
            <w:tcBorders>
              <w:top w:val="single" w:sz="4" w:space="0" w:color="1B556B"/>
              <w:bottom w:val="single" w:sz="4" w:space="0" w:color="1B556B"/>
            </w:tcBorders>
          </w:tcPr>
          <w:p w14:paraId="69559928" w14:textId="77777777" w:rsidR="00447423" w:rsidRPr="002A3CBE" w:rsidRDefault="00447423" w:rsidP="00F16E23">
            <w:pPr>
              <w:pStyle w:val="TableText"/>
              <w:spacing w:before="40" w:after="40"/>
              <w:rPr>
                <w:szCs w:val="16"/>
              </w:rPr>
            </w:pPr>
          </w:p>
        </w:tc>
      </w:tr>
      <w:tr w:rsidR="00447423" w:rsidRPr="002A3CBE" w14:paraId="58301F30" w14:textId="77777777" w:rsidTr="00F16E23">
        <w:trPr>
          <w:trHeight w:val="20"/>
        </w:trPr>
        <w:tc>
          <w:tcPr>
            <w:tcW w:w="1246" w:type="dxa"/>
            <w:vMerge/>
            <w:tcBorders>
              <w:bottom w:val="single" w:sz="4" w:space="0" w:color="1B556B"/>
            </w:tcBorders>
          </w:tcPr>
          <w:p w14:paraId="4B1C47EA" w14:textId="77777777" w:rsidR="00447423" w:rsidRPr="002A3CBE" w:rsidRDefault="00447423" w:rsidP="00F16E23">
            <w:pPr>
              <w:pStyle w:val="TableText"/>
              <w:spacing w:before="40" w:after="40"/>
              <w:rPr>
                <w:szCs w:val="16"/>
              </w:rPr>
            </w:pPr>
          </w:p>
        </w:tc>
        <w:tc>
          <w:tcPr>
            <w:tcW w:w="1589" w:type="dxa"/>
            <w:tcBorders>
              <w:top w:val="single" w:sz="4" w:space="0" w:color="1B556B"/>
              <w:bottom w:val="single" w:sz="4" w:space="0" w:color="1B556B"/>
            </w:tcBorders>
          </w:tcPr>
          <w:p w14:paraId="16FFB09B" w14:textId="77777777" w:rsidR="00447423" w:rsidRPr="002A3CBE" w:rsidRDefault="00447423" w:rsidP="00F16E23">
            <w:pPr>
              <w:pStyle w:val="TableText"/>
              <w:spacing w:before="40" w:after="40"/>
              <w:rPr>
                <w:szCs w:val="16"/>
              </w:rPr>
            </w:pPr>
            <w:r w:rsidRPr="002A3CBE">
              <w:rPr>
                <w:szCs w:val="16"/>
              </w:rPr>
              <w:tab/>
              <w:t>AGB</w:t>
            </w:r>
          </w:p>
        </w:tc>
        <w:tc>
          <w:tcPr>
            <w:tcW w:w="1276" w:type="dxa"/>
            <w:tcBorders>
              <w:top w:val="single" w:sz="4" w:space="0" w:color="1B556B"/>
              <w:bottom w:val="single" w:sz="4" w:space="0" w:color="1B556B"/>
            </w:tcBorders>
          </w:tcPr>
          <w:p w14:paraId="6A26E08E" w14:textId="77777777" w:rsidR="00447423" w:rsidRPr="002A3CBE" w:rsidRDefault="00447423" w:rsidP="00F16E23">
            <w:pPr>
              <w:pStyle w:val="TableText"/>
              <w:spacing w:before="40" w:after="40"/>
              <w:rPr>
                <w:szCs w:val="16"/>
              </w:rPr>
            </w:pPr>
            <w:r w:rsidRPr="002A3CBE">
              <w:rPr>
                <w:szCs w:val="16"/>
              </w:rPr>
              <w:t>20.2</w:t>
            </w:r>
          </w:p>
        </w:tc>
        <w:tc>
          <w:tcPr>
            <w:tcW w:w="1276" w:type="dxa"/>
            <w:tcBorders>
              <w:top w:val="single" w:sz="4" w:space="0" w:color="1B556B"/>
              <w:bottom w:val="single" w:sz="4" w:space="0" w:color="1B556B"/>
            </w:tcBorders>
          </w:tcPr>
          <w:p w14:paraId="708194E7" w14:textId="77777777" w:rsidR="00447423" w:rsidRPr="002A3CBE" w:rsidRDefault="00447423" w:rsidP="00F16E23">
            <w:pPr>
              <w:pStyle w:val="TableText"/>
              <w:spacing w:before="40" w:after="40"/>
            </w:pPr>
            <w:r w:rsidRPr="002A3CBE">
              <w:t>1</w:t>
            </w:r>
          </w:p>
        </w:tc>
        <w:tc>
          <w:tcPr>
            <w:tcW w:w="1134" w:type="dxa"/>
            <w:tcBorders>
              <w:top w:val="single" w:sz="4" w:space="0" w:color="1B556B"/>
              <w:bottom w:val="single" w:sz="4" w:space="0" w:color="1B556B"/>
            </w:tcBorders>
          </w:tcPr>
          <w:p w14:paraId="363A62A5" w14:textId="77777777" w:rsidR="00447423" w:rsidRPr="002A3CBE" w:rsidRDefault="00447423" w:rsidP="00F16E23">
            <w:pPr>
              <w:pStyle w:val="TableText"/>
              <w:spacing w:before="40" w:after="40"/>
            </w:pPr>
            <w:r w:rsidRPr="002A3CBE">
              <w:t>20</w:t>
            </w:r>
          </w:p>
        </w:tc>
        <w:tc>
          <w:tcPr>
            <w:tcW w:w="1984" w:type="dxa"/>
            <w:vMerge/>
            <w:tcBorders>
              <w:bottom w:val="single" w:sz="4" w:space="0" w:color="1B556B"/>
            </w:tcBorders>
          </w:tcPr>
          <w:p w14:paraId="78E7302D" w14:textId="77777777" w:rsidR="00447423" w:rsidRPr="002A3CBE" w:rsidRDefault="00447423" w:rsidP="00F16E23">
            <w:pPr>
              <w:pStyle w:val="TableText"/>
              <w:spacing w:before="40" w:after="40"/>
              <w:rPr>
                <w:szCs w:val="16"/>
              </w:rPr>
            </w:pPr>
          </w:p>
        </w:tc>
      </w:tr>
      <w:tr w:rsidR="00447423" w:rsidRPr="002A3CBE" w14:paraId="2A5D890C" w14:textId="77777777" w:rsidTr="00F16E23">
        <w:trPr>
          <w:trHeight w:val="20"/>
        </w:trPr>
        <w:tc>
          <w:tcPr>
            <w:tcW w:w="1246" w:type="dxa"/>
            <w:vMerge/>
            <w:tcBorders>
              <w:bottom w:val="single" w:sz="4" w:space="0" w:color="1B556B"/>
            </w:tcBorders>
          </w:tcPr>
          <w:p w14:paraId="4929638E" w14:textId="77777777" w:rsidR="00447423" w:rsidRPr="002A3CBE" w:rsidRDefault="00447423" w:rsidP="00F16E23">
            <w:pPr>
              <w:pStyle w:val="TableText"/>
              <w:spacing w:before="40" w:after="40"/>
              <w:rPr>
                <w:szCs w:val="16"/>
              </w:rPr>
            </w:pPr>
          </w:p>
        </w:tc>
        <w:tc>
          <w:tcPr>
            <w:tcW w:w="1589" w:type="dxa"/>
            <w:tcBorders>
              <w:top w:val="single" w:sz="4" w:space="0" w:color="1B556B"/>
              <w:bottom w:val="single" w:sz="4" w:space="0" w:color="1B556B"/>
            </w:tcBorders>
          </w:tcPr>
          <w:p w14:paraId="53DD26BC" w14:textId="77777777" w:rsidR="00447423" w:rsidRPr="002A3CBE" w:rsidRDefault="00447423" w:rsidP="00F16E23">
            <w:pPr>
              <w:pStyle w:val="TableText"/>
              <w:spacing w:before="40" w:after="40"/>
              <w:rPr>
                <w:szCs w:val="16"/>
              </w:rPr>
            </w:pPr>
            <w:r w:rsidRPr="002A3CBE">
              <w:rPr>
                <w:szCs w:val="16"/>
              </w:rPr>
              <w:tab/>
              <w:t>BGB</w:t>
            </w:r>
          </w:p>
        </w:tc>
        <w:tc>
          <w:tcPr>
            <w:tcW w:w="1276" w:type="dxa"/>
            <w:tcBorders>
              <w:top w:val="single" w:sz="4" w:space="0" w:color="1B556B"/>
              <w:bottom w:val="single" w:sz="4" w:space="0" w:color="1B556B"/>
            </w:tcBorders>
          </w:tcPr>
          <w:p w14:paraId="6623E691" w14:textId="77777777" w:rsidR="00447423" w:rsidRPr="002A3CBE" w:rsidRDefault="00447423" w:rsidP="00F16E23">
            <w:pPr>
              <w:pStyle w:val="TableText"/>
              <w:spacing w:before="40" w:after="40"/>
              <w:rPr>
                <w:szCs w:val="16"/>
              </w:rPr>
            </w:pPr>
            <w:r w:rsidRPr="002A3CBE">
              <w:rPr>
                <w:szCs w:val="16"/>
              </w:rPr>
              <w:t>7.4</w:t>
            </w:r>
          </w:p>
        </w:tc>
        <w:tc>
          <w:tcPr>
            <w:tcW w:w="1276" w:type="dxa"/>
            <w:tcBorders>
              <w:top w:val="single" w:sz="4" w:space="0" w:color="1B556B"/>
              <w:bottom w:val="single" w:sz="4" w:space="0" w:color="1B556B"/>
            </w:tcBorders>
          </w:tcPr>
          <w:p w14:paraId="0A513493" w14:textId="77777777" w:rsidR="00447423" w:rsidRPr="002A3CBE" w:rsidRDefault="00447423" w:rsidP="00F16E23">
            <w:pPr>
              <w:pStyle w:val="TableText"/>
              <w:spacing w:before="40" w:after="40"/>
            </w:pPr>
            <w:r w:rsidRPr="002A3CBE">
              <w:t>0.4</w:t>
            </w:r>
          </w:p>
        </w:tc>
        <w:tc>
          <w:tcPr>
            <w:tcW w:w="1134" w:type="dxa"/>
            <w:tcBorders>
              <w:top w:val="single" w:sz="4" w:space="0" w:color="1B556B"/>
              <w:bottom w:val="single" w:sz="4" w:space="0" w:color="1B556B"/>
            </w:tcBorders>
          </w:tcPr>
          <w:p w14:paraId="685AB475" w14:textId="77777777" w:rsidR="00447423" w:rsidRPr="002A3CBE" w:rsidRDefault="00447423" w:rsidP="00F16E23">
            <w:pPr>
              <w:pStyle w:val="TableText"/>
              <w:spacing w:before="40" w:after="40"/>
            </w:pPr>
            <w:r w:rsidRPr="002A3CBE">
              <w:t>20</w:t>
            </w:r>
          </w:p>
        </w:tc>
        <w:tc>
          <w:tcPr>
            <w:tcW w:w="1984" w:type="dxa"/>
            <w:vMerge/>
            <w:tcBorders>
              <w:bottom w:val="single" w:sz="4" w:space="0" w:color="1B556B"/>
            </w:tcBorders>
          </w:tcPr>
          <w:p w14:paraId="7AC9CA29" w14:textId="77777777" w:rsidR="00447423" w:rsidRPr="002A3CBE" w:rsidRDefault="00447423" w:rsidP="00F16E23">
            <w:pPr>
              <w:pStyle w:val="TableText"/>
              <w:spacing w:before="40" w:after="40"/>
              <w:rPr>
                <w:szCs w:val="16"/>
              </w:rPr>
            </w:pPr>
          </w:p>
        </w:tc>
      </w:tr>
      <w:tr w:rsidR="00447423" w:rsidRPr="002A3CBE" w14:paraId="5879499C" w14:textId="77777777" w:rsidTr="00F16E23">
        <w:trPr>
          <w:trHeight w:val="20"/>
        </w:trPr>
        <w:tc>
          <w:tcPr>
            <w:tcW w:w="1246" w:type="dxa"/>
            <w:vMerge/>
            <w:tcBorders>
              <w:bottom w:val="single" w:sz="4" w:space="0" w:color="1B556B"/>
            </w:tcBorders>
          </w:tcPr>
          <w:p w14:paraId="615F5877" w14:textId="77777777" w:rsidR="00447423" w:rsidRPr="002A3CBE" w:rsidRDefault="00447423" w:rsidP="00F16E23">
            <w:pPr>
              <w:pStyle w:val="TableText"/>
              <w:spacing w:before="40" w:after="40"/>
              <w:rPr>
                <w:szCs w:val="16"/>
              </w:rPr>
            </w:pPr>
          </w:p>
        </w:tc>
        <w:tc>
          <w:tcPr>
            <w:tcW w:w="1589" w:type="dxa"/>
            <w:tcBorders>
              <w:top w:val="single" w:sz="4" w:space="0" w:color="1B556B"/>
              <w:bottom w:val="single" w:sz="4" w:space="0" w:color="1B556B"/>
            </w:tcBorders>
          </w:tcPr>
          <w:p w14:paraId="21D1B588" w14:textId="77777777" w:rsidR="00447423" w:rsidRPr="002A3CBE" w:rsidRDefault="00447423" w:rsidP="00F16E23">
            <w:pPr>
              <w:pStyle w:val="TableText"/>
              <w:spacing w:before="40" w:after="40"/>
              <w:rPr>
                <w:i/>
                <w:szCs w:val="16"/>
              </w:rPr>
            </w:pPr>
            <w:r w:rsidRPr="002A3CBE">
              <w:rPr>
                <w:i/>
                <w:szCs w:val="16"/>
              </w:rPr>
              <w:t>Dead organic matter</w:t>
            </w:r>
          </w:p>
        </w:tc>
        <w:tc>
          <w:tcPr>
            <w:tcW w:w="1276" w:type="dxa"/>
            <w:tcBorders>
              <w:top w:val="single" w:sz="4" w:space="0" w:color="1B556B"/>
              <w:bottom w:val="single" w:sz="4" w:space="0" w:color="1B556B"/>
            </w:tcBorders>
          </w:tcPr>
          <w:p w14:paraId="052DF641" w14:textId="77777777" w:rsidR="00447423" w:rsidRPr="002A3CBE" w:rsidRDefault="00447423" w:rsidP="00F16E23">
            <w:pPr>
              <w:pStyle w:val="TableText"/>
              <w:spacing w:before="40" w:after="40"/>
              <w:rPr>
                <w:szCs w:val="16"/>
              </w:rPr>
            </w:pPr>
          </w:p>
        </w:tc>
        <w:tc>
          <w:tcPr>
            <w:tcW w:w="1276" w:type="dxa"/>
            <w:tcBorders>
              <w:top w:val="single" w:sz="4" w:space="0" w:color="1B556B"/>
              <w:bottom w:val="single" w:sz="4" w:space="0" w:color="1B556B"/>
            </w:tcBorders>
          </w:tcPr>
          <w:p w14:paraId="4F4CD8E7" w14:textId="77777777" w:rsidR="00447423" w:rsidRPr="002A3CBE" w:rsidRDefault="00447423" w:rsidP="00F16E23">
            <w:pPr>
              <w:pStyle w:val="TableText"/>
              <w:spacing w:before="40" w:after="40"/>
              <w:rPr>
                <w:szCs w:val="16"/>
              </w:rPr>
            </w:pPr>
          </w:p>
        </w:tc>
        <w:tc>
          <w:tcPr>
            <w:tcW w:w="1134" w:type="dxa"/>
            <w:tcBorders>
              <w:top w:val="single" w:sz="4" w:space="0" w:color="1B556B"/>
              <w:bottom w:val="single" w:sz="4" w:space="0" w:color="1B556B"/>
            </w:tcBorders>
          </w:tcPr>
          <w:p w14:paraId="522A0616" w14:textId="77777777" w:rsidR="00447423" w:rsidRPr="002A3CBE" w:rsidRDefault="00447423" w:rsidP="00F16E23">
            <w:pPr>
              <w:pStyle w:val="TableText"/>
              <w:spacing w:before="40" w:after="40"/>
            </w:pPr>
          </w:p>
        </w:tc>
        <w:tc>
          <w:tcPr>
            <w:tcW w:w="1984" w:type="dxa"/>
            <w:vMerge/>
            <w:tcBorders>
              <w:bottom w:val="single" w:sz="4" w:space="0" w:color="1B556B"/>
            </w:tcBorders>
          </w:tcPr>
          <w:p w14:paraId="3138509C" w14:textId="77777777" w:rsidR="00447423" w:rsidRPr="002A3CBE" w:rsidRDefault="00447423" w:rsidP="00F16E23">
            <w:pPr>
              <w:pStyle w:val="TableText"/>
              <w:spacing w:before="40" w:after="40"/>
              <w:rPr>
                <w:szCs w:val="16"/>
              </w:rPr>
            </w:pPr>
          </w:p>
        </w:tc>
      </w:tr>
      <w:tr w:rsidR="00447423" w:rsidRPr="002A3CBE" w14:paraId="41A59C13" w14:textId="77777777" w:rsidTr="00F16E23">
        <w:trPr>
          <w:trHeight w:val="20"/>
        </w:trPr>
        <w:tc>
          <w:tcPr>
            <w:tcW w:w="1246" w:type="dxa"/>
            <w:vMerge/>
            <w:tcBorders>
              <w:bottom w:val="single" w:sz="4" w:space="0" w:color="1B556B"/>
            </w:tcBorders>
          </w:tcPr>
          <w:p w14:paraId="4009D6D0" w14:textId="77777777" w:rsidR="00447423" w:rsidRPr="002A3CBE" w:rsidRDefault="00447423" w:rsidP="00F16E23">
            <w:pPr>
              <w:pStyle w:val="TableText"/>
              <w:spacing w:before="40" w:after="40"/>
              <w:rPr>
                <w:szCs w:val="16"/>
              </w:rPr>
            </w:pPr>
          </w:p>
        </w:tc>
        <w:tc>
          <w:tcPr>
            <w:tcW w:w="1589" w:type="dxa"/>
            <w:tcBorders>
              <w:top w:val="single" w:sz="4" w:space="0" w:color="1B556B"/>
              <w:bottom w:val="single" w:sz="4" w:space="0" w:color="1B556B"/>
            </w:tcBorders>
          </w:tcPr>
          <w:p w14:paraId="5482CE0A" w14:textId="77777777" w:rsidR="00447423" w:rsidRPr="002A3CBE" w:rsidRDefault="00447423" w:rsidP="00F16E23">
            <w:pPr>
              <w:pStyle w:val="TableText"/>
              <w:spacing w:before="40" w:after="40"/>
              <w:rPr>
                <w:szCs w:val="16"/>
              </w:rPr>
            </w:pPr>
            <w:r w:rsidRPr="002A3CBE">
              <w:rPr>
                <w:szCs w:val="16"/>
              </w:rPr>
              <w:tab/>
              <w:t>Dead wood</w:t>
            </w:r>
          </w:p>
        </w:tc>
        <w:tc>
          <w:tcPr>
            <w:tcW w:w="1276" w:type="dxa"/>
            <w:tcBorders>
              <w:top w:val="single" w:sz="4" w:space="0" w:color="1B556B"/>
              <w:bottom w:val="single" w:sz="4" w:space="0" w:color="1B556B"/>
            </w:tcBorders>
          </w:tcPr>
          <w:p w14:paraId="392745BA" w14:textId="77777777" w:rsidR="00447423" w:rsidRPr="002A3CBE" w:rsidRDefault="00447423" w:rsidP="00F16E23">
            <w:pPr>
              <w:pStyle w:val="TableText"/>
              <w:spacing w:before="40" w:after="40"/>
              <w:rPr>
                <w:szCs w:val="16"/>
              </w:rPr>
            </w:pPr>
            <w:r w:rsidRPr="002A3CBE">
              <w:t>NE</w:t>
            </w:r>
          </w:p>
        </w:tc>
        <w:tc>
          <w:tcPr>
            <w:tcW w:w="1276" w:type="dxa"/>
            <w:tcBorders>
              <w:top w:val="single" w:sz="4" w:space="0" w:color="1B556B"/>
              <w:bottom w:val="single" w:sz="4" w:space="0" w:color="1B556B"/>
            </w:tcBorders>
          </w:tcPr>
          <w:p w14:paraId="32AAC038" w14:textId="77777777" w:rsidR="00447423" w:rsidRPr="002A3CBE" w:rsidRDefault="00447423" w:rsidP="00F16E23">
            <w:pPr>
              <w:pStyle w:val="TableText"/>
              <w:spacing w:before="40" w:after="40"/>
            </w:pPr>
            <w:r w:rsidRPr="002A3CBE">
              <w:t>NE</w:t>
            </w:r>
          </w:p>
        </w:tc>
        <w:tc>
          <w:tcPr>
            <w:tcW w:w="1134" w:type="dxa"/>
            <w:tcBorders>
              <w:top w:val="single" w:sz="4" w:space="0" w:color="1B556B"/>
              <w:bottom w:val="single" w:sz="4" w:space="0" w:color="1B556B"/>
            </w:tcBorders>
          </w:tcPr>
          <w:p w14:paraId="5B9D0167" w14:textId="77777777" w:rsidR="00447423" w:rsidRPr="002A3CBE" w:rsidRDefault="00447423" w:rsidP="00F16E23">
            <w:pPr>
              <w:pStyle w:val="TableText"/>
              <w:spacing w:before="40" w:after="40"/>
            </w:pPr>
            <w:r w:rsidRPr="002A3CBE">
              <w:t>NE</w:t>
            </w:r>
          </w:p>
        </w:tc>
        <w:tc>
          <w:tcPr>
            <w:tcW w:w="1984" w:type="dxa"/>
            <w:vMerge/>
            <w:tcBorders>
              <w:bottom w:val="single" w:sz="4" w:space="0" w:color="1B556B"/>
            </w:tcBorders>
          </w:tcPr>
          <w:p w14:paraId="314BBD30" w14:textId="77777777" w:rsidR="00447423" w:rsidRPr="002A3CBE" w:rsidRDefault="00447423" w:rsidP="00F16E23">
            <w:pPr>
              <w:pStyle w:val="TableText"/>
              <w:spacing w:before="40" w:after="40"/>
              <w:rPr>
                <w:szCs w:val="16"/>
              </w:rPr>
            </w:pPr>
          </w:p>
        </w:tc>
      </w:tr>
      <w:tr w:rsidR="00447423" w:rsidRPr="002A3CBE" w14:paraId="302F0246" w14:textId="77777777" w:rsidTr="00F16E23">
        <w:trPr>
          <w:trHeight w:val="20"/>
        </w:trPr>
        <w:tc>
          <w:tcPr>
            <w:tcW w:w="1246" w:type="dxa"/>
            <w:vMerge/>
            <w:tcBorders>
              <w:bottom w:val="single" w:sz="4" w:space="0" w:color="1B556B"/>
            </w:tcBorders>
          </w:tcPr>
          <w:p w14:paraId="0961633E" w14:textId="77777777" w:rsidR="00447423" w:rsidRPr="002A3CBE" w:rsidRDefault="00447423" w:rsidP="00F16E23">
            <w:pPr>
              <w:pStyle w:val="TableText"/>
              <w:spacing w:before="40" w:after="40"/>
              <w:rPr>
                <w:szCs w:val="16"/>
              </w:rPr>
            </w:pPr>
          </w:p>
        </w:tc>
        <w:tc>
          <w:tcPr>
            <w:tcW w:w="1589" w:type="dxa"/>
            <w:tcBorders>
              <w:top w:val="single" w:sz="4" w:space="0" w:color="1B556B"/>
              <w:bottom w:val="single" w:sz="4" w:space="0" w:color="1B556B"/>
            </w:tcBorders>
          </w:tcPr>
          <w:p w14:paraId="7828E8EF" w14:textId="77777777" w:rsidR="00447423" w:rsidRPr="002A3CBE" w:rsidRDefault="00447423" w:rsidP="00F16E23">
            <w:pPr>
              <w:pStyle w:val="TableText"/>
              <w:spacing w:before="40" w:after="40"/>
              <w:rPr>
                <w:szCs w:val="16"/>
              </w:rPr>
            </w:pPr>
            <w:r w:rsidRPr="002A3CBE">
              <w:rPr>
                <w:szCs w:val="16"/>
              </w:rPr>
              <w:tab/>
              <w:t>Litter</w:t>
            </w:r>
          </w:p>
        </w:tc>
        <w:tc>
          <w:tcPr>
            <w:tcW w:w="1276" w:type="dxa"/>
            <w:tcBorders>
              <w:top w:val="single" w:sz="4" w:space="0" w:color="1B556B"/>
              <w:bottom w:val="single" w:sz="4" w:space="0" w:color="1B556B"/>
            </w:tcBorders>
          </w:tcPr>
          <w:p w14:paraId="547D077E" w14:textId="77777777" w:rsidR="00447423" w:rsidRPr="002A3CBE" w:rsidRDefault="00447423" w:rsidP="00F16E23">
            <w:pPr>
              <w:pStyle w:val="TableText"/>
              <w:spacing w:before="40" w:after="40"/>
              <w:rPr>
                <w:szCs w:val="16"/>
              </w:rPr>
            </w:pPr>
            <w:r w:rsidRPr="002A3CBE">
              <w:t>NE</w:t>
            </w:r>
          </w:p>
        </w:tc>
        <w:tc>
          <w:tcPr>
            <w:tcW w:w="1276" w:type="dxa"/>
            <w:tcBorders>
              <w:top w:val="single" w:sz="4" w:space="0" w:color="1B556B"/>
              <w:bottom w:val="single" w:sz="4" w:space="0" w:color="1B556B"/>
            </w:tcBorders>
          </w:tcPr>
          <w:p w14:paraId="5B95518D" w14:textId="77777777" w:rsidR="00447423" w:rsidRPr="002A3CBE" w:rsidRDefault="00447423" w:rsidP="00F16E23">
            <w:pPr>
              <w:pStyle w:val="TableText"/>
              <w:spacing w:before="40" w:after="40"/>
            </w:pPr>
            <w:r w:rsidRPr="002A3CBE">
              <w:t>NE</w:t>
            </w:r>
          </w:p>
        </w:tc>
        <w:tc>
          <w:tcPr>
            <w:tcW w:w="1134" w:type="dxa"/>
            <w:tcBorders>
              <w:top w:val="single" w:sz="4" w:space="0" w:color="1B556B"/>
              <w:bottom w:val="single" w:sz="4" w:space="0" w:color="1B556B"/>
            </w:tcBorders>
          </w:tcPr>
          <w:p w14:paraId="0A6673D4" w14:textId="77777777" w:rsidR="00447423" w:rsidRPr="002A3CBE" w:rsidRDefault="00447423" w:rsidP="00F16E23">
            <w:pPr>
              <w:pStyle w:val="TableText"/>
              <w:spacing w:before="40" w:after="40"/>
            </w:pPr>
            <w:r w:rsidRPr="002A3CBE">
              <w:t>NE</w:t>
            </w:r>
          </w:p>
        </w:tc>
        <w:tc>
          <w:tcPr>
            <w:tcW w:w="1984" w:type="dxa"/>
            <w:vMerge/>
            <w:tcBorders>
              <w:bottom w:val="single" w:sz="4" w:space="0" w:color="1B556B"/>
            </w:tcBorders>
          </w:tcPr>
          <w:p w14:paraId="17764B2F" w14:textId="77777777" w:rsidR="00447423" w:rsidRPr="002A3CBE" w:rsidRDefault="00447423" w:rsidP="00F16E23">
            <w:pPr>
              <w:pStyle w:val="TableText"/>
              <w:spacing w:before="40" w:after="40"/>
              <w:rPr>
                <w:szCs w:val="16"/>
              </w:rPr>
            </w:pPr>
          </w:p>
        </w:tc>
      </w:tr>
    </w:tbl>
    <w:p w14:paraId="1676F3C0" w14:textId="77777777" w:rsidR="00447423" w:rsidRPr="002A3CBE" w:rsidRDefault="00447423" w:rsidP="00447423">
      <w:pPr>
        <w:pStyle w:val="Noteundertable"/>
      </w:pPr>
      <w:r w:rsidRPr="002A3CBE">
        <w:rPr>
          <w:b/>
        </w:rPr>
        <w:t>Note:</w:t>
      </w:r>
      <w:r w:rsidRPr="002A3CBE">
        <w:tab/>
        <w:t>AGB = above-ground biomass; BGB = below-ground biomass;</w:t>
      </w:r>
      <w:r w:rsidRPr="002A3CBE" w:rsidDel="00BB7833">
        <w:t xml:space="preserve"> </w:t>
      </w:r>
      <w:r w:rsidRPr="002A3CBE">
        <w:t xml:space="preserve">NE = not estimated. Columns may not total due to rounding. </w:t>
      </w:r>
    </w:p>
    <w:p w14:paraId="6C71C8B1" w14:textId="77777777" w:rsidR="00447423" w:rsidRPr="002A3CBE" w:rsidRDefault="00447423" w:rsidP="00447423">
      <w:pPr>
        <w:pStyle w:val="Heading5"/>
      </w:pPr>
      <w:r w:rsidRPr="002A3CBE">
        <w:t xml:space="preserve">Soil organic carbon </w:t>
      </w:r>
    </w:p>
    <w:p w14:paraId="642D1420" w14:textId="77777777" w:rsidR="00447423" w:rsidRPr="002A3CBE" w:rsidRDefault="00447423" w:rsidP="00447423">
      <w:pPr>
        <w:pStyle w:val="BodyText"/>
      </w:pPr>
      <w:r w:rsidRPr="002A3CBE">
        <w:t xml:space="preserve">Soil organic carbon stocks in </w:t>
      </w:r>
      <w:r w:rsidRPr="002A3CBE">
        <w:rPr>
          <w:i/>
        </w:rPr>
        <w:t>Land converted to wetlands</w:t>
      </w:r>
      <w:r w:rsidRPr="002A3CBE">
        <w:t xml:space="preserve"> are estimated using a Tier 2 method, as described in volume 2, annex 5, section A5.2.4. </w:t>
      </w:r>
    </w:p>
    <w:p w14:paraId="306A0A22" w14:textId="77777777" w:rsidR="00447423" w:rsidRPr="002A3CBE" w:rsidRDefault="00447423" w:rsidP="00447423">
      <w:pPr>
        <w:pStyle w:val="Heading5"/>
      </w:pPr>
      <w:r w:rsidRPr="002A3CBE">
        <w:t>Non-CO</w:t>
      </w:r>
      <w:r w:rsidRPr="002A3CBE">
        <w:rPr>
          <w:vertAlign w:val="subscript"/>
        </w:rPr>
        <w:t>2</w:t>
      </w:r>
      <w:r w:rsidRPr="002A3CBE">
        <w:t xml:space="preserve"> emissions</w:t>
      </w:r>
    </w:p>
    <w:p w14:paraId="6F139384" w14:textId="77777777" w:rsidR="00447423" w:rsidRPr="002A3CBE" w:rsidRDefault="00447423" w:rsidP="00447423">
      <w:pPr>
        <w:pStyle w:val="Heading6"/>
        <w:spacing w:before="180"/>
      </w:pPr>
      <w:r w:rsidRPr="002A3CBE">
        <w:t>Non-CO</w:t>
      </w:r>
      <w:r w:rsidRPr="002A3CBE">
        <w:rPr>
          <w:vertAlign w:val="subscript"/>
        </w:rPr>
        <w:t>2</w:t>
      </w:r>
      <w:r w:rsidRPr="002A3CBE">
        <w:t xml:space="preserve"> emissions from drainage of soils and wetlands</w:t>
      </w:r>
    </w:p>
    <w:p w14:paraId="5D0F0EA3" w14:textId="77777777" w:rsidR="00447423" w:rsidRPr="002A3CBE" w:rsidRDefault="00447423" w:rsidP="00447423">
      <w:pPr>
        <w:pStyle w:val="BodyText"/>
      </w:pPr>
      <w:r w:rsidRPr="002A3CBE">
        <w:t xml:space="preserve">New Zealand has not prepared estimates for this category. The notation key NE is used in the CRTs where either no activity data are available to report on this activity or no Tier 1 methodology exists within the accepted guidelines for providing estimates. Use of this notation key is in accordance with Decision 24/CP.19 (UNFCCC, 2014). </w:t>
      </w:r>
    </w:p>
    <w:p w14:paraId="25B15B68" w14:textId="77777777" w:rsidR="00447423" w:rsidRPr="002A3CBE" w:rsidRDefault="00447423" w:rsidP="00447423">
      <w:pPr>
        <w:pStyle w:val="Heading3"/>
      </w:pPr>
      <w:r w:rsidRPr="002A3CBE">
        <w:t>6.7.3</w:t>
      </w:r>
      <w:r w:rsidRPr="002A3CBE">
        <w:tab/>
        <w:t>Uncertainty assessment and time-series consistency</w:t>
      </w:r>
    </w:p>
    <w:p w14:paraId="200C769B" w14:textId="77777777" w:rsidR="00447423" w:rsidRPr="002A3CBE" w:rsidRDefault="00447423" w:rsidP="00447423">
      <w:pPr>
        <w:pStyle w:val="BodyText"/>
        <w:spacing w:before="100" w:after="100"/>
      </w:pPr>
      <w:r w:rsidRPr="002A3CBE">
        <w:t>The uncertainty in net CO</w:t>
      </w:r>
      <w:r w:rsidRPr="002A3CBE">
        <w:rPr>
          <w:vertAlign w:val="subscript"/>
        </w:rPr>
        <w:t>2</w:t>
      </w:r>
      <w:r w:rsidRPr="002A3CBE">
        <w:t xml:space="preserve"> emissions from </w:t>
      </w:r>
      <w:r w:rsidRPr="002A3CBE">
        <w:rPr>
          <w:i/>
          <w:iCs/>
        </w:rPr>
        <w:t>Wetlands</w:t>
      </w:r>
      <w:r w:rsidRPr="002A3CBE">
        <w:t xml:space="preserve"> was 114.9 percent in 2024 and accounted for 0.03 percent of the total uncertainty in emissions from the LULUCF sector. The uncertainty associated with the emissions from each </w:t>
      </w:r>
      <w:r w:rsidRPr="002A3CBE">
        <w:rPr>
          <w:i/>
        </w:rPr>
        <w:t>Wetland</w:t>
      </w:r>
      <w:r w:rsidRPr="002A3CBE">
        <w:t xml:space="preserve"> class is shown in table 6.7.4. </w:t>
      </w:r>
      <w:r w:rsidRPr="002A3CBE">
        <w:rPr>
          <w:spacing w:val="-2"/>
        </w:rPr>
        <w:t>The methods used to calculate the uncertainty are further described in volume 2, annex 5, section A5.2.8</w:t>
      </w:r>
      <w:r w:rsidRPr="002A3CBE">
        <w:t xml:space="preserve">. </w:t>
      </w:r>
    </w:p>
    <w:p w14:paraId="192ED946" w14:textId="77777777" w:rsidR="00447423" w:rsidRPr="002A3CBE" w:rsidRDefault="00447423" w:rsidP="00447423">
      <w:pPr>
        <w:pStyle w:val="BodyText"/>
        <w:spacing w:before="100" w:after="100"/>
      </w:pPr>
      <w:r w:rsidRPr="002A3CBE">
        <w:t xml:space="preserve">Time-series consistency is ensured by applying consistent methods and full recalculations in the event of any refinement or improvement to methodology. </w:t>
      </w:r>
    </w:p>
    <w:p w14:paraId="3552186A" w14:textId="77777777" w:rsidR="00447423" w:rsidRPr="002A3CBE" w:rsidRDefault="00447423" w:rsidP="00447423">
      <w:pPr>
        <w:pStyle w:val="Table"/>
      </w:pPr>
      <w:bookmarkStart w:id="2650" w:name="_Toc131591417"/>
      <w:bookmarkStart w:id="2651" w:name="_Toc158979975"/>
      <w:bookmarkStart w:id="2652" w:name="_Toc164153908"/>
      <w:bookmarkStart w:id="2653" w:name="_Toc190873142"/>
      <w:bookmarkStart w:id="2654" w:name="_Toc194241781"/>
      <w:bookmarkStart w:id="2655" w:name="_Toc222837932"/>
      <w:bookmarkStart w:id="2656" w:name="_Toc226669078"/>
      <w:r w:rsidRPr="002A3CBE">
        <w:t>Table 6.7.4</w:t>
      </w:r>
      <w:r w:rsidRPr="002A3CBE">
        <w:tab/>
        <w:t xml:space="preserve">Uncertainty in carbon stock change emissions in 2024 for </w:t>
      </w:r>
      <w:r w:rsidRPr="002A3CBE">
        <w:rPr>
          <w:i/>
        </w:rPr>
        <w:t>Wetlands</w:t>
      </w:r>
      <w:bookmarkEnd w:id="2650"/>
      <w:bookmarkEnd w:id="2651"/>
      <w:bookmarkEnd w:id="2652"/>
      <w:bookmarkEnd w:id="2653"/>
      <w:bookmarkEnd w:id="2654"/>
      <w:bookmarkEnd w:id="2655"/>
      <w:bookmarkEnd w:id="2656"/>
      <w:r w:rsidRPr="002A3CBE">
        <w:t xml:space="preserve"> </w:t>
      </w:r>
    </w:p>
    <w:tbl>
      <w:tblPr>
        <w:tblW w:w="8505" w:type="dxa"/>
        <w:tblLayout w:type="fixed"/>
        <w:tblLook w:val="04A0" w:firstRow="1" w:lastRow="0" w:firstColumn="1" w:lastColumn="0" w:noHBand="0" w:noVBand="1"/>
      </w:tblPr>
      <w:tblGrid>
        <w:gridCol w:w="1843"/>
        <w:gridCol w:w="1559"/>
        <w:gridCol w:w="2268"/>
        <w:gridCol w:w="2835"/>
      </w:tblGrid>
      <w:tr w:rsidR="00447423" w:rsidRPr="002A3CBE" w14:paraId="3CFC5AAD" w14:textId="77777777" w:rsidTr="00F16E23">
        <w:tc>
          <w:tcPr>
            <w:tcW w:w="1843" w:type="dxa"/>
            <w:tcBorders>
              <w:top w:val="single" w:sz="4" w:space="0" w:color="1B556B" w:themeColor="text2"/>
              <w:bottom w:val="single" w:sz="4" w:space="0" w:color="1B556B" w:themeColor="text2"/>
            </w:tcBorders>
            <w:shd w:val="clear" w:color="auto" w:fill="1B556B" w:themeFill="text2"/>
            <w:vAlign w:val="bottom"/>
          </w:tcPr>
          <w:p w14:paraId="297F6703" w14:textId="77777777" w:rsidR="00447423" w:rsidRPr="002A3CBE" w:rsidRDefault="00447423" w:rsidP="00F16E23">
            <w:pPr>
              <w:pStyle w:val="TableTextBold"/>
              <w:keepNext/>
              <w:spacing w:before="40" w:after="40"/>
              <w:rPr>
                <w:noProof w:val="0"/>
                <w:color w:val="FFFFFF"/>
                <w:szCs w:val="16"/>
              </w:rPr>
            </w:pPr>
          </w:p>
        </w:tc>
        <w:tc>
          <w:tcPr>
            <w:tcW w:w="1559" w:type="dxa"/>
            <w:tcBorders>
              <w:top w:val="single" w:sz="4" w:space="0" w:color="1B556B" w:themeColor="text2"/>
              <w:bottom w:val="single" w:sz="4" w:space="0" w:color="1B556B" w:themeColor="text2"/>
            </w:tcBorders>
            <w:shd w:val="clear" w:color="auto" w:fill="1B556B" w:themeFill="text2"/>
            <w:vAlign w:val="bottom"/>
          </w:tcPr>
          <w:p w14:paraId="179FA307"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Emissions (kt CO</w:t>
            </w:r>
            <w:r w:rsidRPr="002A3CBE">
              <w:rPr>
                <w:noProof w:val="0"/>
                <w:color w:val="FFFFFF"/>
                <w:szCs w:val="16"/>
                <w:vertAlign w:val="subscript"/>
              </w:rPr>
              <w:t>2</w:t>
            </w:r>
            <w:r w:rsidRPr="002A3CBE">
              <w:rPr>
                <w:noProof w:val="0"/>
                <w:color w:val="FFFFFF"/>
                <w:szCs w:val="16"/>
              </w:rPr>
              <w:t>e)</w:t>
            </w:r>
          </w:p>
        </w:tc>
        <w:tc>
          <w:tcPr>
            <w:tcW w:w="2268" w:type="dxa"/>
            <w:tcBorders>
              <w:top w:val="single" w:sz="4" w:space="0" w:color="1B556B" w:themeColor="text2"/>
              <w:bottom w:val="single" w:sz="4" w:space="0" w:color="1B556B" w:themeColor="text2"/>
            </w:tcBorders>
            <w:shd w:val="clear" w:color="auto" w:fill="1B556B" w:themeFill="text2"/>
            <w:vAlign w:val="bottom"/>
          </w:tcPr>
          <w:p w14:paraId="623DFB37"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Uncertainty in emissions (%)</w:t>
            </w:r>
          </w:p>
        </w:tc>
        <w:tc>
          <w:tcPr>
            <w:tcW w:w="2835" w:type="dxa"/>
            <w:tcBorders>
              <w:top w:val="single" w:sz="4" w:space="0" w:color="1B556B" w:themeColor="text2"/>
              <w:bottom w:val="single" w:sz="4" w:space="0" w:color="1B556B" w:themeColor="text2"/>
            </w:tcBorders>
            <w:shd w:val="clear" w:color="auto" w:fill="1B556B" w:themeFill="text2"/>
            <w:vAlign w:val="bottom"/>
          </w:tcPr>
          <w:p w14:paraId="7EDB453E"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Contribution to LULUCF uncertainty (%)</w:t>
            </w:r>
          </w:p>
        </w:tc>
      </w:tr>
      <w:tr w:rsidR="00447423" w:rsidRPr="002A3CBE" w14:paraId="49CEA6E1" w14:textId="77777777" w:rsidTr="00F16E23">
        <w:tc>
          <w:tcPr>
            <w:tcW w:w="1843" w:type="dxa"/>
            <w:tcBorders>
              <w:top w:val="single" w:sz="4" w:space="0" w:color="1B556B" w:themeColor="text2"/>
              <w:bottom w:val="single" w:sz="4" w:space="0" w:color="1B556B" w:themeColor="text2"/>
            </w:tcBorders>
          </w:tcPr>
          <w:p w14:paraId="382F8221" w14:textId="77777777" w:rsidR="00447423" w:rsidRPr="002A3CBE" w:rsidRDefault="00447423" w:rsidP="00F16E23">
            <w:pPr>
              <w:pStyle w:val="TableText"/>
              <w:spacing w:before="40" w:after="40"/>
              <w:rPr>
                <w:szCs w:val="16"/>
              </w:rPr>
            </w:pPr>
            <w:r w:rsidRPr="002A3CBE">
              <w:t>Wetlands – open water</w:t>
            </w:r>
          </w:p>
        </w:tc>
        <w:tc>
          <w:tcPr>
            <w:tcW w:w="1559" w:type="dxa"/>
            <w:tcBorders>
              <w:top w:val="single" w:sz="4" w:space="0" w:color="1B556B" w:themeColor="text2"/>
              <w:bottom w:val="single" w:sz="4" w:space="0" w:color="1B556B" w:themeColor="text2"/>
            </w:tcBorders>
          </w:tcPr>
          <w:p w14:paraId="119FF951" w14:textId="77777777" w:rsidR="00447423" w:rsidRPr="002A3CBE" w:rsidRDefault="00447423" w:rsidP="00F16E23">
            <w:pPr>
              <w:pStyle w:val="TableText"/>
              <w:spacing w:before="40" w:after="40"/>
              <w:jc w:val="right"/>
              <w:rPr>
                <w:szCs w:val="16"/>
              </w:rPr>
            </w:pPr>
            <w:r w:rsidRPr="002A3CBE">
              <w:t>-7.1</w:t>
            </w:r>
          </w:p>
        </w:tc>
        <w:tc>
          <w:tcPr>
            <w:tcW w:w="2268" w:type="dxa"/>
            <w:tcBorders>
              <w:top w:val="single" w:sz="4" w:space="0" w:color="1B556B" w:themeColor="text2"/>
              <w:bottom w:val="single" w:sz="4" w:space="0" w:color="1B556B" w:themeColor="text2"/>
            </w:tcBorders>
          </w:tcPr>
          <w:p w14:paraId="412C5D49" w14:textId="77777777" w:rsidR="00447423" w:rsidRPr="002A3CBE" w:rsidRDefault="00447423" w:rsidP="00F16E23">
            <w:pPr>
              <w:pStyle w:val="TableText"/>
              <w:spacing w:before="40" w:after="40"/>
              <w:jc w:val="right"/>
              <w:rPr>
                <w:rFonts w:cs="Segoe UI"/>
                <w:szCs w:val="16"/>
              </w:rPr>
            </w:pPr>
            <w:r w:rsidRPr="002A3CBE">
              <w:t>195.6</w:t>
            </w:r>
          </w:p>
        </w:tc>
        <w:tc>
          <w:tcPr>
            <w:tcW w:w="2835" w:type="dxa"/>
            <w:tcBorders>
              <w:top w:val="single" w:sz="4" w:space="0" w:color="1B556B" w:themeColor="text2"/>
              <w:bottom w:val="single" w:sz="4" w:space="0" w:color="1B556B" w:themeColor="text2"/>
            </w:tcBorders>
          </w:tcPr>
          <w:p w14:paraId="5E039096" w14:textId="77777777" w:rsidR="00447423" w:rsidRPr="002A3CBE" w:rsidRDefault="00447423" w:rsidP="00F16E23">
            <w:pPr>
              <w:pStyle w:val="TableText"/>
              <w:spacing w:before="40" w:after="40"/>
              <w:jc w:val="right"/>
              <w:rPr>
                <w:rFonts w:cs="Segoe UI"/>
                <w:szCs w:val="16"/>
              </w:rPr>
            </w:pPr>
            <w:r w:rsidRPr="002A3CBE">
              <w:t>0.07</w:t>
            </w:r>
          </w:p>
        </w:tc>
      </w:tr>
      <w:tr w:rsidR="00447423" w:rsidRPr="002A3CBE" w14:paraId="56B36684" w14:textId="77777777" w:rsidTr="00F16E23">
        <w:tc>
          <w:tcPr>
            <w:tcW w:w="1843" w:type="dxa"/>
            <w:tcBorders>
              <w:top w:val="single" w:sz="4" w:space="0" w:color="1B556B" w:themeColor="text2"/>
              <w:bottom w:val="single" w:sz="4" w:space="0" w:color="1B556B" w:themeColor="text2"/>
            </w:tcBorders>
          </w:tcPr>
          <w:p w14:paraId="17E4DE28" w14:textId="77777777" w:rsidR="00447423" w:rsidRPr="002A3CBE" w:rsidRDefault="00447423" w:rsidP="00F16E23">
            <w:pPr>
              <w:pStyle w:val="TableText"/>
              <w:spacing w:before="40" w:after="40"/>
              <w:rPr>
                <w:szCs w:val="16"/>
              </w:rPr>
            </w:pPr>
            <w:r w:rsidRPr="002A3CBE">
              <w:t>Wetlands – vegetative</w:t>
            </w:r>
          </w:p>
        </w:tc>
        <w:tc>
          <w:tcPr>
            <w:tcW w:w="1559" w:type="dxa"/>
            <w:tcBorders>
              <w:top w:val="single" w:sz="4" w:space="0" w:color="1B556B" w:themeColor="text2"/>
              <w:bottom w:val="single" w:sz="4" w:space="0" w:color="1B556B" w:themeColor="text2"/>
            </w:tcBorders>
          </w:tcPr>
          <w:p w14:paraId="422B64E5" w14:textId="77777777" w:rsidR="00447423" w:rsidRPr="002A3CBE" w:rsidRDefault="00447423" w:rsidP="00F16E23">
            <w:pPr>
              <w:pStyle w:val="TableText"/>
              <w:spacing w:before="40" w:after="40"/>
              <w:jc w:val="right"/>
              <w:rPr>
                <w:szCs w:val="16"/>
              </w:rPr>
            </w:pPr>
            <w:r w:rsidRPr="002A3CBE">
              <w:t>-5.1</w:t>
            </w:r>
          </w:p>
        </w:tc>
        <w:tc>
          <w:tcPr>
            <w:tcW w:w="2268" w:type="dxa"/>
            <w:tcBorders>
              <w:top w:val="single" w:sz="4" w:space="0" w:color="1B556B" w:themeColor="text2"/>
              <w:bottom w:val="single" w:sz="4" w:space="0" w:color="1B556B" w:themeColor="text2"/>
            </w:tcBorders>
          </w:tcPr>
          <w:p w14:paraId="15CA8028" w14:textId="77777777" w:rsidR="00447423" w:rsidRPr="002A3CBE" w:rsidRDefault="00447423" w:rsidP="00F16E23">
            <w:pPr>
              <w:pStyle w:val="TableText"/>
              <w:spacing w:before="40" w:after="40"/>
              <w:jc w:val="right"/>
              <w:rPr>
                <w:rFonts w:cs="Segoe UI"/>
                <w:szCs w:val="16"/>
              </w:rPr>
            </w:pPr>
            <w:r w:rsidRPr="002A3CBE">
              <w:t>40.0</w:t>
            </w:r>
          </w:p>
        </w:tc>
        <w:tc>
          <w:tcPr>
            <w:tcW w:w="2835" w:type="dxa"/>
            <w:tcBorders>
              <w:top w:val="single" w:sz="4" w:space="0" w:color="1B556B" w:themeColor="text2"/>
              <w:bottom w:val="single" w:sz="4" w:space="0" w:color="1B556B" w:themeColor="text2"/>
            </w:tcBorders>
          </w:tcPr>
          <w:p w14:paraId="14A345A4" w14:textId="77777777" w:rsidR="00447423" w:rsidRPr="002A3CBE" w:rsidRDefault="00447423" w:rsidP="00F16E23">
            <w:pPr>
              <w:pStyle w:val="TableText"/>
              <w:spacing w:before="40" w:after="40"/>
              <w:jc w:val="right"/>
              <w:rPr>
                <w:rFonts w:cs="Segoe UI"/>
                <w:szCs w:val="16"/>
              </w:rPr>
            </w:pPr>
            <w:r w:rsidRPr="002A3CBE">
              <w:t>0.01</w:t>
            </w:r>
          </w:p>
        </w:tc>
      </w:tr>
      <w:tr w:rsidR="00447423" w:rsidRPr="002A3CBE" w14:paraId="52AE12C7" w14:textId="77777777" w:rsidTr="00F16E23">
        <w:tc>
          <w:tcPr>
            <w:tcW w:w="1843" w:type="dxa"/>
            <w:tcBorders>
              <w:top w:val="single" w:sz="4" w:space="0" w:color="1B556B" w:themeColor="text2"/>
              <w:bottom w:val="single" w:sz="4" w:space="0" w:color="1B556B" w:themeColor="text2"/>
            </w:tcBorders>
          </w:tcPr>
          <w:p w14:paraId="3B70A9CC" w14:textId="77777777" w:rsidR="00447423" w:rsidRPr="002A3CBE" w:rsidRDefault="00447423" w:rsidP="00F16E23">
            <w:pPr>
              <w:pStyle w:val="TableText"/>
              <w:spacing w:before="40" w:after="40"/>
            </w:pPr>
            <w:r w:rsidRPr="002A3CBE">
              <w:t>Peat extraction</w:t>
            </w:r>
          </w:p>
        </w:tc>
        <w:tc>
          <w:tcPr>
            <w:tcW w:w="1559" w:type="dxa"/>
            <w:tcBorders>
              <w:top w:val="single" w:sz="4" w:space="0" w:color="1B556B" w:themeColor="text2"/>
              <w:bottom w:val="single" w:sz="4" w:space="0" w:color="1B556B" w:themeColor="text2"/>
            </w:tcBorders>
          </w:tcPr>
          <w:p w14:paraId="6C2EDAC3" w14:textId="77777777" w:rsidR="00447423" w:rsidRPr="002A3CBE" w:rsidRDefault="00447423" w:rsidP="00F16E23">
            <w:pPr>
              <w:pStyle w:val="TableText"/>
              <w:spacing w:before="40" w:after="40"/>
              <w:jc w:val="right"/>
              <w:rPr>
                <w:szCs w:val="16"/>
              </w:rPr>
            </w:pPr>
            <w:r w:rsidRPr="002A3CBE">
              <w:t>17.9</w:t>
            </w:r>
          </w:p>
        </w:tc>
        <w:tc>
          <w:tcPr>
            <w:tcW w:w="2268" w:type="dxa"/>
            <w:tcBorders>
              <w:top w:val="single" w:sz="4" w:space="0" w:color="1B556B" w:themeColor="text2"/>
              <w:bottom w:val="single" w:sz="4" w:space="0" w:color="1B556B" w:themeColor="text2"/>
            </w:tcBorders>
          </w:tcPr>
          <w:p w14:paraId="5C8B5B02" w14:textId="77777777" w:rsidR="00447423" w:rsidRPr="002A3CBE" w:rsidRDefault="00447423" w:rsidP="00F16E23">
            <w:pPr>
              <w:pStyle w:val="TableText"/>
              <w:spacing w:before="40" w:after="40"/>
              <w:jc w:val="right"/>
              <w:rPr>
                <w:szCs w:val="16"/>
              </w:rPr>
            </w:pPr>
            <w:r w:rsidRPr="002A3CBE">
              <w:t>18.9</w:t>
            </w:r>
          </w:p>
        </w:tc>
        <w:tc>
          <w:tcPr>
            <w:tcW w:w="2835" w:type="dxa"/>
            <w:tcBorders>
              <w:top w:val="single" w:sz="4" w:space="0" w:color="1B556B" w:themeColor="text2"/>
              <w:bottom w:val="single" w:sz="4" w:space="0" w:color="1B556B" w:themeColor="text2"/>
            </w:tcBorders>
          </w:tcPr>
          <w:p w14:paraId="692F326B" w14:textId="77777777" w:rsidR="00447423" w:rsidRPr="002A3CBE" w:rsidRDefault="00447423" w:rsidP="00F16E23">
            <w:pPr>
              <w:pStyle w:val="TableText"/>
              <w:spacing w:before="40" w:after="40"/>
              <w:jc w:val="right"/>
              <w:rPr>
                <w:szCs w:val="16"/>
              </w:rPr>
            </w:pPr>
            <w:r w:rsidRPr="002A3CBE">
              <w:t>0.02</w:t>
            </w:r>
          </w:p>
        </w:tc>
      </w:tr>
      <w:tr w:rsidR="00447423" w:rsidRPr="002A3CBE" w14:paraId="586F60D9" w14:textId="77777777" w:rsidTr="00F16E23">
        <w:tc>
          <w:tcPr>
            <w:tcW w:w="1843" w:type="dxa"/>
            <w:tcBorders>
              <w:top w:val="single" w:sz="4" w:space="0" w:color="1B556B" w:themeColor="text2"/>
              <w:bottom w:val="single" w:sz="4" w:space="0" w:color="1B556B" w:themeColor="text2"/>
            </w:tcBorders>
          </w:tcPr>
          <w:p w14:paraId="7B13494F" w14:textId="77777777" w:rsidR="00447423" w:rsidRPr="002A3CBE" w:rsidRDefault="00447423" w:rsidP="00F16E23">
            <w:pPr>
              <w:pStyle w:val="TableTextBold"/>
              <w:spacing w:before="40" w:after="40"/>
              <w:rPr>
                <w:noProof w:val="0"/>
                <w:color w:val="1B556B"/>
              </w:rPr>
            </w:pPr>
            <w:r w:rsidRPr="002A3CBE">
              <w:rPr>
                <w:noProof w:val="0"/>
                <w:color w:val="1B556B"/>
              </w:rPr>
              <w:t>Total</w:t>
            </w:r>
          </w:p>
        </w:tc>
        <w:tc>
          <w:tcPr>
            <w:tcW w:w="1559" w:type="dxa"/>
            <w:tcBorders>
              <w:top w:val="single" w:sz="4" w:space="0" w:color="1B556B" w:themeColor="text2"/>
              <w:bottom w:val="single" w:sz="4" w:space="0" w:color="1B556B" w:themeColor="text2"/>
            </w:tcBorders>
          </w:tcPr>
          <w:p w14:paraId="2DF066EB" w14:textId="77777777" w:rsidR="00447423" w:rsidRPr="002A3CBE" w:rsidRDefault="00447423" w:rsidP="00F16E23">
            <w:pPr>
              <w:pStyle w:val="TableTextBold"/>
              <w:spacing w:before="40" w:after="40"/>
              <w:jc w:val="right"/>
              <w:rPr>
                <w:noProof w:val="0"/>
                <w:color w:val="1B556B"/>
              </w:rPr>
            </w:pPr>
            <w:r w:rsidRPr="002A3CBE">
              <w:rPr>
                <w:noProof w:val="0"/>
                <w:color w:val="1B556B"/>
              </w:rPr>
              <w:t>5.7</w:t>
            </w:r>
          </w:p>
        </w:tc>
        <w:tc>
          <w:tcPr>
            <w:tcW w:w="2268" w:type="dxa"/>
            <w:tcBorders>
              <w:top w:val="single" w:sz="4" w:space="0" w:color="1B556B" w:themeColor="text2"/>
              <w:bottom w:val="single" w:sz="4" w:space="0" w:color="1B556B" w:themeColor="text2"/>
            </w:tcBorders>
          </w:tcPr>
          <w:p w14:paraId="7AA90BBA" w14:textId="77777777" w:rsidR="00447423" w:rsidRPr="002A3CBE" w:rsidRDefault="00447423" w:rsidP="00F16E23">
            <w:pPr>
              <w:pStyle w:val="TableTextBold"/>
              <w:spacing w:before="40" w:after="40"/>
              <w:jc w:val="right"/>
              <w:rPr>
                <w:noProof w:val="0"/>
                <w:color w:val="1B556B"/>
              </w:rPr>
            </w:pPr>
            <w:r w:rsidRPr="002A3CBE">
              <w:rPr>
                <w:noProof w:val="0"/>
                <w:color w:val="1B556B"/>
              </w:rPr>
              <w:t>114.9</w:t>
            </w:r>
          </w:p>
        </w:tc>
        <w:tc>
          <w:tcPr>
            <w:tcW w:w="2835" w:type="dxa"/>
            <w:tcBorders>
              <w:top w:val="single" w:sz="4" w:space="0" w:color="1B556B" w:themeColor="text2"/>
              <w:bottom w:val="single" w:sz="4" w:space="0" w:color="1B556B" w:themeColor="text2"/>
            </w:tcBorders>
          </w:tcPr>
          <w:p w14:paraId="4233CDEA" w14:textId="77777777" w:rsidR="00447423" w:rsidRPr="002A3CBE" w:rsidRDefault="00447423" w:rsidP="00F16E23">
            <w:pPr>
              <w:pStyle w:val="TableTextBold"/>
              <w:spacing w:before="40" w:after="40"/>
              <w:jc w:val="right"/>
              <w:rPr>
                <w:noProof w:val="0"/>
                <w:color w:val="1B556B"/>
              </w:rPr>
            </w:pPr>
            <w:r w:rsidRPr="002A3CBE">
              <w:rPr>
                <w:noProof w:val="0"/>
                <w:color w:val="1B556B"/>
              </w:rPr>
              <w:t>0.03</w:t>
            </w:r>
          </w:p>
        </w:tc>
      </w:tr>
    </w:tbl>
    <w:p w14:paraId="43E352AD" w14:textId="77777777" w:rsidR="00447423" w:rsidRPr="002A3CBE" w:rsidRDefault="00447423" w:rsidP="00447423">
      <w:pPr>
        <w:pStyle w:val="Heading3"/>
        <w:spacing w:before="400"/>
      </w:pPr>
      <w:r w:rsidRPr="002A3CBE">
        <w:t>6.7.4</w:t>
      </w:r>
      <w:r w:rsidRPr="002A3CBE">
        <w:tab/>
        <w:t xml:space="preserve">Category-specific QA/QC and verification </w:t>
      </w:r>
    </w:p>
    <w:p w14:paraId="02E79BA1" w14:textId="77777777" w:rsidR="00447423" w:rsidRPr="002A3CBE" w:rsidRDefault="00447423" w:rsidP="00447423">
      <w:pPr>
        <w:pStyle w:val="BodyText"/>
        <w:spacing w:before="100" w:after="100"/>
      </w:pPr>
      <w:r w:rsidRPr="002A3CBE">
        <w:t>In the preparation of this inventory, the activity data and emission factor for carbon change underwent Tier 1 quality checks.</w:t>
      </w:r>
    </w:p>
    <w:p w14:paraId="0A4A2EBB" w14:textId="77777777" w:rsidR="00447423" w:rsidRPr="002A3CBE" w:rsidRDefault="00447423" w:rsidP="00447423">
      <w:pPr>
        <w:pStyle w:val="Heading3"/>
        <w:spacing w:before="320"/>
      </w:pPr>
      <w:r w:rsidRPr="002A3CBE">
        <w:t>6.7.5</w:t>
      </w:r>
      <w:r w:rsidRPr="002A3CBE">
        <w:tab/>
        <w:t>Category-specific recalculations</w:t>
      </w:r>
    </w:p>
    <w:p w14:paraId="5AEF7B19" w14:textId="77777777" w:rsidR="00447423" w:rsidRPr="002A3CBE" w:rsidRDefault="00447423" w:rsidP="00447423">
      <w:pPr>
        <w:pStyle w:val="BodyText"/>
        <w:spacing w:before="100" w:after="100"/>
      </w:pPr>
      <w:r w:rsidRPr="002A3CBE">
        <w:t>The impact of recalculations on net CO</w:t>
      </w:r>
      <w:r w:rsidRPr="002A3CBE">
        <w:rPr>
          <w:vertAlign w:val="subscript"/>
        </w:rPr>
        <w:t>2</w:t>
      </w:r>
      <w:r w:rsidRPr="002A3CBE">
        <w:t xml:space="preserve">e emission estimates for </w:t>
      </w:r>
      <w:r w:rsidRPr="002A3CBE">
        <w:rPr>
          <w:i/>
        </w:rPr>
        <w:t>Wetlands</w:t>
      </w:r>
      <w:r w:rsidRPr="002A3CBE">
        <w:t xml:space="preserve"> is shown in table 6.7.5. </w:t>
      </w:r>
    </w:p>
    <w:p w14:paraId="305263A3" w14:textId="77777777" w:rsidR="00447423" w:rsidRPr="002A3CBE" w:rsidRDefault="00447423" w:rsidP="00447423">
      <w:pPr>
        <w:pStyle w:val="Table"/>
      </w:pPr>
      <w:bookmarkStart w:id="2657" w:name="_Toc342470787"/>
      <w:bookmarkStart w:id="2658" w:name="_Toc352505027"/>
      <w:bookmarkStart w:id="2659" w:name="_Toc378853316"/>
      <w:bookmarkStart w:id="2660" w:name="_Toc391024114"/>
      <w:bookmarkStart w:id="2661" w:name="_Toc410028857"/>
      <w:bookmarkStart w:id="2662" w:name="_Toc414531485"/>
      <w:bookmarkStart w:id="2663" w:name="_Toc443645398"/>
      <w:bookmarkStart w:id="2664" w:name="_Toc474914617"/>
      <w:bookmarkStart w:id="2665" w:name="_Toc481751581"/>
      <w:bookmarkStart w:id="2666" w:name="_Toc522010638"/>
      <w:bookmarkStart w:id="2667" w:name="_Toc5269543"/>
      <w:bookmarkStart w:id="2668" w:name="_Toc33529417"/>
      <w:bookmarkStart w:id="2669" w:name="_Toc36224623"/>
      <w:bookmarkStart w:id="2670" w:name="_Toc131591418"/>
      <w:bookmarkStart w:id="2671" w:name="_Toc158979976"/>
      <w:bookmarkStart w:id="2672" w:name="_Toc164153909"/>
      <w:bookmarkStart w:id="2673" w:name="_Toc190873143"/>
      <w:bookmarkStart w:id="2674" w:name="_Toc194241782"/>
      <w:bookmarkStart w:id="2675" w:name="_Toc222837933"/>
      <w:bookmarkStart w:id="2676" w:name="_Toc226669079"/>
      <w:r w:rsidRPr="002A3CBE">
        <w:t>Table 6.7.5</w:t>
      </w:r>
      <w:r w:rsidRPr="002A3CBE">
        <w:tab/>
        <w:t xml:space="preserve">Recalculations for New Zealand’s net emissions from the </w:t>
      </w:r>
      <w:r w:rsidRPr="002A3CBE">
        <w:rPr>
          <w:i/>
        </w:rPr>
        <w:t>Wetlands</w:t>
      </w:r>
      <w:r w:rsidRPr="002A3CBE">
        <w:t xml:space="preserve"> category in 1990 and</w:t>
      </w:r>
      <w:bookmarkEnd w:id="2657"/>
      <w:bookmarkEnd w:id="2658"/>
      <w:bookmarkEnd w:id="2659"/>
      <w:bookmarkEnd w:id="2660"/>
      <w:r w:rsidRPr="002A3CBE">
        <w:t> </w:t>
      </w:r>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r w:rsidRPr="002A3CBE">
        <w:t>2023</w:t>
      </w:r>
      <w:bookmarkEnd w:id="2675"/>
      <w:bookmarkEnd w:id="2676"/>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85"/>
        <w:gridCol w:w="1559"/>
        <w:gridCol w:w="1559"/>
        <w:gridCol w:w="2268"/>
        <w:gridCol w:w="1134"/>
      </w:tblGrid>
      <w:tr w:rsidR="00447423" w:rsidRPr="002A3CBE" w14:paraId="455C9655" w14:textId="77777777" w:rsidTr="00F16E23">
        <w:trPr>
          <w:tblHeader/>
        </w:trPr>
        <w:tc>
          <w:tcPr>
            <w:tcW w:w="1985" w:type="dxa"/>
            <w:shd w:val="clear" w:color="auto" w:fill="1B556B"/>
            <w:tcMar>
              <w:top w:w="0" w:type="dxa"/>
              <w:left w:w="85" w:type="dxa"/>
              <w:bottom w:w="0" w:type="dxa"/>
              <w:right w:w="85" w:type="dxa"/>
            </w:tcMar>
            <w:vAlign w:val="center"/>
          </w:tcPr>
          <w:p w14:paraId="63C52E8B" w14:textId="77777777" w:rsidR="00447423" w:rsidRPr="002A3CBE" w:rsidRDefault="00447423" w:rsidP="00F16E23">
            <w:pPr>
              <w:pStyle w:val="TableTextBold"/>
              <w:spacing w:before="40" w:after="40"/>
              <w:rPr>
                <w:rFonts w:eastAsia="Calibri"/>
                <w:noProof w:val="0"/>
                <w:color w:val="FFFFFF" w:themeColor="background1"/>
              </w:rPr>
            </w:pPr>
          </w:p>
        </w:tc>
        <w:tc>
          <w:tcPr>
            <w:tcW w:w="1559" w:type="dxa"/>
            <w:shd w:val="clear" w:color="auto" w:fill="1B556B"/>
            <w:tcMar>
              <w:top w:w="0" w:type="dxa"/>
              <w:left w:w="85" w:type="dxa"/>
              <w:bottom w:w="0" w:type="dxa"/>
              <w:right w:w="85" w:type="dxa"/>
            </w:tcMar>
            <w:vAlign w:val="center"/>
          </w:tcPr>
          <w:p w14:paraId="1E976B88"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2025 submission</w:t>
            </w:r>
          </w:p>
        </w:tc>
        <w:tc>
          <w:tcPr>
            <w:tcW w:w="1559" w:type="dxa"/>
            <w:shd w:val="clear" w:color="auto" w:fill="1B556B"/>
            <w:tcMar>
              <w:top w:w="0" w:type="dxa"/>
              <w:left w:w="85" w:type="dxa"/>
              <w:bottom w:w="0" w:type="dxa"/>
              <w:right w:w="85" w:type="dxa"/>
            </w:tcMar>
            <w:vAlign w:val="center"/>
          </w:tcPr>
          <w:p w14:paraId="3204FC80"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2026 submission</w:t>
            </w:r>
          </w:p>
        </w:tc>
        <w:tc>
          <w:tcPr>
            <w:tcW w:w="2268" w:type="dxa"/>
            <w:shd w:val="clear" w:color="auto" w:fill="1B556B"/>
            <w:tcMar>
              <w:top w:w="0" w:type="dxa"/>
              <w:left w:w="85" w:type="dxa"/>
              <w:bottom w:w="0" w:type="dxa"/>
              <w:right w:w="85" w:type="dxa"/>
            </w:tcMar>
            <w:vAlign w:val="center"/>
          </w:tcPr>
          <w:p w14:paraId="045787E8"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2025 submission</w:t>
            </w:r>
          </w:p>
        </w:tc>
        <w:tc>
          <w:tcPr>
            <w:tcW w:w="1134" w:type="dxa"/>
            <w:shd w:val="clear" w:color="auto" w:fill="1B556B"/>
            <w:tcMar>
              <w:top w:w="0" w:type="dxa"/>
              <w:left w:w="85" w:type="dxa"/>
              <w:bottom w:w="0" w:type="dxa"/>
              <w:right w:w="85" w:type="dxa"/>
            </w:tcMar>
            <w:vAlign w:val="center"/>
          </w:tcPr>
          <w:p w14:paraId="2D0574BF"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 xml:space="preserve">Change (%) </w:t>
            </w:r>
          </w:p>
        </w:tc>
      </w:tr>
      <w:tr w:rsidR="00447423" w:rsidRPr="002A3CBE" w14:paraId="5D4A74B3" w14:textId="77777777" w:rsidTr="00F16E23">
        <w:tc>
          <w:tcPr>
            <w:tcW w:w="1985" w:type="dxa"/>
            <w:shd w:val="clear" w:color="auto" w:fill="FFFFFF"/>
            <w:tcMar>
              <w:top w:w="0" w:type="dxa"/>
              <w:left w:w="85" w:type="dxa"/>
              <w:bottom w:w="0" w:type="dxa"/>
              <w:right w:w="85" w:type="dxa"/>
            </w:tcMar>
            <w:vAlign w:val="center"/>
          </w:tcPr>
          <w:p w14:paraId="0C0017A5" w14:textId="77777777" w:rsidR="00447423" w:rsidRPr="002A3CBE" w:rsidRDefault="00447423" w:rsidP="00F16E23">
            <w:pPr>
              <w:pStyle w:val="Tableboldblue"/>
              <w:spacing w:before="40" w:after="40"/>
              <w:rPr>
                <w:rFonts w:eastAsia="Calibri"/>
              </w:rPr>
            </w:pPr>
            <w:r w:rsidRPr="002A3CBE">
              <w:rPr>
                <w:rFonts w:eastAsia="Calibri"/>
              </w:rPr>
              <w:t>Net emissions (kt CO</w:t>
            </w:r>
            <w:r w:rsidRPr="002A3CBE">
              <w:rPr>
                <w:rFonts w:eastAsia="Calibri"/>
                <w:vertAlign w:val="subscript"/>
              </w:rPr>
              <w:t>2</w:t>
            </w:r>
            <w:r w:rsidRPr="002A3CBE">
              <w:rPr>
                <w:rFonts w:eastAsia="Calibri"/>
              </w:rPr>
              <w:t>e)</w:t>
            </w:r>
          </w:p>
        </w:tc>
        <w:tc>
          <w:tcPr>
            <w:tcW w:w="1559" w:type="dxa"/>
            <w:shd w:val="clear" w:color="auto" w:fill="FFFFFF"/>
            <w:tcMar>
              <w:top w:w="0" w:type="dxa"/>
              <w:left w:w="85" w:type="dxa"/>
              <w:bottom w:w="0" w:type="dxa"/>
              <w:right w:w="85" w:type="dxa"/>
            </w:tcMar>
            <w:vAlign w:val="center"/>
          </w:tcPr>
          <w:p w14:paraId="7A97C378" w14:textId="77777777" w:rsidR="00447423" w:rsidRPr="002A3CBE" w:rsidRDefault="00447423" w:rsidP="00F16E23">
            <w:pPr>
              <w:pStyle w:val="Tableboldblue"/>
              <w:spacing w:before="40" w:after="40"/>
              <w:rPr>
                <w:rFonts w:eastAsia="Calibri"/>
              </w:rPr>
            </w:pPr>
          </w:p>
        </w:tc>
        <w:tc>
          <w:tcPr>
            <w:tcW w:w="1559" w:type="dxa"/>
            <w:shd w:val="clear" w:color="auto" w:fill="FFFFFF"/>
            <w:tcMar>
              <w:top w:w="0" w:type="dxa"/>
              <w:left w:w="85" w:type="dxa"/>
              <w:bottom w:w="0" w:type="dxa"/>
              <w:right w:w="85" w:type="dxa"/>
            </w:tcMar>
            <w:vAlign w:val="center"/>
          </w:tcPr>
          <w:p w14:paraId="2B32CB14" w14:textId="77777777" w:rsidR="00447423" w:rsidRPr="002A3CBE" w:rsidRDefault="00447423" w:rsidP="00F16E23">
            <w:pPr>
              <w:pStyle w:val="Tableboldblue"/>
              <w:spacing w:before="40" w:after="40"/>
              <w:rPr>
                <w:rFonts w:eastAsia="Calibri"/>
              </w:rPr>
            </w:pPr>
          </w:p>
        </w:tc>
        <w:tc>
          <w:tcPr>
            <w:tcW w:w="2268" w:type="dxa"/>
            <w:shd w:val="clear" w:color="auto" w:fill="FFFFFF"/>
            <w:tcMar>
              <w:top w:w="0" w:type="dxa"/>
              <w:left w:w="85" w:type="dxa"/>
              <w:bottom w:w="0" w:type="dxa"/>
              <w:right w:w="85" w:type="dxa"/>
            </w:tcMar>
            <w:vAlign w:val="center"/>
          </w:tcPr>
          <w:p w14:paraId="56A59B1A" w14:textId="77777777" w:rsidR="00447423" w:rsidRPr="002A3CBE" w:rsidRDefault="00447423" w:rsidP="00F16E23">
            <w:pPr>
              <w:pStyle w:val="Tableboldblue"/>
              <w:spacing w:before="40" w:after="40"/>
              <w:rPr>
                <w:rFonts w:eastAsia="Calibri"/>
              </w:rPr>
            </w:pPr>
          </w:p>
        </w:tc>
        <w:tc>
          <w:tcPr>
            <w:tcW w:w="1134" w:type="dxa"/>
            <w:shd w:val="clear" w:color="auto" w:fill="FFFFFF"/>
            <w:tcMar>
              <w:top w:w="0" w:type="dxa"/>
              <w:left w:w="85" w:type="dxa"/>
              <w:bottom w:w="0" w:type="dxa"/>
              <w:right w:w="85" w:type="dxa"/>
            </w:tcMar>
            <w:vAlign w:val="center"/>
          </w:tcPr>
          <w:p w14:paraId="2A3C104F" w14:textId="77777777" w:rsidR="00447423" w:rsidRPr="002A3CBE" w:rsidRDefault="00447423" w:rsidP="00F16E23">
            <w:pPr>
              <w:pStyle w:val="Tableboldblue"/>
              <w:spacing w:before="40" w:after="40"/>
              <w:rPr>
                <w:rFonts w:eastAsia="Calibri"/>
              </w:rPr>
            </w:pPr>
          </w:p>
        </w:tc>
      </w:tr>
      <w:tr w:rsidR="00447423" w:rsidRPr="002A3CBE" w14:paraId="196D1D52" w14:textId="77777777" w:rsidTr="00F16E23">
        <w:tc>
          <w:tcPr>
            <w:tcW w:w="1985" w:type="dxa"/>
            <w:shd w:val="clear" w:color="auto" w:fill="FFFFFF"/>
            <w:tcMar>
              <w:top w:w="0" w:type="dxa"/>
              <w:left w:w="85" w:type="dxa"/>
              <w:bottom w:w="0" w:type="dxa"/>
              <w:right w:w="85" w:type="dxa"/>
            </w:tcMar>
            <w:vAlign w:val="center"/>
          </w:tcPr>
          <w:p w14:paraId="0C6BD43E" w14:textId="77777777" w:rsidR="00447423" w:rsidRPr="002A3CBE" w:rsidRDefault="00447423" w:rsidP="00F16E23">
            <w:pPr>
              <w:pStyle w:val="TableText"/>
              <w:spacing w:before="40" w:after="40"/>
              <w:rPr>
                <w:rFonts w:eastAsia="Calibri"/>
              </w:rPr>
            </w:pPr>
            <w:r w:rsidRPr="002A3CBE">
              <w:rPr>
                <w:rFonts w:eastAsia="Calibri"/>
              </w:rPr>
              <w:t>1990</w:t>
            </w:r>
          </w:p>
        </w:tc>
        <w:tc>
          <w:tcPr>
            <w:tcW w:w="1559" w:type="dxa"/>
            <w:shd w:val="clear" w:color="auto" w:fill="FFFFFF"/>
            <w:tcMar>
              <w:top w:w="0" w:type="dxa"/>
              <w:left w:w="85" w:type="dxa"/>
              <w:bottom w:w="0" w:type="dxa"/>
              <w:right w:w="85" w:type="dxa"/>
            </w:tcMar>
            <w:vAlign w:val="center"/>
          </w:tcPr>
          <w:p w14:paraId="1FBA0081" w14:textId="77777777" w:rsidR="00447423" w:rsidRPr="002A3CBE" w:rsidRDefault="00447423" w:rsidP="00F16E23">
            <w:pPr>
              <w:pStyle w:val="TableText"/>
              <w:spacing w:before="40" w:after="40"/>
              <w:jc w:val="right"/>
              <w:rPr>
                <w:rFonts w:eastAsia="Calibri"/>
              </w:rPr>
            </w:pPr>
            <w:r w:rsidRPr="002A3CBE">
              <w:rPr>
                <w:rFonts w:eastAsia="Calibri"/>
              </w:rPr>
              <w:t>-8.3</w:t>
            </w:r>
          </w:p>
        </w:tc>
        <w:tc>
          <w:tcPr>
            <w:tcW w:w="1559" w:type="dxa"/>
            <w:shd w:val="clear" w:color="auto" w:fill="FFFFFF"/>
            <w:tcMar>
              <w:top w:w="0" w:type="dxa"/>
              <w:left w:w="85" w:type="dxa"/>
              <w:bottom w:w="0" w:type="dxa"/>
              <w:right w:w="85" w:type="dxa"/>
            </w:tcMar>
            <w:vAlign w:val="center"/>
          </w:tcPr>
          <w:p w14:paraId="3DB20E42" w14:textId="77777777" w:rsidR="00447423" w:rsidRPr="002A3CBE" w:rsidRDefault="00447423" w:rsidP="00F16E23">
            <w:pPr>
              <w:pStyle w:val="TableText"/>
              <w:spacing w:before="40" w:after="40"/>
              <w:jc w:val="right"/>
              <w:rPr>
                <w:rFonts w:eastAsia="Calibri"/>
              </w:rPr>
            </w:pPr>
            <w:r w:rsidRPr="002A3CBE">
              <w:rPr>
                <w:rFonts w:eastAsia="Calibri"/>
              </w:rPr>
              <w:t>-8.1</w:t>
            </w:r>
          </w:p>
        </w:tc>
        <w:tc>
          <w:tcPr>
            <w:tcW w:w="2268" w:type="dxa"/>
            <w:shd w:val="clear" w:color="auto" w:fill="FFFFFF"/>
            <w:tcMar>
              <w:top w:w="0" w:type="dxa"/>
              <w:left w:w="85" w:type="dxa"/>
              <w:bottom w:w="0" w:type="dxa"/>
              <w:right w:w="85" w:type="dxa"/>
            </w:tcMar>
            <w:vAlign w:val="center"/>
          </w:tcPr>
          <w:p w14:paraId="72D9D90F" w14:textId="77777777" w:rsidR="00447423" w:rsidRPr="002A3CBE" w:rsidRDefault="00447423" w:rsidP="00F16E23">
            <w:pPr>
              <w:pStyle w:val="TableText"/>
              <w:spacing w:before="40" w:after="40"/>
              <w:jc w:val="right"/>
              <w:rPr>
                <w:rFonts w:eastAsia="Calibri"/>
              </w:rPr>
            </w:pPr>
            <w:r w:rsidRPr="002A3CBE">
              <w:rPr>
                <w:rFonts w:eastAsia="Calibri"/>
              </w:rPr>
              <w:t>0.1</w:t>
            </w:r>
          </w:p>
        </w:tc>
        <w:tc>
          <w:tcPr>
            <w:tcW w:w="1134" w:type="dxa"/>
            <w:shd w:val="clear" w:color="auto" w:fill="FFFFFF"/>
            <w:tcMar>
              <w:top w:w="0" w:type="dxa"/>
              <w:left w:w="85" w:type="dxa"/>
              <w:bottom w:w="0" w:type="dxa"/>
              <w:right w:w="85" w:type="dxa"/>
            </w:tcMar>
            <w:vAlign w:val="center"/>
          </w:tcPr>
          <w:p w14:paraId="2A69018C" w14:textId="77777777" w:rsidR="00447423" w:rsidRPr="002A3CBE" w:rsidRDefault="00447423" w:rsidP="00F16E23">
            <w:pPr>
              <w:pStyle w:val="TableText"/>
              <w:spacing w:before="40" w:after="40"/>
              <w:jc w:val="right"/>
              <w:rPr>
                <w:rFonts w:eastAsia="Calibri"/>
              </w:rPr>
            </w:pPr>
            <w:r w:rsidRPr="002A3CBE">
              <w:rPr>
                <w:rFonts w:eastAsia="Calibri"/>
              </w:rPr>
              <w:t>1.8</w:t>
            </w:r>
          </w:p>
        </w:tc>
      </w:tr>
      <w:tr w:rsidR="00447423" w:rsidRPr="002A3CBE" w14:paraId="0FD40896" w14:textId="77777777" w:rsidTr="00F16E23">
        <w:tc>
          <w:tcPr>
            <w:tcW w:w="1985" w:type="dxa"/>
            <w:shd w:val="clear" w:color="auto" w:fill="FFFFFF"/>
            <w:tcMar>
              <w:top w:w="0" w:type="dxa"/>
              <w:left w:w="85" w:type="dxa"/>
              <w:bottom w:w="0" w:type="dxa"/>
              <w:right w:w="85" w:type="dxa"/>
            </w:tcMar>
            <w:vAlign w:val="center"/>
          </w:tcPr>
          <w:p w14:paraId="0A0A94E1" w14:textId="77777777" w:rsidR="00447423" w:rsidRPr="002A3CBE" w:rsidRDefault="00447423" w:rsidP="00F16E23">
            <w:pPr>
              <w:pStyle w:val="TableText"/>
              <w:spacing w:before="40" w:after="40"/>
              <w:rPr>
                <w:rFonts w:eastAsia="Calibri"/>
              </w:rPr>
            </w:pPr>
            <w:r w:rsidRPr="002A3CBE">
              <w:rPr>
                <w:rFonts w:eastAsia="Calibri"/>
              </w:rPr>
              <w:t>2023</w:t>
            </w:r>
          </w:p>
        </w:tc>
        <w:tc>
          <w:tcPr>
            <w:tcW w:w="1559" w:type="dxa"/>
            <w:shd w:val="clear" w:color="auto" w:fill="FFFFFF"/>
            <w:tcMar>
              <w:top w:w="0" w:type="dxa"/>
              <w:left w:w="85" w:type="dxa"/>
              <w:bottom w:w="0" w:type="dxa"/>
              <w:right w:w="85" w:type="dxa"/>
            </w:tcMar>
            <w:vAlign w:val="center"/>
          </w:tcPr>
          <w:p w14:paraId="52FE3728" w14:textId="77777777" w:rsidR="00447423" w:rsidRPr="002A3CBE" w:rsidRDefault="00447423" w:rsidP="00F16E23">
            <w:pPr>
              <w:pStyle w:val="TableText"/>
              <w:spacing w:before="40" w:after="40"/>
              <w:jc w:val="right"/>
              <w:rPr>
                <w:rFonts w:eastAsia="Calibri"/>
              </w:rPr>
            </w:pPr>
            <w:r w:rsidRPr="002A3CBE">
              <w:rPr>
                <w:rFonts w:eastAsia="Calibri"/>
              </w:rPr>
              <w:t>7.5</w:t>
            </w:r>
          </w:p>
        </w:tc>
        <w:tc>
          <w:tcPr>
            <w:tcW w:w="1559" w:type="dxa"/>
            <w:shd w:val="clear" w:color="auto" w:fill="FFFFFF"/>
            <w:tcMar>
              <w:top w:w="0" w:type="dxa"/>
              <w:left w:w="85" w:type="dxa"/>
              <w:bottom w:w="0" w:type="dxa"/>
              <w:right w:w="85" w:type="dxa"/>
            </w:tcMar>
            <w:vAlign w:val="center"/>
          </w:tcPr>
          <w:p w14:paraId="7D96D4F1" w14:textId="77777777" w:rsidR="00447423" w:rsidRPr="002A3CBE" w:rsidRDefault="00447423" w:rsidP="00F16E23">
            <w:pPr>
              <w:pStyle w:val="TableText"/>
              <w:spacing w:before="40" w:after="40"/>
              <w:jc w:val="right"/>
              <w:rPr>
                <w:rFonts w:eastAsia="Calibri"/>
              </w:rPr>
            </w:pPr>
            <w:r w:rsidRPr="002A3CBE">
              <w:rPr>
                <w:rFonts w:eastAsia="Calibri"/>
              </w:rPr>
              <w:t>6.4</w:t>
            </w:r>
          </w:p>
        </w:tc>
        <w:tc>
          <w:tcPr>
            <w:tcW w:w="2268" w:type="dxa"/>
            <w:shd w:val="clear" w:color="auto" w:fill="FFFFFF"/>
            <w:tcMar>
              <w:top w:w="0" w:type="dxa"/>
              <w:left w:w="85" w:type="dxa"/>
              <w:bottom w:w="0" w:type="dxa"/>
              <w:right w:w="85" w:type="dxa"/>
            </w:tcMar>
            <w:vAlign w:val="center"/>
          </w:tcPr>
          <w:p w14:paraId="1E741278" w14:textId="77777777" w:rsidR="00447423" w:rsidRPr="002A3CBE" w:rsidRDefault="00447423" w:rsidP="00F16E23">
            <w:pPr>
              <w:pStyle w:val="TableText"/>
              <w:spacing w:before="40" w:after="40"/>
              <w:jc w:val="right"/>
              <w:rPr>
                <w:rFonts w:eastAsia="Calibri"/>
              </w:rPr>
            </w:pPr>
            <w:r w:rsidRPr="002A3CBE">
              <w:rPr>
                <w:rFonts w:eastAsia="Calibri"/>
              </w:rPr>
              <w:t>-1.1</w:t>
            </w:r>
          </w:p>
        </w:tc>
        <w:tc>
          <w:tcPr>
            <w:tcW w:w="1134" w:type="dxa"/>
            <w:shd w:val="clear" w:color="auto" w:fill="FFFFFF"/>
            <w:tcMar>
              <w:top w:w="0" w:type="dxa"/>
              <w:left w:w="85" w:type="dxa"/>
              <w:bottom w:w="0" w:type="dxa"/>
              <w:right w:w="85" w:type="dxa"/>
            </w:tcMar>
            <w:vAlign w:val="center"/>
          </w:tcPr>
          <w:p w14:paraId="65F5553E" w14:textId="77777777" w:rsidR="00447423" w:rsidRPr="002A3CBE" w:rsidRDefault="00447423" w:rsidP="00F16E23">
            <w:pPr>
              <w:pStyle w:val="TableText"/>
              <w:spacing w:before="40" w:after="40"/>
              <w:jc w:val="right"/>
              <w:rPr>
                <w:rFonts w:eastAsia="Calibri"/>
              </w:rPr>
            </w:pPr>
            <w:r w:rsidRPr="002A3CBE">
              <w:rPr>
                <w:rFonts w:eastAsia="Calibri"/>
              </w:rPr>
              <w:t>-14.5</w:t>
            </w:r>
          </w:p>
        </w:tc>
      </w:tr>
      <w:tr w:rsidR="00447423" w:rsidRPr="002A3CBE" w14:paraId="0DB064F9" w14:textId="77777777" w:rsidTr="00F16E23">
        <w:tc>
          <w:tcPr>
            <w:tcW w:w="1985" w:type="dxa"/>
            <w:shd w:val="clear" w:color="auto" w:fill="FFFFFF"/>
            <w:tcMar>
              <w:top w:w="0" w:type="dxa"/>
              <w:left w:w="85" w:type="dxa"/>
              <w:bottom w:w="0" w:type="dxa"/>
              <w:right w:w="85" w:type="dxa"/>
            </w:tcMar>
            <w:vAlign w:val="center"/>
          </w:tcPr>
          <w:p w14:paraId="545A2CE5" w14:textId="77777777" w:rsidR="00447423" w:rsidRPr="002A3CBE" w:rsidRDefault="00447423" w:rsidP="00F16E23">
            <w:pPr>
              <w:pStyle w:val="Tableboldblue"/>
              <w:spacing w:before="40" w:after="40"/>
              <w:rPr>
                <w:rFonts w:eastAsia="Calibri"/>
              </w:rPr>
            </w:pPr>
            <w:r w:rsidRPr="002A3CBE">
              <w:rPr>
                <w:rFonts w:eastAsia="Calibri"/>
              </w:rPr>
              <w:t>Area (hectares)</w:t>
            </w:r>
          </w:p>
        </w:tc>
        <w:tc>
          <w:tcPr>
            <w:tcW w:w="1559" w:type="dxa"/>
            <w:shd w:val="clear" w:color="auto" w:fill="FFFFFF"/>
            <w:tcMar>
              <w:top w:w="0" w:type="dxa"/>
              <w:left w:w="85" w:type="dxa"/>
              <w:bottom w:w="0" w:type="dxa"/>
              <w:right w:w="85" w:type="dxa"/>
            </w:tcMar>
            <w:vAlign w:val="center"/>
          </w:tcPr>
          <w:p w14:paraId="22793532" w14:textId="77777777" w:rsidR="00447423" w:rsidRPr="002A3CBE" w:rsidRDefault="00447423" w:rsidP="00F16E23">
            <w:pPr>
              <w:pStyle w:val="Tableboldblue"/>
              <w:spacing w:before="40" w:after="40"/>
              <w:rPr>
                <w:rFonts w:eastAsia="Calibri"/>
              </w:rPr>
            </w:pPr>
          </w:p>
        </w:tc>
        <w:tc>
          <w:tcPr>
            <w:tcW w:w="1559" w:type="dxa"/>
            <w:shd w:val="clear" w:color="auto" w:fill="FFFFFF"/>
            <w:tcMar>
              <w:top w:w="0" w:type="dxa"/>
              <w:left w:w="85" w:type="dxa"/>
              <w:bottom w:w="0" w:type="dxa"/>
              <w:right w:w="85" w:type="dxa"/>
            </w:tcMar>
            <w:vAlign w:val="center"/>
          </w:tcPr>
          <w:p w14:paraId="1EFA7723" w14:textId="77777777" w:rsidR="00447423" w:rsidRPr="002A3CBE" w:rsidRDefault="00447423" w:rsidP="00F16E23">
            <w:pPr>
              <w:pStyle w:val="Tableboldblue"/>
              <w:spacing w:before="40" w:after="40"/>
              <w:rPr>
                <w:rFonts w:eastAsia="Calibri"/>
              </w:rPr>
            </w:pPr>
          </w:p>
        </w:tc>
        <w:tc>
          <w:tcPr>
            <w:tcW w:w="2268" w:type="dxa"/>
            <w:shd w:val="clear" w:color="auto" w:fill="FFFFFF"/>
            <w:tcMar>
              <w:top w:w="0" w:type="dxa"/>
              <w:left w:w="85" w:type="dxa"/>
              <w:bottom w:w="0" w:type="dxa"/>
              <w:right w:w="85" w:type="dxa"/>
            </w:tcMar>
            <w:vAlign w:val="center"/>
          </w:tcPr>
          <w:p w14:paraId="09B9477E" w14:textId="77777777" w:rsidR="00447423" w:rsidRPr="002A3CBE" w:rsidRDefault="00447423" w:rsidP="00F16E23">
            <w:pPr>
              <w:pStyle w:val="Tableboldblue"/>
              <w:spacing w:before="40" w:after="40"/>
              <w:rPr>
                <w:rFonts w:eastAsia="Calibri"/>
              </w:rPr>
            </w:pPr>
          </w:p>
        </w:tc>
        <w:tc>
          <w:tcPr>
            <w:tcW w:w="1134" w:type="dxa"/>
            <w:shd w:val="clear" w:color="auto" w:fill="FFFFFF"/>
            <w:tcMar>
              <w:top w:w="0" w:type="dxa"/>
              <w:left w:w="85" w:type="dxa"/>
              <w:bottom w:w="0" w:type="dxa"/>
              <w:right w:w="85" w:type="dxa"/>
            </w:tcMar>
            <w:vAlign w:val="center"/>
          </w:tcPr>
          <w:p w14:paraId="23F87515" w14:textId="77777777" w:rsidR="00447423" w:rsidRPr="002A3CBE" w:rsidRDefault="00447423" w:rsidP="00F16E23">
            <w:pPr>
              <w:pStyle w:val="Tableboldblue"/>
              <w:spacing w:before="40" w:after="40"/>
              <w:rPr>
                <w:rFonts w:eastAsia="Calibri"/>
              </w:rPr>
            </w:pPr>
          </w:p>
        </w:tc>
      </w:tr>
      <w:tr w:rsidR="00447423" w:rsidRPr="002A3CBE" w14:paraId="4450052B" w14:textId="77777777" w:rsidTr="00F16E23">
        <w:tc>
          <w:tcPr>
            <w:tcW w:w="1985" w:type="dxa"/>
            <w:shd w:val="clear" w:color="auto" w:fill="FFFFFF"/>
            <w:tcMar>
              <w:top w:w="0" w:type="dxa"/>
              <w:left w:w="85" w:type="dxa"/>
              <w:bottom w:w="0" w:type="dxa"/>
              <w:right w:w="85" w:type="dxa"/>
            </w:tcMar>
            <w:vAlign w:val="center"/>
          </w:tcPr>
          <w:p w14:paraId="431E5CBA" w14:textId="77777777" w:rsidR="00447423" w:rsidRPr="002A3CBE" w:rsidRDefault="00447423" w:rsidP="00F16E23">
            <w:pPr>
              <w:pStyle w:val="TableText"/>
              <w:spacing w:before="40" w:after="40"/>
              <w:rPr>
                <w:rFonts w:eastAsia="Calibri"/>
              </w:rPr>
            </w:pPr>
            <w:r w:rsidRPr="002A3CBE">
              <w:rPr>
                <w:rFonts w:eastAsia="Calibri"/>
              </w:rPr>
              <w:t>1990</w:t>
            </w:r>
          </w:p>
        </w:tc>
        <w:tc>
          <w:tcPr>
            <w:tcW w:w="1559" w:type="dxa"/>
            <w:shd w:val="clear" w:color="auto" w:fill="FFFFFF"/>
            <w:tcMar>
              <w:top w:w="0" w:type="dxa"/>
              <w:left w:w="85" w:type="dxa"/>
              <w:bottom w:w="0" w:type="dxa"/>
              <w:right w:w="85" w:type="dxa"/>
            </w:tcMar>
            <w:vAlign w:val="center"/>
          </w:tcPr>
          <w:p w14:paraId="7ED83537" w14:textId="77777777" w:rsidR="00447423" w:rsidRPr="002A3CBE" w:rsidRDefault="00447423" w:rsidP="00F16E23">
            <w:pPr>
              <w:pStyle w:val="TableText"/>
              <w:spacing w:before="40" w:after="40"/>
              <w:jc w:val="right"/>
              <w:rPr>
                <w:rFonts w:eastAsia="Calibri"/>
              </w:rPr>
            </w:pPr>
            <w:r w:rsidRPr="002A3CBE">
              <w:rPr>
                <w:rFonts w:eastAsia="Calibri"/>
              </w:rPr>
              <w:t>780,896</w:t>
            </w:r>
          </w:p>
        </w:tc>
        <w:tc>
          <w:tcPr>
            <w:tcW w:w="1559" w:type="dxa"/>
            <w:shd w:val="clear" w:color="auto" w:fill="FFFFFF"/>
            <w:tcMar>
              <w:top w:w="0" w:type="dxa"/>
              <w:left w:w="85" w:type="dxa"/>
              <w:bottom w:w="0" w:type="dxa"/>
              <w:right w:w="85" w:type="dxa"/>
            </w:tcMar>
            <w:vAlign w:val="center"/>
          </w:tcPr>
          <w:p w14:paraId="477E8387" w14:textId="77777777" w:rsidR="00447423" w:rsidRPr="002A3CBE" w:rsidRDefault="00447423" w:rsidP="00F16E23">
            <w:pPr>
              <w:pStyle w:val="TableText"/>
              <w:spacing w:before="40" w:after="40"/>
              <w:jc w:val="right"/>
              <w:rPr>
                <w:rFonts w:eastAsia="Calibri"/>
              </w:rPr>
            </w:pPr>
            <w:r w:rsidRPr="002A3CBE">
              <w:rPr>
                <w:rFonts w:eastAsia="Calibri"/>
              </w:rPr>
              <w:t>780,892</w:t>
            </w:r>
          </w:p>
        </w:tc>
        <w:tc>
          <w:tcPr>
            <w:tcW w:w="2268" w:type="dxa"/>
            <w:shd w:val="clear" w:color="auto" w:fill="FFFFFF"/>
            <w:tcMar>
              <w:top w:w="0" w:type="dxa"/>
              <w:left w:w="85" w:type="dxa"/>
              <w:bottom w:w="0" w:type="dxa"/>
              <w:right w:w="85" w:type="dxa"/>
            </w:tcMar>
            <w:vAlign w:val="center"/>
          </w:tcPr>
          <w:p w14:paraId="5B88B852" w14:textId="77777777" w:rsidR="00447423" w:rsidRPr="002A3CBE" w:rsidRDefault="00447423" w:rsidP="00F16E23">
            <w:pPr>
              <w:pStyle w:val="TableText"/>
              <w:spacing w:before="40" w:after="40"/>
              <w:jc w:val="right"/>
              <w:rPr>
                <w:rFonts w:eastAsia="Calibri"/>
              </w:rPr>
            </w:pPr>
            <w:r w:rsidRPr="002A3CBE">
              <w:rPr>
                <w:rFonts w:eastAsia="Calibri"/>
              </w:rPr>
              <w:t>-4</w:t>
            </w:r>
          </w:p>
        </w:tc>
        <w:tc>
          <w:tcPr>
            <w:tcW w:w="1134" w:type="dxa"/>
            <w:shd w:val="clear" w:color="auto" w:fill="FFFFFF"/>
            <w:tcMar>
              <w:top w:w="0" w:type="dxa"/>
              <w:left w:w="85" w:type="dxa"/>
              <w:bottom w:w="0" w:type="dxa"/>
              <w:right w:w="85" w:type="dxa"/>
            </w:tcMar>
            <w:vAlign w:val="center"/>
          </w:tcPr>
          <w:p w14:paraId="2713F94F" w14:textId="77777777" w:rsidR="00447423" w:rsidRPr="002A3CBE" w:rsidRDefault="00447423" w:rsidP="00F16E23">
            <w:pPr>
              <w:pStyle w:val="TableText"/>
              <w:spacing w:before="40" w:after="40"/>
              <w:jc w:val="right"/>
              <w:rPr>
                <w:rFonts w:eastAsia="Calibri"/>
              </w:rPr>
            </w:pPr>
            <w:r w:rsidRPr="002A3CBE">
              <w:rPr>
                <w:rFonts w:eastAsia="Calibri"/>
              </w:rPr>
              <w:t>-0.0</w:t>
            </w:r>
          </w:p>
        </w:tc>
      </w:tr>
      <w:tr w:rsidR="00447423" w:rsidRPr="002A3CBE" w14:paraId="3BD48FFF" w14:textId="77777777" w:rsidTr="00F16E23">
        <w:tc>
          <w:tcPr>
            <w:tcW w:w="1985" w:type="dxa"/>
            <w:shd w:val="clear" w:color="auto" w:fill="FFFFFF"/>
            <w:tcMar>
              <w:top w:w="0" w:type="dxa"/>
              <w:left w:w="85" w:type="dxa"/>
              <w:bottom w:w="0" w:type="dxa"/>
              <w:right w:w="85" w:type="dxa"/>
            </w:tcMar>
            <w:vAlign w:val="center"/>
          </w:tcPr>
          <w:p w14:paraId="4CE328AC" w14:textId="77777777" w:rsidR="00447423" w:rsidRPr="002A3CBE" w:rsidRDefault="00447423" w:rsidP="00F16E23">
            <w:pPr>
              <w:pStyle w:val="TableText"/>
              <w:spacing w:before="40" w:after="40"/>
              <w:rPr>
                <w:rFonts w:eastAsia="Calibri"/>
              </w:rPr>
            </w:pPr>
            <w:r w:rsidRPr="002A3CBE">
              <w:rPr>
                <w:rFonts w:eastAsia="Calibri"/>
              </w:rPr>
              <w:t>2023</w:t>
            </w:r>
          </w:p>
        </w:tc>
        <w:tc>
          <w:tcPr>
            <w:tcW w:w="1559" w:type="dxa"/>
            <w:shd w:val="clear" w:color="auto" w:fill="FFFFFF"/>
            <w:tcMar>
              <w:top w:w="0" w:type="dxa"/>
              <w:left w:w="85" w:type="dxa"/>
              <w:bottom w:w="0" w:type="dxa"/>
              <w:right w:w="85" w:type="dxa"/>
            </w:tcMar>
            <w:vAlign w:val="center"/>
          </w:tcPr>
          <w:p w14:paraId="419C3776" w14:textId="77777777" w:rsidR="00447423" w:rsidRPr="002A3CBE" w:rsidRDefault="00447423" w:rsidP="00F16E23">
            <w:pPr>
              <w:pStyle w:val="TableText"/>
              <w:spacing w:before="40" w:after="40"/>
              <w:jc w:val="right"/>
              <w:rPr>
                <w:rFonts w:eastAsia="Calibri"/>
              </w:rPr>
            </w:pPr>
            <w:r w:rsidRPr="002A3CBE">
              <w:rPr>
                <w:rFonts w:eastAsia="Calibri"/>
              </w:rPr>
              <w:t>781,338</w:t>
            </w:r>
          </w:p>
        </w:tc>
        <w:tc>
          <w:tcPr>
            <w:tcW w:w="1559" w:type="dxa"/>
            <w:shd w:val="clear" w:color="auto" w:fill="FFFFFF"/>
            <w:tcMar>
              <w:top w:w="0" w:type="dxa"/>
              <w:left w:w="85" w:type="dxa"/>
              <w:bottom w:w="0" w:type="dxa"/>
              <w:right w:w="85" w:type="dxa"/>
            </w:tcMar>
            <w:vAlign w:val="center"/>
          </w:tcPr>
          <w:p w14:paraId="21086FB4" w14:textId="77777777" w:rsidR="00447423" w:rsidRPr="002A3CBE" w:rsidRDefault="00447423" w:rsidP="00F16E23">
            <w:pPr>
              <w:pStyle w:val="TableText"/>
              <w:spacing w:before="40" w:after="40"/>
              <w:jc w:val="right"/>
              <w:rPr>
                <w:rFonts w:eastAsia="Calibri"/>
              </w:rPr>
            </w:pPr>
            <w:r w:rsidRPr="002A3CBE">
              <w:rPr>
                <w:rFonts w:eastAsia="Calibri"/>
              </w:rPr>
              <w:t>778,223</w:t>
            </w:r>
          </w:p>
        </w:tc>
        <w:tc>
          <w:tcPr>
            <w:tcW w:w="2268" w:type="dxa"/>
            <w:shd w:val="clear" w:color="auto" w:fill="FFFFFF"/>
            <w:tcMar>
              <w:top w:w="0" w:type="dxa"/>
              <w:left w:w="85" w:type="dxa"/>
              <w:bottom w:w="0" w:type="dxa"/>
              <w:right w:w="85" w:type="dxa"/>
            </w:tcMar>
            <w:vAlign w:val="center"/>
          </w:tcPr>
          <w:p w14:paraId="5BB20AF4" w14:textId="77777777" w:rsidR="00447423" w:rsidRPr="002A3CBE" w:rsidRDefault="00447423" w:rsidP="00F16E23">
            <w:pPr>
              <w:pStyle w:val="TableText"/>
              <w:spacing w:before="40" w:after="40"/>
              <w:jc w:val="right"/>
              <w:rPr>
                <w:rFonts w:eastAsia="Calibri"/>
              </w:rPr>
            </w:pPr>
            <w:r w:rsidRPr="002A3CBE">
              <w:rPr>
                <w:rFonts w:eastAsia="Calibri"/>
              </w:rPr>
              <w:t>-3,115</w:t>
            </w:r>
          </w:p>
        </w:tc>
        <w:tc>
          <w:tcPr>
            <w:tcW w:w="1134" w:type="dxa"/>
            <w:shd w:val="clear" w:color="auto" w:fill="FFFFFF"/>
            <w:tcMar>
              <w:top w:w="0" w:type="dxa"/>
              <w:left w:w="85" w:type="dxa"/>
              <w:bottom w:w="0" w:type="dxa"/>
              <w:right w:w="85" w:type="dxa"/>
            </w:tcMar>
            <w:vAlign w:val="center"/>
          </w:tcPr>
          <w:p w14:paraId="585B262E" w14:textId="77777777" w:rsidR="00447423" w:rsidRPr="002A3CBE" w:rsidRDefault="00447423" w:rsidP="00F16E23">
            <w:pPr>
              <w:pStyle w:val="TableText"/>
              <w:spacing w:before="40" w:after="40"/>
              <w:jc w:val="right"/>
              <w:rPr>
                <w:rFonts w:eastAsia="Calibri"/>
              </w:rPr>
            </w:pPr>
            <w:r w:rsidRPr="002A3CBE">
              <w:rPr>
                <w:rFonts w:eastAsia="Calibri"/>
              </w:rPr>
              <w:t>-0.4</w:t>
            </w:r>
          </w:p>
        </w:tc>
      </w:tr>
    </w:tbl>
    <w:p w14:paraId="64A508F2" w14:textId="77777777" w:rsidR="00447423" w:rsidRPr="002A3CBE" w:rsidRDefault="00447423" w:rsidP="00447423">
      <w:pPr>
        <w:pStyle w:val="Heading3"/>
        <w:spacing w:before="400"/>
      </w:pPr>
      <w:r w:rsidRPr="002A3CBE">
        <w:t>6.7.6</w:t>
      </w:r>
      <w:r w:rsidRPr="002A3CBE">
        <w:tab/>
        <w:t>Category-specific planned improvements</w:t>
      </w:r>
    </w:p>
    <w:p w14:paraId="2A55078E" w14:textId="77777777" w:rsidR="00447423" w:rsidRPr="002A3CBE" w:rsidRDefault="00447423" w:rsidP="00447423">
      <w:pPr>
        <w:pStyle w:val="BodyText"/>
      </w:pPr>
      <w:r w:rsidRPr="002A3CBE">
        <w:t>Research is under way to identify activity data, nutrient status, drainage depth and suitable emission factors for drained organic soils to enable the application of the 2013 Wetlands supplement in future submissions. Additional soil sampling is under way to improve the estimates of mineral SOC stocks in vegetated wetlands.</w:t>
      </w:r>
    </w:p>
    <w:p w14:paraId="1B0F8BAF" w14:textId="77777777" w:rsidR="00447423" w:rsidRPr="002A3CBE" w:rsidRDefault="00447423" w:rsidP="00447423">
      <w:pPr>
        <w:pStyle w:val="Heading2"/>
      </w:pPr>
      <w:bookmarkStart w:id="2677" w:name="_Toc310423456"/>
      <w:bookmarkStart w:id="2678" w:name="_Toc342470722"/>
      <w:bookmarkStart w:id="2679" w:name="_Toc352504874"/>
      <w:bookmarkStart w:id="2680" w:name="_Toc391024704"/>
      <w:bookmarkStart w:id="2681" w:name="_Toc414531321"/>
      <w:bookmarkStart w:id="2682" w:name="_Toc474335463"/>
      <w:bookmarkStart w:id="2683" w:name="_Toc481751403"/>
      <w:bookmarkStart w:id="2684" w:name="_Toc522013955"/>
      <w:bookmarkStart w:id="2685" w:name="_Toc5269380"/>
      <w:bookmarkStart w:id="2686" w:name="_Toc36224420"/>
      <w:bookmarkStart w:id="2687" w:name="_Toc131591254"/>
      <w:bookmarkStart w:id="2688" w:name="_Toc158980301"/>
      <w:bookmarkStart w:id="2689" w:name="_Toc164154209"/>
      <w:bookmarkStart w:id="2690" w:name="_Toc194312034"/>
      <w:bookmarkStart w:id="2691" w:name="_Toc226460788"/>
      <w:r w:rsidRPr="002A3CBE">
        <w:t>6.8</w:t>
      </w:r>
      <w:r w:rsidRPr="002A3CBE">
        <w:tab/>
        <w:t>Settlements (4E)</w:t>
      </w:r>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p>
    <w:p w14:paraId="3E6E7BC9" w14:textId="77777777" w:rsidR="00447423" w:rsidRPr="002A3CBE" w:rsidRDefault="00447423" w:rsidP="00447423">
      <w:pPr>
        <w:pStyle w:val="Heading3"/>
        <w:spacing w:before="180"/>
      </w:pPr>
      <w:r w:rsidRPr="002A3CBE">
        <w:t>6.8.1</w:t>
      </w:r>
      <w:r w:rsidRPr="002A3CBE">
        <w:tab/>
        <w:t>Description</w:t>
      </w:r>
    </w:p>
    <w:p w14:paraId="2F8FA53D" w14:textId="77777777" w:rsidR="00447423" w:rsidRPr="002A3CBE" w:rsidRDefault="00447423" w:rsidP="00447423">
      <w:pPr>
        <w:pStyle w:val="BodyText"/>
        <w:spacing w:before="80"/>
      </w:pPr>
      <w:r w:rsidRPr="002A3CBE">
        <w:t xml:space="preserve">In 2024, the net emissions from </w:t>
      </w:r>
      <w:r w:rsidRPr="002A3CBE">
        <w:rPr>
          <w:i/>
          <w:iCs/>
        </w:rPr>
        <w:t>Settlements</w:t>
      </w:r>
      <w:r w:rsidRPr="002A3CBE">
        <w:t xml:space="preserve"> were 115.2 kt CO</w:t>
      </w:r>
      <w:r w:rsidRPr="002A3CBE">
        <w:rPr>
          <w:vertAlign w:val="subscript"/>
        </w:rPr>
        <w:t>2</w:t>
      </w:r>
      <w:r w:rsidRPr="002A3CBE">
        <w:t xml:space="preserve">e, an increase of 65.0 percent from net emissions in 1990 (table 6.8.1). This change in emissions is mainly from the category of </w:t>
      </w:r>
      <w:r w:rsidRPr="002A3CBE">
        <w:rPr>
          <w:i/>
          <w:iCs/>
        </w:rPr>
        <w:t xml:space="preserve">Land converted to settlements </w:t>
      </w:r>
      <w:r w:rsidRPr="002A3CBE">
        <w:t xml:space="preserve">and results from the drainage of organic soils. </w:t>
      </w:r>
      <w:r w:rsidRPr="002A3CBE">
        <w:rPr>
          <w:i/>
          <w:iCs/>
        </w:rPr>
        <w:t>Settlements</w:t>
      </w:r>
      <w:r w:rsidRPr="002A3CBE">
        <w:t xml:space="preserve"> was not a key category in 2024.</w:t>
      </w:r>
    </w:p>
    <w:p w14:paraId="34C2D91F" w14:textId="77777777" w:rsidR="00447423" w:rsidRPr="002A3CBE" w:rsidRDefault="00447423" w:rsidP="00447423">
      <w:pPr>
        <w:pStyle w:val="Table"/>
      </w:pPr>
      <w:bookmarkStart w:id="2692" w:name="_Toc342470788"/>
      <w:bookmarkStart w:id="2693" w:name="_Toc352505028"/>
      <w:bookmarkStart w:id="2694" w:name="_Toc378853317"/>
      <w:bookmarkStart w:id="2695" w:name="_Toc391024115"/>
      <w:bookmarkStart w:id="2696" w:name="_Toc410028858"/>
      <w:bookmarkStart w:id="2697" w:name="_Toc414531486"/>
      <w:bookmarkStart w:id="2698" w:name="_Toc443645399"/>
      <w:bookmarkStart w:id="2699" w:name="_Toc474914618"/>
      <w:bookmarkStart w:id="2700" w:name="_Toc481751582"/>
      <w:bookmarkStart w:id="2701" w:name="_Toc522010639"/>
      <w:bookmarkStart w:id="2702" w:name="_Toc5269544"/>
      <w:bookmarkStart w:id="2703" w:name="_Toc33529418"/>
      <w:bookmarkStart w:id="2704" w:name="_Toc36224624"/>
      <w:bookmarkStart w:id="2705" w:name="_Toc131591419"/>
      <w:bookmarkStart w:id="2706" w:name="_Toc158979977"/>
      <w:bookmarkStart w:id="2707" w:name="_Toc164153910"/>
      <w:bookmarkStart w:id="2708" w:name="_Toc190873144"/>
      <w:bookmarkStart w:id="2709" w:name="_Toc194241783"/>
      <w:bookmarkStart w:id="2710" w:name="_Toc222837934"/>
      <w:bookmarkStart w:id="2711" w:name="_Toc226669080"/>
      <w:r w:rsidRPr="002A3CBE">
        <w:t>Table 6</w:t>
      </w:r>
      <w:r w:rsidRPr="002A3CBE" w:rsidDel="006F084B">
        <w:t>.</w:t>
      </w:r>
      <w:r w:rsidRPr="002A3CBE">
        <w:t>8.1</w:t>
      </w:r>
      <w:r w:rsidRPr="002A3CBE">
        <w:tab/>
        <w:t xml:space="preserve">New Zealand’s land-use change for the </w:t>
      </w:r>
      <w:r w:rsidRPr="002A3CBE">
        <w:rPr>
          <w:i/>
        </w:rPr>
        <w:t>Settlements</w:t>
      </w:r>
      <w:r w:rsidRPr="002A3CBE">
        <w:t xml:space="preserve"> category, and associated CO</w:t>
      </w:r>
      <w:r w:rsidRPr="002A3CBE">
        <w:rPr>
          <w:vertAlign w:val="subscript"/>
        </w:rPr>
        <w:t>2</w:t>
      </w:r>
      <w:r w:rsidRPr="002A3CBE">
        <w:t>e emissions</w:t>
      </w:r>
      <w:bookmarkEnd w:id="2692"/>
      <w:bookmarkEnd w:id="2693"/>
      <w:bookmarkEnd w:id="2694"/>
      <w:r w:rsidRPr="002A3CBE">
        <w:t>, from 1990 to</w:t>
      </w:r>
      <w:bookmarkEnd w:id="2695"/>
      <w:r w:rsidRPr="002A3CBE">
        <w:t> </w:t>
      </w:r>
      <w:bookmarkEnd w:id="2696"/>
      <w:bookmarkEnd w:id="2697"/>
      <w:bookmarkEnd w:id="2698"/>
      <w:bookmarkEnd w:id="2699"/>
      <w:bookmarkEnd w:id="2700"/>
      <w:bookmarkEnd w:id="2701"/>
      <w:bookmarkEnd w:id="2702"/>
      <w:bookmarkEnd w:id="2703"/>
      <w:bookmarkEnd w:id="2704"/>
      <w:r w:rsidRPr="002A3CBE">
        <w:t>2024</w:t>
      </w:r>
      <w:bookmarkEnd w:id="2705"/>
      <w:bookmarkEnd w:id="2706"/>
      <w:bookmarkEnd w:id="2707"/>
      <w:bookmarkEnd w:id="2708"/>
      <w:bookmarkEnd w:id="2709"/>
      <w:bookmarkEnd w:id="2710"/>
      <w:bookmarkEnd w:id="271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533"/>
        <w:gridCol w:w="1014"/>
        <w:gridCol w:w="1014"/>
        <w:gridCol w:w="1127"/>
        <w:gridCol w:w="845"/>
        <w:gridCol w:w="845"/>
        <w:gridCol w:w="1127"/>
      </w:tblGrid>
      <w:tr w:rsidR="00447423" w:rsidRPr="002A3CBE" w14:paraId="722CC5F3" w14:textId="77777777" w:rsidTr="00F16E23">
        <w:trPr>
          <w:tblHeader/>
        </w:trPr>
        <w:tc>
          <w:tcPr>
            <w:tcW w:w="2551" w:type="dxa"/>
            <w:shd w:val="clear" w:color="auto" w:fill="1B556B"/>
            <w:tcMar>
              <w:top w:w="0" w:type="dxa"/>
              <w:left w:w="85" w:type="dxa"/>
              <w:bottom w:w="0" w:type="dxa"/>
              <w:right w:w="85" w:type="dxa"/>
            </w:tcMar>
            <w:vAlign w:val="center"/>
          </w:tcPr>
          <w:p w14:paraId="32104A70" w14:textId="77777777" w:rsidR="00447423" w:rsidRPr="002A3CBE" w:rsidRDefault="00447423" w:rsidP="00F16E23">
            <w:pPr>
              <w:pStyle w:val="TableTextBold"/>
              <w:spacing w:before="40" w:after="40"/>
              <w:rPr>
                <w:rFonts w:eastAsia="Calibri"/>
                <w:noProof w:val="0"/>
                <w:color w:val="FFFFFF" w:themeColor="background1"/>
              </w:rPr>
            </w:pPr>
          </w:p>
        </w:tc>
        <w:tc>
          <w:tcPr>
            <w:tcW w:w="3174" w:type="dxa"/>
            <w:gridSpan w:val="3"/>
            <w:shd w:val="clear" w:color="auto" w:fill="1B556B"/>
            <w:tcMar>
              <w:top w:w="0" w:type="dxa"/>
              <w:left w:w="85" w:type="dxa"/>
              <w:bottom w:w="0" w:type="dxa"/>
              <w:right w:w="85" w:type="dxa"/>
            </w:tcMar>
            <w:vAlign w:val="center"/>
          </w:tcPr>
          <w:p w14:paraId="36046BCD" w14:textId="77777777" w:rsidR="00447423" w:rsidRPr="002A3CBE" w:rsidRDefault="00447423" w:rsidP="00F16E23">
            <w:pPr>
              <w:pStyle w:val="TableTextBold"/>
              <w:spacing w:before="40" w:after="40"/>
              <w:jc w:val="center"/>
              <w:rPr>
                <w:rFonts w:eastAsia="Calibri"/>
                <w:noProof w:val="0"/>
                <w:color w:val="FFFFFF" w:themeColor="background1"/>
              </w:rPr>
            </w:pPr>
            <w:r w:rsidRPr="002A3CBE">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center"/>
          </w:tcPr>
          <w:p w14:paraId="62A86B64" w14:textId="77777777" w:rsidR="00447423" w:rsidRPr="002A3CBE" w:rsidRDefault="00447423" w:rsidP="00F16E23">
            <w:pPr>
              <w:pStyle w:val="TableTextBold"/>
              <w:spacing w:before="40" w:after="40"/>
              <w:jc w:val="center"/>
              <w:rPr>
                <w:rFonts w:eastAsia="Calibri"/>
                <w:noProof w:val="0"/>
                <w:color w:val="FFFFFF" w:themeColor="background1"/>
              </w:rPr>
            </w:pPr>
            <w:r w:rsidRPr="002A3CBE">
              <w:rPr>
                <w:rFonts w:eastAsia="Calibri"/>
                <w:noProof w:val="0"/>
                <w:color w:val="FFFFFF" w:themeColor="background1"/>
              </w:rPr>
              <w:t>Net emissions (kt CO₂e)</w:t>
            </w:r>
          </w:p>
        </w:tc>
      </w:tr>
      <w:tr w:rsidR="00447423" w:rsidRPr="002A3CBE" w14:paraId="7AAC3E39" w14:textId="77777777" w:rsidTr="00F16E23">
        <w:trPr>
          <w:tblHeader/>
        </w:trPr>
        <w:tc>
          <w:tcPr>
            <w:tcW w:w="2551" w:type="dxa"/>
            <w:shd w:val="clear" w:color="auto" w:fill="1B556B"/>
            <w:tcMar>
              <w:top w:w="0" w:type="dxa"/>
              <w:left w:w="85" w:type="dxa"/>
              <w:bottom w:w="0" w:type="dxa"/>
              <w:right w:w="85" w:type="dxa"/>
            </w:tcMar>
            <w:vAlign w:val="bottom"/>
          </w:tcPr>
          <w:p w14:paraId="3AB2E753" w14:textId="77777777" w:rsidR="00447423" w:rsidRPr="002A3CBE" w:rsidRDefault="00447423" w:rsidP="00F16E23">
            <w:pPr>
              <w:pStyle w:val="TableTextBold"/>
              <w:spacing w:before="0" w:after="40"/>
              <w:rPr>
                <w:rFonts w:eastAsia="Calibri"/>
                <w:noProof w:val="0"/>
                <w:color w:val="FFFFFF" w:themeColor="background1"/>
              </w:rPr>
            </w:pPr>
            <w:r w:rsidRPr="002A3CBE">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7C61324A"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37D34A9A"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3FE1CA64"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541E2D00"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24B14E91"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411FC3ED" w14:textId="77777777" w:rsidR="00447423" w:rsidRPr="002A3CBE" w:rsidRDefault="00447423" w:rsidP="00F16E23">
            <w:pPr>
              <w:pStyle w:val="TableTextBold"/>
              <w:spacing w:before="0" w:after="4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1B9B5EC1" w14:textId="77777777" w:rsidTr="00F16E23">
        <w:tc>
          <w:tcPr>
            <w:tcW w:w="2551" w:type="dxa"/>
            <w:shd w:val="clear" w:color="auto" w:fill="FFFFFF"/>
            <w:tcMar>
              <w:top w:w="0" w:type="dxa"/>
              <w:left w:w="85" w:type="dxa"/>
              <w:bottom w:w="0" w:type="dxa"/>
              <w:right w:w="85" w:type="dxa"/>
            </w:tcMar>
            <w:vAlign w:val="center"/>
          </w:tcPr>
          <w:p w14:paraId="3CDC1CD3" w14:textId="77777777" w:rsidR="00447423" w:rsidRPr="002A3CBE" w:rsidRDefault="00447423" w:rsidP="00F16E23">
            <w:pPr>
              <w:pStyle w:val="TableText"/>
              <w:spacing w:before="40" w:after="40"/>
              <w:rPr>
                <w:rFonts w:eastAsia="Calibri"/>
              </w:rPr>
            </w:pPr>
            <w:r w:rsidRPr="002A3CBE">
              <w:rPr>
                <w:rFonts w:eastAsia="Calibri"/>
              </w:rPr>
              <w:t>Settlements remaining settlements</w:t>
            </w:r>
          </w:p>
        </w:tc>
        <w:tc>
          <w:tcPr>
            <w:tcW w:w="1020" w:type="dxa"/>
            <w:shd w:val="clear" w:color="auto" w:fill="FFFFFF"/>
            <w:tcMar>
              <w:top w:w="0" w:type="dxa"/>
              <w:left w:w="85" w:type="dxa"/>
              <w:bottom w:w="0" w:type="dxa"/>
              <w:right w:w="85" w:type="dxa"/>
            </w:tcMar>
            <w:vAlign w:val="center"/>
          </w:tcPr>
          <w:p w14:paraId="634A97E7" w14:textId="77777777" w:rsidR="00447423" w:rsidRPr="002A3CBE" w:rsidRDefault="00447423" w:rsidP="00F16E23">
            <w:pPr>
              <w:pStyle w:val="TableText"/>
              <w:spacing w:before="40" w:after="40"/>
              <w:jc w:val="right"/>
              <w:rPr>
                <w:rFonts w:eastAsia="Calibri"/>
              </w:rPr>
            </w:pPr>
            <w:r w:rsidRPr="002A3CBE">
              <w:rPr>
                <w:rFonts w:eastAsia="Calibri"/>
              </w:rPr>
              <w:t>191,414</w:t>
            </w:r>
          </w:p>
        </w:tc>
        <w:tc>
          <w:tcPr>
            <w:tcW w:w="1020" w:type="dxa"/>
            <w:shd w:val="clear" w:color="auto" w:fill="FFFFFF"/>
            <w:tcMar>
              <w:top w:w="0" w:type="dxa"/>
              <w:left w:w="85" w:type="dxa"/>
              <w:bottom w:w="0" w:type="dxa"/>
              <w:right w:w="85" w:type="dxa"/>
            </w:tcMar>
            <w:vAlign w:val="center"/>
          </w:tcPr>
          <w:p w14:paraId="3FB25D2C" w14:textId="77777777" w:rsidR="00447423" w:rsidRPr="002A3CBE" w:rsidRDefault="00447423" w:rsidP="00F16E23">
            <w:pPr>
              <w:pStyle w:val="TableText"/>
              <w:spacing w:before="40" w:after="40"/>
              <w:jc w:val="right"/>
              <w:rPr>
                <w:rFonts w:eastAsia="Calibri"/>
              </w:rPr>
            </w:pPr>
            <w:r w:rsidRPr="002A3CBE">
              <w:rPr>
                <w:rFonts w:eastAsia="Calibri"/>
              </w:rPr>
              <w:t>224,484</w:t>
            </w:r>
          </w:p>
        </w:tc>
        <w:tc>
          <w:tcPr>
            <w:tcW w:w="1134" w:type="dxa"/>
            <w:shd w:val="clear" w:color="auto" w:fill="FFFFFF"/>
            <w:tcMar>
              <w:top w:w="0" w:type="dxa"/>
              <w:left w:w="85" w:type="dxa"/>
              <w:bottom w:w="0" w:type="dxa"/>
              <w:right w:w="85" w:type="dxa"/>
            </w:tcMar>
            <w:vAlign w:val="center"/>
          </w:tcPr>
          <w:p w14:paraId="38AD3C2C" w14:textId="77777777" w:rsidR="00447423" w:rsidRPr="002A3CBE" w:rsidRDefault="00447423" w:rsidP="00F16E23">
            <w:pPr>
              <w:pStyle w:val="TableText"/>
              <w:spacing w:before="40" w:after="40"/>
              <w:jc w:val="right"/>
              <w:rPr>
                <w:rFonts w:eastAsia="Calibri"/>
              </w:rPr>
            </w:pPr>
            <w:r w:rsidRPr="002A3CBE">
              <w:rPr>
                <w:rFonts w:eastAsia="Calibri"/>
              </w:rPr>
              <w:t>17.3</w:t>
            </w:r>
          </w:p>
        </w:tc>
        <w:tc>
          <w:tcPr>
            <w:tcW w:w="850" w:type="dxa"/>
            <w:shd w:val="clear" w:color="auto" w:fill="FFFFFF"/>
            <w:tcMar>
              <w:top w:w="0" w:type="dxa"/>
              <w:left w:w="85" w:type="dxa"/>
              <w:bottom w:w="0" w:type="dxa"/>
              <w:right w:w="85" w:type="dxa"/>
            </w:tcMar>
            <w:vAlign w:val="center"/>
          </w:tcPr>
          <w:p w14:paraId="68EA3FFF" w14:textId="77777777" w:rsidR="00447423" w:rsidRPr="002A3CBE" w:rsidRDefault="00447423" w:rsidP="00F16E23">
            <w:pPr>
              <w:pStyle w:val="TableText"/>
              <w:spacing w:before="40" w:after="40"/>
              <w:jc w:val="right"/>
              <w:rPr>
                <w:rFonts w:eastAsia="Calibri"/>
              </w:rPr>
            </w:pPr>
            <w:r w:rsidRPr="002A3CBE">
              <w:rPr>
                <w:rFonts w:eastAsia="Calibri"/>
              </w:rPr>
              <w:t>70.7</w:t>
            </w:r>
          </w:p>
        </w:tc>
        <w:tc>
          <w:tcPr>
            <w:tcW w:w="850" w:type="dxa"/>
            <w:shd w:val="clear" w:color="auto" w:fill="FFFFFF"/>
            <w:tcMar>
              <w:top w:w="0" w:type="dxa"/>
              <w:left w:w="85" w:type="dxa"/>
              <w:bottom w:w="0" w:type="dxa"/>
              <w:right w:w="85" w:type="dxa"/>
            </w:tcMar>
            <w:vAlign w:val="center"/>
          </w:tcPr>
          <w:p w14:paraId="7DA5F592" w14:textId="77777777" w:rsidR="00447423" w:rsidRPr="002A3CBE" w:rsidRDefault="00447423" w:rsidP="00F16E23">
            <w:pPr>
              <w:pStyle w:val="TableText"/>
              <w:spacing w:before="40" w:after="40"/>
              <w:jc w:val="right"/>
              <w:rPr>
                <w:rFonts w:eastAsia="Calibri"/>
              </w:rPr>
            </w:pPr>
            <w:r w:rsidRPr="002A3CBE">
              <w:rPr>
                <w:rFonts w:eastAsia="Calibri"/>
              </w:rPr>
              <w:t>85.4</w:t>
            </w:r>
          </w:p>
        </w:tc>
        <w:tc>
          <w:tcPr>
            <w:tcW w:w="1134" w:type="dxa"/>
            <w:shd w:val="clear" w:color="auto" w:fill="FFFFFF"/>
            <w:tcMar>
              <w:top w:w="0" w:type="dxa"/>
              <w:left w:w="85" w:type="dxa"/>
              <w:bottom w:w="0" w:type="dxa"/>
              <w:right w:w="85" w:type="dxa"/>
            </w:tcMar>
            <w:vAlign w:val="center"/>
          </w:tcPr>
          <w:p w14:paraId="62CADD5F" w14:textId="77777777" w:rsidR="00447423" w:rsidRPr="002A3CBE" w:rsidRDefault="00447423" w:rsidP="00F16E23">
            <w:pPr>
              <w:pStyle w:val="TableText"/>
              <w:spacing w:before="40" w:after="40"/>
              <w:jc w:val="right"/>
              <w:rPr>
                <w:rFonts w:eastAsia="Calibri"/>
              </w:rPr>
            </w:pPr>
            <w:r w:rsidRPr="002A3CBE">
              <w:rPr>
                <w:rFonts w:eastAsia="Calibri"/>
              </w:rPr>
              <w:t>20.9</w:t>
            </w:r>
          </w:p>
        </w:tc>
      </w:tr>
      <w:tr w:rsidR="00447423" w:rsidRPr="002A3CBE" w14:paraId="319F79EE" w14:textId="77777777" w:rsidTr="00F16E23">
        <w:tc>
          <w:tcPr>
            <w:tcW w:w="2551" w:type="dxa"/>
            <w:shd w:val="clear" w:color="auto" w:fill="FFFFFF"/>
            <w:tcMar>
              <w:top w:w="0" w:type="dxa"/>
              <w:left w:w="85" w:type="dxa"/>
              <w:bottom w:w="0" w:type="dxa"/>
              <w:right w:w="85" w:type="dxa"/>
            </w:tcMar>
            <w:vAlign w:val="center"/>
          </w:tcPr>
          <w:p w14:paraId="328ED267" w14:textId="77777777" w:rsidR="00447423" w:rsidRPr="002A3CBE" w:rsidRDefault="00447423" w:rsidP="00F16E23">
            <w:pPr>
              <w:pStyle w:val="TableText"/>
              <w:spacing w:before="40" w:after="40"/>
              <w:rPr>
                <w:rFonts w:eastAsia="Calibri"/>
              </w:rPr>
            </w:pPr>
            <w:r w:rsidRPr="002A3CBE">
              <w:rPr>
                <w:rFonts w:eastAsia="Calibri"/>
              </w:rPr>
              <w:t>Land converted to settlements</w:t>
            </w:r>
          </w:p>
        </w:tc>
        <w:tc>
          <w:tcPr>
            <w:tcW w:w="1020" w:type="dxa"/>
            <w:shd w:val="clear" w:color="auto" w:fill="FFFFFF"/>
            <w:tcMar>
              <w:top w:w="0" w:type="dxa"/>
              <w:left w:w="85" w:type="dxa"/>
              <w:bottom w:w="0" w:type="dxa"/>
              <w:right w:w="85" w:type="dxa"/>
            </w:tcMar>
            <w:vAlign w:val="center"/>
          </w:tcPr>
          <w:p w14:paraId="2C2A8D6A" w14:textId="77777777" w:rsidR="00447423" w:rsidRPr="002A3CBE" w:rsidRDefault="00447423" w:rsidP="00F16E23">
            <w:pPr>
              <w:pStyle w:val="TableText"/>
              <w:spacing w:before="40" w:after="40"/>
              <w:jc w:val="right"/>
              <w:rPr>
                <w:rFonts w:eastAsia="Calibri"/>
              </w:rPr>
            </w:pPr>
            <w:r w:rsidRPr="002A3CBE">
              <w:rPr>
                <w:rFonts w:eastAsia="Calibri"/>
              </w:rPr>
              <w:t>16,624</w:t>
            </w:r>
          </w:p>
        </w:tc>
        <w:tc>
          <w:tcPr>
            <w:tcW w:w="1020" w:type="dxa"/>
            <w:shd w:val="clear" w:color="auto" w:fill="FFFFFF"/>
            <w:tcMar>
              <w:top w:w="0" w:type="dxa"/>
              <w:left w:w="85" w:type="dxa"/>
              <w:bottom w:w="0" w:type="dxa"/>
              <w:right w:w="85" w:type="dxa"/>
            </w:tcMar>
            <w:vAlign w:val="center"/>
          </w:tcPr>
          <w:p w14:paraId="777FE6BC" w14:textId="77777777" w:rsidR="00447423" w:rsidRPr="002A3CBE" w:rsidRDefault="00447423" w:rsidP="00F16E23">
            <w:pPr>
              <w:pStyle w:val="TableText"/>
              <w:spacing w:before="40" w:after="40"/>
              <w:jc w:val="right"/>
              <w:rPr>
                <w:rFonts w:eastAsia="Calibri"/>
              </w:rPr>
            </w:pPr>
            <w:r w:rsidRPr="002A3CBE">
              <w:rPr>
                <w:rFonts w:eastAsia="Calibri"/>
              </w:rPr>
              <w:t>19,698</w:t>
            </w:r>
          </w:p>
        </w:tc>
        <w:tc>
          <w:tcPr>
            <w:tcW w:w="1134" w:type="dxa"/>
            <w:shd w:val="clear" w:color="auto" w:fill="FFFFFF"/>
            <w:tcMar>
              <w:top w:w="0" w:type="dxa"/>
              <w:left w:w="85" w:type="dxa"/>
              <w:bottom w:w="0" w:type="dxa"/>
              <w:right w:w="85" w:type="dxa"/>
            </w:tcMar>
            <w:vAlign w:val="center"/>
          </w:tcPr>
          <w:p w14:paraId="00C3A23A" w14:textId="77777777" w:rsidR="00447423" w:rsidRPr="002A3CBE" w:rsidRDefault="00447423" w:rsidP="00F16E23">
            <w:pPr>
              <w:pStyle w:val="TableText"/>
              <w:spacing w:before="40" w:after="40"/>
              <w:jc w:val="right"/>
              <w:rPr>
                <w:rFonts w:eastAsia="Calibri"/>
              </w:rPr>
            </w:pPr>
            <w:r w:rsidRPr="002A3CBE">
              <w:rPr>
                <w:rFonts w:eastAsia="Calibri"/>
              </w:rPr>
              <w:t>18.5</w:t>
            </w:r>
          </w:p>
        </w:tc>
        <w:tc>
          <w:tcPr>
            <w:tcW w:w="850" w:type="dxa"/>
            <w:shd w:val="clear" w:color="auto" w:fill="FFFFFF"/>
            <w:tcMar>
              <w:top w:w="0" w:type="dxa"/>
              <w:left w:w="85" w:type="dxa"/>
              <w:bottom w:w="0" w:type="dxa"/>
              <w:right w:w="85" w:type="dxa"/>
            </w:tcMar>
            <w:vAlign w:val="center"/>
          </w:tcPr>
          <w:p w14:paraId="6C333C25" w14:textId="77777777" w:rsidR="00447423" w:rsidRPr="002A3CBE" w:rsidRDefault="00447423" w:rsidP="00F16E23">
            <w:pPr>
              <w:pStyle w:val="TableText"/>
              <w:spacing w:before="40" w:after="40"/>
              <w:jc w:val="right"/>
              <w:rPr>
                <w:rFonts w:eastAsia="Calibri"/>
              </w:rPr>
            </w:pPr>
            <w:r w:rsidRPr="002A3CBE">
              <w:rPr>
                <w:rFonts w:eastAsia="Calibri"/>
              </w:rPr>
              <w:t>-0.8</w:t>
            </w:r>
          </w:p>
        </w:tc>
        <w:tc>
          <w:tcPr>
            <w:tcW w:w="850" w:type="dxa"/>
            <w:shd w:val="clear" w:color="auto" w:fill="FFFFFF"/>
            <w:tcMar>
              <w:top w:w="0" w:type="dxa"/>
              <w:left w:w="85" w:type="dxa"/>
              <w:bottom w:w="0" w:type="dxa"/>
              <w:right w:w="85" w:type="dxa"/>
            </w:tcMar>
            <w:vAlign w:val="center"/>
          </w:tcPr>
          <w:p w14:paraId="049756AD" w14:textId="77777777" w:rsidR="00447423" w:rsidRPr="002A3CBE" w:rsidRDefault="00447423" w:rsidP="00F16E23">
            <w:pPr>
              <w:pStyle w:val="TableText"/>
              <w:spacing w:before="40" w:after="40"/>
              <w:jc w:val="right"/>
              <w:rPr>
                <w:rFonts w:eastAsia="Calibri"/>
              </w:rPr>
            </w:pPr>
            <w:r w:rsidRPr="002A3CBE">
              <w:rPr>
                <w:rFonts w:eastAsia="Calibri"/>
              </w:rPr>
              <w:t>29.7</w:t>
            </w:r>
          </w:p>
        </w:tc>
        <w:tc>
          <w:tcPr>
            <w:tcW w:w="1134" w:type="dxa"/>
            <w:shd w:val="clear" w:color="auto" w:fill="FFFFFF"/>
            <w:tcMar>
              <w:top w:w="0" w:type="dxa"/>
              <w:left w:w="85" w:type="dxa"/>
              <w:bottom w:w="0" w:type="dxa"/>
              <w:right w:w="85" w:type="dxa"/>
            </w:tcMar>
            <w:vAlign w:val="center"/>
          </w:tcPr>
          <w:p w14:paraId="3CE4D3D5" w14:textId="77777777" w:rsidR="00447423" w:rsidRPr="002A3CBE" w:rsidRDefault="00447423" w:rsidP="00F16E23">
            <w:pPr>
              <w:pStyle w:val="TableText"/>
              <w:spacing w:before="40" w:after="40"/>
              <w:jc w:val="right"/>
              <w:rPr>
                <w:rFonts w:eastAsia="Calibri"/>
              </w:rPr>
            </w:pPr>
            <w:r w:rsidRPr="002A3CBE">
              <w:rPr>
                <w:rFonts w:eastAsia="Calibri"/>
              </w:rPr>
              <w:t>3,617.1</w:t>
            </w:r>
          </w:p>
        </w:tc>
      </w:tr>
      <w:tr w:rsidR="00447423" w:rsidRPr="002A3CBE" w14:paraId="787D58A4" w14:textId="77777777" w:rsidTr="00F16E23">
        <w:tc>
          <w:tcPr>
            <w:tcW w:w="2551" w:type="dxa"/>
            <w:shd w:val="clear" w:color="auto" w:fill="FFFFFF"/>
            <w:tcMar>
              <w:top w:w="0" w:type="dxa"/>
              <w:left w:w="85" w:type="dxa"/>
              <w:bottom w:w="0" w:type="dxa"/>
              <w:right w:w="85" w:type="dxa"/>
            </w:tcMar>
            <w:vAlign w:val="center"/>
          </w:tcPr>
          <w:p w14:paraId="4E157A59"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020" w:type="dxa"/>
            <w:shd w:val="clear" w:color="auto" w:fill="FFFFFF"/>
            <w:tcMar>
              <w:top w:w="0" w:type="dxa"/>
              <w:left w:w="85" w:type="dxa"/>
              <w:bottom w:w="0" w:type="dxa"/>
              <w:right w:w="85" w:type="dxa"/>
            </w:tcMar>
            <w:vAlign w:val="center"/>
          </w:tcPr>
          <w:p w14:paraId="29038ED6" w14:textId="77777777" w:rsidR="00447423" w:rsidRPr="002A3CBE" w:rsidRDefault="00447423" w:rsidP="00F16E23">
            <w:pPr>
              <w:pStyle w:val="Tableboldblue"/>
              <w:spacing w:before="40" w:after="40"/>
              <w:jc w:val="right"/>
              <w:rPr>
                <w:rFonts w:eastAsia="Calibri"/>
              </w:rPr>
            </w:pPr>
            <w:r w:rsidRPr="002A3CBE">
              <w:rPr>
                <w:rFonts w:eastAsia="Calibri"/>
              </w:rPr>
              <w:t>208,038</w:t>
            </w:r>
          </w:p>
        </w:tc>
        <w:tc>
          <w:tcPr>
            <w:tcW w:w="1020" w:type="dxa"/>
            <w:shd w:val="clear" w:color="auto" w:fill="FFFFFF"/>
            <w:tcMar>
              <w:top w:w="0" w:type="dxa"/>
              <w:left w:w="85" w:type="dxa"/>
              <w:bottom w:w="0" w:type="dxa"/>
              <w:right w:w="85" w:type="dxa"/>
            </w:tcMar>
            <w:vAlign w:val="center"/>
          </w:tcPr>
          <w:p w14:paraId="088B6DCE" w14:textId="77777777" w:rsidR="00447423" w:rsidRPr="002A3CBE" w:rsidRDefault="00447423" w:rsidP="00F16E23">
            <w:pPr>
              <w:pStyle w:val="Tableboldblue"/>
              <w:spacing w:before="40" w:after="40"/>
              <w:jc w:val="right"/>
              <w:rPr>
                <w:rFonts w:eastAsia="Calibri"/>
              </w:rPr>
            </w:pPr>
            <w:r w:rsidRPr="002A3CBE">
              <w:rPr>
                <w:rFonts w:eastAsia="Calibri"/>
              </w:rPr>
              <w:t>244,182</w:t>
            </w:r>
          </w:p>
        </w:tc>
        <w:tc>
          <w:tcPr>
            <w:tcW w:w="1134" w:type="dxa"/>
            <w:shd w:val="clear" w:color="auto" w:fill="FFFFFF"/>
            <w:tcMar>
              <w:top w:w="0" w:type="dxa"/>
              <w:left w:w="85" w:type="dxa"/>
              <w:bottom w:w="0" w:type="dxa"/>
              <w:right w:w="85" w:type="dxa"/>
            </w:tcMar>
            <w:vAlign w:val="center"/>
          </w:tcPr>
          <w:p w14:paraId="680024F1" w14:textId="77777777" w:rsidR="00447423" w:rsidRPr="002A3CBE" w:rsidRDefault="00447423" w:rsidP="00F16E23">
            <w:pPr>
              <w:pStyle w:val="Tableboldblue"/>
              <w:spacing w:before="40" w:after="40"/>
              <w:jc w:val="right"/>
              <w:rPr>
                <w:rFonts w:eastAsia="Calibri"/>
              </w:rPr>
            </w:pPr>
            <w:r w:rsidRPr="002A3CBE">
              <w:rPr>
                <w:rFonts w:eastAsia="Calibri"/>
              </w:rPr>
              <w:t>17.4</w:t>
            </w:r>
          </w:p>
        </w:tc>
        <w:tc>
          <w:tcPr>
            <w:tcW w:w="850" w:type="dxa"/>
            <w:shd w:val="clear" w:color="auto" w:fill="FFFFFF"/>
            <w:tcMar>
              <w:top w:w="0" w:type="dxa"/>
              <w:left w:w="85" w:type="dxa"/>
              <w:bottom w:w="0" w:type="dxa"/>
              <w:right w:w="85" w:type="dxa"/>
            </w:tcMar>
            <w:vAlign w:val="center"/>
          </w:tcPr>
          <w:p w14:paraId="689618BA" w14:textId="77777777" w:rsidR="00447423" w:rsidRPr="002A3CBE" w:rsidRDefault="00447423" w:rsidP="00F16E23">
            <w:pPr>
              <w:pStyle w:val="Tableboldblue"/>
              <w:spacing w:before="40" w:after="40"/>
              <w:jc w:val="right"/>
              <w:rPr>
                <w:rFonts w:eastAsia="Calibri"/>
              </w:rPr>
            </w:pPr>
            <w:r w:rsidRPr="002A3CBE">
              <w:rPr>
                <w:rFonts w:eastAsia="Calibri"/>
              </w:rPr>
              <w:t>69.8</w:t>
            </w:r>
          </w:p>
        </w:tc>
        <w:tc>
          <w:tcPr>
            <w:tcW w:w="850" w:type="dxa"/>
            <w:shd w:val="clear" w:color="auto" w:fill="FFFFFF"/>
            <w:tcMar>
              <w:top w:w="0" w:type="dxa"/>
              <w:left w:w="85" w:type="dxa"/>
              <w:bottom w:w="0" w:type="dxa"/>
              <w:right w:w="85" w:type="dxa"/>
            </w:tcMar>
            <w:vAlign w:val="center"/>
          </w:tcPr>
          <w:p w14:paraId="613F75FA" w14:textId="77777777" w:rsidR="00447423" w:rsidRPr="002A3CBE" w:rsidRDefault="00447423" w:rsidP="00F16E23">
            <w:pPr>
              <w:pStyle w:val="Tableboldblue"/>
              <w:spacing w:before="40" w:after="40"/>
              <w:jc w:val="right"/>
              <w:rPr>
                <w:rFonts w:eastAsia="Calibri"/>
              </w:rPr>
            </w:pPr>
            <w:r w:rsidRPr="002A3CBE">
              <w:rPr>
                <w:rFonts w:eastAsia="Calibri"/>
              </w:rPr>
              <w:t>115.2</w:t>
            </w:r>
          </w:p>
        </w:tc>
        <w:tc>
          <w:tcPr>
            <w:tcW w:w="1134" w:type="dxa"/>
            <w:shd w:val="clear" w:color="auto" w:fill="FFFFFF"/>
            <w:tcMar>
              <w:top w:w="0" w:type="dxa"/>
              <w:left w:w="85" w:type="dxa"/>
              <w:bottom w:w="0" w:type="dxa"/>
              <w:right w:w="85" w:type="dxa"/>
            </w:tcMar>
            <w:vAlign w:val="center"/>
          </w:tcPr>
          <w:p w14:paraId="5A9DF2ED" w14:textId="77777777" w:rsidR="00447423" w:rsidRPr="002A3CBE" w:rsidRDefault="00447423" w:rsidP="00F16E23">
            <w:pPr>
              <w:pStyle w:val="Tableboldblue"/>
              <w:spacing w:before="40" w:after="40"/>
              <w:jc w:val="right"/>
              <w:rPr>
                <w:rFonts w:eastAsia="Calibri"/>
              </w:rPr>
            </w:pPr>
            <w:r w:rsidRPr="002A3CBE">
              <w:rPr>
                <w:rFonts w:eastAsia="Calibri"/>
              </w:rPr>
              <w:t>65.0</w:t>
            </w:r>
          </w:p>
        </w:tc>
      </w:tr>
    </w:tbl>
    <w:p w14:paraId="7BBE9704" w14:textId="77777777" w:rsidR="00447423" w:rsidRPr="002A3CBE" w:rsidRDefault="00447423" w:rsidP="00447423">
      <w:pPr>
        <w:pStyle w:val="Noteundertable"/>
      </w:pPr>
      <w:r w:rsidRPr="002A3CBE">
        <w:rPr>
          <w:b/>
        </w:rPr>
        <w:t>Note:</w:t>
      </w:r>
      <w:r w:rsidRPr="002A3CBE">
        <w:tab/>
        <w:t xml:space="preserve">Net area at 1990 is as at 1 January 1990; net area at 2024 is as of 31 December 2024. </w:t>
      </w:r>
      <w:r w:rsidRPr="002A3CBE">
        <w:rPr>
          <w:i/>
        </w:rPr>
        <w:t>Land converted to settlements</w:t>
      </w:r>
      <w:r w:rsidRPr="002A3CBE">
        <w:t xml:space="preserve"> includes land converted up to 20 years earlier. Net emission values are for the whole year indicated. Columns may not total due to rounding. </w:t>
      </w:r>
    </w:p>
    <w:p w14:paraId="59B47601" w14:textId="77777777" w:rsidR="00447423" w:rsidRPr="002A3CBE" w:rsidRDefault="00447423" w:rsidP="00447423">
      <w:pPr>
        <w:pStyle w:val="BodyText"/>
        <w:spacing w:before="100" w:after="100"/>
      </w:pPr>
      <w:r w:rsidRPr="002A3CBE">
        <w:t xml:space="preserve">From 1990 to 2024, the net carbon stock change for </w:t>
      </w:r>
      <w:r w:rsidRPr="002A3CBE">
        <w:rPr>
          <w:i/>
        </w:rPr>
        <w:t>Settlements</w:t>
      </w:r>
      <w:r w:rsidRPr="002A3CBE">
        <w:t xml:space="preserve"> decreased by 1,072.6 kt C, equivalent to emissions of 3,932.7 kt CO</w:t>
      </w:r>
      <w:r w:rsidRPr="002A3CBE">
        <w:rPr>
          <w:vertAlign w:val="subscript"/>
        </w:rPr>
        <w:t>2</w:t>
      </w:r>
      <w:r w:rsidRPr="002A3CBE">
        <w:t xml:space="preserve"> in total since 1990 (table 6.8.2). These carbon stock losses are predominantly due to the loss of carbon from organic soils associated with drainage when land is converted to </w:t>
      </w:r>
      <w:r w:rsidRPr="002A3CBE">
        <w:rPr>
          <w:i/>
        </w:rPr>
        <w:t>Settlements</w:t>
      </w:r>
      <w:r w:rsidRPr="002A3CBE">
        <w:t xml:space="preserve">. </w:t>
      </w:r>
    </w:p>
    <w:p w14:paraId="7B1FE072" w14:textId="77777777" w:rsidR="00447423" w:rsidRPr="002A3CBE" w:rsidRDefault="00447423" w:rsidP="00447423">
      <w:pPr>
        <w:pStyle w:val="Table"/>
      </w:pPr>
      <w:bookmarkStart w:id="2712" w:name="_Toc352505029"/>
      <w:bookmarkStart w:id="2713" w:name="_Toc342470789"/>
      <w:bookmarkStart w:id="2714" w:name="_Toc378853318"/>
      <w:bookmarkStart w:id="2715" w:name="_Toc391024116"/>
      <w:bookmarkStart w:id="2716" w:name="_Toc410028859"/>
      <w:bookmarkStart w:id="2717" w:name="_Toc414531487"/>
      <w:bookmarkStart w:id="2718" w:name="_Toc443645400"/>
      <w:bookmarkStart w:id="2719" w:name="_Toc474914619"/>
      <w:bookmarkStart w:id="2720" w:name="_Toc481751583"/>
      <w:bookmarkStart w:id="2721" w:name="_Toc522010640"/>
      <w:bookmarkStart w:id="2722" w:name="_Toc5269545"/>
      <w:bookmarkStart w:id="2723" w:name="_Toc33529419"/>
      <w:bookmarkStart w:id="2724" w:name="_Toc36224625"/>
      <w:bookmarkStart w:id="2725" w:name="_Toc131591420"/>
      <w:bookmarkStart w:id="2726" w:name="_Toc158979978"/>
      <w:bookmarkStart w:id="2727" w:name="_Toc164153911"/>
      <w:bookmarkStart w:id="2728" w:name="_Toc190873145"/>
      <w:bookmarkStart w:id="2729" w:name="_Toc194241784"/>
      <w:bookmarkStart w:id="2730" w:name="_Toc222837935"/>
      <w:bookmarkStart w:id="2731" w:name="_Toc226669081"/>
      <w:r w:rsidRPr="002A3CBE">
        <w:t>Table 6.8.2</w:t>
      </w:r>
      <w:r w:rsidRPr="002A3CBE">
        <w:tab/>
        <w:t xml:space="preserve">New Zealand’s carbon stock change by carbon pool for the </w:t>
      </w:r>
      <w:r w:rsidRPr="002A3CBE">
        <w:rPr>
          <w:i/>
        </w:rPr>
        <w:t>Settlements</w:t>
      </w:r>
      <w:r w:rsidRPr="002A3CBE">
        <w:t xml:space="preserve"> category,</w:t>
      </w:r>
      <w:r w:rsidRPr="002A3CBE">
        <w:br/>
        <w:t>from 1990 to</w:t>
      </w:r>
      <w:bookmarkEnd w:id="2712"/>
      <w:bookmarkEnd w:id="2713"/>
      <w:bookmarkEnd w:id="2714"/>
      <w:bookmarkEnd w:id="2715"/>
      <w:r w:rsidRPr="002A3CBE">
        <w:t> </w:t>
      </w:r>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r w:rsidRPr="002A3CBE">
        <w:t>2024</w:t>
      </w:r>
      <w:bookmarkEnd w:id="2730"/>
      <w:bookmarkEnd w:id="273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560"/>
        <w:gridCol w:w="1417"/>
        <w:gridCol w:w="1701"/>
        <w:gridCol w:w="992"/>
        <w:gridCol w:w="851"/>
        <w:gridCol w:w="1984"/>
      </w:tblGrid>
      <w:tr w:rsidR="00447423" w:rsidRPr="002A3CBE" w14:paraId="7F18E038" w14:textId="77777777" w:rsidTr="00F16E23">
        <w:trPr>
          <w:tblHeader/>
        </w:trPr>
        <w:tc>
          <w:tcPr>
            <w:tcW w:w="1560" w:type="dxa"/>
            <w:shd w:val="clear" w:color="auto" w:fill="1B556B"/>
            <w:tcMar>
              <w:top w:w="0" w:type="dxa"/>
              <w:left w:w="85" w:type="dxa"/>
              <w:bottom w:w="0" w:type="dxa"/>
              <w:right w:w="85" w:type="dxa"/>
            </w:tcMar>
            <w:vAlign w:val="center"/>
          </w:tcPr>
          <w:p w14:paraId="10F27EB0" w14:textId="77777777" w:rsidR="00447423" w:rsidRPr="002A3CBE" w:rsidRDefault="00447423" w:rsidP="00F16E23">
            <w:pPr>
              <w:pStyle w:val="TableTextBold"/>
              <w:spacing w:before="40" w:after="0"/>
              <w:rPr>
                <w:rFonts w:eastAsia="Calibri"/>
                <w:noProof w:val="0"/>
                <w:color w:val="FFFFFF" w:themeColor="background1"/>
              </w:rPr>
            </w:pPr>
          </w:p>
        </w:tc>
        <w:tc>
          <w:tcPr>
            <w:tcW w:w="4961" w:type="dxa"/>
            <w:gridSpan w:val="4"/>
            <w:shd w:val="clear" w:color="auto" w:fill="1B556B"/>
            <w:tcMar>
              <w:top w:w="0" w:type="dxa"/>
              <w:left w:w="85" w:type="dxa"/>
              <w:bottom w:w="0" w:type="dxa"/>
              <w:right w:w="85" w:type="dxa"/>
            </w:tcMar>
            <w:vAlign w:val="center"/>
          </w:tcPr>
          <w:p w14:paraId="41F2D06C"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Net carbon stock change 1990–2024 (kt C)</w:t>
            </w:r>
          </w:p>
        </w:tc>
        <w:tc>
          <w:tcPr>
            <w:tcW w:w="1984" w:type="dxa"/>
            <w:shd w:val="clear" w:color="auto" w:fill="1B556B"/>
            <w:tcMar>
              <w:top w:w="0" w:type="dxa"/>
              <w:left w:w="85" w:type="dxa"/>
              <w:bottom w:w="0" w:type="dxa"/>
              <w:right w:w="85" w:type="dxa"/>
            </w:tcMar>
            <w:vAlign w:val="center"/>
          </w:tcPr>
          <w:p w14:paraId="1B3298B4" w14:textId="77777777" w:rsidR="00447423" w:rsidRPr="002A3CBE" w:rsidRDefault="00447423" w:rsidP="00F16E23">
            <w:pPr>
              <w:pStyle w:val="TableTextBold"/>
              <w:spacing w:before="40" w:after="0"/>
              <w:jc w:val="right"/>
              <w:rPr>
                <w:rFonts w:eastAsia="Calibri"/>
                <w:noProof w:val="0"/>
                <w:color w:val="FFFFFF" w:themeColor="background1"/>
              </w:rPr>
            </w:pPr>
            <w:r w:rsidRPr="002A3CBE">
              <w:rPr>
                <w:rFonts w:eastAsia="Calibri"/>
                <w:noProof w:val="0"/>
                <w:color w:val="FFFFFF" w:themeColor="background1"/>
              </w:rPr>
              <w:t xml:space="preserve">Emissions 1990–2024 </w:t>
            </w:r>
          </w:p>
        </w:tc>
      </w:tr>
      <w:tr w:rsidR="00447423" w:rsidRPr="002A3CBE" w14:paraId="4EE2E40D" w14:textId="77777777" w:rsidTr="00F16E23">
        <w:trPr>
          <w:tblHeader/>
        </w:trPr>
        <w:tc>
          <w:tcPr>
            <w:tcW w:w="1560" w:type="dxa"/>
            <w:shd w:val="clear" w:color="auto" w:fill="1B556B"/>
            <w:tcMar>
              <w:top w:w="0" w:type="dxa"/>
              <w:left w:w="85" w:type="dxa"/>
              <w:bottom w:w="0" w:type="dxa"/>
              <w:right w:w="85" w:type="dxa"/>
            </w:tcMar>
            <w:vAlign w:val="center"/>
          </w:tcPr>
          <w:p w14:paraId="785EB256"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Land use</w:t>
            </w:r>
          </w:p>
        </w:tc>
        <w:tc>
          <w:tcPr>
            <w:tcW w:w="1417" w:type="dxa"/>
            <w:shd w:val="clear" w:color="auto" w:fill="1B556B"/>
            <w:tcMar>
              <w:top w:w="0" w:type="dxa"/>
              <w:left w:w="85" w:type="dxa"/>
              <w:bottom w:w="0" w:type="dxa"/>
              <w:right w:w="85" w:type="dxa"/>
            </w:tcMar>
            <w:vAlign w:val="center"/>
          </w:tcPr>
          <w:p w14:paraId="63EC7FF5"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Living biomass</w:t>
            </w:r>
          </w:p>
        </w:tc>
        <w:tc>
          <w:tcPr>
            <w:tcW w:w="1701" w:type="dxa"/>
            <w:shd w:val="clear" w:color="auto" w:fill="1B556B"/>
            <w:tcMar>
              <w:top w:w="0" w:type="dxa"/>
              <w:left w:w="85" w:type="dxa"/>
              <w:bottom w:w="0" w:type="dxa"/>
              <w:right w:w="85" w:type="dxa"/>
            </w:tcMar>
            <w:vAlign w:val="center"/>
          </w:tcPr>
          <w:p w14:paraId="02F5B772"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Dead organic matter</w:t>
            </w:r>
          </w:p>
        </w:tc>
        <w:tc>
          <w:tcPr>
            <w:tcW w:w="992" w:type="dxa"/>
            <w:shd w:val="clear" w:color="auto" w:fill="1B556B"/>
            <w:tcMar>
              <w:top w:w="0" w:type="dxa"/>
              <w:left w:w="85" w:type="dxa"/>
              <w:bottom w:w="0" w:type="dxa"/>
              <w:right w:w="85" w:type="dxa"/>
            </w:tcMar>
            <w:vAlign w:val="center"/>
          </w:tcPr>
          <w:p w14:paraId="278B30EF"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Soils</w:t>
            </w:r>
          </w:p>
        </w:tc>
        <w:tc>
          <w:tcPr>
            <w:tcW w:w="851" w:type="dxa"/>
            <w:shd w:val="clear" w:color="auto" w:fill="1B556B"/>
            <w:tcMar>
              <w:top w:w="0" w:type="dxa"/>
              <w:left w:w="85" w:type="dxa"/>
              <w:bottom w:w="0" w:type="dxa"/>
              <w:right w:w="85" w:type="dxa"/>
            </w:tcMar>
            <w:vAlign w:val="center"/>
          </w:tcPr>
          <w:p w14:paraId="21E11439"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Total</w:t>
            </w:r>
          </w:p>
        </w:tc>
        <w:tc>
          <w:tcPr>
            <w:tcW w:w="1984" w:type="dxa"/>
            <w:shd w:val="clear" w:color="auto" w:fill="1B556B"/>
            <w:tcMar>
              <w:top w:w="0" w:type="dxa"/>
              <w:left w:w="85" w:type="dxa"/>
              <w:bottom w:w="0" w:type="dxa"/>
              <w:right w:w="85" w:type="dxa"/>
            </w:tcMar>
            <w:vAlign w:val="center"/>
          </w:tcPr>
          <w:p w14:paraId="52D19F8E"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(kt CO₂)</w:t>
            </w:r>
          </w:p>
        </w:tc>
      </w:tr>
      <w:tr w:rsidR="00447423" w:rsidRPr="002A3CBE" w14:paraId="67C90083" w14:textId="77777777" w:rsidTr="00F16E23">
        <w:tc>
          <w:tcPr>
            <w:tcW w:w="1560" w:type="dxa"/>
            <w:shd w:val="clear" w:color="auto" w:fill="FFFFFF"/>
            <w:tcMar>
              <w:top w:w="0" w:type="dxa"/>
              <w:left w:w="85" w:type="dxa"/>
              <w:bottom w:w="0" w:type="dxa"/>
              <w:right w:w="85" w:type="dxa"/>
            </w:tcMar>
            <w:vAlign w:val="center"/>
          </w:tcPr>
          <w:p w14:paraId="71539BEA" w14:textId="77777777" w:rsidR="00447423" w:rsidRPr="002A3CBE" w:rsidRDefault="00447423" w:rsidP="00F16E23">
            <w:pPr>
              <w:pStyle w:val="TableText"/>
              <w:spacing w:before="40" w:after="40"/>
              <w:rPr>
                <w:rFonts w:eastAsia="Calibri"/>
              </w:rPr>
            </w:pPr>
            <w:r w:rsidRPr="002A3CBE">
              <w:rPr>
                <w:rFonts w:eastAsia="Calibri"/>
              </w:rPr>
              <w:t>Settlements</w:t>
            </w:r>
          </w:p>
        </w:tc>
        <w:tc>
          <w:tcPr>
            <w:tcW w:w="1417" w:type="dxa"/>
            <w:shd w:val="clear" w:color="auto" w:fill="FFFFFF"/>
            <w:tcMar>
              <w:top w:w="0" w:type="dxa"/>
              <w:left w:w="85" w:type="dxa"/>
              <w:bottom w:w="0" w:type="dxa"/>
              <w:right w:w="85" w:type="dxa"/>
            </w:tcMar>
            <w:vAlign w:val="center"/>
          </w:tcPr>
          <w:p w14:paraId="2F914E01" w14:textId="77777777" w:rsidR="00447423" w:rsidRPr="002A3CBE" w:rsidRDefault="00447423" w:rsidP="00F16E23">
            <w:pPr>
              <w:pStyle w:val="TableText"/>
              <w:spacing w:before="40" w:after="40"/>
              <w:jc w:val="right"/>
              <w:rPr>
                <w:rFonts w:eastAsia="Calibri"/>
              </w:rPr>
            </w:pPr>
            <w:r w:rsidRPr="002A3CBE">
              <w:rPr>
                <w:rFonts w:eastAsia="Calibri"/>
              </w:rPr>
              <w:t>-365.0</w:t>
            </w:r>
          </w:p>
        </w:tc>
        <w:tc>
          <w:tcPr>
            <w:tcW w:w="1701" w:type="dxa"/>
            <w:shd w:val="clear" w:color="auto" w:fill="FFFFFF"/>
            <w:tcMar>
              <w:top w:w="0" w:type="dxa"/>
              <w:left w:w="85" w:type="dxa"/>
              <w:bottom w:w="0" w:type="dxa"/>
              <w:right w:w="85" w:type="dxa"/>
            </w:tcMar>
            <w:vAlign w:val="center"/>
          </w:tcPr>
          <w:p w14:paraId="746A48B6" w14:textId="77777777" w:rsidR="00447423" w:rsidRPr="002A3CBE" w:rsidRDefault="00447423" w:rsidP="00F16E23">
            <w:pPr>
              <w:pStyle w:val="TableText"/>
              <w:spacing w:before="40" w:after="40"/>
              <w:jc w:val="right"/>
              <w:rPr>
                <w:rFonts w:eastAsia="Calibri"/>
              </w:rPr>
            </w:pPr>
            <w:r w:rsidRPr="002A3CBE">
              <w:rPr>
                <w:rFonts w:eastAsia="Calibri"/>
              </w:rPr>
              <w:t>-34.4</w:t>
            </w:r>
          </w:p>
        </w:tc>
        <w:tc>
          <w:tcPr>
            <w:tcW w:w="992" w:type="dxa"/>
            <w:shd w:val="clear" w:color="auto" w:fill="FFFFFF"/>
            <w:tcMar>
              <w:top w:w="0" w:type="dxa"/>
              <w:left w:w="85" w:type="dxa"/>
              <w:bottom w:w="0" w:type="dxa"/>
              <w:right w:w="85" w:type="dxa"/>
            </w:tcMar>
            <w:vAlign w:val="center"/>
          </w:tcPr>
          <w:p w14:paraId="2C7471D8" w14:textId="77777777" w:rsidR="00447423" w:rsidRPr="002A3CBE" w:rsidRDefault="00447423" w:rsidP="00F16E23">
            <w:pPr>
              <w:pStyle w:val="TableText"/>
              <w:spacing w:before="40" w:after="40"/>
              <w:jc w:val="right"/>
              <w:rPr>
                <w:rFonts w:eastAsia="Calibri"/>
              </w:rPr>
            </w:pPr>
            <w:r w:rsidRPr="002A3CBE">
              <w:rPr>
                <w:rFonts w:eastAsia="Calibri"/>
              </w:rPr>
              <w:t>-673.2</w:t>
            </w:r>
          </w:p>
        </w:tc>
        <w:tc>
          <w:tcPr>
            <w:tcW w:w="851" w:type="dxa"/>
            <w:shd w:val="clear" w:color="auto" w:fill="FFFFFF"/>
            <w:tcMar>
              <w:top w:w="0" w:type="dxa"/>
              <w:left w:w="85" w:type="dxa"/>
              <w:bottom w:w="0" w:type="dxa"/>
              <w:right w:w="85" w:type="dxa"/>
            </w:tcMar>
            <w:vAlign w:val="center"/>
          </w:tcPr>
          <w:p w14:paraId="0A402B89" w14:textId="77777777" w:rsidR="00447423" w:rsidRPr="002A3CBE" w:rsidRDefault="00447423" w:rsidP="00F16E23">
            <w:pPr>
              <w:pStyle w:val="TableText"/>
              <w:spacing w:before="40" w:after="40"/>
              <w:jc w:val="right"/>
              <w:rPr>
                <w:rFonts w:eastAsia="Calibri"/>
              </w:rPr>
            </w:pPr>
            <w:r w:rsidRPr="002A3CBE">
              <w:rPr>
                <w:rFonts w:eastAsia="Calibri"/>
              </w:rPr>
              <w:t>-1,072.6</w:t>
            </w:r>
          </w:p>
        </w:tc>
        <w:tc>
          <w:tcPr>
            <w:tcW w:w="1984" w:type="dxa"/>
            <w:shd w:val="clear" w:color="auto" w:fill="FFFFFF"/>
            <w:tcMar>
              <w:top w:w="0" w:type="dxa"/>
              <w:left w:w="85" w:type="dxa"/>
              <w:bottom w:w="0" w:type="dxa"/>
              <w:right w:w="85" w:type="dxa"/>
            </w:tcMar>
            <w:vAlign w:val="center"/>
          </w:tcPr>
          <w:p w14:paraId="5AD2E5DC" w14:textId="77777777" w:rsidR="00447423" w:rsidRPr="002A3CBE" w:rsidRDefault="00447423" w:rsidP="00F16E23">
            <w:pPr>
              <w:pStyle w:val="TableText"/>
              <w:spacing w:before="40" w:after="40"/>
              <w:jc w:val="right"/>
              <w:rPr>
                <w:rFonts w:eastAsia="Calibri"/>
              </w:rPr>
            </w:pPr>
            <w:r w:rsidRPr="002A3CBE">
              <w:rPr>
                <w:rFonts w:eastAsia="Calibri"/>
              </w:rPr>
              <w:t>3,932.7</w:t>
            </w:r>
          </w:p>
        </w:tc>
      </w:tr>
    </w:tbl>
    <w:p w14:paraId="25258865" w14:textId="77777777" w:rsidR="00447423" w:rsidRPr="002A3CBE" w:rsidRDefault="00447423" w:rsidP="00447423">
      <w:pPr>
        <w:pStyle w:val="BodyText"/>
        <w:spacing w:before="240"/>
      </w:pPr>
      <w:r w:rsidRPr="002A3CBE">
        <w:t xml:space="preserve">The </w:t>
      </w:r>
      <w:r w:rsidRPr="002A3CBE">
        <w:rPr>
          <w:i/>
        </w:rPr>
        <w:t>Settlements</w:t>
      </w:r>
      <w:r w:rsidRPr="002A3CBE">
        <w:t xml:space="preserve"> land use category, as described in volume 4, chapter 3.2 of the 2006 IPCC Guidelines, includes “all developed land, including transportation infrastructure and human settlements of any size, unless they are already included under other categories” (IPCC, 2006a, p 3.7). </w:t>
      </w:r>
      <w:r w:rsidRPr="002A3CBE">
        <w:rPr>
          <w:i/>
        </w:rPr>
        <w:t>Settlements</w:t>
      </w:r>
      <w:r w:rsidRPr="002A3CBE">
        <w:t xml:space="preserve"> include trees grown along streets, in public and private gardens, and in parks associated with urban areas. </w:t>
      </w:r>
    </w:p>
    <w:p w14:paraId="2BEE4643" w14:textId="77777777" w:rsidR="00447423" w:rsidRPr="002A3CBE" w:rsidRDefault="00447423" w:rsidP="00447423">
      <w:pPr>
        <w:pStyle w:val="BodyText"/>
      </w:pPr>
      <w:r w:rsidRPr="002A3CBE">
        <w:t xml:space="preserve">In 2024, there were 244,182 hectares of </w:t>
      </w:r>
      <w:r w:rsidRPr="002A3CBE">
        <w:rPr>
          <w:i/>
        </w:rPr>
        <w:t>Settlements</w:t>
      </w:r>
      <w:r w:rsidRPr="002A3CBE">
        <w:t xml:space="preserve"> in New Zealand, an increase of 36,145 hectares since 1990. This category comprised 0.9 percent of New Zealand’s total land area in 2024. The largest area of change to </w:t>
      </w:r>
      <w:r w:rsidRPr="002A3CBE">
        <w:rPr>
          <w:i/>
        </w:rPr>
        <w:t>Settlements</w:t>
      </w:r>
      <w:r w:rsidRPr="002A3CBE">
        <w:t xml:space="preserve"> between 1990 and 2024 came from </w:t>
      </w:r>
      <w:r w:rsidRPr="002A3CBE">
        <w:rPr>
          <w:i/>
          <w:iCs/>
        </w:rPr>
        <w:t>High producing grassland</w:t>
      </w:r>
      <w:r w:rsidRPr="002A3CBE">
        <w:t>, with 27,600 hectares between 1990 and 2024.</w:t>
      </w:r>
    </w:p>
    <w:p w14:paraId="6F0A3B53" w14:textId="77777777" w:rsidR="00447423" w:rsidRPr="002A3CBE" w:rsidRDefault="00447423" w:rsidP="00447423">
      <w:pPr>
        <w:pStyle w:val="BodyText"/>
      </w:pPr>
      <w:r w:rsidRPr="002A3CBE">
        <w:t xml:space="preserve">The emissions in the </w:t>
      </w:r>
      <w:r w:rsidRPr="002A3CBE">
        <w:rPr>
          <w:i/>
        </w:rPr>
        <w:t>Settlements remaining settlements</w:t>
      </w:r>
      <w:r w:rsidRPr="002A3CBE">
        <w:t xml:space="preserve"> category are all from anthropogenic drainage of organic soils for establishment of settlements. Carbon in living biomass and dead organic matter for this land use category is estimated as zero but, because zero is not a valid entry for biomass gains in the Greenhouse Gas Inventory Reporting Tool, the notation key NA is reported for biomass gains instead. The carbon stock in mineral soil for this land use is assumed to be in steady state, so this is also reported as zero. </w:t>
      </w:r>
    </w:p>
    <w:p w14:paraId="7692C7D3" w14:textId="77777777" w:rsidR="00447423" w:rsidRPr="002A3CBE" w:rsidRDefault="00447423" w:rsidP="00447423">
      <w:pPr>
        <w:pStyle w:val="Heading3"/>
      </w:pPr>
      <w:r w:rsidRPr="002A3CBE">
        <w:t>6.8.2</w:t>
      </w:r>
      <w:r w:rsidRPr="002A3CBE">
        <w:tab/>
        <w:t>Methodological issues</w:t>
      </w:r>
    </w:p>
    <w:p w14:paraId="7808E069" w14:textId="77777777" w:rsidR="00447423" w:rsidRPr="002A3CBE" w:rsidRDefault="00447423" w:rsidP="00447423">
      <w:pPr>
        <w:pStyle w:val="Heading4"/>
        <w:spacing w:before="180"/>
      </w:pPr>
      <w:r w:rsidRPr="002A3CBE">
        <w:t>Settlements remaining settlements (4.E.1)</w:t>
      </w:r>
    </w:p>
    <w:p w14:paraId="0796189B" w14:textId="77777777" w:rsidR="00447423" w:rsidRPr="002A3CBE" w:rsidRDefault="00447423" w:rsidP="00447423">
      <w:pPr>
        <w:pStyle w:val="BodyText"/>
      </w:pPr>
      <w:r w:rsidRPr="002A3CBE">
        <w:t xml:space="preserve">New Zealand applies Tier 1 methods for estimating emissions from the </w:t>
      </w:r>
      <w:r w:rsidRPr="002A3CBE">
        <w:rPr>
          <w:i/>
        </w:rPr>
        <w:t xml:space="preserve">Settlements remaining settlements </w:t>
      </w:r>
      <w:r w:rsidRPr="002A3CBE">
        <w:t>category</w:t>
      </w:r>
      <w:r w:rsidRPr="002A3CBE">
        <w:rPr>
          <w:i/>
        </w:rPr>
        <w:t xml:space="preserve">. </w:t>
      </w:r>
      <w:r w:rsidRPr="002A3CBE">
        <w:t>The assumptions are that there is no change in carbon stocks for living biomass, dead organic matter or mineral soils.</w:t>
      </w:r>
      <w:r w:rsidRPr="002A3CBE" w:rsidDel="00394041">
        <w:t xml:space="preserve"> </w:t>
      </w:r>
      <w:r w:rsidRPr="002A3CBE">
        <w:t xml:space="preserve">The Tier 1 method for organic soils conversely assumes emissions are constant if they are drained. Where organic soils occur in this category, they are assumed to be drained. See volume 2, annex 5, section A5.2.4 ‘Organic soils’, for further information on the methods applied to organic soils. </w:t>
      </w:r>
    </w:p>
    <w:p w14:paraId="243A9A8C" w14:textId="77777777" w:rsidR="00447423" w:rsidRPr="002A3CBE" w:rsidRDefault="00447423" w:rsidP="00447423">
      <w:pPr>
        <w:pStyle w:val="BodyText"/>
      </w:pPr>
      <w:r w:rsidRPr="002A3CBE">
        <w:t>Because this is not a key category, New Zealand is not currently investigating methods to move to a higher tier of reporting for this category.</w:t>
      </w:r>
    </w:p>
    <w:p w14:paraId="7747B516" w14:textId="77777777" w:rsidR="00447423" w:rsidRPr="002A3CBE" w:rsidRDefault="00447423" w:rsidP="00447423">
      <w:pPr>
        <w:pStyle w:val="Heading4"/>
      </w:pPr>
      <w:r w:rsidRPr="002A3CBE">
        <w:t>Land converted to settlements (4.E.2)</w:t>
      </w:r>
    </w:p>
    <w:p w14:paraId="14FB1118" w14:textId="77777777" w:rsidR="00447423" w:rsidRPr="002A3CBE" w:rsidRDefault="00447423" w:rsidP="00447423">
      <w:pPr>
        <w:pStyle w:val="Heading5"/>
        <w:spacing w:before="180"/>
      </w:pPr>
      <w:r w:rsidRPr="002A3CBE">
        <w:t>Living biomass and dead organic matter</w:t>
      </w:r>
    </w:p>
    <w:p w14:paraId="7ECB822F" w14:textId="77777777" w:rsidR="00447423" w:rsidRPr="002A3CBE" w:rsidRDefault="00447423" w:rsidP="00447423">
      <w:pPr>
        <w:pStyle w:val="BodyText"/>
      </w:pPr>
      <w:r w:rsidRPr="002A3CBE">
        <w:t xml:space="preserve">New Zealand has applied a Tier 1 method for estimating carbon stock change with land conversion to </w:t>
      </w:r>
      <w:r w:rsidRPr="002A3CBE">
        <w:rPr>
          <w:i/>
        </w:rPr>
        <w:t>Settlements</w:t>
      </w:r>
      <w:r w:rsidRPr="002A3CBE">
        <w:t xml:space="preserve"> (IPCC, 2006a, equation 2.16). This is the same as that used for other areas of land use conversion (e.g., </w:t>
      </w:r>
      <w:r w:rsidRPr="002A3CBE">
        <w:rPr>
          <w:i/>
        </w:rPr>
        <w:t>Land converted to cropland</w:t>
      </w:r>
      <w:r w:rsidRPr="002A3CBE">
        <w:t>). The default assumptions for a Tier 1 estimate are that all living biomass and dead organic matter present before conversion are lost in the same year as the conversion took place. Furthermore, carbon stocks in living biomass and dead organic matter following conversion are equal to zero (IPCC, 2006a, section 8.3.1 and section 8.3.2).</w:t>
      </w:r>
    </w:p>
    <w:p w14:paraId="604E3551" w14:textId="77777777" w:rsidR="00447423" w:rsidRPr="002A3CBE" w:rsidRDefault="00447423" w:rsidP="00447423">
      <w:pPr>
        <w:pStyle w:val="Heading5"/>
        <w:spacing w:before="180"/>
      </w:pPr>
      <w:r w:rsidRPr="002A3CBE">
        <w:t xml:space="preserve">Soil organic carbon </w:t>
      </w:r>
    </w:p>
    <w:p w14:paraId="3360422A" w14:textId="77777777" w:rsidR="00447423" w:rsidRPr="002A3CBE" w:rsidRDefault="00447423" w:rsidP="00447423">
      <w:pPr>
        <w:pStyle w:val="BodyText"/>
        <w:spacing w:before="100" w:after="100"/>
      </w:pPr>
      <w:r w:rsidRPr="002A3CBE">
        <w:rPr>
          <w:spacing w:val="-2"/>
        </w:rPr>
        <w:t>Soil organic carbon stocks in mineral soil for Land</w:t>
      </w:r>
      <w:r w:rsidRPr="002A3CBE">
        <w:rPr>
          <w:i/>
          <w:spacing w:val="-2"/>
        </w:rPr>
        <w:t xml:space="preserve"> converted to settlements</w:t>
      </w:r>
      <w:r w:rsidRPr="002A3CBE">
        <w:rPr>
          <w:spacing w:val="-2"/>
        </w:rPr>
        <w:t xml:space="preserve"> are estimated using a Tier 2 method (see volume 2, annex 5, section A5.2.4 ‘Mineral soils’). For organic soils, loss of soil carbon is estimated using the Tier 1 method applied to </w:t>
      </w:r>
      <w:r w:rsidRPr="002A3CBE">
        <w:rPr>
          <w:i/>
          <w:spacing w:val="-2"/>
        </w:rPr>
        <w:t>Settlements remaining settleme</w:t>
      </w:r>
      <w:r w:rsidRPr="002A3CBE">
        <w:rPr>
          <w:i/>
        </w:rPr>
        <w:t>nts</w:t>
      </w:r>
      <w:r w:rsidRPr="002A3CBE">
        <w:t xml:space="preserve">. </w:t>
      </w:r>
    </w:p>
    <w:p w14:paraId="0ED701A7" w14:textId="77777777" w:rsidR="00447423" w:rsidRPr="002A3CBE" w:rsidRDefault="00447423" w:rsidP="00447423">
      <w:pPr>
        <w:pStyle w:val="Heading3"/>
        <w:spacing w:before="240"/>
      </w:pPr>
      <w:r w:rsidRPr="002A3CBE">
        <w:t>6.8.3</w:t>
      </w:r>
      <w:r w:rsidRPr="002A3CBE">
        <w:tab/>
        <w:t>Uncertainty assessment and time-series consistency</w:t>
      </w:r>
    </w:p>
    <w:p w14:paraId="69672694" w14:textId="77777777" w:rsidR="00447423" w:rsidRPr="002A3CBE" w:rsidRDefault="00447423" w:rsidP="00447423">
      <w:pPr>
        <w:pStyle w:val="BodyText"/>
        <w:spacing w:before="100" w:after="100"/>
        <w:rPr>
          <w:rFonts w:ascii="Segoe UI" w:hAnsi="Segoe UI" w:cs="Segoe UI"/>
        </w:rPr>
      </w:pPr>
      <w:r w:rsidRPr="002A3CBE">
        <w:t>The uncertainty in net CO</w:t>
      </w:r>
      <w:r w:rsidRPr="002A3CBE">
        <w:rPr>
          <w:vertAlign w:val="subscript"/>
        </w:rPr>
        <w:t>2</w:t>
      </w:r>
      <w:r w:rsidRPr="002A3CBE">
        <w:t xml:space="preserve">e emissions from </w:t>
      </w:r>
      <w:r w:rsidRPr="002A3CBE">
        <w:rPr>
          <w:i/>
          <w:iCs/>
        </w:rPr>
        <w:t>Settlements</w:t>
      </w:r>
      <w:r w:rsidRPr="002A3CBE">
        <w:t xml:space="preserve"> was 71.7 percent in 2024. The uncertainty in net CO</w:t>
      </w:r>
      <w:r w:rsidRPr="002A3CBE">
        <w:rPr>
          <w:vertAlign w:val="subscript"/>
        </w:rPr>
        <w:t>2</w:t>
      </w:r>
      <w:r w:rsidRPr="002A3CBE">
        <w:t xml:space="preserve">e emissions from </w:t>
      </w:r>
      <w:r w:rsidRPr="002A3CBE">
        <w:rPr>
          <w:i/>
        </w:rPr>
        <w:t>Settlements</w:t>
      </w:r>
      <w:r w:rsidRPr="002A3CBE">
        <w:t xml:space="preserve"> accounted for 0.4 percent of the total uncertainty in emissions from the LULUCF sector. The methods used to calculate the uncertainty are further described in volume 2, annex 5, section A5.2.8. </w:t>
      </w:r>
    </w:p>
    <w:p w14:paraId="353FDD79" w14:textId="77777777" w:rsidR="00447423" w:rsidRPr="002A3CBE" w:rsidRDefault="00447423" w:rsidP="00447423">
      <w:pPr>
        <w:pStyle w:val="BodyText"/>
        <w:spacing w:before="100" w:after="100"/>
      </w:pPr>
      <w:r w:rsidRPr="002A3CBE">
        <w:t>Time-series consistency is ensured by applying consistent methods and full recalculations in the event of any refinement or improvement to methodology.</w:t>
      </w:r>
    </w:p>
    <w:p w14:paraId="6E203F66" w14:textId="77777777" w:rsidR="00447423" w:rsidRPr="002A3CBE" w:rsidRDefault="00447423" w:rsidP="00447423">
      <w:pPr>
        <w:pStyle w:val="Heading3"/>
        <w:spacing w:before="240"/>
      </w:pPr>
      <w:r w:rsidRPr="002A3CBE" w:rsidDel="00CB15DE">
        <w:t>6.</w:t>
      </w:r>
      <w:r w:rsidRPr="002A3CBE">
        <w:t>8.4</w:t>
      </w:r>
      <w:r w:rsidRPr="002A3CBE">
        <w:tab/>
        <w:t>Category-specific QA/QC and verification</w:t>
      </w:r>
    </w:p>
    <w:p w14:paraId="662D2117" w14:textId="77777777" w:rsidR="00447423" w:rsidRPr="002A3CBE" w:rsidRDefault="00447423" w:rsidP="00447423">
      <w:pPr>
        <w:pStyle w:val="BodyText"/>
        <w:spacing w:before="100" w:after="100"/>
      </w:pPr>
      <w:r w:rsidRPr="002A3CBE">
        <w:t>In the preparation of this inventory, the activity data for these emissions underwent Tier 1 quality checks.</w:t>
      </w:r>
    </w:p>
    <w:p w14:paraId="6C5B6511" w14:textId="77777777" w:rsidR="00447423" w:rsidRPr="002A3CBE" w:rsidRDefault="00447423" w:rsidP="00447423">
      <w:pPr>
        <w:pStyle w:val="Heading3"/>
        <w:spacing w:before="240"/>
      </w:pPr>
      <w:r w:rsidRPr="002A3CBE">
        <w:t>6.8.5</w:t>
      </w:r>
      <w:r w:rsidRPr="002A3CBE">
        <w:tab/>
        <w:t>Category-specific recalculations</w:t>
      </w:r>
    </w:p>
    <w:p w14:paraId="094124BB" w14:textId="77777777" w:rsidR="00447423" w:rsidRPr="002A3CBE" w:rsidRDefault="00447423" w:rsidP="00447423">
      <w:pPr>
        <w:pStyle w:val="BodyText"/>
        <w:spacing w:before="100" w:after="100"/>
      </w:pPr>
      <w:r w:rsidRPr="002A3CBE">
        <w:rPr>
          <w:spacing w:val="-2"/>
        </w:rPr>
        <w:t xml:space="preserve">Recalculations were carried out for this category (table 6.8.3). Recalculations in the </w:t>
      </w:r>
      <w:r w:rsidRPr="002A3CBE">
        <w:rPr>
          <w:i/>
          <w:spacing w:val="-2"/>
        </w:rPr>
        <w:t>Settlements</w:t>
      </w:r>
      <w:r w:rsidRPr="002A3CBE">
        <w:t xml:space="preserve"> category are largely due to emissions associated with small mapping changes to the areas of deforestation that have been converted to </w:t>
      </w:r>
      <w:r w:rsidRPr="002A3CBE">
        <w:rPr>
          <w:i/>
        </w:rPr>
        <w:t xml:space="preserve">Settlements </w:t>
      </w:r>
      <w:r w:rsidRPr="002A3CBE">
        <w:rPr>
          <w:iCs/>
        </w:rPr>
        <w:t xml:space="preserve">as well as </w:t>
      </w:r>
      <w:r w:rsidRPr="002A3CBE">
        <w:t xml:space="preserve">the introduction of the 2020 land use map. </w:t>
      </w:r>
    </w:p>
    <w:p w14:paraId="232ACE9C" w14:textId="77777777" w:rsidR="00447423" w:rsidRPr="002A3CBE" w:rsidRDefault="00447423" w:rsidP="00447423">
      <w:pPr>
        <w:pStyle w:val="Table"/>
      </w:pPr>
      <w:bookmarkStart w:id="2732" w:name="_Toc342470792"/>
      <w:bookmarkStart w:id="2733" w:name="_Toc352505032"/>
      <w:bookmarkStart w:id="2734" w:name="_Toc378853321"/>
      <w:bookmarkStart w:id="2735" w:name="_Toc391024119"/>
      <w:bookmarkStart w:id="2736" w:name="_Toc410028861"/>
      <w:bookmarkStart w:id="2737" w:name="_Toc414531489"/>
      <w:bookmarkStart w:id="2738" w:name="_Toc443645402"/>
      <w:bookmarkStart w:id="2739" w:name="_Toc474914621"/>
      <w:bookmarkStart w:id="2740" w:name="_Toc481751585"/>
      <w:bookmarkStart w:id="2741" w:name="_Toc522010642"/>
      <w:bookmarkStart w:id="2742" w:name="_Toc5269547"/>
      <w:bookmarkStart w:id="2743" w:name="_Toc33529421"/>
      <w:bookmarkStart w:id="2744" w:name="_Toc36224627"/>
      <w:bookmarkStart w:id="2745" w:name="_Toc131591421"/>
      <w:bookmarkStart w:id="2746" w:name="_Toc158979979"/>
      <w:bookmarkStart w:id="2747" w:name="_Toc164153912"/>
      <w:bookmarkStart w:id="2748" w:name="_Toc190873146"/>
      <w:bookmarkStart w:id="2749" w:name="_Toc194241785"/>
      <w:bookmarkStart w:id="2750" w:name="_Toc222837936"/>
      <w:bookmarkStart w:id="2751" w:name="_Toc226669082"/>
      <w:r w:rsidRPr="002A3CBE">
        <w:t>Table 6.8.3</w:t>
      </w:r>
      <w:r w:rsidRPr="002A3CBE">
        <w:tab/>
        <w:t xml:space="preserve">Recalculations for New Zealand’s net emissions from the </w:t>
      </w:r>
      <w:r w:rsidRPr="002A3CBE">
        <w:rPr>
          <w:i/>
        </w:rPr>
        <w:t>Settlements</w:t>
      </w:r>
      <w:r w:rsidRPr="002A3CBE">
        <w:t xml:space="preserve"> category in 1990 and</w:t>
      </w:r>
      <w:bookmarkEnd w:id="2732"/>
      <w:bookmarkEnd w:id="2733"/>
      <w:bookmarkEnd w:id="2734"/>
      <w:bookmarkEnd w:id="2735"/>
      <w:r w:rsidRPr="002A3CBE">
        <w:t> </w:t>
      </w:r>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r w:rsidRPr="002A3CBE">
        <w:t>2023</w:t>
      </w:r>
      <w:bookmarkEnd w:id="2750"/>
      <w:bookmarkEnd w:id="2751"/>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1985"/>
        <w:gridCol w:w="1417"/>
        <w:gridCol w:w="1418"/>
        <w:gridCol w:w="2410"/>
        <w:gridCol w:w="1275"/>
      </w:tblGrid>
      <w:tr w:rsidR="00447423" w:rsidRPr="002A3CBE" w14:paraId="76BF69F8" w14:textId="77777777" w:rsidTr="00F16E23">
        <w:trPr>
          <w:tblHeader/>
        </w:trPr>
        <w:tc>
          <w:tcPr>
            <w:tcW w:w="1985" w:type="dxa"/>
            <w:shd w:val="clear" w:color="auto" w:fill="1B556B"/>
            <w:tcMar>
              <w:top w:w="0" w:type="dxa"/>
              <w:left w:w="85" w:type="dxa"/>
              <w:bottom w:w="0" w:type="dxa"/>
              <w:right w:w="85" w:type="dxa"/>
            </w:tcMar>
            <w:vAlign w:val="center"/>
          </w:tcPr>
          <w:p w14:paraId="3C4504BF" w14:textId="77777777" w:rsidR="00447423" w:rsidRPr="002A3CBE" w:rsidRDefault="00447423" w:rsidP="00F16E23">
            <w:pPr>
              <w:pStyle w:val="TableTextBold"/>
              <w:spacing w:before="30" w:after="30"/>
              <w:rPr>
                <w:rFonts w:eastAsia="Calibri"/>
                <w:noProof w:val="0"/>
                <w:color w:val="FFFFFF" w:themeColor="background1"/>
              </w:rPr>
            </w:pPr>
          </w:p>
        </w:tc>
        <w:tc>
          <w:tcPr>
            <w:tcW w:w="1417" w:type="dxa"/>
            <w:shd w:val="clear" w:color="auto" w:fill="1B556B"/>
            <w:tcMar>
              <w:top w:w="0" w:type="dxa"/>
              <w:left w:w="85" w:type="dxa"/>
              <w:bottom w:w="0" w:type="dxa"/>
              <w:right w:w="85" w:type="dxa"/>
            </w:tcMar>
            <w:vAlign w:val="center"/>
          </w:tcPr>
          <w:p w14:paraId="3ED3F791"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2025 submission</w:t>
            </w:r>
          </w:p>
        </w:tc>
        <w:tc>
          <w:tcPr>
            <w:tcW w:w="1418" w:type="dxa"/>
            <w:shd w:val="clear" w:color="auto" w:fill="1B556B"/>
            <w:tcMar>
              <w:top w:w="0" w:type="dxa"/>
              <w:left w:w="85" w:type="dxa"/>
              <w:bottom w:w="0" w:type="dxa"/>
              <w:right w:w="85" w:type="dxa"/>
            </w:tcMar>
            <w:vAlign w:val="center"/>
          </w:tcPr>
          <w:p w14:paraId="64CD49E5"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2026 submission</w:t>
            </w:r>
          </w:p>
        </w:tc>
        <w:tc>
          <w:tcPr>
            <w:tcW w:w="2410" w:type="dxa"/>
            <w:shd w:val="clear" w:color="auto" w:fill="1B556B"/>
            <w:tcMar>
              <w:top w:w="0" w:type="dxa"/>
              <w:left w:w="85" w:type="dxa"/>
              <w:bottom w:w="0" w:type="dxa"/>
              <w:right w:w="85" w:type="dxa"/>
            </w:tcMar>
            <w:vAlign w:val="center"/>
          </w:tcPr>
          <w:p w14:paraId="3298B653"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Change from 2025 submission</w:t>
            </w:r>
          </w:p>
        </w:tc>
        <w:tc>
          <w:tcPr>
            <w:tcW w:w="1275" w:type="dxa"/>
            <w:shd w:val="clear" w:color="auto" w:fill="1B556B"/>
            <w:tcMar>
              <w:top w:w="0" w:type="dxa"/>
              <w:left w:w="85" w:type="dxa"/>
              <w:bottom w:w="0" w:type="dxa"/>
              <w:right w:w="85" w:type="dxa"/>
            </w:tcMar>
            <w:vAlign w:val="center"/>
          </w:tcPr>
          <w:p w14:paraId="279769B7" w14:textId="77777777" w:rsidR="00447423" w:rsidRPr="002A3CBE" w:rsidRDefault="00447423" w:rsidP="00F16E23">
            <w:pPr>
              <w:pStyle w:val="TableTextBold"/>
              <w:spacing w:before="30" w:after="30"/>
              <w:jc w:val="right"/>
              <w:rPr>
                <w:rFonts w:eastAsia="Calibri"/>
                <w:noProof w:val="0"/>
                <w:color w:val="FFFFFF" w:themeColor="background1"/>
              </w:rPr>
            </w:pPr>
            <w:r w:rsidRPr="002A3CBE">
              <w:rPr>
                <w:rFonts w:eastAsia="Calibri"/>
                <w:noProof w:val="0"/>
                <w:color w:val="FFFFFF" w:themeColor="background1"/>
              </w:rPr>
              <w:t>Change (%)</w:t>
            </w:r>
          </w:p>
        </w:tc>
      </w:tr>
      <w:tr w:rsidR="00447423" w:rsidRPr="002A3CBE" w14:paraId="3DDBA079" w14:textId="77777777" w:rsidTr="00F16E23">
        <w:tc>
          <w:tcPr>
            <w:tcW w:w="1985" w:type="dxa"/>
            <w:shd w:val="clear" w:color="auto" w:fill="FFFFFF"/>
            <w:tcMar>
              <w:top w:w="0" w:type="dxa"/>
              <w:left w:w="85" w:type="dxa"/>
              <w:bottom w:w="0" w:type="dxa"/>
              <w:right w:w="85" w:type="dxa"/>
            </w:tcMar>
            <w:vAlign w:val="center"/>
          </w:tcPr>
          <w:p w14:paraId="28513CCA" w14:textId="77777777" w:rsidR="00447423" w:rsidRPr="002A3CBE" w:rsidRDefault="00447423" w:rsidP="00F16E23">
            <w:pPr>
              <w:pStyle w:val="Tableboldblue"/>
              <w:spacing w:before="30" w:after="30"/>
              <w:rPr>
                <w:rFonts w:eastAsia="Calibri"/>
              </w:rPr>
            </w:pPr>
            <w:r w:rsidRPr="002A3CBE">
              <w:rPr>
                <w:rFonts w:eastAsia="Calibri"/>
              </w:rPr>
              <w:t>Net emissions (kt CO</w:t>
            </w:r>
            <w:r w:rsidRPr="002A3CBE">
              <w:rPr>
                <w:rFonts w:eastAsia="Calibri"/>
                <w:vertAlign w:val="subscript"/>
              </w:rPr>
              <w:t>2</w:t>
            </w:r>
            <w:r w:rsidRPr="002A3CBE">
              <w:rPr>
                <w:rFonts w:eastAsia="Calibri"/>
              </w:rPr>
              <w:t>e)</w:t>
            </w:r>
          </w:p>
        </w:tc>
        <w:tc>
          <w:tcPr>
            <w:tcW w:w="1417" w:type="dxa"/>
            <w:shd w:val="clear" w:color="auto" w:fill="FFFFFF"/>
            <w:tcMar>
              <w:top w:w="0" w:type="dxa"/>
              <w:left w:w="85" w:type="dxa"/>
              <w:bottom w:w="0" w:type="dxa"/>
              <w:right w:w="85" w:type="dxa"/>
            </w:tcMar>
            <w:vAlign w:val="center"/>
          </w:tcPr>
          <w:p w14:paraId="4F95E839" w14:textId="77777777" w:rsidR="00447423" w:rsidRPr="002A3CBE" w:rsidRDefault="00447423" w:rsidP="00F16E23">
            <w:pPr>
              <w:pStyle w:val="Tableboldblue"/>
              <w:spacing w:before="30" w:after="30"/>
              <w:rPr>
                <w:rFonts w:eastAsia="Calibri"/>
              </w:rPr>
            </w:pPr>
          </w:p>
        </w:tc>
        <w:tc>
          <w:tcPr>
            <w:tcW w:w="1418" w:type="dxa"/>
            <w:shd w:val="clear" w:color="auto" w:fill="FFFFFF"/>
            <w:tcMar>
              <w:top w:w="0" w:type="dxa"/>
              <w:left w:w="85" w:type="dxa"/>
              <w:bottom w:w="0" w:type="dxa"/>
              <w:right w:w="85" w:type="dxa"/>
            </w:tcMar>
            <w:vAlign w:val="center"/>
          </w:tcPr>
          <w:p w14:paraId="44FAC08D" w14:textId="77777777" w:rsidR="00447423" w:rsidRPr="002A3CBE" w:rsidRDefault="00447423" w:rsidP="00F16E23">
            <w:pPr>
              <w:pStyle w:val="Tableboldblue"/>
              <w:spacing w:before="30" w:after="30"/>
              <w:rPr>
                <w:rFonts w:eastAsia="Calibri"/>
              </w:rPr>
            </w:pPr>
          </w:p>
        </w:tc>
        <w:tc>
          <w:tcPr>
            <w:tcW w:w="2410" w:type="dxa"/>
            <w:shd w:val="clear" w:color="auto" w:fill="FFFFFF"/>
            <w:tcMar>
              <w:top w:w="0" w:type="dxa"/>
              <w:left w:w="85" w:type="dxa"/>
              <w:bottom w:w="0" w:type="dxa"/>
              <w:right w:w="85" w:type="dxa"/>
            </w:tcMar>
            <w:vAlign w:val="center"/>
          </w:tcPr>
          <w:p w14:paraId="62B9C600" w14:textId="77777777" w:rsidR="00447423" w:rsidRPr="002A3CBE" w:rsidRDefault="00447423" w:rsidP="00F16E23">
            <w:pPr>
              <w:pStyle w:val="Tableboldblue"/>
              <w:spacing w:before="30" w:after="30"/>
              <w:rPr>
                <w:rFonts w:eastAsia="Calibri"/>
              </w:rPr>
            </w:pPr>
          </w:p>
        </w:tc>
        <w:tc>
          <w:tcPr>
            <w:tcW w:w="1275" w:type="dxa"/>
            <w:shd w:val="clear" w:color="auto" w:fill="FFFFFF"/>
            <w:tcMar>
              <w:top w:w="0" w:type="dxa"/>
              <w:left w:w="85" w:type="dxa"/>
              <w:bottom w:w="0" w:type="dxa"/>
              <w:right w:w="85" w:type="dxa"/>
            </w:tcMar>
            <w:vAlign w:val="center"/>
          </w:tcPr>
          <w:p w14:paraId="0BEDD39B" w14:textId="77777777" w:rsidR="00447423" w:rsidRPr="002A3CBE" w:rsidRDefault="00447423" w:rsidP="00F16E23">
            <w:pPr>
              <w:pStyle w:val="Tableboldblue"/>
              <w:spacing w:before="30" w:after="30"/>
              <w:rPr>
                <w:rFonts w:eastAsia="Calibri"/>
              </w:rPr>
            </w:pPr>
          </w:p>
        </w:tc>
      </w:tr>
      <w:tr w:rsidR="00447423" w:rsidRPr="002A3CBE" w14:paraId="1839F7F9" w14:textId="77777777" w:rsidTr="00F16E23">
        <w:tc>
          <w:tcPr>
            <w:tcW w:w="1985" w:type="dxa"/>
            <w:shd w:val="clear" w:color="auto" w:fill="FFFFFF"/>
            <w:tcMar>
              <w:top w:w="0" w:type="dxa"/>
              <w:left w:w="85" w:type="dxa"/>
              <w:bottom w:w="0" w:type="dxa"/>
              <w:right w:w="85" w:type="dxa"/>
            </w:tcMar>
            <w:vAlign w:val="center"/>
          </w:tcPr>
          <w:p w14:paraId="2DA82085" w14:textId="77777777" w:rsidR="00447423" w:rsidRPr="002A3CBE" w:rsidRDefault="00447423" w:rsidP="00F16E23">
            <w:pPr>
              <w:pStyle w:val="TableText"/>
              <w:spacing w:before="30" w:after="30"/>
              <w:rPr>
                <w:rFonts w:eastAsia="Calibri"/>
              </w:rPr>
            </w:pPr>
            <w:r w:rsidRPr="002A3CBE">
              <w:rPr>
                <w:rFonts w:eastAsia="Calibri"/>
              </w:rPr>
              <w:t>1990</w:t>
            </w:r>
          </w:p>
        </w:tc>
        <w:tc>
          <w:tcPr>
            <w:tcW w:w="1417" w:type="dxa"/>
            <w:shd w:val="clear" w:color="auto" w:fill="FFFFFF"/>
            <w:tcMar>
              <w:top w:w="0" w:type="dxa"/>
              <w:left w:w="85" w:type="dxa"/>
              <w:bottom w:w="0" w:type="dxa"/>
              <w:right w:w="85" w:type="dxa"/>
            </w:tcMar>
            <w:vAlign w:val="center"/>
          </w:tcPr>
          <w:p w14:paraId="25F44AA3" w14:textId="77777777" w:rsidR="00447423" w:rsidRPr="002A3CBE" w:rsidRDefault="00447423" w:rsidP="00F16E23">
            <w:pPr>
              <w:pStyle w:val="TableText"/>
              <w:spacing w:before="30" w:after="30"/>
              <w:jc w:val="right"/>
              <w:rPr>
                <w:rFonts w:eastAsia="Calibri"/>
              </w:rPr>
            </w:pPr>
            <w:r w:rsidRPr="002A3CBE">
              <w:rPr>
                <w:rFonts w:eastAsia="Calibri"/>
              </w:rPr>
              <w:t>78.5</w:t>
            </w:r>
          </w:p>
        </w:tc>
        <w:tc>
          <w:tcPr>
            <w:tcW w:w="1418" w:type="dxa"/>
            <w:shd w:val="clear" w:color="auto" w:fill="FFFFFF"/>
            <w:tcMar>
              <w:top w:w="0" w:type="dxa"/>
              <w:left w:w="85" w:type="dxa"/>
              <w:bottom w:w="0" w:type="dxa"/>
              <w:right w:w="85" w:type="dxa"/>
            </w:tcMar>
            <w:vAlign w:val="center"/>
          </w:tcPr>
          <w:p w14:paraId="27E00B29" w14:textId="77777777" w:rsidR="00447423" w:rsidRPr="002A3CBE" w:rsidRDefault="00447423" w:rsidP="00F16E23">
            <w:pPr>
              <w:pStyle w:val="TableText"/>
              <w:spacing w:before="30" w:after="30"/>
              <w:jc w:val="right"/>
              <w:rPr>
                <w:rFonts w:eastAsia="Calibri"/>
              </w:rPr>
            </w:pPr>
            <w:r w:rsidRPr="002A3CBE">
              <w:rPr>
                <w:rFonts w:eastAsia="Calibri"/>
              </w:rPr>
              <w:t>69.8</w:t>
            </w:r>
          </w:p>
        </w:tc>
        <w:tc>
          <w:tcPr>
            <w:tcW w:w="2410" w:type="dxa"/>
            <w:shd w:val="clear" w:color="auto" w:fill="FFFFFF"/>
            <w:tcMar>
              <w:top w:w="0" w:type="dxa"/>
              <w:left w:w="85" w:type="dxa"/>
              <w:bottom w:w="0" w:type="dxa"/>
              <w:right w:w="85" w:type="dxa"/>
            </w:tcMar>
            <w:vAlign w:val="center"/>
          </w:tcPr>
          <w:p w14:paraId="5918E35C" w14:textId="77777777" w:rsidR="00447423" w:rsidRPr="002A3CBE" w:rsidRDefault="00447423" w:rsidP="00F16E23">
            <w:pPr>
              <w:pStyle w:val="TableText"/>
              <w:spacing w:before="30" w:after="30"/>
              <w:jc w:val="right"/>
              <w:rPr>
                <w:rFonts w:eastAsia="Calibri"/>
              </w:rPr>
            </w:pPr>
            <w:r w:rsidRPr="002A3CBE">
              <w:rPr>
                <w:rFonts w:eastAsia="Calibri"/>
              </w:rPr>
              <w:t>-8.7</w:t>
            </w:r>
          </w:p>
        </w:tc>
        <w:tc>
          <w:tcPr>
            <w:tcW w:w="1275" w:type="dxa"/>
            <w:shd w:val="clear" w:color="auto" w:fill="FFFFFF"/>
            <w:tcMar>
              <w:top w:w="0" w:type="dxa"/>
              <w:left w:w="85" w:type="dxa"/>
              <w:bottom w:w="0" w:type="dxa"/>
              <w:right w:w="85" w:type="dxa"/>
            </w:tcMar>
            <w:vAlign w:val="center"/>
          </w:tcPr>
          <w:p w14:paraId="2AD7147E" w14:textId="77777777" w:rsidR="00447423" w:rsidRPr="002A3CBE" w:rsidRDefault="00447423" w:rsidP="00F16E23">
            <w:pPr>
              <w:pStyle w:val="TableText"/>
              <w:spacing w:before="30" w:after="30"/>
              <w:jc w:val="right"/>
              <w:rPr>
                <w:rFonts w:eastAsia="Calibri"/>
              </w:rPr>
            </w:pPr>
            <w:r w:rsidRPr="002A3CBE">
              <w:rPr>
                <w:rFonts w:eastAsia="Calibri"/>
              </w:rPr>
              <w:t>-11.1</w:t>
            </w:r>
          </w:p>
        </w:tc>
      </w:tr>
      <w:tr w:rsidR="00447423" w:rsidRPr="002A3CBE" w14:paraId="38201A12" w14:textId="77777777" w:rsidTr="00F16E23">
        <w:tc>
          <w:tcPr>
            <w:tcW w:w="1985" w:type="dxa"/>
            <w:shd w:val="clear" w:color="auto" w:fill="FFFFFF"/>
            <w:tcMar>
              <w:top w:w="0" w:type="dxa"/>
              <w:left w:w="85" w:type="dxa"/>
              <w:bottom w:w="0" w:type="dxa"/>
              <w:right w:w="85" w:type="dxa"/>
            </w:tcMar>
            <w:vAlign w:val="center"/>
          </w:tcPr>
          <w:p w14:paraId="02EAC8E7" w14:textId="77777777" w:rsidR="00447423" w:rsidRPr="002A3CBE" w:rsidRDefault="00447423" w:rsidP="00F16E23">
            <w:pPr>
              <w:pStyle w:val="TableText"/>
              <w:spacing w:before="30" w:after="30"/>
              <w:rPr>
                <w:rFonts w:eastAsia="Calibri"/>
              </w:rPr>
            </w:pPr>
            <w:r w:rsidRPr="002A3CBE">
              <w:rPr>
                <w:rFonts w:eastAsia="Calibri"/>
              </w:rPr>
              <w:t>2023</w:t>
            </w:r>
          </w:p>
        </w:tc>
        <w:tc>
          <w:tcPr>
            <w:tcW w:w="1417" w:type="dxa"/>
            <w:shd w:val="clear" w:color="auto" w:fill="FFFFFF"/>
            <w:tcMar>
              <w:top w:w="0" w:type="dxa"/>
              <w:left w:w="85" w:type="dxa"/>
              <w:bottom w:w="0" w:type="dxa"/>
              <w:right w:w="85" w:type="dxa"/>
            </w:tcMar>
            <w:vAlign w:val="center"/>
          </w:tcPr>
          <w:p w14:paraId="0429F74D" w14:textId="77777777" w:rsidR="00447423" w:rsidRPr="002A3CBE" w:rsidRDefault="00447423" w:rsidP="00F16E23">
            <w:pPr>
              <w:pStyle w:val="TableText"/>
              <w:spacing w:before="30" w:after="30"/>
              <w:jc w:val="right"/>
              <w:rPr>
                <w:rFonts w:eastAsia="Calibri"/>
              </w:rPr>
            </w:pPr>
            <w:r w:rsidRPr="002A3CBE">
              <w:rPr>
                <w:rFonts w:eastAsia="Calibri"/>
              </w:rPr>
              <w:t>119.3</w:t>
            </w:r>
          </w:p>
        </w:tc>
        <w:tc>
          <w:tcPr>
            <w:tcW w:w="1418" w:type="dxa"/>
            <w:shd w:val="clear" w:color="auto" w:fill="FFFFFF"/>
            <w:tcMar>
              <w:top w:w="0" w:type="dxa"/>
              <w:left w:w="85" w:type="dxa"/>
              <w:bottom w:w="0" w:type="dxa"/>
              <w:right w:w="85" w:type="dxa"/>
            </w:tcMar>
            <w:vAlign w:val="center"/>
          </w:tcPr>
          <w:p w14:paraId="5900ECFC" w14:textId="77777777" w:rsidR="00447423" w:rsidRPr="002A3CBE" w:rsidRDefault="00447423" w:rsidP="00F16E23">
            <w:pPr>
              <w:pStyle w:val="TableText"/>
              <w:spacing w:before="30" w:after="30"/>
              <w:jc w:val="right"/>
              <w:rPr>
                <w:rFonts w:eastAsia="Calibri"/>
              </w:rPr>
            </w:pPr>
            <w:r w:rsidRPr="002A3CBE">
              <w:rPr>
                <w:rFonts w:eastAsia="Calibri"/>
              </w:rPr>
              <w:t>115.8</w:t>
            </w:r>
          </w:p>
        </w:tc>
        <w:tc>
          <w:tcPr>
            <w:tcW w:w="2410" w:type="dxa"/>
            <w:shd w:val="clear" w:color="auto" w:fill="FFFFFF"/>
            <w:tcMar>
              <w:top w:w="0" w:type="dxa"/>
              <w:left w:w="85" w:type="dxa"/>
              <w:bottom w:w="0" w:type="dxa"/>
              <w:right w:w="85" w:type="dxa"/>
            </w:tcMar>
            <w:vAlign w:val="center"/>
          </w:tcPr>
          <w:p w14:paraId="1390703C" w14:textId="77777777" w:rsidR="00447423" w:rsidRPr="002A3CBE" w:rsidRDefault="00447423" w:rsidP="00F16E23">
            <w:pPr>
              <w:pStyle w:val="TableText"/>
              <w:spacing w:before="30" w:after="30"/>
              <w:jc w:val="right"/>
              <w:rPr>
                <w:rFonts w:eastAsia="Calibri"/>
              </w:rPr>
            </w:pPr>
            <w:r w:rsidRPr="002A3CBE">
              <w:rPr>
                <w:rFonts w:eastAsia="Calibri"/>
              </w:rPr>
              <w:t>-3.4</w:t>
            </w:r>
          </w:p>
        </w:tc>
        <w:tc>
          <w:tcPr>
            <w:tcW w:w="1275" w:type="dxa"/>
            <w:shd w:val="clear" w:color="auto" w:fill="FFFFFF"/>
            <w:tcMar>
              <w:top w:w="0" w:type="dxa"/>
              <w:left w:w="85" w:type="dxa"/>
              <w:bottom w:w="0" w:type="dxa"/>
              <w:right w:w="85" w:type="dxa"/>
            </w:tcMar>
            <w:vAlign w:val="center"/>
          </w:tcPr>
          <w:p w14:paraId="272E592F" w14:textId="77777777" w:rsidR="00447423" w:rsidRPr="002A3CBE" w:rsidRDefault="00447423" w:rsidP="00F16E23">
            <w:pPr>
              <w:pStyle w:val="TableText"/>
              <w:spacing w:before="30" w:after="30"/>
              <w:jc w:val="right"/>
              <w:rPr>
                <w:rFonts w:eastAsia="Calibri"/>
              </w:rPr>
            </w:pPr>
            <w:r w:rsidRPr="002A3CBE">
              <w:rPr>
                <w:rFonts w:eastAsia="Calibri"/>
              </w:rPr>
              <w:t>-2.9</w:t>
            </w:r>
          </w:p>
        </w:tc>
      </w:tr>
      <w:tr w:rsidR="00447423" w:rsidRPr="002A3CBE" w14:paraId="0F25CE75" w14:textId="77777777" w:rsidTr="00F16E23">
        <w:tc>
          <w:tcPr>
            <w:tcW w:w="1985" w:type="dxa"/>
            <w:shd w:val="clear" w:color="auto" w:fill="FFFFFF"/>
            <w:tcMar>
              <w:top w:w="0" w:type="dxa"/>
              <w:left w:w="85" w:type="dxa"/>
              <w:bottom w:w="0" w:type="dxa"/>
              <w:right w:w="85" w:type="dxa"/>
            </w:tcMar>
            <w:vAlign w:val="center"/>
          </w:tcPr>
          <w:p w14:paraId="4294EEA5" w14:textId="77777777" w:rsidR="00447423" w:rsidRPr="002A3CBE" w:rsidRDefault="00447423" w:rsidP="00F16E23">
            <w:pPr>
              <w:pStyle w:val="Tableboldblue"/>
              <w:spacing w:before="30" w:after="30"/>
              <w:rPr>
                <w:rFonts w:eastAsia="Calibri"/>
              </w:rPr>
            </w:pPr>
            <w:r w:rsidRPr="002A3CBE">
              <w:rPr>
                <w:rFonts w:eastAsia="Calibri"/>
              </w:rPr>
              <w:t>Area (hectares)</w:t>
            </w:r>
          </w:p>
        </w:tc>
        <w:tc>
          <w:tcPr>
            <w:tcW w:w="1417" w:type="dxa"/>
            <w:shd w:val="clear" w:color="auto" w:fill="FFFFFF"/>
            <w:tcMar>
              <w:top w:w="0" w:type="dxa"/>
              <w:left w:w="85" w:type="dxa"/>
              <w:bottom w:w="0" w:type="dxa"/>
              <w:right w:w="85" w:type="dxa"/>
            </w:tcMar>
            <w:vAlign w:val="center"/>
          </w:tcPr>
          <w:p w14:paraId="6693FC11" w14:textId="77777777" w:rsidR="00447423" w:rsidRPr="002A3CBE" w:rsidRDefault="00447423" w:rsidP="00F16E23">
            <w:pPr>
              <w:pStyle w:val="Tableboldblue"/>
              <w:spacing w:before="30" w:after="30"/>
              <w:jc w:val="right"/>
              <w:rPr>
                <w:rFonts w:eastAsia="Calibri"/>
              </w:rPr>
            </w:pPr>
          </w:p>
        </w:tc>
        <w:tc>
          <w:tcPr>
            <w:tcW w:w="1418" w:type="dxa"/>
            <w:shd w:val="clear" w:color="auto" w:fill="FFFFFF"/>
            <w:tcMar>
              <w:top w:w="0" w:type="dxa"/>
              <w:left w:w="85" w:type="dxa"/>
              <w:bottom w:w="0" w:type="dxa"/>
              <w:right w:w="85" w:type="dxa"/>
            </w:tcMar>
            <w:vAlign w:val="center"/>
          </w:tcPr>
          <w:p w14:paraId="563A06FE" w14:textId="77777777" w:rsidR="00447423" w:rsidRPr="002A3CBE" w:rsidRDefault="00447423" w:rsidP="00F16E23">
            <w:pPr>
              <w:pStyle w:val="Tableboldblue"/>
              <w:spacing w:before="30" w:after="30"/>
              <w:jc w:val="right"/>
              <w:rPr>
                <w:rFonts w:eastAsia="Calibri"/>
              </w:rPr>
            </w:pPr>
          </w:p>
        </w:tc>
        <w:tc>
          <w:tcPr>
            <w:tcW w:w="2410" w:type="dxa"/>
            <w:shd w:val="clear" w:color="auto" w:fill="FFFFFF"/>
            <w:tcMar>
              <w:top w:w="0" w:type="dxa"/>
              <w:left w:w="85" w:type="dxa"/>
              <w:bottom w:w="0" w:type="dxa"/>
              <w:right w:w="85" w:type="dxa"/>
            </w:tcMar>
            <w:vAlign w:val="center"/>
          </w:tcPr>
          <w:p w14:paraId="0B2B30EB" w14:textId="77777777" w:rsidR="00447423" w:rsidRPr="002A3CBE" w:rsidRDefault="00447423" w:rsidP="00F16E23">
            <w:pPr>
              <w:pStyle w:val="Tableboldblue"/>
              <w:spacing w:before="30" w:after="30"/>
              <w:jc w:val="right"/>
              <w:rPr>
                <w:rFonts w:eastAsia="Calibri"/>
              </w:rPr>
            </w:pPr>
          </w:p>
        </w:tc>
        <w:tc>
          <w:tcPr>
            <w:tcW w:w="1275" w:type="dxa"/>
            <w:shd w:val="clear" w:color="auto" w:fill="FFFFFF"/>
            <w:tcMar>
              <w:top w:w="0" w:type="dxa"/>
              <w:left w:w="85" w:type="dxa"/>
              <w:bottom w:w="0" w:type="dxa"/>
              <w:right w:w="85" w:type="dxa"/>
            </w:tcMar>
            <w:vAlign w:val="center"/>
          </w:tcPr>
          <w:p w14:paraId="13005767" w14:textId="77777777" w:rsidR="00447423" w:rsidRPr="002A3CBE" w:rsidRDefault="00447423" w:rsidP="00F16E23">
            <w:pPr>
              <w:pStyle w:val="Tableboldblue"/>
              <w:spacing w:before="30" w:after="30"/>
              <w:jc w:val="right"/>
              <w:rPr>
                <w:rFonts w:eastAsia="Calibri"/>
              </w:rPr>
            </w:pPr>
          </w:p>
        </w:tc>
      </w:tr>
      <w:tr w:rsidR="00447423" w:rsidRPr="002A3CBE" w14:paraId="23F5EFA3" w14:textId="77777777" w:rsidTr="00F16E23">
        <w:tc>
          <w:tcPr>
            <w:tcW w:w="1985" w:type="dxa"/>
            <w:shd w:val="clear" w:color="auto" w:fill="FFFFFF"/>
            <w:tcMar>
              <w:top w:w="0" w:type="dxa"/>
              <w:left w:w="85" w:type="dxa"/>
              <w:bottom w:w="0" w:type="dxa"/>
              <w:right w:w="85" w:type="dxa"/>
            </w:tcMar>
            <w:vAlign w:val="center"/>
          </w:tcPr>
          <w:p w14:paraId="386E0F48" w14:textId="77777777" w:rsidR="00447423" w:rsidRPr="002A3CBE" w:rsidRDefault="00447423" w:rsidP="00F16E23">
            <w:pPr>
              <w:pStyle w:val="TableText"/>
              <w:spacing w:before="30" w:after="30"/>
              <w:rPr>
                <w:rFonts w:eastAsia="Calibri"/>
              </w:rPr>
            </w:pPr>
            <w:r w:rsidRPr="002A3CBE">
              <w:rPr>
                <w:rFonts w:eastAsia="Calibri"/>
              </w:rPr>
              <w:t>1990</w:t>
            </w:r>
          </w:p>
        </w:tc>
        <w:tc>
          <w:tcPr>
            <w:tcW w:w="1417" w:type="dxa"/>
            <w:shd w:val="clear" w:color="auto" w:fill="FFFFFF"/>
            <w:tcMar>
              <w:top w:w="0" w:type="dxa"/>
              <w:left w:w="85" w:type="dxa"/>
              <w:bottom w:w="0" w:type="dxa"/>
              <w:right w:w="85" w:type="dxa"/>
            </w:tcMar>
            <w:vAlign w:val="center"/>
          </w:tcPr>
          <w:p w14:paraId="714D2082" w14:textId="77777777" w:rsidR="00447423" w:rsidRPr="002A3CBE" w:rsidRDefault="00447423" w:rsidP="00F16E23">
            <w:pPr>
              <w:pStyle w:val="TableText"/>
              <w:spacing w:before="30" w:after="30"/>
              <w:jc w:val="right"/>
              <w:rPr>
                <w:rFonts w:eastAsia="Calibri"/>
              </w:rPr>
            </w:pPr>
            <w:r w:rsidRPr="002A3CBE">
              <w:rPr>
                <w:rFonts w:eastAsia="Calibri"/>
              </w:rPr>
              <w:t>209,166</w:t>
            </w:r>
          </w:p>
        </w:tc>
        <w:tc>
          <w:tcPr>
            <w:tcW w:w="1418" w:type="dxa"/>
            <w:shd w:val="clear" w:color="auto" w:fill="FFFFFF"/>
            <w:tcMar>
              <w:top w:w="0" w:type="dxa"/>
              <w:left w:w="85" w:type="dxa"/>
              <w:bottom w:w="0" w:type="dxa"/>
              <w:right w:w="85" w:type="dxa"/>
            </w:tcMar>
            <w:vAlign w:val="center"/>
          </w:tcPr>
          <w:p w14:paraId="36E515E3" w14:textId="77777777" w:rsidR="00447423" w:rsidRPr="002A3CBE" w:rsidRDefault="00447423" w:rsidP="00F16E23">
            <w:pPr>
              <w:pStyle w:val="TableText"/>
              <w:spacing w:before="30" w:after="30"/>
              <w:jc w:val="right"/>
              <w:rPr>
                <w:rFonts w:eastAsia="Calibri"/>
              </w:rPr>
            </w:pPr>
            <w:r w:rsidRPr="002A3CBE">
              <w:rPr>
                <w:rFonts w:eastAsia="Calibri"/>
              </w:rPr>
              <w:t>209,166</w:t>
            </w:r>
          </w:p>
        </w:tc>
        <w:tc>
          <w:tcPr>
            <w:tcW w:w="2410" w:type="dxa"/>
            <w:shd w:val="clear" w:color="auto" w:fill="FFFFFF"/>
            <w:tcMar>
              <w:top w:w="0" w:type="dxa"/>
              <w:left w:w="85" w:type="dxa"/>
              <w:bottom w:w="0" w:type="dxa"/>
              <w:right w:w="85" w:type="dxa"/>
            </w:tcMar>
            <w:vAlign w:val="center"/>
          </w:tcPr>
          <w:p w14:paraId="0D856648" w14:textId="77777777" w:rsidR="00447423" w:rsidRPr="002A3CBE" w:rsidRDefault="00447423" w:rsidP="00F16E23">
            <w:pPr>
              <w:pStyle w:val="TableText"/>
              <w:spacing w:before="30" w:after="30"/>
              <w:jc w:val="right"/>
              <w:rPr>
                <w:rFonts w:eastAsia="Calibri"/>
              </w:rPr>
            </w:pPr>
            <w:r w:rsidRPr="002A3CBE">
              <w:rPr>
                <w:rFonts w:eastAsia="Calibri"/>
              </w:rPr>
              <w:t>0</w:t>
            </w:r>
          </w:p>
        </w:tc>
        <w:tc>
          <w:tcPr>
            <w:tcW w:w="1275" w:type="dxa"/>
            <w:shd w:val="clear" w:color="auto" w:fill="FFFFFF"/>
            <w:tcMar>
              <w:top w:w="0" w:type="dxa"/>
              <w:left w:w="85" w:type="dxa"/>
              <w:bottom w:w="0" w:type="dxa"/>
              <w:right w:w="85" w:type="dxa"/>
            </w:tcMar>
            <w:vAlign w:val="center"/>
          </w:tcPr>
          <w:p w14:paraId="51B19034" w14:textId="77777777" w:rsidR="00447423" w:rsidRPr="002A3CBE" w:rsidRDefault="00447423" w:rsidP="00F16E23">
            <w:pPr>
              <w:pStyle w:val="TableText"/>
              <w:spacing w:before="30" w:after="30"/>
              <w:jc w:val="right"/>
              <w:rPr>
                <w:rFonts w:eastAsia="Calibri"/>
              </w:rPr>
            </w:pPr>
            <w:r w:rsidRPr="002A3CBE">
              <w:rPr>
                <w:rFonts w:eastAsia="Calibri"/>
              </w:rPr>
              <w:t>0.0</w:t>
            </w:r>
          </w:p>
        </w:tc>
      </w:tr>
      <w:tr w:rsidR="00447423" w:rsidRPr="002A3CBE" w14:paraId="7D53D400" w14:textId="77777777" w:rsidTr="00F16E23">
        <w:tc>
          <w:tcPr>
            <w:tcW w:w="1985" w:type="dxa"/>
            <w:shd w:val="clear" w:color="auto" w:fill="FFFFFF"/>
            <w:tcMar>
              <w:top w:w="0" w:type="dxa"/>
              <w:left w:w="85" w:type="dxa"/>
              <w:bottom w:w="0" w:type="dxa"/>
              <w:right w:w="85" w:type="dxa"/>
            </w:tcMar>
            <w:vAlign w:val="center"/>
          </w:tcPr>
          <w:p w14:paraId="2CF70467" w14:textId="77777777" w:rsidR="00447423" w:rsidRPr="002A3CBE" w:rsidRDefault="00447423" w:rsidP="00F16E23">
            <w:pPr>
              <w:pStyle w:val="TableText"/>
              <w:spacing w:before="30" w:after="30"/>
              <w:rPr>
                <w:rFonts w:eastAsia="Calibri"/>
              </w:rPr>
            </w:pPr>
            <w:r w:rsidRPr="002A3CBE">
              <w:rPr>
                <w:rFonts w:eastAsia="Calibri"/>
              </w:rPr>
              <w:t>2023</w:t>
            </w:r>
          </w:p>
        </w:tc>
        <w:tc>
          <w:tcPr>
            <w:tcW w:w="1417" w:type="dxa"/>
            <w:shd w:val="clear" w:color="auto" w:fill="FFFFFF"/>
            <w:tcMar>
              <w:top w:w="0" w:type="dxa"/>
              <w:left w:w="85" w:type="dxa"/>
              <w:bottom w:w="0" w:type="dxa"/>
              <w:right w:w="85" w:type="dxa"/>
            </w:tcMar>
            <w:vAlign w:val="center"/>
          </w:tcPr>
          <w:p w14:paraId="1B70A223" w14:textId="77777777" w:rsidR="00447423" w:rsidRPr="002A3CBE" w:rsidRDefault="00447423" w:rsidP="00F16E23">
            <w:pPr>
              <w:pStyle w:val="TableText"/>
              <w:spacing w:before="30" w:after="30"/>
              <w:jc w:val="right"/>
              <w:rPr>
                <w:rFonts w:eastAsia="Calibri"/>
              </w:rPr>
            </w:pPr>
            <w:r w:rsidRPr="002A3CBE">
              <w:rPr>
                <w:rFonts w:eastAsia="Calibri"/>
              </w:rPr>
              <w:t>243,451</w:t>
            </w:r>
          </w:p>
        </w:tc>
        <w:tc>
          <w:tcPr>
            <w:tcW w:w="1418" w:type="dxa"/>
            <w:shd w:val="clear" w:color="auto" w:fill="FFFFFF"/>
            <w:tcMar>
              <w:top w:w="0" w:type="dxa"/>
              <w:left w:w="85" w:type="dxa"/>
              <w:bottom w:w="0" w:type="dxa"/>
              <w:right w:w="85" w:type="dxa"/>
            </w:tcMar>
            <w:vAlign w:val="center"/>
          </w:tcPr>
          <w:p w14:paraId="4B08CD77" w14:textId="77777777" w:rsidR="00447423" w:rsidRPr="002A3CBE" w:rsidRDefault="00447423" w:rsidP="00F16E23">
            <w:pPr>
              <w:pStyle w:val="TableText"/>
              <w:spacing w:before="30" w:after="30"/>
              <w:jc w:val="right"/>
              <w:rPr>
                <w:rFonts w:eastAsia="Calibri"/>
              </w:rPr>
            </w:pPr>
            <w:r w:rsidRPr="002A3CBE">
              <w:rPr>
                <w:rFonts w:eastAsia="Calibri"/>
              </w:rPr>
              <w:t>243,420</w:t>
            </w:r>
          </w:p>
        </w:tc>
        <w:tc>
          <w:tcPr>
            <w:tcW w:w="2410" w:type="dxa"/>
            <w:shd w:val="clear" w:color="auto" w:fill="FFFFFF"/>
            <w:tcMar>
              <w:top w:w="0" w:type="dxa"/>
              <w:left w:w="85" w:type="dxa"/>
              <w:bottom w:w="0" w:type="dxa"/>
              <w:right w:w="85" w:type="dxa"/>
            </w:tcMar>
            <w:vAlign w:val="center"/>
          </w:tcPr>
          <w:p w14:paraId="2BBF2347" w14:textId="77777777" w:rsidR="00447423" w:rsidRPr="002A3CBE" w:rsidRDefault="00447423" w:rsidP="00F16E23">
            <w:pPr>
              <w:pStyle w:val="TableText"/>
              <w:spacing w:before="30" w:after="30"/>
              <w:jc w:val="right"/>
              <w:rPr>
                <w:rFonts w:eastAsia="Calibri"/>
              </w:rPr>
            </w:pPr>
            <w:r w:rsidRPr="002A3CBE">
              <w:rPr>
                <w:rFonts w:eastAsia="Calibri"/>
              </w:rPr>
              <w:t>-31</w:t>
            </w:r>
          </w:p>
        </w:tc>
        <w:tc>
          <w:tcPr>
            <w:tcW w:w="1275" w:type="dxa"/>
            <w:shd w:val="clear" w:color="auto" w:fill="FFFFFF"/>
            <w:tcMar>
              <w:top w:w="0" w:type="dxa"/>
              <w:left w:w="85" w:type="dxa"/>
              <w:bottom w:w="0" w:type="dxa"/>
              <w:right w:w="85" w:type="dxa"/>
            </w:tcMar>
            <w:vAlign w:val="center"/>
          </w:tcPr>
          <w:p w14:paraId="5EB9147C" w14:textId="77777777" w:rsidR="00447423" w:rsidRPr="002A3CBE" w:rsidRDefault="00447423" w:rsidP="00F16E23">
            <w:pPr>
              <w:pStyle w:val="TableText"/>
              <w:spacing w:before="30" w:after="30"/>
              <w:jc w:val="right"/>
              <w:rPr>
                <w:rFonts w:eastAsia="Calibri"/>
              </w:rPr>
            </w:pPr>
            <w:r w:rsidRPr="002A3CBE">
              <w:rPr>
                <w:rFonts w:eastAsia="Calibri"/>
              </w:rPr>
              <w:t>-0.0</w:t>
            </w:r>
          </w:p>
        </w:tc>
      </w:tr>
    </w:tbl>
    <w:p w14:paraId="13F906FA" w14:textId="77777777" w:rsidR="00447423" w:rsidRPr="002A3CBE" w:rsidRDefault="00447423" w:rsidP="00447423">
      <w:pPr>
        <w:pStyle w:val="Heading3"/>
      </w:pPr>
      <w:r w:rsidRPr="002A3CBE">
        <w:t>6.8.6</w:t>
      </w:r>
      <w:r w:rsidRPr="002A3CBE">
        <w:tab/>
        <w:t>Category-specific planned improvements</w:t>
      </w:r>
    </w:p>
    <w:p w14:paraId="538D6BC7" w14:textId="77777777" w:rsidR="00447423" w:rsidRPr="002A3CBE" w:rsidRDefault="00447423" w:rsidP="00447423">
      <w:pPr>
        <w:pStyle w:val="BodyText"/>
        <w:spacing w:before="100" w:after="100"/>
      </w:pPr>
      <w:r w:rsidRPr="002A3CBE">
        <w:t xml:space="preserve">Improvements to the estimation of the carbon stock changes in soil organic carbon on conversion to </w:t>
      </w:r>
      <w:r w:rsidRPr="002A3CBE">
        <w:rPr>
          <w:i/>
          <w:iCs/>
        </w:rPr>
        <w:t>Settlements</w:t>
      </w:r>
      <w:r w:rsidRPr="002A3CBE">
        <w:t xml:space="preserve"> are planned for the 2028 submission. These improvements will be based on mapping of impervious surface areas, which is being completed as part of the development of an urban greenspace indicator for New Zealand. The average proportion of impervious surfaces across New Zealand towns and cities will be used to estimate the soil organic carbon losses resulting from land-use change to </w:t>
      </w:r>
      <w:r w:rsidRPr="002A3CBE">
        <w:rPr>
          <w:i/>
          <w:iCs/>
        </w:rPr>
        <w:t>Settlements</w:t>
      </w:r>
      <w:r w:rsidRPr="002A3CBE">
        <w:t xml:space="preserve">. </w:t>
      </w:r>
    </w:p>
    <w:p w14:paraId="736C8BA7" w14:textId="77777777" w:rsidR="00447423" w:rsidRPr="002A3CBE" w:rsidRDefault="00447423" w:rsidP="00447423">
      <w:pPr>
        <w:pStyle w:val="Heading2"/>
        <w:spacing w:before="240"/>
      </w:pPr>
      <w:bookmarkStart w:id="2752" w:name="_Toc310423457"/>
      <w:bookmarkStart w:id="2753" w:name="_Toc342470723"/>
      <w:bookmarkStart w:id="2754" w:name="_Toc352504875"/>
      <w:bookmarkStart w:id="2755" w:name="_Toc391024705"/>
      <w:bookmarkStart w:id="2756" w:name="_Toc414531322"/>
      <w:bookmarkStart w:id="2757" w:name="_Toc474335464"/>
      <w:bookmarkStart w:id="2758" w:name="_Toc481751404"/>
      <w:bookmarkStart w:id="2759" w:name="_Toc522013956"/>
      <w:bookmarkStart w:id="2760" w:name="_Toc5269381"/>
      <w:bookmarkStart w:id="2761" w:name="_Toc36224421"/>
      <w:bookmarkStart w:id="2762" w:name="_Toc131591255"/>
      <w:bookmarkStart w:id="2763" w:name="_Toc158980302"/>
      <w:bookmarkStart w:id="2764" w:name="_Toc164154210"/>
      <w:bookmarkStart w:id="2765" w:name="_Toc194312035"/>
      <w:bookmarkStart w:id="2766" w:name="_Toc226460789"/>
      <w:r w:rsidRPr="002A3CBE">
        <w:t>6.9</w:t>
      </w:r>
      <w:r w:rsidRPr="002A3CBE">
        <w:tab/>
        <w:t>Other land (4F)</w:t>
      </w:r>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p>
    <w:p w14:paraId="2636881F" w14:textId="77777777" w:rsidR="00447423" w:rsidRPr="002A3CBE" w:rsidRDefault="00447423" w:rsidP="00447423">
      <w:pPr>
        <w:pStyle w:val="Heading3"/>
        <w:spacing w:before="180"/>
      </w:pPr>
      <w:r w:rsidRPr="002A3CBE">
        <w:t>6.9.1</w:t>
      </w:r>
      <w:r w:rsidRPr="002A3CBE">
        <w:tab/>
        <w:t>Description</w:t>
      </w:r>
    </w:p>
    <w:p w14:paraId="1510C9E2" w14:textId="77777777" w:rsidR="00447423" w:rsidRPr="002A3CBE" w:rsidRDefault="00447423" w:rsidP="00447423">
      <w:pPr>
        <w:pStyle w:val="BodyText"/>
        <w:spacing w:before="100" w:after="100"/>
      </w:pPr>
      <w:r w:rsidRPr="002A3CBE">
        <w:t xml:space="preserve">In 2024, the net emissions from </w:t>
      </w:r>
      <w:r w:rsidRPr="002A3CBE">
        <w:rPr>
          <w:i/>
        </w:rPr>
        <w:t>Other land</w:t>
      </w:r>
      <w:r w:rsidRPr="002A3CBE">
        <w:t xml:space="preserve"> were 74.3 kt CO</w:t>
      </w:r>
      <w:r w:rsidRPr="002A3CBE">
        <w:rPr>
          <w:vertAlign w:val="subscript"/>
        </w:rPr>
        <w:t>2</w:t>
      </w:r>
      <w:r w:rsidRPr="002A3CBE">
        <w:t>e (table 6.9.1). This is 59.6 kt CO</w:t>
      </w:r>
      <w:r w:rsidRPr="002A3CBE">
        <w:rPr>
          <w:vertAlign w:val="subscript"/>
        </w:rPr>
        <w:t>2</w:t>
      </w:r>
      <w:r w:rsidRPr="002A3CBE">
        <w:t>e (405.4 percent) higher than the 1990 level of 14.7 kt CO</w:t>
      </w:r>
      <w:r w:rsidRPr="002A3CBE">
        <w:rPr>
          <w:vertAlign w:val="subscript"/>
        </w:rPr>
        <w:t>2</w:t>
      </w:r>
      <w:r w:rsidRPr="002A3CBE">
        <w:t xml:space="preserve">e. The majority of these emissions occur in the </w:t>
      </w:r>
      <w:r w:rsidRPr="002A3CBE">
        <w:rPr>
          <w:i/>
        </w:rPr>
        <w:t>Land converted to other land</w:t>
      </w:r>
      <w:r w:rsidRPr="002A3CBE">
        <w:t xml:space="preserve"> category. This is primarily because the area of land estimated as having been converted to </w:t>
      </w:r>
      <w:r w:rsidRPr="002A3CBE">
        <w:rPr>
          <w:i/>
        </w:rPr>
        <w:t>Other land</w:t>
      </w:r>
      <w:r w:rsidRPr="002A3CBE">
        <w:t xml:space="preserve"> has been steadily increasing since 1990.</w:t>
      </w:r>
    </w:p>
    <w:p w14:paraId="401D948E" w14:textId="77777777" w:rsidR="00447423" w:rsidRPr="002A3CBE" w:rsidRDefault="00447423" w:rsidP="00447423">
      <w:pPr>
        <w:pStyle w:val="BodyText"/>
      </w:pPr>
      <w:r w:rsidRPr="002A3CBE">
        <w:rPr>
          <w:i/>
        </w:rPr>
        <w:t>Other land</w:t>
      </w:r>
      <w:r w:rsidRPr="002A3CBE">
        <w:t xml:space="preserve"> is defined in section 3.2 of the 2006 IPCC Guidelines (IPCC, 2006a) as including bare soil, rock, ice and all land areas that do not fall into any of the other five land use categories. This means this category includes any land that has not been actively classified into one of the other categories. It consists mostly of steep, rocky terrain at high elevation, often covered in snow or ice. This category is 3.3 percent of New Zealand’s total land area.</w:t>
      </w:r>
    </w:p>
    <w:p w14:paraId="49D8E0EE" w14:textId="77777777" w:rsidR="00447423" w:rsidRPr="002A3CBE" w:rsidRDefault="00447423" w:rsidP="00447423">
      <w:pPr>
        <w:pStyle w:val="BodyText"/>
      </w:pPr>
      <w:r w:rsidRPr="002A3CBE">
        <w:t xml:space="preserve">Analysis of the change in area between 1990 and 2024 shows that of the 8,162 hectares converted from </w:t>
      </w:r>
      <w:r w:rsidRPr="002A3CBE">
        <w:rPr>
          <w:i/>
        </w:rPr>
        <w:t>Other land</w:t>
      </w:r>
      <w:r w:rsidRPr="002A3CBE">
        <w:t xml:space="preserve"> to other land use categories, 2,946 hectares were converted to post-1989 planted forest, 687 hectares to post-1989 natural forest and 1,424 hectares to </w:t>
      </w:r>
      <w:r w:rsidRPr="002A3CBE">
        <w:rPr>
          <w:i/>
          <w:iCs/>
        </w:rPr>
        <w:t>Grassland with woody biomass</w:t>
      </w:r>
      <w:r w:rsidRPr="002A3CBE">
        <w:t xml:space="preserve">. </w:t>
      </w:r>
      <w:r w:rsidRPr="002A3CBE">
        <w:rPr>
          <w:i/>
        </w:rPr>
        <w:t>Land converted to other land</w:t>
      </w:r>
      <w:r w:rsidRPr="002A3CBE">
        <w:t xml:space="preserve"> is dominated by quarries, with the largest individual site in the region of Otago measuring approximately 1,400 hectares. Also included in this change are coastal areas where sand dunes have advanced into previously vegetated areas, some areas of new rural roading not associated with settlements, and areas that have been cleared of vegetation but where the future land use is uncertain. In some cases, these uncertain areas undergo a subsequent land-use change to </w:t>
      </w:r>
      <w:r w:rsidRPr="002A3CBE">
        <w:rPr>
          <w:i/>
          <w:iCs/>
        </w:rPr>
        <w:t>Settlements</w:t>
      </w:r>
      <w:r w:rsidRPr="002A3CBE">
        <w:t>.</w:t>
      </w:r>
    </w:p>
    <w:p w14:paraId="2039E008" w14:textId="77777777" w:rsidR="00447423" w:rsidRPr="002A3CBE" w:rsidRDefault="00447423" w:rsidP="00447423">
      <w:pPr>
        <w:pStyle w:val="BodyText"/>
      </w:pPr>
      <w:r w:rsidRPr="002A3CBE">
        <w:t xml:space="preserve">Between 1 January 1990 and 31 December 2024, there were 9,391 hectares of </w:t>
      </w:r>
      <w:r w:rsidRPr="002A3CBE">
        <w:rPr>
          <w:i/>
        </w:rPr>
        <w:t>Land converted to other land</w:t>
      </w:r>
      <w:r w:rsidRPr="002A3CBE">
        <w:t xml:space="preserve">; most (5,895 hectares) of this was from the </w:t>
      </w:r>
      <w:r w:rsidRPr="002A3CBE">
        <w:rPr>
          <w:i/>
        </w:rPr>
        <w:t>Grassland</w:t>
      </w:r>
      <w:r w:rsidRPr="002A3CBE">
        <w:t xml:space="preserve"> categories. This is likely to be mainly due to conversion of </w:t>
      </w:r>
      <w:r w:rsidRPr="002A3CBE">
        <w:rPr>
          <w:i/>
        </w:rPr>
        <w:t>Grassland</w:t>
      </w:r>
      <w:r w:rsidRPr="002A3CBE">
        <w:t xml:space="preserve"> to roads, mines and quarries.</w:t>
      </w:r>
    </w:p>
    <w:p w14:paraId="67545704" w14:textId="77777777" w:rsidR="00447423" w:rsidRPr="002A3CBE" w:rsidRDefault="00447423" w:rsidP="00447423">
      <w:pPr>
        <w:pStyle w:val="BodyText"/>
      </w:pPr>
      <w:r w:rsidRPr="002A3CBE">
        <w:t xml:space="preserve">In 2024, </w:t>
      </w:r>
      <w:r w:rsidRPr="002A3CBE">
        <w:rPr>
          <w:i/>
          <w:iCs/>
        </w:rPr>
        <w:t>Land converted to other land</w:t>
      </w:r>
      <w:r w:rsidRPr="002A3CBE">
        <w:t xml:space="preserve"> was not a key category.</w:t>
      </w:r>
    </w:p>
    <w:p w14:paraId="299B1291" w14:textId="77777777" w:rsidR="00447423" w:rsidRPr="002A3CBE" w:rsidRDefault="00447423" w:rsidP="00447423">
      <w:pPr>
        <w:pStyle w:val="Table"/>
      </w:pPr>
      <w:bookmarkStart w:id="2767" w:name="_Toc342470793"/>
      <w:bookmarkStart w:id="2768" w:name="_Toc352505033"/>
      <w:bookmarkStart w:id="2769" w:name="_Toc378853322"/>
      <w:bookmarkStart w:id="2770" w:name="_Toc391024120"/>
      <w:bookmarkStart w:id="2771" w:name="_Toc410028862"/>
      <w:bookmarkStart w:id="2772" w:name="_Toc414531490"/>
      <w:bookmarkStart w:id="2773" w:name="_Toc443645403"/>
      <w:bookmarkStart w:id="2774" w:name="_Toc474914622"/>
      <w:bookmarkStart w:id="2775" w:name="_Toc481751586"/>
      <w:bookmarkStart w:id="2776" w:name="_Toc522010643"/>
      <w:bookmarkStart w:id="2777" w:name="_Toc5269548"/>
      <w:bookmarkStart w:id="2778" w:name="_Toc33529422"/>
      <w:bookmarkStart w:id="2779" w:name="_Toc36224628"/>
      <w:bookmarkStart w:id="2780" w:name="_Toc131591422"/>
      <w:bookmarkStart w:id="2781" w:name="_Toc158979980"/>
      <w:bookmarkStart w:id="2782" w:name="_Toc164153913"/>
      <w:bookmarkStart w:id="2783" w:name="_Toc190873147"/>
      <w:bookmarkStart w:id="2784" w:name="_Toc194241786"/>
      <w:bookmarkStart w:id="2785" w:name="_Toc222837937"/>
      <w:bookmarkStart w:id="2786" w:name="_Toc226669083"/>
      <w:r w:rsidRPr="002A3CBE">
        <w:t>Table 6.9.1</w:t>
      </w:r>
      <w:r w:rsidRPr="002A3CBE">
        <w:tab/>
        <w:t xml:space="preserve">New Zealand’s land-use change for the land use category </w:t>
      </w:r>
      <w:r w:rsidRPr="002A3CBE">
        <w:rPr>
          <w:i/>
        </w:rPr>
        <w:t>Other land</w:t>
      </w:r>
      <w:r w:rsidRPr="002A3CBE">
        <w:rPr>
          <w:iCs/>
        </w:rPr>
        <w:t>,</w:t>
      </w:r>
      <w:r w:rsidRPr="002A3CBE">
        <w:t xml:space="preserve"> from 1990 to</w:t>
      </w:r>
      <w:bookmarkEnd w:id="2767"/>
      <w:bookmarkEnd w:id="2768"/>
      <w:bookmarkEnd w:id="2769"/>
      <w:bookmarkEnd w:id="2770"/>
      <w:r w:rsidRPr="002A3CBE">
        <w:t> </w:t>
      </w:r>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r w:rsidRPr="002A3CBE">
        <w:t>2024</w:t>
      </w:r>
      <w:bookmarkEnd w:id="2785"/>
      <w:bookmarkEnd w:id="2786"/>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33"/>
        <w:gridCol w:w="1014"/>
        <w:gridCol w:w="1014"/>
        <w:gridCol w:w="1127"/>
        <w:gridCol w:w="845"/>
        <w:gridCol w:w="845"/>
        <w:gridCol w:w="1127"/>
      </w:tblGrid>
      <w:tr w:rsidR="00447423" w:rsidRPr="002A3CBE" w14:paraId="6B5B1AF5" w14:textId="77777777" w:rsidTr="00F16E23">
        <w:trPr>
          <w:tblHeader/>
        </w:trPr>
        <w:tc>
          <w:tcPr>
            <w:tcW w:w="2551" w:type="dxa"/>
            <w:shd w:val="clear" w:color="auto" w:fill="1B556B"/>
            <w:tcMar>
              <w:top w:w="0" w:type="dxa"/>
              <w:left w:w="85" w:type="dxa"/>
              <w:bottom w:w="0" w:type="dxa"/>
              <w:right w:w="85" w:type="dxa"/>
            </w:tcMar>
            <w:vAlign w:val="center"/>
          </w:tcPr>
          <w:p w14:paraId="3D23FD8C" w14:textId="77777777" w:rsidR="00447423" w:rsidRPr="002A3CBE" w:rsidRDefault="00447423" w:rsidP="00F16E23">
            <w:pPr>
              <w:pStyle w:val="TableTextBold"/>
              <w:spacing w:before="40" w:after="0"/>
              <w:rPr>
                <w:rFonts w:eastAsia="Calibri"/>
                <w:noProof w:val="0"/>
                <w:color w:val="FFFFFF" w:themeColor="background1"/>
              </w:rPr>
            </w:pPr>
          </w:p>
        </w:tc>
        <w:tc>
          <w:tcPr>
            <w:tcW w:w="3174" w:type="dxa"/>
            <w:gridSpan w:val="3"/>
            <w:shd w:val="clear" w:color="auto" w:fill="1B556B"/>
            <w:tcMar>
              <w:top w:w="0" w:type="dxa"/>
              <w:left w:w="85" w:type="dxa"/>
              <w:bottom w:w="0" w:type="dxa"/>
              <w:right w:w="85" w:type="dxa"/>
            </w:tcMar>
            <w:vAlign w:val="center"/>
          </w:tcPr>
          <w:p w14:paraId="28C2B888"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center"/>
          </w:tcPr>
          <w:p w14:paraId="512DF69F" w14:textId="77777777" w:rsidR="00447423" w:rsidRPr="002A3CBE" w:rsidRDefault="00447423" w:rsidP="00F16E23">
            <w:pPr>
              <w:pStyle w:val="TableTextBold"/>
              <w:spacing w:before="40" w:after="0"/>
              <w:jc w:val="center"/>
              <w:rPr>
                <w:rFonts w:eastAsia="Calibri"/>
                <w:noProof w:val="0"/>
                <w:color w:val="FFFFFF" w:themeColor="background1"/>
              </w:rPr>
            </w:pPr>
            <w:r w:rsidRPr="002A3CBE">
              <w:rPr>
                <w:rFonts w:eastAsia="Calibri"/>
                <w:noProof w:val="0"/>
                <w:color w:val="FFFFFF" w:themeColor="background1"/>
              </w:rPr>
              <w:t>Net emissions (kt CO₂e)</w:t>
            </w:r>
          </w:p>
        </w:tc>
      </w:tr>
      <w:tr w:rsidR="00447423" w:rsidRPr="002A3CBE" w14:paraId="73661543" w14:textId="77777777" w:rsidTr="00F16E23">
        <w:trPr>
          <w:tblHeader/>
        </w:trPr>
        <w:tc>
          <w:tcPr>
            <w:tcW w:w="2551" w:type="dxa"/>
            <w:shd w:val="clear" w:color="auto" w:fill="1B556B"/>
            <w:tcMar>
              <w:top w:w="0" w:type="dxa"/>
              <w:left w:w="85" w:type="dxa"/>
              <w:bottom w:w="0" w:type="dxa"/>
              <w:right w:w="85" w:type="dxa"/>
            </w:tcMar>
            <w:vAlign w:val="bottom"/>
          </w:tcPr>
          <w:p w14:paraId="21262A1C"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502A2673"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7C11DF0B"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54A69DF5"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1706AEAD"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7667E12F"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shd w:val="clear" w:color="auto" w:fill="1B556B"/>
            <w:tcMar>
              <w:top w:w="0" w:type="dxa"/>
              <w:left w:w="85" w:type="dxa"/>
              <w:bottom w:w="0" w:type="dxa"/>
              <w:right w:w="85" w:type="dxa"/>
            </w:tcMar>
            <w:vAlign w:val="bottom"/>
          </w:tcPr>
          <w:p w14:paraId="0A36CD13"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030A68C5" w14:textId="77777777" w:rsidTr="00F16E23">
        <w:tc>
          <w:tcPr>
            <w:tcW w:w="2551" w:type="dxa"/>
            <w:shd w:val="clear" w:color="auto" w:fill="FFFFFF"/>
            <w:tcMar>
              <w:top w:w="0" w:type="dxa"/>
              <w:left w:w="85" w:type="dxa"/>
              <w:bottom w:w="0" w:type="dxa"/>
              <w:right w:w="85" w:type="dxa"/>
            </w:tcMar>
            <w:vAlign w:val="center"/>
          </w:tcPr>
          <w:p w14:paraId="2E4A907F" w14:textId="77777777" w:rsidR="00447423" w:rsidRPr="002A3CBE" w:rsidRDefault="00447423" w:rsidP="00F16E23">
            <w:pPr>
              <w:pStyle w:val="TableText"/>
              <w:spacing w:before="40" w:after="40"/>
              <w:rPr>
                <w:rFonts w:eastAsia="Calibri"/>
              </w:rPr>
            </w:pPr>
            <w:r w:rsidRPr="002A3CBE">
              <w:rPr>
                <w:rFonts w:eastAsia="Calibri"/>
              </w:rPr>
              <w:t>Other land remaining other land</w:t>
            </w:r>
          </w:p>
        </w:tc>
        <w:tc>
          <w:tcPr>
            <w:tcW w:w="1020" w:type="dxa"/>
            <w:shd w:val="clear" w:color="auto" w:fill="FFFFFF"/>
            <w:tcMar>
              <w:top w:w="0" w:type="dxa"/>
              <w:left w:w="85" w:type="dxa"/>
              <w:bottom w:w="0" w:type="dxa"/>
              <w:right w:w="85" w:type="dxa"/>
            </w:tcMar>
            <w:vAlign w:val="center"/>
          </w:tcPr>
          <w:p w14:paraId="7D961400" w14:textId="77777777" w:rsidR="00447423" w:rsidRPr="002A3CBE" w:rsidRDefault="00447423" w:rsidP="00F16E23">
            <w:pPr>
              <w:pStyle w:val="TableText"/>
              <w:spacing w:before="40" w:after="40"/>
              <w:jc w:val="right"/>
              <w:rPr>
                <w:rFonts w:eastAsia="Calibri"/>
              </w:rPr>
            </w:pPr>
            <w:r w:rsidRPr="002A3CBE">
              <w:rPr>
                <w:rFonts w:eastAsia="Calibri"/>
              </w:rPr>
              <w:t>895,681</w:t>
            </w:r>
          </w:p>
        </w:tc>
        <w:tc>
          <w:tcPr>
            <w:tcW w:w="1020" w:type="dxa"/>
            <w:shd w:val="clear" w:color="auto" w:fill="FFFFFF"/>
            <w:tcMar>
              <w:top w:w="0" w:type="dxa"/>
              <w:left w:w="85" w:type="dxa"/>
              <w:bottom w:w="0" w:type="dxa"/>
              <w:right w:w="85" w:type="dxa"/>
            </w:tcMar>
            <w:vAlign w:val="center"/>
          </w:tcPr>
          <w:p w14:paraId="018A493A" w14:textId="77777777" w:rsidR="00447423" w:rsidRPr="002A3CBE" w:rsidRDefault="00447423" w:rsidP="00F16E23">
            <w:pPr>
              <w:pStyle w:val="TableText"/>
              <w:spacing w:before="40" w:after="40"/>
              <w:jc w:val="right"/>
              <w:rPr>
                <w:rFonts w:eastAsia="Calibri"/>
              </w:rPr>
            </w:pPr>
            <w:r w:rsidRPr="002A3CBE">
              <w:rPr>
                <w:rFonts w:eastAsia="Calibri"/>
              </w:rPr>
              <w:t>890,530</w:t>
            </w:r>
          </w:p>
        </w:tc>
        <w:tc>
          <w:tcPr>
            <w:tcW w:w="1134" w:type="dxa"/>
            <w:shd w:val="clear" w:color="auto" w:fill="FFFFFF"/>
            <w:tcMar>
              <w:top w:w="0" w:type="dxa"/>
              <w:left w:w="85" w:type="dxa"/>
              <w:bottom w:w="0" w:type="dxa"/>
              <w:right w:w="85" w:type="dxa"/>
            </w:tcMar>
            <w:vAlign w:val="center"/>
          </w:tcPr>
          <w:p w14:paraId="3127E80C" w14:textId="77777777" w:rsidR="00447423" w:rsidRPr="002A3CBE" w:rsidRDefault="00447423" w:rsidP="00F16E23">
            <w:pPr>
              <w:pStyle w:val="TableText"/>
              <w:spacing w:before="40" w:after="40"/>
              <w:jc w:val="right"/>
              <w:rPr>
                <w:rFonts w:eastAsia="Calibri"/>
              </w:rPr>
            </w:pPr>
            <w:r w:rsidRPr="002A3CBE">
              <w:rPr>
                <w:rFonts w:eastAsia="Calibri"/>
              </w:rPr>
              <w:t>-0.6</w:t>
            </w:r>
          </w:p>
        </w:tc>
        <w:tc>
          <w:tcPr>
            <w:tcW w:w="850" w:type="dxa"/>
            <w:shd w:val="clear" w:color="auto" w:fill="FFFFFF"/>
            <w:tcMar>
              <w:top w:w="0" w:type="dxa"/>
              <w:left w:w="85" w:type="dxa"/>
              <w:bottom w:w="0" w:type="dxa"/>
              <w:right w:w="85" w:type="dxa"/>
            </w:tcMar>
            <w:vAlign w:val="center"/>
          </w:tcPr>
          <w:p w14:paraId="62FDF41E" w14:textId="77777777" w:rsidR="00447423" w:rsidRPr="002A3CBE" w:rsidRDefault="00447423" w:rsidP="00F16E23">
            <w:pPr>
              <w:pStyle w:val="TableText"/>
              <w:spacing w:before="40" w:after="40"/>
              <w:jc w:val="right"/>
              <w:rPr>
                <w:rFonts w:eastAsia="Calibri"/>
              </w:rPr>
            </w:pPr>
            <w:r w:rsidRPr="002A3CBE">
              <w:rPr>
                <w:rFonts w:eastAsia="Calibri"/>
              </w:rPr>
              <w:t>0.1</w:t>
            </w:r>
          </w:p>
        </w:tc>
        <w:tc>
          <w:tcPr>
            <w:tcW w:w="850" w:type="dxa"/>
            <w:shd w:val="clear" w:color="auto" w:fill="FFFFFF"/>
            <w:tcMar>
              <w:top w:w="0" w:type="dxa"/>
              <w:left w:w="85" w:type="dxa"/>
              <w:bottom w:w="0" w:type="dxa"/>
              <w:right w:w="85" w:type="dxa"/>
            </w:tcMar>
            <w:vAlign w:val="center"/>
          </w:tcPr>
          <w:p w14:paraId="438B0D7C" w14:textId="77777777" w:rsidR="00447423" w:rsidRPr="002A3CBE" w:rsidRDefault="00447423" w:rsidP="00F16E23">
            <w:pPr>
              <w:pStyle w:val="TableText"/>
              <w:spacing w:before="40" w:after="40"/>
              <w:jc w:val="right"/>
              <w:rPr>
                <w:rFonts w:eastAsia="Calibri"/>
              </w:rPr>
            </w:pPr>
            <w:r w:rsidRPr="002A3CBE">
              <w:rPr>
                <w:rFonts w:eastAsia="Calibri"/>
              </w:rPr>
              <w:t>3.6</w:t>
            </w:r>
          </w:p>
        </w:tc>
        <w:tc>
          <w:tcPr>
            <w:tcW w:w="1134" w:type="dxa"/>
            <w:shd w:val="clear" w:color="auto" w:fill="FFFFFF"/>
            <w:tcMar>
              <w:top w:w="0" w:type="dxa"/>
              <w:left w:w="85" w:type="dxa"/>
              <w:bottom w:w="0" w:type="dxa"/>
              <w:right w:w="85" w:type="dxa"/>
            </w:tcMar>
            <w:vAlign w:val="center"/>
          </w:tcPr>
          <w:p w14:paraId="48912377" w14:textId="77777777" w:rsidR="00447423" w:rsidRPr="002A3CBE" w:rsidRDefault="00447423" w:rsidP="00F16E23">
            <w:pPr>
              <w:pStyle w:val="TableText"/>
              <w:spacing w:before="40" w:after="40"/>
              <w:jc w:val="right"/>
              <w:rPr>
                <w:rFonts w:eastAsia="Calibri"/>
              </w:rPr>
            </w:pPr>
            <w:r w:rsidRPr="002A3CBE">
              <w:rPr>
                <w:rFonts w:eastAsia="Calibri"/>
              </w:rPr>
              <w:t>3,127.0</w:t>
            </w:r>
          </w:p>
        </w:tc>
      </w:tr>
      <w:tr w:rsidR="00447423" w:rsidRPr="002A3CBE" w14:paraId="0E415327" w14:textId="77777777" w:rsidTr="00F16E23">
        <w:tc>
          <w:tcPr>
            <w:tcW w:w="2551" w:type="dxa"/>
            <w:shd w:val="clear" w:color="auto" w:fill="FFFFFF"/>
            <w:tcMar>
              <w:top w:w="0" w:type="dxa"/>
              <w:left w:w="85" w:type="dxa"/>
              <w:bottom w:w="0" w:type="dxa"/>
              <w:right w:w="85" w:type="dxa"/>
            </w:tcMar>
            <w:vAlign w:val="center"/>
          </w:tcPr>
          <w:p w14:paraId="41620D8E" w14:textId="77777777" w:rsidR="00447423" w:rsidRPr="002A3CBE" w:rsidRDefault="00447423" w:rsidP="00F16E23">
            <w:pPr>
              <w:pStyle w:val="TableText"/>
              <w:spacing w:before="40" w:after="40"/>
              <w:rPr>
                <w:rFonts w:eastAsia="Calibri"/>
              </w:rPr>
            </w:pPr>
            <w:r w:rsidRPr="002A3CBE">
              <w:rPr>
                <w:rFonts w:eastAsia="Calibri"/>
              </w:rPr>
              <w:t>Land converted to other land</w:t>
            </w:r>
          </w:p>
        </w:tc>
        <w:tc>
          <w:tcPr>
            <w:tcW w:w="1020" w:type="dxa"/>
            <w:shd w:val="clear" w:color="auto" w:fill="FFFFFF"/>
            <w:tcMar>
              <w:top w:w="0" w:type="dxa"/>
              <w:left w:w="85" w:type="dxa"/>
              <w:bottom w:w="0" w:type="dxa"/>
              <w:right w:w="85" w:type="dxa"/>
            </w:tcMar>
            <w:vAlign w:val="center"/>
          </w:tcPr>
          <w:p w14:paraId="69AEDF12" w14:textId="77777777" w:rsidR="00447423" w:rsidRPr="002A3CBE" w:rsidRDefault="00447423" w:rsidP="00F16E23">
            <w:pPr>
              <w:pStyle w:val="TableText"/>
              <w:spacing w:before="40" w:after="40"/>
              <w:jc w:val="right"/>
              <w:rPr>
                <w:rFonts w:eastAsia="Calibri"/>
              </w:rPr>
            </w:pPr>
            <w:r w:rsidRPr="002A3CBE">
              <w:rPr>
                <w:rFonts w:eastAsia="Calibri"/>
              </w:rPr>
              <w:t>0</w:t>
            </w:r>
          </w:p>
        </w:tc>
        <w:tc>
          <w:tcPr>
            <w:tcW w:w="1020" w:type="dxa"/>
            <w:shd w:val="clear" w:color="auto" w:fill="FFFFFF"/>
            <w:tcMar>
              <w:top w:w="0" w:type="dxa"/>
              <w:left w:w="85" w:type="dxa"/>
              <w:bottom w:w="0" w:type="dxa"/>
              <w:right w:w="85" w:type="dxa"/>
            </w:tcMar>
            <w:vAlign w:val="center"/>
          </w:tcPr>
          <w:p w14:paraId="74B0A840" w14:textId="77777777" w:rsidR="00447423" w:rsidRPr="002A3CBE" w:rsidRDefault="00447423" w:rsidP="00F16E23">
            <w:pPr>
              <w:pStyle w:val="TableText"/>
              <w:spacing w:before="40" w:after="40"/>
              <w:jc w:val="right"/>
              <w:rPr>
                <w:rFonts w:eastAsia="Calibri"/>
              </w:rPr>
            </w:pPr>
            <w:r w:rsidRPr="002A3CBE">
              <w:rPr>
                <w:rFonts w:eastAsia="Calibri"/>
              </w:rPr>
              <w:t>6,381</w:t>
            </w:r>
          </w:p>
        </w:tc>
        <w:tc>
          <w:tcPr>
            <w:tcW w:w="1134" w:type="dxa"/>
            <w:shd w:val="clear" w:color="auto" w:fill="FFFFFF"/>
            <w:tcMar>
              <w:top w:w="0" w:type="dxa"/>
              <w:left w:w="85" w:type="dxa"/>
              <w:bottom w:w="0" w:type="dxa"/>
              <w:right w:w="85" w:type="dxa"/>
            </w:tcMar>
            <w:vAlign w:val="center"/>
          </w:tcPr>
          <w:p w14:paraId="3833A2FA" w14:textId="77777777" w:rsidR="00447423" w:rsidRPr="002A3CBE" w:rsidRDefault="00447423" w:rsidP="00F16E23">
            <w:pPr>
              <w:pStyle w:val="TableText"/>
              <w:spacing w:before="40" w:after="40"/>
              <w:jc w:val="right"/>
              <w:rPr>
                <w:rFonts w:eastAsia="Calibri"/>
              </w:rPr>
            </w:pPr>
            <w:r w:rsidRPr="002A3CBE">
              <w:rPr>
                <w:rFonts w:eastAsia="Calibri"/>
              </w:rPr>
              <w:t>0.0</w:t>
            </w:r>
          </w:p>
        </w:tc>
        <w:tc>
          <w:tcPr>
            <w:tcW w:w="850" w:type="dxa"/>
            <w:shd w:val="clear" w:color="auto" w:fill="FFFFFF"/>
            <w:tcMar>
              <w:top w:w="0" w:type="dxa"/>
              <w:left w:w="85" w:type="dxa"/>
              <w:bottom w:w="0" w:type="dxa"/>
              <w:right w:w="85" w:type="dxa"/>
            </w:tcMar>
            <w:vAlign w:val="center"/>
          </w:tcPr>
          <w:p w14:paraId="300010E3" w14:textId="77777777" w:rsidR="00447423" w:rsidRPr="002A3CBE" w:rsidRDefault="00447423" w:rsidP="00F16E23">
            <w:pPr>
              <w:pStyle w:val="TableText"/>
              <w:spacing w:before="40" w:after="40"/>
              <w:jc w:val="right"/>
              <w:rPr>
                <w:rFonts w:eastAsia="Calibri"/>
              </w:rPr>
            </w:pPr>
            <w:r w:rsidRPr="002A3CBE">
              <w:rPr>
                <w:rFonts w:eastAsia="Calibri"/>
              </w:rPr>
              <w:t>14.6</w:t>
            </w:r>
          </w:p>
        </w:tc>
        <w:tc>
          <w:tcPr>
            <w:tcW w:w="850" w:type="dxa"/>
            <w:shd w:val="clear" w:color="auto" w:fill="FFFFFF"/>
            <w:tcMar>
              <w:top w:w="0" w:type="dxa"/>
              <w:left w:w="85" w:type="dxa"/>
              <w:bottom w:w="0" w:type="dxa"/>
              <w:right w:w="85" w:type="dxa"/>
            </w:tcMar>
            <w:vAlign w:val="center"/>
          </w:tcPr>
          <w:p w14:paraId="0D94938F" w14:textId="77777777" w:rsidR="00447423" w:rsidRPr="002A3CBE" w:rsidRDefault="00447423" w:rsidP="00F16E23">
            <w:pPr>
              <w:pStyle w:val="TableText"/>
              <w:spacing w:before="40" w:after="40"/>
              <w:jc w:val="right"/>
              <w:rPr>
                <w:rFonts w:eastAsia="Calibri"/>
              </w:rPr>
            </w:pPr>
            <w:r w:rsidRPr="002A3CBE">
              <w:rPr>
                <w:rFonts w:eastAsia="Calibri"/>
              </w:rPr>
              <w:t>70.7</w:t>
            </w:r>
          </w:p>
        </w:tc>
        <w:tc>
          <w:tcPr>
            <w:tcW w:w="1134" w:type="dxa"/>
            <w:shd w:val="clear" w:color="auto" w:fill="FFFFFF"/>
            <w:tcMar>
              <w:top w:w="0" w:type="dxa"/>
              <w:left w:w="85" w:type="dxa"/>
              <w:bottom w:w="0" w:type="dxa"/>
              <w:right w:w="85" w:type="dxa"/>
            </w:tcMar>
            <w:vAlign w:val="center"/>
          </w:tcPr>
          <w:p w14:paraId="17ED862E" w14:textId="77777777" w:rsidR="00447423" w:rsidRPr="002A3CBE" w:rsidRDefault="00447423" w:rsidP="00F16E23">
            <w:pPr>
              <w:pStyle w:val="TableText"/>
              <w:spacing w:before="40" w:after="40"/>
              <w:jc w:val="right"/>
              <w:rPr>
                <w:rFonts w:eastAsia="Calibri"/>
              </w:rPr>
            </w:pPr>
            <w:r w:rsidRPr="002A3CBE">
              <w:rPr>
                <w:rFonts w:eastAsia="Calibri"/>
              </w:rPr>
              <w:t>384.7</w:t>
            </w:r>
          </w:p>
        </w:tc>
      </w:tr>
      <w:tr w:rsidR="00447423" w:rsidRPr="002A3CBE" w14:paraId="3D2CD9DB" w14:textId="77777777" w:rsidTr="00F16E23">
        <w:tc>
          <w:tcPr>
            <w:tcW w:w="2551" w:type="dxa"/>
            <w:shd w:val="clear" w:color="auto" w:fill="FFFFFF"/>
            <w:tcMar>
              <w:top w:w="0" w:type="dxa"/>
              <w:left w:w="85" w:type="dxa"/>
              <w:bottom w:w="0" w:type="dxa"/>
              <w:right w:w="85" w:type="dxa"/>
            </w:tcMar>
            <w:vAlign w:val="center"/>
          </w:tcPr>
          <w:p w14:paraId="7B1FBABC" w14:textId="77777777" w:rsidR="00447423" w:rsidRPr="002A3CBE" w:rsidRDefault="00447423" w:rsidP="00F16E23">
            <w:pPr>
              <w:pStyle w:val="Tableboldblue"/>
              <w:spacing w:before="40" w:after="40"/>
              <w:rPr>
                <w:rFonts w:eastAsia="Calibri"/>
              </w:rPr>
            </w:pPr>
            <w:r w:rsidRPr="002A3CBE">
              <w:rPr>
                <w:rFonts w:eastAsia="Calibri"/>
              </w:rPr>
              <w:t>Total</w:t>
            </w:r>
          </w:p>
        </w:tc>
        <w:tc>
          <w:tcPr>
            <w:tcW w:w="1020" w:type="dxa"/>
            <w:shd w:val="clear" w:color="auto" w:fill="FFFFFF"/>
            <w:tcMar>
              <w:top w:w="0" w:type="dxa"/>
              <w:left w:w="85" w:type="dxa"/>
              <w:bottom w:w="0" w:type="dxa"/>
              <w:right w:w="85" w:type="dxa"/>
            </w:tcMar>
            <w:vAlign w:val="center"/>
          </w:tcPr>
          <w:p w14:paraId="0B4BA7A6" w14:textId="77777777" w:rsidR="00447423" w:rsidRPr="002A3CBE" w:rsidRDefault="00447423" w:rsidP="00F16E23">
            <w:pPr>
              <w:pStyle w:val="Tableboldblue"/>
              <w:spacing w:before="40" w:after="40"/>
              <w:jc w:val="right"/>
              <w:rPr>
                <w:rFonts w:eastAsia="Calibri"/>
              </w:rPr>
            </w:pPr>
            <w:r w:rsidRPr="002A3CBE">
              <w:rPr>
                <w:rFonts w:eastAsia="Calibri"/>
              </w:rPr>
              <w:t>895,681</w:t>
            </w:r>
          </w:p>
        </w:tc>
        <w:tc>
          <w:tcPr>
            <w:tcW w:w="1020" w:type="dxa"/>
            <w:shd w:val="clear" w:color="auto" w:fill="FFFFFF"/>
            <w:tcMar>
              <w:top w:w="0" w:type="dxa"/>
              <w:left w:w="85" w:type="dxa"/>
              <w:bottom w:w="0" w:type="dxa"/>
              <w:right w:w="85" w:type="dxa"/>
            </w:tcMar>
            <w:vAlign w:val="center"/>
          </w:tcPr>
          <w:p w14:paraId="706B4DC3" w14:textId="77777777" w:rsidR="00447423" w:rsidRPr="002A3CBE" w:rsidRDefault="00447423" w:rsidP="00F16E23">
            <w:pPr>
              <w:pStyle w:val="Tableboldblue"/>
              <w:spacing w:before="40" w:after="40"/>
              <w:jc w:val="right"/>
              <w:rPr>
                <w:rFonts w:eastAsia="Calibri"/>
              </w:rPr>
            </w:pPr>
            <w:r w:rsidRPr="002A3CBE">
              <w:rPr>
                <w:rFonts w:eastAsia="Calibri"/>
              </w:rPr>
              <w:t>896,910</w:t>
            </w:r>
          </w:p>
        </w:tc>
        <w:tc>
          <w:tcPr>
            <w:tcW w:w="1134" w:type="dxa"/>
            <w:shd w:val="clear" w:color="auto" w:fill="FFFFFF"/>
            <w:tcMar>
              <w:top w:w="0" w:type="dxa"/>
              <w:left w:w="85" w:type="dxa"/>
              <w:bottom w:w="0" w:type="dxa"/>
              <w:right w:w="85" w:type="dxa"/>
            </w:tcMar>
            <w:vAlign w:val="center"/>
          </w:tcPr>
          <w:p w14:paraId="5F933676" w14:textId="77777777" w:rsidR="00447423" w:rsidRPr="002A3CBE" w:rsidRDefault="00447423" w:rsidP="00F16E23">
            <w:pPr>
              <w:pStyle w:val="Tableboldblue"/>
              <w:spacing w:before="40" w:after="40"/>
              <w:jc w:val="right"/>
              <w:rPr>
                <w:rFonts w:eastAsia="Calibri"/>
              </w:rPr>
            </w:pPr>
            <w:r w:rsidRPr="002A3CBE">
              <w:rPr>
                <w:rFonts w:eastAsia="Calibri"/>
              </w:rPr>
              <w:t>0.1</w:t>
            </w:r>
          </w:p>
        </w:tc>
        <w:tc>
          <w:tcPr>
            <w:tcW w:w="850" w:type="dxa"/>
            <w:shd w:val="clear" w:color="auto" w:fill="FFFFFF"/>
            <w:tcMar>
              <w:top w:w="0" w:type="dxa"/>
              <w:left w:w="85" w:type="dxa"/>
              <w:bottom w:w="0" w:type="dxa"/>
              <w:right w:w="85" w:type="dxa"/>
            </w:tcMar>
            <w:vAlign w:val="center"/>
          </w:tcPr>
          <w:p w14:paraId="2D9D3A30" w14:textId="77777777" w:rsidR="00447423" w:rsidRPr="002A3CBE" w:rsidRDefault="00447423" w:rsidP="00F16E23">
            <w:pPr>
              <w:pStyle w:val="Tableboldblue"/>
              <w:spacing w:before="40" w:after="40"/>
              <w:jc w:val="right"/>
              <w:rPr>
                <w:rFonts w:eastAsia="Calibri"/>
              </w:rPr>
            </w:pPr>
            <w:r w:rsidRPr="002A3CBE">
              <w:rPr>
                <w:rFonts w:eastAsia="Calibri"/>
              </w:rPr>
              <w:t>14.7</w:t>
            </w:r>
          </w:p>
        </w:tc>
        <w:tc>
          <w:tcPr>
            <w:tcW w:w="850" w:type="dxa"/>
            <w:shd w:val="clear" w:color="auto" w:fill="FFFFFF"/>
            <w:tcMar>
              <w:top w:w="0" w:type="dxa"/>
              <w:left w:w="85" w:type="dxa"/>
              <w:bottom w:w="0" w:type="dxa"/>
              <w:right w:w="85" w:type="dxa"/>
            </w:tcMar>
            <w:vAlign w:val="center"/>
          </w:tcPr>
          <w:p w14:paraId="03CE1DCE" w14:textId="77777777" w:rsidR="00447423" w:rsidRPr="002A3CBE" w:rsidRDefault="00447423" w:rsidP="00F16E23">
            <w:pPr>
              <w:pStyle w:val="Tableboldblue"/>
              <w:spacing w:before="40" w:after="40"/>
              <w:jc w:val="right"/>
              <w:rPr>
                <w:rFonts w:eastAsia="Calibri"/>
              </w:rPr>
            </w:pPr>
            <w:r w:rsidRPr="002A3CBE">
              <w:rPr>
                <w:rFonts w:eastAsia="Calibri"/>
              </w:rPr>
              <w:t>74.3</w:t>
            </w:r>
          </w:p>
        </w:tc>
        <w:tc>
          <w:tcPr>
            <w:tcW w:w="1134" w:type="dxa"/>
            <w:shd w:val="clear" w:color="auto" w:fill="FFFFFF"/>
            <w:tcMar>
              <w:top w:w="0" w:type="dxa"/>
              <w:left w:w="85" w:type="dxa"/>
              <w:bottom w:w="0" w:type="dxa"/>
              <w:right w:w="85" w:type="dxa"/>
            </w:tcMar>
            <w:vAlign w:val="center"/>
          </w:tcPr>
          <w:p w14:paraId="155A1D90" w14:textId="77777777" w:rsidR="00447423" w:rsidRPr="002A3CBE" w:rsidRDefault="00447423" w:rsidP="00F16E23">
            <w:pPr>
              <w:pStyle w:val="Tableboldblue"/>
              <w:spacing w:before="40" w:after="40"/>
              <w:jc w:val="right"/>
              <w:rPr>
                <w:rFonts w:eastAsia="Calibri"/>
              </w:rPr>
            </w:pPr>
            <w:r w:rsidRPr="002A3CBE">
              <w:rPr>
                <w:rFonts w:eastAsia="Calibri"/>
              </w:rPr>
              <w:t>405.4</w:t>
            </w:r>
          </w:p>
        </w:tc>
      </w:tr>
    </w:tbl>
    <w:p w14:paraId="7CAE7767" w14:textId="77777777" w:rsidR="00447423" w:rsidRPr="002A3CBE" w:rsidRDefault="00447423" w:rsidP="00447423">
      <w:pPr>
        <w:pStyle w:val="Noteundertable"/>
        <w:spacing w:after="0"/>
      </w:pPr>
      <w:r w:rsidRPr="002A3CBE">
        <w:rPr>
          <w:b/>
        </w:rPr>
        <w:t>Note:</w:t>
      </w:r>
      <w:r w:rsidRPr="002A3CBE">
        <w:tab/>
        <w:t xml:space="preserve">Net area at 1990 is as at 1 January 1990; net area at 2024 is as of 31 December 2024. </w:t>
      </w:r>
      <w:r w:rsidRPr="002A3CBE">
        <w:rPr>
          <w:i/>
        </w:rPr>
        <w:t>Land converted to other land</w:t>
      </w:r>
      <w:r w:rsidRPr="002A3CBE">
        <w:t xml:space="preserve"> includes land converted up to 20 years earlier. The net emission values for </w:t>
      </w:r>
      <w:r w:rsidRPr="002A3CBE">
        <w:rPr>
          <w:i/>
        </w:rPr>
        <w:t>Other land remaining other land</w:t>
      </w:r>
      <w:r w:rsidRPr="002A3CBE">
        <w:t xml:space="preserve"> are due to nitrous oxide emissions from nitrogen mineralisation as a result of land-use change. Columns may not total due to rounding.</w:t>
      </w:r>
    </w:p>
    <w:p w14:paraId="4C27AA3F" w14:textId="77777777" w:rsidR="00447423" w:rsidRPr="002A3CBE" w:rsidRDefault="00447423" w:rsidP="00447423">
      <w:pPr>
        <w:pStyle w:val="Heading3"/>
      </w:pPr>
      <w:r w:rsidRPr="002A3CBE">
        <w:t>6.9.2</w:t>
      </w:r>
      <w:r w:rsidRPr="002A3CBE">
        <w:tab/>
        <w:t>Methodological issues</w:t>
      </w:r>
    </w:p>
    <w:p w14:paraId="28BB083B" w14:textId="77777777" w:rsidR="00447423" w:rsidRPr="002A3CBE" w:rsidRDefault="00447423" w:rsidP="00447423">
      <w:pPr>
        <w:pStyle w:val="Heading4"/>
        <w:spacing w:before="200"/>
      </w:pPr>
      <w:r w:rsidRPr="002A3CBE">
        <w:t>Other land remaining other land (4.F.1)</w:t>
      </w:r>
    </w:p>
    <w:p w14:paraId="2A379501" w14:textId="77777777" w:rsidR="00447423" w:rsidRPr="002A3CBE" w:rsidRDefault="00447423" w:rsidP="00447423">
      <w:pPr>
        <w:pStyle w:val="BodyText"/>
      </w:pPr>
      <w:r w:rsidRPr="002A3CBE">
        <w:t xml:space="preserve">A summary of the New Zealand emission factors and other parameters used to estimate greenhouse gas emissions for </w:t>
      </w:r>
      <w:r w:rsidRPr="002A3CBE">
        <w:rPr>
          <w:i/>
        </w:rPr>
        <w:t>Other land</w:t>
      </w:r>
      <w:r w:rsidRPr="002A3CBE">
        <w:t xml:space="preserve"> is provided in table 6.9.2.</w:t>
      </w:r>
    </w:p>
    <w:p w14:paraId="315C0B79" w14:textId="77777777" w:rsidR="00447423" w:rsidRPr="002A3CBE" w:rsidRDefault="00447423" w:rsidP="00447423">
      <w:pPr>
        <w:pStyle w:val="Table"/>
      </w:pPr>
      <w:bookmarkStart w:id="2787" w:name="_Toc342470794"/>
      <w:bookmarkStart w:id="2788" w:name="_Toc352505034"/>
      <w:bookmarkStart w:id="2789" w:name="_Toc378853323"/>
      <w:bookmarkStart w:id="2790" w:name="_Toc391024121"/>
      <w:bookmarkStart w:id="2791" w:name="_Toc410028863"/>
      <w:bookmarkStart w:id="2792" w:name="_Toc414531491"/>
      <w:bookmarkStart w:id="2793" w:name="_Toc443645404"/>
      <w:bookmarkStart w:id="2794" w:name="_Toc474914623"/>
      <w:bookmarkStart w:id="2795" w:name="_Toc481751587"/>
      <w:bookmarkStart w:id="2796" w:name="_Toc522010644"/>
      <w:bookmarkStart w:id="2797" w:name="_Toc5269549"/>
      <w:bookmarkStart w:id="2798" w:name="_Toc33529423"/>
      <w:bookmarkStart w:id="2799" w:name="_Toc36224629"/>
      <w:bookmarkStart w:id="2800" w:name="_Toc131591423"/>
      <w:bookmarkStart w:id="2801" w:name="_Toc158979981"/>
      <w:bookmarkStart w:id="2802" w:name="_Toc164153914"/>
      <w:bookmarkStart w:id="2803" w:name="_Toc190873148"/>
      <w:bookmarkStart w:id="2804" w:name="_Toc194241787"/>
      <w:bookmarkStart w:id="2805" w:name="_Toc222837938"/>
      <w:bookmarkStart w:id="2806" w:name="_Toc226669084"/>
      <w:r w:rsidRPr="002A3CBE">
        <w:t>Table 6.9.2</w:t>
      </w:r>
      <w:r w:rsidRPr="002A3CBE">
        <w:tab/>
        <w:t>Summary of New Zealand emission factors for the land use category</w:t>
      </w:r>
      <w:bookmarkEnd w:id="2787"/>
      <w:bookmarkEnd w:id="2788"/>
      <w:bookmarkEnd w:id="2789"/>
      <w:r w:rsidRPr="002A3CBE">
        <w:t xml:space="preserve"> </w:t>
      </w:r>
      <w:r w:rsidRPr="002A3CBE">
        <w:rPr>
          <w:i/>
        </w:rPr>
        <w:t>Other land</w:t>
      </w:r>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p>
    <w:tbl>
      <w:tblPr>
        <w:tblW w:w="8505" w:type="dxa"/>
        <w:tblBorders>
          <w:top w:val="single" w:sz="4" w:space="0" w:color="1B556B"/>
          <w:bottom w:val="single" w:sz="4" w:space="0" w:color="1B556B"/>
          <w:insideH w:val="single" w:sz="4" w:space="0" w:color="1B556B"/>
        </w:tblBorders>
        <w:tblCellMar>
          <w:left w:w="85" w:type="dxa"/>
          <w:right w:w="85" w:type="dxa"/>
        </w:tblCellMar>
        <w:tblLook w:val="04A0" w:firstRow="1" w:lastRow="0" w:firstColumn="1" w:lastColumn="0" w:noHBand="0" w:noVBand="1"/>
      </w:tblPr>
      <w:tblGrid>
        <w:gridCol w:w="1276"/>
        <w:gridCol w:w="1134"/>
        <w:gridCol w:w="1134"/>
        <w:gridCol w:w="2713"/>
        <w:gridCol w:w="2248"/>
      </w:tblGrid>
      <w:tr w:rsidR="00447423" w:rsidRPr="002A3CBE" w14:paraId="77DBAD4F" w14:textId="77777777" w:rsidTr="00F16E23">
        <w:tc>
          <w:tcPr>
            <w:tcW w:w="1276" w:type="dxa"/>
            <w:shd w:val="clear" w:color="auto" w:fill="1B556B" w:themeFill="text2"/>
          </w:tcPr>
          <w:p w14:paraId="3330FF11" w14:textId="77777777" w:rsidR="00447423" w:rsidRPr="002A3CBE" w:rsidRDefault="00447423" w:rsidP="00F16E23">
            <w:pPr>
              <w:pStyle w:val="TableTextBold"/>
              <w:keepNext/>
              <w:spacing w:before="30" w:after="30"/>
              <w:rPr>
                <w:noProof w:val="0"/>
                <w:color w:val="FFFFFF"/>
              </w:rPr>
            </w:pPr>
            <w:r w:rsidRPr="002A3CBE">
              <w:rPr>
                <w:i/>
                <w:iCs/>
                <w:noProof w:val="0"/>
                <w:color w:val="FFFFFF"/>
              </w:rPr>
              <w:t>Other land</w:t>
            </w:r>
            <w:r w:rsidRPr="002A3CBE">
              <w:rPr>
                <w:noProof w:val="0"/>
                <w:color w:val="FFFFFF"/>
              </w:rPr>
              <w:t xml:space="preserve"> </w:t>
            </w:r>
            <w:r w:rsidRPr="002A3CBE">
              <w:rPr>
                <w:noProof w:val="0"/>
                <w:color w:val="FFFFFF"/>
              </w:rPr>
              <w:br/>
              <w:t>greenhouse gas source category</w:t>
            </w:r>
          </w:p>
        </w:tc>
        <w:tc>
          <w:tcPr>
            <w:tcW w:w="1134" w:type="dxa"/>
            <w:shd w:val="clear" w:color="auto" w:fill="1B556B" w:themeFill="text2"/>
            <w:vAlign w:val="bottom"/>
          </w:tcPr>
          <w:p w14:paraId="79B60E68" w14:textId="77777777" w:rsidR="00447423" w:rsidRPr="002A3CBE" w:rsidRDefault="00447423" w:rsidP="00F16E23">
            <w:pPr>
              <w:pStyle w:val="TableTextBold"/>
              <w:keepNext/>
              <w:spacing w:before="30" w:after="30"/>
              <w:rPr>
                <w:noProof w:val="0"/>
                <w:color w:val="FFFFFF"/>
              </w:rPr>
            </w:pPr>
            <w:r w:rsidRPr="002A3CBE">
              <w:rPr>
                <w:noProof w:val="0"/>
                <w:color w:val="FFFFFF"/>
              </w:rPr>
              <w:t xml:space="preserve">Steady state carbon stock </w:t>
            </w:r>
            <w:r w:rsidRPr="002A3CBE">
              <w:rPr>
                <w:noProof w:val="0"/>
                <w:color w:val="FFFFFF"/>
              </w:rPr>
              <w:br/>
              <w:t>(t C ha</w:t>
            </w:r>
            <w:r w:rsidRPr="002A3CBE">
              <w:rPr>
                <w:noProof w:val="0"/>
                <w:color w:val="FFFFFF"/>
                <w:vertAlign w:val="superscript"/>
              </w:rPr>
              <w:t>–1</w:t>
            </w:r>
            <w:r w:rsidRPr="002A3CBE">
              <w:rPr>
                <w:noProof w:val="0"/>
                <w:color w:val="FFFFFF"/>
              </w:rPr>
              <w:t>)</w:t>
            </w:r>
          </w:p>
        </w:tc>
        <w:tc>
          <w:tcPr>
            <w:tcW w:w="1134" w:type="dxa"/>
            <w:shd w:val="clear" w:color="auto" w:fill="1B556B" w:themeFill="text2"/>
            <w:vAlign w:val="bottom"/>
          </w:tcPr>
          <w:p w14:paraId="5853A6D0" w14:textId="77777777" w:rsidR="00447423" w:rsidRPr="002A3CBE" w:rsidRDefault="00447423" w:rsidP="00F16E23">
            <w:pPr>
              <w:pStyle w:val="TableTextBold"/>
              <w:keepNext/>
              <w:spacing w:before="30" w:after="30"/>
              <w:rPr>
                <w:noProof w:val="0"/>
                <w:color w:val="FFFFFF"/>
              </w:rPr>
            </w:pPr>
            <w:r w:rsidRPr="002A3CBE">
              <w:rPr>
                <w:noProof w:val="0"/>
                <w:color w:val="FFFFFF"/>
              </w:rPr>
              <w:t>Years to reach steady state</w:t>
            </w:r>
          </w:p>
        </w:tc>
        <w:tc>
          <w:tcPr>
            <w:tcW w:w="2713" w:type="dxa"/>
            <w:shd w:val="clear" w:color="auto" w:fill="1B556B" w:themeFill="text2"/>
            <w:vAlign w:val="bottom"/>
          </w:tcPr>
          <w:p w14:paraId="1C335D4B" w14:textId="77777777" w:rsidR="00447423" w:rsidRPr="002A3CBE" w:rsidRDefault="00447423" w:rsidP="00F16E23">
            <w:pPr>
              <w:pStyle w:val="TableTextBold"/>
              <w:keepNext/>
              <w:spacing w:before="30" w:after="30"/>
              <w:rPr>
                <w:noProof w:val="0"/>
                <w:color w:val="FFFFFF"/>
              </w:rPr>
            </w:pPr>
            <w:r w:rsidRPr="002A3CBE">
              <w:rPr>
                <w:noProof w:val="0"/>
                <w:color w:val="FFFFFF"/>
              </w:rPr>
              <w:t xml:space="preserve">Carbon stock change on conversion to </w:t>
            </w:r>
            <w:r w:rsidRPr="002A3CBE">
              <w:rPr>
                <w:i/>
                <w:iCs/>
                <w:noProof w:val="0"/>
                <w:color w:val="FFFFFF"/>
              </w:rPr>
              <w:t>Other land</w:t>
            </w:r>
            <w:r w:rsidRPr="002A3CBE">
              <w:rPr>
                <w:noProof w:val="0"/>
                <w:color w:val="FFFFFF"/>
              </w:rPr>
              <w:t xml:space="preserve"> </w:t>
            </w:r>
            <w:r w:rsidRPr="002A3CBE">
              <w:rPr>
                <w:noProof w:val="0"/>
                <w:color w:val="FFFFFF"/>
              </w:rPr>
              <w:br/>
              <w:t>(t C ha</w:t>
            </w:r>
            <w:r w:rsidRPr="002A3CBE">
              <w:rPr>
                <w:noProof w:val="0"/>
                <w:color w:val="FFFFFF"/>
                <w:vertAlign w:val="superscript"/>
              </w:rPr>
              <w:t>–1</w:t>
            </w:r>
            <w:r w:rsidRPr="002A3CBE">
              <w:rPr>
                <w:noProof w:val="0"/>
                <w:color w:val="FFFFFF"/>
              </w:rPr>
              <w:t>)</w:t>
            </w:r>
          </w:p>
        </w:tc>
        <w:tc>
          <w:tcPr>
            <w:tcW w:w="2248" w:type="dxa"/>
            <w:shd w:val="clear" w:color="auto" w:fill="1B556B" w:themeFill="text2"/>
            <w:vAlign w:val="bottom"/>
          </w:tcPr>
          <w:p w14:paraId="798ED704" w14:textId="77777777" w:rsidR="00447423" w:rsidRPr="002A3CBE" w:rsidRDefault="00447423" w:rsidP="00F16E23">
            <w:pPr>
              <w:pStyle w:val="TableTextBold"/>
              <w:keepNext/>
              <w:spacing w:before="30" w:after="30"/>
              <w:rPr>
                <w:noProof w:val="0"/>
                <w:color w:val="FFFFFF"/>
              </w:rPr>
            </w:pPr>
            <w:r w:rsidRPr="002A3CBE">
              <w:rPr>
                <w:noProof w:val="0"/>
                <w:color w:val="FFFFFF"/>
              </w:rPr>
              <w:t>Reference</w:t>
            </w:r>
          </w:p>
        </w:tc>
      </w:tr>
      <w:tr w:rsidR="00447423" w:rsidRPr="002A3CBE" w14:paraId="51959F1C" w14:textId="77777777" w:rsidTr="00F16E23">
        <w:tc>
          <w:tcPr>
            <w:tcW w:w="1276" w:type="dxa"/>
          </w:tcPr>
          <w:p w14:paraId="4194AF74" w14:textId="77777777" w:rsidR="00447423" w:rsidRPr="002A3CBE" w:rsidRDefault="00447423" w:rsidP="00F16E23">
            <w:pPr>
              <w:pStyle w:val="TableText"/>
              <w:spacing w:before="30" w:after="30"/>
            </w:pPr>
            <w:r w:rsidRPr="002A3CBE">
              <w:t>Biomass</w:t>
            </w:r>
          </w:p>
        </w:tc>
        <w:tc>
          <w:tcPr>
            <w:tcW w:w="1134" w:type="dxa"/>
          </w:tcPr>
          <w:p w14:paraId="001BC372" w14:textId="77777777" w:rsidR="00447423" w:rsidRPr="002A3CBE" w:rsidRDefault="00447423" w:rsidP="00F16E23">
            <w:pPr>
              <w:pStyle w:val="TableText"/>
              <w:spacing w:before="30" w:after="30"/>
            </w:pPr>
            <w:r w:rsidRPr="002A3CBE">
              <w:t>NE</w:t>
            </w:r>
          </w:p>
        </w:tc>
        <w:tc>
          <w:tcPr>
            <w:tcW w:w="1134" w:type="dxa"/>
          </w:tcPr>
          <w:p w14:paraId="442598C6" w14:textId="77777777" w:rsidR="00447423" w:rsidRPr="002A3CBE" w:rsidRDefault="00447423" w:rsidP="00F16E23">
            <w:pPr>
              <w:pStyle w:val="TableText"/>
              <w:spacing w:before="30" w:after="30"/>
            </w:pPr>
            <w:r w:rsidRPr="002A3CBE">
              <w:t>NA</w:t>
            </w:r>
          </w:p>
        </w:tc>
        <w:tc>
          <w:tcPr>
            <w:tcW w:w="2713" w:type="dxa"/>
          </w:tcPr>
          <w:p w14:paraId="7162ABC9" w14:textId="77777777" w:rsidR="00447423" w:rsidRPr="002A3CBE" w:rsidRDefault="00447423" w:rsidP="00F16E23">
            <w:pPr>
              <w:pStyle w:val="TableText"/>
              <w:spacing w:before="30" w:after="30"/>
            </w:pPr>
            <w:r w:rsidRPr="002A3CBE">
              <w:t>Instantaneous loss of previous land use carbon stock</w:t>
            </w:r>
          </w:p>
        </w:tc>
        <w:tc>
          <w:tcPr>
            <w:tcW w:w="2248" w:type="dxa"/>
          </w:tcPr>
          <w:p w14:paraId="71652DA9" w14:textId="77777777" w:rsidR="00447423" w:rsidRPr="002A3CBE" w:rsidRDefault="00447423" w:rsidP="00F16E23">
            <w:pPr>
              <w:pStyle w:val="TableText"/>
              <w:spacing w:before="30" w:after="30"/>
            </w:pPr>
            <w:r w:rsidRPr="002A3CBE">
              <w:t>IPCC Tier 1 default assumption (section 9.3.1, IPCC, 2006a)</w:t>
            </w:r>
          </w:p>
        </w:tc>
      </w:tr>
      <w:tr w:rsidR="00447423" w:rsidRPr="002A3CBE" w14:paraId="1B91FAB3" w14:textId="77777777" w:rsidTr="00F16E23">
        <w:tc>
          <w:tcPr>
            <w:tcW w:w="1276" w:type="dxa"/>
          </w:tcPr>
          <w:p w14:paraId="7405D29B" w14:textId="77777777" w:rsidR="00447423" w:rsidRPr="002A3CBE" w:rsidRDefault="00447423" w:rsidP="00F16E23">
            <w:pPr>
              <w:pStyle w:val="TableText"/>
              <w:spacing w:before="30" w:after="30"/>
            </w:pPr>
            <w:r w:rsidRPr="002A3CBE">
              <w:t>Soils (mineral)</w:t>
            </w:r>
          </w:p>
        </w:tc>
        <w:tc>
          <w:tcPr>
            <w:tcW w:w="1134" w:type="dxa"/>
          </w:tcPr>
          <w:p w14:paraId="1E6D718E" w14:textId="77777777" w:rsidR="00447423" w:rsidRPr="002A3CBE" w:rsidRDefault="00447423" w:rsidP="00F16E23">
            <w:pPr>
              <w:pStyle w:val="TableText"/>
              <w:spacing w:before="30" w:after="30"/>
            </w:pPr>
            <w:r w:rsidRPr="002A3CBE">
              <w:t>58.37</w:t>
            </w:r>
          </w:p>
        </w:tc>
        <w:tc>
          <w:tcPr>
            <w:tcW w:w="1134" w:type="dxa"/>
          </w:tcPr>
          <w:p w14:paraId="67AA2821" w14:textId="77777777" w:rsidR="00447423" w:rsidRPr="002A3CBE" w:rsidRDefault="00447423" w:rsidP="00F16E23">
            <w:pPr>
              <w:pStyle w:val="TableText"/>
              <w:spacing w:before="30" w:after="30"/>
            </w:pPr>
            <w:r w:rsidRPr="002A3CBE">
              <w:t>20</w:t>
            </w:r>
          </w:p>
        </w:tc>
        <w:tc>
          <w:tcPr>
            <w:tcW w:w="2713" w:type="dxa"/>
          </w:tcPr>
          <w:p w14:paraId="05D26823" w14:textId="77777777" w:rsidR="00447423" w:rsidRPr="002A3CBE" w:rsidRDefault="00447423" w:rsidP="00F16E23">
            <w:pPr>
              <w:pStyle w:val="TableText"/>
              <w:spacing w:before="30" w:after="30"/>
            </w:pPr>
            <w:r w:rsidRPr="002A3CBE">
              <w:t>Linear change over the conversion period between new and previous stock values</w:t>
            </w:r>
          </w:p>
        </w:tc>
        <w:tc>
          <w:tcPr>
            <w:tcW w:w="2248" w:type="dxa"/>
          </w:tcPr>
          <w:p w14:paraId="73F1BAA3" w14:textId="77777777" w:rsidR="00447423" w:rsidRPr="002A3CBE" w:rsidRDefault="00447423" w:rsidP="00F16E23">
            <w:pPr>
              <w:pStyle w:val="TableText"/>
              <w:spacing w:before="30" w:after="30"/>
            </w:pPr>
            <w:r w:rsidRPr="002A3CBE">
              <w:t>Volume 2, annex 5, section A5.2.4 of this submission</w:t>
            </w:r>
          </w:p>
        </w:tc>
      </w:tr>
    </w:tbl>
    <w:p w14:paraId="4A4B65B1" w14:textId="77777777" w:rsidR="00447423" w:rsidRPr="002A3CBE" w:rsidRDefault="00447423" w:rsidP="00447423">
      <w:pPr>
        <w:pStyle w:val="Noteundertable"/>
        <w:spacing w:before="80"/>
      </w:pPr>
      <w:r w:rsidRPr="002A3CBE">
        <w:rPr>
          <w:b/>
        </w:rPr>
        <w:t>Note:</w:t>
      </w:r>
      <w:r w:rsidRPr="002A3CBE">
        <w:tab/>
        <w:t>NA = not applicable; NE = not estimated.</w:t>
      </w:r>
    </w:p>
    <w:p w14:paraId="498907C6" w14:textId="77777777" w:rsidR="00447423" w:rsidRPr="002A3CBE" w:rsidRDefault="00447423" w:rsidP="00447423">
      <w:pPr>
        <w:pStyle w:val="Heading5"/>
        <w:spacing w:before="180"/>
      </w:pPr>
      <w:r w:rsidRPr="002A3CBE">
        <w:t>Living biomass and dead organic matter</w:t>
      </w:r>
    </w:p>
    <w:p w14:paraId="28FC13EB" w14:textId="77777777" w:rsidR="00447423" w:rsidRPr="002A3CBE" w:rsidRDefault="00447423" w:rsidP="00447423">
      <w:pPr>
        <w:pStyle w:val="BodyText"/>
        <w:spacing w:before="100" w:after="100"/>
      </w:pPr>
      <w:r w:rsidRPr="002A3CBE">
        <w:rPr>
          <w:spacing w:val="-2"/>
        </w:rPr>
        <w:t xml:space="preserve">All of New Zealand’s land area in the </w:t>
      </w:r>
      <w:r w:rsidRPr="002A3CBE">
        <w:rPr>
          <w:i/>
          <w:spacing w:val="-2"/>
        </w:rPr>
        <w:t>Other land</w:t>
      </w:r>
      <w:r w:rsidRPr="002A3CBE">
        <w:rPr>
          <w:spacing w:val="-2"/>
        </w:rPr>
        <w:t xml:space="preserve"> category is classified as ‘managed’. New Zealand</w:t>
      </w:r>
      <w:r w:rsidRPr="002A3CBE">
        <w:t xml:space="preserve"> considers all land to be managed, because all land is under some form of management plan, regardless of the intensity and/or type of land-management practices. Reporting for the category </w:t>
      </w:r>
      <w:r w:rsidRPr="002A3CBE">
        <w:rPr>
          <w:i/>
        </w:rPr>
        <w:t>Other land remaining other land</w:t>
      </w:r>
      <w:r w:rsidRPr="002A3CBE">
        <w:t xml:space="preserve"> is not mandatory. New Zealand applies the Tier 1 approach to this category, which assumes carbon accumulation and loss for the biomass pool is zero in all years following the year of conversion (IPCC, 2006a, section 9.3.1).</w:t>
      </w:r>
    </w:p>
    <w:p w14:paraId="6994E1CE" w14:textId="77777777" w:rsidR="00447423" w:rsidRPr="002A3CBE" w:rsidRDefault="00447423" w:rsidP="00447423">
      <w:pPr>
        <w:pStyle w:val="Heading5"/>
        <w:spacing w:before="180"/>
      </w:pPr>
      <w:r w:rsidRPr="002A3CBE">
        <w:t xml:space="preserve">Soil organic carbon </w:t>
      </w:r>
    </w:p>
    <w:p w14:paraId="0FA787F6" w14:textId="77777777" w:rsidR="00447423" w:rsidRPr="002A3CBE" w:rsidRDefault="00447423" w:rsidP="00447423">
      <w:pPr>
        <w:pStyle w:val="BodyText"/>
        <w:spacing w:before="100" w:after="100"/>
      </w:pPr>
      <w:r w:rsidRPr="002A3CBE">
        <w:t xml:space="preserve">Soil organic carbon stocks in </w:t>
      </w:r>
      <w:r w:rsidRPr="002A3CBE">
        <w:rPr>
          <w:i/>
        </w:rPr>
        <w:t>Other land remaining other land</w:t>
      </w:r>
      <w:r w:rsidRPr="002A3CBE">
        <w:t xml:space="preserve"> are estimated using a Tier 2 method for mineral soils (see volume 2, annex 5, section A5.2.4 ‘Mineral soils’). The steady state mineral SOC stock in </w:t>
      </w:r>
      <w:r w:rsidRPr="002A3CBE">
        <w:rPr>
          <w:i/>
        </w:rPr>
        <w:t>Other land</w:t>
      </w:r>
      <w:r w:rsidRPr="002A3CBE">
        <w:t xml:space="preserve"> is estimated to be </w:t>
      </w:r>
      <w:r w:rsidRPr="002A3CBE">
        <w:rPr>
          <w:color w:val="000000"/>
        </w:rPr>
        <w:t>58.37 </w:t>
      </w:r>
      <w:r w:rsidRPr="002A3CBE">
        <w:t>tonnes C ha</w:t>
      </w:r>
      <w:r w:rsidRPr="002A3CBE">
        <w:rPr>
          <w:vertAlign w:val="superscript"/>
        </w:rPr>
        <w:t>–1</w:t>
      </w:r>
      <w:r w:rsidRPr="002A3CBE">
        <w:t xml:space="preserve">. This is based on only three samples so has an associated uncertainty of ±70.7 percent (McNeill and Barringer, unpublished). The 2006 IPCC Guidelines provide a default value for soil carbon in </w:t>
      </w:r>
      <w:r w:rsidRPr="002A3CBE">
        <w:rPr>
          <w:i/>
        </w:rPr>
        <w:t xml:space="preserve">Other land </w:t>
      </w:r>
      <w:r w:rsidRPr="002A3CBE">
        <w:t>of 0 tonnes C ha</w:t>
      </w:r>
      <w:r w:rsidRPr="002A3CBE">
        <w:rPr>
          <w:vertAlign w:val="superscript"/>
        </w:rPr>
        <w:t>–1</w:t>
      </w:r>
      <w:r w:rsidRPr="002A3CBE">
        <w:t xml:space="preserve"> ( IPCC, 2006a, section 9.3.3.2). However, due to the hierarchical structure of defining land use classes, </w:t>
      </w:r>
      <w:r w:rsidRPr="002A3CBE">
        <w:rPr>
          <w:i/>
        </w:rPr>
        <w:t>Other land</w:t>
      </w:r>
      <w:r w:rsidRPr="002A3CBE">
        <w:t xml:space="preserve"> is defined as “any other remaining land that does not fall into any of the other land use categories”, which can result in the SOC measured potentially being greater than zero.</w:t>
      </w:r>
    </w:p>
    <w:p w14:paraId="29179FF7" w14:textId="77777777" w:rsidR="00447423" w:rsidRPr="002A3CBE" w:rsidRDefault="00447423" w:rsidP="00447423">
      <w:pPr>
        <w:pStyle w:val="Heading4"/>
      </w:pPr>
      <w:r w:rsidRPr="002A3CBE">
        <w:t>Land converted to other land (4.F.2)</w:t>
      </w:r>
    </w:p>
    <w:p w14:paraId="0A609808" w14:textId="77777777" w:rsidR="00447423" w:rsidRPr="002A3CBE" w:rsidRDefault="00447423" w:rsidP="00447423">
      <w:pPr>
        <w:pStyle w:val="Heading5"/>
        <w:spacing w:before="180"/>
      </w:pPr>
      <w:r w:rsidRPr="002A3CBE">
        <w:t>Living biomass and dead organic matter</w:t>
      </w:r>
    </w:p>
    <w:p w14:paraId="36B52174" w14:textId="77777777" w:rsidR="00447423" w:rsidRPr="002A3CBE" w:rsidRDefault="00447423" w:rsidP="00447423">
      <w:pPr>
        <w:pStyle w:val="BodyText"/>
        <w:spacing w:before="100" w:after="100"/>
      </w:pPr>
      <w:r w:rsidRPr="002A3CBE">
        <w:t xml:space="preserve">New Zealand uses a Tier 1 method to calculate emissions for </w:t>
      </w:r>
      <w:r w:rsidRPr="002A3CBE">
        <w:rPr>
          <w:i/>
        </w:rPr>
        <w:t>Land converted to other land</w:t>
      </w:r>
      <w:r w:rsidRPr="002A3CBE">
        <w:t xml:space="preserve"> (IPCC, 2006a, equation 2.16). This is the same as the method used for other areas of land use conversion (e.g., </w:t>
      </w:r>
      <w:r w:rsidRPr="002A3CBE">
        <w:rPr>
          <w:i/>
        </w:rPr>
        <w:t>Land converted to cropland</w:t>
      </w:r>
      <w:r w:rsidRPr="002A3CBE">
        <w:t xml:space="preserve">). The Tier 1 method assumes the carbon in living biomass and dead organic matter present before conversion is lost and instantly oxidised in the same year as the conversion takes place and that carbon stocks in living biomass and dead organic matter following conversion are equal to zero. There is no Tier 1 method for calculating carbon accumulation in living biomass or dead organic matter for </w:t>
      </w:r>
      <w:r w:rsidRPr="002A3CBE">
        <w:rPr>
          <w:i/>
        </w:rPr>
        <w:t>Land converted to other land</w:t>
      </w:r>
      <w:r w:rsidRPr="002A3CBE">
        <w:t>.</w:t>
      </w:r>
    </w:p>
    <w:p w14:paraId="5DD141F8" w14:textId="77777777" w:rsidR="00447423" w:rsidRPr="002A3CBE" w:rsidRDefault="00447423" w:rsidP="00447423">
      <w:pPr>
        <w:pStyle w:val="Heading5"/>
        <w:spacing w:before="180"/>
      </w:pPr>
      <w:r w:rsidRPr="002A3CBE">
        <w:t xml:space="preserve">Soil organic carbon </w:t>
      </w:r>
    </w:p>
    <w:p w14:paraId="3FDCB756" w14:textId="77777777" w:rsidR="00447423" w:rsidRPr="002A3CBE" w:rsidRDefault="00447423" w:rsidP="00447423">
      <w:pPr>
        <w:pStyle w:val="BodyText"/>
        <w:spacing w:before="100" w:after="100"/>
      </w:pPr>
      <w:r w:rsidRPr="002A3CBE">
        <w:t xml:space="preserve">Soil organic carbon stocks in </w:t>
      </w:r>
      <w:r w:rsidRPr="002A3CBE">
        <w:rPr>
          <w:i/>
        </w:rPr>
        <w:t>Land converted to other land</w:t>
      </w:r>
      <w:r w:rsidRPr="002A3CBE">
        <w:t xml:space="preserve"> before conversion are estimated using a Tier 2 method (see volume 2, annex 5, section A5.2.4 ‘Mineral soils’). The IPCC default method of a linear change over a 20</w:t>
      </w:r>
      <w:r w:rsidRPr="002A3CBE">
        <w:noBreakHyphen/>
        <w:t>year period is used to estimate the change in SOC stocks between the original land use and other land for any given period.</w:t>
      </w:r>
    </w:p>
    <w:p w14:paraId="11723BD5" w14:textId="77777777" w:rsidR="00447423" w:rsidRPr="002A3CBE" w:rsidRDefault="00447423" w:rsidP="00447423">
      <w:pPr>
        <w:pStyle w:val="Heading3"/>
        <w:spacing w:before="280"/>
      </w:pPr>
      <w:r w:rsidRPr="002A3CBE">
        <w:t>6.9.3</w:t>
      </w:r>
      <w:r w:rsidRPr="002A3CBE">
        <w:tab/>
        <w:t>Uncertainty assessment and time-series consistency</w:t>
      </w:r>
    </w:p>
    <w:p w14:paraId="666E08D5" w14:textId="77777777" w:rsidR="00447423" w:rsidRPr="002A3CBE" w:rsidRDefault="00447423" w:rsidP="00447423">
      <w:pPr>
        <w:pStyle w:val="BodyText"/>
        <w:spacing w:before="100" w:after="100"/>
      </w:pPr>
      <w:r w:rsidRPr="002A3CBE">
        <w:t xml:space="preserve">The uncertainty in net carbon emissions from </w:t>
      </w:r>
      <w:r w:rsidRPr="002A3CBE">
        <w:rPr>
          <w:i/>
          <w:iCs/>
        </w:rPr>
        <w:t>Other</w:t>
      </w:r>
      <w:r w:rsidRPr="002A3CBE">
        <w:rPr>
          <w:i/>
        </w:rPr>
        <w:t xml:space="preserve"> land</w:t>
      </w:r>
      <w:r w:rsidRPr="002A3CBE">
        <w:t xml:space="preserve"> was 85.5 percent in 2024. Emissions from </w:t>
      </w:r>
      <w:r w:rsidRPr="002A3CBE">
        <w:rPr>
          <w:i/>
        </w:rPr>
        <w:t>Other land</w:t>
      </w:r>
      <w:r w:rsidRPr="002A3CBE">
        <w:t xml:space="preserve"> accounted for 0.3 percent of the net emissions from the LULUCF sector. The methods used to calculate the uncertainty are further described in volume 2, annex 5, section A5.2.8.</w:t>
      </w:r>
    </w:p>
    <w:p w14:paraId="2655C4E6" w14:textId="77777777" w:rsidR="00447423" w:rsidRPr="002A3CBE" w:rsidRDefault="00447423" w:rsidP="00447423">
      <w:pPr>
        <w:pStyle w:val="BodyText"/>
        <w:spacing w:before="100" w:after="100"/>
      </w:pPr>
      <w:r w:rsidRPr="002A3CBE">
        <w:t xml:space="preserve">Time-series consistency is ensured by applying consistent methods and full recalculations in the event of any refinement or improvement to methodology. </w:t>
      </w:r>
    </w:p>
    <w:p w14:paraId="436F6626" w14:textId="77777777" w:rsidR="00447423" w:rsidRPr="002A3CBE" w:rsidRDefault="00447423" w:rsidP="00447423">
      <w:pPr>
        <w:pStyle w:val="Heading3"/>
        <w:spacing w:before="280"/>
      </w:pPr>
      <w:r w:rsidRPr="002A3CBE">
        <w:t>6.9.4</w:t>
      </w:r>
      <w:r w:rsidRPr="002A3CBE">
        <w:tab/>
        <w:t>Category-specific QA/QC and verification</w:t>
      </w:r>
    </w:p>
    <w:p w14:paraId="23AE9B4B" w14:textId="77777777" w:rsidR="00447423" w:rsidRPr="002A3CBE" w:rsidRDefault="00447423" w:rsidP="00447423">
      <w:pPr>
        <w:pStyle w:val="BodyText"/>
        <w:spacing w:before="100" w:after="100"/>
      </w:pPr>
      <w:r w:rsidRPr="002A3CBE">
        <w:t>In the preparation of this inventory, the data for these emissions underwent Tier 1 quality checks.</w:t>
      </w:r>
    </w:p>
    <w:p w14:paraId="7C885DC4" w14:textId="77777777" w:rsidR="00447423" w:rsidRPr="002A3CBE" w:rsidRDefault="00447423" w:rsidP="00447423">
      <w:pPr>
        <w:pStyle w:val="Heading3"/>
        <w:spacing w:before="280"/>
      </w:pPr>
      <w:r w:rsidRPr="002A3CBE">
        <w:t>6.9.5</w:t>
      </w:r>
      <w:r w:rsidRPr="002A3CBE">
        <w:tab/>
        <w:t>Category-specific recalculations</w:t>
      </w:r>
    </w:p>
    <w:p w14:paraId="16821A06" w14:textId="77777777" w:rsidR="00447423" w:rsidRPr="002A3CBE" w:rsidRDefault="00447423" w:rsidP="00447423">
      <w:pPr>
        <w:pStyle w:val="BodyText"/>
        <w:spacing w:before="100" w:after="100"/>
        <w:rPr>
          <w:iCs/>
          <w:spacing w:val="-2"/>
        </w:rPr>
      </w:pPr>
      <w:r w:rsidRPr="002A3CBE">
        <w:rPr>
          <w:spacing w:val="-2"/>
        </w:rPr>
        <w:t>The impact of recalculations on net CO</w:t>
      </w:r>
      <w:r w:rsidRPr="002A3CBE">
        <w:rPr>
          <w:spacing w:val="-2"/>
          <w:vertAlign w:val="subscript"/>
        </w:rPr>
        <w:t>2</w:t>
      </w:r>
      <w:r w:rsidRPr="002A3CBE">
        <w:rPr>
          <w:spacing w:val="-2"/>
        </w:rPr>
        <w:t xml:space="preserve">e emission estimates for the </w:t>
      </w:r>
      <w:r w:rsidRPr="002A3CBE">
        <w:rPr>
          <w:i/>
          <w:spacing w:val="-2"/>
        </w:rPr>
        <w:t>Other land</w:t>
      </w:r>
      <w:r w:rsidRPr="002A3CBE">
        <w:rPr>
          <w:spacing w:val="-2"/>
        </w:rPr>
        <w:t xml:space="preserve"> category is shown in table 6.9.3</w:t>
      </w:r>
      <w:r w:rsidRPr="002A3CBE" w:rsidDel="00B01A6B">
        <w:rPr>
          <w:spacing w:val="-2"/>
        </w:rPr>
        <w:t>.</w:t>
      </w:r>
      <w:r w:rsidRPr="002A3CBE">
        <w:rPr>
          <w:spacing w:val="-2"/>
        </w:rPr>
        <w:t xml:space="preserve"> Recalculations were carried out for this category as a result of mapping data, as described section 6.2 and volume 2, annex 5, section A5.2.2. </w:t>
      </w:r>
      <w:r w:rsidRPr="002A3CBE">
        <w:t xml:space="preserve">Recalculations in the </w:t>
      </w:r>
      <w:r w:rsidRPr="002A3CBE">
        <w:rPr>
          <w:i/>
        </w:rPr>
        <w:t>Other</w:t>
      </w:r>
      <w:r>
        <w:rPr>
          <w:i/>
        </w:rPr>
        <w:t> </w:t>
      </w:r>
      <w:r w:rsidRPr="002A3CBE">
        <w:rPr>
          <w:i/>
        </w:rPr>
        <w:t xml:space="preserve">land </w:t>
      </w:r>
      <w:r w:rsidRPr="002A3CBE">
        <w:t xml:space="preserve">category are due to corrections incorporated into the 2020 land use map that improve mapping of </w:t>
      </w:r>
      <w:r w:rsidRPr="002A3CBE">
        <w:rPr>
          <w:i/>
          <w:iCs/>
        </w:rPr>
        <w:t xml:space="preserve">Other land </w:t>
      </w:r>
      <w:r w:rsidRPr="002A3CBE">
        <w:t>where it transitions unrealistically to a land use class with a high soil</w:t>
      </w:r>
      <w:r>
        <w:t> </w:t>
      </w:r>
      <w:r w:rsidRPr="002A3CBE">
        <w:t>carbon value. Additionally, emissions associated with small mapping changes to the</w:t>
      </w:r>
      <w:r>
        <w:t> </w:t>
      </w:r>
      <w:r w:rsidRPr="002A3CBE">
        <w:t xml:space="preserve">areas of deforestation that have been converted to </w:t>
      </w:r>
      <w:r w:rsidRPr="002A3CBE">
        <w:rPr>
          <w:i/>
        </w:rPr>
        <w:t xml:space="preserve">Other land </w:t>
      </w:r>
      <w:r w:rsidRPr="002A3CBE">
        <w:rPr>
          <w:iCs/>
        </w:rPr>
        <w:t>have increased the 2021 emission estimate.</w:t>
      </w:r>
      <w:r w:rsidRPr="002A3CBE">
        <w:rPr>
          <w:iCs/>
          <w:spacing w:val="-2"/>
        </w:rPr>
        <w:t xml:space="preserve"> </w:t>
      </w:r>
    </w:p>
    <w:p w14:paraId="182D085D" w14:textId="77777777" w:rsidR="00447423" w:rsidRPr="002A3CBE" w:rsidRDefault="00447423" w:rsidP="00447423">
      <w:pPr>
        <w:pStyle w:val="Table"/>
      </w:pPr>
      <w:bookmarkStart w:id="2807" w:name="_Toc342470796"/>
      <w:bookmarkStart w:id="2808" w:name="_Toc352505036"/>
      <w:bookmarkStart w:id="2809" w:name="_Toc378853325"/>
      <w:bookmarkStart w:id="2810" w:name="_Toc391024123"/>
      <w:bookmarkStart w:id="2811" w:name="_Toc410028865"/>
      <w:bookmarkStart w:id="2812" w:name="_Toc414531493"/>
      <w:bookmarkStart w:id="2813" w:name="_Toc443645406"/>
      <w:bookmarkStart w:id="2814" w:name="_Toc474914625"/>
      <w:bookmarkStart w:id="2815" w:name="_Toc481751589"/>
      <w:bookmarkStart w:id="2816" w:name="_Toc522010646"/>
      <w:bookmarkStart w:id="2817" w:name="_Toc5269551"/>
      <w:bookmarkStart w:id="2818" w:name="_Toc33529425"/>
      <w:bookmarkStart w:id="2819" w:name="_Toc36224631"/>
      <w:bookmarkStart w:id="2820" w:name="_Toc131591424"/>
      <w:bookmarkStart w:id="2821" w:name="_Toc158979982"/>
      <w:bookmarkStart w:id="2822" w:name="_Toc164153915"/>
      <w:bookmarkStart w:id="2823" w:name="_Toc190873149"/>
      <w:bookmarkStart w:id="2824" w:name="_Toc194241788"/>
      <w:bookmarkStart w:id="2825" w:name="_Toc222837939"/>
      <w:bookmarkStart w:id="2826" w:name="_Toc226669085"/>
      <w:r w:rsidRPr="002A3CBE">
        <w:t>Table 6.9.3</w:t>
      </w:r>
      <w:r w:rsidRPr="002A3CBE">
        <w:tab/>
        <w:t xml:space="preserve">Recalculations for New Zealand’s net emissions from the </w:t>
      </w:r>
      <w:r w:rsidRPr="002A3CBE">
        <w:rPr>
          <w:i/>
        </w:rPr>
        <w:t>Other land</w:t>
      </w:r>
      <w:r w:rsidRPr="002A3CBE">
        <w:t xml:space="preserve"> category in 1990 and </w:t>
      </w:r>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r w:rsidRPr="002A3CBE">
        <w:t>2023</w:t>
      </w:r>
      <w:bookmarkEnd w:id="2825"/>
      <w:bookmarkEnd w:id="2826"/>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269"/>
        <w:gridCol w:w="1275"/>
        <w:gridCol w:w="1418"/>
        <w:gridCol w:w="2409"/>
        <w:gridCol w:w="1134"/>
      </w:tblGrid>
      <w:tr w:rsidR="00447423" w:rsidRPr="002A3CBE" w14:paraId="6868A4DB" w14:textId="77777777" w:rsidTr="00F16E23">
        <w:trPr>
          <w:tblHeader/>
        </w:trPr>
        <w:tc>
          <w:tcPr>
            <w:tcW w:w="2269" w:type="dxa"/>
            <w:shd w:val="clear" w:color="auto" w:fill="1B556B"/>
            <w:tcMar>
              <w:top w:w="0" w:type="dxa"/>
              <w:left w:w="85" w:type="dxa"/>
              <w:bottom w:w="0" w:type="dxa"/>
              <w:right w:w="85" w:type="dxa"/>
            </w:tcMar>
            <w:vAlign w:val="center"/>
          </w:tcPr>
          <w:p w14:paraId="12A68366" w14:textId="77777777" w:rsidR="00447423" w:rsidRPr="002A3CBE" w:rsidRDefault="00447423" w:rsidP="00F16E23">
            <w:pPr>
              <w:pStyle w:val="TableTextBold"/>
              <w:spacing w:before="40" w:after="40"/>
              <w:rPr>
                <w:rFonts w:eastAsia="Calibri"/>
                <w:noProof w:val="0"/>
                <w:color w:val="FFFFFF" w:themeColor="background1"/>
              </w:rPr>
            </w:pPr>
          </w:p>
        </w:tc>
        <w:tc>
          <w:tcPr>
            <w:tcW w:w="1275" w:type="dxa"/>
            <w:shd w:val="clear" w:color="auto" w:fill="1B556B"/>
            <w:tcMar>
              <w:top w:w="0" w:type="dxa"/>
              <w:left w:w="85" w:type="dxa"/>
              <w:bottom w:w="0" w:type="dxa"/>
              <w:right w:w="85" w:type="dxa"/>
            </w:tcMar>
            <w:vAlign w:val="center"/>
          </w:tcPr>
          <w:p w14:paraId="190B8898"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2025 submission</w:t>
            </w:r>
          </w:p>
        </w:tc>
        <w:tc>
          <w:tcPr>
            <w:tcW w:w="1418" w:type="dxa"/>
            <w:shd w:val="clear" w:color="auto" w:fill="1B556B"/>
            <w:tcMar>
              <w:top w:w="0" w:type="dxa"/>
              <w:left w:w="85" w:type="dxa"/>
              <w:bottom w:w="0" w:type="dxa"/>
              <w:right w:w="85" w:type="dxa"/>
            </w:tcMar>
            <w:vAlign w:val="center"/>
          </w:tcPr>
          <w:p w14:paraId="6A83ECF5"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2026 submission</w:t>
            </w:r>
          </w:p>
        </w:tc>
        <w:tc>
          <w:tcPr>
            <w:tcW w:w="2409" w:type="dxa"/>
            <w:shd w:val="clear" w:color="auto" w:fill="1B556B"/>
            <w:tcMar>
              <w:top w:w="0" w:type="dxa"/>
              <w:left w:w="85" w:type="dxa"/>
              <w:bottom w:w="0" w:type="dxa"/>
              <w:right w:w="85" w:type="dxa"/>
            </w:tcMar>
            <w:vAlign w:val="center"/>
          </w:tcPr>
          <w:p w14:paraId="6226669E"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2025 submission</w:t>
            </w:r>
          </w:p>
        </w:tc>
        <w:tc>
          <w:tcPr>
            <w:tcW w:w="1134" w:type="dxa"/>
            <w:shd w:val="clear" w:color="auto" w:fill="1B556B"/>
            <w:tcMar>
              <w:top w:w="0" w:type="dxa"/>
              <w:left w:w="85" w:type="dxa"/>
              <w:bottom w:w="0" w:type="dxa"/>
              <w:right w:w="85" w:type="dxa"/>
            </w:tcMar>
            <w:vAlign w:val="center"/>
          </w:tcPr>
          <w:p w14:paraId="763B9FA6"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w:t>
            </w:r>
          </w:p>
        </w:tc>
      </w:tr>
      <w:tr w:rsidR="00447423" w:rsidRPr="002A3CBE" w14:paraId="5D4A65A0" w14:textId="77777777" w:rsidTr="00F16E23">
        <w:tc>
          <w:tcPr>
            <w:tcW w:w="2269" w:type="dxa"/>
            <w:shd w:val="clear" w:color="auto" w:fill="FFFFFF"/>
            <w:tcMar>
              <w:top w:w="0" w:type="dxa"/>
              <w:left w:w="85" w:type="dxa"/>
              <w:bottom w:w="0" w:type="dxa"/>
              <w:right w:w="85" w:type="dxa"/>
            </w:tcMar>
            <w:vAlign w:val="center"/>
          </w:tcPr>
          <w:p w14:paraId="118941A6" w14:textId="77777777" w:rsidR="00447423" w:rsidRPr="002A3CBE" w:rsidRDefault="00447423" w:rsidP="00F16E23">
            <w:pPr>
              <w:pStyle w:val="Tableboldblue"/>
              <w:spacing w:before="40" w:after="40"/>
              <w:rPr>
                <w:rFonts w:eastAsia="Calibri"/>
              </w:rPr>
            </w:pPr>
            <w:r w:rsidRPr="002A3CBE">
              <w:rPr>
                <w:rFonts w:eastAsia="Calibri"/>
              </w:rPr>
              <w:t>Net emissions (kt CO</w:t>
            </w:r>
            <w:r w:rsidRPr="002A3CBE">
              <w:rPr>
                <w:rFonts w:eastAsia="Calibri"/>
                <w:vertAlign w:val="subscript"/>
              </w:rPr>
              <w:t>2</w:t>
            </w:r>
            <w:r w:rsidRPr="002A3CBE">
              <w:rPr>
                <w:rFonts w:eastAsia="Calibri"/>
              </w:rPr>
              <w:t>e)</w:t>
            </w:r>
          </w:p>
        </w:tc>
        <w:tc>
          <w:tcPr>
            <w:tcW w:w="1275" w:type="dxa"/>
            <w:shd w:val="clear" w:color="auto" w:fill="FFFFFF"/>
            <w:tcMar>
              <w:top w:w="0" w:type="dxa"/>
              <w:left w:w="85" w:type="dxa"/>
              <w:bottom w:w="0" w:type="dxa"/>
              <w:right w:w="85" w:type="dxa"/>
            </w:tcMar>
            <w:vAlign w:val="center"/>
          </w:tcPr>
          <w:p w14:paraId="59A839D8" w14:textId="77777777" w:rsidR="00447423" w:rsidRPr="002A3CBE" w:rsidRDefault="00447423" w:rsidP="00F16E23">
            <w:pPr>
              <w:pStyle w:val="Tableboldblue"/>
              <w:spacing w:before="40" w:after="40"/>
              <w:jc w:val="right"/>
              <w:rPr>
                <w:rFonts w:eastAsia="Calibri"/>
              </w:rPr>
            </w:pPr>
          </w:p>
        </w:tc>
        <w:tc>
          <w:tcPr>
            <w:tcW w:w="1418" w:type="dxa"/>
            <w:shd w:val="clear" w:color="auto" w:fill="FFFFFF"/>
            <w:tcMar>
              <w:top w:w="0" w:type="dxa"/>
              <w:left w:w="85" w:type="dxa"/>
              <w:bottom w:w="0" w:type="dxa"/>
              <w:right w:w="85" w:type="dxa"/>
            </w:tcMar>
            <w:vAlign w:val="center"/>
          </w:tcPr>
          <w:p w14:paraId="25C00AAE" w14:textId="77777777" w:rsidR="00447423" w:rsidRPr="002A3CBE" w:rsidRDefault="00447423" w:rsidP="00F16E23">
            <w:pPr>
              <w:pStyle w:val="Tableboldblue"/>
              <w:spacing w:before="40" w:after="40"/>
              <w:jc w:val="right"/>
              <w:rPr>
                <w:rFonts w:eastAsia="Calibri"/>
              </w:rPr>
            </w:pPr>
          </w:p>
        </w:tc>
        <w:tc>
          <w:tcPr>
            <w:tcW w:w="2409" w:type="dxa"/>
            <w:shd w:val="clear" w:color="auto" w:fill="FFFFFF"/>
            <w:tcMar>
              <w:top w:w="0" w:type="dxa"/>
              <w:left w:w="85" w:type="dxa"/>
              <w:bottom w:w="0" w:type="dxa"/>
              <w:right w:w="85" w:type="dxa"/>
            </w:tcMar>
            <w:vAlign w:val="center"/>
          </w:tcPr>
          <w:p w14:paraId="53668EAD" w14:textId="77777777" w:rsidR="00447423" w:rsidRPr="002A3CBE" w:rsidRDefault="00447423" w:rsidP="00F16E23">
            <w:pPr>
              <w:pStyle w:val="Tableboldblue"/>
              <w:spacing w:before="40" w:after="40"/>
              <w:jc w:val="right"/>
              <w:rPr>
                <w:rFonts w:eastAsia="Calibri"/>
              </w:rPr>
            </w:pPr>
          </w:p>
        </w:tc>
        <w:tc>
          <w:tcPr>
            <w:tcW w:w="1134" w:type="dxa"/>
            <w:shd w:val="clear" w:color="auto" w:fill="FFFFFF"/>
            <w:tcMar>
              <w:top w:w="0" w:type="dxa"/>
              <w:left w:w="85" w:type="dxa"/>
              <w:bottom w:w="0" w:type="dxa"/>
              <w:right w:w="85" w:type="dxa"/>
            </w:tcMar>
            <w:vAlign w:val="center"/>
          </w:tcPr>
          <w:p w14:paraId="207C580B" w14:textId="77777777" w:rsidR="00447423" w:rsidRPr="002A3CBE" w:rsidRDefault="00447423" w:rsidP="00F16E23">
            <w:pPr>
              <w:pStyle w:val="Tableboldblue"/>
              <w:spacing w:before="40" w:after="40"/>
              <w:jc w:val="right"/>
              <w:rPr>
                <w:rFonts w:eastAsia="Calibri"/>
              </w:rPr>
            </w:pPr>
          </w:p>
        </w:tc>
      </w:tr>
      <w:tr w:rsidR="00447423" w:rsidRPr="002A3CBE" w14:paraId="2D38B795" w14:textId="77777777" w:rsidTr="00F16E23">
        <w:tc>
          <w:tcPr>
            <w:tcW w:w="2269" w:type="dxa"/>
            <w:shd w:val="clear" w:color="auto" w:fill="FFFFFF"/>
            <w:tcMar>
              <w:top w:w="0" w:type="dxa"/>
              <w:left w:w="85" w:type="dxa"/>
              <w:bottom w:w="0" w:type="dxa"/>
              <w:right w:w="85" w:type="dxa"/>
            </w:tcMar>
            <w:vAlign w:val="center"/>
          </w:tcPr>
          <w:p w14:paraId="0A299DD8" w14:textId="77777777" w:rsidR="00447423" w:rsidRPr="002A3CBE" w:rsidRDefault="00447423" w:rsidP="00F16E23">
            <w:pPr>
              <w:pStyle w:val="TableText"/>
              <w:spacing w:before="40" w:after="40"/>
              <w:rPr>
                <w:rFonts w:eastAsia="Calibri"/>
              </w:rPr>
            </w:pPr>
            <w:r w:rsidRPr="002A3CBE">
              <w:rPr>
                <w:rFonts w:eastAsia="Calibri"/>
              </w:rPr>
              <w:t>1990</w:t>
            </w:r>
          </w:p>
        </w:tc>
        <w:tc>
          <w:tcPr>
            <w:tcW w:w="1275" w:type="dxa"/>
            <w:shd w:val="clear" w:color="auto" w:fill="FFFFFF"/>
            <w:tcMar>
              <w:top w:w="0" w:type="dxa"/>
              <w:left w:w="85" w:type="dxa"/>
              <w:bottom w:w="0" w:type="dxa"/>
              <w:right w:w="85" w:type="dxa"/>
            </w:tcMar>
            <w:vAlign w:val="center"/>
          </w:tcPr>
          <w:p w14:paraId="79991E77" w14:textId="77777777" w:rsidR="00447423" w:rsidRPr="002A3CBE" w:rsidRDefault="00447423" w:rsidP="00F16E23">
            <w:pPr>
              <w:pStyle w:val="TableText"/>
              <w:spacing w:before="40" w:after="40"/>
              <w:jc w:val="right"/>
              <w:rPr>
                <w:rFonts w:eastAsia="Calibri"/>
              </w:rPr>
            </w:pPr>
            <w:r w:rsidRPr="002A3CBE">
              <w:rPr>
                <w:rFonts w:eastAsia="Calibri"/>
              </w:rPr>
              <w:t>14.8</w:t>
            </w:r>
          </w:p>
        </w:tc>
        <w:tc>
          <w:tcPr>
            <w:tcW w:w="1418" w:type="dxa"/>
            <w:shd w:val="clear" w:color="auto" w:fill="FFFFFF"/>
            <w:tcMar>
              <w:top w:w="0" w:type="dxa"/>
              <w:left w:w="85" w:type="dxa"/>
              <w:bottom w:w="0" w:type="dxa"/>
              <w:right w:w="85" w:type="dxa"/>
            </w:tcMar>
            <w:vAlign w:val="center"/>
          </w:tcPr>
          <w:p w14:paraId="0232A183" w14:textId="77777777" w:rsidR="00447423" w:rsidRPr="002A3CBE" w:rsidRDefault="00447423" w:rsidP="00F16E23">
            <w:pPr>
              <w:pStyle w:val="TableText"/>
              <w:spacing w:before="40" w:after="40"/>
              <w:jc w:val="right"/>
              <w:rPr>
                <w:rFonts w:eastAsia="Calibri"/>
              </w:rPr>
            </w:pPr>
            <w:r w:rsidRPr="002A3CBE">
              <w:rPr>
                <w:rFonts w:eastAsia="Calibri"/>
              </w:rPr>
              <w:t>14.7</w:t>
            </w:r>
          </w:p>
        </w:tc>
        <w:tc>
          <w:tcPr>
            <w:tcW w:w="2409" w:type="dxa"/>
            <w:shd w:val="clear" w:color="auto" w:fill="FFFFFF"/>
            <w:tcMar>
              <w:top w:w="0" w:type="dxa"/>
              <w:left w:w="85" w:type="dxa"/>
              <w:bottom w:w="0" w:type="dxa"/>
              <w:right w:w="85" w:type="dxa"/>
            </w:tcMar>
            <w:vAlign w:val="center"/>
          </w:tcPr>
          <w:p w14:paraId="6B6ACFD1" w14:textId="77777777" w:rsidR="00447423" w:rsidRPr="002A3CBE" w:rsidRDefault="00447423" w:rsidP="00F16E23">
            <w:pPr>
              <w:pStyle w:val="TableText"/>
              <w:spacing w:before="40" w:after="40"/>
              <w:jc w:val="right"/>
              <w:rPr>
                <w:rFonts w:eastAsia="Calibri"/>
              </w:rPr>
            </w:pPr>
            <w:r w:rsidRPr="002A3CBE">
              <w:rPr>
                <w:rFonts w:eastAsia="Calibri"/>
              </w:rPr>
              <w:t>-0.1</w:t>
            </w:r>
          </w:p>
        </w:tc>
        <w:tc>
          <w:tcPr>
            <w:tcW w:w="1134" w:type="dxa"/>
            <w:shd w:val="clear" w:color="auto" w:fill="FFFFFF"/>
            <w:tcMar>
              <w:top w:w="0" w:type="dxa"/>
              <w:left w:w="85" w:type="dxa"/>
              <w:bottom w:w="0" w:type="dxa"/>
              <w:right w:w="85" w:type="dxa"/>
            </w:tcMar>
            <w:vAlign w:val="center"/>
          </w:tcPr>
          <w:p w14:paraId="7BB36BBA" w14:textId="77777777" w:rsidR="00447423" w:rsidRPr="002A3CBE" w:rsidRDefault="00447423" w:rsidP="00F16E23">
            <w:pPr>
              <w:pStyle w:val="TableText"/>
              <w:spacing w:before="40" w:after="40"/>
              <w:jc w:val="right"/>
              <w:rPr>
                <w:rFonts w:eastAsia="Calibri"/>
              </w:rPr>
            </w:pPr>
            <w:r w:rsidRPr="002A3CBE">
              <w:rPr>
                <w:rFonts w:eastAsia="Calibri"/>
              </w:rPr>
              <w:t>-0.5</w:t>
            </w:r>
          </w:p>
        </w:tc>
      </w:tr>
      <w:tr w:rsidR="00447423" w:rsidRPr="002A3CBE" w14:paraId="3D735E11" w14:textId="77777777" w:rsidTr="00F16E23">
        <w:tc>
          <w:tcPr>
            <w:tcW w:w="2269" w:type="dxa"/>
            <w:shd w:val="clear" w:color="auto" w:fill="FFFFFF"/>
            <w:tcMar>
              <w:top w:w="0" w:type="dxa"/>
              <w:left w:w="85" w:type="dxa"/>
              <w:bottom w:w="0" w:type="dxa"/>
              <w:right w:w="85" w:type="dxa"/>
            </w:tcMar>
            <w:vAlign w:val="center"/>
          </w:tcPr>
          <w:p w14:paraId="73E79017" w14:textId="77777777" w:rsidR="00447423" w:rsidRPr="002A3CBE" w:rsidRDefault="00447423" w:rsidP="00F16E23">
            <w:pPr>
              <w:pStyle w:val="TableText"/>
              <w:spacing w:before="40" w:after="40"/>
              <w:rPr>
                <w:rFonts w:eastAsia="Calibri"/>
              </w:rPr>
            </w:pPr>
            <w:r w:rsidRPr="002A3CBE">
              <w:rPr>
                <w:rFonts w:eastAsia="Calibri"/>
              </w:rPr>
              <w:t>2023</w:t>
            </w:r>
          </w:p>
        </w:tc>
        <w:tc>
          <w:tcPr>
            <w:tcW w:w="1275" w:type="dxa"/>
            <w:shd w:val="clear" w:color="auto" w:fill="FFFFFF"/>
            <w:tcMar>
              <w:top w:w="0" w:type="dxa"/>
              <w:left w:w="85" w:type="dxa"/>
              <w:bottom w:w="0" w:type="dxa"/>
              <w:right w:w="85" w:type="dxa"/>
            </w:tcMar>
            <w:vAlign w:val="center"/>
          </w:tcPr>
          <w:p w14:paraId="158FAEB4" w14:textId="77777777" w:rsidR="00447423" w:rsidRPr="002A3CBE" w:rsidRDefault="00447423" w:rsidP="00F16E23">
            <w:pPr>
              <w:pStyle w:val="TableText"/>
              <w:spacing w:before="40" w:after="40"/>
              <w:jc w:val="right"/>
              <w:rPr>
                <w:rFonts w:eastAsia="Calibri"/>
              </w:rPr>
            </w:pPr>
            <w:r w:rsidRPr="002A3CBE">
              <w:rPr>
                <w:rFonts w:eastAsia="Calibri"/>
              </w:rPr>
              <w:t>86.1</w:t>
            </w:r>
          </w:p>
        </w:tc>
        <w:tc>
          <w:tcPr>
            <w:tcW w:w="1418" w:type="dxa"/>
            <w:shd w:val="clear" w:color="auto" w:fill="FFFFFF"/>
            <w:tcMar>
              <w:top w:w="0" w:type="dxa"/>
              <w:left w:w="85" w:type="dxa"/>
              <w:bottom w:w="0" w:type="dxa"/>
              <w:right w:w="85" w:type="dxa"/>
            </w:tcMar>
            <w:vAlign w:val="center"/>
          </w:tcPr>
          <w:p w14:paraId="442DFC0B" w14:textId="77777777" w:rsidR="00447423" w:rsidRPr="002A3CBE" w:rsidRDefault="00447423" w:rsidP="00F16E23">
            <w:pPr>
              <w:pStyle w:val="TableText"/>
              <w:spacing w:before="40" w:after="40"/>
              <w:jc w:val="right"/>
              <w:rPr>
                <w:rFonts w:eastAsia="Calibri"/>
              </w:rPr>
            </w:pPr>
            <w:r w:rsidRPr="002A3CBE">
              <w:rPr>
                <w:rFonts w:eastAsia="Calibri"/>
              </w:rPr>
              <w:t>76.9</w:t>
            </w:r>
          </w:p>
        </w:tc>
        <w:tc>
          <w:tcPr>
            <w:tcW w:w="2409" w:type="dxa"/>
            <w:shd w:val="clear" w:color="auto" w:fill="FFFFFF"/>
            <w:tcMar>
              <w:top w:w="0" w:type="dxa"/>
              <w:left w:w="85" w:type="dxa"/>
              <w:bottom w:w="0" w:type="dxa"/>
              <w:right w:w="85" w:type="dxa"/>
            </w:tcMar>
            <w:vAlign w:val="center"/>
          </w:tcPr>
          <w:p w14:paraId="332B04DE" w14:textId="77777777" w:rsidR="00447423" w:rsidRPr="002A3CBE" w:rsidRDefault="00447423" w:rsidP="00F16E23">
            <w:pPr>
              <w:pStyle w:val="TableText"/>
              <w:spacing w:before="40" w:after="40"/>
              <w:jc w:val="right"/>
              <w:rPr>
                <w:rFonts w:eastAsia="Calibri"/>
              </w:rPr>
            </w:pPr>
            <w:r w:rsidRPr="002A3CBE">
              <w:rPr>
                <w:rFonts w:eastAsia="Calibri"/>
              </w:rPr>
              <w:t>-9.2</w:t>
            </w:r>
          </w:p>
        </w:tc>
        <w:tc>
          <w:tcPr>
            <w:tcW w:w="1134" w:type="dxa"/>
            <w:shd w:val="clear" w:color="auto" w:fill="FFFFFF"/>
            <w:tcMar>
              <w:top w:w="0" w:type="dxa"/>
              <w:left w:w="85" w:type="dxa"/>
              <w:bottom w:w="0" w:type="dxa"/>
              <w:right w:w="85" w:type="dxa"/>
            </w:tcMar>
            <w:vAlign w:val="center"/>
          </w:tcPr>
          <w:p w14:paraId="14668E72" w14:textId="77777777" w:rsidR="00447423" w:rsidRPr="002A3CBE" w:rsidRDefault="00447423" w:rsidP="00F16E23">
            <w:pPr>
              <w:pStyle w:val="TableText"/>
              <w:spacing w:before="40" w:after="40"/>
              <w:jc w:val="right"/>
              <w:rPr>
                <w:rFonts w:eastAsia="Calibri"/>
              </w:rPr>
            </w:pPr>
            <w:r w:rsidRPr="002A3CBE">
              <w:rPr>
                <w:rFonts w:eastAsia="Calibri"/>
              </w:rPr>
              <w:t>-10.7</w:t>
            </w:r>
          </w:p>
        </w:tc>
      </w:tr>
      <w:tr w:rsidR="00447423" w:rsidRPr="002A3CBE" w14:paraId="1BC04AD1" w14:textId="77777777" w:rsidTr="00F16E23">
        <w:tc>
          <w:tcPr>
            <w:tcW w:w="2269" w:type="dxa"/>
            <w:shd w:val="clear" w:color="auto" w:fill="FFFFFF"/>
            <w:tcMar>
              <w:top w:w="0" w:type="dxa"/>
              <w:left w:w="85" w:type="dxa"/>
              <w:bottom w:w="0" w:type="dxa"/>
              <w:right w:w="85" w:type="dxa"/>
            </w:tcMar>
            <w:vAlign w:val="center"/>
          </w:tcPr>
          <w:p w14:paraId="0DEC83ED" w14:textId="77777777" w:rsidR="00447423" w:rsidRPr="002A3CBE" w:rsidRDefault="00447423" w:rsidP="00F16E23">
            <w:pPr>
              <w:pStyle w:val="Tableboldblue"/>
              <w:spacing w:before="40" w:after="40"/>
              <w:rPr>
                <w:rFonts w:eastAsia="Calibri"/>
              </w:rPr>
            </w:pPr>
            <w:r w:rsidRPr="002A3CBE">
              <w:rPr>
                <w:rFonts w:eastAsia="Calibri"/>
              </w:rPr>
              <w:t>Area (hectares)</w:t>
            </w:r>
          </w:p>
        </w:tc>
        <w:tc>
          <w:tcPr>
            <w:tcW w:w="1275" w:type="dxa"/>
            <w:shd w:val="clear" w:color="auto" w:fill="FFFFFF"/>
            <w:tcMar>
              <w:top w:w="0" w:type="dxa"/>
              <w:left w:w="85" w:type="dxa"/>
              <w:bottom w:w="0" w:type="dxa"/>
              <w:right w:w="85" w:type="dxa"/>
            </w:tcMar>
            <w:vAlign w:val="center"/>
          </w:tcPr>
          <w:p w14:paraId="458DD518" w14:textId="77777777" w:rsidR="00447423" w:rsidRPr="002A3CBE" w:rsidRDefault="00447423" w:rsidP="00F16E23">
            <w:pPr>
              <w:pStyle w:val="Tableboldblue"/>
              <w:spacing w:before="40" w:after="40"/>
              <w:jc w:val="right"/>
              <w:rPr>
                <w:rFonts w:eastAsia="Calibri"/>
              </w:rPr>
            </w:pPr>
          </w:p>
        </w:tc>
        <w:tc>
          <w:tcPr>
            <w:tcW w:w="1418" w:type="dxa"/>
            <w:shd w:val="clear" w:color="auto" w:fill="FFFFFF"/>
            <w:tcMar>
              <w:top w:w="0" w:type="dxa"/>
              <w:left w:w="85" w:type="dxa"/>
              <w:bottom w:w="0" w:type="dxa"/>
              <w:right w:w="85" w:type="dxa"/>
            </w:tcMar>
            <w:vAlign w:val="center"/>
          </w:tcPr>
          <w:p w14:paraId="6D34C3D2" w14:textId="77777777" w:rsidR="00447423" w:rsidRPr="002A3CBE" w:rsidRDefault="00447423" w:rsidP="00F16E23">
            <w:pPr>
              <w:pStyle w:val="Tableboldblue"/>
              <w:spacing w:before="40" w:after="40"/>
              <w:jc w:val="right"/>
              <w:rPr>
                <w:rFonts w:eastAsia="Calibri"/>
              </w:rPr>
            </w:pPr>
          </w:p>
        </w:tc>
        <w:tc>
          <w:tcPr>
            <w:tcW w:w="2409" w:type="dxa"/>
            <w:shd w:val="clear" w:color="auto" w:fill="FFFFFF"/>
            <w:tcMar>
              <w:top w:w="0" w:type="dxa"/>
              <w:left w:w="85" w:type="dxa"/>
              <w:bottom w:w="0" w:type="dxa"/>
              <w:right w:w="85" w:type="dxa"/>
            </w:tcMar>
            <w:vAlign w:val="center"/>
          </w:tcPr>
          <w:p w14:paraId="1C4941C8" w14:textId="77777777" w:rsidR="00447423" w:rsidRPr="002A3CBE" w:rsidRDefault="00447423" w:rsidP="00F16E23">
            <w:pPr>
              <w:pStyle w:val="Tableboldblue"/>
              <w:spacing w:before="40" w:after="40"/>
              <w:jc w:val="right"/>
              <w:rPr>
                <w:rFonts w:eastAsia="Calibri"/>
              </w:rPr>
            </w:pPr>
          </w:p>
        </w:tc>
        <w:tc>
          <w:tcPr>
            <w:tcW w:w="1134" w:type="dxa"/>
            <w:shd w:val="clear" w:color="auto" w:fill="FFFFFF"/>
            <w:tcMar>
              <w:top w:w="0" w:type="dxa"/>
              <w:left w:w="85" w:type="dxa"/>
              <w:bottom w:w="0" w:type="dxa"/>
              <w:right w:w="85" w:type="dxa"/>
            </w:tcMar>
            <w:vAlign w:val="center"/>
          </w:tcPr>
          <w:p w14:paraId="416D5E1D" w14:textId="77777777" w:rsidR="00447423" w:rsidRPr="002A3CBE" w:rsidRDefault="00447423" w:rsidP="00F16E23">
            <w:pPr>
              <w:pStyle w:val="Tableboldblue"/>
              <w:spacing w:before="40" w:after="40"/>
              <w:jc w:val="right"/>
              <w:rPr>
                <w:rFonts w:eastAsia="Calibri"/>
              </w:rPr>
            </w:pPr>
          </w:p>
        </w:tc>
      </w:tr>
      <w:tr w:rsidR="00447423" w:rsidRPr="002A3CBE" w14:paraId="7BE4378D" w14:textId="77777777" w:rsidTr="00F16E23">
        <w:tc>
          <w:tcPr>
            <w:tcW w:w="2269" w:type="dxa"/>
            <w:shd w:val="clear" w:color="auto" w:fill="FFFFFF"/>
            <w:tcMar>
              <w:top w:w="0" w:type="dxa"/>
              <w:left w:w="85" w:type="dxa"/>
              <w:bottom w:w="0" w:type="dxa"/>
              <w:right w:w="85" w:type="dxa"/>
            </w:tcMar>
            <w:vAlign w:val="center"/>
          </w:tcPr>
          <w:p w14:paraId="3B02E3F5" w14:textId="77777777" w:rsidR="00447423" w:rsidRPr="002A3CBE" w:rsidRDefault="00447423" w:rsidP="00F16E23">
            <w:pPr>
              <w:pStyle w:val="TableText"/>
              <w:spacing w:before="40" w:after="40"/>
              <w:rPr>
                <w:rFonts w:eastAsia="Calibri"/>
              </w:rPr>
            </w:pPr>
            <w:r w:rsidRPr="002A3CBE">
              <w:rPr>
                <w:rFonts w:eastAsia="Calibri"/>
              </w:rPr>
              <w:t>1990</w:t>
            </w:r>
          </w:p>
        </w:tc>
        <w:tc>
          <w:tcPr>
            <w:tcW w:w="1275" w:type="dxa"/>
            <w:shd w:val="clear" w:color="auto" w:fill="FFFFFF"/>
            <w:tcMar>
              <w:top w:w="0" w:type="dxa"/>
              <w:left w:w="85" w:type="dxa"/>
              <w:bottom w:w="0" w:type="dxa"/>
              <w:right w:w="85" w:type="dxa"/>
            </w:tcMar>
            <w:vAlign w:val="center"/>
          </w:tcPr>
          <w:p w14:paraId="78EFF209" w14:textId="77777777" w:rsidR="00447423" w:rsidRPr="002A3CBE" w:rsidRDefault="00447423" w:rsidP="00F16E23">
            <w:pPr>
              <w:pStyle w:val="TableText"/>
              <w:spacing w:before="40" w:after="40"/>
              <w:jc w:val="right"/>
              <w:rPr>
                <w:rFonts w:eastAsia="Calibri"/>
              </w:rPr>
            </w:pPr>
            <w:r w:rsidRPr="002A3CBE">
              <w:rPr>
                <w:rFonts w:eastAsia="Calibri"/>
              </w:rPr>
              <w:t>895,640</w:t>
            </w:r>
          </w:p>
        </w:tc>
        <w:tc>
          <w:tcPr>
            <w:tcW w:w="1418" w:type="dxa"/>
            <w:shd w:val="clear" w:color="auto" w:fill="FFFFFF"/>
            <w:tcMar>
              <w:top w:w="0" w:type="dxa"/>
              <w:left w:w="85" w:type="dxa"/>
              <w:bottom w:w="0" w:type="dxa"/>
              <w:right w:w="85" w:type="dxa"/>
            </w:tcMar>
            <w:vAlign w:val="center"/>
          </w:tcPr>
          <w:p w14:paraId="282540C7" w14:textId="77777777" w:rsidR="00447423" w:rsidRPr="002A3CBE" w:rsidRDefault="00447423" w:rsidP="00F16E23">
            <w:pPr>
              <w:pStyle w:val="TableText"/>
              <w:spacing w:before="40" w:after="40"/>
              <w:jc w:val="right"/>
              <w:rPr>
                <w:rFonts w:eastAsia="Calibri"/>
              </w:rPr>
            </w:pPr>
            <w:r w:rsidRPr="002A3CBE">
              <w:rPr>
                <w:rFonts w:eastAsia="Calibri"/>
              </w:rPr>
              <w:t>895,641</w:t>
            </w:r>
          </w:p>
        </w:tc>
        <w:tc>
          <w:tcPr>
            <w:tcW w:w="2409" w:type="dxa"/>
            <w:shd w:val="clear" w:color="auto" w:fill="FFFFFF"/>
            <w:tcMar>
              <w:top w:w="0" w:type="dxa"/>
              <w:left w:w="85" w:type="dxa"/>
              <w:bottom w:w="0" w:type="dxa"/>
              <w:right w:w="85" w:type="dxa"/>
            </w:tcMar>
            <w:vAlign w:val="center"/>
          </w:tcPr>
          <w:p w14:paraId="3832CF5C" w14:textId="77777777" w:rsidR="00447423" w:rsidRPr="002A3CBE" w:rsidRDefault="00447423" w:rsidP="00F16E23">
            <w:pPr>
              <w:pStyle w:val="TableText"/>
              <w:spacing w:before="40" w:after="40"/>
              <w:jc w:val="right"/>
              <w:rPr>
                <w:rFonts w:eastAsia="Calibri"/>
              </w:rPr>
            </w:pPr>
            <w:r w:rsidRPr="002A3CBE">
              <w:rPr>
                <w:rFonts w:eastAsia="Calibri"/>
              </w:rPr>
              <w:t>0</w:t>
            </w:r>
          </w:p>
        </w:tc>
        <w:tc>
          <w:tcPr>
            <w:tcW w:w="1134" w:type="dxa"/>
            <w:shd w:val="clear" w:color="auto" w:fill="FFFFFF"/>
            <w:tcMar>
              <w:top w:w="0" w:type="dxa"/>
              <w:left w:w="85" w:type="dxa"/>
              <w:bottom w:w="0" w:type="dxa"/>
              <w:right w:w="85" w:type="dxa"/>
            </w:tcMar>
            <w:vAlign w:val="center"/>
          </w:tcPr>
          <w:p w14:paraId="1049D7B0" w14:textId="77777777" w:rsidR="00447423" w:rsidRPr="002A3CBE" w:rsidRDefault="00447423" w:rsidP="00F16E23">
            <w:pPr>
              <w:pStyle w:val="TableText"/>
              <w:spacing w:before="40" w:after="40"/>
              <w:jc w:val="right"/>
              <w:rPr>
                <w:rFonts w:eastAsia="Calibri"/>
              </w:rPr>
            </w:pPr>
            <w:r w:rsidRPr="002A3CBE">
              <w:rPr>
                <w:rFonts w:eastAsia="Calibri"/>
              </w:rPr>
              <w:t>0.0</w:t>
            </w:r>
          </w:p>
        </w:tc>
      </w:tr>
      <w:tr w:rsidR="00447423" w:rsidRPr="002A3CBE" w14:paraId="6B1393A4" w14:textId="77777777" w:rsidTr="00F16E23">
        <w:tc>
          <w:tcPr>
            <w:tcW w:w="2269" w:type="dxa"/>
            <w:shd w:val="clear" w:color="auto" w:fill="FFFFFF"/>
            <w:tcMar>
              <w:top w:w="0" w:type="dxa"/>
              <w:left w:w="85" w:type="dxa"/>
              <w:bottom w:w="0" w:type="dxa"/>
              <w:right w:w="85" w:type="dxa"/>
            </w:tcMar>
            <w:vAlign w:val="center"/>
          </w:tcPr>
          <w:p w14:paraId="7D341A66" w14:textId="77777777" w:rsidR="00447423" w:rsidRPr="002A3CBE" w:rsidRDefault="00447423" w:rsidP="00F16E23">
            <w:pPr>
              <w:pStyle w:val="TableText"/>
              <w:spacing w:before="40" w:after="40"/>
              <w:rPr>
                <w:rFonts w:eastAsia="Calibri"/>
              </w:rPr>
            </w:pPr>
            <w:r w:rsidRPr="002A3CBE">
              <w:rPr>
                <w:rFonts w:eastAsia="Calibri"/>
              </w:rPr>
              <w:t>2023</w:t>
            </w:r>
          </w:p>
        </w:tc>
        <w:tc>
          <w:tcPr>
            <w:tcW w:w="1275" w:type="dxa"/>
            <w:shd w:val="clear" w:color="auto" w:fill="FFFFFF"/>
            <w:tcMar>
              <w:top w:w="0" w:type="dxa"/>
              <w:left w:w="85" w:type="dxa"/>
              <w:bottom w:w="0" w:type="dxa"/>
              <w:right w:w="85" w:type="dxa"/>
            </w:tcMar>
            <w:vAlign w:val="center"/>
          </w:tcPr>
          <w:p w14:paraId="52E5B6C3" w14:textId="77777777" w:rsidR="00447423" w:rsidRPr="002A3CBE" w:rsidRDefault="00447423" w:rsidP="00F16E23">
            <w:pPr>
              <w:pStyle w:val="TableText"/>
              <w:spacing w:before="40" w:after="40"/>
              <w:jc w:val="right"/>
              <w:rPr>
                <w:rFonts w:eastAsia="Calibri"/>
              </w:rPr>
            </w:pPr>
            <w:r w:rsidRPr="002A3CBE">
              <w:rPr>
                <w:rFonts w:eastAsia="Calibri"/>
              </w:rPr>
              <w:t>896,950</w:t>
            </w:r>
          </w:p>
        </w:tc>
        <w:tc>
          <w:tcPr>
            <w:tcW w:w="1418" w:type="dxa"/>
            <w:shd w:val="clear" w:color="auto" w:fill="FFFFFF"/>
            <w:tcMar>
              <w:top w:w="0" w:type="dxa"/>
              <w:left w:w="85" w:type="dxa"/>
              <w:bottom w:w="0" w:type="dxa"/>
              <w:right w:w="85" w:type="dxa"/>
            </w:tcMar>
            <w:vAlign w:val="center"/>
          </w:tcPr>
          <w:p w14:paraId="51A12C7B" w14:textId="77777777" w:rsidR="00447423" w:rsidRPr="002A3CBE" w:rsidRDefault="00447423" w:rsidP="00F16E23">
            <w:pPr>
              <w:pStyle w:val="TableText"/>
              <w:spacing w:before="40" w:after="40"/>
              <w:jc w:val="right"/>
              <w:rPr>
                <w:rFonts w:eastAsia="Calibri"/>
              </w:rPr>
            </w:pPr>
            <w:r w:rsidRPr="002A3CBE">
              <w:rPr>
                <w:rFonts w:eastAsia="Calibri"/>
              </w:rPr>
              <w:t>896,887</w:t>
            </w:r>
          </w:p>
        </w:tc>
        <w:tc>
          <w:tcPr>
            <w:tcW w:w="2409" w:type="dxa"/>
            <w:shd w:val="clear" w:color="auto" w:fill="FFFFFF"/>
            <w:tcMar>
              <w:top w:w="0" w:type="dxa"/>
              <w:left w:w="85" w:type="dxa"/>
              <w:bottom w:w="0" w:type="dxa"/>
              <w:right w:w="85" w:type="dxa"/>
            </w:tcMar>
            <w:vAlign w:val="center"/>
          </w:tcPr>
          <w:p w14:paraId="2F345C20" w14:textId="77777777" w:rsidR="00447423" w:rsidRPr="002A3CBE" w:rsidRDefault="00447423" w:rsidP="00F16E23">
            <w:pPr>
              <w:pStyle w:val="TableText"/>
              <w:spacing w:before="40" w:after="40"/>
              <w:jc w:val="right"/>
              <w:rPr>
                <w:rFonts w:eastAsia="Calibri"/>
              </w:rPr>
            </w:pPr>
            <w:r w:rsidRPr="002A3CBE">
              <w:rPr>
                <w:rFonts w:eastAsia="Calibri"/>
              </w:rPr>
              <w:t>-63</w:t>
            </w:r>
          </w:p>
        </w:tc>
        <w:tc>
          <w:tcPr>
            <w:tcW w:w="1134" w:type="dxa"/>
            <w:shd w:val="clear" w:color="auto" w:fill="FFFFFF"/>
            <w:tcMar>
              <w:top w:w="0" w:type="dxa"/>
              <w:left w:w="85" w:type="dxa"/>
              <w:bottom w:w="0" w:type="dxa"/>
              <w:right w:w="85" w:type="dxa"/>
            </w:tcMar>
            <w:vAlign w:val="center"/>
          </w:tcPr>
          <w:p w14:paraId="06BF119E" w14:textId="77777777" w:rsidR="00447423" w:rsidRPr="002A3CBE" w:rsidRDefault="00447423" w:rsidP="00F16E23">
            <w:pPr>
              <w:pStyle w:val="TableText"/>
              <w:spacing w:before="40" w:after="40"/>
              <w:jc w:val="right"/>
              <w:rPr>
                <w:rFonts w:eastAsia="Calibri"/>
              </w:rPr>
            </w:pPr>
            <w:r w:rsidRPr="002A3CBE">
              <w:rPr>
                <w:rFonts w:eastAsia="Calibri"/>
              </w:rPr>
              <w:t>-0.0</w:t>
            </w:r>
          </w:p>
        </w:tc>
      </w:tr>
    </w:tbl>
    <w:p w14:paraId="6913F216" w14:textId="77777777" w:rsidR="00447423" w:rsidRPr="002A3CBE" w:rsidRDefault="00447423" w:rsidP="00447423">
      <w:pPr>
        <w:pStyle w:val="Heading3"/>
        <w:spacing w:before="440"/>
      </w:pPr>
      <w:r w:rsidRPr="002A3CBE">
        <w:t>6.9.6</w:t>
      </w:r>
      <w:r w:rsidRPr="002A3CBE">
        <w:tab/>
        <w:t>Category-specific planned improvements</w:t>
      </w:r>
    </w:p>
    <w:p w14:paraId="3D3B2B68" w14:textId="77777777" w:rsidR="00447423" w:rsidRPr="002A3CBE" w:rsidRDefault="00447423" w:rsidP="00447423">
      <w:pPr>
        <w:pStyle w:val="BodyText"/>
        <w:spacing w:before="100" w:after="100"/>
      </w:pPr>
      <w:r w:rsidRPr="002A3CBE">
        <w:t xml:space="preserve">The reference SOC value, based on only three estimates, is high compared with the default value given in the IPCC Guidelines (IPCC, 2006a) and has a relatively high uncertainty. Further soil sampling in land classified as </w:t>
      </w:r>
      <w:r w:rsidRPr="002A3CBE">
        <w:rPr>
          <w:i/>
        </w:rPr>
        <w:t>Other land</w:t>
      </w:r>
      <w:r w:rsidRPr="002A3CBE">
        <w:t xml:space="preserve"> is under way to improve soil carbon estimates in </w:t>
      </w:r>
      <w:r w:rsidRPr="002A3CBE">
        <w:rPr>
          <w:spacing w:val="-2"/>
        </w:rPr>
        <w:t xml:space="preserve">this land use category. Comparison of land mapped as </w:t>
      </w:r>
      <w:r w:rsidRPr="002A3CBE">
        <w:rPr>
          <w:i/>
          <w:iCs/>
          <w:spacing w:val="-2"/>
        </w:rPr>
        <w:t>Other land</w:t>
      </w:r>
      <w:r w:rsidRPr="002A3CBE">
        <w:rPr>
          <w:spacing w:val="-2"/>
        </w:rPr>
        <w:t xml:space="preserve"> with land cover mapping from the latest update to New Zealand’s national land cover map (Land Cover Database version 6) has identified areas where another land use classification would be more appropriate</w:t>
      </w:r>
      <w:r w:rsidRPr="002A3CBE">
        <w:t xml:space="preserve"> than </w:t>
      </w:r>
      <w:r w:rsidRPr="002A3CBE">
        <w:rPr>
          <w:i/>
          <w:iCs/>
        </w:rPr>
        <w:t>Other land</w:t>
      </w:r>
      <w:r w:rsidRPr="002A3CBE">
        <w:t>. These areas will be reclassified as part of mapping improvements included with the next update to the LUCAS land use map (LUM 2025). This map will to be completed by June 2027, providing updated activity data for the 2028 Inventory submission.</w:t>
      </w:r>
    </w:p>
    <w:p w14:paraId="21FD0076" w14:textId="77777777" w:rsidR="00447423" w:rsidRPr="002A3CBE" w:rsidRDefault="00447423" w:rsidP="00447423">
      <w:pPr>
        <w:pStyle w:val="Heading2"/>
      </w:pPr>
      <w:bookmarkStart w:id="2827" w:name="_Toc131591256"/>
      <w:bookmarkStart w:id="2828" w:name="_Toc158980303"/>
      <w:bookmarkStart w:id="2829" w:name="_Toc164154211"/>
      <w:bookmarkStart w:id="2830" w:name="_Toc194312036"/>
      <w:bookmarkStart w:id="2831" w:name="_Toc226460790"/>
      <w:r w:rsidRPr="002A3CBE">
        <w:t>6.10</w:t>
      </w:r>
      <w:r w:rsidRPr="002A3CBE">
        <w:tab/>
        <w:t>Harvested wood products (4G)</w:t>
      </w:r>
      <w:bookmarkEnd w:id="2827"/>
      <w:bookmarkEnd w:id="2828"/>
      <w:bookmarkEnd w:id="2829"/>
      <w:bookmarkEnd w:id="2830"/>
      <w:bookmarkEnd w:id="2831"/>
    </w:p>
    <w:p w14:paraId="020773E1" w14:textId="77777777" w:rsidR="00447423" w:rsidRPr="002A3CBE" w:rsidRDefault="00447423" w:rsidP="00447423">
      <w:pPr>
        <w:pStyle w:val="Heading3"/>
        <w:spacing w:before="240"/>
      </w:pPr>
      <w:r w:rsidRPr="002A3CBE">
        <w:t>6.10.1</w:t>
      </w:r>
      <w:r w:rsidRPr="002A3CBE">
        <w:tab/>
        <w:t>Description</w:t>
      </w:r>
    </w:p>
    <w:p w14:paraId="72F53D60" w14:textId="77777777" w:rsidR="00447423" w:rsidRPr="002A3CBE" w:rsidRDefault="00447423" w:rsidP="00447423">
      <w:pPr>
        <w:pStyle w:val="BodyText"/>
        <w:spacing w:before="100" w:after="100"/>
      </w:pPr>
      <w:r w:rsidRPr="002A3CBE">
        <w:t xml:space="preserve">In 2024, the net emissions from </w:t>
      </w:r>
      <w:r w:rsidRPr="002A3CBE">
        <w:rPr>
          <w:i/>
        </w:rPr>
        <w:t xml:space="preserve">Harvested wood products </w:t>
      </w:r>
      <w:r w:rsidRPr="002A3CBE">
        <w:t>were -5,328.1 kt CO</w:t>
      </w:r>
      <w:r w:rsidRPr="002A3CBE">
        <w:rPr>
          <w:vertAlign w:val="subscript"/>
        </w:rPr>
        <w:t>2</w:t>
      </w:r>
      <w:r w:rsidRPr="002A3CBE">
        <w:t xml:space="preserve">e. This is 2,890.4 </w:t>
      </w:r>
      <w:r w:rsidRPr="002A3CBE">
        <w:rPr>
          <w:spacing w:val="-2"/>
        </w:rPr>
        <w:t>kt CO</w:t>
      </w:r>
      <w:r w:rsidRPr="002A3CBE">
        <w:rPr>
          <w:spacing w:val="-2"/>
          <w:vertAlign w:val="subscript"/>
        </w:rPr>
        <w:t>2</w:t>
      </w:r>
      <w:r w:rsidRPr="002A3CBE">
        <w:rPr>
          <w:spacing w:val="-2"/>
        </w:rPr>
        <w:t>e (</w:t>
      </w:r>
      <w:r w:rsidRPr="002A3CBE">
        <w:t xml:space="preserve">138.3 </w:t>
      </w:r>
      <w:r w:rsidRPr="002A3CBE">
        <w:rPr>
          <w:spacing w:val="-2"/>
        </w:rPr>
        <w:t xml:space="preserve">percent) lower than the 1990 level of </w:t>
      </w:r>
      <w:r w:rsidRPr="002A3CBE">
        <w:t xml:space="preserve">-2,437.8 </w:t>
      </w:r>
      <w:r w:rsidRPr="002A3CBE">
        <w:rPr>
          <w:spacing w:val="-2"/>
        </w:rPr>
        <w:t>kt CO</w:t>
      </w:r>
      <w:r w:rsidRPr="002A3CBE">
        <w:rPr>
          <w:spacing w:val="-2"/>
          <w:vertAlign w:val="subscript"/>
        </w:rPr>
        <w:t>2</w:t>
      </w:r>
      <w:r w:rsidRPr="002A3CBE">
        <w:rPr>
          <w:spacing w:val="-2"/>
        </w:rPr>
        <w:t>e. The decrease</w:t>
      </w:r>
      <w:r w:rsidRPr="002A3CBE">
        <w:t xml:space="preserve"> in emissions in the </w:t>
      </w:r>
      <w:r w:rsidRPr="002A3CBE">
        <w:rPr>
          <w:i/>
        </w:rPr>
        <w:t xml:space="preserve">Harvested wood products </w:t>
      </w:r>
      <w:r w:rsidRPr="002A3CBE">
        <w:t>category</w:t>
      </w:r>
      <w:r w:rsidRPr="002A3CBE">
        <w:rPr>
          <w:i/>
        </w:rPr>
        <w:t xml:space="preserve"> </w:t>
      </w:r>
      <w:r w:rsidRPr="002A3CBE">
        <w:t>is driven by the increase in harvesting and production of roundwood that has occurred since 1990, as shown in figure 6.10.1.</w:t>
      </w:r>
    </w:p>
    <w:p w14:paraId="45408663" w14:textId="77777777" w:rsidR="00447423" w:rsidRPr="002A3CBE" w:rsidRDefault="00447423" w:rsidP="00447423">
      <w:pPr>
        <w:pStyle w:val="BodyText"/>
        <w:spacing w:before="100" w:after="100"/>
      </w:pPr>
      <w:r w:rsidRPr="002A3CBE">
        <w:t xml:space="preserve">Net emissions in the </w:t>
      </w:r>
      <w:r w:rsidRPr="002A3CBE">
        <w:rPr>
          <w:i/>
        </w:rPr>
        <w:t xml:space="preserve">Harvested wood products </w:t>
      </w:r>
      <w:r w:rsidRPr="002A3CBE">
        <w:t xml:space="preserve">category are driven by the harvesting of planted forests to produce roundwood, resulting in changes to the carbon stock of this pool. The </w:t>
      </w:r>
      <w:r w:rsidRPr="002A3CBE">
        <w:rPr>
          <w:iCs/>
        </w:rPr>
        <w:t>harvested wood products</w:t>
      </w:r>
      <w:r w:rsidRPr="002A3CBE">
        <w:rPr>
          <w:i/>
        </w:rPr>
        <w:t xml:space="preserve"> </w:t>
      </w:r>
      <w:r w:rsidRPr="002A3CBE">
        <w:t xml:space="preserve">pool gains carbon as new </w:t>
      </w:r>
      <w:r w:rsidRPr="002A3CBE">
        <w:rPr>
          <w:iCs/>
        </w:rPr>
        <w:t>harvested wood products</w:t>
      </w:r>
      <w:r w:rsidRPr="002A3CBE">
        <w:t xml:space="preserve"> are created. Losses from the </w:t>
      </w:r>
      <w:r w:rsidRPr="002A3CBE">
        <w:rPr>
          <w:iCs/>
        </w:rPr>
        <w:t>harvested wood products</w:t>
      </w:r>
      <w:r w:rsidRPr="002A3CBE">
        <w:t xml:space="preserve"> pool occur due to products being discarded. To account for these losses through time, a decay profile, or half-life, is applied for each product type. </w:t>
      </w:r>
    </w:p>
    <w:p w14:paraId="57704DC5" w14:textId="77777777" w:rsidR="00447423" w:rsidRPr="002A3CBE" w:rsidRDefault="00447423" w:rsidP="00447423">
      <w:pPr>
        <w:pStyle w:val="BodyText"/>
        <w:spacing w:before="100" w:after="100"/>
        <w:rPr>
          <w:spacing w:val="-2"/>
        </w:rPr>
      </w:pPr>
      <w:r w:rsidRPr="002A3CBE">
        <w:t xml:space="preserve">Between 2023 and 2024 net emissions in the </w:t>
      </w:r>
      <w:r w:rsidRPr="002A3CBE">
        <w:rPr>
          <w:i/>
        </w:rPr>
        <w:t>Harvested wood products </w:t>
      </w:r>
      <w:r w:rsidRPr="002A3CBE">
        <w:t xml:space="preserve">category increased by 480.5 </w:t>
      </w:r>
      <w:r w:rsidRPr="002A3CBE">
        <w:rPr>
          <w:spacing w:val="-2"/>
        </w:rPr>
        <w:t>kt CO</w:t>
      </w:r>
      <w:r w:rsidRPr="002A3CBE">
        <w:rPr>
          <w:spacing w:val="-2"/>
          <w:vertAlign w:val="subscript"/>
        </w:rPr>
        <w:t>2</w:t>
      </w:r>
      <w:r w:rsidRPr="002A3CBE">
        <w:rPr>
          <w:spacing w:val="-2"/>
        </w:rPr>
        <w:t xml:space="preserve">e. The reason for this change was that harvest stabilised at a level lower than previous years (figure 6.4.3), resulting in the inputs into the harvested wood products pool being surpassed by the emissions from this pool through the decay of the carbon allocated to it. </w:t>
      </w:r>
    </w:p>
    <w:p w14:paraId="0A645530" w14:textId="77777777" w:rsidR="00447423" w:rsidRPr="002A3CBE" w:rsidRDefault="00447423" w:rsidP="00447423">
      <w:pPr>
        <w:pStyle w:val="Figure"/>
        <w:spacing w:before="100" w:after="0"/>
      </w:pPr>
      <w:bookmarkStart w:id="2832" w:name="_Toc405448097"/>
      <w:bookmarkStart w:id="2833" w:name="_Toc414531629"/>
      <w:bookmarkStart w:id="2834" w:name="_Toc474914653"/>
      <w:bookmarkStart w:id="2835" w:name="_Toc481752035"/>
      <w:bookmarkStart w:id="2836" w:name="_Toc522010713"/>
      <w:bookmarkStart w:id="2837" w:name="_Toc33529488"/>
      <w:bookmarkStart w:id="2838" w:name="_Toc36292818"/>
      <w:bookmarkStart w:id="2839" w:name="_Toc131591576"/>
      <w:bookmarkStart w:id="2840" w:name="_Toc158979916"/>
      <w:bookmarkStart w:id="2841" w:name="_Toc164154044"/>
      <w:bookmarkStart w:id="2842" w:name="_Toc190873413"/>
      <w:bookmarkStart w:id="2843" w:name="_Toc194674877"/>
      <w:bookmarkStart w:id="2844" w:name="_Toc222837977"/>
      <w:bookmarkStart w:id="2845" w:name="_Toc226200704"/>
      <w:bookmarkStart w:id="2846" w:name="_Toc5269715"/>
      <w:r w:rsidRPr="002A3CBE">
        <w:t>Figure 6.10.1</w:t>
      </w:r>
      <w:r w:rsidRPr="002A3CBE">
        <w:tab/>
        <w:t>Volume of roundwood produced and exported, from 1990 to </w:t>
      </w:r>
      <w:bookmarkEnd w:id="2832"/>
      <w:bookmarkEnd w:id="2833"/>
      <w:bookmarkEnd w:id="2834"/>
      <w:bookmarkEnd w:id="2835"/>
      <w:bookmarkEnd w:id="2836"/>
      <w:bookmarkEnd w:id="2837"/>
      <w:bookmarkEnd w:id="2838"/>
      <w:bookmarkEnd w:id="2839"/>
      <w:bookmarkEnd w:id="2840"/>
      <w:bookmarkEnd w:id="2841"/>
      <w:bookmarkEnd w:id="2842"/>
      <w:bookmarkEnd w:id="2843"/>
      <w:r w:rsidRPr="002A3CBE">
        <w:t>2024</w:t>
      </w:r>
      <w:bookmarkEnd w:id="2844"/>
      <w:bookmarkEnd w:id="2845"/>
    </w:p>
    <w:p w14:paraId="4624C504" w14:textId="77777777" w:rsidR="00447423" w:rsidRPr="002A3CBE" w:rsidRDefault="00447423" w:rsidP="00447423">
      <w:pPr>
        <w:pStyle w:val="BodyText"/>
        <w:spacing w:after="80"/>
        <w:jc w:val="center"/>
      </w:pPr>
      <w:r w:rsidRPr="002A3CBE">
        <w:rPr>
          <w:noProof/>
        </w:rPr>
        <w:drawing>
          <wp:inline distT="0" distB="0" distL="0" distR="0" wp14:anchorId="4800589C" wp14:editId="505422B4">
            <wp:extent cx="4484077" cy="3518276"/>
            <wp:effectExtent l="0" t="0" r="0" b="6350"/>
            <wp:docPr id="1814789472" name="Picture 1814789472" descr="A graph of growth and prog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89472" name="Picture 1814789472" descr="A graph of growth and progress&#10;&#10;AI-generated content may be incorrect."/>
                    <pic:cNvPicPr>
                      <a:picLocks noChangeAspect="1" noChangeArrowheads="1"/>
                    </pic:cNvPicPr>
                  </pic:nvPicPr>
                  <pic:blipFill rotWithShape="1">
                    <a:blip r:embed="rId224"/>
                    <a:srcRect t="1" b="1922"/>
                    <a:stretch>
                      <a:fillRect/>
                    </a:stretch>
                  </pic:blipFill>
                  <pic:spPr bwMode="auto">
                    <a:xfrm>
                      <a:off x="0" y="0"/>
                      <a:ext cx="4488540" cy="3521777"/>
                    </a:xfrm>
                    <a:prstGeom prst="rect">
                      <a:avLst/>
                    </a:prstGeom>
                    <a:noFill/>
                    <a:ln>
                      <a:noFill/>
                    </a:ln>
                    <a:extLst>
                      <a:ext uri="{53640926-AAD7-44D8-BBD7-CCE9431645EC}">
                        <a14:shadowObscured xmlns:a14="http://schemas.microsoft.com/office/drawing/2010/main"/>
                      </a:ext>
                    </a:extLst>
                  </pic:spPr>
                </pic:pic>
              </a:graphicData>
            </a:graphic>
          </wp:inline>
        </w:drawing>
      </w:r>
    </w:p>
    <w:bookmarkEnd w:id="2846"/>
    <w:p w14:paraId="0BA6F53C" w14:textId="77777777" w:rsidR="00447423" w:rsidRPr="002A3CBE" w:rsidRDefault="00447423" w:rsidP="00447423">
      <w:pPr>
        <w:pStyle w:val="BodyText"/>
        <w:spacing w:before="100" w:after="100"/>
      </w:pPr>
      <w:r w:rsidRPr="002A3CBE">
        <w:t>New Zealand has a large planted-forest estate that provides the majority of wood products consumed domestically and exported in either product or raw material form. New Zealand currently processes around 40 percent of its annual harvest (Ministry for Primary Industries, 2025b). The remaining harvest is exported in raw material form. In 2023, New Zealand was the largest exporter of industrial roundwood followed by Germany and the United States of America (Food and Agriculture Organization, 2025). New Zealand’s planted forests are dominated by radiata pine (</w:t>
      </w:r>
      <w:r w:rsidRPr="002A3CBE">
        <w:rPr>
          <w:i/>
        </w:rPr>
        <w:t>Pinus radiata</w:t>
      </w:r>
      <w:r w:rsidRPr="002A3CBE">
        <w:t xml:space="preserve">), which is used in a wide range of applications including timber-frame construction, packaging, furniture, joinery and interior fittings, decking, general external outdoor products, concrete formwork, printing and writing paper, corrugated materials, tissue products, newsprint, kitchen and bathroom cabinets, flooring, posts and poles (Wekesa, 2022; Wekesa et al., 2022). </w:t>
      </w:r>
    </w:p>
    <w:p w14:paraId="1F1ABCEA" w14:textId="77777777" w:rsidR="00447423" w:rsidRPr="002A3CBE" w:rsidRDefault="00447423" w:rsidP="00447423">
      <w:pPr>
        <w:pStyle w:val="BodyText"/>
        <w:spacing w:before="100" w:after="100"/>
      </w:pPr>
      <w:r w:rsidRPr="002A3CBE">
        <w:t xml:space="preserve">In 2024, </w:t>
      </w:r>
      <w:r w:rsidRPr="002A3CBE">
        <w:rPr>
          <w:i/>
        </w:rPr>
        <w:t>Harvested wood products</w:t>
      </w:r>
      <w:r w:rsidRPr="002A3CBE">
        <w:t xml:space="preserve"> was a key category (level and trend assessment).</w:t>
      </w:r>
    </w:p>
    <w:p w14:paraId="5FCE26BC" w14:textId="77777777" w:rsidR="00447423" w:rsidRPr="002A3CBE" w:rsidRDefault="00447423" w:rsidP="00447423">
      <w:pPr>
        <w:pStyle w:val="Heading3"/>
        <w:tabs>
          <w:tab w:val="clear" w:pos="851"/>
          <w:tab w:val="left" w:pos="993"/>
        </w:tabs>
        <w:spacing w:before="240"/>
      </w:pPr>
      <w:r w:rsidRPr="002A3CBE">
        <w:t>6.10.2</w:t>
      </w:r>
      <w:r w:rsidRPr="002A3CBE">
        <w:tab/>
        <w:t>Methodological issues</w:t>
      </w:r>
    </w:p>
    <w:p w14:paraId="02B0F050" w14:textId="77777777" w:rsidR="00447423" w:rsidRPr="002A3CBE" w:rsidRDefault="00447423" w:rsidP="00447423">
      <w:pPr>
        <w:pStyle w:val="BodyText"/>
        <w:spacing w:before="80" w:after="100"/>
      </w:pPr>
      <w:r w:rsidRPr="002A3CBE">
        <w:t xml:space="preserve">New Zealand has selected the production approach to report </w:t>
      </w:r>
      <w:r w:rsidRPr="002A3CBE">
        <w:rPr>
          <w:i/>
        </w:rPr>
        <w:t>Harvested wood products</w:t>
      </w:r>
      <w:r w:rsidRPr="002A3CBE">
        <w:t xml:space="preserve"> in the NIR. To do this, New Zealand has adapted the default </w:t>
      </w:r>
      <w:r w:rsidRPr="002A3CBE">
        <w:rPr>
          <w:i/>
        </w:rPr>
        <w:t>Harvested wood products</w:t>
      </w:r>
      <w:r w:rsidRPr="002A3CBE">
        <w:t xml:space="preserve"> model and uses a Tier 2 method (IPCC, 2006a, section 12.2.1.2), which involves using country-specific activity data and parameters (Wakelin et al., 2020). </w:t>
      </w:r>
    </w:p>
    <w:p w14:paraId="58FFE3C2" w14:textId="77777777" w:rsidR="00447423" w:rsidRPr="002A3CBE" w:rsidRDefault="00447423" w:rsidP="00447423">
      <w:pPr>
        <w:pStyle w:val="Heading4"/>
        <w:spacing w:before="120"/>
      </w:pPr>
      <w:r w:rsidRPr="002A3CBE">
        <w:t>Activity data</w:t>
      </w:r>
    </w:p>
    <w:p w14:paraId="6BD17A3E" w14:textId="77777777" w:rsidR="00447423" w:rsidRPr="002A3CBE" w:rsidRDefault="00447423" w:rsidP="00447423">
      <w:pPr>
        <w:pStyle w:val="BodyText"/>
        <w:spacing w:before="80" w:after="100"/>
      </w:pPr>
      <w:r w:rsidRPr="002A3CBE">
        <w:rPr>
          <w:spacing w:val="-2"/>
        </w:rPr>
        <w:t xml:space="preserve">Activity data on roundwood production volume, </w:t>
      </w:r>
      <w:r w:rsidRPr="002A3CBE">
        <w:t>roundwood</w:t>
      </w:r>
      <w:r w:rsidRPr="002A3CBE">
        <w:rPr>
          <w:spacing w:val="-2"/>
        </w:rPr>
        <w:t xml:space="preserve"> export volume and the production</w:t>
      </w:r>
      <w:r w:rsidRPr="002A3CBE">
        <w:t xml:space="preserve"> </w:t>
      </w:r>
      <w:r w:rsidRPr="00A13A88">
        <w:rPr>
          <w:spacing w:val="-2"/>
        </w:rPr>
        <w:t>of New Zealand processed wood products are sourced from MPI (</w:t>
      </w:r>
      <w:r w:rsidRPr="00A13A88" w:rsidDel="009855F5">
        <w:rPr>
          <w:spacing w:val="-2"/>
        </w:rPr>
        <w:t>Ministry for Primary</w:t>
      </w:r>
      <w:r w:rsidRPr="00A13A88">
        <w:rPr>
          <w:spacing w:val="-2"/>
        </w:rPr>
        <w:t xml:space="preserve"> Industries</w:t>
      </w:r>
      <w:r w:rsidRPr="002A3CBE">
        <w:t>, 2025a, 2025b, 2025c; Wekesa et al., 2022). Additional data on New Zealand wood product production and export that are not available from the published MPI statistics</w:t>
      </w:r>
      <w:r w:rsidRPr="002A3CBE" w:rsidDel="006D3A2A">
        <w:t xml:space="preserve"> </w:t>
      </w:r>
      <w:r w:rsidRPr="002A3CBE">
        <w:t xml:space="preserve">are sourced from the Food and Agriculture Organization of the United Nations (FAO) statistical database (the FAOSTAT database), which contains data that MPI provides to the FAO. The FAOSTAT database provides more granular breakdowns of semi-finished wood products produced in New Zealand, to which specific carbon fractions can then be applied. </w:t>
      </w:r>
    </w:p>
    <w:p w14:paraId="5E4B9B86" w14:textId="77777777" w:rsidR="00447423" w:rsidRPr="002A3CBE" w:rsidRDefault="00447423" w:rsidP="00447423">
      <w:pPr>
        <w:pStyle w:val="BodyText"/>
        <w:spacing w:before="100" w:after="100"/>
      </w:pPr>
      <w:r w:rsidRPr="002A3CBE">
        <w:t xml:space="preserve">Activity data for the period 1900 to 1960 are populated using the IPCC model method, which assumes that consumption is correlated with population growth. New Zealand used the default value for Oceania for the annual rate of increase for the period 1900 to 1960. This information is used to initialise </w:t>
      </w:r>
      <w:r w:rsidRPr="002A3CBE">
        <w:rPr>
          <w:i/>
        </w:rPr>
        <w:t>Harvested wood products</w:t>
      </w:r>
      <w:r w:rsidRPr="002A3CBE">
        <w:t xml:space="preserve"> stocks at 1 January 1990. </w:t>
      </w:r>
    </w:p>
    <w:p w14:paraId="159A5F64" w14:textId="77777777" w:rsidR="00447423" w:rsidRPr="002A3CBE" w:rsidRDefault="00447423" w:rsidP="00447423">
      <w:pPr>
        <w:pStyle w:val="BodyText"/>
        <w:spacing w:before="100" w:after="100"/>
      </w:pPr>
      <w:r w:rsidRPr="002A3CBE">
        <w:t xml:space="preserve">A large proportion (approximately 60 percent) of New Zealand’s harvest was exported as raw materials in the form of logs or wood chips in 2024 (Ministry for Primary Industries, 2025b). Note that the exported volume of </w:t>
      </w:r>
      <w:r w:rsidRPr="002A3CBE">
        <w:rPr>
          <w:i/>
        </w:rPr>
        <w:t>Harvested wood products</w:t>
      </w:r>
      <w:r w:rsidRPr="002A3CBE">
        <w:t xml:space="preserve"> described in CRT 4.Gs2 does not sum to 60 percent of all exported products. This is because this table includes only products produced in New Zealand and does not include the volume of raw logs exported that are then processed offshore. </w:t>
      </w:r>
    </w:p>
    <w:p w14:paraId="5E4A2E88" w14:textId="77777777" w:rsidR="00447423" w:rsidRPr="002A3CBE" w:rsidRDefault="00447423" w:rsidP="00447423">
      <w:pPr>
        <w:pStyle w:val="BodyText"/>
        <w:spacing w:before="100" w:after="100"/>
      </w:pPr>
      <w:r w:rsidRPr="002A3CBE">
        <w:t>MPI provides data on the export quantity of raw materials but provides no information on the conversion of these materials to products or their expected half-lives. Research was completed in 2016 to provide information on</w:t>
      </w:r>
      <w:r w:rsidRPr="002A3CBE">
        <w:rPr>
          <w:i/>
        </w:rPr>
        <w:t xml:space="preserve"> </w:t>
      </w:r>
      <w:r w:rsidRPr="002A3CBE">
        <w:rPr>
          <w:iCs/>
        </w:rPr>
        <w:t>harvested wood products</w:t>
      </w:r>
      <w:r w:rsidRPr="002A3CBE">
        <w:t xml:space="preserve"> from exported logs in New Zealand’s three main export markets (China, South Korea and India). This research provides activity data for the conversion of New Zealand-produced raw materials to harvested wood products in export markets (Manley and Evison, 2016). </w:t>
      </w:r>
    </w:p>
    <w:p w14:paraId="5EE801E1" w14:textId="77777777" w:rsidR="00447423" w:rsidRPr="002A3CBE" w:rsidRDefault="00447423" w:rsidP="00447423">
      <w:pPr>
        <w:pStyle w:val="BodyText"/>
        <w:spacing w:before="100" w:after="100"/>
      </w:pPr>
      <w:r w:rsidRPr="002A3CBE">
        <w:t>Further research was commissioned in 2017 to update the model assumptions that are used for calculating harvested wood product volume and associated emissions to include the activity data and half-lives of the 2016 report (Wakelin and Kimberley, unpublished). Note that the model also includes export variables to Japan, which was historically a large export market but has reduced and is projected to continue to reduce over time. It also includes</w:t>
      </w:r>
      <w:r w:rsidRPr="002A3CBE" w:rsidDel="001122AF">
        <w:t xml:space="preserve"> </w:t>
      </w:r>
      <w:r w:rsidRPr="002A3CBE">
        <w:t xml:space="preserve">‘Other countries’, which account for a small volume of exports that are sold to other markets. Details of product volume and half-lives for these export markets can be found in volume 2, annex 5, section A5.2.6. </w:t>
      </w:r>
    </w:p>
    <w:p w14:paraId="059CF2DA" w14:textId="77777777" w:rsidR="00447423" w:rsidRPr="002A3CBE" w:rsidRDefault="00447423" w:rsidP="00447423">
      <w:pPr>
        <w:pStyle w:val="BodyText"/>
        <w:spacing w:before="100" w:after="100"/>
      </w:pPr>
      <w:r w:rsidRPr="002A3CBE">
        <w:t xml:space="preserve">Activity data for exported log volumes and </w:t>
      </w:r>
      <w:r w:rsidRPr="002A3CBE">
        <w:rPr>
          <w:i/>
          <w:iCs/>
        </w:rPr>
        <w:t>Harvested wood products</w:t>
      </w:r>
      <w:r w:rsidRPr="002A3CBE">
        <w:t xml:space="preserve"> to individual countries are periodically published by MPI </w:t>
      </w:r>
      <w:bookmarkStart w:id="2847" w:name="_Hlk89344724"/>
      <w:r w:rsidRPr="002A3CBE">
        <w:t xml:space="preserve">(Ministry for Primary Industries, </w:t>
      </w:r>
      <w:bookmarkEnd w:id="2847"/>
      <w:r w:rsidRPr="002A3CBE">
        <w:t xml:space="preserve">2025b, 2025c). The proportion of exported roundwood to product type in these export markets is obtained by applying the ratios of product type produced (sawnwood, wood panels or paper), as identified in the 2016 report (Manley and Evison, 2016), to the volume of timber exported to each of the export markets. </w:t>
      </w:r>
    </w:p>
    <w:p w14:paraId="711D4E10" w14:textId="77777777" w:rsidR="00447423" w:rsidRPr="002A3CBE" w:rsidRDefault="00447423" w:rsidP="00447423">
      <w:pPr>
        <w:pStyle w:val="Heading4"/>
        <w:spacing w:before="120"/>
      </w:pPr>
      <w:r w:rsidRPr="002A3CBE">
        <w:t>Emission factors</w:t>
      </w:r>
    </w:p>
    <w:p w14:paraId="0C48B6D9" w14:textId="77777777" w:rsidR="00447423" w:rsidRPr="002A3CBE" w:rsidRDefault="00447423" w:rsidP="00447423">
      <w:pPr>
        <w:pStyle w:val="BodyText"/>
        <w:spacing w:before="80" w:after="100"/>
      </w:pPr>
      <w:r w:rsidRPr="002A3CBE">
        <w:t xml:space="preserve">The default wood carbon content value of 50 percent, from table 12.4 of the 2006 IPCC Guidelines (IPCC, 2006a), is used in the </w:t>
      </w:r>
      <w:r w:rsidRPr="002A3CBE">
        <w:rPr>
          <w:i/>
        </w:rPr>
        <w:t>Harvested wood products</w:t>
      </w:r>
      <w:r w:rsidRPr="002A3CBE">
        <w:t xml:space="preserve"> model (IPCC, 2006a). This value is consistent with the planted forest model that uses a country-specific value of 50 percent. A country-specific wood density value of 420 kilograms per cubic metre is used for sawnwood produced from coniferous species (Jones, 2005). This value is used to reflect </w:t>
      </w:r>
      <w:r w:rsidRPr="002A3CBE">
        <w:rPr>
          <w:spacing w:val="-2"/>
        </w:rPr>
        <w:t>coniferous species’ contribution to New Zealand roundwood, which makes up around 98 percent</w:t>
      </w:r>
      <w:r w:rsidRPr="002A3CBE">
        <w:t xml:space="preserve"> of annual harvest. A country-specific wood density value of 500 kilograms per cubic metre is used for sawnwood produced from non-coniferous species (Jones, 2005). Non-coniferous species (mainly </w:t>
      </w:r>
      <w:r w:rsidRPr="002A3CBE">
        <w:rPr>
          <w:i/>
          <w:iCs/>
        </w:rPr>
        <w:t>Eucalyptus</w:t>
      </w:r>
      <w:r w:rsidRPr="002A3CBE">
        <w:t>) make up around 2 percent of annual harvest. The default IPCC bark factor (11 percent; IPCC, 2006a, annex 4A.1) is used for conifers and is considered appropriate for New Zealand. Wood-based panels and paper products all use IPCC defaults because no country-specific value is available (table 6.10.1).</w:t>
      </w:r>
    </w:p>
    <w:p w14:paraId="5C9B6032" w14:textId="77777777" w:rsidR="00447423" w:rsidRPr="002A3CBE" w:rsidRDefault="00447423" w:rsidP="00447423">
      <w:pPr>
        <w:pStyle w:val="BodyText"/>
        <w:spacing w:before="100" w:after="100"/>
      </w:pPr>
      <w:r w:rsidRPr="002A3CBE">
        <w:t xml:space="preserve">Exported raw logs are first converted to tonnes of carbon, based on the carbon fractions for coniferous species and for non-coniferous species, as outlined above. This carbon is then apportioned into each export market and wood product combination (sawnwood, panels and paper). </w:t>
      </w:r>
    </w:p>
    <w:p w14:paraId="4FC6554D" w14:textId="77777777" w:rsidR="00447423" w:rsidRPr="002A3CBE" w:rsidRDefault="00447423" w:rsidP="00447423">
      <w:pPr>
        <w:pStyle w:val="Table"/>
      </w:pPr>
      <w:bookmarkStart w:id="2848" w:name="_Toc410028866"/>
      <w:bookmarkStart w:id="2849" w:name="_Toc414531494"/>
      <w:bookmarkStart w:id="2850" w:name="_Toc443645407"/>
      <w:bookmarkStart w:id="2851" w:name="_Toc474914626"/>
      <w:bookmarkStart w:id="2852" w:name="_Toc481751590"/>
      <w:bookmarkStart w:id="2853" w:name="_Toc522010647"/>
      <w:bookmarkStart w:id="2854" w:name="_Toc5269552"/>
      <w:bookmarkStart w:id="2855" w:name="_Toc33529426"/>
      <w:bookmarkStart w:id="2856" w:name="_Toc36224632"/>
      <w:bookmarkStart w:id="2857" w:name="_Toc131591425"/>
      <w:bookmarkStart w:id="2858" w:name="_Toc158979983"/>
      <w:bookmarkStart w:id="2859" w:name="_Toc164153916"/>
      <w:bookmarkStart w:id="2860" w:name="_Toc190873150"/>
      <w:bookmarkStart w:id="2861" w:name="_Toc194241789"/>
      <w:bookmarkStart w:id="2862" w:name="_Toc222837940"/>
      <w:bookmarkStart w:id="2863" w:name="_Toc226669086"/>
      <w:r w:rsidRPr="002A3CBE">
        <w:t>Table 6.10.1</w:t>
      </w:r>
      <w:r w:rsidRPr="002A3CBE">
        <w:tab/>
        <w:t xml:space="preserve">Conversion factors for </w:t>
      </w:r>
      <w:r w:rsidRPr="002A3CBE">
        <w:rPr>
          <w:i/>
        </w:rPr>
        <w:t>Harvested wood products</w:t>
      </w:r>
      <w:r w:rsidRPr="002A3CBE">
        <w:t xml:space="preserve"> produced from New Zealand</w:t>
      </w:r>
      <w:bookmarkEnd w:id="2848"/>
      <w:bookmarkEnd w:id="2849"/>
      <w:bookmarkEnd w:id="2850"/>
      <w:bookmarkEnd w:id="2851"/>
      <w:bookmarkEnd w:id="2852"/>
      <w:r w:rsidRPr="002A3CBE">
        <w:t xml:space="preserve"> wood</w:t>
      </w:r>
      <w:bookmarkEnd w:id="2853"/>
      <w:bookmarkEnd w:id="2854"/>
      <w:bookmarkEnd w:id="2855"/>
      <w:bookmarkEnd w:id="2856"/>
      <w:r w:rsidRPr="002A3CBE">
        <w:t xml:space="preserve"> in New Zealand</w:t>
      </w:r>
      <w:bookmarkEnd w:id="2857"/>
      <w:bookmarkEnd w:id="2858"/>
      <w:bookmarkEnd w:id="2859"/>
      <w:bookmarkEnd w:id="2860"/>
      <w:bookmarkEnd w:id="2861"/>
      <w:bookmarkEnd w:id="2862"/>
      <w:bookmarkEnd w:id="2863"/>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963"/>
        <w:gridCol w:w="1994"/>
        <w:gridCol w:w="2548"/>
      </w:tblGrid>
      <w:tr w:rsidR="00447423" w:rsidRPr="002A3CBE" w14:paraId="39F95FCB" w14:textId="77777777" w:rsidTr="00F16E23">
        <w:trPr>
          <w:tblHeader/>
        </w:trPr>
        <w:tc>
          <w:tcPr>
            <w:tcW w:w="4144" w:type="dxa"/>
            <w:tcBorders>
              <w:top w:val="single" w:sz="4" w:space="0" w:color="1B556B"/>
              <w:bottom w:val="nil"/>
            </w:tcBorders>
            <w:shd w:val="clear" w:color="auto" w:fill="1B556B" w:themeFill="text2"/>
          </w:tcPr>
          <w:p w14:paraId="06C33D79" w14:textId="77777777" w:rsidR="00447423" w:rsidRPr="002A3CBE" w:rsidRDefault="00447423" w:rsidP="00F16E23">
            <w:pPr>
              <w:pStyle w:val="TableTextBold"/>
              <w:keepNext/>
              <w:keepLines/>
              <w:spacing w:before="40" w:after="40"/>
              <w:rPr>
                <w:noProof w:val="0"/>
                <w:color w:val="FFFFFF"/>
              </w:rPr>
            </w:pPr>
            <w:r w:rsidRPr="002A3CBE">
              <w:rPr>
                <w:noProof w:val="0"/>
                <w:color w:val="FFFFFF"/>
              </w:rPr>
              <w:t>Category</w:t>
            </w:r>
          </w:p>
        </w:tc>
        <w:tc>
          <w:tcPr>
            <w:tcW w:w="2072" w:type="dxa"/>
            <w:tcBorders>
              <w:top w:val="single" w:sz="4" w:space="0" w:color="1B556B"/>
              <w:bottom w:val="nil"/>
            </w:tcBorders>
            <w:shd w:val="clear" w:color="auto" w:fill="1B556B" w:themeFill="text2"/>
          </w:tcPr>
          <w:p w14:paraId="0B19FDE9" w14:textId="77777777" w:rsidR="00447423" w:rsidRPr="002A3CBE" w:rsidRDefault="00447423" w:rsidP="00F16E23">
            <w:pPr>
              <w:pStyle w:val="TableTextBold"/>
              <w:keepNext/>
              <w:keepLines/>
              <w:spacing w:before="40" w:after="40"/>
              <w:jc w:val="right"/>
              <w:rPr>
                <w:noProof w:val="0"/>
                <w:color w:val="FFFFFF"/>
              </w:rPr>
            </w:pPr>
            <w:r w:rsidRPr="002A3CBE">
              <w:rPr>
                <w:noProof w:val="0"/>
                <w:color w:val="FFFFFF"/>
              </w:rPr>
              <w:t>Factor (t C/m</w:t>
            </w:r>
            <w:r w:rsidRPr="002A3CBE">
              <w:rPr>
                <w:rFonts w:ascii="Calibri Light" w:hAnsi="Calibri Light"/>
                <w:noProof w:val="0"/>
                <w:color w:val="FFFFFF"/>
                <w:vertAlign w:val="superscript"/>
              </w:rPr>
              <w:t>3</w:t>
            </w:r>
            <w:r w:rsidRPr="002A3CBE">
              <w:rPr>
                <w:noProof w:val="0"/>
                <w:color w:val="FFFFFF"/>
              </w:rPr>
              <w:t xml:space="preserve"> or t C/t*)</w:t>
            </w:r>
          </w:p>
        </w:tc>
        <w:tc>
          <w:tcPr>
            <w:tcW w:w="2663" w:type="dxa"/>
            <w:tcBorders>
              <w:top w:val="single" w:sz="4" w:space="0" w:color="1B556B"/>
              <w:bottom w:val="nil"/>
            </w:tcBorders>
            <w:shd w:val="clear" w:color="auto" w:fill="1B556B" w:themeFill="text2"/>
          </w:tcPr>
          <w:p w14:paraId="7F2E9AE6" w14:textId="77777777" w:rsidR="00447423" w:rsidRPr="002A3CBE" w:rsidRDefault="00447423" w:rsidP="00F16E23">
            <w:pPr>
              <w:pStyle w:val="TableTextBold"/>
              <w:keepNext/>
              <w:keepLines/>
              <w:spacing w:before="40" w:after="40"/>
              <w:rPr>
                <w:noProof w:val="0"/>
                <w:color w:val="FFFFFF"/>
              </w:rPr>
            </w:pPr>
            <w:r w:rsidRPr="002A3CBE">
              <w:rPr>
                <w:noProof w:val="0"/>
                <w:color w:val="FFFFFF"/>
              </w:rPr>
              <w:t>Source</w:t>
            </w:r>
          </w:p>
        </w:tc>
      </w:tr>
      <w:tr w:rsidR="00447423" w:rsidRPr="002A3CBE" w14:paraId="2CC97069" w14:textId="77777777" w:rsidTr="00F16E23">
        <w:tc>
          <w:tcPr>
            <w:tcW w:w="4144" w:type="dxa"/>
            <w:tcBorders>
              <w:top w:val="nil"/>
              <w:bottom w:val="single" w:sz="4" w:space="0" w:color="1B556B"/>
            </w:tcBorders>
          </w:tcPr>
          <w:p w14:paraId="2EDCBA80" w14:textId="77777777" w:rsidR="00447423" w:rsidRPr="002A3CBE" w:rsidRDefault="00447423" w:rsidP="00F16E23">
            <w:pPr>
              <w:pStyle w:val="TableText"/>
              <w:spacing w:before="40" w:after="40"/>
            </w:pPr>
            <w:r w:rsidRPr="002A3CBE">
              <w:t>Sawnwood, other industrial roundwood (coniferous)</w:t>
            </w:r>
          </w:p>
        </w:tc>
        <w:tc>
          <w:tcPr>
            <w:tcW w:w="2072" w:type="dxa"/>
            <w:tcBorders>
              <w:top w:val="nil"/>
              <w:bottom w:val="single" w:sz="4" w:space="0" w:color="1B556B"/>
            </w:tcBorders>
          </w:tcPr>
          <w:p w14:paraId="64EB8C7A" w14:textId="77777777" w:rsidR="00447423" w:rsidRPr="002A3CBE" w:rsidRDefault="00447423" w:rsidP="00F16E23">
            <w:pPr>
              <w:pStyle w:val="TableText"/>
              <w:tabs>
                <w:tab w:val="decimal" w:pos="181"/>
              </w:tabs>
              <w:spacing w:before="40" w:after="40"/>
              <w:jc w:val="right"/>
            </w:pPr>
            <w:r w:rsidRPr="002A3CBE">
              <w:t>0.210</w:t>
            </w:r>
          </w:p>
        </w:tc>
        <w:tc>
          <w:tcPr>
            <w:tcW w:w="2663" w:type="dxa"/>
            <w:tcBorders>
              <w:top w:val="nil"/>
              <w:bottom w:val="single" w:sz="4" w:space="0" w:color="1B556B"/>
            </w:tcBorders>
          </w:tcPr>
          <w:p w14:paraId="3B790534" w14:textId="77777777" w:rsidR="00447423" w:rsidRPr="002A3CBE" w:rsidRDefault="00447423" w:rsidP="00F16E23">
            <w:pPr>
              <w:pStyle w:val="TableText"/>
              <w:spacing w:before="40" w:after="40"/>
            </w:pPr>
            <w:r w:rsidRPr="002A3CBE">
              <w:t>Country specific (Jones, 2005)</w:t>
            </w:r>
          </w:p>
        </w:tc>
      </w:tr>
      <w:tr w:rsidR="00447423" w:rsidRPr="002A3CBE" w14:paraId="056FEE2C" w14:textId="77777777" w:rsidTr="00F16E23">
        <w:tc>
          <w:tcPr>
            <w:tcW w:w="4144" w:type="dxa"/>
            <w:tcBorders>
              <w:top w:val="single" w:sz="4" w:space="0" w:color="1B556B"/>
              <w:bottom w:val="single" w:sz="4" w:space="0" w:color="1B556B"/>
            </w:tcBorders>
          </w:tcPr>
          <w:p w14:paraId="46EA41CA" w14:textId="77777777" w:rsidR="00447423" w:rsidRPr="002A3CBE" w:rsidRDefault="00447423" w:rsidP="00F16E23">
            <w:pPr>
              <w:pStyle w:val="TableText"/>
              <w:spacing w:before="40" w:after="40"/>
            </w:pPr>
            <w:r w:rsidRPr="002A3CBE">
              <w:t>Sawnwood, other industrial roundwood (non-coniferous)</w:t>
            </w:r>
          </w:p>
        </w:tc>
        <w:tc>
          <w:tcPr>
            <w:tcW w:w="2072" w:type="dxa"/>
            <w:tcBorders>
              <w:top w:val="single" w:sz="4" w:space="0" w:color="1B556B"/>
              <w:bottom w:val="single" w:sz="4" w:space="0" w:color="1B556B"/>
            </w:tcBorders>
          </w:tcPr>
          <w:p w14:paraId="23EAAD77" w14:textId="77777777" w:rsidR="00447423" w:rsidRPr="002A3CBE" w:rsidRDefault="00447423" w:rsidP="00F16E23">
            <w:pPr>
              <w:pStyle w:val="TableText"/>
              <w:tabs>
                <w:tab w:val="decimal" w:pos="181"/>
              </w:tabs>
              <w:spacing w:before="40" w:after="40"/>
              <w:jc w:val="right"/>
            </w:pPr>
            <w:r w:rsidRPr="002A3CBE">
              <w:t>0.250</w:t>
            </w:r>
          </w:p>
        </w:tc>
        <w:tc>
          <w:tcPr>
            <w:tcW w:w="2663" w:type="dxa"/>
            <w:tcBorders>
              <w:top w:val="single" w:sz="4" w:space="0" w:color="1B556B"/>
              <w:bottom w:val="single" w:sz="4" w:space="0" w:color="1B556B"/>
            </w:tcBorders>
          </w:tcPr>
          <w:p w14:paraId="7D0D61DA" w14:textId="77777777" w:rsidR="00447423" w:rsidRPr="002A3CBE" w:rsidRDefault="00447423" w:rsidP="00F16E23">
            <w:pPr>
              <w:pStyle w:val="TableText"/>
              <w:spacing w:before="40" w:after="40"/>
            </w:pPr>
            <w:r w:rsidRPr="002A3CBE">
              <w:t>Country specific (Jones, 2005)</w:t>
            </w:r>
          </w:p>
        </w:tc>
      </w:tr>
      <w:tr w:rsidR="00447423" w:rsidRPr="002A3CBE" w14:paraId="6552DB62" w14:textId="77777777" w:rsidTr="00F16E23">
        <w:tc>
          <w:tcPr>
            <w:tcW w:w="4144" w:type="dxa"/>
            <w:tcBorders>
              <w:top w:val="single" w:sz="4" w:space="0" w:color="1B556B"/>
              <w:bottom w:val="single" w:sz="4" w:space="0" w:color="1B556B"/>
            </w:tcBorders>
          </w:tcPr>
          <w:p w14:paraId="3210B8C5" w14:textId="77777777" w:rsidR="00447423" w:rsidRPr="002A3CBE" w:rsidRDefault="00447423" w:rsidP="00F16E23">
            <w:pPr>
              <w:pStyle w:val="TableText"/>
              <w:spacing w:before="40" w:after="40"/>
            </w:pPr>
            <w:r w:rsidRPr="002A3CBE">
              <w:t>Veneer sheets</w:t>
            </w:r>
          </w:p>
        </w:tc>
        <w:tc>
          <w:tcPr>
            <w:tcW w:w="2072" w:type="dxa"/>
            <w:tcBorders>
              <w:top w:val="single" w:sz="4" w:space="0" w:color="1B556B"/>
              <w:bottom w:val="single" w:sz="4" w:space="0" w:color="1B556B"/>
            </w:tcBorders>
          </w:tcPr>
          <w:p w14:paraId="468D2C8A" w14:textId="77777777" w:rsidR="00447423" w:rsidRPr="002A3CBE" w:rsidRDefault="00447423" w:rsidP="00F16E23">
            <w:pPr>
              <w:pStyle w:val="TableText"/>
              <w:tabs>
                <w:tab w:val="decimal" w:pos="181"/>
              </w:tabs>
              <w:spacing w:before="40" w:after="40"/>
              <w:jc w:val="right"/>
            </w:pPr>
            <w:r w:rsidRPr="002A3CBE">
              <w:t>0.210</w:t>
            </w:r>
          </w:p>
        </w:tc>
        <w:tc>
          <w:tcPr>
            <w:tcW w:w="2663" w:type="dxa"/>
            <w:tcBorders>
              <w:top w:val="single" w:sz="4" w:space="0" w:color="1B556B"/>
              <w:bottom w:val="single" w:sz="4" w:space="0" w:color="1B556B"/>
            </w:tcBorders>
          </w:tcPr>
          <w:p w14:paraId="30F29535" w14:textId="77777777" w:rsidR="00447423" w:rsidRPr="002A3CBE" w:rsidRDefault="00447423" w:rsidP="00F16E23">
            <w:pPr>
              <w:pStyle w:val="TableText"/>
              <w:spacing w:before="40" w:after="40"/>
            </w:pPr>
            <w:r w:rsidRPr="002A3CBE">
              <w:t>Country specific (Jones, 2005)</w:t>
            </w:r>
          </w:p>
        </w:tc>
      </w:tr>
      <w:tr w:rsidR="00447423" w:rsidRPr="002A3CBE" w14:paraId="3EE91B02" w14:textId="77777777" w:rsidTr="00F16E23">
        <w:tc>
          <w:tcPr>
            <w:tcW w:w="4144" w:type="dxa"/>
            <w:tcBorders>
              <w:top w:val="single" w:sz="4" w:space="0" w:color="1B556B"/>
              <w:bottom w:val="single" w:sz="4" w:space="0" w:color="1B556B"/>
            </w:tcBorders>
          </w:tcPr>
          <w:p w14:paraId="36B7233B" w14:textId="77777777" w:rsidR="00447423" w:rsidRPr="002A3CBE" w:rsidRDefault="00447423" w:rsidP="00F16E23">
            <w:pPr>
              <w:pStyle w:val="TableText"/>
              <w:spacing w:before="40" w:after="40"/>
            </w:pPr>
            <w:r w:rsidRPr="002A3CBE">
              <w:t>Plywood</w:t>
            </w:r>
          </w:p>
        </w:tc>
        <w:tc>
          <w:tcPr>
            <w:tcW w:w="2072" w:type="dxa"/>
            <w:tcBorders>
              <w:top w:val="single" w:sz="4" w:space="0" w:color="1B556B"/>
              <w:bottom w:val="single" w:sz="4" w:space="0" w:color="1B556B"/>
            </w:tcBorders>
          </w:tcPr>
          <w:p w14:paraId="2ACF661A" w14:textId="77777777" w:rsidR="00447423" w:rsidRPr="002A3CBE" w:rsidRDefault="00447423" w:rsidP="00F16E23">
            <w:pPr>
              <w:pStyle w:val="TableText"/>
              <w:tabs>
                <w:tab w:val="decimal" w:pos="181"/>
              </w:tabs>
              <w:spacing w:before="40" w:after="40"/>
              <w:jc w:val="right"/>
            </w:pPr>
            <w:r w:rsidRPr="002A3CBE">
              <w:t>0.267</w:t>
            </w:r>
          </w:p>
        </w:tc>
        <w:tc>
          <w:tcPr>
            <w:tcW w:w="2663" w:type="dxa"/>
            <w:tcBorders>
              <w:top w:val="single" w:sz="4" w:space="0" w:color="1B556B"/>
              <w:bottom w:val="single" w:sz="4" w:space="0" w:color="1B556B"/>
            </w:tcBorders>
          </w:tcPr>
          <w:p w14:paraId="718CBAD9" w14:textId="77777777" w:rsidR="00447423" w:rsidRPr="002A3CBE" w:rsidRDefault="00447423" w:rsidP="00F16E23">
            <w:pPr>
              <w:pStyle w:val="TableText"/>
              <w:spacing w:before="40" w:after="40"/>
            </w:pPr>
            <w:r w:rsidRPr="002A3CBE">
              <w:t>IPCC default (IPCC, 2014)</w:t>
            </w:r>
          </w:p>
        </w:tc>
      </w:tr>
      <w:tr w:rsidR="00447423" w:rsidRPr="002A3CBE" w14:paraId="61D1529A" w14:textId="77777777" w:rsidTr="00F16E23">
        <w:tc>
          <w:tcPr>
            <w:tcW w:w="4144" w:type="dxa"/>
            <w:tcBorders>
              <w:top w:val="single" w:sz="4" w:space="0" w:color="1B556B"/>
              <w:bottom w:val="single" w:sz="4" w:space="0" w:color="1B556B"/>
            </w:tcBorders>
          </w:tcPr>
          <w:p w14:paraId="0FBDDF17" w14:textId="77777777" w:rsidR="00447423" w:rsidRPr="002A3CBE" w:rsidRDefault="00447423" w:rsidP="00F16E23">
            <w:pPr>
              <w:pStyle w:val="TableText"/>
              <w:spacing w:before="40" w:after="40"/>
            </w:pPr>
            <w:r w:rsidRPr="002A3CBE">
              <w:t>Particle board</w:t>
            </w:r>
          </w:p>
        </w:tc>
        <w:tc>
          <w:tcPr>
            <w:tcW w:w="2072" w:type="dxa"/>
            <w:tcBorders>
              <w:top w:val="single" w:sz="4" w:space="0" w:color="1B556B"/>
              <w:bottom w:val="single" w:sz="4" w:space="0" w:color="1B556B"/>
            </w:tcBorders>
          </w:tcPr>
          <w:p w14:paraId="02243426" w14:textId="77777777" w:rsidR="00447423" w:rsidRPr="002A3CBE" w:rsidRDefault="00447423" w:rsidP="00F16E23">
            <w:pPr>
              <w:pStyle w:val="TableText"/>
              <w:tabs>
                <w:tab w:val="decimal" w:pos="181"/>
              </w:tabs>
              <w:spacing w:before="40" w:after="40"/>
              <w:jc w:val="right"/>
            </w:pPr>
            <w:r w:rsidRPr="002A3CBE">
              <w:t>0.269</w:t>
            </w:r>
          </w:p>
        </w:tc>
        <w:tc>
          <w:tcPr>
            <w:tcW w:w="2663" w:type="dxa"/>
            <w:tcBorders>
              <w:top w:val="single" w:sz="4" w:space="0" w:color="1B556B"/>
              <w:bottom w:val="single" w:sz="4" w:space="0" w:color="1B556B"/>
            </w:tcBorders>
          </w:tcPr>
          <w:p w14:paraId="41F15186" w14:textId="77777777" w:rsidR="00447423" w:rsidRPr="002A3CBE" w:rsidRDefault="00447423" w:rsidP="00F16E23">
            <w:pPr>
              <w:pStyle w:val="TableText"/>
              <w:spacing w:before="40" w:after="40"/>
            </w:pPr>
            <w:r w:rsidRPr="002A3CBE">
              <w:t>IPCC default (IPCC, 2014)</w:t>
            </w:r>
          </w:p>
        </w:tc>
      </w:tr>
      <w:tr w:rsidR="00447423" w:rsidRPr="002A3CBE" w14:paraId="42F29A9E" w14:textId="77777777" w:rsidTr="00F16E23">
        <w:tc>
          <w:tcPr>
            <w:tcW w:w="4144" w:type="dxa"/>
            <w:tcBorders>
              <w:top w:val="single" w:sz="4" w:space="0" w:color="1B556B"/>
              <w:bottom w:val="single" w:sz="4" w:space="0" w:color="1B556B"/>
            </w:tcBorders>
          </w:tcPr>
          <w:p w14:paraId="365AD562" w14:textId="77777777" w:rsidR="00447423" w:rsidRPr="002A3CBE" w:rsidRDefault="00447423" w:rsidP="00F16E23">
            <w:pPr>
              <w:pStyle w:val="TableText"/>
              <w:spacing w:before="40" w:after="40"/>
            </w:pPr>
            <w:r w:rsidRPr="002A3CBE">
              <w:t>Fibreboard (compressed)</w:t>
            </w:r>
          </w:p>
        </w:tc>
        <w:tc>
          <w:tcPr>
            <w:tcW w:w="2072" w:type="dxa"/>
            <w:tcBorders>
              <w:top w:val="single" w:sz="4" w:space="0" w:color="1B556B"/>
              <w:bottom w:val="single" w:sz="4" w:space="0" w:color="1B556B"/>
            </w:tcBorders>
          </w:tcPr>
          <w:p w14:paraId="55B8D89B" w14:textId="77777777" w:rsidR="00447423" w:rsidRPr="002A3CBE" w:rsidRDefault="00447423" w:rsidP="00F16E23">
            <w:pPr>
              <w:pStyle w:val="TableText"/>
              <w:tabs>
                <w:tab w:val="decimal" w:pos="181"/>
              </w:tabs>
              <w:spacing w:before="40" w:after="40"/>
              <w:jc w:val="right"/>
            </w:pPr>
            <w:r w:rsidRPr="002A3CBE">
              <w:t>0.315</w:t>
            </w:r>
          </w:p>
        </w:tc>
        <w:tc>
          <w:tcPr>
            <w:tcW w:w="2663" w:type="dxa"/>
            <w:tcBorders>
              <w:top w:val="single" w:sz="4" w:space="0" w:color="1B556B"/>
              <w:bottom w:val="single" w:sz="4" w:space="0" w:color="1B556B"/>
            </w:tcBorders>
          </w:tcPr>
          <w:p w14:paraId="2F5AA181" w14:textId="77777777" w:rsidR="00447423" w:rsidRPr="002A3CBE" w:rsidRDefault="00447423" w:rsidP="00F16E23">
            <w:pPr>
              <w:pStyle w:val="TableText"/>
              <w:spacing w:before="40" w:after="40"/>
            </w:pPr>
            <w:r w:rsidRPr="002A3CBE">
              <w:t>IPCC default (IPCC, 2014)</w:t>
            </w:r>
          </w:p>
        </w:tc>
      </w:tr>
      <w:tr w:rsidR="00447423" w:rsidRPr="002A3CBE" w14:paraId="34CAF877" w14:textId="77777777" w:rsidTr="00F16E23">
        <w:tc>
          <w:tcPr>
            <w:tcW w:w="4144" w:type="dxa"/>
            <w:tcBorders>
              <w:top w:val="single" w:sz="4" w:space="0" w:color="1B556B"/>
              <w:bottom w:val="single" w:sz="4" w:space="0" w:color="1B556B"/>
            </w:tcBorders>
          </w:tcPr>
          <w:p w14:paraId="7022878C" w14:textId="77777777" w:rsidR="00447423" w:rsidRPr="002A3CBE" w:rsidRDefault="00447423" w:rsidP="00F16E23">
            <w:pPr>
              <w:pStyle w:val="TableText"/>
              <w:spacing w:before="40" w:after="40"/>
            </w:pPr>
            <w:r w:rsidRPr="002A3CBE">
              <w:t>Insulating board/other fibreboard</w:t>
            </w:r>
          </w:p>
        </w:tc>
        <w:tc>
          <w:tcPr>
            <w:tcW w:w="2072" w:type="dxa"/>
            <w:tcBorders>
              <w:top w:val="single" w:sz="4" w:space="0" w:color="1B556B"/>
              <w:bottom w:val="single" w:sz="4" w:space="0" w:color="1B556B"/>
            </w:tcBorders>
          </w:tcPr>
          <w:p w14:paraId="77B6F221" w14:textId="77777777" w:rsidR="00447423" w:rsidRPr="002A3CBE" w:rsidRDefault="00447423" w:rsidP="00F16E23">
            <w:pPr>
              <w:pStyle w:val="TableText"/>
              <w:tabs>
                <w:tab w:val="decimal" w:pos="181"/>
              </w:tabs>
              <w:spacing w:before="40" w:after="40"/>
              <w:jc w:val="right"/>
            </w:pPr>
            <w:r w:rsidRPr="002A3CBE">
              <w:t>0.075</w:t>
            </w:r>
          </w:p>
        </w:tc>
        <w:tc>
          <w:tcPr>
            <w:tcW w:w="2663" w:type="dxa"/>
            <w:tcBorders>
              <w:top w:val="single" w:sz="4" w:space="0" w:color="1B556B"/>
              <w:bottom w:val="single" w:sz="4" w:space="0" w:color="1B556B"/>
            </w:tcBorders>
          </w:tcPr>
          <w:p w14:paraId="4073C7F6" w14:textId="77777777" w:rsidR="00447423" w:rsidRPr="002A3CBE" w:rsidRDefault="00447423" w:rsidP="00F16E23">
            <w:pPr>
              <w:pStyle w:val="TableText"/>
              <w:spacing w:before="40" w:after="40"/>
            </w:pPr>
            <w:r w:rsidRPr="002A3CBE">
              <w:t>IPCC default (IPCC, 2014)</w:t>
            </w:r>
          </w:p>
        </w:tc>
      </w:tr>
      <w:tr w:rsidR="00447423" w:rsidRPr="002A3CBE" w14:paraId="636710FF" w14:textId="77777777" w:rsidTr="00F16E23">
        <w:tc>
          <w:tcPr>
            <w:tcW w:w="4144" w:type="dxa"/>
            <w:tcBorders>
              <w:top w:val="single" w:sz="4" w:space="0" w:color="1B556B"/>
              <w:bottom w:val="single" w:sz="4" w:space="0" w:color="1B556B"/>
            </w:tcBorders>
          </w:tcPr>
          <w:p w14:paraId="69AACDBC" w14:textId="77777777" w:rsidR="00447423" w:rsidRPr="002A3CBE" w:rsidRDefault="00447423" w:rsidP="00F16E23">
            <w:pPr>
              <w:pStyle w:val="TableText"/>
              <w:spacing w:before="40" w:after="40"/>
            </w:pPr>
            <w:r w:rsidRPr="002A3CBE">
              <w:t>Paper products</w:t>
            </w:r>
          </w:p>
        </w:tc>
        <w:tc>
          <w:tcPr>
            <w:tcW w:w="2072" w:type="dxa"/>
            <w:tcBorders>
              <w:top w:val="single" w:sz="4" w:space="0" w:color="1B556B"/>
              <w:bottom w:val="single" w:sz="4" w:space="0" w:color="1B556B"/>
            </w:tcBorders>
          </w:tcPr>
          <w:p w14:paraId="58A3A3B3" w14:textId="77777777" w:rsidR="00447423" w:rsidRPr="002A3CBE" w:rsidRDefault="00447423" w:rsidP="00F16E23">
            <w:pPr>
              <w:pStyle w:val="TableText"/>
              <w:tabs>
                <w:tab w:val="decimal" w:pos="181"/>
              </w:tabs>
              <w:spacing w:before="40" w:after="40"/>
              <w:ind w:right="-57"/>
              <w:jc w:val="right"/>
            </w:pPr>
            <w:r w:rsidRPr="002A3CBE">
              <w:t>0.450*</w:t>
            </w:r>
          </w:p>
        </w:tc>
        <w:tc>
          <w:tcPr>
            <w:tcW w:w="2663" w:type="dxa"/>
            <w:tcBorders>
              <w:top w:val="single" w:sz="4" w:space="0" w:color="1B556B"/>
              <w:bottom w:val="single" w:sz="4" w:space="0" w:color="1B556B"/>
            </w:tcBorders>
          </w:tcPr>
          <w:p w14:paraId="18CBF447" w14:textId="77777777" w:rsidR="00447423" w:rsidRPr="002A3CBE" w:rsidRDefault="00447423" w:rsidP="00F16E23">
            <w:pPr>
              <w:pStyle w:val="TableText"/>
              <w:spacing w:before="40" w:after="40"/>
            </w:pPr>
            <w:r w:rsidRPr="002A3CBE">
              <w:t>IPCC default (IPCC, 2014)</w:t>
            </w:r>
          </w:p>
        </w:tc>
      </w:tr>
    </w:tbl>
    <w:p w14:paraId="0403F23D" w14:textId="77777777" w:rsidR="00447423" w:rsidRPr="002A3CBE" w:rsidRDefault="00447423" w:rsidP="00447423">
      <w:pPr>
        <w:pStyle w:val="Noteundertable"/>
      </w:pPr>
      <w:r w:rsidRPr="002A3CBE">
        <w:rPr>
          <w:b/>
        </w:rPr>
        <w:t>Note:</w:t>
      </w:r>
      <w:r w:rsidRPr="002A3CBE">
        <w:tab/>
        <w:t>* Indicates where factors are given in tonnes of carbon per tonne of product.</w:t>
      </w:r>
    </w:p>
    <w:p w14:paraId="2670BB58" w14:textId="77777777" w:rsidR="00447423" w:rsidRPr="002A3CBE" w:rsidRDefault="00447423" w:rsidP="00447423">
      <w:pPr>
        <w:pStyle w:val="Heading4"/>
      </w:pPr>
      <w:r w:rsidRPr="002A3CBE">
        <w:t xml:space="preserve">Half-lives </w:t>
      </w:r>
    </w:p>
    <w:p w14:paraId="4DCFE6C0" w14:textId="77777777" w:rsidR="00447423" w:rsidRPr="002A3CBE" w:rsidRDefault="00447423" w:rsidP="00447423">
      <w:pPr>
        <w:pStyle w:val="BodyText"/>
        <w:spacing w:before="100" w:after="100"/>
      </w:pPr>
      <w:r w:rsidRPr="002A3CBE">
        <w:t xml:space="preserve">Half-lives determine the discard rate of products from service in the </w:t>
      </w:r>
      <w:r w:rsidRPr="002A3CBE">
        <w:rPr>
          <w:i/>
          <w:iCs/>
        </w:rPr>
        <w:t xml:space="preserve">Harvested wood products </w:t>
      </w:r>
      <w:r w:rsidRPr="002A3CBE">
        <w:t xml:space="preserve">category. Overall, sawnwood and wood-based panels made and consumed in New Zealand are </w:t>
      </w:r>
      <w:r w:rsidRPr="002A3CBE">
        <w:rPr>
          <w:spacing w:val="-2"/>
        </w:rPr>
        <w:t>used to manufacture long-lived wood products, whereas short-lived products are manufactured</w:t>
      </w:r>
      <w:r w:rsidRPr="002A3CBE">
        <w:t xml:space="preserve"> overseas (Wekesa, 2022; Wekesa et al., 2022). These findings are used in </w:t>
      </w:r>
      <w:r w:rsidRPr="002A3CBE">
        <w:rPr>
          <w:spacing w:val="-2"/>
        </w:rPr>
        <w:t>this submission instead of default half-life values used previously. New Zealand uses a weighted</w:t>
      </w:r>
      <w:r w:rsidRPr="002A3CBE">
        <w:t xml:space="preserve"> half-life of 33.6 years for </w:t>
      </w:r>
      <w:r w:rsidRPr="002A3CBE">
        <w:rPr>
          <w:i/>
          <w:iCs/>
        </w:rPr>
        <w:t>Sawnwood</w:t>
      </w:r>
      <w:r w:rsidRPr="002A3CBE">
        <w:t>,</w:t>
      </w:r>
      <w:r w:rsidRPr="002A3CBE">
        <w:rPr>
          <w:i/>
          <w:iCs/>
        </w:rPr>
        <w:t xml:space="preserve"> </w:t>
      </w:r>
      <w:r w:rsidRPr="002A3CBE">
        <w:t>32.4 years for</w:t>
      </w:r>
      <w:r w:rsidRPr="002A3CBE">
        <w:rPr>
          <w:i/>
          <w:iCs/>
        </w:rPr>
        <w:t xml:space="preserve"> Wood-based panels for domestically processed and consumed harvested wood products</w:t>
      </w:r>
      <w:r w:rsidRPr="002A3CBE">
        <w:t>,</w:t>
      </w:r>
      <w:r w:rsidRPr="002A3CBE">
        <w:rPr>
          <w:i/>
          <w:iCs/>
        </w:rPr>
        <w:t xml:space="preserve"> </w:t>
      </w:r>
      <w:r w:rsidRPr="002A3CBE">
        <w:t>whereas weighted half-life values of 23.6 years for</w:t>
      </w:r>
      <w:r w:rsidRPr="002A3CBE">
        <w:rPr>
          <w:i/>
          <w:iCs/>
        </w:rPr>
        <w:t xml:space="preserve"> Sawnwood </w:t>
      </w:r>
      <w:r w:rsidRPr="002A3CBE">
        <w:t xml:space="preserve">and 20.7 years for </w:t>
      </w:r>
      <w:r w:rsidRPr="002A3CBE">
        <w:rPr>
          <w:i/>
          <w:iCs/>
        </w:rPr>
        <w:t>Sawnwood panels</w:t>
      </w:r>
      <w:r w:rsidRPr="002A3CBE">
        <w:t xml:space="preserve"> are used for harvested wood products produced in New Zealand and exported overseas (Wakelin, unpublished (f)). A default half-life value of two years was used for domestically produced and processed </w:t>
      </w:r>
      <w:r w:rsidRPr="002A3CBE">
        <w:rPr>
          <w:i/>
          <w:iCs/>
        </w:rPr>
        <w:t>Paper and paperboard</w:t>
      </w:r>
      <w:r w:rsidRPr="002A3CBE">
        <w:t xml:space="preserve"> consumed in the domestic and export markets (IPCC, 2014). These half-lives are used to increase the accuracy of the estimates over the default categories (</w:t>
      </w:r>
      <w:r w:rsidRPr="002A3CBE">
        <w:rPr>
          <w:i/>
          <w:iCs/>
        </w:rPr>
        <w:t xml:space="preserve">Solid wood </w:t>
      </w:r>
      <w:r w:rsidRPr="002A3CBE">
        <w:t>and</w:t>
      </w:r>
      <w:r w:rsidRPr="002A3CBE">
        <w:rPr>
          <w:i/>
          <w:iCs/>
        </w:rPr>
        <w:t xml:space="preserve"> Paper and paperboard</w:t>
      </w:r>
      <w:r w:rsidRPr="002A3CBE">
        <w:t>)</w:t>
      </w:r>
      <w:r w:rsidRPr="002A3CBE">
        <w:rPr>
          <w:i/>
          <w:iCs/>
        </w:rPr>
        <w:t xml:space="preserve"> </w:t>
      </w:r>
      <w:r w:rsidRPr="002A3CBE">
        <w:t>(IPCC, 2006a, table 12.2).</w:t>
      </w:r>
    </w:p>
    <w:p w14:paraId="3BD42E0A" w14:textId="77777777" w:rsidR="00447423" w:rsidRPr="002A3CBE" w:rsidRDefault="00447423" w:rsidP="00447423">
      <w:pPr>
        <w:pStyle w:val="BodyText"/>
      </w:pPr>
      <w:r w:rsidRPr="002A3CBE">
        <w:t xml:space="preserve">Most of New Zealand’s exported logs are converted into construction and packaging material (Manley and Evison, 2016). The weighted half-lives for China and India are significantly lower than the IPCC default half-lives for </w:t>
      </w:r>
      <w:r w:rsidRPr="002A3CBE">
        <w:rPr>
          <w:i/>
        </w:rPr>
        <w:t>Sawnwood</w:t>
      </w:r>
      <w:r w:rsidRPr="002A3CBE">
        <w:t xml:space="preserve"> and </w:t>
      </w:r>
      <w:r w:rsidRPr="002A3CBE">
        <w:rPr>
          <w:i/>
        </w:rPr>
        <w:t>Panels</w:t>
      </w:r>
      <w:r w:rsidRPr="002A3CBE">
        <w:t xml:space="preserve">, as demonstrated </w:t>
      </w:r>
      <w:r w:rsidRPr="002A3CBE">
        <w:rPr>
          <w:spacing w:val="-2"/>
        </w:rPr>
        <w:t xml:space="preserve">in table 6.10.2. These findings are included in </w:t>
      </w:r>
      <w:r w:rsidRPr="002A3CBE">
        <w:t>New Zealand’s</w:t>
      </w:r>
      <w:r w:rsidRPr="002A3CBE">
        <w:rPr>
          <w:spacing w:val="-2"/>
        </w:rPr>
        <w:t xml:space="preserve"> </w:t>
      </w:r>
      <w:r w:rsidRPr="002A3CBE">
        <w:rPr>
          <w:i/>
          <w:spacing w:val="-2"/>
        </w:rPr>
        <w:t>Harvested wood products</w:t>
      </w:r>
      <w:r w:rsidRPr="002A3CBE">
        <w:rPr>
          <w:spacing w:val="-2"/>
        </w:rPr>
        <w:t xml:space="preserve"> estimates</w:t>
      </w:r>
      <w:r w:rsidRPr="002A3CBE">
        <w:t xml:space="preserve"> and provide an improvement on the default assumption where exported raw materials were discarded at the same rate as domestic production. Further information on the half-lives for conversions of exported logs is provided in volume 2, annex 5, section A5.2.6.</w:t>
      </w:r>
    </w:p>
    <w:p w14:paraId="55F70AC0" w14:textId="77777777" w:rsidR="00447423" w:rsidRPr="002A3CBE" w:rsidRDefault="00447423" w:rsidP="00447423">
      <w:pPr>
        <w:pStyle w:val="Table"/>
      </w:pPr>
      <w:bookmarkStart w:id="2864" w:name="_Toc158979984"/>
      <w:bookmarkStart w:id="2865" w:name="_Toc164153917"/>
      <w:bookmarkStart w:id="2866" w:name="_Toc190873151"/>
      <w:bookmarkStart w:id="2867" w:name="_Toc194241790"/>
      <w:bookmarkStart w:id="2868" w:name="_Toc222837941"/>
      <w:bookmarkStart w:id="2869" w:name="_Toc226669087"/>
      <w:bookmarkStart w:id="2870" w:name="_Toc131591426"/>
      <w:r w:rsidRPr="002A3CBE">
        <w:t>Table 6.10.2</w:t>
      </w:r>
      <w:r w:rsidRPr="002A3CBE">
        <w:tab/>
        <w:t>Weighted half-lives for harvested wood products produced in export markets</w:t>
      </w:r>
      <w:bookmarkEnd w:id="2864"/>
      <w:bookmarkEnd w:id="2865"/>
      <w:bookmarkEnd w:id="2866"/>
      <w:bookmarkEnd w:id="2867"/>
      <w:bookmarkEnd w:id="2868"/>
      <w:bookmarkEnd w:id="2869"/>
      <w:r w:rsidRPr="002A3CBE">
        <w:t xml:space="preserve"> </w:t>
      </w:r>
      <w:bookmarkEnd w:id="2870"/>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062"/>
        <w:gridCol w:w="2609"/>
        <w:gridCol w:w="1981"/>
        <w:gridCol w:w="1853"/>
      </w:tblGrid>
      <w:tr w:rsidR="00447423" w:rsidRPr="002A3CBE" w14:paraId="250A5431" w14:textId="77777777" w:rsidTr="00F16E23">
        <w:trPr>
          <w:tblHeader/>
        </w:trPr>
        <w:tc>
          <w:tcPr>
            <w:tcW w:w="2062" w:type="dxa"/>
            <w:vMerge w:val="restart"/>
            <w:tcBorders>
              <w:bottom w:val="nil"/>
            </w:tcBorders>
            <w:shd w:val="clear" w:color="auto" w:fill="1B556B" w:themeFill="text2"/>
            <w:vAlign w:val="bottom"/>
          </w:tcPr>
          <w:p w14:paraId="01644EC8" w14:textId="77777777" w:rsidR="00447423" w:rsidRPr="002A3CBE" w:rsidRDefault="00447423" w:rsidP="00F16E23">
            <w:pPr>
              <w:pStyle w:val="TableTextBold"/>
              <w:spacing w:before="40" w:after="40"/>
              <w:rPr>
                <w:noProof w:val="0"/>
                <w:color w:val="FFFFFF"/>
              </w:rPr>
            </w:pPr>
            <w:r w:rsidRPr="002A3CBE">
              <w:rPr>
                <w:noProof w:val="0"/>
                <w:color w:val="FFFFFF"/>
              </w:rPr>
              <w:t>Country</w:t>
            </w:r>
          </w:p>
        </w:tc>
        <w:tc>
          <w:tcPr>
            <w:tcW w:w="6443" w:type="dxa"/>
            <w:gridSpan w:val="3"/>
            <w:tcBorders>
              <w:bottom w:val="nil"/>
            </w:tcBorders>
            <w:shd w:val="clear" w:color="auto" w:fill="1B556B" w:themeFill="text2"/>
            <w:vAlign w:val="bottom"/>
          </w:tcPr>
          <w:p w14:paraId="002EF8C5" w14:textId="77777777" w:rsidR="00447423" w:rsidRPr="002A3CBE" w:rsidRDefault="00447423" w:rsidP="00F16E23">
            <w:pPr>
              <w:pStyle w:val="TableTextBold"/>
              <w:spacing w:before="40" w:after="0"/>
              <w:jc w:val="center"/>
              <w:rPr>
                <w:noProof w:val="0"/>
                <w:color w:val="FFFFFF"/>
              </w:rPr>
            </w:pPr>
            <w:r w:rsidRPr="002A3CBE">
              <w:rPr>
                <w:noProof w:val="0"/>
                <w:color w:val="FFFFFF"/>
              </w:rPr>
              <w:t>Weighted half-lives (years)</w:t>
            </w:r>
          </w:p>
        </w:tc>
      </w:tr>
      <w:tr w:rsidR="00447423" w:rsidRPr="002A3CBE" w14:paraId="40950EF5" w14:textId="77777777" w:rsidTr="00F16E23">
        <w:tc>
          <w:tcPr>
            <w:tcW w:w="2062" w:type="dxa"/>
            <w:vMerge/>
            <w:tcBorders>
              <w:top w:val="nil"/>
              <w:bottom w:val="single" w:sz="4" w:space="0" w:color="1B556B"/>
            </w:tcBorders>
            <w:shd w:val="clear" w:color="auto" w:fill="1B556B" w:themeFill="text2"/>
          </w:tcPr>
          <w:p w14:paraId="184CAABD" w14:textId="77777777" w:rsidR="00447423" w:rsidRPr="002A3CBE" w:rsidRDefault="00447423" w:rsidP="00F16E23">
            <w:pPr>
              <w:pStyle w:val="TableTextBold"/>
              <w:spacing w:before="40" w:after="40"/>
              <w:rPr>
                <w:noProof w:val="0"/>
                <w:color w:val="FFFFFF"/>
              </w:rPr>
            </w:pPr>
          </w:p>
        </w:tc>
        <w:tc>
          <w:tcPr>
            <w:tcW w:w="2609" w:type="dxa"/>
            <w:tcBorders>
              <w:top w:val="nil"/>
              <w:bottom w:val="single" w:sz="4" w:space="0" w:color="1B556B"/>
            </w:tcBorders>
            <w:shd w:val="clear" w:color="auto" w:fill="1B556B" w:themeFill="text2"/>
          </w:tcPr>
          <w:p w14:paraId="503ED4F3" w14:textId="77777777" w:rsidR="00447423" w:rsidRPr="002A3CBE" w:rsidRDefault="00447423" w:rsidP="00F16E23">
            <w:pPr>
              <w:pStyle w:val="TableTextBold"/>
              <w:spacing w:before="40" w:after="40"/>
              <w:jc w:val="right"/>
              <w:rPr>
                <w:noProof w:val="0"/>
                <w:color w:val="FFFFFF"/>
              </w:rPr>
            </w:pPr>
            <w:r w:rsidRPr="002A3CBE">
              <w:rPr>
                <w:noProof w:val="0"/>
                <w:color w:val="FFFFFF"/>
              </w:rPr>
              <w:t>Sawnwood</w:t>
            </w:r>
          </w:p>
        </w:tc>
        <w:tc>
          <w:tcPr>
            <w:tcW w:w="1981" w:type="dxa"/>
            <w:tcBorders>
              <w:top w:val="nil"/>
              <w:bottom w:val="single" w:sz="4" w:space="0" w:color="1B556B"/>
            </w:tcBorders>
            <w:shd w:val="clear" w:color="auto" w:fill="1B556B" w:themeFill="text2"/>
          </w:tcPr>
          <w:p w14:paraId="157C4246" w14:textId="77777777" w:rsidR="00447423" w:rsidRPr="002A3CBE" w:rsidRDefault="00447423" w:rsidP="00F16E23">
            <w:pPr>
              <w:pStyle w:val="TableTextBold"/>
              <w:spacing w:before="40" w:after="40"/>
              <w:jc w:val="right"/>
              <w:rPr>
                <w:noProof w:val="0"/>
                <w:color w:val="FFFFFF"/>
              </w:rPr>
            </w:pPr>
            <w:r w:rsidRPr="002A3CBE">
              <w:rPr>
                <w:noProof w:val="0"/>
                <w:color w:val="FFFFFF"/>
              </w:rPr>
              <w:t>Wood panels</w:t>
            </w:r>
          </w:p>
        </w:tc>
        <w:tc>
          <w:tcPr>
            <w:tcW w:w="1853" w:type="dxa"/>
            <w:tcBorders>
              <w:top w:val="nil"/>
              <w:bottom w:val="single" w:sz="4" w:space="0" w:color="1B556B"/>
            </w:tcBorders>
            <w:shd w:val="clear" w:color="auto" w:fill="1B556B" w:themeFill="text2"/>
          </w:tcPr>
          <w:p w14:paraId="5B0742A8" w14:textId="77777777" w:rsidR="00447423" w:rsidRPr="002A3CBE" w:rsidRDefault="00447423" w:rsidP="00F16E23">
            <w:pPr>
              <w:pStyle w:val="TableTextBold"/>
              <w:spacing w:before="40" w:after="40"/>
              <w:jc w:val="right"/>
              <w:rPr>
                <w:noProof w:val="0"/>
                <w:color w:val="FFFFFF"/>
              </w:rPr>
            </w:pPr>
            <w:r w:rsidRPr="002A3CBE">
              <w:rPr>
                <w:noProof w:val="0"/>
                <w:color w:val="FFFFFF"/>
              </w:rPr>
              <w:t>Paper</w:t>
            </w:r>
          </w:p>
        </w:tc>
      </w:tr>
      <w:tr w:rsidR="00447423" w:rsidRPr="002A3CBE" w14:paraId="759CA9DD" w14:textId="77777777" w:rsidTr="00F16E23">
        <w:tc>
          <w:tcPr>
            <w:tcW w:w="2062" w:type="dxa"/>
            <w:tcBorders>
              <w:top w:val="single" w:sz="4" w:space="0" w:color="1B556B"/>
            </w:tcBorders>
          </w:tcPr>
          <w:p w14:paraId="316BA45F" w14:textId="77777777" w:rsidR="00447423" w:rsidRPr="002A3CBE" w:rsidRDefault="00447423" w:rsidP="00F16E23">
            <w:pPr>
              <w:pStyle w:val="TableText"/>
              <w:spacing w:before="40" w:after="40"/>
            </w:pPr>
            <w:r w:rsidRPr="002A3CBE">
              <w:t>China</w:t>
            </w:r>
          </w:p>
        </w:tc>
        <w:tc>
          <w:tcPr>
            <w:tcW w:w="2609" w:type="dxa"/>
            <w:tcBorders>
              <w:top w:val="single" w:sz="4" w:space="0" w:color="1B556B"/>
            </w:tcBorders>
          </w:tcPr>
          <w:p w14:paraId="098DA269" w14:textId="77777777" w:rsidR="00447423" w:rsidRPr="002A3CBE" w:rsidRDefault="00447423" w:rsidP="00F16E23">
            <w:pPr>
              <w:pStyle w:val="TableText"/>
              <w:tabs>
                <w:tab w:val="decimal" w:pos="181"/>
              </w:tabs>
              <w:spacing w:before="40" w:after="40"/>
              <w:jc w:val="right"/>
            </w:pPr>
            <w:r w:rsidRPr="002A3CBE">
              <w:t>8.3</w:t>
            </w:r>
          </w:p>
        </w:tc>
        <w:tc>
          <w:tcPr>
            <w:tcW w:w="1981" w:type="dxa"/>
            <w:tcBorders>
              <w:top w:val="single" w:sz="4" w:space="0" w:color="1B556B"/>
            </w:tcBorders>
          </w:tcPr>
          <w:p w14:paraId="199C5E14" w14:textId="77777777" w:rsidR="00447423" w:rsidRPr="002A3CBE" w:rsidRDefault="00447423" w:rsidP="00F16E23">
            <w:pPr>
              <w:pStyle w:val="TableText"/>
              <w:spacing w:before="40" w:after="40"/>
              <w:jc w:val="right"/>
            </w:pPr>
            <w:r w:rsidRPr="002A3CBE">
              <w:t>8.3</w:t>
            </w:r>
          </w:p>
        </w:tc>
        <w:tc>
          <w:tcPr>
            <w:tcW w:w="1853" w:type="dxa"/>
            <w:tcBorders>
              <w:top w:val="single" w:sz="4" w:space="0" w:color="1B556B"/>
            </w:tcBorders>
          </w:tcPr>
          <w:p w14:paraId="1ED1E721" w14:textId="77777777" w:rsidR="00447423" w:rsidRPr="002A3CBE" w:rsidRDefault="00447423" w:rsidP="00F16E23">
            <w:pPr>
              <w:pStyle w:val="TableText"/>
              <w:spacing w:before="40" w:after="40"/>
              <w:jc w:val="right"/>
            </w:pPr>
            <w:r w:rsidRPr="002A3CBE">
              <w:t>2</w:t>
            </w:r>
          </w:p>
        </w:tc>
      </w:tr>
      <w:tr w:rsidR="00447423" w:rsidRPr="002A3CBE" w14:paraId="03FE00BD" w14:textId="77777777" w:rsidTr="00F16E23">
        <w:tc>
          <w:tcPr>
            <w:tcW w:w="2062" w:type="dxa"/>
          </w:tcPr>
          <w:p w14:paraId="162D6B10" w14:textId="77777777" w:rsidR="00447423" w:rsidRPr="002A3CBE" w:rsidRDefault="00447423" w:rsidP="00F16E23">
            <w:pPr>
              <w:pStyle w:val="TableText"/>
              <w:spacing w:before="40" w:after="40"/>
            </w:pPr>
            <w:r w:rsidRPr="002A3CBE">
              <w:t>India</w:t>
            </w:r>
          </w:p>
        </w:tc>
        <w:tc>
          <w:tcPr>
            <w:tcW w:w="2609" w:type="dxa"/>
          </w:tcPr>
          <w:p w14:paraId="67710E51" w14:textId="77777777" w:rsidR="00447423" w:rsidRPr="002A3CBE" w:rsidRDefault="00447423" w:rsidP="00F16E23">
            <w:pPr>
              <w:pStyle w:val="TableText"/>
              <w:tabs>
                <w:tab w:val="decimal" w:pos="181"/>
              </w:tabs>
              <w:spacing w:before="40" w:after="40"/>
              <w:jc w:val="right"/>
            </w:pPr>
            <w:r w:rsidRPr="002A3CBE">
              <w:t>1.4</w:t>
            </w:r>
          </w:p>
        </w:tc>
        <w:tc>
          <w:tcPr>
            <w:tcW w:w="1981" w:type="dxa"/>
          </w:tcPr>
          <w:p w14:paraId="773F1A88" w14:textId="77777777" w:rsidR="00447423" w:rsidRPr="002A3CBE" w:rsidRDefault="00447423" w:rsidP="00F16E23">
            <w:pPr>
              <w:pStyle w:val="TableText"/>
              <w:spacing w:before="40" w:after="40"/>
              <w:jc w:val="right"/>
            </w:pPr>
            <w:r w:rsidRPr="002A3CBE">
              <w:t>10.4</w:t>
            </w:r>
          </w:p>
        </w:tc>
        <w:tc>
          <w:tcPr>
            <w:tcW w:w="1853" w:type="dxa"/>
          </w:tcPr>
          <w:p w14:paraId="4AE9BCD4" w14:textId="77777777" w:rsidR="00447423" w:rsidRPr="002A3CBE" w:rsidRDefault="00447423" w:rsidP="00F16E23">
            <w:pPr>
              <w:pStyle w:val="TableText"/>
              <w:spacing w:before="40" w:after="40"/>
              <w:jc w:val="right"/>
            </w:pPr>
            <w:r w:rsidRPr="002A3CBE">
              <w:t>2</w:t>
            </w:r>
          </w:p>
        </w:tc>
      </w:tr>
      <w:tr w:rsidR="00447423" w:rsidRPr="002A3CBE" w14:paraId="5865866E" w14:textId="77777777" w:rsidTr="00F16E23">
        <w:tc>
          <w:tcPr>
            <w:tcW w:w="2062" w:type="dxa"/>
          </w:tcPr>
          <w:p w14:paraId="426EFF78" w14:textId="77777777" w:rsidR="00447423" w:rsidRPr="002A3CBE" w:rsidRDefault="00447423" w:rsidP="00F16E23">
            <w:pPr>
              <w:pStyle w:val="TableText"/>
              <w:spacing w:before="40" w:after="40"/>
            </w:pPr>
            <w:r w:rsidRPr="002A3CBE">
              <w:t>South Korea</w:t>
            </w:r>
          </w:p>
        </w:tc>
        <w:tc>
          <w:tcPr>
            <w:tcW w:w="2609" w:type="dxa"/>
          </w:tcPr>
          <w:p w14:paraId="374B69E6" w14:textId="77777777" w:rsidR="00447423" w:rsidRPr="002A3CBE" w:rsidRDefault="00447423" w:rsidP="00F16E23">
            <w:pPr>
              <w:pStyle w:val="TableText"/>
              <w:tabs>
                <w:tab w:val="decimal" w:pos="181"/>
              </w:tabs>
              <w:spacing w:before="40" w:after="40"/>
              <w:jc w:val="right"/>
            </w:pPr>
            <w:r w:rsidRPr="002A3CBE">
              <w:t>15.5</w:t>
            </w:r>
          </w:p>
        </w:tc>
        <w:tc>
          <w:tcPr>
            <w:tcW w:w="1981" w:type="dxa"/>
          </w:tcPr>
          <w:p w14:paraId="632A6515" w14:textId="77777777" w:rsidR="00447423" w:rsidRPr="002A3CBE" w:rsidRDefault="00447423" w:rsidP="00F16E23">
            <w:pPr>
              <w:pStyle w:val="TableText"/>
              <w:spacing w:before="40" w:after="40"/>
              <w:jc w:val="right"/>
            </w:pPr>
            <w:r w:rsidRPr="002A3CBE">
              <w:t>23.9</w:t>
            </w:r>
          </w:p>
        </w:tc>
        <w:tc>
          <w:tcPr>
            <w:tcW w:w="1853" w:type="dxa"/>
          </w:tcPr>
          <w:p w14:paraId="6C74D03C" w14:textId="77777777" w:rsidR="00447423" w:rsidRPr="002A3CBE" w:rsidRDefault="00447423" w:rsidP="00F16E23">
            <w:pPr>
              <w:pStyle w:val="TableText"/>
              <w:spacing w:before="40" w:after="40"/>
              <w:jc w:val="right"/>
            </w:pPr>
            <w:r w:rsidRPr="002A3CBE">
              <w:t>2</w:t>
            </w:r>
          </w:p>
        </w:tc>
      </w:tr>
      <w:tr w:rsidR="00447423" w:rsidRPr="002A3CBE" w14:paraId="4891B431" w14:textId="77777777" w:rsidTr="00F16E23">
        <w:tc>
          <w:tcPr>
            <w:tcW w:w="2062" w:type="dxa"/>
          </w:tcPr>
          <w:p w14:paraId="49E314E2" w14:textId="77777777" w:rsidR="00447423" w:rsidRPr="002A3CBE" w:rsidRDefault="00447423" w:rsidP="00F16E23">
            <w:pPr>
              <w:pStyle w:val="TableText"/>
              <w:spacing w:before="40" w:after="40"/>
            </w:pPr>
            <w:r w:rsidRPr="002A3CBE">
              <w:t>Japan</w:t>
            </w:r>
          </w:p>
        </w:tc>
        <w:tc>
          <w:tcPr>
            <w:tcW w:w="2609" w:type="dxa"/>
          </w:tcPr>
          <w:p w14:paraId="27A503A9" w14:textId="77777777" w:rsidR="00447423" w:rsidRPr="002A3CBE" w:rsidRDefault="00447423" w:rsidP="00F16E23">
            <w:pPr>
              <w:pStyle w:val="TableText"/>
              <w:tabs>
                <w:tab w:val="decimal" w:pos="181"/>
              </w:tabs>
              <w:spacing w:before="40" w:after="40"/>
              <w:jc w:val="right"/>
            </w:pPr>
            <w:r w:rsidRPr="002A3CBE">
              <w:t>3.1</w:t>
            </w:r>
          </w:p>
        </w:tc>
        <w:tc>
          <w:tcPr>
            <w:tcW w:w="1981" w:type="dxa"/>
          </w:tcPr>
          <w:p w14:paraId="008A30E8" w14:textId="77777777" w:rsidR="00447423" w:rsidRPr="002A3CBE" w:rsidRDefault="00447423" w:rsidP="00F16E23">
            <w:pPr>
              <w:pStyle w:val="TableText"/>
              <w:spacing w:before="40" w:after="40"/>
              <w:jc w:val="right"/>
            </w:pPr>
            <w:r w:rsidRPr="002A3CBE">
              <w:t>2.8</w:t>
            </w:r>
          </w:p>
        </w:tc>
        <w:tc>
          <w:tcPr>
            <w:tcW w:w="1853" w:type="dxa"/>
          </w:tcPr>
          <w:p w14:paraId="5082E4D6" w14:textId="77777777" w:rsidR="00447423" w:rsidRPr="002A3CBE" w:rsidRDefault="00447423" w:rsidP="00F16E23">
            <w:pPr>
              <w:pStyle w:val="TableText"/>
              <w:spacing w:before="40" w:after="40"/>
              <w:jc w:val="right"/>
            </w:pPr>
            <w:r w:rsidRPr="002A3CBE">
              <w:t>2</w:t>
            </w:r>
          </w:p>
        </w:tc>
      </w:tr>
      <w:tr w:rsidR="00447423" w:rsidRPr="002A3CBE" w14:paraId="1AAABBA0" w14:textId="77777777" w:rsidTr="00F16E23">
        <w:tc>
          <w:tcPr>
            <w:tcW w:w="2062" w:type="dxa"/>
          </w:tcPr>
          <w:p w14:paraId="18BAA7ED" w14:textId="77777777" w:rsidR="00447423" w:rsidRPr="002A3CBE" w:rsidRDefault="00447423" w:rsidP="00F16E23">
            <w:pPr>
              <w:pStyle w:val="TableText"/>
              <w:spacing w:before="40" w:after="40"/>
            </w:pPr>
            <w:r w:rsidRPr="002A3CBE">
              <w:t>Other</w:t>
            </w:r>
          </w:p>
        </w:tc>
        <w:tc>
          <w:tcPr>
            <w:tcW w:w="2609" w:type="dxa"/>
          </w:tcPr>
          <w:p w14:paraId="4BC8E6B2" w14:textId="77777777" w:rsidR="00447423" w:rsidRPr="002A3CBE" w:rsidRDefault="00447423" w:rsidP="00F16E23">
            <w:pPr>
              <w:pStyle w:val="TableText"/>
              <w:tabs>
                <w:tab w:val="decimal" w:pos="181"/>
              </w:tabs>
              <w:spacing w:before="40" w:after="40"/>
              <w:jc w:val="right"/>
            </w:pPr>
            <w:r w:rsidRPr="002A3CBE">
              <w:t>8.3</w:t>
            </w:r>
          </w:p>
        </w:tc>
        <w:tc>
          <w:tcPr>
            <w:tcW w:w="1981" w:type="dxa"/>
          </w:tcPr>
          <w:p w14:paraId="75470BF5" w14:textId="77777777" w:rsidR="00447423" w:rsidRPr="002A3CBE" w:rsidRDefault="00447423" w:rsidP="00F16E23">
            <w:pPr>
              <w:pStyle w:val="TableText"/>
              <w:spacing w:before="40" w:after="40"/>
              <w:jc w:val="right"/>
            </w:pPr>
            <w:r w:rsidRPr="002A3CBE">
              <w:t>8.3</w:t>
            </w:r>
          </w:p>
        </w:tc>
        <w:tc>
          <w:tcPr>
            <w:tcW w:w="1853" w:type="dxa"/>
          </w:tcPr>
          <w:p w14:paraId="41A2B947" w14:textId="77777777" w:rsidR="00447423" w:rsidRPr="002A3CBE" w:rsidRDefault="00447423" w:rsidP="00F16E23">
            <w:pPr>
              <w:pStyle w:val="TableText"/>
              <w:spacing w:before="40" w:after="40"/>
              <w:jc w:val="right"/>
            </w:pPr>
            <w:r w:rsidRPr="002A3CBE">
              <w:t>2</w:t>
            </w:r>
          </w:p>
        </w:tc>
      </w:tr>
      <w:tr w:rsidR="00447423" w:rsidRPr="002A3CBE" w14:paraId="649DA9C1" w14:textId="77777777" w:rsidTr="00F16E23">
        <w:tc>
          <w:tcPr>
            <w:tcW w:w="2062" w:type="dxa"/>
          </w:tcPr>
          <w:p w14:paraId="22ECB302" w14:textId="77777777" w:rsidR="00447423" w:rsidRPr="002A3CBE" w:rsidRDefault="00447423" w:rsidP="00F16E23">
            <w:pPr>
              <w:pStyle w:val="TableText"/>
              <w:spacing w:before="40" w:after="40"/>
            </w:pPr>
            <w:r w:rsidRPr="002A3CBE">
              <w:t>IPCC default</w:t>
            </w:r>
          </w:p>
        </w:tc>
        <w:tc>
          <w:tcPr>
            <w:tcW w:w="2609" w:type="dxa"/>
          </w:tcPr>
          <w:p w14:paraId="6D9C0AF2" w14:textId="77777777" w:rsidR="00447423" w:rsidRPr="002A3CBE" w:rsidRDefault="00447423" w:rsidP="00F16E23">
            <w:pPr>
              <w:pStyle w:val="TableText"/>
              <w:tabs>
                <w:tab w:val="decimal" w:pos="181"/>
              </w:tabs>
              <w:spacing w:before="40" w:after="40"/>
              <w:jc w:val="right"/>
            </w:pPr>
            <w:r w:rsidRPr="002A3CBE">
              <w:t>35</w:t>
            </w:r>
          </w:p>
        </w:tc>
        <w:tc>
          <w:tcPr>
            <w:tcW w:w="1981" w:type="dxa"/>
          </w:tcPr>
          <w:p w14:paraId="165CE119" w14:textId="77777777" w:rsidR="00447423" w:rsidRPr="002A3CBE" w:rsidRDefault="00447423" w:rsidP="00F16E23">
            <w:pPr>
              <w:pStyle w:val="TableText"/>
              <w:spacing w:before="40" w:after="40"/>
              <w:jc w:val="right"/>
            </w:pPr>
            <w:r w:rsidRPr="002A3CBE">
              <w:t>25</w:t>
            </w:r>
          </w:p>
        </w:tc>
        <w:tc>
          <w:tcPr>
            <w:tcW w:w="1853" w:type="dxa"/>
          </w:tcPr>
          <w:p w14:paraId="0434473D" w14:textId="77777777" w:rsidR="00447423" w:rsidRPr="002A3CBE" w:rsidRDefault="00447423" w:rsidP="00F16E23">
            <w:pPr>
              <w:pStyle w:val="TableText"/>
              <w:spacing w:before="40" w:after="40"/>
              <w:jc w:val="right"/>
            </w:pPr>
            <w:r w:rsidRPr="002A3CBE">
              <w:t>2</w:t>
            </w:r>
          </w:p>
        </w:tc>
      </w:tr>
    </w:tbl>
    <w:p w14:paraId="0F862C9B" w14:textId="77777777" w:rsidR="00447423" w:rsidRPr="002A3CBE" w:rsidRDefault="00447423" w:rsidP="00447423">
      <w:pPr>
        <w:pStyle w:val="Heading3"/>
        <w:tabs>
          <w:tab w:val="clear" w:pos="851"/>
          <w:tab w:val="left" w:pos="993"/>
        </w:tabs>
        <w:spacing w:before="400"/>
      </w:pPr>
      <w:r w:rsidRPr="002A3CBE">
        <w:t>6.10.3</w:t>
      </w:r>
      <w:r w:rsidRPr="002A3CBE">
        <w:tab/>
        <w:t>Uncertainty assessment and time-series consistency</w:t>
      </w:r>
    </w:p>
    <w:p w14:paraId="2969E178" w14:textId="102D2EF7" w:rsidR="00447423" w:rsidRPr="002A3CBE" w:rsidRDefault="00447423" w:rsidP="00447423">
      <w:pPr>
        <w:pStyle w:val="BodyText"/>
        <w:keepLines/>
      </w:pPr>
      <w:r w:rsidRPr="002A3CBE">
        <w:t xml:space="preserve">The uncertainty in net </w:t>
      </w:r>
      <w:r w:rsidRPr="002A3CBE">
        <w:rPr>
          <w:spacing w:val="-2"/>
        </w:rPr>
        <w:t>CO</w:t>
      </w:r>
      <w:r w:rsidRPr="002A3CBE">
        <w:rPr>
          <w:spacing w:val="-2"/>
          <w:vertAlign w:val="subscript"/>
        </w:rPr>
        <w:t>2</w:t>
      </w:r>
      <w:r w:rsidRPr="002A3CBE">
        <w:t xml:space="preserve"> emissions from </w:t>
      </w:r>
      <w:r w:rsidRPr="002A3CBE">
        <w:rPr>
          <w:i/>
          <w:iCs/>
        </w:rPr>
        <w:t>Harvested</w:t>
      </w:r>
      <w:r w:rsidRPr="002A3CBE">
        <w:rPr>
          <w:i/>
        </w:rPr>
        <w:t xml:space="preserve"> wood products</w:t>
      </w:r>
      <w:r w:rsidRPr="002A3CBE">
        <w:t xml:space="preserve"> was 68.2 percent in 2024</w:t>
      </w:r>
      <w:r w:rsidRPr="002A3CBE">
        <w:rPr>
          <w:rFonts w:asciiTheme="minorHAnsi" w:eastAsia="Symbol" w:hAnsiTheme="minorHAnsi"/>
          <w:i/>
          <w:iCs/>
        </w:rPr>
        <w:t xml:space="preserve">, </w:t>
      </w:r>
      <w:r w:rsidRPr="00316923">
        <w:rPr>
          <w:rFonts w:asciiTheme="minorHAnsi" w:eastAsia="Symbol" w:hAnsiTheme="minorHAnsi"/>
          <w:spacing w:val="-2"/>
        </w:rPr>
        <w:t xml:space="preserve">which accounted for 17.3 percent of the </w:t>
      </w:r>
      <w:r w:rsidRPr="00316923">
        <w:rPr>
          <w:rFonts w:asciiTheme="minorHAnsi" w:hAnsiTheme="minorHAnsi"/>
          <w:spacing w:val="-2"/>
        </w:rPr>
        <w:t>total uncertainty in emissions from the LULUCF sector.</w:t>
      </w:r>
      <w:r w:rsidRPr="002A3CBE">
        <w:t xml:space="preserve"> </w:t>
      </w:r>
      <w:r w:rsidRPr="00316923">
        <w:rPr>
          <w:spacing w:val="-2"/>
        </w:rPr>
        <w:t>Uncertainty in the </w:t>
      </w:r>
      <w:r w:rsidRPr="00316923">
        <w:rPr>
          <w:i/>
          <w:spacing w:val="-2"/>
        </w:rPr>
        <w:t>Harvested wood products</w:t>
      </w:r>
      <w:r w:rsidRPr="00316923">
        <w:rPr>
          <w:spacing w:val="-2"/>
        </w:rPr>
        <w:t xml:space="preserve"> estimates is introduced by activity data, conversion</w:t>
      </w:r>
      <w:r w:rsidRPr="002A3CBE">
        <w:t xml:space="preserve"> factors and decay parameters. The contribution to total uncertainty is driven by large removals in this pool and high uncertainty associated with the end-use and discard rates of New Zealand wood. The methods used to calculate the uncertainty are further described in volume 2, annex</w:t>
      </w:r>
      <w:r w:rsidR="00290C4C">
        <w:t> </w:t>
      </w:r>
      <w:r w:rsidRPr="002A3CBE">
        <w:t>5, section A5.2.8.</w:t>
      </w:r>
    </w:p>
    <w:p w14:paraId="5DFB840C" w14:textId="77777777" w:rsidR="00447423" w:rsidRPr="002A3CBE" w:rsidRDefault="00447423" w:rsidP="00447423">
      <w:pPr>
        <w:pStyle w:val="BodyText"/>
      </w:pPr>
      <w:r w:rsidRPr="002A3CBE">
        <w:t xml:space="preserve">Time-series consistency is ensured by applying consistent methods and full recalculations in the event of any refinement or improvement to the methodology. </w:t>
      </w:r>
    </w:p>
    <w:p w14:paraId="150596D4" w14:textId="77777777" w:rsidR="00447423" w:rsidRPr="002A3CBE" w:rsidRDefault="00447423" w:rsidP="00447423">
      <w:pPr>
        <w:pStyle w:val="Heading3"/>
        <w:tabs>
          <w:tab w:val="clear" w:pos="851"/>
          <w:tab w:val="left" w:pos="993"/>
        </w:tabs>
      </w:pPr>
      <w:r w:rsidRPr="002A3CBE">
        <w:t>6.10.4</w:t>
      </w:r>
      <w:r w:rsidRPr="002A3CBE">
        <w:tab/>
        <w:t>Category-specific QA/QC and verification</w:t>
      </w:r>
    </w:p>
    <w:p w14:paraId="12780E06" w14:textId="77777777" w:rsidR="00447423" w:rsidRPr="002A3CBE" w:rsidRDefault="00447423" w:rsidP="00447423">
      <w:pPr>
        <w:pStyle w:val="BodyText"/>
      </w:pPr>
      <w:r w:rsidRPr="002A3CBE">
        <w:t xml:space="preserve">Activity data for roundwood are sourced from annual statistics produced by MPI. However, as section 6.4 describes, the methodology for estimating above-ground biomass losses on harvest uses the LUCAS model, which combines harvest area by age with yield table carbon values. To ensure consistency between MPI roundwood volume statistics and LUCAS harvest estimates, a comparison between the two data sources across the time series was carried out and is further described in volume 2, annex 5, section A5.2.5 ‘Forest land model validations’. </w:t>
      </w:r>
    </w:p>
    <w:p w14:paraId="22BEA8D7" w14:textId="77777777" w:rsidR="00447423" w:rsidRPr="002A3CBE" w:rsidRDefault="00447423" w:rsidP="00447423">
      <w:pPr>
        <w:pStyle w:val="BodyText"/>
      </w:pPr>
      <w:r w:rsidRPr="002A3CBE">
        <w:t>The results show</w:t>
      </w:r>
      <w:r w:rsidRPr="002A3CBE" w:rsidDel="004D5E77">
        <w:t xml:space="preserve"> </w:t>
      </w:r>
      <w:r w:rsidRPr="002A3CBE">
        <w:t xml:space="preserve">a relatively good match between the two data sources between 2013 and 2020. This is because roundwood volume is now used to determine the total destocking area over this period. However, the two data sources deviate in earlier years. LUCAS above-ground biomass losses from harvest are greater than those estimated from roundwood volume statistics from 1996 to 2012 and are slightly lower from 1990 to 1994. </w:t>
      </w:r>
    </w:p>
    <w:p w14:paraId="075FFD7A" w14:textId="77777777" w:rsidR="00447423" w:rsidRPr="002A3CBE" w:rsidRDefault="00447423" w:rsidP="00447423">
      <w:pPr>
        <w:pStyle w:val="BodyText"/>
      </w:pPr>
      <w:r w:rsidRPr="002A3CBE">
        <w:t xml:space="preserve">The implications of these earlier differences are that New Zealand may be reporting more carbon losses from harvesting and deforestation than carbon gains from roundwood creation and inputs into the harvested wood products pool across most of the time series. </w:t>
      </w:r>
    </w:p>
    <w:p w14:paraId="088BDBBC" w14:textId="77777777" w:rsidR="00447423" w:rsidRPr="002A3CBE" w:rsidRDefault="00447423" w:rsidP="00447423">
      <w:pPr>
        <w:pStyle w:val="BodyText"/>
      </w:pPr>
      <w:r w:rsidRPr="002A3CBE">
        <w:t xml:space="preserve">Work is under way to determine the most effective approach to address this inconsistency through the time series, with updates planned for inclusion in the next submission to ensure full alignment and accuracy. </w:t>
      </w:r>
    </w:p>
    <w:p w14:paraId="7879676D" w14:textId="77777777" w:rsidR="00447423" w:rsidRPr="002A3CBE" w:rsidRDefault="00447423" w:rsidP="00447423">
      <w:pPr>
        <w:pStyle w:val="Heading3"/>
        <w:tabs>
          <w:tab w:val="clear" w:pos="851"/>
          <w:tab w:val="left" w:pos="993"/>
        </w:tabs>
      </w:pPr>
      <w:r w:rsidRPr="002A3CBE" w:rsidDel="007F0462">
        <w:t>6.</w:t>
      </w:r>
      <w:r w:rsidRPr="002A3CBE">
        <w:t>10.5</w:t>
      </w:r>
      <w:r w:rsidRPr="002A3CBE">
        <w:tab/>
        <w:t>Category-specific recalculations</w:t>
      </w:r>
    </w:p>
    <w:p w14:paraId="6481C046" w14:textId="77777777" w:rsidR="00447423" w:rsidRPr="002A3CBE" w:rsidRDefault="00447423" w:rsidP="00447423">
      <w:pPr>
        <w:pStyle w:val="BodyText"/>
      </w:pPr>
      <w:r w:rsidRPr="002A3CBE">
        <w:t>Recalculations of the entire time series were carried out for this category as a result of updated activity data. The impact of recalculations on net CO</w:t>
      </w:r>
      <w:r w:rsidRPr="002A3CBE">
        <w:rPr>
          <w:vertAlign w:val="subscript"/>
        </w:rPr>
        <w:t>2</w:t>
      </w:r>
      <w:r w:rsidRPr="002A3CBE">
        <w:t xml:space="preserve">e emission estimates for </w:t>
      </w:r>
      <w:r w:rsidRPr="002A3CBE">
        <w:rPr>
          <w:i/>
        </w:rPr>
        <w:t>Harvested wood products</w:t>
      </w:r>
      <w:r w:rsidRPr="002A3CBE">
        <w:t xml:space="preserve"> is shown in table 6.10.3.</w:t>
      </w:r>
    </w:p>
    <w:p w14:paraId="60BA2B0C" w14:textId="77777777" w:rsidR="00447423" w:rsidRPr="002A3CBE" w:rsidRDefault="00447423" w:rsidP="00447423">
      <w:pPr>
        <w:pStyle w:val="Table"/>
      </w:pPr>
      <w:bookmarkStart w:id="2871" w:name="_Toc443645410"/>
      <w:bookmarkStart w:id="2872" w:name="_Toc474914629"/>
      <w:bookmarkStart w:id="2873" w:name="_Toc481751593"/>
      <w:bookmarkStart w:id="2874" w:name="_Toc522010650"/>
      <w:bookmarkStart w:id="2875" w:name="_Toc5269555"/>
      <w:bookmarkStart w:id="2876" w:name="_Toc33529429"/>
      <w:bookmarkStart w:id="2877" w:name="_Toc36224635"/>
      <w:bookmarkStart w:id="2878" w:name="_Toc131591427"/>
      <w:bookmarkStart w:id="2879" w:name="_Toc158979985"/>
      <w:bookmarkStart w:id="2880" w:name="_Toc164153918"/>
      <w:bookmarkStart w:id="2881" w:name="_Toc190873152"/>
      <w:bookmarkStart w:id="2882" w:name="_Toc194241791"/>
      <w:bookmarkStart w:id="2883" w:name="_Toc222837942"/>
      <w:bookmarkStart w:id="2884" w:name="_Toc226669088"/>
      <w:r w:rsidRPr="002A3CBE">
        <w:t>Table 6.10.3</w:t>
      </w:r>
      <w:r w:rsidRPr="002A3CBE">
        <w:tab/>
        <w:t xml:space="preserve">Recalculations for New Zealand’s net emissions from the </w:t>
      </w:r>
      <w:r w:rsidRPr="002A3CBE">
        <w:rPr>
          <w:i/>
        </w:rPr>
        <w:t>Harvested wood products</w:t>
      </w:r>
      <w:r w:rsidRPr="002A3CBE">
        <w:br/>
        <w:t xml:space="preserve">category in 1990 and </w:t>
      </w:r>
      <w:bookmarkEnd w:id="2871"/>
      <w:bookmarkEnd w:id="2872"/>
      <w:bookmarkEnd w:id="2873"/>
      <w:bookmarkEnd w:id="2874"/>
      <w:bookmarkEnd w:id="2875"/>
      <w:bookmarkEnd w:id="2876"/>
      <w:bookmarkEnd w:id="2877"/>
      <w:bookmarkEnd w:id="2878"/>
      <w:bookmarkEnd w:id="2879"/>
      <w:bookmarkEnd w:id="2880"/>
      <w:bookmarkEnd w:id="2881"/>
      <w:bookmarkEnd w:id="2882"/>
      <w:r w:rsidRPr="002A3CBE">
        <w:t>2023</w:t>
      </w:r>
      <w:bookmarkEnd w:id="2883"/>
      <w:bookmarkEnd w:id="2884"/>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85"/>
        <w:gridCol w:w="1559"/>
        <w:gridCol w:w="1418"/>
        <w:gridCol w:w="2551"/>
        <w:gridCol w:w="992"/>
      </w:tblGrid>
      <w:tr w:rsidR="00447423" w:rsidRPr="002A3CBE" w14:paraId="512966A1" w14:textId="77777777" w:rsidTr="00F16E23">
        <w:trPr>
          <w:tblHeader/>
        </w:trPr>
        <w:tc>
          <w:tcPr>
            <w:tcW w:w="1985" w:type="dxa"/>
            <w:shd w:val="clear" w:color="auto" w:fill="1B556B"/>
            <w:tcMar>
              <w:top w:w="0" w:type="dxa"/>
              <w:left w:w="85" w:type="dxa"/>
              <w:bottom w:w="0" w:type="dxa"/>
              <w:right w:w="85" w:type="dxa"/>
            </w:tcMar>
            <w:vAlign w:val="center"/>
          </w:tcPr>
          <w:p w14:paraId="61126198" w14:textId="77777777" w:rsidR="00447423" w:rsidRPr="002A3CBE" w:rsidRDefault="00447423" w:rsidP="00F16E23">
            <w:pPr>
              <w:pStyle w:val="TableTextBold"/>
              <w:spacing w:before="40" w:after="40"/>
              <w:rPr>
                <w:rFonts w:eastAsia="Calibri"/>
                <w:noProof w:val="0"/>
                <w:color w:val="FFFFFF" w:themeColor="background1"/>
              </w:rPr>
            </w:pPr>
          </w:p>
        </w:tc>
        <w:tc>
          <w:tcPr>
            <w:tcW w:w="1559" w:type="dxa"/>
            <w:shd w:val="clear" w:color="auto" w:fill="1B556B"/>
            <w:tcMar>
              <w:top w:w="0" w:type="dxa"/>
              <w:left w:w="85" w:type="dxa"/>
              <w:bottom w:w="0" w:type="dxa"/>
              <w:right w:w="85" w:type="dxa"/>
            </w:tcMar>
            <w:vAlign w:val="center"/>
          </w:tcPr>
          <w:p w14:paraId="1936F630"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2025 submission</w:t>
            </w:r>
          </w:p>
        </w:tc>
        <w:tc>
          <w:tcPr>
            <w:tcW w:w="1418" w:type="dxa"/>
            <w:shd w:val="clear" w:color="auto" w:fill="1B556B"/>
            <w:tcMar>
              <w:top w:w="0" w:type="dxa"/>
              <w:left w:w="85" w:type="dxa"/>
              <w:bottom w:w="0" w:type="dxa"/>
              <w:right w:w="85" w:type="dxa"/>
            </w:tcMar>
            <w:vAlign w:val="center"/>
          </w:tcPr>
          <w:p w14:paraId="6C8F4D7A"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2026 submission</w:t>
            </w:r>
          </w:p>
        </w:tc>
        <w:tc>
          <w:tcPr>
            <w:tcW w:w="2551" w:type="dxa"/>
            <w:shd w:val="clear" w:color="auto" w:fill="1B556B"/>
            <w:tcMar>
              <w:top w:w="0" w:type="dxa"/>
              <w:left w:w="85" w:type="dxa"/>
              <w:bottom w:w="0" w:type="dxa"/>
              <w:right w:w="85" w:type="dxa"/>
            </w:tcMar>
            <w:vAlign w:val="center"/>
          </w:tcPr>
          <w:p w14:paraId="509C2A72"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2025 submission</w:t>
            </w:r>
          </w:p>
        </w:tc>
        <w:tc>
          <w:tcPr>
            <w:tcW w:w="992" w:type="dxa"/>
            <w:shd w:val="clear" w:color="auto" w:fill="1B556B"/>
            <w:tcMar>
              <w:top w:w="0" w:type="dxa"/>
              <w:left w:w="85" w:type="dxa"/>
              <w:bottom w:w="0" w:type="dxa"/>
              <w:right w:w="85" w:type="dxa"/>
            </w:tcMar>
            <w:vAlign w:val="center"/>
          </w:tcPr>
          <w:p w14:paraId="12152B43"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w:t>
            </w:r>
          </w:p>
        </w:tc>
      </w:tr>
      <w:tr w:rsidR="00447423" w:rsidRPr="002A3CBE" w14:paraId="747A3CE3" w14:textId="77777777" w:rsidTr="00F16E23">
        <w:tc>
          <w:tcPr>
            <w:tcW w:w="1985" w:type="dxa"/>
            <w:shd w:val="clear" w:color="auto" w:fill="FFFFFF"/>
            <w:tcMar>
              <w:top w:w="0" w:type="dxa"/>
              <w:left w:w="85" w:type="dxa"/>
              <w:bottom w:w="0" w:type="dxa"/>
              <w:right w:w="85" w:type="dxa"/>
            </w:tcMar>
            <w:vAlign w:val="center"/>
          </w:tcPr>
          <w:p w14:paraId="3C531EA8" w14:textId="77777777" w:rsidR="00447423" w:rsidRPr="002A3CBE" w:rsidRDefault="00447423" w:rsidP="00F16E23">
            <w:pPr>
              <w:pStyle w:val="Tableboldblue"/>
              <w:spacing w:before="40" w:after="40"/>
              <w:rPr>
                <w:rFonts w:eastAsia="Calibri"/>
              </w:rPr>
            </w:pPr>
            <w:r w:rsidRPr="002A3CBE">
              <w:rPr>
                <w:rFonts w:eastAsia="Calibri"/>
              </w:rPr>
              <w:t>Net emissions (kt CO</w:t>
            </w:r>
            <w:r w:rsidRPr="002A3CBE">
              <w:rPr>
                <w:rFonts w:eastAsia="Calibri"/>
                <w:vertAlign w:val="subscript"/>
              </w:rPr>
              <w:t>2</w:t>
            </w:r>
            <w:r w:rsidRPr="002A3CBE">
              <w:rPr>
                <w:rFonts w:eastAsia="Calibri"/>
              </w:rPr>
              <w:t>e)</w:t>
            </w:r>
          </w:p>
        </w:tc>
        <w:tc>
          <w:tcPr>
            <w:tcW w:w="1559" w:type="dxa"/>
            <w:shd w:val="clear" w:color="auto" w:fill="FFFFFF"/>
            <w:tcMar>
              <w:top w:w="0" w:type="dxa"/>
              <w:left w:w="85" w:type="dxa"/>
              <w:bottom w:w="0" w:type="dxa"/>
              <w:right w:w="85" w:type="dxa"/>
            </w:tcMar>
            <w:vAlign w:val="center"/>
          </w:tcPr>
          <w:p w14:paraId="5BCBE9A6" w14:textId="77777777" w:rsidR="00447423" w:rsidRPr="002A3CBE" w:rsidRDefault="00447423" w:rsidP="00F16E23">
            <w:pPr>
              <w:pStyle w:val="Tableboldblue"/>
              <w:spacing w:before="40" w:after="40"/>
              <w:jc w:val="right"/>
              <w:rPr>
                <w:rFonts w:eastAsia="Calibri"/>
              </w:rPr>
            </w:pPr>
          </w:p>
        </w:tc>
        <w:tc>
          <w:tcPr>
            <w:tcW w:w="1418" w:type="dxa"/>
            <w:shd w:val="clear" w:color="auto" w:fill="FFFFFF"/>
            <w:tcMar>
              <w:top w:w="0" w:type="dxa"/>
              <w:left w:w="85" w:type="dxa"/>
              <w:bottom w:w="0" w:type="dxa"/>
              <w:right w:w="85" w:type="dxa"/>
            </w:tcMar>
            <w:vAlign w:val="center"/>
          </w:tcPr>
          <w:p w14:paraId="38CF5E3F" w14:textId="77777777" w:rsidR="00447423" w:rsidRPr="002A3CBE" w:rsidRDefault="00447423" w:rsidP="00F16E23">
            <w:pPr>
              <w:pStyle w:val="Tableboldblue"/>
              <w:spacing w:before="40" w:after="40"/>
              <w:jc w:val="right"/>
              <w:rPr>
                <w:rFonts w:eastAsia="Calibri"/>
              </w:rPr>
            </w:pPr>
          </w:p>
        </w:tc>
        <w:tc>
          <w:tcPr>
            <w:tcW w:w="2551" w:type="dxa"/>
            <w:shd w:val="clear" w:color="auto" w:fill="FFFFFF"/>
            <w:tcMar>
              <w:top w:w="0" w:type="dxa"/>
              <w:left w:w="85" w:type="dxa"/>
              <w:bottom w:w="0" w:type="dxa"/>
              <w:right w:w="85" w:type="dxa"/>
            </w:tcMar>
            <w:vAlign w:val="center"/>
          </w:tcPr>
          <w:p w14:paraId="065F61AB" w14:textId="77777777" w:rsidR="00447423" w:rsidRPr="002A3CBE" w:rsidRDefault="00447423" w:rsidP="00F16E23">
            <w:pPr>
              <w:pStyle w:val="Tableboldblue"/>
              <w:spacing w:before="40" w:after="40"/>
              <w:jc w:val="right"/>
              <w:rPr>
                <w:rFonts w:eastAsia="Calibri"/>
              </w:rPr>
            </w:pPr>
          </w:p>
        </w:tc>
        <w:tc>
          <w:tcPr>
            <w:tcW w:w="992" w:type="dxa"/>
            <w:shd w:val="clear" w:color="auto" w:fill="FFFFFF"/>
            <w:tcMar>
              <w:top w:w="0" w:type="dxa"/>
              <w:left w:w="85" w:type="dxa"/>
              <w:bottom w:w="0" w:type="dxa"/>
              <w:right w:w="85" w:type="dxa"/>
            </w:tcMar>
            <w:vAlign w:val="center"/>
          </w:tcPr>
          <w:p w14:paraId="14329B3D" w14:textId="77777777" w:rsidR="00447423" w:rsidRPr="002A3CBE" w:rsidRDefault="00447423" w:rsidP="00F16E23">
            <w:pPr>
              <w:pStyle w:val="Tableboldblue"/>
              <w:spacing w:before="40" w:after="40"/>
              <w:jc w:val="right"/>
              <w:rPr>
                <w:rFonts w:eastAsia="Calibri"/>
              </w:rPr>
            </w:pPr>
          </w:p>
        </w:tc>
      </w:tr>
      <w:tr w:rsidR="00447423" w:rsidRPr="002A3CBE" w14:paraId="13880369" w14:textId="77777777" w:rsidTr="00F16E23">
        <w:tc>
          <w:tcPr>
            <w:tcW w:w="1985" w:type="dxa"/>
            <w:shd w:val="clear" w:color="auto" w:fill="FFFFFF"/>
            <w:tcMar>
              <w:top w:w="0" w:type="dxa"/>
              <w:left w:w="85" w:type="dxa"/>
              <w:bottom w:w="0" w:type="dxa"/>
              <w:right w:w="85" w:type="dxa"/>
            </w:tcMar>
            <w:vAlign w:val="center"/>
          </w:tcPr>
          <w:p w14:paraId="107EC67B" w14:textId="77777777" w:rsidR="00447423" w:rsidRPr="002A3CBE" w:rsidRDefault="00447423" w:rsidP="00F16E23">
            <w:pPr>
              <w:pStyle w:val="TableText"/>
              <w:spacing w:before="40" w:after="40"/>
              <w:rPr>
                <w:rFonts w:eastAsia="Calibri"/>
              </w:rPr>
            </w:pPr>
            <w:r w:rsidRPr="002A3CBE">
              <w:rPr>
                <w:rFonts w:eastAsia="Calibri"/>
              </w:rPr>
              <w:t>1990</w:t>
            </w:r>
          </w:p>
        </w:tc>
        <w:tc>
          <w:tcPr>
            <w:tcW w:w="1559" w:type="dxa"/>
            <w:shd w:val="clear" w:color="auto" w:fill="FFFFFF"/>
            <w:tcMar>
              <w:top w:w="0" w:type="dxa"/>
              <w:left w:w="85" w:type="dxa"/>
              <w:bottom w:w="0" w:type="dxa"/>
              <w:right w:w="85" w:type="dxa"/>
            </w:tcMar>
            <w:vAlign w:val="center"/>
          </w:tcPr>
          <w:p w14:paraId="6A911374" w14:textId="77777777" w:rsidR="00447423" w:rsidRPr="002A3CBE" w:rsidRDefault="00447423" w:rsidP="00F16E23">
            <w:pPr>
              <w:pStyle w:val="TableText"/>
              <w:spacing w:before="40" w:after="40"/>
              <w:jc w:val="right"/>
              <w:rPr>
                <w:rFonts w:eastAsia="Calibri"/>
              </w:rPr>
            </w:pPr>
            <w:r w:rsidRPr="002A3CBE">
              <w:rPr>
                <w:rFonts w:eastAsia="Calibri"/>
              </w:rPr>
              <w:t>-2,437.8</w:t>
            </w:r>
          </w:p>
        </w:tc>
        <w:tc>
          <w:tcPr>
            <w:tcW w:w="1418" w:type="dxa"/>
            <w:shd w:val="clear" w:color="auto" w:fill="FFFFFF"/>
            <w:tcMar>
              <w:top w:w="0" w:type="dxa"/>
              <w:left w:w="85" w:type="dxa"/>
              <w:bottom w:w="0" w:type="dxa"/>
              <w:right w:w="85" w:type="dxa"/>
            </w:tcMar>
            <w:vAlign w:val="center"/>
          </w:tcPr>
          <w:p w14:paraId="5AA440E0" w14:textId="77777777" w:rsidR="00447423" w:rsidRPr="002A3CBE" w:rsidRDefault="00447423" w:rsidP="00F16E23">
            <w:pPr>
              <w:pStyle w:val="TableText"/>
              <w:spacing w:before="40" w:after="40"/>
              <w:jc w:val="right"/>
              <w:rPr>
                <w:rFonts w:eastAsia="Calibri"/>
              </w:rPr>
            </w:pPr>
            <w:r w:rsidRPr="002A3CBE">
              <w:rPr>
                <w:rFonts w:eastAsia="Calibri"/>
              </w:rPr>
              <w:t>-2,437.8</w:t>
            </w:r>
          </w:p>
        </w:tc>
        <w:tc>
          <w:tcPr>
            <w:tcW w:w="2551" w:type="dxa"/>
            <w:shd w:val="clear" w:color="auto" w:fill="FFFFFF"/>
            <w:tcMar>
              <w:top w:w="0" w:type="dxa"/>
              <w:left w:w="85" w:type="dxa"/>
              <w:bottom w:w="0" w:type="dxa"/>
              <w:right w:w="85" w:type="dxa"/>
            </w:tcMar>
            <w:vAlign w:val="center"/>
          </w:tcPr>
          <w:p w14:paraId="6A59B541" w14:textId="77777777" w:rsidR="00447423" w:rsidRPr="002A3CBE" w:rsidRDefault="00447423" w:rsidP="00F16E23">
            <w:pPr>
              <w:pStyle w:val="TableText"/>
              <w:spacing w:before="40" w:after="40"/>
              <w:jc w:val="right"/>
              <w:rPr>
                <w:rFonts w:eastAsia="Calibri"/>
              </w:rPr>
            </w:pPr>
            <w:r w:rsidRPr="002A3CBE">
              <w:rPr>
                <w:rFonts w:eastAsia="Calibri"/>
              </w:rPr>
              <w:t>0.0</w:t>
            </w:r>
          </w:p>
        </w:tc>
        <w:tc>
          <w:tcPr>
            <w:tcW w:w="992" w:type="dxa"/>
            <w:shd w:val="clear" w:color="auto" w:fill="FFFFFF"/>
            <w:tcMar>
              <w:top w:w="0" w:type="dxa"/>
              <w:left w:w="85" w:type="dxa"/>
              <w:bottom w:w="0" w:type="dxa"/>
              <w:right w:w="85" w:type="dxa"/>
            </w:tcMar>
            <w:vAlign w:val="center"/>
          </w:tcPr>
          <w:p w14:paraId="0E8B5D53" w14:textId="77777777" w:rsidR="00447423" w:rsidRPr="002A3CBE" w:rsidRDefault="00447423" w:rsidP="00F16E23">
            <w:pPr>
              <w:pStyle w:val="TableText"/>
              <w:spacing w:before="40" w:after="40"/>
              <w:jc w:val="right"/>
              <w:rPr>
                <w:rFonts w:eastAsia="Calibri"/>
              </w:rPr>
            </w:pPr>
            <w:r w:rsidRPr="002A3CBE">
              <w:rPr>
                <w:rFonts w:eastAsia="Calibri"/>
              </w:rPr>
              <w:t>0.0</w:t>
            </w:r>
          </w:p>
        </w:tc>
      </w:tr>
      <w:tr w:rsidR="00447423" w:rsidRPr="002A3CBE" w14:paraId="68A522EC" w14:textId="77777777" w:rsidTr="00F16E23">
        <w:tc>
          <w:tcPr>
            <w:tcW w:w="1985" w:type="dxa"/>
            <w:shd w:val="clear" w:color="auto" w:fill="FFFFFF"/>
            <w:tcMar>
              <w:top w:w="0" w:type="dxa"/>
              <w:left w:w="85" w:type="dxa"/>
              <w:bottom w:w="0" w:type="dxa"/>
              <w:right w:w="85" w:type="dxa"/>
            </w:tcMar>
            <w:vAlign w:val="center"/>
          </w:tcPr>
          <w:p w14:paraId="63F786D8" w14:textId="77777777" w:rsidR="00447423" w:rsidRPr="002A3CBE" w:rsidRDefault="00447423" w:rsidP="00F16E23">
            <w:pPr>
              <w:pStyle w:val="TableText"/>
              <w:spacing w:before="40" w:after="40"/>
              <w:rPr>
                <w:rFonts w:eastAsia="Calibri"/>
              </w:rPr>
            </w:pPr>
            <w:r w:rsidRPr="002A3CBE">
              <w:rPr>
                <w:rFonts w:eastAsia="Calibri"/>
              </w:rPr>
              <w:t>2023</w:t>
            </w:r>
          </w:p>
        </w:tc>
        <w:tc>
          <w:tcPr>
            <w:tcW w:w="1559" w:type="dxa"/>
            <w:shd w:val="clear" w:color="auto" w:fill="FFFFFF"/>
            <w:tcMar>
              <w:top w:w="0" w:type="dxa"/>
              <w:left w:w="85" w:type="dxa"/>
              <w:bottom w:w="0" w:type="dxa"/>
              <w:right w:w="85" w:type="dxa"/>
            </w:tcMar>
            <w:vAlign w:val="center"/>
          </w:tcPr>
          <w:p w14:paraId="29FCF30C" w14:textId="77777777" w:rsidR="00447423" w:rsidRPr="002A3CBE" w:rsidRDefault="00447423" w:rsidP="00F16E23">
            <w:pPr>
              <w:pStyle w:val="TableText"/>
              <w:spacing w:before="40" w:after="40"/>
              <w:jc w:val="right"/>
              <w:rPr>
                <w:rFonts w:eastAsia="Calibri"/>
              </w:rPr>
            </w:pPr>
            <w:r w:rsidRPr="002A3CBE">
              <w:rPr>
                <w:rFonts w:eastAsia="Calibri"/>
              </w:rPr>
              <w:t>-5,808.3</w:t>
            </w:r>
          </w:p>
        </w:tc>
        <w:tc>
          <w:tcPr>
            <w:tcW w:w="1418" w:type="dxa"/>
            <w:shd w:val="clear" w:color="auto" w:fill="FFFFFF"/>
            <w:tcMar>
              <w:top w:w="0" w:type="dxa"/>
              <w:left w:w="85" w:type="dxa"/>
              <w:bottom w:w="0" w:type="dxa"/>
              <w:right w:w="85" w:type="dxa"/>
            </w:tcMar>
            <w:vAlign w:val="center"/>
          </w:tcPr>
          <w:p w14:paraId="6804E062" w14:textId="77777777" w:rsidR="00447423" w:rsidRPr="002A3CBE" w:rsidRDefault="00447423" w:rsidP="00F16E23">
            <w:pPr>
              <w:pStyle w:val="TableText"/>
              <w:spacing w:before="40" w:after="40"/>
              <w:jc w:val="right"/>
              <w:rPr>
                <w:rFonts w:eastAsia="Calibri"/>
              </w:rPr>
            </w:pPr>
            <w:r w:rsidRPr="002A3CBE">
              <w:rPr>
                <w:rFonts w:eastAsia="Calibri"/>
              </w:rPr>
              <w:t>-5,808.7</w:t>
            </w:r>
          </w:p>
        </w:tc>
        <w:tc>
          <w:tcPr>
            <w:tcW w:w="2551" w:type="dxa"/>
            <w:shd w:val="clear" w:color="auto" w:fill="FFFFFF"/>
            <w:tcMar>
              <w:top w:w="0" w:type="dxa"/>
              <w:left w:w="85" w:type="dxa"/>
              <w:bottom w:w="0" w:type="dxa"/>
              <w:right w:w="85" w:type="dxa"/>
            </w:tcMar>
            <w:vAlign w:val="center"/>
          </w:tcPr>
          <w:p w14:paraId="1E210551" w14:textId="77777777" w:rsidR="00447423" w:rsidRPr="002A3CBE" w:rsidRDefault="00447423" w:rsidP="00F16E23">
            <w:pPr>
              <w:pStyle w:val="TableText"/>
              <w:spacing w:before="40" w:after="40"/>
              <w:jc w:val="right"/>
              <w:rPr>
                <w:rFonts w:eastAsia="Calibri"/>
              </w:rPr>
            </w:pPr>
            <w:r w:rsidRPr="002A3CBE">
              <w:rPr>
                <w:rFonts w:eastAsia="Calibri"/>
              </w:rPr>
              <w:t>-0.4</w:t>
            </w:r>
          </w:p>
        </w:tc>
        <w:tc>
          <w:tcPr>
            <w:tcW w:w="992" w:type="dxa"/>
            <w:shd w:val="clear" w:color="auto" w:fill="FFFFFF"/>
            <w:tcMar>
              <w:top w:w="0" w:type="dxa"/>
              <w:left w:w="85" w:type="dxa"/>
              <w:bottom w:w="0" w:type="dxa"/>
              <w:right w:w="85" w:type="dxa"/>
            </w:tcMar>
            <w:vAlign w:val="center"/>
          </w:tcPr>
          <w:p w14:paraId="73D5B59C" w14:textId="77777777" w:rsidR="00447423" w:rsidRPr="002A3CBE" w:rsidRDefault="00447423" w:rsidP="00F16E23">
            <w:pPr>
              <w:pStyle w:val="TableText"/>
              <w:spacing w:before="40" w:after="40"/>
              <w:jc w:val="right"/>
              <w:rPr>
                <w:rFonts w:eastAsia="Calibri"/>
              </w:rPr>
            </w:pPr>
            <w:r w:rsidRPr="002A3CBE">
              <w:rPr>
                <w:rFonts w:eastAsia="Calibri"/>
              </w:rPr>
              <w:t>0.0</w:t>
            </w:r>
          </w:p>
        </w:tc>
      </w:tr>
    </w:tbl>
    <w:p w14:paraId="22399E50" w14:textId="77777777" w:rsidR="00447423" w:rsidRPr="002A3CBE" w:rsidRDefault="00447423" w:rsidP="00447423">
      <w:pPr>
        <w:pStyle w:val="Heading3"/>
        <w:tabs>
          <w:tab w:val="clear" w:pos="851"/>
          <w:tab w:val="left" w:pos="993"/>
        </w:tabs>
        <w:spacing w:before="400"/>
      </w:pPr>
      <w:r w:rsidRPr="002A3CBE">
        <w:t>6.10.6</w:t>
      </w:r>
      <w:r w:rsidRPr="002A3CBE">
        <w:tab/>
        <w:t>Category-specific planned improvements</w:t>
      </w:r>
    </w:p>
    <w:p w14:paraId="177B3017" w14:textId="77777777" w:rsidR="00447423" w:rsidRPr="002A3CBE" w:rsidRDefault="00447423" w:rsidP="00447423">
      <w:pPr>
        <w:pStyle w:val="BodyText"/>
      </w:pPr>
      <w:r w:rsidRPr="002A3CBE">
        <w:t xml:space="preserve">Data are now available on country-specific end-use products and half-lives of roundwood logs processed and consumed in New Zealand (Wekesa, 2022; Wekesa et al., 2022). These data should be incorporated into the uncertainty model to improve the accuracy of estimates. This enhancement should be prioritised for inclusion in future submissions. </w:t>
      </w:r>
      <w:bookmarkStart w:id="2885" w:name="_Toc522013958"/>
      <w:bookmarkStart w:id="2886" w:name="_Toc5269383"/>
      <w:bookmarkStart w:id="2887" w:name="_Toc36224423"/>
      <w:bookmarkStart w:id="2888" w:name="_Toc131591257"/>
    </w:p>
    <w:p w14:paraId="6BF0B1B4" w14:textId="77777777" w:rsidR="00447423" w:rsidRPr="002A3CBE" w:rsidRDefault="00447423" w:rsidP="00447423">
      <w:pPr>
        <w:pStyle w:val="BodyText"/>
      </w:pPr>
      <w:r w:rsidRPr="002A3CBE">
        <w:t>The half-life and market proportion data for exported wood products will be updated as soon as new market data sets become available. This update is a priority for future inventory improvements to ensure estimates reflect current export structures and end-use patterns.</w:t>
      </w:r>
    </w:p>
    <w:p w14:paraId="0BDE2DF2" w14:textId="77777777" w:rsidR="00447423" w:rsidRPr="002A3CBE" w:rsidRDefault="00447423" w:rsidP="00447423">
      <w:pPr>
        <w:pStyle w:val="Heading2"/>
        <w:spacing w:before="240"/>
      </w:pPr>
      <w:bookmarkStart w:id="2889" w:name="_Toc158980304"/>
      <w:bookmarkStart w:id="2890" w:name="_Toc164154212"/>
      <w:bookmarkStart w:id="2891" w:name="_Toc194312037"/>
      <w:bookmarkStart w:id="2892" w:name="_Toc226460791"/>
      <w:r w:rsidRPr="002A3CBE">
        <w:t>6.11</w:t>
      </w:r>
      <w:r w:rsidRPr="002A3CBE">
        <w:tab/>
        <w:t>Non-CO</w:t>
      </w:r>
      <w:r w:rsidRPr="002A3CBE">
        <w:rPr>
          <w:vertAlign w:val="subscript"/>
        </w:rPr>
        <w:t>2</w:t>
      </w:r>
      <w:r w:rsidRPr="002A3CBE">
        <w:t xml:space="preserve"> emissions (4(I–IV))</w:t>
      </w:r>
      <w:bookmarkEnd w:id="2885"/>
      <w:bookmarkEnd w:id="2886"/>
      <w:bookmarkEnd w:id="2887"/>
      <w:bookmarkEnd w:id="2888"/>
      <w:bookmarkEnd w:id="2889"/>
      <w:bookmarkEnd w:id="2890"/>
      <w:bookmarkEnd w:id="2891"/>
      <w:bookmarkEnd w:id="2892"/>
    </w:p>
    <w:p w14:paraId="65955196" w14:textId="77777777" w:rsidR="00447423" w:rsidRPr="002A3CBE" w:rsidRDefault="00447423" w:rsidP="00447423">
      <w:pPr>
        <w:pStyle w:val="BodyText"/>
      </w:pPr>
      <w:bookmarkStart w:id="2893" w:name="_Toc280630350"/>
      <w:r w:rsidRPr="002A3CBE">
        <w:t>In 2024, net N</w:t>
      </w:r>
      <w:r w:rsidRPr="002A3CBE">
        <w:rPr>
          <w:vertAlign w:val="subscript"/>
        </w:rPr>
        <w:t>2</w:t>
      </w:r>
      <w:r w:rsidRPr="002A3CBE">
        <w:t>O emissions from soils associated with land-use change reported in the LULUCF sector were 169.0 kt CO</w:t>
      </w:r>
      <w:r w:rsidRPr="002A3CBE">
        <w:rPr>
          <w:vertAlign w:val="subscript"/>
        </w:rPr>
        <w:t>2</w:t>
      </w:r>
      <w:r w:rsidRPr="002A3CBE">
        <w:t>e (table 6.11.1). This is 37.3 kt CO</w:t>
      </w:r>
      <w:r w:rsidRPr="002A3CBE">
        <w:rPr>
          <w:vertAlign w:val="subscript"/>
        </w:rPr>
        <w:t>2</w:t>
      </w:r>
      <w:r w:rsidRPr="002A3CBE">
        <w:t>e (18.1 percent) lower than the 1990 level of 206.3 kt CO</w:t>
      </w:r>
      <w:r w:rsidRPr="002A3CBE">
        <w:rPr>
          <w:vertAlign w:val="subscript"/>
        </w:rPr>
        <w:t>2</w:t>
      </w:r>
      <w:r w:rsidRPr="002A3CBE">
        <w:t>e. This is primarily due to a reduction in direct emissions from nitrogen mineralisation/immobilisation.</w:t>
      </w:r>
    </w:p>
    <w:p w14:paraId="2C67DBEF" w14:textId="77777777" w:rsidR="00447423" w:rsidRPr="002A3CBE" w:rsidRDefault="00447423" w:rsidP="00447423">
      <w:pPr>
        <w:pStyle w:val="Table"/>
      </w:pPr>
      <w:bookmarkStart w:id="2894" w:name="_Toc131591428"/>
      <w:bookmarkStart w:id="2895" w:name="_Toc158979986"/>
      <w:bookmarkStart w:id="2896" w:name="_Toc164153919"/>
      <w:bookmarkStart w:id="2897" w:name="_Toc190873153"/>
      <w:bookmarkStart w:id="2898" w:name="_Toc194241792"/>
      <w:bookmarkStart w:id="2899" w:name="_Toc222837943"/>
      <w:bookmarkStart w:id="2900" w:name="_Toc226669089"/>
      <w:r w:rsidRPr="002A3CBE">
        <w:t>Table 6.11.1</w:t>
      </w:r>
      <w:r w:rsidRPr="002A3CBE">
        <w:tab/>
        <w:t>Nitrous oxide emissions from soils associated with land-use change reported in the LULUCF sector, from 1990 to </w:t>
      </w:r>
      <w:bookmarkEnd w:id="2894"/>
      <w:bookmarkEnd w:id="2895"/>
      <w:bookmarkEnd w:id="2896"/>
      <w:bookmarkEnd w:id="2897"/>
      <w:bookmarkEnd w:id="2898"/>
      <w:r w:rsidRPr="002A3CBE">
        <w:t>2024</w:t>
      </w:r>
      <w:bookmarkEnd w:id="2899"/>
      <w:bookmarkEnd w:id="2900"/>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3686"/>
        <w:gridCol w:w="992"/>
        <w:gridCol w:w="851"/>
        <w:gridCol w:w="992"/>
        <w:gridCol w:w="850"/>
        <w:gridCol w:w="1134"/>
      </w:tblGrid>
      <w:tr w:rsidR="00447423" w:rsidRPr="002A3CBE" w14:paraId="0DF9247C" w14:textId="77777777" w:rsidTr="00F16E23">
        <w:trPr>
          <w:trHeight w:val="20"/>
          <w:tblHeader/>
        </w:trPr>
        <w:tc>
          <w:tcPr>
            <w:tcW w:w="3686" w:type="dxa"/>
            <w:shd w:val="clear" w:color="auto" w:fill="1B556B"/>
            <w:tcMar>
              <w:top w:w="0" w:type="dxa"/>
              <w:left w:w="85" w:type="dxa"/>
              <w:bottom w:w="0" w:type="dxa"/>
              <w:right w:w="85" w:type="dxa"/>
            </w:tcMar>
            <w:vAlign w:val="center"/>
          </w:tcPr>
          <w:p w14:paraId="276D1DA4" w14:textId="77777777" w:rsidR="00447423" w:rsidRPr="002A3CBE" w:rsidRDefault="00447423" w:rsidP="00F16E23">
            <w:pPr>
              <w:pStyle w:val="TableTextBold"/>
              <w:spacing w:before="40" w:after="40"/>
              <w:rPr>
                <w:rFonts w:eastAsia="Calibri"/>
                <w:noProof w:val="0"/>
                <w:color w:val="FFFFFF" w:themeColor="background1"/>
              </w:rPr>
            </w:pPr>
          </w:p>
        </w:tc>
        <w:tc>
          <w:tcPr>
            <w:tcW w:w="1843" w:type="dxa"/>
            <w:gridSpan w:val="2"/>
            <w:shd w:val="clear" w:color="auto" w:fill="1B556B"/>
            <w:tcMar>
              <w:top w:w="0" w:type="dxa"/>
              <w:left w:w="85" w:type="dxa"/>
              <w:bottom w:w="0" w:type="dxa"/>
              <w:right w:w="85" w:type="dxa"/>
            </w:tcMar>
            <w:vAlign w:val="center"/>
          </w:tcPr>
          <w:p w14:paraId="2016F0CD" w14:textId="77777777" w:rsidR="00447423" w:rsidRPr="002A3CBE" w:rsidRDefault="00447423" w:rsidP="00F16E23">
            <w:pPr>
              <w:pStyle w:val="TableTextBold"/>
              <w:spacing w:before="40" w:after="40"/>
              <w:jc w:val="center"/>
              <w:rPr>
                <w:rFonts w:eastAsia="Calibri"/>
                <w:noProof w:val="0"/>
                <w:color w:val="FFFFFF" w:themeColor="background1"/>
              </w:rPr>
            </w:pPr>
            <w:r w:rsidRPr="002A3CBE">
              <w:rPr>
                <w:rFonts w:eastAsia="Calibri"/>
                <w:noProof w:val="0"/>
                <w:color w:val="FFFFFF" w:themeColor="background1"/>
              </w:rPr>
              <w:t>Net emissions (kt N₂O)</w:t>
            </w:r>
          </w:p>
        </w:tc>
        <w:tc>
          <w:tcPr>
            <w:tcW w:w="1842" w:type="dxa"/>
            <w:gridSpan w:val="2"/>
            <w:shd w:val="clear" w:color="auto" w:fill="1B556B"/>
            <w:tcMar>
              <w:top w:w="0" w:type="dxa"/>
              <w:left w:w="85" w:type="dxa"/>
              <w:bottom w:w="0" w:type="dxa"/>
              <w:right w:w="85" w:type="dxa"/>
            </w:tcMar>
            <w:vAlign w:val="center"/>
          </w:tcPr>
          <w:p w14:paraId="2B20A23E" w14:textId="77777777" w:rsidR="00447423" w:rsidRPr="002A3CBE" w:rsidRDefault="00447423" w:rsidP="00F16E23">
            <w:pPr>
              <w:pStyle w:val="TableTextBold"/>
              <w:spacing w:before="40" w:after="40"/>
              <w:jc w:val="center"/>
              <w:rPr>
                <w:rFonts w:eastAsia="Calibri"/>
                <w:noProof w:val="0"/>
                <w:color w:val="FFFFFF" w:themeColor="background1"/>
              </w:rPr>
            </w:pPr>
            <w:r w:rsidRPr="002A3CBE">
              <w:rPr>
                <w:rFonts w:eastAsia="Calibri"/>
                <w:noProof w:val="0"/>
                <w:color w:val="FFFFFF" w:themeColor="background1"/>
              </w:rPr>
              <w:t>Net emissions (kt CO₂e)</w:t>
            </w:r>
          </w:p>
        </w:tc>
        <w:tc>
          <w:tcPr>
            <w:tcW w:w="1134" w:type="dxa"/>
            <w:vMerge w:val="restart"/>
            <w:shd w:val="clear" w:color="auto" w:fill="1B556B"/>
            <w:tcMar>
              <w:top w:w="0" w:type="dxa"/>
              <w:left w:w="85" w:type="dxa"/>
              <w:bottom w:w="0" w:type="dxa"/>
              <w:right w:w="85" w:type="dxa"/>
            </w:tcMar>
            <w:vAlign w:val="bottom"/>
          </w:tcPr>
          <w:p w14:paraId="1DFD0017"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2272DA57" w14:textId="77777777" w:rsidTr="00F16E23">
        <w:trPr>
          <w:trHeight w:val="20"/>
          <w:tblHeader/>
        </w:trPr>
        <w:tc>
          <w:tcPr>
            <w:tcW w:w="3686" w:type="dxa"/>
            <w:shd w:val="clear" w:color="auto" w:fill="1B556B"/>
            <w:tcMar>
              <w:top w:w="0" w:type="dxa"/>
              <w:left w:w="85" w:type="dxa"/>
              <w:bottom w:w="0" w:type="dxa"/>
              <w:right w:w="85" w:type="dxa"/>
            </w:tcMar>
            <w:vAlign w:val="center"/>
          </w:tcPr>
          <w:p w14:paraId="29F97061"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Emissions source</w:t>
            </w:r>
          </w:p>
        </w:tc>
        <w:tc>
          <w:tcPr>
            <w:tcW w:w="992" w:type="dxa"/>
            <w:shd w:val="clear" w:color="auto" w:fill="1B556B"/>
            <w:tcMar>
              <w:top w:w="0" w:type="dxa"/>
              <w:left w:w="85" w:type="dxa"/>
              <w:bottom w:w="0" w:type="dxa"/>
              <w:right w:w="85" w:type="dxa"/>
            </w:tcMar>
            <w:vAlign w:val="center"/>
          </w:tcPr>
          <w:p w14:paraId="61591014"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851" w:type="dxa"/>
            <w:shd w:val="clear" w:color="auto" w:fill="1B556B"/>
            <w:tcMar>
              <w:top w:w="0" w:type="dxa"/>
              <w:left w:w="85" w:type="dxa"/>
              <w:bottom w:w="0" w:type="dxa"/>
              <w:right w:w="85" w:type="dxa"/>
            </w:tcMar>
            <w:vAlign w:val="center"/>
          </w:tcPr>
          <w:p w14:paraId="30CABD1D"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992" w:type="dxa"/>
            <w:shd w:val="clear" w:color="auto" w:fill="1B556B"/>
            <w:tcMar>
              <w:top w:w="0" w:type="dxa"/>
              <w:left w:w="85" w:type="dxa"/>
              <w:bottom w:w="0" w:type="dxa"/>
              <w:right w:w="85" w:type="dxa"/>
            </w:tcMar>
            <w:vAlign w:val="center"/>
          </w:tcPr>
          <w:p w14:paraId="6CC5BFF3"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center"/>
          </w:tcPr>
          <w:p w14:paraId="7961B2E0"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1134" w:type="dxa"/>
            <w:vMerge/>
            <w:shd w:val="clear" w:color="auto" w:fill="1B556B"/>
            <w:tcMar>
              <w:top w:w="0" w:type="dxa"/>
              <w:left w:w="85" w:type="dxa"/>
              <w:bottom w:w="0" w:type="dxa"/>
              <w:right w:w="85" w:type="dxa"/>
            </w:tcMar>
            <w:vAlign w:val="center"/>
          </w:tcPr>
          <w:p w14:paraId="34184744" w14:textId="77777777" w:rsidR="00447423" w:rsidRPr="002A3CBE" w:rsidRDefault="00447423" w:rsidP="00F16E23">
            <w:pPr>
              <w:pStyle w:val="TableTextBold"/>
              <w:spacing w:before="40" w:after="40"/>
              <w:jc w:val="right"/>
              <w:rPr>
                <w:rFonts w:eastAsia="Calibri"/>
                <w:noProof w:val="0"/>
                <w:color w:val="FFFFFF" w:themeColor="background1"/>
              </w:rPr>
            </w:pPr>
          </w:p>
        </w:tc>
      </w:tr>
      <w:tr w:rsidR="00447423" w:rsidRPr="002A3CBE" w14:paraId="69ACD1E2" w14:textId="77777777" w:rsidTr="00B42560">
        <w:trPr>
          <w:trHeight w:val="20"/>
        </w:trPr>
        <w:tc>
          <w:tcPr>
            <w:tcW w:w="3686" w:type="dxa"/>
            <w:shd w:val="clear" w:color="auto" w:fill="FFFFFF"/>
            <w:tcMar>
              <w:top w:w="0" w:type="dxa"/>
              <w:left w:w="85" w:type="dxa"/>
              <w:bottom w:w="0" w:type="dxa"/>
              <w:right w:w="85" w:type="dxa"/>
            </w:tcMar>
            <w:vAlign w:val="center"/>
          </w:tcPr>
          <w:p w14:paraId="2B2EFEE5" w14:textId="77777777" w:rsidR="00447423" w:rsidRPr="002A3CBE" w:rsidRDefault="00447423" w:rsidP="00F16E23">
            <w:pPr>
              <w:pStyle w:val="TableText"/>
              <w:spacing w:before="40" w:after="40"/>
              <w:rPr>
                <w:rFonts w:eastAsia="Calibri"/>
              </w:rPr>
            </w:pPr>
            <w:r w:rsidRPr="002A3CBE">
              <w:rPr>
                <w:rFonts w:eastAsia="Calibri"/>
              </w:rPr>
              <w:t>Direct emissions from nitrogen mineralisation/ immobilisation</w:t>
            </w:r>
          </w:p>
        </w:tc>
        <w:tc>
          <w:tcPr>
            <w:tcW w:w="992" w:type="dxa"/>
            <w:shd w:val="clear" w:color="auto" w:fill="FFFFFF"/>
            <w:tcMar>
              <w:top w:w="0" w:type="dxa"/>
              <w:left w:w="85" w:type="dxa"/>
              <w:bottom w:w="0" w:type="dxa"/>
              <w:right w:w="85" w:type="dxa"/>
            </w:tcMar>
            <w:vAlign w:val="bottom"/>
          </w:tcPr>
          <w:p w14:paraId="44F54F03" w14:textId="77777777" w:rsidR="00447423" w:rsidRPr="002A3CBE" w:rsidRDefault="00447423" w:rsidP="00F16E23">
            <w:pPr>
              <w:pStyle w:val="TableText"/>
              <w:spacing w:before="40" w:after="40"/>
              <w:jc w:val="right"/>
              <w:rPr>
                <w:rFonts w:eastAsia="Calibri"/>
              </w:rPr>
            </w:pPr>
            <w:r w:rsidRPr="002A3CBE">
              <w:rPr>
                <w:rFonts w:eastAsia="Calibri"/>
              </w:rPr>
              <w:t>0.6</w:t>
            </w:r>
          </w:p>
        </w:tc>
        <w:tc>
          <w:tcPr>
            <w:tcW w:w="851" w:type="dxa"/>
            <w:shd w:val="clear" w:color="auto" w:fill="FFFFFF"/>
            <w:tcMar>
              <w:top w:w="0" w:type="dxa"/>
              <w:left w:w="85" w:type="dxa"/>
              <w:bottom w:w="0" w:type="dxa"/>
              <w:right w:w="85" w:type="dxa"/>
            </w:tcMar>
            <w:vAlign w:val="bottom"/>
          </w:tcPr>
          <w:p w14:paraId="11E50C4C" w14:textId="77777777" w:rsidR="00447423" w:rsidRPr="002A3CBE" w:rsidRDefault="00447423" w:rsidP="00F16E23">
            <w:pPr>
              <w:pStyle w:val="TableText"/>
              <w:spacing w:before="40" w:after="40"/>
              <w:jc w:val="right"/>
              <w:rPr>
                <w:rFonts w:eastAsia="Calibri"/>
              </w:rPr>
            </w:pPr>
            <w:r w:rsidRPr="002A3CBE">
              <w:rPr>
                <w:rFonts w:eastAsia="Calibri"/>
              </w:rPr>
              <w:t>0.5</w:t>
            </w:r>
          </w:p>
        </w:tc>
        <w:tc>
          <w:tcPr>
            <w:tcW w:w="992" w:type="dxa"/>
            <w:shd w:val="clear" w:color="auto" w:fill="FFFFFF"/>
            <w:tcMar>
              <w:top w:w="0" w:type="dxa"/>
              <w:left w:w="85" w:type="dxa"/>
              <w:bottom w:w="0" w:type="dxa"/>
              <w:right w:w="85" w:type="dxa"/>
            </w:tcMar>
            <w:vAlign w:val="bottom"/>
          </w:tcPr>
          <w:p w14:paraId="1B1569CC" w14:textId="77777777" w:rsidR="00447423" w:rsidRPr="002A3CBE" w:rsidRDefault="00447423" w:rsidP="00F16E23">
            <w:pPr>
              <w:pStyle w:val="TableText"/>
              <w:spacing w:before="40" w:after="40"/>
              <w:jc w:val="right"/>
              <w:rPr>
                <w:rFonts w:eastAsia="Calibri"/>
              </w:rPr>
            </w:pPr>
            <w:r w:rsidRPr="002A3CBE">
              <w:rPr>
                <w:rFonts w:eastAsia="Calibri"/>
              </w:rPr>
              <w:t>165.1</w:t>
            </w:r>
          </w:p>
        </w:tc>
        <w:tc>
          <w:tcPr>
            <w:tcW w:w="850" w:type="dxa"/>
            <w:shd w:val="clear" w:color="auto" w:fill="FFFFFF"/>
            <w:tcMar>
              <w:top w:w="0" w:type="dxa"/>
              <w:left w:w="85" w:type="dxa"/>
              <w:bottom w:w="0" w:type="dxa"/>
              <w:right w:w="85" w:type="dxa"/>
            </w:tcMar>
            <w:vAlign w:val="bottom"/>
          </w:tcPr>
          <w:p w14:paraId="1F8874B4" w14:textId="77777777" w:rsidR="00447423" w:rsidRPr="002A3CBE" w:rsidRDefault="00447423" w:rsidP="00F16E23">
            <w:pPr>
              <w:pStyle w:val="TableText"/>
              <w:spacing w:before="40" w:after="40"/>
              <w:jc w:val="right"/>
              <w:rPr>
                <w:rFonts w:eastAsia="Calibri"/>
              </w:rPr>
            </w:pPr>
            <w:r w:rsidRPr="002A3CBE">
              <w:rPr>
                <w:rFonts w:eastAsia="Calibri"/>
              </w:rPr>
              <w:t>132.8</w:t>
            </w:r>
          </w:p>
        </w:tc>
        <w:tc>
          <w:tcPr>
            <w:tcW w:w="1134" w:type="dxa"/>
            <w:shd w:val="clear" w:color="auto" w:fill="FFFFFF"/>
            <w:tcMar>
              <w:top w:w="0" w:type="dxa"/>
              <w:left w:w="85" w:type="dxa"/>
              <w:bottom w:w="0" w:type="dxa"/>
              <w:right w:w="85" w:type="dxa"/>
            </w:tcMar>
            <w:vAlign w:val="bottom"/>
          </w:tcPr>
          <w:p w14:paraId="50F1DCB4" w14:textId="77777777" w:rsidR="00447423" w:rsidRPr="002A3CBE" w:rsidRDefault="00447423" w:rsidP="00F16E23">
            <w:pPr>
              <w:pStyle w:val="TableText"/>
              <w:spacing w:before="40" w:after="40"/>
              <w:jc w:val="right"/>
              <w:rPr>
                <w:rFonts w:eastAsia="Calibri"/>
              </w:rPr>
            </w:pPr>
            <w:r w:rsidRPr="002A3CBE">
              <w:rPr>
                <w:rFonts w:eastAsia="Calibri"/>
              </w:rPr>
              <w:t>-19.6</w:t>
            </w:r>
          </w:p>
        </w:tc>
      </w:tr>
      <w:tr w:rsidR="00447423" w:rsidRPr="002A3CBE" w14:paraId="5870FE31" w14:textId="77777777" w:rsidTr="00B42560">
        <w:trPr>
          <w:trHeight w:val="20"/>
        </w:trPr>
        <w:tc>
          <w:tcPr>
            <w:tcW w:w="3686" w:type="dxa"/>
            <w:shd w:val="clear" w:color="auto" w:fill="FFFFFF"/>
            <w:tcMar>
              <w:top w:w="0" w:type="dxa"/>
              <w:left w:w="85" w:type="dxa"/>
              <w:bottom w:w="0" w:type="dxa"/>
              <w:right w:w="85" w:type="dxa"/>
            </w:tcMar>
            <w:vAlign w:val="bottom"/>
          </w:tcPr>
          <w:p w14:paraId="25FCCBE8" w14:textId="77777777" w:rsidR="00447423" w:rsidRPr="002A3CBE" w:rsidRDefault="00447423" w:rsidP="00F16E23">
            <w:pPr>
              <w:pStyle w:val="TableText"/>
              <w:spacing w:before="40" w:after="40"/>
              <w:rPr>
                <w:rFonts w:eastAsia="Calibri"/>
              </w:rPr>
            </w:pPr>
            <w:r w:rsidRPr="002A3CBE">
              <w:rPr>
                <w:rFonts w:eastAsia="Calibri"/>
              </w:rPr>
              <w:t>Direct emissions from drainage of organic and mineral soils</w:t>
            </w:r>
          </w:p>
        </w:tc>
        <w:tc>
          <w:tcPr>
            <w:tcW w:w="992" w:type="dxa"/>
            <w:shd w:val="clear" w:color="auto" w:fill="FFFFFF"/>
            <w:tcMar>
              <w:top w:w="0" w:type="dxa"/>
              <w:left w:w="85" w:type="dxa"/>
              <w:bottom w:w="0" w:type="dxa"/>
              <w:right w:w="85" w:type="dxa"/>
            </w:tcMar>
            <w:vAlign w:val="bottom"/>
          </w:tcPr>
          <w:p w14:paraId="6E273FF8" w14:textId="77777777" w:rsidR="00447423" w:rsidRPr="002A3CBE" w:rsidRDefault="00447423" w:rsidP="00F16E23">
            <w:pPr>
              <w:pStyle w:val="TableText"/>
              <w:spacing w:before="40" w:after="40"/>
              <w:jc w:val="right"/>
              <w:rPr>
                <w:rFonts w:eastAsia="Calibri"/>
              </w:rPr>
            </w:pPr>
            <w:r w:rsidRPr="002A3CBE">
              <w:rPr>
                <w:rFonts w:eastAsia="Calibri"/>
              </w:rPr>
              <w:t>0.0</w:t>
            </w:r>
          </w:p>
        </w:tc>
        <w:tc>
          <w:tcPr>
            <w:tcW w:w="851" w:type="dxa"/>
            <w:shd w:val="clear" w:color="auto" w:fill="FFFFFF"/>
            <w:tcMar>
              <w:top w:w="0" w:type="dxa"/>
              <w:left w:w="85" w:type="dxa"/>
              <w:bottom w:w="0" w:type="dxa"/>
              <w:right w:w="85" w:type="dxa"/>
            </w:tcMar>
            <w:vAlign w:val="bottom"/>
          </w:tcPr>
          <w:p w14:paraId="72CE123D" w14:textId="77777777" w:rsidR="00447423" w:rsidRPr="002A3CBE" w:rsidRDefault="00447423" w:rsidP="00F16E23">
            <w:pPr>
              <w:pStyle w:val="TableText"/>
              <w:spacing w:before="40" w:after="40"/>
              <w:jc w:val="right"/>
              <w:rPr>
                <w:rFonts w:eastAsia="Calibri"/>
              </w:rPr>
            </w:pPr>
            <w:r w:rsidRPr="002A3CBE">
              <w:rPr>
                <w:rFonts w:eastAsia="Calibri"/>
              </w:rPr>
              <w:t>0.0</w:t>
            </w:r>
          </w:p>
        </w:tc>
        <w:tc>
          <w:tcPr>
            <w:tcW w:w="992" w:type="dxa"/>
            <w:shd w:val="clear" w:color="auto" w:fill="FFFFFF"/>
            <w:tcMar>
              <w:top w:w="0" w:type="dxa"/>
              <w:left w:w="85" w:type="dxa"/>
              <w:bottom w:w="0" w:type="dxa"/>
              <w:right w:w="85" w:type="dxa"/>
            </w:tcMar>
            <w:vAlign w:val="bottom"/>
          </w:tcPr>
          <w:p w14:paraId="669EA5D2" w14:textId="77777777" w:rsidR="00447423" w:rsidRPr="002A3CBE" w:rsidRDefault="00447423" w:rsidP="00F16E23">
            <w:pPr>
              <w:pStyle w:val="TableText"/>
              <w:spacing w:before="40" w:after="40"/>
              <w:jc w:val="right"/>
              <w:rPr>
                <w:rFonts w:eastAsia="Calibri"/>
              </w:rPr>
            </w:pPr>
            <w:r w:rsidRPr="002A3CBE">
              <w:rPr>
                <w:rFonts w:eastAsia="Calibri"/>
              </w:rPr>
              <w:t>4.0</w:t>
            </w:r>
          </w:p>
        </w:tc>
        <w:tc>
          <w:tcPr>
            <w:tcW w:w="850" w:type="dxa"/>
            <w:shd w:val="clear" w:color="auto" w:fill="FFFFFF"/>
            <w:tcMar>
              <w:top w:w="0" w:type="dxa"/>
              <w:left w:w="85" w:type="dxa"/>
              <w:bottom w:w="0" w:type="dxa"/>
              <w:right w:w="85" w:type="dxa"/>
            </w:tcMar>
            <w:vAlign w:val="bottom"/>
          </w:tcPr>
          <w:p w14:paraId="6F4C4646" w14:textId="77777777" w:rsidR="00447423" w:rsidRPr="002A3CBE" w:rsidRDefault="00447423" w:rsidP="00F16E23">
            <w:pPr>
              <w:pStyle w:val="TableText"/>
              <w:spacing w:before="40" w:after="40"/>
              <w:jc w:val="right"/>
              <w:rPr>
                <w:rFonts w:eastAsia="Calibri"/>
              </w:rPr>
            </w:pPr>
            <w:r w:rsidRPr="002A3CBE">
              <w:rPr>
                <w:rFonts w:eastAsia="Calibri"/>
              </w:rPr>
              <w:t>6.3</w:t>
            </w:r>
          </w:p>
        </w:tc>
        <w:tc>
          <w:tcPr>
            <w:tcW w:w="1134" w:type="dxa"/>
            <w:shd w:val="clear" w:color="auto" w:fill="FFFFFF"/>
            <w:tcMar>
              <w:top w:w="0" w:type="dxa"/>
              <w:left w:w="85" w:type="dxa"/>
              <w:bottom w:w="0" w:type="dxa"/>
              <w:right w:w="85" w:type="dxa"/>
            </w:tcMar>
            <w:vAlign w:val="bottom"/>
          </w:tcPr>
          <w:p w14:paraId="5C30D53A" w14:textId="77777777" w:rsidR="00447423" w:rsidRPr="002A3CBE" w:rsidRDefault="00447423" w:rsidP="00F16E23">
            <w:pPr>
              <w:pStyle w:val="TableText"/>
              <w:spacing w:before="40" w:after="40"/>
              <w:jc w:val="right"/>
              <w:rPr>
                <w:rFonts w:eastAsia="Calibri"/>
              </w:rPr>
            </w:pPr>
            <w:r w:rsidRPr="002A3CBE">
              <w:rPr>
                <w:rFonts w:eastAsia="Calibri"/>
              </w:rPr>
              <w:t>57.0</w:t>
            </w:r>
          </w:p>
        </w:tc>
      </w:tr>
      <w:tr w:rsidR="00447423" w:rsidRPr="002A3CBE" w14:paraId="38F56E02" w14:textId="77777777" w:rsidTr="00F16E23">
        <w:trPr>
          <w:trHeight w:val="20"/>
        </w:trPr>
        <w:tc>
          <w:tcPr>
            <w:tcW w:w="3686" w:type="dxa"/>
            <w:shd w:val="clear" w:color="auto" w:fill="FFFFFF"/>
            <w:tcMar>
              <w:top w:w="0" w:type="dxa"/>
              <w:left w:w="85" w:type="dxa"/>
              <w:bottom w:w="0" w:type="dxa"/>
              <w:right w:w="85" w:type="dxa"/>
            </w:tcMar>
            <w:vAlign w:val="center"/>
          </w:tcPr>
          <w:p w14:paraId="01D47BC4" w14:textId="77777777" w:rsidR="00447423" w:rsidRPr="002A3CBE" w:rsidRDefault="00447423" w:rsidP="00F16E23">
            <w:pPr>
              <w:pStyle w:val="TableText"/>
              <w:spacing w:before="40" w:after="40"/>
              <w:rPr>
                <w:rFonts w:eastAsia="Calibri"/>
              </w:rPr>
            </w:pPr>
            <w:r w:rsidRPr="002A3CBE">
              <w:rPr>
                <w:rFonts w:eastAsia="Calibri"/>
              </w:rPr>
              <w:t>Indirect emissions from leaching and runoff</w:t>
            </w:r>
          </w:p>
        </w:tc>
        <w:tc>
          <w:tcPr>
            <w:tcW w:w="992" w:type="dxa"/>
            <w:shd w:val="clear" w:color="auto" w:fill="FFFFFF"/>
            <w:tcMar>
              <w:top w:w="0" w:type="dxa"/>
              <w:left w:w="85" w:type="dxa"/>
              <w:bottom w:w="0" w:type="dxa"/>
              <w:right w:w="85" w:type="dxa"/>
            </w:tcMar>
            <w:vAlign w:val="center"/>
          </w:tcPr>
          <w:p w14:paraId="4F9CB923" w14:textId="77777777" w:rsidR="00447423" w:rsidRPr="002A3CBE" w:rsidRDefault="00447423" w:rsidP="00F16E23">
            <w:pPr>
              <w:pStyle w:val="TableText"/>
              <w:spacing w:before="40" w:after="40"/>
              <w:jc w:val="right"/>
              <w:rPr>
                <w:rFonts w:eastAsia="Calibri"/>
              </w:rPr>
            </w:pPr>
            <w:r w:rsidRPr="002A3CBE">
              <w:rPr>
                <w:rFonts w:eastAsia="Calibri"/>
              </w:rPr>
              <w:t>0.1</w:t>
            </w:r>
          </w:p>
        </w:tc>
        <w:tc>
          <w:tcPr>
            <w:tcW w:w="851" w:type="dxa"/>
            <w:shd w:val="clear" w:color="auto" w:fill="FFFFFF"/>
            <w:tcMar>
              <w:top w:w="0" w:type="dxa"/>
              <w:left w:w="85" w:type="dxa"/>
              <w:bottom w:w="0" w:type="dxa"/>
              <w:right w:w="85" w:type="dxa"/>
            </w:tcMar>
            <w:vAlign w:val="center"/>
          </w:tcPr>
          <w:p w14:paraId="4A7750A1" w14:textId="77777777" w:rsidR="00447423" w:rsidRPr="002A3CBE" w:rsidRDefault="00447423" w:rsidP="00F16E23">
            <w:pPr>
              <w:pStyle w:val="TableText"/>
              <w:spacing w:before="40" w:after="40"/>
              <w:jc w:val="right"/>
              <w:rPr>
                <w:rFonts w:eastAsia="Calibri"/>
              </w:rPr>
            </w:pPr>
            <w:r w:rsidRPr="002A3CBE">
              <w:rPr>
                <w:rFonts w:eastAsia="Calibri"/>
              </w:rPr>
              <w:t>0.1</w:t>
            </w:r>
          </w:p>
        </w:tc>
        <w:tc>
          <w:tcPr>
            <w:tcW w:w="992" w:type="dxa"/>
            <w:shd w:val="clear" w:color="auto" w:fill="FFFFFF"/>
            <w:tcMar>
              <w:top w:w="0" w:type="dxa"/>
              <w:left w:w="85" w:type="dxa"/>
              <w:bottom w:w="0" w:type="dxa"/>
              <w:right w:w="85" w:type="dxa"/>
            </w:tcMar>
            <w:vAlign w:val="center"/>
          </w:tcPr>
          <w:p w14:paraId="5E5D03F5" w14:textId="77777777" w:rsidR="00447423" w:rsidRPr="002A3CBE" w:rsidRDefault="00447423" w:rsidP="00F16E23">
            <w:pPr>
              <w:pStyle w:val="TableText"/>
              <w:spacing w:before="40" w:after="40"/>
              <w:jc w:val="right"/>
              <w:rPr>
                <w:rFonts w:eastAsia="Calibri"/>
              </w:rPr>
            </w:pPr>
            <w:r w:rsidRPr="002A3CBE">
              <w:rPr>
                <w:rFonts w:eastAsia="Calibri"/>
              </w:rPr>
              <w:t>37.2</w:t>
            </w:r>
          </w:p>
        </w:tc>
        <w:tc>
          <w:tcPr>
            <w:tcW w:w="850" w:type="dxa"/>
            <w:shd w:val="clear" w:color="auto" w:fill="FFFFFF"/>
            <w:tcMar>
              <w:top w:w="0" w:type="dxa"/>
              <w:left w:w="85" w:type="dxa"/>
              <w:bottom w:w="0" w:type="dxa"/>
              <w:right w:w="85" w:type="dxa"/>
            </w:tcMar>
            <w:vAlign w:val="center"/>
          </w:tcPr>
          <w:p w14:paraId="316DB52E" w14:textId="77777777" w:rsidR="00447423" w:rsidRPr="002A3CBE" w:rsidRDefault="00447423" w:rsidP="00F16E23">
            <w:pPr>
              <w:pStyle w:val="TableText"/>
              <w:spacing w:before="40" w:after="40"/>
              <w:jc w:val="right"/>
              <w:rPr>
                <w:rFonts w:eastAsia="Calibri"/>
              </w:rPr>
            </w:pPr>
            <w:r w:rsidRPr="002A3CBE">
              <w:rPr>
                <w:rFonts w:eastAsia="Calibri"/>
              </w:rPr>
              <w:t>29.9</w:t>
            </w:r>
          </w:p>
        </w:tc>
        <w:tc>
          <w:tcPr>
            <w:tcW w:w="1134" w:type="dxa"/>
            <w:shd w:val="clear" w:color="auto" w:fill="FFFFFF"/>
            <w:tcMar>
              <w:top w:w="0" w:type="dxa"/>
              <w:left w:w="85" w:type="dxa"/>
              <w:bottom w:w="0" w:type="dxa"/>
              <w:right w:w="85" w:type="dxa"/>
            </w:tcMar>
            <w:vAlign w:val="center"/>
          </w:tcPr>
          <w:p w14:paraId="58CC841F" w14:textId="77777777" w:rsidR="00447423" w:rsidRPr="002A3CBE" w:rsidRDefault="00447423" w:rsidP="00F16E23">
            <w:pPr>
              <w:pStyle w:val="TableText"/>
              <w:spacing w:before="40" w:after="40"/>
              <w:jc w:val="right"/>
              <w:rPr>
                <w:rFonts w:eastAsia="Calibri"/>
              </w:rPr>
            </w:pPr>
            <w:r w:rsidRPr="002A3CBE">
              <w:rPr>
                <w:rFonts w:eastAsia="Calibri"/>
              </w:rPr>
              <w:t>-19.6</w:t>
            </w:r>
          </w:p>
        </w:tc>
      </w:tr>
      <w:tr w:rsidR="00447423" w:rsidRPr="002A3CBE" w14:paraId="79B6FF9A" w14:textId="77777777" w:rsidTr="00F16E23">
        <w:trPr>
          <w:trHeight w:val="20"/>
        </w:trPr>
        <w:tc>
          <w:tcPr>
            <w:tcW w:w="3686" w:type="dxa"/>
            <w:shd w:val="clear" w:color="auto" w:fill="FFFFFF"/>
            <w:tcMar>
              <w:top w:w="0" w:type="dxa"/>
              <w:left w:w="85" w:type="dxa"/>
              <w:bottom w:w="0" w:type="dxa"/>
              <w:right w:w="85" w:type="dxa"/>
            </w:tcMar>
            <w:vAlign w:val="center"/>
          </w:tcPr>
          <w:p w14:paraId="3A8A06E9" w14:textId="77777777" w:rsidR="00447423" w:rsidRPr="002A3CBE" w:rsidRDefault="00447423" w:rsidP="00F16E23">
            <w:pPr>
              <w:pStyle w:val="Tableboldblue"/>
              <w:spacing w:before="40" w:after="40"/>
              <w:rPr>
                <w:rFonts w:eastAsia="Calibri"/>
              </w:rPr>
            </w:pPr>
            <w:r w:rsidRPr="002A3CBE">
              <w:rPr>
                <w:rFonts w:eastAsia="Calibri"/>
              </w:rPr>
              <w:t>Total</w:t>
            </w:r>
          </w:p>
        </w:tc>
        <w:tc>
          <w:tcPr>
            <w:tcW w:w="992" w:type="dxa"/>
            <w:shd w:val="clear" w:color="auto" w:fill="FFFFFF"/>
            <w:tcMar>
              <w:top w:w="0" w:type="dxa"/>
              <w:left w:w="85" w:type="dxa"/>
              <w:bottom w:w="0" w:type="dxa"/>
              <w:right w:w="85" w:type="dxa"/>
            </w:tcMar>
            <w:vAlign w:val="center"/>
          </w:tcPr>
          <w:p w14:paraId="5C37FDB9" w14:textId="77777777" w:rsidR="00447423" w:rsidRPr="002A3CBE" w:rsidRDefault="00447423" w:rsidP="00F16E23">
            <w:pPr>
              <w:pStyle w:val="Tableboldblue"/>
              <w:spacing w:before="40" w:after="40"/>
              <w:jc w:val="right"/>
              <w:rPr>
                <w:rFonts w:eastAsia="Calibri"/>
              </w:rPr>
            </w:pPr>
            <w:r w:rsidRPr="002A3CBE">
              <w:rPr>
                <w:rFonts w:eastAsia="Calibri"/>
              </w:rPr>
              <w:t>0.8</w:t>
            </w:r>
          </w:p>
        </w:tc>
        <w:tc>
          <w:tcPr>
            <w:tcW w:w="851" w:type="dxa"/>
            <w:shd w:val="clear" w:color="auto" w:fill="FFFFFF"/>
            <w:tcMar>
              <w:top w:w="0" w:type="dxa"/>
              <w:left w:w="85" w:type="dxa"/>
              <w:bottom w:w="0" w:type="dxa"/>
              <w:right w:w="85" w:type="dxa"/>
            </w:tcMar>
            <w:vAlign w:val="center"/>
          </w:tcPr>
          <w:p w14:paraId="6B0D7D51" w14:textId="77777777" w:rsidR="00447423" w:rsidRPr="002A3CBE" w:rsidRDefault="00447423" w:rsidP="00F16E23">
            <w:pPr>
              <w:pStyle w:val="Tableboldblue"/>
              <w:spacing w:before="40" w:after="40"/>
              <w:jc w:val="right"/>
              <w:rPr>
                <w:rFonts w:eastAsia="Calibri"/>
              </w:rPr>
            </w:pPr>
            <w:r w:rsidRPr="002A3CBE">
              <w:rPr>
                <w:rFonts w:eastAsia="Calibri"/>
              </w:rPr>
              <w:t>0.6</w:t>
            </w:r>
          </w:p>
        </w:tc>
        <w:tc>
          <w:tcPr>
            <w:tcW w:w="992" w:type="dxa"/>
            <w:shd w:val="clear" w:color="auto" w:fill="FFFFFF"/>
            <w:tcMar>
              <w:top w:w="0" w:type="dxa"/>
              <w:left w:w="85" w:type="dxa"/>
              <w:bottom w:w="0" w:type="dxa"/>
              <w:right w:w="85" w:type="dxa"/>
            </w:tcMar>
            <w:vAlign w:val="center"/>
          </w:tcPr>
          <w:p w14:paraId="7F8D87D4" w14:textId="77777777" w:rsidR="00447423" w:rsidRPr="002A3CBE" w:rsidRDefault="00447423" w:rsidP="00F16E23">
            <w:pPr>
              <w:pStyle w:val="Tableboldblue"/>
              <w:spacing w:before="40" w:after="40"/>
              <w:jc w:val="right"/>
              <w:rPr>
                <w:rFonts w:eastAsia="Calibri"/>
              </w:rPr>
            </w:pPr>
            <w:r w:rsidRPr="002A3CBE">
              <w:rPr>
                <w:rFonts w:eastAsia="Calibri"/>
              </w:rPr>
              <w:t>206.3</w:t>
            </w:r>
          </w:p>
        </w:tc>
        <w:tc>
          <w:tcPr>
            <w:tcW w:w="850" w:type="dxa"/>
            <w:shd w:val="clear" w:color="auto" w:fill="FFFFFF"/>
            <w:tcMar>
              <w:top w:w="0" w:type="dxa"/>
              <w:left w:w="85" w:type="dxa"/>
              <w:bottom w:w="0" w:type="dxa"/>
              <w:right w:w="85" w:type="dxa"/>
            </w:tcMar>
            <w:vAlign w:val="center"/>
          </w:tcPr>
          <w:p w14:paraId="73A0D682" w14:textId="77777777" w:rsidR="00447423" w:rsidRPr="002A3CBE" w:rsidRDefault="00447423" w:rsidP="00F16E23">
            <w:pPr>
              <w:pStyle w:val="Tableboldblue"/>
              <w:spacing w:before="40" w:after="40"/>
              <w:jc w:val="right"/>
              <w:rPr>
                <w:rFonts w:eastAsia="Calibri"/>
              </w:rPr>
            </w:pPr>
            <w:r w:rsidRPr="002A3CBE">
              <w:rPr>
                <w:rFonts w:eastAsia="Calibri"/>
              </w:rPr>
              <w:t>169.0</w:t>
            </w:r>
          </w:p>
        </w:tc>
        <w:tc>
          <w:tcPr>
            <w:tcW w:w="1134" w:type="dxa"/>
            <w:shd w:val="clear" w:color="auto" w:fill="FFFFFF"/>
            <w:tcMar>
              <w:top w:w="0" w:type="dxa"/>
              <w:left w:w="85" w:type="dxa"/>
              <w:bottom w:w="0" w:type="dxa"/>
              <w:right w:w="85" w:type="dxa"/>
            </w:tcMar>
            <w:vAlign w:val="center"/>
          </w:tcPr>
          <w:p w14:paraId="7C523B39" w14:textId="77777777" w:rsidR="00447423" w:rsidRPr="002A3CBE" w:rsidRDefault="00447423" w:rsidP="00F16E23">
            <w:pPr>
              <w:pStyle w:val="Tableboldblue"/>
              <w:spacing w:before="40" w:after="40"/>
              <w:jc w:val="right"/>
              <w:rPr>
                <w:rFonts w:eastAsia="Calibri"/>
              </w:rPr>
            </w:pPr>
            <w:r w:rsidRPr="002A3CBE">
              <w:rPr>
                <w:rFonts w:eastAsia="Calibri"/>
              </w:rPr>
              <w:t>-18.1</w:t>
            </w:r>
          </w:p>
        </w:tc>
      </w:tr>
    </w:tbl>
    <w:p w14:paraId="7C78A78F" w14:textId="77777777" w:rsidR="00447423" w:rsidRPr="002A3CBE" w:rsidRDefault="00447423" w:rsidP="00447423">
      <w:pPr>
        <w:pStyle w:val="Noteundertable"/>
      </w:pPr>
      <w:r w:rsidRPr="002A3CBE">
        <w:rPr>
          <w:b/>
        </w:rPr>
        <w:t>Note:</w:t>
      </w:r>
      <w:r w:rsidRPr="002A3CBE">
        <w:rPr>
          <w:bCs/>
        </w:rPr>
        <w:tab/>
      </w:r>
      <w:r w:rsidRPr="002A3CBE">
        <w:t xml:space="preserve">Columns may not total due to </w:t>
      </w:r>
      <w:r w:rsidRPr="002A3CBE" w:rsidDel="00963486">
        <w:t>rounding</w:t>
      </w:r>
      <w:r w:rsidRPr="002A3CBE">
        <w:t xml:space="preserve">. Direct nitrous oxide emissions reported in this table are for </w:t>
      </w:r>
      <w:r w:rsidRPr="002A3CBE">
        <w:rPr>
          <w:i/>
          <w:iCs/>
        </w:rPr>
        <w:t>Forest land</w:t>
      </w:r>
      <w:r w:rsidRPr="002A3CBE">
        <w:t xml:space="preserve"> only. Nitrous oxide</w:t>
      </w:r>
      <w:r w:rsidRPr="002A3CBE" w:rsidDel="00172632">
        <w:t xml:space="preserve"> </w:t>
      </w:r>
      <w:r w:rsidRPr="002A3CBE">
        <w:t xml:space="preserve">emissions on </w:t>
      </w:r>
      <w:r w:rsidRPr="002A3CBE">
        <w:rPr>
          <w:i/>
          <w:iCs/>
        </w:rPr>
        <w:t>Cropland</w:t>
      </w:r>
      <w:r w:rsidRPr="002A3CBE">
        <w:t xml:space="preserve"> and </w:t>
      </w:r>
      <w:r w:rsidRPr="002A3CBE">
        <w:rPr>
          <w:i/>
          <w:iCs/>
        </w:rPr>
        <w:t>Grassland</w:t>
      </w:r>
      <w:r w:rsidRPr="002A3CBE">
        <w:t xml:space="preserve"> are reported under the Agriculture sector.</w:t>
      </w:r>
    </w:p>
    <w:p w14:paraId="3BC11974" w14:textId="77777777" w:rsidR="00447423" w:rsidRPr="002A3CBE" w:rsidRDefault="00447423" w:rsidP="00447423">
      <w:pPr>
        <w:pStyle w:val="Heading3"/>
        <w:spacing w:before="240"/>
      </w:pPr>
      <w:r w:rsidRPr="002A3CBE">
        <w:t xml:space="preserve">6.11.1 </w:t>
      </w:r>
      <w:r w:rsidRPr="002A3CBE">
        <w:tab/>
        <w:t>Direct N</w:t>
      </w:r>
      <w:r w:rsidRPr="002A3CBE">
        <w:rPr>
          <w:vertAlign w:val="subscript"/>
        </w:rPr>
        <w:t>2</w:t>
      </w:r>
      <w:r w:rsidRPr="002A3CBE">
        <w:t>O emissions from nitrogen fertilisation of forest land and other land (4(I)</w:t>
      </w:r>
      <w:bookmarkEnd w:id="2893"/>
      <w:r w:rsidRPr="002A3CBE">
        <w:t>)</w:t>
      </w:r>
    </w:p>
    <w:p w14:paraId="79FA3E65" w14:textId="77777777" w:rsidR="00447423" w:rsidRPr="002A3CBE" w:rsidRDefault="00447423" w:rsidP="00447423">
      <w:pPr>
        <w:pStyle w:val="BodyText"/>
      </w:pPr>
      <w:r w:rsidRPr="002A3CBE">
        <w:t>New Zealand’s activity data on nitrogen fertilisation are not currently disaggregated by land use and, therefore, all direct N</w:t>
      </w:r>
      <w:r w:rsidRPr="002A3CBE">
        <w:rPr>
          <w:vertAlign w:val="subscript"/>
        </w:rPr>
        <w:t>2</w:t>
      </w:r>
      <w:r w:rsidRPr="002A3CBE">
        <w:t>O emissions from nitrogen fertilisation of</w:t>
      </w:r>
      <w:r w:rsidRPr="002A3CBE">
        <w:rPr>
          <w:i/>
        </w:rPr>
        <w:t xml:space="preserve"> Forest land </w:t>
      </w:r>
      <w:r w:rsidRPr="002A3CBE">
        <w:t>and</w:t>
      </w:r>
      <w:r w:rsidRPr="002A3CBE">
        <w:rPr>
          <w:i/>
        </w:rPr>
        <w:t xml:space="preserve"> Other land</w:t>
      </w:r>
      <w:r w:rsidRPr="002A3CBE">
        <w:t xml:space="preserve"> are reported in the Agriculture sector under the category </w:t>
      </w:r>
      <w:r w:rsidRPr="002A3CBE">
        <w:rPr>
          <w:i/>
        </w:rPr>
        <w:t>Direct N</w:t>
      </w:r>
      <w:r w:rsidRPr="002A3CBE">
        <w:rPr>
          <w:i/>
          <w:vertAlign w:val="subscript"/>
        </w:rPr>
        <w:t>2</w:t>
      </w:r>
      <w:r w:rsidRPr="002A3CBE">
        <w:rPr>
          <w:i/>
        </w:rPr>
        <w:t>O emissions from managed soils</w:t>
      </w:r>
      <w:r w:rsidRPr="002A3CBE">
        <w:t xml:space="preserve"> (3.D.a). The notation key IE is reported in the CRTs for the LULUCF sector.</w:t>
      </w:r>
    </w:p>
    <w:p w14:paraId="10389EEE" w14:textId="77777777" w:rsidR="00447423" w:rsidRPr="002A3CBE" w:rsidRDefault="00447423" w:rsidP="00447423">
      <w:pPr>
        <w:pStyle w:val="Heading3"/>
        <w:spacing w:before="320"/>
      </w:pPr>
      <w:bookmarkStart w:id="2901" w:name="_Toc280630351"/>
      <w:r w:rsidRPr="002A3CBE">
        <w:t xml:space="preserve">6.11.2 </w:t>
      </w:r>
      <w:r w:rsidRPr="002A3CBE">
        <w:tab/>
        <w:t>Emissions from drainage and rewetting of organic and mineral soils (4(II)</w:t>
      </w:r>
      <w:bookmarkEnd w:id="2901"/>
      <w:r w:rsidRPr="002A3CBE">
        <w:t xml:space="preserve">) </w:t>
      </w:r>
    </w:p>
    <w:p w14:paraId="6735DC36" w14:textId="77777777" w:rsidR="00447423" w:rsidRPr="002A3CBE" w:rsidRDefault="00447423" w:rsidP="00447423">
      <w:pPr>
        <w:pStyle w:val="Heading4"/>
        <w:spacing w:before="180"/>
      </w:pPr>
      <w:r w:rsidRPr="002A3CBE">
        <w:t xml:space="preserve">Description </w:t>
      </w:r>
    </w:p>
    <w:p w14:paraId="184DF5F6" w14:textId="77777777" w:rsidR="00447423" w:rsidRPr="002A3CBE" w:rsidRDefault="00447423" w:rsidP="00447423">
      <w:pPr>
        <w:pStyle w:val="BodyText"/>
      </w:pPr>
      <w:r w:rsidRPr="002A3CBE">
        <w:t>New Zealand reports on N</w:t>
      </w:r>
      <w:r w:rsidRPr="002A3CBE">
        <w:rPr>
          <w:vertAlign w:val="subscript"/>
        </w:rPr>
        <w:t>2</w:t>
      </w:r>
      <w:r w:rsidRPr="002A3CBE">
        <w:t>O emissions, as a result of oxidation of organic matter, from the drainage of organic soils. Nitrous oxide</w:t>
      </w:r>
      <w:r w:rsidRPr="002A3CBE" w:rsidDel="00C353F0">
        <w:t xml:space="preserve"> </w:t>
      </w:r>
      <w:r w:rsidRPr="002A3CBE">
        <w:t xml:space="preserve">emissions on </w:t>
      </w:r>
      <w:r w:rsidRPr="002A3CBE">
        <w:rPr>
          <w:i/>
          <w:iCs/>
        </w:rPr>
        <w:t>Cropland</w:t>
      </w:r>
      <w:r w:rsidRPr="002A3CBE">
        <w:t xml:space="preserve"> and </w:t>
      </w:r>
      <w:r w:rsidRPr="002A3CBE">
        <w:rPr>
          <w:i/>
          <w:iCs/>
        </w:rPr>
        <w:t>Grassland</w:t>
      </w:r>
      <w:r w:rsidRPr="002A3CBE">
        <w:t xml:space="preserve"> are reported under the Agriculture sector. Direct N</w:t>
      </w:r>
      <w:r w:rsidRPr="002A3CBE">
        <w:rPr>
          <w:vertAlign w:val="subscript"/>
        </w:rPr>
        <w:t>2</w:t>
      </w:r>
      <w:r w:rsidRPr="002A3CBE">
        <w:t xml:space="preserve">O emissions from drained organic soils in </w:t>
      </w:r>
      <w:r w:rsidRPr="002A3CBE">
        <w:rPr>
          <w:i/>
        </w:rPr>
        <w:t>Forest land</w:t>
      </w:r>
      <w:r w:rsidRPr="002A3CBE">
        <w:t xml:space="preserve"> are</w:t>
      </w:r>
      <w:r>
        <w:t> </w:t>
      </w:r>
      <w:r w:rsidRPr="002A3CBE">
        <w:t>estimated to be 0.0004 kt N</w:t>
      </w:r>
      <w:r w:rsidRPr="002A3CBE">
        <w:rPr>
          <w:spacing w:val="-2"/>
          <w:vertAlign w:val="subscript"/>
        </w:rPr>
        <w:t>2</w:t>
      </w:r>
      <w:r w:rsidRPr="002A3CBE">
        <w:t>O in 2024, compared with 0.0003 kt N</w:t>
      </w:r>
      <w:r w:rsidRPr="002A3CBE">
        <w:rPr>
          <w:spacing w:val="-2"/>
          <w:vertAlign w:val="subscript"/>
        </w:rPr>
        <w:t>2</w:t>
      </w:r>
      <w:r w:rsidRPr="002A3CBE">
        <w:t>O in 1990. Direct N</w:t>
      </w:r>
      <w:r w:rsidRPr="002A3CBE">
        <w:rPr>
          <w:vertAlign w:val="subscript"/>
        </w:rPr>
        <w:t>2</w:t>
      </w:r>
      <w:r w:rsidRPr="002A3CBE">
        <w:t xml:space="preserve">O emissions from drained organic soils in </w:t>
      </w:r>
      <w:r w:rsidRPr="002A3CBE">
        <w:rPr>
          <w:i/>
        </w:rPr>
        <w:t xml:space="preserve">Settlements </w:t>
      </w:r>
      <w:r w:rsidRPr="002A3CBE">
        <w:rPr>
          <w:iCs/>
        </w:rPr>
        <w:t>are estimated to be 0.02 kt NO in 2024, compared with 0.01 kt NO in 1990.</w:t>
      </w:r>
      <w:r w:rsidRPr="002A3CBE">
        <w:t xml:space="preserve"> The notation key NE is reported in the CRTs for rewetted mineral soils. </w:t>
      </w:r>
    </w:p>
    <w:p w14:paraId="01E198E4" w14:textId="77777777" w:rsidR="00447423" w:rsidRPr="002A3CBE" w:rsidRDefault="00447423" w:rsidP="00447423">
      <w:pPr>
        <w:pStyle w:val="Heading4"/>
      </w:pPr>
      <w:r w:rsidRPr="002A3CBE">
        <w:t>Methodological issues</w:t>
      </w:r>
    </w:p>
    <w:p w14:paraId="46B310FC" w14:textId="77777777" w:rsidR="00447423" w:rsidRPr="002A3CBE" w:rsidRDefault="00447423" w:rsidP="00447423">
      <w:pPr>
        <w:pStyle w:val="BodyText"/>
      </w:pPr>
      <w:r w:rsidRPr="002A3CBE">
        <w:t>To estimate N</w:t>
      </w:r>
      <w:r w:rsidRPr="002A3CBE">
        <w:rPr>
          <w:vertAlign w:val="subscript"/>
        </w:rPr>
        <w:t>2</w:t>
      </w:r>
      <w:r w:rsidRPr="002A3CBE">
        <w:t xml:space="preserve">O emissions associated with the drainage of organic soils on </w:t>
      </w:r>
      <w:r w:rsidRPr="002A3CBE">
        <w:rPr>
          <w:i/>
          <w:iCs/>
        </w:rPr>
        <w:t>Forest</w:t>
      </w:r>
      <w:r w:rsidRPr="002A3CBE">
        <w:rPr>
          <w:i/>
        </w:rPr>
        <w:t xml:space="preserve"> land</w:t>
      </w:r>
      <w:r w:rsidRPr="002A3CBE">
        <w:t>, New Zealand uses the Tier 1 method outlined in the 2006 IPCC Guidelines (IPCC, 2006a, equation 11.1). The Tier 1 default value for temperate, nutrient-poor forest soils of 0.1 kilograms (kg) N</w:t>
      </w:r>
      <w:r w:rsidRPr="002A3CBE">
        <w:rPr>
          <w:vertAlign w:val="subscript"/>
        </w:rPr>
        <w:t>2</w:t>
      </w:r>
      <w:r w:rsidRPr="002A3CBE">
        <w:t>O</w:t>
      </w:r>
      <w:r w:rsidRPr="002A3CBE">
        <w:noBreakHyphen/>
        <w:t>N ha</w:t>
      </w:r>
      <w:r w:rsidRPr="002A3CBE">
        <w:rPr>
          <w:vertAlign w:val="superscript"/>
        </w:rPr>
        <w:t>–1</w:t>
      </w:r>
      <w:r w:rsidRPr="002A3CBE">
        <w:t xml:space="preserve"> is applied. Note that the area of pre-1990 natural forest remaining pre-1990 natural forest on organic soils is assumed to be in its natural, undisturbed state, and therefore is presumed to be undrained. </w:t>
      </w:r>
    </w:p>
    <w:p w14:paraId="5E9F6931" w14:textId="77777777" w:rsidR="00447423" w:rsidRPr="002A3CBE" w:rsidRDefault="00447423" w:rsidP="00447423">
      <w:pPr>
        <w:pStyle w:val="Heading3"/>
      </w:pPr>
      <w:bookmarkStart w:id="2902" w:name="_Toc280630352"/>
      <w:r w:rsidRPr="002A3CBE">
        <w:t xml:space="preserve">6.11.3 </w:t>
      </w:r>
      <w:r w:rsidRPr="002A3CBE">
        <w:tab/>
        <w:t>Direct N</w:t>
      </w:r>
      <w:r w:rsidRPr="002A3CBE">
        <w:rPr>
          <w:vertAlign w:val="subscript"/>
        </w:rPr>
        <w:t>2</w:t>
      </w:r>
      <w:r w:rsidRPr="002A3CBE">
        <w:t>O emissions from nitrogen mineralisation/immobilisation (4(III)</w:t>
      </w:r>
      <w:bookmarkEnd w:id="2902"/>
      <w:r w:rsidRPr="002A3CBE">
        <w:t>)</w:t>
      </w:r>
    </w:p>
    <w:p w14:paraId="24935EE2" w14:textId="77777777" w:rsidR="00447423" w:rsidRPr="002A3CBE" w:rsidRDefault="00447423" w:rsidP="00447423">
      <w:pPr>
        <w:pStyle w:val="Heading4"/>
        <w:spacing w:before="180"/>
      </w:pPr>
      <w:bookmarkStart w:id="2903" w:name="_Toc280630353"/>
      <w:r w:rsidRPr="002A3CBE">
        <w:t>Description</w:t>
      </w:r>
      <w:bookmarkEnd w:id="2903"/>
      <w:r w:rsidRPr="002A3CBE">
        <w:t xml:space="preserve"> </w:t>
      </w:r>
    </w:p>
    <w:p w14:paraId="44ABD506" w14:textId="77777777" w:rsidR="00447423" w:rsidRPr="002A3CBE" w:rsidRDefault="00447423" w:rsidP="00447423">
      <w:pPr>
        <w:pStyle w:val="BodyText"/>
      </w:pPr>
      <w:r w:rsidRPr="002A3CBE">
        <w:t>Direct N</w:t>
      </w:r>
      <w:r w:rsidRPr="002A3CBE">
        <w:rPr>
          <w:spacing w:val="-2"/>
          <w:vertAlign w:val="subscript"/>
        </w:rPr>
        <w:t>2</w:t>
      </w:r>
      <w:r w:rsidRPr="002A3CBE">
        <w:t>O emissions from nitrogen mineralisation/immobilisation are minor in New Zealand, estimated at 0.5 kt N</w:t>
      </w:r>
      <w:r w:rsidRPr="002A3CBE">
        <w:rPr>
          <w:spacing w:val="-2"/>
          <w:vertAlign w:val="subscript"/>
        </w:rPr>
        <w:t>2</w:t>
      </w:r>
      <w:r w:rsidRPr="002A3CBE">
        <w:t>O in 2024, compared with 0.6 kt N</w:t>
      </w:r>
      <w:r w:rsidRPr="002A3CBE">
        <w:rPr>
          <w:spacing w:val="-2"/>
          <w:vertAlign w:val="subscript"/>
        </w:rPr>
        <w:t>2</w:t>
      </w:r>
      <w:r w:rsidRPr="002A3CBE">
        <w:t>O in 1990. Note that N</w:t>
      </w:r>
      <w:r w:rsidRPr="002A3CBE">
        <w:rPr>
          <w:vertAlign w:val="subscript"/>
        </w:rPr>
        <w:t>2</w:t>
      </w:r>
      <w:r w:rsidRPr="002A3CBE">
        <w:t xml:space="preserve">O emissions on </w:t>
      </w:r>
      <w:r w:rsidRPr="002A3CBE">
        <w:rPr>
          <w:i/>
          <w:iCs/>
        </w:rPr>
        <w:t>Cropland</w:t>
      </w:r>
      <w:r w:rsidRPr="002A3CBE">
        <w:rPr>
          <w:i/>
        </w:rPr>
        <w:t xml:space="preserve"> remaining </w:t>
      </w:r>
      <w:r w:rsidRPr="002A3CBE">
        <w:rPr>
          <w:i/>
          <w:iCs/>
        </w:rPr>
        <w:t>cropland</w:t>
      </w:r>
      <w:r w:rsidRPr="002A3CBE">
        <w:t xml:space="preserve"> from nitrogen mineralisation/immobilisation are reported </w:t>
      </w:r>
      <w:r w:rsidRPr="002A3CBE">
        <w:rPr>
          <w:spacing w:val="-2"/>
        </w:rPr>
        <w:t>under the Agriculture sector. Direct N</w:t>
      </w:r>
      <w:r w:rsidRPr="002A3CBE">
        <w:rPr>
          <w:spacing w:val="-2"/>
          <w:vertAlign w:val="subscript"/>
        </w:rPr>
        <w:t>2</w:t>
      </w:r>
      <w:r w:rsidRPr="002A3CBE">
        <w:rPr>
          <w:spacing w:val="-2"/>
        </w:rPr>
        <w:t>O emissions from nitrogen mineralisation/immobilisation</w:t>
      </w:r>
      <w:r w:rsidRPr="002A3CBE">
        <w:t xml:space="preserve"> associated with land-use change for all other land use categories are reported under the LULUCF sector.</w:t>
      </w:r>
    </w:p>
    <w:p w14:paraId="0F18279E" w14:textId="77777777" w:rsidR="00447423" w:rsidRPr="002A3CBE" w:rsidRDefault="00447423" w:rsidP="00447423">
      <w:pPr>
        <w:pStyle w:val="BodyText"/>
      </w:pPr>
      <w:r w:rsidRPr="002A3CBE">
        <w:t>Nitrous oxide emissions result from the mineralisation of soil organic matter associated with land-use change. This mineralisation results in an associated conversion of nitrogen previously in the soil organic matter to ammonium and nitrate. Microbial activity in the soil converts some of the ammonium and nitrate present to N</w:t>
      </w:r>
      <w:r w:rsidRPr="002A3CBE">
        <w:rPr>
          <w:vertAlign w:val="subscript"/>
        </w:rPr>
        <w:t>2</w:t>
      </w:r>
      <w:r w:rsidRPr="002A3CBE">
        <w:t>O. A net decrease in soil organic matter increases the microbial substrate and is therefore expected to increase net N</w:t>
      </w:r>
      <w:r w:rsidRPr="002A3CBE">
        <w:rPr>
          <w:vertAlign w:val="subscript"/>
        </w:rPr>
        <w:t>2</w:t>
      </w:r>
      <w:r w:rsidRPr="002A3CBE">
        <w:t>O emissions (IPCC, 2006a, section 11).</w:t>
      </w:r>
    </w:p>
    <w:p w14:paraId="2CB4831C" w14:textId="77777777" w:rsidR="00447423" w:rsidRPr="002A3CBE" w:rsidRDefault="00447423" w:rsidP="00447423">
      <w:pPr>
        <w:pStyle w:val="Heading4"/>
        <w:spacing w:before="200"/>
      </w:pPr>
      <w:bookmarkStart w:id="2904" w:name="_Toc280630354"/>
      <w:r w:rsidRPr="002A3CBE">
        <w:t>Methodological issues</w:t>
      </w:r>
      <w:bookmarkEnd w:id="2904"/>
    </w:p>
    <w:p w14:paraId="2416912E" w14:textId="77777777" w:rsidR="00447423" w:rsidRPr="002A3CBE" w:rsidRDefault="00447423" w:rsidP="00447423">
      <w:pPr>
        <w:pStyle w:val="BodyText"/>
      </w:pPr>
      <w:r w:rsidRPr="002A3CBE">
        <w:t>To estimate N</w:t>
      </w:r>
      <w:r w:rsidRPr="002A3CBE">
        <w:rPr>
          <w:vertAlign w:val="subscript"/>
        </w:rPr>
        <w:t>2</w:t>
      </w:r>
      <w:r w:rsidRPr="002A3CBE">
        <w:t xml:space="preserve">O emissions from disturbance associated with land-use change, New Zealand uses the method outlined in the 2006 IPCC Guidelines (IPCC, 2006a, equation 11.2 and equation 11.8). </w:t>
      </w:r>
    </w:p>
    <w:p w14:paraId="10CC5A8B" w14:textId="77777777" w:rsidR="00447423" w:rsidRPr="002A3CBE" w:rsidRDefault="00447423" w:rsidP="00447423">
      <w:pPr>
        <w:pStyle w:val="BodyText"/>
      </w:pPr>
      <w:r w:rsidRPr="002A3CBE">
        <w:t>The inputs to these equations are:</w:t>
      </w:r>
    </w:p>
    <w:p w14:paraId="0ABA4F41" w14:textId="77777777" w:rsidR="00447423" w:rsidRPr="002A3CBE" w:rsidRDefault="00447423" w:rsidP="00447423">
      <w:pPr>
        <w:pStyle w:val="Bullet"/>
      </w:pPr>
      <w:r w:rsidRPr="002A3CBE">
        <w:t>loss of carbon in mineral soils</w:t>
      </w:r>
    </w:p>
    <w:p w14:paraId="287F3267" w14:textId="77777777" w:rsidR="00447423" w:rsidRPr="002A3CBE" w:rsidRDefault="00447423" w:rsidP="00447423">
      <w:pPr>
        <w:pStyle w:val="Bullet"/>
      </w:pPr>
      <w:r w:rsidRPr="002A3CBE">
        <w:t>EF</w:t>
      </w:r>
      <w:r w:rsidRPr="002A3CBE">
        <w:rPr>
          <w:vertAlign w:val="subscript"/>
        </w:rPr>
        <w:t>1</w:t>
      </w:r>
      <w:r w:rsidRPr="002A3CBE">
        <w:t xml:space="preserve"> – the emission factor for calculating emissions of N</w:t>
      </w:r>
      <w:r w:rsidRPr="002A3CBE">
        <w:rPr>
          <w:vertAlign w:val="subscript"/>
        </w:rPr>
        <w:t>2</w:t>
      </w:r>
      <w:r w:rsidRPr="002A3CBE">
        <w:t>O from nitrogen (N) in the soil. New Zealand uses a country-specific value of 0.01 kg N</w:t>
      </w:r>
      <w:r w:rsidRPr="002A3CBE">
        <w:rPr>
          <w:vertAlign w:val="subscript"/>
        </w:rPr>
        <w:t>2</w:t>
      </w:r>
      <w:r w:rsidRPr="002A3CBE">
        <w:t>O – N/kg N (Kelliher and de Klein, 2006)</w:t>
      </w:r>
    </w:p>
    <w:p w14:paraId="32BD5F54" w14:textId="77777777" w:rsidR="00447423" w:rsidRPr="002A3CBE" w:rsidRDefault="00447423" w:rsidP="00447423">
      <w:pPr>
        <w:pStyle w:val="Bullet"/>
      </w:pPr>
      <w:r w:rsidRPr="002A3CBE">
        <w:t xml:space="preserve">C:N ratio – the IPCC default ratio of carbon to nitrogen in soil organic matter (15:1) is used (IPCC, 2006a, p 11.16). </w:t>
      </w:r>
    </w:p>
    <w:p w14:paraId="25FEDF0D" w14:textId="77777777" w:rsidR="00447423" w:rsidRPr="002A3CBE" w:rsidRDefault="00447423" w:rsidP="00447423">
      <w:pPr>
        <w:pStyle w:val="BodyText"/>
      </w:pPr>
      <w:r w:rsidRPr="002A3CBE">
        <w:t>Where an area of land is converted to a land use with a higher original mineral SOC stock than the category it is converted from, no N</w:t>
      </w:r>
      <w:r w:rsidRPr="002A3CBE">
        <w:rPr>
          <w:vertAlign w:val="subscript"/>
        </w:rPr>
        <w:t>2</w:t>
      </w:r>
      <w:r w:rsidRPr="002A3CBE">
        <w:t xml:space="preserve">O emissions have been estimated as occurring because there is no associated loss of SOC. For instance, </w:t>
      </w:r>
      <w:r w:rsidRPr="002A3CBE">
        <w:rPr>
          <w:i/>
          <w:iCs/>
        </w:rPr>
        <w:t>Cropland</w:t>
      </w:r>
      <w:r w:rsidRPr="002A3CBE">
        <w:t xml:space="preserve"> converted to </w:t>
      </w:r>
      <w:r w:rsidRPr="002A3CBE">
        <w:rPr>
          <w:i/>
          <w:iCs/>
        </w:rPr>
        <w:t>Forest</w:t>
      </w:r>
      <w:r w:rsidRPr="002A3CBE">
        <w:rPr>
          <w:i/>
        </w:rPr>
        <w:t xml:space="preserve"> land</w:t>
      </w:r>
      <w:r w:rsidRPr="002A3CBE">
        <w:t xml:space="preserve"> is estimated not to result in net N</w:t>
      </w:r>
      <w:r w:rsidRPr="002A3CBE">
        <w:rPr>
          <w:vertAlign w:val="subscript"/>
        </w:rPr>
        <w:t>2</w:t>
      </w:r>
      <w:r w:rsidRPr="002A3CBE">
        <w:t>O emissions because this land use conversion is associated with a net gain in SOC in New Zealand (see volume 2, annex 5, section A5.2.4, table A5.2.8). In these situations, the notation key NO (not occurring) is reported in the CRTs.</w:t>
      </w:r>
    </w:p>
    <w:p w14:paraId="3DBFBEC7" w14:textId="77777777" w:rsidR="00447423" w:rsidRPr="002A3CBE" w:rsidRDefault="00447423" w:rsidP="00447423">
      <w:pPr>
        <w:pStyle w:val="Heading3"/>
        <w:spacing w:before="240"/>
      </w:pPr>
      <w:r w:rsidRPr="002A3CBE">
        <w:t xml:space="preserve">6.11.4 </w:t>
      </w:r>
      <w:r w:rsidRPr="002A3CBE">
        <w:tab/>
        <w:t>Indirect N</w:t>
      </w:r>
      <w:r w:rsidRPr="002A3CBE">
        <w:rPr>
          <w:vertAlign w:val="subscript"/>
        </w:rPr>
        <w:t>2</w:t>
      </w:r>
      <w:r w:rsidRPr="002A3CBE">
        <w:t>O emissions from leaching and runoff (4(I))</w:t>
      </w:r>
    </w:p>
    <w:p w14:paraId="0006B5F5" w14:textId="77777777" w:rsidR="00447423" w:rsidRPr="002A3CBE" w:rsidRDefault="00447423" w:rsidP="00447423">
      <w:pPr>
        <w:pStyle w:val="BodyText"/>
      </w:pPr>
      <w:r w:rsidRPr="002A3CBE">
        <w:t>Indirect N</w:t>
      </w:r>
      <w:r w:rsidRPr="002A3CBE">
        <w:rPr>
          <w:spacing w:val="-2"/>
          <w:vertAlign w:val="subscript"/>
        </w:rPr>
        <w:t>2</w:t>
      </w:r>
      <w:r w:rsidRPr="002A3CBE">
        <w:t xml:space="preserve">O emissions from leaching and runoff are associated with mineralisation of nitrogen from loss of soil carbon in mineral and drained and/or managed organic soils through land-use change or management practices. Emissions on </w:t>
      </w:r>
      <w:r w:rsidRPr="002A3CBE">
        <w:rPr>
          <w:i/>
          <w:iCs/>
        </w:rPr>
        <w:t>Cropland remaining cropland</w:t>
      </w:r>
      <w:r w:rsidRPr="002A3CBE">
        <w:t xml:space="preserve"> from leaching and runoff are reported under the Agriculture sector. Indirect N</w:t>
      </w:r>
      <w:r w:rsidRPr="002A3CBE">
        <w:rPr>
          <w:vertAlign w:val="subscript"/>
        </w:rPr>
        <w:t>2</w:t>
      </w:r>
      <w:r w:rsidRPr="002A3CBE">
        <w:t>O emissions from leaching and runoff for all other land use categories are reported under the LULUCF sector.</w:t>
      </w:r>
    </w:p>
    <w:p w14:paraId="1C7F2D6E" w14:textId="77777777" w:rsidR="00447423" w:rsidRPr="002A3CBE" w:rsidRDefault="00447423" w:rsidP="00447423">
      <w:pPr>
        <w:pStyle w:val="BodyText"/>
        <w:spacing w:before="100" w:after="100"/>
      </w:pPr>
      <w:r w:rsidRPr="002A3CBE">
        <w:t xml:space="preserve">Indirect emissions from leaching and runoff in all land use categories excluding </w:t>
      </w:r>
      <w:r w:rsidRPr="002A3CBE">
        <w:rPr>
          <w:i/>
          <w:iCs/>
        </w:rPr>
        <w:t>Cropland remaining cropland</w:t>
      </w:r>
      <w:r w:rsidRPr="002A3CBE">
        <w:t xml:space="preserve"> were estimated as 0.1 kt N</w:t>
      </w:r>
      <w:r w:rsidRPr="002A3CBE">
        <w:rPr>
          <w:spacing w:val="-2"/>
          <w:vertAlign w:val="subscript"/>
        </w:rPr>
        <w:t>2</w:t>
      </w:r>
      <w:r w:rsidRPr="002A3CBE">
        <w:t>O in 2024, which is 19.6 percent lower than reported in 1990.</w:t>
      </w:r>
    </w:p>
    <w:p w14:paraId="55FE9BFE" w14:textId="77777777" w:rsidR="00447423" w:rsidRPr="002A3CBE" w:rsidRDefault="00447423" w:rsidP="00447423">
      <w:pPr>
        <w:pStyle w:val="Heading4"/>
      </w:pPr>
      <w:r w:rsidRPr="002A3CBE">
        <w:t>Methodological issues</w:t>
      </w:r>
    </w:p>
    <w:p w14:paraId="23B34E3F" w14:textId="77777777" w:rsidR="00447423" w:rsidRPr="002A3CBE" w:rsidRDefault="00447423" w:rsidP="00447423">
      <w:pPr>
        <w:pStyle w:val="BodyText"/>
      </w:pPr>
      <w:r w:rsidRPr="002A3CBE">
        <w:t>New Zealand applies the Tier 1 method outlined in the 2006 IPCC Guidelines (IPCC, 2006a, equation 11.10) for estimating N</w:t>
      </w:r>
      <w:r w:rsidRPr="002A3CBE">
        <w:rPr>
          <w:vertAlign w:val="subscript"/>
        </w:rPr>
        <w:t>2</w:t>
      </w:r>
      <w:r w:rsidRPr="002A3CBE">
        <w:t>O emissions from leaching and runoff. The following are the inputs to this equation.</w:t>
      </w:r>
    </w:p>
    <w:p w14:paraId="30CD7ABD" w14:textId="77777777" w:rsidR="00447423" w:rsidRPr="002A3CBE" w:rsidRDefault="00447423" w:rsidP="00447423">
      <w:pPr>
        <w:pStyle w:val="Bullet"/>
      </w:pPr>
      <w:r w:rsidRPr="002A3CBE">
        <w:t>F</w:t>
      </w:r>
      <w:r w:rsidRPr="002A3CBE">
        <w:rPr>
          <w:vertAlign w:val="subscript"/>
        </w:rPr>
        <w:t>SOM</w:t>
      </w:r>
      <w:r w:rsidRPr="002A3CBE">
        <w:t xml:space="preserve"> – annual amount of N mineralised in mineral soils associated with loss of soil C from soil organic matter as a result of changes to land use or management in regions where leaching and runoff occur, kg N yr</w:t>
      </w:r>
      <w:r w:rsidRPr="002A3CBE">
        <w:rPr>
          <w:vertAlign w:val="superscript"/>
        </w:rPr>
        <w:t>–1</w:t>
      </w:r>
      <w:r w:rsidRPr="002A3CBE">
        <w:t>, calculated using the method described in section 6.11.3.</w:t>
      </w:r>
    </w:p>
    <w:p w14:paraId="55EA72CF" w14:textId="77777777" w:rsidR="00447423" w:rsidRPr="002A3CBE" w:rsidRDefault="00447423" w:rsidP="00447423">
      <w:pPr>
        <w:pStyle w:val="Bullet"/>
      </w:pPr>
      <w:r w:rsidRPr="002A3CBE">
        <w:t>EF</w:t>
      </w:r>
      <w:r w:rsidRPr="002A3CBE">
        <w:rPr>
          <w:vertAlign w:val="subscript"/>
        </w:rPr>
        <w:t>5</w:t>
      </w:r>
      <w:r w:rsidRPr="002A3CBE">
        <w:t xml:space="preserve"> – emission factor for N</w:t>
      </w:r>
      <w:r w:rsidRPr="002A3CBE">
        <w:rPr>
          <w:vertAlign w:val="subscript"/>
        </w:rPr>
        <w:t>2</w:t>
      </w:r>
      <w:r w:rsidRPr="002A3CBE">
        <w:t>O emissions from N leaching and runoff, kg N</w:t>
      </w:r>
      <w:r w:rsidRPr="002A3CBE">
        <w:rPr>
          <w:vertAlign w:val="subscript"/>
        </w:rPr>
        <w:t>2</w:t>
      </w:r>
      <w:r w:rsidRPr="002A3CBE">
        <w:t>O–N (kg N leached and runoff)</w:t>
      </w:r>
      <w:r w:rsidRPr="002A3CBE">
        <w:rPr>
          <w:vertAlign w:val="superscript"/>
        </w:rPr>
        <w:t>–1</w:t>
      </w:r>
      <w:r w:rsidRPr="002A3CBE">
        <w:t xml:space="preserve"> using the default emission factor of 0.0075 provided in table 11.3 of the IPCC Guidelines (IPCC, 2006a).</w:t>
      </w:r>
    </w:p>
    <w:p w14:paraId="1E435A59" w14:textId="77777777" w:rsidR="00447423" w:rsidRPr="002A3CBE" w:rsidRDefault="00447423" w:rsidP="00447423">
      <w:pPr>
        <w:pStyle w:val="Bullet"/>
      </w:pPr>
      <w:r w:rsidRPr="002A3CBE">
        <w:t>Frac</w:t>
      </w:r>
      <w:r w:rsidRPr="002A3CBE">
        <w:rPr>
          <w:vertAlign w:val="subscript"/>
        </w:rPr>
        <w:t>LEACH-(H)</w:t>
      </w:r>
      <w:r w:rsidRPr="002A3CBE">
        <w:t xml:space="preserve"> – fraction of all N added to and/or mineralised in managed soils in regions where leaching and runoff occur that is lost through leaching and runoff, kg N (kg of N additions)</w:t>
      </w:r>
      <w:r w:rsidRPr="002A3CBE">
        <w:rPr>
          <w:vertAlign w:val="superscript"/>
        </w:rPr>
        <w:t>–1</w:t>
      </w:r>
      <w:r w:rsidRPr="002A3CBE">
        <w:t xml:space="preserve"> using the default value of 0.30 provided in table 11.3 of the IPCC Guidelines (IPCC, 2006a).</w:t>
      </w:r>
    </w:p>
    <w:p w14:paraId="18EDD86F" w14:textId="77777777" w:rsidR="00447423" w:rsidRPr="002A3CBE" w:rsidRDefault="00447423" w:rsidP="00447423">
      <w:pPr>
        <w:pStyle w:val="Heading3"/>
        <w:tabs>
          <w:tab w:val="clear" w:pos="851"/>
          <w:tab w:val="left" w:pos="993"/>
        </w:tabs>
        <w:spacing w:before="320"/>
      </w:pPr>
      <w:r w:rsidRPr="002A3CBE">
        <w:t xml:space="preserve">6.11.5 </w:t>
      </w:r>
      <w:r w:rsidRPr="002A3CBE">
        <w:tab/>
        <w:t>Indirect N</w:t>
      </w:r>
      <w:r w:rsidRPr="002A3CBE">
        <w:rPr>
          <w:vertAlign w:val="subscript"/>
        </w:rPr>
        <w:t>2</w:t>
      </w:r>
      <w:r w:rsidRPr="002A3CBE">
        <w:t>O emissions from atmospheric deposition of N volatilised from managed soil (4(I))</w:t>
      </w:r>
    </w:p>
    <w:p w14:paraId="7794D477" w14:textId="77777777" w:rsidR="00447423" w:rsidRPr="002A3CBE" w:rsidRDefault="00447423" w:rsidP="00447423">
      <w:pPr>
        <w:pStyle w:val="Heading4"/>
        <w:spacing w:before="200"/>
      </w:pPr>
      <w:r w:rsidRPr="002A3CBE">
        <w:t>Description</w:t>
      </w:r>
    </w:p>
    <w:p w14:paraId="23A7D7A3" w14:textId="77777777" w:rsidR="00447423" w:rsidRPr="002A3CBE" w:rsidRDefault="00447423" w:rsidP="00447423">
      <w:pPr>
        <w:pStyle w:val="BodyText"/>
      </w:pPr>
      <w:r w:rsidRPr="002A3CBE">
        <w:t xml:space="preserve">New Zealand cannot separate the sources of nitrogen between </w:t>
      </w:r>
      <w:r w:rsidRPr="002A3CBE">
        <w:rPr>
          <w:i/>
        </w:rPr>
        <w:t>Cropland</w:t>
      </w:r>
      <w:r w:rsidRPr="002A3CBE">
        <w:t xml:space="preserve">, </w:t>
      </w:r>
      <w:r w:rsidRPr="002A3CBE">
        <w:rPr>
          <w:i/>
        </w:rPr>
        <w:t>Grassland</w:t>
      </w:r>
      <w:r w:rsidRPr="002A3CBE">
        <w:t xml:space="preserve"> and </w:t>
      </w:r>
      <w:r w:rsidRPr="002A3CBE">
        <w:rPr>
          <w:i/>
        </w:rPr>
        <w:t>Other land</w:t>
      </w:r>
      <w:r w:rsidRPr="002A3CBE">
        <w:t xml:space="preserve"> uses. For this reason, it reports all </w:t>
      </w:r>
      <w:r w:rsidRPr="002A3CBE">
        <w:rPr>
          <w:i/>
        </w:rPr>
        <w:t>Indirect N</w:t>
      </w:r>
      <w:r w:rsidRPr="002A3CBE">
        <w:rPr>
          <w:i/>
          <w:vertAlign w:val="subscript"/>
        </w:rPr>
        <w:t>2</w:t>
      </w:r>
      <w:r w:rsidRPr="002A3CBE">
        <w:rPr>
          <w:i/>
        </w:rPr>
        <w:t>O emissions from</w:t>
      </w:r>
      <w:r w:rsidRPr="002A3CBE">
        <w:t xml:space="preserve"> </w:t>
      </w:r>
      <w:r w:rsidRPr="002A3CBE">
        <w:rPr>
          <w:i/>
        </w:rPr>
        <w:t xml:space="preserve">atmospheric deposition of N volatilised from managed soil </w:t>
      </w:r>
      <w:r w:rsidRPr="002A3CBE">
        <w:t>within CRT 3.D.b in the Agriculture</w:t>
      </w:r>
      <w:r w:rsidRPr="002A3CBE">
        <w:rPr>
          <w:i/>
        </w:rPr>
        <w:t xml:space="preserve"> </w:t>
      </w:r>
      <w:r w:rsidRPr="002A3CBE">
        <w:t>sector and uses the notation key IE within CRT 4(I) of the</w:t>
      </w:r>
      <w:r w:rsidRPr="002A3CBE">
        <w:rPr>
          <w:i/>
        </w:rPr>
        <w:t xml:space="preserve"> </w:t>
      </w:r>
      <w:r w:rsidRPr="002A3CBE">
        <w:t xml:space="preserve">LULUCF sector. </w:t>
      </w:r>
    </w:p>
    <w:p w14:paraId="79084C2C" w14:textId="77777777" w:rsidR="00447423" w:rsidRPr="002A3CBE" w:rsidRDefault="00447423" w:rsidP="00447423">
      <w:pPr>
        <w:pStyle w:val="Heading3"/>
        <w:tabs>
          <w:tab w:val="clear" w:pos="851"/>
          <w:tab w:val="left" w:pos="993"/>
        </w:tabs>
        <w:spacing w:before="320"/>
      </w:pPr>
      <w:bookmarkStart w:id="2905" w:name="_Toc280630357"/>
      <w:r w:rsidRPr="002A3CBE">
        <w:t xml:space="preserve">6.11.6 </w:t>
      </w:r>
      <w:bookmarkStart w:id="2906" w:name="_Toc255466320"/>
      <w:bookmarkStart w:id="2907" w:name="_Toc261513127"/>
      <w:bookmarkStart w:id="2908" w:name="_Toc261513740"/>
      <w:bookmarkStart w:id="2909" w:name="_Toc280630364"/>
      <w:bookmarkEnd w:id="2905"/>
      <w:r w:rsidRPr="002A3CBE">
        <w:tab/>
        <w:t>Uncertainty assessment and time-series consistency for N</w:t>
      </w:r>
      <w:r w:rsidRPr="002A3CBE">
        <w:rPr>
          <w:vertAlign w:val="subscript"/>
        </w:rPr>
        <w:t>2</w:t>
      </w:r>
      <w:r w:rsidRPr="002A3CBE">
        <w:t>O emissions in soils associated with land-use change</w:t>
      </w:r>
    </w:p>
    <w:p w14:paraId="4E5F2A85" w14:textId="77777777" w:rsidR="00447423" w:rsidRPr="002A3CBE" w:rsidRDefault="00447423" w:rsidP="00447423">
      <w:pPr>
        <w:pStyle w:val="BodyText"/>
      </w:pPr>
      <w:r w:rsidRPr="002A3CBE">
        <w:t>The uncertainty in net N</w:t>
      </w:r>
      <w:r w:rsidRPr="002A3CBE">
        <w:rPr>
          <w:vertAlign w:val="subscript"/>
        </w:rPr>
        <w:t>2</w:t>
      </w:r>
      <w:r w:rsidRPr="002A3CBE">
        <w:t xml:space="preserve">O emissions from nitrogen in soils associated with land-use change in 2024 is outlined in table 6.11.2. The methods used to calculate the uncertainty are further described in volume 2, annex 5, section A5.2.8. </w:t>
      </w:r>
    </w:p>
    <w:p w14:paraId="33EF17F1" w14:textId="77777777" w:rsidR="00447423" w:rsidRPr="002A3CBE" w:rsidRDefault="00447423" w:rsidP="00447423">
      <w:pPr>
        <w:pStyle w:val="Table"/>
      </w:pPr>
      <w:bookmarkStart w:id="2910" w:name="_Toc131591429"/>
      <w:bookmarkStart w:id="2911" w:name="_Toc158979987"/>
      <w:bookmarkStart w:id="2912" w:name="_Toc164153920"/>
      <w:bookmarkStart w:id="2913" w:name="_Toc190873154"/>
      <w:bookmarkStart w:id="2914" w:name="_Toc194241793"/>
      <w:bookmarkStart w:id="2915" w:name="_Toc222837944"/>
      <w:bookmarkStart w:id="2916" w:name="_Toc226669090"/>
      <w:r w:rsidRPr="002A3CBE">
        <w:t>Table 6.11.2</w:t>
      </w:r>
      <w:r w:rsidRPr="002A3CBE">
        <w:tab/>
        <w:t>Net N</w:t>
      </w:r>
      <w:r w:rsidRPr="002A3CBE">
        <w:rPr>
          <w:vertAlign w:val="subscript"/>
        </w:rPr>
        <w:t>2</w:t>
      </w:r>
      <w:r w:rsidRPr="002A3CBE">
        <w:t xml:space="preserve">O emissions from nitrogen in soils associated with land-use change in </w:t>
      </w:r>
      <w:bookmarkEnd w:id="2910"/>
      <w:bookmarkEnd w:id="2911"/>
      <w:bookmarkEnd w:id="2912"/>
      <w:bookmarkEnd w:id="2913"/>
      <w:bookmarkEnd w:id="2914"/>
      <w:r w:rsidRPr="002A3CBE">
        <w:t>2024</w:t>
      </w:r>
      <w:bookmarkEnd w:id="2915"/>
      <w:bookmarkEnd w:id="2916"/>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4111"/>
        <w:gridCol w:w="1134"/>
        <w:gridCol w:w="1418"/>
        <w:gridCol w:w="1842"/>
      </w:tblGrid>
      <w:tr w:rsidR="00447423" w:rsidRPr="002A3CBE" w14:paraId="04143CB7" w14:textId="77777777" w:rsidTr="00F16E23">
        <w:tc>
          <w:tcPr>
            <w:tcW w:w="4111" w:type="dxa"/>
            <w:shd w:val="clear" w:color="auto" w:fill="1B556B" w:themeFill="text2"/>
            <w:vAlign w:val="bottom"/>
          </w:tcPr>
          <w:p w14:paraId="76765A67" w14:textId="77777777" w:rsidR="00447423" w:rsidRPr="002A3CBE" w:rsidRDefault="00447423" w:rsidP="00F16E23">
            <w:pPr>
              <w:pStyle w:val="TableTextBold"/>
              <w:keepNext/>
              <w:spacing w:before="40" w:after="40"/>
              <w:rPr>
                <w:noProof w:val="0"/>
                <w:color w:val="FFFFFF"/>
                <w:szCs w:val="16"/>
              </w:rPr>
            </w:pPr>
          </w:p>
        </w:tc>
        <w:tc>
          <w:tcPr>
            <w:tcW w:w="1134" w:type="dxa"/>
            <w:shd w:val="clear" w:color="auto" w:fill="1B556B" w:themeFill="text2"/>
            <w:vAlign w:val="bottom"/>
          </w:tcPr>
          <w:p w14:paraId="35772A2A"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 xml:space="preserve">Emissions </w:t>
            </w:r>
            <w:r w:rsidRPr="002A3CBE">
              <w:rPr>
                <w:noProof w:val="0"/>
                <w:color w:val="FFFFFF"/>
                <w:szCs w:val="16"/>
              </w:rPr>
              <w:br/>
              <w:t>(kt CO</w:t>
            </w:r>
            <w:r w:rsidRPr="002A3CBE">
              <w:rPr>
                <w:noProof w:val="0"/>
                <w:color w:val="FFFFFF"/>
                <w:szCs w:val="16"/>
                <w:vertAlign w:val="subscript"/>
              </w:rPr>
              <w:t>2</w:t>
            </w:r>
            <w:r w:rsidRPr="002A3CBE">
              <w:rPr>
                <w:noProof w:val="0"/>
                <w:color w:val="FFFFFF"/>
                <w:szCs w:val="16"/>
              </w:rPr>
              <w:t>e)</w:t>
            </w:r>
          </w:p>
        </w:tc>
        <w:tc>
          <w:tcPr>
            <w:tcW w:w="1418" w:type="dxa"/>
            <w:shd w:val="clear" w:color="auto" w:fill="1B556B" w:themeFill="text2"/>
          </w:tcPr>
          <w:p w14:paraId="379953C4"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Uncertainty in emissions (%)</w:t>
            </w:r>
          </w:p>
        </w:tc>
        <w:tc>
          <w:tcPr>
            <w:tcW w:w="1842" w:type="dxa"/>
            <w:shd w:val="clear" w:color="auto" w:fill="1B556B" w:themeFill="text2"/>
          </w:tcPr>
          <w:p w14:paraId="102F5D20" w14:textId="77777777" w:rsidR="00447423" w:rsidRPr="002A3CBE" w:rsidRDefault="00447423" w:rsidP="00F16E23">
            <w:pPr>
              <w:pStyle w:val="TableTextBold"/>
              <w:spacing w:before="40" w:after="40"/>
              <w:jc w:val="right"/>
              <w:rPr>
                <w:noProof w:val="0"/>
                <w:color w:val="FFFFFF"/>
                <w:szCs w:val="16"/>
              </w:rPr>
            </w:pPr>
            <w:r w:rsidRPr="002A3CBE">
              <w:rPr>
                <w:noProof w:val="0"/>
                <w:color w:val="FFFFFF"/>
                <w:szCs w:val="16"/>
              </w:rPr>
              <w:t>Contribution to LULUCF uncertainty (%)</w:t>
            </w:r>
          </w:p>
        </w:tc>
      </w:tr>
      <w:tr w:rsidR="00447423" w:rsidRPr="002A3CBE" w14:paraId="280A135F" w14:textId="77777777" w:rsidTr="00F16E23">
        <w:trPr>
          <w:trHeight w:val="287"/>
        </w:trPr>
        <w:tc>
          <w:tcPr>
            <w:tcW w:w="4111" w:type="dxa"/>
          </w:tcPr>
          <w:p w14:paraId="1769F2C7" w14:textId="77777777" w:rsidR="00447423" w:rsidRPr="002A3CBE" w:rsidRDefault="00447423" w:rsidP="00F16E23">
            <w:pPr>
              <w:pStyle w:val="TableText"/>
              <w:keepNext/>
              <w:spacing w:before="40" w:after="40"/>
              <w:rPr>
                <w:szCs w:val="16"/>
              </w:rPr>
            </w:pPr>
            <w:r w:rsidRPr="002A3CBE">
              <w:t>Direct N</w:t>
            </w:r>
            <w:r w:rsidRPr="002A3CBE">
              <w:rPr>
                <w:vertAlign w:val="subscript"/>
              </w:rPr>
              <w:t>2</w:t>
            </w:r>
            <w:r w:rsidRPr="002A3CBE">
              <w:t>O emissions from N mineralisation/immobilisation</w:t>
            </w:r>
          </w:p>
        </w:tc>
        <w:tc>
          <w:tcPr>
            <w:tcW w:w="1134" w:type="dxa"/>
          </w:tcPr>
          <w:p w14:paraId="56937BE8" w14:textId="77777777" w:rsidR="00447423" w:rsidRPr="002A3CBE" w:rsidRDefault="00447423" w:rsidP="00F16E23">
            <w:pPr>
              <w:pStyle w:val="TableText"/>
              <w:spacing w:before="40" w:after="40"/>
              <w:jc w:val="right"/>
            </w:pPr>
            <w:r w:rsidRPr="002A3CBE">
              <w:t>132.8</w:t>
            </w:r>
          </w:p>
        </w:tc>
        <w:tc>
          <w:tcPr>
            <w:tcW w:w="1418" w:type="dxa"/>
          </w:tcPr>
          <w:p w14:paraId="73055549" w14:textId="77777777" w:rsidR="00447423" w:rsidRPr="002A3CBE" w:rsidRDefault="00447423" w:rsidP="00F16E23">
            <w:pPr>
              <w:pStyle w:val="TableText"/>
              <w:spacing w:before="40" w:after="40"/>
              <w:jc w:val="right"/>
              <w:rPr>
                <w:rFonts w:cs="Yu Gothic"/>
              </w:rPr>
            </w:pPr>
            <w:r w:rsidRPr="002A3CBE">
              <w:t>85.5</w:t>
            </w:r>
          </w:p>
        </w:tc>
        <w:tc>
          <w:tcPr>
            <w:tcW w:w="1842" w:type="dxa"/>
          </w:tcPr>
          <w:p w14:paraId="2EA5C1D7" w14:textId="77777777" w:rsidR="00447423" w:rsidRPr="002A3CBE" w:rsidRDefault="00447423" w:rsidP="00F16E23">
            <w:pPr>
              <w:pStyle w:val="TableText"/>
              <w:spacing w:before="40" w:after="40"/>
              <w:jc w:val="right"/>
              <w:rPr>
                <w:rFonts w:cs="Yu Gothic"/>
              </w:rPr>
            </w:pPr>
            <w:r w:rsidRPr="002A3CBE">
              <w:t>0.5</w:t>
            </w:r>
          </w:p>
        </w:tc>
      </w:tr>
      <w:tr w:rsidR="00447423" w:rsidRPr="002A3CBE" w14:paraId="30BEF57A" w14:textId="77777777" w:rsidTr="00F16E23">
        <w:trPr>
          <w:trHeight w:val="279"/>
        </w:trPr>
        <w:tc>
          <w:tcPr>
            <w:tcW w:w="4111" w:type="dxa"/>
          </w:tcPr>
          <w:p w14:paraId="2595FB2E" w14:textId="77777777" w:rsidR="00447423" w:rsidRPr="002A3CBE" w:rsidRDefault="00447423" w:rsidP="00F16E23">
            <w:pPr>
              <w:pStyle w:val="TableText"/>
              <w:keepNext/>
              <w:spacing w:before="40" w:after="40"/>
              <w:rPr>
                <w:szCs w:val="16"/>
              </w:rPr>
            </w:pPr>
            <w:r w:rsidRPr="002A3CBE">
              <w:t>Direct N</w:t>
            </w:r>
            <w:r w:rsidRPr="002A3CBE">
              <w:rPr>
                <w:vertAlign w:val="subscript"/>
              </w:rPr>
              <w:t>2</w:t>
            </w:r>
            <w:r w:rsidRPr="002A3CBE">
              <w:t>O emissions from drainage and rewetting</w:t>
            </w:r>
          </w:p>
        </w:tc>
        <w:tc>
          <w:tcPr>
            <w:tcW w:w="1134" w:type="dxa"/>
          </w:tcPr>
          <w:p w14:paraId="05D1DB1F" w14:textId="77777777" w:rsidR="00447423" w:rsidRPr="002A3CBE" w:rsidRDefault="00447423" w:rsidP="00F16E23">
            <w:pPr>
              <w:pStyle w:val="TableText"/>
              <w:spacing w:before="40" w:after="40"/>
              <w:jc w:val="right"/>
            </w:pPr>
            <w:r w:rsidRPr="002A3CBE">
              <w:t>6.3</w:t>
            </w:r>
          </w:p>
        </w:tc>
        <w:tc>
          <w:tcPr>
            <w:tcW w:w="1418" w:type="dxa"/>
          </w:tcPr>
          <w:p w14:paraId="5ECFEBB5" w14:textId="77777777" w:rsidR="00447423" w:rsidRPr="002A3CBE" w:rsidRDefault="00447423" w:rsidP="00F16E23">
            <w:pPr>
              <w:pStyle w:val="TableText"/>
              <w:spacing w:before="40" w:after="40"/>
              <w:jc w:val="right"/>
              <w:rPr>
                <w:rFonts w:cs="Yu Gothic"/>
              </w:rPr>
            </w:pPr>
            <w:r w:rsidRPr="002A3CBE">
              <w:t>86.5</w:t>
            </w:r>
          </w:p>
        </w:tc>
        <w:tc>
          <w:tcPr>
            <w:tcW w:w="1842" w:type="dxa"/>
          </w:tcPr>
          <w:p w14:paraId="6992687A" w14:textId="77777777" w:rsidR="00447423" w:rsidRPr="002A3CBE" w:rsidRDefault="00447423" w:rsidP="00F16E23">
            <w:pPr>
              <w:pStyle w:val="TableText"/>
              <w:spacing w:before="40" w:after="40"/>
              <w:jc w:val="right"/>
              <w:rPr>
                <w:rFonts w:cs="Yu Gothic"/>
              </w:rPr>
            </w:pPr>
            <w:r w:rsidRPr="002A3CBE">
              <w:t>0.0</w:t>
            </w:r>
          </w:p>
        </w:tc>
      </w:tr>
      <w:tr w:rsidR="00447423" w:rsidRPr="002A3CBE" w14:paraId="77404FD5" w14:textId="77777777" w:rsidTr="00F16E23">
        <w:trPr>
          <w:trHeight w:val="279"/>
        </w:trPr>
        <w:tc>
          <w:tcPr>
            <w:tcW w:w="4111" w:type="dxa"/>
          </w:tcPr>
          <w:p w14:paraId="28DC050A" w14:textId="77777777" w:rsidR="00447423" w:rsidRPr="002A3CBE" w:rsidRDefault="00447423" w:rsidP="00F16E23">
            <w:pPr>
              <w:pStyle w:val="TableText"/>
              <w:keepNext/>
              <w:spacing w:before="40" w:after="40"/>
            </w:pPr>
            <w:r w:rsidRPr="002A3CBE">
              <w:t>Indirect emissions from leaching and runoff</w:t>
            </w:r>
          </w:p>
        </w:tc>
        <w:tc>
          <w:tcPr>
            <w:tcW w:w="1134" w:type="dxa"/>
          </w:tcPr>
          <w:p w14:paraId="1BBA218F" w14:textId="77777777" w:rsidR="00447423" w:rsidRPr="002A3CBE" w:rsidRDefault="00447423" w:rsidP="00F16E23">
            <w:pPr>
              <w:pStyle w:val="TableText"/>
              <w:spacing w:before="40" w:after="40"/>
              <w:jc w:val="right"/>
            </w:pPr>
            <w:r w:rsidRPr="002A3CBE">
              <w:t>29.9</w:t>
            </w:r>
          </w:p>
        </w:tc>
        <w:tc>
          <w:tcPr>
            <w:tcW w:w="1418" w:type="dxa"/>
          </w:tcPr>
          <w:p w14:paraId="4EA62505" w14:textId="77777777" w:rsidR="00447423" w:rsidRPr="002A3CBE" w:rsidRDefault="00447423" w:rsidP="00F16E23">
            <w:pPr>
              <w:pStyle w:val="TableText"/>
              <w:spacing w:before="40" w:after="40"/>
              <w:jc w:val="right"/>
            </w:pPr>
            <w:r w:rsidRPr="002A3CBE">
              <w:t>126.9</w:t>
            </w:r>
          </w:p>
        </w:tc>
        <w:tc>
          <w:tcPr>
            <w:tcW w:w="1842" w:type="dxa"/>
          </w:tcPr>
          <w:p w14:paraId="56E701E3" w14:textId="77777777" w:rsidR="00447423" w:rsidRPr="002A3CBE" w:rsidRDefault="00447423" w:rsidP="00F16E23">
            <w:pPr>
              <w:pStyle w:val="TableText"/>
              <w:spacing w:before="40" w:after="40"/>
              <w:jc w:val="right"/>
            </w:pPr>
            <w:r w:rsidRPr="002A3CBE">
              <w:t>0.2</w:t>
            </w:r>
          </w:p>
        </w:tc>
      </w:tr>
    </w:tbl>
    <w:p w14:paraId="79438D92" w14:textId="77777777" w:rsidR="00447423" w:rsidRPr="002A3CBE" w:rsidRDefault="00447423" w:rsidP="00447423">
      <w:pPr>
        <w:pStyle w:val="BodyText"/>
        <w:spacing w:before="240"/>
      </w:pPr>
      <w:r w:rsidRPr="002A3CBE">
        <w:t xml:space="preserve">Time-series consistency is ensured by applying consistent methods and full recalculations in the event of any refinement or improvement to methodology. </w:t>
      </w:r>
    </w:p>
    <w:p w14:paraId="2F9B0929" w14:textId="32C623A3" w:rsidR="00447423" w:rsidRPr="002A3CBE" w:rsidRDefault="00447423" w:rsidP="00447423">
      <w:pPr>
        <w:pStyle w:val="Heading3"/>
        <w:tabs>
          <w:tab w:val="clear" w:pos="851"/>
          <w:tab w:val="left" w:pos="993"/>
        </w:tabs>
        <w:spacing w:before="280" w:line="340" w:lineRule="atLeast"/>
      </w:pPr>
      <w:r w:rsidRPr="002A3CBE">
        <w:t>6.11.7</w:t>
      </w:r>
      <w:r w:rsidRPr="002A3CBE">
        <w:tab/>
        <w:t>Category-specific planned improvements for N</w:t>
      </w:r>
      <w:r w:rsidRPr="002A3CBE">
        <w:rPr>
          <w:vertAlign w:val="subscript"/>
        </w:rPr>
        <w:t>2</w:t>
      </w:r>
      <w:r w:rsidRPr="002A3CBE">
        <w:t>O</w:t>
      </w:r>
      <w:r w:rsidR="00AF0EDD">
        <w:t> </w:t>
      </w:r>
      <w:r w:rsidRPr="002A3CBE">
        <w:t>emissions in soils associated with land-use change</w:t>
      </w:r>
    </w:p>
    <w:p w14:paraId="69BB2BC1" w14:textId="77777777" w:rsidR="00447423" w:rsidRPr="002A3CBE" w:rsidRDefault="00447423" w:rsidP="00447423">
      <w:pPr>
        <w:pStyle w:val="Heading3"/>
        <w:tabs>
          <w:tab w:val="clear" w:pos="851"/>
          <w:tab w:val="left" w:pos="993"/>
        </w:tabs>
        <w:spacing w:before="240"/>
      </w:pPr>
      <w:r w:rsidRPr="002A3CBE">
        <w:t xml:space="preserve">6.11.8 </w:t>
      </w:r>
      <w:r w:rsidRPr="002A3CBE">
        <w:tab/>
        <w:t>Biomass burning</w:t>
      </w:r>
      <w:bookmarkEnd w:id="2906"/>
      <w:bookmarkEnd w:id="2907"/>
      <w:bookmarkEnd w:id="2908"/>
      <w:r w:rsidRPr="002A3CBE">
        <w:t xml:space="preserve"> (4(IV)</w:t>
      </w:r>
      <w:bookmarkEnd w:id="2909"/>
      <w:r w:rsidRPr="002A3CBE">
        <w:t>)</w:t>
      </w:r>
    </w:p>
    <w:p w14:paraId="4C8A7E5A" w14:textId="77777777" w:rsidR="00447423" w:rsidRPr="002A3CBE" w:rsidRDefault="00447423" w:rsidP="00447423">
      <w:pPr>
        <w:pStyle w:val="Heading4"/>
        <w:spacing w:before="180"/>
      </w:pPr>
      <w:bookmarkStart w:id="2917" w:name="_Toc280630365"/>
      <w:r w:rsidRPr="002A3CBE">
        <w:t>Description</w:t>
      </w:r>
      <w:bookmarkEnd w:id="2917"/>
    </w:p>
    <w:p w14:paraId="781E2A78" w14:textId="77777777" w:rsidR="00447423" w:rsidRPr="002A3CBE" w:rsidRDefault="00447423" w:rsidP="00447423">
      <w:pPr>
        <w:pStyle w:val="BodyText"/>
      </w:pPr>
      <w:r w:rsidRPr="002A3CBE">
        <w:t>Non-CO</w:t>
      </w:r>
      <w:r w:rsidRPr="002A3CBE">
        <w:rPr>
          <w:vertAlign w:val="subscript"/>
        </w:rPr>
        <w:t xml:space="preserve">2 </w:t>
      </w:r>
      <w:r w:rsidRPr="002A3CBE">
        <w:t xml:space="preserve">emissions from </w:t>
      </w:r>
      <w:r w:rsidRPr="002A3CBE">
        <w:rPr>
          <w:i/>
        </w:rPr>
        <w:t>Biomass burning</w:t>
      </w:r>
      <w:r w:rsidRPr="002A3CBE">
        <w:t xml:space="preserve"> in 2024 were 1.8 kt CH</w:t>
      </w:r>
      <w:r w:rsidRPr="002A3CBE">
        <w:rPr>
          <w:vertAlign w:val="subscript"/>
        </w:rPr>
        <w:t>4</w:t>
      </w:r>
      <w:r w:rsidRPr="002A3CBE">
        <w:t xml:space="preserve"> (49.2 kt CO</w:t>
      </w:r>
      <w:r w:rsidRPr="002A3CBE">
        <w:rPr>
          <w:vertAlign w:val="subscript"/>
        </w:rPr>
        <w:t>2</w:t>
      </w:r>
      <w:r w:rsidRPr="002A3CBE">
        <w:t>e) and 0.1 kt N</w:t>
      </w:r>
      <w:r w:rsidRPr="002A3CBE">
        <w:rPr>
          <w:vertAlign w:val="subscript"/>
        </w:rPr>
        <w:t>2</w:t>
      </w:r>
      <w:r w:rsidRPr="002A3CBE">
        <w:t>O (22.0 kt CO</w:t>
      </w:r>
      <w:r w:rsidRPr="002A3CBE">
        <w:rPr>
          <w:vertAlign w:val="subscript"/>
        </w:rPr>
        <w:t>2</w:t>
      </w:r>
      <w:r w:rsidRPr="002A3CBE">
        <w:t>e) (table 6.11.3).</w:t>
      </w:r>
    </w:p>
    <w:p w14:paraId="38502D63" w14:textId="77777777" w:rsidR="00447423" w:rsidRPr="002A3CBE" w:rsidRDefault="00447423" w:rsidP="00447423">
      <w:pPr>
        <w:pStyle w:val="Table"/>
        <w:rPr>
          <w:iCs/>
        </w:rPr>
      </w:pPr>
      <w:bookmarkStart w:id="2918" w:name="_Toc310423431"/>
      <w:bookmarkStart w:id="2919" w:name="_Toc318362724"/>
      <w:bookmarkStart w:id="2920" w:name="_Toc342470799"/>
      <w:bookmarkStart w:id="2921" w:name="_Toc352505039"/>
      <w:bookmarkStart w:id="2922" w:name="_Toc378853328"/>
      <w:bookmarkStart w:id="2923" w:name="_Toc391024126"/>
      <w:bookmarkStart w:id="2924" w:name="_Toc410028870"/>
      <w:bookmarkStart w:id="2925" w:name="_Toc414531498"/>
      <w:bookmarkStart w:id="2926" w:name="_Toc443645412"/>
      <w:bookmarkStart w:id="2927" w:name="_Toc474914631"/>
      <w:bookmarkStart w:id="2928" w:name="_Toc481751595"/>
      <w:bookmarkStart w:id="2929" w:name="_Toc522010652"/>
      <w:bookmarkStart w:id="2930" w:name="_Toc5269557"/>
      <w:bookmarkStart w:id="2931" w:name="_Toc33529431"/>
      <w:bookmarkStart w:id="2932" w:name="_Toc36224637"/>
      <w:bookmarkStart w:id="2933" w:name="_Toc131591430"/>
      <w:bookmarkStart w:id="2934" w:name="_Toc158979988"/>
      <w:bookmarkStart w:id="2935" w:name="_Toc164153921"/>
      <w:bookmarkStart w:id="2936" w:name="_Toc190873155"/>
      <w:bookmarkStart w:id="2937" w:name="_Toc194241794"/>
      <w:bookmarkStart w:id="2938" w:name="_Toc222837945"/>
      <w:bookmarkStart w:id="2939" w:name="_Toc226669091"/>
      <w:r w:rsidRPr="002A3CBE">
        <w:t>Table 6.11.3</w:t>
      </w:r>
      <w:r w:rsidRPr="002A3CBE">
        <w:tab/>
        <w:t>Non-CO</w:t>
      </w:r>
      <w:r w:rsidRPr="002A3CBE">
        <w:rPr>
          <w:vertAlign w:val="subscript"/>
        </w:rPr>
        <w:t>2</w:t>
      </w:r>
      <w:r w:rsidRPr="002A3CBE">
        <w:t xml:space="preserve"> emissions from </w:t>
      </w:r>
      <w:r w:rsidRPr="002A3CBE">
        <w:rPr>
          <w:i/>
        </w:rPr>
        <w:t>Biomass burning</w:t>
      </w:r>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r w:rsidRPr="002A3CBE">
        <w:rPr>
          <w:iCs/>
        </w:rPr>
        <w:t xml:space="preserve"> in 1990 and 2024</w:t>
      </w:r>
      <w:bookmarkEnd w:id="2939"/>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127"/>
        <w:gridCol w:w="2126"/>
        <w:gridCol w:w="2126"/>
        <w:gridCol w:w="2126"/>
      </w:tblGrid>
      <w:tr w:rsidR="00447423" w:rsidRPr="002A3CBE" w14:paraId="26C09223" w14:textId="77777777" w:rsidTr="00F16E23">
        <w:trPr>
          <w:tblHeader/>
        </w:trPr>
        <w:tc>
          <w:tcPr>
            <w:tcW w:w="2126" w:type="dxa"/>
            <w:shd w:val="clear" w:color="auto" w:fill="1B556B"/>
            <w:tcMar>
              <w:top w:w="0" w:type="dxa"/>
              <w:left w:w="85" w:type="dxa"/>
              <w:bottom w:w="0" w:type="dxa"/>
              <w:right w:w="85" w:type="dxa"/>
            </w:tcMar>
            <w:vAlign w:val="center"/>
          </w:tcPr>
          <w:p w14:paraId="76EA091A" w14:textId="77777777" w:rsidR="00447423" w:rsidRPr="002A3CBE" w:rsidRDefault="00447423" w:rsidP="00F16E23">
            <w:pPr>
              <w:pStyle w:val="TableTextBold"/>
              <w:spacing w:before="40" w:after="40"/>
              <w:rPr>
                <w:rFonts w:eastAsia="Calibri"/>
                <w:noProof w:val="0"/>
                <w:color w:val="FFFFFF" w:themeColor="background1"/>
              </w:rPr>
            </w:pPr>
            <w:r w:rsidRPr="002A3CBE">
              <w:rPr>
                <w:rFonts w:eastAsia="Calibri"/>
                <w:noProof w:val="0"/>
                <w:color w:val="FFFFFF" w:themeColor="background1"/>
              </w:rPr>
              <w:t>Emissions</w:t>
            </w:r>
          </w:p>
        </w:tc>
        <w:tc>
          <w:tcPr>
            <w:tcW w:w="2126" w:type="dxa"/>
            <w:shd w:val="clear" w:color="auto" w:fill="1B556B"/>
            <w:tcMar>
              <w:top w:w="0" w:type="dxa"/>
              <w:left w:w="85" w:type="dxa"/>
              <w:bottom w:w="0" w:type="dxa"/>
              <w:right w:w="85" w:type="dxa"/>
            </w:tcMar>
            <w:vAlign w:val="center"/>
          </w:tcPr>
          <w:p w14:paraId="0B6C17FE"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1990</w:t>
            </w:r>
          </w:p>
        </w:tc>
        <w:tc>
          <w:tcPr>
            <w:tcW w:w="2126" w:type="dxa"/>
            <w:shd w:val="clear" w:color="auto" w:fill="1B556B"/>
            <w:tcMar>
              <w:top w:w="0" w:type="dxa"/>
              <w:left w:w="85" w:type="dxa"/>
              <w:bottom w:w="0" w:type="dxa"/>
              <w:right w:w="85" w:type="dxa"/>
            </w:tcMar>
            <w:vAlign w:val="center"/>
          </w:tcPr>
          <w:p w14:paraId="4CE13454"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2024</w:t>
            </w:r>
          </w:p>
        </w:tc>
        <w:tc>
          <w:tcPr>
            <w:tcW w:w="2126" w:type="dxa"/>
            <w:shd w:val="clear" w:color="auto" w:fill="1B556B"/>
            <w:tcMar>
              <w:top w:w="0" w:type="dxa"/>
              <w:left w:w="85" w:type="dxa"/>
              <w:bottom w:w="0" w:type="dxa"/>
              <w:right w:w="85" w:type="dxa"/>
            </w:tcMar>
            <w:vAlign w:val="center"/>
          </w:tcPr>
          <w:p w14:paraId="76A1582C" w14:textId="77777777" w:rsidR="00447423" w:rsidRPr="002A3CBE" w:rsidRDefault="00447423" w:rsidP="00F16E23">
            <w:pPr>
              <w:pStyle w:val="TableTextBold"/>
              <w:spacing w:before="40" w:after="40"/>
              <w:jc w:val="right"/>
              <w:rPr>
                <w:rFonts w:eastAsia="Calibri"/>
                <w:noProof w:val="0"/>
                <w:color w:val="FFFFFF" w:themeColor="background1"/>
              </w:rPr>
            </w:pPr>
            <w:r w:rsidRPr="002A3CBE">
              <w:rPr>
                <w:rFonts w:eastAsia="Calibri"/>
                <w:noProof w:val="0"/>
                <w:color w:val="FFFFFF" w:themeColor="background1"/>
              </w:rPr>
              <w:t>Change from 1990 (%)</w:t>
            </w:r>
          </w:p>
        </w:tc>
      </w:tr>
      <w:tr w:rsidR="00447423" w:rsidRPr="002A3CBE" w14:paraId="39285461" w14:textId="77777777" w:rsidTr="00F16E23">
        <w:tc>
          <w:tcPr>
            <w:tcW w:w="2126" w:type="dxa"/>
            <w:shd w:val="clear" w:color="auto" w:fill="FFFFFF"/>
            <w:tcMar>
              <w:top w:w="0" w:type="dxa"/>
              <w:left w:w="85" w:type="dxa"/>
              <w:bottom w:w="0" w:type="dxa"/>
              <w:right w:w="85" w:type="dxa"/>
            </w:tcMar>
            <w:vAlign w:val="center"/>
          </w:tcPr>
          <w:p w14:paraId="44B30FD2" w14:textId="77777777" w:rsidR="00447423" w:rsidRPr="002A3CBE" w:rsidRDefault="00447423" w:rsidP="00F16E23">
            <w:pPr>
              <w:pStyle w:val="TableText"/>
              <w:spacing w:before="40" w:after="40"/>
              <w:rPr>
                <w:rFonts w:eastAsia="Calibri"/>
              </w:rPr>
            </w:pPr>
            <w:r w:rsidRPr="002A3CBE">
              <w:rPr>
                <w:rFonts w:eastAsia="Calibri"/>
              </w:rPr>
              <w:t>CH₄ emissions (kt CH₄)</w:t>
            </w:r>
          </w:p>
        </w:tc>
        <w:tc>
          <w:tcPr>
            <w:tcW w:w="2126" w:type="dxa"/>
            <w:shd w:val="clear" w:color="auto" w:fill="FFFFFF"/>
            <w:tcMar>
              <w:top w:w="0" w:type="dxa"/>
              <w:left w:w="85" w:type="dxa"/>
              <w:bottom w:w="0" w:type="dxa"/>
              <w:right w:w="85" w:type="dxa"/>
            </w:tcMar>
            <w:vAlign w:val="center"/>
          </w:tcPr>
          <w:p w14:paraId="2472D397" w14:textId="77777777" w:rsidR="00447423" w:rsidRPr="002A3CBE" w:rsidRDefault="00447423" w:rsidP="00F16E23">
            <w:pPr>
              <w:pStyle w:val="TableText"/>
              <w:spacing w:before="40" w:after="40"/>
              <w:jc w:val="right"/>
              <w:rPr>
                <w:rFonts w:eastAsia="Calibri"/>
              </w:rPr>
            </w:pPr>
            <w:r w:rsidRPr="002A3CBE">
              <w:rPr>
                <w:rFonts w:eastAsia="Calibri"/>
              </w:rPr>
              <w:t>2.8</w:t>
            </w:r>
          </w:p>
        </w:tc>
        <w:tc>
          <w:tcPr>
            <w:tcW w:w="2126" w:type="dxa"/>
            <w:shd w:val="clear" w:color="auto" w:fill="FFFFFF"/>
            <w:tcMar>
              <w:top w:w="0" w:type="dxa"/>
              <w:left w:w="85" w:type="dxa"/>
              <w:bottom w:w="0" w:type="dxa"/>
              <w:right w:w="85" w:type="dxa"/>
            </w:tcMar>
            <w:vAlign w:val="center"/>
          </w:tcPr>
          <w:p w14:paraId="642C1BB3" w14:textId="77777777" w:rsidR="00447423" w:rsidRPr="002A3CBE" w:rsidRDefault="00447423" w:rsidP="00F16E23">
            <w:pPr>
              <w:pStyle w:val="TableText"/>
              <w:spacing w:before="40" w:after="40"/>
              <w:jc w:val="right"/>
              <w:rPr>
                <w:rFonts w:eastAsia="Calibri"/>
              </w:rPr>
            </w:pPr>
            <w:r w:rsidRPr="002A3CBE">
              <w:rPr>
                <w:rFonts w:eastAsia="Calibri"/>
              </w:rPr>
              <w:t>1.8</w:t>
            </w:r>
          </w:p>
        </w:tc>
        <w:tc>
          <w:tcPr>
            <w:tcW w:w="2126" w:type="dxa"/>
            <w:shd w:val="clear" w:color="auto" w:fill="FFFFFF"/>
            <w:tcMar>
              <w:top w:w="0" w:type="dxa"/>
              <w:left w:w="85" w:type="dxa"/>
              <w:bottom w:w="0" w:type="dxa"/>
              <w:right w:w="85" w:type="dxa"/>
            </w:tcMar>
            <w:vAlign w:val="center"/>
          </w:tcPr>
          <w:p w14:paraId="0B2F85AF" w14:textId="77777777" w:rsidR="00447423" w:rsidRPr="002A3CBE" w:rsidRDefault="00447423" w:rsidP="00F16E23">
            <w:pPr>
              <w:pStyle w:val="TableText"/>
              <w:spacing w:before="40" w:after="40"/>
              <w:jc w:val="right"/>
              <w:rPr>
                <w:rFonts w:eastAsia="Calibri"/>
              </w:rPr>
            </w:pPr>
            <w:r w:rsidRPr="002A3CBE">
              <w:rPr>
                <w:rFonts w:eastAsia="Calibri"/>
              </w:rPr>
              <w:t>-37.1</w:t>
            </w:r>
          </w:p>
        </w:tc>
      </w:tr>
      <w:tr w:rsidR="00447423" w:rsidRPr="002A3CBE" w14:paraId="160ED53D" w14:textId="77777777" w:rsidTr="00F16E23">
        <w:tc>
          <w:tcPr>
            <w:tcW w:w="2126" w:type="dxa"/>
            <w:shd w:val="clear" w:color="auto" w:fill="FFFFFF"/>
            <w:tcMar>
              <w:top w:w="0" w:type="dxa"/>
              <w:left w:w="85" w:type="dxa"/>
              <w:bottom w:w="0" w:type="dxa"/>
              <w:right w:w="85" w:type="dxa"/>
            </w:tcMar>
            <w:vAlign w:val="center"/>
          </w:tcPr>
          <w:p w14:paraId="5B39E3DB" w14:textId="77777777" w:rsidR="00447423" w:rsidRPr="002A3CBE" w:rsidRDefault="00447423" w:rsidP="00F16E23">
            <w:pPr>
              <w:pStyle w:val="TableText"/>
              <w:spacing w:before="40" w:after="40"/>
              <w:rPr>
                <w:rFonts w:eastAsia="Calibri"/>
              </w:rPr>
            </w:pPr>
            <w:r w:rsidRPr="002A3CBE">
              <w:rPr>
                <w:rFonts w:eastAsia="Calibri"/>
              </w:rPr>
              <w:t>N₂O emissions (kt N₂O)</w:t>
            </w:r>
          </w:p>
        </w:tc>
        <w:tc>
          <w:tcPr>
            <w:tcW w:w="2126" w:type="dxa"/>
            <w:shd w:val="clear" w:color="auto" w:fill="FFFFFF"/>
            <w:tcMar>
              <w:top w:w="0" w:type="dxa"/>
              <w:left w:w="85" w:type="dxa"/>
              <w:bottom w:w="0" w:type="dxa"/>
              <w:right w:w="85" w:type="dxa"/>
            </w:tcMar>
            <w:vAlign w:val="center"/>
          </w:tcPr>
          <w:p w14:paraId="56E7217F" w14:textId="77777777" w:rsidR="00447423" w:rsidRPr="002A3CBE" w:rsidRDefault="00447423" w:rsidP="00F16E23">
            <w:pPr>
              <w:pStyle w:val="TableText"/>
              <w:spacing w:before="40" w:after="40"/>
              <w:jc w:val="right"/>
              <w:rPr>
                <w:rFonts w:eastAsia="Calibri"/>
              </w:rPr>
            </w:pPr>
            <w:r w:rsidRPr="002A3CBE">
              <w:rPr>
                <w:rFonts w:eastAsia="Calibri"/>
              </w:rPr>
              <w:t>0.1</w:t>
            </w:r>
          </w:p>
        </w:tc>
        <w:tc>
          <w:tcPr>
            <w:tcW w:w="2126" w:type="dxa"/>
            <w:shd w:val="clear" w:color="auto" w:fill="FFFFFF"/>
            <w:tcMar>
              <w:top w:w="0" w:type="dxa"/>
              <w:left w:w="85" w:type="dxa"/>
              <w:bottom w:w="0" w:type="dxa"/>
              <w:right w:w="85" w:type="dxa"/>
            </w:tcMar>
            <w:vAlign w:val="center"/>
          </w:tcPr>
          <w:p w14:paraId="7BFCF646" w14:textId="77777777" w:rsidR="00447423" w:rsidRPr="002A3CBE" w:rsidRDefault="00447423" w:rsidP="00F16E23">
            <w:pPr>
              <w:pStyle w:val="TableText"/>
              <w:spacing w:before="40" w:after="40"/>
              <w:jc w:val="right"/>
              <w:rPr>
                <w:rFonts w:eastAsia="Calibri"/>
              </w:rPr>
            </w:pPr>
            <w:r w:rsidRPr="002A3CBE">
              <w:rPr>
                <w:rFonts w:eastAsia="Calibri"/>
              </w:rPr>
              <w:t>0.1</w:t>
            </w:r>
          </w:p>
        </w:tc>
        <w:tc>
          <w:tcPr>
            <w:tcW w:w="2126" w:type="dxa"/>
            <w:shd w:val="clear" w:color="auto" w:fill="FFFFFF"/>
            <w:tcMar>
              <w:top w:w="0" w:type="dxa"/>
              <w:left w:w="85" w:type="dxa"/>
              <w:bottom w:w="0" w:type="dxa"/>
              <w:right w:w="85" w:type="dxa"/>
            </w:tcMar>
            <w:vAlign w:val="center"/>
          </w:tcPr>
          <w:p w14:paraId="3280E646" w14:textId="77777777" w:rsidR="00447423" w:rsidRPr="002A3CBE" w:rsidRDefault="00447423" w:rsidP="00F16E23">
            <w:pPr>
              <w:pStyle w:val="TableText"/>
              <w:spacing w:before="40" w:after="40"/>
              <w:jc w:val="right"/>
              <w:rPr>
                <w:rFonts w:eastAsia="Calibri"/>
              </w:rPr>
            </w:pPr>
            <w:r w:rsidRPr="002A3CBE">
              <w:rPr>
                <w:rFonts w:eastAsia="Calibri"/>
              </w:rPr>
              <w:t>-7.0</w:t>
            </w:r>
          </w:p>
        </w:tc>
      </w:tr>
    </w:tbl>
    <w:p w14:paraId="5217356A" w14:textId="77777777" w:rsidR="00447423" w:rsidRPr="002A3CBE" w:rsidRDefault="00447423" w:rsidP="00447423">
      <w:pPr>
        <w:pStyle w:val="BodyText"/>
        <w:spacing w:before="240"/>
      </w:pPr>
      <w:r w:rsidRPr="002A3CBE">
        <w:rPr>
          <w:i/>
          <w:spacing w:val="-2"/>
        </w:rPr>
        <w:t>Biomass burning</w:t>
      </w:r>
      <w:r w:rsidRPr="002A3CBE">
        <w:rPr>
          <w:spacing w:val="-2"/>
        </w:rPr>
        <w:t xml:space="preserve"> includes wildfires or controlled burning and results in emissions</w:t>
      </w:r>
      <w:r w:rsidRPr="002A3CBE">
        <w:t xml:space="preserve"> of CO</w:t>
      </w:r>
      <w:r w:rsidRPr="002A3CBE">
        <w:rPr>
          <w:vertAlign w:val="subscript"/>
        </w:rPr>
        <w:t>2</w:t>
      </w:r>
      <w:r w:rsidRPr="002A3CBE">
        <w:t>, CH</w:t>
      </w:r>
      <w:r w:rsidRPr="002A3CBE">
        <w:rPr>
          <w:vertAlign w:val="subscript"/>
        </w:rPr>
        <w:t>4</w:t>
      </w:r>
      <w:r w:rsidRPr="002A3CBE">
        <w:t>, N</w:t>
      </w:r>
      <w:r w:rsidRPr="002A3CBE">
        <w:rPr>
          <w:vertAlign w:val="subscript"/>
        </w:rPr>
        <w:t>2</w:t>
      </w:r>
      <w:r w:rsidRPr="002A3CBE">
        <w:t>O, CO and NO</w:t>
      </w:r>
      <w:r w:rsidRPr="002A3CBE">
        <w:rPr>
          <w:vertAlign w:val="subscript"/>
        </w:rPr>
        <w:t>x</w:t>
      </w:r>
      <w:r w:rsidRPr="002A3CBE">
        <w:t xml:space="preserve">. </w:t>
      </w:r>
      <w:r w:rsidRPr="002A3CBE">
        <w:rPr>
          <w:i/>
        </w:rPr>
        <w:t>Biomass burning</w:t>
      </w:r>
      <w:r w:rsidRPr="002A3CBE" w:rsidDel="008B158D">
        <w:t xml:space="preserve"> </w:t>
      </w:r>
      <w:r w:rsidRPr="002A3CBE">
        <w:t>is not a significant source of emissions for New Zealand because the practice of controlled burning is limited, and wildfires are not common due to New Zealand’s temperate climate and vegetation.</w:t>
      </w:r>
    </w:p>
    <w:p w14:paraId="5F68FC72" w14:textId="77777777" w:rsidR="00447423" w:rsidRPr="002A3CBE" w:rsidRDefault="00447423" w:rsidP="00447423">
      <w:pPr>
        <w:pStyle w:val="BodyText"/>
      </w:pPr>
      <w:r w:rsidRPr="002A3CBE">
        <w:t xml:space="preserve">The two types of biomass burning (wildfire and controlled burning) that occur in New Zealand are reported in two main land use categories: </w:t>
      </w:r>
      <w:r w:rsidRPr="002A3CBE">
        <w:rPr>
          <w:i/>
        </w:rPr>
        <w:t>Forest land</w:t>
      </w:r>
      <w:r w:rsidRPr="002A3CBE">
        <w:t xml:space="preserve"> and </w:t>
      </w:r>
      <w:r w:rsidRPr="002A3CBE">
        <w:rPr>
          <w:i/>
        </w:rPr>
        <w:t>Grassland</w:t>
      </w:r>
      <w:r w:rsidRPr="002A3CBE">
        <w:t xml:space="preserve">. Emissions reported in </w:t>
      </w:r>
      <w:r w:rsidRPr="002A3CBE">
        <w:rPr>
          <w:i/>
          <w:iCs/>
        </w:rPr>
        <w:t>Forest land</w:t>
      </w:r>
      <w:r w:rsidRPr="002A3CBE">
        <w:t xml:space="preserve"> are further separated by forest type, and emissions from </w:t>
      </w:r>
      <w:r w:rsidRPr="002A3CBE">
        <w:rPr>
          <w:i/>
          <w:iCs/>
        </w:rPr>
        <w:t xml:space="preserve">Grassland </w:t>
      </w:r>
      <w:r w:rsidRPr="002A3CBE">
        <w:t xml:space="preserve">are reported from the controlled burning of tussock land (in ecosystems dominated by </w:t>
      </w:r>
      <w:r w:rsidRPr="002A3CBE">
        <w:rPr>
          <w:i/>
        </w:rPr>
        <w:t xml:space="preserve">Chionochloa </w:t>
      </w:r>
      <w:r w:rsidRPr="002A3CBE">
        <w:t>spp.) and from wildfires in exotic pasture grassland.</w:t>
      </w:r>
    </w:p>
    <w:p w14:paraId="59A9928E" w14:textId="77777777" w:rsidR="00447423" w:rsidRPr="002A3CBE" w:rsidRDefault="00447423" w:rsidP="00447423">
      <w:pPr>
        <w:pStyle w:val="Heading4"/>
      </w:pPr>
      <w:bookmarkStart w:id="2940" w:name="_Toc280630366"/>
      <w:r w:rsidRPr="002A3CBE">
        <w:t>Methodological issues</w:t>
      </w:r>
      <w:bookmarkEnd w:id="2940"/>
    </w:p>
    <w:p w14:paraId="59683610" w14:textId="77777777" w:rsidR="00447423" w:rsidRPr="002A3CBE" w:rsidRDefault="00447423" w:rsidP="00447423">
      <w:pPr>
        <w:pStyle w:val="BodyText"/>
      </w:pPr>
      <w:r w:rsidRPr="002A3CBE">
        <w:t xml:space="preserve">New Zealand employs Tier 2 methodologies to estimate emissions from </w:t>
      </w:r>
      <w:r w:rsidRPr="002A3CBE">
        <w:rPr>
          <w:i/>
        </w:rPr>
        <w:t>Biomass burning</w:t>
      </w:r>
      <w:r w:rsidRPr="002A3CBE">
        <w:t>. A combination of country-specific carbon fractions (Beets, unpublished), emission factors (Thomas et al., 2011) and combustion factors (Payton and Pearce, 2009; Wakelin, unpublished(a),</w:t>
      </w:r>
      <w:r w:rsidRPr="002A3CBE">
        <w:rPr>
          <w:szCs w:val="20"/>
        </w:rPr>
        <w:t xml:space="preserve"> (e)</w:t>
      </w:r>
      <w:r w:rsidRPr="002A3CBE">
        <w:t xml:space="preserve">) is employed along with the 2006 IPCC Guidelines default carbon fractions, emission factors, combustion factors and equations to derive emissions (IPCC, 2006a, sections 2.4, 4.2.4 and 6.2.4). These variables are summarised in table 6.11.4 and </w:t>
      </w:r>
      <w:r w:rsidRPr="002A3CBE">
        <w:rPr>
          <w:spacing w:val="-2"/>
        </w:rPr>
        <w:t>table 6.11.5, and</w:t>
      </w:r>
      <w:r>
        <w:rPr>
          <w:spacing w:val="-2"/>
        </w:rPr>
        <w:t xml:space="preserve"> </w:t>
      </w:r>
      <w:r w:rsidRPr="002A3CBE">
        <w:rPr>
          <w:spacing w:val="-2"/>
        </w:rPr>
        <w:t>further information on their application is provided in volume 2, annex 5, section A5.2.7.</w:t>
      </w:r>
    </w:p>
    <w:p w14:paraId="0DEEF3E9" w14:textId="77777777" w:rsidR="00447423" w:rsidRPr="002A3CBE" w:rsidRDefault="00447423" w:rsidP="00447423">
      <w:pPr>
        <w:pStyle w:val="BodyText"/>
      </w:pPr>
    </w:p>
    <w:p w14:paraId="230FDAEF" w14:textId="77777777" w:rsidR="00447423" w:rsidRPr="002A3CBE" w:rsidRDefault="00447423" w:rsidP="00447423">
      <w:pPr>
        <w:pStyle w:val="BodyText"/>
        <w:sectPr w:rsidR="00447423" w:rsidRPr="002A3CBE" w:rsidSect="00447423">
          <w:footerReference w:type="default" r:id="rId225"/>
          <w:pgSz w:w="11906" w:h="16838" w:code="9"/>
          <w:pgMar w:top="1418" w:right="1701" w:bottom="1418" w:left="1701" w:header="567" w:footer="567" w:gutter="0"/>
          <w:cols w:space="708"/>
          <w:docGrid w:linePitch="360"/>
        </w:sectPr>
      </w:pPr>
    </w:p>
    <w:p w14:paraId="324EB986" w14:textId="77777777" w:rsidR="00447423" w:rsidRPr="002A3CBE" w:rsidRDefault="00447423" w:rsidP="00447423">
      <w:pPr>
        <w:pStyle w:val="Table"/>
        <w:spacing w:before="0"/>
      </w:pPr>
      <w:bookmarkStart w:id="2941" w:name="_Toc131591431"/>
      <w:bookmarkStart w:id="2942" w:name="_Toc158979989"/>
      <w:bookmarkStart w:id="2943" w:name="_Toc164153922"/>
      <w:bookmarkStart w:id="2944" w:name="_Toc190873156"/>
      <w:bookmarkStart w:id="2945" w:name="_Toc194241795"/>
      <w:bookmarkStart w:id="2946" w:name="_Toc222837946"/>
      <w:bookmarkStart w:id="2947" w:name="_Toc226669092"/>
      <w:r w:rsidRPr="002A3CBE">
        <w:t>Table 6.11.4</w:t>
      </w:r>
      <w:r w:rsidRPr="002A3CBE">
        <w:tab/>
        <w:t xml:space="preserve">Summary of </w:t>
      </w:r>
      <w:r w:rsidRPr="002A3CBE">
        <w:rPr>
          <w:i/>
        </w:rPr>
        <w:t>Biomass burning</w:t>
      </w:r>
      <w:r w:rsidRPr="002A3CBE">
        <w:t xml:space="preserve"> carbon fractions and emission factors</w:t>
      </w:r>
      <w:bookmarkEnd w:id="2941"/>
      <w:bookmarkEnd w:id="2942"/>
      <w:bookmarkEnd w:id="2943"/>
      <w:bookmarkEnd w:id="2944"/>
      <w:bookmarkEnd w:id="2945"/>
      <w:bookmarkEnd w:id="2946"/>
      <w:bookmarkEnd w:id="2947"/>
    </w:p>
    <w:tbl>
      <w:tblPr>
        <w:tblW w:w="14002" w:type="dxa"/>
        <w:tblLayout w:type="fixed"/>
        <w:tblLook w:val="04A0" w:firstRow="1" w:lastRow="0" w:firstColumn="1" w:lastColumn="0" w:noHBand="0" w:noVBand="1"/>
      </w:tblPr>
      <w:tblGrid>
        <w:gridCol w:w="2835"/>
        <w:gridCol w:w="1560"/>
        <w:gridCol w:w="1417"/>
        <w:gridCol w:w="1701"/>
        <w:gridCol w:w="1617"/>
        <w:gridCol w:w="1200"/>
        <w:gridCol w:w="1200"/>
        <w:gridCol w:w="1315"/>
        <w:gridCol w:w="1157"/>
      </w:tblGrid>
      <w:tr w:rsidR="00447423" w:rsidRPr="002A3CBE" w14:paraId="3B6B6BD3" w14:textId="77777777" w:rsidTr="0034039A">
        <w:trPr>
          <w:trHeight w:val="325"/>
        </w:trPr>
        <w:tc>
          <w:tcPr>
            <w:tcW w:w="2835" w:type="dxa"/>
            <w:tcBorders>
              <w:top w:val="single" w:sz="4" w:space="0" w:color="1B556B" w:themeColor="text2"/>
              <w:left w:val="nil"/>
              <w:bottom w:val="single" w:sz="4" w:space="0" w:color="1B556B" w:themeColor="text2"/>
            </w:tcBorders>
            <w:shd w:val="clear" w:color="auto" w:fill="1B556B" w:themeFill="text2"/>
            <w:noWrap/>
            <w:vAlign w:val="bottom"/>
            <w:hideMark/>
          </w:tcPr>
          <w:p w14:paraId="11301416" w14:textId="77777777" w:rsidR="00447423" w:rsidRPr="002A3CBE" w:rsidRDefault="00447423" w:rsidP="00F16E23">
            <w:pPr>
              <w:pStyle w:val="TableTextBold"/>
              <w:rPr>
                <w:noProof w:val="0"/>
              </w:rPr>
            </w:pPr>
          </w:p>
        </w:tc>
        <w:tc>
          <w:tcPr>
            <w:tcW w:w="11167" w:type="dxa"/>
            <w:gridSpan w:val="8"/>
            <w:tcBorders>
              <w:top w:val="single" w:sz="4" w:space="0" w:color="1B556B" w:themeColor="text2"/>
              <w:bottom w:val="single" w:sz="4" w:space="0" w:color="1B556B" w:themeColor="text2"/>
            </w:tcBorders>
            <w:shd w:val="clear" w:color="auto" w:fill="1B556B" w:themeFill="text2"/>
            <w:noWrap/>
            <w:vAlign w:val="bottom"/>
            <w:hideMark/>
          </w:tcPr>
          <w:p w14:paraId="7C7F51A0" w14:textId="77777777" w:rsidR="00447423" w:rsidRPr="002A3CBE" w:rsidRDefault="00447423" w:rsidP="00F16E23">
            <w:pPr>
              <w:pStyle w:val="TableTextBold"/>
              <w:jc w:val="center"/>
              <w:rPr>
                <w:rFonts w:eastAsia="Courier New"/>
                <w:noProof w:val="0"/>
                <w:color w:val="FFFFFF"/>
              </w:rPr>
            </w:pPr>
            <w:r w:rsidRPr="002A3CBE">
              <w:rPr>
                <w:rFonts w:eastAsia="Courier New"/>
                <w:noProof w:val="0"/>
                <w:color w:val="FFFFFF" w:themeColor="background1"/>
              </w:rPr>
              <w:t>Biomass burning implied emission factors derived from 2006 IPCC Guidelines (IPCC, 2006a) and New Zealand-specific carbon fractions</w:t>
            </w:r>
          </w:p>
        </w:tc>
      </w:tr>
      <w:tr w:rsidR="00447423" w:rsidRPr="002A3CBE" w14:paraId="4D5CD386" w14:textId="77777777" w:rsidTr="0034039A">
        <w:trPr>
          <w:trHeight w:val="325"/>
        </w:trPr>
        <w:tc>
          <w:tcPr>
            <w:tcW w:w="2835" w:type="dxa"/>
            <w:tcBorders>
              <w:top w:val="single" w:sz="4" w:space="0" w:color="1B556B" w:themeColor="text2"/>
              <w:left w:val="nil"/>
            </w:tcBorders>
            <w:noWrap/>
            <w:vAlign w:val="bottom"/>
            <w:hideMark/>
          </w:tcPr>
          <w:p w14:paraId="23144B81" w14:textId="77777777" w:rsidR="00447423" w:rsidRPr="002A3CBE" w:rsidRDefault="00447423" w:rsidP="00F16E23">
            <w:pPr>
              <w:jc w:val="center"/>
              <w:rPr>
                <w:rFonts w:ascii="Yu Gothic" w:eastAsia="Symbol" w:hAnsi="Yu Gothic" w:cs="Yu Gothic"/>
                <w:color w:val="000000"/>
                <w:sz w:val="16"/>
                <w:szCs w:val="16"/>
              </w:rPr>
            </w:pPr>
          </w:p>
        </w:tc>
        <w:tc>
          <w:tcPr>
            <w:tcW w:w="2977" w:type="dxa"/>
            <w:gridSpan w:val="2"/>
            <w:tcBorders>
              <w:top w:val="single" w:sz="4" w:space="0" w:color="1B556B" w:themeColor="text2"/>
              <w:bottom w:val="single" w:sz="4" w:space="0" w:color="1B556B" w:themeColor="text2"/>
            </w:tcBorders>
            <w:noWrap/>
            <w:vAlign w:val="bottom"/>
            <w:hideMark/>
          </w:tcPr>
          <w:p w14:paraId="5CA16323" w14:textId="77777777" w:rsidR="00447423" w:rsidRPr="002A3CBE" w:rsidRDefault="00447423" w:rsidP="00F16E23">
            <w:pPr>
              <w:pStyle w:val="TableTextBold"/>
              <w:jc w:val="center"/>
              <w:rPr>
                <w:noProof w:val="0"/>
              </w:rPr>
            </w:pPr>
            <w:r w:rsidRPr="002A3CBE">
              <w:rPr>
                <w:noProof w:val="0"/>
              </w:rPr>
              <w:t>Grassland/savannah</w:t>
            </w:r>
          </w:p>
        </w:tc>
        <w:tc>
          <w:tcPr>
            <w:tcW w:w="3318" w:type="dxa"/>
            <w:gridSpan w:val="2"/>
            <w:tcBorders>
              <w:top w:val="single" w:sz="4" w:space="0" w:color="1B556B" w:themeColor="text2"/>
              <w:bottom w:val="single" w:sz="4" w:space="0" w:color="1B556B" w:themeColor="text2"/>
            </w:tcBorders>
            <w:noWrap/>
            <w:vAlign w:val="bottom"/>
            <w:hideMark/>
          </w:tcPr>
          <w:p w14:paraId="3665164C" w14:textId="77777777" w:rsidR="00447423" w:rsidRPr="002A3CBE" w:rsidRDefault="00447423" w:rsidP="00F16E23">
            <w:pPr>
              <w:pStyle w:val="TableTextBold"/>
              <w:jc w:val="center"/>
              <w:rPr>
                <w:noProof w:val="0"/>
              </w:rPr>
            </w:pPr>
            <w:r w:rsidRPr="002A3CBE">
              <w:rPr>
                <w:noProof w:val="0"/>
              </w:rPr>
              <w:t>Grassland with woody biomass/shrubland</w:t>
            </w:r>
          </w:p>
        </w:tc>
        <w:tc>
          <w:tcPr>
            <w:tcW w:w="4872" w:type="dxa"/>
            <w:gridSpan w:val="4"/>
            <w:tcBorders>
              <w:top w:val="single" w:sz="4" w:space="0" w:color="1B556B" w:themeColor="text2"/>
              <w:bottom w:val="single" w:sz="4" w:space="0" w:color="1B556B" w:themeColor="text2"/>
            </w:tcBorders>
            <w:noWrap/>
            <w:vAlign w:val="bottom"/>
            <w:hideMark/>
          </w:tcPr>
          <w:p w14:paraId="5F15409E" w14:textId="77777777" w:rsidR="00447423" w:rsidRPr="002A3CBE" w:rsidRDefault="00447423" w:rsidP="00F16E23">
            <w:pPr>
              <w:pStyle w:val="TableTextBold"/>
              <w:jc w:val="center"/>
              <w:rPr>
                <w:noProof w:val="0"/>
              </w:rPr>
            </w:pPr>
            <w:r w:rsidRPr="002A3CBE">
              <w:rPr>
                <w:noProof w:val="0"/>
              </w:rPr>
              <w:t>Forest land</w:t>
            </w:r>
          </w:p>
        </w:tc>
      </w:tr>
      <w:tr w:rsidR="00447423" w:rsidRPr="002A3CBE" w14:paraId="689E0389" w14:textId="77777777" w:rsidTr="0034039A">
        <w:trPr>
          <w:trHeight w:val="325"/>
        </w:trPr>
        <w:tc>
          <w:tcPr>
            <w:tcW w:w="2835" w:type="dxa"/>
            <w:tcBorders>
              <w:left w:val="nil"/>
            </w:tcBorders>
            <w:noWrap/>
            <w:vAlign w:val="bottom"/>
            <w:hideMark/>
          </w:tcPr>
          <w:p w14:paraId="7D2BAB9F" w14:textId="77777777" w:rsidR="00447423" w:rsidRPr="002A3CBE" w:rsidRDefault="00447423" w:rsidP="00F16E23">
            <w:pPr>
              <w:jc w:val="center"/>
              <w:rPr>
                <w:rFonts w:ascii="Yu Gothic" w:eastAsia="Symbol" w:hAnsi="Yu Gothic" w:cs="Yu Gothic"/>
                <w:color w:val="000000"/>
                <w:sz w:val="16"/>
                <w:szCs w:val="16"/>
              </w:rPr>
            </w:pPr>
          </w:p>
        </w:tc>
        <w:tc>
          <w:tcPr>
            <w:tcW w:w="1560" w:type="dxa"/>
            <w:tcBorders>
              <w:top w:val="single" w:sz="4" w:space="0" w:color="1B556B" w:themeColor="text2"/>
            </w:tcBorders>
            <w:noWrap/>
            <w:vAlign w:val="bottom"/>
            <w:hideMark/>
          </w:tcPr>
          <w:p w14:paraId="0F63DAD7" w14:textId="77777777" w:rsidR="00447423" w:rsidRPr="002A3CBE" w:rsidRDefault="00447423" w:rsidP="00F16E23">
            <w:pPr>
              <w:pStyle w:val="TableText"/>
              <w:jc w:val="right"/>
            </w:pPr>
            <w:r w:rsidRPr="002A3CBE">
              <w:t>Controlled burning</w:t>
            </w:r>
          </w:p>
        </w:tc>
        <w:tc>
          <w:tcPr>
            <w:tcW w:w="1417" w:type="dxa"/>
            <w:tcBorders>
              <w:top w:val="single" w:sz="4" w:space="0" w:color="1B556B" w:themeColor="text2"/>
            </w:tcBorders>
            <w:noWrap/>
            <w:vAlign w:val="bottom"/>
            <w:hideMark/>
          </w:tcPr>
          <w:p w14:paraId="04CF2920" w14:textId="77777777" w:rsidR="00447423" w:rsidRPr="002A3CBE" w:rsidRDefault="00447423" w:rsidP="00F16E23">
            <w:pPr>
              <w:pStyle w:val="TableText"/>
              <w:jc w:val="right"/>
            </w:pPr>
            <w:r w:rsidRPr="002A3CBE">
              <w:t>Wildfire</w:t>
            </w:r>
          </w:p>
        </w:tc>
        <w:tc>
          <w:tcPr>
            <w:tcW w:w="1701" w:type="dxa"/>
            <w:tcBorders>
              <w:top w:val="single" w:sz="4" w:space="0" w:color="1B556B" w:themeColor="text2"/>
            </w:tcBorders>
            <w:noWrap/>
            <w:vAlign w:val="bottom"/>
            <w:hideMark/>
          </w:tcPr>
          <w:p w14:paraId="1A695AE3" w14:textId="77777777" w:rsidR="00447423" w:rsidRPr="002A3CBE" w:rsidRDefault="00447423" w:rsidP="00F16E23">
            <w:pPr>
              <w:pStyle w:val="TableText"/>
              <w:jc w:val="right"/>
            </w:pPr>
            <w:r w:rsidRPr="002A3CBE">
              <w:t>Controlled burning</w:t>
            </w:r>
          </w:p>
        </w:tc>
        <w:tc>
          <w:tcPr>
            <w:tcW w:w="1617" w:type="dxa"/>
            <w:tcBorders>
              <w:top w:val="single" w:sz="4" w:space="0" w:color="1B556B" w:themeColor="text2"/>
            </w:tcBorders>
            <w:noWrap/>
            <w:vAlign w:val="bottom"/>
            <w:hideMark/>
          </w:tcPr>
          <w:p w14:paraId="56D07B06" w14:textId="77777777" w:rsidR="00447423" w:rsidRPr="002A3CBE" w:rsidRDefault="00447423" w:rsidP="00F16E23">
            <w:pPr>
              <w:pStyle w:val="TableText"/>
              <w:jc w:val="right"/>
            </w:pPr>
            <w:r w:rsidRPr="002A3CBE">
              <w:t>Wildfire</w:t>
            </w:r>
          </w:p>
        </w:tc>
        <w:tc>
          <w:tcPr>
            <w:tcW w:w="2400" w:type="dxa"/>
            <w:gridSpan w:val="2"/>
            <w:tcBorders>
              <w:top w:val="single" w:sz="4" w:space="0" w:color="1B556B" w:themeColor="text2"/>
              <w:bottom w:val="single" w:sz="4" w:space="0" w:color="1B556B" w:themeColor="text2"/>
            </w:tcBorders>
            <w:noWrap/>
            <w:vAlign w:val="bottom"/>
            <w:hideMark/>
          </w:tcPr>
          <w:p w14:paraId="170C76BD" w14:textId="77777777" w:rsidR="00447423" w:rsidRPr="002A3CBE" w:rsidRDefault="00447423" w:rsidP="00F16E23">
            <w:pPr>
              <w:pStyle w:val="TableText"/>
              <w:jc w:val="right"/>
            </w:pPr>
            <w:r w:rsidRPr="002A3CBE">
              <w:t>Controlled burning</w:t>
            </w:r>
          </w:p>
        </w:tc>
        <w:tc>
          <w:tcPr>
            <w:tcW w:w="2472" w:type="dxa"/>
            <w:gridSpan w:val="2"/>
            <w:tcBorders>
              <w:top w:val="single" w:sz="4" w:space="0" w:color="1B556B" w:themeColor="text2"/>
              <w:bottom w:val="single" w:sz="4" w:space="0" w:color="1B556B" w:themeColor="text2"/>
            </w:tcBorders>
            <w:noWrap/>
            <w:vAlign w:val="bottom"/>
            <w:hideMark/>
          </w:tcPr>
          <w:p w14:paraId="5433F72B" w14:textId="77777777" w:rsidR="00447423" w:rsidRPr="002A3CBE" w:rsidRDefault="00447423" w:rsidP="00F16E23">
            <w:pPr>
              <w:pStyle w:val="TableText"/>
              <w:jc w:val="right"/>
            </w:pPr>
            <w:r w:rsidRPr="002A3CBE">
              <w:t>Wildfire</w:t>
            </w:r>
          </w:p>
        </w:tc>
      </w:tr>
      <w:tr w:rsidR="00447423" w:rsidRPr="002A3CBE" w14:paraId="77E82426" w14:textId="77777777" w:rsidTr="0034039A">
        <w:trPr>
          <w:trHeight w:val="325"/>
        </w:trPr>
        <w:tc>
          <w:tcPr>
            <w:tcW w:w="2835" w:type="dxa"/>
            <w:shd w:val="clear" w:color="auto" w:fill="D2DDE1" w:themeFill="background2"/>
            <w:noWrap/>
            <w:vAlign w:val="bottom"/>
            <w:hideMark/>
          </w:tcPr>
          <w:p w14:paraId="10FA9396" w14:textId="77777777" w:rsidR="00447423" w:rsidRPr="002A3CBE" w:rsidRDefault="00447423" w:rsidP="00F16E23">
            <w:pPr>
              <w:jc w:val="center"/>
              <w:rPr>
                <w:rFonts w:ascii="Yu Gothic" w:eastAsia="Symbol" w:hAnsi="Yu Gothic" w:cs="Yu Gothic"/>
                <w:color w:val="000000"/>
                <w:sz w:val="16"/>
                <w:szCs w:val="16"/>
              </w:rPr>
            </w:pPr>
          </w:p>
        </w:tc>
        <w:tc>
          <w:tcPr>
            <w:tcW w:w="1560" w:type="dxa"/>
            <w:shd w:val="clear" w:color="auto" w:fill="D2DDE1" w:themeFill="background2"/>
            <w:noWrap/>
            <w:vAlign w:val="bottom"/>
            <w:hideMark/>
          </w:tcPr>
          <w:p w14:paraId="77FC9BC9" w14:textId="77777777" w:rsidR="00447423" w:rsidRPr="002A3CBE" w:rsidRDefault="00447423" w:rsidP="00F16E23">
            <w:pPr>
              <w:pStyle w:val="TableText"/>
              <w:jc w:val="right"/>
            </w:pPr>
          </w:p>
        </w:tc>
        <w:tc>
          <w:tcPr>
            <w:tcW w:w="1417" w:type="dxa"/>
            <w:shd w:val="clear" w:color="auto" w:fill="D2DDE1" w:themeFill="background2"/>
            <w:noWrap/>
            <w:vAlign w:val="bottom"/>
            <w:hideMark/>
          </w:tcPr>
          <w:p w14:paraId="30F15400" w14:textId="77777777" w:rsidR="00447423" w:rsidRPr="002A3CBE" w:rsidRDefault="00447423" w:rsidP="00F16E23">
            <w:pPr>
              <w:pStyle w:val="TableText"/>
              <w:jc w:val="right"/>
            </w:pPr>
          </w:p>
        </w:tc>
        <w:tc>
          <w:tcPr>
            <w:tcW w:w="1701" w:type="dxa"/>
            <w:shd w:val="clear" w:color="auto" w:fill="D2DDE1" w:themeFill="background2"/>
            <w:noWrap/>
            <w:vAlign w:val="bottom"/>
            <w:hideMark/>
          </w:tcPr>
          <w:p w14:paraId="35303FB8" w14:textId="77777777" w:rsidR="00447423" w:rsidRPr="002A3CBE" w:rsidRDefault="00447423" w:rsidP="00F16E23">
            <w:pPr>
              <w:pStyle w:val="TableText"/>
              <w:jc w:val="right"/>
            </w:pPr>
          </w:p>
        </w:tc>
        <w:tc>
          <w:tcPr>
            <w:tcW w:w="1617" w:type="dxa"/>
            <w:shd w:val="clear" w:color="auto" w:fill="D2DDE1" w:themeFill="background2"/>
            <w:noWrap/>
            <w:vAlign w:val="bottom"/>
            <w:hideMark/>
          </w:tcPr>
          <w:p w14:paraId="170946C5" w14:textId="77777777" w:rsidR="00447423" w:rsidRPr="002A3CBE" w:rsidRDefault="00447423" w:rsidP="00F16E23">
            <w:pPr>
              <w:pStyle w:val="TableText"/>
              <w:jc w:val="right"/>
            </w:pPr>
          </w:p>
        </w:tc>
        <w:tc>
          <w:tcPr>
            <w:tcW w:w="1200" w:type="dxa"/>
            <w:tcBorders>
              <w:top w:val="single" w:sz="4" w:space="0" w:color="1B556B" w:themeColor="text2"/>
              <w:bottom w:val="single" w:sz="4" w:space="0" w:color="1B556B" w:themeColor="text2"/>
            </w:tcBorders>
            <w:noWrap/>
            <w:vAlign w:val="bottom"/>
            <w:hideMark/>
          </w:tcPr>
          <w:p w14:paraId="59ECADA2" w14:textId="77777777" w:rsidR="00447423" w:rsidRPr="002A3CBE" w:rsidRDefault="00447423" w:rsidP="00F16E23">
            <w:pPr>
              <w:pStyle w:val="TableText"/>
              <w:jc w:val="right"/>
            </w:pPr>
            <w:r w:rsidRPr="002A3CBE">
              <w:t>Planted forest</w:t>
            </w:r>
          </w:p>
        </w:tc>
        <w:tc>
          <w:tcPr>
            <w:tcW w:w="1200" w:type="dxa"/>
            <w:tcBorders>
              <w:top w:val="single" w:sz="4" w:space="0" w:color="1B556B" w:themeColor="text2"/>
              <w:bottom w:val="single" w:sz="4" w:space="0" w:color="1B556B" w:themeColor="text2"/>
            </w:tcBorders>
            <w:noWrap/>
            <w:vAlign w:val="bottom"/>
            <w:hideMark/>
          </w:tcPr>
          <w:p w14:paraId="67CE1749" w14:textId="77777777" w:rsidR="00447423" w:rsidRPr="002A3CBE" w:rsidRDefault="00447423" w:rsidP="00F16E23">
            <w:pPr>
              <w:pStyle w:val="TableText"/>
              <w:jc w:val="right"/>
            </w:pPr>
            <w:r w:rsidRPr="002A3CBE">
              <w:t>Natural forest</w:t>
            </w:r>
          </w:p>
        </w:tc>
        <w:tc>
          <w:tcPr>
            <w:tcW w:w="1315" w:type="dxa"/>
            <w:tcBorders>
              <w:top w:val="single" w:sz="4" w:space="0" w:color="1B556B" w:themeColor="text2"/>
              <w:bottom w:val="single" w:sz="4" w:space="0" w:color="1B556B" w:themeColor="text2"/>
            </w:tcBorders>
            <w:noWrap/>
            <w:vAlign w:val="bottom"/>
            <w:hideMark/>
          </w:tcPr>
          <w:p w14:paraId="686039E3" w14:textId="77777777" w:rsidR="00447423" w:rsidRPr="002A3CBE" w:rsidRDefault="00447423" w:rsidP="00F16E23">
            <w:pPr>
              <w:pStyle w:val="TableText"/>
              <w:jc w:val="right"/>
            </w:pPr>
            <w:r w:rsidRPr="002A3CBE">
              <w:t>Planted forest</w:t>
            </w:r>
          </w:p>
        </w:tc>
        <w:tc>
          <w:tcPr>
            <w:tcW w:w="1157" w:type="dxa"/>
            <w:tcBorders>
              <w:top w:val="single" w:sz="4" w:space="0" w:color="1B556B" w:themeColor="text2"/>
              <w:bottom w:val="single" w:sz="4" w:space="0" w:color="1B556B" w:themeColor="text2"/>
            </w:tcBorders>
            <w:noWrap/>
            <w:vAlign w:val="bottom"/>
            <w:hideMark/>
          </w:tcPr>
          <w:p w14:paraId="4E99A8A8" w14:textId="77777777" w:rsidR="00447423" w:rsidRPr="002A3CBE" w:rsidRDefault="00447423" w:rsidP="00F16E23">
            <w:pPr>
              <w:pStyle w:val="TableText"/>
              <w:jc w:val="right"/>
            </w:pPr>
            <w:r w:rsidRPr="002A3CBE">
              <w:t>Natural forest</w:t>
            </w:r>
          </w:p>
        </w:tc>
      </w:tr>
      <w:tr w:rsidR="00447423" w:rsidRPr="002A3CBE" w14:paraId="18946E6D" w14:textId="77777777" w:rsidTr="0034039A">
        <w:trPr>
          <w:trHeight w:val="325"/>
        </w:trPr>
        <w:tc>
          <w:tcPr>
            <w:tcW w:w="2835" w:type="dxa"/>
            <w:tcBorders>
              <w:top w:val="nil"/>
              <w:bottom w:val="single" w:sz="4" w:space="0" w:color="1B556B" w:themeColor="text2"/>
            </w:tcBorders>
            <w:noWrap/>
            <w:vAlign w:val="bottom"/>
            <w:hideMark/>
          </w:tcPr>
          <w:p w14:paraId="1FBFADF5" w14:textId="77777777" w:rsidR="00447423" w:rsidRPr="002A3CBE" w:rsidRDefault="00447423" w:rsidP="00F16E23">
            <w:pPr>
              <w:pStyle w:val="TableText"/>
            </w:pPr>
            <w:r w:rsidRPr="002A3CBE">
              <w:t>Carbon fraction</w:t>
            </w:r>
          </w:p>
        </w:tc>
        <w:tc>
          <w:tcPr>
            <w:tcW w:w="1560" w:type="dxa"/>
            <w:tcBorders>
              <w:top w:val="nil"/>
              <w:bottom w:val="single" w:sz="4" w:space="0" w:color="1B556B" w:themeColor="text2"/>
            </w:tcBorders>
            <w:noWrap/>
            <w:hideMark/>
          </w:tcPr>
          <w:p w14:paraId="17815611" w14:textId="77777777" w:rsidR="00447423" w:rsidRPr="002A3CBE" w:rsidRDefault="00447423" w:rsidP="00F16E23">
            <w:pPr>
              <w:pStyle w:val="TableText"/>
              <w:jc w:val="right"/>
            </w:pPr>
            <w:r w:rsidRPr="002A3CBE">
              <w:t>0.44</w:t>
            </w:r>
          </w:p>
        </w:tc>
        <w:tc>
          <w:tcPr>
            <w:tcW w:w="1417" w:type="dxa"/>
            <w:tcBorders>
              <w:top w:val="nil"/>
              <w:bottom w:val="single" w:sz="4" w:space="0" w:color="1B556B" w:themeColor="text2"/>
            </w:tcBorders>
            <w:noWrap/>
            <w:hideMark/>
          </w:tcPr>
          <w:p w14:paraId="57CF7748" w14:textId="77777777" w:rsidR="00447423" w:rsidRPr="002A3CBE" w:rsidRDefault="00447423" w:rsidP="00F16E23">
            <w:pPr>
              <w:pStyle w:val="TableText"/>
              <w:jc w:val="right"/>
            </w:pPr>
            <w:r w:rsidRPr="002A3CBE">
              <w:t>0.44</w:t>
            </w:r>
          </w:p>
        </w:tc>
        <w:tc>
          <w:tcPr>
            <w:tcW w:w="1701" w:type="dxa"/>
            <w:tcBorders>
              <w:top w:val="nil"/>
              <w:bottom w:val="single" w:sz="4" w:space="0" w:color="1B556B" w:themeColor="text2"/>
            </w:tcBorders>
            <w:noWrap/>
            <w:hideMark/>
          </w:tcPr>
          <w:p w14:paraId="4D1FEC55" w14:textId="77777777" w:rsidR="00447423" w:rsidRPr="002A3CBE" w:rsidRDefault="00447423" w:rsidP="00F16E23">
            <w:pPr>
              <w:pStyle w:val="TableText"/>
              <w:jc w:val="right"/>
            </w:pPr>
            <w:r w:rsidRPr="002A3CBE">
              <w:t>0.44</w:t>
            </w:r>
          </w:p>
        </w:tc>
        <w:tc>
          <w:tcPr>
            <w:tcW w:w="1617" w:type="dxa"/>
            <w:tcBorders>
              <w:top w:val="nil"/>
              <w:bottom w:val="single" w:sz="4" w:space="0" w:color="1B556B" w:themeColor="text2"/>
            </w:tcBorders>
            <w:noWrap/>
            <w:hideMark/>
          </w:tcPr>
          <w:p w14:paraId="5CBA574A" w14:textId="77777777" w:rsidR="00447423" w:rsidRPr="002A3CBE" w:rsidRDefault="00447423" w:rsidP="00F16E23">
            <w:pPr>
              <w:pStyle w:val="TableText"/>
              <w:jc w:val="right"/>
            </w:pPr>
            <w:r w:rsidRPr="002A3CBE">
              <w:t>0.44</w:t>
            </w:r>
          </w:p>
        </w:tc>
        <w:tc>
          <w:tcPr>
            <w:tcW w:w="1200" w:type="dxa"/>
            <w:tcBorders>
              <w:top w:val="single" w:sz="4" w:space="0" w:color="1B556B" w:themeColor="text2"/>
              <w:bottom w:val="single" w:sz="4" w:space="0" w:color="1B556B" w:themeColor="text2"/>
            </w:tcBorders>
            <w:noWrap/>
            <w:vAlign w:val="bottom"/>
            <w:hideMark/>
          </w:tcPr>
          <w:p w14:paraId="73B386A0" w14:textId="77777777" w:rsidR="00447423" w:rsidRPr="002A3CBE" w:rsidRDefault="00447423" w:rsidP="00F16E23">
            <w:pPr>
              <w:pStyle w:val="TableText"/>
              <w:jc w:val="right"/>
            </w:pPr>
            <w:r w:rsidRPr="002A3CBE">
              <w:t>0.51*</w:t>
            </w:r>
          </w:p>
        </w:tc>
        <w:tc>
          <w:tcPr>
            <w:tcW w:w="1200" w:type="dxa"/>
            <w:tcBorders>
              <w:top w:val="single" w:sz="4" w:space="0" w:color="1B556B" w:themeColor="text2"/>
              <w:bottom w:val="single" w:sz="4" w:space="0" w:color="1B556B" w:themeColor="text2"/>
            </w:tcBorders>
            <w:noWrap/>
            <w:vAlign w:val="bottom"/>
            <w:hideMark/>
          </w:tcPr>
          <w:p w14:paraId="494092AC" w14:textId="77777777" w:rsidR="00447423" w:rsidRPr="002A3CBE" w:rsidRDefault="00447423" w:rsidP="00F16E23">
            <w:pPr>
              <w:pStyle w:val="TableText"/>
              <w:jc w:val="right"/>
            </w:pPr>
            <w:r w:rsidRPr="002A3CBE">
              <w:t>0.47</w:t>
            </w:r>
          </w:p>
        </w:tc>
        <w:tc>
          <w:tcPr>
            <w:tcW w:w="1315" w:type="dxa"/>
            <w:tcBorders>
              <w:top w:val="single" w:sz="4" w:space="0" w:color="1B556B" w:themeColor="text2"/>
              <w:bottom w:val="single" w:sz="4" w:space="0" w:color="1B556B" w:themeColor="text2"/>
            </w:tcBorders>
            <w:noWrap/>
            <w:vAlign w:val="bottom"/>
            <w:hideMark/>
          </w:tcPr>
          <w:p w14:paraId="4D47B5B6" w14:textId="77777777" w:rsidR="00447423" w:rsidRPr="002A3CBE" w:rsidRDefault="00447423" w:rsidP="00F16E23">
            <w:pPr>
              <w:pStyle w:val="TableText"/>
              <w:jc w:val="right"/>
            </w:pPr>
            <w:r w:rsidRPr="002A3CBE">
              <w:t>0.51*</w:t>
            </w:r>
          </w:p>
        </w:tc>
        <w:tc>
          <w:tcPr>
            <w:tcW w:w="1157" w:type="dxa"/>
            <w:tcBorders>
              <w:top w:val="single" w:sz="4" w:space="0" w:color="1B556B" w:themeColor="text2"/>
              <w:bottom w:val="single" w:sz="4" w:space="0" w:color="1B556B" w:themeColor="text2"/>
            </w:tcBorders>
            <w:noWrap/>
            <w:vAlign w:val="bottom"/>
            <w:hideMark/>
          </w:tcPr>
          <w:p w14:paraId="5312F02A" w14:textId="77777777" w:rsidR="00447423" w:rsidRPr="002A3CBE" w:rsidRDefault="00447423" w:rsidP="00F16E23">
            <w:pPr>
              <w:pStyle w:val="TableText"/>
              <w:jc w:val="right"/>
            </w:pPr>
            <w:r w:rsidRPr="002A3CBE">
              <w:t>0.47</w:t>
            </w:r>
          </w:p>
        </w:tc>
      </w:tr>
      <w:tr w:rsidR="00447423" w:rsidRPr="002A3CBE" w14:paraId="65E4712A" w14:textId="77777777" w:rsidTr="0034039A">
        <w:trPr>
          <w:trHeight w:val="325"/>
        </w:trPr>
        <w:tc>
          <w:tcPr>
            <w:tcW w:w="2835" w:type="dxa"/>
            <w:tcBorders>
              <w:top w:val="single" w:sz="4" w:space="0" w:color="1B556B" w:themeColor="text2"/>
              <w:bottom w:val="single" w:sz="4" w:space="0" w:color="1B556B" w:themeColor="text2"/>
            </w:tcBorders>
            <w:noWrap/>
            <w:vAlign w:val="bottom"/>
            <w:hideMark/>
          </w:tcPr>
          <w:p w14:paraId="115D060B" w14:textId="77777777" w:rsidR="00447423" w:rsidRPr="002A3CBE" w:rsidRDefault="00447423" w:rsidP="00F16E23">
            <w:pPr>
              <w:pStyle w:val="TableText"/>
            </w:pPr>
            <w:r w:rsidRPr="002A3CBE">
              <w:t>C:N ratio</w:t>
            </w:r>
          </w:p>
        </w:tc>
        <w:tc>
          <w:tcPr>
            <w:tcW w:w="1560" w:type="dxa"/>
            <w:tcBorders>
              <w:top w:val="single" w:sz="4" w:space="0" w:color="1B556B" w:themeColor="text2"/>
              <w:bottom w:val="single" w:sz="4" w:space="0" w:color="1B556B" w:themeColor="text2"/>
            </w:tcBorders>
            <w:noWrap/>
            <w:hideMark/>
          </w:tcPr>
          <w:p w14:paraId="38BDA18C" w14:textId="77777777" w:rsidR="00447423" w:rsidRPr="002A3CBE" w:rsidRDefault="00447423" w:rsidP="00F16E23">
            <w:pPr>
              <w:pStyle w:val="TableText"/>
              <w:jc w:val="right"/>
            </w:pPr>
            <w:r w:rsidRPr="002A3CBE">
              <w:t>0.01</w:t>
            </w:r>
          </w:p>
        </w:tc>
        <w:tc>
          <w:tcPr>
            <w:tcW w:w="1417" w:type="dxa"/>
            <w:tcBorders>
              <w:top w:val="single" w:sz="4" w:space="0" w:color="1B556B" w:themeColor="text2"/>
              <w:bottom w:val="single" w:sz="4" w:space="0" w:color="1B556B" w:themeColor="text2"/>
            </w:tcBorders>
            <w:noWrap/>
            <w:hideMark/>
          </w:tcPr>
          <w:p w14:paraId="5DEB519F" w14:textId="77777777" w:rsidR="00447423" w:rsidRPr="002A3CBE" w:rsidRDefault="00447423" w:rsidP="00F16E23">
            <w:pPr>
              <w:pStyle w:val="TableText"/>
              <w:jc w:val="right"/>
            </w:pPr>
            <w:r w:rsidRPr="002A3CBE">
              <w:t>0.01</w:t>
            </w:r>
          </w:p>
        </w:tc>
        <w:tc>
          <w:tcPr>
            <w:tcW w:w="1701" w:type="dxa"/>
            <w:tcBorders>
              <w:top w:val="single" w:sz="4" w:space="0" w:color="1B556B" w:themeColor="text2"/>
              <w:bottom w:val="single" w:sz="4" w:space="0" w:color="1B556B" w:themeColor="text2"/>
            </w:tcBorders>
            <w:noWrap/>
            <w:hideMark/>
          </w:tcPr>
          <w:p w14:paraId="27A731D5" w14:textId="77777777" w:rsidR="00447423" w:rsidRPr="002A3CBE" w:rsidRDefault="00447423" w:rsidP="00F16E23">
            <w:pPr>
              <w:pStyle w:val="TableText"/>
              <w:jc w:val="right"/>
            </w:pPr>
            <w:r w:rsidRPr="002A3CBE">
              <w:t>0.01</w:t>
            </w:r>
          </w:p>
        </w:tc>
        <w:tc>
          <w:tcPr>
            <w:tcW w:w="1617" w:type="dxa"/>
            <w:tcBorders>
              <w:top w:val="single" w:sz="4" w:space="0" w:color="1B556B" w:themeColor="text2"/>
              <w:bottom w:val="single" w:sz="4" w:space="0" w:color="1B556B" w:themeColor="text2"/>
            </w:tcBorders>
            <w:noWrap/>
            <w:hideMark/>
          </w:tcPr>
          <w:p w14:paraId="542F6F86" w14:textId="77777777" w:rsidR="00447423" w:rsidRPr="002A3CBE" w:rsidRDefault="00447423" w:rsidP="00F16E23">
            <w:pPr>
              <w:pStyle w:val="TableText"/>
              <w:jc w:val="right"/>
            </w:pPr>
            <w:r w:rsidRPr="002A3CBE">
              <w:t>0.01</w:t>
            </w:r>
          </w:p>
        </w:tc>
        <w:tc>
          <w:tcPr>
            <w:tcW w:w="1200" w:type="dxa"/>
            <w:tcBorders>
              <w:top w:val="single" w:sz="4" w:space="0" w:color="1B556B" w:themeColor="text2"/>
              <w:bottom w:val="single" w:sz="4" w:space="0" w:color="1B556B" w:themeColor="text2"/>
            </w:tcBorders>
            <w:noWrap/>
            <w:vAlign w:val="bottom"/>
            <w:hideMark/>
          </w:tcPr>
          <w:p w14:paraId="3AD65BE5" w14:textId="77777777" w:rsidR="00447423" w:rsidRPr="002A3CBE" w:rsidRDefault="00447423" w:rsidP="00F16E23">
            <w:pPr>
              <w:pStyle w:val="TableText"/>
              <w:jc w:val="right"/>
            </w:pPr>
            <w:r w:rsidRPr="002A3CBE">
              <w:t>0.01</w:t>
            </w:r>
          </w:p>
        </w:tc>
        <w:tc>
          <w:tcPr>
            <w:tcW w:w="1200" w:type="dxa"/>
            <w:tcBorders>
              <w:top w:val="single" w:sz="4" w:space="0" w:color="1B556B" w:themeColor="text2"/>
              <w:bottom w:val="single" w:sz="4" w:space="0" w:color="1B556B" w:themeColor="text2"/>
            </w:tcBorders>
            <w:noWrap/>
            <w:vAlign w:val="bottom"/>
            <w:hideMark/>
          </w:tcPr>
          <w:p w14:paraId="4C902F77" w14:textId="77777777" w:rsidR="00447423" w:rsidRPr="002A3CBE" w:rsidRDefault="00447423" w:rsidP="00F16E23">
            <w:pPr>
              <w:pStyle w:val="TableText"/>
              <w:jc w:val="right"/>
            </w:pPr>
            <w:r w:rsidRPr="002A3CBE">
              <w:t>0.01</w:t>
            </w:r>
          </w:p>
        </w:tc>
        <w:tc>
          <w:tcPr>
            <w:tcW w:w="1315" w:type="dxa"/>
            <w:tcBorders>
              <w:top w:val="single" w:sz="4" w:space="0" w:color="1B556B" w:themeColor="text2"/>
              <w:bottom w:val="single" w:sz="4" w:space="0" w:color="1B556B" w:themeColor="text2"/>
            </w:tcBorders>
            <w:noWrap/>
            <w:vAlign w:val="bottom"/>
            <w:hideMark/>
          </w:tcPr>
          <w:p w14:paraId="5279C8D0" w14:textId="77777777" w:rsidR="00447423" w:rsidRPr="002A3CBE" w:rsidRDefault="00447423" w:rsidP="00F16E23">
            <w:pPr>
              <w:pStyle w:val="TableText"/>
              <w:jc w:val="right"/>
            </w:pPr>
            <w:r w:rsidRPr="002A3CBE">
              <w:t>0.01</w:t>
            </w:r>
          </w:p>
        </w:tc>
        <w:tc>
          <w:tcPr>
            <w:tcW w:w="1157" w:type="dxa"/>
            <w:tcBorders>
              <w:top w:val="single" w:sz="4" w:space="0" w:color="1B556B" w:themeColor="text2"/>
              <w:bottom w:val="single" w:sz="4" w:space="0" w:color="1B556B" w:themeColor="text2"/>
            </w:tcBorders>
            <w:noWrap/>
            <w:vAlign w:val="bottom"/>
            <w:hideMark/>
          </w:tcPr>
          <w:p w14:paraId="2519B293" w14:textId="77777777" w:rsidR="00447423" w:rsidRPr="002A3CBE" w:rsidRDefault="00447423" w:rsidP="00F16E23">
            <w:pPr>
              <w:pStyle w:val="TableText"/>
              <w:jc w:val="right"/>
            </w:pPr>
            <w:r w:rsidRPr="002A3CBE">
              <w:t>0.01</w:t>
            </w:r>
          </w:p>
        </w:tc>
      </w:tr>
      <w:tr w:rsidR="00447423" w:rsidRPr="002A3CBE" w14:paraId="4FDB9355" w14:textId="77777777" w:rsidTr="0034039A">
        <w:trPr>
          <w:trHeight w:val="325"/>
        </w:trPr>
        <w:tc>
          <w:tcPr>
            <w:tcW w:w="2835" w:type="dxa"/>
            <w:tcBorders>
              <w:top w:val="single" w:sz="4" w:space="0" w:color="1B556B" w:themeColor="text2"/>
              <w:bottom w:val="single" w:sz="4" w:space="0" w:color="1B556B" w:themeColor="text2"/>
            </w:tcBorders>
            <w:noWrap/>
            <w:vAlign w:val="bottom"/>
            <w:hideMark/>
          </w:tcPr>
          <w:p w14:paraId="07D64834" w14:textId="77777777" w:rsidR="00447423" w:rsidRPr="002A3CBE" w:rsidRDefault="00447423" w:rsidP="00F16E23">
            <w:pPr>
              <w:pStyle w:val="TableText"/>
            </w:pPr>
            <w:r w:rsidRPr="002A3CBE">
              <w:t>CO emission factor</w:t>
            </w:r>
          </w:p>
        </w:tc>
        <w:tc>
          <w:tcPr>
            <w:tcW w:w="1560" w:type="dxa"/>
            <w:tcBorders>
              <w:top w:val="single" w:sz="4" w:space="0" w:color="1B556B" w:themeColor="text2"/>
              <w:bottom w:val="single" w:sz="4" w:space="0" w:color="1B556B" w:themeColor="text2"/>
            </w:tcBorders>
            <w:noWrap/>
            <w:hideMark/>
          </w:tcPr>
          <w:p w14:paraId="429CB49A" w14:textId="77777777" w:rsidR="00447423" w:rsidRPr="002A3CBE" w:rsidRDefault="00447423" w:rsidP="00F16E23">
            <w:pPr>
              <w:pStyle w:val="TableText"/>
              <w:jc w:val="right"/>
            </w:pPr>
            <w:r w:rsidRPr="002A3CBE">
              <w:t>0.06</w:t>
            </w:r>
          </w:p>
        </w:tc>
        <w:tc>
          <w:tcPr>
            <w:tcW w:w="1417" w:type="dxa"/>
            <w:tcBorders>
              <w:top w:val="single" w:sz="4" w:space="0" w:color="1B556B" w:themeColor="text2"/>
              <w:bottom w:val="single" w:sz="4" w:space="0" w:color="1B556B" w:themeColor="text2"/>
            </w:tcBorders>
            <w:noWrap/>
            <w:hideMark/>
          </w:tcPr>
          <w:p w14:paraId="10C95D40" w14:textId="77777777" w:rsidR="00447423" w:rsidRPr="002A3CBE" w:rsidRDefault="00447423" w:rsidP="00F16E23">
            <w:pPr>
              <w:pStyle w:val="TableText"/>
              <w:jc w:val="right"/>
            </w:pPr>
            <w:r w:rsidRPr="002A3CBE">
              <w:t>0.06</w:t>
            </w:r>
          </w:p>
        </w:tc>
        <w:tc>
          <w:tcPr>
            <w:tcW w:w="1701" w:type="dxa"/>
            <w:tcBorders>
              <w:top w:val="single" w:sz="4" w:space="0" w:color="1B556B" w:themeColor="text2"/>
              <w:bottom w:val="single" w:sz="4" w:space="0" w:color="1B556B" w:themeColor="text2"/>
            </w:tcBorders>
            <w:noWrap/>
            <w:hideMark/>
          </w:tcPr>
          <w:p w14:paraId="180B29E8" w14:textId="77777777" w:rsidR="00447423" w:rsidRPr="002A3CBE" w:rsidRDefault="00447423" w:rsidP="00F16E23">
            <w:pPr>
              <w:pStyle w:val="TableText"/>
              <w:jc w:val="right"/>
            </w:pPr>
            <w:r w:rsidRPr="002A3CBE">
              <w:t>0.06</w:t>
            </w:r>
          </w:p>
        </w:tc>
        <w:tc>
          <w:tcPr>
            <w:tcW w:w="1617" w:type="dxa"/>
            <w:tcBorders>
              <w:top w:val="single" w:sz="4" w:space="0" w:color="1B556B" w:themeColor="text2"/>
              <w:bottom w:val="single" w:sz="4" w:space="0" w:color="1B556B" w:themeColor="text2"/>
            </w:tcBorders>
            <w:noWrap/>
            <w:hideMark/>
          </w:tcPr>
          <w:p w14:paraId="7F5371F5" w14:textId="77777777" w:rsidR="00447423" w:rsidRPr="002A3CBE" w:rsidRDefault="00447423" w:rsidP="00F16E23">
            <w:pPr>
              <w:pStyle w:val="TableText"/>
              <w:jc w:val="right"/>
            </w:pPr>
            <w:r w:rsidRPr="002A3CBE">
              <w:t>0.06</w:t>
            </w:r>
          </w:p>
        </w:tc>
        <w:tc>
          <w:tcPr>
            <w:tcW w:w="1200" w:type="dxa"/>
            <w:tcBorders>
              <w:top w:val="single" w:sz="4" w:space="0" w:color="1B556B" w:themeColor="text2"/>
              <w:bottom w:val="single" w:sz="4" w:space="0" w:color="1B556B" w:themeColor="text2"/>
            </w:tcBorders>
            <w:noWrap/>
            <w:hideMark/>
          </w:tcPr>
          <w:p w14:paraId="3F47CB8D" w14:textId="77777777" w:rsidR="00447423" w:rsidRPr="002A3CBE" w:rsidRDefault="00447423" w:rsidP="00F16E23">
            <w:pPr>
              <w:pStyle w:val="TableText"/>
              <w:jc w:val="right"/>
            </w:pPr>
            <w:r w:rsidRPr="002A3CBE">
              <w:t>0.09</w:t>
            </w:r>
          </w:p>
        </w:tc>
        <w:tc>
          <w:tcPr>
            <w:tcW w:w="1200" w:type="dxa"/>
            <w:tcBorders>
              <w:top w:val="single" w:sz="4" w:space="0" w:color="1B556B" w:themeColor="text2"/>
              <w:bottom w:val="single" w:sz="4" w:space="0" w:color="1B556B" w:themeColor="text2"/>
            </w:tcBorders>
            <w:noWrap/>
            <w:hideMark/>
          </w:tcPr>
          <w:p w14:paraId="4058AA54" w14:textId="77777777" w:rsidR="00447423" w:rsidRPr="002A3CBE" w:rsidRDefault="00447423" w:rsidP="00F16E23">
            <w:pPr>
              <w:pStyle w:val="TableText"/>
              <w:jc w:val="right"/>
            </w:pPr>
            <w:r w:rsidRPr="002A3CBE">
              <w:t>0.10</w:t>
            </w:r>
          </w:p>
        </w:tc>
        <w:tc>
          <w:tcPr>
            <w:tcW w:w="1315" w:type="dxa"/>
            <w:tcBorders>
              <w:top w:val="single" w:sz="4" w:space="0" w:color="1B556B" w:themeColor="text2"/>
              <w:bottom w:val="single" w:sz="4" w:space="0" w:color="1B556B" w:themeColor="text2"/>
            </w:tcBorders>
            <w:noWrap/>
            <w:hideMark/>
          </w:tcPr>
          <w:p w14:paraId="248B24A5" w14:textId="77777777" w:rsidR="00447423" w:rsidRPr="002A3CBE" w:rsidRDefault="00447423" w:rsidP="00F16E23">
            <w:pPr>
              <w:pStyle w:val="TableText"/>
              <w:jc w:val="right"/>
            </w:pPr>
            <w:r w:rsidRPr="002A3CBE">
              <w:t>0.09</w:t>
            </w:r>
          </w:p>
        </w:tc>
        <w:tc>
          <w:tcPr>
            <w:tcW w:w="1157" w:type="dxa"/>
            <w:tcBorders>
              <w:top w:val="single" w:sz="4" w:space="0" w:color="1B556B" w:themeColor="text2"/>
              <w:bottom w:val="single" w:sz="4" w:space="0" w:color="1B556B" w:themeColor="text2"/>
            </w:tcBorders>
            <w:noWrap/>
            <w:hideMark/>
          </w:tcPr>
          <w:p w14:paraId="09099667" w14:textId="77777777" w:rsidR="00447423" w:rsidRPr="002A3CBE" w:rsidRDefault="00447423" w:rsidP="00F16E23">
            <w:pPr>
              <w:pStyle w:val="TableText"/>
              <w:jc w:val="right"/>
            </w:pPr>
            <w:r w:rsidRPr="002A3CBE">
              <w:t>0.10</w:t>
            </w:r>
          </w:p>
        </w:tc>
      </w:tr>
      <w:tr w:rsidR="00447423" w:rsidRPr="002A3CBE" w14:paraId="1A2EA95B" w14:textId="77777777" w:rsidTr="0034039A">
        <w:trPr>
          <w:trHeight w:val="325"/>
        </w:trPr>
        <w:tc>
          <w:tcPr>
            <w:tcW w:w="2835" w:type="dxa"/>
            <w:tcBorders>
              <w:top w:val="single" w:sz="4" w:space="0" w:color="1B556B" w:themeColor="text2"/>
              <w:bottom w:val="single" w:sz="4" w:space="0" w:color="1B556B" w:themeColor="text2"/>
            </w:tcBorders>
            <w:noWrap/>
            <w:vAlign w:val="bottom"/>
            <w:hideMark/>
          </w:tcPr>
          <w:p w14:paraId="35AFFA46" w14:textId="77777777" w:rsidR="00447423" w:rsidRPr="002A3CBE" w:rsidRDefault="00447423" w:rsidP="00F16E23">
            <w:pPr>
              <w:pStyle w:val="TableText"/>
            </w:pPr>
            <w:r w:rsidRPr="002A3CBE">
              <w:t>CH</w:t>
            </w:r>
            <w:r w:rsidRPr="002A3CBE">
              <w:rPr>
                <w:vertAlign w:val="subscript"/>
              </w:rPr>
              <w:t>4</w:t>
            </w:r>
            <w:r w:rsidRPr="002A3CBE">
              <w:t xml:space="preserve"> emission factor</w:t>
            </w:r>
          </w:p>
        </w:tc>
        <w:tc>
          <w:tcPr>
            <w:tcW w:w="1560" w:type="dxa"/>
            <w:tcBorders>
              <w:top w:val="single" w:sz="4" w:space="0" w:color="1B556B" w:themeColor="text2"/>
              <w:bottom w:val="single" w:sz="4" w:space="0" w:color="1B556B" w:themeColor="text2"/>
            </w:tcBorders>
            <w:noWrap/>
            <w:hideMark/>
          </w:tcPr>
          <w:p w14:paraId="3B211377" w14:textId="77777777" w:rsidR="00447423" w:rsidRPr="002A3CBE" w:rsidRDefault="00447423" w:rsidP="00F16E23">
            <w:pPr>
              <w:pStyle w:val="TableText"/>
              <w:jc w:val="right"/>
            </w:pPr>
            <w:r w:rsidRPr="002A3CBE">
              <w:t>0.00</w:t>
            </w:r>
          </w:p>
        </w:tc>
        <w:tc>
          <w:tcPr>
            <w:tcW w:w="1417" w:type="dxa"/>
            <w:tcBorders>
              <w:top w:val="single" w:sz="4" w:space="0" w:color="1B556B" w:themeColor="text2"/>
              <w:bottom w:val="single" w:sz="4" w:space="0" w:color="1B556B" w:themeColor="text2"/>
            </w:tcBorders>
            <w:noWrap/>
            <w:hideMark/>
          </w:tcPr>
          <w:p w14:paraId="7EF4935E" w14:textId="77777777" w:rsidR="00447423" w:rsidRPr="002A3CBE" w:rsidRDefault="00447423" w:rsidP="00F16E23">
            <w:pPr>
              <w:pStyle w:val="TableText"/>
              <w:jc w:val="right"/>
            </w:pPr>
            <w:r w:rsidRPr="002A3CBE">
              <w:t>0.00</w:t>
            </w:r>
          </w:p>
        </w:tc>
        <w:tc>
          <w:tcPr>
            <w:tcW w:w="1701" w:type="dxa"/>
            <w:tcBorders>
              <w:top w:val="single" w:sz="4" w:space="0" w:color="1B556B" w:themeColor="text2"/>
              <w:bottom w:val="single" w:sz="4" w:space="0" w:color="1B556B" w:themeColor="text2"/>
            </w:tcBorders>
            <w:noWrap/>
            <w:hideMark/>
          </w:tcPr>
          <w:p w14:paraId="07C686DF" w14:textId="77777777" w:rsidR="00447423" w:rsidRPr="002A3CBE" w:rsidRDefault="00447423" w:rsidP="00F16E23">
            <w:pPr>
              <w:pStyle w:val="TableText"/>
              <w:jc w:val="right"/>
            </w:pPr>
            <w:r w:rsidRPr="002A3CBE">
              <w:t>0.00</w:t>
            </w:r>
          </w:p>
        </w:tc>
        <w:tc>
          <w:tcPr>
            <w:tcW w:w="1617" w:type="dxa"/>
            <w:tcBorders>
              <w:top w:val="single" w:sz="4" w:space="0" w:color="1B556B" w:themeColor="text2"/>
              <w:bottom w:val="single" w:sz="4" w:space="0" w:color="1B556B" w:themeColor="text2"/>
            </w:tcBorders>
            <w:noWrap/>
            <w:hideMark/>
          </w:tcPr>
          <w:p w14:paraId="6630C717" w14:textId="77777777" w:rsidR="00447423" w:rsidRPr="002A3CBE" w:rsidRDefault="00447423" w:rsidP="00F16E23">
            <w:pPr>
              <w:pStyle w:val="TableText"/>
              <w:jc w:val="right"/>
            </w:pPr>
            <w:r w:rsidRPr="002A3CBE">
              <w:t>0.00</w:t>
            </w:r>
          </w:p>
        </w:tc>
        <w:tc>
          <w:tcPr>
            <w:tcW w:w="1200" w:type="dxa"/>
            <w:tcBorders>
              <w:top w:val="single" w:sz="4" w:space="0" w:color="1B556B" w:themeColor="text2"/>
              <w:bottom w:val="single" w:sz="4" w:space="0" w:color="1B556B" w:themeColor="text2"/>
            </w:tcBorders>
            <w:noWrap/>
            <w:hideMark/>
          </w:tcPr>
          <w:p w14:paraId="7852B264" w14:textId="77777777" w:rsidR="00447423" w:rsidRPr="002A3CBE" w:rsidRDefault="00447423" w:rsidP="00F16E23">
            <w:pPr>
              <w:pStyle w:val="TableText"/>
              <w:jc w:val="right"/>
            </w:pPr>
            <w:r w:rsidRPr="002A3CBE">
              <w:t>0.01</w:t>
            </w:r>
          </w:p>
        </w:tc>
        <w:tc>
          <w:tcPr>
            <w:tcW w:w="1200" w:type="dxa"/>
            <w:tcBorders>
              <w:top w:val="single" w:sz="4" w:space="0" w:color="1B556B" w:themeColor="text2"/>
              <w:bottom w:val="single" w:sz="4" w:space="0" w:color="1B556B" w:themeColor="text2"/>
            </w:tcBorders>
            <w:noWrap/>
            <w:hideMark/>
          </w:tcPr>
          <w:p w14:paraId="17929BE5" w14:textId="77777777" w:rsidR="00447423" w:rsidRPr="002A3CBE" w:rsidRDefault="00447423" w:rsidP="00F16E23">
            <w:pPr>
              <w:pStyle w:val="TableText"/>
              <w:jc w:val="right"/>
            </w:pPr>
            <w:r w:rsidRPr="002A3CBE">
              <w:t>0.01</w:t>
            </w:r>
          </w:p>
        </w:tc>
        <w:tc>
          <w:tcPr>
            <w:tcW w:w="1315" w:type="dxa"/>
            <w:tcBorders>
              <w:top w:val="single" w:sz="4" w:space="0" w:color="1B556B" w:themeColor="text2"/>
              <w:bottom w:val="single" w:sz="4" w:space="0" w:color="1B556B" w:themeColor="text2"/>
            </w:tcBorders>
            <w:noWrap/>
            <w:hideMark/>
          </w:tcPr>
          <w:p w14:paraId="6E735384" w14:textId="77777777" w:rsidR="00447423" w:rsidRPr="002A3CBE" w:rsidRDefault="00447423" w:rsidP="00F16E23">
            <w:pPr>
              <w:pStyle w:val="TableText"/>
              <w:jc w:val="right"/>
            </w:pPr>
            <w:r w:rsidRPr="002A3CBE">
              <w:t>0.01</w:t>
            </w:r>
          </w:p>
        </w:tc>
        <w:tc>
          <w:tcPr>
            <w:tcW w:w="1157" w:type="dxa"/>
            <w:tcBorders>
              <w:top w:val="single" w:sz="4" w:space="0" w:color="1B556B" w:themeColor="text2"/>
              <w:bottom w:val="single" w:sz="4" w:space="0" w:color="1B556B" w:themeColor="text2"/>
            </w:tcBorders>
            <w:noWrap/>
            <w:hideMark/>
          </w:tcPr>
          <w:p w14:paraId="5957D90D" w14:textId="77777777" w:rsidR="00447423" w:rsidRPr="002A3CBE" w:rsidRDefault="00447423" w:rsidP="00F16E23">
            <w:pPr>
              <w:pStyle w:val="TableText"/>
              <w:jc w:val="right"/>
            </w:pPr>
            <w:r w:rsidRPr="002A3CBE">
              <w:t>0.01</w:t>
            </w:r>
          </w:p>
        </w:tc>
      </w:tr>
      <w:tr w:rsidR="00447423" w:rsidRPr="002A3CBE" w14:paraId="34BD1647" w14:textId="77777777" w:rsidTr="0034039A">
        <w:trPr>
          <w:trHeight w:val="325"/>
        </w:trPr>
        <w:tc>
          <w:tcPr>
            <w:tcW w:w="2835" w:type="dxa"/>
            <w:tcBorders>
              <w:top w:val="single" w:sz="4" w:space="0" w:color="1B556B" w:themeColor="text2"/>
              <w:bottom w:val="single" w:sz="4" w:space="0" w:color="1B556B" w:themeColor="text2"/>
            </w:tcBorders>
            <w:noWrap/>
            <w:vAlign w:val="bottom"/>
            <w:hideMark/>
          </w:tcPr>
          <w:p w14:paraId="0B23D58A" w14:textId="77777777" w:rsidR="00447423" w:rsidRPr="002A3CBE" w:rsidRDefault="00447423" w:rsidP="00F16E23">
            <w:pPr>
              <w:pStyle w:val="TableText"/>
            </w:pPr>
            <w:r w:rsidRPr="002A3CBE">
              <w:t>N</w:t>
            </w:r>
            <w:r w:rsidRPr="002A3CBE">
              <w:rPr>
                <w:vertAlign w:val="subscript"/>
              </w:rPr>
              <w:t>2</w:t>
            </w:r>
            <w:r w:rsidRPr="002A3CBE">
              <w:t>O emission factor</w:t>
            </w:r>
          </w:p>
        </w:tc>
        <w:tc>
          <w:tcPr>
            <w:tcW w:w="1560" w:type="dxa"/>
            <w:tcBorders>
              <w:top w:val="single" w:sz="4" w:space="0" w:color="1B556B" w:themeColor="text2"/>
              <w:bottom w:val="single" w:sz="4" w:space="0" w:color="1B556B" w:themeColor="text2"/>
            </w:tcBorders>
            <w:noWrap/>
            <w:hideMark/>
          </w:tcPr>
          <w:p w14:paraId="78C3BB90" w14:textId="77777777" w:rsidR="00447423" w:rsidRPr="002A3CBE" w:rsidRDefault="00447423" w:rsidP="00F16E23">
            <w:pPr>
              <w:pStyle w:val="TableText"/>
              <w:jc w:val="right"/>
            </w:pPr>
            <w:r w:rsidRPr="002A3CBE">
              <w:t>0.03</w:t>
            </w:r>
          </w:p>
        </w:tc>
        <w:tc>
          <w:tcPr>
            <w:tcW w:w="1417" w:type="dxa"/>
            <w:tcBorders>
              <w:top w:val="single" w:sz="4" w:space="0" w:color="1B556B" w:themeColor="text2"/>
              <w:bottom w:val="single" w:sz="4" w:space="0" w:color="1B556B" w:themeColor="text2"/>
            </w:tcBorders>
            <w:noWrap/>
            <w:hideMark/>
          </w:tcPr>
          <w:p w14:paraId="07FF7881" w14:textId="77777777" w:rsidR="00447423" w:rsidRPr="002A3CBE" w:rsidRDefault="00447423" w:rsidP="00F16E23">
            <w:pPr>
              <w:pStyle w:val="TableText"/>
              <w:jc w:val="right"/>
            </w:pPr>
            <w:r w:rsidRPr="002A3CBE">
              <w:t>0.03</w:t>
            </w:r>
          </w:p>
        </w:tc>
        <w:tc>
          <w:tcPr>
            <w:tcW w:w="1701" w:type="dxa"/>
            <w:tcBorders>
              <w:top w:val="single" w:sz="4" w:space="0" w:color="1B556B" w:themeColor="text2"/>
              <w:bottom w:val="single" w:sz="4" w:space="0" w:color="1B556B" w:themeColor="text2"/>
            </w:tcBorders>
            <w:noWrap/>
            <w:hideMark/>
          </w:tcPr>
          <w:p w14:paraId="6EBEA3A2" w14:textId="77777777" w:rsidR="00447423" w:rsidRPr="002A3CBE" w:rsidRDefault="00447423" w:rsidP="00F16E23">
            <w:pPr>
              <w:pStyle w:val="TableText"/>
              <w:jc w:val="right"/>
            </w:pPr>
            <w:r w:rsidRPr="002A3CBE">
              <w:t>0.03</w:t>
            </w:r>
          </w:p>
        </w:tc>
        <w:tc>
          <w:tcPr>
            <w:tcW w:w="1617" w:type="dxa"/>
            <w:tcBorders>
              <w:top w:val="single" w:sz="4" w:space="0" w:color="1B556B" w:themeColor="text2"/>
              <w:bottom w:val="single" w:sz="4" w:space="0" w:color="1B556B" w:themeColor="text2"/>
            </w:tcBorders>
            <w:noWrap/>
            <w:hideMark/>
          </w:tcPr>
          <w:p w14:paraId="22987597" w14:textId="77777777" w:rsidR="00447423" w:rsidRPr="002A3CBE" w:rsidRDefault="00447423" w:rsidP="00F16E23">
            <w:pPr>
              <w:pStyle w:val="TableText"/>
              <w:jc w:val="right"/>
            </w:pPr>
            <w:r w:rsidRPr="002A3CBE">
              <w:t>0.03</w:t>
            </w:r>
          </w:p>
        </w:tc>
        <w:tc>
          <w:tcPr>
            <w:tcW w:w="1200" w:type="dxa"/>
            <w:tcBorders>
              <w:top w:val="single" w:sz="4" w:space="0" w:color="1B556B" w:themeColor="text2"/>
              <w:bottom w:val="single" w:sz="4" w:space="0" w:color="1B556B" w:themeColor="text2"/>
            </w:tcBorders>
            <w:noWrap/>
            <w:hideMark/>
          </w:tcPr>
          <w:p w14:paraId="4DE3DF85" w14:textId="77777777" w:rsidR="00447423" w:rsidRPr="002A3CBE" w:rsidRDefault="00447423" w:rsidP="00F16E23">
            <w:pPr>
              <w:pStyle w:val="TableText"/>
              <w:jc w:val="right"/>
            </w:pPr>
            <w:r w:rsidRPr="002A3CBE">
              <w:t>0.03</w:t>
            </w:r>
          </w:p>
        </w:tc>
        <w:tc>
          <w:tcPr>
            <w:tcW w:w="1200" w:type="dxa"/>
            <w:tcBorders>
              <w:top w:val="single" w:sz="4" w:space="0" w:color="1B556B" w:themeColor="text2"/>
              <w:bottom w:val="single" w:sz="4" w:space="0" w:color="1B556B" w:themeColor="text2"/>
            </w:tcBorders>
            <w:noWrap/>
            <w:hideMark/>
          </w:tcPr>
          <w:p w14:paraId="3A02DDF7" w14:textId="77777777" w:rsidR="00447423" w:rsidRPr="002A3CBE" w:rsidRDefault="00447423" w:rsidP="00F16E23">
            <w:pPr>
              <w:pStyle w:val="TableText"/>
              <w:jc w:val="right"/>
            </w:pPr>
            <w:r w:rsidRPr="002A3CBE">
              <w:t>0.04</w:t>
            </w:r>
          </w:p>
        </w:tc>
        <w:tc>
          <w:tcPr>
            <w:tcW w:w="1315" w:type="dxa"/>
            <w:tcBorders>
              <w:top w:val="single" w:sz="4" w:space="0" w:color="1B556B" w:themeColor="text2"/>
              <w:bottom w:val="single" w:sz="4" w:space="0" w:color="1B556B" w:themeColor="text2"/>
            </w:tcBorders>
            <w:noWrap/>
            <w:hideMark/>
          </w:tcPr>
          <w:p w14:paraId="1B0A0EBF" w14:textId="77777777" w:rsidR="00447423" w:rsidRPr="002A3CBE" w:rsidRDefault="00447423" w:rsidP="00F16E23">
            <w:pPr>
              <w:pStyle w:val="TableText"/>
              <w:jc w:val="right"/>
            </w:pPr>
            <w:r w:rsidRPr="002A3CBE">
              <w:t>0.03</w:t>
            </w:r>
          </w:p>
        </w:tc>
        <w:tc>
          <w:tcPr>
            <w:tcW w:w="1157" w:type="dxa"/>
            <w:tcBorders>
              <w:top w:val="single" w:sz="4" w:space="0" w:color="1B556B" w:themeColor="text2"/>
              <w:bottom w:val="single" w:sz="4" w:space="0" w:color="1B556B" w:themeColor="text2"/>
            </w:tcBorders>
            <w:noWrap/>
            <w:hideMark/>
          </w:tcPr>
          <w:p w14:paraId="6BE469D6" w14:textId="77777777" w:rsidR="00447423" w:rsidRPr="002A3CBE" w:rsidRDefault="00447423" w:rsidP="00F16E23">
            <w:pPr>
              <w:pStyle w:val="TableText"/>
              <w:jc w:val="right"/>
            </w:pPr>
            <w:r w:rsidRPr="002A3CBE">
              <w:t>0.04</w:t>
            </w:r>
          </w:p>
        </w:tc>
      </w:tr>
      <w:tr w:rsidR="00447423" w:rsidRPr="002A3CBE" w14:paraId="177EBFF8" w14:textId="77777777" w:rsidTr="0034039A">
        <w:trPr>
          <w:trHeight w:val="325"/>
        </w:trPr>
        <w:tc>
          <w:tcPr>
            <w:tcW w:w="2835" w:type="dxa"/>
            <w:tcBorders>
              <w:top w:val="single" w:sz="4" w:space="0" w:color="1B556B" w:themeColor="text2"/>
              <w:bottom w:val="single" w:sz="4" w:space="0" w:color="1B556B" w:themeColor="text2"/>
            </w:tcBorders>
            <w:noWrap/>
            <w:vAlign w:val="bottom"/>
            <w:hideMark/>
          </w:tcPr>
          <w:p w14:paraId="550C6C0C" w14:textId="77777777" w:rsidR="00447423" w:rsidRPr="002A3CBE" w:rsidRDefault="00447423" w:rsidP="00F16E23">
            <w:pPr>
              <w:pStyle w:val="TableText"/>
            </w:pPr>
            <w:r w:rsidRPr="002A3CBE">
              <w:t>NO</w:t>
            </w:r>
            <w:r w:rsidRPr="002A3CBE">
              <w:rPr>
                <w:vertAlign w:val="subscript"/>
              </w:rPr>
              <w:t xml:space="preserve">x </w:t>
            </w:r>
            <w:r w:rsidRPr="002A3CBE">
              <w:t>emission factor</w:t>
            </w:r>
          </w:p>
        </w:tc>
        <w:tc>
          <w:tcPr>
            <w:tcW w:w="1560" w:type="dxa"/>
            <w:tcBorders>
              <w:top w:val="single" w:sz="4" w:space="0" w:color="1B556B" w:themeColor="text2"/>
              <w:bottom w:val="single" w:sz="4" w:space="0" w:color="1B556B" w:themeColor="text2"/>
            </w:tcBorders>
            <w:noWrap/>
            <w:hideMark/>
          </w:tcPr>
          <w:p w14:paraId="5899E26C" w14:textId="77777777" w:rsidR="00447423" w:rsidRPr="002A3CBE" w:rsidRDefault="00447423" w:rsidP="00F16E23">
            <w:pPr>
              <w:pStyle w:val="TableText"/>
              <w:jc w:val="right"/>
            </w:pPr>
            <w:r w:rsidRPr="002A3CBE">
              <w:t>0.27</w:t>
            </w:r>
          </w:p>
        </w:tc>
        <w:tc>
          <w:tcPr>
            <w:tcW w:w="1417" w:type="dxa"/>
            <w:tcBorders>
              <w:top w:val="single" w:sz="4" w:space="0" w:color="1B556B" w:themeColor="text2"/>
              <w:bottom w:val="single" w:sz="4" w:space="0" w:color="1B556B" w:themeColor="text2"/>
            </w:tcBorders>
            <w:noWrap/>
            <w:hideMark/>
          </w:tcPr>
          <w:p w14:paraId="22902FD0" w14:textId="77777777" w:rsidR="00447423" w:rsidRPr="002A3CBE" w:rsidRDefault="00447423" w:rsidP="00F16E23">
            <w:pPr>
              <w:pStyle w:val="TableText"/>
              <w:jc w:val="right"/>
            </w:pPr>
            <w:r w:rsidRPr="002A3CBE">
              <w:t>0.27</w:t>
            </w:r>
          </w:p>
        </w:tc>
        <w:tc>
          <w:tcPr>
            <w:tcW w:w="1701" w:type="dxa"/>
            <w:tcBorders>
              <w:top w:val="single" w:sz="4" w:space="0" w:color="1B556B" w:themeColor="text2"/>
              <w:bottom w:val="single" w:sz="4" w:space="0" w:color="1B556B" w:themeColor="text2"/>
            </w:tcBorders>
            <w:noWrap/>
            <w:hideMark/>
          </w:tcPr>
          <w:p w14:paraId="10870B98" w14:textId="77777777" w:rsidR="00447423" w:rsidRPr="002A3CBE" w:rsidRDefault="00447423" w:rsidP="00F16E23">
            <w:pPr>
              <w:pStyle w:val="TableText"/>
              <w:jc w:val="right"/>
            </w:pPr>
            <w:r w:rsidRPr="002A3CBE">
              <w:t>0.27</w:t>
            </w:r>
          </w:p>
        </w:tc>
        <w:tc>
          <w:tcPr>
            <w:tcW w:w="1617" w:type="dxa"/>
            <w:tcBorders>
              <w:top w:val="single" w:sz="4" w:space="0" w:color="1B556B" w:themeColor="text2"/>
              <w:bottom w:val="single" w:sz="4" w:space="0" w:color="1B556B" w:themeColor="text2"/>
            </w:tcBorders>
            <w:noWrap/>
            <w:hideMark/>
          </w:tcPr>
          <w:p w14:paraId="27D46F35" w14:textId="77777777" w:rsidR="00447423" w:rsidRPr="002A3CBE" w:rsidRDefault="00447423" w:rsidP="00F16E23">
            <w:pPr>
              <w:pStyle w:val="TableText"/>
              <w:jc w:val="right"/>
            </w:pPr>
            <w:r w:rsidRPr="002A3CBE">
              <w:t>0.27</w:t>
            </w:r>
          </w:p>
        </w:tc>
        <w:tc>
          <w:tcPr>
            <w:tcW w:w="1200" w:type="dxa"/>
            <w:tcBorders>
              <w:top w:val="single" w:sz="4" w:space="0" w:color="1B556B" w:themeColor="text2"/>
              <w:bottom w:val="single" w:sz="4" w:space="0" w:color="1B556B" w:themeColor="text2"/>
            </w:tcBorders>
            <w:noWrap/>
            <w:hideMark/>
          </w:tcPr>
          <w:p w14:paraId="1BBB0572" w14:textId="77777777" w:rsidR="00447423" w:rsidRPr="002A3CBE" w:rsidRDefault="00447423" w:rsidP="00F16E23">
            <w:pPr>
              <w:pStyle w:val="TableText"/>
              <w:jc w:val="right"/>
            </w:pPr>
            <w:r w:rsidRPr="002A3CBE">
              <w:t>0.18</w:t>
            </w:r>
          </w:p>
        </w:tc>
        <w:tc>
          <w:tcPr>
            <w:tcW w:w="1200" w:type="dxa"/>
            <w:tcBorders>
              <w:top w:val="single" w:sz="4" w:space="0" w:color="1B556B" w:themeColor="text2"/>
              <w:bottom w:val="single" w:sz="4" w:space="0" w:color="1B556B" w:themeColor="text2"/>
            </w:tcBorders>
            <w:noWrap/>
            <w:hideMark/>
          </w:tcPr>
          <w:p w14:paraId="70CC9AF0" w14:textId="77777777" w:rsidR="00447423" w:rsidRPr="002A3CBE" w:rsidRDefault="00447423" w:rsidP="00F16E23">
            <w:pPr>
              <w:pStyle w:val="TableText"/>
              <w:jc w:val="right"/>
            </w:pPr>
            <w:r w:rsidRPr="002A3CBE">
              <w:t>0.19</w:t>
            </w:r>
          </w:p>
        </w:tc>
        <w:tc>
          <w:tcPr>
            <w:tcW w:w="1315" w:type="dxa"/>
            <w:tcBorders>
              <w:top w:val="single" w:sz="4" w:space="0" w:color="1B556B" w:themeColor="text2"/>
              <w:bottom w:val="single" w:sz="4" w:space="0" w:color="1B556B" w:themeColor="text2"/>
            </w:tcBorders>
            <w:noWrap/>
            <w:hideMark/>
          </w:tcPr>
          <w:p w14:paraId="7460CFB0" w14:textId="77777777" w:rsidR="00447423" w:rsidRPr="002A3CBE" w:rsidRDefault="00447423" w:rsidP="00F16E23">
            <w:pPr>
              <w:pStyle w:val="TableText"/>
              <w:jc w:val="right"/>
            </w:pPr>
            <w:r w:rsidRPr="002A3CBE">
              <w:t>0.18</w:t>
            </w:r>
          </w:p>
        </w:tc>
        <w:tc>
          <w:tcPr>
            <w:tcW w:w="1157" w:type="dxa"/>
            <w:tcBorders>
              <w:top w:val="single" w:sz="4" w:space="0" w:color="1B556B" w:themeColor="text2"/>
              <w:bottom w:val="single" w:sz="4" w:space="0" w:color="1B556B" w:themeColor="text2"/>
            </w:tcBorders>
            <w:noWrap/>
            <w:hideMark/>
          </w:tcPr>
          <w:p w14:paraId="410C7F5C" w14:textId="77777777" w:rsidR="00447423" w:rsidRPr="002A3CBE" w:rsidRDefault="00447423" w:rsidP="00F16E23">
            <w:pPr>
              <w:pStyle w:val="TableText"/>
              <w:jc w:val="right"/>
            </w:pPr>
            <w:r w:rsidRPr="002A3CBE">
              <w:t>0.19</w:t>
            </w:r>
          </w:p>
        </w:tc>
      </w:tr>
    </w:tbl>
    <w:p w14:paraId="749754DF" w14:textId="77777777" w:rsidR="00447423" w:rsidRPr="002A3CBE" w:rsidRDefault="00447423" w:rsidP="00447423">
      <w:pPr>
        <w:pStyle w:val="Noteundertable"/>
      </w:pPr>
      <w:r w:rsidRPr="002A3CBE">
        <w:rPr>
          <w:b/>
          <w:bCs/>
        </w:rPr>
        <w:t>Note:</w:t>
      </w:r>
      <w:r w:rsidRPr="002A3CBE">
        <w:rPr>
          <w:b/>
          <w:bCs/>
        </w:rPr>
        <w:tab/>
      </w:r>
      <w:r w:rsidRPr="002A3CBE">
        <w:t>Values are rounded to two decimal places. *0.51 New Zealand-specific carbon fraction for planted forests (Beets, unpublished).</w:t>
      </w:r>
    </w:p>
    <w:p w14:paraId="6C9FEFA9" w14:textId="77777777" w:rsidR="00447423" w:rsidRPr="002A3CBE" w:rsidRDefault="00447423" w:rsidP="00447423">
      <w:pPr>
        <w:pStyle w:val="BodyText"/>
      </w:pPr>
    </w:p>
    <w:p w14:paraId="4EBA21F3" w14:textId="77777777" w:rsidR="00447423" w:rsidRPr="002A3CBE" w:rsidRDefault="00447423" w:rsidP="00447423">
      <w:pPr>
        <w:sectPr w:rsidR="00447423" w:rsidRPr="002A3CBE" w:rsidSect="00447423">
          <w:footerReference w:type="default" r:id="rId226"/>
          <w:pgSz w:w="16838" w:h="11906" w:orient="landscape"/>
          <w:pgMar w:top="1701" w:right="1418" w:bottom="1701" w:left="1418" w:header="709" w:footer="709" w:gutter="0"/>
          <w:cols w:space="708"/>
          <w:docGrid w:linePitch="360"/>
        </w:sectPr>
      </w:pPr>
    </w:p>
    <w:p w14:paraId="55B55559" w14:textId="77777777" w:rsidR="00447423" w:rsidRPr="002A3CBE" w:rsidRDefault="00447423" w:rsidP="00447423">
      <w:pPr>
        <w:pStyle w:val="Table"/>
        <w:spacing w:before="0"/>
      </w:pPr>
      <w:bookmarkStart w:id="2948" w:name="_Toc131591432"/>
      <w:bookmarkStart w:id="2949" w:name="_Toc158979990"/>
      <w:bookmarkStart w:id="2950" w:name="_Toc164153923"/>
      <w:bookmarkStart w:id="2951" w:name="_Toc190873157"/>
      <w:bookmarkStart w:id="2952" w:name="_Toc194241796"/>
      <w:bookmarkStart w:id="2953" w:name="_Toc222837947"/>
      <w:bookmarkStart w:id="2954" w:name="_Toc226669093"/>
      <w:r w:rsidRPr="002A3CBE">
        <w:t>Table 6.11.5</w:t>
      </w:r>
      <w:r w:rsidRPr="002A3CBE">
        <w:tab/>
        <w:t xml:space="preserve">Summary of </w:t>
      </w:r>
      <w:r w:rsidRPr="002A3CBE">
        <w:rPr>
          <w:i/>
        </w:rPr>
        <w:t>Biomass burning</w:t>
      </w:r>
      <w:r w:rsidRPr="002A3CBE">
        <w:t xml:space="preserve"> combustion factor values</w:t>
      </w:r>
      <w:bookmarkEnd w:id="2948"/>
      <w:bookmarkEnd w:id="2949"/>
      <w:bookmarkEnd w:id="2950"/>
      <w:bookmarkEnd w:id="2951"/>
      <w:bookmarkEnd w:id="2952"/>
      <w:bookmarkEnd w:id="2953"/>
      <w:bookmarkEnd w:id="2954"/>
    </w:p>
    <w:tbl>
      <w:tblPr>
        <w:tblStyle w:val="TableGrid"/>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4"/>
        <w:gridCol w:w="1990"/>
        <w:gridCol w:w="3288"/>
        <w:gridCol w:w="2523"/>
      </w:tblGrid>
      <w:tr w:rsidR="00447423" w:rsidRPr="002A3CBE" w14:paraId="6BDD81E8" w14:textId="77777777" w:rsidTr="00F16E23">
        <w:tc>
          <w:tcPr>
            <w:tcW w:w="8505" w:type="dxa"/>
            <w:gridSpan w:val="4"/>
            <w:tcBorders>
              <w:top w:val="single" w:sz="4" w:space="0" w:color="1B556B"/>
              <w:left w:val="nil"/>
              <w:bottom w:val="single" w:sz="4" w:space="0" w:color="1B556B"/>
              <w:right w:val="nil"/>
            </w:tcBorders>
            <w:shd w:val="clear" w:color="auto" w:fill="1B556B"/>
          </w:tcPr>
          <w:p w14:paraId="28980AA7" w14:textId="77777777" w:rsidR="00447423" w:rsidRPr="002A3CBE" w:rsidRDefault="00447423" w:rsidP="00AF0EDD">
            <w:pPr>
              <w:pStyle w:val="TableTextBold"/>
              <w:spacing w:before="40" w:after="40"/>
              <w:rPr>
                <w:noProof w:val="0"/>
              </w:rPr>
            </w:pPr>
            <w:r w:rsidRPr="002A3CBE">
              <w:rPr>
                <w:noProof w:val="0"/>
                <w:color w:val="FFFFFF" w:themeColor="background1"/>
              </w:rPr>
              <w:t>Combustion factor values (proportion of pre-fire biomass consumed) for fires (IPCC, 2006a, table 2.6)</w:t>
            </w:r>
          </w:p>
        </w:tc>
      </w:tr>
      <w:tr w:rsidR="00447423" w:rsidRPr="002A3CBE" w14:paraId="0E3F9643" w14:textId="77777777" w:rsidTr="00F16E23">
        <w:tc>
          <w:tcPr>
            <w:tcW w:w="5982" w:type="dxa"/>
            <w:gridSpan w:val="3"/>
            <w:tcBorders>
              <w:top w:val="single" w:sz="4" w:space="0" w:color="1B556B"/>
              <w:left w:val="nil"/>
              <w:bottom w:val="single" w:sz="4" w:space="0" w:color="1B556B"/>
              <w:right w:val="nil"/>
            </w:tcBorders>
          </w:tcPr>
          <w:p w14:paraId="2BCD87EF" w14:textId="77777777" w:rsidR="00447423" w:rsidRPr="002A3CBE" w:rsidRDefault="00447423" w:rsidP="00F16E23">
            <w:pPr>
              <w:pStyle w:val="TableTextBold"/>
              <w:spacing w:before="40" w:after="40"/>
              <w:rPr>
                <w:noProof w:val="0"/>
              </w:rPr>
            </w:pPr>
            <w:r w:rsidRPr="002A3CBE">
              <w:rPr>
                <w:noProof w:val="0"/>
              </w:rPr>
              <w:t>Vegetation type</w:t>
            </w:r>
          </w:p>
        </w:tc>
        <w:tc>
          <w:tcPr>
            <w:tcW w:w="2523" w:type="dxa"/>
            <w:tcBorders>
              <w:top w:val="single" w:sz="4" w:space="0" w:color="1B556B"/>
              <w:left w:val="nil"/>
              <w:bottom w:val="single" w:sz="4" w:space="0" w:color="1B556B"/>
              <w:right w:val="nil"/>
            </w:tcBorders>
          </w:tcPr>
          <w:p w14:paraId="06E4AFF9" w14:textId="77777777" w:rsidR="00447423" w:rsidRPr="002A3CBE" w:rsidRDefault="00447423" w:rsidP="00F16E23">
            <w:pPr>
              <w:pStyle w:val="TableTextBold"/>
              <w:spacing w:before="40" w:after="40"/>
              <w:jc w:val="right"/>
              <w:rPr>
                <w:noProof w:val="0"/>
              </w:rPr>
            </w:pPr>
            <w:r w:rsidRPr="002A3CBE">
              <w:rPr>
                <w:noProof w:val="0"/>
              </w:rPr>
              <w:t>Value</w:t>
            </w:r>
          </w:p>
        </w:tc>
      </w:tr>
      <w:tr w:rsidR="00447423" w:rsidRPr="002A3CBE" w14:paraId="7AEBDA1B" w14:textId="77777777" w:rsidTr="00F16E23">
        <w:tc>
          <w:tcPr>
            <w:tcW w:w="704" w:type="dxa"/>
            <w:vMerge w:val="restart"/>
            <w:tcBorders>
              <w:top w:val="single" w:sz="4" w:space="0" w:color="1B556B"/>
              <w:left w:val="nil"/>
              <w:bottom w:val="nil"/>
              <w:right w:val="nil"/>
            </w:tcBorders>
            <w:textDirection w:val="btLr"/>
          </w:tcPr>
          <w:p w14:paraId="387441A9" w14:textId="77777777" w:rsidR="00447423" w:rsidRPr="002A3CBE" w:rsidRDefault="00447423" w:rsidP="00F16E23">
            <w:pPr>
              <w:pStyle w:val="TableTextBold"/>
              <w:spacing w:before="40" w:after="40"/>
              <w:jc w:val="center"/>
              <w:rPr>
                <w:noProof w:val="0"/>
              </w:rPr>
            </w:pPr>
            <w:r w:rsidRPr="002A3CBE">
              <w:rPr>
                <w:noProof w:val="0"/>
              </w:rPr>
              <w:t>Forest</w:t>
            </w:r>
          </w:p>
        </w:tc>
        <w:tc>
          <w:tcPr>
            <w:tcW w:w="1990" w:type="dxa"/>
            <w:vMerge w:val="restart"/>
            <w:tcBorders>
              <w:top w:val="single" w:sz="4" w:space="0" w:color="1B556B"/>
              <w:left w:val="nil"/>
              <w:bottom w:val="nil"/>
              <w:right w:val="nil"/>
            </w:tcBorders>
            <w:vAlign w:val="center"/>
          </w:tcPr>
          <w:p w14:paraId="5F07C882" w14:textId="77777777" w:rsidR="00447423" w:rsidRPr="002A3CBE" w:rsidRDefault="00447423" w:rsidP="00F16E23">
            <w:pPr>
              <w:pStyle w:val="TableText"/>
              <w:spacing w:before="40" w:after="40"/>
            </w:pPr>
            <w:r w:rsidRPr="002A3CBE">
              <w:t>Other temperate forests</w:t>
            </w:r>
          </w:p>
        </w:tc>
        <w:tc>
          <w:tcPr>
            <w:tcW w:w="3288" w:type="dxa"/>
            <w:tcBorders>
              <w:top w:val="single" w:sz="4" w:space="0" w:color="1B556B"/>
              <w:left w:val="nil"/>
              <w:bottom w:val="nil"/>
              <w:right w:val="nil"/>
            </w:tcBorders>
          </w:tcPr>
          <w:p w14:paraId="48A41471" w14:textId="77777777" w:rsidR="00447423" w:rsidRPr="002A3CBE" w:rsidRDefault="00447423" w:rsidP="00F16E23">
            <w:pPr>
              <w:pStyle w:val="TableText"/>
              <w:spacing w:before="40" w:after="40"/>
            </w:pPr>
            <w:r w:rsidRPr="002A3CBE">
              <w:t>Post-logging slash burn</w:t>
            </w:r>
          </w:p>
        </w:tc>
        <w:tc>
          <w:tcPr>
            <w:tcW w:w="2523" w:type="dxa"/>
            <w:tcBorders>
              <w:top w:val="single" w:sz="4" w:space="0" w:color="1B556B"/>
              <w:left w:val="nil"/>
              <w:bottom w:val="nil"/>
              <w:right w:val="nil"/>
            </w:tcBorders>
          </w:tcPr>
          <w:p w14:paraId="59B11E7F" w14:textId="77777777" w:rsidR="00447423" w:rsidRPr="002A3CBE" w:rsidRDefault="00447423" w:rsidP="00F16E23">
            <w:pPr>
              <w:pStyle w:val="TableText"/>
              <w:spacing w:before="40" w:after="40"/>
              <w:jc w:val="right"/>
            </w:pPr>
            <w:r w:rsidRPr="002A3CBE">
              <w:t>0.62</w:t>
            </w:r>
          </w:p>
        </w:tc>
      </w:tr>
      <w:tr w:rsidR="00447423" w:rsidRPr="002A3CBE" w14:paraId="2716EECF" w14:textId="77777777" w:rsidTr="00F16E23">
        <w:tc>
          <w:tcPr>
            <w:tcW w:w="704" w:type="dxa"/>
            <w:vMerge/>
            <w:tcBorders>
              <w:top w:val="nil"/>
              <w:left w:val="nil"/>
              <w:bottom w:val="nil"/>
              <w:right w:val="nil"/>
            </w:tcBorders>
          </w:tcPr>
          <w:p w14:paraId="451B3432" w14:textId="77777777" w:rsidR="00447423" w:rsidRPr="002A3CBE" w:rsidRDefault="00447423" w:rsidP="00F16E23">
            <w:pPr>
              <w:pStyle w:val="TableTextBold"/>
              <w:spacing w:before="40" w:after="40"/>
              <w:jc w:val="center"/>
              <w:rPr>
                <w:noProof w:val="0"/>
              </w:rPr>
            </w:pPr>
          </w:p>
        </w:tc>
        <w:tc>
          <w:tcPr>
            <w:tcW w:w="1990" w:type="dxa"/>
            <w:vMerge/>
            <w:tcBorders>
              <w:top w:val="nil"/>
              <w:left w:val="nil"/>
              <w:bottom w:val="nil"/>
              <w:right w:val="nil"/>
            </w:tcBorders>
          </w:tcPr>
          <w:p w14:paraId="3FAE3BB4" w14:textId="77777777" w:rsidR="00447423" w:rsidRPr="002A3CBE" w:rsidRDefault="00447423" w:rsidP="00F16E23">
            <w:pPr>
              <w:pStyle w:val="TableText"/>
              <w:spacing w:before="40" w:after="40"/>
            </w:pPr>
          </w:p>
        </w:tc>
        <w:tc>
          <w:tcPr>
            <w:tcW w:w="3288" w:type="dxa"/>
            <w:tcBorders>
              <w:top w:val="nil"/>
              <w:left w:val="nil"/>
              <w:bottom w:val="nil"/>
              <w:right w:val="nil"/>
            </w:tcBorders>
          </w:tcPr>
          <w:p w14:paraId="1A35448E" w14:textId="77777777" w:rsidR="00447423" w:rsidRPr="002A3CBE" w:rsidRDefault="00447423" w:rsidP="00F16E23">
            <w:pPr>
              <w:pStyle w:val="TableText"/>
              <w:spacing w:before="40" w:after="40"/>
            </w:pPr>
            <w:r w:rsidRPr="002A3CBE">
              <w:t>Felled and burned (land clearing fire)</w:t>
            </w:r>
          </w:p>
        </w:tc>
        <w:tc>
          <w:tcPr>
            <w:tcW w:w="2523" w:type="dxa"/>
            <w:tcBorders>
              <w:top w:val="nil"/>
              <w:left w:val="nil"/>
              <w:bottom w:val="nil"/>
              <w:right w:val="nil"/>
            </w:tcBorders>
          </w:tcPr>
          <w:p w14:paraId="0893BF1A" w14:textId="77777777" w:rsidR="00447423" w:rsidRPr="002A3CBE" w:rsidRDefault="00447423" w:rsidP="00F16E23">
            <w:pPr>
              <w:pStyle w:val="TableText"/>
              <w:spacing w:before="40" w:after="40"/>
              <w:jc w:val="right"/>
            </w:pPr>
            <w:r w:rsidRPr="002A3CBE">
              <w:t>0.51</w:t>
            </w:r>
          </w:p>
        </w:tc>
      </w:tr>
      <w:tr w:rsidR="00447423" w:rsidRPr="002A3CBE" w14:paraId="5500B4CB" w14:textId="77777777" w:rsidTr="00F16E23">
        <w:tc>
          <w:tcPr>
            <w:tcW w:w="704" w:type="dxa"/>
            <w:vMerge/>
            <w:tcBorders>
              <w:top w:val="nil"/>
              <w:left w:val="nil"/>
              <w:bottom w:val="single" w:sz="4" w:space="0" w:color="1B556B"/>
              <w:right w:val="nil"/>
            </w:tcBorders>
          </w:tcPr>
          <w:p w14:paraId="35D4550A" w14:textId="77777777" w:rsidR="00447423" w:rsidRPr="002A3CBE" w:rsidRDefault="00447423" w:rsidP="00F16E23">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2DCF324E" w14:textId="77777777" w:rsidR="00447423" w:rsidRPr="002A3CBE" w:rsidRDefault="00447423" w:rsidP="00F16E23">
            <w:pPr>
              <w:pStyle w:val="TableText"/>
              <w:spacing w:before="40" w:after="40"/>
            </w:pPr>
            <w:r w:rsidRPr="002A3CBE">
              <w:t>All ‘other’ temperate forests</w:t>
            </w:r>
          </w:p>
        </w:tc>
        <w:tc>
          <w:tcPr>
            <w:tcW w:w="2523" w:type="dxa"/>
            <w:tcBorders>
              <w:top w:val="nil"/>
              <w:left w:val="nil"/>
              <w:bottom w:val="single" w:sz="4" w:space="0" w:color="1B556B"/>
              <w:right w:val="nil"/>
            </w:tcBorders>
          </w:tcPr>
          <w:p w14:paraId="00C9B3BB" w14:textId="77777777" w:rsidR="00447423" w:rsidRPr="002A3CBE" w:rsidRDefault="00447423" w:rsidP="00F16E23">
            <w:pPr>
              <w:pStyle w:val="TableText"/>
              <w:spacing w:before="40" w:after="40"/>
              <w:jc w:val="right"/>
            </w:pPr>
            <w:r w:rsidRPr="002A3CBE">
              <w:t>0.45</w:t>
            </w:r>
          </w:p>
        </w:tc>
      </w:tr>
      <w:tr w:rsidR="00447423" w:rsidRPr="002A3CBE" w14:paraId="51AE86A6" w14:textId="77777777" w:rsidTr="00F16E23">
        <w:tc>
          <w:tcPr>
            <w:tcW w:w="704" w:type="dxa"/>
            <w:vMerge w:val="restart"/>
            <w:tcBorders>
              <w:top w:val="single" w:sz="4" w:space="0" w:color="1B556B"/>
              <w:left w:val="nil"/>
              <w:bottom w:val="nil"/>
              <w:right w:val="nil"/>
            </w:tcBorders>
            <w:textDirection w:val="btLr"/>
          </w:tcPr>
          <w:p w14:paraId="1724C1DE" w14:textId="77777777" w:rsidR="00447423" w:rsidRPr="002A3CBE" w:rsidRDefault="00447423" w:rsidP="00F16E23">
            <w:pPr>
              <w:pStyle w:val="TableTextBold"/>
              <w:spacing w:before="40" w:after="40"/>
              <w:jc w:val="center"/>
              <w:rPr>
                <w:noProof w:val="0"/>
              </w:rPr>
            </w:pPr>
            <w:r w:rsidRPr="002A3CBE">
              <w:rPr>
                <w:noProof w:val="0"/>
              </w:rPr>
              <w:t>GWB and shrubland</w:t>
            </w:r>
          </w:p>
        </w:tc>
        <w:tc>
          <w:tcPr>
            <w:tcW w:w="5278" w:type="dxa"/>
            <w:gridSpan w:val="2"/>
            <w:tcBorders>
              <w:top w:val="single" w:sz="4" w:space="0" w:color="1B556B"/>
              <w:left w:val="nil"/>
              <w:bottom w:val="nil"/>
              <w:right w:val="nil"/>
            </w:tcBorders>
          </w:tcPr>
          <w:p w14:paraId="782E12B9" w14:textId="77777777" w:rsidR="00447423" w:rsidRPr="002A3CBE" w:rsidRDefault="00447423" w:rsidP="00F16E23">
            <w:pPr>
              <w:pStyle w:val="TableText"/>
              <w:spacing w:before="40" w:after="40"/>
            </w:pPr>
            <w:r w:rsidRPr="002A3CBE">
              <w:t>Shrubland (general)</w:t>
            </w:r>
          </w:p>
        </w:tc>
        <w:tc>
          <w:tcPr>
            <w:tcW w:w="2523" w:type="dxa"/>
            <w:tcBorders>
              <w:top w:val="single" w:sz="4" w:space="0" w:color="1B556B"/>
              <w:left w:val="nil"/>
              <w:bottom w:val="nil"/>
              <w:right w:val="nil"/>
            </w:tcBorders>
          </w:tcPr>
          <w:p w14:paraId="1A914270" w14:textId="77777777" w:rsidR="00447423" w:rsidRPr="002A3CBE" w:rsidRDefault="00447423" w:rsidP="00F16E23">
            <w:pPr>
              <w:pStyle w:val="TableText"/>
              <w:spacing w:before="40" w:after="40"/>
              <w:jc w:val="right"/>
            </w:pPr>
            <w:r w:rsidRPr="002A3CBE">
              <w:t>0.95</w:t>
            </w:r>
          </w:p>
        </w:tc>
      </w:tr>
      <w:tr w:rsidR="00447423" w:rsidRPr="002A3CBE" w14:paraId="7DC6C22A" w14:textId="77777777" w:rsidTr="00F16E23">
        <w:tc>
          <w:tcPr>
            <w:tcW w:w="704" w:type="dxa"/>
            <w:vMerge/>
            <w:tcBorders>
              <w:top w:val="nil"/>
              <w:left w:val="nil"/>
              <w:bottom w:val="nil"/>
              <w:right w:val="nil"/>
            </w:tcBorders>
          </w:tcPr>
          <w:p w14:paraId="2F705E7B" w14:textId="77777777" w:rsidR="00447423" w:rsidRPr="002A3CBE" w:rsidRDefault="00447423" w:rsidP="00F16E23">
            <w:pPr>
              <w:pStyle w:val="TableTextBold"/>
              <w:spacing w:before="40" w:after="40"/>
              <w:jc w:val="center"/>
              <w:rPr>
                <w:noProof w:val="0"/>
              </w:rPr>
            </w:pPr>
          </w:p>
        </w:tc>
        <w:tc>
          <w:tcPr>
            <w:tcW w:w="5278" w:type="dxa"/>
            <w:gridSpan w:val="2"/>
            <w:tcBorders>
              <w:top w:val="nil"/>
              <w:left w:val="nil"/>
              <w:bottom w:val="nil"/>
              <w:right w:val="nil"/>
            </w:tcBorders>
          </w:tcPr>
          <w:p w14:paraId="04E555CD" w14:textId="77777777" w:rsidR="00447423" w:rsidRPr="002A3CBE" w:rsidRDefault="00447423" w:rsidP="00F16E23">
            <w:pPr>
              <w:pStyle w:val="TableText"/>
              <w:spacing w:before="40" w:after="40"/>
            </w:pPr>
            <w:r w:rsidRPr="002A3CBE">
              <w:t>All shrubland</w:t>
            </w:r>
          </w:p>
        </w:tc>
        <w:tc>
          <w:tcPr>
            <w:tcW w:w="2523" w:type="dxa"/>
            <w:tcBorders>
              <w:top w:val="nil"/>
              <w:left w:val="nil"/>
              <w:bottom w:val="nil"/>
              <w:right w:val="nil"/>
            </w:tcBorders>
          </w:tcPr>
          <w:p w14:paraId="6D194707" w14:textId="77777777" w:rsidR="00447423" w:rsidRPr="002A3CBE" w:rsidRDefault="00447423" w:rsidP="00F16E23">
            <w:pPr>
              <w:pStyle w:val="TableText"/>
              <w:spacing w:before="40" w:after="40"/>
              <w:jc w:val="right"/>
            </w:pPr>
            <w:r w:rsidRPr="002A3CBE">
              <w:t>0.72</w:t>
            </w:r>
          </w:p>
        </w:tc>
      </w:tr>
      <w:tr w:rsidR="00447423" w:rsidRPr="002A3CBE" w14:paraId="0C78BA75" w14:textId="77777777" w:rsidTr="00F16E23">
        <w:tc>
          <w:tcPr>
            <w:tcW w:w="704" w:type="dxa"/>
            <w:vMerge/>
            <w:tcBorders>
              <w:top w:val="nil"/>
              <w:left w:val="nil"/>
              <w:bottom w:val="single" w:sz="4" w:space="0" w:color="1B556B"/>
              <w:right w:val="nil"/>
            </w:tcBorders>
          </w:tcPr>
          <w:p w14:paraId="4D13B161" w14:textId="77777777" w:rsidR="00447423" w:rsidRPr="002A3CBE" w:rsidRDefault="00447423" w:rsidP="00F16E23">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0788B447" w14:textId="77777777" w:rsidR="00447423" w:rsidRPr="002A3CBE" w:rsidRDefault="00447423" w:rsidP="00F16E23">
            <w:pPr>
              <w:pStyle w:val="TableText"/>
              <w:spacing w:before="40" w:after="40"/>
            </w:pPr>
            <w:r w:rsidRPr="002A3CBE">
              <w:t>GWB New Zealand specific</w:t>
            </w:r>
          </w:p>
        </w:tc>
        <w:tc>
          <w:tcPr>
            <w:tcW w:w="2523" w:type="dxa"/>
            <w:tcBorders>
              <w:top w:val="nil"/>
              <w:left w:val="nil"/>
              <w:bottom w:val="single" w:sz="4" w:space="0" w:color="1B556B"/>
              <w:right w:val="nil"/>
            </w:tcBorders>
          </w:tcPr>
          <w:p w14:paraId="2278B9B3" w14:textId="77777777" w:rsidR="00447423" w:rsidRPr="002A3CBE" w:rsidRDefault="00447423" w:rsidP="00F16E23">
            <w:pPr>
              <w:pStyle w:val="TableText"/>
              <w:spacing w:before="40" w:after="40"/>
              <w:jc w:val="right"/>
            </w:pPr>
            <w:r w:rsidRPr="002A3CBE">
              <w:t>0.70*</w:t>
            </w:r>
          </w:p>
        </w:tc>
      </w:tr>
      <w:tr w:rsidR="00447423" w:rsidRPr="002A3CBE" w14:paraId="4E2A82D9" w14:textId="77777777" w:rsidTr="00F16E23">
        <w:tc>
          <w:tcPr>
            <w:tcW w:w="704" w:type="dxa"/>
            <w:vMerge w:val="restart"/>
            <w:tcBorders>
              <w:top w:val="single" w:sz="4" w:space="0" w:color="1B556B"/>
              <w:left w:val="nil"/>
              <w:bottom w:val="nil"/>
              <w:right w:val="nil"/>
            </w:tcBorders>
            <w:textDirection w:val="btLr"/>
          </w:tcPr>
          <w:p w14:paraId="0E95D759" w14:textId="77777777" w:rsidR="00447423" w:rsidRPr="002A3CBE" w:rsidRDefault="00447423" w:rsidP="00F16E23">
            <w:pPr>
              <w:pStyle w:val="TableTextBold"/>
              <w:spacing w:before="40" w:after="40"/>
              <w:jc w:val="center"/>
              <w:rPr>
                <w:noProof w:val="0"/>
              </w:rPr>
            </w:pPr>
            <w:r w:rsidRPr="002A3CBE">
              <w:rPr>
                <w:noProof w:val="0"/>
              </w:rPr>
              <w:t>Grassland</w:t>
            </w:r>
          </w:p>
        </w:tc>
        <w:tc>
          <w:tcPr>
            <w:tcW w:w="5278" w:type="dxa"/>
            <w:gridSpan w:val="2"/>
            <w:tcBorders>
              <w:top w:val="single" w:sz="4" w:space="0" w:color="1B556B"/>
              <w:left w:val="nil"/>
              <w:bottom w:val="nil"/>
              <w:right w:val="nil"/>
            </w:tcBorders>
          </w:tcPr>
          <w:p w14:paraId="257337B1" w14:textId="77777777" w:rsidR="00447423" w:rsidRPr="002A3CBE" w:rsidRDefault="00447423" w:rsidP="00F16E23">
            <w:pPr>
              <w:pStyle w:val="TableText"/>
              <w:spacing w:before="40" w:after="40"/>
            </w:pPr>
            <w:r w:rsidRPr="002A3CBE">
              <w:t>All savannah/grasslands (early dry season burns)</w:t>
            </w:r>
          </w:p>
        </w:tc>
        <w:tc>
          <w:tcPr>
            <w:tcW w:w="2523" w:type="dxa"/>
            <w:tcBorders>
              <w:top w:val="single" w:sz="4" w:space="0" w:color="1B556B"/>
              <w:left w:val="nil"/>
              <w:bottom w:val="nil"/>
              <w:right w:val="nil"/>
            </w:tcBorders>
          </w:tcPr>
          <w:p w14:paraId="502C4A48" w14:textId="77777777" w:rsidR="00447423" w:rsidRPr="002A3CBE" w:rsidRDefault="00447423" w:rsidP="00F16E23">
            <w:pPr>
              <w:pStyle w:val="TableText"/>
              <w:spacing w:before="40" w:after="40"/>
              <w:jc w:val="right"/>
            </w:pPr>
            <w:r w:rsidRPr="002A3CBE">
              <w:t>0.74</w:t>
            </w:r>
          </w:p>
        </w:tc>
      </w:tr>
      <w:tr w:rsidR="00447423" w:rsidRPr="002A3CBE" w14:paraId="1DF1F789" w14:textId="77777777" w:rsidTr="00F16E23">
        <w:tc>
          <w:tcPr>
            <w:tcW w:w="704" w:type="dxa"/>
            <w:vMerge/>
            <w:tcBorders>
              <w:top w:val="nil"/>
              <w:left w:val="nil"/>
              <w:bottom w:val="nil"/>
              <w:right w:val="nil"/>
            </w:tcBorders>
          </w:tcPr>
          <w:p w14:paraId="4FEA9EBD" w14:textId="77777777" w:rsidR="00447423" w:rsidRPr="002A3CBE" w:rsidRDefault="00447423" w:rsidP="00F16E23">
            <w:pPr>
              <w:spacing w:before="40" w:after="40"/>
              <w:jc w:val="center"/>
              <w:rPr>
                <w:rFonts w:cstheme="minorHAnsi"/>
                <w:sz w:val="16"/>
                <w:szCs w:val="16"/>
              </w:rPr>
            </w:pPr>
          </w:p>
        </w:tc>
        <w:tc>
          <w:tcPr>
            <w:tcW w:w="5278" w:type="dxa"/>
            <w:gridSpan w:val="2"/>
            <w:tcBorders>
              <w:top w:val="nil"/>
              <w:left w:val="nil"/>
              <w:bottom w:val="nil"/>
              <w:right w:val="nil"/>
            </w:tcBorders>
          </w:tcPr>
          <w:p w14:paraId="76D8A5AE" w14:textId="77777777" w:rsidR="00447423" w:rsidRPr="002A3CBE" w:rsidRDefault="00447423" w:rsidP="00F16E23">
            <w:pPr>
              <w:pStyle w:val="TableText"/>
              <w:spacing w:before="40" w:after="40"/>
            </w:pPr>
            <w:r w:rsidRPr="002A3CBE">
              <w:t>All savannah/grasslands (mid/late dry season burns)</w:t>
            </w:r>
          </w:p>
        </w:tc>
        <w:tc>
          <w:tcPr>
            <w:tcW w:w="2523" w:type="dxa"/>
            <w:tcBorders>
              <w:top w:val="nil"/>
              <w:left w:val="nil"/>
              <w:bottom w:val="nil"/>
              <w:right w:val="nil"/>
            </w:tcBorders>
          </w:tcPr>
          <w:p w14:paraId="7058E910" w14:textId="77777777" w:rsidR="00447423" w:rsidRPr="002A3CBE" w:rsidRDefault="00447423" w:rsidP="00F16E23">
            <w:pPr>
              <w:pStyle w:val="TableText"/>
              <w:spacing w:before="40" w:after="40"/>
              <w:jc w:val="right"/>
            </w:pPr>
            <w:r w:rsidRPr="002A3CBE">
              <w:t>0.77</w:t>
            </w:r>
          </w:p>
        </w:tc>
      </w:tr>
      <w:tr w:rsidR="00447423" w:rsidRPr="002A3CBE" w14:paraId="7FCF7D39" w14:textId="77777777" w:rsidTr="00F16E23">
        <w:tc>
          <w:tcPr>
            <w:tcW w:w="704" w:type="dxa"/>
            <w:vMerge/>
            <w:tcBorders>
              <w:top w:val="nil"/>
              <w:left w:val="nil"/>
              <w:bottom w:val="nil"/>
              <w:right w:val="nil"/>
            </w:tcBorders>
          </w:tcPr>
          <w:p w14:paraId="66B20BD3" w14:textId="77777777" w:rsidR="00447423" w:rsidRPr="002A3CBE" w:rsidRDefault="00447423" w:rsidP="00F16E23">
            <w:pPr>
              <w:spacing w:before="40" w:after="40"/>
              <w:jc w:val="center"/>
              <w:rPr>
                <w:rFonts w:cstheme="minorHAnsi"/>
                <w:sz w:val="16"/>
                <w:szCs w:val="16"/>
              </w:rPr>
            </w:pPr>
          </w:p>
        </w:tc>
        <w:tc>
          <w:tcPr>
            <w:tcW w:w="5278" w:type="dxa"/>
            <w:gridSpan w:val="2"/>
            <w:tcBorders>
              <w:top w:val="nil"/>
              <w:left w:val="nil"/>
              <w:bottom w:val="nil"/>
              <w:right w:val="nil"/>
            </w:tcBorders>
          </w:tcPr>
          <w:p w14:paraId="577C7B50" w14:textId="77777777" w:rsidR="00447423" w:rsidRPr="002A3CBE" w:rsidRDefault="00447423" w:rsidP="00F16E23">
            <w:pPr>
              <w:pStyle w:val="TableText"/>
              <w:spacing w:before="40" w:after="40"/>
            </w:pPr>
            <w:r w:rsidRPr="002A3CBE">
              <w:t>Average of IPCC savannah/grasslands</w:t>
            </w:r>
          </w:p>
        </w:tc>
        <w:tc>
          <w:tcPr>
            <w:tcW w:w="2523" w:type="dxa"/>
            <w:tcBorders>
              <w:top w:val="nil"/>
              <w:left w:val="nil"/>
              <w:bottom w:val="nil"/>
              <w:right w:val="nil"/>
            </w:tcBorders>
          </w:tcPr>
          <w:p w14:paraId="5D9387D9" w14:textId="77777777" w:rsidR="00447423" w:rsidRPr="002A3CBE" w:rsidRDefault="00447423" w:rsidP="00F16E23">
            <w:pPr>
              <w:pStyle w:val="TableText"/>
              <w:spacing w:before="40" w:after="40"/>
              <w:jc w:val="right"/>
            </w:pPr>
            <w:r w:rsidRPr="002A3CBE">
              <w:t>0.755</w:t>
            </w:r>
          </w:p>
        </w:tc>
      </w:tr>
      <w:tr w:rsidR="00447423" w:rsidRPr="002A3CBE" w14:paraId="47EFC578" w14:textId="77777777" w:rsidTr="00F16E23">
        <w:tc>
          <w:tcPr>
            <w:tcW w:w="704" w:type="dxa"/>
            <w:vMerge/>
            <w:tcBorders>
              <w:top w:val="nil"/>
              <w:left w:val="nil"/>
              <w:bottom w:val="single" w:sz="4" w:space="0" w:color="auto"/>
              <w:right w:val="nil"/>
            </w:tcBorders>
          </w:tcPr>
          <w:p w14:paraId="5603FB67" w14:textId="77777777" w:rsidR="00447423" w:rsidRPr="002A3CBE" w:rsidRDefault="00447423" w:rsidP="00F16E23">
            <w:pPr>
              <w:spacing w:before="40" w:after="40"/>
              <w:jc w:val="center"/>
              <w:rPr>
                <w:rFonts w:cstheme="minorHAnsi"/>
                <w:sz w:val="16"/>
                <w:szCs w:val="16"/>
              </w:rPr>
            </w:pPr>
          </w:p>
        </w:tc>
        <w:tc>
          <w:tcPr>
            <w:tcW w:w="5278" w:type="dxa"/>
            <w:gridSpan w:val="2"/>
            <w:tcBorders>
              <w:top w:val="nil"/>
              <w:left w:val="nil"/>
              <w:bottom w:val="single" w:sz="4" w:space="0" w:color="auto"/>
              <w:right w:val="nil"/>
            </w:tcBorders>
          </w:tcPr>
          <w:p w14:paraId="71D07675" w14:textId="77777777" w:rsidR="00447423" w:rsidRPr="002A3CBE" w:rsidRDefault="00447423" w:rsidP="00F16E23">
            <w:pPr>
              <w:pStyle w:val="TableText"/>
              <w:spacing w:before="40" w:after="40"/>
            </w:pPr>
            <w:r w:rsidRPr="002A3CBE">
              <w:t>Controlled grassland burn New Zealand specific</w:t>
            </w:r>
          </w:p>
        </w:tc>
        <w:tc>
          <w:tcPr>
            <w:tcW w:w="2523" w:type="dxa"/>
            <w:tcBorders>
              <w:top w:val="nil"/>
              <w:left w:val="nil"/>
              <w:bottom w:val="single" w:sz="4" w:space="0" w:color="auto"/>
              <w:right w:val="nil"/>
            </w:tcBorders>
          </w:tcPr>
          <w:p w14:paraId="655D50C0" w14:textId="77777777" w:rsidR="00447423" w:rsidRPr="002A3CBE" w:rsidRDefault="00447423" w:rsidP="00F16E23">
            <w:pPr>
              <w:pStyle w:val="TableText"/>
              <w:spacing w:before="40" w:after="40"/>
              <w:jc w:val="right"/>
            </w:pPr>
            <w:r w:rsidRPr="002A3CBE">
              <w:t>0.555**</w:t>
            </w:r>
          </w:p>
        </w:tc>
      </w:tr>
    </w:tbl>
    <w:p w14:paraId="54775FC3" w14:textId="77777777" w:rsidR="00447423" w:rsidRPr="002A3CBE" w:rsidRDefault="00447423" w:rsidP="00447423">
      <w:pPr>
        <w:pStyle w:val="Noteundertable"/>
      </w:pPr>
      <w:r w:rsidRPr="002A3CBE">
        <w:rPr>
          <w:b/>
        </w:rPr>
        <w:t>Note:</w:t>
      </w:r>
      <w:r w:rsidRPr="002A3CBE">
        <w:tab/>
        <w:t>GWB = grassland with woody biomass. *Wakelin (unpublished</w:t>
      </w:r>
      <w:r w:rsidRPr="002A3CBE" w:rsidDel="003847CC">
        <w:t>(</w:t>
      </w:r>
      <w:r w:rsidRPr="002A3CBE">
        <w:t>e)), **Payton and Pearce (2009).</w:t>
      </w:r>
    </w:p>
    <w:p w14:paraId="02A1AD83" w14:textId="77777777" w:rsidR="00447423" w:rsidRPr="002A3CBE" w:rsidRDefault="00447423" w:rsidP="00447423">
      <w:pPr>
        <w:pStyle w:val="BodyText"/>
        <w:spacing w:after="100"/>
      </w:pPr>
      <w:r w:rsidRPr="002A3CBE">
        <w:t>For all land uses, CO</w:t>
      </w:r>
      <w:r w:rsidRPr="002A3CBE">
        <w:rPr>
          <w:vertAlign w:val="subscript"/>
        </w:rPr>
        <w:t>2</w:t>
      </w:r>
      <w:r w:rsidRPr="002A3CBE">
        <w:t xml:space="preserve"> emissions are captured in the general stock change calculation following the 2006 IPCC Guidelines (IPCC, 2006a). Carbon dioxide</w:t>
      </w:r>
      <w:r w:rsidRPr="002A3CBE" w:rsidDel="00097907">
        <w:t xml:space="preserve"> </w:t>
      </w:r>
      <w:r w:rsidRPr="002A3CBE">
        <w:t xml:space="preserve">emissions resulting from </w:t>
      </w:r>
      <w:r w:rsidRPr="002A3CBE">
        <w:rPr>
          <w:i/>
        </w:rPr>
        <w:t>Biomass burning</w:t>
      </w:r>
      <w:r w:rsidRPr="002A3CBE">
        <w:t xml:space="preserve"> are reported as IE, where emissions are captured in the stock change calculation within the land use category.</w:t>
      </w:r>
    </w:p>
    <w:p w14:paraId="0F8A1CC3" w14:textId="77777777" w:rsidR="00447423" w:rsidRPr="002A3CBE" w:rsidRDefault="00447423" w:rsidP="00447423">
      <w:pPr>
        <w:pStyle w:val="BodyText"/>
        <w:spacing w:after="100"/>
        <w:rPr>
          <w:spacing w:val="-2"/>
        </w:rPr>
      </w:pPr>
      <w:r w:rsidRPr="002A3CBE">
        <w:t xml:space="preserve">In </w:t>
      </w:r>
      <w:r w:rsidRPr="002A3CBE">
        <w:rPr>
          <w:i/>
          <w:iCs/>
        </w:rPr>
        <w:t>Grassland</w:t>
      </w:r>
      <w:r w:rsidRPr="002A3CBE">
        <w:t>, CO</w:t>
      </w:r>
      <w:r w:rsidRPr="002A3CBE">
        <w:rPr>
          <w:vertAlign w:val="subscript"/>
        </w:rPr>
        <w:t xml:space="preserve">2 </w:t>
      </w:r>
      <w:r w:rsidRPr="002A3CBE">
        <w:t>emissions from biomass burning are assumed to be equal to subsequent regrowth. The assumption of equivalence is accepted as reasonable in this scenario as per the 2006 IPCC Guidelines, section 2.4 and section 6.2.4 (IPCC, 2006a).</w:t>
      </w:r>
    </w:p>
    <w:p w14:paraId="407E11B9" w14:textId="77777777" w:rsidR="00447423" w:rsidRPr="002A3CBE" w:rsidRDefault="00447423" w:rsidP="00447423">
      <w:pPr>
        <w:pStyle w:val="BodyText"/>
        <w:spacing w:after="100"/>
      </w:pPr>
      <w:r w:rsidRPr="002A3CBE">
        <w:rPr>
          <w:spacing w:val="-2"/>
        </w:rPr>
        <w:t xml:space="preserve">In </w:t>
      </w:r>
      <w:r w:rsidRPr="002A3CBE">
        <w:rPr>
          <w:i/>
          <w:iCs/>
          <w:spacing w:val="-2"/>
        </w:rPr>
        <w:t>Cropland</w:t>
      </w:r>
      <w:r w:rsidRPr="002A3CBE">
        <w:rPr>
          <w:spacing w:val="-2"/>
        </w:rPr>
        <w:t xml:space="preserve">, </w:t>
      </w:r>
      <w:r w:rsidRPr="002A3CBE">
        <w:t>CH</w:t>
      </w:r>
      <w:r w:rsidRPr="002A3CBE">
        <w:rPr>
          <w:vertAlign w:val="subscript"/>
        </w:rPr>
        <w:t>4</w:t>
      </w:r>
      <w:r w:rsidRPr="002A3CBE">
        <w:t xml:space="preserve"> and N</w:t>
      </w:r>
      <w:r w:rsidRPr="002A3CBE">
        <w:rPr>
          <w:vertAlign w:val="subscript"/>
        </w:rPr>
        <w:t>2</w:t>
      </w:r>
      <w:r w:rsidRPr="002A3CBE">
        <w:t xml:space="preserve">O emissions from controlled burning are reported as IE. This is because emissions from the burning of crop stubble associated with controlled burning in </w:t>
      </w:r>
      <w:r w:rsidRPr="002A3CBE">
        <w:rPr>
          <w:i/>
          <w:iCs/>
        </w:rPr>
        <w:t>Cropland</w:t>
      </w:r>
      <w:r w:rsidRPr="002A3CBE">
        <w:t xml:space="preserve"> are reported under the Agriculture sector and reported within 3.F.</w:t>
      </w:r>
    </w:p>
    <w:p w14:paraId="3F7ACF7B" w14:textId="77777777" w:rsidR="00447423" w:rsidRPr="002A3CBE" w:rsidRDefault="00447423" w:rsidP="00447423">
      <w:pPr>
        <w:pStyle w:val="BodyText"/>
        <w:spacing w:after="100"/>
      </w:pPr>
      <w:r w:rsidRPr="002A3CBE">
        <w:rPr>
          <w:spacing w:val="-2"/>
        </w:rPr>
        <w:t>Both CO and NO</w:t>
      </w:r>
      <w:r w:rsidRPr="002A3CBE">
        <w:rPr>
          <w:spacing w:val="-2"/>
          <w:vertAlign w:val="subscript"/>
        </w:rPr>
        <w:t>x</w:t>
      </w:r>
      <w:r w:rsidRPr="002A3CBE">
        <w:rPr>
          <w:spacing w:val="-2"/>
        </w:rPr>
        <w:t xml:space="preserve"> are also released from biomass burning and are reported in relevant aggregat</w:t>
      </w:r>
      <w:r w:rsidRPr="002A3CBE">
        <w:t>e land use categories. Carbon monoxide and NO</w:t>
      </w:r>
      <w:r w:rsidRPr="002A3CBE">
        <w:rPr>
          <w:spacing w:val="-2"/>
          <w:vertAlign w:val="subscript"/>
        </w:rPr>
        <w:t>x</w:t>
      </w:r>
      <w:r w:rsidRPr="002A3CBE">
        <w:t xml:space="preserve"> emissions from biomass burning are captured as part of the biomass burning model and reported in the CRTs.</w:t>
      </w:r>
    </w:p>
    <w:p w14:paraId="65768363" w14:textId="77777777" w:rsidR="00447423" w:rsidRPr="002A3CBE" w:rsidRDefault="00447423" w:rsidP="00447423">
      <w:pPr>
        <w:pStyle w:val="BodyText"/>
      </w:pPr>
      <w:r w:rsidRPr="002A3CBE">
        <w:t>Controlled burning emissions are reported within:</w:t>
      </w:r>
    </w:p>
    <w:p w14:paraId="0E9B67C7" w14:textId="77777777" w:rsidR="00447423" w:rsidRPr="002A3CBE" w:rsidRDefault="00447423" w:rsidP="00447423">
      <w:pPr>
        <w:pStyle w:val="Bullet"/>
        <w:numPr>
          <w:ilvl w:val="0"/>
          <w:numId w:val="29"/>
        </w:numPr>
        <w:spacing w:after="100"/>
        <w:ind w:left="397" w:hanging="397"/>
      </w:pPr>
      <w:r w:rsidRPr="002A3CBE">
        <w:rPr>
          <w:i/>
          <w:iCs/>
        </w:rPr>
        <w:t>Grassland</w:t>
      </w:r>
      <w:r w:rsidRPr="002A3CBE">
        <w:t xml:space="preserve"> converted to</w:t>
      </w:r>
      <w:r w:rsidRPr="002A3CBE">
        <w:rPr>
          <w:i/>
          <w:iCs/>
        </w:rPr>
        <w:t xml:space="preserve"> Forest land </w:t>
      </w:r>
      <w:r w:rsidRPr="002A3CBE">
        <w:t>(due to site preparation for conversion)</w:t>
      </w:r>
    </w:p>
    <w:p w14:paraId="7AE8E59A" w14:textId="77777777" w:rsidR="00447423" w:rsidRPr="002A3CBE" w:rsidRDefault="00447423" w:rsidP="00447423">
      <w:pPr>
        <w:pStyle w:val="Bullet"/>
        <w:numPr>
          <w:ilvl w:val="0"/>
          <w:numId w:val="29"/>
        </w:numPr>
        <w:spacing w:after="100"/>
        <w:ind w:left="397" w:hanging="397"/>
      </w:pPr>
      <w:r w:rsidRPr="002A3CBE">
        <w:rPr>
          <w:i/>
          <w:iCs/>
        </w:rPr>
        <w:t>Forest land remaining forest land</w:t>
      </w:r>
      <w:r w:rsidRPr="002A3CBE">
        <w:t xml:space="preserve"> (from the clearing of vegetation (natural forest) before the establishment of exotic planted forest and the burning of post-harvest slash before restocking)</w:t>
      </w:r>
    </w:p>
    <w:p w14:paraId="53BD3A82" w14:textId="77777777" w:rsidR="00447423" w:rsidRPr="002A3CBE" w:rsidRDefault="00447423" w:rsidP="00447423">
      <w:pPr>
        <w:pStyle w:val="Bullet"/>
        <w:numPr>
          <w:ilvl w:val="0"/>
          <w:numId w:val="29"/>
        </w:numPr>
        <w:spacing w:after="100"/>
        <w:ind w:left="397" w:hanging="397"/>
      </w:pPr>
      <w:r w:rsidRPr="002A3CBE">
        <w:rPr>
          <w:i/>
          <w:iCs/>
          <w:spacing w:val="-2"/>
        </w:rPr>
        <w:t xml:space="preserve">Forest land </w:t>
      </w:r>
      <w:r w:rsidRPr="002A3CBE">
        <w:rPr>
          <w:spacing w:val="-2"/>
        </w:rPr>
        <w:t xml:space="preserve">converted to </w:t>
      </w:r>
      <w:r w:rsidRPr="002A3CBE">
        <w:rPr>
          <w:i/>
          <w:iCs/>
          <w:spacing w:val="-2"/>
        </w:rPr>
        <w:t>Grassland</w:t>
      </w:r>
      <w:r w:rsidRPr="002A3CBE">
        <w:rPr>
          <w:spacing w:val="-2"/>
        </w:rPr>
        <w:t xml:space="preserve"> (from controlled burning associated with deforestation</w:t>
      </w:r>
      <w:r w:rsidRPr="002A3CBE">
        <w:t xml:space="preserve">) </w:t>
      </w:r>
    </w:p>
    <w:p w14:paraId="1D7A66EB" w14:textId="77777777" w:rsidR="00447423" w:rsidRPr="002A3CBE" w:rsidRDefault="00447423" w:rsidP="00447423">
      <w:pPr>
        <w:pStyle w:val="Bullet"/>
        <w:numPr>
          <w:ilvl w:val="0"/>
          <w:numId w:val="29"/>
        </w:numPr>
        <w:ind w:left="397" w:hanging="397"/>
      </w:pPr>
      <w:r w:rsidRPr="002A3CBE">
        <w:rPr>
          <w:i/>
          <w:iCs/>
        </w:rPr>
        <w:t>Grassland remaining grassland</w:t>
      </w:r>
      <w:r w:rsidRPr="002A3CBE">
        <w:t xml:space="preserve"> (due to savanna (tussock) and pastureland management practices).</w:t>
      </w:r>
    </w:p>
    <w:p w14:paraId="7BCB091A" w14:textId="77777777" w:rsidR="00447423" w:rsidRPr="002A3CBE" w:rsidRDefault="00447423" w:rsidP="00447423">
      <w:pPr>
        <w:pStyle w:val="BodyText"/>
      </w:pPr>
      <w:r w:rsidRPr="002A3CBE">
        <w:t>Emissions of CO</w:t>
      </w:r>
      <w:r w:rsidRPr="002A3CBE">
        <w:rPr>
          <w:vertAlign w:val="subscript"/>
        </w:rPr>
        <w:t>2</w:t>
      </w:r>
      <w:r w:rsidRPr="002A3CBE">
        <w:t xml:space="preserve"> from wildfires in </w:t>
      </w:r>
      <w:r w:rsidRPr="002A3CBE">
        <w:rPr>
          <w:i/>
        </w:rPr>
        <w:t>Forest land remaining forest land</w:t>
      </w:r>
      <w:r w:rsidRPr="002A3CBE">
        <w:t xml:space="preserve"> are included in the general stock change calculation. In </w:t>
      </w:r>
      <w:r w:rsidRPr="002A3CBE">
        <w:rPr>
          <w:i/>
        </w:rPr>
        <w:t>Forest land remaining forest land</w:t>
      </w:r>
      <w:r w:rsidRPr="002A3CBE">
        <w:t>, burned stands are either harvested (so emissions are included with the harvesting emissions) or left to grow on at reduced stocking. Carbon dioxide emissions are reported when the stand is harvested or deforested (with no reduction in stock when compared with an unburned stand). For both natural and planted forests, emissions from areas burned are captured within the forest plot networks that New Zealand uses to estimate carbon stock change. In these cases, to avoid double counting of CO</w:t>
      </w:r>
      <w:r w:rsidRPr="002A3CBE">
        <w:rPr>
          <w:vertAlign w:val="subscript"/>
        </w:rPr>
        <w:t>2</w:t>
      </w:r>
      <w:r w:rsidRPr="002A3CBE">
        <w:t xml:space="preserve"> emissions, the notation key IE is used.</w:t>
      </w:r>
    </w:p>
    <w:p w14:paraId="37293271" w14:textId="77777777" w:rsidR="00447423" w:rsidRPr="002A3CBE" w:rsidRDefault="00447423" w:rsidP="00447423">
      <w:pPr>
        <w:pStyle w:val="BodyText"/>
        <w:spacing w:before="100" w:after="100"/>
      </w:pPr>
      <w:r w:rsidRPr="002A3CBE">
        <w:t xml:space="preserve">Wildfire activity data are sourced from Fire and Emergency New Zealand (FENZ). Historically, burned areas were estimated and allocated by field staff to vegetation types: grass, tussock, gorse, scrub, wetland, plantation forest and indigenous forest. The process (since 2017) now involves mapping the burn area. This area is overlaid on the 2020 land use map to determine what type of land cover has been burned. </w:t>
      </w:r>
    </w:p>
    <w:p w14:paraId="4280E69A" w14:textId="77777777" w:rsidR="00447423" w:rsidRPr="002A3CBE" w:rsidRDefault="00447423" w:rsidP="00447423">
      <w:pPr>
        <w:pStyle w:val="BodyText"/>
        <w:spacing w:before="100" w:after="100"/>
        <w:rPr>
          <w:rFonts w:cs="Courier New"/>
        </w:rPr>
      </w:pPr>
      <w:r w:rsidRPr="002A3CBE">
        <w:t xml:space="preserve">Activity data for controlled burning for </w:t>
      </w:r>
      <w:r w:rsidRPr="002A3CBE">
        <w:rPr>
          <w:i/>
        </w:rPr>
        <w:t>Forest land</w:t>
      </w:r>
      <w:r w:rsidRPr="002A3CBE">
        <w:t xml:space="preserve"> are estimated based on a 2011 survey of forest owners (Wakelin, unpublished(d)). Activity data (area of land-use change) for </w:t>
      </w:r>
      <w:r w:rsidRPr="002A3CBE">
        <w:rPr>
          <w:i/>
          <w:iCs/>
        </w:rPr>
        <w:t>Grassland with woody biomass</w:t>
      </w:r>
      <w:r w:rsidRPr="002A3CBE">
        <w:t xml:space="preserve"> converted to forest are based on annual land-use changes, as estimated </w:t>
      </w:r>
      <w:r w:rsidRPr="002A3CBE">
        <w:rPr>
          <w:spacing w:val="-2"/>
        </w:rPr>
        <w:t>in section 6.2, and an estimate of area burned from a survey of forest owners. Earlier estimates</w:t>
      </w:r>
      <w:r w:rsidRPr="002A3CBE">
        <w:t xml:space="preserve"> of controlled burning in planted forest (Forest Industry Training and Education Council, 2005; </w:t>
      </w:r>
      <w:r w:rsidRPr="002A3CBE">
        <w:rPr>
          <w:spacing w:val="-2"/>
        </w:rPr>
        <w:t>Robertson, 1998) were used, in addition to the 2011 survey, to provide activity data throughout</w:t>
      </w:r>
      <w:r w:rsidRPr="002A3CBE">
        <w:t xml:space="preserve"> the time series. Further details of the survey findings and extrapolation can be found in volume 2, annex 5, section A5.2.7.</w:t>
      </w:r>
    </w:p>
    <w:p w14:paraId="661B7BB5" w14:textId="77777777" w:rsidR="00447423" w:rsidRPr="002A3CBE" w:rsidRDefault="00447423" w:rsidP="00447423">
      <w:pPr>
        <w:pStyle w:val="BodyText"/>
        <w:spacing w:before="100" w:after="100"/>
      </w:pPr>
      <w:r w:rsidRPr="002A3CBE">
        <w:t>Activity data are combined with emission factors derived from the national forest plot network (see table 6.4.8) to estimate non-CO</w:t>
      </w:r>
      <w:r w:rsidRPr="002A3CBE">
        <w:rPr>
          <w:vertAlign w:val="subscript"/>
        </w:rPr>
        <w:t>2</w:t>
      </w:r>
      <w:r w:rsidRPr="002A3CBE">
        <w:t xml:space="preserve"> emissions from burning associated with the clearing of vegetation before the establishment of exotic planted forest. Below-ground biomass is assumed not to burn. Further detailed information on the methodology applied can be found in volume 2, annex 5, section A5.2.7.</w:t>
      </w:r>
    </w:p>
    <w:p w14:paraId="4765BFD2" w14:textId="77777777" w:rsidR="00447423" w:rsidRPr="002A3CBE" w:rsidRDefault="00447423" w:rsidP="00447423">
      <w:pPr>
        <w:pStyle w:val="BodyText"/>
        <w:spacing w:before="100" w:after="100"/>
      </w:pPr>
      <w:r w:rsidRPr="002A3CBE">
        <w:rPr>
          <w:i/>
        </w:rPr>
        <w:t>Biomass burning</w:t>
      </w:r>
      <w:r w:rsidRPr="002A3CBE">
        <w:t xml:space="preserve"> is not a key category for New Zealand.</w:t>
      </w:r>
    </w:p>
    <w:p w14:paraId="257CB8CD" w14:textId="77777777" w:rsidR="00447423" w:rsidRPr="002A3CBE" w:rsidRDefault="00447423" w:rsidP="00447423">
      <w:pPr>
        <w:pStyle w:val="Heading4"/>
        <w:spacing w:before="200"/>
      </w:pPr>
      <w:bookmarkStart w:id="2955" w:name="_Toc232906997"/>
      <w:bookmarkStart w:id="2956" w:name="_Toc255466321"/>
      <w:bookmarkStart w:id="2957" w:name="_Toc261513128"/>
      <w:bookmarkStart w:id="2958" w:name="_Toc261513741"/>
      <w:bookmarkStart w:id="2959" w:name="_Toc280630367"/>
      <w:r w:rsidRPr="002A3CBE">
        <w:t>Uncertainties and time-series consistency</w:t>
      </w:r>
      <w:bookmarkEnd w:id="2955"/>
      <w:bookmarkEnd w:id="2956"/>
      <w:bookmarkEnd w:id="2957"/>
      <w:bookmarkEnd w:id="2958"/>
      <w:bookmarkEnd w:id="2959"/>
    </w:p>
    <w:p w14:paraId="3CCA5E53" w14:textId="77777777" w:rsidR="00447423" w:rsidRPr="002A3CBE" w:rsidRDefault="00447423" w:rsidP="00447423">
      <w:pPr>
        <w:pStyle w:val="BodyText"/>
        <w:spacing w:before="60" w:after="100"/>
      </w:pPr>
      <w:r w:rsidRPr="002A3CBE">
        <w:t>The uncertainty in CH</w:t>
      </w:r>
      <w:r w:rsidRPr="002A3CBE">
        <w:rPr>
          <w:vertAlign w:val="subscript"/>
        </w:rPr>
        <w:t>4</w:t>
      </w:r>
      <w:r w:rsidRPr="002A3CBE">
        <w:t xml:space="preserve"> and N</w:t>
      </w:r>
      <w:r w:rsidRPr="002A3CBE">
        <w:rPr>
          <w:vertAlign w:val="subscript"/>
        </w:rPr>
        <w:t>2</w:t>
      </w:r>
      <w:r w:rsidRPr="002A3CBE">
        <w:t xml:space="preserve">O net emissions from </w:t>
      </w:r>
      <w:r w:rsidRPr="002A3CBE">
        <w:rPr>
          <w:i/>
        </w:rPr>
        <w:t>Biomass burning</w:t>
      </w:r>
      <w:r w:rsidRPr="002A3CBE">
        <w:t xml:space="preserve"> was 51.4 percent in 2024. Emissions from </w:t>
      </w:r>
      <w:r w:rsidRPr="002A3CBE">
        <w:rPr>
          <w:i/>
        </w:rPr>
        <w:t>Biomass burning</w:t>
      </w:r>
      <w:r w:rsidRPr="002A3CBE">
        <w:t xml:space="preserve"> accounted for 0.1 percent of the net emissions from the LULUCF sector. </w:t>
      </w:r>
    </w:p>
    <w:p w14:paraId="3A91656D" w14:textId="77777777" w:rsidR="00447423" w:rsidRPr="002A3CBE" w:rsidRDefault="00447423" w:rsidP="00447423">
      <w:pPr>
        <w:pStyle w:val="BodyText"/>
        <w:spacing w:before="100" w:after="100"/>
      </w:pPr>
      <w:r w:rsidRPr="002A3CBE">
        <w:t xml:space="preserve">Time-series consistency is ensured by applying consistent methods and full recalculations in the event of any refinement or improvement to methodology. </w:t>
      </w:r>
    </w:p>
    <w:p w14:paraId="76ECE72D" w14:textId="77777777" w:rsidR="00447423" w:rsidRPr="002A3CBE" w:rsidRDefault="00447423" w:rsidP="00447423">
      <w:pPr>
        <w:pStyle w:val="Heading4"/>
        <w:spacing w:before="200"/>
      </w:pPr>
      <w:bookmarkStart w:id="2960" w:name="_Toc255466322"/>
      <w:bookmarkStart w:id="2961" w:name="_Toc261513129"/>
      <w:bookmarkStart w:id="2962" w:name="_Toc261513742"/>
      <w:bookmarkStart w:id="2963" w:name="_Toc280630368"/>
      <w:r w:rsidRPr="002A3CBE">
        <w:t>Category-specific QA/QC and verification</w:t>
      </w:r>
      <w:bookmarkEnd w:id="2960"/>
      <w:bookmarkEnd w:id="2961"/>
      <w:bookmarkEnd w:id="2962"/>
      <w:bookmarkEnd w:id="2963"/>
    </w:p>
    <w:p w14:paraId="796DAEB8" w14:textId="77777777" w:rsidR="00447423" w:rsidRPr="002A3CBE" w:rsidRDefault="00447423" w:rsidP="00447423">
      <w:pPr>
        <w:pStyle w:val="BodyText"/>
        <w:spacing w:before="60" w:after="100"/>
      </w:pPr>
      <w:r w:rsidRPr="002A3CBE">
        <w:t xml:space="preserve">Quality-control and quality-assurance measures are applied to the </w:t>
      </w:r>
      <w:r w:rsidRPr="002A3CBE">
        <w:rPr>
          <w:i/>
        </w:rPr>
        <w:t>Biomass burning</w:t>
      </w:r>
      <w:r w:rsidRPr="002A3CBE">
        <w:t xml:space="preserve"> activity data and emission factors. The biomass burning data set is verified whenever new data are supplied. The </w:t>
      </w:r>
      <w:r w:rsidRPr="002A3CBE">
        <w:rPr>
          <w:i/>
        </w:rPr>
        <w:t>Biomass burning</w:t>
      </w:r>
      <w:r w:rsidRPr="002A3CBE">
        <w:t xml:space="preserve"> parameters (burning and emission factors), assumptions and data set have been reviewed (Payton and Pearce, 2009; Thomas et al., 2011; Wakelin, unpublished(b), (c), (d), (e); Wakelin et al., unpublished).</w:t>
      </w:r>
    </w:p>
    <w:p w14:paraId="7FD4AEF8" w14:textId="77777777" w:rsidR="00447423" w:rsidRPr="002A3CBE" w:rsidRDefault="00447423" w:rsidP="00447423">
      <w:pPr>
        <w:pStyle w:val="Heading4"/>
        <w:spacing w:before="200"/>
      </w:pPr>
      <w:bookmarkStart w:id="2964" w:name="_Toc280630369"/>
      <w:bookmarkStart w:id="2965" w:name="_Toc232906999"/>
      <w:bookmarkStart w:id="2966" w:name="_Toc255466323"/>
      <w:bookmarkStart w:id="2967" w:name="_Toc261513130"/>
      <w:bookmarkStart w:id="2968" w:name="_Toc261513743"/>
      <w:r w:rsidRPr="002A3CBE">
        <w:t>Category-specific recalculations</w:t>
      </w:r>
      <w:bookmarkEnd w:id="2964"/>
    </w:p>
    <w:p w14:paraId="1D49501D" w14:textId="77777777" w:rsidR="00447423" w:rsidRPr="002A3CBE" w:rsidRDefault="00447423" w:rsidP="00447423">
      <w:pPr>
        <w:pStyle w:val="BodyText"/>
        <w:spacing w:before="100" w:after="100"/>
      </w:pPr>
      <w:bookmarkStart w:id="2969" w:name="_Hlk60906729"/>
      <w:r w:rsidRPr="002A3CBE">
        <w:t xml:space="preserve">Wildfire activity data for 2018 to 2024 have been updated for this submission, to incorporate mapping of the 2024 wildfire extent, and updates have been made to the vegetation classification from the land use map. New estimates for controlled burning in </w:t>
      </w:r>
      <w:r w:rsidRPr="002A3CBE">
        <w:rPr>
          <w:i/>
        </w:rPr>
        <w:t>Grassland remaining grassland</w:t>
      </w:r>
      <w:r w:rsidRPr="002A3CBE">
        <w:t xml:space="preserve"> have required recalculations across the time series. </w:t>
      </w:r>
    </w:p>
    <w:p w14:paraId="2093314B" w14:textId="77777777" w:rsidR="00447423" w:rsidRPr="002A3CBE" w:rsidRDefault="00447423" w:rsidP="00447423">
      <w:pPr>
        <w:pStyle w:val="Heading4"/>
        <w:spacing w:before="200"/>
      </w:pPr>
      <w:bookmarkStart w:id="2970" w:name="_Toc280630370"/>
      <w:bookmarkEnd w:id="2969"/>
      <w:r w:rsidRPr="002A3CBE">
        <w:t>Category-specific planned improvements</w:t>
      </w:r>
      <w:bookmarkEnd w:id="2965"/>
      <w:bookmarkEnd w:id="2966"/>
      <w:bookmarkEnd w:id="2967"/>
      <w:bookmarkEnd w:id="2968"/>
      <w:bookmarkEnd w:id="2970"/>
    </w:p>
    <w:p w14:paraId="49D6CC08" w14:textId="77777777" w:rsidR="00447423" w:rsidRPr="002A3CBE" w:rsidRDefault="00447423" w:rsidP="00447423">
      <w:pPr>
        <w:pStyle w:val="BodyText"/>
        <w:spacing w:before="60" w:after="0"/>
      </w:pPr>
      <w:r w:rsidRPr="002A3CBE">
        <w:t>The assumption that controlled burning of post-harvest residues on afforested land does not occur will be revisited in a future submission, due to the increasing harvest rate in these forests as they reach maturity.</w:t>
      </w:r>
      <w:bookmarkStart w:id="2971" w:name="_Toc414531325"/>
      <w:bookmarkStart w:id="2972" w:name="_Toc474335467"/>
      <w:bookmarkStart w:id="2973" w:name="_Toc481751407"/>
      <w:bookmarkStart w:id="2974" w:name="_Toc522013959"/>
      <w:bookmarkStart w:id="2975" w:name="_Toc5269384"/>
      <w:bookmarkStart w:id="2976" w:name="_Toc36224424"/>
      <w:bookmarkStart w:id="2977" w:name="_Toc131591258"/>
      <w:bookmarkStart w:id="2978" w:name="_Toc158980305"/>
      <w:r w:rsidRPr="002A3CBE">
        <w:br w:type="page"/>
      </w:r>
    </w:p>
    <w:p w14:paraId="505E3B2D" w14:textId="77777777" w:rsidR="00447423" w:rsidRPr="002A3CBE" w:rsidRDefault="00447423" w:rsidP="00447423">
      <w:pPr>
        <w:pStyle w:val="Heading2"/>
        <w:spacing w:before="0" w:after="360"/>
      </w:pPr>
      <w:bookmarkStart w:id="2979" w:name="_Toc164154213"/>
      <w:bookmarkStart w:id="2980" w:name="_Toc194312038"/>
      <w:bookmarkStart w:id="2981" w:name="_Toc226460792"/>
      <w:r w:rsidRPr="002A3CBE">
        <w:t>Chapter 6: References</w:t>
      </w:r>
      <w:bookmarkEnd w:id="2971"/>
      <w:bookmarkEnd w:id="2972"/>
      <w:bookmarkEnd w:id="2973"/>
      <w:bookmarkEnd w:id="2974"/>
      <w:bookmarkEnd w:id="2975"/>
      <w:bookmarkEnd w:id="2976"/>
      <w:bookmarkEnd w:id="2977"/>
      <w:bookmarkEnd w:id="2978"/>
      <w:bookmarkEnd w:id="2979"/>
      <w:bookmarkEnd w:id="2980"/>
      <w:bookmarkEnd w:id="2981"/>
    </w:p>
    <w:p w14:paraId="4A11193E" w14:textId="77777777" w:rsidR="00447423" w:rsidRPr="002A3CBE" w:rsidRDefault="00447423" w:rsidP="00447423">
      <w:pPr>
        <w:pStyle w:val="References"/>
        <w:spacing w:after="100"/>
        <w:rPr>
          <w:szCs w:val="20"/>
        </w:rPr>
      </w:pPr>
      <w:bookmarkStart w:id="2982" w:name="Author"/>
      <w:r w:rsidRPr="002A3CBE">
        <w:t>Arnst E, Hayman E, Richardson</w:t>
      </w:r>
      <w:bookmarkEnd w:id="2982"/>
      <w:r w:rsidRPr="002A3CBE">
        <w:t xml:space="preserve"> S. </w:t>
      </w:r>
      <w:r w:rsidRPr="002A3CBE">
        <w:rPr>
          <w:szCs w:val="20"/>
        </w:rPr>
        <w:t>Unpublished</w:t>
      </w:r>
      <w:r w:rsidRPr="002A3CBE">
        <w:t xml:space="preserve">. </w:t>
      </w:r>
      <w:r w:rsidRPr="002A3CBE">
        <w:rPr>
          <w:szCs w:val="20"/>
        </w:rPr>
        <w:t>Natural Forest Plot Data Corrections 2023–2024. Contract report LC4306 prepared for the Ministry for the Environment by Manaaki Whenua Landcare Research New Zealand Ltd</w:t>
      </w:r>
      <w:r w:rsidRPr="002A3CBE" w:rsidDel="00D309F3">
        <w:rPr>
          <w:szCs w:val="20"/>
        </w:rPr>
        <w:t xml:space="preserve"> </w:t>
      </w:r>
      <w:r w:rsidRPr="002A3CBE">
        <w:rPr>
          <w:szCs w:val="20"/>
        </w:rPr>
        <w:t>in 2024.</w:t>
      </w:r>
      <w:r w:rsidRPr="002A3CBE">
        <w:t xml:space="preserve"> </w:t>
      </w:r>
    </w:p>
    <w:p w14:paraId="0D024EF2" w14:textId="77777777" w:rsidR="00447423" w:rsidRPr="002A3CBE" w:rsidRDefault="00447423" w:rsidP="00447423">
      <w:pPr>
        <w:pStyle w:val="References"/>
        <w:spacing w:after="100"/>
        <w:rPr>
          <w:szCs w:val="20"/>
        </w:rPr>
      </w:pPr>
      <w:r w:rsidRPr="002A3CBE">
        <w:rPr>
          <w:szCs w:val="20"/>
        </w:rPr>
        <w:t>Arnst E, Vickers S. Unpublished. Natural Forest Plot Data Corrections 2022–2023. Contract report LC4306 prepared for the Ministry for the Environment by Manaaki Whenua Landcare Research New Zealand Ltd</w:t>
      </w:r>
      <w:r w:rsidRPr="002A3CBE" w:rsidDel="00D309F3">
        <w:rPr>
          <w:szCs w:val="20"/>
        </w:rPr>
        <w:t xml:space="preserve"> </w:t>
      </w:r>
      <w:r w:rsidRPr="002A3CBE">
        <w:rPr>
          <w:szCs w:val="20"/>
        </w:rPr>
        <w:t>in 2023.</w:t>
      </w:r>
    </w:p>
    <w:p w14:paraId="2C9B5136" w14:textId="77777777" w:rsidR="00447423" w:rsidRPr="002A3CBE" w:rsidRDefault="00447423" w:rsidP="00447423">
      <w:pPr>
        <w:pStyle w:val="References"/>
        <w:spacing w:after="100"/>
        <w:rPr>
          <w:szCs w:val="20"/>
        </w:rPr>
      </w:pPr>
      <w:r w:rsidRPr="002A3CBE">
        <w:rPr>
          <w:szCs w:val="20"/>
        </w:rPr>
        <w:t>Beets PN. Unpublished. Carbon Fraction of Radiata Pine Biomass Components. Contract report prepared for the Ministry for the Environment by New Zealand Forest Research Institute Ltd (trading as Scion) in 2017.</w:t>
      </w:r>
    </w:p>
    <w:p w14:paraId="5D876067" w14:textId="77777777" w:rsidR="00447423" w:rsidRPr="002A3CBE" w:rsidRDefault="00447423" w:rsidP="00447423">
      <w:pPr>
        <w:pStyle w:val="References"/>
        <w:spacing w:after="100"/>
        <w:rPr>
          <w:szCs w:val="20"/>
        </w:rPr>
      </w:pPr>
      <w:r w:rsidRPr="002A3CBE">
        <w:rPr>
          <w:szCs w:val="20"/>
        </w:rPr>
        <w:t>Clarkson B. Unpublished. Peat Extraction in New Zealand Wetlands. Contract report LC2710 prepared for the Ministry for the Environment by Landcare Research New Zealand Ltd</w:t>
      </w:r>
      <w:r w:rsidRPr="002A3CBE" w:rsidDel="00D309F3">
        <w:rPr>
          <w:szCs w:val="20"/>
        </w:rPr>
        <w:t xml:space="preserve"> </w:t>
      </w:r>
      <w:r w:rsidRPr="002A3CBE">
        <w:rPr>
          <w:szCs w:val="20"/>
        </w:rPr>
        <w:t>in 2016.</w:t>
      </w:r>
    </w:p>
    <w:p w14:paraId="2D8A3CD1" w14:textId="77777777" w:rsidR="00447423" w:rsidRPr="002A3CBE" w:rsidRDefault="00447423" w:rsidP="00447423">
      <w:pPr>
        <w:pStyle w:val="References"/>
        <w:spacing w:after="100"/>
        <w:rPr>
          <w:szCs w:val="20"/>
        </w:rPr>
      </w:pPr>
      <w:r w:rsidRPr="002A3CBE">
        <w:rPr>
          <w:szCs w:val="20"/>
        </w:rPr>
        <w:t xml:space="preserve">Davis MR, Wakelin SJ. Unpublished. </w:t>
      </w:r>
      <w:r w:rsidRPr="002A3CBE">
        <w:rPr>
          <w:iCs/>
          <w:szCs w:val="20"/>
        </w:rPr>
        <w:t>Perennial Cropland Biomass: Sampling Requirements</w:t>
      </w:r>
      <w:r w:rsidRPr="002A3CBE">
        <w:rPr>
          <w:szCs w:val="20"/>
        </w:rPr>
        <w:t>. Contract report prepared for the Ministry for the Environment by New Zealand Forest Research Institute Limited (trading as Scion).</w:t>
      </w:r>
    </w:p>
    <w:p w14:paraId="2B4BD8E5" w14:textId="77777777" w:rsidR="00447423" w:rsidRPr="002A3CBE" w:rsidRDefault="00447423" w:rsidP="00447423">
      <w:pPr>
        <w:pStyle w:val="References"/>
        <w:spacing w:after="100"/>
        <w:rPr>
          <w:szCs w:val="20"/>
        </w:rPr>
      </w:pPr>
      <w:r w:rsidRPr="002A3CBE">
        <w:rPr>
          <w:szCs w:val="20"/>
        </w:rPr>
        <w:t xml:space="preserve">Easdale TA, Burge OR, Wiser S, Richardson SJ. 2022. </w:t>
      </w:r>
      <w:r w:rsidRPr="002A3CBE">
        <w:rPr>
          <w:i/>
          <w:iCs/>
          <w:szCs w:val="20"/>
        </w:rPr>
        <w:t>Carbon Assessment of Wetland Vegetation</w:t>
      </w:r>
      <w:r w:rsidRPr="002A3CBE">
        <w:rPr>
          <w:szCs w:val="20"/>
        </w:rPr>
        <w:t>. Contract report LC4173 prepared for the Ministry for the Environment by Landcare Research New Zealand Ltd. Wellington: Ministry for the Environment.</w:t>
      </w:r>
    </w:p>
    <w:p w14:paraId="17CCA129" w14:textId="77777777" w:rsidR="00447423" w:rsidRPr="002A3CBE" w:rsidRDefault="00447423" w:rsidP="00447423">
      <w:pPr>
        <w:pStyle w:val="References"/>
        <w:spacing w:after="100"/>
        <w:rPr>
          <w:szCs w:val="20"/>
        </w:rPr>
      </w:pPr>
      <w:r w:rsidRPr="002A3CBE">
        <w:rPr>
          <w:szCs w:val="20"/>
        </w:rPr>
        <w:t xml:space="preserve">Easdale TA, Richardson SJ, Marden M, England JR, Gayoso-Aguilar J, Guerra-Carcamo JE, Brandon AM. 2019. Root biomass allocation in southern temperate forests. </w:t>
      </w:r>
      <w:r w:rsidRPr="002A3CBE">
        <w:rPr>
          <w:i/>
          <w:iCs/>
          <w:szCs w:val="20"/>
        </w:rPr>
        <w:t>Forest Ecology and Management</w:t>
      </w:r>
      <w:r w:rsidRPr="002A3CBE">
        <w:rPr>
          <w:szCs w:val="20"/>
        </w:rPr>
        <w:t xml:space="preserve"> 453: 117542. </w:t>
      </w:r>
    </w:p>
    <w:p w14:paraId="204F5ED0" w14:textId="77777777" w:rsidR="00447423" w:rsidRPr="002A3CBE" w:rsidRDefault="00447423" w:rsidP="00447423">
      <w:pPr>
        <w:pStyle w:val="References"/>
        <w:spacing w:after="100"/>
        <w:rPr>
          <w:rFonts w:asciiTheme="minorHAnsi" w:hAnsiTheme="minorHAnsi" w:cstheme="minorHAnsi"/>
          <w:szCs w:val="20"/>
        </w:rPr>
      </w:pPr>
      <w:r w:rsidRPr="002A3CBE">
        <w:rPr>
          <w:rFonts w:asciiTheme="minorHAnsi" w:hAnsiTheme="minorHAnsi" w:cstheme="minorHAnsi"/>
          <w:color w:val="222222"/>
          <w:szCs w:val="20"/>
          <w:shd w:val="clear" w:color="auto" w:fill="FFFFFF"/>
        </w:rPr>
        <w:t>Ewers RM, Kliskey AD, Walker S, Rutledge D, Harding JS, Didham RK. 2006. Past and future trajectories of forest loss in New Zealand</w:t>
      </w:r>
      <w:r w:rsidRPr="002A3CBE">
        <w:rPr>
          <w:rFonts w:asciiTheme="minorHAnsi" w:hAnsiTheme="minorHAnsi" w:cstheme="minorHAnsi"/>
          <w:i/>
          <w:iCs/>
          <w:color w:val="222222"/>
          <w:szCs w:val="20"/>
          <w:shd w:val="clear" w:color="auto" w:fill="FFFFFF"/>
        </w:rPr>
        <w:t>.</w:t>
      </w:r>
      <w:r w:rsidRPr="002A3CBE">
        <w:rPr>
          <w:rFonts w:asciiTheme="minorHAnsi" w:hAnsiTheme="minorHAnsi" w:cstheme="minorHAnsi"/>
          <w:color w:val="222222"/>
          <w:szCs w:val="20"/>
          <w:shd w:val="clear" w:color="auto" w:fill="FFFFFF"/>
        </w:rPr>
        <w:t> </w:t>
      </w:r>
      <w:r w:rsidRPr="002A3CBE">
        <w:rPr>
          <w:rFonts w:asciiTheme="minorHAnsi" w:hAnsiTheme="minorHAnsi" w:cstheme="minorHAnsi"/>
          <w:i/>
          <w:iCs/>
          <w:color w:val="222222"/>
          <w:szCs w:val="20"/>
          <w:shd w:val="clear" w:color="auto" w:fill="FFFFFF"/>
        </w:rPr>
        <w:t>Biological Conservation</w:t>
      </w:r>
      <w:r w:rsidRPr="002A3CBE">
        <w:rPr>
          <w:rFonts w:asciiTheme="minorHAnsi" w:hAnsiTheme="minorHAnsi" w:cstheme="minorHAnsi"/>
          <w:color w:val="222222"/>
          <w:szCs w:val="20"/>
          <w:shd w:val="clear" w:color="auto" w:fill="FFFFFF"/>
        </w:rPr>
        <w:t> 133(3): 312–325.</w:t>
      </w:r>
      <w:r w:rsidRPr="002A3CBE">
        <w:rPr>
          <w:rFonts w:asciiTheme="minorHAnsi" w:hAnsiTheme="minorHAnsi" w:cstheme="minorHAnsi"/>
          <w:szCs w:val="20"/>
        </w:rPr>
        <w:t xml:space="preserve"> </w:t>
      </w:r>
    </w:p>
    <w:p w14:paraId="1FF51EE4" w14:textId="77777777" w:rsidR="00447423" w:rsidRPr="002A3CBE" w:rsidRDefault="00447423" w:rsidP="00447423">
      <w:pPr>
        <w:pStyle w:val="References"/>
        <w:spacing w:after="100"/>
        <w:rPr>
          <w:szCs w:val="20"/>
        </w:rPr>
      </w:pPr>
      <w:r w:rsidRPr="002A3CBE">
        <w:rPr>
          <w:szCs w:val="20"/>
        </w:rPr>
        <w:t xml:space="preserve">Food and Agriculture Organization of the United Nations. 2025. </w:t>
      </w:r>
      <w:hyperlink r:id="rId227" w:anchor="data/FO" w:history="1">
        <w:r w:rsidRPr="002A3CBE">
          <w:rPr>
            <w:rStyle w:val="Hyperlink"/>
            <w:i/>
            <w:iCs/>
            <w:szCs w:val="20"/>
          </w:rPr>
          <w:t>Forestry Production and Trade Data</w:t>
        </w:r>
      </w:hyperlink>
      <w:r w:rsidRPr="002A3CBE">
        <w:rPr>
          <w:szCs w:val="20"/>
        </w:rPr>
        <w:t>. Retrieved 17 December 2025.</w:t>
      </w:r>
    </w:p>
    <w:p w14:paraId="19AED5B1" w14:textId="77777777" w:rsidR="00447423" w:rsidRPr="002A3CBE" w:rsidRDefault="00447423" w:rsidP="00447423">
      <w:pPr>
        <w:pStyle w:val="References"/>
        <w:spacing w:after="100"/>
        <w:rPr>
          <w:szCs w:val="20"/>
        </w:rPr>
      </w:pPr>
      <w:r w:rsidRPr="002A3CBE">
        <w:rPr>
          <w:szCs w:val="20"/>
        </w:rPr>
        <w:t xml:space="preserve">Forest Industry Training and Education Council. 2005. </w:t>
      </w:r>
      <w:r w:rsidRPr="002A3CBE">
        <w:rPr>
          <w:i/>
          <w:iCs/>
          <w:szCs w:val="20"/>
        </w:rPr>
        <w:t>Best Practice Guidelines for Land Preparation</w:t>
      </w:r>
      <w:r w:rsidRPr="002A3CBE">
        <w:rPr>
          <w:szCs w:val="20"/>
        </w:rPr>
        <w:t>. Revised edn. Rotorua: Forest Industry Training and Education Council.</w:t>
      </w:r>
    </w:p>
    <w:p w14:paraId="63489801" w14:textId="77777777" w:rsidR="00447423" w:rsidRPr="002A3CBE" w:rsidRDefault="00447423" w:rsidP="00447423">
      <w:pPr>
        <w:pStyle w:val="References"/>
        <w:spacing w:after="100"/>
        <w:rPr>
          <w:szCs w:val="20"/>
        </w:rPr>
      </w:pPr>
      <w:r w:rsidRPr="002A3CBE">
        <w:rPr>
          <w:szCs w:val="20"/>
        </w:rPr>
        <w:t xml:space="preserve">Garrett LG. Unpublished. </w:t>
      </w:r>
      <w:r w:rsidRPr="002A3CBE">
        <w:rPr>
          <w:iCs/>
          <w:szCs w:val="20"/>
        </w:rPr>
        <w:t>Natural Forests Soils: Data Checking and Carbon Content of the Mineral Soil</w:t>
      </w:r>
      <w:r w:rsidRPr="002A3CBE">
        <w:rPr>
          <w:szCs w:val="20"/>
        </w:rPr>
        <w:t>. Contract report prepared for the Ministry for the Environment by New Zealand Forest Research Institute Ltd (trading as Scion).</w:t>
      </w:r>
    </w:p>
    <w:p w14:paraId="72FC3ABF" w14:textId="77777777" w:rsidR="00447423" w:rsidRPr="002A3CBE" w:rsidRDefault="00447423" w:rsidP="00447423">
      <w:pPr>
        <w:pStyle w:val="References"/>
        <w:spacing w:after="100"/>
        <w:rPr>
          <w:iCs/>
          <w:szCs w:val="20"/>
        </w:rPr>
      </w:pPr>
      <w:r w:rsidRPr="002A3CBE">
        <w:rPr>
          <w:szCs w:val="20"/>
        </w:rPr>
        <w:t xml:space="preserve">Garrett LG, Kimberley MO, Oliver GR, Parks M, Pearce SH, Beets PN, Paul TSH. 2019. Decay rates of above- and below-ground coarse woody debris of common tree species in New Zealand’s natural forest. </w:t>
      </w:r>
      <w:r w:rsidRPr="002A3CBE">
        <w:rPr>
          <w:i/>
          <w:szCs w:val="20"/>
        </w:rPr>
        <w:t xml:space="preserve">Forest Ecology and Management </w:t>
      </w:r>
      <w:r w:rsidRPr="002A3CBE">
        <w:rPr>
          <w:szCs w:val="20"/>
        </w:rPr>
        <w:t>438: 96–102.</w:t>
      </w:r>
      <w:r w:rsidRPr="002A3CBE">
        <w:rPr>
          <w:i/>
          <w:szCs w:val="20"/>
        </w:rPr>
        <w:t xml:space="preserve"> </w:t>
      </w:r>
    </w:p>
    <w:p w14:paraId="5166B02A" w14:textId="77777777" w:rsidR="00447423" w:rsidRPr="002A3CBE" w:rsidRDefault="00447423" w:rsidP="00447423">
      <w:pPr>
        <w:pStyle w:val="References"/>
        <w:spacing w:after="100"/>
        <w:rPr>
          <w:szCs w:val="20"/>
        </w:rPr>
      </w:pPr>
      <w:r w:rsidRPr="002A3CBE">
        <w:rPr>
          <w:szCs w:val="20"/>
        </w:rPr>
        <w:t xml:space="preserve">Hunter G, McNeill S. Unpublished. </w:t>
      </w:r>
      <w:r w:rsidRPr="002A3CBE">
        <w:rPr>
          <w:iCs/>
          <w:szCs w:val="20"/>
        </w:rPr>
        <w:t>Review of LUCAS Land Use Backcasting 1962–1989.</w:t>
      </w:r>
      <w:r w:rsidRPr="002A3CBE">
        <w:rPr>
          <w:szCs w:val="20"/>
        </w:rPr>
        <w:t xml:space="preserve"> Contract report prepared for the Ministry for the Environment by Landcare Research New Zealand Ltd in 2010.</w:t>
      </w:r>
    </w:p>
    <w:p w14:paraId="6B8121FB" w14:textId="77777777" w:rsidR="00447423" w:rsidRPr="002A3CBE" w:rsidRDefault="00447423" w:rsidP="00447423">
      <w:pPr>
        <w:pStyle w:val="References"/>
        <w:spacing w:after="100"/>
        <w:rPr>
          <w:szCs w:val="20"/>
        </w:rPr>
      </w:pPr>
      <w:r w:rsidRPr="002A3CBE">
        <w:rPr>
          <w:szCs w:val="20"/>
        </w:rPr>
        <w:t xml:space="preserve">IPCC. 2006a. Eggleston HS, Buendia L, Miwa K, Ngara T, Tanabe K (eds). </w:t>
      </w:r>
      <w:r w:rsidRPr="002A3CBE">
        <w:rPr>
          <w:i/>
          <w:szCs w:val="20"/>
        </w:rPr>
        <w:t xml:space="preserve">2006 IPCC Guidelines for National Greenhouse Gas Inventories. Volume 4. Agriculture, Forestry and Other Land Use. </w:t>
      </w:r>
      <w:r w:rsidRPr="002A3CBE">
        <w:rPr>
          <w:szCs w:val="20"/>
        </w:rPr>
        <w:t>IPCC National Greenhouse Gas Inventories Programme. Japan: Institute for Global Environmental Strategies for IPCC.</w:t>
      </w:r>
    </w:p>
    <w:p w14:paraId="54019B82" w14:textId="77777777" w:rsidR="00447423" w:rsidRPr="002A3CBE" w:rsidRDefault="00447423" w:rsidP="00447423">
      <w:pPr>
        <w:pStyle w:val="References"/>
        <w:spacing w:after="100"/>
        <w:rPr>
          <w:szCs w:val="20"/>
        </w:rPr>
      </w:pPr>
      <w:r w:rsidRPr="002A3CBE">
        <w:rPr>
          <w:szCs w:val="20"/>
        </w:rPr>
        <w:t xml:space="preserve">IPCC. 2006b. Eggleston HS, Buendia L, Miwa K, Ngara T, Tanabe K (eds). </w:t>
      </w:r>
      <w:r w:rsidRPr="002A3CBE">
        <w:rPr>
          <w:i/>
          <w:iCs/>
          <w:szCs w:val="20"/>
        </w:rPr>
        <w:t>General Guidance and Reporting</w:t>
      </w:r>
      <w:r w:rsidRPr="002A3CBE">
        <w:rPr>
          <w:szCs w:val="20"/>
        </w:rPr>
        <w:t xml:space="preserve">. </w:t>
      </w:r>
      <w:r w:rsidRPr="002A3CBE">
        <w:rPr>
          <w:i/>
          <w:szCs w:val="20"/>
        </w:rPr>
        <w:t xml:space="preserve">Volume 1. </w:t>
      </w:r>
      <w:r w:rsidRPr="002A3CBE">
        <w:rPr>
          <w:szCs w:val="20"/>
        </w:rPr>
        <w:t>Japan: Institute for Global Environmental Strategies for IPCC.</w:t>
      </w:r>
    </w:p>
    <w:p w14:paraId="5CB7B7D8" w14:textId="77777777" w:rsidR="00447423" w:rsidRPr="002A3CBE" w:rsidRDefault="00447423" w:rsidP="00447423">
      <w:pPr>
        <w:pStyle w:val="References"/>
        <w:spacing w:after="100"/>
        <w:rPr>
          <w:szCs w:val="20"/>
        </w:rPr>
      </w:pPr>
      <w:r w:rsidRPr="002A3CBE">
        <w:rPr>
          <w:szCs w:val="20"/>
        </w:rPr>
        <w:t xml:space="preserve">IPCC. 2014. Hiraishi T, Krug T, Tanabe K, Srivastava N, Baasansuren J, Fukuda M, Troxler TG (eds). </w:t>
      </w:r>
      <w:r w:rsidRPr="002A3CBE">
        <w:rPr>
          <w:i/>
          <w:iCs/>
          <w:szCs w:val="20"/>
        </w:rPr>
        <w:t>2013 Revised Supplementary Methods and Good Practice Guidance Arising from the Kyoto Protocol</w:t>
      </w:r>
      <w:r w:rsidRPr="002A3CBE">
        <w:rPr>
          <w:szCs w:val="20"/>
        </w:rPr>
        <w:t>. Switzerland: IPCC.</w:t>
      </w:r>
    </w:p>
    <w:p w14:paraId="0F14CFB5" w14:textId="77777777" w:rsidR="00447423" w:rsidRPr="002A3CBE" w:rsidRDefault="00447423" w:rsidP="00447423">
      <w:pPr>
        <w:pStyle w:val="References"/>
        <w:spacing w:after="100"/>
        <w:rPr>
          <w:szCs w:val="20"/>
        </w:rPr>
      </w:pPr>
      <w:r w:rsidRPr="002A3CBE">
        <w:rPr>
          <w:szCs w:val="20"/>
        </w:rPr>
        <w:t xml:space="preserve">Jones T. 2005. Wood properties of commercial tree species. In: M Colley (ed.) </w:t>
      </w:r>
      <w:r w:rsidRPr="002A3CBE">
        <w:rPr>
          <w:i/>
          <w:iCs/>
          <w:szCs w:val="20"/>
        </w:rPr>
        <w:t>NZIF 2005 Forestry Handbook</w:t>
      </w:r>
      <w:r w:rsidRPr="002A3CBE">
        <w:rPr>
          <w:szCs w:val="20"/>
        </w:rPr>
        <w:t>. Wellington: New Zealand Institute of Forestry. pp 204–207.</w:t>
      </w:r>
    </w:p>
    <w:p w14:paraId="2C711E5C" w14:textId="77777777" w:rsidR="00447423" w:rsidRPr="002A3CBE" w:rsidRDefault="00447423" w:rsidP="00447423">
      <w:pPr>
        <w:pStyle w:val="References"/>
        <w:rPr>
          <w:szCs w:val="20"/>
        </w:rPr>
      </w:pPr>
      <w:r w:rsidRPr="002A3CBE">
        <w:rPr>
          <w:szCs w:val="20"/>
        </w:rPr>
        <w:t xml:space="preserve">Kelliher FM, de </w:t>
      </w:r>
      <w:r w:rsidRPr="002A3CBE">
        <w:t>Klein</w:t>
      </w:r>
      <w:r w:rsidRPr="002A3CBE">
        <w:rPr>
          <w:szCs w:val="20"/>
        </w:rPr>
        <w:t xml:space="preserve"> CAM. 2006. </w:t>
      </w:r>
      <w:hyperlink r:id="rId228" w:history="1">
        <w:r w:rsidRPr="002A3CBE">
          <w:rPr>
            <w:rStyle w:val="Hyperlink"/>
            <w:i/>
            <w:iCs/>
            <w:szCs w:val="20"/>
          </w:rPr>
          <w:t>Review of New Zealand’s Fertiliser Nitrous Oxide Emission Factor (EF1) Data</w:t>
        </w:r>
      </w:hyperlink>
      <w:r w:rsidRPr="002A3CBE">
        <w:rPr>
          <w:szCs w:val="20"/>
        </w:rPr>
        <w:t>. Report prepared for the Ministry for the Environment by Landcare Research and AgResearch. Wellington: Ministry for Primary Industries.</w:t>
      </w:r>
    </w:p>
    <w:p w14:paraId="0AA66D77" w14:textId="77777777" w:rsidR="00447423" w:rsidRPr="002A3CBE" w:rsidRDefault="00447423" w:rsidP="00447423">
      <w:pPr>
        <w:pStyle w:val="References"/>
        <w:spacing w:after="100"/>
        <w:rPr>
          <w:szCs w:val="20"/>
        </w:rPr>
      </w:pPr>
      <w:r w:rsidRPr="002A3CBE">
        <w:rPr>
          <w:szCs w:val="20"/>
        </w:rPr>
        <w:t xml:space="preserve">Kimberley MO, Beets PN, Paul TSH. 2019. Comparison of measured and modelled change in coarse woody debris carbon stocks in New Zealand’s natural forest. </w:t>
      </w:r>
      <w:r w:rsidRPr="002A3CBE">
        <w:rPr>
          <w:i/>
          <w:szCs w:val="20"/>
        </w:rPr>
        <w:t>Forest Ecology and Management</w:t>
      </w:r>
      <w:r w:rsidRPr="002A3CBE">
        <w:rPr>
          <w:szCs w:val="20"/>
        </w:rPr>
        <w:t xml:space="preserve"> 434 (2019): 18–28.</w:t>
      </w:r>
    </w:p>
    <w:p w14:paraId="2DC230FE" w14:textId="77777777" w:rsidR="00447423" w:rsidRPr="002A3CBE" w:rsidRDefault="00447423" w:rsidP="00447423">
      <w:pPr>
        <w:pStyle w:val="References"/>
        <w:spacing w:after="100"/>
        <w:rPr>
          <w:szCs w:val="20"/>
        </w:rPr>
      </w:pPr>
      <w:r w:rsidRPr="002A3CBE">
        <w:rPr>
          <w:szCs w:val="20"/>
        </w:rPr>
        <w:t xml:space="preserve">Manaaki Whenua Landcare Research. </w:t>
      </w:r>
      <w:hyperlink r:id="rId229" w:history="1">
        <w:r w:rsidRPr="002A3CBE">
          <w:rPr>
            <w:rStyle w:val="Hyperlink"/>
          </w:rPr>
          <w:t>Land Cover Database v6.0 – Land Cover Database version 6.0, Mainland, New Zealand</w:t>
        </w:r>
      </w:hyperlink>
      <w:r w:rsidRPr="002A3CBE">
        <w:t>. Retrieved 23 February 2026.</w:t>
      </w:r>
    </w:p>
    <w:p w14:paraId="0DDE540C" w14:textId="77777777" w:rsidR="00447423" w:rsidRPr="002A3CBE" w:rsidRDefault="00447423" w:rsidP="00447423">
      <w:pPr>
        <w:pStyle w:val="References"/>
        <w:spacing w:after="100"/>
        <w:rPr>
          <w:szCs w:val="20"/>
        </w:rPr>
      </w:pPr>
      <w:r w:rsidRPr="002A3CBE">
        <w:rPr>
          <w:szCs w:val="20"/>
        </w:rPr>
        <w:t xml:space="preserve">Manaaki Whenua Landcare Research. </w:t>
      </w:r>
      <w:hyperlink r:id="rId230" w:history="1">
        <w:r w:rsidRPr="002A3CBE">
          <w:rPr>
            <w:rStyle w:val="Hyperlink"/>
            <w:szCs w:val="20"/>
          </w:rPr>
          <w:t>Land Cover Database v5.0 – Land Cover Database version 5.0, Mainland, New Zealand</w:t>
        </w:r>
      </w:hyperlink>
      <w:r w:rsidRPr="002A3CBE">
        <w:rPr>
          <w:szCs w:val="20"/>
        </w:rPr>
        <w:t>. Retrieved 18 December 2025.</w:t>
      </w:r>
    </w:p>
    <w:p w14:paraId="254B06AF" w14:textId="77777777" w:rsidR="00447423" w:rsidRPr="002A3CBE" w:rsidRDefault="00447423" w:rsidP="00447423">
      <w:pPr>
        <w:pStyle w:val="References"/>
        <w:spacing w:after="100"/>
        <w:rPr>
          <w:szCs w:val="20"/>
        </w:rPr>
      </w:pPr>
      <w:r w:rsidRPr="002A3CBE">
        <w:rPr>
          <w:szCs w:val="20"/>
        </w:rPr>
        <w:t xml:space="preserve">Manaaki Whenua Landcare Research. 2020. </w:t>
      </w:r>
      <w:hyperlink r:id="rId231" w:history="1">
        <w:r w:rsidRPr="002A3CBE">
          <w:rPr>
            <w:rStyle w:val="Hyperlink"/>
            <w:i/>
            <w:szCs w:val="20"/>
          </w:rPr>
          <w:t>A National Soil Carbon Monitoring System for Agricultural Land</w:t>
        </w:r>
      </w:hyperlink>
      <w:r w:rsidRPr="002A3CBE">
        <w:rPr>
          <w:szCs w:val="20"/>
        </w:rPr>
        <w:t xml:space="preserve">. Retrieved 4 December 2020. </w:t>
      </w:r>
    </w:p>
    <w:p w14:paraId="4A4C3580" w14:textId="77777777" w:rsidR="00447423" w:rsidRPr="002A3CBE" w:rsidRDefault="00447423" w:rsidP="00447423">
      <w:pPr>
        <w:pStyle w:val="References"/>
        <w:spacing w:after="100"/>
        <w:rPr>
          <w:rFonts w:asciiTheme="minorHAnsi" w:hAnsiTheme="minorHAnsi" w:cstheme="minorHAnsi"/>
          <w:szCs w:val="20"/>
        </w:rPr>
      </w:pPr>
      <w:r w:rsidRPr="002A3CBE">
        <w:rPr>
          <w:rFonts w:asciiTheme="minorHAnsi" w:hAnsiTheme="minorHAnsi" w:cstheme="minorHAnsi"/>
          <w:color w:val="222222"/>
          <w:szCs w:val="20"/>
          <w:shd w:val="clear" w:color="auto" w:fill="FFFFFF"/>
        </w:rPr>
        <w:t xml:space="preserve">Manley B, Evison D. </w:t>
      </w:r>
      <w:r w:rsidRPr="002A3CBE">
        <w:rPr>
          <w:rFonts w:asciiTheme="minorHAnsi" w:hAnsiTheme="minorHAnsi" w:cstheme="minorHAnsi"/>
          <w:szCs w:val="20"/>
        </w:rPr>
        <w:t xml:space="preserve">2016. </w:t>
      </w:r>
      <w:r w:rsidRPr="002A3CBE">
        <w:rPr>
          <w:rFonts w:asciiTheme="minorHAnsi" w:hAnsiTheme="minorHAnsi" w:cstheme="minorHAnsi"/>
          <w:i/>
          <w:iCs/>
          <w:szCs w:val="20"/>
        </w:rPr>
        <w:t>Material Flow and End-use of Harvested Wood Products Produced from New Zealand Log Exports</w:t>
      </w:r>
      <w:r w:rsidRPr="002A3CBE">
        <w:rPr>
          <w:rFonts w:asciiTheme="minorHAnsi" w:hAnsiTheme="minorHAnsi" w:cstheme="minorHAnsi"/>
          <w:szCs w:val="20"/>
        </w:rPr>
        <w:t>. Wellington: Ministry for Primary Industries.</w:t>
      </w:r>
    </w:p>
    <w:p w14:paraId="68AD45BE" w14:textId="77777777" w:rsidR="00447423" w:rsidRPr="002A3CBE" w:rsidRDefault="00447423" w:rsidP="00447423">
      <w:pPr>
        <w:pStyle w:val="References"/>
        <w:spacing w:after="100"/>
        <w:rPr>
          <w:szCs w:val="20"/>
        </w:rPr>
      </w:pPr>
      <w:r w:rsidRPr="002A3CBE">
        <w:rPr>
          <w:szCs w:val="20"/>
        </w:rPr>
        <w:t xml:space="preserve">McGlone MS. 2009. Postglacial history of New Zealand wetlands and implications for their conservation. </w:t>
      </w:r>
      <w:r w:rsidRPr="002A3CBE">
        <w:rPr>
          <w:i/>
          <w:iCs/>
          <w:szCs w:val="20"/>
        </w:rPr>
        <w:t>New Zealand Journal of Ecology</w:t>
      </w:r>
      <w:r w:rsidRPr="002A3CBE">
        <w:rPr>
          <w:szCs w:val="20"/>
        </w:rPr>
        <w:t xml:space="preserve"> 33: 1–23.</w:t>
      </w:r>
    </w:p>
    <w:p w14:paraId="5A59667C" w14:textId="77777777" w:rsidR="00447423" w:rsidRPr="002A3CBE" w:rsidRDefault="00447423" w:rsidP="00447423">
      <w:pPr>
        <w:pStyle w:val="References"/>
        <w:spacing w:after="100"/>
        <w:rPr>
          <w:szCs w:val="20"/>
        </w:rPr>
      </w:pPr>
      <w:r w:rsidRPr="002A3CBE">
        <w:rPr>
          <w:szCs w:val="20"/>
        </w:rPr>
        <w:t xml:space="preserve">McNeill SJ, Barringer JRF. Unpublished. </w:t>
      </w:r>
      <w:r w:rsidRPr="002A3CBE">
        <w:rPr>
          <w:iCs/>
          <w:szCs w:val="20"/>
        </w:rPr>
        <w:t>Respecification and Reclassification of the 2013 MfE Soil CMS Model</w:t>
      </w:r>
      <w:r w:rsidRPr="002A3CBE">
        <w:rPr>
          <w:szCs w:val="20"/>
        </w:rPr>
        <w:t>. Prepared for the Ministry for the Environment by Landcare Research New Zealand Ltd.</w:t>
      </w:r>
    </w:p>
    <w:p w14:paraId="32BD826F" w14:textId="77777777" w:rsidR="00447423" w:rsidRPr="002A3CBE" w:rsidRDefault="00447423" w:rsidP="00447423">
      <w:pPr>
        <w:pStyle w:val="References"/>
        <w:spacing w:after="100"/>
        <w:rPr>
          <w:rFonts w:asciiTheme="minorHAnsi" w:hAnsiTheme="minorHAnsi" w:cstheme="minorHAnsi"/>
          <w:szCs w:val="20"/>
        </w:rPr>
      </w:pPr>
      <w:r w:rsidRPr="002A3CBE">
        <w:rPr>
          <w:rFonts w:asciiTheme="minorHAnsi" w:hAnsiTheme="minorHAnsi" w:cstheme="minorHAnsi"/>
          <w:szCs w:val="20"/>
        </w:rPr>
        <w:t xml:space="preserve">Ministry for Primary Industries. 2015. </w:t>
      </w:r>
      <w:hyperlink r:id="rId232" w:history="1">
        <w:r w:rsidRPr="002A3CBE">
          <w:rPr>
            <w:rStyle w:val="Hyperlink"/>
            <w:rFonts w:asciiTheme="minorHAnsi" w:hAnsiTheme="minorHAnsi" w:cstheme="minorHAnsi"/>
            <w:i/>
            <w:szCs w:val="20"/>
          </w:rPr>
          <w:t>Forestry in the emissions trading scheme</w:t>
        </w:r>
      </w:hyperlink>
      <w:r w:rsidRPr="002A3CBE">
        <w:rPr>
          <w:rFonts w:asciiTheme="minorHAnsi" w:hAnsiTheme="minorHAnsi" w:cstheme="minorHAnsi"/>
          <w:szCs w:val="20"/>
        </w:rPr>
        <w:t>. Retrieved 12 February 2022.</w:t>
      </w:r>
    </w:p>
    <w:p w14:paraId="2B419891" w14:textId="77777777" w:rsidR="00447423" w:rsidRPr="002A3CBE" w:rsidRDefault="00447423" w:rsidP="00447423">
      <w:pPr>
        <w:pStyle w:val="References"/>
        <w:spacing w:after="100"/>
      </w:pPr>
      <w:r w:rsidRPr="002A3CBE">
        <w:t xml:space="preserve">Ministry for Primary Industries. 2023. </w:t>
      </w:r>
      <w:hyperlink r:id="rId233" w:history="1">
        <w:r w:rsidRPr="002A3CBE">
          <w:rPr>
            <w:rStyle w:val="Hyperlink"/>
            <w:i/>
            <w:iCs/>
          </w:rPr>
          <w:t>Wood processing data: Quarterly production, stock and roundwood removals, June 2023 quarter production</w:t>
        </w:r>
      </w:hyperlink>
      <w:r w:rsidRPr="002A3CBE">
        <w:t>. Wellington: Ministry for Primary Industries. Retrieved 15 August 2023.</w:t>
      </w:r>
    </w:p>
    <w:p w14:paraId="0E86CE04" w14:textId="77777777" w:rsidR="00447423" w:rsidRPr="002A3CBE" w:rsidRDefault="00447423" w:rsidP="00447423">
      <w:pPr>
        <w:pStyle w:val="References"/>
        <w:spacing w:after="100"/>
      </w:pPr>
      <w:r w:rsidRPr="002A3CBE">
        <w:t xml:space="preserve">Ministry for Primary Industries. 2025a. </w:t>
      </w:r>
      <w:hyperlink r:id="rId234" w:history="1">
        <w:r w:rsidRPr="002A3CBE">
          <w:rPr>
            <w:rStyle w:val="Hyperlink"/>
            <w:i/>
            <w:iCs/>
          </w:rPr>
          <w:t>Wood processing data: Roundwood removals, year ended 31 March, 1951 to most recent</w:t>
        </w:r>
      </w:hyperlink>
      <w:r w:rsidRPr="002A3CBE">
        <w:t>. Wellington: Ministry for Primary Industries. Retrieved 11 November 2025.</w:t>
      </w:r>
    </w:p>
    <w:p w14:paraId="649A3309" w14:textId="77777777" w:rsidR="00447423" w:rsidRPr="002A3CBE" w:rsidRDefault="00447423" w:rsidP="00447423">
      <w:pPr>
        <w:pStyle w:val="References"/>
        <w:spacing w:after="100"/>
      </w:pPr>
      <w:r w:rsidRPr="002A3CBE">
        <w:t xml:space="preserve">Ministry for Primary Industries. 2025b. </w:t>
      </w:r>
      <w:hyperlink r:id="rId235" w:history="1">
        <w:r w:rsidRPr="002A3CBE">
          <w:rPr>
            <w:rStyle w:val="Hyperlink"/>
            <w:i/>
            <w:iCs/>
          </w:rPr>
          <w:t>Wood processing data: Quarterly production, stock and roundwood removals, June 2025 quarter production</w:t>
        </w:r>
      </w:hyperlink>
      <w:r w:rsidRPr="002A3CBE">
        <w:t>. Wellington: Ministry for Primary Industries. Retrieved 11 November 2025.</w:t>
      </w:r>
    </w:p>
    <w:p w14:paraId="0AA4DA55" w14:textId="77777777" w:rsidR="00447423" w:rsidRPr="002A3CBE" w:rsidRDefault="00447423" w:rsidP="00447423">
      <w:pPr>
        <w:pStyle w:val="References"/>
        <w:spacing w:after="100"/>
      </w:pPr>
      <w:r w:rsidRPr="002A3CBE">
        <w:t xml:space="preserve">Ministry for Primary Industries. 2025c. </w:t>
      </w:r>
      <w:hyperlink r:id="rId236" w:history="1">
        <w:r w:rsidRPr="002A3CBE">
          <w:rPr>
            <w:rStyle w:val="Hyperlink"/>
            <w:i/>
            <w:iCs/>
          </w:rPr>
          <w:t>Wood Product Markets: Quarterly trade, June 2024 quarterly exports</w:t>
        </w:r>
      </w:hyperlink>
      <w:r w:rsidRPr="002A3CBE">
        <w:t>.</w:t>
      </w:r>
      <w:r w:rsidRPr="002A3CBE">
        <w:rPr>
          <w:i/>
        </w:rPr>
        <w:t xml:space="preserve"> </w:t>
      </w:r>
      <w:r w:rsidRPr="002A3CBE">
        <w:t>Retrieved 11 November 2025.</w:t>
      </w:r>
    </w:p>
    <w:p w14:paraId="71589E3B" w14:textId="77777777" w:rsidR="00447423" w:rsidRPr="002A3CBE" w:rsidRDefault="00447423" w:rsidP="00447423">
      <w:pPr>
        <w:pStyle w:val="References"/>
        <w:spacing w:after="100"/>
      </w:pPr>
      <w:r w:rsidRPr="002A3CBE">
        <w:t xml:space="preserve">Ministry for the Environment. 2006. </w:t>
      </w:r>
      <w:hyperlink r:id="rId237" w:history="1">
        <w:r w:rsidRPr="002A3CBE">
          <w:rPr>
            <w:rStyle w:val="Hyperlink"/>
            <w:i/>
            <w:iCs/>
          </w:rPr>
          <w:t>New Zealand’s Initial Report under the Kyoto Protocol</w:t>
        </w:r>
      </w:hyperlink>
      <w:r w:rsidRPr="002A3CBE">
        <w:t>. Wellington: Ministry for the Environment. Retrieved 14 July 2011.</w:t>
      </w:r>
    </w:p>
    <w:p w14:paraId="6FBB35D7" w14:textId="77777777" w:rsidR="00447423" w:rsidRPr="002A3CBE" w:rsidRDefault="00447423" w:rsidP="00447423">
      <w:pPr>
        <w:pStyle w:val="References"/>
        <w:spacing w:after="100"/>
      </w:pPr>
      <w:r w:rsidRPr="002A3CBE">
        <w:t xml:space="preserve">Ministry for the Environment. 2012. </w:t>
      </w:r>
      <w:r w:rsidRPr="002A3CBE">
        <w:rPr>
          <w:i/>
        </w:rPr>
        <w:t>Land Use and Carbon Analysis System: Satellite imagery interpretation guide for land use classes</w:t>
      </w:r>
      <w:r w:rsidRPr="002A3CBE">
        <w:t xml:space="preserve"> (2nd edn). Wellington: Ministry for the Environment.</w:t>
      </w:r>
    </w:p>
    <w:p w14:paraId="7C0D7568" w14:textId="77777777" w:rsidR="00447423" w:rsidRPr="002A3CBE" w:rsidRDefault="00447423" w:rsidP="00447423">
      <w:pPr>
        <w:pStyle w:val="References"/>
        <w:spacing w:after="100"/>
        <w:rPr>
          <w:szCs w:val="20"/>
        </w:rPr>
      </w:pPr>
      <w:r w:rsidRPr="002A3CBE">
        <w:rPr>
          <w:szCs w:val="20"/>
        </w:rPr>
        <w:t xml:space="preserve">Ministry for the Environment and Stats NZ. 2017. </w:t>
      </w:r>
      <w:hyperlink r:id="rId238" w:history="1">
        <w:r w:rsidRPr="002A3CBE">
          <w:rPr>
            <w:rStyle w:val="Hyperlink"/>
            <w:i/>
            <w:szCs w:val="20"/>
          </w:rPr>
          <w:t>New Zealand’s Environmental Reporting Series: Our fresh water 2017</w:t>
        </w:r>
      </w:hyperlink>
      <w:r w:rsidRPr="002A3CBE">
        <w:rPr>
          <w:szCs w:val="20"/>
        </w:rPr>
        <w:t>. Retrieved 16 February 2024.</w:t>
      </w:r>
    </w:p>
    <w:p w14:paraId="2B5E242C" w14:textId="77777777" w:rsidR="00447423" w:rsidRPr="002A3CBE" w:rsidRDefault="00447423" w:rsidP="00447423">
      <w:pPr>
        <w:pStyle w:val="References"/>
        <w:spacing w:after="100"/>
        <w:rPr>
          <w:szCs w:val="20"/>
        </w:rPr>
      </w:pPr>
      <w:r w:rsidRPr="002A3CBE">
        <w:rPr>
          <w:szCs w:val="20"/>
        </w:rPr>
        <w:t xml:space="preserve">Ministry for the Environment and Stats NZ. 2018. </w:t>
      </w:r>
      <w:hyperlink r:id="rId239" w:history="1">
        <w:r w:rsidRPr="002A3CBE">
          <w:rPr>
            <w:rStyle w:val="Hyperlink"/>
            <w:i/>
            <w:szCs w:val="20"/>
          </w:rPr>
          <w:t>New Zealand’s Environmental Reporting Series: Our land 2018</w:t>
        </w:r>
      </w:hyperlink>
      <w:r w:rsidRPr="002A3CBE">
        <w:rPr>
          <w:szCs w:val="20"/>
        </w:rPr>
        <w:t>. Retrieved 16 February 2024.</w:t>
      </w:r>
    </w:p>
    <w:p w14:paraId="559E7C88" w14:textId="77777777" w:rsidR="00447423" w:rsidRPr="002A3CBE" w:rsidRDefault="00447423" w:rsidP="00447423">
      <w:pPr>
        <w:pStyle w:val="References"/>
        <w:spacing w:after="100"/>
      </w:pPr>
      <w:r w:rsidRPr="002A3CBE">
        <w:t>Paul TSH, Beets PN, Kimberley MO. Unpublished. Carbon Stocks in New Zealand’s Post-1989 Natural Forest: Analysis of the 2018/2019 forest inventory data. Contract report prepared for the Ministry for the Environment by the New Zealand Forest Research Institute Ltd (trading as Scion) in 2020.</w:t>
      </w:r>
    </w:p>
    <w:p w14:paraId="3C1C515C" w14:textId="77777777" w:rsidR="00447423" w:rsidRPr="002A3CBE" w:rsidRDefault="00447423" w:rsidP="00447423">
      <w:pPr>
        <w:pStyle w:val="References"/>
        <w:spacing w:after="100"/>
        <w:rPr>
          <w:szCs w:val="20"/>
        </w:rPr>
      </w:pPr>
      <w:r w:rsidRPr="002A3CBE">
        <w:rPr>
          <w:szCs w:val="20"/>
        </w:rPr>
        <w:t xml:space="preserve">Paul TSH, Kimberley MO, Beets PN. 2021. Natural forests in New Zealand: A large terrestrial carbon pool in a national state of equilibrium. </w:t>
      </w:r>
      <w:r w:rsidRPr="002A3CBE">
        <w:rPr>
          <w:i/>
          <w:iCs/>
          <w:szCs w:val="20"/>
        </w:rPr>
        <w:t xml:space="preserve">Forest Ecosystems </w:t>
      </w:r>
      <w:r w:rsidRPr="002A3CBE">
        <w:rPr>
          <w:szCs w:val="20"/>
        </w:rPr>
        <w:t>8(1): 1–21.</w:t>
      </w:r>
    </w:p>
    <w:p w14:paraId="256A1C1A" w14:textId="77777777" w:rsidR="00447423" w:rsidRPr="002A3CBE" w:rsidRDefault="00447423" w:rsidP="00447423">
      <w:pPr>
        <w:pStyle w:val="References"/>
        <w:spacing w:after="100"/>
        <w:rPr>
          <w:szCs w:val="20"/>
        </w:rPr>
      </w:pPr>
      <w:r w:rsidRPr="002A3CBE">
        <w:rPr>
          <w:szCs w:val="20"/>
        </w:rPr>
        <w:t xml:space="preserve">Paul TSH, Wakelin SJ, Dodunski C. 2024. </w:t>
      </w:r>
      <w:r w:rsidRPr="002A3CBE">
        <w:rPr>
          <w:i/>
          <w:iCs/>
          <w:szCs w:val="20"/>
        </w:rPr>
        <w:t>The National Forest Inventory 2018–2022 Analysis: Yield tables and carbon stocks in planted forests in New Zealand based on a five-year inventory cycle</w:t>
      </w:r>
      <w:r w:rsidRPr="002A3CBE">
        <w:rPr>
          <w:szCs w:val="20"/>
        </w:rPr>
        <w:t xml:space="preserve">. Contract report prepared for the Ministry for the Environment by New Zealand Forest Research Institute Ltd (trading as Scion). Rotorua: Scion. </w:t>
      </w:r>
    </w:p>
    <w:p w14:paraId="72C4D793" w14:textId="77777777" w:rsidR="00447423" w:rsidRPr="002A3CBE" w:rsidDel="00EA06F5" w:rsidRDefault="00447423" w:rsidP="00447423">
      <w:pPr>
        <w:pStyle w:val="References"/>
        <w:spacing w:after="100"/>
        <w:rPr>
          <w:szCs w:val="20"/>
        </w:rPr>
      </w:pPr>
      <w:r w:rsidRPr="002A3CBE">
        <w:rPr>
          <w:szCs w:val="20"/>
        </w:rPr>
        <w:t xml:space="preserve">Payton IJ, Pearce HG. 2009. </w:t>
      </w:r>
      <w:r w:rsidRPr="002A3CBE">
        <w:rPr>
          <w:iCs/>
          <w:szCs w:val="20"/>
        </w:rPr>
        <w:t>Fire-induced changes to the vegetation of tall-tussock (</w:t>
      </w:r>
      <w:r w:rsidRPr="002A3CBE">
        <w:rPr>
          <w:i/>
          <w:szCs w:val="20"/>
        </w:rPr>
        <w:t>Chionochloa rigida</w:t>
      </w:r>
      <w:r w:rsidRPr="002A3CBE">
        <w:rPr>
          <w:iCs/>
          <w:szCs w:val="20"/>
        </w:rPr>
        <w:t>) grassland ecosystems</w:t>
      </w:r>
      <w:r w:rsidRPr="002A3CBE">
        <w:rPr>
          <w:i/>
          <w:szCs w:val="20"/>
        </w:rPr>
        <w:t>.</w:t>
      </w:r>
      <w:r w:rsidRPr="002A3CBE">
        <w:rPr>
          <w:szCs w:val="20"/>
        </w:rPr>
        <w:t xml:space="preserve"> </w:t>
      </w:r>
      <w:r w:rsidRPr="002A3CBE">
        <w:rPr>
          <w:i/>
          <w:iCs/>
          <w:szCs w:val="20"/>
        </w:rPr>
        <w:t>Science for Conservation 290</w:t>
      </w:r>
      <w:r w:rsidRPr="002A3CBE">
        <w:rPr>
          <w:szCs w:val="20"/>
        </w:rPr>
        <w:t>. Wellington: Department of Conservation.</w:t>
      </w:r>
    </w:p>
    <w:p w14:paraId="048F2335" w14:textId="77777777" w:rsidR="00447423" w:rsidRPr="002A3CBE" w:rsidRDefault="00447423" w:rsidP="00447423">
      <w:pPr>
        <w:pStyle w:val="References"/>
        <w:rPr>
          <w:szCs w:val="20"/>
        </w:rPr>
      </w:pPr>
      <w:r w:rsidRPr="002A3CBE">
        <w:rPr>
          <w:szCs w:val="20"/>
        </w:rPr>
        <w:t xml:space="preserve">Robertson KA. 1998. Loss of organic matter and carbon during slash burns in New Zealand exotic forests. </w:t>
      </w:r>
      <w:r w:rsidRPr="002A3CBE">
        <w:rPr>
          <w:i/>
          <w:szCs w:val="20"/>
        </w:rPr>
        <w:t>New Zealand Journal of Forestry Science</w:t>
      </w:r>
      <w:r w:rsidRPr="002A3CBE">
        <w:rPr>
          <w:szCs w:val="20"/>
        </w:rPr>
        <w:t xml:space="preserve"> 28(2): 221–241.</w:t>
      </w:r>
    </w:p>
    <w:p w14:paraId="02466506" w14:textId="77777777" w:rsidR="00447423" w:rsidRPr="002A3CBE" w:rsidRDefault="00447423" w:rsidP="00447423">
      <w:pPr>
        <w:pStyle w:val="References"/>
        <w:rPr>
          <w:szCs w:val="20"/>
        </w:rPr>
      </w:pPr>
      <w:r w:rsidRPr="002A3CBE">
        <w:rPr>
          <w:szCs w:val="20"/>
        </w:rPr>
        <w:t xml:space="preserve">Thomas S, Hume E, Fraser T, Curtin D. 2011. </w:t>
      </w:r>
      <w:r w:rsidRPr="002A3CBE">
        <w:rPr>
          <w:i/>
          <w:szCs w:val="20"/>
        </w:rPr>
        <w:t>Factors and Activity Data to Estimate Nitrous Oxide Emissions from Cropping Systems, and Stubble and Tussock Burning</w:t>
      </w:r>
      <w:r w:rsidRPr="002A3CBE">
        <w:rPr>
          <w:szCs w:val="20"/>
        </w:rPr>
        <w:t>. Report prepared for the Ministry of Agriculture and Forestry by Plant and Food Research (formerly Crop and Food Research) technical paper no. 2012/16. Wellington: Ministry of Agriculture and Forestry.</w:t>
      </w:r>
    </w:p>
    <w:p w14:paraId="619E5691" w14:textId="77777777" w:rsidR="00447423" w:rsidRPr="002A3CBE" w:rsidRDefault="00447423" w:rsidP="00447423">
      <w:pPr>
        <w:pStyle w:val="References"/>
        <w:rPr>
          <w:szCs w:val="20"/>
        </w:rPr>
      </w:pPr>
      <w:r w:rsidRPr="002A3CBE">
        <w:rPr>
          <w:szCs w:val="20"/>
        </w:rPr>
        <w:t xml:space="preserve">Trotter C, MacKay A. Unpublished. </w:t>
      </w:r>
      <w:r w:rsidRPr="002A3CBE">
        <w:rPr>
          <w:iCs/>
          <w:szCs w:val="20"/>
        </w:rPr>
        <w:t>Potential Forest Land</w:t>
      </w:r>
      <w:r w:rsidRPr="002A3CBE">
        <w:rPr>
          <w:szCs w:val="20"/>
        </w:rPr>
        <w:t>. Contract report 04/05-0410-L prepared for Landcare Research New Zealand Ltd.</w:t>
      </w:r>
    </w:p>
    <w:p w14:paraId="126BEC25" w14:textId="77777777" w:rsidR="00447423" w:rsidRPr="002A3CBE" w:rsidRDefault="00447423" w:rsidP="00447423">
      <w:pPr>
        <w:pStyle w:val="References"/>
        <w:rPr>
          <w:szCs w:val="20"/>
        </w:rPr>
      </w:pPr>
      <w:r w:rsidRPr="002A3CBE">
        <w:rPr>
          <w:szCs w:val="20"/>
        </w:rPr>
        <w:t>UNFCCC. 2014</w:t>
      </w:r>
      <w:r w:rsidRPr="002A3CBE">
        <w:rPr>
          <w:i/>
          <w:szCs w:val="20"/>
        </w:rPr>
        <w:t xml:space="preserve">. </w:t>
      </w:r>
      <w:r w:rsidRPr="002A3CBE">
        <w:rPr>
          <w:szCs w:val="20"/>
        </w:rPr>
        <w:t>FCCC/CP/2013/10/Add.3.</w:t>
      </w:r>
      <w:r w:rsidRPr="002A3CBE">
        <w:rPr>
          <w:i/>
          <w:szCs w:val="20"/>
        </w:rPr>
        <w:t xml:space="preserve"> </w:t>
      </w:r>
      <w:r w:rsidRPr="002A3CBE">
        <w:rPr>
          <w:iCs/>
          <w:szCs w:val="20"/>
        </w:rPr>
        <w:t>Report of the Conference of the Parties on its nineteenth session, held in Warsaw from 11 to 23 November 2013: Addendum – Part 2: Action taken by the Conference of the Parties at its nineteenth session</w:t>
      </w:r>
      <w:r w:rsidRPr="002A3CBE">
        <w:rPr>
          <w:szCs w:val="20"/>
        </w:rPr>
        <w:t>.</w:t>
      </w:r>
    </w:p>
    <w:p w14:paraId="514F0E66" w14:textId="77777777" w:rsidR="00447423" w:rsidRPr="002A3CBE" w:rsidRDefault="00447423" w:rsidP="00447423">
      <w:pPr>
        <w:pStyle w:val="References"/>
      </w:pPr>
      <w:r w:rsidRPr="002A3CBE">
        <w:rPr>
          <w:rFonts w:cs="Calibri"/>
        </w:rPr>
        <w:t xml:space="preserve">Vibart R, Dodd M, Bowatte S, Mackay A, Hutchinson K. 2025. </w:t>
      </w:r>
      <w:r w:rsidRPr="002A3CBE">
        <w:rPr>
          <w:rFonts w:cs="Calibri"/>
          <w:i/>
        </w:rPr>
        <w:t>Grassland biomass carbon stock dynamics</w:t>
      </w:r>
      <w:r w:rsidRPr="002A3CBE">
        <w:rPr>
          <w:rFonts w:cs="Calibri"/>
        </w:rPr>
        <w:t>. Prepared for the Ministry for Primary Industries by AgResearch.</w:t>
      </w:r>
    </w:p>
    <w:p w14:paraId="60E8396B" w14:textId="77777777" w:rsidR="00447423" w:rsidRPr="002A3CBE" w:rsidRDefault="00447423" w:rsidP="00447423">
      <w:pPr>
        <w:pStyle w:val="References"/>
      </w:pPr>
      <w:r w:rsidRPr="002A3CBE">
        <w:t xml:space="preserve">Wakelin SJ. Unpublished(a). Scientific Research Underpinning New Zealand’s Carbon Inventory in Planted Forests. Objective 9 – UNFCCC planted forest carbon inventory methodology. Milestone 2 </w:t>
      </w:r>
      <w:r w:rsidRPr="002A3CBE">
        <w:br/>
        <w:t>– Review of shrubland clearance assumptions in the national carbon inventory. Contract report prepared for the Ministry for the Environment by New Zealand Forest Research Institute Ltd (trading as Scion) in 2004.</w:t>
      </w:r>
    </w:p>
    <w:p w14:paraId="47EF99F5" w14:textId="77777777" w:rsidR="00447423" w:rsidRPr="002A3CBE" w:rsidRDefault="00447423" w:rsidP="00447423">
      <w:pPr>
        <w:pStyle w:val="References"/>
        <w:rPr>
          <w:szCs w:val="20"/>
        </w:rPr>
      </w:pPr>
      <w:r w:rsidRPr="002A3CBE">
        <w:rPr>
          <w:szCs w:val="20"/>
        </w:rPr>
        <w:t xml:space="preserve">Wakelin SJ. Unpublished(b). </w:t>
      </w:r>
      <w:r w:rsidRPr="002A3CBE">
        <w:rPr>
          <w:iCs/>
          <w:szCs w:val="20"/>
        </w:rPr>
        <w:t>Review of LULUCF Biomass Burning Assumptions in New Zealand’s Greenhouse Gas Inventory</w:t>
      </w:r>
      <w:r w:rsidRPr="002A3CBE">
        <w:rPr>
          <w:szCs w:val="20"/>
        </w:rPr>
        <w:t>. Contract report prepared for the Ministry for the Environment by Ensis in 2006.</w:t>
      </w:r>
    </w:p>
    <w:p w14:paraId="4DF22EE9" w14:textId="77777777" w:rsidR="00447423" w:rsidRPr="002A3CBE" w:rsidRDefault="00447423" w:rsidP="00447423">
      <w:pPr>
        <w:pStyle w:val="References"/>
        <w:rPr>
          <w:szCs w:val="20"/>
        </w:rPr>
      </w:pPr>
      <w:r w:rsidRPr="002A3CBE">
        <w:rPr>
          <w:szCs w:val="20"/>
        </w:rPr>
        <w:t xml:space="preserve">Wakelin SJ. Unpublished(c). </w:t>
      </w:r>
      <w:r w:rsidRPr="002A3CBE">
        <w:rPr>
          <w:iCs/>
          <w:szCs w:val="20"/>
        </w:rPr>
        <w:t>Apportioning Wildfire Emissions to Forest Sub-categories in the National Greenhouse Gas Inventory</w:t>
      </w:r>
      <w:r w:rsidRPr="002A3CBE">
        <w:rPr>
          <w:szCs w:val="20"/>
        </w:rPr>
        <w:t>. Contract report prepared for the Ministry for the Environment by New Zealand Forest Research Institute Ltd (trading as Scion) in 2011.</w:t>
      </w:r>
    </w:p>
    <w:p w14:paraId="5EFE717E" w14:textId="77777777" w:rsidR="00447423" w:rsidRPr="002A3CBE" w:rsidRDefault="00447423" w:rsidP="00447423">
      <w:pPr>
        <w:pStyle w:val="References"/>
        <w:rPr>
          <w:szCs w:val="20"/>
        </w:rPr>
      </w:pPr>
      <w:r w:rsidRPr="002A3CBE">
        <w:rPr>
          <w:szCs w:val="20"/>
        </w:rPr>
        <w:t xml:space="preserve">Wakelin SJ. Unpublished(d). </w:t>
      </w:r>
      <w:r w:rsidRPr="002A3CBE">
        <w:rPr>
          <w:iCs/>
          <w:szCs w:val="20"/>
        </w:rPr>
        <w:t>Controlled Biomass Burning Emissions for the 2011 Greenhouse Gas Inventory</w:t>
      </w:r>
      <w:r w:rsidRPr="002A3CBE">
        <w:rPr>
          <w:szCs w:val="20"/>
        </w:rPr>
        <w:t>. Contract report prepared for the Ministry for the Environment by New Zealand Forest Research Institute Ltd (trading as Scion) in 2012.</w:t>
      </w:r>
    </w:p>
    <w:p w14:paraId="6254C83C" w14:textId="77777777" w:rsidR="00447423" w:rsidRPr="002A3CBE" w:rsidRDefault="00447423" w:rsidP="00447423">
      <w:pPr>
        <w:pStyle w:val="References"/>
        <w:rPr>
          <w:szCs w:val="20"/>
        </w:rPr>
      </w:pPr>
      <w:r w:rsidRPr="002A3CBE">
        <w:rPr>
          <w:szCs w:val="20"/>
        </w:rPr>
        <w:t>Wakelin SJ. Unpublished(e). Review of Emissions from Prescribed Burning of Standing Vegetation in New Zealand. Contract report prepared for the Ministry for the Environment by New Zealand Forest Research Institute Ltd (trading as Scion) in 2018.</w:t>
      </w:r>
    </w:p>
    <w:p w14:paraId="6992A15A" w14:textId="77777777" w:rsidR="00447423" w:rsidRPr="002A3CBE" w:rsidRDefault="00447423" w:rsidP="00447423">
      <w:pPr>
        <w:pStyle w:val="References"/>
        <w:rPr>
          <w:szCs w:val="20"/>
        </w:rPr>
      </w:pPr>
      <w:r w:rsidRPr="002A3CBE">
        <w:rPr>
          <w:rFonts w:cs="Calibri"/>
        </w:rPr>
        <w:t xml:space="preserve">Wakelin SJ. Unpublished(f). </w:t>
      </w:r>
      <w:r w:rsidRPr="002A3CBE">
        <w:rPr>
          <w:rFonts w:cs="Calibri"/>
          <w:iCs/>
        </w:rPr>
        <w:t>Annual Updating of the Harvested Wood Products Carbon Accounting Model</w:t>
      </w:r>
      <w:r w:rsidRPr="002A3CBE">
        <w:rPr>
          <w:rFonts w:cs="Calibri"/>
        </w:rPr>
        <w:t>. Contract report prepared for the Ministry for the Environment by New Zealand Forest Research Institute Ltd (trading as Scion) in 2023.</w:t>
      </w:r>
    </w:p>
    <w:p w14:paraId="3944E7B1" w14:textId="77777777" w:rsidR="00447423" w:rsidRPr="002A3CBE" w:rsidRDefault="00447423" w:rsidP="00447423">
      <w:pPr>
        <w:pStyle w:val="References"/>
        <w:rPr>
          <w:szCs w:val="20"/>
        </w:rPr>
      </w:pPr>
      <w:r w:rsidRPr="002A3CBE">
        <w:rPr>
          <w:szCs w:val="20"/>
        </w:rPr>
        <w:t>Wakelin SJ, Beets PN. 2013 Emission Factors for Managed and Unmanaged Grassland with Woody Biomass. Contract report prepared for the Ministry for the Environment by New Zealand Forest Research Institute Ltd (trading as Scion) in 2013.</w:t>
      </w:r>
    </w:p>
    <w:p w14:paraId="23793DA8" w14:textId="77777777" w:rsidR="00447423" w:rsidRPr="002A3CBE" w:rsidRDefault="00447423" w:rsidP="00447423">
      <w:pPr>
        <w:pStyle w:val="References"/>
        <w:rPr>
          <w:szCs w:val="20"/>
        </w:rPr>
      </w:pPr>
      <w:r w:rsidRPr="002A3CBE">
        <w:rPr>
          <w:szCs w:val="20"/>
        </w:rPr>
        <w:t xml:space="preserve">Wakelin SJ, Clifford VR, Anderson SAJ, Pearce HG. Unpublished. </w:t>
      </w:r>
      <w:r w:rsidRPr="002A3CBE">
        <w:rPr>
          <w:iCs/>
          <w:szCs w:val="20"/>
        </w:rPr>
        <w:t>Review of LULUCF Non-carbon Emissions in New Zealand’s Greenhouse Gas Inventory</w:t>
      </w:r>
      <w:r w:rsidRPr="002A3CBE">
        <w:rPr>
          <w:szCs w:val="20"/>
        </w:rPr>
        <w:t>. Contract report 17342 prepared for Ministry for the Environment by New Zealand Forest Research Institute Ltd (trading as Scion) in 2009.</w:t>
      </w:r>
    </w:p>
    <w:p w14:paraId="7D3F0D06" w14:textId="77777777" w:rsidR="00447423" w:rsidRPr="002A3CBE" w:rsidRDefault="00447423" w:rsidP="00447423">
      <w:pPr>
        <w:pStyle w:val="References"/>
        <w:rPr>
          <w:szCs w:val="20"/>
        </w:rPr>
      </w:pPr>
      <w:r w:rsidRPr="002A3CBE">
        <w:rPr>
          <w:szCs w:val="20"/>
        </w:rPr>
        <w:t>Wakelin SJ, Kimberley M. Unpublished. Harvested Wood Products Model for UNFCCC and Kyoto Protocol Reporting. Contract report prepared for the Ministry for the Environment by New Zealand Forest Research Institute Ltd (trading as Scion) in 2017.</w:t>
      </w:r>
    </w:p>
    <w:p w14:paraId="76E3ABD1" w14:textId="77777777" w:rsidR="00447423" w:rsidRPr="002A3CBE" w:rsidRDefault="00447423" w:rsidP="00447423">
      <w:pPr>
        <w:pStyle w:val="References"/>
        <w:rPr>
          <w:szCs w:val="20"/>
        </w:rPr>
      </w:pPr>
      <w:r w:rsidRPr="002A3CBE">
        <w:rPr>
          <w:szCs w:val="20"/>
        </w:rPr>
        <w:t xml:space="preserve">Wakelin SJ, Searles N, Lawrence D, Paul TSH. 2020. Estimating New Zealand’s harvested wood products carbon stocks and stock changes. </w:t>
      </w:r>
      <w:r w:rsidRPr="002A3CBE">
        <w:rPr>
          <w:i/>
          <w:iCs/>
          <w:szCs w:val="20"/>
        </w:rPr>
        <w:t>Carbon Balance and Management</w:t>
      </w:r>
      <w:r w:rsidRPr="002A3CBE">
        <w:rPr>
          <w:szCs w:val="20"/>
        </w:rPr>
        <w:t xml:space="preserve"> 15(10). </w:t>
      </w:r>
    </w:p>
    <w:p w14:paraId="17436EE2" w14:textId="77777777" w:rsidR="00447423" w:rsidRPr="002A3CBE" w:rsidRDefault="00447423" w:rsidP="00447423">
      <w:pPr>
        <w:pStyle w:val="References"/>
        <w:rPr>
          <w:szCs w:val="20"/>
        </w:rPr>
      </w:pPr>
      <w:r w:rsidRPr="002A3CBE">
        <w:rPr>
          <w:szCs w:val="20"/>
        </w:rPr>
        <w:t>Watts D. Unpublished. Land Use Backcasting: Data and methodology. Wellington: Ministry for the Environment.</w:t>
      </w:r>
    </w:p>
    <w:p w14:paraId="1101949E" w14:textId="77777777" w:rsidR="00447423" w:rsidRPr="002A3CBE" w:rsidRDefault="00447423" w:rsidP="00447423">
      <w:pPr>
        <w:pStyle w:val="References"/>
        <w:rPr>
          <w:szCs w:val="20"/>
        </w:rPr>
      </w:pPr>
      <w:r w:rsidRPr="002A3CBE">
        <w:rPr>
          <w:szCs w:val="20"/>
        </w:rPr>
        <w:t xml:space="preserve">Wekesa A. 2022. </w:t>
      </w:r>
      <w:hyperlink r:id="rId240" w:history="1">
        <w:r w:rsidRPr="002A3CBE">
          <w:rPr>
            <w:rStyle w:val="Hyperlink"/>
            <w:szCs w:val="20"/>
          </w:rPr>
          <w:t>The Estimation and Modelling of Carbon Stocks from Harvested Wood Products in New Zealand</w:t>
        </w:r>
      </w:hyperlink>
      <w:r w:rsidRPr="002A3CBE">
        <w:rPr>
          <w:szCs w:val="20"/>
        </w:rPr>
        <w:t>. Doctoral thesis, University of Canterbury. Retrieved 24 February 2023.</w:t>
      </w:r>
    </w:p>
    <w:p w14:paraId="04AF33F0" w14:textId="77777777" w:rsidR="00447423" w:rsidRPr="002A3CBE" w:rsidRDefault="00447423" w:rsidP="00447423">
      <w:pPr>
        <w:pStyle w:val="References"/>
        <w:rPr>
          <w:szCs w:val="20"/>
        </w:rPr>
      </w:pPr>
      <w:r w:rsidRPr="002A3CBE">
        <w:rPr>
          <w:rFonts w:asciiTheme="minorHAnsi" w:hAnsiTheme="minorHAnsi" w:cstheme="minorHAnsi"/>
          <w:szCs w:val="20"/>
        </w:rPr>
        <w:t>Wekesa A, Manley</w:t>
      </w:r>
      <w:r w:rsidRPr="002A3CBE">
        <w:rPr>
          <w:szCs w:val="20"/>
        </w:rPr>
        <w:t xml:space="preserve"> B, Evison D. 2022. </w:t>
      </w:r>
      <w:hyperlink r:id="rId241" w:history="1">
        <w:r w:rsidRPr="002A3CBE">
          <w:rPr>
            <w:rStyle w:val="Hyperlink"/>
            <w:i/>
            <w:iCs/>
            <w:szCs w:val="20"/>
          </w:rPr>
          <w:t>Improved Data on Harvested Wood Products</w:t>
        </w:r>
      </w:hyperlink>
      <w:r w:rsidRPr="002A3CBE">
        <w:rPr>
          <w:szCs w:val="20"/>
        </w:rPr>
        <w:t xml:space="preserve">. Wellington: Ministry for Primary Industries. Retrieved </w:t>
      </w:r>
      <w:r w:rsidRPr="002A3CBE">
        <w:t>1 August 2023</w:t>
      </w:r>
      <w:r w:rsidRPr="002A3CBE">
        <w:rPr>
          <w:szCs w:val="20"/>
        </w:rPr>
        <w:t>.</w:t>
      </w:r>
    </w:p>
    <w:p w14:paraId="797EC2A8" w14:textId="77777777" w:rsidR="00D5799B" w:rsidRDefault="00D5799B" w:rsidP="00E46639">
      <w:pPr>
        <w:pStyle w:val="References"/>
        <w:rPr>
          <w:rFonts w:cs="Calibri"/>
          <w:szCs w:val="20"/>
        </w:rPr>
        <w:sectPr w:rsidR="00D5799B" w:rsidSect="00E46639">
          <w:footerReference w:type="default" r:id="rId242"/>
          <w:pgSz w:w="11907" w:h="16840" w:code="9"/>
          <w:pgMar w:top="1418" w:right="1701" w:bottom="1418" w:left="1701" w:header="567" w:footer="567" w:gutter="0"/>
          <w:cols w:space="720"/>
          <w:docGrid w:linePitch="299"/>
        </w:sectPr>
      </w:pPr>
    </w:p>
    <w:p w14:paraId="745B71EA" w14:textId="77777777" w:rsidR="00EB5913" w:rsidRPr="006623B9" w:rsidRDefault="00EB5913" w:rsidP="00EB5913">
      <w:pPr>
        <w:pStyle w:val="Heading1"/>
      </w:pPr>
      <w:bookmarkStart w:id="2983" w:name="_Toc226460793"/>
      <w:bookmarkStart w:id="2984" w:name="chapter-7-waste"/>
      <w:r w:rsidRPr="006623B9">
        <w:t>Chapter 7: Waste</w:t>
      </w:r>
      <w:bookmarkEnd w:id="2983"/>
    </w:p>
    <w:p w14:paraId="732E10B8" w14:textId="77777777" w:rsidR="00EB5913" w:rsidRPr="006623B9" w:rsidRDefault="00EB5913" w:rsidP="00EB5913">
      <w:pPr>
        <w:pStyle w:val="Heading2"/>
        <w:spacing w:before="240"/>
      </w:pPr>
      <w:bookmarkStart w:id="2985" w:name="_Toc226460794"/>
      <w:bookmarkStart w:id="2986" w:name="sector-overview"/>
      <w:r w:rsidRPr="006623B9">
        <w:t xml:space="preserve">7.1 </w:t>
      </w:r>
      <w:r w:rsidRPr="006623B9">
        <w:tab/>
        <w:t>Sector overview</w:t>
      </w:r>
      <w:bookmarkEnd w:id="2985"/>
    </w:p>
    <w:p w14:paraId="494466A4" w14:textId="77777777" w:rsidR="00EB5913" w:rsidRPr="006623B9" w:rsidRDefault="00EB5913" w:rsidP="00EB5913">
      <w:pPr>
        <w:pStyle w:val="Heading3"/>
        <w:spacing w:before="240"/>
      </w:pPr>
      <w:bookmarkStart w:id="2987" w:name="the-waste-sector-in-new-zealand"/>
      <w:r w:rsidRPr="006623B9">
        <w:t xml:space="preserve">7.1.1 </w:t>
      </w:r>
      <w:r w:rsidRPr="006623B9">
        <w:tab/>
        <w:t>The Waste sector in New Zealand</w:t>
      </w:r>
    </w:p>
    <w:p w14:paraId="60228EE6" w14:textId="77777777" w:rsidR="00EB5913" w:rsidRPr="006623B9" w:rsidRDefault="00EB5913" w:rsidP="00EB5913">
      <w:pPr>
        <w:pStyle w:val="BodyText"/>
      </w:pPr>
      <w:r w:rsidRPr="006623B9">
        <w:t>In 2024, the Waste sector contributed 4.0 percent of New Zealand’s total gross greenhouse gas emissions, the majority of which was biogenic methane (CH</w:t>
      </w:r>
      <w:r w:rsidRPr="006623B9">
        <w:rPr>
          <w:vertAlign w:val="subscript"/>
        </w:rPr>
        <w:t>4</w:t>
      </w:r>
      <w:r w:rsidRPr="006623B9">
        <w:t xml:space="preserve">) from solid waste disposal sites (SWDS). Emissions from this sector are estimated across four categories: </w:t>
      </w:r>
      <w:r w:rsidRPr="006623B9">
        <w:rPr>
          <w:i/>
          <w:iCs/>
        </w:rPr>
        <w:t>Solid waste disposal</w:t>
      </w:r>
      <w:r w:rsidRPr="006623B9">
        <w:t xml:space="preserve">, </w:t>
      </w:r>
      <w:r w:rsidRPr="006623B9">
        <w:rPr>
          <w:i/>
          <w:iCs/>
        </w:rPr>
        <w:t>Biological treatment of solid waste</w:t>
      </w:r>
      <w:r w:rsidRPr="006623B9">
        <w:t xml:space="preserve">, </w:t>
      </w:r>
      <w:r w:rsidRPr="006623B9">
        <w:rPr>
          <w:i/>
          <w:iCs/>
        </w:rPr>
        <w:t>Incineration and open burning of waste</w:t>
      </w:r>
      <w:r w:rsidRPr="006623B9">
        <w:t xml:space="preserve"> and </w:t>
      </w:r>
      <w:r w:rsidRPr="006623B9">
        <w:rPr>
          <w:i/>
          <w:iCs/>
        </w:rPr>
        <w:t>Wastewater treatment and discharge</w:t>
      </w:r>
      <w:r w:rsidRPr="006623B9">
        <w:t>.</w:t>
      </w:r>
    </w:p>
    <w:p w14:paraId="28D0E7EC" w14:textId="77777777" w:rsidR="00EB5913" w:rsidRPr="006623B9" w:rsidRDefault="00EB5913" w:rsidP="00EB5913">
      <w:pPr>
        <w:pStyle w:val="BodyText"/>
      </w:pPr>
      <w:r w:rsidRPr="006623B9">
        <w:t xml:space="preserve">In New Zealand, the </w:t>
      </w:r>
      <w:r w:rsidRPr="006623B9">
        <w:rPr>
          <w:i/>
          <w:iCs/>
        </w:rPr>
        <w:t>Solid waste disposal</w:t>
      </w:r>
      <w:r w:rsidRPr="006623B9">
        <w:t xml:space="preserve"> category (5.A) was the largest source of emissions in 2024, accounting for 77.3 percent of the Waste sector’s total emissions. Most household, commercial and industrial waste continues to be disposed of in managed and unmanaged SWDS. Unmanaged SWDS include a variety of landfill types, such as farm dumps and sites used for construction, demolition or industrial waste. A notable exception to land disposal is farm waste management, where an estimated half of the waste is disposed of through open burning. Prior to 2010, some household waste was also disposed of in uncategorised SWDS. Figure 7.1.1 shows the sources of solid waste in New Zealand and the disposal practices used.</w:t>
      </w:r>
    </w:p>
    <w:p w14:paraId="715DFE75" w14:textId="4769E59B" w:rsidR="00EB5913" w:rsidRPr="006623B9" w:rsidRDefault="00EB5913" w:rsidP="00EB5913">
      <w:pPr>
        <w:pStyle w:val="BodyText"/>
      </w:pPr>
      <w:r w:rsidRPr="006623B9">
        <w:rPr>
          <w:spacing w:val="-2"/>
        </w:rPr>
        <w:t xml:space="preserve">Emissions from the </w:t>
      </w:r>
      <w:r w:rsidRPr="006623B9">
        <w:rPr>
          <w:i/>
          <w:iCs/>
          <w:spacing w:val="-2"/>
        </w:rPr>
        <w:t>Biological treatment of solid waste</w:t>
      </w:r>
      <w:r w:rsidRPr="006623B9">
        <w:rPr>
          <w:spacing w:val="-2"/>
        </w:rPr>
        <w:t xml:space="preserve"> category (5.B) accounted for 2.9 percent</w:t>
      </w:r>
      <w:r w:rsidRPr="006623B9">
        <w:t xml:space="preserve"> of the Waste sector’s emissions in 2024. New Zealand currently has one large-scale anaerobic digestion plant processing municipal organic waste, which began operating in late 2022. No</w:t>
      </w:r>
      <w:r w:rsidR="00966CBA">
        <w:t xml:space="preserve"> </w:t>
      </w:r>
      <w:r w:rsidRPr="006623B9">
        <w:t>other sources of direct greenhouse gas emissions are applicable to this category in New</w:t>
      </w:r>
      <w:r w:rsidR="00966CBA">
        <w:t xml:space="preserve"> </w:t>
      </w:r>
      <w:r w:rsidRPr="006623B9">
        <w:t>Zealand for the 2024 reporting year.</w:t>
      </w:r>
    </w:p>
    <w:p w14:paraId="3DF7B169" w14:textId="77777777" w:rsidR="00EB5913" w:rsidRPr="006623B9" w:rsidRDefault="00EB5913" w:rsidP="00EB5913">
      <w:pPr>
        <w:pStyle w:val="BodyText"/>
      </w:pPr>
      <w:r w:rsidRPr="006623B9">
        <w:t xml:space="preserve">The </w:t>
      </w:r>
      <w:r w:rsidRPr="006623B9">
        <w:rPr>
          <w:i/>
          <w:iCs/>
        </w:rPr>
        <w:t>Incineration and open burning of waste</w:t>
      </w:r>
      <w:r w:rsidRPr="006623B9">
        <w:t xml:space="preserve"> category (5.C) accounted for 6.4 percent of the sector’s emissions. Municipal solid waste is not incinerated in New Zealand. Incineration occurs only on a small scale, primarily for hazardous waste, clinical waste and sewage sludge, and its use has declined over time due to stricter environmental regulations and the availability of alternative disposal options.</w:t>
      </w:r>
    </w:p>
    <w:p w14:paraId="625DD9FE" w14:textId="77777777" w:rsidR="00EB5913" w:rsidRPr="006623B9" w:rsidRDefault="00EB5913" w:rsidP="00EB5913">
      <w:pPr>
        <w:pStyle w:val="BodyText"/>
      </w:pPr>
      <w:r w:rsidRPr="006623B9">
        <w:t xml:space="preserve">Emissions from the </w:t>
      </w:r>
      <w:r w:rsidRPr="006623B9">
        <w:rPr>
          <w:i/>
          <w:iCs/>
        </w:rPr>
        <w:t>Wastewater treatment and discharge</w:t>
      </w:r>
      <w:r w:rsidRPr="006623B9">
        <w:t xml:space="preserve"> category (5.D) contributed 13.3 percent of the Waste sector’s total emissions in 2024. Most wastewater treatment systems in New Zealand are aerobic and process both domestic and industrial wastewater, all of which generate CH</w:t>
      </w:r>
      <w:r w:rsidRPr="006623B9">
        <w:rPr>
          <w:vertAlign w:val="subscript"/>
        </w:rPr>
        <w:t>4</w:t>
      </w:r>
      <w:r w:rsidRPr="006623B9">
        <w:t xml:space="preserve"> and nitrous oxide (N</w:t>
      </w:r>
      <w:r w:rsidRPr="006623B9">
        <w:rPr>
          <w:vertAlign w:val="subscript"/>
        </w:rPr>
        <w:t>2</w:t>
      </w:r>
      <w:r w:rsidRPr="006623B9">
        <w:t xml:space="preserve">O) emissions. Biogenic methane emissions from domestic wastewater primarily arise from the use of rural septic tanks. Wastewater emissions </w:t>
      </w:r>
      <w:r w:rsidRPr="006623B9">
        <w:rPr>
          <w:spacing w:val="-2"/>
        </w:rPr>
        <w:t>are also produced by some municipal treatment plants, which operate semi-aerobic processes, as well as from specific industries, in particular, the meat processing and pulp and paper sectors</w:t>
      </w:r>
      <w:r w:rsidRPr="006623B9">
        <w:t>.</w:t>
      </w:r>
    </w:p>
    <w:p w14:paraId="4580BEBD" w14:textId="77777777" w:rsidR="00EB5913" w:rsidRPr="006623B9" w:rsidRDefault="00EB5913" w:rsidP="00EB5913">
      <w:pPr>
        <w:pStyle w:val="BodyText"/>
      </w:pPr>
      <w:r w:rsidRPr="006623B9">
        <w:t>In 2024, emissions from the Waste sector decreased by 9.6 percent compared with 1990 and decreased by 20.9 percent from 2005. This reduction is largely driven by government policies, including the introduction of a waste disposal levy under the Waste Minimisation Act 2008 (WMA), the inclusion of most municipal landfills (Class 1) in the New Zealand Emissions Trading Scheme (NZ ETS) and resource consent requirements for certain landfills.</w:t>
      </w:r>
    </w:p>
    <w:p w14:paraId="77222DDA" w14:textId="77777777" w:rsidR="00EB5913" w:rsidRPr="006623B9" w:rsidRDefault="00EB5913" w:rsidP="00EB5913">
      <w:pPr>
        <w:pStyle w:val="BodyText"/>
        <w:keepLines/>
        <w:spacing w:before="100" w:after="100"/>
      </w:pPr>
      <w:r w:rsidRPr="006623B9">
        <w:t>The Government is working with the sector to reduce emissions through the second emissions reduction plan (Ministry for the Environment, 2024). In 2024, the Ministry for the Environment published this plan, outlining the actions required to meet New Zealand’s second emissions budget for 2026–30. Chapter 13 of the plan specifically addresses measures for the Waste sector, and any resulting impacts will be reflected in future greenhouse gas inventories. Work is underway on these actions.</w:t>
      </w:r>
    </w:p>
    <w:p w14:paraId="7545F230" w14:textId="77777777" w:rsidR="00EB5913" w:rsidRPr="006623B9" w:rsidRDefault="00EB5913" w:rsidP="00EB5913">
      <w:pPr>
        <w:pStyle w:val="BodyText"/>
        <w:spacing w:before="100" w:after="100"/>
      </w:pPr>
      <w:r w:rsidRPr="006623B9">
        <w:t>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Inventory. Therefore, all emissions reported under this sector exclude Tokelau. Please see chapter 8 and annex 7 for details of methods applied and the emissions for Tokelau.</w:t>
      </w:r>
    </w:p>
    <w:p w14:paraId="17690E28" w14:textId="77777777" w:rsidR="00EB5913" w:rsidRPr="006623B9" w:rsidRDefault="00EB5913" w:rsidP="00EB5913">
      <w:pPr>
        <w:pStyle w:val="Figure"/>
        <w:spacing w:after="80"/>
      </w:pPr>
      <w:bookmarkStart w:id="2988" w:name="_Toc226200705"/>
      <w:r w:rsidRPr="006623B9">
        <w:t xml:space="preserve">Figure 7.1.1 </w:t>
      </w:r>
      <w:r w:rsidRPr="006623B9">
        <w:tab/>
        <w:t>Sources and destinations of solid waste in New Zealand</w:t>
      </w:r>
      <w:bookmarkEnd w:id="2988"/>
    </w:p>
    <w:p w14:paraId="3450CB9B" w14:textId="77777777" w:rsidR="00EB5913" w:rsidRPr="006623B9" w:rsidRDefault="00EB5913" w:rsidP="00EB5913">
      <w:pPr>
        <w:pStyle w:val="BodyText"/>
        <w:jc w:val="center"/>
      </w:pPr>
      <w:r w:rsidRPr="006623B9">
        <w:rPr>
          <w:noProof/>
        </w:rPr>
        <w:drawing>
          <wp:inline distT="0" distB="0" distL="0" distR="0" wp14:anchorId="20BAE604" wp14:editId="3D16FD3F">
            <wp:extent cx="5081954" cy="5205046"/>
            <wp:effectExtent l="0" t="0" r="0" b="0"/>
            <wp:docPr id="21" name="Picture"/>
            <wp:cNvGraphicFramePr/>
            <a:graphic xmlns:a="http://schemas.openxmlformats.org/drawingml/2006/main">
              <a:graphicData uri="http://schemas.openxmlformats.org/drawingml/2006/picture">
                <pic:pic xmlns:pic="http://schemas.openxmlformats.org/drawingml/2006/picture">
                  <pic:nvPicPr>
                    <pic:cNvPr id="22" name="Picture" descr="images/fig_7_1_1_2026.png"/>
                    <pic:cNvPicPr>
                      <a:picLocks noChangeAspect="1" noChangeArrowheads="1"/>
                    </pic:cNvPicPr>
                  </pic:nvPicPr>
                  <pic:blipFill rotWithShape="1">
                    <a:blip r:embed="rId243"/>
                    <a:srcRect t="880"/>
                    <a:stretch>
                      <a:fillRect/>
                    </a:stretch>
                  </pic:blipFill>
                  <pic:spPr bwMode="auto">
                    <a:xfrm>
                      <a:off x="0" y="0"/>
                      <a:ext cx="5105048" cy="5228700"/>
                    </a:xfrm>
                    <a:prstGeom prst="rect">
                      <a:avLst/>
                    </a:prstGeom>
                    <a:noFill/>
                    <a:ln>
                      <a:noFill/>
                    </a:ln>
                    <a:extLst>
                      <a:ext uri="{53640926-AAD7-44D8-BBD7-CCE9431645EC}">
                        <a14:shadowObscured xmlns:a14="http://schemas.microsoft.com/office/drawing/2010/main"/>
                      </a:ext>
                    </a:extLst>
                  </pic:spPr>
                </pic:pic>
              </a:graphicData>
            </a:graphic>
          </wp:inline>
        </w:drawing>
      </w:r>
    </w:p>
    <w:p w14:paraId="1A9FC032" w14:textId="77777777" w:rsidR="00EB5913" w:rsidRPr="006623B9" w:rsidRDefault="00EB5913" w:rsidP="00EB5913">
      <w:pPr>
        <w:pStyle w:val="Heading3"/>
      </w:pPr>
      <w:bookmarkStart w:id="2989" w:name="emissions-summary"/>
      <w:bookmarkEnd w:id="2987"/>
      <w:r w:rsidRPr="006623B9">
        <w:t>7.1.2</w:t>
      </w:r>
      <w:r w:rsidRPr="006623B9">
        <w:tab/>
        <w:t>Emissions summary</w:t>
      </w:r>
    </w:p>
    <w:p w14:paraId="7D9CEB31" w14:textId="77777777" w:rsidR="00EB5913" w:rsidRPr="006623B9" w:rsidRDefault="00EB5913" w:rsidP="00EB5913">
      <w:pPr>
        <w:pStyle w:val="BodyText"/>
        <w:spacing w:before="100" w:after="100"/>
      </w:pPr>
      <w:r w:rsidRPr="006623B9">
        <w:t>The Waste sector in New Zealand produces mainly CH</w:t>
      </w:r>
      <w:r w:rsidRPr="006623B9">
        <w:rPr>
          <w:vertAlign w:val="subscript"/>
        </w:rPr>
        <w:t>4</w:t>
      </w:r>
      <w:r w:rsidRPr="006623B9">
        <w:t xml:space="preserve"> (91.5 percent) followed by nitrous oxide (N</w:t>
      </w:r>
      <w:r w:rsidRPr="006623B9">
        <w:rPr>
          <w:vertAlign w:val="subscript"/>
        </w:rPr>
        <w:t>2</w:t>
      </w:r>
      <w:r w:rsidRPr="006623B9">
        <w:t>O) (5.2 percent) and carbon dioxide (CO</w:t>
      </w:r>
      <w:r w:rsidRPr="006623B9">
        <w:rPr>
          <w:vertAlign w:val="subscript"/>
        </w:rPr>
        <w:t>2</w:t>
      </w:r>
      <w:r w:rsidRPr="006623B9">
        <w:t>) emissions (3.3 percent). The Waste sector produces 7.5 percent of gross CH</w:t>
      </w:r>
      <w:r w:rsidRPr="006623B9">
        <w:rPr>
          <w:vertAlign w:val="subscript"/>
        </w:rPr>
        <w:t>4</w:t>
      </w:r>
      <w:r w:rsidRPr="006623B9">
        <w:t xml:space="preserve"> emissions in New Zealand. There are also emissions of CO</w:t>
      </w:r>
      <w:r w:rsidRPr="006623B9">
        <w:rPr>
          <w:vertAlign w:val="subscript"/>
        </w:rPr>
        <w:t>2</w:t>
      </w:r>
      <w:r w:rsidRPr="006623B9">
        <w:t xml:space="preserve"> from the disposal of solid waste, but these are of biogenic origin and are not reported.</w:t>
      </w:r>
    </w:p>
    <w:p w14:paraId="07F7BD60" w14:textId="77777777" w:rsidR="00EB5913" w:rsidRPr="006623B9" w:rsidRDefault="00EB5913" w:rsidP="00EB5913">
      <w:pPr>
        <w:pStyle w:val="Heading5"/>
      </w:pPr>
      <w:bookmarkStart w:id="2990" w:name="section"/>
      <w:r w:rsidRPr="006623B9">
        <w:t>2024</w:t>
      </w:r>
    </w:p>
    <w:p w14:paraId="4628C80B" w14:textId="77777777" w:rsidR="00EB5913" w:rsidRPr="006623B9" w:rsidRDefault="00EB5913" w:rsidP="00EB5913">
      <w:pPr>
        <w:pStyle w:val="BodyText"/>
      </w:pPr>
      <w:r w:rsidRPr="006623B9">
        <w:t>In 2024, emissions from the Waste sector contributed 3,009.1 kilotonnes carbon dioxide equivalent (kt CO</w:t>
      </w:r>
      <w:r w:rsidRPr="006623B9">
        <w:rPr>
          <w:vertAlign w:val="subscript"/>
        </w:rPr>
        <w:t>2</w:t>
      </w:r>
      <w:r w:rsidRPr="006623B9">
        <w:t xml:space="preserve">e) or 4.0 percent of New Zealand’s gross greenhouse gas emissions. The largest source category is </w:t>
      </w:r>
      <w:r w:rsidRPr="006623B9">
        <w:rPr>
          <w:i/>
          <w:iCs/>
        </w:rPr>
        <w:t>Solid waste disposal</w:t>
      </w:r>
      <w:r w:rsidRPr="006623B9">
        <w:t>, as shown in table 7.1.1.</w:t>
      </w:r>
    </w:p>
    <w:p w14:paraId="258F225E" w14:textId="77777777" w:rsidR="00EB5913" w:rsidRPr="006623B9" w:rsidRDefault="00EB5913" w:rsidP="00EB5913">
      <w:pPr>
        <w:pStyle w:val="Heading5"/>
      </w:pPr>
      <w:bookmarkStart w:id="2991" w:name="section-1"/>
      <w:bookmarkEnd w:id="2990"/>
      <w:r w:rsidRPr="006623B9">
        <w:t>2023–2024</w:t>
      </w:r>
    </w:p>
    <w:p w14:paraId="7F2637DA" w14:textId="77777777" w:rsidR="00EB5913" w:rsidRPr="006623B9" w:rsidRDefault="00EB5913" w:rsidP="00EB5913">
      <w:pPr>
        <w:pStyle w:val="BodyText"/>
      </w:pPr>
      <w:r w:rsidRPr="006623B9">
        <w:t>Between 2023 and 2024, emissions from the Waste sector decreased by 0.5 percent (14.1 kt CO</w:t>
      </w:r>
      <w:r w:rsidRPr="006623B9">
        <w:rPr>
          <w:vertAlign w:val="subscript"/>
        </w:rPr>
        <w:t>2</w:t>
      </w:r>
      <w:r w:rsidRPr="006623B9">
        <w:t>e), mainly due to lower CH</w:t>
      </w:r>
      <w:r w:rsidRPr="006623B9">
        <w:rPr>
          <w:vertAlign w:val="subscript"/>
        </w:rPr>
        <w:t>4</w:t>
      </w:r>
      <w:r w:rsidRPr="006623B9">
        <w:t xml:space="preserve"> emissions from the </w:t>
      </w:r>
      <w:r w:rsidRPr="006623B9">
        <w:rPr>
          <w:i/>
          <w:iCs/>
        </w:rPr>
        <w:t>Managed waste disposal sites</w:t>
      </w:r>
      <w:r w:rsidRPr="006623B9">
        <w:t xml:space="preserve"> category. This was driven by improved landfill gas (LFG) capture and changes in waste composition, including reduced garden, food, and paper waste.</w:t>
      </w:r>
    </w:p>
    <w:p w14:paraId="78399FE0" w14:textId="77777777" w:rsidR="00EB5913" w:rsidRPr="006623B9" w:rsidRDefault="00EB5913" w:rsidP="00EB5913">
      <w:pPr>
        <w:pStyle w:val="Heading5"/>
      </w:pPr>
      <w:bookmarkStart w:id="2992" w:name="section-2"/>
      <w:bookmarkEnd w:id="2991"/>
      <w:r w:rsidRPr="006623B9">
        <w:t>2005–2024</w:t>
      </w:r>
    </w:p>
    <w:p w14:paraId="55B753FA" w14:textId="77777777" w:rsidR="00EB5913" w:rsidRPr="006623B9" w:rsidRDefault="00EB5913" w:rsidP="00EB5913">
      <w:pPr>
        <w:pStyle w:val="BodyText"/>
      </w:pPr>
      <w:r w:rsidRPr="006623B9">
        <w:t>Over the longer term, between 2005 and 2024, emissions from the Waste sector decreased by 20.9 percent (795.8 kt CO</w:t>
      </w:r>
      <w:r w:rsidRPr="006623B9">
        <w:rPr>
          <w:vertAlign w:val="subscript"/>
        </w:rPr>
        <w:t>2</w:t>
      </w:r>
      <w:r w:rsidRPr="006623B9">
        <w:t>e). This sustained reduction in CH</w:t>
      </w:r>
      <w:r w:rsidRPr="006623B9">
        <w:rPr>
          <w:vertAlign w:val="subscript"/>
        </w:rPr>
        <w:t>4</w:t>
      </w:r>
      <w:r w:rsidRPr="006623B9">
        <w:t xml:space="preserve"> emissions reflects the implementation of improved management practices, such as LFG capture, along with a substantial decrease in the amount of organic waste sent to landfills.</w:t>
      </w:r>
    </w:p>
    <w:p w14:paraId="751D848B" w14:textId="77777777" w:rsidR="00EB5913" w:rsidRPr="006623B9" w:rsidRDefault="00EB5913" w:rsidP="00EB5913">
      <w:pPr>
        <w:pStyle w:val="Heading5"/>
      </w:pPr>
      <w:bookmarkStart w:id="2993" w:name="section-3"/>
      <w:bookmarkEnd w:id="2992"/>
      <w:r w:rsidRPr="006623B9">
        <w:t>1990–2024</w:t>
      </w:r>
    </w:p>
    <w:p w14:paraId="0872C9D3" w14:textId="77777777" w:rsidR="00EB5913" w:rsidRPr="006623B9" w:rsidRDefault="00EB5913" w:rsidP="00EB5913">
      <w:pPr>
        <w:pStyle w:val="BodyText"/>
      </w:pPr>
      <w:r w:rsidRPr="006623B9">
        <w:t>As of 2024, emissions from the Waste sector decreased by 9.6 percent (319.4 kt CO</w:t>
      </w:r>
      <w:r w:rsidRPr="006623B9">
        <w:rPr>
          <w:vertAlign w:val="subscript"/>
        </w:rPr>
        <w:t>2</w:t>
      </w:r>
      <w:r w:rsidRPr="006623B9">
        <w:t>e), from 1990 levels of 3,328.5 kt CO</w:t>
      </w:r>
      <w:r w:rsidRPr="006623B9">
        <w:rPr>
          <w:vertAlign w:val="subscript"/>
        </w:rPr>
        <w:t>2</w:t>
      </w:r>
      <w:r w:rsidRPr="006623B9">
        <w:t>e.</w:t>
      </w:r>
    </w:p>
    <w:p w14:paraId="36B56AE9" w14:textId="77777777" w:rsidR="00EB5913" w:rsidRPr="006623B9" w:rsidRDefault="00EB5913" w:rsidP="00EB5913">
      <w:pPr>
        <w:pStyle w:val="BodyText"/>
      </w:pPr>
      <w:r w:rsidRPr="006623B9">
        <w:t>Annual emissions peaked at 3,878.6 kt CO</w:t>
      </w:r>
      <w:r w:rsidRPr="006623B9">
        <w:rPr>
          <w:vertAlign w:val="subscript"/>
        </w:rPr>
        <w:t>2</w:t>
      </w:r>
      <w:r w:rsidRPr="006623B9">
        <w:t>e in 2002 and have generally declined since then. While population growth and increased economic activity since 1990 have driven an overall rise in the volumes of solid waste and wastewater throughout the time series, ongoing improvements in managed waste disposal sites have contributed to a downward pattern in total Waste sector emissions since 2005. This reduction is primarily attributable to increased CH</w:t>
      </w:r>
      <w:r w:rsidRPr="006623B9">
        <w:rPr>
          <w:vertAlign w:val="subscript"/>
        </w:rPr>
        <w:t>4</w:t>
      </w:r>
      <w:r w:rsidRPr="006623B9">
        <w:t xml:space="preserve"> recovery through the installation of LFG capture systems, supported by the introduction of National Environmental Standards for Air Quality in 2004 and the inclusion of the Waste sector in the NZ ETS in 2013. These legislative tools have been complemented by local government efforts to improve kerbside collections, including for organic waste, across the country, and by a central government waste work programme that includes product stewardship, plastic phase-outs and investment in resource recovery infrastructure for organic materials.</w:t>
      </w:r>
    </w:p>
    <w:p w14:paraId="68D33C84" w14:textId="77777777" w:rsidR="00EB5913" w:rsidRPr="006623B9" w:rsidRDefault="00EB5913" w:rsidP="007D51F0">
      <w:pPr>
        <w:pStyle w:val="Table"/>
      </w:pPr>
      <w:bookmarkStart w:id="2994" w:name="_Toc226669094"/>
      <w:r w:rsidRPr="006623B9">
        <w:t xml:space="preserve">Table 7.1.1 </w:t>
      </w:r>
      <w:r w:rsidRPr="006623B9">
        <w:tab/>
        <w:t xml:space="preserve">New Zealand’s greenhouse gas emissions for the Waste sector by source category in </w:t>
      </w:r>
      <w:r w:rsidRPr="006623B9">
        <w:rPr>
          <w:bCs/>
        </w:rPr>
        <w:t>1990</w:t>
      </w:r>
      <w:r w:rsidRPr="006623B9">
        <w:t xml:space="preserve">, </w:t>
      </w:r>
      <w:r w:rsidRPr="006623B9">
        <w:rPr>
          <w:bCs/>
        </w:rPr>
        <w:t>2005</w:t>
      </w:r>
      <w:r w:rsidRPr="006623B9">
        <w:t xml:space="preserve">, </w:t>
      </w:r>
      <w:r w:rsidRPr="006623B9">
        <w:rPr>
          <w:bCs/>
        </w:rPr>
        <w:t>2023</w:t>
      </w:r>
      <w:r w:rsidRPr="006623B9">
        <w:t xml:space="preserve"> and </w:t>
      </w:r>
      <w:r w:rsidRPr="006623B9">
        <w:rPr>
          <w:bCs/>
        </w:rPr>
        <w:t>2024</w:t>
      </w:r>
      <w:bookmarkEnd w:id="2994"/>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197"/>
        <w:gridCol w:w="800"/>
        <w:gridCol w:w="543"/>
        <w:gridCol w:w="543"/>
        <w:gridCol w:w="543"/>
        <w:gridCol w:w="836"/>
        <w:gridCol w:w="527"/>
        <w:gridCol w:w="527"/>
        <w:gridCol w:w="591"/>
        <w:gridCol w:w="584"/>
        <w:gridCol w:w="527"/>
        <w:gridCol w:w="491"/>
        <w:gridCol w:w="398"/>
        <w:gridCol w:w="398"/>
      </w:tblGrid>
      <w:tr w:rsidR="00EB5913" w:rsidRPr="006623B9" w14:paraId="36D1C962" w14:textId="77777777" w:rsidTr="00F16E23">
        <w:trPr>
          <w:tblHeader/>
        </w:trPr>
        <w:tc>
          <w:tcPr>
            <w:tcW w:w="0" w:type="auto"/>
            <w:shd w:val="clear" w:color="auto" w:fill="1B556B"/>
            <w:tcMar>
              <w:top w:w="0" w:type="dxa"/>
              <w:left w:w="57" w:type="dxa"/>
              <w:bottom w:w="0" w:type="dxa"/>
              <w:right w:w="57" w:type="dxa"/>
            </w:tcMar>
            <w:vAlign w:val="bottom"/>
          </w:tcPr>
          <w:p w14:paraId="0AC585EC" w14:textId="77777777" w:rsidR="00EB5913" w:rsidRPr="006623B9" w:rsidRDefault="00EB5913" w:rsidP="00F16E23">
            <w:pPr>
              <w:pStyle w:val="TableTextBold"/>
              <w:spacing w:before="40" w:after="0"/>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56AF6CC6" w14:textId="77777777" w:rsidR="00EB5913" w:rsidRPr="006623B9" w:rsidRDefault="00EB5913" w:rsidP="00F16E23">
            <w:pPr>
              <w:pStyle w:val="TableTextBold"/>
              <w:spacing w:before="40" w:after="0"/>
              <w:jc w:val="right"/>
              <w:rPr>
                <w:noProof w:val="0"/>
                <w:color w:val="FFFFFF" w:themeColor="background1"/>
                <w:sz w:val="14"/>
                <w:szCs w:val="20"/>
              </w:rPr>
            </w:pPr>
            <w:r w:rsidRPr="006623B9">
              <w:rPr>
                <w:rFonts w:eastAsia="Calibri" w:cs="Calibri"/>
                <w:noProof w:val="0"/>
                <w:color w:val="FFFFFF" w:themeColor="background1"/>
                <w:sz w:val="14"/>
                <w:szCs w:val="20"/>
              </w:rPr>
              <w:t>Emissions (kt CO</w:t>
            </w:r>
            <w:r w:rsidRPr="006623B9">
              <w:rPr>
                <w:rFonts w:eastAsia="Calibri" w:cs="Calibri"/>
                <w:noProof w:val="0"/>
                <w:color w:val="FFFFFF" w:themeColor="background1"/>
                <w:sz w:val="14"/>
                <w:szCs w:val="20"/>
                <w:vertAlign w:val="subscript"/>
              </w:rPr>
              <w:t>2</w:t>
            </w:r>
            <w:r w:rsidRPr="006623B9">
              <w:rPr>
                <w:rFonts w:eastAsia="Calibri" w:cs="Calibri"/>
                <w:noProof w:val="0"/>
                <w:color w:val="FFFFFF" w:themeColor="background1"/>
                <w:sz w:val="14"/>
                <w:szCs w:val="20"/>
              </w:rPr>
              <w:t>e)</w:t>
            </w:r>
          </w:p>
        </w:tc>
        <w:tc>
          <w:tcPr>
            <w:tcW w:w="0" w:type="auto"/>
            <w:shd w:val="clear" w:color="auto" w:fill="1B556B"/>
            <w:tcMar>
              <w:top w:w="0" w:type="dxa"/>
              <w:left w:w="57" w:type="dxa"/>
              <w:bottom w:w="0" w:type="dxa"/>
              <w:right w:w="57" w:type="dxa"/>
            </w:tcMar>
            <w:vAlign w:val="bottom"/>
          </w:tcPr>
          <w:p w14:paraId="22ECD10E"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721CD9DA"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57DE833E"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0E5DD5E4" w14:textId="77777777" w:rsidR="00EB5913" w:rsidRPr="006623B9" w:rsidRDefault="00EB5913" w:rsidP="00F16E23">
            <w:pPr>
              <w:pStyle w:val="TableTextBold"/>
              <w:spacing w:before="40" w:after="0"/>
              <w:jc w:val="right"/>
              <w:rPr>
                <w:noProof w:val="0"/>
                <w:color w:val="FFFFFF" w:themeColor="background1"/>
                <w:sz w:val="14"/>
                <w:szCs w:val="20"/>
              </w:rPr>
            </w:pPr>
            <w:r w:rsidRPr="006623B9">
              <w:rPr>
                <w:rFonts w:eastAsia="Calibri" w:cs="Calibri"/>
                <w:noProof w:val="0"/>
                <w:color w:val="FFFFFF" w:themeColor="background1"/>
                <w:sz w:val="14"/>
                <w:szCs w:val="20"/>
              </w:rPr>
              <w:t>Difference (kt CO</w:t>
            </w:r>
            <w:r w:rsidRPr="006623B9">
              <w:rPr>
                <w:rFonts w:eastAsia="Calibri" w:cs="Calibri"/>
                <w:noProof w:val="0"/>
                <w:color w:val="FFFFFF" w:themeColor="background1"/>
                <w:sz w:val="14"/>
                <w:szCs w:val="20"/>
                <w:vertAlign w:val="subscript"/>
              </w:rPr>
              <w:t>2</w:t>
            </w:r>
            <w:r w:rsidRPr="006623B9">
              <w:rPr>
                <w:rFonts w:eastAsia="Calibri" w:cs="Calibri"/>
                <w:noProof w:val="0"/>
                <w:color w:val="FFFFFF" w:themeColor="background1"/>
                <w:sz w:val="14"/>
                <w:szCs w:val="20"/>
              </w:rPr>
              <w:t>e)</w:t>
            </w:r>
          </w:p>
        </w:tc>
        <w:tc>
          <w:tcPr>
            <w:tcW w:w="0" w:type="auto"/>
            <w:shd w:val="clear" w:color="auto" w:fill="1B556B"/>
            <w:tcMar>
              <w:top w:w="0" w:type="dxa"/>
              <w:left w:w="57" w:type="dxa"/>
              <w:bottom w:w="0" w:type="dxa"/>
              <w:right w:w="57" w:type="dxa"/>
            </w:tcMar>
            <w:vAlign w:val="bottom"/>
          </w:tcPr>
          <w:p w14:paraId="40E342AD"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6981BF30"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31907432" w14:textId="77777777" w:rsidR="00EB5913" w:rsidRPr="006623B9" w:rsidRDefault="00EB5913" w:rsidP="00F16E23">
            <w:pPr>
              <w:pStyle w:val="TableTextBold"/>
              <w:spacing w:before="40" w:after="0"/>
              <w:jc w:val="right"/>
              <w:rPr>
                <w:noProof w:val="0"/>
                <w:color w:val="FFFFFF" w:themeColor="background1"/>
                <w:sz w:val="14"/>
                <w:szCs w:val="20"/>
              </w:rPr>
            </w:pPr>
            <w:r w:rsidRPr="006623B9">
              <w:rPr>
                <w:rFonts w:eastAsia="Calibri" w:cs="Calibri"/>
                <w:noProof w:val="0"/>
                <w:color w:val="FFFFFF" w:themeColor="background1"/>
                <w:sz w:val="14"/>
                <w:szCs w:val="20"/>
              </w:rPr>
              <w:t>Change (%)</w:t>
            </w:r>
          </w:p>
        </w:tc>
        <w:tc>
          <w:tcPr>
            <w:tcW w:w="0" w:type="auto"/>
            <w:shd w:val="clear" w:color="auto" w:fill="1B556B"/>
            <w:tcMar>
              <w:top w:w="0" w:type="dxa"/>
              <w:left w:w="57" w:type="dxa"/>
              <w:bottom w:w="0" w:type="dxa"/>
              <w:right w:w="57" w:type="dxa"/>
            </w:tcMar>
            <w:vAlign w:val="bottom"/>
          </w:tcPr>
          <w:p w14:paraId="0DC68140"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13593AFC"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61389B01" w14:textId="77777777" w:rsidR="00EB5913" w:rsidRPr="006623B9" w:rsidRDefault="00EB5913" w:rsidP="00F16E23">
            <w:pPr>
              <w:pStyle w:val="TableTextBold"/>
              <w:spacing w:before="40" w:after="0"/>
              <w:jc w:val="right"/>
              <w:rPr>
                <w:noProof w:val="0"/>
                <w:color w:val="FFFFFF" w:themeColor="background1"/>
                <w:sz w:val="14"/>
                <w:szCs w:val="20"/>
              </w:rPr>
            </w:pPr>
            <w:r w:rsidRPr="006623B9">
              <w:rPr>
                <w:rFonts w:eastAsia="Calibri" w:cs="Calibri"/>
                <w:noProof w:val="0"/>
                <w:color w:val="FFFFFF" w:themeColor="background1"/>
                <w:sz w:val="14"/>
                <w:szCs w:val="20"/>
              </w:rPr>
              <w:t>Share (%)</w:t>
            </w:r>
          </w:p>
        </w:tc>
        <w:tc>
          <w:tcPr>
            <w:tcW w:w="0" w:type="auto"/>
            <w:shd w:val="clear" w:color="auto" w:fill="1B556B"/>
            <w:tcMar>
              <w:top w:w="0" w:type="dxa"/>
              <w:left w:w="57" w:type="dxa"/>
              <w:bottom w:w="0" w:type="dxa"/>
              <w:right w:w="57" w:type="dxa"/>
            </w:tcMar>
            <w:vAlign w:val="bottom"/>
          </w:tcPr>
          <w:p w14:paraId="539F5DD0" w14:textId="77777777" w:rsidR="00EB5913" w:rsidRPr="006623B9" w:rsidRDefault="00EB5913" w:rsidP="00F16E23">
            <w:pPr>
              <w:pStyle w:val="TableTextBold"/>
              <w:spacing w:before="40" w:after="0"/>
              <w:jc w:val="right"/>
              <w:rPr>
                <w:noProof w:val="0"/>
                <w:color w:val="FFFFFF" w:themeColor="background1"/>
                <w:sz w:val="14"/>
                <w:szCs w:val="20"/>
              </w:rPr>
            </w:pPr>
          </w:p>
        </w:tc>
        <w:tc>
          <w:tcPr>
            <w:tcW w:w="0" w:type="auto"/>
            <w:shd w:val="clear" w:color="auto" w:fill="1B556B"/>
            <w:tcMar>
              <w:top w:w="0" w:type="dxa"/>
              <w:left w:w="57" w:type="dxa"/>
              <w:bottom w:w="0" w:type="dxa"/>
              <w:right w:w="57" w:type="dxa"/>
            </w:tcMar>
            <w:vAlign w:val="bottom"/>
          </w:tcPr>
          <w:p w14:paraId="23DED659" w14:textId="77777777" w:rsidR="00EB5913" w:rsidRPr="006623B9" w:rsidRDefault="00EB5913" w:rsidP="00F16E23">
            <w:pPr>
              <w:pStyle w:val="TableTextBold"/>
              <w:spacing w:before="40" w:after="0"/>
              <w:jc w:val="right"/>
              <w:rPr>
                <w:noProof w:val="0"/>
                <w:color w:val="FFFFFF" w:themeColor="background1"/>
                <w:sz w:val="14"/>
                <w:szCs w:val="20"/>
              </w:rPr>
            </w:pPr>
          </w:p>
        </w:tc>
      </w:tr>
      <w:tr w:rsidR="00EB5913" w:rsidRPr="006623B9" w14:paraId="13046CB7" w14:textId="77777777" w:rsidTr="00067FAE">
        <w:tc>
          <w:tcPr>
            <w:tcW w:w="0" w:type="auto"/>
            <w:tcBorders>
              <w:bottom w:val="nil"/>
            </w:tcBorders>
            <w:shd w:val="clear" w:color="auto" w:fill="1B556B"/>
            <w:tcMar>
              <w:top w:w="0" w:type="dxa"/>
              <w:left w:w="57" w:type="dxa"/>
              <w:bottom w:w="0" w:type="dxa"/>
              <w:right w:w="57" w:type="dxa"/>
            </w:tcMar>
            <w:vAlign w:val="bottom"/>
          </w:tcPr>
          <w:p w14:paraId="29277F28" w14:textId="77777777" w:rsidR="00EB5913" w:rsidRPr="006623B9" w:rsidRDefault="00EB5913" w:rsidP="00F16E23">
            <w:pPr>
              <w:pStyle w:val="TableTextBold"/>
              <w:spacing w:before="40" w:after="40"/>
              <w:rPr>
                <w:noProof w:val="0"/>
                <w:color w:val="FFFFFF" w:themeColor="background1"/>
                <w:sz w:val="14"/>
                <w:szCs w:val="20"/>
              </w:rPr>
            </w:pPr>
            <w:r w:rsidRPr="006623B9">
              <w:rPr>
                <w:rFonts w:eastAsia="Calibri" w:cs="Calibri"/>
                <w:noProof w:val="0"/>
                <w:color w:val="FFFFFF" w:themeColor="background1"/>
                <w:sz w:val="14"/>
                <w:szCs w:val="20"/>
              </w:rPr>
              <w:t>Source category</w:t>
            </w:r>
          </w:p>
        </w:tc>
        <w:tc>
          <w:tcPr>
            <w:tcW w:w="0" w:type="auto"/>
            <w:tcBorders>
              <w:bottom w:val="nil"/>
            </w:tcBorders>
            <w:shd w:val="clear" w:color="auto" w:fill="1B556B"/>
            <w:tcMar>
              <w:top w:w="0" w:type="dxa"/>
              <w:left w:w="57" w:type="dxa"/>
              <w:bottom w:w="0" w:type="dxa"/>
              <w:right w:w="57" w:type="dxa"/>
            </w:tcMar>
            <w:vAlign w:val="bottom"/>
          </w:tcPr>
          <w:p w14:paraId="6B45F11A"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1990</w:t>
            </w:r>
          </w:p>
        </w:tc>
        <w:tc>
          <w:tcPr>
            <w:tcW w:w="0" w:type="auto"/>
            <w:tcBorders>
              <w:bottom w:val="nil"/>
            </w:tcBorders>
            <w:shd w:val="clear" w:color="auto" w:fill="1B556B"/>
            <w:tcMar>
              <w:top w:w="0" w:type="dxa"/>
              <w:left w:w="57" w:type="dxa"/>
              <w:bottom w:w="0" w:type="dxa"/>
              <w:right w:w="57" w:type="dxa"/>
            </w:tcMar>
            <w:vAlign w:val="bottom"/>
          </w:tcPr>
          <w:p w14:paraId="753F6EE6"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2005</w:t>
            </w:r>
          </w:p>
        </w:tc>
        <w:tc>
          <w:tcPr>
            <w:tcW w:w="0" w:type="auto"/>
            <w:tcBorders>
              <w:bottom w:val="nil"/>
            </w:tcBorders>
            <w:shd w:val="clear" w:color="auto" w:fill="1B556B"/>
            <w:tcMar>
              <w:top w:w="0" w:type="dxa"/>
              <w:left w:w="57" w:type="dxa"/>
              <w:bottom w:w="0" w:type="dxa"/>
              <w:right w:w="57" w:type="dxa"/>
            </w:tcMar>
            <w:vAlign w:val="bottom"/>
          </w:tcPr>
          <w:p w14:paraId="1D8E6285"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2023</w:t>
            </w:r>
          </w:p>
        </w:tc>
        <w:tc>
          <w:tcPr>
            <w:tcW w:w="0" w:type="auto"/>
            <w:tcBorders>
              <w:bottom w:val="nil"/>
            </w:tcBorders>
            <w:shd w:val="clear" w:color="auto" w:fill="1B556B"/>
            <w:tcMar>
              <w:top w:w="0" w:type="dxa"/>
              <w:left w:w="57" w:type="dxa"/>
              <w:bottom w:w="0" w:type="dxa"/>
              <w:right w:w="57" w:type="dxa"/>
            </w:tcMar>
            <w:vAlign w:val="bottom"/>
          </w:tcPr>
          <w:p w14:paraId="7A66509E"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2024</w:t>
            </w:r>
          </w:p>
        </w:tc>
        <w:tc>
          <w:tcPr>
            <w:tcW w:w="0" w:type="auto"/>
            <w:tcBorders>
              <w:bottom w:val="nil"/>
            </w:tcBorders>
            <w:shd w:val="clear" w:color="auto" w:fill="1B556B"/>
            <w:tcMar>
              <w:top w:w="0" w:type="dxa"/>
              <w:left w:w="57" w:type="dxa"/>
              <w:bottom w:w="0" w:type="dxa"/>
              <w:right w:w="57" w:type="dxa"/>
            </w:tcMar>
            <w:vAlign w:val="bottom"/>
          </w:tcPr>
          <w:p w14:paraId="422FC877"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1990–2024</w:t>
            </w:r>
          </w:p>
        </w:tc>
        <w:tc>
          <w:tcPr>
            <w:tcW w:w="0" w:type="auto"/>
            <w:tcBorders>
              <w:bottom w:val="nil"/>
            </w:tcBorders>
            <w:shd w:val="clear" w:color="auto" w:fill="1B556B"/>
            <w:tcMar>
              <w:top w:w="0" w:type="dxa"/>
              <w:left w:w="57" w:type="dxa"/>
              <w:bottom w:w="0" w:type="dxa"/>
              <w:right w:w="57" w:type="dxa"/>
            </w:tcMar>
            <w:vAlign w:val="bottom"/>
          </w:tcPr>
          <w:p w14:paraId="3E2A5BDE"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2005–2024</w:t>
            </w:r>
          </w:p>
        </w:tc>
        <w:tc>
          <w:tcPr>
            <w:tcW w:w="0" w:type="auto"/>
            <w:tcBorders>
              <w:bottom w:val="nil"/>
            </w:tcBorders>
            <w:shd w:val="clear" w:color="auto" w:fill="1B556B"/>
            <w:tcMar>
              <w:top w:w="0" w:type="dxa"/>
              <w:left w:w="57" w:type="dxa"/>
              <w:bottom w:w="0" w:type="dxa"/>
              <w:right w:w="57" w:type="dxa"/>
            </w:tcMar>
            <w:vAlign w:val="bottom"/>
          </w:tcPr>
          <w:p w14:paraId="7A1316EE"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2023–2024</w:t>
            </w:r>
          </w:p>
        </w:tc>
        <w:tc>
          <w:tcPr>
            <w:tcW w:w="0" w:type="auto"/>
            <w:tcBorders>
              <w:bottom w:val="nil"/>
            </w:tcBorders>
            <w:shd w:val="clear" w:color="auto" w:fill="1B556B"/>
            <w:tcMar>
              <w:top w:w="0" w:type="dxa"/>
              <w:left w:w="57" w:type="dxa"/>
              <w:bottom w:w="0" w:type="dxa"/>
              <w:right w:w="57" w:type="dxa"/>
            </w:tcMar>
            <w:vAlign w:val="bottom"/>
          </w:tcPr>
          <w:p w14:paraId="4963AD02"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1990–2024</w:t>
            </w:r>
          </w:p>
        </w:tc>
        <w:tc>
          <w:tcPr>
            <w:tcW w:w="0" w:type="auto"/>
            <w:tcBorders>
              <w:bottom w:val="nil"/>
            </w:tcBorders>
            <w:shd w:val="clear" w:color="auto" w:fill="1B556B"/>
            <w:tcMar>
              <w:top w:w="0" w:type="dxa"/>
              <w:left w:w="57" w:type="dxa"/>
              <w:bottom w:w="0" w:type="dxa"/>
              <w:right w:w="57" w:type="dxa"/>
            </w:tcMar>
            <w:vAlign w:val="bottom"/>
          </w:tcPr>
          <w:p w14:paraId="0FF10C02"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2005–2024</w:t>
            </w:r>
          </w:p>
        </w:tc>
        <w:tc>
          <w:tcPr>
            <w:tcW w:w="0" w:type="auto"/>
            <w:tcBorders>
              <w:bottom w:val="nil"/>
            </w:tcBorders>
            <w:shd w:val="clear" w:color="auto" w:fill="1B556B"/>
            <w:tcMar>
              <w:top w:w="0" w:type="dxa"/>
              <w:left w:w="57" w:type="dxa"/>
              <w:bottom w:w="0" w:type="dxa"/>
              <w:right w:w="57" w:type="dxa"/>
            </w:tcMar>
            <w:vAlign w:val="bottom"/>
          </w:tcPr>
          <w:p w14:paraId="2D6659E2"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2023–2024</w:t>
            </w:r>
          </w:p>
        </w:tc>
        <w:tc>
          <w:tcPr>
            <w:tcW w:w="0" w:type="auto"/>
            <w:tcBorders>
              <w:bottom w:val="nil"/>
            </w:tcBorders>
            <w:shd w:val="clear" w:color="auto" w:fill="1B556B"/>
            <w:tcMar>
              <w:top w:w="0" w:type="dxa"/>
              <w:left w:w="57" w:type="dxa"/>
              <w:bottom w:w="0" w:type="dxa"/>
              <w:right w:w="57" w:type="dxa"/>
            </w:tcMar>
            <w:vAlign w:val="bottom"/>
          </w:tcPr>
          <w:p w14:paraId="4A92EC92"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1990</w:t>
            </w:r>
          </w:p>
        </w:tc>
        <w:tc>
          <w:tcPr>
            <w:tcW w:w="0" w:type="auto"/>
            <w:tcBorders>
              <w:bottom w:val="nil"/>
            </w:tcBorders>
            <w:shd w:val="clear" w:color="auto" w:fill="1B556B"/>
            <w:tcMar>
              <w:top w:w="0" w:type="dxa"/>
              <w:left w:w="57" w:type="dxa"/>
              <w:bottom w:w="0" w:type="dxa"/>
              <w:right w:w="57" w:type="dxa"/>
            </w:tcMar>
            <w:vAlign w:val="bottom"/>
          </w:tcPr>
          <w:p w14:paraId="018A8318"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2005</w:t>
            </w:r>
          </w:p>
        </w:tc>
        <w:tc>
          <w:tcPr>
            <w:tcW w:w="0" w:type="auto"/>
            <w:tcBorders>
              <w:bottom w:val="nil"/>
            </w:tcBorders>
            <w:shd w:val="clear" w:color="auto" w:fill="1B556B"/>
            <w:tcMar>
              <w:top w:w="0" w:type="dxa"/>
              <w:left w:w="57" w:type="dxa"/>
              <w:bottom w:w="0" w:type="dxa"/>
              <w:right w:w="57" w:type="dxa"/>
            </w:tcMar>
            <w:vAlign w:val="bottom"/>
          </w:tcPr>
          <w:p w14:paraId="39D3F255" w14:textId="77777777" w:rsidR="00EB5913" w:rsidRPr="006623B9" w:rsidRDefault="00EB5913" w:rsidP="00F16E23">
            <w:pPr>
              <w:pStyle w:val="TableTextBold"/>
              <w:spacing w:before="40" w:after="40"/>
              <w:jc w:val="right"/>
              <w:rPr>
                <w:noProof w:val="0"/>
                <w:color w:val="FFFFFF" w:themeColor="background1"/>
                <w:sz w:val="14"/>
                <w:szCs w:val="20"/>
              </w:rPr>
            </w:pPr>
            <w:r w:rsidRPr="006623B9">
              <w:rPr>
                <w:rFonts w:eastAsia="Calibri" w:cs="Calibri"/>
                <w:noProof w:val="0"/>
                <w:color w:val="FFFFFF" w:themeColor="background1"/>
                <w:sz w:val="14"/>
                <w:szCs w:val="20"/>
              </w:rPr>
              <w:t>2024</w:t>
            </w:r>
          </w:p>
        </w:tc>
      </w:tr>
      <w:tr w:rsidR="00EB5913" w:rsidRPr="006623B9" w14:paraId="3BE8C47E" w14:textId="77777777" w:rsidTr="00067FAE">
        <w:tc>
          <w:tcPr>
            <w:tcW w:w="0" w:type="auto"/>
            <w:tcBorders>
              <w:top w:val="nil"/>
            </w:tcBorders>
            <w:shd w:val="clear" w:color="auto" w:fill="FFFFFF"/>
            <w:tcMar>
              <w:top w:w="0" w:type="dxa"/>
              <w:left w:w="57" w:type="dxa"/>
              <w:bottom w:w="0" w:type="dxa"/>
              <w:right w:w="57" w:type="dxa"/>
            </w:tcMar>
            <w:vAlign w:val="center"/>
          </w:tcPr>
          <w:p w14:paraId="2BCB7283" w14:textId="77777777" w:rsidR="00EB5913" w:rsidRPr="006623B9" w:rsidRDefault="00EB5913" w:rsidP="00F16E23">
            <w:pPr>
              <w:pStyle w:val="TableText"/>
              <w:spacing w:before="40" w:after="40"/>
              <w:rPr>
                <w:sz w:val="14"/>
                <w:szCs w:val="20"/>
              </w:rPr>
            </w:pPr>
            <w:r w:rsidRPr="006623B9">
              <w:rPr>
                <w:rFonts w:eastAsia="Calibri"/>
                <w:i/>
                <w:iCs/>
                <w:sz w:val="14"/>
                <w:szCs w:val="20"/>
              </w:rPr>
              <w:t>Solid waste disposal</w:t>
            </w:r>
            <w:r w:rsidRPr="006623B9">
              <w:rPr>
                <w:rFonts w:eastAsia="Calibri"/>
                <w:sz w:val="14"/>
                <w:szCs w:val="20"/>
              </w:rPr>
              <w:t xml:space="preserve"> (5.A)</w:t>
            </w:r>
          </w:p>
        </w:tc>
        <w:tc>
          <w:tcPr>
            <w:tcW w:w="0" w:type="auto"/>
            <w:tcBorders>
              <w:top w:val="nil"/>
            </w:tcBorders>
            <w:shd w:val="clear" w:color="auto" w:fill="FFFFFF"/>
            <w:tcMar>
              <w:top w:w="0" w:type="dxa"/>
              <w:left w:w="57" w:type="dxa"/>
              <w:bottom w:w="0" w:type="dxa"/>
              <w:right w:w="57" w:type="dxa"/>
            </w:tcMar>
            <w:vAlign w:val="bottom"/>
          </w:tcPr>
          <w:p w14:paraId="36F4D0C0" w14:textId="77777777" w:rsidR="00EB5913" w:rsidRPr="006623B9" w:rsidRDefault="00EB5913" w:rsidP="00F16E23">
            <w:pPr>
              <w:pStyle w:val="TableText"/>
              <w:spacing w:before="40" w:after="40"/>
              <w:jc w:val="right"/>
              <w:rPr>
                <w:sz w:val="14"/>
                <w:szCs w:val="20"/>
              </w:rPr>
            </w:pPr>
            <w:r w:rsidRPr="006623B9">
              <w:rPr>
                <w:rFonts w:eastAsia="Calibri"/>
                <w:sz w:val="14"/>
                <w:szCs w:val="20"/>
              </w:rPr>
              <w:t>2,646.8</w:t>
            </w:r>
          </w:p>
        </w:tc>
        <w:tc>
          <w:tcPr>
            <w:tcW w:w="0" w:type="auto"/>
            <w:tcBorders>
              <w:top w:val="nil"/>
            </w:tcBorders>
            <w:shd w:val="clear" w:color="auto" w:fill="FFFFFF"/>
            <w:tcMar>
              <w:top w:w="0" w:type="dxa"/>
              <w:left w:w="57" w:type="dxa"/>
              <w:bottom w:w="0" w:type="dxa"/>
              <w:right w:w="57" w:type="dxa"/>
            </w:tcMar>
            <w:vAlign w:val="bottom"/>
          </w:tcPr>
          <w:p w14:paraId="68F92253" w14:textId="77777777" w:rsidR="00EB5913" w:rsidRPr="006623B9" w:rsidRDefault="00EB5913" w:rsidP="00F16E23">
            <w:pPr>
              <w:pStyle w:val="TableText"/>
              <w:spacing w:before="40" w:after="40"/>
              <w:jc w:val="right"/>
              <w:rPr>
                <w:sz w:val="14"/>
                <w:szCs w:val="20"/>
              </w:rPr>
            </w:pPr>
            <w:r w:rsidRPr="006623B9">
              <w:rPr>
                <w:rFonts w:eastAsia="Calibri"/>
                <w:sz w:val="14"/>
                <w:szCs w:val="20"/>
              </w:rPr>
              <w:t>3,178.8</w:t>
            </w:r>
          </w:p>
        </w:tc>
        <w:tc>
          <w:tcPr>
            <w:tcW w:w="0" w:type="auto"/>
            <w:tcBorders>
              <w:top w:val="nil"/>
            </w:tcBorders>
            <w:shd w:val="clear" w:color="auto" w:fill="FFFFFF"/>
            <w:tcMar>
              <w:top w:w="0" w:type="dxa"/>
              <w:left w:w="57" w:type="dxa"/>
              <w:bottom w:w="0" w:type="dxa"/>
              <w:right w:w="57" w:type="dxa"/>
            </w:tcMar>
            <w:vAlign w:val="bottom"/>
          </w:tcPr>
          <w:p w14:paraId="38A6BC6B" w14:textId="77777777" w:rsidR="00EB5913" w:rsidRPr="006623B9" w:rsidRDefault="00EB5913" w:rsidP="00F16E23">
            <w:pPr>
              <w:pStyle w:val="TableText"/>
              <w:spacing w:before="40" w:after="40"/>
              <w:jc w:val="right"/>
              <w:rPr>
                <w:sz w:val="14"/>
                <w:szCs w:val="20"/>
              </w:rPr>
            </w:pPr>
            <w:r w:rsidRPr="006623B9">
              <w:rPr>
                <w:rFonts w:eastAsia="Calibri"/>
                <w:sz w:val="14"/>
                <w:szCs w:val="20"/>
              </w:rPr>
              <w:t>2,348.3</w:t>
            </w:r>
          </w:p>
        </w:tc>
        <w:tc>
          <w:tcPr>
            <w:tcW w:w="0" w:type="auto"/>
            <w:tcBorders>
              <w:top w:val="nil"/>
            </w:tcBorders>
            <w:shd w:val="clear" w:color="auto" w:fill="FFFFFF"/>
            <w:tcMar>
              <w:top w:w="0" w:type="dxa"/>
              <w:left w:w="57" w:type="dxa"/>
              <w:bottom w:w="0" w:type="dxa"/>
              <w:right w:w="57" w:type="dxa"/>
            </w:tcMar>
            <w:vAlign w:val="bottom"/>
          </w:tcPr>
          <w:p w14:paraId="6F972EC8" w14:textId="77777777" w:rsidR="00EB5913" w:rsidRPr="006623B9" w:rsidRDefault="00EB5913" w:rsidP="00F16E23">
            <w:pPr>
              <w:pStyle w:val="TableText"/>
              <w:spacing w:before="40" w:after="40"/>
              <w:jc w:val="right"/>
              <w:rPr>
                <w:sz w:val="14"/>
                <w:szCs w:val="20"/>
              </w:rPr>
            </w:pPr>
            <w:r w:rsidRPr="006623B9">
              <w:rPr>
                <w:rFonts w:eastAsia="Calibri"/>
                <w:sz w:val="14"/>
                <w:szCs w:val="20"/>
              </w:rPr>
              <w:t>2,327.1</w:t>
            </w:r>
          </w:p>
        </w:tc>
        <w:tc>
          <w:tcPr>
            <w:tcW w:w="0" w:type="auto"/>
            <w:tcBorders>
              <w:top w:val="nil"/>
            </w:tcBorders>
            <w:shd w:val="clear" w:color="auto" w:fill="FFFFFF"/>
            <w:tcMar>
              <w:top w:w="0" w:type="dxa"/>
              <w:left w:w="57" w:type="dxa"/>
              <w:bottom w:w="0" w:type="dxa"/>
              <w:right w:w="57" w:type="dxa"/>
            </w:tcMar>
            <w:vAlign w:val="bottom"/>
          </w:tcPr>
          <w:p w14:paraId="15EAADAA" w14:textId="77777777" w:rsidR="00EB5913" w:rsidRPr="006623B9" w:rsidRDefault="00EB5913" w:rsidP="00F16E23">
            <w:pPr>
              <w:pStyle w:val="TableText"/>
              <w:spacing w:before="40" w:after="40"/>
              <w:jc w:val="right"/>
              <w:rPr>
                <w:sz w:val="14"/>
                <w:szCs w:val="20"/>
              </w:rPr>
            </w:pPr>
            <w:r w:rsidRPr="006623B9">
              <w:rPr>
                <w:rFonts w:eastAsia="Calibri"/>
                <w:sz w:val="14"/>
                <w:szCs w:val="20"/>
              </w:rPr>
              <w:t>-319.7</w:t>
            </w:r>
          </w:p>
        </w:tc>
        <w:tc>
          <w:tcPr>
            <w:tcW w:w="0" w:type="auto"/>
            <w:tcBorders>
              <w:top w:val="nil"/>
            </w:tcBorders>
            <w:shd w:val="clear" w:color="auto" w:fill="FFFFFF"/>
            <w:tcMar>
              <w:top w:w="0" w:type="dxa"/>
              <w:left w:w="57" w:type="dxa"/>
              <w:bottom w:w="0" w:type="dxa"/>
              <w:right w:w="57" w:type="dxa"/>
            </w:tcMar>
            <w:vAlign w:val="bottom"/>
          </w:tcPr>
          <w:p w14:paraId="671501BC" w14:textId="77777777" w:rsidR="00EB5913" w:rsidRPr="006623B9" w:rsidRDefault="00EB5913" w:rsidP="00F16E23">
            <w:pPr>
              <w:pStyle w:val="TableText"/>
              <w:spacing w:before="40" w:after="40"/>
              <w:jc w:val="right"/>
              <w:rPr>
                <w:sz w:val="14"/>
                <w:szCs w:val="20"/>
              </w:rPr>
            </w:pPr>
            <w:r w:rsidRPr="006623B9">
              <w:rPr>
                <w:rFonts w:eastAsia="Calibri"/>
                <w:sz w:val="14"/>
                <w:szCs w:val="20"/>
              </w:rPr>
              <w:t>-851.7</w:t>
            </w:r>
          </w:p>
        </w:tc>
        <w:tc>
          <w:tcPr>
            <w:tcW w:w="0" w:type="auto"/>
            <w:tcBorders>
              <w:top w:val="nil"/>
            </w:tcBorders>
            <w:shd w:val="clear" w:color="auto" w:fill="FFFFFF"/>
            <w:tcMar>
              <w:top w:w="0" w:type="dxa"/>
              <w:left w:w="57" w:type="dxa"/>
              <w:bottom w:w="0" w:type="dxa"/>
              <w:right w:w="57" w:type="dxa"/>
            </w:tcMar>
            <w:vAlign w:val="bottom"/>
          </w:tcPr>
          <w:p w14:paraId="2BF0853B" w14:textId="77777777" w:rsidR="00EB5913" w:rsidRPr="006623B9" w:rsidRDefault="00EB5913" w:rsidP="00F16E23">
            <w:pPr>
              <w:pStyle w:val="TableText"/>
              <w:spacing w:before="40" w:after="40"/>
              <w:jc w:val="right"/>
              <w:rPr>
                <w:sz w:val="14"/>
                <w:szCs w:val="20"/>
              </w:rPr>
            </w:pPr>
            <w:r w:rsidRPr="006623B9">
              <w:rPr>
                <w:rFonts w:eastAsia="Calibri"/>
                <w:sz w:val="14"/>
                <w:szCs w:val="20"/>
              </w:rPr>
              <w:t>-21.2</w:t>
            </w:r>
          </w:p>
        </w:tc>
        <w:tc>
          <w:tcPr>
            <w:tcW w:w="0" w:type="auto"/>
            <w:tcBorders>
              <w:top w:val="nil"/>
            </w:tcBorders>
            <w:shd w:val="clear" w:color="auto" w:fill="FFFFFF"/>
            <w:tcMar>
              <w:top w:w="0" w:type="dxa"/>
              <w:left w:w="57" w:type="dxa"/>
              <w:bottom w:w="0" w:type="dxa"/>
              <w:right w:w="57" w:type="dxa"/>
            </w:tcMar>
            <w:vAlign w:val="bottom"/>
          </w:tcPr>
          <w:p w14:paraId="4533EC8B" w14:textId="77777777" w:rsidR="00EB5913" w:rsidRPr="006623B9" w:rsidRDefault="00EB5913" w:rsidP="00F16E23">
            <w:pPr>
              <w:pStyle w:val="TableText"/>
              <w:spacing w:before="40" w:after="40"/>
              <w:jc w:val="right"/>
              <w:rPr>
                <w:sz w:val="14"/>
                <w:szCs w:val="20"/>
              </w:rPr>
            </w:pPr>
            <w:r w:rsidRPr="006623B9">
              <w:rPr>
                <w:rFonts w:eastAsia="Calibri"/>
                <w:sz w:val="14"/>
                <w:szCs w:val="20"/>
              </w:rPr>
              <w:t>-12.1</w:t>
            </w:r>
          </w:p>
        </w:tc>
        <w:tc>
          <w:tcPr>
            <w:tcW w:w="0" w:type="auto"/>
            <w:tcBorders>
              <w:top w:val="nil"/>
            </w:tcBorders>
            <w:shd w:val="clear" w:color="auto" w:fill="FFFFFF"/>
            <w:tcMar>
              <w:top w:w="0" w:type="dxa"/>
              <w:left w:w="57" w:type="dxa"/>
              <w:bottom w:w="0" w:type="dxa"/>
              <w:right w:w="57" w:type="dxa"/>
            </w:tcMar>
            <w:vAlign w:val="bottom"/>
          </w:tcPr>
          <w:p w14:paraId="74066E9A" w14:textId="77777777" w:rsidR="00EB5913" w:rsidRPr="006623B9" w:rsidRDefault="00EB5913" w:rsidP="00F16E23">
            <w:pPr>
              <w:pStyle w:val="TableText"/>
              <w:spacing w:before="40" w:after="40"/>
              <w:jc w:val="right"/>
              <w:rPr>
                <w:sz w:val="14"/>
                <w:szCs w:val="20"/>
              </w:rPr>
            </w:pPr>
            <w:r w:rsidRPr="006623B9">
              <w:rPr>
                <w:rFonts w:eastAsia="Calibri"/>
                <w:sz w:val="14"/>
                <w:szCs w:val="20"/>
              </w:rPr>
              <w:t>-26.8</w:t>
            </w:r>
          </w:p>
        </w:tc>
        <w:tc>
          <w:tcPr>
            <w:tcW w:w="0" w:type="auto"/>
            <w:tcBorders>
              <w:top w:val="nil"/>
            </w:tcBorders>
            <w:shd w:val="clear" w:color="auto" w:fill="FFFFFF"/>
            <w:tcMar>
              <w:top w:w="0" w:type="dxa"/>
              <w:left w:w="57" w:type="dxa"/>
              <w:bottom w:w="0" w:type="dxa"/>
              <w:right w:w="57" w:type="dxa"/>
            </w:tcMar>
            <w:vAlign w:val="bottom"/>
          </w:tcPr>
          <w:p w14:paraId="35CE0F8B" w14:textId="77777777" w:rsidR="00EB5913" w:rsidRPr="006623B9" w:rsidRDefault="00EB5913" w:rsidP="00F16E23">
            <w:pPr>
              <w:pStyle w:val="TableText"/>
              <w:spacing w:before="40" w:after="40"/>
              <w:jc w:val="right"/>
              <w:rPr>
                <w:sz w:val="14"/>
                <w:szCs w:val="20"/>
              </w:rPr>
            </w:pPr>
            <w:r w:rsidRPr="006623B9">
              <w:rPr>
                <w:rFonts w:eastAsia="Calibri"/>
                <w:sz w:val="14"/>
                <w:szCs w:val="20"/>
              </w:rPr>
              <w:t>-0.9</w:t>
            </w:r>
          </w:p>
        </w:tc>
        <w:tc>
          <w:tcPr>
            <w:tcW w:w="0" w:type="auto"/>
            <w:tcBorders>
              <w:top w:val="nil"/>
            </w:tcBorders>
            <w:shd w:val="clear" w:color="auto" w:fill="FFFFFF"/>
            <w:tcMar>
              <w:top w:w="0" w:type="dxa"/>
              <w:left w:w="57" w:type="dxa"/>
              <w:bottom w:w="0" w:type="dxa"/>
              <w:right w:w="57" w:type="dxa"/>
            </w:tcMar>
            <w:vAlign w:val="bottom"/>
          </w:tcPr>
          <w:p w14:paraId="3D371C3E" w14:textId="77777777" w:rsidR="00EB5913" w:rsidRPr="006623B9" w:rsidRDefault="00EB5913" w:rsidP="00F16E23">
            <w:pPr>
              <w:pStyle w:val="TableText"/>
              <w:spacing w:before="40" w:after="40"/>
              <w:jc w:val="right"/>
              <w:rPr>
                <w:sz w:val="14"/>
                <w:szCs w:val="20"/>
              </w:rPr>
            </w:pPr>
            <w:r w:rsidRPr="006623B9">
              <w:rPr>
                <w:rFonts w:eastAsia="Calibri"/>
                <w:sz w:val="14"/>
                <w:szCs w:val="20"/>
              </w:rPr>
              <w:t>79.5</w:t>
            </w:r>
          </w:p>
        </w:tc>
        <w:tc>
          <w:tcPr>
            <w:tcW w:w="0" w:type="auto"/>
            <w:tcBorders>
              <w:top w:val="nil"/>
            </w:tcBorders>
            <w:shd w:val="clear" w:color="auto" w:fill="FFFFFF"/>
            <w:tcMar>
              <w:top w:w="0" w:type="dxa"/>
              <w:left w:w="57" w:type="dxa"/>
              <w:bottom w:w="0" w:type="dxa"/>
              <w:right w:w="57" w:type="dxa"/>
            </w:tcMar>
            <w:vAlign w:val="bottom"/>
          </w:tcPr>
          <w:p w14:paraId="06433AB6" w14:textId="77777777" w:rsidR="00EB5913" w:rsidRPr="006623B9" w:rsidRDefault="00EB5913" w:rsidP="00F16E23">
            <w:pPr>
              <w:pStyle w:val="TableText"/>
              <w:spacing w:before="40" w:after="40"/>
              <w:jc w:val="right"/>
              <w:rPr>
                <w:sz w:val="14"/>
                <w:szCs w:val="20"/>
              </w:rPr>
            </w:pPr>
            <w:r w:rsidRPr="006623B9">
              <w:rPr>
                <w:rFonts w:eastAsia="Calibri"/>
                <w:sz w:val="14"/>
                <w:szCs w:val="20"/>
              </w:rPr>
              <w:t>83.5</w:t>
            </w:r>
          </w:p>
        </w:tc>
        <w:tc>
          <w:tcPr>
            <w:tcW w:w="0" w:type="auto"/>
            <w:tcBorders>
              <w:top w:val="nil"/>
            </w:tcBorders>
            <w:shd w:val="clear" w:color="auto" w:fill="FFFFFF"/>
            <w:tcMar>
              <w:top w:w="0" w:type="dxa"/>
              <w:left w:w="57" w:type="dxa"/>
              <w:bottom w:w="0" w:type="dxa"/>
              <w:right w:w="57" w:type="dxa"/>
            </w:tcMar>
            <w:vAlign w:val="bottom"/>
          </w:tcPr>
          <w:p w14:paraId="5C3016D5" w14:textId="77777777" w:rsidR="00EB5913" w:rsidRPr="006623B9" w:rsidRDefault="00EB5913" w:rsidP="00F16E23">
            <w:pPr>
              <w:pStyle w:val="TableText"/>
              <w:spacing w:before="40" w:after="40"/>
              <w:jc w:val="right"/>
              <w:rPr>
                <w:sz w:val="14"/>
                <w:szCs w:val="20"/>
              </w:rPr>
            </w:pPr>
            <w:r w:rsidRPr="006623B9">
              <w:rPr>
                <w:rFonts w:eastAsia="Calibri"/>
                <w:sz w:val="14"/>
                <w:szCs w:val="20"/>
              </w:rPr>
              <w:t>77.3</w:t>
            </w:r>
          </w:p>
        </w:tc>
      </w:tr>
      <w:tr w:rsidR="00EB5913" w:rsidRPr="006623B9" w14:paraId="06990A47" w14:textId="77777777" w:rsidTr="00F16E23">
        <w:tc>
          <w:tcPr>
            <w:tcW w:w="0" w:type="auto"/>
            <w:shd w:val="clear" w:color="auto" w:fill="FFFFFF"/>
            <w:tcMar>
              <w:top w:w="0" w:type="dxa"/>
              <w:left w:w="57" w:type="dxa"/>
              <w:bottom w:w="0" w:type="dxa"/>
              <w:right w:w="57" w:type="dxa"/>
            </w:tcMar>
            <w:vAlign w:val="center"/>
          </w:tcPr>
          <w:p w14:paraId="6BC6EAD1" w14:textId="77777777" w:rsidR="00EB5913" w:rsidRPr="006623B9" w:rsidRDefault="00EB5913" w:rsidP="00F16E23">
            <w:pPr>
              <w:pStyle w:val="TableText"/>
              <w:spacing w:before="40" w:after="40"/>
              <w:rPr>
                <w:sz w:val="14"/>
                <w:szCs w:val="20"/>
              </w:rPr>
            </w:pPr>
            <w:r w:rsidRPr="006623B9">
              <w:rPr>
                <w:rFonts w:eastAsia="Calibri"/>
                <w:i/>
                <w:iCs/>
                <w:sz w:val="14"/>
                <w:szCs w:val="20"/>
              </w:rPr>
              <w:t>Biological treatment of solid waste</w:t>
            </w:r>
            <w:r w:rsidRPr="006623B9">
              <w:rPr>
                <w:rFonts w:eastAsia="Calibri"/>
                <w:sz w:val="14"/>
                <w:szCs w:val="20"/>
              </w:rPr>
              <w:t xml:space="preserve"> (5.B)</w:t>
            </w:r>
          </w:p>
        </w:tc>
        <w:tc>
          <w:tcPr>
            <w:tcW w:w="0" w:type="auto"/>
            <w:shd w:val="clear" w:color="auto" w:fill="FFFFFF"/>
            <w:tcMar>
              <w:top w:w="0" w:type="dxa"/>
              <w:left w:w="57" w:type="dxa"/>
              <w:bottom w:w="0" w:type="dxa"/>
              <w:right w:w="57" w:type="dxa"/>
            </w:tcMar>
            <w:vAlign w:val="bottom"/>
          </w:tcPr>
          <w:p w14:paraId="492B33FC" w14:textId="77777777" w:rsidR="00EB5913" w:rsidRPr="006623B9" w:rsidRDefault="00EB5913" w:rsidP="00F16E23">
            <w:pPr>
              <w:pStyle w:val="TableText"/>
              <w:spacing w:before="40" w:after="40"/>
              <w:jc w:val="right"/>
              <w:rPr>
                <w:sz w:val="14"/>
                <w:szCs w:val="20"/>
              </w:rPr>
            </w:pPr>
            <w:r w:rsidRPr="006623B9">
              <w:rPr>
                <w:rFonts w:eastAsia="Calibri"/>
                <w:sz w:val="14"/>
                <w:szCs w:val="20"/>
              </w:rPr>
              <w:t>4.8</w:t>
            </w:r>
          </w:p>
        </w:tc>
        <w:tc>
          <w:tcPr>
            <w:tcW w:w="0" w:type="auto"/>
            <w:shd w:val="clear" w:color="auto" w:fill="FFFFFF"/>
            <w:tcMar>
              <w:top w:w="0" w:type="dxa"/>
              <w:left w:w="57" w:type="dxa"/>
              <w:bottom w:w="0" w:type="dxa"/>
              <w:right w:w="57" w:type="dxa"/>
            </w:tcMar>
            <w:vAlign w:val="bottom"/>
          </w:tcPr>
          <w:p w14:paraId="19761F4B" w14:textId="77777777" w:rsidR="00EB5913" w:rsidRPr="006623B9" w:rsidRDefault="00EB5913" w:rsidP="00F16E23">
            <w:pPr>
              <w:pStyle w:val="TableText"/>
              <w:spacing w:before="40" w:after="40"/>
              <w:jc w:val="right"/>
              <w:rPr>
                <w:sz w:val="14"/>
                <w:szCs w:val="20"/>
              </w:rPr>
            </w:pPr>
            <w:r w:rsidRPr="006623B9">
              <w:rPr>
                <w:rFonts w:eastAsia="Calibri"/>
                <w:sz w:val="14"/>
                <w:szCs w:val="20"/>
              </w:rPr>
              <w:t>6.5</w:t>
            </w:r>
          </w:p>
        </w:tc>
        <w:tc>
          <w:tcPr>
            <w:tcW w:w="0" w:type="auto"/>
            <w:shd w:val="clear" w:color="auto" w:fill="FFFFFF"/>
            <w:tcMar>
              <w:top w:w="0" w:type="dxa"/>
              <w:left w:w="57" w:type="dxa"/>
              <w:bottom w:w="0" w:type="dxa"/>
              <w:right w:w="57" w:type="dxa"/>
            </w:tcMar>
            <w:vAlign w:val="bottom"/>
          </w:tcPr>
          <w:p w14:paraId="639B446E" w14:textId="77777777" w:rsidR="00EB5913" w:rsidRPr="006623B9" w:rsidRDefault="00EB5913" w:rsidP="00F16E23">
            <w:pPr>
              <w:pStyle w:val="TableText"/>
              <w:spacing w:before="40" w:after="40"/>
              <w:jc w:val="right"/>
              <w:rPr>
                <w:sz w:val="14"/>
                <w:szCs w:val="20"/>
              </w:rPr>
            </w:pPr>
            <w:r w:rsidRPr="006623B9">
              <w:rPr>
                <w:rFonts w:eastAsia="Calibri"/>
                <w:sz w:val="14"/>
                <w:szCs w:val="20"/>
              </w:rPr>
              <w:t>81.6</w:t>
            </w:r>
          </w:p>
        </w:tc>
        <w:tc>
          <w:tcPr>
            <w:tcW w:w="0" w:type="auto"/>
            <w:shd w:val="clear" w:color="auto" w:fill="FFFFFF"/>
            <w:tcMar>
              <w:top w:w="0" w:type="dxa"/>
              <w:left w:w="57" w:type="dxa"/>
              <w:bottom w:w="0" w:type="dxa"/>
              <w:right w:w="57" w:type="dxa"/>
            </w:tcMar>
            <w:vAlign w:val="bottom"/>
          </w:tcPr>
          <w:p w14:paraId="569D150A" w14:textId="77777777" w:rsidR="00EB5913" w:rsidRPr="006623B9" w:rsidRDefault="00EB5913" w:rsidP="00F16E23">
            <w:pPr>
              <w:pStyle w:val="TableText"/>
              <w:spacing w:before="40" w:after="40"/>
              <w:jc w:val="right"/>
              <w:rPr>
                <w:sz w:val="14"/>
                <w:szCs w:val="20"/>
              </w:rPr>
            </w:pPr>
            <w:r w:rsidRPr="006623B9">
              <w:rPr>
                <w:rFonts w:eastAsia="Calibri"/>
                <w:sz w:val="14"/>
                <w:szCs w:val="20"/>
              </w:rPr>
              <w:t>87.5</w:t>
            </w:r>
          </w:p>
        </w:tc>
        <w:tc>
          <w:tcPr>
            <w:tcW w:w="0" w:type="auto"/>
            <w:shd w:val="clear" w:color="auto" w:fill="FFFFFF"/>
            <w:tcMar>
              <w:top w:w="0" w:type="dxa"/>
              <w:left w:w="57" w:type="dxa"/>
              <w:bottom w:w="0" w:type="dxa"/>
              <w:right w:w="57" w:type="dxa"/>
            </w:tcMar>
            <w:vAlign w:val="bottom"/>
          </w:tcPr>
          <w:p w14:paraId="633CFBBE" w14:textId="77777777" w:rsidR="00EB5913" w:rsidRPr="006623B9" w:rsidRDefault="00EB5913" w:rsidP="00F16E23">
            <w:pPr>
              <w:pStyle w:val="TableText"/>
              <w:spacing w:before="40" w:after="40"/>
              <w:jc w:val="right"/>
              <w:rPr>
                <w:sz w:val="14"/>
                <w:szCs w:val="20"/>
              </w:rPr>
            </w:pPr>
            <w:r w:rsidRPr="006623B9">
              <w:rPr>
                <w:rFonts w:eastAsia="Calibri"/>
                <w:sz w:val="14"/>
                <w:szCs w:val="20"/>
              </w:rPr>
              <w:t>82.7</w:t>
            </w:r>
          </w:p>
        </w:tc>
        <w:tc>
          <w:tcPr>
            <w:tcW w:w="0" w:type="auto"/>
            <w:shd w:val="clear" w:color="auto" w:fill="FFFFFF"/>
            <w:tcMar>
              <w:top w:w="0" w:type="dxa"/>
              <w:left w:w="57" w:type="dxa"/>
              <w:bottom w:w="0" w:type="dxa"/>
              <w:right w:w="57" w:type="dxa"/>
            </w:tcMar>
            <w:vAlign w:val="bottom"/>
          </w:tcPr>
          <w:p w14:paraId="3592A36E" w14:textId="77777777" w:rsidR="00EB5913" w:rsidRPr="006623B9" w:rsidRDefault="00EB5913" w:rsidP="00F16E23">
            <w:pPr>
              <w:pStyle w:val="TableText"/>
              <w:spacing w:before="40" w:after="40"/>
              <w:jc w:val="right"/>
              <w:rPr>
                <w:sz w:val="14"/>
                <w:szCs w:val="20"/>
              </w:rPr>
            </w:pPr>
            <w:r w:rsidRPr="006623B9">
              <w:rPr>
                <w:rFonts w:eastAsia="Calibri"/>
                <w:sz w:val="14"/>
                <w:szCs w:val="20"/>
              </w:rPr>
              <w:t>81.1</w:t>
            </w:r>
          </w:p>
        </w:tc>
        <w:tc>
          <w:tcPr>
            <w:tcW w:w="0" w:type="auto"/>
            <w:shd w:val="clear" w:color="auto" w:fill="FFFFFF"/>
            <w:tcMar>
              <w:top w:w="0" w:type="dxa"/>
              <w:left w:w="57" w:type="dxa"/>
              <w:bottom w:w="0" w:type="dxa"/>
              <w:right w:w="57" w:type="dxa"/>
            </w:tcMar>
            <w:vAlign w:val="bottom"/>
          </w:tcPr>
          <w:p w14:paraId="55949305" w14:textId="77777777" w:rsidR="00EB5913" w:rsidRPr="006623B9" w:rsidRDefault="00EB5913" w:rsidP="00F16E23">
            <w:pPr>
              <w:pStyle w:val="TableText"/>
              <w:spacing w:before="40" w:after="40"/>
              <w:jc w:val="right"/>
              <w:rPr>
                <w:sz w:val="14"/>
                <w:szCs w:val="20"/>
              </w:rPr>
            </w:pPr>
            <w:r w:rsidRPr="006623B9">
              <w:rPr>
                <w:rFonts w:eastAsia="Calibri"/>
                <w:sz w:val="14"/>
                <w:szCs w:val="20"/>
              </w:rPr>
              <w:t>6.0</w:t>
            </w:r>
          </w:p>
        </w:tc>
        <w:tc>
          <w:tcPr>
            <w:tcW w:w="0" w:type="auto"/>
            <w:shd w:val="clear" w:color="auto" w:fill="FFFFFF"/>
            <w:tcMar>
              <w:top w:w="0" w:type="dxa"/>
              <w:left w:w="57" w:type="dxa"/>
              <w:bottom w:w="0" w:type="dxa"/>
              <w:right w:w="57" w:type="dxa"/>
            </w:tcMar>
            <w:vAlign w:val="bottom"/>
          </w:tcPr>
          <w:p w14:paraId="3FD8FB69" w14:textId="77777777" w:rsidR="00EB5913" w:rsidRPr="006623B9" w:rsidRDefault="00EB5913" w:rsidP="00F16E23">
            <w:pPr>
              <w:pStyle w:val="TableText"/>
              <w:spacing w:before="40" w:after="40"/>
              <w:jc w:val="right"/>
              <w:rPr>
                <w:sz w:val="14"/>
                <w:szCs w:val="20"/>
              </w:rPr>
            </w:pPr>
            <w:r w:rsidRPr="006623B9">
              <w:rPr>
                <w:rFonts w:eastAsia="Calibri"/>
                <w:sz w:val="14"/>
                <w:szCs w:val="20"/>
              </w:rPr>
              <w:t>1,721.0</w:t>
            </w:r>
          </w:p>
        </w:tc>
        <w:tc>
          <w:tcPr>
            <w:tcW w:w="0" w:type="auto"/>
            <w:shd w:val="clear" w:color="auto" w:fill="FFFFFF"/>
            <w:tcMar>
              <w:top w:w="0" w:type="dxa"/>
              <w:left w:w="57" w:type="dxa"/>
              <w:bottom w:w="0" w:type="dxa"/>
              <w:right w:w="57" w:type="dxa"/>
            </w:tcMar>
            <w:vAlign w:val="bottom"/>
          </w:tcPr>
          <w:p w14:paraId="0231C7C3" w14:textId="77777777" w:rsidR="00EB5913" w:rsidRPr="006623B9" w:rsidRDefault="00EB5913" w:rsidP="00F16E23">
            <w:pPr>
              <w:pStyle w:val="TableText"/>
              <w:spacing w:before="40" w:after="40"/>
              <w:jc w:val="right"/>
              <w:rPr>
                <w:sz w:val="14"/>
                <w:szCs w:val="20"/>
              </w:rPr>
            </w:pPr>
            <w:r w:rsidRPr="006623B9">
              <w:rPr>
                <w:rFonts w:eastAsia="Calibri"/>
                <w:sz w:val="14"/>
                <w:szCs w:val="20"/>
              </w:rPr>
              <w:t>1,253.0</w:t>
            </w:r>
          </w:p>
        </w:tc>
        <w:tc>
          <w:tcPr>
            <w:tcW w:w="0" w:type="auto"/>
            <w:shd w:val="clear" w:color="auto" w:fill="FFFFFF"/>
            <w:tcMar>
              <w:top w:w="0" w:type="dxa"/>
              <w:left w:w="57" w:type="dxa"/>
              <w:bottom w:w="0" w:type="dxa"/>
              <w:right w:w="57" w:type="dxa"/>
            </w:tcMar>
            <w:vAlign w:val="bottom"/>
          </w:tcPr>
          <w:p w14:paraId="4AC9246F" w14:textId="77777777" w:rsidR="00EB5913" w:rsidRPr="006623B9" w:rsidRDefault="00EB5913" w:rsidP="00F16E23">
            <w:pPr>
              <w:pStyle w:val="TableText"/>
              <w:spacing w:before="40" w:after="40"/>
              <w:jc w:val="right"/>
              <w:rPr>
                <w:sz w:val="14"/>
                <w:szCs w:val="20"/>
              </w:rPr>
            </w:pPr>
            <w:r w:rsidRPr="006623B9">
              <w:rPr>
                <w:rFonts w:eastAsia="Calibri"/>
                <w:sz w:val="14"/>
                <w:szCs w:val="20"/>
              </w:rPr>
              <w:t>7.3</w:t>
            </w:r>
          </w:p>
        </w:tc>
        <w:tc>
          <w:tcPr>
            <w:tcW w:w="0" w:type="auto"/>
            <w:shd w:val="clear" w:color="auto" w:fill="FFFFFF"/>
            <w:tcMar>
              <w:top w:w="0" w:type="dxa"/>
              <w:left w:w="57" w:type="dxa"/>
              <w:bottom w:w="0" w:type="dxa"/>
              <w:right w:w="57" w:type="dxa"/>
            </w:tcMar>
            <w:vAlign w:val="bottom"/>
          </w:tcPr>
          <w:p w14:paraId="218790B1" w14:textId="77777777" w:rsidR="00EB5913" w:rsidRPr="006623B9" w:rsidRDefault="00EB5913" w:rsidP="00F16E23">
            <w:pPr>
              <w:pStyle w:val="TableText"/>
              <w:spacing w:before="40" w:after="40"/>
              <w:jc w:val="right"/>
              <w:rPr>
                <w:sz w:val="14"/>
                <w:szCs w:val="20"/>
              </w:rPr>
            </w:pPr>
            <w:r w:rsidRPr="006623B9">
              <w:rPr>
                <w:rFonts w:eastAsia="Calibri"/>
                <w:sz w:val="14"/>
                <w:szCs w:val="20"/>
              </w:rPr>
              <w:t>0.1</w:t>
            </w:r>
          </w:p>
        </w:tc>
        <w:tc>
          <w:tcPr>
            <w:tcW w:w="0" w:type="auto"/>
            <w:shd w:val="clear" w:color="auto" w:fill="FFFFFF"/>
            <w:tcMar>
              <w:top w:w="0" w:type="dxa"/>
              <w:left w:w="57" w:type="dxa"/>
              <w:bottom w:w="0" w:type="dxa"/>
              <w:right w:w="57" w:type="dxa"/>
            </w:tcMar>
            <w:vAlign w:val="bottom"/>
          </w:tcPr>
          <w:p w14:paraId="68C6A306" w14:textId="77777777" w:rsidR="00EB5913" w:rsidRPr="006623B9" w:rsidRDefault="00EB5913" w:rsidP="00F16E23">
            <w:pPr>
              <w:pStyle w:val="TableText"/>
              <w:spacing w:before="40" w:after="40"/>
              <w:jc w:val="right"/>
              <w:rPr>
                <w:sz w:val="14"/>
                <w:szCs w:val="20"/>
              </w:rPr>
            </w:pPr>
            <w:r w:rsidRPr="006623B9">
              <w:rPr>
                <w:rFonts w:eastAsia="Calibri"/>
                <w:sz w:val="14"/>
                <w:szCs w:val="20"/>
              </w:rPr>
              <w:t>0.2</w:t>
            </w:r>
          </w:p>
        </w:tc>
        <w:tc>
          <w:tcPr>
            <w:tcW w:w="0" w:type="auto"/>
            <w:shd w:val="clear" w:color="auto" w:fill="FFFFFF"/>
            <w:tcMar>
              <w:top w:w="0" w:type="dxa"/>
              <w:left w:w="57" w:type="dxa"/>
              <w:bottom w:w="0" w:type="dxa"/>
              <w:right w:w="57" w:type="dxa"/>
            </w:tcMar>
            <w:vAlign w:val="bottom"/>
          </w:tcPr>
          <w:p w14:paraId="27691D62" w14:textId="77777777" w:rsidR="00EB5913" w:rsidRPr="006623B9" w:rsidRDefault="00EB5913" w:rsidP="00F16E23">
            <w:pPr>
              <w:pStyle w:val="TableText"/>
              <w:spacing w:before="40" w:after="40"/>
              <w:jc w:val="right"/>
              <w:rPr>
                <w:sz w:val="14"/>
                <w:szCs w:val="20"/>
              </w:rPr>
            </w:pPr>
            <w:r w:rsidRPr="006623B9">
              <w:rPr>
                <w:rFonts w:eastAsia="Calibri"/>
                <w:sz w:val="14"/>
                <w:szCs w:val="20"/>
              </w:rPr>
              <w:t>2.9</w:t>
            </w:r>
          </w:p>
        </w:tc>
      </w:tr>
      <w:tr w:rsidR="00EB5913" w:rsidRPr="006623B9" w14:paraId="64FB16D7" w14:textId="77777777" w:rsidTr="00F16E23">
        <w:tc>
          <w:tcPr>
            <w:tcW w:w="0" w:type="auto"/>
            <w:shd w:val="clear" w:color="auto" w:fill="FFFFFF"/>
            <w:tcMar>
              <w:top w:w="0" w:type="dxa"/>
              <w:left w:w="57" w:type="dxa"/>
              <w:bottom w:w="0" w:type="dxa"/>
              <w:right w:w="57" w:type="dxa"/>
            </w:tcMar>
            <w:vAlign w:val="center"/>
          </w:tcPr>
          <w:p w14:paraId="382BF8D2" w14:textId="77777777" w:rsidR="00EB5913" w:rsidRPr="006623B9" w:rsidRDefault="00EB5913" w:rsidP="00F16E23">
            <w:pPr>
              <w:pStyle w:val="TableText"/>
              <w:spacing w:before="40" w:after="40"/>
              <w:rPr>
                <w:sz w:val="14"/>
                <w:szCs w:val="20"/>
              </w:rPr>
            </w:pPr>
            <w:r w:rsidRPr="006623B9">
              <w:rPr>
                <w:rFonts w:eastAsia="Calibri"/>
                <w:i/>
                <w:iCs/>
                <w:sz w:val="14"/>
                <w:szCs w:val="20"/>
              </w:rPr>
              <w:t>Incineration and open burning of waste</w:t>
            </w:r>
            <w:r w:rsidRPr="006623B9">
              <w:rPr>
                <w:rFonts w:eastAsia="Calibri"/>
                <w:sz w:val="14"/>
                <w:szCs w:val="20"/>
              </w:rPr>
              <w:t xml:space="preserve"> (5.C)</w:t>
            </w:r>
          </w:p>
        </w:tc>
        <w:tc>
          <w:tcPr>
            <w:tcW w:w="0" w:type="auto"/>
            <w:shd w:val="clear" w:color="auto" w:fill="FFFFFF"/>
            <w:tcMar>
              <w:top w:w="0" w:type="dxa"/>
              <w:left w:w="57" w:type="dxa"/>
              <w:bottom w:w="0" w:type="dxa"/>
              <w:right w:w="57" w:type="dxa"/>
            </w:tcMar>
            <w:vAlign w:val="bottom"/>
          </w:tcPr>
          <w:p w14:paraId="09F55E85" w14:textId="77777777" w:rsidR="00EB5913" w:rsidRPr="006623B9" w:rsidRDefault="00EB5913" w:rsidP="00F16E23">
            <w:pPr>
              <w:pStyle w:val="TableText"/>
              <w:spacing w:before="40" w:after="40"/>
              <w:jc w:val="right"/>
              <w:rPr>
                <w:sz w:val="14"/>
                <w:szCs w:val="20"/>
              </w:rPr>
            </w:pPr>
            <w:r w:rsidRPr="006623B9">
              <w:rPr>
                <w:rFonts w:eastAsia="Calibri"/>
                <w:sz w:val="14"/>
                <w:szCs w:val="20"/>
              </w:rPr>
              <w:t>350.2</w:t>
            </w:r>
          </w:p>
        </w:tc>
        <w:tc>
          <w:tcPr>
            <w:tcW w:w="0" w:type="auto"/>
            <w:shd w:val="clear" w:color="auto" w:fill="FFFFFF"/>
            <w:tcMar>
              <w:top w:w="0" w:type="dxa"/>
              <w:left w:w="57" w:type="dxa"/>
              <w:bottom w:w="0" w:type="dxa"/>
              <w:right w:w="57" w:type="dxa"/>
            </w:tcMar>
            <w:vAlign w:val="bottom"/>
          </w:tcPr>
          <w:p w14:paraId="2537B9B5" w14:textId="77777777" w:rsidR="00EB5913" w:rsidRPr="006623B9" w:rsidRDefault="00EB5913" w:rsidP="00F16E23">
            <w:pPr>
              <w:pStyle w:val="TableText"/>
              <w:spacing w:before="40" w:after="40"/>
              <w:jc w:val="right"/>
              <w:rPr>
                <w:sz w:val="14"/>
                <w:szCs w:val="20"/>
              </w:rPr>
            </w:pPr>
            <w:r w:rsidRPr="006623B9">
              <w:rPr>
                <w:rFonts w:eastAsia="Calibri"/>
                <w:sz w:val="14"/>
                <w:szCs w:val="20"/>
              </w:rPr>
              <w:t>272.3</w:t>
            </w:r>
          </w:p>
        </w:tc>
        <w:tc>
          <w:tcPr>
            <w:tcW w:w="0" w:type="auto"/>
            <w:shd w:val="clear" w:color="auto" w:fill="FFFFFF"/>
            <w:tcMar>
              <w:top w:w="0" w:type="dxa"/>
              <w:left w:w="57" w:type="dxa"/>
              <w:bottom w:w="0" w:type="dxa"/>
              <w:right w:w="57" w:type="dxa"/>
            </w:tcMar>
            <w:vAlign w:val="bottom"/>
          </w:tcPr>
          <w:p w14:paraId="65DC20BB" w14:textId="77777777" w:rsidR="00EB5913" w:rsidRPr="006623B9" w:rsidRDefault="00EB5913" w:rsidP="00F16E23">
            <w:pPr>
              <w:pStyle w:val="TableText"/>
              <w:spacing w:before="40" w:after="40"/>
              <w:jc w:val="right"/>
              <w:rPr>
                <w:sz w:val="14"/>
                <w:szCs w:val="20"/>
              </w:rPr>
            </w:pPr>
            <w:r w:rsidRPr="006623B9">
              <w:rPr>
                <w:rFonts w:eastAsia="Calibri"/>
                <w:sz w:val="14"/>
                <w:szCs w:val="20"/>
              </w:rPr>
              <w:t>194.6</w:t>
            </w:r>
          </w:p>
        </w:tc>
        <w:tc>
          <w:tcPr>
            <w:tcW w:w="0" w:type="auto"/>
            <w:shd w:val="clear" w:color="auto" w:fill="FFFFFF"/>
            <w:tcMar>
              <w:top w:w="0" w:type="dxa"/>
              <w:left w:w="57" w:type="dxa"/>
              <w:bottom w:w="0" w:type="dxa"/>
              <w:right w:w="57" w:type="dxa"/>
            </w:tcMar>
            <w:vAlign w:val="bottom"/>
          </w:tcPr>
          <w:p w14:paraId="48E086D1" w14:textId="77777777" w:rsidR="00EB5913" w:rsidRPr="006623B9" w:rsidRDefault="00EB5913" w:rsidP="00F16E23">
            <w:pPr>
              <w:pStyle w:val="TableText"/>
              <w:spacing w:before="40" w:after="40"/>
              <w:jc w:val="right"/>
              <w:rPr>
                <w:sz w:val="14"/>
                <w:szCs w:val="20"/>
              </w:rPr>
            </w:pPr>
            <w:r w:rsidRPr="006623B9">
              <w:rPr>
                <w:rFonts w:eastAsia="Calibri"/>
                <w:sz w:val="14"/>
                <w:szCs w:val="20"/>
              </w:rPr>
              <w:t>193.0</w:t>
            </w:r>
          </w:p>
        </w:tc>
        <w:tc>
          <w:tcPr>
            <w:tcW w:w="0" w:type="auto"/>
            <w:shd w:val="clear" w:color="auto" w:fill="FFFFFF"/>
            <w:tcMar>
              <w:top w:w="0" w:type="dxa"/>
              <w:left w:w="57" w:type="dxa"/>
              <w:bottom w:w="0" w:type="dxa"/>
              <w:right w:w="57" w:type="dxa"/>
            </w:tcMar>
            <w:vAlign w:val="bottom"/>
          </w:tcPr>
          <w:p w14:paraId="68A0D471" w14:textId="77777777" w:rsidR="00EB5913" w:rsidRPr="006623B9" w:rsidRDefault="00EB5913" w:rsidP="00F16E23">
            <w:pPr>
              <w:pStyle w:val="TableText"/>
              <w:spacing w:before="40" w:after="40"/>
              <w:jc w:val="right"/>
              <w:rPr>
                <w:sz w:val="14"/>
                <w:szCs w:val="20"/>
              </w:rPr>
            </w:pPr>
            <w:r w:rsidRPr="006623B9">
              <w:rPr>
                <w:rFonts w:eastAsia="Calibri"/>
                <w:sz w:val="14"/>
                <w:szCs w:val="20"/>
              </w:rPr>
              <w:t>-157.3</w:t>
            </w:r>
          </w:p>
        </w:tc>
        <w:tc>
          <w:tcPr>
            <w:tcW w:w="0" w:type="auto"/>
            <w:shd w:val="clear" w:color="auto" w:fill="FFFFFF"/>
            <w:tcMar>
              <w:top w:w="0" w:type="dxa"/>
              <w:left w:w="57" w:type="dxa"/>
              <w:bottom w:w="0" w:type="dxa"/>
              <w:right w:w="57" w:type="dxa"/>
            </w:tcMar>
            <w:vAlign w:val="bottom"/>
          </w:tcPr>
          <w:p w14:paraId="7D02EF0E" w14:textId="77777777" w:rsidR="00EB5913" w:rsidRPr="006623B9" w:rsidRDefault="00EB5913" w:rsidP="00F16E23">
            <w:pPr>
              <w:pStyle w:val="TableText"/>
              <w:spacing w:before="40" w:after="40"/>
              <w:jc w:val="right"/>
              <w:rPr>
                <w:sz w:val="14"/>
                <w:szCs w:val="20"/>
              </w:rPr>
            </w:pPr>
            <w:r w:rsidRPr="006623B9">
              <w:rPr>
                <w:rFonts w:eastAsia="Calibri"/>
                <w:sz w:val="14"/>
                <w:szCs w:val="20"/>
              </w:rPr>
              <w:t>-79.4</w:t>
            </w:r>
          </w:p>
        </w:tc>
        <w:tc>
          <w:tcPr>
            <w:tcW w:w="0" w:type="auto"/>
            <w:shd w:val="clear" w:color="auto" w:fill="FFFFFF"/>
            <w:tcMar>
              <w:top w:w="0" w:type="dxa"/>
              <w:left w:w="57" w:type="dxa"/>
              <w:bottom w:w="0" w:type="dxa"/>
              <w:right w:w="57" w:type="dxa"/>
            </w:tcMar>
            <w:vAlign w:val="bottom"/>
          </w:tcPr>
          <w:p w14:paraId="7499DD86" w14:textId="77777777" w:rsidR="00EB5913" w:rsidRPr="006623B9" w:rsidRDefault="00EB5913" w:rsidP="00F16E23">
            <w:pPr>
              <w:pStyle w:val="TableText"/>
              <w:spacing w:before="40" w:after="40"/>
              <w:jc w:val="right"/>
              <w:rPr>
                <w:sz w:val="14"/>
                <w:szCs w:val="20"/>
              </w:rPr>
            </w:pPr>
            <w:r w:rsidRPr="006623B9">
              <w:rPr>
                <w:rFonts w:eastAsia="Calibri"/>
                <w:sz w:val="14"/>
                <w:szCs w:val="20"/>
              </w:rPr>
              <w:t>-1.6</w:t>
            </w:r>
          </w:p>
        </w:tc>
        <w:tc>
          <w:tcPr>
            <w:tcW w:w="0" w:type="auto"/>
            <w:shd w:val="clear" w:color="auto" w:fill="FFFFFF"/>
            <w:tcMar>
              <w:top w:w="0" w:type="dxa"/>
              <w:left w:w="57" w:type="dxa"/>
              <w:bottom w:w="0" w:type="dxa"/>
              <w:right w:w="57" w:type="dxa"/>
            </w:tcMar>
            <w:vAlign w:val="bottom"/>
          </w:tcPr>
          <w:p w14:paraId="4DD45E2E" w14:textId="77777777" w:rsidR="00EB5913" w:rsidRPr="006623B9" w:rsidRDefault="00EB5913" w:rsidP="00F16E23">
            <w:pPr>
              <w:pStyle w:val="TableText"/>
              <w:spacing w:before="40" w:after="40"/>
              <w:jc w:val="right"/>
              <w:rPr>
                <w:sz w:val="14"/>
                <w:szCs w:val="20"/>
              </w:rPr>
            </w:pPr>
            <w:r w:rsidRPr="006623B9">
              <w:rPr>
                <w:rFonts w:eastAsia="Calibri"/>
                <w:sz w:val="14"/>
                <w:szCs w:val="20"/>
              </w:rPr>
              <w:t>-44.9</w:t>
            </w:r>
          </w:p>
        </w:tc>
        <w:tc>
          <w:tcPr>
            <w:tcW w:w="0" w:type="auto"/>
            <w:shd w:val="clear" w:color="auto" w:fill="FFFFFF"/>
            <w:tcMar>
              <w:top w:w="0" w:type="dxa"/>
              <w:left w:w="57" w:type="dxa"/>
              <w:bottom w:w="0" w:type="dxa"/>
              <w:right w:w="57" w:type="dxa"/>
            </w:tcMar>
            <w:vAlign w:val="bottom"/>
          </w:tcPr>
          <w:p w14:paraId="672DF854" w14:textId="77777777" w:rsidR="00EB5913" w:rsidRPr="006623B9" w:rsidRDefault="00EB5913" w:rsidP="00F16E23">
            <w:pPr>
              <w:pStyle w:val="TableText"/>
              <w:spacing w:before="40" w:after="40"/>
              <w:jc w:val="right"/>
              <w:rPr>
                <w:sz w:val="14"/>
                <w:szCs w:val="20"/>
              </w:rPr>
            </w:pPr>
            <w:r w:rsidRPr="006623B9">
              <w:rPr>
                <w:rFonts w:eastAsia="Calibri"/>
                <w:sz w:val="14"/>
                <w:szCs w:val="20"/>
              </w:rPr>
              <w:t>-29.1</w:t>
            </w:r>
          </w:p>
        </w:tc>
        <w:tc>
          <w:tcPr>
            <w:tcW w:w="0" w:type="auto"/>
            <w:shd w:val="clear" w:color="auto" w:fill="FFFFFF"/>
            <w:tcMar>
              <w:top w:w="0" w:type="dxa"/>
              <w:left w:w="57" w:type="dxa"/>
              <w:bottom w:w="0" w:type="dxa"/>
              <w:right w:w="57" w:type="dxa"/>
            </w:tcMar>
            <w:vAlign w:val="bottom"/>
          </w:tcPr>
          <w:p w14:paraId="699CA4C0" w14:textId="77777777" w:rsidR="00EB5913" w:rsidRPr="006623B9" w:rsidRDefault="00EB5913" w:rsidP="00F16E23">
            <w:pPr>
              <w:pStyle w:val="TableText"/>
              <w:spacing w:before="40" w:after="40"/>
              <w:jc w:val="right"/>
              <w:rPr>
                <w:sz w:val="14"/>
                <w:szCs w:val="20"/>
              </w:rPr>
            </w:pPr>
            <w:r w:rsidRPr="006623B9">
              <w:rPr>
                <w:rFonts w:eastAsia="Calibri"/>
                <w:sz w:val="14"/>
                <w:szCs w:val="20"/>
              </w:rPr>
              <w:t>-0.8</w:t>
            </w:r>
          </w:p>
        </w:tc>
        <w:tc>
          <w:tcPr>
            <w:tcW w:w="0" w:type="auto"/>
            <w:shd w:val="clear" w:color="auto" w:fill="FFFFFF"/>
            <w:tcMar>
              <w:top w:w="0" w:type="dxa"/>
              <w:left w:w="57" w:type="dxa"/>
              <w:bottom w:w="0" w:type="dxa"/>
              <w:right w:w="57" w:type="dxa"/>
            </w:tcMar>
            <w:vAlign w:val="bottom"/>
          </w:tcPr>
          <w:p w14:paraId="39694BB7" w14:textId="77777777" w:rsidR="00EB5913" w:rsidRPr="006623B9" w:rsidRDefault="00EB5913" w:rsidP="00F16E23">
            <w:pPr>
              <w:pStyle w:val="TableText"/>
              <w:spacing w:before="40" w:after="40"/>
              <w:jc w:val="right"/>
              <w:rPr>
                <w:sz w:val="14"/>
                <w:szCs w:val="20"/>
              </w:rPr>
            </w:pPr>
            <w:r w:rsidRPr="006623B9">
              <w:rPr>
                <w:rFonts w:eastAsia="Calibri"/>
                <w:sz w:val="14"/>
                <w:szCs w:val="20"/>
              </w:rPr>
              <w:t>10.5</w:t>
            </w:r>
          </w:p>
        </w:tc>
        <w:tc>
          <w:tcPr>
            <w:tcW w:w="0" w:type="auto"/>
            <w:shd w:val="clear" w:color="auto" w:fill="FFFFFF"/>
            <w:tcMar>
              <w:top w:w="0" w:type="dxa"/>
              <w:left w:w="57" w:type="dxa"/>
              <w:bottom w:w="0" w:type="dxa"/>
              <w:right w:w="57" w:type="dxa"/>
            </w:tcMar>
            <w:vAlign w:val="bottom"/>
          </w:tcPr>
          <w:p w14:paraId="178A8FE3" w14:textId="77777777" w:rsidR="00EB5913" w:rsidRPr="006623B9" w:rsidRDefault="00EB5913" w:rsidP="00F16E23">
            <w:pPr>
              <w:pStyle w:val="TableText"/>
              <w:spacing w:before="40" w:after="40"/>
              <w:jc w:val="right"/>
              <w:rPr>
                <w:sz w:val="14"/>
                <w:szCs w:val="20"/>
              </w:rPr>
            </w:pPr>
            <w:r w:rsidRPr="006623B9">
              <w:rPr>
                <w:rFonts w:eastAsia="Calibri"/>
                <w:sz w:val="14"/>
                <w:szCs w:val="20"/>
              </w:rPr>
              <w:t>7.2</w:t>
            </w:r>
          </w:p>
        </w:tc>
        <w:tc>
          <w:tcPr>
            <w:tcW w:w="0" w:type="auto"/>
            <w:shd w:val="clear" w:color="auto" w:fill="FFFFFF"/>
            <w:tcMar>
              <w:top w:w="0" w:type="dxa"/>
              <w:left w:w="57" w:type="dxa"/>
              <w:bottom w:w="0" w:type="dxa"/>
              <w:right w:w="57" w:type="dxa"/>
            </w:tcMar>
            <w:vAlign w:val="bottom"/>
          </w:tcPr>
          <w:p w14:paraId="39BEBA3A" w14:textId="77777777" w:rsidR="00EB5913" w:rsidRPr="006623B9" w:rsidRDefault="00EB5913" w:rsidP="00F16E23">
            <w:pPr>
              <w:pStyle w:val="TableText"/>
              <w:spacing w:before="40" w:after="40"/>
              <w:jc w:val="right"/>
              <w:rPr>
                <w:sz w:val="14"/>
                <w:szCs w:val="20"/>
              </w:rPr>
            </w:pPr>
            <w:r w:rsidRPr="006623B9">
              <w:rPr>
                <w:rFonts w:eastAsia="Calibri"/>
                <w:sz w:val="14"/>
                <w:szCs w:val="20"/>
              </w:rPr>
              <w:t>6.4</w:t>
            </w:r>
          </w:p>
        </w:tc>
      </w:tr>
      <w:tr w:rsidR="00EB5913" w:rsidRPr="006623B9" w14:paraId="5DABCBD5" w14:textId="77777777" w:rsidTr="00F16E23">
        <w:tc>
          <w:tcPr>
            <w:tcW w:w="0" w:type="auto"/>
            <w:shd w:val="clear" w:color="auto" w:fill="FFFFFF"/>
            <w:tcMar>
              <w:top w:w="0" w:type="dxa"/>
              <w:left w:w="57" w:type="dxa"/>
              <w:bottom w:w="0" w:type="dxa"/>
              <w:right w:w="57" w:type="dxa"/>
            </w:tcMar>
            <w:vAlign w:val="center"/>
          </w:tcPr>
          <w:p w14:paraId="0FA812CC" w14:textId="77777777" w:rsidR="00EB5913" w:rsidRPr="006623B9" w:rsidRDefault="00EB5913" w:rsidP="00F16E23">
            <w:pPr>
              <w:pStyle w:val="TableText"/>
              <w:spacing w:before="40" w:after="40"/>
              <w:rPr>
                <w:sz w:val="14"/>
                <w:szCs w:val="20"/>
              </w:rPr>
            </w:pPr>
            <w:r w:rsidRPr="006623B9">
              <w:rPr>
                <w:rFonts w:eastAsia="Calibri"/>
                <w:i/>
                <w:iCs/>
                <w:sz w:val="14"/>
                <w:szCs w:val="20"/>
              </w:rPr>
              <w:t>Wastewater treatment and discharge</w:t>
            </w:r>
            <w:r w:rsidRPr="006623B9">
              <w:rPr>
                <w:rFonts w:eastAsia="Calibri"/>
                <w:sz w:val="14"/>
                <w:szCs w:val="20"/>
              </w:rPr>
              <w:t xml:space="preserve"> (5.D)</w:t>
            </w:r>
          </w:p>
        </w:tc>
        <w:tc>
          <w:tcPr>
            <w:tcW w:w="0" w:type="auto"/>
            <w:shd w:val="clear" w:color="auto" w:fill="FFFFFF"/>
            <w:tcMar>
              <w:top w:w="0" w:type="dxa"/>
              <w:left w:w="57" w:type="dxa"/>
              <w:bottom w:w="0" w:type="dxa"/>
              <w:right w:w="57" w:type="dxa"/>
            </w:tcMar>
            <w:vAlign w:val="bottom"/>
          </w:tcPr>
          <w:p w14:paraId="3DE5C3AC" w14:textId="77777777" w:rsidR="00EB5913" w:rsidRPr="006623B9" w:rsidRDefault="00EB5913" w:rsidP="00F16E23">
            <w:pPr>
              <w:pStyle w:val="TableText"/>
              <w:spacing w:before="40" w:after="40"/>
              <w:jc w:val="right"/>
              <w:rPr>
                <w:sz w:val="14"/>
                <w:szCs w:val="20"/>
              </w:rPr>
            </w:pPr>
            <w:r w:rsidRPr="006623B9">
              <w:rPr>
                <w:rFonts w:eastAsia="Calibri"/>
                <w:sz w:val="14"/>
                <w:szCs w:val="20"/>
              </w:rPr>
              <w:t>326.6</w:t>
            </w:r>
          </w:p>
        </w:tc>
        <w:tc>
          <w:tcPr>
            <w:tcW w:w="0" w:type="auto"/>
            <w:shd w:val="clear" w:color="auto" w:fill="FFFFFF"/>
            <w:tcMar>
              <w:top w:w="0" w:type="dxa"/>
              <w:left w:w="57" w:type="dxa"/>
              <w:bottom w:w="0" w:type="dxa"/>
              <w:right w:w="57" w:type="dxa"/>
            </w:tcMar>
            <w:vAlign w:val="bottom"/>
          </w:tcPr>
          <w:p w14:paraId="329073BA" w14:textId="77777777" w:rsidR="00EB5913" w:rsidRPr="006623B9" w:rsidRDefault="00EB5913" w:rsidP="00F16E23">
            <w:pPr>
              <w:pStyle w:val="TableText"/>
              <w:spacing w:before="40" w:after="40"/>
              <w:jc w:val="right"/>
              <w:rPr>
                <w:sz w:val="14"/>
                <w:szCs w:val="20"/>
              </w:rPr>
            </w:pPr>
            <w:r w:rsidRPr="006623B9">
              <w:rPr>
                <w:rFonts w:eastAsia="Calibri"/>
                <w:sz w:val="14"/>
                <w:szCs w:val="20"/>
              </w:rPr>
              <w:t>347.3</w:t>
            </w:r>
          </w:p>
        </w:tc>
        <w:tc>
          <w:tcPr>
            <w:tcW w:w="0" w:type="auto"/>
            <w:shd w:val="clear" w:color="auto" w:fill="FFFFFF"/>
            <w:tcMar>
              <w:top w:w="0" w:type="dxa"/>
              <w:left w:w="57" w:type="dxa"/>
              <w:bottom w:w="0" w:type="dxa"/>
              <w:right w:w="57" w:type="dxa"/>
            </w:tcMar>
            <w:vAlign w:val="bottom"/>
          </w:tcPr>
          <w:p w14:paraId="6AB48308" w14:textId="77777777" w:rsidR="00EB5913" w:rsidRPr="006623B9" w:rsidRDefault="00EB5913" w:rsidP="00F16E23">
            <w:pPr>
              <w:pStyle w:val="TableText"/>
              <w:spacing w:before="40" w:after="40"/>
              <w:jc w:val="right"/>
              <w:rPr>
                <w:sz w:val="14"/>
                <w:szCs w:val="20"/>
              </w:rPr>
            </w:pPr>
            <w:r w:rsidRPr="006623B9">
              <w:rPr>
                <w:rFonts w:eastAsia="Calibri"/>
                <w:sz w:val="14"/>
                <w:szCs w:val="20"/>
              </w:rPr>
              <w:t>398.7</w:t>
            </w:r>
          </w:p>
        </w:tc>
        <w:tc>
          <w:tcPr>
            <w:tcW w:w="0" w:type="auto"/>
            <w:shd w:val="clear" w:color="auto" w:fill="FFFFFF"/>
            <w:tcMar>
              <w:top w:w="0" w:type="dxa"/>
              <w:left w:w="57" w:type="dxa"/>
              <w:bottom w:w="0" w:type="dxa"/>
              <w:right w:w="57" w:type="dxa"/>
            </w:tcMar>
            <w:vAlign w:val="bottom"/>
          </w:tcPr>
          <w:p w14:paraId="2A13A94B" w14:textId="77777777" w:rsidR="00EB5913" w:rsidRPr="006623B9" w:rsidRDefault="00EB5913" w:rsidP="00F16E23">
            <w:pPr>
              <w:pStyle w:val="TableText"/>
              <w:spacing w:before="40" w:after="40"/>
              <w:jc w:val="right"/>
              <w:rPr>
                <w:sz w:val="14"/>
                <w:szCs w:val="20"/>
              </w:rPr>
            </w:pPr>
            <w:r w:rsidRPr="006623B9">
              <w:rPr>
                <w:rFonts w:eastAsia="Calibri"/>
                <w:sz w:val="14"/>
                <w:szCs w:val="20"/>
              </w:rPr>
              <w:t>401.5</w:t>
            </w:r>
          </w:p>
        </w:tc>
        <w:tc>
          <w:tcPr>
            <w:tcW w:w="0" w:type="auto"/>
            <w:shd w:val="clear" w:color="auto" w:fill="FFFFFF"/>
            <w:tcMar>
              <w:top w:w="0" w:type="dxa"/>
              <w:left w:w="57" w:type="dxa"/>
              <w:bottom w:w="0" w:type="dxa"/>
              <w:right w:w="57" w:type="dxa"/>
            </w:tcMar>
            <w:vAlign w:val="bottom"/>
          </w:tcPr>
          <w:p w14:paraId="4F525E7D" w14:textId="77777777" w:rsidR="00EB5913" w:rsidRPr="006623B9" w:rsidRDefault="00EB5913" w:rsidP="00F16E23">
            <w:pPr>
              <w:pStyle w:val="TableText"/>
              <w:spacing w:before="40" w:after="40"/>
              <w:jc w:val="right"/>
              <w:rPr>
                <w:sz w:val="14"/>
                <w:szCs w:val="20"/>
              </w:rPr>
            </w:pPr>
            <w:r w:rsidRPr="006623B9">
              <w:rPr>
                <w:rFonts w:eastAsia="Calibri"/>
                <w:sz w:val="14"/>
                <w:szCs w:val="20"/>
              </w:rPr>
              <w:t>74.8</w:t>
            </w:r>
          </w:p>
        </w:tc>
        <w:tc>
          <w:tcPr>
            <w:tcW w:w="0" w:type="auto"/>
            <w:shd w:val="clear" w:color="auto" w:fill="FFFFFF"/>
            <w:tcMar>
              <w:top w:w="0" w:type="dxa"/>
              <w:left w:w="57" w:type="dxa"/>
              <w:bottom w:w="0" w:type="dxa"/>
              <w:right w:w="57" w:type="dxa"/>
            </w:tcMar>
            <w:vAlign w:val="bottom"/>
          </w:tcPr>
          <w:p w14:paraId="25FFBCC0" w14:textId="77777777" w:rsidR="00EB5913" w:rsidRPr="006623B9" w:rsidRDefault="00EB5913" w:rsidP="00F16E23">
            <w:pPr>
              <w:pStyle w:val="TableText"/>
              <w:spacing w:before="40" w:after="40"/>
              <w:jc w:val="right"/>
              <w:rPr>
                <w:sz w:val="14"/>
                <w:szCs w:val="20"/>
              </w:rPr>
            </w:pPr>
            <w:r w:rsidRPr="006623B9">
              <w:rPr>
                <w:rFonts w:eastAsia="Calibri"/>
                <w:sz w:val="14"/>
                <w:szCs w:val="20"/>
              </w:rPr>
              <w:t>54.2</w:t>
            </w:r>
          </w:p>
        </w:tc>
        <w:tc>
          <w:tcPr>
            <w:tcW w:w="0" w:type="auto"/>
            <w:shd w:val="clear" w:color="auto" w:fill="FFFFFF"/>
            <w:tcMar>
              <w:top w:w="0" w:type="dxa"/>
              <w:left w:w="57" w:type="dxa"/>
              <w:bottom w:w="0" w:type="dxa"/>
              <w:right w:w="57" w:type="dxa"/>
            </w:tcMar>
            <w:vAlign w:val="bottom"/>
          </w:tcPr>
          <w:p w14:paraId="5EF8D555" w14:textId="77777777" w:rsidR="00EB5913" w:rsidRPr="006623B9" w:rsidRDefault="00EB5913" w:rsidP="00F16E23">
            <w:pPr>
              <w:pStyle w:val="TableText"/>
              <w:spacing w:before="40" w:after="40"/>
              <w:jc w:val="right"/>
              <w:rPr>
                <w:sz w:val="14"/>
                <w:szCs w:val="20"/>
              </w:rPr>
            </w:pPr>
            <w:r w:rsidRPr="006623B9">
              <w:rPr>
                <w:rFonts w:eastAsia="Calibri"/>
                <w:sz w:val="14"/>
                <w:szCs w:val="20"/>
              </w:rPr>
              <w:t>2.8</w:t>
            </w:r>
          </w:p>
        </w:tc>
        <w:tc>
          <w:tcPr>
            <w:tcW w:w="0" w:type="auto"/>
            <w:shd w:val="clear" w:color="auto" w:fill="FFFFFF"/>
            <w:tcMar>
              <w:top w:w="0" w:type="dxa"/>
              <w:left w:w="57" w:type="dxa"/>
              <w:bottom w:w="0" w:type="dxa"/>
              <w:right w:w="57" w:type="dxa"/>
            </w:tcMar>
            <w:vAlign w:val="bottom"/>
          </w:tcPr>
          <w:p w14:paraId="0B1D17F1" w14:textId="77777777" w:rsidR="00EB5913" w:rsidRPr="006623B9" w:rsidRDefault="00EB5913" w:rsidP="00F16E23">
            <w:pPr>
              <w:pStyle w:val="TableText"/>
              <w:spacing w:before="40" w:after="40"/>
              <w:jc w:val="right"/>
              <w:rPr>
                <w:sz w:val="14"/>
                <w:szCs w:val="20"/>
              </w:rPr>
            </w:pPr>
            <w:r w:rsidRPr="006623B9">
              <w:rPr>
                <w:rFonts w:eastAsia="Calibri"/>
                <w:sz w:val="14"/>
                <w:szCs w:val="20"/>
              </w:rPr>
              <w:t>22.9</w:t>
            </w:r>
          </w:p>
        </w:tc>
        <w:tc>
          <w:tcPr>
            <w:tcW w:w="0" w:type="auto"/>
            <w:shd w:val="clear" w:color="auto" w:fill="FFFFFF"/>
            <w:tcMar>
              <w:top w:w="0" w:type="dxa"/>
              <w:left w:w="57" w:type="dxa"/>
              <w:bottom w:w="0" w:type="dxa"/>
              <w:right w:w="57" w:type="dxa"/>
            </w:tcMar>
            <w:vAlign w:val="bottom"/>
          </w:tcPr>
          <w:p w14:paraId="762C27E7" w14:textId="77777777" w:rsidR="00EB5913" w:rsidRPr="006623B9" w:rsidRDefault="00EB5913" w:rsidP="00F16E23">
            <w:pPr>
              <w:pStyle w:val="TableText"/>
              <w:spacing w:before="40" w:after="40"/>
              <w:jc w:val="right"/>
              <w:rPr>
                <w:sz w:val="14"/>
                <w:szCs w:val="20"/>
              </w:rPr>
            </w:pPr>
            <w:r w:rsidRPr="006623B9">
              <w:rPr>
                <w:rFonts w:eastAsia="Calibri"/>
                <w:sz w:val="14"/>
                <w:szCs w:val="20"/>
              </w:rPr>
              <w:t>15.6</w:t>
            </w:r>
          </w:p>
        </w:tc>
        <w:tc>
          <w:tcPr>
            <w:tcW w:w="0" w:type="auto"/>
            <w:shd w:val="clear" w:color="auto" w:fill="FFFFFF"/>
            <w:tcMar>
              <w:top w:w="0" w:type="dxa"/>
              <w:left w:w="57" w:type="dxa"/>
              <w:bottom w:w="0" w:type="dxa"/>
              <w:right w:w="57" w:type="dxa"/>
            </w:tcMar>
            <w:vAlign w:val="bottom"/>
          </w:tcPr>
          <w:p w14:paraId="1703C155" w14:textId="77777777" w:rsidR="00EB5913" w:rsidRPr="006623B9" w:rsidRDefault="00EB5913" w:rsidP="00F16E23">
            <w:pPr>
              <w:pStyle w:val="TableText"/>
              <w:spacing w:before="40" w:after="40"/>
              <w:jc w:val="right"/>
              <w:rPr>
                <w:sz w:val="14"/>
                <w:szCs w:val="20"/>
              </w:rPr>
            </w:pPr>
            <w:r w:rsidRPr="006623B9">
              <w:rPr>
                <w:rFonts w:eastAsia="Calibri"/>
                <w:sz w:val="14"/>
                <w:szCs w:val="20"/>
              </w:rPr>
              <w:t>0.7</w:t>
            </w:r>
          </w:p>
        </w:tc>
        <w:tc>
          <w:tcPr>
            <w:tcW w:w="0" w:type="auto"/>
            <w:shd w:val="clear" w:color="auto" w:fill="FFFFFF"/>
            <w:tcMar>
              <w:top w:w="0" w:type="dxa"/>
              <w:left w:w="57" w:type="dxa"/>
              <w:bottom w:w="0" w:type="dxa"/>
              <w:right w:w="57" w:type="dxa"/>
            </w:tcMar>
            <w:vAlign w:val="bottom"/>
          </w:tcPr>
          <w:p w14:paraId="061C8976" w14:textId="77777777" w:rsidR="00EB5913" w:rsidRPr="006623B9" w:rsidRDefault="00EB5913" w:rsidP="00F16E23">
            <w:pPr>
              <w:pStyle w:val="TableText"/>
              <w:spacing w:before="40" w:after="40"/>
              <w:jc w:val="right"/>
              <w:rPr>
                <w:sz w:val="14"/>
                <w:szCs w:val="20"/>
              </w:rPr>
            </w:pPr>
            <w:r w:rsidRPr="006623B9">
              <w:rPr>
                <w:rFonts w:eastAsia="Calibri"/>
                <w:sz w:val="14"/>
                <w:szCs w:val="20"/>
              </w:rPr>
              <w:t>9.8</w:t>
            </w:r>
          </w:p>
        </w:tc>
        <w:tc>
          <w:tcPr>
            <w:tcW w:w="0" w:type="auto"/>
            <w:shd w:val="clear" w:color="auto" w:fill="FFFFFF"/>
            <w:tcMar>
              <w:top w:w="0" w:type="dxa"/>
              <w:left w:w="57" w:type="dxa"/>
              <w:bottom w:w="0" w:type="dxa"/>
              <w:right w:w="57" w:type="dxa"/>
            </w:tcMar>
            <w:vAlign w:val="bottom"/>
          </w:tcPr>
          <w:p w14:paraId="0FD23475" w14:textId="77777777" w:rsidR="00EB5913" w:rsidRPr="006623B9" w:rsidRDefault="00EB5913" w:rsidP="00F16E23">
            <w:pPr>
              <w:pStyle w:val="TableText"/>
              <w:spacing w:before="40" w:after="40"/>
              <w:jc w:val="right"/>
              <w:rPr>
                <w:sz w:val="14"/>
                <w:szCs w:val="20"/>
              </w:rPr>
            </w:pPr>
            <w:r w:rsidRPr="006623B9">
              <w:rPr>
                <w:rFonts w:eastAsia="Calibri"/>
                <w:sz w:val="14"/>
                <w:szCs w:val="20"/>
              </w:rPr>
              <w:t>9.1</w:t>
            </w:r>
          </w:p>
        </w:tc>
        <w:tc>
          <w:tcPr>
            <w:tcW w:w="0" w:type="auto"/>
            <w:shd w:val="clear" w:color="auto" w:fill="FFFFFF"/>
            <w:tcMar>
              <w:top w:w="0" w:type="dxa"/>
              <w:left w:w="57" w:type="dxa"/>
              <w:bottom w:w="0" w:type="dxa"/>
              <w:right w:w="57" w:type="dxa"/>
            </w:tcMar>
            <w:vAlign w:val="bottom"/>
          </w:tcPr>
          <w:p w14:paraId="0E333603" w14:textId="77777777" w:rsidR="00EB5913" w:rsidRPr="006623B9" w:rsidRDefault="00EB5913" w:rsidP="00F16E23">
            <w:pPr>
              <w:pStyle w:val="TableText"/>
              <w:spacing w:before="40" w:after="40"/>
              <w:jc w:val="right"/>
              <w:rPr>
                <w:sz w:val="14"/>
                <w:szCs w:val="20"/>
              </w:rPr>
            </w:pPr>
            <w:r w:rsidRPr="006623B9">
              <w:rPr>
                <w:rFonts w:eastAsia="Calibri"/>
                <w:sz w:val="14"/>
                <w:szCs w:val="20"/>
              </w:rPr>
              <w:t>13.3</w:t>
            </w:r>
          </w:p>
        </w:tc>
      </w:tr>
      <w:tr w:rsidR="00EB5913" w:rsidRPr="006623B9" w14:paraId="058FCFB6" w14:textId="77777777" w:rsidTr="00F16E23">
        <w:tc>
          <w:tcPr>
            <w:tcW w:w="0" w:type="auto"/>
            <w:shd w:val="clear" w:color="auto" w:fill="FFFFFF"/>
            <w:tcMar>
              <w:top w:w="0" w:type="dxa"/>
              <w:left w:w="57" w:type="dxa"/>
              <w:bottom w:w="0" w:type="dxa"/>
              <w:right w:w="57" w:type="dxa"/>
            </w:tcMar>
            <w:vAlign w:val="center"/>
          </w:tcPr>
          <w:p w14:paraId="22B793CE" w14:textId="77777777" w:rsidR="00EB5913" w:rsidRPr="006623B9" w:rsidRDefault="00EB5913" w:rsidP="00F16E23">
            <w:pPr>
              <w:pStyle w:val="Tableboldblue"/>
              <w:spacing w:before="40" w:after="40"/>
              <w:rPr>
                <w:sz w:val="14"/>
                <w:szCs w:val="20"/>
              </w:rPr>
            </w:pPr>
            <w:r w:rsidRPr="006623B9">
              <w:rPr>
                <w:rFonts w:eastAsia="Calibri"/>
                <w:sz w:val="14"/>
                <w:szCs w:val="20"/>
              </w:rPr>
              <w:t>Total</w:t>
            </w:r>
          </w:p>
        </w:tc>
        <w:tc>
          <w:tcPr>
            <w:tcW w:w="0" w:type="auto"/>
            <w:shd w:val="clear" w:color="auto" w:fill="FFFFFF"/>
            <w:tcMar>
              <w:top w:w="0" w:type="dxa"/>
              <w:left w:w="57" w:type="dxa"/>
              <w:bottom w:w="0" w:type="dxa"/>
              <w:right w:w="57" w:type="dxa"/>
            </w:tcMar>
            <w:vAlign w:val="center"/>
          </w:tcPr>
          <w:p w14:paraId="77AE0F1D"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3,328.5</w:t>
            </w:r>
          </w:p>
        </w:tc>
        <w:tc>
          <w:tcPr>
            <w:tcW w:w="0" w:type="auto"/>
            <w:shd w:val="clear" w:color="auto" w:fill="FFFFFF"/>
            <w:tcMar>
              <w:top w:w="0" w:type="dxa"/>
              <w:left w:w="57" w:type="dxa"/>
              <w:bottom w:w="0" w:type="dxa"/>
              <w:right w:w="57" w:type="dxa"/>
            </w:tcMar>
            <w:vAlign w:val="center"/>
          </w:tcPr>
          <w:p w14:paraId="6B86BE19"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3,804.9</w:t>
            </w:r>
          </w:p>
        </w:tc>
        <w:tc>
          <w:tcPr>
            <w:tcW w:w="0" w:type="auto"/>
            <w:shd w:val="clear" w:color="auto" w:fill="FFFFFF"/>
            <w:tcMar>
              <w:top w:w="0" w:type="dxa"/>
              <w:left w:w="57" w:type="dxa"/>
              <w:bottom w:w="0" w:type="dxa"/>
              <w:right w:w="57" w:type="dxa"/>
            </w:tcMar>
            <w:vAlign w:val="center"/>
          </w:tcPr>
          <w:p w14:paraId="2B37BAF2"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3,023.1</w:t>
            </w:r>
          </w:p>
        </w:tc>
        <w:tc>
          <w:tcPr>
            <w:tcW w:w="0" w:type="auto"/>
            <w:shd w:val="clear" w:color="auto" w:fill="FFFFFF"/>
            <w:tcMar>
              <w:top w:w="0" w:type="dxa"/>
              <w:left w:w="57" w:type="dxa"/>
              <w:bottom w:w="0" w:type="dxa"/>
              <w:right w:w="57" w:type="dxa"/>
            </w:tcMar>
            <w:vAlign w:val="center"/>
          </w:tcPr>
          <w:p w14:paraId="140BA51E"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3,009.1</w:t>
            </w:r>
          </w:p>
        </w:tc>
        <w:tc>
          <w:tcPr>
            <w:tcW w:w="0" w:type="auto"/>
            <w:shd w:val="clear" w:color="auto" w:fill="FFFFFF"/>
            <w:tcMar>
              <w:top w:w="0" w:type="dxa"/>
              <w:left w:w="57" w:type="dxa"/>
              <w:bottom w:w="0" w:type="dxa"/>
              <w:right w:w="57" w:type="dxa"/>
            </w:tcMar>
            <w:vAlign w:val="center"/>
          </w:tcPr>
          <w:p w14:paraId="1DCA2327"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-319.4</w:t>
            </w:r>
          </w:p>
        </w:tc>
        <w:tc>
          <w:tcPr>
            <w:tcW w:w="0" w:type="auto"/>
            <w:shd w:val="clear" w:color="auto" w:fill="FFFFFF"/>
            <w:tcMar>
              <w:top w:w="0" w:type="dxa"/>
              <w:left w:w="57" w:type="dxa"/>
              <w:bottom w:w="0" w:type="dxa"/>
              <w:right w:w="57" w:type="dxa"/>
            </w:tcMar>
            <w:vAlign w:val="center"/>
          </w:tcPr>
          <w:p w14:paraId="6EB34BEF"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-795.8</w:t>
            </w:r>
          </w:p>
        </w:tc>
        <w:tc>
          <w:tcPr>
            <w:tcW w:w="0" w:type="auto"/>
            <w:shd w:val="clear" w:color="auto" w:fill="FFFFFF"/>
            <w:tcMar>
              <w:top w:w="0" w:type="dxa"/>
              <w:left w:w="57" w:type="dxa"/>
              <w:bottom w:w="0" w:type="dxa"/>
              <w:right w:w="57" w:type="dxa"/>
            </w:tcMar>
            <w:vAlign w:val="center"/>
          </w:tcPr>
          <w:p w14:paraId="6F74F593"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-14.1</w:t>
            </w:r>
          </w:p>
        </w:tc>
        <w:tc>
          <w:tcPr>
            <w:tcW w:w="0" w:type="auto"/>
            <w:shd w:val="clear" w:color="auto" w:fill="FFFFFF"/>
            <w:tcMar>
              <w:top w:w="0" w:type="dxa"/>
              <w:left w:w="57" w:type="dxa"/>
              <w:bottom w:w="0" w:type="dxa"/>
              <w:right w:w="57" w:type="dxa"/>
            </w:tcMar>
            <w:vAlign w:val="center"/>
          </w:tcPr>
          <w:p w14:paraId="74FDFC04"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-9.6</w:t>
            </w:r>
          </w:p>
        </w:tc>
        <w:tc>
          <w:tcPr>
            <w:tcW w:w="0" w:type="auto"/>
            <w:shd w:val="clear" w:color="auto" w:fill="FFFFFF"/>
            <w:tcMar>
              <w:top w:w="0" w:type="dxa"/>
              <w:left w:w="57" w:type="dxa"/>
              <w:bottom w:w="0" w:type="dxa"/>
              <w:right w:w="57" w:type="dxa"/>
            </w:tcMar>
            <w:vAlign w:val="center"/>
          </w:tcPr>
          <w:p w14:paraId="4EBA09C8"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-20.9</w:t>
            </w:r>
          </w:p>
        </w:tc>
        <w:tc>
          <w:tcPr>
            <w:tcW w:w="0" w:type="auto"/>
            <w:shd w:val="clear" w:color="auto" w:fill="FFFFFF"/>
            <w:tcMar>
              <w:top w:w="0" w:type="dxa"/>
              <w:left w:w="57" w:type="dxa"/>
              <w:bottom w:w="0" w:type="dxa"/>
              <w:right w:w="57" w:type="dxa"/>
            </w:tcMar>
            <w:vAlign w:val="center"/>
          </w:tcPr>
          <w:p w14:paraId="52161FE3"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-0.5</w:t>
            </w:r>
          </w:p>
        </w:tc>
        <w:tc>
          <w:tcPr>
            <w:tcW w:w="0" w:type="auto"/>
            <w:shd w:val="clear" w:color="auto" w:fill="FFFFFF"/>
            <w:tcMar>
              <w:top w:w="0" w:type="dxa"/>
              <w:left w:w="57" w:type="dxa"/>
              <w:bottom w:w="0" w:type="dxa"/>
              <w:right w:w="57" w:type="dxa"/>
            </w:tcMar>
            <w:vAlign w:val="center"/>
          </w:tcPr>
          <w:p w14:paraId="35D22653"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w:t>
            </w:r>
          </w:p>
        </w:tc>
        <w:tc>
          <w:tcPr>
            <w:tcW w:w="0" w:type="auto"/>
            <w:shd w:val="clear" w:color="auto" w:fill="FFFFFF"/>
            <w:tcMar>
              <w:top w:w="0" w:type="dxa"/>
              <w:left w:w="57" w:type="dxa"/>
              <w:bottom w:w="0" w:type="dxa"/>
              <w:right w:w="57" w:type="dxa"/>
            </w:tcMar>
            <w:vAlign w:val="center"/>
          </w:tcPr>
          <w:p w14:paraId="5A151657"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w:t>
            </w:r>
          </w:p>
        </w:tc>
        <w:tc>
          <w:tcPr>
            <w:tcW w:w="0" w:type="auto"/>
            <w:shd w:val="clear" w:color="auto" w:fill="FFFFFF"/>
            <w:tcMar>
              <w:top w:w="0" w:type="dxa"/>
              <w:left w:w="57" w:type="dxa"/>
              <w:bottom w:w="0" w:type="dxa"/>
              <w:right w:w="57" w:type="dxa"/>
            </w:tcMar>
            <w:vAlign w:val="center"/>
          </w:tcPr>
          <w:p w14:paraId="7606FFCA" w14:textId="77777777" w:rsidR="00EB5913" w:rsidRPr="006623B9" w:rsidRDefault="00EB5913" w:rsidP="00F16E23">
            <w:pPr>
              <w:pStyle w:val="Tableboldblue"/>
              <w:spacing w:before="40" w:after="40"/>
              <w:jc w:val="right"/>
              <w:rPr>
                <w:sz w:val="14"/>
                <w:szCs w:val="20"/>
              </w:rPr>
            </w:pPr>
            <w:r w:rsidRPr="006623B9">
              <w:rPr>
                <w:rFonts w:eastAsia="Calibri"/>
                <w:sz w:val="14"/>
                <w:szCs w:val="20"/>
              </w:rPr>
              <w:t>—</w:t>
            </w:r>
          </w:p>
        </w:tc>
      </w:tr>
    </w:tbl>
    <w:p w14:paraId="79203F2C" w14:textId="77777777" w:rsidR="00EB5913" w:rsidRPr="006623B9" w:rsidRDefault="00EB5913" w:rsidP="00EB5913">
      <w:pPr>
        <w:pStyle w:val="Noteundertable"/>
      </w:pPr>
      <w:r w:rsidRPr="006623B9">
        <w:rPr>
          <w:b/>
          <w:bCs/>
        </w:rPr>
        <w:t>Note:</w:t>
      </w:r>
      <w:r w:rsidRPr="006623B9">
        <w:t xml:space="preserve"> </w:t>
      </w:r>
      <w:r w:rsidRPr="006623B9">
        <w:tab/>
        <w:t>Percentages presented are calculated from unrounded values. Columns may not total due to rounding.</w:t>
      </w:r>
    </w:p>
    <w:p w14:paraId="652474D1" w14:textId="77777777" w:rsidR="00EB5913" w:rsidRPr="006623B9" w:rsidRDefault="00EB5913" w:rsidP="00EB5913">
      <w:pPr>
        <w:pStyle w:val="Figure"/>
      </w:pPr>
      <w:bookmarkStart w:id="2995" w:name="_Toc226200706"/>
      <w:r w:rsidRPr="006623B9">
        <w:t>Figure 7.1.2</w:t>
      </w:r>
      <w:r>
        <w:t xml:space="preserve"> </w:t>
      </w:r>
      <w:r w:rsidRPr="006623B9">
        <w:tab/>
        <w:t xml:space="preserve">Profile of emissions from New Zealand’s Waste sector by source category from </w:t>
      </w:r>
      <w:r w:rsidRPr="006623B9">
        <w:rPr>
          <w:bCs/>
        </w:rPr>
        <w:t>1990</w:t>
      </w:r>
      <w:r w:rsidRPr="006623B9">
        <w:t xml:space="preserve"> to </w:t>
      </w:r>
      <w:r w:rsidRPr="006623B9">
        <w:rPr>
          <w:bCs/>
        </w:rPr>
        <w:t>2024</w:t>
      </w:r>
      <w:bookmarkEnd w:id="2995"/>
    </w:p>
    <w:p w14:paraId="42A25D41" w14:textId="77777777" w:rsidR="00EB5913" w:rsidRPr="006623B9" w:rsidRDefault="00EB5913" w:rsidP="00EB5913">
      <w:pPr>
        <w:pStyle w:val="BodyText"/>
      </w:pPr>
      <w:r w:rsidRPr="006623B9">
        <w:rPr>
          <w:noProof/>
        </w:rPr>
        <w:drawing>
          <wp:inline distT="0" distB="0" distL="0" distR="0" wp14:anchorId="35FE32E7" wp14:editId="73F399A9">
            <wp:extent cx="5325035" cy="2931459"/>
            <wp:effectExtent l="0" t="0" r="9525" b="2540"/>
            <wp:docPr id="28" name="Picture"/>
            <wp:cNvGraphicFramePr/>
            <a:graphic xmlns:a="http://schemas.openxmlformats.org/drawingml/2006/main">
              <a:graphicData uri="http://schemas.openxmlformats.org/drawingml/2006/picture">
                <pic:pic xmlns:pic="http://schemas.openxmlformats.org/drawingml/2006/picture">
                  <pic:nvPicPr>
                    <pic:cNvPr id="29" name="Picture" descr="images/fig_7_1_2_2026.png"/>
                    <pic:cNvPicPr>
                      <a:picLocks noChangeAspect="1" noChangeArrowheads="1"/>
                    </pic:cNvPicPr>
                  </pic:nvPicPr>
                  <pic:blipFill rotWithShape="1">
                    <a:blip r:embed="rId244"/>
                    <a:srcRect t="2591" b="8490"/>
                    <a:stretch>
                      <a:fillRect/>
                    </a:stretch>
                  </pic:blipFill>
                  <pic:spPr bwMode="auto">
                    <a:xfrm>
                      <a:off x="0" y="0"/>
                      <a:ext cx="5331615" cy="2935081"/>
                    </a:xfrm>
                    <a:prstGeom prst="rect">
                      <a:avLst/>
                    </a:prstGeom>
                    <a:noFill/>
                    <a:ln>
                      <a:noFill/>
                    </a:ln>
                    <a:extLst>
                      <a:ext uri="{53640926-AAD7-44D8-BBD7-CCE9431645EC}">
                        <a14:shadowObscured xmlns:a14="http://schemas.microsoft.com/office/drawing/2010/main"/>
                      </a:ext>
                    </a:extLst>
                  </pic:spPr>
                </pic:pic>
              </a:graphicData>
            </a:graphic>
          </wp:inline>
        </w:drawing>
      </w:r>
    </w:p>
    <w:p w14:paraId="69E04C98" w14:textId="77777777" w:rsidR="00EB5913" w:rsidRPr="006623B9" w:rsidRDefault="00EB5913" w:rsidP="00EB5913">
      <w:pPr>
        <w:pStyle w:val="Figure"/>
        <w:spacing w:before="240"/>
      </w:pPr>
      <w:bookmarkStart w:id="2996" w:name="_Toc226200707"/>
      <w:r w:rsidRPr="006623B9">
        <w:t xml:space="preserve">Figure 7.1.3 </w:t>
      </w:r>
      <w:r w:rsidRPr="006623B9">
        <w:tab/>
        <w:t xml:space="preserve">New Zealand’s emissions from the Waste sector by source category, from </w:t>
      </w:r>
      <w:r w:rsidRPr="006623B9">
        <w:rPr>
          <w:bCs/>
        </w:rPr>
        <w:t>1990</w:t>
      </w:r>
      <w:r w:rsidRPr="006623B9">
        <w:t xml:space="preserve">, </w:t>
      </w:r>
      <w:r w:rsidRPr="006623B9">
        <w:rPr>
          <w:bCs/>
        </w:rPr>
        <w:t>2005</w:t>
      </w:r>
      <w:r w:rsidRPr="006623B9">
        <w:t xml:space="preserve"> to </w:t>
      </w:r>
      <w:r w:rsidRPr="006623B9">
        <w:rPr>
          <w:bCs/>
        </w:rPr>
        <w:t>2024</w:t>
      </w:r>
      <w:bookmarkEnd w:id="2996"/>
    </w:p>
    <w:p w14:paraId="5CE75615" w14:textId="77777777" w:rsidR="00EB5913" w:rsidRPr="006623B9" w:rsidRDefault="00EB5913" w:rsidP="00EB5913">
      <w:pPr>
        <w:pStyle w:val="BodyText"/>
      </w:pPr>
      <w:r w:rsidRPr="006623B9">
        <w:rPr>
          <w:noProof/>
        </w:rPr>
        <w:drawing>
          <wp:inline distT="0" distB="0" distL="0" distR="0" wp14:anchorId="635AEF1D" wp14:editId="32941C27">
            <wp:extent cx="5347447" cy="3868271"/>
            <wp:effectExtent l="0" t="0" r="5715" b="0"/>
            <wp:docPr id="31" name="Picture"/>
            <wp:cNvGraphicFramePr/>
            <a:graphic xmlns:a="http://schemas.openxmlformats.org/drawingml/2006/main">
              <a:graphicData uri="http://schemas.openxmlformats.org/drawingml/2006/picture">
                <pic:pic xmlns:pic="http://schemas.openxmlformats.org/drawingml/2006/picture">
                  <pic:nvPicPr>
                    <pic:cNvPr id="32" name="Picture" descr="code/graphs/images/fig_7_1_3.png"/>
                    <pic:cNvPicPr>
                      <a:picLocks noChangeAspect="1" noChangeArrowheads="1"/>
                    </pic:cNvPicPr>
                  </pic:nvPicPr>
                  <pic:blipFill rotWithShape="1">
                    <a:blip r:embed="rId245"/>
                    <a:srcRect t="-1" b="1983"/>
                    <a:stretch>
                      <a:fillRect/>
                    </a:stretch>
                  </pic:blipFill>
                  <pic:spPr bwMode="auto">
                    <a:xfrm>
                      <a:off x="0" y="0"/>
                      <a:ext cx="5351255" cy="3871025"/>
                    </a:xfrm>
                    <a:prstGeom prst="rect">
                      <a:avLst/>
                    </a:prstGeom>
                    <a:noFill/>
                    <a:ln>
                      <a:noFill/>
                    </a:ln>
                    <a:extLst>
                      <a:ext uri="{53640926-AAD7-44D8-BBD7-CCE9431645EC}">
                        <a14:shadowObscured xmlns:a14="http://schemas.microsoft.com/office/drawing/2010/main"/>
                      </a:ext>
                    </a:extLst>
                  </pic:spPr>
                </pic:pic>
              </a:graphicData>
            </a:graphic>
          </wp:inline>
        </w:drawing>
      </w:r>
    </w:p>
    <w:p w14:paraId="31DE4EED" w14:textId="77777777" w:rsidR="00EB5913" w:rsidRPr="006623B9" w:rsidRDefault="00EB5913" w:rsidP="00EB5913">
      <w:pPr>
        <w:pStyle w:val="Heading3"/>
      </w:pPr>
      <w:bookmarkStart w:id="2997" w:name="Xfa42449e806fcf6a112d3c25ee820409e286d8a"/>
      <w:bookmarkEnd w:id="2989"/>
      <w:bookmarkEnd w:id="2993"/>
      <w:r w:rsidRPr="006623B9">
        <w:t xml:space="preserve">7.1.3 </w:t>
      </w:r>
      <w:r w:rsidRPr="006623B9">
        <w:tab/>
        <w:t>Key categories for Waste sector emissions</w:t>
      </w:r>
    </w:p>
    <w:p w14:paraId="3886B822" w14:textId="77777777" w:rsidR="00EB5913" w:rsidRPr="006623B9" w:rsidRDefault="00EB5913" w:rsidP="00EB5913">
      <w:pPr>
        <w:pStyle w:val="BodyText"/>
      </w:pPr>
      <w:r w:rsidRPr="006623B9">
        <w:t>Details of New Zealand’s key category analysis are in chapter 1, section 1.4. The key categories in the Waste sector are listed in table 7.1.2.</w:t>
      </w:r>
    </w:p>
    <w:p w14:paraId="2352C89F" w14:textId="77777777" w:rsidR="00EB5913" w:rsidRPr="006623B9" w:rsidRDefault="00EB5913" w:rsidP="00EB5913">
      <w:pPr>
        <w:pStyle w:val="Table"/>
      </w:pPr>
      <w:bookmarkStart w:id="2998" w:name="_Toc226669095"/>
      <w:r w:rsidRPr="006623B9">
        <w:t xml:space="preserve">Table 7.1.2 </w:t>
      </w:r>
      <w:r w:rsidRPr="006623B9">
        <w:tab/>
        <w:t>Key categories in the Waste sector</w:t>
      </w:r>
      <w:bookmarkEnd w:id="2998"/>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729"/>
        <w:gridCol w:w="3801"/>
        <w:gridCol w:w="768"/>
        <w:gridCol w:w="2264"/>
      </w:tblGrid>
      <w:tr w:rsidR="00EB5913" w:rsidRPr="006623B9" w14:paraId="4B6A8334" w14:textId="77777777" w:rsidTr="00F16E23">
        <w:trPr>
          <w:tblHeader/>
        </w:trPr>
        <w:tc>
          <w:tcPr>
            <w:tcW w:w="0" w:type="auto"/>
            <w:shd w:val="clear" w:color="auto" w:fill="1B556B"/>
            <w:tcMar>
              <w:top w:w="0" w:type="dxa"/>
              <w:left w:w="85" w:type="dxa"/>
              <w:bottom w:w="0" w:type="dxa"/>
              <w:right w:w="85" w:type="dxa"/>
            </w:tcMar>
            <w:vAlign w:val="center"/>
          </w:tcPr>
          <w:p w14:paraId="39E72E30"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CRF category code</w:t>
            </w:r>
          </w:p>
        </w:tc>
        <w:tc>
          <w:tcPr>
            <w:tcW w:w="3801" w:type="dxa"/>
            <w:shd w:val="clear" w:color="auto" w:fill="1B556B"/>
            <w:tcMar>
              <w:top w:w="0" w:type="dxa"/>
              <w:left w:w="85" w:type="dxa"/>
              <w:bottom w:w="0" w:type="dxa"/>
              <w:right w:w="85" w:type="dxa"/>
            </w:tcMar>
            <w:vAlign w:val="center"/>
          </w:tcPr>
          <w:p w14:paraId="74E3CAA4"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IPCC category</w:t>
            </w:r>
          </w:p>
        </w:tc>
        <w:tc>
          <w:tcPr>
            <w:tcW w:w="768" w:type="dxa"/>
            <w:shd w:val="clear" w:color="auto" w:fill="1B556B"/>
            <w:tcMar>
              <w:top w:w="0" w:type="dxa"/>
              <w:left w:w="85" w:type="dxa"/>
              <w:bottom w:w="0" w:type="dxa"/>
              <w:right w:w="85" w:type="dxa"/>
            </w:tcMar>
            <w:vAlign w:val="center"/>
          </w:tcPr>
          <w:p w14:paraId="61E1E24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Gas</w:t>
            </w:r>
          </w:p>
        </w:tc>
        <w:tc>
          <w:tcPr>
            <w:tcW w:w="0" w:type="auto"/>
            <w:shd w:val="clear" w:color="auto" w:fill="1B556B"/>
            <w:tcMar>
              <w:top w:w="0" w:type="dxa"/>
              <w:left w:w="85" w:type="dxa"/>
              <w:bottom w:w="0" w:type="dxa"/>
              <w:right w:w="85" w:type="dxa"/>
            </w:tcMar>
            <w:vAlign w:val="center"/>
          </w:tcPr>
          <w:p w14:paraId="31B36D07"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Criteria for identification</w:t>
            </w:r>
          </w:p>
        </w:tc>
      </w:tr>
      <w:tr w:rsidR="00EB5913" w:rsidRPr="006623B9" w14:paraId="477B2EF6" w14:textId="77777777" w:rsidTr="00F16E23">
        <w:trPr>
          <w:trHeight w:val="283"/>
        </w:trPr>
        <w:tc>
          <w:tcPr>
            <w:tcW w:w="0" w:type="auto"/>
            <w:shd w:val="clear" w:color="auto" w:fill="FFFFFF"/>
            <w:tcMar>
              <w:top w:w="0" w:type="dxa"/>
              <w:left w:w="85" w:type="dxa"/>
              <w:bottom w:w="0" w:type="dxa"/>
              <w:right w:w="85" w:type="dxa"/>
            </w:tcMar>
            <w:vAlign w:val="center"/>
          </w:tcPr>
          <w:p w14:paraId="50383DAD" w14:textId="77777777" w:rsidR="00EB5913" w:rsidRPr="006623B9" w:rsidRDefault="00EB5913" w:rsidP="00F16E23">
            <w:pPr>
              <w:pStyle w:val="TableText"/>
              <w:spacing w:before="40" w:after="40"/>
            </w:pPr>
            <w:r w:rsidRPr="006623B9">
              <w:rPr>
                <w:rFonts w:eastAsia="Calibri"/>
              </w:rPr>
              <w:t>5.A</w:t>
            </w:r>
          </w:p>
        </w:tc>
        <w:tc>
          <w:tcPr>
            <w:tcW w:w="3801" w:type="dxa"/>
            <w:shd w:val="clear" w:color="auto" w:fill="FFFFFF"/>
            <w:tcMar>
              <w:top w:w="0" w:type="dxa"/>
              <w:left w:w="85" w:type="dxa"/>
              <w:bottom w:w="0" w:type="dxa"/>
              <w:right w:w="85" w:type="dxa"/>
            </w:tcMar>
            <w:vAlign w:val="center"/>
          </w:tcPr>
          <w:p w14:paraId="18A3033F" w14:textId="77777777" w:rsidR="00EB5913" w:rsidRPr="006623B9" w:rsidRDefault="00EB5913" w:rsidP="00F16E23">
            <w:pPr>
              <w:pStyle w:val="TableText"/>
              <w:spacing w:before="40" w:after="40"/>
            </w:pPr>
            <w:r w:rsidRPr="006623B9">
              <w:rPr>
                <w:rFonts w:eastAsia="Calibri"/>
              </w:rPr>
              <w:t xml:space="preserve">Waste– </w:t>
            </w:r>
            <w:r w:rsidRPr="006623B9">
              <w:rPr>
                <w:rFonts w:eastAsia="Calibri"/>
                <w:i/>
              </w:rPr>
              <w:t>Solid waste disposal</w:t>
            </w:r>
          </w:p>
        </w:tc>
        <w:tc>
          <w:tcPr>
            <w:tcW w:w="768" w:type="dxa"/>
            <w:shd w:val="clear" w:color="auto" w:fill="FFFFFF"/>
            <w:tcMar>
              <w:top w:w="0" w:type="dxa"/>
              <w:left w:w="85" w:type="dxa"/>
              <w:bottom w:w="0" w:type="dxa"/>
              <w:right w:w="85" w:type="dxa"/>
            </w:tcMar>
            <w:vAlign w:val="center"/>
          </w:tcPr>
          <w:p w14:paraId="40C042DB" w14:textId="77777777" w:rsidR="00EB5913" w:rsidRPr="006623B9" w:rsidRDefault="00EB5913" w:rsidP="00F16E23">
            <w:pPr>
              <w:pStyle w:val="TableText"/>
              <w:spacing w:before="40" w:after="40"/>
            </w:pPr>
            <w:r w:rsidRPr="006623B9">
              <w:rPr>
                <w:rFonts w:eastAsia="Calibri"/>
              </w:rPr>
              <w:t>CH</w:t>
            </w:r>
            <w:r w:rsidRPr="006623B9">
              <w:rPr>
                <w:rFonts w:eastAsia="Calibri"/>
                <w:vertAlign w:val="subscript"/>
              </w:rPr>
              <w:t>4</w:t>
            </w:r>
          </w:p>
        </w:tc>
        <w:tc>
          <w:tcPr>
            <w:tcW w:w="0" w:type="auto"/>
            <w:shd w:val="clear" w:color="auto" w:fill="FFFFFF"/>
            <w:tcMar>
              <w:top w:w="0" w:type="dxa"/>
              <w:left w:w="85" w:type="dxa"/>
              <w:bottom w:w="0" w:type="dxa"/>
              <w:right w:w="85" w:type="dxa"/>
            </w:tcMar>
            <w:vAlign w:val="center"/>
          </w:tcPr>
          <w:p w14:paraId="2AD1A387" w14:textId="77777777" w:rsidR="00EB5913" w:rsidRPr="006623B9" w:rsidRDefault="00EB5913" w:rsidP="00F16E23">
            <w:pPr>
              <w:pStyle w:val="TableText"/>
              <w:spacing w:before="40" w:after="40"/>
            </w:pPr>
            <w:r w:rsidRPr="006623B9">
              <w:rPr>
                <w:rFonts w:eastAsia="Calibri"/>
              </w:rPr>
              <w:t>L1, T1</w:t>
            </w:r>
          </w:p>
        </w:tc>
      </w:tr>
      <w:tr w:rsidR="00EB5913" w:rsidRPr="006623B9" w14:paraId="61A64B58" w14:textId="77777777" w:rsidTr="00F16E23">
        <w:trPr>
          <w:trHeight w:val="283"/>
        </w:trPr>
        <w:tc>
          <w:tcPr>
            <w:tcW w:w="0" w:type="auto"/>
            <w:shd w:val="clear" w:color="auto" w:fill="FFFFFF"/>
            <w:tcMar>
              <w:top w:w="0" w:type="dxa"/>
              <w:left w:w="85" w:type="dxa"/>
              <w:bottom w:w="0" w:type="dxa"/>
              <w:right w:w="85" w:type="dxa"/>
            </w:tcMar>
            <w:vAlign w:val="center"/>
          </w:tcPr>
          <w:p w14:paraId="5BC560B1" w14:textId="77777777" w:rsidR="00EB5913" w:rsidRPr="006623B9" w:rsidRDefault="00EB5913" w:rsidP="00F16E23">
            <w:pPr>
              <w:pStyle w:val="TableText"/>
              <w:spacing w:before="40" w:after="40"/>
            </w:pPr>
            <w:r w:rsidRPr="006623B9">
              <w:rPr>
                <w:rFonts w:eastAsia="Calibri"/>
              </w:rPr>
              <w:t>5.C</w:t>
            </w:r>
          </w:p>
        </w:tc>
        <w:tc>
          <w:tcPr>
            <w:tcW w:w="3801" w:type="dxa"/>
            <w:shd w:val="clear" w:color="auto" w:fill="FFFFFF"/>
            <w:tcMar>
              <w:top w:w="0" w:type="dxa"/>
              <w:left w:w="85" w:type="dxa"/>
              <w:bottom w:w="0" w:type="dxa"/>
              <w:right w:w="85" w:type="dxa"/>
            </w:tcMar>
            <w:vAlign w:val="center"/>
          </w:tcPr>
          <w:p w14:paraId="3E1B5186" w14:textId="77777777" w:rsidR="00EB5913" w:rsidRPr="006623B9" w:rsidRDefault="00EB5913" w:rsidP="00F16E23">
            <w:pPr>
              <w:pStyle w:val="TableText"/>
              <w:spacing w:before="40" w:after="40"/>
            </w:pPr>
            <w:r w:rsidRPr="006623B9">
              <w:rPr>
                <w:rFonts w:eastAsia="Calibri"/>
              </w:rPr>
              <w:t xml:space="preserve">Waste– </w:t>
            </w:r>
            <w:r w:rsidRPr="006623B9">
              <w:rPr>
                <w:rFonts w:eastAsia="Calibri"/>
                <w:i/>
              </w:rPr>
              <w:t>Incineration and open burning of waste</w:t>
            </w:r>
          </w:p>
        </w:tc>
        <w:tc>
          <w:tcPr>
            <w:tcW w:w="768" w:type="dxa"/>
            <w:shd w:val="clear" w:color="auto" w:fill="FFFFFF"/>
            <w:tcMar>
              <w:top w:w="0" w:type="dxa"/>
              <w:left w:w="85" w:type="dxa"/>
              <w:bottom w:w="0" w:type="dxa"/>
              <w:right w:w="85" w:type="dxa"/>
            </w:tcMar>
            <w:vAlign w:val="center"/>
          </w:tcPr>
          <w:p w14:paraId="391358BF" w14:textId="77777777" w:rsidR="00EB5913" w:rsidRPr="006623B9" w:rsidRDefault="00EB5913" w:rsidP="00F16E23">
            <w:pPr>
              <w:pStyle w:val="TableText"/>
              <w:spacing w:before="40" w:after="40"/>
            </w:pPr>
            <w:r w:rsidRPr="006623B9">
              <w:rPr>
                <w:rFonts w:eastAsia="Calibri"/>
              </w:rPr>
              <w:t>CO</w:t>
            </w:r>
            <w:r w:rsidRPr="006623B9">
              <w:rPr>
                <w:rFonts w:eastAsia="Calibri"/>
                <w:vertAlign w:val="subscript"/>
              </w:rPr>
              <w:t>2</w:t>
            </w:r>
          </w:p>
        </w:tc>
        <w:tc>
          <w:tcPr>
            <w:tcW w:w="0" w:type="auto"/>
            <w:shd w:val="clear" w:color="auto" w:fill="FFFFFF"/>
            <w:tcMar>
              <w:top w:w="0" w:type="dxa"/>
              <w:left w:w="85" w:type="dxa"/>
              <w:bottom w:w="0" w:type="dxa"/>
              <w:right w:w="85" w:type="dxa"/>
            </w:tcMar>
            <w:vAlign w:val="center"/>
          </w:tcPr>
          <w:p w14:paraId="364073C6" w14:textId="77777777" w:rsidR="00EB5913" w:rsidRPr="006623B9" w:rsidRDefault="00EB5913" w:rsidP="00F16E23">
            <w:pPr>
              <w:pStyle w:val="TableText"/>
              <w:spacing w:before="40" w:after="40"/>
            </w:pPr>
            <w:r w:rsidRPr="006623B9">
              <w:rPr>
                <w:rFonts w:eastAsia="Calibri"/>
              </w:rPr>
              <w:t>T1</w:t>
            </w:r>
          </w:p>
        </w:tc>
      </w:tr>
      <w:tr w:rsidR="00EB5913" w:rsidRPr="006623B9" w14:paraId="3800BC29" w14:textId="77777777" w:rsidTr="00F16E23">
        <w:trPr>
          <w:trHeight w:val="283"/>
        </w:trPr>
        <w:tc>
          <w:tcPr>
            <w:tcW w:w="0" w:type="auto"/>
            <w:shd w:val="clear" w:color="auto" w:fill="FFFFFF"/>
            <w:tcMar>
              <w:top w:w="0" w:type="dxa"/>
              <w:left w:w="85" w:type="dxa"/>
              <w:bottom w:w="0" w:type="dxa"/>
              <w:right w:w="85" w:type="dxa"/>
            </w:tcMar>
            <w:vAlign w:val="center"/>
          </w:tcPr>
          <w:p w14:paraId="43A555B2" w14:textId="77777777" w:rsidR="00EB5913" w:rsidRPr="006623B9" w:rsidRDefault="00EB5913" w:rsidP="00F16E23">
            <w:pPr>
              <w:pStyle w:val="TableText"/>
              <w:spacing w:before="40" w:after="40"/>
              <w:rPr>
                <w:rFonts w:eastAsia="Calibri"/>
              </w:rPr>
            </w:pPr>
            <w:r w:rsidRPr="006623B9">
              <w:rPr>
                <w:rFonts w:eastAsia="Calibri"/>
              </w:rPr>
              <w:t>5.C</w:t>
            </w:r>
          </w:p>
        </w:tc>
        <w:tc>
          <w:tcPr>
            <w:tcW w:w="3801" w:type="dxa"/>
            <w:shd w:val="clear" w:color="auto" w:fill="FFFFFF"/>
            <w:tcMar>
              <w:top w:w="0" w:type="dxa"/>
              <w:left w:w="85" w:type="dxa"/>
              <w:bottom w:w="0" w:type="dxa"/>
              <w:right w:w="85" w:type="dxa"/>
            </w:tcMar>
            <w:vAlign w:val="center"/>
          </w:tcPr>
          <w:p w14:paraId="38D568A1" w14:textId="77777777" w:rsidR="00EB5913" w:rsidRPr="006623B9" w:rsidRDefault="00EB5913" w:rsidP="00F16E23">
            <w:pPr>
              <w:pStyle w:val="TableText"/>
              <w:spacing w:before="40" w:after="40"/>
              <w:rPr>
                <w:rFonts w:eastAsia="Calibri"/>
              </w:rPr>
            </w:pPr>
            <w:r w:rsidRPr="006623B9">
              <w:rPr>
                <w:rFonts w:eastAsia="Calibri"/>
              </w:rPr>
              <w:t xml:space="preserve">Waste– </w:t>
            </w:r>
            <w:r w:rsidRPr="006623B9">
              <w:rPr>
                <w:rFonts w:eastAsia="Calibri"/>
                <w:i/>
              </w:rPr>
              <w:t>Incineration and open burning of waste</w:t>
            </w:r>
          </w:p>
        </w:tc>
        <w:tc>
          <w:tcPr>
            <w:tcW w:w="768" w:type="dxa"/>
            <w:shd w:val="clear" w:color="auto" w:fill="FFFFFF"/>
            <w:tcMar>
              <w:top w:w="0" w:type="dxa"/>
              <w:left w:w="85" w:type="dxa"/>
              <w:bottom w:w="0" w:type="dxa"/>
              <w:right w:w="85" w:type="dxa"/>
            </w:tcMar>
            <w:vAlign w:val="center"/>
          </w:tcPr>
          <w:p w14:paraId="6E1BAF98" w14:textId="77777777" w:rsidR="00EB5913" w:rsidRPr="006623B9" w:rsidRDefault="00EB5913" w:rsidP="00F16E23">
            <w:pPr>
              <w:pStyle w:val="TableText"/>
              <w:spacing w:before="40" w:after="40"/>
              <w:rPr>
                <w:rFonts w:eastAsia="Calibri"/>
              </w:rPr>
            </w:pPr>
            <w:r w:rsidRPr="006623B9">
              <w:rPr>
                <w:rFonts w:eastAsia="Calibri"/>
              </w:rPr>
              <w:t>CH</w:t>
            </w:r>
            <w:r w:rsidRPr="006623B9">
              <w:rPr>
                <w:rFonts w:eastAsia="Calibri"/>
                <w:vertAlign w:val="subscript"/>
              </w:rPr>
              <w:t>4</w:t>
            </w:r>
          </w:p>
        </w:tc>
        <w:tc>
          <w:tcPr>
            <w:tcW w:w="0" w:type="auto"/>
            <w:shd w:val="clear" w:color="auto" w:fill="FFFFFF"/>
            <w:tcMar>
              <w:top w:w="0" w:type="dxa"/>
              <w:left w:w="85" w:type="dxa"/>
              <w:bottom w:w="0" w:type="dxa"/>
              <w:right w:w="85" w:type="dxa"/>
            </w:tcMar>
            <w:vAlign w:val="center"/>
          </w:tcPr>
          <w:p w14:paraId="372C4285" w14:textId="77777777" w:rsidR="00EB5913" w:rsidRPr="006623B9" w:rsidRDefault="00EB5913" w:rsidP="00F16E23">
            <w:pPr>
              <w:pStyle w:val="TableText"/>
              <w:spacing w:before="40" w:after="40"/>
              <w:rPr>
                <w:rFonts w:eastAsia="Calibri"/>
              </w:rPr>
            </w:pPr>
            <w:r w:rsidRPr="006623B9">
              <w:rPr>
                <w:rFonts w:eastAsia="Calibri"/>
              </w:rPr>
              <w:t>T1</w:t>
            </w:r>
          </w:p>
        </w:tc>
      </w:tr>
      <w:tr w:rsidR="00EB5913" w:rsidRPr="006623B9" w14:paraId="43E02B85" w14:textId="77777777" w:rsidTr="00F16E23">
        <w:trPr>
          <w:trHeight w:val="283"/>
        </w:trPr>
        <w:tc>
          <w:tcPr>
            <w:tcW w:w="0" w:type="auto"/>
            <w:shd w:val="clear" w:color="auto" w:fill="FFFFFF"/>
            <w:tcMar>
              <w:top w:w="0" w:type="dxa"/>
              <w:left w:w="85" w:type="dxa"/>
              <w:bottom w:w="0" w:type="dxa"/>
              <w:right w:w="85" w:type="dxa"/>
            </w:tcMar>
            <w:vAlign w:val="center"/>
          </w:tcPr>
          <w:p w14:paraId="0F3F548D" w14:textId="77777777" w:rsidR="00EB5913" w:rsidRPr="006623B9" w:rsidRDefault="00EB5913" w:rsidP="00F16E23">
            <w:pPr>
              <w:pStyle w:val="TableText"/>
              <w:spacing w:before="40" w:after="40"/>
            </w:pPr>
            <w:r w:rsidRPr="006623B9">
              <w:rPr>
                <w:rFonts w:eastAsia="Calibri"/>
              </w:rPr>
              <w:t>5.D</w:t>
            </w:r>
          </w:p>
        </w:tc>
        <w:tc>
          <w:tcPr>
            <w:tcW w:w="3801" w:type="dxa"/>
            <w:shd w:val="clear" w:color="auto" w:fill="FFFFFF"/>
            <w:tcMar>
              <w:top w:w="0" w:type="dxa"/>
              <w:left w:w="85" w:type="dxa"/>
              <w:bottom w:w="0" w:type="dxa"/>
              <w:right w:w="85" w:type="dxa"/>
            </w:tcMar>
            <w:vAlign w:val="center"/>
          </w:tcPr>
          <w:p w14:paraId="0B9B6F08" w14:textId="77777777" w:rsidR="00EB5913" w:rsidRPr="006623B9" w:rsidRDefault="00EB5913" w:rsidP="00F16E23">
            <w:pPr>
              <w:pStyle w:val="TableText"/>
              <w:spacing w:before="40" w:after="40"/>
            </w:pPr>
            <w:r w:rsidRPr="006623B9">
              <w:rPr>
                <w:rFonts w:eastAsia="Calibri"/>
              </w:rPr>
              <w:t xml:space="preserve">Waste– </w:t>
            </w:r>
            <w:r w:rsidRPr="006623B9">
              <w:rPr>
                <w:rFonts w:eastAsia="Calibri"/>
                <w:i/>
              </w:rPr>
              <w:t>Wastewater treatment and discharge</w:t>
            </w:r>
          </w:p>
        </w:tc>
        <w:tc>
          <w:tcPr>
            <w:tcW w:w="768" w:type="dxa"/>
            <w:shd w:val="clear" w:color="auto" w:fill="FFFFFF"/>
            <w:tcMar>
              <w:top w:w="0" w:type="dxa"/>
              <w:left w:w="85" w:type="dxa"/>
              <w:bottom w:w="0" w:type="dxa"/>
              <w:right w:w="85" w:type="dxa"/>
            </w:tcMar>
            <w:vAlign w:val="center"/>
          </w:tcPr>
          <w:p w14:paraId="64FF3628" w14:textId="77777777" w:rsidR="00EB5913" w:rsidRPr="006623B9" w:rsidRDefault="00EB5913" w:rsidP="00F16E23">
            <w:pPr>
              <w:pStyle w:val="TableText"/>
              <w:spacing w:before="40" w:after="40"/>
            </w:pPr>
            <w:r w:rsidRPr="006623B9">
              <w:rPr>
                <w:rFonts w:eastAsia="Calibri"/>
              </w:rPr>
              <w:t>CH</w:t>
            </w:r>
            <w:r w:rsidRPr="006623B9">
              <w:rPr>
                <w:rFonts w:eastAsia="Calibri"/>
                <w:vertAlign w:val="subscript"/>
              </w:rPr>
              <w:t>4</w:t>
            </w:r>
          </w:p>
        </w:tc>
        <w:tc>
          <w:tcPr>
            <w:tcW w:w="0" w:type="auto"/>
            <w:shd w:val="clear" w:color="auto" w:fill="FFFFFF"/>
            <w:tcMar>
              <w:top w:w="0" w:type="dxa"/>
              <w:left w:w="85" w:type="dxa"/>
              <w:bottom w:w="0" w:type="dxa"/>
              <w:right w:w="85" w:type="dxa"/>
            </w:tcMar>
            <w:vAlign w:val="center"/>
          </w:tcPr>
          <w:p w14:paraId="2DCD9BD6" w14:textId="77777777" w:rsidR="00EB5913" w:rsidRPr="006623B9" w:rsidRDefault="00EB5913" w:rsidP="00F16E23">
            <w:pPr>
              <w:pStyle w:val="TableText"/>
              <w:spacing w:before="40" w:after="40"/>
            </w:pPr>
            <w:r w:rsidRPr="006623B9">
              <w:rPr>
                <w:rFonts w:eastAsia="Calibri"/>
              </w:rPr>
              <w:t>L1</w:t>
            </w:r>
          </w:p>
        </w:tc>
      </w:tr>
    </w:tbl>
    <w:p w14:paraId="09F271CD" w14:textId="77777777" w:rsidR="00EB5913" w:rsidRPr="006623B9" w:rsidRDefault="00EB5913" w:rsidP="00EB5913">
      <w:pPr>
        <w:pStyle w:val="Noteundertable"/>
      </w:pPr>
      <w:r w:rsidRPr="006623B9">
        <w:rPr>
          <w:b/>
          <w:bCs/>
        </w:rPr>
        <w:t>Note:</w:t>
      </w:r>
      <w:r w:rsidRPr="006623B9">
        <w:t xml:space="preserve"> </w:t>
      </w:r>
      <w:r w:rsidRPr="006623B9">
        <w:tab/>
        <w:t>L1 means a key category is identified under the level analysis – approach 1, and T1 is trend analysis –approach 1. See chapter 1, for more information.</w:t>
      </w:r>
    </w:p>
    <w:p w14:paraId="350468D7" w14:textId="77777777" w:rsidR="00EB5913" w:rsidRPr="006623B9" w:rsidRDefault="00EB5913" w:rsidP="00EB5913">
      <w:pPr>
        <w:pStyle w:val="Heading3"/>
      </w:pPr>
      <w:bookmarkStart w:id="2999" w:name="X3d7ebec223af44d93c735d31f59b1b4f613c843"/>
      <w:bookmarkEnd w:id="2997"/>
      <w:r w:rsidRPr="006623B9">
        <w:t xml:space="preserve">7.1.4 </w:t>
      </w:r>
      <w:r w:rsidRPr="006623B9">
        <w:tab/>
        <w:t>Methodological issues for the Waste sector</w:t>
      </w:r>
    </w:p>
    <w:p w14:paraId="0536CFC2" w14:textId="77777777" w:rsidR="00EB5913" w:rsidRPr="006623B9" w:rsidRDefault="00EB5913" w:rsidP="00EB5913">
      <w:pPr>
        <w:pStyle w:val="BodyText"/>
      </w:pPr>
      <w:r w:rsidRPr="006623B9">
        <w:t xml:space="preserve">New Zealand uses Tier 2 methodologies for estimating emissions from the </w:t>
      </w:r>
      <w:r w:rsidRPr="006623B9">
        <w:rPr>
          <w:i/>
          <w:iCs/>
        </w:rPr>
        <w:t xml:space="preserve">Solid waste disposal source </w:t>
      </w:r>
      <w:r w:rsidRPr="006623B9">
        <w:t>category, which is a key category, and for some wastewater emissions. Tier 1 methodologies are used to estimate other emissions from the Waste sector.</w:t>
      </w:r>
    </w:p>
    <w:p w14:paraId="22CCFC2D" w14:textId="77777777" w:rsidR="00EB5913" w:rsidRPr="006623B9" w:rsidRDefault="00EB5913" w:rsidP="00EB5913">
      <w:pPr>
        <w:pStyle w:val="BodyText"/>
      </w:pPr>
      <w:r w:rsidRPr="006623B9">
        <w:t xml:space="preserve">Activity data are obtained from a variety of sources. Municipal solid waste disposal data are obtained from mandatory reporting under the WMA and the NZ ETS for the years available </w:t>
      </w:r>
      <w:r w:rsidRPr="006623B9">
        <w:rPr>
          <w:spacing w:val="-2"/>
        </w:rPr>
        <w:t>(2010 onwards). Non-municipal waste disposal data are also derived from mandatory reportin</w:t>
      </w:r>
      <w:r w:rsidRPr="006623B9">
        <w:t>g under the WMA from 2022 onwards. For all other sources, activity data are collected through targeted surveys. Interpolation based on GDP or population is used for other years.</w:t>
      </w:r>
    </w:p>
    <w:p w14:paraId="2CF314C1" w14:textId="77777777" w:rsidR="00EB5913" w:rsidRPr="006623B9" w:rsidRDefault="00EB5913" w:rsidP="00EB5913">
      <w:pPr>
        <w:pStyle w:val="BodyText"/>
      </w:pPr>
      <w:r w:rsidRPr="006623B9">
        <w:t>Human population and animal production statistics provided by Stats NZ are also used for estimating emissions from the Waste sector.</w:t>
      </w:r>
    </w:p>
    <w:p w14:paraId="046FF1C1" w14:textId="77777777" w:rsidR="00EB5913" w:rsidRPr="006623B9" w:rsidRDefault="00EB5913" w:rsidP="00EB5913">
      <w:pPr>
        <w:pStyle w:val="BodyText"/>
      </w:pPr>
      <w:r w:rsidRPr="006623B9">
        <w:t>Country-specific emission factors are used where available, including parameters for municipal waste (Eunomia, unpublished(a)) and for treatment of some types of industrial wastewater (Cardno, unpublished).</w:t>
      </w:r>
    </w:p>
    <w:p w14:paraId="559A3115" w14:textId="77777777" w:rsidR="00EB5913" w:rsidRPr="006623B9" w:rsidRDefault="00EB5913" w:rsidP="00EB5913">
      <w:pPr>
        <w:pStyle w:val="BodyText"/>
      </w:pPr>
      <w:r w:rsidRPr="006623B9">
        <w:t>Specific methodological issues are discussed under each source category in this chapter.</w:t>
      </w:r>
    </w:p>
    <w:p w14:paraId="1759E6C5" w14:textId="77777777" w:rsidR="00EB5913" w:rsidRPr="006623B9" w:rsidRDefault="00EB5913" w:rsidP="00EB5913">
      <w:pPr>
        <w:pStyle w:val="Heading3"/>
      </w:pPr>
      <w:bookmarkStart w:id="3000" w:name="uncertainties"/>
      <w:bookmarkEnd w:id="2999"/>
      <w:r w:rsidRPr="006623B9">
        <w:t xml:space="preserve">7.1.5 </w:t>
      </w:r>
      <w:r w:rsidRPr="006623B9">
        <w:tab/>
        <w:t>Uncertainties</w:t>
      </w:r>
    </w:p>
    <w:p w14:paraId="6EF6DBDF" w14:textId="77777777" w:rsidR="00EB5913" w:rsidRPr="006623B9" w:rsidRDefault="00EB5913" w:rsidP="00EB5913">
      <w:pPr>
        <w:pStyle w:val="BodyText"/>
      </w:pPr>
      <w:r w:rsidRPr="006623B9">
        <w:t xml:space="preserve">The uncertainties for emission estimates are discussed under each category in this chapter. For </w:t>
      </w:r>
      <w:r w:rsidRPr="006623B9">
        <w:rPr>
          <w:spacing w:val="-2"/>
        </w:rPr>
        <w:t>most sources, they conform to the default scale of uncertainties in the 2006 Intergovernmental</w:t>
      </w:r>
      <w:r w:rsidRPr="006623B9">
        <w:t xml:space="preserve"> </w:t>
      </w:r>
      <w:r w:rsidRPr="006623B9">
        <w:rPr>
          <w:spacing w:val="-2"/>
        </w:rPr>
        <w:t>Panel on Climate Change (IPCC) Guidelines for National Greenhouse Gas Inventories (2006 IPCC Guidelines) (volume 5, Waste) (IPCC, 2006a). Higher uncertainties are reported for wastewater going into rivers and seawater due to uncertainty in the emission factors associated with indirect N</w:t>
      </w:r>
      <w:r w:rsidRPr="006623B9">
        <w:rPr>
          <w:spacing w:val="-2"/>
          <w:vertAlign w:val="subscript"/>
        </w:rPr>
        <w:t>2</w:t>
      </w:r>
      <w:r w:rsidRPr="006623B9">
        <w:rPr>
          <w:spacing w:val="-2"/>
        </w:rPr>
        <w:t>O emissions</w:t>
      </w:r>
      <w:r w:rsidRPr="006623B9">
        <w:t>.</w:t>
      </w:r>
    </w:p>
    <w:bookmarkEnd w:id="3000"/>
    <w:p w14:paraId="0F5DDEB8" w14:textId="77777777" w:rsidR="00EB5913" w:rsidRPr="006623B9" w:rsidRDefault="00EB5913" w:rsidP="00EB5913">
      <w:pPr>
        <w:pStyle w:val="Heading3"/>
      </w:pPr>
      <w:r w:rsidRPr="006623B9">
        <w:t xml:space="preserve">7.1.6 </w:t>
      </w:r>
      <w:r w:rsidRPr="006623B9">
        <w:tab/>
        <w:t>Verification</w:t>
      </w:r>
    </w:p>
    <w:p w14:paraId="1F35F11E" w14:textId="77777777" w:rsidR="00EB5913" w:rsidRPr="006623B9" w:rsidRDefault="00EB5913" w:rsidP="00EB5913">
      <w:pPr>
        <w:pStyle w:val="BodyText"/>
      </w:pPr>
      <w:r w:rsidRPr="006623B9">
        <w:t>Where available, data from different sources were used for verification. All managed and unmanaged SWDS report their activity data either monthly, quarterly or annually under the requirements of the WMA. In addition, most municipal landfills also report activity data and estimated emissions (by mass balance) under the NZ ETS. These data sources are used as primary sources or for verification, as appropriate.</w:t>
      </w:r>
    </w:p>
    <w:p w14:paraId="736FCF2E" w14:textId="77777777" w:rsidR="00EB5913" w:rsidRPr="006623B9" w:rsidRDefault="00EB5913" w:rsidP="00EB5913">
      <w:pPr>
        <w:pStyle w:val="Heading3"/>
      </w:pPr>
      <w:bookmarkStart w:id="3001" w:name="recalculations-and-improvements"/>
      <w:r w:rsidRPr="006623B9">
        <w:t xml:space="preserve">7.1.7 </w:t>
      </w:r>
      <w:r w:rsidRPr="006623B9">
        <w:tab/>
        <w:t>Recalculations and improvements</w:t>
      </w:r>
    </w:p>
    <w:p w14:paraId="236C1C43" w14:textId="77777777" w:rsidR="00EB5913" w:rsidRPr="006623B9" w:rsidRDefault="00EB5913" w:rsidP="00EB5913">
      <w:pPr>
        <w:pStyle w:val="BodyText"/>
      </w:pPr>
      <w:r w:rsidRPr="006623B9">
        <w:t>Improvements and recalculations made to estimates in the Waste sector have resulted in a 3.7 percent (106.5 kt CO</w:t>
      </w:r>
      <w:r w:rsidRPr="006623B9">
        <w:rPr>
          <w:vertAlign w:val="subscript"/>
        </w:rPr>
        <w:t>2</w:t>
      </w:r>
      <w:r w:rsidRPr="006623B9">
        <w:t>e) increase in emissions in 2023, a 1.1 percent (43.0 kt CO</w:t>
      </w:r>
      <w:r w:rsidRPr="006623B9">
        <w:rPr>
          <w:vertAlign w:val="subscript"/>
        </w:rPr>
        <w:t>2</w:t>
      </w:r>
      <w:r w:rsidRPr="006623B9">
        <w:t>e) increase in emissions in 2005 and a 1.6 percent (50.9 kt CO</w:t>
      </w:r>
      <w:r w:rsidRPr="006623B9">
        <w:rPr>
          <w:vertAlign w:val="subscript"/>
        </w:rPr>
        <w:t>2</w:t>
      </w:r>
      <w:r w:rsidRPr="006623B9">
        <w:t>e) increase in emissions in 1990. Explanations for recalculations are provided in table 7.1.3.</w:t>
      </w:r>
    </w:p>
    <w:p w14:paraId="0584F642" w14:textId="77777777" w:rsidR="00EB5913" w:rsidRPr="006623B9" w:rsidRDefault="00EB5913" w:rsidP="00EB5913">
      <w:pPr>
        <w:pStyle w:val="BodyText"/>
      </w:pPr>
      <w:r w:rsidRPr="006623B9">
        <w:t>For the 2026 submission, three source categories have undergone significant updates.</w:t>
      </w:r>
    </w:p>
    <w:p w14:paraId="58E7F321" w14:textId="77777777" w:rsidR="00EB5913" w:rsidRPr="006623B9" w:rsidRDefault="00EB5913" w:rsidP="00EB5913">
      <w:pPr>
        <w:pStyle w:val="Bullet"/>
      </w:pPr>
      <w:r w:rsidRPr="58BC805D">
        <w:rPr>
          <w:i/>
          <w:iCs/>
        </w:rPr>
        <w:t>Managed waste disposal sites</w:t>
      </w:r>
      <w:r w:rsidRPr="006623B9">
        <w:t xml:space="preserve"> (5.A.1): A methodological issue was identified in the implementation of the instantaneous gas-capture rate equation, where the calculation incorrectly estimated an absolute loss rather than a proportional loss of generated landfill gas. This has now been corrected. In addition, emission factors and model parameters </w:t>
      </w:r>
      <w:r w:rsidRPr="006623B9">
        <w:rPr>
          <w:spacing w:val="-2"/>
        </w:rPr>
        <w:t xml:space="preserve">have been updated to incorporate revised k-values in accordance with the </w:t>
      </w:r>
      <w:r w:rsidRPr="58BC805D">
        <w:rPr>
          <w:i/>
          <w:iCs/>
          <w:spacing w:val="-2"/>
        </w:rPr>
        <w:t>2019 Refinement</w:t>
      </w:r>
      <w:r w:rsidRPr="58BC805D">
        <w:rPr>
          <w:i/>
          <w:iCs/>
        </w:rPr>
        <w:t xml:space="preserve"> to the 2006 IPCC Guidelines for National Greenhouse Gas Inventories</w:t>
      </w:r>
      <w:r w:rsidRPr="006623B9">
        <w:t xml:space="preserve"> (volume 5, Waste) (2019 IPCC Refinement) (IPCC, 2019). Implementing these changes has improved the accuracy and transparency of the model.</w:t>
      </w:r>
    </w:p>
    <w:p w14:paraId="556718D2" w14:textId="77777777" w:rsidR="00EB5913" w:rsidRPr="006623B9" w:rsidRDefault="00EB5913" w:rsidP="00EB5913">
      <w:pPr>
        <w:pStyle w:val="Bullet"/>
      </w:pPr>
      <w:r w:rsidRPr="58BC805D">
        <w:rPr>
          <w:i/>
          <w:iCs/>
        </w:rPr>
        <w:t>Unmanaged waste disposal sites</w:t>
      </w:r>
      <w:r w:rsidRPr="006623B9">
        <w:t xml:space="preserve"> (5.A.2): An issue was identified in the application of decomposable degradable organic carbon (DDOC) parameters. In the model, DDOC values </w:t>
      </w:r>
      <w:r w:rsidRPr="006623B9">
        <w:rPr>
          <w:spacing w:val="-2"/>
        </w:rPr>
        <w:t>for most waste types were calculated as the product of country</w:t>
      </w:r>
      <w:r w:rsidRPr="006623B9">
        <w:rPr>
          <w:rFonts w:ascii="Cambria Math" w:hAnsi="Cambria Math" w:cs="Cambria Math"/>
          <w:spacing w:val="-2"/>
        </w:rPr>
        <w:t>‑</w:t>
      </w:r>
      <w:r w:rsidRPr="006623B9">
        <w:rPr>
          <w:spacing w:val="-2"/>
        </w:rPr>
        <w:t>specific degradable organic</w:t>
      </w:r>
      <w:r w:rsidRPr="006623B9">
        <w:t xml:space="preserve"> carbon (DOC) and fraction of degradable organic carbon (DOCf) values. However, in the model used for the 2025 inventory submission, a general DOCf value (0.5) was also applied to the waste</w:t>
      </w:r>
      <w:r w:rsidRPr="006623B9">
        <w:rPr>
          <w:rFonts w:ascii="Cambria Math" w:hAnsi="Cambria Math" w:cs="Cambria Math"/>
        </w:rPr>
        <w:t>‑</w:t>
      </w:r>
      <w:r w:rsidRPr="006623B9">
        <w:t>type</w:t>
      </w:r>
      <w:r w:rsidRPr="006623B9">
        <w:rPr>
          <w:rFonts w:ascii="Cambria Math" w:hAnsi="Cambria Math" w:cs="Cambria Math"/>
        </w:rPr>
        <w:t>‑</w:t>
      </w:r>
      <w:r w:rsidRPr="006623B9">
        <w:t>specific DDOC values, resulting in the DOCf parameter being applied twice. This error approximately halved estimated emissions from Class 2</w:t>
      </w:r>
      <w:r w:rsidRPr="006623B9">
        <w:rPr>
          <w:rFonts w:cs="Calibri"/>
        </w:rPr>
        <w:t>–</w:t>
      </w:r>
      <w:r w:rsidRPr="006623B9">
        <w:t>5 sites and monofills across the entire 1990–2023 time series. In addition, updates to DOCf values for sludge, rubber, and municipal solid waste, as well as k-values for nappies and rubber, have been implemented in accordance with the 2019 IPCC Refinement</w:t>
      </w:r>
      <w:r w:rsidRPr="58BC805D">
        <w:rPr>
          <w:i/>
          <w:iCs/>
        </w:rPr>
        <w:t xml:space="preserve"> </w:t>
      </w:r>
      <w:r w:rsidRPr="006623B9">
        <w:t>(IPCC, 2019). Correcting the model error and updating these parameters improved the accuracy, comparability and transparency of the Inventory model.</w:t>
      </w:r>
    </w:p>
    <w:p w14:paraId="6F301657" w14:textId="77777777" w:rsidR="00EB5913" w:rsidRPr="006623B9" w:rsidRDefault="00EB5913" w:rsidP="00EB5913">
      <w:pPr>
        <w:pStyle w:val="Bullet"/>
      </w:pPr>
      <w:r w:rsidRPr="006623B9">
        <w:rPr>
          <w:i/>
          <w:iCs/>
        </w:rPr>
        <w:t>Waste incineration and open burning of waste</w:t>
      </w:r>
      <w:r w:rsidRPr="006623B9">
        <w:t xml:space="preserve"> (5.C): Updates to the fossil carbon fraction (FCF), carbon fraction (CF) and oxidation factor values have been implemented, in accordance with the 2019 IPCC Refinement. In particular, the FCF value for sludge has been revised to 30 percent, as recommended by the 2019 IPCC Refinement (IPCC, 2019). These changes enhanced the accuracy and transparency of the model.</w:t>
      </w:r>
    </w:p>
    <w:p w14:paraId="22D5F095" w14:textId="77777777" w:rsidR="00EB5913" w:rsidRPr="006623B9" w:rsidRDefault="00EB5913" w:rsidP="00EB5913">
      <w:pPr>
        <w:pStyle w:val="BodyText"/>
      </w:pPr>
      <w:r w:rsidRPr="006623B9">
        <w:t>Further details can be found under methodological issues within this chapter for each source category and in chapter 10.</w:t>
      </w:r>
    </w:p>
    <w:p w14:paraId="047B4A0A" w14:textId="77777777" w:rsidR="00EB5913" w:rsidRPr="006623B9" w:rsidRDefault="00EB5913" w:rsidP="00EB5913">
      <w:pPr>
        <w:pStyle w:val="Table"/>
      </w:pPr>
      <w:bookmarkStart w:id="3002" w:name="_Toc226669096"/>
      <w:r w:rsidRPr="006623B9">
        <w:t xml:space="preserve">Table 7.1.3 </w:t>
      </w:r>
      <w:r w:rsidRPr="006623B9">
        <w:tab/>
        <w:t>Explanations and justifications for recalculations</w:t>
      </w:r>
      <w:bookmarkEnd w:id="3002"/>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92"/>
        <w:gridCol w:w="5362"/>
        <w:gridCol w:w="1240"/>
        <w:gridCol w:w="1368"/>
      </w:tblGrid>
      <w:tr w:rsidR="00EB5913" w:rsidRPr="006623B9" w14:paraId="38E28E90" w14:textId="77777777" w:rsidTr="00F16E23">
        <w:trPr>
          <w:tblHeader/>
        </w:trPr>
        <w:tc>
          <w:tcPr>
            <w:tcW w:w="0" w:type="auto"/>
            <w:shd w:val="clear" w:color="auto" w:fill="1B556B"/>
            <w:tcMar>
              <w:top w:w="0" w:type="dxa"/>
              <w:left w:w="85" w:type="dxa"/>
              <w:bottom w:w="0" w:type="dxa"/>
              <w:right w:w="85" w:type="dxa"/>
            </w:tcMar>
            <w:vAlign w:val="bottom"/>
          </w:tcPr>
          <w:p w14:paraId="08D4272C" w14:textId="77777777" w:rsidR="00EB5913" w:rsidRPr="006623B9" w:rsidRDefault="00EB5913" w:rsidP="00F16E23">
            <w:pPr>
              <w:pStyle w:val="TableTextBold"/>
              <w:rPr>
                <w:noProof w:val="0"/>
                <w:color w:val="FFFFFF" w:themeColor="background1"/>
              </w:rPr>
            </w:pPr>
            <w:r w:rsidRPr="006623B9">
              <w:rPr>
                <w:rFonts w:eastAsia="Calibri"/>
                <w:noProof w:val="0"/>
                <w:color w:val="FFFFFF" w:themeColor="background1"/>
              </w:rPr>
              <w:t>Sector</w:t>
            </w:r>
          </w:p>
        </w:tc>
        <w:tc>
          <w:tcPr>
            <w:tcW w:w="5362" w:type="dxa"/>
            <w:shd w:val="clear" w:color="auto" w:fill="1B556B"/>
            <w:tcMar>
              <w:top w:w="0" w:type="dxa"/>
              <w:left w:w="85" w:type="dxa"/>
              <w:bottom w:w="0" w:type="dxa"/>
              <w:right w:w="85" w:type="dxa"/>
            </w:tcMar>
            <w:vAlign w:val="bottom"/>
          </w:tcPr>
          <w:p w14:paraId="4DEF65AD" w14:textId="77777777" w:rsidR="00EB5913" w:rsidRPr="006623B9" w:rsidRDefault="00EB5913" w:rsidP="00F16E23">
            <w:pPr>
              <w:pStyle w:val="TableTextBold"/>
              <w:rPr>
                <w:noProof w:val="0"/>
                <w:color w:val="FFFFFF" w:themeColor="background1"/>
              </w:rPr>
            </w:pPr>
            <w:r w:rsidRPr="006623B9">
              <w:rPr>
                <w:rFonts w:eastAsia="Calibri"/>
                <w:noProof w:val="0"/>
                <w:color w:val="FFFFFF" w:themeColor="background1"/>
              </w:rPr>
              <w:t>Explanation of recalculation</w:t>
            </w:r>
          </w:p>
        </w:tc>
        <w:tc>
          <w:tcPr>
            <w:tcW w:w="1240" w:type="dxa"/>
            <w:shd w:val="clear" w:color="auto" w:fill="1B556B"/>
            <w:tcMar>
              <w:top w:w="0" w:type="dxa"/>
              <w:left w:w="85" w:type="dxa"/>
              <w:bottom w:w="0" w:type="dxa"/>
              <w:right w:w="85" w:type="dxa"/>
            </w:tcMar>
          </w:tcPr>
          <w:p w14:paraId="741C7B81" w14:textId="77777777" w:rsidR="00EB5913" w:rsidRPr="006623B9" w:rsidRDefault="00EB5913" w:rsidP="00F16E23">
            <w:pPr>
              <w:pStyle w:val="TableTextBold"/>
              <w:rPr>
                <w:noProof w:val="0"/>
                <w:color w:val="FFFFFF" w:themeColor="background1"/>
              </w:rPr>
            </w:pPr>
            <w:r w:rsidRPr="006623B9">
              <w:rPr>
                <w:rFonts w:eastAsia="Calibri"/>
                <w:noProof w:val="0"/>
                <w:color w:val="FFFFFF" w:themeColor="background1"/>
              </w:rPr>
              <w:t>Underpinning IPCC principle</w:t>
            </w:r>
          </w:p>
        </w:tc>
        <w:tc>
          <w:tcPr>
            <w:tcW w:w="0" w:type="auto"/>
            <w:shd w:val="clear" w:color="auto" w:fill="1B556B"/>
            <w:tcMar>
              <w:top w:w="0" w:type="dxa"/>
              <w:left w:w="85" w:type="dxa"/>
              <w:bottom w:w="0" w:type="dxa"/>
              <w:right w:w="85" w:type="dxa"/>
            </w:tcMar>
          </w:tcPr>
          <w:p w14:paraId="03BB0605" w14:textId="77777777" w:rsidR="00EB5913" w:rsidRPr="006623B9" w:rsidRDefault="00EB5913" w:rsidP="00F16E23">
            <w:pPr>
              <w:pStyle w:val="TableTextBold"/>
              <w:rPr>
                <w:noProof w:val="0"/>
                <w:color w:val="FFFFFF" w:themeColor="background1"/>
              </w:rPr>
            </w:pPr>
            <w:r w:rsidRPr="006623B9">
              <w:rPr>
                <w:rFonts w:eastAsia="Calibri"/>
                <w:noProof w:val="0"/>
                <w:color w:val="FFFFFF" w:themeColor="background1"/>
              </w:rPr>
              <w:t>Additional justification</w:t>
            </w:r>
          </w:p>
        </w:tc>
      </w:tr>
      <w:tr w:rsidR="00EB5913" w:rsidRPr="006623B9" w14:paraId="6DC0C491" w14:textId="77777777" w:rsidTr="00F16E23">
        <w:tc>
          <w:tcPr>
            <w:tcW w:w="0" w:type="auto"/>
            <w:shd w:val="clear" w:color="auto" w:fill="FFFFFF"/>
            <w:tcMar>
              <w:top w:w="0" w:type="dxa"/>
              <w:left w:w="85" w:type="dxa"/>
              <w:bottom w:w="0" w:type="dxa"/>
              <w:right w:w="85" w:type="dxa"/>
            </w:tcMar>
            <w:vAlign w:val="center"/>
          </w:tcPr>
          <w:p w14:paraId="6683EC3F" w14:textId="77777777" w:rsidR="00EB5913" w:rsidRPr="006623B9" w:rsidRDefault="00EB5913" w:rsidP="00F16E23">
            <w:pPr>
              <w:pStyle w:val="TableText"/>
            </w:pPr>
            <w:r w:rsidRPr="006623B9">
              <w:rPr>
                <w:rFonts w:eastAsia="Calibri"/>
              </w:rPr>
              <w:t>Waste</w:t>
            </w:r>
          </w:p>
        </w:tc>
        <w:tc>
          <w:tcPr>
            <w:tcW w:w="5362" w:type="dxa"/>
            <w:shd w:val="clear" w:color="auto" w:fill="FFFFFF"/>
            <w:tcMar>
              <w:top w:w="0" w:type="dxa"/>
              <w:left w:w="85" w:type="dxa"/>
              <w:bottom w:w="0" w:type="dxa"/>
              <w:right w:w="85" w:type="dxa"/>
            </w:tcMar>
            <w:vAlign w:val="center"/>
          </w:tcPr>
          <w:p w14:paraId="6E0B2718" w14:textId="77777777" w:rsidR="00EB5913" w:rsidRPr="006623B9" w:rsidRDefault="00EB5913" w:rsidP="00F16E23">
            <w:pPr>
              <w:pStyle w:val="TableText"/>
            </w:pPr>
            <w:r w:rsidRPr="006623B9">
              <w:rPr>
                <w:rFonts w:eastAsia="Calibri"/>
              </w:rPr>
              <w:t xml:space="preserve">Estimated emissions from </w:t>
            </w:r>
            <w:r w:rsidRPr="006623B9">
              <w:rPr>
                <w:rFonts w:eastAsia="Calibri"/>
                <w:i/>
              </w:rPr>
              <w:t>Managed waste disposal sites</w:t>
            </w:r>
            <w:r w:rsidRPr="006623B9">
              <w:rPr>
                <w:rFonts w:eastAsia="Calibri"/>
              </w:rPr>
              <w:t xml:space="preserve"> – Anaerobic (5.A.1.a) increased by 5.6 kilotonnes carbon dioxide equivalent (t CO₂e) (0.3 percent) in 1990 and decreased by 33.2 kt CO₂e (2.4 percent) in 2023. These changes result from corrections to the instantaneous gas-capture rate calculation and updates to Tier 1 defaults for half-lives (k-values) for sludge and nappies, in line with the 2019 IPCC Refinement. Previously, emissions were estimated using Tier 1 k</w:t>
            </w:r>
            <w:r w:rsidRPr="006623B9">
              <w:rPr>
                <w:rFonts w:eastAsia="Calibri"/>
              </w:rPr>
              <w:noBreakHyphen/>
              <w:t>value defaults from the 2006 Intergovernmental Panel on Climate Change (IPCC) Guidelines for National Greenhouse Gas Inventories (IPCC, 2006a).</w:t>
            </w:r>
          </w:p>
        </w:tc>
        <w:tc>
          <w:tcPr>
            <w:tcW w:w="1240" w:type="dxa"/>
            <w:shd w:val="clear" w:color="auto" w:fill="FFFFFF"/>
            <w:tcMar>
              <w:top w:w="0" w:type="dxa"/>
              <w:left w:w="85" w:type="dxa"/>
              <w:bottom w:w="0" w:type="dxa"/>
              <w:right w:w="85" w:type="dxa"/>
            </w:tcMar>
          </w:tcPr>
          <w:p w14:paraId="3CE7A760" w14:textId="77777777" w:rsidR="00EB5913" w:rsidRPr="006623B9" w:rsidRDefault="00EB5913" w:rsidP="00F16E23">
            <w:pPr>
              <w:pStyle w:val="TableText"/>
            </w:pPr>
            <w:r w:rsidRPr="006623B9">
              <w:rPr>
                <w:rFonts w:eastAsia="Calibri"/>
              </w:rPr>
              <w:t>Accuracy, comparability</w:t>
            </w:r>
          </w:p>
        </w:tc>
        <w:tc>
          <w:tcPr>
            <w:tcW w:w="0" w:type="auto"/>
            <w:shd w:val="clear" w:color="auto" w:fill="FFFFFF"/>
            <w:tcMar>
              <w:top w:w="0" w:type="dxa"/>
              <w:left w:w="85" w:type="dxa"/>
              <w:bottom w:w="0" w:type="dxa"/>
              <w:right w:w="85" w:type="dxa"/>
            </w:tcMar>
          </w:tcPr>
          <w:p w14:paraId="1E0CD7D5" w14:textId="77777777" w:rsidR="00EB5913" w:rsidRPr="006623B9" w:rsidRDefault="00EB5913" w:rsidP="00F16E23">
            <w:pPr>
              <w:pStyle w:val="TableText"/>
            </w:pPr>
            <w:r w:rsidRPr="006623B9">
              <w:rPr>
                <w:rFonts w:eastAsia="Calibri"/>
              </w:rPr>
              <w:t>Key category improvement: Solid waste disposal</w:t>
            </w:r>
          </w:p>
        </w:tc>
      </w:tr>
      <w:tr w:rsidR="00EB5913" w:rsidRPr="006623B9" w14:paraId="638A8893" w14:textId="77777777" w:rsidTr="00F16E23">
        <w:tc>
          <w:tcPr>
            <w:tcW w:w="0" w:type="auto"/>
            <w:shd w:val="clear" w:color="auto" w:fill="FFFFFF"/>
            <w:tcMar>
              <w:top w:w="0" w:type="dxa"/>
              <w:left w:w="85" w:type="dxa"/>
              <w:bottom w:w="0" w:type="dxa"/>
              <w:right w:w="85" w:type="dxa"/>
            </w:tcMar>
            <w:vAlign w:val="center"/>
          </w:tcPr>
          <w:p w14:paraId="1741E5BD" w14:textId="77777777" w:rsidR="00EB5913" w:rsidRPr="006623B9" w:rsidRDefault="00EB5913" w:rsidP="00F16E23">
            <w:pPr>
              <w:pStyle w:val="TableText"/>
            </w:pPr>
          </w:p>
        </w:tc>
        <w:tc>
          <w:tcPr>
            <w:tcW w:w="5362" w:type="dxa"/>
            <w:shd w:val="clear" w:color="auto" w:fill="FFFFFF"/>
            <w:tcMar>
              <w:top w:w="0" w:type="dxa"/>
              <w:left w:w="85" w:type="dxa"/>
              <w:bottom w:w="0" w:type="dxa"/>
              <w:right w:w="85" w:type="dxa"/>
            </w:tcMar>
            <w:vAlign w:val="center"/>
          </w:tcPr>
          <w:p w14:paraId="56174F43" w14:textId="77777777" w:rsidR="00EB5913" w:rsidRPr="006623B9" w:rsidRDefault="00EB5913" w:rsidP="00F16E23">
            <w:pPr>
              <w:pStyle w:val="TableText"/>
            </w:pPr>
            <w:r w:rsidRPr="006623B9">
              <w:rPr>
                <w:rFonts w:eastAsia="Calibri" w:cs="Calibri"/>
                <w:color w:val="000000"/>
              </w:rPr>
              <w:t xml:space="preserve">Estimated emissions from </w:t>
            </w:r>
            <w:r w:rsidRPr="006623B9">
              <w:rPr>
                <w:rFonts w:eastAsia="Calibri" w:cs="Calibri"/>
                <w:i/>
                <w:color w:val="000000"/>
              </w:rPr>
              <w:t>Unmanaged waste disposal sites</w:t>
            </w:r>
            <w:r w:rsidRPr="006623B9">
              <w:rPr>
                <w:rFonts w:eastAsia="Calibri" w:cs="Calibri"/>
                <w:color w:val="000000"/>
              </w:rPr>
              <w:t xml:space="preserve"> (5.A.2) increased by </w:t>
            </w:r>
            <w:r w:rsidRPr="006623B9">
              <w:rPr>
                <w:rFonts w:eastAsia="Calibri" w:cs="Calibri"/>
                <w:color w:val="000000"/>
                <w:spacing w:val="-2"/>
              </w:rPr>
              <w:t>72.7 kt CO₂e (89.0 percent) in 1990 and by 174.0 kt CO₂e (89.3 percent) in 2023</w:t>
            </w:r>
            <w:r w:rsidRPr="006623B9">
              <w:rPr>
                <w:rFonts w:eastAsia="Calibri" w:cs="Calibri"/>
                <w:color w:val="000000"/>
              </w:rPr>
              <w:t>. These changes result from correcting an error in the application of decomposable degradable organic carbon values, where the fraction of degradable organic carbon parameter had previously been applied twice, leading to underestimation in the 2025 submission. These also reflect the adoption of updated Tier 1 defaults for the fraction of degradable organic carbon that decomposes and k-values for sludge, nappies, and rubber, in accordance with the 2019 IPCC Refinement. Previously, emissions were estimated using Tier 1 defaults from the 2006 IPCC Guidelines (IPCC, 2006a).</w:t>
            </w:r>
          </w:p>
        </w:tc>
        <w:tc>
          <w:tcPr>
            <w:tcW w:w="1240" w:type="dxa"/>
            <w:shd w:val="clear" w:color="auto" w:fill="FFFFFF"/>
            <w:tcMar>
              <w:top w:w="0" w:type="dxa"/>
              <w:left w:w="85" w:type="dxa"/>
              <w:bottom w:w="0" w:type="dxa"/>
              <w:right w:w="85" w:type="dxa"/>
            </w:tcMar>
          </w:tcPr>
          <w:p w14:paraId="5748A1BE" w14:textId="77777777" w:rsidR="00EB5913" w:rsidRPr="006623B9" w:rsidRDefault="00EB5913" w:rsidP="00F16E23">
            <w:pPr>
              <w:pStyle w:val="TableText"/>
            </w:pPr>
            <w:r w:rsidRPr="006623B9">
              <w:rPr>
                <w:rFonts w:eastAsia="Calibri" w:cs="Calibri"/>
                <w:color w:val="000000"/>
              </w:rPr>
              <w:t>Accuracy, comparability, transparency.</w:t>
            </w:r>
          </w:p>
        </w:tc>
        <w:tc>
          <w:tcPr>
            <w:tcW w:w="0" w:type="auto"/>
            <w:shd w:val="clear" w:color="auto" w:fill="FFFFFF"/>
            <w:tcMar>
              <w:top w:w="0" w:type="dxa"/>
              <w:left w:w="85" w:type="dxa"/>
              <w:bottom w:w="0" w:type="dxa"/>
              <w:right w:w="85" w:type="dxa"/>
            </w:tcMar>
          </w:tcPr>
          <w:p w14:paraId="1871DF27" w14:textId="77777777" w:rsidR="00EB5913" w:rsidRPr="006623B9" w:rsidRDefault="00EB5913" w:rsidP="00F16E23">
            <w:pPr>
              <w:pStyle w:val="TableText"/>
            </w:pPr>
            <w:r w:rsidRPr="006623B9">
              <w:rPr>
                <w:rFonts w:eastAsia="Calibri" w:cs="Calibri"/>
                <w:color w:val="000000"/>
              </w:rPr>
              <w:t>Key category improvement: Solid waste disposal</w:t>
            </w:r>
          </w:p>
        </w:tc>
      </w:tr>
      <w:tr w:rsidR="00EB5913" w:rsidRPr="006623B9" w14:paraId="362E0456" w14:textId="77777777" w:rsidTr="00F16E23">
        <w:tc>
          <w:tcPr>
            <w:tcW w:w="0" w:type="auto"/>
            <w:shd w:val="clear" w:color="auto" w:fill="FFFFFF"/>
            <w:tcMar>
              <w:top w:w="0" w:type="dxa"/>
              <w:left w:w="85" w:type="dxa"/>
              <w:bottom w:w="0" w:type="dxa"/>
              <w:right w:w="85" w:type="dxa"/>
            </w:tcMar>
            <w:vAlign w:val="center"/>
          </w:tcPr>
          <w:p w14:paraId="54A64C16" w14:textId="77777777" w:rsidR="00EB5913" w:rsidRPr="006623B9" w:rsidRDefault="00EB5913" w:rsidP="00F16E23">
            <w:pPr>
              <w:pStyle w:val="TableText"/>
            </w:pPr>
          </w:p>
        </w:tc>
        <w:tc>
          <w:tcPr>
            <w:tcW w:w="5362" w:type="dxa"/>
            <w:shd w:val="clear" w:color="auto" w:fill="FFFFFF"/>
            <w:tcMar>
              <w:top w:w="0" w:type="dxa"/>
              <w:left w:w="85" w:type="dxa"/>
              <w:bottom w:w="0" w:type="dxa"/>
              <w:right w:w="85" w:type="dxa"/>
            </w:tcMar>
            <w:vAlign w:val="center"/>
          </w:tcPr>
          <w:p w14:paraId="0AC1DC49" w14:textId="77777777" w:rsidR="00EB5913" w:rsidRPr="006623B9" w:rsidRDefault="00EB5913" w:rsidP="00F16E23">
            <w:pPr>
              <w:pStyle w:val="TableText"/>
            </w:pPr>
            <w:r w:rsidRPr="006623B9">
              <w:rPr>
                <w:rFonts w:eastAsia="Calibri" w:cs="Calibri"/>
                <w:color w:val="000000"/>
              </w:rPr>
              <w:t xml:space="preserve">Estimated emissions from </w:t>
            </w:r>
            <w:r w:rsidRPr="006623B9">
              <w:rPr>
                <w:rFonts w:eastAsia="Calibri" w:cs="Calibri"/>
                <w:i/>
                <w:color w:val="000000"/>
              </w:rPr>
              <w:t>Unmanaged waste disposal sites – Farm fills</w:t>
            </w:r>
            <w:r w:rsidRPr="006623B9">
              <w:rPr>
                <w:rFonts w:eastAsia="Calibri" w:cs="Calibri"/>
                <w:color w:val="000000"/>
              </w:rPr>
              <w:t xml:space="preserve"> (5.A.2) decreased by 61.9 kt CO₂e (0.08 percent) in 1990 and by 49.3 kt CO₂e (0.08 percent) in 2023. These changes reflect the incorporation of previously unaccounted regional activity and compositional data, as well as the adoption of updated fossil carbon fraction and carbon fraction values in line with the 2019 Refinement to the 2006 IPCC Guidelines for National Greenhouse Gas Inventories (volume 5, Waste) (2019 IPCC Refinement) (IPCC, 2019). Previously, emissions were estimated using Tier 1 defaults from the 2006 IPCC Guidelines (IPCC, 2006a).</w:t>
            </w:r>
          </w:p>
        </w:tc>
        <w:tc>
          <w:tcPr>
            <w:tcW w:w="1240" w:type="dxa"/>
            <w:shd w:val="clear" w:color="auto" w:fill="FFFFFF"/>
            <w:tcMar>
              <w:top w:w="0" w:type="dxa"/>
              <w:left w:w="85" w:type="dxa"/>
              <w:bottom w:w="0" w:type="dxa"/>
              <w:right w:w="85" w:type="dxa"/>
            </w:tcMar>
          </w:tcPr>
          <w:p w14:paraId="4A2C8C66" w14:textId="77777777" w:rsidR="00EB5913" w:rsidRPr="006623B9" w:rsidRDefault="00EB5913" w:rsidP="00F16E23">
            <w:pPr>
              <w:pStyle w:val="TableText"/>
            </w:pPr>
            <w:r w:rsidRPr="006623B9">
              <w:rPr>
                <w:rFonts w:eastAsia="Calibri" w:cs="Calibri"/>
                <w:color w:val="000000"/>
              </w:rPr>
              <w:t>Accuracy, consistency, completeness, comparability, transparency.</w:t>
            </w:r>
          </w:p>
        </w:tc>
        <w:tc>
          <w:tcPr>
            <w:tcW w:w="0" w:type="auto"/>
            <w:shd w:val="clear" w:color="auto" w:fill="FFFFFF"/>
            <w:tcMar>
              <w:top w:w="0" w:type="dxa"/>
              <w:left w:w="85" w:type="dxa"/>
              <w:bottom w:w="0" w:type="dxa"/>
              <w:right w:w="85" w:type="dxa"/>
            </w:tcMar>
          </w:tcPr>
          <w:p w14:paraId="2A130185" w14:textId="77777777" w:rsidR="00EB5913" w:rsidRPr="006623B9" w:rsidRDefault="00EB5913" w:rsidP="00F16E23">
            <w:pPr>
              <w:pStyle w:val="TableText"/>
            </w:pPr>
            <w:r w:rsidRPr="006623B9">
              <w:rPr>
                <w:rFonts w:eastAsia="Calibri" w:cs="Calibri"/>
                <w:color w:val="000000"/>
              </w:rPr>
              <w:t>Key category improvement: Solid waste disposal</w:t>
            </w:r>
          </w:p>
        </w:tc>
      </w:tr>
      <w:tr w:rsidR="00EB5913" w:rsidRPr="006623B9" w14:paraId="73974203" w14:textId="77777777" w:rsidTr="00F16E23">
        <w:tc>
          <w:tcPr>
            <w:tcW w:w="0" w:type="auto"/>
            <w:shd w:val="clear" w:color="auto" w:fill="FFFFFF"/>
            <w:tcMar>
              <w:top w:w="0" w:type="dxa"/>
              <w:left w:w="85" w:type="dxa"/>
              <w:bottom w:w="0" w:type="dxa"/>
              <w:right w:w="85" w:type="dxa"/>
            </w:tcMar>
            <w:vAlign w:val="center"/>
          </w:tcPr>
          <w:p w14:paraId="1E6939DA" w14:textId="77777777" w:rsidR="00EB5913" w:rsidRPr="006623B9" w:rsidRDefault="00EB5913" w:rsidP="00F16E23">
            <w:pPr>
              <w:pStyle w:val="TableText"/>
            </w:pPr>
          </w:p>
        </w:tc>
        <w:tc>
          <w:tcPr>
            <w:tcW w:w="5362" w:type="dxa"/>
            <w:shd w:val="clear" w:color="auto" w:fill="FFFFFF"/>
            <w:tcMar>
              <w:top w:w="0" w:type="dxa"/>
              <w:left w:w="85" w:type="dxa"/>
              <w:bottom w:w="0" w:type="dxa"/>
              <w:right w:w="85" w:type="dxa"/>
            </w:tcMar>
            <w:vAlign w:val="center"/>
          </w:tcPr>
          <w:p w14:paraId="45DD152B" w14:textId="77777777" w:rsidR="00EB5913" w:rsidRPr="006623B9" w:rsidRDefault="00EB5913" w:rsidP="00F16E23">
            <w:pPr>
              <w:pStyle w:val="TableText"/>
            </w:pPr>
            <w:r w:rsidRPr="006623B9">
              <w:rPr>
                <w:rFonts w:eastAsia="Calibri" w:cs="Calibri"/>
                <w:color w:val="000000"/>
              </w:rPr>
              <w:t xml:space="preserve">Estimated emissions from </w:t>
            </w:r>
            <w:r w:rsidRPr="006623B9">
              <w:rPr>
                <w:rFonts w:eastAsia="Calibri" w:cs="Calibri"/>
                <w:i/>
                <w:color w:val="000000"/>
              </w:rPr>
              <w:t>Waste incineration</w:t>
            </w:r>
            <w:r w:rsidRPr="006623B9">
              <w:rPr>
                <w:rFonts w:eastAsia="Calibri" w:cs="Calibri"/>
                <w:color w:val="000000"/>
              </w:rPr>
              <w:t xml:space="preserve"> (5.C.1) decreased by 0.4 kt CO2e (2.7 percent) in 1990 and by 0.4 kt CO2e (20.5 percent) in 2023. This is due to the adoption of updated fossil carbon fraction (FCF) and carbon fraction (CF) values and is proposed, in accordance with the 2019 IPCC Refinement. Specifically, the carbon fraction (i.e. total carbon content in percentage of dry weight) for sludge has been updated to 30 percent in the 2019 IPCC Refinement (IPCC, 2019).</w:t>
            </w:r>
          </w:p>
        </w:tc>
        <w:tc>
          <w:tcPr>
            <w:tcW w:w="1240" w:type="dxa"/>
            <w:shd w:val="clear" w:color="auto" w:fill="FFFFFF"/>
            <w:tcMar>
              <w:top w:w="0" w:type="dxa"/>
              <w:left w:w="85" w:type="dxa"/>
              <w:bottom w:w="0" w:type="dxa"/>
              <w:right w:w="85" w:type="dxa"/>
            </w:tcMar>
          </w:tcPr>
          <w:p w14:paraId="4D81FC92" w14:textId="77777777" w:rsidR="00EB5913" w:rsidRPr="006623B9" w:rsidRDefault="00EB5913" w:rsidP="00F16E23">
            <w:pPr>
              <w:pStyle w:val="TableText"/>
            </w:pPr>
            <w:r w:rsidRPr="006623B9">
              <w:rPr>
                <w:rFonts w:eastAsia="Calibri" w:cs="Calibri"/>
                <w:color w:val="000000"/>
              </w:rPr>
              <w:t>Accuracy, comparability</w:t>
            </w:r>
          </w:p>
        </w:tc>
        <w:tc>
          <w:tcPr>
            <w:tcW w:w="0" w:type="auto"/>
            <w:shd w:val="clear" w:color="auto" w:fill="FFFFFF"/>
            <w:tcMar>
              <w:top w:w="0" w:type="dxa"/>
              <w:left w:w="85" w:type="dxa"/>
              <w:bottom w:w="0" w:type="dxa"/>
              <w:right w:w="85" w:type="dxa"/>
            </w:tcMar>
          </w:tcPr>
          <w:p w14:paraId="0EC340BD" w14:textId="77777777" w:rsidR="00EB5913" w:rsidRPr="006623B9" w:rsidRDefault="00EB5913" w:rsidP="00F16E23">
            <w:pPr>
              <w:pStyle w:val="TableText"/>
            </w:pPr>
          </w:p>
        </w:tc>
      </w:tr>
      <w:tr w:rsidR="00EB5913" w:rsidRPr="006623B9" w14:paraId="7C0787C1" w14:textId="77777777" w:rsidTr="00F16E23">
        <w:tc>
          <w:tcPr>
            <w:tcW w:w="0" w:type="auto"/>
            <w:shd w:val="clear" w:color="auto" w:fill="FFFFFF"/>
            <w:tcMar>
              <w:top w:w="0" w:type="dxa"/>
              <w:left w:w="85" w:type="dxa"/>
              <w:bottom w:w="0" w:type="dxa"/>
              <w:right w:w="85" w:type="dxa"/>
            </w:tcMar>
            <w:vAlign w:val="center"/>
          </w:tcPr>
          <w:p w14:paraId="0CCC6581" w14:textId="77777777" w:rsidR="00EB5913" w:rsidRPr="006623B9" w:rsidRDefault="00EB5913" w:rsidP="00F16E23">
            <w:pPr>
              <w:pStyle w:val="TableText"/>
            </w:pPr>
          </w:p>
        </w:tc>
        <w:tc>
          <w:tcPr>
            <w:tcW w:w="5362" w:type="dxa"/>
            <w:shd w:val="clear" w:color="auto" w:fill="FFFFFF"/>
            <w:tcMar>
              <w:top w:w="0" w:type="dxa"/>
              <w:left w:w="85" w:type="dxa"/>
              <w:bottom w:w="0" w:type="dxa"/>
              <w:right w:w="85" w:type="dxa"/>
            </w:tcMar>
            <w:vAlign w:val="center"/>
          </w:tcPr>
          <w:p w14:paraId="185EB572" w14:textId="77777777" w:rsidR="00EB5913" w:rsidRPr="006623B9" w:rsidRDefault="00EB5913" w:rsidP="00F16E23">
            <w:pPr>
              <w:pStyle w:val="TableText"/>
            </w:pPr>
            <w:r w:rsidRPr="006623B9">
              <w:rPr>
                <w:rFonts w:eastAsia="Calibri" w:cs="Calibri"/>
                <w:color w:val="000000"/>
              </w:rPr>
              <w:t xml:space="preserve">Estimated emissions from </w:t>
            </w:r>
            <w:r w:rsidRPr="006623B9">
              <w:rPr>
                <w:rFonts w:eastAsia="Calibri" w:cs="Calibri"/>
                <w:i/>
                <w:color w:val="000000"/>
              </w:rPr>
              <w:t>Open burning of waste</w:t>
            </w:r>
            <w:r w:rsidRPr="006623B9">
              <w:rPr>
                <w:rFonts w:eastAsia="Calibri" w:cs="Calibri"/>
                <w:color w:val="000000"/>
              </w:rPr>
              <w:t xml:space="preserve"> (5.C.2) increased by 31.6 kt CO₂e (0.1 percent) in 1990 and by 18.1 kt CO₂e (0.1 percent) in 2023. These changes reflect the adoption of an updated oxidation factor for carbon dioxide in accordance with the 2019 IPCC Refinement. Previously, emissions were estimated using the oxidation factor value from the 2006 IPCC Guidelines (IPCC, 2006a).</w:t>
            </w:r>
          </w:p>
        </w:tc>
        <w:tc>
          <w:tcPr>
            <w:tcW w:w="1240" w:type="dxa"/>
            <w:shd w:val="clear" w:color="auto" w:fill="FFFFFF"/>
            <w:tcMar>
              <w:top w:w="0" w:type="dxa"/>
              <w:left w:w="85" w:type="dxa"/>
              <w:bottom w:w="0" w:type="dxa"/>
              <w:right w:w="85" w:type="dxa"/>
            </w:tcMar>
          </w:tcPr>
          <w:p w14:paraId="04639702" w14:textId="77777777" w:rsidR="00EB5913" w:rsidRPr="006623B9" w:rsidRDefault="00EB5913" w:rsidP="00F16E23">
            <w:pPr>
              <w:pStyle w:val="TableText"/>
            </w:pPr>
            <w:r w:rsidRPr="006623B9">
              <w:rPr>
                <w:rFonts w:eastAsia="Calibri" w:cs="Calibri"/>
                <w:color w:val="000000"/>
              </w:rPr>
              <w:t>Accuracy, comparability</w:t>
            </w:r>
          </w:p>
        </w:tc>
        <w:tc>
          <w:tcPr>
            <w:tcW w:w="0" w:type="auto"/>
            <w:shd w:val="clear" w:color="auto" w:fill="FFFFFF"/>
            <w:tcMar>
              <w:top w:w="0" w:type="dxa"/>
              <w:left w:w="85" w:type="dxa"/>
              <w:bottom w:w="0" w:type="dxa"/>
              <w:right w:w="85" w:type="dxa"/>
            </w:tcMar>
          </w:tcPr>
          <w:p w14:paraId="7BA4CADD" w14:textId="77777777" w:rsidR="00EB5913" w:rsidRPr="006623B9" w:rsidRDefault="00EB5913" w:rsidP="00F16E23">
            <w:pPr>
              <w:pStyle w:val="TableText"/>
            </w:pPr>
          </w:p>
        </w:tc>
      </w:tr>
    </w:tbl>
    <w:p w14:paraId="47EFE08A" w14:textId="77777777" w:rsidR="00EB5913" w:rsidRPr="006623B9" w:rsidRDefault="00EB5913" w:rsidP="00EB5913">
      <w:pPr>
        <w:pStyle w:val="Heading3"/>
        <w:spacing w:before="440"/>
      </w:pPr>
      <w:bookmarkStart w:id="3003" w:name="X1f698cc084c84463889f5fff1260c8c66d2e4cc"/>
      <w:bookmarkEnd w:id="3001"/>
      <w:r w:rsidRPr="006623B9">
        <w:t xml:space="preserve">7.1.8 </w:t>
      </w:r>
      <w:r w:rsidRPr="006623B9">
        <w:tab/>
        <w:t>Quality-assurance/quality-control (QA/QC) processes</w:t>
      </w:r>
    </w:p>
    <w:p w14:paraId="5885D77D" w14:textId="77777777" w:rsidR="00EB5913" w:rsidRPr="006623B9" w:rsidRDefault="00EB5913" w:rsidP="00EB5913">
      <w:pPr>
        <w:pStyle w:val="BodyText"/>
      </w:pPr>
      <w:r w:rsidRPr="006623B9">
        <w:t>Figure 7.1.4 shows a flow diagram for data in the Waste sector, including quality-assurance and quality-control processes. Tier 1 quality checks were carried out on all data for key categories in this sector.</w:t>
      </w:r>
    </w:p>
    <w:p w14:paraId="21A8A995" w14:textId="77777777" w:rsidR="00EB5913" w:rsidRPr="006623B9" w:rsidRDefault="00EB5913" w:rsidP="00EB5913">
      <w:pPr>
        <w:pStyle w:val="Figure"/>
      </w:pPr>
      <w:bookmarkStart w:id="3004" w:name="_Toc226200708"/>
      <w:r w:rsidRPr="006623B9">
        <w:t xml:space="preserve">Figure 7.1.4 </w:t>
      </w:r>
      <w:r w:rsidRPr="006623B9">
        <w:tab/>
        <w:t>Tier 1 quality checks for the Waste sector</w:t>
      </w:r>
      <w:bookmarkEnd w:id="3004"/>
    </w:p>
    <w:p w14:paraId="5E7E846E" w14:textId="77777777" w:rsidR="00EB5913" w:rsidRPr="006623B9" w:rsidRDefault="00EB5913" w:rsidP="00EB5913">
      <w:pPr>
        <w:pStyle w:val="BodyText"/>
        <w:jc w:val="center"/>
      </w:pPr>
      <w:r w:rsidRPr="006623B9">
        <w:rPr>
          <w:noProof/>
        </w:rPr>
        <w:drawing>
          <wp:inline distT="0" distB="0" distL="0" distR="0" wp14:anchorId="7708DE3B" wp14:editId="2A426403">
            <wp:extent cx="4451350" cy="2965450"/>
            <wp:effectExtent l="0" t="0" r="6350" b="6350"/>
            <wp:docPr id="41" name="Picture"/>
            <wp:cNvGraphicFramePr/>
            <a:graphic xmlns:a="http://schemas.openxmlformats.org/drawingml/2006/main">
              <a:graphicData uri="http://schemas.openxmlformats.org/drawingml/2006/picture">
                <pic:pic xmlns:pic="http://schemas.openxmlformats.org/drawingml/2006/picture">
                  <pic:nvPicPr>
                    <pic:cNvPr id="42" name="Picture" descr="images/fig_7_1_4.png"/>
                    <pic:cNvPicPr>
                      <a:picLocks noChangeAspect="1" noChangeArrowheads="1"/>
                    </pic:cNvPicPr>
                  </pic:nvPicPr>
                  <pic:blipFill>
                    <a:blip r:embed="rId246"/>
                    <a:stretch>
                      <a:fillRect/>
                    </a:stretch>
                  </pic:blipFill>
                  <pic:spPr bwMode="auto">
                    <a:xfrm>
                      <a:off x="0" y="0"/>
                      <a:ext cx="4451607" cy="2965621"/>
                    </a:xfrm>
                    <a:prstGeom prst="rect">
                      <a:avLst/>
                    </a:prstGeom>
                    <a:noFill/>
                    <a:ln w="9525">
                      <a:noFill/>
                      <a:headEnd/>
                      <a:tailEnd/>
                    </a:ln>
                  </pic:spPr>
                </pic:pic>
              </a:graphicData>
            </a:graphic>
          </wp:inline>
        </w:drawing>
      </w:r>
    </w:p>
    <w:p w14:paraId="36AB5EDB" w14:textId="77777777" w:rsidR="00EB5913" w:rsidRPr="006623B9" w:rsidRDefault="00EB5913" w:rsidP="00EB5913">
      <w:pPr>
        <w:pStyle w:val="Noteundertable"/>
      </w:pPr>
      <w:r w:rsidRPr="006623B9">
        <w:rPr>
          <w:b/>
          <w:bCs/>
        </w:rPr>
        <w:t>Note:</w:t>
      </w:r>
      <w:r w:rsidRPr="006623B9">
        <w:t xml:space="preserve"> IPCC = Intergovernmental Panel on Climate Change.</w:t>
      </w:r>
    </w:p>
    <w:bookmarkEnd w:id="3003"/>
    <w:p w14:paraId="6762CACD" w14:textId="77777777" w:rsidR="00EB5913" w:rsidRPr="006623B9" w:rsidRDefault="00EB5913" w:rsidP="00EB5913">
      <w:pPr>
        <w:pStyle w:val="Heading3"/>
      </w:pPr>
      <w:r w:rsidRPr="006623B9">
        <w:t xml:space="preserve">7.1.9 </w:t>
      </w:r>
      <w:r w:rsidRPr="006623B9">
        <w:tab/>
        <w:t>Information on completeness</w:t>
      </w:r>
    </w:p>
    <w:p w14:paraId="540B131B" w14:textId="77777777" w:rsidR="00EB5913" w:rsidRPr="006623B9" w:rsidRDefault="00EB5913" w:rsidP="00EB5913">
      <w:pPr>
        <w:pStyle w:val="Heading4"/>
        <w:spacing w:before="180"/>
      </w:pPr>
      <w:bookmarkStart w:id="3005" w:name="X3c0a984798140f1a8776a5af64fe47d7b68809f"/>
      <w:r w:rsidRPr="006623B9">
        <w:t>Emissions reported as ‘NE’ or ‘not estimated’</w:t>
      </w:r>
    </w:p>
    <w:p w14:paraId="47E8DD95" w14:textId="77777777" w:rsidR="00EB5913" w:rsidRPr="006623B9" w:rsidRDefault="00EB5913" w:rsidP="00EB5913">
      <w:pPr>
        <w:pStyle w:val="BodyText"/>
        <w:spacing w:before="80" w:after="100"/>
      </w:pPr>
      <w:r w:rsidRPr="006623B9">
        <w:t>Table 7.1.4 summarises New Zealand’s direct greenhouse gas emissions for the Waste sector reported as ‘NE’ in the 2026 submission.</w:t>
      </w:r>
    </w:p>
    <w:p w14:paraId="4B8970C0" w14:textId="77777777" w:rsidR="00EB5913" w:rsidRPr="006623B9" w:rsidRDefault="00EB5913" w:rsidP="00EB5913">
      <w:pPr>
        <w:pStyle w:val="Table"/>
      </w:pPr>
      <w:bookmarkStart w:id="3006" w:name="_Toc226669097"/>
      <w:r w:rsidRPr="006623B9">
        <w:t xml:space="preserve">Table 7.1.4 </w:t>
      </w:r>
      <w:r w:rsidRPr="006623B9">
        <w:tab/>
        <w:t xml:space="preserve">Summary of ‘NE’ or ‘not estimated’ entries for the Waste sector in the </w:t>
      </w:r>
      <w:r w:rsidRPr="006623B9">
        <w:rPr>
          <w:bCs/>
        </w:rPr>
        <w:t>2026</w:t>
      </w:r>
      <w:r w:rsidRPr="006623B9">
        <w:t xml:space="preserve"> submission</w:t>
      </w:r>
      <w:bookmarkEnd w:id="3006"/>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134"/>
        <w:gridCol w:w="954"/>
        <w:gridCol w:w="1314"/>
        <w:gridCol w:w="5160"/>
      </w:tblGrid>
      <w:tr w:rsidR="00EB5913" w:rsidRPr="006623B9" w14:paraId="76F53B03" w14:textId="77777777" w:rsidTr="00F16E23">
        <w:trPr>
          <w:tblHeader/>
        </w:trPr>
        <w:tc>
          <w:tcPr>
            <w:tcW w:w="1134" w:type="dxa"/>
            <w:shd w:val="clear" w:color="auto" w:fill="1B556B"/>
            <w:tcMar>
              <w:top w:w="0" w:type="dxa"/>
              <w:left w:w="85" w:type="dxa"/>
              <w:bottom w:w="0" w:type="dxa"/>
              <w:right w:w="85" w:type="dxa"/>
            </w:tcMar>
            <w:vAlign w:val="bottom"/>
          </w:tcPr>
          <w:p w14:paraId="72B7447F"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CRT category code</w:t>
            </w:r>
          </w:p>
        </w:tc>
        <w:tc>
          <w:tcPr>
            <w:tcW w:w="954" w:type="dxa"/>
            <w:shd w:val="clear" w:color="auto" w:fill="1B556B"/>
            <w:tcMar>
              <w:top w:w="0" w:type="dxa"/>
              <w:left w:w="85" w:type="dxa"/>
              <w:bottom w:w="0" w:type="dxa"/>
              <w:right w:w="85" w:type="dxa"/>
            </w:tcMar>
            <w:vAlign w:val="bottom"/>
          </w:tcPr>
          <w:p w14:paraId="7BCBB8AA"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Category</w:t>
            </w:r>
          </w:p>
        </w:tc>
        <w:tc>
          <w:tcPr>
            <w:tcW w:w="1314" w:type="dxa"/>
            <w:shd w:val="clear" w:color="auto" w:fill="1B556B"/>
            <w:tcMar>
              <w:top w:w="0" w:type="dxa"/>
              <w:left w:w="85" w:type="dxa"/>
              <w:bottom w:w="0" w:type="dxa"/>
              <w:right w:w="85" w:type="dxa"/>
            </w:tcMar>
            <w:vAlign w:val="bottom"/>
          </w:tcPr>
          <w:p w14:paraId="51784DC3"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Gas</w:t>
            </w:r>
          </w:p>
        </w:tc>
        <w:tc>
          <w:tcPr>
            <w:tcW w:w="5160" w:type="dxa"/>
            <w:shd w:val="clear" w:color="auto" w:fill="1B556B"/>
            <w:tcMar>
              <w:top w:w="0" w:type="dxa"/>
              <w:left w:w="85" w:type="dxa"/>
              <w:bottom w:w="0" w:type="dxa"/>
              <w:right w:w="85" w:type="dxa"/>
            </w:tcMar>
            <w:vAlign w:val="bottom"/>
          </w:tcPr>
          <w:p w14:paraId="0F4C235C"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Explanation</w:t>
            </w:r>
          </w:p>
        </w:tc>
      </w:tr>
      <w:tr w:rsidR="00EB5913" w:rsidRPr="006623B9" w14:paraId="1E0D0D41" w14:textId="77777777" w:rsidTr="00F16E23">
        <w:tc>
          <w:tcPr>
            <w:tcW w:w="1134" w:type="dxa"/>
            <w:shd w:val="clear" w:color="auto" w:fill="FFFFFF"/>
            <w:tcMar>
              <w:top w:w="0" w:type="dxa"/>
              <w:left w:w="85" w:type="dxa"/>
              <w:bottom w:w="0" w:type="dxa"/>
              <w:right w:w="85" w:type="dxa"/>
            </w:tcMar>
            <w:vAlign w:val="center"/>
          </w:tcPr>
          <w:p w14:paraId="38E5E3F1" w14:textId="77777777" w:rsidR="00EB5913" w:rsidRPr="006623B9" w:rsidRDefault="00EB5913" w:rsidP="00F16E23">
            <w:pPr>
              <w:pStyle w:val="TableText"/>
              <w:spacing w:before="30" w:after="30"/>
              <w:rPr>
                <w:b/>
                <w:bCs/>
              </w:rPr>
            </w:pPr>
            <w:r w:rsidRPr="006623B9">
              <w:rPr>
                <w:rFonts w:eastAsia="Calibri"/>
                <w:b/>
                <w:bCs/>
              </w:rPr>
              <w:t>Waste</w:t>
            </w:r>
          </w:p>
        </w:tc>
        <w:tc>
          <w:tcPr>
            <w:tcW w:w="954" w:type="dxa"/>
            <w:shd w:val="clear" w:color="auto" w:fill="FFFFFF"/>
            <w:tcMar>
              <w:top w:w="0" w:type="dxa"/>
              <w:left w:w="85" w:type="dxa"/>
              <w:bottom w:w="0" w:type="dxa"/>
              <w:right w:w="85" w:type="dxa"/>
            </w:tcMar>
            <w:vAlign w:val="center"/>
          </w:tcPr>
          <w:p w14:paraId="66666625" w14:textId="77777777" w:rsidR="00EB5913" w:rsidRPr="006623B9" w:rsidRDefault="00EB5913" w:rsidP="00F16E23">
            <w:pPr>
              <w:pStyle w:val="TableText"/>
              <w:spacing w:before="30" w:after="30"/>
            </w:pPr>
          </w:p>
        </w:tc>
        <w:tc>
          <w:tcPr>
            <w:tcW w:w="1314" w:type="dxa"/>
            <w:shd w:val="clear" w:color="auto" w:fill="FFFFFF"/>
            <w:tcMar>
              <w:top w:w="0" w:type="dxa"/>
              <w:left w:w="85" w:type="dxa"/>
              <w:bottom w:w="0" w:type="dxa"/>
              <w:right w:w="85" w:type="dxa"/>
            </w:tcMar>
            <w:vAlign w:val="center"/>
          </w:tcPr>
          <w:p w14:paraId="0169923B" w14:textId="77777777" w:rsidR="00EB5913" w:rsidRPr="006623B9" w:rsidRDefault="00EB5913" w:rsidP="00F16E23">
            <w:pPr>
              <w:pStyle w:val="TableText"/>
              <w:spacing w:before="30" w:after="30"/>
            </w:pPr>
          </w:p>
        </w:tc>
        <w:tc>
          <w:tcPr>
            <w:tcW w:w="5160" w:type="dxa"/>
            <w:shd w:val="clear" w:color="auto" w:fill="FFFFFF"/>
            <w:tcMar>
              <w:top w:w="0" w:type="dxa"/>
              <w:left w:w="85" w:type="dxa"/>
              <w:bottom w:w="0" w:type="dxa"/>
              <w:right w:w="85" w:type="dxa"/>
            </w:tcMar>
            <w:vAlign w:val="center"/>
          </w:tcPr>
          <w:p w14:paraId="4A1B8D6B" w14:textId="77777777" w:rsidR="00EB5913" w:rsidRPr="006623B9" w:rsidRDefault="00EB5913" w:rsidP="00F16E23">
            <w:pPr>
              <w:pStyle w:val="TableText"/>
              <w:spacing w:before="30" w:after="30"/>
            </w:pPr>
          </w:p>
        </w:tc>
      </w:tr>
      <w:tr w:rsidR="00EB5913" w:rsidRPr="006623B9" w14:paraId="2ADAF4E7" w14:textId="77777777" w:rsidTr="00F16E23">
        <w:tc>
          <w:tcPr>
            <w:tcW w:w="1134" w:type="dxa"/>
            <w:shd w:val="clear" w:color="auto" w:fill="FFFFFF"/>
            <w:tcMar>
              <w:top w:w="0" w:type="dxa"/>
              <w:left w:w="85" w:type="dxa"/>
              <w:bottom w:w="0" w:type="dxa"/>
              <w:right w:w="85" w:type="dxa"/>
            </w:tcMar>
            <w:vAlign w:val="center"/>
          </w:tcPr>
          <w:p w14:paraId="75C22B36" w14:textId="77777777" w:rsidR="00EB5913" w:rsidRPr="006623B9" w:rsidRDefault="00EB5913" w:rsidP="00F16E23">
            <w:pPr>
              <w:pStyle w:val="TableText"/>
              <w:spacing w:before="30" w:after="30"/>
            </w:pPr>
            <w:r w:rsidRPr="006623B9">
              <w:rPr>
                <w:rFonts w:eastAsia="Calibri"/>
              </w:rPr>
              <w:t>5.B.2.a</w:t>
            </w:r>
          </w:p>
        </w:tc>
        <w:tc>
          <w:tcPr>
            <w:tcW w:w="954" w:type="dxa"/>
            <w:shd w:val="clear" w:color="auto" w:fill="FFFFFF"/>
            <w:tcMar>
              <w:top w:w="0" w:type="dxa"/>
              <w:left w:w="85" w:type="dxa"/>
              <w:bottom w:w="0" w:type="dxa"/>
              <w:right w:w="85" w:type="dxa"/>
            </w:tcMar>
            <w:vAlign w:val="center"/>
          </w:tcPr>
          <w:p w14:paraId="3500A417" w14:textId="77777777" w:rsidR="00EB5913" w:rsidRPr="006623B9" w:rsidRDefault="00EB5913" w:rsidP="00F16E23">
            <w:pPr>
              <w:pStyle w:val="TableText"/>
              <w:spacing w:before="30" w:after="30"/>
            </w:pPr>
            <w:r w:rsidRPr="006623B9">
              <w:rPr>
                <w:rFonts w:eastAsia="Calibri"/>
                <w:i/>
              </w:rPr>
              <w:t>Anaerobic digestion at biogas facilities</w:t>
            </w:r>
          </w:p>
        </w:tc>
        <w:tc>
          <w:tcPr>
            <w:tcW w:w="1314" w:type="dxa"/>
            <w:shd w:val="clear" w:color="auto" w:fill="FFFFFF"/>
            <w:tcMar>
              <w:top w:w="0" w:type="dxa"/>
              <w:left w:w="85" w:type="dxa"/>
              <w:bottom w:w="0" w:type="dxa"/>
              <w:right w:w="85" w:type="dxa"/>
            </w:tcMar>
            <w:vAlign w:val="center"/>
          </w:tcPr>
          <w:p w14:paraId="74A3C85D" w14:textId="77777777" w:rsidR="00EB5913" w:rsidRPr="006623B9" w:rsidRDefault="00EB5913" w:rsidP="00F16E23">
            <w:pPr>
              <w:pStyle w:val="TableText"/>
              <w:spacing w:before="30" w:after="30"/>
            </w:pPr>
            <w:r w:rsidRPr="006623B9">
              <w:rPr>
                <w:rFonts w:eastAsia="Calibri"/>
              </w:rPr>
              <w:t>N₂O, amount of CH₄ flared and for energy recovery</w:t>
            </w:r>
          </w:p>
        </w:tc>
        <w:tc>
          <w:tcPr>
            <w:tcW w:w="5160" w:type="dxa"/>
            <w:shd w:val="clear" w:color="auto" w:fill="FFFFFF"/>
            <w:tcMar>
              <w:top w:w="0" w:type="dxa"/>
              <w:left w:w="85" w:type="dxa"/>
              <w:bottom w:w="0" w:type="dxa"/>
              <w:right w:w="85" w:type="dxa"/>
            </w:tcMar>
            <w:vAlign w:val="center"/>
          </w:tcPr>
          <w:p w14:paraId="4A4A98F6" w14:textId="6CF6F900" w:rsidR="00EB5913" w:rsidRPr="006623B9" w:rsidRDefault="00EB5913" w:rsidP="00F16E23">
            <w:pPr>
              <w:pStyle w:val="TableText"/>
              <w:spacing w:before="30" w:after="30"/>
            </w:pPr>
            <w:r w:rsidRPr="006623B9">
              <w:rPr>
                <w:rFonts w:eastAsia="Calibri"/>
              </w:rPr>
              <w:t>In October 2022, New Zealand’s first large-scale anaerobic digestion plant began operations, with the capacity to process up to 75,000 tonnes of food scraps annually. Methane (CH₄) that is flared does not contribute to New</w:t>
            </w:r>
            <w:r w:rsidR="00966CBA">
              <w:rPr>
                <w:rFonts w:eastAsia="Calibri"/>
              </w:rPr>
              <w:t> </w:t>
            </w:r>
            <w:r w:rsidRPr="006623B9">
              <w:rPr>
                <w:rFonts w:eastAsia="Calibri"/>
              </w:rPr>
              <w:t>Zealand’s total greenhouse gas emissions, because it is converted to biogenic carbon dioxide (CO₂). Nitrous oxide (N₂O) emissions are considered negligible, in accordance with section 4.1.1 and table 4.1 of the 2006 Intergovernmental Panel on Climate Change (IPCC) Guidelines (IPCC, 2006a). Data on energy recovery is unavailable due to commercial sensitivity.</w:t>
            </w:r>
          </w:p>
        </w:tc>
      </w:tr>
      <w:tr w:rsidR="00EB5913" w:rsidRPr="006623B9" w14:paraId="5B1831F6" w14:textId="77777777" w:rsidTr="00F16E23">
        <w:tc>
          <w:tcPr>
            <w:tcW w:w="1134" w:type="dxa"/>
            <w:shd w:val="clear" w:color="auto" w:fill="FFFFFF"/>
            <w:tcMar>
              <w:top w:w="0" w:type="dxa"/>
              <w:left w:w="85" w:type="dxa"/>
              <w:bottom w:w="0" w:type="dxa"/>
              <w:right w:w="85" w:type="dxa"/>
            </w:tcMar>
            <w:vAlign w:val="center"/>
          </w:tcPr>
          <w:p w14:paraId="2CF20C19" w14:textId="77777777" w:rsidR="00EB5913" w:rsidRPr="006623B9" w:rsidRDefault="00EB5913" w:rsidP="00F16E23">
            <w:pPr>
              <w:pStyle w:val="TableText"/>
              <w:spacing w:before="30" w:after="30"/>
            </w:pPr>
            <w:r w:rsidRPr="006623B9">
              <w:rPr>
                <w:rFonts w:eastAsia="Calibri"/>
              </w:rPr>
              <w:t>5.C.1.2.a</w:t>
            </w:r>
          </w:p>
        </w:tc>
        <w:tc>
          <w:tcPr>
            <w:tcW w:w="954" w:type="dxa"/>
            <w:shd w:val="clear" w:color="auto" w:fill="FFFFFF"/>
            <w:tcMar>
              <w:top w:w="0" w:type="dxa"/>
              <w:left w:w="85" w:type="dxa"/>
              <w:bottom w:w="0" w:type="dxa"/>
              <w:right w:w="85" w:type="dxa"/>
            </w:tcMar>
            <w:vAlign w:val="center"/>
          </w:tcPr>
          <w:p w14:paraId="5CC6EE2D" w14:textId="77777777" w:rsidR="00EB5913" w:rsidRPr="006623B9" w:rsidRDefault="00EB5913" w:rsidP="00F16E23">
            <w:pPr>
              <w:pStyle w:val="TableText"/>
              <w:spacing w:before="30" w:after="30"/>
            </w:pPr>
            <w:r w:rsidRPr="006623B9">
              <w:rPr>
                <w:rFonts w:eastAsia="Calibri"/>
                <w:i/>
              </w:rPr>
              <w:t>Waste incineration</w:t>
            </w:r>
          </w:p>
        </w:tc>
        <w:tc>
          <w:tcPr>
            <w:tcW w:w="1314" w:type="dxa"/>
            <w:shd w:val="clear" w:color="auto" w:fill="FFFFFF"/>
            <w:tcMar>
              <w:top w:w="0" w:type="dxa"/>
              <w:left w:w="85" w:type="dxa"/>
              <w:bottom w:w="0" w:type="dxa"/>
              <w:right w:w="85" w:type="dxa"/>
            </w:tcMar>
            <w:vAlign w:val="center"/>
          </w:tcPr>
          <w:p w14:paraId="56AC1F0B" w14:textId="77777777" w:rsidR="00EB5913" w:rsidRPr="006623B9" w:rsidRDefault="00EB5913" w:rsidP="00F16E23">
            <w:pPr>
              <w:pStyle w:val="TableText"/>
              <w:spacing w:before="30" w:after="30"/>
            </w:pPr>
            <w:r w:rsidRPr="006623B9">
              <w:rPr>
                <w:rFonts w:eastAsia="Calibri"/>
              </w:rPr>
              <w:t>CO₂, CH₄ and N₂O</w:t>
            </w:r>
          </w:p>
        </w:tc>
        <w:tc>
          <w:tcPr>
            <w:tcW w:w="5160" w:type="dxa"/>
            <w:shd w:val="clear" w:color="auto" w:fill="FFFFFF"/>
            <w:tcMar>
              <w:top w:w="0" w:type="dxa"/>
              <w:left w:w="85" w:type="dxa"/>
              <w:bottom w:w="0" w:type="dxa"/>
              <w:right w:w="85" w:type="dxa"/>
            </w:tcMar>
            <w:vAlign w:val="center"/>
          </w:tcPr>
          <w:p w14:paraId="242FDC03" w14:textId="77777777" w:rsidR="00EB5913" w:rsidRPr="006623B9" w:rsidRDefault="00EB5913" w:rsidP="00F16E23">
            <w:pPr>
              <w:pStyle w:val="TableText"/>
              <w:spacing w:before="30" w:after="30"/>
            </w:pPr>
            <w:r w:rsidRPr="006623B9">
              <w:rPr>
                <w:rFonts w:eastAsia="Calibri"/>
              </w:rPr>
              <w:t>In accordance with chapter II of the Annex to the decision 18/CMA.1 (UNFCCC, 2018), this category is not mandatory. Around 100 to 200 rural schools in New Zealand still incinerate their waste production. Emissions are not estimated because New Zealand does not have sufficient information regarding the practice of incinerating waste in schools.</w:t>
            </w:r>
          </w:p>
        </w:tc>
      </w:tr>
      <w:tr w:rsidR="00EB5913" w:rsidRPr="006623B9" w14:paraId="4F352331" w14:textId="77777777" w:rsidTr="00F16E23">
        <w:tc>
          <w:tcPr>
            <w:tcW w:w="1134" w:type="dxa"/>
            <w:shd w:val="clear" w:color="auto" w:fill="FFFFFF"/>
            <w:tcMar>
              <w:top w:w="0" w:type="dxa"/>
              <w:left w:w="85" w:type="dxa"/>
              <w:bottom w:w="0" w:type="dxa"/>
              <w:right w:w="85" w:type="dxa"/>
            </w:tcMar>
            <w:vAlign w:val="center"/>
          </w:tcPr>
          <w:p w14:paraId="4A418029" w14:textId="77777777" w:rsidR="00EB5913" w:rsidRPr="006623B9" w:rsidRDefault="00EB5913" w:rsidP="00F16E23">
            <w:pPr>
              <w:pStyle w:val="TableText"/>
              <w:spacing w:before="30" w:after="30"/>
            </w:pPr>
            <w:r w:rsidRPr="006623B9">
              <w:rPr>
                <w:rFonts w:eastAsia="Calibri"/>
              </w:rPr>
              <w:t>5.D.1 and 5.D.2</w:t>
            </w:r>
          </w:p>
        </w:tc>
        <w:tc>
          <w:tcPr>
            <w:tcW w:w="954" w:type="dxa"/>
            <w:shd w:val="clear" w:color="auto" w:fill="FFFFFF"/>
            <w:tcMar>
              <w:top w:w="0" w:type="dxa"/>
              <w:left w:w="85" w:type="dxa"/>
              <w:bottom w:w="0" w:type="dxa"/>
              <w:right w:w="85" w:type="dxa"/>
            </w:tcMar>
            <w:vAlign w:val="center"/>
          </w:tcPr>
          <w:p w14:paraId="4DDE7DE9" w14:textId="77777777" w:rsidR="00EB5913" w:rsidRPr="006623B9" w:rsidRDefault="00EB5913" w:rsidP="00F16E23">
            <w:pPr>
              <w:pStyle w:val="TableText"/>
              <w:spacing w:before="30" w:after="30"/>
            </w:pPr>
            <w:r w:rsidRPr="006623B9">
              <w:rPr>
                <w:rFonts w:eastAsia="Calibri"/>
                <w:i/>
              </w:rPr>
              <w:t>Domestic wastewater and Industrial wastewater</w:t>
            </w:r>
          </w:p>
        </w:tc>
        <w:tc>
          <w:tcPr>
            <w:tcW w:w="1314" w:type="dxa"/>
            <w:shd w:val="clear" w:color="auto" w:fill="FFFFFF"/>
            <w:tcMar>
              <w:top w:w="0" w:type="dxa"/>
              <w:left w:w="85" w:type="dxa"/>
              <w:bottom w:w="0" w:type="dxa"/>
              <w:right w:w="85" w:type="dxa"/>
            </w:tcMar>
            <w:vAlign w:val="center"/>
          </w:tcPr>
          <w:p w14:paraId="6B912564" w14:textId="77777777" w:rsidR="00EB5913" w:rsidRPr="006623B9" w:rsidRDefault="00EB5913" w:rsidP="00F16E23">
            <w:pPr>
              <w:pStyle w:val="TableText"/>
              <w:spacing w:before="30" w:after="30"/>
            </w:pPr>
            <w:r w:rsidRPr="006623B9">
              <w:rPr>
                <w:rFonts w:eastAsia="Calibri"/>
              </w:rPr>
              <w:t>Amount of CH₄ flared and for energy recovery</w:t>
            </w:r>
          </w:p>
        </w:tc>
        <w:tc>
          <w:tcPr>
            <w:tcW w:w="5160" w:type="dxa"/>
            <w:shd w:val="clear" w:color="auto" w:fill="FFFFFF"/>
            <w:tcMar>
              <w:top w:w="0" w:type="dxa"/>
              <w:left w:w="85" w:type="dxa"/>
              <w:bottom w:w="0" w:type="dxa"/>
              <w:right w:w="85" w:type="dxa"/>
            </w:tcMar>
            <w:vAlign w:val="center"/>
          </w:tcPr>
          <w:p w14:paraId="3A544DB0" w14:textId="77777777" w:rsidR="00EB5913" w:rsidRPr="006623B9" w:rsidRDefault="00EB5913" w:rsidP="00F16E23">
            <w:pPr>
              <w:pStyle w:val="TableText"/>
              <w:spacing w:before="30" w:after="30"/>
            </w:pPr>
            <w:r w:rsidRPr="006623B9">
              <w:rPr>
                <w:rFonts w:eastAsia="Calibri"/>
              </w:rPr>
              <w:t>According to section 6.2.1 of the 2006 IPCC Guidelines (volume 5, chapter 6, p. 6.9, IPCC, 2006a), emissions from flaring are considered insignificant because the resulting CO₂ is of biogenic origin. Therefore, good practice in the Waste sector does not require their estimation. Furthermore, section 6.2.2.6 (p. 6.18, IPCC, 2006a) specifies that when CH₄ is recovered for energy use, the associated greenhouse gas emissions should be reported under the Energy sector. As noted in section 6.2.1, good practice in the Waste sector also does not require estimating CH₄ and N₂O emissions from CH₄ recovery and flaring (p. 6.9, IPCC, 2006a).</w:t>
            </w:r>
          </w:p>
        </w:tc>
      </w:tr>
    </w:tbl>
    <w:p w14:paraId="4493E8DD" w14:textId="77777777" w:rsidR="00EB5913" w:rsidRPr="006623B9" w:rsidRDefault="00EB5913" w:rsidP="00EB5913">
      <w:pPr>
        <w:pStyle w:val="Heading4"/>
        <w:spacing w:before="400"/>
      </w:pPr>
      <w:bookmarkStart w:id="3007" w:name="Xe7d30ce8e2ac07b79acd846ec80912538f063dd"/>
      <w:bookmarkEnd w:id="3005"/>
      <w:r w:rsidRPr="006623B9">
        <w:t>Emissions reported as ‘IE’ or ‘included elsewhere’</w:t>
      </w:r>
    </w:p>
    <w:p w14:paraId="79594CDC" w14:textId="77777777" w:rsidR="00EB5913" w:rsidRPr="006623B9" w:rsidRDefault="00EB5913" w:rsidP="00EB5913">
      <w:pPr>
        <w:pStyle w:val="BodyText"/>
        <w:spacing w:before="80"/>
      </w:pPr>
      <w:r w:rsidRPr="006623B9">
        <w:t>Table 7.1.5 details where the notation key ‘IE’ has been used in this submission of the Inventory for the Waste sector.</w:t>
      </w:r>
    </w:p>
    <w:p w14:paraId="71E6874F" w14:textId="77777777" w:rsidR="00EB5913" w:rsidRPr="006623B9" w:rsidRDefault="00EB5913" w:rsidP="00EB5913">
      <w:pPr>
        <w:pStyle w:val="Table"/>
      </w:pPr>
      <w:bookmarkStart w:id="3008" w:name="_Toc226669098"/>
      <w:r w:rsidRPr="006623B9">
        <w:t xml:space="preserve">Table 7.1.5 </w:t>
      </w:r>
      <w:r w:rsidRPr="006623B9">
        <w:tab/>
        <w:t xml:space="preserve">Emissions reported using the ‘IE’ or ‘included elsewhere’ notation key in the </w:t>
      </w:r>
      <w:r w:rsidRPr="006623B9">
        <w:rPr>
          <w:bCs/>
        </w:rPr>
        <w:t>2026</w:t>
      </w:r>
      <w:r w:rsidRPr="006623B9">
        <w:t xml:space="preserve"> submission for the Waste sector</w:t>
      </w:r>
      <w:bookmarkEnd w:id="3008"/>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134"/>
        <w:gridCol w:w="1046"/>
        <w:gridCol w:w="2356"/>
        <w:gridCol w:w="4026"/>
      </w:tblGrid>
      <w:tr w:rsidR="00EB5913" w:rsidRPr="006623B9" w14:paraId="195DF593" w14:textId="77777777" w:rsidTr="00F16E23">
        <w:trPr>
          <w:tblHeader/>
        </w:trPr>
        <w:tc>
          <w:tcPr>
            <w:tcW w:w="1134" w:type="dxa"/>
            <w:shd w:val="clear" w:color="auto" w:fill="1B556B"/>
            <w:tcMar>
              <w:top w:w="0" w:type="dxa"/>
              <w:left w:w="85" w:type="dxa"/>
              <w:bottom w:w="0" w:type="dxa"/>
              <w:right w:w="85" w:type="dxa"/>
            </w:tcMar>
            <w:vAlign w:val="bottom"/>
          </w:tcPr>
          <w:p w14:paraId="33E1D76A"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CRT category code </w:t>
            </w:r>
          </w:p>
        </w:tc>
        <w:tc>
          <w:tcPr>
            <w:tcW w:w="1046" w:type="dxa"/>
            <w:shd w:val="clear" w:color="auto" w:fill="1B556B"/>
            <w:tcMar>
              <w:top w:w="0" w:type="dxa"/>
              <w:left w:w="85" w:type="dxa"/>
              <w:bottom w:w="0" w:type="dxa"/>
              <w:right w:w="85" w:type="dxa"/>
            </w:tcMar>
            <w:vAlign w:val="bottom"/>
          </w:tcPr>
          <w:p w14:paraId="7A11BEC4"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Category </w:t>
            </w:r>
          </w:p>
        </w:tc>
        <w:tc>
          <w:tcPr>
            <w:tcW w:w="2356" w:type="dxa"/>
            <w:shd w:val="clear" w:color="auto" w:fill="1B556B"/>
            <w:tcMar>
              <w:top w:w="0" w:type="dxa"/>
              <w:left w:w="85" w:type="dxa"/>
              <w:bottom w:w="0" w:type="dxa"/>
              <w:right w:w="85" w:type="dxa"/>
            </w:tcMar>
            <w:vAlign w:val="bottom"/>
          </w:tcPr>
          <w:p w14:paraId="15D06D6D"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Source category reported under </w:t>
            </w:r>
          </w:p>
        </w:tc>
        <w:tc>
          <w:tcPr>
            <w:tcW w:w="4026" w:type="dxa"/>
            <w:shd w:val="clear" w:color="auto" w:fill="1B556B"/>
            <w:tcMar>
              <w:top w:w="0" w:type="dxa"/>
              <w:left w:w="85" w:type="dxa"/>
              <w:bottom w:w="0" w:type="dxa"/>
              <w:right w:w="85" w:type="dxa"/>
            </w:tcMar>
            <w:vAlign w:val="bottom"/>
          </w:tcPr>
          <w:p w14:paraId="7802AAC3" w14:textId="77777777" w:rsidR="00EB5913" w:rsidRPr="006623B9" w:rsidRDefault="00EB5913" w:rsidP="00F16E23">
            <w:pPr>
              <w:pStyle w:val="TableTextBold"/>
              <w:spacing w:before="30" w:after="30"/>
              <w:rPr>
                <w:noProof w:val="0"/>
                <w:color w:val="FFFFFF" w:themeColor="background1"/>
              </w:rPr>
            </w:pPr>
            <w:r w:rsidRPr="006623B9">
              <w:rPr>
                <w:rFonts w:eastAsia="Calibri"/>
                <w:noProof w:val="0"/>
                <w:color w:val="FFFFFF" w:themeColor="background1"/>
              </w:rPr>
              <w:t>Notation key explanation </w:t>
            </w:r>
          </w:p>
        </w:tc>
      </w:tr>
      <w:tr w:rsidR="00EB5913" w:rsidRPr="006623B9" w14:paraId="324C0CC2" w14:textId="77777777" w:rsidTr="00F16E23">
        <w:tc>
          <w:tcPr>
            <w:tcW w:w="1134" w:type="dxa"/>
            <w:shd w:val="clear" w:color="auto" w:fill="FFFFFF"/>
            <w:tcMar>
              <w:top w:w="0" w:type="dxa"/>
              <w:left w:w="85" w:type="dxa"/>
              <w:bottom w:w="0" w:type="dxa"/>
              <w:right w:w="85" w:type="dxa"/>
            </w:tcMar>
            <w:vAlign w:val="center"/>
          </w:tcPr>
          <w:p w14:paraId="44A2D042" w14:textId="77777777" w:rsidR="00EB5913" w:rsidRPr="006623B9" w:rsidRDefault="00EB5913" w:rsidP="00F16E23">
            <w:pPr>
              <w:pStyle w:val="TableText"/>
              <w:spacing w:before="30" w:after="30"/>
            </w:pPr>
            <w:r w:rsidRPr="006623B9">
              <w:rPr>
                <w:rFonts w:eastAsia="Calibri"/>
              </w:rPr>
              <w:t>Waste</w:t>
            </w:r>
          </w:p>
        </w:tc>
        <w:tc>
          <w:tcPr>
            <w:tcW w:w="1046" w:type="dxa"/>
            <w:shd w:val="clear" w:color="auto" w:fill="FFFFFF"/>
            <w:tcMar>
              <w:top w:w="0" w:type="dxa"/>
              <w:left w:w="85" w:type="dxa"/>
              <w:bottom w:w="0" w:type="dxa"/>
              <w:right w:w="85" w:type="dxa"/>
            </w:tcMar>
            <w:vAlign w:val="center"/>
          </w:tcPr>
          <w:p w14:paraId="351C553C" w14:textId="77777777" w:rsidR="00EB5913" w:rsidRPr="006623B9" w:rsidRDefault="00EB5913" w:rsidP="00F16E23">
            <w:pPr>
              <w:pStyle w:val="TableText"/>
              <w:spacing w:before="30" w:after="30"/>
            </w:pPr>
          </w:p>
        </w:tc>
        <w:tc>
          <w:tcPr>
            <w:tcW w:w="2356" w:type="dxa"/>
            <w:shd w:val="clear" w:color="auto" w:fill="FFFFFF"/>
            <w:tcMar>
              <w:top w:w="0" w:type="dxa"/>
              <w:left w:w="85" w:type="dxa"/>
              <w:bottom w:w="0" w:type="dxa"/>
              <w:right w:w="85" w:type="dxa"/>
            </w:tcMar>
            <w:vAlign w:val="center"/>
          </w:tcPr>
          <w:p w14:paraId="1AFEAFCC" w14:textId="77777777" w:rsidR="00EB5913" w:rsidRPr="006623B9" w:rsidRDefault="00EB5913" w:rsidP="00F16E23">
            <w:pPr>
              <w:pStyle w:val="TableText"/>
              <w:spacing w:before="30" w:after="30"/>
            </w:pPr>
          </w:p>
        </w:tc>
        <w:tc>
          <w:tcPr>
            <w:tcW w:w="4026" w:type="dxa"/>
            <w:shd w:val="clear" w:color="auto" w:fill="FFFFFF"/>
            <w:tcMar>
              <w:top w:w="0" w:type="dxa"/>
              <w:left w:w="85" w:type="dxa"/>
              <w:bottom w:w="0" w:type="dxa"/>
              <w:right w:w="85" w:type="dxa"/>
            </w:tcMar>
            <w:vAlign w:val="center"/>
          </w:tcPr>
          <w:p w14:paraId="37AAE626" w14:textId="77777777" w:rsidR="00EB5913" w:rsidRPr="006623B9" w:rsidRDefault="00EB5913" w:rsidP="00F16E23">
            <w:pPr>
              <w:pStyle w:val="TableText"/>
              <w:spacing w:before="30" w:after="30"/>
            </w:pPr>
          </w:p>
        </w:tc>
      </w:tr>
      <w:tr w:rsidR="00EB5913" w:rsidRPr="006623B9" w14:paraId="7F15EAEC" w14:textId="77777777" w:rsidTr="00F16E23">
        <w:tc>
          <w:tcPr>
            <w:tcW w:w="1134" w:type="dxa"/>
            <w:shd w:val="clear" w:color="auto" w:fill="FFFFFF"/>
            <w:tcMar>
              <w:top w:w="0" w:type="dxa"/>
              <w:left w:w="85" w:type="dxa"/>
              <w:bottom w:w="0" w:type="dxa"/>
              <w:right w:w="85" w:type="dxa"/>
            </w:tcMar>
          </w:tcPr>
          <w:p w14:paraId="2A9236DC" w14:textId="77777777" w:rsidR="00EB5913" w:rsidRPr="006623B9" w:rsidRDefault="00EB5913" w:rsidP="00F16E23">
            <w:pPr>
              <w:pStyle w:val="TableText"/>
              <w:spacing w:before="30" w:after="30"/>
            </w:pPr>
            <w:r w:rsidRPr="006623B9">
              <w:rPr>
                <w:rFonts w:eastAsia="Calibri"/>
              </w:rPr>
              <w:t>5.D.1 </w:t>
            </w:r>
          </w:p>
        </w:tc>
        <w:tc>
          <w:tcPr>
            <w:tcW w:w="1046" w:type="dxa"/>
            <w:shd w:val="clear" w:color="auto" w:fill="FFFFFF"/>
            <w:tcMar>
              <w:top w:w="0" w:type="dxa"/>
              <w:left w:w="85" w:type="dxa"/>
              <w:bottom w:w="0" w:type="dxa"/>
              <w:right w:w="85" w:type="dxa"/>
            </w:tcMar>
          </w:tcPr>
          <w:p w14:paraId="464F5B3B" w14:textId="77777777" w:rsidR="00EB5913" w:rsidRPr="006623B9" w:rsidRDefault="00EB5913" w:rsidP="00F16E23">
            <w:pPr>
              <w:pStyle w:val="TableText"/>
              <w:spacing w:before="30" w:after="30"/>
            </w:pPr>
            <w:r w:rsidRPr="006623B9">
              <w:rPr>
                <w:rFonts w:eastAsia="Calibri"/>
                <w:i/>
              </w:rPr>
              <w:t>Domestic wastewater </w:t>
            </w:r>
          </w:p>
        </w:tc>
        <w:tc>
          <w:tcPr>
            <w:tcW w:w="2356" w:type="dxa"/>
            <w:shd w:val="clear" w:color="auto" w:fill="FFFFFF"/>
            <w:tcMar>
              <w:top w:w="0" w:type="dxa"/>
              <w:left w:w="85" w:type="dxa"/>
              <w:bottom w:w="0" w:type="dxa"/>
              <w:right w:w="85" w:type="dxa"/>
            </w:tcMar>
          </w:tcPr>
          <w:p w14:paraId="6D6BC0F2" w14:textId="77777777" w:rsidR="00EB5913" w:rsidRPr="006623B9" w:rsidRDefault="00EB5913" w:rsidP="00F16E23">
            <w:pPr>
              <w:pStyle w:val="TableText"/>
              <w:spacing w:before="30" w:after="30"/>
            </w:pPr>
            <w:r w:rsidRPr="006623B9">
              <w:rPr>
                <w:rFonts w:eastAsia="Calibri"/>
              </w:rPr>
              <w:t>5.A Solid waste </w:t>
            </w:r>
          </w:p>
        </w:tc>
        <w:tc>
          <w:tcPr>
            <w:tcW w:w="4026" w:type="dxa"/>
            <w:shd w:val="clear" w:color="auto" w:fill="FFFFFF"/>
            <w:tcMar>
              <w:top w:w="0" w:type="dxa"/>
              <w:left w:w="85" w:type="dxa"/>
              <w:bottom w:w="0" w:type="dxa"/>
              <w:right w:w="85" w:type="dxa"/>
            </w:tcMar>
            <w:vAlign w:val="center"/>
          </w:tcPr>
          <w:p w14:paraId="59D5EDF0" w14:textId="77777777" w:rsidR="00EB5913" w:rsidRPr="006623B9" w:rsidRDefault="00EB5913" w:rsidP="00F16E23">
            <w:pPr>
              <w:pStyle w:val="TableText"/>
              <w:spacing w:before="30" w:after="30"/>
            </w:pPr>
            <w:r w:rsidRPr="006623B9">
              <w:rPr>
                <w:rFonts w:eastAsia="Calibri"/>
              </w:rPr>
              <w:t xml:space="preserve">Activity data – sludge amounts are included under </w:t>
            </w:r>
            <w:r w:rsidRPr="006623B9">
              <w:rPr>
                <w:rFonts w:eastAsia="Calibri"/>
                <w:i/>
              </w:rPr>
              <w:t>Solid waste disposal</w:t>
            </w:r>
            <w:r w:rsidRPr="006623B9">
              <w:rPr>
                <w:rFonts w:eastAsia="Calibri"/>
              </w:rPr>
              <w:t xml:space="preserve"> because sludge is disposed to landfill. </w:t>
            </w:r>
          </w:p>
        </w:tc>
      </w:tr>
      <w:tr w:rsidR="00EB5913" w:rsidRPr="006623B9" w14:paraId="5FA884C4" w14:textId="77777777" w:rsidTr="00F16E23">
        <w:tc>
          <w:tcPr>
            <w:tcW w:w="1134" w:type="dxa"/>
            <w:shd w:val="clear" w:color="auto" w:fill="FFFFFF"/>
            <w:tcMar>
              <w:top w:w="0" w:type="dxa"/>
              <w:left w:w="85" w:type="dxa"/>
              <w:bottom w:w="0" w:type="dxa"/>
              <w:right w:w="85" w:type="dxa"/>
            </w:tcMar>
          </w:tcPr>
          <w:p w14:paraId="06E25EAB" w14:textId="77777777" w:rsidR="00EB5913" w:rsidRPr="006623B9" w:rsidRDefault="00EB5913" w:rsidP="00F16E23">
            <w:pPr>
              <w:pStyle w:val="TableText"/>
              <w:spacing w:before="30" w:after="30"/>
            </w:pPr>
            <w:r w:rsidRPr="006623B9">
              <w:rPr>
                <w:rFonts w:eastAsia="Calibri"/>
              </w:rPr>
              <w:t>5.D.2 </w:t>
            </w:r>
          </w:p>
        </w:tc>
        <w:tc>
          <w:tcPr>
            <w:tcW w:w="1046" w:type="dxa"/>
            <w:shd w:val="clear" w:color="auto" w:fill="FFFFFF"/>
            <w:tcMar>
              <w:top w:w="0" w:type="dxa"/>
              <w:left w:w="85" w:type="dxa"/>
              <w:bottom w:w="0" w:type="dxa"/>
              <w:right w:w="85" w:type="dxa"/>
            </w:tcMar>
          </w:tcPr>
          <w:p w14:paraId="35566E35" w14:textId="77777777" w:rsidR="00EB5913" w:rsidRPr="006623B9" w:rsidRDefault="00EB5913" w:rsidP="00F16E23">
            <w:pPr>
              <w:pStyle w:val="TableText"/>
              <w:spacing w:before="30" w:after="30"/>
            </w:pPr>
            <w:r w:rsidRPr="006623B9">
              <w:rPr>
                <w:rFonts w:eastAsia="Calibri"/>
                <w:i/>
              </w:rPr>
              <w:t>Industrial wastewater </w:t>
            </w:r>
          </w:p>
        </w:tc>
        <w:tc>
          <w:tcPr>
            <w:tcW w:w="2356" w:type="dxa"/>
            <w:shd w:val="clear" w:color="auto" w:fill="FFFFFF"/>
            <w:tcMar>
              <w:top w:w="0" w:type="dxa"/>
              <w:left w:w="85" w:type="dxa"/>
              <w:bottom w:w="0" w:type="dxa"/>
              <w:right w:w="85" w:type="dxa"/>
            </w:tcMar>
          </w:tcPr>
          <w:p w14:paraId="4FCEC7E9" w14:textId="77777777" w:rsidR="00EB5913" w:rsidRPr="006623B9" w:rsidRDefault="00EB5913" w:rsidP="00F16E23">
            <w:pPr>
              <w:pStyle w:val="TableText"/>
              <w:spacing w:before="30" w:after="30"/>
            </w:pPr>
            <w:r w:rsidRPr="006623B9">
              <w:rPr>
                <w:rFonts w:eastAsia="Calibri"/>
              </w:rPr>
              <w:t>5.A Solid waste </w:t>
            </w:r>
          </w:p>
        </w:tc>
        <w:tc>
          <w:tcPr>
            <w:tcW w:w="4026" w:type="dxa"/>
            <w:shd w:val="clear" w:color="auto" w:fill="FFFFFF"/>
            <w:tcMar>
              <w:top w:w="0" w:type="dxa"/>
              <w:left w:w="85" w:type="dxa"/>
              <w:bottom w:w="0" w:type="dxa"/>
              <w:right w:w="85" w:type="dxa"/>
            </w:tcMar>
            <w:vAlign w:val="center"/>
          </w:tcPr>
          <w:p w14:paraId="4AD81B9F" w14:textId="77777777" w:rsidR="00EB5913" w:rsidRPr="006623B9" w:rsidRDefault="00EB5913" w:rsidP="00F16E23">
            <w:pPr>
              <w:pStyle w:val="TableText"/>
              <w:spacing w:before="30" w:after="30"/>
            </w:pPr>
            <w:r w:rsidRPr="006623B9">
              <w:rPr>
                <w:rFonts w:eastAsia="Calibri"/>
              </w:rPr>
              <w:t xml:space="preserve">Activity data – sludge amounts are included under </w:t>
            </w:r>
            <w:r w:rsidRPr="006623B9">
              <w:rPr>
                <w:rFonts w:eastAsia="Calibri"/>
                <w:i/>
              </w:rPr>
              <w:t>Solid waste disposal</w:t>
            </w:r>
            <w:r w:rsidRPr="006623B9">
              <w:rPr>
                <w:rFonts w:eastAsia="Calibri"/>
              </w:rPr>
              <w:t xml:space="preserve"> because sludge is disposed to landfill. </w:t>
            </w:r>
          </w:p>
        </w:tc>
      </w:tr>
      <w:tr w:rsidR="00EB5913" w:rsidRPr="006623B9" w14:paraId="460EE460" w14:textId="77777777" w:rsidTr="00F16E23">
        <w:tc>
          <w:tcPr>
            <w:tcW w:w="1134" w:type="dxa"/>
            <w:shd w:val="clear" w:color="auto" w:fill="FFFFFF"/>
            <w:tcMar>
              <w:top w:w="0" w:type="dxa"/>
              <w:left w:w="85" w:type="dxa"/>
              <w:bottom w:w="0" w:type="dxa"/>
              <w:right w:w="85" w:type="dxa"/>
            </w:tcMar>
          </w:tcPr>
          <w:p w14:paraId="5EFA4385" w14:textId="77777777" w:rsidR="00EB5913" w:rsidRPr="006623B9" w:rsidRDefault="00EB5913" w:rsidP="00F16E23">
            <w:pPr>
              <w:pStyle w:val="TableText"/>
              <w:spacing w:before="30" w:after="30"/>
            </w:pPr>
            <w:r w:rsidRPr="006623B9">
              <w:rPr>
                <w:rFonts w:eastAsia="Calibri"/>
              </w:rPr>
              <w:t>5.D.2 </w:t>
            </w:r>
          </w:p>
        </w:tc>
        <w:tc>
          <w:tcPr>
            <w:tcW w:w="1046" w:type="dxa"/>
            <w:shd w:val="clear" w:color="auto" w:fill="FFFFFF"/>
            <w:tcMar>
              <w:top w:w="0" w:type="dxa"/>
              <w:left w:w="85" w:type="dxa"/>
              <w:bottom w:w="0" w:type="dxa"/>
              <w:right w:w="85" w:type="dxa"/>
            </w:tcMar>
          </w:tcPr>
          <w:p w14:paraId="41FD29DF" w14:textId="77777777" w:rsidR="00EB5913" w:rsidRPr="006623B9" w:rsidRDefault="00EB5913" w:rsidP="00F16E23">
            <w:pPr>
              <w:pStyle w:val="TableText"/>
              <w:spacing w:before="30" w:after="30"/>
            </w:pPr>
            <w:r w:rsidRPr="006623B9">
              <w:rPr>
                <w:rFonts w:eastAsia="Calibri"/>
                <w:i/>
              </w:rPr>
              <w:t>Industrial wastewater </w:t>
            </w:r>
          </w:p>
        </w:tc>
        <w:tc>
          <w:tcPr>
            <w:tcW w:w="2356" w:type="dxa"/>
            <w:shd w:val="clear" w:color="auto" w:fill="FFFFFF"/>
            <w:tcMar>
              <w:top w:w="0" w:type="dxa"/>
              <w:left w:w="85" w:type="dxa"/>
              <w:bottom w:w="0" w:type="dxa"/>
              <w:right w:w="85" w:type="dxa"/>
            </w:tcMar>
          </w:tcPr>
          <w:p w14:paraId="283C20B6" w14:textId="77777777" w:rsidR="00EB5913" w:rsidRPr="006623B9" w:rsidRDefault="00EB5913" w:rsidP="00F16E23">
            <w:pPr>
              <w:pStyle w:val="TableText"/>
              <w:spacing w:before="30" w:after="30"/>
            </w:pPr>
            <w:r w:rsidRPr="006623B9">
              <w:rPr>
                <w:rFonts w:eastAsia="Calibri"/>
              </w:rPr>
              <w:t>1.A.2.e Food processing, beverages and tobacco – Biomass </w:t>
            </w:r>
          </w:p>
        </w:tc>
        <w:tc>
          <w:tcPr>
            <w:tcW w:w="4026" w:type="dxa"/>
            <w:shd w:val="clear" w:color="auto" w:fill="FFFFFF"/>
            <w:tcMar>
              <w:top w:w="0" w:type="dxa"/>
              <w:left w:w="85" w:type="dxa"/>
              <w:bottom w:w="0" w:type="dxa"/>
              <w:right w:w="85" w:type="dxa"/>
            </w:tcMar>
            <w:vAlign w:val="center"/>
          </w:tcPr>
          <w:p w14:paraId="25BFB1A6" w14:textId="77777777" w:rsidR="00EB5913" w:rsidRPr="006623B9" w:rsidRDefault="00EB5913" w:rsidP="00F16E23">
            <w:pPr>
              <w:pStyle w:val="TableText"/>
              <w:spacing w:before="30" w:after="30"/>
            </w:pPr>
            <w:r w:rsidRPr="006623B9">
              <w:rPr>
                <w:rFonts w:eastAsia="Calibri"/>
              </w:rPr>
              <w:t>Emissions of CH4 from the combustion of biogas from the Tirau dairy processing plant are reported under 1.A.2.e Food processing, beverages and tobacco – Biomass. </w:t>
            </w:r>
          </w:p>
        </w:tc>
      </w:tr>
    </w:tbl>
    <w:p w14:paraId="445C241F" w14:textId="77777777" w:rsidR="00EB5913" w:rsidRPr="006623B9" w:rsidRDefault="00EB5913" w:rsidP="00EB5913">
      <w:pPr>
        <w:pStyle w:val="Heading2"/>
        <w:spacing w:before="400"/>
      </w:pPr>
      <w:bookmarkStart w:id="3009" w:name="_Toc226460795"/>
      <w:bookmarkStart w:id="3010" w:name="solid-waste-disposal-5.a"/>
      <w:bookmarkEnd w:id="2986"/>
      <w:bookmarkEnd w:id="3007"/>
      <w:r w:rsidRPr="006623B9">
        <w:t xml:space="preserve">7.2 </w:t>
      </w:r>
      <w:r w:rsidRPr="006623B9">
        <w:tab/>
        <w:t>Solid waste disposal (5.A)</w:t>
      </w:r>
      <w:bookmarkEnd w:id="3009"/>
    </w:p>
    <w:p w14:paraId="1DE28CA9" w14:textId="77777777" w:rsidR="00EB5913" w:rsidRPr="006623B9" w:rsidRDefault="00EB5913" w:rsidP="00EB5913">
      <w:pPr>
        <w:pStyle w:val="Heading3"/>
        <w:spacing w:before="180"/>
      </w:pPr>
      <w:bookmarkStart w:id="3011" w:name="description"/>
      <w:r w:rsidRPr="006623B9">
        <w:t xml:space="preserve">7.2.1 </w:t>
      </w:r>
      <w:r w:rsidRPr="006623B9">
        <w:tab/>
        <w:t>Description</w:t>
      </w:r>
    </w:p>
    <w:p w14:paraId="173AE93E" w14:textId="77777777" w:rsidR="00EB5913" w:rsidRPr="006623B9" w:rsidRDefault="00EB5913" w:rsidP="00EB5913">
      <w:pPr>
        <w:pStyle w:val="BodyText"/>
        <w:spacing w:before="80"/>
      </w:pPr>
      <w:r w:rsidRPr="006623B9">
        <w:rPr>
          <w:spacing w:val="-2"/>
        </w:rPr>
        <w:t>In New Zealand, the majority of solid waste generated by household, industrial and commercia</w:t>
      </w:r>
      <w:r w:rsidRPr="006623B9">
        <w:t>l sectors is disposed of in landfills. In contrast, approximately half of all farm waste continues to be managed through open burning. The current types of landfill sites operating in New Zealand are described below:</w:t>
      </w:r>
    </w:p>
    <w:p w14:paraId="4A12ABB1" w14:textId="77777777" w:rsidR="00EB5913" w:rsidRPr="006623B9" w:rsidRDefault="00EB5913" w:rsidP="00EB5913">
      <w:pPr>
        <w:pStyle w:val="Numberedparagraph"/>
      </w:pPr>
      <w:r w:rsidRPr="006623B9">
        <w:rPr>
          <w:i/>
          <w:iCs/>
        </w:rPr>
        <w:t>Managed SWDS</w:t>
      </w:r>
      <w:r w:rsidRPr="006623B9">
        <w:t xml:space="preserve"> (5.A.1): These correspond to New Zealand’s Class 1 landfills. They are municipal disposal facilities that primarily accept household and commercial waste but also receive industrial and other solid waste streams. These landfills involve controlled waste-placement, including directing waste to designated deposition areas, applying cover, implementing capping, mechanical compacting, and managing fire and water controls (WasteMINZ, 2023). This classification aligns with the definition of </w:t>
      </w:r>
      <w:r w:rsidRPr="006623B9">
        <w:rPr>
          <w:i/>
          <w:iCs/>
        </w:rPr>
        <w:t>anaerobic managed SWDS</w:t>
      </w:r>
      <w:r w:rsidRPr="006623B9">
        <w:t xml:space="preserve"> in the 2006 IPCC Guidelines (volume 5, table 3.1, IPCC, 2006a).</w:t>
      </w:r>
    </w:p>
    <w:p w14:paraId="495179AB" w14:textId="77777777" w:rsidR="00EB5913" w:rsidRPr="006623B9" w:rsidRDefault="00EB5913" w:rsidP="00EB5913">
      <w:pPr>
        <w:pStyle w:val="Numberedparagraph"/>
      </w:pPr>
      <w:r w:rsidRPr="006623B9">
        <w:rPr>
          <w:i/>
          <w:iCs/>
        </w:rPr>
        <w:t>Unmanaged SWDS</w:t>
      </w:r>
      <w:r w:rsidRPr="006623B9">
        <w:t xml:space="preserve"> (5.A.2): These sites include several landfill types that predominantly accept construction and demolition waste, inert materials, and industrial waste. In New Zealand, these facilities align with Class 2, Class 3–4 and Class 5 landfills, as well as industrial monofills, with classification based on the waste types received. Further detail on these facilities is provided later in this chapter. Most of these sites do not meet the control waste placement criteria described for </w:t>
      </w:r>
      <w:r w:rsidRPr="006623B9">
        <w:rPr>
          <w:i/>
          <w:iCs/>
        </w:rPr>
        <w:t>Managed SWDS</w:t>
      </w:r>
      <w:r w:rsidRPr="006623B9">
        <w:t xml:space="preserve">, and they exhibit variable landfill depths, although most are relatively shallow. Based on these characteristics, this category aligns with the definition of </w:t>
      </w:r>
      <w:r w:rsidRPr="006623B9">
        <w:rPr>
          <w:i/>
          <w:iCs/>
        </w:rPr>
        <w:t>Unmanaged SWDS</w:t>
      </w:r>
      <w:r w:rsidRPr="006623B9">
        <w:t xml:space="preserve"> provided in the 2006 IPCC Guidelines (volume 5, table 3.1, IPCC, 2006a).</w:t>
      </w:r>
    </w:p>
    <w:p w14:paraId="55B58331" w14:textId="77777777" w:rsidR="00EB5913" w:rsidRPr="006623B9" w:rsidRDefault="00EB5913" w:rsidP="00EB5913">
      <w:pPr>
        <w:pStyle w:val="Numberedparagraph"/>
      </w:pPr>
      <w:r w:rsidRPr="006623B9">
        <w:rPr>
          <w:i/>
          <w:iCs/>
        </w:rPr>
        <w:t>Unmanaged SWDS — Farm fills</w:t>
      </w:r>
      <w:r w:rsidRPr="006623B9">
        <w:t xml:space="preserve"> (5.A.2): These rural disposal sites are used for both household and farm waste. Their use occurs alongside the widespread practice of open burning on farms. As with other </w:t>
      </w:r>
      <w:r w:rsidRPr="006623B9">
        <w:rPr>
          <w:i/>
          <w:iCs/>
        </w:rPr>
        <w:t>Unmanaged SWDS</w:t>
      </w:r>
      <w:r w:rsidRPr="006623B9">
        <w:t xml:space="preserve">, they do not meet the control waste-placement criteria outlined for </w:t>
      </w:r>
      <w:r w:rsidRPr="006623B9">
        <w:rPr>
          <w:i/>
          <w:iCs/>
        </w:rPr>
        <w:t>Managed SWDS</w:t>
      </w:r>
      <w:r w:rsidRPr="006623B9">
        <w:t xml:space="preserve">. Therefore, they also fall under the </w:t>
      </w:r>
      <w:r w:rsidRPr="006623B9">
        <w:rPr>
          <w:i/>
          <w:iCs/>
        </w:rPr>
        <w:t>Unmanaged SWDS</w:t>
      </w:r>
      <w:r w:rsidRPr="006623B9">
        <w:t xml:space="preserve"> category as defined in the 2006 IPCC Guidelines (volume 5, table 3.1, IPCC, 2006a).</w:t>
      </w:r>
    </w:p>
    <w:p w14:paraId="2F76C21F" w14:textId="77777777" w:rsidR="00EB5913" w:rsidRPr="006623B9" w:rsidRDefault="00EB5913" w:rsidP="00EB5913">
      <w:pPr>
        <w:pStyle w:val="Numberedparagraph"/>
      </w:pPr>
      <w:r w:rsidRPr="006623B9">
        <w:rPr>
          <w:i/>
          <w:iCs/>
        </w:rPr>
        <w:t>Uncategorised SWDS</w:t>
      </w:r>
      <w:r w:rsidRPr="006623B9">
        <w:t xml:space="preserve"> (5.A.3): These are pre</w:t>
      </w:r>
      <w:r w:rsidRPr="006623B9">
        <w:rPr>
          <w:rFonts w:ascii="Cambria Math" w:hAnsi="Cambria Math" w:cs="Cambria Math"/>
        </w:rPr>
        <w:t>‑</w:t>
      </w:r>
      <w:r w:rsidRPr="006623B9">
        <w:t>2010 landfill sites for which insufficient information exists on waste types received, design, or management practices. Because they cannot be reliably assigned to any current domestic landfill class, they are classified as Uncategorised SWDS in accordance with the 2006 IPCC Guidelines (volume 5, table 3.1, IPCC, 2006a).</w:t>
      </w:r>
    </w:p>
    <w:p w14:paraId="7A01F880" w14:textId="77777777" w:rsidR="00EB5913" w:rsidRPr="006623B9" w:rsidRDefault="00EB5913" w:rsidP="00EB5913">
      <w:pPr>
        <w:pStyle w:val="BodyText"/>
      </w:pPr>
      <w:r w:rsidRPr="006623B9">
        <w:t>Table 7.2.1 presents the correspondence between landfill categories in the 2006 IPCC Guidelines (IPCC, 2006a) and New Zealand’s domestic landfill classification system.</w:t>
      </w:r>
    </w:p>
    <w:p w14:paraId="38A72D27" w14:textId="77777777" w:rsidR="00EB5913" w:rsidRPr="006623B9" w:rsidRDefault="00EB5913" w:rsidP="00EB5913">
      <w:pPr>
        <w:pStyle w:val="Table"/>
      </w:pPr>
      <w:bookmarkStart w:id="3012" w:name="_Toc226669099"/>
      <w:r w:rsidRPr="006623B9">
        <w:t xml:space="preserve">Table 7.2.1 </w:t>
      </w:r>
      <w:r w:rsidRPr="006623B9">
        <w:tab/>
        <w:t>Landfill emissions in the common reporting tables</w:t>
      </w:r>
      <w:bookmarkEnd w:id="3012"/>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900"/>
        <w:gridCol w:w="1928"/>
        <w:gridCol w:w="4734"/>
      </w:tblGrid>
      <w:tr w:rsidR="00EB5913" w:rsidRPr="006623B9" w14:paraId="71313EBA" w14:textId="77777777" w:rsidTr="00F2460B">
        <w:trPr>
          <w:tblHeader/>
        </w:trPr>
        <w:tc>
          <w:tcPr>
            <w:tcW w:w="0" w:type="auto"/>
            <w:shd w:val="clear" w:color="auto" w:fill="1B556B"/>
            <w:tcMar>
              <w:top w:w="0" w:type="dxa"/>
              <w:left w:w="85" w:type="dxa"/>
              <w:bottom w:w="0" w:type="dxa"/>
              <w:right w:w="85" w:type="dxa"/>
            </w:tcMar>
            <w:vAlign w:val="bottom"/>
          </w:tcPr>
          <w:p w14:paraId="007C0551"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CRF category code</w:t>
            </w:r>
          </w:p>
        </w:tc>
        <w:tc>
          <w:tcPr>
            <w:tcW w:w="1928" w:type="dxa"/>
            <w:shd w:val="clear" w:color="auto" w:fill="1B556B"/>
            <w:tcMar>
              <w:top w:w="0" w:type="dxa"/>
              <w:left w:w="85" w:type="dxa"/>
              <w:bottom w:w="0" w:type="dxa"/>
              <w:right w:w="85" w:type="dxa"/>
            </w:tcMar>
            <w:vAlign w:val="bottom"/>
          </w:tcPr>
          <w:p w14:paraId="30E4A73A" w14:textId="1CC7022E"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Landfill type using New</w:t>
            </w:r>
            <w:r w:rsidR="00237962">
              <w:rPr>
                <w:rFonts w:eastAsia="Calibri"/>
                <w:noProof w:val="0"/>
                <w:color w:val="FFFFFF" w:themeColor="background1"/>
              </w:rPr>
              <w:t> </w:t>
            </w:r>
            <w:r w:rsidRPr="006623B9">
              <w:rPr>
                <w:rFonts w:eastAsia="Calibri"/>
                <w:noProof w:val="0"/>
                <w:color w:val="FFFFFF" w:themeColor="background1"/>
              </w:rPr>
              <w:t>Zealand terminology</w:t>
            </w:r>
          </w:p>
        </w:tc>
        <w:tc>
          <w:tcPr>
            <w:tcW w:w="4734" w:type="dxa"/>
            <w:shd w:val="clear" w:color="auto" w:fill="1B556B"/>
            <w:tcMar>
              <w:top w:w="0" w:type="dxa"/>
              <w:left w:w="85" w:type="dxa"/>
              <w:bottom w:w="0" w:type="dxa"/>
              <w:right w:w="85" w:type="dxa"/>
            </w:tcMar>
            <w:vAlign w:val="bottom"/>
          </w:tcPr>
          <w:p w14:paraId="4EF03BC1"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Comment</w:t>
            </w:r>
          </w:p>
        </w:tc>
      </w:tr>
      <w:tr w:rsidR="00EB5913" w:rsidRPr="006623B9" w14:paraId="4A332B3C" w14:textId="77777777" w:rsidTr="00F2460B">
        <w:tc>
          <w:tcPr>
            <w:tcW w:w="0" w:type="auto"/>
            <w:shd w:val="clear" w:color="auto" w:fill="FFFFFF"/>
            <w:tcMar>
              <w:top w:w="0" w:type="dxa"/>
              <w:left w:w="85" w:type="dxa"/>
              <w:bottom w:w="0" w:type="dxa"/>
              <w:right w:w="85" w:type="dxa"/>
            </w:tcMar>
          </w:tcPr>
          <w:p w14:paraId="09406567" w14:textId="77777777" w:rsidR="00EB5913" w:rsidRPr="006623B9" w:rsidRDefault="00EB5913" w:rsidP="00F16E23">
            <w:pPr>
              <w:pStyle w:val="TableText"/>
              <w:spacing w:before="40" w:after="40"/>
            </w:pPr>
            <w:r w:rsidRPr="006623B9">
              <w:rPr>
                <w:rFonts w:eastAsia="Calibri"/>
              </w:rPr>
              <w:t>Managed SWDS – anaerobic (5.A.1.a)</w:t>
            </w:r>
          </w:p>
        </w:tc>
        <w:tc>
          <w:tcPr>
            <w:tcW w:w="1928" w:type="dxa"/>
            <w:shd w:val="clear" w:color="auto" w:fill="FFFFFF"/>
            <w:tcMar>
              <w:top w:w="0" w:type="dxa"/>
              <w:left w:w="85" w:type="dxa"/>
              <w:bottom w:w="0" w:type="dxa"/>
              <w:right w:w="85" w:type="dxa"/>
            </w:tcMar>
          </w:tcPr>
          <w:p w14:paraId="067ECF67" w14:textId="77777777" w:rsidR="00EB5913" w:rsidRPr="006623B9" w:rsidRDefault="00EB5913" w:rsidP="00F16E23">
            <w:pPr>
              <w:pStyle w:val="TableText"/>
              <w:spacing w:before="40" w:after="40"/>
            </w:pPr>
            <w:r w:rsidRPr="006623B9">
              <w:rPr>
                <w:rFonts w:eastAsia="Calibri"/>
              </w:rPr>
              <w:t>Class 1 landfills</w:t>
            </w:r>
          </w:p>
        </w:tc>
        <w:tc>
          <w:tcPr>
            <w:tcW w:w="4734" w:type="dxa"/>
            <w:shd w:val="clear" w:color="auto" w:fill="FFFFFF"/>
            <w:tcMar>
              <w:top w:w="0" w:type="dxa"/>
              <w:left w:w="85" w:type="dxa"/>
              <w:bottom w:w="0" w:type="dxa"/>
              <w:right w:w="85" w:type="dxa"/>
            </w:tcMar>
          </w:tcPr>
          <w:p w14:paraId="49E7519F" w14:textId="77777777" w:rsidR="00EB5913" w:rsidRPr="006623B9" w:rsidRDefault="00EB5913" w:rsidP="00F16E23">
            <w:pPr>
              <w:pStyle w:val="TableText"/>
              <w:spacing w:before="40" w:after="40"/>
            </w:pPr>
            <w:r w:rsidRPr="006623B9">
              <w:rPr>
                <w:rFonts w:eastAsia="Calibri"/>
              </w:rPr>
              <w:t>Includes all currently operational municipal landfill sites and all sites with gas recovery</w:t>
            </w:r>
          </w:p>
        </w:tc>
      </w:tr>
      <w:tr w:rsidR="00EB5913" w:rsidRPr="006623B9" w14:paraId="137BC058" w14:textId="77777777" w:rsidTr="00F2460B">
        <w:tc>
          <w:tcPr>
            <w:tcW w:w="0" w:type="auto"/>
            <w:shd w:val="clear" w:color="auto" w:fill="FFFFFF"/>
            <w:tcMar>
              <w:top w:w="0" w:type="dxa"/>
              <w:left w:w="85" w:type="dxa"/>
              <w:bottom w:w="0" w:type="dxa"/>
              <w:right w:w="85" w:type="dxa"/>
            </w:tcMar>
          </w:tcPr>
          <w:p w14:paraId="280E7AE9" w14:textId="77777777" w:rsidR="00EB5913" w:rsidRPr="006623B9" w:rsidRDefault="00EB5913" w:rsidP="00F16E23">
            <w:pPr>
              <w:pStyle w:val="TableText"/>
              <w:spacing w:before="40" w:after="40"/>
            </w:pPr>
            <w:r w:rsidRPr="006623B9">
              <w:rPr>
                <w:rFonts w:eastAsia="Calibri"/>
              </w:rPr>
              <w:t>Managed SWDS – semi-aerobic (5.A.1.b)</w:t>
            </w:r>
          </w:p>
        </w:tc>
        <w:tc>
          <w:tcPr>
            <w:tcW w:w="1928" w:type="dxa"/>
            <w:shd w:val="clear" w:color="auto" w:fill="FFFFFF"/>
            <w:tcMar>
              <w:top w:w="0" w:type="dxa"/>
              <w:left w:w="85" w:type="dxa"/>
              <w:bottom w:w="0" w:type="dxa"/>
              <w:right w:w="85" w:type="dxa"/>
            </w:tcMar>
          </w:tcPr>
          <w:p w14:paraId="4E8DF584" w14:textId="77777777" w:rsidR="00EB5913" w:rsidRPr="006623B9" w:rsidRDefault="00EB5913" w:rsidP="00F16E23">
            <w:pPr>
              <w:pStyle w:val="TableText"/>
              <w:spacing w:before="40" w:after="40"/>
            </w:pPr>
            <w:r w:rsidRPr="006623B9">
              <w:rPr>
                <w:rFonts w:eastAsia="Calibri"/>
              </w:rPr>
              <w:t>–</w:t>
            </w:r>
          </w:p>
        </w:tc>
        <w:tc>
          <w:tcPr>
            <w:tcW w:w="4734" w:type="dxa"/>
            <w:shd w:val="clear" w:color="auto" w:fill="FFFFFF"/>
            <w:tcMar>
              <w:top w:w="0" w:type="dxa"/>
              <w:left w:w="85" w:type="dxa"/>
              <w:bottom w:w="0" w:type="dxa"/>
              <w:right w:w="85" w:type="dxa"/>
            </w:tcMar>
          </w:tcPr>
          <w:p w14:paraId="37109D9F" w14:textId="77777777" w:rsidR="00EB5913" w:rsidRPr="006623B9" w:rsidRDefault="00EB5913" w:rsidP="00F16E23">
            <w:pPr>
              <w:pStyle w:val="TableText"/>
              <w:spacing w:before="40" w:after="40"/>
            </w:pPr>
            <w:r w:rsidRPr="006623B9">
              <w:rPr>
                <w:rFonts w:eastAsia="Calibri"/>
              </w:rPr>
              <w:t>No semi-aerobic landfill sites identified in New Zealand</w:t>
            </w:r>
          </w:p>
        </w:tc>
      </w:tr>
      <w:tr w:rsidR="00EB5913" w:rsidRPr="006623B9" w14:paraId="3CB9B665" w14:textId="77777777" w:rsidTr="00F2460B">
        <w:tc>
          <w:tcPr>
            <w:tcW w:w="0" w:type="auto"/>
            <w:shd w:val="clear" w:color="auto" w:fill="FFFFFF"/>
            <w:tcMar>
              <w:top w:w="0" w:type="dxa"/>
              <w:left w:w="85" w:type="dxa"/>
              <w:bottom w:w="0" w:type="dxa"/>
              <w:right w:w="85" w:type="dxa"/>
            </w:tcMar>
          </w:tcPr>
          <w:p w14:paraId="0D8EB2CF" w14:textId="77777777" w:rsidR="00EB5913" w:rsidRPr="006623B9" w:rsidRDefault="00EB5913" w:rsidP="00F16E23">
            <w:pPr>
              <w:pStyle w:val="TableText"/>
              <w:spacing w:before="40" w:after="40"/>
            </w:pPr>
            <w:r w:rsidRPr="006623B9">
              <w:rPr>
                <w:rFonts w:eastAsia="Calibri"/>
              </w:rPr>
              <w:t>Unmanaged SWDS (5.A.2)</w:t>
            </w:r>
          </w:p>
        </w:tc>
        <w:tc>
          <w:tcPr>
            <w:tcW w:w="1928" w:type="dxa"/>
            <w:shd w:val="clear" w:color="auto" w:fill="FFFFFF"/>
            <w:tcMar>
              <w:top w:w="0" w:type="dxa"/>
              <w:left w:w="85" w:type="dxa"/>
              <w:bottom w:w="0" w:type="dxa"/>
              <w:right w:w="85" w:type="dxa"/>
            </w:tcMar>
          </w:tcPr>
          <w:p w14:paraId="366E6393" w14:textId="77777777" w:rsidR="00EB5913" w:rsidRPr="006623B9" w:rsidRDefault="00EB5913" w:rsidP="00F16E23">
            <w:pPr>
              <w:pStyle w:val="TableText"/>
              <w:spacing w:before="40" w:after="40"/>
            </w:pPr>
            <w:r w:rsidRPr="006623B9">
              <w:rPr>
                <w:rFonts w:eastAsia="Calibri"/>
              </w:rPr>
              <w:t>Classes 2–5 landfills</w:t>
            </w:r>
          </w:p>
        </w:tc>
        <w:tc>
          <w:tcPr>
            <w:tcW w:w="4734" w:type="dxa"/>
            <w:shd w:val="clear" w:color="auto" w:fill="FFFFFF"/>
            <w:tcMar>
              <w:top w:w="0" w:type="dxa"/>
              <w:left w:w="85" w:type="dxa"/>
              <w:bottom w:w="0" w:type="dxa"/>
              <w:right w:w="85" w:type="dxa"/>
            </w:tcMar>
          </w:tcPr>
          <w:p w14:paraId="43EED6F8" w14:textId="77777777" w:rsidR="00EB5913" w:rsidRPr="006623B9" w:rsidRDefault="00EB5913" w:rsidP="00F16E23">
            <w:pPr>
              <w:pStyle w:val="TableText"/>
              <w:spacing w:before="40" w:after="40"/>
            </w:pPr>
            <w:r w:rsidRPr="006623B9">
              <w:rPr>
                <w:rFonts w:eastAsia="Calibri"/>
              </w:rPr>
              <w:t>Includes industrial monofills. These landfills are not equipped with gas recovery</w:t>
            </w:r>
            <w:r>
              <w:rPr>
                <w:rFonts w:eastAsia="Calibri"/>
              </w:rPr>
              <w:t xml:space="preserve"> </w:t>
            </w:r>
            <w:r w:rsidRPr="006623B9">
              <w:rPr>
                <w:rFonts w:eastAsia="Calibri"/>
              </w:rPr>
              <w:t>systems</w:t>
            </w:r>
          </w:p>
        </w:tc>
      </w:tr>
      <w:tr w:rsidR="00EB5913" w:rsidRPr="006623B9" w14:paraId="11A13CFF" w14:textId="77777777" w:rsidTr="00F2460B">
        <w:tc>
          <w:tcPr>
            <w:tcW w:w="0" w:type="auto"/>
            <w:shd w:val="clear" w:color="auto" w:fill="FFFFFF"/>
            <w:tcMar>
              <w:top w:w="0" w:type="dxa"/>
              <w:left w:w="85" w:type="dxa"/>
              <w:bottom w:w="0" w:type="dxa"/>
              <w:right w:w="85" w:type="dxa"/>
            </w:tcMar>
          </w:tcPr>
          <w:p w14:paraId="3B97136A" w14:textId="4DD4CF8C" w:rsidR="00EB5913" w:rsidRPr="006623B9" w:rsidRDefault="00EB5913" w:rsidP="00F16E23">
            <w:pPr>
              <w:pStyle w:val="TableText"/>
              <w:spacing w:before="40" w:after="40"/>
            </w:pPr>
            <w:r w:rsidRPr="006623B9">
              <w:rPr>
                <w:rFonts w:eastAsia="Calibri"/>
              </w:rPr>
              <w:t>Unmanaged SWDS (5.A.2)</w:t>
            </w:r>
          </w:p>
        </w:tc>
        <w:tc>
          <w:tcPr>
            <w:tcW w:w="1928" w:type="dxa"/>
            <w:shd w:val="clear" w:color="auto" w:fill="FFFFFF"/>
            <w:tcMar>
              <w:top w:w="0" w:type="dxa"/>
              <w:left w:w="85" w:type="dxa"/>
              <w:bottom w:w="0" w:type="dxa"/>
              <w:right w:w="85" w:type="dxa"/>
            </w:tcMar>
          </w:tcPr>
          <w:p w14:paraId="2DD0915E" w14:textId="77777777" w:rsidR="00EB5913" w:rsidRPr="006623B9" w:rsidRDefault="00EB5913" w:rsidP="00F16E23">
            <w:pPr>
              <w:pStyle w:val="TableText"/>
              <w:spacing w:before="40" w:after="40"/>
            </w:pPr>
            <w:r w:rsidRPr="006623B9">
              <w:rPr>
                <w:rFonts w:eastAsia="Calibri"/>
              </w:rPr>
              <w:t>Farm fills</w:t>
            </w:r>
          </w:p>
        </w:tc>
        <w:tc>
          <w:tcPr>
            <w:tcW w:w="4734" w:type="dxa"/>
            <w:shd w:val="clear" w:color="auto" w:fill="FFFFFF"/>
            <w:tcMar>
              <w:top w:w="0" w:type="dxa"/>
              <w:left w:w="85" w:type="dxa"/>
              <w:bottom w:w="0" w:type="dxa"/>
              <w:right w:w="85" w:type="dxa"/>
            </w:tcMar>
          </w:tcPr>
          <w:p w14:paraId="35657E0B" w14:textId="77777777" w:rsidR="00EB5913" w:rsidRPr="006623B9" w:rsidRDefault="00EB5913" w:rsidP="00F16E23">
            <w:pPr>
              <w:pStyle w:val="TableText"/>
              <w:spacing w:before="40" w:after="40"/>
            </w:pPr>
            <w:r w:rsidRPr="006623B9">
              <w:rPr>
                <w:rFonts w:eastAsia="Calibri"/>
              </w:rPr>
              <w:t>Disposal of about half of farm waste</w:t>
            </w:r>
          </w:p>
        </w:tc>
      </w:tr>
      <w:tr w:rsidR="00EB5913" w:rsidRPr="006623B9" w14:paraId="0FB706BE" w14:textId="77777777" w:rsidTr="00F2460B">
        <w:tc>
          <w:tcPr>
            <w:tcW w:w="0" w:type="auto"/>
            <w:shd w:val="clear" w:color="auto" w:fill="FFFFFF"/>
            <w:tcMar>
              <w:top w:w="0" w:type="dxa"/>
              <w:left w:w="85" w:type="dxa"/>
              <w:bottom w:w="0" w:type="dxa"/>
              <w:right w:w="85" w:type="dxa"/>
            </w:tcMar>
          </w:tcPr>
          <w:p w14:paraId="71ADC3AC" w14:textId="77777777" w:rsidR="00EB5913" w:rsidRPr="006623B9" w:rsidRDefault="00EB5913" w:rsidP="00F16E23">
            <w:pPr>
              <w:pStyle w:val="TableText"/>
              <w:spacing w:before="40" w:after="40"/>
            </w:pPr>
            <w:r w:rsidRPr="006623B9">
              <w:rPr>
                <w:rFonts w:eastAsia="Calibri"/>
              </w:rPr>
              <w:t>Uncategorised SWDS (5.A.3)</w:t>
            </w:r>
          </w:p>
        </w:tc>
        <w:tc>
          <w:tcPr>
            <w:tcW w:w="1928" w:type="dxa"/>
            <w:shd w:val="clear" w:color="auto" w:fill="FFFFFF"/>
            <w:tcMar>
              <w:top w:w="0" w:type="dxa"/>
              <w:left w:w="85" w:type="dxa"/>
              <w:bottom w:w="0" w:type="dxa"/>
              <w:right w:w="85" w:type="dxa"/>
            </w:tcMar>
          </w:tcPr>
          <w:p w14:paraId="323890CD" w14:textId="77777777" w:rsidR="00EB5913" w:rsidRPr="006623B9" w:rsidRDefault="00EB5913" w:rsidP="00F16E23">
            <w:pPr>
              <w:pStyle w:val="TableText"/>
              <w:spacing w:before="40" w:after="40"/>
            </w:pPr>
            <w:r w:rsidRPr="006623B9">
              <w:rPr>
                <w:rFonts w:eastAsia="Calibri"/>
              </w:rPr>
              <w:t>Other municipal landfills (now closed)</w:t>
            </w:r>
          </w:p>
        </w:tc>
        <w:tc>
          <w:tcPr>
            <w:tcW w:w="4734" w:type="dxa"/>
            <w:shd w:val="clear" w:color="auto" w:fill="FFFFFF"/>
            <w:tcMar>
              <w:top w:w="0" w:type="dxa"/>
              <w:left w:w="85" w:type="dxa"/>
              <w:bottom w:w="0" w:type="dxa"/>
              <w:right w:w="85" w:type="dxa"/>
            </w:tcMar>
          </w:tcPr>
          <w:p w14:paraId="3F17D0EE" w14:textId="77777777" w:rsidR="00EB5913" w:rsidRPr="006623B9" w:rsidRDefault="00EB5913" w:rsidP="00F16E23">
            <w:pPr>
              <w:pStyle w:val="TableText"/>
              <w:spacing w:before="40" w:after="40"/>
            </w:pPr>
            <w:r w:rsidRPr="006623B9">
              <w:rPr>
                <w:rFonts w:eastAsia="Calibri"/>
              </w:rPr>
              <w:t>Although waste disposal at these sites occurred only prior to 2010, emissions continue to be reported due to ongoing decomposition over time. These landfills are not equipped with gas recovery</w:t>
            </w:r>
            <w:r>
              <w:rPr>
                <w:rFonts w:eastAsia="Calibri"/>
              </w:rPr>
              <w:t xml:space="preserve"> </w:t>
            </w:r>
            <w:r w:rsidRPr="006623B9">
              <w:rPr>
                <w:rFonts w:eastAsia="Calibri"/>
              </w:rPr>
              <w:t>systems</w:t>
            </w:r>
          </w:p>
        </w:tc>
      </w:tr>
    </w:tbl>
    <w:p w14:paraId="7B8A570D" w14:textId="77777777" w:rsidR="00EB5913" w:rsidRPr="006623B9" w:rsidRDefault="00EB5913" w:rsidP="00EB5913">
      <w:pPr>
        <w:pStyle w:val="BodyText"/>
        <w:spacing w:before="240"/>
      </w:pPr>
      <w:r w:rsidRPr="006623B9">
        <w:t>Since 1990, a range of initiatives have been implemented to improve solid waste management practices in New Zealand, including:</w:t>
      </w:r>
    </w:p>
    <w:p w14:paraId="053A7820" w14:textId="77777777" w:rsidR="00EB5913" w:rsidRPr="006623B9" w:rsidRDefault="00EB5913" w:rsidP="00EB5913">
      <w:pPr>
        <w:pStyle w:val="Bullet"/>
      </w:pPr>
      <w:r w:rsidRPr="006623B9">
        <w:t>resource consent requirements: all municipal landfills must meet the conditions set under the Resource Management Act 1991</w:t>
      </w:r>
    </w:p>
    <w:p w14:paraId="2F1F1468" w14:textId="77777777" w:rsidR="00EB5913" w:rsidRPr="006623B9" w:rsidRDefault="00EB5913" w:rsidP="00EB5913">
      <w:pPr>
        <w:pStyle w:val="Bullet"/>
      </w:pPr>
      <w:r w:rsidRPr="006623B9">
        <w:t>National Environmental Standards for Air Quality (2004): enacted under the Resource Management Act 1991, these standards require large landfills to capture LFG, significantly increasing the adoption of LFG recovery technology</w:t>
      </w:r>
    </w:p>
    <w:p w14:paraId="565E96C6" w14:textId="77777777" w:rsidR="00EB5913" w:rsidRPr="006623B9" w:rsidRDefault="00EB5913" w:rsidP="00EB5913">
      <w:pPr>
        <w:pStyle w:val="Bullet"/>
      </w:pPr>
      <w:r w:rsidRPr="006623B9">
        <w:t>New Zealand Waste Strategy: initially published in 2002 and updated in 2010 and 2023, this strategic document provides guidance for local governments and the Waste sector (Ministry for the Environment, 2002a, 2010, 2023</w:t>
      </w:r>
      <w:r w:rsidRPr="006623B9">
        <w:rPr>
          <w:rStyle w:val="FootnoteReference"/>
        </w:rPr>
        <w:footnoteReference w:id="51"/>
      </w:r>
      <w:r w:rsidRPr="006623B9">
        <w:t>)</w:t>
      </w:r>
    </w:p>
    <w:p w14:paraId="05CAFE3A" w14:textId="77777777" w:rsidR="00EB5913" w:rsidRPr="006623B9" w:rsidRDefault="00EB5913" w:rsidP="00EB5913">
      <w:pPr>
        <w:pStyle w:val="Bullet"/>
      </w:pPr>
      <w:r w:rsidRPr="006623B9">
        <w:t>Solid Waste Analysis Protocol (2002): this protocol, updated in 2022, provides a consistent system for classifying, sampling and estimating the composition of solid waste (Ministry for the Environment, 2002b)</w:t>
      </w:r>
    </w:p>
    <w:p w14:paraId="5787B7CF" w14:textId="77777777" w:rsidR="00EB5913" w:rsidRPr="006623B9" w:rsidRDefault="00EB5913" w:rsidP="00EB5913">
      <w:pPr>
        <w:pStyle w:val="Bullet"/>
      </w:pPr>
      <w:r w:rsidRPr="006623B9">
        <w:t>Waste Minimisation Act 2008: this Act introduced a levy on the disposal of municipal solid waste disposal, it was initially set at NZ$10 per tonne in 2009 and progressively increased to NZ$60 per tonne by July 2024. Since 2022, the levy has also applied to non-municipal landfills. Additionally, from 1 July 2024, new waste data regulations came into effect under the WMA</w:t>
      </w:r>
    </w:p>
    <w:p w14:paraId="0CA357A5" w14:textId="77777777" w:rsidR="00EB5913" w:rsidRPr="006623B9" w:rsidRDefault="00EB5913" w:rsidP="00EB5913">
      <w:pPr>
        <w:pStyle w:val="Bullet"/>
      </w:pPr>
      <w:r w:rsidRPr="006623B9">
        <w:t>local government waste management plans: under the WMA, local governments are required to prepare waste management and minimisation plans every six years, supported by funding for waste minimisation services.</w:t>
      </w:r>
    </w:p>
    <w:p w14:paraId="71660771" w14:textId="77777777" w:rsidR="00EB5913" w:rsidRPr="006623B9" w:rsidRDefault="00EB5913" w:rsidP="00EB5913">
      <w:pPr>
        <w:pStyle w:val="BodyText"/>
      </w:pPr>
      <w:r w:rsidRPr="006623B9">
        <w:t>In addition, most municipal landfills are mandatory participants in the NZ ETS, with obligations to report and surrender emission units for CH</w:t>
      </w:r>
      <w:r w:rsidRPr="006623B9">
        <w:rPr>
          <w:vertAlign w:val="subscript"/>
        </w:rPr>
        <w:t>4</w:t>
      </w:r>
      <w:r w:rsidRPr="006623B9">
        <w:t xml:space="preserve"> emissions, estimated through mass balance methods.</w:t>
      </w:r>
    </w:p>
    <w:p w14:paraId="72386439" w14:textId="2586BF92" w:rsidR="00EB5913" w:rsidRPr="006623B9" w:rsidRDefault="00EB5913" w:rsidP="00EB5913">
      <w:pPr>
        <w:pStyle w:val="BodyText"/>
      </w:pPr>
      <w:r w:rsidRPr="006623B9">
        <w:t>These initiatives have led to significant improvements in waste management since 1990. Many small, poorly located and substandard municipal landfills have been closed, with municipalities now relying on larger, more modern regional facilities. In 2024, there were 40 active</w:t>
      </w:r>
      <w:r w:rsidRPr="006623B9">
        <w:rPr>
          <w:rStyle w:val="FootnoteReference"/>
        </w:rPr>
        <w:footnoteReference w:id="52"/>
      </w:r>
      <w:r w:rsidRPr="006623B9">
        <w:t xml:space="preserve"> managed S</w:t>
      </w:r>
      <w:r w:rsidR="005E6D98">
        <w:t>W</w:t>
      </w:r>
      <w:r w:rsidRPr="006623B9">
        <w:t>DS, a significant reduction from 327 in 1995 and 563 in 1971. This shift has been driven by the policy initiatives outlined above, which have encouraged consolidation into fewer, better-managed landfills. The overall volume of waste disposed of in landfills has increased over time, largely due to population growth, especially in unmanaged SWDS (see table 7.2.4 and table 7.2.6). The increased disposal activity and reduction in the number of landfills mean the operating facilities are larger.</w:t>
      </w:r>
    </w:p>
    <w:p w14:paraId="7869C761" w14:textId="77777777" w:rsidR="00EB5913" w:rsidRPr="006623B9" w:rsidRDefault="00EB5913" w:rsidP="00EB5913">
      <w:pPr>
        <w:pStyle w:val="BodyText"/>
      </w:pPr>
      <w:r w:rsidRPr="006623B9">
        <w:t>Unmanaged SWDS and farm fills are required to comply with regional policies and plans under the Resource Management Act 1991. Historically, these facilities were not required to monitor or report the waste they accepted, nor were they required to pay the waste levy or participate in the NZ ETS. However, since July 2022, unmanaged SWDS have been included in the waste levy system.</w:t>
      </w:r>
    </w:p>
    <w:p w14:paraId="0D12CB01" w14:textId="77777777" w:rsidR="00EB5913" w:rsidRPr="006623B9" w:rsidRDefault="00EB5913" w:rsidP="00EB5913">
      <w:pPr>
        <w:pStyle w:val="BodyText"/>
      </w:pPr>
      <w:r w:rsidRPr="006623B9">
        <w:t xml:space="preserve">In 2024, the </w:t>
      </w:r>
      <w:r w:rsidRPr="006623B9">
        <w:rPr>
          <w:i/>
          <w:iCs/>
        </w:rPr>
        <w:t>Solid waste disposal</w:t>
      </w:r>
      <w:r w:rsidRPr="006623B9">
        <w:t xml:space="preserve"> source category contributed 2,327.1 kt CO</w:t>
      </w:r>
      <w:r w:rsidRPr="006623B9">
        <w:rPr>
          <w:vertAlign w:val="subscript"/>
        </w:rPr>
        <w:t>2</w:t>
      </w:r>
      <w:r w:rsidRPr="006623B9">
        <w:t>e (77.3 percent) of total emissions from the Waste sector (see table 7.2.2).</w:t>
      </w:r>
    </w:p>
    <w:p w14:paraId="25029518" w14:textId="77777777" w:rsidR="00EB5913" w:rsidRPr="006623B9" w:rsidRDefault="00EB5913" w:rsidP="00EB5913">
      <w:pPr>
        <w:pStyle w:val="BodyText"/>
      </w:pPr>
      <w:r w:rsidRPr="006623B9">
        <w:t xml:space="preserve">Emissions from </w:t>
      </w:r>
      <w:r w:rsidRPr="006623B9">
        <w:rPr>
          <w:i/>
          <w:iCs/>
        </w:rPr>
        <w:t>Solid waste disposal</w:t>
      </w:r>
      <w:r w:rsidRPr="006623B9">
        <w:t xml:space="preserve"> in 2024 were 21.2 kt CO</w:t>
      </w:r>
      <w:r w:rsidRPr="006623B9">
        <w:rPr>
          <w:vertAlign w:val="subscript"/>
        </w:rPr>
        <w:t>2</w:t>
      </w:r>
      <w:r w:rsidRPr="006623B9">
        <w:t>e (0.9 percent) below the 2023 level of 2,348.3 kt CO</w:t>
      </w:r>
      <w:r w:rsidRPr="006623B9">
        <w:rPr>
          <w:vertAlign w:val="subscript"/>
        </w:rPr>
        <w:t>2</w:t>
      </w:r>
      <w:r w:rsidRPr="006623B9">
        <w:t>e, 851.7 kt CO</w:t>
      </w:r>
      <w:r w:rsidRPr="006623B9">
        <w:rPr>
          <w:vertAlign w:val="subscript"/>
        </w:rPr>
        <w:t>2</w:t>
      </w:r>
      <w:r w:rsidRPr="006623B9">
        <w:t>e (26.8 percent) below the 2005 level of 3,178.8 kt CO</w:t>
      </w:r>
      <w:r w:rsidRPr="006623B9">
        <w:rPr>
          <w:vertAlign w:val="subscript"/>
        </w:rPr>
        <w:t>2</w:t>
      </w:r>
      <w:r w:rsidRPr="006623B9">
        <w:t>e and 319.7 kt CO</w:t>
      </w:r>
      <w:r w:rsidRPr="006623B9">
        <w:rPr>
          <w:vertAlign w:val="subscript"/>
        </w:rPr>
        <w:t>2</w:t>
      </w:r>
      <w:r w:rsidRPr="006623B9">
        <w:t>e (12.1 percent) below the 1990 level of 2,646.8 kt CO</w:t>
      </w:r>
      <w:r w:rsidRPr="006623B9">
        <w:rPr>
          <w:vertAlign w:val="subscript"/>
        </w:rPr>
        <w:t>2</w:t>
      </w:r>
      <w:r w:rsidRPr="006623B9">
        <w:t>e.</w:t>
      </w:r>
    </w:p>
    <w:p w14:paraId="6F1E883E" w14:textId="77777777" w:rsidR="00EB5913" w:rsidRPr="006623B9" w:rsidRDefault="00EB5913" w:rsidP="00EB5913">
      <w:pPr>
        <w:pStyle w:val="BodyText"/>
      </w:pPr>
      <w:r w:rsidRPr="006623B9">
        <w:t>While there is year-to-year variation, this net decrease is the result of two key drivers. First, population and economic growth have driven ongoing increases in the total amount of municipal waste generated. Secondly, changing composition over time and improved landfill management practices, particularly LFG recovery, have offset this increase, resulting in emissions peaking in 2002.</w:t>
      </w:r>
    </w:p>
    <w:p w14:paraId="015D9A27" w14:textId="77777777" w:rsidR="00EB5913" w:rsidRPr="006623B9" w:rsidRDefault="00EB5913" w:rsidP="00EB5913">
      <w:pPr>
        <w:pStyle w:val="Table"/>
      </w:pPr>
      <w:bookmarkStart w:id="3013" w:name="_Toc226669100"/>
      <w:r w:rsidRPr="006623B9">
        <w:t xml:space="preserve">Table 7.2.2 </w:t>
      </w:r>
      <w:r w:rsidRPr="006623B9">
        <w:tab/>
        <w:t xml:space="preserve">Emissions from </w:t>
      </w:r>
      <w:r w:rsidRPr="006623B9">
        <w:rPr>
          <w:i/>
          <w:iCs/>
        </w:rPr>
        <w:t>Solid waste disposal</w:t>
      </w:r>
      <w:r w:rsidRPr="006623B9">
        <w:t xml:space="preserve"> (5.A)</w:t>
      </w:r>
      <w:bookmarkEnd w:id="301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712"/>
        <w:gridCol w:w="739"/>
        <w:gridCol w:w="599"/>
        <w:gridCol w:w="599"/>
        <w:gridCol w:w="599"/>
        <w:gridCol w:w="794"/>
        <w:gridCol w:w="682"/>
        <w:gridCol w:w="682"/>
        <w:gridCol w:w="724"/>
        <w:gridCol w:w="682"/>
        <w:gridCol w:w="682"/>
      </w:tblGrid>
      <w:tr w:rsidR="00EB5913" w:rsidRPr="006623B9" w14:paraId="00FD3AAF" w14:textId="77777777" w:rsidTr="00F16E23">
        <w:trPr>
          <w:tblHeader/>
        </w:trPr>
        <w:tc>
          <w:tcPr>
            <w:tcW w:w="0" w:type="auto"/>
            <w:shd w:val="clear" w:color="auto" w:fill="1B556B"/>
            <w:tcMar>
              <w:top w:w="0" w:type="dxa"/>
              <w:left w:w="85" w:type="dxa"/>
              <w:bottom w:w="0" w:type="dxa"/>
              <w:right w:w="85" w:type="dxa"/>
            </w:tcMar>
            <w:vAlign w:val="center"/>
          </w:tcPr>
          <w:p w14:paraId="7EEF85BC" w14:textId="77777777" w:rsidR="00EB5913" w:rsidRPr="006623B9" w:rsidRDefault="00EB5913" w:rsidP="00F16E23">
            <w:pPr>
              <w:pStyle w:val="TableTextBold"/>
              <w:spacing w:before="40" w:after="0"/>
              <w:rPr>
                <w:noProof w:val="0"/>
                <w:color w:val="FFFFFF" w:themeColor="background1"/>
                <w:sz w:val="14"/>
                <w:szCs w:val="14"/>
              </w:rPr>
            </w:pPr>
          </w:p>
        </w:tc>
        <w:tc>
          <w:tcPr>
            <w:tcW w:w="0" w:type="auto"/>
            <w:shd w:val="clear" w:color="auto" w:fill="1B556B"/>
            <w:tcMar>
              <w:top w:w="0" w:type="dxa"/>
              <w:left w:w="85" w:type="dxa"/>
              <w:bottom w:w="0" w:type="dxa"/>
              <w:right w:w="85" w:type="dxa"/>
            </w:tcMar>
            <w:vAlign w:val="bottom"/>
          </w:tcPr>
          <w:p w14:paraId="45EA66A6" w14:textId="77777777" w:rsidR="00EB5913" w:rsidRPr="006623B9" w:rsidRDefault="00EB5913" w:rsidP="00F16E23">
            <w:pPr>
              <w:pStyle w:val="TableTextBold"/>
              <w:spacing w:before="40" w:after="0"/>
              <w:jc w:val="right"/>
              <w:rPr>
                <w:noProof w:val="0"/>
                <w:color w:val="FFFFFF" w:themeColor="background1"/>
                <w:sz w:val="14"/>
                <w:szCs w:val="14"/>
              </w:rPr>
            </w:pPr>
            <w:r w:rsidRPr="006623B9">
              <w:rPr>
                <w:rFonts w:eastAsia="Calibri" w:cs="Calibri"/>
                <w:noProof w:val="0"/>
                <w:color w:val="FFFFFF" w:themeColor="background1"/>
                <w:sz w:val="14"/>
                <w:szCs w:val="14"/>
              </w:rPr>
              <w:t xml:space="preserve">Emissions </w:t>
            </w:r>
            <w:r w:rsidRPr="006623B9">
              <w:rPr>
                <w:rFonts w:eastAsia="Calibri" w:cs="Calibri"/>
                <w:noProof w:val="0"/>
                <w:color w:val="FFFFFF" w:themeColor="background1"/>
                <w:sz w:val="14"/>
                <w:szCs w:val="14"/>
              </w:rPr>
              <w:br/>
              <w:t>(kt CO</w:t>
            </w:r>
            <w:r w:rsidRPr="006623B9">
              <w:rPr>
                <w:rFonts w:eastAsia="Calibri" w:cs="Calibri"/>
                <w:noProof w:val="0"/>
                <w:color w:val="FFFFFF" w:themeColor="background1"/>
                <w:sz w:val="14"/>
                <w:szCs w:val="14"/>
                <w:vertAlign w:val="subscript"/>
              </w:rPr>
              <w:t>2</w:t>
            </w:r>
            <w:r w:rsidRPr="006623B9">
              <w:rPr>
                <w:rFonts w:eastAsia="Calibri" w:cs="Calibri"/>
                <w:noProof w:val="0"/>
                <w:color w:val="FFFFFF" w:themeColor="background1"/>
                <w:sz w:val="14"/>
                <w:szCs w:val="14"/>
              </w:rPr>
              <w:t>e)</w:t>
            </w:r>
          </w:p>
        </w:tc>
        <w:tc>
          <w:tcPr>
            <w:tcW w:w="0" w:type="auto"/>
            <w:shd w:val="clear" w:color="auto" w:fill="1B556B"/>
            <w:tcMar>
              <w:top w:w="0" w:type="dxa"/>
              <w:left w:w="85" w:type="dxa"/>
              <w:bottom w:w="0" w:type="dxa"/>
              <w:right w:w="85" w:type="dxa"/>
            </w:tcMar>
            <w:vAlign w:val="bottom"/>
          </w:tcPr>
          <w:p w14:paraId="4C70BC28" w14:textId="77777777" w:rsidR="00EB5913" w:rsidRPr="006623B9" w:rsidRDefault="00EB5913" w:rsidP="00F16E23">
            <w:pPr>
              <w:pStyle w:val="TableTextBold"/>
              <w:spacing w:before="40" w:after="0"/>
              <w:jc w:val="right"/>
              <w:rPr>
                <w:noProof w:val="0"/>
                <w:color w:val="FFFFFF" w:themeColor="background1"/>
                <w:sz w:val="14"/>
                <w:szCs w:val="14"/>
              </w:rPr>
            </w:pPr>
          </w:p>
        </w:tc>
        <w:tc>
          <w:tcPr>
            <w:tcW w:w="0" w:type="auto"/>
            <w:shd w:val="clear" w:color="auto" w:fill="1B556B"/>
            <w:tcMar>
              <w:top w:w="0" w:type="dxa"/>
              <w:left w:w="85" w:type="dxa"/>
              <w:bottom w:w="0" w:type="dxa"/>
              <w:right w:w="85" w:type="dxa"/>
            </w:tcMar>
            <w:vAlign w:val="bottom"/>
          </w:tcPr>
          <w:p w14:paraId="1BEF19CF" w14:textId="77777777" w:rsidR="00EB5913" w:rsidRPr="006623B9" w:rsidRDefault="00EB5913" w:rsidP="00F16E23">
            <w:pPr>
              <w:pStyle w:val="TableTextBold"/>
              <w:spacing w:before="40" w:after="0"/>
              <w:jc w:val="right"/>
              <w:rPr>
                <w:noProof w:val="0"/>
                <w:color w:val="FFFFFF" w:themeColor="background1"/>
                <w:sz w:val="14"/>
                <w:szCs w:val="14"/>
              </w:rPr>
            </w:pPr>
          </w:p>
        </w:tc>
        <w:tc>
          <w:tcPr>
            <w:tcW w:w="0" w:type="auto"/>
            <w:shd w:val="clear" w:color="auto" w:fill="1B556B"/>
            <w:tcMar>
              <w:top w:w="0" w:type="dxa"/>
              <w:left w:w="85" w:type="dxa"/>
              <w:bottom w:w="0" w:type="dxa"/>
              <w:right w:w="85" w:type="dxa"/>
            </w:tcMar>
            <w:vAlign w:val="bottom"/>
          </w:tcPr>
          <w:p w14:paraId="3EBDD46B" w14:textId="77777777" w:rsidR="00EB5913" w:rsidRPr="006623B9" w:rsidRDefault="00EB5913" w:rsidP="00F16E23">
            <w:pPr>
              <w:pStyle w:val="TableTextBold"/>
              <w:spacing w:before="40" w:after="0"/>
              <w:jc w:val="right"/>
              <w:rPr>
                <w:noProof w:val="0"/>
                <w:color w:val="FFFFFF" w:themeColor="background1"/>
                <w:sz w:val="14"/>
                <w:szCs w:val="14"/>
              </w:rPr>
            </w:pPr>
          </w:p>
        </w:tc>
        <w:tc>
          <w:tcPr>
            <w:tcW w:w="0" w:type="auto"/>
            <w:shd w:val="clear" w:color="auto" w:fill="1B556B"/>
            <w:tcMar>
              <w:top w:w="0" w:type="dxa"/>
              <w:left w:w="85" w:type="dxa"/>
              <w:bottom w:w="0" w:type="dxa"/>
              <w:right w:w="85" w:type="dxa"/>
            </w:tcMar>
            <w:vAlign w:val="bottom"/>
          </w:tcPr>
          <w:p w14:paraId="138AEBE2" w14:textId="77777777" w:rsidR="00EB5913" w:rsidRPr="006623B9" w:rsidRDefault="00EB5913" w:rsidP="00F16E23">
            <w:pPr>
              <w:pStyle w:val="TableTextBold"/>
              <w:spacing w:before="40" w:after="0"/>
              <w:jc w:val="right"/>
              <w:rPr>
                <w:noProof w:val="0"/>
                <w:color w:val="FFFFFF" w:themeColor="background1"/>
                <w:sz w:val="14"/>
                <w:szCs w:val="14"/>
              </w:rPr>
            </w:pPr>
            <w:r w:rsidRPr="006623B9">
              <w:rPr>
                <w:rFonts w:eastAsia="Calibri" w:cs="Calibri"/>
                <w:noProof w:val="0"/>
                <w:color w:val="FFFFFF" w:themeColor="background1"/>
                <w:sz w:val="14"/>
                <w:szCs w:val="14"/>
              </w:rPr>
              <w:t xml:space="preserve">Difference </w:t>
            </w:r>
            <w:r w:rsidRPr="006623B9">
              <w:rPr>
                <w:rFonts w:eastAsia="Calibri" w:cs="Calibri"/>
                <w:noProof w:val="0"/>
                <w:color w:val="FFFFFF" w:themeColor="background1"/>
                <w:sz w:val="14"/>
                <w:szCs w:val="14"/>
              </w:rPr>
              <w:br/>
              <w:t>(kt CO</w:t>
            </w:r>
            <w:r w:rsidRPr="006623B9">
              <w:rPr>
                <w:rFonts w:eastAsia="Calibri" w:cs="Calibri"/>
                <w:noProof w:val="0"/>
                <w:color w:val="FFFFFF" w:themeColor="background1"/>
                <w:sz w:val="14"/>
                <w:szCs w:val="14"/>
                <w:vertAlign w:val="subscript"/>
              </w:rPr>
              <w:t>2</w:t>
            </w:r>
            <w:r w:rsidRPr="006623B9">
              <w:rPr>
                <w:rFonts w:eastAsia="Calibri" w:cs="Calibri"/>
                <w:noProof w:val="0"/>
                <w:color w:val="FFFFFF" w:themeColor="background1"/>
                <w:sz w:val="14"/>
                <w:szCs w:val="14"/>
              </w:rPr>
              <w:t>e)</w:t>
            </w:r>
          </w:p>
        </w:tc>
        <w:tc>
          <w:tcPr>
            <w:tcW w:w="0" w:type="auto"/>
            <w:shd w:val="clear" w:color="auto" w:fill="1B556B"/>
            <w:tcMar>
              <w:top w:w="0" w:type="dxa"/>
              <w:left w:w="85" w:type="dxa"/>
              <w:bottom w:w="0" w:type="dxa"/>
              <w:right w:w="85" w:type="dxa"/>
            </w:tcMar>
            <w:vAlign w:val="bottom"/>
          </w:tcPr>
          <w:p w14:paraId="5387FCDD" w14:textId="77777777" w:rsidR="00EB5913" w:rsidRPr="006623B9" w:rsidRDefault="00EB5913" w:rsidP="00F16E23">
            <w:pPr>
              <w:pStyle w:val="TableTextBold"/>
              <w:spacing w:before="40" w:after="0"/>
              <w:jc w:val="right"/>
              <w:rPr>
                <w:noProof w:val="0"/>
                <w:color w:val="FFFFFF" w:themeColor="background1"/>
                <w:sz w:val="14"/>
                <w:szCs w:val="14"/>
              </w:rPr>
            </w:pPr>
          </w:p>
        </w:tc>
        <w:tc>
          <w:tcPr>
            <w:tcW w:w="0" w:type="auto"/>
            <w:shd w:val="clear" w:color="auto" w:fill="1B556B"/>
            <w:tcMar>
              <w:top w:w="0" w:type="dxa"/>
              <w:left w:w="85" w:type="dxa"/>
              <w:bottom w:w="0" w:type="dxa"/>
              <w:right w:w="85" w:type="dxa"/>
            </w:tcMar>
            <w:vAlign w:val="bottom"/>
          </w:tcPr>
          <w:p w14:paraId="22FC9A3B" w14:textId="77777777" w:rsidR="00EB5913" w:rsidRPr="006623B9" w:rsidRDefault="00EB5913" w:rsidP="00F16E23">
            <w:pPr>
              <w:pStyle w:val="TableTextBold"/>
              <w:spacing w:before="40" w:after="0"/>
              <w:jc w:val="right"/>
              <w:rPr>
                <w:noProof w:val="0"/>
                <w:color w:val="FFFFFF" w:themeColor="background1"/>
                <w:sz w:val="14"/>
                <w:szCs w:val="14"/>
              </w:rPr>
            </w:pPr>
          </w:p>
        </w:tc>
        <w:tc>
          <w:tcPr>
            <w:tcW w:w="0" w:type="auto"/>
            <w:shd w:val="clear" w:color="auto" w:fill="1B556B"/>
            <w:tcMar>
              <w:top w:w="0" w:type="dxa"/>
              <w:left w:w="85" w:type="dxa"/>
              <w:bottom w:w="0" w:type="dxa"/>
              <w:right w:w="85" w:type="dxa"/>
            </w:tcMar>
            <w:vAlign w:val="bottom"/>
          </w:tcPr>
          <w:p w14:paraId="4FB58B25" w14:textId="77777777" w:rsidR="00EB5913" w:rsidRPr="006623B9" w:rsidRDefault="00EB5913" w:rsidP="00F16E23">
            <w:pPr>
              <w:pStyle w:val="TableTextBold"/>
              <w:spacing w:before="40" w:after="0"/>
              <w:jc w:val="right"/>
              <w:rPr>
                <w:noProof w:val="0"/>
                <w:color w:val="FFFFFF" w:themeColor="background1"/>
                <w:sz w:val="14"/>
                <w:szCs w:val="14"/>
              </w:rPr>
            </w:pPr>
            <w:r w:rsidRPr="006623B9">
              <w:rPr>
                <w:rFonts w:eastAsia="Calibri" w:cs="Calibri"/>
                <w:noProof w:val="0"/>
                <w:color w:val="FFFFFF" w:themeColor="background1"/>
                <w:sz w:val="14"/>
                <w:szCs w:val="14"/>
              </w:rPr>
              <w:t>Change (%)</w:t>
            </w:r>
          </w:p>
        </w:tc>
        <w:tc>
          <w:tcPr>
            <w:tcW w:w="0" w:type="auto"/>
            <w:shd w:val="clear" w:color="auto" w:fill="1B556B"/>
            <w:tcMar>
              <w:top w:w="0" w:type="dxa"/>
              <w:left w:w="85" w:type="dxa"/>
              <w:bottom w:w="0" w:type="dxa"/>
              <w:right w:w="85" w:type="dxa"/>
            </w:tcMar>
            <w:vAlign w:val="bottom"/>
          </w:tcPr>
          <w:p w14:paraId="02A7EFC0" w14:textId="77777777" w:rsidR="00EB5913" w:rsidRPr="006623B9" w:rsidRDefault="00EB5913" w:rsidP="00F16E23">
            <w:pPr>
              <w:pStyle w:val="TableTextBold"/>
              <w:spacing w:before="40" w:after="0"/>
              <w:jc w:val="right"/>
              <w:rPr>
                <w:noProof w:val="0"/>
                <w:color w:val="FFFFFF" w:themeColor="background1"/>
                <w:sz w:val="14"/>
                <w:szCs w:val="14"/>
              </w:rPr>
            </w:pPr>
          </w:p>
        </w:tc>
        <w:tc>
          <w:tcPr>
            <w:tcW w:w="0" w:type="auto"/>
            <w:shd w:val="clear" w:color="auto" w:fill="1B556B"/>
            <w:tcMar>
              <w:top w:w="0" w:type="dxa"/>
              <w:left w:w="85" w:type="dxa"/>
              <w:bottom w:w="0" w:type="dxa"/>
              <w:right w:w="85" w:type="dxa"/>
            </w:tcMar>
            <w:vAlign w:val="bottom"/>
          </w:tcPr>
          <w:p w14:paraId="7FA53C0A" w14:textId="77777777" w:rsidR="00EB5913" w:rsidRPr="006623B9" w:rsidRDefault="00EB5913" w:rsidP="00F16E23">
            <w:pPr>
              <w:pStyle w:val="TableTextBold"/>
              <w:spacing w:before="40" w:after="0"/>
              <w:jc w:val="right"/>
              <w:rPr>
                <w:noProof w:val="0"/>
                <w:color w:val="FFFFFF" w:themeColor="background1"/>
                <w:sz w:val="14"/>
                <w:szCs w:val="14"/>
              </w:rPr>
            </w:pPr>
          </w:p>
        </w:tc>
      </w:tr>
      <w:tr w:rsidR="00EB5913" w:rsidRPr="006623B9" w14:paraId="29588A6D" w14:textId="77777777" w:rsidTr="00F16E23">
        <w:tc>
          <w:tcPr>
            <w:tcW w:w="0" w:type="auto"/>
            <w:shd w:val="clear" w:color="auto" w:fill="1B556B"/>
            <w:tcMar>
              <w:top w:w="0" w:type="dxa"/>
              <w:left w:w="85" w:type="dxa"/>
              <w:bottom w:w="0" w:type="dxa"/>
              <w:right w:w="85" w:type="dxa"/>
            </w:tcMar>
            <w:vAlign w:val="center"/>
          </w:tcPr>
          <w:p w14:paraId="0DC0F71C" w14:textId="77777777" w:rsidR="00EB5913" w:rsidRPr="006623B9" w:rsidRDefault="00EB5913" w:rsidP="00F16E23">
            <w:pPr>
              <w:pStyle w:val="TableTextBold"/>
              <w:spacing w:before="0" w:after="40"/>
              <w:rPr>
                <w:noProof w:val="0"/>
                <w:color w:val="FFFFFF" w:themeColor="background1"/>
                <w:sz w:val="14"/>
                <w:szCs w:val="14"/>
              </w:rPr>
            </w:pPr>
            <w:r w:rsidRPr="006623B9">
              <w:rPr>
                <w:rFonts w:eastAsia="Calibri" w:cs="Calibri"/>
                <w:noProof w:val="0"/>
                <w:color w:val="FFFFFF" w:themeColor="background1"/>
                <w:sz w:val="14"/>
                <w:szCs w:val="14"/>
              </w:rPr>
              <w:t>Source category</w:t>
            </w:r>
          </w:p>
        </w:tc>
        <w:tc>
          <w:tcPr>
            <w:tcW w:w="0" w:type="auto"/>
            <w:shd w:val="clear" w:color="auto" w:fill="1B556B"/>
            <w:tcMar>
              <w:top w:w="0" w:type="dxa"/>
              <w:left w:w="85" w:type="dxa"/>
              <w:bottom w:w="0" w:type="dxa"/>
              <w:right w:w="85" w:type="dxa"/>
            </w:tcMar>
            <w:vAlign w:val="bottom"/>
          </w:tcPr>
          <w:p w14:paraId="3ED4B51B"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1990</w:t>
            </w:r>
          </w:p>
        </w:tc>
        <w:tc>
          <w:tcPr>
            <w:tcW w:w="0" w:type="auto"/>
            <w:shd w:val="clear" w:color="auto" w:fill="1B556B"/>
            <w:tcMar>
              <w:top w:w="0" w:type="dxa"/>
              <w:left w:w="85" w:type="dxa"/>
              <w:bottom w:w="0" w:type="dxa"/>
              <w:right w:w="85" w:type="dxa"/>
            </w:tcMar>
            <w:vAlign w:val="bottom"/>
          </w:tcPr>
          <w:p w14:paraId="01349A2D"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2005</w:t>
            </w:r>
          </w:p>
        </w:tc>
        <w:tc>
          <w:tcPr>
            <w:tcW w:w="0" w:type="auto"/>
            <w:shd w:val="clear" w:color="auto" w:fill="1B556B"/>
            <w:tcMar>
              <w:top w:w="0" w:type="dxa"/>
              <w:left w:w="85" w:type="dxa"/>
              <w:bottom w:w="0" w:type="dxa"/>
              <w:right w:w="85" w:type="dxa"/>
            </w:tcMar>
            <w:vAlign w:val="bottom"/>
          </w:tcPr>
          <w:p w14:paraId="5A0B658C"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2023</w:t>
            </w:r>
          </w:p>
        </w:tc>
        <w:tc>
          <w:tcPr>
            <w:tcW w:w="0" w:type="auto"/>
            <w:shd w:val="clear" w:color="auto" w:fill="1B556B"/>
            <w:tcMar>
              <w:top w:w="0" w:type="dxa"/>
              <w:left w:w="85" w:type="dxa"/>
              <w:bottom w:w="0" w:type="dxa"/>
              <w:right w:w="85" w:type="dxa"/>
            </w:tcMar>
            <w:vAlign w:val="bottom"/>
          </w:tcPr>
          <w:p w14:paraId="0243845B"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2024</w:t>
            </w:r>
          </w:p>
        </w:tc>
        <w:tc>
          <w:tcPr>
            <w:tcW w:w="0" w:type="auto"/>
            <w:shd w:val="clear" w:color="auto" w:fill="1B556B"/>
            <w:tcMar>
              <w:top w:w="0" w:type="dxa"/>
              <w:left w:w="85" w:type="dxa"/>
              <w:bottom w:w="0" w:type="dxa"/>
              <w:right w:w="85" w:type="dxa"/>
            </w:tcMar>
            <w:vAlign w:val="bottom"/>
          </w:tcPr>
          <w:p w14:paraId="7339437D"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1990–2024</w:t>
            </w:r>
          </w:p>
        </w:tc>
        <w:tc>
          <w:tcPr>
            <w:tcW w:w="0" w:type="auto"/>
            <w:shd w:val="clear" w:color="auto" w:fill="1B556B"/>
            <w:tcMar>
              <w:top w:w="0" w:type="dxa"/>
              <w:left w:w="85" w:type="dxa"/>
              <w:bottom w:w="0" w:type="dxa"/>
              <w:right w:w="85" w:type="dxa"/>
            </w:tcMar>
            <w:vAlign w:val="bottom"/>
          </w:tcPr>
          <w:p w14:paraId="76DF0799"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2005–2024</w:t>
            </w:r>
          </w:p>
        </w:tc>
        <w:tc>
          <w:tcPr>
            <w:tcW w:w="0" w:type="auto"/>
            <w:shd w:val="clear" w:color="auto" w:fill="1B556B"/>
            <w:tcMar>
              <w:top w:w="0" w:type="dxa"/>
              <w:left w:w="85" w:type="dxa"/>
              <w:bottom w:w="0" w:type="dxa"/>
              <w:right w:w="85" w:type="dxa"/>
            </w:tcMar>
            <w:vAlign w:val="bottom"/>
          </w:tcPr>
          <w:p w14:paraId="65336CCB"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2023–2024</w:t>
            </w:r>
          </w:p>
        </w:tc>
        <w:tc>
          <w:tcPr>
            <w:tcW w:w="0" w:type="auto"/>
            <w:shd w:val="clear" w:color="auto" w:fill="1B556B"/>
            <w:tcMar>
              <w:top w:w="0" w:type="dxa"/>
              <w:left w:w="85" w:type="dxa"/>
              <w:bottom w:w="0" w:type="dxa"/>
              <w:right w:w="85" w:type="dxa"/>
            </w:tcMar>
            <w:vAlign w:val="bottom"/>
          </w:tcPr>
          <w:p w14:paraId="00E19D76"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1990–2024</w:t>
            </w:r>
          </w:p>
        </w:tc>
        <w:tc>
          <w:tcPr>
            <w:tcW w:w="0" w:type="auto"/>
            <w:shd w:val="clear" w:color="auto" w:fill="1B556B"/>
            <w:tcMar>
              <w:top w:w="0" w:type="dxa"/>
              <w:left w:w="85" w:type="dxa"/>
              <w:bottom w:w="0" w:type="dxa"/>
              <w:right w:w="85" w:type="dxa"/>
            </w:tcMar>
            <w:vAlign w:val="bottom"/>
          </w:tcPr>
          <w:p w14:paraId="6A62790D"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2005–2024</w:t>
            </w:r>
          </w:p>
        </w:tc>
        <w:tc>
          <w:tcPr>
            <w:tcW w:w="0" w:type="auto"/>
            <w:shd w:val="clear" w:color="auto" w:fill="1B556B"/>
            <w:tcMar>
              <w:top w:w="0" w:type="dxa"/>
              <w:left w:w="85" w:type="dxa"/>
              <w:bottom w:w="0" w:type="dxa"/>
              <w:right w:w="85" w:type="dxa"/>
            </w:tcMar>
            <w:vAlign w:val="bottom"/>
          </w:tcPr>
          <w:p w14:paraId="5ECAE8F9" w14:textId="77777777" w:rsidR="00EB5913" w:rsidRPr="006623B9" w:rsidRDefault="00EB5913" w:rsidP="00F16E23">
            <w:pPr>
              <w:pStyle w:val="TableTextBold"/>
              <w:spacing w:before="0" w:after="40"/>
              <w:jc w:val="right"/>
              <w:rPr>
                <w:noProof w:val="0"/>
                <w:color w:val="FFFFFF" w:themeColor="background1"/>
                <w:sz w:val="14"/>
                <w:szCs w:val="14"/>
              </w:rPr>
            </w:pPr>
            <w:r w:rsidRPr="006623B9">
              <w:rPr>
                <w:rFonts w:eastAsia="Calibri" w:cs="Calibri"/>
                <w:noProof w:val="0"/>
                <w:color w:val="FFFFFF" w:themeColor="background1"/>
                <w:sz w:val="14"/>
                <w:szCs w:val="14"/>
              </w:rPr>
              <w:t>2023–2024</w:t>
            </w:r>
          </w:p>
        </w:tc>
      </w:tr>
      <w:tr w:rsidR="00EB5913" w:rsidRPr="006623B9" w14:paraId="64704FD4" w14:textId="77777777" w:rsidTr="00F16E23">
        <w:tc>
          <w:tcPr>
            <w:tcW w:w="0" w:type="auto"/>
            <w:shd w:val="clear" w:color="auto" w:fill="FFFFFF"/>
            <w:tcMar>
              <w:top w:w="0" w:type="dxa"/>
              <w:left w:w="85" w:type="dxa"/>
              <w:bottom w:w="0" w:type="dxa"/>
              <w:right w:w="85" w:type="dxa"/>
            </w:tcMar>
            <w:vAlign w:val="center"/>
          </w:tcPr>
          <w:p w14:paraId="44C335A3" w14:textId="77777777" w:rsidR="00EB5913" w:rsidRPr="006623B9" w:rsidRDefault="00EB5913" w:rsidP="00F16E23">
            <w:pPr>
              <w:pStyle w:val="TableText"/>
              <w:spacing w:before="40" w:after="40"/>
              <w:rPr>
                <w:sz w:val="14"/>
                <w:szCs w:val="14"/>
              </w:rPr>
            </w:pPr>
            <w:r w:rsidRPr="006623B9">
              <w:rPr>
                <w:rFonts w:eastAsia="Calibri"/>
                <w:sz w:val="14"/>
                <w:szCs w:val="14"/>
              </w:rPr>
              <w:t>Managed SWDS – anaerobic (5.A.1.a)</w:t>
            </w:r>
          </w:p>
        </w:tc>
        <w:tc>
          <w:tcPr>
            <w:tcW w:w="0" w:type="auto"/>
            <w:shd w:val="clear" w:color="auto" w:fill="FFFFFF"/>
            <w:tcMar>
              <w:top w:w="0" w:type="dxa"/>
              <w:left w:w="85" w:type="dxa"/>
              <w:bottom w:w="0" w:type="dxa"/>
              <w:right w:w="85" w:type="dxa"/>
            </w:tcMar>
            <w:vAlign w:val="bottom"/>
          </w:tcPr>
          <w:p w14:paraId="0FED9758" w14:textId="77777777" w:rsidR="00EB5913" w:rsidRPr="006623B9" w:rsidRDefault="00EB5913" w:rsidP="00F16E23">
            <w:pPr>
              <w:pStyle w:val="TableText"/>
              <w:spacing w:before="40" w:after="40"/>
              <w:jc w:val="right"/>
              <w:rPr>
                <w:sz w:val="14"/>
                <w:szCs w:val="14"/>
              </w:rPr>
            </w:pPr>
            <w:r w:rsidRPr="006623B9">
              <w:rPr>
                <w:rFonts w:eastAsia="Calibri"/>
                <w:sz w:val="14"/>
                <w:szCs w:val="14"/>
              </w:rPr>
              <w:t>1,679.5</w:t>
            </w:r>
          </w:p>
        </w:tc>
        <w:tc>
          <w:tcPr>
            <w:tcW w:w="0" w:type="auto"/>
            <w:shd w:val="clear" w:color="auto" w:fill="FFFFFF"/>
            <w:tcMar>
              <w:top w:w="0" w:type="dxa"/>
              <w:left w:w="85" w:type="dxa"/>
              <w:bottom w:w="0" w:type="dxa"/>
              <w:right w:w="85" w:type="dxa"/>
            </w:tcMar>
            <w:vAlign w:val="bottom"/>
          </w:tcPr>
          <w:p w14:paraId="28D3B861" w14:textId="77777777" w:rsidR="00EB5913" w:rsidRPr="006623B9" w:rsidRDefault="00EB5913" w:rsidP="00F16E23">
            <w:pPr>
              <w:pStyle w:val="TableText"/>
              <w:spacing w:before="40" w:after="40"/>
              <w:jc w:val="right"/>
              <w:rPr>
                <w:sz w:val="14"/>
                <w:szCs w:val="14"/>
              </w:rPr>
            </w:pPr>
            <w:r w:rsidRPr="006623B9">
              <w:rPr>
                <w:rFonts w:eastAsia="Calibri"/>
                <w:sz w:val="14"/>
                <w:szCs w:val="14"/>
              </w:rPr>
              <w:t>2,132.8</w:t>
            </w:r>
          </w:p>
        </w:tc>
        <w:tc>
          <w:tcPr>
            <w:tcW w:w="0" w:type="auto"/>
            <w:shd w:val="clear" w:color="auto" w:fill="FFFFFF"/>
            <w:tcMar>
              <w:top w:w="0" w:type="dxa"/>
              <w:left w:w="85" w:type="dxa"/>
              <w:bottom w:w="0" w:type="dxa"/>
              <w:right w:w="85" w:type="dxa"/>
            </w:tcMar>
            <w:vAlign w:val="bottom"/>
          </w:tcPr>
          <w:p w14:paraId="5D55178F" w14:textId="77777777" w:rsidR="00EB5913" w:rsidRPr="006623B9" w:rsidRDefault="00EB5913" w:rsidP="00F16E23">
            <w:pPr>
              <w:pStyle w:val="TableText"/>
              <w:spacing w:before="40" w:after="40"/>
              <w:jc w:val="right"/>
              <w:rPr>
                <w:sz w:val="14"/>
                <w:szCs w:val="14"/>
              </w:rPr>
            </w:pPr>
            <w:r w:rsidRPr="006623B9">
              <w:rPr>
                <w:rFonts w:eastAsia="Calibri"/>
                <w:sz w:val="14"/>
                <w:szCs w:val="14"/>
              </w:rPr>
              <w:t>1,362.0</w:t>
            </w:r>
          </w:p>
        </w:tc>
        <w:tc>
          <w:tcPr>
            <w:tcW w:w="0" w:type="auto"/>
            <w:shd w:val="clear" w:color="auto" w:fill="FFFFFF"/>
            <w:tcMar>
              <w:top w:w="0" w:type="dxa"/>
              <w:left w:w="85" w:type="dxa"/>
              <w:bottom w:w="0" w:type="dxa"/>
              <w:right w:w="85" w:type="dxa"/>
            </w:tcMar>
            <w:vAlign w:val="bottom"/>
          </w:tcPr>
          <w:p w14:paraId="2475BD3D" w14:textId="77777777" w:rsidR="00EB5913" w:rsidRPr="006623B9" w:rsidRDefault="00EB5913" w:rsidP="00F16E23">
            <w:pPr>
              <w:pStyle w:val="TableText"/>
              <w:spacing w:before="40" w:after="40"/>
              <w:jc w:val="right"/>
              <w:rPr>
                <w:sz w:val="14"/>
                <w:szCs w:val="14"/>
              </w:rPr>
            </w:pPr>
            <w:r w:rsidRPr="006623B9">
              <w:rPr>
                <w:rFonts w:eastAsia="Calibri"/>
                <w:sz w:val="14"/>
                <w:szCs w:val="14"/>
              </w:rPr>
              <w:t>1,341.2</w:t>
            </w:r>
          </w:p>
        </w:tc>
        <w:tc>
          <w:tcPr>
            <w:tcW w:w="0" w:type="auto"/>
            <w:shd w:val="clear" w:color="auto" w:fill="FFFFFF"/>
            <w:tcMar>
              <w:top w:w="0" w:type="dxa"/>
              <w:left w:w="85" w:type="dxa"/>
              <w:bottom w:w="0" w:type="dxa"/>
              <w:right w:w="85" w:type="dxa"/>
            </w:tcMar>
            <w:vAlign w:val="bottom"/>
          </w:tcPr>
          <w:p w14:paraId="53E9A367" w14:textId="77777777" w:rsidR="00EB5913" w:rsidRPr="006623B9" w:rsidRDefault="00EB5913" w:rsidP="00F16E23">
            <w:pPr>
              <w:pStyle w:val="TableText"/>
              <w:spacing w:before="40" w:after="40"/>
              <w:jc w:val="right"/>
              <w:rPr>
                <w:sz w:val="14"/>
                <w:szCs w:val="14"/>
              </w:rPr>
            </w:pPr>
            <w:r w:rsidRPr="006623B9">
              <w:rPr>
                <w:rFonts w:eastAsia="Calibri"/>
                <w:sz w:val="14"/>
                <w:szCs w:val="14"/>
              </w:rPr>
              <w:t>-338.3</w:t>
            </w:r>
          </w:p>
        </w:tc>
        <w:tc>
          <w:tcPr>
            <w:tcW w:w="0" w:type="auto"/>
            <w:shd w:val="clear" w:color="auto" w:fill="FFFFFF"/>
            <w:tcMar>
              <w:top w:w="0" w:type="dxa"/>
              <w:left w:w="85" w:type="dxa"/>
              <w:bottom w:w="0" w:type="dxa"/>
              <w:right w:w="85" w:type="dxa"/>
            </w:tcMar>
            <w:vAlign w:val="bottom"/>
          </w:tcPr>
          <w:p w14:paraId="452E82E1" w14:textId="77777777" w:rsidR="00EB5913" w:rsidRPr="006623B9" w:rsidRDefault="00EB5913" w:rsidP="00F16E23">
            <w:pPr>
              <w:pStyle w:val="TableText"/>
              <w:spacing w:before="40" w:after="40"/>
              <w:jc w:val="right"/>
              <w:rPr>
                <w:sz w:val="14"/>
                <w:szCs w:val="14"/>
              </w:rPr>
            </w:pPr>
            <w:r w:rsidRPr="006623B9">
              <w:rPr>
                <w:rFonts w:eastAsia="Calibri"/>
                <w:sz w:val="14"/>
                <w:szCs w:val="14"/>
              </w:rPr>
              <w:t>-791.6</w:t>
            </w:r>
          </w:p>
        </w:tc>
        <w:tc>
          <w:tcPr>
            <w:tcW w:w="0" w:type="auto"/>
            <w:shd w:val="clear" w:color="auto" w:fill="FFFFFF"/>
            <w:tcMar>
              <w:top w:w="0" w:type="dxa"/>
              <w:left w:w="85" w:type="dxa"/>
              <w:bottom w:w="0" w:type="dxa"/>
              <w:right w:w="85" w:type="dxa"/>
            </w:tcMar>
            <w:vAlign w:val="bottom"/>
          </w:tcPr>
          <w:p w14:paraId="245FD120" w14:textId="77777777" w:rsidR="00EB5913" w:rsidRPr="006623B9" w:rsidRDefault="00EB5913" w:rsidP="00F16E23">
            <w:pPr>
              <w:pStyle w:val="TableText"/>
              <w:spacing w:before="40" w:after="40"/>
              <w:jc w:val="right"/>
              <w:rPr>
                <w:sz w:val="14"/>
                <w:szCs w:val="14"/>
              </w:rPr>
            </w:pPr>
            <w:r w:rsidRPr="006623B9">
              <w:rPr>
                <w:rFonts w:eastAsia="Calibri"/>
                <w:sz w:val="14"/>
                <w:szCs w:val="14"/>
              </w:rPr>
              <w:t>-20.7</w:t>
            </w:r>
          </w:p>
        </w:tc>
        <w:tc>
          <w:tcPr>
            <w:tcW w:w="0" w:type="auto"/>
            <w:shd w:val="clear" w:color="auto" w:fill="FFFFFF"/>
            <w:tcMar>
              <w:top w:w="0" w:type="dxa"/>
              <w:left w:w="85" w:type="dxa"/>
              <w:bottom w:w="0" w:type="dxa"/>
              <w:right w:w="85" w:type="dxa"/>
            </w:tcMar>
            <w:vAlign w:val="bottom"/>
          </w:tcPr>
          <w:p w14:paraId="0AE674DF" w14:textId="77777777" w:rsidR="00EB5913" w:rsidRPr="006623B9" w:rsidRDefault="00EB5913" w:rsidP="00F16E23">
            <w:pPr>
              <w:pStyle w:val="TableText"/>
              <w:spacing w:before="40" w:after="40"/>
              <w:jc w:val="right"/>
              <w:rPr>
                <w:sz w:val="14"/>
                <w:szCs w:val="14"/>
              </w:rPr>
            </w:pPr>
            <w:r w:rsidRPr="006623B9">
              <w:rPr>
                <w:rFonts w:eastAsia="Calibri"/>
                <w:sz w:val="14"/>
                <w:szCs w:val="14"/>
              </w:rPr>
              <w:t>-20.1</w:t>
            </w:r>
          </w:p>
        </w:tc>
        <w:tc>
          <w:tcPr>
            <w:tcW w:w="0" w:type="auto"/>
            <w:shd w:val="clear" w:color="auto" w:fill="FFFFFF"/>
            <w:tcMar>
              <w:top w:w="0" w:type="dxa"/>
              <w:left w:w="85" w:type="dxa"/>
              <w:bottom w:w="0" w:type="dxa"/>
              <w:right w:w="85" w:type="dxa"/>
            </w:tcMar>
            <w:vAlign w:val="bottom"/>
          </w:tcPr>
          <w:p w14:paraId="461E43FC" w14:textId="77777777" w:rsidR="00EB5913" w:rsidRPr="006623B9" w:rsidRDefault="00EB5913" w:rsidP="00F16E23">
            <w:pPr>
              <w:pStyle w:val="TableText"/>
              <w:spacing w:before="40" w:after="40"/>
              <w:jc w:val="right"/>
              <w:rPr>
                <w:sz w:val="14"/>
                <w:szCs w:val="14"/>
              </w:rPr>
            </w:pPr>
            <w:r w:rsidRPr="006623B9">
              <w:rPr>
                <w:rFonts w:eastAsia="Calibri"/>
                <w:sz w:val="14"/>
                <w:szCs w:val="14"/>
              </w:rPr>
              <w:t>-37.1</w:t>
            </w:r>
          </w:p>
        </w:tc>
        <w:tc>
          <w:tcPr>
            <w:tcW w:w="0" w:type="auto"/>
            <w:shd w:val="clear" w:color="auto" w:fill="FFFFFF"/>
            <w:tcMar>
              <w:top w:w="0" w:type="dxa"/>
              <w:left w:w="85" w:type="dxa"/>
              <w:bottom w:w="0" w:type="dxa"/>
              <w:right w:w="85" w:type="dxa"/>
            </w:tcMar>
            <w:vAlign w:val="bottom"/>
          </w:tcPr>
          <w:p w14:paraId="12230480" w14:textId="77777777" w:rsidR="00EB5913" w:rsidRPr="006623B9" w:rsidRDefault="00EB5913" w:rsidP="00F16E23">
            <w:pPr>
              <w:pStyle w:val="TableText"/>
              <w:spacing w:before="40" w:after="40"/>
              <w:jc w:val="right"/>
              <w:rPr>
                <w:sz w:val="14"/>
                <w:szCs w:val="14"/>
              </w:rPr>
            </w:pPr>
            <w:r w:rsidRPr="006623B9">
              <w:rPr>
                <w:rFonts w:eastAsia="Calibri"/>
                <w:sz w:val="14"/>
                <w:szCs w:val="14"/>
              </w:rPr>
              <w:t>-1.5</w:t>
            </w:r>
          </w:p>
        </w:tc>
      </w:tr>
      <w:tr w:rsidR="00EB5913" w:rsidRPr="006623B9" w14:paraId="5629A2FE" w14:textId="77777777" w:rsidTr="00F16E23">
        <w:tc>
          <w:tcPr>
            <w:tcW w:w="0" w:type="auto"/>
            <w:shd w:val="clear" w:color="auto" w:fill="FFFFFF"/>
            <w:tcMar>
              <w:top w:w="0" w:type="dxa"/>
              <w:left w:w="85" w:type="dxa"/>
              <w:bottom w:w="0" w:type="dxa"/>
              <w:right w:w="85" w:type="dxa"/>
            </w:tcMar>
            <w:vAlign w:val="center"/>
          </w:tcPr>
          <w:p w14:paraId="43B37419" w14:textId="77777777" w:rsidR="00EB5913" w:rsidRPr="006623B9" w:rsidRDefault="00EB5913" w:rsidP="00F16E23">
            <w:pPr>
              <w:pStyle w:val="TableText"/>
              <w:spacing w:before="40" w:after="40"/>
              <w:rPr>
                <w:sz w:val="14"/>
                <w:szCs w:val="14"/>
              </w:rPr>
            </w:pPr>
            <w:r w:rsidRPr="006623B9">
              <w:rPr>
                <w:rFonts w:eastAsia="Calibri"/>
                <w:sz w:val="14"/>
                <w:szCs w:val="14"/>
              </w:rPr>
              <w:t>Unmanaged SWDS (5.A.2)</w:t>
            </w:r>
          </w:p>
        </w:tc>
        <w:tc>
          <w:tcPr>
            <w:tcW w:w="0" w:type="auto"/>
            <w:shd w:val="clear" w:color="auto" w:fill="FFFFFF"/>
            <w:tcMar>
              <w:top w:w="0" w:type="dxa"/>
              <w:left w:w="85" w:type="dxa"/>
              <w:bottom w:w="0" w:type="dxa"/>
              <w:right w:w="85" w:type="dxa"/>
            </w:tcMar>
            <w:vAlign w:val="bottom"/>
          </w:tcPr>
          <w:p w14:paraId="5679B521" w14:textId="77777777" w:rsidR="00EB5913" w:rsidRPr="006623B9" w:rsidRDefault="00EB5913" w:rsidP="00F16E23">
            <w:pPr>
              <w:pStyle w:val="TableText"/>
              <w:spacing w:before="40" w:after="40"/>
              <w:jc w:val="right"/>
              <w:rPr>
                <w:sz w:val="14"/>
                <w:szCs w:val="14"/>
              </w:rPr>
            </w:pPr>
            <w:r w:rsidRPr="006623B9">
              <w:rPr>
                <w:rFonts w:eastAsia="Calibri"/>
                <w:sz w:val="14"/>
                <w:szCs w:val="14"/>
              </w:rPr>
              <w:t>903.3</w:t>
            </w:r>
          </w:p>
        </w:tc>
        <w:tc>
          <w:tcPr>
            <w:tcW w:w="0" w:type="auto"/>
            <w:shd w:val="clear" w:color="auto" w:fill="FFFFFF"/>
            <w:tcMar>
              <w:top w:w="0" w:type="dxa"/>
              <w:left w:w="85" w:type="dxa"/>
              <w:bottom w:w="0" w:type="dxa"/>
              <w:right w:w="85" w:type="dxa"/>
            </w:tcMar>
            <w:vAlign w:val="bottom"/>
          </w:tcPr>
          <w:p w14:paraId="162688DC" w14:textId="77777777" w:rsidR="00EB5913" w:rsidRPr="006623B9" w:rsidRDefault="00EB5913" w:rsidP="00F16E23">
            <w:pPr>
              <w:pStyle w:val="TableText"/>
              <w:spacing w:before="40" w:after="40"/>
              <w:jc w:val="right"/>
              <w:rPr>
                <w:sz w:val="14"/>
                <w:szCs w:val="14"/>
              </w:rPr>
            </w:pPr>
            <w:r w:rsidRPr="006623B9">
              <w:rPr>
                <w:rFonts w:eastAsia="Calibri"/>
                <w:sz w:val="14"/>
                <w:szCs w:val="14"/>
              </w:rPr>
              <w:t>974.3</w:t>
            </w:r>
          </w:p>
        </w:tc>
        <w:tc>
          <w:tcPr>
            <w:tcW w:w="0" w:type="auto"/>
            <w:shd w:val="clear" w:color="auto" w:fill="FFFFFF"/>
            <w:tcMar>
              <w:top w:w="0" w:type="dxa"/>
              <w:left w:w="85" w:type="dxa"/>
              <w:bottom w:w="0" w:type="dxa"/>
              <w:right w:w="85" w:type="dxa"/>
            </w:tcMar>
            <w:vAlign w:val="bottom"/>
          </w:tcPr>
          <w:p w14:paraId="5F5D198A" w14:textId="77777777" w:rsidR="00EB5913" w:rsidRPr="006623B9" w:rsidRDefault="00EB5913" w:rsidP="00F16E23">
            <w:pPr>
              <w:pStyle w:val="TableText"/>
              <w:spacing w:before="40" w:after="40"/>
              <w:jc w:val="right"/>
              <w:rPr>
                <w:sz w:val="14"/>
                <w:szCs w:val="14"/>
              </w:rPr>
            </w:pPr>
            <w:r w:rsidRPr="006623B9">
              <w:rPr>
                <w:rFonts w:eastAsia="Calibri"/>
                <w:sz w:val="14"/>
                <w:szCs w:val="14"/>
              </w:rPr>
              <w:t>962.6</w:t>
            </w:r>
          </w:p>
        </w:tc>
        <w:tc>
          <w:tcPr>
            <w:tcW w:w="0" w:type="auto"/>
            <w:shd w:val="clear" w:color="auto" w:fill="FFFFFF"/>
            <w:tcMar>
              <w:top w:w="0" w:type="dxa"/>
              <w:left w:w="85" w:type="dxa"/>
              <w:bottom w:w="0" w:type="dxa"/>
              <w:right w:w="85" w:type="dxa"/>
            </w:tcMar>
            <w:vAlign w:val="bottom"/>
          </w:tcPr>
          <w:p w14:paraId="11A9B720" w14:textId="77777777" w:rsidR="00EB5913" w:rsidRPr="006623B9" w:rsidRDefault="00EB5913" w:rsidP="00F16E23">
            <w:pPr>
              <w:pStyle w:val="TableText"/>
              <w:spacing w:before="40" w:after="40"/>
              <w:jc w:val="right"/>
              <w:rPr>
                <w:sz w:val="14"/>
                <w:szCs w:val="14"/>
              </w:rPr>
            </w:pPr>
            <w:r w:rsidRPr="006623B9">
              <w:rPr>
                <w:rFonts w:eastAsia="Calibri"/>
                <w:sz w:val="14"/>
                <w:szCs w:val="14"/>
              </w:rPr>
              <w:t>963.4</w:t>
            </w:r>
          </w:p>
        </w:tc>
        <w:tc>
          <w:tcPr>
            <w:tcW w:w="0" w:type="auto"/>
            <w:shd w:val="clear" w:color="auto" w:fill="FFFFFF"/>
            <w:tcMar>
              <w:top w:w="0" w:type="dxa"/>
              <w:left w:w="85" w:type="dxa"/>
              <w:bottom w:w="0" w:type="dxa"/>
              <w:right w:w="85" w:type="dxa"/>
            </w:tcMar>
            <w:vAlign w:val="bottom"/>
          </w:tcPr>
          <w:p w14:paraId="36E300FF" w14:textId="77777777" w:rsidR="00EB5913" w:rsidRPr="006623B9" w:rsidRDefault="00EB5913" w:rsidP="00F16E23">
            <w:pPr>
              <w:pStyle w:val="TableText"/>
              <w:spacing w:before="40" w:after="40"/>
              <w:jc w:val="right"/>
              <w:rPr>
                <w:sz w:val="14"/>
                <w:szCs w:val="14"/>
              </w:rPr>
            </w:pPr>
            <w:r w:rsidRPr="006623B9">
              <w:rPr>
                <w:rFonts w:eastAsia="Calibri"/>
                <w:sz w:val="14"/>
                <w:szCs w:val="14"/>
              </w:rPr>
              <w:t>60.1</w:t>
            </w:r>
          </w:p>
        </w:tc>
        <w:tc>
          <w:tcPr>
            <w:tcW w:w="0" w:type="auto"/>
            <w:shd w:val="clear" w:color="auto" w:fill="FFFFFF"/>
            <w:tcMar>
              <w:top w:w="0" w:type="dxa"/>
              <w:left w:w="85" w:type="dxa"/>
              <w:bottom w:w="0" w:type="dxa"/>
              <w:right w:w="85" w:type="dxa"/>
            </w:tcMar>
            <w:vAlign w:val="bottom"/>
          </w:tcPr>
          <w:p w14:paraId="3DA9FD38" w14:textId="77777777" w:rsidR="00EB5913" w:rsidRPr="006623B9" w:rsidRDefault="00EB5913" w:rsidP="00F16E23">
            <w:pPr>
              <w:pStyle w:val="TableText"/>
              <w:spacing w:before="40" w:after="40"/>
              <w:jc w:val="right"/>
              <w:rPr>
                <w:sz w:val="14"/>
                <w:szCs w:val="14"/>
              </w:rPr>
            </w:pPr>
            <w:r w:rsidRPr="006623B9">
              <w:rPr>
                <w:rFonts w:eastAsia="Calibri"/>
                <w:sz w:val="14"/>
                <w:szCs w:val="14"/>
              </w:rPr>
              <w:t>-10.9</w:t>
            </w:r>
          </w:p>
        </w:tc>
        <w:tc>
          <w:tcPr>
            <w:tcW w:w="0" w:type="auto"/>
            <w:shd w:val="clear" w:color="auto" w:fill="FFFFFF"/>
            <w:tcMar>
              <w:top w:w="0" w:type="dxa"/>
              <w:left w:w="85" w:type="dxa"/>
              <w:bottom w:w="0" w:type="dxa"/>
              <w:right w:w="85" w:type="dxa"/>
            </w:tcMar>
            <w:vAlign w:val="bottom"/>
          </w:tcPr>
          <w:p w14:paraId="3D642B3B" w14:textId="77777777" w:rsidR="00EB5913" w:rsidRPr="006623B9" w:rsidRDefault="00EB5913" w:rsidP="00F16E23">
            <w:pPr>
              <w:pStyle w:val="TableText"/>
              <w:spacing w:before="40" w:after="40"/>
              <w:jc w:val="right"/>
              <w:rPr>
                <w:sz w:val="14"/>
                <w:szCs w:val="14"/>
              </w:rPr>
            </w:pPr>
            <w:r w:rsidRPr="006623B9">
              <w:rPr>
                <w:rFonts w:eastAsia="Calibri"/>
                <w:sz w:val="14"/>
                <w:szCs w:val="14"/>
              </w:rPr>
              <w:t>0.8</w:t>
            </w:r>
          </w:p>
        </w:tc>
        <w:tc>
          <w:tcPr>
            <w:tcW w:w="0" w:type="auto"/>
            <w:shd w:val="clear" w:color="auto" w:fill="FFFFFF"/>
            <w:tcMar>
              <w:top w:w="0" w:type="dxa"/>
              <w:left w:w="85" w:type="dxa"/>
              <w:bottom w:w="0" w:type="dxa"/>
              <w:right w:w="85" w:type="dxa"/>
            </w:tcMar>
            <w:vAlign w:val="bottom"/>
          </w:tcPr>
          <w:p w14:paraId="46DB40C3" w14:textId="77777777" w:rsidR="00EB5913" w:rsidRPr="006623B9" w:rsidRDefault="00EB5913" w:rsidP="00F16E23">
            <w:pPr>
              <w:pStyle w:val="TableText"/>
              <w:spacing w:before="40" w:after="40"/>
              <w:jc w:val="right"/>
              <w:rPr>
                <w:sz w:val="14"/>
                <w:szCs w:val="14"/>
              </w:rPr>
            </w:pPr>
            <w:r w:rsidRPr="006623B9">
              <w:rPr>
                <w:rFonts w:eastAsia="Calibri"/>
                <w:sz w:val="14"/>
                <w:szCs w:val="14"/>
              </w:rPr>
              <w:t>6.7</w:t>
            </w:r>
          </w:p>
        </w:tc>
        <w:tc>
          <w:tcPr>
            <w:tcW w:w="0" w:type="auto"/>
            <w:shd w:val="clear" w:color="auto" w:fill="FFFFFF"/>
            <w:tcMar>
              <w:top w:w="0" w:type="dxa"/>
              <w:left w:w="85" w:type="dxa"/>
              <w:bottom w:w="0" w:type="dxa"/>
              <w:right w:w="85" w:type="dxa"/>
            </w:tcMar>
            <w:vAlign w:val="bottom"/>
          </w:tcPr>
          <w:p w14:paraId="645059DF" w14:textId="77777777" w:rsidR="00EB5913" w:rsidRPr="006623B9" w:rsidRDefault="00EB5913" w:rsidP="00F16E23">
            <w:pPr>
              <w:pStyle w:val="TableText"/>
              <w:spacing w:before="40" w:after="40"/>
              <w:jc w:val="right"/>
              <w:rPr>
                <w:sz w:val="14"/>
                <w:szCs w:val="14"/>
              </w:rPr>
            </w:pPr>
            <w:r w:rsidRPr="006623B9">
              <w:rPr>
                <w:rFonts w:eastAsia="Calibri"/>
                <w:sz w:val="14"/>
                <w:szCs w:val="14"/>
              </w:rPr>
              <w:t>-1.1</w:t>
            </w:r>
          </w:p>
        </w:tc>
        <w:tc>
          <w:tcPr>
            <w:tcW w:w="0" w:type="auto"/>
            <w:shd w:val="clear" w:color="auto" w:fill="FFFFFF"/>
            <w:tcMar>
              <w:top w:w="0" w:type="dxa"/>
              <w:left w:w="85" w:type="dxa"/>
              <w:bottom w:w="0" w:type="dxa"/>
              <w:right w:w="85" w:type="dxa"/>
            </w:tcMar>
            <w:vAlign w:val="bottom"/>
          </w:tcPr>
          <w:p w14:paraId="7994A277" w14:textId="77777777" w:rsidR="00EB5913" w:rsidRPr="006623B9" w:rsidRDefault="00EB5913" w:rsidP="00F16E23">
            <w:pPr>
              <w:pStyle w:val="TableText"/>
              <w:spacing w:before="40" w:after="40"/>
              <w:jc w:val="right"/>
              <w:rPr>
                <w:sz w:val="14"/>
                <w:szCs w:val="14"/>
              </w:rPr>
            </w:pPr>
            <w:r w:rsidRPr="006623B9">
              <w:rPr>
                <w:rFonts w:eastAsia="Calibri"/>
                <w:sz w:val="14"/>
                <w:szCs w:val="14"/>
              </w:rPr>
              <w:t>0.1</w:t>
            </w:r>
          </w:p>
        </w:tc>
      </w:tr>
      <w:tr w:rsidR="00EB5913" w:rsidRPr="006623B9" w14:paraId="566FAC32" w14:textId="77777777" w:rsidTr="00F16E23">
        <w:tc>
          <w:tcPr>
            <w:tcW w:w="0" w:type="auto"/>
            <w:shd w:val="clear" w:color="auto" w:fill="FFFFFF"/>
            <w:tcMar>
              <w:top w:w="0" w:type="dxa"/>
              <w:left w:w="85" w:type="dxa"/>
              <w:bottom w:w="0" w:type="dxa"/>
              <w:right w:w="85" w:type="dxa"/>
            </w:tcMar>
            <w:vAlign w:val="center"/>
          </w:tcPr>
          <w:p w14:paraId="165EDC8B" w14:textId="77777777" w:rsidR="00EB5913" w:rsidRPr="006623B9" w:rsidRDefault="00EB5913" w:rsidP="00F16E23">
            <w:pPr>
              <w:pStyle w:val="TableText"/>
              <w:spacing w:before="40" w:after="40"/>
              <w:rPr>
                <w:sz w:val="14"/>
                <w:szCs w:val="14"/>
              </w:rPr>
            </w:pPr>
            <w:r w:rsidRPr="006623B9">
              <w:rPr>
                <w:rFonts w:eastAsia="Calibri"/>
                <w:sz w:val="14"/>
                <w:szCs w:val="14"/>
              </w:rPr>
              <w:t>Uncategorised SWDS (5.A.3)</w:t>
            </w:r>
          </w:p>
        </w:tc>
        <w:tc>
          <w:tcPr>
            <w:tcW w:w="0" w:type="auto"/>
            <w:shd w:val="clear" w:color="auto" w:fill="FFFFFF"/>
            <w:tcMar>
              <w:top w:w="0" w:type="dxa"/>
              <w:left w:w="85" w:type="dxa"/>
              <w:bottom w:w="0" w:type="dxa"/>
              <w:right w:w="85" w:type="dxa"/>
            </w:tcMar>
            <w:vAlign w:val="bottom"/>
          </w:tcPr>
          <w:p w14:paraId="503F740C" w14:textId="77777777" w:rsidR="00EB5913" w:rsidRPr="006623B9" w:rsidRDefault="00EB5913" w:rsidP="00F16E23">
            <w:pPr>
              <w:pStyle w:val="TableText"/>
              <w:spacing w:before="40" w:after="40"/>
              <w:jc w:val="right"/>
              <w:rPr>
                <w:sz w:val="14"/>
                <w:szCs w:val="14"/>
              </w:rPr>
            </w:pPr>
            <w:r w:rsidRPr="006623B9">
              <w:rPr>
                <w:rFonts w:eastAsia="Calibri"/>
                <w:sz w:val="14"/>
                <w:szCs w:val="14"/>
              </w:rPr>
              <w:t>64.0</w:t>
            </w:r>
          </w:p>
        </w:tc>
        <w:tc>
          <w:tcPr>
            <w:tcW w:w="0" w:type="auto"/>
            <w:shd w:val="clear" w:color="auto" w:fill="FFFFFF"/>
            <w:tcMar>
              <w:top w:w="0" w:type="dxa"/>
              <w:left w:w="85" w:type="dxa"/>
              <w:bottom w:w="0" w:type="dxa"/>
              <w:right w:w="85" w:type="dxa"/>
            </w:tcMar>
            <w:vAlign w:val="bottom"/>
          </w:tcPr>
          <w:p w14:paraId="2D53C900" w14:textId="77777777" w:rsidR="00EB5913" w:rsidRPr="006623B9" w:rsidRDefault="00EB5913" w:rsidP="00F16E23">
            <w:pPr>
              <w:pStyle w:val="TableText"/>
              <w:spacing w:before="40" w:after="40"/>
              <w:jc w:val="right"/>
              <w:rPr>
                <w:sz w:val="14"/>
                <w:szCs w:val="14"/>
              </w:rPr>
            </w:pPr>
            <w:r w:rsidRPr="006623B9">
              <w:rPr>
                <w:rFonts w:eastAsia="Calibri"/>
                <w:sz w:val="14"/>
                <w:szCs w:val="14"/>
              </w:rPr>
              <w:t>71.7</w:t>
            </w:r>
          </w:p>
        </w:tc>
        <w:tc>
          <w:tcPr>
            <w:tcW w:w="0" w:type="auto"/>
            <w:shd w:val="clear" w:color="auto" w:fill="FFFFFF"/>
            <w:tcMar>
              <w:top w:w="0" w:type="dxa"/>
              <w:left w:w="85" w:type="dxa"/>
              <w:bottom w:w="0" w:type="dxa"/>
              <w:right w:w="85" w:type="dxa"/>
            </w:tcMar>
            <w:vAlign w:val="bottom"/>
          </w:tcPr>
          <w:p w14:paraId="0252DA46" w14:textId="77777777" w:rsidR="00EB5913" w:rsidRPr="006623B9" w:rsidRDefault="00EB5913" w:rsidP="00F16E23">
            <w:pPr>
              <w:pStyle w:val="TableText"/>
              <w:spacing w:before="40" w:after="40"/>
              <w:jc w:val="right"/>
              <w:rPr>
                <w:sz w:val="14"/>
                <w:szCs w:val="14"/>
              </w:rPr>
            </w:pPr>
            <w:r w:rsidRPr="006623B9">
              <w:rPr>
                <w:rFonts w:eastAsia="Calibri"/>
                <w:sz w:val="14"/>
                <w:szCs w:val="14"/>
              </w:rPr>
              <w:t>23.8</w:t>
            </w:r>
          </w:p>
        </w:tc>
        <w:tc>
          <w:tcPr>
            <w:tcW w:w="0" w:type="auto"/>
            <w:shd w:val="clear" w:color="auto" w:fill="FFFFFF"/>
            <w:tcMar>
              <w:top w:w="0" w:type="dxa"/>
              <w:left w:w="85" w:type="dxa"/>
              <w:bottom w:w="0" w:type="dxa"/>
              <w:right w:w="85" w:type="dxa"/>
            </w:tcMar>
            <w:vAlign w:val="bottom"/>
          </w:tcPr>
          <w:p w14:paraId="3F8C57AB" w14:textId="77777777" w:rsidR="00EB5913" w:rsidRPr="006623B9" w:rsidRDefault="00EB5913" w:rsidP="00F16E23">
            <w:pPr>
              <w:pStyle w:val="TableText"/>
              <w:spacing w:before="40" w:after="40"/>
              <w:jc w:val="right"/>
              <w:rPr>
                <w:sz w:val="14"/>
                <w:szCs w:val="14"/>
              </w:rPr>
            </w:pPr>
            <w:r w:rsidRPr="006623B9">
              <w:rPr>
                <w:rFonts w:eastAsia="Calibri"/>
                <w:sz w:val="14"/>
                <w:szCs w:val="14"/>
              </w:rPr>
              <w:t>22.5</w:t>
            </w:r>
          </w:p>
        </w:tc>
        <w:tc>
          <w:tcPr>
            <w:tcW w:w="0" w:type="auto"/>
            <w:shd w:val="clear" w:color="auto" w:fill="FFFFFF"/>
            <w:tcMar>
              <w:top w:w="0" w:type="dxa"/>
              <w:left w:w="85" w:type="dxa"/>
              <w:bottom w:w="0" w:type="dxa"/>
              <w:right w:w="85" w:type="dxa"/>
            </w:tcMar>
            <w:vAlign w:val="bottom"/>
          </w:tcPr>
          <w:p w14:paraId="060C035C" w14:textId="77777777" w:rsidR="00EB5913" w:rsidRPr="006623B9" w:rsidRDefault="00EB5913" w:rsidP="00F16E23">
            <w:pPr>
              <w:pStyle w:val="TableText"/>
              <w:spacing w:before="40" w:after="40"/>
              <w:jc w:val="right"/>
              <w:rPr>
                <w:sz w:val="14"/>
                <w:szCs w:val="14"/>
              </w:rPr>
            </w:pPr>
            <w:r w:rsidRPr="006623B9">
              <w:rPr>
                <w:rFonts w:eastAsia="Calibri"/>
                <w:sz w:val="14"/>
                <w:szCs w:val="14"/>
              </w:rPr>
              <w:t>-41.5</w:t>
            </w:r>
          </w:p>
        </w:tc>
        <w:tc>
          <w:tcPr>
            <w:tcW w:w="0" w:type="auto"/>
            <w:shd w:val="clear" w:color="auto" w:fill="FFFFFF"/>
            <w:tcMar>
              <w:top w:w="0" w:type="dxa"/>
              <w:left w:w="85" w:type="dxa"/>
              <w:bottom w:w="0" w:type="dxa"/>
              <w:right w:w="85" w:type="dxa"/>
            </w:tcMar>
            <w:vAlign w:val="bottom"/>
          </w:tcPr>
          <w:p w14:paraId="15E98870" w14:textId="77777777" w:rsidR="00EB5913" w:rsidRPr="006623B9" w:rsidRDefault="00EB5913" w:rsidP="00F16E23">
            <w:pPr>
              <w:pStyle w:val="TableText"/>
              <w:spacing w:before="40" w:after="40"/>
              <w:jc w:val="right"/>
              <w:rPr>
                <w:sz w:val="14"/>
                <w:szCs w:val="14"/>
              </w:rPr>
            </w:pPr>
            <w:r w:rsidRPr="006623B9">
              <w:rPr>
                <w:rFonts w:eastAsia="Calibri"/>
                <w:sz w:val="14"/>
                <w:szCs w:val="14"/>
              </w:rPr>
              <w:t>-49.2</w:t>
            </w:r>
          </w:p>
        </w:tc>
        <w:tc>
          <w:tcPr>
            <w:tcW w:w="0" w:type="auto"/>
            <w:shd w:val="clear" w:color="auto" w:fill="FFFFFF"/>
            <w:tcMar>
              <w:top w:w="0" w:type="dxa"/>
              <w:left w:w="85" w:type="dxa"/>
              <w:bottom w:w="0" w:type="dxa"/>
              <w:right w:w="85" w:type="dxa"/>
            </w:tcMar>
            <w:vAlign w:val="bottom"/>
          </w:tcPr>
          <w:p w14:paraId="3B23E404" w14:textId="77777777" w:rsidR="00EB5913" w:rsidRPr="006623B9" w:rsidRDefault="00EB5913" w:rsidP="00F16E23">
            <w:pPr>
              <w:pStyle w:val="TableText"/>
              <w:spacing w:before="40" w:after="40"/>
              <w:jc w:val="right"/>
              <w:rPr>
                <w:sz w:val="14"/>
                <w:szCs w:val="14"/>
              </w:rPr>
            </w:pPr>
            <w:r w:rsidRPr="006623B9">
              <w:rPr>
                <w:rFonts w:eastAsia="Calibri"/>
                <w:sz w:val="14"/>
                <w:szCs w:val="14"/>
              </w:rPr>
              <w:t>-1.3</w:t>
            </w:r>
          </w:p>
        </w:tc>
        <w:tc>
          <w:tcPr>
            <w:tcW w:w="0" w:type="auto"/>
            <w:shd w:val="clear" w:color="auto" w:fill="FFFFFF"/>
            <w:tcMar>
              <w:top w:w="0" w:type="dxa"/>
              <w:left w:w="85" w:type="dxa"/>
              <w:bottom w:w="0" w:type="dxa"/>
              <w:right w:w="85" w:type="dxa"/>
            </w:tcMar>
            <w:vAlign w:val="bottom"/>
          </w:tcPr>
          <w:p w14:paraId="6AEF3130" w14:textId="77777777" w:rsidR="00EB5913" w:rsidRPr="006623B9" w:rsidRDefault="00EB5913" w:rsidP="00F16E23">
            <w:pPr>
              <w:pStyle w:val="TableText"/>
              <w:spacing w:before="40" w:after="40"/>
              <w:jc w:val="right"/>
              <w:rPr>
                <w:sz w:val="14"/>
                <w:szCs w:val="14"/>
              </w:rPr>
            </w:pPr>
            <w:r w:rsidRPr="006623B9">
              <w:rPr>
                <w:rFonts w:eastAsia="Calibri"/>
                <w:sz w:val="14"/>
                <w:szCs w:val="14"/>
              </w:rPr>
              <w:t>-64.9</w:t>
            </w:r>
          </w:p>
        </w:tc>
        <w:tc>
          <w:tcPr>
            <w:tcW w:w="0" w:type="auto"/>
            <w:shd w:val="clear" w:color="auto" w:fill="FFFFFF"/>
            <w:tcMar>
              <w:top w:w="0" w:type="dxa"/>
              <w:left w:w="85" w:type="dxa"/>
              <w:bottom w:w="0" w:type="dxa"/>
              <w:right w:w="85" w:type="dxa"/>
            </w:tcMar>
            <w:vAlign w:val="bottom"/>
          </w:tcPr>
          <w:p w14:paraId="753EE011" w14:textId="77777777" w:rsidR="00EB5913" w:rsidRPr="006623B9" w:rsidRDefault="00EB5913" w:rsidP="00F16E23">
            <w:pPr>
              <w:pStyle w:val="TableText"/>
              <w:spacing w:before="40" w:after="40"/>
              <w:jc w:val="right"/>
              <w:rPr>
                <w:sz w:val="14"/>
                <w:szCs w:val="14"/>
              </w:rPr>
            </w:pPr>
            <w:r w:rsidRPr="006623B9">
              <w:rPr>
                <w:rFonts w:eastAsia="Calibri"/>
                <w:sz w:val="14"/>
                <w:szCs w:val="14"/>
              </w:rPr>
              <w:t>-68.6</w:t>
            </w:r>
          </w:p>
        </w:tc>
        <w:tc>
          <w:tcPr>
            <w:tcW w:w="0" w:type="auto"/>
            <w:shd w:val="clear" w:color="auto" w:fill="FFFFFF"/>
            <w:tcMar>
              <w:top w:w="0" w:type="dxa"/>
              <w:left w:w="85" w:type="dxa"/>
              <w:bottom w:w="0" w:type="dxa"/>
              <w:right w:w="85" w:type="dxa"/>
            </w:tcMar>
            <w:vAlign w:val="bottom"/>
          </w:tcPr>
          <w:p w14:paraId="0826E018" w14:textId="77777777" w:rsidR="00EB5913" w:rsidRPr="006623B9" w:rsidRDefault="00EB5913" w:rsidP="00F16E23">
            <w:pPr>
              <w:pStyle w:val="TableText"/>
              <w:spacing w:before="40" w:after="40"/>
              <w:jc w:val="right"/>
              <w:rPr>
                <w:sz w:val="14"/>
                <w:szCs w:val="14"/>
              </w:rPr>
            </w:pPr>
            <w:r w:rsidRPr="006623B9">
              <w:rPr>
                <w:rFonts w:eastAsia="Calibri"/>
                <w:sz w:val="14"/>
                <w:szCs w:val="14"/>
              </w:rPr>
              <w:t>-5.4</w:t>
            </w:r>
          </w:p>
        </w:tc>
      </w:tr>
      <w:tr w:rsidR="00EB5913" w:rsidRPr="006623B9" w14:paraId="118C17A9" w14:textId="77777777" w:rsidTr="00F16E23">
        <w:tc>
          <w:tcPr>
            <w:tcW w:w="0" w:type="auto"/>
            <w:shd w:val="clear" w:color="auto" w:fill="FFFFFF"/>
            <w:tcMar>
              <w:top w:w="0" w:type="dxa"/>
              <w:left w:w="85" w:type="dxa"/>
              <w:bottom w:w="0" w:type="dxa"/>
              <w:right w:w="85" w:type="dxa"/>
            </w:tcMar>
            <w:vAlign w:val="center"/>
          </w:tcPr>
          <w:p w14:paraId="152DCBD7" w14:textId="77777777" w:rsidR="00EB5913" w:rsidRPr="006623B9" w:rsidRDefault="00EB5913" w:rsidP="00F16E23">
            <w:pPr>
              <w:pStyle w:val="Tableboldblue"/>
              <w:spacing w:before="40" w:after="40"/>
              <w:rPr>
                <w:sz w:val="14"/>
                <w:szCs w:val="14"/>
              </w:rPr>
            </w:pPr>
            <w:r w:rsidRPr="006623B9">
              <w:rPr>
                <w:rFonts w:eastAsia="Calibri"/>
                <w:sz w:val="14"/>
                <w:szCs w:val="14"/>
              </w:rPr>
              <w:t>Total (5.A)</w:t>
            </w:r>
          </w:p>
        </w:tc>
        <w:tc>
          <w:tcPr>
            <w:tcW w:w="0" w:type="auto"/>
            <w:shd w:val="clear" w:color="auto" w:fill="FFFFFF"/>
            <w:tcMar>
              <w:top w:w="0" w:type="dxa"/>
              <w:left w:w="85" w:type="dxa"/>
              <w:bottom w:w="0" w:type="dxa"/>
              <w:right w:w="85" w:type="dxa"/>
            </w:tcMar>
            <w:vAlign w:val="bottom"/>
          </w:tcPr>
          <w:p w14:paraId="18F1AA22"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2,646.8</w:t>
            </w:r>
          </w:p>
        </w:tc>
        <w:tc>
          <w:tcPr>
            <w:tcW w:w="0" w:type="auto"/>
            <w:shd w:val="clear" w:color="auto" w:fill="FFFFFF"/>
            <w:tcMar>
              <w:top w:w="0" w:type="dxa"/>
              <w:left w:w="85" w:type="dxa"/>
              <w:bottom w:w="0" w:type="dxa"/>
              <w:right w:w="85" w:type="dxa"/>
            </w:tcMar>
            <w:vAlign w:val="bottom"/>
          </w:tcPr>
          <w:p w14:paraId="0A18A895"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3,178.8</w:t>
            </w:r>
          </w:p>
        </w:tc>
        <w:tc>
          <w:tcPr>
            <w:tcW w:w="0" w:type="auto"/>
            <w:shd w:val="clear" w:color="auto" w:fill="FFFFFF"/>
            <w:tcMar>
              <w:top w:w="0" w:type="dxa"/>
              <w:left w:w="85" w:type="dxa"/>
              <w:bottom w:w="0" w:type="dxa"/>
              <w:right w:w="85" w:type="dxa"/>
            </w:tcMar>
            <w:vAlign w:val="bottom"/>
          </w:tcPr>
          <w:p w14:paraId="6F080184"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2,348.3</w:t>
            </w:r>
          </w:p>
        </w:tc>
        <w:tc>
          <w:tcPr>
            <w:tcW w:w="0" w:type="auto"/>
            <w:shd w:val="clear" w:color="auto" w:fill="FFFFFF"/>
            <w:tcMar>
              <w:top w:w="0" w:type="dxa"/>
              <w:left w:w="85" w:type="dxa"/>
              <w:bottom w:w="0" w:type="dxa"/>
              <w:right w:w="85" w:type="dxa"/>
            </w:tcMar>
            <w:vAlign w:val="bottom"/>
          </w:tcPr>
          <w:p w14:paraId="212F174C"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2,327.1</w:t>
            </w:r>
          </w:p>
        </w:tc>
        <w:tc>
          <w:tcPr>
            <w:tcW w:w="0" w:type="auto"/>
            <w:shd w:val="clear" w:color="auto" w:fill="FFFFFF"/>
            <w:tcMar>
              <w:top w:w="0" w:type="dxa"/>
              <w:left w:w="85" w:type="dxa"/>
              <w:bottom w:w="0" w:type="dxa"/>
              <w:right w:w="85" w:type="dxa"/>
            </w:tcMar>
            <w:vAlign w:val="bottom"/>
          </w:tcPr>
          <w:p w14:paraId="269D7948"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-319.7</w:t>
            </w:r>
          </w:p>
        </w:tc>
        <w:tc>
          <w:tcPr>
            <w:tcW w:w="0" w:type="auto"/>
            <w:shd w:val="clear" w:color="auto" w:fill="FFFFFF"/>
            <w:tcMar>
              <w:top w:w="0" w:type="dxa"/>
              <w:left w:w="85" w:type="dxa"/>
              <w:bottom w:w="0" w:type="dxa"/>
              <w:right w:w="85" w:type="dxa"/>
            </w:tcMar>
            <w:vAlign w:val="bottom"/>
          </w:tcPr>
          <w:p w14:paraId="02427B41"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-851.7</w:t>
            </w:r>
          </w:p>
        </w:tc>
        <w:tc>
          <w:tcPr>
            <w:tcW w:w="0" w:type="auto"/>
            <w:shd w:val="clear" w:color="auto" w:fill="FFFFFF"/>
            <w:tcMar>
              <w:top w:w="0" w:type="dxa"/>
              <w:left w:w="85" w:type="dxa"/>
              <w:bottom w:w="0" w:type="dxa"/>
              <w:right w:w="85" w:type="dxa"/>
            </w:tcMar>
            <w:vAlign w:val="bottom"/>
          </w:tcPr>
          <w:p w14:paraId="4B7F13A7"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-21.2</w:t>
            </w:r>
          </w:p>
        </w:tc>
        <w:tc>
          <w:tcPr>
            <w:tcW w:w="0" w:type="auto"/>
            <w:shd w:val="clear" w:color="auto" w:fill="FFFFFF"/>
            <w:tcMar>
              <w:top w:w="0" w:type="dxa"/>
              <w:left w:w="85" w:type="dxa"/>
              <w:bottom w:w="0" w:type="dxa"/>
              <w:right w:w="85" w:type="dxa"/>
            </w:tcMar>
            <w:vAlign w:val="bottom"/>
          </w:tcPr>
          <w:p w14:paraId="6521B97F"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-12.1</w:t>
            </w:r>
          </w:p>
        </w:tc>
        <w:tc>
          <w:tcPr>
            <w:tcW w:w="0" w:type="auto"/>
            <w:shd w:val="clear" w:color="auto" w:fill="FFFFFF"/>
            <w:tcMar>
              <w:top w:w="0" w:type="dxa"/>
              <w:left w:w="85" w:type="dxa"/>
              <w:bottom w:w="0" w:type="dxa"/>
              <w:right w:w="85" w:type="dxa"/>
            </w:tcMar>
            <w:vAlign w:val="bottom"/>
          </w:tcPr>
          <w:p w14:paraId="59D62716"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-26.8</w:t>
            </w:r>
          </w:p>
        </w:tc>
        <w:tc>
          <w:tcPr>
            <w:tcW w:w="0" w:type="auto"/>
            <w:shd w:val="clear" w:color="auto" w:fill="FFFFFF"/>
            <w:tcMar>
              <w:top w:w="0" w:type="dxa"/>
              <w:left w:w="85" w:type="dxa"/>
              <w:bottom w:w="0" w:type="dxa"/>
              <w:right w:w="85" w:type="dxa"/>
            </w:tcMar>
            <w:vAlign w:val="bottom"/>
          </w:tcPr>
          <w:p w14:paraId="07A64AB1" w14:textId="77777777" w:rsidR="00EB5913" w:rsidRPr="006623B9" w:rsidRDefault="00EB5913" w:rsidP="00F16E23">
            <w:pPr>
              <w:pStyle w:val="Tableboldblue"/>
              <w:spacing w:before="40" w:after="40"/>
              <w:jc w:val="right"/>
              <w:rPr>
                <w:sz w:val="14"/>
                <w:szCs w:val="14"/>
              </w:rPr>
            </w:pPr>
            <w:r w:rsidRPr="006623B9">
              <w:rPr>
                <w:rFonts w:eastAsia="Calibri"/>
                <w:sz w:val="14"/>
                <w:szCs w:val="14"/>
              </w:rPr>
              <w:t>-0.9</w:t>
            </w:r>
          </w:p>
        </w:tc>
      </w:tr>
    </w:tbl>
    <w:p w14:paraId="46745A14" w14:textId="77777777" w:rsidR="00EB5913" w:rsidRPr="006623B9" w:rsidRDefault="00EB5913" w:rsidP="00EB5913">
      <w:pPr>
        <w:pStyle w:val="Noteundertable"/>
      </w:pPr>
      <w:r w:rsidRPr="006623B9">
        <w:rPr>
          <w:b/>
          <w:bCs/>
        </w:rPr>
        <w:t>Note:</w:t>
      </w:r>
      <w:r w:rsidRPr="006623B9">
        <w:t xml:space="preserve"> </w:t>
      </w:r>
      <w:r w:rsidRPr="006623B9">
        <w:tab/>
        <w:t>SWDS — solid waste disposal sites.</w:t>
      </w:r>
    </w:p>
    <w:p w14:paraId="78B08721" w14:textId="77777777" w:rsidR="00EB5913" w:rsidRPr="006623B9" w:rsidRDefault="00EB5913" w:rsidP="00EB5913">
      <w:pPr>
        <w:pStyle w:val="BodyText"/>
        <w:spacing w:before="100"/>
      </w:pPr>
      <w:r w:rsidRPr="006623B9">
        <w:t xml:space="preserve">Methane emissions from </w:t>
      </w:r>
      <w:r w:rsidRPr="006623B9">
        <w:rPr>
          <w:i/>
          <w:iCs/>
        </w:rPr>
        <w:t>Solid waste disposal</w:t>
      </w:r>
      <w:r w:rsidRPr="006623B9">
        <w:t xml:space="preserve"> were identified as a key category in the 2024 level assessment and trend assessment.</w:t>
      </w:r>
    </w:p>
    <w:p w14:paraId="273D0356" w14:textId="77777777" w:rsidR="00EB5913" w:rsidRPr="006623B9" w:rsidRDefault="00EB5913" w:rsidP="00EB5913">
      <w:pPr>
        <w:pStyle w:val="Heading3"/>
        <w:spacing w:before="240"/>
      </w:pPr>
      <w:bookmarkStart w:id="3014" w:name="methodological-issues"/>
      <w:bookmarkEnd w:id="3011"/>
      <w:r w:rsidRPr="006623B9">
        <w:t xml:space="preserve">7.2.2 </w:t>
      </w:r>
      <w:r w:rsidRPr="006623B9">
        <w:tab/>
        <w:t>Methodological issues</w:t>
      </w:r>
    </w:p>
    <w:p w14:paraId="6AB5C7F1" w14:textId="77777777" w:rsidR="00EB5913" w:rsidRPr="006623B9" w:rsidRDefault="00EB5913" w:rsidP="00EB5913">
      <w:pPr>
        <w:pStyle w:val="Heading4"/>
        <w:spacing w:before="180"/>
      </w:pPr>
      <w:bookmarkStart w:id="3015" w:name="choice-of-activity-data"/>
      <w:r w:rsidRPr="006623B9">
        <w:t>Choice of activity data</w:t>
      </w:r>
    </w:p>
    <w:p w14:paraId="5AC45040" w14:textId="77777777" w:rsidR="00EB5913" w:rsidRPr="006623B9" w:rsidRDefault="00EB5913" w:rsidP="00EB5913">
      <w:pPr>
        <w:pStyle w:val="BodyText"/>
        <w:spacing w:before="80" w:after="100"/>
      </w:pPr>
      <w:r w:rsidRPr="006623B9">
        <w:t xml:space="preserve">The quality and availability of activity data for </w:t>
      </w:r>
      <w:r w:rsidRPr="006623B9">
        <w:rPr>
          <w:i/>
          <w:iCs/>
        </w:rPr>
        <w:t>Solid waste disposal</w:t>
      </w:r>
      <w:r w:rsidRPr="006623B9">
        <w:t xml:space="preserve"> vary considerably. For managed SWDS prior to 2010, tonnages of waste disposed of were primarily derived from periodic surveys rather than from consistent annual data collection. Since 2010, however, high-quality tonnage data have been reported on both a monthly and annual basis through the waste levy system.</w:t>
      </w:r>
    </w:p>
    <w:p w14:paraId="38479013" w14:textId="77777777" w:rsidR="00EB5913" w:rsidRPr="006623B9" w:rsidRDefault="00EB5913" w:rsidP="00EB5913">
      <w:pPr>
        <w:pStyle w:val="BodyText"/>
        <w:spacing w:before="100" w:after="100"/>
      </w:pPr>
      <w:r w:rsidRPr="006623B9">
        <w:t>For unmanaged SWDS, the tonnages of waste disposed of used in this report were sourced exclusively from the levy system. This represents a significant improvement over the previous survey-based data collection approach, which was of limited quality and resulted in substantial overestimation of waste quantities.</w:t>
      </w:r>
    </w:p>
    <w:p w14:paraId="2C6F072A" w14:textId="77777777" w:rsidR="00EB5913" w:rsidRPr="006623B9" w:rsidRDefault="00EB5913" w:rsidP="00EB5913">
      <w:pPr>
        <w:pStyle w:val="Heading5"/>
        <w:spacing w:before="200"/>
      </w:pPr>
      <w:bookmarkStart w:id="3016" w:name="X022d859b325d24bfcfcd69befa07b50024eb0c3"/>
      <w:r w:rsidRPr="006623B9">
        <w:t>Managed and uncategorised solid waste disposal sites (5.A.1.a and 5.A.3)</w:t>
      </w:r>
    </w:p>
    <w:p w14:paraId="3A729D11" w14:textId="77777777" w:rsidR="00EB5913" w:rsidRPr="006623B9" w:rsidRDefault="00EB5913" w:rsidP="00EB5913">
      <w:pPr>
        <w:pStyle w:val="BodyText"/>
        <w:spacing w:before="80" w:after="80"/>
      </w:pPr>
      <w:r w:rsidRPr="006623B9">
        <w:t>Annual waste placement data for managed SWDS have been estimated using the following methods:</w:t>
      </w:r>
    </w:p>
    <w:p w14:paraId="5A00619A" w14:textId="77777777" w:rsidR="00EB5913" w:rsidRPr="006623B9" w:rsidRDefault="00EB5913" w:rsidP="00EB5913">
      <w:pPr>
        <w:pStyle w:val="Bullet"/>
        <w:spacing w:after="80"/>
      </w:pPr>
      <w:r w:rsidRPr="006623B9">
        <w:t>back-casting from a 1982 national survey, using real (inflation-adjusted) GDP, for the years before 1982</w:t>
      </w:r>
    </w:p>
    <w:p w14:paraId="5BAD3546" w14:textId="77777777" w:rsidR="00EB5913" w:rsidRPr="006623B9" w:rsidRDefault="00EB5913" w:rsidP="00EB5913">
      <w:pPr>
        <w:pStyle w:val="Bullet"/>
        <w:spacing w:after="80"/>
      </w:pPr>
      <w:r w:rsidRPr="006623B9">
        <w:t>national surveys conducted in 1982, 1995, 1998, 2002 and 2006</w:t>
      </w:r>
    </w:p>
    <w:p w14:paraId="1EE1A097" w14:textId="77777777" w:rsidR="00EB5913" w:rsidRPr="006623B9" w:rsidRDefault="00EB5913" w:rsidP="00EB5913">
      <w:pPr>
        <w:pStyle w:val="Bullet"/>
        <w:spacing w:after="80"/>
      </w:pPr>
      <w:r w:rsidRPr="006623B9">
        <w:t>linear interpolation for the years between these surveys</w:t>
      </w:r>
    </w:p>
    <w:p w14:paraId="50DA7262" w14:textId="77777777" w:rsidR="00EB5913" w:rsidRPr="006623B9" w:rsidRDefault="00EB5913" w:rsidP="00EB5913">
      <w:pPr>
        <w:pStyle w:val="Bullet"/>
        <w:spacing w:after="80"/>
      </w:pPr>
      <w:r w:rsidRPr="006623B9">
        <w:t>linear interpolation for the years 2007 to 2009</w:t>
      </w:r>
    </w:p>
    <w:p w14:paraId="6762F5E9" w14:textId="77777777" w:rsidR="00EB5913" w:rsidRPr="006623B9" w:rsidRDefault="00EB5913" w:rsidP="00EB5913">
      <w:pPr>
        <w:pStyle w:val="Bullet"/>
        <w:spacing w:after="100"/>
      </w:pPr>
      <w:r w:rsidRPr="006623B9">
        <w:t>annual data collected under the WMA since 2010.</w:t>
      </w:r>
    </w:p>
    <w:p w14:paraId="5A80E374" w14:textId="77777777" w:rsidR="00EB5913" w:rsidRPr="006623B9" w:rsidRDefault="00EB5913" w:rsidP="00EB5913">
      <w:pPr>
        <w:pStyle w:val="BodyText"/>
        <w:spacing w:before="100" w:after="100"/>
      </w:pPr>
      <w:r w:rsidRPr="006623B9">
        <w:t>A regression analysis established that there was a correlation between real GDP and the amount of waste landfilled up to 2002. The transition from national surveys to using data collected under the WMA involves linear interpolation. Other methods were explored, but this approach gave the most robust estimates (Eunomia Research and Consulting and Waste Not Consulting, unpublished).</w:t>
      </w:r>
    </w:p>
    <w:p w14:paraId="1DA2C3FE" w14:textId="77777777" w:rsidR="00EB5913" w:rsidRPr="006623B9" w:rsidRDefault="00EB5913" w:rsidP="00EB5913">
      <w:pPr>
        <w:pStyle w:val="BodyText"/>
      </w:pPr>
      <w:r w:rsidRPr="006623B9">
        <w:t>Additional data for landfill emissions were collected through a 2009 survey (SKM, unpublished(b)) of 25 landfills operating at the time, all of which either had or planned to install LFG recovery systems by 2012. These sites provided annual waste placement data.</w:t>
      </w:r>
    </w:p>
    <w:p w14:paraId="08459B81" w14:textId="77777777" w:rsidR="00EB5913" w:rsidRPr="006623B9" w:rsidRDefault="00EB5913" w:rsidP="00EB5913">
      <w:pPr>
        <w:pStyle w:val="BodyText"/>
      </w:pPr>
      <w:r w:rsidRPr="006623B9">
        <w:t>While some of these landfills have since closed and no longer accept waste, they continue to generate CH</w:t>
      </w:r>
      <w:r w:rsidRPr="006623B9">
        <w:rPr>
          <w:vertAlign w:val="subscript"/>
        </w:rPr>
        <w:t>4</w:t>
      </w:r>
      <w:r w:rsidRPr="006623B9">
        <w:t xml:space="preserve"> emissions. Since 2009, one large landfill has opened and an existing site installed an LFG recovery system in 2018. These sites are included in the emissions estimates. From 2010 onwards, all managed SWDS report waste placement volumes under the WMA.</w:t>
      </w:r>
    </w:p>
    <w:p w14:paraId="716B4820" w14:textId="77777777" w:rsidR="00EB5913" w:rsidRPr="006623B9" w:rsidRDefault="00EB5913" w:rsidP="00EB5913">
      <w:pPr>
        <w:pStyle w:val="BodyText"/>
      </w:pPr>
      <w:r w:rsidRPr="006623B9">
        <w:t>As of 2024, there were 66 managed SWDS, comprising 40 open and 26 closed landfills. Of these, 27 sites (both open and closed) had LFG recovery systems, while 39 did not. The number and status of managed landfills are provided in table 7.2.3.</w:t>
      </w:r>
    </w:p>
    <w:p w14:paraId="3BBAF088" w14:textId="77777777" w:rsidR="00EB5913" w:rsidRPr="006623B9" w:rsidRDefault="00EB5913" w:rsidP="00EB5913">
      <w:pPr>
        <w:pStyle w:val="Table"/>
      </w:pPr>
      <w:bookmarkStart w:id="3017" w:name="_Toc226669101"/>
      <w:r w:rsidRPr="006623B9">
        <w:t xml:space="preserve">Table 7.2.3 </w:t>
      </w:r>
      <w:r w:rsidRPr="006623B9">
        <w:tab/>
        <w:t xml:space="preserve">Number of managed solid waste disposal sites reporting under the Waste Minimisation Act 2008, by landfill gas recovery status in </w:t>
      </w:r>
      <w:r w:rsidRPr="006623B9">
        <w:rPr>
          <w:bCs/>
        </w:rPr>
        <w:t>2024</w:t>
      </w:r>
      <w:bookmarkEnd w:id="3017"/>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733"/>
        <w:gridCol w:w="1796"/>
        <w:gridCol w:w="2268"/>
        <w:gridCol w:w="765"/>
      </w:tblGrid>
      <w:tr w:rsidR="00EB5913" w:rsidRPr="006623B9" w14:paraId="17A4B7C2" w14:textId="77777777" w:rsidTr="00F16E23">
        <w:trPr>
          <w:tblHeader/>
        </w:trPr>
        <w:tc>
          <w:tcPr>
            <w:tcW w:w="0" w:type="auto"/>
            <w:shd w:val="clear" w:color="auto" w:fill="1B556B"/>
            <w:tcMar>
              <w:top w:w="0" w:type="dxa"/>
              <w:left w:w="85" w:type="dxa"/>
              <w:bottom w:w="0" w:type="dxa"/>
              <w:right w:w="85" w:type="dxa"/>
            </w:tcMar>
            <w:vAlign w:val="center"/>
          </w:tcPr>
          <w:p w14:paraId="0DAA6375"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Landfill type</w:t>
            </w:r>
          </w:p>
        </w:tc>
        <w:tc>
          <w:tcPr>
            <w:tcW w:w="1796" w:type="dxa"/>
            <w:shd w:val="clear" w:color="auto" w:fill="1B556B"/>
            <w:tcMar>
              <w:top w:w="0" w:type="dxa"/>
              <w:left w:w="85" w:type="dxa"/>
              <w:bottom w:w="0" w:type="dxa"/>
              <w:right w:w="85" w:type="dxa"/>
            </w:tcMar>
            <w:vAlign w:val="center"/>
          </w:tcPr>
          <w:p w14:paraId="5CB62F02"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Sites with LFG recovery</w:t>
            </w:r>
          </w:p>
        </w:tc>
        <w:tc>
          <w:tcPr>
            <w:tcW w:w="2268" w:type="dxa"/>
            <w:shd w:val="clear" w:color="auto" w:fill="1B556B"/>
            <w:tcMar>
              <w:top w:w="0" w:type="dxa"/>
              <w:left w:w="85" w:type="dxa"/>
              <w:bottom w:w="0" w:type="dxa"/>
              <w:right w:w="85" w:type="dxa"/>
            </w:tcMar>
            <w:vAlign w:val="center"/>
          </w:tcPr>
          <w:p w14:paraId="54363FB5"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Sites without LFG recovery</w:t>
            </w:r>
          </w:p>
        </w:tc>
        <w:tc>
          <w:tcPr>
            <w:tcW w:w="765" w:type="dxa"/>
            <w:shd w:val="clear" w:color="auto" w:fill="1B556B"/>
            <w:tcMar>
              <w:top w:w="0" w:type="dxa"/>
              <w:left w:w="85" w:type="dxa"/>
              <w:bottom w:w="0" w:type="dxa"/>
              <w:right w:w="85" w:type="dxa"/>
            </w:tcMar>
            <w:vAlign w:val="center"/>
          </w:tcPr>
          <w:p w14:paraId="4036F6BE"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Total</w:t>
            </w:r>
          </w:p>
        </w:tc>
      </w:tr>
      <w:tr w:rsidR="00EB5913" w:rsidRPr="006623B9" w14:paraId="0AAC0900" w14:textId="77777777" w:rsidTr="00F16E23">
        <w:tc>
          <w:tcPr>
            <w:tcW w:w="0" w:type="auto"/>
            <w:shd w:val="clear" w:color="auto" w:fill="FFFFFF"/>
            <w:tcMar>
              <w:top w:w="0" w:type="dxa"/>
              <w:left w:w="85" w:type="dxa"/>
              <w:bottom w:w="0" w:type="dxa"/>
              <w:right w:w="85" w:type="dxa"/>
            </w:tcMar>
            <w:vAlign w:val="center"/>
          </w:tcPr>
          <w:p w14:paraId="252A5410" w14:textId="77777777" w:rsidR="00EB5913" w:rsidRPr="006623B9" w:rsidRDefault="00EB5913" w:rsidP="00F16E23">
            <w:pPr>
              <w:pStyle w:val="TableText"/>
              <w:spacing w:before="40" w:after="40"/>
            </w:pPr>
            <w:r w:rsidRPr="006623B9">
              <w:rPr>
                <w:rFonts w:eastAsia="Calibri"/>
              </w:rPr>
              <w:t>Open landfills under the NZ ETS and waste levy</w:t>
            </w:r>
          </w:p>
        </w:tc>
        <w:tc>
          <w:tcPr>
            <w:tcW w:w="1796" w:type="dxa"/>
            <w:shd w:val="clear" w:color="auto" w:fill="FFFFFF"/>
            <w:tcMar>
              <w:top w:w="0" w:type="dxa"/>
              <w:left w:w="85" w:type="dxa"/>
              <w:bottom w:w="0" w:type="dxa"/>
              <w:right w:w="85" w:type="dxa"/>
            </w:tcMar>
            <w:vAlign w:val="center"/>
          </w:tcPr>
          <w:p w14:paraId="63E7A155" w14:textId="77777777" w:rsidR="00EB5913" w:rsidRPr="006623B9" w:rsidRDefault="00EB5913" w:rsidP="00F16E23">
            <w:pPr>
              <w:pStyle w:val="TableText"/>
              <w:spacing w:before="40" w:after="40"/>
              <w:jc w:val="right"/>
            </w:pPr>
            <w:r w:rsidRPr="006623B9">
              <w:rPr>
                <w:rFonts w:eastAsia="Calibri"/>
              </w:rPr>
              <w:t>17</w:t>
            </w:r>
          </w:p>
        </w:tc>
        <w:tc>
          <w:tcPr>
            <w:tcW w:w="2268" w:type="dxa"/>
            <w:shd w:val="clear" w:color="auto" w:fill="FFFFFF"/>
            <w:tcMar>
              <w:top w:w="0" w:type="dxa"/>
              <w:left w:w="85" w:type="dxa"/>
              <w:bottom w:w="0" w:type="dxa"/>
              <w:right w:w="85" w:type="dxa"/>
            </w:tcMar>
            <w:vAlign w:val="center"/>
          </w:tcPr>
          <w:p w14:paraId="48252A92" w14:textId="77777777" w:rsidR="00EB5913" w:rsidRPr="006623B9" w:rsidRDefault="00EB5913" w:rsidP="00F16E23">
            <w:pPr>
              <w:pStyle w:val="TableText"/>
              <w:spacing w:before="40" w:after="40"/>
              <w:jc w:val="right"/>
            </w:pPr>
            <w:r w:rsidRPr="006623B9">
              <w:rPr>
                <w:rFonts w:eastAsia="Calibri"/>
              </w:rPr>
              <w:t>23</w:t>
            </w:r>
          </w:p>
        </w:tc>
        <w:tc>
          <w:tcPr>
            <w:tcW w:w="765" w:type="dxa"/>
            <w:shd w:val="clear" w:color="auto" w:fill="FFFFFF"/>
            <w:tcMar>
              <w:top w:w="0" w:type="dxa"/>
              <w:left w:w="85" w:type="dxa"/>
              <w:bottom w:w="0" w:type="dxa"/>
              <w:right w:w="85" w:type="dxa"/>
            </w:tcMar>
            <w:vAlign w:val="center"/>
          </w:tcPr>
          <w:p w14:paraId="54DF0412" w14:textId="77777777" w:rsidR="00EB5913" w:rsidRPr="006623B9" w:rsidRDefault="00EB5913" w:rsidP="00F16E23">
            <w:pPr>
              <w:pStyle w:val="TableText"/>
              <w:spacing w:before="40" w:after="40"/>
              <w:jc w:val="right"/>
            </w:pPr>
            <w:r w:rsidRPr="006623B9">
              <w:rPr>
                <w:rFonts w:eastAsia="Calibri"/>
              </w:rPr>
              <w:t>40</w:t>
            </w:r>
          </w:p>
        </w:tc>
      </w:tr>
      <w:tr w:rsidR="00EB5913" w:rsidRPr="006623B9" w14:paraId="77BD990B" w14:textId="77777777" w:rsidTr="00F16E23">
        <w:tc>
          <w:tcPr>
            <w:tcW w:w="0" w:type="auto"/>
            <w:shd w:val="clear" w:color="auto" w:fill="FFFFFF"/>
            <w:tcMar>
              <w:top w:w="0" w:type="dxa"/>
              <w:left w:w="85" w:type="dxa"/>
              <w:bottom w:w="0" w:type="dxa"/>
              <w:right w:w="85" w:type="dxa"/>
            </w:tcMar>
            <w:vAlign w:val="center"/>
          </w:tcPr>
          <w:p w14:paraId="04E1EC0B" w14:textId="77777777" w:rsidR="00EB5913" w:rsidRPr="006623B9" w:rsidRDefault="00EB5913" w:rsidP="00F16E23">
            <w:pPr>
              <w:pStyle w:val="TableText"/>
              <w:spacing w:before="40" w:after="40"/>
            </w:pPr>
            <w:r w:rsidRPr="006623B9">
              <w:rPr>
                <w:rFonts w:eastAsia="Calibri"/>
              </w:rPr>
              <w:t>Closed landfills (still emitting)</w:t>
            </w:r>
          </w:p>
        </w:tc>
        <w:tc>
          <w:tcPr>
            <w:tcW w:w="1796" w:type="dxa"/>
            <w:shd w:val="clear" w:color="auto" w:fill="FFFFFF"/>
            <w:tcMar>
              <w:top w:w="0" w:type="dxa"/>
              <w:left w:w="85" w:type="dxa"/>
              <w:bottom w:w="0" w:type="dxa"/>
              <w:right w:w="85" w:type="dxa"/>
            </w:tcMar>
            <w:vAlign w:val="center"/>
          </w:tcPr>
          <w:p w14:paraId="6A290775" w14:textId="77777777" w:rsidR="00EB5913" w:rsidRPr="006623B9" w:rsidRDefault="00EB5913" w:rsidP="00F16E23">
            <w:pPr>
              <w:pStyle w:val="TableText"/>
              <w:spacing w:before="40" w:after="40"/>
              <w:jc w:val="right"/>
            </w:pPr>
            <w:r w:rsidRPr="006623B9">
              <w:rPr>
                <w:rFonts w:eastAsia="Calibri"/>
              </w:rPr>
              <w:t>10</w:t>
            </w:r>
          </w:p>
        </w:tc>
        <w:tc>
          <w:tcPr>
            <w:tcW w:w="2268" w:type="dxa"/>
            <w:shd w:val="clear" w:color="auto" w:fill="FFFFFF"/>
            <w:tcMar>
              <w:top w:w="0" w:type="dxa"/>
              <w:left w:w="85" w:type="dxa"/>
              <w:bottom w:w="0" w:type="dxa"/>
              <w:right w:w="85" w:type="dxa"/>
            </w:tcMar>
            <w:vAlign w:val="center"/>
          </w:tcPr>
          <w:p w14:paraId="43100CD0" w14:textId="77777777" w:rsidR="00EB5913" w:rsidRPr="006623B9" w:rsidRDefault="00EB5913" w:rsidP="00F16E23">
            <w:pPr>
              <w:pStyle w:val="TableText"/>
              <w:spacing w:before="40" w:after="40"/>
              <w:jc w:val="right"/>
            </w:pPr>
            <w:r w:rsidRPr="006623B9">
              <w:rPr>
                <w:rFonts w:eastAsia="Calibri"/>
              </w:rPr>
              <w:t>16</w:t>
            </w:r>
          </w:p>
        </w:tc>
        <w:tc>
          <w:tcPr>
            <w:tcW w:w="765" w:type="dxa"/>
            <w:shd w:val="clear" w:color="auto" w:fill="FFFFFF"/>
            <w:tcMar>
              <w:top w:w="0" w:type="dxa"/>
              <w:left w:w="85" w:type="dxa"/>
              <w:bottom w:w="0" w:type="dxa"/>
              <w:right w:w="85" w:type="dxa"/>
            </w:tcMar>
            <w:vAlign w:val="center"/>
          </w:tcPr>
          <w:p w14:paraId="59C86453" w14:textId="77777777" w:rsidR="00EB5913" w:rsidRPr="006623B9" w:rsidRDefault="00EB5913" w:rsidP="00F16E23">
            <w:pPr>
              <w:pStyle w:val="TableText"/>
              <w:spacing w:before="40" w:after="40"/>
              <w:jc w:val="right"/>
            </w:pPr>
            <w:r w:rsidRPr="006623B9">
              <w:rPr>
                <w:rFonts w:eastAsia="Calibri"/>
              </w:rPr>
              <w:t>26</w:t>
            </w:r>
          </w:p>
        </w:tc>
      </w:tr>
      <w:tr w:rsidR="00EB5913" w:rsidRPr="006623B9" w14:paraId="2E348154" w14:textId="77777777" w:rsidTr="00F16E23">
        <w:tc>
          <w:tcPr>
            <w:tcW w:w="0" w:type="auto"/>
            <w:shd w:val="clear" w:color="auto" w:fill="FFFFFF"/>
            <w:tcMar>
              <w:top w:w="0" w:type="dxa"/>
              <w:left w:w="85" w:type="dxa"/>
              <w:bottom w:w="0" w:type="dxa"/>
              <w:right w:w="85" w:type="dxa"/>
            </w:tcMar>
            <w:vAlign w:val="center"/>
          </w:tcPr>
          <w:p w14:paraId="3FA5337B" w14:textId="77777777" w:rsidR="00EB5913" w:rsidRPr="006623B9" w:rsidRDefault="00EB5913" w:rsidP="00F16E23">
            <w:pPr>
              <w:pStyle w:val="Tableboldblue"/>
              <w:spacing w:before="40" w:after="40"/>
            </w:pPr>
            <w:r w:rsidRPr="006623B9">
              <w:rPr>
                <w:rFonts w:eastAsia="Calibri"/>
              </w:rPr>
              <w:t>Total</w:t>
            </w:r>
          </w:p>
        </w:tc>
        <w:tc>
          <w:tcPr>
            <w:tcW w:w="1796" w:type="dxa"/>
            <w:shd w:val="clear" w:color="auto" w:fill="FFFFFF"/>
            <w:tcMar>
              <w:top w:w="0" w:type="dxa"/>
              <w:left w:w="85" w:type="dxa"/>
              <w:bottom w:w="0" w:type="dxa"/>
              <w:right w:w="85" w:type="dxa"/>
            </w:tcMar>
            <w:vAlign w:val="center"/>
          </w:tcPr>
          <w:p w14:paraId="3FB4D285" w14:textId="77777777" w:rsidR="00EB5913" w:rsidRPr="006623B9" w:rsidRDefault="00EB5913" w:rsidP="00F16E23">
            <w:pPr>
              <w:pStyle w:val="Tableboldblue"/>
              <w:spacing w:before="40" w:after="40"/>
              <w:jc w:val="right"/>
            </w:pPr>
            <w:r w:rsidRPr="006623B9">
              <w:rPr>
                <w:rFonts w:eastAsia="Calibri"/>
              </w:rPr>
              <w:t>27</w:t>
            </w:r>
          </w:p>
        </w:tc>
        <w:tc>
          <w:tcPr>
            <w:tcW w:w="2268" w:type="dxa"/>
            <w:shd w:val="clear" w:color="auto" w:fill="FFFFFF"/>
            <w:tcMar>
              <w:top w:w="0" w:type="dxa"/>
              <w:left w:w="85" w:type="dxa"/>
              <w:bottom w:w="0" w:type="dxa"/>
              <w:right w:w="85" w:type="dxa"/>
            </w:tcMar>
            <w:vAlign w:val="center"/>
          </w:tcPr>
          <w:p w14:paraId="16FD142E" w14:textId="77777777" w:rsidR="00EB5913" w:rsidRPr="006623B9" w:rsidRDefault="00EB5913" w:rsidP="00F16E23">
            <w:pPr>
              <w:pStyle w:val="Tableboldblue"/>
              <w:spacing w:before="40" w:after="40"/>
              <w:jc w:val="right"/>
            </w:pPr>
            <w:r w:rsidRPr="006623B9">
              <w:rPr>
                <w:rFonts w:eastAsia="Calibri"/>
              </w:rPr>
              <w:t>39</w:t>
            </w:r>
          </w:p>
        </w:tc>
        <w:tc>
          <w:tcPr>
            <w:tcW w:w="765" w:type="dxa"/>
            <w:shd w:val="clear" w:color="auto" w:fill="FFFFFF"/>
            <w:tcMar>
              <w:top w:w="0" w:type="dxa"/>
              <w:left w:w="85" w:type="dxa"/>
              <w:bottom w:w="0" w:type="dxa"/>
              <w:right w:w="85" w:type="dxa"/>
            </w:tcMar>
            <w:vAlign w:val="center"/>
          </w:tcPr>
          <w:p w14:paraId="05FBF6B7" w14:textId="77777777" w:rsidR="00EB5913" w:rsidRPr="006623B9" w:rsidRDefault="00EB5913" w:rsidP="00F16E23">
            <w:pPr>
              <w:pStyle w:val="Tableboldblue"/>
              <w:spacing w:before="40" w:after="40"/>
              <w:jc w:val="right"/>
            </w:pPr>
            <w:r w:rsidRPr="006623B9">
              <w:rPr>
                <w:rFonts w:eastAsia="Calibri"/>
              </w:rPr>
              <w:t>66</w:t>
            </w:r>
          </w:p>
        </w:tc>
      </w:tr>
    </w:tbl>
    <w:p w14:paraId="2F524BDC" w14:textId="77777777" w:rsidR="00EB5913" w:rsidRPr="006623B9" w:rsidRDefault="00EB5913" w:rsidP="00EB5913">
      <w:pPr>
        <w:pStyle w:val="Noteundertable"/>
      </w:pPr>
      <w:r w:rsidRPr="006623B9">
        <w:rPr>
          <w:b/>
          <w:bCs/>
        </w:rPr>
        <w:t>Note:</w:t>
      </w:r>
      <w:r w:rsidRPr="006623B9">
        <w:rPr>
          <w:b/>
          <w:bCs/>
        </w:rPr>
        <w:tab/>
      </w:r>
      <w:r w:rsidRPr="006623B9">
        <w:t xml:space="preserve"> LFG = landfill gas; NZ ETS = New Zealand Emissions Trading Scheme.</w:t>
      </w:r>
    </w:p>
    <w:p w14:paraId="0334F052" w14:textId="77777777" w:rsidR="00EB5913" w:rsidRPr="006623B9" w:rsidRDefault="00EB5913" w:rsidP="00EB5913">
      <w:pPr>
        <w:pStyle w:val="BodyText"/>
      </w:pPr>
      <w:r w:rsidRPr="006623B9">
        <w:t>For the period from 1950 to 1995, waste placement at uncategorised SWDS (5.A.3) is estimated as a fixed fraction (10 percent) of the difference between the national total and sites with LFG recovery, as shown in the equation below:</w:t>
      </w:r>
    </w:p>
    <w:p w14:paraId="20F43283" w14:textId="77777777" w:rsidR="00EB5913" w:rsidRPr="006623B9" w:rsidRDefault="00EB5913" w:rsidP="00EB5913">
      <w:pPr>
        <w:pStyle w:val="BodyText"/>
        <w:rPr>
          <w:rFonts w:ascii="Cambria Math" w:hAnsi="Cambria Math"/>
        </w:rPr>
      </w:pPr>
      <m:oMathPara>
        <m:oMathParaPr>
          <m:jc m:val="center"/>
        </m:oMathParaPr>
        <m:oMath>
          <m:r>
            <m:rPr>
              <m:nor/>
            </m:rPr>
            <w:rPr>
              <w:rFonts w:ascii="Cambria Math" w:hAnsi="Cambria Math"/>
            </w:rPr>
            <m:t>disposal</m:t>
          </m:r>
          <m:r>
            <w:rPr>
              <w:rFonts w:ascii="Cambria Math" w:hAnsi="Cambria Math"/>
            </w:rPr>
            <m:t> </m:t>
          </m:r>
          <m:r>
            <m:rPr>
              <m:nor/>
            </m:rPr>
            <w:rPr>
              <w:rFonts w:ascii="Cambria Math" w:hAnsi="Cambria Math"/>
            </w:rPr>
            <m:t>for</m:t>
          </m:r>
          <m:r>
            <w:rPr>
              <w:rFonts w:ascii="Cambria Math" w:hAnsi="Cambria Math"/>
            </w:rPr>
            <m:t> 5</m:t>
          </m:r>
          <m:r>
            <m:rPr>
              <m:sty m:val="p"/>
            </m:rPr>
            <w:rPr>
              <w:rFonts w:ascii="Cambria Math" w:hAnsi="Cambria Math"/>
            </w:rPr>
            <m:t>.</m:t>
          </m:r>
          <m:r>
            <w:rPr>
              <w:rFonts w:ascii="Cambria Math" w:hAnsi="Cambria Math"/>
            </w:rPr>
            <m:t>A.3</m:t>
          </m:r>
          <m:r>
            <m:rPr>
              <m:sty m:val="p"/>
            </m:rPr>
            <w:rPr>
              <w:rFonts w:ascii="Cambria Math" w:hAnsi="Cambria Math"/>
            </w:rPr>
            <m:t>=</m:t>
          </m:r>
          <m:r>
            <w:rPr>
              <w:rFonts w:ascii="Cambria Math" w:hAnsi="Cambria Math"/>
            </w:rPr>
            <m:t> 10</m:t>
          </m:r>
          <m:r>
            <m:rPr>
              <m:sty m:val="p"/>
            </m:rPr>
            <w:rPr>
              <w:rFonts w:ascii="Cambria Math" w:hAnsi="Cambria Math"/>
            </w:rPr>
            <m:t>%×</m:t>
          </m:r>
          <m:d>
            <m:dPr>
              <m:ctrlPr>
                <w:rPr>
                  <w:rFonts w:ascii="Cambria Math" w:hAnsi="Cambria Math"/>
                </w:rPr>
              </m:ctrlPr>
            </m:dPr>
            <m:e>
              <m:r>
                <m:rPr>
                  <m:nor/>
                </m:rPr>
                <w:rPr>
                  <w:rFonts w:ascii="Cambria Math" w:hAnsi="Cambria Math"/>
                </w:rPr>
                <m:t>national</m:t>
              </m:r>
              <m:r>
                <w:rPr>
                  <w:rFonts w:ascii="Cambria Math" w:hAnsi="Cambria Math"/>
                </w:rPr>
                <m:t> </m:t>
              </m:r>
              <m:r>
                <m:rPr>
                  <m:nor/>
                </m:rPr>
                <w:rPr>
                  <w:rFonts w:ascii="Cambria Math" w:hAnsi="Cambria Math"/>
                </w:rPr>
                <m:t>total</m:t>
              </m:r>
              <m:r>
                <m:rPr>
                  <m:sty m:val="p"/>
                </m:rPr>
                <w:rPr>
                  <w:rFonts w:ascii="Cambria Math" w:hAnsi="Cambria Math"/>
                </w:rPr>
                <m:t>-</m:t>
              </m:r>
              <m:r>
                <m:rPr>
                  <m:nor/>
                </m:rPr>
                <w:rPr>
                  <w:rFonts w:ascii="Cambria Math" w:hAnsi="Cambria Math"/>
                </w:rPr>
                <m:t>disposal</m:t>
              </m:r>
              <m:r>
                <w:rPr>
                  <w:rFonts w:ascii="Cambria Math" w:hAnsi="Cambria Math"/>
                </w:rPr>
                <m:t> </m:t>
              </m:r>
              <m:r>
                <m:rPr>
                  <m:nor/>
                </m:rPr>
                <w:rPr>
                  <w:rFonts w:ascii="Cambria Math" w:hAnsi="Cambria Math"/>
                </w:rPr>
                <m:t>for</m:t>
              </m:r>
              <m:r>
                <w:rPr>
                  <w:rFonts w:ascii="Cambria Math" w:hAnsi="Cambria Math"/>
                </w:rPr>
                <m:t> </m:t>
              </m:r>
              <m:r>
                <m:rPr>
                  <m:nor/>
                </m:rPr>
                <w:rPr>
                  <w:rFonts w:ascii="Cambria Math" w:hAnsi="Cambria Math"/>
                </w:rPr>
                <m:t>LFG</m:t>
              </m:r>
              <m:r>
                <w:rPr>
                  <w:rFonts w:ascii="Cambria Math" w:hAnsi="Cambria Math"/>
                </w:rPr>
                <m:t> </m:t>
              </m:r>
              <m:r>
                <m:rPr>
                  <m:nor/>
                </m:rPr>
                <w:rPr>
                  <w:rFonts w:ascii="Cambria Math" w:hAnsi="Cambria Math"/>
                </w:rPr>
                <m:t>sites</m:t>
              </m:r>
            </m:e>
          </m:d>
        </m:oMath>
      </m:oMathPara>
    </w:p>
    <w:p w14:paraId="53429253" w14:textId="77777777" w:rsidR="00EB5913" w:rsidRPr="006623B9" w:rsidRDefault="00EB5913" w:rsidP="00EB5913">
      <w:pPr>
        <w:pStyle w:val="BodyText"/>
      </w:pPr>
      <w:r w:rsidRPr="006623B9">
        <w:t>Between 1995 and 2010, the 10·percent fraction gradually declines to zero. From 2010 onwards, activity data for uncategorised SWDS are reported as ‘not occurring’.</w:t>
      </w:r>
    </w:p>
    <w:p w14:paraId="3BF4569D" w14:textId="77777777" w:rsidR="00EB5913" w:rsidRPr="006623B9" w:rsidRDefault="00EB5913" w:rsidP="00EB5913">
      <w:pPr>
        <w:pStyle w:val="BodyText"/>
      </w:pPr>
      <w:r w:rsidRPr="006623B9">
        <w:t>Waste placement from 1950 to 2024 is presented in table 7.2.4. Landfill sites that have had LFG recovery systems at any point since 1950 are categorised as ‘sites with LFG recovery’, even though no sites had such systems before 1985.</w:t>
      </w:r>
    </w:p>
    <w:p w14:paraId="27ABA46C" w14:textId="77777777" w:rsidR="00EB5913" w:rsidRPr="006623B9" w:rsidRDefault="00EB5913" w:rsidP="00EB5913">
      <w:pPr>
        <w:pStyle w:val="Table"/>
      </w:pPr>
      <w:bookmarkStart w:id="3018" w:name="_Toc226669102"/>
      <w:r w:rsidRPr="006623B9">
        <w:t xml:space="preserve">Table 7.2.4 </w:t>
      </w:r>
      <w:r w:rsidRPr="006623B9">
        <w:tab/>
        <w:t>Solid waste deposited to managed and uncategorised solid waste disposal sites, from 1950·to·</w:t>
      </w:r>
      <w:r w:rsidRPr="006623B9">
        <w:rPr>
          <w:bCs/>
        </w:rPr>
        <w:t>2024</w:t>
      </w:r>
      <w:bookmarkEnd w:id="3018"/>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95"/>
        <w:gridCol w:w="2606"/>
        <w:gridCol w:w="2819"/>
        <w:gridCol w:w="1786"/>
        <w:gridCol w:w="856"/>
      </w:tblGrid>
      <w:tr w:rsidR="00EB5913" w:rsidRPr="006623B9" w14:paraId="0C9DD1A6" w14:textId="77777777" w:rsidTr="00F16E23">
        <w:trPr>
          <w:tblHeader/>
        </w:trPr>
        <w:tc>
          <w:tcPr>
            <w:tcW w:w="0" w:type="auto"/>
            <w:shd w:val="clear" w:color="auto" w:fill="1B556B"/>
            <w:tcMar>
              <w:top w:w="0" w:type="dxa"/>
              <w:left w:w="85" w:type="dxa"/>
              <w:bottom w:w="0" w:type="dxa"/>
              <w:right w:w="85" w:type="dxa"/>
            </w:tcMar>
            <w:vAlign w:val="bottom"/>
          </w:tcPr>
          <w:p w14:paraId="7ECF7F79" w14:textId="77777777" w:rsidR="00EB5913" w:rsidRPr="006623B9" w:rsidRDefault="00EB5913" w:rsidP="00F16E23">
            <w:pPr>
              <w:pStyle w:val="TableTextBold"/>
              <w:spacing w:before="40" w:after="40"/>
              <w:rPr>
                <w:rFonts w:cs="Calibri"/>
                <w:noProof w:val="0"/>
                <w:color w:val="FFFFFF" w:themeColor="background1"/>
                <w:szCs w:val="16"/>
              </w:rPr>
            </w:pPr>
            <w:r w:rsidRPr="006623B9">
              <w:rPr>
                <w:rFonts w:cs="Calibri"/>
                <w:noProof w:val="0"/>
                <w:color w:val="FFFFFF" w:themeColor="background1"/>
                <w:szCs w:val="16"/>
              </w:rPr>
              <w:t>Year</w:t>
            </w:r>
          </w:p>
        </w:tc>
        <w:tc>
          <w:tcPr>
            <w:tcW w:w="0" w:type="auto"/>
            <w:shd w:val="clear" w:color="auto" w:fill="1B556B"/>
            <w:tcMar>
              <w:top w:w="0" w:type="dxa"/>
              <w:left w:w="85" w:type="dxa"/>
              <w:bottom w:w="0" w:type="dxa"/>
              <w:right w:w="85" w:type="dxa"/>
            </w:tcMar>
            <w:vAlign w:val="bottom"/>
          </w:tcPr>
          <w:p w14:paraId="795A46A8"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cs="Calibri"/>
                <w:noProof w:val="0"/>
                <w:color w:val="FFFFFF" w:themeColor="background1"/>
                <w:szCs w:val="16"/>
              </w:rPr>
              <w:t>Managed SWDS with LFG recovery (kt)</w:t>
            </w:r>
          </w:p>
        </w:tc>
        <w:tc>
          <w:tcPr>
            <w:tcW w:w="0" w:type="auto"/>
            <w:shd w:val="clear" w:color="auto" w:fill="1B556B"/>
            <w:tcMar>
              <w:top w:w="0" w:type="dxa"/>
              <w:left w:w="85" w:type="dxa"/>
              <w:bottom w:w="0" w:type="dxa"/>
              <w:right w:w="85" w:type="dxa"/>
            </w:tcMar>
            <w:vAlign w:val="bottom"/>
          </w:tcPr>
          <w:p w14:paraId="1755850F"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cs="Calibri"/>
                <w:noProof w:val="0"/>
                <w:color w:val="FFFFFF" w:themeColor="background1"/>
                <w:szCs w:val="16"/>
              </w:rPr>
              <w:t>Managed SWDS without LFG recovery (kt)</w:t>
            </w:r>
          </w:p>
        </w:tc>
        <w:tc>
          <w:tcPr>
            <w:tcW w:w="0" w:type="auto"/>
            <w:shd w:val="clear" w:color="auto" w:fill="1B556B"/>
            <w:tcMar>
              <w:top w:w="0" w:type="dxa"/>
              <w:left w:w="85" w:type="dxa"/>
              <w:bottom w:w="0" w:type="dxa"/>
              <w:right w:w="85" w:type="dxa"/>
            </w:tcMar>
            <w:vAlign w:val="bottom"/>
          </w:tcPr>
          <w:p w14:paraId="46DE44D3"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cs="Calibri"/>
                <w:noProof w:val="0"/>
                <w:color w:val="FFFFFF" w:themeColor="background1"/>
                <w:szCs w:val="16"/>
              </w:rPr>
              <w:t>Uncategorised SWDS (kt)</w:t>
            </w:r>
          </w:p>
        </w:tc>
        <w:tc>
          <w:tcPr>
            <w:tcW w:w="0" w:type="auto"/>
            <w:shd w:val="clear" w:color="auto" w:fill="1B556B"/>
            <w:tcMar>
              <w:top w:w="0" w:type="dxa"/>
              <w:left w:w="85" w:type="dxa"/>
              <w:bottom w:w="0" w:type="dxa"/>
              <w:right w:w="85" w:type="dxa"/>
            </w:tcMar>
            <w:vAlign w:val="bottom"/>
          </w:tcPr>
          <w:p w14:paraId="58032B37"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cs="Calibri"/>
                <w:noProof w:val="0"/>
                <w:color w:val="FFFFFF" w:themeColor="background1"/>
                <w:szCs w:val="16"/>
              </w:rPr>
              <w:t>Total (kt)</w:t>
            </w:r>
          </w:p>
        </w:tc>
      </w:tr>
      <w:tr w:rsidR="00EB5913" w:rsidRPr="006623B9" w14:paraId="7DE619EB" w14:textId="77777777" w:rsidTr="00F16E23">
        <w:tc>
          <w:tcPr>
            <w:tcW w:w="0" w:type="auto"/>
            <w:shd w:val="clear" w:color="auto" w:fill="FFFFFF"/>
            <w:tcMar>
              <w:top w:w="0" w:type="dxa"/>
              <w:left w:w="85" w:type="dxa"/>
              <w:bottom w:w="0" w:type="dxa"/>
              <w:right w:w="85" w:type="dxa"/>
            </w:tcMar>
            <w:vAlign w:val="center"/>
          </w:tcPr>
          <w:p w14:paraId="1D8079AA"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1950</w:t>
            </w:r>
          </w:p>
        </w:tc>
        <w:tc>
          <w:tcPr>
            <w:tcW w:w="0" w:type="auto"/>
            <w:shd w:val="clear" w:color="auto" w:fill="FFFFFF"/>
            <w:tcMar>
              <w:top w:w="0" w:type="dxa"/>
              <w:left w:w="85" w:type="dxa"/>
              <w:bottom w:w="0" w:type="dxa"/>
              <w:right w:w="85" w:type="dxa"/>
            </w:tcMar>
            <w:vAlign w:val="center"/>
          </w:tcPr>
          <w:p w14:paraId="64C8369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33.7</w:t>
            </w:r>
          </w:p>
        </w:tc>
        <w:tc>
          <w:tcPr>
            <w:tcW w:w="0" w:type="auto"/>
            <w:shd w:val="clear" w:color="auto" w:fill="FFFFFF"/>
            <w:tcMar>
              <w:top w:w="0" w:type="dxa"/>
              <w:left w:w="85" w:type="dxa"/>
              <w:bottom w:w="0" w:type="dxa"/>
              <w:right w:w="85" w:type="dxa"/>
            </w:tcMar>
            <w:vAlign w:val="center"/>
          </w:tcPr>
          <w:p w14:paraId="6FE4064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74.7</w:t>
            </w:r>
          </w:p>
        </w:tc>
        <w:tc>
          <w:tcPr>
            <w:tcW w:w="0" w:type="auto"/>
            <w:shd w:val="clear" w:color="auto" w:fill="FFFFFF"/>
            <w:tcMar>
              <w:top w:w="0" w:type="dxa"/>
              <w:left w:w="85" w:type="dxa"/>
              <w:bottom w:w="0" w:type="dxa"/>
              <w:right w:w="85" w:type="dxa"/>
            </w:tcMar>
            <w:vAlign w:val="center"/>
          </w:tcPr>
          <w:p w14:paraId="19D23C3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8.3</w:t>
            </w:r>
          </w:p>
        </w:tc>
        <w:tc>
          <w:tcPr>
            <w:tcW w:w="0" w:type="auto"/>
            <w:shd w:val="clear" w:color="auto" w:fill="FFFFFF"/>
            <w:tcMar>
              <w:top w:w="0" w:type="dxa"/>
              <w:left w:w="85" w:type="dxa"/>
              <w:bottom w:w="0" w:type="dxa"/>
              <w:right w:w="85" w:type="dxa"/>
            </w:tcMar>
            <w:vAlign w:val="center"/>
          </w:tcPr>
          <w:p w14:paraId="315DFE0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116.6</w:t>
            </w:r>
          </w:p>
        </w:tc>
      </w:tr>
      <w:tr w:rsidR="00EB5913" w:rsidRPr="006623B9" w14:paraId="61D627E8" w14:textId="77777777" w:rsidTr="00F16E23">
        <w:tc>
          <w:tcPr>
            <w:tcW w:w="0" w:type="auto"/>
            <w:shd w:val="clear" w:color="auto" w:fill="FFFFFF"/>
            <w:tcMar>
              <w:top w:w="0" w:type="dxa"/>
              <w:left w:w="85" w:type="dxa"/>
              <w:bottom w:w="0" w:type="dxa"/>
              <w:right w:w="85" w:type="dxa"/>
            </w:tcMar>
            <w:vAlign w:val="center"/>
          </w:tcPr>
          <w:p w14:paraId="7F7D36F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1951</w:t>
            </w:r>
          </w:p>
        </w:tc>
        <w:tc>
          <w:tcPr>
            <w:tcW w:w="0" w:type="auto"/>
            <w:shd w:val="clear" w:color="auto" w:fill="FFFFFF"/>
            <w:tcMar>
              <w:top w:w="0" w:type="dxa"/>
              <w:left w:w="85" w:type="dxa"/>
              <w:bottom w:w="0" w:type="dxa"/>
              <w:right w:w="85" w:type="dxa"/>
            </w:tcMar>
            <w:vAlign w:val="center"/>
          </w:tcPr>
          <w:p w14:paraId="01B39A6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77.5</w:t>
            </w:r>
          </w:p>
        </w:tc>
        <w:tc>
          <w:tcPr>
            <w:tcW w:w="0" w:type="auto"/>
            <w:shd w:val="clear" w:color="auto" w:fill="FFFFFF"/>
            <w:tcMar>
              <w:top w:w="0" w:type="dxa"/>
              <w:left w:w="85" w:type="dxa"/>
              <w:bottom w:w="0" w:type="dxa"/>
              <w:right w:w="85" w:type="dxa"/>
            </w:tcMar>
            <w:vAlign w:val="center"/>
          </w:tcPr>
          <w:p w14:paraId="6236F2B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164.7</w:t>
            </w:r>
          </w:p>
        </w:tc>
        <w:tc>
          <w:tcPr>
            <w:tcW w:w="0" w:type="auto"/>
            <w:shd w:val="clear" w:color="auto" w:fill="FFFFFF"/>
            <w:tcMar>
              <w:top w:w="0" w:type="dxa"/>
              <w:left w:w="85" w:type="dxa"/>
              <w:bottom w:w="0" w:type="dxa"/>
              <w:right w:w="85" w:type="dxa"/>
            </w:tcMar>
            <w:vAlign w:val="center"/>
          </w:tcPr>
          <w:p w14:paraId="710AA1D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18.3</w:t>
            </w:r>
          </w:p>
        </w:tc>
        <w:tc>
          <w:tcPr>
            <w:tcW w:w="0" w:type="auto"/>
            <w:shd w:val="clear" w:color="auto" w:fill="FFFFFF"/>
            <w:tcMar>
              <w:top w:w="0" w:type="dxa"/>
              <w:left w:w="85" w:type="dxa"/>
              <w:bottom w:w="0" w:type="dxa"/>
              <w:right w:w="85" w:type="dxa"/>
            </w:tcMar>
            <w:vAlign w:val="center"/>
          </w:tcPr>
          <w:p w14:paraId="3FEF7E8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260.6</w:t>
            </w:r>
          </w:p>
        </w:tc>
      </w:tr>
      <w:tr w:rsidR="00EB5913" w:rsidRPr="006623B9" w14:paraId="0D96F74E" w14:textId="77777777" w:rsidTr="00F16E23">
        <w:tc>
          <w:tcPr>
            <w:tcW w:w="0" w:type="auto"/>
            <w:shd w:val="clear" w:color="auto" w:fill="FFFFFF"/>
            <w:tcMar>
              <w:top w:w="0" w:type="dxa"/>
              <w:left w:w="85" w:type="dxa"/>
              <w:bottom w:w="0" w:type="dxa"/>
              <w:right w:w="85" w:type="dxa"/>
            </w:tcMar>
            <w:vAlign w:val="center"/>
          </w:tcPr>
          <w:p w14:paraId="6FC5DCD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1952</w:t>
            </w:r>
          </w:p>
        </w:tc>
        <w:tc>
          <w:tcPr>
            <w:tcW w:w="0" w:type="auto"/>
            <w:shd w:val="clear" w:color="auto" w:fill="FFFFFF"/>
            <w:tcMar>
              <w:top w:w="0" w:type="dxa"/>
              <w:left w:w="85" w:type="dxa"/>
              <w:bottom w:w="0" w:type="dxa"/>
              <w:right w:w="85" w:type="dxa"/>
            </w:tcMar>
            <w:vAlign w:val="center"/>
          </w:tcPr>
          <w:p w14:paraId="14B579E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77.5</w:t>
            </w:r>
          </w:p>
        </w:tc>
        <w:tc>
          <w:tcPr>
            <w:tcW w:w="0" w:type="auto"/>
            <w:shd w:val="clear" w:color="auto" w:fill="FFFFFF"/>
            <w:tcMar>
              <w:top w:w="0" w:type="dxa"/>
              <w:left w:w="85" w:type="dxa"/>
              <w:bottom w:w="0" w:type="dxa"/>
              <w:right w:w="85" w:type="dxa"/>
            </w:tcMar>
            <w:vAlign w:val="center"/>
          </w:tcPr>
          <w:p w14:paraId="1113228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118.7</w:t>
            </w:r>
          </w:p>
        </w:tc>
        <w:tc>
          <w:tcPr>
            <w:tcW w:w="0" w:type="auto"/>
            <w:shd w:val="clear" w:color="auto" w:fill="FFFFFF"/>
            <w:tcMar>
              <w:top w:w="0" w:type="dxa"/>
              <w:left w:w="85" w:type="dxa"/>
              <w:bottom w:w="0" w:type="dxa"/>
              <w:right w:w="85" w:type="dxa"/>
            </w:tcMar>
            <w:vAlign w:val="center"/>
          </w:tcPr>
          <w:p w14:paraId="2620A66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13.2</w:t>
            </w:r>
          </w:p>
        </w:tc>
        <w:tc>
          <w:tcPr>
            <w:tcW w:w="0" w:type="auto"/>
            <w:shd w:val="clear" w:color="auto" w:fill="FFFFFF"/>
            <w:tcMar>
              <w:top w:w="0" w:type="dxa"/>
              <w:left w:w="85" w:type="dxa"/>
              <w:bottom w:w="0" w:type="dxa"/>
              <w:right w:w="85" w:type="dxa"/>
            </w:tcMar>
            <w:vAlign w:val="center"/>
          </w:tcPr>
          <w:p w14:paraId="4D9CA5F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209.4</w:t>
            </w:r>
          </w:p>
        </w:tc>
      </w:tr>
      <w:tr w:rsidR="00EB5913" w:rsidRPr="006623B9" w14:paraId="23BCC2A4" w14:textId="77777777" w:rsidTr="00F16E23">
        <w:tc>
          <w:tcPr>
            <w:tcW w:w="0" w:type="auto"/>
            <w:shd w:val="clear" w:color="auto" w:fill="FFFFFF"/>
            <w:tcMar>
              <w:top w:w="0" w:type="dxa"/>
              <w:left w:w="85" w:type="dxa"/>
              <w:bottom w:w="0" w:type="dxa"/>
              <w:right w:w="85" w:type="dxa"/>
            </w:tcMar>
            <w:vAlign w:val="center"/>
          </w:tcPr>
          <w:p w14:paraId="739A1C4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1953</w:t>
            </w:r>
          </w:p>
        </w:tc>
        <w:tc>
          <w:tcPr>
            <w:tcW w:w="0" w:type="auto"/>
            <w:shd w:val="clear" w:color="auto" w:fill="FFFFFF"/>
            <w:tcMar>
              <w:top w:w="0" w:type="dxa"/>
              <w:left w:w="85" w:type="dxa"/>
              <w:bottom w:w="0" w:type="dxa"/>
              <w:right w:w="85" w:type="dxa"/>
            </w:tcMar>
            <w:vAlign w:val="center"/>
          </w:tcPr>
          <w:p w14:paraId="7A3B27A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77.5</w:t>
            </w:r>
          </w:p>
        </w:tc>
        <w:tc>
          <w:tcPr>
            <w:tcW w:w="0" w:type="auto"/>
            <w:shd w:val="clear" w:color="auto" w:fill="FFFFFF"/>
            <w:tcMar>
              <w:top w:w="0" w:type="dxa"/>
              <w:left w:w="85" w:type="dxa"/>
              <w:bottom w:w="0" w:type="dxa"/>
              <w:right w:w="85" w:type="dxa"/>
            </w:tcMar>
            <w:vAlign w:val="center"/>
          </w:tcPr>
          <w:p w14:paraId="4A6C3DE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127.3</w:t>
            </w:r>
          </w:p>
        </w:tc>
        <w:tc>
          <w:tcPr>
            <w:tcW w:w="0" w:type="auto"/>
            <w:shd w:val="clear" w:color="auto" w:fill="FFFFFF"/>
            <w:tcMar>
              <w:top w:w="0" w:type="dxa"/>
              <w:left w:w="85" w:type="dxa"/>
              <w:bottom w:w="0" w:type="dxa"/>
              <w:right w:w="85" w:type="dxa"/>
            </w:tcMar>
            <w:vAlign w:val="center"/>
          </w:tcPr>
          <w:p w14:paraId="358FAED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14.1</w:t>
            </w:r>
          </w:p>
        </w:tc>
        <w:tc>
          <w:tcPr>
            <w:tcW w:w="0" w:type="auto"/>
            <w:shd w:val="clear" w:color="auto" w:fill="FFFFFF"/>
            <w:tcMar>
              <w:top w:w="0" w:type="dxa"/>
              <w:left w:w="85" w:type="dxa"/>
              <w:bottom w:w="0" w:type="dxa"/>
              <w:right w:w="85" w:type="dxa"/>
            </w:tcMar>
            <w:vAlign w:val="center"/>
          </w:tcPr>
          <w:p w14:paraId="64336BD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219.0</w:t>
            </w:r>
          </w:p>
        </w:tc>
      </w:tr>
      <w:tr w:rsidR="00EB5913" w:rsidRPr="006623B9" w14:paraId="12AD506D" w14:textId="77777777" w:rsidTr="00F16E23">
        <w:tc>
          <w:tcPr>
            <w:tcW w:w="0" w:type="auto"/>
            <w:shd w:val="clear" w:color="auto" w:fill="FFFFFF"/>
            <w:tcMar>
              <w:top w:w="0" w:type="dxa"/>
              <w:left w:w="85" w:type="dxa"/>
              <w:bottom w:w="0" w:type="dxa"/>
              <w:right w:w="85" w:type="dxa"/>
            </w:tcMar>
            <w:vAlign w:val="center"/>
          </w:tcPr>
          <w:p w14:paraId="1B83D58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1954</w:t>
            </w:r>
          </w:p>
        </w:tc>
        <w:tc>
          <w:tcPr>
            <w:tcW w:w="0" w:type="auto"/>
            <w:shd w:val="clear" w:color="auto" w:fill="FFFFFF"/>
            <w:tcMar>
              <w:top w:w="0" w:type="dxa"/>
              <w:left w:w="85" w:type="dxa"/>
              <w:bottom w:w="0" w:type="dxa"/>
              <w:right w:w="85" w:type="dxa"/>
            </w:tcMar>
            <w:vAlign w:val="center"/>
          </w:tcPr>
          <w:p w14:paraId="2BA2C47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77.5</w:t>
            </w:r>
          </w:p>
        </w:tc>
        <w:tc>
          <w:tcPr>
            <w:tcW w:w="0" w:type="auto"/>
            <w:shd w:val="clear" w:color="auto" w:fill="FFFFFF"/>
            <w:tcMar>
              <w:top w:w="0" w:type="dxa"/>
              <w:left w:w="85" w:type="dxa"/>
              <w:bottom w:w="0" w:type="dxa"/>
              <w:right w:w="85" w:type="dxa"/>
            </w:tcMar>
            <w:vAlign w:val="center"/>
          </w:tcPr>
          <w:p w14:paraId="1E57630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195.3</w:t>
            </w:r>
          </w:p>
        </w:tc>
        <w:tc>
          <w:tcPr>
            <w:tcW w:w="0" w:type="auto"/>
            <w:shd w:val="clear" w:color="auto" w:fill="FFFFFF"/>
            <w:tcMar>
              <w:top w:w="0" w:type="dxa"/>
              <w:left w:w="85" w:type="dxa"/>
              <w:bottom w:w="0" w:type="dxa"/>
              <w:right w:w="85" w:type="dxa"/>
            </w:tcMar>
            <w:vAlign w:val="center"/>
          </w:tcPr>
          <w:p w14:paraId="197E783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21.7</w:t>
            </w:r>
          </w:p>
        </w:tc>
        <w:tc>
          <w:tcPr>
            <w:tcW w:w="0" w:type="auto"/>
            <w:shd w:val="clear" w:color="auto" w:fill="FFFFFF"/>
            <w:tcMar>
              <w:top w:w="0" w:type="dxa"/>
              <w:left w:w="85" w:type="dxa"/>
              <w:bottom w:w="0" w:type="dxa"/>
              <w:right w:w="85" w:type="dxa"/>
            </w:tcMar>
            <w:vAlign w:val="center"/>
          </w:tcPr>
          <w:p w14:paraId="23D738D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294.5</w:t>
            </w:r>
          </w:p>
        </w:tc>
      </w:tr>
      <w:tr w:rsidR="00EB5913" w:rsidRPr="006623B9" w14:paraId="5CCCDBFD" w14:textId="77777777" w:rsidTr="00F16E23">
        <w:tc>
          <w:tcPr>
            <w:tcW w:w="0" w:type="auto"/>
            <w:shd w:val="clear" w:color="auto" w:fill="FFFFFF"/>
            <w:tcMar>
              <w:top w:w="0" w:type="dxa"/>
              <w:left w:w="85" w:type="dxa"/>
              <w:bottom w:w="0" w:type="dxa"/>
              <w:right w:w="85" w:type="dxa"/>
            </w:tcMar>
            <w:vAlign w:val="center"/>
          </w:tcPr>
          <w:p w14:paraId="1DF32CC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1955</w:t>
            </w:r>
          </w:p>
        </w:tc>
        <w:tc>
          <w:tcPr>
            <w:tcW w:w="0" w:type="auto"/>
            <w:shd w:val="clear" w:color="auto" w:fill="FFFFFF"/>
            <w:tcMar>
              <w:top w:w="0" w:type="dxa"/>
              <w:left w:w="85" w:type="dxa"/>
              <w:bottom w:w="0" w:type="dxa"/>
              <w:right w:w="85" w:type="dxa"/>
            </w:tcMar>
            <w:vAlign w:val="center"/>
          </w:tcPr>
          <w:p w14:paraId="1509BD9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31BA0D0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180.3</w:t>
            </w:r>
          </w:p>
        </w:tc>
        <w:tc>
          <w:tcPr>
            <w:tcW w:w="0" w:type="auto"/>
            <w:shd w:val="clear" w:color="auto" w:fill="FFFFFF"/>
            <w:tcMar>
              <w:top w:w="0" w:type="dxa"/>
              <w:left w:w="85" w:type="dxa"/>
              <w:bottom w:w="0" w:type="dxa"/>
              <w:right w:w="85" w:type="dxa"/>
            </w:tcMar>
            <w:vAlign w:val="center"/>
          </w:tcPr>
          <w:p w14:paraId="4992F64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20.0</w:t>
            </w:r>
          </w:p>
        </w:tc>
        <w:tc>
          <w:tcPr>
            <w:tcW w:w="0" w:type="auto"/>
            <w:shd w:val="clear" w:color="auto" w:fill="FFFFFF"/>
            <w:tcMar>
              <w:top w:w="0" w:type="dxa"/>
              <w:left w:w="85" w:type="dxa"/>
              <w:bottom w:w="0" w:type="dxa"/>
              <w:right w:w="85" w:type="dxa"/>
            </w:tcMar>
            <w:vAlign w:val="center"/>
          </w:tcPr>
          <w:p w14:paraId="25FFAE4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382.1</w:t>
            </w:r>
          </w:p>
        </w:tc>
      </w:tr>
      <w:tr w:rsidR="00EB5913" w:rsidRPr="006623B9" w14:paraId="15C1D669" w14:textId="77777777" w:rsidTr="00F16E23">
        <w:tc>
          <w:tcPr>
            <w:tcW w:w="0" w:type="auto"/>
            <w:shd w:val="clear" w:color="auto" w:fill="FFFFFF"/>
            <w:tcMar>
              <w:top w:w="0" w:type="dxa"/>
              <w:left w:w="85" w:type="dxa"/>
              <w:bottom w:w="0" w:type="dxa"/>
              <w:right w:w="85" w:type="dxa"/>
            </w:tcMar>
            <w:vAlign w:val="center"/>
          </w:tcPr>
          <w:p w14:paraId="3A2053B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1956</w:t>
            </w:r>
          </w:p>
        </w:tc>
        <w:tc>
          <w:tcPr>
            <w:tcW w:w="0" w:type="auto"/>
            <w:shd w:val="clear" w:color="auto" w:fill="FFFFFF"/>
            <w:tcMar>
              <w:top w:w="0" w:type="dxa"/>
              <w:left w:w="85" w:type="dxa"/>
              <w:bottom w:w="0" w:type="dxa"/>
              <w:right w:w="85" w:type="dxa"/>
            </w:tcMar>
            <w:vAlign w:val="center"/>
          </w:tcPr>
          <w:p w14:paraId="0538BFB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6D20A63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202.7</w:t>
            </w:r>
          </w:p>
        </w:tc>
        <w:tc>
          <w:tcPr>
            <w:tcW w:w="0" w:type="auto"/>
            <w:shd w:val="clear" w:color="auto" w:fill="FFFFFF"/>
            <w:tcMar>
              <w:top w:w="0" w:type="dxa"/>
              <w:left w:w="85" w:type="dxa"/>
              <w:bottom w:w="0" w:type="dxa"/>
              <w:right w:w="85" w:type="dxa"/>
            </w:tcMar>
            <w:vAlign w:val="center"/>
          </w:tcPr>
          <w:p w14:paraId="1894EBF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22.5</w:t>
            </w:r>
          </w:p>
        </w:tc>
        <w:tc>
          <w:tcPr>
            <w:tcW w:w="0" w:type="auto"/>
            <w:shd w:val="clear" w:color="auto" w:fill="FFFFFF"/>
            <w:tcMar>
              <w:top w:w="0" w:type="dxa"/>
              <w:left w:w="85" w:type="dxa"/>
              <w:bottom w:w="0" w:type="dxa"/>
              <w:right w:w="85" w:type="dxa"/>
            </w:tcMar>
            <w:vAlign w:val="center"/>
          </w:tcPr>
          <w:p w14:paraId="242E0D5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407.0</w:t>
            </w:r>
          </w:p>
        </w:tc>
      </w:tr>
      <w:tr w:rsidR="00EB5913" w:rsidRPr="006623B9" w14:paraId="52EF1726" w14:textId="77777777" w:rsidTr="00F16E23">
        <w:tc>
          <w:tcPr>
            <w:tcW w:w="0" w:type="auto"/>
            <w:shd w:val="clear" w:color="auto" w:fill="FFFFFF"/>
            <w:tcMar>
              <w:top w:w="0" w:type="dxa"/>
              <w:left w:w="85" w:type="dxa"/>
              <w:bottom w:w="0" w:type="dxa"/>
              <w:right w:w="85" w:type="dxa"/>
            </w:tcMar>
            <w:vAlign w:val="center"/>
          </w:tcPr>
          <w:p w14:paraId="484B48E5"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1957</w:t>
            </w:r>
          </w:p>
        </w:tc>
        <w:tc>
          <w:tcPr>
            <w:tcW w:w="0" w:type="auto"/>
            <w:shd w:val="clear" w:color="auto" w:fill="FFFFFF"/>
            <w:tcMar>
              <w:top w:w="0" w:type="dxa"/>
              <w:left w:w="85" w:type="dxa"/>
              <w:bottom w:w="0" w:type="dxa"/>
              <w:right w:w="85" w:type="dxa"/>
            </w:tcMar>
            <w:vAlign w:val="center"/>
          </w:tcPr>
          <w:p w14:paraId="0B384F5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0A4951E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241.8</w:t>
            </w:r>
          </w:p>
        </w:tc>
        <w:tc>
          <w:tcPr>
            <w:tcW w:w="0" w:type="auto"/>
            <w:shd w:val="clear" w:color="auto" w:fill="FFFFFF"/>
            <w:tcMar>
              <w:top w:w="0" w:type="dxa"/>
              <w:left w:w="85" w:type="dxa"/>
              <w:bottom w:w="0" w:type="dxa"/>
              <w:right w:w="85" w:type="dxa"/>
            </w:tcMar>
            <w:vAlign w:val="center"/>
          </w:tcPr>
          <w:p w14:paraId="39D8618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26.9</w:t>
            </w:r>
          </w:p>
        </w:tc>
        <w:tc>
          <w:tcPr>
            <w:tcW w:w="0" w:type="auto"/>
            <w:shd w:val="clear" w:color="auto" w:fill="FFFFFF"/>
            <w:tcMar>
              <w:top w:w="0" w:type="dxa"/>
              <w:left w:w="85" w:type="dxa"/>
              <w:bottom w:w="0" w:type="dxa"/>
              <w:right w:w="85" w:type="dxa"/>
            </w:tcMar>
            <w:vAlign w:val="center"/>
          </w:tcPr>
          <w:p w14:paraId="3D21C0D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450.4</w:t>
            </w:r>
          </w:p>
        </w:tc>
      </w:tr>
      <w:tr w:rsidR="00EB5913" w:rsidRPr="006623B9" w14:paraId="5FC051B5" w14:textId="77777777" w:rsidTr="00F16E23">
        <w:tc>
          <w:tcPr>
            <w:tcW w:w="0" w:type="auto"/>
            <w:shd w:val="clear" w:color="auto" w:fill="FFFFFF"/>
            <w:tcMar>
              <w:top w:w="0" w:type="dxa"/>
              <w:left w:w="85" w:type="dxa"/>
              <w:bottom w:w="0" w:type="dxa"/>
              <w:right w:w="85" w:type="dxa"/>
            </w:tcMar>
            <w:vAlign w:val="center"/>
          </w:tcPr>
          <w:p w14:paraId="3957E4F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1958</w:t>
            </w:r>
          </w:p>
        </w:tc>
        <w:tc>
          <w:tcPr>
            <w:tcW w:w="0" w:type="auto"/>
            <w:shd w:val="clear" w:color="auto" w:fill="FFFFFF"/>
            <w:tcMar>
              <w:top w:w="0" w:type="dxa"/>
              <w:left w:w="85" w:type="dxa"/>
              <w:bottom w:w="0" w:type="dxa"/>
              <w:right w:w="85" w:type="dxa"/>
            </w:tcMar>
            <w:vAlign w:val="center"/>
          </w:tcPr>
          <w:p w14:paraId="7BF8DC7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152E5BD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267.1</w:t>
            </w:r>
          </w:p>
        </w:tc>
        <w:tc>
          <w:tcPr>
            <w:tcW w:w="0" w:type="auto"/>
            <w:shd w:val="clear" w:color="auto" w:fill="FFFFFF"/>
            <w:tcMar>
              <w:top w:w="0" w:type="dxa"/>
              <w:left w:w="85" w:type="dxa"/>
              <w:bottom w:w="0" w:type="dxa"/>
              <w:right w:w="85" w:type="dxa"/>
            </w:tcMar>
            <w:vAlign w:val="center"/>
          </w:tcPr>
          <w:p w14:paraId="2E85C07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29.7</w:t>
            </w:r>
          </w:p>
        </w:tc>
        <w:tc>
          <w:tcPr>
            <w:tcW w:w="0" w:type="auto"/>
            <w:shd w:val="clear" w:color="auto" w:fill="FFFFFF"/>
            <w:tcMar>
              <w:top w:w="0" w:type="dxa"/>
              <w:left w:w="85" w:type="dxa"/>
              <w:bottom w:w="0" w:type="dxa"/>
              <w:right w:w="85" w:type="dxa"/>
            </w:tcMar>
            <w:vAlign w:val="center"/>
          </w:tcPr>
          <w:p w14:paraId="5C345C2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478.5</w:t>
            </w:r>
          </w:p>
        </w:tc>
      </w:tr>
      <w:tr w:rsidR="00EB5913" w:rsidRPr="006623B9" w14:paraId="0FF4DF67" w14:textId="77777777" w:rsidTr="00F16E23">
        <w:tc>
          <w:tcPr>
            <w:tcW w:w="0" w:type="auto"/>
            <w:shd w:val="clear" w:color="auto" w:fill="FFFFFF"/>
            <w:tcMar>
              <w:top w:w="0" w:type="dxa"/>
              <w:left w:w="85" w:type="dxa"/>
              <w:bottom w:w="0" w:type="dxa"/>
              <w:right w:w="85" w:type="dxa"/>
            </w:tcMar>
            <w:vAlign w:val="center"/>
          </w:tcPr>
          <w:p w14:paraId="700B6B2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1959</w:t>
            </w:r>
          </w:p>
        </w:tc>
        <w:tc>
          <w:tcPr>
            <w:tcW w:w="0" w:type="auto"/>
            <w:shd w:val="clear" w:color="auto" w:fill="FFFFFF"/>
            <w:tcMar>
              <w:top w:w="0" w:type="dxa"/>
              <w:left w:w="85" w:type="dxa"/>
              <w:bottom w:w="0" w:type="dxa"/>
              <w:right w:w="85" w:type="dxa"/>
            </w:tcMar>
            <w:vAlign w:val="center"/>
          </w:tcPr>
          <w:p w14:paraId="011AFF0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03B58DA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281.5</w:t>
            </w:r>
          </w:p>
        </w:tc>
        <w:tc>
          <w:tcPr>
            <w:tcW w:w="0" w:type="auto"/>
            <w:shd w:val="clear" w:color="auto" w:fill="FFFFFF"/>
            <w:tcMar>
              <w:top w:w="0" w:type="dxa"/>
              <w:left w:w="85" w:type="dxa"/>
              <w:bottom w:w="0" w:type="dxa"/>
              <w:right w:w="85" w:type="dxa"/>
            </w:tcMar>
            <w:vAlign w:val="center"/>
          </w:tcPr>
          <w:p w14:paraId="6706F8C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31.3</w:t>
            </w:r>
          </w:p>
        </w:tc>
        <w:tc>
          <w:tcPr>
            <w:tcW w:w="0" w:type="auto"/>
            <w:shd w:val="clear" w:color="auto" w:fill="FFFFFF"/>
            <w:tcMar>
              <w:top w:w="0" w:type="dxa"/>
              <w:left w:w="85" w:type="dxa"/>
              <w:bottom w:w="0" w:type="dxa"/>
              <w:right w:w="85" w:type="dxa"/>
            </w:tcMar>
            <w:vAlign w:val="center"/>
          </w:tcPr>
          <w:p w14:paraId="1183FFB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494.5</w:t>
            </w:r>
          </w:p>
        </w:tc>
      </w:tr>
      <w:tr w:rsidR="00EB5913" w:rsidRPr="006623B9" w14:paraId="49578D16" w14:textId="77777777" w:rsidTr="00F16E23">
        <w:tc>
          <w:tcPr>
            <w:tcW w:w="0" w:type="auto"/>
            <w:shd w:val="clear" w:color="auto" w:fill="FFFFFF"/>
            <w:tcMar>
              <w:top w:w="0" w:type="dxa"/>
              <w:left w:w="85" w:type="dxa"/>
              <w:bottom w:w="0" w:type="dxa"/>
              <w:right w:w="85" w:type="dxa"/>
            </w:tcMar>
            <w:vAlign w:val="center"/>
          </w:tcPr>
          <w:p w14:paraId="402B2B7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1960</w:t>
            </w:r>
          </w:p>
        </w:tc>
        <w:tc>
          <w:tcPr>
            <w:tcW w:w="0" w:type="auto"/>
            <w:shd w:val="clear" w:color="auto" w:fill="FFFFFF"/>
            <w:tcMar>
              <w:top w:w="0" w:type="dxa"/>
              <w:left w:w="85" w:type="dxa"/>
              <w:bottom w:w="0" w:type="dxa"/>
              <w:right w:w="85" w:type="dxa"/>
            </w:tcMar>
            <w:vAlign w:val="center"/>
          </w:tcPr>
          <w:p w14:paraId="532E4A4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31E4FA9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349.3</w:t>
            </w:r>
          </w:p>
        </w:tc>
        <w:tc>
          <w:tcPr>
            <w:tcW w:w="0" w:type="auto"/>
            <w:shd w:val="clear" w:color="auto" w:fill="FFFFFF"/>
            <w:tcMar>
              <w:top w:w="0" w:type="dxa"/>
              <w:left w:w="85" w:type="dxa"/>
              <w:bottom w:w="0" w:type="dxa"/>
              <w:right w:w="85" w:type="dxa"/>
            </w:tcMar>
            <w:vAlign w:val="center"/>
          </w:tcPr>
          <w:p w14:paraId="386E101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38.8</w:t>
            </w:r>
          </w:p>
        </w:tc>
        <w:tc>
          <w:tcPr>
            <w:tcW w:w="0" w:type="auto"/>
            <w:shd w:val="clear" w:color="auto" w:fill="FFFFFF"/>
            <w:tcMar>
              <w:top w:w="0" w:type="dxa"/>
              <w:left w:w="85" w:type="dxa"/>
              <w:bottom w:w="0" w:type="dxa"/>
              <w:right w:w="85" w:type="dxa"/>
            </w:tcMar>
            <w:vAlign w:val="center"/>
          </w:tcPr>
          <w:p w14:paraId="716BA2F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569.9</w:t>
            </w:r>
          </w:p>
        </w:tc>
      </w:tr>
      <w:tr w:rsidR="00EB5913" w:rsidRPr="006623B9" w14:paraId="366EFDED" w14:textId="77777777" w:rsidTr="00F16E23">
        <w:tc>
          <w:tcPr>
            <w:tcW w:w="0" w:type="auto"/>
            <w:shd w:val="clear" w:color="auto" w:fill="FFFFFF"/>
            <w:tcMar>
              <w:top w:w="0" w:type="dxa"/>
              <w:left w:w="85" w:type="dxa"/>
              <w:bottom w:w="0" w:type="dxa"/>
              <w:right w:w="85" w:type="dxa"/>
            </w:tcMar>
            <w:vAlign w:val="center"/>
          </w:tcPr>
          <w:p w14:paraId="3ECC570A"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1961</w:t>
            </w:r>
          </w:p>
        </w:tc>
        <w:tc>
          <w:tcPr>
            <w:tcW w:w="0" w:type="auto"/>
            <w:shd w:val="clear" w:color="auto" w:fill="FFFFFF"/>
            <w:tcMar>
              <w:top w:w="0" w:type="dxa"/>
              <w:left w:w="85" w:type="dxa"/>
              <w:bottom w:w="0" w:type="dxa"/>
              <w:right w:w="85" w:type="dxa"/>
            </w:tcMar>
            <w:vAlign w:val="center"/>
          </w:tcPr>
          <w:p w14:paraId="4033F08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239E3E7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438.5</w:t>
            </w:r>
          </w:p>
        </w:tc>
        <w:tc>
          <w:tcPr>
            <w:tcW w:w="0" w:type="auto"/>
            <w:shd w:val="clear" w:color="auto" w:fill="FFFFFF"/>
            <w:tcMar>
              <w:top w:w="0" w:type="dxa"/>
              <w:left w:w="85" w:type="dxa"/>
              <w:bottom w:w="0" w:type="dxa"/>
              <w:right w:w="85" w:type="dxa"/>
            </w:tcMar>
            <w:vAlign w:val="center"/>
          </w:tcPr>
          <w:p w14:paraId="08CFE8A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48.7</w:t>
            </w:r>
          </w:p>
        </w:tc>
        <w:tc>
          <w:tcPr>
            <w:tcW w:w="0" w:type="auto"/>
            <w:shd w:val="clear" w:color="auto" w:fill="FFFFFF"/>
            <w:tcMar>
              <w:top w:w="0" w:type="dxa"/>
              <w:left w:w="85" w:type="dxa"/>
              <w:bottom w:w="0" w:type="dxa"/>
              <w:right w:w="85" w:type="dxa"/>
            </w:tcMar>
            <w:vAlign w:val="center"/>
          </w:tcPr>
          <w:p w14:paraId="2B1DEF3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668.9</w:t>
            </w:r>
          </w:p>
        </w:tc>
      </w:tr>
      <w:tr w:rsidR="00EB5913" w:rsidRPr="006623B9" w14:paraId="0C37FE25" w14:textId="77777777" w:rsidTr="00F16E23">
        <w:tc>
          <w:tcPr>
            <w:tcW w:w="0" w:type="auto"/>
            <w:shd w:val="clear" w:color="auto" w:fill="FFFFFF"/>
            <w:tcMar>
              <w:top w:w="0" w:type="dxa"/>
              <w:left w:w="85" w:type="dxa"/>
              <w:bottom w:w="0" w:type="dxa"/>
              <w:right w:w="85" w:type="dxa"/>
            </w:tcMar>
            <w:vAlign w:val="center"/>
          </w:tcPr>
          <w:p w14:paraId="5B104AFB"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1962</w:t>
            </w:r>
          </w:p>
        </w:tc>
        <w:tc>
          <w:tcPr>
            <w:tcW w:w="0" w:type="auto"/>
            <w:shd w:val="clear" w:color="auto" w:fill="FFFFFF"/>
            <w:tcMar>
              <w:top w:w="0" w:type="dxa"/>
              <w:left w:w="85" w:type="dxa"/>
              <w:bottom w:w="0" w:type="dxa"/>
              <w:right w:w="85" w:type="dxa"/>
            </w:tcMar>
            <w:vAlign w:val="center"/>
          </w:tcPr>
          <w:p w14:paraId="1B196FE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181.7</w:t>
            </w:r>
          </w:p>
        </w:tc>
        <w:tc>
          <w:tcPr>
            <w:tcW w:w="0" w:type="auto"/>
            <w:shd w:val="clear" w:color="auto" w:fill="FFFFFF"/>
            <w:tcMar>
              <w:top w:w="0" w:type="dxa"/>
              <w:left w:w="85" w:type="dxa"/>
              <w:bottom w:w="0" w:type="dxa"/>
              <w:right w:w="85" w:type="dxa"/>
            </w:tcMar>
            <w:vAlign w:val="center"/>
          </w:tcPr>
          <w:p w14:paraId="39E5C56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447.2</w:t>
            </w:r>
          </w:p>
        </w:tc>
        <w:tc>
          <w:tcPr>
            <w:tcW w:w="0" w:type="auto"/>
            <w:shd w:val="clear" w:color="auto" w:fill="FFFFFF"/>
            <w:tcMar>
              <w:top w:w="0" w:type="dxa"/>
              <w:left w:w="85" w:type="dxa"/>
              <w:bottom w:w="0" w:type="dxa"/>
              <w:right w:w="85" w:type="dxa"/>
            </w:tcMar>
            <w:vAlign w:val="center"/>
          </w:tcPr>
          <w:p w14:paraId="3ED3093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49.7</w:t>
            </w:r>
          </w:p>
        </w:tc>
        <w:tc>
          <w:tcPr>
            <w:tcW w:w="0" w:type="auto"/>
            <w:shd w:val="clear" w:color="auto" w:fill="FFFFFF"/>
            <w:tcMar>
              <w:top w:w="0" w:type="dxa"/>
              <w:left w:w="85" w:type="dxa"/>
              <w:bottom w:w="0" w:type="dxa"/>
              <w:right w:w="85" w:type="dxa"/>
            </w:tcMar>
            <w:vAlign w:val="center"/>
          </w:tcPr>
          <w:p w14:paraId="4116369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678.6</w:t>
            </w:r>
          </w:p>
        </w:tc>
      </w:tr>
      <w:tr w:rsidR="00EB5913" w:rsidRPr="006623B9" w14:paraId="63468B2B" w14:textId="77777777" w:rsidTr="00F16E23">
        <w:tc>
          <w:tcPr>
            <w:tcW w:w="0" w:type="auto"/>
            <w:shd w:val="clear" w:color="auto" w:fill="FFFFFF"/>
            <w:tcMar>
              <w:top w:w="0" w:type="dxa"/>
              <w:left w:w="85" w:type="dxa"/>
              <w:bottom w:w="0" w:type="dxa"/>
              <w:right w:w="85" w:type="dxa"/>
            </w:tcMar>
            <w:vAlign w:val="center"/>
          </w:tcPr>
          <w:p w14:paraId="5B1D7E0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1963</w:t>
            </w:r>
          </w:p>
        </w:tc>
        <w:tc>
          <w:tcPr>
            <w:tcW w:w="0" w:type="auto"/>
            <w:shd w:val="clear" w:color="auto" w:fill="FFFFFF"/>
            <w:tcMar>
              <w:top w:w="0" w:type="dxa"/>
              <w:left w:w="85" w:type="dxa"/>
              <w:bottom w:w="0" w:type="dxa"/>
              <w:right w:w="85" w:type="dxa"/>
            </w:tcMar>
            <w:vAlign w:val="center"/>
          </w:tcPr>
          <w:p w14:paraId="157888F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447.9</w:t>
            </w:r>
          </w:p>
        </w:tc>
        <w:tc>
          <w:tcPr>
            <w:tcW w:w="0" w:type="auto"/>
            <w:shd w:val="clear" w:color="auto" w:fill="FFFFFF"/>
            <w:tcMar>
              <w:top w:w="0" w:type="dxa"/>
              <w:left w:w="85" w:type="dxa"/>
              <w:bottom w:w="0" w:type="dxa"/>
              <w:right w:w="85" w:type="dxa"/>
            </w:tcMar>
            <w:vAlign w:val="center"/>
          </w:tcPr>
          <w:p w14:paraId="4C2A5A7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297.3</w:t>
            </w:r>
          </w:p>
        </w:tc>
        <w:tc>
          <w:tcPr>
            <w:tcW w:w="0" w:type="auto"/>
            <w:shd w:val="clear" w:color="auto" w:fill="FFFFFF"/>
            <w:tcMar>
              <w:top w:w="0" w:type="dxa"/>
              <w:left w:w="85" w:type="dxa"/>
              <w:bottom w:w="0" w:type="dxa"/>
              <w:right w:w="85" w:type="dxa"/>
            </w:tcMar>
            <w:vAlign w:val="center"/>
          </w:tcPr>
          <w:p w14:paraId="0FDC998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33.0</w:t>
            </w:r>
          </w:p>
        </w:tc>
        <w:tc>
          <w:tcPr>
            <w:tcW w:w="0" w:type="auto"/>
            <w:shd w:val="clear" w:color="auto" w:fill="FFFFFF"/>
            <w:tcMar>
              <w:top w:w="0" w:type="dxa"/>
              <w:left w:w="85" w:type="dxa"/>
              <w:bottom w:w="0" w:type="dxa"/>
              <w:right w:w="85" w:type="dxa"/>
            </w:tcMar>
            <w:vAlign w:val="center"/>
          </w:tcPr>
          <w:p w14:paraId="1CFAF99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778.2</w:t>
            </w:r>
          </w:p>
        </w:tc>
      </w:tr>
      <w:tr w:rsidR="00EB5913" w:rsidRPr="006623B9" w14:paraId="31139121" w14:textId="77777777" w:rsidTr="00F16E23">
        <w:tc>
          <w:tcPr>
            <w:tcW w:w="0" w:type="auto"/>
            <w:shd w:val="clear" w:color="auto" w:fill="FFFFFF"/>
            <w:tcMar>
              <w:top w:w="0" w:type="dxa"/>
              <w:left w:w="85" w:type="dxa"/>
              <w:bottom w:w="0" w:type="dxa"/>
              <w:right w:w="85" w:type="dxa"/>
            </w:tcMar>
            <w:vAlign w:val="center"/>
          </w:tcPr>
          <w:p w14:paraId="2455E4F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1964</w:t>
            </w:r>
          </w:p>
        </w:tc>
        <w:tc>
          <w:tcPr>
            <w:tcW w:w="0" w:type="auto"/>
            <w:shd w:val="clear" w:color="auto" w:fill="FFFFFF"/>
            <w:tcMar>
              <w:top w:w="0" w:type="dxa"/>
              <w:left w:w="85" w:type="dxa"/>
              <w:bottom w:w="0" w:type="dxa"/>
              <w:right w:w="85" w:type="dxa"/>
            </w:tcMar>
            <w:vAlign w:val="center"/>
          </w:tcPr>
          <w:p w14:paraId="0E3E74C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447.9</w:t>
            </w:r>
          </w:p>
        </w:tc>
        <w:tc>
          <w:tcPr>
            <w:tcW w:w="0" w:type="auto"/>
            <w:shd w:val="clear" w:color="auto" w:fill="FFFFFF"/>
            <w:tcMar>
              <w:top w:w="0" w:type="dxa"/>
              <w:left w:w="85" w:type="dxa"/>
              <w:bottom w:w="0" w:type="dxa"/>
              <w:right w:w="85" w:type="dxa"/>
            </w:tcMar>
            <w:vAlign w:val="center"/>
          </w:tcPr>
          <w:p w14:paraId="0D120ED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369.1</w:t>
            </w:r>
          </w:p>
        </w:tc>
        <w:tc>
          <w:tcPr>
            <w:tcW w:w="0" w:type="auto"/>
            <w:shd w:val="clear" w:color="auto" w:fill="FFFFFF"/>
            <w:tcMar>
              <w:top w:w="0" w:type="dxa"/>
              <w:left w:w="85" w:type="dxa"/>
              <w:bottom w:w="0" w:type="dxa"/>
              <w:right w:w="85" w:type="dxa"/>
            </w:tcMar>
            <w:vAlign w:val="center"/>
          </w:tcPr>
          <w:p w14:paraId="08CF47B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41.0</w:t>
            </w:r>
          </w:p>
        </w:tc>
        <w:tc>
          <w:tcPr>
            <w:tcW w:w="0" w:type="auto"/>
            <w:shd w:val="clear" w:color="auto" w:fill="FFFFFF"/>
            <w:tcMar>
              <w:top w:w="0" w:type="dxa"/>
              <w:left w:w="85" w:type="dxa"/>
              <w:bottom w:w="0" w:type="dxa"/>
              <w:right w:w="85" w:type="dxa"/>
            </w:tcMar>
            <w:vAlign w:val="center"/>
          </w:tcPr>
          <w:p w14:paraId="12FDE3A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858.0</w:t>
            </w:r>
          </w:p>
        </w:tc>
      </w:tr>
      <w:tr w:rsidR="00EB5913" w:rsidRPr="006623B9" w14:paraId="75AF6AB7" w14:textId="77777777" w:rsidTr="00F16E23">
        <w:tc>
          <w:tcPr>
            <w:tcW w:w="0" w:type="auto"/>
            <w:shd w:val="clear" w:color="auto" w:fill="FFFFFF"/>
            <w:tcMar>
              <w:top w:w="0" w:type="dxa"/>
              <w:left w:w="85" w:type="dxa"/>
              <w:bottom w:w="0" w:type="dxa"/>
              <w:right w:w="85" w:type="dxa"/>
            </w:tcMar>
            <w:vAlign w:val="center"/>
          </w:tcPr>
          <w:p w14:paraId="56B3647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1965</w:t>
            </w:r>
          </w:p>
        </w:tc>
        <w:tc>
          <w:tcPr>
            <w:tcW w:w="0" w:type="auto"/>
            <w:shd w:val="clear" w:color="auto" w:fill="FFFFFF"/>
            <w:tcMar>
              <w:top w:w="0" w:type="dxa"/>
              <w:left w:w="85" w:type="dxa"/>
              <w:bottom w:w="0" w:type="dxa"/>
              <w:right w:w="85" w:type="dxa"/>
            </w:tcMar>
            <w:vAlign w:val="center"/>
          </w:tcPr>
          <w:p w14:paraId="3B2151D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447.9</w:t>
            </w:r>
          </w:p>
        </w:tc>
        <w:tc>
          <w:tcPr>
            <w:tcW w:w="0" w:type="auto"/>
            <w:shd w:val="clear" w:color="auto" w:fill="FFFFFF"/>
            <w:tcMar>
              <w:top w:w="0" w:type="dxa"/>
              <w:left w:w="85" w:type="dxa"/>
              <w:bottom w:w="0" w:type="dxa"/>
              <w:right w:w="85" w:type="dxa"/>
            </w:tcMar>
            <w:vAlign w:val="center"/>
          </w:tcPr>
          <w:p w14:paraId="084E6D1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477.2</w:t>
            </w:r>
          </w:p>
        </w:tc>
        <w:tc>
          <w:tcPr>
            <w:tcW w:w="0" w:type="auto"/>
            <w:shd w:val="clear" w:color="auto" w:fill="FFFFFF"/>
            <w:tcMar>
              <w:top w:w="0" w:type="dxa"/>
              <w:left w:w="85" w:type="dxa"/>
              <w:bottom w:w="0" w:type="dxa"/>
              <w:right w:w="85" w:type="dxa"/>
            </w:tcMar>
            <w:vAlign w:val="center"/>
          </w:tcPr>
          <w:p w14:paraId="43BB009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53.0</w:t>
            </w:r>
          </w:p>
        </w:tc>
        <w:tc>
          <w:tcPr>
            <w:tcW w:w="0" w:type="auto"/>
            <w:shd w:val="clear" w:color="auto" w:fill="FFFFFF"/>
            <w:tcMar>
              <w:top w:w="0" w:type="dxa"/>
              <w:left w:w="85" w:type="dxa"/>
              <w:bottom w:w="0" w:type="dxa"/>
              <w:right w:w="85" w:type="dxa"/>
            </w:tcMar>
            <w:vAlign w:val="center"/>
          </w:tcPr>
          <w:p w14:paraId="78126B6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978.1</w:t>
            </w:r>
          </w:p>
        </w:tc>
      </w:tr>
      <w:tr w:rsidR="00EB5913" w:rsidRPr="006623B9" w14:paraId="65CD90CE" w14:textId="77777777" w:rsidTr="00F16E23">
        <w:tc>
          <w:tcPr>
            <w:tcW w:w="0" w:type="auto"/>
            <w:shd w:val="clear" w:color="auto" w:fill="FFFFFF"/>
            <w:tcMar>
              <w:top w:w="0" w:type="dxa"/>
              <w:left w:w="85" w:type="dxa"/>
              <w:bottom w:w="0" w:type="dxa"/>
              <w:right w:w="85" w:type="dxa"/>
            </w:tcMar>
            <w:vAlign w:val="center"/>
          </w:tcPr>
          <w:p w14:paraId="659DEB1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1966</w:t>
            </w:r>
          </w:p>
        </w:tc>
        <w:tc>
          <w:tcPr>
            <w:tcW w:w="0" w:type="auto"/>
            <w:shd w:val="clear" w:color="auto" w:fill="FFFFFF"/>
            <w:tcMar>
              <w:top w:w="0" w:type="dxa"/>
              <w:left w:w="85" w:type="dxa"/>
              <w:bottom w:w="0" w:type="dxa"/>
              <w:right w:w="85" w:type="dxa"/>
            </w:tcMar>
            <w:vAlign w:val="center"/>
          </w:tcPr>
          <w:p w14:paraId="7650878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447.9</w:t>
            </w:r>
          </w:p>
        </w:tc>
        <w:tc>
          <w:tcPr>
            <w:tcW w:w="0" w:type="auto"/>
            <w:shd w:val="clear" w:color="auto" w:fill="FFFFFF"/>
            <w:tcMar>
              <w:top w:w="0" w:type="dxa"/>
              <w:left w:w="85" w:type="dxa"/>
              <w:bottom w:w="0" w:type="dxa"/>
              <w:right w:w="85" w:type="dxa"/>
            </w:tcMar>
            <w:vAlign w:val="center"/>
          </w:tcPr>
          <w:p w14:paraId="0A6C2C6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566.8</w:t>
            </w:r>
          </w:p>
        </w:tc>
        <w:tc>
          <w:tcPr>
            <w:tcW w:w="0" w:type="auto"/>
            <w:shd w:val="clear" w:color="auto" w:fill="FFFFFF"/>
            <w:tcMar>
              <w:top w:w="0" w:type="dxa"/>
              <w:left w:w="85" w:type="dxa"/>
              <w:bottom w:w="0" w:type="dxa"/>
              <w:right w:w="85" w:type="dxa"/>
            </w:tcMar>
            <w:vAlign w:val="center"/>
          </w:tcPr>
          <w:p w14:paraId="72EFFD5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63.0</w:t>
            </w:r>
          </w:p>
        </w:tc>
        <w:tc>
          <w:tcPr>
            <w:tcW w:w="0" w:type="auto"/>
            <w:shd w:val="clear" w:color="auto" w:fill="FFFFFF"/>
            <w:tcMar>
              <w:top w:w="0" w:type="dxa"/>
              <w:left w:w="85" w:type="dxa"/>
              <w:bottom w:w="0" w:type="dxa"/>
              <w:right w:w="85" w:type="dxa"/>
            </w:tcMar>
            <w:vAlign w:val="center"/>
          </w:tcPr>
          <w:p w14:paraId="7BD642C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1,077.6</w:t>
            </w:r>
          </w:p>
        </w:tc>
      </w:tr>
      <w:tr w:rsidR="00EB5913" w:rsidRPr="006623B9" w14:paraId="65BA1F3C" w14:textId="77777777" w:rsidTr="00F16E23">
        <w:tc>
          <w:tcPr>
            <w:tcW w:w="0" w:type="auto"/>
            <w:shd w:val="clear" w:color="auto" w:fill="FFFFFF"/>
            <w:tcMar>
              <w:top w:w="0" w:type="dxa"/>
              <w:left w:w="85" w:type="dxa"/>
              <w:bottom w:w="0" w:type="dxa"/>
              <w:right w:w="85" w:type="dxa"/>
            </w:tcMar>
            <w:vAlign w:val="center"/>
          </w:tcPr>
          <w:p w14:paraId="1A39230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1967</w:t>
            </w:r>
          </w:p>
        </w:tc>
        <w:tc>
          <w:tcPr>
            <w:tcW w:w="0" w:type="auto"/>
            <w:shd w:val="clear" w:color="auto" w:fill="FFFFFF"/>
            <w:tcMar>
              <w:top w:w="0" w:type="dxa"/>
              <w:left w:w="85" w:type="dxa"/>
              <w:bottom w:w="0" w:type="dxa"/>
              <w:right w:w="85" w:type="dxa"/>
            </w:tcMar>
            <w:vAlign w:val="center"/>
          </w:tcPr>
          <w:p w14:paraId="1D02790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495.8</w:t>
            </w:r>
          </w:p>
        </w:tc>
        <w:tc>
          <w:tcPr>
            <w:tcW w:w="0" w:type="auto"/>
            <w:shd w:val="clear" w:color="auto" w:fill="FFFFFF"/>
            <w:tcMar>
              <w:top w:w="0" w:type="dxa"/>
              <w:left w:w="85" w:type="dxa"/>
              <w:bottom w:w="0" w:type="dxa"/>
              <w:right w:w="85" w:type="dxa"/>
            </w:tcMar>
            <w:vAlign w:val="center"/>
          </w:tcPr>
          <w:p w14:paraId="02E8AF3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486.0</w:t>
            </w:r>
          </w:p>
        </w:tc>
        <w:tc>
          <w:tcPr>
            <w:tcW w:w="0" w:type="auto"/>
            <w:shd w:val="clear" w:color="auto" w:fill="FFFFFF"/>
            <w:tcMar>
              <w:top w:w="0" w:type="dxa"/>
              <w:left w:w="85" w:type="dxa"/>
              <w:bottom w:w="0" w:type="dxa"/>
              <w:right w:w="85" w:type="dxa"/>
            </w:tcMar>
            <w:vAlign w:val="center"/>
          </w:tcPr>
          <w:p w14:paraId="3396D65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54.0</w:t>
            </w:r>
          </w:p>
        </w:tc>
        <w:tc>
          <w:tcPr>
            <w:tcW w:w="0" w:type="auto"/>
            <w:shd w:val="clear" w:color="auto" w:fill="FFFFFF"/>
            <w:tcMar>
              <w:top w:w="0" w:type="dxa"/>
              <w:left w:w="85" w:type="dxa"/>
              <w:bottom w:w="0" w:type="dxa"/>
              <w:right w:w="85" w:type="dxa"/>
            </w:tcMar>
            <w:vAlign w:val="center"/>
          </w:tcPr>
          <w:p w14:paraId="3CAA20D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1,035.8</w:t>
            </w:r>
          </w:p>
        </w:tc>
      </w:tr>
      <w:tr w:rsidR="00EB5913" w:rsidRPr="006623B9" w14:paraId="35AA3A53" w14:textId="77777777" w:rsidTr="00F16E23">
        <w:tc>
          <w:tcPr>
            <w:tcW w:w="0" w:type="auto"/>
            <w:shd w:val="clear" w:color="auto" w:fill="FFFFFF"/>
            <w:tcMar>
              <w:top w:w="0" w:type="dxa"/>
              <w:left w:w="85" w:type="dxa"/>
              <w:bottom w:w="0" w:type="dxa"/>
              <w:right w:w="85" w:type="dxa"/>
            </w:tcMar>
            <w:vAlign w:val="center"/>
          </w:tcPr>
          <w:p w14:paraId="304D1FC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1968</w:t>
            </w:r>
          </w:p>
        </w:tc>
        <w:tc>
          <w:tcPr>
            <w:tcW w:w="0" w:type="auto"/>
            <w:shd w:val="clear" w:color="auto" w:fill="FFFFFF"/>
            <w:tcMar>
              <w:top w:w="0" w:type="dxa"/>
              <w:left w:w="85" w:type="dxa"/>
              <w:bottom w:w="0" w:type="dxa"/>
              <w:right w:w="85" w:type="dxa"/>
            </w:tcMar>
            <w:vAlign w:val="center"/>
          </w:tcPr>
          <w:p w14:paraId="19CA07F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495.8</w:t>
            </w:r>
          </w:p>
        </w:tc>
        <w:tc>
          <w:tcPr>
            <w:tcW w:w="0" w:type="auto"/>
            <w:shd w:val="clear" w:color="auto" w:fill="FFFFFF"/>
            <w:tcMar>
              <w:top w:w="0" w:type="dxa"/>
              <w:left w:w="85" w:type="dxa"/>
              <w:bottom w:w="0" w:type="dxa"/>
              <w:right w:w="85" w:type="dxa"/>
            </w:tcMar>
            <w:vAlign w:val="center"/>
          </w:tcPr>
          <w:p w14:paraId="76A0584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485.2</w:t>
            </w:r>
          </w:p>
        </w:tc>
        <w:tc>
          <w:tcPr>
            <w:tcW w:w="0" w:type="auto"/>
            <w:shd w:val="clear" w:color="auto" w:fill="FFFFFF"/>
            <w:tcMar>
              <w:top w:w="0" w:type="dxa"/>
              <w:left w:w="85" w:type="dxa"/>
              <w:bottom w:w="0" w:type="dxa"/>
              <w:right w:w="85" w:type="dxa"/>
            </w:tcMar>
            <w:vAlign w:val="center"/>
          </w:tcPr>
          <w:p w14:paraId="0068B6C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53.9</w:t>
            </w:r>
          </w:p>
        </w:tc>
        <w:tc>
          <w:tcPr>
            <w:tcW w:w="0" w:type="auto"/>
            <w:shd w:val="clear" w:color="auto" w:fill="FFFFFF"/>
            <w:tcMar>
              <w:top w:w="0" w:type="dxa"/>
              <w:left w:w="85" w:type="dxa"/>
              <w:bottom w:w="0" w:type="dxa"/>
              <w:right w:w="85" w:type="dxa"/>
            </w:tcMar>
            <w:vAlign w:val="center"/>
          </w:tcPr>
          <w:p w14:paraId="4C38AF4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1,034.9</w:t>
            </w:r>
          </w:p>
        </w:tc>
      </w:tr>
      <w:tr w:rsidR="00EB5913" w:rsidRPr="006623B9" w14:paraId="78BF9BC2" w14:textId="77777777" w:rsidTr="00F16E23">
        <w:tc>
          <w:tcPr>
            <w:tcW w:w="0" w:type="auto"/>
            <w:shd w:val="clear" w:color="auto" w:fill="FFFFFF"/>
            <w:tcMar>
              <w:top w:w="0" w:type="dxa"/>
              <w:left w:w="85" w:type="dxa"/>
              <w:bottom w:w="0" w:type="dxa"/>
              <w:right w:w="85" w:type="dxa"/>
            </w:tcMar>
            <w:vAlign w:val="center"/>
          </w:tcPr>
          <w:p w14:paraId="5E8C551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1969</w:t>
            </w:r>
          </w:p>
        </w:tc>
        <w:tc>
          <w:tcPr>
            <w:tcW w:w="0" w:type="auto"/>
            <w:shd w:val="clear" w:color="auto" w:fill="FFFFFF"/>
            <w:tcMar>
              <w:top w:w="0" w:type="dxa"/>
              <w:left w:w="85" w:type="dxa"/>
              <w:bottom w:w="0" w:type="dxa"/>
              <w:right w:w="85" w:type="dxa"/>
            </w:tcMar>
            <w:vAlign w:val="center"/>
          </w:tcPr>
          <w:p w14:paraId="48A97CD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495.8</w:t>
            </w:r>
          </w:p>
        </w:tc>
        <w:tc>
          <w:tcPr>
            <w:tcW w:w="0" w:type="auto"/>
            <w:shd w:val="clear" w:color="auto" w:fill="FFFFFF"/>
            <w:tcMar>
              <w:top w:w="0" w:type="dxa"/>
              <w:left w:w="85" w:type="dxa"/>
              <w:bottom w:w="0" w:type="dxa"/>
              <w:right w:w="85" w:type="dxa"/>
            </w:tcMar>
            <w:vAlign w:val="center"/>
          </w:tcPr>
          <w:p w14:paraId="29273F5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489.1</w:t>
            </w:r>
          </w:p>
        </w:tc>
        <w:tc>
          <w:tcPr>
            <w:tcW w:w="0" w:type="auto"/>
            <w:shd w:val="clear" w:color="auto" w:fill="FFFFFF"/>
            <w:tcMar>
              <w:top w:w="0" w:type="dxa"/>
              <w:left w:w="85" w:type="dxa"/>
              <w:bottom w:w="0" w:type="dxa"/>
              <w:right w:w="85" w:type="dxa"/>
            </w:tcMar>
            <w:vAlign w:val="center"/>
          </w:tcPr>
          <w:p w14:paraId="61B6A4E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54.3</w:t>
            </w:r>
          </w:p>
        </w:tc>
        <w:tc>
          <w:tcPr>
            <w:tcW w:w="0" w:type="auto"/>
            <w:shd w:val="clear" w:color="auto" w:fill="FFFFFF"/>
            <w:tcMar>
              <w:top w:w="0" w:type="dxa"/>
              <w:left w:w="85" w:type="dxa"/>
              <w:bottom w:w="0" w:type="dxa"/>
              <w:right w:w="85" w:type="dxa"/>
            </w:tcMar>
            <w:vAlign w:val="center"/>
          </w:tcPr>
          <w:p w14:paraId="36E1351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1,039.2</w:t>
            </w:r>
          </w:p>
        </w:tc>
      </w:tr>
      <w:tr w:rsidR="00EB5913" w:rsidRPr="006623B9" w14:paraId="2074B73F" w14:textId="77777777" w:rsidTr="00F16E23">
        <w:tc>
          <w:tcPr>
            <w:tcW w:w="0" w:type="auto"/>
            <w:shd w:val="clear" w:color="auto" w:fill="FFFFFF"/>
            <w:tcMar>
              <w:top w:w="0" w:type="dxa"/>
              <w:left w:w="85" w:type="dxa"/>
              <w:bottom w:w="0" w:type="dxa"/>
              <w:right w:w="85" w:type="dxa"/>
            </w:tcMar>
            <w:vAlign w:val="center"/>
          </w:tcPr>
          <w:p w14:paraId="69C755D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1970</w:t>
            </w:r>
          </w:p>
        </w:tc>
        <w:tc>
          <w:tcPr>
            <w:tcW w:w="0" w:type="auto"/>
            <w:shd w:val="clear" w:color="auto" w:fill="FFFFFF"/>
            <w:tcMar>
              <w:top w:w="0" w:type="dxa"/>
              <w:left w:w="85" w:type="dxa"/>
              <w:bottom w:w="0" w:type="dxa"/>
              <w:right w:w="85" w:type="dxa"/>
            </w:tcMar>
            <w:vAlign w:val="center"/>
          </w:tcPr>
          <w:p w14:paraId="1F34F66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654.1</w:t>
            </w:r>
          </w:p>
        </w:tc>
        <w:tc>
          <w:tcPr>
            <w:tcW w:w="0" w:type="auto"/>
            <w:shd w:val="clear" w:color="auto" w:fill="FFFFFF"/>
            <w:tcMar>
              <w:top w:w="0" w:type="dxa"/>
              <w:left w:w="85" w:type="dxa"/>
              <w:bottom w:w="0" w:type="dxa"/>
              <w:right w:w="85" w:type="dxa"/>
            </w:tcMar>
            <w:vAlign w:val="center"/>
          </w:tcPr>
          <w:p w14:paraId="4DDD39A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497.4</w:t>
            </w:r>
          </w:p>
        </w:tc>
        <w:tc>
          <w:tcPr>
            <w:tcW w:w="0" w:type="auto"/>
            <w:shd w:val="clear" w:color="auto" w:fill="FFFFFF"/>
            <w:tcMar>
              <w:top w:w="0" w:type="dxa"/>
              <w:left w:w="85" w:type="dxa"/>
              <w:bottom w:w="0" w:type="dxa"/>
              <w:right w:w="85" w:type="dxa"/>
            </w:tcMar>
            <w:vAlign w:val="center"/>
          </w:tcPr>
          <w:p w14:paraId="3AF8FDD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55.3</w:t>
            </w:r>
          </w:p>
        </w:tc>
        <w:tc>
          <w:tcPr>
            <w:tcW w:w="0" w:type="auto"/>
            <w:shd w:val="clear" w:color="auto" w:fill="FFFFFF"/>
            <w:tcMar>
              <w:top w:w="0" w:type="dxa"/>
              <w:left w:w="85" w:type="dxa"/>
              <w:bottom w:w="0" w:type="dxa"/>
              <w:right w:w="85" w:type="dxa"/>
            </w:tcMar>
            <w:vAlign w:val="center"/>
          </w:tcPr>
          <w:p w14:paraId="7D2F73A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1,206.9</w:t>
            </w:r>
          </w:p>
        </w:tc>
      </w:tr>
      <w:tr w:rsidR="00EB5913" w:rsidRPr="006623B9" w14:paraId="6B8D512C" w14:textId="77777777" w:rsidTr="00F16E23">
        <w:tc>
          <w:tcPr>
            <w:tcW w:w="0" w:type="auto"/>
            <w:shd w:val="clear" w:color="auto" w:fill="FFFFFF"/>
            <w:tcMar>
              <w:top w:w="0" w:type="dxa"/>
              <w:left w:w="85" w:type="dxa"/>
              <w:bottom w:w="0" w:type="dxa"/>
              <w:right w:w="85" w:type="dxa"/>
            </w:tcMar>
            <w:vAlign w:val="center"/>
          </w:tcPr>
          <w:p w14:paraId="38A69CD1"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1971</w:t>
            </w:r>
          </w:p>
        </w:tc>
        <w:tc>
          <w:tcPr>
            <w:tcW w:w="0" w:type="auto"/>
            <w:shd w:val="clear" w:color="auto" w:fill="FFFFFF"/>
            <w:tcMar>
              <w:top w:w="0" w:type="dxa"/>
              <w:left w:w="85" w:type="dxa"/>
              <w:bottom w:w="0" w:type="dxa"/>
              <w:right w:w="85" w:type="dxa"/>
            </w:tcMar>
            <w:vAlign w:val="center"/>
          </w:tcPr>
          <w:p w14:paraId="6ADAC8D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654.1</w:t>
            </w:r>
          </w:p>
        </w:tc>
        <w:tc>
          <w:tcPr>
            <w:tcW w:w="0" w:type="auto"/>
            <w:shd w:val="clear" w:color="auto" w:fill="FFFFFF"/>
            <w:tcMar>
              <w:top w:w="0" w:type="dxa"/>
              <w:left w:w="85" w:type="dxa"/>
              <w:bottom w:w="0" w:type="dxa"/>
              <w:right w:w="85" w:type="dxa"/>
            </w:tcMar>
            <w:vAlign w:val="center"/>
          </w:tcPr>
          <w:p w14:paraId="6658459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554.4</w:t>
            </w:r>
          </w:p>
        </w:tc>
        <w:tc>
          <w:tcPr>
            <w:tcW w:w="0" w:type="auto"/>
            <w:shd w:val="clear" w:color="auto" w:fill="FFFFFF"/>
            <w:tcMar>
              <w:top w:w="0" w:type="dxa"/>
              <w:left w:w="85" w:type="dxa"/>
              <w:bottom w:w="0" w:type="dxa"/>
              <w:right w:w="85" w:type="dxa"/>
            </w:tcMar>
            <w:vAlign w:val="center"/>
          </w:tcPr>
          <w:p w14:paraId="6373599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61.6</w:t>
            </w:r>
          </w:p>
        </w:tc>
        <w:tc>
          <w:tcPr>
            <w:tcW w:w="0" w:type="auto"/>
            <w:shd w:val="clear" w:color="auto" w:fill="FFFFFF"/>
            <w:tcMar>
              <w:top w:w="0" w:type="dxa"/>
              <w:left w:w="85" w:type="dxa"/>
              <w:bottom w:w="0" w:type="dxa"/>
              <w:right w:w="85" w:type="dxa"/>
            </w:tcMar>
            <w:vAlign w:val="center"/>
          </w:tcPr>
          <w:p w14:paraId="5B4119F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1,270.1</w:t>
            </w:r>
          </w:p>
        </w:tc>
      </w:tr>
      <w:tr w:rsidR="00EB5913" w:rsidRPr="006623B9" w14:paraId="43078BCE" w14:textId="77777777" w:rsidTr="00F16E23">
        <w:tc>
          <w:tcPr>
            <w:tcW w:w="0" w:type="auto"/>
            <w:shd w:val="clear" w:color="auto" w:fill="FFFFFF"/>
            <w:tcMar>
              <w:top w:w="0" w:type="dxa"/>
              <w:left w:w="85" w:type="dxa"/>
              <w:bottom w:w="0" w:type="dxa"/>
              <w:right w:w="85" w:type="dxa"/>
            </w:tcMar>
            <w:vAlign w:val="center"/>
          </w:tcPr>
          <w:p w14:paraId="276FF34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1972</w:t>
            </w:r>
          </w:p>
        </w:tc>
        <w:tc>
          <w:tcPr>
            <w:tcW w:w="0" w:type="auto"/>
            <w:shd w:val="clear" w:color="auto" w:fill="FFFFFF"/>
            <w:tcMar>
              <w:top w:w="0" w:type="dxa"/>
              <w:left w:w="85" w:type="dxa"/>
              <w:bottom w:w="0" w:type="dxa"/>
              <w:right w:w="85" w:type="dxa"/>
            </w:tcMar>
            <w:vAlign w:val="center"/>
          </w:tcPr>
          <w:p w14:paraId="0CD4D30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672.5</w:t>
            </w:r>
          </w:p>
        </w:tc>
        <w:tc>
          <w:tcPr>
            <w:tcW w:w="0" w:type="auto"/>
            <w:shd w:val="clear" w:color="auto" w:fill="FFFFFF"/>
            <w:tcMar>
              <w:top w:w="0" w:type="dxa"/>
              <w:left w:w="85" w:type="dxa"/>
              <w:bottom w:w="0" w:type="dxa"/>
              <w:right w:w="85" w:type="dxa"/>
            </w:tcMar>
            <w:vAlign w:val="center"/>
          </w:tcPr>
          <w:p w14:paraId="5BB033B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746.9</w:t>
            </w:r>
          </w:p>
        </w:tc>
        <w:tc>
          <w:tcPr>
            <w:tcW w:w="0" w:type="auto"/>
            <w:shd w:val="clear" w:color="auto" w:fill="FFFFFF"/>
            <w:tcMar>
              <w:top w:w="0" w:type="dxa"/>
              <w:left w:w="85" w:type="dxa"/>
              <w:bottom w:w="0" w:type="dxa"/>
              <w:right w:w="85" w:type="dxa"/>
            </w:tcMar>
            <w:vAlign w:val="center"/>
          </w:tcPr>
          <w:p w14:paraId="11BBF51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83.0</w:t>
            </w:r>
          </w:p>
        </w:tc>
        <w:tc>
          <w:tcPr>
            <w:tcW w:w="0" w:type="auto"/>
            <w:shd w:val="clear" w:color="auto" w:fill="FFFFFF"/>
            <w:tcMar>
              <w:top w:w="0" w:type="dxa"/>
              <w:left w:w="85" w:type="dxa"/>
              <w:bottom w:w="0" w:type="dxa"/>
              <w:right w:w="85" w:type="dxa"/>
            </w:tcMar>
            <w:vAlign w:val="center"/>
          </w:tcPr>
          <w:p w14:paraId="72B5C9B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1,502.5</w:t>
            </w:r>
          </w:p>
        </w:tc>
      </w:tr>
      <w:tr w:rsidR="00EB5913" w:rsidRPr="006623B9" w14:paraId="53A6BB5E" w14:textId="77777777" w:rsidTr="00F16E23">
        <w:tc>
          <w:tcPr>
            <w:tcW w:w="0" w:type="auto"/>
            <w:shd w:val="clear" w:color="auto" w:fill="FFFFFF"/>
            <w:tcMar>
              <w:top w:w="0" w:type="dxa"/>
              <w:left w:w="85" w:type="dxa"/>
              <w:bottom w:w="0" w:type="dxa"/>
              <w:right w:w="85" w:type="dxa"/>
            </w:tcMar>
            <w:vAlign w:val="center"/>
          </w:tcPr>
          <w:p w14:paraId="138B251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1973</w:t>
            </w:r>
          </w:p>
        </w:tc>
        <w:tc>
          <w:tcPr>
            <w:tcW w:w="0" w:type="auto"/>
            <w:shd w:val="clear" w:color="auto" w:fill="FFFFFF"/>
            <w:tcMar>
              <w:top w:w="0" w:type="dxa"/>
              <w:left w:w="85" w:type="dxa"/>
              <w:bottom w:w="0" w:type="dxa"/>
              <w:right w:w="85" w:type="dxa"/>
            </w:tcMar>
            <w:vAlign w:val="center"/>
          </w:tcPr>
          <w:p w14:paraId="5C1AD99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672.5</w:t>
            </w:r>
          </w:p>
        </w:tc>
        <w:tc>
          <w:tcPr>
            <w:tcW w:w="0" w:type="auto"/>
            <w:shd w:val="clear" w:color="auto" w:fill="FFFFFF"/>
            <w:tcMar>
              <w:top w:w="0" w:type="dxa"/>
              <w:left w:w="85" w:type="dxa"/>
              <w:bottom w:w="0" w:type="dxa"/>
              <w:right w:w="85" w:type="dxa"/>
            </w:tcMar>
            <w:vAlign w:val="center"/>
          </w:tcPr>
          <w:p w14:paraId="0D1A67D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889.1</w:t>
            </w:r>
          </w:p>
        </w:tc>
        <w:tc>
          <w:tcPr>
            <w:tcW w:w="0" w:type="auto"/>
            <w:shd w:val="clear" w:color="auto" w:fill="FFFFFF"/>
            <w:tcMar>
              <w:top w:w="0" w:type="dxa"/>
              <w:left w:w="85" w:type="dxa"/>
              <w:bottom w:w="0" w:type="dxa"/>
              <w:right w:w="85" w:type="dxa"/>
            </w:tcMar>
            <w:vAlign w:val="center"/>
          </w:tcPr>
          <w:p w14:paraId="490DC7B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98.8</w:t>
            </w:r>
          </w:p>
        </w:tc>
        <w:tc>
          <w:tcPr>
            <w:tcW w:w="0" w:type="auto"/>
            <w:shd w:val="clear" w:color="auto" w:fill="FFFFFF"/>
            <w:tcMar>
              <w:top w:w="0" w:type="dxa"/>
              <w:left w:w="85" w:type="dxa"/>
              <w:bottom w:w="0" w:type="dxa"/>
              <w:right w:w="85" w:type="dxa"/>
            </w:tcMar>
            <w:vAlign w:val="center"/>
          </w:tcPr>
          <w:p w14:paraId="30B2BA6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1,660.4</w:t>
            </w:r>
          </w:p>
        </w:tc>
      </w:tr>
      <w:tr w:rsidR="00EB5913" w:rsidRPr="006623B9" w14:paraId="21E61FAD" w14:textId="77777777" w:rsidTr="00F16E23">
        <w:tc>
          <w:tcPr>
            <w:tcW w:w="0" w:type="auto"/>
            <w:shd w:val="clear" w:color="auto" w:fill="FFFFFF"/>
            <w:tcMar>
              <w:top w:w="0" w:type="dxa"/>
              <w:left w:w="85" w:type="dxa"/>
              <w:bottom w:w="0" w:type="dxa"/>
              <w:right w:w="85" w:type="dxa"/>
            </w:tcMar>
            <w:vAlign w:val="center"/>
          </w:tcPr>
          <w:p w14:paraId="3E6EE1D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1974</w:t>
            </w:r>
          </w:p>
        </w:tc>
        <w:tc>
          <w:tcPr>
            <w:tcW w:w="0" w:type="auto"/>
            <w:shd w:val="clear" w:color="auto" w:fill="FFFFFF"/>
            <w:tcMar>
              <w:top w:w="0" w:type="dxa"/>
              <w:left w:w="85" w:type="dxa"/>
              <w:bottom w:w="0" w:type="dxa"/>
              <w:right w:w="85" w:type="dxa"/>
            </w:tcMar>
            <w:vAlign w:val="center"/>
          </w:tcPr>
          <w:p w14:paraId="3EDA9CA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844.5</w:t>
            </w:r>
          </w:p>
        </w:tc>
        <w:tc>
          <w:tcPr>
            <w:tcW w:w="0" w:type="auto"/>
            <w:shd w:val="clear" w:color="auto" w:fill="FFFFFF"/>
            <w:tcMar>
              <w:top w:w="0" w:type="dxa"/>
              <w:left w:w="85" w:type="dxa"/>
              <w:bottom w:w="0" w:type="dxa"/>
              <w:right w:w="85" w:type="dxa"/>
            </w:tcMar>
            <w:vAlign w:val="center"/>
          </w:tcPr>
          <w:p w14:paraId="63B9225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839.4</w:t>
            </w:r>
          </w:p>
        </w:tc>
        <w:tc>
          <w:tcPr>
            <w:tcW w:w="0" w:type="auto"/>
            <w:shd w:val="clear" w:color="auto" w:fill="FFFFFF"/>
            <w:tcMar>
              <w:top w:w="0" w:type="dxa"/>
              <w:left w:w="85" w:type="dxa"/>
              <w:bottom w:w="0" w:type="dxa"/>
              <w:right w:w="85" w:type="dxa"/>
            </w:tcMar>
            <w:vAlign w:val="center"/>
          </w:tcPr>
          <w:p w14:paraId="5068263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93.3</w:t>
            </w:r>
          </w:p>
        </w:tc>
        <w:tc>
          <w:tcPr>
            <w:tcW w:w="0" w:type="auto"/>
            <w:shd w:val="clear" w:color="auto" w:fill="FFFFFF"/>
            <w:tcMar>
              <w:top w:w="0" w:type="dxa"/>
              <w:left w:w="85" w:type="dxa"/>
              <w:bottom w:w="0" w:type="dxa"/>
              <w:right w:w="85" w:type="dxa"/>
            </w:tcMar>
            <w:vAlign w:val="center"/>
          </w:tcPr>
          <w:p w14:paraId="46901E4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1,777.1</w:t>
            </w:r>
          </w:p>
        </w:tc>
      </w:tr>
      <w:tr w:rsidR="00EB5913" w:rsidRPr="006623B9" w14:paraId="74EB970C" w14:textId="77777777" w:rsidTr="00F16E23">
        <w:tc>
          <w:tcPr>
            <w:tcW w:w="0" w:type="auto"/>
            <w:shd w:val="clear" w:color="auto" w:fill="FFFFFF"/>
            <w:tcMar>
              <w:top w:w="0" w:type="dxa"/>
              <w:left w:w="85" w:type="dxa"/>
              <w:bottom w:w="0" w:type="dxa"/>
              <w:right w:w="85" w:type="dxa"/>
            </w:tcMar>
            <w:vAlign w:val="center"/>
          </w:tcPr>
          <w:p w14:paraId="1459E4D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1975</w:t>
            </w:r>
          </w:p>
        </w:tc>
        <w:tc>
          <w:tcPr>
            <w:tcW w:w="0" w:type="auto"/>
            <w:shd w:val="clear" w:color="auto" w:fill="FFFFFF"/>
            <w:tcMar>
              <w:top w:w="0" w:type="dxa"/>
              <w:left w:w="85" w:type="dxa"/>
              <w:bottom w:w="0" w:type="dxa"/>
              <w:right w:w="85" w:type="dxa"/>
            </w:tcMar>
            <w:vAlign w:val="center"/>
          </w:tcPr>
          <w:p w14:paraId="57AC363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844.5</w:t>
            </w:r>
          </w:p>
        </w:tc>
        <w:tc>
          <w:tcPr>
            <w:tcW w:w="0" w:type="auto"/>
            <w:shd w:val="clear" w:color="auto" w:fill="FFFFFF"/>
            <w:tcMar>
              <w:top w:w="0" w:type="dxa"/>
              <w:left w:w="85" w:type="dxa"/>
              <w:bottom w:w="0" w:type="dxa"/>
              <w:right w:w="85" w:type="dxa"/>
            </w:tcMar>
            <w:vAlign w:val="center"/>
          </w:tcPr>
          <w:p w14:paraId="04A995D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736.6</w:t>
            </w:r>
          </w:p>
        </w:tc>
        <w:tc>
          <w:tcPr>
            <w:tcW w:w="0" w:type="auto"/>
            <w:shd w:val="clear" w:color="auto" w:fill="FFFFFF"/>
            <w:tcMar>
              <w:top w:w="0" w:type="dxa"/>
              <w:left w:w="85" w:type="dxa"/>
              <w:bottom w:w="0" w:type="dxa"/>
              <w:right w:w="85" w:type="dxa"/>
            </w:tcMar>
            <w:vAlign w:val="center"/>
          </w:tcPr>
          <w:p w14:paraId="78E6C84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81.8</w:t>
            </w:r>
          </w:p>
        </w:tc>
        <w:tc>
          <w:tcPr>
            <w:tcW w:w="0" w:type="auto"/>
            <w:shd w:val="clear" w:color="auto" w:fill="FFFFFF"/>
            <w:tcMar>
              <w:top w:w="0" w:type="dxa"/>
              <w:left w:w="85" w:type="dxa"/>
              <w:bottom w:w="0" w:type="dxa"/>
              <w:right w:w="85" w:type="dxa"/>
            </w:tcMar>
            <w:vAlign w:val="center"/>
          </w:tcPr>
          <w:p w14:paraId="489E1DD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1,662.9</w:t>
            </w:r>
          </w:p>
        </w:tc>
      </w:tr>
      <w:tr w:rsidR="00EB5913" w:rsidRPr="006623B9" w14:paraId="6CF0E8F4" w14:textId="77777777" w:rsidTr="00F16E23">
        <w:tc>
          <w:tcPr>
            <w:tcW w:w="0" w:type="auto"/>
            <w:shd w:val="clear" w:color="auto" w:fill="FFFFFF"/>
            <w:tcMar>
              <w:top w:w="0" w:type="dxa"/>
              <w:left w:w="85" w:type="dxa"/>
              <w:bottom w:w="0" w:type="dxa"/>
              <w:right w:w="85" w:type="dxa"/>
            </w:tcMar>
            <w:vAlign w:val="center"/>
          </w:tcPr>
          <w:p w14:paraId="0D0E8E5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1976</w:t>
            </w:r>
          </w:p>
        </w:tc>
        <w:tc>
          <w:tcPr>
            <w:tcW w:w="0" w:type="auto"/>
            <w:shd w:val="clear" w:color="auto" w:fill="FFFFFF"/>
            <w:tcMar>
              <w:top w:w="0" w:type="dxa"/>
              <w:left w:w="85" w:type="dxa"/>
              <w:bottom w:w="0" w:type="dxa"/>
              <w:right w:w="85" w:type="dxa"/>
            </w:tcMar>
            <w:vAlign w:val="center"/>
          </w:tcPr>
          <w:p w14:paraId="02765CB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11CFC78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578.2</w:t>
            </w:r>
          </w:p>
        </w:tc>
        <w:tc>
          <w:tcPr>
            <w:tcW w:w="0" w:type="auto"/>
            <w:shd w:val="clear" w:color="auto" w:fill="FFFFFF"/>
            <w:tcMar>
              <w:top w:w="0" w:type="dxa"/>
              <w:left w:w="85" w:type="dxa"/>
              <w:bottom w:w="0" w:type="dxa"/>
              <w:right w:w="85" w:type="dxa"/>
            </w:tcMar>
            <w:vAlign w:val="center"/>
          </w:tcPr>
          <w:p w14:paraId="6B2640D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64.2</w:t>
            </w:r>
          </w:p>
        </w:tc>
        <w:tc>
          <w:tcPr>
            <w:tcW w:w="0" w:type="auto"/>
            <w:shd w:val="clear" w:color="auto" w:fill="FFFFFF"/>
            <w:tcMar>
              <w:top w:w="0" w:type="dxa"/>
              <w:left w:w="85" w:type="dxa"/>
              <w:bottom w:w="0" w:type="dxa"/>
              <w:right w:w="85" w:type="dxa"/>
            </w:tcMar>
            <w:vAlign w:val="center"/>
          </w:tcPr>
          <w:p w14:paraId="35933F5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1,627.4</w:t>
            </w:r>
          </w:p>
        </w:tc>
      </w:tr>
      <w:tr w:rsidR="00EB5913" w:rsidRPr="006623B9" w14:paraId="0ED93FBF" w14:textId="77777777" w:rsidTr="00F16E23">
        <w:tc>
          <w:tcPr>
            <w:tcW w:w="0" w:type="auto"/>
            <w:shd w:val="clear" w:color="auto" w:fill="FFFFFF"/>
            <w:tcMar>
              <w:top w:w="0" w:type="dxa"/>
              <w:left w:w="85" w:type="dxa"/>
              <w:bottom w:w="0" w:type="dxa"/>
              <w:right w:w="85" w:type="dxa"/>
            </w:tcMar>
            <w:vAlign w:val="center"/>
          </w:tcPr>
          <w:p w14:paraId="7125D35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1977</w:t>
            </w:r>
          </w:p>
        </w:tc>
        <w:tc>
          <w:tcPr>
            <w:tcW w:w="0" w:type="auto"/>
            <w:shd w:val="clear" w:color="auto" w:fill="FFFFFF"/>
            <w:tcMar>
              <w:top w:w="0" w:type="dxa"/>
              <w:left w:w="85" w:type="dxa"/>
              <w:bottom w:w="0" w:type="dxa"/>
              <w:right w:w="85" w:type="dxa"/>
            </w:tcMar>
            <w:vAlign w:val="center"/>
          </w:tcPr>
          <w:p w14:paraId="532AD1B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2CBCD44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713.0</w:t>
            </w:r>
          </w:p>
        </w:tc>
        <w:tc>
          <w:tcPr>
            <w:tcW w:w="0" w:type="auto"/>
            <w:shd w:val="clear" w:color="auto" w:fill="FFFFFF"/>
            <w:tcMar>
              <w:top w:w="0" w:type="dxa"/>
              <w:left w:w="85" w:type="dxa"/>
              <w:bottom w:w="0" w:type="dxa"/>
              <w:right w:w="85" w:type="dxa"/>
            </w:tcMar>
            <w:vAlign w:val="center"/>
          </w:tcPr>
          <w:p w14:paraId="63280CA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79.2</w:t>
            </w:r>
          </w:p>
        </w:tc>
        <w:tc>
          <w:tcPr>
            <w:tcW w:w="0" w:type="auto"/>
            <w:shd w:val="clear" w:color="auto" w:fill="FFFFFF"/>
            <w:tcMar>
              <w:top w:w="0" w:type="dxa"/>
              <w:left w:w="85" w:type="dxa"/>
              <w:bottom w:w="0" w:type="dxa"/>
              <w:right w:w="85" w:type="dxa"/>
            </w:tcMar>
            <w:vAlign w:val="center"/>
          </w:tcPr>
          <w:p w14:paraId="127ADF6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1,777.2</w:t>
            </w:r>
          </w:p>
        </w:tc>
      </w:tr>
      <w:tr w:rsidR="00EB5913" w:rsidRPr="006623B9" w14:paraId="18C1C0E6" w14:textId="77777777" w:rsidTr="00F16E23">
        <w:tc>
          <w:tcPr>
            <w:tcW w:w="0" w:type="auto"/>
            <w:shd w:val="clear" w:color="auto" w:fill="FFFFFF"/>
            <w:tcMar>
              <w:top w:w="0" w:type="dxa"/>
              <w:left w:w="85" w:type="dxa"/>
              <w:bottom w:w="0" w:type="dxa"/>
              <w:right w:w="85" w:type="dxa"/>
            </w:tcMar>
            <w:vAlign w:val="center"/>
          </w:tcPr>
          <w:p w14:paraId="3F6F473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1978</w:t>
            </w:r>
          </w:p>
        </w:tc>
        <w:tc>
          <w:tcPr>
            <w:tcW w:w="0" w:type="auto"/>
            <w:shd w:val="clear" w:color="auto" w:fill="FFFFFF"/>
            <w:tcMar>
              <w:top w:w="0" w:type="dxa"/>
              <w:left w:w="85" w:type="dxa"/>
              <w:bottom w:w="0" w:type="dxa"/>
              <w:right w:w="85" w:type="dxa"/>
            </w:tcMar>
            <w:vAlign w:val="center"/>
          </w:tcPr>
          <w:p w14:paraId="2B0D12F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2F9CF70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588.6</w:t>
            </w:r>
          </w:p>
        </w:tc>
        <w:tc>
          <w:tcPr>
            <w:tcW w:w="0" w:type="auto"/>
            <w:shd w:val="clear" w:color="auto" w:fill="FFFFFF"/>
            <w:tcMar>
              <w:top w:w="0" w:type="dxa"/>
              <w:left w:w="85" w:type="dxa"/>
              <w:bottom w:w="0" w:type="dxa"/>
              <w:right w:w="85" w:type="dxa"/>
            </w:tcMar>
            <w:vAlign w:val="center"/>
          </w:tcPr>
          <w:p w14:paraId="33BD9FF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65.4</w:t>
            </w:r>
          </w:p>
        </w:tc>
        <w:tc>
          <w:tcPr>
            <w:tcW w:w="0" w:type="auto"/>
            <w:shd w:val="clear" w:color="auto" w:fill="FFFFFF"/>
            <w:tcMar>
              <w:top w:w="0" w:type="dxa"/>
              <w:left w:w="85" w:type="dxa"/>
              <w:bottom w:w="0" w:type="dxa"/>
              <w:right w:w="85" w:type="dxa"/>
            </w:tcMar>
            <w:vAlign w:val="center"/>
          </w:tcPr>
          <w:p w14:paraId="0CAE60B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1,639.0</w:t>
            </w:r>
          </w:p>
        </w:tc>
      </w:tr>
      <w:tr w:rsidR="00EB5913" w:rsidRPr="006623B9" w14:paraId="22A4E4E7" w14:textId="77777777" w:rsidTr="00F16E23">
        <w:tc>
          <w:tcPr>
            <w:tcW w:w="0" w:type="auto"/>
            <w:shd w:val="clear" w:color="auto" w:fill="FFFFFF"/>
            <w:tcMar>
              <w:top w:w="0" w:type="dxa"/>
              <w:left w:w="85" w:type="dxa"/>
              <w:bottom w:w="0" w:type="dxa"/>
              <w:right w:w="85" w:type="dxa"/>
            </w:tcMar>
            <w:vAlign w:val="center"/>
          </w:tcPr>
          <w:p w14:paraId="5C11FEA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1979</w:t>
            </w:r>
          </w:p>
        </w:tc>
        <w:tc>
          <w:tcPr>
            <w:tcW w:w="0" w:type="auto"/>
            <w:shd w:val="clear" w:color="auto" w:fill="FFFFFF"/>
            <w:tcMar>
              <w:top w:w="0" w:type="dxa"/>
              <w:left w:w="85" w:type="dxa"/>
              <w:bottom w:w="0" w:type="dxa"/>
              <w:right w:w="85" w:type="dxa"/>
            </w:tcMar>
            <w:vAlign w:val="center"/>
          </w:tcPr>
          <w:p w14:paraId="396381B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39735D8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581.8</w:t>
            </w:r>
          </w:p>
        </w:tc>
        <w:tc>
          <w:tcPr>
            <w:tcW w:w="0" w:type="auto"/>
            <w:shd w:val="clear" w:color="auto" w:fill="FFFFFF"/>
            <w:tcMar>
              <w:top w:w="0" w:type="dxa"/>
              <w:left w:w="85" w:type="dxa"/>
              <w:bottom w:w="0" w:type="dxa"/>
              <w:right w:w="85" w:type="dxa"/>
            </w:tcMar>
            <w:vAlign w:val="center"/>
          </w:tcPr>
          <w:p w14:paraId="19D727E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64.6</w:t>
            </w:r>
          </w:p>
        </w:tc>
        <w:tc>
          <w:tcPr>
            <w:tcW w:w="0" w:type="auto"/>
            <w:shd w:val="clear" w:color="auto" w:fill="FFFFFF"/>
            <w:tcMar>
              <w:top w:w="0" w:type="dxa"/>
              <w:left w:w="85" w:type="dxa"/>
              <w:bottom w:w="0" w:type="dxa"/>
              <w:right w:w="85" w:type="dxa"/>
            </w:tcMar>
            <w:vAlign w:val="center"/>
          </w:tcPr>
          <w:p w14:paraId="6E21D2E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1,631.4</w:t>
            </w:r>
          </w:p>
        </w:tc>
      </w:tr>
      <w:tr w:rsidR="00EB5913" w:rsidRPr="006623B9" w14:paraId="2A259CA2" w14:textId="77777777" w:rsidTr="00F16E23">
        <w:tc>
          <w:tcPr>
            <w:tcW w:w="0" w:type="auto"/>
            <w:shd w:val="clear" w:color="auto" w:fill="FFFFFF"/>
            <w:tcMar>
              <w:top w:w="0" w:type="dxa"/>
              <w:left w:w="85" w:type="dxa"/>
              <w:bottom w:w="0" w:type="dxa"/>
              <w:right w:w="85" w:type="dxa"/>
            </w:tcMar>
            <w:vAlign w:val="center"/>
          </w:tcPr>
          <w:p w14:paraId="2AEE247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1980</w:t>
            </w:r>
          </w:p>
        </w:tc>
        <w:tc>
          <w:tcPr>
            <w:tcW w:w="0" w:type="auto"/>
            <w:shd w:val="clear" w:color="auto" w:fill="FFFFFF"/>
            <w:tcMar>
              <w:top w:w="0" w:type="dxa"/>
              <w:left w:w="85" w:type="dxa"/>
              <w:bottom w:w="0" w:type="dxa"/>
              <w:right w:w="85" w:type="dxa"/>
            </w:tcMar>
            <w:vAlign w:val="center"/>
          </w:tcPr>
          <w:p w14:paraId="0CFAE6E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1079837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572.1</w:t>
            </w:r>
          </w:p>
        </w:tc>
        <w:tc>
          <w:tcPr>
            <w:tcW w:w="0" w:type="auto"/>
            <w:shd w:val="clear" w:color="auto" w:fill="FFFFFF"/>
            <w:tcMar>
              <w:top w:w="0" w:type="dxa"/>
              <w:left w:w="85" w:type="dxa"/>
              <w:bottom w:w="0" w:type="dxa"/>
              <w:right w:w="85" w:type="dxa"/>
            </w:tcMar>
            <w:vAlign w:val="center"/>
          </w:tcPr>
          <w:p w14:paraId="20B61C2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63.6</w:t>
            </w:r>
          </w:p>
        </w:tc>
        <w:tc>
          <w:tcPr>
            <w:tcW w:w="0" w:type="auto"/>
            <w:shd w:val="clear" w:color="auto" w:fill="FFFFFF"/>
            <w:tcMar>
              <w:top w:w="0" w:type="dxa"/>
              <w:left w:w="85" w:type="dxa"/>
              <w:bottom w:w="0" w:type="dxa"/>
              <w:right w:w="85" w:type="dxa"/>
            </w:tcMar>
            <w:vAlign w:val="center"/>
          </w:tcPr>
          <w:p w14:paraId="056260B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1,620.6</w:t>
            </w:r>
          </w:p>
        </w:tc>
      </w:tr>
      <w:tr w:rsidR="00EB5913" w:rsidRPr="006623B9" w14:paraId="623359E2" w14:textId="77777777" w:rsidTr="00F16E23">
        <w:tc>
          <w:tcPr>
            <w:tcW w:w="0" w:type="auto"/>
            <w:shd w:val="clear" w:color="auto" w:fill="FFFFFF"/>
            <w:tcMar>
              <w:top w:w="0" w:type="dxa"/>
              <w:left w:w="85" w:type="dxa"/>
              <w:bottom w:w="0" w:type="dxa"/>
              <w:right w:w="85" w:type="dxa"/>
            </w:tcMar>
            <w:vAlign w:val="center"/>
          </w:tcPr>
          <w:p w14:paraId="7FF6BD4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1981</w:t>
            </w:r>
          </w:p>
        </w:tc>
        <w:tc>
          <w:tcPr>
            <w:tcW w:w="0" w:type="auto"/>
            <w:shd w:val="clear" w:color="auto" w:fill="FFFFFF"/>
            <w:tcMar>
              <w:top w:w="0" w:type="dxa"/>
              <w:left w:w="85" w:type="dxa"/>
              <w:bottom w:w="0" w:type="dxa"/>
              <w:right w:w="85" w:type="dxa"/>
            </w:tcMar>
            <w:vAlign w:val="center"/>
          </w:tcPr>
          <w:p w14:paraId="37C74E9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741FBB5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581.8</w:t>
            </w:r>
          </w:p>
        </w:tc>
        <w:tc>
          <w:tcPr>
            <w:tcW w:w="0" w:type="auto"/>
            <w:shd w:val="clear" w:color="auto" w:fill="FFFFFF"/>
            <w:tcMar>
              <w:top w:w="0" w:type="dxa"/>
              <w:left w:w="85" w:type="dxa"/>
              <w:bottom w:w="0" w:type="dxa"/>
              <w:right w:w="85" w:type="dxa"/>
            </w:tcMar>
            <w:vAlign w:val="center"/>
          </w:tcPr>
          <w:p w14:paraId="0063F94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64.6</w:t>
            </w:r>
          </w:p>
        </w:tc>
        <w:tc>
          <w:tcPr>
            <w:tcW w:w="0" w:type="auto"/>
            <w:shd w:val="clear" w:color="auto" w:fill="FFFFFF"/>
            <w:tcMar>
              <w:top w:w="0" w:type="dxa"/>
              <w:left w:w="85" w:type="dxa"/>
              <w:bottom w:w="0" w:type="dxa"/>
              <w:right w:w="85" w:type="dxa"/>
            </w:tcMar>
            <w:vAlign w:val="center"/>
          </w:tcPr>
          <w:p w14:paraId="165F545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1,631.4</w:t>
            </w:r>
          </w:p>
        </w:tc>
      </w:tr>
      <w:tr w:rsidR="00EB5913" w:rsidRPr="006623B9" w14:paraId="53B3B993" w14:textId="77777777" w:rsidTr="00F16E23">
        <w:tc>
          <w:tcPr>
            <w:tcW w:w="0" w:type="auto"/>
            <w:shd w:val="clear" w:color="auto" w:fill="FFFFFF"/>
            <w:tcMar>
              <w:top w:w="0" w:type="dxa"/>
              <w:left w:w="85" w:type="dxa"/>
              <w:bottom w:w="0" w:type="dxa"/>
              <w:right w:w="85" w:type="dxa"/>
            </w:tcMar>
            <w:vAlign w:val="center"/>
          </w:tcPr>
          <w:p w14:paraId="670C17D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1982</w:t>
            </w:r>
          </w:p>
        </w:tc>
        <w:tc>
          <w:tcPr>
            <w:tcW w:w="0" w:type="auto"/>
            <w:shd w:val="clear" w:color="auto" w:fill="FFFFFF"/>
            <w:tcMar>
              <w:top w:w="0" w:type="dxa"/>
              <w:left w:w="85" w:type="dxa"/>
              <w:bottom w:w="0" w:type="dxa"/>
              <w:right w:w="85" w:type="dxa"/>
            </w:tcMar>
            <w:vAlign w:val="center"/>
          </w:tcPr>
          <w:p w14:paraId="55FC406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493F24A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937.7</w:t>
            </w:r>
          </w:p>
        </w:tc>
        <w:tc>
          <w:tcPr>
            <w:tcW w:w="0" w:type="auto"/>
            <w:shd w:val="clear" w:color="auto" w:fill="FFFFFF"/>
            <w:tcMar>
              <w:top w:w="0" w:type="dxa"/>
              <w:left w:w="85" w:type="dxa"/>
              <w:bottom w:w="0" w:type="dxa"/>
              <w:right w:w="85" w:type="dxa"/>
            </w:tcMar>
            <w:vAlign w:val="center"/>
          </w:tcPr>
          <w:p w14:paraId="166D085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104.2</w:t>
            </w:r>
          </w:p>
        </w:tc>
        <w:tc>
          <w:tcPr>
            <w:tcW w:w="0" w:type="auto"/>
            <w:shd w:val="clear" w:color="auto" w:fill="FFFFFF"/>
            <w:tcMar>
              <w:top w:w="0" w:type="dxa"/>
              <w:left w:w="85" w:type="dxa"/>
              <w:bottom w:w="0" w:type="dxa"/>
              <w:right w:w="85" w:type="dxa"/>
            </w:tcMar>
            <w:vAlign w:val="center"/>
          </w:tcPr>
          <w:p w14:paraId="6FE5888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2,026.8</w:t>
            </w:r>
          </w:p>
        </w:tc>
      </w:tr>
      <w:tr w:rsidR="00EB5913" w:rsidRPr="006623B9" w14:paraId="5F4A1A55" w14:textId="77777777" w:rsidTr="00F16E23">
        <w:tc>
          <w:tcPr>
            <w:tcW w:w="0" w:type="auto"/>
            <w:shd w:val="clear" w:color="auto" w:fill="FFFFFF"/>
            <w:tcMar>
              <w:top w:w="0" w:type="dxa"/>
              <w:left w:w="85" w:type="dxa"/>
              <w:bottom w:w="0" w:type="dxa"/>
              <w:right w:w="85" w:type="dxa"/>
            </w:tcMar>
            <w:vAlign w:val="center"/>
          </w:tcPr>
          <w:p w14:paraId="30E3131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1983</w:t>
            </w:r>
          </w:p>
        </w:tc>
        <w:tc>
          <w:tcPr>
            <w:tcW w:w="0" w:type="auto"/>
            <w:shd w:val="clear" w:color="auto" w:fill="FFFFFF"/>
            <w:tcMar>
              <w:top w:w="0" w:type="dxa"/>
              <w:left w:w="85" w:type="dxa"/>
              <w:bottom w:w="0" w:type="dxa"/>
              <w:right w:w="85" w:type="dxa"/>
            </w:tcMar>
            <w:vAlign w:val="center"/>
          </w:tcPr>
          <w:p w14:paraId="12605FA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984.9</w:t>
            </w:r>
          </w:p>
        </w:tc>
        <w:tc>
          <w:tcPr>
            <w:tcW w:w="0" w:type="auto"/>
            <w:shd w:val="clear" w:color="auto" w:fill="FFFFFF"/>
            <w:tcMar>
              <w:top w:w="0" w:type="dxa"/>
              <w:left w:w="85" w:type="dxa"/>
              <w:bottom w:w="0" w:type="dxa"/>
              <w:right w:w="85" w:type="dxa"/>
            </w:tcMar>
            <w:vAlign w:val="center"/>
          </w:tcPr>
          <w:p w14:paraId="16416A2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1,017.6</w:t>
            </w:r>
          </w:p>
        </w:tc>
        <w:tc>
          <w:tcPr>
            <w:tcW w:w="0" w:type="auto"/>
            <w:shd w:val="clear" w:color="auto" w:fill="FFFFFF"/>
            <w:tcMar>
              <w:top w:w="0" w:type="dxa"/>
              <w:left w:w="85" w:type="dxa"/>
              <w:bottom w:w="0" w:type="dxa"/>
              <w:right w:w="85" w:type="dxa"/>
            </w:tcMar>
            <w:vAlign w:val="center"/>
          </w:tcPr>
          <w:p w14:paraId="6691F24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113.1</w:t>
            </w:r>
          </w:p>
        </w:tc>
        <w:tc>
          <w:tcPr>
            <w:tcW w:w="0" w:type="auto"/>
            <w:shd w:val="clear" w:color="auto" w:fill="FFFFFF"/>
            <w:tcMar>
              <w:top w:w="0" w:type="dxa"/>
              <w:left w:w="85" w:type="dxa"/>
              <w:bottom w:w="0" w:type="dxa"/>
              <w:right w:w="85" w:type="dxa"/>
            </w:tcMar>
            <w:vAlign w:val="center"/>
          </w:tcPr>
          <w:p w14:paraId="080913D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2,115.7</w:t>
            </w:r>
          </w:p>
        </w:tc>
      </w:tr>
      <w:tr w:rsidR="00EB5913" w:rsidRPr="006623B9" w14:paraId="2851ED10" w14:textId="77777777" w:rsidTr="00F16E23">
        <w:tc>
          <w:tcPr>
            <w:tcW w:w="0" w:type="auto"/>
            <w:shd w:val="clear" w:color="auto" w:fill="FFFFFF"/>
            <w:tcMar>
              <w:top w:w="0" w:type="dxa"/>
              <w:left w:w="85" w:type="dxa"/>
              <w:bottom w:w="0" w:type="dxa"/>
              <w:right w:w="85" w:type="dxa"/>
            </w:tcMar>
            <w:vAlign w:val="center"/>
          </w:tcPr>
          <w:p w14:paraId="38E10DD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1984</w:t>
            </w:r>
          </w:p>
        </w:tc>
        <w:tc>
          <w:tcPr>
            <w:tcW w:w="0" w:type="auto"/>
            <w:shd w:val="clear" w:color="auto" w:fill="FFFFFF"/>
            <w:tcMar>
              <w:top w:w="0" w:type="dxa"/>
              <w:left w:w="85" w:type="dxa"/>
              <w:bottom w:w="0" w:type="dxa"/>
              <w:right w:w="85" w:type="dxa"/>
            </w:tcMar>
            <w:vAlign w:val="center"/>
          </w:tcPr>
          <w:p w14:paraId="2CDBC3B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1,156.5</w:t>
            </w:r>
          </w:p>
        </w:tc>
        <w:tc>
          <w:tcPr>
            <w:tcW w:w="0" w:type="auto"/>
            <w:shd w:val="clear" w:color="auto" w:fill="FFFFFF"/>
            <w:tcMar>
              <w:top w:w="0" w:type="dxa"/>
              <w:left w:w="85" w:type="dxa"/>
              <w:bottom w:w="0" w:type="dxa"/>
              <w:right w:w="85" w:type="dxa"/>
            </w:tcMar>
            <w:vAlign w:val="center"/>
          </w:tcPr>
          <w:p w14:paraId="05F05DE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943.2</w:t>
            </w:r>
          </w:p>
        </w:tc>
        <w:tc>
          <w:tcPr>
            <w:tcW w:w="0" w:type="auto"/>
            <w:shd w:val="clear" w:color="auto" w:fill="FFFFFF"/>
            <w:tcMar>
              <w:top w:w="0" w:type="dxa"/>
              <w:left w:w="85" w:type="dxa"/>
              <w:bottom w:w="0" w:type="dxa"/>
              <w:right w:w="85" w:type="dxa"/>
            </w:tcMar>
            <w:vAlign w:val="center"/>
          </w:tcPr>
          <w:p w14:paraId="714F74F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104.8</w:t>
            </w:r>
          </w:p>
        </w:tc>
        <w:tc>
          <w:tcPr>
            <w:tcW w:w="0" w:type="auto"/>
            <w:shd w:val="clear" w:color="auto" w:fill="FFFFFF"/>
            <w:tcMar>
              <w:top w:w="0" w:type="dxa"/>
              <w:left w:w="85" w:type="dxa"/>
              <w:bottom w:w="0" w:type="dxa"/>
              <w:right w:w="85" w:type="dxa"/>
            </w:tcMar>
            <w:vAlign w:val="center"/>
          </w:tcPr>
          <w:p w14:paraId="1047AA0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2,204.5</w:t>
            </w:r>
          </w:p>
        </w:tc>
      </w:tr>
      <w:tr w:rsidR="00EB5913" w:rsidRPr="006623B9" w14:paraId="60FA97AC" w14:textId="77777777" w:rsidTr="00F16E23">
        <w:tc>
          <w:tcPr>
            <w:tcW w:w="0" w:type="auto"/>
            <w:shd w:val="clear" w:color="auto" w:fill="FFFFFF"/>
            <w:tcMar>
              <w:top w:w="0" w:type="dxa"/>
              <w:left w:w="85" w:type="dxa"/>
              <w:bottom w:w="0" w:type="dxa"/>
              <w:right w:w="85" w:type="dxa"/>
            </w:tcMar>
            <w:vAlign w:val="center"/>
          </w:tcPr>
          <w:p w14:paraId="6A004C9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1985</w:t>
            </w:r>
          </w:p>
        </w:tc>
        <w:tc>
          <w:tcPr>
            <w:tcW w:w="0" w:type="auto"/>
            <w:shd w:val="clear" w:color="auto" w:fill="FFFFFF"/>
            <w:tcMar>
              <w:top w:w="0" w:type="dxa"/>
              <w:left w:w="85" w:type="dxa"/>
              <w:bottom w:w="0" w:type="dxa"/>
              <w:right w:w="85" w:type="dxa"/>
            </w:tcMar>
            <w:vAlign w:val="center"/>
          </w:tcPr>
          <w:p w14:paraId="2887052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1,259.1</w:t>
            </w:r>
          </w:p>
        </w:tc>
        <w:tc>
          <w:tcPr>
            <w:tcW w:w="0" w:type="auto"/>
            <w:shd w:val="clear" w:color="auto" w:fill="FFFFFF"/>
            <w:tcMar>
              <w:top w:w="0" w:type="dxa"/>
              <w:left w:w="85" w:type="dxa"/>
              <w:bottom w:w="0" w:type="dxa"/>
              <w:right w:w="85" w:type="dxa"/>
            </w:tcMar>
            <w:vAlign w:val="center"/>
          </w:tcPr>
          <w:p w14:paraId="5EDDDA9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930.9</w:t>
            </w:r>
          </w:p>
        </w:tc>
        <w:tc>
          <w:tcPr>
            <w:tcW w:w="0" w:type="auto"/>
            <w:shd w:val="clear" w:color="auto" w:fill="FFFFFF"/>
            <w:tcMar>
              <w:top w:w="0" w:type="dxa"/>
              <w:left w:w="85" w:type="dxa"/>
              <w:bottom w:w="0" w:type="dxa"/>
              <w:right w:w="85" w:type="dxa"/>
            </w:tcMar>
            <w:vAlign w:val="center"/>
          </w:tcPr>
          <w:p w14:paraId="0017FE3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103.4</w:t>
            </w:r>
          </w:p>
        </w:tc>
        <w:tc>
          <w:tcPr>
            <w:tcW w:w="0" w:type="auto"/>
            <w:shd w:val="clear" w:color="auto" w:fill="FFFFFF"/>
            <w:tcMar>
              <w:top w:w="0" w:type="dxa"/>
              <w:left w:w="85" w:type="dxa"/>
              <w:bottom w:w="0" w:type="dxa"/>
              <w:right w:w="85" w:type="dxa"/>
            </w:tcMar>
            <w:vAlign w:val="center"/>
          </w:tcPr>
          <w:p w14:paraId="33806DA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2,293.4</w:t>
            </w:r>
          </w:p>
        </w:tc>
      </w:tr>
      <w:tr w:rsidR="00EB5913" w:rsidRPr="006623B9" w14:paraId="120ADC76" w14:textId="77777777" w:rsidTr="00F16E23">
        <w:tc>
          <w:tcPr>
            <w:tcW w:w="0" w:type="auto"/>
            <w:shd w:val="clear" w:color="auto" w:fill="FFFFFF"/>
            <w:tcMar>
              <w:top w:w="0" w:type="dxa"/>
              <w:left w:w="85" w:type="dxa"/>
              <w:bottom w:w="0" w:type="dxa"/>
              <w:right w:w="85" w:type="dxa"/>
            </w:tcMar>
            <w:vAlign w:val="center"/>
          </w:tcPr>
          <w:p w14:paraId="08999554"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1986</w:t>
            </w:r>
          </w:p>
        </w:tc>
        <w:tc>
          <w:tcPr>
            <w:tcW w:w="0" w:type="auto"/>
            <w:shd w:val="clear" w:color="auto" w:fill="FFFFFF"/>
            <w:tcMar>
              <w:top w:w="0" w:type="dxa"/>
              <w:left w:w="85" w:type="dxa"/>
              <w:bottom w:w="0" w:type="dxa"/>
              <w:right w:w="85" w:type="dxa"/>
            </w:tcMar>
            <w:vAlign w:val="center"/>
          </w:tcPr>
          <w:p w14:paraId="070263F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1,259.1</w:t>
            </w:r>
          </w:p>
        </w:tc>
        <w:tc>
          <w:tcPr>
            <w:tcW w:w="0" w:type="auto"/>
            <w:shd w:val="clear" w:color="auto" w:fill="FFFFFF"/>
            <w:tcMar>
              <w:top w:w="0" w:type="dxa"/>
              <w:left w:w="85" w:type="dxa"/>
              <w:bottom w:w="0" w:type="dxa"/>
              <w:right w:w="85" w:type="dxa"/>
            </w:tcMar>
            <w:vAlign w:val="center"/>
          </w:tcPr>
          <w:p w14:paraId="01C1301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1,010.9</w:t>
            </w:r>
          </w:p>
        </w:tc>
        <w:tc>
          <w:tcPr>
            <w:tcW w:w="0" w:type="auto"/>
            <w:shd w:val="clear" w:color="auto" w:fill="FFFFFF"/>
            <w:tcMar>
              <w:top w:w="0" w:type="dxa"/>
              <w:left w:w="85" w:type="dxa"/>
              <w:bottom w:w="0" w:type="dxa"/>
              <w:right w:w="85" w:type="dxa"/>
            </w:tcMar>
            <w:vAlign w:val="center"/>
          </w:tcPr>
          <w:p w14:paraId="6B5F329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112.3</w:t>
            </w:r>
          </w:p>
        </w:tc>
        <w:tc>
          <w:tcPr>
            <w:tcW w:w="0" w:type="auto"/>
            <w:shd w:val="clear" w:color="auto" w:fill="FFFFFF"/>
            <w:tcMar>
              <w:top w:w="0" w:type="dxa"/>
              <w:left w:w="85" w:type="dxa"/>
              <w:bottom w:w="0" w:type="dxa"/>
              <w:right w:w="85" w:type="dxa"/>
            </w:tcMar>
            <w:vAlign w:val="center"/>
          </w:tcPr>
          <w:p w14:paraId="3E244F8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2,382.3</w:t>
            </w:r>
          </w:p>
        </w:tc>
      </w:tr>
      <w:tr w:rsidR="00EB5913" w:rsidRPr="006623B9" w14:paraId="511CC803" w14:textId="77777777" w:rsidTr="00F16E23">
        <w:tc>
          <w:tcPr>
            <w:tcW w:w="0" w:type="auto"/>
            <w:shd w:val="clear" w:color="auto" w:fill="FFFFFF"/>
            <w:tcMar>
              <w:top w:w="0" w:type="dxa"/>
              <w:left w:w="85" w:type="dxa"/>
              <w:bottom w:w="0" w:type="dxa"/>
              <w:right w:w="85" w:type="dxa"/>
            </w:tcMar>
            <w:vAlign w:val="center"/>
          </w:tcPr>
          <w:p w14:paraId="45B8511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1987</w:t>
            </w:r>
          </w:p>
        </w:tc>
        <w:tc>
          <w:tcPr>
            <w:tcW w:w="0" w:type="auto"/>
            <w:shd w:val="clear" w:color="auto" w:fill="FFFFFF"/>
            <w:tcMar>
              <w:top w:w="0" w:type="dxa"/>
              <w:left w:w="85" w:type="dxa"/>
              <w:bottom w:w="0" w:type="dxa"/>
              <w:right w:w="85" w:type="dxa"/>
            </w:tcMar>
            <w:vAlign w:val="center"/>
          </w:tcPr>
          <w:p w14:paraId="4B0CB2D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1,342.7</w:t>
            </w:r>
          </w:p>
        </w:tc>
        <w:tc>
          <w:tcPr>
            <w:tcW w:w="0" w:type="auto"/>
            <w:shd w:val="clear" w:color="auto" w:fill="FFFFFF"/>
            <w:tcMar>
              <w:top w:w="0" w:type="dxa"/>
              <w:left w:w="85" w:type="dxa"/>
              <w:bottom w:w="0" w:type="dxa"/>
              <w:right w:w="85" w:type="dxa"/>
            </w:tcMar>
            <w:vAlign w:val="center"/>
          </w:tcPr>
          <w:p w14:paraId="413655E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1,015.6</w:t>
            </w:r>
          </w:p>
        </w:tc>
        <w:tc>
          <w:tcPr>
            <w:tcW w:w="0" w:type="auto"/>
            <w:shd w:val="clear" w:color="auto" w:fill="FFFFFF"/>
            <w:tcMar>
              <w:top w:w="0" w:type="dxa"/>
              <w:left w:w="85" w:type="dxa"/>
              <w:bottom w:w="0" w:type="dxa"/>
              <w:right w:w="85" w:type="dxa"/>
            </w:tcMar>
            <w:vAlign w:val="center"/>
          </w:tcPr>
          <w:p w14:paraId="5C8B1AD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112.8</w:t>
            </w:r>
          </w:p>
        </w:tc>
        <w:tc>
          <w:tcPr>
            <w:tcW w:w="0" w:type="auto"/>
            <w:shd w:val="clear" w:color="auto" w:fill="FFFFFF"/>
            <w:tcMar>
              <w:top w:w="0" w:type="dxa"/>
              <w:left w:w="85" w:type="dxa"/>
              <w:bottom w:w="0" w:type="dxa"/>
              <w:right w:w="85" w:type="dxa"/>
            </w:tcMar>
            <w:vAlign w:val="center"/>
          </w:tcPr>
          <w:p w14:paraId="5F90CD3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2,471.1</w:t>
            </w:r>
          </w:p>
        </w:tc>
      </w:tr>
      <w:tr w:rsidR="00EB5913" w:rsidRPr="006623B9" w14:paraId="313F2ECF" w14:textId="77777777" w:rsidTr="00F16E23">
        <w:tc>
          <w:tcPr>
            <w:tcW w:w="0" w:type="auto"/>
            <w:shd w:val="clear" w:color="auto" w:fill="FFFFFF"/>
            <w:tcMar>
              <w:top w:w="0" w:type="dxa"/>
              <w:left w:w="85" w:type="dxa"/>
              <w:bottom w:w="0" w:type="dxa"/>
              <w:right w:w="85" w:type="dxa"/>
            </w:tcMar>
            <w:vAlign w:val="center"/>
          </w:tcPr>
          <w:p w14:paraId="5831F48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1988</w:t>
            </w:r>
          </w:p>
        </w:tc>
        <w:tc>
          <w:tcPr>
            <w:tcW w:w="0" w:type="auto"/>
            <w:shd w:val="clear" w:color="auto" w:fill="FFFFFF"/>
            <w:tcMar>
              <w:top w:w="0" w:type="dxa"/>
              <w:left w:w="85" w:type="dxa"/>
              <w:bottom w:w="0" w:type="dxa"/>
              <w:right w:w="85" w:type="dxa"/>
            </w:tcMar>
            <w:vAlign w:val="center"/>
          </w:tcPr>
          <w:p w14:paraId="0F7FC0C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1,432.6</w:t>
            </w:r>
          </w:p>
        </w:tc>
        <w:tc>
          <w:tcPr>
            <w:tcW w:w="0" w:type="auto"/>
            <w:shd w:val="clear" w:color="auto" w:fill="FFFFFF"/>
            <w:tcMar>
              <w:top w:w="0" w:type="dxa"/>
              <w:left w:w="85" w:type="dxa"/>
              <w:bottom w:w="0" w:type="dxa"/>
              <w:right w:w="85" w:type="dxa"/>
            </w:tcMar>
            <w:vAlign w:val="center"/>
          </w:tcPr>
          <w:p w14:paraId="3313804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1,014.7</w:t>
            </w:r>
          </w:p>
        </w:tc>
        <w:tc>
          <w:tcPr>
            <w:tcW w:w="0" w:type="auto"/>
            <w:shd w:val="clear" w:color="auto" w:fill="FFFFFF"/>
            <w:tcMar>
              <w:top w:w="0" w:type="dxa"/>
              <w:left w:w="85" w:type="dxa"/>
              <w:bottom w:w="0" w:type="dxa"/>
              <w:right w:w="85" w:type="dxa"/>
            </w:tcMar>
            <w:vAlign w:val="center"/>
          </w:tcPr>
          <w:p w14:paraId="0E2D633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112.7</w:t>
            </w:r>
          </w:p>
        </w:tc>
        <w:tc>
          <w:tcPr>
            <w:tcW w:w="0" w:type="auto"/>
            <w:shd w:val="clear" w:color="auto" w:fill="FFFFFF"/>
            <w:tcMar>
              <w:top w:w="0" w:type="dxa"/>
              <w:left w:w="85" w:type="dxa"/>
              <w:bottom w:w="0" w:type="dxa"/>
              <w:right w:w="85" w:type="dxa"/>
            </w:tcMar>
            <w:vAlign w:val="center"/>
          </w:tcPr>
          <w:p w14:paraId="7E44D22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2,560.0</w:t>
            </w:r>
          </w:p>
        </w:tc>
      </w:tr>
      <w:tr w:rsidR="00EB5913" w:rsidRPr="006623B9" w14:paraId="6E262FE2" w14:textId="77777777" w:rsidTr="00F16E23">
        <w:tc>
          <w:tcPr>
            <w:tcW w:w="0" w:type="auto"/>
            <w:shd w:val="clear" w:color="auto" w:fill="FFFFFF"/>
            <w:tcMar>
              <w:top w:w="0" w:type="dxa"/>
              <w:left w:w="85" w:type="dxa"/>
              <w:bottom w:w="0" w:type="dxa"/>
              <w:right w:w="85" w:type="dxa"/>
            </w:tcMar>
            <w:vAlign w:val="center"/>
          </w:tcPr>
          <w:p w14:paraId="5FF392CA"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1989</w:t>
            </w:r>
          </w:p>
        </w:tc>
        <w:tc>
          <w:tcPr>
            <w:tcW w:w="0" w:type="auto"/>
            <w:shd w:val="clear" w:color="auto" w:fill="FFFFFF"/>
            <w:tcMar>
              <w:top w:w="0" w:type="dxa"/>
              <w:left w:w="85" w:type="dxa"/>
              <w:bottom w:w="0" w:type="dxa"/>
              <w:right w:w="85" w:type="dxa"/>
            </w:tcMar>
            <w:vAlign w:val="center"/>
          </w:tcPr>
          <w:p w14:paraId="1E53363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1,432.6</w:t>
            </w:r>
          </w:p>
        </w:tc>
        <w:tc>
          <w:tcPr>
            <w:tcW w:w="0" w:type="auto"/>
            <w:shd w:val="clear" w:color="auto" w:fill="FFFFFF"/>
            <w:tcMar>
              <w:top w:w="0" w:type="dxa"/>
              <w:left w:w="85" w:type="dxa"/>
              <w:bottom w:w="0" w:type="dxa"/>
              <w:right w:w="85" w:type="dxa"/>
            </w:tcMar>
            <w:vAlign w:val="center"/>
          </w:tcPr>
          <w:p w14:paraId="79528B0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1,094.7</w:t>
            </w:r>
          </w:p>
        </w:tc>
        <w:tc>
          <w:tcPr>
            <w:tcW w:w="0" w:type="auto"/>
            <w:shd w:val="clear" w:color="auto" w:fill="FFFFFF"/>
            <w:tcMar>
              <w:top w:w="0" w:type="dxa"/>
              <w:left w:w="85" w:type="dxa"/>
              <w:bottom w:w="0" w:type="dxa"/>
              <w:right w:w="85" w:type="dxa"/>
            </w:tcMar>
            <w:vAlign w:val="center"/>
          </w:tcPr>
          <w:p w14:paraId="6EAB8EB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121.6</w:t>
            </w:r>
          </w:p>
        </w:tc>
        <w:tc>
          <w:tcPr>
            <w:tcW w:w="0" w:type="auto"/>
            <w:shd w:val="clear" w:color="auto" w:fill="FFFFFF"/>
            <w:tcMar>
              <w:top w:w="0" w:type="dxa"/>
              <w:left w:w="85" w:type="dxa"/>
              <w:bottom w:w="0" w:type="dxa"/>
              <w:right w:w="85" w:type="dxa"/>
            </w:tcMar>
            <w:vAlign w:val="center"/>
          </w:tcPr>
          <w:p w14:paraId="468EC4F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2,648.9</w:t>
            </w:r>
          </w:p>
        </w:tc>
      </w:tr>
      <w:tr w:rsidR="00EB5913" w:rsidRPr="006623B9" w14:paraId="11E13D05" w14:textId="77777777" w:rsidTr="00F16E23">
        <w:tc>
          <w:tcPr>
            <w:tcW w:w="0" w:type="auto"/>
            <w:shd w:val="clear" w:color="auto" w:fill="FFFFFF"/>
            <w:tcMar>
              <w:top w:w="0" w:type="dxa"/>
              <w:left w:w="85" w:type="dxa"/>
              <w:bottom w:w="0" w:type="dxa"/>
              <w:right w:w="85" w:type="dxa"/>
            </w:tcMar>
            <w:vAlign w:val="center"/>
          </w:tcPr>
          <w:p w14:paraId="4A07E53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1990</w:t>
            </w:r>
          </w:p>
        </w:tc>
        <w:tc>
          <w:tcPr>
            <w:tcW w:w="0" w:type="auto"/>
            <w:shd w:val="clear" w:color="auto" w:fill="FFFFFF"/>
            <w:tcMar>
              <w:top w:w="0" w:type="dxa"/>
              <w:left w:w="85" w:type="dxa"/>
              <w:bottom w:w="0" w:type="dxa"/>
              <w:right w:w="85" w:type="dxa"/>
            </w:tcMar>
            <w:vAlign w:val="center"/>
          </w:tcPr>
          <w:p w14:paraId="2BF243F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1,432.6</w:t>
            </w:r>
          </w:p>
        </w:tc>
        <w:tc>
          <w:tcPr>
            <w:tcW w:w="0" w:type="auto"/>
            <w:shd w:val="clear" w:color="auto" w:fill="FFFFFF"/>
            <w:tcMar>
              <w:top w:w="0" w:type="dxa"/>
              <w:left w:w="85" w:type="dxa"/>
              <w:bottom w:w="0" w:type="dxa"/>
              <w:right w:w="85" w:type="dxa"/>
            </w:tcMar>
            <w:vAlign w:val="center"/>
          </w:tcPr>
          <w:p w14:paraId="0826C07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1,174.7</w:t>
            </w:r>
          </w:p>
        </w:tc>
        <w:tc>
          <w:tcPr>
            <w:tcW w:w="0" w:type="auto"/>
            <w:shd w:val="clear" w:color="auto" w:fill="FFFFFF"/>
            <w:tcMar>
              <w:top w:w="0" w:type="dxa"/>
              <w:left w:w="85" w:type="dxa"/>
              <w:bottom w:w="0" w:type="dxa"/>
              <w:right w:w="85" w:type="dxa"/>
            </w:tcMar>
            <w:vAlign w:val="center"/>
          </w:tcPr>
          <w:p w14:paraId="51B2454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130.5</w:t>
            </w:r>
          </w:p>
        </w:tc>
        <w:tc>
          <w:tcPr>
            <w:tcW w:w="0" w:type="auto"/>
            <w:shd w:val="clear" w:color="auto" w:fill="FFFFFF"/>
            <w:tcMar>
              <w:top w:w="0" w:type="dxa"/>
              <w:left w:w="85" w:type="dxa"/>
              <w:bottom w:w="0" w:type="dxa"/>
              <w:right w:w="85" w:type="dxa"/>
            </w:tcMar>
            <w:vAlign w:val="center"/>
          </w:tcPr>
          <w:p w14:paraId="3F17DF6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2,737.8</w:t>
            </w:r>
          </w:p>
        </w:tc>
      </w:tr>
      <w:tr w:rsidR="00EB5913" w:rsidRPr="006623B9" w14:paraId="0DBEEB8F" w14:textId="77777777" w:rsidTr="00F16E23">
        <w:tc>
          <w:tcPr>
            <w:tcW w:w="0" w:type="auto"/>
            <w:shd w:val="clear" w:color="auto" w:fill="FFFFFF"/>
            <w:tcMar>
              <w:top w:w="0" w:type="dxa"/>
              <w:left w:w="85" w:type="dxa"/>
              <w:bottom w:w="0" w:type="dxa"/>
              <w:right w:w="85" w:type="dxa"/>
            </w:tcMar>
            <w:vAlign w:val="center"/>
          </w:tcPr>
          <w:p w14:paraId="08EEA5D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1991</w:t>
            </w:r>
          </w:p>
        </w:tc>
        <w:tc>
          <w:tcPr>
            <w:tcW w:w="0" w:type="auto"/>
            <w:shd w:val="clear" w:color="auto" w:fill="FFFFFF"/>
            <w:tcMar>
              <w:top w:w="0" w:type="dxa"/>
              <w:left w:w="85" w:type="dxa"/>
              <w:bottom w:w="0" w:type="dxa"/>
              <w:right w:w="85" w:type="dxa"/>
            </w:tcMar>
            <w:vAlign w:val="center"/>
          </w:tcPr>
          <w:p w14:paraId="465BCA7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1,432.6</w:t>
            </w:r>
          </w:p>
        </w:tc>
        <w:tc>
          <w:tcPr>
            <w:tcW w:w="0" w:type="auto"/>
            <w:shd w:val="clear" w:color="auto" w:fill="FFFFFF"/>
            <w:tcMar>
              <w:top w:w="0" w:type="dxa"/>
              <w:left w:w="85" w:type="dxa"/>
              <w:bottom w:w="0" w:type="dxa"/>
              <w:right w:w="85" w:type="dxa"/>
            </w:tcMar>
            <w:vAlign w:val="center"/>
          </w:tcPr>
          <w:p w14:paraId="4A742AE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1,254.7</w:t>
            </w:r>
          </w:p>
        </w:tc>
        <w:tc>
          <w:tcPr>
            <w:tcW w:w="0" w:type="auto"/>
            <w:shd w:val="clear" w:color="auto" w:fill="FFFFFF"/>
            <w:tcMar>
              <w:top w:w="0" w:type="dxa"/>
              <w:left w:w="85" w:type="dxa"/>
              <w:bottom w:w="0" w:type="dxa"/>
              <w:right w:w="85" w:type="dxa"/>
            </w:tcMar>
            <w:vAlign w:val="center"/>
          </w:tcPr>
          <w:p w14:paraId="659DAAD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139.4</w:t>
            </w:r>
          </w:p>
        </w:tc>
        <w:tc>
          <w:tcPr>
            <w:tcW w:w="0" w:type="auto"/>
            <w:shd w:val="clear" w:color="auto" w:fill="FFFFFF"/>
            <w:tcMar>
              <w:top w:w="0" w:type="dxa"/>
              <w:left w:w="85" w:type="dxa"/>
              <w:bottom w:w="0" w:type="dxa"/>
              <w:right w:w="85" w:type="dxa"/>
            </w:tcMar>
            <w:vAlign w:val="center"/>
          </w:tcPr>
          <w:p w14:paraId="6CAEECC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2,826.6</w:t>
            </w:r>
          </w:p>
        </w:tc>
      </w:tr>
      <w:tr w:rsidR="00EB5913" w:rsidRPr="006623B9" w14:paraId="7E43A563" w14:textId="77777777" w:rsidTr="00F16E23">
        <w:tc>
          <w:tcPr>
            <w:tcW w:w="0" w:type="auto"/>
            <w:shd w:val="clear" w:color="auto" w:fill="FFFFFF"/>
            <w:tcMar>
              <w:top w:w="0" w:type="dxa"/>
              <w:left w:w="85" w:type="dxa"/>
              <w:bottom w:w="0" w:type="dxa"/>
              <w:right w:w="85" w:type="dxa"/>
            </w:tcMar>
            <w:vAlign w:val="center"/>
          </w:tcPr>
          <w:p w14:paraId="705F8F4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1992</w:t>
            </w:r>
          </w:p>
        </w:tc>
        <w:tc>
          <w:tcPr>
            <w:tcW w:w="0" w:type="auto"/>
            <w:shd w:val="clear" w:color="auto" w:fill="FFFFFF"/>
            <w:tcMar>
              <w:top w:w="0" w:type="dxa"/>
              <w:left w:w="85" w:type="dxa"/>
              <w:bottom w:w="0" w:type="dxa"/>
              <w:right w:w="85" w:type="dxa"/>
            </w:tcMar>
            <w:vAlign w:val="center"/>
          </w:tcPr>
          <w:p w14:paraId="1D07CDA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1,432.6</w:t>
            </w:r>
          </w:p>
        </w:tc>
        <w:tc>
          <w:tcPr>
            <w:tcW w:w="0" w:type="auto"/>
            <w:shd w:val="clear" w:color="auto" w:fill="FFFFFF"/>
            <w:tcMar>
              <w:top w:w="0" w:type="dxa"/>
              <w:left w:w="85" w:type="dxa"/>
              <w:bottom w:w="0" w:type="dxa"/>
              <w:right w:w="85" w:type="dxa"/>
            </w:tcMar>
            <w:vAlign w:val="center"/>
          </w:tcPr>
          <w:p w14:paraId="4F69C1C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1,334.7</w:t>
            </w:r>
          </w:p>
        </w:tc>
        <w:tc>
          <w:tcPr>
            <w:tcW w:w="0" w:type="auto"/>
            <w:shd w:val="clear" w:color="auto" w:fill="FFFFFF"/>
            <w:tcMar>
              <w:top w:w="0" w:type="dxa"/>
              <w:left w:w="85" w:type="dxa"/>
              <w:bottom w:w="0" w:type="dxa"/>
              <w:right w:w="85" w:type="dxa"/>
            </w:tcMar>
            <w:vAlign w:val="center"/>
          </w:tcPr>
          <w:p w14:paraId="273CEDE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148.3</w:t>
            </w:r>
          </w:p>
        </w:tc>
        <w:tc>
          <w:tcPr>
            <w:tcW w:w="0" w:type="auto"/>
            <w:shd w:val="clear" w:color="auto" w:fill="FFFFFF"/>
            <w:tcMar>
              <w:top w:w="0" w:type="dxa"/>
              <w:left w:w="85" w:type="dxa"/>
              <w:bottom w:w="0" w:type="dxa"/>
              <w:right w:w="85" w:type="dxa"/>
            </w:tcMar>
            <w:vAlign w:val="center"/>
          </w:tcPr>
          <w:p w14:paraId="677E95B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2,915.5</w:t>
            </w:r>
          </w:p>
        </w:tc>
      </w:tr>
      <w:tr w:rsidR="00EB5913" w:rsidRPr="006623B9" w14:paraId="6F92E64A" w14:textId="77777777" w:rsidTr="00F16E23">
        <w:tc>
          <w:tcPr>
            <w:tcW w:w="0" w:type="auto"/>
            <w:shd w:val="clear" w:color="auto" w:fill="FFFFFF"/>
            <w:tcMar>
              <w:top w:w="0" w:type="dxa"/>
              <w:left w:w="85" w:type="dxa"/>
              <w:bottom w:w="0" w:type="dxa"/>
              <w:right w:w="85" w:type="dxa"/>
            </w:tcMar>
            <w:vAlign w:val="center"/>
          </w:tcPr>
          <w:p w14:paraId="042CC17A"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1993</w:t>
            </w:r>
          </w:p>
        </w:tc>
        <w:tc>
          <w:tcPr>
            <w:tcW w:w="0" w:type="auto"/>
            <w:shd w:val="clear" w:color="auto" w:fill="FFFFFF"/>
            <w:tcMar>
              <w:top w:w="0" w:type="dxa"/>
              <w:left w:w="85" w:type="dxa"/>
              <w:bottom w:w="0" w:type="dxa"/>
              <w:right w:w="85" w:type="dxa"/>
            </w:tcMar>
            <w:vAlign w:val="center"/>
          </w:tcPr>
          <w:p w14:paraId="4407183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1,650.5</w:t>
            </w:r>
          </w:p>
        </w:tc>
        <w:tc>
          <w:tcPr>
            <w:tcW w:w="0" w:type="auto"/>
            <w:shd w:val="clear" w:color="auto" w:fill="FFFFFF"/>
            <w:tcMar>
              <w:top w:w="0" w:type="dxa"/>
              <w:left w:w="85" w:type="dxa"/>
              <w:bottom w:w="0" w:type="dxa"/>
              <w:right w:w="85" w:type="dxa"/>
            </w:tcMar>
            <w:vAlign w:val="center"/>
          </w:tcPr>
          <w:p w14:paraId="5F381CD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1,218.5</w:t>
            </w:r>
          </w:p>
        </w:tc>
        <w:tc>
          <w:tcPr>
            <w:tcW w:w="0" w:type="auto"/>
            <w:shd w:val="clear" w:color="auto" w:fill="FFFFFF"/>
            <w:tcMar>
              <w:top w:w="0" w:type="dxa"/>
              <w:left w:w="85" w:type="dxa"/>
              <w:bottom w:w="0" w:type="dxa"/>
              <w:right w:w="85" w:type="dxa"/>
            </w:tcMar>
            <w:vAlign w:val="center"/>
          </w:tcPr>
          <w:p w14:paraId="06B651E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135.4</w:t>
            </w:r>
          </w:p>
        </w:tc>
        <w:tc>
          <w:tcPr>
            <w:tcW w:w="0" w:type="auto"/>
            <w:shd w:val="clear" w:color="auto" w:fill="FFFFFF"/>
            <w:tcMar>
              <w:top w:w="0" w:type="dxa"/>
              <w:left w:w="85" w:type="dxa"/>
              <w:bottom w:w="0" w:type="dxa"/>
              <w:right w:w="85" w:type="dxa"/>
            </w:tcMar>
            <w:vAlign w:val="center"/>
          </w:tcPr>
          <w:p w14:paraId="1B7195F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3,004.4</w:t>
            </w:r>
          </w:p>
        </w:tc>
      </w:tr>
      <w:tr w:rsidR="00EB5913" w:rsidRPr="006623B9" w14:paraId="64295166" w14:textId="77777777" w:rsidTr="00F16E23">
        <w:tc>
          <w:tcPr>
            <w:tcW w:w="0" w:type="auto"/>
            <w:shd w:val="clear" w:color="auto" w:fill="FFFFFF"/>
            <w:tcMar>
              <w:top w:w="0" w:type="dxa"/>
              <w:left w:w="85" w:type="dxa"/>
              <w:bottom w:w="0" w:type="dxa"/>
              <w:right w:w="85" w:type="dxa"/>
            </w:tcMar>
            <w:vAlign w:val="center"/>
          </w:tcPr>
          <w:p w14:paraId="7199A29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1994</w:t>
            </w:r>
          </w:p>
        </w:tc>
        <w:tc>
          <w:tcPr>
            <w:tcW w:w="0" w:type="auto"/>
            <w:shd w:val="clear" w:color="auto" w:fill="FFFFFF"/>
            <w:tcMar>
              <w:top w:w="0" w:type="dxa"/>
              <w:left w:w="85" w:type="dxa"/>
              <w:bottom w:w="0" w:type="dxa"/>
              <w:right w:w="85" w:type="dxa"/>
            </w:tcMar>
            <w:vAlign w:val="center"/>
          </w:tcPr>
          <w:p w14:paraId="2E00331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1,687.5</w:t>
            </w:r>
          </w:p>
        </w:tc>
        <w:tc>
          <w:tcPr>
            <w:tcW w:w="0" w:type="auto"/>
            <w:shd w:val="clear" w:color="auto" w:fill="FFFFFF"/>
            <w:tcMar>
              <w:top w:w="0" w:type="dxa"/>
              <w:left w:w="85" w:type="dxa"/>
              <w:bottom w:w="0" w:type="dxa"/>
              <w:right w:w="85" w:type="dxa"/>
            </w:tcMar>
            <w:vAlign w:val="center"/>
          </w:tcPr>
          <w:p w14:paraId="58B4829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1,265.2</w:t>
            </w:r>
          </w:p>
        </w:tc>
        <w:tc>
          <w:tcPr>
            <w:tcW w:w="0" w:type="auto"/>
            <w:shd w:val="clear" w:color="auto" w:fill="FFFFFF"/>
            <w:tcMar>
              <w:top w:w="0" w:type="dxa"/>
              <w:left w:w="85" w:type="dxa"/>
              <w:bottom w:w="0" w:type="dxa"/>
              <w:right w:w="85" w:type="dxa"/>
            </w:tcMar>
            <w:vAlign w:val="center"/>
          </w:tcPr>
          <w:p w14:paraId="200201F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140.6</w:t>
            </w:r>
          </w:p>
        </w:tc>
        <w:tc>
          <w:tcPr>
            <w:tcW w:w="0" w:type="auto"/>
            <w:shd w:val="clear" w:color="auto" w:fill="FFFFFF"/>
            <w:tcMar>
              <w:top w:w="0" w:type="dxa"/>
              <w:left w:w="85" w:type="dxa"/>
              <w:bottom w:w="0" w:type="dxa"/>
              <w:right w:w="85" w:type="dxa"/>
            </w:tcMar>
            <w:vAlign w:val="center"/>
          </w:tcPr>
          <w:p w14:paraId="081336C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3,093.2</w:t>
            </w:r>
          </w:p>
        </w:tc>
      </w:tr>
      <w:tr w:rsidR="00EB5913" w:rsidRPr="006623B9" w14:paraId="3E9DB48C" w14:textId="77777777" w:rsidTr="00F16E23">
        <w:tc>
          <w:tcPr>
            <w:tcW w:w="0" w:type="auto"/>
            <w:shd w:val="clear" w:color="auto" w:fill="FFFFFF"/>
            <w:tcMar>
              <w:top w:w="0" w:type="dxa"/>
              <w:left w:w="85" w:type="dxa"/>
              <w:bottom w:w="0" w:type="dxa"/>
              <w:right w:w="85" w:type="dxa"/>
            </w:tcMar>
            <w:vAlign w:val="center"/>
          </w:tcPr>
          <w:p w14:paraId="20249F7B"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1995</w:t>
            </w:r>
          </w:p>
        </w:tc>
        <w:tc>
          <w:tcPr>
            <w:tcW w:w="0" w:type="auto"/>
            <w:shd w:val="clear" w:color="auto" w:fill="FFFFFF"/>
            <w:tcMar>
              <w:top w:w="0" w:type="dxa"/>
              <w:left w:w="85" w:type="dxa"/>
              <w:bottom w:w="0" w:type="dxa"/>
              <w:right w:w="85" w:type="dxa"/>
            </w:tcMar>
            <w:vAlign w:val="center"/>
          </w:tcPr>
          <w:p w14:paraId="3806FAF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1,687.5</w:t>
            </w:r>
          </w:p>
        </w:tc>
        <w:tc>
          <w:tcPr>
            <w:tcW w:w="0" w:type="auto"/>
            <w:shd w:val="clear" w:color="auto" w:fill="FFFFFF"/>
            <w:tcMar>
              <w:top w:w="0" w:type="dxa"/>
              <w:left w:w="85" w:type="dxa"/>
              <w:bottom w:w="0" w:type="dxa"/>
              <w:right w:w="85" w:type="dxa"/>
            </w:tcMar>
            <w:vAlign w:val="center"/>
          </w:tcPr>
          <w:p w14:paraId="7ED6A1E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1,345.2</w:t>
            </w:r>
          </w:p>
        </w:tc>
        <w:tc>
          <w:tcPr>
            <w:tcW w:w="0" w:type="auto"/>
            <w:shd w:val="clear" w:color="auto" w:fill="FFFFFF"/>
            <w:tcMar>
              <w:top w:w="0" w:type="dxa"/>
              <w:left w:w="85" w:type="dxa"/>
              <w:bottom w:w="0" w:type="dxa"/>
              <w:right w:w="85" w:type="dxa"/>
            </w:tcMar>
            <w:vAlign w:val="center"/>
          </w:tcPr>
          <w:p w14:paraId="0B0F1D4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149.5</w:t>
            </w:r>
          </w:p>
        </w:tc>
        <w:tc>
          <w:tcPr>
            <w:tcW w:w="0" w:type="auto"/>
            <w:shd w:val="clear" w:color="auto" w:fill="FFFFFF"/>
            <w:tcMar>
              <w:top w:w="0" w:type="dxa"/>
              <w:left w:w="85" w:type="dxa"/>
              <w:bottom w:w="0" w:type="dxa"/>
              <w:right w:w="85" w:type="dxa"/>
            </w:tcMar>
            <w:vAlign w:val="center"/>
          </w:tcPr>
          <w:p w14:paraId="5DE1E86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3,182.1</w:t>
            </w:r>
          </w:p>
        </w:tc>
      </w:tr>
      <w:tr w:rsidR="00EB5913" w:rsidRPr="006623B9" w14:paraId="51B36070" w14:textId="77777777" w:rsidTr="00F16E23">
        <w:tc>
          <w:tcPr>
            <w:tcW w:w="0" w:type="auto"/>
            <w:shd w:val="clear" w:color="auto" w:fill="FFFFFF"/>
            <w:tcMar>
              <w:top w:w="0" w:type="dxa"/>
              <w:left w:w="85" w:type="dxa"/>
              <w:bottom w:w="0" w:type="dxa"/>
              <w:right w:w="85" w:type="dxa"/>
            </w:tcMar>
            <w:vAlign w:val="center"/>
          </w:tcPr>
          <w:p w14:paraId="432445B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1996</w:t>
            </w:r>
          </w:p>
        </w:tc>
        <w:tc>
          <w:tcPr>
            <w:tcW w:w="0" w:type="auto"/>
            <w:shd w:val="clear" w:color="auto" w:fill="FFFFFF"/>
            <w:tcMar>
              <w:top w:w="0" w:type="dxa"/>
              <w:left w:w="85" w:type="dxa"/>
              <w:bottom w:w="0" w:type="dxa"/>
              <w:right w:w="85" w:type="dxa"/>
            </w:tcMar>
            <w:vAlign w:val="center"/>
          </w:tcPr>
          <w:p w14:paraId="6194263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1,735.0</w:t>
            </w:r>
          </w:p>
        </w:tc>
        <w:tc>
          <w:tcPr>
            <w:tcW w:w="0" w:type="auto"/>
            <w:shd w:val="clear" w:color="auto" w:fill="FFFFFF"/>
            <w:tcMar>
              <w:top w:w="0" w:type="dxa"/>
              <w:left w:w="85" w:type="dxa"/>
              <w:bottom w:w="0" w:type="dxa"/>
              <w:right w:w="85" w:type="dxa"/>
            </w:tcMar>
            <w:vAlign w:val="center"/>
          </w:tcPr>
          <w:p w14:paraId="0B8A316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1,186.0</w:t>
            </w:r>
          </w:p>
        </w:tc>
        <w:tc>
          <w:tcPr>
            <w:tcW w:w="0" w:type="auto"/>
            <w:shd w:val="clear" w:color="auto" w:fill="FFFFFF"/>
            <w:tcMar>
              <w:top w:w="0" w:type="dxa"/>
              <w:left w:w="85" w:type="dxa"/>
              <w:bottom w:w="0" w:type="dxa"/>
              <w:right w:w="85" w:type="dxa"/>
            </w:tcMar>
            <w:vAlign w:val="center"/>
          </w:tcPr>
          <w:p w14:paraId="4F95B26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122.1</w:t>
            </w:r>
          </w:p>
        </w:tc>
        <w:tc>
          <w:tcPr>
            <w:tcW w:w="0" w:type="auto"/>
            <w:shd w:val="clear" w:color="auto" w:fill="FFFFFF"/>
            <w:tcMar>
              <w:top w:w="0" w:type="dxa"/>
              <w:left w:w="85" w:type="dxa"/>
              <w:bottom w:w="0" w:type="dxa"/>
              <w:right w:w="85" w:type="dxa"/>
            </w:tcMar>
            <w:vAlign w:val="center"/>
          </w:tcPr>
          <w:p w14:paraId="3CE9000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3,043.1</w:t>
            </w:r>
          </w:p>
        </w:tc>
      </w:tr>
      <w:tr w:rsidR="00EB5913" w:rsidRPr="006623B9" w14:paraId="7D6FE36C" w14:textId="77777777" w:rsidTr="00F16E23">
        <w:tc>
          <w:tcPr>
            <w:tcW w:w="0" w:type="auto"/>
            <w:shd w:val="clear" w:color="auto" w:fill="FFFFFF"/>
            <w:tcMar>
              <w:top w:w="0" w:type="dxa"/>
              <w:left w:w="85" w:type="dxa"/>
              <w:bottom w:w="0" w:type="dxa"/>
              <w:right w:w="85" w:type="dxa"/>
            </w:tcMar>
            <w:vAlign w:val="center"/>
          </w:tcPr>
          <w:p w14:paraId="69879C9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1997</w:t>
            </w:r>
          </w:p>
        </w:tc>
        <w:tc>
          <w:tcPr>
            <w:tcW w:w="0" w:type="auto"/>
            <w:shd w:val="clear" w:color="auto" w:fill="FFFFFF"/>
            <w:tcMar>
              <w:top w:w="0" w:type="dxa"/>
              <w:left w:w="85" w:type="dxa"/>
              <w:bottom w:w="0" w:type="dxa"/>
              <w:right w:w="85" w:type="dxa"/>
            </w:tcMar>
            <w:vAlign w:val="center"/>
          </w:tcPr>
          <w:p w14:paraId="128F99B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1,671.2</w:t>
            </w:r>
          </w:p>
        </w:tc>
        <w:tc>
          <w:tcPr>
            <w:tcW w:w="0" w:type="auto"/>
            <w:shd w:val="clear" w:color="auto" w:fill="FFFFFF"/>
            <w:tcMar>
              <w:top w:w="0" w:type="dxa"/>
              <w:left w:w="85" w:type="dxa"/>
              <w:bottom w:w="0" w:type="dxa"/>
              <w:right w:w="85" w:type="dxa"/>
            </w:tcMar>
            <w:vAlign w:val="center"/>
          </w:tcPr>
          <w:p w14:paraId="2A08A5D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1,126.0</w:t>
            </w:r>
          </w:p>
        </w:tc>
        <w:tc>
          <w:tcPr>
            <w:tcW w:w="0" w:type="auto"/>
            <w:shd w:val="clear" w:color="auto" w:fill="FFFFFF"/>
            <w:tcMar>
              <w:top w:w="0" w:type="dxa"/>
              <w:left w:w="85" w:type="dxa"/>
              <w:bottom w:w="0" w:type="dxa"/>
              <w:right w:w="85" w:type="dxa"/>
            </w:tcMar>
            <w:vAlign w:val="center"/>
          </w:tcPr>
          <w:p w14:paraId="28CE46C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106.8</w:t>
            </w:r>
          </w:p>
        </w:tc>
        <w:tc>
          <w:tcPr>
            <w:tcW w:w="0" w:type="auto"/>
            <w:shd w:val="clear" w:color="auto" w:fill="FFFFFF"/>
            <w:tcMar>
              <w:top w:w="0" w:type="dxa"/>
              <w:left w:w="85" w:type="dxa"/>
              <w:bottom w:w="0" w:type="dxa"/>
              <w:right w:w="85" w:type="dxa"/>
            </w:tcMar>
            <w:vAlign w:val="center"/>
          </w:tcPr>
          <w:p w14:paraId="0C7EF45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2,904.1</w:t>
            </w:r>
          </w:p>
        </w:tc>
      </w:tr>
      <w:tr w:rsidR="00EB5913" w:rsidRPr="006623B9" w14:paraId="264B8783" w14:textId="77777777" w:rsidTr="00F16E23">
        <w:tc>
          <w:tcPr>
            <w:tcW w:w="0" w:type="auto"/>
            <w:shd w:val="clear" w:color="auto" w:fill="FFFFFF"/>
            <w:tcMar>
              <w:top w:w="0" w:type="dxa"/>
              <w:left w:w="85" w:type="dxa"/>
              <w:bottom w:w="0" w:type="dxa"/>
              <w:right w:w="85" w:type="dxa"/>
            </w:tcMar>
            <w:vAlign w:val="center"/>
          </w:tcPr>
          <w:p w14:paraId="4874AD2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1998</w:t>
            </w:r>
          </w:p>
        </w:tc>
        <w:tc>
          <w:tcPr>
            <w:tcW w:w="0" w:type="auto"/>
            <w:shd w:val="clear" w:color="auto" w:fill="FFFFFF"/>
            <w:tcMar>
              <w:top w:w="0" w:type="dxa"/>
              <w:left w:w="85" w:type="dxa"/>
              <w:bottom w:w="0" w:type="dxa"/>
              <w:right w:w="85" w:type="dxa"/>
            </w:tcMar>
            <w:vAlign w:val="center"/>
          </w:tcPr>
          <w:p w14:paraId="3F249CC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1,605.0</w:t>
            </w:r>
          </w:p>
        </w:tc>
        <w:tc>
          <w:tcPr>
            <w:tcW w:w="0" w:type="auto"/>
            <w:shd w:val="clear" w:color="auto" w:fill="FFFFFF"/>
            <w:tcMar>
              <w:top w:w="0" w:type="dxa"/>
              <w:left w:w="85" w:type="dxa"/>
              <w:bottom w:w="0" w:type="dxa"/>
              <w:right w:w="85" w:type="dxa"/>
            </w:tcMar>
            <w:vAlign w:val="center"/>
          </w:tcPr>
          <w:p w14:paraId="7AA004D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1,067.2</w:t>
            </w:r>
          </w:p>
        </w:tc>
        <w:tc>
          <w:tcPr>
            <w:tcW w:w="0" w:type="auto"/>
            <w:shd w:val="clear" w:color="auto" w:fill="FFFFFF"/>
            <w:tcMar>
              <w:top w:w="0" w:type="dxa"/>
              <w:left w:w="85" w:type="dxa"/>
              <w:bottom w:w="0" w:type="dxa"/>
              <w:right w:w="85" w:type="dxa"/>
            </w:tcMar>
            <w:vAlign w:val="center"/>
          </w:tcPr>
          <w:p w14:paraId="67E697E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92.8</w:t>
            </w:r>
          </w:p>
        </w:tc>
        <w:tc>
          <w:tcPr>
            <w:tcW w:w="0" w:type="auto"/>
            <w:shd w:val="clear" w:color="auto" w:fill="FFFFFF"/>
            <w:tcMar>
              <w:top w:w="0" w:type="dxa"/>
              <w:left w:w="85" w:type="dxa"/>
              <w:bottom w:w="0" w:type="dxa"/>
              <w:right w:w="85" w:type="dxa"/>
            </w:tcMar>
            <w:vAlign w:val="center"/>
          </w:tcPr>
          <w:p w14:paraId="145F47A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2,765.0</w:t>
            </w:r>
          </w:p>
        </w:tc>
      </w:tr>
      <w:tr w:rsidR="00EB5913" w:rsidRPr="006623B9" w14:paraId="48524E05" w14:textId="77777777" w:rsidTr="00F16E23">
        <w:tc>
          <w:tcPr>
            <w:tcW w:w="0" w:type="auto"/>
            <w:shd w:val="clear" w:color="auto" w:fill="FFFFFF"/>
            <w:tcMar>
              <w:top w:w="0" w:type="dxa"/>
              <w:left w:w="85" w:type="dxa"/>
              <w:bottom w:w="0" w:type="dxa"/>
              <w:right w:w="85" w:type="dxa"/>
            </w:tcMar>
            <w:vAlign w:val="center"/>
          </w:tcPr>
          <w:p w14:paraId="3A9A83E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1999</w:t>
            </w:r>
          </w:p>
        </w:tc>
        <w:tc>
          <w:tcPr>
            <w:tcW w:w="0" w:type="auto"/>
            <w:shd w:val="clear" w:color="auto" w:fill="FFFFFF"/>
            <w:tcMar>
              <w:top w:w="0" w:type="dxa"/>
              <w:left w:w="85" w:type="dxa"/>
              <w:bottom w:w="0" w:type="dxa"/>
              <w:right w:w="85" w:type="dxa"/>
            </w:tcMar>
            <w:vAlign w:val="center"/>
          </w:tcPr>
          <w:p w14:paraId="54C2400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1,605.0</w:t>
            </w:r>
          </w:p>
        </w:tc>
        <w:tc>
          <w:tcPr>
            <w:tcW w:w="0" w:type="auto"/>
            <w:shd w:val="clear" w:color="auto" w:fill="FFFFFF"/>
            <w:tcMar>
              <w:top w:w="0" w:type="dxa"/>
              <w:left w:w="85" w:type="dxa"/>
              <w:bottom w:w="0" w:type="dxa"/>
              <w:right w:w="85" w:type="dxa"/>
            </w:tcMar>
            <w:vAlign w:val="center"/>
          </w:tcPr>
          <w:p w14:paraId="3B1F3EF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1,134.5</w:t>
            </w:r>
          </w:p>
        </w:tc>
        <w:tc>
          <w:tcPr>
            <w:tcW w:w="0" w:type="auto"/>
            <w:shd w:val="clear" w:color="auto" w:fill="FFFFFF"/>
            <w:tcMar>
              <w:top w:w="0" w:type="dxa"/>
              <w:left w:w="85" w:type="dxa"/>
              <w:bottom w:w="0" w:type="dxa"/>
              <w:right w:w="85" w:type="dxa"/>
            </w:tcMar>
            <w:vAlign w:val="center"/>
          </w:tcPr>
          <w:p w14:paraId="38BF24D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89.8</w:t>
            </w:r>
          </w:p>
        </w:tc>
        <w:tc>
          <w:tcPr>
            <w:tcW w:w="0" w:type="auto"/>
            <w:shd w:val="clear" w:color="auto" w:fill="FFFFFF"/>
            <w:tcMar>
              <w:top w:w="0" w:type="dxa"/>
              <w:left w:w="85" w:type="dxa"/>
              <w:bottom w:w="0" w:type="dxa"/>
              <w:right w:w="85" w:type="dxa"/>
            </w:tcMar>
            <w:vAlign w:val="center"/>
          </w:tcPr>
          <w:p w14:paraId="17F5B5F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2,829.3</w:t>
            </w:r>
          </w:p>
        </w:tc>
      </w:tr>
      <w:tr w:rsidR="00EB5913" w:rsidRPr="006623B9" w14:paraId="3E723E76" w14:textId="77777777" w:rsidTr="00F16E23">
        <w:tc>
          <w:tcPr>
            <w:tcW w:w="0" w:type="auto"/>
            <w:shd w:val="clear" w:color="auto" w:fill="FFFFFF"/>
            <w:tcMar>
              <w:top w:w="0" w:type="dxa"/>
              <w:left w:w="85" w:type="dxa"/>
              <w:bottom w:w="0" w:type="dxa"/>
              <w:right w:w="85" w:type="dxa"/>
            </w:tcMar>
            <w:vAlign w:val="center"/>
          </w:tcPr>
          <w:p w14:paraId="188803B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2000</w:t>
            </w:r>
          </w:p>
        </w:tc>
        <w:tc>
          <w:tcPr>
            <w:tcW w:w="0" w:type="auto"/>
            <w:shd w:val="clear" w:color="auto" w:fill="FFFFFF"/>
            <w:tcMar>
              <w:top w:w="0" w:type="dxa"/>
              <w:left w:w="85" w:type="dxa"/>
              <w:bottom w:w="0" w:type="dxa"/>
              <w:right w:w="85" w:type="dxa"/>
            </w:tcMar>
            <w:vAlign w:val="center"/>
          </w:tcPr>
          <w:p w14:paraId="35042F0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1,605.0</w:t>
            </w:r>
          </w:p>
        </w:tc>
        <w:tc>
          <w:tcPr>
            <w:tcW w:w="0" w:type="auto"/>
            <w:shd w:val="clear" w:color="auto" w:fill="FFFFFF"/>
            <w:tcMar>
              <w:top w:w="0" w:type="dxa"/>
              <w:left w:w="85" w:type="dxa"/>
              <w:bottom w:w="0" w:type="dxa"/>
              <w:right w:w="85" w:type="dxa"/>
            </w:tcMar>
            <w:vAlign w:val="center"/>
          </w:tcPr>
          <w:p w14:paraId="7C8D9A7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1,202.6</w:t>
            </w:r>
          </w:p>
        </w:tc>
        <w:tc>
          <w:tcPr>
            <w:tcW w:w="0" w:type="auto"/>
            <w:shd w:val="clear" w:color="auto" w:fill="FFFFFF"/>
            <w:tcMar>
              <w:top w:w="0" w:type="dxa"/>
              <w:left w:w="85" w:type="dxa"/>
              <w:bottom w:w="0" w:type="dxa"/>
              <w:right w:w="85" w:type="dxa"/>
            </w:tcMar>
            <w:vAlign w:val="center"/>
          </w:tcPr>
          <w:p w14:paraId="5F6C203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85.9</w:t>
            </w:r>
          </w:p>
        </w:tc>
        <w:tc>
          <w:tcPr>
            <w:tcW w:w="0" w:type="auto"/>
            <w:shd w:val="clear" w:color="auto" w:fill="FFFFFF"/>
            <w:tcMar>
              <w:top w:w="0" w:type="dxa"/>
              <w:left w:w="85" w:type="dxa"/>
              <w:bottom w:w="0" w:type="dxa"/>
              <w:right w:w="85" w:type="dxa"/>
            </w:tcMar>
            <w:vAlign w:val="center"/>
          </w:tcPr>
          <w:p w14:paraId="521D05B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2,893.5</w:t>
            </w:r>
          </w:p>
        </w:tc>
      </w:tr>
      <w:tr w:rsidR="00EB5913" w:rsidRPr="006623B9" w14:paraId="6DB38FA8" w14:textId="77777777" w:rsidTr="00F16E23">
        <w:tc>
          <w:tcPr>
            <w:tcW w:w="0" w:type="auto"/>
            <w:shd w:val="clear" w:color="auto" w:fill="FFFFFF"/>
            <w:tcMar>
              <w:top w:w="0" w:type="dxa"/>
              <w:left w:w="85" w:type="dxa"/>
              <w:bottom w:w="0" w:type="dxa"/>
              <w:right w:w="85" w:type="dxa"/>
            </w:tcMar>
            <w:vAlign w:val="center"/>
          </w:tcPr>
          <w:p w14:paraId="3FD3190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2001</w:t>
            </w:r>
          </w:p>
        </w:tc>
        <w:tc>
          <w:tcPr>
            <w:tcW w:w="0" w:type="auto"/>
            <w:shd w:val="clear" w:color="auto" w:fill="FFFFFF"/>
            <w:tcMar>
              <w:top w:w="0" w:type="dxa"/>
              <w:left w:w="85" w:type="dxa"/>
              <w:bottom w:w="0" w:type="dxa"/>
              <w:right w:w="85" w:type="dxa"/>
            </w:tcMar>
            <w:vAlign w:val="center"/>
          </w:tcPr>
          <w:p w14:paraId="2074B59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1,748.3</w:t>
            </w:r>
          </w:p>
        </w:tc>
        <w:tc>
          <w:tcPr>
            <w:tcW w:w="0" w:type="auto"/>
            <w:shd w:val="clear" w:color="auto" w:fill="FFFFFF"/>
            <w:tcMar>
              <w:top w:w="0" w:type="dxa"/>
              <w:left w:w="85" w:type="dxa"/>
              <w:bottom w:w="0" w:type="dxa"/>
              <w:right w:w="85" w:type="dxa"/>
            </w:tcMar>
            <w:vAlign w:val="center"/>
          </w:tcPr>
          <w:p w14:paraId="3866CEE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1,136.9</w:t>
            </w:r>
          </w:p>
        </w:tc>
        <w:tc>
          <w:tcPr>
            <w:tcW w:w="0" w:type="auto"/>
            <w:shd w:val="clear" w:color="auto" w:fill="FFFFFF"/>
            <w:tcMar>
              <w:top w:w="0" w:type="dxa"/>
              <w:left w:w="85" w:type="dxa"/>
              <w:bottom w:w="0" w:type="dxa"/>
              <w:right w:w="85" w:type="dxa"/>
            </w:tcMar>
            <w:vAlign w:val="center"/>
          </w:tcPr>
          <w:p w14:paraId="5B1C291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72.6</w:t>
            </w:r>
          </w:p>
        </w:tc>
        <w:tc>
          <w:tcPr>
            <w:tcW w:w="0" w:type="auto"/>
            <w:shd w:val="clear" w:color="auto" w:fill="FFFFFF"/>
            <w:tcMar>
              <w:top w:w="0" w:type="dxa"/>
              <w:left w:w="85" w:type="dxa"/>
              <w:bottom w:w="0" w:type="dxa"/>
              <w:right w:w="85" w:type="dxa"/>
            </w:tcMar>
            <w:vAlign w:val="center"/>
          </w:tcPr>
          <w:p w14:paraId="62623C6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2,957.8</w:t>
            </w:r>
          </w:p>
        </w:tc>
      </w:tr>
      <w:tr w:rsidR="00EB5913" w:rsidRPr="006623B9" w14:paraId="20133FAA" w14:textId="77777777" w:rsidTr="00F16E23">
        <w:tc>
          <w:tcPr>
            <w:tcW w:w="0" w:type="auto"/>
            <w:shd w:val="clear" w:color="auto" w:fill="FFFFFF"/>
            <w:tcMar>
              <w:top w:w="0" w:type="dxa"/>
              <w:left w:w="85" w:type="dxa"/>
              <w:bottom w:w="0" w:type="dxa"/>
              <w:right w:w="85" w:type="dxa"/>
            </w:tcMar>
            <w:vAlign w:val="center"/>
          </w:tcPr>
          <w:p w14:paraId="1C9B1D3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2002</w:t>
            </w:r>
          </w:p>
        </w:tc>
        <w:tc>
          <w:tcPr>
            <w:tcW w:w="0" w:type="auto"/>
            <w:shd w:val="clear" w:color="auto" w:fill="FFFFFF"/>
            <w:tcMar>
              <w:top w:w="0" w:type="dxa"/>
              <w:left w:w="85" w:type="dxa"/>
              <w:bottom w:w="0" w:type="dxa"/>
              <w:right w:w="85" w:type="dxa"/>
            </w:tcMar>
            <w:vAlign w:val="center"/>
          </w:tcPr>
          <w:p w14:paraId="05BD74B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1,797.0</w:t>
            </w:r>
          </w:p>
        </w:tc>
        <w:tc>
          <w:tcPr>
            <w:tcW w:w="0" w:type="auto"/>
            <w:shd w:val="clear" w:color="auto" w:fill="FFFFFF"/>
            <w:tcMar>
              <w:top w:w="0" w:type="dxa"/>
              <w:left w:w="85" w:type="dxa"/>
              <w:bottom w:w="0" w:type="dxa"/>
              <w:right w:w="85" w:type="dxa"/>
            </w:tcMar>
            <w:vAlign w:val="center"/>
          </w:tcPr>
          <w:p w14:paraId="50337C3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1,159.7</w:t>
            </w:r>
          </w:p>
        </w:tc>
        <w:tc>
          <w:tcPr>
            <w:tcW w:w="0" w:type="auto"/>
            <w:shd w:val="clear" w:color="auto" w:fill="FFFFFF"/>
            <w:tcMar>
              <w:top w:w="0" w:type="dxa"/>
              <w:left w:w="85" w:type="dxa"/>
              <w:bottom w:w="0" w:type="dxa"/>
              <w:right w:w="85" w:type="dxa"/>
            </w:tcMar>
            <w:vAlign w:val="center"/>
          </w:tcPr>
          <w:p w14:paraId="62319E8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65.3</w:t>
            </w:r>
          </w:p>
        </w:tc>
        <w:tc>
          <w:tcPr>
            <w:tcW w:w="0" w:type="auto"/>
            <w:shd w:val="clear" w:color="auto" w:fill="FFFFFF"/>
            <w:tcMar>
              <w:top w:w="0" w:type="dxa"/>
              <w:left w:w="85" w:type="dxa"/>
              <w:bottom w:w="0" w:type="dxa"/>
              <w:right w:w="85" w:type="dxa"/>
            </w:tcMar>
            <w:vAlign w:val="center"/>
          </w:tcPr>
          <w:p w14:paraId="249C6D2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3,022.0</w:t>
            </w:r>
          </w:p>
        </w:tc>
      </w:tr>
      <w:tr w:rsidR="00EB5913" w:rsidRPr="006623B9" w14:paraId="6993D456" w14:textId="77777777" w:rsidTr="00F16E23">
        <w:tc>
          <w:tcPr>
            <w:tcW w:w="0" w:type="auto"/>
            <w:shd w:val="clear" w:color="auto" w:fill="FFFFFF"/>
            <w:tcMar>
              <w:top w:w="0" w:type="dxa"/>
              <w:left w:w="85" w:type="dxa"/>
              <w:bottom w:w="0" w:type="dxa"/>
              <w:right w:w="85" w:type="dxa"/>
            </w:tcMar>
            <w:vAlign w:val="center"/>
          </w:tcPr>
          <w:p w14:paraId="1D7E2AD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2003</w:t>
            </w:r>
          </w:p>
        </w:tc>
        <w:tc>
          <w:tcPr>
            <w:tcW w:w="0" w:type="auto"/>
            <w:shd w:val="clear" w:color="auto" w:fill="FFFFFF"/>
            <w:tcMar>
              <w:top w:w="0" w:type="dxa"/>
              <w:left w:w="85" w:type="dxa"/>
              <w:bottom w:w="0" w:type="dxa"/>
              <w:right w:w="85" w:type="dxa"/>
            </w:tcMar>
            <w:vAlign w:val="center"/>
          </w:tcPr>
          <w:p w14:paraId="0C3E119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1,694.9</w:t>
            </w:r>
          </w:p>
        </w:tc>
        <w:tc>
          <w:tcPr>
            <w:tcW w:w="0" w:type="auto"/>
            <w:shd w:val="clear" w:color="auto" w:fill="FFFFFF"/>
            <w:tcMar>
              <w:top w:w="0" w:type="dxa"/>
              <w:left w:w="85" w:type="dxa"/>
              <w:bottom w:w="0" w:type="dxa"/>
              <w:right w:w="85" w:type="dxa"/>
            </w:tcMar>
            <w:vAlign w:val="center"/>
          </w:tcPr>
          <w:p w14:paraId="44346F2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1,297.1</w:t>
            </w:r>
          </w:p>
        </w:tc>
        <w:tc>
          <w:tcPr>
            <w:tcW w:w="0" w:type="auto"/>
            <w:shd w:val="clear" w:color="auto" w:fill="FFFFFF"/>
            <w:tcMar>
              <w:top w:w="0" w:type="dxa"/>
              <w:left w:w="85" w:type="dxa"/>
              <w:bottom w:w="0" w:type="dxa"/>
              <w:right w:w="85" w:type="dxa"/>
            </w:tcMar>
            <w:vAlign w:val="center"/>
          </w:tcPr>
          <w:p w14:paraId="2A99A4C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63.5</w:t>
            </w:r>
          </w:p>
        </w:tc>
        <w:tc>
          <w:tcPr>
            <w:tcW w:w="0" w:type="auto"/>
            <w:shd w:val="clear" w:color="auto" w:fill="FFFFFF"/>
            <w:tcMar>
              <w:top w:w="0" w:type="dxa"/>
              <w:left w:w="85" w:type="dxa"/>
              <w:bottom w:w="0" w:type="dxa"/>
              <w:right w:w="85" w:type="dxa"/>
            </w:tcMar>
            <w:vAlign w:val="center"/>
          </w:tcPr>
          <w:p w14:paraId="63525BA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3,055.5</w:t>
            </w:r>
          </w:p>
        </w:tc>
      </w:tr>
      <w:tr w:rsidR="00EB5913" w:rsidRPr="006623B9" w14:paraId="12693770" w14:textId="77777777" w:rsidTr="00F16E23">
        <w:tc>
          <w:tcPr>
            <w:tcW w:w="0" w:type="auto"/>
            <w:shd w:val="clear" w:color="auto" w:fill="FFFFFF"/>
            <w:tcMar>
              <w:top w:w="0" w:type="dxa"/>
              <w:left w:w="85" w:type="dxa"/>
              <w:bottom w:w="0" w:type="dxa"/>
              <w:right w:w="85" w:type="dxa"/>
            </w:tcMar>
            <w:vAlign w:val="center"/>
          </w:tcPr>
          <w:p w14:paraId="6745D4E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2004</w:t>
            </w:r>
          </w:p>
        </w:tc>
        <w:tc>
          <w:tcPr>
            <w:tcW w:w="0" w:type="auto"/>
            <w:shd w:val="clear" w:color="auto" w:fill="FFFFFF"/>
            <w:tcMar>
              <w:top w:w="0" w:type="dxa"/>
              <w:left w:w="85" w:type="dxa"/>
              <w:bottom w:w="0" w:type="dxa"/>
              <w:right w:w="85" w:type="dxa"/>
            </w:tcMar>
            <w:vAlign w:val="center"/>
          </w:tcPr>
          <w:p w14:paraId="7D06D20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1,746.2</w:t>
            </w:r>
          </w:p>
        </w:tc>
        <w:tc>
          <w:tcPr>
            <w:tcW w:w="0" w:type="auto"/>
            <w:shd w:val="clear" w:color="auto" w:fill="FFFFFF"/>
            <w:tcMar>
              <w:top w:w="0" w:type="dxa"/>
              <w:left w:w="85" w:type="dxa"/>
              <w:bottom w:w="0" w:type="dxa"/>
              <w:right w:w="85" w:type="dxa"/>
            </w:tcMar>
            <w:vAlign w:val="center"/>
          </w:tcPr>
          <w:p w14:paraId="09B4446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1,289.1</w:t>
            </w:r>
          </w:p>
        </w:tc>
        <w:tc>
          <w:tcPr>
            <w:tcW w:w="0" w:type="auto"/>
            <w:shd w:val="clear" w:color="auto" w:fill="FFFFFF"/>
            <w:tcMar>
              <w:top w:w="0" w:type="dxa"/>
              <w:left w:w="85" w:type="dxa"/>
              <w:bottom w:w="0" w:type="dxa"/>
              <w:right w:w="85" w:type="dxa"/>
            </w:tcMar>
            <w:vAlign w:val="center"/>
          </w:tcPr>
          <w:p w14:paraId="63B06EE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53.7</w:t>
            </w:r>
          </w:p>
        </w:tc>
        <w:tc>
          <w:tcPr>
            <w:tcW w:w="0" w:type="auto"/>
            <w:shd w:val="clear" w:color="auto" w:fill="FFFFFF"/>
            <w:tcMar>
              <w:top w:w="0" w:type="dxa"/>
              <w:left w:w="85" w:type="dxa"/>
              <w:bottom w:w="0" w:type="dxa"/>
              <w:right w:w="85" w:type="dxa"/>
            </w:tcMar>
            <w:vAlign w:val="center"/>
          </w:tcPr>
          <w:p w14:paraId="029B145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3,089.0</w:t>
            </w:r>
          </w:p>
        </w:tc>
      </w:tr>
      <w:tr w:rsidR="00EB5913" w:rsidRPr="006623B9" w14:paraId="231DB57D" w14:textId="77777777" w:rsidTr="00F16E23">
        <w:tc>
          <w:tcPr>
            <w:tcW w:w="0" w:type="auto"/>
            <w:shd w:val="clear" w:color="auto" w:fill="FFFFFF"/>
            <w:tcMar>
              <w:top w:w="0" w:type="dxa"/>
              <w:left w:w="85" w:type="dxa"/>
              <w:bottom w:w="0" w:type="dxa"/>
              <w:right w:w="85" w:type="dxa"/>
            </w:tcMar>
            <w:vAlign w:val="center"/>
          </w:tcPr>
          <w:p w14:paraId="69807CA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2005</w:t>
            </w:r>
          </w:p>
        </w:tc>
        <w:tc>
          <w:tcPr>
            <w:tcW w:w="0" w:type="auto"/>
            <w:shd w:val="clear" w:color="auto" w:fill="FFFFFF"/>
            <w:tcMar>
              <w:top w:w="0" w:type="dxa"/>
              <w:left w:w="85" w:type="dxa"/>
              <w:bottom w:w="0" w:type="dxa"/>
              <w:right w:w="85" w:type="dxa"/>
            </w:tcMar>
            <w:vAlign w:val="center"/>
          </w:tcPr>
          <w:p w14:paraId="013A457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1,954.3</w:t>
            </w:r>
          </w:p>
        </w:tc>
        <w:tc>
          <w:tcPr>
            <w:tcW w:w="0" w:type="auto"/>
            <w:shd w:val="clear" w:color="auto" w:fill="FFFFFF"/>
            <w:tcMar>
              <w:top w:w="0" w:type="dxa"/>
              <w:left w:w="85" w:type="dxa"/>
              <w:bottom w:w="0" w:type="dxa"/>
              <w:right w:w="85" w:type="dxa"/>
            </w:tcMar>
            <w:vAlign w:val="center"/>
          </w:tcPr>
          <w:p w14:paraId="3388C92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1,129.2</w:t>
            </w:r>
          </w:p>
        </w:tc>
        <w:tc>
          <w:tcPr>
            <w:tcW w:w="0" w:type="auto"/>
            <w:shd w:val="clear" w:color="auto" w:fill="FFFFFF"/>
            <w:tcMar>
              <w:top w:w="0" w:type="dxa"/>
              <w:left w:w="85" w:type="dxa"/>
              <w:bottom w:w="0" w:type="dxa"/>
              <w:right w:w="85" w:type="dxa"/>
            </w:tcMar>
            <w:vAlign w:val="center"/>
          </w:tcPr>
          <w:p w14:paraId="219A3AA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38.9</w:t>
            </w:r>
          </w:p>
        </w:tc>
        <w:tc>
          <w:tcPr>
            <w:tcW w:w="0" w:type="auto"/>
            <w:shd w:val="clear" w:color="auto" w:fill="FFFFFF"/>
            <w:tcMar>
              <w:top w:w="0" w:type="dxa"/>
              <w:left w:w="85" w:type="dxa"/>
              <w:bottom w:w="0" w:type="dxa"/>
              <w:right w:w="85" w:type="dxa"/>
            </w:tcMar>
            <w:vAlign w:val="center"/>
          </w:tcPr>
          <w:p w14:paraId="34C921A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3,122.5</w:t>
            </w:r>
          </w:p>
        </w:tc>
      </w:tr>
      <w:tr w:rsidR="00EB5913" w:rsidRPr="006623B9" w14:paraId="55A7BF10" w14:textId="77777777" w:rsidTr="00F16E23">
        <w:tc>
          <w:tcPr>
            <w:tcW w:w="0" w:type="auto"/>
            <w:shd w:val="clear" w:color="auto" w:fill="FFFFFF"/>
            <w:tcMar>
              <w:top w:w="0" w:type="dxa"/>
              <w:left w:w="85" w:type="dxa"/>
              <w:bottom w:w="0" w:type="dxa"/>
              <w:right w:w="85" w:type="dxa"/>
            </w:tcMar>
            <w:vAlign w:val="center"/>
          </w:tcPr>
          <w:p w14:paraId="45C8511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2006</w:t>
            </w:r>
          </w:p>
        </w:tc>
        <w:tc>
          <w:tcPr>
            <w:tcW w:w="0" w:type="auto"/>
            <w:shd w:val="clear" w:color="auto" w:fill="FFFFFF"/>
            <w:tcMar>
              <w:top w:w="0" w:type="dxa"/>
              <w:left w:w="85" w:type="dxa"/>
              <w:bottom w:w="0" w:type="dxa"/>
              <w:right w:w="85" w:type="dxa"/>
            </w:tcMar>
            <w:vAlign w:val="center"/>
          </w:tcPr>
          <w:p w14:paraId="30DCBFC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2,384.2</w:t>
            </w:r>
          </w:p>
        </w:tc>
        <w:tc>
          <w:tcPr>
            <w:tcW w:w="0" w:type="auto"/>
            <w:shd w:val="clear" w:color="auto" w:fill="FFFFFF"/>
            <w:tcMar>
              <w:top w:w="0" w:type="dxa"/>
              <w:left w:w="85" w:type="dxa"/>
              <w:bottom w:w="0" w:type="dxa"/>
              <w:right w:w="85" w:type="dxa"/>
            </w:tcMar>
            <w:vAlign w:val="center"/>
          </w:tcPr>
          <w:p w14:paraId="1FB62F9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751.2</w:t>
            </w:r>
          </w:p>
        </w:tc>
        <w:tc>
          <w:tcPr>
            <w:tcW w:w="0" w:type="auto"/>
            <w:shd w:val="clear" w:color="auto" w:fill="FFFFFF"/>
            <w:tcMar>
              <w:top w:w="0" w:type="dxa"/>
              <w:left w:w="85" w:type="dxa"/>
              <w:bottom w:w="0" w:type="dxa"/>
              <w:right w:w="85" w:type="dxa"/>
            </w:tcMar>
            <w:vAlign w:val="center"/>
          </w:tcPr>
          <w:p w14:paraId="2B4C050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20.6</w:t>
            </w:r>
          </w:p>
        </w:tc>
        <w:tc>
          <w:tcPr>
            <w:tcW w:w="0" w:type="auto"/>
            <w:shd w:val="clear" w:color="auto" w:fill="FFFFFF"/>
            <w:tcMar>
              <w:top w:w="0" w:type="dxa"/>
              <w:left w:w="85" w:type="dxa"/>
              <w:bottom w:w="0" w:type="dxa"/>
              <w:right w:w="85" w:type="dxa"/>
            </w:tcMar>
            <w:vAlign w:val="center"/>
          </w:tcPr>
          <w:p w14:paraId="1E69A33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3,156.0</w:t>
            </w:r>
          </w:p>
        </w:tc>
      </w:tr>
      <w:tr w:rsidR="00EB5913" w:rsidRPr="006623B9" w14:paraId="7BBAC220" w14:textId="77777777" w:rsidTr="00F16E23">
        <w:tc>
          <w:tcPr>
            <w:tcW w:w="0" w:type="auto"/>
            <w:shd w:val="clear" w:color="auto" w:fill="FFFFFF"/>
            <w:tcMar>
              <w:top w:w="0" w:type="dxa"/>
              <w:left w:w="85" w:type="dxa"/>
              <w:bottom w:w="0" w:type="dxa"/>
              <w:right w:w="85" w:type="dxa"/>
            </w:tcMar>
            <w:vAlign w:val="center"/>
          </w:tcPr>
          <w:p w14:paraId="1F599E3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2007</w:t>
            </w:r>
          </w:p>
        </w:tc>
        <w:tc>
          <w:tcPr>
            <w:tcW w:w="0" w:type="auto"/>
            <w:shd w:val="clear" w:color="auto" w:fill="FFFFFF"/>
            <w:tcMar>
              <w:top w:w="0" w:type="dxa"/>
              <w:left w:w="85" w:type="dxa"/>
              <w:bottom w:w="0" w:type="dxa"/>
              <w:right w:w="85" w:type="dxa"/>
            </w:tcMar>
            <w:vAlign w:val="center"/>
          </w:tcPr>
          <w:p w14:paraId="4C1819F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2,244.9</w:t>
            </w:r>
          </w:p>
        </w:tc>
        <w:tc>
          <w:tcPr>
            <w:tcW w:w="0" w:type="auto"/>
            <w:shd w:val="clear" w:color="auto" w:fill="FFFFFF"/>
            <w:tcMar>
              <w:top w:w="0" w:type="dxa"/>
              <w:left w:w="85" w:type="dxa"/>
              <w:bottom w:w="0" w:type="dxa"/>
              <w:right w:w="85" w:type="dxa"/>
            </w:tcMar>
            <w:vAlign w:val="center"/>
          </w:tcPr>
          <w:p w14:paraId="53A9257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739.8</w:t>
            </w:r>
          </w:p>
        </w:tc>
        <w:tc>
          <w:tcPr>
            <w:tcW w:w="0" w:type="auto"/>
            <w:shd w:val="clear" w:color="auto" w:fill="FFFFFF"/>
            <w:tcMar>
              <w:top w:w="0" w:type="dxa"/>
              <w:left w:w="85" w:type="dxa"/>
              <w:bottom w:w="0" w:type="dxa"/>
              <w:right w:w="85" w:type="dxa"/>
            </w:tcMar>
            <w:vAlign w:val="center"/>
          </w:tcPr>
          <w:p w14:paraId="1B0E64E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15.1</w:t>
            </w:r>
          </w:p>
        </w:tc>
        <w:tc>
          <w:tcPr>
            <w:tcW w:w="0" w:type="auto"/>
            <w:shd w:val="clear" w:color="auto" w:fill="FFFFFF"/>
            <w:tcMar>
              <w:top w:w="0" w:type="dxa"/>
              <w:left w:w="85" w:type="dxa"/>
              <w:bottom w:w="0" w:type="dxa"/>
              <w:right w:w="85" w:type="dxa"/>
            </w:tcMar>
            <w:vAlign w:val="center"/>
          </w:tcPr>
          <w:p w14:paraId="1241A74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2,999.8</w:t>
            </w:r>
          </w:p>
        </w:tc>
      </w:tr>
      <w:tr w:rsidR="00EB5913" w:rsidRPr="006623B9" w14:paraId="5CA95B73" w14:textId="77777777" w:rsidTr="00F16E23">
        <w:tc>
          <w:tcPr>
            <w:tcW w:w="0" w:type="auto"/>
            <w:shd w:val="clear" w:color="auto" w:fill="FFFFFF"/>
            <w:tcMar>
              <w:top w:w="0" w:type="dxa"/>
              <w:left w:w="85" w:type="dxa"/>
              <w:bottom w:w="0" w:type="dxa"/>
              <w:right w:w="85" w:type="dxa"/>
            </w:tcMar>
            <w:vAlign w:val="center"/>
          </w:tcPr>
          <w:p w14:paraId="46B65171"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2008</w:t>
            </w:r>
          </w:p>
        </w:tc>
        <w:tc>
          <w:tcPr>
            <w:tcW w:w="0" w:type="auto"/>
            <w:shd w:val="clear" w:color="auto" w:fill="FFFFFF"/>
            <w:tcMar>
              <w:top w:w="0" w:type="dxa"/>
              <w:left w:w="85" w:type="dxa"/>
              <w:bottom w:w="0" w:type="dxa"/>
              <w:right w:w="85" w:type="dxa"/>
            </w:tcMar>
            <w:vAlign w:val="center"/>
          </w:tcPr>
          <w:p w14:paraId="5B5F33C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2,189.3</w:t>
            </w:r>
          </w:p>
        </w:tc>
        <w:tc>
          <w:tcPr>
            <w:tcW w:w="0" w:type="auto"/>
            <w:shd w:val="clear" w:color="auto" w:fill="FFFFFF"/>
            <w:tcMar>
              <w:top w:w="0" w:type="dxa"/>
              <w:left w:w="85" w:type="dxa"/>
              <w:bottom w:w="0" w:type="dxa"/>
              <w:right w:w="85" w:type="dxa"/>
            </w:tcMar>
            <w:vAlign w:val="center"/>
          </w:tcPr>
          <w:p w14:paraId="6E52C11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645.4</w:t>
            </w:r>
          </w:p>
        </w:tc>
        <w:tc>
          <w:tcPr>
            <w:tcW w:w="0" w:type="auto"/>
            <w:shd w:val="clear" w:color="auto" w:fill="FFFFFF"/>
            <w:tcMar>
              <w:top w:w="0" w:type="dxa"/>
              <w:left w:w="85" w:type="dxa"/>
              <w:bottom w:w="0" w:type="dxa"/>
              <w:right w:w="85" w:type="dxa"/>
            </w:tcMar>
            <w:vAlign w:val="center"/>
          </w:tcPr>
          <w:p w14:paraId="77C79BF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8.7</w:t>
            </w:r>
          </w:p>
        </w:tc>
        <w:tc>
          <w:tcPr>
            <w:tcW w:w="0" w:type="auto"/>
            <w:shd w:val="clear" w:color="auto" w:fill="FFFFFF"/>
            <w:tcMar>
              <w:top w:w="0" w:type="dxa"/>
              <w:left w:w="85" w:type="dxa"/>
              <w:bottom w:w="0" w:type="dxa"/>
              <w:right w:w="85" w:type="dxa"/>
            </w:tcMar>
            <w:vAlign w:val="center"/>
          </w:tcPr>
          <w:p w14:paraId="3FB6A37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2,843.5</w:t>
            </w:r>
          </w:p>
        </w:tc>
      </w:tr>
      <w:tr w:rsidR="00EB5913" w:rsidRPr="006623B9" w14:paraId="2EBE8242" w14:textId="77777777" w:rsidTr="00F16E23">
        <w:tc>
          <w:tcPr>
            <w:tcW w:w="0" w:type="auto"/>
            <w:shd w:val="clear" w:color="auto" w:fill="FFFFFF"/>
            <w:tcMar>
              <w:top w:w="0" w:type="dxa"/>
              <w:left w:w="85" w:type="dxa"/>
              <w:bottom w:w="0" w:type="dxa"/>
              <w:right w:w="85" w:type="dxa"/>
            </w:tcMar>
            <w:vAlign w:val="center"/>
          </w:tcPr>
          <w:p w14:paraId="6826417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2009</w:t>
            </w:r>
          </w:p>
        </w:tc>
        <w:tc>
          <w:tcPr>
            <w:tcW w:w="0" w:type="auto"/>
            <w:shd w:val="clear" w:color="auto" w:fill="FFFFFF"/>
            <w:tcMar>
              <w:top w:w="0" w:type="dxa"/>
              <w:left w:w="85" w:type="dxa"/>
              <w:bottom w:w="0" w:type="dxa"/>
              <w:right w:w="85" w:type="dxa"/>
            </w:tcMar>
            <w:vAlign w:val="center"/>
          </w:tcPr>
          <w:p w14:paraId="1EAA414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2,143.9</w:t>
            </w:r>
          </w:p>
        </w:tc>
        <w:tc>
          <w:tcPr>
            <w:tcW w:w="0" w:type="auto"/>
            <w:shd w:val="clear" w:color="auto" w:fill="FFFFFF"/>
            <w:tcMar>
              <w:top w:w="0" w:type="dxa"/>
              <w:left w:w="85" w:type="dxa"/>
              <w:bottom w:w="0" w:type="dxa"/>
              <w:right w:w="85" w:type="dxa"/>
            </w:tcMar>
            <w:vAlign w:val="center"/>
          </w:tcPr>
          <w:p w14:paraId="049732D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539.8</w:t>
            </w:r>
          </w:p>
        </w:tc>
        <w:tc>
          <w:tcPr>
            <w:tcW w:w="0" w:type="auto"/>
            <w:shd w:val="clear" w:color="auto" w:fill="FFFFFF"/>
            <w:tcMar>
              <w:top w:w="0" w:type="dxa"/>
              <w:left w:w="85" w:type="dxa"/>
              <w:bottom w:w="0" w:type="dxa"/>
              <w:right w:w="85" w:type="dxa"/>
            </w:tcMar>
            <w:vAlign w:val="center"/>
          </w:tcPr>
          <w:p w14:paraId="378600C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3.6</w:t>
            </w:r>
          </w:p>
        </w:tc>
        <w:tc>
          <w:tcPr>
            <w:tcW w:w="0" w:type="auto"/>
            <w:shd w:val="clear" w:color="auto" w:fill="FFFFFF"/>
            <w:tcMar>
              <w:top w:w="0" w:type="dxa"/>
              <w:left w:w="85" w:type="dxa"/>
              <w:bottom w:w="0" w:type="dxa"/>
              <w:right w:w="85" w:type="dxa"/>
            </w:tcMar>
            <w:vAlign w:val="center"/>
          </w:tcPr>
          <w:p w14:paraId="2AD7AAC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2,687.3</w:t>
            </w:r>
          </w:p>
        </w:tc>
      </w:tr>
      <w:tr w:rsidR="00EB5913" w:rsidRPr="006623B9" w14:paraId="127F8357" w14:textId="77777777" w:rsidTr="00F16E23">
        <w:tc>
          <w:tcPr>
            <w:tcW w:w="0" w:type="auto"/>
            <w:shd w:val="clear" w:color="auto" w:fill="FFFFFF"/>
            <w:tcMar>
              <w:top w:w="0" w:type="dxa"/>
              <w:left w:w="85" w:type="dxa"/>
              <w:bottom w:w="0" w:type="dxa"/>
              <w:right w:w="85" w:type="dxa"/>
            </w:tcMar>
            <w:vAlign w:val="center"/>
          </w:tcPr>
          <w:p w14:paraId="5D97F724"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2010</w:t>
            </w:r>
          </w:p>
        </w:tc>
        <w:tc>
          <w:tcPr>
            <w:tcW w:w="0" w:type="auto"/>
            <w:shd w:val="clear" w:color="auto" w:fill="FFFFFF"/>
            <w:tcMar>
              <w:top w:w="0" w:type="dxa"/>
              <w:left w:w="85" w:type="dxa"/>
              <w:bottom w:w="0" w:type="dxa"/>
              <w:right w:w="85" w:type="dxa"/>
            </w:tcMar>
            <w:vAlign w:val="center"/>
          </w:tcPr>
          <w:p w14:paraId="29F0FFC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2,338.7</w:t>
            </w:r>
          </w:p>
        </w:tc>
        <w:tc>
          <w:tcPr>
            <w:tcW w:w="0" w:type="auto"/>
            <w:shd w:val="clear" w:color="auto" w:fill="FFFFFF"/>
            <w:tcMar>
              <w:top w:w="0" w:type="dxa"/>
              <w:left w:w="85" w:type="dxa"/>
              <w:bottom w:w="0" w:type="dxa"/>
              <w:right w:w="85" w:type="dxa"/>
            </w:tcMar>
            <w:vAlign w:val="center"/>
          </w:tcPr>
          <w:p w14:paraId="1D90B3F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193.8</w:t>
            </w:r>
          </w:p>
        </w:tc>
        <w:tc>
          <w:tcPr>
            <w:tcW w:w="0" w:type="auto"/>
            <w:shd w:val="clear" w:color="auto" w:fill="FFFFFF"/>
            <w:tcMar>
              <w:top w:w="0" w:type="dxa"/>
              <w:left w:w="85" w:type="dxa"/>
              <w:bottom w:w="0" w:type="dxa"/>
              <w:right w:w="85" w:type="dxa"/>
            </w:tcMar>
            <w:vAlign w:val="center"/>
          </w:tcPr>
          <w:p w14:paraId="535488D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6D13250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2,532.5</w:t>
            </w:r>
          </w:p>
        </w:tc>
      </w:tr>
      <w:tr w:rsidR="00EB5913" w:rsidRPr="006623B9" w14:paraId="68473E9B" w14:textId="77777777" w:rsidTr="00F16E23">
        <w:tc>
          <w:tcPr>
            <w:tcW w:w="0" w:type="auto"/>
            <w:shd w:val="clear" w:color="auto" w:fill="FFFFFF"/>
            <w:tcMar>
              <w:top w:w="0" w:type="dxa"/>
              <w:left w:w="85" w:type="dxa"/>
              <w:bottom w:w="0" w:type="dxa"/>
              <w:right w:w="85" w:type="dxa"/>
            </w:tcMar>
            <w:vAlign w:val="center"/>
          </w:tcPr>
          <w:p w14:paraId="40DE4A5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2011</w:t>
            </w:r>
          </w:p>
        </w:tc>
        <w:tc>
          <w:tcPr>
            <w:tcW w:w="0" w:type="auto"/>
            <w:shd w:val="clear" w:color="auto" w:fill="FFFFFF"/>
            <w:tcMar>
              <w:top w:w="0" w:type="dxa"/>
              <w:left w:w="85" w:type="dxa"/>
              <w:bottom w:w="0" w:type="dxa"/>
              <w:right w:w="85" w:type="dxa"/>
            </w:tcMar>
            <w:vAlign w:val="center"/>
          </w:tcPr>
          <w:p w14:paraId="2AD6CC1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2,330.1</w:t>
            </w:r>
          </w:p>
        </w:tc>
        <w:tc>
          <w:tcPr>
            <w:tcW w:w="0" w:type="auto"/>
            <w:shd w:val="clear" w:color="auto" w:fill="FFFFFF"/>
            <w:tcMar>
              <w:top w:w="0" w:type="dxa"/>
              <w:left w:w="85" w:type="dxa"/>
              <w:bottom w:w="0" w:type="dxa"/>
              <w:right w:w="85" w:type="dxa"/>
            </w:tcMar>
            <w:vAlign w:val="center"/>
          </w:tcPr>
          <w:p w14:paraId="0D614C9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182.4</w:t>
            </w:r>
          </w:p>
        </w:tc>
        <w:tc>
          <w:tcPr>
            <w:tcW w:w="0" w:type="auto"/>
            <w:shd w:val="clear" w:color="auto" w:fill="FFFFFF"/>
            <w:tcMar>
              <w:top w:w="0" w:type="dxa"/>
              <w:left w:w="85" w:type="dxa"/>
              <w:bottom w:w="0" w:type="dxa"/>
              <w:right w:w="85" w:type="dxa"/>
            </w:tcMar>
            <w:vAlign w:val="center"/>
          </w:tcPr>
          <w:p w14:paraId="68C38DA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311E08E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2,512.5</w:t>
            </w:r>
          </w:p>
        </w:tc>
      </w:tr>
      <w:tr w:rsidR="00EB5913" w:rsidRPr="006623B9" w14:paraId="26AF6E25" w14:textId="77777777" w:rsidTr="00F16E23">
        <w:tc>
          <w:tcPr>
            <w:tcW w:w="0" w:type="auto"/>
            <w:shd w:val="clear" w:color="auto" w:fill="FFFFFF"/>
            <w:tcMar>
              <w:top w:w="0" w:type="dxa"/>
              <w:left w:w="85" w:type="dxa"/>
              <w:bottom w:w="0" w:type="dxa"/>
              <w:right w:w="85" w:type="dxa"/>
            </w:tcMar>
            <w:vAlign w:val="center"/>
          </w:tcPr>
          <w:p w14:paraId="1039BA3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2012</w:t>
            </w:r>
          </w:p>
        </w:tc>
        <w:tc>
          <w:tcPr>
            <w:tcW w:w="0" w:type="auto"/>
            <w:shd w:val="clear" w:color="auto" w:fill="FFFFFF"/>
            <w:tcMar>
              <w:top w:w="0" w:type="dxa"/>
              <w:left w:w="85" w:type="dxa"/>
              <w:bottom w:w="0" w:type="dxa"/>
              <w:right w:w="85" w:type="dxa"/>
            </w:tcMar>
            <w:vAlign w:val="center"/>
          </w:tcPr>
          <w:p w14:paraId="11A9BE2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2,335.8</w:t>
            </w:r>
          </w:p>
        </w:tc>
        <w:tc>
          <w:tcPr>
            <w:tcW w:w="0" w:type="auto"/>
            <w:shd w:val="clear" w:color="auto" w:fill="FFFFFF"/>
            <w:tcMar>
              <w:top w:w="0" w:type="dxa"/>
              <w:left w:w="85" w:type="dxa"/>
              <w:bottom w:w="0" w:type="dxa"/>
              <w:right w:w="85" w:type="dxa"/>
            </w:tcMar>
            <w:vAlign w:val="center"/>
          </w:tcPr>
          <w:p w14:paraId="37EFABE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179.1</w:t>
            </w:r>
          </w:p>
        </w:tc>
        <w:tc>
          <w:tcPr>
            <w:tcW w:w="0" w:type="auto"/>
            <w:shd w:val="clear" w:color="auto" w:fill="FFFFFF"/>
            <w:tcMar>
              <w:top w:w="0" w:type="dxa"/>
              <w:left w:w="85" w:type="dxa"/>
              <w:bottom w:w="0" w:type="dxa"/>
              <w:right w:w="85" w:type="dxa"/>
            </w:tcMar>
            <w:vAlign w:val="center"/>
          </w:tcPr>
          <w:p w14:paraId="00A3052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090883A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2,515.0</w:t>
            </w:r>
          </w:p>
        </w:tc>
      </w:tr>
      <w:tr w:rsidR="00EB5913" w:rsidRPr="006623B9" w14:paraId="02C72ED7" w14:textId="77777777" w:rsidTr="00F16E23">
        <w:tc>
          <w:tcPr>
            <w:tcW w:w="0" w:type="auto"/>
            <w:shd w:val="clear" w:color="auto" w:fill="FFFFFF"/>
            <w:tcMar>
              <w:top w:w="0" w:type="dxa"/>
              <w:left w:w="85" w:type="dxa"/>
              <w:bottom w:w="0" w:type="dxa"/>
              <w:right w:w="85" w:type="dxa"/>
            </w:tcMar>
            <w:vAlign w:val="center"/>
          </w:tcPr>
          <w:p w14:paraId="33214391"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2013</w:t>
            </w:r>
          </w:p>
        </w:tc>
        <w:tc>
          <w:tcPr>
            <w:tcW w:w="0" w:type="auto"/>
            <w:shd w:val="clear" w:color="auto" w:fill="FFFFFF"/>
            <w:tcMar>
              <w:top w:w="0" w:type="dxa"/>
              <w:left w:w="85" w:type="dxa"/>
              <w:bottom w:w="0" w:type="dxa"/>
              <w:right w:w="85" w:type="dxa"/>
            </w:tcMar>
            <w:vAlign w:val="center"/>
          </w:tcPr>
          <w:p w14:paraId="1E29E3C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2,524.2</w:t>
            </w:r>
          </w:p>
        </w:tc>
        <w:tc>
          <w:tcPr>
            <w:tcW w:w="0" w:type="auto"/>
            <w:shd w:val="clear" w:color="auto" w:fill="FFFFFF"/>
            <w:tcMar>
              <w:top w:w="0" w:type="dxa"/>
              <w:left w:w="85" w:type="dxa"/>
              <w:bottom w:w="0" w:type="dxa"/>
              <w:right w:w="85" w:type="dxa"/>
            </w:tcMar>
            <w:vAlign w:val="center"/>
          </w:tcPr>
          <w:p w14:paraId="4813760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161.2</w:t>
            </w:r>
          </w:p>
        </w:tc>
        <w:tc>
          <w:tcPr>
            <w:tcW w:w="0" w:type="auto"/>
            <w:shd w:val="clear" w:color="auto" w:fill="FFFFFF"/>
            <w:tcMar>
              <w:top w:w="0" w:type="dxa"/>
              <w:left w:w="85" w:type="dxa"/>
              <w:bottom w:w="0" w:type="dxa"/>
              <w:right w:w="85" w:type="dxa"/>
            </w:tcMar>
            <w:vAlign w:val="center"/>
          </w:tcPr>
          <w:p w14:paraId="2DA31BD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656F8827"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2,685.4</w:t>
            </w:r>
          </w:p>
        </w:tc>
      </w:tr>
      <w:tr w:rsidR="00EB5913" w:rsidRPr="006623B9" w14:paraId="6E7D0BA0" w14:textId="77777777" w:rsidTr="00F16E23">
        <w:tc>
          <w:tcPr>
            <w:tcW w:w="0" w:type="auto"/>
            <w:shd w:val="clear" w:color="auto" w:fill="FFFFFF"/>
            <w:tcMar>
              <w:top w:w="0" w:type="dxa"/>
              <w:left w:w="85" w:type="dxa"/>
              <w:bottom w:w="0" w:type="dxa"/>
              <w:right w:w="85" w:type="dxa"/>
            </w:tcMar>
            <w:vAlign w:val="center"/>
          </w:tcPr>
          <w:p w14:paraId="2E5CAC7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2014</w:t>
            </w:r>
          </w:p>
        </w:tc>
        <w:tc>
          <w:tcPr>
            <w:tcW w:w="0" w:type="auto"/>
            <w:shd w:val="clear" w:color="auto" w:fill="FFFFFF"/>
            <w:tcMar>
              <w:top w:w="0" w:type="dxa"/>
              <w:left w:w="85" w:type="dxa"/>
              <w:bottom w:w="0" w:type="dxa"/>
              <w:right w:w="85" w:type="dxa"/>
            </w:tcMar>
            <w:vAlign w:val="center"/>
          </w:tcPr>
          <w:p w14:paraId="3450700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2,776.8</w:t>
            </w:r>
          </w:p>
        </w:tc>
        <w:tc>
          <w:tcPr>
            <w:tcW w:w="0" w:type="auto"/>
            <w:shd w:val="clear" w:color="auto" w:fill="FFFFFF"/>
            <w:tcMar>
              <w:top w:w="0" w:type="dxa"/>
              <w:left w:w="85" w:type="dxa"/>
              <w:bottom w:w="0" w:type="dxa"/>
              <w:right w:w="85" w:type="dxa"/>
            </w:tcMar>
            <w:vAlign w:val="center"/>
          </w:tcPr>
          <w:p w14:paraId="0CE77D0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156.2</w:t>
            </w:r>
          </w:p>
        </w:tc>
        <w:tc>
          <w:tcPr>
            <w:tcW w:w="0" w:type="auto"/>
            <w:shd w:val="clear" w:color="auto" w:fill="FFFFFF"/>
            <w:tcMar>
              <w:top w:w="0" w:type="dxa"/>
              <w:left w:w="85" w:type="dxa"/>
              <w:bottom w:w="0" w:type="dxa"/>
              <w:right w:w="85" w:type="dxa"/>
            </w:tcMar>
            <w:vAlign w:val="center"/>
          </w:tcPr>
          <w:p w14:paraId="27B3B13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33A22548"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2,933.1</w:t>
            </w:r>
          </w:p>
        </w:tc>
      </w:tr>
      <w:tr w:rsidR="00EB5913" w:rsidRPr="006623B9" w14:paraId="21134936" w14:textId="77777777" w:rsidTr="00F16E23">
        <w:tc>
          <w:tcPr>
            <w:tcW w:w="0" w:type="auto"/>
            <w:shd w:val="clear" w:color="auto" w:fill="FFFFFF"/>
            <w:tcMar>
              <w:top w:w="0" w:type="dxa"/>
              <w:left w:w="85" w:type="dxa"/>
              <w:bottom w:w="0" w:type="dxa"/>
              <w:right w:w="85" w:type="dxa"/>
            </w:tcMar>
            <w:vAlign w:val="center"/>
          </w:tcPr>
          <w:p w14:paraId="4E33FC7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2015</w:t>
            </w:r>
          </w:p>
        </w:tc>
        <w:tc>
          <w:tcPr>
            <w:tcW w:w="0" w:type="auto"/>
            <w:shd w:val="clear" w:color="auto" w:fill="FFFFFF"/>
            <w:tcMar>
              <w:top w:w="0" w:type="dxa"/>
              <w:left w:w="85" w:type="dxa"/>
              <w:bottom w:w="0" w:type="dxa"/>
              <w:right w:w="85" w:type="dxa"/>
            </w:tcMar>
            <w:vAlign w:val="center"/>
          </w:tcPr>
          <w:p w14:paraId="3B6997D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3,053.9</w:t>
            </w:r>
          </w:p>
        </w:tc>
        <w:tc>
          <w:tcPr>
            <w:tcW w:w="0" w:type="auto"/>
            <w:shd w:val="clear" w:color="auto" w:fill="FFFFFF"/>
            <w:tcMar>
              <w:top w:w="0" w:type="dxa"/>
              <w:left w:w="85" w:type="dxa"/>
              <w:bottom w:w="0" w:type="dxa"/>
              <w:right w:w="85" w:type="dxa"/>
            </w:tcMar>
            <w:vAlign w:val="center"/>
          </w:tcPr>
          <w:p w14:paraId="5CF2931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168.5</w:t>
            </w:r>
          </w:p>
        </w:tc>
        <w:tc>
          <w:tcPr>
            <w:tcW w:w="0" w:type="auto"/>
            <w:shd w:val="clear" w:color="auto" w:fill="FFFFFF"/>
            <w:tcMar>
              <w:top w:w="0" w:type="dxa"/>
              <w:left w:w="85" w:type="dxa"/>
              <w:bottom w:w="0" w:type="dxa"/>
              <w:right w:w="85" w:type="dxa"/>
            </w:tcMar>
            <w:vAlign w:val="center"/>
          </w:tcPr>
          <w:p w14:paraId="61024CA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30434DF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3,222.4</w:t>
            </w:r>
          </w:p>
        </w:tc>
      </w:tr>
      <w:tr w:rsidR="00EB5913" w:rsidRPr="006623B9" w14:paraId="242B5907" w14:textId="77777777" w:rsidTr="00F16E23">
        <w:tc>
          <w:tcPr>
            <w:tcW w:w="0" w:type="auto"/>
            <w:shd w:val="clear" w:color="auto" w:fill="FFFFFF"/>
            <w:tcMar>
              <w:top w:w="0" w:type="dxa"/>
              <w:left w:w="85" w:type="dxa"/>
              <w:bottom w:w="0" w:type="dxa"/>
              <w:right w:w="85" w:type="dxa"/>
            </w:tcMar>
            <w:vAlign w:val="center"/>
          </w:tcPr>
          <w:p w14:paraId="7BEC6AD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2016</w:t>
            </w:r>
          </w:p>
        </w:tc>
        <w:tc>
          <w:tcPr>
            <w:tcW w:w="0" w:type="auto"/>
            <w:shd w:val="clear" w:color="auto" w:fill="FFFFFF"/>
            <w:tcMar>
              <w:top w:w="0" w:type="dxa"/>
              <w:left w:w="85" w:type="dxa"/>
              <w:bottom w:w="0" w:type="dxa"/>
              <w:right w:w="85" w:type="dxa"/>
            </w:tcMar>
            <w:vAlign w:val="center"/>
          </w:tcPr>
          <w:p w14:paraId="37CBAC39"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3,232.9</w:t>
            </w:r>
          </w:p>
        </w:tc>
        <w:tc>
          <w:tcPr>
            <w:tcW w:w="0" w:type="auto"/>
            <w:shd w:val="clear" w:color="auto" w:fill="FFFFFF"/>
            <w:tcMar>
              <w:top w:w="0" w:type="dxa"/>
              <w:left w:w="85" w:type="dxa"/>
              <w:bottom w:w="0" w:type="dxa"/>
              <w:right w:w="85" w:type="dxa"/>
            </w:tcMar>
            <w:vAlign w:val="center"/>
          </w:tcPr>
          <w:p w14:paraId="1B9AD2C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172.1</w:t>
            </w:r>
          </w:p>
        </w:tc>
        <w:tc>
          <w:tcPr>
            <w:tcW w:w="0" w:type="auto"/>
            <w:shd w:val="clear" w:color="auto" w:fill="FFFFFF"/>
            <w:tcMar>
              <w:top w:w="0" w:type="dxa"/>
              <w:left w:w="85" w:type="dxa"/>
              <w:bottom w:w="0" w:type="dxa"/>
              <w:right w:w="85" w:type="dxa"/>
            </w:tcMar>
            <w:vAlign w:val="center"/>
          </w:tcPr>
          <w:p w14:paraId="1D94445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5C0E1AE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3,404.9</w:t>
            </w:r>
          </w:p>
        </w:tc>
      </w:tr>
      <w:tr w:rsidR="00EB5913" w:rsidRPr="006623B9" w14:paraId="131A2190" w14:textId="77777777" w:rsidTr="00F16E23">
        <w:tc>
          <w:tcPr>
            <w:tcW w:w="0" w:type="auto"/>
            <w:shd w:val="clear" w:color="auto" w:fill="FFFFFF"/>
            <w:tcMar>
              <w:top w:w="0" w:type="dxa"/>
              <w:left w:w="85" w:type="dxa"/>
              <w:bottom w:w="0" w:type="dxa"/>
              <w:right w:w="85" w:type="dxa"/>
            </w:tcMar>
            <w:vAlign w:val="center"/>
          </w:tcPr>
          <w:p w14:paraId="2E03291A"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2017</w:t>
            </w:r>
          </w:p>
        </w:tc>
        <w:tc>
          <w:tcPr>
            <w:tcW w:w="0" w:type="auto"/>
            <w:shd w:val="clear" w:color="auto" w:fill="FFFFFF"/>
            <w:tcMar>
              <w:top w:w="0" w:type="dxa"/>
              <w:left w:w="85" w:type="dxa"/>
              <w:bottom w:w="0" w:type="dxa"/>
              <w:right w:w="85" w:type="dxa"/>
            </w:tcMar>
            <w:vAlign w:val="center"/>
          </w:tcPr>
          <w:p w14:paraId="4A4C8FD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3,349.1</w:t>
            </w:r>
          </w:p>
        </w:tc>
        <w:tc>
          <w:tcPr>
            <w:tcW w:w="0" w:type="auto"/>
            <w:shd w:val="clear" w:color="auto" w:fill="FFFFFF"/>
            <w:tcMar>
              <w:top w:w="0" w:type="dxa"/>
              <w:left w:w="85" w:type="dxa"/>
              <w:bottom w:w="0" w:type="dxa"/>
              <w:right w:w="85" w:type="dxa"/>
            </w:tcMar>
            <w:vAlign w:val="center"/>
          </w:tcPr>
          <w:p w14:paraId="7636997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145.2</w:t>
            </w:r>
          </w:p>
        </w:tc>
        <w:tc>
          <w:tcPr>
            <w:tcW w:w="0" w:type="auto"/>
            <w:shd w:val="clear" w:color="auto" w:fill="FFFFFF"/>
            <w:tcMar>
              <w:top w:w="0" w:type="dxa"/>
              <w:left w:w="85" w:type="dxa"/>
              <w:bottom w:w="0" w:type="dxa"/>
              <w:right w:w="85" w:type="dxa"/>
            </w:tcMar>
            <w:vAlign w:val="center"/>
          </w:tcPr>
          <w:p w14:paraId="27AB830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79CEF1A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3,494.3</w:t>
            </w:r>
          </w:p>
        </w:tc>
      </w:tr>
      <w:tr w:rsidR="00EB5913" w:rsidRPr="006623B9" w14:paraId="08459D37" w14:textId="77777777" w:rsidTr="00F16E23">
        <w:tc>
          <w:tcPr>
            <w:tcW w:w="0" w:type="auto"/>
            <w:shd w:val="clear" w:color="auto" w:fill="FFFFFF"/>
            <w:tcMar>
              <w:top w:w="0" w:type="dxa"/>
              <w:left w:w="85" w:type="dxa"/>
              <w:bottom w:w="0" w:type="dxa"/>
              <w:right w:w="85" w:type="dxa"/>
            </w:tcMar>
            <w:vAlign w:val="center"/>
          </w:tcPr>
          <w:p w14:paraId="6C864F4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2018</w:t>
            </w:r>
          </w:p>
        </w:tc>
        <w:tc>
          <w:tcPr>
            <w:tcW w:w="0" w:type="auto"/>
            <w:shd w:val="clear" w:color="auto" w:fill="FFFFFF"/>
            <w:tcMar>
              <w:top w:w="0" w:type="dxa"/>
              <w:left w:w="85" w:type="dxa"/>
              <w:bottom w:w="0" w:type="dxa"/>
              <w:right w:w="85" w:type="dxa"/>
            </w:tcMar>
            <w:vAlign w:val="center"/>
          </w:tcPr>
          <w:p w14:paraId="779C38F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3,610.1</w:t>
            </w:r>
          </w:p>
        </w:tc>
        <w:tc>
          <w:tcPr>
            <w:tcW w:w="0" w:type="auto"/>
            <w:shd w:val="clear" w:color="auto" w:fill="FFFFFF"/>
            <w:tcMar>
              <w:top w:w="0" w:type="dxa"/>
              <w:left w:w="85" w:type="dxa"/>
              <w:bottom w:w="0" w:type="dxa"/>
              <w:right w:w="85" w:type="dxa"/>
            </w:tcMar>
            <w:vAlign w:val="center"/>
          </w:tcPr>
          <w:p w14:paraId="3F419A52"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95.1</w:t>
            </w:r>
          </w:p>
        </w:tc>
        <w:tc>
          <w:tcPr>
            <w:tcW w:w="0" w:type="auto"/>
            <w:shd w:val="clear" w:color="auto" w:fill="FFFFFF"/>
            <w:tcMar>
              <w:top w:w="0" w:type="dxa"/>
              <w:left w:w="85" w:type="dxa"/>
              <w:bottom w:w="0" w:type="dxa"/>
              <w:right w:w="85" w:type="dxa"/>
            </w:tcMar>
            <w:vAlign w:val="center"/>
          </w:tcPr>
          <w:p w14:paraId="52C9FFC0"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2A6538E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3,705.3</w:t>
            </w:r>
          </w:p>
        </w:tc>
      </w:tr>
      <w:tr w:rsidR="00EB5913" w:rsidRPr="006623B9" w14:paraId="3EB169EA" w14:textId="77777777" w:rsidTr="00F16E23">
        <w:tc>
          <w:tcPr>
            <w:tcW w:w="0" w:type="auto"/>
            <w:shd w:val="clear" w:color="auto" w:fill="FFFFFF"/>
            <w:tcMar>
              <w:top w:w="0" w:type="dxa"/>
              <w:left w:w="85" w:type="dxa"/>
              <w:bottom w:w="0" w:type="dxa"/>
              <w:right w:w="85" w:type="dxa"/>
            </w:tcMar>
            <w:vAlign w:val="center"/>
          </w:tcPr>
          <w:p w14:paraId="71ACF48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2019</w:t>
            </w:r>
          </w:p>
        </w:tc>
        <w:tc>
          <w:tcPr>
            <w:tcW w:w="0" w:type="auto"/>
            <w:shd w:val="clear" w:color="auto" w:fill="FFFFFF"/>
            <w:tcMar>
              <w:top w:w="0" w:type="dxa"/>
              <w:left w:w="85" w:type="dxa"/>
              <w:bottom w:w="0" w:type="dxa"/>
              <w:right w:w="85" w:type="dxa"/>
            </w:tcMar>
            <w:vAlign w:val="center"/>
          </w:tcPr>
          <w:p w14:paraId="132E166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3,405.8</w:t>
            </w:r>
          </w:p>
        </w:tc>
        <w:tc>
          <w:tcPr>
            <w:tcW w:w="0" w:type="auto"/>
            <w:shd w:val="clear" w:color="auto" w:fill="FFFFFF"/>
            <w:tcMar>
              <w:top w:w="0" w:type="dxa"/>
              <w:left w:w="85" w:type="dxa"/>
              <w:bottom w:w="0" w:type="dxa"/>
              <w:right w:w="85" w:type="dxa"/>
            </w:tcMar>
            <w:vAlign w:val="center"/>
          </w:tcPr>
          <w:p w14:paraId="6A1DE67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92.4</w:t>
            </w:r>
          </w:p>
        </w:tc>
        <w:tc>
          <w:tcPr>
            <w:tcW w:w="0" w:type="auto"/>
            <w:shd w:val="clear" w:color="auto" w:fill="FFFFFF"/>
            <w:tcMar>
              <w:top w:w="0" w:type="dxa"/>
              <w:left w:w="85" w:type="dxa"/>
              <w:bottom w:w="0" w:type="dxa"/>
              <w:right w:w="85" w:type="dxa"/>
            </w:tcMar>
            <w:vAlign w:val="center"/>
          </w:tcPr>
          <w:p w14:paraId="181EA7B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6B15CEF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3,498.2</w:t>
            </w:r>
          </w:p>
        </w:tc>
      </w:tr>
      <w:tr w:rsidR="00EB5913" w:rsidRPr="006623B9" w14:paraId="334059AC" w14:textId="77777777" w:rsidTr="00F16E23">
        <w:tc>
          <w:tcPr>
            <w:tcW w:w="0" w:type="auto"/>
            <w:shd w:val="clear" w:color="auto" w:fill="FFFFFF"/>
            <w:tcMar>
              <w:top w:w="0" w:type="dxa"/>
              <w:left w:w="85" w:type="dxa"/>
              <w:bottom w:w="0" w:type="dxa"/>
              <w:right w:w="85" w:type="dxa"/>
            </w:tcMar>
            <w:vAlign w:val="center"/>
          </w:tcPr>
          <w:p w14:paraId="373918D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2020</w:t>
            </w:r>
          </w:p>
        </w:tc>
        <w:tc>
          <w:tcPr>
            <w:tcW w:w="0" w:type="auto"/>
            <w:shd w:val="clear" w:color="auto" w:fill="FFFFFF"/>
            <w:tcMar>
              <w:top w:w="0" w:type="dxa"/>
              <w:left w:w="85" w:type="dxa"/>
              <w:bottom w:w="0" w:type="dxa"/>
              <w:right w:w="85" w:type="dxa"/>
            </w:tcMar>
            <w:vAlign w:val="center"/>
          </w:tcPr>
          <w:p w14:paraId="247AB9F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3,297.5</w:t>
            </w:r>
          </w:p>
        </w:tc>
        <w:tc>
          <w:tcPr>
            <w:tcW w:w="0" w:type="auto"/>
            <w:shd w:val="clear" w:color="auto" w:fill="FFFFFF"/>
            <w:tcMar>
              <w:top w:w="0" w:type="dxa"/>
              <w:left w:w="85" w:type="dxa"/>
              <w:bottom w:w="0" w:type="dxa"/>
              <w:right w:w="85" w:type="dxa"/>
            </w:tcMar>
            <w:vAlign w:val="center"/>
          </w:tcPr>
          <w:p w14:paraId="133DD62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85.8</w:t>
            </w:r>
          </w:p>
        </w:tc>
        <w:tc>
          <w:tcPr>
            <w:tcW w:w="0" w:type="auto"/>
            <w:shd w:val="clear" w:color="auto" w:fill="FFFFFF"/>
            <w:tcMar>
              <w:top w:w="0" w:type="dxa"/>
              <w:left w:w="85" w:type="dxa"/>
              <w:bottom w:w="0" w:type="dxa"/>
              <w:right w:w="85" w:type="dxa"/>
            </w:tcMar>
            <w:vAlign w:val="center"/>
          </w:tcPr>
          <w:p w14:paraId="464CAB2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064F822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3,383.3</w:t>
            </w:r>
          </w:p>
        </w:tc>
      </w:tr>
      <w:tr w:rsidR="00EB5913" w:rsidRPr="006623B9" w14:paraId="28A7DDCA" w14:textId="77777777" w:rsidTr="00F16E23">
        <w:tc>
          <w:tcPr>
            <w:tcW w:w="0" w:type="auto"/>
            <w:shd w:val="clear" w:color="auto" w:fill="FFFFFF"/>
            <w:tcMar>
              <w:top w:w="0" w:type="dxa"/>
              <w:left w:w="85" w:type="dxa"/>
              <w:bottom w:w="0" w:type="dxa"/>
              <w:right w:w="85" w:type="dxa"/>
            </w:tcMar>
            <w:vAlign w:val="center"/>
          </w:tcPr>
          <w:p w14:paraId="46BCF6F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2021</w:t>
            </w:r>
          </w:p>
        </w:tc>
        <w:tc>
          <w:tcPr>
            <w:tcW w:w="0" w:type="auto"/>
            <w:shd w:val="clear" w:color="auto" w:fill="FFFFFF"/>
            <w:tcMar>
              <w:top w:w="0" w:type="dxa"/>
              <w:left w:w="85" w:type="dxa"/>
              <w:bottom w:w="0" w:type="dxa"/>
              <w:right w:w="85" w:type="dxa"/>
            </w:tcMar>
            <w:vAlign w:val="center"/>
          </w:tcPr>
          <w:p w14:paraId="5A5B7FF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3,425.4</w:t>
            </w:r>
          </w:p>
        </w:tc>
        <w:tc>
          <w:tcPr>
            <w:tcW w:w="0" w:type="auto"/>
            <w:shd w:val="clear" w:color="auto" w:fill="FFFFFF"/>
            <w:tcMar>
              <w:top w:w="0" w:type="dxa"/>
              <w:left w:w="85" w:type="dxa"/>
              <w:bottom w:w="0" w:type="dxa"/>
              <w:right w:w="85" w:type="dxa"/>
            </w:tcMar>
            <w:vAlign w:val="center"/>
          </w:tcPr>
          <w:p w14:paraId="03498BA4"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112.3</w:t>
            </w:r>
          </w:p>
        </w:tc>
        <w:tc>
          <w:tcPr>
            <w:tcW w:w="0" w:type="auto"/>
            <w:shd w:val="clear" w:color="auto" w:fill="FFFFFF"/>
            <w:tcMar>
              <w:top w:w="0" w:type="dxa"/>
              <w:left w:w="85" w:type="dxa"/>
              <w:bottom w:w="0" w:type="dxa"/>
              <w:right w:w="85" w:type="dxa"/>
            </w:tcMar>
            <w:vAlign w:val="center"/>
          </w:tcPr>
          <w:p w14:paraId="377EC2AF"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14FF7E9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3,537.7</w:t>
            </w:r>
          </w:p>
        </w:tc>
      </w:tr>
      <w:tr w:rsidR="00EB5913" w:rsidRPr="006623B9" w14:paraId="2A4D2DE6" w14:textId="77777777" w:rsidTr="00F16E23">
        <w:tc>
          <w:tcPr>
            <w:tcW w:w="0" w:type="auto"/>
            <w:shd w:val="clear" w:color="auto" w:fill="FFFFFF"/>
            <w:tcMar>
              <w:top w:w="0" w:type="dxa"/>
              <w:left w:w="85" w:type="dxa"/>
              <w:bottom w:w="0" w:type="dxa"/>
              <w:right w:w="85" w:type="dxa"/>
            </w:tcMar>
            <w:vAlign w:val="center"/>
          </w:tcPr>
          <w:p w14:paraId="4AF4690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2022</w:t>
            </w:r>
          </w:p>
        </w:tc>
        <w:tc>
          <w:tcPr>
            <w:tcW w:w="0" w:type="auto"/>
            <w:shd w:val="clear" w:color="auto" w:fill="FFFFFF"/>
            <w:tcMar>
              <w:top w:w="0" w:type="dxa"/>
              <w:left w:w="85" w:type="dxa"/>
              <w:bottom w:w="0" w:type="dxa"/>
              <w:right w:w="85" w:type="dxa"/>
            </w:tcMar>
            <w:vAlign w:val="center"/>
          </w:tcPr>
          <w:p w14:paraId="1D6EC2F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3,472.4</w:t>
            </w:r>
          </w:p>
        </w:tc>
        <w:tc>
          <w:tcPr>
            <w:tcW w:w="0" w:type="auto"/>
            <w:shd w:val="clear" w:color="auto" w:fill="FFFFFF"/>
            <w:tcMar>
              <w:top w:w="0" w:type="dxa"/>
              <w:left w:w="85" w:type="dxa"/>
              <w:bottom w:w="0" w:type="dxa"/>
              <w:right w:w="85" w:type="dxa"/>
            </w:tcMar>
            <w:vAlign w:val="center"/>
          </w:tcPr>
          <w:p w14:paraId="3D3A036D"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127.8</w:t>
            </w:r>
          </w:p>
        </w:tc>
        <w:tc>
          <w:tcPr>
            <w:tcW w:w="0" w:type="auto"/>
            <w:shd w:val="clear" w:color="auto" w:fill="FFFFFF"/>
            <w:tcMar>
              <w:top w:w="0" w:type="dxa"/>
              <w:left w:w="85" w:type="dxa"/>
              <w:bottom w:w="0" w:type="dxa"/>
              <w:right w:w="85" w:type="dxa"/>
            </w:tcMar>
            <w:vAlign w:val="center"/>
          </w:tcPr>
          <w:p w14:paraId="75A23EF1"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6C55954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3,600.2</w:t>
            </w:r>
          </w:p>
        </w:tc>
      </w:tr>
      <w:tr w:rsidR="00EB5913" w:rsidRPr="006623B9" w14:paraId="225BF071" w14:textId="77777777" w:rsidTr="00F16E23">
        <w:tc>
          <w:tcPr>
            <w:tcW w:w="0" w:type="auto"/>
            <w:shd w:val="clear" w:color="auto" w:fill="FFFFFF"/>
            <w:tcMar>
              <w:top w:w="0" w:type="dxa"/>
              <w:left w:w="85" w:type="dxa"/>
              <w:bottom w:w="0" w:type="dxa"/>
              <w:right w:w="85" w:type="dxa"/>
            </w:tcMar>
            <w:vAlign w:val="center"/>
          </w:tcPr>
          <w:p w14:paraId="6DE6875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2023</w:t>
            </w:r>
          </w:p>
        </w:tc>
        <w:tc>
          <w:tcPr>
            <w:tcW w:w="0" w:type="auto"/>
            <w:shd w:val="clear" w:color="auto" w:fill="FFFFFF"/>
            <w:tcMar>
              <w:top w:w="0" w:type="dxa"/>
              <w:left w:w="85" w:type="dxa"/>
              <w:bottom w:w="0" w:type="dxa"/>
              <w:right w:w="85" w:type="dxa"/>
            </w:tcMar>
            <w:vAlign w:val="center"/>
          </w:tcPr>
          <w:p w14:paraId="3FE272E3"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3,371.2</w:t>
            </w:r>
          </w:p>
        </w:tc>
        <w:tc>
          <w:tcPr>
            <w:tcW w:w="0" w:type="auto"/>
            <w:shd w:val="clear" w:color="auto" w:fill="FFFFFF"/>
            <w:tcMar>
              <w:top w:w="0" w:type="dxa"/>
              <w:left w:w="85" w:type="dxa"/>
              <w:bottom w:w="0" w:type="dxa"/>
              <w:right w:w="85" w:type="dxa"/>
            </w:tcMar>
            <w:vAlign w:val="center"/>
          </w:tcPr>
          <w:p w14:paraId="6D5E527E"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138.6</w:t>
            </w:r>
          </w:p>
        </w:tc>
        <w:tc>
          <w:tcPr>
            <w:tcW w:w="0" w:type="auto"/>
            <w:shd w:val="clear" w:color="auto" w:fill="FFFFFF"/>
            <w:tcMar>
              <w:top w:w="0" w:type="dxa"/>
              <w:left w:w="85" w:type="dxa"/>
              <w:bottom w:w="0" w:type="dxa"/>
              <w:right w:w="85" w:type="dxa"/>
            </w:tcMar>
            <w:vAlign w:val="center"/>
          </w:tcPr>
          <w:p w14:paraId="568F986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5DD72965"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3,509.8</w:t>
            </w:r>
          </w:p>
        </w:tc>
      </w:tr>
      <w:tr w:rsidR="00EB5913" w:rsidRPr="006623B9" w14:paraId="66D3ED43" w14:textId="77777777" w:rsidTr="00F16E23">
        <w:tc>
          <w:tcPr>
            <w:tcW w:w="0" w:type="auto"/>
            <w:shd w:val="clear" w:color="auto" w:fill="FFFFFF"/>
            <w:tcMar>
              <w:top w:w="0" w:type="dxa"/>
              <w:left w:w="85" w:type="dxa"/>
              <w:bottom w:w="0" w:type="dxa"/>
              <w:right w:w="85" w:type="dxa"/>
            </w:tcMar>
            <w:vAlign w:val="center"/>
          </w:tcPr>
          <w:p w14:paraId="3C23F65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2024</w:t>
            </w:r>
          </w:p>
        </w:tc>
        <w:tc>
          <w:tcPr>
            <w:tcW w:w="0" w:type="auto"/>
            <w:shd w:val="clear" w:color="auto" w:fill="FFFFFF"/>
            <w:tcMar>
              <w:top w:w="0" w:type="dxa"/>
              <w:left w:w="85" w:type="dxa"/>
              <w:bottom w:w="0" w:type="dxa"/>
              <w:right w:w="85" w:type="dxa"/>
            </w:tcMar>
            <w:vAlign w:val="center"/>
          </w:tcPr>
          <w:p w14:paraId="4AAE58E6"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2,818.9</w:t>
            </w:r>
          </w:p>
        </w:tc>
        <w:tc>
          <w:tcPr>
            <w:tcW w:w="0" w:type="auto"/>
            <w:shd w:val="clear" w:color="auto" w:fill="FFFFFF"/>
            <w:tcMar>
              <w:top w:w="0" w:type="dxa"/>
              <w:left w:w="85" w:type="dxa"/>
              <w:bottom w:w="0" w:type="dxa"/>
              <w:right w:w="85" w:type="dxa"/>
            </w:tcMar>
            <w:vAlign w:val="center"/>
          </w:tcPr>
          <w:p w14:paraId="1D953B9C"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174.0</w:t>
            </w:r>
          </w:p>
        </w:tc>
        <w:tc>
          <w:tcPr>
            <w:tcW w:w="0" w:type="auto"/>
            <w:shd w:val="clear" w:color="auto" w:fill="FFFFFF"/>
            <w:tcMar>
              <w:top w:w="0" w:type="dxa"/>
              <w:left w:w="85" w:type="dxa"/>
              <w:bottom w:w="0" w:type="dxa"/>
              <w:right w:w="85" w:type="dxa"/>
            </w:tcMar>
            <w:vAlign w:val="center"/>
          </w:tcPr>
          <w:p w14:paraId="011C912A"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NO</w:t>
            </w:r>
          </w:p>
        </w:tc>
        <w:tc>
          <w:tcPr>
            <w:tcW w:w="0" w:type="auto"/>
            <w:shd w:val="clear" w:color="auto" w:fill="FFFFFF"/>
            <w:tcMar>
              <w:top w:w="0" w:type="dxa"/>
              <w:left w:w="85" w:type="dxa"/>
              <w:bottom w:w="0" w:type="dxa"/>
              <w:right w:w="85" w:type="dxa"/>
            </w:tcMar>
            <w:vAlign w:val="center"/>
          </w:tcPr>
          <w:p w14:paraId="3FF9A24B" w14:textId="77777777" w:rsidR="00EB5913" w:rsidRPr="006623B9" w:rsidRDefault="00EB5913" w:rsidP="00F16E23">
            <w:pPr>
              <w:pBdr>
                <w:top w:val="none" w:sz="0" w:space="0" w:color="000000"/>
                <w:left w:val="none" w:sz="0" w:space="0" w:color="000000"/>
                <w:bottom w:val="none" w:sz="0" w:space="0" w:color="000000"/>
                <w:right w:val="none" w:sz="0" w:space="0" w:color="000000"/>
              </w:pBdr>
              <w:spacing w:before="40" w:after="40"/>
              <w:ind w:left="100" w:right="100"/>
              <w:jc w:val="right"/>
              <w:rPr>
                <w:rFonts w:cs="Calibri"/>
                <w:sz w:val="16"/>
                <w:szCs w:val="16"/>
              </w:rPr>
            </w:pPr>
            <w:r w:rsidRPr="006623B9">
              <w:rPr>
                <w:rFonts w:eastAsia="Calibri" w:cs="Calibri"/>
                <w:color w:val="000000"/>
                <w:sz w:val="16"/>
                <w:szCs w:val="16"/>
              </w:rPr>
              <w:t>2,992.9</w:t>
            </w:r>
          </w:p>
        </w:tc>
      </w:tr>
    </w:tbl>
    <w:p w14:paraId="6B421CB9" w14:textId="77777777" w:rsidR="00EB5913" w:rsidRPr="006623B9" w:rsidRDefault="00EB5913" w:rsidP="00EB5913">
      <w:pPr>
        <w:pStyle w:val="Noteundertable"/>
      </w:pPr>
      <w:r w:rsidRPr="006623B9">
        <w:rPr>
          <w:b/>
          <w:bCs/>
        </w:rPr>
        <w:t>Note:</w:t>
      </w:r>
      <w:r w:rsidRPr="006623B9">
        <w:t xml:space="preserve"> </w:t>
      </w:r>
      <w:r w:rsidRPr="006623B9">
        <w:tab/>
        <w:t>LFG = landfill gas; SWDS = solid waste disposal sites; NO = not occurring. Columns may not total due to rounding.</w:t>
      </w:r>
    </w:p>
    <w:p w14:paraId="6254C8EF" w14:textId="77777777" w:rsidR="00EB5913" w:rsidRPr="006623B9" w:rsidRDefault="00EB5913" w:rsidP="00EB5913">
      <w:pPr>
        <w:pStyle w:val="Heading5"/>
      </w:pPr>
      <w:bookmarkStart w:id="3019" w:name="X70a94e351e960875003e2af3d686c33ccd59e2f"/>
      <w:bookmarkEnd w:id="3016"/>
      <w:r w:rsidRPr="006623B9">
        <w:t>Unmanaged solid waste disposal sites and farm fills (5.A.2)</w:t>
      </w:r>
    </w:p>
    <w:p w14:paraId="69AD7008" w14:textId="77777777" w:rsidR="00EB5913" w:rsidRPr="006623B9" w:rsidRDefault="00EB5913" w:rsidP="00EB5913">
      <w:pPr>
        <w:pStyle w:val="BodyText"/>
      </w:pPr>
      <w:r w:rsidRPr="006623B9">
        <w:t>Unmanaged SWDS primarily accept construction and demolition, commercial, inert and industrial waste. While household waste is not intended to be accepted, some may receive incidental amounts of green waste or putrescibles. These landfills are categorised under the Waste Disposal Levy as follows:</w:t>
      </w:r>
    </w:p>
    <w:p w14:paraId="3DAFE2BC" w14:textId="77777777" w:rsidR="00EB5913" w:rsidRPr="006623B9" w:rsidRDefault="00EB5913" w:rsidP="00EB5913">
      <w:pPr>
        <w:pStyle w:val="Bullet"/>
      </w:pPr>
      <w:r w:rsidRPr="006623B9">
        <w:t>Class 2: Construction and demolition disposal facilities</w:t>
      </w:r>
    </w:p>
    <w:p w14:paraId="1F9A1B7E" w14:textId="77777777" w:rsidR="00EB5913" w:rsidRPr="006623B9" w:rsidRDefault="00EB5913" w:rsidP="00EB5913">
      <w:pPr>
        <w:pStyle w:val="Bullet"/>
      </w:pPr>
      <w:r w:rsidRPr="006623B9">
        <w:t>Class 3–4: Controlled fill facilities, receiving inert waste material from construction and demolition, including earthworks</w:t>
      </w:r>
    </w:p>
    <w:p w14:paraId="761D7867" w14:textId="77777777" w:rsidR="00EB5913" w:rsidRPr="006623B9" w:rsidRDefault="00EB5913" w:rsidP="00EB5913">
      <w:pPr>
        <w:pStyle w:val="Bullet"/>
      </w:pPr>
      <w:r w:rsidRPr="006623B9">
        <w:t>Class 5: Cleanfill facilities, receiving natural excavated material such as clay, soil and rock</w:t>
      </w:r>
    </w:p>
    <w:p w14:paraId="63A0FA22" w14:textId="77777777" w:rsidR="00EB5913" w:rsidRPr="006623B9" w:rsidRDefault="00EB5913" w:rsidP="00EB5913">
      <w:pPr>
        <w:pStyle w:val="Bullet"/>
      </w:pPr>
      <w:r w:rsidRPr="006623B9">
        <w:t>Industrial monofills: Waste from a single industrial process.</w:t>
      </w:r>
    </w:p>
    <w:p w14:paraId="31A8C7CA" w14:textId="77777777" w:rsidR="00EB5913" w:rsidRPr="006623B9" w:rsidRDefault="00EB5913" w:rsidP="00EB5913">
      <w:pPr>
        <w:pStyle w:val="BodyText"/>
      </w:pPr>
      <w:r w:rsidRPr="006623B9">
        <w:t>In previous submissions, activity data for unmanaged SWDS were derived from a limited number of facilities, obtained through direct contact with landfill operators and regional councils. Large data gaps were addressed by correlating waste quantities with regional GDP. However, mandatory reporting under the WMA has improved data collection. As of January 2022, Class 2 landfills began reporting waste volumes, with other landfill classes starting in January 2023 (see table 7.2.5). These data revealed that earlier estimates for unmanaged SWDS significantly underestimated disposal volumes, particularly for Class 3–4, Class 5 and industrial monofills.</w:t>
      </w:r>
    </w:p>
    <w:p w14:paraId="33055744" w14:textId="77777777" w:rsidR="00EB5913" w:rsidRPr="006623B9" w:rsidRDefault="00EB5913" w:rsidP="00EB5913">
      <w:pPr>
        <w:pStyle w:val="Table"/>
      </w:pPr>
      <w:bookmarkStart w:id="3020" w:name="_Toc226669103"/>
      <w:r w:rsidRPr="006623B9">
        <w:t xml:space="preserve">Table 7.2.5 </w:t>
      </w:r>
      <w:r w:rsidRPr="006623B9">
        <w:tab/>
        <w:t xml:space="preserve">Types of landfills under the </w:t>
      </w:r>
      <w:r w:rsidRPr="006623B9">
        <w:rPr>
          <w:i/>
          <w:iCs/>
        </w:rPr>
        <w:t>Unmanaged solid waste disposal sites</w:t>
      </w:r>
      <w:r w:rsidRPr="006623B9">
        <w:t xml:space="preserve"> category</w:t>
      </w:r>
      <w:bookmarkEnd w:id="3020"/>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169"/>
        <w:gridCol w:w="2393"/>
      </w:tblGrid>
      <w:tr w:rsidR="00EB5913" w:rsidRPr="006623B9" w14:paraId="06D4936B" w14:textId="77777777" w:rsidTr="00F16E23">
        <w:trPr>
          <w:tblHeader/>
        </w:trPr>
        <w:tc>
          <w:tcPr>
            <w:tcW w:w="0" w:type="auto"/>
            <w:shd w:val="clear" w:color="auto" w:fill="1B556B"/>
            <w:tcMar>
              <w:top w:w="0" w:type="dxa"/>
              <w:left w:w="85" w:type="dxa"/>
              <w:bottom w:w="0" w:type="dxa"/>
              <w:right w:w="85" w:type="dxa"/>
            </w:tcMar>
            <w:vAlign w:val="center"/>
          </w:tcPr>
          <w:p w14:paraId="6EF19F19"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Landfill type</w:t>
            </w:r>
          </w:p>
        </w:tc>
        <w:tc>
          <w:tcPr>
            <w:tcW w:w="0" w:type="auto"/>
            <w:shd w:val="clear" w:color="auto" w:fill="1B556B"/>
            <w:tcMar>
              <w:top w:w="0" w:type="dxa"/>
              <w:left w:w="85" w:type="dxa"/>
              <w:bottom w:w="0" w:type="dxa"/>
              <w:right w:w="85" w:type="dxa"/>
            </w:tcMar>
            <w:vAlign w:val="center"/>
          </w:tcPr>
          <w:p w14:paraId="4671624A"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Total</w:t>
            </w:r>
          </w:p>
        </w:tc>
      </w:tr>
      <w:tr w:rsidR="00EB5913" w:rsidRPr="006623B9" w14:paraId="05C3D0BD" w14:textId="77777777" w:rsidTr="00F16E23">
        <w:tc>
          <w:tcPr>
            <w:tcW w:w="0" w:type="auto"/>
            <w:shd w:val="clear" w:color="auto" w:fill="FFFFFF"/>
            <w:tcMar>
              <w:top w:w="0" w:type="dxa"/>
              <w:left w:w="85" w:type="dxa"/>
              <w:bottom w:w="0" w:type="dxa"/>
              <w:right w:w="85" w:type="dxa"/>
            </w:tcMar>
            <w:vAlign w:val="center"/>
          </w:tcPr>
          <w:p w14:paraId="24281DE1" w14:textId="77777777" w:rsidR="00EB5913" w:rsidRPr="006623B9" w:rsidRDefault="00EB5913" w:rsidP="00F16E23">
            <w:pPr>
              <w:pStyle w:val="TableText"/>
              <w:spacing w:before="40" w:after="40"/>
            </w:pPr>
            <w:r w:rsidRPr="006623B9">
              <w:rPr>
                <w:rFonts w:eastAsia="Calibri"/>
              </w:rPr>
              <w:t>Class 2 landfills</w:t>
            </w:r>
          </w:p>
        </w:tc>
        <w:tc>
          <w:tcPr>
            <w:tcW w:w="0" w:type="auto"/>
            <w:shd w:val="clear" w:color="auto" w:fill="FFFFFF"/>
            <w:tcMar>
              <w:top w:w="0" w:type="dxa"/>
              <w:left w:w="85" w:type="dxa"/>
              <w:bottom w:w="0" w:type="dxa"/>
              <w:right w:w="85" w:type="dxa"/>
            </w:tcMar>
            <w:vAlign w:val="center"/>
          </w:tcPr>
          <w:p w14:paraId="320F0872" w14:textId="77777777" w:rsidR="00EB5913" w:rsidRPr="006623B9" w:rsidRDefault="00EB5913" w:rsidP="00F16E23">
            <w:pPr>
              <w:pStyle w:val="TableText"/>
              <w:spacing w:before="40" w:after="40"/>
              <w:jc w:val="right"/>
            </w:pPr>
            <w:r w:rsidRPr="006623B9">
              <w:rPr>
                <w:rFonts w:eastAsia="Calibri"/>
              </w:rPr>
              <w:t>18</w:t>
            </w:r>
          </w:p>
        </w:tc>
      </w:tr>
      <w:tr w:rsidR="00EB5913" w:rsidRPr="006623B9" w14:paraId="4ACEF63B" w14:textId="77777777" w:rsidTr="00F2460B">
        <w:tc>
          <w:tcPr>
            <w:tcW w:w="0" w:type="auto"/>
            <w:tcBorders>
              <w:bottom w:val="single" w:sz="4" w:space="0" w:color="1B556B"/>
            </w:tcBorders>
            <w:shd w:val="clear" w:color="auto" w:fill="FFFFFF"/>
            <w:tcMar>
              <w:top w:w="0" w:type="dxa"/>
              <w:left w:w="85" w:type="dxa"/>
              <w:bottom w:w="0" w:type="dxa"/>
              <w:right w:w="85" w:type="dxa"/>
            </w:tcMar>
            <w:vAlign w:val="center"/>
          </w:tcPr>
          <w:p w14:paraId="442B9589" w14:textId="77777777" w:rsidR="00EB5913" w:rsidRPr="006623B9" w:rsidRDefault="00EB5913" w:rsidP="00F16E23">
            <w:pPr>
              <w:pStyle w:val="TableText"/>
              <w:spacing w:before="40" w:after="40"/>
            </w:pPr>
            <w:r w:rsidRPr="006623B9">
              <w:rPr>
                <w:rFonts w:eastAsia="Calibri"/>
              </w:rPr>
              <w:t>Class 3–4 landfills</w:t>
            </w:r>
          </w:p>
        </w:tc>
        <w:tc>
          <w:tcPr>
            <w:tcW w:w="0" w:type="auto"/>
            <w:tcBorders>
              <w:bottom w:val="single" w:sz="4" w:space="0" w:color="1B556B"/>
            </w:tcBorders>
            <w:shd w:val="clear" w:color="auto" w:fill="FFFFFF"/>
            <w:tcMar>
              <w:top w:w="0" w:type="dxa"/>
              <w:left w:w="85" w:type="dxa"/>
              <w:bottom w:w="0" w:type="dxa"/>
              <w:right w:w="85" w:type="dxa"/>
            </w:tcMar>
            <w:vAlign w:val="center"/>
          </w:tcPr>
          <w:p w14:paraId="57148F6C" w14:textId="77777777" w:rsidR="00EB5913" w:rsidRPr="006623B9" w:rsidRDefault="00EB5913" w:rsidP="00F16E23">
            <w:pPr>
              <w:pStyle w:val="TableText"/>
              <w:spacing w:before="40" w:after="40"/>
              <w:jc w:val="right"/>
            </w:pPr>
            <w:r w:rsidRPr="006623B9">
              <w:rPr>
                <w:rFonts w:eastAsia="Calibri"/>
              </w:rPr>
              <w:t>155</w:t>
            </w:r>
          </w:p>
        </w:tc>
      </w:tr>
      <w:tr w:rsidR="00EB5913" w:rsidRPr="006623B9" w14:paraId="278F9029" w14:textId="77777777" w:rsidTr="00F16E23">
        <w:tc>
          <w:tcPr>
            <w:tcW w:w="0" w:type="auto"/>
            <w:shd w:val="clear" w:color="auto" w:fill="FFFFFF"/>
            <w:tcMar>
              <w:top w:w="0" w:type="dxa"/>
              <w:left w:w="85" w:type="dxa"/>
              <w:bottom w:w="0" w:type="dxa"/>
              <w:right w:w="85" w:type="dxa"/>
            </w:tcMar>
            <w:vAlign w:val="center"/>
          </w:tcPr>
          <w:p w14:paraId="00C900AA" w14:textId="77777777" w:rsidR="00EB5913" w:rsidRPr="006623B9" w:rsidRDefault="00EB5913" w:rsidP="00F16E23">
            <w:pPr>
              <w:pStyle w:val="TableText"/>
              <w:spacing w:before="40" w:after="40"/>
            </w:pPr>
            <w:r w:rsidRPr="006623B9">
              <w:rPr>
                <w:rFonts w:eastAsia="Calibri"/>
              </w:rPr>
              <w:t>Class 5 landfills</w:t>
            </w:r>
          </w:p>
        </w:tc>
        <w:tc>
          <w:tcPr>
            <w:tcW w:w="0" w:type="auto"/>
            <w:shd w:val="clear" w:color="auto" w:fill="FFFFFF"/>
            <w:tcMar>
              <w:top w:w="0" w:type="dxa"/>
              <w:left w:w="85" w:type="dxa"/>
              <w:bottom w:w="0" w:type="dxa"/>
              <w:right w:w="85" w:type="dxa"/>
            </w:tcMar>
            <w:vAlign w:val="center"/>
          </w:tcPr>
          <w:p w14:paraId="3A2B3B52" w14:textId="77777777" w:rsidR="00EB5913" w:rsidRPr="006623B9" w:rsidRDefault="00EB5913" w:rsidP="00F16E23">
            <w:pPr>
              <w:pStyle w:val="TableText"/>
              <w:spacing w:before="40" w:after="40"/>
              <w:jc w:val="right"/>
            </w:pPr>
            <w:r w:rsidRPr="006623B9">
              <w:rPr>
                <w:rFonts w:eastAsia="Calibri"/>
              </w:rPr>
              <w:t>160</w:t>
            </w:r>
          </w:p>
        </w:tc>
      </w:tr>
      <w:tr w:rsidR="00EB5913" w:rsidRPr="006623B9" w14:paraId="287AD354" w14:textId="77777777" w:rsidTr="00F16E23">
        <w:tc>
          <w:tcPr>
            <w:tcW w:w="0" w:type="auto"/>
            <w:shd w:val="clear" w:color="auto" w:fill="FFFFFF"/>
            <w:tcMar>
              <w:top w:w="0" w:type="dxa"/>
              <w:left w:w="85" w:type="dxa"/>
              <w:bottom w:w="0" w:type="dxa"/>
              <w:right w:w="85" w:type="dxa"/>
            </w:tcMar>
            <w:vAlign w:val="center"/>
          </w:tcPr>
          <w:p w14:paraId="499A2BE4" w14:textId="77777777" w:rsidR="00EB5913" w:rsidRPr="006623B9" w:rsidRDefault="00EB5913" w:rsidP="00F16E23">
            <w:pPr>
              <w:pStyle w:val="TableText"/>
              <w:spacing w:before="40" w:after="40"/>
            </w:pPr>
            <w:r w:rsidRPr="006623B9">
              <w:rPr>
                <w:rFonts w:eastAsia="Calibri"/>
              </w:rPr>
              <w:t>Monofills</w:t>
            </w:r>
          </w:p>
        </w:tc>
        <w:tc>
          <w:tcPr>
            <w:tcW w:w="0" w:type="auto"/>
            <w:shd w:val="clear" w:color="auto" w:fill="FFFFFF"/>
            <w:tcMar>
              <w:top w:w="0" w:type="dxa"/>
              <w:left w:w="85" w:type="dxa"/>
              <w:bottom w:w="0" w:type="dxa"/>
              <w:right w:w="85" w:type="dxa"/>
            </w:tcMar>
            <w:vAlign w:val="center"/>
          </w:tcPr>
          <w:p w14:paraId="3A92B01B" w14:textId="77777777" w:rsidR="00EB5913" w:rsidRPr="006623B9" w:rsidRDefault="00EB5913" w:rsidP="00F16E23">
            <w:pPr>
              <w:pStyle w:val="TableText"/>
              <w:spacing w:before="40" w:after="40"/>
              <w:jc w:val="right"/>
            </w:pPr>
            <w:r w:rsidRPr="006623B9">
              <w:rPr>
                <w:rFonts w:eastAsia="Calibri"/>
              </w:rPr>
              <w:t>29</w:t>
            </w:r>
          </w:p>
        </w:tc>
      </w:tr>
      <w:tr w:rsidR="00EB5913" w:rsidRPr="006623B9" w14:paraId="1111618F" w14:textId="77777777" w:rsidTr="00F16E23">
        <w:tc>
          <w:tcPr>
            <w:tcW w:w="0" w:type="auto"/>
            <w:shd w:val="clear" w:color="auto" w:fill="FFFFFF"/>
            <w:tcMar>
              <w:top w:w="0" w:type="dxa"/>
              <w:left w:w="85" w:type="dxa"/>
              <w:bottom w:w="0" w:type="dxa"/>
              <w:right w:w="85" w:type="dxa"/>
            </w:tcMar>
            <w:vAlign w:val="center"/>
          </w:tcPr>
          <w:p w14:paraId="0B09F6FD" w14:textId="77777777" w:rsidR="00EB5913" w:rsidRPr="006623B9" w:rsidRDefault="00EB5913" w:rsidP="00F16E23">
            <w:pPr>
              <w:pStyle w:val="Tableboldblue"/>
              <w:spacing w:before="40" w:after="40"/>
            </w:pPr>
            <w:r w:rsidRPr="006623B9">
              <w:rPr>
                <w:rFonts w:eastAsia="Calibri"/>
              </w:rPr>
              <w:t>Total</w:t>
            </w:r>
          </w:p>
        </w:tc>
        <w:tc>
          <w:tcPr>
            <w:tcW w:w="0" w:type="auto"/>
            <w:shd w:val="clear" w:color="auto" w:fill="FFFFFF"/>
            <w:tcMar>
              <w:top w:w="0" w:type="dxa"/>
              <w:left w:w="85" w:type="dxa"/>
              <w:bottom w:w="0" w:type="dxa"/>
              <w:right w:w="85" w:type="dxa"/>
            </w:tcMar>
            <w:vAlign w:val="center"/>
          </w:tcPr>
          <w:p w14:paraId="1855079A" w14:textId="77777777" w:rsidR="00EB5913" w:rsidRPr="006623B9" w:rsidRDefault="00EB5913" w:rsidP="00F16E23">
            <w:pPr>
              <w:pStyle w:val="Tableboldblue"/>
              <w:spacing w:before="40" w:after="40"/>
              <w:jc w:val="right"/>
            </w:pPr>
            <w:r w:rsidRPr="006623B9">
              <w:rPr>
                <w:rFonts w:eastAsia="Calibri"/>
              </w:rPr>
              <w:t>362</w:t>
            </w:r>
          </w:p>
        </w:tc>
      </w:tr>
    </w:tbl>
    <w:p w14:paraId="62D870C8" w14:textId="77777777" w:rsidR="00EB5913" w:rsidRPr="006623B9" w:rsidRDefault="00EB5913" w:rsidP="00EB5913">
      <w:pPr>
        <w:pStyle w:val="BodyText"/>
      </w:pPr>
      <w:r w:rsidRPr="006623B9">
        <w:t>A regression analysis demonstrated a strong correlation between real GDP and waste volumes. Consequently, real GDP is now used as a proxy to estimate waste disposal volumes since 1950, relying exclusively on data collected through the levy. Waste quantities are calculated for each landfill class and aggregated to provide a national total.</w:t>
      </w:r>
    </w:p>
    <w:p w14:paraId="246B8D96" w14:textId="77777777" w:rsidR="00EB5913" w:rsidRPr="006623B9" w:rsidRDefault="00EB5913" w:rsidP="00EB5913">
      <w:pPr>
        <w:pStyle w:val="BodyText"/>
      </w:pPr>
      <w:r w:rsidRPr="006623B9">
        <w:t>Regional regulations differ on what materials may be disposed of at farm fills, but they may allow the disposal of a range of agricultural waste, including scrap metal, timber, plastic wraps, batteries and demolition materials. Farmers may also dispose of household waste, green waste, offal and crops.</w:t>
      </w:r>
    </w:p>
    <w:p w14:paraId="4D2380AB" w14:textId="77777777" w:rsidR="00EB5913" w:rsidRPr="006623B9" w:rsidRDefault="00EB5913" w:rsidP="00EB5913">
      <w:pPr>
        <w:pStyle w:val="BodyText"/>
      </w:pPr>
      <w:r w:rsidRPr="006623B9">
        <w:t>The data used to estimate activity and emissions from farm fills stem from surveys conducted in the Canterbury region (2012 to 2013) and in the Waikato and Bay of Plenty regions (2014) (GHD, 2013, 2014; Tonkin and Taylor Ltd, unpublished(b)). These survey results were extrapolated to estimate national waste quantities based on the number of farms in each region and year. Farming practices across the country are similar, so this extrapolation is unlikely to introduce significant bias. However, the sample size is limited, and changes in farm sizes and waste disposal practices (e.g., the introduction of the levy) have not been fully accounted for.</w:t>
      </w:r>
    </w:p>
    <w:p w14:paraId="660BFD68" w14:textId="77777777" w:rsidR="00EB5913" w:rsidRPr="006623B9" w:rsidRDefault="00EB5913" w:rsidP="00EB5913">
      <w:pPr>
        <w:pStyle w:val="BodyText"/>
      </w:pPr>
      <w:r w:rsidRPr="006623B9">
        <w:t>Waste quantities were averaged for surveyed farm types: dairy, livestock, arable, viticulture and other horticulture. These regional estimates were combined to provide a national total, with adjustments for differences in farm type prevalence over time (Tonkin and Taylor Ltd, unpublished(b)).</w:t>
      </w:r>
    </w:p>
    <w:p w14:paraId="75055E16" w14:textId="77777777" w:rsidR="00EB5913" w:rsidRPr="006623B9" w:rsidRDefault="00EB5913" w:rsidP="00EB5913">
      <w:pPr>
        <w:pStyle w:val="BodyText"/>
        <w:rPr>
          <w:spacing w:val="-2"/>
        </w:rPr>
      </w:pPr>
      <w:r w:rsidRPr="006623B9">
        <w:t xml:space="preserve">The number and type of farms were estimated using data from the Agriculture Production </w:t>
      </w:r>
      <w:r w:rsidRPr="006623B9">
        <w:rPr>
          <w:spacing w:val="-2"/>
        </w:rPr>
        <w:t>Survey, ensuring consistency with data from the Agriculture sector, including livestock numbers.</w:t>
      </w:r>
    </w:p>
    <w:p w14:paraId="69F773FE" w14:textId="77777777" w:rsidR="00EB5913" w:rsidRPr="006623B9" w:rsidRDefault="00EB5913" w:rsidP="00EB5913">
      <w:pPr>
        <w:pStyle w:val="BodyText"/>
      </w:pPr>
      <w:r w:rsidRPr="006623B9">
        <w:t xml:space="preserve">Farm waste disposal methods assume that farm waste is evenly split between disposal in farm </w:t>
      </w:r>
      <w:r w:rsidRPr="006623B9">
        <w:rPr>
          <w:spacing w:val="-2"/>
        </w:rPr>
        <w:t>fills and open burning, with each method accounting for 47 percent of the total, while 6 percent</w:t>
      </w:r>
      <w:r w:rsidRPr="006623B9">
        <w:t xml:space="preserve"> is disposed of by other means. Open burning is a prevalent practice in New Zealand, supported by frequent complaints to regional councils and survey findings from GHD (2013, 2014), which indicated that almost every farm has a burn pile or similar setup.</w:t>
      </w:r>
    </w:p>
    <w:p w14:paraId="5529B6CE" w14:textId="77777777" w:rsidR="00EB5913" w:rsidRPr="006623B9" w:rsidRDefault="00EB5913" w:rsidP="00EB5913">
      <w:pPr>
        <w:pStyle w:val="BodyText"/>
      </w:pPr>
      <w:r w:rsidRPr="006623B9">
        <w:t>Because wood waste constitutes a large proportion of CH</w:t>
      </w:r>
      <w:r w:rsidRPr="006623B9">
        <w:rPr>
          <w:vertAlign w:val="subscript"/>
        </w:rPr>
        <w:t>4</w:t>
      </w:r>
      <w:r w:rsidRPr="006623B9">
        <w:t xml:space="preserve"> emissions from farm fills, it is crucial to account for wood waste that is burned rather than buried.</w:t>
      </w:r>
    </w:p>
    <w:p w14:paraId="3C56ED61" w14:textId="77777777" w:rsidR="00EB5913" w:rsidRPr="006623B9" w:rsidRDefault="00EB5913" w:rsidP="00EB5913">
      <w:pPr>
        <w:pStyle w:val="BodyText"/>
      </w:pPr>
      <w:r w:rsidRPr="006623B9">
        <w:t>In 2022, Eunomia (unpublished(c)) consulted experts nationwide and confirmed that the assumption of an even split between burial and burning remains valid.</w:t>
      </w:r>
    </w:p>
    <w:p w14:paraId="6DDD7555" w14:textId="77777777" w:rsidR="00EB5913" w:rsidRPr="006623B9" w:rsidRDefault="00EB5913" w:rsidP="00EB5913">
      <w:pPr>
        <w:pStyle w:val="BodyText"/>
      </w:pPr>
      <w:r w:rsidRPr="006623B9">
        <w:t xml:space="preserve">Table 7.2.6 presents the waste placement data for farm fills (excluding open burning or other disposal methods) and unmanaged SWDS from the beginning of the model in 1950 to </w:t>
      </w:r>
      <w:r w:rsidRPr="00B80970">
        <w:t>2024</w:t>
      </w:r>
      <w:r w:rsidRPr="006623B9">
        <w:t>.</w:t>
      </w:r>
    </w:p>
    <w:p w14:paraId="63EB2893" w14:textId="77777777" w:rsidR="00EB5913" w:rsidRPr="006623B9" w:rsidRDefault="00EB5913" w:rsidP="00EB5913">
      <w:pPr>
        <w:pStyle w:val="Table"/>
      </w:pPr>
      <w:bookmarkStart w:id="3021" w:name="_Toc226669104"/>
      <w:r w:rsidRPr="006623B9">
        <w:t>Table 7.2.6</w:t>
      </w:r>
      <w:r w:rsidRPr="006623B9">
        <w:tab/>
        <w:t xml:space="preserve">Solid waste deposited to unmanaged solid waste disposal sites, from 1950 to </w:t>
      </w:r>
      <w:r w:rsidRPr="006623B9">
        <w:rPr>
          <w:bCs/>
        </w:rPr>
        <w:t>2024</w:t>
      </w:r>
      <w:bookmarkEnd w:id="3021"/>
    </w:p>
    <w:tbl>
      <w:tblPr>
        <w:tblW w:w="8562" w:type="dxa"/>
        <w:tblBorders>
          <w:top w:val="single" w:sz="4" w:space="0" w:color="1B556B" w:themeColor="text2"/>
          <w:left w:val="single" w:sz="4" w:space="0" w:color="FFFFFF"/>
          <w:bottom w:val="single" w:sz="4" w:space="0" w:color="1B556B" w:themeColor="text2"/>
          <w:right w:val="single" w:sz="4" w:space="0" w:color="FFFFFF"/>
          <w:insideH w:val="single" w:sz="4" w:space="0" w:color="1B556B" w:themeColor="text2"/>
        </w:tblBorders>
        <w:tblLook w:val="0420" w:firstRow="1" w:lastRow="0" w:firstColumn="0" w:lastColumn="0" w:noHBand="0" w:noVBand="1"/>
      </w:tblPr>
      <w:tblGrid>
        <w:gridCol w:w="658"/>
        <w:gridCol w:w="3236"/>
        <w:gridCol w:w="2227"/>
        <w:gridCol w:w="2441"/>
      </w:tblGrid>
      <w:tr w:rsidR="00EB5913" w:rsidRPr="006623B9" w14:paraId="7C5CD84B" w14:textId="77777777" w:rsidTr="00F2460B">
        <w:trPr>
          <w:tblHeader/>
        </w:trPr>
        <w:tc>
          <w:tcPr>
            <w:tcW w:w="0" w:type="auto"/>
            <w:shd w:val="clear" w:color="auto" w:fill="1B556B"/>
            <w:tcMar>
              <w:top w:w="0" w:type="dxa"/>
              <w:left w:w="85" w:type="dxa"/>
              <w:bottom w:w="0" w:type="dxa"/>
              <w:right w:w="85" w:type="dxa"/>
            </w:tcMar>
            <w:vAlign w:val="center"/>
          </w:tcPr>
          <w:p w14:paraId="4F80826B" w14:textId="77777777" w:rsidR="00EB5913" w:rsidRPr="006623B9" w:rsidRDefault="00EB5913" w:rsidP="00F16E23">
            <w:pPr>
              <w:pStyle w:val="TableTextBold"/>
              <w:spacing w:before="40" w:after="40"/>
              <w:rPr>
                <w:rFonts w:cs="Calibri"/>
                <w:noProof w:val="0"/>
                <w:color w:val="FFFFFF" w:themeColor="background1"/>
                <w:szCs w:val="16"/>
              </w:rPr>
            </w:pPr>
            <w:r w:rsidRPr="006623B9">
              <w:rPr>
                <w:rFonts w:eastAsia="Calibri" w:cs="Calibri"/>
                <w:noProof w:val="0"/>
                <w:color w:val="FFFFFF" w:themeColor="background1"/>
                <w:szCs w:val="16"/>
              </w:rPr>
              <w:t>Year</w:t>
            </w:r>
          </w:p>
        </w:tc>
        <w:tc>
          <w:tcPr>
            <w:tcW w:w="0" w:type="auto"/>
            <w:shd w:val="clear" w:color="auto" w:fill="1B556B"/>
            <w:tcMar>
              <w:top w:w="0" w:type="dxa"/>
              <w:left w:w="85" w:type="dxa"/>
              <w:bottom w:w="0" w:type="dxa"/>
              <w:right w:w="85" w:type="dxa"/>
            </w:tcMar>
            <w:vAlign w:val="center"/>
          </w:tcPr>
          <w:p w14:paraId="101815BF"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eastAsia="Calibri" w:cs="Calibri"/>
                <w:noProof w:val="0"/>
                <w:color w:val="FFFFFF" w:themeColor="background1"/>
                <w:szCs w:val="16"/>
              </w:rPr>
              <w:t>Unmanaged SWDS – Farm fills (kt)</w:t>
            </w:r>
          </w:p>
        </w:tc>
        <w:tc>
          <w:tcPr>
            <w:tcW w:w="0" w:type="auto"/>
            <w:shd w:val="clear" w:color="auto" w:fill="1B556B"/>
            <w:tcMar>
              <w:top w:w="0" w:type="dxa"/>
              <w:left w:w="85" w:type="dxa"/>
              <w:bottom w:w="0" w:type="dxa"/>
              <w:right w:w="85" w:type="dxa"/>
            </w:tcMar>
            <w:vAlign w:val="center"/>
          </w:tcPr>
          <w:p w14:paraId="0706EFD2"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eastAsia="Calibri" w:cs="Calibri"/>
                <w:noProof w:val="0"/>
                <w:color w:val="FFFFFF" w:themeColor="background1"/>
                <w:szCs w:val="16"/>
              </w:rPr>
              <w:t>Unmanaged SWDS (kt)</w:t>
            </w:r>
          </w:p>
        </w:tc>
        <w:tc>
          <w:tcPr>
            <w:tcW w:w="0" w:type="auto"/>
            <w:shd w:val="clear" w:color="auto" w:fill="1B556B"/>
            <w:tcMar>
              <w:top w:w="0" w:type="dxa"/>
              <w:left w:w="85" w:type="dxa"/>
              <w:bottom w:w="0" w:type="dxa"/>
              <w:right w:w="85" w:type="dxa"/>
            </w:tcMar>
            <w:vAlign w:val="center"/>
          </w:tcPr>
          <w:p w14:paraId="302AFDF1"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eastAsia="Calibri" w:cs="Calibri"/>
                <w:noProof w:val="0"/>
                <w:color w:val="FFFFFF" w:themeColor="background1"/>
                <w:szCs w:val="16"/>
              </w:rPr>
              <w:t>Total waste disposed (kt)</w:t>
            </w:r>
          </w:p>
        </w:tc>
      </w:tr>
      <w:tr w:rsidR="00EB5913" w:rsidRPr="006623B9" w14:paraId="178D8818" w14:textId="77777777" w:rsidTr="00F2460B">
        <w:tc>
          <w:tcPr>
            <w:tcW w:w="0" w:type="auto"/>
            <w:shd w:val="clear" w:color="auto" w:fill="FFFFFF"/>
            <w:tcMar>
              <w:top w:w="0" w:type="dxa"/>
              <w:left w:w="85" w:type="dxa"/>
              <w:bottom w:w="0" w:type="dxa"/>
              <w:right w:w="85" w:type="dxa"/>
            </w:tcMar>
            <w:vAlign w:val="center"/>
          </w:tcPr>
          <w:p w14:paraId="10E2BBF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1950</w:t>
            </w:r>
          </w:p>
        </w:tc>
        <w:tc>
          <w:tcPr>
            <w:tcW w:w="0" w:type="auto"/>
            <w:shd w:val="clear" w:color="auto" w:fill="FFFFFF"/>
            <w:tcMar>
              <w:top w:w="0" w:type="dxa"/>
              <w:left w:w="85" w:type="dxa"/>
              <w:bottom w:w="0" w:type="dxa"/>
              <w:right w:w="85" w:type="dxa"/>
            </w:tcMar>
            <w:vAlign w:val="center"/>
          </w:tcPr>
          <w:p w14:paraId="6551E35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854.4</w:t>
            </w:r>
          </w:p>
        </w:tc>
        <w:tc>
          <w:tcPr>
            <w:tcW w:w="0" w:type="auto"/>
            <w:shd w:val="clear" w:color="auto" w:fill="FFFFFF"/>
            <w:tcMar>
              <w:top w:w="0" w:type="dxa"/>
              <w:left w:w="85" w:type="dxa"/>
              <w:bottom w:w="0" w:type="dxa"/>
              <w:right w:w="85" w:type="dxa"/>
            </w:tcMar>
            <w:vAlign w:val="center"/>
          </w:tcPr>
          <w:p w14:paraId="118BA76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3,635.9</w:t>
            </w:r>
          </w:p>
        </w:tc>
        <w:tc>
          <w:tcPr>
            <w:tcW w:w="0" w:type="auto"/>
            <w:shd w:val="clear" w:color="auto" w:fill="FFFFFF"/>
            <w:tcMar>
              <w:top w:w="0" w:type="dxa"/>
              <w:left w:w="85" w:type="dxa"/>
              <w:bottom w:w="0" w:type="dxa"/>
              <w:right w:w="85" w:type="dxa"/>
            </w:tcMar>
            <w:vAlign w:val="center"/>
          </w:tcPr>
          <w:p w14:paraId="35A1B44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4,490.2</w:t>
            </w:r>
          </w:p>
        </w:tc>
      </w:tr>
      <w:tr w:rsidR="00EB5913" w:rsidRPr="006623B9" w14:paraId="662A7EC8" w14:textId="77777777" w:rsidTr="00F2460B">
        <w:tc>
          <w:tcPr>
            <w:tcW w:w="0" w:type="auto"/>
            <w:shd w:val="clear" w:color="auto" w:fill="FFFFFF"/>
            <w:tcMar>
              <w:top w:w="0" w:type="dxa"/>
              <w:left w:w="85" w:type="dxa"/>
              <w:bottom w:w="0" w:type="dxa"/>
              <w:right w:w="85" w:type="dxa"/>
            </w:tcMar>
            <w:vAlign w:val="center"/>
          </w:tcPr>
          <w:p w14:paraId="2BAAD01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1951</w:t>
            </w:r>
          </w:p>
        </w:tc>
        <w:tc>
          <w:tcPr>
            <w:tcW w:w="0" w:type="auto"/>
            <w:shd w:val="clear" w:color="auto" w:fill="FFFFFF"/>
            <w:tcMar>
              <w:top w:w="0" w:type="dxa"/>
              <w:left w:w="85" w:type="dxa"/>
              <w:bottom w:w="0" w:type="dxa"/>
              <w:right w:w="85" w:type="dxa"/>
            </w:tcMar>
            <w:vAlign w:val="center"/>
          </w:tcPr>
          <w:p w14:paraId="52FD03B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853.8</w:t>
            </w:r>
          </w:p>
        </w:tc>
        <w:tc>
          <w:tcPr>
            <w:tcW w:w="0" w:type="auto"/>
            <w:shd w:val="clear" w:color="auto" w:fill="FFFFFF"/>
            <w:tcMar>
              <w:top w:w="0" w:type="dxa"/>
              <w:left w:w="85" w:type="dxa"/>
              <w:bottom w:w="0" w:type="dxa"/>
              <w:right w:w="85" w:type="dxa"/>
            </w:tcMar>
            <w:vAlign w:val="center"/>
          </w:tcPr>
          <w:p w14:paraId="4F84D17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3,769.3</w:t>
            </w:r>
          </w:p>
        </w:tc>
        <w:tc>
          <w:tcPr>
            <w:tcW w:w="0" w:type="auto"/>
            <w:shd w:val="clear" w:color="auto" w:fill="FFFFFF"/>
            <w:tcMar>
              <w:top w:w="0" w:type="dxa"/>
              <w:left w:w="85" w:type="dxa"/>
              <w:bottom w:w="0" w:type="dxa"/>
              <w:right w:w="85" w:type="dxa"/>
            </w:tcMar>
            <w:vAlign w:val="center"/>
          </w:tcPr>
          <w:p w14:paraId="35645C0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4,623.1</w:t>
            </w:r>
          </w:p>
        </w:tc>
      </w:tr>
      <w:tr w:rsidR="00EB5913" w:rsidRPr="006623B9" w14:paraId="7C8121F0" w14:textId="77777777" w:rsidTr="00F2460B">
        <w:tc>
          <w:tcPr>
            <w:tcW w:w="0" w:type="auto"/>
            <w:shd w:val="clear" w:color="auto" w:fill="FFFFFF"/>
            <w:tcMar>
              <w:top w:w="0" w:type="dxa"/>
              <w:left w:w="85" w:type="dxa"/>
              <w:bottom w:w="0" w:type="dxa"/>
              <w:right w:w="85" w:type="dxa"/>
            </w:tcMar>
            <w:vAlign w:val="center"/>
          </w:tcPr>
          <w:p w14:paraId="074EB87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1952</w:t>
            </w:r>
          </w:p>
        </w:tc>
        <w:tc>
          <w:tcPr>
            <w:tcW w:w="0" w:type="auto"/>
            <w:shd w:val="clear" w:color="auto" w:fill="FFFFFF"/>
            <w:tcMar>
              <w:top w:w="0" w:type="dxa"/>
              <w:left w:w="85" w:type="dxa"/>
              <w:bottom w:w="0" w:type="dxa"/>
              <w:right w:w="85" w:type="dxa"/>
            </w:tcMar>
            <w:vAlign w:val="center"/>
          </w:tcPr>
          <w:p w14:paraId="72087A9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854.3</w:t>
            </w:r>
          </w:p>
        </w:tc>
        <w:tc>
          <w:tcPr>
            <w:tcW w:w="0" w:type="auto"/>
            <w:shd w:val="clear" w:color="auto" w:fill="FFFFFF"/>
            <w:tcMar>
              <w:top w:w="0" w:type="dxa"/>
              <w:left w:w="85" w:type="dxa"/>
              <w:bottom w:w="0" w:type="dxa"/>
              <w:right w:w="85" w:type="dxa"/>
            </w:tcMar>
            <w:vAlign w:val="center"/>
          </w:tcPr>
          <w:p w14:paraId="4A53AAE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3,907.6</w:t>
            </w:r>
          </w:p>
        </w:tc>
        <w:tc>
          <w:tcPr>
            <w:tcW w:w="0" w:type="auto"/>
            <w:shd w:val="clear" w:color="auto" w:fill="FFFFFF"/>
            <w:tcMar>
              <w:top w:w="0" w:type="dxa"/>
              <w:left w:w="85" w:type="dxa"/>
              <w:bottom w:w="0" w:type="dxa"/>
              <w:right w:w="85" w:type="dxa"/>
            </w:tcMar>
            <w:vAlign w:val="center"/>
          </w:tcPr>
          <w:p w14:paraId="06D034A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4,761.9</w:t>
            </w:r>
          </w:p>
        </w:tc>
      </w:tr>
      <w:tr w:rsidR="00EB5913" w:rsidRPr="006623B9" w14:paraId="72643E0C" w14:textId="77777777" w:rsidTr="00F2460B">
        <w:tc>
          <w:tcPr>
            <w:tcW w:w="0" w:type="auto"/>
            <w:shd w:val="clear" w:color="auto" w:fill="FFFFFF"/>
            <w:tcMar>
              <w:top w:w="0" w:type="dxa"/>
              <w:left w:w="85" w:type="dxa"/>
              <w:bottom w:w="0" w:type="dxa"/>
              <w:right w:w="85" w:type="dxa"/>
            </w:tcMar>
            <w:vAlign w:val="center"/>
          </w:tcPr>
          <w:p w14:paraId="00FFFFA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1953</w:t>
            </w:r>
          </w:p>
        </w:tc>
        <w:tc>
          <w:tcPr>
            <w:tcW w:w="0" w:type="auto"/>
            <w:shd w:val="clear" w:color="auto" w:fill="FFFFFF"/>
            <w:tcMar>
              <w:top w:w="0" w:type="dxa"/>
              <w:left w:w="85" w:type="dxa"/>
              <w:bottom w:w="0" w:type="dxa"/>
              <w:right w:w="85" w:type="dxa"/>
            </w:tcMar>
            <w:vAlign w:val="center"/>
          </w:tcPr>
          <w:p w14:paraId="77FE9EA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856.6</w:t>
            </w:r>
          </w:p>
        </w:tc>
        <w:tc>
          <w:tcPr>
            <w:tcW w:w="0" w:type="auto"/>
            <w:shd w:val="clear" w:color="auto" w:fill="FFFFFF"/>
            <w:tcMar>
              <w:top w:w="0" w:type="dxa"/>
              <w:left w:w="85" w:type="dxa"/>
              <w:bottom w:w="0" w:type="dxa"/>
              <w:right w:w="85" w:type="dxa"/>
            </w:tcMar>
            <w:vAlign w:val="center"/>
          </w:tcPr>
          <w:p w14:paraId="7E1A2ED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4,050.8</w:t>
            </w:r>
          </w:p>
        </w:tc>
        <w:tc>
          <w:tcPr>
            <w:tcW w:w="0" w:type="auto"/>
            <w:shd w:val="clear" w:color="auto" w:fill="FFFFFF"/>
            <w:tcMar>
              <w:top w:w="0" w:type="dxa"/>
              <w:left w:w="85" w:type="dxa"/>
              <w:bottom w:w="0" w:type="dxa"/>
              <w:right w:w="85" w:type="dxa"/>
            </w:tcMar>
            <w:vAlign w:val="center"/>
          </w:tcPr>
          <w:p w14:paraId="4D84956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4,907.4</w:t>
            </w:r>
          </w:p>
        </w:tc>
      </w:tr>
      <w:tr w:rsidR="00EB5913" w:rsidRPr="006623B9" w14:paraId="2188994F" w14:textId="77777777" w:rsidTr="00F2460B">
        <w:tc>
          <w:tcPr>
            <w:tcW w:w="0" w:type="auto"/>
            <w:shd w:val="clear" w:color="auto" w:fill="FFFFFF"/>
            <w:tcMar>
              <w:top w:w="0" w:type="dxa"/>
              <w:left w:w="85" w:type="dxa"/>
              <w:bottom w:w="0" w:type="dxa"/>
              <w:right w:w="85" w:type="dxa"/>
            </w:tcMar>
            <w:vAlign w:val="center"/>
          </w:tcPr>
          <w:p w14:paraId="0AAD43F4"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1954</w:t>
            </w:r>
          </w:p>
        </w:tc>
        <w:tc>
          <w:tcPr>
            <w:tcW w:w="0" w:type="auto"/>
            <w:shd w:val="clear" w:color="auto" w:fill="FFFFFF"/>
            <w:tcMar>
              <w:top w:w="0" w:type="dxa"/>
              <w:left w:w="85" w:type="dxa"/>
              <w:bottom w:w="0" w:type="dxa"/>
              <w:right w:w="85" w:type="dxa"/>
            </w:tcMar>
            <w:vAlign w:val="center"/>
          </w:tcPr>
          <w:p w14:paraId="3414A93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867.6</w:t>
            </w:r>
          </w:p>
        </w:tc>
        <w:tc>
          <w:tcPr>
            <w:tcW w:w="0" w:type="auto"/>
            <w:shd w:val="clear" w:color="auto" w:fill="FFFFFF"/>
            <w:tcMar>
              <w:top w:w="0" w:type="dxa"/>
              <w:left w:w="85" w:type="dxa"/>
              <w:bottom w:w="0" w:type="dxa"/>
              <w:right w:w="85" w:type="dxa"/>
            </w:tcMar>
            <w:vAlign w:val="center"/>
          </w:tcPr>
          <w:p w14:paraId="17AC074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4,199.3</w:t>
            </w:r>
          </w:p>
        </w:tc>
        <w:tc>
          <w:tcPr>
            <w:tcW w:w="0" w:type="auto"/>
            <w:shd w:val="clear" w:color="auto" w:fill="FFFFFF"/>
            <w:tcMar>
              <w:top w:w="0" w:type="dxa"/>
              <w:left w:w="85" w:type="dxa"/>
              <w:bottom w:w="0" w:type="dxa"/>
              <w:right w:w="85" w:type="dxa"/>
            </w:tcMar>
            <w:vAlign w:val="center"/>
          </w:tcPr>
          <w:p w14:paraId="3D9F40E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5,066.9</w:t>
            </w:r>
          </w:p>
        </w:tc>
      </w:tr>
      <w:tr w:rsidR="00EB5913" w:rsidRPr="006623B9" w14:paraId="058B4428" w14:textId="77777777" w:rsidTr="00F2460B">
        <w:tc>
          <w:tcPr>
            <w:tcW w:w="0" w:type="auto"/>
            <w:shd w:val="clear" w:color="auto" w:fill="FFFFFF"/>
            <w:tcMar>
              <w:top w:w="0" w:type="dxa"/>
              <w:left w:w="85" w:type="dxa"/>
              <w:bottom w:w="0" w:type="dxa"/>
              <w:right w:w="85" w:type="dxa"/>
            </w:tcMar>
            <w:vAlign w:val="center"/>
          </w:tcPr>
          <w:p w14:paraId="106E2D9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1955</w:t>
            </w:r>
          </w:p>
        </w:tc>
        <w:tc>
          <w:tcPr>
            <w:tcW w:w="0" w:type="auto"/>
            <w:shd w:val="clear" w:color="auto" w:fill="FFFFFF"/>
            <w:tcMar>
              <w:top w:w="0" w:type="dxa"/>
              <w:left w:w="85" w:type="dxa"/>
              <w:bottom w:w="0" w:type="dxa"/>
              <w:right w:w="85" w:type="dxa"/>
            </w:tcMar>
            <w:vAlign w:val="center"/>
          </w:tcPr>
          <w:p w14:paraId="6DD6BA3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874.3</w:t>
            </w:r>
          </w:p>
        </w:tc>
        <w:tc>
          <w:tcPr>
            <w:tcW w:w="0" w:type="auto"/>
            <w:shd w:val="clear" w:color="auto" w:fill="FFFFFF"/>
            <w:tcMar>
              <w:top w:w="0" w:type="dxa"/>
              <w:left w:w="85" w:type="dxa"/>
              <w:bottom w:w="0" w:type="dxa"/>
              <w:right w:w="85" w:type="dxa"/>
            </w:tcMar>
            <w:vAlign w:val="center"/>
          </w:tcPr>
          <w:p w14:paraId="61B1AB3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4,353.1</w:t>
            </w:r>
          </w:p>
        </w:tc>
        <w:tc>
          <w:tcPr>
            <w:tcW w:w="0" w:type="auto"/>
            <w:shd w:val="clear" w:color="auto" w:fill="FFFFFF"/>
            <w:tcMar>
              <w:top w:w="0" w:type="dxa"/>
              <w:left w:w="85" w:type="dxa"/>
              <w:bottom w:w="0" w:type="dxa"/>
              <w:right w:w="85" w:type="dxa"/>
            </w:tcMar>
            <w:vAlign w:val="center"/>
          </w:tcPr>
          <w:p w14:paraId="7802267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5,227.3</w:t>
            </w:r>
          </w:p>
        </w:tc>
      </w:tr>
      <w:tr w:rsidR="00EB5913" w:rsidRPr="006623B9" w14:paraId="34036115" w14:textId="77777777" w:rsidTr="00F2460B">
        <w:tc>
          <w:tcPr>
            <w:tcW w:w="0" w:type="auto"/>
            <w:shd w:val="clear" w:color="auto" w:fill="FFFFFF"/>
            <w:tcMar>
              <w:top w:w="0" w:type="dxa"/>
              <w:left w:w="85" w:type="dxa"/>
              <w:bottom w:w="0" w:type="dxa"/>
              <w:right w:w="85" w:type="dxa"/>
            </w:tcMar>
            <w:vAlign w:val="center"/>
          </w:tcPr>
          <w:p w14:paraId="4AC2759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1956</w:t>
            </w:r>
          </w:p>
        </w:tc>
        <w:tc>
          <w:tcPr>
            <w:tcW w:w="0" w:type="auto"/>
            <w:shd w:val="clear" w:color="auto" w:fill="FFFFFF"/>
            <w:tcMar>
              <w:top w:w="0" w:type="dxa"/>
              <w:left w:w="85" w:type="dxa"/>
              <w:bottom w:w="0" w:type="dxa"/>
              <w:right w:w="85" w:type="dxa"/>
            </w:tcMar>
            <w:vAlign w:val="center"/>
          </w:tcPr>
          <w:p w14:paraId="2126118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801.5</w:t>
            </w:r>
          </w:p>
        </w:tc>
        <w:tc>
          <w:tcPr>
            <w:tcW w:w="0" w:type="auto"/>
            <w:shd w:val="clear" w:color="auto" w:fill="FFFFFF"/>
            <w:tcMar>
              <w:top w:w="0" w:type="dxa"/>
              <w:left w:w="85" w:type="dxa"/>
              <w:bottom w:w="0" w:type="dxa"/>
              <w:right w:w="85" w:type="dxa"/>
            </w:tcMar>
            <w:vAlign w:val="center"/>
          </w:tcPr>
          <w:p w14:paraId="4C7A27B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4,512.4</w:t>
            </w:r>
          </w:p>
        </w:tc>
        <w:tc>
          <w:tcPr>
            <w:tcW w:w="0" w:type="auto"/>
            <w:shd w:val="clear" w:color="auto" w:fill="FFFFFF"/>
            <w:tcMar>
              <w:top w:w="0" w:type="dxa"/>
              <w:left w:w="85" w:type="dxa"/>
              <w:bottom w:w="0" w:type="dxa"/>
              <w:right w:w="85" w:type="dxa"/>
            </w:tcMar>
            <w:vAlign w:val="center"/>
          </w:tcPr>
          <w:p w14:paraId="0551F3D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5,313.9</w:t>
            </w:r>
          </w:p>
        </w:tc>
      </w:tr>
      <w:tr w:rsidR="00EB5913" w:rsidRPr="006623B9" w14:paraId="158084B8" w14:textId="77777777" w:rsidTr="00F2460B">
        <w:tc>
          <w:tcPr>
            <w:tcW w:w="0" w:type="auto"/>
            <w:shd w:val="clear" w:color="auto" w:fill="FFFFFF"/>
            <w:tcMar>
              <w:top w:w="0" w:type="dxa"/>
              <w:left w:w="85" w:type="dxa"/>
              <w:bottom w:w="0" w:type="dxa"/>
              <w:right w:w="85" w:type="dxa"/>
            </w:tcMar>
            <w:vAlign w:val="center"/>
          </w:tcPr>
          <w:p w14:paraId="00B0396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1957</w:t>
            </w:r>
          </w:p>
        </w:tc>
        <w:tc>
          <w:tcPr>
            <w:tcW w:w="0" w:type="auto"/>
            <w:shd w:val="clear" w:color="auto" w:fill="FFFFFF"/>
            <w:tcMar>
              <w:top w:w="0" w:type="dxa"/>
              <w:left w:w="85" w:type="dxa"/>
              <w:bottom w:w="0" w:type="dxa"/>
              <w:right w:w="85" w:type="dxa"/>
            </w:tcMar>
            <w:vAlign w:val="center"/>
          </w:tcPr>
          <w:p w14:paraId="0396BE9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800.5</w:t>
            </w:r>
          </w:p>
        </w:tc>
        <w:tc>
          <w:tcPr>
            <w:tcW w:w="0" w:type="auto"/>
            <w:shd w:val="clear" w:color="auto" w:fill="FFFFFF"/>
            <w:tcMar>
              <w:top w:w="0" w:type="dxa"/>
              <w:left w:w="85" w:type="dxa"/>
              <w:bottom w:w="0" w:type="dxa"/>
              <w:right w:w="85" w:type="dxa"/>
            </w:tcMar>
            <w:vAlign w:val="center"/>
          </w:tcPr>
          <w:p w14:paraId="4919A99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4,677.5</w:t>
            </w:r>
          </w:p>
        </w:tc>
        <w:tc>
          <w:tcPr>
            <w:tcW w:w="0" w:type="auto"/>
            <w:shd w:val="clear" w:color="auto" w:fill="FFFFFF"/>
            <w:tcMar>
              <w:top w:w="0" w:type="dxa"/>
              <w:left w:w="85" w:type="dxa"/>
              <w:bottom w:w="0" w:type="dxa"/>
              <w:right w:w="85" w:type="dxa"/>
            </w:tcMar>
            <w:vAlign w:val="center"/>
          </w:tcPr>
          <w:p w14:paraId="788B5D2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5,478.0</w:t>
            </w:r>
          </w:p>
        </w:tc>
      </w:tr>
      <w:tr w:rsidR="00EB5913" w:rsidRPr="006623B9" w14:paraId="3D74102B" w14:textId="77777777" w:rsidTr="00F2460B">
        <w:tc>
          <w:tcPr>
            <w:tcW w:w="0" w:type="auto"/>
            <w:shd w:val="clear" w:color="auto" w:fill="FFFFFF"/>
            <w:tcMar>
              <w:top w:w="0" w:type="dxa"/>
              <w:left w:w="85" w:type="dxa"/>
              <w:bottom w:w="0" w:type="dxa"/>
              <w:right w:w="85" w:type="dxa"/>
            </w:tcMar>
            <w:vAlign w:val="center"/>
          </w:tcPr>
          <w:p w14:paraId="7E70567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1958</w:t>
            </w:r>
          </w:p>
        </w:tc>
        <w:tc>
          <w:tcPr>
            <w:tcW w:w="0" w:type="auto"/>
            <w:shd w:val="clear" w:color="auto" w:fill="FFFFFF"/>
            <w:tcMar>
              <w:top w:w="0" w:type="dxa"/>
              <w:left w:w="85" w:type="dxa"/>
              <w:bottom w:w="0" w:type="dxa"/>
              <w:right w:w="85" w:type="dxa"/>
            </w:tcMar>
            <w:vAlign w:val="center"/>
          </w:tcPr>
          <w:p w14:paraId="36B2FCD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785.6</w:t>
            </w:r>
          </w:p>
        </w:tc>
        <w:tc>
          <w:tcPr>
            <w:tcW w:w="0" w:type="auto"/>
            <w:shd w:val="clear" w:color="auto" w:fill="FFFFFF"/>
            <w:tcMar>
              <w:top w:w="0" w:type="dxa"/>
              <w:left w:w="85" w:type="dxa"/>
              <w:bottom w:w="0" w:type="dxa"/>
              <w:right w:w="85" w:type="dxa"/>
            </w:tcMar>
            <w:vAlign w:val="center"/>
          </w:tcPr>
          <w:p w14:paraId="0B9A684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4,848.5</w:t>
            </w:r>
          </w:p>
        </w:tc>
        <w:tc>
          <w:tcPr>
            <w:tcW w:w="0" w:type="auto"/>
            <w:shd w:val="clear" w:color="auto" w:fill="FFFFFF"/>
            <w:tcMar>
              <w:top w:w="0" w:type="dxa"/>
              <w:left w:w="85" w:type="dxa"/>
              <w:bottom w:w="0" w:type="dxa"/>
              <w:right w:w="85" w:type="dxa"/>
            </w:tcMar>
            <w:vAlign w:val="center"/>
          </w:tcPr>
          <w:p w14:paraId="3D9FFB2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5,634.1</w:t>
            </w:r>
          </w:p>
        </w:tc>
      </w:tr>
      <w:tr w:rsidR="00EB5913" w:rsidRPr="006623B9" w14:paraId="4F852B64" w14:textId="77777777" w:rsidTr="00F2460B">
        <w:tc>
          <w:tcPr>
            <w:tcW w:w="0" w:type="auto"/>
            <w:shd w:val="clear" w:color="auto" w:fill="FFFFFF"/>
            <w:tcMar>
              <w:top w:w="0" w:type="dxa"/>
              <w:left w:w="85" w:type="dxa"/>
              <w:bottom w:w="0" w:type="dxa"/>
              <w:right w:w="85" w:type="dxa"/>
            </w:tcMar>
            <w:vAlign w:val="center"/>
          </w:tcPr>
          <w:p w14:paraId="289D102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1959</w:t>
            </w:r>
          </w:p>
        </w:tc>
        <w:tc>
          <w:tcPr>
            <w:tcW w:w="0" w:type="auto"/>
            <w:shd w:val="clear" w:color="auto" w:fill="FFFFFF"/>
            <w:tcMar>
              <w:top w:w="0" w:type="dxa"/>
              <w:left w:w="85" w:type="dxa"/>
              <w:bottom w:w="0" w:type="dxa"/>
              <w:right w:w="85" w:type="dxa"/>
            </w:tcMar>
            <w:vAlign w:val="center"/>
          </w:tcPr>
          <w:p w14:paraId="2C81431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788.7</w:t>
            </w:r>
          </w:p>
        </w:tc>
        <w:tc>
          <w:tcPr>
            <w:tcW w:w="0" w:type="auto"/>
            <w:shd w:val="clear" w:color="auto" w:fill="FFFFFF"/>
            <w:tcMar>
              <w:top w:w="0" w:type="dxa"/>
              <w:left w:w="85" w:type="dxa"/>
              <w:bottom w:w="0" w:type="dxa"/>
              <w:right w:w="85" w:type="dxa"/>
            </w:tcMar>
            <w:vAlign w:val="center"/>
          </w:tcPr>
          <w:p w14:paraId="75F6C50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5,025.7</w:t>
            </w:r>
          </w:p>
        </w:tc>
        <w:tc>
          <w:tcPr>
            <w:tcW w:w="0" w:type="auto"/>
            <w:shd w:val="clear" w:color="auto" w:fill="FFFFFF"/>
            <w:tcMar>
              <w:top w:w="0" w:type="dxa"/>
              <w:left w:w="85" w:type="dxa"/>
              <w:bottom w:w="0" w:type="dxa"/>
              <w:right w:w="85" w:type="dxa"/>
            </w:tcMar>
            <w:vAlign w:val="center"/>
          </w:tcPr>
          <w:p w14:paraId="16F1A64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5,814.4</w:t>
            </w:r>
          </w:p>
        </w:tc>
      </w:tr>
      <w:tr w:rsidR="00EB5913" w:rsidRPr="006623B9" w14:paraId="797B3427" w14:textId="77777777" w:rsidTr="00F2460B">
        <w:tc>
          <w:tcPr>
            <w:tcW w:w="0" w:type="auto"/>
            <w:shd w:val="clear" w:color="auto" w:fill="FFFFFF"/>
            <w:tcMar>
              <w:top w:w="0" w:type="dxa"/>
              <w:left w:w="85" w:type="dxa"/>
              <w:bottom w:w="0" w:type="dxa"/>
              <w:right w:w="85" w:type="dxa"/>
            </w:tcMar>
            <w:vAlign w:val="center"/>
          </w:tcPr>
          <w:p w14:paraId="42DE723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1960</w:t>
            </w:r>
          </w:p>
        </w:tc>
        <w:tc>
          <w:tcPr>
            <w:tcW w:w="0" w:type="auto"/>
            <w:shd w:val="clear" w:color="auto" w:fill="FFFFFF"/>
            <w:tcMar>
              <w:top w:w="0" w:type="dxa"/>
              <w:left w:w="85" w:type="dxa"/>
              <w:bottom w:w="0" w:type="dxa"/>
              <w:right w:w="85" w:type="dxa"/>
            </w:tcMar>
            <w:vAlign w:val="center"/>
          </w:tcPr>
          <w:p w14:paraId="6AD1A95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727.9</w:t>
            </w:r>
          </w:p>
        </w:tc>
        <w:tc>
          <w:tcPr>
            <w:tcW w:w="0" w:type="auto"/>
            <w:shd w:val="clear" w:color="auto" w:fill="FFFFFF"/>
            <w:tcMar>
              <w:top w:w="0" w:type="dxa"/>
              <w:left w:w="85" w:type="dxa"/>
              <w:bottom w:w="0" w:type="dxa"/>
              <w:right w:w="85" w:type="dxa"/>
            </w:tcMar>
            <w:vAlign w:val="center"/>
          </w:tcPr>
          <w:p w14:paraId="085A28E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5,209.3</w:t>
            </w:r>
          </w:p>
        </w:tc>
        <w:tc>
          <w:tcPr>
            <w:tcW w:w="0" w:type="auto"/>
            <w:shd w:val="clear" w:color="auto" w:fill="FFFFFF"/>
            <w:tcMar>
              <w:top w:w="0" w:type="dxa"/>
              <w:left w:w="85" w:type="dxa"/>
              <w:bottom w:w="0" w:type="dxa"/>
              <w:right w:w="85" w:type="dxa"/>
            </w:tcMar>
            <w:vAlign w:val="center"/>
          </w:tcPr>
          <w:p w14:paraId="05DFE5B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5,937.2</w:t>
            </w:r>
          </w:p>
        </w:tc>
      </w:tr>
      <w:tr w:rsidR="00EB5913" w:rsidRPr="006623B9" w14:paraId="6961BCA4" w14:textId="77777777" w:rsidTr="00F2460B">
        <w:tc>
          <w:tcPr>
            <w:tcW w:w="0" w:type="auto"/>
            <w:shd w:val="clear" w:color="auto" w:fill="FFFFFF"/>
            <w:tcMar>
              <w:top w:w="0" w:type="dxa"/>
              <w:left w:w="85" w:type="dxa"/>
              <w:bottom w:w="0" w:type="dxa"/>
              <w:right w:w="85" w:type="dxa"/>
            </w:tcMar>
            <w:vAlign w:val="center"/>
          </w:tcPr>
          <w:p w14:paraId="068CA43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1961</w:t>
            </w:r>
          </w:p>
        </w:tc>
        <w:tc>
          <w:tcPr>
            <w:tcW w:w="0" w:type="auto"/>
            <w:shd w:val="clear" w:color="auto" w:fill="FFFFFF"/>
            <w:tcMar>
              <w:top w:w="0" w:type="dxa"/>
              <w:left w:w="85" w:type="dxa"/>
              <w:bottom w:w="0" w:type="dxa"/>
              <w:right w:w="85" w:type="dxa"/>
            </w:tcMar>
            <w:vAlign w:val="center"/>
          </w:tcPr>
          <w:p w14:paraId="5C85C3E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692.3</w:t>
            </w:r>
          </w:p>
        </w:tc>
        <w:tc>
          <w:tcPr>
            <w:tcW w:w="0" w:type="auto"/>
            <w:shd w:val="clear" w:color="auto" w:fill="FFFFFF"/>
            <w:tcMar>
              <w:top w:w="0" w:type="dxa"/>
              <w:left w:w="85" w:type="dxa"/>
              <w:bottom w:w="0" w:type="dxa"/>
              <w:right w:w="85" w:type="dxa"/>
            </w:tcMar>
            <w:vAlign w:val="center"/>
          </w:tcPr>
          <w:p w14:paraId="12B9458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5,399.5</w:t>
            </w:r>
          </w:p>
        </w:tc>
        <w:tc>
          <w:tcPr>
            <w:tcW w:w="0" w:type="auto"/>
            <w:shd w:val="clear" w:color="auto" w:fill="FFFFFF"/>
            <w:tcMar>
              <w:top w:w="0" w:type="dxa"/>
              <w:left w:w="85" w:type="dxa"/>
              <w:bottom w:w="0" w:type="dxa"/>
              <w:right w:w="85" w:type="dxa"/>
            </w:tcMar>
            <w:vAlign w:val="center"/>
          </w:tcPr>
          <w:p w14:paraId="68ADAA0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6,091.9</w:t>
            </w:r>
          </w:p>
        </w:tc>
      </w:tr>
      <w:tr w:rsidR="00EB5913" w:rsidRPr="006623B9" w14:paraId="74E96BC6" w14:textId="77777777" w:rsidTr="00F2460B">
        <w:tc>
          <w:tcPr>
            <w:tcW w:w="0" w:type="auto"/>
            <w:shd w:val="clear" w:color="auto" w:fill="FFFFFF"/>
            <w:tcMar>
              <w:top w:w="0" w:type="dxa"/>
              <w:left w:w="85" w:type="dxa"/>
              <w:bottom w:w="0" w:type="dxa"/>
              <w:right w:w="85" w:type="dxa"/>
            </w:tcMar>
            <w:vAlign w:val="center"/>
          </w:tcPr>
          <w:p w14:paraId="658ECC7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1962</w:t>
            </w:r>
          </w:p>
        </w:tc>
        <w:tc>
          <w:tcPr>
            <w:tcW w:w="0" w:type="auto"/>
            <w:shd w:val="clear" w:color="auto" w:fill="FFFFFF"/>
            <w:tcMar>
              <w:top w:w="0" w:type="dxa"/>
              <w:left w:w="85" w:type="dxa"/>
              <w:bottom w:w="0" w:type="dxa"/>
              <w:right w:w="85" w:type="dxa"/>
            </w:tcMar>
            <w:vAlign w:val="center"/>
          </w:tcPr>
          <w:p w14:paraId="32462EB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688.4</w:t>
            </w:r>
          </w:p>
        </w:tc>
        <w:tc>
          <w:tcPr>
            <w:tcW w:w="0" w:type="auto"/>
            <w:shd w:val="clear" w:color="auto" w:fill="FFFFFF"/>
            <w:tcMar>
              <w:top w:w="0" w:type="dxa"/>
              <w:left w:w="85" w:type="dxa"/>
              <w:bottom w:w="0" w:type="dxa"/>
              <w:right w:w="85" w:type="dxa"/>
            </w:tcMar>
            <w:vAlign w:val="center"/>
          </w:tcPr>
          <w:p w14:paraId="497A311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5,596.6</w:t>
            </w:r>
          </w:p>
        </w:tc>
        <w:tc>
          <w:tcPr>
            <w:tcW w:w="0" w:type="auto"/>
            <w:shd w:val="clear" w:color="auto" w:fill="FFFFFF"/>
            <w:tcMar>
              <w:top w:w="0" w:type="dxa"/>
              <w:left w:w="85" w:type="dxa"/>
              <w:bottom w:w="0" w:type="dxa"/>
              <w:right w:w="85" w:type="dxa"/>
            </w:tcMar>
            <w:vAlign w:val="center"/>
          </w:tcPr>
          <w:p w14:paraId="6FBB063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6,285.0</w:t>
            </w:r>
          </w:p>
        </w:tc>
      </w:tr>
      <w:tr w:rsidR="00EB5913" w:rsidRPr="006623B9" w14:paraId="7BC16E52" w14:textId="77777777" w:rsidTr="00F2460B">
        <w:tc>
          <w:tcPr>
            <w:tcW w:w="0" w:type="auto"/>
            <w:shd w:val="clear" w:color="auto" w:fill="FFFFFF"/>
            <w:tcMar>
              <w:top w:w="0" w:type="dxa"/>
              <w:left w:w="85" w:type="dxa"/>
              <w:bottom w:w="0" w:type="dxa"/>
              <w:right w:w="85" w:type="dxa"/>
            </w:tcMar>
            <w:vAlign w:val="center"/>
          </w:tcPr>
          <w:p w14:paraId="39D8936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1963</w:t>
            </w:r>
          </w:p>
        </w:tc>
        <w:tc>
          <w:tcPr>
            <w:tcW w:w="0" w:type="auto"/>
            <w:shd w:val="clear" w:color="auto" w:fill="FFFFFF"/>
            <w:tcMar>
              <w:top w:w="0" w:type="dxa"/>
              <w:left w:w="85" w:type="dxa"/>
              <w:bottom w:w="0" w:type="dxa"/>
              <w:right w:w="85" w:type="dxa"/>
            </w:tcMar>
            <w:vAlign w:val="center"/>
          </w:tcPr>
          <w:p w14:paraId="449A9AD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684.1</w:t>
            </w:r>
          </w:p>
        </w:tc>
        <w:tc>
          <w:tcPr>
            <w:tcW w:w="0" w:type="auto"/>
            <w:shd w:val="clear" w:color="auto" w:fill="FFFFFF"/>
            <w:tcMar>
              <w:top w:w="0" w:type="dxa"/>
              <w:left w:w="85" w:type="dxa"/>
              <w:bottom w:w="0" w:type="dxa"/>
              <w:right w:w="85" w:type="dxa"/>
            </w:tcMar>
            <w:vAlign w:val="center"/>
          </w:tcPr>
          <w:p w14:paraId="7A34446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5,800.7</w:t>
            </w:r>
          </w:p>
        </w:tc>
        <w:tc>
          <w:tcPr>
            <w:tcW w:w="0" w:type="auto"/>
            <w:shd w:val="clear" w:color="auto" w:fill="FFFFFF"/>
            <w:tcMar>
              <w:top w:w="0" w:type="dxa"/>
              <w:left w:w="85" w:type="dxa"/>
              <w:bottom w:w="0" w:type="dxa"/>
              <w:right w:w="85" w:type="dxa"/>
            </w:tcMar>
            <w:vAlign w:val="center"/>
          </w:tcPr>
          <w:p w14:paraId="4231637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6,484.8</w:t>
            </w:r>
          </w:p>
        </w:tc>
      </w:tr>
      <w:tr w:rsidR="00EB5913" w:rsidRPr="006623B9" w14:paraId="353A19AF" w14:textId="77777777" w:rsidTr="00F2460B">
        <w:tc>
          <w:tcPr>
            <w:tcW w:w="0" w:type="auto"/>
            <w:shd w:val="clear" w:color="auto" w:fill="FFFFFF"/>
            <w:tcMar>
              <w:top w:w="0" w:type="dxa"/>
              <w:left w:w="85" w:type="dxa"/>
              <w:bottom w:w="0" w:type="dxa"/>
              <w:right w:w="85" w:type="dxa"/>
            </w:tcMar>
            <w:vAlign w:val="center"/>
          </w:tcPr>
          <w:p w14:paraId="46B2326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1964</w:t>
            </w:r>
          </w:p>
        </w:tc>
        <w:tc>
          <w:tcPr>
            <w:tcW w:w="0" w:type="auto"/>
            <w:shd w:val="clear" w:color="auto" w:fill="FFFFFF"/>
            <w:tcMar>
              <w:top w:w="0" w:type="dxa"/>
              <w:left w:w="85" w:type="dxa"/>
              <w:bottom w:w="0" w:type="dxa"/>
              <w:right w:w="85" w:type="dxa"/>
            </w:tcMar>
            <w:vAlign w:val="center"/>
          </w:tcPr>
          <w:p w14:paraId="3D457C8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678.4</w:t>
            </w:r>
          </w:p>
        </w:tc>
        <w:tc>
          <w:tcPr>
            <w:tcW w:w="0" w:type="auto"/>
            <w:shd w:val="clear" w:color="auto" w:fill="FFFFFF"/>
            <w:tcMar>
              <w:top w:w="0" w:type="dxa"/>
              <w:left w:w="85" w:type="dxa"/>
              <w:bottom w:w="0" w:type="dxa"/>
              <w:right w:w="85" w:type="dxa"/>
            </w:tcMar>
            <w:vAlign w:val="center"/>
          </w:tcPr>
          <w:p w14:paraId="2DC632D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6,012.2</w:t>
            </w:r>
          </w:p>
        </w:tc>
        <w:tc>
          <w:tcPr>
            <w:tcW w:w="0" w:type="auto"/>
            <w:shd w:val="clear" w:color="auto" w:fill="FFFFFF"/>
            <w:tcMar>
              <w:top w:w="0" w:type="dxa"/>
              <w:left w:w="85" w:type="dxa"/>
              <w:bottom w:w="0" w:type="dxa"/>
              <w:right w:w="85" w:type="dxa"/>
            </w:tcMar>
            <w:vAlign w:val="center"/>
          </w:tcPr>
          <w:p w14:paraId="27990AA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6,690.6</w:t>
            </w:r>
          </w:p>
        </w:tc>
      </w:tr>
      <w:tr w:rsidR="00EB5913" w:rsidRPr="006623B9" w14:paraId="2BE29D3F" w14:textId="77777777" w:rsidTr="00F2460B">
        <w:tc>
          <w:tcPr>
            <w:tcW w:w="0" w:type="auto"/>
            <w:shd w:val="clear" w:color="auto" w:fill="FFFFFF"/>
            <w:tcMar>
              <w:top w:w="0" w:type="dxa"/>
              <w:left w:w="85" w:type="dxa"/>
              <w:bottom w:w="0" w:type="dxa"/>
              <w:right w:w="85" w:type="dxa"/>
            </w:tcMar>
            <w:vAlign w:val="center"/>
          </w:tcPr>
          <w:p w14:paraId="10F81BD4"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1965</w:t>
            </w:r>
          </w:p>
        </w:tc>
        <w:tc>
          <w:tcPr>
            <w:tcW w:w="0" w:type="auto"/>
            <w:shd w:val="clear" w:color="auto" w:fill="FFFFFF"/>
            <w:tcMar>
              <w:top w:w="0" w:type="dxa"/>
              <w:left w:w="85" w:type="dxa"/>
              <w:bottom w:w="0" w:type="dxa"/>
              <w:right w:w="85" w:type="dxa"/>
            </w:tcMar>
            <w:vAlign w:val="center"/>
          </w:tcPr>
          <w:p w14:paraId="195051E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666.8</w:t>
            </w:r>
          </w:p>
        </w:tc>
        <w:tc>
          <w:tcPr>
            <w:tcW w:w="0" w:type="auto"/>
            <w:shd w:val="clear" w:color="auto" w:fill="FFFFFF"/>
            <w:tcMar>
              <w:top w:w="0" w:type="dxa"/>
              <w:left w:w="85" w:type="dxa"/>
              <w:bottom w:w="0" w:type="dxa"/>
              <w:right w:w="85" w:type="dxa"/>
            </w:tcMar>
            <w:vAlign w:val="center"/>
          </w:tcPr>
          <w:p w14:paraId="39630C7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6,231.2</w:t>
            </w:r>
          </w:p>
        </w:tc>
        <w:tc>
          <w:tcPr>
            <w:tcW w:w="0" w:type="auto"/>
            <w:shd w:val="clear" w:color="auto" w:fill="FFFFFF"/>
            <w:tcMar>
              <w:top w:w="0" w:type="dxa"/>
              <w:left w:w="85" w:type="dxa"/>
              <w:bottom w:w="0" w:type="dxa"/>
              <w:right w:w="85" w:type="dxa"/>
            </w:tcMar>
            <w:vAlign w:val="center"/>
          </w:tcPr>
          <w:p w14:paraId="27E2339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6,898.0</w:t>
            </w:r>
          </w:p>
        </w:tc>
      </w:tr>
      <w:tr w:rsidR="00EB5913" w:rsidRPr="006623B9" w14:paraId="6D18D090" w14:textId="77777777" w:rsidTr="00F2460B">
        <w:tc>
          <w:tcPr>
            <w:tcW w:w="0" w:type="auto"/>
            <w:shd w:val="clear" w:color="auto" w:fill="FFFFFF"/>
            <w:tcMar>
              <w:top w:w="0" w:type="dxa"/>
              <w:left w:w="85" w:type="dxa"/>
              <w:bottom w:w="0" w:type="dxa"/>
              <w:right w:w="85" w:type="dxa"/>
            </w:tcMar>
            <w:vAlign w:val="center"/>
          </w:tcPr>
          <w:p w14:paraId="2FB74EDB"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1966</w:t>
            </w:r>
          </w:p>
        </w:tc>
        <w:tc>
          <w:tcPr>
            <w:tcW w:w="0" w:type="auto"/>
            <w:shd w:val="clear" w:color="auto" w:fill="FFFFFF"/>
            <w:tcMar>
              <w:top w:w="0" w:type="dxa"/>
              <w:left w:w="85" w:type="dxa"/>
              <w:bottom w:w="0" w:type="dxa"/>
              <w:right w:w="85" w:type="dxa"/>
            </w:tcMar>
            <w:vAlign w:val="center"/>
          </w:tcPr>
          <w:p w14:paraId="265900A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661.4</w:t>
            </w:r>
          </w:p>
        </w:tc>
        <w:tc>
          <w:tcPr>
            <w:tcW w:w="0" w:type="auto"/>
            <w:shd w:val="clear" w:color="auto" w:fill="FFFFFF"/>
            <w:tcMar>
              <w:top w:w="0" w:type="dxa"/>
              <w:left w:w="85" w:type="dxa"/>
              <w:bottom w:w="0" w:type="dxa"/>
              <w:right w:w="85" w:type="dxa"/>
            </w:tcMar>
            <w:vAlign w:val="center"/>
          </w:tcPr>
          <w:p w14:paraId="3F7AB90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6,458.1</w:t>
            </w:r>
          </w:p>
        </w:tc>
        <w:tc>
          <w:tcPr>
            <w:tcW w:w="0" w:type="auto"/>
            <w:shd w:val="clear" w:color="auto" w:fill="FFFFFF"/>
            <w:tcMar>
              <w:top w:w="0" w:type="dxa"/>
              <w:left w:w="85" w:type="dxa"/>
              <w:bottom w:w="0" w:type="dxa"/>
              <w:right w:w="85" w:type="dxa"/>
            </w:tcMar>
            <w:vAlign w:val="center"/>
          </w:tcPr>
          <w:p w14:paraId="6218D10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7,119.5</w:t>
            </w:r>
          </w:p>
        </w:tc>
      </w:tr>
      <w:tr w:rsidR="00EB5913" w:rsidRPr="006623B9" w14:paraId="799A75AF" w14:textId="77777777" w:rsidTr="00F2460B">
        <w:tc>
          <w:tcPr>
            <w:tcW w:w="0" w:type="auto"/>
            <w:shd w:val="clear" w:color="auto" w:fill="FFFFFF"/>
            <w:tcMar>
              <w:top w:w="0" w:type="dxa"/>
              <w:left w:w="85" w:type="dxa"/>
              <w:bottom w:w="0" w:type="dxa"/>
              <w:right w:w="85" w:type="dxa"/>
            </w:tcMar>
            <w:vAlign w:val="center"/>
          </w:tcPr>
          <w:p w14:paraId="6C06134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1967</w:t>
            </w:r>
          </w:p>
        </w:tc>
        <w:tc>
          <w:tcPr>
            <w:tcW w:w="0" w:type="auto"/>
            <w:shd w:val="clear" w:color="auto" w:fill="FFFFFF"/>
            <w:tcMar>
              <w:top w:w="0" w:type="dxa"/>
              <w:left w:w="85" w:type="dxa"/>
              <w:bottom w:w="0" w:type="dxa"/>
              <w:right w:w="85" w:type="dxa"/>
            </w:tcMar>
            <w:vAlign w:val="center"/>
          </w:tcPr>
          <w:p w14:paraId="401E8B7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645.1</w:t>
            </w:r>
          </w:p>
        </w:tc>
        <w:tc>
          <w:tcPr>
            <w:tcW w:w="0" w:type="auto"/>
            <w:shd w:val="clear" w:color="auto" w:fill="FFFFFF"/>
            <w:tcMar>
              <w:top w:w="0" w:type="dxa"/>
              <w:left w:w="85" w:type="dxa"/>
              <w:bottom w:w="0" w:type="dxa"/>
              <w:right w:w="85" w:type="dxa"/>
            </w:tcMar>
            <w:vAlign w:val="center"/>
          </w:tcPr>
          <w:p w14:paraId="6ED8699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6,693.2</w:t>
            </w:r>
          </w:p>
        </w:tc>
        <w:tc>
          <w:tcPr>
            <w:tcW w:w="0" w:type="auto"/>
            <w:shd w:val="clear" w:color="auto" w:fill="FFFFFF"/>
            <w:tcMar>
              <w:top w:w="0" w:type="dxa"/>
              <w:left w:w="85" w:type="dxa"/>
              <w:bottom w:w="0" w:type="dxa"/>
              <w:right w:w="85" w:type="dxa"/>
            </w:tcMar>
            <w:vAlign w:val="center"/>
          </w:tcPr>
          <w:p w14:paraId="7F584D4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7,338.3</w:t>
            </w:r>
          </w:p>
        </w:tc>
      </w:tr>
      <w:tr w:rsidR="00EB5913" w:rsidRPr="006623B9" w14:paraId="21588E14" w14:textId="77777777" w:rsidTr="00F2460B">
        <w:tc>
          <w:tcPr>
            <w:tcW w:w="0" w:type="auto"/>
            <w:shd w:val="clear" w:color="auto" w:fill="FFFFFF"/>
            <w:tcMar>
              <w:top w:w="0" w:type="dxa"/>
              <w:left w:w="85" w:type="dxa"/>
              <w:bottom w:w="0" w:type="dxa"/>
              <w:right w:w="85" w:type="dxa"/>
            </w:tcMar>
            <w:vAlign w:val="center"/>
          </w:tcPr>
          <w:p w14:paraId="35A1BE6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1968</w:t>
            </w:r>
          </w:p>
        </w:tc>
        <w:tc>
          <w:tcPr>
            <w:tcW w:w="0" w:type="auto"/>
            <w:shd w:val="clear" w:color="auto" w:fill="FFFFFF"/>
            <w:tcMar>
              <w:top w:w="0" w:type="dxa"/>
              <w:left w:w="85" w:type="dxa"/>
              <w:bottom w:w="0" w:type="dxa"/>
              <w:right w:w="85" w:type="dxa"/>
            </w:tcMar>
            <w:vAlign w:val="center"/>
          </w:tcPr>
          <w:p w14:paraId="19112FD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632.7</w:t>
            </w:r>
          </w:p>
        </w:tc>
        <w:tc>
          <w:tcPr>
            <w:tcW w:w="0" w:type="auto"/>
            <w:shd w:val="clear" w:color="auto" w:fill="FFFFFF"/>
            <w:tcMar>
              <w:top w:w="0" w:type="dxa"/>
              <w:left w:w="85" w:type="dxa"/>
              <w:bottom w:w="0" w:type="dxa"/>
              <w:right w:w="85" w:type="dxa"/>
            </w:tcMar>
            <w:vAlign w:val="center"/>
          </w:tcPr>
          <w:p w14:paraId="4364D8B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6,936.6</w:t>
            </w:r>
          </w:p>
        </w:tc>
        <w:tc>
          <w:tcPr>
            <w:tcW w:w="0" w:type="auto"/>
            <w:shd w:val="clear" w:color="auto" w:fill="FFFFFF"/>
            <w:tcMar>
              <w:top w:w="0" w:type="dxa"/>
              <w:left w:w="85" w:type="dxa"/>
              <w:bottom w:w="0" w:type="dxa"/>
              <w:right w:w="85" w:type="dxa"/>
            </w:tcMar>
            <w:vAlign w:val="center"/>
          </w:tcPr>
          <w:p w14:paraId="0EDBCD1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7,569.4</w:t>
            </w:r>
          </w:p>
        </w:tc>
      </w:tr>
      <w:tr w:rsidR="00EB5913" w:rsidRPr="006623B9" w14:paraId="215CEC77" w14:textId="77777777" w:rsidTr="00F2460B">
        <w:tc>
          <w:tcPr>
            <w:tcW w:w="0" w:type="auto"/>
            <w:shd w:val="clear" w:color="auto" w:fill="FFFFFF"/>
            <w:tcMar>
              <w:top w:w="0" w:type="dxa"/>
              <w:left w:w="85" w:type="dxa"/>
              <w:bottom w:w="0" w:type="dxa"/>
              <w:right w:w="85" w:type="dxa"/>
            </w:tcMar>
            <w:vAlign w:val="center"/>
          </w:tcPr>
          <w:p w14:paraId="5D4F661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1969</w:t>
            </w:r>
          </w:p>
        </w:tc>
        <w:tc>
          <w:tcPr>
            <w:tcW w:w="0" w:type="auto"/>
            <w:shd w:val="clear" w:color="auto" w:fill="FFFFFF"/>
            <w:tcMar>
              <w:top w:w="0" w:type="dxa"/>
              <w:left w:w="85" w:type="dxa"/>
              <w:bottom w:w="0" w:type="dxa"/>
              <w:right w:w="85" w:type="dxa"/>
            </w:tcMar>
            <w:vAlign w:val="center"/>
          </w:tcPr>
          <w:p w14:paraId="4A0D400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628.1</w:t>
            </w:r>
          </w:p>
        </w:tc>
        <w:tc>
          <w:tcPr>
            <w:tcW w:w="0" w:type="auto"/>
            <w:shd w:val="clear" w:color="auto" w:fill="FFFFFF"/>
            <w:tcMar>
              <w:top w:w="0" w:type="dxa"/>
              <w:left w:w="85" w:type="dxa"/>
              <w:bottom w:w="0" w:type="dxa"/>
              <w:right w:w="85" w:type="dxa"/>
            </w:tcMar>
            <w:vAlign w:val="center"/>
          </w:tcPr>
          <w:p w14:paraId="795D153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7,188.9</w:t>
            </w:r>
          </w:p>
        </w:tc>
        <w:tc>
          <w:tcPr>
            <w:tcW w:w="0" w:type="auto"/>
            <w:shd w:val="clear" w:color="auto" w:fill="FFFFFF"/>
            <w:tcMar>
              <w:top w:w="0" w:type="dxa"/>
              <w:left w:w="85" w:type="dxa"/>
              <w:bottom w:w="0" w:type="dxa"/>
              <w:right w:w="85" w:type="dxa"/>
            </w:tcMar>
            <w:vAlign w:val="center"/>
          </w:tcPr>
          <w:p w14:paraId="0302E6C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7,817.0</w:t>
            </w:r>
          </w:p>
        </w:tc>
      </w:tr>
      <w:tr w:rsidR="00EB5913" w:rsidRPr="006623B9" w14:paraId="2AC4F210" w14:textId="77777777" w:rsidTr="00F2460B">
        <w:tc>
          <w:tcPr>
            <w:tcW w:w="0" w:type="auto"/>
            <w:shd w:val="clear" w:color="auto" w:fill="FFFFFF"/>
            <w:tcMar>
              <w:top w:w="0" w:type="dxa"/>
              <w:left w:w="85" w:type="dxa"/>
              <w:bottom w:w="0" w:type="dxa"/>
              <w:right w:w="85" w:type="dxa"/>
            </w:tcMar>
            <w:vAlign w:val="center"/>
          </w:tcPr>
          <w:p w14:paraId="04E8483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1970</w:t>
            </w:r>
          </w:p>
        </w:tc>
        <w:tc>
          <w:tcPr>
            <w:tcW w:w="0" w:type="auto"/>
            <w:shd w:val="clear" w:color="auto" w:fill="FFFFFF"/>
            <w:tcMar>
              <w:top w:w="0" w:type="dxa"/>
              <w:left w:w="85" w:type="dxa"/>
              <w:bottom w:w="0" w:type="dxa"/>
              <w:right w:w="85" w:type="dxa"/>
            </w:tcMar>
            <w:vAlign w:val="center"/>
          </w:tcPr>
          <w:p w14:paraId="5E27D65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618.2</w:t>
            </w:r>
          </w:p>
        </w:tc>
        <w:tc>
          <w:tcPr>
            <w:tcW w:w="0" w:type="auto"/>
            <w:shd w:val="clear" w:color="auto" w:fill="FFFFFF"/>
            <w:tcMar>
              <w:top w:w="0" w:type="dxa"/>
              <w:left w:w="85" w:type="dxa"/>
              <w:bottom w:w="0" w:type="dxa"/>
              <w:right w:w="85" w:type="dxa"/>
            </w:tcMar>
            <w:vAlign w:val="center"/>
          </w:tcPr>
          <w:p w14:paraId="3957092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7,450.1</w:t>
            </w:r>
          </w:p>
        </w:tc>
        <w:tc>
          <w:tcPr>
            <w:tcW w:w="0" w:type="auto"/>
            <w:shd w:val="clear" w:color="auto" w:fill="FFFFFF"/>
            <w:tcMar>
              <w:top w:w="0" w:type="dxa"/>
              <w:left w:w="85" w:type="dxa"/>
              <w:bottom w:w="0" w:type="dxa"/>
              <w:right w:w="85" w:type="dxa"/>
            </w:tcMar>
            <w:vAlign w:val="center"/>
          </w:tcPr>
          <w:p w14:paraId="5B06B11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8,068.3</w:t>
            </w:r>
          </w:p>
        </w:tc>
      </w:tr>
      <w:tr w:rsidR="00EB5913" w:rsidRPr="006623B9" w14:paraId="119C7756" w14:textId="77777777" w:rsidTr="00F2460B">
        <w:tc>
          <w:tcPr>
            <w:tcW w:w="0" w:type="auto"/>
            <w:shd w:val="clear" w:color="auto" w:fill="FFFFFF"/>
            <w:tcMar>
              <w:top w:w="0" w:type="dxa"/>
              <w:left w:w="85" w:type="dxa"/>
              <w:bottom w:w="0" w:type="dxa"/>
              <w:right w:w="85" w:type="dxa"/>
            </w:tcMar>
            <w:vAlign w:val="center"/>
          </w:tcPr>
          <w:p w14:paraId="60870B74"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1971</w:t>
            </w:r>
          </w:p>
        </w:tc>
        <w:tc>
          <w:tcPr>
            <w:tcW w:w="0" w:type="auto"/>
            <w:shd w:val="clear" w:color="auto" w:fill="FFFFFF"/>
            <w:tcMar>
              <w:top w:w="0" w:type="dxa"/>
              <w:left w:w="85" w:type="dxa"/>
              <w:bottom w:w="0" w:type="dxa"/>
              <w:right w:w="85" w:type="dxa"/>
            </w:tcMar>
            <w:vAlign w:val="center"/>
          </w:tcPr>
          <w:p w14:paraId="37CF517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613.9</w:t>
            </w:r>
          </w:p>
        </w:tc>
        <w:tc>
          <w:tcPr>
            <w:tcW w:w="0" w:type="auto"/>
            <w:shd w:val="clear" w:color="auto" w:fill="FFFFFF"/>
            <w:tcMar>
              <w:top w:w="0" w:type="dxa"/>
              <w:left w:w="85" w:type="dxa"/>
              <w:bottom w:w="0" w:type="dxa"/>
              <w:right w:w="85" w:type="dxa"/>
            </w:tcMar>
            <w:vAlign w:val="center"/>
          </w:tcPr>
          <w:p w14:paraId="2774DA0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7,720.7</w:t>
            </w:r>
          </w:p>
        </w:tc>
        <w:tc>
          <w:tcPr>
            <w:tcW w:w="0" w:type="auto"/>
            <w:shd w:val="clear" w:color="auto" w:fill="FFFFFF"/>
            <w:tcMar>
              <w:top w:w="0" w:type="dxa"/>
              <w:left w:w="85" w:type="dxa"/>
              <w:bottom w:w="0" w:type="dxa"/>
              <w:right w:w="85" w:type="dxa"/>
            </w:tcMar>
            <w:vAlign w:val="center"/>
          </w:tcPr>
          <w:p w14:paraId="48DE422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8,334.6</w:t>
            </w:r>
          </w:p>
        </w:tc>
      </w:tr>
      <w:tr w:rsidR="00EB5913" w:rsidRPr="006623B9" w14:paraId="5442EFA1" w14:textId="77777777" w:rsidTr="00F2460B">
        <w:tc>
          <w:tcPr>
            <w:tcW w:w="0" w:type="auto"/>
            <w:shd w:val="clear" w:color="auto" w:fill="FFFFFF"/>
            <w:tcMar>
              <w:top w:w="0" w:type="dxa"/>
              <w:left w:w="85" w:type="dxa"/>
              <w:bottom w:w="0" w:type="dxa"/>
              <w:right w:w="85" w:type="dxa"/>
            </w:tcMar>
            <w:vAlign w:val="center"/>
          </w:tcPr>
          <w:p w14:paraId="3A9AD551"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1972</w:t>
            </w:r>
          </w:p>
        </w:tc>
        <w:tc>
          <w:tcPr>
            <w:tcW w:w="0" w:type="auto"/>
            <w:shd w:val="clear" w:color="auto" w:fill="FFFFFF"/>
            <w:tcMar>
              <w:top w:w="0" w:type="dxa"/>
              <w:left w:w="85" w:type="dxa"/>
              <w:bottom w:w="0" w:type="dxa"/>
              <w:right w:w="85" w:type="dxa"/>
            </w:tcMar>
            <w:vAlign w:val="center"/>
          </w:tcPr>
          <w:p w14:paraId="60F64B4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594.1</w:t>
            </w:r>
          </w:p>
        </w:tc>
        <w:tc>
          <w:tcPr>
            <w:tcW w:w="0" w:type="auto"/>
            <w:shd w:val="clear" w:color="auto" w:fill="FFFFFF"/>
            <w:tcMar>
              <w:top w:w="0" w:type="dxa"/>
              <w:left w:w="85" w:type="dxa"/>
              <w:bottom w:w="0" w:type="dxa"/>
              <w:right w:w="85" w:type="dxa"/>
            </w:tcMar>
            <w:vAlign w:val="center"/>
          </w:tcPr>
          <w:p w14:paraId="63B3E91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8,001.0</w:t>
            </w:r>
          </w:p>
        </w:tc>
        <w:tc>
          <w:tcPr>
            <w:tcW w:w="0" w:type="auto"/>
            <w:shd w:val="clear" w:color="auto" w:fill="FFFFFF"/>
            <w:tcMar>
              <w:top w:w="0" w:type="dxa"/>
              <w:left w:w="85" w:type="dxa"/>
              <w:bottom w:w="0" w:type="dxa"/>
              <w:right w:w="85" w:type="dxa"/>
            </w:tcMar>
            <w:vAlign w:val="center"/>
          </w:tcPr>
          <w:p w14:paraId="08021DE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8,595.1</w:t>
            </w:r>
          </w:p>
        </w:tc>
      </w:tr>
      <w:tr w:rsidR="00EB5913" w:rsidRPr="006623B9" w14:paraId="365A5257" w14:textId="77777777" w:rsidTr="00F2460B">
        <w:tc>
          <w:tcPr>
            <w:tcW w:w="0" w:type="auto"/>
            <w:shd w:val="clear" w:color="auto" w:fill="FFFFFF"/>
            <w:tcMar>
              <w:top w:w="0" w:type="dxa"/>
              <w:left w:w="85" w:type="dxa"/>
              <w:bottom w:w="0" w:type="dxa"/>
              <w:right w:w="85" w:type="dxa"/>
            </w:tcMar>
            <w:vAlign w:val="center"/>
          </w:tcPr>
          <w:p w14:paraId="26EFC7D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1973</w:t>
            </w:r>
          </w:p>
        </w:tc>
        <w:tc>
          <w:tcPr>
            <w:tcW w:w="0" w:type="auto"/>
            <w:shd w:val="clear" w:color="auto" w:fill="FFFFFF"/>
            <w:tcMar>
              <w:top w:w="0" w:type="dxa"/>
              <w:left w:w="85" w:type="dxa"/>
              <w:bottom w:w="0" w:type="dxa"/>
              <w:right w:w="85" w:type="dxa"/>
            </w:tcMar>
            <w:vAlign w:val="center"/>
          </w:tcPr>
          <w:p w14:paraId="57D30AA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598.0</w:t>
            </w:r>
          </w:p>
        </w:tc>
        <w:tc>
          <w:tcPr>
            <w:tcW w:w="0" w:type="auto"/>
            <w:shd w:val="clear" w:color="auto" w:fill="FFFFFF"/>
            <w:tcMar>
              <w:top w:w="0" w:type="dxa"/>
              <w:left w:w="85" w:type="dxa"/>
              <w:bottom w:w="0" w:type="dxa"/>
              <w:right w:w="85" w:type="dxa"/>
            </w:tcMar>
            <w:vAlign w:val="center"/>
          </w:tcPr>
          <w:p w14:paraId="564B95C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8,291.3</w:t>
            </w:r>
          </w:p>
        </w:tc>
        <w:tc>
          <w:tcPr>
            <w:tcW w:w="0" w:type="auto"/>
            <w:shd w:val="clear" w:color="auto" w:fill="FFFFFF"/>
            <w:tcMar>
              <w:top w:w="0" w:type="dxa"/>
              <w:left w:w="85" w:type="dxa"/>
              <w:bottom w:w="0" w:type="dxa"/>
              <w:right w:w="85" w:type="dxa"/>
            </w:tcMar>
            <w:vAlign w:val="center"/>
          </w:tcPr>
          <w:p w14:paraId="2CBEFF7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8,889.3</w:t>
            </w:r>
          </w:p>
        </w:tc>
      </w:tr>
      <w:tr w:rsidR="00EB5913" w:rsidRPr="006623B9" w14:paraId="5F0E27FC" w14:textId="77777777" w:rsidTr="00F2460B">
        <w:tc>
          <w:tcPr>
            <w:tcW w:w="0" w:type="auto"/>
            <w:shd w:val="clear" w:color="auto" w:fill="FFFFFF"/>
            <w:tcMar>
              <w:top w:w="0" w:type="dxa"/>
              <w:left w:w="85" w:type="dxa"/>
              <w:bottom w:w="0" w:type="dxa"/>
              <w:right w:w="85" w:type="dxa"/>
            </w:tcMar>
            <w:vAlign w:val="center"/>
          </w:tcPr>
          <w:p w14:paraId="4215A79A"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1974</w:t>
            </w:r>
          </w:p>
        </w:tc>
        <w:tc>
          <w:tcPr>
            <w:tcW w:w="0" w:type="auto"/>
            <w:shd w:val="clear" w:color="auto" w:fill="FFFFFF"/>
            <w:tcMar>
              <w:top w:w="0" w:type="dxa"/>
              <w:left w:w="85" w:type="dxa"/>
              <w:bottom w:w="0" w:type="dxa"/>
              <w:right w:w="85" w:type="dxa"/>
            </w:tcMar>
            <w:vAlign w:val="center"/>
          </w:tcPr>
          <w:p w14:paraId="53CB8A2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600.4</w:t>
            </w:r>
          </w:p>
        </w:tc>
        <w:tc>
          <w:tcPr>
            <w:tcW w:w="0" w:type="auto"/>
            <w:shd w:val="clear" w:color="auto" w:fill="FFFFFF"/>
            <w:tcMar>
              <w:top w:w="0" w:type="dxa"/>
              <w:left w:w="85" w:type="dxa"/>
              <w:bottom w:w="0" w:type="dxa"/>
              <w:right w:w="85" w:type="dxa"/>
            </w:tcMar>
            <w:vAlign w:val="center"/>
          </w:tcPr>
          <w:p w14:paraId="4280A1E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8,592.0</w:t>
            </w:r>
          </w:p>
        </w:tc>
        <w:tc>
          <w:tcPr>
            <w:tcW w:w="0" w:type="auto"/>
            <w:shd w:val="clear" w:color="auto" w:fill="FFFFFF"/>
            <w:tcMar>
              <w:top w:w="0" w:type="dxa"/>
              <w:left w:w="85" w:type="dxa"/>
              <w:bottom w:w="0" w:type="dxa"/>
              <w:right w:w="85" w:type="dxa"/>
            </w:tcMar>
            <w:vAlign w:val="center"/>
          </w:tcPr>
          <w:p w14:paraId="5BD03F0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9,192.4</w:t>
            </w:r>
          </w:p>
        </w:tc>
      </w:tr>
      <w:tr w:rsidR="00EB5913" w:rsidRPr="006623B9" w14:paraId="501D6842" w14:textId="77777777" w:rsidTr="00F2460B">
        <w:tc>
          <w:tcPr>
            <w:tcW w:w="0" w:type="auto"/>
            <w:shd w:val="clear" w:color="auto" w:fill="FFFFFF"/>
            <w:tcMar>
              <w:top w:w="0" w:type="dxa"/>
              <w:left w:w="85" w:type="dxa"/>
              <w:bottom w:w="0" w:type="dxa"/>
              <w:right w:w="85" w:type="dxa"/>
            </w:tcMar>
            <w:vAlign w:val="center"/>
          </w:tcPr>
          <w:p w14:paraId="3D20DCD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1975</w:t>
            </w:r>
          </w:p>
        </w:tc>
        <w:tc>
          <w:tcPr>
            <w:tcW w:w="0" w:type="auto"/>
            <w:shd w:val="clear" w:color="auto" w:fill="FFFFFF"/>
            <w:tcMar>
              <w:top w:w="0" w:type="dxa"/>
              <w:left w:w="85" w:type="dxa"/>
              <w:bottom w:w="0" w:type="dxa"/>
              <w:right w:w="85" w:type="dxa"/>
            </w:tcMar>
            <w:vAlign w:val="center"/>
          </w:tcPr>
          <w:p w14:paraId="30C50C5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634.6</w:t>
            </w:r>
          </w:p>
        </w:tc>
        <w:tc>
          <w:tcPr>
            <w:tcW w:w="0" w:type="auto"/>
            <w:shd w:val="clear" w:color="auto" w:fill="FFFFFF"/>
            <w:tcMar>
              <w:top w:w="0" w:type="dxa"/>
              <w:left w:w="85" w:type="dxa"/>
              <w:bottom w:w="0" w:type="dxa"/>
              <w:right w:w="85" w:type="dxa"/>
            </w:tcMar>
            <w:vAlign w:val="center"/>
          </w:tcPr>
          <w:p w14:paraId="1276E5C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8,903.4</w:t>
            </w:r>
          </w:p>
        </w:tc>
        <w:tc>
          <w:tcPr>
            <w:tcW w:w="0" w:type="auto"/>
            <w:shd w:val="clear" w:color="auto" w:fill="FFFFFF"/>
            <w:tcMar>
              <w:top w:w="0" w:type="dxa"/>
              <w:left w:w="85" w:type="dxa"/>
              <w:bottom w:w="0" w:type="dxa"/>
              <w:right w:w="85" w:type="dxa"/>
            </w:tcMar>
            <w:vAlign w:val="center"/>
          </w:tcPr>
          <w:p w14:paraId="765904E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9,538.0</w:t>
            </w:r>
          </w:p>
        </w:tc>
      </w:tr>
      <w:tr w:rsidR="00EB5913" w:rsidRPr="006623B9" w14:paraId="2D0102CE" w14:textId="77777777" w:rsidTr="00F2460B">
        <w:tc>
          <w:tcPr>
            <w:tcW w:w="0" w:type="auto"/>
            <w:shd w:val="clear" w:color="auto" w:fill="FFFFFF"/>
            <w:tcMar>
              <w:top w:w="0" w:type="dxa"/>
              <w:left w:w="85" w:type="dxa"/>
              <w:bottom w:w="0" w:type="dxa"/>
              <w:right w:w="85" w:type="dxa"/>
            </w:tcMar>
            <w:vAlign w:val="center"/>
          </w:tcPr>
          <w:p w14:paraId="1335861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1976</w:t>
            </w:r>
          </w:p>
        </w:tc>
        <w:tc>
          <w:tcPr>
            <w:tcW w:w="0" w:type="auto"/>
            <w:shd w:val="clear" w:color="auto" w:fill="FFFFFF"/>
            <w:tcMar>
              <w:top w:w="0" w:type="dxa"/>
              <w:left w:w="85" w:type="dxa"/>
              <w:bottom w:w="0" w:type="dxa"/>
              <w:right w:w="85" w:type="dxa"/>
            </w:tcMar>
            <w:vAlign w:val="center"/>
          </w:tcPr>
          <w:p w14:paraId="0766F41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641.3</w:t>
            </w:r>
          </w:p>
        </w:tc>
        <w:tc>
          <w:tcPr>
            <w:tcW w:w="0" w:type="auto"/>
            <w:shd w:val="clear" w:color="auto" w:fill="FFFFFF"/>
            <w:tcMar>
              <w:top w:w="0" w:type="dxa"/>
              <w:left w:w="85" w:type="dxa"/>
              <w:bottom w:w="0" w:type="dxa"/>
              <w:right w:w="85" w:type="dxa"/>
            </w:tcMar>
            <w:vAlign w:val="center"/>
          </w:tcPr>
          <w:p w14:paraId="13AE928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9,226.0</w:t>
            </w:r>
          </w:p>
        </w:tc>
        <w:tc>
          <w:tcPr>
            <w:tcW w:w="0" w:type="auto"/>
            <w:shd w:val="clear" w:color="auto" w:fill="FFFFFF"/>
            <w:tcMar>
              <w:top w:w="0" w:type="dxa"/>
              <w:left w:w="85" w:type="dxa"/>
              <w:bottom w:w="0" w:type="dxa"/>
              <w:right w:w="85" w:type="dxa"/>
            </w:tcMar>
            <w:vAlign w:val="center"/>
          </w:tcPr>
          <w:p w14:paraId="2B38617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9,867.3</w:t>
            </w:r>
          </w:p>
        </w:tc>
      </w:tr>
      <w:tr w:rsidR="00EB5913" w:rsidRPr="006623B9" w14:paraId="0BDEF5B5" w14:textId="77777777" w:rsidTr="00F2460B">
        <w:tc>
          <w:tcPr>
            <w:tcW w:w="0" w:type="auto"/>
            <w:shd w:val="clear" w:color="auto" w:fill="FFFFFF"/>
            <w:tcMar>
              <w:top w:w="0" w:type="dxa"/>
              <w:left w:w="85" w:type="dxa"/>
              <w:bottom w:w="0" w:type="dxa"/>
              <w:right w:w="85" w:type="dxa"/>
            </w:tcMar>
            <w:vAlign w:val="center"/>
          </w:tcPr>
          <w:p w14:paraId="1AD55F1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1977</w:t>
            </w:r>
          </w:p>
        </w:tc>
        <w:tc>
          <w:tcPr>
            <w:tcW w:w="0" w:type="auto"/>
            <w:shd w:val="clear" w:color="auto" w:fill="FFFFFF"/>
            <w:tcMar>
              <w:top w:w="0" w:type="dxa"/>
              <w:left w:w="85" w:type="dxa"/>
              <w:bottom w:w="0" w:type="dxa"/>
              <w:right w:w="85" w:type="dxa"/>
            </w:tcMar>
            <w:vAlign w:val="center"/>
          </w:tcPr>
          <w:p w14:paraId="06AEEA4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648.8</w:t>
            </w:r>
          </w:p>
        </w:tc>
        <w:tc>
          <w:tcPr>
            <w:tcW w:w="0" w:type="auto"/>
            <w:shd w:val="clear" w:color="auto" w:fill="FFFFFF"/>
            <w:tcMar>
              <w:top w:w="0" w:type="dxa"/>
              <w:left w:w="85" w:type="dxa"/>
              <w:bottom w:w="0" w:type="dxa"/>
              <w:right w:w="85" w:type="dxa"/>
            </w:tcMar>
            <w:vAlign w:val="center"/>
          </w:tcPr>
          <w:p w14:paraId="7F5E5A3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9,560.0</w:t>
            </w:r>
          </w:p>
        </w:tc>
        <w:tc>
          <w:tcPr>
            <w:tcW w:w="0" w:type="auto"/>
            <w:shd w:val="clear" w:color="auto" w:fill="FFFFFF"/>
            <w:tcMar>
              <w:top w:w="0" w:type="dxa"/>
              <w:left w:w="85" w:type="dxa"/>
              <w:bottom w:w="0" w:type="dxa"/>
              <w:right w:w="85" w:type="dxa"/>
            </w:tcMar>
            <w:vAlign w:val="center"/>
          </w:tcPr>
          <w:p w14:paraId="61B8DC0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10,208.9</w:t>
            </w:r>
          </w:p>
        </w:tc>
      </w:tr>
      <w:tr w:rsidR="00EB5913" w:rsidRPr="006623B9" w14:paraId="31EBD60D" w14:textId="77777777" w:rsidTr="00F2460B">
        <w:tc>
          <w:tcPr>
            <w:tcW w:w="0" w:type="auto"/>
            <w:shd w:val="clear" w:color="auto" w:fill="FFFFFF"/>
            <w:tcMar>
              <w:top w:w="0" w:type="dxa"/>
              <w:left w:w="85" w:type="dxa"/>
              <w:bottom w:w="0" w:type="dxa"/>
              <w:right w:w="85" w:type="dxa"/>
            </w:tcMar>
            <w:vAlign w:val="center"/>
          </w:tcPr>
          <w:p w14:paraId="0384D475"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1978</w:t>
            </w:r>
          </w:p>
        </w:tc>
        <w:tc>
          <w:tcPr>
            <w:tcW w:w="0" w:type="auto"/>
            <w:shd w:val="clear" w:color="auto" w:fill="FFFFFF"/>
            <w:tcMar>
              <w:top w:w="0" w:type="dxa"/>
              <w:left w:w="85" w:type="dxa"/>
              <w:bottom w:w="0" w:type="dxa"/>
              <w:right w:w="85" w:type="dxa"/>
            </w:tcMar>
            <w:vAlign w:val="center"/>
          </w:tcPr>
          <w:p w14:paraId="19D74CB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656.7</w:t>
            </w:r>
          </w:p>
        </w:tc>
        <w:tc>
          <w:tcPr>
            <w:tcW w:w="0" w:type="auto"/>
            <w:shd w:val="clear" w:color="auto" w:fill="FFFFFF"/>
            <w:tcMar>
              <w:top w:w="0" w:type="dxa"/>
              <w:left w:w="85" w:type="dxa"/>
              <w:bottom w:w="0" w:type="dxa"/>
              <w:right w:w="85" w:type="dxa"/>
            </w:tcMar>
            <w:vAlign w:val="center"/>
          </w:tcPr>
          <w:p w14:paraId="73A6FBD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9,906.0</w:t>
            </w:r>
          </w:p>
        </w:tc>
        <w:tc>
          <w:tcPr>
            <w:tcW w:w="0" w:type="auto"/>
            <w:shd w:val="clear" w:color="auto" w:fill="FFFFFF"/>
            <w:tcMar>
              <w:top w:w="0" w:type="dxa"/>
              <w:left w:w="85" w:type="dxa"/>
              <w:bottom w:w="0" w:type="dxa"/>
              <w:right w:w="85" w:type="dxa"/>
            </w:tcMar>
            <w:vAlign w:val="center"/>
          </w:tcPr>
          <w:p w14:paraId="6819695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10,562.7</w:t>
            </w:r>
          </w:p>
        </w:tc>
      </w:tr>
      <w:tr w:rsidR="00EB5913" w:rsidRPr="006623B9" w14:paraId="65BFA5D1" w14:textId="77777777" w:rsidTr="00F2460B">
        <w:tc>
          <w:tcPr>
            <w:tcW w:w="0" w:type="auto"/>
            <w:shd w:val="clear" w:color="auto" w:fill="FFFFFF"/>
            <w:tcMar>
              <w:top w:w="0" w:type="dxa"/>
              <w:left w:w="85" w:type="dxa"/>
              <w:bottom w:w="0" w:type="dxa"/>
              <w:right w:w="85" w:type="dxa"/>
            </w:tcMar>
            <w:vAlign w:val="center"/>
          </w:tcPr>
          <w:p w14:paraId="3F7F6C3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1979</w:t>
            </w:r>
          </w:p>
        </w:tc>
        <w:tc>
          <w:tcPr>
            <w:tcW w:w="0" w:type="auto"/>
            <w:shd w:val="clear" w:color="auto" w:fill="FFFFFF"/>
            <w:tcMar>
              <w:top w:w="0" w:type="dxa"/>
              <w:left w:w="85" w:type="dxa"/>
              <w:bottom w:w="0" w:type="dxa"/>
              <w:right w:w="85" w:type="dxa"/>
            </w:tcMar>
            <w:vAlign w:val="center"/>
          </w:tcPr>
          <w:p w14:paraId="16675C5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666.6</w:t>
            </w:r>
          </w:p>
        </w:tc>
        <w:tc>
          <w:tcPr>
            <w:tcW w:w="0" w:type="auto"/>
            <w:shd w:val="clear" w:color="auto" w:fill="FFFFFF"/>
            <w:tcMar>
              <w:top w:w="0" w:type="dxa"/>
              <w:left w:w="85" w:type="dxa"/>
              <w:bottom w:w="0" w:type="dxa"/>
              <w:right w:w="85" w:type="dxa"/>
            </w:tcMar>
            <w:vAlign w:val="center"/>
          </w:tcPr>
          <w:p w14:paraId="164F223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9,937.6</w:t>
            </w:r>
          </w:p>
        </w:tc>
        <w:tc>
          <w:tcPr>
            <w:tcW w:w="0" w:type="auto"/>
            <w:shd w:val="clear" w:color="auto" w:fill="FFFFFF"/>
            <w:tcMar>
              <w:top w:w="0" w:type="dxa"/>
              <w:left w:w="85" w:type="dxa"/>
              <w:bottom w:w="0" w:type="dxa"/>
              <w:right w:w="85" w:type="dxa"/>
            </w:tcMar>
            <w:vAlign w:val="center"/>
          </w:tcPr>
          <w:p w14:paraId="74E08E4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10,604.2</w:t>
            </w:r>
          </w:p>
        </w:tc>
      </w:tr>
      <w:tr w:rsidR="00EB5913" w:rsidRPr="006623B9" w14:paraId="2C61AF30" w14:textId="77777777" w:rsidTr="00F2460B">
        <w:tc>
          <w:tcPr>
            <w:tcW w:w="0" w:type="auto"/>
            <w:shd w:val="clear" w:color="auto" w:fill="FFFFFF"/>
            <w:tcMar>
              <w:top w:w="0" w:type="dxa"/>
              <w:left w:w="85" w:type="dxa"/>
              <w:bottom w:w="0" w:type="dxa"/>
              <w:right w:w="85" w:type="dxa"/>
            </w:tcMar>
            <w:vAlign w:val="center"/>
          </w:tcPr>
          <w:p w14:paraId="0449235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1980</w:t>
            </w:r>
          </w:p>
        </w:tc>
        <w:tc>
          <w:tcPr>
            <w:tcW w:w="0" w:type="auto"/>
            <w:shd w:val="clear" w:color="auto" w:fill="FFFFFF"/>
            <w:tcMar>
              <w:top w:w="0" w:type="dxa"/>
              <w:left w:w="85" w:type="dxa"/>
              <w:bottom w:w="0" w:type="dxa"/>
              <w:right w:w="85" w:type="dxa"/>
            </w:tcMar>
            <w:vAlign w:val="center"/>
          </w:tcPr>
          <w:p w14:paraId="04DE518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676.6</w:t>
            </w:r>
          </w:p>
        </w:tc>
        <w:tc>
          <w:tcPr>
            <w:tcW w:w="0" w:type="auto"/>
            <w:shd w:val="clear" w:color="auto" w:fill="FFFFFF"/>
            <w:tcMar>
              <w:top w:w="0" w:type="dxa"/>
              <w:left w:w="85" w:type="dxa"/>
              <w:bottom w:w="0" w:type="dxa"/>
              <w:right w:w="85" w:type="dxa"/>
            </w:tcMar>
            <w:vAlign w:val="center"/>
          </w:tcPr>
          <w:p w14:paraId="5FE93D2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10,155.4</w:t>
            </w:r>
          </w:p>
        </w:tc>
        <w:tc>
          <w:tcPr>
            <w:tcW w:w="0" w:type="auto"/>
            <w:shd w:val="clear" w:color="auto" w:fill="FFFFFF"/>
            <w:tcMar>
              <w:top w:w="0" w:type="dxa"/>
              <w:left w:w="85" w:type="dxa"/>
              <w:bottom w:w="0" w:type="dxa"/>
              <w:right w:w="85" w:type="dxa"/>
            </w:tcMar>
            <w:vAlign w:val="center"/>
          </w:tcPr>
          <w:p w14:paraId="11DB7D4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10,832.0</w:t>
            </w:r>
          </w:p>
        </w:tc>
      </w:tr>
      <w:tr w:rsidR="00EB5913" w:rsidRPr="006623B9" w14:paraId="75E00A36" w14:textId="77777777" w:rsidTr="00F2460B">
        <w:tc>
          <w:tcPr>
            <w:tcW w:w="0" w:type="auto"/>
            <w:shd w:val="clear" w:color="auto" w:fill="FFFFFF"/>
            <w:tcMar>
              <w:top w:w="0" w:type="dxa"/>
              <w:left w:w="85" w:type="dxa"/>
              <w:bottom w:w="0" w:type="dxa"/>
              <w:right w:w="85" w:type="dxa"/>
            </w:tcMar>
            <w:vAlign w:val="center"/>
          </w:tcPr>
          <w:p w14:paraId="3A8A863A"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1981</w:t>
            </w:r>
          </w:p>
        </w:tc>
        <w:tc>
          <w:tcPr>
            <w:tcW w:w="0" w:type="auto"/>
            <w:shd w:val="clear" w:color="auto" w:fill="FFFFFF"/>
            <w:tcMar>
              <w:top w:w="0" w:type="dxa"/>
              <w:left w:w="85" w:type="dxa"/>
              <w:bottom w:w="0" w:type="dxa"/>
              <w:right w:w="85" w:type="dxa"/>
            </w:tcMar>
            <w:vAlign w:val="center"/>
          </w:tcPr>
          <w:p w14:paraId="6F4C24F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686.2</w:t>
            </w:r>
          </w:p>
        </w:tc>
        <w:tc>
          <w:tcPr>
            <w:tcW w:w="0" w:type="auto"/>
            <w:shd w:val="clear" w:color="auto" w:fill="FFFFFF"/>
            <w:tcMar>
              <w:top w:w="0" w:type="dxa"/>
              <w:left w:w="85" w:type="dxa"/>
              <w:bottom w:w="0" w:type="dxa"/>
              <w:right w:w="85" w:type="dxa"/>
            </w:tcMar>
            <w:vAlign w:val="center"/>
          </w:tcPr>
          <w:p w14:paraId="573376B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10,285.8</w:t>
            </w:r>
          </w:p>
        </w:tc>
        <w:tc>
          <w:tcPr>
            <w:tcW w:w="0" w:type="auto"/>
            <w:shd w:val="clear" w:color="auto" w:fill="FFFFFF"/>
            <w:tcMar>
              <w:top w:w="0" w:type="dxa"/>
              <w:left w:w="85" w:type="dxa"/>
              <w:bottom w:w="0" w:type="dxa"/>
              <w:right w:w="85" w:type="dxa"/>
            </w:tcMar>
            <w:vAlign w:val="center"/>
          </w:tcPr>
          <w:p w14:paraId="6C5E39E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10,971.9</w:t>
            </w:r>
          </w:p>
        </w:tc>
      </w:tr>
      <w:tr w:rsidR="00EB5913" w:rsidRPr="006623B9" w14:paraId="7D0D1F6A" w14:textId="77777777" w:rsidTr="00F2460B">
        <w:tc>
          <w:tcPr>
            <w:tcW w:w="0" w:type="auto"/>
            <w:shd w:val="clear" w:color="auto" w:fill="FFFFFF"/>
            <w:tcMar>
              <w:top w:w="0" w:type="dxa"/>
              <w:left w:w="85" w:type="dxa"/>
              <w:bottom w:w="0" w:type="dxa"/>
              <w:right w:w="85" w:type="dxa"/>
            </w:tcMar>
            <w:vAlign w:val="center"/>
          </w:tcPr>
          <w:p w14:paraId="2EF4BBEB"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1982</w:t>
            </w:r>
          </w:p>
        </w:tc>
        <w:tc>
          <w:tcPr>
            <w:tcW w:w="0" w:type="auto"/>
            <w:shd w:val="clear" w:color="auto" w:fill="FFFFFF"/>
            <w:tcMar>
              <w:top w:w="0" w:type="dxa"/>
              <w:left w:w="85" w:type="dxa"/>
              <w:bottom w:w="0" w:type="dxa"/>
              <w:right w:w="85" w:type="dxa"/>
            </w:tcMar>
            <w:vAlign w:val="center"/>
          </w:tcPr>
          <w:p w14:paraId="7DD9FB6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699.5</w:t>
            </w:r>
          </w:p>
        </w:tc>
        <w:tc>
          <w:tcPr>
            <w:tcW w:w="0" w:type="auto"/>
            <w:shd w:val="clear" w:color="auto" w:fill="FFFFFF"/>
            <w:tcMar>
              <w:top w:w="0" w:type="dxa"/>
              <w:left w:w="85" w:type="dxa"/>
              <w:bottom w:w="0" w:type="dxa"/>
              <w:right w:w="85" w:type="dxa"/>
            </w:tcMar>
            <w:vAlign w:val="center"/>
          </w:tcPr>
          <w:p w14:paraId="2E8EF19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10,764.7</w:t>
            </w:r>
          </w:p>
        </w:tc>
        <w:tc>
          <w:tcPr>
            <w:tcW w:w="0" w:type="auto"/>
            <w:shd w:val="clear" w:color="auto" w:fill="FFFFFF"/>
            <w:tcMar>
              <w:top w:w="0" w:type="dxa"/>
              <w:left w:w="85" w:type="dxa"/>
              <w:bottom w:w="0" w:type="dxa"/>
              <w:right w:w="85" w:type="dxa"/>
            </w:tcMar>
            <w:vAlign w:val="center"/>
          </w:tcPr>
          <w:p w14:paraId="3CD61C6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11,464.2</w:t>
            </w:r>
          </w:p>
        </w:tc>
      </w:tr>
      <w:tr w:rsidR="00EB5913" w:rsidRPr="006623B9" w14:paraId="719B3DBA" w14:textId="77777777" w:rsidTr="00F2460B">
        <w:tc>
          <w:tcPr>
            <w:tcW w:w="0" w:type="auto"/>
            <w:shd w:val="clear" w:color="auto" w:fill="FFFFFF"/>
            <w:tcMar>
              <w:top w:w="0" w:type="dxa"/>
              <w:left w:w="85" w:type="dxa"/>
              <w:bottom w:w="0" w:type="dxa"/>
              <w:right w:w="85" w:type="dxa"/>
            </w:tcMar>
            <w:vAlign w:val="center"/>
          </w:tcPr>
          <w:p w14:paraId="7B7B30F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1983</w:t>
            </w:r>
          </w:p>
        </w:tc>
        <w:tc>
          <w:tcPr>
            <w:tcW w:w="0" w:type="auto"/>
            <w:shd w:val="clear" w:color="auto" w:fill="FFFFFF"/>
            <w:tcMar>
              <w:top w:w="0" w:type="dxa"/>
              <w:left w:w="85" w:type="dxa"/>
              <w:bottom w:w="0" w:type="dxa"/>
              <w:right w:w="85" w:type="dxa"/>
            </w:tcMar>
            <w:vAlign w:val="center"/>
          </w:tcPr>
          <w:p w14:paraId="4011B57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716.7</w:t>
            </w:r>
          </w:p>
        </w:tc>
        <w:tc>
          <w:tcPr>
            <w:tcW w:w="0" w:type="auto"/>
            <w:shd w:val="clear" w:color="auto" w:fill="FFFFFF"/>
            <w:tcMar>
              <w:top w:w="0" w:type="dxa"/>
              <w:left w:w="85" w:type="dxa"/>
              <w:bottom w:w="0" w:type="dxa"/>
              <w:right w:w="85" w:type="dxa"/>
            </w:tcMar>
            <w:vAlign w:val="center"/>
          </w:tcPr>
          <w:p w14:paraId="026B725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10,864.7</w:t>
            </w:r>
          </w:p>
        </w:tc>
        <w:tc>
          <w:tcPr>
            <w:tcW w:w="0" w:type="auto"/>
            <w:shd w:val="clear" w:color="auto" w:fill="FFFFFF"/>
            <w:tcMar>
              <w:top w:w="0" w:type="dxa"/>
              <w:left w:w="85" w:type="dxa"/>
              <w:bottom w:w="0" w:type="dxa"/>
              <w:right w:w="85" w:type="dxa"/>
            </w:tcMar>
            <w:vAlign w:val="center"/>
          </w:tcPr>
          <w:p w14:paraId="6F0D705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11,581.5</w:t>
            </w:r>
          </w:p>
        </w:tc>
      </w:tr>
      <w:tr w:rsidR="00EB5913" w:rsidRPr="006623B9" w14:paraId="4FA130F3" w14:textId="77777777" w:rsidTr="00F2460B">
        <w:tc>
          <w:tcPr>
            <w:tcW w:w="0" w:type="auto"/>
            <w:shd w:val="clear" w:color="auto" w:fill="FFFFFF"/>
            <w:tcMar>
              <w:top w:w="0" w:type="dxa"/>
              <w:left w:w="85" w:type="dxa"/>
              <w:bottom w:w="0" w:type="dxa"/>
              <w:right w:w="85" w:type="dxa"/>
            </w:tcMar>
            <w:vAlign w:val="center"/>
          </w:tcPr>
          <w:p w14:paraId="6B9BF90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1984</w:t>
            </w:r>
          </w:p>
        </w:tc>
        <w:tc>
          <w:tcPr>
            <w:tcW w:w="0" w:type="auto"/>
            <w:shd w:val="clear" w:color="auto" w:fill="FFFFFF"/>
            <w:tcMar>
              <w:top w:w="0" w:type="dxa"/>
              <w:left w:w="85" w:type="dxa"/>
              <w:bottom w:w="0" w:type="dxa"/>
              <w:right w:w="85" w:type="dxa"/>
            </w:tcMar>
            <w:vAlign w:val="center"/>
          </w:tcPr>
          <w:p w14:paraId="59ADC0D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725.1</w:t>
            </w:r>
          </w:p>
        </w:tc>
        <w:tc>
          <w:tcPr>
            <w:tcW w:w="0" w:type="auto"/>
            <w:shd w:val="clear" w:color="auto" w:fill="FFFFFF"/>
            <w:tcMar>
              <w:top w:w="0" w:type="dxa"/>
              <w:left w:w="85" w:type="dxa"/>
              <w:bottom w:w="0" w:type="dxa"/>
              <w:right w:w="85" w:type="dxa"/>
            </w:tcMar>
            <w:vAlign w:val="center"/>
          </w:tcPr>
          <w:p w14:paraId="79CBA13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11,244.1</w:t>
            </w:r>
          </w:p>
        </w:tc>
        <w:tc>
          <w:tcPr>
            <w:tcW w:w="0" w:type="auto"/>
            <w:shd w:val="clear" w:color="auto" w:fill="FFFFFF"/>
            <w:tcMar>
              <w:top w:w="0" w:type="dxa"/>
              <w:left w:w="85" w:type="dxa"/>
              <w:bottom w:w="0" w:type="dxa"/>
              <w:right w:w="85" w:type="dxa"/>
            </w:tcMar>
            <w:vAlign w:val="center"/>
          </w:tcPr>
          <w:p w14:paraId="13F596A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11,969.2</w:t>
            </w:r>
          </w:p>
        </w:tc>
      </w:tr>
      <w:tr w:rsidR="00EB5913" w:rsidRPr="006623B9" w14:paraId="50EB6E21" w14:textId="77777777" w:rsidTr="00F2460B">
        <w:tc>
          <w:tcPr>
            <w:tcW w:w="0" w:type="auto"/>
            <w:shd w:val="clear" w:color="auto" w:fill="FFFFFF"/>
            <w:tcMar>
              <w:top w:w="0" w:type="dxa"/>
              <w:left w:w="85" w:type="dxa"/>
              <w:bottom w:w="0" w:type="dxa"/>
              <w:right w:w="85" w:type="dxa"/>
            </w:tcMar>
            <w:vAlign w:val="center"/>
          </w:tcPr>
          <w:p w14:paraId="75DFC18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1985</w:t>
            </w:r>
          </w:p>
        </w:tc>
        <w:tc>
          <w:tcPr>
            <w:tcW w:w="0" w:type="auto"/>
            <w:shd w:val="clear" w:color="auto" w:fill="FFFFFF"/>
            <w:tcMar>
              <w:top w:w="0" w:type="dxa"/>
              <w:left w:w="85" w:type="dxa"/>
              <w:bottom w:w="0" w:type="dxa"/>
              <w:right w:w="85" w:type="dxa"/>
            </w:tcMar>
            <w:vAlign w:val="center"/>
          </w:tcPr>
          <w:p w14:paraId="24103D6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745.7</w:t>
            </w:r>
          </w:p>
        </w:tc>
        <w:tc>
          <w:tcPr>
            <w:tcW w:w="0" w:type="auto"/>
            <w:shd w:val="clear" w:color="auto" w:fill="FFFFFF"/>
            <w:tcMar>
              <w:top w:w="0" w:type="dxa"/>
              <w:left w:w="85" w:type="dxa"/>
              <w:bottom w:w="0" w:type="dxa"/>
              <w:right w:w="85" w:type="dxa"/>
            </w:tcMar>
            <w:vAlign w:val="center"/>
          </w:tcPr>
          <w:p w14:paraId="1E1128E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11,783.0</w:t>
            </w:r>
          </w:p>
        </w:tc>
        <w:tc>
          <w:tcPr>
            <w:tcW w:w="0" w:type="auto"/>
            <w:shd w:val="clear" w:color="auto" w:fill="FFFFFF"/>
            <w:tcMar>
              <w:top w:w="0" w:type="dxa"/>
              <w:left w:w="85" w:type="dxa"/>
              <w:bottom w:w="0" w:type="dxa"/>
              <w:right w:w="85" w:type="dxa"/>
            </w:tcMar>
            <w:vAlign w:val="center"/>
          </w:tcPr>
          <w:p w14:paraId="135C245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12,528.7</w:t>
            </w:r>
          </w:p>
        </w:tc>
      </w:tr>
      <w:tr w:rsidR="00EB5913" w:rsidRPr="006623B9" w14:paraId="5D1B3E3D" w14:textId="77777777" w:rsidTr="00F2460B">
        <w:tc>
          <w:tcPr>
            <w:tcW w:w="0" w:type="auto"/>
            <w:shd w:val="clear" w:color="auto" w:fill="FFFFFF"/>
            <w:tcMar>
              <w:top w:w="0" w:type="dxa"/>
              <w:left w:w="85" w:type="dxa"/>
              <w:bottom w:w="0" w:type="dxa"/>
              <w:right w:w="85" w:type="dxa"/>
            </w:tcMar>
            <w:vAlign w:val="center"/>
          </w:tcPr>
          <w:p w14:paraId="72ECD53B"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1986</w:t>
            </w:r>
          </w:p>
        </w:tc>
        <w:tc>
          <w:tcPr>
            <w:tcW w:w="0" w:type="auto"/>
            <w:shd w:val="clear" w:color="auto" w:fill="FFFFFF"/>
            <w:tcMar>
              <w:top w:w="0" w:type="dxa"/>
              <w:left w:w="85" w:type="dxa"/>
              <w:bottom w:w="0" w:type="dxa"/>
              <w:right w:w="85" w:type="dxa"/>
            </w:tcMar>
            <w:vAlign w:val="center"/>
          </w:tcPr>
          <w:p w14:paraId="02BD323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755.3</w:t>
            </w:r>
          </w:p>
        </w:tc>
        <w:tc>
          <w:tcPr>
            <w:tcW w:w="0" w:type="auto"/>
            <w:shd w:val="clear" w:color="auto" w:fill="FFFFFF"/>
            <w:tcMar>
              <w:top w:w="0" w:type="dxa"/>
              <w:left w:w="85" w:type="dxa"/>
              <w:bottom w:w="0" w:type="dxa"/>
              <w:right w:w="85" w:type="dxa"/>
            </w:tcMar>
            <w:vAlign w:val="center"/>
          </w:tcPr>
          <w:p w14:paraId="2F3B621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11,973.3</w:t>
            </w:r>
          </w:p>
        </w:tc>
        <w:tc>
          <w:tcPr>
            <w:tcW w:w="0" w:type="auto"/>
            <w:shd w:val="clear" w:color="auto" w:fill="FFFFFF"/>
            <w:tcMar>
              <w:top w:w="0" w:type="dxa"/>
              <w:left w:w="85" w:type="dxa"/>
              <w:bottom w:w="0" w:type="dxa"/>
              <w:right w:w="85" w:type="dxa"/>
            </w:tcMar>
            <w:vAlign w:val="center"/>
          </w:tcPr>
          <w:p w14:paraId="142EA92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12,728.6</w:t>
            </w:r>
          </w:p>
        </w:tc>
      </w:tr>
      <w:tr w:rsidR="00EB5913" w:rsidRPr="006623B9" w14:paraId="2AFCA186" w14:textId="77777777" w:rsidTr="00F2460B">
        <w:tc>
          <w:tcPr>
            <w:tcW w:w="0" w:type="auto"/>
            <w:shd w:val="clear" w:color="auto" w:fill="FFFFFF"/>
            <w:tcMar>
              <w:top w:w="0" w:type="dxa"/>
              <w:left w:w="85" w:type="dxa"/>
              <w:bottom w:w="0" w:type="dxa"/>
              <w:right w:w="85" w:type="dxa"/>
            </w:tcMar>
            <w:vAlign w:val="center"/>
          </w:tcPr>
          <w:p w14:paraId="792F8F8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1987</w:t>
            </w:r>
          </w:p>
        </w:tc>
        <w:tc>
          <w:tcPr>
            <w:tcW w:w="0" w:type="auto"/>
            <w:shd w:val="clear" w:color="auto" w:fill="FFFFFF"/>
            <w:tcMar>
              <w:top w:w="0" w:type="dxa"/>
              <w:left w:w="85" w:type="dxa"/>
              <w:bottom w:w="0" w:type="dxa"/>
              <w:right w:w="85" w:type="dxa"/>
            </w:tcMar>
            <w:vAlign w:val="center"/>
          </w:tcPr>
          <w:p w14:paraId="30A271C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764.5</w:t>
            </w:r>
          </w:p>
        </w:tc>
        <w:tc>
          <w:tcPr>
            <w:tcW w:w="0" w:type="auto"/>
            <w:shd w:val="clear" w:color="auto" w:fill="FFFFFF"/>
            <w:tcMar>
              <w:top w:w="0" w:type="dxa"/>
              <w:left w:w="85" w:type="dxa"/>
              <w:bottom w:w="0" w:type="dxa"/>
              <w:right w:w="85" w:type="dxa"/>
            </w:tcMar>
            <w:vAlign w:val="center"/>
          </w:tcPr>
          <w:p w14:paraId="62F2E40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12,297.3</w:t>
            </w:r>
          </w:p>
        </w:tc>
        <w:tc>
          <w:tcPr>
            <w:tcW w:w="0" w:type="auto"/>
            <w:shd w:val="clear" w:color="auto" w:fill="FFFFFF"/>
            <w:tcMar>
              <w:top w:w="0" w:type="dxa"/>
              <w:left w:w="85" w:type="dxa"/>
              <w:bottom w:w="0" w:type="dxa"/>
              <w:right w:w="85" w:type="dxa"/>
            </w:tcMar>
            <w:vAlign w:val="center"/>
          </w:tcPr>
          <w:p w14:paraId="1B230ED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13,061.8</w:t>
            </w:r>
          </w:p>
        </w:tc>
      </w:tr>
      <w:tr w:rsidR="00EB5913" w:rsidRPr="006623B9" w14:paraId="4EEAC9E3" w14:textId="77777777" w:rsidTr="00F2460B">
        <w:tc>
          <w:tcPr>
            <w:tcW w:w="0" w:type="auto"/>
            <w:shd w:val="clear" w:color="auto" w:fill="FFFFFF"/>
            <w:tcMar>
              <w:top w:w="0" w:type="dxa"/>
              <w:left w:w="85" w:type="dxa"/>
              <w:bottom w:w="0" w:type="dxa"/>
              <w:right w:w="85" w:type="dxa"/>
            </w:tcMar>
            <w:vAlign w:val="center"/>
          </w:tcPr>
          <w:p w14:paraId="38CD689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1988</w:t>
            </w:r>
          </w:p>
        </w:tc>
        <w:tc>
          <w:tcPr>
            <w:tcW w:w="0" w:type="auto"/>
            <w:shd w:val="clear" w:color="auto" w:fill="FFFFFF"/>
            <w:tcMar>
              <w:top w:w="0" w:type="dxa"/>
              <w:left w:w="85" w:type="dxa"/>
              <w:bottom w:w="0" w:type="dxa"/>
              <w:right w:w="85" w:type="dxa"/>
            </w:tcMar>
            <w:vAlign w:val="center"/>
          </w:tcPr>
          <w:p w14:paraId="3B32840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776.5</w:t>
            </w:r>
          </w:p>
        </w:tc>
        <w:tc>
          <w:tcPr>
            <w:tcW w:w="0" w:type="auto"/>
            <w:shd w:val="clear" w:color="auto" w:fill="FFFFFF"/>
            <w:tcMar>
              <w:top w:w="0" w:type="dxa"/>
              <w:left w:w="85" w:type="dxa"/>
              <w:bottom w:w="0" w:type="dxa"/>
              <w:right w:w="85" w:type="dxa"/>
            </w:tcMar>
            <w:vAlign w:val="center"/>
          </w:tcPr>
          <w:p w14:paraId="1C00079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12,416.6</w:t>
            </w:r>
          </w:p>
        </w:tc>
        <w:tc>
          <w:tcPr>
            <w:tcW w:w="0" w:type="auto"/>
            <w:shd w:val="clear" w:color="auto" w:fill="FFFFFF"/>
            <w:tcMar>
              <w:top w:w="0" w:type="dxa"/>
              <w:left w:w="85" w:type="dxa"/>
              <w:bottom w:w="0" w:type="dxa"/>
              <w:right w:w="85" w:type="dxa"/>
            </w:tcMar>
            <w:vAlign w:val="center"/>
          </w:tcPr>
          <w:p w14:paraId="482F054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13,193.2</w:t>
            </w:r>
          </w:p>
        </w:tc>
      </w:tr>
      <w:tr w:rsidR="00EB5913" w:rsidRPr="006623B9" w14:paraId="4B3DA613" w14:textId="77777777" w:rsidTr="00F2460B">
        <w:tc>
          <w:tcPr>
            <w:tcW w:w="0" w:type="auto"/>
            <w:shd w:val="clear" w:color="auto" w:fill="FFFFFF"/>
            <w:tcMar>
              <w:top w:w="0" w:type="dxa"/>
              <w:left w:w="85" w:type="dxa"/>
              <w:bottom w:w="0" w:type="dxa"/>
              <w:right w:w="85" w:type="dxa"/>
            </w:tcMar>
            <w:vAlign w:val="center"/>
          </w:tcPr>
          <w:p w14:paraId="204FF9C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1989</w:t>
            </w:r>
          </w:p>
        </w:tc>
        <w:tc>
          <w:tcPr>
            <w:tcW w:w="0" w:type="auto"/>
            <w:shd w:val="clear" w:color="auto" w:fill="FFFFFF"/>
            <w:tcMar>
              <w:top w:w="0" w:type="dxa"/>
              <w:left w:w="85" w:type="dxa"/>
              <w:bottom w:w="0" w:type="dxa"/>
              <w:right w:w="85" w:type="dxa"/>
            </w:tcMar>
            <w:vAlign w:val="center"/>
          </w:tcPr>
          <w:p w14:paraId="372E523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782.4</w:t>
            </w:r>
          </w:p>
        </w:tc>
        <w:tc>
          <w:tcPr>
            <w:tcW w:w="0" w:type="auto"/>
            <w:shd w:val="clear" w:color="auto" w:fill="FFFFFF"/>
            <w:tcMar>
              <w:top w:w="0" w:type="dxa"/>
              <w:left w:w="85" w:type="dxa"/>
              <w:bottom w:w="0" w:type="dxa"/>
              <w:right w:w="85" w:type="dxa"/>
            </w:tcMar>
            <w:vAlign w:val="center"/>
          </w:tcPr>
          <w:p w14:paraId="0714B25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12,372.7</w:t>
            </w:r>
          </w:p>
        </w:tc>
        <w:tc>
          <w:tcPr>
            <w:tcW w:w="0" w:type="auto"/>
            <w:shd w:val="clear" w:color="auto" w:fill="FFFFFF"/>
            <w:tcMar>
              <w:top w:w="0" w:type="dxa"/>
              <w:left w:w="85" w:type="dxa"/>
              <w:bottom w:w="0" w:type="dxa"/>
              <w:right w:w="85" w:type="dxa"/>
            </w:tcMar>
            <w:vAlign w:val="center"/>
          </w:tcPr>
          <w:p w14:paraId="400998F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13,155.1</w:t>
            </w:r>
          </w:p>
        </w:tc>
      </w:tr>
      <w:tr w:rsidR="00EB5913" w:rsidRPr="006623B9" w14:paraId="06844064" w14:textId="77777777" w:rsidTr="00F2460B">
        <w:tc>
          <w:tcPr>
            <w:tcW w:w="0" w:type="auto"/>
            <w:shd w:val="clear" w:color="auto" w:fill="FFFFFF"/>
            <w:tcMar>
              <w:top w:w="0" w:type="dxa"/>
              <w:left w:w="85" w:type="dxa"/>
              <w:bottom w:w="0" w:type="dxa"/>
              <w:right w:w="85" w:type="dxa"/>
            </w:tcMar>
            <w:vAlign w:val="center"/>
          </w:tcPr>
          <w:p w14:paraId="1719142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1990</w:t>
            </w:r>
          </w:p>
        </w:tc>
        <w:tc>
          <w:tcPr>
            <w:tcW w:w="0" w:type="auto"/>
            <w:shd w:val="clear" w:color="auto" w:fill="FFFFFF"/>
            <w:tcMar>
              <w:top w:w="0" w:type="dxa"/>
              <w:left w:w="85" w:type="dxa"/>
              <w:bottom w:w="0" w:type="dxa"/>
              <w:right w:w="85" w:type="dxa"/>
            </w:tcMar>
            <w:vAlign w:val="center"/>
          </w:tcPr>
          <w:p w14:paraId="3826C93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769.4</w:t>
            </w:r>
          </w:p>
        </w:tc>
        <w:tc>
          <w:tcPr>
            <w:tcW w:w="0" w:type="auto"/>
            <w:shd w:val="clear" w:color="auto" w:fill="FFFFFF"/>
            <w:tcMar>
              <w:top w:w="0" w:type="dxa"/>
              <w:left w:w="85" w:type="dxa"/>
              <w:bottom w:w="0" w:type="dxa"/>
              <w:right w:w="85" w:type="dxa"/>
            </w:tcMar>
            <w:vAlign w:val="center"/>
          </w:tcPr>
          <w:p w14:paraId="430189B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12,392.7</w:t>
            </w:r>
          </w:p>
        </w:tc>
        <w:tc>
          <w:tcPr>
            <w:tcW w:w="0" w:type="auto"/>
            <w:shd w:val="clear" w:color="auto" w:fill="FFFFFF"/>
            <w:tcMar>
              <w:top w:w="0" w:type="dxa"/>
              <w:left w:w="85" w:type="dxa"/>
              <w:bottom w:w="0" w:type="dxa"/>
              <w:right w:w="85" w:type="dxa"/>
            </w:tcMar>
            <w:vAlign w:val="center"/>
          </w:tcPr>
          <w:p w14:paraId="2D0DD3D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13,162.1</w:t>
            </w:r>
          </w:p>
        </w:tc>
      </w:tr>
      <w:tr w:rsidR="00EB5913" w:rsidRPr="006623B9" w14:paraId="79CE6094" w14:textId="77777777" w:rsidTr="00F2460B">
        <w:tc>
          <w:tcPr>
            <w:tcW w:w="0" w:type="auto"/>
            <w:shd w:val="clear" w:color="auto" w:fill="FFFFFF"/>
            <w:tcMar>
              <w:top w:w="0" w:type="dxa"/>
              <w:left w:w="85" w:type="dxa"/>
              <w:bottom w:w="0" w:type="dxa"/>
              <w:right w:w="85" w:type="dxa"/>
            </w:tcMar>
            <w:vAlign w:val="center"/>
          </w:tcPr>
          <w:p w14:paraId="1AA6DDA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1991</w:t>
            </w:r>
          </w:p>
        </w:tc>
        <w:tc>
          <w:tcPr>
            <w:tcW w:w="0" w:type="auto"/>
            <w:shd w:val="clear" w:color="auto" w:fill="FFFFFF"/>
            <w:tcMar>
              <w:top w:w="0" w:type="dxa"/>
              <w:left w:w="85" w:type="dxa"/>
              <w:bottom w:w="0" w:type="dxa"/>
              <w:right w:w="85" w:type="dxa"/>
            </w:tcMar>
            <w:vAlign w:val="center"/>
          </w:tcPr>
          <w:p w14:paraId="0E92E2C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763.6</w:t>
            </w:r>
          </w:p>
        </w:tc>
        <w:tc>
          <w:tcPr>
            <w:tcW w:w="0" w:type="auto"/>
            <w:shd w:val="clear" w:color="auto" w:fill="FFFFFF"/>
            <w:tcMar>
              <w:top w:w="0" w:type="dxa"/>
              <w:left w:w="85" w:type="dxa"/>
              <w:bottom w:w="0" w:type="dxa"/>
              <w:right w:w="85" w:type="dxa"/>
            </w:tcMar>
            <w:vAlign w:val="center"/>
          </w:tcPr>
          <w:p w14:paraId="3413D21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12,411.7</w:t>
            </w:r>
          </w:p>
        </w:tc>
        <w:tc>
          <w:tcPr>
            <w:tcW w:w="0" w:type="auto"/>
            <w:shd w:val="clear" w:color="auto" w:fill="FFFFFF"/>
            <w:tcMar>
              <w:top w:w="0" w:type="dxa"/>
              <w:left w:w="85" w:type="dxa"/>
              <w:bottom w:w="0" w:type="dxa"/>
              <w:right w:w="85" w:type="dxa"/>
            </w:tcMar>
            <w:vAlign w:val="center"/>
          </w:tcPr>
          <w:p w14:paraId="776F098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13,175.3</w:t>
            </w:r>
          </w:p>
        </w:tc>
      </w:tr>
      <w:tr w:rsidR="00EB5913" w:rsidRPr="006623B9" w14:paraId="68CA02AC" w14:textId="77777777" w:rsidTr="00F2460B">
        <w:tc>
          <w:tcPr>
            <w:tcW w:w="0" w:type="auto"/>
            <w:shd w:val="clear" w:color="auto" w:fill="FFFFFF"/>
            <w:tcMar>
              <w:top w:w="0" w:type="dxa"/>
              <w:left w:w="85" w:type="dxa"/>
              <w:bottom w:w="0" w:type="dxa"/>
              <w:right w:w="85" w:type="dxa"/>
            </w:tcMar>
            <w:vAlign w:val="center"/>
          </w:tcPr>
          <w:p w14:paraId="7D5BFF6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1992</w:t>
            </w:r>
          </w:p>
        </w:tc>
        <w:tc>
          <w:tcPr>
            <w:tcW w:w="0" w:type="auto"/>
            <w:shd w:val="clear" w:color="auto" w:fill="FFFFFF"/>
            <w:tcMar>
              <w:top w:w="0" w:type="dxa"/>
              <w:left w:w="85" w:type="dxa"/>
              <w:bottom w:w="0" w:type="dxa"/>
              <w:right w:w="85" w:type="dxa"/>
            </w:tcMar>
            <w:vAlign w:val="center"/>
          </w:tcPr>
          <w:p w14:paraId="4D630DE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754.3</w:t>
            </w:r>
          </w:p>
        </w:tc>
        <w:tc>
          <w:tcPr>
            <w:tcW w:w="0" w:type="auto"/>
            <w:shd w:val="clear" w:color="auto" w:fill="FFFFFF"/>
            <w:tcMar>
              <w:top w:w="0" w:type="dxa"/>
              <w:left w:w="85" w:type="dxa"/>
              <w:bottom w:w="0" w:type="dxa"/>
              <w:right w:w="85" w:type="dxa"/>
            </w:tcMar>
            <w:vAlign w:val="center"/>
          </w:tcPr>
          <w:p w14:paraId="6C1A3DB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12,276.3</w:t>
            </w:r>
          </w:p>
        </w:tc>
        <w:tc>
          <w:tcPr>
            <w:tcW w:w="0" w:type="auto"/>
            <w:shd w:val="clear" w:color="auto" w:fill="FFFFFF"/>
            <w:tcMar>
              <w:top w:w="0" w:type="dxa"/>
              <w:left w:w="85" w:type="dxa"/>
              <w:bottom w:w="0" w:type="dxa"/>
              <w:right w:w="85" w:type="dxa"/>
            </w:tcMar>
            <w:vAlign w:val="center"/>
          </w:tcPr>
          <w:p w14:paraId="45BFC3D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13,030.6</w:t>
            </w:r>
          </w:p>
        </w:tc>
      </w:tr>
      <w:tr w:rsidR="00EB5913" w:rsidRPr="006623B9" w14:paraId="0EE00544" w14:textId="77777777" w:rsidTr="00F2460B">
        <w:tc>
          <w:tcPr>
            <w:tcW w:w="0" w:type="auto"/>
            <w:shd w:val="clear" w:color="auto" w:fill="FFFFFF"/>
            <w:tcMar>
              <w:top w:w="0" w:type="dxa"/>
              <w:left w:w="85" w:type="dxa"/>
              <w:bottom w:w="0" w:type="dxa"/>
              <w:right w:w="85" w:type="dxa"/>
            </w:tcMar>
            <w:vAlign w:val="center"/>
          </w:tcPr>
          <w:p w14:paraId="28D5775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1993</w:t>
            </w:r>
          </w:p>
        </w:tc>
        <w:tc>
          <w:tcPr>
            <w:tcW w:w="0" w:type="auto"/>
            <w:shd w:val="clear" w:color="auto" w:fill="FFFFFF"/>
            <w:tcMar>
              <w:top w:w="0" w:type="dxa"/>
              <w:left w:w="85" w:type="dxa"/>
              <w:bottom w:w="0" w:type="dxa"/>
              <w:right w:w="85" w:type="dxa"/>
            </w:tcMar>
            <w:vAlign w:val="center"/>
          </w:tcPr>
          <w:p w14:paraId="204F61C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769.3</w:t>
            </w:r>
          </w:p>
        </w:tc>
        <w:tc>
          <w:tcPr>
            <w:tcW w:w="0" w:type="auto"/>
            <w:shd w:val="clear" w:color="auto" w:fill="FFFFFF"/>
            <w:tcMar>
              <w:top w:w="0" w:type="dxa"/>
              <w:left w:w="85" w:type="dxa"/>
              <w:bottom w:w="0" w:type="dxa"/>
              <w:right w:w="85" w:type="dxa"/>
            </w:tcMar>
            <w:vAlign w:val="center"/>
          </w:tcPr>
          <w:p w14:paraId="2066D2B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12,410.6</w:t>
            </w:r>
          </w:p>
        </w:tc>
        <w:tc>
          <w:tcPr>
            <w:tcW w:w="0" w:type="auto"/>
            <w:shd w:val="clear" w:color="auto" w:fill="FFFFFF"/>
            <w:tcMar>
              <w:top w:w="0" w:type="dxa"/>
              <w:left w:w="85" w:type="dxa"/>
              <w:bottom w:w="0" w:type="dxa"/>
              <w:right w:w="85" w:type="dxa"/>
            </w:tcMar>
            <w:vAlign w:val="center"/>
          </w:tcPr>
          <w:p w14:paraId="23AF15B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13,179.9</w:t>
            </w:r>
          </w:p>
        </w:tc>
      </w:tr>
      <w:tr w:rsidR="00EB5913" w:rsidRPr="006623B9" w14:paraId="1C03D357" w14:textId="77777777" w:rsidTr="00F2460B">
        <w:tc>
          <w:tcPr>
            <w:tcW w:w="0" w:type="auto"/>
            <w:shd w:val="clear" w:color="auto" w:fill="FFFFFF"/>
            <w:tcMar>
              <w:top w:w="0" w:type="dxa"/>
              <w:left w:w="85" w:type="dxa"/>
              <w:bottom w:w="0" w:type="dxa"/>
              <w:right w:w="85" w:type="dxa"/>
            </w:tcMar>
            <w:vAlign w:val="center"/>
          </w:tcPr>
          <w:p w14:paraId="4336ACA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1994</w:t>
            </w:r>
          </w:p>
        </w:tc>
        <w:tc>
          <w:tcPr>
            <w:tcW w:w="0" w:type="auto"/>
            <w:shd w:val="clear" w:color="auto" w:fill="FFFFFF"/>
            <w:tcMar>
              <w:top w:w="0" w:type="dxa"/>
              <w:left w:w="85" w:type="dxa"/>
              <w:bottom w:w="0" w:type="dxa"/>
              <w:right w:w="85" w:type="dxa"/>
            </w:tcMar>
            <w:vAlign w:val="center"/>
          </w:tcPr>
          <w:p w14:paraId="2389C62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659.9</w:t>
            </w:r>
          </w:p>
        </w:tc>
        <w:tc>
          <w:tcPr>
            <w:tcW w:w="0" w:type="auto"/>
            <w:shd w:val="clear" w:color="auto" w:fill="FFFFFF"/>
            <w:tcMar>
              <w:top w:w="0" w:type="dxa"/>
              <w:left w:w="85" w:type="dxa"/>
              <w:bottom w:w="0" w:type="dxa"/>
              <w:right w:w="85" w:type="dxa"/>
            </w:tcMar>
            <w:vAlign w:val="center"/>
          </w:tcPr>
          <w:p w14:paraId="77829C7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13,203.8</w:t>
            </w:r>
          </w:p>
        </w:tc>
        <w:tc>
          <w:tcPr>
            <w:tcW w:w="0" w:type="auto"/>
            <w:shd w:val="clear" w:color="auto" w:fill="FFFFFF"/>
            <w:tcMar>
              <w:top w:w="0" w:type="dxa"/>
              <w:left w:w="85" w:type="dxa"/>
              <w:bottom w:w="0" w:type="dxa"/>
              <w:right w:w="85" w:type="dxa"/>
            </w:tcMar>
            <w:vAlign w:val="center"/>
          </w:tcPr>
          <w:p w14:paraId="68B8FE6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13,863.7</w:t>
            </w:r>
          </w:p>
        </w:tc>
      </w:tr>
      <w:tr w:rsidR="00EB5913" w:rsidRPr="006623B9" w14:paraId="7DCD93C0" w14:textId="77777777" w:rsidTr="00F2460B">
        <w:tc>
          <w:tcPr>
            <w:tcW w:w="0" w:type="auto"/>
            <w:shd w:val="clear" w:color="auto" w:fill="FFFFFF"/>
            <w:tcMar>
              <w:top w:w="0" w:type="dxa"/>
              <w:left w:w="85" w:type="dxa"/>
              <w:bottom w:w="0" w:type="dxa"/>
              <w:right w:w="85" w:type="dxa"/>
            </w:tcMar>
            <w:vAlign w:val="center"/>
          </w:tcPr>
          <w:p w14:paraId="59CF6CF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1995</w:t>
            </w:r>
          </w:p>
        </w:tc>
        <w:tc>
          <w:tcPr>
            <w:tcW w:w="0" w:type="auto"/>
            <w:shd w:val="clear" w:color="auto" w:fill="FFFFFF"/>
            <w:tcMar>
              <w:top w:w="0" w:type="dxa"/>
              <w:left w:w="85" w:type="dxa"/>
              <w:bottom w:w="0" w:type="dxa"/>
              <w:right w:w="85" w:type="dxa"/>
            </w:tcMar>
            <w:vAlign w:val="center"/>
          </w:tcPr>
          <w:p w14:paraId="05955BE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653.3</w:t>
            </w:r>
          </w:p>
        </w:tc>
        <w:tc>
          <w:tcPr>
            <w:tcW w:w="0" w:type="auto"/>
            <w:shd w:val="clear" w:color="auto" w:fill="FFFFFF"/>
            <w:tcMar>
              <w:top w:w="0" w:type="dxa"/>
              <w:left w:w="85" w:type="dxa"/>
              <w:bottom w:w="0" w:type="dxa"/>
              <w:right w:w="85" w:type="dxa"/>
            </w:tcMar>
            <w:vAlign w:val="center"/>
          </w:tcPr>
          <w:p w14:paraId="4DF3DB5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13,879.7</w:t>
            </w:r>
          </w:p>
        </w:tc>
        <w:tc>
          <w:tcPr>
            <w:tcW w:w="0" w:type="auto"/>
            <w:shd w:val="clear" w:color="auto" w:fill="FFFFFF"/>
            <w:tcMar>
              <w:top w:w="0" w:type="dxa"/>
              <w:left w:w="85" w:type="dxa"/>
              <w:bottom w:w="0" w:type="dxa"/>
              <w:right w:w="85" w:type="dxa"/>
            </w:tcMar>
            <w:vAlign w:val="center"/>
          </w:tcPr>
          <w:p w14:paraId="1F32E02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14,533.1</w:t>
            </w:r>
          </w:p>
        </w:tc>
      </w:tr>
      <w:tr w:rsidR="00EB5913" w:rsidRPr="006623B9" w14:paraId="63EE07B4" w14:textId="77777777" w:rsidTr="00F2460B">
        <w:tc>
          <w:tcPr>
            <w:tcW w:w="0" w:type="auto"/>
            <w:shd w:val="clear" w:color="auto" w:fill="FFFFFF"/>
            <w:tcMar>
              <w:top w:w="0" w:type="dxa"/>
              <w:left w:w="85" w:type="dxa"/>
              <w:bottom w:w="0" w:type="dxa"/>
              <w:right w:w="85" w:type="dxa"/>
            </w:tcMar>
            <w:vAlign w:val="center"/>
          </w:tcPr>
          <w:p w14:paraId="52AA2250"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1996</w:t>
            </w:r>
          </w:p>
        </w:tc>
        <w:tc>
          <w:tcPr>
            <w:tcW w:w="0" w:type="auto"/>
            <w:shd w:val="clear" w:color="auto" w:fill="FFFFFF"/>
            <w:tcMar>
              <w:top w:w="0" w:type="dxa"/>
              <w:left w:w="85" w:type="dxa"/>
              <w:bottom w:w="0" w:type="dxa"/>
              <w:right w:w="85" w:type="dxa"/>
            </w:tcMar>
            <w:vAlign w:val="center"/>
          </w:tcPr>
          <w:p w14:paraId="63F330C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627.7</w:t>
            </w:r>
          </w:p>
        </w:tc>
        <w:tc>
          <w:tcPr>
            <w:tcW w:w="0" w:type="auto"/>
            <w:shd w:val="clear" w:color="auto" w:fill="FFFFFF"/>
            <w:tcMar>
              <w:top w:w="0" w:type="dxa"/>
              <w:left w:w="85" w:type="dxa"/>
              <w:bottom w:w="0" w:type="dxa"/>
              <w:right w:w="85" w:type="dxa"/>
            </w:tcMar>
            <w:vAlign w:val="center"/>
          </w:tcPr>
          <w:p w14:paraId="03A21FD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14,535.2</w:t>
            </w:r>
          </w:p>
        </w:tc>
        <w:tc>
          <w:tcPr>
            <w:tcW w:w="0" w:type="auto"/>
            <w:shd w:val="clear" w:color="auto" w:fill="FFFFFF"/>
            <w:tcMar>
              <w:top w:w="0" w:type="dxa"/>
              <w:left w:w="85" w:type="dxa"/>
              <w:bottom w:w="0" w:type="dxa"/>
              <w:right w:w="85" w:type="dxa"/>
            </w:tcMar>
            <w:vAlign w:val="center"/>
          </w:tcPr>
          <w:p w14:paraId="7DACA97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15,162.8</w:t>
            </w:r>
          </w:p>
        </w:tc>
      </w:tr>
      <w:tr w:rsidR="00EB5913" w:rsidRPr="006623B9" w14:paraId="511650D8" w14:textId="77777777" w:rsidTr="00F2460B">
        <w:tc>
          <w:tcPr>
            <w:tcW w:w="0" w:type="auto"/>
            <w:shd w:val="clear" w:color="auto" w:fill="FFFFFF"/>
            <w:tcMar>
              <w:top w:w="0" w:type="dxa"/>
              <w:left w:w="85" w:type="dxa"/>
              <w:bottom w:w="0" w:type="dxa"/>
              <w:right w:w="85" w:type="dxa"/>
            </w:tcMar>
            <w:vAlign w:val="center"/>
          </w:tcPr>
          <w:p w14:paraId="3DAA7DB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1997</w:t>
            </w:r>
          </w:p>
        </w:tc>
        <w:tc>
          <w:tcPr>
            <w:tcW w:w="0" w:type="auto"/>
            <w:shd w:val="clear" w:color="auto" w:fill="FFFFFF"/>
            <w:tcMar>
              <w:top w:w="0" w:type="dxa"/>
              <w:left w:w="85" w:type="dxa"/>
              <w:bottom w:w="0" w:type="dxa"/>
              <w:right w:w="85" w:type="dxa"/>
            </w:tcMar>
            <w:vAlign w:val="center"/>
          </w:tcPr>
          <w:p w14:paraId="50A518C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674.1</w:t>
            </w:r>
          </w:p>
        </w:tc>
        <w:tc>
          <w:tcPr>
            <w:tcW w:w="0" w:type="auto"/>
            <w:shd w:val="clear" w:color="auto" w:fill="FFFFFF"/>
            <w:tcMar>
              <w:top w:w="0" w:type="dxa"/>
              <w:left w:w="85" w:type="dxa"/>
              <w:bottom w:w="0" w:type="dxa"/>
              <w:right w:w="85" w:type="dxa"/>
            </w:tcMar>
            <w:vAlign w:val="center"/>
          </w:tcPr>
          <w:p w14:paraId="68B4D24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15,060.1</w:t>
            </w:r>
          </w:p>
        </w:tc>
        <w:tc>
          <w:tcPr>
            <w:tcW w:w="0" w:type="auto"/>
            <w:shd w:val="clear" w:color="auto" w:fill="FFFFFF"/>
            <w:tcMar>
              <w:top w:w="0" w:type="dxa"/>
              <w:left w:w="85" w:type="dxa"/>
              <w:bottom w:w="0" w:type="dxa"/>
              <w:right w:w="85" w:type="dxa"/>
            </w:tcMar>
            <w:vAlign w:val="center"/>
          </w:tcPr>
          <w:p w14:paraId="7BF3BFE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15,734.2</w:t>
            </w:r>
          </w:p>
        </w:tc>
      </w:tr>
      <w:tr w:rsidR="00EB5913" w:rsidRPr="006623B9" w14:paraId="2946AE87" w14:textId="77777777" w:rsidTr="00F2460B">
        <w:tc>
          <w:tcPr>
            <w:tcW w:w="0" w:type="auto"/>
            <w:shd w:val="clear" w:color="auto" w:fill="FFFFFF"/>
            <w:tcMar>
              <w:top w:w="0" w:type="dxa"/>
              <w:left w:w="85" w:type="dxa"/>
              <w:bottom w:w="0" w:type="dxa"/>
              <w:right w:w="85" w:type="dxa"/>
            </w:tcMar>
            <w:vAlign w:val="center"/>
          </w:tcPr>
          <w:p w14:paraId="60284A6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1998</w:t>
            </w:r>
          </w:p>
        </w:tc>
        <w:tc>
          <w:tcPr>
            <w:tcW w:w="0" w:type="auto"/>
            <w:shd w:val="clear" w:color="auto" w:fill="FFFFFF"/>
            <w:tcMar>
              <w:top w:w="0" w:type="dxa"/>
              <w:left w:w="85" w:type="dxa"/>
              <w:bottom w:w="0" w:type="dxa"/>
              <w:right w:w="85" w:type="dxa"/>
            </w:tcMar>
            <w:vAlign w:val="center"/>
          </w:tcPr>
          <w:p w14:paraId="04BB4CC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720.4</w:t>
            </w:r>
          </w:p>
        </w:tc>
        <w:tc>
          <w:tcPr>
            <w:tcW w:w="0" w:type="auto"/>
            <w:shd w:val="clear" w:color="auto" w:fill="FFFFFF"/>
            <w:tcMar>
              <w:top w:w="0" w:type="dxa"/>
              <w:left w:w="85" w:type="dxa"/>
              <w:bottom w:w="0" w:type="dxa"/>
              <w:right w:w="85" w:type="dxa"/>
            </w:tcMar>
            <w:vAlign w:val="center"/>
          </w:tcPr>
          <w:p w14:paraId="207C3AD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15,373.3</w:t>
            </w:r>
          </w:p>
        </w:tc>
        <w:tc>
          <w:tcPr>
            <w:tcW w:w="0" w:type="auto"/>
            <w:shd w:val="clear" w:color="auto" w:fill="FFFFFF"/>
            <w:tcMar>
              <w:top w:w="0" w:type="dxa"/>
              <w:left w:w="85" w:type="dxa"/>
              <w:bottom w:w="0" w:type="dxa"/>
              <w:right w:w="85" w:type="dxa"/>
            </w:tcMar>
            <w:vAlign w:val="center"/>
          </w:tcPr>
          <w:p w14:paraId="58EA22D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16,093.7</w:t>
            </w:r>
          </w:p>
        </w:tc>
      </w:tr>
      <w:tr w:rsidR="00EB5913" w:rsidRPr="006623B9" w14:paraId="6667E88F" w14:textId="77777777" w:rsidTr="00F2460B">
        <w:tc>
          <w:tcPr>
            <w:tcW w:w="0" w:type="auto"/>
            <w:shd w:val="clear" w:color="auto" w:fill="FFFFFF"/>
            <w:tcMar>
              <w:top w:w="0" w:type="dxa"/>
              <w:left w:w="85" w:type="dxa"/>
              <w:bottom w:w="0" w:type="dxa"/>
              <w:right w:w="85" w:type="dxa"/>
            </w:tcMar>
            <w:vAlign w:val="center"/>
          </w:tcPr>
          <w:p w14:paraId="17A23B8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1999</w:t>
            </w:r>
          </w:p>
        </w:tc>
        <w:tc>
          <w:tcPr>
            <w:tcW w:w="0" w:type="auto"/>
            <w:shd w:val="clear" w:color="auto" w:fill="FFFFFF"/>
            <w:tcMar>
              <w:top w:w="0" w:type="dxa"/>
              <w:left w:w="85" w:type="dxa"/>
              <w:bottom w:w="0" w:type="dxa"/>
              <w:right w:w="85" w:type="dxa"/>
            </w:tcMar>
            <w:vAlign w:val="center"/>
          </w:tcPr>
          <w:p w14:paraId="45D24C4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766.8</w:t>
            </w:r>
          </w:p>
        </w:tc>
        <w:tc>
          <w:tcPr>
            <w:tcW w:w="0" w:type="auto"/>
            <w:shd w:val="clear" w:color="auto" w:fill="FFFFFF"/>
            <w:tcMar>
              <w:top w:w="0" w:type="dxa"/>
              <w:left w:w="85" w:type="dxa"/>
              <w:bottom w:w="0" w:type="dxa"/>
              <w:right w:w="85" w:type="dxa"/>
            </w:tcMar>
            <w:vAlign w:val="center"/>
          </w:tcPr>
          <w:p w14:paraId="2FC566B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15,505.3</w:t>
            </w:r>
          </w:p>
        </w:tc>
        <w:tc>
          <w:tcPr>
            <w:tcW w:w="0" w:type="auto"/>
            <w:shd w:val="clear" w:color="auto" w:fill="FFFFFF"/>
            <w:tcMar>
              <w:top w:w="0" w:type="dxa"/>
              <w:left w:w="85" w:type="dxa"/>
              <w:bottom w:w="0" w:type="dxa"/>
              <w:right w:w="85" w:type="dxa"/>
            </w:tcMar>
            <w:vAlign w:val="center"/>
          </w:tcPr>
          <w:p w14:paraId="4303087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16,272.1</w:t>
            </w:r>
          </w:p>
        </w:tc>
      </w:tr>
      <w:tr w:rsidR="00EB5913" w:rsidRPr="006623B9" w14:paraId="11065792" w14:textId="77777777" w:rsidTr="00F2460B">
        <w:tc>
          <w:tcPr>
            <w:tcW w:w="0" w:type="auto"/>
            <w:shd w:val="clear" w:color="auto" w:fill="FFFFFF"/>
            <w:tcMar>
              <w:top w:w="0" w:type="dxa"/>
              <w:left w:w="85" w:type="dxa"/>
              <w:bottom w:w="0" w:type="dxa"/>
              <w:right w:w="85" w:type="dxa"/>
            </w:tcMar>
            <w:vAlign w:val="center"/>
          </w:tcPr>
          <w:p w14:paraId="3B51AC6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2000</w:t>
            </w:r>
          </w:p>
        </w:tc>
        <w:tc>
          <w:tcPr>
            <w:tcW w:w="0" w:type="auto"/>
            <w:shd w:val="clear" w:color="auto" w:fill="FFFFFF"/>
            <w:tcMar>
              <w:top w:w="0" w:type="dxa"/>
              <w:left w:w="85" w:type="dxa"/>
              <w:bottom w:w="0" w:type="dxa"/>
              <w:right w:w="85" w:type="dxa"/>
            </w:tcMar>
            <w:vAlign w:val="center"/>
          </w:tcPr>
          <w:p w14:paraId="475018A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733.8</w:t>
            </w:r>
          </w:p>
        </w:tc>
        <w:tc>
          <w:tcPr>
            <w:tcW w:w="0" w:type="auto"/>
            <w:shd w:val="clear" w:color="auto" w:fill="FFFFFF"/>
            <w:tcMar>
              <w:top w:w="0" w:type="dxa"/>
              <w:left w:w="85" w:type="dxa"/>
              <w:bottom w:w="0" w:type="dxa"/>
              <w:right w:w="85" w:type="dxa"/>
            </w:tcMar>
            <w:vAlign w:val="center"/>
          </w:tcPr>
          <w:p w14:paraId="66CE96B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16,339.1</w:t>
            </w:r>
          </w:p>
        </w:tc>
        <w:tc>
          <w:tcPr>
            <w:tcW w:w="0" w:type="auto"/>
            <w:shd w:val="clear" w:color="auto" w:fill="FFFFFF"/>
            <w:tcMar>
              <w:top w:w="0" w:type="dxa"/>
              <w:left w:w="85" w:type="dxa"/>
              <w:bottom w:w="0" w:type="dxa"/>
              <w:right w:w="85" w:type="dxa"/>
            </w:tcMar>
            <w:vAlign w:val="center"/>
          </w:tcPr>
          <w:p w14:paraId="1E78880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17,072.9</w:t>
            </w:r>
          </w:p>
        </w:tc>
      </w:tr>
      <w:tr w:rsidR="00EB5913" w:rsidRPr="006623B9" w14:paraId="137A97EB" w14:textId="77777777" w:rsidTr="00F2460B">
        <w:tc>
          <w:tcPr>
            <w:tcW w:w="0" w:type="auto"/>
            <w:shd w:val="clear" w:color="auto" w:fill="FFFFFF"/>
            <w:tcMar>
              <w:top w:w="0" w:type="dxa"/>
              <w:left w:w="85" w:type="dxa"/>
              <w:bottom w:w="0" w:type="dxa"/>
              <w:right w:w="85" w:type="dxa"/>
            </w:tcMar>
            <w:vAlign w:val="center"/>
          </w:tcPr>
          <w:p w14:paraId="3B5A414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2001</w:t>
            </w:r>
          </w:p>
        </w:tc>
        <w:tc>
          <w:tcPr>
            <w:tcW w:w="0" w:type="auto"/>
            <w:shd w:val="clear" w:color="auto" w:fill="FFFFFF"/>
            <w:tcMar>
              <w:top w:w="0" w:type="dxa"/>
              <w:left w:w="85" w:type="dxa"/>
              <w:bottom w:w="0" w:type="dxa"/>
              <w:right w:w="85" w:type="dxa"/>
            </w:tcMar>
            <w:vAlign w:val="center"/>
          </w:tcPr>
          <w:p w14:paraId="1086EDF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700.8</w:t>
            </w:r>
          </w:p>
        </w:tc>
        <w:tc>
          <w:tcPr>
            <w:tcW w:w="0" w:type="auto"/>
            <w:shd w:val="clear" w:color="auto" w:fill="FFFFFF"/>
            <w:tcMar>
              <w:top w:w="0" w:type="dxa"/>
              <w:left w:w="85" w:type="dxa"/>
              <w:bottom w:w="0" w:type="dxa"/>
              <w:right w:w="85" w:type="dxa"/>
            </w:tcMar>
            <w:vAlign w:val="center"/>
          </w:tcPr>
          <w:p w14:paraId="2364579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16,808.0</w:t>
            </w:r>
          </w:p>
        </w:tc>
        <w:tc>
          <w:tcPr>
            <w:tcW w:w="0" w:type="auto"/>
            <w:shd w:val="clear" w:color="auto" w:fill="FFFFFF"/>
            <w:tcMar>
              <w:top w:w="0" w:type="dxa"/>
              <w:left w:w="85" w:type="dxa"/>
              <w:bottom w:w="0" w:type="dxa"/>
              <w:right w:w="85" w:type="dxa"/>
            </w:tcMar>
            <w:vAlign w:val="center"/>
          </w:tcPr>
          <w:p w14:paraId="5B81893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17,508.8</w:t>
            </w:r>
          </w:p>
        </w:tc>
      </w:tr>
      <w:tr w:rsidR="00EB5913" w:rsidRPr="006623B9" w14:paraId="798634CC" w14:textId="77777777" w:rsidTr="00F2460B">
        <w:tc>
          <w:tcPr>
            <w:tcW w:w="0" w:type="auto"/>
            <w:shd w:val="clear" w:color="auto" w:fill="FFFFFF"/>
            <w:tcMar>
              <w:top w:w="0" w:type="dxa"/>
              <w:left w:w="85" w:type="dxa"/>
              <w:bottom w:w="0" w:type="dxa"/>
              <w:right w:w="85" w:type="dxa"/>
            </w:tcMar>
            <w:vAlign w:val="center"/>
          </w:tcPr>
          <w:p w14:paraId="6122D30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2002</w:t>
            </w:r>
          </w:p>
        </w:tc>
        <w:tc>
          <w:tcPr>
            <w:tcW w:w="0" w:type="auto"/>
            <w:shd w:val="clear" w:color="auto" w:fill="FFFFFF"/>
            <w:tcMar>
              <w:top w:w="0" w:type="dxa"/>
              <w:left w:w="85" w:type="dxa"/>
              <w:bottom w:w="0" w:type="dxa"/>
              <w:right w:w="85" w:type="dxa"/>
            </w:tcMar>
            <w:vAlign w:val="center"/>
          </w:tcPr>
          <w:p w14:paraId="1006D0B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667.8</w:t>
            </w:r>
          </w:p>
        </w:tc>
        <w:tc>
          <w:tcPr>
            <w:tcW w:w="0" w:type="auto"/>
            <w:shd w:val="clear" w:color="auto" w:fill="FFFFFF"/>
            <w:tcMar>
              <w:top w:w="0" w:type="dxa"/>
              <w:left w:w="85" w:type="dxa"/>
              <w:bottom w:w="0" w:type="dxa"/>
              <w:right w:w="85" w:type="dxa"/>
            </w:tcMar>
            <w:vAlign w:val="center"/>
          </w:tcPr>
          <w:p w14:paraId="7082E60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17,381.3</w:t>
            </w:r>
          </w:p>
        </w:tc>
        <w:tc>
          <w:tcPr>
            <w:tcW w:w="0" w:type="auto"/>
            <w:shd w:val="clear" w:color="auto" w:fill="FFFFFF"/>
            <w:tcMar>
              <w:top w:w="0" w:type="dxa"/>
              <w:left w:w="85" w:type="dxa"/>
              <w:bottom w:w="0" w:type="dxa"/>
              <w:right w:w="85" w:type="dxa"/>
            </w:tcMar>
            <w:vAlign w:val="center"/>
          </w:tcPr>
          <w:p w14:paraId="68BEC48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18,049.2</w:t>
            </w:r>
          </w:p>
        </w:tc>
      </w:tr>
      <w:tr w:rsidR="00EB5913" w:rsidRPr="006623B9" w14:paraId="2359FBB6" w14:textId="77777777" w:rsidTr="00F2460B">
        <w:tc>
          <w:tcPr>
            <w:tcW w:w="0" w:type="auto"/>
            <w:shd w:val="clear" w:color="auto" w:fill="FFFFFF"/>
            <w:tcMar>
              <w:top w:w="0" w:type="dxa"/>
              <w:left w:w="85" w:type="dxa"/>
              <w:bottom w:w="0" w:type="dxa"/>
              <w:right w:w="85" w:type="dxa"/>
            </w:tcMar>
            <w:vAlign w:val="center"/>
          </w:tcPr>
          <w:p w14:paraId="2CA47A6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2003</w:t>
            </w:r>
          </w:p>
        </w:tc>
        <w:tc>
          <w:tcPr>
            <w:tcW w:w="0" w:type="auto"/>
            <w:shd w:val="clear" w:color="auto" w:fill="FFFFFF"/>
            <w:tcMar>
              <w:top w:w="0" w:type="dxa"/>
              <w:left w:w="85" w:type="dxa"/>
              <w:bottom w:w="0" w:type="dxa"/>
              <w:right w:w="85" w:type="dxa"/>
            </w:tcMar>
            <w:vAlign w:val="center"/>
          </w:tcPr>
          <w:p w14:paraId="3CF9C5C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627.5</w:t>
            </w:r>
          </w:p>
        </w:tc>
        <w:tc>
          <w:tcPr>
            <w:tcW w:w="0" w:type="auto"/>
            <w:shd w:val="clear" w:color="auto" w:fill="FFFFFF"/>
            <w:tcMar>
              <w:top w:w="0" w:type="dxa"/>
              <w:left w:w="85" w:type="dxa"/>
              <w:bottom w:w="0" w:type="dxa"/>
              <w:right w:w="85" w:type="dxa"/>
            </w:tcMar>
            <w:vAlign w:val="center"/>
          </w:tcPr>
          <w:p w14:paraId="5525016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18,200.6</w:t>
            </w:r>
          </w:p>
        </w:tc>
        <w:tc>
          <w:tcPr>
            <w:tcW w:w="0" w:type="auto"/>
            <w:shd w:val="clear" w:color="auto" w:fill="FFFFFF"/>
            <w:tcMar>
              <w:top w:w="0" w:type="dxa"/>
              <w:left w:w="85" w:type="dxa"/>
              <w:bottom w:w="0" w:type="dxa"/>
              <w:right w:w="85" w:type="dxa"/>
            </w:tcMar>
            <w:vAlign w:val="center"/>
          </w:tcPr>
          <w:p w14:paraId="07B41A1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18,828.1</w:t>
            </w:r>
          </w:p>
        </w:tc>
      </w:tr>
      <w:tr w:rsidR="00EB5913" w:rsidRPr="006623B9" w14:paraId="270E537C" w14:textId="77777777" w:rsidTr="00F2460B">
        <w:tc>
          <w:tcPr>
            <w:tcW w:w="0" w:type="auto"/>
            <w:shd w:val="clear" w:color="auto" w:fill="FFFFFF"/>
            <w:tcMar>
              <w:top w:w="0" w:type="dxa"/>
              <w:left w:w="85" w:type="dxa"/>
              <w:bottom w:w="0" w:type="dxa"/>
              <w:right w:w="85" w:type="dxa"/>
            </w:tcMar>
            <w:vAlign w:val="center"/>
          </w:tcPr>
          <w:p w14:paraId="4E1A4BA9"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2004</w:t>
            </w:r>
          </w:p>
        </w:tc>
        <w:tc>
          <w:tcPr>
            <w:tcW w:w="0" w:type="auto"/>
            <w:shd w:val="clear" w:color="auto" w:fill="FFFFFF"/>
            <w:tcMar>
              <w:top w:w="0" w:type="dxa"/>
              <w:left w:w="85" w:type="dxa"/>
              <w:bottom w:w="0" w:type="dxa"/>
              <w:right w:w="85" w:type="dxa"/>
            </w:tcMar>
            <w:vAlign w:val="center"/>
          </w:tcPr>
          <w:p w14:paraId="61D5645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632.3</w:t>
            </w:r>
          </w:p>
        </w:tc>
        <w:tc>
          <w:tcPr>
            <w:tcW w:w="0" w:type="auto"/>
            <w:shd w:val="clear" w:color="auto" w:fill="FFFFFF"/>
            <w:tcMar>
              <w:top w:w="0" w:type="dxa"/>
              <w:left w:w="85" w:type="dxa"/>
              <w:bottom w:w="0" w:type="dxa"/>
              <w:right w:w="85" w:type="dxa"/>
            </w:tcMar>
            <w:vAlign w:val="center"/>
          </w:tcPr>
          <w:p w14:paraId="5278390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19,061.1</w:t>
            </w:r>
          </w:p>
        </w:tc>
        <w:tc>
          <w:tcPr>
            <w:tcW w:w="0" w:type="auto"/>
            <w:shd w:val="clear" w:color="auto" w:fill="FFFFFF"/>
            <w:tcMar>
              <w:top w:w="0" w:type="dxa"/>
              <w:left w:w="85" w:type="dxa"/>
              <w:bottom w:w="0" w:type="dxa"/>
              <w:right w:w="85" w:type="dxa"/>
            </w:tcMar>
            <w:vAlign w:val="center"/>
          </w:tcPr>
          <w:p w14:paraId="6931657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19,693.5</w:t>
            </w:r>
          </w:p>
        </w:tc>
      </w:tr>
      <w:tr w:rsidR="00EB5913" w:rsidRPr="006623B9" w14:paraId="5D9E9F47" w14:textId="77777777" w:rsidTr="00F2460B">
        <w:tc>
          <w:tcPr>
            <w:tcW w:w="0" w:type="auto"/>
            <w:shd w:val="clear" w:color="auto" w:fill="FFFFFF"/>
            <w:tcMar>
              <w:top w:w="0" w:type="dxa"/>
              <w:left w:w="85" w:type="dxa"/>
              <w:bottom w:w="0" w:type="dxa"/>
              <w:right w:w="85" w:type="dxa"/>
            </w:tcMar>
            <w:vAlign w:val="center"/>
          </w:tcPr>
          <w:p w14:paraId="6BA579E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2005</w:t>
            </w:r>
          </w:p>
        </w:tc>
        <w:tc>
          <w:tcPr>
            <w:tcW w:w="0" w:type="auto"/>
            <w:shd w:val="clear" w:color="auto" w:fill="FFFFFF"/>
            <w:tcMar>
              <w:top w:w="0" w:type="dxa"/>
              <w:left w:w="85" w:type="dxa"/>
              <w:bottom w:w="0" w:type="dxa"/>
              <w:right w:w="85" w:type="dxa"/>
            </w:tcMar>
            <w:vAlign w:val="center"/>
          </w:tcPr>
          <w:p w14:paraId="4643C76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613.1</w:t>
            </w:r>
          </w:p>
        </w:tc>
        <w:tc>
          <w:tcPr>
            <w:tcW w:w="0" w:type="auto"/>
            <w:shd w:val="clear" w:color="auto" w:fill="FFFFFF"/>
            <w:tcMar>
              <w:top w:w="0" w:type="dxa"/>
              <w:left w:w="85" w:type="dxa"/>
              <w:bottom w:w="0" w:type="dxa"/>
              <w:right w:w="85" w:type="dxa"/>
            </w:tcMar>
            <w:vAlign w:val="center"/>
          </w:tcPr>
          <w:p w14:paraId="314489F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19,840.4</w:t>
            </w:r>
          </w:p>
        </w:tc>
        <w:tc>
          <w:tcPr>
            <w:tcW w:w="0" w:type="auto"/>
            <w:shd w:val="clear" w:color="auto" w:fill="FFFFFF"/>
            <w:tcMar>
              <w:top w:w="0" w:type="dxa"/>
              <w:left w:w="85" w:type="dxa"/>
              <w:bottom w:w="0" w:type="dxa"/>
              <w:right w:w="85" w:type="dxa"/>
            </w:tcMar>
            <w:vAlign w:val="center"/>
          </w:tcPr>
          <w:p w14:paraId="2D6D854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20,453.4</w:t>
            </w:r>
          </w:p>
        </w:tc>
      </w:tr>
      <w:tr w:rsidR="00EB5913" w:rsidRPr="006623B9" w14:paraId="00C70C31" w14:textId="77777777" w:rsidTr="00F2460B">
        <w:tc>
          <w:tcPr>
            <w:tcW w:w="0" w:type="auto"/>
            <w:shd w:val="clear" w:color="auto" w:fill="FFFFFF"/>
            <w:tcMar>
              <w:top w:w="0" w:type="dxa"/>
              <w:left w:w="85" w:type="dxa"/>
              <w:bottom w:w="0" w:type="dxa"/>
              <w:right w:w="85" w:type="dxa"/>
            </w:tcMar>
            <w:vAlign w:val="center"/>
          </w:tcPr>
          <w:p w14:paraId="2951404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2006</w:t>
            </w:r>
          </w:p>
        </w:tc>
        <w:tc>
          <w:tcPr>
            <w:tcW w:w="0" w:type="auto"/>
            <w:shd w:val="clear" w:color="auto" w:fill="FFFFFF"/>
            <w:tcMar>
              <w:top w:w="0" w:type="dxa"/>
              <w:left w:w="85" w:type="dxa"/>
              <w:bottom w:w="0" w:type="dxa"/>
              <w:right w:w="85" w:type="dxa"/>
            </w:tcMar>
            <w:vAlign w:val="center"/>
          </w:tcPr>
          <w:p w14:paraId="2D1AF92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614.6</w:t>
            </w:r>
          </w:p>
        </w:tc>
        <w:tc>
          <w:tcPr>
            <w:tcW w:w="0" w:type="auto"/>
            <w:shd w:val="clear" w:color="auto" w:fill="FFFFFF"/>
            <w:tcMar>
              <w:top w:w="0" w:type="dxa"/>
              <w:left w:w="85" w:type="dxa"/>
              <w:bottom w:w="0" w:type="dxa"/>
              <w:right w:w="85" w:type="dxa"/>
            </w:tcMar>
            <w:vAlign w:val="center"/>
          </w:tcPr>
          <w:p w14:paraId="7ED5D49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20,505.6</w:t>
            </w:r>
          </w:p>
        </w:tc>
        <w:tc>
          <w:tcPr>
            <w:tcW w:w="0" w:type="auto"/>
            <w:shd w:val="clear" w:color="auto" w:fill="FFFFFF"/>
            <w:tcMar>
              <w:top w:w="0" w:type="dxa"/>
              <w:left w:w="85" w:type="dxa"/>
              <w:bottom w:w="0" w:type="dxa"/>
              <w:right w:w="85" w:type="dxa"/>
            </w:tcMar>
            <w:vAlign w:val="center"/>
          </w:tcPr>
          <w:p w14:paraId="6C4A7DB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21,120.2</w:t>
            </w:r>
          </w:p>
        </w:tc>
      </w:tr>
      <w:tr w:rsidR="00EB5913" w:rsidRPr="006623B9" w14:paraId="5DBBC2B5" w14:textId="77777777" w:rsidTr="00F2460B">
        <w:tc>
          <w:tcPr>
            <w:tcW w:w="0" w:type="auto"/>
            <w:shd w:val="clear" w:color="auto" w:fill="FFFFFF"/>
            <w:tcMar>
              <w:top w:w="0" w:type="dxa"/>
              <w:left w:w="85" w:type="dxa"/>
              <w:bottom w:w="0" w:type="dxa"/>
              <w:right w:w="85" w:type="dxa"/>
            </w:tcMar>
            <w:vAlign w:val="center"/>
          </w:tcPr>
          <w:p w14:paraId="6F2B5464"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2007</w:t>
            </w:r>
          </w:p>
        </w:tc>
        <w:tc>
          <w:tcPr>
            <w:tcW w:w="0" w:type="auto"/>
            <w:shd w:val="clear" w:color="auto" w:fill="FFFFFF"/>
            <w:tcMar>
              <w:top w:w="0" w:type="dxa"/>
              <w:left w:w="85" w:type="dxa"/>
              <w:bottom w:w="0" w:type="dxa"/>
              <w:right w:w="85" w:type="dxa"/>
            </w:tcMar>
            <w:vAlign w:val="center"/>
          </w:tcPr>
          <w:p w14:paraId="6C51810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602.7</w:t>
            </w:r>
          </w:p>
        </w:tc>
        <w:tc>
          <w:tcPr>
            <w:tcW w:w="0" w:type="auto"/>
            <w:shd w:val="clear" w:color="auto" w:fill="FFFFFF"/>
            <w:tcMar>
              <w:top w:w="0" w:type="dxa"/>
              <w:left w:w="85" w:type="dxa"/>
              <w:bottom w:w="0" w:type="dxa"/>
              <w:right w:w="85" w:type="dxa"/>
            </w:tcMar>
            <w:vAlign w:val="center"/>
          </w:tcPr>
          <w:p w14:paraId="0DD0DDB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21,075.6</w:t>
            </w:r>
          </w:p>
        </w:tc>
        <w:tc>
          <w:tcPr>
            <w:tcW w:w="0" w:type="auto"/>
            <w:shd w:val="clear" w:color="auto" w:fill="FFFFFF"/>
            <w:tcMar>
              <w:top w:w="0" w:type="dxa"/>
              <w:left w:w="85" w:type="dxa"/>
              <w:bottom w:w="0" w:type="dxa"/>
              <w:right w:w="85" w:type="dxa"/>
            </w:tcMar>
            <w:vAlign w:val="center"/>
          </w:tcPr>
          <w:p w14:paraId="20D6710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21,678.3</w:t>
            </w:r>
          </w:p>
        </w:tc>
      </w:tr>
      <w:tr w:rsidR="00EB5913" w:rsidRPr="006623B9" w14:paraId="461468DA" w14:textId="77777777" w:rsidTr="00F2460B">
        <w:tc>
          <w:tcPr>
            <w:tcW w:w="0" w:type="auto"/>
            <w:shd w:val="clear" w:color="auto" w:fill="FFFFFF"/>
            <w:tcMar>
              <w:top w:w="0" w:type="dxa"/>
              <w:left w:w="85" w:type="dxa"/>
              <w:bottom w:w="0" w:type="dxa"/>
              <w:right w:w="85" w:type="dxa"/>
            </w:tcMar>
            <w:vAlign w:val="center"/>
          </w:tcPr>
          <w:p w14:paraId="0729826F"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2008</w:t>
            </w:r>
          </w:p>
        </w:tc>
        <w:tc>
          <w:tcPr>
            <w:tcW w:w="0" w:type="auto"/>
            <w:shd w:val="clear" w:color="auto" w:fill="FFFFFF"/>
            <w:tcMar>
              <w:top w:w="0" w:type="dxa"/>
              <w:left w:w="85" w:type="dxa"/>
              <w:bottom w:w="0" w:type="dxa"/>
              <w:right w:w="85" w:type="dxa"/>
            </w:tcMar>
            <w:vAlign w:val="center"/>
          </w:tcPr>
          <w:p w14:paraId="5E7D864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576.4</w:t>
            </w:r>
          </w:p>
        </w:tc>
        <w:tc>
          <w:tcPr>
            <w:tcW w:w="0" w:type="auto"/>
            <w:shd w:val="clear" w:color="auto" w:fill="FFFFFF"/>
            <w:tcMar>
              <w:top w:w="0" w:type="dxa"/>
              <w:left w:w="85" w:type="dxa"/>
              <w:bottom w:w="0" w:type="dxa"/>
              <w:right w:w="85" w:type="dxa"/>
            </w:tcMar>
            <w:vAlign w:val="center"/>
          </w:tcPr>
          <w:p w14:paraId="10956D9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21,719.8</w:t>
            </w:r>
          </w:p>
        </w:tc>
        <w:tc>
          <w:tcPr>
            <w:tcW w:w="0" w:type="auto"/>
            <w:shd w:val="clear" w:color="auto" w:fill="FFFFFF"/>
            <w:tcMar>
              <w:top w:w="0" w:type="dxa"/>
              <w:left w:w="85" w:type="dxa"/>
              <w:bottom w:w="0" w:type="dxa"/>
              <w:right w:w="85" w:type="dxa"/>
            </w:tcMar>
            <w:vAlign w:val="center"/>
          </w:tcPr>
          <w:p w14:paraId="4F9945B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22,296.2</w:t>
            </w:r>
          </w:p>
        </w:tc>
      </w:tr>
      <w:tr w:rsidR="00EB5913" w:rsidRPr="006623B9" w14:paraId="078BEBD9" w14:textId="77777777" w:rsidTr="00F2460B">
        <w:tc>
          <w:tcPr>
            <w:tcW w:w="0" w:type="auto"/>
            <w:shd w:val="clear" w:color="auto" w:fill="FFFFFF"/>
            <w:tcMar>
              <w:top w:w="0" w:type="dxa"/>
              <w:left w:w="85" w:type="dxa"/>
              <w:bottom w:w="0" w:type="dxa"/>
              <w:right w:w="85" w:type="dxa"/>
            </w:tcMar>
            <w:vAlign w:val="center"/>
          </w:tcPr>
          <w:p w14:paraId="18075834"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2009</w:t>
            </w:r>
          </w:p>
        </w:tc>
        <w:tc>
          <w:tcPr>
            <w:tcW w:w="0" w:type="auto"/>
            <w:shd w:val="clear" w:color="auto" w:fill="FFFFFF"/>
            <w:tcMar>
              <w:top w:w="0" w:type="dxa"/>
              <w:left w:w="85" w:type="dxa"/>
              <w:bottom w:w="0" w:type="dxa"/>
              <w:right w:w="85" w:type="dxa"/>
            </w:tcMar>
            <w:vAlign w:val="center"/>
          </w:tcPr>
          <w:p w14:paraId="6CCF70A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564.3</w:t>
            </w:r>
          </w:p>
        </w:tc>
        <w:tc>
          <w:tcPr>
            <w:tcW w:w="0" w:type="auto"/>
            <w:shd w:val="clear" w:color="auto" w:fill="FFFFFF"/>
            <w:tcMar>
              <w:top w:w="0" w:type="dxa"/>
              <w:left w:w="85" w:type="dxa"/>
              <w:bottom w:w="0" w:type="dxa"/>
              <w:right w:w="85" w:type="dxa"/>
            </w:tcMar>
            <w:vAlign w:val="center"/>
          </w:tcPr>
          <w:p w14:paraId="6D224FA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21,498.9</w:t>
            </w:r>
          </w:p>
        </w:tc>
        <w:tc>
          <w:tcPr>
            <w:tcW w:w="0" w:type="auto"/>
            <w:shd w:val="clear" w:color="auto" w:fill="FFFFFF"/>
            <w:tcMar>
              <w:top w:w="0" w:type="dxa"/>
              <w:left w:w="85" w:type="dxa"/>
              <w:bottom w:w="0" w:type="dxa"/>
              <w:right w:w="85" w:type="dxa"/>
            </w:tcMar>
            <w:vAlign w:val="center"/>
          </w:tcPr>
          <w:p w14:paraId="5856732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22,063.2</w:t>
            </w:r>
          </w:p>
        </w:tc>
      </w:tr>
      <w:tr w:rsidR="00EB5913" w:rsidRPr="006623B9" w14:paraId="740D101E" w14:textId="77777777" w:rsidTr="00F2460B">
        <w:tc>
          <w:tcPr>
            <w:tcW w:w="0" w:type="auto"/>
            <w:shd w:val="clear" w:color="auto" w:fill="FFFFFF"/>
            <w:tcMar>
              <w:top w:w="0" w:type="dxa"/>
              <w:left w:w="85" w:type="dxa"/>
              <w:bottom w:w="0" w:type="dxa"/>
              <w:right w:w="85" w:type="dxa"/>
            </w:tcMar>
            <w:vAlign w:val="center"/>
          </w:tcPr>
          <w:p w14:paraId="1DE3870D"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2010</w:t>
            </w:r>
          </w:p>
        </w:tc>
        <w:tc>
          <w:tcPr>
            <w:tcW w:w="0" w:type="auto"/>
            <w:shd w:val="clear" w:color="auto" w:fill="FFFFFF"/>
            <w:tcMar>
              <w:top w:w="0" w:type="dxa"/>
              <w:left w:w="85" w:type="dxa"/>
              <w:bottom w:w="0" w:type="dxa"/>
              <w:right w:w="85" w:type="dxa"/>
            </w:tcMar>
            <w:vAlign w:val="center"/>
          </w:tcPr>
          <w:p w14:paraId="3CC0BF6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569.8</w:t>
            </w:r>
          </w:p>
        </w:tc>
        <w:tc>
          <w:tcPr>
            <w:tcW w:w="0" w:type="auto"/>
            <w:shd w:val="clear" w:color="auto" w:fill="FFFFFF"/>
            <w:tcMar>
              <w:top w:w="0" w:type="dxa"/>
              <w:left w:w="85" w:type="dxa"/>
              <w:bottom w:w="0" w:type="dxa"/>
              <w:right w:w="85" w:type="dxa"/>
            </w:tcMar>
            <w:vAlign w:val="center"/>
          </w:tcPr>
          <w:p w14:paraId="497CEAA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21,490.8</w:t>
            </w:r>
          </w:p>
        </w:tc>
        <w:tc>
          <w:tcPr>
            <w:tcW w:w="0" w:type="auto"/>
            <w:shd w:val="clear" w:color="auto" w:fill="FFFFFF"/>
            <w:tcMar>
              <w:top w:w="0" w:type="dxa"/>
              <w:left w:w="85" w:type="dxa"/>
              <w:bottom w:w="0" w:type="dxa"/>
              <w:right w:w="85" w:type="dxa"/>
            </w:tcMar>
            <w:vAlign w:val="center"/>
          </w:tcPr>
          <w:p w14:paraId="5841EC2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22,060.6</w:t>
            </w:r>
          </w:p>
        </w:tc>
      </w:tr>
      <w:tr w:rsidR="00EB5913" w:rsidRPr="006623B9" w14:paraId="18B71B4B" w14:textId="77777777" w:rsidTr="00F2460B">
        <w:tc>
          <w:tcPr>
            <w:tcW w:w="0" w:type="auto"/>
            <w:shd w:val="clear" w:color="auto" w:fill="FFFFFF"/>
            <w:tcMar>
              <w:top w:w="0" w:type="dxa"/>
              <w:left w:w="85" w:type="dxa"/>
              <w:bottom w:w="0" w:type="dxa"/>
              <w:right w:w="85" w:type="dxa"/>
            </w:tcMar>
            <w:vAlign w:val="center"/>
          </w:tcPr>
          <w:p w14:paraId="3430567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2011</w:t>
            </w:r>
          </w:p>
        </w:tc>
        <w:tc>
          <w:tcPr>
            <w:tcW w:w="0" w:type="auto"/>
            <w:shd w:val="clear" w:color="auto" w:fill="FFFFFF"/>
            <w:tcMar>
              <w:top w:w="0" w:type="dxa"/>
              <w:left w:w="85" w:type="dxa"/>
              <w:bottom w:w="0" w:type="dxa"/>
              <w:right w:w="85" w:type="dxa"/>
            </w:tcMar>
            <w:vAlign w:val="center"/>
          </w:tcPr>
          <w:p w14:paraId="3D711D8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552.1</w:t>
            </w:r>
          </w:p>
        </w:tc>
        <w:tc>
          <w:tcPr>
            <w:tcW w:w="0" w:type="auto"/>
            <w:shd w:val="clear" w:color="auto" w:fill="FFFFFF"/>
            <w:tcMar>
              <w:top w:w="0" w:type="dxa"/>
              <w:left w:w="85" w:type="dxa"/>
              <w:bottom w:w="0" w:type="dxa"/>
              <w:right w:w="85" w:type="dxa"/>
            </w:tcMar>
            <w:vAlign w:val="center"/>
          </w:tcPr>
          <w:p w14:paraId="3786437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21,804.3</w:t>
            </w:r>
          </w:p>
        </w:tc>
        <w:tc>
          <w:tcPr>
            <w:tcW w:w="0" w:type="auto"/>
            <w:shd w:val="clear" w:color="auto" w:fill="FFFFFF"/>
            <w:tcMar>
              <w:top w:w="0" w:type="dxa"/>
              <w:left w:w="85" w:type="dxa"/>
              <w:bottom w:w="0" w:type="dxa"/>
              <w:right w:w="85" w:type="dxa"/>
            </w:tcMar>
            <w:vAlign w:val="center"/>
          </w:tcPr>
          <w:p w14:paraId="34D634D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22,356.3</w:t>
            </w:r>
          </w:p>
        </w:tc>
      </w:tr>
      <w:tr w:rsidR="00EB5913" w:rsidRPr="006623B9" w14:paraId="2ECB90E9" w14:textId="77777777" w:rsidTr="00F2460B">
        <w:tc>
          <w:tcPr>
            <w:tcW w:w="0" w:type="auto"/>
            <w:shd w:val="clear" w:color="auto" w:fill="FFFFFF"/>
            <w:tcMar>
              <w:top w:w="0" w:type="dxa"/>
              <w:left w:w="85" w:type="dxa"/>
              <w:bottom w:w="0" w:type="dxa"/>
              <w:right w:w="85" w:type="dxa"/>
            </w:tcMar>
            <w:vAlign w:val="center"/>
          </w:tcPr>
          <w:p w14:paraId="439EBC4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2012</w:t>
            </w:r>
          </w:p>
        </w:tc>
        <w:tc>
          <w:tcPr>
            <w:tcW w:w="0" w:type="auto"/>
            <w:shd w:val="clear" w:color="auto" w:fill="FFFFFF"/>
            <w:tcMar>
              <w:top w:w="0" w:type="dxa"/>
              <w:left w:w="85" w:type="dxa"/>
              <w:bottom w:w="0" w:type="dxa"/>
              <w:right w:w="85" w:type="dxa"/>
            </w:tcMar>
            <w:vAlign w:val="center"/>
          </w:tcPr>
          <w:p w14:paraId="3BA9B3D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553.5</w:t>
            </w:r>
          </w:p>
        </w:tc>
        <w:tc>
          <w:tcPr>
            <w:tcW w:w="0" w:type="auto"/>
            <w:shd w:val="clear" w:color="auto" w:fill="FFFFFF"/>
            <w:tcMar>
              <w:top w:w="0" w:type="dxa"/>
              <w:left w:w="85" w:type="dxa"/>
              <w:bottom w:w="0" w:type="dxa"/>
              <w:right w:w="85" w:type="dxa"/>
            </w:tcMar>
            <w:vAlign w:val="center"/>
          </w:tcPr>
          <w:p w14:paraId="7864A32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22,260.7</w:t>
            </w:r>
          </w:p>
        </w:tc>
        <w:tc>
          <w:tcPr>
            <w:tcW w:w="0" w:type="auto"/>
            <w:shd w:val="clear" w:color="auto" w:fill="FFFFFF"/>
            <w:tcMar>
              <w:top w:w="0" w:type="dxa"/>
              <w:left w:w="85" w:type="dxa"/>
              <w:bottom w:w="0" w:type="dxa"/>
              <w:right w:w="85" w:type="dxa"/>
            </w:tcMar>
            <w:vAlign w:val="center"/>
          </w:tcPr>
          <w:p w14:paraId="47D418E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22,814.3</w:t>
            </w:r>
          </w:p>
        </w:tc>
      </w:tr>
      <w:tr w:rsidR="00EB5913" w:rsidRPr="006623B9" w14:paraId="4C7891F4" w14:textId="77777777" w:rsidTr="00F2460B">
        <w:tc>
          <w:tcPr>
            <w:tcW w:w="0" w:type="auto"/>
            <w:shd w:val="clear" w:color="auto" w:fill="FFFFFF"/>
            <w:tcMar>
              <w:top w:w="0" w:type="dxa"/>
              <w:left w:w="85" w:type="dxa"/>
              <w:bottom w:w="0" w:type="dxa"/>
              <w:right w:w="85" w:type="dxa"/>
            </w:tcMar>
            <w:vAlign w:val="center"/>
          </w:tcPr>
          <w:p w14:paraId="52830952"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2013</w:t>
            </w:r>
          </w:p>
        </w:tc>
        <w:tc>
          <w:tcPr>
            <w:tcW w:w="0" w:type="auto"/>
            <w:shd w:val="clear" w:color="auto" w:fill="FFFFFF"/>
            <w:tcMar>
              <w:top w:w="0" w:type="dxa"/>
              <w:left w:w="85" w:type="dxa"/>
              <w:bottom w:w="0" w:type="dxa"/>
              <w:right w:w="85" w:type="dxa"/>
            </w:tcMar>
            <w:vAlign w:val="center"/>
          </w:tcPr>
          <w:p w14:paraId="08095DF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539.5</w:t>
            </w:r>
          </w:p>
        </w:tc>
        <w:tc>
          <w:tcPr>
            <w:tcW w:w="0" w:type="auto"/>
            <w:shd w:val="clear" w:color="auto" w:fill="FFFFFF"/>
            <w:tcMar>
              <w:top w:w="0" w:type="dxa"/>
              <w:left w:w="85" w:type="dxa"/>
              <w:bottom w:w="0" w:type="dxa"/>
              <w:right w:w="85" w:type="dxa"/>
            </w:tcMar>
            <w:vAlign w:val="center"/>
          </w:tcPr>
          <w:p w14:paraId="6A678C8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22,787.5</w:t>
            </w:r>
          </w:p>
        </w:tc>
        <w:tc>
          <w:tcPr>
            <w:tcW w:w="0" w:type="auto"/>
            <w:shd w:val="clear" w:color="auto" w:fill="FFFFFF"/>
            <w:tcMar>
              <w:top w:w="0" w:type="dxa"/>
              <w:left w:w="85" w:type="dxa"/>
              <w:bottom w:w="0" w:type="dxa"/>
              <w:right w:w="85" w:type="dxa"/>
            </w:tcMar>
            <w:vAlign w:val="center"/>
          </w:tcPr>
          <w:p w14:paraId="2186D3D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23,327.0</w:t>
            </w:r>
          </w:p>
        </w:tc>
      </w:tr>
      <w:tr w:rsidR="00EB5913" w:rsidRPr="006623B9" w14:paraId="47AEF289" w14:textId="77777777" w:rsidTr="00F2460B">
        <w:tc>
          <w:tcPr>
            <w:tcW w:w="0" w:type="auto"/>
            <w:shd w:val="clear" w:color="auto" w:fill="FFFFFF"/>
            <w:tcMar>
              <w:top w:w="0" w:type="dxa"/>
              <w:left w:w="85" w:type="dxa"/>
              <w:bottom w:w="0" w:type="dxa"/>
              <w:right w:w="85" w:type="dxa"/>
            </w:tcMar>
            <w:vAlign w:val="center"/>
          </w:tcPr>
          <w:p w14:paraId="48840AB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2014</w:t>
            </w:r>
          </w:p>
        </w:tc>
        <w:tc>
          <w:tcPr>
            <w:tcW w:w="0" w:type="auto"/>
            <w:shd w:val="clear" w:color="auto" w:fill="FFFFFF"/>
            <w:tcMar>
              <w:top w:w="0" w:type="dxa"/>
              <w:left w:w="85" w:type="dxa"/>
              <w:bottom w:w="0" w:type="dxa"/>
              <w:right w:w="85" w:type="dxa"/>
            </w:tcMar>
            <w:vAlign w:val="center"/>
          </w:tcPr>
          <w:p w14:paraId="0C9CF15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540.1</w:t>
            </w:r>
          </w:p>
        </w:tc>
        <w:tc>
          <w:tcPr>
            <w:tcW w:w="0" w:type="auto"/>
            <w:shd w:val="clear" w:color="auto" w:fill="FFFFFF"/>
            <w:tcMar>
              <w:top w:w="0" w:type="dxa"/>
              <w:left w:w="85" w:type="dxa"/>
              <w:bottom w:w="0" w:type="dxa"/>
              <w:right w:w="85" w:type="dxa"/>
            </w:tcMar>
            <w:vAlign w:val="center"/>
          </w:tcPr>
          <w:p w14:paraId="7BE37A0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23,377.6</w:t>
            </w:r>
          </w:p>
        </w:tc>
        <w:tc>
          <w:tcPr>
            <w:tcW w:w="0" w:type="auto"/>
            <w:shd w:val="clear" w:color="auto" w:fill="FFFFFF"/>
            <w:tcMar>
              <w:top w:w="0" w:type="dxa"/>
              <w:left w:w="85" w:type="dxa"/>
              <w:bottom w:w="0" w:type="dxa"/>
              <w:right w:w="85" w:type="dxa"/>
            </w:tcMar>
            <w:vAlign w:val="center"/>
          </w:tcPr>
          <w:p w14:paraId="60CD868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23,917.7</w:t>
            </w:r>
          </w:p>
        </w:tc>
      </w:tr>
      <w:tr w:rsidR="00EB5913" w:rsidRPr="006623B9" w14:paraId="46EE90BA" w14:textId="77777777" w:rsidTr="00F2460B">
        <w:tc>
          <w:tcPr>
            <w:tcW w:w="0" w:type="auto"/>
            <w:shd w:val="clear" w:color="auto" w:fill="FFFFFF"/>
            <w:tcMar>
              <w:top w:w="0" w:type="dxa"/>
              <w:left w:w="85" w:type="dxa"/>
              <w:bottom w:w="0" w:type="dxa"/>
              <w:right w:w="85" w:type="dxa"/>
            </w:tcMar>
            <w:vAlign w:val="center"/>
          </w:tcPr>
          <w:p w14:paraId="1D9B5786"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2015</w:t>
            </w:r>
          </w:p>
        </w:tc>
        <w:tc>
          <w:tcPr>
            <w:tcW w:w="0" w:type="auto"/>
            <w:shd w:val="clear" w:color="auto" w:fill="FFFFFF"/>
            <w:tcMar>
              <w:top w:w="0" w:type="dxa"/>
              <w:left w:w="85" w:type="dxa"/>
              <w:bottom w:w="0" w:type="dxa"/>
              <w:right w:w="85" w:type="dxa"/>
            </w:tcMar>
            <w:vAlign w:val="center"/>
          </w:tcPr>
          <w:p w14:paraId="6B797CC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526.1</w:t>
            </w:r>
          </w:p>
        </w:tc>
        <w:tc>
          <w:tcPr>
            <w:tcW w:w="0" w:type="auto"/>
            <w:shd w:val="clear" w:color="auto" w:fill="FFFFFF"/>
            <w:tcMar>
              <w:top w:w="0" w:type="dxa"/>
              <w:left w:w="85" w:type="dxa"/>
              <w:bottom w:w="0" w:type="dxa"/>
              <w:right w:w="85" w:type="dxa"/>
            </w:tcMar>
            <w:vAlign w:val="center"/>
          </w:tcPr>
          <w:p w14:paraId="2EB4DAF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24,272.1</w:t>
            </w:r>
          </w:p>
        </w:tc>
        <w:tc>
          <w:tcPr>
            <w:tcW w:w="0" w:type="auto"/>
            <w:shd w:val="clear" w:color="auto" w:fill="FFFFFF"/>
            <w:tcMar>
              <w:top w:w="0" w:type="dxa"/>
              <w:left w:w="85" w:type="dxa"/>
              <w:bottom w:w="0" w:type="dxa"/>
              <w:right w:w="85" w:type="dxa"/>
            </w:tcMar>
            <w:vAlign w:val="center"/>
          </w:tcPr>
          <w:p w14:paraId="6B4165E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24,798.2</w:t>
            </w:r>
          </w:p>
        </w:tc>
      </w:tr>
      <w:tr w:rsidR="00EB5913" w:rsidRPr="006623B9" w14:paraId="5B508E2D" w14:textId="77777777" w:rsidTr="00F2460B">
        <w:tc>
          <w:tcPr>
            <w:tcW w:w="0" w:type="auto"/>
            <w:shd w:val="clear" w:color="auto" w:fill="FFFFFF"/>
            <w:tcMar>
              <w:top w:w="0" w:type="dxa"/>
              <w:left w:w="85" w:type="dxa"/>
              <w:bottom w:w="0" w:type="dxa"/>
              <w:right w:w="85" w:type="dxa"/>
            </w:tcMar>
            <w:vAlign w:val="center"/>
          </w:tcPr>
          <w:p w14:paraId="493312B3"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2016</w:t>
            </w:r>
          </w:p>
        </w:tc>
        <w:tc>
          <w:tcPr>
            <w:tcW w:w="0" w:type="auto"/>
            <w:shd w:val="clear" w:color="auto" w:fill="FFFFFF"/>
            <w:tcMar>
              <w:top w:w="0" w:type="dxa"/>
              <w:left w:w="85" w:type="dxa"/>
              <w:bottom w:w="0" w:type="dxa"/>
              <w:right w:w="85" w:type="dxa"/>
            </w:tcMar>
            <w:vAlign w:val="center"/>
          </w:tcPr>
          <w:p w14:paraId="476142C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528.2</w:t>
            </w:r>
          </w:p>
        </w:tc>
        <w:tc>
          <w:tcPr>
            <w:tcW w:w="0" w:type="auto"/>
            <w:shd w:val="clear" w:color="auto" w:fill="FFFFFF"/>
            <w:tcMar>
              <w:top w:w="0" w:type="dxa"/>
              <w:left w:w="85" w:type="dxa"/>
              <w:bottom w:w="0" w:type="dxa"/>
              <w:right w:w="85" w:type="dxa"/>
            </w:tcMar>
            <w:vAlign w:val="center"/>
          </w:tcPr>
          <w:p w14:paraId="794BBFC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25,167.8</w:t>
            </w:r>
          </w:p>
        </w:tc>
        <w:tc>
          <w:tcPr>
            <w:tcW w:w="0" w:type="auto"/>
            <w:shd w:val="clear" w:color="auto" w:fill="FFFFFF"/>
            <w:tcMar>
              <w:top w:w="0" w:type="dxa"/>
              <w:left w:w="85" w:type="dxa"/>
              <w:bottom w:w="0" w:type="dxa"/>
              <w:right w:w="85" w:type="dxa"/>
            </w:tcMar>
            <w:vAlign w:val="center"/>
          </w:tcPr>
          <w:p w14:paraId="6A084BC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25,696.1</w:t>
            </w:r>
          </w:p>
        </w:tc>
      </w:tr>
      <w:tr w:rsidR="00EB5913" w:rsidRPr="006623B9" w14:paraId="6F5A4FF8" w14:textId="77777777" w:rsidTr="00F2460B">
        <w:tc>
          <w:tcPr>
            <w:tcW w:w="0" w:type="auto"/>
            <w:shd w:val="clear" w:color="auto" w:fill="FFFFFF"/>
            <w:tcMar>
              <w:top w:w="0" w:type="dxa"/>
              <w:left w:w="85" w:type="dxa"/>
              <w:bottom w:w="0" w:type="dxa"/>
              <w:right w:w="85" w:type="dxa"/>
            </w:tcMar>
            <w:vAlign w:val="center"/>
          </w:tcPr>
          <w:p w14:paraId="3C6B2F9C"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2017</w:t>
            </w:r>
          </w:p>
        </w:tc>
        <w:tc>
          <w:tcPr>
            <w:tcW w:w="0" w:type="auto"/>
            <w:shd w:val="clear" w:color="auto" w:fill="FFFFFF"/>
            <w:tcMar>
              <w:top w:w="0" w:type="dxa"/>
              <w:left w:w="85" w:type="dxa"/>
              <w:bottom w:w="0" w:type="dxa"/>
              <w:right w:w="85" w:type="dxa"/>
            </w:tcMar>
            <w:vAlign w:val="center"/>
          </w:tcPr>
          <w:p w14:paraId="770E56A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498.7</w:t>
            </w:r>
          </w:p>
        </w:tc>
        <w:tc>
          <w:tcPr>
            <w:tcW w:w="0" w:type="auto"/>
            <w:shd w:val="clear" w:color="auto" w:fill="FFFFFF"/>
            <w:tcMar>
              <w:top w:w="0" w:type="dxa"/>
              <w:left w:w="85" w:type="dxa"/>
              <w:bottom w:w="0" w:type="dxa"/>
              <w:right w:w="85" w:type="dxa"/>
            </w:tcMar>
            <w:vAlign w:val="center"/>
          </w:tcPr>
          <w:p w14:paraId="7C1F1C7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26,119.0</w:t>
            </w:r>
          </w:p>
        </w:tc>
        <w:tc>
          <w:tcPr>
            <w:tcW w:w="0" w:type="auto"/>
            <w:shd w:val="clear" w:color="auto" w:fill="FFFFFF"/>
            <w:tcMar>
              <w:top w:w="0" w:type="dxa"/>
              <w:left w:w="85" w:type="dxa"/>
              <w:bottom w:w="0" w:type="dxa"/>
              <w:right w:w="85" w:type="dxa"/>
            </w:tcMar>
            <w:vAlign w:val="center"/>
          </w:tcPr>
          <w:p w14:paraId="5094966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26,617.7</w:t>
            </w:r>
          </w:p>
        </w:tc>
      </w:tr>
      <w:tr w:rsidR="00EB5913" w:rsidRPr="006623B9" w14:paraId="0888BC39" w14:textId="77777777" w:rsidTr="00F2460B">
        <w:tc>
          <w:tcPr>
            <w:tcW w:w="0" w:type="auto"/>
            <w:shd w:val="clear" w:color="auto" w:fill="FFFFFF"/>
            <w:tcMar>
              <w:top w:w="0" w:type="dxa"/>
              <w:left w:w="85" w:type="dxa"/>
              <w:bottom w:w="0" w:type="dxa"/>
              <w:right w:w="85" w:type="dxa"/>
            </w:tcMar>
            <w:vAlign w:val="center"/>
          </w:tcPr>
          <w:p w14:paraId="76BACE8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2018</w:t>
            </w:r>
          </w:p>
        </w:tc>
        <w:tc>
          <w:tcPr>
            <w:tcW w:w="0" w:type="auto"/>
            <w:shd w:val="clear" w:color="auto" w:fill="FFFFFF"/>
            <w:tcMar>
              <w:top w:w="0" w:type="dxa"/>
              <w:left w:w="85" w:type="dxa"/>
              <w:bottom w:w="0" w:type="dxa"/>
              <w:right w:w="85" w:type="dxa"/>
            </w:tcMar>
            <w:vAlign w:val="center"/>
          </w:tcPr>
          <w:p w14:paraId="779237E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483.8</w:t>
            </w:r>
          </w:p>
        </w:tc>
        <w:tc>
          <w:tcPr>
            <w:tcW w:w="0" w:type="auto"/>
            <w:shd w:val="clear" w:color="auto" w:fill="FFFFFF"/>
            <w:tcMar>
              <w:top w:w="0" w:type="dxa"/>
              <w:left w:w="85" w:type="dxa"/>
              <w:bottom w:w="0" w:type="dxa"/>
              <w:right w:w="85" w:type="dxa"/>
            </w:tcMar>
            <w:vAlign w:val="center"/>
          </w:tcPr>
          <w:p w14:paraId="3F77ACE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27,001.5</w:t>
            </w:r>
          </w:p>
        </w:tc>
        <w:tc>
          <w:tcPr>
            <w:tcW w:w="0" w:type="auto"/>
            <w:shd w:val="clear" w:color="auto" w:fill="FFFFFF"/>
            <w:tcMar>
              <w:top w:w="0" w:type="dxa"/>
              <w:left w:w="85" w:type="dxa"/>
              <w:bottom w:w="0" w:type="dxa"/>
              <w:right w:w="85" w:type="dxa"/>
            </w:tcMar>
            <w:vAlign w:val="center"/>
          </w:tcPr>
          <w:p w14:paraId="6D30E9D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27,485.3</w:t>
            </w:r>
          </w:p>
        </w:tc>
      </w:tr>
      <w:tr w:rsidR="00EB5913" w:rsidRPr="006623B9" w14:paraId="6FBA1EB8" w14:textId="77777777" w:rsidTr="00F2460B">
        <w:tc>
          <w:tcPr>
            <w:tcW w:w="0" w:type="auto"/>
            <w:shd w:val="clear" w:color="auto" w:fill="FFFFFF"/>
            <w:tcMar>
              <w:top w:w="0" w:type="dxa"/>
              <w:left w:w="85" w:type="dxa"/>
              <w:bottom w:w="0" w:type="dxa"/>
              <w:right w:w="85" w:type="dxa"/>
            </w:tcMar>
            <w:vAlign w:val="center"/>
          </w:tcPr>
          <w:p w14:paraId="00A990C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2019</w:t>
            </w:r>
          </w:p>
        </w:tc>
        <w:tc>
          <w:tcPr>
            <w:tcW w:w="0" w:type="auto"/>
            <w:shd w:val="clear" w:color="auto" w:fill="FFFFFF"/>
            <w:tcMar>
              <w:top w:w="0" w:type="dxa"/>
              <w:left w:w="85" w:type="dxa"/>
              <w:bottom w:w="0" w:type="dxa"/>
              <w:right w:w="85" w:type="dxa"/>
            </w:tcMar>
            <w:vAlign w:val="center"/>
          </w:tcPr>
          <w:p w14:paraId="0423F35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472.4</w:t>
            </w:r>
          </w:p>
        </w:tc>
        <w:tc>
          <w:tcPr>
            <w:tcW w:w="0" w:type="auto"/>
            <w:shd w:val="clear" w:color="auto" w:fill="FFFFFF"/>
            <w:tcMar>
              <w:top w:w="0" w:type="dxa"/>
              <w:left w:w="85" w:type="dxa"/>
              <w:bottom w:w="0" w:type="dxa"/>
              <w:right w:w="85" w:type="dxa"/>
            </w:tcMar>
            <w:vAlign w:val="center"/>
          </w:tcPr>
          <w:p w14:paraId="723C252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27,938.6</w:t>
            </w:r>
          </w:p>
        </w:tc>
        <w:tc>
          <w:tcPr>
            <w:tcW w:w="0" w:type="auto"/>
            <w:shd w:val="clear" w:color="auto" w:fill="FFFFFF"/>
            <w:tcMar>
              <w:top w:w="0" w:type="dxa"/>
              <w:left w:w="85" w:type="dxa"/>
              <w:bottom w:w="0" w:type="dxa"/>
              <w:right w:w="85" w:type="dxa"/>
            </w:tcMar>
            <w:vAlign w:val="center"/>
          </w:tcPr>
          <w:p w14:paraId="086A43D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28,410.9</w:t>
            </w:r>
          </w:p>
        </w:tc>
      </w:tr>
      <w:tr w:rsidR="00EB5913" w:rsidRPr="006623B9" w14:paraId="54AB9FE2" w14:textId="77777777" w:rsidTr="00F2460B">
        <w:tc>
          <w:tcPr>
            <w:tcW w:w="0" w:type="auto"/>
            <w:shd w:val="clear" w:color="auto" w:fill="FFFFFF"/>
            <w:tcMar>
              <w:top w:w="0" w:type="dxa"/>
              <w:left w:w="85" w:type="dxa"/>
              <w:bottom w:w="0" w:type="dxa"/>
              <w:right w:w="85" w:type="dxa"/>
            </w:tcMar>
            <w:vAlign w:val="center"/>
          </w:tcPr>
          <w:p w14:paraId="523963D7"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2020</w:t>
            </w:r>
          </w:p>
        </w:tc>
        <w:tc>
          <w:tcPr>
            <w:tcW w:w="0" w:type="auto"/>
            <w:shd w:val="clear" w:color="auto" w:fill="FFFFFF"/>
            <w:tcMar>
              <w:top w:w="0" w:type="dxa"/>
              <w:left w:w="85" w:type="dxa"/>
              <w:bottom w:w="0" w:type="dxa"/>
              <w:right w:w="85" w:type="dxa"/>
            </w:tcMar>
            <w:vAlign w:val="center"/>
          </w:tcPr>
          <w:p w14:paraId="7EB817A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470.0</w:t>
            </w:r>
          </w:p>
        </w:tc>
        <w:tc>
          <w:tcPr>
            <w:tcW w:w="0" w:type="auto"/>
            <w:shd w:val="clear" w:color="auto" w:fill="FFFFFF"/>
            <w:tcMar>
              <w:top w:w="0" w:type="dxa"/>
              <w:left w:w="85" w:type="dxa"/>
              <w:bottom w:w="0" w:type="dxa"/>
              <w:right w:w="85" w:type="dxa"/>
            </w:tcMar>
            <w:vAlign w:val="center"/>
          </w:tcPr>
          <w:p w14:paraId="776F643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28,586.0</w:t>
            </w:r>
          </w:p>
        </w:tc>
        <w:tc>
          <w:tcPr>
            <w:tcW w:w="0" w:type="auto"/>
            <w:shd w:val="clear" w:color="auto" w:fill="FFFFFF"/>
            <w:tcMar>
              <w:top w:w="0" w:type="dxa"/>
              <w:left w:w="85" w:type="dxa"/>
              <w:bottom w:w="0" w:type="dxa"/>
              <w:right w:w="85" w:type="dxa"/>
            </w:tcMar>
            <w:vAlign w:val="center"/>
          </w:tcPr>
          <w:p w14:paraId="07654F9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29,056.0</w:t>
            </w:r>
          </w:p>
        </w:tc>
      </w:tr>
      <w:tr w:rsidR="00EB5913" w:rsidRPr="006623B9" w14:paraId="37264836" w14:textId="77777777" w:rsidTr="00F2460B">
        <w:tc>
          <w:tcPr>
            <w:tcW w:w="0" w:type="auto"/>
            <w:shd w:val="clear" w:color="auto" w:fill="FFFFFF"/>
            <w:tcMar>
              <w:top w:w="0" w:type="dxa"/>
              <w:left w:w="85" w:type="dxa"/>
              <w:bottom w:w="0" w:type="dxa"/>
              <w:right w:w="85" w:type="dxa"/>
            </w:tcMar>
            <w:vAlign w:val="center"/>
          </w:tcPr>
          <w:p w14:paraId="5721923E"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2021</w:t>
            </w:r>
          </w:p>
        </w:tc>
        <w:tc>
          <w:tcPr>
            <w:tcW w:w="0" w:type="auto"/>
            <w:shd w:val="clear" w:color="auto" w:fill="FFFFFF"/>
            <w:tcMar>
              <w:top w:w="0" w:type="dxa"/>
              <w:left w:w="85" w:type="dxa"/>
              <w:bottom w:w="0" w:type="dxa"/>
              <w:right w:w="85" w:type="dxa"/>
            </w:tcMar>
            <w:vAlign w:val="center"/>
          </w:tcPr>
          <w:p w14:paraId="3DF4390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474.3</w:t>
            </w:r>
          </w:p>
        </w:tc>
        <w:tc>
          <w:tcPr>
            <w:tcW w:w="0" w:type="auto"/>
            <w:shd w:val="clear" w:color="auto" w:fill="FFFFFF"/>
            <w:tcMar>
              <w:top w:w="0" w:type="dxa"/>
              <w:left w:w="85" w:type="dxa"/>
              <w:bottom w:w="0" w:type="dxa"/>
              <w:right w:w="85" w:type="dxa"/>
            </w:tcMar>
            <w:vAlign w:val="center"/>
          </w:tcPr>
          <w:p w14:paraId="5D3BA51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28,498.2</w:t>
            </w:r>
          </w:p>
        </w:tc>
        <w:tc>
          <w:tcPr>
            <w:tcW w:w="0" w:type="auto"/>
            <w:shd w:val="clear" w:color="auto" w:fill="FFFFFF"/>
            <w:tcMar>
              <w:top w:w="0" w:type="dxa"/>
              <w:left w:w="85" w:type="dxa"/>
              <w:bottom w:w="0" w:type="dxa"/>
              <w:right w:w="85" w:type="dxa"/>
            </w:tcMar>
            <w:vAlign w:val="center"/>
          </w:tcPr>
          <w:p w14:paraId="5439595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28,972.5</w:t>
            </w:r>
          </w:p>
        </w:tc>
      </w:tr>
      <w:tr w:rsidR="00EB5913" w:rsidRPr="006623B9" w14:paraId="5096DC34" w14:textId="77777777" w:rsidTr="00F2460B">
        <w:tc>
          <w:tcPr>
            <w:tcW w:w="0" w:type="auto"/>
            <w:shd w:val="clear" w:color="auto" w:fill="FFFFFF"/>
            <w:tcMar>
              <w:top w:w="0" w:type="dxa"/>
              <w:left w:w="85" w:type="dxa"/>
              <w:bottom w:w="0" w:type="dxa"/>
              <w:right w:w="85" w:type="dxa"/>
            </w:tcMar>
            <w:vAlign w:val="center"/>
          </w:tcPr>
          <w:p w14:paraId="52AD0A05"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2022</w:t>
            </w:r>
          </w:p>
        </w:tc>
        <w:tc>
          <w:tcPr>
            <w:tcW w:w="0" w:type="auto"/>
            <w:shd w:val="clear" w:color="auto" w:fill="FFFFFF"/>
            <w:tcMar>
              <w:top w:w="0" w:type="dxa"/>
              <w:left w:w="85" w:type="dxa"/>
              <w:bottom w:w="0" w:type="dxa"/>
              <w:right w:w="85" w:type="dxa"/>
            </w:tcMar>
            <w:vAlign w:val="center"/>
          </w:tcPr>
          <w:p w14:paraId="536649D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449.9</w:t>
            </w:r>
          </w:p>
        </w:tc>
        <w:tc>
          <w:tcPr>
            <w:tcW w:w="0" w:type="auto"/>
            <w:shd w:val="clear" w:color="auto" w:fill="FFFFFF"/>
            <w:tcMar>
              <w:top w:w="0" w:type="dxa"/>
              <w:left w:w="85" w:type="dxa"/>
              <w:bottom w:w="0" w:type="dxa"/>
              <w:right w:w="85" w:type="dxa"/>
            </w:tcMar>
            <w:vAlign w:val="center"/>
          </w:tcPr>
          <w:p w14:paraId="162AB54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29,790.7</w:t>
            </w:r>
          </w:p>
        </w:tc>
        <w:tc>
          <w:tcPr>
            <w:tcW w:w="0" w:type="auto"/>
            <w:shd w:val="clear" w:color="auto" w:fill="FFFFFF"/>
            <w:tcMar>
              <w:top w:w="0" w:type="dxa"/>
              <w:left w:w="85" w:type="dxa"/>
              <w:bottom w:w="0" w:type="dxa"/>
              <w:right w:w="85" w:type="dxa"/>
            </w:tcMar>
            <w:vAlign w:val="center"/>
          </w:tcPr>
          <w:p w14:paraId="7F78991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30,240.6</w:t>
            </w:r>
          </w:p>
        </w:tc>
      </w:tr>
      <w:tr w:rsidR="00EB5913" w:rsidRPr="006623B9" w14:paraId="3C4A883D" w14:textId="77777777" w:rsidTr="00F2460B">
        <w:tc>
          <w:tcPr>
            <w:tcW w:w="0" w:type="auto"/>
            <w:shd w:val="clear" w:color="auto" w:fill="FFFFFF"/>
            <w:tcMar>
              <w:top w:w="0" w:type="dxa"/>
              <w:left w:w="85" w:type="dxa"/>
              <w:bottom w:w="0" w:type="dxa"/>
              <w:right w:w="85" w:type="dxa"/>
            </w:tcMar>
            <w:vAlign w:val="center"/>
          </w:tcPr>
          <w:p w14:paraId="468A9BAB"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2023</w:t>
            </w:r>
          </w:p>
        </w:tc>
        <w:tc>
          <w:tcPr>
            <w:tcW w:w="0" w:type="auto"/>
            <w:shd w:val="clear" w:color="auto" w:fill="FFFFFF"/>
            <w:tcMar>
              <w:top w:w="0" w:type="dxa"/>
              <w:left w:w="85" w:type="dxa"/>
              <w:bottom w:w="0" w:type="dxa"/>
              <w:right w:w="85" w:type="dxa"/>
            </w:tcMar>
            <w:vAlign w:val="center"/>
          </w:tcPr>
          <w:p w14:paraId="4E82D4B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441.6</w:t>
            </w:r>
          </w:p>
        </w:tc>
        <w:tc>
          <w:tcPr>
            <w:tcW w:w="0" w:type="auto"/>
            <w:shd w:val="clear" w:color="auto" w:fill="FFFFFF"/>
            <w:tcMar>
              <w:top w:w="0" w:type="dxa"/>
              <w:left w:w="85" w:type="dxa"/>
              <w:bottom w:w="0" w:type="dxa"/>
              <w:right w:w="85" w:type="dxa"/>
            </w:tcMar>
            <w:vAlign w:val="center"/>
          </w:tcPr>
          <w:p w14:paraId="0C27A2B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30,859.6</w:t>
            </w:r>
          </w:p>
        </w:tc>
        <w:tc>
          <w:tcPr>
            <w:tcW w:w="0" w:type="auto"/>
            <w:shd w:val="clear" w:color="auto" w:fill="FFFFFF"/>
            <w:tcMar>
              <w:top w:w="0" w:type="dxa"/>
              <w:left w:w="85" w:type="dxa"/>
              <w:bottom w:w="0" w:type="dxa"/>
              <w:right w:w="85" w:type="dxa"/>
            </w:tcMar>
            <w:vAlign w:val="center"/>
          </w:tcPr>
          <w:p w14:paraId="679AE4D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31,301.1</w:t>
            </w:r>
          </w:p>
        </w:tc>
      </w:tr>
      <w:tr w:rsidR="00EB5913" w:rsidRPr="006623B9" w14:paraId="4059A565" w14:textId="77777777" w:rsidTr="00F2460B">
        <w:tc>
          <w:tcPr>
            <w:tcW w:w="0" w:type="auto"/>
            <w:shd w:val="clear" w:color="auto" w:fill="FFFFFF"/>
            <w:tcMar>
              <w:top w:w="0" w:type="dxa"/>
              <w:left w:w="85" w:type="dxa"/>
              <w:bottom w:w="0" w:type="dxa"/>
              <w:right w:w="85" w:type="dxa"/>
            </w:tcMar>
            <w:vAlign w:val="center"/>
          </w:tcPr>
          <w:p w14:paraId="12596E78" w14:textId="77777777" w:rsidR="00EB5913" w:rsidRPr="006623B9" w:rsidRDefault="00EB5913" w:rsidP="00F16E23">
            <w:pPr>
              <w:pStyle w:val="TableTextBold"/>
              <w:spacing w:before="40" w:after="40"/>
              <w:rPr>
                <w:rFonts w:cs="Calibri"/>
                <w:noProof w:val="0"/>
                <w:color w:val="1B556B" w:themeColor="text2"/>
                <w:szCs w:val="16"/>
              </w:rPr>
            </w:pPr>
            <w:r w:rsidRPr="006623B9">
              <w:rPr>
                <w:rFonts w:eastAsia="Calibri" w:cs="Calibri"/>
                <w:noProof w:val="0"/>
                <w:color w:val="1B556B" w:themeColor="text2"/>
                <w:szCs w:val="16"/>
              </w:rPr>
              <w:t>2024</w:t>
            </w:r>
          </w:p>
        </w:tc>
        <w:tc>
          <w:tcPr>
            <w:tcW w:w="0" w:type="auto"/>
            <w:shd w:val="clear" w:color="auto" w:fill="FFFFFF"/>
            <w:tcMar>
              <w:top w:w="0" w:type="dxa"/>
              <w:left w:w="85" w:type="dxa"/>
              <w:bottom w:w="0" w:type="dxa"/>
              <w:right w:w="85" w:type="dxa"/>
            </w:tcMar>
            <w:vAlign w:val="center"/>
          </w:tcPr>
          <w:p w14:paraId="0BEFB11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437.8</w:t>
            </w:r>
          </w:p>
        </w:tc>
        <w:tc>
          <w:tcPr>
            <w:tcW w:w="0" w:type="auto"/>
            <w:shd w:val="clear" w:color="auto" w:fill="FFFFFF"/>
            <w:tcMar>
              <w:top w:w="0" w:type="dxa"/>
              <w:left w:w="85" w:type="dxa"/>
              <w:bottom w:w="0" w:type="dxa"/>
              <w:right w:w="85" w:type="dxa"/>
            </w:tcMar>
            <w:vAlign w:val="center"/>
          </w:tcPr>
          <w:p w14:paraId="0568608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14,874.5</w:t>
            </w:r>
          </w:p>
        </w:tc>
        <w:tc>
          <w:tcPr>
            <w:tcW w:w="0" w:type="auto"/>
            <w:shd w:val="clear" w:color="auto" w:fill="FFFFFF"/>
            <w:tcMar>
              <w:top w:w="0" w:type="dxa"/>
              <w:left w:w="85" w:type="dxa"/>
              <w:bottom w:w="0" w:type="dxa"/>
              <w:right w:w="85" w:type="dxa"/>
            </w:tcMar>
            <w:vAlign w:val="center"/>
          </w:tcPr>
          <w:p w14:paraId="104BA08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15,312.4</w:t>
            </w:r>
          </w:p>
        </w:tc>
      </w:tr>
    </w:tbl>
    <w:p w14:paraId="4A2AEB6F" w14:textId="77777777" w:rsidR="00EB5913" w:rsidRPr="006623B9" w:rsidRDefault="00EB5913" w:rsidP="00EB5913">
      <w:pPr>
        <w:pStyle w:val="Noteundertable"/>
        <w:spacing w:after="0"/>
      </w:pPr>
      <w:r w:rsidRPr="006623B9">
        <w:rPr>
          <w:b/>
          <w:bCs/>
        </w:rPr>
        <w:t>Note:</w:t>
      </w:r>
      <w:r w:rsidRPr="006623B9">
        <w:t xml:space="preserve"> </w:t>
      </w:r>
      <w:r w:rsidRPr="006623B9">
        <w:tab/>
        <w:t>Columns may not total due to rounding. It is assumed that an equal and additional amount of farm waste that is buried in farm fills is burned (see section 7.4).</w:t>
      </w:r>
    </w:p>
    <w:p w14:paraId="6B96CFB2" w14:textId="77777777" w:rsidR="00EB5913" w:rsidRPr="006623B9" w:rsidRDefault="00EB5913" w:rsidP="00EB5913">
      <w:pPr>
        <w:pStyle w:val="Heading4"/>
      </w:pPr>
      <w:bookmarkStart w:id="3022" w:name="choice-of-methods"/>
      <w:bookmarkEnd w:id="3015"/>
      <w:bookmarkEnd w:id="3019"/>
      <w:r w:rsidRPr="006623B9">
        <w:t>Choice of methods</w:t>
      </w:r>
    </w:p>
    <w:p w14:paraId="13AADFB8" w14:textId="77777777" w:rsidR="00EB5913" w:rsidRPr="006623B9" w:rsidRDefault="00EB5913" w:rsidP="00EB5913">
      <w:pPr>
        <w:pStyle w:val="BodyText"/>
        <w:spacing w:before="100" w:after="100"/>
      </w:pPr>
      <w:r w:rsidRPr="006623B9">
        <w:t>Estimations of CH</w:t>
      </w:r>
      <w:r w:rsidRPr="006623B9">
        <w:rPr>
          <w:vertAlign w:val="subscript"/>
        </w:rPr>
        <w:t>4</w:t>
      </w:r>
      <w:r w:rsidRPr="006623B9">
        <w:t xml:space="preserve"> emissions from </w:t>
      </w:r>
      <w:r w:rsidRPr="006623B9">
        <w:rPr>
          <w:i/>
          <w:iCs/>
        </w:rPr>
        <w:t>Solid waste disposal</w:t>
      </w:r>
      <w:r w:rsidRPr="006623B9">
        <w:t xml:space="preserve"> to land were calculated using the first order decay (FOD) model, in accordance with the Tier 2 method outlined in the 2006 IPCC Guidelines (IPCC, 2006a). This method assumes that the degradable organic component in waste decays slowly over decades, during which CH</w:t>
      </w:r>
      <w:r w:rsidRPr="006623B9">
        <w:rPr>
          <w:vertAlign w:val="subscript"/>
        </w:rPr>
        <w:t>4</w:t>
      </w:r>
      <w:r w:rsidRPr="006623B9">
        <w:t xml:space="preserve"> and CO</w:t>
      </w:r>
      <w:r w:rsidRPr="006623B9">
        <w:rPr>
          <w:vertAlign w:val="subscript"/>
        </w:rPr>
        <w:t>2</w:t>
      </w:r>
      <w:r w:rsidRPr="006623B9">
        <w:t xml:space="preserve"> are emitted.</w:t>
      </w:r>
    </w:p>
    <w:p w14:paraId="1D5559A8" w14:textId="77777777" w:rsidR="00EB5913" w:rsidRPr="006623B9" w:rsidRDefault="00EB5913" w:rsidP="00EB5913">
      <w:pPr>
        <w:pStyle w:val="Heading5"/>
      </w:pPr>
      <w:bookmarkStart w:id="3023" w:name="X221515b014f52367f35ab77137ea8eb445c5817"/>
      <w:r w:rsidRPr="006623B9">
        <w:t>Managed solid waste disposal sites (5.A.1.a)</w:t>
      </w:r>
    </w:p>
    <w:p w14:paraId="6E5D4444" w14:textId="77777777" w:rsidR="00EB5913" w:rsidRPr="006623B9" w:rsidRDefault="00EB5913" w:rsidP="00EB5913">
      <w:pPr>
        <w:pStyle w:val="BodyText"/>
        <w:spacing w:before="100" w:after="100"/>
      </w:pPr>
      <w:r w:rsidRPr="006623B9">
        <w:t>Managed SWDS employ a multi-phase FOD model consistent with the IPCC (2006a) Guidelines, using country-specific parameters.</w:t>
      </w:r>
    </w:p>
    <w:p w14:paraId="0B10D46D" w14:textId="77777777" w:rsidR="00EB5913" w:rsidRPr="006623B9" w:rsidRDefault="00EB5913" w:rsidP="00EB5913">
      <w:pPr>
        <w:pStyle w:val="BodyText"/>
        <w:spacing w:before="100" w:after="100"/>
      </w:pPr>
      <w:r w:rsidRPr="006623B9">
        <w:t>For each of the 27 landfill sites that had LFG recovery at any point, the multi-phase FOD model has been applied to estimate CH</w:t>
      </w:r>
      <w:r w:rsidRPr="006623B9">
        <w:rPr>
          <w:vertAlign w:val="subscript"/>
        </w:rPr>
        <w:t>4</w:t>
      </w:r>
      <w:r w:rsidRPr="006623B9">
        <w:t xml:space="preserve"> emissions. This model incorporates site-specific data, such as waste placement volumes, decay rates (k-values) based on local climate conditions, and LFG recovery efficiency rates that reflect the landfill’s operational status (either open or closed). These 27 sites, still operational, account for approximately 90 percent of the waste disposed at managed SWDS, as shown in table 7.2.3.</w:t>
      </w:r>
    </w:p>
    <w:p w14:paraId="1FB2067B" w14:textId="77777777" w:rsidR="00EB5913" w:rsidRPr="006623B9" w:rsidRDefault="00EB5913" w:rsidP="00EB5913">
      <w:pPr>
        <w:pStyle w:val="BodyText"/>
        <w:spacing w:before="100" w:after="100"/>
        <w:rPr>
          <w:spacing w:val="-2"/>
        </w:rPr>
      </w:pPr>
      <w:r w:rsidRPr="006623B9">
        <w:rPr>
          <w:spacing w:val="-2"/>
        </w:rPr>
        <w:t>Municipal waste at sites outside of these 27 landfills is typically disposed of in smaller landfills that have never had gas recovery systems. In 1990, more than 300 such sites existed, and by 2024, approximately 23 were still in operation. This number includes very small sites serving small and remote communities. The FOD model has also been applied to estimate the total CH</w:t>
      </w:r>
      <w:r w:rsidRPr="006623B9">
        <w:rPr>
          <w:spacing w:val="-2"/>
          <w:vertAlign w:val="subscript"/>
        </w:rPr>
        <w:t>4</w:t>
      </w:r>
      <w:r w:rsidRPr="006623B9">
        <w:rPr>
          <w:spacing w:val="-2"/>
        </w:rPr>
        <w:t> emissions from these landfills as a whole, using the same approach as the sites with LFG recovery, except that all of these sites are assumed to have a wet climate and zero LFG recovery.</w:t>
      </w:r>
    </w:p>
    <w:p w14:paraId="0BAF6EF5" w14:textId="77777777" w:rsidR="00EB5913" w:rsidRPr="006623B9" w:rsidRDefault="00EB5913" w:rsidP="00EB5913">
      <w:pPr>
        <w:pStyle w:val="Heading5"/>
      </w:pPr>
      <w:bookmarkStart w:id="3024" w:name="Xfe826462239c5ad383f4eddd636bb7e04d69442"/>
      <w:bookmarkEnd w:id="3023"/>
      <w:r w:rsidRPr="006623B9">
        <w:t>Unmanaged solid waste disposal sites and farm fills (5.A.2)</w:t>
      </w:r>
    </w:p>
    <w:p w14:paraId="64407169" w14:textId="77777777" w:rsidR="00EB5913" w:rsidRPr="006623B9" w:rsidRDefault="00EB5913" w:rsidP="00EB5913">
      <w:pPr>
        <w:pStyle w:val="BodyText"/>
      </w:pPr>
      <w:r w:rsidRPr="006623B9">
        <w:t>Most unmanaged SWDS and privately owned industrial landfills are permitted to receive inert materials, although some may also accept limited quantities of green waste, typically up to 5 percent to 10 percent, depending on local resource consent conditions. While the WMA allows the disposal of organic waste at industrial monofills, some construction and demolition landfills may accept a broader range of waste types, including those with a higher organic content. Information on historical waste acceptance and management practices at these sites remains limited. The FOD model has been applied to estimate total CH</w:t>
      </w:r>
      <w:r w:rsidRPr="006623B9">
        <w:rPr>
          <w:vertAlign w:val="subscript"/>
        </w:rPr>
        <w:t>4</w:t>
      </w:r>
      <w:r w:rsidRPr="006623B9">
        <w:t xml:space="preserve"> emissions from unmanaged SWDS.</w:t>
      </w:r>
    </w:p>
    <w:p w14:paraId="174BC321" w14:textId="77777777" w:rsidR="00EB5913" w:rsidRPr="006623B9" w:rsidRDefault="00EB5913" w:rsidP="00EB5913">
      <w:pPr>
        <w:pStyle w:val="BodyText"/>
      </w:pPr>
      <w:r w:rsidRPr="006623B9">
        <w:rPr>
          <w:spacing w:val="-2"/>
        </w:rPr>
        <w:t>For farm fills, the FOD model has been used to estimate CH</w:t>
      </w:r>
      <w:r w:rsidRPr="006623B9">
        <w:rPr>
          <w:spacing w:val="-2"/>
          <w:vertAlign w:val="subscript"/>
        </w:rPr>
        <w:t>4</w:t>
      </w:r>
      <w:r w:rsidRPr="006623B9">
        <w:rPr>
          <w:spacing w:val="-2"/>
        </w:rPr>
        <w:t xml:space="preserve"> emissions based on the proportion</w:t>
      </w:r>
      <w:r w:rsidRPr="006623B9">
        <w:t xml:space="preserve"> of farm waste landfilled. Survey data on waste composition from dairy, livestock, arable and viticulture operations (GHD, 2013, 2014) were used to determine weighted average values for the DOC content of waste from these agricultural sectors. Data for viticulture and arable farms were used to estimate the DOC content for other horticultural farm types (GHD, 2013).</w:t>
      </w:r>
    </w:p>
    <w:p w14:paraId="508997BD" w14:textId="77777777" w:rsidR="00EB5913" w:rsidRPr="006623B9" w:rsidRDefault="00EB5913" w:rsidP="00EB5913">
      <w:pPr>
        <w:pStyle w:val="Heading4"/>
      </w:pPr>
      <w:bookmarkStart w:id="3025" w:name="uncategorised-waste-disposal-sites-5.a.3"/>
      <w:bookmarkEnd w:id="3022"/>
      <w:bookmarkEnd w:id="3024"/>
      <w:r w:rsidRPr="006623B9">
        <w:t>Uncategorised waste disposal sites (5.A.3)</w:t>
      </w:r>
    </w:p>
    <w:p w14:paraId="498F03D4" w14:textId="77777777" w:rsidR="00EB5913" w:rsidRPr="006623B9" w:rsidRDefault="00EB5913" w:rsidP="00EB5913">
      <w:pPr>
        <w:pStyle w:val="BodyText"/>
      </w:pPr>
      <w:r w:rsidRPr="006623B9">
        <w:t>Emissions from this category were estimated using a Tier 1 methodology. Under the Tier 1 approach, default parameter values provided in the IPCC Guidelines are applied. The First Order Decay (FOD) model was used to estimate total CH₄ emissions from uncategorised solid waste disposal sites.</w:t>
      </w:r>
    </w:p>
    <w:p w14:paraId="0E92B183" w14:textId="77777777" w:rsidR="00EB5913" w:rsidRPr="006623B9" w:rsidRDefault="00EB5913" w:rsidP="00EB5913">
      <w:pPr>
        <w:pStyle w:val="Heading4"/>
      </w:pPr>
      <w:bookmarkStart w:id="3026" w:name="X64e8346dfcafd746400d549bffeca46f4706a17"/>
      <w:bookmarkEnd w:id="3025"/>
      <w:r w:rsidRPr="006623B9">
        <w:t>Choice of emission factors and parameters</w:t>
      </w:r>
    </w:p>
    <w:p w14:paraId="2CB0ABBC" w14:textId="77777777" w:rsidR="00EB5913" w:rsidRPr="006623B9" w:rsidRDefault="00EB5913" w:rsidP="00EB5913">
      <w:pPr>
        <w:pStyle w:val="Heading5"/>
        <w:spacing w:before="180"/>
      </w:pPr>
      <w:bookmarkStart w:id="3027" w:name="X53f46d6e10149c2512073cbc30a7f70bb4d5929"/>
      <w:r w:rsidRPr="006623B9">
        <w:t>Managed solid waste disposal sites (5.A.1.a)</w:t>
      </w:r>
    </w:p>
    <w:p w14:paraId="10B9072B" w14:textId="77777777" w:rsidR="00EB5913" w:rsidRPr="006623B9" w:rsidRDefault="00EB5913" w:rsidP="00EB5913">
      <w:pPr>
        <w:pStyle w:val="Heading6"/>
        <w:spacing w:before="180"/>
      </w:pPr>
      <w:bookmarkStart w:id="3028" w:name="waste-composition"/>
      <w:r w:rsidRPr="006623B9">
        <w:t>Waste composition</w:t>
      </w:r>
    </w:p>
    <w:p w14:paraId="2554B51E" w14:textId="77777777" w:rsidR="00EB5913" w:rsidRPr="006623B9" w:rsidRDefault="00EB5913" w:rsidP="00EB5913">
      <w:pPr>
        <w:pStyle w:val="BodyText"/>
      </w:pPr>
      <w:r w:rsidRPr="006623B9">
        <w:t>Many managed SWDS in New Zealand accept both commercial and industrial waste, in addition to household waste. However, there are insufficient data to determine the exact proportion of waste disposed of at managed SWDS that originates from commercial and industrial sources. While government regulations requiring disposal facility operators to report the source of waste they receive were agreed upon in 2023, these regulations came into effect in 2024, and the first full set of data was available in 2025. Where composition surveys have been conducted at sites that accept commercial and industrial waste, these data have been incorporated into the overall waste composition estimates.</w:t>
      </w:r>
    </w:p>
    <w:p w14:paraId="3DB51817" w14:textId="77777777" w:rsidR="00EB5913" w:rsidRPr="006623B9" w:rsidRDefault="00EB5913" w:rsidP="00EB5913">
      <w:pPr>
        <w:pStyle w:val="BodyText"/>
      </w:pPr>
      <w:r w:rsidRPr="006623B9">
        <w:t>Waste composition estimates have been derived from national surveys conducted in 1995 and 2004 (Ministry for the Environment, 1997; Waste Not Consulting, unpublished(a)). Further estimates have been made for the years 2006, 2008, 2012, 2016, 2018 to 2019 and 2021 to 2024, based on individual landfill surveys (Eunomia, unpublished(a), unpublished (d); MWH, 2017; Waste Not Consulting, unpublished(b), unpublished(c)). These surveys were conducted using the Solid Waste Analysis Protocol (Ministry for the Environment, 2002b), adapted to landfill type, to ensure consistent sampling and analysis methodologies. The 2018 surveys, conducted by territorial authorities at 18 disposal facilities and transfer stations, covered 66 percent of the total waste disposed of at the surveyed managed SWDS that year.</w:t>
      </w:r>
    </w:p>
    <w:p w14:paraId="6769FC2D" w14:textId="77777777" w:rsidR="00EB5913" w:rsidRPr="006623B9" w:rsidRDefault="00EB5913" w:rsidP="00EB5913">
      <w:pPr>
        <w:pStyle w:val="BodyText"/>
      </w:pPr>
      <w:r w:rsidRPr="006623B9">
        <w:t>No reliable waste composition data are available for the period prior to 1995. For the years 1950 to 1994, the 1995 survey data were used, with adjustments made to account for the introduction of disposable nappies in the 1960s (Eunomia Research and Consulting and Waste Not Consulting, unpublished). Linear interpolation was applied for the years between survey years, and waste composition from 2018 onwards is assumed to be consistent with the 2018 data. Additional individual landfill surveys conducted after 2018 were used to refine the composition estimates, though the impact of these adjustments was minimal.</w:t>
      </w:r>
    </w:p>
    <w:p w14:paraId="67FC31AC" w14:textId="77777777" w:rsidR="00EB5913" w:rsidRPr="006623B9" w:rsidRDefault="00EB5913" w:rsidP="00EB5913">
      <w:pPr>
        <w:pStyle w:val="BodyText"/>
      </w:pPr>
      <w:r w:rsidRPr="006623B9">
        <w:t>Table 7.2.7 presents the estimated waste composition data for the period from 1950 to 2024, which have been applied to all managed SWDS.</w:t>
      </w:r>
    </w:p>
    <w:p w14:paraId="510A7FD4" w14:textId="77777777" w:rsidR="00EB5913" w:rsidRPr="006623B9" w:rsidRDefault="00EB5913" w:rsidP="00EB5913">
      <w:pPr>
        <w:pStyle w:val="Table"/>
      </w:pPr>
      <w:bookmarkStart w:id="3029" w:name="_Toc226669105"/>
      <w:r w:rsidRPr="006623B9">
        <w:t xml:space="preserve">Table 7.2.7 </w:t>
      </w:r>
      <w:r w:rsidRPr="006623B9">
        <w:tab/>
        <w:t>Estimated composition of waste disposed to managed solid waste disposal sites,</w:t>
      </w:r>
      <w:r w:rsidRPr="006623B9">
        <w:br/>
        <w:t xml:space="preserve">from 1950 to </w:t>
      </w:r>
      <w:r w:rsidRPr="006623B9">
        <w:rPr>
          <w:bCs/>
        </w:rPr>
        <w:t>2024</w:t>
      </w:r>
      <w:bookmarkEnd w:id="3029"/>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867"/>
        <w:gridCol w:w="567"/>
        <w:gridCol w:w="794"/>
        <w:gridCol w:w="794"/>
        <w:gridCol w:w="658"/>
        <w:gridCol w:w="715"/>
        <w:gridCol w:w="832"/>
        <w:gridCol w:w="710"/>
        <w:gridCol w:w="555"/>
        <w:gridCol w:w="2070"/>
      </w:tblGrid>
      <w:tr w:rsidR="00EB5913" w:rsidRPr="006623B9" w14:paraId="4D28119E" w14:textId="77777777" w:rsidTr="00F16E23">
        <w:trPr>
          <w:tblHeader/>
        </w:trPr>
        <w:tc>
          <w:tcPr>
            <w:tcW w:w="0" w:type="auto"/>
            <w:shd w:val="clear" w:color="auto" w:fill="1B556B"/>
            <w:tcMar>
              <w:top w:w="0" w:type="dxa"/>
              <w:left w:w="57" w:type="dxa"/>
              <w:bottom w:w="0" w:type="dxa"/>
              <w:right w:w="57" w:type="dxa"/>
            </w:tcMar>
            <w:vAlign w:val="bottom"/>
          </w:tcPr>
          <w:p w14:paraId="1AD6DAE2" w14:textId="77777777" w:rsidR="00EB5913" w:rsidRPr="006623B9" w:rsidRDefault="00EB5913" w:rsidP="00F16E23">
            <w:pPr>
              <w:pStyle w:val="TableTextBold"/>
              <w:spacing w:before="40" w:after="40"/>
              <w:rPr>
                <w:noProof w:val="0"/>
              </w:rPr>
            </w:pPr>
            <w:r w:rsidRPr="006623B9">
              <w:rPr>
                <w:rFonts w:eastAsia="Calibri"/>
                <w:noProof w:val="0"/>
                <w:color w:val="FFFFFF" w:themeColor="background1"/>
              </w:rPr>
              <w:t>Year</w:t>
            </w:r>
          </w:p>
        </w:tc>
        <w:tc>
          <w:tcPr>
            <w:tcW w:w="567" w:type="dxa"/>
            <w:shd w:val="clear" w:color="auto" w:fill="1B556B"/>
            <w:tcMar>
              <w:top w:w="0" w:type="dxa"/>
              <w:left w:w="57" w:type="dxa"/>
              <w:bottom w:w="0" w:type="dxa"/>
              <w:right w:w="57" w:type="dxa"/>
            </w:tcMar>
            <w:vAlign w:val="bottom"/>
          </w:tcPr>
          <w:p w14:paraId="3F97D509"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Food (%)</w:t>
            </w:r>
          </w:p>
        </w:tc>
        <w:tc>
          <w:tcPr>
            <w:tcW w:w="794" w:type="dxa"/>
            <w:shd w:val="clear" w:color="auto" w:fill="1B556B"/>
            <w:tcMar>
              <w:top w:w="0" w:type="dxa"/>
              <w:left w:w="57" w:type="dxa"/>
              <w:bottom w:w="0" w:type="dxa"/>
              <w:right w:w="57" w:type="dxa"/>
            </w:tcMar>
            <w:vAlign w:val="bottom"/>
          </w:tcPr>
          <w:p w14:paraId="3ED4984E"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Garden (%)</w:t>
            </w:r>
          </w:p>
        </w:tc>
        <w:tc>
          <w:tcPr>
            <w:tcW w:w="794" w:type="dxa"/>
            <w:shd w:val="clear" w:color="auto" w:fill="1B556B"/>
            <w:tcMar>
              <w:top w:w="0" w:type="dxa"/>
              <w:left w:w="57" w:type="dxa"/>
              <w:bottom w:w="0" w:type="dxa"/>
              <w:right w:w="57" w:type="dxa"/>
            </w:tcMar>
            <w:vAlign w:val="bottom"/>
          </w:tcPr>
          <w:p w14:paraId="7CE3C099"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 xml:space="preserve">Paper </w:t>
            </w:r>
            <w:r w:rsidRPr="006623B9">
              <w:rPr>
                <w:rFonts w:eastAsia="Calibri"/>
                <w:noProof w:val="0"/>
                <w:color w:val="FFFFFF" w:themeColor="background1"/>
              </w:rPr>
              <w:br/>
              <w:t>(%)</w:t>
            </w:r>
          </w:p>
        </w:tc>
        <w:tc>
          <w:tcPr>
            <w:tcW w:w="0" w:type="auto"/>
            <w:shd w:val="clear" w:color="auto" w:fill="1B556B"/>
            <w:tcMar>
              <w:top w:w="0" w:type="dxa"/>
              <w:left w:w="57" w:type="dxa"/>
              <w:bottom w:w="0" w:type="dxa"/>
              <w:right w:w="57" w:type="dxa"/>
            </w:tcMar>
            <w:vAlign w:val="bottom"/>
          </w:tcPr>
          <w:p w14:paraId="4860ACBC"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 xml:space="preserve">Wood </w:t>
            </w:r>
            <w:r w:rsidRPr="006623B9">
              <w:rPr>
                <w:rFonts w:eastAsia="Calibri"/>
                <w:noProof w:val="0"/>
                <w:color w:val="FFFFFF" w:themeColor="background1"/>
              </w:rPr>
              <w:br/>
              <w:t>(%)</w:t>
            </w:r>
          </w:p>
        </w:tc>
        <w:tc>
          <w:tcPr>
            <w:tcW w:w="0" w:type="auto"/>
            <w:shd w:val="clear" w:color="auto" w:fill="1B556B"/>
            <w:tcMar>
              <w:top w:w="0" w:type="dxa"/>
              <w:left w:w="57" w:type="dxa"/>
              <w:bottom w:w="0" w:type="dxa"/>
              <w:right w:w="57" w:type="dxa"/>
            </w:tcMar>
            <w:vAlign w:val="bottom"/>
          </w:tcPr>
          <w:p w14:paraId="3FCF8B94"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 xml:space="preserve">Textile </w:t>
            </w:r>
            <w:r w:rsidRPr="006623B9">
              <w:rPr>
                <w:rFonts w:eastAsia="Calibri"/>
                <w:noProof w:val="0"/>
                <w:color w:val="FFFFFF" w:themeColor="background1"/>
              </w:rPr>
              <w:br/>
              <w:t>(%)</w:t>
            </w:r>
          </w:p>
        </w:tc>
        <w:tc>
          <w:tcPr>
            <w:tcW w:w="0" w:type="auto"/>
            <w:shd w:val="clear" w:color="auto" w:fill="1B556B"/>
            <w:tcMar>
              <w:top w:w="0" w:type="dxa"/>
              <w:left w:w="57" w:type="dxa"/>
              <w:bottom w:w="0" w:type="dxa"/>
              <w:right w:w="57" w:type="dxa"/>
            </w:tcMar>
            <w:vAlign w:val="bottom"/>
          </w:tcPr>
          <w:p w14:paraId="182A7A18"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 xml:space="preserve">Nappies </w:t>
            </w:r>
            <w:r w:rsidRPr="006623B9">
              <w:rPr>
                <w:rFonts w:eastAsia="Calibri"/>
                <w:noProof w:val="0"/>
                <w:color w:val="FFFFFF" w:themeColor="background1"/>
              </w:rPr>
              <w:br/>
              <w:t>(%)</w:t>
            </w:r>
          </w:p>
        </w:tc>
        <w:tc>
          <w:tcPr>
            <w:tcW w:w="0" w:type="auto"/>
            <w:shd w:val="clear" w:color="auto" w:fill="1B556B"/>
            <w:tcMar>
              <w:top w:w="0" w:type="dxa"/>
              <w:left w:w="57" w:type="dxa"/>
              <w:bottom w:w="0" w:type="dxa"/>
              <w:right w:w="57" w:type="dxa"/>
            </w:tcMar>
            <w:vAlign w:val="bottom"/>
          </w:tcPr>
          <w:p w14:paraId="309AAF94"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 xml:space="preserve">Sludge </w:t>
            </w:r>
            <w:r w:rsidRPr="006623B9">
              <w:rPr>
                <w:rFonts w:eastAsia="Calibri"/>
                <w:noProof w:val="0"/>
                <w:color w:val="FFFFFF" w:themeColor="background1"/>
              </w:rPr>
              <w:br/>
              <w:t>(%)</w:t>
            </w:r>
          </w:p>
        </w:tc>
        <w:tc>
          <w:tcPr>
            <w:tcW w:w="0" w:type="auto"/>
            <w:shd w:val="clear" w:color="auto" w:fill="1B556B"/>
            <w:tcMar>
              <w:top w:w="0" w:type="dxa"/>
              <w:left w:w="57" w:type="dxa"/>
              <w:bottom w:w="0" w:type="dxa"/>
              <w:right w:w="57" w:type="dxa"/>
            </w:tcMar>
            <w:vAlign w:val="bottom"/>
          </w:tcPr>
          <w:p w14:paraId="394E97D5"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 xml:space="preserve">Inert </w:t>
            </w:r>
            <w:r w:rsidRPr="006623B9">
              <w:rPr>
                <w:rFonts w:eastAsia="Calibri"/>
                <w:noProof w:val="0"/>
                <w:color w:val="FFFFFF" w:themeColor="background1"/>
              </w:rPr>
              <w:br/>
              <w:t>(%)</w:t>
            </w:r>
          </w:p>
        </w:tc>
        <w:tc>
          <w:tcPr>
            <w:tcW w:w="0" w:type="auto"/>
            <w:shd w:val="clear" w:color="auto" w:fill="1B556B"/>
            <w:tcMar>
              <w:top w:w="0" w:type="dxa"/>
              <w:left w:w="57" w:type="dxa"/>
              <w:bottom w:w="0" w:type="dxa"/>
              <w:right w:w="57" w:type="dxa"/>
            </w:tcMar>
            <w:vAlign w:val="bottom"/>
          </w:tcPr>
          <w:p w14:paraId="1723A2C5"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Notes</w:t>
            </w:r>
          </w:p>
        </w:tc>
      </w:tr>
      <w:tr w:rsidR="00EB5913" w:rsidRPr="006623B9" w14:paraId="59B2EBE9" w14:textId="77777777" w:rsidTr="00F16E23">
        <w:tc>
          <w:tcPr>
            <w:tcW w:w="0" w:type="auto"/>
            <w:shd w:val="clear" w:color="auto" w:fill="FFFFFF"/>
            <w:tcMar>
              <w:top w:w="0" w:type="dxa"/>
              <w:left w:w="57" w:type="dxa"/>
              <w:bottom w:w="0" w:type="dxa"/>
              <w:right w:w="57" w:type="dxa"/>
            </w:tcMar>
            <w:vAlign w:val="center"/>
          </w:tcPr>
          <w:p w14:paraId="1538C121"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1950–60</w:t>
            </w:r>
          </w:p>
        </w:tc>
        <w:tc>
          <w:tcPr>
            <w:tcW w:w="567" w:type="dxa"/>
            <w:shd w:val="clear" w:color="auto" w:fill="FFFFFF"/>
            <w:tcMar>
              <w:top w:w="0" w:type="dxa"/>
              <w:left w:w="57" w:type="dxa"/>
              <w:bottom w:w="0" w:type="dxa"/>
              <w:right w:w="57" w:type="dxa"/>
            </w:tcMar>
            <w:vAlign w:val="center"/>
          </w:tcPr>
          <w:p w14:paraId="3D55C397" w14:textId="77777777" w:rsidR="00EB5913" w:rsidRPr="006623B9" w:rsidRDefault="00EB5913" w:rsidP="00F16E23">
            <w:pPr>
              <w:pStyle w:val="TableText"/>
              <w:spacing w:before="40" w:after="40"/>
              <w:jc w:val="right"/>
            </w:pPr>
            <w:r w:rsidRPr="006623B9">
              <w:rPr>
                <w:rFonts w:eastAsia="Calibri"/>
              </w:rPr>
              <w:t>17.2</w:t>
            </w:r>
          </w:p>
        </w:tc>
        <w:tc>
          <w:tcPr>
            <w:tcW w:w="794" w:type="dxa"/>
            <w:shd w:val="clear" w:color="auto" w:fill="FFFFFF"/>
            <w:tcMar>
              <w:top w:w="0" w:type="dxa"/>
              <w:left w:w="57" w:type="dxa"/>
              <w:bottom w:w="0" w:type="dxa"/>
              <w:right w:w="57" w:type="dxa"/>
            </w:tcMar>
            <w:vAlign w:val="center"/>
          </w:tcPr>
          <w:p w14:paraId="1E3D3EF7" w14:textId="77777777" w:rsidR="00EB5913" w:rsidRPr="006623B9" w:rsidRDefault="00EB5913" w:rsidP="00F16E23">
            <w:pPr>
              <w:pStyle w:val="TableText"/>
              <w:spacing w:before="40" w:after="40"/>
              <w:jc w:val="right"/>
            </w:pPr>
            <w:r w:rsidRPr="006623B9">
              <w:rPr>
                <w:rFonts w:eastAsia="Calibri"/>
              </w:rPr>
              <w:t>11.0</w:t>
            </w:r>
          </w:p>
        </w:tc>
        <w:tc>
          <w:tcPr>
            <w:tcW w:w="794" w:type="dxa"/>
            <w:shd w:val="clear" w:color="auto" w:fill="FFFFFF"/>
            <w:tcMar>
              <w:top w:w="0" w:type="dxa"/>
              <w:left w:w="57" w:type="dxa"/>
              <w:bottom w:w="0" w:type="dxa"/>
              <w:right w:w="57" w:type="dxa"/>
            </w:tcMar>
            <w:vAlign w:val="center"/>
          </w:tcPr>
          <w:p w14:paraId="2EA54BAB" w14:textId="77777777" w:rsidR="00EB5913" w:rsidRPr="006623B9" w:rsidRDefault="00EB5913" w:rsidP="00F16E23">
            <w:pPr>
              <w:pStyle w:val="TableText"/>
              <w:spacing w:before="40" w:after="40"/>
              <w:jc w:val="right"/>
            </w:pPr>
            <w:r w:rsidRPr="006623B9">
              <w:rPr>
                <w:rFonts w:eastAsia="Calibri"/>
              </w:rPr>
              <w:t>16.3</w:t>
            </w:r>
          </w:p>
        </w:tc>
        <w:tc>
          <w:tcPr>
            <w:tcW w:w="0" w:type="auto"/>
            <w:shd w:val="clear" w:color="auto" w:fill="FFFFFF"/>
            <w:tcMar>
              <w:top w:w="0" w:type="dxa"/>
              <w:left w:w="57" w:type="dxa"/>
              <w:bottom w:w="0" w:type="dxa"/>
              <w:right w:w="57" w:type="dxa"/>
            </w:tcMar>
            <w:vAlign w:val="center"/>
          </w:tcPr>
          <w:p w14:paraId="1654B2F8" w14:textId="77777777" w:rsidR="00EB5913" w:rsidRPr="006623B9" w:rsidRDefault="00EB5913" w:rsidP="00F16E23">
            <w:pPr>
              <w:pStyle w:val="TableText"/>
              <w:spacing w:before="40" w:after="40"/>
              <w:jc w:val="right"/>
            </w:pPr>
            <w:r w:rsidRPr="006623B9">
              <w:rPr>
                <w:rFonts w:eastAsia="Calibri"/>
              </w:rPr>
              <w:t>7.1</w:t>
            </w:r>
          </w:p>
        </w:tc>
        <w:tc>
          <w:tcPr>
            <w:tcW w:w="0" w:type="auto"/>
            <w:shd w:val="clear" w:color="auto" w:fill="FFFFFF"/>
            <w:tcMar>
              <w:top w:w="0" w:type="dxa"/>
              <w:left w:w="57" w:type="dxa"/>
              <w:bottom w:w="0" w:type="dxa"/>
              <w:right w:w="57" w:type="dxa"/>
            </w:tcMar>
            <w:vAlign w:val="center"/>
          </w:tcPr>
          <w:p w14:paraId="4A629163" w14:textId="77777777" w:rsidR="00EB5913" w:rsidRPr="006623B9" w:rsidRDefault="00EB5913" w:rsidP="00F16E23">
            <w:pPr>
              <w:pStyle w:val="TableText"/>
              <w:spacing w:before="40" w:after="40"/>
              <w:jc w:val="right"/>
            </w:pPr>
            <w:r w:rsidRPr="006623B9">
              <w:rPr>
                <w:rFonts w:eastAsia="Calibri"/>
              </w:rPr>
              <w:t>0.5</w:t>
            </w:r>
          </w:p>
        </w:tc>
        <w:tc>
          <w:tcPr>
            <w:tcW w:w="0" w:type="auto"/>
            <w:shd w:val="clear" w:color="auto" w:fill="FFFFFF"/>
            <w:tcMar>
              <w:top w:w="0" w:type="dxa"/>
              <w:left w:w="57" w:type="dxa"/>
              <w:bottom w:w="0" w:type="dxa"/>
              <w:right w:w="57" w:type="dxa"/>
            </w:tcMar>
            <w:vAlign w:val="center"/>
          </w:tcPr>
          <w:p w14:paraId="42704CC5"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57" w:type="dxa"/>
              <w:bottom w:w="0" w:type="dxa"/>
              <w:right w:w="57" w:type="dxa"/>
            </w:tcMar>
            <w:vAlign w:val="center"/>
          </w:tcPr>
          <w:p w14:paraId="693DF82E"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0966FC05" w14:textId="77777777" w:rsidR="00EB5913" w:rsidRPr="006623B9" w:rsidRDefault="00EB5913" w:rsidP="00F16E23">
            <w:pPr>
              <w:pStyle w:val="TableText"/>
              <w:spacing w:before="40" w:after="40"/>
              <w:jc w:val="right"/>
            </w:pPr>
            <w:r w:rsidRPr="006623B9">
              <w:rPr>
                <w:rFonts w:eastAsia="Calibri"/>
              </w:rPr>
              <w:t>45.0</w:t>
            </w:r>
          </w:p>
        </w:tc>
        <w:tc>
          <w:tcPr>
            <w:tcW w:w="0" w:type="auto"/>
            <w:shd w:val="clear" w:color="auto" w:fill="FFFFFF"/>
            <w:tcMar>
              <w:top w:w="0" w:type="dxa"/>
              <w:left w:w="57" w:type="dxa"/>
              <w:bottom w:w="0" w:type="dxa"/>
              <w:right w:w="57" w:type="dxa"/>
            </w:tcMar>
            <w:vAlign w:val="center"/>
          </w:tcPr>
          <w:p w14:paraId="4EDEF03B" w14:textId="77777777" w:rsidR="00EB5913" w:rsidRPr="006623B9" w:rsidRDefault="00EB5913" w:rsidP="00F16E23">
            <w:pPr>
              <w:pStyle w:val="TableText"/>
              <w:spacing w:before="40" w:after="40"/>
            </w:pPr>
            <w:r w:rsidRPr="006623B9">
              <w:rPr>
                <w:rFonts w:eastAsia="Calibri"/>
              </w:rPr>
              <w:t>No nappies</w:t>
            </w:r>
          </w:p>
        </w:tc>
      </w:tr>
      <w:tr w:rsidR="00EB5913" w:rsidRPr="006623B9" w14:paraId="1CF19342" w14:textId="77777777" w:rsidTr="00F16E23">
        <w:tc>
          <w:tcPr>
            <w:tcW w:w="0" w:type="auto"/>
            <w:shd w:val="clear" w:color="auto" w:fill="FFFFFF"/>
            <w:tcMar>
              <w:top w:w="0" w:type="dxa"/>
              <w:left w:w="57" w:type="dxa"/>
              <w:bottom w:w="0" w:type="dxa"/>
              <w:right w:w="57" w:type="dxa"/>
            </w:tcMar>
            <w:vAlign w:val="center"/>
          </w:tcPr>
          <w:p w14:paraId="401139BD"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1961–69</w:t>
            </w:r>
          </w:p>
        </w:tc>
        <w:tc>
          <w:tcPr>
            <w:tcW w:w="567" w:type="dxa"/>
            <w:shd w:val="clear" w:color="auto" w:fill="FFFFFF"/>
            <w:tcMar>
              <w:top w:w="0" w:type="dxa"/>
              <w:left w:w="57" w:type="dxa"/>
              <w:bottom w:w="0" w:type="dxa"/>
              <w:right w:w="57" w:type="dxa"/>
            </w:tcMar>
            <w:vAlign w:val="center"/>
          </w:tcPr>
          <w:p w14:paraId="6FE0D74E" w14:textId="77777777" w:rsidR="00EB5913" w:rsidRPr="006623B9" w:rsidRDefault="00EB5913" w:rsidP="00F16E23">
            <w:pPr>
              <w:pStyle w:val="TableText"/>
              <w:spacing w:before="40" w:after="40"/>
              <w:jc w:val="right"/>
            </w:pPr>
            <w:r w:rsidRPr="006623B9">
              <w:rPr>
                <w:rFonts w:eastAsia="Calibri"/>
              </w:rPr>
              <w:t>17.2</w:t>
            </w:r>
          </w:p>
        </w:tc>
        <w:tc>
          <w:tcPr>
            <w:tcW w:w="794" w:type="dxa"/>
            <w:shd w:val="clear" w:color="auto" w:fill="FFFFFF"/>
            <w:tcMar>
              <w:top w:w="0" w:type="dxa"/>
              <w:left w:w="57" w:type="dxa"/>
              <w:bottom w:w="0" w:type="dxa"/>
              <w:right w:w="57" w:type="dxa"/>
            </w:tcMar>
            <w:vAlign w:val="center"/>
          </w:tcPr>
          <w:p w14:paraId="1FB0CEC3" w14:textId="77777777" w:rsidR="00EB5913" w:rsidRPr="006623B9" w:rsidRDefault="00EB5913" w:rsidP="00F16E23">
            <w:pPr>
              <w:pStyle w:val="TableText"/>
              <w:spacing w:before="40" w:after="40"/>
              <w:jc w:val="right"/>
            </w:pPr>
            <w:r w:rsidRPr="006623B9">
              <w:rPr>
                <w:rFonts w:eastAsia="Calibri"/>
              </w:rPr>
              <w:t>11.0</w:t>
            </w:r>
          </w:p>
        </w:tc>
        <w:tc>
          <w:tcPr>
            <w:tcW w:w="794" w:type="dxa"/>
            <w:shd w:val="clear" w:color="auto" w:fill="FFFFFF"/>
            <w:tcMar>
              <w:top w:w="0" w:type="dxa"/>
              <w:left w:w="57" w:type="dxa"/>
              <w:bottom w:w="0" w:type="dxa"/>
              <w:right w:w="57" w:type="dxa"/>
            </w:tcMar>
            <w:vAlign w:val="center"/>
          </w:tcPr>
          <w:p w14:paraId="5CF8D964" w14:textId="77777777" w:rsidR="00EB5913" w:rsidRPr="006623B9" w:rsidRDefault="00EB5913" w:rsidP="00F16E23">
            <w:pPr>
              <w:pStyle w:val="TableText"/>
              <w:spacing w:before="40" w:after="40"/>
              <w:jc w:val="right"/>
            </w:pPr>
            <w:r w:rsidRPr="006623B9">
              <w:rPr>
                <w:rFonts w:eastAsia="Calibri"/>
              </w:rPr>
              <w:t>16.3</w:t>
            </w:r>
          </w:p>
        </w:tc>
        <w:tc>
          <w:tcPr>
            <w:tcW w:w="0" w:type="auto"/>
            <w:shd w:val="clear" w:color="auto" w:fill="FFFFFF"/>
            <w:tcMar>
              <w:top w:w="0" w:type="dxa"/>
              <w:left w:w="57" w:type="dxa"/>
              <w:bottom w:w="0" w:type="dxa"/>
              <w:right w:w="57" w:type="dxa"/>
            </w:tcMar>
            <w:vAlign w:val="center"/>
          </w:tcPr>
          <w:p w14:paraId="51B8C744" w14:textId="77777777" w:rsidR="00EB5913" w:rsidRPr="006623B9" w:rsidRDefault="00EB5913" w:rsidP="00F16E23">
            <w:pPr>
              <w:pStyle w:val="TableText"/>
              <w:spacing w:before="40" w:after="40"/>
              <w:jc w:val="right"/>
            </w:pPr>
            <w:r w:rsidRPr="006623B9">
              <w:rPr>
                <w:rFonts w:eastAsia="Calibri"/>
              </w:rPr>
              <w:t>7.1</w:t>
            </w:r>
          </w:p>
        </w:tc>
        <w:tc>
          <w:tcPr>
            <w:tcW w:w="0" w:type="auto"/>
            <w:shd w:val="clear" w:color="auto" w:fill="FFFFFF"/>
            <w:tcMar>
              <w:top w:w="0" w:type="dxa"/>
              <w:left w:w="57" w:type="dxa"/>
              <w:bottom w:w="0" w:type="dxa"/>
              <w:right w:w="57" w:type="dxa"/>
            </w:tcMar>
            <w:vAlign w:val="center"/>
          </w:tcPr>
          <w:p w14:paraId="38C151CC" w14:textId="77777777" w:rsidR="00EB5913" w:rsidRPr="006623B9" w:rsidRDefault="00EB5913" w:rsidP="00F16E23">
            <w:pPr>
              <w:pStyle w:val="TableText"/>
              <w:spacing w:before="40" w:after="40"/>
              <w:jc w:val="right"/>
            </w:pPr>
            <w:r w:rsidRPr="006623B9">
              <w:rPr>
                <w:rFonts w:eastAsia="Calibri"/>
              </w:rPr>
              <w:t>0.5</w:t>
            </w:r>
          </w:p>
        </w:tc>
        <w:tc>
          <w:tcPr>
            <w:tcW w:w="0" w:type="auto"/>
            <w:shd w:val="clear" w:color="auto" w:fill="FFFFFF"/>
            <w:tcMar>
              <w:top w:w="0" w:type="dxa"/>
              <w:left w:w="57" w:type="dxa"/>
              <w:bottom w:w="0" w:type="dxa"/>
              <w:right w:w="57" w:type="dxa"/>
            </w:tcMar>
            <w:vAlign w:val="center"/>
          </w:tcPr>
          <w:p w14:paraId="6B6BCDA2" w14:textId="77777777" w:rsidR="00EB5913" w:rsidRPr="006623B9" w:rsidRDefault="00EB5913" w:rsidP="00F16E23">
            <w:pPr>
              <w:pStyle w:val="TableText"/>
              <w:spacing w:before="40" w:after="40"/>
              <w:jc w:val="right"/>
            </w:pPr>
            <w:r w:rsidRPr="006623B9">
              <w:rPr>
                <w:rFonts w:eastAsia="Calibri"/>
              </w:rPr>
              <w:t>1.0</w:t>
            </w:r>
          </w:p>
        </w:tc>
        <w:tc>
          <w:tcPr>
            <w:tcW w:w="0" w:type="auto"/>
            <w:shd w:val="clear" w:color="auto" w:fill="FFFFFF"/>
            <w:tcMar>
              <w:top w:w="0" w:type="dxa"/>
              <w:left w:w="57" w:type="dxa"/>
              <w:bottom w:w="0" w:type="dxa"/>
              <w:right w:w="57" w:type="dxa"/>
            </w:tcMar>
            <w:vAlign w:val="center"/>
          </w:tcPr>
          <w:p w14:paraId="21BCA77B"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5D71D540" w14:textId="77777777" w:rsidR="00EB5913" w:rsidRPr="006623B9" w:rsidRDefault="00EB5913" w:rsidP="00F16E23">
            <w:pPr>
              <w:pStyle w:val="TableText"/>
              <w:spacing w:before="40" w:after="40"/>
              <w:jc w:val="right"/>
            </w:pPr>
            <w:r w:rsidRPr="006623B9">
              <w:rPr>
                <w:rFonts w:eastAsia="Calibri"/>
              </w:rPr>
              <w:t>44.0</w:t>
            </w:r>
          </w:p>
        </w:tc>
        <w:tc>
          <w:tcPr>
            <w:tcW w:w="0" w:type="auto"/>
            <w:shd w:val="clear" w:color="auto" w:fill="FFFFFF"/>
            <w:tcMar>
              <w:top w:w="0" w:type="dxa"/>
              <w:left w:w="57" w:type="dxa"/>
              <w:bottom w:w="0" w:type="dxa"/>
              <w:right w:w="57" w:type="dxa"/>
            </w:tcMar>
            <w:vAlign w:val="center"/>
          </w:tcPr>
          <w:p w14:paraId="730EE199"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67A1130F" w14:textId="77777777" w:rsidTr="00F16E23">
        <w:tc>
          <w:tcPr>
            <w:tcW w:w="0" w:type="auto"/>
            <w:shd w:val="clear" w:color="auto" w:fill="FFFFFF"/>
            <w:tcMar>
              <w:top w:w="0" w:type="dxa"/>
              <w:left w:w="57" w:type="dxa"/>
              <w:bottom w:w="0" w:type="dxa"/>
              <w:right w:w="57" w:type="dxa"/>
            </w:tcMar>
            <w:vAlign w:val="center"/>
          </w:tcPr>
          <w:p w14:paraId="7AAB1B5F"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1970–79</w:t>
            </w:r>
          </w:p>
        </w:tc>
        <w:tc>
          <w:tcPr>
            <w:tcW w:w="567" w:type="dxa"/>
            <w:shd w:val="clear" w:color="auto" w:fill="FFFFFF"/>
            <w:tcMar>
              <w:top w:w="0" w:type="dxa"/>
              <w:left w:w="57" w:type="dxa"/>
              <w:bottom w:w="0" w:type="dxa"/>
              <w:right w:w="57" w:type="dxa"/>
            </w:tcMar>
            <w:vAlign w:val="center"/>
          </w:tcPr>
          <w:p w14:paraId="114607E5" w14:textId="77777777" w:rsidR="00EB5913" w:rsidRPr="006623B9" w:rsidRDefault="00EB5913" w:rsidP="00F16E23">
            <w:pPr>
              <w:pStyle w:val="TableText"/>
              <w:spacing w:before="40" w:after="40"/>
              <w:jc w:val="right"/>
            </w:pPr>
            <w:r w:rsidRPr="006623B9">
              <w:rPr>
                <w:rFonts w:eastAsia="Calibri"/>
              </w:rPr>
              <w:t>17.2</w:t>
            </w:r>
          </w:p>
        </w:tc>
        <w:tc>
          <w:tcPr>
            <w:tcW w:w="794" w:type="dxa"/>
            <w:shd w:val="clear" w:color="auto" w:fill="FFFFFF"/>
            <w:tcMar>
              <w:top w:w="0" w:type="dxa"/>
              <w:left w:w="57" w:type="dxa"/>
              <w:bottom w:w="0" w:type="dxa"/>
              <w:right w:w="57" w:type="dxa"/>
            </w:tcMar>
            <w:vAlign w:val="center"/>
          </w:tcPr>
          <w:p w14:paraId="46A9A3BF" w14:textId="77777777" w:rsidR="00EB5913" w:rsidRPr="006623B9" w:rsidRDefault="00EB5913" w:rsidP="00F16E23">
            <w:pPr>
              <w:pStyle w:val="TableText"/>
              <w:spacing w:before="40" w:after="40"/>
              <w:jc w:val="right"/>
            </w:pPr>
            <w:r w:rsidRPr="006623B9">
              <w:rPr>
                <w:rFonts w:eastAsia="Calibri"/>
              </w:rPr>
              <w:t>11.0</w:t>
            </w:r>
          </w:p>
        </w:tc>
        <w:tc>
          <w:tcPr>
            <w:tcW w:w="794" w:type="dxa"/>
            <w:shd w:val="clear" w:color="auto" w:fill="FFFFFF"/>
            <w:tcMar>
              <w:top w:w="0" w:type="dxa"/>
              <w:left w:w="57" w:type="dxa"/>
              <w:bottom w:w="0" w:type="dxa"/>
              <w:right w:w="57" w:type="dxa"/>
            </w:tcMar>
            <w:vAlign w:val="center"/>
          </w:tcPr>
          <w:p w14:paraId="74FBC221" w14:textId="77777777" w:rsidR="00EB5913" w:rsidRPr="006623B9" w:rsidRDefault="00EB5913" w:rsidP="00F16E23">
            <w:pPr>
              <w:pStyle w:val="TableText"/>
              <w:spacing w:before="40" w:after="40"/>
              <w:jc w:val="right"/>
            </w:pPr>
            <w:r w:rsidRPr="006623B9">
              <w:rPr>
                <w:rFonts w:eastAsia="Calibri"/>
              </w:rPr>
              <w:t>16.3</w:t>
            </w:r>
          </w:p>
        </w:tc>
        <w:tc>
          <w:tcPr>
            <w:tcW w:w="0" w:type="auto"/>
            <w:shd w:val="clear" w:color="auto" w:fill="FFFFFF"/>
            <w:tcMar>
              <w:top w:w="0" w:type="dxa"/>
              <w:left w:w="57" w:type="dxa"/>
              <w:bottom w:w="0" w:type="dxa"/>
              <w:right w:w="57" w:type="dxa"/>
            </w:tcMar>
            <w:vAlign w:val="center"/>
          </w:tcPr>
          <w:p w14:paraId="795373D5" w14:textId="77777777" w:rsidR="00EB5913" w:rsidRPr="006623B9" w:rsidRDefault="00EB5913" w:rsidP="00F16E23">
            <w:pPr>
              <w:pStyle w:val="TableText"/>
              <w:spacing w:before="40" w:after="40"/>
              <w:jc w:val="right"/>
            </w:pPr>
            <w:r w:rsidRPr="006623B9">
              <w:rPr>
                <w:rFonts w:eastAsia="Calibri"/>
              </w:rPr>
              <w:t>7.1</w:t>
            </w:r>
          </w:p>
        </w:tc>
        <w:tc>
          <w:tcPr>
            <w:tcW w:w="0" w:type="auto"/>
            <w:shd w:val="clear" w:color="auto" w:fill="FFFFFF"/>
            <w:tcMar>
              <w:top w:w="0" w:type="dxa"/>
              <w:left w:w="57" w:type="dxa"/>
              <w:bottom w:w="0" w:type="dxa"/>
              <w:right w:w="57" w:type="dxa"/>
            </w:tcMar>
            <w:vAlign w:val="center"/>
          </w:tcPr>
          <w:p w14:paraId="118F985C" w14:textId="77777777" w:rsidR="00EB5913" w:rsidRPr="006623B9" w:rsidRDefault="00EB5913" w:rsidP="00F16E23">
            <w:pPr>
              <w:pStyle w:val="TableText"/>
              <w:spacing w:before="40" w:after="40"/>
              <w:jc w:val="right"/>
            </w:pPr>
            <w:r w:rsidRPr="006623B9">
              <w:rPr>
                <w:rFonts w:eastAsia="Calibri"/>
              </w:rPr>
              <w:t>0.5</w:t>
            </w:r>
          </w:p>
        </w:tc>
        <w:tc>
          <w:tcPr>
            <w:tcW w:w="0" w:type="auto"/>
            <w:shd w:val="clear" w:color="auto" w:fill="FFFFFF"/>
            <w:tcMar>
              <w:top w:w="0" w:type="dxa"/>
              <w:left w:w="57" w:type="dxa"/>
              <w:bottom w:w="0" w:type="dxa"/>
              <w:right w:w="57" w:type="dxa"/>
            </w:tcMar>
            <w:vAlign w:val="center"/>
          </w:tcPr>
          <w:p w14:paraId="4CD4BD24" w14:textId="77777777" w:rsidR="00EB5913" w:rsidRPr="006623B9" w:rsidRDefault="00EB5913" w:rsidP="00F16E23">
            <w:pPr>
              <w:pStyle w:val="TableText"/>
              <w:spacing w:before="40" w:after="40"/>
              <w:jc w:val="right"/>
            </w:pPr>
            <w:r w:rsidRPr="006623B9">
              <w:rPr>
                <w:rFonts w:eastAsia="Calibri"/>
              </w:rPr>
              <w:t>2.0</w:t>
            </w:r>
          </w:p>
        </w:tc>
        <w:tc>
          <w:tcPr>
            <w:tcW w:w="0" w:type="auto"/>
            <w:shd w:val="clear" w:color="auto" w:fill="FFFFFF"/>
            <w:tcMar>
              <w:top w:w="0" w:type="dxa"/>
              <w:left w:w="57" w:type="dxa"/>
              <w:bottom w:w="0" w:type="dxa"/>
              <w:right w:w="57" w:type="dxa"/>
            </w:tcMar>
            <w:vAlign w:val="center"/>
          </w:tcPr>
          <w:p w14:paraId="1868DF01"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0A3FE370" w14:textId="77777777" w:rsidR="00EB5913" w:rsidRPr="006623B9" w:rsidRDefault="00EB5913" w:rsidP="00F16E23">
            <w:pPr>
              <w:pStyle w:val="TableText"/>
              <w:spacing w:before="40" w:after="40"/>
              <w:jc w:val="right"/>
            </w:pPr>
            <w:r w:rsidRPr="006623B9">
              <w:rPr>
                <w:rFonts w:eastAsia="Calibri"/>
              </w:rPr>
              <w:t>43.0</w:t>
            </w:r>
          </w:p>
        </w:tc>
        <w:tc>
          <w:tcPr>
            <w:tcW w:w="0" w:type="auto"/>
            <w:shd w:val="clear" w:color="auto" w:fill="FFFFFF"/>
            <w:tcMar>
              <w:top w:w="0" w:type="dxa"/>
              <w:left w:w="57" w:type="dxa"/>
              <w:bottom w:w="0" w:type="dxa"/>
              <w:right w:w="57" w:type="dxa"/>
            </w:tcMar>
            <w:vAlign w:val="center"/>
          </w:tcPr>
          <w:p w14:paraId="5004EA65" w14:textId="77777777" w:rsidR="00EB5913" w:rsidRPr="006623B9" w:rsidRDefault="00EB5913" w:rsidP="00F16E23">
            <w:pPr>
              <w:pStyle w:val="TableText"/>
              <w:spacing w:before="40" w:after="40"/>
            </w:pPr>
            <w:r w:rsidRPr="006623B9">
              <w:rPr>
                <w:rFonts w:eastAsia="Calibri"/>
              </w:rPr>
              <w:t>Interpolation</w:t>
            </w:r>
          </w:p>
        </w:tc>
      </w:tr>
      <w:tr w:rsidR="00EB5913" w:rsidRPr="006623B9" w14:paraId="6152A81B" w14:textId="77777777" w:rsidTr="00F16E23">
        <w:tc>
          <w:tcPr>
            <w:tcW w:w="0" w:type="auto"/>
            <w:shd w:val="clear" w:color="auto" w:fill="FFFFFF"/>
            <w:tcMar>
              <w:top w:w="0" w:type="dxa"/>
              <w:left w:w="57" w:type="dxa"/>
              <w:bottom w:w="0" w:type="dxa"/>
              <w:right w:w="57" w:type="dxa"/>
            </w:tcMar>
            <w:vAlign w:val="center"/>
          </w:tcPr>
          <w:p w14:paraId="296515A5"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1980–94</w:t>
            </w:r>
          </w:p>
        </w:tc>
        <w:tc>
          <w:tcPr>
            <w:tcW w:w="567" w:type="dxa"/>
            <w:shd w:val="clear" w:color="auto" w:fill="FFFFFF"/>
            <w:tcMar>
              <w:top w:w="0" w:type="dxa"/>
              <w:left w:w="57" w:type="dxa"/>
              <w:bottom w:w="0" w:type="dxa"/>
              <w:right w:w="57" w:type="dxa"/>
            </w:tcMar>
            <w:vAlign w:val="center"/>
          </w:tcPr>
          <w:p w14:paraId="25FC23B3" w14:textId="77777777" w:rsidR="00EB5913" w:rsidRPr="006623B9" w:rsidRDefault="00EB5913" w:rsidP="00F16E23">
            <w:pPr>
              <w:pStyle w:val="TableText"/>
              <w:spacing w:before="40" w:after="40"/>
              <w:jc w:val="right"/>
            </w:pPr>
            <w:r w:rsidRPr="006623B9">
              <w:rPr>
                <w:rFonts w:eastAsia="Calibri"/>
              </w:rPr>
              <w:t>17.2</w:t>
            </w:r>
          </w:p>
        </w:tc>
        <w:tc>
          <w:tcPr>
            <w:tcW w:w="794" w:type="dxa"/>
            <w:shd w:val="clear" w:color="auto" w:fill="FFFFFF"/>
            <w:tcMar>
              <w:top w:w="0" w:type="dxa"/>
              <w:left w:w="57" w:type="dxa"/>
              <w:bottom w:w="0" w:type="dxa"/>
              <w:right w:w="57" w:type="dxa"/>
            </w:tcMar>
            <w:vAlign w:val="center"/>
          </w:tcPr>
          <w:p w14:paraId="54F24BD0" w14:textId="77777777" w:rsidR="00EB5913" w:rsidRPr="006623B9" w:rsidRDefault="00EB5913" w:rsidP="00F16E23">
            <w:pPr>
              <w:pStyle w:val="TableText"/>
              <w:spacing w:before="40" w:after="40"/>
              <w:jc w:val="right"/>
            </w:pPr>
            <w:r w:rsidRPr="006623B9">
              <w:rPr>
                <w:rFonts w:eastAsia="Calibri"/>
              </w:rPr>
              <w:t>11.0</w:t>
            </w:r>
          </w:p>
        </w:tc>
        <w:tc>
          <w:tcPr>
            <w:tcW w:w="794" w:type="dxa"/>
            <w:shd w:val="clear" w:color="auto" w:fill="FFFFFF"/>
            <w:tcMar>
              <w:top w:w="0" w:type="dxa"/>
              <w:left w:w="57" w:type="dxa"/>
              <w:bottom w:w="0" w:type="dxa"/>
              <w:right w:w="57" w:type="dxa"/>
            </w:tcMar>
            <w:vAlign w:val="center"/>
          </w:tcPr>
          <w:p w14:paraId="6E5356D5" w14:textId="77777777" w:rsidR="00EB5913" w:rsidRPr="006623B9" w:rsidRDefault="00EB5913" w:rsidP="00F16E23">
            <w:pPr>
              <w:pStyle w:val="TableText"/>
              <w:spacing w:before="40" w:after="40"/>
              <w:jc w:val="right"/>
            </w:pPr>
            <w:r w:rsidRPr="006623B9">
              <w:rPr>
                <w:rFonts w:eastAsia="Calibri"/>
              </w:rPr>
              <w:t>16.3</w:t>
            </w:r>
          </w:p>
        </w:tc>
        <w:tc>
          <w:tcPr>
            <w:tcW w:w="0" w:type="auto"/>
            <w:shd w:val="clear" w:color="auto" w:fill="FFFFFF"/>
            <w:tcMar>
              <w:top w:w="0" w:type="dxa"/>
              <w:left w:w="57" w:type="dxa"/>
              <w:bottom w:w="0" w:type="dxa"/>
              <w:right w:w="57" w:type="dxa"/>
            </w:tcMar>
            <w:vAlign w:val="center"/>
          </w:tcPr>
          <w:p w14:paraId="0E371547" w14:textId="77777777" w:rsidR="00EB5913" w:rsidRPr="006623B9" w:rsidRDefault="00EB5913" w:rsidP="00F16E23">
            <w:pPr>
              <w:pStyle w:val="TableText"/>
              <w:spacing w:before="40" w:after="40"/>
              <w:jc w:val="right"/>
            </w:pPr>
            <w:r w:rsidRPr="006623B9">
              <w:rPr>
                <w:rFonts w:eastAsia="Calibri"/>
              </w:rPr>
              <w:t>7.1</w:t>
            </w:r>
          </w:p>
        </w:tc>
        <w:tc>
          <w:tcPr>
            <w:tcW w:w="0" w:type="auto"/>
            <w:shd w:val="clear" w:color="auto" w:fill="FFFFFF"/>
            <w:tcMar>
              <w:top w:w="0" w:type="dxa"/>
              <w:left w:w="57" w:type="dxa"/>
              <w:bottom w:w="0" w:type="dxa"/>
              <w:right w:w="57" w:type="dxa"/>
            </w:tcMar>
            <w:vAlign w:val="center"/>
          </w:tcPr>
          <w:p w14:paraId="72380DD8" w14:textId="77777777" w:rsidR="00EB5913" w:rsidRPr="006623B9" w:rsidRDefault="00EB5913" w:rsidP="00F16E23">
            <w:pPr>
              <w:pStyle w:val="TableText"/>
              <w:spacing w:before="40" w:after="40"/>
              <w:jc w:val="right"/>
            </w:pPr>
            <w:r w:rsidRPr="006623B9">
              <w:rPr>
                <w:rFonts w:eastAsia="Calibri"/>
              </w:rPr>
              <w:t>0.5</w:t>
            </w:r>
          </w:p>
        </w:tc>
        <w:tc>
          <w:tcPr>
            <w:tcW w:w="0" w:type="auto"/>
            <w:shd w:val="clear" w:color="auto" w:fill="FFFFFF"/>
            <w:tcMar>
              <w:top w:w="0" w:type="dxa"/>
              <w:left w:w="57" w:type="dxa"/>
              <w:bottom w:w="0" w:type="dxa"/>
              <w:right w:w="57" w:type="dxa"/>
            </w:tcMar>
            <w:vAlign w:val="center"/>
          </w:tcPr>
          <w:p w14:paraId="6B781B7D"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79C38CB5"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5DF9F729" w14:textId="77777777" w:rsidR="00EB5913" w:rsidRPr="006623B9" w:rsidRDefault="00EB5913" w:rsidP="00F16E23">
            <w:pPr>
              <w:pStyle w:val="TableText"/>
              <w:spacing w:before="40" w:after="40"/>
              <w:jc w:val="right"/>
            </w:pPr>
            <w:r w:rsidRPr="006623B9">
              <w:rPr>
                <w:rFonts w:eastAsia="Calibri"/>
              </w:rPr>
              <w:t>42.3</w:t>
            </w:r>
          </w:p>
        </w:tc>
        <w:tc>
          <w:tcPr>
            <w:tcW w:w="0" w:type="auto"/>
            <w:shd w:val="clear" w:color="auto" w:fill="FFFFFF"/>
            <w:tcMar>
              <w:top w:w="0" w:type="dxa"/>
              <w:left w:w="57" w:type="dxa"/>
              <w:bottom w:w="0" w:type="dxa"/>
              <w:right w:w="57" w:type="dxa"/>
            </w:tcMar>
            <w:vAlign w:val="center"/>
          </w:tcPr>
          <w:p w14:paraId="598BC007" w14:textId="77777777" w:rsidR="00EB5913" w:rsidRPr="006623B9" w:rsidRDefault="00EB5913" w:rsidP="00F16E23">
            <w:pPr>
              <w:pStyle w:val="TableText"/>
              <w:spacing w:before="40" w:after="40"/>
            </w:pPr>
            <w:r w:rsidRPr="006623B9">
              <w:rPr>
                <w:rFonts w:eastAsia="Calibri"/>
              </w:rPr>
              <w:t>As for 1995</w:t>
            </w:r>
          </w:p>
        </w:tc>
      </w:tr>
      <w:tr w:rsidR="00EB5913" w:rsidRPr="006623B9" w14:paraId="0DFECDE9" w14:textId="77777777" w:rsidTr="00F16E23">
        <w:tc>
          <w:tcPr>
            <w:tcW w:w="0" w:type="auto"/>
            <w:shd w:val="clear" w:color="auto" w:fill="FFFFFF"/>
            <w:tcMar>
              <w:top w:w="0" w:type="dxa"/>
              <w:left w:w="57" w:type="dxa"/>
              <w:bottom w:w="0" w:type="dxa"/>
              <w:right w:w="57" w:type="dxa"/>
            </w:tcMar>
            <w:vAlign w:val="center"/>
          </w:tcPr>
          <w:p w14:paraId="3B07EC4D"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1995</w:t>
            </w:r>
          </w:p>
        </w:tc>
        <w:tc>
          <w:tcPr>
            <w:tcW w:w="567" w:type="dxa"/>
            <w:shd w:val="clear" w:color="auto" w:fill="FFFFFF"/>
            <w:tcMar>
              <w:top w:w="0" w:type="dxa"/>
              <w:left w:w="57" w:type="dxa"/>
              <w:bottom w:w="0" w:type="dxa"/>
              <w:right w:w="57" w:type="dxa"/>
            </w:tcMar>
            <w:vAlign w:val="center"/>
          </w:tcPr>
          <w:p w14:paraId="3A010D4E" w14:textId="77777777" w:rsidR="00EB5913" w:rsidRPr="006623B9" w:rsidRDefault="00EB5913" w:rsidP="00F16E23">
            <w:pPr>
              <w:pStyle w:val="TableText"/>
              <w:spacing w:before="40" w:after="40"/>
              <w:jc w:val="right"/>
            </w:pPr>
            <w:r w:rsidRPr="006623B9">
              <w:rPr>
                <w:rFonts w:eastAsia="Calibri"/>
              </w:rPr>
              <w:t>17.2</w:t>
            </w:r>
          </w:p>
        </w:tc>
        <w:tc>
          <w:tcPr>
            <w:tcW w:w="794" w:type="dxa"/>
            <w:shd w:val="clear" w:color="auto" w:fill="FFFFFF"/>
            <w:tcMar>
              <w:top w:w="0" w:type="dxa"/>
              <w:left w:w="57" w:type="dxa"/>
              <w:bottom w:w="0" w:type="dxa"/>
              <w:right w:w="57" w:type="dxa"/>
            </w:tcMar>
            <w:vAlign w:val="center"/>
          </w:tcPr>
          <w:p w14:paraId="5568402D" w14:textId="77777777" w:rsidR="00EB5913" w:rsidRPr="006623B9" w:rsidRDefault="00EB5913" w:rsidP="00F16E23">
            <w:pPr>
              <w:pStyle w:val="TableText"/>
              <w:spacing w:before="40" w:after="40"/>
              <w:jc w:val="right"/>
            </w:pPr>
            <w:r w:rsidRPr="006623B9">
              <w:rPr>
                <w:rFonts w:eastAsia="Calibri"/>
              </w:rPr>
              <w:t>11.0</w:t>
            </w:r>
          </w:p>
        </w:tc>
        <w:tc>
          <w:tcPr>
            <w:tcW w:w="794" w:type="dxa"/>
            <w:shd w:val="clear" w:color="auto" w:fill="FFFFFF"/>
            <w:tcMar>
              <w:top w:w="0" w:type="dxa"/>
              <w:left w:w="57" w:type="dxa"/>
              <w:bottom w:w="0" w:type="dxa"/>
              <w:right w:w="57" w:type="dxa"/>
            </w:tcMar>
            <w:vAlign w:val="center"/>
          </w:tcPr>
          <w:p w14:paraId="1B72EC32" w14:textId="77777777" w:rsidR="00EB5913" w:rsidRPr="006623B9" w:rsidRDefault="00EB5913" w:rsidP="00F16E23">
            <w:pPr>
              <w:pStyle w:val="TableText"/>
              <w:spacing w:before="40" w:after="40"/>
              <w:jc w:val="right"/>
            </w:pPr>
            <w:r w:rsidRPr="006623B9">
              <w:rPr>
                <w:rFonts w:eastAsia="Calibri"/>
              </w:rPr>
              <w:t>16.3</w:t>
            </w:r>
          </w:p>
        </w:tc>
        <w:tc>
          <w:tcPr>
            <w:tcW w:w="0" w:type="auto"/>
            <w:shd w:val="clear" w:color="auto" w:fill="FFFFFF"/>
            <w:tcMar>
              <w:top w:w="0" w:type="dxa"/>
              <w:left w:w="57" w:type="dxa"/>
              <w:bottom w:w="0" w:type="dxa"/>
              <w:right w:w="57" w:type="dxa"/>
            </w:tcMar>
            <w:vAlign w:val="center"/>
          </w:tcPr>
          <w:p w14:paraId="22DBF895" w14:textId="77777777" w:rsidR="00EB5913" w:rsidRPr="006623B9" w:rsidRDefault="00EB5913" w:rsidP="00F16E23">
            <w:pPr>
              <w:pStyle w:val="TableText"/>
              <w:spacing w:before="40" w:after="40"/>
              <w:jc w:val="right"/>
            </w:pPr>
            <w:r w:rsidRPr="006623B9">
              <w:rPr>
                <w:rFonts w:eastAsia="Calibri"/>
              </w:rPr>
              <w:t>7.1</w:t>
            </w:r>
          </w:p>
        </w:tc>
        <w:tc>
          <w:tcPr>
            <w:tcW w:w="0" w:type="auto"/>
            <w:shd w:val="clear" w:color="auto" w:fill="FFFFFF"/>
            <w:tcMar>
              <w:top w:w="0" w:type="dxa"/>
              <w:left w:w="57" w:type="dxa"/>
              <w:bottom w:w="0" w:type="dxa"/>
              <w:right w:w="57" w:type="dxa"/>
            </w:tcMar>
            <w:vAlign w:val="center"/>
          </w:tcPr>
          <w:p w14:paraId="6BDC2B5E" w14:textId="77777777" w:rsidR="00EB5913" w:rsidRPr="006623B9" w:rsidRDefault="00EB5913" w:rsidP="00F16E23">
            <w:pPr>
              <w:pStyle w:val="TableText"/>
              <w:spacing w:before="40" w:after="40"/>
              <w:jc w:val="right"/>
            </w:pPr>
            <w:r w:rsidRPr="006623B9">
              <w:rPr>
                <w:rFonts w:eastAsia="Calibri"/>
              </w:rPr>
              <w:t>0.5</w:t>
            </w:r>
          </w:p>
        </w:tc>
        <w:tc>
          <w:tcPr>
            <w:tcW w:w="0" w:type="auto"/>
            <w:shd w:val="clear" w:color="auto" w:fill="FFFFFF"/>
            <w:tcMar>
              <w:top w:w="0" w:type="dxa"/>
              <w:left w:w="57" w:type="dxa"/>
              <w:bottom w:w="0" w:type="dxa"/>
              <w:right w:w="57" w:type="dxa"/>
            </w:tcMar>
            <w:vAlign w:val="center"/>
          </w:tcPr>
          <w:p w14:paraId="78789AAC"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45D2BD7B"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40BC0168" w14:textId="77777777" w:rsidR="00EB5913" w:rsidRPr="006623B9" w:rsidRDefault="00EB5913" w:rsidP="00F16E23">
            <w:pPr>
              <w:pStyle w:val="TableText"/>
              <w:spacing w:before="40" w:after="40"/>
              <w:jc w:val="right"/>
            </w:pPr>
            <w:r w:rsidRPr="006623B9">
              <w:rPr>
                <w:rFonts w:eastAsia="Calibri"/>
              </w:rPr>
              <w:t>42.3</w:t>
            </w:r>
          </w:p>
        </w:tc>
        <w:tc>
          <w:tcPr>
            <w:tcW w:w="0" w:type="auto"/>
            <w:shd w:val="clear" w:color="auto" w:fill="FFFFFF"/>
            <w:tcMar>
              <w:top w:w="0" w:type="dxa"/>
              <w:left w:w="57" w:type="dxa"/>
              <w:bottom w:w="0" w:type="dxa"/>
              <w:right w:w="57" w:type="dxa"/>
            </w:tcMar>
            <w:vAlign w:val="center"/>
          </w:tcPr>
          <w:p w14:paraId="078ED7F0" w14:textId="77777777" w:rsidR="00EB5913" w:rsidRPr="006623B9" w:rsidRDefault="00EB5913" w:rsidP="00F16E23">
            <w:pPr>
              <w:pStyle w:val="TableText"/>
              <w:spacing w:before="40" w:after="40"/>
            </w:pPr>
            <w:r w:rsidRPr="006623B9">
              <w:rPr>
                <w:rFonts w:eastAsia="Calibri"/>
              </w:rPr>
              <w:t>National survey</w:t>
            </w:r>
          </w:p>
        </w:tc>
      </w:tr>
      <w:tr w:rsidR="00EB5913" w:rsidRPr="006623B9" w14:paraId="18D61316" w14:textId="77777777" w:rsidTr="00F16E23">
        <w:tc>
          <w:tcPr>
            <w:tcW w:w="0" w:type="auto"/>
            <w:shd w:val="clear" w:color="auto" w:fill="FFFFFF"/>
            <w:tcMar>
              <w:top w:w="0" w:type="dxa"/>
              <w:left w:w="57" w:type="dxa"/>
              <w:bottom w:w="0" w:type="dxa"/>
              <w:right w:w="57" w:type="dxa"/>
            </w:tcMar>
            <w:vAlign w:val="center"/>
          </w:tcPr>
          <w:p w14:paraId="032E0E35"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1996</w:t>
            </w:r>
          </w:p>
        </w:tc>
        <w:tc>
          <w:tcPr>
            <w:tcW w:w="567" w:type="dxa"/>
            <w:shd w:val="clear" w:color="auto" w:fill="FFFFFF"/>
            <w:tcMar>
              <w:top w:w="0" w:type="dxa"/>
              <w:left w:w="57" w:type="dxa"/>
              <w:bottom w:w="0" w:type="dxa"/>
              <w:right w:w="57" w:type="dxa"/>
            </w:tcMar>
            <w:vAlign w:val="center"/>
          </w:tcPr>
          <w:p w14:paraId="18E3C153" w14:textId="77777777" w:rsidR="00EB5913" w:rsidRPr="006623B9" w:rsidRDefault="00EB5913" w:rsidP="00F16E23">
            <w:pPr>
              <w:pStyle w:val="TableText"/>
              <w:spacing w:before="40" w:after="40"/>
              <w:jc w:val="right"/>
            </w:pPr>
            <w:r w:rsidRPr="006623B9">
              <w:rPr>
                <w:rFonts w:eastAsia="Calibri"/>
              </w:rPr>
              <w:t>16.9</w:t>
            </w:r>
          </w:p>
        </w:tc>
        <w:tc>
          <w:tcPr>
            <w:tcW w:w="794" w:type="dxa"/>
            <w:shd w:val="clear" w:color="auto" w:fill="FFFFFF"/>
            <w:tcMar>
              <w:top w:w="0" w:type="dxa"/>
              <w:left w:w="57" w:type="dxa"/>
              <w:bottom w:w="0" w:type="dxa"/>
              <w:right w:w="57" w:type="dxa"/>
            </w:tcMar>
            <w:vAlign w:val="center"/>
          </w:tcPr>
          <w:p w14:paraId="747C5E39" w14:textId="77777777" w:rsidR="00EB5913" w:rsidRPr="006623B9" w:rsidRDefault="00EB5913" w:rsidP="00F16E23">
            <w:pPr>
              <w:pStyle w:val="TableText"/>
              <w:spacing w:before="40" w:after="40"/>
              <w:jc w:val="right"/>
            </w:pPr>
            <w:r w:rsidRPr="006623B9">
              <w:rPr>
                <w:rFonts w:eastAsia="Calibri"/>
              </w:rPr>
              <w:t>10.8</w:t>
            </w:r>
          </w:p>
        </w:tc>
        <w:tc>
          <w:tcPr>
            <w:tcW w:w="794" w:type="dxa"/>
            <w:shd w:val="clear" w:color="auto" w:fill="FFFFFF"/>
            <w:tcMar>
              <w:top w:w="0" w:type="dxa"/>
              <w:left w:w="57" w:type="dxa"/>
              <w:bottom w:w="0" w:type="dxa"/>
              <w:right w:w="57" w:type="dxa"/>
            </w:tcMar>
            <w:vAlign w:val="center"/>
          </w:tcPr>
          <w:p w14:paraId="6237B614" w14:textId="77777777" w:rsidR="00EB5913" w:rsidRPr="006623B9" w:rsidRDefault="00EB5913" w:rsidP="00F16E23">
            <w:pPr>
              <w:pStyle w:val="TableText"/>
              <w:spacing w:before="40" w:after="40"/>
              <w:jc w:val="right"/>
            </w:pPr>
            <w:r w:rsidRPr="006623B9">
              <w:rPr>
                <w:rFonts w:eastAsia="Calibri"/>
              </w:rPr>
              <w:t>16.1</w:t>
            </w:r>
          </w:p>
        </w:tc>
        <w:tc>
          <w:tcPr>
            <w:tcW w:w="0" w:type="auto"/>
            <w:shd w:val="clear" w:color="auto" w:fill="FFFFFF"/>
            <w:tcMar>
              <w:top w:w="0" w:type="dxa"/>
              <w:left w:w="57" w:type="dxa"/>
              <w:bottom w:w="0" w:type="dxa"/>
              <w:right w:w="57" w:type="dxa"/>
            </w:tcMar>
            <w:vAlign w:val="center"/>
          </w:tcPr>
          <w:p w14:paraId="0E510365" w14:textId="77777777" w:rsidR="00EB5913" w:rsidRPr="006623B9" w:rsidRDefault="00EB5913" w:rsidP="00F16E23">
            <w:pPr>
              <w:pStyle w:val="TableText"/>
              <w:spacing w:before="40" w:after="40"/>
              <w:jc w:val="right"/>
            </w:pPr>
            <w:r w:rsidRPr="006623B9">
              <w:rPr>
                <w:rFonts w:eastAsia="Calibri"/>
              </w:rPr>
              <w:t>7.9</w:t>
            </w:r>
          </w:p>
        </w:tc>
        <w:tc>
          <w:tcPr>
            <w:tcW w:w="0" w:type="auto"/>
            <w:shd w:val="clear" w:color="auto" w:fill="FFFFFF"/>
            <w:tcMar>
              <w:top w:w="0" w:type="dxa"/>
              <w:left w:w="57" w:type="dxa"/>
              <w:bottom w:w="0" w:type="dxa"/>
              <w:right w:w="57" w:type="dxa"/>
            </w:tcMar>
            <w:vAlign w:val="center"/>
          </w:tcPr>
          <w:p w14:paraId="54FC0345" w14:textId="77777777" w:rsidR="00EB5913" w:rsidRPr="006623B9" w:rsidRDefault="00EB5913" w:rsidP="00F16E23">
            <w:pPr>
              <w:pStyle w:val="TableText"/>
              <w:spacing w:before="40" w:after="40"/>
              <w:jc w:val="right"/>
            </w:pPr>
            <w:r w:rsidRPr="006623B9">
              <w:rPr>
                <w:rFonts w:eastAsia="Calibri"/>
              </w:rPr>
              <w:t>0.9</w:t>
            </w:r>
          </w:p>
        </w:tc>
        <w:tc>
          <w:tcPr>
            <w:tcW w:w="0" w:type="auto"/>
            <w:shd w:val="clear" w:color="auto" w:fill="FFFFFF"/>
            <w:tcMar>
              <w:top w:w="0" w:type="dxa"/>
              <w:left w:w="57" w:type="dxa"/>
              <w:bottom w:w="0" w:type="dxa"/>
              <w:right w:w="57" w:type="dxa"/>
            </w:tcMar>
            <w:vAlign w:val="center"/>
          </w:tcPr>
          <w:p w14:paraId="63165624"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6AF38861"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1BC3E142" w14:textId="77777777" w:rsidR="00EB5913" w:rsidRPr="006623B9" w:rsidRDefault="00EB5913" w:rsidP="00F16E23">
            <w:pPr>
              <w:pStyle w:val="TableText"/>
              <w:spacing w:before="40" w:after="40"/>
              <w:jc w:val="right"/>
            </w:pPr>
            <w:r w:rsidRPr="006623B9">
              <w:rPr>
                <w:rFonts w:eastAsia="Calibri"/>
              </w:rPr>
              <w:t>41.9</w:t>
            </w:r>
          </w:p>
        </w:tc>
        <w:tc>
          <w:tcPr>
            <w:tcW w:w="0" w:type="auto"/>
            <w:shd w:val="clear" w:color="auto" w:fill="FFFFFF"/>
            <w:tcMar>
              <w:top w:w="0" w:type="dxa"/>
              <w:left w:w="57" w:type="dxa"/>
              <w:bottom w:w="0" w:type="dxa"/>
              <w:right w:w="57" w:type="dxa"/>
            </w:tcMar>
            <w:vAlign w:val="center"/>
          </w:tcPr>
          <w:p w14:paraId="44A569BB"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10E8B484" w14:textId="77777777" w:rsidTr="00F16E23">
        <w:tc>
          <w:tcPr>
            <w:tcW w:w="0" w:type="auto"/>
            <w:shd w:val="clear" w:color="auto" w:fill="FFFFFF"/>
            <w:tcMar>
              <w:top w:w="0" w:type="dxa"/>
              <w:left w:w="57" w:type="dxa"/>
              <w:bottom w:w="0" w:type="dxa"/>
              <w:right w:w="57" w:type="dxa"/>
            </w:tcMar>
            <w:vAlign w:val="center"/>
          </w:tcPr>
          <w:p w14:paraId="67A6F8E6"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1997</w:t>
            </w:r>
          </w:p>
        </w:tc>
        <w:tc>
          <w:tcPr>
            <w:tcW w:w="567" w:type="dxa"/>
            <w:shd w:val="clear" w:color="auto" w:fill="FFFFFF"/>
            <w:tcMar>
              <w:top w:w="0" w:type="dxa"/>
              <w:left w:w="57" w:type="dxa"/>
              <w:bottom w:w="0" w:type="dxa"/>
              <w:right w:w="57" w:type="dxa"/>
            </w:tcMar>
            <w:vAlign w:val="center"/>
          </w:tcPr>
          <w:p w14:paraId="0BA77B74" w14:textId="77777777" w:rsidR="00EB5913" w:rsidRPr="006623B9" w:rsidRDefault="00EB5913" w:rsidP="00F16E23">
            <w:pPr>
              <w:pStyle w:val="TableText"/>
              <w:spacing w:before="40" w:after="40"/>
              <w:jc w:val="right"/>
            </w:pPr>
            <w:r w:rsidRPr="006623B9">
              <w:rPr>
                <w:rFonts w:eastAsia="Calibri"/>
              </w:rPr>
              <w:t>16.5</w:t>
            </w:r>
          </w:p>
        </w:tc>
        <w:tc>
          <w:tcPr>
            <w:tcW w:w="794" w:type="dxa"/>
            <w:shd w:val="clear" w:color="auto" w:fill="FFFFFF"/>
            <w:tcMar>
              <w:top w:w="0" w:type="dxa"/>
              <w:left w:w="57" w:type="dxa"/>
              <w:bottom w:w="0" w:type="dxa"/>
              <w:right w:w="57" w:type="dxa"/>
            </w:tcMar>
            <w:vAlign w:val="center"/>
          </w:tcPr>
          <w:p w14:paraId="3337DA32" w14:textId="77777777" w:rsidR="00EB5913" w:rsidRPr="006623B9" w:rsidRDefault="00EB5913" w:rsidP="00F16E23">
            <w:pPr>
              <w:pStyle w:val="TableText"/>
              <w:spacing w:before="40" w:after="40"/>
              <w:jc w:val="right"/>
            </w:pPr>
            <w:r w:rsidRPr="006623B9">
              <w:rPr>
                <w:rFonts w:eastAsia="Calibri"/>
              </w:rPr>
              <w:t>10.6</w:t>
            </w:r>
          </w:p>
        </w:tc>
        <w:tc>
          <w:tcPr>
            <w:tcW w:w="794" w:type="dxa"/>
            <w:shd w:val="clear" w:color="auto" w:fill="FFFFFF"/>
            <w:tcMar>
              <w:top w:w="0" w:type="dxa"/>
              <w:left w:w="57" w:type="dxa"/>
              <w:bottom w:w="0" w:type="dxa"/>
              <w:right w:w="57" w:type="dxa"/>
            </w:tcMar>
            <w:vAlign w:val="center"/>
          </w:tcPr>
          <w:p w14:paraId="00BA8DD4" w14:textId="77777777" w:rsidR="00EB5913" w:rsidRPr="006623B9" w:rsidRDefault="00EB5913" w:rsidP="00F16E23">
            <w:pPr>
              <w:pStyle w:val="TableText"/>
              <w:spacing w:before="40" w:after="40"/>
              <w:jc w:val="right"/>
            </w:pPr>
            <w:r w:rsidRPr="006623B9">
              <w:rPr>
                <w:rFonts w:eastAsia="Calibri"/>
              </w:rPr>
              <w:t>16.0</w:t>
            </w:r>
          </w:p>
        </w:tc>
        <w:tc>
          <w:tcPr>
            <w:tcW w:w="0" w:type="auto"/>
            <w:shd w:val="clear" w:color="auto" w:fill="FFFFFF"/>
            <w:tcMar>
              <w:top w:w="0" w:type="dxa"/>
              <w:left w:w="57" w:type="dxa"/>
              <w:bottom w:w="0" w:type="dxa"/>
              <w:right w:w="57" w:type="dxa"/>
            </w:tcMar>
            <w:vAlign w:val="center"/>
          </w:tcPr>
          <w:p w14:paraId="0FDFB371" w14:textId="77777777" w:rsidR="00EB5913" w:rsidRPr="006623B9" w:rsidRDefault="00EB5913" w:rsidP="00F16E23">
            <w:pPr>
              <w:pStyle w:val="TableText"/>
              <w:spacing w:before="40" w:after="40"/>
              <w:jc w:val="right"/>
            </w:pPr>
            <w:r w:rsidRPr="006623B9">
              <w:rPr>
                <w:rFonts w:eastAsia="Calibri"/>
              </w:rPr>
              <w:t>8.6</w:t>
            </w:r>
          </w:p>
        </w:tc>
        <w:tc>
          <w:tcPr>
            <w:tcW w:w="0" w:type="auto"/>
            <w:shd w:val="clear" w:color="auto" w:fill="FFFFFF"/>
            <w:tcMar>
              <w:top w:w="0" w:type="dxa"/>
              <w:left w:w="57" w:type="dxa"/>
              <w:bottom w:w="0" w:type="dxa"/>
              <w:right w:w="57" w:type="dxa"/>
            </w:tcMar>
            <w:vAlign w:val="center"/>
          </w:tcPr>
          <w:p w14:paraId="13F3BD16" w14:textId="77777777" w:rsidR="00EB5913" w:rsidRPr="006623B9" w:rsidRDefault="00EB5913" w:rsidP="00F16E23">
            <w:pPr>
              <w:pStyle w:val="TableText"/>
              <w:spacing w:before="40" w:after="40"/>
              <w:jc w:val="right"/>
            </w:pPr>
            <w:r w:rsidRPr="006623B9">
              <w:rPr>
                <w:rFonts w:eastAsia="Calibri"/>
              </w:rPr>
              <w:t>1.3</w:t>
            </w:r>
          </w:p>
        </w:tc>
        <w:tc>
          <w:tcPr>
            <w:tcW w:w="0" w:type="auto"/>
            <w:shd w:val="clear" w:color="auto" w:fill="FFFFFF"/>
            <w:tcMar>
              <w:top w:w="0" w:type="dxa"/>
              <w:left w:w="57" w:type="dxa"/>
              <w:bottom w:w="0" w:type="dxa"/>
              <w:right w:w="57" w:type="dxa"/>
            </w:tcMar>
            <w:vAlign w:val="center"/>
          </w:tcPr>
          <w:p w14:paraId="08A9BB77"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7289847B"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20AC4661" w14:textId="77777777" w:rsidR="00EB5913" w:rsidRPr="006623B9" w:rsidRDefault="00EB5913" w:rsidP="00F16E23">
            <w:pPr>
              <w:pStyle w:val="TableText"/>
              <w:spacing w:before="40" w:after="40"/>
              <w:jc w:val="right"/>
            </w:pPr>
            <w:r w:rsidRPr="006623B9">
              <w:rPr>
                <w:rFonts w:eastAsia="Calibri"/>
              </w:rPr>
              <w:t>41.4</w:t>
            </w:r>
          </w:p>
        </w:tc>
        <w:tc>
          <w:tcPr>
            <w:tcW w:w="0" w:type="auto"/>
            <w:shd w:val="clear" w:color="auto" w:fill="FFFFFF"/>
            <w:tcMar>
              <w:top w:w="0" w:type="dxa"/>
              <w:left w:w="57" w:type="dxa"/>
              <w:bottom w:w="0" w:type="dxa"/>
              <w:right w:w="57" w:type="dxa"/>
            </w:tcMar>
            <w:vAlign w:val="center"/>
          </w:tcPr>
          <w:p w14:paraId="0C14B176"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3B540CB3" w14:textId="77777777" w:rsidTr="00F16E23">
        <w:tc>
          <w:tcPr>
            <w:tcW w:w="0" w:type="auto"/>
            <w:shd w:val="clear" w:color="auto" w:fill="FFFFFF"/>
            <w:tcMar>
              <w:top w:w="0" w:type="dxa"/>
              <w:left w:w="57" w:type="dxa"/>
              <w:bottom w:w="0" w:type="dxa"/>
              <w:right w:w="57" w:type="dxa"/>
            </w:tcMar>
            <w:vAlign w:val="center"/>
          </w:tcPr>
          <w:p w14:paraId="4A61EBB7"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1998</w:t>
            </w:r>
          </w:p>
        </w:tc>
        <w:tc>
          <w:tcPr>
            <w:tcW w:w="567" w:type="dxa"/>
            <w:shd w:val="clear" w:color="auto" w:fill="FFFFFF"/>
            <w:tcMar>
              <w:top w:w="0" w:type="dxa"/>
              <w:left w:w="57" w:type="dxa"/>
              <w:bottom w:w="0" w:type="dxa"/>
              <w:right w:w="57" w:type="dxa"/>
            </w:tcMar>
            <w:vAlign w:val="center"/>
          </w:tcPr>
          <w:p w14:paraId="299CBB6D" w14:textId="77777777" w:rsidR="00EB5913" w:rsidRPr="006623B9" w:rsidRDefault="00EB5913" w:rsidP="00F16E23">
            <w:pPr>
              <w:pStyle w:val="TableText"/>
              <w:spacing w:before="40" w:after="40"/>
              <w:jc w:val="right"/>
            </w:pPr>
            <w:r w:rsidRPr="006623B9">
              <w:rPr>
                <w:rFonts w:eastAsia="Calibri"/>
              </w:rPr>
              <w:t>16.2</w:t>
            </w:r>
          </w:p>
        </w:tc>
        <w:tc>
          <w:tcPr>
            <w:tcW w:w="794" w:type="dxa"/>
            <w:shd w:val="clear" w:color="auto" w:fill="FFFFFF"/>
            <w:tcMar>
              <w:top w:w="0" w:type="dxa"/>
              <w:left w:w="57" w:type="dxa"/>
              <w:bottom w:w="0" w:type="dxa"/>
              <w:right w:w="57" w:type="dxa"/>
            </w:tcMar>
            <w:vAlign w:val="center"/>
          </w:tcPr>
          <w:p w14:paraId="7CCF064E" w14:textId="77777777" w:rsidR="00EB5913" w:rsidRPr="006623B9" w:rsidRDefault="00EB5913" w:rsidP="00F16E23">
            <w:pPr>
              <w:pStyle w:val="TableText"/>
              <w:spacing w:before="40" w:after="40"/>
              <w:jc w:val="right"/>
            </w:pPr>
            <w:r w:rsidRPr="006623B9">
              <w:rPr>
                <w:rFonts w:eastAsia="Calibri"/>
              </w:rPr>
              <w:t>10.4</w:t>
            </w:r>
          </w:p>
        </w:tc>
        <w:tc>
          <w:tcPr>
            <w:tcW w:w="794" w:type="dxa"/>
            <w:shd w:val="clear" w:color="auto" w:fill="FFFFFF"/>
            <w:tcMar>
              <w:top w:w="0" w:type="dxa"/>
              <w:left w:w="57" w:type="dxa"/>
              <w:bottom w:w="0" w:type="dxa"/>
              <w:right w:w="57" w:type="dxa"/>
            </w:tcMar>
            <w:vAlign w:val="center"/>
          </w:tcPr>
          <w:p w14:paraId="2D31EA01" w14:textId="77777777" w:rsidR="00EB5913" w:rsidRPr="006623B9" w:rsidRDefault="00EB5913" w:rsidP="00F16E23">
            <w:pPr>
              <w:pStyle w:val="TableText"/>
              <w:spacing w:before="40" w:after="40"/>
              <w:jc w:val="right"/>
            </w:pPr>
            <w:r w:rsidRPr="006623B9">
              <w:rPr>
                <w:rFonts w:eastAsia="Calibri"/>
              </w:rPr>
              <w:t>15.8</w:t>
            </w:r>
          </w:p>
        </w:tc>
        <w:tc>
          <w:tcPr>
            <w:tcW w:w="0" w:type="auto"/>
            <w:shd w:val="clear" w:color="auto" w:fill="FFFFFF"/>
            <w:tcMar>
              <w:top w:w="0" w:type="dxa"/>
              <w:left w:w="57" w:type="dxa"/>
              <w:bottom w:w="0" w:type="dxa"/>
              <w:right w:w="57" w:type="dxa"/>
            </w:tcMar>
            <w:vAlign w:val="center"/>
          </w:tcPr>
          <w:p w14:paraId="6EEAF204" w14:textId="77777777" w:rsidR="00EB5913" w:rsidRPr="006623B9" w:rsidRDefault="00EB5913" w:rsidP="00F16E23">
            <w:pPr>
              <w:pStyle w:val="TableText"/>
              <w:spacing w:before="40" w:after="40"/>
              <w:jc w:val="right"/>
            </w:pPr>
            <w:r w:rsidRPr="006623B9">
              <w:rPr>
                <w:rFonts w:eastAsia="Calibri"/>
              </w:rPr>
              <w:t>9.4</w:t>
            </w:r>
          </w:p>
        </w:tc>
        <w:tc>
          <w:tcPr>
            <w:tcW w:w="0" w:type="auto"/>
            <w:shd w:val="clear" w:color="auto" w:fill="FFFFFF"/>
            <w:tcMar>
              <w:top w:w="0" w:type="dxa"/>
              <w:left w:w="57" w:type="dxa"/>
              <w:bottom w:w="0" w:type="dxa"/>
              <w:right w:w="57" w:type="dxa"/>
            </w:tcMar>
            <w:vAlign w:val="center"/>
          </w:tcPr>
          <w:p w14:paraId="4653727F" w14:textId="77777777" w:rsidR="00EB5913" w:rsidRPr="006623B9" w:rsidRDefault="00EB5913" w:rsidP="00F16E23">
            <w:pPr>
              <w:pStyle w:val="TableText"/>
              <w:spacing w:before="40" w:after="40"/>
              <w:jc w:val="right"/>
            </w:pPr>
            <w:r w:rsidRPr="006623B9">
              <w:rPr>
                <w:rFonts w:eastAsia="Calibri"/>
              </w:rPr>
              <w:t>1.6</w:t>
            </w:r>
          </w:p>
        </w:tc>
        <w:tc>
          <w:tcPr>
            <w:tcW w:w="0" w:type="auto"/>
            <w:shd w:val="clear" w:color="auto" w:fill="FFFFFF"/>
            <w:tcMar>
              <w:top w:w="0" w:type="dxa"/>
              <w:left w:w="57" w:type="dxa"/>
              <w:bottom w:w="0" w:type="dxa"/>
              <w:right w:w="57" w:type="dxa"/>
            </w:tcMar>
            <w:vAlign w:val="center"/>
          </w:tcPr>
          <w:p w14:paraId="0A5C5379"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12FAFA90"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416B233B" w14:textId="77777777" w:rsidR="00EB5913" w:rsidRPr="006623B9" w:rsidRDefault="00EB5913" w:rsidP="00F16E23">
            <w:pPr>
              <w:pStyle w:val="TableText"/>
              <w:spacing w:before="40" w:after="40"/>
              <w:jc w:val="right"/>
            </w:pPr>
            <w:r w:rsidRPr="006623B9">
              <w:rPr>
                <w:rFonts w:eastAsia="Calibri"/>
              </w:rPr>
              <w:t>41.0</w:t>
            </w:r>
          </w:p>
        </w:tc>
        <w:tc>
          <w:tcPr>
            <w:tcW w:w="0" w:type="auto"/>
            <w:shd w:val="clear" w:color="auto" w:fill="FFFFFF"/>
            <w:tcMar>
              <w:top w:w="0" w:type="dxa"/>
              <w:left w:w="57" w:type="dxa"/>
              <w:bottom w:w="0" w:type="dxa"/>
              <w:right w:w="57" w:type="dxa"/>
            </w:tcMar>
            <w:vAlign w:val="center"/>
          </w:tcPr>
          <w:p w14:paraId="46335BC2"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424EA208" w14:textId="77777777" w:rsidTr="00F16E23">
        <w:tc>
          <w:tcPr>
            <w:tcW w:w="0" w:type="auto"/>
            <w:shd w:val="clear" w:color="auto" w:fill="FFFFFF"/>
            <w:tcMar>
              <w:top w:w="0" w:type="dxa"/>
              <w:left w:w="57" w:type="dxa"/>
              <w:bottom w:w="0" w:type="dxa"/>
              <w:right w:w="57" w:type="dxa"/>
            </w:tcMar>
            <w:vAlign w:val="center"/>
          </w:tcPr>
          <w:p w14:paraId="22780619"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1999</w:t>
            </w:r>
          </w:p>
        </w:tc>
        <w:tc>
          <w:tcPr>
            <w:tcW w:w="567" w:type="dxa"/>
            <w:shd w:val="clear" w:color="auto" w:fill="FFFFFF"/>
            <w:tcMar>
              <w:top w:w="0" w:type="dxa"/>
              <w:left w:w="57" w:type="dxa"/>
              <w:bottom w:w="0" w:type="dxa"/>
              <w:right w:w="57" w:type="dxa"/>
            </w:tcMar>
            <w:vAlign w:val="center"/>
          </w:tcPr>
          <w:p w14:paraId="718EA31A" w14:textId="77777777" w:rsidR="00EB5913" w:rsidRPr="006623B9" w:rsidRDefault="00EB5913" w:rsidP="00F16E23">
            <w:pPr>
              <w:pStyle w:val="TableText"/>
              <w:spacing w:before="40" w:after="40"/>
              <w:jc w:val="right"/>
            </w:pPr>
            <w:r w:rsidRPr="006623B9">
              <w:rPr>
                <w:rFonts w:eastAsia="Calibri"/>
              </w:rPr>
              <w:t>15.9</w:t>
            </w:r>
          </w:p>
        </w:tc>
        <w:tc>
          <w:tcPr>
            <w:tcW w:w="794" w:type="dxa"/>
            <w:shd w:val="clear" w:color="auto" w:fill="FFFFFF"/>
            <w:tcMar>
              <w:top w:w="0" w:type="dxa"/>
              <w:left w:w="57" w:type="dxa"/>
              <w:bottom w:w="0" w:type="dxa"/>
              <w:right w:w="57" w:type="dxa"/>
            </w:tcMar>
            <w:vAlign w:val="center"/>
          </w:tcPr>
          <w:p w14:paraId="08141B3A" w14:textId="77777777" w:rsidR="00EB5913" w:rsidRPr="006623B9" w:rsidRDefault="00EB5913" w:rsidP="00F16E23">
            <w:pPr>
              <w:pStyle w:val="TableText"/>
              <w:spacing w:before="40" w:after="40"/>
              <w:jc w:val="right"/>
            </w:pPr>
            <w:r w:rsidRPr="006623B9">
              <w:rPr>
                <w:rFonts w:eastAsia="Calibri"/>
              </w:rPr>
              <w:t>10.1</w:t>
            </w:r>
          </w:p>
        </w:tc>
        <w:tc>
          <w:tcPr>
            <w:tcW w:w="794" w:type="dxa"/>
            <w:shd w:val="clear" w:color="auto" w:fill="FFFFFF"/>
            <w:tcMar>
              <w:top w:w="0" w:type="dxa"/>
              <w:left w:w="57" w:type="dxa"/>
              <w:bottom w:w="0" w:type="dxa"/>
              <w:right w:w="57" w:type="dxa"/>
            </w:tcMar>
            <w:vAlign w:val="center"/>
          </w:tcPr>
          <w:p w14:paraId="06654070" w14:textId="77777777" w:rsidR="00EB5913" w:rsidRPr="006623B9" w:rsidRDefault="00EB5913" w:rsidP="00F16E23">
            <w:pPr>
              <w:pStyle w:val="TableText"/>
              <w:spacing w:before="40" w:after="40"/>
              <w:jc w:val="right"/>
            </w:pPr>
            <w:r w:rsidRPr="006623B9">
              <w:rPr>
                <w:rFonts w:eastAsia="Calibri"/>
              </w:rPr>
              <w:t>15.7</w:t>
            </w:r>
          </w:p>
        </w:tc>
        <w:tc>
          <w:tcPr>
            <w:tcW w:w="0" w:type="auto"/>
            <w:shd w:val="clear" w:color="auto" w:fill="FFFFFF"/>
            <w:tcMar>
              <w:top w:w="0" w:type="dxa"/>
              <w:left w:w="57" w:type="dxa"/>
              <w:bottom w:w="0" w:type="dxa"/>
              <w:right w:w="57" w:type="dxa"/>
            </w:tcMar>
            <w:vAlign w:val="center"/>
          </w:tcPr>
          <w:p w14:paraId="7565BD49" w14:textId="77777777" w:rsidR="00EB5913" w:rsidRPr="006623B9" w:rsidRDefault="00EB5913" w:rsidP="00F16E23">
            <w:pPr>
              <w:pStyle w:val="TableText"/>
              <w:spacing w:before="40" w:after="40"/>
              <w:jc w:val="right"/>
            </w:pPr>
            <w:r w:rsidRPr="006623B9">
              <w:rPr>
                <w:rFonts w:eastAsia="Calibri"/>
              </w:rPr>
              <w:t>10.1</w:t>
            </w:r>
          </w:p>
        </w:tc>
        <w:tc>
          <w:tcPr>
            <w:tcW w:w="0" w:type="auto"/>
            <w:shd w:val="clear" w:color="auto" w:fill="FFFFFF"/>
            <w:tcMar>
              <w:top w:w="0" w:type="dxa"/>
              <w:left w:w="57" w:type="dxa"/>
              <w:bottom w:w="0" w:type="dxa"/>
              <w:right w:w="57" w:type="dxa"/>
            </w:tcMar>
            <w:vAlign w:val="center"/>
          </w:tcPr>
          <w:p w14:paraId="5B1B86FD" w14:textId="77777777" w:rsidR="00EB5913" w:rsidRPr="006623B9" w:rsidRDefault="00EB5913" w:rsidP="00F16E23">
            <w:pPr>
              <w:pStyle w:val="TableText"/>
              <w:spacing w:before="40" w:after="40"/>
              <w:jc w:val="right"/>
            </w:pPr>
            <w:r w:rsidRPr="006623B9">
              <w:rPr>
                <w:rFonts w:eastAsia="Calibri"/>
              </w:rPr>
              <w:t>2.0</w:t>
            </w:r>
          </w:p>
        </w:tc>
        <w:tc>
          <w:tcPr>
            <w:tcW w:w="0" w:type="auto"/>
            <w:shd w:val="clear" w:color="auto" w:fill="FFFFFF"/>
            <w:tcMar>
              <w:top w:w="0" w:type="dxa"/>
              <w:left w:w="57" w:type="dxa"/>
              <w:bottom w:w="0" w:type="dxa"/>
              <w:right w:w="57" w:type="dxa"/>
            </w:tcMar>
            <w:vAlign w:val="center"/>
          </w:tcPr>
          <w:p w14:paraId="4A168049"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5C444B55"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430ADB6A" w14:textId="77777777" w:rsidR="00EB5913" w:rsidRPr="006623B9" w:rsidRDefault="00EB5913" w:rsidP="00F16E23">
            <w:pPr>
              <w:pStyle w:val="TableText"/>
              <w:spacing w:before="40" w:after="40"/>
              <w:jc w:val="right"/>
            </w:pPr>
            <w:r w:rsidRPr="006623B9">
              <w:rPr>
                <w:rFonts w:eastAsia="Calibri"/>
              </w:rPr>
              <w:t>40.6</w:t>
            </w:r>
          </w:p>
        </w:tc>
        <w:tc>
          <w:tcPr>
            <w:tcW w:w="0" w:type="auto"/>
            <w:shd w:val="clear" w:color="auto" w:fill="FFFFFF"/>
            <w:tcMar>
              <w:top w:w="0" w:type="dxa"/>
              <w:left w:w="57" w:type="dxa"/>
              <w:bottom w:w="0" w:type="dxa"/>
              <w:right w:w="57" w:type="dxa"/>
            </w:tcMar>
            <w:vAlign w:val="center"/>
          </w:tcPr>
          <w:p w14:paraId="12903BB1"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192EE5FB" w14:textId="77777777" w:rsidTr="00F16E23">
        <w:tc>
          <w:tcPr>
            <w:tcW w:w="0" w:type="auto"/>
            <w:shd w:val="clear" w:color="auto" w:fill="FFFFFF"/>
            <w:tcMar>
              <w:top w:w="0" w:type="dxa"/>
              <w:left w:w="57" w:type="dxa"/>
              <w:bottom w:w="0" w:type="dxa"/>
              <w:right w:w="57" w:type="dxa"/>
            </w:tcMar>
            <w:vAlign w:val="center"/>
          </w:tcPr>
          <w:p w14:paraId="5DAAF79A"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2000</w:t>
            </w:r>
          </w:p>
        </w:tc>
        <w:tc>
          <w:tcPr>
            <w:tcW w:w="567" w:type="dxa"/>
            <w:shd w:val="clear" w:color="auto" w:fill="FFFFFF"/>
            <w:tcMar>
              <w:top w:w="0" w:type="dxa"/>
              <w:left w:w="57" w:type="dxa"/>
              <w:bottom w:w="0" w:type="dxa"/>
              <w:right w:w="57" w:type="dxa"/>
            </w:tcMar>
            <w:vAlign w:val="center"/>
          </w:tcPr>
          <w:p w14:paraId="02E9C1F7" w14:textId="77777777" w:rsidR="00EB5913" w:rsidRPr="006623B9" w:rsidRDefault="00EB5913" w:rsidP="00F16E23">
            <w:pPr>
              <w:pStyle w:val="TableText"/>
              <w:spacing w:before="40" w:after="40"/>
              <w:jc w:val="right"/>
            </w:pPr>
            <w:r w:rsidRPr="006623B9">
              <w:rPr>
                <w:rFonts w:eastAsia="Calibri"/>
              </w:rPr>
              <w:t>15.5</w:t>
            </w:r>
          </w:p>
        </w:tc>
        <w:tc>
          <w:tcPr>
            <w:tcW w:w="794" w:type="dxa"/>
            <w:shd w:val="clear" w:color="auto" w:fill="FFFFFF"/>
            <w:tcMar>
              <w:top w:w="0" w:type="dxa"/>
              <w:left w:w="57" w:type="dxa"/>
              <w:bottom w:w="0" w:type="dxa"/>
              <w:right w:w="57" w:type="dxa"/>
            </w:tcMar>
            <w:vAlign w:val="center"/>
          </w:tcPr>
          <w:p w14:paraId="5CC2CD3D" w14:textId="77777777" w:rsidR="00EB5913" w:rsidRPr="006623B9" w:rsidRDefault="00EB5913" w:rsidP="00F16E23">
            <w:pPr>
              <w:pStyle w:val="TableText"/>
              <w:spacing w:before="40" w:after="40"/>
              <w:jc w:val="right"/>
            </w:pPr>
            <w:r w:rsidRPr="006623B9">
              <w:rPr>
                <w:rFonts w:eastAsia="Calibri"/>
              </w:rPr>
              <w:t>9.9</w:t>
            </w:r>
          </w:p>
        </w:tc>
        <w:tc>
          <w:tcPr>
            <w:tcW w:w="794" w:type="dxa"/>
            <w:shd w:val="clear" w:color="auto" w:fill="FFFFFF"/>
            <w:tcMar>
              <w:top w:w="0" w:type="dxa"/>
              <w:left w:w="57" w:type="dxa"/>
              <w:bottom w:w="0" w:type="dxa"/>
              <w:right w:w="57" w:type="dxa"/>
            </w:tcMar>
            <w:vAlign w:val="center"/>
          </w:tcPr>
          <w:p w14:paraId="384872F5" w14:textId="77777777" w:rsidR="00EB5913" w:rsidRPr="006623B9" w:rsidRDefault="00EB5913" w:rsidP="00F16E23">
            <w:pPr>
              <w:pStyle w:val="TableText"/>
              <w:spacing w:before="40" w:after="40"/>
              <w:jc w:val="right"/>
            </w:pPr>
            <w:r w:rsidRPr="006623B9">
              <w:rPr>
                <w:rFonts w:eastAsia="Calibri"/>
              </w:rPr>
              <w:t>15.5</w:t>
            </w:r>
          </w:p>
        </w:tc>
        <w:tc>
          <w:tcPr>
            <w:tcW w:w="0" w:type="auto"/>
            <w:shd w:val="clear" w:color="auto" w:fill="FFFFFF"/>
            <w:tcMar>
              <w:top w:w="0" w:type="dxa"/>
              <w:left w:w="57" w:type="dxa"/>
              <w:bottom w:w="0" w:type="dxa"/>
              <w:right w:w="57" w:type="dxa"/>
            </w:tcMar>
            <w:vAlign w:val="center"/>
          </w:tcPr>
          <w:p w14:paraId="4E6EEAA8" w14:textId="77777777" w:rsidR="00EB5913" w:rsidRPr="006623B9" w:rsidRDefault="00EB5913" w:rsidP="00F16E23">
            <w:pPr>
              <w:pStyle w:val="TableText"/>
              <w:spacing w:before="40" w:after="40"/>
              <w:jc w:val="right"/>
            </w:pPr>
            <w:r w:rsidRPr="006623B9">
              <w:rPr>
                <w:rFonts w:eastAsia="Calibri"/>
              </w:rPr>
              <w:t>10.9</w:t>
            </w:r>
          </w:p>
        </w:tc>
        <w:tc>
          <w:tcPr>
            <w:tcW w:w="0" w:type="auto"/>
            <w:shd w:val="clear" w:color="auto" w:fill="FFFFFF"/>
            <w:tcMar>
              <w:top w:w="0" w:type="dxa"/>
              <w:left w:w="57" w:type="dxa"/>
              <w:bottom w:w="0" w:type="dxa"/>
              <w:right w:w="57" w:type="dxa"/>
            </w:tcMar>
            <w:vAlign w:val="center"/>
          </w:tcPr>
          <w:p w14:paraId="102D1E14" w14:textId="77777777" w:rsidR="00EB5913" w:rsidRPr="006623B9" w:rsidRDefault="00EB5913" w:rsidP="00F16E23">
            <w:pPr>
              <w:pStyle w:val="TableText"/>
              <w:spacing w:before="40" w:after="40"/>
              <w:jc w:val="right"/>
            </w:pPr>
            <w:r w:rsidRPr="006623B9">
              <w:rPr>
                <w:rFonts w:eastAsia="Calibri"/>
              </w:rPr>
              <w:t>2.4</w:t>
            </w:r>
          </w:p>
        </w:tc>
        <w:tc>
          <w:tcPr>
            <w:tcW w:w="0" w:type="auto"/>
            <w:shd w:val="clear" w:color="auto" w:fill="FFFFFF"/>
            <w:tcMar>
              <w:top w:w="0" w:type="dxa"/>
              <w:left w:w="57" w:type="dxa"/>
              <w:bottom w:w="0" w:type="dxa"/>
              <w:right w:w="57" w:type="dxa"/>
            </w:tcMar>
            <w:vAlign w:val="center"/>
          </w:tcPr>
          <w:p w14:paraId="2DE7A016"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29F53606"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3F264957" w14:textId="77777777" w:rsidR="00EB5913" w:rsidRPr="006623B9" w:rsidRDefault="00EB5913" w:rsidP="00F16E23">
            <w:pPr>
              <w:pStyle w:val="TableText"/>
              <w:spacing w:before="40" w:after="40"/>
              <w:jc w:val="right"/>
            </w:pPr>
            <w:r w:rsidRPr="006623B9">
              <w:rPr>
                <w:rFonts w:eastAsia="Calibri"/>
              </w:rPr>
              <w:t>40.1</w:t>
            </w:r>
          </w:p>
        </w:tc>
        <w:tc>
          <w:tcPr>
            <w:tcW w:w="0" w:type="auto"/>
            <w:shd w:val="clear" w:color="auto" w:fill="FFFFFF"/>
            <w:tcMar>
              <w:top w:w="0" w:type="dxa"/>
              <w:left w:w="57" w:type="dxa"/>
              <w:bottom w:w="0" w:type="dxa"/>
              <w:right w:w="57" w:type="dxa"/>
            </w:tcMar>
            <w:vAlign w:val="center"/>
          </w:tcPr>
          <w:p w14:paraId="3AD85B2F"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0BD83D2A" w14:textId="77777777" w:rsidTr="00F16E23">
        <w:tc>
          <w:tcPr>
            <w:tcW w:w="0" w:type="auto"/>
            <w:shd w:val="clear" w:color="auto" w:fill="FFFFFF"/>
            <w:tcMar>
              <w:top w:w="0" w:type="dxa"/>
              <w:left w:w="57" w:type="dxa"/>
              <w:bottom w:w="0" w:type="dxa"/>
              <w:right w:w="57" w:type="dxa"/>
            </w:tcMar>
            <w:vAlign w:val="center"/>
          </w:tcPr>
          <w:p w14:paraId="373981BC"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2001</w:t>
            </w:r>
          </w:p>
        </w:tc>
        <w:tc>
          <w:tcPr>
            <w:tcW w:w="567" w:type="dxa"/>
            <w:shd w:val="clear" w:color="auto" w:fill="FFFFFF"/>
            <w:tcMar>
              <w:top w:w="0" w:type="dxa"/>
              <w:left w:w="57" w:type="dxa"/>
              <w:bottom w:w="0" w:type="dxa"/>
              <w:right w:w="57" w:type="dxa"/>
            </w:tcMar>
            <w:vAlign w:val="center"/>
          </w:tcPr>
          <w:p w14:paraId="3432E1F0" w14:textId="77777777" w:rsidR="00EB5913" w:rsidRPr="006623B9" w:rsidRDefault="00EB5913" w:rsidP="00F16E23">
            <w:pPr>
              <w:pStyle w:val="TableText"/>
              <w:spacing w:before="40" w:after="40"/>
              <w:jc w:val="right"/>
            </w:pPr>
            <w:r w:rsidRPr="006623B9">
              <w:rPr>
                <w:rFonts w:eastAsia="Calibri"/>
              </w:rPr>
              <w:t>15.2</w:t>
            </w:r>
          </w:p>
        </w:tc>
        <w:tc>
          <w:tcPr>
            <w:tcW w:w="794" w:type="dxa"/>
            <w:shd w:val="clear" w:color="auto" w:fill="FFFFFF"/>
            <w:tcMar>
              <w:top w:w="0" w:type="dxa"/>
              <w:left w:w="57" w:type="dxa"/>
              <w:bottom w:w="0" w:type="dxa"/>
              <w:right w:w="57" w:type="dxa"/>
            </w:tcMar>
            <w:vAlign w:val="center"/>
          </w:tcPr>
          <w:p w14:paraId="1F128975" w14:textId="77777777" w:rsidR="00EB5913" w:rsidRPr="006623B9" w:rsidRDefault="00EB5913" w:rsidP="00F16E23">
            <w:pPr>
              <w:pStyle w:val="TableText"/>
              <w:spacing w:before="40" w:after="40"/>
              <w:jc w:val="right"/>
            </w:pPr>
            <w:r w:rsidRPr="006623B9">
              <w:rPr>
                <w:rFonts w:eastAsia="Calibri"/>
              </w:rPr>
              <w:t>9.7</w:t>
            </w:r>
          </w:p>
        </w:tc>
        <w:tc>
          <w:tcPr>
            <w:tcW w:w="794" w:type="dxa"/>
            <w:shd w:val="clear" w:color="auto" w:fill="FFFFFF"/>
            <w:tcMar>
              <w:top w:w="0" w:type="dxa"/>
              <w:left w:w="57" w:type="dxa"/>
              <w:bottom w:w="0" w:type="dxa"/>
              <w:right w:w="57" w:type="dxa"/>
            </w:tcMar>
            <w:vAlign w:val="center"/>
          </w:tcPr>
          <w:p w14:paraId="25301C1B" w14:textId="77777777" w:rsidR="00EB5913" w:rsidRPr="006623B9" w:rsidRDefault="00EB5913" w:rsidP="00F16E23">
            <w:pPr>
              <w:pStyle w:val="TableText"/>
              <w:spacing w:before="40" w:after="40"/>
              <w:jc w:val="right"/>
            </w:pPr>
            <w:r w:rsidRPr="006623B9">
              <w:rPr>
                <w:rFonts w:eastAsia="Calibri"/>
              </w:rPr>
              <w:t>15.4</w:t>
            </w:r>
          </w:p>
        </w:tc>
        <w:tc>
          <w:tcPr>
            <w:tcW w:w="0" w:type="auto"/>
            <w:shd w:val="clear" w:color="auto" w:fill="FFFFFF"/>
            <w:tcMar>
              <w:top w:w="0" w:type="dxa"/>
              <w:left w:w="57" w:type="dxa"/>
              <w:bottom w:w="0" w:type="dxa"/>
              <w:right w:w="57" w:type="dxa"/>
            </w:tcMar>
            <w:vAlign w:val="center"/>
          </w:tcPr>
          <w:p w14:paraId="41B3000A" w14:textId="77777777" w:rsidR="00EB5913" w:rsidRPr="006623B9" w:rsidRDefault="00EB5913" w:rsidP="00F16E23">
            <w:pPr>
              <w:pStyle w:val="TableText"/>
              <w:spacing w:before="40" w:after="40"/>
              <w:jc w:val="right"/>
            </w:pPr>
            <w:r w:rsidRPr="006623B9">
              <w:rPr>
                <w:rFonts w:eastAsia="Calibri"/>
              </w:rPr>
              <w:t>11.6</w:t>
            </w:r>
          </w:p>
        </w:tc>
        <w:tc>
          <w:tcPr>
            <w:tcW w:w="0" w:type="auto"/>
            <w:shd w:val="clear" w:color="auto" w:fill="FFFFFF"/>
            <w:tcMar>
              <w:top w:w="0" w:type="dxa"/>
              <w:left w:w="57" w:type="dxa"/>
              <w:bottom w:w="0" w:type="dxa"/>
              <w:right w:w="57" w:type="dxa"/>
            </w:tcMar>
            <w:vAlign w:val="center"/>
          </w:tcPr>
          <w:p w14:paraId="0B155D5F" w14:textId="77777777" w:rsidR="00EB5913" w:rsidRPr="006623B9" w:rsidRDefault="00EB5913" w:rsidP="00F16E23">
            <w:pPr>
              <w:pStyle w:val="TableText"/>
              <w:spacing w:before="40" w:after="40"/>
              <w:jc w:val="right"/>
            </w:pPr>
            <w:r w:rsidRPr="006623B9">
              <w:rPr>
                <w:rFonts w:eastAsia="Calibri"/>
              </w:rPr>
              <w:t>2.8</w:t>
            </w:r>
          </w:p>
        </w:tc>
        <w:tc>
          <w:tcPr>
            <w:tcW w:w="0" w:type="auto"/>
            <w:shd w:val="clear" w:color="auto" w:fill="FFFFFF"/>
            <w:tcMar>
              <w:top w:w="0" w:type="dxa"/>
              <w:left w:w="57" w:type="dxa"/>
              <w:bottom w:w="0" w:type="dxa"/>
              <w:right w:w="57" w:type="dxa"/>
            </w:tcMar>
            <w:vAlign w:val="center"/>
          </w:tcPr>
          <w:p w14:paraId="4DABC1E7"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513AA431"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51B9CD82" w14:textId="77777777" w:rsidR="00EB5913" w:rsidRPr="006623B9" w:rsidRDefault="00EB5913" w:rsidP="00F16E23">
            <w:pPr>
              <w:pStyle w:val="TableText"/>
              <w:spacing w:before="40" w:after="40"/>
              <w:jc w:val="right"/>
            </w:pPr>
            <w:r w:rsidRPr="006623B9">
              <w:rPr>
                <w:rFonts w:eastAsia="Calibri"/>
              </w:rPr>
              <w:t>39.7</w:t>
            </w:r>
          </w:p>
        </w:tc>
        <w:tc>
          <w:tcPr>
            <w:tcW w:w="0" w:type="auto"/>
            <w:shd w:val="clear" w:color="auto" w:fill="FFFFFF"/>
            <w:tcMar>
              <w:top w:w="0" w:type="dxa"/>
              <w:left w:w="57" w:type="dxa"/>
              <w:bottom w:w="0" w:type="dxa"/>
              <w:right w:w="57" w:type="dxa"/>
            </w:tcMar>
            <w:vAlign w:val="center"/>
          </w:tcPr>
          <w:p w14:paraId="600DC8AB"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11230B78" w14:textId="77777777" w:rsidTr="00F16E23">
        <w:tc>
          <w:tcPr>
            <w:tcW w:w="0" w:type="auto"/>
            <w:shd w:val="clear" w:color="auto" w:fill="FFFFFF"/>
            <w:tcMar>
              <w:top w:w="0" w:type="dxa"/>
              <w:left w:w="57" w:type="dxa"/>
              <w:bottom w:w="0" w:type="dxa"/>
              <w:right w:w="57" w:type="dxa"/>
            </w:tcMar>
            <w:vAlign w:val="center"/>
          </w:tcPr>
          <w:p w14:paraId="01AF1D19"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2002</w:t>
            </w:r>
          </w:p>
        </w:tc>
        <w:tc>
          <w:tcPr>
            <w:tcW w:w="567" w:type="dxa"/>
            <w:shd w:val="clear" w:color="auto" w:fill="FFFFFF"/>
            <w:tcMar>
              <w:top w:w="0" w:type="dxa"/>
              <w:left w:w="57" w:type="dxa"/>
              <w:bottom w:w="0" w:type="dxa"/>
              <w:right w:w="57" w:type="dxa"/>
            </w:tcMar>
            <w:vAlign w:val="center"/>
          </w:tcPr>
          <w:p w14:paraId="35FBFB55" w14:textId="77777777" w:rsidR="00EB5913" w:rsidRPr="006623B9" w:rsidRDefault="00EB5913" w:rsidP="00F16E23">
            <w:pPr>
              <w:pStyle w:val="TableText"/>
              <w:spacing w:before="40" w:after="40"/>
              <w:jc w:val="right"/>
            </w:pPr>
            <w:r w:rsidRPr="006623B9">
              <w:rPr>
                <w:rFonts w:eastAsia="Calibri"/>
              </w:rPr>
              <w:t>14.9</w:t>
            </w:r>
          </w:p>
        </w:tc>
        <w:tc>
          <w:tcPr>
            <w:tcW w:w="794" w:type="dxa"/>
            <w:shd w:val="clear" w:color="auto" w:fill="FFFFFF"/>
            <w:tcMar>
              <w:top w:w="0" w:type="dxa"/>
              <w:left w:w="57" w:type="dxa"/>
              <w:bottom w:w="0" w:type="dxa"/>
              <w:right w:w="57" w:type="dxa"/>
            </w:tcMar>
            <w:vAlign w:val="center"/>
          </w:tcPr>
          <w:p w14:paraId="1EE5CF04" w14:textId="77777777" w:rsidR="00EB5913" w:rsidRPr="006623B9" w:rsidRDefault="00EB5913" w:rsidP="00F16E23">
            <w:pPr>
              <w:pStyle w:val="TableText"/>
              <w:spacing w:before="40" w:after="40"/>
              <w:jc w:val="right"/>
            </w:pPr>
            <w:r w:rsidRPr="006623B9">
              <w:rPr>
                <w:rFonts w:eastAsia="Calibri"/>
              </w:rPr>
              <w:t>9.5</w:t>
            </w:r>
          </w:p>
        </w:tc>
        <w:tc>
          <w:tcPr>
            <w:tcW w:w="794" w:type="dxa"/>
            <w:shd w:val="clear" w:color="auto" w:fill="FFFFFF"/>
            <w:tcMar>
              <w:top w:w="0" w:type="dxa"/>
              <w:left w:w="57" w:type="dxa"/>
              <w:bottom w:w="0" w:type="dxa"/>
              <w:right w:w="57" w:type="dxa"/>
            </w:tcMar>
            <w:vAlign w:val="center"/>
          </w:tcPr>
          <w:p w14:paraId="71437C7B" w14:textId="77777777" w:rsidR="00EB5913" w:rsidRPr="006623B9" w:rsidRDefault="00EB5913" w:rsidP="00F16E23">
            <w:pPr>
              <w:pStyle w:val="TableText"/>
              <w:spacing w:before="40" w:after="40"/>
              <w:jc w:val="right"/>
            </w:pPr>
            <w:r w:rsidRPr="006623B9">
              <w:rPr>
                <w:rFonts w:eastAsia="Calibri"/>
              </w:rPr>
              <w:t>15.2</w:t>
            </w:r>
          </w:p>
        </w:tc>
        <w:tc>
          <w:tcPr>
            <w:tcW w:w="0" w:type="auto"/>
            <w:shd w:val="clear" w:color="auto" w:fill="FFFFFF"/>
            <w:tcMar>
              <w:top w:w="0" w:type="dxa"/>
              <w:left w:w="57" w:type="dxa"/>
              <w:bottom w:w="0" w:type="dxa"/>
              <w:right w:w="57" w:type="dxa"/>
            </w:tcMar>
            <w:vAlign w:val="center"/>
          </w:tcPr>
          <w:p w14:paraId="450B6515" w14:textId="77777777" w:rsidR="00EB5913" w:rsidRPr="006623B9" w:rsidRDefault="00EB5913" w:rsidP="00F16E23">
            <w:pPr>
              <w:pStyle w:val="TableText"/>
              <w:spacing w:before="40" w:after="40"/>
              <w:jc w:val="right"/>
            </w:pPr>
            <w:r w:rsidRPr="006623B9">
              <w:rPr>
                <w:rFonts w:eastAsia="Calibri"/>
              </w:rPr>
              <w:t>12.4</w:t>
            </w:r>
          </w:p>
        </w:tc>
        <w:tc>
          <w:tcPr>
            <w:tcW w:w="0" w:type="auto"/>
            <w:shd w:val="clear" w:color="auto" w:fill="FFFFFF"/>
            <w:tcMar>
              <w:top w:w="0" w:type="dxa"/>
              <w:left w:w="57" w:type="dxa"/>
              <w:bottom w:w="0" w:type="dxa"/>
              <w:right w:w="57" w:type="dxa"/>
            </w:tcMar>
            <w:vAlign w:val="center"/>
          </w:tcPr>
          <w:p w14:paraId="6131ADC5" w14:textId="77777777" w:rsidR="00EB5913" w:rsidRPr="006623B9" w:rsidRDefault="00EB5913" w:rsidP="00F16E23">
            <w:pPr>
              <w:pStyle w:val="TableText"/>
              <w:spacing w:before="40" w:after="40"/>
              <w:jc w:val="right"/>
            </w:pPr>
            <w:r w:rsidRPr="006623B9">
              <w:rPr>
                <w:rFonts w:eastAsia="Calibri"/>
              </w:rPr>
              <w:t>3.1</w:t>
            </w:r>
          </w:p>
        </w:tc>
        <w:tc>
          <w:tcPr>
            <w:tcW w:w="0" w:type="auto"/>
            <w:shd w:val="clear" w:color="auto" w:fill="FFFFFF"/>
            <w:tcMar>
              <w:top w:w="0" w:type="dxa"/>
              <w:left w:w="57" w:type="dxa"/>
              <w:bottom w:w="0" w:type="dxa"/>
              <w:right w:w="57" w:type="dxa"/>
            </w:tcMar>
            <w:vAlign w:val="center"/>
          </w:tcPr>
          <w:p w14:paraId="49E441EC"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54C1CF07"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2A3026A5" w14:textId="77777777" w:rsidR="00EB5913" w:rsidRPr="006623B9" w:rsidRDefault="00EB5913" w:rsidP="00F16E23">
            <w:pPr>
              <w:pStyle w:val="TableText"/>
              <w:spacing w:before="40" w:after="40"/>
              <w:jc w:val="right"/>
            </w:pPr>
            <w:r w:rsidRPr="006623B9">
              <w:rPr>
                <w:rFonts w:eastAsia="Calibri"/>
              </w:rPr>
              <w:t>39.3</w:t>
            </w:r>
          </w:p>
        </w:tc>
        <w:tc>
          <w:tcPr>
            <w:tcW w:w="0" w:type="auto"/>
            <w:shd w:val="clear" w:color="auto" w:fill="FFFFFF"/>
            <w:tcMar>
              <w:top w:w="0" w:type="dxa"/>
              <w:left w:w="57" w:type="dxa"/>
              <w:bottom w:w="0" w:type="dxa"/>
              <w:right w:w="57" w:type="dxa"/>
            </w:tcMar>
            <w:vAlign w:val="center"/>
          </w:tcPr>
          <w:p w14:paraId="14475F63"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37FA948A" w14:textId="77777777" w:rsidTr="00F16E23">
        <w:tc>
          <w:tcPr>
            <w:tcW w:w="0" w:type="auto"/>
            <w:shd w:val="clear" w:color="auto" w:fill="FFFFFF"/>
            <w:tcMar>
              <w:top w:w="0" w:type="dxa"/>
              <w:left w:w="57" w:type="dxa"/>
              <w:bottom w:w="0" w:type="dxa"/>
              <w:right w:w="57" w:type="dxa"/>
            </w:tcMar>
            <w:vAlign w:val="center"/>
          </w:tcPr>
          <w:p w14:paraId="087BBE68"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2003</w:t>
            </w:r>
          </w:p>
        </w:tc>
        <w:tc>
          <w:tcPr>
            <w:tcW w:w="567" w:type="dxa"/>
            <w:shd w:val="clear" w:color="auto" w:fill="FFFFFF"/>
            <w:tcMar>
              <w:top w:w="0" w:type="dxa"/>
              <w:left w:w="57" w:type="dxa"/>
              <w:bottom w:w="0" w:type="dxa"/>
              <w:right w:w="57" w:type="dxa"/>
            </w:tcMar>
            <w:vAlign w:val="center"/>
          </w:tcPr>
          <w:p w14:paraId="0E445E05" w14:textId="77777777" w:rsidR="00EB5913" w:rsidRPr="006623B9" w:rsidRDefault="00EB5913" w:rsidP="00F16E23">
            <w:pPr>
              <w:pStyle w:val="TableText"/>
              <w:spacing w:before="40" w:after="40"/>
              <w:jc w:val="right"/>
            </w:pPr>
            <w:r w:rsidRPr="006623B9">
              <w:rPr>
                <w:rFonts w:eastAsia="Calibri"/>
              </w:rPr>
              <w:t>14.5</w:t>
            </w:r>
          </w:p>
        </w:tc>
        <w:tc>
          <w:tcPr>
            <w:tcW w:w="794" w:type="dxa"/>
            <w:shd w:val="clear" w:color="auto" w:fill="FFFFFF"/>
            <w:tcMar>
              <w:top w:w="0" w:type="dxa"/>
              <w:left w:w="57" w:type="dxa"/>
              <w:bottom w:w="0" w:type="dxa"/>
              <w:right w:w="57" w:type="dxa"/>
            </w:tcMar>
            <w:vAlign w:val="center"/>
          </w:tcPr>
          <w:p w14:paraId="6FD7AF2B" w14:textId="77777777" w:rsidR="00EB5913" w:rsidRPr="006623B9" w:rsidRDefault="00EB5913" w:rsidP="00F16E23">
            <w:pPr>
              <w:pStyle w:val="TableText"/>
              <w:spacing w:before="40" w:after="40"/>
              <w:jc w:val="right"/>
            </w:pPr>
            <w:r w:rsidRPr="006623B9">
              <w:rPr>
                <w:rFonts w:eastAsia="Calibri"/>
              </w:rPr>
              <w:t>9.3</w:t>
            </w:r>
          </w:p>
        </w:tc>
        <w:tc>
          <w:tcPr>
            <w:tcW w:w="794" w:type="dxa"/>
            <w:shd w:val="clear" w:color="auto" w:fill="FFFFFF"/>
            <w:tcMar>
              <w:top w:w="0" w:type="dxa"/>
              <w:left w:w="57" w:type="dxa"/>
              <w:bottom w:w="0" w:type="dxa"/>
              <w:right w:w="57" w:type="dxa"/>
            </w:tcMar>
            <w:vAlign w:val="center"/>
          </w:tcPr>
          <w:p w14:paraId="4067FE28" w14:textId="77777777" w:rsidR="00EB5913" w:rsidRPr="006623B9" w:rsidRDefault="00EB5913" w:rsidP="00F16E23">
            <w:pPr>
              <w:pStyle w:val="TableText"/>
              <w:spacing w:before="40" w:after="40"/>
              <w:jc w:val="right"/>
            </w:pPr>
            <w:r w:rsidRPr="006623B9">
              <w:rPr>
                <w:rFonts w:eastAsia="Calibri"/>
              </w:rPr>
              <w:t>15.1</w:t>
            </w:r>
          </w:p>
        </w:tc>
        <w:tc>
          <w:tcPr>
            <w:tcW w:w="0" w:type="auto"/>
            <w:shd w:val="clear" w:color="auto" w:fill="FFFFFF"/>
            <w:tcMar>
              <w:top w:w="0" w:type="dxa"/>
              <w:left w:w="57" w:type="dxa"/>
              <w:bottom w:w="0" w:type="dxa"/>
              <w:right w:w="57" w:type="dxa"/>
            </w:tcMar>
            <w:vAlign w:val="center"/>
          </w:tcPr>
          <w:p w14:paraId="708E0FFB" w14:textId="77777777" w:rsidR="00EB5913" w:rsidRPr="006623B9" w:rsidRDefault="00EB5913" w:rsidP="00F16E23">
            <w:pPr>
              <w:pStyle w:val="TableText"/>
              <w:spacing w:before="40" w:after="40"/>
              <w:jc w:val="right"/>
            </w:pPr>
            <w:r w:rsidRPr="006623B9">
              <w:rPr>
                <w:rFonts w:eastAsia="Calibri"/>
              </w:rPr>
              <w:t>13.1</w:t>
            </w:r>
          </w:p>
        </w:tc>
        <w:tc>
          <w:tcPr>
            <w:tcW w:w="0" w:type="auto"/>
            <w:shd w:val="clear" w:color="auto" w:fill="FFFFFF"/>
            <w:tcMar>
              <w:top w:w="0" w:type="dxa"/>
              <w:left w:w="57" w:type="dxa"/>
              <w:bottom w:w="0" w:type="dxa"/>
              <w:right w:w="57" w:type="dxa"/>
            </w:tcMar>
            <w:vAlign w:val="center"/>
          </w:tcPr>
          <w:p w14:paraId="15080D04" w14:textId="77777777" w:rsidR="00EB5913" w:rsidRPr="006623B9" w:rsidRDefault="00EB5913" w:rsidP="00F16E23">
            <w:pPr>
              <w:pStyle w:val="TableText"/>
              <w:spacing w:before="40" w:after="40"/>
              <w:jc w:val="right"/>
            </w:pPr>
            <w:r w:rsidRPr="006623B9">
              <w:rPr>
                <w:rFonts w:eastAsia="Calibri"/>
              </w:rPr>
              <w:t>3.5</w:t>
            </w:r>
          </w:p>
        </w:tc>
        <w:tc>
          <w:tcPr>
            <w:tcW w:w="0" w:type="auto"/>
            <w:shd w:val="clear" w:color="auto" w:fill="FFFFFF"/>
            <w:tcMar>
              <w:top w:w="0" w:type="dxa"/>
              <w:left w:w="57" w:type="dxa"/>
              <w:bottom w:w="0" w:type="dxa"/>
              <w:right w:w="57" w:type="dxa"/>
            </w:tcMar>
            <w:vAlign w:val="center"/>
          </w:tcPr>
          <w:p w14:paraId="70E81D9B"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13C4A445"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79DEA056" w14:textId="77777777" w:rsidR="00EB5913" w:rsidRPr="006623B9" w:rsidRDefault="00EB5913" w:rsidP="00F16E23">
            <w:pPr>
              <w:pStyle w:val="TableText"/>
              <w:spacing w:before="40" w:after="40"/>
              <w:jc w:val="right"/>
            </w:pPr>
            <w:r w:rsidRPr="006623B9">
              <w:rPr>
                <w:rFonts w:eastAsia="Calibri"/>
              </w:rPr>
              <w:t>38.8</w:t>
            </w:r>
          </w:p>
        </w:tc>
        <w:tc>
          <w:tcPr>
            <w:tcW w:w="0" w:type="auto"/>
            <w:shd w:val="clear" w:color="auto" w:fill="FFFFFF"/>
            <w:tcMar>
              <w:top w:w="0" w:type="dxa"/>
              <w:left w:w="57" w:type="dxa"/>
              <w:bottom w:w="0" w:type="dxa"/>
              <w:right w:w="57" w:type="dxa"/>
            </w:tcMar>
            <w:vAlign w:val="center"/>
          </w:tcPr>
          <w:p w14:paraId="6CBA0910"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5B0BA4E7" w14:textId="77777777" w:rsidTr="00F16E23">
        <w:tc>
          <w:tcPr>
            <w:tcW w:w="0" w:type="auto"/>
            <w:shd w:val="clear" w:color="auto" w:fill="FFFFFF"/>
            <w:tcMar>
              <w:top w:w="0" w:type="dxa"/>
              <w:left w:w="57" w:type="dxa"/>
              <w:bottom w:w="0" w:type="dxa"/>
              <w:right w:w="57" w:type="dxa"/>
            </w:tcMar>
            <w:vAlign w:val="center"/>
          </w:tcPr>
          <w:p w14:paraId="23213100"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2004</w:t>
            </w:r>
          </w:p>
        </w:tc>
        <w:tc>
          <w:tcPr>
            <w:tcW w:w="567" w:type="dxa"/>
            <w:shd w:val="clear" w:color="auto" w:fill="FFFFFF"/>
            <w:tcMar>
              <w:top w:w="0" w:type="dxa"/>
              <w:left w:w="57" w:type="dxa"/>
              <w:bottom w:w="0" w:type="dxa"/>
              <w:right w:w="57" w:type="dxa"/>
            </w:tcMar>
            <w:vAlign w:val="center"/>
          </w:tcPr>
          <w:p w14:paraId="4B618FB0" w14:textId="77777777" w:rsidR="00EB5913" w:rsidRPr="006623B9" w:rsidRDefault="00EB5913" w:rsidP="00F16E23">
            <w:pPr>
              <w:pStyle w:val="TableText"/>
              <w:spacing w:before="40" w:after="40"/>
              <w:jc w:val="right"/>
            </w:pPr>
            <w:r w:rsidRPr="006623B9">
              <w:rPr>
                <w:rFonts w:eastAsia="Calibri"/>
              </w:rPr>
              <w:t>14.1</w:t>
            </w:r>
          </w:p>
        </w:tc>
        <w:tc>
          <w:tcPr>
            <w:tcW w:w="794" w:type="dxa"/>
            <w:shd w:val="clear" w:color="auto" w:fill="FFFFFF"/>
            <w:tcMar>
              <w:top w:w="0" w:type="dxa"/>
              <w:left w:w="57" w:type="dxa"/>
              <w:bottom w:w="0" w:type="dxa"/>
              <w:right w:w="57" w:type="dxa"/>
            </w:tcMar>
            <w:vAlign w:val="center"/>
          </w:tcPr>
          <w:p w14:paraId="78D21FBC" w14:textId="77777777" w:rsidR="00EB5913" w:rsidRPr="006623B9" w:rsidRDefault="00EB5913" w:rsidP="00F16E23">
            <w:pPr>
              <w:pStyle w:val="TableText"/>
              <w:spacing w:before="40" w:after="40"/>
              <w:jc w:val="right"/>
            </w:pPr>
            <w:r w:rsidRPr="006623B9">
              <w:rPr>
                <w:rFonts w:eastAsia="Calibri"/>
              </w:rPr>
              <w:t>9.2</w:t>
            </w:r>
          </w:p>
        </w:tc>
        <w:tc>
          <w:tcPr>
            <w:tcW w:w="794" w:type="dxa"/>
            <w:shd w:val="clear" w:color="auto" w:fill="FFFFFF"/>
            <w:tcMar>
              <w:top w:w="0" w:type="dxa"/>
              <w:left w:w="57" w:type="dxa"/>
              <w:bottom w:w="0" w:type="dxa"/>
              <w:right w:w="57" w:type="dxa"/>
            </w:tcMar>
            <w:vAlign w:val="center"/>
          </w:tcPr>
          <w:p w14:paraId="30187678" w14:textId="77777777" w:rsidR="00EB5913" w:rsidRPr="006623B9" w:rsidRDefault="00EB5913" w:rsidP="00F16E23">
            <w:pPr>
              <w:pStyle w:val="TableText"/>
              <w:spacing w:before="40" w:after="40"/>
              <w:jc w:val="right"/>
            </w:pPr>
            <w:r w:rsidRPr="006623B9">
              <w:rPr>
                <w:rFonts w:eastAsia="Calibri"/>
              </w:rPr>
              <w:t>14.9</w:t>
            </w:r>
          </w:p>
        </w:tc>
        <w:tc>
          <w:tcPr>
            <w:tcW w:w="0" w:type="auto"/>
            <w:shd w:val="clear" w:color="auto" w:fill="FFFFFF"/>
            <w:tcMar>
              <w:top w:w="0" w:type="dxa"/>
              <w:left w:w="57" w:type="dxa"/>
              <w:bottom w:w="0" w:type="dxa"/>
              <w:right w:w="57" w:type="dxa"/>
            </w:tcMar>
            <w:vAlign w:val="center"/>
          </w:tcPr>
          <w:p w14:paraId="3585A725" w14:textId="77777777" w:rsidR="00EB5913" w:rsidRPr="006623B9" w:rsidRDefault="00EB5913" w:rsidP="00F16E23">
            <w:pPr>
              <w:pStyle w:val="TableText"/>
              <w:spacing w:before="40" w:after="40"/>
              <w:jc w:val="right"/>
            </w:pPr>
            <w:r w:rsidRPr="006623B9">
              <w:rPr>
                <w:rFonts w:eastAsia="Calibri"/>
              </w:rPr>
              <w:t>13.9</w:t>
            </w:r>
          </w:p>
        </w:tc>
        <w:tc>
          <w:tcPr>
            <w:tcW w:w="0" w:type="auto"/>
            <w:shd w:val="clear" w:color="auto" w:fill="FFFFFF"/>
            <w:tcMar>
              <w:top w:w="0" w:type="dxa"/>
              <w:left w:w="57" w:type="dxa"/>
              <w:bottom w:w="0" w:type="dxa"/>
              <w:right w:w="57" w:type="dxa"/>
            </w:tcMar>
            <w:vAlign w:val="center"/>
          </w:tcPr>
          <w:p w14:paraId="636A1034" w14:textId="77777777" w:rsidR="00EB5913" w:rsidRPr="006623B9" w:rsidRDefault="00EB5913" w:rsidP="00F16E23">
            <w:pPr>
              <w:pStyle w:val="TableText"/>
              <w:spacing w:before="40" w:after="40"/>
              <w:jc w:val="right"/>
            </w:pPr>
            <w:r w:rsidRPr="006623B9">
              <w:rPr>
                <w:rFonts w:eastAsia="Calibri"/>
              </w:rPr>
              <w:t>3.9</w:t>
            </w:r>
          </w:p>
        </w:tc>
        <w:tc>
          <w:tcPr>
            <w:tcW w:w="0" w:type="auto"/>
            <w:shd w:val="clear" w:color="auto" w:fill="FFFFFF"/>
            <w:tcMar>
              <w:top w:w="0" w:type="dxa"/>
              <w:left w:w="57" w:type="dxa"/>
              <w:bottom w:w="0" w:type="dxa"/>
              <w:right w:w="57" w:type="dxa"/>
            </w:tcMar>
            <w:vAlign w:val="center"/>
          </w:tcPr>
          <w:p w14:paraId="76FC8BF4"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51921383"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6C037CCD" w14:textId="77777777" w:rsidR="00EB5913" w:rsidRPr="006623B9" w:rsidRDefault="00EB5913" w:rsidP="00F16E23">
            <w:pPr>
              <w:pStyle w:val="TableText"/>
              <w:spacing w:before="40" w:after="40"/>
              <w:jc w:val="right"/>
            </w:pPr>
            <w:r w:rsidRPr="006623B9">
              <w:rPr>
                <w:rFonts w:eastAsia="Calibri"/>
              </w:rPr>
              <w:t>38.4</w:t>
            </w:r>
          </w:p>
        </w:tc>
        <w:tc>
          <w:tcPr>
            <w:tcW w:w="0" w:type="auto"/>
            <w:shd w:val="clear" w:color="auto" w:fill="FFFFFF"/>
            <w:tcMar>
              <w:top w:w="0" w:type="dxa"/>
              <w:left w:w="57" w:type="dxa"/>
              <w:bottom w:w="0" w:type="dxa"/>
              <w:right w:w="57" w:type="dxa"/>
            </w:tcMar>
            <w:vAlign w:val="center"/>
          </w:tcPr>
          <w:p w14:paraId="5CD7BA1C" w14:textId="77777777" w:rsidR="00EB5913" w:rsidRPr="006623B9" w:rsidRDefault="00EB5913" w:rsidP="00F16E23">
            <w:pPr>
              <w:pStyle w:val="TableText"/>
              <w:spacing w:before="40" w:after="40"/>
            </w:pPr>
            <w:r w:rsidRPr="006623B9">
              <w:rPr>
                <w:rFonts w:eastAsia="Calibri"/>
              </w:rPr>
              <w:t>National survey</w:t>
            </w:r>
          </w:p>
        </w:tc>
      </w:tr>
      <w:tr w:rsidR="00EB5913" w:rsidRPr="006623B9" w14:paraId="3AB8EBF9" w14:textId="77777777" w:rsidTr="00F16E23">
        <w:tc>
          <w:tcPr>
            <w:tcW w:w="0" w:type="auto"/>
            <w:shd w:val="clear" w:color="auto" w:fill="FFFFFF"/>
            <w:tcMar>
              <w:top w:w="0" w:type="dxa"/>
              <w:left w:w="57" w:type="dxa"/>
              <w:bottom w:w="0" w:type="dxa"/>
              <w:right w:w="57" w:type="dxa"/>
            </w:tcMar>
            <w:vAlign w:val="center"/>
          </w:tcPr>
          <w:p w14:paraId="68C21EDD"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2005</w:t>
            </w:r>
          </w:p>
        </w:tc>
        <w:tc>
          <w:tcPr>
            <w:tcW w:w="567" w:type="dxa"/>
            <w:shd w:val="clear" w:color="auto" w:fill="FFFFFF"/>
            <w:tcMar>
              <w:top w:w="0" w:type="dxa"/>
              <w:left w:w="57" w:type="dxa"/>
              <w:bottom w:w="0" w:type="dxa"/>
              <w:right w:w="57" w:type="dxa"/>
            </w:tcMar>
            <w:vAlign w:val="center"/>
          </w:tcPr>
          <w:p w14:paraId="7A26E22B" w14:textId="77777777" w:rsidR="00EB5913" w:rsidRPr="006623B9" w:rsidRDefault="00EB5913" w:rsidP="00F16E23">
            <w:pPr>
              <w:pStyle w:val="TableText"/>
              <w:spacing w:before="40" w:after="40"/>
              <w:jc w:val="right"/>
            </w:pPr>
            <w:r w:rsidRPr="006623B9">
              <w:rPr>
                <w:rFonts w:eastAsia="Calibri"/>
              </w:rPr>
              <w:t>14.9</w:t>
            </w:r>
          </w:p>
        </w:tc>
        <w:tc>
          <w:tcPr>
            <w:tcW w:w="794" w:type="dxa"/>
            <w:shd w:val="clear" w:color="auto" w:fill="FFFFFF"/>
            <w:tcMar>
              <w:top w:w="0" w:type="dxa"/>
              <w:left w:w="57" w:type="dxa"/>
              <w:bottom w:w="0" w:type="dxa"/>
              <w:right w:w="57" w:type="dxa"/>
            </w:tcMar>
            <w:vAlign w:val="center"/>
          </w:tcPr>
          <w:p w14:paraId="40BF7C50" w14:textId="77777777" w:rsidR="00EB5913" w:rsidRPr="006623B9" w:rsidRDefault="00EB5913" w:rsidP="00F16E23">
            <w:pPr>
              <w:pStyle w:val="TableText"/>
              <w:spacing w:before="40" w:after="40"/>
              <w:jc w:val="right"/>
            </w:pPr>
            <w:r w:rsidRPr="006623B9">
              <w:rPr>
                <w:rFonts w:eastAsia="Calibri"/>
              </w:rPr>
              <w:t>9.2</w:t>
            </w:r>
          </w:p>
        </w:tc>
        <w:tc>
          <w:tcPr>
            <w:tcW w:w="794" w:type="dxa"/>
            <w:shd w:val="clear" w:color="auto" w:fill="FFFFFF"/>
            <w:tcMar>
              <w:top w:w="0" w:type="dxa"/>
              <w:left w:w="57" w:type="dxa"/>
              <w:bottom w:w="0" w:type="dxa"/>
              <w:right w:w="57" w:type="dxa"/>
            </w:tcMar>
            <w:vAlign w:val="center"/>
          </w:tcPr>
          <w:p w14:paraId="0D10EA19" w14:textId="77777777" w:rsidR="00EB5913" w:rsidRPr="006623B9" w:rsidRDefault="00EB5913" w:rsidP="00F16E23">
            <w:pPr>
              <w:pStyle w:val="TableText"/>
              <w:spacing w:before="40" w:after="40"/>
              <w:jc w:val="right"/>
            </w:pPr>
            <w:r w:rsidRPr="006623B9">
              <w:rPr>
                <w:rFonts w:eastAsia="Calibri"/>
              </w:rPr>
              <w:t>13.4</w:t>
            </w:r>
          </w:p>
        </w:tc>
        <w:tc>
          <w:tcPr>
            <w:tcW w:w="0" w:type="auto"/>
            <w:shd w:val="clear" w:color="auto" w:fill="FFFFFF"/>
            <w:tcMar>
              <w:top w:w="0" w:type="dxa"/>
              <w:left w:w="57" w:type="dxa"/>
              <w:bottom w:w="0" w:type="dxa"/>
              <w:right w:w="57" w:type="dxa"/>
            </w:tcMar>
            <w:vAlign w:val="center"/>
          </w:tcPr>
          <w:p w14:paraId="5CF17D2C" w14:textId="77777777" w:rsidR="00EB5913" w:rsidRPr="006623B9" w:rsidRDefault="00EB5913" w:rsidP="00F16E23">
            <w:pPr>
              <w:pStyle w:val="TableText"/>
              <w:spacing w:before="40" w:after="40"/>
              <w:jc w:val="right"/>
            </w:pPr>
            <w:r w:rsidRPr="006623B9">
              <w:rPr>
                <w:rFonts w:eastAsia="Calibri"/>
              </w:rPr>
              <w:t>13.4</w:t>
            </w:r>
          </w:p>
        </w:tc>
        <w:tc>
          <w:tcPr>
            <w:tcW w:w="0" w:type="auto"/>
            <w:shd w:val="clear" w:color="auto" w:fill="FFFFFF"/>
            <w:tcMar>
              <w:top w:w="0" w:type="dxa"/>
              <w:left w:w="57" w:type="dxa"/>
              <w:bottom w:w="0" w:type="dxa"/>
              <w:right w:w="57" w:type="dxa"/>
            </w:tcMar>
            <w:vAlign w:val="center"/>
          </w:tcPr>
          <w:p w14:paraId="375BF4C0" w14:textId="77777777" w:rsidR="00EB5913" w:rsidRPr="006623B9" w:rsidRDefault="00EB5913" w:rsidP="00F16E23">
            <w:pPr>
              <w:pStyle w:val="TableText"/>
              <w:spacing w:before="40" w:after="40"/>
              <w:jc w:val="right"/>
            </w:pPr>
            <w:r w:rsidRPr="006623B9">
              <w:rPr>
                <w:rFonts w:eastAsia="Calibri"/>
              </w:rPr>
              <w:t>3.9</w:t>
            </w:r>
          </w:p>
        </w:tc>
        <w:tc>
          <w:tcPr>
            <w:tcW w:w="0" w:type="auto"/>
            <w:shd w:val="clear" w:color="auto" w:fill="FFFFFF"/>
            <w:tcMar>
              <w:top w:w="0" w:type="dxa"/>
              <w:left w:w="57" w:type="dxa"/>
              <w:bottom w:w="0" w:type="dxa"/>
              <w:right w:w="57" w:type="dxa"/>
            </w:tcMar>
            <w:vAlign w:val="center"/>
          </w:tcPr>
          <w:p w14:paraId="5DC93593"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0B1941B7"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62FABFE0" w14:textId="77777777" w:rsidR="00EB5913" w:rsidRPr="006623B9" w:rsidRDefault="00EB5913" w:rsidP="00F16E23">
            <w:pPr>
              <w:pStyle w:val="TableText"/>
              <w:spacing w:before="40" w:after="40"/>
              <w:jc w:val="right"/>
            </w:pPr>
            <w:r w:rsidRPr="006623B9">
              <w:rPr>
                <w:rFonts w:eastAsia="Calibri"/>
              </w:rPr>
              <w:t>39.4</w:t>
            </w:r>
          </w:p>
        </w:tc>
        <w:tc>
          <w:tcPr>
            <w:tcW w:w="0" w:type="auto"/>
            <w:shd w:val="clear" w:color="auto" w:fill="FFFFFF"/>
            <w:tcMar>
              <w:top w:w="0" w:type="dxa"/>
              <w:left w:w="57" w:type="dxa"/>
              <w:bottom w:w="0" w:type="dxa"/>
              <w:right w:w="57" w:type="dxa"/>
            </w:tcMar>
            <w:vAlign w:val="center"/>
          </w:tcPr>
          <w:p w14:paraId="489FEFA2"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4E3F55FE" w14:textId="77777777" w:rsidTr="00F16E23">
        <w:tc>
          <w:tcPr>
            <w:tcW w:w="0" w:type="auto"/>
            <w:shd w:val="clear" w:color="auto" w:fill="FFFFFF"/>
            <w:tcMar>
              <w:top w:w="0" w:type="dxa"/>
              <w:left w:w="57" w:type="dxa"/>
              <w:bottom w:w="0" w:type="dxa"/>
              <w:right w:w="57" w:type="dxa"/>
            </w:tcMar>
            <w:vAlign w:val="center"/>
          </w:tcPr>
          <w:p w14:paraId="63418C4B"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2006</w:t>
            </w:r>
          </w:p>
        </w:tc>
        <w:tc>
          <w:tcPr>
            <w:tcW w:w="567" w:type="dxa"/>
            <w:shd w:val="clear" w:color="auto" w:fill="FFFFFF"/>
            <w:tcMar>
              <w:top w:w="0" w:type="dxa"/>
              <w:left w:w="57" w:type="dxa"/>
              <w:bottom w:w="0" w:type="dxa"/>
              <w:right w:w="57" w:type="dxa"/>
            </w:tcMar>
            <w:vAlign w:val="center"/>
          </w:tcPr>
          <w:p w14:paraId="64AFF51B" w14:textId="77777777" w:rsidR="00EB5913" w:rsidRPr="006623B9" w:rsidRDefault="00EB5913" w:rsidP="00F16E23">
            <w:pPr>
              <w:pStyle w:val="TableText"/>
              <w:spacing w:before="40" w:after="40"/>
              <w:jc w:val="right"/>
            </w:pPr>
            <w:r w:rsidRPr="006623B9">
              <w:rPr>
                <w:rFonts w:eastAsia="Calibri"/>
              </w:rPr>
              <w:t>15.6</w:t>
            </w:r>
          </w:p>
        </w:tc>
        <w:tc>
          <w:tcPr>
            <w:tcW w:w="794" w:type="dxa"/>
            <w:shd w:val="clear" w:color="auto" w:fill="FFFFFF"/>
            <w:tcMar>
              <w:top w:w="0" w:type="dxa"/>
              <w:left w:w="57" w:type="dxa"/>
              <w:bottom w:w="0" w:type="dxa"/>
              <w:right w:w="57" w:type="dxa"/>
            </w:tcMar>
            <w:vAlign w:val="center"/>
          </w:tcPr>
          <w:p w14:paraId="4D5B012C" w14:textId="77777777" w:rsidR="00EB5913" w:rsidRPr="006623B9" w:rsidRDefault="00EB5913" w:rsidP="00F16E23">
            <w:pPr>
              <w:pStyle w:val="TableText"/>
              <w:spacing w:before="40" w:after="40"/>
              <w:jc w:val="right"/>
            </w:pPr>
            <w:r w:rsidRPr="006623B9">
              <w:rPr>
                <w:rFonts w:eastAsia="Calibri"/>
              </w:rPr>
              <w:t>9.3</w:t>
            </w:r>
          </w:p>
        </w:tc>
        <w:tc>
          <w:tcPr>
            <w:tcW w:w="794" w:type="dxa"/>
            <w:shd w:val="clear" w:color="auto" w:fill="FFFFFF"/>
            <w:tcMar>
              <w:top w:w="0" w:type="dxa"/>
              <w:left w:w="57" w:type="dxa"/>
              <w:bottom w:w="0" w:type="dxa"/>
              <w:right w:w="57" w:type="dxa"/>
            </w:tcMar>
            <w:vAlign w:val="center"/>
          </w:tcPr>
          <w:p w14:paraId="3748D232" w14:textId="77777777" w:rsidR="00EB5913" w:rsidRPr="006623B9" w:rsidRDefault="00EB5913" w:rsidP="00F16E23">
            <w:pPr>
              <w:pStyle w:val="TableText"/>
              <w:spacing w:before="40" w:after="40"/>
              <w:jc w:val="right"/>
            </w:pPr>
            <w:r w:rsidRPr="006623B9">
              <w:rPr>
                <w:rFonts w:eastAsia="Calibri"/>
              </w:rPr>
              <w:t>12.0</w:t>
            </w:r>
          </w:p>
        </w:tc>
        <w:tc>
          <w:tcPr>
            <w:tcW w:w="0" w:type="auto"/>
            <w:shd w:val="clear" w:color="auto" w:fill="FFFFFF"/>
            <w:tcMar>
              <w:top w:w="0" w:type="dxa"/>
              <w:left w:w="57" w:type="dxa"/>
              <w:bottom w:w="0" w:type="dxa"/>
              <w:right w:w="57" w:type="dxa"/>
            </w:tcMar>
            <w:vAlign w:val="center"/>
          </w:tcPr>
          <w:p w14:paraId="7FB4A080" w14:textId="77777777" w:rsidR="00EB5913" w:rsidRPr="006623B9" w:rsidRDefault="00EB5913" w:rsidP="00F16E23">
            <w:pPr>
              <w:pStyle w:val="TableText"/>
              <w:spacing w:before="40" w:after="40"/>
              <w:jc w:val="right"/>
            </w:pPr>
            <w:r w:rsidRPr="006623B9">
              <w:rPr>
                <w:rFonts w:eastAsia="Calibri"/>
              </w:rPr>
              <w:t>13.0</w:t>
            </w:r>
          </w:p>
        </w:tc>
        <w:tc>
          <w:tcPr>
            <w:tcW w:w="0" w:type="auto"/>
            <w:shd w:val="clear" w:color="auto" w:fill="FFFFFF"/>
            <w:tcMar>
              <w:top w:w="0" w:type="dxa"/>
              <w:left w:w="57" w:type="dxa"/>
              <w:bottom w:w="0" w:type="dxa"/>
              <w:right w:w="57" w:type="dxa"/>
            </w:tcMar>
            <w:vAlign w:val="center"/>
          </w:tcPr>
          <w:p w14:paraId="4F7E549F" w14:textId="77777777" w:rsidR="00EB5913" w:rsidRPr="006623B9" w:rsidRDefault="00EB5913" w:rsidP="00F16E23">
            <w:pPr>
              <w:pStyle w:val="TableText"/>
              <w:spacing w:before="40" w:after="40"/>
              <w:jc w:val="right"/>
            </w:pPr>
            <w:r w:rsidRPr="006623B9">
              <w:rPr>
                <w:rFonts w:eastAsia="Calibri"/>
              </w:rPr>
              <w:t>3.9</w:t>
            </w:r>
          </w:p>
        </w:tc>
        <w:tc>
          <w:tcPr>
            <w:tcW w:w="0" w:type="auto"/>
            <w:shd w:val="clear" w:color="auto" w:fill="FFFFFF"/>
            <w:tcMar>
              <w:top w:w="0" w:type="dxa"/>
              <w:left w:w="57" w:type="dxa"/>
              <w:bottom w:w="0" w:type="dxa"/>
              <w:right w:w="57" w:type="dxa"/>
            </w:tcMar>
            <w:vAlign w:val="center"/>
          </w:tcPr>
          <w:p w14:paraId="3C8136FF" w14:textId="77777777" w:rsidR="00EB5913" w:rsidRPr="006623B9" w:rsidRDefault="00EB5913" w:rsidP="00F16E23">
            <w:pPr>
              <w:pStyle w:val="TableText"/>
              <w:spacing w:before="40" w:after="40"/>
              <w:jc w:val="right"/>
            </w:pPr>
            <w:r w:rsidRPr="006623B9">
              <w:rPr>
                <w:rFonts w:eastAsia="Calibri"/>
              </w:rPr>
              <w:t>3.0</w:t>
            </w:r>
          </w:p>
        </w:tc>
        <w:tc>
          <w:tcPr>
            <w:tcW w:w="0" w:type="auto"/>
            <w:shd w:val="clear" w:color="auto" w:fill="FFFFFF"/>
            <w:tcMar>
              <w:top w:w="0" w:type="dxa"/>
              <w:left w:w="57" w:type="dxa"/>
              <w:bottom w:w="0" w:type="dxa"/>
              <w:right w:w="57" w:type="dxa"/>
            </w:tcMar>
            <w:vAlign w:val="center"/>
          </w:tcPr>
          <w:p w14:paraId="4427A94E"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4096F8EA" w14:textId="77777777" w:rsidR="00EB5913" w:rsidRPr="006623B9" w:rsidRDefault="00EB5913" w:rsidP="00F16E23">
            <w:pPr>
              <w:pStyle w:val="TableText"/>
              <w:spacing w:before="40" w:after="40"/>
              <w:jc w:val="right"/>
            </w:pPr>
            <w:r w:rsidRPr="006623B9">
              <w:rPr>
                <w:rFonts w:eastAsia="Calibri"/>
              </w:rPr>
              <w:t>40.4</w:t>
            </w:r>
          </w:p>
        </w:tc>
        <w:tc>
          <w:tcPr>
            <w:tcW w:w="0" w:type="auto"/>
            <w:shd w:val="clear" w:color="auto" w:fill="FFFFFF"/>
            <w:tcMar>
              <w:top w:w="0" w:type="dxa"/>
              <w:left w:w="57" w:type="dxa"/>
              <w:bottom w:w="0" w:type="dxa"/>
              <w:right w:w="57" w:type="dxa"/>
            </w:tcMar>
            <w:vAlign w:val="center"/>
          </w:tcPr>
          <w:p w14:paraId="7AD81234"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79A15C3A" w14:textId="77777777" w:rsidTr="00F16E23">
        <w:tc>
          <w:tcPr>
            <w:tcW w:w="0" w:type="auto"/>
            <w:shd w:val="clear" w:color="auto" w:fill="FFFFFF"/>
            <w:tcMar>
              <w:top w:w="0" w:type="dxa"/>
              <w:left w:w="57" w:type="dxa"/>
              <w:bottom w:w="0" w:type="dxa"/>
              <w:right w:w="57" w:type="dxa"/>
            </w:tcMar>
            <w:vAlign w:val="center"/>
          </w:tcPr>
          <w:p w14:paraId="6ED2C9E9"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2007</w:t>
            </w:r>
          </w:p>
        </w:tc>
        <w:tc>
          <w:tcPr>
            <w:tcW w:w="567" w:type="dxa"/>
            <w:shd w:val="clear" w:color="auto" w:fill="FFFFFF"/>
            <w:tcMar>
              <w:top w:w="0" w:type="dxa"/>
              <w:left w:w="57" w:type="dxa"/>
              <w:bottom w:w="0" w:type="dxa"/>
              <w:right w:w="57" w:type="dxa"/>
            </w:tcMar>
            <w:vAlign w:val="center"/>
          </w:tcPr>
          <w:p w14:paraId="2798EB47" w14:textId="77777777" w:rsidR="00EB5913" w:rsidRPr="006623B9" w:rsidRDefault="00EB5913" w:rsidP="00F16E23">
            <w:pPr>
              <w:pStyle w:val="TableText"/>
              <w:spacing w:before="40" w:after="40"/>
              <w:jc w:val="right"/>
            </w:pPr>
            <w:r w:rsidRPr="006623B9">
              <w:rPr>
                <w:rFonts w:eastAsia="Calibri"/>
              </w:rPr>
              <w:t>16.4</w:t>
            </w:r>
          </w:p>
        </w:tc>
        <w:tc>
          <w:tcPr>
            <w:tcW w:w="794" w:type="dxa"/>
            <w:shd w:val="clear" w:color="auto" w:fill="FFFFFF"/>
            <w:tcMar>
              <w:top w:w="0" w:type="dxa"/>
              <w:left w:w="57" w:type="dxa"/>
              <w:bottom w:w="0" w:type="dxa"/>
              <w:right w:w="57" w:type="dxa"/>
            </w:tcMar>
            <w:vAlign w:val="center"/>
          </w:tcPr>
          <w:p w14:paraId="3086D18B" w14:textId="77777777" w:rsidR="00EB5913" w:rsidRPr="006623B9" w:rsidRDefault="00EB5913" w:rsidP="00F16E23">
            <w:pPr>
              <w:pStyle w:val="TableText"/>
              <w:spacing w:before="40" w:after="40"/>
              <w:jc w:val="right"/>
            </w:pPr>
            <w:r w:rsidRPr="006623B9">
              <w:rPr>
                <w:rFonts w:eastAsia="Calibri"/>
              </w:rPr>
              <w:t>9.3</w:t>
            </w:r>
          </w:p>
        </w:tc>
        <w:tc>
          <w:tcPr>
            <w:tcW w:w="794" w:type="dxa"/>
            <w:shd w:val="clear" w:color="auto" w:fill="FFFFFF"/>
            <w:tcMar>
              <w:top w:w="0" w:type="dxa"/>
              <w:left w:w="57" w:type="dxa"/>
              <w:bottom w:w="0" w:type="dxa"/>
              <w:right w:w="57" w:type="dxa"/>
            </w:tcMar>
            <w:vAlign w:val="center"/>
          </w:tcPr>
          <w:p w14:paraId="3F2197AA" w14:textId="77777777" w:rsidR="00EB5913" w:rsidRPr="006623B9" w:rsidRDefault="00EB5913" w:rsidP="00F16E23">
            <w:pPr>
              <w:pStyle w:val="TableText"/>
              <w:spacing w:before="40" w:after="40"/>
              <w:jc w:val="right"/>
            </w:pPr>
            <w:r w:rsidRPr="006623B9">
              <w:rPr>
                <w:rFonts w:eastAsia="Calibri"/>
              </w:rPr>
              <w:t>10.5</w:t>
            </w:r>
          </w:p>
        </w:tc>
        <w:tc>
          <w:tcPr>
            <w:tcW w:w="0" w:type="auto"/>
            <w:shd w:val="clear" w:color="auto" w:fill="FFFFFF"/>
            <w:tcMar>
              <w:top w:w="0" w:type="dxa"/>
              <w:left w:w="57" w:type="dxa"/>
              <w:bottom w:w="0" w:type="dxa"/>
              <w:right w:w="57" w:type="dxa"/>
            </w:tcMar>
            <w:vAlign w:val="center"/>
          </w:tcPr>
          <w:p w14:paraId="06C42A41" w14:textId="77777777" w:rsidR="00EB5913" w:rsidRPr="006623B9" w:rsidRDefault="00EB5913" w:rsidP="00F16E23">
            <w:pPr>
              <w:pStyle w:val="TableText"/>
              <w:spacing w:before="40" w:after="40"/>
              <w:jc w:val="right"/>
            </w:pPr>
            <w:r w:rsidRPr="006623B9">
              <w:rPr>
                <w:rFonts w:eastAsia="Calibri"/>
              </w:rPr>
              <w:t>12.5</w:t>
            </w:r>
          </w:p>
        </w:tc>
        <w:tc>
          <w:tcPr>
            <w:tcW w:w="0" w:type="auto"/>
            <w:shd w:val="clear" w:color="auto" w:fill="FFFFFF"/>
            <w:tcMar>
              <w:top w:w="0" w:type="dxa"/>
              <w:left w:w="57" w:type="dxa"/>
              <w:bottom w:w="0" w:type="dxa"/>
              <w:right w:w="57" w:type="dxa"/>
            </w:tcMar>
            <w:vAlign w:val="center"/>
          </w:tcPr>
          <w:p w14:paraId="2E95BCC2" w14:textId="77777777" w:rsidR="00EB5913" w:rsidRPr="006623B9" w:rsidRDefault="00EB5913" w:rsidP="00F16E23">
            <w:pPr>
              <w:pStyle w:val="TableText"/>
              <w:spacing w:before="40" w:after="40"/>
              <w:jc w:val="right"/>
            </w:pPr>
            <w:r w:rsidRPr="006623B9">
              <w:rPr>
                <w:rFonts w:eastAsia="Calibri"/>
              </w:rPr>
              <w:t>3.9</w:t>
            </w:r>
          </w:p>
        </w:tc>
        <w:tc>
          <w:tcPr>
            <w:tcW w:w="0" w:type="auto"/>
            <w:shd w:val="clear" w:color="auto" w:fill="FFFFFF"/>
            <w:tcMar>
              <w:top w:w="0" w:type="dxa"/>
              <w:left w:w="57" w:type="dxa"/>
              <w:bottom w:w="0" w:type="dxa"/>
              <w:right w:w="57" w:type="dxa"/>
            </w:tcMar>
            <w:vAlign w:val="center"/>
          </w:tcPr>
          <w:p w14:paraId="41771A58" w14:textId="77777777" w:rsidR="00EB5913" w:rsidRPr="006623B9" w:rsidRDefault="00EB5913" w:rsidP="00F16E23">
            <w:pPr>
              <w:pStyle w:val="TableText"/>
              <w:spacing w:before="40" w:after="40"/>
              <w:jc w:val="right"/>
            </w:pPr>
            <w:r w:rsidRPr="006623B9">
              <w:rPr>
                <w:rFonts w:eastAsia="Calibri"/>
              </w:rPr>
              <w:t>3.2</w:t>
            </w:r>
          </w:p>
        </w:tc>
        <w:tc>
          <w:tcPr>
            <w:tcW w:w="0" w:type="auto"/>
            <w:shd w:val="clear" w:color="auto" w:fill="FFFFFF"/>
            <w:tcMar>
              <w:top w:w="0" w:type="dxa"/>
              <w:left w:w="57" w:type="dxa"/>
              <w:bottom w:w="0" w:type="dxa"/>
              <w:right w:w="57" w:type="dxa"/>
            </w:tcMar>
            <w:vAlign w:val="center"/>
          </w:tcPr>
          <w:p w14:paraId="113A80D5"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0C6D1D36" w14:textId="77777777" w:rsidR="00EB5913" w:rsidRPr="006623B9" w:rsidRDefault="00EB5913" w:rsidP="00F16E23">
            <w:pPr>
              <w:pStyle w:val="TableText"/>
              <w:spacing w:before="40" w:after="40"/>
              <w:jc w:val="right"/>
            </w:pPr>
            <w:r w:rsidRPr="006623B9">
              <w:rPr>
                <w:rFonts w:eastAsia="Calibri"/>
              </w:rPr>
              <w:t>41.4</w:t>
            </w:r>
          </w:p>
        </w:tc>
        <w:tc>
          <w:tcPr>
            <w:tcW w:w="0" w:type="auto"/>
            <w:shd w:val="clear" w:color="auto" w:fill="FFFFFF"/>
            <w:tcMar>
              <w:top w:w="0" w:type="dxa"/>
              <w:left w:w="57" w:type="dxa"/>
              <w:bottom w:w="0" w:type="dxa"/>
              <w:right w:w="57" w:type="dxa"/>
            </w:tcMar>
            <w:vAlign w:val="center"/>
          </w:tcPr>
          <w:p w14:paraId="51064C13"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15748ECB" w14:textId="77777777" w:rsidTr="00F16E23">
        <w:tc>
          <w:tcPr>
            <w:tcW w:w="0" w:type="auto"/>
            <w:shd w:val="clear" w:color="auto" w:fill="FFFFFF"/>
            <w:tcMar>
              <w:top w:w="0" w:type="dxa"/>
              <w:left w:w="57" w:type="dxa"/>
              <w:bottom w:w="0" w:type="dxa"/>
              <w:right w:w="57" w:type="dxa"/>
            </w:tcMar>
            <w:vAlign w:val="center"/>
          </w:tcPr>
          <w:p w14:paraId="3E5C096B"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2008</w:t>
            </w:r>
          </w:p>
        </w:tc>
        <w:tc>
          <w:tcPr>
            <w:tcW w:w="567" w:type="dxa"/>
            <w:shd w:val="clear" w:color="auto" w:fill="FFFFFF"/>
            <w:tcMar>
              <w:top w:w="0" w:type="dxa"/>
              <w:left w:w="57" w:type="dxa"/>
              <w:bottom w:w="0" w:type="dxa"/>
              <w:right w:w="57" w:type="dxa"/>
            </w:tcMar>
            <w:vAlign w:val="center"/>
          </w:tcPr>
          <w:p w14:paraId="6BE21A85" w14:textId="77777777" w:rsidR="00EB5913" w:rsidRPr="006623B9" w:rsidRDefault="00EB5913" w:rsidP="00F16E23">
            <w:pPr>
              <w:pStyle w:val="TableText"/>
              <w:spacing w:before="40" w:after="40"/>
              <w:jc w:val="right"/>
            </w:pPr>
            <w:r w:rsidRPr="006623B9">
              <w:rPr>
                <w:rFonts w:eastAsia="Calibri"/>
              </w:rPr>
              <w:t>17.1</w:t>
            </w:r>
          </w:p>
        </w:tc>
        <w:tc>
          <w:tcPr>
            <w:tcW w:w="794" w:type="dxa"/>
            <w:shd w:val="clear" w:color="auto" w:fill="FFFFFF"/>
            <w:tcMar>
              <w:top w:w="0" w:type="dxa"/>
              <w:left w:w="57" w:type="dxa"/>
              <w:bottom w:w="0" w:type="dxa"/>
              <w:right w:w="57" w:type="dxa"/>
            </w:tcMar>
            <w:vAlign w:val="center"/>
          </w:tcPr>
          <w:p w14:paraId="5C20598D" w14:textId="77777777" w:rsidR="00EB5913" w:rsidRPr="006623B9" w:rsidRDefault="00EB5913" w:rsidP="00F16E23">
            <w:pPr>
              <w:pStyle w:val="TableText"/>
              <w:spacing w:before="40" w:after="40"/>
              <w:jc w:val="right"/>
            </w:pPr>
            <w:r w:rsidRPr="006623B9">
              <w:rPr>
                <w:rFonts w:eastAsia="Calibri"/>
              </w:rPr>
              <w:t>9.4</w:t>
            </w:r>
          </w:p>
        </w:tc>
        <w:tc>
          <w:tcPr>
            <w:tcW w:w="794" w:type="dxa"/>
            <w:shd w:val="clear" w:color="auto" w:fill="FFFFFF"/>
            <w:tcMar>
              <w:top w:w="0" w:type="dxa"/>
              <w:left w:w="57" w:type="dxa"/>
              <w:bottom w:w="0" w:type="dxa"/>
              <w:right w:w="57" w:type="dxa"/>
            </w:tcMar>
            <w:vAlign w:val="center"/>
          </w:tcPr>
          <w:p w14:paraId="60184C2A" w14:textId="77777777" w:rsidR="00EB5913" w:rsidRPr="006623B9" w:rsidRDefault="00EB5913" w:rsidP="00F16E23">
            <w:pPr>
              <w:pStyle w:val="TableText"/>
              <w:spacing w:before="40" w:after="40"/>
              <w:jc w:val="right"/>
            </w:pPr>
            <w:r w:rsidRPr="006623B9">
              <w:rPr>
                <w:rFonts w:eastAsia="Calibri"/>
              </w:rPr>
              <w:t>9.0</w:t>
            </w:r>
          </w:p>
        </w:tc>
        <w:tc>
          <w:tcPr>
            <w:tcW w:w="0" w:type="auto"/>
            <w:shd w:val="clear" w:color="auto" w:fill="FFFFFF"/>
            <w:tcMar>
              <w:top w:w="0" w:type="dxa"/>
              <w:left w:w="57" w:type="dxa"/>
              <w:bottom w:w="0" w:type="dxa"/>
              <w:right w:w="57" w:type="dxa"/>
            </w:tcMar>
            <w:vAlign w:val="center"/>
          </w:tcPr>
          <w:p w14:paraId="1F2ECE36" w14:textId="77777777" w:rsidR="00EB5913" w:rsidRPr="006623B9" w:rsidRDefault="00EB5913" w:rsidP="00F16E23">
            <w:pPr>
              <w:pStyle w:val="TableText"/>
              <w:spacing w:before="40" w:after="40"/>
              <w:jc w:val="right"/>
            </w:pPr>
            <w:r w:rsidRPr="006623B9">
              <w:rPr>
                <w:rFonts w:eastAsia="Calibri"/>
              </w:rPr>
              <w:t>12.0</w:t>
            </w:r>
          </w:p>
        </w:tc>
        <w:tc>
          <w:tcPr>
            <w:tcW w:w="0" w:type="auto"/>
            <w:shd w:val="clear" w:color="auto" w:fill="FFFFFF"/>
            <w:tcMar>
              <w:top w:w="0" w:type="dxa"/>
              <w:left w:w="57" w:type="dxa"/>
              <w:bottom w:w="0" w:type="dxa"/>
              <w:right w:w="57" w:type="dxa"/>
            </w:tcMar>
            <w:vAlign w:val="center"/>
          </w:tcPr>
          <w:p w14:paraId="61A9B71F" w14:textId="77777777" w:rsidR="00EB5913" w:rsidRPr="006623B9" w:rsidRDefault="00EB5913" w:rsidP="00F16E23">
            <w:pPr>
              <w:pStyle w:val="TableText"/>
              <w:spacing w:before="40" w:after="40"/>
              <w:jc w:val="right"/>
            </w:pPr>
            <w:r w:rsidRPr="006623B9">
              <w:rPr>
                <w:rFonts w:eastAsia="Calibri"/>
              </w:rPr>
              <w:t>3.8</w:t>
            </w:r>
          </w:p>
        </w:tc>
        <w:tc>
          <w:tcPr>
            <w:tcW w:w="0" w:type="auto"/>
            <w:shd w:val="clear" w:color="auto" w:fill="FFFFFF"/>
            <w:tcMar>
              <w:top w:w="0" w:type="dxa"/>
              <w:left w:w="57" w:type="dxa"/>
              <w:bottom w:w="0" w:type="dxa"/>
              <w:right w:w="57" w:type="dxa"/>
            </w:tcMar>
            <w:vAlign w:val="center"/>
          </w:tcPr>
          <w:p w14:paraId="46E3015E" w14:textId="77777777" w:rsidR="00EB5913" w:rsidRPr="006623B9" w:rsidRDefault="00EB5913" w:rsidP="00F16E23">
            <w:pPr>
              <w:pStyle w:val="TableText"/>
              <w:spacing w:before="40" w:after="40"/>
              <w:jc w:val="right"/>
            </w:pPr>
            <w:r w:rsidRPr="006623B9">
              <w:rPr>
                <w:rFonts w:eastAsia="Calibri"/>
              </w:rPr>
              <w:t>3.3</w:t>
            </w:r>
          </w:p>
        </w:tc>
        <w:tc>
          <w:tcPr>
            <w:tcW w:w="0" w:type="auto"/>
            <w:shd w:val="clear" w:color="auto" w:fill="FFFFFF"/>
            <w:tcMar>
              <w:top w:w="0" w:type="dxa"/>
              <w:left w:w="57" w:type="dxa"/>
              <w:bottom w:w="0" w:type="dxa"/>
              <w:right w:w="57" w:type="dxa"/>
            </w:tcMar>
            <w:vAlign w:val="center"/>
          </w:tcPr>
          <w:p w14:paraId="0DB85C93"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74C43CAE" w14:textId="77777777" w:rsidR="00EB5913" w:rsidRPr="006623B9" w:rsidRDefault="00EB5913" w:rsidP="00F16E23">
            <w:pPr>
              <w:pStyle w:val="TableText"/>
              <w:spacing w:before="40" w:after="40"/>
              <w:jc w:val="right"/>
            </w:pPr>
            <w:r w:rsidRPr="006623B9">
              <w:rPr>
                <w:rFonts w:eastAsia="Calibri"/>
              </w:rPr>
              <w:t>42.4</w:t>
            </w:r>
          </w:p>
        </w:tc>
        <w:tc>
          <w:tcPr>
            <w:tcW w:w="0" w:type="auto"/>
            <w:shd w:val="clear" w:color="auto" w:fill="FFFFFF"/>
            <w:tcMar>
              <w:top w:w="0" w:type="dxa"/>
              <w:left w:w="57" w:type="dxa"/>
              <w:bottom w:w="0" w:type="dxa"/>
              <w:right w:w="57" w:type="dxa"/>
            </w:tcMar>
            <w:vAlign w:val="center"/>
          </w:tcPr>
          <w:p w14:paraId="2758D1C7"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6D54057B" w14:textId="77777777" w:rsidTr="00F16E23">
        <w:tc>
          <w:tcPr>
            <w:tcW w:w="0" w:type="auto"/>
            <w:shd w:val="clear" w:color="auto" w:fill="FFFFFF"/>
            <w:tcMar>
              <w:top w:w="0" w:type="dxa"/>
              <w:left w:w="57" w:type="dxa"/>
              <w:bottom w:w="0" w:type="dxa"/>
              <w:right w:w="57" w:type="dxa"/>
            </w:tcMar>
            <w:vAlign w:val="center"/>
          </w:tcPr>
          <w:p w14:paraId="3396D0DF"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2009</w:t>
            </w:r>
          </w:p>
        </w:tc>
        <w:tc>
          <w:tcPr>
            <w:tcW w:w="567" w:type="dxa"/>
            <w:shd w:val="clear" w:color="auto" w:fill="FFFFFF"/>
            <w:tcMar>
              <w:top w:w="0" w:type="dxa"/>
              <w:left w:w="57" w:type="dxa"/>
              <w:bottom w:w="0" w:type="dxa"/>
              <w:right w:w="57" w:type="dxa"/>
            </w:tcMar>
            <w:vAlign w:val="center"/>
          </w:tcPr>
          <w:p w14:paraId="3BD7CDA9" w14:textId="77777777" w:rsidR="00EB5913" w:rsidRPr="006623B9" w:rsidRDefault="00EB5913" w:rsidP="00F16E23">
            <w:pPr>
              <w:pStyle w:val="TableText"/>
              <w:spacing w:before="40" w:after="40"/>
              <w:jc w:val="right"/>
            </w:pPr>
            <w:r w:rsidRPr="006623B9">
              <w:rPr>
                <w:rFonts w:eastAsia="Calibri"/>
              </w:rPr>
              <w:t>17.0</w:t>
            </w:r>
          </w:p>
        </w:tc>
        <w:tc>
          <w:tcPr>
            <w:tcW w:w="794" w:type="dxa"/>
            <w:shd w:val="clear" w:color="auto" w:fill="FFFFFF"/>
            <w:tcMar>
              <w:top w:w="0" w:type="dxa"/>
              <w:left w:w="57" w:type="dxa"/>
              <w:bottom w:w="0" w:type="dxa"/>
              <w:right w:w="57" w:type="dxa"/>
            </w:tcMar>
            <w:vAlign w:val="center"/>
          </w:tcPr>
          <w:p w14:paraId="60F98D48" w14:textId="77777777" w:rsidR="00EB5913" w:rsidRPr="006623B9" w:rsidRDefault="00EB5913" w:rsidP="00F16E23">
            <w:pPr>
              <w:pStyle w:val="TableText"/>
              <w:spacing w:before="40" w:after="40"/>
              <w:jc w:val="right"/>
            </w:pPr>
            <w:r w:rsidRPr="006623B9">
              <w:rPr>
                <w:rFonts w:eastAsia="Calibri"/>
              </w:rPr>
              <w:t>9.1</w:t>
            </w:r>
          </w:p>
        </w:tc>
        <w:tc>
          <w:tcPr>
            <w:tcW w:w="794" w:type="dxa"/>
            <w:shd w:val="clear" w:color="auto" w:fill="FFFFFF"/>
            <w:tcMar>
              <w:top w:w="0" w:type="dxa"/>
              <w:left w:w="57" w:type="dxa"/>
              <w:bottom w:w="0" w:type="dxa"/>
              <w:right w:w="57" w:type="dxa"/>
            </w:tcMar>
            <w:vAlign w:val="center"/>
          </w:tcPr>
          <w:p w14:paraId="60ADE888" w14:textId="77777777" w:rsidR="00EB5913" w:rsidRPr="006623B9" w:rsidRDefault="00EB5913" w:rsidP="00F16E23">
            <w:pPr>
              <w:pStyle w:val="TableText"/>
              <w:spacing w:before="40" w:after="40"/>
              <w:jc w:val="right"/>
            </w:pPr>
            <w:r w:rsidRPr="006623B9">
              <w:rPr>
                <w:rFonts w:eastAsia="Calibri"/>
              </w:rPr>
              <w:t>9.4</w:t>
            </w:r>
          </w:p>
        </w:tc>
        <w:tc>
          <w:tcPr>
            <w:tcW w:w="0" w:type="auto"/>
            <w:shd w:val="clear" w:color="auto" w:fill="FFFFFF"/>
            <w:tcMar>
              <w:top w:w="0" w:type="dxa"/>
              <w:left w:w="57" w:type="dxa"/>
              <w:bottom w:w="0" w:type="dxa"/>
              <w:right w:w="57" w:type="dxa"/>
            </w:tcMar>
            <w:vAlign w:val="center"/>
          </w:tcPr>
          <w:p w14:paraId="0ABEA065" w14:textId="77777777" w:rsidR="00EB5913" w:rsidRPr="006623B9" w:rsidRDefault="00EB5913" w:rsidP="00F16E23">
            <w:pPr>
              <w:pStyle w:val="TableText"/>
              <w:spacing w:before="40" w:after="40"/>
              <w:jc w:val="right"/>
            </w:pPr>
            <w:r w:rsidRPr="006623B9">
              <w:rPr>
                <w:rFonts w:eastAsia="Calibri"/>
              </w:rPr>
              <w:t>12.0</w:t>
            </w:r>
          </w:p>
        </w:tc>
        <w:tc>
          <w:tcPr>
            <w:tcW w:w="0" w:type="auto"/>
            <w:shd w:val="clear" w:color="auto" w:fill="FFFFFF"/>
            <w:tcMar>
              <w:top w:w="0" w:type="dxa"/>
              <w:left w:w="57" w:type="dxa"/>
              <w:bottom w:w="0" w:type="dxa"/>
              <w:right w:w="57" w:type="dxa"/>
            </w:tcMar>
            <w:vAlign w:val="center"/>
          </w:tcPr>
          <w:p w14:paraId="4E1C0740" w14:textId="77777777" w:rsidR="00EB5913" w:rsidRPr="006623B9" w:rsidRDefault="00EB5913" w:rsidP="00F16E23">
            <w:pPr>
              <w:pStyle w:val="TableText"/>
              <w:spacing w:before="40" w:after="40"/>
              <w:jc w:val="right"/>
            </w:pPr>
            <w:r w:rsidRPr="006623B9">
              <w:rPr>
                <w:rFonts w:eastAsia="Calibri"/>
              </w:rPr>
              <w:t>4.3</w:t>
            </w:r>
          </w:p>
        </w:tc>
        <w:tc>
          <w:tcPr>
            <w:tcW w:w="0" w:type="auto"/>
            <w:shd w:val="clear" w:color="auto" w:fill="FFFFFF"/>
            <w:tcMar>
              <w:top w:w="0" w:type="dxa"/>
              <w:left w:w="57" w:type="dxa"/>
              <w:bottom w:w="0" w:type="dxa"/>
              <w:right w:w="57" w:type="dxa"/>
            </w:tcMar>
            <w:vAlign w:val="center"/>
          </w:tcPr>
          <w:p w14:paraId="244F03CF" w14:textId="77777777" w:rsidR="00EB5913" w:rsidRPr="006623B9" w:rsidRDefault="00EB5913" w:rsidP="00F16E23">
            <w:pPr>
              <w:pStyle w:val="TableText"/>
              <w:spacing w:before="40" w:after="40"/>
              <w:jc w:val="right"/>
            </w:pPr>
            <w:r w:rsidRPr="006623B9">
              <w:rPr>
                <w:rFonts w:eastAsia="Calibri"/>
              </w:rPr>
              <w:t>3.2</w:t>
            </w:r>
          </w:p>
        </w:tc>
        <w:tc>
          <w:tcPr>
            <w:tcW w:w="0" w:type="auto"/>
            <w:shd w:val="clear" w:color="auto" w:fill="FFFFFF"/>
            <w:tcMar>
              <w:top w:w="0" w:type="dxa"/>
              <w:left w:w="57" w:type="dxa"/>
              <w:bottom w:w="0" w:type="dxa"/>
              <w:right w:w="57" w:type="dxa"/>
            </w:tcMar>
            <w:vAlign w:val="center"/>
          </w:tcPr>
          <w:p w14:paraId="0651E2B6" w14:textId="77777777" w:rsidR="00EB5913" w:rsidRPr="006623B9" w:rsidRDefault="00EB5913" w:rsidP="00F16E23">
            <w:pPr>
              <w:pStyle w:val="TableText"/>
              <w:spacing w:before="40" w:after="40"/>
              <w:jc w:val="right"/>
            </w:pPr>
            <w:r w:rsidRPr="006623B9">
              <w:rPr>
                <w:rFonts w:eastAsia="Calibri"/>
              </w:rPr>
              <w:t>3.2</w:t>
            </w:r>
          </w:p>
        </w:tc>
        <w:tc>
          <w:tcPr>
            <w:tcW w:w="0" w:type="auto"/>
            <w:shd w:val="clear" w:color="auto" w:fill="FFFFFF"/>
            <w:tcMar>
              <w:top w:w="0" w:type="dxa"/>
              <w:left w:w="57" w:type="dxa"/>
              <w:bottom w:w="0" w:type="dxa"/>
              <w:right w:w="57" w:type="dxa"/>
            </w:tcMar>
            <w:vAlign w:val="center"/>
          </w:tcPr>
          <w:p w14:paraId="0E7310AD" w14:textId="77777777" w:rsidR="00EB5913" w:rsidRPr="006623B9" w:rsidRDefault="00EB5913" w:rsidP="00F16E23">
            <w:pPr>
              <w:pStyle w:val="TableText"/>
              <w:spacing w:before="40" w:after="40"/>
              <w:jc w:val="right"/>
            </w:pPr>
            <w:r w:rsidRPr="006623B9">
              <w:rPr>
                <w:rFonts w:eastAsia="Calibri"/>
              </w:rPr>
              <w:t>41.8</w:t>
            </w:r>
          </w:p>
        </w:tc>
        <w:tc>
          <w:tcPr>
            <w:tcW w:w="0" w:type="auto"/>
            <w:shd w:val="clear" w:color="auto" w:fill="FFFFFF"/>
            <w:tcMar>
              <w:top w:w="0" w:type="dxa"/>
              <w:left w:w="57" w:type="dxa"/>
              <w:bottom w:w="0" w:type="dxa"/>
              <w:right w:w="57" w:type="dxa"/>
            </w:tcMar>
            <w:vAlign w:val="center"/>
          </w:tcPr>
          <w:p w14:paraId="6F5364EF"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06EB6662" w14:textId="77777777" w:rsidTr="00F16E23">
        <w:tc>
          <w:tcPr>
            <w:tcW w:w="0" w:type="auto"/>
            <w:shd w:val="clear" w:color="auto" w:fill="FFFFFF"/>
            <w:tcMar>
              <w:top w:w="0" w:type="dxa"/>
              <w:left w:w="57" w:type="dxa"/>
              <w:bottom w:w="0" w:type="dxa"/>
              <w:right w:w="57" w:type="dxa"/>
            </w:tcMar>
            <w:vAlign w:val="center"/>
          </w:tcPr>
          <w:p w14:paraId="4B6325CF"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2010</w:t>
            </w:r>
          </w:p>
        </w:tc>
        <w:tc>
          <w:tcPr>
            <w:tcW w:w="567" w:type="dxa"/>
            <w:shd w:val="clear" w:color="auto" w:fill="FFFFFF"/>
            <w:tcMar>
              <w:top w:w="0" w:type="dxa"/>
              <w:left w:w="57" w:type="dxa"/>
              <w:bottom w:w="0" w:type="dxa"/>
              <w:right w:w="57" w:type="dxa"/>
            </w:tcMar>
            <w:vAlign w:val="center"/>
          </w:tcPr>
          <w:p w14:paraId="35AE6638" w14:textId="77777777" w:rsidR="00EB5913" w:rsidRPr="006623B9" w:rsidRDefault="00EB5913" w:rsidP="00F16E23">
            <w:pPr>
              <w:pStyle w:val="TableText"/>
              <w:spacing w:before="40" w:after="40"/>
              <w:jc w:val="right"/>
            </w:pPr>
            <w:r w:rsidRPr="006623B9">
              <w:rPr>
                <w:rFonts w:eastAsia="Calibri"/>
              </w:rPr>
              <w:t>16.9</w:t>
            </w:r>
          </w:p>
        </w:tc>
        <w:tc>
          <w:tcPr>
            <w:tcW w:w="794" w:type="dxa"/>
            <w:shd w:val="clear" w:color="auto" w:fill="FFFFFF"/>
            <w:tcMar>
              <w:top w:w="0" w:type="dxa"/>
              <w:left w:w="57" w:type="dxa"/>
              <w:bottom w:w="0" w:type="dxa"/>
              <w:right w:w="57" w:type="dxa"/>
            </w:tcMar>
            <w:vAlign w:val="center"/>
          </w:tcPr>
          <w:p w14:paraId="7E943B05" w14:textId="77777777" w:rsidR="00EB5913" w:rsidRPr="006623B9" w:rsidRDefault="00EB5913" w:rsidP="00F16E23">
            <w:pPr>
              <w:pStyle w:val="TableText"/>
              <w:spacing w:before="40" w:after="40"/>
              <w:jc w:val="right"/>
            </w:pPr>
            <w:r w:rsidRPr="006623B9">
              <w:rPr>
                <w:rFonts w:eastAsia="Calibri"/>
              </w:rPr>
              <w:t>8.9</w:t>
            </w:r>
          </w:p>
        </w:tc>
        <w:tc>
          <w:tcPr>
            <w:tcW w:w="794" w:type="dxa"/>
            <w:shd w:val="clear" w:color="auto" w:fill="FFFFFF"/>
            <w:tcMar>
              <w:top w:w="0" w:type="dxa"/>
              <w:left w:w="57" w:type="dxa"/>
              <w:bottom w:w="0" w:type="dxa"/>
              <w:right w:w="57" w:type="dxa"/>
            </w:tcMar>
            <w:vAlign w:val="center"/>
          </w:tcPr>
          <w:p w14:paraId="17A9365D" w14:textId="77777777" w:rsidR="00EB5913" w:rsidRPr="006623B9" w:rsidRDefault="00EB5913" w:rsidP="00F16E23">
            <w:pPr>
              <w:pStyle w:val="TableText"/>
              <w:spacing w:before="40" w:after="40"/>
              <w:jc w:val="right"/>
            </w:pPr>
            <w:r w:rsidRPr="006623B9">
              <w:rPr>
                <w:rFonts w:eastAsia="Calibri"/>
              </w:rPr>
              <w:t>9.8</w:t>
            </w:r>
          </w:p>
        </w:tc>
        <w:tc>
          <w:tcPr>
            <w:tcW w:w="0" w:type="auto"/>
            <w:shd w:val="clear" w:color="auto" w:fill="FFFFFF"/>
            <w:tcMar>
              <w:top w:w="0" w:type="dxa"/>
              <w:left w:w="57" w:type="dxa"/>
              <w:bottom w:w="0" w:type="dxa"/>
              <w:right w:w="57" w:type="dxa"/>
            </w:tcMar>
            <w:vAlign w:val="center"/>
          </w:tcPr>
          <w:p w14:paraId="519757E3" w14:textId="77777777" w:rsidR="00EB5913" w:rsidRPr="006623B9" w:rsidRDefault="00EB5913" w:rsidP="00F16E23">
            <w:pPr>
              <w:pStyle w:val="TableText"/>
              <w:spacing w:before="40" w:after="40"/>
              <w:jc w:val="right"/>
            </w:pPr>
            <w:r w:rsidRPr="006623B9">
              <w:rPr>
                <w:rFonts w:eastAsia="Calibri"/>
              </w:rPr>
              <w:t>11.9</w:t>
            </w:r>
          </w:p>
        </w:tc>
        <w:tc>
          <w:tcPr>
            <w:tcW w:w="0" w:type="auto"/>
            <w:shd w:val="clear" w:color="auto" w:fill="FFFFFF"/>
            <w:tcMar>
              <w:top w:w="0" w:type="dxa"/>
              <w:left w:w="57" w:type="dxa"/>
              <w:bottom w:w="0" w:type="dxa"/>
              <w:right w:w="57" w:type="dxa"/>
            </w:tcMar>
            <w:vAlign w:val="center"/>
          </w:tcPr>
          <w:p w14:paraId="361391F5" w14:textId="77777777" w:rsidR="00EB5913" w:rsidRPr="006623B9" w:rsidRDefault="00EB5913" w:rsidP="00F16E23">
            <w:pPr>
              <w:pStyle w:val="TableText"/>
              <w:spacing w:before="40" w:after="40"/>
              <w:jc w:val="right"/>
            </w:pPr>
            <w:r w:rsidRPr="006623B9">
              <w:rPr>
                <w:rFonts w:eastAsia="Calibri"/>
              </w:rPr>
              <w:t>4.7</w:t>
            </w:r>
          </w:p>
        </w:tc>
        <w:tc>
          <w:tcPr>
            <w:tcW w:w="0" w:type="auto"/>
            <w:shd w:val="clear" w:color="auto" w:fill="FFFFFF"/>
            <w:tcMar>
              <w:top w:w="0" w:type="dxa"/>
              <w:left w:w="57" w:type="dxa"/>
              <w:bottom w:w="0" w:type="dxa"/>
              <w:right w:w="57" w:type="dxa"/>
            </w:tcMar>
            <w:vAlign w:val="center"/>
          </w:tcPr>
          <w:p w14:paraId="27D32C76" w14:textId="77777777" w:rsidR="00EB5913" w:rsidRPr="006623B9" w:rsidRDefault="00EB5913" w:rsidP="00F16E23">
            <w:pPr>
              <w:pStyle w:val="TableText"/>
              <w:spacing w:before="40" w:after="40"/>
              <w:jc w:val="right"/>
            </w:pPr>
            <w:r w:rsidRPr="006623B9">
              <w:rPr>
                <w:rFonts w:eastAsia="Calibri"/>
              </w:rPr>
              <w:t>3.2</w:t>
            </w:r>
          </w:p>
        </w:tc>
        <w:tc>
          <w:tcPr>
            <w:tcW w:w="0" w:type="auto"/>
            <w:shd w:val="clear" w:color="auto" w:fill="FFFFFF"/>
            <w:tcMar>
              <w:top w:w="0" w:type="dxa"/>
              <w:left w:w="57" w:type="dxa"/>
              <w:bottom w:w="0" w:type="dxa"/>
              <w:right w:w="57" w:type="dxa"/>
            </w:tcMar>
            <w:vAlign w:val="center"/>
          </w:tcPr>
          <w:p w14:paraId="6B5D7724" w14:textId="77777777" w:rsidR="00EB5913" w:rsidRPr="006623B9" w:rsidRDefault="00EB5913" w:rsidP="00F16E23">
            <w:pPr>
              <w:pStyle w:val="TableText"/>
              <w:spacing w:before="40" w:after="40"/>
              <w:jc w:val="right"/>
            </w:pPr>
            <w:r w:rsidRPr="006623B9">
              <w:rPr>
                <w:rFonts w:eastAsia="Calibri"/>
              </w:rPr>
              <w:t>3.4</w:t>
            </w:r>
          </w:p>
        </w:tc>
        <w:tc>
          <w:tcPr>
            <w:tcW w:w="0" w:type="auto"/>
            <w:shd w:val="clear" w:color="auto" w:fill="FFFFFF"/>
            <w:tcMar>
              <w:top w:w="0" w:type="dxa"/>
              <w:left w:w="57" w:type="dxa"/>
              <w:bottom w:w="0" w:type="dxa"/>
              <w:right w:w="57" w:type="dxa"/>
            </w:tcMar>
            <w:vAlign w:val="center"/>
          </w:tcPr>
          <w:p w14:paraId="7BB09CD5" w14:textId="77777777" w:rsidR="00EB5913" w:rsidRPr="006623B9" w:rsidRDefault="00EB5913" w:rsidP="00F16E23">
            <w:pPr>
              <w:pStyle w:val="TableText"/>
              <w:spacing w:before="40" w:after="40"/>
              <w:jc w:val="right"/>
            </w:pPr>
            <w:r w:rsidRPr="006623B9">
              <w:rPr>
                <w:rFonts w:eastAsia="Calibri"/>
              </w:rPr>
              <w:t>41.1</w:t>
            </w:r>
          </w:p>
        </w:tc>
        <w:tc>
          <w:tcPr>
            <w:tcW w:w="0" w:type="auto"/>
            <w:shd w:val="clear" w:color="auto" w:fill="FFFFFF"/>
            <w:tcMar>
              <w:top w:w="0" w:type="dxa"/>
              <w:left w:w="57" w:type="dxa"/>
              <w:bottom w:w="0" w:type="dxa"/>
              <w:right w:w="57" w:type="dxa"/>
            </w:tcMar>
            <w:vAlign w:val="center"/>
          </w:tcPr>
          <w:p w14:paraId="417D81DA"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12BBDD6D" w14:textId="77777777" w:rsidTr="00F16E23">
        <w:tc>
          <w:tcPr>
            <w:tcW w:w="0" w:type="auto"/>
            <w:shd w:val="clear" w:color="auto" w:fill="FFFFFF"/>
            <w:tcMar>
              <w:top w:w="0" w:type="dxa"/>
              <w:left w:w="57" w:type="dxa"/>
              <w:bottom w:w="0" w:type="dxa"/>
              <w:right w:w="57" w:type="dxa"/>
            </w:tcMar>
            <w:vAlign w:val="center"/>
          </w:tcPr>
          <w:p w14:paraId="0FC37D72"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2011</w:t>
            </w:r>
          </w:p>
        </w:tc>
        <w:tc>
          <w:tcPr>
            <w:tcW w:w="567" w:type="dxa"/>
            <w:shd w:val="clear" w:color="auto" w:fill="FFFFFF"/>
            <w:tcMar>
              <w:top w:w="0" w:type="dxa"/>
              <w:left w:w="57" w:type="dxa"/>
              <w:bottom w:w="0" w:type="dxa"/>
              <w:right w:w="57" w:type="dxa"/>
            </w:tcMar>
            <w:vAlign w:val="center"/>
          </w:tcPr>
          <w:p w14:paraId="59B02899" w14:textId="77777777" w:rsidR="00EB5913" w:rsidRPr="006623B9" w:rsidRDefault="00EB5913" w:rsidP="00F16E23">
            <w:pPr>
              <w:pStyle w:val="TableText"/>
              <w:spacing w:before="40" w:after="40"/>
              <w:jc w:val="right"/>
            </w:pPr>
            <w:r w:rsidRPr="006623B9">
              <w:rPr>
                <w:rFonts w:eastAsia="Calibri"/>
              </w:rPr>
              <w:t>16.9</w:t>
            </w:r>
          </w:p>
        </w:tc>
        <w:tc>
          <w:tcPr>
            <w:tcW w:w="794" w:type="dxa"/>
            <w:shd w:val="clear" w:color="auto" w:fill="FFFFFF"/>
            <w:tcMar>
              <w:top w:w="0" w:type="dxa"/>
              <w:left w:w="57" w:type="dxa"/>
              <w:bottom w:w="0" w:type="dxa"/>
              <w:right w:w="57" w:type="dxa"/>
            </w:tcMar>
            <w:vAlign w:val="center"/>
          </w:tcPr>
          <w:p w14:paraId="56125989" w14:textId="77777777" w:rsidR="00EB5913" w:rsidRPr="006623B9" w:rsidRDefault="00EB5913" w:rsidP="00F16E23">
            <w:pPr>
              <w:pStyle w:val="TableText"/>
              <w:spacing w:before="40" w:after="40"/>
              <w:jc w:val="right"/>
            </w:pPr>
            <w:r w:rsidRPr="006623B9">
              <w:rPr>
                <w:rFonts w:eastAsia="Calibri"/>
              </w:rPr>
              <w:t>8.6</w:t>
            </w:r>
          </w:p>
        </w:tc>
        <w:tc>
          <w:tcPr>
            <w:tcW w:w="794" w:type="dxa"/>
            <w:shd w:val="clear" w:color="auto" w:fill="FFFFFF"/>
            <w:tcMar>
              <w:top w:w="0" w:type="dxa"/>
              <w:left w:w="57" w:type="dxa"/>
              <w:bottom w:w="0" w:type="dxa"/>
              <w:right w:w="57" w:type="dxa"/>
            </w:tcMar>
            <w:vAlign w:val="center"/>
          </w:tcPr>
          <w:p w14:paraId="1901C273" w14:textId="77777777" w:rsidR="00EB5913" w:rsidRPr="006623B9" w:rsidRDefault="00EB5913" w:rsidP="00F16E23">
            <w:pPr>
              <w:pStyle w:val="TableText"/>
              <w:spacing w:before="40" w:after="40"/>
              <w:jc w:val="right"/>
            </w:pPr>
            <w:r w:rsidRPr="006623B9">
              <w:rPr>
                <w:rFonts w:eastAsia="Calibri"/>
              </w:rPr>
              <w:t>10.3</w:t>
            </w:r>
          </w:p>
        </w:tc>
        <w:tc>
          <w:tcPr>
            <w:tcW w:w="0" w:type="auto"/>
            <w:shd w:val="clear" w:color="auto" w:fill="FFFFFF"/>
            <w:tcMar>
              <w:top w:w="0" w:type="dxa"/>
              <w:left w:w="57" w:type="dxa"/>
              <w:bottom w:w="0" w:type="dxa"/>
              <w:right w:w="57" w:type="dxa"/>
            </w:tcMar>
            <w:vAlign w:val="center"/>
          </w:tcPr>
          <w:p w14:paraId="738D7BE8" w14:textId="77777777" w:rsidR="00EB5913" w:rsidRPr="006623B9" w:rsidRDefault="00EB5913" w:rsidP="00F16E23">
            <w:pPr>
              <w:pStyle w:val="TableText"/>
              <w:spacing w:before="40" w:after="40"/>
              <w:jc w:val="right"/>
            </w:pPr>
            <w:r w:rsidRPr="006623B9">
              <w:rPr>
                <w:rFonts w:eastAsia="Calibri"/>
              </w:rPr>
              <w:t>11.9</w:t>
            </w:r>
          </w:p>
        </w:tc>
        <w:tc>
          <w:tcPr>
            <w:tcW w:w="0" w:type="auto"/>
            <w:shd w:val="clear" w:color="auto" w:fill="FFFFFF"/>
            <w:tcMar>
              <w:top w:w="0" w:type="dxa"/>
              <w:left w:w="57" w:type="dxa"/>
              <w:bottom w:w="0" w:type="dxa"/>
              <w:right w:w="57" w:type="dxa"/>
            </w:tcMar>
            <w:vAlign w:val="center"/>
          </w:tcPr>
          <w:p w14:paraId="15D77416" w14:textId="77777777" w:rsidR="00EB5913" w:rsidRPr="006623B9" w:rsidRDefault="00EB5913" w:rsidP="00F16E23">
            <w:pPr>
              <w:pStyle w:val="TableText"/>
              <w:spacing w:before="40" w:after="40"/>
              <w:jc w:val="right"/>
            </w:pPr>
            <w:r w:rsidRPr="006623B9">
              <w:rPr>
                <w:rFonts w:eastAsia="Calibri"/>
              </w:rPr>
              <w:t>5.2</w:t>
            </w:r>
          </w:p>
        </w:tc>
        <w:tc>
          <w:tcPr>
            <w:tcW w:w="0" w:type="auto"/>
            <w:shd w:val="clear" w:color="auto" w:fill="FFFFFF"/>
            <w:tcMar>
              <w:top w:w="0" w:type="dxa"/>
              <w:left w:w="57" w:type="dxa"/>
              <w:bottom w:w="0" w:type="dxa"/>
              <w:right w:w="57" w:type="dxa"/>
            </w:tcMar>
            <w:vAlign w:val="center"/>
          </w:tcPr>
          <w:p w14:paraId="058D2CC3" w14:textId="77777777" w:rsidR="00EB5913" w:rsidRPr="006623B9" w:rsidRDefault="00EB5913" w:rsidP="00F16E23">
            <w:pPr>
              <w:pStyle w:val="TableText"/>
              <w:spacing w:before="40" w:after="40"/>
              <w:jc w:val="right"/>
            </w:pPr>
            <w:r w:rsidRPr="006623B9">
              <w:rPr>
                <w:rFonts w:eastAsia="Calibri"/>
              </w:rPr>
              <w:t>3.1</w:t>
            </w:r>
          </w:p>
        </w:tc>
        <w:tc>
          <w:tcPr>
            <w:tcW w:w="0" w:type="auto"/>
            <w:shd w:val="clear" w:color="auto" w:fill="FFFFFF"/>
            <w:tcMar>
              <w:top w:w="0" w:type="dxa"/>
              <w:left w:w="57" w:type="dxa"/>
              <w:bottom w:w="0" w:type="dxa"/>
              <w:right w:w="57" w:type="dxa"/>
            </w:tcMar>
            <w:vAlign w:val="center"/>
          </w:tcPr>
          <w:p w14:paraId="13FAF43B" w14:textId="77777777" w:rsidR="00EB5913" w:rsidRPr="006623B9" w:rsidRDefault="00EB5913" w:rsidP="00F16E23">
            <w:pPr>
              <w:pStyle w:val="TableText"/>
              <w:spacing w:before="40" w:after="40"/>
              <w:jc w:val="right"/>
            </w:pPr>
            <w:r w:rsidRPr="006623B9">
              <w:rPr>
                <w:rFonts w:eastAsia="Calibri"/>
              </w:rPr>
              <w:t>3.7</w:t>
            </w:r>
          </w:p>
        </w:tc>
        <w:tc>
          <w:tcPr>
            <w:tcW w:w="0" w:type="auto"/>
            <w:shd w:val="clear" w:color="auto" w:fill="FFFFFF"/>
            <w:tcMar>
              <w:top w:w="0" w:type="dxa"/>
              <w:left w:w="57" w:type="dxa"/>
              <w:bottom w:w="0" w:type="dxa"/>
              <w:right w:w="57" w:type="dxa"/>
            </w:tcMar>
            <w:vAlign w:val="center"/>
          </w:tcPr>
          <w:p w14:paraId="1D78488A" w14:textId="77777777" w:rsidR="00EB5913" w:rsidRPr="006623B9" w:rsidRDefault="00EB5913" w:rsidP="00F16E23">
            <w:pPr>
              <w:pStyle w:val="TableText"/>
              <w:spacing w:before="40" w:after="40"/>
              <w:jc w:val="right"/>
            </w:pPr>
            <w:r w:rsidRPr="006623B9">
              <w:rPr>
                <w:rFonts w:eastAsia="Calibri"/>
              </w:rPr>
              <w:t>40.5</w:t>
            </w:r>
          </w:p>
        </w:tc>
        <w:tc>
          <w:tcPr>
            <w:tcW w:w="0" w:type="auto"/>
            <w:shd w:val="clear" w:color="auto" w:fill="FFFFFF"/>
            <w:tcMar>
              <w:top w:w="0" w:type="dxa"/>
              <w:left w:w="57" w:type="dxa"/>
              <w:bottom w:w="0" w:type="dxa"/>
              <w:right w:w="57" w:type="dxa"/>
            </w:tcMar>
            <w:vAlign w:val="center"/>
          </w:tcPr>
          <w:p w14:paraId="2A838617"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7EFE98BE" w14:textId="77777777" w:rsidTr="00F16E23">
        <w:tc>
          <w:tcPr>
            <w:tcW w:w="0" w:type="auto"/>
            <w:shd w:val="clear" w:color="auto" w:fill="FFFFFF"/>
            <w:tcMar>
              <w:top w:w="0" w:type="dxa"/>
              <w:left w:w="57" w:type="dxa"/>
              <w:bottom w:w="0" w:type="dxa"/>
              <w:right w:w="57" w:type="dxa"/>
            </w:tcMar>
            <w:vAlign w:val="center"/>
          </w:tcPr>
          <w:p w14:paraId="4C2A537F"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2012</w:t>
            </w:r>
          </w:p>
        </w:tc>
        <w:tc>
          <w:tcPr>
            <w:tcW w:w="567" w:type="dxa"/>
            <w:shd w:val="clear" w:color="auto" w:fill="FFFFFF"/>
            <w:tcMar>
              <w:top w:w="0" w:type="dxa"/>
              <w:left w:w="57" w:type="dxa"/>
              <w:bottom w:w="0" w:type="dxa"/>
              <w:right w:w="57" w:type="dxa"/>
            </w:tcMar>
            <w:vAlign w:val="center"/>
          </w:tcPr>
          <w:p w14:paraId="0ED2121F" w14:textId="77777777" w:rsidR="00EB5913" w:rsidRPr="006623B9" w:rsidRDefault="00EB5913" w:rsidP="00F16E23">
            <w:pPr>
              <w:pStyle w:val="TableText"/>
              <w:spacing w:before="40" w:after="40"/>
              <w:jc w:val="right"/>
            </w:pPr>
            <w:r w:rsidRPr="006623B9">
              <w:rPr>
                <w:rFonts w:eastAsia="Calibri"/>
              </w:rPr>
              <w:t>16.8</w:t>
            </w:r>
          </w:p>
        </w:tc>
        <w:tc>
          <w:tcPr>
            <w:tcW w:w="794" w:type="dxa"/>
            <w:shd w:val="clear" w:color="auto" w:fill="FFFFFF"/>
            <w:tcMar>
              <w:top w:w="0" w:type="dxa"/>
              <w:left w:w="57" w:type="dxa"/>
              <w:bottom w:w="0" w:type="dxa"/>
              <w:right w:w="57" w:type="dxa"/>
            </w:tcMar>
            <w:vAlign w:val="center"/>
          </w:tcPr>
          <w:p w14:paraId="2C0DE0B7" w14:textId="77777777" w:rsidR="00EB5913" w:rsidRPr="006623B9" w:rsidRDefault="00EB5913" w:rsidP="00F16E23">
            <w:pPr>
              <w:pStyle w:val="TableText"/>
              <w:spacing w:before="40" w:after="40"/>
              <w:jc w:val="right"/>
            </w:pPr>
            <w:r w:rsidRPr="006623B9">
              <w:rPr>
                <w:rFonts w:eastAsia="Calibri"/>
              </w:rPr>
              <w:t>8.3</w:t>
            </w:r>
          </w:p>
        </w:tc>
        <w:tc>
          <w:tcPr>
            <w:tcW w:w="794" w:type="dxa"/>
            <w:shd w:val="clear" w:color="auto" w:fill="FFFFFF"/>
            <w:tcMar>
              <w:top w:w="0" w:type="dxa"/>
              <w:left w:w="57" w:type="dxa"/>
              <w:bottom w:w="0" w:type="dxa"/>
              <w:right w:w="57" w:type="dxa"/>
            </w:tcMar>
            <w:vAlign w:val="center"/>
          </w:tcPr>
          <w:p w14:paraId="2B72A1D3" w14:textId="77777777" w:rsidR="00EB5913" w:rsidRPr="006623B9" w:rsidRDefault="00EB5913" w:rsidP="00F16E23">
            <w:pPr>
              <w:pStyle w:val="TableText"/>
              <w:spacing w:before="40" w:after="40"/>
              <w:jc w:val="right"/>
            </w:pPr>
            <w:r w:rsidRPr="006623B9">
              <w:rPr>
                <w:rFonts w:eastAsia="Calibri"/>
              </w:rPr>
              <w:t>10.7</w:t>
            </w:r>
          </w:p>
        </w:tc>
        <w:tc>
          <w:tcPr>
            <w:tcW w:w="0" w:type="auto"/>
            <w:shd w:val="clear" w:color="auto" w:fill="FFFFFF"/>
            <w:tcMar>
              <w:top w:w="0" w:type="dxa"/>
              <w:left w:w="57" w:type="dxa"/>
              <w:bottom w:w="0" w:type="dxa"/>
              <w:right w:w="57" w:type="dxa"/>
            </w:tcMar>
            <w:vAlign w:val="center"/>
          </w:tcPr>
          <w:p w14:paraId="67B6F138" w14:textId="77777777" w:rsidR="00EB5913" w:rsidRPr="006623B9" w:rsidRDefault="00EB5913" w:rsidP="00F16E23">
            <w:pPr>
              <w:pStyle w:val="TableText"/>
              <w:spacing w:before="40" w:after="40"/>
              <w:jc w:val="right"/>
            </w:pPr>
            <w:r w:rsidRPr="006623B9">
              <w:rPr>
                <w:rFonts w:eastAsia="Calibri"/>
              </w:rPr>
              <w:t>11.9</w:t>
            </w:r>
          </w:p>
        </w:tc>
        <w:tc>
          <w:tcPr>
            <w:tcW w:w="0" w:type="auto"/>
            <w:shd w:val="clear" w:color="auto" w:fill="FFFFFF"/>
            <w:tcMar>
              <w:top w:w="0" w:type="dxa"/>
              <w:left w:w="57" w:type="dxa"/>
              <w:bottom w:w="0" w:type="dxa"/>
              <w:right w:w="57" w:type="dxa"/>
            </w:tcMar>
            <w:vAlign w:val="center"/>
          </w:tcPr>
          <w:p w14:paraId="7050DBD0" w14:textId="77777777" w:rsidR="00EB5913" w:rsidRPr="006623B9" w:rsidRDefault="00EB5913" w:rsidP="00F16E23">
            <w:pPr>
              <w:pStyle w:val="TableText"/>
              <w:spacing w:before="40" w:after="40"/>
              <w:jc w:val="right"/>
            </w:pPr>
            <w:r w:rsidRPr="006623B9">
              <w:rPr>
                <w:rFonts w:eastAsia="Calibri"/>
              </w:rPr>
              <w:t>5.6</w:t>
            </w:r>
          </w:p>
        </w:tc>
        <w:tc>
          <w:tcPr>
            <w:tcW w:w="0" w:type="auto"/>
            <w:shd w:val="clear" w:color="auto" w:fill="FFFFFF"/>
            <w:tcMar>
              <w:top w:w="0" w:type="dxa"/>
              <w:left w:w="57" w:type="dxa"/>
              <w:bottom w:w="0" w:type="dxa"/>
              <w:right w:w="57" w:type="dxa"/>
            </w:tcMar>
            <w:vAlign w:val="center"/>
          </w:tcPr>
          <w:p w14:paraId="690DBF09" w14:textId="77777777" w:rsidR="00EB5913" w:rsidRPr="006623B9" w:rsidRDefault="00EB5913" w:rsidP="00F16E23">
            <w:pPr>
              <w:pStyle w:val="TableText"/>
              <w:spacing w:before="40" w:after="40"/>
              <w:jc w:val="right"/>
            </w:pPr>
            <w:r w:rsidRPr="006623B9">
              <w:rPr>
                <w:rFonts w:eastAsia="Calibri"/>
              </w:rPr>
              <w:t>3.0</w:t>
            </w:r>
          </w:p>
        </w:tc>
        <w:tc>
          <w:tcPr>
            <w:tcW w:w="0" w:type="auto"/>
            <w:shd w:val="clear" w:color="auto" w:fill="FFFFFF"/>
            <w:tcMar>
              <w:top w:w="0" w:type="dxa"/>
              <w:left w:w="57" w:type="dxa"/>
              <w:bottom w:w="0" w:type="dxa"/>
              <w:right w:w="57" w:type="dxa"/>
            </w:tcMar>
            <w:vAlign w:val="center"/>
          </w:tcPr>
          <w:p w14:paraId="4F669B81" w14:textId="77777777" w:rsidR="00EB5913" w:rsidRPr="006623B9" w:rsidRDefault="00EB5913" w:rsidP="00F16E23">
            <w:pPr>
              <w:pStyle w:val="TableText"/>
              <w:spacing w:before="40" w:after="40"/>
              <w:jc w:val="right"/>
            </w:pPr>
            <w:r w:rsidRPr="006623B9">
              <w:rPr>
                <w:rFonts w:eastAsia="Calibri"/>
              </w:rPr>
              <w:t>3.9</w:t>
            </w:r>
          </w:p>
        </w:tc>
        <w:tc>
          <w:tcPr>
            <w:tcW w:w="0" w:type="auto"/>
            <w:shd w:val="clear" w:color="auto" w:fill="FFFFFF"/>
            <w:tcMar>
              <w:top w:w="0" w:type="dxa"/>
              <w:left w:w="57" w:type="dxa"/>
              <w:bottom w:w="0" w:type="dxa"/>
              <w:right w:w="57" w:type="dxa"/>
            </w:tcMar>
            <w:vAlign w:val="center"/>
          </w:tcPr>
          <w:p w14:paraId="2E687889" w14:textId="77777777" w:rsidR="00EB5913" w:rsidRPr="006623B9" w:rsidRDefault="00EB5913" w:rsidP="00F16E23">
            <w:pPr>
              <w:pStyle w:val="TableText"/>
              <w:spacing w:before="40" w:after="40"/>
              <w:jc w:val="right"/>
            </w:pPr>
            <w:r w:rsidRPr="006623B9">
              <w:rPr>
                <w:rFonts w:eastAsia="Calibri"/>
              </w:rPr>
              <w:t>39.9</w:t>
            </w:r>
          </w:p>
        </w:tc>
        <w:tc>
          <w:tcPr>
            <w:tcW w:w="0" w:type="auto"/>
            <w:shd w:val="clear" w:color="auto" w:fill="FFFFFF"/>
            <w:tcMar>
              <w:top w:w="0" w:type="dxa"/>
              <w:left w:w="57" w:type="dxa"/>
              <w:bottom w:w="0" w:type="dxa"/>
              <w:right w:w="57" w:type="dxa"/>
            </w:tcMar>
            <w:vAlign w:val="center"/>
          </w:tcPr>
          <w:p w14:paraId="78E4DCFC"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5000022D" w14:textId="77777777" w:rsidTr="00F16E23">
        <w:tc>
          <w:tcPr>
            <w:tcW w:w="0" w:type="auto"/>
            <w:shd w:val="clear" w:color="auto" w:fill="FFFFFF"/>
            <w:tcMar>
              <w:top w:w="0" w:type="dxa"/>
              <w:left w:w="57" w:type="dxa"/>
              <w:bottom w:w="0" w:type="dxa"/>
              <w:right w:w="57" w:type="dxa"/>
            </w:tcMar>
            <w:vAlign w:val="center"/>
          </w:tcPr>
          <w:p w14:paraId="0836B221"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2013</w:t>
            </w:r>
          </w:p>
        </w:tc>
        <w:tc>
          <w:tcPr>
            <w:tcW w:w="567" w:type="dxa"/>
            <w:shd w:val="clear" w:color="auto" w:fill="FFFFFF"/>
            <w:tcMar>
              <w:top w:w="0" w:type="dxa"/>
              <w:left w:w="57" w:type="dxa"/>
              <w:bottom w:w="0" w:type="dxa"/>
              <w:right w:w="57" w:type="dxa"/>
            </w:tcMar>
            <w:vAlign w:val="center"/>
          </w:tcPr>
          <w:p w14:paraId="355C4E44" w14:textId="77777777" w:rsidR="00EB5913" w:rsidRPr="006623B9" w:rsidRDefault="00EB5913" w:rsidP="00F16E23">
            <w:pPr>
              <w:pStyle w:val="TableText"/>
              <w:spacing w:before="40" w:after="40"/>
              <w:jc w:val="right"/>
            </w:pPr>
            <w:r w:rsidRPr="006623B9">
              <w:rPr>
                <w:rFonts w:eastAsia="Calibri"/>
              </w:rPr>
              <w:t>15.5</w:t>
            </w:r>
          </w:p>
        </w:tc>
        <w:tc>
          <w:tcPr>
            <w:tcW w:w="794" w:type="dxa"/>
            <w:shd w:val="clear" w:color="auto" w:fill="FFFFFF"/>
            <w:tcMar>
              <w:top w:w="0" w:type="dxa"/>
              <w:left w:w="57" w:type="dxa"/>
              <w:bottom w:w="0" w:type="dxa"/>
              <w:right w:w="57" w:type="dxa"/>
            </w:tcMar>
            <w:vAlign w:val="center"/>
          </w:tcPr>
          <w:p w14:paraId="31335BF9" w14:textId="77777777" w:rsidR="00EB5913" w:rsidRPr="006623B9" w:rsidRDefault="00EB5913" w:rsidP="00F16E23">
            <w:pPr>
              <w:pStyle w:val="TableText"/>
              <w:spacing w:before="40" w:after="40"/>
              <w:jc w:val="right"/>
            </w:pPr>
            <w:r w:rsidRPr="006623B9">
              <w:rPr>
                <w:rFonts w:eastAsia="Calibri"/>
              </w:rPr>
              <w:t>7.9</w:t>
            </w:r>
          </w:p>
        </w:tc>
        <w:tc>
          <w:tcPr>
            <w:tcW w:w="794" w:type="dxa"/>
            <w:shd w:val="clear" w:color="auto" w:fill="FFFFFF"/>
            <w:tcMar>
              <w:top w:w="0" w:type="dxa"/>
              <w:left w:w="57" w:type="dxa"/>
              <w:bottom w:w="0" w:type="dxa"/>
              <w:right w:w="57" w:type="dxa"/>
            </w:tcMar>
            <w:vAlign w:val="center"/>
          </w:tcPr>
          <w:p w14:paraId="1A5C2E0F" w14:textId="77777777" w:rsidR="00EB5913" w:rsidRPr="006623B9" w:rsidRDefault="00EB5913" w:rsidP="00F16E23">
            <w:pPr>
              <w:pStyle w:val="TableText"/>
              <w:spacing w:before="40" w:after="40"/>
              <w:jc w:val="right"/>
            </w:pPr>
            <w:r w:rsidRPr="006623B9">
              <w:rPr>
                <w:rFonts w:eastAsia="Calibri"/>
              </w:rPr>
              <w:t>9.9</w:t>
            </w:r>
          </w:p>
        </w:tc>
        <w:tc>
          <w:tcPr>
            <w:tcW w:w="0" w:type="auto"/>
            <w:shd w:val="clear" w:color="auto" w:fill="FFFFFF"/>
            <w:tcMar>
              <w:top w:w="0" w:type="dxa"/>
              <w:left w:w="57" w:type="dxa"/>
              <w:bottom w:w="0" w:type="dxa"/>
              <w:right w:w="57" w:type="dxa"/>
            </w:tcMar>
            <w:vAlign w:val="center"/>
          </w:tcPr>
          <w:p w14:paraId="5D5FBDAE" w14:textId="77777777" w:rsidR="00EB5913" w:rsidRPr="006623B9" w:rsidRDefault="00EB5913" w:rsidP="00F16E23">
            <w:pPr>
              <w:pStyle w:val="TableText"/>
              <w:spacing w:before="40" w:after="40"/>
              <w:jc w:val="right"/>
            </w:pPr>
            <w:r w:rsidRPr="006623B9">
              <w:rPr>
                <w:rFonts w:eastAsia="Calibri"/>
              </w:rPr>
              <w:t>12.0</w:t>
            </w:r>
          </w:p>
        </w:tc>
        <w:tc>
          <w:tcPr>
            <w:tcW w:w="0" w:type="auto"/>
            <w:shd w:val="clear" w:color="auto" w:fill="FFFFFF"/>
            <w:tcMar>
              <w:top w:w="0" w:type="dxa"/>
              <w:left w:w="57" w:type="dxa"/>
              <w:bottom w:w="0" w:type="dxa"/>
              <w:right w:w="57" w:type="dxa"/>
            </w:tcMar>
            <w:vAlign w:val="center"/>
          </w:tcPr>
          <w:p w14:paraId="3CFC99F2" w14:textId="77777777" w:rsidR="00EB5913" w:rsidRPr="006623B9" w:rsidRDefault="00EB5913" w:rsidP="00F16E23">
            <w:pPr>
              <w:pStyle w:val="TableText"/>
              <w:spacing w:before="40" w:after="40"/>
              <w:jc w:val="right"/>
            </w:pPr>
            <w:r w:rsidRPr="006623B9">
              <w:rPr>
                <w:rFonts w:eastAsia="Calibri"/>
              </w:rPr>
              <w:t>5.5</w:t>
            </w:r>
          </w:p>
        </w:tc>
        <w:tc>
          <w:tcPr>
            <w:tcW w:w="0" w:type="auto"/>
            <w:shd w:val="clear" w:color="auto" w:fill="FFFFFF"/>
            <w:tcMar>
              <w:top w:w="0" w:type="dxa"/>
              <w:left w:w="57" w:type="dxa"/>
              <w:bottom w:w="0" w:type="dxa"/>
              <w:right w:w="57" w:type="dxa"/>
            </w:tcMar>
            <w:vAlign w:val="center"/>
          </w:tcPr>
          <w:p w14:paraId="41AABBAB"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4DEE7865" w14:textId="77777777" w:rsidR="00EB5913" w:rsidRPr="006623B9" w:rsidRDefault="00EB5913" w:rsidP="00F16E23">
            <w:pPr>
              <w:pStyle w:val="TableText"/>
              <w:spacing w:before="40" w:after="40"/>
              <w:jc w:val="right"/>
            </w:pPr>
            <w:r w:rsidRPr="006623B9">
              <w:rPr>
                <w:rFonts w:eastAsia="Calibri"/>
              </w:rPr>
              <w:t>3.6</w:t>
            </w:r>
          </w:p>
        </w:tc>
        <w:tc>
          <w:tcPr>
            <w:tcW w:w="0" w:type="auto"/>
            <w:shd w:val="clear" w:color="auto" w:fill="FFFFFF"/>
            <w:tcMar>
              <w:top w:w="0" w:type="dxa"/>
              <w:left w:w="57" w:type="dxa"/>
              <w:bottom w:w="0" w:type="dxa"/>
              <w:right w:w="57" w:type="dxa"/>
            </w:tcMar>
            <w:vAlign w:val="center"/>
          </w:tcPr>
          <w:p w14:paraId="508D9C66" w14:textId="77777777" w:rsidR="00EB5913" w:rsidRPr="006623B9" w:rsidRDefault="00EB5913" w:rsidP="00F16E23">
            <w:pPr>
              <w:pStyle w:val="TableText"/>
              <w:spacing w:before="40" w:after="40"/>
              <w:jc w:val="right"/>
            </w:pPr>
            <w:r w:rsidRPr="006623B9">
              <w:rPr>
                <w:rFonts w:eastAsia="Calibri"/>
              </w:rPr>
              <w:t>42.8</w:t>
            </w:r>
          </w:p>
        </w:tc>
        <w:tc>
          <w:tcPr>
            <w:tcW w:w="0" w:type="auto"/>
            <w:shd w:val="clear" w:color="auto" w:fill="FFFFFF"/>
            <w:tcMar>
              <w:top w:w="0" w:type="dxa"/>
              <w:left w:w="57" w:type="dxa"/>
              <w:bottom w:w="0" w:type="dxa"/>
              <w:right w:w="57" w:type="dxa"/>
            </w:tcMar>
            <w:vAlign w:val="center"/>
          </w:tcPr>
          <w:p w14:paraId="63B5C97F"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732D31A6" w14:textId="77777777" w:rsidTr="00F16E23">
        <w:tc>
          <w:tcPr>
            <w:tcW w:w="0" w:type="auto"/>
            <w:shd w:val="clear" w:color="auto" w:fill="FFFFFF"/>
            <w:tcMar>
              <w:top w:w="0" w:type="dxa"/>
              <w:left w:w="57" w:type="dxa"/>
              <w:bottom w:w="0" w:type="dxa"/>
              <w:right w:w="57" w:type="dxa"/>
            </w:tcMar>
            <w:vAlign w:val="center"/>
          </w:tcPr>
          <w:p w14:paraId="2B60478C"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2014</w:t>
            </w:r>
          </w:p>
        </w:tc>
        <w:tc>
          <w:tcPr>
            <w:tcW w:w="567" w:type="dxa"/>
            <w:shd w:val="clear" w:color="auto" w:fill="FFFFFF"/>
            <w:tcMar>
              <w:top w:w="0" w:type="dxa"/>
              <w:left w:w="57" w:type="dxa"/>
              <w:bottom w:w="0" w:type="dxa"/>
              <w:right w:w="57" w:type="dxa"/>
            </w:tcMar>
            <w:vAlign w:val="center"/>
          </w:tcPr>
          <w:p w14:paraId="27A59F7A" w14:textId="77777777" w:rsidR="00EB5913" w:rsidRPr="006623B9" w:rsidRDefault="00EB5913" w:rsidP="00F16E23">
            <w:pPr>
              <w:pStyle w:val="TableText"/>
              <w:spacing w:before="40" w:after="40"/>
              <w:jc w:val="right"/>
            </w:pPr>
            <w:r w:rsidRPr="006623B9">
              <w:rPr>
                <w:rFonts w:eastAsia="Calibri"/>
              </w:rPr>
              <w:t>14.2</w:t>
            </w:r>
          </w:p>
        </w:tc>
        <w:tc>
          <w:tcPr>
            <w:tcW w:w="794" w:type="dxa"/>
            <w:shd w:val="clear" w:color="auto" w:fill="FFFFFF"/>
            <w:tcMar>
              <w:top w:w="0" w:type="dxa"/>
              <w:left w:w="57" w:type="dxa"/>
              <w:bottom w:w="0" w:type="dxa"/>
              <w:right w:w="57" w:type="dxa"/>
            </w:tcMar>
            <w:vAlign w:val="center"/>
          </w:tcPr>
          <w:p w14:paraId="17E3C817" w14:textId="77777777" w:rsidR="00EB5913" w:rsidRPr="006623B9" w:rsidRDefault="00EB5913" w:rsidP="00F16E23">
            <w:pPr>
              <w:pStyle w:val="TableText"/>
              <w:spacing w:before="40" w:after="40"/>
              <w:jc w:val="right"/>
            </w:pPr>
            <w:r w:rsidRPr="006623B9">
              <w:rPr>
                <w:rFonts w:eastAsia="Calibri"/>
              </w:rPr>
              <w:t>7.5</w:t>
            </w:r>
          </w:p>
        </w:tc>
        <w:tc>
          <w:tcPr>
            <w:tcW w:w="794" w:type="dxa"/>
            <w:shd w:val="clear" w:color="auto" w:fill="FFFFFF"/>
            <w:tcMar>
              <w:top w:w="0" w:type="dxa"/>
              <w:left w:w="57" w:type="dxa"/>
              <w:bottom w:w="0" w:type="dxa"/>
              <w:right w:w="57" w:type="dxa"/>
            </w:tcMar>
            <w:vAlign w:val="center"/>
          </w:tcPr>
          <w:p w14:paraId="187FD9BF" w14:textId="77777777" w:rsidR="00EB5913" w:rsidRPr="006623B9" w:rsidRDefault="00EB5913" w:rsidP="00F16E23">
            <w:pPr>
              <w:pStyle w:val="TableText"/>
              <w:spacing w:before="40" w:after="40"/>
              <w:jc w:val="right"/>
            </w:pPr>
            <w:r w:rsidRPr="006623B9">
              <w:rPr>
                <w:rFonts w:eastAsia="Calibri"/>
              </w:rPr>
              <w:t>9.1</w:t>
            </w:r>
          </w:p>
        </w:tc>
        <w:tc>
          <w:tcPr>
            <w:tcW w:w="0" w:type="auto"/>
            <w:shd w:val="clear" w:color="auto" w:fill="FFFFFF"/>
            <w:tcMar>
              <w:top w:w="0" w:type="dxa"/>
              <w:left w:w="57" w:type="dxa"/>
              <w:bottom w:w="0" w:type="dxa"/>
              <w:right w:w="57" w:type="dxa"/>
            </w:tcMar>
            <w:vAlign w:val="center"/>
          </w:tcPr>
          <w:p w14:paraId="7BD1417C" w14:textId="77777777" w:rsidR="00EB5913" w:rsidRPr="006623B9" w:rsidRDefault="00EB5913" w:rsidP="00F16E23">
            <w:pPr>
              <w:pStyle w:val="TableText"/>
              <w:spacing w:before="40" w:after="40"/>
              <w:jc w:val="right"/>
            </w:pPr>
            <w:r w:rsidRPr="006623B9">
              <w:rPr>
                <w:rFonts w:eastAsia="Calibri"/>
              </w:rPr>
              <w:t>12.1</w:t>
            </w:r>
          </w:p>
        </w:tc>
        <w:tc>
          <w:tcPr>
            <w:tcW w:w="0" w:type="auto"/>
            <w:shd w:val="clear" w:color="auto" w:fill="FFFFFF"/>
            <w:tcMar>
              <w:top w:w="0" w:type="dxa"/>
              <w:left w:w="57" w:type="dxa"/>
              <w:bottom w:w="0" w:type="dxa"/>
              <w:right w:w="57" w:type="dxa"/>
            </w:tcMar>
            <w:vAlign w:val="center"/>
          </w:tcPr>
          <w:p w14:paraId="25CA2EBB" w14:textId="77777777" w:rsidR="00EB5913" w:rsidRPr="006623B9" w:rsidRDefault="00EB5913" w:rsidP="00F16E23">
            <w:pPr>
              <w:pStyle w:val="TableText"/>
              <w:spacing w:before="40" w:after="40"/>
              <w:jc w:val="right"/>
            </w:pPr>
            <w:r w:rsidRPr="006623B9">
              <w:rPr>
                <w:rFonts w:eastAsia="Calibri"/>
              </w:rPr>
              <w:t>5.4</w:t>
            </w:r>
          </w:p>
        </w:tc>
        <w:tc>
          <w:tcPr>
            <w:tcW w:w="0" w:type="auto"/>
            <w:shd w:val="clear" w:color="auto" w:fill="FFFFFF"/>
            <w:tcMar>
              <w:top w:w="0" w:type="dxa"/>
              <w:left w:w="57" w:type="dxa"/>
              <w:bottom w:w="0" w:type="dxa"/>
              <w:right w:w="57" w:type="dxa"/>
            </w:tcMar>
            <w:vAlign w:val="center"/>
          </w:tcPr>
          <w:p w14:paraId="586F7900" w14:textId="77777777" w:rsidR="00EB5913" w:rsidRPr="006623B9" w:rsidRDefault="00EB5913" w:rsidP="00F16E23">
            <w:pPr>
              <w:pStyle w:val="TableText"/>
              <w:spacing w:before="40" w:after="40"/>
              <w:jc w:val="right"/>
            </w:pPr>
            <w:r w:rsidRPr="006623B9">
              <w:rPr>
                <w:rFonts w:eastAsia="Calibri"/>
              </w:rPr>
              <w:t>2.8</w:t>
            </w:r>
          </w:p>
        </w:tc>
        <w:tc>
          <w:tcPr>
            <w:tcW w:w="0" w:type="auto"/>
            <w:shd w:val="clear" w:color="auto" w:fill="FFFFFF"/>
            <w:tcMar>
              <w:top w:w="0" w:type="dxa"/>
              <w:left w:w="57" w:type="dxa"/>
              <w:bottom w:w="0" w:type="dxa"/>
              <w:right w:w="57" w:type="dxa"/>
            </w:tcMar>
            <w:vAlign w:val="center"/>
          </w:tcPr>
          <w:p w14:paraId="4781D043" w14:textId="77777777" w:rsidR="00EB5913" w:rsidRPr="006623B9" w:rsidRDefault="00EB5913" w:rsidP="00F16E23">
            <w:pPr>
              <w:pStyle w:val="TableText"/>
              <w:spacing w:before="40" w:after="40"/>
              <w:jc w:val="right"/>
            </w:pPr>
            <w:r w:rsidRPr="006623B9">
              <w:rPr>
                <w:rFonts w:eastAsia="Calibri"/>
              </w:rPr>
              <w:t>3.2</w:t>
            </w:r>
          </w:p>
        </w:tc>
        <w:tc>
          <w:tcPr>
            <w:tcW w:w="0" w:type="auto"/>
            <w:shd w:val="clear" w:color="auto" w:fill="FFFFFF"/>
            <w:tcMar>
              <w:top w:w="0" w:type="dxa"/>
              <w:left w:w="57" w:type="dxa"/>
              <w:bottom w:w="0" w:type="dxa"/>
              <w:right w:w="57" w:type="dxa"/>
            </w:tcMar>
            <w:vAlign w:val="center"/>
          </w:tcPr>
          <w:p w14:paraId="5A1F7D52" w14:textId="77777777" w:rsidR="00EB5913" w:rsidRPr="006623B9" w:rsidRDefault="00EB5913" w:rsidP="00F16E23">
            <w:pPr>
              <w:pStyle w:val="TableText"/>
              <w:spacing w:before="40" w:after="40"/>
              <w:jc w:val="right"/>
            </w:pPr>
            <w:r w:rsidRPr="006623B9">
              <w:rPr>
                <w:rFonts w:eastAsia="Calibri"/>
              </w:rPr>
              <w:t>45.7</w:t>
            </w:r>
          </w:p>
        </w:tc>
        <w:tc>
          <w:tcPr>
            <w:tcW w:w="0" w:type="auto"/>
            <w:shd w:val="clear" w:color="auto" w:fill="FFFFFF"/>
            <w:tcMar>
              <w:top w:w="0" w:type="dxa"/>
              <w:left w:w="57" w:type="dxa"/>
              <w:bottom w:w="0" w:type="dxa"/>
              <w:right w:w="57" w:type="dxa"/>
            </w:tcMar>
            <w:vAlign w:val="center"/>
          </w:tcPr>
          <w:p w14:paraId="05178A9C"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10FAFC9B" w14:textId="77777777" w:rsidTr="00F16E23">
        <w:tc>
          <w:tcPr>
            <w:tcW w:w="0" w:type="auto"/>
            <w:shd w:val="clear" w:color="auto" w:fill="FFFFFF"/>
            <w:tcMar>
              <w:top w:w="0" w:type="dxa"/>
              <w:left w:w="57" w:type="dxa"/>
              <w:bottom w:w="0" w:type="dxa"/>
              <w:right w:w="57" w:type="dxa"/>
            </w:tcMar>
            <w:vAlign w:val="center"/>
          </w:tcPr>
          <w:p w14:paraId="27D6A93D"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2015</w:t>
            </w:r>
          </w:p>
        </w:tc>
        <w:tc>
          <w:tcPr>
            <w:tcW w:w="567" w:type="dxa"/>
            <w:shd w:val="clear" w:color="auto" w:fill="FFFFFF"/>
            <w:tcMar>
              <w:top w:w="0" w:type="dxa"/>
              <w:left w:w="57" w:type="dxa"/>
              <w:bottom w:w="0" w:type="dxa"/>
              <w:right w:w="57" w:type="dxa"/>
            </w:tcMar>
            <w:vAlign w:val="center"/>
          </w:tcPr>
          <w:p w14:paraId="71274D6B" w14:textId="77777777" w:rsidR="00EB5913" w:rsidRPr="006623B9" w:rsidRDefault="00EB5913" w:rsidP="00F16E23">
            <w:pPr>
              <w:pStyle w:val="TableText"/>
              <w:spacing w:before="40" w:after="40"/>
              <w:jc w:val="right"/>
            </w:pPr>
            <w:r w:rsidRPr="006623B9">
              <w:rPr>
                <w:rFonts w:eastAsia="Calibri"/>
              </w:rPr>
              <w:t>12.9</w:t>
            </w:r>
          </w:p>
        </w:tc>
        <w:tc>
          <w:tcPr>
            <w:tcW w:w="794" w:type="dxa"/>
            <w:shd w:val="clear" w:color="auto" w:fill="FFFFFF"/>
            <w:tcMar>
              <w:top w:w="0" w:type="dxa"/>
              <w:left w:w="57" w:type="dxa"/>
              <w:bottom w:w="0" w:type="dxa"/>
              <w:right w:w="57" w:type="dxa"/>
            </w:tcMar>
            <w:vAlign w:val="center"/>
          </w:tcPr>
          <w:p w14:paraId="0BD1EDEC" w14:textId="77777777" w:rsidR="00EB5913" w:rsidRPr="006623B9" w:rsidRDefault="00EB5913" w:rsidP="00F16E23">
            <w:pPr>
              <w:pStyle w:val="TableText"/>
              <w:spacing w:before="40" w:after="40"/>
              <w:jc w:val="right"/>
            </w:pPr>
            <w:r w:rsidRPr="006623B9">
              <w:rPr>
                <w:rFonts w:eastAsia="Calibri"/>
              </w:rPr>
              <w:t>7.0</w:t>
            </w:r>
          </w:p>
        </w:tc>
        <w:tc>
          <w:tcPr>
            <w:tcW w:w="794" w:type="dxa"/>
            <w:shd w:val="clear" w:color="auto" w:fill="FFFFFF"/>
            <w:tcMar>
              <w:top w:w="0" w:type="dxa"/>
              <w:left w:w="57" w:type="dxa"/>
              <w:bottom w:w="0" w:type="dxa"/>
              <w:right w:w="57" w:type="dxa"/>
            </w:tcMar>
            <w:vAlign w:val="center"/>
          </w:tcPr>
          <w:p w14:paraId="0FA12784" w14:textId="77777777" w:rsidR="00EB5913" w:rsidRPr="006623B9" w:rsidRDefault="00EB5913" w:rsidP="00F16E23">
            <w:pPr>
              <w:pStyle w:val="TableText"/>
              <w:spacing w:before="40" w:after="40"/>
              <w:jc w:val="right"/>
            </w:pPr>
            <w:r w:rsidRPr="006623B9">
              <w:rPr>
                <w:rFonts w:eastAsia="Calibri"/>
              </w:rPr>
              <w:t>8.3</w:t>
            </w:r>
          </w:p>
        </w:tc>
        <w:tc>
          <w:tcPr>
            <w:tcW w:w="0" w:type="auto"/>
            <w:shd w:val="clear" w:color="auto" w:fill="FFFFFF"/>
            <w:tcMar>
              <w:top w:w="0" w:type="dxa"/>
              <w:left w:w="57" w:type="dxa"/>
              <w:bottom w:w="0" w:type="dxa"/>
              <w:right w:w="57" w:type="dxa"/>
            </w:tcMar>
            <w:vAlign w:val="center"/>
          </w:tcPr>
          <w:p w14:paraId="3475AFF2" w14:textId="77777777" w:rsidR="00EB5913" w:rsidRPr="006623B9" w:rsidRDefault="00EB5913" w:rsidP="00F16E23">
            <w:pPr>
              <w:pStyle w:val="TableText"/>
              <w:spacing w:before="40" w:after="40"/>
              <w:jc w:val="right"/>
            </w:pPr>
            <w:r w:rsidRPr="006623B9">
              <w:rPr>
                <w:rFonts w:eastAsia="Calibri"/>
              </w:rPr>
              <w:t>12.2</w:t>
            </w:r>
          </w:p>
        </w:tc>
        <w:tc>
          <w:tcPr>
            <w:tcW w:w="0" w:type="auto"/>
            <w:shd w:val="clear" w:color="auto" w:fill="FFFFFF"/>
            <w:tcMar>
              <w:top w:w="0" w:type="dxa"/>
              <w:left w:w="57" w:type="dxa"/>
              <w:bottom w:w="0" w:type="dxa"/>
              <w:right w:w="57" w:type="dxa"/>
            </w:tcMar>
            <w:vAlign w:val="center"/>
          </w:tcPr>
          <w:p w14:paraId="21EBAB36" w14:textId="77777777" w:rsidR="00EB5913" w:rsidRPr="006623B9" w:rsidRDefault="00EB5913" w:rsidP="00F16E23">
            <w:pPr>
              <w:pStyle w:val="TableText"/>
              <w:spacing w:before="40" w:after="40"/>
              <w:jc w:val="right"/>
            </w:pPr>
            <w:r w:rsidRPr="006623B9">
              <w:rPr>
                <w:rFonts w:eastAsia="Calibri"/>
              </w:rPr>
              <w:t>5.3</w:t>
            </w:r>
          </w:p>
        </w:tc>
        <w:tc>
          <w:tcPr>
            <w:tcW w:w="0" w:type="auto"/>
            <w:shd w:val="clear" w:color="auto" w:fill="FFFFFF"/>
            <w:tcMar>
              <w:top w:w="0" w:type="dxa"/>
              <w:left w:w="57" w:type="dxa"/>
              <w:bottom w:w="0" w:type="dxa"/>
              <w:right w:w="57" w:type="dxa"/>
            </w:tcMar>
            <w:vAlign w:val="center"/>
          </w:tcPr>
          <w:p w14:paraId="6913F75A" w14:textId="77777777" w:rsidR="00EB5913" w:rsidRPr="006623B9" w:rsidRDefault="00EB5913" w:rsidP="00F16E23">
            <w:pPr>
              <w:pStyle w:val="TableText"/>
              <w:spacing w:before="40" w:after="40"/>
              <w:jc w:val="right"/>
            </w:pPr>
            <w:r w:rsidRPr="006623B9">
              <w:rPr>
                <w:rFonts w:eastAsia="Calibri"/>
              </w:rPr>
              <w:t>2.7</w:t>
            </w:r>
          </w:p>
        </w:tc>
        <w:tc>
          <w:tcPr>
            <w:tcW w:w="0" w:type="auto"/>
            <w:shd w:val="clear" w:color="auto" w:fill="FFFFFF"/>
            <w:tcMar>
              <w:top w:w="0" w:type="dxa"/>
              <w:left w:w="57" w:type="dxa"/>
              <w:bottom w:w="0" w:type="dxa"/>
              <w:right w:w="57" w:type="dxa"/>
            </w:tcMar>
            <w:vAlign w:val="center"/>
          </w:tcPr>
          <w:p w14:paraId="3E053580" w14:textId="77777777" w:rsidR="00EB5913" w:rsidRPr="006623B9" w:rsidRDefault="00EB5913" w:rsidP="00F16E23">
            <w:pPr>
              <w:pStyle w:val="TableText"/>
              <w:spacing w:before="40" w:after="40"/>
              <w:jc w:val="right"/>
            </w:pPr>
            <w:r w:rsidRPr="006623B9">
              <w:rPr>
                <w:rFonts w:eastAsia="Calibri"/>
              </w:rPr>
              <w:t>2.9</w:t>
            </w:r>
          </w:p>
        </w:tc>
        <w:tc>
          <w:tcPr>
            <w:tcW w:w="0" w:type="auto"/>
            <w:shd w:val="clear" w:color="auto" w:fill="FFFFFF"/>
            <w:tcMar>
              <w:top w:w="0" w:type="dxa"/>
              <w:left w:w="57" w:type="dxa"/>
              <w:bottom w:w="0" w:type="dxa"/>
              <w:right w:w="57" w:type="dxa"/>
            </w:tcMar>
            <w:vAlign w:val="center"/>
          </w:tcPr>
          <w:p w14:paraId="68E2485D" w14:textId="77777777" w:rsidR="00EB5913" w:rsidRPr="006623B9" w:rsidRDefault="00EB5913" w:rsidP="00F16E23">
            <w:pPr>
              <w:pStyle w:val="TableText"/>
              <w:spacing w:before="40" w:after="40"/>
              <w:jc w:val="right"/>
            </w:pPr>
            <w:r w:rsidRPr="006623B9">
              <w:rPr>
                <w:rFonts w:eastAsia="Calibri"/>
              </w:rPr>
              <w:t>48.6</w:t>
            </w:r>
          </w:p>
        </w:tc>
        <w:tc>
          <w:tcPr>
            <w:tcW w:w="0" w:type="auto"/>
            <w:shd w:val="clear" w:color="auto" w:fill="FFFFFF"/>
            <w:tcMar>
              <w:top w:w="0" w:type="dxa"/>
              <w:left w:w="57" w:type="dxa"/>
              <w:bottom w:w="0" w:type="dxa"/>
              <w:right w:w="57" w:type="dxa"/>
            </w:tcMar>
            <w:vAlign w:val="center"/>
          </w:tcPr>
          <w:p w14:paraId="4BFF01F5"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049285C2" w14:textId="77777777" w:rsidTr="00F16E23">
        <w:tc>
          <w:tcPr>
            <w:tcW w:w="0" w:type="auto"/>
            <w:shd w:val="clear" w:color="auto" w:fill="FFFFFF"/>
            <w:tcMar>
              <w:top w:w="0" w:type="dxa"/>
              <w:left w:w="57" w:type="dxa"/>
              <w:bottom w:w="0" w:type="dxa"/>
              <w:right w:w="57" w:type="dxa"/>
            </w:tcMar>
            <w:vAlign w:val="center"/>
          </w:tcPr>
          <w:p w14:paraId="07B98FAB"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2016</w:t>
            </w:r>
          </w:p>
        </w:tc>
        <w:tc>
          <w:tcPr>
            <w:tcW w:w="567" w:type="dxa"/>
            <w:shd w:val="clear" w:color="auto" w:fill="FFFFFF"/>
            <w:tcMar>
              <w:top w:w="0" w:type="dxa"/>
              <w:left w:w="57" w:type="dxa"/>
              <w:bottom w:w="0" w:type="dxa"/>
              <w:right w:w="57" w:type="dxa"/>
            </w:tcMar>
            <w:vAlign w:val="center"/>
          </w:tcPr>
          <w:p w14:paraId="74C93FED" w14:textId="77777777" w:rsidR="00EB5913" w:rsidRPr="006623B9" w:rsidRDefault="00EB5913" w:rsidP="00F16E23">
            <w:pPr>
              <w:pStyle w:val="TableText"/>
              <w:spacing w:before="40" w:after="40"/>
              <w:jc w:val="right"/>
            </w:pPr>
            <w:r w:rsidRPr="006623B9">
              <w:rPr>
                <w:rFonts w:eastAsia="Calibri"/>
              </w:rPr>
              <w:t>11.6</w:t>
            </w:r>
          </w:p>
        </w:tc>
        <w:tc>
          <w:tcPr>
            <w:tcW w:w="794" w:type="dxa"/>
            <w:shd w:val="clear" w:color="auto" w:fill="FFFFFF"/>
            <w:tcMar>
              <w:top w:w="0" w:type="dxa"/>
              <w:left w:w="57" w:type="dxa"/>
              <w:bottom w:w="0" w:type="dxa"/>
              <w:right w:w="57" w:type="dxa"/>
            </w:tcMar>
            <w:vAlign w:val="center"/>
          </w:tcPr>
          <w:p w14:paraId="67A658C3" w14:textId="77777777" w:rsidR="00EB5913" w:rsidRPr="006623B9" w:rsidRDefault="00EB5913" w:rsidP="00F16E23">
            <w:pPr>
              <w:pStyle w:val="TableText"/>
              <w:spacing w:before="40" w:after="40"/>
              <w:jc w:val="right"/>
            </w:pPr>
            <w:r w:rsidRPr="006623B9">
              <w:rPr>
                <w:rFonts w:eastAsia="Calibri"/>
              </w:rPr>
              <w:t>6.6</w:t>
            </w:r>
          </w:p>
        </w:tc>
        <w:tc>
          <w:tcPr>
            <w:tcW w:w="794" w:type="dxa"/>
            <w:shd w:val="clear" w:color="auto" w:fill="FFFFFF"/>
            <w:tcMar>
              <w:top w:w="0" w:type="dxa"/>
              <w:left w:w="57" w:type="dxa"/>
              <w:bottom w:w="0" w:type="dxa"/>
              <w:right w:w="57" w:type="dxa"/>
            </w:tcMar>
            <w:vAlign w:val="center"/>
          </w:tcPr>
          <w:p w14:paraId="73A81FCE" w14:textId="77777777" w:rsidR="00EB5913" w:rsidRPr="006623B9" w:rsidRDefault="00EB5913" w:rsidP="00F16E23">
            <w:pPr>
              <w:pStyle w:val="TableText"/>
              <w:spacing w:before="40" w:after="40"/>
              <w:jc w:val="right"/>
            </w:pPr>
            <w:r w:rsidRPr="006623B9">
              <w:rPr>
                <w:rFonts w:eastAsia="Calibri"/>
              </w:rPr>
              <w:t>7.5</w:t>
            </w:r>
          </w:p>
        </w:tc>
        <w:tc>
          <w:tcPr>
            <w:tcW w:w="0" w:type="auto"/>
            <w:shd w:val="clear" w:color="auto" w:fill="FFFFFF"/>
            <w:tcMar>
              <w:top w:w="0" w:type="dxa"/>
              <w:left w:w="57" w:type="dxa"/>
              <w:bottom w:w="0" w:type="dxa"/>
              <w:right w:w="57" w:type="dxa"/>
            </w:tcMar>
            <w:vAlign w:val="center"/>
          </w:tcPr>
          <w:p w14:paraId="13D9226A" w14:textId="77777777" w:rsidR="00EB5913" w:rsidRPr="006623B9" w:rsidRDefault="00EB5913" w:rsidP="00F16E23">
            <w:pPr>
              <w:pStyle w:val="TableText"/>
              <w:spacing w:before="40" w:after="40"/>
              <w:jc w:val="right"/>
            </w:pPr>
            <w:r w:rsidRPr="006623B9">
              <w:rPr>
                <w:rFonts w:eastAsia="Calibri"/>
              </w:rPr>
              <w:t>12.4</w:t>
            </w:r>
          </w:p>
        </w:tc>
        <w:tc>
          <w:tcPr>
            <w:tcW w:w="0" w:type="auto"/>
            <w:shd w:val="clear" w:color="auto" w:fill="FFFFFF"/>
            <w:tcMar>
              <w:top w:w="0" w:type="dxa"/>
              <w:left w:w="57" w:type="dxa"/>
              <w:bottom w:w="0" w:type="dxa"/>
              <w:right w:w="57" w:type="dxa"/>
            </w:tcMar>
            <w:vAlign w:val="center"/>
          </w:tcPr>
          <w:p w14:paraId="0C0A0AA9" w14:textId="77777777" w:rsidR="00EB5913" w:rsidRPr="006623B9" w:rsidRDefault="00EB5913" w:rsidP="00F16E23">
            <w:pPr>
              <w:pStyle w:val="TableText"/>
              <w:spacing w:before="40" w:after="40"/>
              <w:jc w:val="right"/>
            </w:pPr>
            <w:r w:rsidRPr="006623B9">
              <w:rPr>
                <w:rFonts w:eastAsia="Calibri"/>
              </w:rPr>
              <w:t>5.2</w:t>
            </w:r>
          </w:p>
        </w:tc>
        <w:tc>
          <w:tcPr>
            <w:tcW w:w="0" w:type="auto"/>
            <w:shd w:val="clear" w:color="auto" w:fill="FFFFFF"/>
            <w:tcMar>
              <w:top w:w="0" w:type="dxa"/>
              <w:left w:w="57" w:type="dxa"/>
              <w:bottom w:w="0" w:type="dxa"/>
              <w:right w:w="57" w:type="dxa"/>
            </w:tcMar>
            <w:vAlign w:val="center"/>
          </w:tcPr>
          <w:p w14:paraId="7847BA2D" w14:textId="77777777" w:rsidR="00EB5913" w:rsidRPr="006623B9" w:rsidRDefault="00EB5913" w:rsidP="00F16E23">
            <w:pPr>
              <w:pStyle w:val="TableText"/>
              <w:spacing w:before="40" w:after="40"/>
              <w:jc w:val="right"/>
            </w:pPr>
            <w:r w:rsidRPr="006623B9">
              <w:rPr>
                <w:rFonts w:eastAsia="Calibri"/>
              </w:rPr>
              <w:t>2.6</w:t>
            </w:r>
          </w:p>
        </w:tc>
        <w:tc>
          <w:tcPr>
            <w:tcW w:w="0" w:type="auto"/>
            <w:shd w:val="clear" w:color="auto" w:fill="FFFFFF"/>
            <w:tcMar>
              <w:top w:w="0" w:type="dxa"/>
              <w:left w:w="57" w:type="dxa"/>
              <w:bottom w:w="0" w:type="dxa"/>
              <w:right w:w="57" w:type="dxa"/>
            </w:tcMar>
            <w:vAlign w:val="center"/>
          </w:tcPr>
          <w:p w14:paraId="72BE46CE" w14:textId="77777777" w:rsidR="00EB5913" w:rsidRPr="006623B9" w:rsidRDefault="00EB5913" w:rsidP="00F16E23">
            <w:pPr>
              <w:pStyle w:val="TableText"/>
              <w:spacing w:before="40" w:after="40"/>
              <w:jc w:val="right"/>
            </w:pPr>
            <w:r w:rsidRPr="006623B9">
              <w:rPr>
                <w:rFonts w:eastAsia="Calibri"/>
              </w:rPr>
              <w:t>2.6</w:t>
            </w:r>
          </w:p>
        </w:tc>
        <w:tc>
          <w:tcPr>
            <w:tcW w:w="0" w:type="auto"/>
            <w:shd w:val="clear" w:color="auto" w:fill="FFFFFF"/>
            <w:tcMar>
              <w:top w:w="0" w:type="dxa"/>
              <w:left w:w="57" w:type="dxa"/>
              <w:bottom w:w="0" w:type="dxa"/>
              <w:right w:w="57" w:type="dxa"/>
            </w:tcMar>
            <w:vAlign w:val="center"/>
          </w:tcPr>
          <w:p w14:paraId="08AF53C9" w14:textId="77777777" w:rsidR="00EB5913" w:rsidRPr="006623B9" w:rsidRDefault="00EB5913" w:rsidP="00F16E23">
            <w:pPr>
              <w:pStyle w:val="TableText"/>
              <w:spacing w:before="40" w:after="40"/>
              <w:jc w:val="right"/>
            </w:pPr>
            <w:r w:rsidRPr="006623B9">
              <w:rPr>
                <w:rFonts w:eastAsia="Calibri"/>
              </w:rPr>
              <w:t>51.5</w:t>
            </w:r>
          </w:p>
        </w:tc>
        <w:tc>
          <w:tcPr>
            <w:tcW w:w="0" w:type="auto"/>
            <w:shd w:val="clear" w:color="auto" w:fill="FFFFFF"/>
            <w:tcMar>
              <w:top w:w="0" w:type="dxa"/>
              <w:left w:w="57" w:type="dxa"/>
              <w:bottom w:w="0" w:type="dxa"/>
              <w:right w:w="57" w:type="dxa"/>
            </w:tcMar>
            <w:vAlign w:val="center"/>
          </w:tcPr>
          <w:p w14:paraId="492DFEBD"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7FD2054B" w14:textId="77777777" w:rsidTr="00F16E23">
        <w:tc>
          <w:tcPr>
            <w:tcW w:w="0" w:type="auto"/>
            <w:shd w:val="clear" w:color="auto" w:fill="FFFFFF"/>
            <w:tcMar>
              <w:top w:w="0" w:type="dxa"/>
              <w:left w:w="57" w:type="dxa"/>
              <w:bottom w:w="0" w:type="dxa"/>
              <w:right w:w="57" w:type="dxa"/>
            </w:tcMar>
            <w:vAlign w:val="center"/>
          </w:tcPr>
          <w:p w14:paraId="042228F0"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2017</w:t>
            </w:r>
          </w:p>
        </w:tc>
        <w:tc>
          <w:tcPr>
            <w:tcW w:w="567" w:type="dxa"/>
            <w:shd w:val="clear" w:color="auto" w:fill="FFFFFF"/>
            <w:tcMar>
              <w:top w:w="0" w:type="dxa"/>
              <w:left w:w="57" w:type="dxa"/>
              <w:bottom w:w="0" w:type="dxa"/>
              <w:right w:w="57" w:type="dxa"/>
            </w:tcMar>
            <w:vAlign w:val="center"/>
          </w:tcPr>
          <w:p w14:paraId="2D894147" w14:textId="77777777" w:rsidR="00EB5913" w:rsidRPr="006623B9" w:rsidRDefault="00EB5913" w:rsidP="00F16E23">
            <w:pPr>
              <w:pStyle w:val="TableText"/>
              <w:spacing w:before="40" w:after="40"/>
              <w:jc w:val="right"/>
            </w:pPr>
            <w:r w:rsidRPr="006623B9">
              <w:rPr>
                <w:rFonts w:eastAsia="Calibri"/>
              </w:rPr>
              <w:t>10.3</w:t>
            </w:r>
          </w:p>
        </w:tc>
        <w:tc>
          <w:tcPr>
            <w:tcW w:w="794" w:type="dxa"/>
            <w:shd w:val="clear" w:color="auto" w:fill="FFFFFF"/>
            <w:tcMar>
              <w:top w:w="0" w:type="dxa"/>
              <w:left w:w="57" w:type="dxa"/>
              <w:bottom w:w="0" w:type="dxa"/>
              <w:right w:w="57" w:type="dxa"/>
            </w:tcMar>
            <w:vAlign w:val="center"/>
          </w:tcPr>
          <w:p w14:paraId="0599FC37" w14:textId="77777777" w:rsidR="00EB5913" w:rsidRPr="006623B9" w:rsidRDefault="00EB5913" w:rsidP="00F16E23">
            <w:pPr>
              <w:pStyle w:val="TableText"/>
              <w:spacing w:before="40" w:after="40"/>
              <w:jc w:val="right"/>
            </w:pPr>
            <w:r w:rsidRPr="006623B9">
              <w:rPr>
                <w:rFonts w:eastAsia="Calibri"/>
              </w:rPr>
              <w:t>6.2</w:t>
            </w:r>
          </w:p>
        </w:tc>
        <w:tc>
          <w:tcPr>
            <w:tcW w:w="794" w:type="dxa"/>
            <w:shd w:val="clear" w:color="auto" w:fill="FFFFFF"/>
            <w:tcMar>
              <w:top w:w="0" w:type="dxa"/>
              <w:left w:w="57" w:type="dxa"/>
              <w:bottom w:w="0" w:type="dxa"/>
              <w:right w:w="57" w:type="dxa"/>
            </w:tcMar>
            <w:vAlign w:val="center"/>
          </w:tcPr>
          <w:p w14:paraId="7F6D7F07" w14:textId="77777777" w:rsidR="00EB5913" w:rsidRPr="006623B9" w:rsidRDefault="00EB5913" w:rsidP="00F16E23">
            <w:pPr>
              <w:pStyle w:val="TableText"/>
              <w:spacing w:before="40" w:after="40"/>
              <w:jc w:val="right"/>
            </w:pPr>
            <w:r w:rsidRPr="006623B9">
              <w:rPr>
                <w:rFonts w:eastAsia="Calibri"/>
              </w:rPr>
              <w:t>6.7</w:t>
            </w:r>
          </w:p>
        </w:tc>
        <w:tc>
          <w:tcPr>
            <w:tcW w:w="0" w:type="auto"/>
            <w:shd w:val="clear" w:color="auto" w:fill="FFFFFF"/>
            <w:tcMar>
              <w:top w:w="0" w:type="dxa"/>
              <w:left w:w="57" w:type="dxa"/>
              <w:bottom w:w="0" w:type="dxa"/>
              <w:right w:w="57" w:type="dxa"/>
            </w:tcMar>
            <w:vAlign w:val="center"/>
          </w:tcPr>
          <w:p w14:paraId="26AF2076" w14:textId="77777777" w:rsidR="00EB5913" w:rsidRPr="006623B9" w:rsidRDefault="00EB5913" w:rsidP="00F16E23">
            <w:pPr>
              <w:pStyle w:val="TableText"/>
              <w:spacing w:before="40" w:after="40"/>
              <w:jc w:val="right"/>
            </w:pPr>
            <w:r w:rsidRPr="006623B9">
              <w:rPr>
                <w:rFonts w:eastAsia="Calibri"/>
              </w:rPr>
              <w:t>12.5</w:t>
            </w:r>
          </w:p>
        </w:tc>
        <w:tc>
          <w:tcPr>
            <w:tcW w:w="0" w:type="auto"/>
            <w:shd w:val="clear" w:color="auto" w:fill="FFFFFF"/>
            <w:tcMar>
              <w:top w:w="0" w:type="dxa"/>
              <w:left w:w="57" w:type="dxa"/>
              <w:bottom w:w="0" w:type="dxa"/>
              <w:right w:w="57" w:type="dxa"/>
            </w:tcMar>
            <w:vAlign w:val="center"/>
          </w:tcPr>
          <w:p w14:paraId="277D1E85" w14:textId="77777777" w:rsidR="00EB5913" w:rsidRPr="006623B9" w:rsidRDefault="00EB5913" w:rsidP="00F16E23">
            <w:pPr>
              <w:pStyle w:val="TableText"/>
              <w:spacing w:before="40" w:after="40"/>
              <w:jc w:val="right"/>
            </w:pPr>
            <w:r w:rsidRPr="006623B9">
              <w:rPr>
                <w:rFonts w:eastAsia="Calibri"/>
              </w:rPr>
              <w:t>5.1</w:t>
            </w:r>
          </w:p>
        </w:tc>
        <w:tc>
          <w:tcPr>
            <w:tcW w:w="0" w:type="auto"/>
            <w:shd w:val="clear" w:color="auto" w:fill="FFFFFF"/>
            <w:tcMar>
              <w:top w:w="0" w:type="dxa"/>
              <w:left w:w="57" w:type="dxa"/>
              <w:bottom w:w="0" w:type="dxa"/>
              <w:right w:w="57" w:type="dxa"/>
            </w:tcMar>
            <w:vAlign w:val="center"/>
          </w:tcPr>
          <w:p w14:paraId="06088B05" w14:textId="77777777" w:rsidR="00EB5913" w:rsidRPr="006623B9" w:rsidRDefault="00EB5913" w:rsidP="00F16E23">
            <w:pPr>
              <w:pStyle w:val="TableText"/>
              <w:spacing w:before="40" w:after="40"/>
              <w:jc w:val="right"/>
            </w:pPr>
            <w:r w:rsidRPr="006623B9">
              <w:rPr>
                <w:rFonts w:eastAsia="Calibri"/>
              </w:rPr>
              <w:t>2.6</w:t>
            </w:r>
          </w:p>
        </w:tc>
        <w:tc>
          <w:tcPr>
            <w:tcW w:w="0" w:type="auto"/>
            <w:shd w:val="clear" w:color="auto" w:fill="FFFFFF"/>
            <w:tcMar>
              <w:top w:w="0" w:type="dxa"/>
              <w:left w:w="57" w:type="dxa"/>
              <w:bottom w:w="0" w:type="dxa"/>
              <w:right w:w="57" w:type="dxa"/>
            </w:tcMar>
            <w:vAlign w:val="center"/>
          </w:tcPr>
          <w:p w14:paraId="10C9E2DC" w14:textId="77777777" w:rsidR="00EB5913" w:rsidRPr="006623B9" w:rsidRDefault="00EB5913" w:rsidP="00F16E23">
            <w:pPr>
              <w:pStyle w:val="TableText"/>
              <w:spacing w:before="40" w:after="40"/>
              <w:jc w:val="right"/>
            </w:pPr>
            <w:r w:rsidRPr="006623B9">
              <w:rPr>
                <w:rFonts w:eastAsia="Calibri"/>
              </w:rPr>
              <w:t>2.3</w:t>
            </w:r>
          </w:p>
        </w:tc>
        <w:tc>
          <w:tcPr>
            <w:tcW w:w="0" w:type="auto"/>
            <w:shd w:val="clear" w:color="auto" w:fill="FFFFFF"/>
            <w:tcMar>
              <w:top w:w="0" w:type="dxa"/>
              <w:left w:w="57" w:type="dxa"/>
              <w:bottom w:w="0" w:type="dxa"/>
              <w:right w:w="57" w:type="dxa"/>
            </w:tcMar>
            <w:vAlign w:val="center"/>
          </w:tcPr>
          <w:p w14:paraId="2C10D390" w14:textId="77777777" w:rsidR="00EB5913" w:rsidRPr="006623B9" w:rsidRDefault="00EB5913" w:rsidP="00F16E23">
            <w:pPr>
              <w:pStyle w:val="TableText"/>
              <w:spacing w:before="40" w:after="40"/>
              <w:jc w:val="right"/>
            </w:pPr>
            <w:r w:rsidRPr="006623B9">
              <w:rPr>
                <w:rFonts w:eastAsia="Calibri"/>
              </w:rPr>
              <w:t>54.4</w:t>
            </w:r>
          </w:p>
        </w:tc>
        <w:tc>
          <w:tcPr>
            <w:tcW w:w="0" w:type="auto"/>
            <w:shd w:val="clear" w:color="auto" w:fill="FFFFFF"/>
            <w:tcMar>
              <w:top w:w="0" w:type="dxa"/>
              <w:left w:w="57" w:type="dxa"/>
              <w:bottom w:w="0" w:type="dxa"/>
              <w:right w:w="57" w:type="dxa"/>
            </w:tcMar>
            <w:vAlign w:val="center"/>
          </w:tcPr>
          <w:p w14:paraId="1C90F349" w14:textId="77777777" w:rsidR="00EB5913" w:rsidRPr="006623B9" w:rsidRDefault="00EB5913" w:rsidP="00F16E23">
            <w:pPr>
              <w:pStyle w:val="TableText"/>
              <w:spacing w:before="40" w:after="40"/>
            </w:pPr>
            <w:r w:rsidRPr="006623B9">
              <w:rPr>
                <w:rFonts w:eastAsia="Calibri"/>
              </w:rPr>
              <w:t>Based on interpolation</w:t>
            </w:r>
          </w:p>
        </w:tc>
      </w:tr>
      <w:tr w:rsidR="00EB5913" w:rsidRPr="006623B9" w14:paraId="609B9232" w14:textId="77777777" w:rsidTr="00F16E23">
        <w:tc>
          <w:tcPr>
            <w:tcW w:w="0" w:type="auto"/>
            <w:shd w:val="clear" w:color="auto" w:fill="FFFFFF"/>
            <w:tcMar>
              <w:top w:w="0" w:type="dxa"/>
              <w:left w:w="57" w:type="dxa"/>
              <w:bottom w:w="0" w:type="dxa"/>
              <w:right w:w="57" w:type="dxa"/>
            </w:tcMar>
            <w:vAlign w:val="center"/>
          </w:tcPr>
          <w:p w14:paraId="3721FCEB"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2018</w:t>
            </w:r>
          </w:p>
        </w:tc>
        <w:tc>
          <w:tcPr>
            <w:tcW w:w="567" w:type="dxa"/>
            <w:shd w:val="clear" w:color="auto" w:fill="FFFFFF"/>
            <w:tcMar>
              <w:top w:w="0" w:type="dxa"/>
              <w:left w:w="57" w:type="dxa"/>
              <w:bottom w:w="0" w:type="dxa"/>
              <w:right w:w="57" w:type="dxa"/>
            </w:tcMar>
            <w:vAlign w:val="center"/>
          </w:tcPr>
          <w:p w14:paraId="2DF081CA" w14:textId="77777777" w:rsidR="00EB5913" w:rsidRPr="006623B9" w:rsidRDefault="00EB5913" w:rsidP="00F16E23">
            <w:pPr>
              <w:pStyle w:val="TableText"/>
              <w:spacing w:before="40" w:after="40"/>
              <w:jc w:val="right"/>
            </w:pPr>
            <w:r w:rsidRPr="006623B9">
              <w:rPr>
                <w:rFonts w:eastAsia="Calibri"/>
              </w:rPr>
              <w:t>9.0</w:t>
            </w:r>
          </w:p>
        </w:tc>
        <w:tc>
          <w:tcPr>
            <w:tcW w:w="794" w:type="dxa"/>
            <w:shd w:val="clear" w:color="auto" w:fill="FFFFFF"/>
            <w:tcMar>
              <w:top w:w="0" w:type="dxa"/>
              <w:left w:w="57" w:type="dxa"/>
              <w:bottom w:w="0" w:type="dxa"/>
              <w:right w:w="57" w:type="dxa"/>
            </w:tcMar>
            <w:vAlign w:val="center"/>
          </w:tcPr>
          <w:p w14:paraId="7EAFE19E" w14:textId="77777777" w:rsidR="00EB5913" w:rsidRPr="006623B9" w:rsidRDefault="00EB5913" w:rsidP="00F16E23">
            <w:pPr>
              <w:pStyle w:val="TableText"/>
              <w:spacing w:before="40" w:after="40"/>
              <w:jc w:val="right"/>
            </w:pPr>
            <w:r w:rsidRPr="006623B9">
              <w:rPr>
                <w:rFonts w:eastAsia="Calibri"/>
              </w:rPr>
              <w:t>5.7</w:t>
            </w:r>
          </w:p>
        </w:tc>
        <w:tc>
          <w:tcPr>
            <w:tcW w:w="794" w:type="dxa"/>
            <w:shd w:val="clear" w:color="auto" w:fill="FFFFFF"/>
            <w:tcMar>
              <w:top w:w="0" w:type="dxa"/>
              <w:left w:w="57" w:type="dxa"/>
              <w:bottom w:w="0" w:type="dxa"/>
              <w:right w:w="57" w:type="dxa"/>
            </w:tcMar>
            <w:vAlign w:val="center"/>
          </w:tcPr>
          <w:p w14:paraId="3C6F764A" w14:textId="77777777" w:rsidR="00EB5913" w:rsidRPr="006623B9" w:rsidRDefault="00EB5913" w:rsidP="00F16E23">
            <w:pPr>
              <w:pStyle w:val="TableText"/>
              <w:spacing w:before="40" w:after="40"/>
              <w:jc w:val="right"/>
            </w:pPr>
            <w:r w:rsidRPr="006623B9">
              <w:rPr>
                <w:rFonts w:eastAsia="Calibri"/>
              </w:rPr>
              <w:t>5.9</w:t>
            </w:r>
          </w:p>
        </w:tc>
        <w:tc>
          <w:tcPr>
            <w:tcW w:w="0" w:type="auto"/>
            <w:shd w:val="clear" w:color="auto" w:fill="FFFFFF"/>
            <w:tcMar>
              <w:top w:w="0" w:type="dxa"/>
              <w:left w:w="57" w:type="dxa"/>
              <w:bottom w:w="0" w:type="dxa"/>
              <w:right w:w="57" w:type="dxa"/>
            </w:tcMar>
            <w:vAlign w:val="center"/>
          </w:tcPr>
          <w:p w14:paraId="1B19D385" w14:textId="77777777" w:rsidR="00EB5913" w:rsidRPr="006623B9" w:rsidRDefault="00EB5913" w:rsidP="00F16E23">
            <w:pPr>
              <w:pStyle w:val="TableText"/>
              <w:spacing w:before="40" w:after="40"/>
              <w:jc w:val="right"/>
            </w:pPr>
            <w:r w:rsidRPr="006623B9">
              <w:rPr>
                <w:rFonts w:eastAsia="Calibri"/>
              </w:rPr>
              <w:t>12.6</w:t>
            </w:r>
          </w:p>
        </w:tc>
        <w:tc>
          <w:tcPr>
            <w:tcW w:w="0" w:type="auto"/>
            <w:shd w:val="clear" w:color="auto" w:fill="FFFFFF"/>
            <w:tcMar>
              <w:top w:w="0" w:type="dxa"/>
              <w:left w:w="57" w:type="dxa"/>
              <w:bottom w:w="0" w:type="dxa"/>
              <w:right w:w="57" w:type="dxa"/>
            </w:tcMar>
            <w:vAlign w:val="center"/>
          </w:tcPr>
          <w:p w14:paraId="48D4589A"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57" w:type="dxa"/>
              <w:bottom w:w="0" w:type="dxa"/>
              <w:right w:w="57" w:type="dxa"/>
            </w:tcMar>
            <w:vAlign w:val="center"/>
          </w:tcPr>
          <w:p w14:paraId="1557EA22" w14:textId="77777777" w:rsidR="00EB5913" w:rsidRPr="006623B9" w:rsidRDefault="00EB5913" w:rsidP="00F16E23">
            <w:pPr>
              <w:pStyle w:val="TableText"/>
              <w:spacing w:before="40" w:after="40"/>
              <w:jc w:val="right"/>
            </w:pPr>
            <w:r w:rsidRPr="006623B9">
              <w:rPr>
                <w:rFonts w:eastAsia="Calibri"/>
              </w:rPr>
              <w:t>2.5</w:t>
            </w:r>
          </w:p>
        </w:tc>
        <w:tc>
          <w:tcPr>
            <w:tcW w:w="0" w:type="auto"/>
            <w:shd w:val="clear" w:color="auto" w:fill="FFFFFF"/>
            <w:tcMar>
              <w:top w:w="0" w:type="dxa"/>
              <w:left w:w="57" w:type="dxa"/>
              <w:bottom w:w="0" w:type="dxa"/>
              <w:right w:w="57" w:type="dxa"/>
            </w:tcMar>
            <w:vAlign w:val="center"/>
          </w:tcPr>
          <w:p w14:paraId="68BDDA30"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57" w:type="dxa"/>
              <w:bottom w:w="0" w:type="dxa"/>
              <w:right w:w="57" w:type="dxa"/>
            </w:tcMar>
            <w:vAlign w:val="center"/>
          </w:tcPr>
          <w:p w14:paraId="56685A59" w14:textId="77777777" w:rsidR="00EB5913" w:rsidRPr="006623B9" w:rsidRDefault="00EB5913" w:rsidP="00F16E23">
            <w:pPr>
              <w:pStyle w:val="TableText"/>
              <w:spacing w:before="40" w:after="40"/>
              <w:jc w:val="right"/>
            </w:pPr>
            <w:r w:rsidRPr="006623B9">
              <w:rPr>
                <w:rFonts w:eastAsia="Calibri"/>
              </w:rPr>
              <w:t>57.3</w:t>
            </w:r>
          </w:p>
        </w:tc>
        <w:tc>
          <w:tcPr>
            <w:tcW w:w="0" w:type="auto"/>
            <w:shd w:val="clear" w:color="auto" w:fill="FFFFFF"/>
            <w:tcMar>
              <w:top w:w="0" w:type="dxa"/>
              <w:left w:w="57" w:type="dxa"/>
              <w:bottom w:w="0" w:type="dxa"/>
              <w:right w:w="57" w:type="dxa"/>
            </w:tcMar>
            <w:vAlign w:val="center"/>
          </w:tcPr>
          <w:p w14:paraId="7C5EEC48"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31002FB7" w14:textId="77777777" w:rsidTr="00F16E23">
        <w:tc>
          <w:tcPr>
            <w:tcW w:w="0" w:type="auto"/>
            <w:shd w:val="clear" w:color="auto" w:fill="FFFFFF"/>
            <w:tcMar>
              <w:top w:w="0" w:type="dxa"/>
              <w:left w:w="57" w:type="dxa"/>
              <w:bottom w:w="0" w:type="dxa"/>
              <w:right w:w="57" w:type="dxa"/>
            </w:tcMar>
            <w:vAlign w:val="center"/>
          </w:tcPr>
          <w:p w14:paraId="4B4474BC"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2019</w:t>
            </w:r>
          </w:p>
        </w:tc>
        <w:tc>
          <w:tcPr>
            <w:tcW w:w="567" w:type="dxa"/>
            <w:shd w:val="clear" w:color="auto" w:fill="FFFFFF"/>
            <w:tcMar>
              <w:top w:w="0" w:type="dxa"/>
              <w:left w:w="57" w:type="dxa"/>
              <w:bottom w:w="0" w:type="dxa"/>
              <w:right w:w="57" w:type="dxa"/>
            </w:tcMar>
            <w:vAlign w:val="center"/>
          </w:tcPr>
          <w:p w14:paraId="1C3F31B5" w14:textId="77777777" w:rsidR="00EB5913" w:rsidRPr="006623B9" w:rsidRDefault="00EB5913" w:rsidP="00F16E23">
            <w:pPr>
              <w:pStyle w:val="TableText"/>
              <w:spacing w:before="40" w:after="40"/>
              <w:jc w:val="right"/>
            </w:pPr>
            <w:r w:rsidRPr="006623B9">
              <w:rPr>
                <w:rFonts w:eastAsia="Calibri"/>
              </w:rPr>
              <w:t>9.0</w:t>
            </w:r>
          </w:p>
        </w:tc>
        <w:tc>
          <w:tcPr>
            <w:tcW w:w="794" w:type="dxa"/>
            <w:shd w:val="clear" w:color="auto" w:fill="FFFFFF"/>
            <w:tcMar>
              <w:top w:w="0" w:type="dxa"/>
              <w:left w:w="57" w:type="dxa"/>
              <w:bottom w:w="0" w:type="dxa"/>
              <w:right w:w="57" w:type="dxa"/>
            </w:tcMar>
            <w:vAlign w:val="center"/>
          </w:tcPr>
          <w:p w14:paraId="3F62A553" w14:textId="77777777" w:rsidR="00EB5913" w:rsidRPr="006623B9" w:rsidRDefault="00EB5913" w:rsidP="00F16E23">
            <w:pPr>
              <w:pStyle w:val="TableText"/>
              <w:spacing w:before="40" w:after="40"/>
              <w:jc w:val="right"/>
            </w:pPr>
            <w:r w:rsidRPr="006623B9">
              <w:rPr>
                <w:rFonts w:eastAsia="Calibri"/>
              </w:rPr>
              <w:t>5.7</w:t>
            </w:r>
          </w:p>
        </w:tc>
        <w:tc>
          <w:tcPr>
            <w:tcW w:w="794" w:type="dxa"/>
            <w:shd w:val="clear" w:color="auto" w:fill="FFFFFF"/>
            <w:tcMar>
              <w:top w:w="0" w:type="dxa"/>
              <w:left w:w="57" w:type="dxa"/>
              <w:bottom w:w="0" w:type="dxa"/>
              <w:right w:w="57" w:type="dxa"/>
            </w:tcMar>
            <w:vAlign w:val="center"/>
          </w:tcPr>
          <w:p w14:paraId="466D4050" w14:textId="77777777" w:rsidR="00EB5913" w:rsidRPr="006623B9" w:rsidRDefault="00EB5913" w:rsidP="00F16E23">
            <w:pPr>
              <w:pStyle w:val="TableText"/>
              <w:spacing w:before="40" w:after="40"/>
              <w:jc w:val="right"/>
            </w:pPr>
            <w:r w:rsidRPr="006623B9">
              <w:rPr>
                <w:rFonts w:eastAsia="Calibri"/>
              </w:rPr>
              <w:t>5.9</w:t>
            </w:r>
          </w:p>
        </w:tc>
        <w:tc>
          <w:tcPr>
            <w:tcW w:w="0" w:type="auto"/>
            <w:shd w:val="clear" w:color="auto" w:fill="FFFFFF"/>
            <w:tcMar>
              <w:top w:w="0" w:type="dxa"/>
              <w:left w:w="57" w:type="dxa"/>
              <w:bottom w:w="0" w:type="dxa"/>
              <w:right w:w="57" w:type="dxa"/>
            </w:tcMar>
            <w:vAlign w:val="center"/>
          </w:tcPr>
          <w:p w14:paraId="68490AC3" w14:textId="77777777" w:rsidR="00EB5913" w:rsidRPr="006623B9" w:rsidRDefault="00EB5913" w:rsidP="00F16E23">
            <w:pPr>
              <w:pStyle w:val="TableText"/>
              <w:spacing w:before="40" w:after="40"/>
              <w:jc w:val="right"/>
            </w:pPr>
            <w:r w:rsidRPr="006623B9">
              <w:rPr>
                <w:rFonts w:eastAsia="Calibri"/>
              </w:rPr>
              <w:t>12.6</w:t>
            </w:r>
          </w:p>
        </w:tc>
        <w:tc>
          <w:tcPr>
            <w:tcW w:w="0" w:type="auto"/>
            <w:shd w:val="clear" w:color="auto" w:fill="FFFFFF"/>
            <w:tcMar>
              <w:top w:w="0" w:type="dxa"/>
              <w:left w:w="57" w:type="dxa"/>
              <w:bottom w:w="0" w:type="dxa"/>
              <w:right w:w="57" w:type="dxa"/>
            </w:tcMar>
            <w:vAlign w:val="center"/>
          </w:tcPr>
          <w:p w14:paraId="552EC28A"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57" w:type="dxa"/>
              <w:bottom w:w="0" w:type="dxa"/>
              <w:right w:w="57" w:type="dxa"/>
            </w:tcMar>
            <w:vAlign w:val="center"/>
          </w:tcPr>
          <w:p w14:paraId="7DEA10F4" w14:textId="77777777" w:rsidR="00EB5913" w:rsidRPr="006623B9" w:rsidRDefault="00EB5913" w:rsidP="00F16E23">
            <w:pPr>
              <w:pStyle w:val="TableText"/>
              <w:spacing w:before="40" w:after="40"/>
              <w:jc w:val="right"/>
            </w:pPr>
            <w:r w:rsidRPr="006623B9">
              <w:rPr>
                <w:rFonts w:eastAsia="Calibri"/>
              </w:rPr>
              <w:t>2.5</w:t>
            </w:r>
          </w:p>
        </w:tc>
        <w:tc>
          <w:tcPr>
            <w:tcW w:w="0" w:type="auto"/>
            <w:shd w:val="clear" w:color="auto" w:fill="FFFFFF"/>
            <w:tcMar>
              <w:top w:w="0" w:type="dxa"/>
              <w:left w:w="57" w:type="dxa"/>
              <w:bottom w:w="0" w:type="dxa"/>
              <w:right w:w="57" w:type="dxa"/>
            </w:tcMar>
            <w:vAlign w:val="center"/>
          </w:tcPr>
          <w:p w14:paraId="17996544"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57" w:type="dxa"/>
              <w:bottom w:w="0" w:type="dxa"/>
              <w:right w:w="57" w:type="dxa"/>
            </w:tcMar>
            <w:vAlign w:val="center"/>
          </w:tcPr>
          <w:p w14:paraId="72CEA8A8" w14:textId="77777777" w:rsidR="00EB5913" w:rsidRPr="006623B9" w:rsidRDefault="00EB5913" w:rsidP="00F16E23">
            <w:pPr>
              <w:pStyle w:val="TableText"/>
              <w:spacing w:before="40" w:after="40"/>
              <w:jc w:val="right"/>
            </w:pPr>
            <w:r w:rsidRPr="006623B9">
              <w:rPr>
                <w:rFonts w:eastAsia="Calibri"/>
              </w:rPr>
              <w:t>57.3</w:t>
            </w:r>
          </w:p>
        </w:tc>
        <w:tc>
          <w:tcPr>
            <w:tcW w:w="0" w:type="auto"/>
            <w:shd w:val="clear" w:color="auto" w:fill="FFFFFF"/>
            <w:tcMar>
              <w:top w:w="0" w:type="dxa"/>
              <w:left w:w="57" w:type="dxa"/>
              <w:bottom w:w="0" w:type="dxa"/>
              <w:right w:w="57" w:type="dxa"/>
            </w:tcMar>
            <w:vAlign w:val="center"/>
          </w:tcPr>
          <w:p w14:paraId="7D2935C1"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0F8A6508" w14:textId="77777777" w:rsidTr="00F16E23">
        <w:tc>
          <w:tcPr>
            <w:tcW w:w="0" w:type="auto"/>
            <w:shd w:val="clear" w:color="auto" w:fill="FFFFFF"/>
            <w:tcMar>
              <w:top w:w="0" w:type="dxa"/>
              <w:left w:w="57" w:type="dxa"/>
              <w:bottom w:w="0" w:type="dxa"/>
              <w:right w:w="57" w:type="dxa"/>
            </w:tcMar>
            <w:vAlign w:val="center"/>
          </w:tcPr>
          <w:p w14:paraId="6F334A08"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2020</w:t>
            </w:r>
          </w:p>
        </w:tc>
        <w:tc>
          <w:tcPr>
            <w:tcW w:w="567" w:type="dxa"/>
            <w:shd w:val="clear" w:color="auto" w:fill="FFFFFF"/>
            <w:tcMar>
              <w:top w:w="0" w:type="dxa"/>
              <w:left w:w="57" w:type="dxa"/>
              <w:bottom w:w="0" w:type="dxa"/>
              <w:right w:w="57" w:type="dxa"/>
            </w:tcMar>
            <w:vAlign w:val="center"/>
          </w:tcPr>
          <w:p w14:paraId="1DAC0AD9" w14:textId="77777777" w:rsidR="00EB5913" w:rsidRPr="006623B9" w:rsidRDefault="00EB5913" w:rsidP="00F16E23">
            <w:pPr>
              <w:pStyle w:val="TableText"/>
              <w:spacing w:before="40" w:after="40"/>
              <w:jc w:val="right"/>
            </w:pPr>
            <w:r w:rsidRPr="006623B9">
              <w:rPr>
                <w:rFonts w:eastAsia="Calibri"/>
              </w:rPr>
              <w:t>9.0</w:t>
            </w:r>
          </w:p>
        </w:tc>
        <w:tc>
          <w:tcPr>
            <w:tcW w:w="794" w:type="dxa"/>
            <w:shd w:val="clear" w:color="auto" w:fill="FFFFFF"/>
            <w:tcMar>
              <w:top w:w="0" w:type="dxa"/>
              <w:left w:w="57" w:type="dxa"/>
              <w:bottom w:w="0" w:type="dxa"/>
              <w:right w:w="57" w:type="dxa"/>
            </w:tcMar>
            <w:vAlign w:val="center"/>
          </w:tcPr>
          <w:p w14:paraId="6C28D6B5" w14:textId="77777777" w:rsidR="00EB5913" w:rsidRPr="006623B9" w:rsidRDefault="00EB5913" w:rsidP="00F16E23">
            <w:pPr>
              <w:pStyle w:val="TableText"/>
              <w:spacing w:before="40" w:after="40"/>
              <w:jc w:val="right"/>
            </w:pPr>
            <w:r w:rsidRPr="006623B9">
              <w:rPr>
                <w:rFonts w:eastAsia="Calibri"/>
              </w:rPr>
              <w:t>5.7</w:t>
            </w:r>
          </w:p>
        </w:tc>
        <w:tc>
          <w:tcPr>
            <w:tcW w:w="794" w:type="dxa"/>
            <w:shd w:val="clear" w:color="auto" w:fill="FFFFFF"/>
            <w:tcMar>
              <w:top w:w="0" w:type="dxa"/>
              <w:left w:w="57" w:type="dxa"/>
              <w:bottom w:w="0" w:type="dxa"/>
              <w:right w:w="57" w:type="dxa"/>
            </w:tcMar>
            <w:vAlign w:val="center"/>
          </w:tcPr>
          <w:p w14:paraId="75C1E093" w14:textId="77777777" w:rsidR="00EB5913" w:rsidRPr="006623B9" w:rsidRDefault="00EB5913" w:rsidP="00F16E23">
            <w:pPr>
              <w:pStyle w:val="TableText"/>
              <w:spacing w:before="40" w:after="40"/>
              <w:jc w:val="right"/>
            </w:pPr>
            <w:r w:rsidRPr="006623B9">
              <w:rPr>
                <w:rFonts w:eastAsia="Calibri"/>
              </w:rPr>
              <w:t>5.9</w:t>
            </w:r>
          </w:p>
        </w:tc>
        <w:tc>
          <w:tcPr>
            <w:tcW w:w="0" w:type="auto"/>
            <w:shd w:val="clear" w:color="auto" w:fill="FFFFFF"/>
            <w:tcMar>
              <w:top w:w="0" w:type="dxa"/>
              <w:left w:w="57" w:type="dxa"/>
              <w:bottom w:w="0" w:type="dxa"/>
              <w:right w:w="57" w:type="dxa"/>
            </w:tcMar>
            <w:vAlign w:val="center"/>
          </w:tcPr>
          <w:p w14:paraId="29D16D4D" w14:textId="77777777" w:rsidR="00EB5913" w:rsidRPr="006623B9" w:rsidRDefault="00EB5913" w:rsidP="00F16E23">
            <w:pPr>
              <w:pStyle w:val="TableText"/>
              <w:spacing w:before="40" w:after="40"/>
              <w:jc w:val="right"/>
            </w:pPr>
            <w:r w:rsidRPr="006623B9">
              <w:rPr>
                <w:rFonts w:eastAsia="Calibri"/>
              </w:rPr>
              <w:t>12.6</w:t>
            </w:r>
          </w:p>
        </w:tc>
        <w:tc>
          <w:tcPr>
            <w:tcW w:w="0" w:type="auto"/>
            <w:shd w:val="clear" w:color="auto" w:fill="FFFFFF"/>
            <w:tcMar>
              <w:top w:w="0" w:type="dxa"/>
              <w:left w:w="57" w:type="dxa"/>
              <w:bottom w:w="0" w:type="dxa"/>
              <w:right w:w="57" w:type="dxa"/>
            </w:tcMar>
            <w:vAlign w:val="center"/>
          </w:tcPr>
          <w:p w14:paraId="625AED3A"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57" w:type="dxa"/>
              <w:bottom w:w="0" w:type="dxa"/>
              <w:right w:w="57" w:type="dxa"/>
            </w:tcMar>
            <w:vAlign w:val="center"/>
          </w:tcPr>
          <w:p w14:paraId="554BA422" w14:textId="77777777" w:rsidR="00EB5913" w:rsidRPr="006623B9" w:rsidRDefault="00EB5913" w:rsidP="00F16E23">
            <w:pPr>
              <w:pStyle w:val="TableText"/>
              <w:spacing w:before="40" w:after="40"/>
              <w:jc w:val="right"/>
            </w:pPr>
            <w:r w:rsidRPr="006623B9">
              <w:rPr>
                <w:rFonts w:eastAsia="Calibri"/>
              </w:rPr>
              <w:t>2.5</w:t>
            </w:r>
          </w:p>
        </w:tc>
        <w:tc>
          <w:tcPr>
            <w:tcW w:w="0" w:type="auto"/>
            <w:shd w:val="clear" w:color="auto" w:fill="FFFFFF"/>
            <w:tcMar>
              <w:top w:w="0" w:type="dxa"/>
              <w:left w:w="57" w:type="dxa"/>
              <w:bottom w:w="0" w:type="dxa"/>
              <w:right w:w="57" w:type="dxa"/>
            </w:tcMar>
            <w:vAlign w:val="center"/>
          </w:tcPr>
          <w:p w14:paraId="51E492ED"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57" w:type="dxa"/>
              <w:bottom w:w="0" w:type="dxa"/>
              <w:right w:w="57" w:type="dxa"/>
            </w:tcMar>
            <w:vAlign w:val="center"/>
          </w:tcPr>
          <w:p w14:paraId="48E5817D" w14:textId="77777777" w:rsidR="00EB5913" w:rsidRPr="006623B9" w:rsidRDefault="00EB5913" w:rsidP="00F16E23">
            <w:pPr>
              <w:pStyle w:val="TableText"/>
              <w:spacing w:before="40" w:after="40"/>
              <w:jc w:val="right"/>
            </w:pPr>
            <w:r w:rsidRPr="006623B9">
              <w:rPr>
                <w:rFonts w:eastAsia="Calibri"/>
              </w:rPr>
              <w:t>57.3</w:t>
            </w:r>
          </w:p>
        </w:tc>
        <w:tc>
          <w:tcPr>
            <w:tcW w:w="0" w:type="auto"/>
            <w:shd w:val="clear" w:color="auto" w:fill="FFFFFF"/>
            <w:tcMar>
              <w:top w:w="0" w:type="dxa"/>
              <w:left w:w="57" w:type="dxa"/>
              <w:bottom w:w="0" w:type="dxa"/>
              <w:right w:w="57" w:type="dxa"/>
            </w:tcMar>
            <w:vAlign w:val="center"/>
          </w:tcPr>
          <w:p w14:paraId="27A567C3" w14:textId="77777777" w:rsidR="00EB5913" w:rsidRPr="006623B9" w:rsidRDefault="00EB5913" w:rsidP="00F16E23">
            <w:pPr>
              <w:pStyle w:val="TableText"/>
              <w:spacing w:before="40" w:after="40"/>
            </w:pPr>
            <w:r w:rsidRPr="006623B9">
              <w:rPr>
                <w:rFonts w:eastAsia="Calibri"/>
              </w:rPr>
              <w:t>Assumed same as 2019</w:t>
            </w:r>
          </w:p>
        </w:tc>
      </w:tr>
      <w:tr w:rsidR="00EB5913" w:rsidRPr="006623B9" w14:paraId="3F80AD53" w14:textId="77777777" w:rsidTr="00F16E23">
        <w:tc>
          <w:tcPr>
            <w:tcW w:w="0" w:type="auto"/>
            <w:shd w:val="clear" w:color="auto" w:fill="FFFFFF"/>
            <w:tcMar>
              <w:top w:w="0" w:type="dxa"/>
              <w:left w:w="57" w:type="dxa"/>
              <w:bottom w:w="0" w:type="dxa"/>
              <w:right w:w="57" w:type="dxa"/>
            </w:tcMar>
            <w:vAlign w:val="center"/>
          </w:tcPr>
          <w:p w14:paraId="4B52986E"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2021</w:t>
            </w:r>
          </w:p>
        </w:tc>
        <w:tc>
          <w:tcPr>
            <w:tcW w:w="567" w:type="dxa"/>
            <w:shd w:val="clear" w:color="auto" w:fill="FFFFFF"/>
            <w:tcMar>
              <w:top w:w="0" w:type="dxa"/>
              <w:left w:w="57" w:type="dxa"/>
              <w:bottom w:w="0" w:type="dxa"/>
              <w:right w:w="57" w:type="dxa"/>
            </w:tcMar>
            <w:vAlign w:val="center"/>
          </w:tcPr>
          <w:p w14:paraId="3AAE9A77" w14:textId="77777777" w:rsidR="00EB5913" w:rsidRPr="006623B9" w:rsidRDefault="00EB5913" w:rsidP="00F16E23">
            <w:pPr>
              <w:pStyle w:val="TableText"/>
              <w:spacing w:before="40" w:after="40"/>
              <w:jc w:val="right"/>
            </w:pPr>
            <w:r w:rsidRPr="006623B9">
              <w:rPr>
                <w:rFonts w:eastAsia="Calibri"/>
              </w:rPr>
              <w:t>9.0</w:t>
            </w:r>
          </w:p>
        </w:tc>
        <w:tc>
          <w:tcPr>
            <w:tcW w:w="794" w:type="dxa"/>
            <w:shd w:val="clear" w:color="auto" w:fill="FFFFFF"/>
            <w:tcMar>
              <w:top w:w="0" w:type="dxa"/>
              <w:left w:w="57" w:type="dxa"/>
              <w:bottom w:w="0" w:type="dxa"/>
              <w:right w:w="57" w:type="dxa"/>
            </w:tcMar>
            <w:vAlign w:val="center"/>
          </w:tcPr>
          <w:p w14:paraId="57688D4A" w14:textId="77777777" w:rsidR="00EB5913" w:rsidRPr="006623B9" w:rsidRDefault="00EB5913" w:rsidP="00F16E23">
            <w:pPr>
              <w:pStyle w:val="TableText"/>
              <w:spacing w:before="40" w:after="40"/>
              <w:jc w:val="right"/>
            </w:pPr>
            <w:r w:rsidRPr="006623B9">
              <w:rPr>
                <w:rFonts w:eastAsia="Calibri"/>
              </w:rPr>
              <w:t>5.7</w:t>
            </w:r>
          </w:p>
        </w:tc>
        <w:tc>
          <w:tcPr>
            <w:tcW w:w="794" w:type="dxa"/>
            <w:shd w:val="clear" w:color="auto" w:fill="FFFFFF"/>
            <w:tcMar>
              <w:top w:w="0" w:type="dxa"/>
              <w:left w:w="57" w:type="dxa"/>
              <w:bottom w:w="0" w:type="dxa"/>
              <w:right w:w="57" w:type="dxa"/>
            </w:tcMar>
            <w:vAlign w:val="center"/>
          </w:tcPr>
          <w:p w14:paraId="6101235A" w14:textId="77777777" w:rsidR="00EB5913" w:rsidRPr="006623B9" w:rsidRDefault="00EB5913" w:rsidP="00F16E23">
            <w:pPr>
              <w:pStyle w:val="TableText"/>
              <w:spacing w:before="40" w:after="40"/>
              <w:jc w:val="right"/>
            </w:pPr>
            <w:r w:rsidRPr="006623B9">
              <w:rPr>
                <w:rFonts w:eastAsia="Calibri"/>
              </w:rPr>
              <w:t>5.9</w:t>
            </w:r>
          </w:p>
        </w:tc>
        <w:tc>
          <w:tcPr>
            <w:tcW w:w="0" w:type="auto"/>
            <w:shd w:val="clear" w:color="auto" w:fill="FFFFFF"/>
            <w:tcMar>
              <w:top w:w="0" w:type="dxa"/>
              <w:left w:w="57" w:type="dxa"/>
              <w:bottom w:w="0" w:type="dxa"/>
              <w:right w:w="57" w:type="dxa"/>
            </w:tcMar>
            <w:vAlign w:val="center"/>
          </w:tcPr>
          <w:p w14:paraId="03B61AE0" w14:textId="77777777" w:rsidR="00EB5913" w:rsidRPr="006623B9" w:rsidRDefault="00EB5913" w:rsidP="00F16E23">
            <w:pPr>
              <w:pStyle w:val="TableText"/>
              <w:spacing w:before="40" w:after="40"/>
              <w:jc w:val="right"/>
            </w:pPr>
            <w:r w:rsidRPr="006623B9">
              <w:rPr>
                <w:rFonts w:eastAsia="Calibri"/>
              </w:rPr>
              <w:t>12.6</w:t>
            </w:r>
          </w:p>
        </w:tc>
        <w:tc>
          <w:tcPr>
            <w:tcW w:w="0" w:type="auto"/>
            <w:shd w:val="clear" w:color="auto" w:fill="FFFFFF"/>
            <w:tcMar>
              <w:top w:w="0" w:type="dxa"/>
              <w:left w:w="57" w:type="dxa"/>
              <w:bottom w:w="0" w:type="dxa"/>
              <w:right w:w="57" w:type="dxa"/>
            </w:tcMar>
            <w:vAlign w:val="center"/>
          </w:tcPr>
          <w:p w14:paraId="7C31BB6B"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57" w:type="dxa"/>
              <w:bottom w:w="0" w:type="dxa"/>
              <w:right w:w="57" w:type="dxa"/>
            </w:tcMar>
            <w:vAlign w:val="center"/>
          </w:tcPr>
          <w:p w14:paraId="1AEFF2FB" w14:textId="77777777" w:rsidR="00EB5913" w:rsidRPr="006623B9" w:rsidRDefault="00EB5913" w:rsidP="00F16E23">
            <w:pPr>
              <w:pStyle w:val="TableText"/>
              <w:spacing w:before="40" w:after="40"/>
              <w:jc w:val="right"/>
            </w:pPr>
            <w:r w:rsidRPr="006623B9">
              <w:rPr>
                <w:rFonts w:eastAsia="Calibri"/>
              </w:rPr>
              <w:t>2.5</w:t>
            </w:r>
          </w:p>
        </w:tc>
        <w:tc>
          <w:tcPr>
            <w:tcW w:w="0" w:type="auto"/>
            <w:shd w:val="clear" w:color="auto" w:fill="FFFFFF"/>
            <w:tcMar>
              <w:top w:w="0" w:type="dxa"/>
              <w:left w:w="57" w:type="dxa"/>
              <w:bottom w:w="0" w:type="dxa"/>
              <w:right w:w="57" w:type="dxa"/>
            </w:tcMar>
            <w:vAlign w:val="center"/>
          </w:tcPr>
          <w:p w14:paraId="02494B73"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57" w:type="dxa"/>
              <w:bottom w:w="0" w:type="dxa"/>
              <w:right w:w="57" w:type="dxa"/>
            </w:tcMar>
            <w:vAlign w:val="center"/>
          </w:tcPr>
          <w:p w14:paraId="50E01A19" w14:textId="77777777" w:rsidR="00EB5913" w:rsidRPr="006623B9" w:rsidRDefault="00EB5913" w:rsidP="00F16E23">
            <w:pPr>
              <w:pStyle w:val="TableText"/>
              <w:spacing w:before="40" w:after="40"/>
              <w:jc w:val="right"/>
            </w:pPr>
            <w:r w:rsidRPr="006623B9">
              <w:rPr>
                <w:rFonts w:eastAsia="Calibri"/>
              </w:rPr>
              <w:t>57.3</w:t>
            </w:r>
          </w:p>
        </w:tc>
        <w:tc>
          <w:tcPr>
            <w:tcW w:w="0" w:type="auto"/>
            <w:shd w:val="clear" w:color="auto" w:fill="FFFFFF"/>
            <w:tcMar>
              <w:top w:w="0" w:type="dxa"/>
              <w:left w:w="57" w:type="dxa"/>
              <w:bottom w:w="0" w:type="dxa"/>
              <w:right w:w="57" w:type="dxa"/>
            </w:tcMar>
            <w:vAlign w:val="center"/>
          </w:tcPr>
          <w:p w14:paraId="40560814"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71A2317E" w14:textId="77777777" w:rsidTr="00F16E23">
        <w:tc>
          <w:tcPr>
            <w:tcW w:w="0" w:type="auto"/>
            <w:shd w:val="clear" w:color="auto" w:fill="FFFFFF"/>
            <w:tcMar>
              <w:top w:w="0" w:type="dxa"/>
              <w:left w:w="57" w:type="dxa"/>
              <w:bottom w:w="0" w:type="dxa"/>
              <w:right w:w="57" w:type="dxa"/>
            </w:tcMar>
            <w:vAlign w:val="center"/>
          </w:tcPr>
          <w:p w14:paraId="46861C9F"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2022</w:t>
            </w:r>
          </w:p>
        </w:tc>
        <w:tc>
          <w:tcPr>
            <w:tcW w:w="567" w:type="dxa"/>
            <w:shd w:val="clear" w:color="auto" w:fill="FFFFFF"/>
            <w:tcMar>
              <w:top w:w="0" w:type="dxa"/>
              <w:left w:w="57" w:type="dxa"/>
              <w:bottom w:w="0" w:type="dxa"/>
              <w:right w:w="57" w:type="dxa"/>
            </w:tcMar>
            <w:vAlign w:val="center"/>
          </w:tcPr>
          <w:p w14:paraId="2204E6F1" w14:textId="77777777" w:rsidR="00EB5913" w:rsidRPr="006623B9" w:rsidRDefault="00EB5913" w:rsidP="00F16E23">
            <w:pPr>
              <w:pStyle w:val="TableText"/>
              <w:spacing w:before="40" w:after="40"/>
              <w:jc w:val="right"/>
            </w:pPr>
            <w:r w:rsidRPr="006623B9">
              <w:rPr>
                <w:rFonts w:eastAsia="Calibri"/>
              </w:rPr>
              <w:t>9.0</w:t>
            </w:r>
          </w:p>
        </w:tc>
        <w:tc>
          <w:tcPr>
            <w:tcW w:w="794" w:type="dxa"/>
            <w:shd w:val="clear" w:color="auto" w:fill="FFFFFF"/>
            <w:tcMar>
              <w:top w:w="0" w:type="dxa"/>
              <w:left w:w="57" w:type="dxa"/>
              <w:bottom w:w="0" w:type="dxa"/>
              <w:right w:w="57" w:type="dxa"/>
            </w:tcMar>
            <w:vAlign w:val="center"/>
          </w:tcPr>
          <w:p w14:paraId="311C6399" w14:textId="77777777" w:rsidR="00EB5913" w:rsidRPr="006623B9" w:rsidRDefault="00EB5913" w:rsidP="00F16E23">
            <w:pPr>
              <w:pStyle w:val="TableText"/>
              <w:spacing w:before="40" w:after="40"/>
              <w:jc w:val="right"/>
            </w:pPr>
            <w:r w:rsidRPr="006623B9">
              <w:rPr>
                <w:rFonts w:eastAsia="Calibri"/>
              </w:rPr>
              <w:t>5.7</w:t>
            </w:r>
          </w:p>
        </w:tc>
        <w:tc>
          <w:tcPr>
            <w:tcW w:w="794" w:type="dxa"/>
            <w:shd w:val="clear" w:color="auto" w:fill="FFFFFF"/>
            <w:tcMar>
              <w:top w:w="0" w:type="dxa"/>
              <w:left w:w="57" w:type="dxa"/>
              <w:bottom w:w="0" w:type="dxa"/>
              <w:right w:w="57" w:type="dxa"/>
            </w:tcMar>
            <w:vAlign w:val="center"/>
          </w:tcPr>
          <w:p w14:paraId="2925B954" w14:textId="77777777" w:rsidR="00EB5913" w:rsidRPr="006623B9" w:rsidRDefault="00EB5913" w:rsidP="00F16E23">
            <w:pPr>
              <w:pStyle w:val="TableText"/>
              <w:spacing w:before="40" w:after="40"/>
              <w:jc w:val="right"/>
            </w:pPr>
            <w:r w:rsidRPr="006623B9">
              <w:rPr>
                <w:rFonts w:eastAsia="Calibri"/>
              </w:rPr>
              <w:t>5.9</w:t>
            </w:r>
          </w:p>
        </w:tc>
        <w:tc>
          <w:tcPr>
            <w:tcW w:w="0" w:type="auto"/>
            <w:shd w:val="clear" w:color="auto" w:fill="FFFFFF"/>
            <w:tcMar>
              <w:top w:w="0" w:type="dxa"/>
              <w:left w:w="57" w:type="dxa"/>
              <w:bottom w:w="0" w:type="dxa"/>
              <w:right w:w="57" w:type="dxa"/>
            </w:tcMar>
            <w:vAlign w:val="center"/>
          </w:tcPr>
          <w:p w14:paraId="27438FB4" w14:textId="77777777" w:rsidR="00EB5913" w:rsidRPr="006623B9" w:rsidRDefault="00EB5913" w:rsidP="00F16E23">
            <w:pPr>
              <w:pStyle w:val="TableText"/>
              <w:spacing w:before="40" w:after="40"/>
              <w:jc w:val="right"/>
            </w:pPr>
            <w:r w:rsidRPr="006623B9">
              <w:rPr>
                <w:rFonts w:eastAsia="Calibri"/>
              </w:rPr>
              <w:t>12.6</w:t>
            </w:r>
          </w:p>
        </w:tc>
        <w:tc>
          <w:tcPr>
            <w:tcW w:w="0" w:type="auto"/>
            <w:shd w:val="clear" w:color="auto" w:fill="FFFFFF"/>
            <w:tcMar>
              <w:top w:w="0" w:type="dxa"/>
              <w:left w:w="57" w:type="dxa"/>
              <w:bottom w:w="0" w:type="dxa"/>
              <w:right w:w="57" w:type="dxa"/>
            </w:tcMar>
            <w:vAlign w:val="center"/>
          </w:tcPr>
          <w:p w14:paraId="65ECAB1B"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57" w:type="dxa"/>
              <w:bottom w:w="0" w:type="dxa"/>
              <w:right w:w="57" w:type="dxa"/>
            </w:tcMar>
            <w:vAlign w:val="center"/>
          </w:tcPr>
          <w:p w14:paraId="436D05EC" w14:textId="77777777" w:rsidR="00EB5913" w:rsidRPr="006623B9" w:rsidRDefault="00EB5913" w:rsidP="00F16E23">
            <w:pPr>
              <w:pStyle w:val="TableText"/>
              <w:spacing w:before="40" w:after="40"/>
              <w:jc w:val="right"/>
            </w:pPr>
            <w:r w:rsidRPr="006623B9">
              <w:rPr>
                <w:rFonts w:eastAsia="Calibri"/>
              </w:rPr>
              <w:t>2.5</w:t>
            </w:r>
          </w:p>
        </w:tc>
        <w:tc>
          <w:tcPr>
            <w:tcW w:w="0" w:type="auto"/>
            <w:shd w:val="clear" w:color="auto" w:fill="FFFFFF"/>
            <w:tcMar>
              <w:top w:w="0" w:type="dxa"/>
              <w:left w:w="57" w:type="dxa"/>
              <w:bottom w:w="0" w:type="dxa"/>
              <w:right w:w="57" w:type="dxa"/>
            </w:tcMar>
            <w:vAlign w:val="center"/>
          </w:tcPr>
          <w:p w14:paraId="488903C7"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57" w:type="dxa"/>
              <w:bottom w:w="0" w:type="dxa"/>
              <w:right w:w="57" w:type="dxa"/>
            </w:tcMar>
            <w:vAlign w:val="center"/>
          </w:tcPr>
          <w:p w14:paraId="4B62C95A" w14:textId="77777777" w:rsidR="00EB5913" w:rsidRPr="006623B9" w:rsidRDefault="00EB5913" w:rsidP="00F16E23">
            <w:pPr>
              <w:pStyle w:val="TableText"/>
              <w:spacing w:before="40" w:after="40"/>
              <w:jc w:val="right"/>
            </w:pPr>
            <w:r w:rsidRPr="006623B9">
              <w:rPr>
                <w:rFonts w:eastAsia="Calibri"/>
              </w:rPr>
              <w:t>57.3</w:t>
            </w:r>
          </w:p>
        </w:tc>
        <w:tc>
          <w:tcPr>
            <w:tcW w:w="0" w:type="auto"/>
            <w:shd w:val="clear" w:color="auto" w:fill="FFFFFF"/>
            <w:tcMar>
              <w:top w:w="0" w:type="dxa"/>
              <w:left w:w="57" w:type="dxa"/>
              <w:bottom w:w="0" w:type="dxa"/>
              <w:right w:w="57" w:type="dxa"/>
            </w:tcMar>
            <w:vAlign w:val="center"/>
          </w:tcPr>
          <w:p w14:paraId="27D3564B"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2381F26A" w14:textId="77777777" w:rsidTr="00F16E23">
        <w:tc>
          <w:tcPr>
            <w:tcW w:w="0" w:type="auto"/>
            <w:shd w:val="clear" w:color="auto" w:fill="FFFFFF"/>
            <w:tcMar>
              <w:top w:w="0" w:type="dxa"/>
              <w:left w:w="57" w:type="dxa"/>
              <w:bottom w:w="0" w:type="dxa"/>
              <w:right w:w="57" w:type="dxa"/>
            </w:tcMar>
            <w:vAlign w:val="center"/>
          </w:tcPr>
          <w:p w14:paraId="76519C17"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2023</w:t>
            </w:r>
          </w:p>
        </w:tc>
        <w:tc>
          <w:tcPr>
            <w:tcW w:w="567" w:type="dxa"/>
            <w:shd w:val="clear" w:color="auto" w:fill="FFFFFF"/>
            <w:tcMar>
              <w:top w:w="0" w:type="dxa"/>
              <w:left w:w="57" w:type="dxa"/>
              <w:bottom w:w="0" w:type="dxa"/>
              <w:right w:w="57" w:type="dxa"/>
            </w:tcMar>
            <w:vAlign w:val="center"/>
          </w:tcPr>
          <w:p w14:paraId="33DE1F29" w14:textId="77777777" w:rsidR="00EB5913" w:rsidRPr="006623B9" w:rsidRDefault="00EB5913" w:rsidP="00F16E23">
            <w:pPr>
              <w:pStyle w:val="TableText"/>
              <w:spacing w:before="40" w:after="40"/>
              <w:jc w:val="right"/>
            </w:pPr>
            <w:r w:rsidRPr="006623B9">
              <w:rPr>
                <w:rFonts w:eastAsia="Calibri"/>
              </w:rPr>
              <w:t>9.0</w:t>
            </w:r>
          </w:p>
        </w:tc>
        <w:tc>
          <w:tcPr>
            <w:tcW w:w="794" w:type="dxa"/>
            <w:shd w:val="clear" w:color="auto" w:fill="FFFFFF"/>
            <w:tcMar>
              <w:top w:w="0" w:type="dxa"/>
              <w:left w:w="57" w:type="dxa"/>
              <w:bottom w:w="0" w:type="dxa"/>
              <w:right w:w="57" w:type="dxa"/>
            </w:tcMar>
            <w:vAlign w:val="center"/>
          </w:tcPr>
          <w:p w14:paraId="6B5E24A9" w14:textId="77777777" w:rsidR="00EB5913" w:rsidRPr="006623B9" w:rsidRDefault="00EB5913" w:rsidP="00F16E23">
            <w:pPr>
              <w:pStyle w:val="TableText"/>
              <w:spacing w:before="40" w:after="40"/>
              <w:jc w:val="right"/>
            </w:pPr>
            <w:r w:rsidRPr="006623B9">
              <w:rPr>
                <w:rFonts w:eastAsia="Calibri"/>
              </w:rPr>
              <w:t>5.7</w:t>
            </w:r>
          </w:p>
        </w:tc>
        <w:tc>
          <w:tcPr>
            <w:tcW w:w="794" w:type="dxa"/>
            <w:shd w:val="clear" w:color="auto" w:fill="FFFFFF"/>
            <w:tcMar>
              <w:top w:w="0" w:type="dxa"/>
              <w:left w:w="57" w:type="dxa"/>
              <w:bottom w:w="0" w:type="dxa"/>
              <w:right w:w="57" w:type="dxa"/>
            </w:tcMar>
            <w:vAlign w:val="center"/>
          </w:tcPr>
          <w:p w14:paraId="15B14D26" w14:textId="77777777" w:rsidR="00EB5913" w:rsidRPr="006623B9" w:rsidRDefault="00EB5913" w:rsidP="00F16E23">
            <w:pPr>
              <w:pStyle w:val="TableText"/>
              <w:spacing w:before="40" w:after="40"/>
              <w:jc w:val="right"/>
            </w:pPr>
            <w:r w:rsidRPr="006623B9">
              <w:rPr>
                <w:rFonts w:eastAsia="Calibri"/>
              </w:rPr>
              <w:t>5.9</w:t>
            </w:r>
          </w:p>
        </w:tc>
        <w:tc>
          <w:tcPr>
            <w:tcW w:w="0" w:type="auto"/>
            <w:shd w:val="clear" w:color="auto" w:fill="FFFFFF"/>
            <w:tcMar>
              <w:top w:w="0" w:type="dxa"/>
              <w:left w:w="57" w:type="dxa"/>
              <w:bottom w:w="0" w:type="dxa"/>
              <w:right w:w="57" w:type="dxa"/>
            </w:tcMar>
            <w:vAlign w:val="center"/>
          </w:tcPr>
          <w:p w14:paraId="4DE9780E" w14:textId="77777777" w:rsidR="00EB5913" w:rsidRPr="006623B9" w:rsidRDefault="00EB5913" w:rsidP="00F16E23">
            <w:pPr>
              <w:pStyle w:val="TableText"/>
              <w:spacing w:before="40" w:after="40"/>
              <w:jc w:val="right"/>
            </w:pPr>
            <w:r w:rsidRPr="006623B9">
              <w:rPr>
                <w:rFonts w:eastAsia="Calibri"/>
              </w:rPr>
              <w:t>12.6</w:t>
            </w:r>
          </w:p>
        </w:tc>
        <w:tc>
          <w:tcPr>
            <w:tcW w:w="0" w:type="auto"/>
            <w:shd w:val="clear" w:color="auto" w:fill="FFFFFF"/>
            <w:tcMar>
              <w:top w:w="0" w:type="dxa"/>
              <w:left w:w="57" w:type="dxa"/>
              <w:bottom w:w="0" w:type="dxa"/>
              <w:right w:w="57" w:type="dxa"/>
            </w:tcMar>
            <w:vAlign w:val="center"/>
          </w:tcPr>
          <w:p w14:paraId="10AF9558"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57" w:type="dxa"/>
              <w:bottom w:w="0" w:type="dxa"/>
              <w:right w:w="57" w:type="dxa"/>
            </w:tcMar>
            <w:vAlign w:val="center"/>
          </w:tcPr>
          <w:p w14:paraId="3B0105CB" w14:textId="77777777" w:rsidR="00EB5913" w:rsidRPr="006623B9" w:rsidRDefault="00EB5913" w:rsidP="00F16E23">
            <w:pPr>
              <w:pStyle w:val="TableText"/>
              <w:spacing w:before="40" w:after="40"/>
              <w:jc w:val="right"/>
            </w:pPr>
            <w:r w:rsidRPr="006623B9">
              <w:rPr>
                <w:rFonts w:eastAsia="Calibri"/>
              </w:rPr>
              <w:t>2.5</w:t>
            </w:r>
          </w:p>
        </w:tc>
        <w:tc>
          <w:tcPr>
            <w:tcW w:w="0" w:type="auto"/>
            <w:shd w:val="clear" w:color="auto" w:fill="FFFFFF"/>
            <w:tcMar>
              <w:top w:w="0" w:type="dxa"/>
              <w:left w:w="57" w:type="dxa"/>
              <w:bottom w:w="0" w:type="dxa"/>
              <w:right w:w="57" w:type="dxa"/>
            </w:tcMar>
            <w:vAlign w:val="center"/>
          </w:tcPr>
          <w:p w14:paraId="314818C2"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57" w:type="dxa"/>
              <w:bottom w:w="0" w:type="dxa"/>
              <w:right w:w="57" w:type="dxa"/>
            </w:tcMar>
            <w:vAlign w:val="center"/>
          </w:tcPr>
          <w:p w14:paraId="35EAA66A" w14:textId="77777777" w:rsidR="00EB5913" w:rsidRPr="006623B9" w:rsidRDefault="00EB5913" w:rsidP="00F16E23">
            <w:pPr>
              <w:pStyle w:val="TableText"/>
              <w:spacing w:before="40" w:after="40"/>
              <w:jc w:val="right"/>
            </w:pPr>
            <w:r w:rsidRPr="006623B9">
              <w:rPr>
                <w:rFonts w:eastAsia="Calibri"/>
              </w:rPr>
              <w:t>57.3</w:t>
            </w:r>
          </w:p>
        </w:tc>
        <w:tc>
          <w:tcPr>
            <w:tcW w:w="0" w:type="auto"/>
            <w:shd w:val="clear" w:color="auto" w:fill="FFFFFF"/>
            <w:tcMar>
              <w:top w:w="0" w:type="dxa"/>
              <w:left w:w="57" w:type="dxa"/>
              <w:bottom w:w="0" w:type="dxa"/>
              <w:right w:w="57" w:type="dxa"/>
            </w:tcMar>
            <w:vAlign w:val="center"/>
          </w:tcPr>
          <w:p w14:paraId="05FF057B" w14:textId="77777777" w:rsidR="00EB5913" w:rsidRPr="006623B9" w:rsidRDefault="00EB5913" w:rsidP="00F16E23">
            <w:pPr>
              <w:pStyle w:val="TableText"/>
              <w:spacing w:before="40" w:after="40"/>
            </w:pPr>
            <w:r w:rsidRPr="006623B9">
              <w:rPr>
                <w:rFonts w:eastAsia="Calibri"/>
              </w:rPr>
              <w:t>Based on survey data</w:t>
            </w:r>
          </w:p>
        </w:tc>
      </w:tr>
      <w:tr w:rsidR="00EB5913" w:rsidRPr="006623B9" w14:paraId="6EF6C61A" w14:textId="77777777" w:rsidTr="00F16E23">
        <w:tc>
          <w:tcPr>
            <w:tcW w:w="0" w:type="auto"/>
            <w:shd w:val="clear" w:color="auto" w:fill="FFFFFF"/>
            <w:tcMar>
              <w:top w:w="0" w:type="dxa"/>
              <w:left w:w="57" w:type="dxa"/>
              <w:bottom w:w="0" w:type="dxa"/>
              <w:right w:w="57" w:type="dxa"/>
            </w:tcMar>
            <w:vAlign w:val="center"/>
          </w:tcPr>
          <w:p w14:paraId="4B3D7EDC" w14:textId="77777777" w:rsidR="00EB5913" w:rsidRPr="006623B9" w:rsidRDefault="00EB5913" w:rsidP="00F16E23">
            <w:pPr>
              <w:pStyle w:val="TableTextBold"/>
              <w:spacing w:before="40" w:after="40"/>
              <w:rPr>
                <w:noProof w:val="0"/>
                <w:color w:val="1B556B" w:themeColor="text2"/>
              </w:rPr>
            </w:pPr>
            <w:r w:rsidRPr="006623B9">
              <w:rPr>
                <w:rFonts w:eastAsia="Calibri" w:cs="Calibri"/>
                <w:noProof w:val="0"/>
                <w:color w:val="1B556B" w:themeColor="text2"/>
                <w:szCs w:val="16"/>
              </w:rPr>
              <w:t>2024</w:t>
            </w:r>
          </w:p>
        </w:tc>
        <w:tc>
          <w:tcPr>
            <w:tcW w:w="567" w:type="dxa"/>
            <w:shd w:val="clear" w:color="auto" w:fill="FFFFFF"/>
            <w:tcMar>
              <w:top w:w="0" w:type="dxa"/>
              <w:left w:w="57" w:type="dxa"/>
              <w:bottom w:w="0" w:type="dxa"/>
              <w:right w:w="57" w:type="dxa"/>
            </w:tcMar>
            <w:vAlign w:val="center"/>
          </w:tcPr>
          <w:p w14:paraId="11389A29" w14:textId="77777777" w:rsidR="00EB5913" w:rsidRPr="006623B9" w:rsidRDefault="00EB5913" w:rsidP="00F16E23">
            <w:pPr>
              <w:pStyle w:val="TableText"/>
              <w:spacing w:before="40" w:after="40"/>
              <w:jc w:val="right"/>
            </w:pPr>
            <w:r w:rsidRPr="006623B9">
              <w:rPr>
                <w:rFonts w:eastAsia="Calibri"/>
              </w:rPr>
              <w:t>9.0</w:t>
            </w:r>
          </w:p>
        </w:tc>
        <w:tc>
          <w:tcPr>
            <w:tcW w:w="794" w:type="dxa"/>
            <w:shd w:val="clear" w:color="auto" w:fill="FFFFFF"/>
            <w:tcMar>
              <w:top w:w="0" w:type="dxa"/>
              <w:left w:w="57" w:type="dxa"/>
              <w:bottom w:w="0" w:type="dxa"/>
              <w:right w:w="57" w:type="dxa"/>
            </w:tcMar>
            <w:vAlign w:val="center"/>
          </w:tcPr>
          <w:p w14:paraId="437EE160" w14:textId="77777777" w:rsidR="00EB5913" w:rsidRPr="006623B9" w:rsidRDefault="00EB5913" w:rsidP="00F16E23">
            <w:pPr>
              <w:pStyle w:val="TableText"/>
              <w:spacing w:before="40" w:after="40"/>
              <w:jc w:val="right"/>
            </w:pPr>
            <w:r w:rsidRPr="006623B9">
              <w:rPr>
                <w:rFonts w:eastAsia="Calibri"/>
              </w:rPr>
              <w:t>5.7</w:t>
            </w:r>
          </w:p>
        </w:tc>
        <w:tc>
          <w:tcPr>
            <w:tcW w:w="794" w:type="dxa"/>
            <w:shd w:val="clear" w:color="auto" w:fill="FFFFFF"/>
            <w:tcMar>
              <w:top w:w="0" w:type="dxa"/>
              <w:left w:w="57" w:type="dxa"/>
              <w:bottom w:w="0" w:type="dxa"/>
              <w:right w:w="57" w:type="dxa"/>
            </w:tcMar>
            <w:vAlign w:val="center"/>
          </w:tcPr>
          <w:p w14:paraId="7598E87A" w14:textId="77777777" w:rsidR="00EB5913" w:rsidRPr="006623B9" w:rsidRDefault="00EB5913" w:rsidP="00F16E23">
            <w:pPr>
              <w:pStyle w:val="TableText"/>
              <w:spacing w:before="40" w:after="40"/>
              <w:jc w:val="right"/>
            </w:pPr>
            <w:r w:rsidRPr="006623B9">
              <w:rPr>
                <w:rFonts w:eastAsia="Calibri"/>
              </w:rPr>
              <w:t>5.9</w:t>
            </w:r>
          </w:p>
        </w:tc>
        <w:tc>
          <w:tcPr>
            <w:tcW w:w="0" w:type="auto"/>
            <w:shd w:val="clear" w:color="auto" w:fill="FFFFFF"/>
            <w:tcMar>
              <w:top w:w="0" w:type="dxa"/>
              <w:left w:w="57" w:type="dxa"/>
              <w:bottom w:w="0" w:type="dxa"/>
              <w:right w:w="57" w:type="dxa"/>
            </w:tcMar>
            <w:vAlign w:val="center"/>
          </w:tcPr>
          <w:p w14:paraId="061B90E7" w14:textId="77777777" w:rsidR="00EB5913" w:rsidRPr="006623B9" w:rsidRDefault="00EB5913" w:rsidP="00F16E23">
            <w:pPr>
              <w:pStyle w:val="TableText"/>
              <w:spacing w:before="40" w:after="40"/>
              <w:jc w:val="right"/>
            </w:pPr>
            <w:r w:rsidRPr="006623B9">
              <w:rPr>
                <w:rFonts w:eastAsia="Calibri"/>
              </w:rPr>
              <w:t>12.6</w:t>
            </w:r>
          </w:p>
        </w:tc>
        <w:tc>
          <w:tcPr>
            <w:tcW w:w="0" w:type="auto"/>
            <w:shd w:val="clear" w:color="auto" w:fill="FFFFFF"/>
            <w:tcMar>
              <w:top w:w="0" w:type="dxa"/>
              <w:left w:w="57" w:type="dxa"/>
              <w:bottom w:w="0" w:type="dxa"/>
              <w:right w:w="57" w:type="dxa"/>
            </w:tcMar>
            <w:vAlign w:val="center"/>
          </w:tcPr>
          <w:p w14:paraId="6A9295B4"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57" w:type="dxa"/>
              <w:bottom w:w="0" w:type="dxa"/>
              <w:right w:w="57" w:type="dxa"/>
            </w:tcMar>
            <w:vAlign w:val="center"/>
          </w:tcPr>
          <w:p w14:paraId="1486058B" w14:textId="77777777" w:rsidR="00EB5913" w:rsidRPr="006623B9" w:rsidRDefault="00EB5913" w:rsidP="00F16E23">
            <w:pPr>
              <w:pStyle w:val="TableText"/>
              <w:spacing w:before="40" w:after="40"/>
              <w:jc w:val="right"/>
            </w:pPr>
            <w:r w:rsidRPr="006623B9">
              <w:rPr>
                <w:rFonts w:eastAsia="Calibri"/>
              </w:rPr>
              <w:t>2.5</w:t>
            </w:r>
          </w:p>
        </w:tc>
        <w:tc>
          <w:tcPr>
            <w:tcW w:w="0" w:type="auto"/>
            <w:shd w:val="clear" w:color="auto" w:fill="FFFFFF"/>
            <w:tcMar>
              <w:top w:w="0" w:type="dxa"/>
              <w:left w:w="57" w:type="dxa"/>
              <w:bottom w:w="0" w:type="dxa"/>
              <w:right w:w="57" w:type="dxa"/>
            </w:tcMar>
            <w:vAlign w:val="center"/>
          </w:tcPr>
          <w:p w14:paraId="748F4F3A"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57" w:type="dxa"/>
              <w:bottom w:w="0" w:type="dxa"/>
              <w:right w:w="57" w:type="dxa"/>
            </w:tcMar>
            <w:vAlign w:val="center"/>
          </w:tcPr>
          <w:p w14:paraId="38DF6AF1" w14:textId="77777777" w:rsidR="00EB5913" w:rsidRPr="006623B9" w:rsidRDefault="00EB5913" w:rsidP="00F16E23">
            <w:pPr>
              <w:pStyle w:val="TableText"/>
              <w:spacing w:before="40" w:after="40"/>
              <w:jc w:val="right"/>
            </w:pPr>
            <w:r w:rsidRPr="006623B9">
              <w:rPr>
                <w:rFonts w:eastAsia="Calibri"/>
              </w:rPr>
              <w:t>57.3</w:t>
            </w:r>
          </w:p>
        </w:tc>
        <w:tc>
          <w:tcPr>
            <w:tcW w:w="0" w:type="auto"/>
            <w:shd w:val="clear" w:color="auto" w:fill="FFFFFF"/>
            <w:tcMar>
              <w:top w:w="0" w:type="dxa"/>
              <w:left w:w="57" w:type="dxa"/>
              <w:bottom w:w="0" w:type="dxa"/>
              <w:right w:w="57" w:type="dxa"/>
            </w:tcMar>
            <w:vAlign w:val="center"/>
          </w:tcPr>
          <w:p w14:paraId="6E167797" w14:textId="77777777" w:rsidR="00EB5913" w:rsidRPr="006623B9" w:rsidRDefault="00EB5913" w:rsidP="00F16E23">
            <w:pPr>
              <w:pStyle w:val="TableText"/>
              <w:spacing w:before="40" w:after="40"/>
            </w:pPr>
            <w:r w:rsidRPr="006623B9">
              <w:rPr>
                <w:rFonts w:eastAsia="Calibri"/>
              </w:rPr>
              <w:t>Based on survey data</w:t>
            </w:r>
          </w:p>
        </w:tc>
      </w:tr>
    </w:tbl>
    <w:p w14:paraId="0C1AC32B" w14:textId="77777777" w:rsidR="00EB5913" w:rsidRPr="006623B9" w:rsidRDefault="00EB5913" w:rsidP="00EB5913">
      <w:pPr>
        <w:pStyle w:val="BodyText"/>
        <w:spacing w:before="240"/>
      </w:pPr>
      <w:r w:rsidRPr="006623B9">
        <w:t>Changes in waste composition over time result in varying amounts of DDOC being introduced into landfills. See table 7.2.8 for the specific values used for DDOC and other relevant variables.</w:t>
      </w:r>
    </w:p>
    <w:p w14:paraId="79BDF580" w14:textId="77777777" w:rsidR="00EB5913" w:rsidRPr="006623B9" w:rsidRDefault="00EB5913" w:rsidP="00EB5913">
      <w:pPr>
        <w:pStyle w:val="Heading6"/>
      </w:pPr>
      <w:bookmarkStart w:id="3030" w:name="Xde5f86123d5b1c6488ba174a8cdadcc583b2b20"/>
      <w:bookmarkEnd w:id="3028"/>
      <w:r w:rsidRPr="006623B9">
        <w:t>Methane correction factor, oxidation factor and fraction of methane in landfill gas (F)</w:t>
      </w:r>
    </w:p>
    <w:p w14:paraId="07802823" w14:textId="77777777" w:rsidR="00EB5913" w:rsidRPr="006623B9" w:rsidRDefault="00EB5913" w:rsidP="00EB5913">
      <w:pPr>
        <w:pStyle w:val="BodyText"/>
        <w:spacing w:before="80" w:after="100"/>
      </w:pPr>
      <w:r w:rsidRPr="006623B9">
        <w:t>The CH</w:t>
      </w:r>
      <w:r w:rsidRPr="006623B9">
        <w:rPr>
          <w:vertAlign w:val="subscript"/>
        </w:rPr>
        <w:t>4</w:t>
      </w:r>
      <w:r w:rsidRPr="006623B9">
        <w:t xml:space="preserve"> correction factor used is 1.0 for all managed landfill sites, both landfills with LFG recovery and those without. A default IPCC oxidation factor of 10 percent has been applied to these sites.</w:t>
      </w:r>
    </w:p>
    <w:p w14:paraId="5A908B46" w14:textId="77777777" w:rsidR="00EB5913" w:rsidRPr="006623B9" w:rsidRDefault="00EB5913" w:rsidP="00EB5913">
      <w:pPr>
        <w:pStyle w:val="BodyText"/>
        <w:spacing w:before="100" w:after="100"/>
      </w:pPr>
      <w:r w:rsidRPr="006623B9">
        <w:t>For sites other than managed landfills, where the mix of shallow and deep disposal areas is unknown, a survey conducted in 1971 estimated that larger operational sites at the time were approximately half deep (over 5 metres) and half shallow. The application of cover material at these sites was also variable. Therefore, for uncategorised SWDS, a CH</w:t>
      </w:r>
      <w:r w:rsidRPr="006623B9">
        <w:rPr>
          <w:vertAlign w:val="subscript"/>
        </w:rPr>
        <w:t>4</w:t>
      </w:r>
      <w:r w:rsidRPr="006623B9">
        <w:t xml:space="preserve"> correction factor of 0.6 and an oxidation factor of zero have been applied.</w:t>
      </w:r>
    </w:p>
    <w:p w14:paraId="763BDDFC" w14:textId="77777777" w:rsidR="00EB5913" w:rsidRPr="006623B9" w:rsidRDefault="00EB5913" w:rsidP="00EB5913">
      <w:pPr>
        <w:pStyle w:val="BodyText"/>
        <w:spacing w:before="100" w:after="100"/>
      </w:pPr>
      <w:r w:rsidRPr="006623B9">
        <w:t>The fraction of CH</w:t>
      </w:r>
      <w:r w:rsidRPr="006623B9">
        <w:rPr>
          <w:vertAlign w:val="subscript"/>
        </w:rPr>
        <w:t>4</w:t>
      </w:r>
      <w:r w:rsidRPr="006623B9">
        <w:t xml:space="preserve"> in LFG (F) is set at 50 percent for both managed and uncategorised SWDS. In the absence of country-specific analyses to account for CO</w:t>
      </w:r>
      <w:r w:rsidRPr="006623B9">
        <w:rPr>
          <w:vertAlign w:val="subscript"/>
        </w:rPr>
        <w:t>2</w:t>
      </w:r>
      <w:r w:rsidRPr="006623B9">
        <w:t xml:space="preserve"> absorption in seepage water, the default IPCC value is used for the fraction of CH</w:t>
      </w:r>
      <w:r w:rsidRPr="006623B9">
        <w:rPr>
          <w:vertAlign w:val="subscript"/>
        </w:rPr>
        <w:t>4</w:t>
      </w:r>
      <w:r w:rsidRPr="006623B9">
        <w:t xml:space="preserve"> in LFG.</w:t>
      </w:r>
    </w:p>
    <w:p w14:paraId="71BFF96A" w14:textId="77777777" w:rsidR="00EB5913" w:rsidRPr="006623B9" w:rsidRDefault="00EB5913" w:rsidP="00EB5913">
      <w:pPr>
        <w:pStyle w:val="Heading6"/>
      </w:pPr>
      <w:bookmarkStart w:id="3031" w:name="methane-generation-rates"/>
      <w:bookmarkEnd w:id="3030"/>
      <w:r w:rsidRPr="006623B9">
        <w:t>Methane generation rates</w:t>
      </w:r>
    </w:p>
    <w:p w14:paraId="6CD054DC" w14:textId="77777777" w:rsidR="00EB5913" w:rsidRPr="006623B9" w:rsidRDefault="00EB5913" w:rsidP="00EB5913">
      <w:pPr>
        <w:pStyle w:val="BodyText"/>
        <w:spacing w:before="80" w:after="100"/>
      </w:pPr>
      <w:r w:rsidRPr="006623B9">
        <w:t>The parameters used to determine the quantity and rate of CH</w:t>
      </w:r>
      <w:r w:rsidRPr="006623B9">
        <w:rPr>
          <w:vertAlign w:val="subscript"/>
        </w:rPr>
        <w:t>4</w:t>
      </w:r>
      <w:r w:rsidRPr="006623B9">
        <w:t xml:space="preserve"> generation are provided in the study by Eunomia (unpublished(a)). Table 7.2.8 outlines these parameters in detail.</w:t>
      </w:r>
    </w:p>
    <w:p w14:paraId="0F5477C8" w14:textId="77777777" w:rsidR="00EB5913" w:rsidRPr="006623B9" w:rsidRDefault="00EB5913" w:rsidP="00EB5913">
      <w:pPr>
        <w:pStyle w:val="Table"/>
      </w:pPr>
      <w:bookmarkStart w:id="3032" w:name="_Toc226669106"/>
      <w:r w:rsidRPr="006623B9">
        <w:t xml:space="preserve">Table 7.2.8 </w:t>
      </w:r>
      <w:r w:rsidRPr="006623B9">
        <w:tab/>
        <w:t>Parameters by waste type that determine the quantity and rate of methane generation</w:t>
      </w:r>
      <w:bookmarkEnd w:id="3032"/>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5"/>
        <w:gridCol w:w="737"/>
        <w:gridCol w:w="661"/>
        <w:gridCol w:w="561"/>
        <w:gridCol w:w="573"/>
        <w:gridCol w:w="1515"/>
        <w:gridCol w:w="866"/>
        <w:gridCol w:w="814"/>
      </w:tblGrid>
      <w:tr w:rsidR="00EB5913" w:rsidRPr="006623B9" w14:paraId="2268C56F" w14:textId="77777777" w:rsidTr="00F16E23">
        <w:trPr>
          <w:tblHeader/>
        </w:trPr>
        <w:tc>
          <w:tcPr>
            <w:tcW w:w="2835" w:type="dxa"/>
            <w:shd w:val="clear" w:color="auto" w:fill="1B556B"/>
            <w:tcMar>
              <w:top w:w="0" w:type="dxa"/>
              <w:left w:w="85" w:type="dxa"/>
              <w:bottom w:w="0" w:type="dxa"/>
              <w:right w:w="85" w:type="dxa"/>
            </w:tcMar>
            <w:vAlign w:val="center"/>
          </w:tcPr>
          <w:p w14:paraId="3683F0E0"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Parameter</w:t>
            </w:r>
          </w:p>
        </w:tc>
        <w:tc>
          <w:tcPr>
            <w:tcW w:w="737" w:type="dxa"/>
            <w:shd w:val="clear" w:color="auto" w:fill="1B556B"/>
            <w:tcMar>
              <w:top w:w="0" w:type="dxa"/>
              <w:left w:w="85" w:type="dxa"/>
              <w:bottom w:w="0" w:type="dxa"/>
              <w:right w:w="85" w:type="dxa"/>
            </w:tcMar>
            <w:vAlign w:val="center"/>
          </w:tcPr>
          <w:p w14:paraId="7EBC8435"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Food</w:t>
            </w:r>
          </w:p>
        </w:tc>
        <w:tc>
          <w:tcPr>
            <w:tcW w:w="624" w:type="dxa"/>
            <w:shd w:val="clear" w:color="auto" w:fill="1B556B"/>
            <w:tcMar>
              <w:top w:w="0" w:type="dxa"/>
              <w:left w:w="85" w:type="dxa"/>
              <w:bottom w:w="0" w:type="dxa"/>
              <w:right w:w="85" w:type="dxa"/>
            </w:tcMar>
            <w:vAlign w:val="center"/>
          </w:tcPr>
          <w:p w14:paraId="2128E65C"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Garden</w:t>
            </w:r>
          </w:p>
        </w:tc>
        <w:tc>
          <w:tcPr>
            <w:tcW w:w="561" w:type="dxa"/>
            <w:shd w:val="clear" w:color="auto" w:fill="1B556B"/>
            <w:tcMar>
              <w:top w:w="0" w:type="dxa"/>
              <w:left w:w="85" w:type="dxa"/>
              <w:bottom w:w="0" w:type="dxa"/>
              <w:right w:w="85" w:type="dxa"/>
            </w:tcMar>
            <w:vAlign w:val="center"/>
          </w:tcPr>
          <w:p w14:paraId="391A09B3"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Paper</w:t>
            </w:r>
          </w:p>
        </w:tc>
        <w:tc>
          <w:tcPr>
            <w:tcW w:w="573" w:type="dxa"/>
            <w:shd w:val="clear" w:color="auto" w:fill="1B556B"/>
            <w:tcMar>
              <w:top w:w="0" w:type="dxa"/>
              <w:left w:w="85" w:type="dxa"/>
              <w:bottom w:w="0" w:type="dxa"/>
              <w:right w:w="85" w:type="dxa"/>
            </w:tcMar>
            <w:vAlign w:val="center"/>
          </w:tcPr>
          <w:p w14:paraId="36F2ED4C"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Wood</w:t>
            </w:r>
          </w:p>
        </w:tc>
        <w:tc>
          <w:tcPr>
            <w:tcW w:w="1515" w:type="dxa"/>
            <w:shd w:val="clear" w:color="auto" w:fill="1B556B"/>
            <w:tcMar>
              <w:top w:w="0" w:type="dxa"/>
              <w:left w:w="85" w:type="dxa"/>
              <w:bottom w:w="0" w:type="dxa"/>
              <w:right w:w="85" w:type="dxa"/>
            </w:tcMar>
            <w:vAlign w:val="center"/>
          </w:tcPr>
          <w:p w14:paraId="20864B36"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Textile</w:t>
            </w:r>
          </w:p>
        </w:tc>
        <w:tc>
          <w:tcPr>
            <w:tcW w:w="0" w:type="auto"/>
            <w:shd w:val="clear" w:color="auto" w:fill="1B556B"/>
            <w:tcMar>
              <w:top w:w="0" w:type="dxa"/>
              <w:left w:w="85" w:type="dxa"/>
              <w:bottom w:w="0" w:type="dxa"/>
              <w:right w:w="85" w:type="dxa"/>
            </w:tcMar>
            <w:vAlign w:val="center"/>
          </w:tcPr>
          <w:p w14:paraId="5B001ED9"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Nappies</w:t>
            </w:r>
          </w:p>
        </w:tc>
        <w:tc>
          <w:tcPr>
            <w:tcW w:w="0" w:type="auto"/>
            <w:shd w:val="clear" w:color="auto" w:fill="1B556B"/>
            <w:tcMar>
              <w:top w:w="0" w:type="dxa"/>
              <w:left w:w="85" w:type="dxa"/>
              <w:bottom w:w="0" w:type="dxa"/>
              <w:right w:w="85" w:type="dxa"/>
            </w:tcMar>
            <w:vAlign w:val="center"/>
          </w:tcPr>
          <w:p w14:paraId="2EAC4892" w14:textId="77777777" w:rsidR="00EB5913" w:rsidRPr="006623B9" w:rsidRDefault="00EB5913" w:rsidP="00F16E23">
            <w:pPr>
              <w:pStyle w:val="TableTextBold"/>
              <w:spacing w:before="40" w:after="30"/>
              <w:rPr>
                <w:noProof w:val="0"/>
                <w:color w:val="FFFFFF" w:themeColor="background1"/>
              </w:rPr>
            </w:pPr>
            <w:r w:rsidRPr="006623B9">
              <w:rPr>
                <w:rFonts w:eastAsia="Calibri"/>
                <w:noProof w:val="0"/>
                <w:color w:val="FFFFFF" w:themeColor="background1"/>
              </w:rPr>
              <w:t>Sludge</w:t>
            </w:r>
            <w:r w:rsidRPr="006623B9">
              <w:rPr>
                <w:rFonts w:eastAsia="Calibri"/>
                <w:noProof w:val="0"/>
                <w:color w:val="FFFFFF" w:themeColor="background1"/>
                <w:vertAlign w:val="superscript"/>
              </w:rPr>
              <w:t>b</w:t>
            </w:r>
          </w:p>
        </w:tc>
      </w:tr>
      <w:tr w:rsidR="00EB5913" w:rsidRPr="006623B9" w14:paraId="20DA3018" w14:textId="77777777" w:rsidTr="00F16E23">
        <w:tc>
          <w:tcPr>
            <w:tcW w:w="2835" w:type="dxa"/>
            <w:shd w:val="clear" w:color="auto" w:fill="FFFFFF"/>
            <w:tcMar>
              <w:top w:w="0" w:type="dxa"/>
              <w:left w:w="85" w:type="dxa"/>
              <w:bottom w:w="0" w:type="dxa"/>
              <w:right w:w="85" w:type="dxa"/>
            </w:tcMar>
          </w:tcPr>
          <w:p w14:paraId="286AF63D" w14:textId="77777777" w:rsidR="00EB5913" w:rsidRPr="006623B9" w:rsidRDefault="00EB5913" w:rsidP="00F16E23">
            <w:pPr>
              <w:pStyle w:val="TableText"/>
              <w:spacing w:before="40" w:after="30"/>
            </w:pPr>
            <w:r w:rsidRPr="006623B9">
              <w:rPr>
                <w:rFonts w:eastAsia="Calibri"/>
              </w:rPr>
              <w:t>DDOC</w:t>
            </w:r>
          </w:p>
        </w:tc>
        <w:tc>
          <w:tcPr>
            <w:tcW w:w="737" w:type="dxa"/>
            <w:shd w:val="clear" w:color="auto" w:fill="FFFFFF"/>
            <w:tcMar>
              <w:top w:w="0" w:type="dxa"/>
              <w:left w:w="85" w:type="dxa"/>
              <w:bottom w:w="0" w:type="dxa"/>
              <w:right w:w="85" w:type="dxa"/>
            </w:tcMar>
          </w:tcPr>
          <w:p w14:paraId="2A753D81" w14:textId="77777777" w:rsidR="00EB5913" w:rsidRPr="006623B9" w:rsidRDefault="00EB5913" w:rsidP="00F16E23">
            <w:pPr>
              <w:pStyle w:val="TableText"/>
              <w:spacing w:before="40" w:after="30"/>
            </w:pPr>
            <w:r w:rsidRPr="006623B9">
              <w:rPr>
                <w:rFonts w:eastAsia="Calibri"/>
              </w:rPr>
              <w:t>0.11</w:t>
            </w:r>
            <w:r w:rsidRPr="006623B9">
              <w:rPr>
                <w:rFonts w:eastAsia="Calibri"/>
                <w:vertAlign w:val="superscript"/>
              </w:rPr>
              <w:t>a</w:t>
            </w:r>
          </w:p>
        </w:tc>
        <w:tc>
          <w:tcPr>
            <w:tcW w:w="624" w:type="dxa"/>
            <w:shd w:val="clear" w:color="auto" w:fill="FFFFFF"/>
            <w:tcMar>
              <w:top w:w="0" w:type="dxa"/>
              <w:left w:w="85" w:type="dxa"/>
              <w:bottom w:w="0" w:type="dxa"/>
              <w:right w:w="85" w:type="dxa"/>
            </w:tcMar>
          </w:tcPr>
          <w:p w14:paraId="6EC5524E" w14:textId="77777777" w:rsidR="00EB5913" w:rsidRPr="006623B9" w:rsidRDefault="00EB5913" w:rsidP="00F16E23">
            <w:pPr>
              <w:pStyle w:val="TableText"/>
              <w:spacing w:before="40" w:after="30"/>
            </w:pPr>
            <w:r w:rsidRPr="006623B9">
              <w:rPr>
                <w:rFonts w:eastAsia="Calibri"/>
              </w:rPr>
              <w:t>0.09</w:t>
            </w:r>
          </w:p>
        </w:tc>
        <w:tc>
          <w:tcPr>
            <w:tcW w:w="561" w:type="dxa"/>
            <w:shd w:val="clear" w:color="auto" w:fill="FFFFFF"/>
            <w:tcMar>
              <w:top w:w="0" w:type="dxa"/>
              <w:left w:w="85" w:type="dxa"/>
              <w:bottom w:w="0" w:type="dxa"/>
              <w:right w:w="85" w:type="dxa"/>
            </w:tcMar>
          </w:tcPr>
          <w:p w14:paraId="22F36F60" w14:textId="77777777" w:rsidR="00EB5913" w:rsidRPr="006623B9" w:rsidRDefault="00EB5913" w:rsidP="00F16E23">
            <w:pPr>
              <w:pStyle w:val="TableText"/>
              <w:spacing w:before="40" w:after="30"/>
            </w:pPr>
            <w:r w:rsidRPr="006623B9">
              <w:rPr>
                <w:rFonts w:eastAsia="Calibri"/>
              </w:rPr>
              <w:t>0.16</w:t>
            </w:r>
          </w:p>
        </w:tc>
        <w:tc>
          <w:tcPr>
            <w:tcW w:w="573" w:type="dxa"/>
            <w:shd w:val="clear" w:color="auto" w:fill="FFFFFF"/>
            <w:tcMar>
              <w:top w:w="0" w:type="dxa"/>
              <w:left w:w="85" w:type="dxa"/>
              <w:bottom w:w="0" w:type="dxa"/>
              <w:right w:w="85" w:type="dxa"/>
            </w:tcMar>
          </w:tcPr>
          <w:p w14:paraId="70048539" w14:textId="77777777" w:rsidR="00EB5913" w:rsidRPr="006623B9" w:rsidRDefault="00EB5913" w:rsidP="00F16E23">
            <w:pPr>
              <w:pStyle w:val="TableText"/>
              <w:spacing w:before="40" w:after="30"/>
            </w:pPr>
            <w:r w:rsidRPr="006623B9">
              <w:rPr>
                <w:rFonts w:eastAsia="Calibri"/>
              </w:rPr>
              <w:t>0.06</w:t>
            </w:r>
          </w:p>
        </w:tc>
        <w:tc>
          <w:tcPr>
            <w:tcW w:w="1515" w:type="dxa"/>
            <w:shd w:val="clear" w:color="auto" w:fill="FFFFFF"/>
            <w:tcMar>
              <w:top w:w="0" w:type="dxa"/>
              <w:left w:w="85" w:type="dxa"/>
              <w:bottom w:w="0" w:type="dxa"/>
              <w:right w:w="85" w:type="dxa"/>
            </w:tcMar>
          </w:tcPr>
          <w:p w14:paraId="7877C341" w14:textId="77777777" w:rsidR="00EB5913" w:rsidRPr="006623B9" w:rsidRDefault="00EB5913" w:rsidP="00F16E23">
            <w:pPr>
              <w:pStyle w:val="TableText"/>
              <w:spacing w:before="40" w:after="30"/>
            </w:pPr>
            <w:r w:rsidRPr="006623B9">
              <w:rPr>
                <w:rFonts w:eastAsia="Calibri"/>
              </w:rPr>
              <w:t>0.20 (1950s) to 0.08 (2020 onwards)</w:t>
            </w:r>
          </w:p>
        </w:tc>
        <w:tc>
          <w:tcPr>
            <w:tcW w:w="0" w:type="auto"/>
            <w:shd w:val="clear" w:color="auto" w:fill="FFFFFF"/>
            <w:tcMar>
              <w:top w:w="0" w:type="dxa"/>
              <w:left w:w="85" w:type="dxa"/>
              <w:bottom w:w="0" w:type="dxa"/>
              <w:right w:w="85" w:type="dxa"/>
            </w:tcMar>
          </w:tcPr>
          <w:p w14:paraId="258A9604" w14:textId="77777777" w:rsidR="00EB5913" w:rsidRPr="006623B9" w:rsidRDefault="00EB5913" w:rsidP="00F16E23">
            <w:pPr>
              <w:pStyle w:val="TableText"/>
              <w:spacing w:before="40" w:after="30"/>
            </w:pPr>
            <w:r w:rsidRPr="006623B9">
              <w:rPr>
                <w:rFonts w:eastAsia="Calibri"/>
              </w:rPr>
              <w:t>0.04</w:t>
            </w:r>
          </w:p>
        </w:tc>
        <w:tc>
          <w:tcPr>
            <w:tcW w:w="0" w:type="auto"/>
            <w:shd w:val="clear" w:color="auto" w:fill="FFFFFF"/>
            <w:tcMar>
              <w:top w:w="0" w:type="dxa"/>
              <w:left w:w="85" w:type="dxa"/>
              <w:bottom w:w="0" w:type="dxa"/>
              <w:right w:w="85" w:type="dxa"/>
            </w:tcMar>
          </w:tcPr>
          <w:p w14:paraId="50A9E59A" w14:textId="77777777" w:rsidR="00EB5913" w:rsidRPr="006623B9" w:rsidRDefault="00EB5913" w:rsidP="00F16E23">
            <w:pPr>
              <w:pStyle w:val="TableText"/>
              <w:spacing w:before="40" w:after="30"/>
            </w:pPr>
            <w:r w:rsidRPr="006623B9">
              <w:rPr>
                <w:rFonts w:eastAsia="Calibri"/>
              </w:rPr>
              <w:t>0.025</w:t>
            </w:r>
          </w:p>
        </w:tc>
      </w:tr>
      <w:tr w:rsidR="00EB5913" w:rsidRPr="006623B9" w14:paraId="409F36A4" w14:textId="77777777" w:rsidTr="00F16E23">
        <w:tc>
          <w:tcPr>
            <w:tcW w:w="2835" w:type="dxa"/>
            <w:shd w:val="clear" w:color="auto" w:fill="FFFFFF"/>
            <w:tcMar>
              <w:top w:w="0" w:type="dxa"/>
              <w:left w:w="85" w:type="dxa"/>
              <w:bottom w:w="0" w:type="dxa"/>
              <w:right w:w="85" w:type="dxa"/>
            </w:tcMar>
          </w:tcPr>
          <w:p w14:paraId="6D73D8D1" w14:textId="77777777" w:rsidR="00EB5913" w:rsidRPr="006623B9" w:rsidRDefault="00EB5913" w:rsidP="00F16E23">
            <w:pPr>
              <w:pStyle w:val="TableText"/>
              <w:spacing w:before="40" w:after="30"/>
            </w:pPr>
            <w:r w:rsidRPr="006623B9">
              <w:rPr>
                <w:rFonts w:eastAsia="Calibri"/>
              </w:rPr>
              <w:t>DOCf</w:t>
            </w:r>
            <w:r w:rsidRPr="006623B9">
              <w:rPr>
                <w:rFonts w:eastAsia="Calibri"/>
                <w:vertAlign w:val="superscript"/>
              </w:rPr>
              <w:t>c</w:t>
            </w:r>
          </w:p>
        </w:tc>
        <w:tc>
          <w:tcPr>
            <w:tcW w:w="737" w:type="dxa"/>
            <w:shd w:val="clear" w:color="auto" w:fill="FFFFFF"/>
            <w:tcMar>
              <w:top w:w="0" w:type="dxa"/>
              <w:left w:w="85" w:type="dxa"/>
              <w:bottom w:w="0" w:type="dxa"/>
              <w:right w:w="85" w:type="dxa"/>
            </w:tcMar>
          </w:tcPr>
          <w:p w14:paraId="1051AA70" w14:textId="77777777" w:rsidR="00EB5913" w:rsidRPr="006623B9" w:rsidRDefault="00EB5913" w:rsidP="00F16E23">
            <w:pPr>
              <w:pStyle w:val="TableText"/>
              <w:spacing w:before="40" w:after="30"/>
            </w:pPr>
            <w:r w:rsidRPr="006623B9">
              <w:rPr>
                <w:rFonts w:eastAsia="Calibri"/>
              </w:rPr>
              <w:t>0.7</w:t>
            </w:r>
          </w:p>
        </w:tc>
        <w:tc>
          <w:tcPr>
            <w:tcW w:w="624" w:type="dxa"/>
            <w:shd w:val="clear" w:color="auto" w:fill="FFFFFF"/>
            <w:tcMar>
              <w:top w:w="0" w:type="dxa"/>
              <w:left w:w="85" w:type="dxa"/>
              <w:bottom w:w="0" w:type="dxa"/>
              <w:right w:w="85" w:type="dxa"/>
            </w:tcMar>
          </w:tcPr>
          <w:p w14:paraId="28043C5E" w14:textId="77777777" w:rsidR="00EB5913" w:rsidRPr="006623B9" w:rsidRDefault="00EB5913" w:rsidP="00F16E23">
            <w:pPr>
              <w:pStyle w:val="TableText"/>
              <w:spacing w:before="40" w:after="30"/>
            </w:pPr>
            <w:r w:rsidRPr="006623B9">
              <w:rPr>
                <w:rFonts w:eastAsia="Calibri"/>
              </w:rPr>
              <w:t>0.56</w:t>
            </w:r>
          </w:p>
        </w:tc>
        <w:tc>
          <w:tcPr>
            <w:tcW w:w="561" w:type="dxa"/>
            <w:shd w:val="clear" w:color="auto" w:fill="FFFFFF"/>
            <w:tcMar>
              <w:top w:w="0" w:type="dxa"/>
              <w:left w:w="85" w:type="dxa"/>
              <w:bottom w:w="0" w:type="dxa"/>
              <w:right w:w="85" w:type="dxa"/>
            </w:tcMar>
          </w:tcPr>
          <w:p w14:paraId="458CA609" w14:textId="77777777" w:rsidR="00EB5913" w:rsidRPr="006623B9" w:rsidRDefault="00EB5913" w:rsidP="00F16E23">
            <w:pPr>
              <w:pStyle w:val="TableText"/>
              <w:spacing w:before="40" w:after="30"/>
            </w:pPr>
            <w:r w:rsidRPr="006623B9">
              <w:rPr>
                <w:rFonts w:eastAsia="Calibri"/>
              </w:rPr>
              <w:t>0.50</w:t>
            </w:r>
          </w:p>
        </w:tc>
        <w:tc>
          <w:tcPr>
            <w:tcW w:w="573" w:type="dxa"/>
            <w:shd w:val="clear" w:color="auto" w:fill="FFFFFF"/>
            <w:tcMar>
              <w:top w:w="0" w:type="dxa"/>
              <w:left w:w="85" w:type="dxa"/>
              <w:bottom w:w="0" w:type="dxa"/>
              <w:right w:w="85" w:type="dxa"/>
            </w:tcMar>
          </w:tcPr>
          <w:p w14:paraId="3FCA707A" w14:textId="77777777" w:rsidR="00EB5913" w:rsidRPr="006623B9" w:rsidRDefault="00EB5913" w:rsidP="00F16E23">
            <w:pPr>
              <w:pStyle w:val="TableText"/>
              <w:spacing w:before="40" w:after="30"/>
            </w:pPr>
            <w:r w:rsidRPr="006623B9">
              <w:rPr>
                <w:rFonts w:eastAsia="Calibri"/>
              </w:rPr>
              <w:t>0.14</w:t>
            </w:r>
          </w:p>
        </w:tc>
        <w:tc>
          <w:tcPr>
            <w:tcW w:w="1515" w:type="dxa"/>
            <w:shd w:val="clear" w:color="auto" w:fill="FFFFFF"/>
            <w:tcMar>
              <w:top w:w="0" w:type="dxa"/>
              <w:left w:w="85" w:type="dxa"/>
              <w:bottom w:w="0" w:type="dxa"/>
              <w:right w:w="85" w:type="dxa"/>
            </w:tcMar>
          </w:tcPr>
          <w:p w14:paraId="5449BD8E" w14:textId="77777777" w:rsidR="00EB5913" w:rsidRPr="006623B9" w:rsidRDefault="00EB5913" w:rsidP="00F16E23">
            <w:pPr>
              <w:pStyle w:val="TableText"/>
              <w:spacing w:before="40" w:after="30"/>
            </w:pPr>
            <w:r w:rsidRPr="006623B9">
              <w:rPr>
                <w:rFonts w:eastAsia="Calibri"/>
              </w:rPr>
              <w:t>0.5</w:t>
            </w:r>
          </w:p>
        </w:tc>
        <w:tc>
          <w:tcPr>
            <w:tcW w:w="0" w:type="auto"/>
            <w:shd w:val="clear" w:color="auto" w:fill="FFFFFF"/>
            <w:tcMar>
              <w:top w:w="0" w:type="dxa"/>
              <w:left w:w="85" w:type="dxa"/>
              <w:bottom w:w="0" w:type="dxa"/>
              <w:right w:w="85" w:type="dxa"/>
            </w:tcMar>
          </w:tcPr>
          <w:p w14:paraId="2BF9C422" w14:textId="77777777" w:rsidR="00EB5913" w:rsidRPr="006623B9" w:rsidRDefault="00EB5913" w:rsidP="00F16E23">
            <w:pPr>
              <w:pStyle w:val="TableText"/>
              <w:spacing w:before="40" w:after="30"/>
            </w:pPr>
            <w:r w:rsidRPr="006623B9">
              <w:rPr>
                <w:rFonts w:eastAsia="Calibri"/>
              </w:rPr>
              <w:t>0.50</w:t>
            </w:r>
          </w:p>
        </w:tc>
        <w:tc>
          <w:tcPr>
            <w:tcW w:w="0" w:type="auto"/>
            <w:shd w:val="clear" w:color="auto" w:fill="FFFFFF"/>
            <w:tcMar>
              <w:top w:w="0" w:type="dxa"/>
              <w:left w:w="85" w:type="dxa"/>
              <w:bottom w:w="0" w:type="dxa"/>
              <w:right w:w="85" w:type="dxa"/>
            </w:tcMar>
          </w:tcPr>
          <w:p w14:paraId="27E61422" w14:textId="77777777" w:rsidR="00EB5913" w:rsidRPr="006623B9" w:rsidRDefault="00EB5913" w:rsidP="00F16E23">
            <w:pPr>
              <w:pStyle w:val="TableText"/>
              <w:spacing w:before="40" w:after="30"/>
            </w:pPr>
            <w:r w:rsidRPr="006623B9">
              <w:rPr>
                <w:rFonts w:eastAsia="Calibri"/>
              </w:rPr>
              <w:t>0.500</w:t>
            </w:r>
          </w:p>
        </w:tc>
      </w:tr>
      <w:tr w:rsidR="00EB5913" w:rsidRPr="006623B9" w14:paraId="7D106D44" w14:textId="77777777" w:rsidTr="00F16E23">
        <w:tc>
          <w:tcPr>
            <w:tcW w:w="2835" w:type="dxa"/>
            <w:shd w:val="clear" w:color="auto" w:fill="FFFFFF"/>
            <w:tcMar>
              <w:top w:w="0" w:type="dxa"/>
              <w:left w:w="85" w:type="dxa"/>
              <w:bottom w:w="0" w:type="dxa"/>
              <w:right w:w="85" w:type="dxa"/>
            </w:tcMar>
          </w:tcPr>
          <w:p w14:paraId="370006B3" w14:textId="77777777" w:rsidR="00EB5913" w:rsidRPr="006623B9" w:rsidRDefault="00EB5913" w:rsidP="00F16E23">
            <w:pPr>
              <w:pStyle w:val="TableText"/>
              <w:spacing w:before="40" w:after="30"/>
            </w:pPr>
            <w:r w:rsidRPr="006623B9">
              <w:rPr>
                <w:rFonts w:eastAsia="Calibri"/>
              </w:rPr>
              <w:t>DOC (=DDOC/DOCf)</w:t>
            </w:r>
          </w:p>
        </w:tc>
        <w:tc>
          <w:tcPr>
            <w:tcW w:w="737" w:type="dxa"/>
            <w:shd w:val="clear" w:color="auto" w:fill="FFFFFF"/>
            <w:tcMar>
              <w:top w:w="0" w:type="dxa"/>
              <w:left w:w="85" w:type="dxa"/>
              <w:bottom w:w="0" w:type="dxa"/>
              <w:right w:w="85" w:type="dxa"/>
            </w:tcMar>
          </w:tcPr>
          <w:p w14:paraId="170DC1B1" w14:textId="77777777" w:rsidR="00EB5913" w:rsidRPr="006623B9" w:rsidRDefault="00EB5913" w:rsidP="00F16E23">
            <w:pPr>
              <w:pStyle w:val="TableText"/>
              <w:spacing w:before="40" w:after="30"/>
            </w:pPr>
            <w:r w:rsidRPr="006623B9">
              <w:rPr>
                <w:rFonts w:eastAsia="Calibri"/>
              </w:rPr>
              <w:t>0.16</w:t>
            </w:r>
          </w:p>
        </w:tc>
        <w:tc>
          <w:tcPr>
            <w:tcW w:w="624" w:type="dxa"/>
            <w:shd w:val="clear" w:color="auto" w:fill="FFFFFF"/>
            <w:tcMar>
              <w:top w:w="0" w:type="dxa"/>
              <w:left w:w="85" w:type="dxa"/>
              <w:bottom w:w="0" w:type="dxa"/>
              <w:right w:w="85" w:type="dxa"/>
            </w:tcMar>
          </w:tcPr>
          <w:p w14:paraId="05CC73C7" w14:textId="77777777" w:rsidR="00EB5913" w:rsidRPr="006623B9" w:rsidRDefault="00EB5913" w:rsidP="00F16E23">
            <w:pPr>
              <w:pStyle w:val="TableText"/>
              <w:spacing w:before="40" w:after="30"/>
            </w:pPr>
            <w:r w:rsidRPr="006623B9">
              <w:rPr>
                <w:rFonts w:eastAsia="Calibri"/>
              </w:rPr>
              <w:t>0.16</w:t>
            </w:r>
          </w:p>
        </w:tc>
        <w:tc>
          <w:tcPr>
            <w:tcW w:w="561" w:type="dxa"/>
            <w:shd w:val="clear" w:color="auto" w:fill="FFFFFF"/>
            <w:tcMar>
              <w:top w:w="0" w:type="dxa"/>
              <w:left w:w="85" w:type="dxa"/>
              <w:bottom w:w="0" w:type="dxa"/>
              <w:right w:w="85" w:type="dxa"/>
            </w:tcMar>
          </w:tcPr>
          <w:p w14:paraId="0F824FEB" w14:textId="77777777" w:rsidR="00EB5913" w:rsidRPr="006623B9" w:rsidRDefault="00EB5913" w:rsidP="00F16E23">
            <w:pPr>
              <w:pStyle w:val="TableText"/>
              <w:spacing w:before="40" w:after="30"/>
            </w:pPr>
            <w:r w:rsidRPr="006623B9">
              <w:rPr>
                <w:rFonts w:eastAsia="Calibri"/>
              </w:rPr>
              <w:t>0.32</w:t>
            </w:r>
          </w:p>
        </w:tc>
        <w:tc>
          <w:tcPr>
            <w:tcW w:w="573" w:type="dxa"/>
            <w:shd w:val="clear" w:color="auto" w:fill="FFFFFF"/>
            <w:tcMar>
              <w:top w:w="0" w:type="dxa"/>
              <w:left w:w="85" w:type="dxa"/>
              <w:bottom w:w="0" w:type="dxa"/>
              <w:right w:w="85" w:type="dxa"/>
            </w:tcMar>
          </w:tcPr>
          <w:p w14:paraId="1540ADCF" w14:textId="77777777" w:rsidR="00EB5913" w:rsidRPr="006623B9" w:rsidRDefault="00EB5913" w:rsidP="00F16E23">
            <w:pPr>
              <w:pStyle w:val="TableText"/>
              <w:spacing w:before="40" w:after="30"/>
            </w:pPr>
            <w:r w:rsidRPr="006623B9">
              <w:rPr>
                <w:rFonts w:eastAsia="Calibri"/>
              </w:rPr>
              <w:t>0.43</w:t>
            </w:r>
          </w:p>
        </w:tc>
        <w:tc>
          <w:tcPr>
            <w:tcW w:w="1515" w:type="dxa"/>
            <w:shd w:val="clear" w:color="auto" w:fill="FFFFFF"/>
            <w:tcMar>
              <w:top w:w="0" w:type="dxa"/>
              <w:left w:w="85" w:type="dxa"/>
              <w:bottom w:w="0" w:type="dxa"/>
              <w:right w:w="85" w:type="dxa"/>
            </w:tcMar>
          </w:tcPr>
          <w:p w14:paraId="6D58A3F4" w14:textId="77777777" w:rsidR="00EB5913" w:rsidRPr="006623B9" w:rsidRDefault="00EB5913" w:rsidP="00F16E23">
            <w:pPr>
              <w:pStyle w:val="TableText"/>
              <w:spacing w:before="40" w:after="30"/>
            </w:pPr>
            <w:r w:rsidRPr="006623B9">
              <w:rPr>
                <w:rFonts w:eastAsia="Calibri"/>
              </w:rPr>
              <w:t>0.40 (1950s) to 0.16 (2020 onwards) </w:t>
            </w:r>
          </w:p>
        </w:tc>
        <w:tc>
          <w:tcPr>
            <w:tcW w:w="0" w:type="auto"/>
            <w:shd w:val="clear" w:color="auto" w:fill="FFFFFF"/>
            <w:tcMar>
              <w:top w:w="0" w:type="dxa"/>
              <w:left w:w="85" w:type="dxa"/>
              <w:bottom w:w="0" w:type="dxa"/>
              <w:right w:w="85" w:type="dxa"/>
            </w:tcMar>
          </w:tcPr>
          <w:p w14:paraId="7C96CBF6" w14:textId="77777777" w:rsidR="00EB5913" w:rsidRPr="006623B9" w:rsidRDefault="00EB5913" w:rsidP="00F16E23">
            <w:pPr>
              <w:pStyle w:val="TableText"/>
              <w:spacing w:before="40" w:after="30"/>
            </w:pPr>
            <w:r w:rsidRPr="006623B9">
              <w:rPr>
                <w:rFonts w:eastAsia="Calibri"/>
              </w:rPr>
              <w:t>0.08</w:t>
            </w:r>
          </w:p>
        </w:tc>
        <w:tc>
          <w:tcPr>
            <w:tcW w:w="0" w:type="auto"/>
            <w:shd w:val="clear" w:color="auto" w:fill="FFFFFF"/>
            <w:tcMar>
              <w:top w:w="0" w:type="dxa"/>
              <w:left w:w="85" w:type="dxa"/>
              <w:bottom w:w="0" w:type="dxa"/>
              <w:right w:w="85" w:type="dxa"/>
            </w:tcMar>
          </w:tcPr>
          <w:p w14:paraId="401B942E" w14:textId="77777777" w:rsidR="00EB5913" w:rsidRPr="006623B9" w:rsidRDefault="00EB5913" w:rsidP="00F16E23">
            <w:pPr>
              <w:pStyle w:val="TableText"/>
              <w:spacing w:before="40" w:after="30"/>
            </w:pPr>
            <w:r w:rsidRPr="006623B9">
              <w:rPr>
                <w:rFonts w:eastAsia="Calibri"/>
              </w:rPr>
              <w:t>0.050</w:t>
            </w:r>
          </w:p>
        </w:tc>
      </w:tr>
      <w:tr w:rsidR="00EB5913" w:rsidRPr="006623B9" w14:paraId="40DE19F9" w14:textId="77777777" w:rsidTr="00F16E23">
        <w:tc>
          <w:tcPr>
            <w:tcW w:w="2835" w:type="dxa"/>
            <w:shd w:val="clear" w:color="auto" w:fill="FFFFFF"/>
            <w:tcMar>
              <w:top w:w="0" w:type="dxa"/>
              <w:left w:w="85" w:type="dxa"/>
              <w:bottom w:w="0" w:type="dxa"/>
              <w:right w:w="85" w:type="dxa"/>
            </w:tcMar>
          </w:tcPr>
          <w:p w14:paraId="7A3CD19F" w14:textId="77777777" w:rsidR="00EB5913" w:rsidRPr="006623B9" w:rsidRDefault="00EB5913" w:rsidP="00F16E23">
            <w:pPr>
              <w:pStyle w:val="TableText"/>
              <w:spacing w:before="40" w:after="30"/>
            </w:pPr>
            <w:r w:rsidRPr="006623B9">
              <w:rPr>
                <w:rFonts w:eastAsia="Calibri"/>
              </w:rPr>
              <w:t>k-value wet sites (&gt;700 mm rain/year)</w:t>
            </w:r>
          </w:p>
        </w:tc>
        <w:tc>
          <w:tcPr>
            <w:tcW w:w="737" w:type="dxa"/>
            <w:shd w:val="clear" w:color="auto" w:fill="FFFFFF"/>
            <w:tcMar>
              <w:top w:w="0" w:type="dxa"/>
              <w:left w:w="85" w:type="dxa"/>
              <w:bottom w:w="0" w:type="dxa"/>
              <w:right w:w="85" w:type="dxa"/>
            </w:tcMar>
          </w:tcPr>
          <w:p w14:paraId="0A42ADC9" w14:textId="77777777" w:rsidR="00EB5913" w:rsidRPr="006623B9" w:rsidRDefault="00EB5913" w:rsidP="00F16E23">
            <w:pPr>
              <w:pStyle w:val="TableText"/>
              <w:spacing w:before="40" w:after="30"/>
            </w:pPr>
            <w:r w:rsidRPr="006623B9">
              <w:rPr>
                <w:rFonts w:eastAsia="Calibri"/>
              </w:rPr>
              <w:t>0.185</w:t>
            </w:r>
          </w:p>
        </w:tc>
        <w:tc>
          <w:tcPr>
            <w:tcW w:w="624" w:type="dxa"/>
            <w:shd w:val="clear" w:color="auto" w:fill="FFFFFF"/>
            <w:tcMar>
              <w:top w:w="0" w:type="dxa"/>
              <w:left w:w="85" w:type="dxa"/>
              <w:bottom w:w="0" w:type="dxa"/>
              <w:right w:w="85" w:type="dxa"/>
            </w:tcMar>
          </w:tcPr>
          <w:p w14:paraId="3B11B696" w14:textId="77777777" w:rsidR="00EB5913" w:rsidRPr="006623B9" w:rsidRDefault="00EB5913" w:rsidP="00F16E23">
            <w:pPr>
              <w:pStyle w:val="TableText"/>
              <w:spacing w:before="40" w:after="30"/>
            </w:pPr>
            <w:r w:rsidRPr="006623B9">
              <w:rPr>
                <w:rFonts w:eastAsia="Calibri"/>
              </w:rPr>
              <w:t>0.10</w:t>
            </w:r>
          </w:p>
        </w:tc>
        <w:tc>
          <w:tcPr>
            <w:tcW w:w="561" w:type="dxa"/>
            <w:shd w:val="clear" w:color="auto" w:fill="FFFFFF"/>
            <w:tcMar>
              <w:top w:w="0" w:type="dxa"/>
              <w:left w:w="85" w:type="dxa"/>
              <w:bottom w:w="0" w:type="dxa"/>
              <w:right w:w="85" w:type="dxa"/>
            </w:tcMar>
          </w:tcPr>
          <w:p w14:paraId="319665AB" w14:textId="77777777" w:rsidR="00EB5913" w:rsidRPr="006623B9" w:rsidRDefault="00EB5913" w:rsidP="00F16E23">
            <w:pPr>
              <w:pStyle w:val="TableText"/>
              <w:spacing w:before="40" w:after="30"/>
            </w:pPr>
            <w:r w:rsidRPr="006623B9">
              <w:rPr>
                <w:rFonts w:eastAsia="Calibri"/>
              </w:rPr>
              <w:t>0.06</w:t>
            </w:r>
          </w:p>
        </w:tc>
        <w:tc>
          <w:tcPr>
            <w:tcW w:w="573" w:type="dxa"/>
            <w:shd w:val="clear" w:color="auto" w:fill="FFFFFF"/>
            <w:tcMar>
              <w:top w:w="0" w:type="dxa"/>
              <w:left w:w="85" w:type="dxa"/>
              <w:bottom w:w="0" w:type="dxa"/>
              <w:right w:w="85" w:type="dxa"/>
            </w:tcMar>
          </w:tcPr>
          <w:p w14:paraId="71C72E67" w14:textId="77777777" w:rsidR="00EB5913" w:rsidRPr="006623B9" w:rsidRDefault="00EB5913" w:rsidP="00F16E23">
            <w:pPr>
              <w:pStyle w:val="TableText"/>
              <w:spacing w:before="40" w:after="30"/>
            </w:pPr>
            <w:r w:rsidRPr="006623B9">
              <w:rPr>
                <w:rFonts w:eastAsia="Calibri"/>
              </w:rPr>
              <w:t>0.03</w:t>
            </w:r>
          </w:p>
        </w:tc>
        <w:tc>
          <w:tcPr>
            <w:tcW w:w="1515" w:type="dxa"/>
            <w:shd w:val="clear" w:color="auto" w:fill="FFFFFF"/>
            <w:tcMar>
              <w:top w:w="0" w:type="dxa"/>
              <w:left w:w="85" w:type="dxa"/>
              <w:bottom w:w="0" w:type="dxa"/>
              <w:right w:w="85" w:type="dxa"/>
            </w:tcMar>
          </w:tcPr>
          <w:p w14:paraId="014C2B18" w14:textId="77777777" w:rsidR="00EB5913" w:rsidRPr="006623B9" w:rsidRDefault="00EB5913" w:rsidP="00F16E23">
            <w:pPr>
              <w:pStyle w:val="TableText"/>
              <w:spacing w:before="40" w:after="30"/>
            </w:pPr>
            <w:r w:rsidRPr="006623B9">
              <w:rPr>
                <w:rFonts w:eastAsia="Calibri"/>
              </w:rPr>
              <w:t>0.06</w:t>
            </w:r>
          </w:p>
        </w:tc>
        <w:tc>
          <w:tcPr>
            <w:tcW w:w="0" w:type="auto"/>
            <w:shd w:val="clear" w:color="auto" w:fill="FFFFFF"/>
            <w:tcMar>
              <w:top w:w="0" w:type="dxa"/>
              <w:left w:w="85" w:type="dxa"/>
              <w:bottom w:w="0" w:type="dxa"/>
              <w:right w:w="85" w:type="dxa"/>
            </w:tcMar>
          </w:tcPr>
          <w:p w14:paraId="621DECFE" w14:textId="77777777" w:rsidR="00EB5913" w:rsidRPr="006623B9" w:rsidRDefault="00EB5913" w:rsidP="00F16E23">
            <w:pPr>
              <w:pStyle w:val="TableText"/>
              <w:spacing w:before="40" w:after="30"/>
            </w:pPr>
            <w:r w:rsidRPr="006623B9">
              <w:rPr>
                <w:rFonts w:eastAsia="Calibri"/>
              </w:rPr>
              <w:t>0.10</w:t>
            </w:r>
          </w:p>
        </w:tc>
        <w:tc>
          <w:tcPr>
            <w:tcW w:w="0" w:type="auto"/>
            <w:shd w:val="clear" w:color="auto" w:fill="FFFFFF"/>
            <w:tcMar>
              <w:top w:w="0" w:type="dxa"/>
              <w:left w:w="85" w:type="dxa"/>
              <w:bottom w:w="0" w:type="dxa"/>
              <w:right w:w="85" w:type="dxa"/>
            </w:tcMar>
          </w:tcPr>
          <w:p w14:paraId="3119ABBC" w14:textId="77777777" w:rsidR="00EB5913" w:rsidRPr="006623B9" w:rsidRDefault="00EB5913" w:rsidP="00F16E23">
            <w:pPr>
              <w:pStyle w:val="TableText"/>
              <w:spacing w:before="40" w:after="30"/>
            </w:pPr>
            <w:r w:rsidRPr="006623B9">
              <w:rPr>
                <w:rFonts w:eastAsia="Calibri"/>
              </w:rPr>
              <w:t>0.185</w:t>
            </w:r>
          </w:p>
        </w:tc>
      </w:tr>
      <w:tr w:rsidR="00EB5913" w:rsidRPr="006623B9" w14:paraId="6E803613" w14:textId="77777777" w:rsidTr="00F16E23">
        <w:tc>
          <w:tcPr>
            <w:tcW w:w="2835" w:type="dxa"/>
            <w:shd w:val="clear" w:color="auto" w:fill="FFFFFF"/>
            <w:tcMar>
              <w:top w:w="0" w:type="dxa"/>
              <w:left w:w="85" w:type="dxa"/>
              <w:bottom w:w="0" w:type="dxa"/>
              <w:right w:w="85" w:type="dxa"/>
            </w:tcMar>
          </w:tcPr>
          <w:p w14:paraId="239734A9" w14:textId="77777777" w:rsidR="00EB5913" w:rsidRPr="006623B9" w:rsidRDefault="00EB5913" w:rsidP="00F16E23">
            <w:pPr>
              <w:pStyle w:val="TableText"/>
              <w:spacing w:before="40" w:after="30"/>
            </w:pPr>
            <w:r w:rsidRPr="006623B9">
              <w:rPr>
                <w:rFonts w:eastAsia="Calibri"/>
              </w:rPr>
              <w:t>k-value dry sites</w:t>
            </w:r>
          </w:p>
        </w:tc>
        <w:tc>
          <w:tcPr>
            <w:tcW w:w="737" w:type="dxa"/>
            <w:shd w:val="clear" w:color="auto" w:fill="FFFFFF"/>
            <w:tcMar>
              <w:top w:w="0" w:type="dxa"/>
              <w:left w:w="85" w:type="dxa"/>
              <w:bottom w:w="0" w:type="dxa"/>
              <w:right w:w="85" w:type="dxa"/>
            </w:tcMar>
          </w:tcPr>
          <w:p w14:paraId="7ACBEAA4" w14:textId="77777777" w:rsidR="00EB5913" w:rsidRPr="006623B9" w:rsidRDefault="00EB5913" w:rsidP="00F16E23">
            <w:pPr>
              <w:pStyle w:val="TableText"/>
              <w:spacing w:before="40" w:after="30"/>
            </w:pPr>
            <w:r w:rsidRPr="006623B9">
              <w:rPr>
                <w:rFonts w:eastAsia="Calibri"/>
              </w:rPr>
              <w:t>0.06</w:t>
            </w:r>
          </w:p>
        </w:tc>
        <w:tc>
          <w:tcPr>
            <w:tcW w:w="624" w:type="dxa"/>
            <w:shd w:val="clear" w:color="auto" w:fill="FFFFFF"/>
            <w:tcMar>
              <w:top w:w="0" w:type="dxa"/>
              <w:left w:w="85" w:type="dxa"/>
              <w:bottom w:w="0" w:type="dxa"/>
              <w:right w:w="85" w:type="dxa"/>
            </w:tcMar>
          </w:tcPr>
          <w:p w14:paraId="7BF59F11" w14:textId="77777777" w:rsidR="00EB5913" w:rsidRPr="006623B9" w:rsidRDefault="00EB5913" w:rsidP="00F16E23">
            <w:pPr>
              <w:pStyle w:val="TableText"/>
              <w:spacing w:before="40" w:after="30"/>
            </w:pPr>
            <w:r w:rsidRPr="006623B9">
              <w:rPr>
                <w:rFonts w:eastAsia="Calibri"/>
              </w:rPr>
              <w:t>0.05</w:t>
            </w:r>
          </w:p>
        </w:tc>
        <w:tc>
          <w:tcPr>
            <w:tcW w:w="561" w:type="dxa"/>
            <w:shd w:val="clear" w:color="auto" w:fill="FFFFFF"/>
            <w:tcMar>
              <w:top w:w="0" w:type="dxa"/>
              <w:left w:w="85" w:type="dxa"/>
              <w:bottom w:w="0" w:type="dxa"/>
              <w:right w:w="85" w:type="dxa"/>
            </w:tcMar>
          </w:tcPr>
          <w:p w14:paraId="18E45B5F" w14:textId="77777777" w:rsidR="00EB5913" w:rsidRPr="006623B9" w:rsidRDefault="00EB5913" w:rsidP="00F16E23">
            <w:pPr>
              <w:pStyle w:val="TableText"/>
              <w:spacing w:before="40" w:after="30"/>
            </w:pPr>
            <w:r w:rsidRPr="006623B9">
              <w:rPr>
                <w:rFonts w:eastAsia="Calibri"/>
              </w:rPr>
              <w:t>0.04</w:t>
            </w:r>
          </w:p>
        </w:tc>
        <w:tc>
          <w:tcPr>
            <w:tcW w:w="573" w:type="dxa"/>
            <w:shd w:val="clear" w:color="auto" w:fill="FFFFFF"/>
            <w:tcMar>
              <w:top w:w="0" w:type="dxa"/>
              <w:left w:w="85" w:type="dxa"/>
              <w:bottom w:w="0" w:type="dxa"/>
              <w:right w:w="85" w:type="dxa"/>
            </w:tcMar>
          </w:tcPr>
          <w:p w14:paraId="0B91F94C" w14:textId="77777777" w:rsidR="00EB5913" w:rsidRPr="006623B9" w:rsidRDefault="00EB5913" w:rsidP="00F16E23">
            <w:pPr>
              <w:pStyle w:val="TableText"/>
              <w:spacing w:before="40" w:after="30"/>
            </w:pPr>
            <w:r w:rsidRPr="006623B9">
              <w:rPr>
                <w:rFonts w:eastAsia="Calibri"/>
              </w:rPr>
              <w:t>0.02</w:t>
            </w:r>
          </w:p>
        </w:tc>
        <w:tc>
          <w:tcPr>
            <w:tcW w:w="1515" w:type="dxa"/>
            <w:shd w:val="clear" w:color="auto" w:fill="FFFFFF"/>
            <w:tcMar>
              <w:top w:w="0" w:type="dxa"/>
              <w:left w:w="85" w:type="dxa"/>
              <w:bottom w:w="0" w:type="dxa"/>
              <w:right w:w="85" w:type="dxa"/>
            </w:tcMar>
          </w:tcPr>
          <w:p w14:paraId="7A158B68" w14:textId="77777777" w:rsidR="00EB5913" w:rsidRPr="006623B9" w:rsidRDefault="00EB5913" w:rsidP="00F16E23">
            <w:pPr>
              <w:pStyle w:val="TableText"/>
              <w:spacing w:before="40" w:after="30"/>
            </w:pPr>
            <w:r w:rsidRPr="006623B9">
              <w:rPr>
                <w:rFonts w:eastAsia="Calibri"/>
              </w:rPr>
              <w:t>0.04</w:t>
            </w:r>
          </w:p>
        </w:tc>
        <w:tc>
          <w:tcPr>
            <w:tcW w:w="0" w:type="auto"/>
            <w:shd w:val="clear" w:color="auto" w:fill="FFFFFF"/>
            <w:tcMar>
              <w:top w:w="0" w:type="dxa"/>
              <w:left w:w="85" w:type="dxa"/>
              <w:bottom w:w="0" w:type="dxa"/>
              <w:right w:w="85" w:type="dxa"/>
            </w:tcMar>
          </w:tcPr>
          <w:p w14:paraId="27921AD4" w14:textId="77777777" w:rsidR="00EB5913" w:rsidRPr="006623B9" w:rsidRDefault="00EB5913" w:rsidP="00F16E23">
            <w:pPr>
              <w:pStyle w:val="TableText"/>
              <w:spacing w:before="40" w:after="30"/>
            </w:pPr>
            <w:r w:rsidRPr="006623B9">
              <w:rPr>
                <w:rFonts w:eastAsia="Calibri"/>
              </w:rPr>
              <w:t>0.05</w:t>
            </w:r>
          </w:p>
        </w:tc>
        <w:tc>
          <w:tcPr>
            <w:tcW w:w="0" w:type="auto"/>
            <w:shd w:val="clear" w:color="auto" w:fill="FFFFFF"/>
            <w:tcMar>
              <w:top w:w="0" w:type="dxa"/>
              <w:left w:w="85" w:type="dxa"/>
              <w:bottom w:w="0" w:type="dxa"/>
              <w:right w:w="85" w:type="dxa"/>
            </w:tcMar>
          </w:tcPr>
          <w:p w14:paraId="2B1C0F35" w14:textId="77777777" w:rsidR="00EB5913" w:rsidRPr="006623B9" w:rsidRDefault="00EB5913" w:rsidP="00F16E23">
            <w:pPr>
              <w:pStyle w:val="TableText"/>
              <w:spacing w:before="40" w:after="30"/>
            </w:pPr>
            <w:r w:rsidRPr="006623B9">
              <w:rPr>
                <w:rFonts w:eastAsia="Calibri"/>
              </w:rPr>
              <w:t>0.060</w:t>
            </w:r>
          </w:p>
        </w:tc>
      </w:tr>
    </w:tbl>
    <w:p w14:paraId="47A75E3A" w14:textId="77777777" w:rsidR="00EB5913" w:rsidRPr="006623B9" w:rsidRDefault="00EB5913" w:rsidP="00EB5913">
      <w:pPr>
        <w:pStyle w:val="Noteundertable"/>
      </w:pPr>
      <w:r w:rsidRPr="006623B9">
        <w:rPr>
          <w:b/>
          <w:bCs/>
        </w:rPr>
        <w:t>Note:</w:t>
      </w:r>
      <w:r w:rsidRPr="006623B9">
        <w:t xml:space="preserve"> </w:t>
      </w:r>
      <w:r w:rsidRPr="006623B9">
        <w:tab/>
        <w:t>DDOC = decomposable degradable organic carbon; DOC = degradable organic carbon; DOCf = DOC fraction. All parameters are from Eunomia (unpublished(a)) except: (a) DDOC for food is from IPCC (2019); (b) all values for sludge are from IPCC (2006a) default wet temperate; and (c) all DOCf values are from IPCC (2019) except for garden waste (Eunomia, unpublished(a)).</w:t>
      </w:r>
    </w:p>
    <w:p w14:paraId="7AD6C37D" w14:textId="77777777" w:rsidR="00EB5913" w:rsidRPr="006623B9" w:rsidRDefault="00EB5913" w:rsidP="00EB5913">
      <w:pPr>
        <w:pStyle w:val="BodyText"/>
        <w:spacing w:before="80" w:after="80"/>
      </w:pPr>
      <w:r w:rsidRPr="006623B9">
        <w:t>Eunomia recommended the use of DOC fraction (DOCf) values that align with the 2019 IPCC refinement (IPCC, 2019), with one adjustment for garden waste to account for the presence of woody branches (Eunomia, unpublished(a)). DOC values are derived from the ratio of DDOC to DOCf, rather than being explicitly provided. The DDOC values for all materials differ from the IPCC (2006a) defaults, reflecting global patterns in material characteristics.</w:t>
      </w:r>
    </w:p>
    <w:p w14:paraId="1C168C3F" w14:textId="77777777" w:rsidR="00EB5913" w:rsidRPr="006623B9" w:rsidRDefault="00EB5913" w:rsidP="00EB5913">
      <w:pPr>
        <w:pStyle w:val="Bullet"/>
        <w:spacing w:after="80"/>
      </w:pPr>
      <w:r w:rsidRPr="006623B9">
        <w:t>For food waste, the most appropriate DDOC is the IPCC default (IPCC, 2019).</w:t>
      </w:r>
    </w:p>
    <w:p w14:paraId="280F0DDA" w14:textId="77777777" w:rsidR="00EB5913" w:rsidRPr="006623B9" w:rsidRDefault="00EB5913" w:rsidP="00EB5913">
      <w:pPr>
        <w:pStyle w:val="Bullet"/>
        <w:spacing w:after="80"/>
      </w:pPr>
      <w:r w:rsidRPr="006623B9">
        <w:t>For paper, the DDOC value is lower than the IPCC (2006a) default to reflect variations in DOCf values and the half-life of different paper types. For example, more resistant paper, such as magazines and newsprint, degrade more slowly than plain paper due to its higher lignin content.</w:t>
      </w:r>
    </w:p>
    <w:p w14:paraId="64932A2D" w14:textId="77777777" w:rsidR="00EB5913" w:rsidRPr="006623B9" w:rsidRDefault="00EB5913" w:rsidP="00EB5913">
      <w:pPr>
        <w:pStyle w:val="Bullet"/>
        <w:spacing w:after="80"/>
      </w:pPr>
      <w:r w:rsidRPr="006623B9">
        <w:t>For wood, the DDOC is specific to New Zealand and significantly lower than the IPCC (2006a) defaults but closer to the values from the 2019 IPCC refinement (IPCC, 2019). This adjustment accounts for the mix of treated and untreated wood disposed of in New Zealand landfills, as well as the varying degradability of these materials.</w:t>
      </w:r>
    </w:p>
    <w:p w14:paraId="7CC5F336" w14:textId="77777777" w:rsidR="00EB5913" w:rsidRPr="006623B9" w:rsidRDefault="00EB5913" w:rsidP="00EB5913">
      <w:pPr>
        <w:pStyle w:val="Bullet"/>
        <w:spacing w:after="80"/>
      </w:pPr>
      <w:r w:rsidRPr="006623B9">
        <w:t>For textiles, DDOC values are adjusted to reflect the increasing prevalence of synthetic fibres over time.</w:t>
      </w:r>
    </w:p>
    <w:p w14:paraId="511049EA" w14:textId="77777777" w:rsidR="00EB5913" w:rsidRPr="006623B9" w:rsidRDefault="00EB5913" w:rsidP="00EB5913">
      <w:pPr>
        <w:pStyle w:val="Bullet"/>
        <w:spacing w:after="100"/>
      </w:pPr>
      <w:r w:rsidRPr="006623B9">
        <w:t>For nappies, the DDOC value is based on data modelled by Eunomia, which incorporates carbon content estimates from the Swedish anaerobic digestion model ORWARE.</w:t>
      </w:r>
    </w:p>
    <w:p w14:paraId="78F0740A" w14:textId="77777777" w:rsidR="00EB5913" w:rsidRPr="006623B9" w:rsidRDefault="00EB5913" w:rsidP="00EB5913">
      <w:pPr>
        <w:pStyle w:val="BodyText"/>
      </w:pPr>
      <w:r w:rsidRPr="006623B9">
        <w:t>Decay rates (k-values) are determined by climate and material composition, using the IPCC default values (2006a).</w:t>
      </w:r>
    </w:p>
    <w:p w14:paraId="3BA0A243" w14:textId="77777777" w:rsidR="00EB5913" w:rsidRPr="006623B9" w:rsidRDefault="00EB5913" w:rsidP="00EB5913">
      <w:pPr>
        <w:pStyle w:val="Heading6"/>
      </w:pPr>
      <w:bookmarkStart w:id="3033" w:name="methane-recovery"/>
      <w:bookmarkEnd w:id="3031"/>
      <w:r w:rsidRPr="006623B9">
        <w:t>Methane recovery</w:t>
      </w:r>
    </w:p>
    <w:p w14:paraId="1C7DBD48" w14:textId="77777777" w:rsidR="00EB5913" w:rsidRPr="006623B9" w:rsidRDefault="00EB5913" w:rsidP="00EB5913">
      <w:pPr>
        <w:pStyle w:val="BodyText"/>
        <w:spacing w:before="80" w:after="100"/>
      </w:pPr>
      <w:r w:rsidRPr="006623B9">
        <w:t>Country-specific CH</w:t>
      </w:r>
      <w:r w:rsidRPr="006623B9">
        <w:rPr>
          <w:vertAlign w:val="subscript"/>
        </w:rPr>
        <w:t>4</w:t>
      </w:r>
      <w:r w:rsidRPr="006623B9">
        <w:t xml:space="preserve"> recovery rates were gathered from a range of open and closed facilities, </w:t>
      </w:r>
      <w:r w:rsidRPr="006623B9">
        <w:rPr>
          <w:spacing w:val="-2"/>
        </w:rPr>
        <w:t>varying in size from small to large. These data were provided to the Ministry for the Environment</w:t>
      </w:r>
      <w:r w:rsidRPr="006623B9">
        <w:t xml:space="preserve"> through a voluntary survey conducted in 2024. To estimate LFG collection efficiency for each site, several assumptions were made regarding the following parameters.</w:t>
      </w:r>
    </w:p>
    <w:p w14:paraId="1ED33DF0" w14:textId="77777777" w:rsidR="00EB5913" w:rsidRPr="006623B9" w:rsidRDefault="00EB5913" w:rsidP="00EB5913">
      <w:pPr>
        <w:pStyle w:val="Bullet"/>
        <w:spacing w:after="100"/>
      </w:pPr>
      <w:r w:rsidRPr="006623B9">
        <w:t>Cover type and capture rate: Coverage and capture rate assumptions were primarily derived from survey responses. Kate Valley Landfill, located in Canterbury on the South Island, was selected as the reference site because it reflects the median site coverage, expressed as a percentage of total area, across all small sites. Coverage characteristics were adopted directly from this site and were not calculated or modelled, and were applied to sites that did not respond to the relevant survey questions on site coverage. For non</w:t>
      </w:r>
      <w:r w:rsidRPr="006623B9">
        <w:rPr>
          <w:rFonts w:ascii="Cambria Math" w:hAnsi="Cambria Math" w:cs="Cambria Math"/>
        </w:rPr>
        <w:t>‑</w:t>
      </w:r>
      <w:r w:rsidRPr="006623B9">
        <w:t>participating landfills, or for sites where data quality was insufficient, a default gas recovery rate of 20 percent was applied, in accordance with IPCC default values (IPCC, 2006a). Capture rates for each cover type, excluding system losses, were assumed based on international landfill gas modelling studies (Gregory, 2017).</w:t>
      </w:r>
    </w:p>
    <w:p w14:paraId="28FBDE4E" w14:textId="77777777" w:rsidR="00EB5913" w:rsidRPr="006623B9" w:rsidRDefault="00EB5913" w:rsidP="00EB5913">
      <w:pPr>
        <w:pStyle w:val="Bullet"/>
        <w:spacing w:after="100"/>
      </w:pPr>
      <w:r w:rsidRPr="006623B9">
        <w:t>Capture rate losses: Assumptions were made regarding loss rates at each site’s LFG system at different stages of its life cycle. A 10 percent loss in capture rate was assumed once gas collection begins but before flaring is introduced. This loss increases from 10 percent to 20 percent after flaring starts. After LFG collection ceases (assumed to be 15 years after flaring begins), the loss rate drops to zero.</w:t>
      </w:r>
    </w:p>
    <w:p w14:paraId="618C2010" w14:textId="77777777" w:rsidR="00EB5913" w:rsidRPr="006623B9" w:rsidRDefault="00EB5913" w:rsidP="00EB5913">
      <w:pPr>
        <w:pStyle w:val="Bullet"/>
        <w:spacing w:after="100"/>
      </w:pPr>
      <w:r w:rsidRPr="006623B9">
        <w:t>Cover type losses after filling: Expert judgement was applied to assumptions regarding the transition from operational areas to permanently capped areas once landfill operations cease. It is assumed that operational areas reduce by 100 percent (to 0 hectares) in the year following the cessation of operations. The area covered by temporary caps is expected to decrease to zero over time, while the area covered by permanent caps is expected to increase to 100 percent.</w:t>
      </w:r>
    </w:p>
    <w:p w14:paraId="57B6FBD3" w14:textId="77777777" w:rsidR="00EB5913" w:rsidRPr="006623B9" w:rsidRDefault="00EB5913" w:rsidP="00EB5913">
      <w:pPr>
        <w:pStyle w:val="Bullet"/>
        <w:spacing w:after="100"/>
      </w:pPr>
      <w:r w:rsidRPr="006623B9">
        <w:t>Capture rate before operations: A capture rate of 0 percent is assumed before the implementation of LFG systems.</w:t>
      </w:r>
    </w:p>
    <w:p w14:paraId="21E7AAB7" w14:textId="77777777" w:rsidR="00EB5913" w:rsidRPr="006623B9" w:rsidRDefault="00EB5913" w:rsidP="00EB5913">
      <w:pPr>
        <w:pStyle w:val="BodyText"/>
        <w:spacing w:after="100"/>
      </w:pPr>
      <w:r w:rsidRPr="006623B9">
        <w:t>In general, higher recovery rates are associated with modern, large and well-managed facilities that have more efficient systems compared with other sites. While the Ministry for the Environment aims to collect additional country-specific capture data regularly, to revise these assumptions, it is important to note these data cannot be made publicly available because they are commercially sensitive.</w:t>
      </w:r>
    </w:p>
    <w:p w14:paraId="4F8CF8E2" w14:textId="77777777" w:rsidR="00EB5913" w:rsidRPr="006623B9" w:rsidRDefault="00EB5913" w:rsidP="00EB5913">
      <w:pPr>
        <w:pStyle w:val="Heading6"/>
      </w:pPr>
      <w:bookmarkStart w:id="3034" w:name="summary-of-parameters-used"/>
      <w:bookmarkEnd w:id="3033"/>
      <w:r w:rsidRPr="006623B9">
        <w:t>Summary of parameters used</w:t>
      </w:r>
    </w:p>
    <w:p w14:paraId="6E34DE19" w14:textId="77777777" w:rsidR="00EB5913" w:rsidRPr="006623B9" w:rsidRDefault="00EB5913" w:rsidP="00EB5913">
      <w:pPr>
        <w:pStyle w:val="BodyText"/>
        <w:spacing w:before="80" w:after="100"/>
      </w:pPr>
      <w:r w:rsidRPr="006623B9">
        <w:t>Table 7.2.9 summarises the parameter values applied for estimating CH</w:t>
      </w:r>
      <w:r w:rsidRPr="006623B9">
        <w:rPr>
          <w:vertAlign w:val="subscript"/>
        </w:rPr>
        <w:t>4</w:t>
      </w:r>
      <w:r w:rsidRPr="006623B9">
        <w:t xml:space="preserve"> emissions for solid waste disposed to managed SWDS.</w:t>
      </w:r>
    </w:p>
    <w:p w14:paraId="7D3969C7" w14:textId="77777777" w:rsidR="00EB5913" w:rsidRPr="006623B9" w:rsidRDefault="00EB5913" w:rsidP="00EB5913">
      <w:pPr>
        <w:pStyle w:val="Table"/>
      </w:pPr>
      <w:bookmarkStart w:id="3035" w:name="_Toc226669107"/>
      <w:r w:rsidRPr="006623B9">
        <w:t xml:space="preserve">Table 7.2.9 </w:t>
      </w:r>
      <w:r w:rsidRPr="006623B9">
        <w:tab/>
        <w:t>Summary of parameters for managed solid waste disposal sites</w:t>
      </w:r>
      <w:bookmarkEnd w:id="3035"/>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77"/>
        <w:gridCol w:w="2126"/>
        <w:gridCol w:w="1418"/>
        <w:gridCol w:w="1973"/>
      </w:tblGrid>
      <w:tr w:rsidR="00EB5913" w:rsidRPr="006623B9" w14:paraId="54632B8B" w14:textId="77777777" w:rsidTr="00F16E23">
        <w:trPr>
          <w:tblHeader/>
        </w:trPr>
        <w:tc>
          <w:tcPr>
            <w:tcW w:w="2977" w:type="dxa"/>
            <w:shd w:val="clear" w:color="auto" w:fill="1B556B"/>
            <w:tcMar>
              <w:top w:w="0" w:type="dxa"/>
              <w:left w:w="85" w:type="dxa"/>
              <w:bottom w:w="0" w:type="dxa"/>
              <w:right w:w="85" w:type="dxa"/>
            </w:tcMar>
          </w:tcPr>
          <w:p w14:paraId="1E9BEB82" w14:textId="77777777" w:rsidR="00EB5913" w:rsidRPr="006623B9" w:rsidRDefault="00EB5913" w:rsidP="00F16E23">
            <w:pPr>
              <w:pStyle w:val="TableTextBold"/>
              <w:spacing w:before="40" w:after="40"/>
              <w:rPr>
                <w:rFonts w:cs="Calibri"/>
                <w:noProof w:val="0"/>
                <w:color w:val="FFFFFF" w:themeColor="background1"/>
                <w:szCs w:val="16"/>
              </w:rPr>
            </w:pPr>
            <w:r w:rsidRPr="006623B9">
              <w:rPr>
                <w:rFonts w:eastAsia="Calibri" w:cs="Calibri"/>
                <w:noProof w:val="0"/>
                <w:color w:val="FFFFFF" w:themeColor="background1"/>
                <w:szCs w:val="16"/>
              </w:rPr>
              <w:t>Parameter</w:t>
            </w:r>
          </w:p>
        </w:tc>
        <w:tc>
          <w:tcPr>
            <w:tcW w:w="2126" w:type="dxa"/>
            <w:shd w:val="clear" w:color="auto" w:fill="1B556B"/>
            <w:tcMar>
              <w:top w:w="0" w:type="dxa"/>
              <w:left w:w="85" w:type="dxa"/>
              <w:bottom w:w="0" w:type="dxa"/>
              <w:right w:w="85" w:type="dxa"/>
            </w:tcMar>
          </w:tcPr>
          <w:p w14:paraId="5EA6A993" w14:textId="77777777" w:rsidR="00EB5913" w:rsidRPr="006623B9" w:rsidRDefault="00EB5913" w:rsidP="00F16E23">
            <w:pPr>
              <w:pStyle w:val="TableTextBold"/>
              <w:spacing w:before="40" w:after="40"/>
              <w:rPr>
                <w:rFonts w:cs="Calibri"/>
                <w:noProof w:val="0"/>
                <w:color w:val="FFFFFF" w:themeColor="background1"/>
                <w:szCs w:val="16"/>
              </w:rPr>
            </w:pPr>
            <w:r w:rsidRPr="006623B9">
              <w:rPr>
                <w:rFonts w:eastAsia="Calibri" w:cs="Calibri"/>
                <w:noProof w:val="0"/>
                <w:color w:val="FFFFFF" w:themeColor="background1"/>
                <w:szCs w:val="16"/>
              </w:rPr>
              <w:t>Values</w:t>
            </w:r>
          </w:p>
        </w:tc>
        <w:tc>
          <w:tcPr>
            <w:tcW w:w="1418" w:type="dxa"/>
            <w:shd w:val="clear" w:color="auto" w:fill="1B556B"/>
            <w:tcMar>
              <w:top w:w="0" w:type="dxa"/>
              <w:left w:w="85" w:type="dxa"/>
              <w:bottom w:w="0" w:type="dxa"/>
              <w:right w:w="85" w:type="dxa"/>
            </w:tcMar>
          </w:tcPr>
          <w:p w14:paraId="3AC453F4" w14:textId="77777777" w:rsidR="00EB5913" w:rsidRPr="006623B9" w:rsidRDefault="00EB5913" w:rsidP="00F16E23">
            <w:pPr>
              <w:pStyle w:val="TableTextBold"/>
              <w:spacing w:before="40" w:after="40"/>
              <w:rPr>
                <w:rFonts w:cs="Calibri"/>
                <w:noProof w:val="0"/>
                <w:color w:val="FFFFFF" w:themeColor="background1"/>
                <w:szCs w:val="16"/>
              </w:rPr>
            </w:pPr>
            <w:r w:rsidRPr="006623B9">
              <w:rPr>
                <w:rFonts w:eastAsia="Calibri" w:cs="Calibri"/>
                <w:noProof w:val="0"/>
                <w:color w:val="FFFFFF" w:themeColor="background1"/>
                <w:szCs w:val="16"/>
              </w:rPr>
              <w:t>Source</w:t>
            </w:r>
          </w:p>
        </w:tc>
        <w:tc>
          <w:tcPr>
            <w:tcW w:w="1973" w:type="dxa"/>
            <w:shd w:val="clear" w:color="auto" w:fill="1B556B"/>
            <w:tcMar>
              <w:top w:w="0" w:type="dxa"/>
              <w:left w:w="85" w:type="dxa"/>
              <w:bottom w:w="0" w:type="dxa"/>
              <w:right w:w="85" w:type="dxa"/>
            </w:tcMar>
          </w:tcPr>
          <w:p w14:paraId="18D59288" w14:textId="77777777" w:rsidR="00EB5913" w:rsidRPr="006623B9" w:rsidRDefault="00EB5913" w:rsidP="00F16E23">
            <w:pPr>
              <w:pStyle w:val="TableTextBold"/>
              <w:spacing w:before="40" w:after="40"/>
              <w:rPr>
                <w:rFonts w:cs="Calibri"/>
                <w:noProof w:val="0"/>
                <w:color w:val="FFFFFF" w:themeColor="background1"/>
                <w:szCs w:val="16"/>
              </w:rPr>
            </w:pPr>
            <w:r w:rsidRPr="006623B9">
              <w:rPr>
                <w:rFonts w:eastAsia="Calibri" w:cs="Calibri"/>
                <w:noProof w:val="0"/>
                <w:color w:val="FFFFFF" w:themeColor="background1"/>
                <w:szCs w:val="16"/>
              </w:rPr>
              <w:t>Reference</w:t>
            </w:r>
          </w:p>
        </w:tc>
      </w:tr>
      <w:tr w:rsidR="00EB5913" w:rsidRPr="006623B9" w14:paraId="4F788333" w14:textId="77777777" w:rsidTr="00F16E23">
        <w:tc>
          <w:tcPr>
            <w:tcW w:w="2977" w:type="dxa"/>
            <w:shd w:val="clear" w:color="auto" w:fill="FFFFFF"/>
            <w:tcMar>
              <w:top w:w="0" w:type="dxa"/>
              <w:left w:w="85" w:type="dxa"/>
              <w:bottom w:w="0" w:type="dxa"/>
              <w:right w:w="85" w:type="dxa"/>
            </w:tcMar>
          </w:tcPr>
          <w:p w14:paraId="7B8A5FEA" w14:textId="77777777" w:rsidR="00EB5913" w:rsidRPr="006623B9" w:rsidRDefault="00EB5913" w:rsidP="00F16E23">
            <w:pPr>
              <w:pStyle w:val="Tableboldblue"/>
              <w:spacing w:before="40" w:after="40"/>
              <w:rPr>
                <w:rFonts w:cs="Calibri"/>
                <w:szCs w:val="16"/>
              </w:rPr>
            </w:pPr>
            <w:r w:rsidRPr="006623B9">
              <w:rPr>
                <w:rFonts w:cs="Calibri"/>
                <w:szCs w:val="16"/>
              </w:rPr>
              <w:t>Managed SWDS</w:t>
            </w:r>
          </w:p>
        </w:tc>
        <w:tc>
          <w:tcPr>
            <w:tcW w:w="2126" w:type="dxa"/>
            <w:shd w:val="clear" w:color="auto" w:fill="FFFFFF"/>
            <w:tcMar>
              <w:top w:w="0" w:type="dxa"/>
              <w:left w:w="85" w:type="dxa"/>
              <w:bottom w:w="0" w:type="dxa"/>
              <w:right w:w="85" w:type="dxa"/>
            </w:tcMar>
          </w:tcPr>
          <w:p w14:paraId="068E8DD8" w14:textId="77777777" w:rsidR="00EB5913" w:rsidRPr="006623B9" w:rsidRDefault="00EB5913" w:rsidP="00F16E23">
            <w:pPr>
              <w:pStyle w:val="Tableboldblue"/>
              <w:spacing w:before="40" w:after="40"/>
              <w:rPr>
                <w:rFonts w:cs="Calibri"/>
                <w:szCs w:val="16"/>
              </w:rPr>
            </w:pPr>
          </w:p>
        </w:tc>
        <w:tc>
          <w:tcPr>
            <w:tcW w:w="1418" w:type="dxa"/>
            <w:shd w:val="clear" w:color="auto" w:fill="FFFFFF"/>
            <w:tcMar>
              <w:top w:w="0" w:type="dxa"/>
              <w:left w:w="85" w:type="dxa"/>
              <w:bottom w:w="0" w:type="dxa"/>
              <w:right w:w="85" w:type="dxa"/>
            </w:tcMar>
          </w:tcPr>
          <w:p w14:paraId="25E4586F" w14:textId="77777777" w:rsidR="00EB5913" w:rsidRPr="006623B9" w:rsidRDefault="00EB5913" w:rsidP="00F16E23">
            <w:pPr>
              <w:pStyle w:val="Tableboldblue"/>
              <w:spacing w:before="40" w:after="40"/>
              <w:rPr>
                <w:rFonts w:cs="Calibri"/>
                <w:szCs w:val="16"/>
              </w:rPr>
            </w:pPr>
          </w:p>
        </w:tc>
        <w:tc>
          <w:tcPr>
            <w:tcW w:w="1973" w:type="dxa"/>
            <w:shd w:val="clear" w:color="auto" w:fill="FFFFFF"/>
            <w:tcMar>
              <w:top w:w="0" w:type="dxa"/>
              <w:left w:w="85" w:type="dxa"/>
              <w:bottom w:w="0" w:type="dxa"/>
              <w:right w:w="85" w:type="dxa"/>
            </w:tcMar>
          </w:tcPr>
          <w:p w14:paraId="4421604F" w14:textId="77777777" w:rsidR="00EB5913" w:rsidRPr="006623B9" w:rsidRDefault="00EB5913" w:rsidP="00F16E23">
            <w:pPr>
              <w:pStyle w:val="Tableboldblue"/>
              <w:spacing w:before="40" w:after="40"/>
              <w:rPr>
                <w:rFonts w:cs="Calibri"/>
                <w:szCs w:val="16"/>
              </w:rPr>
            </w:pPr>
          </w:p>
        </w:tc>
      </w:tr>
      <w:tr w:rsidR="00EB5913" w:rsidRPr="006623B9" w14:paraId="6AD0976A" w14:textId="77777777" w:rsidTr="00F16E23">
        <w:tc>
          <w:tcPr>
            <w:tcW w:w="2977" w:type="dxa"/>
            <w:shd w:val="clear" w:color="auto" w:fill="FFFFFF"/>
            <w:tcMar>
              <w:top w:w="0" w:type="dxa"/>
              <w:left w:w="85" w:type="dxa"/>
              <w:bottom w:w="0" w:type="dxa"/>
              <w:right w:w="85" w:type="dxa"/>
            </w:tcMar>
          </w:tcPr>
          <w:p w14:paraId="5D4E26D3" w14:textId="77777777" w:rsidR="00EB5913" w:rsidRPr="006623B9" w:rsidRDefault="00EB5913" w:rsidP="00F16E23">
            <w:pPr>
              <w:pStyle w:val="TableText"/>
              <w:spacing w:before="40" w:after="40"/>
              <w:rPr>
                <w:rFonts w:cs="Calibri"/>
                <w:szCs w:val="16"/>
              </w:rPr>
            </w:pPr>
            <w:r w:rsidRPr="006623B9">
              <w:rPr>
                <w:rFonts w:eastAsia="Calibri" w:cs="Calibri"/>
                <w:szCs w:val="16"/>
              </w:rPr>
              <w:t>k-value (wet sites &gt;700mm rain/year)</w:t>
            </w:r>
          </w:p>
        </w:tc>
        <w:tc>
          <w:tcPr>
            <w:tcW w:w="2126" w:type="dxa"/>
            <w:shd w:val="clear" w:color="auto" w:fill="FFFFFF"/>
            <w:tcMar>
              <w:top w:w="0" w:type="dxa"/>
              <w:left w:w="85" w:type="dxa"/>
              <w:bottom w:w="0" w:type="dxa"/>
              <w:right w:w="85" w:type="dxa"/>
            </w:tcMar>
          </w:tcPr>
          <w:p w14:paraId="1A344AB1" w14:textId="77777777" w:rsidR="00EB5913" w:rsidRPr="006623B9" w:rsidRDefault="00EB5913" w:rsidP="00F16E23">
            <w:pPr>
              <w:pStyle w:val="TableText"/>
              <w:spacing w:before="40" w:after="40"/>
              <w:rPr>
                <w:rFonts w:cs="Calibri"/>
                <w:szCs w:val="16"/>
              </w:rPr>
            </w:pPr>
            <w:r w:rsidRPr="006623B9">
              <w:rPr>
                <w:rFonts w:eastAsia="Calibri" w:cs="Calibri"/>
                <w:szCs w:val="16"/>
              </w:rPr>
              <w:t>0.030–0.185</w:t>
            </w:r>
          </w:p>
        </w:tc>
        <w:tc>
          <w:tcPr>
            <w:tcW w:w="1418" w:type="dxa"/>
            <w:shd w:val="clear" w:color="auto" w:fill="FFFFFF"/>
            <w:tcMar>
              <w:top w:w="0" w:type="dxa"/>
              <w:left w:w="85" w:type="dxa"/>
              <w:bottom w:w="0" w:type="dxa"/>
              <w:right w:w="85" w:type="dxa"/>
            </w:tcMar>
          </w:tcPr>
          <w:p w14:paraId="63221A34"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2E5415AF"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1FD1FE8D" w14:textId="77777777" w:rsidTr="00F16E23">
        <w:tc>
          <w:tcPr>
            <w:tcW w:w="2977" w:type="dxa"/>
            <w:shd w:val="clear" w:color="auto" w:fill="FFFFFF"/>
            <w:tcMar>
              <w:top w:w="0" w:type="dxa"/>
              <w:left w:w="85" w:type="dxa"/>
              <w:bottom w:w="0" w:type="dxa"/>
              <w:right w:w="85" w:type="dxa"/>
            </w:tcMar>
          </w:tcPr>
          <w:p w14:paraId="5F4DAA3A" w14:textId="77777777" w:rsidR="00EB5913" w:rsidRPr="006623B9" w:rsidRDefault="00EB5913" w:rsidP="00F16E23">
            <w:pPr>
              <w:pStyle w:val="TableText"/>
              <w:spacing w:before="40" w:after="40"/>
              <w:rPr>
                <w:rFonts w:cs="Calibri"/>
                <w:szCs w:val="16"/>
              </w:rPr>
            </w:pPr>
            <w:r w:rsidRPr="006623B9">
              <w:rPr>
                <w:rFonts w:eastAsia="Calibri" w:cs="Calibri"/>
                <w:szCs w:val="16"/>
              </w:rPr>
              <w:t>k-value (dry sites &lt;700mm rain/year)</w:t>
            </w:r>
          </w:p>
        </w:tc>
        <w:tc>
          <w:tcPr>
            <w:tcW w:w="2126" w:type="dxa"/>
            <w:shd w:val="clear" w:color="auto" w:fill="FFFFFF"/>
            <w:tcMar>
              <w:top w:w="0" w:type="dxa"/>
              <w:left w:w="85" w:type="dxa"/>
              <w:bottom w:w="0" w:type="dxa"/>
              <w:right w:w="85" w:type="dxa"/>
            </w:tcMar>
          </w:tcPr>
          <w:p w14:paraId="4188627D" w14:textId="77777777" w:rsidR="00EB5913" w:rsidRPr="006623B9" w:rsidRDefault="00EB5913" w:rsidP="00F16E23">
            <w:pPr>
              <w:pStyle w:val="TableText"/>
              <w:spacing w:before="40" w:after="40"/>
              <w:rPr>
                <w:rFonts w:cs="Calibri"/>
                <w:szCs w:val="16"/>
              </w:rPr>
            </w:pPr>
            <w:r w:rsidRPr="006623B9">
              <w:rPr>
                <w:rFonts w:eastAsia="Calibri" w:cs="Calibri"/>
                <w:szCs w:val="16"/>
              </w:rPr>
              <w:t>0.02–0.06</w:t>
            </w:r>
          </w:p>
        </w:tc>
        <w:tc>
          <w:tcPr>
            <w:tcW w:w="1418" w:type="dxa"/>
            <w:shd w:val="clear" w:color="auto" w:fill="FFFFFF"/>
            <w:tcMar>
              <w:top w:w="0" w:type="dxa"/>
              <w:left w:w="85" w:type="dxa"/>
              <w:bottom w:w="0" w:type="dxa"/>
              <w:right w:w="85" w:type="dxa"/>
            </w:tcMar>
          </w:tcPr>
          <w:p w14:paraId="28373313"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68AF1553"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022B40BD" w14:textId="77777777" w:rsidTr="00F16E23">
        <w:tc>
          <w:tcPr>
            <w:tcW w:w="2977" w:type="dxa"/>
            <w:shd w:val="clear" w:color="auto" w:fill="FFFFFF"/>
            <w:tcMar>
              <w:top w:w="0" w:type="dxa"/>
              <w:left w:w="85" w:type="dxa"/>
              <w:bottom w:w="0" w:type="dxa"/>
              <w:right w:w="85" w:type="dxa"/>
            </w:tcMar>
          </w:tcPr>
          <w:p w14:paraId="561F2231" w14:textId="77777777" w:rsidR="00EB5913" w:rsidRPr="006623B9" w:rsidRDefault="00EB5913" w:rsidP="00F16E23">
            <w:pPr>
              <w:pStyle w:val="TableText"/>
              <w:spacing w:before="40" w:after="40"/>
              <w:rPr>
                <w:rFonts w:cs="Calibri"/>
                <w:szCs w:val="16"/>
              </w:rPr>
            </w:pPr>
            <w:r w:rsidRPr="006623B9">
              <w:rPr>
                <w:rFonts w:eastAsia="Calibri" w:cs="Calibri"/>
                <w:szCs w:val="16"/>
              </w:rPr>
              <w:t>Methane correction factor</w:t>
            </w:r>
          </w:p>
        </w:tc>
        <w:tc>
          <w:tcPr>
            <w:tcW w:w="2126" w:type="dxa"/>
            <w:shd w:val="clear" w:color="auto" w:fill="FFFFFF"/>
            <w:tcMar>
              <w:top w:w="0" w:type="dxa"/>
              <w:left w:w="85" w:type="dxa"/>
              <w:bottom w:w="0" w:type="dxa"/>
              <w:right w:w="85" w:type="dxa"/>
            </w:tcMar>
          </w:tcPr>
          <w:p w14:paraId="036F89C5" w14:textId="77777777" w:rsidR="00EB5913" w:rsidRPr="006623B9" w:rsidRDefault="00EB5913" w:rsidP="00F16E23">
            <w:pPr>
              <w:pStyle w:val="TableText"/>
              <w:spacing w:before="40" w:after="40"/>
              <w:rPr>
                <w:rFonts w:cs="Calibri"/>
                <w:szCs w:val="16"/>
              </w:rPr>
            </w:pPr>
            <w:r w:rsidRPr="006623B9">
              <w:rPr>
                <w:rFonts w:eastAsia="Calibri" w:cs="Calibri"/>
                <w:szCs w:val="16"/>
              </w:rPr>
              <w:t>1</w:t>
            </w:r>
          </w:p>
        </w:tc>
        <w:tc>
          <w:tcPr>
            <w:tcW w:w="1418" w:type="dxa"/>
            <w:shd w:val="clear" w:color="auto" w:fill="FFFFFF"/>
            <w:tcMar>
              <w:top w:w="0" w:type="dxa"/>
              <w:left w:w="85" w:type="dxa"/>
              <w:bottom w:w="0" w:type="dxa"/>
              <w:right w:w="85" w:type="dxa"/>
            </w:tcMar>
          </w:tcPr>
          <w:p w14:paraId="6905077B"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00FCED61"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6EECB520" w14:textId="77777777" w:rsidTr="00F16E23">
        <w:tc>
          <w:tcPr>
            <w:tcW w:w="2977" w:type="dxa"/>
            <w:shd w:val="clear" w:color="auto" w:fill="FFFFFF"/>
            <w:tcMar>
              <w:top w:w="0" w:type="dxa"/>
              <w:left w:w="85" w:type="dxa"/>
              <w:bottom w:w="0" w:type="dxa"/>
              <w:right w:w="85" w:type="dxa"/>
            </w:tcMar>
          </w:tcPr>
          <w:p w14:paraId="505F435D" w14:textId="77777777" w:rsidR="00EB5913" w:rsidRPr="006623B9" w:rsidRDefault="00EB5913" w:rsidP="00F16E23">
            <w:pPr>
              <w:pStyle w:val="TableText"/>
              <w:spacing w:before="40" w:after="40"/>
              <w:rPr>
                <w:rFonts w:cs="Calibri"/>
                <w:szCs w:val="16"/>
              </w:rPr>
            </w:pPr>
            <w:r w:rsidRPr="006623B9">
              <w:rPr>
                <w:rFonts w:eastAsia="Calibri" w:cs="Calibri"/>
                <w:szCs w:val="16"/>
              </w:rPr>
              <w:t>Oxidation factor</w:t>
            </w:r>
          </w:p>
        </w:tc>
        <w:tc>
          <w:tcPr>
            <w:tcW w:w="2126" w:type="dxa"/>
            <w:shd w:val="clear" w:color="auto" w:fill="FFFFFF"/>
            <w:tcMar>
              <w:top w:w="0" w:type="dxa"/>
              <w:left w:w="85" w:type="dxa"/>
              <w:bottom w:w="0" w:type="dxa"/>
              <w:right w:w="85" w:type="dxa"/>
            </w:tcMar>
          </w:tcPr>
          <w:p w14:paraId="71A82EAB" w14:textId="77777777" w:rsidR="00EB5913" w:rsidRPr="006623B9" w:rsidRDefault="00EB5913" w:rsidP="00F16E23">
            <w:pPr>
              <w:pStyle w:val="TableText"/>
              <w:spacing w:before="40" w:after="40"/>
              <w:rPr>
                <w:rFonts w:cs="Calibri"/>
                <w:szCs w:val="16"/>
              </w:rPr>
            </w:pPr>
            <w:r w:rsidRPr="006623B9">
              <w:rPr>
                <w:rFonts w:eastAsia="Calibri" w:cs="Calibri"/>
                <w:szCs w:val="16"/>
              </w:rPr>
              <w:t>10 percent</w:t>
            </w:r>
          </w:p>
        </w:tc>
        <w:tc>
          <w:tcPr>
            <w:tcW w:w="1418" w:type="dxa"/>
            <w:shd w:val="clear" w:color="auto" w:fill="FFFFFF"/>
            <w:tcMar>
              <w:top w:w="0" w:type="dxa"/>
              <w:left w:w="85" w:type="dxa"/>
              <w:bottom w:w="0" w:type="dxa"/>
              <w:right w:w="85" w:type="dxa"/>
            </w:tcMar>
          </w:tcPr>
          <w:p w14:paraId="5C134C95"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6B6DD0B6"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341ADF50" w14:textId="77777777" w:rsidTr="00F16E23">
        <w:tc>
          <w:tcPr>
            <w:tcW w:w="2977" w:type="dxa"/>
            <w:shd w:val="clear" w:color="auto" w:fill="FFFFFF"/>
            <w:tcMar>
              <w:top w:w="0" w:type="dxa"/>
              <w:left w:w="85" w:type="dxa"/>
              <w:bottom w:w="0" w:type="dxa"/>
              <w:right w:w="85" w:type="dxa"/>
            </w:tcMar>
          </w:tcPr>
          <w:p w14:paraId="09ED72C2" w14:textId="77777777" w:rsidR="00EB5913" w:rsidRPr="006623B9" w:rsidRDefault="00EB5913" w:rsidP="00F16E23">
            <w:pPr>
              <w:pStyle w:val="TableText"/>
              <w:spacing w:before="40" w:after="40"/>
              <w:rPr>
                <w:rFonts w:cs="Calibri"/>
                <w:szCs w:val="16"/>
              </w:rPr>
            </w:pPr>
            <w:r w:rsidRPr="006623B9">
              <w:rPr>
                <w:rFonts w:eastAsia="Calibri" w:cs="Calibri"/>
                <w:szCs w:val="16"/>
              </w:rPr>
              <w:t>Recovery efficiency</w:t>
            </w:r>
          </w:p>
        </w:tc>
        <w:tc>
          <w:tcPr>
            <w:tcW w:w="2126" w:type="dxa"/>
            <w:shd w:val="clear" w:color="auto" w:fill="FFFFFF"/>
            <w:tcMar>
              <w:top w:w="0" w:type="dxa"/>
              <w:left w:w="85" w:type="dxa"/>
              <w:bottom w:w="0" w:type="dxa"/>
              <w:right w:w="85" w:type="dxa"/>
            </w:tcMar>
          </w:tcPr>
          <w:p w14:paraId="75581FC4" w14:textId="77777777" w:rsidR="00EB5913" w:rsidRPr="006623B9" w:rsidRDefault="00EB5913" w:rsidP="00F16E23">
            <w:pPr>
              <w:pStyle w:val="TableText"/>
              <w:spacing w:before="40" w:after="40"/>
              <w:rPr>
                <w:rFonts w:cs="Calibri"/>
                <w:szCs w:val="16"/>
              </w:rPr>
            </w:pPr>
            <w:r w:rsidRPr="006623B9">
              <w:rPr>
                <w:rFonts w:eastAsia="Calibri" w:cs="Calibri"/>
                <w:szCs w:val="16"/>
              </w:rPr>
              <w:t xml:space="preserve">20–80 percent (site specific) </w:t>
            </w:r>
            <w:r w:rsidRPr="006623B9">
              <w:rPr>
                <w:rFonts w:eastAsia="Calibri" w:cs="Calibri"/>
                <w:szCs w:val="16"/>
              </w:rPr>
              <w:br/>
              <w:t>0 percent (no recovery)</w:t>
            </w:r>
          </w:p>
        </w:tc>
        <w:tc>
          <w:tcPr>
            <w:tcW w:w="1418" w:type="dxa"/>
            <w:shd w:val="clear" w:color="auto" w:fill="FFFFFF"/>
            <w:tcMar>
              <w:top w:w="0" w:type="dxa"/>
              <w:left w:w="85" w:type="dxa"/>
              <w:bottom w:w="0" w:type="dxa"/>
              <w:right w:w="85" w:type="dxa"/>
            </w:tcMar>
          </w:tcPr>
          <w:p w14:paraId="50C7913F" w14:textId="77777777" w:rsidR="00EB5913" w:rsidRPr="006623B9" w:rsidRDefault="00EB5913" w:rsidP="00F16E23">
            <w:pPr>
              <w:pStyle w:val="TableText"/>
              <w:spacing w:before="40" w:after="40"/>
              <w:rPr>
                <w:rFonts w:cs="Calibri"/>
                <w:szCs w:val="16"/>
              </w:rPr>
            </w:pPr>
            <w:r w:rsidRPr="006623B9">
              <w:rPr>
                <w:rFonts w:eastAsia="Calibri" w:cs="Calibri"/>
                <w:szCs w:val="16"/>
              </w:rPr>
              <w:t>Site specific</w:t>
            </w:r>
          </w:p>
        </w:tc>
        <w:tc>
          <w:tcPr>
            <w:tcW w:w="1973" w:type="dxa"/>
            <w:shd w:val="clear" w:color="auto" w:fill="FFFFFF"/>
            <w:tcMar>
              <w:top w:w="0" w:type="dxa"/>
              <w:left w:w="85" w:type="dxa"/>
              <w:bottom w:w="0" w:type="dxa"/>
              <w:right w:w="85" w:type="dxa"/>
            </w:tcMar>
          </w:tcPr>
          <w:p w14:paraId="131BFF39" w14:textId="77777777" w:rsidR="00EB5913" w:rsidRPr="006623B9" w:rsidRDefault="00EB5913" w:rsidP="00F16E23">
            <w:pPr>
              <w:pStyle w:val="TableText"/>
              <w:spacing w:before="40" w:after="40"/>
              <w:rPr>
                <w:rFonts w:cs="Calibri"/>
                <w:szCs w:val="16"/>
              </w:rPr>
            </w:pPr>
            <w:r w:rsidRPr="006623B9">
              <w:rPr>
                <w:rFonts w:eastAsia="Calibri" w:cs="Calibri"/>
                <w:szCs w:val="16"/>
              </w:rPr>
              <w:t>Eunomia (unpublished(d))</w:t>
            </w:r>
          </w:p>
        </w:tc>
      </w:tr>
      <w:tr w:rsidR="00EB5913" w:rsidRPr="006623B9" w14:paraId="429268DB" w14:textId="77777777" w:rsidTr="00F16E23">
        <w:tc>
          <w:tcPr>
            <w:tcW w:w="2977" w:type="dxa"/>
            <w:shd w:val="clear" w:color="auto" w:fill="FFFFFF"/>
            <w:tcMar>
              <w:top w:w="0" w:type="dxa"/>
              <w:left w:w="85" w:type="dxa"/>
              <w:bottom w:w="0" w:type="dxa"/>
              <w:right w:w="85" w:type="dxa"/>
            </w:tcMar>
          </w:tcPr>
          <w:p w14:paraId="05F5BCFC" w14:textId="77777777" w:rsidR="00EB5913" w:rsidRPr="006623B9" w:rsidRDefault="00EB5913" w:rsidP="00F16E23">
            <w:pPr>
              <w:pStyle w:val="TableText"/>
              <w:spacing w:before="40" w:after="40"/>
              <w:rPr>
                <w:rFonts w:cs="Calibri"/>
                <w:szCs w:val="16"/>
              </w:rPr>
            </w:pPr>
            <w:r w:rsidRPr="006623B9">
              <w:rPr>
                <w:rFonts w:eastAsia="Calibri" w:cs="Calibri"/>
                <w:szCs w:val="16"/>
              </w:rPr>
              <w:t>DDOC (kt C/kt waste) </w:t>
            </w:r>
          </w:p>
        </w:tc>
        <w:tc>
          <w:tcPr>
            <w:tcW w:w="2126" w:type="dxa"/>
            <w:shd w:val="clear" w:color="auto" w:fill="FFFFFF"/>
            <w:tcMar>
              <w:top w:w="0" w:type="dxa"/>
              <w:left w:w="85" w:type="dxa"/>
              <w:bottom w:w="0" w:type="dxa"/>
              <w:right w:w="85" w:type="dxa"/>
            </w:tcMar>
          </w:tcPr>
          <w:p w14:paraId="3F5FB683" w14:textId="77777777" w:rsidR="00EB5913" w:rsidRPr="006623B9" w:rsidRDefault="00EB5913" w:rsidP="00F16E23">
            <w:pPr>
              <w:pStyle w:val="TableText"/>
              <w:spacing w:before="40" w:after="40"/>
              <w:rPr>
                <w:rFonts w:cs="Calibri"/>
                <w:szCs w:val="16"/>
              </w:rPr>
            </w:pPr>
            <w:r w:rsidRPr="006623B9">
              <w:rPr>
                <w:rFonts w:eastAsia="Calibri" w:cs="Calibri"/>
                <w:szCs w:val="16"/>
              </w:rPr>
              <w:t>0.025–0.20</w:t>
            </w:r>
          </w:p>
        </w:tc>
        <w:tc>
          <w:tcPr>
            <w:tcW w:w="1418" w:type="dxa"/>
            <w:shd w:val="clear" w:color="auto" w:fill="FFFFFF"/>
            <w:tcMar>
              <w:top w:w="0" w:type="dxa"/>
              <w:left w:w="85" w:type="dxa"/>
              <w:bottom w:w="0" w:type="dxa"/>
              <w:right w:w="85" w:type="dxa"/>
            </w:tcMar>
          </w:tcPr>
          <w:p w14:paraId="55E98473" w14:textId="77777777" w:rsidR="00EB5913" w:rsidRPr="006623B9" w:rsidRDefault="00EB5913" w:rsidP="00F16E23">
            <w:pPr>
              <w:pStyle w:val="TableText"/>
              <w:spacing w:before="40" w:after="40"/>
              <w:rPr>
                <w:rFonts w:cs="Calibri"/>
                <w:szCs w:val="16"/>
              </w:rPr>
            </w:pPr>
            <w:r w:rsidRPr="006623B9">
              <w:rPr>
                <w:rFonts w:eastAsia="Calibri" w:cs="Calibri"/>
                <w:szCs w:val="16"/>
              </w:rPr>
              <w:t>Country specific</w:t>
            </w:r>
          </w:p>
        </w:tc>
        <w:tc>
          <w:tcPr>
            <w:tcW w:w="1973" w:type="dxa"/>
            <w:shd w:val="clear" w:color="auto" w:fill="FFFFFF"/>
            <w:tcMar>
              <w:top w:w="0" w:type="dxa"/>
              <w:left w:w="85" w:type="dxa"/>
              <w:bottom w:w="0" w:type="dxa"/>
              <w:right w:w="85" w:type="dxa"/>
            </w:tcMar>
          </w:tcPr>
          <w:p w14:paraId="7A8B06D7" w14:textId="77777777" w:rsidR="00EB5913" w:rsidRPr="006623B9" w:rsidRDefault="00EB5913" w:rsidP="00F16E23">
            <w:pPr>
              <w:pStyle w:val="TableText"/>
              <w:spacing w:before="40" w:after="40"/>
              <w:rPr>
                <w:rFonts w:cs="Calibri"/>
                <w:szCs w:val="16"/>
              </w:rPr>
            </w:pPr>
            <w:r w:rsidRPr="006623B9">
              <w:rPr>
                <w:rFonts w:eastAsia="Calibri" w:cs="Calibri"/>
                <w:szCs w:val="16"/>
              </w:rPr>
              <w:t>Eunomia (unpublished(a)), IPCC (2006a)</w:t>
            </w:r>
          </w:p>
        </w:tc>
      </w:tr>
      <w:tr w:rsidR="00EB5913" w:rsidRPr="006623B9" w14:paraId="3EEE6A54" w14:textId="77777777" w:rsidTr="00F16E23">
        <w:tc>
          <w:tcPr>
            <w:tcW w:w="2977" w:type="dxa"/>
            <w:shd w:val="clear" w:color="auto" w:fill="FFFFFF"/>
            <w:tcMar>
              <w:top w:w="0" w:type="dxa"/>
              <w:left w:w="85" w:type="dxa"/>
              <w:bottom w:w="0" w:type="dxa"/>
              <w:right w:w="85" w:type="dxa"/>
            </w:tcMar>
          </w:tcPr>
          <w:p w14:paraId="05CD720E" w14:textId="77777777" w:rsidR="00EB5913" w:rsidRPr="006623B9" w:rsidRDefault="00EB5913" w:rsidP="00F16E23">
            <w:pPr>
              <w:pStyle w:val="TableText"/>
              <w:spacing w:before="40" w:after="40"/>
              <w:rPr>
                <w:rFonts w:cs="Calibri"/>
                <w:szCs w:val="16"/>
              </w:rPr>
            </w:pPr>
            <w:r w:rsidRPr="006623B9">
              <w:rPr>
                <w:rFonts w:eastAsia="Calibri" w:cs="Calibri"/>
                <w:szCs w:val="16"/>
              </w:rPr>
              <w:t>DOCf that decomposes</w:t>
            </w:r>
          </w:p>
        </w:tc>
        <w:tc>
          <w:tcPr>
            <w:tcW w:w="2126" w:type="dxa"/>
            <w:shd w:val="clear" w:color="auto" w:fill="FFFFFF"/>
            <w:tcMar>
              <w:top w:w="0" w:type="dxa"/>
              <w:left w:w="85" w:type="dxa"/>
              <w:bottom w:w="0" w:type="dxa"/>
              <w:right w:w="85" w:type="dxa"/>
            </w:tcMar>
          </w:tcPr>
          <w:p w14:paraId="359D240E" w14:textId="77777777" w:rsidR="00EB5913" w:rsidRPr="006623B9" w:rsidRDefault="00EB5913" w:rsidP="00F16E23">
            <w:pPr>
              <w:pStyle w:val="TableText"/>
              <w:spacing w:before="40" w:after="40"/>
              <w:rPr>
                <w:rFonts w:cs="Calibri"/>
                <w:szCs w:val="16"/>
              </w:rPr>
            </w:pPr>
            <w:r w:rsidRPr="006623B9">
              <w:rPr>
                <w:rFonts w:eastAsia="Calibri" w:cs="Calibri"/>
                <w:szCs w:val="16"/>
              </w:rPr>
              <w:t>0.14–0.7</w:t>
            </w:r>
          </w:p>
        </w:tc>
        <w:tc>
          <w:tcPr>
            <w:tcW w:w="1418" w:type="dxa"/>
            <w:shd w:val="clear" w:color="auto" w:fill="FFFFFF"/>
            <w:tcMar>
              <w:top w:w="0" w:type="dxa"/>
              <w:left w:w="85" w:type="dxa"/>
              <w:bottom w:w="0" w:type="dxa"/>
              <w:right w:w="85" w:type="dxa"/>
            </w:tcMar>
          </w:tcPr>
          <w:p w14:paraId="687D03ED" w14:textId="77777777" w:rsidR="00EB5913" w:rsidRPr="006623B9" w:rsidRDefault="00EB5913" w:rsidP="00F16E23">
            <w:pPr>
              <w:pStyle w:val="TableText"/>
              <w:spacing w:before="40" w:after="40"/>
              <w:rPr>
                <w:rFonts w:cs="Calibri"/>
                <w:szCs w:val="16"/>
              </w:rPr>
            </w:pPr>
            <w:r w:rsidRPr="006623B9">
              <w:rPr>
                <w:rFonts w:eastAsia="Calibri" w:cs="Calibri"/>
                <w:szCs w:val="16"/>
              </w:rPr>
              <w:t>Country specific</w:t>
            </w:r>
          </w:p>
        </w:tc>
        <w:tc>
          <w:tcPr>
            <w:tcW w:w="1973" w:type="dxa"/>
            <w:shd w:val="clear" w:color="auto" w:fill="FFFFFF"/>
            <w:tcMar>
              <w:top w:w="0" w:type="dxa"/>
              <w:left w:w="85" w:type="dxa"/>
              <w:bottom w:w="0" w:type="dxa"/>
              <w:right w:w="85" w:type="dxa"/>
            </w:tcMar>
          </w:tcPr>
          <w:p w14:paraId="1F0C88F2" w14:textId="77777777" w:rsidR="00EB5913" w:rsidRPr="006623B9" w:rsidRDefault="00EB5913" w:rsidP="00F16E23">
            <w:pPr>
              <w:pStyle w:val="TableText"/>
              <w:spacing w:before="40" w:after="40"/>
              <w:rPr>
                <w:rFonts w:cs="Calibri"/>
                <w:szCs w:val="16"/>
              </w:rPr>
            </w:pPr>
            <w:r w:rsidRPr="006623B9">
              <w:rPr>
                <w:rFonts w:eastAsia="Calibri" w:cs="Calibri"/>
                <w:szCs w:val="16"/>
              </w:rPr>
              <w:t>Eunomia (unpublished(a)), IPCC (2006a)</w:t>
            </w:r>
          </w:p>
        </w:tc>
      </w:tr>
      <w:tr w:rsidR="00EB5913" w:rsidRPr="006623B9" w14:paraId="3261DD00" w14:textId="77777777" w:rsidTr="00F16E23">
        <w:tc>
          <w:tcPr>
            <w:tcW w:w="2977" w:type="dxa"/>
            <w:shd w:val="clear" w:color="auto" w:fill="FFFFFF"/>
            <w:tcMar>
              <w:top w:w="0" w:type="dxa"/>
              <w:left w:w="85" w:type="dxa"/>
              <w:bottom w:w="0" w:type="dxa"/>
              <w:right w:w="85" w:type="dxa"/>
            </w:tcMar>
          </w:tcPr>
          <w:p w14:paraId="5B71FE1E" w14:textId="77777777" w:rsidR="00EB5913" w:rsidRPr="006623B9" w:rsidRDefault="00EB5913" w:rsidP="00F16E23">
            <w:pPr>
              <w:pStyle w:val="Tableboldblue"/>
              <w:spacing w:before="40" w:after="40"/>
              <w:rPr>
                <w:rFonts w:cs="Calibri"/>
                <w:szCs w:val="16"/>
              </w:rPr>
            </w:pPr>
            <w:r w:rsidRPr="006623B9">
              <w:rPr>
                <w:rFonts w:eastAsia="Calibri" w:cs="Calibri"/>
                <w:szCs w:val="16"/>
              </w:rPr>
              <w:t>Fraction of methane in landfill gas (F)</w:t>
            </w:r>
          </w:p>
        </w:tc>
        <w:tc>
          <w:tcPr>
            <w:tcW w:w="2126" w:type="dxa"/>
            <w:shd w:val="clear" w:color="auto" w:fill="FFFFFF"/>
            <w:tcMar>
              <w:top w:w="0" w:type="dxa"/>
              <w:left w:w="85" w:type="dxa"/>
              <w:bottom w:w="0" w:type="dxa"/>
              <w:right w:w="85" w:type="dxa"/>
            </w:tcMar>
          </w:tcPr>
          <w:p w14:paraId="3F2EAA6D" w14:textId="77777777" w:rsidR="00EB5913" w:rsidRPr="006623B9" w:rsidRDefault="00EB5913" w:rsidP="00F16E23">
            <w:pPr>
              <w:pStyle w:val="Tableboldblue"/>
              <w:spacing w:before="40" w:after="40"/>
              <w:rPr>
                <w:rFonts w:cs="Calibri"/>
                <w:szCs w:val="16"/>
              </w:rPr>
            </w:pPr>
            <w:r w:rsidRPr="006623B9">
              <w:rPr>
                <w:rFonts w:eastAsia="Calibri" w:cs="Calibri"/>
                <w:szCs w:val="16"/>
              </w:rPr>
              <w:t>0.5</w:t>
            </w:r>
          </w:p>
        </w:tc>
        <w:tc>
          <w:tcPr>
            <w:tcW w:w="1418" w:type="dxa"/>
            <w:shd w:val="clear" w:color="auto" w:fill="FFFFFF"/>
            <w:tcMar>
              <w:top w:w="0" w:type="dxa"/>
              <w:left w:w="85" w:type="dxa"/>
              <w:bottom w:w="0" w:type="dxa"/>
              <w:right w:w="85" w:type="dxa"/>
            </w:tcMar>
          </w:tcPr>
          <w:p w14:paraId="7C4CF627" w14:textId="77777777" w:rsidR="00EB5913" w:rsidRPr="006623B9" w:rsidRDefault="00EB5913" w:rsidP="00F16E23">
            <w:pPr>
              <w:pStyle w:val="Tableboldblue"/>
              <w:spacing w:before="40" w:after="40"/>
              <w:rPr>
                <w:rFonts w:cs="Calibri"/>
                <w:szCs w:val="16"/>
              </w:rPr>
            </w:pPr>
            <w:r w:rsidRPr="006623B9">
              <w:rPr>
                <w:rFonts w:eastAsia="Calibri" w:cs="Calibri"/>
                <w:szCs w:val="16"/>
              </w:rPr>
              <w:t>Country specific</w:t>
            </w:r>
          </w:p>
        </w:tc>
        <w:tc>
          <w:tcPr>
            <w:tcW w:w="1973" w:type="dxa"/>
            <w:shd w:val="clear" w:color="auto" w:fill="FFFFFF"/>
            <w:tcMar>
              <w:top w:w="0" w:type="dxa"/>
              <w:left w:w="85" w:type="dxa"/>
              <w:bottom w:w="0" w:type="dxa"/>
              <w:right w:w="85" w:type="dxa"/>
            </w:tcMar>
          </w:tcPr>
          <w:p w14:paraId="2F8C3F37" w14:textId="77777777" w:rsidR="00EB5913" w:rsidRPr="006623B9" w:rsidRDefault="00EB5913" w:rsidP="00F16E23">
            <w:pPr>
              <w:pStyle w:val="Tableboldblue"/>
              <w:spacing w:before="40" w:after="40"/>
              <w:rPr>
                <w:rFonts w:cs="Calibri"/>
                <w:szCs w:val="16"/>
              </w:rPr>
            </w:pPr>
            <w:r w:rsidRPr="006623B9">
              <w:rPr>
                <w:rFonts w:eastAsia="Calibri" w:cs="Calibri"/>
                <w:szCs w:val="16"/>
              </w:rPr>
              <w:t>IPCC (2006a)</w:t>
            </w:r>
          </w:p>
        </w:tc>
      </w:tr>
      <w:tr w:rsidR="00EB5913" w:rsidRPr="006623B9" w14:paraId="2249C68C" w14:textId="77777777" w:rsidTr="00F16E23">
        <w:tc>
          <w:tcPr>
            <w:tcW w:w="2977" w:type="dxa"/>
            <w:shd w:val="clear" w:color="auto" w:fill="FFFFFF"/>
            <w:tcMar>
              <w:top w:w="0" w:type="dxa"/>
              <w:left w:w="85" w:type="dxa"/>
              <w:bottom w:w="0" w:type="dxa"/>
              <w:right w:w="85" w:type="dxa"/>
            </w:tcMar>
          </w:tcPr>
          <w:p w14:paraId="6F680F6E" w14:textId="77777777" w:rsidR="00EB5913" w:rsidRPr="006623B9" w:rsidRDefault="00EB5913" w:rsidP="00F16E23">
            <w:pPr>
              <w:pStyle w:val="TableText"/>
              <w:spacing w:before="40" w:after="40"/>
              <w:rPr>
                <w:rFonts w:cs="Calibri"/>
                <w:szCs w:val="16"/>
              </w:rPr>
            </w:pPr>
            <w:r w:rsidRPr="006623B9">
              <w:rPr>
                <w:rFonts w:eastAsia="Calibri" w:cs="Calibri"/>
                <w:szCs w:val="16"/>
              </w:rPr>
              <w:t>Uncategorised SWDS</w:t>
            </w:r>
          </w:p>
        </w:tc>
        <w:tc>
          <w:tcPr>
            <w:tcW w:w="2126" w:type="dxa"/>
            <w:shd w:val="clear" w:color="auto" w:fill="FFFFFF"/>
            <w:tcMar>
              <w:top w:w="0" w:type="dxa"/>
              <w:left w:w="85" w:type="dxa"/>
              <w:bottom w:w="0" w:type="dxa"/>
              <w:right w:w="85" w:type="dxa"/>
            </w:tcMar>
          </w:tcPr>
          <w:p w14:paraId="0624E547" w14:textId="77777777" w:rsidR="00EB5913" w:rsidRPr="006623B9" w:rsidRDefault="00EB5913" w:rsidP="00F16E23">
            <w:pPr>
              <w:pStyle w:val="TableText"/>
              <w:spacing w:before="40" w:after="40"/>
              <w:rPr>
                <w:rFonts w:cs="Calibri"/>
                <w:szCs w:val="16"/>
              </w:rPr>
            </w:pPr>
          </w:p>
        </w:tc>
        <w:tc>
          <w:tcPr>
            <w:tcW w:w="1418" w:type="dxa"/>
            <w:shd w:val="clear" w:color="auto" w:fill="FFFFFF"/>
            <w:tcMar>
              <w:top w:w="0" w:type="dxa"/>
              <w:left w:w="85" w:type="dxa"/>
              <w:bottom w:w="0" w:type="dxa"/>
              <w:right w:w="85" w:type="dxa"/>
            </w:tcMar>
          </w:tcPr>
          <w:p w14:paraId="507C8113" w14:textId="77777777" w:rsidR="00EB5913" w:rsidRPr="006623B9" w:rsidRDefault="00EB5913" w:rsidP="00F16E23">
            <w:pPr>
              <w:pStyle w:val="TableText"/>
              <w:spacing w:before="40" w:after="40"/>
              <w:rPr>
                <w:rFonts w:cs="Calibri"/>
                <w:szCs w:val="16"/>
              </w:rPr>
            </w:pPr>
          </w:p>
        </w:tc>
        <w:tc>
          <w:tcPr>
            <w:tcW w:w="1973" w:type="dxa"/>
            <w:shd w:val="clear" w:color="auto" w:fill="FFFFFF"/>
            <w:tcMar>
              <w:top w:w="0" w:type="dxa"/>
              <w:left w:w="85" w:type="dxa"/>
              <w:bottom w:w="0" w:type="dxa"/>
              <w:right w:w="85" w:type="dxa"/>
            </w:tcMar>
          </w:tcPr>
          <w:p w14:paraId="53709D27" w14:textId="77777777" w:rsidR="00EB5913" w:rsidRPr="006623B9" w:rsidRDefault="00EB5913" w:rsidP="00F16E23">
            <w:pPr>
              <w:pStyle w:val="TableText"/>
              <w:spacing w:before="40" w:after="40"/>
              <w:rPr>
                <w:rFonts w:cs="Calibri"/>
                <w:szCs w:val="16"/>
              </w:rPr>
            </w:pPr>
          </w:p>
        </w:tc>
      </w:tr>
      <w:tr w:rsidR="00EB5913" w:rsidRPr="006623B9" w14:paraId="6F4645BE" w14:textId="77777777" w:rsidTr="00F16E23">
        <w:tc>
          <w:tcPr>
            <w:tcW w:w="2977" w:type="dxa"/>
            <w:shd w:val="clear" w:color="auto" w:fill="FFFFFF"/>
            <w:tcMar>
              <w:top w:w="0" w:type="dxa"/>
              <w:left w:w="85" w:type="dxa"/>
              <w:bottom w:w="0" w:type="dxa"/>
              <w:right w:w="85" w:type="dxa"/>
            </w:tcMar>
          </w:tcPr>
          <w:p w14:paraId="0352B97C" w14:textId="77777777" w:rsidR="00EB5913" w:rsidRPr="006623B9" w:rsidRDefault="00EB5913" w:rsidP="00F16E23">
            <w:pPr>
              <w:pStyle w:val="TableText"/>
              <w:spacing w:before="40" w:after="40"/>
              <w:rPr>
                <w:rFonts w:cs="Calibri"/>
                <w:szCs w:val="16"/>
              </w:rPr>
            </w:pPr>
            <w:r w:rsidRPr="006623B9">
              <w:rPr>
                <w:rFonts w:eastAsia="Calibri" w:cs="Calibri"/>
                <w:szCs w:val="16"/>
              </w:rPr>
              <w:t>k-value (multi-phase by waste type)</w:t>
            </w:r>
          </w:p>
        </w:tc>
        <w:tc>
          <w:tcPr>
            <w:tcW w:w="2126" w:type="dxa"/>
            <w:shd w:val="clear" w:color="auto" w:fill="FFFFFF"/>
            <w:tcMar>
              <w:top w:w="0" w:type="dxa"/>
              <w:left w:w="85" w:type="dxa"/>
              <w:bottom w:w="0" w:type="dxa"/>
              <w:right w:w="85" w:type="dxa"/>
            </w:tcMar>
          </w:tcPr>
          <w:p w14:paraId="17A28E9C" w14:textId="77777777" w:rsidR="00EB5913" w:rsidRPr="006623B9" w:rsidRDefault="00EB5913" w:rsidP="00F16E23">
            <w:pPr>
              <w:pStyle w:val="TableText"/>
              <w:spacing w:before="40" w:after="40"/>
              <w:rPr>
                <w:rFonts w:cs="Calibri"/>
                <w:szCs w:val="16"/>
              </w:rPr>
            </w:pPr>
            <w:r w:rsidRPr="006623B9">
              <w:rPr>
                <w:rFonts w:eastAsia="Calibri" w:cs="Calibri"/>
                <w:szCs w:val="16"/>
              </w:rPr>
              <w:t>0.030–0.185</w:t>
            </w:r>
          </w:p>
        </w:tc>
        <w:tc>
          <w:tcPr>
            <w:tcW w:w="1418" w:type="dxa"/>
            <w:shd w:val="clear" w:color="auto" w:fill="FFFFFF"/>
            <w:tcMar>
              <w:top w:w="0" w:type="dxa"/>
              <w:left w:w="85" w:type="dxa"/>
              <w:bottom w:w="0" w:type="dxa"/>
              <w:right w:w="85" w:type="dxa"/>
            </w:tcMar>
          </w:tcPr>
          <w:p w14:paraId="5245B1DE"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56C56F28"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0438E952" w14:textId="77777777" w:rsidTr="00F16E23">
        <w:tc>
          <w:tcPr>
            <w:tcW w:w="2977" w:type="dxa"/>
            <w:shd w:val="clear" w:color="auto" w:fill="FFFFFF"/>
            <w:tcMar>
              <w:top w:w="0" w:type="dxa"/>
              <w:left w:w="85" w:type="dxa"/>
              <w:bottom w:w="0" w:type="dxa"/>
              <w:right w:w="85" w:type="dxa"/>
            </w:tcMar>
          </w:tcPr>
          <w:p w14:paraId="75EE7FA8" w14:textId="77777777" w:rsidR="00EB5913" w:rsidRPr="006623B9" w:rsidRDefault="00EB5913" w:rsidP="00F16E23">
            <w:pPr>
              <w:pStyle w:val="TableText"/>
              <w:spacing w:before="40" w:after="40"/>
              <w:rPr>
                <w:rFonts w:cs="Calibri"/>
                <w:szCs w:val="16"/>
              </w:rPr>
            </w:pPr>
            <w:r w:rsidRPr="006623B9">
              <w:rPr>
                <w:rFonts w:eastAsia="Calibri" w:cs="Calibri"/>
                <w:szCs w:val="16"/>
              </w:rPr>
              <w:t>Methane correction factor</w:t>
            </w:r>
          </w:p>
        </w:tc>
        <w:tc>
          <w:tcPr>
            <w:tcW w:w="2126" w:type="dxa"/>
            <w:shd w:val="clear" w:color="auto" w:fill="FFFFFF"/>
            <w:tcMar>
              <w:top w:w="0" w:type="dxa"/>
              <w:left w:w="85" w:type="dxa"/>
              <w:bottom w:w="0" w:type="dxa"/>
              <w:right w:w="85" w:type="dxa"/>
            </w:tcMar>
          </w:tcPr>
          <w:p w14:paraId="59A45720" w14:textId="77777777" w:rsidR="00EB5913" w:rsidRPr="006623B9" w:rsidRDefault="00EB5913" w:rsidP="00F16E23">
            <w:pPr>
              <w:pStyle w:val="TableText"/>
              <w:spacing w:before="40" w:after="40"/>
              <w:rPr>
                <w:rFonts w:cs="Calibri"/>
                <w:szCs w:val="16"/>
              </w:rPr>
            </w:pPr>
            <w:r w:rsidRPr="006623B9">
              <w:rPr>
                <w:rFonts w:eastAsia="Calibri" w:cs="Calibri"/>
                <w:szCs w:val="16"/>
              </w:rPr>
              <w:t>0.6</w:t>
            </w:r>
          </w:p>
        </w:tc>
        <w:tc>
          <w:tcPr>
            <w:tcW w:w="1418" w:type="dxa"/>
            <w:shd w:val="clear" w:color="auto" w:fill="FFFFFF"/>
            <w:tcMar>
              <w:top w:w="0" w:type="dxa"/>
              <w:left w:w="85" w:type="dxa"/>
              <w:bottom w:w="0" w:type="dxa"/>
              <w:right w:w="85" w:type="dxa"/>
            </w:tcMar>
          </w:tcPr>
          <w:p w14:paraId="10AF53A6"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3128C5CC"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27621C8F" w14:textId="77777777" w:rsidTr="00F16E23">
        <w:tc>
          <w:tcPr>
            <w:tcW w:w="2977" w:type="dxa"/>
            <w:shd w:val="clear" w:color="auto" w:fill="FFFFFF"/>
            <w:tcMar>
              <w:top w:w="0" w:type="dxa"/>
              <w:left w:w="85" w:type="dxa"/>
              <w:bottom w:w="0" w:type="dxa"/>
              <w:right w:w="85" w:type="dxa"/>
            </w:tcMar>
          </w:tcPr>
          <w:p w14:paraId="165BA9D6" w14:textId="77777777" w:rsidR="00EB5913" w:rsidRPr="006623B9" w:rsidRDefault="00EB5913" w:rsidP="00F16E23">
            <w:pPr>
              <w:pStyle w:val="TableText"/>
              <w:spacing w:before="40" w:after="40"/>
              <w:rPr>
                <w:rFonts w:cs="Calibri"/>
                <w:szCs w:val="16"/>
              </w:rPr>
            </w:pPr>
            <w:r w:rsidRPr="006623B9">
              <w:rPr>
                <w:rFonts w:eastAsia="Calibri" w:cs="Calibri"/>
                <w:szCs w:val="16"/>
              </w:rPr>
              <w:t>Oxidation factor</w:t>
            </w:r>
          </w:p>
        </w:tc>
        <w:tc>
          <w:tcPr>
            <w:tcW w:w="2126" w:type="dxa"/>
            <w:shd w:val="clear" w:color="auto" w:fill="FFFFFF"/>
            <w:tcMar>
              <w:top w:w="0" w:type="dxa"/>
              <w:left w:w="85" w:type="dxa"/>
              <w:bottom w:w="0" w:type="dxa"/>
              <w:right w:w="85" w:type="dxa"/>
            </w:tcMar>
          </w:tcPr>
          <w:p w14:paraId="558F2F50" w14:textId="77777777" w:rsidR="00EB5913" w:rsidRPr="006623B9" w:rsidRDefault="00EB5913" w:rsidP="00F16E23">
            <w:pPr>
              <w:pStyle w:val="TableText"/>
              <w:spacing w:before="40" w:after="40"/>
              <w:rPr>
                <w:rFonts w:cs="Calibri"/>
                <w:szCs w:val="16"/>
              </w:rPr>
            </w:pPr>
            <w:r w:rsidRPr="006623B9">
              <w:rPr>
                <w:rFonts w:eastAsia="Calibri" w:cs="Calibri"/>
                <w:szCs w:val="16"/>
              </w:rPr>
              <w:t>0</w:t>
            </w:r>
          </w:p>
        </w:tc>
        <w:tc>
          <w:tcPr>
            <w:tcW w:w="1418" w:type="dxa"/>
            <w:shd w:val="clear" w:color="auto" w:fill="FFFFFF"/>
            <w:tcMar>
              <w:top w:w="0" w:type="dxa"/>
              <w:left w:w="85" w:type="dxa"/>
              <w:bottom w:w="0" w:type="dxa"/>
              <w:right w:w="85" w:type="dxa"/>
            </w:tcMar>
          </w:tcPr>
          <w:p w14:paraId="7116EF38"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17E42B69"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2D8548B2" w14:textId="77777777" w:rsidTr="00F16E23">
        <w:tc>
          <w:tcPr>
            <w:tcW w:w="2977" w:type="dxa"/>
            <w:shd w:val="clear" w:color="auto" w:fill="FFFFFF"/>
            <w:tcMar>
              <w:top w:w="0" w:type="dxa"/>
              <w:left w:w="85" w:type="dxa"/>
              <w:bottom w:w="0" w:type="dxa"/>
              <w:right w:w="85" w:type="dxa"/>
            </w:tcMar>
          </w:tcPr>
          <w:p w14:paraId="79EE6360" w14:textId="77777777" w:rsidR="00EB5913" w:rsidRPr="006623B9" w:rsidRDefault="00EB5913" w:rsidP="00F16E23">
            <w:pPr>
              <w:pStyle w:val="TableText"/>
              <w:spacing w:before="40" w:after="40"/>
              <w:rPr>
                <w:rFonts w:cs="Calibri"/>
                <w:szCs w:val="16"/>
              </w:rPr>
            </w:pPr>
            <w:r w:rsidRPr="006623B9">
              <w:rPr>
                <w:rFonts w:eastAsia="Calibri" w:cs="Calibri"/>
                <w:szCs w:val="16"/>
              </w:rPr>
              <w:t>DOC (kt C/kt waste) (by waste type)</w:t>
            </w:r>
          </w:p>
        </w:tc>
        <w:tc>
          <w:tcPr>
            <w:tcW w:w="2126" w:type="dxa"/>
            <w:shd w:val="clear" w:color="auto" w:fill="FFFFFF"/>
            <w:tcMar>
              <w:top w:w="0" w:type="dxa"/>
              <w:left w:w="85" w:type="dxa"/>
              <w:bottom w:w="0" w:type="dxa"/>
              <w:right w:w="85" w:type="dxa"/>
            </w:tcMar>
          </w:tcPr>
          <w:p w14:paraId="49675A60" w14:textId="77777777" w:rsidR="00EB5913" w:rsidRPr="006623B9" w:rsidRDefault="00EB5913" w:rsidP="00F16E23">
            <w:pPr>
              <w:pStyle w:val="TableText"/>
              <w:spacing w:before="40" w:after="40"/>
              <w:rPr>
                <w:rFonts w:cs="Calibri"/>
                <w:szCs w:val="16"/>
              </w:rPr>
            </w:pPr>
            <w:r w:rsidRPr="006623B9">
              <w:rPr>
                <w:rFonts w:eastAsia="Calibri" w:cs="Calibri"/>
                <w:szCs w:val="16"/>
              </w:rPr>
              <w:t>0.15–0.43</w:t>
            </w:r>
          </w:p>
        </w:tc>
        <w:tc>
          <w:tcPr>
            <w:tcW w:w="1418" w:type="dxa"/>
            <w:shd w:val="clear" w:color="auto" w:fill="FFFFFF"/>
            <w:tcMar>
              <w:top w:w="0" w:type="dxa"/>
              <w:left w:w="85" w:type="dxa"/>
              <w:bottom w:w="0" w:type="dxa"/>
              <w:right w:w="85" w:type="dxa"/>
            </w:tcMar>
          </w:tcPr>
          <w:p w14:paraId="1D03027F"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17839203"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23C8F902" w14:textId="77777777" w:rsidTr="00F16E23">
        <w:tc>
          <w:tcPr>
            <w:tcW w:w="2977" w:type="dxa"/>
            <w:shd w:val="clear" w:color="auto" w:fill="FFFFFF"/>
            <w:tcMar>
              <w:top w:w="0" w:type="dxa"/>
              <w:left w:w="85" w:type="dxa"/>
              <w:bottom w:w="0" w:type="dxa"/>
              <w:right w:w="85" w:type="dxa"/>
            </w:tcMar>
          </w:tcPr>
          <w:p w14:paraId="6D4292B4" w14:textId="77777777" w:rsidR="00EB5913" w:rsidRPr="006623B9" w:rsidRDefault="00EB5913" w:rsidP="00F16E23">
            <w:pPr>
              <w:pStyle w:val="TableText"/>
              <w:spacing w:before="40" w:after="40"/>
              <w:rPr>
                <w:rFonts w:cs="Calibri"/>
                <w:szCs w:val="16"/>
              </w:rPr>
            </w:pPr>
            <w:r w:rsidRPr="006623B9">
              <w:rPr>
                <w:rFonts w:eastAsia="Calibri" w:cs="Calibri"/>
                <w:szCs w:val="16"/>
              </w:rPr>
              <w:t>DOCf that decomposes</w:t>
            </w:r>
          </w:p>
        </w:tc>
        <w:tc>
          <w:tcPr>
            <w:tcW w:w="2126" w:type="dxa"/>
            <w:shd w:val="clear" w:color="auto" w:fill="FFFFFF"/>
            <w:tcMar>
              <w:top w:w="0" w:type="dxa"/>
              <w:left w:w="85" w:type="dxa"/>
              <w:bottom w:w="0" w:type="dxa"/>
              <w:right w:w="85" w:type="dxa"/>
            </w:tcMar>
          </w:tcPr>
          <w:p w14:paraId="2E02EC84" w14:textId="77777777" w:rsidR="00EB5913" w:rsidRPr="006623B9" w:rsidRDefault="00EB5913" w:rsidP="00F16E23">
            <w:pPr>
              <w:pStyle w:val="TableText"/>
              <w:spacing w:before="40" w:after="40"/>
              <w:rPr>
                <w:rFonts w:cs="Calibri"/>
                <w:szCs w:val="16"/>
              </w:rPr>
            </w:pPr>
            <w:r w:rsidRPr="006623B9">
              <w:rPr>
                <w:rFonts w:eastAsia="Calibri" w:cs="Calibri"/>
                <w:szCs w:val="16"/>
              </w:rPr>
              <w:t>0.5</w:t>
            </w:r>
          </w:p>
        </w:tc>
        <w:tc>
          <w:tcPr>
            <w:tcW w:w="1418" w:type="dxa"/>
            <w:shd w:val="clear" w:color="auto" w:fill="FFFFFF"/>
            <w:tcMar>
              <w:top w:w="0" w:type="dxa"/>
              <w:left w:w="85" w:type="dxa"/>
              <w:bottom w:w="0" w:type="dxa"/>
              <w:right w:w="85" w:type="dxa"/>
            </w:tcMar>
          </w:tcPr>
          <w:p w14:paraId="413857CC"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298D10C4"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7A61E419" w14:textId="77777777" w:rsidTr="00F16E23">
        <w:tc>
          <w:tcPr>
            <w:tcW w:w="2977" w:type="dxa"/>
            <w:shd w:val="clear" w:color="auto" w:fill="FFFFFF"/>
            <w:tcMar>
              <w:top w:w="0" w:type="dxa"/>
              <w:left w:w="85" w:type="dxa"/>
              <w:bottom w:w="0" w:type="dxa"/>
              <w:right w:w="85" w:type="dxa"/>
            </w:tcMar>
          </w:tcPr>
          <w:p w14:paraId="70059857" w14:textId="77777777" w:rsidR="00EB5913" w:rsidRPr="006623B9" w:rsidRDefault="00EB5913" w:rsidP="00F16E23">
            <w:pPr>
              <w:pStyle w:val="Tableboldblue"/>
              <w:spacing w:before="40" w:after="40"/>
              <w:rPr>
                <w:rFonts w:cs="Calibri"/>
                <w:szCs w:val="16"/>
              </w:rPr>
            </w:pPr>
            <w:r w:rsidRPr="006623B9">
              <w:rPr>
                <w:rFonts w:eastAsia="Calibri" w:cs="Calibri"/>
                <w:szCs w:val="16"/>
              </w:rPr>
              <w:t>Fraction of methane in landfill gas (F)</w:t>
            </w:r>
          </w:p>
        </w:tc>
        <w:tc>
          <w:tcPr>
            <w:tcW w:w="2126" w:type="dxa"/>
            <w:shd w:val="clear" w:color="auto" w:fill="FFFFFF"/>
            <w:tcMar>
              <w:top w:w="0" w:type="dxa"/>
              <w:left w:w="85" w:type="dxa"/>
              <w:bottom w:w="0" w:type="dxa"/>
              <w:right w:w="85" w:type="dxa"/>
            </w:tcMar>
          </w:tcPr>
          <w:p w14:paraId="21B240E9" w14:textId="77777777" w:rsidR="00EB5913" w:rsidRPr="006623B9" w:rsidRDefault="00EB5913" w:rsidP="00F16E23">
            <w:pPr>
              <w:pStyle w:val="Tableboldblue"/>
              <w:spacing w:before="40" w:after="40"/>
              <w:rPr>
                <w:rFonts w:cs="Calibri"/>
                <w:szCs w:val="16"/>
              </w:rPr>
            </w:pPr>
            <w:r w:rsidRPr="006623B9">
              <w:rPr>
                <w:rFonts w:eastAsia="Calibri" w:cs="Calibri"/>
                <w:szCs w:val="16"/>
              </w:rPr>
              <w:t>0.5</w:t>
            </w:r>
          </w:p>
        </w:tc>
        <w:tc>
          <w:tcPr>
            <w:tcW w:w="1418" w:type="dxa"/>
            <w:shd w:val="clear" w:color="auto" w:fill="FFFFFF"/>
            <w:tcMar>
              <w:top w:w="0" w:type="dxa"/>
              <w:left w:w="85" w:type="dxa"/>
              <w:bottom w:w="0" w:type="dxa"/>
              <w:right w:w="85" w:type="dxa"/>
            </w:tcMar>
          </w:tcPr>
          <w:p w14:paraId="4E70F57F" w14:textId="77777777" w:rsidR="00EB5913" w:rsidRPr="006623B9" w:rsidRDefault="00EB5913" w:rsidP="00F16E23">
            <w:pPr>
              <w:pStyle w:val="Tableboldblue"/>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5E86F495" w14:textId="77777777" w:rsidR="00EB5913" w:rsidRPr="006623B9" w:rsidRDefault="00EB5913" w:rsidP="00F16E23">
            <w:pPr>
              <w:pStyle w:val="Tableboldblue"/>
              <w:spacing w:before="40" w:after="40"/>
              <w:rPr>
                <w:rFonts w:cs="Calibri"/>
                <w:szCs w:val="16"/>
              </w:rPr>
            </w:pPr>
            <w:r w:rsidRPr="006623B9">
              <w:rPr>
                <w:rFonts w:eastAsia="Calibri" w:cs="Calibri"/>
                <w:szCs w:val="16"/>
              </w:rPr>
              <w:t>IPCC (2006a)</w:t>
            </w:r>
          </w:p>
        </w:tc>
      </w:tr>
      <w:tr w:rsidR="00EB5913" w:rsidRPr="006623B9" w14:paraId="1F58B709" w14:textId="77777777" w:rsidTr="00F16E23">
        <w:tc>
          <w:tcPr>
            <w:tcW w:w="2977" w:type="dxa"/>
            <w:shd w:val="clear" w:color="auto" w:fill="FFFFFF"/>
            <w:tcMar>
              <w:top w:w="0" w:type="dxa"/>
              <w:left w:w="85" w:type="dxa"/>
              <w:bottom w:w="0" w:type="dxa"/>
              <w:right w:w="85" w:type="dxa"/>
            </w:tcMar>
          </w:tcPr>
          <w:p w14:paraId="18788979" w14:textId="77777777" w:rsidR="00EB5913" w:rsidRPr="006623B9" w:rsidRDefault="00EB5913" w:rsidP="00F16E23">
            <w:pPr>
              <w:pStyle w:val="TableText"/>
              <w:spacing w:before="40" w:after="40"/>
              <w:rPr>
                <w:rFonts w:cs="Calibri"/>
                <w:szCs w:val="16"/>
              </w:rPr>
            </w:pPr>
            <w:r w:rsidRPr="006623B9">
              <w:rPr>
                <w:rFonts w:eastAsia="Calibri" w:cs="Calibri"/>
                <w:szCs w:val="16"/>
              </w:rPr>
              <w:t>All landfill sites</w:t>
            </w:r>
          </w:p>
        </w:tc>
        <w:tc>
          <w:tcPr>
            <w:tcW w:w="2126" w:type="dxa"/>
            <w:shd w:val="clear" w:color="auto" w:fill="FFFFFF"/>
            <w:tcMar>
              <w:top w:w="0" w:type="dxa"/>
              <w:left w:w="85" w:type="dxa"/>
              <w:bottom w:w="0" w:type="dxa"/>
              <w:right w:w="85" w:type="dxa"/>
            </w:tcMar>
          </w:tcPr>
          <w:p w14:paraId="633E9A22" w14:textId="77777777" w:rsidR="00EB5913" w:rsidRPr="006623B9" w:rsidRDefault="00EB5913" w:rsidP="00F16E23">
            <w:pPr>
              <w:pStyle w:val="TableText"/>
              <w:spacing w:before="40" w:after="40"/>
              <w:rPr>
                <w:rFonts w:cs="Calibri"/>
                <w:szCs w:val="16"/>
              </w:rPr>
            </w:pPr>
          </w:p>
        </w:tc>
        <w:tc>
          <w:tcPr>
            <w:tcW w:w="1418" w:type="dxa"/>
            <w:shd w:val="clear" w:color="auto" w:fill="FFFFFF"/>
            <w:tcMar>
              <w:top w:w="0" w:type="dxa"/>
              <w:left w:w="85" w:type="dxa"/>
              <w:bottom w:w="0" w:type="dxa"/>
              <w:right w:w="85" w:type="dxa"/>
            </w:tcMar>
          </w:tcPr>
          <w:p w14:paraId="73ABE683" w14:textId="77777777" w:rsidR="00EB5913" w:rsidRPr="006623B9" w:rsidRDefault="00EB5913" w:rsidP="00F16E23">
            <w:pPr>
              <w:pStyle w:val="TableText"/>
              <w:spacing w:before="40" w:after="40"/>
              <w:rPr>
                <w:rFonts w:cs="Calibri"/>
                <w:szCs w:val="16"/>
              </w:rPr>
            </w:pPr>
          </w:p>
        </w:tc>
        <w:tc>
          <w:tcPr>
            <w:tcW w:w="1973" w:type="dxa"/>
            <w:shd w:val="clear" w:color="auto" w:fill="FFFFFF"/>
            <w:tcMar>
              <w:top w:w="0" w:type="dxa"/>
              <w:left w:w="85" w:type="dxa"/>
              <w:bottom w:w="0" w:type="dxa"/>
              <w:right w:w="85" w:type="dxa"/>
            </w:tcMar>
          </w:tcPr>
          <w:p w14:paraId="24B71977" w14:textId="77777777" w:rsidR="00EB5913" w:rsidRPr="006623B9" w:rsidRDefault="00EB5913" w:rsidP="00F16E23">
            <w:pPr>
              <w:pStyle w:val="TableText"/>
              <w:spacing w:before="40" w:after="40"/>
              <w:rPr>
                <w:rFonts w:cs="Calibri"/>
                <w:szCs w:val="16"/>
              </w:rPr>
            </w:pPr>
          </w:p>
        </w:tc>
      </w:tr>
      <w:tr w:rsidR="00EB5913" w:rsidRPr="006623B9" w14:paraId="334137F3" w14:textId="77777777" w:rsidTr="00F16E23">
        <w:tc>
          <w:tcPr>
            <w:tcW w:w="2977" w:type="dxa"/>
            <w:shd w:val="clear" w:color="auto" w:fill="FFFFFF"/>
            <w:tcMar>
              <w:top w:w="0" w:type="dxa"/>
              <w:left w:w="85" w:type="dxa"/>
              <w:bottom w:w="0" w:type="dxa"/>
              <w:right w:w="85" w:type="dxa"/>
            </w:tcMar>
          </w:tcPr>
          <w:p w14:paraId="29728EB7" w14:textId="77777777" w:rsidR="00EB5913" w:rsidRPr="006623B9" w:rsidRDefault="00EB5913" w:rsidP="00F16E23">
            <w:pPr>
              <w:pStyle w:val="TableText"/>
              <w:spacing w:before="40" w:after="40"/>
              <w:rPr>
                <w:rFonts w:cs="Calibri"/>
                <w:szCs w:val="16"/>
              </w:rPr>
            </w:pPr>
            <w:r w:rsidRPr="006623B9">
              <w:rPr>
                <w:rFonts w:eastAsia="Calibri" w:cs="Calibri"/>
                <w:szCs w:val="16"/>
              </w:rPr>
              <w:t>Starting year</w:t>
            </w:r>
          </w:p>
        </w:tc>
        <w:tc>
          <w:tcPr>
            <w:tcW w:w="2126" w:type="dxa"/>
            <w:shd w:val="clear" w:color="auto" w:fill="FFFFFF"/>
            <w:tcMar>
              <w:top w:w="0" w:type="dxa"/>
              <w:left w:w="85" w:type="dxa"/>
              <w:bottom w:w="0" w:type="dxa"/>
              <w:right w:w="85" w:type="dxa"/>
            </w:tcMar>
          </w:tcPr>
          <w:p w14:paraId="2AD9D008" w14:textId="77777777" w:rsidR="00EB5913" w:rsidRPr="006623B9" w:rsidRDefault="00EB5913" w:rsidP="00F16E23">
            <w:pPr>
              <w:pStyle w:val="TableText"/>
              <w:spacing w:before="40" w:after="40"/>
              <w:rPr>
                <w:rFonts w:cs="Calibri"/>
                <w:szCs w:val="16"/>
              </w:rPr>
            </w:pPr>
            <w:r w:rsidRPr="006623B9">
              <w:rPr>
                <w:rFonts w:eastAsia="Calibri" w:cs="Calibri"/>
                <w:szCs w:val="16"/>
              </w:rPr>
              <w:t>1950</w:t>
            </w:r>
          </w:p>
        </w:tc>
        <w:tc>
          <w:tcPr>
            <w:tcW w:w="1418" w:type="dxa"/>
            <w:shd w:val="clear" w:color="auto" w:fill="FFFFFF"/>
            <w:tcMar>
              <w:top w:w="0" w:type="dxa"/>
              <w:left w:w="85" w:type="dxa"/>
              <w:bottom w:w="0" w:type="dxa"/>
              <w:right w:w="85" w:type="dxa"/>
            </w:tcMar>
          </w:tcPr>
          <w:p w14:paraId="010E9CAD"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289D3D31"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r w:rsidR="00EB5913" w:rsidRPr="006623B9" w14:paraId="60403B6B" w14:textId="77777777" w:rsidTr="00F16E23">
        <w:tc>
          <w:tcPr>
            <w:tcW w:w="2977" w:type="dxa"/>
            <w:shd w:val="clear" w:color="auto" w:fill="FFFFFF"/>
            <w:tcMar>
              <w:top w:w="0" w:type="dxa"/>
              <w:left w:w="85" w:type="dxa"/>
              <w:bottom w:w="0" w:type="dxa"/>
              <w:right w:w="85" w:type="dxa"/>
            </w:tcMar>
          </w:tcPr>
          <w:p w14:paraId="680C3EA1" w14:textId="77777777" w:rsidR="00EB5913" w:rsidRPr="006623B9" w:rsidRDefault="00EB5913" w:rsidP="00F16E23">
            <w:pPr>
              <w:pStyle w:val="TableText"/>
              <w:spacing w:before="40" w:after="40"/>
              <w:rPr>
                <w:rFonts w:cs="Calibri"/>
                <w:szCs w:val="16"/>
              </w:rPr>
            </w:pPr>
            <w:r w:rsidRPr="006623B9">
              <w:rPr>
                <w:rFonts w:eastAsia="Calibri" w:cs="Calibri"/>
                <w:szCs w:val="16"/>
              </w:rPr>
              <w:t>Delay time</w:t>
            </w:r>
          </w:p>
        </w:tc>
        <w:tc>
          <w:tcPr>
            <w:tcW w:w="2126" w:type="dxa"/>
            <w:shd w:val="clear" w:color="auto" w:fill="FFFFFF"/>
            <w:tcMar>
              <w:top w:w="0" w:type="dxa"/>
              <w:left w:w="85" w:type="dxa"/>
              <w:bottom w:w="0" w:type="dxa"/>
              <w:right w:w="85" w:type="dxa"/>
            </w:tcMar>
          </w:tcPr>
          <w:p w14:paraId="38CB8469" w14:textId="77777777" w:rsidR="00EB5913" w:rsidRPr="006623B9" w:rsidRDefault="00EB5913" w:rsidP="00F16E23">
            <w:pPr>
              <w:pStyle w:val="TableText"/>
              <w:spacing w:before="40" w:after="40"/>
              <w:rPr>
                <w:rFonts w:cs="Calibri"/>
                <w:szCs w:val="16"/>
              </w:rPr>
            </w:pPr>
            <w:r w:rsidRPr="006623B9">
              <w:rPr>
                <w:rFonts w:eastAsia="Calibri" w:cs="Calibri"/>
                <w:szCs w:val="16"/>
              </w:rPr>
              <w:t>6 months</w:t>
            </w:r>
          </w:p>
        </w:tc>
        <w:tc>
          <w:tcPr>
            <w:tcW w:w="1418" w:type="dxa"/>
            <w:shd w:val="clear" w:color="auto" w:fill="FFFFFF"/>
            <w:tcMar>
              <w:top w:w="0" w:type="dxa"/>
              <w:left w:w="85" w:type="dxa"/>
              <w:bottom w:w="0" w:type="dxa"/>
              <w:right w:w="85" w:type="dxa"/>
            </w:tcMar>
          </w:tcPr>
          <w:p w14:paraId="72A39119" w14:textId="77777777" w:rsidR="00EB5913" w:rsidRPr="006623B9" w:rsidRDefault="00EB5913" w:rsidP="00F16E23">
            <w:pPr>
              <w:pStyle w:val="TableText"/>
              <w:spacing w:before="40" w:after="40"/>
              <w:rPr>
                <w:rFonts w:cs="Calibri"/>
                <w:szCs w:val="16"/>
              </w:rPr>
            </w:pPr>
            <w:r w:rsidRPr="006623B9">
              <w:rPr>
                <w:rFonts w:eastAsia="Calibri" w:cs="Calibri"/>
                <w:szCs w:val="16"/>
              </w:rPr>
              <w:t>IPCC default</w:t>
            </w:r>
          </w:p>
        </w:tc>
        <w:tc>
          <w:tcPr>
            <w:tcW w:w="1973" w:type="dxa"/>
            <w:shd w:val="clear" w:color="auto" w:fill="FFFFFF"/>
            <w:tcMar>
              <w:top w:w="0" w:type="dxa"/>
              <w:left w:w="85" w:type="dxa"/>
              <w:bottom w:w="0" w:type="dxa"/>
              <w:right w:w="85" w:type="dxa"/>
            </w:tcMar>
          </w:tcPr>
          <w:p w14:paraId="08026DF0" w14:textId="77777777" w:rsidR="00EB5913" w:rsidRPr="006623B9" w:rsidRDefault="00EB5913" w:rsidP="00F16E23">
            <w:pPr>
              <w:pStyle w:val="TableText"/>
              <w:spacing w:before="40" w:after="40"/>
              <w:rPr>
                <w:rFonts w:cs="Calibri"/>
                <w:szCs w:val="16"/>
              </w:rPr>
            </w:pPr>
            <w:r w:rsidRPr="006623B9">
              <w:rPr>
                <w:rFonts w:eastAsia="Calibri" w:cs="Calibri"/>
                <w:szCs w:val="16"/>
              </w:rPr>
              <w:t>IPCC (2006a)</w:t>
            </w:r>
          </w:p>
        </w:tc>
      </w:tr>
    </w:tbl>
    <w:p w14:paraId="1B3470A8" w14:textId="77777777" w:rsidR="00EB5913" w:rsidRPr="006623B9" w:rsidRDefault="00EB5913" w:rsidP="00EB5913">
      <w:pPr>
        <w:pStyle w:val="Noteundertable"/>
      </w:pPr>
      <w:r w:rsidRPr="006623B9">
        <w:rPr>
          <w:b/>
          <w:bCs/>
        </w:rPr>
        <w:t>Note:</w:t>
      </w:r>
      <w:r w:rsidRPr="006623B9">
        <w:t xml:space="preserve"> </w:t>
      </w:r>
      <w:r w:rsidRPr="006623B9">
        <w:tab/>
        <w:t>DDOC = decomposable degradable organic carbon; DOC =degradable organic carbon; DOCf = DOC fraction; IPCC = Intergovernmental Panel on Climate Change; SWDS = solid waste disposal sites.</w:t>
      </w:r>
    </w:p>
    <w:p w14:paraId="45D2AF61" w14:textId="77777777" w:rsidR="00EB5913" w:rsidRPr="006623B9" w:rsidRDefault="00EB5913" w:rsidP="00EB5913">
      <w:pPr>
        <w:pStyle w:val="Heading5"/>
      </w:pPr>
      <w:bookmarkStart w:id="3036" w:name="X1ae3d1ced3d883f28367c004019800d7f4cd30b"/>
      <w:bookmarkEnd w:id="3027"/>
      <w:bookmarkEnd w:id="3034"/>
      <w:r w:rsidRPr="006623B9">
        <w:t>Unmanaged solid waste disposal sites and farm fills (5.A.2)</w:t>
      </w:r>
    </w:p>
    <w:p w14:paraId="3E9EE79E" w14:textId="77777777" w:rsidR="00EB5913" w:rsidRPr="006623B9" w:rsidRDefault="00EB5913" w:rsidP="00EB5913">
      <w:pPr>
        <w:pStyle w:val="Heading6"/>
        <w:spacing w:before="180"/>
      </w:pPr>
      <w:bookmarkStart w:id="3037" w:name="waste-composition-1"/>
      <w:r w:rsidRPr="006623B9">
        <w:t>Waste composition</w:t>
      </w:r>
    </w:p>
    <w:p w14:paraId="712867E5" w14:textId="77777777" w:rsidR="00EB5913" w:rsidRPr="006623B9" w:rsidRDefault="00EB5913" w:rsidP="00EB5913">
      <w:pPr>
        <w:pStyle w:val="BodyText"/>
      </w:pPr>
      <w:r w:rsidRPr="006623B9">
        <w:t>Waste composition estimates for unmanaged SWDS (Class 2–5 landfills and industrial monofills) are derived from voluntary waste survey data compiled in 2024 (Eunomia, unpublished(d)) and expert judgement. The waste survey follows the updated version of the Solid Waste Analysis Protocol (Ministry for the Environment, 2002b), adapted to unmanaged SWDS, and the waste categories were mapped to the corresponding IPCC waste types (see table 7.2.10) (IPCC, 2006a).</w:t>
      </w:r>
    </w:p>
    <w:p w14:paraId="3626B1AE" w14:textId="77777777" w:rsidR="00EB5913" w:rsidRPr="006623B9" w:rsidRDefault="00EB5913" w:rsidP="00EB5913">
      <w:pPr>
        <w:pStyle w:val="Table"/>
      </w:pPr>
      <w:bookmarkStart w:id="3038" w:name="_Toc226669108"/>
      <w:r w:rsidRPr="006623B9">
        <w:t xml:space="preserve">Table 7.2.10 </w:t>
      </w:r>
      <w:r w:rsidRPr="006623B9">
        <w:tab/>
        <w:t xml:space="preserve">Estimated composition of waste disposed to </w:t>
      </w:r>
      <w:r w:rsidRPr="006623B9">
        <w:rPr>
          <w:i/>
          <w:iCs/>
        </w:rPr>
        <w:t>unmanaged solid waste disposal sites</w:t>
      </w:r>
      <w:bookmarkEnd w:id="303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355"/>
        <w:gridCol w:w="798"/>
        <w:gridCol w:w="966"/>
        <w:gridCol w:w="857"/>
        <w:gridCol w:w="874"/>
        <w:gridCol w:w="922"/>
        <w:gridCol w:w="1019"/>
        <w:gridCol w:w="916"/>
        <w:gridCol w:w="787"/>
      </w:tblGrid>
      <w:tr w:rsidR="00EB5913" w:rsidRPr="006623B9" w14:paraId="07448EC2" w14:textId="77777777" w:rsidTr="00F16E23">
        <w:trPr>
          <w:tblHeader/>
        </w:trPr>
        <w:tc>
          <w:tcPr>
            <w:tcW w:w="0" w:type="auto"/>
            <w:shd w:val="clear" w:color="auto" w:fill="1B556B"/>
            <w:tcMar>
              <w:top w:w="0" w:type="dxa"/>
              <w:left w:w="85" w:type="dxa"/>
              <w:bottom w:w="0" w:type="dxa"/>
              <w:right w:w="85" w:type="dxa"/>
            </w:tcMar>
            <w:vAlign w:val="center"/>
          </w:tcPr>
          <w:p w14:paraId="057B32D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Landfill type</w:t>
            </w:r>
          </w:p>
        </w:tc>
        <w:tc>
          <w:tcPr>
            <w:tcW w:w="0" w:type="auto"/>
            <w:shd w:val="clear" w:color="auto" w:fill="1B556B"/>
            <w:tcMar>
              <w:top w:w="0" w:type="dxa"/>
              <w:left w:w="85" w:type="dxa"/>
              <w:bottom w:w="0" w:type="dxa"/>
              <w:right w:w="85" w:type="dxa"/>
            </w:tcMar>
            <w:vAlign w:val="center"/>
          </w:tcPr>
          <w:p w14:paraId="625AE2CF"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Food (%)</w:t>
            </w:r>
          </w:p>
        </w:tc>
        <w:tc>
          <w:tcPr>
            <w:tcW w:w="0" w:type="auto"/>
            <w:shd w:val="clear" w:color="auto" w:fill="1B556B"/>
            <w:tcMar>
              <w:top w:w="0" w:type="dxa"/>
              <w:left w:w="85" w:type="dxa"/>
              <w:bottom w:w="0" w:type="dxa"/>
              <w:right w:w="85" w:type="dxa"/>
            </w:tcMar>
            <w:vAlign w:val="center"/>
          </w:tcPr>
          <w:p w14:paraId="53BC0494"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Garden (%)</w:t>
            </w:r>
          </w:p>
        </w:tc>
        <w:tc>
          <w:tcPr>
            <w:tcW w:w="0" w:type="auto"/>
            <w:shd w:val="clear" w:color="auto" w:fill="1B556B"/>
            <w:tcMar>
              <w:top w:w="0" w:type="dxa"/>
              <w:left w:w="85" w:type="dxa"/>
              <w:bottom w:w="0" w:type="dxa"/>
              <w:right w:w="85" w:type="dxa"/>
            </w:tcMar>
            <w:vAlign w:val="center"/>
          </w:tcPr>
          <w:p w14:paraId="6F087263"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Paper (%)</w:t>
            </w:r>
          </w:p>
        </w:tc>
        <w:tc>
          <w:tcPr>
            <w:tcW w:w="0" w:type="auto"/>
            <w:shd w:val="clear" w:color="auto" w:fill="1B556B"/>
            <w:tcMar>
              <w:top w:w="0" w:type="dxa"/>
              <w:left w:w="85" w:type="dxa"/>
              <w:bottom w:w="0" w:type="dxa"/>
              <w:right w:w="85" w:type="dxa"/>
            </w:tcMar>
            <w:vAlign w:val="center"/>
          </w:tcPr>
          <w:p w14:paraId="32192AE4"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Wood (%)</w:t>
            </w:r>
          </w:p>
        </w:tc>
        <w:tc>
          <w:tcPr>
            <w:tcW w:w="0" w:type="auto"/>
            <w:shd w:val="clear" w:color="auto" w:fill="1B556B"/>
            <w:tcMar>
              <w:top w:w="0" w:type="dxa"/>
              <w:left w:w="85" w:type="dxa"/>
              <w:bottom w:w="0" w:type="dxa"/>
              <w:right w:w="85" w:type="dxa"/>
            </w:tcMar>
            <w:vAlign w:val="center"/>
          </w:tcPr>
          <w:p w14:paraId="0A8F281A"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Textile (%)</w:t>
            </w:r>
          </w:p>
        </w:tc>
        <w:tc>
          <w:tcPr>
            <w:tcW w:w="0" w:type="auto"/>
            <w:shd w:val="clear" w:color="auto" w:fill="1B556B"/>
            <w:tcMar>
              <w:top w:w="0" w:type="dxa"/>
              <w:left w:w="85" w:type="dxa"/>
              <w:bottom w:w="0" w:type="dxa"/>
              <w:right w:w="85" w:type="dxa"/>
            </w:tcMar>
            <w:vAlign w:val="center"/>
          </w:tcPr>
          <w:p w14:paraId="3102148F"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Nappies (%)</w:t>
            </w:r>
          </w:p>
        </w:tc>
        <w:tc>
          <w:tcPr>
            <w:tcW w:w="0" w:type="auto"/>
            <w:shd w:val="clear" w:color="auto" w:fill="1B556B"/>
            <w:tcMar>
              <w:top w:w="0" w:type="dxa"/>
              <w:left w:w="85" w:type="dxa"/>
              <w:bottom w:w="0" w:type="dxa"/>
              <w:right w:w="85" w:type="dxa"/>
            </w:tcMar>
            <w:vAlign w:val="center"/>
          </w:tcPr>
          <w:p w14:paraId="37DB84BF"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Sludge (%)</w:t>
            </w:r>
          </w:p>
        </w:tc>
        <w:tc>
          <w:tcPr>
            <w:tcW w:w="0" w:type="auto"/>
            <w:shd w:val="clear" w:color="auto" w:fill="1B556B"/>
            <w:tcMar>
              <w:top w:w="0" w:type="dxa"/>
              <w:left w:w="85" w:type="dxa"/>
              <w:bottom w:w="0" w:type="dxa"/>
              <w:right w:w="85" w:type="dxa"/>
            </w:tcMar>
            <w:vAlign w:val="center"/>
          </w:tcPr>
          <w:p w14:paraId="7B806235"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Inert (%)</w:t>
            </w:r>
          </w:p>
        </w:tc>
      </w:tr>
      <w:tr w:rsidR="00EB5913" w:rsidRPr="006623B9" w14:paraId="1985B9B9" w14:textId="77777777" w:rsidTr="00F16E23">
        <w:tc>
          <w:tcPr>
            <w:tcW w:w="0" w:type="auto"/>
            <w:shd w:val="clear" w:color="auto" w:fill="FFFFFF"/>
            <w:tcMar>
              <w:top w:w="0" w:type="dxa"/>
              <w:left w:w="85" w:type="dxa"/>
              <w:bottom w:w="0" w:type="dxa"/>
              <w:right w:w="85" w:type="dxa"/>
            </w:tcMar>
            <w:vAlign w:val="center"/>
          </w:tcPr>
          <w:p w14:paraId="6C25538F" w14:textId="77777777" w:rsidR="00EB5913" w:rsidRPr="006623B9" w:rsidRDefault="00EB5913" w:rsidP="00F16E23">
            <w:pPr>
              <w:pStyle w:val="TableText"/>
              <w:spacing w:before="40" w:after="40"/>
            </w:pPr>
            <w:r w:rsidRPr="006623B9">
              <w:rPr>
                <w:rFonts w:eastAsia="Calibri"/>
              </w:rPr>
              <w:t>Class 2 landfills</w:t>
            </w:r>
          </w:p>
        </w:tc>
        <w:tc>
          <w:tcPr>
            <w:tcW w:w="0" w:type="auto"/>
            <w:shd w:val="clear" w:color="auto" w:fill="FFFFFF"/>
            <w:tcMar>
              <w:top w:w="0" w:type="dxa"/>
              <w:left w:w="85" w:type="dxa"/>
              <w:bottom w:w="0" w:type="dxa"/>
              <w:right w:w="85" w:type="dxa"/>
            </w:tcMar>
            <w:vAlign w:val="center"/>
          </w:tcPr>
          <w:p w14:paraId="6F037FCB"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744A8FD8" w14:textId="77777777" w:rsidR="00EB5913" w:rsidRPr="006623B9" w:rsidRDefault="00EB5913" w:rsidP="00F16E23">
            <w:pPr>
              <w:pStyle w:val="TableText"/>
              <w:spacing w:before="40" w:after="40"/>
              <w:jc w:val="right"/>
            </w:pPr>
            <w:r w:rsidRPr="006623B9">
              <w:rPr>
                <w:rFonts w:eastAsia="Calibri"/>
              </w:rPr>
              <w:t>3.0</w:t>
            </w:r>
          </w:p>
        </w:tc>
        <w:tc>
          <w:tcPr>
            <w:tcW w:w="0" w:type="auto"/>
            <w:shd w:val="clear" w:color="auto" w:fill="FFFFFF"/>
            <w:tcMar>
              <w:top w:w="0" w:type="dxa"/>
              <w:left w:w="85" w:type="dxa"/>
              <w:bottom w:w="0" w:type="dxa"/>
              <w:right w:w="85" w:type="dxa"/>
            </w:tcMar>
            <w:vAlign w:val="center"/>
          </w:tcPr>
          <w:p w14:paraId="6B7D5078" w14:textId="77777777" w:rsidR="00EB5913" w:rsidRPr="006623B9" w:rsidRDefault="00EB5913" w:rsidP="00F16E23">
            <w:pPr>
              <w:pStyle w:val="TableText"/>
              <w:spacing w:before="40" w:after="40"/>
              <w:jc w:val="right"/>
            </w:pPr>
            <w:r w:rsidRPr="006623B9">
              <w:rPr>
                <w:rFonts w:eastAsia="Calibri"/>
              </w:rPr>
              <w:t>5.5</w:t>
            </w:r>
          </w:p>
        </w:tc>
        <w:tc>
          <w:tcPr>
            <w:tcW w:w="0" w:type="auto"/>
            <w:shd w:val="clear" w:color="auto" w:fill="FFFFFF"/>
            <w:tcMar>
              <w:top w:w="0" w:type="dxa"/>
              <w:left w:w="85" w:type="dxa"/>
              <w:bottom w:w="0" w:type="dxa"/>
              <w:right w:w="85" w:type="dxa"/>
            </w:tcMar>
            <w:vAlign w:val="center"/>
          </w:tcPr>
          <w:p w14:paraId="4185074D" w14:textId="77777777" w:rsidR="00EB5913" w:rsidRPr="006623B9" w:rsidRDefault="00EB5913" w:rsidP="00F16E23">
            <w:pPr>
              <w:pStyle w:val="TableText"/>
              <w:spacing w:before="40" w:after="40"/>
              <w:jc w:val="right"/>
            </w:pPr>
            <w:r w:rsidRPr="006623B9">
              <w:rPr>
                <w:rFonts w:eastAsia="Calibri"/>
              </w:rPr>
              <w:t>32.7</w:t>
            </w:r>
          </w:p>
        </w:tc>
        <w:tc>
          <w:tcPr>
            <w:tcW w:w="0" w:type="auto"/>
            <w:shd w:val="clear" w:color="auto" w:fill="FFFFFF"/>
            <w:tcMar>
              <w:top w:w="0" w:type="dxa"/>
              <w:left w:w="85" w:type="dxa"/>
              <w:bottom w:w="0" w:type="dxa"/>
              <w:right w:w="85" w:type="dxa"/>
            </w:tcMar>
            <w:vAlign w:val="center"/>
          </w:tcPr>
          <w:p w14:paraId="2775EA9E" w14:textId="77777777" w:rsidR="00EB5913" w:rsidRPr="006623B9" w:rsidRDefault="00EB5913" w:rsidP="00F16E23">
            <w:pPr>
              <w:pStyle w:val="TableText"/>
              <w:spacing w:before="40" w:after="40"/>
              <w:jc w:val="right"/>
            </w:pPr>
            <w:r w:rsidRPr="006623B9">
              <w:rPr>
                <w:rFonts w:eastAsia="Calibri"/>
              </w:rPr>
              <w:t>9.9</w:t>
            </w:r>
          </w:p>
        </w:tc>
        <w:tc>
          <w:tcPr>
            <w:tcW w:w="0" w:type="auto"/>
            <w:shd w:val="clear" w:color="auto" w:fill="FFFFFF"/>
            <w:tcMar>
              <w:top w:w="0" w:type="dxa"/>
              <w:left w:w="85" w:type="dxa"/>
              <w:bottom w:w="0" w:type="dxa"/>
              <w:right w:w="85" w:type="dxa"/>
            </w:tcMar>
            <w:vAlign w:val="center"/>
          </w:tcPr>
          <w:p w14:paraId="71B67A79"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00857450" w14:textId="77777777" w:rsidR="00EB5913" w:rsidRPr="006623B9" w:rsidRDefault="00EB5913" w:rsidP="00F16E23">
            <w:pPr>
              <w:pStyle w:val="TableText"/>
              <w:spacing w:before="40" w:after="40"/>
              <w:jc w:val="right"/>
            </w:pPr>
            <w:r w:rsidRPr="006623B9">
              <w:rPr>
                <w:rFonts w:eastAsia="Calibri"/>
              </w:rPr>
              <w:t>0.1</w:t>
            </w:r>
          </w:p>
        </w:tc>
        <w:tc>
          <w:tcPr>
            <w:tcW w:w="0" w:type="auto"/>
            <w:shd w:val="clear" w:color="auto" w:fill="FFFFFF"/>
            <w:tcMar>
              <w:top w:w="0" w:type="dxa"/>
              <w:left w:w="85" w:type="dxa"/>
              <w:bottom w:w="0" w:type="dxa"/>
              <w:right w:w="85" w:type="dxa"/>
            </w:tcMar>
            <w:vAlign w:val="center"/>
          </w:tcPr>
          <w:p w14:paraId="1ACBDA63" w14:textId="77777777" w:rsidR="00EB5913" w:rsidRPr="006623B9" w:rsidRDefault="00EB5913" w:rsidP="00F16E23">
            <w:pPr>
              <w:pStyle w:val="TableText"/>
              <w:spacing w:before="40" w:after="40"/>
              <w:jc w:val="right"/>
            </w:pPr>
            <w:r w:rsidRPr="006623B9">
              <w:rPr>
                <w:rFonts w:eastAsia="Calibri"/>
              </w:rPr>
              <w:t>48.8</w:t>
            </w:r>
          </w:p>
        </w:tc>
      </w:tr>
      <w:tr w:rsidR="00EB5913" w:rsidRPr="006623B9" w14:paraId="750E0E77" w14:textId="77777777" w:rsidTr="00F16E23">
        <w:tc>
          <w:tcPr>
            <w:tcW w:w="0" w:type="auto"/>
            <w:shd w:val="clear" w:color="auto" w:fill="FFFFFF"/>
            <w:tcMar>
              <w:top w:w="0" w:type="dxa"/>
              <w:left w:w="85" w:type="dxa"/>
              <w:bottom w:w="0" w:type="dxa"/>
              <w:right w:w="85" w:type="dxa"/>
            </w:tcMar>
            <w:vAlign w:val="center"/>
          </w:tcPr>
          <w:p w14:paraId="3A329E33" w14:textId="77777777" w:rsidR="00EB5913" w:rsidRPr="006623B9" w:rsidRDefault="00EB5913" w:rsidP="00F16E23">
            <w:pPr>
              <w:pStyle w:val="TableText"/>
              <w:spacing w:before="40" w:after="40"/>
            </w:pPr>
            <w:r w:rsidRPr="006623B9">
              <w:rPr>
                <w:rFonts w:eastAsia="Calibri"/>
              </w:rPr>
              <w:t>Class 3-4 landfills</w:t>
            </w:r>
          </w:p>
        </w:tc>
        <w:tc>
          <w:tcPr>
            <w:tcW w:w="0" w:type="auto"/>
            <w:shd w:val="clear" w:color="auto" w:fill="FFFFFF"/>
            <w:tcMar>
              <w:top w:w="0" w:type="dxa"/>
              <w:left w:w="85" w:type="dxa"/>
              <w:bottom w:w="0" w:type="dxa"/>
              <w:right w:w="85" w:type="dxa"/>
            </w:tcMar>
            <w:vAlign w:val="center"/>
          </w:tcPr>
          <w:p w14:paraId="42EBDE43"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6DBA7652" w14:textId="77777777" w:rsidR="00EB5913" w:rsidRPr="006623B9" w:rsidRDefault="00EB5913" w:rsidP="00F16E23">
            <w:pPr>
              <w:pStyle w:val="TableText"/>
              <w:spacing w:before="40" w:after="40"/>
              <w:jc w:val="right"/>
            </w:pPr>
            <w:r w:rsidRPr="006623B9">
              <w:rPr>
                <w:rFonts w:eastAsia="Calibri"/>
              </w:rPr>
              <w:t>0.7</w:t>
            </w:r>
          </w:p>
        </w:tc>
        <w:tc>
          <w:tcPr>
            <w:tcW w:w="0" w:type="auto"/>
            <w:shd w:val="clear" w:color="auto" w:fill="FFFFFF"/>
            <w:tcMar>
              <w:top w:w="0" w:type="dxa"/>
              <w:left w:w="85" w:type="dxa"/>
              <w:bottom w:w="0" w:type="dxa"/>
              <w:right w:w="85" w:type="dxa"/>
            </w:tcMar>
            <w:vAlign w:val="center"/>
          </w:tcPr>
          <w:p w14:paraId="255A1AA8"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0CBD640B" w14:textId="77777777" w:rsidR="00EB5913" w:rsidRPr="006623B9" w:rsidRDefault="00EB5913" w:rsidP="00F16E23">
            <w:pPr>
              <w:pStyle w:val="TableText"/>
              <w:spacing w:before="40" w:after="40"/>
              <w:jc w:val="right"/>
            </w:pPr>
            <w:r w:rsidRPr="006623B9">
              <w:rPr>
                <w:rFonts w:eastAsia="Calibri"/>
              </w:rPr>
              <w:t>0.3</w:t>
            </w:r>
          </w:p>
        </w:tc>
        <w:tc>
          <w:tcPr>
            <w:tcW w:w="0" w:type="auto"/>
            <w:shd w:val="clear" w:color="auto" w:fill="FFFFFF"/>
            <w:tcMar>
              <w:top w:w="0" w:type="dxa"/>
              <w:left w:w="85" w:type="dxa"/>
              <w:bottom w:w="0" w:type="dxa"/>
              <w:right w:w="85" w:type="dxa"/>
            </w:tcMar>
            <w:vAlign w:val="center"/>
          </w:tcPr>
          <w:p w14:paraId="58B3B8A3" w14:textId="77777777" w:rsidR="00EB5913" w:rsidRPr="006623B9" w:rsidRDefault="00EB5913" w:rsidP="00F16E23">
            <w:pPr>
              <w:pStyle w:val="TableText"/>
              <w:spacing w:before="40" w:after="40"/>
              <w:jc w:val="right"/>
            </w:pPr>
            <w:r w:rsidRPr="006623B9">
              <w:rPr>
                <w:rFonts w:eastAsia="Calibri"/>
              </w:rPr>
              <w:t>0.2</w:t>
            </w:r>
          </w:p>
        </w:tc>
        <w:tc>
          <w:tcPr>
            <w:tcW w:w="0" w:type="auto"/>
            <w:shd w:val="clear" w:color="auto" w:fill="FFFFFF"/>
            <w:tcMar>
              <w:top w:w="0" w:type="dxa"/>
              <w:left w:w="85" w:type="dxa"/>
              <w:bottom w:w="0" w:type="dxa"/>
              <w:right w:w="85" w:type="dxa"/>
            </w:tcMar>
            <w:vAlign w:val="center"/>
          </w:tcPr>
          <w:p w14:paraId="01BF195D"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1B3CB797"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035BD52F" w14:textId="77777777" w:rsidR="00EB5913" w:rsidRPr="006623B9" w:rsidRDefault="00EB5913" w:rsidP="00F16E23">
            <w:pPr>
              <w:pStyle w:val="TableText"/>
              <w:spacing w:before="40" w:after="40"/>
              <w:jc w:val="right"/>
            </w:pPr>
            <w:r w:rsidRPr="006623B9">
              <w:rPr>
                <w:rFonts w:eastAsia="Calibri"/>
              </w:rPr>
              <w:t>98.8</w:t>
            </w:r>
          </w:p>
        </w:tc>
      </w:tr>
      <w:tr w:rsidR="00EB5913" w:rsidRPr="006623B9" w14:paraId="151798DE" w14:textId="77777777" w:rsidTr="00F16E23">
        <w:tc>
          <w:tcPr>
            <w:tcW w:w="0" w:type="auto"/>
            <w:shd w:val="clear" w:color="auto" w:fill="FFFFFF"/>
            <w:tcMar>
              <w:top w:w="0" w:type="dxa"/>
              <w:left w:w="85" w:type="dxa"/>
              <w:bottom w:w="0" w:type="dxa"/>
              <w:right w:w="85" w:type="dxa"/>
            </w:tcMar>
            <w:vAlign w:val="center"/>
          </w:tcPr>
          <w:p w14:paraId="374DD362" w14:textId="77777777" w:rsidR="00EB5913" w:rsidRPr="006623B9" w:rsidRDefault="00EB5913" w:rsidP="00F16E23">
            <w:pPr>
              <w:pStyle w:val="TableText"/>
              <w:spacing w:before="40" w:after="40"/>
            </w:pPr>
            <w:r w:rsidRPr="006623B9">
              <w:rPr>
                <w:rFonts w:eastAsia="Calibri"/>
              </w:rPr>
              <w:t>Class 5 landfills</w:t>
            </w:r>
          </w:p>
        </w:tc>
        <w:tc>
          <w:tcPr>
            <w:tcW w:w="0" w:type="auto"/>
            <w:shd w:val="clear" w:color="auto" w:fill="FFFFFF"/>
            <w:tcMar>
              <w:top w:w="0" w:type="dxa"/>
              <w:left w:w="85" w:type="dxa"/>
              <w:bottom w:w="0" w:type="dxa"/>
              <w:right w:w="85" w:type="dxa"/>
            </w:tcMar>
            <w:vAlign w:val="center"/>
          </w:tcPr>
          <w:p w14:paraId="3FB31CA9"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555F52DD" w14:textId="77777777" w:rsidR="00EB5913" w:rsidRPr="006623B9" w:rsidRDefault="00EB5913" w:rsidP="00F16E23">
            <w:pPr>
              <w:pStyle w:val="TableText"/>
              <w:spacing w:before="40" w:after="40"/>
              <w:jc w:val="right"/>
            </w:pPr>
            <w:r w:rsidRPr="006623B9">
              <w:rPr>
                <w:rFonts w:eastAsia="Calibri"/>
              </w:rPr>
              <w:t>1.9</w:t>
            </w:r>
          </w:p>
        </w:tc>
        <w:tc>
          <w:tcPr>
            <w:tcW w:w="0" w:type="auto"/>
            <w:shd w:val="clear" w:color="auto" w:fill="FFFFFF"/>
            <w:tcMar>
              <w:top w:w="0" w:type="dxa"/>
              <w:left w:w="85" w:type="dxa"/>
              <w:bottom w:w="0" w:type="dxa"/>
              <w:right w:w="85" w:type="dxa"/>
            </w:tcMar>
            <w:vAlign w:val="center"/>
          </w:tcPr>
          <w:p w14:paraId="44FACF76"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64F5C046"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42DE3889"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622BCA51"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44FD6A81"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48EBB1FA" w14:textId="77777777" w:rsidR="00EB5913" w:rsidRPr="006623B9" w:rsidRDefault="00EB5913" w:rsidP="00F16E23">
            <w:pPr>
              <w:pStyle w:val="TableText"/>
              <w:spacing w:before="40" w:after="40"/>
              <w:jc w:val="right"/>
            </w:pPr>
            <w:r w:rsidRPr="006623B9">
              <w:rPr>
                <w:rFonts w:eastAsia="Calibri"/>
              </w:rPr>
              <w:t>98.1</w:t>
            </w:r>
          </w:p>
        </w:tc>
      </w:tr>
      <w:tr w:rsidR="00EB5913" w:rsidRPr="006623B9" w14:paraId="0C7C2E26" w14:textId="77777777" w:rsidTr="00F16E23">
        <w:tc>
          <w:tcPr>
            <w:tcW w:w="0" w:type="auto"/>
            <w:shd w:val="clear" w:color="auto" w:fill="FFFFFF"/>
            <w:tcMar>
              <w:top w:w="0" w:type="dxa"/>
              <w:left w:w="85" w:type="dxa"/>
              <w:bottom w:w="0" w:type="dxa"/>
              <w:right w:w="85" w:type="dxa"/>
            </w:tcMar>
            <w:vAlign w:val="center"/>
          </w:tcPr>
          <w:p w14:paraId="45503658" w14:textId="77777777" w:rsidR="00EB5913" w:rsidRPr="006623B9" w:rsidRDefault="00EB5913" w:rsidP="00F16E23">
            <w:pPr>
              <w:pStyle w:val="TableText"/>
              <w:spacing w:before="40" w:after="40"/>
            </w:pPr>
            <w:r w:rsidRPr="006623B9">
              <w:rPr>
                <w:rFonts w:eastAsia="Calibri"/>
              </w:rPr>
              <w:t>Monofills</w:t>
            </w:r>
          </w:p>
        </w:tc>
        <w:tc>
          <w:tcPr>
            <w:tcW w:w="0" w:type="auto"/>
            <w:shd w:val="clear" w:color="auto" w:fill="FFFFFF"/>
            <w:tcMar>
              <w:top w:w="0" w:type="dxa"/>
              <w:left w:w="85" w:type="dxa"/>
              <w:bottom w:w="0" w:type="dxa"/>
              <w:right w:w="85" w:type="dxa"/>
            </w:tcMar>
            <w:vAlign w:val="center"/>
          </w:tcPr>
          <w:p w14:paraId="3141A290" w14:textId="77777777" w:rsidR="00EB5913" w:rsidRPr="006623B9" w:rsidRDefault="00EB5913" w:rsidP="00F16E23">
            <w:pPr>
              <w:pStyle w:val="TableText"/>
              <w:spacing w:before="40" w:after="40"/>
              <w:jc w:val="right"/>
            </w:pPr>
            <w:r w:rsidRPr="006623B9">
              <w:rPr>
                <w:rFonts w:eastAsia="Calibri"/>
              </w:rPr>
              <w:t>0.2</w:t>
            </w:r>
          </w:p>
        </w:tc>
        <w:tc>
          <w:tcPr>
            <w:tcW w:w="0" w:type="auto"/>
            <w:shd w:val="clear" w:color="auto" w:fill="FFFFFF"/>
            <w:tcMar>
              <w:top w:w="0" w:type="dxa"/>
              <w:left w:w="85" w:type="dxa"/>
              <w:bottom w:w="0" w:type="dxa"/>
              <w:right w:w="85" w:type="dxa"/>
            </w:tcMar>
            <w:vAlign w:val="center"/>
          </w:tcPr>
          <w:p w14:paraId="3E064AED"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12752D0F" w14:textId="77777777" w:rsidR="00EB5913" w:rsidRPr="006623B9" w:rsidRDefault="00EB5913" w:rsidP="00F16E23">
            <w:pPr>
              <w:pStyle w:val="TableText"/>
              <w:spacing w:before="40" w:after="40"/>
              <w:jc w:val="right"/>
            </w:pPr>
            <w:r w:rsidRPr="006623B9">
              <w:rPr>
                <w:rFonts w:eastAsia="Calibri"/>
              </w:rPr>
              <w:t>0.3</w:t>
            </w:r>
          </w:p>
        </w:tc>
        <w:tc>
          <w:tcPr>
            <w:tcW w:w="0" w:type="auto"/>
            <w:shd w:val="clear" w:color="auto" w:fill="FFFFFF"/>
            <w:tcMar>
              <w:top w:w="0" w:type="dxa"/>
              <w:left w:w="85" w:type="dxa"/>
              <w:bottom w:w="0" w:type="dxa"/>
              <w:right w:w="85" w:type="dxa"/>
            </w:tcMar>
            <w:vAlign w:val="center"/>
          </w:tcPr>
          <w:p w14:paraId="344E4C73" w14:textId="77777777" w:rsidR="00EB5913" w:rsidRPr="006623B9" w:rsidRDefault="00EB5913" w:rsidP="00F16E23">
            <w:pPr>
              <w:pStyle w:val="TableText"/>
              <w:spacing w:before="40" w:after="40"/>
              <w:jc w:val="right"/>
            </w:pPr>
            <w:r w:rsidRPr="006623B9">
              <w:rPr>
                <w:rFonts w:eastAsia="Calibri"/>
              </w:rPr>
              <w:t>1.7</w:t>
            </w:r>
          </w:p>
        </w:tc>
        <w:tc>
          <w:tcPr>
            <w:tcW w:w="0" w:type="auto"/>
            <w:shd w:val="clear" w:color="auto" w:fill="FFFFFF"/>
            <w:tcMar>
              <w:top w:w="0" w:type="dxa"/>
              <w:left w:w="85" w:type="dxa"/>
              <w:bottom w:w="0" w:type="dxa"/>
              <w:right w:w="85" w:type="dxa"/>
            </w:tcMar>
            <w:vAlign w:val="center"/>
          </w:tcPr>
          <w:p w14:paraId="3AD7B3DD"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001C0832" w14:textId="77777777" w:rsidR="00EB5913" w:rsidRPr="006623B9" w:rsidRDefault="00EB5913" w:rsidP="00F16E23">
            <w:pPr>
              <w:pStyle w:val="TableText"/>
              <w:spacing w:before="40" w:after="40"/>
              <w:jc w:val="right"/>
            </w:pPr>
            <w:r w:rsidRPr="006623B9">
              <w:rPr>
                <w:rFonts w:eastAsia="Calibri"/>
              </w:rPr>
              <w:t>0.0</w:t>
            </w:r>
          </w:p>
        </w:tc>
        <w:tc>
          <w:tcPr>
            <w:tcW w:w="0" w:type="auto"/>
            <w:shd w:val="clear" w:color="auto" w:fill="FFFFFF"/>
            <w:tcMar>
              <w:top w:w="0" w:type="dxa"/>
              <w:left w:w="85" w:type="dxa"/>
              <w:bottom w:w="0" w:type="dxa"/>
              <w:right w:w="85" w:type="dxa"/>
            </w:tcMar>
            <w:vAlign w:val="center"/>
          </w:tcPr>
          <w:p w14:paraId="4E7310A6" w14:textId="77777777" w:rsidR="00EB5913" w:rsidRPr="006623B9" w:rsidRDefault="00EB5913" w:rsidP="00F16E23">
            <w:pPr>
              <w:pStyle w:val="TableText"/>
              <w:spacing w:before="40" w:after="40"/>
              <w:jc w:val="right"/>
            </w:pPr>
            <w:r w:rsidRPr="006623B9">
              <w:rPr>
                <w:rFonts w:eastAsia="Calibri"/>
              </w:rPr>
              <w:t>2.6</w:t>
            </w:r>
          </w:p>
        </w:tc>
        <w:tc>
          <w:tcPr>
            <w:tcW w:w="0" w:type="auto"/>
            <w:shd w:val="clear" w:color="auto" w:fill="FFFFFF"/>
            <w:tcMar>
              <w:top w:w="0" w:type="dxa"/>
              <w:left w:w="85" w:type="dxa"/>
              <w:bottom w:w="0" w:type="dxa"/>
              <w:right w:w="85" w:type="dxa"/>
            </w:tcMar>
            <w:vAlign w:val="center"/>
          </w:tcPr>
          <w:p w14:paraId="2F5289C6" w14:textId="77777777" w:rsidR="00EB5913" w:rsidRPr="006623B9" w:rsidRDefault="00EB5913" w:rsidP="00F16E23">
            <w:pPr>
              <w:pStyle w:val="TableText"/>
              <w:spacing w:before="40" w:after="40"/>
              <w:jc w:val="right"/>
            </w:pPr>
            <w:r w:rsidRPr="006623B9">
              <w:rPr>
                <w:rFonts w:eastAsia="Calibri"/>
              </w:rPr>
              <w:t>95.3</w:t>
            </w:r>
          </w:p>
        </w:tc>
      </w:tr>
    </w:tbl>
    <w:p w14:paraId="13032AA5" w14:textId="77777777" w:rsidR="00EB5913" w:rsidRPr="006623B9" w:rsidRDefault="00EB5913" w:rsidP="00EB5913">
      <w:pPr>
        <w:pStyle w:val="BodyText"/>
        <w:spacing w:before="240"/>
      </w:pPr>
      <w:r w:rsidRPr="006623B9">
        <w:t>The primary waste types disposed of in unmanaged SWDS include soil, rubble, concrete, wood and green waste. Custom DOC values were applied (Eunomia, unpublished(c)), with the exception of rubber and sludge, which used the IPCC default values. Wood waste, which uses a custom DDOC value, consists largely of wood processing waste. Studies have shown that this type of waste contains a higher lignin content, which breaks down more slowly and less completely (Eunomia, unpublished(a)), leading to lower CH</w:t>
      </w:r>
      <w:r w:rsidRPr="006623B9">
        <w:rPr>
          <w:vertAlign w:val="subscript"/>
        </w:rPr>
        <w:t>4</w:t>
      </w:r>
      <w:r w:rsidRPr="006623B9">
        <w:t xml:space="preserve"> generation.</w:t>
      </w:r>
    </w:p>
    <w:p w14:paraId="7B87B050" w14:textId="77777777" w:rsidR="00EB5913" w:rsidRPr="006623B9" w:rsidRDefault="00EB5913" w:rsidP="00EB5913">
      <w:pPr>
        <w:pStyle w:val="BodyText"/>
      </w:pPr>
      <w:r w:rsidRPr="006623B9">
        <w:t>For farm fills, the DOC for bulk municipal solid waste is applied to some farm waste, based on results from the non-natural rural waste survey (GHD, 2013). This approach is appropriate because the farm waste is expected to be a mixture of domestic refuse, inert materials (e.g., scrap metal and glass) and waste specific to the farming activities. Because this mixture is similar to municipal solid waste, using the DOC values for bulk municipal solid waste is considered suitable (Tonkin and Taylor Ltd, unpublished(b)).</w:t>
      </w:r>
    </w:p>
    <w:p w14:paraId="1F83EBFE" w14:textId="77777777" w:rsidR="00EB5913" w:rsidRPr="006623B9" w:rsidRDefault="00EB5913" w:rsidP="00EB5913">
      <w:pPr>
        <w:pStyle w:val="Heading6"/>
      </w:pPr>
      <w:bookmarkStart w:id="3039" w:name="other-parameters"/>
      <w:bookmarkEnd w:id="3037"/>
      <w:r w:rsidRPr="006623B9">
        <w:t>Other parameters</w:t>
      </w:r>
    </w:p>
    <w:p w14:paraId="23013DBA" w14:textId="77777777" w:rsidR="00EB5913" w:rsidRPr="006623B9" w:rsidRDefault="00EB5913" w:rsidP="00EB5913">
      <w:pPr>
        <w:pStyle w:val="BodyText"/>
      </w:pPr>
      <w:r w:rsidRPr="006623B9">
        <w:t>The majority of unmanaged SWDS and farm fills are shallow, with less than 5 metres depth of waste. These are estimated to account for 90 percent of the waste disposed, with a CH</w:t>
      </w:r>
      <w:r w:rsidRPr="006623B9">
        <w:rPr>
          <w:vertAlign w:val="subscript"/>
        </w:rPr>
        <w:t>4</w:t>
      </w:r>
      <w:r w:rsidRPr="006623B9">
        <w:t xml:space="preserve"> correction factor value of 0.4. The other 10 percent (approximately) of waste goes to fills that are assumed to be:</w:t>
      </w:r>
    </w:p>
    <w:p w14:paraId="01A9C2DE" w14:textId="77777777" w:rsidR="00EB5913" w:rsidRPr="006623B9" w:rsidRDefault="00EB5913" w:rsidP="00EB5913">
      <w:pPr>
        <w:pStyle w:val="Bullet"/>
      </w:pPr>
      <w:r w:rsidRPr="006623B9">
        <w:t>for unmanaged SWDS, an unknown mix that would have an average CH</w:t>
      </w:r>
      <w:r w:rsidRPr="006623B9">
        <w:rPr>
          <w:vertAlign w:val="subscript"/>
        </w:rPr>
        <w:t>4</w:t>
      </w:r>
      <w:r w:rsidRPr="006623B9">
        <w:t xml:space="preserve"> correction factor value of 0.6; this gives an overall average of 0.4 for these sites</w:t>
      </w:r>
    </w:p>
    <w:p w14:paraId="68A57E43" w14:textId="77777777" w:rsidR="00EB5913" w:rsidRPr="006623B9" w:rsidRDefault="00EB5913" w:rsidP="00EB5913">
      <w:pPr>
        <w:pStyle w:val="Bullet"/>
      </w:pPr>
      <w:r w:rsidRPr="006623B9">
        <w:t>for farm fills with deeper pits that have an average depth greater than 5 metres, the CH</w:t>
      </w:r>
      <w:r w:rsidRPr="006623B9">
        <w:rPr>
          <w:vertAlign w:val="subscript"/>
        </w:rPr>
        <w:t>4</w:t>
      </w:r>
      <w:r w:rsidRPr="006623B9">
        <w:t xml:space="preserve"> correction factor value is 0.8, and the average for all farm fills is 0.4.</w:t>
      </w:r>
    </w:p>
    <w:p w14:paraId="2FE9B259" w14:textId="77777777" w:rsidR="00EB5913" w:rsidRPr="006623B9" w:rsidRDefault="00EB5913" w:rsidP="00EB5913">
      <w:pPr>
        <w:pStyle w:val="BodyText"/>
      </w:pPr>
      <w:r w:rsidRPr="006623B9">
        <w:t>Default k-values for a wet temperate climate are used. No oxidation is assumed to occur in the cover for these unmanaged sites.</w:t>
      </w:r>
    </w:p>
    <w:p w14:paraId="336BD5C0" w14:textId="77777777" w:rsidR="00EB5913" w:rsidRPr="006623B9" w:rsidRDefault="00EB5913" w:rsidP="00EB5913">
      <w:pPr>
        <w:pStyle w:val="Heading6"/>
      </w:pPr>
      <w:bookmarkStart w:id="3040" w:name="summary-of-parameters-used-1"/>
      <w:bookmarkEnd w:id="3039"/>
      <w:r w:rsidRPr="006623B9">
        <w:t>Summary of parameters used</w:t>
      </w:r>
    </w:p>
    <w:p w14:paraId="4AF40349" w14:textId="77777777" w:rsidR="00EB5913" w:rsidRPr="006623B9" w:rsidRDefault="00EB5913" w:rsidP="00EB5913">
      <w:pPr>
        <w:pStyle w:val="BodyText"/>
      </w:pPr>
      <w:r w:rsidRPr="006623B9">
        <w:t>Table 7.2.11 summarises the parameter values applied for estimating CH</w:t>
      </w:r>
      <w:r w:rsidRPr="006623B9">
        <w:rPr>
          <w:vertAlign w:val="subscript"/>
        </w:rPr>
        <w:t>4</w:t>
      </w:r>
      <w:r w:rsidRPr="006623B9">
        <w:t xml:space="preserve"> emissions for solid waste disposed to unmanaged SWDS and farm fills.</w:t>
      </w:r>
    </w:p>
    <w:p w14:paraId="0E2EEDE0" w14:textId="77777777" w:rsidR="00EB5913" w:rsidRPr="006623B9" w:rsidRDefault="00EB5913" w:rsidP="00EB5913">
      <w:pPr>
        <w:pStyle w:val="Table"/>
      </w:pPr>
      <w:bookmarkStart w:id="3041" w:name="_Toc226669109"/>
      <w:r w:rsidRPr="006623B9">
        <w:t xml:space="preserve">Table 7.2.11 </w:t>
      </w:r>
      <w:r w:rsidRPr="006623B9">
        <w:tab/>
        <w:t>Summary of parameters for unmanaged solid waste disposal sites and farm fills</w:t>
      </w:r>
      <w:bookmarkEnd w:id="304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373"/>
        <w:gridCol w:w="987"/>
        <w:gridCol w:w="2366"/>
        <w:gridCol w:w="2768"/>
      </w:tblGrid>
      <w:tr w:rsidR="00EB5913" w:rsidRPr="006623B9" w14:paraId="2F82AC80" w14:textId="77777777" w:rsidTr="00F16E23">
        <w:trPr>
          <w:tblHeader/>
        </w:trPr>
        <w:tc>
          <w:tcPr>
            <w:tcW w:w="0" w:type="auto"/>
            <w:shd w:val="clear" w:color="auto" w:fill="1B556B"/>
            <w:tcMar>
              <w:top w:w="0" w:type="dxa"/>
              <w:left w:w="85" w:type="dxa"/>
              <w:bottom w:w="0" w:type="dxa"/>
              <w:right w:w="85" w:type="dxa"/>
            </w:tcMar>
            <w:vAlign w:val="center"/>
          </w:tcPr>
          <w:p w14:paraId="3968627F"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Parameter</w:t>
            </w:r>
          </w:p>
        </w:tc>
        <w:tc>
          <w:tcPr>
            <w:tcW w:w="0" w:type="auto"/>
            <w:shd w:val="clear" w:color="auto" w:fill="1B556B"/>
            <w:tcMar>
              <w:top w:w="0" w:type="dxa"/>
              <w:left w:w="85" w:type="dxa"/>
              <w:bottom w:w="0" w:type="dxa"/>
              <w:right w:w="85" w:type="dxa"/>
            </w:tcMar>
            <w:vAlign w:val="center"/>
          </w:tcPr>
          <w:p w14:paraId="74977DD9"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Values</w:t>
            </w:r>
          </w:p>
        </w:tc>
        <w:tc>
          <w:tcPr>
            <w:tcW w:w="0" w:type="auto"/>
            <w:shd w:val="clear" w:color="auto" w:fill="1B556B"/>
            <w:tcMar>
              <w:top w:w="0" w:type="dxa"/>
              <w:left w:w="85" w:type="dxa"/>
              <w:bottom w:w="0" w:type="dxa"/>
              <w:right w:w="85" w:type="dxa"/>
            </w:tcMar>
            <w:vAlign w:val="center"/>
          </w:tcPr>
          <w:p w14:paraId="72C3D442"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Source</w:t>
            </w:r>
          </w:p>
        </w:tc>
        <w:tc>
          <w:tcPr>
            <w:tcW w:w="0" w:type="auto"/>
            <w:shd w:val="clear" w:color="auto" w:fill="1B556B"/>
            <w:tcMar>
              <w:top w:w="0" w:type="dxa"/>
              <w:left w:w="85" w:type="dxa"/>
              <w:bottom w:w="0" w:type="dxa"/>
              <w:right w:w="85" w:type="dxa"/>
            </w:tcMar>
            <w:vAlign w:val="center"/>
          </w:tcPr>
          <w:p w14:paraId="5DB2CD81"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Reference</w:t>
            </w:r>
          </w:p>
        </w:tc>
      </w:tr>
      <w:tr w:rsidR="00EB5913" w:rsidRPr="006623B9" w14:paraId="166220A9" w14:textId="77777777" w:rsidTr="00F16E23">
        <w:tc>
          <w:tcPr>
            <w:tcW w:w="0" w:type="auto"/>
            <w:shd w:val="clear" w:color="auto" w:fill="FFFFFF"/>
            <w:tcMar>
              <w:top w:w="0" w:type="dxa"/>
              <w:left w:w="85" w:type="dxa"/>
              <w:bottom w:w="0" w:type="dxa"/>
              <w:right w:w="85" w:type="dxa"/>
            </w:tcMar>
            <w:vAlign w:val="center"/>
          </w:tcPr>
          <w:p w14:paraId="43206DC9" w14:textId="77777777" w:rsidR="00EB5913" w:rsidRPr="006623B9" w:rsidRDefault="00EB5913" w:rsidP="00F16E23">
            <w:pPr>
              <w:pStyle w:val="Tableboldblue"/>
              <w:spacing w:before="40" w:after="40"/>
              <w:rPr>
                <w:szCs w:val="16"/>
              </w:rPr>
            </w:pPr>
            <w:r w:rsidRPr="006623B9">
              <w:rPr>
                <w:rFonts w:eastAsia="Calibri"/>
                <w:szCs w:val="16"/>
              </w:rPr>
              <w:t>Non-municipal SWDS</w:t>
            </w:r>
          </w:p>
        </w:tc>
        <w:tc>
          <w:tcPr>
            <w:tcW w:w="0" w:type="auto"/>
            <w:shd w:val="clear" w:color="auto" w:fill="FFFFFF"/>
            <w:tcMar>
              <w:top w:w="0" w:type="dxa"/>
              <w:left w:w="85" w:type="dxa"/>
              <w:bottom w:w="0" w:type="dxa"/>
              <w:right w:w="85" w:type="dxa"/>
            </w:tcMar>
            <w:vAlign w:val="center"/>
          </w:tcPr>
          <w:p w14:paraId="4E209634" w14:textId="77777777" w:rsidR="00EB5913" w:rsidRPr="006623B9" w:rsidRDefault="00EB5913" w:rsidP="00F16E23">
            <w:pPr>
              <w:pStyle w:val="Tableboldblue"/>
              <w:spacing w:before="40" w:after="40"/>
              <w:rPr>
                <w:szCs w:val="16"/>
              </w:rPr>
            </w:pPr>
          </w:p>
        </w:tc>
        <w:tc>
          <w:tcPr>
            <w:tcW w:w="0" w:type="auto"/>
            <w:shd w:val="clear" w:color="auto" w:fill="FFFFFF"/>
            <w:tcMar>
              <w:top w:w="0" w:type="dxa"/>
              <w:left w:w="85" w:type="dxa"/>
              <w:bottom w:w="0" w:type="dxa"/>
              <w:right w:w="85" w:type="dxa"/>
            </w:tcMar>
            <w:vAlign w:val="center"/>
          </w:tcPr>
          <w:p w14:paraId="532F2F18" w14:textId="77777777" w:rsidR="00EB5913" w:rsidRPr="006623B9" w:rsidRDefault="00EB5913" w:rsidP="00F16E23">
            <w:pPr>
              <w:pStyle w:val="Tableboldblue"/>
              <w:spacing w:before="40" w:after="40"/>
              <w:rPr>
                <w:szCs w:val="16"/>
              </w:rPr>
            </w:pPr>
          </w:p>
        </w:tc>
        <w:tc>
          <w:tcPr>
            <w:tcW w:w="0" w:type="auto"/>
            <w:shd w:val="clear" w:color="auto" w:fill="FFFFFF"/>
            <w:tcMar>
              <w:top w:w="0" w:type="dxa"/>
              <w:left w:w="85" w:type="dxa"/>
              <w:bottom w:w="0" w:type="dxa"/>
              <w:right w:w="85" w:type="dxa"/>
            </w:tcMar>
            <w:vAlign w:val="center"/>
          </w:tcPr>
          <w:p w14:paraId="542E7C44" w14:textId="77777777" w:rsidR="00EB5913" w:rsidRPr="006623B9" w:rsidRDefault="00EB5913" w:rsidP="00F16E23">
            <w:pPr>
              <w:pStyle w:val="Tableboldblue"/>
              <w:spacing w:before="40" w:after="40"/>
              <w:rPr>
                <w:szCs w:val="16"/>
              </w:rPr>
            </w:pPr>
          </w:p>
        </w:tc>
      </w:tr>
      <w:tr w:rsidR="00EB5913" w:rsidRPr="006623B9" w14:paraId="6A20470F" w14:textId="77777777" w:rsidTr="00F16E23">
        <w:tc>
          <w:tcPr>
            <w:tcW w:w="0" w:type="auto"/>
            <w:shd w:val="clear" w:color="auto" w:fill="FFFFFF"/>
            <w:tcMar>
              <w:top w:w="0" w:type="dxa"/>
              <w:left w:w="85" w:type="dxa"/>
              <w:bottom w:w="0" w:type="dxa"/>
              <w:right w:w="85" w:type="dxa"/>
            </w:tcMar>
            <w:vAlign w:val="center"/>
          </w:tcPr>
          <w:p w14:paraId="4D8BB2B5" w14:textId="77777777" w:rsidR="00EB5913" w:rsidRPr="006623B9" w:rsidRDefault="00EB5913" w:rsidP="00F16E23">
            <w:pPr>
              <w:pStyle w:val="TableText"/>
              <w:spacing w:before="40" w:after="40"/>
              <w:rPr>
                <w:szCs w:val="16"/>
              </w:rPr>
            </w:pPr>
            <w:r w:rsidRPr="006623B9">
              <w:rPr>
                <w:rFonts w:eastAsia="Calibri"/>
                <w:szCs w:val="16"/>
              </w:rPr>
              <w:t>k-value</w:t>
            </w:r>
          </w:p>
        </w:tc>
        <w:tc>
          <w:tcPr>
            <w:tcW w:w="0" w:type="auto"/>
            <w:shd w:val="clear" w:color="auto" w:fill="FFFFFF"/>
            <w:tcMar>
              <w:top w:w="0" w:type="dxa"/>
              <w:left w:w="85" w:type="dxa"/>
              <w:bottom w:w="0" w:type="dxa"/>
              <w:right w:w="85" w:type="dxa"/>
            </w:tcMar>
            <w:vAlign w:val="center"/>
          </w:tcPr>
          <w:p w14:paraId="0353B641" w14:textId="77777777" w:rsidR="00EB5913" w:rsidRPr="006623B9" w:rsidRDefault="00EB5913" w:rsidP="00F16E23">
            <w:pPr>
              <w:pStyle w:val="TableText"/>
              <w:spacing w:before="40" w:after="40"/>
              <w:rPr>
                <w:szCs w:val="16"/>
              </w:rPr>
            </w:pPr>
            <w:r w:rsidRPr="006623B9">
              <w:rPr>
                <w:rFonts w:eastAsia="Calibri"/>
                <w:szCs w:val="16"/>
              </w:rPr>
              <w:t>0.020–0.185</w:t>
            </w:r>
          </w:p>
        </w:tc>
        <w:tc>
          <w:tcPr>
            <w:tcW w:w="0" w:type="auto"/>
            <w:shd w:val="clear" w:color="auto" w:fill="FFFFFF"/>
            <w:tcMar>
              <w:top w:w="0" w:type="dxa"/>
              <w:left w:w="85" w:type="dxa"/>
              <w:bottom w:w="0" w:type="dxa"/>
              <w:right w:w="85" w:type="dxa"/>
            </w:tcMar>
            <w:vAlign w:val="center"/>
          </w:tcPr>
          <w:p w14:paraId="3D838FB0" w14:textId="77777777" w:rsidR="00EB5913" w:rsidRPr="006623B9" w:rsidRDefault="00EB5913" w:rsidP="00F16E23">
            <w:pPr>
              <w:pStyle w:val="TableText"/>
              <w:spacing w:before="40" w:after="40"/>
              <w:rPr>
                <w:szCs w:val="16"/>
              </w:rPr>
            </w:pPr>
            <w:r w:rsidRPr="006623B9">
              <w:rPr>
                <w:rFonts w:eastAsia="Calibri"/>
                <w:szCs w:val="16"/>
              </w:rPr>
              <w:t>IPCC default</w:t>
            </w:r>
          </w:p>
        </w:tc>
        <w:tc>
          <w:tcPr>
            <w:tcW w:w="0" w:type="auto"/>
            <w:shd w:val="clear" w:color="auto" w:fill="FFFFFF"/>
            <w:tcMar>
              <w:top w:w="0" w:type="dxa"/>
              <w:left w:w="85" w:type="dxa"/>
              <w:bottom w:w="0" w:type="dxa"/>
              <w:right w:w="85" w:type="dxa"/>
            </w:tcMar>
            <w:vAlign w:val="center"/>
          </w:tcPr>
          <w:p w14:paraId="7B2C35FE"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410F7ABC" w14:textId="77777777" w:rsidTr="00F16E23">
        <w:tc>
          <w:tcPr>
            <w:tcW w:w="0" w:type="auto"/>
            <w:shd w:val="clear" w:color="auto" w:fill="FFFFFF"/>
            <w:tcMar>
              <w:top w:w="0" w:type="dxa"/>
              <w:left w:w="85" w:type="dxa"/>
              <w:bottom w:w="0" w:type="dxa"/>
              <w:right w:w="85" w:type="dxa"/>
            </w:tcMar>
            <w:vAlign w:val="center"/>
          </w:tcPr>
          <w:p w14:paraId="7352F8F7" w14:textId="77777777" w:rsidR="00EB5913" w:rsidRPr="006623B9" w:rsidRDefault="00EB5913" w:rsidP="00F16E23">
            <w:pPr>
              <w:pStyle w:val="TableText"/>
              <w:spacing w:before="40" w:after="40"/>
              <w:rPr>
                <w:szCs w:val="16"/>
              </w:rPr>
            </w:pPr>
            <w:r w:rsidRPr="006623B9">
              <w:rPr>
                <w:rFonts w:eastAsia="Calibri"/>
                <w:szCs w:val="16"/>
              </w:rPr>
              <w:t>Methane correction factor</w:t>
            </w:r>
          </w:p>
        </w:tc>
        <w:tc>
          <w:tcPr>
            <w:tcW w:w="0" w:type="auto"/>
            <w:shd w:val="clear" w:color="auto" w:fill="FFFFFF"/>
            <w:tcMar>
              <w:top w:w="0" w:type="dxa"/>
              <w:left w:w="85" w:type="dxa"/>
              <w:bottom w:w="0" w:type="dxa"/>
              <w:right w:w="85" w:type="dxa"/>
            </w:tcMar>
            <w:vAlign w:val="center"/>
          </w:tcPr>
          <w:p w14:paraId="512618DC" w14:textId="77777777" w:rsidR="00EB5913" w:rsidRPr="006623B9" w:rsidRDefault="00EB5913" w:rsidP="00F16E23">
            <w:pPr>
              <w:pStyle w:val="TableText"/>
              <w:spacing w:before="40" w:after="40"/>
              <w:rPr>
                <w:szCs w:val="16"/>
              </w:rPr>
            </w:pPr>
            <w:r w:rsidRPr="006623B9">
              <w:rPr>
                <w:rFonts w:eastAsia="Calibri"/>
                <w:szCs w:val="16"/>
              </w:rPr>
              <w:t>0.42</w:t>
            </w:r>
          </w:p>
        </w:tc>
        <w:tc>
          <w:tcPr>
            <w:tcW w:w="0" w:type="auto"/>
            <w:shd w:val="clear" w:color="auto" w:fill="FFFFFF"/>
            <w:tcMar>
              <w:top w:w="0" w:type="dxa"/>
              <w:left w:w="85" w:type="dxa"/>
              <w:bottom w:w="0" w:type="dxa"/>
              <w:right w:w="85" w:type="dxa"/>
            </w:tcMar>
            <w:vAlign w:val="center"/>
          </w:tcPr>
          <w:p w14:paraId="3D9496F3" w14:textId="77777777" w:rsidR="00EB5913" w:rsidRPr="006623B9" w:rsidRDefault="00EB5913" w:rsidP="00F16E23">
            <w:pPr>
              <w:pStyle w:val="TableText"/>
              <w:spacing w:before="40" w:after="40"/>
              <w:rPr>
                <w:szCs w:val="16"/>
              </w:rPr>
            </w:pPr>
            <w:r w:rsidRPr="006623B9">
              <w:rPr>
                <w:rFonts w:eastAsia="Calibri"/>
                <w:szCs w:val="16"/>
              </w:rPr>
              <w:t>Country specific</w:t>
            </w:r>
          </w:p>
        </w:tc>
        <w:tc>
          <w:tcPr>
            <w:tcW w:w="0" w:type="auto"/>
            <w:shd w:val="clear" w:color="auto" w:fill="FFFFFF"/>
            <w:tcMar>
              <w:top w:w="0" w:type="dxa"/>
              <w:left w:w="85" w:type="dxa"/>
              <w:bottom w:w="0" w:type="dxa"/>
              <w:right w:w="85" w:type="dxa"/>
            </w:tcMar>
            <w:vAlign w:val="center"/>
          </w:tcPr>
          <w:p w14:paraId="086FB8C1" w14:textId="77777777" w:rsidR="00EB5913" w:rsidRPr="006623B9" w:rsidRDefault="00EB5913" w:rsidP="00F16E23">
            <w:pPr>
              <w:pStyle w:val="TableText"/>
              <w:spacing w:before="40" w:after="40"/>
              <w:rPr>
                <w:szCs w:val="16"/>
              </w:rPr>
            </w:pPr>
            <w:r w:rsidRPr="006623B9">
              <w:rPr>
                <w:rFonts w:eastAsia="Calibri"/>
                <w:szCs w:val="16"/>
              </w:rPr>
              <w:t>Tonkin and Taylor Ltd (unpublished(b))</w:t>
            </w:r>
          </w:p>
        </w:tc>
      </w:tr>
      <w:tr w:rsidR="00EB5913" w:rsidRPr="006623B9" w14:paraId="74E989DD" w14:textId="77777777" w:rsidTr="00F16E23">
        <w:tc>
          <w:tcPr>
            <w:tcW w:w="0" w:type="auto"/>
            <w:shd w:val="clear" w:color="auto" w:fill="FFFFFF"/>
            <w:tcMar>
              <w:top w:w="0" w:type="dxa"/>
              <w:left w:w="85" w:type="dxa"/>
              <w:bottom w:w="0" w:type="dxa"/>
              <w:right w:w="85" w:type="dxa"/>
            </w:tcMar>
            <w:vAlign w:val="center"/>
          </w:tcPr>
          <w:p w14:paraId="09E46819" w14:textId="77777777" w:rsidR="00EB5913" w:rsidRPr="006623B9" w:rsidRDefault="00EB5913" w:rsidP="00F16E23">
            <w:pPr>
              <w:pStyle w:val="TableText"/>
              <w:spacing w:before="40" w:after="40"/>
              <w:rPr>
                <w:szCs w:val="16"/>
              </w:rPr>
            </w:pPr>
            <w:r w:rsidRPr="006623B9">
              <w:rPr>
                <w:rFonts w:eastAsia="Calibri"/>
                <w:szCs w:val="16"/>
              </w:rPr>
              <w:t>DDOC (kt C/kt waste)</w:t>
            </w:r>
          </w:p>
        </w:tc>
        <w:tc>
          <w:tcPr>
            <w:tcW w:w="0" w:type="auto"/>
            <w:shd w:val="clear" w:color="auto" w:fill="FFFFFF"/>
            <w:tcMar>
              <w:top w:w="0" w:type="dxa"/>
              <w:left w:w="85" w:type="dxa"/>
              <w:bottom w:w="0" w:type="dxa"/>
              <w:right w:w="85" w:type="dxa"/>
            </w:tcMar>
            <w:vAlign w:val="center"/>
          </w:tcPr>
          <w:p w14:paraId="1A7A4CD8" w14:textId="77777777" w:rsidR="00EB5913" w:rsidRPr="006623B9" w:rsidRDefault="00EB5913" w:rsidP="00F16E23">
            <w:pPr>
              <w:pStyle w:val="TableText"/>
              <w:spacing w:before="40" w:after="40"/>
              <w:rPr>
                <w:szCs w:val="16"/>
              </w:rPr>
            </w:pPr>
            <w:r w:rsidRPr="006623B9">
              <w:rPr>
                <w:rFonts w:eastAsia="Calibri"/>
                <w:szCs w:val="16"/>
              </w:rPr>
              <w:t>0.04–0.16</w:t>
            </w:r>
          </w:p>
        </w:tc>
        <w:tc>
          <w:tcPr>
            <w:tcW w:w="0" w:type="auto"/>
            <w:shd w:val="clear" w:color="auto" w:fill="FFFFFF"/>
            <w:tcMar>
              <w:top w:w="0" w:type="dxa"/>
              <w:left w:w="85" w:type="dxa"/>
              <w:bottom w:w="0" w:type="dxa"/>
              <w:right w:w="85" w:type="dxa"/>
            </w:tcMar>
            <w:vAlign w:val="center"/>
          </w:tcPr>
          <w:p w14:paraId="60E2B210" w14:textId="77777777" w:rsidR="00EB5913" w:rsidRPr="006623B9" w:rsidRDefault="00EB5913" w:rsidP="00F16E23">
            <w:pPr>
              <w:pStyle w:val="TableText"/>
              <w:spacing w:before="40" w:after="40"/>
              <w:rPr>
                <w:szCs w:val="16"/>
              </w:rPr>
            </w:pPr>
            <w:r w:rsidRPr="006623B9">
              <w:rPr>
                <w:rFonts w:eastAsia="Calibri"/>
                <w:szCs w:val="16"/>
              </w:rPr>
              <w:t>Country specific and IPCC derived</w:t>
            </w:r>
          </w:p>
        </w:tc>
        <w:tc>
          <w:tcPr>
            <w:tcW w:w="0" w:type="auto"/>
            <w:shd w:val="clear" w:color="auto" w:fill="FFFFFF"/>
            <w:tcMar>
              <w:top w:w="0" w:type="dxa"/>
              <w:left w:w="85" w:type="dxa"/>
              <w:bottom w:w="0" w:type="dxa"/>
              <w:right w:w="85" w:type="dxa"/>
            </w:tcMar>
            <w:vAlign w:val="center"/>
          </w:tcPr>
          <w:p w14:paraId="73D60778" w14:textId="77777777" w:rsidR="00EB5913" w:rsidRPr="006623B9" w:rsidRDefault="00EB5913" w:rsidP="00F16E23">
            <w:pPr>
              <w:pStyle w:val="TableText"/>
              <w:spacing w:before="40" w:after="40"/>
              <w:rPr>
                <w:szCs w:val="16"/>
              </w:rPr>
            </w:pPr>
            <w:r w:rsidRPr="006623B9">
              <w:rPr>
                <w:rFonts w:eastAsia="Calibri"/>
                <w:szCs w:val="16"/>
              </w:rPr>
              <w:t>Eunomia (unpublished(c)), IPCC (2006a)</w:t>
            </w:r>
          </w:p>
        </w:tc>
      </w:tr>
      <w:tr w:rsidR="00EB5913" w:rsidRPr="006623B9" w14:paraId="1EE0973C" w14:textId="77777777" w:rsidTr="00F16E23">
        <w:tc>
          <w:tcPr>
            <w:tcW w:w="0" w:type="auto"/>
            <w:shd w:val="clear" w:color="auto" w:fill="FFFFFF"/>
            <w:tcMar>
              <w:top w:w="0" w:type="dxa"/>
              <w:left w:w="85" w:type="dxa"/>
              <w:bottom w:w="0" w:type="dxa"/>
              <w:right w:w="85" w:type="dxa"/>
            </w:tcMar>
            <w:vAlign w:val="center"/>
          </w:tcPr>
          <w:p w14:paraId="3E5AEC7B" w14:textId="77777777" w:rsidR="00EB5913" w:rsidRPr="006623B9" w:rsidRDefault="00EB5913" w:rsidP="00F16E23">
            <w:pPr>
              <w:pStyle w:val="Tableboldblue"/>
              <w:spacing w:before="40" w:after="40"/>
              <w:rPr>
                <w:szCs w:val="16"/>
              </w:rPr>
            </w:pPr>
            <w:r w:rsidRPr="006623B9">
              <w:rPr>
                <w:rFonts w:eastAsia="Calibri"/>
                <w:szCs w:val="16"/>
              </w:rPr>
              <w:t>Farm fills</w:t>
            </w:r>
          </w:p>
        </w:tc>
        <w:tc>
          <w:tcPr>
            <w:tcW w:w="0" w:type="auto"/>
            <w:shd w:val="clear" w:color="auto" w:fill="FFFFFF"/>
            <w:tcMar>
              <w:top w:w="0" w:type="dxa"/>
              <w:left w:w="85" w:type="dxa"/>
              <w:bottom w:w="0" w:type="dxa"/>
              <w:right w:w="85" w:type="dxa"/>
            </w:tcMar>
            <w:vAlign w:val="center"/>
          </w:tcPr>
          <w:p w14:paraId="412EF4A3" w14:textId="77777777" w:rsidR="00EB5913" w:rsidRPr="006623B9" w:rsidRDefault="00EB5913" w:rsidP="00F16E23">
            <w:pPr>
              <w:pStyle w:val="Tableboldblue"/>
              <w:spacing w:before="40" w:after="40"/>
              <w:rPr>
                <w:szCs w:val="16"/>
              </w:rPr>
            </w:pPr>
          </w:p>
        </w:tc>
        <w:tc>
          <w:tcPr>
            <w:tcW w:w="0" w:type="auto"/>
            <w:shd w:val="clear" w:color="auto" w:fill="FFFFFF"/>
            <w:tcMar>
              <w:top w:w="0" w:type="dxa"/>
              <w:left w:w="85" w:type="dxa"/>
              <w:bottom w:w="0" w:type="dxa"/>
              <w:right w:w="85" w:type="dxa"/>
            </w:tcMar>
            <w:vAlign w:val="center"/>
          </w:tcPr>
          <w:p w14:paraId="416BF5C5" w14:textId="77777777" w:rsidR="00EB5913" w:rsidRPr="006623B9" w:rsidRDefault="00EB5913" w:rsidP="00F16E23">
            <w:pPr>
              <w:pStyle w:val="Tableboldblue"/>
              <w:spacing w:before="40" w:after="40"/>
              <w:rPr>
                <w:szCs w:val="16"/>
              </w:rPr>
            </w:pPr>
          </w:p>
        </w:tc>
        <w:tc>
          <w:tcPr>
            <w:tcW w:w="0" w:type="auto"/>
            <w:shd w:val="clear" w:color="auto" w:fill="FFFFFF"/>
            <w:tcMar>
              <w:top w:w="0" w:type="dxa"/>
              <w:left w:w="85" w:type="dxa"/>
              <w:bottom w:w="0" w:type="dxa"/>
              <w:right w:w="85" w:type="dxa"/>
            </w:tcMar>
            <w:vAlign w:val="center"/>
          </w:tcPr>
          <w:p w14:paraId="65C05743" w14:textId="77777777" w:rsidR="00EB5913" w:rsidRPr="006623B9" w:rsidRDefault="00EB5913" w:rsidP="00F16E23">
            <w:pPr>
              <w:pStyle w:val="Tableboldblue"/>
              <w:spacing w:before="40" w:after="40"/>
              <w:rPr>
                <w:szCs w:val="16"/>
              </w:rPr>
            </w:pPr>
          </w:p>
        </w:tc>
      </w:tr>
      <w:tr w:rsidR="00EB5913" w:rsidRPr="006623B9" w14:paraId="38155F8F" w14:textId="77777777" w:rsidTr="00F16E23">
        <w:tc>
          <w:tcPr>
            <w:tcW w:w="0" w:type="auto"/>
            <w:shd w:val="clear" w:color="auto" w:fill="FFFFFF"/>
            <w:tcMar>
              <w:top w:w="0" w:type="dxa"/>
              <w:left w:w="85" w:type="dxa"/>
              <w:bottom w:w="0" w:type="dxa"/>
              <w:right w:w="85" w:type="dxa"/>
            </w:tcMar>
            <w:vAlign w:val="center"/>
          </w:tcPr>
          <w:p w14:paraId="29168FDF" w14:textId="77777777" w:rsidR="00EB5913" w:rsidRPr="006623B9" w:rsidRDefault="00EB5913" w:rsidP="00F16E23">
            <w:pPr>
              <w:pStyle w:val="TableText"/>
              <w:spacing w:before="40" w:after="40"/>
              <w:rPr>
                <w:szCs w:val="16"/>
              </w:rPr>
            </w:pPr>
            <w:r w:rsidRPr="006623B9">
              <w:rPr>
                <w:rFonts w:eastAsia="Calibri"/>
                <w:szCs w:val="16"/>
              </w:rPr>
              <w:t>k-value</w:t>
            </w:r>
          </w:p>
        </w:tc>
        <w:tc>
          <w:tcPr>
            <w:tcW w:w="0" w:type="auto"/>
            <w:shd w:val="clear" w:color="auto" w:fill="FFFFFF"/>
            <w:tcMar>
              <w:top w:w="0" w:type="dxa"/>
              <w:left w:w="85" w:type="dxa"/>
              <w:bottom w:w="0" w:type="dxa"/>
              <w:right w:w="85" w:type="dxa"/>
            </w:tcMar>
            <w:vAlign w:val="center"/>
          </w:tcPr>
          <w:p w14:paraId="619A24E4" w14:textId="77777777" w:rsidR="00EB5913" w:rsidRPr="006623B9" w:rsidRDefault="00EB5913" w:rsidP="00F16E23">
            <w:pPr>
              <w:pStyle w:val="TableText"/>
              <w:spacing w:before="40" w:after="40"/>
              <w:rPr>
                <w:szCs w:val="16"/>
              </w:rPr>
            </w:pPr>
            <w:r w:rsidRPr="006623B9">
              <w:rPr>
                <w:rFonts w:eastAsia="Calibri"/>
                <w:szCs w:val="16"/>
              </w:rPr>
              <w:t>0.09</w:t>
            </w:r>
          </w:p>
        </w:tc>
        <w:tc>
          <w:tcPr>
            <w:tcW w:w="0" w:type="auto"/>
            <w:shd w:val="clear" w:color="auto" w:fill="FFFFFF"/>
            <w:tcMar>
              <w:top w:w="0" w:type="dxa"/>
              <w:left w:w="85" w:type="dxa"/>
              <w:bottom w:w="0" w:type="dxa"/>
              <w:right w:w="85" w:type="dxa"/>
            </w:tcMar>
            <w:vAlign w:val="center"/>
          </w:tcPr>
          <w:p w14:paraId="71863895" w14:textId="77777777" w:rsidR="00EB5913" w:rsidRPr="006623B9" w:rsidRDefault="00EB5913" w:rsidP="00F16E23">
            <w:pPr>
              <w:pStyle w:val="TableText"/>
              <w:spacing w:before="40" w:after="40"/>
              <w:rPr>
                <w:szCs w:val="16"/>
              </w:rPr>
            </w:pPr>
            <w:r w:rsidRPr="006623B9">
              <w:rPr>
                <w:rFonts w:eastAsia="Calibri"/>
                <w:szCs w:val="16"/>
              </w:rPr>
              <w:t>IPCC default</w:t>
            </w:r>
          </w:p>
        </w:tc>
        <w:tc>
          <w:tcPr>
            <w:tcW w:w="0" w:type="auto"/>
            <w:shd w:val="clear" w:color="auto" w:fill="FFFFFF"/>
            <w:tcMar>
              <w:top w:w="0" w:type="dxa"/>
              <w:left w:w="85" w:type="dxa"/>
              <w:bottom w:w="0" w:type="dxa"/>
              <w:right w:w="85" w:type="dxa"/>
            </w:tcMar>
            <w:vAlign w:val="center"/>
          </w:tcPr>
          <w:p w14:paraId="4535B2B3"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2C22B9AD" w14:textId="77777777" w:rsidTr="00F16E23">
        <w:tc>
          <w:tcPr>
            <w:tcW w:w="0" w:type="auto"/>
            <w:shd w:val="clear" w:color="auto" w:fill="FFFFFF"/>
            <w:tcMar>
              <w:top w:w="0" w:type="dxa"/>
              <w:left w:w="85" w:type="dxa"/>
              <w:bottom w:w="0" w:type="dxa"/>
              <w:right w:w="85" w:type="dxa"/>
            </w:tcMar>
            <w:vAlign w:val="center"/>
          </w:tcPr>
          <w:p w14:paraId="26FFC552" w14:textId="77777777" w:rsidR="00EB5913" w:rsidRPr="006623B9" w:rsidRDefault="00EB5913" w:rsidP="00F16E23">
            <w:pPr>
              <w:pStyle w:val="TableText"/>
              <w:spacing w:before="40" w:after="40"/>
              <w:rPr>
                <w:szCs w:val="16"/>
              </w:rPr>
            </w:pPr>
            <w:r w:rsidRPr="006623B9">
              <w:rPr>
                <w:rFonts w:eastAsia="Calibri"/>
                <w:szCs w:val="16"/>
              </w:rPr>
              <w:t>Methane correction factor</w:t>
            </w:r>
          </w:p>
        </w:tc>
        <w:tc>
          <w:tcPr>
            <w:tcW w:w="0" w:type="auto"/>
            <w:shd w:val="clear" w:color="auto" w:fill="FFFFFF"/>
            <w:tcMar>
              <w:top w:w="0" w:type="dxa"/>
              <w:left w:w="85" w:type="dxa"/>
              <w:bottom w:w="0" w:type="dxa"/>
              <w:right w:w="85" w:type="dxa"/>
            </w:tcMar>
            <w:vAlign w:val="center"/>
          </w:tcPr>
          <w:p w14:paraId="3D41A27F" w14:textId="77777777" w:rsidR="00EB5913" w:rsidRPr="006623B9" w:rsidRDefault="00EB5913" w:rsidP="00F16E23">
            <w:pPr>
              <w:pStyle w:val="TableText"/>
              <w:spacing w:before="40" w:after="40"/>
              <w:rPr>
                <w:szCs w:val="16"/>
              </w:rPr>
            </w:pPr>
            <w:r w:rsidRPr="006623B9">
              <w:rPr>
                <w:rFonts w:eastAsia="Calibri"/>
                <w:szCs w:val="16"/>
              </w:rPr>
              <w:t>0.44</w:t>
            </w:r>
          </w:p>
        </w:tc>
        <w:tc>
          <w:tcPr>
            <w:tcW w:w="0" w:type="auto"/>
            <w:shd w:val="clear" w:color="auto" w:fill="FFFFFF"/>
            <w:tcMar>
              <w:top w:w="0" w:type="dxa"/>
              <w:left w:w="85" w:type="dxa"/>
              <w:bottom w:w="0" w:type="dxa"/>
              <w:right w:w="85" w:type="dxa"/>
            </w:tcMar>
            <w:vAlign w:val="center"/>
          </w:tcPr>
          <w:p w14:paraId="1A03B576" w14:textId="77777777" w:rsidR="00EB5913" w:rsidRPr="006623B9" w:rsidRDefault="00EB5913" w:rsidP="00F16E23">
            <w:pPr>
              <w:pStyle w:val="TableText"/>
              <w:spacing w:before="40" w:after="40"/>
              <w:rPr>
                <w:szCs w:val="16"/>
              </w:rPr>
            </w:pPr>
            <w:r w:rsidRPr="006623B9">
              <w:rPr>
                <w:rFonts w:eastAsia="Calibri"/>
                <w:szCs w:val="16"/>
              </w:rPr>
              <w:t>Country specific</w:t>
            </w:r>
          </w:p>
        </w:tc>
        <w:tc>
          <w:tcPr>
            <w:tcW w:w="0" w:type="auto"/>
            <w:shd w:val="clear" w:color="auto" w:fill="FFFFFF"/>
            <w:tcMar>
              <w:top w:w="0" w:type="dxa"/>
              <w:left w:w="85" w:type="dxa"/>
              <w:bottom w:w="0" w:type="dxa"/>
              <w:right w:w="85" w:type="dxa"/>
            </w:tcMar>
            <w:vAlign w:val="center"/>
          </w:tcPr>
          <w:p w14:paraId="1B5522BF" w14:textId="77777777" w:rsidR="00EB5913" w:rsidRPr="006623B9" w:rsidRDefault="00EB5913" w:rsidP="00F16E23">
            <w:pPr>
              <w:pStyle w:val="TableText"/>
              <w:spacing w:before="40" w:after="40"/>
              <w:rPr>
                <w:szCs w:val="16"/>
              </w:rPr>
            </w:pPr>
            <w:r w:rsidRPr="006623B9">
              <w:rPr>
                <w:rFonts w:eastAsia="Calibri"/>
                <w:szCs w:val="16"/>
              </w:rPr>
              <w:t>Tonkin and Taylor Ltd (unpublished(b))</w:t>
            </w:r>
          </w:p>
        </w:tc>
      </w:tr>
      <w:tr w:rsidR="00EB5913" w:rsidRPr="006623B9" w14:paraId="27ECFA9B" w14:textId="77777777" w:rsidTr="00F16E23">
        <w:tc>
          <w:tcPr>
            <w:tcW w:w="0" w:type="auto"/>
            <w:shd w:val="clear" w:color="auto" w:fill="FFFFFF"/>
            <w:tcMar>
              <w:top w:w="0" w:type="dxa"/>
              <w:left w:w="85" w:type="dxa"/>
              <w:bottom w:w="0" w:type="dxa"/>
              <w:right w:w="85" w:type="dxa"/>
            </w:tcMar>
            <w:vAlign w:val="center"/>
          </w:tcPr>
          <w:p w14:paraId="4B39F5D8" w14:textId="77777777" w:rsidR="00EB5913" w:rsidRPr="006623B9" w:rsidRDefault="00EB5913" w:rsidP="00F16E23">
            <w:pPr>
              <w:pStyle w:val="TableText"/>
              <w:spacing w:before="40" w:after="40"/>
              <w:rPr>
                <w:szCs w:val="16"/>
              </w:rPr>
            </w:pPr>
            <w:r w:rsidRPr="006623B9">
              <w:rPr>
                <w:rFonts w:eastAsia="Calibri"/>
                <w:szCs w:val="16"/>
              </w:rPr>
              <w:t>DOC (kt C/kt waste)</w:t>
            </w:r>
          </w:p>
        </w:tc>
        <w:tc>
          <w:tcPr>
            <w:tcW w:w="0" w:type="auto"/>
            <w:shd w:val="clear" w:color="auto" w:fill="FFFFFF"/>
            <w:tcMar>
              <w:top w:w="0" w:type="dxa"/>
              <w:left w:w="85" w:type="dxa"/>
              <w:bottom w:w="0" w:type="dxa"/>
              <w:right w:w="85" w:type="dxa"/>
            </w:tcMar>
            <w:vAlign w:val="center"/>
          </w:tcPr>
          <w:p w14:paraId="09992AB3" w14:textId="77777777" w:rsidR="00EB5913" w:rsidRPr="006623B9" w:rsidRDefault="00EB5913" w:rsidP="00F16E23">
            <w:pPr>
              <w:pStyle w:val="TableText"/>
              <w:spacing w:before="40" w:after="40"/>
              <w:rPr>
                <w:szCs w:val="16"/>
              </w:rPr>
            </w:pPr>
            <w:r w:rsidRPr="006623B9">
              <w:rPr>
                <w:rFonts w:eastAsia="Calibri"/>
                <w:szCs w:val="16"/>
              </w:rPr>
              <w:t>0.203–0.410</w:t>
            </w:r>
          </w:p>
        </w:tc>
        <w:tc>
          <w:tcPr>
            <w:tcW w:w="0" w:type="auto"/>
            <w:shd w:val="clear" w:color="auto" w:fill="FFFFFF"/>
            <w:tcMar>
              <w:top w:w="0" w:type="dxa"/>
              <w:left w:w="85" w:type="dxa"/>
              <w:bottom w:w="0" w:type="dxa"/>
              <w:right w:w="85" w:type="dxa"/>
            </w:tcMar>
            <w:vAlign w:val="center"/>
          </w:tcPr>
          <w:p w14:paraId="5407D697" w14:textId="77777777" w:rsidR="00EB5913" w:rsidRPr="006623B9" w:rsidRDefault="00EB5913" w:rsidP="00F16E23">
            <w:pPr>
              <w:pStyle w:val="TableText"/>
              <w:spacing w:before="40" w:after="40"/>
              <w:rPr>
                <w:szCs w:val="16"/>
              </w:rPr>
            </w:pPr>
            <w:r w:rsidRPr="006623B9">
              <w:rPr>
                <w:rFonts w:eastAsia="Calibri"/>
                <w:szCs w:val="16"/>
              </w:rPr>
              <w:t>Country specific</w:t>
            </w:r>
          </w:p>
        </w:tc>
        <w:tc>
          <w:tcPr>
            <w:tcW w:w="0" w:type="auto"/>
            <w:shd w:val="clear" w:color="auto" w:fill="FFFFFF"/>
            <w:tcMar>
              <w:top w:w="0" w:type="dxa"/>
              <w:left w:w="85" w:type="dxa"/>
              <w:bottom w:w="0" w:type="dxa"/>
              <w:right w:w="85" w:type="dxa"/>
            </w:tcMar>
            <w:vAlign w:val="center"/>
          </w:tcPr>
          <w:p w14:paraId="4BC03639" w14:textId="77777777" w:rsidR="00EB5913" w:rsidRPr="006623B9" w:rsidRDefault="00EB5913" w:rsidP="00F16E23">
            <w:pPr>
              <w:pStyle w:val="TableText"/>
              <w:spacing w:before="40" w:after="40"/>
              <w:rPr>
                <w:szCs w:val="16"/>
              </w:rPr>
            </w:pPr>
            <w:r w:rsidRPr="006623B9">
              <w:rPr>
                <w:rFonts w:eastAsia="Calibri"/>
                <w:szCs w:val="16"/>
              </w:rPr>
              <w:t>GHD (2013, 2014)</w:t>
            </w:r>
          </w:p>
        </w:tc>
      </w:tr>
      <w:tr w:rsidR="00EB5913" w:rsidRPr="006623B9" w14:paraId="2E766C88" w14:textId="77777777" w:rsidTr="00F16E23">
        <w:tc>
          <w:tcPr>
            <w:tcW w:w="0" w:type="auto"/>
            <w:shd w:val="clear" w:color="auto" w:fill="FFFFFF"/>
            <w:tcMar>
              <w:top w:w="0" w:type="dxa"/>
              <w:left w:w="85" w:type="dxa"/>
              <w:bottom w:w="0" w:type="dxa"/>
              <w:right w:w="85" w:type="dxa"/>
            </w:tcMar>
            <w:vAlign w:val="center"/>
          </w:tcPr>
          <w:p w14:paraId="4956D43D" w14:textId="77777777" w:rsidR="00EB5913" w:rsidRPr="006623B9" w:rsidRDefault="00EB5913" w:rsidP="00F16E23">
            <w:pPr>
              <w:pStyle w:val="Tableboldblue"/>
              <w:spacing w:before="40" w:after="40"/>
              <w:rPr>
                <w:szCs w:val="16"/>
              </w:rPr>
            </w:pPr>
            <w:r w:rsidRPr="006623B9">
              <w:rPr>
                <w:rFonts w:eastAsia="Calibri"/>
                <w:szCs w:val="16"/>
              </w:rPr>
              <w:t>All sites</w:t>
            </w:r>
          </w:p>
        </w:tc>
        <w:tc>
          <w:tcPr>
            <w:tcW w:w="0" w:type="auto"/>
            <w:shd w:val="clear" w:color="auto" w:fill="FFFFFF"/>
            <w:tcMar>
              <w:top w:w="0" w:type="dxa"/>
              <w:left w:w="85" w:type="dxa"/>
              <w:bottom w:w="0" w:type="dxa"/>
              <w:right w:w="85" w:type="dxa"/>
            </w:tcMar>
            <w:vAlign w:val="center"/>
          </w:tcPr>
          <w:p w14:paraId="23191063" w14:textId="77777777" w:rsidR="00EB5913" w:rsidRPr="006623B9" w:rsidRDefault="00EB5913" w:rsidP="00F16E23">
            <w:pPr>
              <w:pStyle w:val="Tableboldblue"/>
              <w:spacing w:before="40" w:after="40"/>
              <w:rPr>
                <w:szCs w:val="16"/>
              </w:rPr>
            </w:pPr>
          </w:p>
        </w:tc>
        <w:tc>
          <w:tcPr>
            <w:tcW w:w="0" w:type="auto"/>
            <w:shd w:val="clear" w:color="auto" w:fill="FFFFFF"/>
            <w:tcMar>
              <w:top w:w="0" w:type="dxa"/>
              <w:left w:w="85" w:type="dxa"/>
              <w:bottom w:w="0" w:type="dxa"/>
              <w:right w:w="85" w:type="dxa"/>
            </w:tcMar>
            <w:vAlign w:val="center"/>
          </w:tcPr>
          <w:p w14:paraId="139672D8" w14:textId="77777777" w:rsidR="00EB5913" w:rsidRPr="006623B9" w:rsidRDefault="00EB5913" w:rsidP="00F16E23">
            <w:pPr>
              <w:pStyle w:val="Tableboldblue"/>
              <w:spacing w:before="40" w:after="40"/>
              <w:rPr>
                <w:szCs w:val="16"/>
              </w:rPr>
            </w:pPr>
          </w:p>
        </w:tc>
        <w:tc>
          <w:tcPr>
            <w:tcW w:w="0" w:type="auto"/>
            <w:shd w:val="clear" w:color="auto" w:fill="FFFFFF"/>
            <w:tcMar>
              <w:top w:w="0" w:type="dxa"/>
              <w:left w:w="85" w:type="dxa"/>
              <w:bottom w:w="0" w:type="dxa"/>
              <w:right w:w="85" w:type="dxa"/>
            </w:tcMar>
            <w:vAlign w:val="center"/>
          </w:tcPr>
          <w:p w14:paraId="0DC089E2" w14:textId="77777777" w:rsidR="00EB5913" w:rsidRPr="006623B9" w:rsidRDefault="00EB5913" w:rsidP="00F16E23">
            <w:pPr>
              <w:pStyle w:val="Tableboldblue"/>
              <w:spacing w:before="40" w:after="40"/>
              <w:rPr>
                <w:szCs w:val="16"/>
              </w:rPr>
            </w:pPr>
          </w:p>
        </w:tc>
      </w:tr>
      <w:tr w:rsidR="00EB5913" w:rsidRPr="006623B9" w14:paraId="12215F9C" w14:textId="77777777" w:rsidTr="00F16E23">
        <w:tc>
          <w:tcPr>
            <w:tcW w:w="0" w:type="auto"/>
            <w:shd w:val="clear" w:color="auto" w:fill="FFFFFF"/>
            <w:tcMar>
              <w:top w:w="0" w:type="dxa"/>
              <w:left w:w="85" w:type="dxa"/>
              <w:bottom w:w="0" w:type="dxa"/>
              <w:right w:w="85" w:type="dxa"/>
            </w:tcMar>
            <w:vAlign w:val="center"/>
          </w:tcPr>
          <w:p w14:paraId="102E778C" w14:textId="77777777" w:rsidR="00EB5913" w:rsidRPr="006623B9" w:rsidRDefault="00EB5913" w:rsidP="00F16E23">
            <w:pPr>
              <w:pStyle w:val="TableText"/>
              <w:spacing w:before="40" w:after="40"/>
              <w:rPr>
                <w:szCs w:val="16"/>
              </w:rPr>
            </w:pPr>
            <w:r w:rsidRPr="006623B9">
              <w:rPr>
                <w:rFonts w:eastAsia="Calibri"/>
                <w:szCs w:val="16"/>
              </w:rPr>
              <w:t>Oxidation factor</w:t>
            </w:r>
          </w:p>
        </w:tc>
        <w:tc>
          <w:tcPr>
            <w:tcW w:w="0" w:type="auto"/>
            <w:shd w:val="clear" w:color="auto" w:fill="FFFFFF"/>
            <w:tcMar>
              <w:top w:w="0" w:type="dxa"/>
              <w:left w:w="85" w:type="dxa"/>
              <w:bottom w:w="0" w:type="dxa"/>
              <w:right w:w="85" w:type="dxa"/>
            </w:tcMar>
            <w:vAlign w:val="center"/>
          </w:tcPr>
          <w:p w14:paraId="61ACFD0A" w14:textId="77777777" w:rsidR="00EB5913" w:rsidRPr="006623B9" w:rsidRDefault="00EB5913" w:rsidP="00F16E23">
            <w:pPr>
              <w:pStyle w:val="TableText"/>
              <w:spacing w:before="40" w:after="40"/>
              <w:rPr>
                <w:szCs w:val="16"/>
              </w:rPr>
            </w:pPr>
            <w:r w:rsidRPr="006623B9">
              <w:rPr>
                <w:rFonts w:eastAsia="Calibri"/>
                <w:szCs w:val="16"/>
              </w:rPr>
              <w:t>0</w:t>
            </w:r>
          </w:p>
        </w:tc>
        <w:tc>
          <w:tcPr>
            <w:tcW w:w="0" w:type="auto"/>
            <w:shd w:val="clear" w:color="auto" w:fill="FFFFFF"/>
            <w:tcMar>
              <w:top w:w="0" w:type="dxa"/>
              <w:left w:w="85" w:type="dxa"/>
              <w:bottom w:w="0" w:type="dxa"/>
              <w:right w:w="85" w:type="dxa"/>
            </w:tcMar>
            <w:vAlign w:val="center"/>
          </w:tcPr>
          <w:p w14:paraId="447457E7" w14:textId="77777777" w:rsidR="00EB5913" w:rsidRPr="006623B9" w:rsidRDefault="00EB5913" w:rsidP="00F16E23">
            <w:pPr>
              <w:pStyle w:val="TableText"/>
              <w:spacing w:before="40" w:after="40"/>
              <w:rPr>
                <w:szCs w:val="16"/>
              </w:rPr>
            </w:pPr>
            <w:r w:rsidRPr="006623B9">
              <w:rPr>
                <w:rFonts w:eastAsia="Calibri"/>
                <w:szCs w:val="16"/>
              </w:rPr>
              <w:t>IPCC default</w:t>
            </w:r>
          </w:p>
        </w:tc>
        <w:tc>
          <w:tcPr>
            <w:tcW w:w="0" w:type="auto"/>
            <w:shd w:val="clear" w:color="auto" w:fill="FFFFFF"/>
            <w:tcMar>
              <w:top w:w="0" w:type="dxa"/>
              <w:left w:w="85" w:type="dxa"/>
              <w:bottom w:w="0" w:type="dxa"/>
              <w:right w:w="85" w:type="dxa"/>
            </w:tcMar>
            <w:vAlign w:val="center"/>
          </w:tcPr>
          <w:p w14:paraId="3E5D08A4"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51002857" w14:textId="77777777" w:rsidTr="00F16E23">
        <w:tc>
          <w:tcPr>
            <w:tcW w:w="0" w:type="auto"/>
            <w:shd w:val="clear" w:color="auto" w:fill="FFFFFF"/>
            <w:tcMar>
              <w:top w:w="0" w:type="dxa"/>
              <w:left w:w="85" w:type="dxa"/>
              <w:bottom w:w="0" w:type="dxa"/>
              <w:right w:w="85" w:type="dxa"/>
            </w:tcMar>
            <w:vAlign w:val="center"/>
          </w:tcPr>
          <w:p w14:paraId="255DA9F5" w14:textId="77777777" w:rsidR="00EB5913" w:rsidRPr="006623B9" w:rsidRDefault="00EB5913" w:rsidP="00F16E23">
            <w:pPr>
              <w:pStyle w:val="TableText"/>
              <w:spacing w:before="40" w:after="40"/>
              <w:rPr>
                <w:szCs w:val="16"/>
              </w:rPr>
            </w:pPr>
            <w:r w:rsidRPr="006623B9">
              <w:rPr>
                <w:rFonts w:eastAsia="Calibri"/>
                <w:szCs w:val="16"/>
              </w:rPr>
              <w:t>Starting year</w:t>
            </w:r>
          </w:p>
        </w:tc>
        <w:tc>
          <w:tcPr>
            <w:tcW w:w="0" w:type="auto"/>
            <w:shd w:val="clear" w:color="auto" w:fill="FFFFFF"/>
            <w:tcMar>
              <w:top w:w="0" w:type="dxa"/>
              <w:left w:w="85" w:type="dxa"/>
              <w:bottom w:w="0" w:type="dxa"/>
              <w:right w:w="85" w:type="dxa"/>
            </w:tcMar>
            <w:vAlign w:val="center"/>
          </w:tcPr>
          <w:p w14:paraId="154DDE05" w14:textId="77777777" w:rsidR="00EB5913" w:rsidRPr="006623B9" w:rsidRDefault="00EB5913" w:rsidP="00F16E23">
            <w:pPr>
              <w:pStyle w:val="TableText"/>
              <w:spacing w:before="40" w:after="40"/>
              <w:rPr>
                <w:szCs w:val="16"/>
              </w:rPr>
            </w:pPr>
            <w:r w:rsidRPr="006623B9">
              <w:rPr>
                <w:rFonts w:eastAsia="Calibri"/>
                <w:szCs w:val="16"/>
              </w:rPr>
              <w:t>1950</w:t>
            </w:r>
          </w:p>
        </w:tc>
        <w:tc>
          <w:tcPr>
            <w:tcW w:w="0" w:type="auto"/>
            <w:shd w:val="clear" w:color="auto" w:fill="FFFFFF"/>
            <w:tcMar>
              <w:top w:w="0" w:type="dxa"/>
              <w:left w:w="85" w:type="dxa"/>
              <w:bottom w:w="0" w:type="dxa"/>
              <w:right w:w="85" w:type="dxa"/>
            </w:tcMar>
            <w:vAlign w:val="center"/>
          </w:tcPr>
          <w:p w14:paraId="674B1A44" w14:textId="77777777" w:rsidR="00EB5913" w:rsidRPr="006623B9" w:rsidRDefault="00EB5913" w:rsidP="00F16E23">
            <w:pPr>
              <w:pStyle w:val="TableText"/>
              <w:spacing w:before="40" w:after="40"/>
              <w:rPr>
                <w:szCs w:val="16"/>
              </w:rPr>
            </w:pPr>
            <w:r w:rsidRPr="006623B9">
              <w:rPr>
                <w:rFonts w:eastAsia="Calibri"/>
                <w:szCs w:val="16"/>
              </w:rPr>
              <w:t>IPCC default</w:t>
            </w:r>
          </w:p>
        </w:tc>
        <w:tc>
          <w:tcPr>
            <w:tcW w:w="0" w:type="auto"/>
            <w:shd w:val="clear" w:color="auto" w:fill="FFFFFF"/>
            <w:tcMar>
              <w:top w:w="0" w:type="dxa"/>
              <w:left w:w="85" w:type="dxa"/>
              <w:bottom w:w="0" w:type="dxa"/>
              <w:right w:w="85" w:type="dxa"/>
            </w:tcMar>
            <w:vAlign w:val="center"/>
          </w:tcPr>
          <w:p w14:paraId="473B823D"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78332D8E" w14:textId="77777777" w:rsidTr="00F16E23">
        <w:tc>
          <w:tcPr>
            <w:tcW w:w="0" w:type="auto"/>
            <w:shd w:val="clear" w:color="auto" w:fill="FFFFFF"/>
            <w:tcMar>
              <w:top w:w="0" w:type="dxa"/>
              <w:left w:w="85" w:type="dxa"/>
              <w:bottom w:w="0" w:type="dxa"/>
              <w:right w:w="85" w:type="dxa"/>
            </w:tcMar>
            <w:vAlign w:val="center"/>
          </w:tcPr>
          <w:p w14:paraId="0E1864B4" w14:textId="77777777" w:rsidR="00EB5913" w:rsidRPr="006623B9" w:rsidRDefault="00EB5913" w:rsidP="00F16E23">
            <w:pPr>
              <w:pStyle w:val="TableText"/>
              <w:spacing w:before="40" w:after="40"/>
              <w:rPr>
                <w:szCs w:val="16"/>
              </w:rPr>
            </w:pPr>
            <w:r w:rsidRPr="006623B9">
              <w:rPr>
                <w:rFonts w:eastAsia="Calibri"/>
                <w:szCs w:val="16"/>
              </w:rPr>
              <w:t>Delay time</w:t>
            </w:r>
          </w:p>
        </w:tc>
        <w:tc>
          <w:tcPr>
            <w:tcW w:w="0" w:type="auto"/>
            <w:shd w:val="clear" w:color="auto" w:fill="FFFFFF"/>
            <w:tcMar>
              <w:top w:w="0" w:type="dxa"/>
              <w:left w:w="85" w:type="dxa"/>
              <w:bottom w:w="0" w:type="dxa"/>
              <w:right w:w="85" w:type="dxa"/>
            </w:tcMar>
            <w:vAlign w:val="center"/>
          </w:tcPr>
          <w:p w14:paraId="58DC11B9" w14:textId="77777777" w:rsidR="00EB5913" w:rsidRPr="006623B9" w:rsidRDefault="00EB5913" w:rsidP="00F16E23">
            <w:pPr>
              <w:pStyle w:val="TableText"/>
              <w:spacing w:before="40" w:after="40"/>
              <w:rPr>
                <w:szCs w:val="16"/>
              </w:rPr>
            </w:pPr>
            <w:r w:rsidRPr="006623B9">
              <w:rPr>
                <w:rFonts w:eastAsia="Calibri"/>
                <w:szCs w:val="16"/>
              </w:rPr>
              <w:t>6 months</w:t>
            </w:r>
          </w:p>
        </w:tc>
        <w:tc>
          <w:tcPr>
            <w:tcW w:w="0" w:type="auto"/>
            <w:shd w:val="clear" w:color="auto" w:fill="FFFFFF"/>
            <w:tcMar>
              <w:top w:w="0" w:type="dxa"/>
              <w:left w:w="85" w:type="dxa"/>
              <w:bottom w:w="0" w:type="dxa"/>
              <w:right w:w="85" w:type="dxa"/>
            </w:tcMar>
            <w:vAlign w:val="center"/>
          </w:tcPr>
          <w:p w14:paraId="0DA0D93A" w14:textId="77777777" w:rsidR="00EB5913" w:rsidRPr="006623B9" w:rsidRDefault="00EB5913" w:rsidP="00F16E23">
            <w:pPr>
              <w:pStyle w:val="TableText"/>
              <w:spacing w:before="40" w:after="40"/>
              <w:rPr>
                <w:szCs w:val="16"/>
              </w:rPr>
            </w:pPr>
            <w:r w:rsidRPr="006623B9">
              <w:rPr>
                <w:rFonts w:eastAsia="Calibri"/>
                <w:szCs w:val="16"/>
              </w:rPr>
              <w:t>IPCC default</w:t>
            </w:r>
          </w:p>
        </w:tc>
        <w:tc>
          <w:tcPr>
            <w:tcW w:w="0" w:type="auto"/>
            <w:shd w:val="clear" w:color="auto" w:fill="FFFFFF"/>
            <w:tcMar>
              <w:top w:w="0" w:type="dxa"/>
              <w:left w:w="85" w:type="dxa"/>
              <w:bottom w:w="0" w:type="dxa"/>
              <w:right w:w="85" w:type="dxa"/>
            </w:tcMar>
            <w:vAlign w:val="center"/>
          </w:tcPr>
          <w:p w14:paraId="6EBA3293"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13E3C021" w14:textId="77777777" w:rsidTr="00F16E23">
        <w:tc>
          <w:tcPr>
            <w:tcW w:w="0" w:type="auto"/>
            <w:shd w:val="clear" w:color="auto" w:fill="FFFFFF"/>
            <w:tcMar>
              <w:top w:w="0" w:type="dxa"/>
              <w:left w:w="85" w:type="dxa"/>
              <w:bottom w:w="0" w:type="dxa"/>
              <w:right w:w="85" w:type="dxa"/>
            </w:tcMar>
            <w:vAlign w:val="center"/>
          </w:tcPr>
          <w:p w14:paraId="5E67A00A" w14:textId="77777777" w:rsidR="00EB5913" w:rsidRPr="006623B9" w:rsidRDefault="00EB5913" w:rsidP="00F16E23">
            <w:pPr>
              <w:pStyle w:val="TableText"/>
              <w:spacing w:before="40" w:after="40"/>
              <w:rPr>
                <w:szCs w:val="16"/>
              </w:rPr>
            </w:pPr>
            <w:r w:rsidRPr="006623B9">
              <w:rPr>
                <w:rFonts w:eastAsia="Calibri"/>
                <w:szCs w:val="16"/>
              </w:rPr>
              <w:t>Fraction of DOC that decomposes</w:t>
            </w:r>
          </w:p>
        </w:tc>
        <w:tc>
          <w:tcPr>
            <w:tcW w:w="0" w:type="auto"/>
            <w:shd w:val="clear" w:color="auto" w:fill="FFFFFF"/>
            <w:tcMar>
              <w:top w:w="0" w:type="dxa"/>
              <w:left w:w="85" w:type="dxa"/>
              <w:bottom w:w="0" w:type="dxa"/>
              <w:right w:w="85" w:type="dxa"/>
            </w:tcMar>
            <w:vAlign w:val="center"/>
          </w:tcPr>
          <w:p w14:paraId="4873786C" w14:textId="77777777" w:rsidR="00EB5913" w:rsidRPr="006623B9" w:rsidRDefault="00EB5913" w:rsidP="00F16E23">
            <w:pPr>
              <w:pStyle w:val="TableText"/>
              <w:spacing w:before="40" w:after="40"/>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10DFAA71" w14:textId="77777777" w:rsidR="00EB5913" w:rsidRPr="006623B9" w:rsidRDefault="00EB5913" w:rsidP="00F16E23">
            <w:pPr>
              <w:pStyle w:val="TableText"/>
              <w:spacing w:before="40" w:after="40"/>
              <w:rPr>
                <w:szCs w:val="16"/>
              </w:rPr>
            </w:pPr>
            <w:r w:rsidRPr="006623B9">
              <w:rPr>
                <w:rFonts w:eastAsia="Calibri"/>
                <w:szCs w:val="16"/>
              </w:rPr>
              <w:t>IPCC default</w:t>
            </w:r>
          </w:p>
        </w:tc>
        <w:tc>
          <w:tcPr>
            <w:tcW w:w="0" w:type="auto"/>
            <w:shd w:val="clear" w:color="auto" w:fill="FFFFFF"/>
            <w:tcMar>
              <w:top w:w="0" w:type="dxa"/>
              <w:left w:w="85" w:type="dxa"/>
              <w:bottom w:w="0" w:type="dxa"/>
              <w:right w:w="85" w:type="dxa"/>
            </w:tcMar>
            <w:vAlign w:val="center"/>
          </w:tcPr>
          <w:p w14:paraId="6F9A7768"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07665F18" w14:textId="77777777" w:rsidTr="00F16E23">
        <w:tc>
          <w:tcPr>
            <w:tcW w:w="0" w:type="auto"/>
            <w:shd w:val="clear" w:color="auto" w:fill="FFFFFF"/>
            <w:tcMar>
              <w:top w:w="0" w:type="dxa"/>
              <w:left w:w="85" w:type="dxa"/>
              <w:bottom w:w="0" w:type="dxa"/>
              <w:right w:w="85" w:type="dxa"/>
            </w:tcMar>
            <w:vAlign w:val="center"/>
          </w:tcPr>
          <w:p w14:paraId="234E6278" w14:textId="77777777" w:rsidR="00EB5913" w:rsidRPr="006623B9" w:rsidRDefault="00EB5913" w:rsidP="00F16E23">
            <w:pPr>
              <w:pStyle w:val="TableText"/>
              <w:spacing w:before="40" w:after="40"/>
              <w:rPr>
                <w:szCs w:val="16"/>
              </w:rPr>
            </w:pPr>
            <w:r w:rsidRPr="006623B9">
              <w:rPr>
                <w:rFonts w:eastAsia="Calibri"/>
                <w:szCs w:val="16"/>
              </w:rPr>
              <w:t>Fraction of methane in gas</w:t>
            </w:r>
          </w:p>
        </w:tc>
        <w:tc>
          <w:tcPr>
            <w:tcW w:w="0" w:type="auto"/>
            <w:shd w:val="clear" w:color="auto" w:fill="FFFFFF"/>
            <w:tcMar>
              <w:top w:w="0" w:type="dxa"/>
              <w:left w:w="85" w:type="dxa"/>
              <w:bottom w:w="0" w:type="dxa"/>
              <w:right w:w="85" w:type="dxa"/>
            </w:tcMar>
            <w:vAlign w:val="center"/>
          </w:tcPr>
          <w:p w14:paraId="11245D14" w14:textId="77777777" w:rsidR="00EB5913" w:rsidRPr="006623B9" w:rsidRDefault="00EB5913" w:rsidP="00F16E23">
            <w:pPr>
              <w:pStyle w:val="TableText"/>
              <w:spacing w:before="40" w:after="40"/>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3B1386AE" w14:textId="77777777" w:rsidR="00EB5913" w:rsidRPr="006623B9" w:rsidRDefault="00EB5913" w:rsidP="00F16E23">
            <w:pPr>
              <w:pStyle w:val="TableText"/>
              <w:spacing w:before="40" w:after="40"/>
              <w:rPr>
                <w:szCs w:val="16"/>
              </w:rPr>
            </w:pPr>
            <w:r w:rsidRPr="006623B9">
              <w:rPr>
                <w:rFonts w:eastAsia="Calibri"/>
                <w:szCs w:val="16"/>
              </w:rPr>
              <w:t>IPCC default</w:t>
            </w:r>
          </w:p>
        </w:tc>
        <w:tc>
          <w:tcPr>
            <w:tcW w:w="0" w:type="auto"/>
            <w:shd w:val="clear" w:color="auto" w:fill="FFFFFF"/>
            <w:tcMar>
              <w:top w:w="0" w:type="dxa"/>
              <w:left w:w="85" w:type="dxa"/>
              <w:bottom w:w="0" w:type="dxa"/>
              <w:right w:w="85" w:type="dxa"/>
            </w:tcMar>
            <w:vAlign w:val="center"/>
          </w:tcPr>
          <w:p w14:paraId="7722A6D0" w14:textId="77777777" w:rsidR="00EB5913" w:rsidRPr="006623B9" w:rsidRDefault="00EB5913" w:rsidP="00F16E23">
            <w:pPr>
              <w:pStyle w:val="TableText"/>
              <w:spacing w:before="40" w:after="40"/>
              <w:rPr>
                <w:szCs w:val="16"/>
              </w:rPr>
            </w:pPr>
            <w:r w:rsidRPr="006623B9">
              <w:rPr>
                <w:rFonts w:eastAsia="Calibri"/>
                <w:szCs w:val="16"/>
              </w:rPr>
              <w:t>IPCC (2006a)</w:t>
            </w:r>
          </w:p>
        </w:tc>
      </w:tr>
    </w:tbl>
    <w:p w14:paraId="7D5AD3FD" w14:textId="77777777" w:rsidR="00EB5913" w:rsidRPr="006623B9" w:rsidRDefault="00EB5913" w:rsidP="00EB5913">
      <w:pPr>
        <w:pStyle w:val="Noteundertable"/>
      </w:pPr>
      <w:r w:rsidRPr="006623B9">
        <w:rPr>
          <w:b/>
          <w:bCs/>
        </w:rPr>
        <w:t>Note:</w:t>
      </w:r>
      <w:r w:rsidRPr="006623B9">
        <w:t xml:space="preserve"> </w:t>
      </w:r>
      <w:r w:rsidRPr="006623B9">
        <w:tab/>
        <w:t>DDOC = decomposable degradable organic carbon; DOC = degradable organic carbon; SWDS = solid waste disposal sites.</w:t>
      </w:r>
    </w:p>
    <w:p w14:paraId="20837A90" w14:textId="77777777" w:rsidR="00EB5913" w:rsidRPr="006623B9" w:rsidRDefault="00EB5913" w:rsidP="00EB5913">
      <w:pPr>
        <w:pStyle w:val="Heading3"/>
      </w:pPr>
      <w:bookmarkStart w:id="3042" w:name="Xd9e107894e296f5afe30d8cd057c67dba2122d9"/>
      <w:bookmarkEnd w:id="3014"/>
      <w:bookmarkEnd w:id="3026"/>
      <w:bookmarkEnd w:id="3036"/>
      <w:bookmarkEnd w:id="3040"/>
      <w:r w:rsidRPr="006623B9">
        <w:t xml:space="preserve">7.2.3 </w:t>
      </w:r>
      <w:r w:rsidRPr="006623B9">
        <w:tab/>
        <w:t>Uncertainty assessment and time-series consistency</w:t>
      </w:r>
    </w:p>
    <w:p w14:paraId="6F019E48" w14:textId="77777777" w:rsidR="00EB5913" w:rsidRPr="006623B9" w:rsidRDefault="00EB5913" w:rsidP="00EB5913">
      <w:pPr>
        <w:pStyle w:val="Heading4"/>
      </w:pPr>
      <w:bookmarkStart w:id="3043" w:name="uncertainties-1"/>
      <w:r w:rsidRPr="006623B9">
        <w:t>Uncertainties</w:t>
      </w:r>
    </w:p>
    <w:p w14:paraId="2C22244C" w14:textId="77777777" w:rsidR="00EB5913" w:rsidRPr="006623B9" w:rsidRDefault="00EB5913" w:rsidP="00EB5913">
      <w:pPr>
        <w:pStyle w:val="BodyText"/>
      </w:pPr>
      <w:r w:rsidRPr="006623B9">
        <w:t xml:space="preserve">For emission factors and activity data used for most of the </w:t>
      </w:r>
      <w:r w:rsidRPr="006623B9">
        <w:rPr>
          <w:i/>
          <w:iCs/>
        </w:rPr>
        <w:t>Solid waste disposal</w:t>
      </w:r>
      <w:r w:rsidRPr="006623B9">
        <w:t xml:space="preserve"> category, the uncertainty estimate is ±40 percent (see table 7.2.12). This is consistent with the ranges provided in the 2006 IPCC Guidelines (IPCC, 2006a).</w:t>
      </w:r>
    </w:p>
    <w:p w14:paraId="34D74011" w14:textId="77777777" w:rsidR="00EB5913" w:rsidRPr="006623B9" w:rsidRDefault="00EB5913" w:rsidP="00EB5913">
      <w:pPr>
        <w:pStyle w:val="BodyText"/>
      </w:pPr>
      <w:r w:rsidRPr="006623B9">
        <w:t>For managed SWDS, the emission factor uncertainty is set at this level because, while better</w:t>
      </w:r>
      <w:r w:rsidRPr="006623B9">
        <w:noBreakHyphen/>
        <w:t>quality parameters are used in this category, most of the parameters are based on international data and are not site specific.</w:t>
      </w:r>
    </w:p>
    <w:p w14:paraId="40C19874" w14:textId="77777777" w:rsidR="00EB5913" w:rsidRPr="006623B9" w:rsidRDefault="00EB5913" w:rsidP="00EB5913">
      <w:pPr>
        <w:pStyle w:val="BodyText"/>
      </w:pPr>
      <w:r w:rsidRPr="006623B9">
        <w:t>For unmanaged SWDS, uncertainty in activity data is estimated at ±90 percent. Although country-specific activity data are now available, these are limited to a small number of reporting years. As reporting requirements expand in coming years, this uncertainty is expected to decrease. In contrast, data on the volume of waste disposed of in farm fills remains sparse, reflecting the informal nature of their management and reporting.</w:t>
      </w:r>
    </w:p>
    <w:p w14:paraId="5E027088" w14:textId="77777777" w:rsidR="00EB5913" w:rsidRPr="006623B9" w:rsidRDefault="00EB5913" w:rsidP="00EB5913">
      <w:pPr>
        <w:pStyle w:val="BodyText"/>
      </w:pPr>
      <w:r w:rsidRPr="006623B9">
        <w:t>For farm fills, the uncertainty in activity data is estimated to be ±140 percent. Information on the amount of waste placed in these sites is limited, given the nature of the management of such fills.</w:t>
      </w:r>
    </w:p>
    <w:p w14:paraId="1EA3FBCF" w14:textId="77777777" w:rsidR="00EB5913" w:rsidRPr="006623B9" w:rsidRDefault="00EB5913" w:rsidP="00EB5913">
      <w:pPr>
        <w:pStyle w:val="BodyText"/>
      </w:pPr>
      <w:r w:rsidRPr="006623B9">
        <w:t xml:space="preserve">The overall uncertainty in activity data for </w:t>
      </w:r>
      <w:r w:rsidRPr="006623B9">
        <w:rPr>
          <w:i/>
          <w:iCs/>
        </w:rPr>
        <w:t>Solid waste disposal</w:t>
      </w:r>
      <w:r w:rsidRPr="006623B9">
        <w:t xml:space="preserve"> is calculated using approach 1</w:t>
      </w:r>
      <w:r w:rsidRPr="006623B9">
        <w:rPr>
          <w:rStyle w:val="FootnoteReference"/>
        </w:rPr>
        <w:footnoteReference w:id="53"/>
      </w:r>
      <w:r w:rsidRPr="006623B9">
        <w:t xml:space="preserve"> for adding uncertainties together. The overall uncertainty in the emission factor is set as the same as the uncertainty for the underlying categories because they are consistent.</w:t>
      </w:r>
    </w:p>
    <w:p w14:paraId="13FFE4FB" w14:textId="77777777" w:rsidR="00EB5913" w:rsidRPr="006623B9" w:rsidRDefault="00EB5913" w:rsidP="00EB5913">
      <w:pPr>
        <w:pStyle w:val="Table"/>
      </w:pPr>
      <w:bookmarkStart w:id="3044" w:name="_Toc226669110"/>
      <w:r w:rsidRPr="006623B9">
        <w:t xml:space="preserve">Table 7.2.12 </w:t>
      </w:r>
      <w:r w:rsidRPr="006623B9">
        <w:tab/>
        <w:t xml:space="preserve">Uncertainty in emissions from </w:t>
      </w:r>
      <w:r w:rsidRPr="006623B9">
        <w:rPr>
          <w:i/>
          <w:iCs/>
        </w:rPr>
        <w:t>Solid waste disposal</w:t>
      </w:r>
      <w:bookmarkEnd w:id="3044"/>
    </w:p>
    <w:tbl>
      <w:tblPr>
        <w:tblW w:w="8494"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308"/>
        <w:gridCol w:w="2449"/>
        <w:gridCol w:w="2737"/>
      </w:tblGrid>
      <w:tr w:rsidR="00EB5913" w:rsidRPr="006623B9" w14:paraId="7FF8C4A6" w14:textId="77777777" w:rsidTr="00F16E23">
        <w:trPr>
          <w:tblHeader/>
        </w:trPr>
        <w:tc>
          <w:tcPr>
            <w:tcW w:w="0" w:type="auto"/>
            <w:shd w:val="clear" w:color="auto" w:fill="1B556B"/>
            <w:tcMar>
              <w:top w:w="0" w:type="dxa"/>
              <w:left w:w="85" w:type="dxa"/>
              <w:bottom w:w="0" w:type="dxa"/>
              <w:right w:w="85" w:type="dxa"/>
            </w:tcMar>
            <w:vAlign w:val="center"/>
          </w:tcPr>
          <w:p w14:paraId="5B002E2D"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30F848A5"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4007A2AE"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Uncertainty in emission factors (%)</w:t>
            </w:r>
          </w:p>
        </w:tc>
      </w:tr>
      <w:tr w:rsidR="00EB5913" w:rsidRPr="006623B9" w14:paraId="5B16F36F" w14:textId="77777777" w:rsidTr="00F16E23">
        <w:tc>
          <w:tcPr>
            <w:tcW w:w="0" w:type="auto"/>
            <w:shd w:val="clear" w:color="auto" w:fill="FFFFFF"/>
            <w:tcMar>
              <w:top w:w="0" w:type="dxa"/>
              <w:left w:w="85" w:type="dxa"/>
              <w:bottom w:w="0" w:type="dxa"/>
              <w:right w:w="85" w:type="dxa"/>
            </w:tcMar>
            <w:vAlign w:val="center"/>
          </w:tcPr>
          <w:p w14:paraId="059D1389" w14:textId="77777777" w:rsidR="00EB5913" w:rsidRPr="006623B9" w:rsidRDefault="00EB5913" w:rsidP="00F16E23">
            <w:pPr>
              <w:pStyle w:val="TableText"/>
              <w:spacing w:before="40" w:after="40"/>
            </w:pPr>
            <w:r w:rsidRPr="006623B9">
              <w:rPr>
                <w:rFonts w:eastAsia="Calibri"/>
              </w:rPr>
              <w:t>Managed SWDS</w:t>
            </w:r>
          </w:p>
        </w:tc>
        <w:tc>
          <w:tcPr>
            <w:tcW w:w="0" w:type="auto"/>
            <w:shd w:val="clear" w:color="auto" w:fill="FFFFFF"/>
            <w:tcMar>
              <w:top w:w="0" w:type="dxa"/>
              <w:left w:w="85" w:type="dxa"/>
              <w:bottom w:w="0" w:type="dxa"/>
              <w:right w:w="85" w:type="dxa"/>
            </w:tcMar>
            <w:vAlign w:val="center"/>
          </w:tcPr>
          <w:p w14:paraId="760332BA" w14:textId="77777777" w:rsidR="00EB5913" w:rsidRPr="006623B9" w:rsidRDefault="00EB5913" w:rsidP="00F16E23">
            <w:pPr>
              <w:pStyle w:val="TableText"/>
              <w:spacing w:before="40" w:after="40"/>
            </w:pPr>
            <w:r w:rsidRPr="006623B9">
              <w:rPr>
                <w:rFonts w:eastAsia="Calibri"/>
              </w:rPr>
              <w:t>±40</w:t>
            </w:r>
          </w:p>
        </w:tc>
        <w:tc>
          <w:tcPr>
            <w:tcW w:w="0" w:type="auto"/>
            <w:shd w:val="clear" w:color="auto" w:fill="FFFFFF"/>
            <w:tcMar>
              <w:top w:w="0" w:type="dxa"/>
              <w:left w:w="85" w:type="dxa"/>
              <w:bottom w:w="0" w:type="dxa"/>
              <w:right w:w="85" w:type="dxa"/>
            </w:tcMar>
            <w:vAlign w:val="center"/>
          </w:tcPr>
          <w:p w14:paraId="73BE001B" w14:textId="77777777" w:rsidR="00EB5913" w:rsidRPr="006623B9" w:rsidRDefault="00EB5913" w:rsidP="00F16E23">
            <w:pPr>
              <w:pStyle w:val="TableText"/>
              <w:spacing w:before="40" w:after="40"/>
            </w:pPr>
            <w:r w:rsidRPr="006623B9">
              <w:rPr>
                <w:rFonts w:eastAsia="Calibri"/>
              </w:rPr>
              <w:t>±40</w:t>
            </w:r>
          </w:p>
        </w:tc>
      </w:tr>
      <w:tr w:rsidR="00EB5913" w:rsidRPr="006623B9" w14:paraId="1312B153" w14:textId="77777777" w:rsidTr="00F16E23">
        <w:tc>
          <w:tcPr>
            <w:tcW w:w="0" w:type="auto"/>
            <w:shd w:val="clear" w:color="auto" w:fill="FFFFFF"/>
            <w:tcMar>
              <w:top w:w="0" w:type="dxa"/>
              <w:left w:w="85" w:type="dxa"/>
              <w:bottom w:w="0" w:type="dxa"/>
              <w:right w:w="85" w:type="dxa"/>
            </w:tcMar>
            <w:vAlign w:val="center"/>
          </w:tcPr>
          <w:p w14:paraId="1A85CB42" w14:textId="77777777" w:rsidR="00EB5913" w:rsidRPr="006623B9" w:rsidRDefault="00EB5913" w:rsidP="00F16E23">
            <w:pPr>
              <w:pStyle w:val="TableText"/>
              <w:spacing w:before="40" w:after="40"/>
            </w:pPr>
            <w:r w:rsidRPr="006623B9">
              <w:rPr>
                <w:rFonts w:eastAsia="Calibri"/>
              </w:rPr>
              <w:t>Unmanaged SWDS (Class 2-5 and monofills)</w:t>
            </w:r>
          </w:p>
        </w:tc>
        <w:tc>
          <w:tcPr>
            <w:tcW w:w="0" w:type="auto"/>
            <w:shd w:val="clear" w:color="auto" w:fill="FFFFFF"/>
            <w:tcMar>
              <w:top w:w="0" w:type="dxa"/>
              <w:left w:w="85" w:type="dxa"/>
              <w:bottom w:w="0" w:type="dxa"/>
              <w:right w:w="85" w:type="dxa"/>
            </w:tcMar>
            <w:vAlign w:val="center"/>
          </w:tcPr>
          <w:p w14:paraId="19D365F7" w14:textId="77777777" w:rsidR="00EB5913" w:rsidRPr="006623B9" w:rsidRDefault="00EB5913" w:rsidP="00F16E23">
            <w:pPr>
              <w:pStyle w:val="TableText"/>
              <w:spacing w:before="40" w:after="40"/>
            </w:pPr>
            <w:r w:rsidRPr="006623B9">
              <w:rPr>
                <w:rFonts w:eastAsia="Calibri"/>
              </w:rPr>
              <w:t>±90</w:t>
            </w:r>
          </w:p>
        </w:tc>
        <w:tc>
          <w:tcPr>
            <w:tcW w:w="0" w:type="auto"/>
            <w:shd w:val="clear" w:color="auto" w:fill="FFFFFF"/>
            <w:tcMar>
              <w:top w:w="0" w:type="dxa"/>
              <w:left w:w="85" w:type="dxa"/>
              <w:bottom w:w="0" w:type="dxa"/>
              <w:right w:w="85" w:type="dxa"/>
            </w:tcMar>
            <w:vAlign w:val="center"/>
          </w:tcPr>
          <w:p w14:paraId="5DFB770A" w14:textId="77777777" w:rsidR="00EB5913" w:rsidRPr="006623B9" w:rsidRDefault="00EB5913" w:rsidP="00F16E23">
            <w:pPr>
              <w:pStyle w:val="TableText"/>
              <w:spacing w:before="40" w:after="40"/>
            </w:pPr>
            <w:r w:rsidRPr="006623B9">
              <w:rPr>
                <w:rFonts w:eastAsia="Calibri"/>
              </w:rPr>
              <w:t>±40</w:t>
            </w:r>
          </w:p>
        </w:tc>
      </w:tr>
      <w:tr w:rsidR="00EB5913" w:rsidRPr="006623B9" w14:paraId="47C0198C" w14:textId="77777777" w:rsidTr="00F16E23">
        <w:tc>
          <w:tcPr>
            <w:tcW w:w="0" w:type="auto"/>
            <w:shd w:val="clear" w:color="auto" w:fill="FFFFFF"/>
            <w:tcMar>
              <w:top w:w="0" w:type="dxa"/>
              <w:left w:w="85" w:type="dxa"/>
              <w:bottom w:w="0" w:type="dxa"/>
              <w:right w:w="85" w:type="dxa"/>
            </w:tcMar>
            <w:vAlign w:val="center"/>
          </w:tcPr>
          <w:p w14:paraId="4F2965D6" w14:textId="77777777" w:rsidR="00EB5913" w:rsidRPr="006623B9" w:rsidRDefault="00EB5913" w:rsidP="00F16E23">
            <w:pPr>
              <w:pStyle w:val="TableText"/>
              <w:spacing w:before="40" w:after="40"/>
            </w:pPr>
            <w:r w:rsidRPr="006623B9">
              <w:rPr>
                <w:rFonts w:eastAsia="Calibri"/>
              </w:rPr>
              <w:t>Unmanaged SWDS (farm fills)</w:t>
            </w:r>
          </w:p>
        </w:tc>
        <w:tc>
          <w:tcPr>
            <w:tcW w:w="0" w:type="auto"/>
            <w:shd w:val="clear" w:color="auto" w:fill="FFFFFF"/>
            <w:tcMar>
              <w:top w:w="0" w:type="dxa"/>
              <w:left w:w="85" w:type="dxa"/>
              <w:bottom w:w="0" w:type="dxa"/>
              <w:right w:w="85" w:type="dxa"/>
            </w:tcMar>
            <w:vAlign w:val="center"/>
          </w:tcPr>
          <w:p w14:paraId="0234B4CA" w14:textId="77777777" w:rsidR="00EB5913" w:rsidRPr="006623B9" w:rsidRDefault="00EB5913" w:rsidP="00F16E23">
            <w:pPr>
              <w:pStyle w:val="TableText"/>
              <w:spacing w:before="40" w:after="40"/>
            </w:pPr>
            <w:r w:rsidRPr="006623B9">
              <w:rPr>
                <w:rFonts w:eastAsia="Calibri"/>
              </w:rPr>
              <w:t>±140</w:t>
            </w:r>
          </w:p>
        </w:tc>
        <w:tc>
          <w:tcPr>
            <w:tcW w:w="0" w:type="auto"/>
            <w:shd w:val="clear" w:color="auto" w:fill="FFFFFF"/>
            <w:tcMar>
              <w:top w:w="0" w:type="dxa"/>
              <w:left w:w="85" w:type="dxa"/>
              <w:bottom w:w="0" w:type="dxa"/>
              <w:right w:w="85" w:type="dxa"/>
            </w:tcMar>
            <w:vAlign w:val="center"/>
          </w:tcPr>
          <w:p w14:paraId="3B084807" w14:textId="77777777" w:rsidR="00EB5913" w:rsidRPr="006623B9" w:rsidRDefault="00EB5913" w:rsidP="00F16E23">
            <w:pPr>
              <w:pStyle w:val="TableText"/>
              <w:spacing w:before="40" w:after="40"/>
            </w:pPr>
            <w:r w:rsidRPr="006623B9">
              <w:rPr>
                <w:rFonts w:eastAsia="Calibri"/>
              </w:rPr>
              <w:t>±40</w:t>
            </w:r>
          </w:p>
        </w:tc>
      </w:tr>
      <w:tr w:rsidR="00EB5913" w:rsidRPr="006623B9" w14:paraId="774B02EF" w14:textId="77777777" w:rsidTr="00F16E23">
        <w:tc>
          <w:tcPr>
            <w:tcW w:w="0" w:type="auto"/>
            <w:shd w:val="clear" w:color="auto" w:fill="FFFFFF"/>
            <w:tcMar>
              <w:top w:w="0" w:type="dxa"/>
              <w:left w:w="85" w:type="dxa"/>
              <w:bottom w:w="0" w:type="dxa"/>
              <w:right w:w="85" w:type="dxa"/>
            </w:tcMar>
            <w:vAlign w:val="center"/>
          </w:tcPr>
          <w:p w14:paraId="2FA0FB02" w14:textId="77777777" w:rsidR="00EB5913" w:rsidRPr="006623B9" w:rsidRDefault="00EB5913" w:rsidP="00F16E23">
            <w:pPr>
              <w:pStyle w:val="TableText"/>
              <w:spacing w:before="40" w:after="40"/>
            </w:pPr>
            <w:r w:rsidRPr="006623B9">
              <w:rPr>
                <w:rFonts w:eastAsia="Calibri"/>
              </w:rPr>
              <w:t>Uncategorised SWDS</w:t>
            </w:r>
          </w:p>
        </w:tc>
        <w:tc>
          <w:tcPr>
            <w:tcW w:w="0" w:type="auto"/>
            <w:shd w:val="clear" w:color="auto" w:fill="FFFFFF"/>
            <w:tcMar>
              <w:top w:w="0" w:type="dxa"/>
              <w:left w:w="85" w:type="dxa"/>
              <w:bottom w:w="0" w:type="dxa"/>
              <w:right w:w="85" w:type="dxa"/>
            </w:tcMar>
            <w:vAlign w:val="center"/>
          </w:tcPr>
          <w:p w14:paraId="4DCA4BD3" w14:textId="77777777" w:rsidR="00EB5913" w:rsidRPr="006623B9" w:rsidRDefault="00EB5913" w:rsidP="00F16E23">
            <w:pPr>
              <w:pStyle w:val="TableText"/>
              <w:spacing w:before="40" w:after="40"/>
            </w:pPr>
            <w:r w:rsidRPr="006623B9">
              <w:rPr>
                <w:rFonts w:eastAsia="Calibri"/>
              </w:rPr>
              <w:t>±40</w:t>
            </w:r>
          </w:p>
        </w:tc>
        <w:tc>
          <w:tcPr>
            <w:tcW w:w="0" w:type="auto"/>
            <w:shd w:val="clear" w:color="auto" w:fill="FFFFFF"/>
            <w:tcMar>
              <w:top w:w="0" w:type="dxa"/>
              <w:left w:w="85" w:type="dxa"/>
              <w:bottom w:w="0" w:type="dxa"/>
              <w:right w:w="85" w:type="dxa"/>
            </w:tcMar>
            <w:vAlign w:val="center"/>
          </w:tcPr>
          <w:p w14:paraId="64CBBE28" w14:textId="77777777" w:rsidR="00EB5913" w:rsidRPr="006623B9" w:rsidRDefault="00EB5913" w:rsidP="00F16E23">
            <w:pPr>
              <w:pStyle w:val="TableText"/>
              <w:spacing w:before="40" w:after="40"/>
            </w:pPr>
            <w:r w:rsidRPr="006623B9">
              <w:rPr>
                <w:rFonts w:eastAsia="Calibri"/>
              </w:rPr>
              <w:t>±40</w:t>
            </w:r>
          </w:p>
        </w:tc>
      </w:tr>
      <w:tr w:rsidR="00EB5913" w:rsidRPr="006623B9" w14:paraId="0673731D" w14:textId="77777777" w:rsidTr="00F16E23">
        <w:tc>
          <w:tcPr>
            <w:tcW w:w="0" w:type="auto"/>
            <w:shd w:val="clear" w:color="auto" w:fill="FFFFFF"/>
            <w:tcMar>
              <w:top w:w="0" w:type="dxa"/>
              <w:left w:w="85" w:type="dxa"/>
              <w:bottom w:w="0" w:type="dxa"/>
              <w:right w:w="85" w:type="dxa"/>
            </w:tcMar>
            <w:vAlign w:val="center"/>
          </w:tcPr>
          <w:p w14:paraId="13BC7513" w14:textId="77777777" w:rsidR="00EB5913" w:rsidRPr="006623B9" w:rsidRDefault="00EB5913" w:rsidP="00F16E23">
            <w:pPr>
              <w:pStyle w:val="Tableboldblue"/>
              <w:spacing w:before="40" w:after="40"/>
            </w:pPr>
            <w:r w:rsidRPr="006623B9">
              <w:rPr>
                <w:rFonts w:eastAsia="Calibri"/>
              </w:rPr>
              <w:t>Overall uncertainty in CH₄ emissions</w:t>
            </w:r>
          </w:p>
        </w:tc>
        <w:tc>
          <w:tcPr>
            <w:tcW w:w="0" w:type="auto"/>
            <w:shd w:val="clear" w:color="auto" w:fill="FFFFFF"/>
            <w:tcMar>
              <w:top w:w="0" w:type="dxa"/>
              <w:left w:w="85" w:type="dxa"/>
              <w:bottom w:w="0" w:type="dxa"/>
              <w:right w:w="85" w:type="dxa"/>
            </w:tcMar>
            <w:vAlign w:val="center"/>
          </w:tcPr>
          <w:p w14:paraId="3FE42342" w14:textId="77777777" w:rsidR="00EB5913" w:rsidRPr="006623B9" w:rsidRDefault="00EB5913" w:rsidP="00F16E23">
            <w:pPr>
              <w:pStyle w:val="Tableboldblue"/>
              <w:spacing w:before="40" w:after="40"/>
            </w:pPr>
            <w:r w:rsidRPr="006623B9">
              <w:rPr>
                <w:rFonts w:eastAsia="Calibri"/>
              </w:rPr>
              <w:t>±80</w:t>
            </w:r>
          </w:p>
        </w:tc>
        <w:tc>
          <w:tcPr>
            <w:tcW w:w="0" w:type="auto"/>
            <w:shd w:val="clear" w:color="auto" w:fill="FFFFFF"/>
            <w:tcMar>
              <w:top w:w="0" w:type="dxa"/>
              <w:left w:w="85" w:type="dxa"/>
              <w:bottom w:w="0" w:type="dxa"/>
              <w:right w:w="85" w:type="dxa"/>
            </w:tcMar>
            <w:vAlign w:val="center"/>
          </w:tcPr>
          <w:p w14:paraId="2E296E26" w14:textId="77777777" w:rsidR="00EB5913" w:rsidRPr="006623B9" w:rsidRDefault="00EB5913" w:rsidP="00F16E23">
            <w:pPr>
              <w:pStyle w:val="Tableboldblue"/>
              <w:spacing w:before="40" w:after="40"/>
            </w:pPr>
            <w:r w:rsidRPr="006623B9">
              <w:rPr>
                <w:rFonts w:eastAsia="Calibri"/>
              </w:rPr>
              <w:t>±40</w:t>
            </w:r>
          </w:p>
        </w:tc>
      </w:tr>
    </w:tbl>
    <w:p w14:paraId="1613C1B5" w14:textId="77777777" w:rsidR="00EB5913" w:rsidRPr="006623B9" w:rsidRDefault="00EB5913" w:rsidP="00EB5913">
      <w:pPr>
        <w:pStyle w:val="Heading4"/>
        <w:spacing w:before="400"/>
      </w:pPr>
      <w:bookmarkStart w:id="3045" w:name="time-series-consistency"/>
      <w:bookmarkEnd w:id="3043"/>
      <w:r w:rsidRPr="006623B9">
        <w:t>Time-series consistency</w:t>
      </w:r>
    </w:p>
    <w:p w14:paraId="0EFAE9A4" w14:textId="77777777" w:rsidR="00EB5913" w:rsidRPr="006623B9" w:rsidRDefault="00EB5913" w:rsidP="00EB5913">
      <w:pPr>
        <w:pStyle w:val="BodyText"/>
      </w:pPr>
      <w:r w:rsidRPr="006623B9">
        <w:t xml:space="preserve">As a result of substantial changes in waste disposal practices over time, the basis for calculating emissions has changed significantly. Notable changes include closure of the majority of the smaller landfill sites that were operating in 1990, the move to waste levy and NZ ETS reporting, and the ongoing improvement in the quality and completeness of activity data for </w:t>
      </w:r>
      <w:r w:rsidRPr="006623B9">
        <w:rPr>
          <w:i/>
          <w:iCs/>
        </w:rPr>
        <w:t>Solid waste disposal</w:t>
      </w:r>
      <w:r w:rsidRPr="006623B9">
        <w:t>. These changes have occurred gradually and affect CH</w:t>
      </w:r>
      <w:r w:rsidRPr="006623B9">
        <w:rPr>
          <w:vertAlign w:val="subscript"/>
        </w:rPr>
        <w:t>4</w:t>
      </w:r>
      <w:r w:rsidRPr="006623B9">
        <w:t xml:space="preserve"> emissions over a long period. Therefore, there is little effect on the apparent consistency of data or the implied emission factors.</w:t>
      </w:r>
    </w:p>
    <w:p w14:paraId="4AE1E47C" w14:textId="10CCB733" w:rsidR="00EB5913" w:rsidRPr="006623B9" w:rsidRDefault="00EB5913" w:rsidP="00EB5913">
      <w:pPr>
        <w:pStyle w:val="Heading3"/>
      </w:pPr>
      <w:bookmarkStart w:id="3046" w:name="category-specific-qaqcverification"/>
      <w:bookmarkEnd w:id="3042"/>
      <w:bookmarkEnd w:id="3045"/>
      <w:r w:rsidRPr="006623B9">
        <w:t xml:space="preserve">7.2.4 </w:t>
      </w:r>
      <w:r w:rsidRPr="006623B9">
        <w:tab/>
        <w:t>Category-specific QA/QC</w:t>
      </w:r>
      <w:r w:rsidR="005E6D98">
        <w:t xml:space="preserve"> </w:t>
      </w:r>
      <w:r w:rsidRPr="006623B9">
        <w:t>verification</w:t>
      </w:r>
    </w:p>
    <w:p w14:paraId="570753D2" w14:textId="77777777" w:rsidR="00EB5913" w:rsidRPr="006623B9" w:rsidRDefault="00EB5913" w:rsidP="00EB5913">
      <w:pPr>
        <w:pStyle w:val="BodyText"/>
      </w:pPr>
      <w:r w:rsidRPr="006623B9">
        <w:rPr>
          <w:i/>
          <w:iCs/>
        </w:rPr>
        <w:t>Solid waste disposal</w:t>
      </w:r>
      <w:r w:rsidRPr="006623B9">
        <w:t xml:space="preserve"> is a key category. In the preparation of this submission, the data for this category underwent Tier 1 quality checks.</w:t>
      </w:r>
    </w:p>
    <w:p w14:paraId="4F2772E9" w14:textId="77777777" w:rsidR="00EB5913" w:rsidRPr="006623B9" w:rsidRDefault="00EB5913" w:rsidP="00EB5913">
      <w:pPr>
        <w:pStyle w:val="Heading3"/>
      </w:pPr>
      <w:bookmarkStart w:id="3047" w:name="category-specific-recalculations"/>
      <w:bookmarkEnd w:id="3046"/>
      <w:r w:rsidRPr="006623B9">
        <w:t xml:space="preserve">7.2.5 </w:t>
      </w:r>
      <w:r w:rsidRPr="006623B9">
        <w:tab/>
        <w:t>Category-specific recalculations</w:t>
      </w:r>
    </w:p>
    <w:p w14:paraId="37702365" w14:textId="77777777" w:rsidR="00EB5913" w:rsidRPr="006623B9" w:rsidRDefault="00EB5913" w:rsidP="00EB5913">
      <w:pPr>
        <w:pStyle w:val="BodyText"/>
      </w:pPr>
      <w:r w:rsidRPr="006623B9">
        <w:t xml:space="preserve">Recalculations are included in the 2026 submission. Updates to the </w:t>
      </w:r>
      <w:r w:rsidRPr="006623B9">
        <w:rPr>
          <w:i/>
          <w:iCs/>
        </w:rPr>
        <w:t>Managed waste disposal sites – Anaerobic</w:t>
      </w:r>
      <w:r w:rsidRPr="006623B9">
        <w:t xml:space="preserve"> (5.A.1.a) include:</w:t>
      </w:r>
    </w:p>
    <w:p w14:paraId="640AAFDB" w14:textId="77777777" w:rsidR="00EB5913" w:rsidRPr="006623B9" w:rsidRDefault="00EB5913" w:rsidP="00EB5913">
      <w:pPr>
        <w:pStyle w:val="Bullet"/>
      </w:pPr>
      <w:r w:rsidRPr="006623B9">
        <w:t>updates to the Tier 1 default half-lives (k-values) for sludge and nappies, in line with the 2019 IPCC Refinement. Previously, emissions estimated relied on the default k-values from the 2006 IPCC Guidelines for National Greenhouse Gas Inventories (IPCC, 2006a).</w:t>
      </w:r>
    </w:p>
    <w:p w14:paraId="0909606B" w14:textId="77777777" w:rsidR="00EB5913" w:rsidRPr="006623B9" w:rsidRDefault="00EB5913" w:rsidP="00EB5913">
      <w:pPr>
        <w:pStyle w:val="BodyText"/>
        <w:keepNext/>
      </w:pPr>
      <w:r w:rsidRPr="006623B9">
        <w:t xml:space="preserve">Updates to the </w:t>
      </w:r>
      <w:r w:rsidRPr="006623B9">
        <w:rPr>
          <w:i/>
          <w:iCs/>
        </w:rPr>
        <w:t>Unmanaged waste disposal sites</w:t>
      </w:r>
      <w:r w:rsidRPr="006623B9">
        <w:t xml:space="preserve"> (5.A.2) include:</w:t>
      </w:r>
    </w:p>
    <w:p w14:paraId="47C4A603" w14:textId="77777777" w:rsidR="00EB5913" w:rsidRPr="006623B9" w:rsidRDefault="00EB5913" w:rsidP="00EB5913">
      <w:pPr>
        <w:pStyle w:val="Bullet"/>
      </w:pPr>
      <w:r w:rsidRPr="006623B9">
        <w:t>correction of an error in the application of DDOC values, where the DOCf parameter had previously been applied twice, resulting in an underestimation in the 2025 submission</w:t>
      </w:r>
    </w:p>
    <w:p w14:paraId="5E21A352" w14:textId="77777777" w:rsidR="00EB5913" w:rsidRPr="006623B9" w:rsidRDefault="00EB5913" w:rsidP="00EB5913">
      <w:pPr>
        <w:pStyle w:val="Bullet"/>
      </w:pPr>
      <w:r w:rsidRPr="006623B9">
        <w:t>adoption of updated Tier 1 defaults for the fraction of DOCf and k-values for sludge, nappies, and rubber, in line with the 2019 IPCC Refinement. Previously, emissions were estimated using Tier 1 defaults from the 2006 IPCC Guidelines (IPCC, 2006a)</w:t>
      </w:r>
    </w:p>
    <w:p w14:paraId="4B835FA6" w14:textId="77777777" w:rsidR="00EB5913" w:rsidRPr="006623B9" w:rsidRDefault="00EB5913" w:rsidP="00EB5913">
      <w:pPr>
        <w:pStyle w:val="Bullet"/>
      </w:pPr>
      <w:r w:rsidRPr="006623B9">
        <w:t>incorporation of previously unaccounted regional activity and compositional data for farm fills</w:t>
      </w:r>
    </w:p>
    <w:p w14:paraId="09F93B80" w14:textId="77777777" w:rsidR="00EB5913" w:rsidRPr="006623B9" w:rsidRDefault="00EB5913" w:rsidP="00EB5913">
      <w:pPr>
        <w:pStyle w:val="Bullet"/>
      </w:pPr>
      <w:r w:rsidRPr="006623B9">
        <w:t>adoption of updated FCF and CF values for farm fills, consistent with the 2019 IPCC Refinement. Previously, emissions were estimated using Tier 1 defaults from the 2006 IPCC Guidelines (IPCC, 2006a).</w:t>
      </w:r>
    </w:p>
    <w:p w14:paraId="396C48F6" w14:textId="77777777" w:rsidR="00EB5913" w:rsidRPr="006623B9" w:rsidRDefault="00EB5913" w:rsidP="00EB5913">
      <w:pPr>
        <w:pStyle w:val="BodyText"/>
      </w:pPr>
      <w:r w:rsidRPr="006623B9">
        <w:rPr>
          <w:spacing w:val="-2"/>
        </w:rPr>
        <w:t xml:space="preserve">Improvements and recalculations to estimates in the </w:t>
      </w:r>
      <w:r w:rsidRPr="006623B9">
        <w:rPr>
          <w:i/>
          <w:iCs/>
          <w:spacing w:val="-2"/>
        </w:rPr>
        <w:t>Solid waste disposal</w:t>
      </w:r>
      <w:r w:rsidRPr="006623B9">
        <w:rPr>
          <w:spacing w:val="-2"/>
        </w:rPr>
        <w:t xml:space="preserve"> category have resulted in a 0.6 percent (16.4 kt CO</w:t>
      </w:r>
      <w:r w:rsidRPr="006623B9">
        <w:rPr>
          <w:spacing w:val="-2"/>
          <w:vertAlign w:val="subscript"/>
        </w:rPr>
        <w:t>2</w:t>
      </w:r>
      <w:r w:rsidRPr="006623B9">
        <w:rPr>
          <w:spacing w:val="-2"/>
        </w:rPr>
        <w:t>e) increase in emissions in 1990, a 0.5 percent (17.3 kt CO</w:t>
      </w:r>
      <w:r w:rsidRPr="006623B9">
        <w:rPr>
          <w:spacing w:val="-2"/>
          <w:vertAlign w:val="subscript"/>
        </w:rPr>
        <w:t>2</w:t>
      </w:r>
      <w:r w:rsidRPr="006623B9">
        <w:rPr>
          <w:spacing w:val="-2"/>
        </w:rPr>
        <w:t>e) increase</w:t>
      </w:r>
      <w:r w:rsidRPr="006623B9">
        <w:t xml:space="preserve"> in 2005 and a 4.1 percent (91.5 kt CO</w:t>
      </w:r>
      <w:r w:rsidRPr="006623B9">
        <w:rPr>
          <w:vertAlign w:val="subscript"/>
        </w:rPr>
        <w:t>2</w:t>
      </w:r>
      <w:r w:rsidRPr="006623B9">
        <w:t>e) increase in 2023.</w:t>
      </w:r>
    </w:p>
    <w:p w14:paraId="0A37C655" w14:textId="77777777" w:rsidR="00EB5913" w:rsidRPr="006623B9" w:rsidRDefault="00EB5913" w:rsidP="00EB5913">
      <w:pPr>
        <w:pStyle w:val="Heading3"/>
      </w:pPr>
      <w:bookmarkStart w:id="3048" w:name="category-specific-planned-improvements"/>
      <w:bookmarkEnd w:id="3047"/>
      <w:r w:rsidRPr="006623B9">
        <w:t xml:space="preserve">7.2.6 </w:t>
      </w:r>
      <w:r w:rsidRPr="006623B9">
        <w:tab/>
        <w:t>Category-specific planned improvements</w:t>
      </w:r>
    </w:p>
    <w:p w14:paraId="18C070DD" w14:textId="77777777" w:rsidR="00EB5913" w:rsidRPr="006623B9" w:rsidRDefault="00EB5913" w:rsidP="00EB5913">
      <w:pPr>
        <w:pStyle w:val="BodyText"/>
      </w:pPr>
      <w:r w:rsidRPr="006623B9">
        <w:t xml:space="preserve">Two areas within the </w:t>
      </w:r>
      <w:r w:rsidRPr="006623B9">
        <w:rPr>
          <w:i/>
          <w:iCs/>
        </w:rPr>
        <w:t>Solid waste disposal</w:t>
      </w:r>
      <w:r w:rsidRPr="006623B9">
        <w:t xml:space="preserve"> category are being considered for future improvements.</w:t>
      </w:r>
    </w:p>
    <w:p w14:paraId="29B69ACA" w14:textId="77777777" w:rsidR="00EB5913" w:rsidRPr="006623B9" w:rsidRDefault="00EB5913" w:rsidP="00EB5913">
      <w:pPr>
        <w:pStyle w:val="Bullet"/>
      </w:pPr>
      <w:r w:rsidRPr="006623B9">
        <w:t>Solid waste management data surveys are currently being conducted as part of the National Waste Data Reporting Programme, with results expected in 2026. The findings will enhance understanding of solid waste generation, treatment methods (including recycling, composting, incineration and disposal) and how these practices influence the composition of solid waste.</w:t>
      </w:r>
    </w:p>
    <w:p w14:paraId="5D5CFC51" w14:textId="77777777" w:rsidR="00EB5913" w:rsidRPr="006623B9" w:rsidRDefault="00EB5913" w:rsidP="00EB5913">
      <w:pPr>
        <w:pStyle w:val="Bullet"/>
      </w:pPr>
      <w:r w:rsidRPr="006623B9">
        <w:t>Emissions of carbon monoxide, nitrogen oxides and non-methane volatile organic compounds from landfills have not been estimated in this or previous submissions. These emissions are considered likely to be immaterial, but the inventory agency will consider estimating them for future submissions. This improvement will depend on the availability of budget, resources and data.</w:t>
      </w:r>
    </w:p>
    <w:p w14:paraId="53488D76" w14:textId="77777777" w:rsidR="00EB5913" w:rsidRPr="006623B9" w:rsidRDefault="00EB5913" w:rsidP="00EB5913">
      <w:pPr>
        <w:pStyle w:val="Heading2"/>
      </w:pPr>
      <w:bookmarkStart w:id="3049" w:name="_Toc226460796"/>
      <w:bookmarkStart w:id="3050" w:name="biological-treatment-of-solid-waste-5.b"/>
      <w:bookmarkEnd w:id="3010"/>
      <w:bookmarkEnd w:id="3048"/>
      <w:r w:rsidRPr="006623B9">
        <w:t xml:space="preserve">7.3 </w:t>
      </w:r>
      <w:r w:rsidRPr="006623B9">
        <w:tab/>
        <w:t>Biological treatment of solid waste (5.B)</w:t>
      </w:r>
      <w:bookmarkEnd w:id="3049"/>
    </w:p>
    <w:p w14:paraId="2167C023" w14:textId="77777777" w:rsidR="00EB5913" w:rsidRPr="006623B9" w:rsidRDefault="00EB5913" w:rsidP="00EB5913">
      <w:pPr>
        <w:pStyle w:val="Heading3"/>
        <w:spacing w:before="240"/>
      </w:pPr>
      <w:bookmarkStart w:id="3051" w:name="description-1"/>
      <w:r w:rsidRPr="006623B9">
        <w:t xml:space="preserve">7.3.1 </w:t>
      </w:r>
      <w:r w:rsidRPr="006623B9">
        <w:tab/>
        <w:t>Description</w:t>
      </w:r>
    </w:p>
    <w:p w14:paraId="2442B125" w14:textId="77777777" w:rsidR="00EB5913" w:rsidRPr="006623B9" w:rsidRDefault="00EB5913" w:rsidP="00EB5913">
      <w:pPr>
        <w:pStyle w:val="BodyText"/>
      </w:pPr>
      <w:r w:rsidRPr="006623B9">
        <w:t>New Zealand has experienced an increase in commercial-scale composting of solid waste in recent years. Anecdotal evidence also suggests a rise in household and community-scale composting, in some cases supported by local government waste minimisation programmes, like the Compost Collective.</w:t>
      </w:r>
      <w:r w:rsidRPr="006623B9">
        <w:rPr>
          <w:rStyle w:val="FootnoteReference"/>
        </w:rPr>
        <w:footnoteReference w:id="54"/>
      </w:r>
      <w:r w:rsidRPr="006623B9">
        <w:t xml:space="preserve"> These initiatives educate and empower communities to adopt composting practices. Emissions from composting were first reported in the 2019 submission under category 5.B.1.</w:t>
      </w:r>
    </w:p>
    <w:p w14:paraId="2D929549" w14:textId="77777777" w:rsidR="00EB5913" w:rsidRPr="006623B9" w:rsidRDefault="00EB5913" w:rsidP="00EB5913">
      <w:pPr>
        <w:pStyle w:val="BodyText"/>
      </w:pPr>
      <w:r w:rsidRPr="006623B9">
        <w:t>In October 2022, the country’s first large-scale anaerobic digestion plant commenced operations, with the capacity to process up to 75,000 tonnes of food scraps annually.</w:t>
      </w:r>
    </w:p>
    <w:p w14:paraId="6B75D7E0" w14:textId="77777777" w:rsidR="00EB5913" w:rsidRPr="006623B9" w:rsidRDefault="00EB5913" w:rsidP="00EB5913">
      <w:pPr>
        <w:pStyle w:val="BodyText"/>
      </w:pPr>
      <w:r w:rsidRPr="006623B9">
        <w:t xml:space="preserve">In 2024, </w:t>
      </w:r>
      <w:r w:rsidRPr="006623B9">
        <w:rPr>
          <w:i/>
          <w:iCs/>
        </w:rPr>
        <w:t>Biological treatment of solid waste</w:t>
      </w:r>
      <w:r w:rsidRPr="006623B9">
        <w:t xml:space="preserve"> accounted for 87.5 kt CO</w:t>
      </w:r>
      <w:r w:rsidRPr="006623B9">
        <w:rPr>
          <w:vertAlign w:val="subscript"/>
        </w:rPr>
        <w:t>2</w:t>
      </w:r>
      <w:r w:rsidRPr="006623B9">
        <w:t>e (2.9 percent) of Waste sector emissions (see table 7.3.1).</w:t>
      </w:r>
    </w:p>
    <w:p w14:paraId="22E79BB8" w14:textId="77777777" w:rsidR="00EB5913" w:rsidRPr="006623B9" w:rsidRDefault="00EB5913" w:rsidP="00EB5913">
      <w:pPr>
        <w:pStyle w:val="BodyText"/>
      </w:pPr>
      <w:r w:rsidRPr="006623B9">
        <w:t>This was 6.0 kt CO</w:t>
      </w:r>
      <w:r w:rsidRPr="006623B9">
        <w:rPr>
          <w:vertAlign w:val="subscript"/>
        </w:rPr>
        <w:t>2</w:t>
      </w:r>
      <w:r w:rsidRPr="006623B9">
        <w:t>e (7.3 percent) above the 2023 level of 81.6 kt CO</w:t>
      </w:r>
      <w:r w:rsidRPr="006623B9">
        <w:rPr>
          <w:vertAlign w:val="subscript"/>
        </w:rPr>
        <w:t>2</w:t>
      </w:r>
      <w:r w:rsidRPr="006623B9">
        <w:t>e, 81.1 kt CO</w:t>
      </w:r>
      <w:r w:rsidRPr="006623B9">
        <w:rPr>
          <w:vertAlign w:val="subscript"/>
        </w:rPr>
        <w:t>2</w:t>
      </w:r>
      <w:r w:rsidRPr="006623B9">
        <w:t>e (1,253.0 percent) above the 2005 level of 6.5 kt CO</w:t>
      </w:r>
      <w:r w:rsidRPr="006623B9">
        <w:rPr>
          <w:vertAlign w:val="subscript"/>
        </w:rPr>
        <w:t>2</w:t>
      </w:r>
      <w:r w:rsidRPr="006623B9">
        <w:t>e and 82.7 kt CO</w:t>
      </w:r>
      <w:r w:rsidRPr="006623B9">
        <w:rPr>
          <w:vertAlign w:val="subscript"/>
        </w:rPr>
        <w:t>2</w:t>
      </w:r>
      <w:r w:rsidRPr="006623B9">
        <w:t>e (1,721.0 percent) above the 1990 level of 4.8 kt CO</w:t>
      </w:r>
      <w:r w:rsidRPr="006623B9">
        <w:rPr>
          <w:vertAlign w:val="subscript"/>
        </w:rPr>
        <w:t>2</w:t>
      </w:r>
      <w:r w:rsidRPr="006623B9">
        <w:t>e.</w:t>
      </w:r>
    </w:p>
    <w:p w14:paraId="2A4DB8B0" w14:textId="77777777" w:rsidR="00EB5913" w:rsidRPr="006623B9" w:rsidRDefault="00EB5913" w:rsidP="00EB5913">
      <w:pPr>
        <w:pStyle w:val="Table"/>
      </w:pPr>
      <w:bookmarkStart w:id="3052" w:name="_Toc226669111"/>
      <w:r w:rsidRPr="006623B9">
        <w:t xml:space="preserve">Table 7.3.1 </w:t>
      </w:r>
      <w:r w:rsidRPr="006623B9">
        <w:tab/>
        <w:t>Emissions from Biological treatment of solid waste</w:t>
      </w:r>
      <w:bookmarkEnd w:id="305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418"/>
        <w:gridCol w:w="851"/>
        <w:gridCol w:w="447"/>
        <w:gridCol w:w="447"/>
        <w:gridCol w:w="447"/>
        <w:gridCol w:w="907"/>
        <w:gridCol w:w="907"/>
        <w:gridCol w:w="755"/>
        <w:gridCol w:w="786"/>
        <w:gridCol w:w="774"/>
        <w:gridCol w:w="755"/>
      </w:tblGrid>
      <w:tr w:rsidR="00EB5913" w:rsidRPr="00021C15" w14:paraId="00EC1E3A" w14:textId="77777777" w:rsidTr="00F16E23">
        <w:trPr>
          <w:tblHeader/>
        </w:trPr>
        <w:tc>
          <w:tcPr>
            <w:tcW w:w="1418" w:type="dxa"/>
            <w:shd w:val="clear" w:color="auto" w:fill="1B556B"/>
            <w:tcMar>
              <w:top w:w="0" w:type="dxa"/>
              <w:left w:w="85" w:type="dxa"/>
              <w:bottom w:w="0" w:type="dxa"/>
              <w:right w:w="57" w:type="dxa"/>
            </w:tcMar>
            <w:vAlign w:val="bottom"/>
          </w:tcPr>
          <w:p w14:paraId="02B2FF6C" w14:textId="77777777" w:rsidR="00EB5913" w:rsidRPr="00021C15" w:rsidRDefault="00EB5913" w:rsidP="00F16E23">
            <w:pPr>
              <w:pStyle w:val="TableTextBold"/>
              <w:spacing w:before="40" w:after="0"/>
              <w:rPr>
                <w:noProof w:val="0"/>
                <w:color w:val="FFFFFF" w:themeColor="background1"/>
                <w:sz w:val="15"/>
                <w:szCs w:val="15"/>
              </w:rPr>
            </w:pPr>
          </w:p>
        </w:tc>
        <w:tc>
          <w:tcPr>
            <w:tcW w:w="851" w:type="dxa"/>
            <w:shd w:val="clear" w:color="auto" w:fill="1B556B"/>
            <w:tcMar>
              <w:top w:w="0" w:type="dxa"/>
              <w:left w:w="85" w:type="dxa"/>
              <w:bottom w:w="0" w:type="dxa"/>
              <w:right w:w="57" w:type="dxa"/>
            </w:tcMar>
            <w:vAlign w:val="bottom"/>
          </w:tcPr>
          <w:p w14:paraId="27FD90A7" w14:textId="77777777" w:rsidR="00EB5913" w:rsidRPr="00021C15" w:rsidRDefault="00EB5913" w:rsidP="00F16E23">
            <w:pPr>
              <w:pStyle w:val="TableTextBold"/>
              <w:spacing w:before="40" w:after="0"/>
              <w:jc w:val="right"/>
              <w:rPr>
                <w:noProof w:val="0"/>
                <w:color w:val="FFFFFF" w:themeColor="background1"/>
                <w:sz w:val="15"/>
                <w:szCs w:val="15"/>
              </w:rPr>
            </w:pPr>
            <w:r w:rsidRPr="00021C15">
              <w:rPr>
                <w:rFonts w:eastAsia="Calibri" w:cs="Calibri"/>
                <w:noProof w:val="0"/>
                <w:color w:val="FFFFFF" w:themeColor="background1"/>
                <w:sz w:val="15"/>
                <w:szCs w:val="15"/>
              </w:rPr>
              <w:t>Emissions (kt CO</w:t>
            </w:r>
            <w:r w:rsidRPr="00021C15">
              <w:rPr>
                <w:rFonts w:eastAsia="Calibri" w:cs="Calibri"/>
                <w:noProof w:val="0"/>
                <w:color w:val="FFFFFF" w:themeColor="background1"/>
                <w:sz w:val="15"/>
                <w:szCs w:val="15"/>
                <w:vertAlign w:val="subscript"/>
              </w:rPr>
              <w:t>2</w:t>
            </w:r>
            <w:r w:rsidRPr="00021C15">
              <w:rPr>
                <w:rFonts w:eastAsia="Calibri" w:cs="Calibri"/>
                <w:noProof w:val="0"/>
                <w:color w:val="FFFFFF" w:themeColor="background1"/>
                <w:sz w:val="15"/>
                <w:szCs w:val="15"/>
              </w:rPr>
              <w:t>e)</w:t>
            </w:r>
          </w:p>
        </w:tc>
        <w:tc>
          <w:tcPr>
            <w:tcW w:w="0" w:type="auto"/>
            <w:shd w:val="clear" w:color="auto" w:fill="1B556B"/>
            <w:tcMar>
              <w:top w:w="0" w:type="dxa"/>
              <w:left w:w="85" w:type="dxa"/>
              <w:bottom w:w="0" w:type="dxa"/>
              <w:right w:w="57" w:type="dxa"/>
            </w:tcMar>
            <w:vAlign w:val="bottom"/>
          </w:tcPr>
          <w:p w14:paraId="45A315E9" w14:textId="77777777" w:rsidR="00EB5913" w:rsidRPr="00021C15" w:rsidRDefault="00EB5913" w:rsidP="00F16E23">
            <w:pPr>
              <w:pStyle w:val="TableTextBold"/>
              <w:spacing w:before="40" w:after="0"/>
              <w:rPr>
                <w:noProof w:val="0"/>
                <w:color w:val="FFFFFF" w:themeColor="background1"/>
                <w:sz w:val="15"/>
                <w:szCs w:val="15"/>
              </w:rPr>
            </w:pPr>
          </w:p>
        </w:tc>
        <w:tc>
          <w:tcPr>
            <w:tcW w:w="0" w:type="auto"/>
            <w:shd w:val="clear" w:color="auto" w:fill="1B556B"/>
            <w:tcMar>
              <w:top w:w="0" w:type="dxa"/>
              <w:left w:w="85" w:type="dxa"/>
              <w:bottom w:w="0" w:type="dxa"/>
              <w:right w:w="57" w:type="dxa"/>
            </w:tcMar>
            <w:vAlign w:val="bottom"/>
          </w:tcPr>
          <w:p w14:paraId="1C8C61D1" w14:textId="77777777" w:rsidR="00EB5913" w:rsidRPr="00021C15" w:rsidRDefault="00EB5913" w:rsidP="00F16E23">
            <w:pPr>
              <w:pStyle w:val="TableTextBold"/>
              <w:spacing w:before="40" w:after="0"/>
              <w:rPr>
                <w:noProof w:val="0"/>
                <w:color w:val="FFFFFF" w:themeColor="background1"/>
                <w:sz w:val="15"/>
                <w:szCs w:val="15"/>
              </w:rPr>
            </w:pPr>
          </w:p>
        </w:tc>
        <w:tc>
          <w:tcPr>
            <w:tcW w:w="0" w:type="auto"/>
            <w:shd w:val="clear" w:color="auto" w:fill="1B556B"/>
            <w:tcMar>
              <w:top w:w="0" w:type="dxa"/>
              <w:left w:w="85" w:type="dxa"/>
              <w:bottom w:w="0" w:type="dxa"/>
              <w:right w:w="57" w:type="dxa"/>
            </w:tcMar>
            <w:vAlign w:val="bottom"/>
          </w:tcPr>
          <w:p w14:paraId="50913E0E" w14:textId="77777777" w:rsidR="00EB5913" w:rsidRPr="00021C15" w:rsidRDefault="00EB5913" w:rsidP="00F16E23">
            <w:pPr>
              <w:pStyle w:val="TableTextBold"/>
              <w:spacing w:before="40" w:after="0"/>
              <w:rPr>
                <w:noProof w:val="0"/>
                <w:color w:val="FFFFFF" w:themeColor="background1"/>
                <w:sz w:val="15"/>
                <w:szCs w:val="15"/>
              </w:rPr>
            </w:pPr>
          </w:p>
        </w:tc>
        <w:tc>
          <w:tcPr>
            <w:tcW w:w="907" w:type="dxa"/>
            <w:shd w:val="clear" w:color="auto" w:fill="1B556B"/>
            <w:tcMar>
              <w:top w:w="0" w:type="dxa"/>
              <w:left w:w="85" w:type="dxa"/>
              <w:bottom w:w="0" w:type="dxa"/>
              <w:right w:w="57" w:type="dxa"/>
            </w:tcMar>
            <w:vAlign w:val="bottom"/>
          </w:tcPr>
          <w:p w14:paraId="6F068297" w14:textId="77777777" w:rsidR="00EB5913" w:rsidRPr="00021C15" w:rsidRDefault="00EB5913" w:rsidP="00F16E23">
            <w:pPr>
              <w:pStyle w:val="TableTextBold"/>
              <w:spacing w:before="40" w:after="0"/>
              <w:jc w:val="right"/>
              <w:rPr>
                <w:noProof w:val="0"/>
                <w:color w:val="FFFFFF" w:themeColor="background1"/>
                <w:sz w:val="15"/>
                <w:szCs w:val="15"/>
              </w:rPr>
            </w:pPr>
            <w:r w:rsidRPr="00021C15">
              <w:rPr>
                <w:rFonts w:eastAsia="Calibri" w:cs="Calibri"/>
                <w:noProof w:val="0"/>
                <w:color w:val="FFFFFF" w:themeColor="background1"/>
                <w:sz w:val="15"/>
                <w:szCs w:val="15"/>
              </w:rPr>
              <w:t>Difference (kt CO</w:t>
            </w:r>
            <w:r w:rsidRPr="00021C15">
              <w:rPr>
                <w:rFonts w:eastAsia="Calibri" w:cs="Calibri"/>
                <w:noProof w:val="0"/>
                <w:color w:val="FFFFFF" w:themeColor="background1"/>
                <w:sz w:val="15"/>
                <w:szCs w:val="15"/>
                <w:vertAlign w:val="subscript"/>
              </w:rPr>
              <w:t>2</w:t>
            </w:r>
            <w:r w:rsidRPr="00021C15">
              <w:rPr>
                <w:rFonts w:eastAsia="Calibri" w:cs="Calibri"/>
                <w:noProof w:val="0"/>
                <w:color w:val="FFFFFF" w:themeColor="background1"/>
                <w:sz w:val="15"/>
                <w:szCs w:val="15"/>
              </w:rPr>
              <w:t>e)</w:t>
            </w:r>
          </w:p>
        </w:tc>
        <w:tc>
          <w:tcPr>
            <w:tcW w:w="907" w:type="dxa"/>
            <w:shd w:val="clear" w:color="auto" w:fill="1B556B"/>
            <w:tcMar>
              <w:top w:w="0" w:type="dxa"/>
              <w:left w:w="85" w:type="dxa"/>
              <w:bottom w:w="0" w:type="dxa"/>
              <w:right w:w="57" w:type="dxa"/>
            </w:tcMar>
            <w:vAlign w:val="bottom"/>
          </w:tcPr>
          <w:p w14:paraId="67CCBD16" w14:textId="77777777" w:rsidR="00EB5913" w:rsidRPr="00021C15" w:rsidRDefault="00EB5913" w:rsidP="00F16E23">
            <w:pPr>
              <w:pStyle w:val="TableTextBold"/>
              <w:spacing w:before="40" w:after="0"/>
              <w:rPr>
                <w:noProof w:val="0"/>
                <w:color w:val="FFFFFF" w:themeColor="background1"/>
                <w:sz w:val="15"/>
                <w:szCs w:val="15"/>
              </w:rPr>
            </w:pPr>
          </w:p>
        </w:tc>
        <w:tc>
          <w:tcPr>
            <w:tcW w:w="0" w:type="auto"/>
            <w:shd w:val="clear" w:color="auto" w:fill="1B556B"/>
            <w:tcMar>
              <w:top w:w="0" w:type="dxa"/>
              <w:left w:w="85" w:type="dxa"/>
              <w:bottom w:w="0" w:type="dxa"/>
              <w:right w:w="57" w:type="dxa"/>
            </w:tcMar>
            <w:vAlign w:val="bottom"/>
          </w:tcPr>
          <w:p w14:paraId="347ED3ED" w14:textId="77777777" w:rsidR="00EB5913" w:rsidRPr="00021C15" w:rsidRDefault="00EB5913" w:rsidP="00F16E23">
            <w:pPr>
              <w:pStyle w:val="TableTextBold"/>
              <w:spacing w:before="40" w:after="0"/>
              <w:rPr>
                <w:noProof w:val="0"/>
                <w:color w:val="FFFFFF" w:themeColor="background1"/>
                <w:sz w:val="15"/>
                <w:szCs w:val="15"/>
              </w:rPr>
            </w:pPr>
          </w:p>
        </w:tc>
        <w:tc>
          <w:tcPr>
            <w:tcW w:w="0" w:type="auto"/>
            <w:shd w:val="clear" w:color="auto" w:fill="1B556B"/>
            <w:tcMar>
              <w:top w:w="0" w:type="dxa"/>
              <w:left w:w="85" w:type="dxa"/>
              <w:bottom w:w="0" w:type="dxa"/>
              <w:right w:w="57" w:type="dxa"/>
            </w:tcMar>
            <w:vAlign w:val="bottom"/>
          </w:tcPr>
          <w:p w14:paraId="00950A43" w14:textId="77777777" w:rsidR="00EB5913" w:rsidRPr="00021C15" w:rsidRDefault="00EB5913" w:rsidP="00F16E23">
            <w:pPr>
              <w:pStyle w:val="TableTextBold"/>
              <w:spacing w:before="40" w:after="0"/>
              <w:jc w:val="right"/>
              <w:rPr>
                <w:noProof w:val="0"/>
                <w:color w:val="FFFFFF" w:themeColor="background1"/>
                <w:sz w:val="15"/>
                <w:szCs w:val="15"/>
              </w:rPr>
            </w:pPr>
            <w:r w:rsidRPr="00021C15">
              <w:rPr>
                <w:rFonts w:eastAsia="Calibri" w:cs="Calibri"/>
                <w:noProof w:val="0"/>
                <w:color w:val="FFFFFF" w:themeColor="background1"/>
                <w:sz w:val="15"/>
                <w:szCs w:val="15"/>
              </w:rPr>
              <w:t>Change (%)</w:t>
            </w:r>
          </w:p>
        </w:tc>
        <w:tc>
          <w:tcPr>
            <w:tcW w:w="0" w:type="auto"/>
            <w:shd w:val="clear" w:color="auto" w:fill="1B556B"/>
            <w:tcMar>
              <w:top w:w="0" w:type="dxa"/>
              <w:left w:w="85" w:type="dxa"/>
              <w:bottom w:w="0" w:type="dxa"/>
              <w:right w:w="57" w:type="dxa"/>
            </w:tcMar>
            <w:vAlign w:val="bottom"/>
          </w:tcPr>
          <w:p w14:paraId="70B753AD" w14:textId="77777777" w:rsidR="00EB5913" w:rsidRPr="00021C15" w:rsidRDefault="00EB5913" w:rsidP="00F16E23">
            <w:pPr>
              <w:pStyle w:val="TableTextBold"/>
              <w:spacing w:before="40" w:after="0"/>
              <w:rPr>
                <w:noProof w:val="0"/>
                <w:color w:val="FFFFFF" w:themeColor="background1"/>
                <w:sz w:val="15"/>
                <w:szCs w:val="15"/>
              </w:rPr>
            </w:pPr>
          </w:p>
        </w:tc>
        <w:tc>
          <w:tcPr>
            <w:tcW w:w="0" w:type="auto"/>
            <w:shd w:val="clear" w:color="auto" w:fill="1B556B"/>
            <w:tcMar>
              <w:top w:w="0" w:type="dxa"/>
              <w:left w:w="85" w:type="dxa"/>
              <w:bottom w:w="0" w:type="dxa"/>
              <w:right w:w="57" w:type="dxa"/>
            </w:tcMar>
            <w:vAlign w:val="bottom"/>
          </w:tcPr>
          <w:p w14:paraId="4411FB8D" w14:textId="77777777" w:rsidR="00EB5913" w:rsidRPr="00021C15" w:rsidRDefault="00EB5913" w:rsidP="00F16E23">
            <w:pPr>
              <w:pStyle w:val="TableTextBold"/>
              <w:spacing w:before="40" w:after="0"/>
              <w:rPr>
                <w:noProof w:val="0"/>
                <w:color w:val="FFFFFF" w:themeColor="background1"/>
                <w:sz w:val="15"/>
                <w:szCs w:val="15"/>
              </w:rPr>
            </w:pPr>
          </w:p>
        </w:tc>
      </w:tr>
      <w:tr w:rsidR="00EB5913" w:rsidRPr="00021C15" w14:paraId="3354968D" w14:textId="77777777" w:rsidTr="00F16E23">
        <w:tc>
          <w:tcPr>
            <w:tcW w:w="1418" w:type="dxa"/>
            <w:shd w:val="clear" w:color="auto" w:fill="1B556B"/>
            <w:tcMar>
              <w:top w:w="0" w:type="dxa"/>
              <w:left w:w="85" w:type="dxa"/>
              <w:bottom w:w="0" w:type="dxa"/>
              <w:right w:w="57" w:type="dxa"/>
            </w:tcMar>
            <w:vAlign w:val="bottom"/>
          </w:tcPr>
          <w:p w14:paraId="7D504DEA" w14:textId="77777777" w:rsidR="00EB5913" w:rsidRPr="00021C15" w:rsidRDefault="00EB5913" w:rsidP="00F16E23">
            <w:pPr>
              <w:pStyle w:val="TableTextBold"/>
              <w:spacing w:before="0" w:after="40"/>
              <w:rPr>
                <w:noProof w:val="0"/>
                <w:color w:val="FFFFFF" w:themeColor="background1"/>
                <w:sz w:val="15"/>
                <w:szCs w:val="15"/>
              </w:rPr>
            </w:pPr>
            <w:r w:rsidRPr="00021C15">
              <w:rPr>
                <w:rFonts w:eastAsia="Calibri" w:cs="Calibri"/>
                <w:noProof w:val="0"/>
                <w:color w:val="FFFFFF" w:themeColor="background1"/>
                <w:sz w:val="15"/>
                <w:szCs w:val="15"/>
              </w:rPr>
              <w:t>Source category</w:t>
            </w:r>
          </w:p>
        </w:tc>
        <w:tc>
          <w:tcPr>
            <w:tcW w:w="851" w:type="dxa"/>
            <w:shd w:val="clear" w:color="auto" w:fill="1B556B"/>
            <w:tcMar>
              <w:top w:w="0" w:type="dxa"/>
              <w:left w:w="85" w:type="dxa"/>
              <w:bottom w:w="0" w:type="dxa"/>
              <w:right w:w="57" w:type="dxa"/>
            </w:tcMar>
            <w:vAlign w:val="bottom"/>
          </w:tcPr>
          <w:p w14:paraId="0CCA08B7"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1990</w:t>
            </w:r>
          </w:p>
        </w:tc>
        <w:tc>
          <w:tcPr>
            <w:tcW w:w="0" w:type="auto"/>
            <w:shd w:val="clear" w:color="auto" w:fill="1B556B"/>
            <w:tcMar>
              <w:top w:w="0" w:type="dxa"/>
              <w:left w:w="85" w:type="dxa"/>
              <w:bottom w:w="0" w:type="dxa"/>
              <w:right w:w="57" w:type="dxa"/>
            </w:tcMar>
            <w:vAlign w:val="bottom"/>
          </w:tcPr>
          <w:p w14:paraId="3DBD197D"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2005</w:t>
            </w:r>
          </w:p>
        </w:tc>
        <w:tc>
          <w:tcPr>
            <w:tcW w:w="0" w:type="auto"/>
            <w:shd w:val="clear" w:color="auto" w:fill="1B556B"/>
            <w:tcMar>
              <w:top w:w="0" w:type="dxa"/>
              <w:left w:w="85" w:type="dxa"/>
              <w:bottom w:w="0" w:type="dxa"/>
              <w:right w:w="57" w:type="dxa"/>
            </w:tcMar>
            <w:vAlign w:val="bottom"/>
          </w:tcPr>
          <w:p w14:paraId="1A87B56B"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2023</w:t>
            </w:r>
          </w:p>
        </w:tc>
        <w:tc>
          <w:tcPr>
            <w:tcW w:w="0" w:type="auto"/>
            <w:shd w:val="clear" w:color="auto" w:fill="1B556B"/>
            <w:tcMar>
              <w:top w:w="0" w:type="dxa"/>
              <w:left w:w="85" w:type="dxa"/>
              <w:bottom w:w="0" w:type="dxa"/>
              <w:right w:w="57" w:type="dxa"/>
            </w:tcMar>
            <w:vAlign w:val="bottom"/>
          </w:tcPr>
          <w:p w14:paraId="634777A7"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2024</w:t>
            </w:r>
          </w:p>
        </w:tc>
        <w:tc>
          <w:tcPr>
            <w:tcW w:w="907" w:type="dxa"/>
            <w:shd w:val="clear" w:color="auto" w:fill="1B556B"/>
            <w:tcMar>
              <w:top w:w="0" w:type="dxa"/>
              <w:left w:w="85" w:type="dxa"/>
              <w:bottom w:w="0" w:type="dxa"/>
              <w:right w:w="57" w:type="dxa"/>
            </w:tcMar>
            <w:vAlign w:val="bottom"/>
          </w:tcPr>
          <w:p w14:paraId="47C61AD5"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1990–2024</w:t>
            </w:r>
          </w:p>
        </w:tc>
        <w:tc>
          <w:tcPr>
            <w:tcW w:w="907" w:type="dxa"/>
            <w:shd w:val="clear" w:color="auto" w:fill="1B556B"/>
            <w:tcMar>
              <w:top w:w="0" w:type="dxa"/>
              <w:left w:w="85" w:type="dxa"/>
              <w:bottom w:w="0" w:type="dxa"/>
              <w:right w:w="57" w:type="dxa"/>
            </w:tcMar>
            <w:vAlign w:val="bottom"/>
          </w:tcPr>
          <w:p w14:paraId="16003D11"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2005–2024</w:t>
            </w:r>
          </w:p>
        </w:tc>
        <w:tc>
          <w:tcPr>
            <w:tcW w:w="0" w:type="auto"/>
            <w:shd w:val="clear" w:color="auto" w:fill="1B556B"/>
            <w:tcMar>
              <w:top w:w="0" w:type="dxa"/>
              <w:left w:w="85" w:type="dxa"/>
              <w:bottom w:w="0" w:type="dxa"/>
              <w:right w:w="57" w:type="dxa"/>
            </w:tcMar>
            <w:vAlign w:val="bottom"/>
          </w:tcPr>
          <w:p w14:paraId="223366EE"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2023–2024</w:t>
            </w:r>
          </w:p>
        </w:tc>
        <w:tc>
          <w:tcPr>
            <w:tcW w:w="0" w:type="auto"/>
            <w:shd w:val="clear" w:color="auto" w:fill="1B556B"/>
            <w:tcMar>
              <w:top w:w="0" w:type="dxa"/>
              <w:left w:w="85" w:type="dxa"/>
              <w:bottom w:w="0" w:type="dxa"/>
              <w:right w:w="57" w:type="dxa"/>
            </w:tcMar>
            <w:vAlign w:val="bottom"/>
          </w:tcPr>
          <w:p w14:paraId="29008351"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1990–2024</w:t>
            </w:r>
          </w:p>
        </w:tc>
        <w:tc>
          <w:tcPr>
            <w:tcW w:w="0" w:type="auto"/>
            <w:shd w:val="clear" w:color="auto" w:fill="1B556B"/>
            <w:tcMar>
              <w:top w:w="0" w:type="dxa"/>
              <w:left w:w="85" w:type="dxa"/>
              <w:bottom w:w="0" w:type="dxa"/>
              <w:right w:w="57" w:type="dxa"/>
            </w:tcMar>
            <w:vAlign w:val="bottom"/>
          </w:tcPr>
          <w:p w14:paraId="13BA7F83"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2005–2024</w:t>
            </w:r>
          </w:p>
        </w:tc>
        <w:tc>
          <w:tcPr>
            <w:tcW w:w="0" w:type="auto"/>
            <w:shd w:val="clear" w:color="auto" w:fill="1B556B"/>
            <w:tcMar>
              <w:top w:w="0" w:type="dxa"/>
              <w:left w:w="85" w:type="dxa"/>
              <w:bottom w:w="0" w:type="dxa"/>
              <w:right w:w="57" w:type="dxa"/>
            </w:tcMar>
            <w:vAlign w:val="bottom"/>
          </w:tcPr>
          <w:p w14:paraId="74BA8A32"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2023–2024</w:t>
            </w:r>
          </w:p>
        </w:tc>
      </w:tr>
      <w:tr w:rsidR="00EB5913" w:rsidRPr="00021C15" w14:paraId="525686AA" w14:textId="77777777" w:rsidTr="00F16E23">
        <w:tc>
          <w:tcPr>
            <w:tcW w:w="1418" w:type="dxa"/>
            <w:shd w:val="clear" w:color="auto" w:fill="FFFFFF"/>
            <w:tcMar>
              <w:top w:w="0" w:type="dxa"/>
              <w:left w:w="85" w:type="dxa"/>
              <w:bottom w:w="0" w:type="dxa"/>
              <w:right w:w="57" w:type="dxa"/>
            </w:tcMar>
            <w:vAlign w:val="center"/>
          </w:tcPr>
          <w:p w14:paraId="4F2078C3" w14:textId="77777777" w:rsidR="00EB5913" w:rsidRPr="00021C15" w:rsidRDefault="00EB5913" w:rsidP="00F16E23">
            <w:pPr>
              <w:pStyle w:val="TableText"/>
              <w:spacing w:before="40" w:after="40"/>
              <w:rPr>
                <w:sz w:val="15"/>
                <w:szCs w:val="15"/>
              </w:rPr>
            </w:pPr>
            <w:r w:rsidRPr="00021C15">
              <w:rPr>
                <w:rFonts w:eastAsia="Calibri"/>
                <w:sz w:val="15"/>
                <w:szCs w:val="15"/>
              </w:rPr>
              <w:t>Composting (5.B.1)</w:t>
            </w:r>
          </w:p>
        </w:tc>
        <w:tc>
          <w:tcPr>
            <w:tcW w:w="851" w:type="dxa"/>
            <w:shd w:val="clear" w:color="auto" w:fill="FFFFFF"/>
            <w:tcMar>
              <w:top w:w="0" w:type="dxa"/>
              <w:left w:w="85" w:type="dxa"/>
              <w:bottom w:w="0" w:type="dxa"/>
              <w:right w:w="57" w:type="dxa"/>
            </w:tcMar>
            <w:vAlign w:val="bottom"/>
          </w:tcPr>
          <w:p w14:paraId="2BC5AD01" w14:textId="77777777" w:rsidR="00EB5913" w:rsidRPr="00021C15" w:rsidRDefault="00EB5913" w:rsidP="00F16E23">
            <w:pPr>
              <w:pStyle w:val="TableText"/>
              <w:spacing w:before="40" w:after="40"/>
              <w:jc w:val="right"/>
              <w:rPr>
                <w:sz w:val="15"/>
                <w:szCs w:val="15"/>
              </w:rPr>
            </w:pPr>
            <w:r w:rsidRPr="00021C15">
              <w:rPr>
                <w:rFonts w:eastAsia="Calibri"/>
                <w:sz w:val="15"/>
                <w:szCs w:val="15"/>
              </w:rPr>
              <w:t>4.8</w:t>
            </w:r>
          </w:p>
        </w:tc>
        <w:tc>
          <w:tcPr>
            <w:tcW w:w="0" w:type="auto"/>
            <w:shd w:val="clear" w:color="auto" w:fill="FFFFFF"/>
            <w:tcMar>
              <w:top w:w="0" w:type="dxa"/>
              <w:left w:w="85" w:type="dxa"/>
              <w:bottom w:w="0" w:type="dxa"/>
              <w:right w:w="57" w:type="dxa"/>
            </w:tcMar>
            <w:vAlign w:val="bottom"/>
          </w:tcPr>
          <w:p w14:paraId="598AC2DF" w14:textId="77777777" w:rsidR="00EB5913" w:rsidRPr="00021C15" w:rsidRDefault="00EB5913" w:rsidP="00F16E23">
            <w:pPr>
              <w:pStyle w:val="TableText"/>
              <w:spacing w:before="40" w:after="40"/>
              <w:jc w:val="right"/>
              <w:rPr>
                <w:sz w:val="15"/>
                <w:szCs w:val="15"/>
              </w:rPr>
            </w:pPr>
            <w:r w:rsidRPr="00021C15">
              <w:rPr>
                <w:rFonts w:eastAsia="Calibri"/>
                <w:sz w:val="15"/>
                <w:szCs w:val="15"/>
              </w:rPr>
              <w:t>6.5</w:t>
            </w:r>
          </w:p>
        </w:tc>
        <w:tc>
          <w:tcPr>
            <w:tcW w:w="0" w:type="auto"/>
            <w:shd w:val="clear" w:color="auto" w:fill="FFFFFF"/>
            <w:tcMar>
              <w:top w:w="0" w:type="dxa"/>
              <w:left w:w="85" w:type="dxa"/>
              <w:bottom w:w="0" w:type="dxa"/>
              <w:right w:w="57" w:type="dxa"/>
            </w:tcMar>
            <w:vAlign w:val="bottom"/>
          </w:tcPr>
          <w:p w14:paraId="3B62D81A" w14:textId="77777777" w:rsidR="00EB5913" w:rsidRPr="00021C15" w:rsidRDefault="00EB5913" w:rsidP="00F16E23">
            <w:pPr>
              <w:pStyle w:val="TableText"/>
              <w:spacing w:before="40" w:after="40"/>
              <w:jc w:val="right"/>
              <w:rPr>
                <w:sz w:val="15"/>
                <w:szCs w:val="15"/>
              </w:rPr>
            </w:pPr>
            <w:r w:rsidRPr="00021C15">
              <w:rPr>
                <w:rFonts w:eastAsia="Calibri"/>
                <w:sz w:val="15"/>
                <w:szCs w:val="15"/>
              </w:rPr>
              <w:t>80.9</w:t>
            </w:r>
          </w:p>
        </w:tc>
        <w:tc>
          <w:tcPr>
            <w:tcW w:w="0" w:type="auto"/>
            <w:shd w:val="clear" w:color="auto" w:fill="FFFFFF"/>
            <w:tcMar>
              <w:top w:w="0" w:type="dxa"/>
              <w:left w:w="85" w:type="dxa"/>
              <w:bottom w:w="0" w:type="dxa"/>
              <w:right w:w="57" w:type="dxa"/>
            </w:tcMar>
            <w:vAlign w:val="bottom"/>
          </w:tcPr>
          <w:p w14:paraId="5A093748" w14:textId="77777777" w:rsidR="00EB5913" w:rsidRPr="00021C15" w:rsidRDefault="00EB5913" w:rsidP="00F16E23">
            <w:pPr>
              <w:pStyle w:val="TableText"/>
              <w:spacing w:before="40" w:after="40"/>
              <w:jc w:val="right"/>
              <w:rPr>
                <w:sz w:val="15"/>
                <w:szCs w:val="15"/>
              </w:rPr>
            </w:pPr>
            <w:r w:rsidRPr="00021C15">
              <w:rPr>
                <w:rFonts w:eastAsia="Calibri"/>
                <w:sz w:val="15"/>
                <w:szCs w:val="15"/>
              </w:rPr>
              <w:t>86.2</w:t>
            </w:r>
          </w:p>
        </w:tc>
        <w:tc>
          <w:tcPr>
            <w:tcW w:w="907" w:type="dxa"/>
            <w:shd w:val="clear" w:color="auto" w:fill="FFFFFF"/>
            <w:tcMar>
              <w:top w:w="0" w:type="dxa"/>
              <w:left w:w="85" w:type="dxa"/>
              <w:bottom w:w="0" w:type="dxa"/>
              <w:right w:w="57" w:type="dxa"/>
            </w:tcMar>
            <w:vAlign w:val="bottom"/>
          </w:tcPr>
          <w:p w14:paraId="2E9ABD31" w14:textId="77777777" w:rsidR="00EB5913" w:rsidRPr="00021C15" w:rsidRDefault="00EB5913" w:rsidP="00F16E23">
            <w:pPr>
              <w:pStyle w:val="TableText"/>
              <w:spacing w:before="40" w:after="40"/>
              <w:jc w:val="right"/>
              <w:rPr>
                <w:sz w:val="15"/>
                <w:szCs w:val="15"/>
              </w:rPr>
            </w:pPr>
            <w:r w:rsidRPr="00021C15">
              <w:rPr>
                <w:rFonts w:eastAsia="Calibri"/>
                <w:sz w:val="15"/>
                <w:szCs w:val="15"/>
              </w:rPr>
              <w:t>81.4</w:t>
            </w:r>
          </w:p>
        </w:tc>
        <w:tc>
          <w:tcPr>
            <w:tcW w:w="907" w:type="dxa"/>
            <w:shd w:val="clear" w:color="auto" w:fill="FFFFFF"/>
            <w:tcMar>
              <w:top w:w="0" w:type="dxa"/>
              <w:left w:w="85" w:type="dxa"/>
              <w:bottom w:w="0" w:type="dxa"/>
              <w:right w:w="57" w:type="dxa"/>
            </w:tcMar>
            <w:vAlign w:val="bottom"/>
          </w:tcPr>
          <w:p w14:paraId="0158DA32" w14:textId="77777777" w:rsidR="00EB5913" w:rsidRPr="00021C15" w:rsidRDefault="00EB5913" w:rsidP="00F16E23">
            <w:pPr>
              <w:pStyle w:val="TableText"/>
              <w:spacing w:before="40" w:after="40"/>
              <w:jc w:val="right"/>
              <w:rPr>
                <w:sz w:val="15"/>
                <w:szCs w:val="15"/>
              </w:rPr>
            </w:pPr>
            <w:r w:rsidRPr="00021C15">
              <w:rPr>
                <w:rFonts w:eastAsia="Calibri"/>
                <w:sz w:val="15"/>
                <w:szCs w:val="15"/>
              </w:rPr>
              <w:t>79.8</w:t>
            </w:r>
          </w:p>
        </w:tc>
        <w:tc>
          <w:tcPr>
            <w:tcW w:w="0" w:type="auto"/>
            <w:shd w:val="clear" w:color="auto" w:fill="FFFFFF"/>
            <w:tcMar>
              <w:top w:w="0" w:type="dxa"/>
              <w:left w:w="85" w:type="dxa"/>
              <w:bottom w:w="0" w:type="dxa"/>
              <w:right w:w="57" w:type="dxa"/>
            </w:tcMar>
            <w:vAlign w:val="bottom"/>
          </w:tcPr>
          <w:p w14:paraId="48B75807" w14:textId="77777777" w:rsidR="00EB5913" w:rsidRPr="00021C15" w:rsidRDefault="00EB5913" w:rsidP="00F16E23">
            <w:pPr>
              <w:pStyle w:val="TableText"/>
              <w:spacing w:before="40" w:after="40"/>
              <w:jc w:val="right"/>
              <w:rPr>
                <w:sz w:val="15"/>
                <w:szCs w:val="15"/>
              </w:rPr>
            </w:pPr>
            <w:r w:rsidRPr="00021C15">
              <w:rPr>
                <w:rFonts w:eastAsia="Calibri"/>
                <w:sz w:val="15"/>
                <w:szCs w:val="15"/>
              </w:rPr>
              <w:t>5.3</w:t>
            </w:r>
          </w:p>
        </w:tc>
        <w:tc>
          <w:tcPr>
            <w:tcW w:w="0" w:type="auto"/>
            <w:shd w:val="clear" w:color="auto" w:fill="FFFFFF"/>
            <w:tcMar>
              <w:top w:w="0" w:type="dxa"/>
              <w:left w:w="85" w:type="dxa"/>
              <w:bottom w:w="0" w:type="dxa"/>
              <w:right w:w="57" w:type="dxa"/>
            </w:tcMar>
            <w:vAlign w:val="bottom"/>
          </w:tcPr>
          <w:p w14:paraId="3CB8D04C" w14:textId="77777777" w:rsidR="00EB5913" w:rsidRPr="00021C15" w:rsidRDefault="00EB5913" w:rsidP="00F16E23">
            <w:pPr>
              <w:pStyle w:val="TableText"/>
              <w:spacing w:before="40" w:after="40"/>
              <w:jc w:val="right"/>
              <w:rPr>
                <w:sz w:val="15"/>
                <w:szCs w:val="15"/>
              </w:rPr>
            </w:pPr>
            <w:r w:rsidRPr="00021C15">
              <w:rPr>
                <w:rFonts w:eastAsia="Calibri"/>
                <w:sz w:val="15"/>
                <w:szCs w:val="15"/>
              </w:rPr>
              <w:t>1,693.9</w:t>
            </w:r>
          </w:p>
        </w:tc>
        <w:tc>
          <w:tcPr>
            <w:tcW w:w="0" w:type="auto"/>
            <w:shd w:val="clear" w:color="auto" w:fill="FFFFFF"/>
            <w:tcMar>
              <w:top w:w="0" w:type="dxa"/>
              <w:left w:w="85" w:type="dxa"/>
              <w:bottom w:w="0" w:type="dxa"/>
              <w:right w:w="57" w:type="dxa"/>
            </w:tcMar>
            <w:vAlign w:val="bottom"/>
          </w:tcPr>
          <w:p w14:paraId="191BCB0E" w14:textId="77777777" w:rsidR="00EB5913" w:rsidRPr="00021C15" w:rsidRDefault="00EB5913" w:rsidP="00F16E23">
            <w:pPr>
              <w:pStyle w:val="TableText"/>
              <w:spacing w:before="40" w:after="40"/>
              <w:jc w:val="right"/>
              <w:rPr>
                <w:sz w:val="15"/>
                <w:szCs w:val="15"/>
              </w:rPr>
            </w:pPr>
            <w:r w:rsidRPr="00021C15">
              <w:rPr>
                <w:rFonts w:eastAsia="Calibri"/>
                <w:sz w:val="15"/>
                <w:szCs w:val="15"/>
              </w:rPr>
              <w:t>1,232.9</w:t>
            </w:r>
          </w:p>
        </w:tc>
        <w:tc>
          <w:tcPr>
            <w:tcW w:w="0" w:type="auto"/>
            <w:shd w:val="clear" w:color="auto" w:fill="FFFFFF"/>
            <w:tcMar>
              <w:top w:w="0" w:type="dxa"/>
              <w:left w:w="85" w:type="dxa"/>
              <w:bottom w:w="0" w:type="dxa"/>
              <w:right w:w="57" w:type="dxa"/>
            </w:tcMar>
            <w:vAlign w:val="bottom"/>
          </w:tcPr>
          <w:p w14:paraId="5A498A96" w14:textId="77777777" w:rsidR="00EB5913" w:rsidRPr="00021C15" w:rsidRDefault="00EB5913" w:rsidP="00F16E23">
            <w:pPr>
              <w:pStyle w:val="TableText"/>
              <w:spacing w:before="40" w:after="40"/>
              <w:jc w:val="right"/>
              <w:rPr>
                <w:sz w:val="15"/>
                <w:szCs w:val="15"/>
              </w:rPr>
            </w:pPr>
            <w:r w:rsidRPr="00021C15">
              <w:rPr>
                <w:rFonts w:eastAsia="Calibri"/>
                <w:sz w:val="15"/>
                <w:szCs w:val="15"/>
              </w:rPr>
              <w:t>6.6</w:t>
            </w:r>
          </w:p>
        </w:tc>
      </w:tr>
      <w:tr w:rsidR="00EB5913" w:rsidRPr="00021C15" w14:paraId="616DABFB" w14:textId="77777777" w:rsidTr="00F16E23">
        <w:tc>
          <w:tcPr>
            <w:tcW w:w="1418" w:type="dxa"/>
            <w:shd w:val="clear" w:color="auto" w:fill="FFFFFF"/>
            <w:tcMar>
              <w:top w:w="0" w:type="dxa"/>
              <w:left w:w="85" w:type="dxa"/>
              <w:bottom w:w="0" w:type="dxa"/>
              <w:right w:w="57" w:type="dxa"/>
            </w:tcMar>
            <w:vAlign w:val="center"/>
          </w:tcPr>
          <w:p w14:paraId="5C79105B" w14:textId="77777777" w:rsidR="00EB5913" w:rsidRPr="00021C15" w:rsidRDefault="00EB5913" w:rsidP="00F16E23">
            <w:pPr>
              <w:pStyle w:val="TableText"/>
              <w:spacing w:before="40" w:after="40"/>
              <w:rPr>
                <w:sz w:val="15"/>
                <w:szCs w:val="15"/>
              </w:rPr>
            </w:pPr>
            <w:r w:rsidRPr="00021C15">
              <w:rPr>
                <w:rFonts w:eastAsia="Calibri"/>
                <w:sz w:val="15"/>
                <w:szCs w:val="15"/>
              </w:rPr>
              <w:t>Anaerobic digestion (5.B.2)</w:t>
            </w:r>
          </w:p>
        </w:tc>
        <w:tc>
          <w:tcPr>
            <w:tcW w:w="851" w:type="dxa"/>
            <w:shd w:val="clear" w:color="auto" w:fill="FFFFFF"/>
            <w:tcMar>
              <w:top w:w="0" w:type="dxa"/>
              <w:left w:w="85" w:type="dxa"/>
              <w:bottom w:w="0" w:type="dxa"/>
              <w:right w:w="57" w:type="dxa"/>
            </w:tcMar>
            <w:vAlign w:val="bottom"/>
          </w:tcPr>
          <w:p w14:paraId="2B7562C7" w14:textId="77777777" w:rsidR="00EB5913" w:rsidRPr="00021C15" w:rsidRDefault="00EB5913" w:rsidP="00F16E23">
            <w:pPr>
              <w:pStyle w:val="TableText"/>
              <w:spacing w:before="40" w:after="40"/>
              <w:jc w:val="right"/>
              <w:rPr>
                <w:sz w:val="15"/>
                <w:szCs w:val="15"/>
              </w:rPr>
            </w:pPr>
            <w:r w:rsidRPr="00021C15">
              <w:rPr>
                <w:rFonts w:eastAsia="Calibri"/>
                <w:sz w:val="15"/>
                <w:szCs w:val="15"/>
              </w:rPr>
              <w:t>–</w:t>
            </w:r>
          </w:p>
        </w:tc>
        <w:tc>
          <w:tcPr>
            <w:tcW w:w="0" w:type="auto"/>
            <w:shd w:val="clear" w:color="auto" w:fill="FFFFFF"/>
            <w:tcMar>
              <w:top w:w="0" w:type="dxa"/>
              <w:left w:w="85" w:type="dxa"/>
              <w:bottom w:w="0" w:type="dxa"/>
              <w:right w:w="57" w:type="dxa"/>
            </w:tcMar>
            <w:vAlign w:val="bottom"/>
          </w:tcPr>
          <w:p w14:paraId="515B3F76" w14:textId="77777777" w:rsidR="00EB5913" w:rsidRPr="00021C15" w:rsidRDefault="00EB5913" w:rsidP="00F16E23">
            <w:pPr>
              <w:pStyle w:val="TableText"/>
              <w:spacing w:before="40" w:after="40"/>
              <w:jc w:val="right"/>
              <w:rPr>
                <w:sz w:val="15"/>
                <w:szCs w:val="15"/>
              </w:rPr>
            </w:pPr>
            <w:r w:rsidRPr="00021C15">
              <w:rPr>
                <w:rFonts w:eastAsia="Calibri"/>
                <w:sz w:val="15"/>
                <w:szCs w:val="15"/>
              </w:rPr>
              <w:t>–</w:t>
            </w:r>
          </w:p>
        </w:tc>
        <w:tc>
          <w:tcPr>
            <w:tcW w:w="0" w:type="auto"/>
            <w:shd w:val="clear" w:color="auto" w:fill="FFFFFF"/>
            <w:tcMar>
              <w:top w:w="0" w:type="dxa"/>
              <w:left w:w="85" w:type="dxa"/>
              <w:bottom w:w="0" w:type="dxa"/>
              <w:right w:w="57" w:type="dxa"/>
            </w:tcMar>
            <w:vAlign w:val="bottom"/>
          </w:tcPr>
          <w:p w14:paraId="349E8389" w14:textId="77777777" w:rsidR="00EB5913" w:rsidRPr="00021C15" w:rsidRDefault="00EB5913" w:rsidP="00F16E23">
            <w:pPr>
              <w:pStyle w:val="TableText"/>
              <w:spacing w:before="40" w:after="40"/>
              <w:jc w:val="right"/>
              <w:rPr>
                <w:sz w:val="15"/>
                <w:szCs w:val="15"/>
              </w:rPr>
            </w:pPr>
            <w:r w:rsidRPr="00021C15">
              <w:rPr>
                <w:rFonts w:eastAsia="Calibri"/>
                <w:sz w:val="15"/>
                <w:szCs w:val="15"/>
              </w:rPr>
              <w:t>0.7</w:t>
            </w:r>
          </w:p>
        </w:tc>
        <w:tc>
          <w:tcPr>
            <w:tcW w:w="0" w:type="auto"/>
            <w:shd w:val="clear" w:color="auto" w:fill="FFFFFF"/>
            <w:tcMar>
              <w:top w:w="0" w:type="dxa"/>
              <w:left w:w="85" w:type="dxa"/>
              <w:bottom w:w="0" w:type="dxa"/>
              <w:right w:w="57" w:type="dxa"/>
            </w:tcMar>
            <w:vAlign w:val="bottom"/>
          </w:tcPr>
          <w:p w14:paraId="4028E74D" w14:textId="77777777" w:rsidR="00EB5913" w:rsidRPr="00021C15" w:rsidRDefault="00EB5913" w:rsidP="00F16E23">
            <w:pPr>
              <w:pStyle w:val="TableText"/>
              <w:spacing w:before="40" w:after="40"/>
              <w:jc w:val="right"/>
              <w:rPr>
                <w:sz w:val="15"/>
                <w:szCs w:val="15"/>
              </w:rPr>
            </w:pPr>
            <w:r w:rsidRPr="00021C15">
              <w:rPr>
                <w:rFonts w:eastAsia="Calibri"/>
                <w:sz w:val="15"/>
                <w:szCs w:val="15"/>
              </w:rPr>
              <w:t>1.3</w:t>
            </w:r>
          </w:p>
        </w:tc>
        <w:tc>
          <w:tcPr>
            <w:tcW w:w="907" w:type="dxa"/>
            <w:shd w:val="clear" w:color="auto" w:fill="FFFFFF"/>
            <w:tcMar>
              <w:top w:w="0" w:type="dxa"/>
              <w:left w:w="85" w:type="dxa"/>
              <w:bottom w:w="0" w:type="dxa"/>
              <w:right w:w="57" w:type="dxa"/>
            </w:tcMar>
            <w:vAlign w:val="bottom"/>
          </w:tcPr>
          <w:p w14:paraId="7C3E4837" w14:textId="77777777" w:rsidR="00EB5913" w:rsidRPr="00021C15" w:rsidRDefault="00EB5913" w:rsidP="00F16E23">
            <w:pPr>
              <w:pStyle w:val="TableText"/>
              <w:spacing w:before="40" w:after="40"/>
              <w:jc w:val="right"/>
              <w:rPr>
                <w:sz w:val="15"/>
                <w:szCs w:val="15"/>
              </w:rPr>
            </w:pPr>
            <w:r w:rsidRPr="00021C15">
              <w:rPr>
                <w:rFonts w:eastAsia="Calibri"/>
                <w:sz w:val="15"/>
                <w:szCs w:val="15"/>
              </w:rPr>
              <w:t>1.3</w:t>
            </w:r>
          </w:p>
        </w:tc>
        <w:tc>
          <w:tcPr>
            <w:tcW w:w="907" w:type="dxa"/>
            <w:shd w:val="clear" w:color="auto" w:fill="FFFFFF"/>
            <w:tcMar>
              <w:top w:w="0" w:type="dxa"/>
              <w:left w:w="85" w:type="dxa"/>
              <w:bottom w:w="0" w:type="dxa"/>
              <w:right w:w="57" w:type="dxa"/>
            </w:tcMar>
            <w:vAlign w:val="bottom"/>
          </w:tcPr>
          <w:p w14:paraId="7C655E9D" w14:textId="77777777" w:rsidR="00EB5913" w:rsidRPr="00021C15" w:rsidRDefault="00EB5913" w:rsidP="00F16E23">
            <w:pPr>
              <w:pStyle w:val="TableText"/>
              <w:spacing w:before="40" w:after="40"/>
              <w:jc w:val="right"/>
              <w:rPr>
                <w:sz w:val="15"/>
                <w:szCs w:val="15"/>
              </w:rPr>
            </w:pPr>
            <w:r w:rsidRPr="00021C15">
              <w:rPr>
                <w:rFonts w:eastAsia="Calibri"/>
                <w:sz w:val="15"/>
                <w:szCs w:val="15"/>
              </w:rPr>
              <w:t>1.3</w:t>
            </w:r>
          </w:p>
        </w:tc>
        <w:tc>
          <w:tcPr>
            <w:tcW w:w="0" w:type="auto"/>
            <w:shd w:val="clear" w:color="auto" w:fill="FFFFFF"/>
            <w:tcMar>
              <w:top w:w="0" w:type="dxa"/>
              <w:left w:w="85" w:type="dxa"/>
              <w:bottom w:w="0" w:type="dxa"/>
              <w:right w:w="57" w:type="dxa"/>
            </w:tcMar>
            <w:vAlign w:val="bottom"/>
          </w:tcPr>
          <w:p w14:paraId="57EB97F5" w14:textId="77777777" w:rsidR="00EB5913" w:rsidRPr="00021C15" w:rsidRDefault="00EB5913" w:rsidP="00F16E23">
            <w:pPr>
              <w:pStyle w:val="TableText"/>
              <w:spacing w:before="40" w:after="40"/>
              <w:jc w:val="right"/>
              <w:rPr>
                <w:sz w:val="15"/>
                <w:szCs w:val="15"/>
              </w:rPr>
            </w:pPr>
            <w:r w:rsidRPr="00021C15">
              <w:rPr>
                <w:rFonts w:eastAsia="Calibri"/>
                <w:sz w:val="15"/>
                <w:szCs w:val="15"/>
              </w:rPr>
              <w:t>0.6</w:t>
            </w:r>
          </w:p>
        </w:tc>
        <w:tc>
          <w:tcPr>
            <w:tcW w:w="0" w:type="auto"/>
            <w:shd w:val="clear" w:color="auto" w:fill="FFFFFF"/>
            <w:tcMar>
              <w:top w:w="0" w:type="dxa"/>
              <w:left w:w="85" w:type="dxa"/>
              <w:bottom w:w="0" w:type="dxa"/>
              <w:right w:w="57" w:type="dxa"/>
            </w:tcMar>
            <w:vAlign w:val="bottom"/>
          </w:tcPr>
          <w:p w14:paraId="043173A4" w14:textId="77777777" w:rsidR="00EB5913" w:rsidRPr="00021C15" w:rsidRDefault="00EB5913" w:rsidP="00F16E23">
            <w:pPr>
              <w:pStyle w:val="TableText"/>
              <w:spacing w:before="40" w:after="40"/>
              <w:jc w:val="right"/>
              <w:rPr>
                <w:sz w:val="15"/>
                <w:szCs w:val="15"/>
              </w:rPr>
            </w:pPr>
            <w:r w:rsidRPr="00021C15">
              <w:rPr>
                <w:rFonts w:eastAsia="Calibri"/>
                <w:sz w:val="15"/>
                <w:szCs w:val="15"/>
              </w:rPr>
              <w:t>–</w:t>
            </w:r>
          </w:p>
        </w:tc>
        <w:tc>
          <w:tcPr>
            <w:tcW w:w="0" w:type="auto"/>
            <w:shd w:val="clear" w:color="auto" w:fill="FFFFFF"/>
            <w:tcMar>
              <w:top w:w="0" w:type="dxa"/>
              <w:left w:w="85" w:type="dxa"/>
              <w:bottom w:w="0" w:type="dxa"/>
              <w:right w:w="57" w:type="dxa"/>
            </w:tcMar>
            <w:vAlign w:val="bottom"/>
          </w:tcPr>
          <w:p w14:paraId="782E01B0" w14:textId="77777777" w:rsidR="00EB5913" w:rsidRPr="00021C15" w:rsidRDefault="00EB5913" w:rsidP="00F16E23">
            <w:pPr>
              <w:pStyle w:val="TableText"/>
              <w:spacing w:before="40" w:after="40"/>
              <w:jc w:val="right"/>
              <w:rPr>
                <w:sz w:val="15"/>
                <w:szCs w:val="15"/>
              </w:rPr>
            </w:pPr>
            <w:r w:rsidRPr="00021C15">
              <w:rPr>
                <w:rFonts w:eastAsia="Calibri"/>
                <w:sz w:val="15"/>
                <w:szCs w:val="15"/>
              </w:rPr>
              <w:t>–</w:t>
            </w:r>
          </w:p>
        </w:tc>
        <w:tc>
          <w:tcPr>
            <w:tcW w:w="0" w:type="auto"/>
            <w:shd w:val="clear" w:color="auto" w:fill="FFFFFF"/>
            <w:tcMar>
              <w:top w:w="0" w:type="dxa"/>
              <w:left w:w="85" w:type="dxa"/>
              <w:bottom w:w="0" w:type="dxa"/>
              <w:right w:w="57" w:type="dxa"/>
            </w:tcMar>
            <w:vAlign w:val="bottom"/>
          </w:tcPr>
          <w:p w14:paraId="1803B619" w14:textId="77777777" w:rsidR="00EB5913" w:rsidRPr="00021C15" w:rsidRDefault="00EB5913" w:rsidP="00F16E23">
            <w:pPr>
              <w:pStyle w:val="TableText"/>
              <w:spacing w:before="40" w:after="40"/>
              <w:jc w:val="right"/>
              <w:rPr>
                <w:sz w:val="15"/>
                <w:szCs w:val="15"/>
              </w:rPr>
            </w:pPr>
            <w:r w:rsidRPr="00021C15">
              <w:rPr>
                <w:rFonts w:eastAsia="Calibri"/>
                <w:sz w:val="15"/>
                <w:szCs w:val="15"/>
              </w:rPr>
              <w:t>97.2</w:t>
            </w:r>
          </w:p>
        </w:tc>
      </w:tr>
      <w:tr w:rsidR="00EB5913" w:rsidRPr="00021C15" w14:paraId="7B8858D5" w14:textId="77777777" w:rsidTr="00F16E23">
        <w:tc>
          <w:tcPr>
            <w:tcW w:w="1418" w:type="dxa"/>
            <w:shd w:val="clear" w:color="auto" w:fill="FFFFFF"/>
            <w:tcMar>
              <w:top w:w="0" w:type="dxa"/>
              <w:left w:w="85" w:type="dxa"/>
              <w:bottom w:w="0" w:type="dxa"/>
              <w:right w:w="57" w:type="dxa"/>
            </w:tcMar>
            <w:vAlign w:val="center"/>
          </w:tcPr>
          <w:p w14:paraId="476BA04A" w14:textId="77777777" w:rsidR="00EB5913" w:rsidRPr="00021C15" w:rsidRDefault="00EB5913" w:rsidP="00F16E23">
            <w:pPr>
              <w:pStyle w:val="Tableboldblue"/>
              <w:spacing w:before="40" w:after="40"/>
              <w:rPr>
                <w:sz w:val="15"/>
                <w:szCs w:val="15"/>
              </w:rPr>
            </w:pPr>
            <w:r w:rsidRPr="00021C15">
              <w:rPr>
                <w:rFonts w:eastAsia="Calibri"/>
                <w:sz w:val="15"/>
                <w:szCs w:val="15"/>
              </w:rPr>
              <w:t>Total (5.B)</w:t>
            </w:r>
          </w:p>
        </w:tc>
        <w:tc>
          <w:tcPr>
            <w:tcW w:w="851" w:type="dxa"/>
            <w:shd w:val="clear" w:color="auto" w:fill="FFFFFF"/>
            <w:tcMar>
              <w:top w:w="0" w:type="dxa"/>
              <w:left w:w="85" w:type="dxa"/>
              <w:bottom w:w="0" w:type="dxa"/>
              <w:right w:w="57" w:type="dxa"/>
            </w:tcMar>
            <w:vAlign w:val="center"/>
          </w:tcPr>
          <w:p w14:paraId="06F10423"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4.8</w:t>
            </w:r>
          </w:p>
        </w:tc>
        <w:tc>
          <w:tcPr>
            <w:tcW w:w="0" w:type="auto"/>
            <w:shd w:val="clear" w:color="auto" w:fill="FFFFFF"/>
            <w:tcMar>
              <w:top w:w="0" w:type="dxa"/>
              <w:left w:w="85" w:type="dxa"/>
              <w:bottom w:w="0" w:type="dxa"/>
              <w:right w:w="57" w:type="dxa"/>
            </w:tcMar>
            <w:vAlign w:val="center"/>
          </w:tcPr>
          <w:p w14:paraId="6738709B"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6.5</w:t>
            </w:r>
          </w:p>
        </w:tc>
        <w:tc>
          <w:tcPr>
            <w:tcW w:w="0" w:type="auto"/>
            <w:shd w:val="clear" w:color="auto" w:fill="FFFFFF"/>
            <w:tcMar>
              <w:top w:w="0" w:type="dxa"/>
              <w:left w:w="85" w:type="dxa"/>
              <w:bottom w:w="0" w:type="dxa"/>
              <w:right w:w="57" w:type="dxa"/>
            </w:tcMar>
            <w:vAlign w:val="center"/>
          </w:tcPr>
          <w:p w14:paraId="7B44C57E"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81.6</w:t>
            </w:r>
          </w:p>
        </w:tc>
        <w:tc>
          <w:tcPr>
            <w:tcW w:w="0" w:type="auto"/>
            <w:shd w:val="clear" w:color="auto" w:fill="FFFFFF"/>
            <w:tcMar>
              <w:top w:w="0" w:type="dxa"/>
              <w:left w:w="85" w:type="dxa"/>
              <w:bottom w:w="0" w:type="dxa"/>
              <w:right w:w="57" w:type="dxa"/>
            </w:tcMar>
            <w:vAlign w:val="center"/>
          </w:tcPr>
          <w:p w14:paraId="18597527"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87.5</w:t>
            </w:r>
          </w:p>
        </w:tc>
        <w:tc>
          <w:tcPr>
            <w:tcW w:w="907" w:type="dxa"/>
            <w:shd w:val="clear" w:color="auto" w:fill="FFFFFF"/>
            <w:tcMar>
              <w:top w:w="0" w:type="dxa"/>
              <w:left w:w="85" w:type="dxa"/>
              <w:bottom w:w="0" w:type="dxa"/>
              <w:right w:w="57" w:type="dxa"/>
            </w:tcMar>
            <w:vAlign w:val="center"/>
          </w:tcPr>
          <w:p w14:paraId="3AF00EBE"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82.7</w:t>
            </w:r>
          </w:p>
        </w:tc>
        <w:tc>
          <w:tcPr>
            <w:tcW w:w="907" w:type="dxa"/>
            <w:shd w:val="clear" w:color="auto" w:fill="FFFFFF"/>
            <w:tcMar>
              <w:top w:w="0" w:type="dxa"/>
              <w:left w:w="85" w:type="dxa"/>
              <w:bottom w:w="0" w:type="dxa"/>
              <w:right w:w="57" w:type="dxa"/>
            </w:tcMar>
            <w:vAlign w:val="center"/>
          </w:tcPr>
          <w:p w14:paraId="267263FE"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81.1</w:t>
            </w:r>
          </w:p>
        </w:tc>
        <w:tc>
          <w:tcPr>
            <w:tcW w:w="0" w:type="auto"/>
            <w:shd w:val="clear" w:color="auto" w:fill="FFFFFF"/>
            <w:tcMar>
              <w:top w:w="0" w:type="dxa"/>
              <w:left w:w="85" w:type="dxa"/>
              <w:bottom w:w="0" w:type="dxa"/>
              <w:right w:w="57" w:type="dxa"/>
            </w:tcMar>
            <w:vAlign w:val="center"/>
          </w:tcPr>
          <w:p w14:paraId="0D72E05E"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6.0</w:t>
            </w:r>
          </w:p>
        </w:tc>
        <w:tc>
          <w:tcPr>
            <w:tcW w:w="0" w:type="auto"/>
            <w:shd w:val="clear" w:color="auto" w:fill="FFFFFF"/>
            <w:tcMar>
              <w:top w:w="0" w:type="dxa"/>
              <w:left w:w="85" w:type="dxa"/>
              <w:bottom w:w="0" w:type="dxa"/>
              <w:right w:w="57" w:type="dxa"/>
            </w:tcMar>
            <w:vAlign w:val="center"/>
          </w:tcPr>
          <w:p w14:paraId="0B162881"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1,721.0</w:t>
            </w:r>
          </w:p>
        </w:tc>
        <w:tc>
          <w:tcPr>
            <w:tcW w:w="0" w:type="auto"/>
            <w:shd w:val="clear" w:color="auto" w:fill="FFFFFF"/>
            <w:tcMar>
              <w:top w:w="0" w:type="dxa"/>
              <w:left w:w="85" w:type="dxa"/>
              <w:bottom w:w="0" w:type="dxa"/>
              <w:right w:w="57" w:type="dxa"/>
            </w:tcMar>
            <w:vAlign w:val="center"/>
          </w:tcPr>
          <w:p w14:paraId="6C1C92BC"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1,253.0</w:t>
            </w:r>
          </w:p>
        </w:tc>
        <w:tc>
          <w:tcPr>
            <w:tcW w:w="0" w:type="auto"/>
            <w:shd w:val="clear" w:color="auto" w:fill="FFFFFF"/>
            <w:tcMar>
              <w:top w:w="0" w:type="dxa"/>
              <w:left w:w="85" w:type="dxa"/>
              <w:bottom w:w="0" w:type="dxa"/>
              <w:right w:w="57" w:type="dxa"/>
            </w:tcMar>
            <w:vAlign w:val="center"/>
          </w:tcPr>
          <w:p w14:paraId="1F362724"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7.3</w:t>
            </w:r>
          </w:p>
        </w:tc>
      </w:tr>
    </w:tbl>
    <w:p w14:paraId="38C4CB88" w14:textId="77777777" w:rsidR="00EB5913" w:rsidRPr="006623B9" w:rsidRDefault="00EB5913" w:rsidP="00EB5913">
      <w:pPr>
        <w:pStyle w:val="Heading3"/>
        <w:spacing w:before="440"/>
      </w:pPr>
      <w:bookmarkStart w:id="3053" w:name="methodological-issues-1"/>
      <w:bookmarkEnd w:id="3051"/>
      <w:r w:rsidRPr="006623B9">
        <w:t xml:space="preserve">7.3.2 </w:t>
      </w:r>
      <w:r w:rsidRPr="006623B9">
        <w:tab/>
        <w:t>Methodological issues</w:t>
      </w:r>
    </w:p>
    <w:p w14:paraId="70C0E676" w14:textId="77777777" w:rsidR="00EB5913" w:rsidRPr="006623B9" w:rsidRDefault="00EB5913" w:rsidP="00EB5913">
      <w:pPr>
        <w:pStyle w:val="Heading4"/>
      </w:pPr>
      <w:bookmarkStart w:id="3054" w:name="choice-of-activity-data-1"/>
      <w:r w:rsidRPr="006623B9">
        <w:t>Choice of activity data</w:t>
      </w:r>
    </w:p>
    <w:p w14:paraId="335636B4" w14:textId="77777777" w:rsidR="00EB5913" w:rsidRPr="006623B9" w:rsidRDefault="00EB5913" w:rsidP="00EB5913">
      <w:pPr>
        <w:pStyle w:val="Heading5"/>
        <w:spacing w:before="180"/>
      </w:pPr>
      <w:bookmarkStart w:id="3055" w:name="composting-5.b.1."/>
      <w:r w:rsidRPr="006623B9">
        <w:t>Composting (5.B.1.)</w:t>
      </w:r>
    </w:p>
    <w:p w14:paraId="0D7D585B" w14:textId="77777777" w:rsidR="00EB5913" w:rsidRPr="006623B9" w:rsidRDefault="00EB5913" w:rsidP="00EB5913">
      <w:pPr>
        <w:pStyle w:val="BodyText"/>
      </w:pPr>
      <w:r w:rsidRPr="006623B9">
        <w:t>Activity data for composting are estimated using expert judgement, with reference to evidence of commercial-scale composting operating across New Zealand. In 1990, it is estimated that an equivalent of 1 percent of total municipal solid waste was composted. Between 1991 and 2008, composting activity was assumed to have grown by 2 percent per annum. From 2009 to 2018, growth rates were estimated to have increased significantly (ranging from 10 percent to 40 percent per annum), to align with reported volumes for 2019 (Eunomia, unpublished(b)), reflecting the expansion of commercial-scale composting. Activity data for composting can be derived using the total tonnage reported for 1990 in Table 7.2.4, in accordance with the description provided.</w:t>
      </w:r>
    </w:p>
    <w:p w14:paraId="1CB3610B" w14:textId="77777777" w:rsidR="00EB5913" w:rsidRPr="006623B9" w:rsidRDefault="00EB5913" w:rsidP="00EB5913">
      <w:pPr>
        <w:pStyle w:val="BodyText"/>
      </w:pPr>
      <w:r w:rsidRPr="006623B9">
        <w:t>The decline in the proportion of food and garden waste disposed of at managed SWDS between 2012 and 2018 (see table 7.2.7) is consistent with increased composting activity, although a causal relationship has not been established.</w:t>
      </w:r>
    </w:p>
    <w:p w14:paraId="289EAF80" w14:textId="77777777" w:rsidR="00EB5913" w:rsidRPr="006623B9" w:rsidRDefault="00EB5913" w:rsidP="00EB5913">
      <w:pPr>
        <w:pStyle w:val="Heading5"/>
      </w:pPr>
      <w:bookmarkStart w:id="3056" w:name="anaerobic-digestion-5.b.2"/>
      <w:bookmarkEnd w:id="3055"/>
      <w:r w:rsidRPr="006623B9">
        <w:t>Anaerobic digestion (5.B.2)</w:t>
      </w:r>
    </w:p>
    <w:p w14:paraId="6ABF866F" w14:textId="77777777" w:rsidR="00EB5913" w:rsidRPr="006623B9" w:rsidRDefault="00EB5913" w:rsidP="00EB5913">
      <w:pPr>
        <w:pStyle w:val="BodyText"/>
      </w:pPr>
      <w:r w:rsidRPr="006623B9">
        <w:t>New Zealand’s first large-scale anaerobic digestion plant, located in Reporoa in the central North Island, began operations in October 2022.</w:t>
      </w:r>
      <w:r w:rsidRPr="006623B9">
        <w:rPr>
          <w:rStyle w:val="FootnoteReference"/>
        </w:rPr>
        <w:footnoteReference w:id="55"/>
      </w:r>
      <w:r w:rsidRPr="006623B9">
        <w:t xml:space="preserve"> The facility is projected to process up to 75,000 tonnes of food scraps annually at full capacity, generating energy in the form of electricity, heat and biogas.</w:t>
      </w:r>
    </w:p>
    <w:p w14:paraId="50952E5C" w14:textId="77777777" w:rsidR="00EB5913" w:rsidRPr="006623B9" w:rsidRDefault="00EB5913" w:rsidP="00EB5913">
      <w:pPr>
        <w:pStyle w:val="BodyText"/>
      </w:pPr>
      <w:r w:rsidRPr="006623B9">
        <w:rPr>
          <w:spacing w:val="-2"/>
        </w:rPr>
        <w:t>Waste volumes processed at the facility were provided by the plant operator for the years since the plant has been functioning. In its first year of operation (from October 2022), 792 tonnes</w:t>
      </w:r>
      <w:r w:rsidRPr="006623B9">
        <w:t xml:space="preserve"> of wet waste were processed, increasing to 58,116 tonnes in 2024, marking a growth of 7,238 percent.</w:t>
      </w:r>
    </w:p>
    <w:p w14:paraId="062057B1" w14:textId="77777777" w:rsidR="00EB5913" w:rsidRPr="006623B9" w:rsidRDefault="00EB5913" w:rsidP="00EB5913">
      <w:pPr>
        <w:pStyle w:val="Heading4"/>
      </w:pPr>
      <w:bookmarkStart w:id="3057" w:name="choice-of-methods-1"/>
      <w:bookmarkEnd w:id="3054"/>
      <w:bookmarkEnd w:id="3056"/>
      <w:r w:rsidRPr="006623B9">
        <w:t>Choice of methods</w:t>
      </w:r>
    </w:p>
    <w:p w14:paraId="21D0D3BB" w14:textId="77777777" w:rsidR="00EB5913" w:rsidRPr="006623B9" w:rsidRDefault="00EB5913" w:rsidP="00EB5913">
      <w:pPr>
        <w:pStyle w:val="BodyText"/>
      </w:pPr>
      <w:r w:rsidRPr="006623B9">
        <w:t xml:space="preserve">Direct emissions from </w:t>
      </w:r>
      <w:r w:rsidRPr="006623B9">
        <w:rPr>
          <w:i/>
          <w:iCs/>
        </w:rPr>
        <w:t>Composting</w:t>
      </w:r>
      <w:r w:rsidRPr="006623B9">
        <w:t xml:space="preserve"> and </w:t>
      </w:r>
      <w:r w:rsidRPr="006623B9">
        <w:rPr>
          <w:i/>
          <w:iCs/>
        </w:rPr>
        <w:t>Anaerobic digestion</w:t>
      </w:r>
      <w:r w:rsidRPr="006623B9">
        <w:t xml:space="preserve"> are estimated using the Tier 1 default methodology outlined in the 2006 IPCC Guidelines (IPCC, 2006a).</w:t>
      </w:r>
    </w:p>
    <w:p w14:paraId="635769C6" w14:textId="77777777" w:rsidR="00EB5913" w:rsidRPr="006623B9" w:rsidRDefault="00EB5913" w:rsidP="00EB5913">
      <w:pPr>
        <w:pStyle w:val="BodyText"/>
      </w:pPr>
      <w:r w:rsidRPr="006623B9">
        <w:t>Default CH</w:t>
      </w:r>
      <w:r w:rsidRPr="006623B9">
        <w:rPr>
          <w:vertAlign w:val="subscript"/>
        </w:rPr>
        <w:t>4</w:t>
      </w:r>
      <w:r w:rsidRPr="006623B9">
        <w:t xml:space="preserve"> emission factors already account for CH</w:t>
      </w:r>
      <w:r w:rsidRPr="006623B9">
        <w:rPr>
          <w:vertAlign w:val="subscript"/>
        </w:rPr>
        <w:t>4</w:t>
      </w:r>
      <w:r w:rsidRPr="006623B9">
        <w:t xml:space="preserve"> recovery in </w:t>
      </w:r>
      <w:r w:rsidRPr="006623B9">
        <w:rPr>
          <w:i/>
          <w:iCs/>
        </w:rPr>
        <w:t>Anaerobic digestion</w:t>
      </w:r>
      <w:r w:rsidRPr="006623B9">
        <w:t>, while default N</w:t>
      </w:r>
      <w:r w:rsidRPr="006623B9">
        <w:rPr>
          <w:vertAlign w:val="subscript"/>
        </w:rPr>
        <w:t>2</w:t>
      </w:r>
      <w:r w:rsidRPr="006623B9">
        <w:t>O emission factors are assumed negligible and are not estimated (IPCC, 2006a).</w:t>
      </w:r>
    </w:p>
    <w:p w14:paraId="2B81BDA7" w14:textId="77777777" w:rsidR="00EB5913" w:rsidRPr="006623B9" w:rsidRDefault="00EB5913" w:rsidP="00EB5913">
      <w:pPr>
        <w:pStyle w:val="Heading4"/>
      </w:pPr>
      <w:bookmarkStart w:id="3058" w:name="choice-of-emission-factors"/>
      <w:bookmarkEnd w:id="3057"/>
      <w:r w:rsidRPr="006623B9">
        <w:t>Choice of emission factors</w:t>
      </w:r>
    </w:p>
    <w:p w14:paraId="2B5578A6" w14:textId="77777777" w:rsidR="00EB5913" w:rsidRPr="006623B9" w:rsidRDefault="00EB5913" w:rsidP="00EB5913">
      <w:pPr>
        <w:pStyle w:val="BodyText"/>
      </w:pPr>
      <w:r w:rsidRPr="006623B9">
        <w:t>IPCC default parameters are used, as detailed in table 7.3.2.</w:t>
      </w:r>
    </w:p>
    <w:p w14:paraId="09024F00" w14:textId="77777777" w:rsidR="00EB5913" w:rsidRPr="006623B9" w:rsidRDefault="00EB5913" w:rsidP="00EB5913">
      <w:pPr>
        <w:pStyle w:val="Table"/>
      </w:pPr>
      <w:bookmarkStart w:id="3059" w:name="_Toc226669112"/>
      <w:r w:rsidRPr="006623B9">
        <w:t xml:space="preserve">Table 7.3.2 </w:t>
      </w:r>
      <w:r w:rsidRPr="006623B9">
        <w:tab/>
        <w:t xml:space="preserve">Emission factors applied to estimate emissions from </w:t>
      </w:r>
      <w:r w:rsidRPr="006623B9">
        <w:rPr>
          <w:i/>
          <w:iCs/>
        </w:rPr>
        <w:t>Composting</w:t>
      </w:r>
      <w:r w:rsidRPr="006623B9">
        <w:t xml:space="preserve"> and </w:t>
      </w:r>
      <w:r w:rsidRPr="006623B9">
        <w:rPr>
          <w:i/>
          <w:iCs/>
        </w:rPr>
        <w:t>Anaerobic digestion</w:t>
      </w:r>
      <w:bookmarkEnd w:id="305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043"/>
        <w:gridCol w:w="2755"/>
        <w:gridCol w:w="1696"/>
      </w:tblGrid>
      <w:tr w:rsidR="00EB5913" w:rsidRPr="006623B9" w14:paraId="2302EC69" w14:textId="77777777" w:rsidTr="00F16E23">
        <w:trPr>
          <w:tblHeader/>
        </w:trPr>
        <w:tc>
          <w:tcPr>
            <w:tcW w:w="0" w:type="auto"/>
            <w:shd w:val="clear" w:color="auto" w:fill="1B556B"/>
            <w:tcMar>
              <w:top w:w="0" w:type="dxa"/>
              <w:left w:w="85" w:type="dxa"/>
              <w:bottom w:w="0" w:type="dxa"/>
              <w:right w:w="85" w:type="dxa"/>
            </w:tcMar>
            <w:vAlign w:val="center"/>
          </w:tcPr>
          <w:p w14:paraId="389D6C8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Emission factor for each category</w:t>
            </w:r>
          </w:p>
        </w:tc>
        <w:tc>
          <w:tcPr>
            <w:tcW w:w="0" w:type="auto"/>
            <w:shd w:val="clear" w:color="auto" w:fill="1B556B"/>
            <w:tcMar>
              <w:top w:w="0" w:type="dxa"/>
              <w:left w:w="85" w:type="dxa"/>
              <w:bottom w:w="0" w:type="dxa"/>
              <w:right w:w="85" w:type="dxa"/>
            </w:tcMar>
            <w:vAlign w:val="center"/>
          </w:tcPr>
          <w:p w14:paraId="0A59FD85"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Emission factor (g/kg)</w:t>
            </w:r>
          </w:p>
        </w:tc>
        <w:tc>
          <w:tcPr>
            <w:tcW w:w="0" w:type="auto"/>
            <w:shd w:val="clear" w:color="auto" w:fill="1B556B"/>
            <w:tcMar>
              <w:top w:w="0" w:type="dxa"/>
              <w:left w:w="85" w:type="dxa"/>
              <w:bottom w:w="0" w:type="dxa"/>
              <w:right w:w="85" w:type="dxa"/>
            </w:tcMar>
            <w:vAlign w:val="center"/>
          </w:tcPr>
          <w:p w14:paraId="395F95CF"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r>
      <w:tr w:rsidR="00EB5913" w:rsidRPr="006623B9" w14:paraId="186EF230" w14:textId="77777777" w:rsidTr="00F16E23">
        <w:tc>
          <w:tcPr>
            <w:tcW w:w="0" w:type="auto"/>
            <w:shd w:val="clear" w:color="auto" w:fill="FFFFFF"/>
            <w:tcMar>
              <w:top w:w="0" w:type="dxa"/>
              <w:left w:w="85" w:type="dxa"/>
              <w:bottom w:w="0" w:type="dxa"/>
              <w:right w:w="85" w:type="dxa"/>
            </w:tcMar>
            <w:vAlign w:val="center"/>
          </w:tcPr>
          <w:p w14:paraId="42343330" w14:textId="77777777" w:rsidR="00EB5913" w:rsidRPr="006623B9" w:rsidRDefault="00EB5913" w:rsidP="00F16E23">
            <w:pPr>
              <w:pStyle w:val="TableText"/>
              <w:spacing w:before="40" w:after="40"/>
            </w:pPr>
            <w:r w:rsidRPr="006623B9">
              <w:rPr>
                <w:rFonts w:eastAsia="Calibri"/>
              </w:rPr>
              <w:t>Compost (CH₄)</w:t>
            </w:r>
          </w:p>
        </w:tc>
        <w:tc>
          <w:tcPr>
            <w:tcW w:w="0" w:type="auto"/>
            <w:shd w:val="clear" w:color="auto" w:fill="FFFFFF"/>
            <w:tcMar>
              <w:top w:w="0" w:type="dxa"/>
              <w:left w:w="85" w:type="dxa"/>
              <w:bottom w:w="0" w:type="dxa"/>
              <w:right w:w="85" w:type="dxa"/>
            </w:tcMar>
            <w:vAlign w:val="center"/>
          </w:tcPr>
          <w:p w14:paraId="679C975F" w14:textId="77777777" w:rsidR="00EB5913" w:rsidRPr="006623B9" w:rsidRDefault="00EB5913" w:rsidP="00F16E23">
            <w:pPr>
              <w:pStyle w:val="TableText"/>
              <w:spacing w:before="40" w:after="40"/>
            </w:pPr>
            <w:r w:rsidRPr="006623B9">
              <w:rPr>
                <w:rFonts w:eastAsia="Calibri"/>
              </w:rPr>
              <w:t>4</w:t>
            </w:r>
          </w:p>
        </w:tc>
        <w:tc>
          <w:tcPr>
            <w:tcW w:w="0" w:type="auto"/>
            <w:shd w:val="clear" w:color="auto" w:fill="FFFFFF"/>
            <w:tcMar>
              <w:top w:w="0" w:type="dxa"/>
              <w:left w:w="85" w:type="dxa"/>
              <w:bottom w:w="0" w:type="dxa"/>
              <w:right w:w="85" w:type="dxa"/>
            </w:tcMar>
            <w:vAlign w:val="center"/>
          </w:tcPr>
          <w:p w14:paraId="7D67F6AB" w14:textId="77777777" w:rsidR="00EB5913" w:rsidRPr="006623B9" w:rsidRDefault="00EB5913" w:rsidP="00F16E23">
            <w:pPr>
              <w:pStyle w:val="TableText"/>
              <w:spacing w:before="40" w:after="40"/>
            </w:pPr>
            <w:r w:rsidRPr="006623B9">
              <w:rPr>
                <w:rFonts w:eastAsia="Calibri"/>
              </w:rPr>
              <w:t>IPCC (2006a)</w:t>
            </w:r>
          </w:p>
        </w:tc>
      </w:tr>
      <w:tr w:rsidR="00EB5913" w:rsidRPr="006623B9" w14:paraId="48A95BE3" w14:textId="77777777" w:rsidTr="00F16E23">
        <w:tc>
          <w:tcPr>
            <w:tcW w:w="0" w:type="auto"/>
            <w:shd w:val="clear" w:color="auto" w:fill="FFFFFF"/>
            <w:tcMar>
              <w:top w:w="0" w:type="dxa"/>
              <w:left w:w="85" w:type="dxa"/>
              <w:bottom w:w="0" w:type="dxa"/>
              <w:right w:w="85" w:type="dxa"/>
            </w:tcMar>
            <w:vAlign w:val="center"/>
          </w:tcPr>
          <w:p w14:paraId="734DDCD9" w14:textId="77777777" w:rsidR="00EB5913" w:rsidRPr="006623B9" w:rsidRDefault="00EB5913" w:rsidP="00F16E23">
            <w:pPr>
              <w:pStyle w:val="TableText"/>
              <w:spacing w:before="40" w:after="40"/>
            </w:pPr>
            <w:r w:rsidRPr="006623B9">
              <w:rPr>
                <w:rFonts w:eastAsia="Calibri"/>
              </w:rPr>
              <w:t>Anaerobic digestion (CH₄)</w:t>
            </w:r>
          </w:p>
        </w:tc>
        <w:tc>
          <w:tcPr>
            <w:tcW w:w="0" w:type="auto"/>
            <w:shd w:val="clear" w:color="auto" w:fill="FFFFFF"/>
            <w:tcMar>
              <w:top w:w="0" w:type="dxa"/>
              <w:left w:w="85" w:type="dxa"/>
              <w:bottom w:w="0" w:type="dxa"/>
              <w:right w:w="85" w:type="dxa"/>
            </w:tcMar>
            <w:vAlign w:val="center"/>
          </w:tcPr>
          <w:p w14:paraId="0D1E60A1" w14:textId="77777777" w:rsidR="00EB5913" w:rsidRPr="006623B9" w:rsidRDefault="00EB5913" w:rsidP="00F16E23">
            <w:pPr>
              <w:pStyle w:val="TableText"/>
              <w:spacing w:before="40" w:after="40"/>
            </w:pPr>
            <w:r w:rsidRPr="006623B9">
              <w:rPr>
                <w:rFonts w:eastAsia="Calibri"/>
              </w:rPr>
              <w:t>0.8</w:t>
            </w:r>
          </w:p>
        </w:tc>
        <w:tc>
          <w:tcPr>
            <w:tcW w:w="0" w:type="auto"/>
            <w:shd w:val="clear" w:color="auto" w:fill="FFFFFF"/>
            <w:tcMar>
              <w:top w:w="0" w:type="dxa"/>
              <w:left w:w="85" w:type="dxa"/>
              <w:bottom w:w="0" w:type="dxa"/>
              <w:right w:w="85" w:type="dxa"/>
            </w:tcMar>
            <w:vAlign w:val="center"/>
          </w:tcPr>
          <w:p w14:paraId="616DB443" w14:textId="77777777" w:rsidR="00EB5913" w:rsidRPr="006623B9" w:rsidRDefault="00EB5913" w:rsidP="00F16E23">
            <w:pPr>
              <w:pStyle w:val="TableText"/>
              <w:spacing w:before="40" w:after="40"/>
            </w:pPr>
            <w:r w:rsidRPr="006623B9">
              <w:rPr>
                <w:rFonts w:eastAsia="Calibri"/>
              </w:rPr>
              <w:t>IPCC (2006a)</w:t>
            </w:r>
          </w:p>
        </w:tc>
      </w:tr>
      <w:tr w:rsidR="00EB5913" w:rsidRPr="006623B9" w14:paraId="4A90004C" w14:textId="77777777" w:rsidTr="00F16E23">
        <w:tc>
          <w:tcPr>
            <w:tcW w:w="0" w:type="auto"/>
            <w:shd w:val="clear" w:color="auto" w:fill="FFFFFF"/>
            <w:tcMar>
              <w:top w:w="0" w:type="dxa"/>
              <w:left w:w="85" w:type="dxa"/>
              <w:bottom w:w="0" w:type="dxa"/>
              <w:right w:w="85" w:type="dxa"/>
            </w:tcMar>
            <w:vAlign w:val="center"/>
          </w:tcPr>
          <w:p w14:paraId="2436DC5F" w14:textId="77777777" w:rsidR="00EB5913" w:rsidRPr="006623B9" w:rsidRDefault="00EB5913" w:rsidP="00F16E23">
            <w:pPr>
              <w:pStyle w:val="TableText"/>
              <w:spacing w:before="40" w:after="40"/>
            </w:pPr>
            <w:r w:rsidRPr="006623B9">
              <w:rPr>
                <w:rFonts w:eastAsia="Calibri"/>
              </w:rPr>
              <w:t>Compost (N₂O)</w:t>
            </w:r>
          </w:p>
        </w:tc>
        <w:tc>
          <w:tcPr>
            <w:tcW w:w="0" w:type="auto"/>
            <w:shd w:val="clear" w:color="auto" w:fill="FFFFFF"/>
            <w:tcMar>
              <w:top w:w="0" w:type="dxa"/>
              <w:left w:w="85" w:type="dxa"/>
              <w:bottom w:w="0" w:type="dxa"/>
              <w:right w:w="85" w:type="dxa"/>
            </w:tcMar>
            <w:vAlign w:val="center"/>
          </w:tcPr>
          <w:p w14:paraId="67B0F83C" w14:textId="77777777" w:rsidR="00EB5913" w:rsidRPr="006623B9" w:rsidRDefault="00EB5913" w:rsidP="00F16E23">
            <w:pPr>
              <w:pStyle w:val="TableText"/>
              <w:spacing w:before="40" w:after="40"/>
            </w:pPr>
            <w:r w:rsidRPr="006623B9">
              <w:rPr>
                <w:rFonts w:eastAsia="Calibri"/>
              </w:rPr>
              <w:t>0.24</w:t>
            </w:r>
          </w:p>
        </w:tc>
        <w:tc>
          <w:tcPr>
            <w:tcW w:w="0" w:type="auto"/>
            <w:shd w:val="clear" w:color="auto" w:fill="FFFFFF"/>
            <w:tcMar>
              <w:top w:w="0" w:type="dxa"/>
              <w:left w:w="85" w:type="dxa"/>
              <w:bottom w:w="0" w:type="dxa"/>
              <w:right w:w="85" w:type="dxa"/>
            </w:tcMar>
            <w:vAlign w:val="center"/>
          </w:tcPr>
          <w:p w14:paraId="0B2FF9D4" w14:textId="77777777" w:rsidR="00EB5913" w:rsidRPr="006623B9" w:rsidRDefault="00EB5913" w:rsidP="00F16E23">
            <w:pPr>
              <w:pStyle w:val="TableText"/>
              <w:spacing w:before="40" w:after="40"/>
            </w:pPr>
            <w:r w:rsidRPr="006623B9">
              <w:rPr>
                <w:rFonts w:eastAsia="Calibri"/>
              </w:rPr>
              <w:t>IPCC (2006a)</w:t>
            </w:r>
          </w:p>
        </w:tc>
      </w:tr>
      <w:tr w:rsidR="00EB5913" w:rsidRPr="006623B9" w14:paraId="26D60E2F" w14:textId="77777777" w:rsidTr="00F16E23">
        <w:tc>
          <w:tcPr>
            <w:tcW w:w="0" w:type="auto"/>
            <w:shd w:val="clear" w:color="auto" w:fill="FFFFFF"/>
            <w:tcMar>
              <w:top w:w="0" w:type="dxa"/>
              <w:left w:w="85" w:type="dxa"/>
              <w:bottom w:w="0" w:type="dxa"/>
              <w:right w:w="85" w:type="dxa"/>
            </w:tcMar>
            <w:vAlign w:val="center"/>
          </w:tcPr>
          <w:p w14:paraId="11684BFD" w14:textId="77777777" w:rsidR="00EB5913" w:rsidRPr="006623B9" w:rsidRDefault="00EB5913" w:rsidP="00F16E23">
            <w:pPr>
              <w:pStyle w:val="TableText"/>
              <w:spacing w:before="40" w:after="40"/>
            </w:pPr>
            <w:r w:rsidRPr="006623B9">
              <w:rPr>
                <w:rFonts w:eastAsia="Calibri"/>
              </w:rPr>
              <w:t>Anaerobic digestion (N₂O)</w:t>
            </w:r>
          </w:p>
        </w:tc>
        <w:tc>
          <w:tcPr>
            <w:tcW w:w="0" w:type="auto"/>
            <w:shd w:val="clear" w:color="auto" w:fill="FFFFFF"/>
            <w:tcMar>
              <w:top w:w="0" w:type="dxa"/>
              <w:left w:w="85" w:type="dxa"/>
              <w:bottom w:w="0" w:type="dxa"/>
              <w:right w:w="85" w:type="dxa"/>
            </w:tcMar>
            <w:vAlign w:val="center"/>
          </w:tcPr>
          <w:p w14:paraId="6937DD5C" w14:textId="77777777" w:rsidR="00EB5913" w:rsidRPr="006623B9" w:rsidRDefault="00EB5913" w:rsidP="00F16E23">
            <w:pPr>
              <w:pStyle w:val="TableText"/>
              <w:spacing w:before="40" w:after="40"/>
            </w:pPr>
            <w:r w:rsidRPr="006623B9">
              <w:rPr>
                <w:rFonts w:eastAsia="Calibri"/>
              </w:rPr>
              <w:t>Assumed negligible</w:t>
            </w:r>
          </w:p>
        </w:tc>
        <w:tc>
          <w:tcPr>
            <w:tcW w:w="0" w:type="auto"/>
            <w:shd w:val="clear" w:color="auto" w:fill="FFFFFF"/>
            <w:tcMar>
              <w:top w:w="0" w:type="dxa"/>
              <w:left w:w="85" w:type="dxa"/>
              <w:bottom w:w="0" w:type="dxa"/>
              <w:right w:w="85" w:type="dxa"/>
            </w:tcMar>
            <w:vAlign w:val="center"/>
          </w:tcPr>
          <w:p w14:paraId="1F33F1F5" w14:textId="77777777" w:rsidR="00EB5913" w:rsidRPr="006623B9" w:rsidRDefault="00EB5913" w:rsidP="00F16E23">
            <w:pPr>
              <w:pStyle w:val="TableText"/>
              <w:spacing w:before="40" w:after="40"/>
            </w:pPr>
            <w:r w:rsidRPr="006623B9">
              <w:rPr>
                <w:rFonts w:eastAsia="Calibri"/>
              </w:rPr>
              <w:t>IPCC (2006a)</w:t>
            </w:r>
          </w:p>
        </w:tc>
      </w:tr>
    </w:tbl>
    <w:p w14:paraId="7CEAF42B" w14:textId="77777777" w:rsidR="00EB5913" w:rsidRPr="006623B9" w:rsidRDefault="00EB5913" w:rsidP="00EB5913">
      <w:pPr>
        <w:pStyle w:val="BodyText"/>
        <w:spacing w:before="240"/>
      </w:pPr>
      <w:r w:rsidRPr="006623B9">
        <w:t>The emission factors are sourced from table 4.1, chapter 4 of volume 5 of the 2006 IPCC Guidelines (IPCC, 2006a).</w:t>
      </w:r>
    </w:p>
    <w:p w14:paraId="5CA60051" w14:textId="77777777" w:rsidR="00EB5913" w:rsidRPr="006623B9" w:rsidRDefault="00EB5913" w:rsidP="00EB5913">
      <w:pPr>
        <w:pStyle w:val="Heading3"/>
      </w:pPr>
      <w:bookmarkStart w:id="3060" w:name="Xd140d158be0ceb5e383d4bdfbb982c81db38f88"/>
      <w:bookmarkEnd w:id="3053"/>
      <w:bookmarkEnd w:id="3058"/>
      <w:r w:rsidRPr="006623B9">
        <w:t xml:space="preserve">7.3.3 </w:t>
      </w:r>
      <w:r w:rsidRPr="006623B9">
        <w:tab/>
        <w:t>Uncertainty assessment and time-series consistency</w:t>
      </w:r>
    </w:p>
    <w:p w14:paraId="67671670" w14:textId="77777777" w:rsidR="00EB5913" w:rsidRPr="006623B9" w:rsidRDefault="00EB5913" w:rsidP="00EB5913">
      <w:pPr>
        <w:pStyle w:val="Heading4"/>
        <w:spacing w:before="180"/>
      </w:pPr>
      <w:bookmarkStart w:id="3061" w:name="uncertainties-2"/>
      <w:r w:rsidRPr="006623B9">
        <w:t>Uncertainties</w:t>
      </w:r>
    </w:p>
    <w:p w14:paraId="78D4BFEB" w14:textId="77777777" w:rsidR="00EB5913" w:rsidRPr="006623B9" w:rsidRDefault="00EB5913" w:rsidP="00EB5913">
      <w:pPr>
        <w:pStyle w:val="BodyText"/>
      </w:pPr>
      <w:r w:rsidRPr="006623B9">
        <w:t xml:space="preserve">In accordance with the 2006 IPCC Guidelines (IPCC, 2006a), uncertainties in activity data can exceed ±&gt;100 percent when data quality is poor or limited. For </w:t>
      </w:r>
      <w:r w:rsidRPr="006623B9">
        <w:rPr>
          <w:i/>
          <w:iCs/>
        </w:rPr>
        <w:t>Composting</w:t>
      </w:r>
      <w:r w:rsidRPr="006623B9">
        <w:t xml:space="preserve">, an uncertainty of ±100 percent is applied, reflecting the limited availability of high-quality data. For </w:t>
      </w:r>
      <w:r w:rsidRPr="006623B9">
        <w:rPr>
          <w:i/>
          <w:iCs/>
        </w:rPr>
        <w:t>Anaerobic digestion</w:t>
      </w:r>
      <w:r w:rsidRPr="006623B9">
        <w:t xml:space="preserve">, an uncertainty in activity data of ±90 percent has been estimated, consistent with the approach used for the </w:t>
      </w:r>
      <w:r w:rsidRPr="006623B9">
        <w:rPr>
          <w:i/>
          <w:iCs/>
        </w:rPr>
        <w:t>Managed</w:t>
      </w:r>
      <w:r w:rsidRPr="006623B9">
        <w:t xml:space="preserve"> and </w:t>
      </w:r>
      <w:r w:rsidRPr="006623B9">
        <w:rPr>
          <w:i/>
          <w:iCs/>
        </w:rPr>
        <w:t>Unmanaged SWDS</w:t>
      </w:r>
      <w:r w:rsidRPr="006623B9">
        <w:t xml:space="preserve"> subcategories, because data were obtained directly from the facility operator.</w:t>
      </w:r>
    </w:p>
    <w:p w14:paraId="14D39688" w14:textId="77777777" w:rsidR="00EB5913" w:rsidRPr="006623B9" w:rsidRDefault="00EB5913" w:rsidP="00EB5913">
      <w:pPr>
        <w:pStyle w:val="BodyText"/>
      </w:pPr>
      <w:r w:rsidRPr="006623B9">
        <w:t xml:space="preserve">Uncertainties in emission factors are derived from the variability of the emission factors relative to the IPCC default (IPCC, 2006a). For </w:t>
      </w:r>
      <w:r w:rsidRPr="006623B9">
        <w:rPr>
          <w:i/>
          <w:iCs/>
        </w:rPr>
        <w:t>Composting</w:t>
      </w:r>
      <w:r w:rsidRPr="006623B9">
        <w:t xml:space="preserve"> and </w:t>
      </w:r>
      <w:r w:rsidRPr="006623B9">
        <w:rPr>
          <w:i/>
          <w:iCs/>
        </w:rPr>
        <w:t>Anaerobic digestion</w:t>
      </w:r>
      <w:r w:rsidRPr="006623B9">
        <w:t xml:space="preserve">, the default </w:t>
      </w:r>
      <w:r w:rsidRPr="006623B9">
        <w:rPr>
          <w:spacing w:val="-2"/>
        </w:rPr>
        <w:t>CH</w:t>
      </w:r>
      <w:r w:rsidRPr="006623B9">
        <w:rPr>
          <w:spacing w:val="-2"/>
          <w:vertAlign w:val="subscript"/>
        </w:rPr>
        <w:t>4</w:t>
      </w:r>
      <w:r w:rsidRPr="006623B9">
        <w:rPr>
          <w:spacing w:val="-2"/>
        </w:rPr>
        <w:t xml:space="preserve"> emission factor has an uncertainty of approximately ±100 percent. The N</w:t>
      </w:r>
      <w:r w:rsidRPr="006623B9">
        <w:rPr>
          <w:spacing w:val="-2"/>
          <w:vertAlign w:val="subscript"/>
        </w:rPr>
        <w:t>2</w:t>
      </w:r>
      <w:r w:rsidRPr="006623B9">
        <w:rPr>
          <w:spacing w:val="-2"/>
        </w:rPr>
        <w:t>O emission factor</w:t>
      </w:r>
      <w:r w:rsidRPr="006623B9">
        <w:t xml:space="preserve"> for composting exhibits a range of +150 percent to -75 percent, so the uncertainty is given as ±150 percent. In contrast, the N</w:t>
      </w:r>
      <w:r w:rsidRPr="006623B9">
        <w:rPr>
          <w:vertAlign w:val="subscript"/>
        </w:rPr>
        <w:t>2</w:t>
      </w:r>
      <w:r w:rsidRPr="006623B9">
        <w:t>O emission factor for anaerobic digestion is considered negligible, and its uncertainty is reported as ‘not applicable’.</w:t>
      </w:r>
    </w:p>
    <w:p w14:paraId="14429223" w14:textId="77777777" w:rsidR="00EB5913" w:rsidRPr="006623B9" w:rsidRDefault="00EB5913" w:rsidP="00EB5913">
      <w:pPr>
        <w:pStyle w:val="BodyText"/>
      </w:pPr>
      <w:r w:rsidRPr="006623B9">
        <w:t xml:space="preserve">Table 7.3.3 summarises the uncertainties associated with </w:t>
      </w:r>
      <w:r w:rsidRPr="006623B9">
        <w:rPr>
          <w:i/>
          <w:iCs/>
        </w:rPr>
        <w:t>Composting</w:t>
      </w:r>
      <w:r w:rsidRPr="006623B9">
        <w:t xml:space="preserve"> and </w:t>
      </w:r>
      <w:r w:rsidRPr="006623B9">
        <w:rPr>
          <w:i/>
          <w:iCs/>
        </w:rPr>
        <w:t>Anaerobic digestion</w:t>
      </w:r>
      <w:r w:rsidRPr="006623B9">
        <w:t>.</w:t>
      </w:r>
    </w:p>
    <w:p w14:paraId="58ECFB11" w14:textId="77777777" w:rsidR="00EB5913" w:rsidRPr="006623B9" w:rsidRDefault="00EB5913" w:rsidP="00EB5913">
      <w:pPr>
        <w:pStyle w:val="Table"/>
      </w:pPr>
      <w:bookmarkStart w:id="3062" w:name="_Toc226669113"/>
      <w:r w:rsidRPr="006623B9">
        <w:t xml:space="preserve">Table 7.3.3 </w:t>
      </w:r>
      <w:r w:rsidRPr="006623B9">
        <w:tab/>
        <w:t xml:space="preserve">Uncertainty in emissions from </w:t>
      </w:r>
      <w:r w:rsidRPr="006623B9">
        <w:rPr>
          <w:i/>
          <w:iCs/>
        </w:rPr>
        <w:t>Composting</w:t>
      </w:r>
      <w:r w:rsidRPr="006623B9">
        <w:t xml:space="preserve"> and </w:t>
      </w:r>
      <w:r w:rsidRPr="006623B9">
        <w:rPr>
          <w:i/>
          <w:iCs/>
        </w:rPr>
        <w:t>Anaerobic digestion</w:t>
      </w:r>
      <w:bookmarkEnd w:id="306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395"/>
        <w:gridCol w:w="2880"/>
        <w:gridCol w:w="3219"/>
      </w:tblGrid>
      <w:tr w:rsidR="00EB5913" w:rsidRPr="006623B9" w14:paraId="66794B2A" w14:textId="77777777" w:rsidTr="00F16E23">
        <w:trPr>
          <w:tblHeader/>
        </w:trPr>
        <w:tc>
          <w:tcPr>
            <w:tcW w:w="0" w:type="auto"/>
            <w:shd w:val="clear" w:color="auto" w:fill="1B556B"/>
            <w:tcMar>
              <w:top w:w="0" w:type="dxa"/>
              <w:left w:w="85" w:type="dxa"/>
              <w:bottom w:w="0" w:type="dxa"/>
              <w:right w:w="85" w:type="dxa"/>
            </w:tcMar>
            <w:vAlign w:val="center"/>
          </w:tcPr>
          <w:p w14:paraId="1668976A"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458587FD"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2EBEBD84"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Uncertainty in emission factors (%)</w:t>
            </w:r>
          </w:p>
        </w:tc>
      </w:tr>
      <w:tr w:rsidR="00EB5913" w:rsidRPr="006623B9" w14:paraId="7E764045" w14:textId="77777777" w:rsidTr="00F16E23">
        <w:tc>
          <w:tcPr>
            <w:tcW w:w="0" w:type="auto"/>
            <w:shd w:val="clear" w:color="auto" w:fill="FFFFFF"/>
            <w:tcMar>
              <w:top w:w="0" w:type="dxa"/>
              <w:left w:w="85" w:type="dxa"/>
              <w:bottom w:w="0" w:type="dxa"/>
              <w:right w:w="85" w:type="dxa"/>
            </w:tcMar>
            <w:vAlign w:val="center"/>
          </w:tcPr>
          <w:p w14:paraId="56457EC5" w14:textId="77777777" w:rsidR="00EB5913" w:rsidRPr="006623B9" w:rsidRDefault="00EB5913" w:rsidP="00F16E23">
            <w:pPr>
              <w:pStyle w:val="TableText"/>
              <w:spacing w:before="40" w:after="40"/>
            </w:pPr>
            <w:r w:rsidRPr="006623B9">
              <w:rPr>
                <w:rFonts w:eastAsia="Calibri"/>
                <w:i/>
                <w:iCs/>
              </w:rPr>
              <w:t>Composting</w:t>
            </w:r>
            <w:r w:rsidRPr="006623B9">
              <w:rPr>
                <w:rFonts w:eastAsia="Calibri"/>
              </w:rPr>
              <w:t xml:space="preserve"> (CH₄)</w:t>
            </w:r>
          </w:p>
        </w:tc>
        <w:tc>
          <w:tcPr>
            <w:tcW w:w="0" w:type="auto"/>
            <w:shd w:val="clear" w:color="auto" w:fill="FFFFFF"/>
            <w:tcMar>
              <w:top w:w="0" w:type="dxa"/>
              <w:left w:w="85" w:type="dxa"/>
              <w:bottom w:w="0" w:type="dxa"/>
              <w:right w:w="85" w:type="dxa"/>
            </w:tcMar>
            <w:vAlign w:val="center"/>
          </w:tcPr>
          <w:p w14:paraId="431D36B7" w14:textId="77777777" w:rsidR="00EB5913" w:rsidRPr="006623B9" w:rsidRDefault="00EB5913" w:rsidP="00F16E23">
            <w:pPr>
              <w:pStyle w:val="TableText"/>
              <w:spacing w:before="40" w:after="40"/>
              <w:jc w:val="right"/>
            </w:pPr>
            <w:r w:rsidRPr="006623B9">
              <w:rPr>
                <w:rFonts w:eastAsia="Calibri"/>
              </w:rPr>
              <w:t>±100</w:t>
            </w:r>
          </w:p>
        </w:tc>
        <w:tc>
          <w:tcPr>
            <w:tcW w:w="0" w:type="auto"/>
            <w:shd w:val="clear" w:color="auto" w:fill="FFFFFF"/>
            <w:tcMar>
              <w:top w:w="0" w:type="dxa"/>
              <w:left w:w="85" w:type="dxa"/>
              <w:bottom w:w="0" w:type="dxa"/>
              <w:right w:w="85" w:type="dxa"/>
            </w:tcMar>
            <w:vAlign w:val="center"/>
          </w:tcPr>
          <w:p w14:paraId="52C8DA94" w14:textId="77777777" w:rsidR="00EB5913" w:rsidRPr="006623B9" w:rsidRDefault="00EB5913" w:rsidP="00F16E23">
            <w:pPr>
              <w:pStyle w:val="TableText"/>
              <w:spacing w:before="40" w:after="40"/>
              <w:jc w:val="right"/>
            </w:pPr>
            <w:r w:rsidRPr="006623B9">
              <w:rPr>
                <w:rFonts w:eastAsia="Calibri"/>
              </w:rPr>
              <w:t>±100</w:t>
            </w:r>
          </w:p>
        </w:tc>
      </w:tr>
      <w:tr w:rsidR="00EB5913" w:rsidRPr="006623B9" w14:paraId="3517FCF9" w14:textId="77777777" w:rsidTr="00F16E23">
        <w:tc>
          <w:tcPr>
            <w:tcW w:w="0" w:type="auto"/>
            <w:shd w:val="clear" w:color="auto" w:fill="FFFFFF"/>
            <w:tcMar>
              <w:top w:w="0" w:type="dxa"/>
              <w:left w:w="85" w:type="dxa"/>
              <w:bottom w:w="0" w:type="dxa"/>
              <w:right w:w="85" w:type="dxa"/>
            </w:tcMar>
            <w:vAlign w:val="center"/>
          </w:tcPr>
          <w:p w14:paraId="198C9579" w14:textId="77777777" w:rsidR="00EB5913" w:rsidRPr="006623B9" w:rsidRDefault="00EB5913" w:rsidP="00F16E23">
            <w:pPr>
              <w:pStyle w:val="TableText"/>
              <w:spacing w:before="40" w:after="40"/>
            </w:pPr>
            <w:r w:rsidRPr="006623B9">
              <w:rPr>
                <w:rFonts w:eastAsia="Calibri"/>
                <w:i/>
                <w:iCs/>
              </w:rPr>
              <w:t>Composting</w:t>
            </w:r>
            <w:r w:rsidRPr="006623B9">
              <w:rPr>
                <w:rFonts w:eastAsia="Calibri"/>
              </w:rPr>
              <w:t xml:space="preserve"> (N₂O)</w:t>
            </w:r>
          </w:p>
        </w:tc>
        <w:tc>
          <w:tcPr>
            <w:tcW w:w="0" w:type="auto"/>
            <w:shd w:val="clear" w:color="auto" w:fill="FFFFFF"/>
            <w:tcMar>
              <w:top w:w="0" w:type="dxa"/>
              <w:left w:w="85" w:type="dxa"/>
              <w:bottom w:w="0" w:type="dxa"/>
              <w:right w:w="85" w:type="dxa"/>
            </w:tcMar>
            <w:vAlign w:val="center"/>
          </w:tcPr>
          <w:p w14:paraId="414F06EB" w14:textId="77777777" w:rsidR="00EB5913" w:rsidRPr="006623B9" w:rsidRDefault="00EB5913" w:rsidP="00F16E23">
            <w:pPr>
              <w:pStyle w:val="TableText"/>
              <w:spacing w:before="40" w:after="40"/>
              <w:jc w:val="right"/>
            </w:pPr>
            <w:r w:rsidRPr="006623B9">
              <w:rPr>
                <w:rFonts w:eastAsia="Calibri"/>
              </w:rPr>
              <w:t>±100</w:t>
            </w:r>
          </w:p>
        </w:tc>
        <w:tc>
          <w:tcPr>
            <w:tcW w:w="0" w:type="auto"/>
            <w:shd w:val="clear" w:color="auto" w:fill="FFFFFF"/>
            <w:tcMar>
              <w:top w:w="0" w:type="dxa"/>
              <w:left w:w="85" w:type="dxa"/>
              <w:bottom w:w="0" w:type="dxa"/>
              <w:right w:w="85" w:type="dxa"/>
            </w:tcMar>
            <w:vAlign w:val="center"/>
          </w:tcPr>
          <w:p w14:paraId="0FC9358C" w14:textId="77777777" w:rsidR="00EB5913" w:rsidRPr="006623B9" w:rsidRDefault="00EB5913" w:rsidP="00F16E23">
            <w:pPr>
              <w:pStyle w:val="TableText"/>
              <w:spacing w:before="40" w:after="40"/>
              <w:jc w:val="right"/>
            </w:pPr>
            <w:r w:rsidRPr="006623B9">
              <w:rPr>
                <w:rFonts w:eastAsia="Calibri"/>
              </w:rPr>
              <w:t>±150</w:t>
            </w:r>
          </w:p>
        </w:tc>
      </w:tr>
      <w:tr w:rsidR="00EB5913" w:rsidRPr="006623B9" w14:paraId="76464AEF" w14:textId="77777777" w:rsidTr="00F16E23">
        <w:tc>
          <w:tcPr>
            <w:tcW w:w="0" w:type="auto"/>
            <w:shd w:val="clear" w:color="auto" w:fill="FFFFFF"/>
            <w:tcMar>
              <w:top w:w="0" w:type="dxa"/>
              <w:left w:w="85" w:type="dxa"/>
              <w:bottom w:w="0" w:type="dxa"/>
              <w:right w:w="85" w:type="dxa"/>
            </w:tcMar>
            <w:vAlign w:val="center"/>
          </w:tcPr>
          <w:p w14:paraId="7450B060" w14:textId="77777777" w:rsidR="00EB5913" w:rsidRPr="006623B9" w:rsidRDefault="00EB5913" w:rsidP="00F16E23">
            <w:pPr>
              <w:pStyle w:val="TableText"/>
              <w:spacing w:before="40" w:after="40"/>
            </w:pPr>
            <w:r w:rsidRPr="006623B9">
              <w:rPr>
                <w:rFonts w:eastAsia="Calibri"/>
                <w:i/>
                <w:iCs/>
              </w:rPr>
              <w:t>Anaerobic digestion</w:t>
            </w:r>
            <w:r w:rsidRPr="006623B9">
              <w:rPr>
                <w:rFonts w:eastAsia="Calibri"/>
              </w:rPr>
              <w:t xml:space="preserve"> (CH₄)</w:t>
            </w:r>
          </w:p>
        </w:tc>
        <w:tc>
          <w:tcPr>
            <w:tcW w:w="0" w:type="auto"/>
            <w:shd w:val="clear" w:color="auto" w:fill="FFFFFF"/>
            <w:tcMar>
              <w:top w:w="0" w:type="dxa"/>
              <w:left w:w="85" w:type="dxa"/>
              <w:bottom w:w="0" w:type="dxa"/>
              <w:right w:w="85" w:type="dxa"/>
            </w:tcMar>
            <w:vAlign w:val="center"/>
          </w:tcPr>
          <w:p w14:paraId="568B3D7F" w14:textId="77777777" w:rsidR="00EB5913" w:rsidRPr="006623B9" w:rsidRDefault="00EB5913" w:rsidP="00F16E23">
            <w:pPr>
              <w:pStyle w:val="TableText"/>
              <w:spacing w:before="40" w:after="40"/>
              <w:jc w:val="right"/>
            </w:pPr>
            <w:r w:rsidRPr="006623B9">
              <w:rPr>
                <w:rFonts w:eastAsia="Calibri"/>
              </w:rPr>
              <w:t>±90</w:t>
            </w:r>
          </w:p>
        </w:tc>
        <w:tc>
          <w:tcPr>
            <w:tcW w:w="0" w:type="auto"/>
            <w:shd w:val="clear" w:color="auto" w:fill="FFFFFF"/>
            <w:tcMar>
              <w:top w:w="0" w:type="dxa"/>
              <w:left w:w="85" w:type="dxa"/>
              <w:bottom w:w="0" w:type="dxa"/>
              <w:right w:w="85" w:type="dxa"/>
            </w:tcMar>
            <w:vAlign w:val="center"/>
          </w:tcPr>
          <w:p w14:paraId="36C31D42" w14:textId="77777777" w:rsidR="00EB5913" w:rsidRPr="006623B9" w:rsidRDefault="00EB5913" w:rsidP="00F16E23">
            <w:pPr>
              <w:pStyle w:val="TableText"/>
              <w:spacing w:before="40" w:after="40"/>
              <w:jc w:val="right"/>
            </w:pPr>
            <w:r w:rsidRPr="006623B9">
              <w:rPr>
                <w:rFonts w:eastAsia="Calibri"/>
              </w:rPr>
              <w:t>±100</w:t>
            </w:r>
          </w:p>
        </w:tc>
      </w:tr>
      <w:tr w:rsidR="00EB5913" w:rsidRPr="006623B9" w14:paraId="2BA6FC84" w14:textId="77777777" w:rsidTr="00F16E23">
        <w:tc>
          <w:tcPr>
            <w:tcW w:w="0" w:type="auto"/>
            <w:shd w:val="clear" w:color="auto" w:fill="FFFFFF"/>
            <w:tcMar>
              <w:top w:w="0" w:type="dxa"/>
              <w:left w:w="85" w:type="dxa"/>
              <w:bottom w:w="0" w:type="dxa"/>
              <w:right w:w="85" w:type="dxa"/>
            </w:tcMar>
            <w:vAlign w:val="center"/>
          </w:tcPr>
          <w:p w14:paraId="01B5AA7D" w14:textId="77777777" w:rsidR="00EB5913" w:rsidRPr="006623B9" w:rsidRDefault="00EB5913" w:rsidP="00F16E23">
            <w:pPr>
              <w:pStyle w:val="TableText"/>
              <w:spacing w:before="40" w:after="40"/>
            </w:pPr>
            <w:r w:rsidRPr="006623B9">
              <w:rPr>
                <w:rFonts w:eastAsia="Calibri"/>
                <w:i/>
                <w:iCs/>
              </w:rPr>
              <w:t>Anaerobic digestion</w:t>
            </w:r>
            <w:r w:rsidRPr="006623B9">
              <w:rPr>
                <w:rFonts w:eastAsia="Calibri"/>
              </w:rPr>
              <w:t xml:space="preserve"> (N₂O)</w:t>
            </w:r>
          </w:p>
        </w:tc>
        <w:tc>
          <w:tcPr>
            <w:tcW w:w="0" w:type="auto"/>
            <w:shd w:val="clear" w:color="auto" w:fill="FFFFFF"/>
            <w:tcMar>
              <w:top w:w="0" w:type="dxa"/>
              <w:left w:w="85" w:type="dxa"/>
              <w:bottom w:w="0" w:type="dxa"/>
              <w:right w:w="85" w:type="dxa"/>
            </w:tcMar>
            <w:vAlign w:val="center"/>
          </w:tcPr>
          <w:p w14:paraId="315A3409" w14:textId="77777777" w:rsidR="00EB5913" w:rsidRPr="006623B9" w:rsidRDefault="00EB5913" w:rsidP="00F16E23">
            <w:pPr>
              <w:pStyle w:val="TableText"/>
              <w:spacing w:before="40" w:after="40"/>
              <w:jc w:val="right"/>
            </w:pPr>
            <w:r w:rsidRPr="006623B9">
              <w:rPr>
                <w:rFonts w:eastAsia="Calibri"/>
              </w:rPr>
              <w:t>NA</w:t>
            </w:r>
          </w:p>
        </w:tc>
        <w:tc>
          <w:tcPr>
            <w:tcW w:w="0" w:type="auto"/>
            <w:shd w:val="clear" w:color="auto" w:fill="FFFFFF"/>
            <w:tcMar>
              <w:top w:w="0" w:type="dxa"/>
              <w:left w:w="85" w:type="dxa"/>
              <w:bottom w:w="0" w:type="dxa"/>
              <w:right w:w="85" w:type="dxa"/>
            </w:tcMar>
            <w:vAlign w:val="center"/>
          </w:tcPr>
          <w:p w14:paraId="6C8B00B4" w14:textId="77777777" w:rsidR="00EB5913" w:rsidRPr="006623B9" w:rsidRDefault="00EB5913" w:rsidP="00F16E23">
            <w:pPr>
              <w:pStyle w:val="TableText"/>
              <w:spacing w:before="40" w:after="40"/>
              <w:jc w:val="right"/>
            </w:pPr>
            <w:r w:rsidRPr="006623B9">
              <w:rPr>
                <w:rFonts w:eastAsia="Calibri"/>
              </w:rPr>
              <w:t>NA</w:t>
            </w:r>
          </w:p>
        </w:tc>
      </w:tr>
    </w:tbl>
    <w:p w14:paraId="403228FF" w14:textId="77777777" w:rsidR="00EB5913" w:rsidRPr="006623B9" w:rsidRDefault="00EB5913" w:rsidP="00EB5913">
      <w:pPr>
        <w:pStyle w:val="Noteundertable"/>
      </w:pPr>
      <w:r w:rsidRPr="006623B9">
        <w:rPr>
          <w:b/>
          <w:bCs/>
        </w:rPr>
        <w:t>Note:</w:t>
      </w:r>
      <w:r w:rsidRPr="006623B9">
        <w:t xml:space="preserve"> </w:t>
      </w:r>
      <w:r w:rsidRPr="006623B9">
        <w:tab/>
        <w:t>NA = not applicable.</w:t>
      </w:r>
    </w:p>
    <w:p w14:paraId="5F5B9EB1" w14:textId="77777777" w:rsidR="00EB5913" w:rsidRPr="006623B9" w:rsidRDefault="00EB5913" w:rsidP="00EB5913">
      <w:pPr>
        <w:pStyle w:val="Heading4"/>
      </w:pPr>
      <w:bookmarkStart w:id="3063" w:name="time-series-consistency-1"/>
      <w:bookmarkEnd w:id="3061"/>
      <w:r w:rsidRPr="006623B9">
        <w:t>Time-series consistency</w:t>
      </w:r>
    </w:p>
    <w:p w14:paraId="58E3E742" w14:textId="77777777" w:rsidR="00EB5913" w:rsidRPr="006623B9" w:rsidRDefault="00EB5913" w:rsidP="00EB5913">
      <w:pPr>
        <w:pStyle w:val="BodyText"/>
      </w:pPr>
      <w:r w:rsidRPr="006623B9">
        <w:t>Time-series consistency is maintained by applying consistent models and parameters across the entire reporting period.</w:t>
      </w:r>
    </w:p>
    <w:p w14:paraId="3A2BAB97" w14:textId="77777777" w:rsidR="00EB5913" w:rsidRPr="006623B9" w:rsidRDefault="00EB5913" w:rsidP="00EB5913">
      <w:pPr>
        <w:pStyle w:val="Heading3"/>
        <w:spacing w:before="280"/>
      </w:pPr>
      <w:bookmarkStart w:id="3064" w:name="category-specific-qaqc-and-verification"/>
      <w:bookmarkEnd w:id="3060"/>
      <w:bookmarkEnd w:id="3063"/>
      <w:r w:rsidRPr="006623B9">
        <w:t xml:space="preserve">7.3.4 </w:t>
      </w:r>
      <w:r w:rsidRPr="006623B9">
        <w:tab/>
        <w:t>Category-specific QA/QC and verification</w:t>
      </w:r>
    </w:p>
    <w:p w14:paraId="386286D0" w14:textId="77777777" w:rsidR="00EB5913" w:rsidRPr="006623B9" w:rsidRDefault="00EB5913" w:rsidP="00EB5913">
      <w:pPr>
        <w:pStyle w:val="BodyText"/>
      </w:pPr>
      <w:r w:rsidRPr="006623B9">
        <w:t>Given the relatively small contributions of these emissions, basic quality-assurance and quality</w:t>
      </w:r>
      <w:r w:rsidRPr="006623B9">
        <w:noBreakHyphen/>
        <w:t xml:space="preserve">control checks were applied. Detailed quality-assurance and quality-control efforts for the Waste sector are primarily focused on categories such as </w:t>
      </w:r>
      <w:r w:rsidRPr="006623B9">
        <w:rPr>
          <w:i/>
          <w:iCs/>
        </w:rPr>
        <w:t>Solid waste disposal</w:t>
      </w:r>
      <w:r w:rsidRPr="006623B9">
        <w:t xml:space="preserve"> to land and </w:t>
      </w:r>
      <w:r w:rsidRPr="006623B9">
        <w:rPr>
          <w:i/>
          <w:iCs/>
        </w:rPr>
        <w:t>Wastewater treatment and discharge</w:t>
      </w:r>
      <w:r w:rsidRPr="006623B9">
        <w:t>.</w:t>
      </w:r>
    </w:p>
    <w:p w14:paraId="36DAB3ED" w14:textId="77777777" w:rsidR="00EB5913" w:rsidRPr="006623B9" w:rsidRDefault="00EB5913" w:rsidP="00EB5913">
      <w:pPr>
        <w:pStyle w:val="Heading3"/>
        <w:spacing w:before="320"/>
      </w:pPr>
      <w:bookmarkStart w:id="3065" w:name="category-specific-recalculations-1"/>
      <w:bookmarkEnd w:id="3064"/>
      <w:r w:rsidRPr="006623B9">
        <w:t xml:space="preserve">7.3.5 </w:t>
      </w:r>
      <w:r w:rsidRPr="006623B9">
        <w:tab/>
        <w:t>Category-specific recalculations</w:t>
      </w:r>
    </w:p>
    <w:p w14:paraId="7F35672E" w14:textId="77777777" w:rsidR="00EB5913" w:rsidRPr="006623B9" w:rsidRDefault="00EB5913" w:rsidP="00EB5913">
      <w:pPr>
        <w:pStyle w:val="BodyText"/>
      </w:pPr>
      <w:r w:rsidRPr="006623B9">
        <w:t xml:space="preserve">Improvements and recalculations to estimates in the </w:t>
      </w:r>
      <w:r w:rsidRPr="006623B9">
        <w:rPr>
          <w:i/>
          <w:iCs/>
        </w:rPr>
        <w:t>Biological treatment of solid waste</w:t>
      </w:r>
      <w:r w:rsidRPr="006623B9">
        <w:t xml:space="preserve"> category have not changed in 1990 and 2005, and have decreased by 0.1 (0.1 kt CO</w:t>
      </w:r>
      <w:r w:rsidRPr="006623B9">
        <w:rPr>
          <w:vertAlign w:val="subscript"/>
        </w:rPr>
        <w:t>2</w:t>
      </w:r>
      <w:r w:rsidRPr="006623B9">
        <w:t>e) in 2023, compared with the previous submission.</w:t>
      </w:r>
    </w:p>
    <w:p w14:paraId="3EC458FB" w14:textId="77777777" w:rsidR="00EB5913" w:rsidRPr="006623B9" w:rsidRDefault="00EB5913" w:rsidP="00EB5913">
      <w:pPr>
        <w:pStyle w:val="Heading3"/>
        <w:spacing w:before="320"/>
      </w:pPr>
      <w:bookmarkStart w:id="3066" w:name="category-specific-planned-improvements-1"/>
      <w:bookmarkEnd w:id="3065"/>
      <w:r w:rsidRPr="006623B9">
        <w:t xml:space="preserve">7.3.6 </w:t>
      </w:r>
      <w:r w:rsidRPr="006623B9">
        <w:tab/>
        <w:t>Category-specific planned improvements</w:t>
      </w:r>
    </w:p>
    <w:p w14:paraId="0D966609" w14:textId="77777777" w:rsidR="00EB5913" w:rsidRPr="006623B9" w:rsidRDefault="00EB5913" w:rsidP="00EB5913">
      <w:pPr>
        <w:pStyle w:val="BodyText"/>
      </w:pPr>
      <w:r w:rsidRPr="006623B9">
        <w:t xml:space="preserve">No specific improvements are currently planned for the </w:t>
      </w:r>
      <w:r w:rsidRPr="006623B9">
        <w:rPr>
          <w:i/>
          <w:iCs/>
        </w:rPr>
        <w:t>Composting</w:t>
      </w:r>
      <w:r w:rsidRPr="006623B9">
        <w:t xml:space="preserve"> and </w:t>
      </w:r>
      <w:r w:rsidRPr="006623B9">
        <w:rPr>
          <w:i/>
          <w:iCs/>
        </w:rPr>
        <w:t>Anaerobic digestion</w:t>
      </w:r>
      <w:r w:rsidRPr="006623B9">
        <w:t xml:space="preserve"> source categories.</w:t>
      </w:r>
    </w:p>
    <w:p w14:paraId="5DD51A5E" w14:textId="77777777" w:rsidR="00EB5913" w:rsidRPr="006623B9" w:rsidRDefault="00EB5913" w:rsidP="00EB5913">
      <w:pPr>
        <w:pStyle w:val="Heading2"/>
        <w:spacing w:before="320"/>
      </w:pPr>
      <w:bookmarkStart w:id="3067" w:name="_Toc226460797"/>
      <w:bookmarkStart w:id="3068" w:name="X4f2eb840ef6efa4b4133eb3374d048d378818bb"/>
      <w:bookmarkEnd w:id="3050"/>
      <w:bookmarkEnd w:id="3066"/>
      <w:r w:rsidRPr="006623B9">
        <w:t xml:space="preserve">7.4 </w:t>
      </w:r>
      <w:r w:rsidRPr="006623B9">
        <w:tab/>
        <w:t>Incineration and open burning of waste (5.C)</w:t>
      </w:r>
      <w:bookmarkEnd w:id="3067"/>
    </w:p>
    <w:p w14:paraId="536183B4" w14:textId="77777777" w:rsidR="00EB5913" w:rsidRPr="006623B9" w:rsidRDefault="00EB5913" w:rsidP="00EB5913">
      <w:pPr>
        <w:pStyle w:val="Heading3"/>
        <w:spacing w:before="240"/>
      </w:pPr>
      <w:bookmarkStart w:id="3069" w:name="description-2"/>
      <w:r w:rsidRPr="006623B9">
        <w:t xml:space="preserve">7.4.1 </w:t>
      </w:r>
      <w:r w:rsidRPr="006623B9">
        <w:tab/>
        <w:t>Description</w:t>
      </w:r>
    </w:p>
    <w:p w14:paraId="5F067E62" w14:textId="77777777" w:rsidR="00EB5913" w:rsidRPr="006623B9" w:rsidRDefault="00EB5913" w:rsidP="00EB5913">
      <w:pPr>
        <w:pStyle w:val="BodyText"/>
      </w:pPr>
      <w:r w:rsidRPr="006623B9">
        <w:rPr>
          <w:spacing w:val="-2"/>
        </w:rPr>
        <w:t>There is no incineration of municipal waste in New Zealand for energy production or otherwise</w:t>
      </w:r>
      <w:r w:rsidRPr="006623B9">
        <w:t>. Incineration is used on a small scale for disposal of clinical waste, hazardous waste and sewage sludge. The practice of incinerating clinical waste has declined throughout the time series, due to more stringent environmental regulation and the use of alternative technologies, such as sterilisation. In the context of New Zealand’s greenhouse gas inventory, the term ‘clinical waste’ refers to a combination of clinical, medical and quarantine waste.</w:t>
      </w:r>
    </w:p>
    <w:p w14:paraId="172B6852" w14:textId="77777777" w:rsidR="00EB5913" w:rsidRPr="006623B9" w:rsidRDefault="00EB5913" w:rsidP="00EB5913">
      <w:pPr>
        <w:pStyle w:val="BodyText"/>
      </w:pPr>
      <w:r w:rsidRPr="006623B9">
        <w:t>Waste incineration is regulated under the Resource Management Act 1991. In addition, in 2004, a national environmental standard was introduced that required consents for all existing low-temperature incinerators, such as those historically used in schools and sometimes in hospitals.</w:t>
      </w:r>
    </w:p>
    <w:p w14:paraId="774DC8C9" w14:textId="77777777" w:rsidR="00EB5913" w:rsidRPr="006623B9" w:rsidRDefault="00EB5913" w:rsidP="00EB5913">
      <w:pPr>
        <w:pStyle w:val="BodyText"/>
      </w:pPr>
      <w:r w:rsidRPr="006623B9">
        <w:rPr>
          <w:spacing w:val="-2"/>
        </w:rPr>
        <w:t>There is no open burning of waste at managed and unmanaged SWDS facilities in New Zealan</w:t>
      </w:r>
      <w:r w:rsidRPr="006623B9">
        <w:t>d. It is common for farms to practise open burning of rural waste (GHD, 2014) and, while limited information is available on the extent of the practice, emissions from open burning are reported here. It is assumed an equal amount of farm waste that is buried (see table 7.2.4) is burned.</w:t>
      </w:r>
    </w:p>
    <w:p w14:paraId="7E1CAD4B" w14:textId="77777777" w:rsidR="00EB5913" w:rsidRPr="006623B9" w:rsidRDefault="00EB5913" w:rsidP="00EB5913">
      <w:pPr>
        <w:pStyle w:val="BodyText"/>
      </w:pPr>
      <w:r w:rsidRPr="006623B9">
        <w:t>On its website, the Ministry of Education indicates that waste incineration is still practised in a small number of primary schools located in remote rural areas (Ministry of Education, 2021). Although information is not available on the exact number of schools practising waste incineration, it is estimated that around 10 percent of the total number of schools in New Zealand still incinerate their waste production (P Guiney, Ministry of Education, pers. comm., 4 December 2019). Emissions from this source are not estimated for this submission and are reported as ‘not estimated’. See chapter 1, section 1.7, for more information.</w:t>
      </w:r>
    </w:p>
    <w:p w14:paraId="2D311434" w14:textId="77777777" w:rsidR="00EB5913" w:rsidRPr="006623B9" w:rsidRDefault="00EB5913" w:rsidP="00EB5913">
      <w:pPr>
        <w:pStyle w:val="BodyText"/>
      </w:pPr>
      <w:r w:rsidRPr="006623B9">
        <w:t xml:space="preserve">Where data are available, the burning of waste materials, including waste oil, wood chips and tyres for fuelling boilers and cement kilns, is reported under the Energy sector in the </w:t>
      </w:r>
      <w:r w:rsidRPr="006623B9">
        <w:rPr>
          <w:i/>
          <w:iCs/>
        </w:rPr>
        <w:t>Manufacturing industries and construction</w:t>
      </w:r>
      <w:r w:rsidRPr="006623B9">
        <w:t xml:space="preserve"> category.</w:t>
      </w:r>
    </w:p>
    <w:p w14:paraId="4EE0CF67" w14:textId="77777777" w:rsidR="00EB5913" w:rsidRPr="006623B9" w:rsidRDefault="00EB5913" w:rsidP="00EB5913">
      <w:pPr>
        <w:pStyle w:val="BodyText"/>
      </w:pPr>
      <w:r w:rsidRPr="006623B9">
        <w:t xml:space="preserve">In 2024, </w:t>
      </w:r>
      <w:r w:rsidRPr="006623B9">
        <w:rPr>
          <w:i/>
          <w:iCs/>
        </w:rPr>
        <w:t>Incineration and open burning of waste</w:t>
      </w:r>
      <w:r w:rsidRPr="006623B9">
        <w:t xml:space="preserve"> accounted for 193.0 kt CO</w:t>
      </w:r>
      <w:r w:rsidRPr="006623B9">
        <w:rPr>
          <w:vertAlign w:val="subscript"/>
        </w:rPr>
        <w:t>2</w:t>
      </w:r>
      <w:r w:rsidRPr="006623B9">
        <w:t>e (6.4 percent) of Waste sector emissions (see table 7.4.1).</w:t>
      </w:r>
    </w:p>
    <w:p w14:paraId="21818B52" w14:textId="77777777" w:rsidR="00EB5913" w:rsidRPr="006623B9" w:rsidRDefault="00EB5913" w:rsidP="00EB5913">
      <w:pPr>
        <w:pStyle w:val="BodyText"/>
      </w:pPr>
      <w:r w:rsidRPr="006623B9">
        <w:t>This was 1.6 kt CO</w:t>
      </w:r>
      <w:r w:rsidRPr="006623B9">
        <w:rPr>
          <w:vertAlign w:val="subscript"/>
        </w:rPr>
        <w:t>2</w:t>
      </w:r>
      <w:r w:rsidRPr="006623B9">
        <w:t>e (0.8 percent) below the 2023 level of 194.6 kt CO</w:t>
      </w:r>
      <w:r w:rsidRPr="006623B9">
        <w:rPr>
          <w:vertAlign w:val="subscript"/>
        </w:rPr>
        <w:t>2</w:t>
      </w:r>
      <w:r w:rsidRPr="006623B9">
        <w:t>e, 79.4 kt CO</w:t>
      </w:r>
      <w:r w:rsidRPr="006623B9">
        <w:rPr>
          <w:vertAlign w:val="subscript"/>
        </w:rPr>
        <w:t>2</w:t>
      </w:r>
      <w:r w:rsidRPr="006623B9">
        <w:t>e (29.1 percent) below the 2005 level of 272.3 kt CO</w:t>
      </w:r>
      <w:r w:rsidRPr="006623B9">
        <w:rPr>
          <w:vertAlign w:val="subscript"/>
        </w:rPr>
        <w:t>2</w:t>
      </w:r>
      <w:r w:rsidRPr="006623B9">
        <w:t>e, and 157.3 kt CO</w:t>
      </w:r>
      <w:r w:rsidRPr="006623B9">
        <w:rPr>
          <w:vertAlign w:val="subscript"/>
        </w:rPr>
        <w:t>2</w:t>
      </w:r>
      <w:r w:rsidRPr="006623B9">
        <w:t>e (44.9 percent) below the 1990 level of 350.2 kt CO</w:t>
      </w:r>
      <w:r w:rsidRPr="006623B9">
        <w:rPr>
          <w:vertAlign w:val="subscript"/>
        </w:rPr>
        <w:t>2</w:t>
      </w:r>
      <w:r w:rsidRPr="006623B9">
        <w:t>e.</w:t>
      </w:r>
    </w:p>
    <w:p w14:paraId="01CA87A8" w14:textId="77777777" w:rsidR="00EB5913" w:rsidRPr="006623B9" w:rsidRDefault="00EB5913" w:rsidP="00EB5913">
      <w:pPr>
        <w:pStyle w:val="Table"/>
      </w:pPr>
      <w:bookmarkStart w:id="3070" w:name="_Toc226669114"/>
      <w:r w:rsidRPr="006623B9">
        <w:t xml:space="preserve">Table 7.4.1 </w:t>
      </w:r>
      <w:r w:rsidRPr="006623B9">
        <w:tab/>
        <w:t xml:space="preserve">Emissions from </w:t>
      </w:r>
      <w:r w:rsidRPr="006623B9">
        <w:rPr>
          <w:i/>
          <w:iCs/>
        </w:rPr>
        <w:t>Incineration</w:t>
      </w:r>
      <w:r w:rsidRPr="006623B9">
        <w:t xml:space="preserve"> and </w:t>
      </w:r>
      <w:r w:rsidRPr="006623B9">
        <w:rPr>
          <w:i/>
          <w:iCs/>
        </w:rPr>
        <w:t>Open burning of waste</w:t>
      </w:r>
      <w:r w:rsidRPr="006623B9">
        <w:t xml:space="preserve"> (5.C)</w:t>
      </w:r>
      <w:bookmarkEnd w:id="3070"/>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398"/>
        <w:gridCol w:w="824"/>
        <w:gridCol w:w="515"/>
        <w:gridCol w:w="515"/>
        <w:gridCol w:w="515"/>
        <w:gridCol w:w="844"/>
        <w:gridCol w:w="770"/>
        <w:gridCol w:w="770"/>
        <w:gridCol w:w="803"/>
        <w:gridCol w:w="770"/>
        <w:gridCol w:w="770"/>
      </w:tblGrid>
      <w:tr w:rsidR="00EB5913" w:rsidRPr="00021C15" w14:paraId="4A15D492" w14:textId="77777777" w:rsidTr="00F16E23">
        <w:trPr>
          <w:tblHeader/>
        </w:trPr>
        <w:tc>
          <w:tcPr>
            <w:tcW w:w="1399" w:type="dxa"/>
            <w:shd w:val="clear" w:color="auto" w:fill="1B556B"/>
            <w:tcMar>
              <w:top w:w="0" w:type="dxa"/>
              <w:left w:w="85" w:type="dxa"/>
              <w:bottom w:w="0" w:type="dxa"/>
              <w:right w:w="85" w:type="dxa"/>
            </w:tcMar>
            <w:vAlign w:val="center"/>
          </w:tcPr>
          <w:p w14:paraId="51C2FAB7" w14:textId="77777777" w:rsidR="00EB5913" w:rsidRPr="00021C15" w:rsidRDefault="00EB5913" w:rsidP="00F16E23">
            <w:pPr>
              <w:pStyle w:val="TableTextBold"/>
              <w:spacing w:before="40" w:after="0"/>
              <w:rPr>
                <w:noProof w:val="0"/>
                <w:color w:val="FFFFFF" w:themeColor="background1"/>
                <w:sz w:val="15"/>
                <w:szCs w:val="15"/>
              </w:rPr>
            </w:pPr>
          </w:p>
        </w:tc>
        <w:tc>
          <w:tcPr>
            <w:tcW w:w="824" w:type="dxa"/>
            <w:shd w:val="clear" w:color="auto" w:fill="1B556B"/>
            <w:tcMar>
              <w:top w:w="0" w:type="dxa"/>
              <w:left w:w="85" w:type="dxa"/>
              <w:bottom w:w="0" w:type="dxa"/>
              <w:right w:w="85" w:type="dxa"/>
            </w:tcMar>
            <w:vAlign w:val="center"/>
          </w:tcPr>
          <w:p w14:paraId="401931A6" w14:textId="77777777" w:rsidR="00EB5913" w:rsidRPr="00021C15" w:rsidRDefault="00EB5913" w:rsidP="00F16E23">
            <w:pPr>
              <w:pStyle w:val="TableTextBold"/>
              <w:spacing w:before="40" w:after="0"/>
              <w:jc w:val="right"/>
              <w:rPr>
                <w:noProof w:val="0"/>
                <w:color w:val="FFFFFF" w:themeColor="background1"/>
                <w:sz w:val="15"/>
                <w:szCs w:val="15"/>
              </w:rPr>
            </w:pPr>
            <w:r w:rsidRPr="00021C15">
              <w:rPr>
                <w:rFonts w:eastAsia="Calibri" w:cs="Calibri"/>
                <w:noProof w:val="0"/>
                <w:color w:val="FFFFFF" w:themeColor="background1"/>
                <w:sz w:val="15"/>
                <w:szCs w:val="15"/>
              </w:rPr>
              <w:t>Emissions (kt CO</w:t>
            </w:r>
            <w:r w:rsidRPr="00021C15">
              <w:rPr>
                <w:rFonts w:eastAsia="Calibri" w:cs="Calibri"/>
                <w:noProof w:val="0"/>
                <w:color w:val="FFFFFF" w:themeColor="background1"/>
                <w:sz w:val="15"/>
                <w:szCs w:val="15"/>
                <w:vertAlign w:val="subscript"/>
              </w:rPr>
              <w:t>2</w:t>
            </w:r>
            <w:r w:rsidRPr="00021C15">
              <w:rPr>
                <w:rFonts w:eastAsia="Calibri" w:cs="Calibri"/>
                <w:noProof w:val="0"/>
                <w:color w:val="FFFFFF" w:themeColor="background1"/>
                <w:sz w:val="15"/>
                <w:szCs w:val="15"/>
              </w:rPr>
              <w:t>e)</w:t>
            </w:r>
          </w:p>
        </w:tc>
        <w:tc>
          <w:tcPr>
            <w:tcW w:w="0" w:type="auto"/>
            <w:shd w:val="clear" w:color="auto" w:fill="1B556B"/>
            <w:tcMar>
              <w:top w:w="0" w:type="dxa"/>
              <w:left w:w="85" w:type="dxa"/>
              <w:bottom w:w="0" w:type="dxa"/>
              <w:right w:w="85" w:type="dxa"/>
            </w:tcMar>
            <w:vAlign w:val="center"/>
          </w:tcPr>
          <w:p w14:paraId="21927EC1" w14:textId="77777777" w:rsidR="00EB5913" w:rsidRPr="00021C15"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center"/>
          </w:tcPr>
          <w:p w14:paraId="0C15769A" w14:textId="77777777" w:rsidR="00EB5913" w:rsidRPr="00021C15"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center"/>
          </w:tcPr>
          <w:p w14:paraId="2E73A62C" w14:textId="77777777" w:rsidR="00EB5913" w:rsidRPr="00021C15"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center"/>
          </w:tcPr>
          <w:p w14:paraId="25BAB09D" w14:textId="77777777" w:rsidR="00EB5913" w:rsidRPr="00021C15" w:rsidRDefault="00EB5913" w:rsidP="00F16E23">
            <w:pPr>
              <w:pStyle w:val="TableTextBold"/>
              <w:spacing w:before="40" w:after="0"/>
              <w:jc w:val="right"/>
              <w:rPr>
                <w:noProof w:val="0"/>
                <w:color w:val="FFFFFF" w:themeColor="background1"/>
                <w:sz w:val="15"/>
                <w:szCs w:val="15"/>
              </w:rPr>
            </w:pPr>
            <w:r w:rsidRPr="00021C15">
              <w:rPr>
                <w:rFonts w:eastAsia="Calibri" w:cs="Calibri"/>
                <w:noProof w:val="0"/>
                <w:color w:val="FFFFFF" w:themeColor="background1"/>
                <w:sz w:val="15"/>
                <w:szCs w:val="15"/>
              </w:rPr>
              <w:t xml:space="preserve">Difference </w:t>
            </w:r>
            <w:r w:rsidRPr="00021C15">
              <w:rPr>
                <w:rFonts w:eastAsia="Calibri" w:cs="Calibri"/>
                <w:noProof w:val="0"/>
                <w:color w:val="FFFFFF" w:themeColor="background1"/>
                <w:sz w:val="15"/>
                <w:szCs w:val="15"/>
              </w:rPr>
              <w:br/>
              <w:t>(kt CO</w:t>
            </w:r>
            <w:r w:rsidRPr="00021C15">
              <w:rPr>
                <w:rFonts w:eastAsia="Calibri" w:cs="Calibri"/>
                <w:noProof w:val="0"/>
                <w:color w:val="FFFFFF" w:themeColor="background1"/>
                <w:sz w:val="15"/>
                <w:szCs w:val="15"/>
                <w:vertAlign w:val="subscript"/>
              </w:rPr>
              <w:t>2</w:t>
            </w:r>
            <w:r w:rsidRPr="00021C15">
              <w:rPr>
                <w:rFonts w:eastAsia="Calibri" w:cs="Calibri"/>
                <w:noProof w:val="0"/>
                <w:color w:val="FFFFFF" w:themeColor="background1"/>
                <w:sz w:val="15"/>
                <w:szCs w:val="15"/>
              </w:rPr>
              <w:t>e)</w:t>
            </w:r>
          </w:p>
        </w:tc>
        <w:tc>
          <w:tcPr>
            <w:tcW w:w="0" w:type="auto"/>
            <w:shd w:val="clear" w:color="auto" w:fill="1B556B"/>
            <w:tcMar>
              <w:top w:w="0" w:type="dxa"/>
              <w:left w:w="85" w:type="dxa"/>
              <w:bottom w:w="0" w:type="dxa"/>
              <w:right w:w="85" w:type="dxa"/>
            </w:tcMar>
            <w:vAlign w:val="center"/>
          </w:tcPr>
          <w:p w14:paraId="06164D95" w14:textId="77777777" w:rsidR="00EB5913" w:rsidRPr="00021C15"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center"/>
          </w:tcPr>
          <w:p w14:paraId="20AAF8BD" w14:textId="77777777" w:rsidR="00EB5913" w:rsidRPr="00021C15"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center"/>
          </w:tcPr>
          <w:p w14:paraId="5A15398F" w14:textId="77777777" w:rsidR="00EB5913" w:rsidRPr="00021C15" w:rsidRDefault="00EB5913" w:rsidP="00F16E23">
            <w:pPr>
              <w:pStyle w:val="TableTextBold"/>
              <w:spacing w:before="40" w:after="0"/>
              <w:jc w:val="right"/>
              <w:rPr>
                <w:noProof w:val="0"/>
                <w:color w:val="FFFFFF" w:themeColor="background1"/>
                <w:sz w:val="15"/>
                <w:szCs w:val="15"/>
              </w:rPr>
            </w:pPr>
            <w:r w:rsidRPr="00021C15">
              <w:rPr>
                <w:rFonts w:eastAsia="Calibri" w:cs="Calibri"/>
                <w:noProof w:val="0"/>
                <w:color w:val="FFFFFF" w:themeColor="background1"/>
                <w:sz w:val="15"/>
                <w:szCs w:val="15"/>
              </w:rPr>
              <w:t>Change (%)</w:t>
            </w:r>
          </w:p>
        </w:tc>
        <w:tc>
          <w:tcPr>
            <w:tcW w:w="0" w:type="auto"/>
            <w:shd w:val="clear" w:color="auto" w:fill="1B556B"/>
            <w:tcMar>
              <w:top w:w="0" w:type="dxa"/>
              <w:left w:w="85" w:type="dxa"/>
              <w:bottom w:w="0" w:type="dxa"/>
              <w:right w:w="85" w:type="dxa"/>
            </w:tcMar>
            <w:vAlign w:val="center"/>
          </w:tcPr>
          <w:p w14:paraId="7B4E070D" w14:textId="77777777" w:rsidR="00EB5913" w:rsidRPr="00021C15"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center"/>
          </w:tcPr>
          <w:p w14:paraId="7B717155" w14:textId="77777777" w:rsidR="00EB5913" w:rsidRPr="00021C15" w:rsidRDefault="00EB5913" w:rsidP="00F16E23">
            <w:pPr>
              <w:pStyle w:val="TableTextBold"/>
              <w:spacing w:before="40" w:after="0"/>
              <w:jc w:val="right"/>
              <w:rPr>
                <w:noProof w:val="0"/>
                <w:color w:val="FFFFFF" w:themeColor="background1"/>
                <w:sz w:val="15"/>
                <w:szCs w:val="15"/>
              </w:rPr>
            </w:pPr>
          </w:p>
        </w:tc>
      </w:tr>
      <w:tr w:rsidR="00EB5913" w:rsidRPr="00021C15" w14:paraId="3D8057B8" w14:textId="77777777" w:rsidTr="00F16E23">
        <w:tc>
          <w:tcPr>
            <w:tcW w:w="1399" w:type="dxa"/>
            <w:shd w:val="clear" w:color="auto" w:fill="1B556B"/>
            <w:tcMar>
              <w:top w:w="0" w:type="dxa"/>
              <w:left w:w="85" w:type="dxa"/>
              <w:bottom w:w="0" w:type="dxa"/>
              <w:right w:w="85" w:type="dxa"/>
            </w:tcMar>
            <w:vAlign w:val="bottom"/>
          </w:tcPr>
          <w:p w14:paraId="4288C745" w14:textId="77777777" w:rsidR="00EB5913" w:rsidRPr="00021C15" w:rsidRDefault="00EB5913" w:rsidP="00F16E23">
            <w:pPr>
              <w:pStyle w:val="TableTextBold"/>
              <w:spacing w:before="0" w:after="40"/>
              <w:rPr>
                <w:noProof w:val="0"/>
                <w:color w:val="FFFFFF" w:themeColor="background1"/>
                <w:sz w:val="15"/>
                <w:szCs w:val="15"/>
              </w:rPr>
            </w:pPr>
            <w:r w:rsidRPr="00021C15">
              <w:rPr>
                <w:rFonts w:eastAsia="Calibri" w:cs="Calibri"/>
                <w:noProof w:val="0"/>
                <w:color w:val="FFFFFF" w:themeColor="background1"/>
                <w:sz w:val="15"/>
                <w:szCs w:val="15"/>
              </w:rPr>
              <w:t>Source category</w:t>
            </w:r>
          </w:p>
        </w:tc>
        <w:tc>
          <w:tcPr>
            <w:tcW w:w="824" w:type="dxa"/>
            <w:shd w:val="clear" w:color="auto" w:fill="1B556B"/>
            <w:tcMar>
              <w:top w:w="0" w:type="dxa"/>
              <w:left w:w="85" w:type="dxa"/>
              <w:bottom w:w="0" w:type="dxa"/>
              <w:right w:w="85" w:type="dxa"/>
            </w:tcMar>
            <w:vAlign w:val="bottom"/>
          </w:tcPr>
          <w:p w14:paraId="145180EE"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1990</w:t>
            </w:r>
          </w:p>
        </w:tc>
        <w:tc>
          <w:tcPr>
            <w:tcW w:w="0" w:type="auto"/>
            <w:shd w:val="clear" w:color="auto" w:fill="1B556B"/>
            <w:tcMar>
              <w:top w:w="0" w:type="dxa"/>
              <w:left w:w="85" w:type="dxa"/>
              <w:bottom w:w="0" w:type="dxa"/>
              <w:right w:w="85" w:type="dxa"/>
            </w:tcMar>
            <w:vAlign w:val="bottom"/>
          </w:tcPr>
          <w:p w14:paraId="15CBDC4B"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2005</w:t>
            </w:r>
          </w:p>
        </w:tc>
        <w:tc>
          <w:tcPr>
            <w:tcW w:w="0" w:type="auto"/>
            <w:shd w:val="clear" w:color="auto" w:fill="1B556B"/>
            <w:tcMar>
              <w:top w:w="0" w:type="dxa"/>
              <w:left w:w="85" w:type="dxa"/>
              <w:bottom w:w="0" w:type="dxa"/>
              <w:right w:w="85" w:type="dxa"/>
            </w:tcMar>
            <w:vAlign w:val="bottom"/>
          </w:tcPr>
          <w:p w14:paraId="48CED4B4"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2023</w:t>
            </w:r>
          </w:p>
        </w:tc>
        <w:tc>
          <w:tcPr>
            <w:tcW w:w="0" w:type="auto"/>
            <w:shd w:val="clear" w:color="auto" w:fill="1B556B"/>
            <w:tcMar>
              <w:top w:w="0" w:type="dxa"/>
              <w:left w:w="85" w:type="dxa"/>
              <w:bottom w:w="0" w:type="dxa"/>
              <w:right w:w="85" w:type="dxa"/>
            </w:tcMar>
            <w:vAlign w:val="bottom"/>
          </w:tcPr>
          <w:p w14:paraId="41C2E4B8"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2024</w:t>
            </w:r>
          </w:p>
        </w:tc>
        <w:tc>
          <w:tcPr>
            <w:tcW w:w="0" w:type="auto"/>
            <w:shd w:val="clear" w:color="auto" w:fill="1B556B"/>
            <w:tcMar>
              <w:top w:w="0" w:type="dxa"/>
              <w:left w:w="85" w:type="dxa"/>
              <w:bottom w:w="0" w:type="dxa"/>
              <w:right w:w="85" w:type="dxa"/>
            </w:tcMar>
            <w:vAlign w:val="bottom"/>
          </w:tcPr>
          <w:p w14:paraId="6CCD2CD3"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1990–2024</w:t>
            </w:r>
          </w:p>
        </w:tc>
        <w:tc>
          <w:tcPr>
            <w:tcW w:w="0" w:type="auto"/>
            <w:shd w:val="clear" w:color="auto" w:fill="1B556B"/>
            <w:tcMar>
              <w:top w:w="0" w:type="dxa"/>
              <w:left w:w="85" w:type="dxa"/>
              <w:bottom w:w="0" w:type="dxa"/>
              <w:right w:w="85" w:type="dxa"/>
            </w:tcMar>
            <w:vAlign w:val="bottom"/>
          </w:tcPr>
          <w:p w14:paraId="163D8D85"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2005–2024</w:t>
            </w:r>
          </w:p>
        </w:tc>
        <w:tc>
          <w:tcPr>
            <w:tcW w:w="0" w:type="auto"/>
            <w:shd w:val="clear" w:color="auto" w:fill="1B556B"/>
            <w:tcMar>
              <w:top w:w="0" w:type="dxa"/>
              <w:left w:w="85" w:type="dxa"/>
              <w:bottom w:w="0" w:type="dxa"/>
              <w:right w:w="85" w:type="dxa"/>
            </w:tcMar>
            <w:vAlign w:val="bottom"/>
          </w:tcPr>
          <w:p w14:paraId="526AEC53"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2023–2024</w:t>
            </w:r>
          </w:p>
        </w:tc>
        <w:tc>
          <w:tcPr>
            <w:tcW w:w="0" w:type="auto"/>
            <w:shd w:val="clear" w:color="auto" w:fill="1B556B"/>
            <w:tcMar>
              <w:top w:w="0" w:type="dxa"/>
              <w:left w:w="85" w:type="dxa"/>
              <w:bottom w:w="0" w:type="dxa"/>
              <w:right w:w="85" w:type="dxa"/>
            </w:tcMar>
            <w:vAlign w:val="bottom"/>
          </w:tcPr>
          <w:p w14:paraId="6AF91127"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1990–2024</w:t>
            </w:r>
          </w:p>
        </w:tc>
        <w:tc>
          <w:tcPr>
            <w:tcW w:w="0" w:type="auto"/>
            <w:shd w:val="clear" w:color="auto" w:fill="1B556B"/>
            <w:tcMar>
              <w:top w:w="0" w:type="dxa"/>
              <w:left w:w="85" w:type="dxa"/>
              <w:bottom w:w="0" w:type="dxa"/>
              <w:right w:w="85" w:type="dxa"/>
            </w:tcMar>
            <w:vAlign w:val="bottom"/>
          </w:tcPr>
          <w:p w14:paraId="7013FFAC"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2005–2024</w:t>
            </w:r>
          </w:p>
        </w:tc>
        <w:tc>
          <w:tcPr>
            <w:tcW w:w="0" w:type="auto"/>
            <w:shd w:val="clear" w:color="auto" w:fill="1B556B"/>
            <w:tcMar>
              <w:top w:w="0" w:type="dxa"/>
              <w:left w:w="85" w:type="dxa"/>
              <w:bottom w:w="0" w:type="dxa"/>
              <w:right w:w="85" w:type="dxa"/>
            </w:tcMar>
            <w:vAlign w:val="bottom"/>
          </w:tcPr>
          <w:p w14:paraId="4A446916" w14:textId="77777777" w:rsidR="00EB5913" w:rsidRPr="00021C15" w:rsidRDefault="00EB5913" w:rsidP="00F16E23">
            <w:pPr>
              <w:pStyle w:val="TableTextBold"/>
              <w:spacing w:before="0" w:after="40"/>
              <w:jc w:val="right"/>
              <w:rPr>
                <w:noProof w:val="0"/>
                <w:color w:val="FFFFFF" w:themeColor="background1"/>
                <w:sz w:val="15"/>
                <w:szCs w:val="15"/>
              </w:rPr>
            </w:pPr>
            <w:r w:rsidRPr="00021C15">
              <w:rPr>
                <w:rFonts w:eastAsia="Calibri" w:cs="Calibri"/>
                <w:noProof w:val="0"/>
                <w:color w:val="FFFFFF" w:themeColor="background1"/>
                <w:sz w:val="15"/>
                <w:szCs w:val="15"/>
              </w:rPr>
              <w:t>2023–2024</w:t>
            </w:r>
          </w:p>
        </w:tc>
      </w:tr>
      <w:tr w:rsidR="00EB5913" w:rsidRPr="00021C15" w14:paraId="4C7B8E61" w14:textId="77777777" w:rsidTr="00F16E23">
        <w:tc>
          <w:tcPr>
            <w:tcW w:w="1399" w:type="dxa"/>
            <w:shd w:val="clear" w:color="auto" w:fill="FFFFFF"/>
            <w:tcMar>
              <w:top w:w="0" w:type="dxa"/>
              <w:left w:w="85" w:type="dxa"/>
              <w:bottom w:w="0" w:type="dxa"/>
              <w:right w:w="85" w:type="dxa"/>
            </w:tcMar>
            <w:vAlign w:val="center"/>
          </w:tcPr>
          <w:p w14:paraId="7FB208CE" w14:textId="77777777" w:rsidR="00EB5913" w:rsidRPr="00021C15" w:rsidRDefault="00EB5913" w:rsidP="00F16E23">
            <w:pPr>
              <w:pStyle w:val="TableText"/>
              <w:spacing w:before="40" w:after="40"/>
              <w:rPr>
                <w:sz w:val="15"/>
                <w:szCs w:val="15"/>
              </w:rPr>
            </w:pPr>
            <w:r w:rsidRPr="00021C15">
              <w:rPr>
                <w:rFonts w:eastAsia="Calibri"/>
                <w:i/>
                <w:iCs/>
                <w:sz w:val="15"/>
                <w:szCs w:val="15"/>
              </w:rPr>
              <w:t>Incineration</w:t>
            </w:r>
            <w:r w:rsidRPr="00021C15">
              <w:rPr>
                <w:rFonts w:eastAsia="Calibri"/>
                <w:sz w:val="15"/>
                <w:szCs w:val="15"/>
              </w:rPr>
              <w:t xml:space="preserve"> (5.C.1)</w:t>
            </w:r>
          </w:p>
        </w:tc>
        <w:tc>
          <w:tcPr>
            <w:tcW w:w="824" w:type="dxa"/>
            <w:shd w:val="clear" w:color="auto" w:fill="FFFFFF"/>
            <w:tcMar>
              <w:top w:w="0" w:type="dxa"/>
              <w:left w:w="85" w:type="dxa"/>
              <w:bottom w:w="0" w:type="dxa"/>
              <w:right w:w="85" w:type="dxa"/>
            </w:tcMar>
            <w:vAlign w:val="bottom"/>
          </w:tcPr>
          <w:p w14:paraId="6C08B44E" w14:textId="77777777" w:rsidR="00EB5913" w:rsidRPr="00021C15" w:rsidRDefault="00EB5913" w:rsidP="00F16E23">
            <w:pPr>
              <w:pStyle w:val="TableText"/>
              <w:spacing w:before="40" w:after="40"/>
              <w:jc w:val="right"/>
              <w:rPr>
                <w:sz w:val="15"/>
                <w:szCs w:val="15"/>
              </w:rPr>
            </w:pPr>
            <w:r w:rsidRPr="00021C15">
              <w:rPr>
                <w:rFonts w:eastAsia="Calibri"/>
                <w:sz w:val="15"/>
                <w:szCs w:val="15"/>
              </w:rPr>
              <w:t>13.9</w:t>
            </w:r>
          </w:p>
        </w:tc>
        <w:tc>
          <w:tcPr>
            <w:tcW w:w="0" w:type="auto"/>
            <w:shd w:val="clear" w:color="auto" w:fill="FFFFFF"/>
            <w:tcMar>
              <w:top w:w="0" w:type="dxa"/>
              <w:left w:w="85" w:type="dxa"/>
              <w:bottom w:w="0" w:type="dxa"/>
              <w:right w:w="85" w:type="dxa"/>
            </w:tcMar>
            <w:vAlign w:val="bottom"/>
          </w:tcPr>
          <w:p w14:paraId="24F9FCB7" w14:textId="77777777" w:rsidR="00EB5913" w:rsidRPr="00021C15" w:rsidRDefault="00EB5913" w:rsidP="00F16E23">
            <w:pPr>
              <w:pStyle w:val="TableText"/>
              <w:spacing w:before="40" w:after="40"/>
              <w:jc w:val="right"/>
              <w:rPr>
                <w:sz w:val="15"/>
                <w:szCs w:val="15"/>
              </w:rPr>
            </w:pPr>
            <w:r w:rsidRPr="00021C15">
              <w:rPr>
                <w:rFonts w:eastAsia="Calibri"/>
                <w:sz w:val="15"/>
                <w:szCs w:val="15"/>
              </w:rPr>
              <w:t>4.3</w:t>
            </w:r>
          </w:p>
        </w:tc>
        <w:tc>
          <w:tcPr>
            <w:tcW w:w="0" w:type="auto"/>
            <w:shd w:val="clear" w:color="auto" w:fill="FFFFFF"/>
            <w:tcMar>
              <w:top w:w="0" w:type="dxa"/>
              <w:left w:w="85" w:type="dxa"/>
              <w:bottom w:w="0" w:type="dxa"/>
              <w:right w:w="85" w:type="dxa"/>
            </w:tcMar>
            <w:vAlign w:val="bottom"/>
          </w:tcPr>
          <w:p w14:paraId="2560AD02" w14:textId="77777777" w:rsidR="00EB5913" w:rsidRPr="00021C15" w:rsidRDefault="00EB5913" w:rsidP="00F16E23">
            <w:pPr>
              <w:pStyle w:val="TableText"/>
              <w:spacing w:before="40" w:after="40"/>
              <w:jc w:val="right"/>
              <w:rPr>
                <w:sz w:val="15"/>
                <w:szCs w:val="15"/>
              </w:rPr>
            </w:pPr>
            <w:r w:rsidRPr="00021C15">
              <w:rPr>
                <w:rFonts w:eastAsia="Calibri"/>
                <w:sz w:val="15"/>
                <w:szCs w:val="15"/>
              </w:rPr>
              <w:t>1.6</w:t>
            </w:r>
          </w:p>
        </w:tc>
        <w:tc>
          <w:tcPr>
            <w:tcW w:w="0" w:type="auto"/>
            <w:shd w:val="clear" w:color="auto" w:fill="FFFFFF"/>
            <w:tcMar>
              <w:top w:w="0" w:type="dxa"/>
              <w:left w:w="85" w:type="dxa"/>
              <w:bottom w:w="0" w:type="dxa"/>
              <w:right w:w="85" w:type="dxa"/>
            </w:tcMar>
            <w:vAlign w:val="bottom"/>
          </w:tcPr>
          <w:p w14:paraId="08D9E5DE" w14:textId="77777777" w:rsidR="00EB5913" w:rsidRPr="00021C15" w:rsidRDefault="00EB5913" w:rsidP="00F16E23">
            <w:pPr>
              <w:pStyle w:val="TableText"/>
              <w:spacing w:before="40" w:after="40"/>
              <w:jc w:val="right"/>
              <w:rPr>
                <w:sz w:val="15"/>
                <w:szCs w:val="15"/>
              </w:rPr>
            </w:pPr>
            <w:r w:rsidRPr="00021C15">
              <w:rPr>
                <w:rFonts w:eastAsia="Calibri"/>
                <w:sz w:val="15"/>
                <w:szCs w:val="15"/>
              </w:rPr>
              <w:t>1.6</w:t>
            </w:r>
          </w:p>
        </w:tc>
        <w:tc>
          <w:tcPr>
            <w:tcW w:w="0" w:type="auto"/>
            <w:shd w:val="clear" w:color="auto" w:fill="FFFFFF"/>
            <w:tcMar>
              <w:top w:w="0" w:type="dxa"/>
              <w:left w:w="85" w:type="dxa"/>
              <w:bottom w:w="0" w:type="dxa"/>
              <w:right w:w="85" w:type="dxa"/>
            </w:tcMar>
            <w:vAlign w:val="bottom"/>
          </w:tcPr>
          <w:p w14:paraId="2A543BB5" w14:textId="77777777" w:rsidR="00EB5913" w:rsidRPr="00021C15" w:rsidRDefault="00EB5913" w:rsidP="00F16E23">
            <w:pPr>
              <w:pStyle w:val="TableText"/>
              <w:spacing w:before="40" w:after="40"/>
              <w:jc w:val="right"/>
              <w:rPr>
                <w:sz w:val="15"/>
                <w:szCs w:val="15"/>
              </w:rPr>
            </w:pPr>
            <w:r w:rsidRPr="00021C15">
              <w:rPr>
                <w:rFonts w:eastAsia="Calibri"/>
                <w:sz w:val="15"/>
                <w:szCs w:val="15"/>
              </w:rPr>
              <w:t>-12.3</w:t>
            </w:r>
          </w:p>
        </w:tc>
        <w:tc>
          <w:tcPr>
            <w:tcW w:w="0" w:type="auto"/>
            <w:shd w:val="clear" w:color="auto" w:fill="FFFFFF"/>
            <w:tcMar>
              <w:top w:w="0" w:type="dxa"/>
              <w:left w:w="85" w:type="dxa"/>
              <w:bottom w:w="0" w:type="dxa"/>
              <w:right w:w="85" w:type="dxa"/>
            </w:tcMar>
            <w:vAlign w:val="bottom"/>
          </w:tcPr>
          <w:p w14:paraId="7C836238" w14:textId="77777777" w:rsidR="00EB5913" w:rsidRPr="00021C15" w:rsidRDefault="00EB5913" w:rsidP="00F16E23">
            <w:pPr>
              <w:pStyle w:val="TableText"/>
              <w:spacing w:before="40" w:after="40"/>
              <w:jc w:val="right"/>
              <w:rPr>
                <w:sz w:val="15"/>
                <w:szCs w:val="15"/>
              </w:rPr>
            </w:pPr>
            <w:r w:rsidRPr="00021C15">
              <w:rPr>
                <w:rFonts w:eastAsia="Calibri"/>
                <w:sz w:val="15"/>
                <w:szCs w:val="15"/>
              </w:rPr>
              <w:t>-2.8</w:t>
            </w:r>
          </w:p>
        </w:tc>
        <w:tc>
          <w:tcPr>
            <w:tcW w:w="0" w:type="auto"/>
            <w:shd w:val="clear" w:color="auto" w:fill="FFFFFF"/>
            <w:tcMar>
              <w:top w:w="0" w:type="dxa"/>
              <w:left w:w="85" w:type="dxa"/>
              <w:bottom w:w="0" w:type="dxa"/>
              <w:right w:w="85" w:type="dxa"/>
            </w:tcMar>
            <w:vAlign w:val="bottom"/>
          </w:tcPr>
          <w:p w14:paraId="575C0BE2" w14:textId="77777777" w:rsidR="00EB5913" w:rsidRPr="00021C15" w:rsidRDefault="00EB5913" w:rsidP="00F16E23">
            <w:pPr>
              <w:pStyle w:val="TableText"/>
              <w:spacing w:before="40" w:after="40"/>
              <w:jc w:val="right"/>
              <w:rPr>
                <w:sz w:val="15"/>
                <w:szCs w:val="15"/>
              </w:rPr>
            </w:pPr>
            <w:r w:rsidRPr="00021C15">
              <w:rPr>
                <w:rFonts w:eastAsia="Calibri"/>
                <w:sz w:val="15"/>
                <w:szCs w:val="15"/>
              </w:rPr>
              <w:t>0.0</w:t>
            </w:r>
          </w:p>
        </w:tc>
        <w:tc>
          <w:tcPr>
            <w:tcW w:w="0" w:type="auto"/>
            <w:shd w:val="clear" w:color="auto" w:fill="FFFFFF"/>
            <w:tcMar>
              <w:top w:w="0" w:type="dxa"/>
              <w:left w:w="85" w:type="dxa"/>
              <w:bottom w:w="0" w:type="dxa"/>
              <w:right w:w="85" w:type="dxa"/>
            </w:tcMar>
            <w:vAlign w:val="bottom"/>
          </w:tcPr>
          <w:p w14:paraId="0140BB97" w14:textId="77777777" w:rsidR="00EB5913" w:rsidRPr="00021C15" w:rsidRDefault="00EB5913" w:rsidP="00F16E23">
            <w:pPr>
              <w:pStyle w:val="TableText"/>
              <w:spacing w:before="40" w:after="40"/>
              <w:jc w:val="right"/>
              <w:rPr>
                <w:sz w:val="15"/>
                <w:szCs w:val="15"/>
              </w:rPr>
            </w:pPr>
            <w:r w:rsidRPr="00021C15">
              <w:rPr>
                <w:rFonts w:eastAsia="Calibri"/>
                <w:sz w:val="15"/>
                <w:szCs w:val="15"/>
              </w:rPr>
              <w:t>-88.8</w:t>
            </w:r>
          </w:p>
        </w:tc>
        <w:tc>
          <w:tcPr>
            <w:tcW w:w="0" w:type="auto"/>
            <w:shd w:val="clear" w:color="auto" w:fill="FFFFFF"/>
            <w:tcMar>
              <w:top w:w="0" w:type="dxa"/>
              <w:left w:w="85" w:type="dxa"/>
              <w:bottom w:w="0" w:type="dxa"/>
              <w:right w:w="85" w:type="dxa"/>
            </w:tcMar>
            <w:vAlign w:val="bottom"/>
          </w:tcPr>
          <w:p w14:paraId="2B694535" w14:textId="77777777" w:rsidR="00EB5913" w:rsidRPr="00021C15" w:rsidRDefault="00EB5913" w:rsidP="00F16E23">
            <w:pPr>
              <w:pStyle w:val="TableText"/>
              <w:spacing w:before="40" w:after="40"/>
              <w:jc w:val="right"/>
              <w:rPr>
                <w:sz w:val="15"/>
                <w:szCs w:val="15"/>
              </w:rPr>
            </w:pPr>
            <w:r w:rsidRPr="00021C15">
              <w:rPr>
                <w:rFonts w:eastAsia="Calibri"/>
                <w:sz w:val="15"/>
                <w:szCs w:val="15"/>
              </w:rPr>
              <w:t>-63.9</w:t>
            </w:r>
          </w:p>
        </w:tc>
        <w:tc>
          <w:tcPr>
            <w:tcW w:w="0" w:type="auto"/>
            <w:shd w:val="clear" w:color="auto" w:fill="FFFFFF"/>
            <w:tcMar>
              <w:top w:w="0" w:type="dxa"/>
              <w:left w:w="85" w:type="dxa"/>
              <w:bottom w:w="0" w:type="dxa"/>
              <w:right w:w="85" w:type="dxa"/>
            </w:tcMar>
            <w:vAlign w:val="bottom"/>
          </w:tcPr>
          <w:p w14:paraId="0090C253" w14:textId="77777777" w:rsidR="00EB5913" w:rsidRPr="00021C15" w:rsidRDefault="00EB5913" w:rsidP="00F16E23">
            <w:pPr>
              <w:pStyle w:val="TableText"/>
              <w:spacing w:before="40" w:after="40"/>
              <w:jc w:val="right"/>
              <w:rPr>
                <w:sz w:val="15"/>
                <w:szCs w:val="15"/>
              </w:rPr>
            </w:pPr>
            <w:r w:rsidRPr="00021C15">
              <w:rPr>
                <w:rFonts w:eastAsia="Calibri"/>
                <w:sz w:val="15"/>
                <w:szCs w:val="15"/>
              </w:rPr>
              <w:t>0.0</w:t>
            </w:r>
          </w:p>
        </w:tc>
      </w:tr>
      <w:tr w:rsidR="00EB5913" w:rsidRPr="00021C15" w14:paraId="4B50CF1C" w14:textId="77777777" w:rsidTr="00F16E23">
        <w:tc>
          <w:tcPr>
            <w:tcW w:w="1399" w:type="dxa"/>
            <w:shd w:val="clear" w:color="auto" w:fill="FFFFFF"/>
            <w:tcMar>
              <w:top w:w="0" w:type="dxa"/>
              <w:left w:w="85" w:type="dxa"/>
              <w:bottom w:w="0" w:type="dxa"/>
              <w:right w:w="85" w:type="dxa"/>
            </w:tcMar>
            <w:vAlign w:val="center"/>
          </w:tcPr>
          <w:p w14:paraId="3B12057B" w14:textId="77777777" w:rsidR="00EB5913" w:rsidRPr="00021C15" w:rsidRDefault="00EB5913" w:rsidP="00F16E23">
            <w:pPr>
              <w:pStyle w:val="TableText"/>
              <w:spacing w:before="40" w:after="40"/>
              <w:rPr>
                <w:sz w:val="15"/>
                <w:szCs w:val="15"/>
              </w:rPr>
            </w:pPr>
            <w:r w:rsidRPr="00021C15">
              <w:rPr>
                <w:rFonts w:eastAsia="Calibri"/>
                <w:i/>
                <w:iCs/>
                <w:sz w:val="15"/>
                <w:szCs w:val="15"/>
              </w:rPr>
              <w:t>Open burning</w:t>
            </w:r>
            <w:r w:rsidRPr="00021C15">
              <w:rPr>
                <w:rFonts w:eastAsia="Calibri"/>
                <w:sz w:val="15"/>
                <w:szCs w:val="15"/>
              </w:rPr>
              <w:t xml:space="preserve"> (5.C.2)</w:t>
            </w:r>
          </w:p>
        </w:tc>
        <w:tc>
          <w:tcPr>
            <w:tcW w:w="824" w:type="dxa"/>
            <w:shd w:val="clear" w:color="auto" w:fill="FFFFFF"/>
            <w:tcMar>
              <w:top w:w="0" w:type="dxa"/>
              <w:left w:w="85" w:type="dxa"/>
              <w:bottom w:w="0" w:type="dxa"/>
              <w:right w:w="85" w:type="dxa"/>
            </w:tcMar>
            <w:vAlign w:val="bottom"/>
          </w:tcPr>
          <w:p w14:paraId="3D690C09" w14:textId="77777777" w:rsidR="00EB5913" w:rsidRPr="00021C15" w:rsidRDefault="00EB5913" w:rsidP="00F16E23">
            <w:pPr>
              <w:pStyle w:val="TableText"/>
              <w:spacing w:before="40" w:after="40"/>
              <w:jc w:val="right"/>
              <w:rPr>
                <w:sz w:val="15"/>
                <w:szCs w:val="15"/>
              </w:rPr>
            </w:pPr>
            <w:r w:rsidRPr="00021C15">
              <w:rPr>
                <w:rFonts w:eastAsia="Calibri"/>
                <w:sz w:val="15"/>
                <w:szCs w:val="15"/>
              </w:rPr>
              <w:t>336.4</w:t>
            </w:r>
          </w:p>
        </w:tc>
        <w:tc>
          <w:tcPr>
            <w:tcW w:w="0" w:type="auto"/>
            <w:shd w:val="clear" w:color="auto" w:fill="FFFFFF"/>
            <w:tcMar>
              <w:top w:w="0" w:type="dxa"/>
              <w:left w:w="85" w:type="dxa"/>
              <w:bottom w:w="0" w:type="dxa"/>
              <w:right w:w="85" w:type="dxa"/>
            </w:tcMar>
            <w:vAlign w:val="bottom"/>
          </w:tcPr>
          <w:p w14:paraId="01FF92A2" w14:textId="77777777" w:rsidR="00EB5913" w:rsidRPr="00021C15" w:rsidRDefault="00EB5913" w:rsidP="00F16E23">
            <w:pPr>
              <w:pStyle w:val="TableText"/>
              <w:spacing w:before="40" w:after="40"/>
              <w:jc w:val="right"/>
              <w:rPr>
                <w:sz w:val="15"/>
                <w:szCs w:val="15"/>
              </w:rPr>
            </w:pPr>
            <w:r w:rsidRPr="00021C15">
              <w:rPr>
                <w:rFonts w:eastAsia="Calibri"/>
                <w:sz w:val="15"/>
                <w:szCs w:val="15"/>
              </w:rPr>
              <w:t>268.0</w:t>
            </w:r>
          </w:p>
        </w:tc>
        <w:tc>
          <w:tcPr>
            <w:tcW w:w="0" w:type="auto"/>
            <w:shd w:val="clear" w:color="auto" w:fill="FFFFFF"/>
            <w:tcMar>
              <w:top w:w="0" w:type="dxa"/>
              <w:left w:w="85" w:type="dxa"/>
              <w:bottom w:w="0" w:type="dxa"/>
              <w:right w:w="85" w:type="dxa"/>
            </w:tcMar>
            <w:vAlign w:val="bottom"/>
          </w:tcPr>
          <w:p w14:paraId="44A910C4" w14:textId="77777777" w:rsidR="00EB5913" w:rsidRPr="00021C15" w:rsidRDefault="00EB5913" w:rsidP="00F16E23">
            <w:pPr>
              <w:pStyle w:val="TableText"/>
              <w:spacing w:before="40" w:after="40"/>
              <w:jc w:val="right"/>
              <w:rPr>
                <w:sz w:val="15"/>
                <w:szCs w:val="15"/>
              </w:rPr>
            </w:pPr>
            <w:r w:rsidRPr="00021C15">
              <w:rPr>
                <w:rFonts w:eastAsia="Calibri"/>
                <w:sz w:val="15"/>
                <w:szCs w:val="15"/>
              </w:rPr>
              <w:t>193.0</w:t>
            </w:r>
          </w:p>
        </w:tc>
        <w:tc>
          <w:tcPr>
            <w:tcW w:w="0" w:type="auto"/>
            <w:shd w:val="clear" w:color="auto" w:fill="FFFFFF"/>
            <w:tcMar>
              <w:top w:w="0" w:type="dxa"/>
              <w:left w:w="85" w:type="dxa"/>
              <w:bottom w:w="0" w:type="dxa"/>
              <w:right w:w="85" w:type="dxa"/>
            </w:tcMar>
            <w:vAlign w:val="bottom"/>
          </w:tcPr>
          <w:p w14:paraId="24F506B9" w14:textId="77777777" w:rsidR="00EB5913" w:rsidRPr="00021C15" w:rsidRDefault="00EB5913" w:rsidP="00F16E23">
            <w:pPr>
              <w:pStyle w:val="TableText"/>
              <w:spacing w:before="40" w:after="40"/>
              <w:jc w:val="right"/>
              <w:rPr>
                <w:sz w:val="15"/>
                <w:szCs w:val="15"/>
              </w:rPr>
            </w:pPr>
            <w:r w:rsidRPr="00021C15">
              <w:rPr>
                <w:rFonts w:eastAsia="Calibri"/>
                <w:sz w:val="15"/>
                <w:szCs w:val="15"/>
              </w:rPr>
              <w:t>191.4</w:t>
            </w:r>
          </w:p>
        </w:tc>
        <w:tc>
          <w:tcPr>
            <w:tcW w:w="0" w:type="auto"/>
            <w:shd w:val="clear" w:color="auto" w:fill="FFFFFF"/>
            <w:tcMar>
              <w:top w:w="0" w:type="dxa"/>
              <w:left w:w="85" w:type="dxa"/>
              <w:bottom w:w="0" w:type="dxa"/>
              <w:right w:w="85" w:type="dxa"/>
            </w:tcMar>
            <w:vAlign w:val="bottom"/>
          </w:tcPr>
          <w:p w14:paraId="670FB7AE" w14:textId="77777777" w:rsidR="00EB5913" w:rsidRPr="00021C15" w:rsidRDefault="00EB5913" w:rsidP="00F16E23">
            <w:pPr>
              <w:pStyle w:val="TableText"/>
              <w:spacing w:before="40" w:after="40"/>
              <w:jc w:val="right"/>
              <w:rPr>
                <w:sz w:val="15"/>
                <w:szCs w:val="15"/>
              </w:rPr>
            </w:pPr>
            <w:r w:rsidRPr="00021C15">
              <w:rPr>
                <w:rFonts w:eastAsia="Calibri"/>
                <w:sz w:val="15"/>
                <w:szCs w:val="15"/>
              </w:rPr>
              <w:t>-145.0</w:t>
            </w:r>
          </w:p>
        </w:tc>
        <w:tc>
          <w:tcPr>
            <w:tcW w:w="0" w:type="auto"/>
            <w:shd w:val="clear" w:color="auto" w:fill="FFFFFF"/>
            <w:tcMar>
              <w:top w:w="0" w:type="dxa"/>
              <w:left w:w="85" w:type="dxa"/>
              <w:bottom w:w="0" w:type="dxa"/>
              <w:right w:w="85" w:type="dxa"/>
            </w:tcMar>
            <w:vAlign w:val="bottom"/>
          </w:tcPr>
          <w:p w14:paraId="61066B32" w14:textId="77777777" w:rsidR="00EB5913" w:rsidRPr="00021C15" w:rsidRDefault="00EB5913" w:rsidP="00F16E23">
            <w:pPr>
              <w:pStyle w:val="TableText"/>
              <w:spacing w:before="40" w:after="40"/>
              <w:jc w:val="right"/>
              <w:rPr>
                <w:sz w:val="15"/>
                <w:szCs w:val="15"/>
              </w:rPr>
            </w:pPr>
            <w:r w:rsidRPr="00021C15">
              <w:rPr>
                <w:rFonts w:eastAsia="Calibri"/>
                <w:sz w:val="15"/>
                <w:szCs w:val="15"/>
              </w:rPr>
              <w:t>-76.6</w:t>
            </w:r>
          </w:p>
        </w:tc>
        <w:tc>
          <w:tcPr>
            <w:tcW w:w="0" w:type="auto"/>
            <w:shd w:val="clear" w:color="auto" w:fill="FFFFFF"/>
            <w:tcMar>
              <w:top w:w="0" w:type="dxa"/>
              <w:left w:w="85" w:type="dxa"/>
              <w:bottom w:w="0" w:type="dxa"/>
              <w:right w:w="85" w:type="dxa"/>
            </w:tcMar>
            <w:vAlign w:val="bottom"/>
          </w:tcPr>
          <w:p w14:paraId="4E4B46F6" w14:textId="77777777" w:rsidR="00EB5913" w:rsidRPr="00021C15" w:rsidRDefault="00EB5913" w:rsidP="00F16E23">
            <w:pPr>
              <w:pStyle w:val="TableText"/>
              <w:spacing w:before="40" w:after="40"/>
              <w:jc w:val="right"/>
              <w:rPr>
                <w:sz w:val="15"/>
                <w:szCs w:val="15"/>
              </w:rPr>
            </w:pPr>
            <w:r w:rsidRPr="00021C15">
              <w:rPr>
                <w:rFonts w:eastAsia="Calibri"/>
                <w:sz w:val="15"/>
                <w:szCs w:val="15"/>
              </w:rPr>
              <w:t>-1.6</w:t>
            </w:r>
          </w:p>
        </w:tc>
        <w:tc>
          <w:tcPr>
            <w:tcW w:w="0" w:type="auto"/>
            <w:shd w:val="clear" w:color="auto" w:fill="FFFFFF"/>
            <w:tcMar>
              <w:top w:w="0" w:type="dxa"/>
              <w:left w:w="85" w:type="dxa"/>
              <w:bottom w:w="0" w:type="dxa"/>
              <w:right w:w="85" w:type="dxa"/>
            </w:tcMar>
            <w:vAlign w:val="bottom"/>
          </w:tcPr>
          <w:p w14:paraId="38EE377D" w14:textId="77777777" w:rsidR="00EB5913" w:rsidRPr="00021C15" w:rsidRDefault="00EB5913" w:rsidP="00F16E23">
            <w:pPr>
              <w:pStyle w:val="TableText"/>
              <w:spacing w:before="40" w:after="40"/>
              <w:jc w:val="right"/>
              <w:rPr>
                <w:sz w:val="15"/>
                <w:szCs w:val="15"/>
              </w:rPr>
            </w:pPr>
            <w:r w:rsidRPr="00021C15">
              <w:rPr>
                <w:rFonts w:eastAsia="Calibri"/>
                <w:sz w:val="15"/>
                <w:szCs w:val="15"/>
              </w:rPr>
              <w:t>-43.1</w:t>
            </w:r>
          </w:p>
        </w:tc>
        <w:tc>
          <w:tcPr>
            <w:tcW w:w="0" w:type="auto"/>
            <w:shd w:val="clear" w:color="auto" w:fill="FFFFFF"/>
            <w:tcMar>
              <w:top w:w="0" w:type="dxa"/>
              <w:left w:w="85" w:type="dxa"/>
              <w:bottom w:w="0" w:type="dxa"/>
              <w:right w:w="85" w:type="dxa"/>
            </w:tcMar>
            <w:vAlign w:val="bottom"/>
          </w:tcPr>
          <w:p w14:paraId="25D3945F" w14:textId="77777777" w:rsidR="00EB5913" w:rsidRPr="00021C15" w:rsidRDefault="00EB5913" w:rsidP="00F16E23">
            <w:pPr>
              <w:pStyle w:val="TableText"/>
              <w:spacing w:before="40" w:after="40"/>
              <w:jc w:val="right"/>
              <w:rPr>
                <w:sz w:val="15"/>
                <w:szCs w:val="15"/>
              </w:rPr>
            </w:pPr>
            <w:r w:rsidRPr="00021C15">
              <w:rPr>
                <w:rFonts w:eastAsia="Calibri"/>
                <w:sz w:val="15"/>
                <w:szCs w:val="15"/>
              </w:rPr>
              <w:t>-28.6</w:t>
            </w:r>
          </w:p>
        </w:tc>
        <w:tc>
          <w:tcPr>
            <w:tcW w:w="0" w:type="auto"/>
            <w:shd w:val="clear" w:color="auto" w:fill="FFFFFF"/>
            <w:tcMar>
              <w:top w:w="0" w:type="dxa"/>
              <w:left w:w="85" w:type="dxa"/>
              <w:bottom w:w="0" w:type="dxa"/>
              <w:right w:w="85" w:type="dxa"/>
            </w:tcMar>
            <w:vAlign w:val="bottom"/>
          </w:tcPr>
          <w:p w14:paraId="40EFD1CF" w14:textId="77777777" w:rsidR="00EB5913" w:rsidRPr="00021C15" w:rsidRDefault="00EB5913" w:rsidP="00F16E23">
            <w:pPr>
              <w:pStyle w:val="TableText"/>
              <w:spacing w:before="40" w:after="40"/>
              <w:jc w:val="right"/>
              <w:rPr>
                <w:sz w:val="15"/>
                <w:szCs w:val="15"/>
              </w:rPr>
            </w:pPr>
            <w:r w:rsidRPr="00021C15">
              <w:rPr>
                <w:rFonts w:eastAsia="Calibri"/>
                <w:sz w:val="15"/>
                <w:szCs w:val="15"/>
              </w:rPr>
              <w:t>-0.8</w:t>
            </w:r>
          </w:p>
        </w:tc>
      </w:tr>
      <w:tr w:rsidR="00EB5913" w:rsidRPr="00021C15" w14:paraId="5768AECE" w14:textId="77777777" w:rsidTr="00F16E23">
        <w:tc>
          <w:tcPr>
            <w:tcW w:w="1399" w:type="dxa"/>
            <w:shd w:val="clear" w:color="auto" w:fill="FFFFFF"/>
            <w:tcMar>
              <w:top w:w="0" w:type="dxa"/>
              <w:left w:w="85" w:type="dxa"/>
              <w:bottom w:w="0" w:type="dxa"/>
              <w:right w:w="85" w:type="dxa"/>
            </w:tcMar>
            <w:vAlign w:val="center"/>
          </w:tcPr>
          <w:p w14:paraId="76264800" w14:textId="77777777" w:rsidR="00EB5913" w:rsidRPr="00021C15" w:rsidRDefault="00EB5913" w:rsidP="00F16E23">
            <w:pPr>
              <w:pStyle w:val="Tableboldblue"/>
              <w:spacing w:before="40" w:after="40"/>
              <w:rPr>
                <w:sz w:val="15"/>
                <w:szCs w:val="15"/>
              </w:rPr>
            </w:pPr>
            <w:r w:rsidRPr="00021C15">
              <w:rPr>
                <w:rFonts w:eastAsia="Calibri"/>
                <w:sz w:val="15"/>
                <w:szCs w:val="15"/>
              </w:rPr>
              <w:t>Total (5.C)</w:t>
            </w:r>
          </w:p>
        </w:tc>
        <w:tc>
          <w:tcPr>
            <w:tcW w:w="824" w:type="dxa"/>
            <w:shd w:val="clear" w:color="auto" w:fill="FFFFFF"/>
            <w:tcMar>
              <w:top w:w="0" w:type="dxa"/>
              <w:left w:w="85" w:type="dxa"/>
              <w:bottom w:w="0" w:type="dxa"/>
              <w:right w:w="85" w:type="dxa"/>
            </w:tcMar>
            <w:vAlign w:val="center"/>
          </w:tcPr>
          <w:p w14:paraId="35A5183E"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350.2</w:t>
            </w:r>
          </w:p>
        </w:tc>
        <w:tc>
          <w:tcPr>
            <w:tcW w:w="0" w:type="auto"/>
            <w:shd w:val="clear" w:color="auto" w:fill="FFFFFF"/>
            <w:tcMar>
              <w:top w:w="0" w:type="dxa"/>
              <w:left w:w="85" w:type="dxa"/>
              <w:bottom w:w="0" w:type="dxa"/>
              <w:right w:w="85" w:type="dxa"/>
            </w:tcMar>
            <w:vAlign w:val="center"/>
          </w:tcPr>
          <w:p w14:paraId="199FE043"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272.3</w:t>
            </w:r>
          </w:p>
        </w:tc>
        <w:tc>
          <w:tcPr>
            <w:tcW w:w="0" w:type="auto"/>
            <w:shd w:val="clear" w:color="auto" w:fill="FFFFFF"/>
            <w:tcMar>
              <w:top w:w="0" w:type="dxa"/>
              <w:left w:w="85" w:type="dxa"/>
              <w:bottom w:w="0" w:type="dxa"/>
              <w:right w:w="85" w:type="dxa"/>
            </w:tcMar>
            <w:vAlign w:val="center"/>
          </w:tcPr>
          <w:p w14:paraId="256B26BC"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194.6</w:t>
            </w:r>
          </w:p>
        </w:tc>
        <w:tc>
          <w:tcPr>
            <w:tcW w:w="0" w:type="auto"/>
            <w:shd w:val="clear" w:color="auto" w:fill="FFFFFF"/>
            <w:tcMar>
              <w:top w:w="0" w:type="dxa"/>
              <w:left w:w="85" w:type="dxa"/>
              <w:bottom w:w="0" w:type="dxa"/>
              <w:right w:w="85" w:type="dxa"/>
            </w:tcMar>
            <w:vAlign w:val="center"/>
          </w:tcPr>
          <w:p w14:paraId="1AB9BD36"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193.0</w:t>
            </w:r>
          </w:p>
        </w:tc>
        <w:tc>
          <w:tcPr>
            <w:tcW w:w="0" w:type="auto"/>
            <w:shd w:val="clear" w:color="auto" w:fill="FFFFFF"/>
            <w:tcMar>
              <w:top w:w="0" w:type="dxa"/>
              <w:left w:w="85" w:type="dxa"/>
              <w:bottom w:w="0" w:type="dxa"/>
              <w:right w:w="85" w:type="dxa"/>
            </w:tcMar>
            <w:vAlign w:val="center"/>
          </w:tcPr>
          <w:p w14:paraId="629C7BF5"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-157.3</w:t>
            </w:r>
          </w:p>
        </w:tc>
        <w:tc>
          <w:tcPr>
            <w:tcW w:w="0" w:type="auto"/>
            <w:shd w:val="clear" w:color="auto" w:fill="FFFFFF"/>
            <w:tcMar>
              <w:top w:w="0" w:type="dxa"/>
              <w:left w:w="85" w:type="dxa"/>
              <w:bottom w:w="0" w:type="dxa"/>
              <w:right w:w="85" w:type="dxa"/>
            </w:tcMar>
            <w:vAlign w:val="center"/>
          </w:tcPr>
          <w:p w14:paraId="284C60D0"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-79.4</w:t>
            </w:r>
          </w:p>
        </w:tc>
        <w:tc>
          <w:tcPr>
            <w:tcW w:w="0" w:type="auto"/>
            <w:shd w:val="clear" w:color="auto" w:fill="FFFFFF"/>
            <w:tcMar>
              <w:top w:w="0" w:type="dxa"/>
              <w:left w:w="85" w:type="dxa"/>
              <w:bottom w:w="0" w:type="dxa"/>
              <w:right w:w="85" w:type="dxa"/>
            </w:tcMar>
            <w:vAlign w:val="center"/>
          </w:tcPr>
          <w:p w14:paraId="152ADA3D"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-1.6</w:t>
            </w:r>
          </w:p>
        </w:tc>
        <w:tc>
          <w:tcPr>
            <w:tcW w:w="0" w:type="auto"/>
            <w:shd w:val="clear" w:color="auto" w:fill="FFFFFF"/>
            <w:tcMar>
              <w:top w:w="0" w:type="dxa"/>
              <w:left w:w="85" w:type="dxa"/>
              <w:bottom w:w="0" w:type="dxa"/>
              <w:right w:w="85" w:type="dxa"/>
            </w:tcMar>
            <w:vAlign w:val="center"/>
          </w:tcPr>
          <w:p w14:paraId="2803255C"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-44.9</w:t>
            </w:r>
          </w:p>
        </w:tc>
        <w:tc>
          <w:tcPr>
            <w:tcW w:w="0" w:type="auto"/>
            <w:shd w:val="clear" w:color="auto" w:fill="FFFFFF"/>
            <w:tcMar>
              <w:top w:w="0" w:type="dxa"/>
              <w:left w:w="85" w:type="dxa"/>
              <w:bottom w:w="0" w:type="dxa"/>
              <w:right w:w="85" w:type="dxa"/>
            </w:tcMar>
            <w:vAlign w:val="center"/>
          </w:tcPr>
          <w:p w14:paraId="1BBD140A"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-29.1</w:t>
            </w:r>
          </w:p>
        </w:tc>
        <w:tc>
          <w:tcPr>
            <w:tcW w:w="0" w:type="auto"/>
            <w:shd w:val="clear" w:color="auto" w:fill="FFFFFF"/>
            <w:tcMar>
              <w:top w:w="0" w:type="dxa"/>
              <w:left w:w="85" w:type="dxa"/>
              <w:bottom w:w="0" w:type="dxa"/>
              <w:right w:w="85" w:type="dxa"/>
            </w:tcMar>
            <w:vAlign w:val="center"/>
          </w:tcPr>
          <w:p w14:paraId="3FB68066" w14:textId="77777777" w:rsidR="00EB5913" w:rsidRPr="00021C15" w:rsidRDefault="00EB5913" w:rsidP="00F16E23">
            <w:pPr>
              <w:pStyle w:val="Tableboldblue"/>
              <w:spacing w:before="40" w:after="40"/>
              <w:jc w:val="right"/>
              <w:rPr>
                <w:sz w:val="15"/>
                <w:szCs w:val="15"/>
              </w:rPr>
            </w:pPr>
            <w:r w:rsidRPr="00021C15">
              <w:rPr>
                <w:rFonts w:eastAsia="Calibri"/>
                <w:sz w:val="15"/>
                <w:szCs w:val="15"/>
              </w:rPr>
              <w:t>-0.8</w:t>
            </w:r>
          </w:p>
        </w:tc>
      </w:tr>
    </w:tbl>
    <w:p w14:paraId="6607084C" w14:textId="77777777" w:rsidR="00EB5913" w:rsidRPr="006623B9" w:rsidRDefault="00EB5913" w:rsidP="00EB5913">
      <w:pPr>
        <w:pStyle w:val="Noteundertable"/>
      </w:pPr>
      <w:r w:rsidRPr="006623B9">
        <w:rPr>
          <w:b/>
          <w:bCs/>
        </w:rPr>
        <w:t>Note:</w:t>
      </w:r>
      <w:r w:rsidRPr="006623B9">
        <w:t xml:space="preserve"> Percentages presented are calculated from unrounded values.</w:t>
      </w:r>
    </w:p>
    <w:p w14:paraId="36D6484A" w14:textId="77777777" w:rsidR="00EB5913" w:rsidRPr="006623B9" w:rsidRDefault="00EB5913" w:rsidP="00021C15">
      <w:pPr>
        <w:pStyle w:val="BodyText"/>
        <w:spacing w:after="0"/>
      </w:pPr>
      <w:r w:rsidRPr="006623B9">
        <w:t xml:space="preserve">Carbon dioxide emissions from the </w:t>
      </w:r>
      <w:r w:rsidRPr="006623B9">
        <w:rPr>
          <w:i/>
          <w:iCs/>
        </w:rPr>
        <w:t>Incineration and open burning of waste</w:t>
      </w:r>
      <w:r w:rsidRPr="006623B9">
        <w:t xml:space="preserve"> source category were identified as a key category in the 2024 trend assessment.</w:t>
      </w:r>
    </w:p>
    <w:p w14:paraId="55A02250" w14:textId="77777777" w:rsidR="00EB5913" w:rsidRPr="006623B9" w:rsidRDefault="00EB5913" w:rsidP="00EB5913">
      <w:pPr>
        <w:pStyle w:val="Heading3"/>
      </w:pPr>
      <w:bookmarkStart w:id="3071" w:name="methodological-issues-2"/>
      <w:bookmarkEnd w:id="3069"/>
      <w:r w:rsidRPr="006623B9">
        <w:t xml:space="preserve">7.4.2 </w:t>
      </w:r>
      <w:r w:rsidRPr="006623B9">
        <w:tab/>
        <w:t>Methodological issues</w:t>
      </w:r>
    </w:p>
    <w:p w14:paraId="7B513252" w14:textId="77777777" w:rsidR="00EB5913" w:rsidRPr="006623B9" w:rsidRDefault="00EB5913" w:rsidP="00EB5913">
      <w:pPr>
        <w:pStyle w:val="Heading4"/>
        <w:spacing w:before="180"/>
      </w:pPr>
      <w:bookmarkStart w:id="3072" w:name="choice-of-activity-data-2"/>
      <w:r w:rsidRPr="006623B9">
        <w:t>Choice of activity data</w:t>
      </w:r>
    </w:p>
    <w:p w14:paraId="75047D21" w14:textId="77777777" w:rsidR="00EB5913" w:rsidRPr="006623B9" w:rsidRDefault="00EB5913" w:rsidP="00EB5913">
      <w:pPr>
        <w:pStyle w:val="Heading5"/>
        <w:spacing w:before="180"/>
      </w:pPr>
      <w:bookmarkStart w:id="3073" w:name="waste-incineration-5.c.1"/>
      <w:r w:rsidRPr="006623B9">
        <w:t>Waste incineration (5.C.1)</w:t>
      </w:r>
    </w:p>
    <w:p w14:paraId="4841593E" w14:textId="77777777" w:rsidR="00EB5913" w:rsidRPr="006623B9" w:rsidRDefault="00EB5913" w:rsidP="00EB5913">
      <w:pPr>
        <w:pStyle w:val="BodyText"/>
      </w:pPr>
      <w:r w:rsidRPr="006623B9">
        <w:t>Limited information was available from individual site operators on the amount of waste burned between 1990 and 2008. For most sites, these activity data needed to be inferred because the only evidence available was the capacity of equipment and the amounts allowed by consent conditions. For the years after 2008, it has generally been assumed that facilities are continuing in operation at the same rates, in the absence of better information.</w:t>
      </w:r>
    </w:p>
    <w:p w14:paraId="0E097BEA" w14:textId="77777777" w:rsidR="00EB5913" w:rsidRPr="006623B9" w:rsidRDefault="00EB5913" w:rsidP="00EB5913">
      <w:pPr>
        <w:pStyle w:val="BodyText"/>
      </w:pPr>
      <w:r w:rsidRPr="006623B9">
        <w:t>Table 7.4.2 presents activity data for incineration.</w:t>
      </w:r>
    </w:p>
    <w:p w14:paraId="1CE37210" w14:textId="77777777" w:rsidR="00EB5913" w:rsidRPr="006623B9" w:rsidRDefault="00EB5913" w:rsidP="00EB5913">
      <w:pPr>
        <w:pStyle w:val="Table"/>
      </w:pPr>
      <w:bookmarkStart w:id="3074" w:name="_Toc226669115"/>
      <w:r w:rsidRPr="006623B9">
        <w:t xml:space="preserve">Table 7.4.2 </w:t>
      </w:r>
      <w:r w:rsidRPr="006623B9">
        <w:tab/>
        <w:t xml:space="preserve">Amounts of waste incinerated, from </w:t>
      </w:r>
      <w:r w:rsidRPr="006623B9">
        <w:rPr>
          <w:bCs/>
        </w:rPr>
        <w:t>1990</w:t>
      </w:r>
      <w:r w:rsidRPr="006623B9">
        <w:t>·to·</w:t>
      </w:r>
      <w:r w:rsidRPr="006623B9">
        <w:rPr>
          <w:bCs/>
        </w:rPr>
        <w:t>2024</w:t>
      </w:r>
      <w:bookmarkEnd w:id="307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16"/>
        <w:gridCol w:w="1673"/>
        <w:gridCol w:w="1955"/>
        <w:gridCol w:w="1760"/>
        <w:gridCol w:w="2490"/>
      </w:tblGrid>
      <w:tr w:rsidR="00EB5913" w:rsidRPr="006623B9" w14:paraId="78BFCC6B" w14:textId="77777777" w:rsidTr="00F16E23">
        <w:trPr>
          <w:tblHeader/>
        </w:trPr>
        <w:tc>
          <w:tcPr>
            <w:tcW w:w="0" w:type="auto"/>
            <w:shd w:val="clear" w:color="auto" w:fill="1B556B"/>
            <w:tcMar>
              <w:top w:w="0" w:type="dxa"/>
              <w:left w:w="85" w:type="dxa"/>
              <w:bottom w:w="0" w:type="dxa"/>
              <w:right w:w="85" w:type="dxa"/>
            </w:tcMar>
            <w:vAlign w:val="center"/>
          </w:tcPr>
          <w:p w14:paraId="5C9B902D" w14:textId="77777777" w:rsidR="00EB5913" w:rsidRPr="006623B9" w:rsidRDefault="00EB5913" w:rsidP="00F16E23">
            <w:pPr>
              <w:pStyle w:val="TableTextBold"/>
              <w:spacing w:before="40" w:after="40"/>
              <w:rPr>
                <w:rFonts w:cs="Calibri"/>
                <w:noProof w:val="0"/>
                <w:color w:val="FFFFFF" w:themeColor="background1"/>
                <w:szCs w:val="16"/>
              </w:rPr>
            </w:pPr>
            <w:r w:rsidRPr="006623B9">
              <w:rPr>
                <w:rFonts w:cs="Calibri"/>
                <w:noProof w:val="0"/>
                <w:color w:val="FFFFFF" w:themeColor="background1"/>
                <w:szCs w:val="16"/>
              </w:rPr>
              <w:t>Year</w:t>
            </w:r>
          </w:p>
        </w:tc>
        <w:tc>
          <w:tcPr>
            <w:tcW w:w="0" w:type="auto"/>
            <w:shd w:val="clear" w:color="auto" w:fill="1B556B"/>
            <w:tcMar>
              <w:top w:w="0" w:type="dxa"/>
              <w:left w:w="85" w:type="dxa"/>
              <w:bottom w:w="0" w:type="dxa"/>
              <w:right w:w="85" w:type="dxa"/>
            </w:tcMar>
            <w:vAlign w:val="center"/>
          </w:tcPr>
          <w:p w14:paraId="56F6E94F"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eastAsia="Calibri" w:cs="Calibri"/>
                <w:noProof w:val="0"/>
                <w:color w:val="FFFFFF" w:themeColor="background1"/>
                <w:szCs w:val="16"/>
              </w:rPr>
              <w:t>Clinical waste (kt)</w:t>
            </w:r>
          </w:p>
        </w:tc>
        <w:tc>
          <w:tcPr>
            <w:tcW w:w="0" w:type="auto"/>
            <w:shd w:val="clear" w:color="auto" w:fill="1B556B"/>
            <w:tcMar>
              <w:top w:w="0" w:type="dxa"/>
              <w:left w:w="85" w:type="dxa"/>
              <w:bottom w:w="0" w:type="dxa"/>
              <w:right w:w="85" w:type="dxa"/>
            </w:tcMar>
            <w:vAlign w:val="center"/>
          </w:tcPr>
          <w:p w14:paraId="5961692B"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eastAsia="Calibri" w:cs="Calibri"/>
                <w:noProof w:val="0"/>
                <w:color w:val="FFFFFF" w:themeColor="background1"/>
                <w:szCs w:val="16"/>
              </w:rPr>
              <w:t>Hazardous waste (kt)</w:t>
            </w:r>
          </w:p>
        </w:tc>
        <w:tc>
          <w:tcPr>
            <w:tcW w:w="0" w:type="auto"/>
            <w:shd w:val="clear" w:color="auto" w:fill="1B556B"/>
            <w:tcMar>
              <w:top w:w="0" w:type="dxa"/>
              <w:left w:w="85" w:type="dxa"/>
              <w:bottom w:w="0" w:type="dxa"/>
              <w:right w:w="85" w:type="dxa"/>
            </w:tcMar>
            <w:vAlign w:val="center"/>
          </w:tcPr>
          <w:p w14:paraId="090C7EED"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eastAsia="Calibri" w:cs="Calibri"/>
                <w:noProof w:val="0"/>
                <w:color w:val="FFFFFF" w:themeColor="background1"/>
                <w:szCs w:val="16"/>
              </w:rPr>
              <w:t>Sewage sludge (kt)</w:t>
            </w:r>
          </w:p>
        </w:tc>
        <w:tc>
          <w:tcPr>
            <w:tcW w:w="0" w:type="auto"/>
            <w:shd w:val="clear" w:color="auto" w:fill="1B556B"/>
            <w:tcMar>
              <w:top w:w="0" w:type="dxa"/>
              <w:left w:w="85" w:type="dxa"/>
              <w:bottom w:w="0" w:type="dxa"/>
              <w:right w:w="85" w:type="dxa"/>
            </w:tcMar>
            <w:vAlign w:val="center"/>
          </w:tcPr>
          <w:p w14:paraId="3F6DF794" w14:textId="77777777" w:rsidR="00EB5913" w:rsidRPr="006623B9" w:rsidRDefault="00EB5913" w:rsidP="00F16E23">
            <w:pPr>
              <w:pStyle w:val="TableTextBold"/>
              <w:spacing w:before="40" w:after="40"/>
              <w:jc w:val="right"/>
              <w:rPr>
                <w:rFonts w:cs="Calibri"/>
                <w:noProof w:val="0"/>
                <w:color w:val="FFFFFF" w:themeColor="background1"/>
                <w:szCs w:val="16"/>
              </w:rPr>
            </w:pPr>
            <w:r w:rsidRPr="006623B9">
              <w:rPr>
                <w:rFonts w:eastAsia="Calibri" w:cs="Calibri"/>
                <w:noProof w:val="0"/>
                <w:color w:val="FFFFFF" w:themeColor="background1"/>
                <w:szCs w:val="16"/>
              </w:rPr>
              <w:t>Total waste incinerated (kt)</w:t>
            </w:r>
          </w:p>
        </w:tc>
      </w:tr>
      <w:tr w:rsidR="00EB5913" w:rsidRPr="006623B9" w14:paraId="68BD7530" w14:textId="77777777" w:rsidTr="00F16E23">
        <w:tc>
          <w:tcPr>
            <w:tcW w:w="0" w:type="auto"/>
            <w:shd w:val="clear" w:color="auto" w:fill="FFFFFF"/>
            <w:tcMar>
              <w:top w:w="0" w:type="dxa"/>
              <w:left w:w="85" w:type="dxa"/>
              <w:bottom w:w="0" w:type="dxa"/>
              <w:right w:w="85" w:type="dxa"/>
            </w:tcMar>
            <w:vAlign w:val="center"/>
          </w:tcPr>
          <w:p w14:paraId="71121509"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1990</w:t>
            </w:r>
          </w:p>
        </w:tc>
        <w:tc>
          <w:tcPr>
            <w:tcW w:w="0" w:type="auto"/>
            <w:shd w:val="clear" w:color="auto" w:fill="FFFFFF"/>
            <w:tcMar>
              <w:top w:w="0" w:type="dxa"/>
              <w:left w:w="85" w:type="dxa"/>
              <w:bottom w:w="0" w:type="dxa"/>
              <w:right w:w="85" w:type="dxa"/>
            </w:tcMar>
            <w:vAlign w:val="center"/>
          </w:tcPr>
          <w:p w14:paraId="5DBDF75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21.5</w:t>
            </w:r>
          </w:p>
        </w:tc>
        <w:tc>
          <w:tcPr>
            <w:tcW w:w="0" w:type="auto"/>
            <w:shd w:val="clear" w:color="auto" w:fill="FFFFFF"/>
            <w:tcMar>
              <w:top w:w="0" w:type="dxa"/>
              <w:left w:w="85" w:type="dxa"/>
              <w:bottom w:w="0" w:type="dxa"/>
              <w:right w:w="85" w:type="dxa"/>
            </w:tcMar>
            <w:vAlign w:val="center"/>
          </w:tcPr>
          <w:p w14:paraId="5BC60B2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57A60B5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4.4</w:t>
            </w:r>
          </w:p>
        </w:tc>
        <w:tc>
          <w:tcPr>
            <w:tcW w:w="0" w:type="auto"/>
            <w:shd w:val="clear" w:color="auto" w:fill="FFFFFF"/>
            <w:tcMar>
              <w:top w:w="0" w:type="dxa"/>
              <w:left w:w="85" w:type="dxa"/>
              <w:bottom w:w="0" w:type="dxa"/>
              <w:right w:w="85" w:type="dxa"/>
            </w:tcMar>
            <w:vAlign w:val="center"/>
          </w:tcPr>
          <w:p w14:paraId="180DE95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26.2</w:t>
            </w:r>
          </w:p>
        </w:tc>
      </w:tr>
      <w:tr w:rsidR="00EB5913" w:rsidRPr="006623B9" w14:paraId="109CD36D" w14:textId="77777777" w:rsidTr="00F16E23">
        <w:tc>
          <w:tcPr>
            <w:tcW w:w="0" w:type="auto"/>
            <w:shd w:val="clear" w:color="auto" w:fill="FFFFFF"/>
            <w:tcMar>
              <w:top w:w="0" w:type="dxa"/>
              <w:left w:w="85" w:type="dxa"/>
              <w:bottom w:w="0" w:type="dxa"/>
              <w:right w:w="85" w:type="dxa"/>
            </w:tcMar>
            <w:vAlign w:val="center"/>
          </w:tcPr>
          <w:p w14:paraId="47459053"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1991</w:t>
            </w:r>
          </w:p>
        </w:tc>
        <w:tc>
          <w:tcPr>
            <w:tcW w:w="0" w:type="auto"/>
            <w:shd w:val="clear" w:color="auto" w:fill="FFFFFF"/>
            <w:tcMar>
              <w:top w:w="0" w:type="dxa"/>
              <w:left w:w="85" w:type="dxa"/>
              <w:bottom w:w="0" w:type="dxa"/>
              <w:right w:w="85" w:type="dxa"/>
            </w:tcMar>
            <w:vAlign w:val="center"/>
          </w:tcPr>
          <w:p w14:paraId="52BE8A7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21.5</w:t>
            </w:r>
          </w:p>
        </w:tc>
        <w:tc>
          <w:tcPr>
            <w:tcW w:w="0" w:type="auto"/>
            <w:shd w:val="clear" w:color="auto" w:fill="FFFFFF"/>
            <w:tcMar>
              <w:top w:w="0" w:type="dxa"/>
              <w:left w:w="85" w:type="dxa"/>
              <w:bottom w:w="0" w:type="dxa"/>
              <w:right w:w="85" w:type="dxa"/>
            </w:tcMar>
            <w:vAlign w:val="center"/>
          </w:tcPr>
          <w:p w14:paraId="72D371B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34BE5BF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4.4</w:t>
            </w:r>
          </w:p>
        </w:tc>
        <w:tc>
          <w:tcPr>
            <w:tcW w:w="0" w:type="auto"/>
            <w:shd w:val="clear" w:color="auto" w:fill="FFFFFF"/>
            <w:tcMar>
              <w:top w:w="0" w:type="dxa"/>
              <w:left w:w="85" w:type="dxa"/>
              <w:bottom w:w="0" w:type="dxa"/>
              <w:right w:w="85" w:type="dxa"/>
            </w:tcMar>
            <w:vAlign w:val="center"/>
          </w:tcPr>
          <w:p w14:paraId="05D9D3B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26.2</w:t>
            </w:r>
          </w:p>
        </w:tc>
      </w:tr>
      <w:tr w:rsidR="00EB5913" w:rsidRPr="006623B9" w14:paraId="1D6CAF69" w14:textId="77777777" w:rsidTr="00F16E23">
        <w:tc>
          <w:tcPr>
            <w:tcW w:w="0" w:type="auto"/>
            <w:shd w:val="clear" w:color="auto" w:fill="FFFFFF"/>
            <w:tcMar>
              <w:top w:w="0" w:type="dxa"/>
              <w:left w:w="85" w:type="dxa"/>
              <w:bottom w:w="0" w:type="dxa"/>
              <w:right w:w="85" w:type="dxa"/>
            </w:tcMar>
            <w:vAlign w:val="center"/>
          </w:tcPr>
          <w:p w14:paraId="6B67C74D"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1992</w:t>
            </w:r>
          </w:p>
        </w:tc>
        <w:tc>
          <w:tcPr>
            <w:tcW w:w="0" w:type="auto"/>
            <w:shd w:val="clear" w:color="auto" w:fill="FFFFFF"/>
            <w:tcMar>
              <w:top w:w="0" w:type="dxa"/>
              <w:left w:w="85" w:type="dxa"/>
              <w:bottom w:w="0" w:type="dxa"/>
              <w:right w:w="85" w:type="dxa"/>
            </w:tcMar>
            <w:vAlign w:val="center"/>
          </w:tcPr>
          <w:p w14:paraId="0755B27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21.5</w:t>
            </w:r>
          </w:p>
        </w:tc>
        <w:tc>
          <w:tcPr>
            <w:tcW w:w="0" w:type="auto"/>
            <w:shd w:val="clear" w:color="auto" w:fill="FFFFFF"/>
            <w:tcMar>
              <w:top w:w="0" w:type="dxa"/>
              <w:left w:w="85" w:type="dxa"/>
              <w:bottom w:w="0" w:type="dxa"/>
              <w:right w:w="85" w:type="dxa"/>
            </w:tcMar>
            <w:vAlign w:val="center"/>
          </w:tcPr>
          <w:p w14:paraId="7DAD0CE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72D4A2D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4.3</w:t>
            </w:r>
          </w:p>
        </w:tc>
        <w:tc>
          <w:tcPr>
            <w:tcW w:w="0" w:type="auto"/>
            <w:shd w:val="clear" w:color="auto" w:fill="FFFFFF"/>
            <w:tcMar>
              <w:top w:w="0" w:type="dxa"/>
              <w:left w:w="85" w:type="dxa"/>
              <w:bottom w:w="0" w:type="dxa"/>
              <w:right w:w="85" w:type="dxa"/>
            </w:tcMar>
            <w:vAlign w:val="center"/>
          </w:tcPr>
          <w:p w14:paraId="62777FB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26.2</w:t>
            </w:r>
          </w:p>
        </w:tc>
      </w:tr>
      <w:tr w:rsidR="00EB5913" w:rsidRPr="006623B9" w14:paraId="448BE1A7" w14:textId="77777777" w:rsidTr="00F16E23">
        <w:tc>
          <w:tcPr>
            <w:tcW w:w="0" w:type="auto"/>
            <w:shd w:val="clear" w:color="auto" w:fill="FFFFFF"/>
            <w:tcMar>
              <w:top w:w="0" w:type="dxa"/>
              <w:left w:w="85" w:type="dxa"/>
              <w:bottom w:w="0" w:type="dxa"/>
              <w:right w:w="85" w:type="dxa"/>
            </w:tcMar>
            <w:vAlign w:val="center"/>
          </w:tcPr>
          <w:p w14:paraId="6D920DA2"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1993</w:t>
            </w:r>
          </w:p>
        </w:tc>
        <w:tc>
          <w:tcPr>
            <w:tcW w:w="0" w:type="auto"/>
            <w:shd w:val="clear" w:color="auto" w:fill="FFFFFF"/>
            <w:tcMar>
              <w:top w:w="0" w:type="dxa"/>
              <w:left w:w="85" w:type="dxa"/>
              <w:bottom w:w="0" w:type="dxa"/>
              <w:right w:w="85" w:type="dxa"/>
            </w:tcMar>
            <w:vAlign w:val="center"/>
          </w:tcPr>
          <w:p w14:paraId="1721EC6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21.3</w:t>
            </w:r>
          </w:p>
        </w:tc>
        <w:tc>
          <w:tcPr>
            <w:tcW w:w="0" w:type="auto"/>
            <w:shd w:val="clear" w:color="auto" w:fill="FFFFFF"/>
            <w:tcMar>
              <w:top w:w="0" w:type="dxa"/>
              <w:left w:w="85" w:type="dxa"/>
              <w:bottom w:w="0" w:type="dxa"/>
              <w:right w:w="85" w:type="dxa"/>
            </w:tcMar>
            <w:vAlign w:val="center"/>
          </w:tcPr>
          <w:p w14:paraId="0B77CCB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0DF56E6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4.4</w:t>
            </w:r>
          </w:p>
        </w:tc>
        <w:tc>
          <w:tcPr>
            <w:tcW w:w="0" w:type="auto"/>
            <w:shd w:val="clear" w:color="auto" w:fill="FFFFFF"/>
            <w:tcMar>
              <w:top w:w="0" w:type="dxa"/>
              <w:left w:w="85" w:type="dxa"/>
              <w:bottom w:w="0" w:type="dxa"/>
              <w:right w:w="85" w:type="dxa"/>
            </w:tcMar>
            <w:vAlign w:val="center"/>
          </w:tcPr>
          <w:p w14:paraId="1B9880A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26.0</w:t>
            </w:r>
          </w:p>
        </w:tc>
      </w:tr>
      <w:tr w:rsidR="00EB5913" w:rsidRPr="006623B9" w14:paraId="2F414F72" w14:textId="77777777" w:rsidTr="00F16E23">
        <w:tc>
          <w:tcPr>
            <w:tcW w:w="0" w:type="auto"/>
            <w:shd w:val="clear" w:color="auto" w:fill="FFFFFF"/>
            <w:tcMar>
              <w:top w:w="0" w:type="dxa"/>
              <w:left w:w="85" w:type="dxa"/>
              <w:bottom w:w="0" w:type="dxa"/>
              <w:right w:w="85" w:type="dxa"/>
            </w:tcMar>
            <w:vAlign w:val="center"/>
          </w:tcPr>
          <w:p w14:paraId="455CA7D9"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1994</w:t>
            </w:r>
          </w:p>
        </w:tc>
        <w:tc>
          <w:tcPr>
            <w:tcW w:w="0" w:type="auto"/>
            <w:shd w:val="clear" w:color="auto" w:fill="FFFFFF"/>
            <w:tcMar>
              <w:top w:w="0" w:type="dxa"/>
              <w:left w:w="85" w:type="dxa"/>
              <w:bottom w:w="0" w:type="dxa"/>
              <w:right w:w="85" w:type="dxa"/>
            </w:tcMar>
            <w:vAlign w:val="center"/>
          </w:tcPr>
          <w:p w14:paraId="0EA0040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21.3</w:t>
            </w:r>
          </w:p>
        </w:tc>
        <w:tc>
          <w:tcPr>
            <w:tcW w:w="0" w:type="auto"/>
            <w:shd w:val="clear" w:color="auto" w:fill="FFFFFF"/>
            <w:tcMar>
              <w:top w:w="0" w:type="dxa"/>
              <w:left w:w="85" w:type="dxa"/>
              <w:bottom w:w="0" w:type="dxa"/>
              <w:right w:w="85" w:type="dxa"/>
            </w:tcMar>
            <w:vAlign w:val="center"/>
          </w:tcPr>
          <w:p w14:paraId="2BC846D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3D531B1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4.3</w:t>
            </w:r>
          </w:p>
        </w:tc>
        <w:tc>
          <w:tcPr>
            <w:tcW w:w="0" w:type="auto"/>
            <w:shd w:val="clear" w:color="auto" w:fill="FFFFFF"/>
            <w:tcMar>
              <w:top w:w="0" w:type="dxa"/>
              <w:left w:w="85" w:type="dxa"/>
              <w:bottom w:w="0" w:type="dxa"/>
              <w:right w:w="85" w:type="dxa"/>
            </w:tcMar>
            <w:vAlign w:val="center"/>
          </w:tcPr>
          <w:p w14:paraId="38444CC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26.0</w:t>
            </w:r>
          </w:p>
        </w:tc>
      </w:tr>
      <w:tr w:rsidR="00EB5913" w:rsidRPr="006623B9" w14:paraId="02231355" w14:textId="77777777" w:rsidTr="00F16E23">
        <w:tc>
          <w:tcPr>
            <w:tcW w:w="0" w:type="auto"/>
            <w:shd w:val="clear" w:color="auto" w:fill="FFFFFF"/>
            <w:tcMar>
              <w:top w:w="0" w:type="dxa"/>
              <w:left w:w="85" w:type="dxa"/>
              <w:bottom w:w="0" w:type="dxa"/>
              <w:right w:w="85" w:type="dxa"/>
            </w:tcMar>
            <w:vAlign w:val="center"/>
          </w:tcPr>
          <w:p w14:paraId="77919F41"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1995</w:t>
            </w:r>
          </w:p>
        </w:tc>
        <w:tc>
          <w:tcPr>
            <w:tcW w:w="0" w:type="auto"/>
            <w:shd w:val="clear" w:color="auto" w:fill="FFFFFF"/>
            <w:tcMar>
              <w:top w:w="0" w:type="dxa"/>
              <w:left w:w="85" w:type="dxa"/>
              <w:bottom w:w="0" w:type="dxa"/>
              <w:right w:w="85" w:type="dxa"/>
            </w:tcMar>
            <w:vAlign w:val="center"/>
          </w:tcPr>
          <w:p w14:paraId="28976E7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21.0</w:t>
            </w:r>
          </w:p>
        </w:tc>
        <w:tc>
          <w:tcPr>
            <w:tcW w:w="0" w:type="auto"/>
            <w:shd w:val="clear" w:color="auto" w:fill="FFFFFF"/>
            <w:tcMar>
              <w:top w:w="0" w:type="dxa"/>
              <w:left w:w="85" w:type="dxa"/>
              <w:bottom w:w="0" w:type="dxa"/>
              <w:right w:w="85" w:type="dxa"/>
            </w:tcMar>
            <w:vAlign w:val="center"/>
          </w:tcPr>
          <w:p w14:paraId="5475636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3674668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4.3</w:t>
            </w:r>
          </w:p>
        </w:tc>
        <w:tc>
          <w:tcPr>
            <w:tcW w:w="0" w:type="auto"/>
            <w:shd w:val="clear" w:color="auto" w:fill="FFFFFF"/>
            <w:tcMar>
              <w:top w:w="0" w:type="dxa"/>
              <w:left w:w="85" w:type="dxa"/>
              <w:bottom w:w="0" w:type="dxa"/>
              <w:right w:w="85" w:type="dxa"/>
            </w:tcMar>
            <w:vAlign w:val="center"/>
          </w:tcPr>
          <w:p w14:paraId="2A8D19C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25.7</w:t>
            </w:r>
          </w:p>
        </w:tc>
      </w:tr>
      <w:tr w:rsidR="00EB5913" w:rsidRPr="006623B9" w14:paraId="6D3FFC1F" w14:textId="77777777" w:rsidTr="00F16E23">
        <w:tc>
          <w:tcPr>
            <w:tcW w:w="0" w:type="auto"/>
            <w:shd w:val="clear" w:color="auto" w:fill="FFFFFF"/>
            <w:tcMar>
              <w:top w:w="0" w:type="dxa"/>
              <w:left w:w="85" w:type="dxa"/>
              <w:bottom w:w="0" w:type="dxa"/>
              <w:right w:w="85" w:type="dxa"/>
            </w:tcMar>
            <w:vAlign w:val="center"/>
          </w:tcPr>
          <w:p w14:paraId="16A95928"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1996</w:t>
            </w:r>
          </w:p>
        </w:tc>
        <w:tc>
          <w:tcPr>
            <w:tcW w:w="0" w:type="auto"/>
            <w:shd w:val="clear" w:color="auto" w:fill="FFFFFF"/>
            <w:tcMar>
              <w:top w:w="0" w:type="dxa"/>
              <w:left w:w="85" w:type="dxa"/>
              <w:bottom w:w="0" w:type="dxa"/>
              <w:right w:w="85" w:type="dxa"/>
            </w:tcMar>
            <w:vAlign w:val="center"/>
          </w:tcPr>
          <w:p w14:paraId="79CE0CA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20.3</w:t>
            </w:r>
          </w:p>
        </w:tc>
        <w:tc>
          <w:tcPr>
            <w:tcW w:w="0" w:type="auto"/>
            <w:shd w:val="clear" w:color="auto" w:fill="FFFFFF"/>
            <w:tcMar>
              <w:top w:w="0" w:type="dxa"/>
              <w:left w:w="85" w:type="dxa"/>
              <w:bottom w:w="0" w:type="dxa"/>
              <w:right w:w="85" w:type="dxa"/>
            </w:tcMar>
            <w:vAlign w:val="center"/>
          </w:tcPr>
          <w:p w14:paraId="70C756B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2A56058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4.4</w:t>
            </w:r>
          </w:p>
        </w:tc>
        <w:tc>
          <w:tcPr>
            <w:tcW w:w="0" w:type="auto"/>
            <w:shd w:val="clear" w:color="auto" w:fill="FFFFFF"/>
            <w:tcMar>
              <w:top w:w="0" w:type="dxa"/>
              <w:left w:w="85" w:type="dxa"/>
              <w:bottom w:w="0" w:type="dxa"/>
              <w:right w:w="85" w:type="dxa"/>
            </w:tcMar>
            <w:vAlign w:val="center"/>
          </w:tcPr>
          <w:p w14:paraId="411F6A5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25.0</w:t>
            </w:r>
          </w:p>
        </w:tc>
      </w:tr>
      <w:tr w:rsidR="00EB5913" w:rsidRPr="006623B9" w14:paraId="484CDE5C" w14:textId="77777777" w:rsidTr="00F16E23">
        <w:tc>
          <w:tcPr>
            <w:tcW w:w="0" w:type="auto"/>
            <w:shd w:val="clear" w:color="auto" w:fill="FFFFFF"/>
            <w:tcMar>
              <w:top w:w="0" w:type="dxa"/>
              <w:left w:w="85" w:type="dxa"/>
              <w:bottom w:w="0" w:type="dxa"/>
              <w:right w:w="85" w:type="dxa"/>
            </w:tcMar>
            <w:vAlign w:val="center"/>
          </w:tcPr>
          <w:p w14:paraId="4AB83403"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1997</w:t>
            </w:r>
          </w:p>
        </w:tc>
        <w:tc>
          <w:tcPr>
            <w:tcW w:w="0" w:type="auto"/>
            <w:shd w:val="clear" w:color="auto" w:fill="FFFFFF"/>
            <w:tcMar>
              <w:top w:w="0" w:type="dxa"/>
              <w:left w:w="85" w:type="dxa"/>
              <w:bottom w:w="0" w:type="dxa"/>
              <w:right w:w="85" w:type="dxa"/>
            </w:tcMar>
            <w:vAlign w:val="center"/>
          </w:tcPr>
          <w:p w14:paraId="17B02F9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20.3</w:t>
            </w:r>
          </w:p>
        </w:tc>
        <w:tc>
          <w:tcPr>
            <w:tcW w:w="0" w:type="auto"/>
            <w:shd w:val="clear" w:color="auto" w:fill="FFFFFF"/>
            <w:tcMar>
              <w:top w:w="0" w:type="dxa"/>
              <w:left w:w="85" w:type="dxa"/>
              <w:bottom w:w="0" w:type="dxa"/>
              <w:right w:w="85" w:type="dxa"/>
            </w:tcMar>
            <w:vAlign w:val="center"/>
          </w:tcPr>
          <w:p w14:paraId="5D1E2E7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69E93BB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4.3</w:t>
            </w:r>
          </w:p>
        </w:tc>
        <w:tc>
          <w:tcPr>
            <w:tcW w:w="0" w:type="auto"/>
            <w:shd w:val="clear" w:color="auto" w:fill="FFFFFF"/>
            <w:tcMar>
              <w:top w:w="0" w:type="dxa"/>
              <w:left w:w="85" w:type="dxa"/>
              <w:bottom w:w="0" w:type="dxa"/>
              <w:right w:w="85" w:type="dxa"/>
            </w:tcMar>
            <w:vAlign w:val="center"/>
          </w:tcPr>
          <w:p w14:paraId="33A47C9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25.0</w:t>
            </w:r>
          </w:p>
        </w:tc>
      </w:tr>
      <w:tr w:rsidR="00EB5913" w:rsidRPr="006623B9" w14:paraId="400FE437" w14:textId="77777777" w:rsidTr="00F16E23">
        <w:tc>
          <w:tcPr>
            <w:tcW w:w="0" w:type="auto"/>
            <w:shd w:val="clear" w:color="auto" w:fill="FFFFFF"/>
            <w:tcMar>
              <w:top w:w="0" w:type="dxa"/>
              <w:left w:w="85" w:type="dxa"/>
              <w:bottom w:w="0" w:type="dxa"/>
              <w:right w:w="85" w:type="dxa"/>
            </w:tcMar>
            <w:vAlign w:val="center"/>
          </w:tcPr>
          <w:p w14:paraId="47FB5506"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1998</w:t>
            </w:r>
          </w:p>
        </w:tc>
        <w:tc>
          <w:tcPr>
            <w:tcW w:w="0" w:type="auto"/>
            <w:shd w:val="clear" w:color="auto" w:fill="FFFFFF"/>
            <w:tcMar>
              <w:top w:w="0" w:type="dxa"/>
              <w:left w:w="85" w:type="dxa"/>
              <w:bottom w:w="0" w:type="dxa"/>
              <w:right w:w="85" w:type="dxa"/>
            </w:tcMar>
            <w:vAlign w:val="center"/>
          </w:tcPr>
          <w:p w14:paraId="0FF9ACB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20.0</w:t>
            </w:r>
          </w:p>
        </w:tc>
        <w:tc>
          <w:tcPr>
            <w:tcW w:w="0" w:type="auto"/>
            <w:shd w:val="clear" w:color="auto" w:fill="FFFFFF"/>
            <w:tcMar>
              <w:top w:w="0" w:type="dxa"/>
              <w:left w:w="85" w:type="dxa"/>
              <w:bottom w:w="0" w:type="dxa"/>
              <w:right w:w="85" w:type="dxa"/>
            </w:tcMar>
            <w:vAlign w:val="center"/>
          </w:tcPr>
          <w:p w14:paraId="78637A4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1B5831B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4.2</w:t>
            </w:r>
          </w:p>
        </w:tc>
        <w:tc>
          <w:tcPr>
            <w:tcW w:w="0" w:type="auto"/>
            <w:shd w:val="clear" w:color="auto" w:fill="FFFFFF"/>
            <w:tcMar>
              <w:top w:w="0" w:type="dxa"/>
              <w:left w:w="85" w:type="dxa"/>
              <w:bottom w:w="0" w:type="dxa"/>
              <w:right w:w="85" w:type="dxa"/>
            </w:tcMar>
            <w:vAlign w:val="center"/>
          </w:tcPr>
          <w:p w14:paraId="2179286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24.7</w:t>
            </w:r>
          </w:p>
        </w:tc>
      </w:tr>
      <w:tr w:rsidR="00EB5913" w:rsidRPr="006623B9" w14:paraId="3A2FFEC5" w14:textId="77777777" w:rsidTr="00F16E23">
        <w:tc>
          <w:tcPr>
            <w:tcW w:w="0" w:type="auto"/>
            <w:shd w:val="clear" w:color="auto" w:fill="FFFFFF"/>
            <w:tcMar>
              <w:top w:w="0" w:type="dxa"/>
              <w:left w:w="85" w:type="dxa"/>
              <w:bottom w:w="0" w:type="dxa"/>
              <w:right w:w="85" w:type="dxa"/>
            </w:tcMar>
            <w:vAlign w:val="center"/>
          </w:tcPr>
          <w:p w14:paraId="3CB2E1EE"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1999</w:t>
            </w:r>
          </w:p>
        </w:tc>
        <w:tc>
          <w:tcPr>
            <w:tcW w:w="0" w:type="auto"/>
            <w:shd w:val="clear" w:color="auto" w:fill="FFFFFF"/>
            <w:tcMar>
              <w:top w:w="0" w:type="dxa"/>
              <w:left w:w="85" w:type="dxa"/>
              <w:bottom w:w="0" w:type="dxa"/>
              <w:right w:w="85" w:type="dxa"/>
            </w:tcMar>
            <w:vAlign w:val="center"/>
          </w:tcPr>
          <w:p w14:paraId="35923A0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18.9</w:t>
            </w:r>
          </w:p>
        </w:tc>
        <w:tc>
          <w:tcPr>
            <w:tcW w:w="0" w:type="auto"/>
            <w:shd w:val="clear" w:color="auto" w:fill="FFFFFF"/>
            <w:tcMar>
              <w:top w:w="0" w:type="dxa"/>
              <w:left w:w="85" w:type="dxa"/>
              <w:bottom w:w="0" w:type="dxa"/>
              <w:right w:w="85" w:type="dxa"/>
            </w:tcMar>
            <w:vAlign w:val="center"/>
          </w:tcPr>
          <w:p w14:paraId="45C9253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50A48BF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4.2</w:t>
            </w:r>
          </w:p>
        </w:tc>
        <w:tc>
          <w:tcPr>
            <w:tcW w:w="0" w:type="auto"/>
            <w:shd w:val="clear" w:color="auto" w:fill="FFFFFF"/>
            <w:tcMar>
              <w:top w:w="0" w:type="dxa"/>
              <w:left w:w="85" w:type="dxa"/>
              <w:bottom w:w="0" w:type="dxa"/>
              <w:right w:w="85" w:type="dxa"/>
            </w:tcMar>
            <w:vAlign w:val="center"/>
          </w:tcPr>
          <w:p w14:paraId="5399466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23.6</w:t>
            </w:r>
          </w:p>
        </w:tc>
      </w:tr>
      <w:tr w:rsidR="00EB5913" w:rsidRPr="006623B9" w14:paraId="1FE53091" w14:textId="77777777" w:rsidTr="00F16E23">
        <w:tc>
          <w:tcPr>
            <w:tcW w:w="0" w:type="auto"/>
            <w:shd w:val="clear" w:color="auto" w:fill="FFFFFF"/>
            <w:tcMar>
              <w:top w:w="0" w:type="dxa"/>
              <w:left w:w="85" w:type="dxa"/>
              <w:bottom w:w="0" w:type="dxa"/>
              <w:right w:w="85" w:type="dxa"/>
            </w:tcMar>
            <w:vAlign w:val="center"/>
          </w:tcPr>
          <w:p w14:paraId="5E4D9B5D"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2000</w:t>
            </w:r>
          </w:p>
        </w:tc>
        <w:tc>
          <w:tcPr>
            <w:tcW w:w="0" w:type="auto"/>
            <w:shd w:val="clear" w:color="auto" w:fill="FFFFFF"/>
            <w:tcMar>
              <w:top w:w="0" w:type="dxa"/>
              <w:left w:w="85" w:type="dxa"/>
              <w:bottom w:w="0" w:type="dxa"/>
              <w:right w:w="85" w:type="dxa"/>
            </w:tcMar>
            <w:vAlign w:val="center"/>
          </w:tcPr>
          <w:p w14:paraId="624E29C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17.8</w:t>
            </w:r>
          </w:p>
        </w:tc>
        <w:tc>
          <w:tcPr>
            <w:tcW w:w="0" w:type="auto"/>
            <w:shd w:val="clear" w:color="auto" w:fill="FFFFFF"/>
            <w:tcMar>
              <w:top w:w="0" w:type="dxa"/>
              <w:left w:w="85" w:type="dxa"/>
              <w:bottom w:w="0" w:type="dxa"/>
              <w:right w:w="85" w:type="dxa"/>
            </w:tcMar>
            <w:vAlign w:val="center"/>
          </w:tcPr>
          <w:p w14:paraId="6BA5C62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51B0BB7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2.7</w:t>
            </w:r>
          </w:p>
        </w:tc>
        <w:tc>
          <w:tcPr>
            <w:tcW w:w="0" w:type="auto"/>
            <w:shd w:val="clear" w:color="auto" w:fill="FFFFFF"/>
            <w:tcMar>
              <w:top w:w="0" w:type="dxa"/>
              <w:left w:w="85" w:type="dxa"/>
              <w:bottom w:w="0" w:type="dxa"/>
              <w:right w:w="85" w:type="dxa"/>
            </w:tcMar>
            <w:vAlign w:val="center"/>
          </w:tcPr>
          <w:p w14:paraId="0414755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22.4</w:t>
            </w:r>
          </w:p>
        </w:tc>
      </w:tr>
      <w:tr w:rsidR="00EB5913" w:rsidRPr="006623B9" w14:paraId="76193CC9" w14:textId="77777777" w:rsidTr="00F16E23">
        <w:tc>
          <w:tcPr>
            <w:tcW w:w="0" w:type="auto"/>
            <w:shd w:val="clear" w:color="auto" w:fill="FFFFFF"/>
            <w:tcMar>
              <w:top w:w="0" w:type="dxa"/>
              <w:left w:w="85" w:type="dxa"/>
              <w:bottom w:w="0" w:type="dxa"/>
              <w:right w:w="85" w:type="dxa"/>
            </w:tcMar>
            <w:vAlign w:val="center"/>
          </w:tcPr>
          <w:p w14:paraId="3684EE7D"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2001</w:t>
            </w:r>
          </w:p>
        </w:tc>
        <w:tc>
          <w:tcPr>
            <w:tcW w:w="0" w:type="auto"/>
            <w:shd w:val="clear" w:color="auto" w:fill="FFFFFF"/>
            <w:tcMar>
              <w:top w:w="0" w:type="dxa"/>
              <w:left w:w="85" w:type="dxa"/>
              <w:bottom w:w="0" w:type="dxa"/>
              <w:right w:w="85" w:type="dxa"/>
            </w:tcMar>
            <w:vAlign w:val="center"/>
          </w:tcPr>
          <w:p w14:paraId="24BDF3A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9.3</w:t>
            </w:r>
          </w:p>
        </w:tc>
        <w:tc>
          <w:tcPr>
            <w:tcW w:w="0" w:type="auto"/>
            <w:shd w:val="clear" w:color="auto" w:fill="FFFFFF"/>
            <w:tcMar>
              <w:top w:w="0" w:type="dxa"/>
              <w:left w:w="85" w:type="dxa"/>
              <w:bottom w:w="0" w:type="dxa"/>
              <w:right w:w="85" w:type="dxa"/>
            </w:tcMar>
            <w:vAlign w:val="center"/>
          </w:tcPr>
          <w:p w14:paraId="2638F0A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7175569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4.1</w:t>
            </w:r>
          </w:p>
        </w:tc>
        <w:tc>
          <w:tcPr>
            <w:tcW w:w="0" w:type="auto"/>
            <w:shd w:val="clear" w:color="auto" w:fill="FFFFFF"/>
            <w:tcMar>
              <w:top w:w="0" w:type="dxa"/>
              <w:left w:w="85" w:type="dxa"/>
              <w:bottom w:w="0" w:type="dxa"/>
              <w:right w:w="85" w:type="dxa"/>
            </w:tcMar>
            <w:vAlign w:val="center"/>
          </w:tcPr>
          <w:p w14:paraId="3D86C3F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13.9</w:t>
            </w:r>
          </w:p>
        </w:tc>
      </w:tr>
      <w:tr w:rsidR="00EB5913" w:rsidRPr="006623B9" w14:paraId="5CB6B716" w14:textId="77777777" w:rsidTr="00F16E23">
        <w:tc>
          <w:tcPr>
            <w:tcW w:w="0" w:type="auto"/>
            <w:shd w:val="clear" w:color="auto" w:fill="FFFFFF"/>
            <w:tcMar>
              <w:top w:w="0" w:type="dxa"/>
              <w:left w:w="85" w:type="dxa"/>
              <w:bottom w:w="0" w:type="dxa"/>
              <w:right w:w="85" w:type="dxa"/>
            </w:tcMar>
            <w:vAlign w:val="center"/>
          </w:tcPr>
          <w:p w14:paraId="413DEB99"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2002</w:t>
            </w:r>
          </w:p>
        </w:tc>
        <w:tc>
          <w:tcPr>
            <w:tcW w:w="0" w:type="auto"/>
            <w:shd w:val="clear" w:color="auto" w:fill="FFFFFF"/>
            <w:tcMar>
              <w:top w:w="0" w:type="dxa"/>
              <w:left w:w="85" w:type="dxa"/>
              <w:bottom w:w="0" w:type="dxa"/>
              <w:right w:w="85" w:type="dxa"/>
            </w:tcMar>
            <w:vAlign w:val="center"/>
          </w:tcPr>
          <w:p w14:paraId="7F841AB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8.2</w:t>
            </w:r>
          </w:p>
        </w:tc>
        <w:tc>
          <w:tcPr>
            <w:tcW w:w="0" w:type="auto"/>
            <w:shd w:val="clear" w:color="auto" w:fill="FFFFFF"/>
            <w:tcMar>
              <w:top w:w="0" w:type="dxa"/>
              <w:left w:w="85" w:type="dxa"/>
              <w:bottom w:w="0" w:type="dxa"/>
              <w:right w:w="85" w:type="dxa"/>
            </w:tcMar>
            <w:vAlign w:val="center"/>
          </w:tcPr>
          <w:p w14:paraId="0A02631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189FECE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4.0</w:t>
            </w:r>
          </w:p>
        </w:tc>
        <w:tc>
          <w:tcPr>
            <w:tcW w:w="0" w:type="auto"/>
            <w:shd w:val="clear" w:color="auto" w:fill="FFFFFF"/>
            <w:tcMar>
              <w:top w:w="0" w:type="dxa"/>
              <w:left w:w="85" w:type="dxa"/>
              <w:bottom w:w="0" w:type="dxa"/>
              <w:right w:w="85" w:type="dxa"/>
            </w:tcMar>
            <w:vAlign w:val="center"/>
          </w:tcPr>
          <w:p w14:paraId="4A4F3BD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12.9</w:t>
            </w:r>
          </w:p>
        </w:tc>
      </w:tr>
      <w:tr w:rsidR="00EB5913" w:rsidRPr="006623B9" w14:paraId="6BE1FFA4" w14:textId="77777777" w:rsidTr="00F16E23">
        <w:tc>
          <w:tcPr>
            <w:tcW w:w="0" w:type="auto"/>
            <w:shd w:val="clear" w:color="auto" w:fill="FFFFFF"/>
            <w:tcMar>
              <w:top w:w="0" w:type="dxa"/>
              <w:left w:w="85" w:type="dxa"/>
              <w:bottom w:w="0" w:type="dxa"/>
              <w:right w:w="85" w:type="dxa"/>
            </w:tcMar>
            <w:vAlign w:val="center"/>
          </w:tcPr>
          <w:p w14:paraId="689AB1FD"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2003</w:t>
            </w:r>
          </w:p>
        </w:tc>
        <w:tc>
          <w:tcPr>
            <w:tcW w:w="0" w:type="auto"/>
            <w:shd w:val="clear" w:color="auto" w:fill="FFFFFF"/>
            <w:tcMar>
              <w:top w:w="0" w:type="dxa"/>
              <w:left w:w="85" w:type="dxa"/>
              <w:bottom w:w="0" w:type="dxa"/>
              <w:right w:w="85" w:type="dxa"/>
            </w:tcMar>
            <w:vAlign w:val="center"/>
          </w:tcPr>
          <w:p w14:paraId="11AB1F7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7.3</w:t>
            </w:r>
          </w:p>
        </w:tc>
        <w:tc>
          <w:tcPr>
            <w:tcW w:w="0" w:type="auto"/>
            <w:shd w:val="clear" w:color="auto" w:fill="FFFFFF"/>
            <w:tcMar>
              <w:top w:w="0" w:type="dxa"/>
              <w:left w:w="85" w:type="dxa"/>
              <w:bottom w:w="0" w:type="dxa"/>
              <w:right w:w="85" w:type="dxa"/>
            </w:tcMar>
            <w:vAlign w:val="center"/>
          </w:tcPr>
          <w:p w14:paraId="6CE1CE1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2DAB863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4.3</w:t>
            </w:r>
          </w:p>
        </w:tc>
        <w:tc>
          <w:tcPr>
            <w:tcW w:w="0" w:type="auto"/>
            <w:shd w:val="clear" w:color="auto" w:fill="FFFFFF"/>
            <w:tcMar>
              <w:top w:w="0" w:type="dxa"/>
              <w:left w:w="85" w:type="dxa"/>
              <w:bottom w:w="0" w:type="dxa"/>
              <w:right w:w="85" w:type="dxa"/>
            </w:tcMar>
            <w:vAlign w:val="center"/>
          </w:tcPr>
          <w:p w14:paraId="2847F72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12.0</w:t>
            </w:r>
          </w:p>
        </w:tc>
      </w:tr>
      <w:tr w:rsidR="00EB5913" w:rsidRPr="006623B9" w14:paraId="03B41316" w14:textId="77777777" w:rsidTr="00F16E23">
        <w:tc>
          <w:tcPr>
            <w:tcW w:w="0" w:type="auto"/>
            <w:shd w:val="clear" w:color="auto" w:fill="FFFFFF"/>
            <w:tcMar>
              <w:top w:w="0" w:type="dxa"/>
              <w:left w:w="85" w:type="dxa"/>
              <w:bottom w:w="0" w:type="dxa"/>
              <w:right w:w="85" w:type="dxa"/>
            </w:tcMar>
            <w:vAlign w:val="center"/>
          </w:tcPr>
          <w:p w14:paraId="58191A4E"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2004</w:t>
            </w:r>
          </w:p>
        </w:tc>
        <w:tc>
          <w:tcPr>
            <w:tcW w:w="0" w:type="auto"/>
            <w:shd w:val="clear" w:color="auto" w:fill="FFFFFF"/>
            <w:tcMar>
              <w:top w:w="0" w:type="dxa"/>
              <w:left w:w="85" w:type="dxa"/>
              <w:bottom w:w="0" w:type="dxa"/>
              <w:right w:w="85" w:type="dxa"/>
            </w:tcMar>
            <w:vAlign w:val="center"/>
          </w:tcPr>
          <w:p w14:paraId="5613198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7.2</w:t>
            </w:r>
          </w:p>
        </w:tc>
        <w:tc>
          <w:tcPr>
            <w:tcW w:w="0" w:type="auto"/>
            <w:shd w:val="clear" w:color="auto" w:fill="FFFFFF"/>
            <w:tcMar>
              <w:top w:w="0" w:type="dxa"/>
              <w:left w:w="85" w:type="dxa"/>
              <w:bottom w:w="0" w:type="dxa"/>
              <w:right w:w="85" w:type="dxa"/>
            </w:tcMar>
            <w:vAlign w:val="center"/>
          </w:tcPr>
          <w:p w14:paraId="35C7E95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514EEA5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3.7</w:t>
            </w:r>
          </w:p>
        </w:tc>
        <w:tc>
          <w:tcPr>
            <w:tcW w:w="0" w:type="auto"/>
            <w:shd w:val="clear" w:color="auto" w:fill="FFFFFF"/>
            <w:tcMar>
              <w:top w:w="0" w:type="dxa"/>
              <w:left w:w="85" w:type="dxa"/>
              <w:bottom w:w="0" w:type="dxa"/>
              <w:right w:w="85" w:type="dxa"/>
            </w:tcMar>
            <w:vAlign w:val="center"/>
          </w:tcPr>
          <w:p w14:paraId="5B811FF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11.9</w:t>
            </w:r>
          </w:p>
        </w:tc>
      </w:tr>
      <w:tr w:rsidR="00EB5913" w:rsidRPr="006623B9" w14:paraId="1C23C634" w14:textId="77777777" w:rsidTr="00F16E23">
        <w:tc>
          <w:tcPr>
            <w:tcW w:w="0" w:type="auto"/>
            <w:shd w:val="clear" w:color="auto" w:fill="FFFFFF"/>
            <w:tcMar>
              <w:top w:w="0" w:type="dxa"/>
              <w:left w:w="85" w:type="dxa"/>
              <w:bottom w:w="0" w:type="dxa"/>
              <w:right w:w="85" w:type="dxa"/>
            </w:tcMar>
            <w:vAlign w:val="center"/>
          </w:tcPr>
          <w:p w14:paraId="2E4CE9FE"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2005</w:t>
            </w:r>
          </w:p>
        </w:tc>
        <w:tc>
          <w:tcPr>
            <w:tcW w:w="0" w:type="auto"/>
            <w:shd w:val="clear" w:color="auto" w:fill="FFFFFF"/>
            <w:tcMar>
              <w:top w:w="0" w:type="dxa"/>
              <w:left w:w="85" w:type="dxa"/>
              <w:bottom w:w="0" w:type="dxa"/>
              <w:right w:w="85" w:type="dxa"/>
            </w:tcMar>
            <w:vAlign w:val="center"/>
          </w:tcPr>
          <w:p w14:paraId="57B9753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5.3</w:t>
            </w:r>
          </w:p>
        </w:tc>
        <w:tc>
          <w:tcPr>
            <w:tcW w:w="0" w:type="auto"/>
            <w:shd w:val="clear" w:color="auto" w:fill="FFFFFF"/>
            <w:tcMar>
              <w:top w:w="0" w:type="dxa"/>
              <w:left w:w="85" w:type="dxa"/>
              <w:bottom w:w="0" w:type="dxa"/>
              <w:right w:w="85" w:type="dxa"/>
            </w:tcMar>
            <w:vAlign w:val="center"/>
          </w:tcPr>
          <w:p w14:paraId="00D189F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01A6357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3.4</w:t>
            </w:r>
          </w:p>
        </w:tc>
        <w:tc>
          <w:tcPr>
            <w:tcW w:w="0" w:type="auto"/>
            <w:shd w:val="clear" w:color="auto" w:fill="FFFFFF"/>
            <w:tcMar>
              <w:top w:w="0" w:type="dxa"/>
              <w:left w:w="85" w:type="dxa"/>
              <w:bottom w:w="0" w:type="dxa"/>
              <w:right w:w="85" w:type="dxa"/>
            </w:tcMar>
            <w:vAlign w:val="center"/>
          </w:tcPr>
          <w:p w14:paraId="605E490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10.0</w:t>
            </w:r>
          </w:p>
        </w:tc>
      </w:tr>
      <w:tr w:rsidR="00EB5913" w:rsidRPr="006623B9" w14:paraId="51EB557E" w14:textId="77777777" w:rsidTr="00F16E23">
        <w:tc>
          <w:tcPr>
            <w:tcW w:w="0" w:type="auto"/>
            <w:shd w:val="clear" w:color="auto" w:fill="FFFFFF"/>
            <w:tcMar>
              <w:top w:w="0" w:type="dxa"/>
              <w:left w:w="85" w:type="dxa"/>
              <w:bottom w:w="0" w:type="dxa"/>
              <w:right w:w="85" w:type="dxa"/>
            </w:tcMar>
            <w:vAlign w:val="center"/>
          </w:tcPr>
          <w:p w14:paraId="23777669"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2006</w:t>
            </w:r>
          </w:p>
        </w:tc>
        <w:tc>
          <w:tcPr>
            <w:tcW w:w="0" w:type="auto"/>
            <w:shd w:val="clear" w:color="auto" w:fill="FFFFFF"/>
            <w:tcMar>
              <w:top w:w="0" w:type="dxa"/>
              <w:left w:w="85" w:type="dxa"/>
              <w:bottom w:w="0" w:type="dxa"/>
              <w:right w:w="85" w:type="dxa"/>
            </w:tcMar>
            <w:vAlign w:val="center"/>
          </w:tcPr>
          <w:p w14:paraId="3906527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3.2</w:t>
            </w:r>
          </w:p>
        </w:tc>
        <w:tc>
          <w:tcPr>
            <w:tcW w:w="0" w:type="auto"/>
            <w:shd w:val="clear" w:color="auto" w:fill="FFFFFF"/>
            <w:tcMar>
              <w:top w:w="0" w:type="dxa"/>
              <w:left w:w="85" w:type="dxa"/>
              <w:bottom w:w="0" w:type="dxa"/>
              <w:right w:w="85" w:type="dxa"/>
            </w:tcMar>
            <w:vAlign w:val="center"/>
          </w:tcPr>
          <w:p w14:paraId="4297760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4797C49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2.9</w:t>
            </w:r>
          </w:p>
        </w:tc>
        <w:tc>
          <w:tcPr>
            <w:tcW w:w="0" w:type="auto"/>
            <w:shd w:val="clear" w:color="auto" w:fill="FFFFFF"/>
            <w:tcMar>
              <w:top w:w="0" w:type="dxa"/>
              <w:left w:w="85" w:type="dxa"/>
              <w:bottom w:w="0" w:type="dxa"/>
              <w:right w:w="85" w:type="dxa"/>
            </w:tcMar>
            <w:vAlign w:val="center"/>
          </w:tcPr>
          <w:p w14:paraId="245E54E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7.9</w:t>
            </w:r>
          </w:p>
        </w:tc>
      </w:tr>
      <w:tr w:rsidR="00EB5913" w:rsidRPr="006623B9" w14:paraId="6F58A773" w14:textId="77777777" w:rsidTr="00F16E23">
        <w:tc>
          <w:tcPr>
            <w:tcW w:w="0" w:type="auto"/>
            <w:shd w:val="clear" w:color="auto" w:fill="FFFFFF"/>
            <w:tcMar>
              <w:top w:w="0" w:type="dxa"/>
              <w:left w:w="85" w:type="dxa"/>
              <w:bottom w:w="0" w:type="dxa"/>
              <w:right w:w="85" w:type="dxa"/>
            </w:tcMar>
            <w:vAlign w:val="center"/>
          </w:tcPr>
          <w:p w14:paraId="4C3B921F"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2007</w:t>
            </w:r>
          </w:p>
        </w:tc>
        <w:tc>
          <w:tcPr>
            <w:tcW w:w="0" w:type="auto"/>
            <w:shd w:val="clear" w:color="auto" w:fill="FFFFFF"/>
            <w:tcMar>
              <w:top w:w="0" w:type="dxa"/>
              <w:left w:w="85" w:type="dxa"/>
              <w:bottom w:w="0" w:type="dxa"/>
              <w:right w:w="85" w:type="dxa"/>
            </w:tcMar>
            <w:vAlign w:val="center"/>
          </w:tcPr>
          <w:p w14:paraId="246196D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4EE3847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095D164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532C8E3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5.3</w:t>
            </w:r>
          </w:p>
        </w:tc>
      </w:tr>
      <w:tr w:rsidR="00EB5913" w:rsidRPr="006623B9" w14:paraId="678DABFE" w14:textId="77777777" w:rsidTr="00F16E23">
        <w:tc>
          <w:tcPr>
            <w:tcW w:w="0" w:type="auto"/>
            <w:shd w:val="clear" w:color="auto" w:fill="FFFFFF"/>
            <w:tcMar>
              <w:top w:w="0" w:type="dxa"/>
              <w:left w:w="85" w:type="dxa"/>
              <w:bottom w:w="0" w:type="dxa"/>
              <w:right w:w="85" w:type="dxa"/>
            </w:tcMar>
            <w:vAlign w:val="center"/>
          </w:tcPr>
          <w:p w14:paraId="371CCDF4"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2008</w:t>
            </w:r>
          </w:p>
        </w:tc>
        <w:tc>
          <w:tcPr>
            <w:tcW w:w="0" w:type="auto"/>
            <w:shd w:val="clear" w:color="auto" w:fill="FFFFFF"/>
            <w:tcMar>
              <w:top w:w="0" w:type="dxa"/>
              <w:left w:w="85" w:type="dxa"/>
              <w:bottom w:w="0" w:type="dxa"/>
              <w:right w:w="85" w:type="dxa"/>
            </w:tcMar>
            <w:vAlign w:val="center"/>
          </w:tcPr>
          <w:p w14:paraId="6715E82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4E76EF5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43C89CA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022F319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5AE52DF2" w14:textId="77777777" w:rsidTr="00F16E23">
        <w:tc>
          <w:tcPr>
            <w:tcW w:w="0" w:type="auto"/>
            <w:shd w:val="clear" w:color="auto" w:fill="FFFFFF"/>
            <w:tcMar>
              <w:top w:w="0" w:type="dxa"/>
              <w:left w:w="85" w:type="dxa"/>
              <w:bottom w:w="0" w:type="dxa"/>
              <w:right w:w="85" w:type="dxa"/>
            </w:tcMar>
            <w:vAlign w:val="center"/>
          </w:tcPr>
          <w:p w14:paraId="410C1614"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2009</w:t>
            </w:r>
          </w:p>
        </w:tc>
        <w:tc>
          <w:tcPr>
            <w:tcW w:w="0" w:type="auto"/>
            <w:shd w:val="clear" w:color="auto" w:fill="FFFFFF"/>
            <w:tcMar>
              <w:top w:w="0" w:type="dxa"/>
              <w:left w:w="85" w:type="dxa"/>
              <w:bottom w:w="0" w:type="dxa"/>
              <w:right w:w="85" w:type="dxa"/>
            </w:tcMar>
            <w:vAlign w:val="center"/>
          </w:tcPr>
          <w:p w14:paraId="07B7CFD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31AD250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5A7240A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6C28237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31DF5C05" w14:textId="77777777" w:rsidTr="00F16E23">
        <w:tc>
          <w:tcPr>
            <w:tcW w:w="0" w:type="auto"/>
            <w:shd w:val="clear" w:color="auto" w:fill="FFFFFF"/>
            <w:tcMar>
              <w:top w:w="0" w:type="dxa"/>
              <w:left w:w="85" w:type="dxa"/>
              <w:bottom w:w="0" w:type="dxa"/>
              <w:right w:w="85" w:type="dxa"/>
            </w:tcMar>
            <w:vAlign w:val="center"/>
          </w:tcPr>
          <w:p w14:paraId="2520933A"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2010</w:t>
            </w:r>
          </w:p>
        </w:tc>
        <w:tc>
          <w:tcPr>
            <w:tcW w:w="0" w:type="auto"/>
            <w:shd w:val="clear" w:color="auto" w:fill="FFFFFF"/>
            <w:tcMar>
              <w:top w:w="0" w:type="dxa"/>
              <w:left w:w="85" w:type="dxa"/>
              <w:bottom w:w="0" w:type="dxa"/>
              <w:right w:w="85" w:type="dxa"/>
            </w:tcMar>
            <w:vAlign w:val="center"/>
          </w:tcPr>
          <w:p w14:paraId="6DBCEAA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038275D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3EF0627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26FF795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2802DAC2" w14:textId="77777777" w:rsidTr="00F16E23">
        <w:tc>
          <w:tcPr>
            <w:tcW w:w="0" w:type="auto"/>
            <w:shd w:val="clear" w:color="auto" w:fill="FFFFFF"/>
            <w:tcMar>
              <w:top w:w="0" w:type="dxa"/>
              <w:left w:w="85" w:type="dxa"/>
              <w:bottom w:w="0" w:type="dxa"/>
              <w:right w:w="85" w:type="dxa"/>
            </w:tcMar>
            <w:vAlign w:val="center"/>
          </w:tcPr>
          <w:p w14:paraId="60D9FBFD"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2011</w:t>
            </w:r>
          </w:p>
        </w:tc>
        <w:tc>
          <w:tcPr>
            <w:tcW w:w="0" w:type="auto"/>
            <w:shd w:val="clear" w:color="auto" w:fill="FFFFFF"/>
            <w:tcMar>
              <w:top w:w="0" w:type="dxa"/>
              <w:left w:w="85" w:type="dxa"/>
              <w:bottom w:w="0" w:type="dxa"/>
              <w:right w:w="85" w:type="dxa"/>
            </w:tcMar>
            <w:vAlign w:val="center"/>
          </w:tcPr>
          <w:p w14:paraId="25A5006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460CA9E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6EDE2DB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5C8CFE4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1661E304" w14:textId="77777777" w:rsidTr="00F16E23">
        <w:tc>
          <w:tcPr>
            <w:tcW w:w="0" w:type="auto"/>
            <w:shd w:val="clear" w:color="auto" w:fill="FFFFFF"/>
            <w:tcMar>
              <w:top w:w="0" w:type="dxa"/>
              <w:left w:w="85" w:type="dxa"/>
              <w:bottom w:w="0" w:type="dxa"/>
              <w:right w:w="85" w:type="dxa"/>
            </w:tcMar>
            <w:vAlign w:val="center"/>
          </w:tcPr>
          <w:p w14:paraId="108F0179"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2012</w:t>
            </w:r>
          </w:p>
        </w:tc>
        <w:tc>
          <w:tcPr>
            <w:tcW w:w="0" w:type="auto"/>
            <w:shd w:val="clear" w:color="auto" w:fill="FFFFFF"/>
            <w:tcMar>
              <w:top w:w="0" w:type="dxa"/>
              <w:left w:w="85" w:type="dxa"/>
              <w:bottom w:w="0" w:type="dxa"/>
              <w:right w:w="85" w:type="dxa"/>
            </w:tcMar>
            <w:vAlign w:val="center"/>
          </w:tcPr>
          <w:p w14:paraId="59382CE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5B1EE79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4BA67D1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4D1AC0C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429F9CE9" w14:textId="77777777" w:rsidTr="00F16E23">
        <w:tc>
          <w:tcPr>
            <w:tcW w:w="0" w:type="auto"/>
            <w:shd w:val="clear" w:color="auto" w:fill="FFFFFF"/>
            <w:tcMar>
              <w:top w:w="0" w:type="dxa"/>
              <w:left w:w="85" w:type="dxa"/>
              <w:bottom w:w="0" w:type="dxa"/>
              <w:right w:w="85" w:type="dxa"/>
            </w:tcMar>
            <w:vAlign w:val="center"/>
          </w:tcPr>
          <w:p w14:paraId="444ED2B1"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2013</w:t>
            </w:r>
          </w:p>
        </w:tc>
        <w:tc>
          <w:tcPr>
            <w:tcW w:w="0" w:type="auto"/>
            <w:shd w:val="clear" w:color="auto" w:fill="FFFFFF"/>
            <w:tcMar>
              <w:top w:w="0" w:type="dxa"/>
              <w:left w:w="85" w:type="dxa"/>
              <w:bottom w:w="0" w:type="dxa"/>
              <w:right w:w="85" w:type="dxa"/>
            </w:tcMar>
            <w:vAlign w:val="center"/>
          </w:tcPr>
          <w:p w14:paraId="1EF599A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4F14953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63ACB73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73FCC1B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4E5B702A" w14:textId="77777777" w:rsidTr="00F16E23">
        <w:tc>
          <w:tcPr>
            <w:tcW w:w="0" w:type="auto"/>
            <w:shd w:val="clear" w:color="auto" w:fill="FFFFFF"/>
            <w:tcMar>
              <w:top w:w="0" w:type="dxa"/>
              <w:left w:w="85" w:type="dxa"/>
              <w:bottom w:w="0" w:type="dxa"/>
              <w:right w:w="85" w:type="dxa"/>
            </w:tcMar>
            <w:vAlign w:val="center"/>
          </w:tcPr>
          <w:p w14:paraId="005368FF"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2014</w:t>
            </w:r>
          </w:p>
        </w:tc>
        <w:tc>
          <w:tcPr>
            <w:tcW w:w="0" w:type="auto"/>
            <w:shd w:val="clear" w:color="auto" w:fill="FFFFFF"/>
            <w:tcMar>
              <w:top w:w="0" w:type="dxa"/>
              <w:left w:w="85" w:type="dxa"/>
              <w:bottom w:w="0" w:type="dxa"/>
              <w:right w:w="85" w:type="dxa"/>
            </w:tcMar>
            <w:vAlign w:val="center"/>
          </w:tcPr>
          <w:p w14:paraId="1AEFA3A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76660D2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4414082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4F88CE3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2338DE8C" w14:textId="77777777" w:rsidTr="00F16E23">
        <w:tc>
          <w:tcPr>
            <w:tcW w:w="0" w:type="auto"/>
            <w:shd w:val="clear" w:color="auto" w:fill="FFFFFF"/>
            <w:tcMar>
              <w:top w:w="0" w:type="dxa"/>
              <w:left w:w="85" w:type="dxa"/>
              <w:bottom w:w="0" w:type="dxa"/>
              <w:right w:w="85" w:type="dxa"/>
            </w:tcMar>
            <w:vAlign w:val="center"/>
          </w:tcPr>
          <w:p w14:paraId="24EADBD8"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2015</w:t>
            </w:r>
          </w:p>
        </w:tc>
        <w:tc>
          <w:tcPr>
            <w:tcW w:w="0" w:type="auto"/>
            <w:shd w:val="clear" w:color="auto" w:fill="FFFFFF"/>
            <w:tcMar>
              <w:top w:w="0" w:type="dxa"/>
              <w:left w:w="85" w:type="dxa"/>
              <w:bottom w:w="0" w:type="dxa"/>
              <w:right w:w="85" w:type="dxa"/>
            </w:tcMar>
            <w:vAlign w:val="center"/>
          </w:tcPr>
          <w:p w14:paraId="6100A61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70F18CA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7DAE1F5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1BF50E7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6E661B84" w14:textId="77777777" w:rsidTr="00F16E23">
        <w:tc>
          <w:tcPr>
            <w:tcW w:w="0" w:type="auto"/>
            <w:shd w:val="clear" w:color="auto" w:fill="FFFFFF"/>
            <w:tcMar>
              <w:top w:w="0" w:type="dxa"/>
              <w:left w:w="85" w:type="dxa"/>
              <w:bottom w:w="0" w:type="dxa"/>
              <w:right w:w="85" w:type="dxa"/>
            </w:tcMar>
            <w:vAlign w:val="center"/>
          </w:tcPr>
          <w:p w14:paraId="57BE693D"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2016</w:t>
            </w:r>
          </w:p>
        </w:tc>
        <w:tc>
          <w:tcPr>
            <w:tcW w:w="0" w:type="auto"/>
            <w:shd w:val="clear" w:color="auto" w:fill="FFFFFF"/>
            <w:tcMar>
              <w:top w:w="0" w:type="dxa"/>
              <w:left w:w="85" w:type="dxa"/>
              <w:bottom w:w="0" w:type="dxa"/>
              <w:right w:w="85" w:type="dxa"/>
            </w:tcMar>
            <w:vAlign w:val="center"/>
          </w:tcPr>
          <w:p w14:paraId="3ED834D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076FA9E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61D579D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55B07ADC"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0642452C" w14:textId="77777777" w:rsidTr="00F16E23">
        <w:tc>
          <w:tcPr>
            <w:tcW w:w="0" w:type="auto"/>
            <w:shd w:val="clear" w:color="auto" w:fill="FFFFFF"/>
            <w:tcMar>
              <w:top w:w="0" w:type="dxa"/>
              <w:left w:w="85" w:type="dxa"/>
              <w:bottom w:w="0" w:type="dxa"/>
              <w:right w:w="85" w:type="dxa"/>
            </w:tcMar>
            <w:vAlign w:val="center"/>
          </w:tcPr>
          <w:p w14:paraId="5E3A8FBC"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2017</w:t>
            </w:r>
          </w:p>
        </w:tc>
        <w:tc>
          <w:tcPr>
            <w:tcW w:w="0" w:type="auto"/>
            <w:shd w:val="clear" w:color="auto" w:fill="FFFFFF"/>
            <w:tcMar>
              <w:top w:w="0" w:type="dxa"/>
              <w:left w:w="85" w:type="dxa"/>
              <w:bottom w:w="0" w:type="dxa"/>
              <w:right w:w="85" w:type="dxa"/>
            </w:tcMar>
            <w:vAlign w:val="center"/>
          </w:tcPr>
          <w:p w14:paraId="07A91803"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7D0AD01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22DE6B4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49C784E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38E89EA5" w14:textId="77777777" w:rsidTr="00F16E23">
        <w:tc>
          <w:tcPr>
            <w:tcW w:w="0" w:type="auto"/>
            <w:shd w:val="clear" w:color="auto" w:fill="FFFFFF"/>
            <w:tcMar>
              <w:top w:w="0" w:type="dxa"/>
              <w:left w:w="85" w:type="dxa"/>
              <w:bottom w:w="0" w:type="dxa"/>
              <w:right w:w="85" w:type="dxa"/>
            </w:tcMar>
            <w:vAlign w:val="center"/>
          </w:tcPr>
          <w:p w14:paraId="376465C1"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2018</w:t>
            </w:r>
          </w:p>
        </w:tc>
        <w:tc>
          <w:tcPr>
            <w:tcW w:w="0" w:type="auto"/>
            <w:shd w:val="clear" w:color="auto" w:fill="FFFFFF"/>
            <w:tcMar>
              <w:top w:w="0" w:type="dxa"/>
              <w:left w:w="85" w:type="dxa"/>
              <w:bottom w:w="0" w:type="dxa"/>
              <w:right w:w="85" w:type="dxa"/>
            </w:tcMar>
            <w:vAlign w:val="center"/>
          </w:tcPr>
          <w:p w14:paraId="21A05C8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20098DF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2998130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4A1F96C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776FF5BE" w14:textId="77777777" w:rsidTr="00F16E23">
        <w:tc>
          <w:tcPr>
            <w:tcW w:w="0" w:type="auto"/>
            <w:shd w:val="clear" w:color="auto" w:fill="FFFFFF"/>
            <w:tcMar>
              <w:top w:w="0" w:type="dxa"/>
              <w:left w:w="85" w:type="dxa"/>
              <w:bottom w:w="0" w:type="dxa"/>
              <w:right w:w="85" w:type="dxa"/>
            </w:tcMar>
            <w:vAlign w:val="center"/>
          </w:tcPr>
          <w:p w14:paraId="4F1B02EC"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2019</w:t>
            </w:r>
          </w:p>
        </w:tc>
        <w:tc>
          <w:tcPr>
            <w:tcW w:w="0" w:type="auto"/>
            <w:shd w:val="clear" w:color="auto" w:fill="FFFFFF"/>
            <w:tcMar>
              <w:top w:w="0" w:type="dxa"/>
              <w:left w:w="85" w:type="dxa"/>
              <w:bottom w:w="0" w:type="dxa"/>
              <w:right w:w="85" w:type="dxa"/>
            </w:tcMar>
            <w:vAlign w:val="center"/>
          </w:tcPr>
          <w:p w14:paraId="5A4BEF8D"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2E31C99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470E953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15805600"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64965D55" w14:textId="77777777" w:rsidTr="00F16E23">
        <w:tc>
          <w:tcPr>
            <w:tcW w:w="0" w:type="auto"/>
            <w:shd w:val="clear" w:color="auto" w:fill="FFFFFF"/>
            <w:tcMar>
              <w:top w:w="0" w:type="dxa"/>
              <w:left w:w="85" w:type="dxa"/>
              <w:bottom w:w="0" w:type="dxa"/>
              <w:right w:w="85" w:type="dxa"/>
            </w:tcMar>
            <w:vAlign w:val="center"/>
          </w:tcPr>
          <w:p w14:paraId="1D337F9F"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2020</w:t>
            </w:r>
          </w:p>
        </w:tc>
        <w:tc>
          <w:tcPr>
            <w:tcW w:w="0" w:type="auto"/>
            <w:shd w:val="clear" w:color="auto" w:fill="FFFFFF"/>
            <w:tcMar>
              <w:top w:w="0" w:type="dxa"/>
              <w:left w:w="85" w:type="dxa"/>
              <w:bottom w:w="0" w:type="dxa"/>
              <w:right w:w="85" w:type="dxa"/>
            </w:tcMar>
            <w:vAlign w:val="center"/>
          </w:tcPr>
          <w:p w14:paraId="5BB3CB8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1B92FE6A"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7136E73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625150D1"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337EB3C9" w14:textId="77777777" w:rsidTr="00F16E23">
        <w:tc>
          <w:tcPr>
            <w:tcW w:w="0" w:type="auto"/>
            <w:shd w:val="clear" w:color="auto" w:fill="FFFFFF"/>
            <w:tcMar>
              <w:top w:w="0" w:type="dxa"/>
              <w:left w:w="85" w:type="dxa"/>
              <w:bottom w:w="0" w:type="dxa"/>
              <w:right w:w="85" w:type="dxa"/>
            </w:tcMar>
            <w:vAlign w:val="center"/>
          </w:tcPr>
          <w:p w14:paraId="778765EF"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2021</w:t>
            </w:r>
          </w:p>
        </w:tc>
        <w:tc>
          <w:tcPr>
            <w:tcW w:w="0" w:type="auto"/>
            <w:shd w:val="clear" w:color="auto" w:fill="FFFFFF"/>
            <w:tcMar>
              <w:top w:w="0" w:type="dxa"/>
              <w:left w:w="85" w:type="dxa"/>
              <w:bottom w:w="0" w:type="dxa"/>
              <w:right w:w="85" w:type="dxa"/>
            </w:tcMar>
            <w:vAlign w:val="center"/>
          </w:tcPr>
          <w:p w14:paraId="205E7CC9"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63E5E15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0502BAE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54C8B96F"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79CCBAC0" w14:textId="77777777" w:rsidTr="00F16E23">
        <w:tc>
          <w:tcPr>
            <w:tcW w:w="0" w:type="auto"/>
            <w:shd w:val="clear" w:color="auto" w:fill="FFFFFF"/>
            <w:tcMar>
              <w:top w:w="0" w:type="dxa"/>
              <w:left w:w="85" w:type="dxa"/>
              <w:bottom w:w="0" w:type="dxa"/>
              <w:right w:w="85" w:type="dxa"/>
            </w:tcMar>
            <w:vAlign w:val="center"/>
          </w:tcPr>
          <w:p w14:paraId="1EC40568"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2022</w:t>
            </w:r>
          </w:p>
        </w:tc>
        <w:tc>
          <w:tcPr>
            <w:tcW w:w="0" w:type="auto"/>
            <w:shd w:val="clear" w:color="auto" w:fill="FFFFFF"/>
            <w:tcMar>
              <w:top w:w="0" w:type="dxa"/>
              <w:left w:w="85" w:type="dxa"/>
              <w:bottom w:w="0" w:type="dxa"/>
              <w:right w:w="85" w:type="dxa"/>
            </w:tcMar>
            <w:vAlign w:val="center"/>
          </w:tcPr>
          <w:p w14:paraId="61102306"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431C788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364849E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0E47F69E"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2B733AFF" w14:textId="77777777" w:rsidTr="00F16E23">
        <w:tc>
          <w:tcPr>
            <w:tcW w:w="0" w:type="auto"/>
            <w:shd w:val="clear" w:color="auto" w:fill="FFFFFF"/>
            <w:tcMar>
              <w:top w:w="0" w:type="dxa"/>
              <w:left w:w="85" w:type="dxa"/>
              <w:bottom w:w="0" w:type="dxa"/>
              <w:right w:w="85" w:type="dxa"/>
            </w:tcMar>
            <w:vAlign w:val="center"/>
          </w:tcPr>
          <w:p w14:paraId="3E255029"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2023</w:t>
            </w:r>
          </w:p>
        </w:tc>
        <w:tc>
          <w:tcPr>
            <w:tcW w:w="0" w:type="auto"/>
            <w:shd w:val="clear" w:color="auto" w:fill="FFFFFF"/>
            <w:tcMar>
              <w:top w:w="0" w:type="dxa"/>
              <w:left w:w="85" w:type="dxa"/>
              <w:bottom w:w="0" w:type="dxa"/>
              <w:right w:w="85" w:type="dxa"/>
            </w:tcMar>
            <w:vAlign w:val="center"/>
          </w:tcPr>
          <w:p w14:paraId="38810AD7"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49899AB2"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3F00682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0DA91AB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r w:rsidR="00EB5913" w:rsidRPr="006623B9" w14:paraId="3B0D05D4" w14:textId="77777777" w:rsidTr="00F16E23">
        <w:tc>
          <w:tcPr>
            <w:tcW w:w="0" w:type="auto"/>
            <w:shd w:val="clear" w:color="auto" w:fill="FFFFFF"/>
            <w:tcMar>
              <w:top w:w="0" w:type="dxa"/>
              <w:left w:w="85" w:type="dxa"/>
              <w:bottom w:w="0" w:type="dxa"/>
              <w:right w:w="85" w:type="dxa"/>
            </w:tcMar>
            <w:vAlign w:val="center"/>
          </w:tcPr>
          <w:p w14:paraId="7EAB11EA" w14:textId="77777777" w:rsidR="00EB5913" w:rsidRPr="006623B9" w:rsidRDefault="00EB5913" w:rsidP="00F16E23">
            <w:pPr>
              <w:pStyle w:val="TableTextBold"/>
              <w:spacing w:before="40" w:after="40"/>
              <w:rPr>
                <w:rFonts w:cs="Calibri"/>
                <w:noProof w:val="0"/>
                <w:color w:val="1B556B" w:themeColor="text2"/>
                <w:szCs w:val="16"/>
              </w:rPr>
            </w:pPr>
            <w:r w:rsidRPr="006623B9">
              <w:rPr>
                <w:rFonts w:cs="Calibri"/>
                <w:noProof w:val="0"/>
                <w:color w:val="1B556B" w:themeColor="text2"/>
                <w:szCs w:val="16"/>
              </w:rPr>
              <w:t>2024</w:t>
            </w:r>
          </w:p>
        </w:tc>
        <w:tc>
          <w:tcPr>
            <w:tcW w:w="0" w:type="auto"/>
            <w:shd w:val="clear" w:color="auto" w:fill="FFFFFF"/>
            <w:tcMar>
              <w:top w:w="0" w:type="dxa"/>
              <w:left w:w="85" w:type="dxa"/>
              <w:bottom w:w="0" w:type="dxa"/>
              <w:right w:w="85" w:type="dxa"/>
            </w:tcMar>
            <w:vAlign w:val="center"/>
          </w:tcPr>
          <w:p w14:paraId="03DB3094"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0.6</w:t>
            </w:r>
          </w:p>
        </w:tc>
        <w:tc>
          <w:tcPr>
            <w:tcW w:w="0" w:type="auto"/>
            <w:shd w:val="clear" w:color="auto" w:fill="FFFFFF"/>
            <w:tcMar>
              <w:top w:w="0" w:type="dxa"/>
              <w:left w:w="85" w:type="dxa"/>
              <w:bottom w:w="0" w:type="dxa"/>
              <w:right w:w="85" w:type="dxa"/>
            </w:tcMar>
            <w:vAlign w:val="center"/>
          </w:tcPr>
          <w:p w14:paraId="0AE346E8"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0.3</w:t>
            </w:r>
          </w:p>
        </w:tc>
        <w:tc>
          <w:tcPr>
            <w:tcW w:w="0" w:type="auto"/>
            <w:shd w:val="clear" w:color="auto" w:fill="FFFFFF"/>
            <w:tcMar>
              <w:top w:w="0" w:type="dxa"/>
              <w:left w:w="85" w:type="dxa"/>
              <w:bottom w:w="0" w:type="dxa"/>
              <w:right w:w="85" w:type="dxa"/>
            </w:tcMar>
            <w:vAlign w:val="center"/>
          </w:tcPr>
          <w:p w14:paraId="4C23DB0B"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4.5</w:t>
            </w:r>
          </w:p>
        </w:tc>
        <w:tc>
          <w:tcPr>
            <w:tcW w:w="0" w:type="auto"/>
            <w:shd w:val="clear" w:color="auto" w:fill="FFFFFF"/>
            <w:tcMar>
              <w:top w:w="0" w:type="dxa"/>
              <w:left w:w="85" w:type="dxa"/>
              <w:bottom w:w="0" w:type="dxa"/>
              <w:right w:w="85" w:type="dxa"/>
            </w:tcMar>
            <w:vAlign w:val="center"/>
          </w:tcPr>
          <w:p w14:paraId="169707A5" w14:textId="77777777" w:rsidR="00EB5913" w:rsidRPr="006623B9" w:rsidRDefault="00EB5913" w:rsidP="00F16E23">
            <w:pPr>
              <w:pStyle w:val="TableText"/>
              <w:spacing w:before="40" w:after="40"/>
              <w:jc w:val="right"/>
              <w:rPr>
                <w:rFonts w:cs="Calibri"/>
                <w:szCs w:val="16"/>
              </w:rPr>
            </w:pPr>
            <w:r w:rsidRPr="006623B9">
              <w:rPr>
                <w:rFonts w:eastAsia="Calibri" w:cs="Calibri"/>
                <w:szCs w:val="16"/>
              </w:rPr>
              <w:t>5.4</w:t>
            </w:r>
          </w:p>
        </w:tc>
      </w:tr>
    </w:tbl>
    <w:p w14:paraId="7DA57B64" w14:textId="77777777" w:rsidR="00EB5913" w:rsidRPr="006623B9" w:rsidRDefault="00EB5913" w:rsidP="00EB5913">
      <w:pPr>
        <w:pStyle w:val="Noteundertable"/>
      </w:pPr>
      <w:r w:rsidRPr="006623B9">
        <w:rPr>
          <w:b/>
          <w:bCs/>
        </w:rPr>
        <w:t>Note:</w:t>
      </w:r>
      <w:r w:rsidRPr="006623B9">
        <w:t xml:space="preserve"> Columns may not total due to rounding.</w:t>
      </w:r>
    </w:p>
    <w:p w14:paraId="507BA250" w14:textId="77777777" w:rsidR="00EB5913" w:rsidRPr="006623B9" w:rsidRDefault="00EB5913" w:rsidP="00EB5913">
      <w:pPr>
        <w:pStyle w:val="Heading5"/>
      </w:pPr>
      <w:bookmarkStart w:id="3075" w:name="open-burning-of-waste-5.c.2"/>
      <w:bookmarkEnd w:id="3073"/>
      <w:r w:rsidRPr="006623B9">
        <w:t>Open burning of waste (5.C.2)</w:t>
      </w:r>
    </w:p>
    <w:p w14:paraId="320EC1FD" w14:textId="77777777" w:rsidR="00EB5913" w:rsidRPr="006623B9" w:rsidRDefault="00EB5913" w:rsidP="00EB5913">
      <w:pPr>
        <w:pStyle w:val="BodyText"/>
      </w:pPr>
      <w:r w:rsidRPr="006623B9">
        <w:t>Little information is available on the quantities of farm waste burned. A change introduced in the 2021 submission is that the methods of disposal of farm waste are evenly split between disposal to land in farm fills and disposal by open burning, at 47 percent farm fills, 47 percent open burning and 6 percent other.</w:t>
      </w:r>
    </w:p>
    <w:p w14:paraId="7B34C21A" w14:textId="77777777" w:rsidR="00EB5913" w:rsidRPr="006623B9" w:rsidRDefault="00EB5913" w:rsidP="00EB5913">
      <w:pPr>
        <w:pStyle w:val="BodyText"/>
      </w:pPr>
      <w:r w:rsidRPr="006623B9">
        <w:t>See section 7.2.2 for a discussion on farm waste landfilling and open burning. In summary, because open burning is a significant and common practice (GHD, 2013, 2014) it is being considered to be equal in volume to disposal to land. The amount of waste disposed to farm fills reported in table 7.2.4 is additional and equal to the amount that is disposed by open burning.</w:t>
      </w:r>
    </w:p>
    <w:p w14:paraId="32074C51" w14:textId="77777777" w:rsidR="00EB5913" w:rsidRPr="006623B9" w:rsidRDefault="00EB5913" w:rsidP="00EB5913">
      <w:pPr>
        <w:pStyle w:val="Heading4"/>
      </w:pPr>
      <w:bookmarkStart w:id="3076" w:name="choice-of-methods-2"/>
      <w:bookmarkEnd w:id="3072"/>
      <w:bookmarkEnd w:id="3075"/>
      <w:r w:rsidRPr="006623B9">
        <w:t>Choice of methods</w:t>
      </w:r>
    </w:p>
    <w:p w14:paraId="5D07966B" w14:textId="77777777" w:rsidR="00EB5913" w:rsidRPr="006623B9" w:rsidRDefault="00EB5913" w:rsidP="00EB5913">
      <w:pPr>
        <w:pStyle w:val="Heading5"/>
      </w:pPr>
      <w:bookmarkStart w:id="3077" w:name="waste-incineration-5.c.1-1"/>
      <w:r w:rsidRPr="006623B9">
        <w:t>Waste incineration (5.C.1)</w:t>
      </w:r>
    </w:p>
    <w:p w14:paraId="07225C4B" w14:textId="77777777" w:rsidR="00EB5913" w:rsidRPr="006623B9" w:rsidRDefault="00EB5913" w:rsidP="00EB5913">
      <w:pPr>
        <w:pStyle w:val="BodyText"/>
      </w:pPr>
      <w:r w:rsidRPr="006623B9">
        <w:t>Estimates of direct emissions from the incineration of waste are made using the default Tier 1 methodology (IPCC, 2006a). The data used were collected and collated in 2007, and the sources used included information previously collected for purposes of air quality regulation and consent data from regional councils and site operators (SKM, unpublished(a)).</w:t>
      </w:r>
    </w:p>
    <w:p w14:paraId="4C3B5F6B" w14:textId="77777777" w:rsidR="00EB5913" w:rsidRPr="006623B9" w:rsidRDefault="00EB5913" w:rsidP="00EB5913">
      <w:pPr>
        <w:pStyle w:val="Heading5"/>
      </w:pPr>
      <w:bookmarkStart w:id="3078" w:name="open-burning-of-waste-5.c.2-1"/>
      <w:bookmarkEnd w:id="3077"/>
      <w:r w:rsidRPr="006623B9">
        <w:t>Open burning of waste (5.C.2)</w:t>
      </w:r>
    </w:p>
    <w:p w14:paraId="1CC8723A" w14:textId="77777777" w:rsidR="00EB5913" w:rsidRPr="006623B9" w:rsidRDefault="00EB5913" w:rsidP="00EB5913">
      <w:pPr>
        <w:pStyle w:val="BodyText"/>
      </w:pPr>
      <w:r w:rsidRPr="006623B9">
        <w:t>Estimates of direct emissions from the open burning of rural waste are made using the default Tier 1 methodology (IPCC, 2006a). Farm waste comprises a mix of household and other waste, which have a composition and diversity similar to general municipal solid waste (Tonkin and Taylor Ltd, unpublished(b)). Therefore, emissions from CH</w:t>
      </w:r>
      <w:r w:rsidRPr="006623B9">
        <w:rPr>
          <w:vertAlign w:val="subscript"/>
        </w:rPr>
        <w:t>4</w:t>
      </w:r>
      <w:r w:rsidRPr="006623B9">
        <w:t xml:space="preserve"> and N</w:t>
      </w:r>
      <w:r w:rsidRPr="006623B9">
        <w:rPr>
          <w:vertAlign w:val="subscript"/>
        </w:rPr>
        <w:t>2</w:t>
      </w:r>
      <w:r w:rsidRPr="006623B9">
        <w:t>O were estimated using default emission factors for bulk municipal solid waste.</w:t>
      </w:r>
    </w:p>
    <w:p w14:paraId="50D2D331" w14:textId="41C8FA05" w:rsidR="00EB5913" w:rsidRPr="006623B9" w:rsidRDefault="00EB5913" w:rsidP="00EB5913">
      <w:pPr>
        <w:pStyle w:val="BodyText"/>
      </w:pPr>
      <w:r w:rsidRPr="006623B9">
        <w:t>Emissions of CO</w:t>
      </w:r>
      <w:r w:rsidRPr="006623B9">
        <w:rPr>
          <w:vertAlign w:val="subscript"/>
        </w:rPr>
        <w:t>2</w:t>
      </w:r>
      <w:r w:rsidRPr="006623B9">
        <w:t xml:space="preserve"> were calculated using the same composition of farm waste as is landfilled, for</w:t>
      </w:r>
      <w:r w:rsidR="00520904">
        <w:t> </w:t>
      </w:r>
      <w:r w:rsidRPr="006623B9">
        <w:t>consistency. Table 7.4.3 shows the parameters that determine dry-matter content, total carbon content and fossil carbon content (IPCC defaults), which are then weighted against composition.</w:t>
      </w:r>
    </w:p>
    <w:p w14:paraId="42FCDA83" w14:textId="77777777" w:rsidR="00EB5913" w:rsidRPr="006623B9" w:rsidRDefault="00EB5913" w:rsidP="00EB5913">
      <w:pPr>
        <w:pStyle w:val="Table"/>
      </w:pPr>
      <w:bookmarkStart w:id="3079" w:name="_Toc226669116"/>
      <w:r w:rsidRPr="006623B9">
        <w:t xml:space="preserve">Table 7.4.3 </w:t>
      </w:r>
      <w:r w:rsidRPr="006623B9">
        <w:tab/>
        <w:t>Values applied to estimate carbon dioxide emissions from open burning of rural waste</w:t>
      </w:r>
      <w:bookmarkEnd w:id="307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127"/>
        <w:gridCol w:w="1134"/>
        <w:gridCol w:w="1559"/>
        <w:gridCol w:w="1559"/>
        <w:gridCol w:w="2115"/>
      </w:tblGrid>
      <w:tr w:rsidR="00EB5913" w:rsidRPr="006623B9" w14:paraId="6F5CD49A" w14:textId="77777777" w:rsidTr="00F16E23">
        <w:trPr>
          <w:tblHeader/>
        </w:trPr>
        <w:tc>
          <w:tcPr>
            <w:tcW w:w="2127" w:type="dxa"/>
            <w:shd w:val="clear" w:color="auto" w:fill="1B556B"/>
            <w:tcMar>
              <w:top w:w="0" w:type="dxa"/>
              <w:left w:w="85" w:type="dxa"/>
              <w:bottom w:w="0" w:type="dxa"/>
              <w:right w:w="85" w:type="dxa"/>
            </w:tcMar>
            <w:vAlign w:val="bottom"/>
          </w:tcPr>
          <w:p w14:paraId="7957BA03" w14:textId="77777777" w:rsidR="00EB5913" w:rsidRPr="006623B9" w:rsidRDefault="00EB5913" w:rsidP="00F16E23">
            <w:pPr>
              <w:pStyle w:val="TableTextBold"/>
              <w:spacing w:before="40" w:after="40"/>
              <w:rPr>
                <w:noProof w:val="0"/>
                <w:color w:val="FFFFFF" w:themeColor="background1"/>
                <w:szCs w:val="16"/>
              </w:rPr>
            </w:pPr>
            <w:r w:rsidRPr="006623B9">
              <w:rPr>
                <w:noProof w:val="0"/>
                <w:color w:val="FFFFFF" w:themeColor="background1"/>
                <w:szCs w:val="16"/>
              </w:rPr>
              <w:t>Waste type</w:t>
            </w:r>
          </w:p>
        </w:tc>
        <w:tc>
          <w:tcPr>
            <w:tcW w:w="1134" w:type="dxa"/>
            <w:shd w:val="clear" w:color="auto" w:fill="1B556B"/>
            <w:tcMar>
              <w:top w:w="0" w:type="dxa"/>
              <w:left w:w="85" w:type="dxa"/>
              <w:bottom w:w="0" w:type="dxa"/>
              <w:right w:w="85" w:type="dxa"/>
            </w:tcMar>
            <w:vAlign w:val="bottom"/>
          </w:tcPr>
          <w:p w14:paraId="358810E8" w14:textId="77777777" w:rsidR="00EB5913" w:rsidRPr="006623B9" w:rsidRDefault="00EB5913" w:rsidP="00F16E23">
            <w:pPr>
              <w:pStyle w:val="TableTextBold"/>
              <w:spacing w:before="40" w:after="40"/>
              <w:jc w:val="right"/>
              <w:rPr>
                <w:noProof w:val="0"/>
                <w:color w:val="FFFFFF" w:themeColor="background1"/>
                <w:szCs w:val="16"/>
              </w:rPr>
            </w:pPr>
            <w:r w:rsidRPr="006623B9">
              <w:rPr>
                <w:noProof w:val="0"/>
                <w:color w:val="FFFFFF" w:themeColor="background1"/>
                <w:szCs w:val="16"/>
              </w:rPr>
              <w:t>Composition (%)</w:t>
            </w:r>
          </w:p>
        </w:tc>
        <w:tc>
          <w:tcPr>
            <w:tcW w:w="1559" w:type="dxa"/>
            <w:shd w:val="clear" w:color="auto" w:fill="1B556B"/>
            <w:tcMar>
              <w:top w:w="0" w:type="dxa"/>
              <w:left w:w="85" w:type="dxa"/>
              <w:bottom w:w="0" w:type="dxa"/>
              <w:right w:w="85" w:type="dxa"/>
            </w:tcMar>
            <w:vAlign w:val="bottom"/>
          </w:tcPr>
          <w:p w14:paraId="3FFD6C06" w14:textId="77777777" w:rsidR="00EB5913" w:rsidRPr="006623B9" w:rsidRDefault="00EB5913" w:rsidP="00F16E23">
            <w:pPr>
              <w:pStyle w:val="TableTextBold"/>
              <w:spacing w:before="40" w:after="40"/>
              <w:jc w:val="right"/>
              <w:rPr>
                <w:noProof w:val="0"/>
                <w:color w:val="FFFFFF" w:themeColor="background1"/>
                <w:szCs w:val="16"/>
              </w:rPr>
            </w:pPr>
            <w:r w:rsidRPr="006623B9">
              <w:rPr>
                <w:noProof w:val="0"/>
                <w:color w:val="FFFFFF" w:themeColor="background1"/>
                <w:szCs w:val="16"/>
              </w:rPr>
              <w:t>Dry–matter content (%)</w:t>
            </w:r>
          </w:p>
        </w:tc>
        <w:tc>
          <w:tcPr>
            <w:tcW w:w="1559" w:type="dxa"/>
            <w:shd w:val="clear" w:color="auto" w:fill="1B556B"/>
            <w:tcMar>
              <w:top w:w="0" w:type="dxa"/>
              <w:left w:w="85" w:type="dxa"/>
              <w:bottom w:w="0" w:type="dxa"/>
              <w:right w:w="85" w:type="dxa"/>
            </w:tcMar>
            <w:vAlign w:val="bottom"/>
          </w:tcPr>
          <w:p w14:paraId="7825F08D" w14:textId="77777777" w:rsidR="00EB5913" w:rsidRPr="006623B9" w:rsidRDefault="00EB5913" w:rsidP="00F16E23">
            <w:pPr>
              <w:pStyle w:val="TableTextBold"/>
              <w:spacing w:before="40" w:after="40"/>
              <w:jc w:val="right"/>
              <w:rPr>
                <w:noProof w:val="0"/>
                <w:color w:val="FFFFFF" w:themeColor="background1"/>
                <w:szCs w:val="16"/>
              </w:rPr>
            </w:pPr>
            <w:r w:rsidRPr="006623B9">
              <w:rPr>
                <w:noProof w:val="0"/>
                <w:color w:val="FFFFFF" w:themeColor="background1"/>
                <w:szCs w:val="16"/>
              </w:rPr>
              <w:t>Total carbon content (%)</w:t>
            </w:r>
          </w:p>
        </w:tc>
        <w:tc>
          <w:tcPr>
            <w:tcW w:w="2115" w:type="dxa"/>
            <w:shd w:val="clear" w:color="auto" w:fill="1B556B"/>
            <w:tcMar>
              <w:top w:w="0" w:type="dxa"/>
              <w:left w:w="85" w:type="dxa"/>
              <w:bottom w:w="0" w:type="dxa"/>
              <w:right w:w="85" w:type="dxa"/>
            </w:tcMar>
            <w:vAlign w:val="bottom"/>
          </w:tcPr>
          <w:p w14:paraId="628A5146" w14:textId="77777777" w:rsidR="00EB5913" w:rsidRPr="006623B9" w:rsidRDefault="00EB5913" w:rsidP="00F16E23">
            <w:pPr>
              <w:pStyle w:val="TableTextBold"/>
              <w:spacing w:before="40" w:after="40"/>
              <w:jc w:val="right"/>
              <w:rPr>
                <w:noProof w:val="0"/>
                <w:color w:val="FFFFFF" w:themeColor="background1"/>
                <w:szCs w:val="16"/>
              </w:rPr>
            </w:pPr>
            <w:r w:rsidRPr="006623B9">
              <w:rPr>
                <w:noProof w:val="0"/>
                <w:color w:val="FFFFFF" w:themeColor="background1"/>
                <w:szCs w:val="16"/>
              </w:rPr>
              <w:t>Fossil carbon content of total carbon (%)</w:t>
            </w:r>
          </w:p>
        </w:tc>
      </w:tr>
      <w:tr w:rsidR="00EB5913" w:rsidRPr="006623B9" w14:paraId="0B6BB871" w14:textId="77777777" w:rsidTr="00F16E23">
        <w:tc>
          <w:tcPr>
            <w:tcW w:w="2127" w:type="dxa"/>
            <w:shd w:val="clear" w:color="auto" w:fill="FFFFFF"/>
            <w:tcMar>
              <w:top w:w="0" w:type="dxa"/>
              <w:left w:w="85" w:type="dxa"/>
              <w:bottom w:w="0" w:type="dxa"/>
              <w:right w:w="85" w:type="dxa"/>
            </w:tcMar>
            <w:vAlign w:val="center"/>
          </w:tcPr>
          <w:p w14:paraId="5755008B" w14:textId="77777777" w:rsidR="00EB5913" w:rsidRPr="006623B9" w:rsidRDefault="00EB5913" w:rsidP="00F16E23">
            <w:pPr>
              <w:pStyle w:val="TableText"/>
              <w:spacing w:before="40" w:after="40"/>
              <w:rPr>
                <w:szCs w:val="16"/>
              </w:rPr>
            </w:pPr>
            <w:r w:rsidRPr="006623B9">
              <w:rPr>
                <w:rFonts w:eastAsia="Calibri"/>
                <w:szCs w:val="16"/>
              </w:rPr>
              <w:t>Paper/card</w:t>
            </w:r>
          </w:p>
        </w:tc>
        <w:tc>
          <w:tcPr>
            <w:tcW w:w="1134" w:type="dxa"/>
            <w:shd w:val="clear" w:color="auto" w:fill="FFFFFF"/>
            <w:tcMar>
              <w:top w:w="0" w:type="dxa"/>
              <w:left w:w="85" w:type="dxa"/>
              <w:bottom w:w="0" w:type="dxa"/>
              <w:right w:w="85" w:type="dxa"/>
            </w:tcMar>
            <w:vAlign w:val="center"/>
          </w:tcPr>
          <w:p w14:paraId="7302C436" w14:textId="77777777" w:rsidR="00EB5913" w:rsidRPr="006623B9" w:rsidRDefault="00EB5913" w:rsidP="00F16E23">
            <w:pPr>
              <w:pStyle w:val="TableText"/>
              <w:spacing w:before="40" w:after="40"/>
              <w:jc w:val="right"/>
              <w:rPr>
                <w:szCs w:val="16"/>
              </w:rPr>
            </w:pPr>
            <w:r w:rsidRPr="006623B9">
              <w:rPr>
                <w:rFonts w:eastAsia="Calibri"/>
                <w:szCs w:val="16"/>
              </w:rPr>
              <w:t>1.0</w:t>
            </w:r>
          </w:p>
        </w:tc>
        <w:tc>
          <w:tcPr>
            <w:tcW w:w="1559" w:type="dxa"/>
            <w:shd w:val="clear" w:color="auto" w:fill="FFFFFF"/>
            <w:tcMar>
              <w:top w:w="0" w:type="dxa"/>
              <w:left w:w="85" w:type="dxa"/>
              <w:bottom w:w="0" w:type="dxa"/>
              <w:right w:w="85" w:type="dxa"/>
            </w:tcMar>
            <w:vAlign w:val="center"/>
          </w:tcPr>
          <w:p w14:paraId="4C2E4527" w14:textId="77777777" w:rsidR="00EB5913" w:rsidRPr="006623B9" w:rsidRDefault="00EB5913" w:rsidP="00F16E23">
            <w:pPr>
              <w:pStyle w:val="TableText"/>
              <w:spacing w:before="40" w:after="40"/>
              <w:jc w:val="right"/>
              <w:rPr>
                <w:szCs w:val="16"/>
              </w:rPr>
            </w:pPr>
            <w:r w:rsidRPr="006623B9">
              <w:rPr>
                <w:rFonts w:eastAsia="Calibri"/>
                <w:szCs w:val="16"/>
              </w:rPr>
              <w:t>90</w:t>
            </w:r>
          </w:p>
        </w:tc>
        <w:tc>
          <w:tcPr>
            <w:tcW w:w="1559" w:type="dxa"/>
            <w:shd w:val="clear" w:color="auto" w:fill="FFFFFF"/>
            <w:tcMar>
              <w:top w:w="0" w:type="dxa"/>
              <w:left w:w="85" w:type="dxa"/>
              <w:bottom w:w="0" w:type="dxa"/>
              <w:right w:w="85" w:type="dxa"/>
            </w:tcMar>
            <w:vAlign w:val="center"/>
          </w:tcPr>
          <w:p w14:paraId="261FB49F" w14:textId="77777777" w:rsidR="00EB5913" w:rsidRPr="006623B9" w:rsidRDefault="00EB5913" w:rsidP="00F16E23">
            <w:pPr>
              <w:pStyle w:val="TableText"/>
              <w:spacing w:before="40" w:after="40"/>
              <w:jc w:val="right"/>
              <w:rPr>
                <w:szCs w:val="16"/>
              </w:rPr>
            </w:pPr>
            <w:r w:rsidRPr="006623B9">
              <w:rPr>
                <w:rFonts w:eastAsia="Calibri"/>
                <w:szCs w:val="16"/>
              </w:rPr>
              <w:t>46</w:t>
            </w:r>
          </w:p>
        </w:tc>
        <w:tc>
          <w:tcPr>
            <w:tcW w:w="2115" w:type="dxa"/>
            <w:shd w:val="clear" w:color="auto" w:fill="FFFFFF"/>
            <w:tcMar>
              <w:top w:w="0" w:type="dxa"/>
              <w:left w:w="85" w:type="dxa"/>
              <w:bottom w:w="0" w:type="dxa"/>
              <w:right w:w="85" w:type="dxa"/>
            </w:tcMar>
            <w:vAlign w:val="center"/>
          </w:tcPr>
          <w:p w14:paraId="29610E3B" w14:textId="77777777" w:rsidR="00EB5913" w:rsidRPr="006623B9" w:rsidRDefault="00EB5913" w:rsidP="00F16E23">
            <w:pPr>
              <w:pStyle w:val="TableText"/>
              <w:spacing w:before="40" w:after="40"/>
              <w:jc w:val="right"/>
              <w:rPr>
                <w:szCs w:val="16"/>
              </w:rPr>
            </w:pPr>
            <w:r w:rsidRPr="006623B9">
              <w:rPr>
                <w:rFonts w:eastAsia="Calibri"/>
                <w:szCs w:val="16"/>
              </w:rPr>
              <w:t>1</w:t>
            </w:r>
          </w:p>
        </w:tc>
      </w:tr>
      <w:tr w:rsidR="00EB5913" w:rsidRPr="006623B9" w14:paraId="7893BF7F" w14:textId="77777777" w:rsidTr="00F16E23">
        <w:tc>
          <w:tcPr>
            <w:tcW w:w="2127" w:type="dxa"/>
            <w:shd w:val="clear" w:color="auto" w:fill="FFFFFF"/>
            <w:tcMar>
              <w:top w:w="0" w:type="dxa"/>
              <w:left w:w="85" w:type="dxa"/>
              <w:bottom w:w="0" w:type="dxa"/>
              <w:right w:w="85" w:type="dxa"/>
            </w:tcMar>
            <w:vAlign w:val="center"/>
          </w:tcPr>
          <w:p w14:paraId="3E8F73B5" w14:textId="77777777" w:rsidR="00EB5913" w:rsidRPr="006623B9" w:rsidRDefault="00EB5913" w:rsidP="00F16E23">
            <w:pPr>
              <w:pStyle w:val="TableText"/>
              <w:spacing w:before="40" w:after="40"/>
              <w:rPr>
                <w:szCs w:val="16"/>
              </w:rPr>
            </w:pPr>
            <w:r w:rsidRPr="006623B9">
              <w:rPr>
                <w:rFonts w:eastAsia="Calibri"/>
                <w:szCs w:val="16"/>
              </w:rPr>
              <w:t>Textiles</w:t>
            </w:r>
          </w:p>
        </w:tc>
        <w:tc>
          <w:tcPr>
            <w:tcW w:w="1134" w:type="dxa"/>
            <w:shd w:val="clear" w:color="auto" w:fill="FFFFFF"/>
            <w:tcMar>
              <w:top w:w="0" w:type="dxa"/>
              <w:left w:w="85" w:type="dxa"/>
              <w:bottom w:w="0" w:type="dxa"/>
              <w:right w:w="85" w:type="dxa"/>
            </w:tcMar>
            <w:vAlign w:val="center"/>
          </w:tcPr>
          <w:p w14:paraId="2056CA7C" w14:textId="77777777" w:rsidR="00EB5913" w:rsidRPr="006623B9" w:rsidRDefault="00EB5913" w:rsidP="00F16E23">
            <w:pPr>
              <w:pStyle w:val="TableText"/>
              <w:spacing w:before="40" w:after="40"/>
              <w:jc w:val="right"/>
              <w:rPr>
                <w:szCs w:val="16"/>
              </w:rPr>
            </w:pPr>
            <w:r w:rsidRPr="006623B9">
              <w:rPr>
                <w:rFonts w:eastAsia="Calibri"/>
                <w:szCs w:val="16"/>
              </w:rPr>
              <w:t>19.7</w:t>
            </w:r>
          </w:p>
        </w:tc>
        <w:tc>
          <w:tcPr>
            <w:tcW w:w="1559" w:type="dxa"/>
            <w:shd w:val="clear" w:color="auto" w:fill="FFFFFF"/>
            <w:tcMar>
              <w:top w:w="0" w:type="dxa"/>
              <w:left w:w="85" w:type="dxa"/>
              <w:bottom w:w="0" w:type="dxa"/>
              <w:right w:w="85" w:type="dxa"/>
            </w:tcMar>
            <w:vAlign w:val="center"/>
          </w:tcPr>
          <w:p w14:paraId="3CA2C7D2" w14:textId="77777777" w:rsidR="00EB5913" w:rsidRPr="006623B9" w:rsidRDefault="00EB5913" w:rsidP="00F16E23">
            <w:pPr>
              <w:pStyle w:val="TableText"/>
              <w:spacing w:before="40" w:after="40"/>
              <w:jc w:val="right"/>
              <w:rPr>
                <w:szCs w:val="16"/>
              </w:rPr>
            </w:pPr>
            <w:r w:rsidRPr="006623B9">
              <w:rPr>
                <w:rFonts w:eastAsia="Calibri"/>
                <w:szCs w:val="16"/>
              </w:rPr>
              <w:t>80</w:t>
            </w:r>
          </w:p>
        </w:tc>
        <w:tc>
          <w:tcPr>
            <w:tcW w:w="1559" w:type="dxa"/>
            <w:shd w:val="clear" w:color="auto" w:fill="FFFFFF"/>
            <w:tcMar>
              <w:top w:w="0" w:type="dxa"/>
              <w:left w:w="85" w:type="dxa"/>
              <w:bottom w:w="0" w:type="dxa"/>
              <w:right w:w="85" w:type="dxa"/>
            </w:tcMar>
            <w:vAlign w:val="center"/>
          </w:tcPr>
          <w:p w14:paraId="4BD895C9" w14:textId="77777777" w:rsidR="00EB5913" w:rsidRPr="006623B9" w:rsidRDefault="00EB5913" w:rsidP="00F16E23">
            <w:pPr>
              <w:pStyle w:val="TableText"/>
              <w:spacing w:before="40" w:after="40"/>
              <w:jc w:val="right"/>
              <w:rPr>
                <w:szCs w:val="16"/>
              </w:rPr>
            </w:pPr>
            <w:r w:rsidRPr="006623B9">
              <w:rPr>
                <w:rFonts w:eastAsia="Calibri"/>
                <w:szCs w:val="16"/>
              </w:rPr>
              <w:t>50</w:t>
            </w:r>
          </w:p>
        </w:tc>
        <w:tc>
          <w:tcPr>
            <w:tcW w:w="2115" w:type="dxa"/>
            <w:shd w:val="clear" w:color="auto" w:fill="FFFFFF"/>
            <w:tcMar>
              <w:top w:w="0" w:type="dxa"/>
              <w:left w:w="85" w:type="dxa"/>
              <w:bottom w:w="0" w:type="dxa"/>
              <w:right w:w="85" w:type="dxa"/>
            </w:tcMar>
            <w:vAlign w:val="center"/>
          </w:tcPr>
          <w:p w14:paraId="4EF71955" w14:textId="77777777" w:rsidR="00EB5913" w:rsidRPr="006623B9" w:rsidRDefault="00EB5913" w:rsidP="00F16E23">
            <w:pPr>
              <w:pStyle w:val="TableText"/>
              <w:spacing w:before="40" w:after="40"/>
              <w:jc w:val="right"/>
              <w:rPr>
                <w:szCs w:val="16"/>
              </w:rPr>
            </w:pPr>
            <w:r w:rsidRPr="006623B9">
              <w:rPr>
                <w:rFonts w:eastAsia="Calibri"/>
                <w:szCs w:val="16"/>
              </w:rPr>
              <w:t>20</w:t>
            </w:r>
          </w:p>
        </w:tc>
      </w:tr>
      <w:tr w:rsidR="00EB5913" w:rsidRPr="006623B9" w14:paraId="1B90F883" w14:textId="77777777" w:rsidTr="00F16E23">
        <w:tc>
          <w:tcPr>
            <w:tcW w:w="2127" w:type="dxa"/>
            <w:shd w:val="clear" w:color="auto" w:fill="FFFFFF"/>
            <w:tcMar>
              <w:top w:w="0" w:type="dxa"/>
              <w:left w:w="85" w:type="dxa"/>
              <w:bottom w:w="0" w:type="dxa"/>
              <w:right w:w="85" w:type="dxa"/>
            </w:tcMar>
            <w:vAlign w:val="center"/>
          </w:tcPr>
          <w:p w14:paraId="5726615F" w14:textId="77777777" w:rsidR="00EB5913" w:rsidRPr="006623B9" w:rsidRDefault="00EB5913" w:rsidP="00F16E23">
            <w:pPr>
              <w:pStyle w:val="TableText"/>
              <w:spacing w:before="40" w:after="40"/>
              <w:rPr>
                <w:szCs w:val="16"/>
              </w:rPr>
            </w:pPr>
            <w:r w:rsidRPr="006623B9">
              <w:rPr>
                <w:rFonts w:eastAsia="Calibri"/>
                <w:szCs w:val="16"/>
              </w:rPr>
              <w:t>Food waste</w:t>
            </w:r>
          </w:p>
        </w:tc>
        <w:tc>
          <w:tcPr>
            <w:tcW w:w="1134" w:type="dxa"/>
            <w:shd w:val="clear" w:color="auto" w:fill="FFFFFF"/>
            <w:tcMar>
              <w:top w:w="0" w:type="dxa"/>
              <w:left w:w="85" w:type="dxa"/>
              <w:bottom w:w="0" w:type="dxa"/>
              <w:right w:w="85" w:type="dxa"/>
            </w:tcMar>
            <w:vAlign w:val="center"/>
          </w:tcPr>
          <w:p w14:paraId="76726BA0" w14:textId="77777777" w:rsidR="00EB5913" w:rsidRPr="006623B9" w:rsidRDefault="00EB5913" w:rsidP="00F16E23">
            <w:pPr>
              <w:pStyle w:val="TableText"/>
              <w:spacing w:before="40" w:after="40"/>
              <w:jc w:val="right"/>
              <w:rPr>
                <w:szCs w:val="16"/>
              </w:rPr>
            </w:pPr>
            <w:r w:rsidRPr="006623B9">
              <w:rPr>
                <w:rFonts w:eastAsia="Calibri"/>
                <w:szCs w:val="16"/>
              </w:rPr>
              <w:t>15.2</w:t>
            </w:r>
          </w:p>
        </w:tc>
        <w:tc>
          <w:tcPr>
            <w:tcW w:w="1559" w:type="dxa"/>
            <w:shd w:val="clear" w:color="auto" w:fill="FFFFFF"/>
            <w:tcMar>
              <w:top w:w="0" w:type="dxa"/>
              <w:left w:w="85" w:type="dxa"/>
              <w:bottom w:w="0" w:type="dxa"/>
              <w:right w:w="85" w:type="dxa"/>
            </w:tcMar>
            <w:vAlign w:val="center"/>
          </w:tcPr>
          <w:p w14:paraId="1E97CB78" w14:textId="77777777" w:rsidR="00EB5913" w:rsidRPr="006623B9" w:rsidRDefault="00EB5913" w:rsidP="00F16E23">
            <w:pPr>
              <w:pStyle w:val="TableText"/>
              <w:spacing w:before="40" w:after="40"/>
              <w:jc w:val="right"/>
              <w:rPr>
                <w:szCs w:val="16"/>
              </w:rPr>
            </w:pPr>
            <w:r w:rsidRPr="006623B9">
              <w:rPr>
                <w:rFonts w:eastAsia="Calibri"/>
                <w:szCs w:val="16"/>
              </w:rPr>
              <w:t>40</w:t>
            </w:r>
          </w:p>
        </w:tc>
        <w:tc>
          <w:tcPr>
            <w:tcW w:w="1559" w:type="dxa"/>
            <w:shd w:val="clear" w:color="auto" w:fill="FFFFFF"/>
            <w:tcMar>
              <w:top w:w="0" w:type="dxa"/>
              <w:left w:w="85" w:type="dxa"/>
              <w:bottom w:w="0" w:type="dxa"/>
              <w:right w:w="85" w:type="dxa"/>
            </w:tcMar>
            <w:vAlign w:val="center"/>
          </w:tcPr>
          <w:p w14:paraId="40657543" w14:textId="77777777" w:rsidR="00EB5913" w:rsidRPr="006623B9" w:rsidRDefault="00EB5913" w:rsidP="00F16E23">
            <w:pPr>
              <w:pStyle w:val="TableText"/>
              <w:spacing w:before="40" w:after="40"/>
              <w:jc w:val="right"/>
              <w:rPr>
                <w:szCs w:val="16"/>
              </w:rPr>
            </w:pPr>
            <w:r w:rsidRPr="006623B9">
              <w:rPr>
                <w:rFonts w:eastAsia="Calibri"/>
                <w:szCs w:val="16"/>
              </w:rPr>
              <w:t>38</w:t>
            </w:r>
          </w:p>
        </w:tc>
        <w:tc>
          <w:tcPr>
            <w:tcW w:w="2115" w:type="dxa"/>
            <w:shd w:val="clear" w:color="auto" w:fill="FFFFFF"/>
            <w:tcMar>
              <w:top w:w="0" w:type="dxa"/>
              <w:left w:w="85" w:type="dxa"/>
              <w:bottom w:w="0" w:type="dxa"/>
              <w:right w:w="85" w:type="dxa"/>
            </w:tcMar>
            <w:vAlign w:val="center"/>
          </w:tcPr>
          <w:p w14:paraId="0F506DCD" w14:textId="77777777" w:rsidR="00EB5913" w:rsidRPr="006623B9" w:rsidRDefault="00EB5913" w:rsidP="00F16E23">
            <w:pPr>
              <w:pStyle w:val="TableText"/>
              <w:spacing w:before="40" w:after="40"/>
              <w:jc w:val="right"/>
              <w:rPr>
                <w:szCs w:val="16"/>
              </w:rPr>
            </w:pPr>
            <w:r w:rsidRPr="006623B9">
              <w:rPr>
                <w:rFonts w:eastAsia="Calibri"/>
                <w:szCs w:val="16"/>
              </w:rPr>
              <w:t>0</w:t>
            </w:r>
          </w:p>
        </w:tc>
      </w:tr>
      <w:tr w:rsidR="00EB5913" w:rsidRPr="006623B9" w14:paraId="7459399E" w14:textId="77777777" w:rsidTr="00F16E23">
        <w:tc>
          <w:tcPr>
            <w:tcW w:w="2127" w:type="dxa"/>
            <w:shd w:val="clear" w:color="auto" w:fill="FFFFFF"/>
            <w:tcMar>
              <w:top w:w="0" w:type="dxa"/>
              <w:left w:w="85" w:type="dxa"/>
              <w:bottom w:w="0" w:type="dxa"/>
              <w:right w:w="85" w:type="dxa"/>
            </w:tcMar>
            <w:vAlign w:val="center"/>
          </w:tcPr>
          <w:p w14:paraId="239A856B" w14:textId="77777777" w:rsidR="00EB5913" w:rsidRPr="006623B9" w:rsidRDefault="00EB5913" w:rsidP="00F16E23">
            <w:pPr>
              <w:pStyle w:val="TableText"/>
              <w:spacing w:before="40" w:after="40"/>
              <w:rPr>
                <w:szCs w:val="16"/>
              </w:rPr>
            </w:pPr>
            <w:r w:rsidRPr="006623B9">
              <w:rPr>
                <w:rFonts w:eastAsia="Calibri"/>
                <w:szCs w:val="16"/>
              </w:rPr>
              <w:t>Wood</w:t>
            </w:r>
          </w:p>
        </w:tc>
        <w:tc>
          <w:tcPr>
            <w:tcW w:w="1134" w:type="dxa"/>
            <w:shd w:val="clear" w:color="auto" w:fill="FFFFFF"/>
            <w:tcMar>
              <w:top w:w="0" w:type="dxa"/>
              <w:left w:w="85" w:type="dxa"/>
              <w:bottom w:w="0" w:type="dxa"/>
              <w:right w:w="85" w:type="dxa"/>
            </w:tcMar>
            <w:vAlign w:val="center"/>
          </w:tcPr>
          <w:p w14:paraId="79FD2CD0" w14:textId="77777777" w:rsidR="00EB5913" w:rsidRPr="006623B9" w:rsidRDefault="00EB5913" w:rsidP="00F16E23">
            <w:pPr>
              <w:pStyle w:val="TableText"/>
              <w:spacing w:before="40" w:after="40"/>
              <w:jc w:val="right"/>
              <w:rPr>
                <w:szCs w:val="16"/>
              </w:rPr>
            </w:pPr>
            <w:r w:rsidRPr="006623B9">
              <w:rPr>
                <w:rFonts w:eastAsia="Calibri"/>
                <w:szCs w:val="16"/>
              </w:rPr>
              <w:t>41.0</w:t>
            </w:r>
          </w:p>
        </w:tc>
        <w:tc>
          <w:tcPr>
            <w:tcW w:w="1559" w:type="dxa"/>
            <w:shd w:val="clear" w:color="auto" w:fill="FFFFFF"/>
            <w:tcMar>
              <w:top w:w="0" w:type="dxa"/>
              <w:left w:w="85" w:type="dxa"/>
              <w:bottom w:w="0" w:type="dxa"/>
              <w:right w:w="85" w:type="dxa"/>
            </w:tcMar>
            <w:vAlign w:val="center"/>
          </w:tcPr>
          <w:p w14:paraId="00AD2AB1" w14:textId="77777777" w:rsidR="00EB5913" w:rsidRPr="006623B9" w:rsidRDefault="00EB5913" w:rsidP="00F16E23">
            <w:pPr>
              <w:pStyle w:val="TableText"/>
              <w:spacing w:before="40" w:after="40"/>
              <w:jc w:val="right"/>
              <w:rPr>
                <w:szCs w:val="16"/>
              </w:rPr>
            </w:pPr>
            <w:r w:rsidRPr="006623B9">
              <w:rPr>
                <w:rFonts w:eastAsia="Calibri"/>
                <w:szCs w:val="16"/>
              </w:rPr>
              <w:t>85</w:t>
            </w:r>
          </w:p>
        </w:tc>
        <w:tc>
          <w:tcPr>
            <w:tcW w:w="1559" w:type="dxa"/>
            <w:shd w:val="clear" w:color="auto" w:fill="FFFFFF"/>
            <w:tcMar>
              <w:top w:w="0" w:type="dxa"/>
              <w:left w:w="85" w:type="dxa"/>
              <w:bottom w:w="0" w:type="dxa"/>
              <w:right w:w="85" w:type="dxa"/>
            </w:tcMar>
            <w:vAlign w:val="center"/>
          </w:tcPr>
          <w:p w14:paraId="0E4B76FC" w14:textId="77777777" w:rsidR="00EB5913" w:rsidRPr="006623B9" w:rsidRDefault="00EB5913" w:rsidP="00F16E23">
            <w:pPr>
              <w:pStyle w:val="TableText"/>
              <w:spacing w:before="40" w:after="40"/>
              <w:jc w:val="right"/>
              <w:rPr>
                <w:szCs w:val="16"/>
              </w:rPr>
            </w:pPr>
            <w:r w:rsidRPr="006623B9">
              <w:rPr>
                <w:rFonts w:eastAsia="Calibri"/>
                <w:szCs w:val="16"/>
              </w:rPr>
              <w:t>50</w:t>
            </w:r>
          </w:p>
        </w:tc>
        <w:tc>
          <w:tcPr>
            <w:tcW w:w="2115" w:type="dxa"/>
            <w:shd w:val="clear" w:color="auto" w:fill="FFFFFF"/>
            <w:tcMar>
              <w:top w:w="0" w:type="dxa"/>
              <w:left w:w="85" w:type="dxa"/>
              <w:bottom w:w="0" w:type="dxa"/>
              <w:right w:w="85" w:type="dxa"/>
            </w:tcMar>
            <w:vAlign w:val="center"/>
          </w:tcPr>
          <w:p w14:paraId="00205B3F" w14:textId="77777777" w:rsidR="00EB5913" w:rsidRPr="006623B9" w:rsidRDefault="00EB5913" w:rsidP="00F16E23">
            <w:pPr>
              <w:pStyle w:val="TableText"/>
              <w:spacing w:before="40" w:after="40"/>
              <w:jc w:val="right"/>
              <w:rPr>
                <w:szCs w:val="16"/>
              </w:rPr>
            </w:pPr>
            <w:r w:rsidRPr="006623B9">
              <w:rPr>
                <w:rFonts w:eastAsia="Calibri"/>
                <w:szCs w:val="16"/>
              </w:rPr>
              <w:t>0</w:t>
            </w:r>
          </w:p>
        </w:tc>
      </w:tr>
      <w:tr w:rsidR="00EB5913" w:rsidRPr="006623B9" w14:paraId="6ECC3BC1" w14:textId="77777777" w:rsidTr="00F16E23">
        <w:tc>
          <w:tcPr>
            <w:tcW w:w="2127" w:type="dxa"/>
            <w:shd w:val="clear" w:color="auto" w:fill="FFFFFF"/>
            <w:tcMar>
              <w:top w:w="0" w:type="dxa"/>
              <w:left w:w="85" w:type="dxa"/>
              <w:bottom w:w="0" w:type="dxa"/>
              <w:right w:w="85" w:type="dxa"/>
            </w:tcMar>
            <w:vAlign w:val="center"/>
          </w:tcPr>
          <w:p w14:paraId="1E044DAA" w14:textId="77777777" w:rsidR="00EB5913" w:rsidRPr="006623B9" w:rsidRDefault="00EB5913" w:rsidP="00F16E23">
            <w:pPr>
              <w:pStyle w:val="TableText"/>
              <w:spacing w:before="40" w:after="40"/>
              <w:rPr>
                <w:szCs w:val="16"/>
              </w:rPr>
            </w:pPr>
            <w:r w:rsidRPr="006623B9">
              <w:rPr>
                <w:rFonts w:eastAsia="Calibri"/>
                <w:szCs w:val="16"/>
              </w:rPr>
              <w:t>Garden and park waste</w:t>
            </w:r>
          </w:p>
        </w:tc>
        <w:tc>
          <w:tcPr>
            <w:tcW w:w="1134" w:type="dxa"/>
            <w:shd w:val="clear" w:color="auto" w:fill="FFFFFF"/>
            <w:tcMar>
              <w:top w:w="0" w:type="dxa"/>
              <w:left w:w="85" w:type="dxa"/>
              <w:bottom w:w="0" w:type="dxa"/>
              <w:right w:w="85" w:type="dxa"/>
            </w:tcMar>
            <w:vAlign w:val="center"/>
          </w:tcPr>
          <w:p w14:paraId="26242230" w14:textId="77777777" w:rsidR="00EB5913" w:rsidRPr="006623B9" w:rsidRDefault="00EB5913" w:rsidP="00F16E23">
            <w:pPr>
              <w:pStyle w:val="TableText"/>
              <w:spacing w:before="40" w:after="40"/>
              <w:jc w:val="right"/>
              <w:rPr>
                <w:szCs w:val="16"/>
              </w:rPr>
            </w:pPr>
            <w:r w:rsidRPr="006623B9">
              <w:rPr>
                <w:rFonts w:eastAsia="Calibri"/>
                <w:szCs w:val="16"/>
              </w:rPr>
              <w:t>NA</w:t>
            </w:r>
          </w:p>
        </w:tc>
        <w:tc>
          <w:tcPr>
            <w:tcW w:w="1559" w:type="dxa"/>
            <w:shd w:val="clear" w:color="auto" w:fill="FFFFFF"/>
            <w:tcMar>
              <w:top w:w="0" w:type="dxa"/>
              <w:left w:w="85" w:type="dxa"/>
              <w:bottom w:w="0" w:type="dxa"/>
              <w:right w:w="85" w:type="dxa"/>
            </w:tcMar>
            <w:vAlign w:val="center"/>
          </w:tcPr>
          <w:p w14:paraId="53406474" w14:textId="77777777" w:rsidR="00EB5913" w:rsidRPr="006623B9" w:rsidRDefault="00EB5913" w:rsidP="00F16E23">
            <w:pPr>
              <w:pStyle w:val="TableText"/>
              <w:spacing w:before="40" w:after="40"/>
              <w:jc w:val="right"/>
              <w:rPr>
                <w:szCs w:val="16"/>
              </w:rPr>
            </w:pPr>
            <w:r w:rsidRPr="006623B9">
              <w:rPr>
                <w:rFonts w:eastAsia="Calibri"/>
                <w:szCs w:val="16"/>
              </w:rPr>
              <w:t>40</w:t>
            </w:r>
          </w:p>
        </w:tc>
        <w:tc>
          <w:tcPr>
            <w:tcW w:w="1559" w:type="dxa"/>
            <w:shd w:val="clear" w:color="auto" w:fill="FFFFFF"/>
            <w:tcMar>
              <w:top w:w="0" w:type="dxa"/>
              <w:left w:w="85" w:type="dxa"/>
              <w:bottom w:w="0" w:type="dxa"/>
              <w:right w:w="85" w:type="dxa"/>
            </w:tcMar>
            <w:vAlign w:val="center"/>
          </w:tcPr>
          <w:p w14:paraId="685A87E3" w14:textId="77777777" w:rsidR="00EB5913" w:rsidRPr="006623B9" w:rsidRDefault="00EB5913" w:rsidP="00F16E23">
            <w:pPr>
              <w:pStyle w:val="TableText"/>
              <w:spacing w:before="40" w:after="40"/>
              <w:jc w:val="right"/>
              <w:rPr>
                <w:szCs w:val="16"/>
              </w:rPr>
            </w:pPr>
            <w:r w:rsidRPr="006623B9">
              <w:rPr>
                <w:rFonts w:eastAsia="Calibri"/>
                <w:szCs w:val="16"/>
              </w:rPr>
              <w:t>49</w:t>
            </w:r>
          </w:p>
        </w:tc>
        <w:tc>
          <w:tcPr>
            <w:tcW w:w="2115" w:type="dxa"/>
            <w:shd w:val="clear" w:color="auto" w:fill="FFFFFF"/>
            <w:tcMar>
              <w:top w:w="0" w:type="dxa"/>
              <w:left w:w="85" w:type="dxa"/>
              <w:bottom w:w="0" w:type="dxa"/>
              <w:right w:w="85" w:type="dxa"/>
            </w:tcMar>
            <w:vAlign w:val="center"/>
          </w:tcPr>
          <w:p w14:paraId="741BEFD2" w14:textId="77777777" w:rsidR="00EB5913" w:rsidRPr="006623B9" w:rsidRDefault="00EB5913" w:rsidP="00F16E23">
            <w:pPr>
              <w:pStyle w:val="TableText"/>
              <w:spacing w:before="40" w:after="40"/>
              <w:jc w:val="right"/>
              <w:rPr>
                <w:szCs w:val="16"/>
              </w:rPr>
            </w:pPr>
            <w:r w:rsidRPr="006623B9">
              <w:rPr>
                <w:rFonts w:eastAsia="Calibri"/>
                <w:szCs w:val="16"/>
              </w:rPr>
              <w:t>0</w:t>
            </w:r>
          </w:p>
        </w:tc>
      </w:tr>
      <w:tr w:rsidR="00EB5913" w:rsidRPr="006623B9" w14:paraId="73972142" w14:textId="77777777" w:rsidTr="00F16E23">
        <w:tc>
          <w:tcPr>
            <w:tcW w:w="2127" w:type="dxa"/>
            <w:shd w:val="clear" w:color="auto" w:fill="FFFFFF"/>
            <w:tcMar>
              <w:top w:w="0" w:type="dxa"/>
              <w:left w:w="85" w:type="dxa"/>
              <w:bottom w:w="0" w:type="dxa"/>
              <w:right w:w="85" w:type="dxa"/>
            </w:tcMar>
            <w:vAlign w:val="center"/>
          </w:tcPr>
          <w:p w14:paraId="2C1D4DAE" w14:textId="77777777" w:rsidR="00EB5913" w:rsidRPr="006623B9" w:rsidRDefault="00EB5913" w:rsidP="00F16E23">
            <w:pPr>
              <w:pStyle w:val="TableText"/>
              <w:spacing w:before="40" w:after="40"/>
              <w:rPr>
                <w:szCs w:val="16"/>
              </w:rPr>
            </w:pPr>
            <w:r w:rsidRPr="006623B9">
              <w:rPr>
                <w:rFonts w:eastAsia="Calibri"/>
                <w:szCs w:val="16"/>
              </w:rPr>
              <w:t>Nappies</w:t>
            </w:r>
          </w:p>
        </w:tc>
        <w:tc>
          <w:tcPr>
            <w:tcW w:w="1134" w:type="dxa"/>
            <w:shd w:val="clear" w:color="auto" w:fill="FFFFFF"/>
            <w:tcMar>
              <w:top w:w="0" w:type="dxa"/>
              <w:left w:w="85" w:type="dxa"/>
              <w:bottom w:w="0" w:type="dxa"/>
              <w:right w:w="85" w:type="dxa"/>
            </w:tcMar>
            <w:vAlign w:val="center"/>
          </w:tcPr>
          <w:p w14:paraId="7B39DBB5" w14:textId="77777777" w:rsidR="00EB5913" w:rsidRPr="006623B9" w:rsidRDefault="00EB5913" w:rsidP="00F16E23">
            <w:pPr>
              <w:pStyle w:val="TableText"/>
              <w:spacing w:before="40" w:after="40"/>
              <w:jc w:val="right"/>
              <w:rPr>
                <w:szCs w:val="16"/>
              </w:rPr>
            </w:pPr>
            <w:r w:rsidRPr="006623B9">
              <w:rPr>
                <w:rFonts w:eastAsia="Calibri"/>
                <w:szCs w:val="16"/>
              </w:rPr>
              <w:t>NA</w:t>
            </w:r>
          </w:p>
        </w:tc>
        <w:tc>
          <w:tcPr>
            <w:tcW w:w="1559" w:type="dxa"/>
            <w:shd w:val="clear" w:color="auto" w:fill="FFFFFF"/>
            <w:tcMar>
              <w:top w:w="0" w:type="dxa"/>
              <w:left w:w="85" w:type="dxa"/>
              <w:bottom w:w="0" w:type="dxa"/>
              <w:right w:w="85" w:type="dxa"/>
            </w:tcMar>
            <w:vAlign w:val="center"/>
          </w:tcPr>
          <w:p w14:paraId="75AEA43D" w14:textId="77777777" w:rsidR="00EB5913" w:rsidRPr="006623B9" w:rsidRDefault="00EB5913" w:rsidP="00F16E23">
            <w:pPr>
              <w:pStyle w:val="TableText"/>
              <w:spacing w:before="40" w:after="40"/>
              <w:jc w:val="right"/>
              <w:rPr>
                <w:szCs w:val="16"/>
              </w:rPr>
            </w:pPr>
            <w:r w:rsidRPr="006623B9">
              <w:rPr>
                <w:rFonts w:eastAsia="Calibri"/>
                <w:szCs w:val="16"/>
              </w:rPr>
              <w:t>40</w:t>
            </w:r>
          </w:p>
        </w:tc>
        <w:tc>
          <w:tcPr>
            <w:tcW w:w="1559" w:type="dxa"/>
            <w:shd w:val="clear" w:color="auto" w:fill="FFFFFF"/>
            <w:tcMar>
              <w:top w:w="0" w:type="dxa"/>
              <w:left w:w="85" w:type="dxa"/>
              <w:bottom w:w="0" w:type="dxa"/>
              <w:right w:w="85" w:type="dxa"/>
            </w:tcMar>
            <w:vAlign w:val="center"/>
          </w:tcPr>
          <w:p w14:paraId="47DFB12B" w14:textId="77777777" w:rsidR="00EB5913" w:rsidRPr="006623B9" w:rsidRDefault="00EB5913" w:rsidP="00F16E23">
            <w:pPr>
              <w:pStyle w:val="TableText"/>
              <w:spacing w:before="40" w:after="40"/>
              <w:jc w:val="right"/>
              <w:rPr>
                <w:szCs w:val="16"/>
              </w:rPr>
            </w:pPr>
            <w:r w:rsidRPr="006623B9">
              <w:rPr>
                <w:rFonts w:eastAsia="Calibri"/>
                <w:szCs w:val="16"/>
              </w:rPr>
              <w:t>70</w:t>
            </w:r>
          </w:p>
        </w:tc>
        <w:tc>
          <w:tcPr>
            <w:tcW w:w="2115" w:type="dxa"/>
            <w:shd w:val="clear" w:color="auto" w:fill="FFFFFF"/>
            <w:tcMar>
              <w:top w:w="0" w:type="dxa"/>
              <w:left w:w="85" w:type="dxa"/>
              <w:bottom w:w="0" w:type="dxa"/>
              <w:right w:w="85" w:type="dxa"/>
            </w:tcMar>
            <w:vAlign w:val="center"/>
          </w:tcPr>
          <w:p w14:paraId="6B9CA5F2" w14:textId="77777777" w:rsidR="00EB5913" w:rsidRPr="006623B9" w:rsidRDefault="00EB5913" w:rsidP="00F16E23">
            <w:pPr>
              <w:pStyle w:val="TableText"/>
              <w:spacing w:before="40" w:after="40"/>
              <w:jc w:val="right"/>
              <w:rPr>
                <w:szCs w:val="16"/>
              </w:rPr>
            </w:pPr>
            <w:r w:rsidRPr="006623B9">
              <w:rPr>
                <w:rFonts w:eastAsia="Calibri"/>
                <w:szCs w:val="16"/>
              </w:rPr>
              <w:t>10</w:t>
            </w:r>
          </w:p>
        </w:tc>
      </w:tr>
      <w:tr w:rsidR="00EB5913" w:rsidRPr="006623B9" w14:paraId="00480C6E" w14:textId="77777777" w:rsidTr="00F16E23">
        <w:tc>
          <w:tcPr>
            <w:tcW w:w="2127" w:type="dxa"/>
            <w:shd w:val="clear" w:color="auto" w:fill="FFFFFF"/>
            <w:tcMar>
              <w:top w:w="0" w:type="dxa"/>
              <w:left w:w="85" w:type="dxa"/>
              <w:bottom w:w="0" w:type="dxa"/>
              <w:right w:w="85" w:type="dxa"/>
            </w:tcMar>
            <w:vAlign w:val="center"/>
          </w:tcPr>
          <w:p w14:paraId="07E3D3FF" w14:textId="77777777" w:rsidR="00EB5913" w:rsidRPr="006623B9" w:rsidRDefault="00EB5913" w:rsidP="00F16E23">
            <w:pPr>
              <w:pStyle w:val="TableText"/>
              <w:spacing w:before="40" w:after="40"/>
              <w:rPr>
                <w:szCs w:val="16"/>
              </w:rPr>
            </w:pPr>
            <w:r w:rsidRPr="006623B9">
              <w:rPr>
                <w:rFonts w:eastAsia="Calibri"/>
                <w:szCs w:val="16"/>
              </w:rPr>
              <w:t>Rubber and leather</w:t>
            </w:r>
          </w:p>
        </w:tc>
        <w:tc>
          <w:tcPr>
            <w:tcW w:w="1134" w:type="dxa"/>
            <w:shd w:val="clear" w:color="auto" w:fill="FFFFFF"/>
            <w:tcMar>
              <w:top w:w="0" w:type="dxa"/>
              <w:left w:w="85" w:type="dxa"/>
              <w:bottom w:w="0" w:type="dxa"/>
              <w:right w:w="85" w:type="dxa"/>
            </w:tcMar>
            <w:vAlign w:val="center"/>
          </w:tcPr>
          <w:p w14:paraId="4A488A38" w14:textId="77777777" w:rsidR="00EB5913" w:rsidRPr="006623B9" w:rsidRDefault="00EB5913" w:rsidP="00F16E23">
            <w:pPr>
              <w:pStyle w:val="TableText"/>
              <w:spacing w:before="40" w:after="40"/>
              <w:jc w:val="right"/>
              <w:rPr>
                <w:szCs w:val="16"/>
              </w:rPr>
            </w:pPr>
            <w:r w:rsidRPr="006623B9">
              <w:rPr>
                <w:rFonts w:eastAsia="Calibri"/>
                <w:szCs w:val="16"/>
              </w:rPr>
              <w:t>0.3</w:t>
            </w:r>
          </w:p>
        </w:tc>
        <w:tc>
          <w:tcPr>
            <w:tcW w:w="1559" w:type="dxa"/>
            <w:shd w:val="clear" w:color="auto" w:fill="FFFFFF"/>
            <w:tcMar>
              <w:top w:w="0" w:type="dxa"/>
              <w:left w:w="85" w:type="dxa"/>
              <w:bottom w:w="0" w:type="dxa"/>
              <w:right w:w="85" w:type="dxa"/>
            </w:tcMar>
            <w:vAlign w:val="center"/>
          </w:tcPr>
          <w:p w14:paraId="5BEB631B" w14:textId="77777777" w:rsidR="00EB5913" w:rsidRPr="006623B9" w:rsidRDefault="00EB5913" w:rsidP="00F16E23">
            <w:pPr>
              <w:pStyle w:val="TableText"/>
              <w:spacing w:before="40" w:after="40"/>
              <w:jc w:val="right"/>
              <w:rPr>
                <w:szCs w:val="16"/>
              </w:rPr>
            </w:pPr>
            <w:r w:rsidRPr="006623B9">
              <w:rPr>
                <w:rFonts w:eastAsia="Calibri"/>
                <w:szCs w:val="16"/>
              </w:rPr>
              <w:t>84</w:t>
            </w:r>
          </w:p>
        </w:tc>
        <w:tc>
          <w:tcPr>
            <w:tcW w:w="1559" w:type="dxa"/>
            <w:shd w:val="clear" w:color="auto" w:fill="FFFFFF"/>
            <w:tcMar>
              <w:top w:w="0" w:type="dxa"/>
              <w:left w:w="85" w:type="dxa"/>
              <w:bottom w:w="0" w:type="dxa"/>
              <w:right w:w="85" w:type="dxa"/>
            </w:tcMar>
            <w:vAlign w:val="center"/>
          </w:tcPr>
          <w:p w14:paraId="7045D7B3" w14:textId="77777777" w:rsidR="00EB5913" w:rsidRPr="006623B9" w:rsidRDefault="00EB5913" w:rsidP="00F16E23">
            <w:pPr>
              <w:pStyle w:val="TableText"/>
              <w:spacing w:before="40" w:after="40"/>
              <w:jc w:val="right"/>
              <w:rPr>
                <w:szCs w:val="16"/>
              </w:rPr>
            </w:pPr>
            <w:r w:rsidRPr="006623B9">
              <w:rPr>
                <w:rFonts w:eastAsia="Calibri"/>
                <w:szCs w:val="16"/>
              </w:rPr>
              <w:t>67</w:t>
            </w:r>
          </w:p>
        </w:tc>
        <w:tc>
          <w:tcPr>
            <w:tcW w:w="2115" w:type="dxa"/>
            <w:shd w:val="clear" w:color="auto" w:fill="FFFFFF"/>
            <w:tcMar>
              <w:top w:w="0" w:type="dxa"/>
              <w:left w:w="85" w:type="dxa"/>
              <w:bottom w:w="0" w:type="dxa"/>
              <w:right w:w="85" w:type="dxa"/>
            </w:tcMar>
            <w:vAlign w:val="center"/>
          </w:tcPr>
          <w:p w14:paraId="4270E683" w14:textId="77777777" w:rsidR="00EB5913" w:rsidRPr="006623B9" w:rsidRDefault="00EB5913" w:rsidP="00F16E23">
            <w:pPr>
              <w:pStyle w:val="TableText"/>
              <w:spacing w:before="40" w:after="40"/>
              <w:jc w:val="right"/>
              <w:rPr>
                <w:szCs w:val="16"/>
              </w:rPr>
            </w:pPr>
            <w:r w:rsidRPr="006623B9">
              <w:rPr>
                <w:rFonts w:eastAsia="Calibri"/>
                <w:szCs w:val="16"/>
              </w:rPr>
              <w:t>20</w:t>
            </w:r>
          </w:p>
        </w:tc>
      </w:tr>
      <w:tr w:rsidR="00EB5913" w:rsidRPr="006623B9" w14:paraId="7D258118" w14:textId="77777777" w:rsidTr="00F16E23">
        <w:tc>
          <w:tcPr>
            <w:tcW w:w="2127" w:type="dxa"/>
            <w:shd w:val="clear" w:color="auto" w:fill="FFFFFF"/>
            <w:tcMar>
              <w:top w:w="0" w:type="dxa"/>
              <w:left w:w="85" w:type="dxa"/>
              <w:bottom w:w="0" w:type="dxa"/>
              <w:right w:w="85" w:type="dxa"/>
            </w:tcMar>
            <w:vAlign w:val="center"/>
          </w:tcPr>
          <w:p w14:paraId="67118D75" w14:textId="77777777" w:rsidR="00EB5913" w:rsidRPr="006623B9" w:rsidRDefault="00EB5913" w:rsidP="00F16E23">
            <w:pPr>
              <w:pStyle w:val="TableText"/>
              <w:spacing w:before="40" w:after="40"/>
              <w:rPr>
                <w:szCs w:val="16"/>
              </w:rPr>
            </w:pPr>
            <w:r w:rsidRPr="006623B9">
              <w:rPr>
                <w:rFonts w:eastAsia="Calibri"/>
                <w:szCs w:val="16"/>
              </w:rPr>
              <w:t>Plastics</w:t>
            </w:r>
          </w:p>
        </w:tc>
        <w:tc>
          <w:tcPr>
            <w:tcW w:w="1134" w:type="dxa"/>
            <w:shd w:val="clear" w:color="auto" w:fill="FFFFFF"/>
            <w:tcMar>
              <w:top w:w="0" w:type="dxa"/>
              <w:left w:w="85" w:type="dxa"/>
              <w:bottom w:w="0" w:type="dxa"/>
              <w:right w:w="85" w:type="dxa"/>
            </w:tcMar>
            <w:vAlign w:val="center"/>
          </w:tcPr>
          <w:p w14:paraId="276CB5DF" w14:textId="77777777" w:rsidR="00EB5913" w:rsidRPr="006623B9" w:rsidRDefault="00EB5913" w:rsidP="00F16E23">
            <w:pPr>
              <w:pStyle w:val="TableText"/>
              <w:spacing w:before="40" w:after="40"/>
              <w:jc w:val="right"/>
              <w:rPr>
                <w:szCs w:val="16"/>
              </w:rPr>
            </w:pPr>
            <w:r w:rsidRPr="006623B9">
              <w:rPr>
                <w:rFonts w:eastAsia="Calibri"/>
                <w:szCs w:val="16"/>
              </w:rPr>
              <w:t>10.4</w:t>
            </w:r>
          </w:p>
        </w:tc>
        <w:tc>
          <w:tcPr>
            <w:tcW w:w="1559" w:type="dxa"/>
            <w:shd w:val="clear" w:color="auto" w:fill="FFFFFF"/>
            <w:tcMar>
              <w:top w:w="0" w:type="dxa"/>
              <w:left w:w="85" w:type="dxa"/>
              <w:bottom w:w="0" w:type="dxa"/>
              <w:right w:w="85" w:type="dxa"/>
            </w:tcMar>
            <w:vAlign w:val="center"/>
          </w:tcPr>
          <w:p w14:paraId="1089F140" w14:textId="77777777" w:rsidR="00EB5913" w:rsidRPr="006623B9" w:rsidRDefault="00EB5913" w:rsidP="00F16E23">
            <w:pPr>
              <w:pStyle w:val="TableText"/>
              <w:spacing w:before="40" w:after="40"/>
              <w:jc w:val="right"/>
              <w:rPr>
                <w:szCs w:val="16"/>
              </w:rPr>
            </w:pPr>
            <w:r w:rsidRPr="006623B9">
              <w:rPr>
                <w:rFonts w:eastAsia="Calibri"/>
                <w:szCs w:val="16"/>
              </w:rPr>
              <w:t>100</w:t>
            </w:r>
          </w:p>
        </w:tc>
        <w:tc>
          <w:tcPr>
            <w:tcW w:w="1559" w:type="dxa"/>
            <w:shd w:val="clear" w:color="auto" w:fill="FFFFFF"/>
            <w:tcMar>
              <w:top w:w="0" w:type="dxa"/>
              <w:left w:w="85" w:type="dxa"/>
              <w:bottom w:w="0" w:type="dxa"/>
              <w:right w:w="85" w:type="dxa"/>
            </w:tcMar>
            <w:vAlign w:val="center"/>
          </w:tcPr>
          <w:p w14:paraId="16F8D16F" w14:textId="77777777" w:rsidR="00EB5913" w:rsidRPr="006623B9" w:rsidRDefault="00EB5913" w:rsidP="00F16E23">
            <w:pPr>
              <w:pStyle w:val="TableText"/>
              <w:spacing w:before="40" w:after="40"/>
              <w:jc w:val="right"/>
              <w:rPr>
                <w:szCs w:val="16"/>
              </w:rPr>
            </w:pPr>
            <w:r w:rsidRPr="006623B9">
              <w:rPr>
                <w:rFonts w:eastAsia="Calibri"/>
                <w:szCs w:val="16"/>
              </w:rPr>
              <w:t>75</w:t>
            </w:r>
          </w:p>
        </w:tc>
        <w:tc>
          <w:tcPr>
            <w:tcW w:w="2115" w:type="dxa"/>
            <w:shd w:val="clear" w:color="auto" w:fill="FFFFFF"/>
            <w:tcMar>
              <w:top w:w="0" w:type="dxa"/>
              <w:left w:w="85" w:type="dxa"/>
              <w:bottom w:w="0" w:type="dxa"/>
              <w:right w:w="85" w:type="dxa"/>
            </w:tcMar>
            <w:vAlign w:val="center"/>
          </w:tcPr>
          <w:p w14:paraId="6287571B" w14:textId="77777777" w:rsidR="00EB5913" w:rsidRPr="006623B9" w:rsidRDefault="00EB5913" w:rsidP="00F16E23">
            <w:pPr>
              <w:pStyle w:val="TableText"/>
              <w:spacing w:before="40" w:after="40"/>
              <w:jc w:val="right"/>
              <w:rPr>
                <w:szCs w:val="16"/>
              </w:rPr>
            </w:pPr>
            <w:r w:rsidRPr="006623B9">
              <w:rPr>
                <w:rFonts w:eastAsia="Calibri"/>
                <w:szCs w:val="16"/>
              </w:rPr>
              <w:t>100</w:t>
            </w:r>
          </w:p>
        </w:tc>
      </w:tr>
      <w:tr w:rsidR="00EB5913" w:rsidRPr="006623B9" w14:paraId="5DC0D941" w14:textId="77777777" w:rsidTr="00F16E23">
        <w:tc>
          <w:tcPr>
            <w:tcW w:w="2127" w:type="dxa"/>
            <w:shd w:val="clear" w:color="auto" w:fill="FFFFFF"/>
            <w:tcMar>
              <w:top w:w="0" w:type="dxa"/>
              <w:left w:w="85" w:type="dxa"/>
              <w:bottom w:w="0" w:type="dxa"/>
              <w:right w:w="85" w:type="dxa"/>
            </w:tcMar>
            <w:vAlign w:val="center"/>
          </w:tcPr>
          <w:p w14:paraId="22D67134" w14:textId="77777777" w:rsidR="00EB5913" w:rsidRPr="006623B9" w:rsidRDefault="00EB5913" w:rsidP="00F16E23">
            <w:pPr>
              <w:pStyle w:val="TableText"/>
              <w:spacing w:before="40" w:after="40"/>
              <w:rPr>
                <w:szCs w:val="16"/>
              </w:rPr>
            </w:pPr>
            <w:r w:rsidRPr="006623B9">
              <w:rPr>
                <w:rFonts w:eastAsia="Calibri"/>
                <w:szCs w:val="16"/>
              </w:rPr>
              <w:t>Metal</w:t>
            </w:r>
          </w:p>
        </w:tc>
        <w:tc>
          <w:tcPr>
            <w:tcW w:w="1134" w:type="dxa"/>
            <w:shd w:val="clear" w:color="auto" w:fill="FFFFFF"/>
            <w:tcMar>
              <w:top w:w="0" w:type="dxa"/>
              <w:left w:w="85" w:type="dxa"/>
              <w:bottom w:w="0" w:type="dxa"/>
              <w:right w:w="85" w:type="dxa"/>
            </w:tcMar>
            <w:vAlign w:val="center"/>
          </w:tcPr>
          <w:p w14:paraId="17C1988E" w14:textId="77777777" w:rsidR="00EB5913" w:rsidRPr="006623B9" w:rsidRDefault="00EB5913" w:rsidP="00F16E23">
            <w:pPr>
              <w:pStyle w:val="TableText"/>
              <w:spacing w:before="40" w:after="40"/>
              <w:jc w:val="right"/>
              <w:rPr>
                <w:szCs w:val="16"/>
              </w:rPr>
            </w:pPr>
            <w:r w:rsidRPr="006623B9">
              <w:rPr>
                <w:rFonts w:eastAsia="Calibri"/>
                <w:szCs w:val="16"/>
              </w:rPr>
              <w:t>2.4</w:t>
            </w:r>
          </w:p>
        </w:tc>
        <w:tc>
          <w:tcPr>
            <w:tcW w:w="1559" w:type="dxa"/>
            <w:shd w:val="clear" w:color="auto" w:fill="FFFFFF"/>
            <w:tcMar>
              <w:top w:w="0" w:type="dxa"/>
              <w:left w:w="85" w:type="dxa"/>
              <w:bottom w:w="0" w:type="dxa"/>
              <w:right w:w="85" w:type="dxa"/>
            </w:tcMar>
            <w:vAlign w:val="center"/>
          </w:tcPr>
          <w:p w14:paraId="7906500E" w14:textId="77777777" w:rsidR="00EB5913" w:rsidRPr="006623B9" w:rsidRDefault="00EB5913" w:rsidP="00F16E23">
            <w:pPr>
              <w:pStyle w:val="TableText"/>
              <w:spacing w:before="40" w:after="40"/>
              <w:jc w:val="right"/>
              <w:rPr>
                <w:szCs w:val="16"/>
              </w:rPr>
            </w:pPr>
            <w:r w:rsidRPr="006623B9">
              <w:rPr>
                <w:rFonts w:eastAsia="Calibri"/>
                <w:szCs w:val="16"/>
              </w:rPr>
              <w:t>100</w:t>
            </w:r>
          </w:p>
        </w:tc>
        <w:tc>
          <w:tcPr>
            <w:tcW w:w="1559" w:type="dxa"/>
            <w:shd w:val="clear" w:color="auto" w:fill="FFFFFF"/>
            <w:tcMar>
              <w:top w:w="0" w:type="dxa"/>
              <w:left w:w="85" w:type="dxa"/>
              <w:bottom w:w="0" w:type="dxa"/>
              <w:right w:w="85" w:type="dxa"/>
            </w:tcMar>
            <w:vAlign w:val="center"/>
          </w:tcPr>
          <w:p w14:paraId="023A2C70" w14:textId="77777777" w:rsidR="00EB5913" w:rsidRPr="006623B9" w:rsidRDefault="00EB5913" w:rsidP="00F16E23">
            <w:pPr>
              <w:pStyle w:val="TableText"/>
              <w:spacing w:before="40" w:after="40"/>
              <w:jc w:val="right"/>
              <w:rPr>
                <w:szCs w:val="16"/>
              </w:rPr>
            </w:pPr>
            <w:r w:rsidRPr="006623B9">
              <w:rPr>
                <w:rFonts w:eastAsia="Calibri"/>
                <w:szCs w:val="16"/>
              </w:rPr>
              <w:t>NA</w:t>
            </w:r>
          </w:p>
        </w:tc>
        <w:tc>
          <w:tcPr>
            <w:tcW w:w="2115" w:type="dxa"/>
            <w:shd w:val="clear" w:color="auto" w:fill="FFFFFF"/>
            <w:tcMar>
              <w:top w:w="0" w:type="dxa"/>
              <w:left w:w="85" w:type="dxa"/>
              <w:bottom w:w="0" w:type="dxa"/>
              <w:right w:w="85" w:type="dxa"/>
            </w:tcMar>
            <w:vAlign w:val="center"/>
          </w:tcPr>
          <w:p w14:paraId="0CC78834" w14:textId="77777777" w:rsidR="00EB5913" w:rsidRPr="006623B9" w:rsidRDefault="00EB5913" w:rsidP="00F16E23">
            <w:pPr>
              <w:pStyle w:val="TableText"/>
              <w:spacing w:before="40" w:after="40"/>
              <w:jc w:val="right"/>
              <w:rPr>
                <w:szCs w:val="16"/>
              </w:rPr>
            </w:pPr>
            <w:r w:rsidRPr="006623B9">
              <w:rPr>
                <w:rFonts w:eastAsia="Calibri"/>
                <w:szCs w:val="16"/>
              </w:rPr>
              <w:t>NA</w:t>
            </w:r>
          </w:p>
        </w:tc>
      </w:tr>
      <w:tr w:rsidR="00EB5913" w:rsidRPr="006623B9" w14:paraId="0995AF8D" w14:textId="77777777" w:rsidTr="00F16E23">
        <w:tc>
          <w:tcPr>
            <w:tcW w:w="2127" w:type="dxa"/>
            <w:shd w:val="clear" w:color="auto" w:fill="FFFFFF"/>
            <w:tcMar>
              <w:top w:w="0" w:type="dxa"/>
              <w:left w:w="85" w:type="dxa"/>
              <w:bottom w:w="0" w:type="dxa"/>
              <w:right w:w="85" w:type="dxa"/>
            </w:tcMar>
            <w:vAlign w:val="center"/>
          </w:tcPr>
          <w:p w14:paraId="4A5B8372" w14:textId="77777777" w:rsidR="00EB5913" w:rsidRPr="006623B9" w:rsidRDefault="00EB5913" w:rsidP="00F16E23">
            <w:pPr>
              <w:pStyle w:val="TableText"/>
              <w:spacing w:before="40" w:after="40"/>
              <w:rPr>
                <w:szCs w:val="16"/>
              </w:rPr>
            </w:pPr>
            <w:r w:rsidRPr="006623B9">
              <w:rPr>
                <w:rFonts w:eastAsia="Calibri"/>
                <w:szCs w:val="16"/>
              </w:rPr>
              <w:t>Glass</w:t>
            </w:r>
          </w:p>
        </w:tc>
        <w:tc>
          <w:tcPr>
            <w:tcW w:w="1134" w:type="dxa"/>
            <w:shd w:val="clear" w:color="auto" w:fill="FFFFFF"/>
            <w:tcMar>
              <w:top w:w="0" w:type="dxa"/>
              <w:left w:w="85" w:type="dxa"/>
              <w:bottom w:w="0" w:type="dxa"/>
              <w:right w:w="85" w:type="dxa"/>
            </w:tcMar>
            <w:vAlign w:val="center"/>
          </w:tcPr>
          <w:p w14:paraId="33CE8C19" w14:textId="77777777" w:rsidR="00EB5913" w:rsidRPr="006623B9" w:rsidRDefault="00EB5913" w:rsidP="00F16E23">
            <w:pPr>
              <w:pStyle w:val="TableText"/>
              <w:spacing w:before="40" w:after="40"/>
              <w:jc w:val="right"/>
              <w:rPr>
                <w:szCs w:val="16"/>
              </w:rPr>
            </w:pPr>
            <w:r w:rsidRPr="006623B9">
              <w:rPr>
                <w:rFonts w:eastAsia="Calibri"/>
                <w:szCs w:val="16"/>
              </w:rPr>
              <w:t>0.4</w:t>
            </w:r>
          </w:p>
        </w:tc>
        <w:tc>
          <w:tcPr>
            <w:tcW w:w="1559" w:type="dxa"/>
            <w:shd w:val="clear" w:color="auto" w:fill="FFFFFF"/>
            <w:tcMar>
              <w:top w:w="0" w:type="dxa"/>
              <w:left w:w="85" w:type="dxa"/>
              <w:bottom w:w="0" w:type="dxa"/>
              <w:right w:w="85" w:type="dxa"/>
            </w:tcMar>
            <w:vAlign w:val="center"/>
          </w:tcPr>
          <w:p w14:paraId="15E17333" w14:textId="77777777" w:rsidR="00EB5913" w:rsidRPr="006623B9" w:rsidRDefault="00EB5913" w:rsidP="00F16E23">
            <w:pPr>
              <w:pStyle w:val="TableText"/>
              <w:spacing w:before="40" w:after="40"/>
              <w:jc w:val="right"/>
              <w:rPr>
                <w:szCs w:val="16"/>
              </w:rPr>
            </w:pPr>
            <w:r w:rsidRPr="006623B9">
              <w:rPr>
                <w:rFonts w:eastAsia="Calibri"/>
                <w:szCs w:val="16"/>
              </w:rPr>
              <w:t>100</w:t>
            </w:r>
          </w:p>
        </w:tc>
        <w:tc>
          <w:tcPr>
            <w:tcW w:w="1559" w:type="dxa"/>
            <w:shd w:val="clear" w:color="auto" w:fill="FFFFFF"/>
            <w:tcMar>
              <w:top w:w="0" w:type="dxa"/>
              <w:left w:w="85" w:type="dxa"/>
              <w:bottom w:w="0" w:type="dxa"/>
              <w:right w:w="85" w:type="dxa"/>
            </w:tcMar>
            <w:vAlign w:val="center"/>
          </w:tcPr>
          <w:p w14:paraId="050D3662" w14:textId="77777777" w:rsidR="00EB5913" w:rsidRPr="006623B9" w:rsidRDefault="00EB5913" w:rsidP="00F16E23">
            <w:pPr>
              <w:pStyle w:val="TableText"/>
              <w:spacing w:before="40" w:after="40"/>
              <w:jc w:val="right"/>
              <w:rPr>
                <w:szCs w:val="16"/>
              </w:rPr>
            </w:pPr>
            <w:r w:rsidRPr="006623B9">
              <w:rPr>
                <w:rFonts w:eastAsia="Calibri"/>
                <w:szCs w:val="16"/>
              </w:rPr>
              <w:t>NA</w:t>
            </w:r>
          </w:p>
        </w:tc>
        <w:tc>
          <w:tcPr>
            <w:tcW w:w="2115" w:type="dxa"/>
            <w:shd w:val="clear" w:color="auto" w:fill="FFFFFF"/>
            <w:tcMar>
              <w:top w:w="0" w:type="dxa"/>
              <w:left w:w="85" w:type="dxa"/>
              <w:bottom w:w="0" w:type="dxa"/>
              <w:right w:w="85" w:type="dxa"/>
            </w:tcMar>
            <w:vAlign w:val="center"/>
          </w:tcPr>
          <w:p w14:paraId="66EC12AF" w14:textId="77777777" w:rsidR="00EB5913" w:rsidRPr="006623B9" w:rsidRDefault="00EB5913" w:rsidP="00F16E23">
            <w:pPr>
              <w:pStyle w:val="TableText"/>
              <w:spacing w:before="40" w:after="40"/>
              <w:jc w:val="right"/>
              <w:rPr>
                <w:szCs w:val="16"/>
              </w:rPr>
            </w:pPr>
            <w:r w:rsidRPr="006623B9">
              <w:rPr>
                <w:rFonts w:eastAsia="Calibri"/>
                <w:szCs w:val="16"/>
              </w:rPr>
              <w:t>NA</w:t>
            </w:r>
          </w:p>
        </w:tc>
      </w:tr>
      <w:tr w:rsidR="00EB5913" w:rsidRPr="006623B9" w14:paraId="45052CFA" w14:textId="77777777" w:rsidTr="00F16E23">
        <w:tc>
          <w:tcPr>
            <w:tcW w:w="2127" w:type="dxa"/>
            <w:shd w:val="clear" w:color="auto" w:fill="FFFFFF"/>
            <w:tcMar>
              <w:top w:w="0" w:type="dxa"/>
              <w:left w:w="85" w:type="dxa"/>
              <w:bottom w:w="0" w:type="dxa"/>
              <w:right w:w="85" w:type="dxa"/>
            </w:tcMar>
            <w:vAlign w:val="center"/>
          </w:tcPr>
          <w:p w14:paraId="4E7C5DE2" w14:textId="77777777" w:rsidR="00EB5913" w:rsidRPr="006623B9" w:rsidRDefault="00EB5913" w:rsidP="00F16E23">
            <w:pPr>
              <w:pStyle w:val="TableText"/>
              <w:spacing w:before="40" w:after="40"/>
              <w:rPr>
                <w:szCs w:val="16"/>
              </w:rPr>
            </w:pPr>
            <w:r w:rsidRPr="006623B9">
              <w:rPr>
                <w:rFonts w:eastAsia="Calibri"/>
                <w:szCs w:val="16"/>
              </w:rPr>
              <w:t>Other, inert</w:t>
            </w:r>
          </w:p>
        </w:tc>
        <w:tc>
          <w:tcPr>
            <w:tcW w:w="1134" w:type="dxa"/>
            <w:shd w:val="clear" w:color="auto" w:fill="FFFFFF"/>
            <w:tcMar>
              <w:top w:w="0" w:type="dxa"/>
              <w:left w:w="85" w:type="dxa"/>
              <w:bottom w:w="0" w:type="dxa"/>
              <w:right w:w="85" w:type="dxa"/>
            </w:tcMar>
            <w:vAlign w:val="center"/>
          </w:tcPr>
          <w:p w14:paraId="142A80A5" w14:textId="77777777" w:rsidR="00EB5913" w:rsidRPr="006623B9" w:rsidRDefault="00EB5913" w:rsidP="00F16E23">
            <w:pPr>
              <w:pStyle w:val="TableText"/>
              <w:spacing w:before="40" w:after="40"/>
              <w:jc w:val="right"/>
              <w:rPr>
                <w:szCs w:val="16"/>
              </w:rPr>
            </w:pPr>
            <w:r w:rsidRPr="006623B9">
              <w:rPr>
                <w:rFonts w:eastAsia="Calibri"/>
                <w:szCs w:val="16"/>
              </w:rPr>
              <w:t>9.6</w:t>
            </w:r>
          </w:p>
        </w:tc>
        <w:tc>
          <w:tcPr>
            <w:tcW w:w="1559" w:type="dxa"/>
            <w:shd w:val="clear" w:color="auto" w:fill="FFFFFF"/>
            <w:tcMar>
              <w:top w:w="0" w:type="dxa"/>
              <w:left w:w="85" w:type="dxa"/>
              <w:bottom w:w="0" w:type="dxa"/>
              <w:right w:w="85" w:type="dxa"/>
            </w:tcMar>
            <w:vAlign w:val="center"/>
          </w:tcPr>
          <w:p w14:paraId="3D95EFBE" w14:textId="77777777" w:rsidR="00EB5913" w:rsidRPr="006623B9" w:rsidRDefault="00EB5913" w:rsidP="00F16E23">
            <w:pPr>
              <w:pStyle w:val="TableText"/>
              <w:spacing w:before="40" w:after="40"/>
              <w:jc w:val="right"/>
              <w:rPr>
                <w:szCs w:val="16"/>
              </w:rPr>
            </w:pPr>
            <w:r w:rsidRPr="006623B9">
              <w:rPr>
                <w:rFonts w:eastAsia="Calibri"/>
                <w:szCs w:val="16"/>
              </w:rPr>
              <w:t>90</w:t>
            </w:r>
          </w:p>
        </w:tc>
        <w:tc>
          <w:tcPr>
            <w:tcW w:w="1559" w:type="dxa"/>
            <w:shd w:val="clear" w:color="auto" w:fill="FFFFFF"/>
            <w:tcMar>
              <w:top w:w="0" w:type="dxa"/>
              <w:left w:w="85" w:type="dxa"/>
              <w:bottom w:w="0" w:type="dxa"/>
              <w:right w:w="85" w:type="dxa"/>
            </w:tcMar>
            <w:vAlign w:val="center"/>
          </w:tcPr>
          <w:p w14:paraId="3C1B0F89" w14:textId="77777777" w:rsidR="00EB5913" w:rsidRPr="006623B9" w:rsidRDefault="00EB5913" w:rsidP="00F16E23">
            <w:pPr>
              <w:pStyle w:val="TableText"/>
              <w:spacing w:before="40" w:after="40"/>
              <w:jc w:val="right"/>
              <w:rPr>
                <w:szCs w:val="16"/>
              </w:rPr>
            </w:pPr>
            <w:r w:rsidRPr="006623B9">
              <w:rPr>
                <w:rFonts w:eastAsia="Calibri"/>
                <w:szCs w:val="16"/>
              </w:rPr>
              <w:t>3</w:t>
            </w:r>
          </w:p>
        </w:tc>
        <w:tc>
          <w:tcPr>
            <w:tcW w:w="2115" w:type="dxa"/>
            <w:shd w:val="clear" w:color="auto" w:fill="FFFFFF"/>
            <w:tcMar>
              <w:top w:w="0" w:type="dxa"/>
              <w:left w:w="85" w:type="dxa"/>
              <w:bottom w:w="0" w:type="dxa"/>
              <w:right w:w="85" w:type="dxa"/>
            </w:tcMar>
            <w:vAlign w:val="center"/>
          </w:tcPr>
          <w:p w14:paraId="752FC77E" w14:textId="77777777" w:rsidR="00EB5913" w:rsidRPr="006623B9" w:rsidRDefault="00EB5913" w:rsidP="00F16E23">
            <w:pPr>
              <w:pStyle w:val="TableText"/>
              <w:spacing w:before="40" w:after="40"/>
              <w:jc w:val="right"/>
              <w:rPr>
                <w:szCs w:val="16"/>
              </w:rPr>
            </w:pPr>
            <w:r w:rsidRPr="006623B9">
              <w:rPr>
                <w:rFonts w:eastAsia="Calibri"/>
                <w:szCs w:val="16"/>
              </w:rPr>
              <w:t>100</w:t>
            </w:r>
          </w:p>
        </w:tc>
      </w:tr>
      <w:tr w:rsidR="00EB5913" w:rsidRPr="006623B9" w14:paraId="02C62FB8" w14:textId="77777777" w:rsidTr="00F16E23">
        <w:tc>
          <w:tcPr>
            <w:tcW w:w="2127" w:type="dxa"/>
            <w:shd w:val="clear" w:color="auto" w:fill="FFFFFF"/>
            <w:tcMar>
              <w:top w:w="0" w:type="dxa"/>
              <w:left w:w="85" w:type="dxa"/>
              <w:bottom w:w="0" w:type="dxa"/>
              <w:right w:w="85" w:type="dxa"/>
            </w:tcMar>
            <w:vAlign w:val="center"/>
          </w:tcPr>
          <w:p w14:paraId="729B4490" w14:textId="77777777" w:rsidR="00EB5913" w:rsidRPr="006623B9" w:rsidRDefault="00EB5913" w:rsidP="00F16E23">
            <w:pPr>
              <w:pStyle w:val="Tableboldblue"/>
              <w:spacing w:before="40" w:after="40"/>
              <w:rPr>
                <w:szCs w:val="16"/>
              </w:rPr>
            </w:pPr>
            <w:r w:rsidRPr="006623B9">
              <w:rPr>
                <w:szCs w:val="16"/>
              </w:rPr>
              <w:t>Weighted average</w:t>
            </w:r>
          </w:p>
        </w:tc>
        <w:tc>
          <w:tcPr>
            <w:tcW w:w="1134" w:type="dxa"/>
            <w:shd w:val="clear" w:color="auto" w:fill="FFFFFF"/>
            <w:tcMar>
              <w:top w:w="0" w:type="dxa"/>
              <w:left w:w="85" w:type="dxa"/>
              <w:bottom w:w="0" w:type="dxa"/>
              <w:right w:w="85" w:type="dxa"/>
            </w:tcMar>
            <w:vAlign w:val="center"/>
          </w:tcPr>
          <w:p w14:paraId="49A24F09" w14:textId="77777777" w:rsidR="00EB5913" w:rsidRPr="006623B9" w:rsidRDefault="00EB5913" w:rsidP="00F16E23">
            <w:pPr>
              <w:pStyle w:val="Tableboldblue"/>
              <w:spacing w:before="40" w:after="40"/>
              <w:jc w:val="right"/>
              <w:rPr>
                <w:szCs w:val="16"/>
              </w:rPr>
            </w:pPr>
            <w:r w:rsidRPr="006623B9">
              <w:rPr>
                <w:szCs w:val="16"/>
              </w:rPr>
              <w:t>NA</w:t>
            </w:r>
          </w:p>
        </w:tc>
        <w:tc>
          <w:tcPr>
            <w:tcW w:w="1559" w:type="dxa"/>
            <w:shd w:val="clear" w:color="auto" w:fill="FFFFFF"/>
            <w:tcMar>
              <w:top w:w="0" w:type="dxa"/>
              <w:left w:w="85" w:type="dxa"/>
              <w:bottom w:w="0" w:type="dxa"/>
              <w:right w:w="85" w:type="dxa"/>
            </w:tcMar>
            <w:vAlign w:val="center"/>
          </w:tcPr>
          <w:p w14:paraId="72BED685" w14:textId="77777777" w:rsidR="00EB5913" w:rsidRPr="006623B9" w:rsidRDefault="00EB5913" w:rsidP="00F16E23">
            <w:pPr>
              <w:pStyle w:val="Tableboldblue"/>
              <w:spacing w:before="40" w:after="40"/>
              <w:jc w:val="right"/>
              <w:rPr>
                <w:szCs w:val="16"/>
              </w:rPr>
            </w:pPr>
            <w:r w:rsidRPr="006623B9">
              <w:rPr>
                <w:szCs w:val="16"/>
              </w:rPr>
              <w:t>79.7</w:t>
            </w:r>
          </w:p>
        </w:tc>
        <w:tc>
          <w:tcPr>
            <w:tcW w:w="1559" w:type="dxa"/>
            <w:shd w:val="clear" w:color="auto" w:fill="FFFFFF"/>
            <w:tcMar>
              <w:top w:w="0" w:type="dxa"/>
              <w:left w:w="85" w:type="dxa"/>
              <w:bottom w:w="0" w:type="dxa"/>
              <w:right w:w="85" w:type="dxa"/>
            </w:tcMar>
            <w:vAlign w:val="center"/>
          </w:tcPr>
          <w:p w14:paraId="1E38ACBF" w14:textId="77777777" w:rsidR="00EB5913" w:rsidRPr="006623B9" w:rsidRDefault="00EB5913" w:rsidP="00F16E23">
            <w:pPr>
              <w:pStyle w:val="Tableboldblue"/>
              <w:spacing w:before="40" w:after="40"/>
              <w:jc w:val="right"/>
              <w:rPr>
                <w:szCs w:val="16"/>
              </w:rPr>
            </w:pPr>
            <w:r w:rsidRPr="006623B9">
              <w:rPr>
                <w:szCs w:val="16"/>
              </w:rPr>
              <w:t>44.8</w:t>
            </w:r>
          </w:p>
        </w:tc>
        <w:tc>
          <w:tcPr>
            <w:tcW w:w="2115" w:type="dxa"/>
            <w:shd w:val="clear" w:color="auto" w:fill="FFFFFF"/>
            <w:tcMar>
              <w:top w:w="0" w:type="dxa"/>
              <w:left w:w="85" w:type="dxa"/>
              <w:bottom w:w="0" w:type="dxa"/>
              <w:right w:w="85" w:type="dxa"/>
            </w:tcMar>
            <w:vAlign w:val="center"/>
          </w:tcPr>
          <w:p w14:paraId="7F47DBBF" w14:textId="77777777" w:rsidR="00EB5913" w:rsidRPr="006623B9" w:rsidRDefault="00EB5913" w:rsidP="00F16E23">
            <w:pPr>
              <w:pStyle w:val="Tableboldblue"/>
              <w:spacing w:before="40" w:after="40"/>
              <w:jc w:val="right"/>
              <w:rPr>
                <w:szCs w:val="16"/>
              </w:rPr>
            </w:pPr>
            <w:r w:rsidRPr="006623B9">
              <w:rPr>
                <w:szCs w:val="16"/>
              </w:rPr>
              <w:t>24.0</w:t>
            </w:r>
          </w:p>
        </w:tc>
      </w:tr>
    </w:tbl>
    <w:p w14:paraId="082146BE" w14:textId="77777777" w:rsidR="00EB5913" w:rsidRPr="006623B9" w:rsidRDefault="00EB5913" w:rsidP="00EB5913">
      <w:pPr>
        <w:pStyle w:val="Source"/>
      </w:pPr>
      <w:r w:rsidRPr="006623B9">
        <w:rPr>
          <w:b/>
          <w:bCs/>
        </w:rPr>
        <w:t>Source:</w:t>
      </w:r>
      <w:r w:rsidRPr="006623B9">
        <w:t xml:space="preserve"> </w:t>
      </w:r>
      <w:r w:rsidRPr="006623B9">
        <w:tab/>
        <w:t>Dry-matter content, total carbon content and fossil carbon content values are from table 2.4 in IPCC, 2006a</w:t>
      </w:r>
    </w:p>
    <w:p w14:paraId="7FA39088" w14:textId="77777777" w:rsidR="00EB5913" w:rsidRPr="006623B9" w:rsidRDefault="00EB5913" w:rsidP="00EB5913">
      <w:pPr>
        <w:pStyle w:val="Noteundertable"/>
      </w:pPr>
      <w:r w:rsidRPr="006623B9">
        <w:rPr>
          <w:b/>
          <w:bCs/>
        </w:rPr>
        <w:t>Note:</w:t>
      </w:r>
      <w:r w:rsidRPr="006623B9">
        <w:t xml:space="preserve"> </w:t>
      </w:r>
      <w:r w:rsidRPr="006623B9">
        <w:tab/>
        <w:t>NA = not applicable.</w:t>
      </w:r>
    </w:p>
    <w:p w14:paraId="40ECBA5E" w14:textId="77777777" w:rsidR="00EB5913" w:rsidRPr="006623B9" w:rsidRDefault="00EB5913" w:rsidP="00EB5913">
      <w:pPr>
        <w:pStyle w:val="Heading4"/>
      </w:pPr>
      <w:bookmarkStart w:id="3080" w:name="choice-of-emission-factors-1"/>
      <w:bookmarkEnd w:id="3076"/>
      <w:bookmarkEnd w:id="3078"/>
      <w:r w:rsidRPr="006623B9">
        <w:t>Choice of emission factors</w:t>
      </w:r>
    </w:p>
    <w:p w14:paraId="54B67459" w14:textId="77777777" w:rsidR="00EB5913" w:rsidRPr="006623B9" w:rsidRDefault="00EB5913" w:rsidP="00EB5913">
      <w:pPr>
        <w:pStyle w:val="Heading5"/>
        <w:spacing w:before="180"/>
      </w:pPr>
      <w:bookmarkStart w:id="3081" w:name="waste-incineration-5.c.1-2"/>
      <w:r w:rsidRPr="006623B9">
        <w:t>Waste incineration (5.C.1)</w:t>
      </w:r>
    </w:p>
    <w:p w14:paraId="769A701E" w14:textId="77777777" w:rsidR="00EB5913" w:rsidRPr="006623B9" w:rsidRDefault="00EB5913" w:rsidP="00EB5913">
      <w:pPr>
        <w:pStyle w:val="BodyText"/>
      </w:pPr>
      <w:r w:rsidRPr="006623B9">
        <w:t>The parameters used to calculate emissions from incineration are detailed in table 7.4.4.</w:t>
      </w:r>
    </w:p>
    <w:p w14:paraId="1DCC1D6C" w14:textId="77777777" w:rsidR="00EB5913" w:rsidRPr="006623B9" w:rsidRDefault="00EB5913" w:rsidP="00EB5913">
      <w:pPr>
        <w:pStyle w:val="Table"/>
      </w:pPr>
      <w:bookmarkStart w:id="3082" w:name="_Toc226669117"/>
      <w:r w:rsidRPr="006623B9">
        <w:t xml:space="preserve">Table 7.4.4 </w:t>
      </w:r>
      <w:r w:rsidRPr="006623B9">
        <w:tab/>
        <w:t xml:space="preserve">Parameter values applied to estimate emissions from </w:t>
      </w:r>
      <w:r w:rsidRPr="006623B9">
        <w:rPr>
          <w:i/>
          <w:iCs/>
        </w:rPr>
        <w:t>Waste incineration</w:t>
      </w:r>
      <w:bookmarkEnd w:id="308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98"/>
        <w:gridCol w:w="1361"/>
        <w:gridCol w:w="1700"/>
        <w:gridCol w:w="1171"/>
        <w:gridCol w:w="1264"/>
      </w:tblGrid>
      <w:tr w:rsidR="00EB5913" w:rsidRPr="006623B9" w14:paraId="6B164A21" w14:textId="77777777" w:rsidTr="00F16E23">
        <w:trPr>
          <w:tblHeader/>
        </w:trPr>
        <w:tc>
          <w:tcPr>
            <w:tcW w:w="0" w:type="auto"/>
            <w:shd w:val="clear" w:color="auto" w:fill="1B556B"/>
            <w:tcMar>
              <w:top w:w="0" w:type="dxa"/>
              <w:left w:w="85" w:type="dxa"/>
              <w:bottom w:w="0" w:type="dxa"/>
              <w:right w:w="85" w:type="dxa"/>
            </w:tcMar>
            <w:vAlign w:val="bottom"/>
          </w:tcPr>
          <w:p w14:paraId="3A9168B7"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Parameter</w:t>
            </w:r>
          </w:p>
        </w:tc>
        <w:tc>
          <w:tcPr>
            <w:tcW w:w="0" w:type="auto"/>
            <w:shd w:val="clear" w:color="auto" w:fill="1B556B"/>
            <w:tcMar>
              <w:top w:w="0" w:type="dxa"/>
              <w:left w:w="85" w:type="dxa"/>
              <w:bottom w:w="0" w:type="dxa"/>
              <w:right w:w="85" w:type="dxa"/>
            </w:tcMar>
            <w:vAlign w:val="bottom"/>
          </w:tcPr>
          <w:p w14:paraId="776AFBF6"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Hazardous waste</w:t>
            </w:r>
          </w:p>
        </w:tc>
        <w:tc>
          <w:tcPr>
            <w:tcW w:w="0" w:type="auto"/>
            <w:shd w:val="clear" w:color="auto" w:fill="1B556B"/>
            <w:tcMar>
              <w:top w:w="0" w:type="dxa"/>
              <w:left w:w="85" w:type="dxa"/>
              <w:bottom w:w="0" w:type="dxa"/>
              <w:right w:w="85" w:type="dxa"/>
            </w:tcMar>
            <w:vAlign w:val="bottom"/>
          </w:tcPr>
          <w:p w14:paraId="5E50F125"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Clinical waste</w:t>
            </w:r>
          </w:p>
        </w:tc>
        <w:tc>
          <w:tcPr>
            <w:tcW w:w="1171" w:type="dxa"/>
            <w:shd w:val="clear" w:color="auto" w:fill="1B556B"/>
            <w:tcMar>
              <w:top w:w="0" w:type="dxa"/>
              <w:left w:w="85" w:type="dxa"/>
              <w:bottom w:w="0" w:type="dxa"/>
              <w:right w:w="85" w:type="dxa"/>
            </w:tcMar>
            <w:vAlign w:val="bottom"/>
          </w:tcPr>
          <w:p w14:paraId="623FFE1E"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Sewage sludge</w:t>
            </w:r>
          </w:p>
        </w:tc>
        <w:tc>
          <w:tcPr>
            <w:tcW w:w="1264" w:type="dxa"/>
            <w:shd w:val="clear" w:color="auto" w:fill="1B556B"/>
            <w:tcMar>
              <w:top w:w="0" w:type="dxa"/>
              <w:left w:w="85" w:type="dxa"/>
              <w:bottom w:w="0" w:type="dxa"/>
              <w:right w:w="85" w:type="dxa"/>
            </w:tcMar>
            <w:vAlign w:val="bottom"/>
          </w:tcPr>
          <w:p w14:paraId="4C04B165" w14:textId="77777777" w:rsidR="00EB5913" w:rsidRPr="006623B9" w:rsidRDefault="00EB5913" w:rsidP="00F16E23">
            <w:pPr>
              <w:pStyle w:val="TableTextBold"/>
              <w:spacing w:before="40" w:after="40"/>
              <w:rPr>
                <w:noProof w:val="0"/>
                <w:color w:val="FFFFFF" w:themeColor="background1"/>
                <w:szCs w:val="16"/>
              </w:rPr>
            </w:pPr>
            <w:r w:rsidRPr="006623B9">
              <w:rPr>
                <w:rFonts w:eastAsia="Calibri"/>
                <w:noProof w:val="0"/>
                <w:color w:val="FFFFFF" w:themeColor="background1"/>
                <w:szCs w:val="16"/>
              </w:rPr>
              <w:t>Source</w:t>
            </w:r>
          </w:p>
        </w:tc>
      </w:tr>
      <w:tr w:rsidR="00EB5913" w:rsidRPr="006623B9" w14:paraId="3651465F" w14:textId="77777777" w:rsidTr="00F16E23">
        <w:tc>
          <w:tcPr>
            <w:tcW w:w="0" w:type="auto"/>
            <w:shd w:val="clear" w:color="auto" w:fill="FFFFFF"/>
            <w:tcMar>
              <w:top w:w="0" w:type="dxa"/>
              <w:left w:w="85" w:type="dxa"/>
              <w:bottom w:w="0" w:type="dxa"/>
              <w:right w:w="85" w:type="dxa"/>
            </w:tcMar>
          </w:tcPr>
          <w:p w14:paraId="5126B70B" w14:textId="77777777" w:rsidR="00EB5913" w:rsidRPr="006623B9" w:rsidRDefault="00EB5913" w:rsidP="00F16E23">
            <w:pPr>
              <w:pStyle w:val="TableText"/>
              <w:spacing w:before="40" w:after="40"/>
              <w:rPr>
                <w:szCs w:val="16"/>
              </w:rPr>
            </w:pPr>
            <w:r w:rsidRPr="006623B9">
              <w:rPr>
                <w:rFonts w:eastAsia="Calibri"/>
                <w:szCs w:val="16"/>
              </w:rPr>
              <w:t>Dry-matter content in waste (%)</w:t>
            </w:r>
          </w:p>
        </w:tc>
        <w:tc>
          <w:tcPr>
            <w:tcW w:w="0" w:type="auto"/>
            <w:shd w:val="clear" w:color="auto" w:fill="FFFFFF"/>
            <w:tcMar>
              <w:top w:w="0" w:type="dxa"/>
              <w:left w:w="85" w:type="dxa"/>
              <w:bottom w:w="0" w:type="dxa"/>
              <w:right w:w="85" w:type="dxa"/>
            </w:tcMar>
          </w:tcPr>
          <w:p w14:paraId="5548FFEE" w14:textId="77777777" w:rsidR="00EB5913" w:rsidRPr="006623B9" w:rsidRDefault="00EB5913" w:rsidP="00F16E23">
            <w:pPr>
              <w:pStyle w:val="TableText"/>
              <w:spacing w:before="40" w:after="40"/>
              <w:rPr>
                <w:szCs w:val="16"/>
              </w:rPr>
            </w:pPr>
            <w:r w:rsidRPr="006623B9">
              <w:rPr>
                <w:rFonts w:eastAsia="Calibri"/>
                <w:szCs w:val="16"/>
              </w:rPr>
              <w:t xml:space="preserve">50 </w:t>
            </w:r>
            <w:r w:rsidRPr="006623B9">
              <w:rPr>
                <w:rFonts w:eastAsia="Calibri"/>
                <w:szCs w:val="16"/>
              </w:rPr>
              <w:br/>
              <w:t>(table 2.6)</w:t>
            </w:r>
          </w:p>
        </w:tc>
        <w:tc>
          <w:tcPr>
            <w:tcW w:w="0" w:type="auto"/>
            <w:shd w:val="clear" w:color="auto" w:fill="FFFFFF"/>
            <w:tcMar>
              <w:top w:w="0" w:type="dxa"/>
              <w:left w:w="85" w:type="dxa"/>
              <w:bottom w:w="0" w:type="dxa"/>
              <w:right w:w="85" w:type="dxa"/>
            </w:tcMar>
          </w:tcPr>
          <w:p w14:paraId="6C8F2C9E" w14:textId="77777777" w:rsidR="00EB5913" w:rsidRPr="006623B9" w:rsidRDefault="00EB5913" w:rsidP="00F16E23">
            <w:pPr>
              <w:pStyle w:val="TableText"/>
              <w:spacing w:before="40" w:after="40"/>
              <w:rPr>
                <w:szCs w:val="16"/>
              </w:rPr>
            </w:pPr>
            <w:r w:rsidRPr="006623B9">
              <w:rPr>
                <w:rFonts w:eastAsia="Calibri"/>
                <w:szCs w:val="16"/>
              </w:rPr>
              <w:t xml:space="preserve">65 </w:t>
            </w:r>
            <w:r w:rsidRPr="006623B9">
              <w:rPr>
                <w:rFonts w:eastAsia="Calibri"/>
                <w:szCs w:val="16"/>
              </w:rPr>
              <w:br/>
              <w:t>(table 2.6)</w:t>
            </w:r>
          </w:p>
        </w:tc>
        <w:tc>
          <w:tcPr>
            <w:tcW w:w="1171" w:type="dxa"/>
            <w:shd w:val="clear" w:color="auto" w:fill="FFFFFF"/>
            <w:tcMar>
              <w:top w:w="0" w:type="dxa"/>
              <w:left w:w="85" w:type="dxa"/>
              <w:bottom w:w="0" w:type="dxa"/>
              <w:right w:w="85" w:type="dxa"/>
            </w:tcMar>
          </w:tcPr>
          <w:p w14:paraId="4BAF9D76" w14:textId="77777777" w:rsidR="00EB5913" w:rsidRPr="006623B9" w:rsidRDefault="00EB5913" w:rsidP="00F16E23">
            <w:pPr>
              <w:pStyle w:val="TableText"/>
              <w:spacing w:before="40" w:after="40"/>
              <w:rPr>
                <w:szCs w:val="16"/>
              </w:rPr>
            </w:pPr>
            <w:r w:rsidRPr="006623B9">
              <w:rPr>
                <w:rFonts w:eastAsia="Calibri"/>
                <w:szCs w:val="16"/>
              </w:rPr>
              <w:t xml:space="preserve">10 </w:t>
            </w:r>
            <w:r w:rsidRPr="006623B9">
              <w:rPr>
                <w:rFonts w:eastAsia="Calibri"/>
                <w:szCs w:val="16"/>
              </w:rPr>
              <w:br/>
              <w:t>(section 2.3.2)</w:t>
            </w:r>
          </w:p>
        </w:tc>
        <w:tc>
          <w:tcPr>
            <w:tcW w:w="1264" w:type="dxa"/>
            <w:shd w:val="clear" w:color="auto" w:fill="FFFFFF"/>
            <w:tcMar>
              <w:top w:w="0" w:type="dxa"/>
              <w:left w:w="85" w:type="dxa"/>
              <w:bottom w:w="0" w:type="dxa"/>
              <w:right w:w="85" w:type="dxa"/>
            </w:tcMar>
          </w:tcPr>
          <w:p w14:paraId="2B389FA5"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3B6E9FF4" w14:textId="77777777" w:rsidTr="00F16E23">
        <w:tc>
          <w:tcPr>
            <w:tcW w:w="0" w:type="auto"/>
            <w:shd w:val="clear" w:color="auto" w:fill="FFFFFF"/>
            <w:tcMar>
              <w:top w:w="0" w:type="dxa"/>
              <w:left w:w="85" w:type="dxa"/>
              <w:bottom w:w="0" w:type="dxa"/>
              <w:right w:w="85" w:type="dxa"/>
            </w:tcMar>
          </w:tcPr>
          <w:p w14:paraId="670584A6" w14:textId="77777777" w:rsidR="00EB5913" w:rsidRPr="006623B9" w:rsidRDefault="00EB5913" w:rsidP="00F16E23">
            <w:pPr>
              <w:pStyle w:val="TableText"/>
              <w:spacing w:before="40" w:after="40"/>
              <w:rPr>
                <w:szCs w:val="16"/>
              </w:rPr>
            </w:pPr>
            <w:r w:rsidRPr="006623B9">
              <w:rPr>
                <w:rFonts w:eastAsia="Calibri"/>
                <w:szCs w:val="16"/>
              </w:rPr>
              <w:t>Fraction of carbon</w:t>
            </w:r>
          </w:p>
        </w:tc>
        <w:tc>
          <w:tcPr>
            <w:tcW w:w="0" w:type="auto"/>
            <w:shd w:val="clear" w:color="auto" w:fill="FFFFFF"/>
            <w:tcMar>
              <w:top w:w="0" w:type="dxa"/>
              <w:left w:w="85" w:type="dxa"/>
              <w:bottom w:w="0" w:type="dxa"/>
              <w:right w:w="85" w:type="dxa"/>
            </w:tcMar>
          </w:tcPr>
          <w:p w14:paraId="59BEC1D9" w14:textId="77777777" w:rsidR="00EB5913" w:rsidRPr="006623B9" w:rsidRDefault="00EB5913" w:rsidP="00F16E23">
            <w:pPr>
              <w:pStyle w:val="TableText"/>
              <w:spacing w:before="40" w:after="40"/>
              <w:rPr>
                <w:szCs w:val="16"/>
              </w:rPr>
            </w:pPr>
            <w:r w:rsidRPr="006623B9">
              <w:rPr>
                <w:rFonts w:eastAsia="Calibri"/>
                <w:szCs w:val="16"/>
              </w:rPr>
              <w:t>NA</w:t>
            </w:r>
          </w:p>
        </w:tc>
        <w:tc>
          <w:tcPr>
            <w:tcW w:w="0" w:type="auto"/>
            <w:shd w:val="clear" w:color="auto" w:fill="FFFFFF"/>
            <w:tcMar>
              <w:top w:w="0" w:type="dxa"/>
              <w:left w:w="85" w:type="dxa"/>
              <w:bottom w:w="0" w:type="dxa"/>
              <w:right w:w="85" w:type="dxa"/>
            </w:tcMar>
          </w:tcPr>
          <w:p w14:paraId="061F911B" w14:textId="77777777" w:rsidR="00EB5913" w:rsidRPr="006623B9" w:rsidRDefault="00EB5913" w:rsidP="00F16E23">
            <w:pPr>
              <w:pStyle w:val="TableText"/>
              <w:spacing w:before="40" w:after="40"/>
              <w:rPr>
                <w:szCs w:val="16"/>
              </w:rPr>
            </w:pPr>
            <w:r w:rsidRPr="006623B9">
              <w:rPr>
                <w:rFonts w:eastAsia="Calibri"/>
                <w:szCs w:val="16"/>
              </w:rPr>
              <w:t xml:space="preserve">0.6 (dry) </w:t>
            </w:r>
            <w:r w:rsidRPr="006623B9">
              <w:rPr>
                <w:rFonts w:eastAsia="Calibri"/>
                <w:szCs w:val="16"/>
              </w:rPr>
              <w:br/>
              <w:t>(table 5.2)</w:t>
            </w:r>
          </w:p>
        </w:tc>
        <w:tc>
          <w:tcPr>
            <w:tcW w:w="1171" w:type="dxa"/>
            <w:shd w:val="clear" w:color="auto" w:fill="FFFFFF"/>
            <w:tcMar>
              <w:top w:w="0" w:type="dxa"/>
              <w:left w:w="85" w:type="dxa"/>
              <w:bottom w:w="0" w:type="dxa"/>
              <w:right w:w="85" w:type="dxa"/>
            </w:tcMar>
          </w:tcPr>
          <w:p w14:paraId="040E622C" w14:textId="77777777" w:rsidR="00EB5913" w:rsidRPr="006623B9" w:rsidRDefault="00EB5913" w:rsidP="00F16E23">
            <w:pPr>
              <w:pStyle w:val="TableText"/>
              <w:spacing w:before="40" w:after="40"/>
              <w:rPr>
                <w:szCs w:val="16"/>
              </w:rPr>
            </w:pPr>
            <w:r w:rsidRPr="006623B9">
              <w:rPr>
                <w:rFonts w:eastAsia="Calibri"/>
                <w:szCs w:val="16"/>
              </w:rPr>
              <w:t xml:space="preserve">0.45 (dry) </w:t>
            </w:r>
            <w:r w:rsidRPr="006623B9">
              <w:rPr>
                <w:rFonts w:eastAsia="Calibri"/>
                <w:szCs w:val="16"/>
              </w:rPr>
              <w:br/>
              <w:t>(table 5.2)</w:t>
            </w:r>
          </w:p>
        </w:tc>
        <w:tc>
          <w:tcPr>
            <w:tcW w:w="1264" w:type="dxa"/>
            <w:shd w:val="clear" w:color="auto" w:fill="FFFFFF"/>
            <w:tcMar>
              <w:top w:w="0" w:type="dxa"/>
              <w:left w:w="85" w:type="dxa"/>
              <w:bottom w:w="0" w:type="dxa"/>
              <w:right w:w="85" w:type="dxa"/>
            </w:tcMar>
          </w:tcPr>
          <w:p w14:paraId="36D8EFA7"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49DE47A1" w14:textId="77777777" w:rsidTr="00F16E23">
        <w:tc>
          <w:tcPr>
            <w:tcW w:w="0" w:type="auto"/>
            <w:shd w:val="clear" w:color="auto" w:fill="FFFFFF"/>
            <w:tcMar>
              <w:top w:w="0" w:type="dxa"/>
              <w:left w:w="85" w:type="dxa"/>
              <w:bottom w:w="0" w:type="dxa"/>
              <w:right w:w="85" w:type="dxa"/>
            </w:tcMar>
          </w:tcPr>
          <w:p w14:paraId="1DFB15A8" w14:textId="77777777" w:rsidR="00EB5913" w:rsidRPr="006623B9" w:rsidRDefault="00EB5913" w:rsidP="00F16E23">
            <w:pPr>
              <w:pStyle w:val="TableText"/>
              <w:spacing w:before="40" w:after="40"/>
              <w:rPr>
                <w:szCs w:val="16"/>
              </w:rPr>
            </w:pPr>
            <w:r w:rsidRPr="006623B9">
              <w:rPr>
                <w:rFonts w:eastAsia="Calibri"/>
                <w:szCs w:val="16"/>
              </w:rPr>
              <w:t>Fraction of fossil carbon in total carbon</w:t>
            </w:r>
          </w:p>
        </w:tc>
        <w:tc>
          <w:tcPr>
            <w:tcW w:w="0" w:type="auto"/>
            <w:shd w:val="clear" w:color="auto" w:fill="FFFFFF"/>
            <w:tcMar>
              <w:top w:w="0" w:type="dxa"/>
              <w:left w:w="85" w:type="dxa"/>
              <w:bottom w:w="0" w:type="dxa"/>
              <w:right w:w="85" w:type="dxa"/>
            </w:tcMar>
          </w:tcPr>
          <w:p w14:paraId="447A827B" w14:textId="77777777" w:rsidR="00EB5913" w:rsidRPr="006623B9" w:rsidRDefault="00EB5913" w:rsidP="00F16E23">
            <w:pPr>
              <w:pStyle w:val="TableText"/>
              <w:spacing w:before="40" w:after="40"/>
              <w:rPr>
                <w:szCs w:val="16"/>
              </w:rPr>
            </w:pPr>
            <w:r w:rsidRPr="006623B9">
              <w:rPr>
                <w:rFonts w:eastAsia="Calibri"/>
                <w:szCs w:val="16"/>
              </w:rPr>
              <w:t xml:space="preserve">0.275 </w:t>
            </w:r>
            <w:r w:rsidRPr="006623B9">
              <w:rPr>
                <w:rFonts w:eastAsia="Calibri"/>
                <w:szCs w:val="16"/>
              </w:rPr>
              <w:br/>
              <w:t>(table 2.6)</w:t>
            </w:r>
          </w:p>
        </w:tc>
        <w:tc>
          <w:tcPr>
            <w:tcW w:w="0" w:type="auto"/>
            <w:shd w:val="clear" w:color="auto" w:fill="FFFFFF"/>
            <w:tcMar>
              <w:top w:w="0" w:type="dxa"/>
              <w:left w:w="85" w:type="dxa"/>
              <w:bottom w:w="0" w:type="dxa"/>
              <w:right w:w="85" w:type="dxa"/>
            </w:tcMar>
          </w:tcPr>
          <w:p w14:paraId="2AEC8838" w14:textId="77777777" w:rsidR="00EB5913" w:rsidRPr="006623B9" w:rsidRDefault="00EB5913" w:rsidP="00F16E23">
            <w:pPr>
              <w:pStyle w:val="TableText"/>
              <w:spacing w:before="40" w:after="40"/>
              <w:rPr>
                <w:szCs w:val="16"/>
              </w:rPr>
            </w:pPr>
            <w:r w:rsidRPr="006623B9">
              <w:rPr>
                <w:rFonts w:eastAsia="Calibri"/>
                <w:szCs w:val="16"/>
              </w:rPr>
              <w:t xml:space="preserve">0.4 </w:t>
            </w:r>
            <w:r w:rsidRPr="006623B9">
              <w:rPr>
                <w:rFonts w:eastAsia="Calibri"/>
                <w:szCs w:val="16"/>
              </w:rPr>
              <w:br/>
              <w:t>(table 5.2)</w:t>
            </w:r>
          </w:p>
        </w:tc>
        <w:tc>
          <w:tcPr>
            <w:tcW w:w="1171" w:type="dxa"/>
            <w:shd w:val="clear" w:color="auto" w:fill="FFFFFF"/>
            <w:tcMar>
              <w:top w:w="0" w:type="dxa"/>
              <w:left w:w="85" w:type="dxa"/>
              <w:bottom w:w="0" w:type="dxa"/>
              <w:right w:w="85" w:type="dxa"/>
            </w:tcMar>
          </w:tcPr>
          <w:p w14:paraId="4F329686" w14:textId="77777777" w:rsidR="00EB5913" w:rsidRPr="006623B9" w:rsidRDefault="00EB5913" w:rsidP="00F16E23">
            <w:pPr>
              <w:pStyle w:val="TableText"/>
              <w:spacing w:before="40" w:after="40"/>
              <w:rPr>
                <w:szCs w:val="16"/>
              </w:rPr>
            </w:pPr>
            <w:r w:rsidRPr="006623B9">
              <w:rPr>
                <w:rFonts w:eastAsia="Calibri"/>
                <w:szCs w:val="16"/>
              </w:rPr>
              <w:t xml:space="preserve">0 </w:t>
            </w:r>
            <w:r w:rsidRPr="006623B9">
              <w:rPr>
                <w:rFonts w:eastAsia="Calibri"/>
                <w:szCs w:val="16"/>
              </w:rPr>
              <w:br/>
              <w:t>(table 5.2)</w:t>
            </w:r>
          </w:p>
        </w:tc>
        <w:tc>
          <w:tcPr>
            <w:tcW w:w="1264" w:type="dxa"/>
            <w:shd w:val="clear" w:color="auto" w:fill="FFFFFF"/>
            <w:tcMar>
              <w:top w:w="0" w:type="dxa"/>
              <w:left w:w="85" w:type="dxa"/>
              <w:bottom w:w="0" w:type="dxa"/>
              <w:right w:w="85" w:type="dxa"/>
            </w:tcMar>
          </w:tcPr>
          <w:p w14:paraId="62C565C6"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1334F4A5" w14:textId="77777777" w:rsidTr="00F16E23">
        <w:tc>
          <w:tcPr>
            <w:tcW w:w="0" w:type="auto"/>
            <w:shd w:val="clear" w:color="auto" w:fill="FFFFFF"/>
            <w:tcMar>
              <w:top w:w="0" w:type="dxa"/>
              <w:left w:w="85" w:type="dxa"/>
              <w:bottom w:w="0" w:type="dxa"/>
              <w:right w:w="85" w:type="dxa"/>
            </w:tcMar>
          </w:tcPr>
          <w:p w14:paraId="6F6EB823" w14:textId="77777777" w:rsidR="00EB5913" w:rsidRPr="006623B9" w:rsidRDefault="00EB5913" w:rsidP="00F16E23">
            <w:pPr>
              <w:pStyle w:val="TableText"/>
              <w:spacing w:before="40" w:after="40"/>
              <w:rPr>
                <w:szCs w:val="16"/>
              </w:rPr>
            </w:pPr>
            <w:r w:rsidRPr="006623B9">
              <w:rPr>
                <w:rFonts w:eastAsia="Calibri"/>
                <w:szCs w:val="16"/>
              </w:rPr>
              <w:t>Oxidation factor</w:t>
            </w:r>
          </w:p>
        </w:tc>
        <w:tc>
          <w:tcPr>
            <w:tcW w:w="0" w:type="auto"/>
            <w:shd w:val="clear" w:color="auto" w:fill="FFFFFF"/>
            <w:tcMar>
              <w:top w:w="0" w:type="dxa"/>
              <w:left w:w="85" w:type="dxa"/>
              <w:bottom w:w="0" w:type="dxa"/>
              <w:right w:w="85" w:type="dxa"/>
            </w:tcMar>
          </w:tcPr>
          <w:p w14:paraId="059B0FF4" w14:textId="77777777" w:rsidR="00EB5913" w:rsidRPr="006623B9" w:rsidRDefault="00EB5913" w:rsidP="00F16E23">
            <w:pPr>
              <w:pStyle w:val="TableText"/>
              <w:spacing w:before="40" w:after="40"/>
              <w:rPr>
                <w:szCs w:val="16"/>
              </w:rPr>
            </w:pPr>
            <w:r w:rsidRPr="006623B9">
              <w:rPr>
                <w:rFonts w:eastAsia="Calibri"/>
                <w:szCs w:val="16"/>
              </w:rPr>
              <w:t>1</w:t>
            </w:r>
          </w:p>
        </w:tc>
        <w:tc>
          <w:tcPr>
            <w:tcW w:w="0" w:type="auto"/>
            <w:shd w:val="clear" w:color="auto" w:fill="FFFFFF"/>
            <w:tcMar>
              <w:top w:w="0" w:type="dxa"/>
              <w:left w:w="85" w:type="dxa"/>
              <w:bottom w:w="0" w:type="dxa"/>
              <w:right w:w="85" w:type="dxa"/>
            </w:tcMar>
          </w:tcPr>
          <w:p w14:paraId="28BFB339" w14:textId="77777777" w:rsidR="00EB5913" w:rsidRPr="006623B9" w:rsidRDefault="00EB5913" w:rsidP="00F16E23">
            <w:pPr>
              <w:pStyle w:val="TableText"/>
              <w:spacing w:before="40" w:after="40"/>
              <w:rPr>
                <w:szCs w:val="16"/>
              </w:rPr>
            </w:pPr>
            <w:r w:rsidRPr="006623B9">
              <w:rPr>
                <w:rFonts w:eastAsia="Calibri"/>
                <w:szCs w:val="16"/>
              </w:rPr>
              <w:t>1</w:t>
            </w:r>
          </w:p>
        </w:tc>
        <w:tc>
          <w:tcPr>
            <w:tcW w:w="1171" w:type="dxa"/>
            <w:shd w:val="clear" w:color="auto" w:fill="FFFFFF"/>
            <w:tcMar>
              <w:top w:w="0" w:type="dxa"/>
              <w:left w:w="85" w:type="dxa"/>
              <w:bottom w:w="0" w:type="dxa"/>
              <w:right w:w="85" w:type="dxa"/>
            </w:tcMar>
          </w:tcPr>
          <w:p w14:paraId="5D4B524B" w14:textId="77777777" w:rsidR="00EB5913" w:rsidRPr="006623B9" w:rsidRDefault="00EB5913" w:rsidP="00F16E23">
            <w:pPr>
              <w:pStyle w:val="TableText"/>
              <w:spacing w:before="40" w:after="40"/>
              <w:rPr>
                <w:szCs w:val="16"/>
              </w:rPr>
            </w:pPr>
            <w:r w:rsidRPr="006623B9">
              <w:rPr>
                <w:rFonts w:eastAsia="Calibri"/>
                <w:szCs w:val="16"/>
              </w:rPr>
              <w:t>1</w:t>
            </w:r>
          </w:p>
        </w:tc>
        <w:tc>
          <w:tcPr>
            <w:tcW w:w="1264" w:type="dxa"/>
            <w:shd w:val="clear" w:color="auto" w:fill="FFFFFF"/>
            <w:tcMar>
              <w:top w:w="0" w:type="dxa"/>
              <w:left w:w="85" w:type="dxa"/>
              <w:bottom w:w="0" w:type="dxa"/>
              <w:right w:w="85" w:type="dxa"/>
            </w:tcMar>
          </w:tcPr>
          <w:p w14:paraId="2DA0F71E" w14:textId="77777777" w:rsidR="00EB5913" w:rsidRPr="006623B9" w:rsidRDefault="00EB5913" w:rsidP="00F16E23">
            <w:pPr>
              <w:pStyle w:val="TableText"/>
              <w:spacing w:before="40" w:after="40"/>
              <w:rPr>
                <w:szCs w:val="16"/>
              </w:rPr>
            </w:pPr>
            <w:r w:rsidRPr="006623B9">
              <w:rPr>
                <w:rFonts w:eastAsia="Calibri"/>
                <w:szCs w:val="16"/>
              </w:rPr>
              <w:t>IPCC (2006a), table 5.2</w:t>
            </w:r>
          </w:p>
        </w:tc>
      </w:tr>
      <w:tr w:rsidR="00EB5913" w:rsidRPr="006623B9" w14:paraId="093765D4" w14:textId="77777777" w:rsidTr="00F16E23">
        <w:tc>
          <w:tcPr>
            <w:tcW w:w="0" w:type="auto"/>
            <w:shd w:val="clear" w:color="auto" w:fill="FFFFFF"/>
            <w:tcMar>
              <w:top w:w="0" w:type="dxa"/>
              <w:left w:w="85" w:type="dxa"/>
              <w:bottom w:w="0" w:type="dxa"/>
              <w:right w:w="85" w:type="dxa"/>
            </w:tcMar>
          </w:tcPr>
          <w:p w14:paraId="719A2100" w14:textId="77777777" w:rsidR="00EB5913" w:rsidRPr="006623B9" w:rsidRDefault="00EB5913" w:rsidP="00F16E23">
            <w:pPr>
              <w:pStyle w:val="TableText"/>
              <w:spacing w:before="40" w:after="40"/>
              <w:rPr>
                <w:szCs w:val="16"/>
              </w:rPr>
            </w:pPr>
            <w:r w:rsidRPr="006623B9">
              <w:rPr>
                <w:rFonts w:eastAsia="Calibri"/>
                <w:szCs w:val="16"/>
              </w:rPr>
              <w:t>Molar ratio to convert from carbon to carbon dioxide</w:t>
            </w:r>
          </w:p>
        </w:tc>
        <w:tc>
          <w:tcPr>
            <w:tcW w:w="0" w:type="auto"/>
            <w:shd w:val="clear" w:color="auto" w:fill="FFFFFF"/>
            <w:tcMar>
              <w:top w:w="0" w:type="dxa"/>
              <w:left w:w="85" w:type="dxa"/>
              <w:bottom w:w="0" w:type="dxa"/>
              <w:right w:w="85" w:type="dxa"/>
            </w:tcMar>
          </w:tcPr>
          <w:p w14:paraId="40F0ECA5" w14:textId="77777777" w:rsidR="00EB5913" w:rsidRPr="006623B9" w:rsidRDefault="00EB5913" w:rsidP="00F16E23">
            <w:pPr>
              <w:pStyle w:val="TableText"/>
              <w:spacing w:before="40" w:after="40"/>
              <w:rPr>
                <w:szCs w:val="16"/>
              </w:rPr>
            </w:pPr>
            <w:r w:rsidRPr="006623B9">
              <w:rPr>
                <w:rFonts w:eastAsia="Calibri"/>
                <w:szCs w:val="16"/>
              </w:rPr>
              <w:t>44/12</w:t>
            </w:r>
          </w:p>
        </w:tc>
        <w:tc>
          <w:tcPr>
            <w:tcW w:w="0" w:type="auto"/>
            <w:shd w:val="clear" w:color="auto" w:fill="FFFFFF"/>
            <w:tcMar>
              <w:top w:w="0" w:type="dxa"/>
              <w:left w:w="85" w:type="dxa"/>
              <w:bottom w:w="0" w:type="dxa"/>
              <w:right w:w="85" w:type="dxa"/>
            </w:tcMar>
          </w:tcPr>
          <w:p w14:paraId="75B3424A" w14:textId="77777777" w:rsidR="00EB5913" w:rsidRPr="006623B9" w:rsidRDefault="00EB5913" w:rsidP="00F16E23">
            <w:pPr>
              <w:pStyle w:val="TableText"/>
              <w:spacing w:before="40" w:after="40"/>
              <w:rPr>
                <w:szCs w:val="16"/>
              </w:rPr>
            </w:pPr>
            <w:r w:rsidRPr="006623B9">
              <w:rPr>
                <w:rFonts w:eastAsia="Calibri"/>
                <w:szCs w:val="16"/>
              </w:rPr>
              <w:t>44/12</w:t>
            </w:r>
          </w:p>
        </w:tc>
        <w:tc>
          <w:tcPr>
            <w:tcW w:w="1171" w:type="dxa"/>
            <w:shd w:val="clear" w:color="auto" w:fill="FFFFFF"/>
            <w:tcMar>
              <w:top w:w="0" w:type="dxa"/>
              <w:left w:w="85" w:type="dxa"/>
              <w:bottom w:w="0" w:type="dxa"/>
              <w:right w:w="85" w:type="dxa"/>
            </w:tcMar>
          </w:tcPr>
          <w:p w14:paraId="7903149B" w14:textId="77777777" w:rsidR="00EB5913" w:rsidRPr="006623B9" w:rsidRDefault="00EB5913" w:rsidP="00F16E23">
            <w:pPr>
              <w:pStyle w:val="TableText"/>
              <w:spacing w:before="40" w:after="40"/>
              <w:rPr>
                <w:szCs w:val="16"/>
              </w:rPr>
            </w:pPr>
            <w:r w:rsidRPr="006623B9">
              <w:rPr>
                <w:rFonts w:eastAsia="Calibri"/>
                <w:szCs w:val="16"/>
              </w:rPr>
              <w:t>44/12</w:t>
            </w:r>
          </w:p>
        </w:tc>
        <w:tc>
          <w:tcPr>
            <w:tcW w:w="1264" w:type="dxa"/>
            <w:shd w:val="clear" w:color="auto" w:fill="FFFFFF"/>
            <w:tcMar>
              <w:top w:w="0" w:type="dxa"/>
              <w:left w:w="85" w:type="dxa"/>
              <w:bottom w:w="0" w:type="dxa"/>
              <w:right w:w="85" w:type="dxa"/>
            </w:tcMar>
          </w:tcPr>
          <w:p w14:paraId="063A64BD" w14:textId="77777777" w:rsidR="00EB5913" w:rsidRPr="006623B9" w:rsidRDefault="00EB5913" w:rsidP="00F16E23">
            <w:pPr>
              <w:pStyle w:val="TableText"/>
              <w:spacing w:before="40" w:after="40"/>
              <w:rPr>
                <w:szCs w:val="16"/>
              </w:rPr>
            </w:pPr>
          </w:p>
        </w:tc>
      </w:tr>
      <w:tr w:rsidR="00EB5913" w:rsidRPr="006623B9" w14:paraId="444B5DC2" w14:textId="77777777" w:rsidTr="00F16E23">
        <w:tc>
          <w:tcPr>
            <w:tcW w:w="0" w:type="auto"/>
            <w:shd w:val="clear" w:color="auto" w:fill="FFFFFF"/>
            <w:tcMar>
              <w:top w:w="0" w:type="dxa"/>
              <w:left w:w="85" w:type="dxa"/>
              <w:bottom w:w="0" w:type="dxa"/>
              <w:right w:w="85" w:type="dxa"/>
            </w:tcMar>
          </w:tcPr>
          <w:p w14:paraId="2D4A2E37" w14:textId="77777777" w:rsidR="00EB5913" w:rsidRPr="006623B9" w:rsidRDefault="00EB5913" w:rsidP="00F16E23">
            <w:pPr>
              <w:pStyle w:val="TableText"/>
              <w:spacing w:before="40" w:after="40"/>
              <w:rPr>
                <w:szCs w:val="16"/>
              </w:rPr>
            </w:pPr>
            <w:r w:rsidRPr="006623B9">
              <w:rPr>
                <w:rFonts w:eastAsia="Calibri"/>
                <w:szCs w:val="16"/>
              </w:rPr>
              <w:t>Overall carbon dioxide emission factor (kg/kt)</w:t>
            </w:r>
          </w:p>
        </w:tc>
        <w:tc>
          <w:tcPr>
            <w:tcW w:w="0" w:type="auto"/>
            <w:shd w:val="clear" w:color="auto" w:fill="FFFFFF"/>
            <w:tcMar>
              <w:top w:w="0" w:type="dxa"/>
              <w:left w:w="85" w:type="dxa"/>
              <w:bottom w:w="0" w:type="dxa"/>
              <w:right w:w="85" w:type="dxa"/>
            </w:tcMar>
          </w:tcPr>
          <w:p w14:paraId="11DBB04D" w14:textId="77777777" w:rsidR="00EB5913" w:rsidRPr="006623B9" w:rsidRDefault="00EB5913" w:rsidP="00F16E23">
            <w:pPr>
              <w:pStyle w:val="TableText"/>
              <w:spacing w:before="40" w:after="40"/>
              <w:rPr>
                <w:szCs w:val="16"/>
              </w:rPr>
            </w:pPr>
            <w:r w:rsidRPr="006623B9">
              <w:rPr>
                <w:rFonts w:eastAsia="Calibri"/>
                <w:szCs w:val="16"/>
              </w:rPr>
              <w:t>0.504</w:t>
            </w:r>
          </w:p>
        </w:tc>
        <w:tc>
          <w:tcPr>
            <w:tcW w:w="0" w:type="auto"/>
            <w:shd w:val="clear" w:color="auto" w:fill="FFFFFF"/>
            <w:tcMar>
              <w:top w:w="0" w:type="dxa"/>
              <w:left w:w="85" w:type="dxa"/>
              <w:bottom w:w="0" w:type="dxa"/>
              <w:right w:w="85" w:type="dxa"/>
            </w:tcMar>
          </w:tcPr>
          <w:p w14:paraId="340735EB" w14:textId="77777777" w:rsidR="00EB5913" w:rsidRPr="006623B9" w:rsidRDefault="00EB5913" w:rsidP="00F16E23">
            <w:pPr>
              <w:pStyle w:val="TableText"/>
              <w:spacing w:before="40" w:after="40"/>
              <w:rPr>
                <w:szCs w:val="16"/>
              </w:rPr>
            </w:pPr>
            <w:r w:rsidRPr="006623B9">
              <w:rPr>
                <w:rFonts w:eastAsia="Calibri"/>
                <w:szCs w:val="16"/>
              </w:rPr>
              <w:t>0.572</w:t>
            </w:r>
          </w:p>
        </w:tc>
        <w:tc>
          <w:tcPr>
            <w:tcW w:w="1171" w:type="dxa"/>
            <w:shd w:val="clear" w:color="auto" w:fill="FFFFFF"/>
            <w:tcMar>
              <w:top w:w="0" w:type="dxa"/>
              <w:left w:w="85" w:type="dxa"/>
              <w:bottom w:w="0" w:type="dxa"/>
              <w:right w:w="85" w:type="dxa"/>
            </w:tcMar>
          </w:tcPr>
          <w:p w14:paraId="13AC37D7" w14:textId="77777777" w:rsidR="00EB5913" w:rsidRPr="006623B9" w:rsidRDefault="00EB5913" w:rsidP="00F16E23">
            <w:pPr>
              <w:pStyle w:val="TableText"/>
              <w:spacing w:before="40" w:after="40"/>
              <w:rPr>
                <w:szCs w:val="16"/>
              </w:rPr>
            </w:pPr>
            <w:r w:rsidRPr="006623B9">
              <w:rPr>
                <w:rFonts w:eastAsia="Calibri"/>
                <w:szCs w:val="16"/>
              </w:rPr>
              <w:t>0.165</w:t>
            </w:r>
          </w:p>
        </w:tc>
        <w:tc>
          <w:tcPr>
            <w:tcW w:w="1264" w:type="dxa"/>
            <w:shd w:val="clear" w:color="auto" w:fill="FFFFFF"/>
            <w:tcMar>
              <w:top w:w="0" w:type="dxa"/>
              <w:left w:w="85" w:type="dxa"/>
              <w:bottom w:w="0" w:type="dxa"/>
              <w:right w:w="85" w:type="dxa"/>
            </w:tcMar>
          </w:tcPr>
          <w:p w14:paraId="50E6E0D0" w14:textId="77777777" w:rsidR="00EB5913" w:rsidRPr="006623B9" w:rsidRDefault="00EB5913" w:rsidP="00F16E23">
            <w:pPr>
              <w:pStyle w:val="TableText"/>
              <w:spacing w:before="40" w:after="40"/>
              <w:rPr>
                <w:szCs w:val="16"/>
              </w:rPr>
            </w:pPr>
            <w:r w:rsidRPr="006623B9">
              <w:rPr>
                <w:rFonts w:eastAsia="Calibri"/>
                <w:szCs w:val="16"/>
              </w:rPr>
              <w:t>Estimated based on above values</w:t>
            </w:r>
          </w:p>
        </w:tc>
      </w:tr>
      <w:tr w:rsidR="00EB5913" w:rsidRPr="006623B9" w14:paraId="51D20F8C" w14:textId="77777777" w:rsidTr="00F16E23">
        <w:tc>
          <w:tcPr>
            <w:tcW w:w="0" w:type="auto"/>
            <w:shd w:val="clear" w:color="auto" w:fill="FFFFFF"/>
            <w:tcMar>
              <w:top w:w="0" w:type="dxa"/>
              <w:left w:w="85" w:type="dxa"/>
              <w:bottom w:w="0" w:type="dxa"/>
              <w:right w:w="85" w:type="dxa"/>
            </w:tcMar>
          </w:tcPr>
          <w:p w14:paraId="1A58BF49" w14:textId="77777777" w:rsidR="00EB5913" w:rsidRPr="006623B9" w:rsidRDefault="00EB5913" w:rsidP="00F16E23">
            <w:pPr>
              <w:pStyle w:val="TableText"/>
              <w:spacing w:before="40" w:after="40"/>
              <w:rPr>
                <w:szCs w:val="16"/>
              </w:rPr>
            </w:pPr>
            <w:r w:rsidRPr="006623B9">
              <w:rPr>
                <w:rFonts w:eastAsia="Calibri"/>
                <w:szCs w:val="16"/>
              </w:rPr>
              <w:t>Methane emission factor (kg/kt) as directly referenced</w:t>
            </w:r>
          </w:p>
        </w:tc>
        <w:tc>
          <w:tcPr>
            <w:tcW w:w="0" w:type="auto"/>
            <w:shd w:val="clear" w:color="auto" w:fill="FFFFFF"/>
            <w:tcMar>
              <w:top w:w="0" w:type="dxa"/>
              <w:left w:w="85" w:type="dxa"/>
              <w:bottom w:w="0" w:type="dxa"/>
              <w:right w:w="85" w:type="dxa"/>
            </w:tcMar>
          </w:tcPr>
          <w:p w14:paraId="59AF04E5" w14:textId="77777777" w:rsidR="00EB5913" w:rsidRPr="006623B9" w:rsidRDefault="00EB5913" w:rsidP="00F16E23">
            <w:pPr>
              <w:pStyle w:val="TableText"/>
              <w:spacing w:before="40" w:after="40"/>
              <w:rPr>
                <w:szCs w:val="16"/>
              </w:rPr>
            </w:pPr>
            <w:r w:rsidRPr="006623B9">
              <w:rPr>
                <w:rFonts w:eastAsia="Calibri"/>
                <w:szCs w:val="16"/>
              </w:rPr>
              <w:t>NA</w:t>
            </w:r>
          </w:p>
        </w:tc>
        <w:tc>
          <w:tcPr>
            <w:tcW w:w="0" w:type="auto"/>
            <w:shd w:val="clear" w:color="auto" w:fill="FFFFFF"/>
            <w:tcMar>
              <w:top w:w="0" w:type="dxa"/>
              <w:left w:w="85" w:type="dxa"/>
              <w:bottom w:w="0" w:type="dxa"/>
              <w:right w:w="85" w:type="dxa"/>
            </w:tcMar>
          </w:tcPr>
          <w:p w14:paraId="2A5BB9EE" w14:textId="77777777" w:rsidR="00EB5913" w:rsidRPr="006623B9" w:rsidRDefault="00EB5913" w:rsidP="00F16E23">
            <w:pPr>
              <w:pStyle w:val="TableText"/>
              <w:spacing w:before="40" w:after="40"/>
              <w:rPr>
                <w:szCs w:val="16"/>
              </w:rPr>
            </w:pPr>
            <w:r w:rsidRPr="006623B9">
              <w:rPr>
                <w:rFonts w:eastAsia="Calibri"/>
                <w:szCs w:val="16"/>
              </w:rPr>
              <w:t>NA</w:t>
            </w:r>
          </w:p>
        </w:tc>
        <w:tc>
          <w:tcPr>
            <w:tcW w:w="1171" w:type="dxa"/>
            <w:shd w:val="clear" w:color="auto" w:fill="FFFFFF"/>
            <w:tcMar>
              <w:top w:w="0" w:type="dxa"/>
              <w:left w:w="85" w:type="dxa"/>
              <w:bottom w:w="0" w:type="dxa"/>
              <w:right w:w="85" w:type="dxa"/>
            </w:tcMar>
          </w:tcPr>
          <w:p w14:paraId="1BF8B927" w14:textId="77777777" w:rsidR="00EB5913" w:rsidRPr="006623B9" w:rsidRDefault="00EB5913" w:rsidP="00F16E23">
            <w:pPr>
              <w:pStyle w:val="TableText"/>
              <w:spacing w:before="40" w:after="40"/>
              <w:rPr>
                <w:szCs w:val="16"/>
              </w:rPr>
            </w:pPr>
            <w:r w:rsidRPr="006623B9">
              <w:rPr>
                <w:rFonts w:eastAsia="Calibri"/>
                <w:szCs w:val="16"/>
              </w:rPr>
              <w:t xml:space="preserve">9.7 </w:t>
            </w:r>
            <w:r w:rsidRPr="006623B9">
              <w:rPr>
                <w:rFonts w:eastAsia="Calibri"/>
                <w:szCs w:val="16"/>
              </w:rPr>
              <w:br/>
              <w:t>(section 5.4.2)</w:t>
            </w:r>
          </w:p>
        </w:tc>
        <w:tc>
          <w:tcPr>
            <w:tcW w:w="1264" w:type="dxa"/>
            <w:shd w:val="clear" w:color="auto" w:fill="FFFFFF"/>
            <w:tcMar>
              <w:top w:w="0" w:type="dxa"/>
              <w:left w:w="85" w:type="dxa"/>
              <w:bottom w:w="0" w:type="dxa"/>
              <w:right w:w="85" w:type="dxa"/>
            </w:tcMar>
          </w:tcPr>
          <w:p w14:paraId="2FE3D0E8" w14:textId="77777777" w:rsidR="00EB5913" w:rsidRPr="006623B9" w:rsidRDefault="00EB5913" w:rsidP="00F16E23">
            <w:pPr>
              <w:pStyle w:val="TableText"/>
              <w:spacing w:before="40" w:after="40"/>
              <w:rPr>
                <w:szCs w:val="16"/>
              </w:rPr>
            </w:pPr>
            <w:r w:rsidRPr="006623B9">
              <w:rPr>
                <w:rFonts w:eastAsia="Calibri"/>
                <w:szCs w:val="16"/>
              </w:rPr>
              <w:t>IPCC (2006a)</w:t>
            </w:r>
          </w:p>
        </w:tc>
      </w:tr>
      <w:tr w:rsidR="00EB5913" w:rsidRPr="006623B9" w14:paraId="20829581" w14:textId="77777777" w:rsidTr="00F16E23">
        <w:tc>
          <w:tcPr>
            <w:tcW w:w="0" w:type="auto"/>
            <w:shd w:val="clear" w:color="auto" w:fill="FFFFFF"/>
            <w:tcMar>
              <w:top w:w="0" w:type="dxa"/>
              <w:left w:w="85" w:type="dxa"/>
              <w:bottom w:w="0" w:type="dxa"/>
              <w:right w:w="85" w:type="dxa"/>
            </w:tcMar>
          </w:tcPr>
          <w:p w14:paraId="02AB61B4" w14:textId="77777777" w:rsidR="00EB5913" w:rsidRPr="006623B9" w:rsidRDefault="00EB5913" w:rsidP="00F16E23">
            <w:pPr>
              <w:pStyle w:val="TableText"/>
              <w:spacing w:before="40" w:after="40"/>
              <w:rPr>
                <w:szCs w:val="16"/>
              </w:rPr>
            </w:pPr>
            <w:r w:rsidRPr="006623B9">
              <w:rPr>
                <w:rFonts w:eastAsia="Calibri"/>
                <w:szCs w:val="16"/>
              </w:rPr>
              <w:t>Methane energy factor (kg gas/TJ)</w:t>
            </w:r>
          </w:p>
        </w:tc>
        <w:tc>
          <w:tcPr>
            <w:tcW w:w="0" w:type="auto"/>
            <w:shd w:val="clear" w:color="auto" w:fill="FFFFFF"/>
            <w:tcMar>
              <w:top w:w="0" w:type="dxa"/>
              <w:left w:w="85" w:type="dxa"/>
              <w:bottom w:w="0" w:type="dxa"/>
              <w:right w:w="85" w:type="dxa"/>
            </w:tcMar>
          </w:tcPr>
          <w:p w14:paraId="03CFE2D4" w14:textId="77777777" w:rsidR="00EB5913" w:rsidRPr="006623B9" w:rsidRDefault="00EB5913" w:rsidP="00F16E23">
            <w:pPr>
              <w:pStyle w:val="TableText"/>
              <w:spacing w:before="40" w:after="40"/>
              <w:rPr>
                <w:szCs w:val="16"/>
              </w:rPr>
            </w:pPr>
            <w:r w:rsidRPr="006623B9">
              <w:rPr>
                <w:rFonts w:eastAsia="Calibri"/>
                <w:szCs w:val="16"/>
              </w:rPr>
              <w:t xml:space="preserve">30 </w:t>
            </w:r>
            <w:r w:rsidRPr="006623B9">
              <w:rPr>
                <w:rFonts w:eastAsia="Calibri"/>
                <w:szCs w:val="16"/>
              </w:rPr>
              <w:br/>
              <w:t>(table 2.3, Industrial waste)</w:t>
            </w:r>
          </w:p>
        </w:tc>
        <w:tc>
          <w:tcPr>
            <w:tcW w:w="0" w:type="auto"/>
            <w:shd w:val="clear" w:color="auto" w:fill="FFFFFF"/>
            <w:tcMar>
              <w:top w:w="0" w:type="dxa"/>
              <w:left w:w="85" w:type="dxa"/>
              <w:bottom w:w="0" w:type="dxa"/>
              <w:right w:w="85" w:type="dxa"/>
            </w:tcMar>
          </w:tcPr>
          <w:p w14:paraId="593D877A" w14:textId="77777777" w:rsidR="00EB5913" w:rsidRPr="006623B9" w:rsidRDefault="00EB5913" w:rsidP="00F16E23">
            <w:pPr>
              <w:pStyle w:val="TableText"/>
              <w:spacing w:before="40" w:after="40"/>
              <w:rPr>
                <w:szCs w:val="16"/>
              </w:rPr>
            </w:pPr>
            <w:r w:rsidRPr="006623B9">
              <w:rPr>
                <w:rFonts w:eastAsia="Calibri"/>
                <w:szCs w:val="16"/>
              </w:rPr>
              <w:t xml:space="preserve">300 </w:t>
            </w:r>
            <w:r w:rsidRPr="006623B9">
              <w:rPr>
                <w:rFonts w:eastAsia="Calibri"/>
                <w:szCs w:val="16"/>
              </w:rPr>
              <w:br/>
              <w:t>(table 2.4, Municipal/ Industrial waste)</w:t>
            </w:r>
          </w:p>
        </w:tc>
        <w:tc>
          <w:tcPr>
            <w:tcW w:w="1171" w:type="dxa"/>
            <w:shd w:val="clear" w:color="auto" w:fill="FFFFFF"/>
            <w:tcMar>
              <w:top w:w="0" w:type="dxa"/>
              <w:left w:w="85" w:type="dxa"/>
              <w:bottom w:w="0" w:type="dxa"/>
              <w:right w:w="85" w:type="dxa"/>
            </w:tcMar>
          </w:tcPr>
          <w:p w14:paraId="28834774" w14:textId="77777777" w:rsidR="00EB5913" w:rsidRPr="006623B9" w:rsidRDefault="00EB5913" w:rsidP="00F16E23">
            <w:pPr>
              <w:pStyle w:val="TableText"/>
              <w:spacing w:before="40" w:after="40"/>
              <w:rPr>
                <w:szCs w:val="16"/>
              </w:rPr>
            </w:pPr>
            <w:r w:rsidRPr="006623B9">
              <w:rPr>
                <w:rFonts w:eastAsia="Calibri"/>
                <w:szCs w:val="16"/>
              </w:rPr>
              <w:t>NA</w:t>
            </w:r>
          </w:p>
        </w:tc>
        <w:tc>
          <w:tcPr>
            <w:tcW w:w="1264" w:type="dxa"/>
            <w:shd w:val="clear" w:color="auto" w:fill="FFFFFF"/>
            <w:tcMar>
              <w:top w:w="0" w:type="dxa"/>
              <w:left w:w="85" w:type="dxa"/>
              <w:bottom w:w="0" w:type="dxa"/>
              <w:right w:w="85" w:type="dxa"/>
            </w:tcMar>
          </w:tcPr>
          <w:p w14:paraId="4F58E629" w14:textId="77777777" w:rsidR="00EB5913" w:rsidRPr="006623B9" w:rsidRDefault="00EB5913" w:rsidP="00F16E23">
            <w:pPr>
              <w:pStyle w:val="TableText"/>
              <w:spacing w:before="40" w:after="40"/>
              <w:rPr>
                <w:szCs w:val="16"/>
              </w:rPr>
            </w:pPr>
            <w:r w:rsidRPr="006623B9">
              <w:rPr>
                <w:rFonts w:eastAsia="Calibri"/>
                <w:szCs w:val="16"/>
              </w:rPr>
              <w:t>IPCC (2006b)</w:t>
            </w:r>
          </w:p>
        </w:tc>
      </w:tr>
      <w:tr w:rsidR="00EB5913" w:rsidRPr="006623B9" w14:paraId="191358AE" w14:textId="77777777" w:rsidTr="00F16E23">
        <w:tc>
          <w:tcPr>
            <w:tcW w:w="0" w:type="auto"/>
            <w:shd w:val="clear" w:color="auto" w:fill="FFFFFF"/>
            <w:tcMar>
              <w:top w:w="0" w:type="dxa"/>
              <w:left w:w="85" w:type="dxa"/>
              <w:bottom w:w="0" w:type="dxa"/>
              <w:right w:w="85" w:type="dxa"/>
            </w:tcMar>
          </w:tcPr>
          <w:p w14:paraId="4CAE2AD6" w14:textId="77777777" w:rsidR="00EB5913" w:rsidRPr="006623B9" w:rsidRDefault="00EB5913" w:rsidP="00F16E23">
            <w:pPr>
              <w:pStyle w:val="TableText"/>
              <w:spacing w:before="40" w:after="40"/>
              <w:rPr>
                <w:szCs w:val="16"/>
              </w:rPr>
            </w:pPr>
            <w:r w:rsidRPr="006623B9">
              <w:rPr>
                <w:rFonts w:eastAsia="Calibri"/>
                <w:szCs w:val="16"/>
              </w:rPr>
              <w:t>Methane (MJ/kg waste)</w:t>
            </w:r>
          </w:p>
        </w:tc>
        <w:tc>
          <w:tcPr>
            <w:tcW w:w="0" w:type="auto"/>
            <w:shd w:val="clear" w:color="auto" w:fill="FFFFFF"/>
            <w:tcMar>
              <w:top w:w="0" w:type="dxa"/>
              <w:left w:w="85" w:type="dxa"/>
              <w:bottom w:w="0" w:type="dxa"/>
              <w:right w:w="85" w:type="dxa"/>
            </w:tcMar>
          </w:tcPr>
          <w:p w14:paraId="50AE3DB1" w14:textId="77777777" w:rsidR="00EB5913" w:rsidRPr="006623B9" w:rsidRDefault="00EB5913" w:rsidP="00F16E23">
            <w:pPr>
              <w:pStyle w:val="TableText"/>
              <w:spacing w:before="40" w:after="40"/>
              <w:rPr>
                <w:szCs w:val="16"/>
              </w:rPr>
            </w:pPr>
            <w:r w:rsidRPr="006623B9">
              <w:rPr>
                <w:rFonts w:eastAsia="Calibri"/>
                <w:szCs w:val="16"/>
              </w:rPr>
              <w:t>12.8</w:t>
            </w:r>
          </w:p>
        </w:tc>
        <w:tc>
          <w:tcPr>
            <w:tcW w:w="0" w:type="auto"/>
            <w:shd w:val="clear" w:color="auto" w:fill="FFFFFF"/>
            <w:tcMar>
              <w:top w:w="0" w:type="dxa"/>
              <w:left w:w="85" w:type="dxa"/>
              <w:bottom w:w="0" w:type="dxa"/>
              <w:right w:w="85" w:type="dxa"/>
            </w:tcMar>
          </w:tcPr>
          <w:p w14:paraId="478182FF" w14:textId="77777777" w:rsidR="00EB5913" w:rsidRPr="006623B9" w:rsidRDefault="00EB5913" w:rsidP="00F16E23">
            <w:pPr>
              <w:pStyle w:val="TableText"/>
              <w:spacing w:before="40" w:after="40"/>
              <w:rPr>
                <w:szCs w:val="16"/>
              </w:rPr>
            </w:pPr>
            <w:r w:rsidRPr="006623B9">
              <w:rPr>
                <w:rFonts w:eastAsia="Calibri"/>
                <w:szCs w:val="16"/>
              </w:rPr>
              <w:t>16.8</w:t>
            </w:r>
          </w:p>
        </w:tc>
        <w:tc>
          <w:tcPr>
            <w:tcW w:w="1171" w:type="dxa"/>
            <w:shd w:val="clear" w:color="auto" w:fill="FFFFFF"/>
            <w:tcMar>
              <w:top w:w="0" w:type="dxa"/>
              <w:left w:w="85" w:type="dxa"/>
              <w:bottom w:w="0" w:type="dxa"/>
              <w:right w:w="85" w:type="dxa"/>
            </w:tcMar>
          </w:tcPr>
          <w:p w14:paraId="4E8B465B" w14:textId="77777777" w:rsidR="00EB5913" w:rsidRPr="006623B9" w:rsidRDefault="00EB5913" w:rsidP="00F16E23">
            <w:pPr>
              <w:pStyle w:val="TableText"/>
              <w:spacing w:before="40" w:after="40"/>
              <w:rPr>
                <w:szCs w:val="16"/>
              </w:rPr>
            </w:pPr>
            <w:r w:rsidRPr="006623B9">
              <w:rPr>
                <w:rFonts w:eastAsia="Calibri"/>
                <w:szCs w:val="16"/>
              </w:rPr>
              <w:t>NA</w:t>
            </w:r>
          </w:p>
        </w:tc>
        <w:tc>
          <w:tcPr>
            <w:tcW w:w="1264" w:type="dxa"/>
            <w:shd w:val="clear" w:color="auto" w:fill="FFFFFF"/>
            <w:tcMar>
              <w:top w:w="0" w:type="dxa"/>
              <w:left w:w="85" w:type="dxa"/>
              <w:bottom w:w="0" w:type="dxa"/>
              <w:right w:w="85" w:type="dxa"/>
            </w:tcMar>
          </w:tcPr>
          <w:p w14:paraId="5016E31B" w14:textId="77777777" w:rsidR="00EB5913" w:rsidRPr="006623B9" w:rsidRDefault="00EB5913" w:rsidP="00F16E23">
            <w:pPr>
              <w:pStyle w:val="TableText"/>
              <w:spacing w:before="40" w:after="40"/>
              <w:rPr>
                <w:szCs w:val="16"/>
              </w:rPr>
            </w:pPr>
            <w:r w:rsidRPr="006623B9">
              <w:rPr>
                <w:rFonts w:eastAsia="Calibri"/>
                <w:szCs w:val="16"/>
              </w:rPr>
              <w:t>Ministry of Commerce (1993)</w:t>
            </w:r>
          </w:p>
        </w:tc>
      </w:tr>
      <w:tr w:rsidR="00EB5913" w:rsidRPr="006623B9" w14:paraId="48F02C58" w14:textId="77777777" w:rsidTr="00F16E23">
        <w:tc>
          <w:tcPr>
            <w:tcW w:w="0" w:type="auto"/>
            <w:shd w:val="clear" w:color="auto" w:fill="FFFFFF"/>
            <w:tcMar>
              <w:top w:w="0" w:type="dxa"/>
              <w:left w:w="85" w:type="dxa"/>
              <w:bottom w:w="0" w:type="dxa"/>
              <w:right w:w="85" w:type="dxa"/>
            </w:tcMar>
          </w:tcPr>
          <w:p w14:paraId="163DC4D5" w14:textId="77777777" w:rsidR="00EB5913" w:rsidRPr="006623B9" w:rsidRDefault="00EB5913" w:rsidP="00F16E23">
            <w:pPr>
              <w:pStyle w:val="TableText"/>
              <w:spacing w:before="40" w:after="40"/>
              <w:rPr>
                <w:szCs w:val="16"/>
              </w:rPr>
            </w:pPr>
            <w:r w:rsidRPr="006623B9">
              <w:rPr>
                <w:rFonts w:eastAsia="Calibri"/>
                <w:szCs w:val="16"/>
              </w:rPr>
              <w:t>Methane emission factor (kg/kt) calculated as a quotient of the above parameters</w:t>
            </w:r>
          </w:p>
        </w:tc>
        <w:tc>
          <w:tcPr>
            <w:tcW w:w="0" w:type="auto"/>
            <w:shd w:val="clear" w:color="auto" w:fill="FFFFFF"/>
            <w:tcMar>
              <w:top w:w="0" w:type="dxa"/>
              <w:left w:w="85" w:type="dxa"/>
              <w:bottom w:w="0" w:type="dxa"/>
              <w:right w:w="85" w:type="dxa"/>
            </w:tcMar>
          </w:tcPr>
          <w:p w14:paraId="5AB4ED01" w14:textId="77777777" w:rsidR="00EB5913" w:rsidRPr="006623B9" w:rsidRDefault="00EB5913" w:rsidP="00F16E23">
            <w:pPr>
              <w:pStyle w:val="TableText"/>
              <w:spacing w:before="40" w:after="40"/>
              <w:rPr>
                <w:szCs w:val="16"/>
              </w:rPr>
            </w:pPr>
            <w:r w:rsidRPr="006623B9">
              <w:rPr>
                <w:rFonts w:eastAsia="Calibri"/>
                <w:szCs w:val="16"/>
              </w:rPr>
              <w:t>2.34</w:t>
            </w:r>
          </w:p>
        </w:tc>
        <w:tc>
          <w:tcPr>
            <w:tcW w:w="0" w:type="auto"/>
            <w:shd w:val="clear" w:color="auto" w:fill="FFFFFF"/>
            <w:tcMar>
              <w:top w:w="0" w:type="dxa"/>
              <w:left w:w="85" w:type="dxa"/>
              <w:bottom w:w="0" w:type="dxa"/>
              <w:right w:w="85" w:type="dxa"/>
            </w:tcMar>
          </w:tcPr>
          <w:p w14:paraId="69F52018" w14:textId="77777777" w:rsidR="00EB5913" w:rsidRPr="006623B9" w:rsidRDefault="00EB5913" w:rsidP="00F16E23">
            <w:pPr>
              <w:pStyle w:val="TableText"/>
              <w:spacing w:before="40" w:after="40"/>
              <w:rPr>
                <w:szCs w:val="16"/>
              </w:rPr>
            </w:pPr>
            <w:r w:rsidRPr="006623B9">
              <w:rPr>
                <w:rFonts w:eastAsia="Calibri"/>
                <w:szCs w:val="16"/>
              </w:rPr>
              <w:t>17.86</w:t>
            </w:r>
          </w:p>
        </w:tc>
        <w:tc>
          <w:tcPr>
            <w:tcW w:w="1171" w:type="dxa"/>
            <w:shd w:val="clear" w:color="auto" w:fill="FFFFFF"/>
            <w:tcMar>
              <w:top w:w="0" w:type="dxa"/>
              <w:left w:w="85" w:type="dxa"/>
              <w:bottom w:w="0" w:type="dxa"/>
              <w:right w:w="85" w:type="dxa"/>
            </w:tcMar>
          </w:tcPr>
          <w:p w14:paraId="7BDD25A9" w14:textId="77777777" w:rsidR="00EB5913" w:rsidRPr="006623B9" w:rsidRDefault="00EB5913" w:rsidP="00F16E23">
            <w:pPr>
              <w:pStyle w:val="TableText"/>
              <w:spacing w:before="40" w:after="40"/>
              <w:rPr>
                <w:szCs w:val="16"/>
              </w:rPr>
            </w:pPr>
            <w:r w:rsidRPr="006623B9">
              <w:rPr>
                <w:rFonts w:eastAsia="Calibri"/>
                <w:szCs w:val="16"/>
              </w:rPr>
              <w:t>NA</w:t>
            </w:r>
          </w:p>
        </w:tc>
        <w:tc>
          <w:tcPr>
            <w:tcW w:w="1264" w:type="dxa"/>
            <w:shd w:val="clear" w:color="auto" w:fill="FFFFFF"/>
            <w:tcMar>
              <w:top w:w="0" w:type="dxa"/>
              <w:left w:w="85" w:type="dxa"/>
              <w:bottom w:w="0" w:type="dxa"/>
              <w:right w:w="85" w:type="dxa"/>
            </w:tcMar>
          </w:tcPr>
          <w:p w14:paraId="6DFAC8A4" w14:textId="77777777" w:rsidR="00EB5913" w:rsidRPr="006623B9" w:rsidRDefault="00EB5913" w:rsidP="00F16E23">
            <w:pPr>
              <w:pStyle w:val="TableText"/>
              <w:spacing w:before="40" w:after="40"/>
              <w:rPr>
                <w:szCs w:val="16"/>
              </w:rPr>
            </w:pPr>
          </w:p>
        </w:tc>
      </w:tr>
      <w:tr w:rsidR="00EB5913" w:rsidRPr="006623B9" w14:paraId="287701DE" w14:textId="77777777" w:rsidTr="00F16E23">
        <w:tc>
          <w:tcPr>
            <w:tcW w:w="0" w:type="auto"/>
            <w:shd w:val="clear" w:color="auto" w:fill="FFFFFF"/>
            <w:tcMar>
              <w:top w:w="0" w:type="dxa"/>
              <w:left w:w="85" w:type="dxa"/>
              <w:bottom w:w="0" w:type="dxa"/>
              <w:right w:w="85" w:type="dxa"/>
            </w:tcMar>
          </w:tcPr>
          <w:p w14:paraId="40E2140B" w14:textId="77777777" w:rsidR="00EB5913" w:rsidRPr="006623B9" w:rsidRDefault="00EB5913" w:rsidP="00F16E23">
            <w:pPr>
              <w:pStyle w:val="TableText"/>
              <w:spacing w:before="40" w:after="40"/>
              <w:rPr>
                <w:szCs w:val="16"/>
              </w:rPr>
            </w:pPr>
            <w:r w:rsidRPr="006623B9">
              <w:rPr>
                <w:rFonts w:eastAsia="Calibri"/>
                <w:szCs w:val="16"/>
              </w:rPr>
              <w:t>Nitrous oxide emission factor (kg/kt)</w:t>
            </w:r>
          </w:p>
        </w:tc>
        <w:tc>
          <w:tcPr>
            <w:tcW w:w="0" w:type="auto"/>
            <w:shd w:val="clear" w:color="auto" w:fill="FFFFFF"/>
            <w:tcMar>
              <w:top w:w="0" w:type="dxa"/>
              <w:left w:w="85" w:type="dxa"/>
              <w:bottom w:w="0" w:type="dxa"/>
              <w:right w:w="85" w:type="dxa"/>
            </w:tcMar>
          </w:tcPr>
          <w:p w14:paraId="3C27CF4D" w14:textId="77777777" w:rsidR="00EB5913" w:rsidRPr="006623B9" w:rsidRDefault="00EB5913" w:rsidP="00F16E23">
            <w:pPr>
              <w:pStyle w:val="TableText"/>
              <w:spacing w:before="40" w:after="40"/>
              <w:rPr>
                <w:szCs w:val="16"/>
              </w:rPr>
            </w:pPr>
            <w:r w:rsidRPr="006623B9">
              <w:rPr>
                <w:rFonts w:eastAsia="Calibri"/>
                <w:szCs w:val="16"/>
              </w:rPr>
              <w:t>100</w:t>
            </w:r>
          </w:p>
        </w:tc>
        <w:tc>
          <w:tcPr>
            <w:tcW w:w="0" w:type="auto"/>
            <w:shd w:val="clear" w:color="auto" w:fill="FFFFFF"/>
            <w:tcMar>
              <w:top w:w="0" w:type="dxa"/>
              <w:left w:w="85" w:type="dxa"/>
              <w:bottom w:w="0" w:type="dxa"/>
              <w:right w:w="85" w:type="dxa"/>
            </w:tcMar>
          </w:tcPr>
          <w:p w14:paraId="5E4886A0" w14:textId="77777777" w:rsidR="00EB5913" w:rsidRPr="006623B9" w:rsidRDefault="00EB5913" w:rsidP="00F16E23">
            <w:pPr>
              <w:pStyle w:val="TableText"/>
              <w:spacing w:before="40" w:after="40"/>
              <w:rPr>
                <w:szCs w:val="16"/>
              </w:rPr>
            </w:pPr>
            <w:r w:rsidRPr="006623B9">
              <w:rPr>
                <w:rFonts w:eastAsia="Calibri"/>
                <w:szCs w:val="16"/>
              </w:rPr>
              <w:t>60</w:t>
            </w:r>
          </w:p>
        </w:tc>
        <w:tc>
          <w:tcPr>
            <w:tcW w:w="1171" w:type="dxa"/>
            <w:shd w:val="clear" w:color="auto" w:fill="FFFFFF"/>
            <w:tcMar>
              <w:top w:w="0" w:type="dxa"/>
              <w:left w:w="85" w:type="dxa"/>
              <w:bottom w:w="0" w:type="dxa"/>
              <w:right w:w="85" w:type="dxa"/>
            </w:tcMar>
          </w:tcPr>
          <w:p w14:paraId="1F61972C" w14:textId="77777777" w:rsidR="00EB5913" w:rsidRPr="006623B9" w:rsidRDefault="00EB5913" w:rsidP="00F16E23">
            <w:pPr>
              <w:pStyle w:val="TableText"/>
              <w:spacing w:before="40" w:after="40"/>
              <w:rPr>
                <w:szCs w:val="16"/>
              </w:rPr>
            </w:pPr>
            <w:r w:rsidRPr="006623B9">
              <w:rPr>
                <w:rFonts w:eastAsia="Calibri"/>
                <w:szCs w:val="16"/>
              </w:rPr>
              <w:t>900</w:t>
            </w:r>
          </w:p>
        </w:tc>
        <w:tc>
          <w:tcPr>
            <w:tcW w:w="1264" w:type="dxa"/>
            <w:shd w:val="clear" w:color="auto" w:fill="FFFFFF"/>
            <w:tcMar>
              <w:top w:w="0" w:type="dxa"/>
              <w:left w:w="85" w:type="dxa"/>
              <w:bottom w:w="0" w:type="dxa"/>
              <w:right w:w="85" w:type="dxa"/>
            </w:tcMar>
          </w:tcPr>
          <w:p w14:paraId="7DF12DCD" w14:textId="77777777" w:rsidR="00EB5913" w:rsidRPr="006623B9" w:rsidRDefault="00EB5913" w:rsidP="00F16E23">
            <w:pPr>
              <w:pStyle w:val="TableText"/>
              <w:spacing w:before="40" w:after="40"/>
              <w:rPr>
                <w:szCs w:val="16"/>
              </w:rPr>
            </w:pPr>
            <w:r w:rsidRPr="006623B9">
              <w:rPr>
                <w:rFonts w:eastAsia="Calibri"/>
                <w:szCs w:val="16"/>
              </w:rPr>
              <w:t>IPCC (2006b), table 5.6</w:t>
            </w:r>
          </w:p>
        </w:tc>
      </w:tr>
    </w:tbl>
    <w:p w14:paraId="788F66CE" w14:textId="77777777" w:rsidR="00EB5913" w:rsidRPr="006623B9" w:rsidRDefault="00EB5913" w:rsidP="00EB5913">
      <w:pPr>
        <w:pStyle w:val="Noteundertable"/>
      </w:pPr>
      <w:r w:rsidRPr="006623B9">
        <w:rPr>
          <w:b/>
          <w:bCs/>
        </w:rPr>
        <w:t>Note:</w:t>
      </w:r>
      <w:r w:rsidRPr="006623B9">
        <w:t xml:space="preserve"> </w:t>
      </w:r>
      <w:r w:rsidRPr="006623B9">
        <w:tab/>
        <w:t>NA = not applicable; MJ = megajoules; TJ = terajoules.</w:t>
      </w:r>
    </w:p>
    <w:p w14:paraId="3067DFC7" w14:textId="77777777" w:rsidR="00EB5913" w:rsidRPr="006623B9" w:rsidRDefault="00EB5913" w:rsidP="00EB5913">
      <w:pPr>
        <w:pStyle w:val="BodyText"/>
      </w:pPr>
      <w:r w:rsidRPr="006623B9">
        <w:t>These parameters are as given in the 2006 IPCC Guidelines (IPCC, 2006a, 2006b), noting that:</w:t>
      </w:r>
    </w:p>
    <w:p w14:paraId="1C00A159" w14:textId="77777777" w:rsidR="00EB5913" w:rsidRPr="006623B9" w:rsidRDefault="00EB5913" w:rsidP="00EB5913">
      <w:pPr>
        <w:pStyle w:val="Bullet"/>
      </w:pPr>
      <w:r w:rsidRPr="006623B9">
        <w:t>some parameters have been chosen as the closest available to the specific type of waste</w:t>
      </w:r>
    </w:p>
    <w:p w14:paraId="5F3A94D1" w14:textId="77777777" w:rsidR="00EB5913" w:rsidRPr="006623B9" w:rsidRDefault="00EB5913" w:rsidP="00EB5913">
      <w:pPr>
        <w:pStyle w:val="Bullet"/>
      </w:pPr>
      <w:r w:rsidRPr="006623B9">
        <w:t>where a range is given, the mid-point is used</w:t>
      </w:r>
    </w:p>
    <w:p w14:paraId="656C0CAF" w14:textId="77777777" w:rsidR="00EB5913" w:rsidRPr="006623B9" w:rsidRDefault="00EB5913" w:rsidP="00EB5913">
      <w:pPr>
        <w:pStyle w:val="Bullet"/>
        <w:rPr>
          <w:spacing w:val="-2"/>
        </w:rPr>
      </w:pPr>
      <w:r w:rsidRPr="006623B9">
        <w:t xml:space="preserve">methane emission factors for hazardous and clinical waste (IPCC, 2006b) have been converted from a terajoule basis to a kt basis using factors from the </w:t>
      </w:r>
      <w:r w:rsidRPr="006623B9">
        <w:rPr>
          <w:i/>
          <w:iCs/>
        </w:rPr>
        <w:t xml:space="preserve">New Zealand Energy </w:t>
      </w:r>
      <w:r w:rsidRPr="006623B9">
        <w:rPr>
          <w:i/>
          <w:iCs/>
          <w:spacing w:val="-2"/>
        </w:rPr>
        <w:t>Information Handbook</w:t>
      </w:r>
      <w:r w:rsidRPr="006623B9">
        <w:rPr>
          <w:spacing w:val="-2"/>
        </w:rPr>
        <w:t xml:space="preserve"> (Ministry of Commerce, 1993), which only had gross calorific values.</w:t>
      </w:r>
    </w:p>
    <w:p w14:paraId="7D2F91F4" w14:textId="77777777" w:rsidR="00EB5913" w:rsidRPr="006623B9" w:rsidRDefault="00EB5913" w:rsidP="00EB5913">
      <w:pPr>
        <w:pStyle w:val="BodyText"/>
      </w:pPr>
      <w:r w:rsidRPr="006623B9">
        <w:t>While the incineration of clinical waste has decreased over time, it remains a significant proportion of the material incinerated in New Zealand (SKM, unpublished(a)). There is no IPCC default category that specifies medical or quarantine waste. The composition of medical and quarantine waste is closest to clinical waste, so the emission factors for clinical waste have been used and the activity data for these waste types are combined into the category for clinical waste.</w:t>
      </w:r>
    </w:p>
    <w:p w14:paraId="24FF2B90" w14:textId="77777777" w:rsidR="00EB5913" w:rsidRPr="006623B9" w:rsidRDefault="00EB5913" w:rsidP="00EB5913">
      <w:pPr>
        <w:pStyle w:val="Heading5"/>
      </w:pPr>
      <w:bookmarkStart w:id="3083" w:name="open-burning-of-waste-5.c.2-2"/>
      <w:bookmarkEnd w:id="3081"/>
      <w:r w:rsidRPr="006623B9">
        <w:t>Open burning of waste (5.C.2)</w:t>
      </w:r>
    </w:p>
    <w:p w14:paraId="6C36F8C5" w14:textId="77777777" w:rsidR="00EB5913" w:rsidRPr="006623B9" w:rsidRDefault="00EB5913" w:rsidP="00EB5913">
      <w:pPr>
        <w:pStyle w:val="BodyText"/>
      </w:pPr>
      <w:r w:rsidRPr="006623B9">
        <w:t>Parameters are used as detailed in table 7.4.5.</w:t>
      </w:r>
    </w:p>
    <w:p w14:paraId="13F28605" w14:textId="77777777" w:rsidR="00EB5913" w:rsidRPr="006623B9" w:rsidRDefault="00EB5913" w:rsidP="00EB5913">
      <w:pPr>
        <w:pStyle w:val="Table"/>
      </w:pPr>
      <w:bookmarkStart w:id="3084" w:name="_Toc226669118"/>
      <w:r w:rsidRPr="006623B9">
        <w:t xml:space="preserve">Table 7.4.5 </w:t>
      </w:r>
      <w:r w:rsidRPr="006623B9">
        <w:tab/>
        <w:t xml:space="preserve">Parameters used to estimate emissions from </w:t>
      </w:r>
      <w:r w:rsidRPr="006623B9">
        <w:rPr>
          <w:i/>
          <w:iCs/>
        </w:rPr>
        <w:t>Open burning of waste</w:t>
      </w:r>
      <w:bookmarkEnd w:id="308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787"/>
        <w:gridCol w:w="829"/>
        <w:gridCol w:w="2878"/>
      </w:tblGrid>
      <w:tr w:rsidR="00EB5913" w:rsidRPr="006623B9" w14:paraId="6B6F4FF6" w14:textId="77777777" w:rsidTr="00F16E23">
        <w:trPr>
          <w:tblHeader/>
        </w:trPr>
        <w:tc>
          <w:tcPr>
            <w:tcW w:w="0" w:type="auto"/>
            <w:shd w:val="clear" w:color="auto" w:fill="1B556B"/>
            <w:tcMar>
              <w:top w:w="0" w:type="dxa"/>
              <w:left w:w="85" w:type="dxa"/>
              <w:bottom w:w="0" w:type="dxa"/>
              <w:right w:w="85" w:type="dxa"/>
            </w:tcMar>
            <w:vAlign w:val="center"/>
          </w:tcPr>
          <w:p w14:paraId="5A0C2962"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0" w:type="auto"/>
            <w:shd w:val="clear" w:color="auto" w:fill="1B556B"/>
            <w:tcMar>
              <w:top w:w="0" w:type="dxa"/>
              <w:left w:w="85" w:type="dxa"/>
              <w:bottom w:w="0" w:type="dxa"/>
              <w:right w:w="85" w:type="dxa"/>
            </w:tcMar>
            <w:vAlign w:val="center"/>
          </w:tcPr>
          <w:p w14:paraId="1F9C7DF4"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0" w:type="auto"/>
            <w:shd w:val="clear" w:color="auto" w:fill="1B556B"/>
            <w:tcMar>
              <w:top w:w="0" w:type="dxa"/>
              <w:left w:w="85" w:type="dxa"/>
              <w:bottom w:w="0" w:type="dxa"/>
              <w:right w:w="85" w:type="dxa"/>
            </w:tcMar>
            <w:vAlign w:val="center"/>
          </w:tcPr>
          <w:p w14:paraId="5198BBF4"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r>
      <w:tr w:rsidR="00EB5913" w:rsidRPr="006623B9" w14:paraId="3C986B25" w14:textId="77777777" w:rsidTr="00F16E23">
        <w:tc>
          <w:tcPr>
            <w:tcW w:w="0" w:type="auto"/>
            <w:shd w:val="clear" w:color="auto" w:fill="FFFFFF"/>
            <w:tcMar>
              <w:top w:w="0" w:type="dxa"/>
              <w:left w:w="85" w:type="dxa"/>
              <w:bottom w:w="0" w:type="dxa"/>
              <w:right w:w="85" w:type="dxa"/>
            </w:tcMar>
            <w:vAlign w:val="center"/>
          </w:tcPr>
          <w:p w14:paraId="285B85C8" w14:textId="77777777" w:rsidR="00EB5913" w:rsidRPr="006623B9" w:rsidRDefault="00EB5913" w:rsidP="00F16E23">
            <w:pPr>
              <w:pStyle w:val="Tableboldblue"/>
              <w:spacing w:before="40" w:after="40"/>
            </w:pPr>
            <w:r w:rsidRPr="006623B9">
              <w:t>Carbon dioxide</w:t>
            </w:r>
          </w:p>
        </w:tc>
        <w:tc>
          <w:tcPr>
            <w:tcW w:w="0" w:type="auto"/>
            <w:shd w:val="clear" w:color="auto" w:fill="FFFFFF"/>
            <w:tcMar>
              <w:top w:w="0" w:type="dxa"/>
              <w:left w:w="85" w:type="dxa"/>
              <w:bottom w:w="0" w:type="dxa"/>
              <w:right w:w="85" w:type="dxa"/>
            </w:tcMar>
            <w:vAlign w:val="center"/>
          </w:tcPr>
          <w:p w14:paraId="5A281568" w14:textId="77777777" w:rsidR="00EB5913" w:rsidRPr="006623B9" w:rsidRDefault="00EB5913" w:rsidP="00F16E23">
            <w:pPr>
              <w:pStyle w:val="Tableboldblue"/>
              <w:spacing w:before="40" w:after="40"/>
            </w:pPr>
          </w:p>
        </w:tc>
        <w:tc>
          <w:tcPr>
            <w:tcW w:w="0" w:type="auto"/>
            <w:shd w:val="clear" w:color="auto" w:fill="FFFFFF"/>
            <w:tcMar>
              <w:top w:w="0" w:type="dxa"/>
              <w:left w:w="85" w:type="dxa"/>
              <w:bottom w:w="0" w:type="dxa"/>
              <w:right w:w="85" w:type="dxa"/>
            </w:tcMar>
            <w:vAlign w:val="center"/>
          </w:tcPr>
          <w:p w14:paraId="4ECA291F" w14:textId="77777777" w:rsidR="00EB5913" w:rsidRPr="006623B9" w:rsidRDefault="00EB5913" w:rsidP="00F16E23">
            <w:pPr>
              <w:pStyle w:val="Tableboldblue"/>
              <w:spacing w:before="40" w:after="40"/>
            </w:pPr>
          </w:p>
        </w:tc>
      </w:tr>
      <w:tr w:rsidR="00EB5913" w:rsidRPr="006623B9" w14:paraId="5853929C" w14:textId="77777777" w:rsidTr="00F16E23">
        <w:tc>
          <w:tcPr>
            <w:tcW w:w="0" w:type="auto"/>
            <w:shd w:val="clear" w:color="auto" w:fill="FFFFFF"/>
            <w:tcMar>
              <w:top w:w="0" w:type="dxa"/>
              <w:left w:w="85" w:type="dxa"/>
              <w:bottom w:w="0" w:type="dxa"/>
              <w:right w:w="85" w:type="dxa"/>
            </w:tcMar>
            <w:vAlign w:val="center"/>
          </w:tcPr>
          <w:p w14:paraId="3E533EF6" w14:textId="77777777" w:rsidR="00EB5913" w:rsidRPr="006623B9" w:rsidRDefault="00EB5913" w:rsidP="00F16E23">
            <w:pPr>
              <w:pStyle w:val="TableText"/>
              <w:spacing w:before="40" w:after="40"/>
            </w:pPr>
            <w:r w:rsidRPr="006623B9">
              <w:rPr>
                <w:rFonts w:eastAsia="Calibri"/>
              </w:rPr>
              <w:t>Dry-matter content (%)</w:t>
            </w:r>
          </w:p>
        </w:tc>
        <w:tc>
          <w:tcPr>
            <w:tcW w:w="0" w:type="auto"/>
            <w:shd w:val="clear" w:color="auto" w:fill="FFFFFF"/>
            <w:tcMar>
              <w:top w:w="0" w:type="dxa"/>
              <w:left w:w="85" w:type="dxa"/>
              <w:bottom w:w="0" w:type="dxa"/>
              <w:right w:w="85" w:type="dxa"/>
            </w:tcMar>
            <w:vAlign w:val="center"/>
          </w:tcPr>
          <w:p w14:paraId="1AA33903" w14:textId="77777777" w:rsidR="00EB5913" w:rsidRPr="006623B9" w:rsidRDefault="00EB5913" w:rsidP="00F16E23">
            <w:pPr>
              <w:pStyle w:val="TableText"/>
              <w:spacing w:before="40" w:after="40"/>
            </w:pPr>
            <w:r w:rsidRPr="006623B9">
              <w:rPr>
                <w:rFonts w:eastAsia="Calibri"/>
              </w:rPr>
              <w:t>79.7</w:t>
            </w:r>
          </w:p>
        </w:tc>
        <w:tc>
          <w:tcPr>
            <w:tcW w:w="0" w:type="auto"/>
            <w:shd w:val="clear" w:color="auto" w:fill="FFFFFF"/>
            <w:tcMar>
              <w:top w:w="0" w:type="dxa"/>
              <w:left w:w="85" w:type="dxa"/>
              <w:bottom w:w="0" w:type="dxa"/>
              <w:right w:w="85" w:type="dxa"/>
            </w:tcMar>
            <w:vAlign w:val="center"/>
          </w:tcPr>
          <w:p w14:paraId="02CEF32C" w14:textId="77777777" w:rsidR="00EB5913" w:rsidRPr="006623B9" w:rsidRDefault="00EB5913" w:rsidP="00F16E23">
            <w:pPr>
              <w:pStyle w:val="TableText"/>
              <w:spacing w:before="40" w:after="40"/>
            </w:pPr>
            <w:r w:rsidRPr="006623B9">
              <w:rPr>
                <w:rFonts w:eastAsia="Calibri"/>
              </w:rPr>
              <w:t>Calculated (see table 7.4.3)</w:t>
            </w:r>
          </w:p>
        </w:tc>
      </w:tr>
      <w:tr w:rsidR="00EB5913" w:rsidRPr="006623B9" w14:paraId="41EF0635" w14:textId="77777777" w:rsidTr="00F16E23">
        <w:tc>
          <w:tcPr>
            <w:tcW w:w="0" w:type="auto"/>
            <w:shd w:val="clear" w:color="auto" w:fill="FFFFFF"/>
            <w:tcMar>
              <w:top w:w="0" w:type="dxa"/>
              <w:left w:w="85" w:type="dxa"/>
              <w:bottom w:w="0" w:type="dxa"/>
              <w:right w:w="85" w:type="dxa"/>
            </w:tcMar>
            <w:vAlign w:val="center"/>
          </w:tcPr>
          <w:p w14:paraId="192C4A49" w14:textId="77777777" w:rsidR="00EB5913" w:rsidRPr="006623B9" w:rsidRDefault="00EB5913" w:rsidP="00F16E23">
            <w:pPr>
              <w:pStyle w:val="TableText"/>
              <w:spacing w:before="40" w:after="40"/>
            </w:pPr>
            <w:r w:rsidRPr="006623B9">
              <w:rPr>
                <w:rFonts w:eastAsia="Calibri"/>
              </w:rPr>
              <w:t>Total carbon content (%)</w:t>
            </w:r>
          </w:p>
        </w:tc>
        <w:tc>
          <w:tcPr>
            <w:tcW w:w="0" w:type="auto"/>
            <w:shd w:val="clear" w:color="auto" w:fill="FFFFFF"/>
            <w:tcMar>
              <w:top w:w="0" w:type="dxa"/>
              <w:left w:w="85" w:type="dxa"/>
              <w:bottom w:w="0" w:type="dxa"/>
              <w:right w:w="85" w:type="dxa"/>
            </w:tcMar>
            <w:vAlign w:val="center"/>
          </w:tcPr>
          <w:p w14:paraId="532A944E" w14:textId="77777777" w:rsidR="00EB5913" w:rsidRPr="006623B9" w:rsidRDefault="00EB5913" w:rsidP="00F16E23">
            <w:pPr>
              <w:pStyle w:val="TableText"/>
              <w:spacing w:before="40" w:after="40"/>
            </w:pPr>
            <w:r w:rsidRPr="006623B9">
              <w:rPr>
                <w:rFonts w:eastAsia="Calibri"/>
              </w:rPr>
              <w:t>44.8</w:t>
            </w:r>
          </w:p>
        </w:tc>
        <w:tc>
          <w:tcPr>
            <w:tcW w:w="0" w:type="auto"/>
            <w:shd w:val="clear" w:color="auto" w:fill="FFFFFF"/>
            <w:tcMar>
              <w:top w:w="0" w:type="dxa"/>
              <w:left w:w="85" w:type="dxa"/>
              <w:bottom w:w="0" w:type="dxa"/>
              <w:right w:w="85" w:type="dxa"/>
            </w:tcMar>
            <w:vAlign w:val="center"/>
          </w:tcPr>
          <w:p w14:paraId="2388609C" w14:textId="77777777" w:rsidR="00EB5913" w:rsidRPr="006623B9" w:rsidRDefault="00EB5913" w:rsidP="00F16E23">
            <w:pPr>
              <w:pStyle w:val="TableText"/>
              <w:spacing w:before="40" w:after="40"/>
            </w:pPr>
            <w:r w:rsidRPr="006623B9">
              <w:rPr>
                <w:rFonts w:eastAsia="Calibri"/>
              </w:rPr>
              <w:t>Calculated (see table 7.4.3)</w:t>
            </w:r>
          </w:p>
        </w:tc>
      </w:tr>
      <w:tr w:rsidR="00EB5913" w:rsidRPr="006623B9" w14:paraId="7DCFABA5" w14:textId="77777777" w:rsidTr="00F16E23">
        <w:tc>
          <w:tcPr>
            <w:tcW w:w="0" w:type="auto"/>
            <w:shd w:val="clear" w:color="auto" w:fill="FFFFFF"/>
            <w:tcMar>
              <w:top w:w="0" w:type="dxa"/>
              <w:left w:w="85" w:type="dxa"/>
              <w:bottom w:w="0" w:type="dxa"/>
              <w:right w:w="85" w:type="dxa"/>
            </w:tcMar>
            <w:vAlign w:val="center"/>
          </w:tcPr>
          <w:p w14:paraId="09CDE850" w14:textId="77777777" w:rsidR="00EB5913" w:rsidRPr="006623B9" w:rsidRDefault="00EB5913" w:rsidP="00F16E23">
            <w:pPr>
              <w:pStyle w:val="TableText"/>
              <w:spacing w:before="40" w:after="40"/>
            </w:pPr>
            <w:r w:rsidRPr="006623B9">
              <w:rPr>
                <w:rFonts w:eastAsia="Calibri"/>
              </w:rPr>
              <w:t>Fossil carbon content (%)</w:t>
            </w:r>
          </w:p>
        </w:tc>
        <w:tc>
          <w:tcPr>
            <w:tcW w:w="0" w:type="auto"/>
            <w:shd w:val="clear" w:color="auto" w:fill="FFFFFF"/>
            <w:tcMar>
              <w:top w:w="0" w:type="dxa"/>
              <w:left w:w="85" w:type="dxa"/>
              <w:bottom w:w="0" w:type="dxa"/>
              <w:right w:w="85" w:type="dxa"/>
            </w:tcMar>
            <w:vAlign w:val="center"/>
          </w:tcPr>
          <w:p w14:paraId="3B55FC5C" w14:textId="77777777" w:rsidR="00EB5913" w:rsidRPr="006623B9" w:rsidRDefault="00EB5913" w:rsidP="00F16E23">
            <w:pPr>
              <w:pStyle w:val="TableText"/>
              <w:spacing w:before="40" w:after="40"/>
            </w:pPr>
            <w:r w:rsidRPr="006623B9">
              <w:rPr>
                <w:rFonts w:eastAsia="Calibri"/>
              </w:rPr>
              <w:t>24.0</w:t>
            </w:r>
          </w:p>
        </w:tc>
        <w:tc>
          <w:tcPr>
            <w:tcW w:w="0" w:type="auto"/>
            <w:shd w:val="clear" w:color="auto" w:fill="FFFFFF"/>
            <w:tcMar>
              <w:top w:w="0" w:type="dxa"/>
              <w:left w:w="85" w:type="dxa"/>
              <w:bottom w:w="0" w:type="dxa"/>
              <w:right w:w="85" w:type="dxa"/>
            </w:tcMar>
            <w:vAlign w:val="center"/>
          </w:tcPr>
          <w:p w14:paraId="6CBF3135" w14:textId="77777777" w:rsidR="00EB5913" w:rsidRPr="006623B9" w:rsidRDefault="00EB5913" w:rsidP="00F16E23">
            <w:pPr>
              <w:pStyle w:val="TableText"/>
              <w:spacing w:before="40" w:after="40"/>
            </w:pPr>
            <w:r w:rsidRPr="006623B9">
              <w:rPr>
                <w:rFonts w:eastAsia="Calibri"/>
              </w:rPr>
              <w:t>Calculated (see table 7.4.3)</w:t>
            </w:r>
          </w:p>
        </w:tc>
      </w:tr>
      <w:tr w:rsidR="00EB5913" w:rsidRPr="006623B9" w14:paraId="5C431F7D" w14:textId="77777777" w:rsidTr="00F16E23">
        <w:tc>
          <w:tcPr>
            <w:tcW w:w="0" w:type="auto"/>
            <w:shd w:val="clear" w:color="auto" w:fill="FFFFFF"/>
            <w:tcMar>
              <w:top w:w="0" w:type="dxa"/>
              <w:left w:w="85" w:type="dxa"/>
              <w:bottom w:w="0" w:type="dxa"/>
              <w:right w:w="85" w:type="dxa"/>
            </w:tcMar>
            <w:vAlign w:val="center"/>
          </w:tcPr>
          <w:p w14:paraId="22F8E0A3" w14:textId="77777777" w:rsidR="00EB5913" w:rsidRPr="006623B9" w:rsidRDefault="00EB5913" w:rsidP="00F16E23">
            <w:pPr>
              <w:pStyle w:val="TableText"/>
              <w:spacing w:before="40" w:after="40"/>
            </w:pPr>
            <w:r w:rsidRPr="006623B9">
              <w:rPr>
                <w:rFonts w:eastAsia="Calibri"/>
              </w:rPr>
              <w:t>Oxidation factor (%)</w:t>
            </w:r>
          </w:p>
        </w:tc>
        <w:tc>
          <w:tcPr>
            <w:tcW w:w="0" w:type="auto"/>
            <w:shd w:val="clear" w:color="auto" w:fill="FFFFFF"/>
            <w:tcMar>
              <w:top w:w="0" w:type="dxa"/>
              <w:left w:w="85" w:type="dxa"/>
              <w:bottom w:w="0" w:type="dxa"/>
              <w:right w:w="85" w:type="dxa"/>
            </w:tcMar>
            <w:vAlign w:val="center"/>
          </w:tcPr>
          <w:p w14:paraId="40CEA542" w14:textId="77777777" w:rsidR="00EB5913" w:rsidRPr="006623B9" w:rsidRDefault="00EB5913" w:rsidP="00F16E23">
            <w:pPr>
              <w:pStyle w:val="TableText"/>
              <w:spacing w:before="40" w:after="40"/>
            </w:pPr>
            <w:r w:rsidRPr="006623B9">
              <w:rPr>
                <w:rFonts w:eastAsia="Calibri"/>
              </w:rPr>
              <w:t>71</w:t>
            </w:r>
          </w:p>
        </w:tc>
        <w:tc>
          <w:tcPr>
            <w:tcW w:w="0" w:type="auto"/>
            <w:shd w:val="clear" w:color="auto" w:fill="FFFFFF"/>
            <w:tcMar>
              <w:top w:w="0" w:type="dxa"/>
              <w:left w:w="85" w:type="dxa"/>
              <w:bottom w:w="0" w:type="dxa"/>
              <w:right w:w="85" w:type="dxa"/>
            </w:tcMar>
            <w:vAlign w:val="center"/>
          </w:tcPr>
          <w:p w14:paraId="52A698DC" w14:textId="77777777" w:rsidR="00EB5913" w:rsidRPr="006623B9" w:rsidRDefault="00EB5913" w:rsidP="00F16E23">
            <w:pPr>
              <w:pStyle w:val="TableText"/>
              <w:spacing w:before="40" w:after="40"/>
            </w:pPr>
            <w:r w:rsidRPr="006623B9">
              <w:rPr>
                <w:rFonts w:eastAsia="Calibri"/>
              </w:rPr>
              <w:t>IPCC default</w:t>
            </w:r>
          </w:p>
        </w:tc>
      </w:tr>
      <w:tr w:rsidR="00EB5913" w:rsidRPr="006623B9" w14:paraId="5010B4E8" w14:textId="77777777" w:rsidTr="00F16E23">
        <w:tc>
          <w:tcPr>
            <w:tcW w:w="0" w:type="auto"/>
            <w:shd w:val="clear" w:color="auto" w:fill="FFFFFF"/>
            <w:tcMar>
              <w:top w:w="0" w:type="dxa"/>
              <w:left w:w="85" w:type="dxa"/>
              <w:bottom w:w="0" w:type="dxa"/>
              <w:right w:w="85" w:type="dxa"/>
            </w:tcMar>
            <w:vAlign w:val="center"/>
          </w:tcPr>
          <w:p w14:paraId="161BEA03" w14:textId="77777777" w:rsidR="00EB5913" w:rsidRPr="006623B9" w:rsidRDefault="00EB5913" w:rsidP="00F16E23">
            <w:pPr>
              <w:pStyle w:val="TableText"/>
              <w:spacing w:before="40" w:after="40"/>
            </w:pPr>
            <w:r w:rsidRPr="006623B9">
              <w:rPr>
                <w:rFonts w:eastAsia="Calibri"/>
              </w:rPr>
              <w:t>Conversion factor</w:t>
            </w:r>
          </w:p>
        </w:tc>
        <w:tc>
          <w:tcPr>
            <w:tcW w:w="0" w:type="auto"/>
            <w:shd w:val="clear" w:color="auto" w:fill="FFFFFF"/>
            <w:tcMar>
              <w:top w:w="0" w:type="dxa"/>
              <w:left w:w="85" w:type="dxa"/>
              <w:bottom w:w="0" w:type="dxa"/>
              <w:right w:w="85" w:type="dxa"/>
            </w:tcMar>
            <w:vAlign w:val="center"/>
          </w:tcPr>
          <w:p w14:paraId="47ED2245" w14:textId="77777777" w:rsidR="00EB5913" w:rsidRPr="006623B9" w:rsidRDefault="00EB5913" w:rsidP="00F16E23">
            <w:pPr>
              <w:pStyle w:val="TableText"/>
              <w:spacing w:before="40" w:after="40"/>
            </w:pPr>
            <w:r w:rsidRPr="006623B9">
              <w:rPr>
                <w:rFonts w:eastAsia="Calibri"/>
              </w:rPr>
              <w:t>44/12</w:t>
            </w:r>
          </w:p>
        </w:tc>
        <w:tc>
          <w:tcPr>
            <w:tcW w:w="0" w:type="auto"/>
            <w:shd w:val="clear" w:color="auto" w:fill="FFFFFF"/>
            <w:tcMar>
              <w:top w:w="0" w:type="dxa"/>
              <w:left w:w="85" w:type="dxa"/>
              <w:bottom w:w="0" w:type="dxa"/>
              <w:right w:w="85" w:type="dxa"/>
            </w:tcMar>
            <w:vAlign w:val="center"/>
          </w:tcPr>
          <w:p w14:paraId="6F489F35" w14:textId="77777777" w:rsidR="00EB5913" w:rsidRPr="006623B9" w:rsidRDefault="00EB5913" w:rsidP="00F16E23">
            <w:pPr>
              <w:pStyle w:val="TableText"/>
              <w:spacing w:before="40" w:after="40"/>
            </w:pPr>
          </w:p>
        </w:tc>
      </w:tr>
      <w:tr w:rsidR="00EB5913" w:rsidRPr="006623B9" w14:paraId="22C411A3" w14:textId="77777777" w:rsidTr="00F16E23">
        <w:tc>
          <w:tcPr>
            <w:tcW w:w="0" w:type="auto"/>
            <w:shd w:val="clear" w:color="auto" w:fill="FFFFFF"/>
            <w:tcMar>
              <w:top w:w="0" w:type="dxa"/>
              <w:left w:w="85" w:type="dxa"/>
              <w:bottom w:w="0" w:type="dxa"/>
              <w:right w:w="85" w:type="dxa"/>
            </w:tcMar>
            <w:vAlign w:val="center"/>
          </w:tcPr>
          <w:p w14:paraId="2BF8FD7A" w14:textId="77777777" w:rsidR="00EB5913" w:rsidRPr="006623B9" w:rsidRDefault="00EB5913" w:rsidP="00F16E23">
            <w:pPr>
              <w:pStyle w:val="Tableboldblue"/>
              <w:spacing w:before="40" w:after="40"/>
            </w:pPr>
            <w:r w:rsidRPr="006623B9">
              <w:t>Other gases</w:t>
            </w:r>
          </w:p>
        </w:tc>
        <w:tc>
          <w:tcPr>
            <w:tcW w:w="0" w:type="auto"/>
            <w:shd w:val="clear" w:color="auto" w:fill="FFFFFF"/>
            <w:tcMar>
              <w:top w:w="0" w:type="dxa"/>
              <w:left w:w="85" w:type="dxa"/>
              <w:bottom w:w="0" w:type="dxa"/>
              <w:right w:w="85" w:type="dxa"/>
            </w:tcMar>
            <w:vAlign w:val="center"/>
          </w:tcPr>
          <w:p w14:paraId="0A20F8F5" w14:textId="77777777" w:rsidR="00EB5913" w:rsidRPr="006623B9" w:rsidRDefault="00EB5913" w:rsidP="00F16E23">
            <w:pPr>
              <w:pStyle w:val="Tableboldblue"/>
              <w:spacing w:before="40" w:after="40"/>
            </w:pPr>
          </w:p>
        </w:tc>
        <w:tc>
          <w:tcPr>
            <w:tcW w:w="0" w:type="auto"/>
            <w:shd w:val="clear" w:color="auto" w:fill="FFFFFF"/>
            <w:tcMar>
              <w:top w:w="0" w:type="dxa"/>
              <w:left w:w="85" w:type="dxa"/>
              <w:bottom w:w="0" w:type="dxa"/>
              <w:right w:w="85" w:type="dxa"/>
            </w:tcMar>
            <w:vAlign w:val="center"/>
          </w:tcPr>
          <w:p w14:paraId="2DFB74FE" w14:textId="77777777" w:rsidR="00EB5913" w:rsidRPr="006623B9" w:rsidRDefault="00EB5913" w:rsidP="00F16E23">
            <w:pPr>
              <w:pStyle w:val="Tableboldblue"/>
              <w:spacing w:before="40" w:after="40"/>
            </w:pPr>
          </w:p>
        </w:tc>
      </w:tr>
      <w:tr w:rsidR="00EB5913" w:rsidRPr="006623B9" w14:paraId="25B909B8" w14:textId="77777777" w:rsidTr="00F16E23">
        <w:tc>
          <w:tcPr>
            <w:tcW w:w="0" w:type="auto"/>
            <w:shd w:val="clear" w:color="auto" w:fill="FFFFFF"/>
            <w:tcMar>
              <w:top w:w="0" w:type="dxa"/>
              <w:left w:w="85" w:type="dxa"/>
              <w:bottom w:w="0" w:type="dxa"/>
              <w:right w:w="85" w:type="dxa"/>
            </w:tcMar>
            <w:vAlign w:val="center"/>
          </w:tcPr>
          <w:p w14:paraId="56E55A21" w14:textId="77777777" w:rsidR="00EB5913" w:rsidRPr="006623B9" w:rsidRDefault="00EB5913" w:rsidP="00F16E23">
            <w:pPr>
              <w:pStyle w:val="TableText"/>
              <w:spacing w:before="40" w:after="40"/>
            </w:pPr>
            <w:r w:rsidRPr="006623B9">
              <w:rPr>
                <w:rFonts w:eastAsia="Calibri"/>
              </w:rPr>
              <w:t>Methane emission factor (kg/kt wet waste)</w:t>
            </w:r>
          </w:p>
        </w:tc>
        <w:tc>
          <w:tcPr>
            <w:tcW w:w="0" w:type="auto"/>
            <w:shd w:val="clear" w:color="auto" w:fill="FFFFFF"/>
            <w:tcMar>
              <w:top w:w="0" w:type="dxa"/>
              <w:left w:w="85" w:type="dxa"/>
              <w:bottom w:w="0" w:type="dxa"/>
              <w:right w:w="85" w:type="dxa"/>
            </w:tcMar>
            <w:vAlign w:val="center"/>
          </w:tcPr>
          <w:p w14:paraId="37BF7B81" w14:textId="77777777" w:rsidR="00EB5913" w:rsidRPr="006623B9" w:rsidRDefault="00EB5913" w:rsidP="00F16E23">
            <w:pPr>
              <w:pStyle w:val="TableText"/>
              <w:spacing w:before="40" w:after="40"/>
            </w:pPr>
            <w:r w:rsidRPr="006623B9">
              <w:rPr>
                <w:rFonts w:eastAsia="Calibri"/>
              </w:rPr>
              <w:t>6,500</w:t>
            </w:r>
          </w:p>
        </w:tc>
        <w:tc>
          <w:tcPr>
            <w:tcW w:w="0" w:type="auto"/>
            <w:shd w:val="clear" w:color="auto" w:fill="FFFFFF"/>
            <w:tcMar>
              <w:top w:w="0" w:type="dxa"/>
              <w:left w:w="85" w:type="dxa"/>
              <w:bottom w:w="0" w:type="dxa"/>
              <w:right w:w="85" w:type="dxa"/>
            </w:tcMar>
            <w:vAlign w:val="center"/>
          </w:tcPr>
          <w:p w14:paraId="47F1E3B2" w14:textId="77777777" w:rsidR="00EB5913" w:rsidRPr="006623B9" w:rsidRDefault="00EB5913" w:rsidP="00F16E23">
            <w:pPr>
              <w:pStyle w:val="TableText"/>
              <w:spacing w:before="40" w:after="40"/>
            </w:pPr>
            <w:r w:rsidRPr="006623B9">
              <w:rPr>
                <w:rFonts w:eastAsia="Calibri"/>
              </w:rPr>
              <w:t>IPCC default</w:t>
            </w:r>
          </w:p>
        </w:tc>
      </w:tr>
      <w:tr w:rsidR="00EB5913" w:rsidRPr="006623B9" w14:paraId="1B634D2A" w14:textId="77777777" w:rsidTr="00F16E23">
        <w:tc>
          <w:tcPr>
            <w:tcW w:w="0" w:type="auto"/>
            <w:shd w:val="clear" w:color="auto" w:fill="FFFFFF"/>
            <w:tcMar>
              <w:top w:w="0" w:type="dxa"/>
              <w:left w:w="85" w:type="dxa"/>
              <w:bottom w:w="0" w:type="dxa"/>
              <w:right w:w="85" w:type="dxa"/>
            </w:tcMar>
            <w:vAlign w:val="center"/>
          </w:tcPr>
          <w:p w14:paraId="46B69A74" w14:textId="77777777" w:rsidR="00EB5913" w:rsidRPr="006623B9" w:rsidRDefault="00EB5913" w:rsidP="00F16E23">
            <w:pPr>
              <w:pStyle w:val="TableText"/>
              <w:spacing w:before="40" w:after="40"/>
            </w:pPr>
            <w:r w:rsidRPr="006623B9">
              <w:rPr>
                <w:rFonts w:eastAsia="Calibri"/>
              </w:rPr>
              <w:t>Nitrous oxide emission factor (kg/kt dry waste)</w:t>
            </w:r>
          </w:p>
        </w:tc>
        <w:tc>
          <w:tcPr>
            <w:tcW w:w="0" w:type="auto"/>
            <w:shd w:val="clear" w:color="auto" w:fill="FFFFFF"/>
            <w:tcMar>
              <w:top w:w="0" w:type="dxa"/>
              <w:left w:w="85" w:type="dxa"/>
              <w:bottom w:w="0" w:type="dxa"/>
              <w:right w:w="85" w:type="dxa"/>
            </w:tcMar>
            <w:vAlign w:val="center"/>
          </w:tcPr>
          <w:p w14:paraId="66504056" w14:textId="77777777" w:rsidR="00EB5913" w:rsidRPr="006623B9" w:rsidRDefault="00EB5913" w:rsidP="00F16E23">
            <w:pPr>
              <w:pStyle w:val="TableText"/>
              <w:spacing w:before="40" w:after="40"/>
            </w:pPr>
            <w:r w:rsidRPr="006623B9">
              <w:rPr>
                <w:rFonts w:eastAsia="Calibri"/>
              </w:rPr>
              <w:t>150</w:t>
            </w:r>
          </w:p>
        </w:tc>
        <w:tc>
          <w:tcPr>
            <w:tcW w:w="0" w:type="auto"/>
            <w:shd w:val="clear" w:color="auto" w:fill="FFFFFF"/>
            <w:tcMar>
              <w:top w:w="0" w:type="dxa"/>
              <w:left w:w="85" w:type="dxa"/>
              <w:bottom w:w="0" w:type="dxa"/>
              <w:right w:w="85" w:type="dxa"/>
            </w:tcMar>
            <w:vAlign w:val="center"/>
          </w:tcPr>
          <w:p w14:paraId="2FC1082C" w14:textId="77777777" w:rsidR="00EB5913" w:rsidRPr="006623B9" w:rsidRDefault="00EB5913" w:rsidP="00F16E23">
            <w:pPr>
              <w:pStyle w:val="TableText"/>
              <w:spacing w:before="40" w:after="40"/>
            </w:pPr>
            <w:r w:rsidRPr="006623B9">
              <w:rPr>
                <w:rFonts w:eastAsia="Calibri"/>
              </w:rPr>
              <w:t>IPCC default</w:t>
            </w:r>
          </w:p>
        </w:tc>
      </w:tr>
    </w:tbl>
    <w:p w14:paraId="4B93FB2E" w14:textId="77777777" w:rsidR="00EB5913" w:rsidRPr="006623B9" w:rsidRDefault="00EB5913" w:rsidP="00EB5913">
      <w:pPr>
        <w:pStyle w:val="BodyText"/>
        <w:spacing w:before="240"/>
      </w:pPr>
      <w:r w:rsidRPr="006623B9">
        <w:t>To calculate N</w:t>
      </w:r>
      <w:r w:rsidRPr="006623B9">
        <w:rPr>
          <w:vertAlign w:val="subscript"/>
        </w:rPr>
        <w:t>2</w:t>
      </w:r>
      <w:r w:rsidRPr="006623B9">
        <w:t>O emissions, the activity data are converted using the weighted average dry‑matter content in table 7.4.3 because the default emission factor is presented in terms of dry waste.</w:t>
      </w:r>
    </w:p>
    <w:p w14:paraId="0717F306" w14:textId="77777777" w:rsidR="00EB5913" w:rsidRPr="006623B9" w:rsidRDefault="00EB5913" w:rsidP="00EB5913">
      <w:pPr>
        <w:pStyle w:val="Heading3"/>
      </w:pPr>
      <w:bookmarkStart w:id="3085" w:name="X78736684ec91b7fbd49bd3f7f851a6f0fbe0364"/>
      <w:bookmarkEnd w:id="3071"/>
      <w:bookmarkEnd w:id="3080"/>
      <w:bookmarkEnd w:id="3083"/>
      <w:r w:rsidRPr="006623B9">
        <w:t>7.4.3 Uncertainty assessment and time-series consistency</w:t>
      </w:r>
    </w:p>
    <w:p w14:paraId="3CD2E274" w14:textId="77777777" w:rsidR="00EB5913" w:rsidRPr="006623B9" w:rsidRDefault="00EB5913" w:rsidP="00EB5913">
      <w:pPr>
        <w:pStyle w:val="Heading4"/>
        <w:spacing w:before="180"/>
      </w:pPr>
      <w:bookmarkStart w:id="3086" w:name="uncertainties-3"/>
      <w:r w:rsidRPr="006623B9">
        <w:t>Uncertainties</w:t>
      </w:r>
    </w:p>
    <w:p w14:paraId="01465B9A" w14:textId="77777777" w:rsidR="00EB5913" w:rsidRPr="006623B9" w:rsidRDefault="00EB5913" w:rsidP="00EB5913">
      <w:pPr>
        <w:pStyle w:val="BodyText"/>
        <w:spacing w:before="100" w:after="100"/>
      </w:pPr>
      <w:r w:rsidRPr="006623B9">
        <w:t>Consistent with the IPCC recommendation for uncertainties relating to activity data (IPCC, 2006a), estimated uncertainty for the amount of wet waste incinerated ranges from ±10 percent to ±50 percent, and uncertainty of ±50 percent is applied (see table 7.4.6).</w:t>
      </w:r>
    </w:p>
    <w:p w14:paraId="0334E629" w14:textId="77777777" w:rsidR="00EB5913" w:rsidRPr="006623B9" w:rsidRDefault="00EB5913" w:rsidP="00EB5913">
      <w:pPr>
        <w:pStyle w:val="BodyText"/>
        <w:spacing w:before="100" w:after="100"/>
      </w:pPr>
      <w:r w:rsidRPr="006623B9">
        <w:t>The data collected for the composition of waste are not detailed. Therefore, following the recommendation for uncertainties relating to emission factors (IPCC, 2006a), the estimated uncertainty for default CO</w:t>
      </w:r>
      <w:r w:rsidRPr="006623B9">
        <w:rPr>
          <w:vertAlign w:val="subscript"/>
        </w:rPr>
        <w:t>2</w:t>
      </w:r>
      <w:r w:rsidRPr="006623B9">
        <w:t xml:space="preserve"> factors is ±40 percent. Default factors used in the calculation of CH</w:t>
      </w:r>
      <w:r w:rsidRPr="006623B9">
        <w:rPr>
          <w:vertAlign w:val="subscript"/>
        </w:rPr>
        <w:t>4</w:t>
      </w:r>
      <w:r w:rsidRPr="006623B9">
        <w:t> and N</w:t>
      </w:r>
      <w:r w:rsidRPr="006623B9">
        <w:rPr>
          <w:vertAlign w:val="subscript"/>
        </w:rPr>
        <w:t>2</w:t>
      </w:r>
      <w:r w:rsidRPr="006623B9">
        <w:t>O emissions have a much higher uncertainty (IPCC, 2006a); for this reason, the estimated uncertainty for default CH</w:t>
      </w:r>
      <w:r w:rsidRPr="006623B9">
        <w:rPr>
          <w:vertAlign w:val="subscript"/>
        </w:rPr>
        <w:t>4</w:t>
      </w:r>
      <w:r w:rsidRPr="006623B9">
        <w:t xml:space="preserve"> and N</w:t>
      </w:r>
      <w:r w:rsidRPr="006623B9">
        <w:rPr>
          <w:vertAlign w:val="subscript"/>
        </w:rPr>
        <w:t>2</w:t>
      </w:r>
      <w:r w:rsidRPr="006623B9">
        <w:t>O factors is ±100 percent.</w:t>
      </w:r>
    </w:p>
    <w:p w14:paraId="1F6E63C0" w14:textId="77777777" w:rsidR="00EB5913" w:rsidRPr="006623B9" w:rsidRDefault="00EB5913" w:rsidP="00EB5913">
      <w:pPr>
        <w:pStyle w:val="Table"/>
      </w:pPr>
      <w:bookmarkStart w:id="3087" w:name="_Toc226669119"/>
      <w:r w:rsidRPr="006623B9">
        <w:t xml:space="preserve">Table 7.4.6 </w:t>
      </w:r>
      <w:r w:rsidRPr="006623B9">
        <w:tab/>
        <w:t xml:space="preserve">Uncertainty in emissions from </w:t>
      </w:r>
      <w:r w:rsidRPr="006623B9">
        <w:rPr>
          <w:i/>
          <w:iCs/>
        </w:rPr>
        <w:t>Incineration and open burning of waste</w:t>
      </w:r>
      <w:bookmarkEnd w:id="308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84"/>
        <w:gridCol w:w="2460"/>
        <w:gridCol w:w="2750"/>
      </w:tblGrid>
      <w:tr w:rsidR="00EB5913" w:rsidRPr="006623B9" w14:paraId="2BDB33F8" w14:textId="77777777" w:rsidTr="00F16E23">
        <w:trPr>
          <w:tblHeader/>
        </w:trPr>
        <w:tc>
          <w:tcPr>
            <w:tcW w:w="0" w:type="auto"/>
            <w:shd w:val="clear" w:color="auto" w:fill="1B556B"/>
            <w:tcMar>
              <w:top w:w="0" w:type="dxa"/>
              <w:left w:w="85" w:type="dxa"/>
              <w:bottom w:w="0" w:type="dxa"/>
              <w:right w:w="85" w:type="dxa"/>
            </w:tcMar>
            <w:vAlign w:val="center"/>
          </w:tcPr>
          <w:p w14:paraId="68F58C35" w14:textId="77777777" w:rsidR="00EB5913" w:rsidRPr="006623B9" w:rsidRDefault="00EB5913" w:rsidP="00F16E23">
            <w:pPr>
              <w:pStyle w:val="TableTextBold"/>
              <w:spacing w:before="40" w:after="40"/>
              <w:rPr>
                <w:noProof w:val="0"/>
                <w:color w:val="FFFFFF" w:themeColor="background1"/>
              </w:rPr>
            </w:pPr>
            <w:r w:rsidRPr="006623B9">
              <w:rPr>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2F10BB70" w14:textId="77777777" w:rsidR="00EB5913" w:rsidRPr="006623B9" w:rsidRDefault="00EB5913" w:rsidP="00F16E23">
            <w:pPr>
              <w:pStyle w:val="TableTextBold"/>
              <w:spacing w:before="40" w:after="40"/>
              <w:jc w:val="right"/>
              <w:rPr>
                <w:noProof w:val="0"/>
                <w:color w:val="FFFFFF" w:themeColor="background1"/>
              </w:rPr>
            </w:pPr>
            <w:r w:rsidRPr="006623B9">
              <w:rPr>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2FF38251" w14:textId="77777777" w:rsidR="00EB5913" w:rsidRPr="006623B9" w:rsidRDefault="00EB5913" w:rsidP="00F16E23">
            <w:pPr>
              <w:pStyle w:val="TableTextBold"/>
              <w:spacing w:before="40" w:after="40"/>
              <w:jc w:val="right"/>
              <w:rPr>
                <w:noProof w:val="0"/>
                <w:color w:val="FFFFFF" w:themeColor="background1"/>
              </w:rPr>
            </w:pPr>
            <w:r w:rsidRPr="006623B9">
              <w:rPr>
                <w:noProof w:val="0"/>
                <w:color w:val="FFFFFF" w:themeColor="background1"/>
              </w:rPr>
              <w:t>Uncertainty in emission factors (%)</w:t>
            </w:r>
          </w:p>
        </w:tc>
      </w:tr>
      <w:tr w:rsidR="00EB5913" w:rsidRPr="006623B9" w14:paraId="6863C4FA" w14:textId="77777777" w:rsidTr="00F16E23">
        <w:tc>
          <w:tcPr>
            <w:tcW w:w="0" w:type="auto"/>
            <w:shd w:val="clear" w:color="auto" w:fill="FFFFFF"/>
            <w:tcMar>
              <w:top w:w="0" w:type="dxa"/>
              <w:left w:w="85" w:type="dxa"/>
              <w:bottom w:w="0" w:type="dxa"/>
              <w:right w:w="85" w:type="dxa"/>
            </w:tcMar>
            <w:vAlign w:val="center"/>
          </w:tcPr>
          <w:p w14:paraId="13658311" w14:textId="77777777" w:rsidR="00EB5913" w:rsidRPr="006623B9" w:rsidRDefault="00EB5913" w:rsidP="00F16E23">
            <w:pPr>
              <w:pStyle w:val="TableText"/>
              <w:spacing w:before="40" w:after="40"/>
            </w:pPr>
            <w:r w:rsidRPr="006623B9">
              <w:rPr>
                <w:rFonts w:eastAsia="Calibri"/>
                <w:i/>
                <w:iCs/>
              </w:rPr>
              <w:t>Waste incineration and open burning</w:t>
            </w:r>
            <w:r w:rsidRPr="006623B9">
              <w:rPr>
                <w:rFonts w:eastAsia="Calibri"/>
              </w:rPr>
              <w:t xml:space="preserve"> (CO₂)</w:t>
            </w:r>
          </w:p>
        </w:tc>
        <w:tc>
          <w:tcPr>
            <w:tcW w:w="0" w:type="auto"/>
            <w:shd w:val="clear" w:color="auto" w:fill="FFFFFF"/>
            <w:tcMar>
              <w:top w:w="0" w:type="dxa"/>
              <w:left w:w="85" w:type="dxa"/>
              <w:bottom w:w="0" w:type="dxa"/>
              <w:right w:w="85" w:type="dxa"/>
            </w:tcMar>
            <w:vAlign w:val="center"/>
          </w:tcPr>
          <w:p w14:paraId="3861F213"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85" w:type="dxa"/>
              <w:bottom w:w="0" w:type="dxa"/>
              <w:right w:w="85" w:type="dxa"/>
            </w:tcMar>
            <w:vAlign w:val="center"/>
          </w:tcPr>
          <w:p w14:paraId="2090A702" w14:textId="77777777" w:rsidR="00EB5913" w:rsidRPr="006623B9" w:rsidRDefault="00EB5913" w:rsidP="00F16E23">
            <w:pPr>
              <w:pStyle w:val="TableText"/>
              <w:spacing w:before="40" w:after="40"/>
              <w:jc w:val="right"/>
            </w:pPr>
            <w:r w:rsidRPr="006623B9">
              <w:rPr>
                <w:rFonts w:eastAsia="Calibri"/>
              </w:rPr>
              <w:t>±40</w:t>
            </w:r>
          </w:p>
        </w:tc>
      </w:tr>
      <w:tr w:rsidR="00EB5913" w:rsidRPr="006623B9" w14:paraId="3C366716" w14:textId="77777777" w:rsidTr="00F16E23">
        <w:tc>
          <w:tcPr>
            <w:tcW w:w="0" w:type="auto"/>
            <w:shd w:val="clear" w:color="auto" w:fill="FFFFFF"/>
            <w:tcMar>
              <w:top w:w="0" w:type="dxa"/>
              <w:left w:w="85" w:type="dxa"/>
              <w:bottom w:w="0" w:type="dxa"/>
              <w:right w:w="85" w:type="dxa"/>
            </w:tcMar>
            <w:vAlign w:val="center"/>
          </w:tcPr>
          <w:p w14:paraId="56888F13" w14:textId="77777777" w:rsidR="00EB5913" w:rsidRPr="006623B9" w:rsidRDefault="00EB5913" w:rsidP="00F16E23">
            <w:pPr>
              <w:pStyle w:val="TableText"/>
              <w:spacing w:before="40" w:after="40"/>
            </w:pPr>
            <w:r w:rsidRPr="006623B9">
              <w:rPr>
                <w:rFonts w:eastAsia="Calibri"/>
                <w:i/>
                <w:iCs/>
              </w:rPr>
              <w:t>Waste incineration and open burning</w:t>
            </w:r>
            <w:r w:rsidRPr="006623B9">
              <w:rPr>
                <w:rFonts w:eastAsia="Calibri"/>
              </w:rPr>
              <w:t xml:space="preserve"> (CH₄)</w:t>
            </w:r>
          </w:p>
        </w:tc>
        <w:tc>
          <w:tcPr>
            <w:tcW w:w="0" w:type="auto"/>
            <w:shd w:val="clear" w:color="auto" w:fill="FFFFFF"/>
            <w:tcMar>
              <w:top w:w="0" w:type="dxa"/>
              <w:left w:w="85" w:type="dxa"/>
              <w:bottom w:w="0" w:type="dxa"/>
              <w:right w:w="85" w:type="dxa"/>
            </w:tcMar>
            <w:vAlign w:val="center"/>
          </w:tcPr>
          <w:p w14:paraId="4FE5A717"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85" w:type="dxa"/>
              <w:bottom w:w="0" w:type="dxa"/>
              <w:right w:w="85" w:type="dxa"/>
            </w:tcMar>
            <w:vAlign w:val="center"/>
          </w:tcPr>
          <w:p w14:paraId="3847F95E" w14:textId="77777777" w:rsidR="00EB5913" w:rsidRPr="006623B9" w:rsidRDefault="00EB5913" w:rsidP="00F16E23">
            <w:pPr>
              <w:pStyle w:val="TableText"/>
              <w:spacing w:before="40" w:after="40"/>
              <w:jc w:val="right"/>
            </w:pPr>
            <w:r w:rsidRPr="006623B9">
              <w:rPr>
                <w:rFonts w:eastAsia="Calibri"/>
              </w:rPr>
              <w:t>±100</w:t>
            </w:r>
          </w:p>
        </w:tc>
      </w:tr>
      <w:tr w:rsidR="00EB5913" w:rsidRPr="006623B9" w14:paraId="3B161A95" w14:textId="77777777" w:rsidTr="00F16E23">
        <w:tc>
          <w:tcPr>
            <w:tcW w:w="0" w:type="auto"/>
            <w:shd w:val="clear" w:color="auto" w:fill="FFFFFF"/>
            <w:tcMar>
              <w:top w:w="0" w:type="dxa"/>
              <w:left w:w="85" w:type="dxa"/>
              <w:bottom w:w="0" w:type="dxa"/>
              <w:right w:w="85" w:type="dxa"/>
            </w:tcMar>
            <w:vAlign w:val="center"/>
          </w:tcPr>
          <w:p w14:paraId="0E1D8BF7" w14:textId="77777777" w:rsidR="00EB5913" w:rsidRPr="006623B9" w:rsidRDefault="00EB5913" w:rsidP="00F16E23">
            <w:pPr>
              <w:pStyle w:val="TableText"/>
              <w:spacing w:before="40" w:after="40"/>
            </w:pPr>
            <w:r w:rsidRPr="006623B9">
              <w:rPr>
                <w:rFonts w:eastAsia="Calibri"/>
                <w:i/>
                <w:iCs/>
              </w:rPr>
              <w:t>Waste incineration and open burning</w:t>
            </w:r>
            <w:r w:rsidRPr="006623B9">
              <w:rPr>
                <w:rFonts w:eastAsia="Calibri"/>
              </w:rPr>
              <w:t xml:space="preserve"> (N₂O)</w:t>
            </w:r>
          </w:p>
        </w:tc>
        <w:tc>
          <w:tcPr>
            <w:tcW w:w="0" w:type="auto"/>
            <w:shd w:val="clear" w:color="auto" w:fill="FFFFFF"/>
            <w:tcMar>
              <w:top w:w="0" w:type="dxa"/>
              <w:left w:w="85" w:type="dxa"/>
              <w:bottom w:w="0" w:type="dxa"/>
              <w:right w:w="85" w:type="dxa"/>
            </w:tcMar>
            <w:vAlign w:val="center"/>
          </w:tcPr>
          <w:p w14:paraId="1E8F3576" w14:textId="77777777" w:rsidR="00EB5913" w:rsidRPr="006623B9" w:rsidRDefault="00EB5913" w:rsidP="00F16E23">
            <w:pPr>
              <w:pStyle w:val="TableText"/>
              <w:spacing w:before="40" w:after="40"/>
              <w:jc w:val="right"/>
            </w:pPr>
            <w:r w:rsidRPr="006623B9">
              <w:rPr>
                <w:rFonts w:eastAsia="Calibri"/>
              </w:rPr>
              <w:t>±50</w:t>
            </w:r>
          </w:p>
        </w:tc>
        <w:tc>
          <w:tcPr>
            <w:tcW w:w="0" w:type="auto"/>
            <w:shd w:val="clear" w:color="auto" w:fill="FFFFFF"/>
            <w:tcMar>
              <w:top w:w="0" w:type="dxa"/>
              <w:left w:w="85" w:type="dxa"/>
              <w:bottom w:w="0" w:type="dxa"/>
              <w:right w:w="85" w:type="dxa"/>
            </w:tcMar>
            <w:vAlign w:val="center"/>
          </w:tcPr>
          <w:p w14:paraId="7702A237" w14:textId="77777777" w:rsidR="00EB5913" w:rsidRPr="006623B9" w:rsidRDefault="00EB5913" w:rsidP="00F16E23">
            <w:pPr>
              <w:pStyle w:val="TableText"/>
              <w:spacing w:before="40" w:after="40"/>
              <w:jc w:val="right"/>
            </w:pPr>
            <w:r w:rsidRPr="006623B9">
              <w:rPr>
                <w:rFonts w:eastAsia="Calibri"/>
              </w:rPr>
              <w:t>±100</w:t>
            </w:r>
          </w:p>
        </w:tc>
      </w:tr>
    </w:tbl>
    <w:p w14:paraId="5A0690AE" w14:textId="77777777" w:rsidR="00EB5913" w:rsidRPr="006623B9" w:rsidRDefault="00EB5913" w:rsidP="00EB5913">
      <w:pPr>
        <w:pStyle w:val="Heading4"/>
        <w:spacing w:before="400"/>
      </w:pPr>
      <w:bookmarkStart w:id="3088" w:name="time-series-consistency-2"/>
      <w:bookmarkEnd w:id="3086"/>
      <w:r w:rsidRPr="006623B9">
        <w:t>Time-series consistency</w:t>
      </w:r>
    </w:p>
    <w:p w14:paraId="48E95926" w14:textId="77777777" w:rsidR="00EB5913" w:rsidRPr="006623B9" w:rsidRDefault="00EB5913" w:rsidP="00EB5913">
      <w:pPr>
        <w:pStyle w:val="BodyText"/>
        <w:spacing w:before="100" w:after="100"/>
      </w:pPr>
      <w:r w:rsidRPr="006623B9">
        <w:t>Time-series consistency is ensured by the use of consistent models and parameters across the period. Where changes to methodologies or emission factors have occurred, a full time-series recalculation is conducted.</w:t>
      </w:r>
    </w:p>
    <w:p w14:paraId="3B0DDCE6" w14:textId="77777777" w:rsidR="00EB5913" w:rsidRPr="006623B9" w:rsidRDefault="00EB5913" w:rsidP="00EB5913">
      <w:pPr>
        <w:pStyle w:val="Heading3"/>
      </w:pPr>
      <w:bookmarkStart w:id="3089" w:name="Xe4347421cfe7809aeeb148783aa8997fbdcb635"/>
      <w:bookmarkEnd w:id="3085"/>
      <w:bookmarkEnd w:id="3088"/>
      <w:r w:rsidRPr="006623B9">
        <w:t xml:space="preserve">7.4.4 </w:t>
      </w:r>
      <w:r w:rsidRPr="006623B9">
        <w:tab/>
        <w:t>Category-specific QA/QC and verification</w:t>
      </w:r>
    </w:p>
    <w:p w14:paraId="1DE03215" w14:textId="77777777" w:rsidR="00EB5913" w:rsidRPr="006623B9" w:rsidRDefault="00EB5913" w:rsidP="00EB5913">
      <w:pPr>
        <w:pStyle w:val="BodyText"/>
        <w:spacing w:before="100" w:after="100"/>
      </w:pPr>
      <w:r w:rsidRPr="006623B9">
        <w:t xml:space="preserve">Quality-assurance and quality-control checks are carried out where possible. Detailed quality-assurance and quality-control efforts for the Waste sector focus on the </w:t>
      </w:r>
      <w:r w:rsidRPr="006623B9">
        <w:rPr>
          <w:i/>
          <w:iCs/>
        </w:rPr>
        <w:t>Solid waste disposal</w:t>
      </w:r>
      <w:r w:rsidRPr="006623B9">
        <w:t xml:space="preserve"> to land and </w:t>
      </w:r>
      <w:r w:rsidRPr="006623B9">
        <w:rPr>
          <w:i/>
          <w:iCs/>
        </w:rPr>
        <w:t>Wastewater treatment and discharge</w:t>
      </w:r>
      <w:r w:rsidRPr="006623B9">
        <w:t xml:space="preserve"> categories. Activity data for the </w:t>
      </w:r>
      <w:r w:rsidRPr="006623B9">
        <w:rPr>
          <w:i/>
          <w:iCs/>
        </w:rPr>
        <w:t>Open burning of waste</w:t>
      </w:r>
      <w:r w:rsidRPr="006623B9">
        <w:t xml:space="preserve"> category are derived from the landfill data.</w:t>
      </w:r>
    </w:p>
    <w:p w14:paraId="3CEE10E4" w14:textId="77777777" w:rsidR="00EB5913" w:rsidRPr="006623B9" w:rsidRDefault="00EB5913" w:rsidP="00EB5913">
      <w:pPr>
        <w:pStyle w:val="Heading3"/>
      </w:pPr>
      <w:bookmarkStart w:id="3090" w:name="category-specific-recalculations-2"/>
      <w:bookmarkEnd w:id="3089"/>
      <w:r w:rsidRPr="006623B9">
        <w:t xml:space="preserve">7.4.5 </w:t>
      </w:r>
      <w:r w:rsidRPr="006623B9">
        <w:tab/>
        <w:t>Category-specific recalculations</w:t>
      </w:r>
    </w:p>
    <w:p w14:paraId="140ADCB0" w14:textId="77777777" w:rsidR="00EB5913" w:rsidRPr="006623B9" w:rsidRDefault="00EB5913" w:rsidP="00EB5913">
      <w:pPr>
        <w:pStyle w:val="BodyText"/>
      </w:pPr>
      <w:r w:rsidRPr="006623B9">
        <w:t xml:space="preserve">Improvements and recalculations to estimates in the </w:t>
      </w:r>
      <w:r w:rsidRPr="006623B9">
        <w:rPr>
          <w:i/>
          <w:iCs/>
        </w:rPr>
        <w:t>Incineration and open burning of waste</w:t>
      </w:r>
      <w:r>
        <w:rPr>
          <w:i/>
          <w:iCs/>
        </w:rPr>
        <w:t> </w:t>
      </w:r>
      <w:r w:rsidRPr="006623B9">
        <w:t>category have resulted in a 9.8 percent (31.2 kt CO</w:t>
      </w:r>
      <w:r w:rsidRPr="006623B9">
        <w:rPr>
          <w:vertAlign w:val="subscript"/>
        </w:rPr>
        <w:t>2</w:t>
      </w:r>
      <w:r w:rsidRPr="006623B9">
        <w:t>e) increase in emissions in 1990, a 10.0 percent (24.7 kt CO</w:t>
      </w:r>
      <w:r w:rsidRPr="006623B9">
        <w:rPr>
          <w:vertAlign w:val="subscript"/>
        </w:rPr>
        <w:t>2</w:t>
      </w:r>
      <w:r w:rsidRPr="006623B9">
        <w:t>e) increase in 2005, and a 10.0 percent (17.7 kt CO</w:t>
      </w:r>
      <w:r w:rsidRPr="006623B9">
        <w:rPr>
          <w:vertAlign w:val="subscript"/>
        </w:rPr>
        <w:t>2</w:t>
      </w:r>
      <w:r w:rsidRPr="006623B9">
        <w:t>e) increase in 2023. This reduction reflects updates to the FCF and CF values to align with the 2019 IPCC Refinement. Specifically, the FCF value for sludge has been revised to 30 percent, as recommended by the 2019 IPCC Refinement.</w:t>
      </w:r>
    </w:p>
    <w:p w14:paraId="7FC107F4" w14:textId="77777777" w:rsidR="00EB5913" w:rsidRPr="006623B9" w:rsidRDefault="00EB5913" w:rsidP="00EB5913">
      <w:pPr>
        <w:pStyle w:val="Heading3"/>
      </w:pPr>
      <w:bookmarkStart w:id="3091" w:name="category-specific-planned-improvements-2"/>
      <w:bookmarkEnd w:id="3090"/>
      <w:r w:rsidRPr="006623B9">
        <w:t xml:space="preserve">7.4.6 </w:t>
      </w:r>
      <w:r w:rsidRPr="006623B9">
        <w:tab/>
        <w:t>Category-specific planned improvements</w:t>
      </w:r>
    </w:p>
    <w:p w14:paraId="2B5B0870" w14:textId="77777777" w:rsidR="00EB5913" w:rsidRPr="006623B9" w:rsidRDefault="00EB5913" w:rsidP="00EB5913">
      <w:pPr>
        <w:pStyle w:val="BodyText"/>
      </w:pPr>
      <w:r w:rsidRPr="006623B9">
        <w:t>No specific improvements are planned for this category. Over time, surveys by local authorities on disposal of waste in the farm sector may provide a better understanding of open burning in the farm sector. Further work is needed to understand the ratio of farm waste disposed to open burning or landfills. Anecdotal evidence suggests that incineration of medical waste may be occurring at lower volumes than is assumed (M Geesink, Northland District Health Board, pers. comm., 11 November 2020). Changes will be made when evidence becomes available to confirm this, noting that emissions from incineration are under 1·percent of the Waste sector and that other incineration sources (e.g., rural schools) are currently not estimated.</w:t>
      </w:r>
    </w:p>
    <w:p w14:paraId="5E5F80A2" w14:textId="77777777" w:rsidR="00EB5913" w:rsidRPr="006623B9" w:rsidRDefault="00EB5913" w:rsidP="00EB5913">
      <w:pPr>
        <w:pStyle w:val="Heading2"/>
      </w:pPr>
      <w:bookmarkStart w:id="3092" w:name="_Toc226460798"/>
      <w:bookmarkStart w:id="3093" w:name="wastewater-treatment-and-discharge-5.d"/>
      <w:bookmarkEnd w:id="3068"/>
      <w:bookmarkEnd w:id="3091"/>
      <w:r w:rsidRPr="006623B9">
        <w:t xml:space="preserve">7.5 </w:t>
      </w:r>
      <w:r w:rsidRPr="006623B9">
        <w:tab/>
        <w:t>Wastewater treatment and discharge (5.D)</w:t>
      </w:r>
      <w:bookmarkEnd w:id="3092"/>
    </w:p>
    <w:p w14:paraId="10D6BFCA" w14:textId="77777777" w:rsidR="00EB5913" w:rsidRPr="006623B9" w:rsidRDefault="00EB5913" w:rsidP="00EB5913">
      <w:pPr>
        <w:pStyle w:val="Heading3"/>
        <w:spacing w:before="200" w:after="100"/>
      </w:pPr>
      <w:bookmarkStart w:id="3094" w:name="description-3"/>
      <w:r w:rsidRPr="006623B9">
        <w:t xml:space="preserve">7.5.1 </w:t>
      </w:r>
      <w:r w:rsidRPr="006623B9">
        <w:tab/>
        <w:t>Description</w:t>
      </w:r>
    </w:p>
    <w:p w14:paraId="1988624E" w14:textId="77777777" w:rsidR="00EB5913" w:rsidRPr="006623B9" w:rsidRDefault="00EB5913" w:rsidP="00EB5913">
      <w:pPr>
        <w:pStyle w:val="BodyText"/>
        <w:spacing w:before="80" w:after="100"/>
      </w:pPr>
      <w:r w:rsidRPr="006623B9">
        <w:t xml:space="preserve">In 2024, </w:t>
      </w:r>
      <w:r w:rsidRPr="006623B9">
        <w:rPr>
          <w:i/>
          <w:iCs/>
        </w:rPr>
        <w:t>Wastewater treatment and discharge</w:t>
      </w:r>
      <w:r w:rsidRPr="006623B9">
        <w:t xml:space="preserve"> contributed 401.5 kt CO</w:t>
      </w:r>
      <w:r w:rsidRPr="006623B9">
        <w:rPr>
          <w:vertAlign w:val="subscript"/>
        </w:rPr>
        <w:t>2</w:t>
      </w:r>
      <w:r w:rsidRPr="006623B9">
        <w:t>e (13.3 percent) of emissions from the Waste sector (see table 7.5.1).</w:t>
      </w:r>
    </w:p>
    <w:p w14:paraId="20300D79" w14:textId="77777777" w:rsidR="00EB5913" w:rsidRPr="006623B9" w:rsidRDefault="00EB5913" w:rsidP="00EB5913">
      <w:pPr>
        <w:pStyle w:val="BodyText"/>
        <w:spacing w:before="100" w:after="100"/>
      </w:pPr>
      <w:r w:rsidRPr="006623B9">
        <w:t>This was an increase of 2.8 kt CO</w:t>
      </w:r>
      <w:r w:rsidRPr="006623B9">
        <w:rPr>
          <w:vertAlign w:val="subscript"/>
        </w:rPr>
        <w:t>2</w:t>
      </w:r>
      <w:r w:rsidRPr="006623B9">
        <w:t>e (0.7 percent) from the 2023 level of 398.7 kt CO</w:t>
      </w:r>
      <w:r w:rsidRPr="006623B9">
        <w:rPr>
          <w:vertAlign w:val="subscript"/>
        </w:rPr>
        <w:t>2</w:t>
      </w:r>
      <w:r w:rsidRPr="006623B9">
        <w:t>e, an increase of 54.2 kt CO</w:t>
      </w:r>
      <w:r w:rsidRPr="006623B9">
        <w:rPr>
          <w:vertAlign w:val="subscript"/>
        </w:rPr>
        <w:t>2</w:t>
      </w:r>
      <w:r w:rsidRPr="006623B9">
        <w:t>e (15.6 percent) from the 2005 level of 347.3 kt CO</w:t>
      </w:r>
      <w:r w:rsidRPr="006623B9">
        <w:rPr>
          <w:vertAlign w:val="subscript"/>
        </w:rPr>
        <w:t>2</w:t>
      </w:r>
      <w:r w:rsidRPr="006623B9">
        <w:t>e and an increase of 74.8 kt CO</w:t>
      </w:r>
      <w:r w:rsidRPr="006623B9">
        <w:rPr>
          <w:vertAlign w:val="subscript"/>
        </w:rPr>
        <w:t>2</w:t>
      </w:r>
      <w:r w:rsidRPr="006623B9">
        <w:t>e (22.9 percent) from the 1990 level of 326.6 kt CO</w:t>
      </w:r>
      <w:r w:rsidRPr="006623B9">
        <w:rPr>
          <w:vertAlign w:val="subscript"/>
        </w:rPr>
        <w:t>2</w:t>
      </w:r>
      <w:r w:rsidRPr="006623B9">
        <w:t>e. This is due to increases in the volume of industrial and domestic wastewater handled over this period.</w:t>
      </w:r>
    </w:p>
    <w:p w14:paraId="6E81AB34" w14:textId="77777777" w:rsidR="00EB5913" w:rsidRPr="006623B9" w:rsidRDefault="00EB5913" w:rsidP="00EB5913">
      <w:pPr>
        <w:pStyle w:val="BodyText"/>
        <w:spacing w:before="100" w:after="100"/>
      </w:pPr>
      <w:r w:rsidRPr="006623B9">
        <w:t xml:space="preserve">Small amounts of industrial wastewater are applied as organic amendments to agricultural soils, as well as an extremely small amount of sewage sludge (van der Weerden et al., 2014). Any emissions from this practice are likely to be insignificant and are reported as ‘not estimated’ under the Agriculture sector (see chapter 5, section 5.5.2). Table 7.5.1 presents emissions from </w:t>
      </w:r>
      <w:r w:rsidRPr="006623B9">
        <w:rPr>
          <w:i/>
          <w:iCs/>
        </w:rPr>
        <w:t>Wastewater treatment and discharge</w:t>
      </w:r>
      <w:r w:rsidRPr="006623B9">
        <w:t>.</w:t>
      </w:r>
    </w:p>
    <w:p w14:paraId="7F91D855" w14:textId="77777777" w:rsidR="00EB5913" w:rsidRPr="006623B9" w:rsidRDefault="00EB5913" w:rsidP="00EB5913">
      <w:pPr>
        <w:pStyle w:val="BodyText"/>
        <w:spacing w:before="100" w:after="100"/>
        <w:rPr>
          <w:spacing w:val="-2"/>
        </w:rPr>
      </w:pPr>
      <w:r w:rsidRPr="006623B9">
        <w:rPr>
          <w:spacing w:val="-2"/>
        </w:rPr>
        <w:t xml:space="preserve">Sludge amounts are reported as ‘included elsewhere’ for domestic and industrial wastewater because most of the sludge is sent to landfills, and activity data and emissions from its disposal are reported in the </w:t>
      </w:r>
      <w:r w:rsidRPr="006623B9">
        <w:rPr>
          <w:i/>
          <w:iCs/>
          <w:spacing w:val="-2"/>
        </w:rPr>
        <w:t>Solid waste</w:t>
      </w:r>
      <w:r w:rsidRPr="006623B9">
        <w:rPr>
          <w:spacing w:val="-2"/>
        </w:rPr>
        <w:t xml:space="preserve"> </w:t>
      </w:r>
      <w:r w:rsidRPr="006623B9">
        <w:rPr>
          <w:i/>
          <w:iCs/>
          <w:spacing w:val="-2"/>
        </w:rPr>
        <w:t>disposal</w:t>
      </w:r>
      <w:r w:rsidRPr="006623B9">
        <w:rPr>
          <w:spacing w:val="-2"/>
        </w:rPr>
        <w:t xml:space="preserve"> source category (Tonkin and Taylor Ltd, unpublished(a)).</w:t>
      </w:r>
    </w:p>
    <w:p w14:paraId="19252B32" w14:textId="77777777" w:rsidR="00EB5913" w:rsidRPr="006623B9" w:rsidRDefault="00EB5913" w:rsidP="00EB5913">
      <w:pPr>
        <w:pStyle w:val="Table"/>
      </w:pPr>
      <w:bookmarkStart w:id="3095" w:name="_Toc226669120"/>
      <w:r w:rsidRPr="006623B9">
        <w:t xml:space="preserve">Table 7.5.1 </w:t>
      </w:r>
      <w:r w:rsidRPr="006623B9">
        <w:tab/>
        <w:t xml:space="preserve">Emissions from </w:t>
      </w:r>
      <w:r w:rsidRPr="006623B9">
        <w:rPr>
          <w:i/>
          <w:iCs/>
        </w:rPr>
        <w:t>Wastewater treatment and discharge</w:t>
      </w:r>
      <w:r w:rsidRPr="006623B9">
        <w:t xml:space="preserve"> (5.D)</w:t>
      </w:r>
      <w:bookmarkEnd w:id="3095"/>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569"/>
        <w:gridCol w:w="780"/>
        <w:gridCol w:w="515"/>
        <w:gridCol w:w="515"/>
        <w:gridCol w:w="515"/>
        <w:gridCol w:w="841"/>
        <w:gridCol w:w="744"/>
        <w:gridCol w:w="744"/>
        <w:gridCol w:w="783"/>
        <w:gridCol w:w="744"/>
        <w:gridCol w:w="744"/>
      </w:tblGrid>
      <w:tr w:rsidR="00EB5913" w:rsidRPr="005C3D5B" w14:paraId="0A2E1FD7" w14:textId="77777777" w:rsidTr="00F16E23">
        <w:trPr>
          <w:tblHeader/>
        </w:trPr>
        <w:tc>
          <w:tcPr>
            <w:tcW w:w="0" w:type="auto"/>
            <w:shd w:val="clear" w:color="auto" w:fill="1B556B"/>
            <w:tcMar>
              <w:top w:w="0" w:type="dxa"/>
              <w:left w:w="85" w:type="dxa"/>
              <w:bottom w:w="0" w:type="dxa"/>
              <w:right w:w="85" w:type="dxa"/>
            </w:tcMar>
            <w:vAlign w:val="bottom"/>
          </w:tcPr>
          <w:p w14:paraId="41F6C972" w14:textId="77777777" w:rsidR="00EB5913" w:rsidRPr="005C3D5B" w:rsidRDefault="00EB5913" w:rsidP="00F16E23">
            <w:pPr>
              <w:pStyle w:val="TableTextBold"/>
              <w:spacing w:before="40" w:after="0"/>
              <w:rPr>
                <w:noProof w:val="0"/>
                <w:color w:val="FFFFFF" w:themeColor="background1"/>
                <w:sz w:val="15"/>
                <w:szCs w:val="15"/>
              </w:rPr>
            </w:pPr>
          </w:p>
        </w:tc>
        <w:tc>
          <w:tcPr>
            <w:tcW w:w="0" w:type="auto"/>
            <w:shd w:val="clear" w:color="auto" w:fill="1B556B"/>
            <w:tcMar>
              <w:top w:w="0" w:type="dxa"/>
              <w:left w:w="85" w:type="dxa"/>
              <w:bottom w:w="0" w:type="dxa"/>
              <w:right w:w="85" w:type="dxa"/>
            </w:tcMar>
            <w:vAlign w:val="bottom"/>
          </w:tcPr>
          <w:p w14:paraId="339B01AB" w14:textId="77777777" w:rsidR="00EB5913" w:rsidRPr="005C3D5B" w:rsidRDefault="00EB5913" w:rsidP="00F16E23">
            <w:pPr>
              <w:pStyle w:val="TableTextBold"/>
              <w:spacing w:before="40" w:after="0"/>
              <w:jc w:val="right"/>
              <w:rPr>
                <w:noProof w:val="0"/>
                <w:color w:val="FFFFFF" w:themeColor="background1"/>
                <w:sz w:val="15"/>
                <w:szCs w:val="15"/>
              </w:rPr>
            </w:pPr>
            <w:r w:rsidRPr="005C3D5B">
              <w:rPr>
                <w:rFonts w:eastAsia="Calibri" w:cs="Calibri"/>
                <w:noProof w:val="0"/>
                <w:color w:val="FFFFFF" w:themeColor="background1"/>
                <w:sz w:val="15"/>
                <w:szCs w:val="15"/>
              </w:rPr>
              <w:t xml:space="preserve">Emissions </w:t>
            </w:r>
            <w:r w:rsidRPr="005C3D5B">
              <w:rPr>
                <w:rFonts w:eastAsia="Calibri" w:cs="Calibri"/>
                <w:noProof w:val="0"/>
                <w:color w:val="FFFFFF" w:themeColor="background1"/>
                <w:sz w:val="15"/>
                <w:szCs w:val="15"/>
              </w:rPr>
              <w:br/>
              <w:t>(kt CO</w:t>
            </w:r>
            <w:r w:rsidRPr="005C3D5B">
              <w:rPr>
                <w:rFonts w:eastAsia="Calibri" w:cs="Calibri"/>
                <w:noProof w:val="0"/>
                <w:color w:val="FFFFFF" w:themeColor="background1"/>
                <w:sz w:val="15"/>
                <w:szCs w:val="15"/>
                <w:vertAlign w:val="subscript"/>
              </w:rPr>
              <w:t>2</w:t>
            </w:r>
            <w:r w:rsidRPr="005C3D5B">
              <w:rPr>
                <w:rFonts w:eastAsia="Calibri" w:cs="Calibri"/>
                <w:noProof w:val="0"/>
                <w:color w:val="FFFFFF" w:themeColor="background1"/>
                <w:sz w:val="15"/>
                <w:szCs w:val="15"/>
              </w:rPr>
              <w:t>e)</w:t>
            </w:r>
          </w:p>
        </w:tc>
        <w:tc>
          <w:tcPr>
            <w:tcW w:w="0" w:type="auto"/>
            <w:shd w:val="clear" w:color="auto" w:fill="1B556B"/>
            <w:tcMar>
              <w:top w:w="0" w:type="dxa"/>
              <w:left w:w="85" w:type="dxa"/>
              <w:bottom w:w="0" w:type="dxa"/>
              <w:right w:w="85" w:type="dxa"/>
            </w:tcMar>
            <w:vAlign w:val="bottom"/>
          </w:tcPr>
          <w:p w14:paraId="5C9BBC22" w14:textId="77777777" w:rsidR="00EB5913" w:rsidRPr="005C3D5B"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bottom"/>
          </w:tcPr>
          <w:p w14:paraId="5D8D5B56" w14:textId="77777777" w:rsidR="00EB5913" w:rsidRPr="005C3D5B"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bottom"/>
          </w:tcPr>
          <w:p w14:paraId="12F5DD2B" w14:textId="77777777" w:rsidR="00EB5913" w:rsidRPr="005C3D5B"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bottom"/>
          </w:tcPr>
          <w:p w14:paraId="7D3275D0" w14:textId="77777777" w:rsidR="00EB5913" w:rsidRPr="005C3D5B" w:rsidRDefault="00EB5913" w:rsidP="00F16E23">
            <w:pPr>
              <w:pStyle w:val="TableTextBold"/>
              <w:spacing w:before="40" w:after="0"/>
              <w:jc w:val="right"/>
              <w:rPr>
                <w:noProof w:val="0"/>
                <w:color w:val="FFFFFF" w:themeColor="background1"/>
                <w:sz w:val="15"/>
                <w:szCs w:val="15"/>
              </w:rPr>
            </w:pPr>
            <w:r w:rsidRPr="005C3D5B">
              <w:rPr>
                <w:rFonts w:eastAsia="Calibri" w:cs="Calibri"/>
                <w:noProof w:val="0"/>
                <w:color w:val="FFFFFF" w:themeColor="background1"/>
                <w:sz w:val="15"/>
                <w:szCs w:val="15"/>
              </w:rPr>
              <w:t xml:space="preserve">Difference </w:t>
            </w:r>
            <w:r w:rsidRPr="005C3D5B">
              <w:rPr>
                <w:rFonts w:eastAsia="Calibri" w:cs="Calibri"/>
                <w:noProof w:val="0"/>
                <w:color w:val="FFFFFF" w:themeColor="background1"/>
                <w:sz w:val="15"/>
                <w:szCs w:val="15"/>
              </w:rPr>
              <w:br/>
              <w:t>(kt CO</w:t>
            </w:r>
            <w:r w:rsidRPr="005C3D5B">
              <w:rPr>
                <w:rFonts w:eastAsia="Calibri" w:cs="Calibri"/>
                <w:noProof w:val="0"/>
                <w:color w:val="FFFFFF" w:themeColor="background1"/>
                <w:sz w:val="15"/>
                <w:szCs w:val="15"/>
                <w:vertAlign w:val="subscript"/>
              </w:rPr>
              <w:t>2</w:t>
            </w:r>
            <w:r w:rsidRPr="005C3D5B">
              <w:rPr>
                <w:rFonts w:eastAsia="Calibri" w:cs="Calibri"/>
                <w:noProof w:val="0"/>
                <w:color w:val="FFFFFF" w:themeColor="background1"/>
                <w:sz w:val="15"/>
                <w:szCs w:val="15"/>
              </w:rPr>
              <w:t>e)</w:t>
            </w:r>
          </w:p>
        </w:tc>
        <w:tc>
          <w:tcPr>
            <w:tcW w:w="0" w:type="auto"/>
            <w:shd w:val="clear" w:color="auto" w:fill="1B556B"/>
            <w:tcMar>
              <w:top w:w="0" w:type="dxa"/>
              <w:left w:w="85" w:type="dxa"/>
              <w:bottom w:w="0" w:type="dxa"/>
              <w:right w:w="85" w:type="dxa"/>
            </w:tcMar>
            <w:vAlign w:val="bottom"/>
          </w:tcPr>
          <w:p w14:paraId="13DE9970" w14:textId="77777777" w:rsidR="00EB5913" w:rsidRPr="005C3D5B"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bottom"/>
          </w:tcPr>
          <w:p w14:paraId="5DB10E51" w14:textId="77777777" w:rsidR="00EB5913" w:rsidRPr="005C3D5B"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bottom"/>
          </w:tcPr>
          <w:p w14:paraId="6C7F0ED7" w14:textId="77777777" w:rsidR="00EB5913" w:rsidRPr="005C3D5B" w:rsidRDefault="00EB5913" w:rsidP="00F16E23">
            <w:pPr>
              <w:pStyle w:val="TableTextBold"/>
              <w:spacing w:before="40" w:after="0"/>
              <w:jc w:val="right"/>
              <w:rPr>
                <w:noProof w:val="0"/>
                <w:color w:val="FFFFFF" w:themeColor="background1"/>
                <w:sz w:val="15"/>
                <w:szCs w:val="15"/>
              </w:rPr>
            </w:pPr>
            <w:r w:rsidRPr="005C3D5B">
              <w:rPr>
                <w:rFonts w:eastAsia="Calibri" w:cs="Calibri"/>
                <w:noProof w:val="0"/>
                <w:color w:val="FFFFFF" w:themeColor="background1"/>
                <w:sz w:val="15"/>
                <w:szCs w:val="15"/>
              </w:rPr>
              <w:t>Change (%)</w:t>
            </w:r>
          </w:p>
        </w:tc>
        <w:tc>
          <w:tcPr>
            <w:tcW w:w="0" w:type="auto"/>
            <w:shd w:val="clear" w:color="auto" w:fill="1B556B"/>
            <w:tcMar>
              <w:top w:w="0" w:type="dxa"/>
              <w:left w:w="85" w:type="dxa"/>
              <w:bottom w:w="0" w:type="dxa"/>
              <w:right w:w="85" w:type="dxa"/>
            </w:tcMar>
            <w:vAlign w:val="bottom"/>
          </w:tcPr>
          <w:p w14:paraId="61695101" w14:textId="77777777" w:rsidR="00EB5913" w:rsidRPr="005C3D5B" w:rsidRDefault="00EB5913" w:rsidP="00F16E23">
            <w:pPr>
              <w:pStyle w:val="TableTextBold"/>
              <w:spacing w:before="40" w:after="0"/>
              <w:jc w:val="right"/>
              <w:rPr>
                <w:noProof w:val="0"/>
                <w:color w:val="FFFFFF" w:themeColor="background1"/>
                <w:sz w:val="15"/>
                <w:szCs w:val="15"/>
              </w:rPr>
            </w:pPr>
          </w:p>
        </w:tc>
        <w:tc>
          <w:tcPr>
            <w:tcW w:w="0" w:type="auto"/>
            <w:shd w:val="clear" w:color="auto" w:fill="1B556B"/>
            <w:tcMar>
              <w:top w:w="0" w:type="dxa"/>
              <w:left w:w="85" w:type="dxa"/>
              <w:bottom w:w="0" w:type="dxa"/>
              <w:right w:w="85" w:type="dxa"/>
            </w:tcMar>
            <w:vAlign w:val="bottom"/>
          </w:tcPr>
          <w:p w14:paraId="205579CB" w14:textId="77777777" w:rsidR="00EB5913" w:rsidRPr="005C3D5B" w:rsidRDefault="00EB5913" w:rsidP="00F16E23">
            <w:pPr>
              <w:pStyle w:val="TableTextBold"/>
              <w:spacing w:before="40" w:after="0"/>
              <w:jc w:val="right"/>
              <w:rPr>
                <w:noProof w:val="0"/>
                <w:color w:val="FFFFFF" w:themeColor="background1"/>
                <w:sz w:val="15"/>
                <w:szCs w:val="15"/>
              </w:rPr>
            </w:pPr>
          </w:p>
        </w:tc>
      </w:tr>
      <w:tr w:rsidR="00EB5913" w:rsidRPr="005C3D5B" w14:paraId="046FE666" w14:textId="77777777" w:rsidTr="00F16E23">
        <w:tc>
          <w:tcPr>
            <w:tcW w:w="0" w:type="auto"/>
            <w:shd w:val="clear" w:color="auto" w:fill="1B556B"/>
            <w:tcMar>
              <w:top w:w="0" w:type="dxa"/>
              <w:left w:w="85" w:type="dxa"/>
              <w:bottom w:w="0" w:type="dxa"/>
              <w:right w:w="85" w:type="dxa"/>
            </w:tcMar>
            <w:vAlign w:val="bottom"/>
          </w:tcPr>
          <w:p w14:paraId="26882C56" w14:textId="77777777" w:rsidR="00EB5913" w:rsidRPr="005C3D5B" w:rsidRDefault="00EB5913" w:rsidP="00F16E23">
            <w:pPr>
              <w:pStyle w:val="TableTextBold"/>
              <w:spacing w:before="40" w:after="40"/>
              <w:rPr>
                <w:noProof w:val="0"/>
                <w:color w:val="FFFFFF" w:themeColor="background1"/>
                <w:sz w:val="15"/>
                <w:szCs w:val="15"/>
              </w:rPr>
            </w:pPr>
            <w:r w:rsidRPr="005C3D5B">
              <w:rPr>
                <w:rFonts w:eastAsia="Calibri" w:cs="Calibri"/>
                <w:noProof w:val="0"/>
                <w:color w:val="FFFFFF" w:themeColor="background1"/>
                <w:sz w:val="15"/>
                <w:szCs w:val="15"/>
              </w:rPr>
              <w:t>Source category</w:t>
            </w:r>
          </w:p>
        </w:tc>
        <w:tc>
          <w:tcPr>
            <w:tcW w:w="0" w:type="auto"/>
            <w:shd w:val="clear" w:color="auto" w:fill="1B556B"/>
            <w:tcMar>
              <w:top w:w="0" w:type="dxa"/>
              <w:left w:w="85" w:type="dxa"/>
              <w:bottom w:w="0" w:type="dxa"/>
              <w:right w:w="85" w:type="dxa"/>
            </w:tcMar>
            <w:vAlign w:val="bottom"/>
          </w:tcPr>
          <w:p w14:paraId="51199FAE"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1990</w:t>
            </w:r>
          </w:p>
        </w:tc>
        <w:tc>
          <w:tcPr>
            <w:tcW w:w="0" w:type="auto"/>
            <w:shd w:val="clear" w:color="auto" w:fill="1B556B"/>
            <w:tcMar>
              <w:top w:w="0" w:type="dxa"/>
              <w:left w:w="85" w:type="dxa"/>
              <w:bottom w:w="0" w:type="dxa"/>
              <w:right w:w="85" w:type="dxa"/>
            </w:tcMar>
            <w:vAlign w:val="bottom"/>
          </w:tcPr>
          <w:p w14:paraId="5F0FB824"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2005</w:t>
            </w:r>
          </w:p>
        </w:tc>
        <w:tc>
          <w:tcPr>
            <w:tcW w:w="0" w:type="auto"/>
            <w:shd w:val="clear" w:color="auto" w:fill="1B556B"/>
            <w:tcMar>
              <w:top w:w="0" w:type="dxa"/>
              <w:left w:w="85" w:type="dxa"/>
              <w:bottom w:w="0" w:type="dxa"/>
              <w:right w:w="85" w:type="dxa"/>
            </w:tcMar>
            <w:vAlign w:val="bottom"/>
          </w:tcPr>
          <w:p w14:paraId="7918266D"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2023</w:t>
            </w:r>
          </w:p>
        </w:tc>
        <w:tc>
          <w:tcPr>
            <w:tcW w:w="0" w:type="auto"/>
            <w:shd w:val="clear" w:color="auto" w:fill="1B556B"/>
            <w:tcMar>
              <w:top w:w="0" w:type="dxa"/>
              <w:left w:w="85" w:type="dxa"/>
              <w:bottom w:w="0" w:type="dxa"/>
              <w:right w:w="85" w:type="dxa"/>
            </w:tcMar>
            <w:vAlign w:val="bottom"/>
          </w:tcPr>
          <w:p w14:paraId="2E870C46"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2024</w:t>
            </w:r>
          </w:p>
        </w:tc>
        <w:tc>
          <w:tcPr>
            <w:tcW w:w="0" w:type="auto"/>
            <w:shd w:val="clear" w:color="auto" w:fill="1B556B"/>
            <w:tcMar>
              <w:top w:w="0" w:type="dxa"/>
              <w:left w:w="85" w:type="dxa"/>
              <w:bottom w:w="0" w:type="dxa"/>
              <w:right w:w="85" w:type="dxa"/>
            </w:tcMar>
            <w:vAlign w:val="bottom"/>
          </w:tcPr>
          <w:p w14:paraId="0DEEA9D5"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1990–2024</w:t>
            </w:r>
          </w:p>
        </w:tc>
        <w:tc>
          <w:tcPr>
            <w:tcW w:w="0" w:type="auto"/>
            <w:shd w:val="clear" w:color="auto" w:fill="1B556B"/>
            <w:tcMar>
              <w:top w:w="0" w:type="dxa"/>
              <w:left w:w="85" w:type="dxa"/>
              <w:bottom w:w="0" w:type="dxa"/>
              <w:right w:w="85" w:type="dxa"/>
            </w:tcMar>
            <w:vAlign w:val="bottom"/>
          </w:tcPr>
          <w:p w14:paraId="17F60009"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2005–2024</w:t>
            </w:r>
          </w:p>
        </w:tc>
        <w:tc>
          <w:tcPr>
            <w:tcW w:w="0" w:type="auto"/>
            <w:shd w:val="clear" w:color="auto" w:fill="1B556B"/>
            <w:tcMar>
              <w:top w:w="0" w:type="dxa"/>
              <w:left w:w="85" w:type="dxa"/>
              <w:bottom w:w="0" w:type="dxa"/>
              <w:right w:w="85" w:type="dxa"/>
            </w:tcMar>
            <w:vAlign w:val="bottom"/>
          </w:tcPr>
          <w:p w14:paraId="536C20D3"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2023–2024</w:t>
            </w:r>
          </w:p>
        </w:tc>
        <w:tc>
          <w:tcPr>
            <w:tcW w:w="0" w:type="auto"/>
            <w:shd w:val="clear" w:color="auto" w:fill="1B556B"/>
            <w:tcMar>
              <w:top w:w="0" w:type="dxa"/>
              <w:left w:w="85" w:type="dxa"/>
              <w:bottom w:w="0" w:type="dxa"/>
              <w:right w:w="85" w:type="dxa"/>
            </w:tcMar>
            <w:vAlign w:val="bottom"/>
          </w:tcPr>
          <w:p w14:paraId="76342A65"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1990–2024</w:t>
            </w:r>
          </w:p>
        </w:tc>
        <w:tc>
          <w:tcPr>
            <w:tcW w:w="0" w:type="auto"/>
            <w:shd w:val="clear" w:color="auto" w:fill="1B556B"/>
            <w:tcMar>
              <w:top w:w="0" w:type="dxa"/>
              <w:left w:w="85" w:type="dxa"/>
              <w:bottom w:w="0" w:type="dxa"/>
              <w:right w:w="85" w:type="dxa"/>
            </w:tcMar>
            <w:vAlign w:val="bottom"/>
          </w:tcPr>
          <w:p w14:paraId="4A4B6C89"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2005–2024</w:t>
            </w:r>
          </w:p>
        </w:tc>
        <w:tc>
          <w:tcPr>
            <w:tcW w:w="0" w:type="auto"/>
            <w:shd w:val="clear" w:color="auto" w:fill="1B556B"/>
            <w:tcMar>
              <w:top w:w="0" w:type="dxa"/>
              <w:left w:w="85" w:type="dxa"/>
              <w:bottom w:w="0" w:type="dxa"/>
              <w:right w:w="85" w:type="dxa"/>
            </w:tcMar>
            <w:vAlign w:val="bottom"/>
          </w:tcPr>
          <w:p w14:paraId="4A8FA9BF" w14:textId="77777777" w:rsidR="00EB5913" w:rsidRPr="005C3D5B" w:rsidRDefault="00EB5913" w:rsidP="00F16E23">
            <w:pPr>
              <w:pStyle w:val="TableTextBold"/>
              <w:spacing w:before="40" w:after="40"/>
              <w:jc w:val="right"/>
              <w:rPr>
                <w:noProof w:val="0"/>
                <w:color w:val="FFFFFF" w:themeColor="background1"/>
                <w:sz w:val="15"/>
                <w:szCs w:val="15"/>
              </w:rPr>
            </w:pPr>
            <w:r w:rsidRPr="005C3D5B">
              <w:rPr>
                <w:rFonts w:eastAsia="Calibri" w:cs="Calibri"/>
                <w:noProof w:val="0"/>
                <w:color w:val="FFFFFF" w:themeColor="background1"/>
                <w:sz w:val="15"/>
                <w:szCs w:val="15"/>
              </w:rPr>
              <w:t>2023–2024</w:t>
            </w:r>
          </w:p>
        </w:tc>
      </w:tr>
      <w:tr w:rsidR="00EB5913" w:rsidRPr="005C3D5B" w14:paraId="6E8019D2" w14:textId="77777777" w:rsidTr="00F16E23">
        <w:tc>
          <w:tcPr>
            <w:tcW w:w="0" w:type="auto"/>
            <w:shd w:val="clear" w:color="auto" w:fill="FFFFFF"/>
            <w:tcMar>
              <w:top w:w="0" w:type="dxa"/>
              <w:left w:w="85" w:type="dxa"/>
              <w:bottom w:w="0" w:type="dxa"/>
              <w:right w:w="85" w:type="dxa"/>
            </w:tcMar>
            <w:vAlign w:val="center"/>
          </w:tcPr>
          <w:p w14:paraId="53E67AA5" w14:textId="77777777" w:rsidR="00EB5913" w:rsidRPr="005C3D5B" w:rsidRDefault="00EB5913" w:rsidP="00F16E23">
            <w:pPr>
              <w:pStyle w:val="TableText"/>
              <w:spacing w:before="40" w:after="40"/>
              <w:rPr>
                <w:sz w:val="15"/>
                <w:szCs w:val="15"/>
              </w:rPr>
            </w:pPr>
            <w:r w:rsidRPr="005C3D5B">
              <w:rPr>
                <w:rFonts w:eastAsia="Calibri"/>
                <w:i/>
                <w:iCs/>
                <w:sz w:val="15"/>
                <w:szCs w:val="15"/>
              </w:rPr>
              <w:t>Domestic wastewater</w:t>
            </w:r>
            <w:r w:rsidRPr="005C3D5B">
              <w:rPr>
                <w:rFonts w:eastAsia="Calibri"/>
                <w:sz w:val="15"/>
                <w:szCs w:val="15"/>
              </w:rPr>
              <w:t xml:space="preserve"> (5.D.1)</w:t>
            </w:r>
          </w:p>
        </w:tc>
        <w:tc>
          <w:tcPr>
            <w:tcW w:w="0" w:type="auto"/>
            <w:shd w:val="clear" w:color="auto" w:fill="FFFFFF"/>
            <w:tcMar>
              <w:top w:w="0" w:type="dxa"/>
              <w:left w:w="85" w:type="dxa"/>
              <w:bottom w:w="0" w:type="dxa"/>
              <w:right w:w="85" w:type="dxa"/>
            </w:tcMar>
            <w:vAlign w:val="bottom"/>
          </w:tcPr>
          <w:p w14:paraId="4BFBF07F" w14:textId="77777777" w:rsidR="00EB5913" w:rsidRPr="005C3D5B" w:rsidRDefault="00EB5913" w:rsidP="00F16E23">
            <w:pPr>
              <w:pStyle w:val="TableText"/>
              <w:spacing w:before="40" w:after="40"/>
              <w:jc w:val="right"/>
              <w:rPr>
                <w:sz w:val="15"/>
                <w:szCs w:val="15"/>
              </w:rPr>
            </w:pPr>
            <w:r w:rsidRPr="005C3D5B">
              <w:rPr>
                <w:rFonts w:eastAsia="Calibri"/>
                <w:sz w:val="15"/>
                <w:szCs w:val="15"/>
              </w:rPr>
              <w:t>226.3</w:t>
            </w:r>
          </w:p>
        </w:tc>
        <w:tc>
          <w:tcPr>
            <w:tcW w:w="0" w:type="auto"/>
            <w:shd w:val="clear" w:color="auto" w:fill="FFFFFF"/>
            <w:tcMar>
              <w:top w:w="0" w:type="dxa"/>
              <w:left w:w="85" w:type="dxa"/>
              <w:bottom w:w="0" w:type="dxa"/>
              <w:right w:w="85" w:type="dxa"/>
            </w:tcMar>
            <w:vAlign w:val="bottom"/>
          </w:tcPr>
          <w:p w14:paraId="1B4608D6" w14:textId="77777777" w:rsidR="00EB5913" w:rsidRPr="005C3D5B" w:rsidRDefault="00EB5913" w:rsidP="00F16E23">
            <w:pPr>
              <w:pStyle w:val="TableText"/>
              <w:spacing w:before="40" w:after="40"/>
              <w:jc w:val="right"/>
              <w:rPr>
                <w:sz w:val="15"/>
                <w:szCs w:val="15"/>
              </w:rPr>
            </w:pPr>
            <w:r w:rsidRPr="005C3D5B">
              <w:rPr>
                <w:rFonts w:eastAsia="Calibri"/>
                <w:sz w:val="15"/>
                <w:szCs w:val="15"/>
              </w:rPr>
              <w:t>232.8</w:t>
            </w:r>
          </w:p>
        </w:tc>
        <w:tc>
          <w:tcPr>
            <w:tcW w:w="0" w:type="auto"/>
            <w:shd w:val="clear" w:color="auto" w:fill="FFFFFF"/>
            <w:tcMar>
              <w:top w:w="0" w:type="dxa"/>
              <w:left w:w="85" w:type="dxa"/>
              <w:bottom w:w="0" w:type="dxa"/>
              <w:right w:w="85" w:type="dxa"/>
            </w:tcMar>
            <w:vAlign w:val="bottom"/>
          </w:tcPr>
          <w:p w14:paraId="68CDC545" w14:textId="77777777" w:rsidR="00EB5913" w:rsidRPr="005C3D5B" w:rsidRDefault="00EB5913" w:rsidP="00F16E23">
            <w:pPr>
              <w:pStyle w:val="TableText"/>
              <w:spacing w:before="40" w:after="40"/>
              <w:jc w:val="right"/>
              <w:rPr>
                <w:sz w:val="15"/>
                <w:szCs w:val="15"/>
              </w:rPr>
            </w:pPr>
            <w:r w:rsidRPr="005C3D5B">
              <w:rPr>
                <w:rFonts w:eastAsia="Calibri"/>
                <w:sz w:val="15"/>
                <w:szCs w:val="15"/>
              </w:rPr>
              <w:t>293.6</w:t>
            </w:r>
          </w:p>
        </w:tc>
        <w:tc>
          <w:tcPr>
            <w:tcW w:w="0" w:type="auto"/>
            <w:shd w:val="clear" w:color="auto" w:fill="FFFFFF"/>
            <w:tcMar>
              <w:top w:w="0" w:type="dxa"/>
              <w:left w:w="85" w:type="dxa"/>
              <w:bottom w:w="0" w:type="dxa"/>
              <w:right w:w="85" w:type="dxa"/>
            </w:tcMar>
            <w:vAlign w:val="bottom"/>
          </w:tcPr>
          <w:p w14:paraId="3915C581" w14:textId="77777777" w:rsidR="00EB5913" w:rsidRPr="005C3D5B" w:rsidRDefault="00EB5913" w:rsidP="00F16E23">
            <w:pPr>
              <w:pStyle w:val="TableText"/>
              <w:spacing w:before="40" w:after="40"/>
              <w:jc w:val="right"/>
              <w:rPr>
                <w:sz w:val="15"/>
                <w:szCs w:val="15"/>
              </w:rPr>
            </w:pPr>
            <w:r w:rsidRPr="005C3D5B">
              <w:rPr>
                <w:rFonts w:eastAsia="Calibri"/>
                <w:sz w:val="15"/>
                <w:szCs w:val="15"/>
              </w:rPr>
              <w:t>295.9</w:t>
            </w:r>
          </w:p>
        </w:tc>
        <w:tc>
          <w:tcPr>
            <w:tcW w:w="0" w:type="auto"/>
            <w:shd w:val="clear" w:color="auto" w:fill="FFFFFF"/>
            <w:tcMar>
              <w:top w:w="0" w:type="dxa"/>
              <w:left w:w="85" w:type="dxa"/>
              <w:bottom w:w="0" w:type="dxa"/>
              <w:right w:w="85" w:type="dxa"/>
            </w:tcMar>
            <w:vAlign w:val="bottom"/>
          </w:tcPr>
          <w:p w14:paraId="1346ACC0" w14:textId="77777777" w:rsidR="00EB5913" w:rsidRPr="005C3D5B" w:rsidRDefault="00EB5913" w:rsidP="00F16E23">
            <w:pPr>
              <w:pStyle w:val="TableText"/>
              <w:spacing w:before="40" w:after="40"/>
              <w:jc w:val="right"/>
              <w:rPr>
                <w:sz w:val="15"/>
                <w:szCs w:val="15"/>
              </w:rPr>
            </w:pPr>
            <w:r w:rsidRPr="005C3D5B">
              <w:rPr>
                <w:rFonts w:eastAsia="Calibri"/>
                <w:sz w:val="15"/>
                <w:szCs w:val="15"/>
              </w:rPr>
              <w:t>69.5</w:t>
            </w:r>
          </w:p>
        </w:tc>
        <w:tc>
          <w:tcPr>
            <w:tcW w:w="0" w:type="auto"/>
            <w:shd w:val="clear" w:color="auto" w:fill="FFFFFF"/>
            <w:tcMar>
              <w:top w:w="0" w:type="dxa"/>
              <w:left w:w="85" w:type="dxa"/>
              <w:bottom w:w="0" w:type="dxa"/>
              <w:right w:w="85" w:type="dxa"/>
            </w:tcMar>
            <w:vAlign w:val="bottom"/>
          </w:tcPr>
          <w:p w14:paraId="195DEEC9" w14:textId="77777777" w:rsidR="00EB5913" w:rsidRPr="005C3D5B" w:rsidRDefault="00EB5913" w:rsidP="00F16E23">
            <w:pPr>
              <w:pStyle w:val="TableText"/>
              <w:spacing w:before="40" w:after="40"/>
              <w:jc w:val="right"/>
              <w:rPr>
                <w:sz w:val="15"/>
                <w:szCs w:val="15"/>
              </w:rPr>
            </w:pPr>
            <w:r w:rsidRPr="005C3D5B">
              <w:rPr>
                <w:rFonts w:eastAsia="Calibri"/>
                <w:sz w:val="15"/>
                <w:szCs w:val="15"/>
              </w:rPr>
              <w:t>63.1</w:t>
            </w:r>
          </w:p>
        </w:tc>
        <w:tc>
          <w:tcPr>
            <w:tcW w:w="0" w:type="auto"/>
            <w:shd w:val="clear" w:color="auto" w:fill="FFFFFF"/>
            <w:tcMar>
              <w:top w:w="0" w:type="dxa"/>
              <w:left w:w="85" w:type="dxa"/>
              <w:bottom w:w="0" w:type="dxa"/>
              <w:right w:w="85" w:type="dxa"/>
            </w:tcMar>
            <w:vAlign w:val="bottom"/>
          </w:tcPr>
          <w:p w14:paraId="439E4EDD" w14:textId="77777777" w:rsidR="00EB5913" w:rsidRPr="005C3D5B" w:rsidRDefault="00EB5913" w:rsidP="00F16E23">
            <w:pPr>
              <w:pStyle w:val="TableText"/>
              <w:spacing w:before="40" w:after="40"/>
              <w:jc w:val="right"/>
              <w:rPr>
                <w:sz w:val="15"/>
                <w:szCs w:val="15"/>
              </w:rPr>
            </w:pPr>
            <w:r w:rsidRPr="005C3D5B">
              <w:rPr>
                <w:rFonts w:eastAsia="Calibri"/>
                <w:sz w:val="15"/>
                <w:szCs w:val="15"/>
              </w:rPr>
              <w:t>2.3</w:t>
            </w:r>
          </w:p>
        </w:tc>
        <w:tc>
          <w:tcPr>
            <w:tcW w:w="0" w:type="auto"/>
            <w:shd w:val="clear" w:color="auto" w:fill="FFFFFF"/>
            <w:tcMar>
              <w:top w:w="0" w:type="dxa"/>
              <w:left w:w="85" w:type="dxa"/>
              <w:bottom w:w="0" w:type="dxa"/>
              <w:right w:w="85" w:type="dxa"/>
            </w:tcMar>
            <w:vAlign w:val="bottom"/>
          </w:tcPr>
          <w:p w14:paraId="2B4456D1" w14:textId="77777777" w:rsidR="00EB5913" w:rsidRPr="005C3D5B" w:rsidRDefault="00EB5913" w:rsidP="00F16E23">
            <w:pPr>
              <w:pStyle w:val="TableText"/>
              <w:spacing w:before="40" w:after="40"/>
              <w:jc w:val="right"/>
              <w:rPr>
                <w:sz w:val="15"/>
                <w:szCs w:val="15"/>
              </w:rPr>
            </w:pPr>
            <w:r w:rsidRPr="005C3D5B">
              <w:rPr>
                <w:rFonts w:eastAsia="Calibri"/>
                <w:sz w:val="15"/>
                <w:szCs w:val="15"/>
              </w:rPr>
              <w:t>30.7</w:t>
            </w:r>
          </w:p>
        </w:tc>
        <w:tc>
          <w:tcPr>
            <w:tcW w:w="0" w:type="auto"/>
            <w:shd w:val="clear" w:color="auto" w:fill="FFFFFF"/>
            <w:tcMar>
              <w:top w:w="0" w:type="dxa"/>
              <w:left w:w="85" w:type="dxa"/>
              <w:bottom w:w="0" w:type="dxa"/>
              <w:right w:w="85" w:type="dxa"/>
            </w:tcMar>
            <w:vAlign w:val="bottom"/>
          </w:tcPr>
          <w:p w14:paraId="77C3644B" w14:textId="77777777" w:rsidR="00EB5913" w:rsidRPr="005C3D5B" w:rsidRDefault="00EB5913" w:rsidP="00F16E23">
            <w:pPr>
              <w:pStyle w:val="TableText"/>
              <w:spacing w:before="40" w:after="40"/>
              <w:jc w:val="right"/>
              <w:rPr>
                <w:sz w:val="15"/>
                <w:szCs w:val="15"/>
              </w:rPr>
            </w:pPr>
            <w:r w:rsidRPr="005C3D5B">
              <w:rPr>
                <w:rFonts w:eastAsia="Calibri"/>
                <w:sz w:val="15"/>
                <w:szCs w:val="15"/>
              </w:rPr>
              <w:t>27.1</w:t>
            </w:r>
          </w:p>
        </w:tc>
        <w:tc>
          <w:tcPr>
            <w:tcW w:w="0" w:type="auto"/>
            <w:shd w:val="clear" w:color="auto" w:fill="FFFFFF"/>
            <w:tcMar>
              <w:top w:w="0" w:type="dxa"/>
              <w:left w:w="85" w:type="dxa"/>
              <w:bottom w:w="0" w:type="dxa"/>
              <w:right w:w="85" w:type="dxa"/>
            </w:tcMar>
            <w:vAlign w:val="bottom"/>
          </w:tcPr>
          <w:p w14:paraId="1DEB7F51" w14:textId="77777777" w:rsidR="00EB5913" w:rsidRPr="005C3D5B" w:rsidRDefault="00EB5913" w:rsidP="00F16E23">
            <w:pPr>
              <w:pStyle w:val="TableText"/>
              <w:spacing w:before="40" w:after="40"/>
              <w:jc w:val="right"/>
              <w:rPr>
                <w:sz w:val="15"/>
                <w:szCs w:val="15"/>
              </w:rPr>
            </w:pPr>
            <w:r w:rsidRPr="005C3D5B">
              <w:rPr>
                <w:rFonts w:eastAsia="Calibri"/>
                <w:sz w:val="15"/>
                <w:szCs w:val="15"/>
              </w:rPr>
              <w:t>0.8</w:t>
            </w:r>
          </w:p>
        </w:tc>
      </w:tr>
      <w:tr w:rsidR="00EB5913" w:rsidRPr="005C3D5B" w14:paraId="30B95E17" w14:textId="77777777" w:rsidTr="00F16E23">
        <w:tc>
          <w:tcPr>
            <w:tcW w:w="0" w:type="auto"/>
            <w:shd w:val="clear" w:color="auto" w:fill="FFFFFF"/>
            <w:tcMar>
              <w:top w:w="0" w:type="dxa"/>
              <w:left w:w="85" w:type="dxa"/>
              <w:bottom w:w="0" w:type="dxa"/>
              <w:right w:w="85" w:type="dxa"/>
            </w:tcMar>
            <w:vAlign w:val="center"/>
          </w:tcPr>
          <w:p w14:paraId="436B6D7F" w14:textId="77777777" w:rsidR="00EB5913" w:rsidRPr="005C3D5B" w:rsidRDefault="00EB5913" w:rsidP="00F16E23">
            <w:pPr>
              <w:pStyle w:val="TableText"/>
              <w:spacing w:before="40" w:after="40"/>
              <w:rPr>
                <w:sz w:val="15"/>
                <w:szCs w:val="15"/>
              </w:rPr>
            </w:pPr>
            <w:r w:rsidRPr="005C3D5B">
              <w:rPr>
                <w:rFonts w:eastAsia="Calibri"/>
                <w:i/>
                <w:iCs/>
                <w:sz w:val="15"/>
                <w:szCs w:val="15"/>
              </w:rPr>
              <w:t xml:space="preserve">Industrial wastewater </w:t>
            </w:r>
            <w:r w:rsidRPr="005C3D5B">
              <w:rPr>
                <w:rFonts w:eastAsia="Calibri"/>
                <w:sz w:val="15"/>
                <w:szCs w:val="15"/>
              </w:rPr>
              <w:t>(5.D.2)</w:t>
            </w:r>
          </w:p>
        </w:tc>
        <w:tc>
          <w:tcPr>
            <w:tcW w:w="0" w:type="auto"/>
            <w:shd w:val="clear" w:color="auto" w:fill="FFFFFF"/>
            <w:tcMar>
              <w:top w:w="0" w:type="dxa"/>
              <w:left w:w="85" w:type="dxa"/>
              <w:bottom w:w="0" w:type="dxa"/>
              <w:right w:w="85" w:type="dxa"/>
            </w:tcMar>
            <w:vAlign w:val="bottom"/>
          </w:tcPr>
          <w:p w14:paraId="0B5483AC" w14:textId="77777777" w:rsidR="00EB5913" w:rsidRPr="005C3D5B" w:rsidRDefault="00EB5913" w:rsidP="00F16E23">
            <w:pPr>
              <w:pStyle w:val="TableText"/>
              <w:spacing w:before="40" w:after="40"/>
              <w:jc w:val="right"/>
              <w:rPr>
                <w:sz w:val="15"/>
                <w:szCs w:val="15"/>
              </w:rPr>
            </w:pPr>
            <w:r w:rsidRPr="005C3D5B">
              <w:rPr>
                <w:rFonts w:eastAsia="Calibri"/>
                <w:sz w:val="15"/>
                <w:szCs w:val="15"/>
              </w:rPr>
              <w:t>100.3</w:t>
            </w:r>
          </w:p>
        </w:tc>
        <w:tc>
          <w:tcPr>
            <w:tcW w:w="0" w:type="auto"/>
            <w:shd w:val="clear" w:color="auto" w:fill="FFFFFF"/>
            <w:tcMar>
              <w:top w:w="0" w:type="dxa"/>
              <w:left w:w="85" w:type="dxa"/>
              <w:bottom w:w="0" w:type="dxa"/>
              <w:right w:w="85" w:type="dxa"/>
            </w:tcMar>
            <w:vAlign w:val="bottom"/>
          </w:tcPr>
          <w:p w14:paraId="444C0B7E" w14:textId="77777777" w:rsidR="00EB5913" w:rsidRPr="005C3D5B" w:rsidRDefault="00EB5913" w:rsidP="00F16E23">
            <w:pPr>
              <w:pStyle w:val="TableText"/>
              <w:spacing w:before="40" w:after="40"/>
              <w:jc w:val="right"/>
              <w:rPr>
                <w:sz w:val="15"/>
                <w:szCs w:val="15"/>
              </w:rPr>
            </w:pPr>
            <w:r w:rsidRPr="005C3D5B">
              <w:rPr>
                <w:rFonts w:eastAsia="Calibri"/>
                <w:sz w:val="15"/>
                <w:szCs w:val="15"/>
              </w:rPr>
              <w:t>114.4</w:t>
            </w:r>
          </w:p>
        </w:tc>
        <w:tc>
          <w:tcPr>
            <w:tcW w:w="0" w:type="auto"/>
            <w:shd w:val="clear" w:color="auto" w:fill="FFFFFF"/>
            <w:tcMar>
              <w:top w:w="0" w:type="dxa"/>
              <w:left w:w="85" w:type="dxa"/>
              <w:bottom w:w="0" w:type="dxa"/>
              <w:right w:w="85" w:type="dxa"/>
            </w:tcMar>
            <w:vAlign w:val="bottom"/>
          </w:tcPr>
          <w:p w14:paraId="3461A87B" w14:textId="77777777" w:rsidR="00EB5913" w:rsidRPr="005C3D5B" w:rsidRDefault="00EB5913" w:rsidP="00F16E23">
            <w:pPr>
              <w:pStyle w:val="TableText"/>
              <w:spacing w:before="40" w:after="40"/>
              <w:jc w:val="right"/>
              <w:rPr>
                <w:sz w:val="15"/>
                <w:szCs w:val="15"/>
              </w:rPr>
            </w:pPr>
            <w:r w:rsidRPr="005C3D5B">
              <w:rPr>
                <w:rFonts w:eastAsia="Calibri"/>
                <w:sz w:val="15"/>
                <w:szCs w:val="15"/>
              </w:rPr>
              <w:t>105.1</w:t>
            </w:r>
          </w:p>
        </w:tc>
        <w:tc>
          <w:tcPr>
            <w:tcW w:w="0" w:type="auto"/>
            <w:shd w:val="clear" w:color="auto" w:fill="FFFFFF"/>
            <w:tcMar>
              <w:top w:w="0" w:type="dxa"/>
              <w:left w:w="85" w:type="dxa"/>
              <w:bottom w:w="0" w:type="dxa"/>
              <w:right w:w="85" w:type="dxa"/>
            </w:tcMar>
            <w:vAlign w:val="bottom"/>
          </w:tcPr>
          <w:p w14:paraId="21894A02" w14:textId="77777777" w:rsidR="00EB5913" w:rsidRPr="005C3D5B" w:rsidRDefault="00EB5913" w:rsidP="00F16E23">
            <w:pPr>
              <w:pStyle w:val="TableText"/>
              <w:spacing w:before="40" w:after="40"/>
              <w:jc w:val="right"/>
              <w:rPr>
                <w:sz w:val="15"/>
                <w:szCs w:val="15"/>
              </w:rPr>
            </w:pPr>
            <w:r w:rsidRPr="005C3D5B">
              <w:rPr>
                <w:rFonts w:eastAsia="Calibri"/>
                <w:sz w:val="15"/>
                <w:szCs w:val="15"/>
              </w:rPr>
              <w:t>105.6</w:t>
            </w:r>
          </w:p>
        </w:tc>
        <w:tc>
          <w:tcPr>
            <w:tcW w:w="0" w:type="auto"/>
            <w:shd w:val="clear" w:color="auto" w:fill="FFFFFF"/>
            <w:tcMar>
              <w:top w:w="0" w:type="dxa"/>
              <w:left w:w="85" w:type="dxa"/>
              <w:bottom w:w="0" w:type="dxa"/>
              <w:right w:w="85" w:type="dxa"/>
            </w:tcMar>
            <w:vAlign w:val="bottom"/>
          </w:tcPr>
          <w:p w14:paraId="2AE8E19B" w14:textId="77777777" w:rsidR="00EB5913" w:rsidRPr="005C3D5B" w:rsidRDefault="00EB5913" w:rsidP="00F16E23">
            <w:pPr>
              <w:pStyle w:val="TableText"/>
              <w:spacing w:before="40" w:after="40"/>
              <w:jc w:val="right"/>
              <w:rPr>
                <w:sz w:val="15"/>
                <w:szCs w:val="15"/>
              </w:rPr>
            </w:pPr>
            <w:r w:rsidRPr="005C3D5B">
              <w:rPr>
                <w:rFonts w:eastAsia="Calibri"/>
                <w:sz w:val="15"/>
                <w:szCs w:val="15"/>
              </w:rPr>
              <w:t>5.3</w:t>
            </w:r>
          </w:p>
        </w:tc>
        <w:tc>
          <w:tcPr>
            <w:tcW w:w="0" w:type="auto"/>
            <w:shd w:val="clear" w:color="auto" w:fill="FFFFFF"/>
            <w:tcMar>
              <w:top w:w="0" w:type="dxa"/>
              <w:left w:w="85" w:type="dxa"/>
              <w:bottom w:w="0" w:type="dxa"/>
              <w:right w:w="85" w:type="dxa"/>
            </w:tcMar>
            <w:vAlign w:val="bottom"/>
          </w:tcPr>
          <w:p w14:paraId="4323B799" w14:textId="77777777" w:rsidR="00EB5913" w:rsidRPr="005C3D5B" w:rsidRDefault="00EB5913" w:rsidP="00F16E23">
            <w:pPr>
              <w:pStyle w:val="TableText"/>
              <w:spacing w:before="40" w:after="40"/>
              <w:jc w:val="right"/>
              <w:rPr>
                <w:sz w:val="15"/>
                <w:szCs w:val="15"/>
              </w:rPr>
            </w:pPr>
            <w:r w:rsidRPr="005C3D5B">
              <w:rPr>
                <w:rFonts w:eastAsia="Calibri"/>
                <w:sz w:val="15"/>
                <w:szCs w:val="15"/>
              </w:rPr>
              <w:t>-8.9</w:t>
            </w:r>
          </w:p>
        </w:tc>
        <w:tc>
          <w:tcPr>
            <w:tcW w:w="0" w:type="auto"/>
            <w:shd w:val="clear" w:color="auto" w:fill="FFFFFF"/>
            <w:tcMar>
              <w:top w:w="0" w:type="dxa"/>
              <w:left w:w="85" w:type="dxa"/>
              <w:bottom w:w="0" w:type="dxa"/>
              <w:right w:w="85" w:type="dxa"/>
            </w:tcMar>
            <w:vAlign w:val="bottom"/>
          </w:tcPr>
          <w:p w14:paraId="4C473C94" w14:textId="77777777" w:rsidR="00EB5913" w:rsidRPr="005C3D5B" w:rsidRDefault="00EB5913" w:rsidP="00F16E23">
            <w:pPr>
              <w:pStyle w:val="TableText"/>
              <w:spacing w:before="40" w:after="40"/>
              <w:jc w:val="right"/>
              <w:rPr>
                <w:sz w:val="15"/>
                <w:szCs w:val="15"/>
              </w:rPr>
            </w:pPr>
            <w:r w:rsidRPr="005C3D5B">
              <w:rPr>
                <w:rFonts w:eastAsia="Calibri"/>
                <w:sz w:val="15"/>
                <w:szCs w:val="15"/>
              </w:rPr>
              <w:t>0.5</w:t>
            </w:r>
          </w:p>
        </w:tc>
        <w:tc>
          <w:tcPr>
            <w:tcW w:w="0" w:type="auto"/>
            <w:shd w:val="clear" w:color="auto" w:fill="FFFFFF"/>
            <w:tcMar>
              <w:top w:w="0" w:type="dxa"/>
              <w:left w:w="85" w:type="dxa"/>
              <w:bottom w:w="0" w:type="dxa"/>
              <w:right w:w="85" w:type="dxa"/>
            </w:tcMar>
            <w:vAlign w:val="bottom"/>
          </w:tcPr>
          <w:p w14:paraId="63EBC4FE" w14:textId="77777777" w:rsidR="00EB5913" w:rsidRPr="005C3D5B" w:rsidRDefault="00EB5913" w:rsidP="00F16E23">
            <w:pPr>
              <w:pStyle w:val="TableText"/>
              <w:spacing w:before="40" w:after="40"/>
              <w:jc w:val="right"/>
              <w:rPr>
                <w:sz w:val="15"/>
                <w:szCs w:val="15"/>
              </w:rPr>
            </w:pPr>
            <w:r w:rsidRPr="005C3D5B">
              <w:rPr>
                <w:rFonts w:eastAsia="Calibri"/>
                <w:sz w:val="15"/>
                <w:szCs w:val="15"/>
              </w:rPr>
              <w:t>5.3</w:t>
            </w:r>
          </w:p>
        </w:tc>
        <w:tc>
          <w:tcPr>
            <w:tcW w:w="0" w:type="auto"/>
            <w:shd w:val="clear" w:color="auto" w:fill="FFFFFF"/>
            <w:tcMar>
              <w:top w:w="0" w:type="dxa"/>
              <w:left w:w="85" w:type="dxa"/>
              <w:bottom w:w="0" w:type="dxa"/>
              <w:right w:w="85" w:type="dxa"/>
            </w:tcMar>
            <w:vAlign w:val="bottom"/>
          </w:tcPr>
          <w:p w14:paraId="66F12C32" w14:textId="77777777" w:rsidR="00EB5913" w:rsidRPr="005C3D5B" w:rsidRDefault="00EB5913" w:rsidP="00F16E23">
            <w:pPr>
              <w:pStyle w:val="TableText"/>
              <w:spacing w:before="40" w:after="40"/>
              <w:jc w:val="right"/>
              <w:rPr>
                <w:sz w:val="15"/>
                <w:szCs w:val="15"/>
              </w:rPr>
            </w:pPr>
            <w:r w:rsidRPr="005C3D5B">
              <w:rPr>
                <w:rFonts w:eastAsia="Calibri"/>
                <w:sz w:val="15"/>
                <w:szCs w:val="15"/>
              </w:rPr>
              <w:t>-7.7</w:t>
            </w:r>
          </w:p>
        </w:tc>
        <w:tc>
          <w:tcPr>
            <w:tcW w:w="0" w:type="auto"/>
            <w:shd w:val="clear" w:color="auto" w:fill="FFFFFF"/>
            <w:tcMar>
              <w:top w:w="0" w:type="dxa"/>
              <w:left w:w="85" w:type="dxa"/>
              <w:bottom w:w="0" w:type="dxa"/>
              <w:right w:w="85" w:type="dxa"/>
            </w:tcMar>
            <w:vAlign w:val="bottom"/>
          </w:tcPr>
          <w:p w14:paraId="4D3977E5" w14:textId="77777777" w:rsidR="00EB5913" w:rsidRPr="005C3D5B" w:rsidRDefault="00EB5913" w:rsidP="00F16E23">
            <w:pPr>
              <w:pStyle w:val="TableText"/>
              <w:spacing w:before="40" w:after="40"/>
              <w:jc w:val="right"/>
              <w:rPr>
                <w:sz w:val="15"/>
                <w:szCs w:val="15"/>
              </w:rPr>
            </w:pPr>
            <w:r w:rsidRPr="005C3D5B">
              <w:rPr>
                <w:rFonts w:eastAsia="Calibri"/>
                <w:sz w:val="15"/>
                <w:szCs w:val="15"/>
              </w:rPr>
              <w:t>0.5</w:t>
            </w:r>
          </w:p>
        </w:tc>
      </w:tr>
      <w:tr w:rsidR="00EB5913" w:rsidRPr="005C3D5B" w14:paraId="2633EE7D" w14:textId="77777777" w:rsidTr="00F16E23">
        <w:tc>
          <w:tcPr>
            <w:tcW w:w="0" w:type="auto"/>
            <w:shd w:val="clear" w:color="auto" w:fill="FFFFFF"/>
            <w:tcMar>
              <w:top w:w="0" w:type="dxa"/>
              <w:left w:w="85" w:type="dxa"/>
              <w:bottom w:w="0" w:type="dxa"/>
              <w:right w:w="85" w:type="dxa"/>
            </w:tcMar>
            <w:vAlign w:val="center"/>
          </w:tcPr>
          <w:p w14:paraId="525B6049" w14:textId="77777777" w:rsidR="00EB5913" w:rsidRPr="005C3D5B" w:rsidRDefault="00EB5913" w:rsidP="00F16E23">
            <w:pPr>
              <w:pStyle w:val="Tableboldblue"/>
              <w:spacing w:before="40" w:after="40"/>
              <w:rPr>
                <w:sz w:val="15"/>
                <w:szCs w:val="15"/>
              </w:rPr>
            </w:pPr>
            <w:r w:rsidRPr="005C3D5B">
              <w:rPr>
                <w:sz w:val="15"/>
                <w:szCs w:val="15"/>
              </w:rPr>
              <w:t>Total (5.D)</w:t>
            </w:r>
          </w:p>
        </w:tc>
        <w:tc>
          <w:tcPr>
            <w:tcW w:w="0" w:type="auto"/>
            <w:shd w:val="clear" w:color="auto" w:fill="FFFFFF"/>
            <w:tcMar>
              <w:top w:w="0" w:type="dxa"/>
              <w:left w:w="85" w:type="dxa"/>
              <w:bottom w:w="0" w:type="dxa"/>
              <w:right w:w="85" w:type="dxa"/>
            </w:tcMar>
            <w:vAlign w:val="bottom"/>
          </w:tcPr>
          <w:p w14:paraId="1689B8BF" w14:textId="77777777" w:rsidR="00EB5913" w:rsidRPr="005C3D5B" w:rsidRDefault="00EB5913" w:rsidP="00F16E23">
            <w:pPr>
              <w:pStyle w:val="Tableboldblue"/>
              <w:spacing w:before="40" w:after="40"/>
              <w:jc w:val="right"/>
              <w:rPr>
                <w:sz w:val="15"/>
                <w:szCs w:val="15"/>
              </w:rPr>
            </w:pPr>
            <w:r w:rsidRPr="005C3D5B">
              <w:rPr>
                <w:sz w:val="15"/>
                <w:szCs w:val="15"/>
              </w:rPr>
              <w:t>326.6</w:t>
            </w:r>
          </w:p>
        </w:tc>
        <w:tc>
          <w:tcPr>
            <w:tcW w:w="0" w:type="auto"/>
            <w:shd w:val="clear" w:color="auto" w:fill="FFFFFF"/>
            <w:tcMar>
              <w:top w:w="0" w:type="dxa"/>
              <w:left w:w="85" w:type="dxa"/>
              <w:bottom w:w="0" w:type="dxa"/>
              <w:right w:w="85" w:type="dxa"/>
            </w:tcMar>
            <w:vAlign w:val="bottom"/>
          </w:tcPr>
          <w:p w14:paraId="3C814444" w14:textId="77777777" w:rsidR="00EB5913" w:rsidRPr="005C3D5B" w:rsidRDefault="00EB5913" w:rsidP="00F16E23">
            <w:pPr>
              <w:pStyle w:val="Tableboldblue"/>
              <w:spacing w:before="40" w:after="40"/>
              <w:jc w:val="right"/>
              <w:rPr>
                <w:sz w:val="15"/>
                <w:szCs w:val="15"/>
              </w:rPr>
            </w:pPr>
            <w:r w:rsidRPr="005C3D5B">
              <w:rPr>
                <w:sz w:val="15"/>
                <w:szCs w:val="15"/>
              </w:rPr>
              <w:t>347.3</w:t>
            </w:r>
          </w:p>
        </w:tc>
        <w:tc>
          <w:tcPr>
            <w:tcW w:w="0" w:type="auto"/>
            <w:shd w:val="clear" w:color="auto" w:fill="FFFFFF"/>
            <w:tcMar>
              <w:top w:w="0" w:type="dxa"/>
              <w:left w:w="85" w:type="dxa"/>
              <w:bottom w:w="0" w:type="dxa"/>
              <w:right w:w="85" w:type="dxa"/>
            </w:tcMar>
            <w:vAlign w:val="bottom"/>
          </w:tcPr>
          <w:p w14:paraId="4624A61E" w14:textId="77777777" w:rsidR="00EB5913" w:rsidRPr="005C3D5B" w:rsidRDefault="00EB5913" w:rsidP="00F16E23">
            <w:pPr>
              <w:pStyle w:val="Tableboldblue"/>
              <w:spacing w:before="40" w:after="40"/>
              <w:jc w:val="right"/>
              <w:rPr>
                <w:sz w:val="15"/>
                <w:szCs w:val="15"/>
              </w:rPr>
            </w:pPr>
            <w:r w:rsidRPr="005C3D5B">
              <w:rPr>
                <w:sz w:val="15"/>
                <w:szCs w:val="15"/>
              </w:rPr>
              <w:t>398.7</w:t>
            </w:r>
          </w:p>
        </w:tc>
        <w:tc>
          <w:tcPr>
            <w:tcW w:w="0" w:type="auto"/>
            <w:shd w:val="clear" w:color="auto" w:fill="FFFFFF"/>
            <w:tcMar>
              <w:top w:w="0" w:type="dxa"/>
              <w:left w:w="85" w:type="dxa"/>
              <w:bottom w:w="0" w:type="dxa"/>
              <w:right w:w="85" w:type="dxa"/>
            </w:tcMar>
            <w:vAlign w:val="bottom"/>
          </w:tcPr>
          <w:p w14:paraId="07059655" w14:textId="77777777" w:rsidR="00EB5913" w:rsidRPr="005C3D5B" w:rsidRDefault="00EB5913" w:rsidP="00F16E23">
            <w:pPr>
              <w:pStyle w:val="Tableboldblue"/>
              <w:spacing w:before="40" w:after="40"/>
              <w:jc w:val="right"/>
              <w:rPr>
                <w:sz w:val="15"/>
                <w:szCs w:val="15"/>
              </w:rPr>
            </w:pPr>
            <w:r w:rsidRPr="005C3D5B">
              <w:rPr>
                <w:sz w:val="15"/>
                <w:szCs w:val="15"/>
              </w:rPr>
              <w:t>401.5</w:t>
            </w:r>
          </w:p>
        </w:tc>
        <w:tc>
          <w:tcPr>
            <w:tcW w:w="0" w:type="auto"/>
            <w:shd w:val="clear" w:color="auto" w:fill="FFFFFF"/>
            <w:tcMar>
              <w:top w:w="0" w:type="dxa"/>
              <w:left w:w="85" w:type="dxa"/>
              <w:bottom w:w="0" w:type="dxa"/>
              <w:right w:w="85" w:type="dxa"/>
            </w:tcMar>
            <w:vAlign w:val="bottom"/>
          </w:tcPr>
          <w:p w14:paraId="7C64EEA7" w14:textId="77777777" w:rsidR="00EB5913" w:rsidRPr="005C3D5B" w:rsidRDefault="00EB5913" w:rsidP="00F16E23">
            <w:pPr>
              <w:pStyle w:val="Tableboldblue"/>
              <w:spacing w:before="40" w:after="40"/>
              <w:jc w:val="right"/>
              <w:rPr>
                <w:sz w:val="15"/>
                <w:szCs w:val="15"/>
              </w:rPr>
            </w:pPr>
            <w:r w:rsidRPr="005C3D5B">
              <w:rPr>
                <w:sz w:val="15"/>
                <w:szCs w:val="15"/>
              </w:rPr>
              <w:t>74.8</w:t>
            </w:r>
          </w:p>
        </w:tc>
        <w:tc>
          <w:tcPr>
            <w:tcW w:w="0" w:type="auto"/>
            <w:shd w:val="clear" w:color="auto" w:fill="FFFFFF"/>
            <w:tcMar>
              <w:top w:w="0" w:type="dxa"/>
              <w:left w:w="85" w:type="dxa"/>
              <w:bottom w:w="0" w:type="dxa"/>
              <w:right w:w="85" w:type="dxa"/>
            </w:tcMar>
            <w:vAlign w:val="bottom"/>
          </w:tcPr>
          <w:p w14:paraId="47246A37" w14:textId="77777777" w:rsidR="00EB5913" w:rsidRPr="005C3D5B" w:rsidRDefault="00EB5913" w:rsidP="00F16E23">
            <w:pPr>
              <w:pStyle w:val="Tableboldblue"/>
              <w:spacing w:before="40" w:after="40"/>
              <w:jc w:val="right"/>
              <w:rPr>
                <w:sz w:val="15"/>
                <w:szCs w:val="15"/>
              </w:rPr>
            </w:pPr>
            <w:r w:rsidRPr="005C3D5B">
              <w:rPr>
                <w:sz w:val="15"/>
                <w:szCs w:val="15"/>
              </w:rPr>
              <w:t>54.2</w:t>
            </w:r>
          </w:p>
        </w:tc>
        <w:tc>
          <w:tcPr>
            <w:tcW w:w="0" w:type="auto"/>
            <w:shd w:val="clear" w:color="auto" w:fill="FFFFFF"/>
            <w:tcMar>
              <w:top w:w="0" w:type="dxa"/>
              <w:left w:w="85" w:type="dxa"/>
              <w:bottom w:w="0" w:type="dxa"/>
              <w:right w:w="85" w:type="dxa"/>
            </w:tcMar>
            <w:vAlign w:val="bottom"/>
          </w:tcPr>
          <w:p w14:paraId="5B0B8909" w14:textId="77777777" w:rsidR="00EB5913" w:rsidRPr="005C3D5B" w:rsidRDefault="00EB5913" w:rsidP="00F16E23">
            <w:pPr>
              <w:pStyle w:val="Tableboldblue"/>
              <w:spacing w:before="40" w:after="40"/>
              <w:jc w:val="right"/>
              <w:rPr>
                <w:sz w:val="15"/>
                <w:szCs w:val="15"/>
              </w:rPr>
            </w:pPr>
            <w:r w:rsidRPr="005C3D5B">
              <w:rPr>
                <w:sz w:val="15"/>
                <w:szCs w:val="15"/>
              </w:rPr>
              <w:t>2.8</w:t>
            </w:r>
          </w:p>
        </w:tc>
        <w:tc>
          <w:tcPr>
            <w:tcW w:w="0" w:type="auto"/>
            <w:shd w:val="clear" w:color="auto" w:fill="FFFFFF"/>
            <w:tcMar>
              <w:top w:w="0" w:type="dxa"/>
              <w:left w:w="85" w:type="dxa"/>
              <w:bottom w:w="0" w:type="dxa"/>
              <w:right w:w="85" w:type="dxa"/>
            </w:tcMar>
            <w:vAlign w:val="bottom"/>
          </w:tcPr>
          <w:p w14:paraId="6494FBEE" w14:textId="77777777" w:rsidR="00EB5913" w:rsidRPr="005C3D5B" w:rsidRDefault="00EB5913" w:rsidP="00F16E23">
            <w:pPr>
              <w:pStyle w:val="Tableboldblue"/>
              <w:spacing w:before="40" w:after="40"/>
              <w:jc w:val="right"/>
              <w:rPr>
                <w:sz w:val="15"/>
                <w:szCs w:val="15"/>
              </w:rPr>
            </w:pPr>
            <w:r w:rsidRPr="005C3D5B">
              <w:rPr>
                <w:sz w:val="15"/>
                <w:szCs w:val="15"/>
              </w:rPr>
              <w:t>22.9</w:t>
            </w:r>
          </w:p>
        </w:tc>
        <w:tc>
          <w:tcPr>
            <w:tcW w:w="0" w:type="auto"/>
            <w:shd w:val="clear" w:color="auto" w:fill="FFFFFF"/>
            <w:tcMar>
              <w:top w:w="0" w:type="dxa"/>
              <w:left w:w="85" w:type="dxa"/>
              <w:bottom w:w="0" w:type="dxa"/>
              <w:right w:w="85" w:type="dxa"/>
            </w:tcMar>
            <w:vAlign w:val="bottom"/>
          </w:tcPr>
          <w:p w14:paraId="4291B540" w14:textId="77777777" w:rsidR="00EB5913" w:rsidRPr="005C3D5B" w:rsidRDefault="00EB5913" w:rsidP="00F16E23">
            <w:pPr>
              <w:pStyle w:val="Tableboldblue"/>
              <w:spacing w:before="40" w:after="40"/>
              <w:jc w:val="right"/>
              <w:rPr>
                <w:sz w:val="15"/>
                <w:szCs w:val="15"/>
              </w:rPr>
            </w:pPr>
            <w:r w:rsidRPr="005C3D5B">
              <w:rPr>
                <w:sz w:val="15"/>
                <w:szCs w:val="15"/>
              </w:rPr>
              <w:t>15.6</w:t>
            </w:r>
          </w:p>
        </w:tc>
        <w:tc>
          <w:tcPr>
            <w:tcW w:w="0" w:type="auto"/>
            <w:shd w:val="clear" w:color="auto" w:fill="FFFFFF"/>
            <w:tcMar>
              <w:top w:w="0" w:type="dxa"/>
              <w:left w:w="85" w:type="dxa"/>
              <w:bottom w:w="0" w:type="dxa"/>
              <w:right w:w="85" w:type="dxa"/>
            </w:tcMar>
            <w:vAlign w:val="bottom"/>
          </w:tcPr>
          <w:p w14:paraId="6AE31F48" w14:textId="77777777" w:rsidR="00EB5913" w:rsidRPr="005C3D5B" w:rsidRDefault="00EB5913" w:rsidP="00F16E23">
            <w:pPr>
              <w:pStyle w:val="Tableboldblue"/>
              <w:spacing w:before="40" w:after="40"/>
              <w:jc w:val="right"/>
              <w:rPr>
                <w:sz w:val="15"/>
                <w:szCs w:val="15"/>
              </w:rPr>
            </w:pPr>
            <w:r w:rsidRPr="005C3D5B">
              <w:rPr>
                <w:sz w:val="15"/>
                <w:szCs w:val="15"/>
              </w:rPr>
              <w:t>0.7</w:t>
            </w:r>
          </w:p>
        </w:tc>
      </w:tr>
    </w:tbl>
    <w:p w14:paraId="31510974" w14:textId="77777777" w:rsidR="00EB5913" w:rsidRPr="006623B9" w:rsidRDefault="00EB5913" w:rsidP="00EB5913">
      <w:pPr>
        <w:pStyle w:val="Noteundertable"/>
      </w:pPr>
      <w:r w:rsidRPr="006623B9">
        <w:rPr>
          <w:b/>
          <w:bCs/>
        </w:rPr>
        <w:t>Note:</w:t>
      </w:r>
      <w:r w:rsidRPr="006623B9">
        <w:t xml:space="preserve"> </w:t>
      </w:r>
      <w:r w:rsidRPr="006623B9">
        <w:tab/>
        <w:t>Percentages presented are calculated from unrounded values.</w:t>
      </w:r>
    </w:p>
    <w:p w14:paraId="0CE46B07" w14:textId="77777777" w:rsidR="00EB5913" w:rsidRPr="006623B9" w:rsidRDefault="00EB5913" w:rsidP="00EB5913">
      <w:pPr>
        <w:pStyle w:val="BodyText"/>
        <w:spacing w:before="100" w:after="100"/>
      </w:pPr>
      <w:r w:rsidRPr="006623B9">
        <w:t xml:space="preserve">Methane emissions from the </w:t>
      </w:r>
      <w:r w:rsidRPr="006623B9">
        <w:rPr>
          <w:i/>
          <w:iCs/>
        </w:rPr>
        <w:t>Wastewater treatment and discharge</w:t>
      </w:r>
      <w:r w:rsidRPr="006623B9">
        <w:t xml:space="preserve"> source category were identified as a key category in the 2024 level assessment.</w:t>
      </w:r>
    </w:p>
    <w:p w14:paraId="31EAB4C0" w14:textId="77777777" w:rsidR="00EB5913" w:rsidRPr="006623B9" w:rsidRDefault="00EB5913" w:rsidP="00EB5913">
      <w:pPr>
        <w:pStyle w:val="Heading4"/>
      </w:pPr>
      <w:bookmarkStart w:id="3096" w:name="domestic-wastewater-5.d.1"/>
      <w:r w:rsidRPr="006623B9">
        <w:rPr>
          <w:i/>
          <w:iCs/>
        </w:rPr>
        <w:t>Domestic wastewater (5.D.1)</w:t>
      </w:r>
    </w:p>
    <w:p w14:paraId="1424EEFD" w14:textId="77777777" w:rsidR="00EB5913" w:rsidRPr="006623B9" w:rsidRDefault="00EB5913" w:rsidP="00EB5913">
      <w:pPr>
        <w:pStyle w:val="BodyText"/>
      </w:pPr>
      <w:r w:rsidRPr="006623B9">
        <w:rPr>
          <w:spacing w:val="-2"/>
        </w:rPr>
        <w:t>Domestic wastewater in New Zealand is predominantly managed through municipal wastewater treatment systems. Wastewater from almost all towns with populations greater than</w:t>
      </w:r>
      <w:r w:rsidRPr="006623B9">
        <w:t xml:space="preserve"> 1,000 people is collected and treated at municipal wastewater treatment plants. Nationally, there are an estimated 317 municipal plants, with a further 50 government or privately operated facilities serving populations above 1,000 (SCS Wetherill Environmental, unpublished).</w:t>
      </w:r>
    </w:p>
    <w:p w14:paraId="67F10D17" w14:textId="77777777" w:rsidR="00EB5913" w:rsidRPr="006623B9" w:rsidRDefault="00EB5913" w:rsidP="00EB5913">
      <w:pPr>
        <w:pStyle w:val="BodyText"/>
      </w:pPr>
      <w:r w:rsidRPr="006623B9">
        <w:t>For emissions estimation, the population is categorised in accordance with the 2006 IPCC Guidelines using two population groups: urban high income and rural. No portion of New Zealand’s population is classified as urban low income, because this category is intended for developing-country contexts where large urban settlements lack sewerage infrastructure (IPCC, 2006a).</w:t>
      </w:r>
    </w:p>
    <w:p w14:paraId="25901981" w14:textId="77777777" w:rsidR="00EB5913" w:rsidRPr="006623B9" w:rsidRDefault="00EB5913" w:rsidP="00EB5913">
      <w:pPr>
        <w:pStyle w:val="BodyText"/>
        <w:spacing w:after="100"/>
      </w:pPr>
      <w:r w:rsidRPr="006623B9">
        <w:rPr>
          <w:spacing w:val="-2"/>
        </w:rPr>
        <w:t>Because a nationally consolidated estimate of wastewater volumes treated by large wastewater</w:t>
      </w:r>
      <w:r w:rsidRPr="006623B9">
        <w:t xml:space="preserve"> treatment plants is not published for New Zealand, activity data must be compiled using information from major metropolitan systems, which account for the majority of national wastewater flows. Based on data reported by Watercare, large </w:t>
      </w:r>
      <w:r w:rsidRPr="006623B9">
        <w:rPr>
          <w:spacing w:val="-2"/>
        </w:rPr>
        <w:t>wastewater</w:t>
      </w:r>
      <w:r w:rsidRPr="006623B9">
        <w:t xml:space="preserve"> treatment plants in </w:t>
      </w:r>
      <w:r w:rsidRPr="006623B9">
        <w:rPr>
          <w:spacing w:val="-2"/>
        </w:rPr>
        <w:t>New Zealand treat at least 400 million litres of wastewater per day, with Auckland representing</w:t>
      </w:r>
      <w:r w:rsidRPr="006623B9">
        <w:t xml:space="preserve"> the largest single contributor to this total (Watercare, 2024).</w:t>
      </w:r>
    </w:p>
    <w:p w14:paraId="242F1DCA" w14:textId="77777777" w:rsidR="00EB5913" w:rsidRPr="006623B9" w:rsidRDefault="00EB5913" w:rsidP="00EB5913">
      <w:pPr>
        <w:pStyle w:val="BodyText"/>
        <w:spacing w:after="100"/>
      </w:pPr>
      <w:r w:rsidRPr="006623B9">
        <w:t>Overall, New Zealand’s domestic wastewater treatment is predominantly aerobic, meaning CH₄ generation is generally negligible under normal operations. However, some systems incorporate partially anaerobic conditions, which may result in CH₄ emissions, typically at low levels and sometimes with partial destruction of CH₄ within the system.</w:t>
      </w:r>
    </w:p>
    <w:p w14:paraId="3E96A380" w14:textId="77777777" w:rsidR="00EB5913" w:rsidRPr="006623B9" w:rsidRDefault="00EB5913" w:rsidP="00EB5913">
      <w:pPr>
        <w:pStyle w:val="BodyText"/>
        <w:spacing w:after="100"/>
      </w:pPr>
      <w:r w:rsidRPr="006623B9">
        <w:t>Key treatment types and pathways are summarised below.</w:t>
      </w:r>
    </w:p>
    <w:p w14:paraId="340B4C87" w14:textId="77777777" w:rsidR="00EB5913" w:rsidRPr="006623B9" w:rsidRDefault="00EB5913" w:rsidP="00EB5913">
      <w:pPr>
        <w:pStyle w:val="Bullet"/>
        <w:spacing w:after="100"/>
      </w:pPr>
      <w:r w:rsidRPr="006623B9">
        <w:rPr>
          <w:i/>
          <w:iCs/>
        </w:rPr>
        <w:t>Aerobic wastewater treatment plants</w:t>
      </w:r>
      <w:r w:rsidRPr="006623B9">
        <w:t>: Most wastewater is treated in aerobic systems (e.g., activated sludge, trickling filters, aerated ponds). These plants represent 30 percent of facilities but treat 75 percent of wastewater. Under normal operation, aerobic processes do not generate CH</w:t>
      </w:r>
      <w:r w:rsidRPr="006623B9">
        <w:rPr>
          <w:vertAlign w:val="subscript"/>
        </w:rPr>
        <w:t>4</w:t>
      </w:r>
      <w:r w:rsidRPr="006623B9">
        <w:t>, except under severe malfunction. Any CH</w:t>
      </w:r>
      <w:r w:rsidRPr="006623B9">
        <w:rPr>
          <w:vertAlign w:val="subscript"/>
        </w:rPr>
        <w:t>4</w:t>
      </w:r>
      <w:r w:rsidRPr="006623B9">
        <w:t xml:space="preserve"> associated with anaerobic sludge handling is addressed separately in emissions accounting (SCS Wetherill Environmental, unpublished).</w:t>
      </w:r>
    </w:p>
    <w:p w14:paraId="3083A784" w14:textId="77777777" w:rsidR="00EB5913" w:rsidRPr="006623B9" w:rsidRDefault="00EB5913" w:rsidP="00EB5913">
      <w:pPr>
        <w:pStyle w:val="Bullet"/>
        <w:spacing w:after="100"/>
      </w:pPr>
      <w:r w:rsidRPr="006623B9">
        <w:rPr>
          <w:i/>
          <w:iCs/>
        </w:rPr>
        <w:t>Oxidation ponds</w:t>
      </w:r>
      <w:r w:rsidRPr="006623B9">
        <w:t>: Approximately 57 percent of domestic wastewater treatment plants use oxidation ponds as the first treatment stage, collectively treating 8 percent of wastewater. While often operated with aerobic and facultative characteristics, these lagoon-based systems can develop anaerobic zones, and therefore may generate CH</w:t>
      </w:r>
      <w:r w:rsidRPr="006623B9">
        <w:rPr>
          <w:vertAlign w:val="subscript"/>
        </w:rPr>
        <w:t>4</w:t>
      </w:r>
      <w:r w:rsidRPr="006623B9">
        <w:t>, although emissions may remain low and/or be partially oxidised or destroyed within the system (SCS Wetherill Environmental, unpublished).</w:t>
      </w:r>
    </w:p>
    <w:p w14:paraId="45BE4FF0" w14:textId="77777777" w:rsidR="00EB5913" w:rsidRPr="006623B9" w:rsidRDefault="00EB5913" w:rsidP="00EB5913">
      <w:pPr>
        <w:pStyle w:val="Bullet"/>
        <w:spacing w:after="100"/>
      </w:pPr>
      <w:r w:rsidRPr="006623B9">
        <w:rPr>
          <w:i/>
          <w:iCs/>
        </w:rPr>
        <w:t>Septic tanks</w:t>
      </w:r>
      <w:r w:rsidRPr="006623B9">
        <w:t>: Small rural communities and individual dwellings frequently rely on septic tanks followed by soakage trenches. An unpublished assessment by SCS Wetherill Environmental indicates that, among rural centres not connected to council-owned or other treatment plants, 90 percent are served by septic tanks, with the remaining 10 percent assumed to use small-scale aerobic package plants (e.g., serving camps, hotels, or minor residential facilities). Although the population using septic tanks is a relatively small share nationally, septic tanks contribute the largest proportion of CH</w:t>
      </w:r>
      <w:r w:rsidRPr="006623B9">
        <w:rPr>
          <w:vertAlign w:val="subscript"/>
        </w:rPr>
        <w:t>4</w:t>
      </w:r>
      <w:r w:rsidRPr="006623B9">
        <w:t xml:space="preserve"> emissions from domestic wastewater, reflecting the inherently anaerobic environment in tanks and the limited capacity for CH</w:t>
      </w:r>
      <w:r w:rsidRPr="006623B9">
        <w:rPr>
          <w:vertAlign w:val="subscript"/>
        </w:rPr>
        <w:t>4</w:t>
      </w:r>
      <w:r w:rsidRPr="006623B9">
        <w:t xml:space="preserve"> oxidation and destruction in these systems (SCS Wetherill Environmental, unpublished).</w:t>
      </w:r>
    </w:p>
    <w:p w14:paraId="310D93FD" w14:textId="77777777" w:rsidR="00EB5913" w:rsidRPr="006623B9" w:rsidRDefault="00EB5913" w:rsidP="00EB5913">
      <w:pPr>
        <w:pStyle w:val="Bullet"/>
        <w:spacing w:after="100"/>
      </w:pPr>
      <w:r w:rsidRPr="006623B9">
        <w:rPr>
          <w:i/>
          <w:iCs/>
        </w:rPr>
        <w:t>Other anaerobic treatment</w:t>
      </w:r>
      <w:r w:rsidRPr="006623B9">
        <w:t>: Outside septic tanks, anaerobic treatment of domestic wastewater is uncommon. Some towns have anaerobic ponds, and several small communities operate Imhoff tanks. No other municipal treatment plants are known to use anaerobic processes as the primary treatment method (SCS Wetherill Environmental, unpublished).</w:t>
      </w:r>
    </w:p>
    <w:p w14:paraId="70F316AA" w14:textId="77777777" w:rsidR="00EB5913" w:rsidRPr="006623B9" w:rsidRDefault="00EB5913" w:rsidP="00EB5913">
      <w:pPr>
        <w:pStyle w:val="Bullet"/>
        <w:spacing w:after="100"/>
      </w:pPr>
      <w:r w:rsidRPr="006623B9">
        <w:rPr>
          <w:i/>
          <w:iCs/>
        </w:rPr>
        <w:t>Milliscreening</w:t>
      </w:r>
      <w:r w:rsidRPr="006623B9">
        <w:t>: Some towns and cities discharge milliscreened or untreated wastewater directly to the sea. In the marine environment, organic material is predominantly aerobically degraded, and CH</w:t>
      </w:r>
      <w:r w:rsidRPr="006623B9">
        <w:rPr>
          <w:vertAlign w:val="subscript"/>
        </w:rPr>
        <w:t>4</w:t>
      </w:r>
      <w:r w:rsidRPr="006623B9">
        <w:t xml:space="preserve"> is not generated. Screenings captured by milliscreens are disposed of to landfills and are accounted for under the </w:t>
      </w:r>
      <w:r w:rsidRPr="006623B9">
        <w:rPr>
          <w:i/>
          <w:iCs/>
        </w:rPr>
        <w:t>Solid waste disposal</w:t>
      </w:r>
      <w:r w:rsidRPr="006623B9">
        <w:t xml:space="preserve"> category (SCS Wetherill Environmental, unpublished).</w:t>
      </w:r>
    </w:p>
    <w:p w14:paraId="38B97C15" w14:textId="77777777" w:rsidR="00EB5913" w:rsidRPr="006623B9" w:rsidRDefault="00EB5913" w:rsidP="00EB5913">
      <w:pPr>
        <w:pStyle w:val="Heading4"/>
      </w:pPr>
      <w:bookmarkStart w:id="3097" w:name="industrial-wastewater-5.d.2"/>
      <w:bookmarkEnd w:id="3096"/>
      <w:r w:rsidRPr="006623B9">
        <w:rPr>
          <w:i/>
          <w:iCs/>
        </w:rPr>
        <w:t>Industrial wastewater (5.D.2)</w:t>
      </w:r>
    </w:p>
    <w:p w14:paraId="3EDA0314" w14:textId="77777777" w:rsidR="00EB5913" w:rsidRPr="006623B9" w:rsidRDefault="00EB5913" w:rsidP="00EB5913">
      <w:pPr>
        <w:pStyle w:val="BodyText"/>
        <w:spacing w:before="80" w:after="100"/>
      </w:pPr>
      <w:r w:rsidRPr="006623B9">
        <w:t>Industrial wastewater emissions in New Zealand arise primarily from high‑strength wastewater streams generated by primary processing industries. In general, industrial wastewater is treated using aerobic processes or, where anaerobic treatment is used, CH</w:t>
      </w:r>
      <w:r w:rsidRPr="006623B9">
        <w:rPr>
          <w:vertAlign w:val="subscript"/>
        </w:rPr>
        <w:t>4</w:t>
      </w:r>
      <w:r w:rsidRPr="006623B9">
        <w:t xml:space="preserve"> is often captured and flared. However, a significant number of uncovered anaerobic ponds remain, particularly in parts of the meat processing sector, where CH</w:t>
      </w:r>
      <w:r w:rsidRPr="006623B9">
        <w:rPr>
          <w:vertAlign w:val="subscript"/>
        </w:rPr>
        <w:t>4</w:t>
      </w:r>
      <w:r w:rsidRPr="006623B9">
        <w:t xml:space="preserve"> is not collected and is therefore emitted to the atmosphere (SCS Wetherill Environmental, unpublished).</w:t>
      </w:r>
    </w:p>
    <w:p w14:paraId="4CB4DAC0" w14:textId="77777777" w:rsidR="00EB5913" w:rsidRPr="006623B9" w:rsidRDefault="00EB5913" w:rsidP="00EB5913">
      <w:pPr>
        <w:pStyle w:val="BodyText"/>
      </w:pPr>
      <w:r w:rsidRPr="006623B9">
        <w:t>Overall, the meat processing and pulp and paper industries are the principal sources of industrial wastewater CH</w:t>
      </w:r>
      <w:r w:rsidRPr="006623B9">
        <w:rPr>
          <w:vertAlign w:val="subscript"/>
        </w:rPr>
        <w:t>4</w:t>
      </w:r>
      <w:r w:rsidRPr="006623B9">
        <w:t xml:space="preserve"> emissions in New Zealand, with meat processing identified as the largest contributor (SCS Wetherill Environmental, unpublished).</w:t>
      </w:r>
    </w:p>
    <w:p w14:paraId="5138D256" w14:textId="77777777" w:rsidR="00EB5913" w:rsidRPr="006623B9" w:rsidRDefault="00EB5913" w:rsidP="00EB5913">
      <w:pPr>
        <w:pStyle w:val="BodyText"/>
      </w:pPr>
      <w:r w:rsidRPr="006623B9">
        <w:t>Key industrial sources and treatment practices are summarised below.</w:t>
      </w:r>
    </w:p>
    <w:p w14:paraId="0BEA1E3D" w14:textId="77777777" w:rsidR="00EB5913" w:rsidRPr="006623B9" w:rsidRDefault="00EB5913" w:rsidP="00EB5913">
      <w:pPr>
        <w:pStyle w:val="Bullet"/>
      </w:pPr>
      <w:r w:rsidRPr="006623B9">
        <w:rPr>
          <w:i/>
          <w:iCs/>
        </w:rPr>
        <w:t>Meat processing</w:t>
      </w:r>
      <w:r w:rsidRPr="006623B9">
        <w:t>: The meat processing industry is the largest source of CH</w:t>
      </w:r>
      <w:r w:rsidRPr="006623B9">
        <w:rPr>
          <w:vertAlign w:val="subscript"/>
        </w:rPr>
        <w:t>4</w:t>
      </w:r>
      <w:r w:rsidRPr="006623B9">
        <w:t xml:space="preserve"> emissions from industrial wastewater. SCS Wetherill Environmental (unpublished) reports approximately 80 licensed abattoirs exist in New Zealand. Around 29 abattoirs operate wastewater treatment ponds, of which 26 are anaerobic. These anaerobic pond systems, particularly where CH</w:t>
      </w:r>
      <w:r w:rsidRPr="006623B9">
        <w:rPr>
          <w:vertAlign w:val="subscript"/>
        </w:rPr>
        <w:t>4</w:t>
      </w:r>
      <w:r w:rsidRPr="006623B9">
        <w:t xml:space="preserve"> collection is not installed, are a significant driver of emissions. Other facilities either discharge to the marine environment with minimal treatment, use aerobic treatment, or discharge to municipal sewers (SCS Wetherill Environmental, unpublished). Rapid growth in poultry meat production has been reported, with most production consumed domestically. Approximately 80 percent of poultry wastewater is treated using aerobic systems or discharged to municipal sewers. The remaining wastewater is typically treated in anaerobic ponds, which may contribute to CH</w:t>
      </w:r>
      <w:r w:rsidRPr="006623B9">
        <w:rPr>
          <w:vertAlign w:val="subscript"/>
        </w:rPr>
        <w:t>4</w:t>
      </w:r>
      <w:r w:rsidRPr="006623B9">
        <w:t xml:space="preserve"> emissions where capture is not implemented (SCS Wetherill Environmental, unpublished).</w:t>
      </w:r>
    </w:p>
    <w:p w14:paraId="2F96BA57" w14:textId="77777777" w:rsidR="00EB5913" w:rsidRPr="006623B9" w:rsidRDefault="00EB5913" w:rsidP="00EB5913">
      <w:pPr>
        <w:pStyle w:val="Bullet"/>
      </w:pPr>
      <w:r w:rsidRPr="006623B9">
        <w:rPr>
          <w:i/>
          <w:iCs/>
        </w:rPr>
        <w:t>Pulp and paper</w:t>
      </w:r>
      <w:r w:rsidRPr="006623B9">
        <w:t>: The largest wastewater flows in this sector are treated in aerated ponds; however, some anaerobic decomposition may occur in pond sediments. Some plants use upflow anaerobic sludge blanket treatment, but CH</w:t>
      </w:r>
      <w:r w:rsidRPr="006623B9">
        <w:rPr>
          <w:vertAlign w:val="subscript"/>
        </w:rPr>
        <w:t>4</w:t>
      </w:r>
      <w:r w:rsidRPr="006623B9">
        <w:t xml:space="preserve"> generated through these systems is captured and flared prior to release. Other processors in this sector use aerobic treatment (SCS Wetherill Environmental, unpublished).</w:t>
      </w:r>
    </w:p>
    <w:p w14:paraId="44776D94" w14:textId="77777777" w:rsidR="00EB5913" w:rsidRPr="006623B9" w:rsidRDefault="00EB5913" w:rsidP="00EB5913">
      <w:pPr>
        <w:pStyle w:val="Bullet"/>
      </w:pPr>
      <w:r w:rsidRPr="006623B9">
        <w:rPr>
          <w:i/>
          <w:iCs/>
        </w:rPr>
        <w:t>Beverage production</w:t>
      </w:r>
      <w:r w:rsidRPr="006623B9">
        <w:t>: Breweries generally use aerobic treatment or discharge to the sewer network. Some CH</w:t>
      </w:r>
      <w:r w:rsidRPr="006623B9">
        <w:rPr>
          <w:vertAlign w:val="subscript"/>
        </w:rPr>
        <w:t>4</w:t>
      </w:r>
      <w:r w:rsidRPr="006623B9">
        <w:t xml:space="preserve"> generation has been reported from wine production wastewater, although this is not considered a dominant source relative to meat processing and pulp and paper (SCS Wetherill Environmental, unpublished).</w:t>
      </w:r>
    </w:p>
    <w:p w14:paraId="34B395AB" w14:textId="77777777" w:rsidR="00EB5913" w:rsidRPr="006623B9" w:rsidRDefault="00EB5913" w:rsidP="00EB5913">
      <w:pPr>
        <w:pStyle w:val="Bullet"/>
      </w:pPr>
      <w:r w:rsidRPr="006623B9">
        <w:rPr>
          <w:i/>
          <w:iCs/>
        </w:rPr>
        <w:t>Wool scouring</w:t>
      </w:r>
      <w:r w:rsidRPr="006623B9">
        <w:t>: Nearly all wool scouring wastewater treatment has shifted from anaerobic ponds to aerobic treatment systems, based on information from the Wool Research Organisation of New Zealand. As a result, CH</w:t>
      </w:r>
      <w:r w:rsidRPr="006623B9">
        <w:rPr>
          <w:vertAlign w:val="subscript"/>
        </w:rPr>
        <w:t>4</w:t>
      </w:r>
      <w:r w:rsidRPr="006623B9">
        <w:t xml:space="preserve"> emissions from this source are low (SCS Wetherill Environmental, unpublished).</w:t>
      </w:r>
    </w:p>
    <w:p w14:paraId="68817EDC" w14:textId="77777777" w:rsidR="00EB5913" w:rsidRPr="006623B9" w:rsidRDefault="00EB5913" w:rsidP="00EB5913">
      <w:pPr>
        <w:pStyle w:val="Bullet"/>
      </w:pPr>
      <w:r w:rsidRPr="006623B9">
        <w:rPr>
          <w:i/>
          <w:iCs/>
          <w:spacing w:val="-2"/>
        </w:rPr>
        <w:t>Dairy processing</w:t>
      </w:r>
      <w:r w:rsidRPr="006623B9">
        <w:rPr>
          <w:spacing w:val="-2"/>
        </w:rPr>
        <w:t>: The dairy sector produces large volumes of high chemical oxygen demand (COD) wastewater; however, treatment is predominantly aerobic. Where anaerobic</w:t>
      </w:r>
      <w:r w:rsidRPr="006623B9">
        <w:t xml:space="preserve"> treatment is used, CH</w:t>
      </w:r>
      <w:r w:rsidRPr="006623B9">
        <w:rPr>
          <w:vertAlign w:val="subscript"/>
        </w:rPr>
        <w:t>4</w:t>
      </w:r>
      <w:r w:rsidRPr="006623B9">
        <w:t xml:space="preserve"> is collected and flared, and therefore CH</w:t>
      </w:r>
      <w:r w:rsidRPr="006623B9">
        <w:rPr>
          <w:vertAlign w:val="subscript"/>
        </w:rPr>
        <w:t>4</w:t>
      </w:r>
      <w:r w:rsidRPr="006623B9">
        <w:t xml:space="preserve"> emissions from dairy wastewater are not considered significant (SCS Wetherill Environmental, unpublished).</w:t>
      </w:r>
    </w:p>
    <w:p w14:paraId="4AECB189" w14:textId="77777777" w:rsidR="00EB5913" w:rsidRPr="006623B9" w:rsidRDefault="00EB5913" w:rsidP="00EB5913">
      <w:pPr>
        <w:pStyle w:val="Bullet"/>
      </w:pPr>
      <w:r w:rsidRPr="006623B9">
        <w:rPr>
          <w:i/>
          <w:iCs/>
        </w:rPr>
        <w:t>Leather and skins</w:t>
      </w:r>
      <w:r w:rsidRPr="006623B9">
        <w:t>: The remaining tanneries have transitioned from anaerobic to aerobic treatment, primarily for odour control. Methane emissions are assumed to be negligible (SCS Wetherill Environmental, unpublished).</w:t>
      </w:r>
    </w:p>
    <w:p w14:paraId="7563B905" w14:textId="77777777" w:rsidR="00EB5913" w:rsidRPr="006623B9" w:rsidRDefault="00EB5913" w:rsidP="00EB5913">
      <w:pPr>
        <w:pStyle w:val="Heading3"/>
      </w:pPr>
      <w:bookmarkStart w:id="3098" w:name="methodological-issues-3"/>
      <w:bookmarkEnd w:id="3094"/>
      <w:bookmarkEnd w:id="3097"/>
      <w:r w:rsidRPr="006623B9">
        <w:t xml:space="preserve">7.5.2 </w:t>
      </w:r>
      <w:r w:rsidRPr="006623B9">
        <w:tab/>
        <w:t>Methodological issues</w:t>
      </w:r>
    </w:p>
    <w:p w14:paraId="0DBDF65F" w14:textId="77777777" w:rsidR="00EB5913" w:rsidRPr="006623B9" w:rsidRDefault="00EB5913" w:rsidP="00EB5913">
      <w:pPr>
        <w:pStyle w:val="Heading4"/>
        <w:spacing w:before="200"/>
      </w:pPr>
      <w:bookmarkStart w:id="3099" w:name="choice-of-activity-data-3"/>
      <w:r w:rsidRPr="006623B9">
        <w:t>Choice of activity data</w:t>
      </w:r>
    </w:p>
    <w:p w14:paraId="4BA1503C" w14:textId="77777777" w:rsidR="00EB5913" w:rsidRPr="006623B9" w:rsidRDefault="00EB5913" w:rsidP="00EB5913">
      <w:pPr>
        <w:pStyle w:val="Heading5"/>
        <w:spacing w:before="200"/>
      </w:pPr>
      <w:bookmarkStart w:id="3100" w:name="domestic-wastewater-5.d.1-1"/>
      <w:r w:rsidRPr="006623B9">
        <w:t>Domestic wastewater (5.D.1)</w:t>
      </w:r>
    </w:p>
    <w:p w14:paraId="068FF0B5" w14:textId="77777777" w:rsidR="00EB5913" w:rsidRPr="006623B9" w:rsidRDefault="00EB5913" w:rsidP="00EB5913">
      <w:pPr>
        <w:pStyle w:val="BodyText"/>
      </w:pPr>
      <w:r w:rsidRPr="006623B9">
        <w:t>Estimates for CH</w:t>
      </w:r>
      <w:r w:rsidRPr="006623B9">
        <w:rPr>
          <w:vertAlign w:val="subscript"/>
        </w:rPr>
        <w:t>4</w:t>
      </w:r>
      <w:r w:rsidRPr="006623B9">
        <w:t xml:space="preserve"> emissions are derived from combining the population connected to each treatment plant in New Zealand with the treatment methods for each plant (Beca Infrastructure Ltd, unpublished).</w:t>
      </w:r>
    </w:p>
    <w:p w14:paraId="5B11FA3D" w14:textId="77777777" w:rsidR="00EB5913" w:rsidRPr="006623B9" w:rsidRDefault="00EB5913" w:rsidP="00EB5913">
      <w:pPr>
        <w:pStyle w:val="BodyText"/>
      </w:pPr>
      <w:r w:rsidRPr="006623B9">
        <w:t>The population using each municipal treatment plant and an estimation of the population using septic tanks were determined (Beca Infrastructure Ltd, unpublished; SCS Wetherill Environmental, unpublished). Emissions from the wastewater treatment plants are calculated for 1997, 2001, 2006 and every year from 2013 onward. Emissions from the years before 1997 are calculated based on a fixed aggregate methane correction factor from 1997. Emissions from the remaining years are interpolated.</w:t>
      </w:r>
    </w:p>
    <w:p w14:paraId="5BB9CFA0" w14:textId="77777777" w:rsidR="00EB5913" w:rsidRPr="006623B9" w:rsidRDefault="00EB5913" w:rsidP="00EB5913">
      <w:pPr>
        <w:pStyle w:val="BodyText"/>
      </w:pPr>
      <w:r w:rsidRPr="006623B9">
        <w:t>Emissions are proportional to the population treated by each plant, and population data are updated based on the population growth rate of the district in which the plant is located, using the latest population data. This information is obtained from Stats NZ. For intermediate years, data are interpolated. Years before 1997 are driven by national population growth using the methane correction factor from 1997.</w:t>
      </w:r>
    </w:p>
    <w:p w14:paraId="025F0253" w14:textId="77777777" w:rsidR="00EB5913" w:rsidRPr="006623B9" w:rsidRDefault="00EB5913" w:rsidP="00EB5913">
      <w:pPr>
        <w:pStyle w:val="BodyText"/>
      </w:pPr>
      <w:r w:rsidRPr="006623B9">
        <w:t>In 2024, the population connected to treatment plants was estimated to be about 4.2 million. The connected population excludes people connected to rural septic tanks, estimated at 515,034 people in 2024, and approximately 57,268 people using other aerobic plants. The total population of New Zealand was 5.2 million, therefore, the remaining population of 369,961 people is not accounted for. This is a result of incomplete data on the wastewater treatment plants in New Zealand and the populations connected to each of these plants being estimated. To account for emissions from the remaining population, CH</w:t>
      </w:r>
      <w:r w:rsidRPr="006623B9">
        <w:rPr>
          <w:vertAlign w:val="subscript"/>
        </w:rPr>
        <w:t>4</w:t>
      </w:r>
      <w:r w:rsidRPr="006623B9">
        <w:t xml:space="preserve"> emissions for the </w:t>
      </w:r>
      <w:r w:rsidRPr="006623B9">
        <w:rPr>
          <w:i/>
          <w:iCs/>
        </w:rPr>
        <w:t>Domestic wastewater</w:t>
      </w:r>
      <w:r w:rsidRPr="006623B9">
        <w:t xml:space="preserve"> source category were scaled up proportionately based on the population for which emissions are known. An assumption is made to apply the average emission factor for wastewater treatment for this otherwise unaccounted-for population.</w:t>
      </w:r>
    </w:p>
    <w:p w14:paraId="11E8CB6C" w14:textId="77777777" w:rsidR="00EB5913" w:rsidRPr="006623B9" w:rsidRDefault="00EB5913" w:rsidP="00EB5913">
      <w:pPr>
        <w:pStyle w:val="BodyText"/>
      </w:pPr>
      <w:r w:rsidRPr="006623B9">
        <w:t>Indirect N</w:t>
      </w:r>
      <w:r w:rsidRPr="006623B9">
        <w:rPr>
          <w:vertAlign w:val="subscript"/>
        </w:rPr>
        <w:t>2</w:t>
      </w:r>
      <w:r w:rsidRPr="006623B9">
        <w:t xml:space="preserve">O emissions from the disposal of treated domestic wastewater are estimated using per–capita protein consumption and national population estimates, less the population using septic tanks because there is no liquid effluent from septic tanks. Activity data for </w:t>
      </w:r>
      <w:r w:rsidRPr="006623B9">
        <w:rPr>
          <w:i/>
          <w:iCs/>
        </w:rPr>
        <w:t>Domestic wastewater</w:t>
      </w:r>
      <w:r w:rsidRPr="006623B9">
        <w:t xml:space="preserve"> are reported in table 7.5.2. Also included in table 7.5.2 is an aggregate CH</w:t>
      </w:r>
      <w:r w:rsidRPr="006623B9">
        <w:rPr>
          <w:vertAlign w:val="subscript"/>
        </w:rPr>
        <w:t>4</w:t>
      </w:r>
      <w:r w:rsidRPr="006623B9">
        <w:t xml:space="preserve"> correction factor that is determined by the sum of the CH</w:t>
      </w:r>
      <w:r w:rsidRPr="006623B9">
        <w:rPr>
          <w:vertAlign w:val="subscript"/>
        </w:rPr>
        <w:t>4</w:t>
      </w:r>
      <w:r w:rsidRPr="006623B9">
        <w:t xml:space="preserve"> correction factor for various treatment types, weighted by the population served by each type.</w:t>
      </w:r>
    </w:p>
    <w:p w14:paraId="2AD0BA97" w14:textId="77777777" w:rsidR="00EB5913" w:rsidRPr="006623B9" w:rsidRDefault="00EB5913" w:rsidP="00EB5913">
      <w:pPr>
        <w:pStyle w:val="Table"/>
      </w:pPr>
      <w:bookmarkStart w:id="3101" w:name="_Toc226669121"/>
      <w:r w:rsidRPr="006623B9">
        <w:t xml:space="preserve">Table 7.5.2 </w:t>
      </w:r>
      <w:r w:rsidRPr="006623B9">
        <w:tab/>
        <w:t xml:space="preserve">Activity data and key factors for </w:t>
      </w:r>
      <w:r w:rsidRPr="006623B9">
        <w:rPr>
          <w:i/>
          <w:iCs/>
        </w:rPr>
        <w:t>Domestic wastewater</w:t>
      </w:r>
      <w:r w:rsidRPr="006623B9">
        <w:t xml:space="preserve"> from 1990 to 2024</w:t>
      </w:r>
      <w:bookmarkEnd w:id="3101"/>
    </w:p>
    <w:tbl>
      <w:tblPr>
        <w:tblW w:w="8562"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964"/>
        <w:gridCol w:w="1531"/>
        <w:gridCol w:w="2665"/>
        <w:gridCol w:w="3402"/>
      </w:tblGrid>
      <w:tr w:rsidR="00EB5913" w:rsidRPr="006623B9" w14:paraId="2E785DB8" w14:textId="77777777" w:rsidTr="00F16E23">
        <w:trPr>
          <w:tblHeader/>
        </w:trPr>
        <w:tc>
          <w:tcPr>
            <w:tcW w:w="0" w:type="auto"/>
            <w:shd w:val="clear" w:color="auto" w:fill="1B556B"/>
            <w:tcMar>
              <w:top w:w="0" w:type="dxa"/>
              <w:left w:w="85" w:type="dxa"/>
              <w:bottom w:w="0" w:type="dxa"/>
              <w:right w:w="85" w:type="dxa"/>
            </w:tcMar>
            <w:vAlign w:val="center"/>
          </w:tcPr>
          <w:p w14:paraId="249300DC" w14:textId="77777777" w:rsidR="00EB5913" w:rsidRPr="006623B9" w:rsidRDefault="00EB5913" w:rsidP="00F16E23">
            <w:pPr>
              <w:pStyle w:val="TableTextBold"/>
              <w:spacing w:before="40" w:after="40"/>
              <w:rPr>
                <w:noProof w:val="0"/>
                <w:color w:val="FFFFFF" w:themeColor="background1"/>
                <w:szCs w:val="16"/>
              </w:rPr>
            </w:pPr>
            <w:r w:rsidRPr="006623B9">
              <w:rPr>
                <w:noProof w:val="0"/>
                <w:color w:val="FFFFFF" w:themeColor="background1"/>
                <w:szCs w:val="16"/>
              </w:rPr>
              <w:t>Year</w:t>
            </w:r>
          </w:p>
        </w:tc>
        <w:tc>
          <w:tcPr>
            <w:tcW w:w="1531" w:type="dxa"/>
            <w:shd w:val="clear" w:color="auto" w:fill="1B556B"/>
            <w:tcMar>
              <w:top w:w="0" w:type="dxa"/>
              <w:left w:w="85" w:type="dxa"/>
              <w:bottom w:w="0" w:type="dxa"/>
              <w:right w:w="85" w:type="dxa"/>
            </w:tcMar>
            <w:vAlign w:val="center"/>
          </w:tcPr>
          <w:p w14:paraId="3694AEC5" w14:textId="77777777" w:rsidR="00EB5913" w:rsidRPr="006623B9" w:rsidRDefault="00EB5913" w:rsidP="00F16E23">
            <w:pPr>
              <w:pStyle w:val="TableTextBold"/>
              <w:spacing w:before="40" w:after="40"/>
              <w:jc w:val="right"/>
              <w:rPr>
                <w:noProof w:val="0"/>
                <w:color w:val="FFFFFF" w:themeColor="background1"/>
                <w:szCs w:val="16"/>
              </w:rPr>
            </w:pPr>
            <w:r w:rsidRPr="006623B9">
              <w:rPr>
                <w:noProof w:val="0"/>
                <w:color w:val="FFFFFF" w:themeColor="background1"/>
                <w:szCs w:val="16"/>
              </w:rPr>
              <w:t>National population</w:t>
            </w:r>
          </w:p>
        </w:tc>
        <w:tc>
          <w:tcPr>
            <w:tcW w:w="2665" w:type="dxa"/>
            <w:shd w:val="clear" w:color="auto" w:fill="1B556B"/>
            <w:tcMar>
              <w:top w:w="0" w:type="dxa"/>
              <w:left w:w="85" w:type="dxa"/>
              <w:bottom w:w="0" w:type="dxa"/>
              <w:right w:w="85" w:type="dxa"/>
            </w:tcMar>
            <w:vAlign w:val="center"/>
          </w:tcPr>
          <w:p w14:paraId="010193E9" w14:textId="77777777" w:rsidR="00EB5913" w:rsidRPr="006623B9" w:rsidRDefault="00EB5913" w:rsidP="00F16E23">
            <w:pPr>
              <w:pStyle w:val="TableTextBold"/>
              <w:spacing w:before="40" w:after="40"/>
              <w:rPr>
                <w:noProof w:val="0"/>
                <w:color w:val="FFFFFF" w:themeColor="background1"/>
                <w:szCs w:val="16"/>
              </w:rPr>
            </w:pPr>
            <w:r w:rsidRPr="006623B9">
              <w:rPr>
                <w:noProof w:val="0"/>
                <w:color w:val="FFFFFF" w:themeColor="background1"/>
                <w:szCs w:val="16"/>
              </w:rPr>
              <w:t>Aggregate methane correction factor</w:t>
            </w:r>
          </w:p>
        </w:tc>
        <w:tc>
          <w:tcPr>
            <w:tcW w:w="3402" w:type="dxa"/>
            <w:shd w:val="clear" w:color="auto" w:fill="1B556B"/>
            <w:tcMar>
              <w:top w:w="0" w:type="dxa"/>
              <w:left w:w="85" w:type="dxa"/>
              <w:bottom w:w="0" w:type="dxa"/>
              <w:right w:w="85" w:type="dxa"/>
            </w:tcMar>
            <w:vAlign w:val="center"/>
          </w:tcPr>
          <w:p w14:paraId="34940B0A" w14:textId="77777777" w:rsidR="00EB5913" w:rsidRPr="006623B9" w:rsidRDefault="00EB5913" w:rsidP="00F16E23">
            <w:pPr>
              <w:pStyle w:val="TableTextBold"/>
              <w:spacing w:before="40" w:after="40"/>
              <w:jc w:val="right"/>
              <w:rPr>
                <w:noProof w:val="0"/>
                <w:color w:val="FFFFFF" w:themeColor="background1"/>
                <w:szCs w:val="16"/>
              </w:rPr>
            </w:pPr>
            <w:r w:rsidRPr="006623B9">
              <w:rPr>
                <w:noProof w:val="0"/>
                <w:color w:val="FFFFFF" w:themeColor="background1"/>
                <w:szCs w:val="16"/>
              </w:rPr>
              <w:t>Domestic wastewater total organic product (kt)</w:t>
            </w:r>
          </w:p>
        </w:tc>
      </w:tr>
      <w:tr w:rsidR="00EB5913" w:rsidRPr="006623B9" w14:paraId="1B875C90" w14:textId="77777777" w:rsidTr="00F16E23">
        <w:tc>
          <w:tcPr>
            <w:tcW w:w="0" w:type="auto"/>
            <w:shd w:val="clear" w:color="auto" w:fill="FFFFFF"/>
            <w:tcMar>
              <w:top w:w="0" w:type="dxa"/>
              <w:left w:w="85" w:type="dxa"/>
              <w:bottom w:w="0" w:type="dxa"/>
              <w:right w:w="85" w:type="dxa"/>
            </w:tcMar>
            <w:vAlign w:val="center"/>
          </w:tcPr>
          <w:p w14:paraId="5AB02E14"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1990</w:t>
            </w:r>
          </w:p>
        </w:tc>
        <w:tc>
          <w:tcPr>
            <w:tcW w:w="1531" w:type="dxa"/>
            <w:shd w:val="clear" w:color="auto" w:fill="FFFFFF"/>
            <w:tcMar>
              <w:top w:w="0" w:type="dxa"/>
              <w:left w:w="85" w:type="dxa"/>
              <w:bottom w:w="0" w:type="dxa"/>
              <w:right w:w="85" w:type="dxa"/>
            </w:tcMar>
            <w:vAlign w:val="center"/>
          </w:tcPr>
          <w:p w14:paraId="33E48960" w14:textId="77777777" w:rsidR="00EB5913" w:rsidRPr="006623B9" w:rsidRDefault="00EB5913" w:rsidP="00F16E23">
            <w:pPr>
              <w:pStyle w:val="TableText"/>
              <w:spacing w:before="40" w:after="40"/>
              <w:jc w:val="right"/>
              <w:rPr>
                <w:szCs w:val="16"/>
              </w:rPr>
            </w:pPr>
            <w:r w:rsidRPr="006623B9">
              <w:rPr>
                <w:rFonts w:eastAsia="Calibri"/>
                <w:color w:val="000000"/>
                <w:szCs w:val="16"/>
              </w:rPr>
              <w:t>3,410,400</w:t>
            </w:r>
          </w:p>
        </w:tc>
        <w:tc>
          <w:tcPr>
            <w:tcW w:w="2665" w:type="dxa"/>
            <w:shd w:val="clear" w:color="auto" w:fill="FFFFFF"/>
            <w:tcMar>
              <w:top w:w="0" w:type="dxa"/>
              <w:left w:w="85" w:type="dxa"/>
              <w:bottom w:w="0" w:type="dxa"/>
              <w:right w:w="85" w:type="dxa"/>
            </w:tcMar>
            <w:vAlign w:val="center"/>
          </w:tcPr>
          <w:p w14:paraId="6176EA69" w14:textId="77777777" w:rsidR="00EB5913" w:rsidRPr="006623B9" w:rsidRDefault="00EB5913" w:rsidP="00F16E23">
            <w:pPr>
              <w:pStyle w:val="TableText"/>
              <w:spacing w:before="40" w:after="40"/>
              <w:rPr>
                <w:szCs w:val="16"/>
              </w:rPr>
            </w:pPr>
            <w:r w:rsidRPr="006623B9">
              <w:rPr>
                <w:rFonts w:eastAsia="Calibri"/>
                <w:color w:val="000000"/>
                <w:szCs w:val="16"/>
              </w:rPr>
              <w:t>Same as 1997</w:t>
            </w:r>
          </w:p>
        </w:tc>
        <w:tc>
          <w:tcPr>
            <w:tcW w:w="3402" w:type="dxa"/>
            <w:shd w:val="clear" w:color="auto" w:fill="FFFFFF"/>
            <w:tcMar>
              <w:top w:w="0" w:type="dxa"/>
              <w:left w:w="85" w:type="dxa"/>
              <w:bottom w:w="0" w:type="dxa"/>
              <w:right w:w="85" w:type="dxa"/>
            </w:tcMar>
            <w:vAlign w:val="center"/>
          </w:tcPr>
          <w:p w14:paraId="2A0BA360" w14:textId="77777777" w:rsidR="00EB5913" w:rsidRPr="006623B9" w:rsidRDefault="00EB5913" w:rsidP="00F16E23">
            <w:pPr>
              <w:pStyle w:val="TableText"/>
              <w:spacing w:before="40" w:after="40"/>
              <w:jc w:val="right"/>
              <w:rPr>
                <w:szCs w:val="16"/>
              </w:rPr>
            </w:pPr>
            <w:r w:rsidRPr="006623B9">
              <w:rPr>
                <w:rFonts w:eastAsia="Calibri"/>
                <w:color w:val="000000"/>
                <w:szCs w:val="16"/>
              </w:rPr>
              <w:t>140.8</w:t>
            </w:r>
          </w:p>
        </w:tc>
      </w:tr>
      <w:tr w:rsidR="00EB5913" w:rsidRPr="006623B9" w14:paraId="0CAFB756" w14:textId="77777777" w:rsidTr="00F16E23">
        <w:tc>
          <w:tcPr>
            <w:tcW w:w="0" w:type="auto"/>
            <w:shd w:val="clear" w:color="auto" w:fill="FFFFFF"/>
            <w:tcMar>
              <w:top w:w="0" w:type="dxa"/>
              <w:left w:w="85" w:type="dxa"/>
              <w:bottom w:w="0" w:type="dxa"/>
              <w:right w:w="85" w:type="dxa"/>
            </w:tcMar>
            <w:vAlign w:val="center"/>
          </w:tcPr>
          <w:p w14:paraId="32F6CD1D"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1991</w:t>
            </w:r>
          </w:p>
        </w:tc>
        <w:tc>
          <w:tcPr>
            <w:tcW w:w="1531" w:type="dxa"/>
            <w:shd w:val="clear" w:color="auto" w:fill="FFFFFF"/>
            <w:tcMar>
              <w:top w:w="0" w:type="dxa"/>
              <w:left w:w="85" w:type="dxa"/>
              <w:bottom w:w="0" w:type="dxa"/>
              <w:right w:w="85" w:type="dxa"/>
            </w:tcMar>
            <w:vAlign w:val="center"/>
          </w:tcPr>
          <w:p w14:paraId="4127B258" w14:textId="77777777" w:rsidR="00EB5913" w:rsidRPr="006623B9" w:rsidRDefault="00EB5913" w:rsidP="00F16E23">
            <w:pPr>
              <w:pStyle w:val="TableText"/>
              <w:spacing w:before="40" w:after="40"/>
              <w:jc w:val="right"/>
              <w:rPr>
                <w:szCs w:val="16"/>
              </w:rPr>
            </w:pPr>
            <w:r w:rsidRPr="006623B9">
              <w:rPr>
                <w:rFonts w:eastAsia="Calibri"/>
                <w:color w:val="000000"/>
                <w:szCs w:val="16"/>
              </w:rPr>
              <w:t>3,516,000</w:t>
            </w:r>
          </w:p>
        </w:tc>
        <w:tc>
          <w:tcPr>
            <w:tcW w:w="2665" w:type="dxa"/>
            <w:shd w:val="clear" w:color="auto" w:fill="FFFFFF"/>
            <w:tcMar>
              <w:top w:w="0" w:type="dxa"/>
              <w:left w:w="85" w:type="dxa"/>
              <w:bottom w:w="0" w:type="dxa"/>
              <w:right w:w="85" w:type="dxa"/>
            </w:tcMar>
            <w:vAlign w:val="center"/>
          </w:tcPr>
          <w:p w14:paraId="2AF1A785" w14:textId="77777777" w:rsidR="00EB5913" w:rsidRPr="006623B9" w:rsidRDefault="00EB5913" w:rsidP="00F16E23">
            <w:pPr>
              <w:pStyle w:val="TableText"/>
              <w:spacing w:before="40" w:after="40"/>
              <w:rPr>
                <w:szCs w:val="16"/>
              </w:rPr>
            </w:pPr>
            <w:r w:rsidRPr="006623B9">
              <w:rPr>
                <w:rFonts w:eastAsia="Calibri"/>
                <w:color w:val="000000"/>
                <w:szCs w:val="16"/>
              </w:rPr>
              <w:t>Same as 1997</w:t>
            </w:r>
          </w:p>
        </w:tc>
        <w:tc>
          <w:tcPr>
            <w:tcW w:w="3402" w:type="dxa"/>
            <w:shd w:val="clear" w:color="auto" w:fill="FFFFFF"/>
            <w:tcMar>
              <w:top w:w="0" w:type="dxa"/>
              <w:left w:w="85" w:type="dxa"/>
              <w:bottom w:w="0" w:type="dxa"/>
              <w:right w:w="85" w:type="dxa"/>
            </w:tcMar>
            <w:vAlign w:val="center"/>
          </w:tcPr>
          <w:p w14:paraId="13B47315" w14:textId="77777777" w:rsidR="00EB5913" w:rsidRPr="006623B9" w:rsidRDefault="00EB5913" w:rsidP="00F16E23">
            <w:pPr>
              <w:pStyle w:val="TableText"/>
              <w:spacing w:before="40" w:after="40"/>
              <w:jc w:val="right"/>
              <w:rPr>
                <w:szCs w:val="16"/>
              </w:rPr>
            </w:pPr>
            <w:r w:rsidRPr="006623B9">
              <w:rPr>
                <w:rFonts w:eastAsia="Calibri"/>
                <w:color w:val="000000"/>
                <w:szCs w:val="16"/>
              </w:rPr>
              <w:t>145.1</w:t>
            </w:r>
          </w:p>
        </w:tc>
      </w:tr>
      <w:tr w:rsidR="00EB5913" w:rsidRPr="006623B9" w14:paraId="6EBBC6BC" w14:textId="77777777" w:rsidTr="00F16E23">
        <w:tc>
          <w:tcPr>
            <w:tcW w:w="0" w:type="auto"/>
            <w:shd w:val="clear" w:color="auto" w:fill="FFFFFF"/>
            <w:tcMar>
              <w:top w:w="0" w:type="dxa"/>
              <w:left w:w="85" w:type="dxa"/>
              <w:bottom w:w="0" w:type="dxa"/>
              <w:right w:w="85" w:type="dxa"/>
            </w:tcMar>
            <w:vAlign w:val="center"/>
          </w:tcPr>
          <w:p w14:paraId="4C191564"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1992</w:t>
            </w:r>
          </w:p>
        </w:tc>
        <w:tc>
          <w:tcPr>
            <w:tcW w:w="1531" w:type="dxa"/>
            <w:shd w:val="clear" w:color="auto" w:fill="FFFFFF"/>
            <w:tcMar>
              <w:top w:w="0" w:type="dxa"/>
              <w:left w:w="85" w:type="dxa"/>
              <w:bottom w:w="0" w:type="dxa"/>
              <w:right w:w="85" w:type="dxa"/>
            </w:tcMar>
            <w:vAlign w:val="center"/>
          </w:tcPr>
          <w:p w14:paraId="79566B2D" w14:textId="77777777" w:rsidR="00EB5913" w:rsidRPr="006623B9" w:rsidRDefault="00EB5913" w:rsidP="00F16E23">
            <w:pPr>
              <w:pStyle w:val="TableText"/>
              <w:spacing w:before="40" w:after="40"/>
              <w:jc w:val="right"/>
              <w:rPr>
                <w:szCs w:val="16"/>
              </w:rPr>
            </w:pPr>
            <w:r w:rsidRPr="006623B9">
              <w:rPr>
                <w:rFonts w:eastAsia="Calibri"/>
                <w:color w:val="000000"/>
                <w:szCs w:val="16"/>
              </w:rPr>
              <w:t>3,552,200</w:t>
            </w:r>
          </w:p>
        </w:tc>
        <w:tc>
          <w:tcPr>
            <w:tcW w:w="2665" w:type="dxa"/>
            <w:shd w:val="clear" w:color="auto" w:fill="FFFFFF"/>
            <w:tcMar>
              <w:top w:w="0" w:type="dxa"/>
              <w:left w:w="85" w:type="dxa"/>
              <w:bottom w:w="0" w:type="dxa"/>
              <w:right w:w="85" w:type="dxa"/>
            </w:tcMar>
            <w:vAlign w:val="center"/>
          </w:tcPr>
          <w:p w14:paraId="035A92FD" w14:textId="77777777" w:rsidR="00EB5913" w:rsidRPr="006623B9" w:rsidRDefault="00EB5913" w:rsidP="00F16E23">
            <w:pPr>
              <w:pStyle w:val="TableText"/>
              <w:spacing w:before="40" w:after="40"/>
              <w:rPr>
                <w:szCs w:val="16"/>
              </w:rPr>
            </w:pPr>
            <w:r w:rsidRPr="006623B9">
              <w:rPr>
                <w:rFonts w:eastAsia="Calibri"/>
                <w:color w:val="000000"/>
                <w:szCs w:val="16"/>
              </w:rPr>
              <w:t>Same as 1997</w:t>
            </w:r>
          </w:p>
        </w:tc>
        <w:tc>
          <w:tcPr>
            <w:tcW w:w="3402" w:type="dxa"/>
            <w:shd w:val="clear" w:color="auto" w:fill="FFFFFF"/>
            <w:tcMar>
              <w:top w:w="0" w:type="dxa"/>
              <w:left w:w="85" w:type="dxa"/>
              <w:bottom w:w="0" w:type="dxa"/>
              <w:right w:w="85" w:type="dxa"/>
            </w:tcMar>
            <w:vAlign w:val="center"/>
          </w:tcPr>
          <w:p w14:paraId="44C5AE48" w14:textId="77777777" w:rsidR="00EB5913" w:rsidRPr="006623B9" w:rsidRDefault="00EB5913" w:rsidP="00F16E23">
            <w:pPr>
              <w:pStyle w:val="TableText"/>
              <w:spacing w:before="40" w:after="40"/>
              <w:jc w:val="right"/>
              <w:rPr>
                <w:szCs w:val="16"/>
              </w:rPr>
            </w:pPr>
            <w:r w:rsidRPr="006623B9">
              <w:rPr>
                <w:rFonts w:eastAsia="Calibri"/>
                <w:color w:val="000000"/>
                <w:szCs w:val="16"/>
              </w:rPr>
              <w:t>146.8</w:t>
            </w:r>
          </w:p>
        </w:tc>
      </w:tr>
      <w:tr w:rsidR="00EB5913" w:rsidRPr="006623B9" w14:paraId="14512F54" w14:textId="77777777" w:rsidTr="00F16E23">
        <w:tc>
          <w:tcPr>
            <w:tcW w:w="0" w:type="auto"/>
            <w:shd w:val="clear" w:color="auto" w:fill="FFFFFF"/>
            <w:tcMar>
              <w:top w:w="0" w:type="dxa"/>
              <w:left w:w="85" w:type="dxa"/>
              <w:bottom w:w="0" w:type="dxa"/>
              <w:right w:w="85" w:type="dxa"/>
            </w:tcMar>
            <w:vAlign w:val="center"/>
          </w:tcPr>
          <w:p w14:paraId="34C41E8C"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1993</w:t>
            </w:r>
          </w:p>
        </w:tc>
        <w:tc>
          <w:tcPr>
            <w:tcW w:w="1531" w:type="dxa"/>
            <w:shd w:val="clear" w:color="auto" w:fill="FFFFFF"/>
            <w:tcMar>
              <w:top w:w="0" w:type="dxa"/>
              <w:left w:w="85" w:type="dxa"/>
              <w:bottom w:w="0" w:type="dxa"/>
              <w:right w:w="85" w:type="dxa"/>
            </w:tcMar>
            <w:vAlign w:val="center"/>
          </w:tcPr>
          <w:p w14:paraId="62D4AB43" w14:textId="77777777" w:rsidR="00EB5913" w:rsidRPr="006623B9" w:rsidRDefault="00EB5913" w:rsidP="00F16E23">
            <w:pPr>
              <w:pStyle w:val="TableText"/>
              <w:spacing w:before="40" w:after="40"/>
              <w:jc w:val="right"/>
              <w:rPr>
                <w:szCs w:val="16"/>
              </w:rPr>
            </w:pPr>
            <w:r w:rsidRPr="006623B9">
              <w:rPr>
                <w:rFonts w:eastAsia="Calibri"/>
                <w:color w:val="000000"/>
                <w:szCs w:val="16"/>
              </w:rPr>
              <w:t>3,597,800</w:t>
            </w:r>
          </w:p>
        </w:tc>
        <w:tc>
          <w:tcPr>
            <w:tcW w:w="2665" w:type="dxa"/>
            <w:shd w:val="clear" w:color="auto" w:fill="FFFFFF"/>
            <w:tcMar>
              <w:top w:w="0" w:type="dxa"/>
              <w:left w:w="85" w:type="dxa"/>
              <w:bottom w:w="0" w:type="dxa"/>
              <w:right w:w="85" w:type="dxa"/>
            </w:tcMar>
            <w:vAlign w:val="center"/>
          </w:tcPr>
          <w:p w14:paraId="13BB1158" w14:textId="77777777" w:rsidR="00EB5913" w:rsidRPr="006623B9" w:rsidRDefault="00EB5913" w:rsidP="00F16E23">
            <w:pPr>
              <w:pStyle w:val="TableText"/>
              <w:spacing w:before="40" w:after="40"/>
              <w:rPr>
                <w:szCs w:val="16"/>
              </w:rPr>
            </w:pPr>
            <w:r w:rsidRPr="006623B9">
              <w:rPr>
                <w:rFonts w:eastAsia="Calibri"/>
                <w:color w:val="000000"/>
                <w:szCs w:val="16"/>
              </w:rPr>
              <w:t>Same as 1997</w:t>
            </w:r>
          </w:p>
        </w:tc>
        <w:tc>
          <w:tcPr>
            <w:tcW w:w="3402" w:type="dxa"/>
            <w:shd w:val="clear" w:color="auto" w:fill="FFFFFF"/>
            <w:tcMar>
              <w:top w:w="0" w:type="dxa"/>
              <w:left w:w="85" w:type="dxa"/>
              <w:bottom w:w="0" w:type="dxa"/>
              <w:right w:w="85" w:type="dxa"/>
            </w:tcMar>
            <w:vAlign w:val="center"/>
          </w:tcPr>
          <w:p w14:paraId="0A9514F2" w14:textId="77777777" w:rsidR="00EB5913" w:rsidRPr="006623B9" w:rsidRDefault="00EB5913" w:rsidP="00F16E23">
            <w:pPr>
              <w:pStyle w:val="TableText"/>
              <w:spacing w:before="40" w:after="40"/>
              <w:jc w:val="right"/>
              <w:rPr>
                <w:szCs w:val="16"/>
              </w:rPr>
            </w:pPr>
            <w:r w:rsidRPr="006623B9">
              <w:rPr>
                <w:rFonts w:eastAsia="Calibri"/>
                <w:color w:val="000000"/>
                <w:szCs w:val="16"/>
              </w:rPr>
              <w:t>148.9</w:t>
            </w:r>
          </w:p>
        </w:tc>
      </w:tr>
      <w:tr w:rsidR="00EB5913" w:rsidRPr="006623B9" w14:paraId="0DD54CA6" w14:textId="77777777" w:rsidTr="00F16E23">
        <w:tc>
          <w:tcPr>
            <w:tcW w:w="0" w:type="auto"/>
            <w:shd w:val="clear" w:color="auto" w:fill="FFFFFF"/>
            <w:tcMar>
              <w:top w:w="0" w:type="dxa"/>
              <w:left w:w="85" w:type="dxa"/>
              <w:bottom w:w="0" w:type="dxa"/>
              <w:right w:w="85" w:type="dxa"/>
            </w:tcMar>
            <w:vAlign w:val="center"/>
          </w:tcPr>
          <w:p w14:paraId="099171D3"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1994</w:t>
            </w:r>
          </w:p>
        </w:tc>
        <w:tc>
          <w:tcPr>
            <w:tcW w:w="1531" w:type="dxa"/>
            <w:shd w:val="clear" w:color="auto" w:fill="FFFFFF"/>
            <w:tcMar>
              <w:top w:w="0" w:type="dxa"/>
              <w:left w:w="85" w:type="dxa"/>
              <w:bottom w:w="0" w:type="dxa"/>
              <w:right w:w="85" w:type="dxa"/>
            </w:tcMar>
            <w:vAlign w:val="center"/>
          </w:tcPr>
          <w:p w14:paraId="2BC869FF" w14:textId="77777777" w:rsidR="00EB5913" w:rsidRPr="006623B9" w:rsidRDefault="00EB5913" w:rsidP="00F16E23">
            <w:pPr>
              <w:pStyle w:val="TableText"/>
              <w:spacing w:before="40" w:after="40"/>
              <w:jc w:val="right"/>
              <w:rPr>
                <w:szCs w:val="16"/>
              </w:rPr>
            </w:pPr>
            <w:r w:rsidRPr="006623B9">
              <w:rPr>
                <w:rFonts w:eastAsia="Calibri"/>
                <w:color w:val="000000"/>
                <w:szCs w:val="16"/>
              </w:rPr>
              <w:t>3,648,300</w:t>
            </w:r>
          </w:p>
        </w:tc>
        <w:tc>
          <w:tcPr>
            <w:tcW w:w="2665" w:type="dxa"/>
            <w:shd w:val="clear" w:color="auto" w:fill="FFFFFF"/>
            <w:tcMar>
              <w:top w:w="0" w:type="dxa"/>
              <w:left w:w="85" w:type="dxa"/>
              <w:bottom w:w="0" w:type="dxa"/>
              <w:right w:w="85" w:type="dxa"/>
            </w:tcMar>
            <w:vAlign w:val="center"/>
          </w:tcPr>
          <w:p w14:paraId="429713E8" w14:textId="77777777" w:rsidR="00EB5913" w:rsidRPr="006623B9" w:rsidRDefault="00EB5913" w:rsidP="00F16E23">
            <w:pPr>
              <w:pStyle w:val="TableText"/>
              <w:spacing w:before="40" w:after="40"/>
              <w:rPr>
                <w:szCs w:val="16"/>
              </w:rPr>
            </w:pPr>
            <w:r w:rsidRPr="006623B9">
              <w:rPr>
                <w:rFonts w:eastAsia="Calibri"/>
                <w:color w:val="000000"/>
                <w:szCs w:val="16"/>
              </w:rPr>
              <w:t>Same as 1997</w:t>
            </w:r>
          </w:p>
        </w:tc>
        <w:tc>
          <w:tcPr>
            <w:tcW w:w="3402" w:type="dxa"/>
            <w:shd w:val="clear" w:color="auto" w:fill="FFFFFF"/>
            <w:tcMar>
              <w:top w:w="0" w:type="dxa"/>
              <w:left w:w="85" w:type="dxa"/>
              <w:bottom w:w="0" w:type="dxa"/>
              <w:right w:w="85" w:type="dxa"/>
            </w:tcMar>
            <w:vAlign w:val="center"/>
          </w:tcPr>
          <w:p w14:paraId="38E394EE" w14:textId="77777777" w:rsidR="00EB5913" w:rsidRPr="006623B9" w:rsidRDefault="00EB5913" w:rsidP="00F16E23">
            <w:pPr>
              <w:pStyle w:val="TableText"/>
              <w:spacing w:before="40" w:after="40"/>
              <w:jc w:val="right"/>
              <w:rPr>
                <w:szCs w:val="16"/>
              </w:rPr>
            </w:pPr>
            <w:r w:rsidRPr="006623B9">
              <w:rPr>
                <w:rFonts w:eastAsia="Calibri"/>
                <w:color w:val="000000"/>
                <w:szCs w:val="16"/>
              </w:rPr>
              <w:t>151.2</w:t>
            </w:r>
          </w:p>
        </w:tc>
      </w:tr>
      <w:tr w:rsidR="00EB5913" w:rsidRPr="006623B9" w14:paraId="656998DD" w14:textId="77777777" w:rsidTr="00F16E23">
        <w:tc>
          <w:tcPr>
            <w:tcW w:w="0" w:type="auto"/>
            <w:shd w:val="clear" w:color="auto" w:fill="FFFFFF"/>
            <w:tcMar>
              <w:top w:w="0" w:type="dxa"/>
              <w:left w:w="85" w:type="dxa"/>
              <w:bottom w:w="0" w:type="dxa"/>
              <w:right w:w="85" w:type="dxa"/>
            </w:tcMar>
            <w:vAlign w:val="center"/>
          </w:tcPr>
          <w:p w14:paraId="4AEA3C25"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1995</w:t>
            </w:r>
          </w:p>
        </w:tc>
        <w:tc>
          <w:tcPr>
            <w:tcW w:w="1531" w:type="dxa"/>
            <w:shd w:val="clear" w:color="auto" w:fill="FFFFFF"/>
            <w:tcMar>
              <w:top w:w="0" w:type="dxa"/>
              <w:left w:w="85" w:type="dxa"/>
              <w:bottom w:w="0" w:type="dxa"/>
              <w:right w:w="85" w:type="dxa"/>
            </w:tcMar>
            <w:vAlign w:val="center"/>
          </w:tcPr>
          <w:p w14:paraId="171227FE" w14:textId="77777777" w:rsidR="00EB5913" w:rsidRPr="006623B9" w:rsidRDefault="00EB5913" w:rsidP="00F16E23">
            <w:pPr>
              <w:pStyle w:val="TableText"/>
              <w:spacing w:before="40" w:after="40"/>
              <w:jc w:val="right"/>
              <w:rPr>
                <w:szCs w:val="16"/>
              </w:rPr>
            </w:pPr>
            <w:r w:rsidRPr="006623B9">
              <w:rPr>
                <w:rFonts w:eastAsia="Calibri"/>
                <w:color w:val="000000"/>
                <w:szCs w:val="16"/>
              </w:rPr>
              <w:t>3,706,700</w:t>
            </w:r>
          </w:p>
        </w:tc>
        <w:tc>
          <w:tcPr>
            <w:tcW w:w="2665" w:type="dxa"/>
            <w:shd w:val="clear" w:color="auto" w:fill="FFFFFF"/>
            <w:tcMar>
              <w:top w:w="0" w:type="dxa"/>
              <w:left w:w="85" w:type="dxa"/>
              <w:bottom w:w="0" w:type="dxa"/>
              <w:right w:w="85" w:type="dxa"/>
            </w:tcMar>
            <w:vAlign w:val="center"/>
          </w:tcPr>
          <w:p w14:paraId="2E94F8DE" w14:textId="77777777" w:rsidR="00EB5913" w:rsidRPr="006623B9" w:rsidRDefault="00EB5913" w:rsidP="00F16E23">
            <w:pPr>
              <w:pStyle w:val="TableText"/>
              <w:spacing w:before="40" w:after="40"/>
              <w:rPr>
                <w:szCs w:val="16"/>
              </w:rPr>
            </w:pPr>
            <w:r w:rsidRPr="006623B9">
              <w:rPr>
                <w:rFonts w:eastAsia="Calibri"/>
                <w:color w:val="000000"/>
                <w:szCs w:val="16"/>
              </w:rPr>
              <w:t>Same as 1997</w:t>
            </w:r>
          </w:p>
        </w:tc>
        <w:tc>
          <w:tcPr>
            <w:tcW w:w="3402" w:type="dxa"/>
            <w:shd w:val="clear" w:color="auto" w:fill="FFFFFF"/>
            <w:tcMar>
              <w:top w:w="0" w:type="dxa"/>
              <w:left w:w="85" w:type="dxa"/>
              <w:bottom w:w="0" w:type="dxa"/>
              <w:right w:w="85" w:type="dxa"/>
            </w:tcMar>
            <w:vAlign w:val="center"/>
          </w:tcPr>
          <w:p w14:paraId="241C1BF7" w14:textId="77777777" w:rsidR="00EB5913" w:rsidRPr="006623B9" w:rsidRDefault="00EB5913" w:rsidP="00F16E23">
            <w:pPr>
              <w:pStyle w:val="TableText"/>
              <w:spacing w:before="40" w:after="40"/>
              <w:jc w:val="right"/>
              <w:rPr>
                <w:szCs w:val="16"/>
              </w:rPr>
            </w:pPr>
            <w:r w:rsidRPr="006623B9">
              <w:rPr>
                <w:rFonts w:eastAsia="Calibri"/>
                <w:color w:val="000000"/>
                <w:szCs w:val="16"/>
              </w:rPr>
              <w:t>153.7</w:t>
            </w:r>
          </w:p>
        </w:tc>
      </w:tr>
      <w:tr w:rsidR="00EB5913" w:rsidRPr="006623B9" w14:paraId="571933C6" w14:textId="77777777" w:rsidTr="00F16E23">
        <w:tc>
          <w:tcPr>
            <w:tcW w:w="0" w:type="auto"/>
            <w:shd w:val="clear" w:color="auto" w:fill="FFFFFF"/>
            <w:tcMar>
              <w:top w:w="0" w:type="dxa"/>
              <w:left w:w="85" w:type="dxa"/>
              <w:bottom w:w="0" w:type="dxa"/>
              <w:right w:w="85" w:type="dxa"/>
            </w:tcMar>
            <w:vAlign w:val="center"/>
          </w:tcPr>
          <w:p w14:paraId="1F1A30BA"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1996</w:t>
            </w:r>
          </w:p>
        </w:tc>
        <w:tc>
          <w:tcPr>
            <w:tcW w:w="1531" w:type="dxa"/>
            <w:shd w:val="clear" w:color="auto" w:fill="FFFFFF"/>
            <w:tcMar>
              <w:top w:w="0" w:type="dxa"/>
              <w:left w:w="85" w:type="dxa"/>
              <w:bottom w:w="0" w:type="dxa"/>
              <w:right w:w="85" w:type="dxa"/>
            </w:tcMar>
            <w:vAlign w:val="center"/>
          </w:tcPr>
          <w:p w14:paraId="4ACC0C43" w14:textId="77777777" w:rsidR="00EB5913" w:rsidRPr="006623B9" w:rsidRDefault="00EB5913" w:rsidP="00F16E23">
            <w:pPr>
              <w:pStyle w:val="TableText"/>
              <w:spacing w:before="40" w:after="40"/>
              <w:jc w:val="right"/>
              <w:rPr>
                <w:szCs w:val="16"/>
              </w:rPr>
            </w:pPr>
            <w:r w:rsidRPr="006623B9">
              <w:rPr>
                <w:rFonts w:eastAsia="Calibri"/>
                <w:color w:val="000000"/>
                <w:szCs w:val="16"/>
              </w:rPr>
              <w:t>3,762,300</w:t>
            </w:r>
          </w:p>
        </w:tc>
        <w:tc>
          <w:tcPr>
            <w:tcW w:w="2665" w:type="dxa"/>
            <w:shd w:val="clear" w:color="auto" w:fill="FFFFFF"/>
            <w:tcMar>
              <w:top w:w="0" w:type="dxa"/>
              <w:left w:w="85" w:type="dxa"/>
              <w:bottom w:w="0" w:type="dxa"/>
              <w:right w:w="85" w:type="dxa"/>
            </w:tcMar>
            <w:vAlign w:val="center"/>
          </w:tcPr>
          <w:p w14:paraId="10FF4521" w14:textId="77777777" w:rsidR="00EB5913" w:rsidRPr="006623B9" w:rsidRDefault="00EB5913" w:rsidP="00F16E23">
            <w:pPr>
              <w:pStyle w:val="TableText"/>
              <w:spacing w:before="40" w:after="40"/>
              <w:rPr>
                <w:szCs w:val="16"/>
              </w:rPr>
            </w:pPr>
            <w:r w:rsidRPr="006623B9">
              <w:rPr>
                <w:rFonts w:eastAsia="Calibri"/>
                <w:color w:val="000000"/>
                <w:szCs w:val="16"/>
              </w:rPr>
              <w:t>Same as 1997</w:t>
            </w:r>
          </w:p>
        </w:tc>
        <w:tc>
          <w:tcPr>
            <w:tcW w:w="3402" w:type="dxa"/>
            <w:shd w:val="clear" w:color="auto" w:fill="FFFFFF"/>
            <w:tcMar>
              <w:top w:w="0" w:type="dxa"/>
              <w:left w:w="85" w:type="dxa"/>
              <w:bottom w:w="0" w:type="dxa"/>
              <w:right w:w="85" w:type="dxa"/>
            </w:tcMar>
            <w:vAlign w:val="center"/>
          </w:tcPr>
          <w:p w14:paraId="2C0BADD9" w14:textId="77777777" w:rsidR="00EB5913" w:rsidRPr="006623B9" w:rsidRDefault="00EB5913" w:rsidP="00F16E23">
            <w:pPr>
              <w:pStyle w:val="TableText"/>
              <w:spacing w:before="40" w:after="40"/>
              <w:jc w:val="right"/>
              <w:rPr>
                <w:szCs w:val="16"/>
              </w:rPr>
            </w:pPr>
            <w:r w:rsidRPr="006623B9">
              <w:rPr>
                <w:rFonts w:eastAsia="Calibri"/>
                <w:color w:val="000000"/>
                <w:szCs w:val="16"/>
              </w:rPr>
              <w:t>156.2</w:t>
            </w:r>
          </w:p>
        </w:tc>
      </w:tr>
      <w:tr w:rsidR="00EB5913" w:rsidRPr="006623B9" w14:paraId="40FFA1FF" w14:textId="77777777" w:rsidTr="00F16E23">
        <w:tc>
          <w:tcPr>
            <w:tcW w:w="0" w:type="auto"/>
            <w:shd w:val="clear" w:color="auto" w:fill="FFFFFF"/>
            <w:tcMar>
              <w:top w:w="0" w:type="dxa"/>
              <w:left w:w="85" w:type="dxa"/>
              <w:bottom w:w="0" w:type="dxa"/>
              <w:right w:w="85" w:type="dxa"/>
            </w:tcMar>
            <w:vAlign w:val="center"/>
          </w:tcPr>
          <w:p w14:paraId="7CE419E1"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1997</w:t>
            </w:r>
          </w:p>
        </w:tc>
        <w:tc>
          <w:tcPr>
            <w:tcW w:w="1531" w:type="dxa"/>
            <w:shd w:val="clear" w:color="auto" w:fill="FFFFFF"/>
            <w:tcMar>
              <w:top w:w="0" w:type="dxa"/>
              <w:left w:w="85" w:type="dxa"/>
              <w:bottom w:w="0" w:type="dxa"/>
              <w:right w:w="85" w:type="dxa"/>
            </w:tcMar>
            <w:vAlign w:val="center"/>
          </w:tcPr>
          <w:p w14:paraId="55C1BC9B" w14:textId="77777777" w:rsidR="00EB5913" w:rsidRPr="006623B9" w:rsidRDefault="00EB5913" w:rsidP="00F16E23">
            <w:pPr>
              <w:pStyle w:val="TableText"/>
              <w:spacing w:before="40" w:after="40"/>
              <w:jc w:val="right"/>
              <w:rPr>
                <w:szCs w:val="16"/>
              </w:rPr>
            </w:pPr>
            <w:r w:rsidRPr="006623B9">
              <w:rPr>
                <w:rFonts w:eastAsia="Calibri"/>
                <w:color w:val="000000"/>
                <w:szCs w:val="16"/>
              </w:rPr>
              <w:t>3,802,700</w:t>
            </w:r>
          </w:p>
        </w:tc>
        <w:tc>
          <w:tcPr>
            <w:tcW w:w="2665" w:type="dxa"/>
            <w:shd w:val="clear" w:color="auto" w:fill="FFFFFF"/>
            <w:tcMar>
              <w:top w:w="0" w:type="dxa"/>
              <w:left w:w="85" w:type="dxa"/>
              <w:bottom w:w="0" w:type="dxa"/>
              <w:right w:w="85" w:type="dxa"/>
            </w:tcMar>
            <w:vAlign w:val="center"/>
          </w:tcPr>
          <w:p w14:paraId="046D677F" w14:textId="77777777" w:rsidR="00EB5913" w:rsidRPr="006623B9" w:rsidRDefault="00EB5913" w:rsidP="00F16E23">
            <w:pPr>
              <w:pStyle w:val="TableText"/>
              <w:spacing w:before="40" w:after="40"/>
              <w:rPr>
                <w:szCs w:val="16"/>
              </w:rPr>
            </w:pPr>
            <w:r w:rsidRPr="006623B9">
              <w:rPr>
                <w:rFonts w:eastAsia="Calibri"/>
                <w:color w:val="000000"/>
                <w:szCs w:val="16"/>
              </w:rPr>
              <w:t>0.0425</w:t>
            </w:r>
          </w:p>
        </w:tc>
        <w:tc>
          <w:tcPr>
            <w:tcW w:w="3402" w:type="dxa"/>
            <w:shd w:val="clear" w:color="auto" w:fill="FFFFFF"/>
            <w:tcMar>
              <w:top w:w="0" w:type="dxa"/>
              <w:left w:w="85" w:type="dxa"/>
              <w:bottom w:w="0" w:type="dxa"/>
              <w:right w:w="85" w:type="dxa"/>
            </w:tcMar>
            <w:vAlign w:val="center"/>
          </w:tcPr>
          <w:p w14:paraId="742816CD" w14:textId="77777777" w:rsidR="00EB5913" w:rsidRPr="006623B9" w:rsidRDefault="00EB5913" w:rsidP="00F16E23">
            <w:pPr>
              <w:pStyle w:val="TableText"/>
              <w:spacing w:before="40" w:after="40"/>
              <w:jc w:val="right"/>
              <w:rPr>
                <w:szCs w:val="16"/>
              </w:rPr>
            </w:pPr>
            <w:r w:rsidRPr="006623B9">
              <w:rPr>
                <w:rFonts w:eastAsia="Calibri"/>
                <w:color w:val="000000"/>
                <w:szCs w:val="16"/>
              </w:rPr>
              <w:t>158.0</w:t>
            </w:r>
          </w:p>
        </w:tc>
      </w:tr>
      <w:tr w:rsidR="00EB5913" w:rsidRPr="006623B9" w14:paraId="6338B44D" w14:textId="77777777" w:rsidTr="00F16E23">
        <w:tc>
          <w:tcPr>
            <w:tcW w:w="0" w:type="auto"/>
            <w:shd w:val="clear" w:color="auto" w:fill="FFFFFF"/>
            <w:tcMar>
              <w:top w:w="0" w:type="dxa"/>
              <w:left w:w="85" w:type="dxa"/>
              <w:bottom w:w="0" w:type="dxa"/>
              <w:right w:w="85" w:type="dxa"/>
            </w:tcMar>
            <w:vAlign w:val="center"/>
          </w:tcPr>
          <w:p w14:paraId="29F6804A"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1998</w:t>
            </w:r>
          </w:p>
        </w:tc>
        <w:tc>
          <w:tcPr>
            <w:tcW w:w="1531" w:type="dxa"/>
            <w:shd w:val="clear" w:color="auto" w:fill="FFFFFF"/>
            <w:tcMar>
              <w:top w:w="0" w:type="dxa"/>
              <w:left w:w="85" w:type="dxa"/>
              <w:bottom w:w="0" w:type="dxa"/>
              <w:right w:w="85" w:type="dxa"/>
            </w:tcMar>
            <w:vAlign w:val="center"/>
          </w:tcPr>
          <w:p w14:paraId="70A469C0" w14:textId="77777777" w:rsidR="00EB5913" w:rsidRPr="006623B9" w:rsidRDefault="00EB5913" w:rsidP="00F16E23">
            <w:pPr>
              <w:pStyle w:val="TableText"/>
              <w:spacing w:before="40" w:after="40"/>
              <w:jc w:val="right"/>
              <w:rPr>
                <w:szCs w:val="16"/>
              </w:rPr>
            </w:pPr>
            <w:r w:rsidRPr="006623B9">
              <w:rPr>
                <w:rFonts w:eastAsia="Calibri"/>
                <w:color w:val="000000"/>
                <w:szCs w:val="16"/>
              </w:rPr>
              <w:t>3,829,200</w:t>
            </w:r>
          </w:p>
        </w:tc>
        <w:tc>
          <w:tcPr>
            <w:tcW w:w="2665" w:type="dxa"/>
            <w:shd w:val="clear" w:color="auto" w:fill="FFFFFF"/>
            <w:tcMar>
              <w:top w:w="0" w:type="dxa"/>
              <w:left w:w="85" w:type="dxa"/>
              <w:bottom w:w="0" w:type="dxa"/>
              <w:right w:w="85" w:type="dxa"/>
            </w:tcMar>
            <w:vAlign w:val="center"/>
          </w:tcPr>
          <w:p w14:paraId="6E79E6E7"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559C2B5F" w14:textId="77777777" w:rsidR="00EB5913" w:rsidRPr="006623B9" w:rsidRDefault="00EB5913" w:rsidP="00F16E23">
            <w:pPr>
              <w:pStyle w:val="TableText"/>
              <w:spacing w:before="40" w:after="40"/>
              <w:jc w:val="right"/>
              <w:rPr>
                <w:szCs w:val="16"/>
              </w:rPr>
            </w:pPr>
            <w:r w:rsidRPr="006623B9">
              <w:rPr>
                <w:rFonts w:eastAsia="Calibri"/>
                <w:color w:val="000000"/>
                <w:szCs w:val="16"/>
              </w:rPr>
              <w:t>156.9</w:t>
            </w:r>
          </w:p>
        </w:tc>
      </w:tr>
      <w:tr w:rsidR="00EB5913" w:rsidRPr="006623B9" w14:paraId="059E48A3" w14:textId="77777777" w:rsidTr="00F16E23">
        <w:tc>
          <w:tcPr>
            <w:tcW w:w="0" w:type="auto"/>
            <w:shd w:val="clear" w:color="auto" w:fill="FFFFFF"/>
            <w:tcMar>
              <w:top w:w="0" w:type="dxa"/>
              <w:left w:w="85" w:type="dxa"/>
              <w:bottom w:w="0" w:type="dxa"/>
              <w:right w:w="85" w:type="dxa"/>
            </w:tcMar>
            <w:vAlign w:val="center"/>
          </w:tcPr>
          <w:p w14:paraId="1169D12E"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1999</w:t>
            </w:r>
          </w:p>
        </w:tc>
        <w:tc>
          <w:tcPr>
            <w:tcW w:w="1531" w:type="dxa"/>
            <w:shd w:val="clear" w:color="auto" w:fill="FFFFFF"/>
            <w:tcMar>
              <w:top w:w="0" w:type="dxa"/>
              <w:left w:w="85" w:type="dxa"/>
              <w:bottom w:w="0" w:type="dxa"/>
              <w:right w:w="85" w:type="dxa"/>
            </w:tcMar>
            <w:vAlign w:val="center"/>
          </w:tcPr>
          <w:p w14:paraId="238A9812" w14:textId="77777777" w:rsidR="00EB5913" w:rsidRPr="006623B9" w:rsidRDefault="00EB5913" w:rsidP="00F16E23">
            <w:pPr>
              <w:pStyle w:val="TableText"/>
              <w:spacing w:before="40" w:after="40"/>
              <w:jc w:val="right"/>
              <w:rPr>
                <w:szCs w:val="16"/>
              </w:rPr>
            </w:pPr>
            <w:r w:rsidRPr="006623B9">
              <w:rPr>
                <w:rFonts w:eastAsia="Calibri"/>
                <w:color w:val="000000"/>
                <w:szCs w:val="16"/>
              </w:rPr>
              <w:t>3,851,100</w:t>
            </w:r>
          </w:p>
        </w:tc>
        <w:tc>
          <w:tcPr>
            <w:tcW w:w="2665" w:type="dxa"/>
            <w:shd w:val="clear" w:color="auto" w:fill="FFFFFF"/>
            <w:tcMar>
              <w:top w:w="0" w:type="dxa"/>
              <w:left w:w="85" w:type="dxa"/>
              <w:bottom w:w="0" w:type="dxa"/>
              <w:right w:w="85" w:type="dxa"/>
            </w:tcMar>
            <w:vAlign w:val="center"/>
          </w:tcPr>
          <w:p w14:paraId="16F8B386"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5E0BCC02" w14:textId="77777777" w:rsidR="00EB5913" w:rsidRPr="006623B9" w:rsidRDefault="00EB5913" w:rsidP="00F16E23">
            <w:pPr>
              <w:pStyle w:val="TableText"/>
              <w:spacing w:before="40" w:after="40"/>
              <w:jc w:val="right"/>
              <w:rPr>
                <w:szCs w:val="16"/>
              </w:rPr>
            </w:pPr>
            <w:r w:rsidRPr="006623B9">
              <w:rPr>
                <w:rFonts w:eastAsia="Calibri"/>
                <w:color w:val="000000"/>
                <w:szCs w:val="16"/>
              </w:rPr>
              <w:t>155.8</w:t>
            </w:r>
          </w:p>
        </w:tc>
      </w:tr>
      <w:tr w:rsidR="00EB5913" w:rsidRPr="006623B9" w14:paraId="41AE1C89" w14:textId="77777777" w:rsidTr="00F16E23">
        <w:tc>
          <w:tcPr>
            <w:tcW w:w="0" w:type="auto"/>
            <w:shd w:val="clear" w:color="auto" w:fill="FFFFFF"/>
            <w:tcMar>
              <w:top w:w="0" w:type="dxa"/>
              <w:left w:w="85" w:type="dxa"/>
              <w:bottom w:w="0" w:type="dxa"/>
              <w:right w:w="85" w:type="dxa"/>
            </w:tcMar>
            <w:vAlign w:val="center"/>
          </w:tcPr>
          <w:p w14:paraId="24555BE0"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2000</w:t>
            </w:r>
          </w:p>
        </w:tc>
        <w:tc>
          <w:tcPr>
            <w:tcW w:w="1531" w:type="dxa"/>
            <w:shd w:val="clear" w:color="auto" w:fill="FFFFFF"/>
            <w:tcMar>
              <w:top w:w="0" w:type="dxa"/>
              <w:left w:w="85" w:type="dxa"/>
              <w:bottom w:w="0" w:type="dxa"/>
              <w:right w:w="85" w:type="dxa"/>
            </w:tcMar>
            <w:vAlign w:val="center"/>
          </w:tcPr>
          <w:p w14:paraId="79B25EDD" w14:textId="77777777" w:rsidR="00EB5913" w:rsidRPr="006623B9" w:rsidRDefault="00EB5913" w:rsidP="00F16E23">
            <w:pPr>
              <w:pStyle w:val="TableText"/>
              <w:spacing w:before="40" w:after="40"/>
              <w:jc w:val="right"/>
              <w:rPr>
                <w:szCs w:val="16"/>
              </w:rPr>
            </w:pPr>
            <w:r w:rsidRPr="006623B9">
              <w:rPr>
                <w:rFonts w:eastAsia="Calibri"/>
                <w:color w:val="000000"/>
                <w:szCs w:val="16"/>
              </w:rPr>
              <w:t>3,873,100</w:t>
            </w:r>
          </w:p>
        </w:tc>
        <w:tc>
          <w:tcPr>
            <w:tcW w:w="2665" w:type="dxa"/>
            <w:shd w:val="clear" w:color="auto" w:fill="FFFFFF"/>
            <w:tcMar>
              <w:top w:w="0" w:type="dxa"/>
              <w:left w:w="85" w:type="dxa"/>
              <w:bottom w:w="0" w:type="dxa"/>
              <w:right w:w="85" w:type="dxa"/>
            </w:tcMar>
            <w:vAlign w:val="center"/>
          </w:tcPr>
          <w:p w14:paraId="4AEE30DB"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2ED5230B" w14:textId="77777777" w:rsidR="00EB5913" w:rsidRPr="006623B9" w:rsidRDefault="00EB5913" w:rsidP="00F16E23">
            <w:pPr>
              <w:pStyle w:val="TableText"/>
              <w:spacing w:before="40" w:after="40"/>
              <w:jc w:val="right"/>
              <w:rPr>
                <w:szCs w:val="16"/>
              </w:rPr>
            </w:pPr>
            <w:r w:rsidRPr="006623B9">
              <w:rPr>
                <w:rFonts w:eastAsia="Calibri"/>
                <w:color w:val="000000"/>
                <w:szCs w:val="16"/>
              </w:rPr>
              <w:t>154.7</w:t>
            </w:r>
          </w:p>
        </w:tc>
      </w:tr>
      <w:tr w:rsidR="00EB5913" w:rsidRPr="006623B9" w14:paraId="732B04E7" w14:textId="77777777" w:rsidTr="00F16E23">
        <w:tc>
          <w:tcPr>
            <w:tcW w:w="0" w:type="auto"/>
            <w:shd w:val="clear" w:color="auto" w:fill="FFFFFF"/>
            <w:tcMar>
              <w:top w:w="0" w:type="dxa"/>
              <w:left w:w="85" w:type="dxa"/>
              <w:bottom w:w="0" w:type="dxa"/>
              <w:right w:w="85" w:type="dxa"/>
            </w:tcMar>
            <w:vAlign w:val="center"/>
          </w:tcPr>
          <w:p w14:paraId="4F898ECF"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2001</w:t>
            </w:r>
          </w:p>
        </w:tc>
        <w:tc>
          <w:tcPr>
            <w:tcW w:w="1531" w:type="dxa"/>
            <w:shd w:val="clear" w:color="auto" w:fill="FFFFFF"/>
            <w:tcMar>
              <w:top w:w="0" w:type="dxa"/>
              <w:left w:w="85" w:type="dxa"/>
              <w:bottom w:w="0" w:type="dxa"/>
              <w:right w:w="85" w:type="dxa"/>
            </w:tcMar>
            <w:vAlign w:val="center"/>
          </w:tcPr>
          <w:p w14:paraId="6B386946" w14:textId="77777777" w:rsidR="00EB5913" w:rsidRPr="006623B9" w:rsidRDefault="00EB5913" w:rsidP="00F16E23">
            <w:pPr>
              <w:pStyle w:val="TableText"/>
              <w:spacing w:before="40" w:after="40"/>
              <w:jc w:val="right"/>
              <w:rPr>
                <w:szCs w:val="16"/>
              </w:rPr>
            </w:pPr>
            <w:r w:rsidRPr="006623B9">
              <w:rPr>
                <w:rFonts w:eastAsia="Calibri"/>
                <w:color w:val="000000"/>
                <w:szCs w:val="16"/>
              </w:rPr>
              <w:t>3,916,200</w:t>
            </w:r>
          </w:p>
        </w:tc>
        <w:tc>
          <w:tcPr>
            <w:tcW w:w="2665" w:type="dxa"/>
            <w:shd w:val="clear" w:color="auto" w:fill="FFFFFF"/>
            <w:tcMar>
              <w:top w:w="0" w:type="dxa"/>
              <w:left w:w="85" w:type="dxa"/>
              <w:bottom w:w="0" w:type="dxa"/>
              <w:right w:w="85" w:type="dxa"/>
            </w:tcMar>
            <w:vAlign w:val="center"/>
          </w:tcPr>
          <w:p w14:paraId="6E2B869B" w14:textId="77777777" w:rsidR="00EB5913" w:rsidRPr="006623B9" w:rsidRDefault="00EB5913" w:rsidP="00F16E23">
            <w:pPr>
              <w:pStyle w:val="TableText"/>
              <w:spacing w:before="40" w:after="40"/>
              <w:rPr>
                <w:szCs w:val="16"/>
              </w:rPr>
            </w:pPr>
            <w:r w:rsidRPr="006623B9">
              <w:rPr>
                <w:rFonts w:eastAsia="Calibri"/>
                <w:color w:val="000000"/>
                <w:szCs w:val="16"/>
              </w:rPr>
              <w:t>0.0378</w:t>
            </w:r>
          </w:p>
        </w:tc>
        <w:tc>
          <w:tcPr>
            <w:tcW w:w="3402" w:type="dxa"/>
            <w:shd w:val="clear" w:color="auto" w:fill="FFFFFF"/>
            <w:tcMar>
              <w:top w:w="0" w:type="dxa"/>
              <w:left w:w="85" w:type="dxa"/>
              <w:bottom w:w="0" w:type="dxa"/>
              <w:right w:w="85" w:type="dxa"/>
            </w:tcMar>
            <w:vAlign w:val="center"/>
          </w:tcPr>
          <w:p w14:paraId="16D7E2F8" w14:textId="77777777" w:rsidR="00EB5913" w:rsidRPr="006623B9" w:rsidRDefault="00EB5913" w:rsidP="00F16E23">
            <w:pPr>
              <w:pStyle w:val="TableText"/>
              <w:spacing w:before="40" w:after="40"/>
              <w:jc w:val="right"/>
              <w:rPr>
                <w:szCs w:val="16"/>
              </w:rPr>
            </w:pPr>
            <w:r w:rsidRPr="006623B9">
              <w:rPr>
                <w:rFonts w:eastAsia="Calibri"/>
                <w:color w:val="000000"/>
                <w:szCs w:val="16"/>
              </w:rPr>
              <w:t>153.5</w:t>
            </w:r>
          </w:p>
        </w:tc>
      </w:tr>
      <w:tr w:rsidR="00EB5913" w:rsidRPr="006623B9" w14:paraId="3848E484" w14:textId="77777777" w:rsidTr="00F16E23">
        <w:tc>
          <w:tcPr>
            <w:tcW w:w="0" w:type="auto"/>
            <w:shd w:val="clear" w:color="auto" w:fill="FFFFFF"/>
            <w:tcMar>
              <w:top w:w="0" w:type="dxa"/>
              <w:left w:w="85" w:type="dxa"/>
              <w:bottom w:w="0" w:type="dxa"/>
              <w:right w:w="85" w:type="dxa"/>
            </w:tcMar>
            <w:vAlign w:val="center"/>
          </w:tcPr>
          <w:p w14:paraId="546816B1"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2002</w:t>
            </w:r>
          </w:p>
        </w:tc>
        <w:tc>
          <w:tcPr>
            <w:tcW w:w="1531" w:type="dxa"/>
            <w:shd w:val="clear" w:color="auto" w:fill="FFFFFF"/>
            <w:tcMar>
              <w:top w:w="0" w:type="dxa"/>
              <w:left w:w="85" w:type="dxa"/>
              <w:bottom w:w="0" w:type="dxa"/>
              <w:right w:w="85" w:type="dxa"/>
            </w:tcMar>
            <w:vAlign w:val="center"/>
          </w:tcPr>
          <w:p w14:paraId="383B590C" w14:textId="77777777" w:rsidR="00EB5913" w:rsidRPr="006623B9" w:rsidRDefault="00EB5913" w:rsidP="00F16E23">
            <w:pPr>
              <w:pStyle w:val="TableText"/>
              <w:spacing w:before="40" w:after="40"/>
              <w:jc w:val="right"/>
              <w:rPr>
                <w:szCs w:val="16"/>
              </w:rPr>
            </w:pPr>
            <w:r w:rsidRPr="006623B9">
              <w:rPr>
                <w:rFonts w:eastAsia="Calibri"/>
                <w:color w:val="000000"/>
                <w:szCs w:val="16"/>
              </w:rPr>
              <w:t>3,989,500</w:t>
            </w:r>
          </w:p>
        </w:tc>
        <w:tc>
          <w:tcPr>
            <w:tcW w:w="2665" w:type="dxa"/>
            <w:shd w:val="clear" w:color="auto" w:fill="FFFFFF"/>
            <w:tcMar>
              <w:top w:w="0" w:type="dxa"/>
              <w:left w:w="85" w:type="dxa"/>
              <w:bottom w:w="0" w:type="dxa"/>
              <w:right w:w="85" w:type="dxa"/>
            </w:tcMar>
            <w:vAlign w:val="center"/>
          </w:tcPr>
          <w:p w14:paraId="57D3E58B"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7719EA92" w14:textId="77777777" w:rsidR="00EB5913" w:rsidRPr="006623B9" w:rsidRDefault="00EB5913" w:rsidP="00F16E23">
            <w:pPr>
              <w:pStyle w:val="TableText"/>
              <w:spacing w:before="40" w:after="40"/>
              <w:jc w:val="right"/>
              <w:rPr>
                <w:szCs w:val="16"/>
              </w:rPr>
            </w:pPr>
            <w:r w:rsidRPr="006623B9">
              <w:rPr>
                <w:rFonts w:eastAsia="Calibri"/>
                <w:color w:val="000000"/>
                <w:szCs w:val="16"/>
              </w:rPr>
              <w:t>156.7</w:t>
            </w:r>
          </w:p>
        </w:tc>
      </w:tr>
      <w:tr w:rsidR="00EB5913" w:rsidRPr="006623B9" w14:paraId="00A64ED1" w14:textId="77777777" w:rsidTr="00F16E23">
        <w:tc>
          <w:tcPr>
            <w:tcW w:w="0" w:type="auto"/>
            <w:shd w:val="clear" w:color="auto" w:fill="FFFFFF"/>
            <w:tcMar>
              <w:top w:w="0" w:type="dxa"/>
              <w:left w:w="85" w:type="dxa"/>
              <w:bottom w:w="0" w:type="dxa"/>
              <w:right w:w="85" w:type="dxa"/>
            </w:tcMar>
            <w:vAlign w:val="center"/>
          </w:tcPr>
          <w:p w14:paraId="5F7370FF"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2003</w:t>
            </w:r>
          </w:p>
        </w:tc>
        <w:tc>
          <w:tcPr>
            <w:tcW w:w="1531" w:type="dxa"/>
            <w:shd w:val="clear" w:color="auto" w:fill="FFFFFF"/>
            <w:tcMar>
              <w:top w:w="0" w:type="dxa"/>
              <w:left w:w="85" w:type="dxa"/>
              <w:bottom w:w="0" w:type="dxa"/>
              <w:right w:w="85" w:type="dxa"/>
            </w:tcMar>
            <w:vAlign w:val="center"/>
          </w:tcPr>
          <w:p w14:paraId="6AC2C6B1" w14:textId="77777777" w:rsidR="00EB5913" w:rsidRPr="006623B9" w:rsidRDefault="00EB5913" w:rsidP="00F16E23">
            <w:pPr>
              <w:pStyle w:val="TableText"/>
              <w:spacing w:before="40" w:after="40"/>
              <w:jc w:val="right"/>
              <w:rPr>
                <w:szCs w:val="16"/>
              </w:rPr>
            </w:pPr>
            <w:r w:rsidRPr="006623B9">
              <w:rPr>
                <w:rFonts w:eastAsia="Calibri"/>
                <w:color w:val="000000"/>
                <w:szCs w:val="16"/>
              </w:rPr>
              <w:t>4,061,600</w:t>
            </w:r>
          </w:p>
        </w:tc>
        <w:tc>
          <w:tcPr>
            <w:tcW w:w="2665" w:type="dxa"/>
            <w:shd w:val="clear" w:color="auto" w:fill="FFFFFF"/>
            <w:tcMar>
              <w:top w:w="0" w:type="dxa"/>
              <w:left w:w="85" w:type="dxa"/>
              <w:bottom w:w="0" w:type="dxa"/>
              <w:right w:w="85" w:type="dxa"/>
            </w:tcMar>
            <w:vAlign w:val="center"/>
          </w:tcPr>
          <w:p w14:paraId="4D4D6F42"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2EB21397" w14:textId="77777777" w:rsidR="00EB5913" w:rsidRPr="006623B9" w:rsidRDefault="00EB5913" w:rsidP="00F16E23">
            <w:pPr>
              <w:pStyle w:val="TableText"/>
              <w:spacing w:before="40" w:after="40"/>
              <w:jc w:val="right"/>
              <w:rPr>
                <w:szCs w:val="16"/>
              </w:rPr>
            </w:pPr>
            <w:r w:rsidRPr="006623B9">
              <w:rPr>
                <w:rFonts w:eastAsia="Calibri"/>
                <w:color w:val="000000"/>
                <w:szCs w:val="16"/>
              </w:rPr>
              <w:t>159.9</w:t>
            </w:r>
          </w:p>
        </w:tc>
      </w:tr>
      <w:tr w:rsidR="00EB5913" w:rsidRPr="006623B9" w14:paraId="1AAF309A" w14:textId="77777777" w:rsidTr="00F16E23">
        <w:tc>
          <w:tcPr>
            <w:tcW w:w="0" w:type="auto"/>
            <w:shd w:val="clear" w:color="auto" w:fill="FFFFFF"/>
            <w:tcMar>
              <w:top w:w="0" w:type="dxa"/>
              <w:left w:w="85" w:type="dxa"/>
              <w:bottom w:w="0" w:type="dxa"/>
              <w:right w:w="85" w:type="dxa"/>
            </w:tcMar>
            <w:vAlign w:val="center"/>
          </w:tcPr>
          <w:p w14:paraId="072A5BEE"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2004</w:t>
            </w:r>
          </w:p>
        </w:tc>
        <w:tc>
          <w:tcPr>
            <w:tcW w:w="1531" w:type="dxa"/>
            <w:shd w:val="clear" w:color="auto" w:fill="FFFFFF"/>
            <w:tcMar>
              <w:top w:w="0" w:type="dxa"/>
              <w:left w:w="85" w:type="dxa"/>
              <w:bottom w:w="0" w:type="dxa"/>
              <w:right w:w="85" w:type="dxa"/>
            </w:tcMar>
            <w:vAlign w:val="center"/>
          </w:tcPr>
          <w:p w14:paraId="7F156F2F" w14:textId="77777777" w:rsidR="00EB5913" w:rsidRPr="006623B9" w:rsidRDefault="00EB5913" w:rsidP="00F16E23">
            <w:pPr>
              <w:pStyle w:val="TableText"/>
              <w:spacing w:before="40" w:after="40"/>
              <w:jc w:val="right"/>
              <w:rPr>
                <w:szCs w:val="16"/>
              </w:rPr>
            </w:pPr>
            <w:r w:rsidRPr="006623B9">
              <w:rPr>
                <w:rFonts w:eastAsia="Calibri"/>
                <w:color w:val="000000"/>
                <w:szCs w:val="16"/>
              </w:rPr>
              <w:t>4,114,300</w:t>
            </w:r>
          </w:p>
        </w:tc>
        <w:tc>
          <w:tcPr>
            <w:tcW w:w="2665" w:type="dxa"/>
            <w:shd w:val="clear" w:color="auto" w:fill="FFFFFF"/>
            <w:tcMar>
              <w:top w:w="0" w:type="dxa"/>
              <w:left w:w="85" w:type="dxa"/>
              <w:bottom w:w="0" w:type="dxa"/>
              <w:right w:w="85" w:type="dxa"/>
            </w:tcMar>
            <w:vAlign w:val="center"/>
          </w:tcPr>
          <w:p w14:paraId="74574C7A"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541DEA37" w14:textId="77777777" w:rsidR="00EB5913" w:rsidRPr="006623B9" w:rsidRDefault="00EB5913" w:rsidP="00F16E23">
            <w:pPr>
              <w:pStyle w:val="TableText"/>
              <w:spacing w:before="40" w:after="40"/>
              <w:jc w:val="right"/>
              <w:rPr>
                <w:szCs w:val="16"/>
              </w:rPr>
            </w:pPr>
            <w:r w:rsidRPr="006623B9">
              <w:rPr>
                <w:rFonts w:eastAsia="Calibri"/>
                <w:color w:val="000000"/>
                <w:szCs w:val="16"/>
              </w:rPr>
              <w:t>163.2</w:t>
            </w:r>
          </w:p>
        </w:tc>
      </w:tr>
      <w:tr w:rsidR="00EB5913" w:rsidRPr="006623B9" w14:paraId="009887FB" w14:textId="77777777" w:rsidTr="00F16E23">
        <w:tc>
          <w:tcPr>
            <w:tcW w:w="0" w:type="auto"/>
            <w:shd w:val="clear" w:color="auto" w:fill="FFFFFF"/>
            <w:tcMar>
              <w:top w:w="0" w:type="dxa"/>
              <w:left w:w="85" w:type="dxa"/>
              <w:bottom w:w="0" w:type="dxa"/>
              <w:right w:w="85" w:type="dxa"/>
            </w:tcMar>
            <w:vAlign w:val="center"/>
          </w:tcPr>
          <w:p w14:paraId="4DE837A5"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2005</w:t>
            </w:r>
          </w:p>
        </w:tc>
        <w:tc>
          <w:tcPr>
            <w:tcW w:w="1531" w:type="dxa"/>
            <w:shd w:val="clear" w:color="auto" w:fill="FFFFFF"/>
            <w:tcMar>
              <w:top w:w="0" w:type="dxa"/>
              <w:left w:w="85" w:type="dxa"/>
              <w:bottom w:w="0" w:type="dxa"/>
              <w:right w:w="85" w:type="dxa"/>
            </w:tcMar>
            <w:vAlign w:val="center"/>
          </w:tcPr>
          <w:p w14:paraId="60AB9B84" w14:textId="77777777" w:rsidR="00EB5913" w:rsidRPr="006623B9" w:rsidRDefault="00EB5913" w:rsidP="00F16E23">
            <w:pPr>
              <w:pStyle w:val="TableText"/>
              <w:spacing w:before="40" w:after="40"/>
              <w:jc w:val="right"/>
              <w:rPr>
                <w:szCs w:val="16"/>
              </w:rPr>
            </w:pPr>
            <w:r w:rsidRPr="006623B9">
              <w:rPr>
                <w:rFonts w:eastAsia="Calibri"/>
                <w:color w:val="000000"/>
                <w:szCs w:val="16"/>
              </w:rPr>
              <w:t>4,161,000</w:t>
            </w:r>
          </w:p>
        </w:tc>
        <w:tc>
          <w:tcPr>
            <w:tcW w:w="2665" w:type="dxa"/>
            <w:shd w:val="clear" w:color="auto" w:fill="FFFFFF"/>
            <w:tcMar>
              <w:top w:w="0" w:type="dxa"/>
              <w:left w:w="85" w:type="dxa"/>
              <w:bottom w:w="0" w:type="dxa"/>
              <w:right w:w="85" w:type="dxa"/>
            </w:tcMar>
            <w:vAlign w:val="center"/>
          </w:tcPr>
          <w:p w14:paraId="327A0A58"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0EEBA152" w14:textId="77777777" w:rsidR="00EB5913" w:rsidRPr="006623B9" w:rsidRDefault="00EB5913" w:rsidP="00F16E23">
            <w:pPr>
              <w:pStyle w:val="TableText"/>
              <w:spacing w:before="40" w:after="40"/>
              <w:jc w:val="right"/>
              <w:rPr>
                <w:szCs w:val="16"/>
              </w:rPr>
            </w:pPr>
            <w:r w:rsidRPr="006623B9">
              <w:rPr>
                <w:rFonts w:eastAsia="Calibri"/>
                <w:color w:val="000000"/>
                <w:szCs w:val="16"/>
              </w:rPr>
              <w:t>166.5</w:t>
            </w:r>
          </w:p>
        </w:tc>
      </w:tr>
      <w:tr w:rsidR="00EB5913" w:rsidRPr="006623B9" w14:paraId="59FC9CFF" w14:textId="77777777" w:rsidTr="00F16E23">
        <w:tc>
          <w:tcPr>
            <w:tcW w:w="0" w:type="auto"/>
            <w:shd w:val="clear" w:color="auto" w:fill="FFFFFF"/>
            <w:tcMar>
              <w:top w:w="0" w:type="dxa"/>
              <w:left w:w="85" w:type="dxa"/>
              <w:bottom w:w="0" w:type="dxa"/>
              <w:right w:w="85" w:type="dxa"/>
            </w:tcMar>
            <w:vAlign w:val="center"/>
          </w:tcPr>
          <w:p w14:paraId="76A55CB5"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2006</w:t>
            </w:r>
          </w:p>
        </w:tc>
        <w:tc>
          <w:tcPr>
            <w:tcW w:w="1531" w:type="dxa"/>
            <w:shd w:val="clear" w:color="auto" w:fill="FFFFFF"/>
            <w:tcMar>
              <w:top w:w="0" w:type="dxa"/>
              <w:left w:w="85" w:type="dxa"/>
              <w:bottom w:w="0" w:type="dxa"/>
              <w:right w:w="85" w:type="dxa"/>
            </w:tcMar>
            <w:vAlign w:val="center"/>
          </w:tcPr>
          <w:p w14:paraId="40E27242" w14:textId="77777777" w:rsidR="00EB5913" w:rsidRPr="006623B9" w:rsidRDefault="00EB5913" w:rsidP="00F16E23">
            <w:pPr>
              <w:pStyle w:val="TableText"/>
              <w:spacing w:before="40" w:after="40"/>
              <w:jc w:val="right"/>
              <w:rPr>
                <w:szCs w:val="16"/>
              </w:rPr>
            </w:pPr>
            <w:r w:rsidRPr="006623B9">
              <w:rPr>
                <w:rFonts w:eastAsia="Calibri"/>
                <w:color w:val="000000"/>
                <w:szCs w:val="16"/>
              </w:rPr>
              <w:t>4,209,100</w:t>
            </w:r>
          </w:p>
        </w:tc>
        <w:tc>
          <w:tcPr>
            <w:tcW w:w="2665" w:type="dxa"/>
            <w:shd w:val="clear" w:color="auto" w:fill="FFFFFF"/>
            <w:tcMar>
              <w:top w:w="0" w:type="dxa"/>
              <w:left w:w="85" w:type="dxa"/>
              <w:bottom w:w="0" w:type="dxa"/>
              <w:right w:w="85" w:type="dxa"/>
            </w:tcMar>
            <w:vAlign w:val="center"/>
          </w:tcPr>
          <w:p w14:paraId="4A461F93" w14:textId="77777777" w:rsidR="00EB5913" w:rsidRPr="006623B9" w:rsidRDefault="00EB5913" w:rsidP="00F16E23">
            <w:pPr>
              <w:pStyle w:val="TableText"/>
              <w:spacing w:before="40" w:after="40"/>
              <w:rPr>
                <w:szCs w:val="16"/>
              </w:rPr>
            </w:pPr>
            <w:r w:rsidRPr="006623B9">
              <w:rPr>
                <w:rFonts w:eastAsia="Calibri"/>
                <w:color w:val="000000"/>
                <w:szCs w:val="16"/>
              </w:rPr>
              <w:t>0.032</w:t>
            </w:r>
          </w:p>
        </w:tc>
        <w:tc>
          <w:tcPr>
            <w:tcW w:w="3402" w:type="dxa"/>
            <w:shd w:val="clear" w:color="auto" w:fill="FFFFFF"/>
            <w:tcMar>
              <w:top w:w="0" w:type="dxa"/>
              <w:left w:w="85" w:type="dxa"/>
              <w:bottom w:w="0" w:type="dxa"/>
              <w:right w:w="85" w:type="dxa"/>
            </w:tcMar>
            <w:vAlign w:val="center"/>
          </w:tcPr>
          <w:p w14:paraId="7F361CD2" w14:textId="77777777" w:rsidR="00EB5913" w:rsidRPr="006623B9" w:rsidRDefault="00EB5913" w:rsidP="00F16E23">
            <w:pPr>
              <w:pStyle w:val="TableText"/>
              <w:spacing w:before="40" w:after="40"/>
              <w:jc w:val="right"/>
              <w:rPr>
                <w:szCs w:val="16"/>
              </w:rPr>
            </w:pPr>
            <w:r w:rsidRPr="006623B9">
              <w:rPr>
                <w:rFonts w:eastAsia="Calibri"/>
                <w:color w:val="000000"/>
                <w:szCs w:val="16"/>
              </w:rPr>
              <w:t>168.0</w:t>
            </w:r>
          </w:p>
        </w:tc>
      </w:tr>
      <w:tr w:rsidR="00EB5913" w:rsidRPr="006623B9" w14:paraId="3F5F7A61" w14:textId="77777777" w:rsidTr="00F16E23">
        <w:tc>
          <w:tcPr>
            <w:tcW w:w="0" w:type="auto"/>
            <w:shd w:val="clear" w:color="auto" w:fill="FFFFFF"/>
            <w:tcMar>
              <w:top w:w="0" w:type="dxa"/>
              <w:left w:w="85" w:type="dxa"/>
              <w:bottom w:w="0" w:type="dxa"/>
              <w:right w:w="85" w:type="dxa"/>
            </w:tcMar>
            <w:vAlign w:val="center"/>
          </w:tcPr>
          <w:p w14:paraId="4B1FD474"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2007</w:t>
            </w:r>
          </w:p>
        </w:tc>
        <w:tc>
          <w:tcPr>
            <w:tcW w:w="1531" w:type="dxa"/>
            <w:shd w:val="clear" w:color="auto" w:fill="FFFFFF"/>
            <w:tcMar>
              <w:top w:w="0" w:type="dxa"/>
              <w:left w:w="85" w:type="dxa"/>
              <w:bottom w:w="0" w:type="dxa"/>
              <w:right w:w="85" w:type="dxa"/>
            </w:tcMar>
            <w:vAlign w:val="center"/>
          </w:tcPr>
          <w:p w14:paraId="1F263C9C" w14:textId="77777777" w:rsidR="00EB5913" w:rsidRPr="006623B9" w:rsidRDefault="00EB5913" w:rsidP="00F16E23">
            <w:pPr>
              <w:pStyle w:val="TableText"/>
              <w:spacing w:before="40" w:after="40"/>
              <w:jc w:val="right"/>
              <w:rPr>
                <w:szCs w:val="16"/>
              </w:rPr>
            </w:pPr>
            <w:r w:rsidRPr="006623B9">
              <w:rPr>
                <w:rFonts w:eastAsia="Calibri"/>
                <w:color w:val="000000"/>
                <w:szCs w:val="16"/>
              </w:rPr>
              <w:t>4,245,700</w:t>
            </w:r>
          </w:p>
        </w:tc>
        <w:tc>
          <w:tcPr>
            <w:tcW w:w="2665" w:type="dxa"/>
            <w:shd w:val="clear" w:color="auto" w:fill="FFFFFF"/>
            <w:tcMar>
              <w:top w:w="0" w:type="dxa"/>
              <w:left w:w="85" w:type="dxa"/>
              <w:bottom w:w="0" w:type="dxa"/>
              <w:right w:w="85" w:type="dxa"/>
            </w:tcMar>
            <w:vAlign w:val="center"/>
          </w:tcPr>
          <w:p w14:paraId="18EFF7AE"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48FD7ADE" w14:textId="77777777" w:rsidR="00EB5913" w:rsidRPr="006623B9" w:rsidRDefault="00EB5913" w:rsidP="00F16E23">
            <w:pPr>
              <w:pStyle w:val="TableText"/>
              <w:spacing w:before="40" w:after="40"/>
              <w:jc w:val="right"/>
              <w:rPr>
                <w:szCs w:val="16"/>
              </w:rPr>
            </w:pPr>
            <w:r w:rsidRPr="006623B9">
              <w:rPr>
                <w:rFonts w:eastAsia="Calibri"/>
                <w:color w:val="000000"/>
                <w:szCs w:val="16"/>
              </w:rPr>
              <w:t>171.4</w:t>
            </w:r>
          </w:p>
        </w:tc>
      </w:tr>
      <w:tr w:rsidR="00EB5913" w:rsidRPr="006623B9" w14:paraId="26036461" w14:textId="77777777" w:rsidTr="00F16E23">
        <w:tc>
          <w:tcPr>
            <w:tcW w:w="0" w:type="auto"/>
            <w:shd w:val="clear" w:color="auto" w:fill="FFFFFF"/>
            <w:tcMar>
              <w:top w:w="0" w:type="dxa"/>
              <w:left w:w="85" w:type="dxa"/>
              <w:bottom w:w="0" w:type="dxa"/>
              <w:right w:w="85" w:type="dxa"/>
            </w:tcMar>
            <w:vAlign w:val="center"/>
          </w:tcPr>
          <w:p w14:paraId="4CE6AC03"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2008</w:t>
            </w:r>
          </w:p>
        </w:tc>
        <w:tc>
          <w:tcPr>
            <w:tcW w:w="1531" w:type="dxa"/>
            <w:shd w:val="clear" w:color="auto" w:fill="FFFFFF"/>
            <w:tcMar>
              <w:top w:w="0" w:type="dxa"/>
              <w:left w:w="85" w:type="dxa"/>
              <w:bottom w:w="0" w:type="dxa"/>
              <w:right w:w="85" w:type="dxa"/>
            </w:tcMar>
            <w:vAlign w:val="center"/>
          </w:tcPr>
          <w:p w14:paraId="4861C196" w14:textId="77777777" w:rsidR="00EB5913" w:rsidRPr="006623B9" w:rsidRDefault="00EB5913" w:rsidP="00F16E23">
            <w:pPr>
              <w:pStyle w:val="TableText"/>
              <w:spacing w:before="40" w:after="40"/>
              <w:jc w:val="right"/>
              <w:rPr>
                <w:szCs w:val="16"/>
              </w:rPr>
            </w:pPr>
            <w:r w:rsidRPr="006623B9">
              <w:rPr>
                <w:rFonts w:eastAsia="Calibri"/>
                <w:color w:val="000000"/>
                <w:szCs w:val="16"/>
              </w:rPr>
              <w:t>4,280,300</w:t>
            </w:r>
          </w:p>
        </w:tc>
        <w:tc>
          <w:tcPr>
            <w:tcW w:w="2665" w:type="dxa"/>
            <w:shd w:val="clear" w:color="auto" w:fill="FFFFFF"/>
            <w:tcMar>
              <w:top w:w="0" w:type="dxa"/>
              <w:left w:w="85" w:type="dxa"/>
              <w:bottom w:w="0" w:type="dxa"/>
              <w:right w:w="85" w:type="dxa"/>
            </w:tcMar>
            <w:vAlign w:val="center"/>
          </w:tcPr>
          <w:p w14:paraId="694C70CE"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34907C75" w14:textId="77777777" w:rsidR="00EB5913" w:rsidRPr="006623B9" w:rsidRDefault="00EB5913" w:rsidP="00F16E23">
            <w:pPr>
              <w:pStyle w:val="TableText"/>
              <w:spacing w:before="40" w:after="40"/>
              <w:jc w:val="right"/>
              <w:rPr>
                <w:szCs w:val="16"/>
              </w:rPr>
            </w:pPr>
            <w:r w:rsidRPr="006623B9">
              <w:rPr>
                <w:rFonts w:eastAsia="Calibri"/>
                <w:color w:val="000000"/>
                <w:szCs w:val="16"/>
              </w:rPr>
              <w:t>173.1</w:t>
            </w:r>
          </w:p>
        </w:tc>
      </w:tr>
      <w:tr w:rsidR="00EB5913" w:rsidRPr="006623B9" w14:paraId="4E43D9C9" w14:textId="77777777" w:rsidTr="00F16E23">
        <w:tc>
          <w:tcPr>
            <w:tcW w:w="0" w:type="auto"/>
            <w:shd w:val="clear" w:color="auto" w:fill="FFFFFF"/>
            <w:tcMar>
              <w:top w:w="0" w:type="dxa"/>
              <w:left w:w="85" w:type="dxa"/>
              <w:bottom w:w="0" w:type="dxa"/>
              <w:right w:w="85" w:type="dxa"/>
            </w:tcMar>
            <w:vAlign w:val="center"/>
          </w:tcPr>
          <w:p w14:paraId="6B2EA8D7"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2009</w:t>
            </w:r>
          </w:p>
        </w:tc>
        <w:tc>
          <w:tcPr>
            <w:tcW w:w="1531" w:type="dxa"/>
            <w:shd w:val="clear" w:color="auto" w:fill="FFFFFF"/>
            <w:tcMar>
              <w:top w:w="0" w:type="dxa"/>
              <w:left w:w="85" w:type="dxa"/>
              <w:bottom w:w="0" w:type="dxa"/>
              <w:right w:w="85" w:type="dxa"/>
            </w:tcMar>
            <w:vAlign w:val="center"/>
          </w:tcPr>
          <w:p w14:paraId="78102482" w14:textId="77777777" w:rsidR="00EB5913" w:rsidRPr="006623B9" w:rsidRDefault="00EB5913" w:rsidP="00F16E23">
            <w:pPr>
              <w:pStyle w:val="TableText"/>
              <w:spacing w:before="40" w:after="40"/>
              <w:jc w:val="right"/>
              <w:rPr>
                <w:szCs w:val="16"/>
              </w:rPr>
            </w:pPr>
            <w:r w:rsidRPr="006623B9">
              <w:rPr>
                <w:rFonts w:eastAsia="Calibri"/>
                <w:color w:val="000000"/>
                <w:szCs w:val="16"/>
              </w:rPr>
              <w:t>4,332,100</w:t>
            </w:r>
          </w:p>
        </w:tc>
        <w:tc>
          <w:tcPr>
            <w:tcW w:w="2665" w:type="dxa"/>
            <w:shd w:val="clear" w:color="auto" w:fill="FFFFFF"/>
            <w:tcMar>
              <w:top w:w="0" w:type="dxa"/>
              <w:left w:w="85" w:type="dxa"/>
              <w:bottom w:w="0" w:type="dxa"/>
              <w:right w:w="85" w:type="dxa"/>
            </w:tcMar>
            <w:vAlign w:val="center"/>
          </w:tcPr>
          <w:p w14:paraId="1E55785A"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4FF6E88A" w14:textId="77777777" w:rsidR="00EB5913" w:rsidRPr="006623B9" w:rsidRDefault="00EB5913" w:rsidP="00F16E23">
            <w:pPr>
              <w:pStyle w:val="TableText"/>
              <w:spacing w:before="40" w:after="40"/>
              <w:jc w:val="right"/>
              <w:rPr>
                <w:szCs w:val="16"/>
              </w:rPr>
            </w:pPr>
            <w:r w:rsidRPr="006623B9">
              <w:rPr>
                <w:rFonts w:eastAsia="Calibri"/>
                <w:color w:val="000000"/>
                <w:szCs w:val="16"/>
              </w:rPr>
              <w:t>174.7</w:t>
            </w:r>
          </w:p>
        </w:tc>
      </w:tr>
      <w:tr w:rsidR="00EB5913" w:rsidRPr="006623B9" w14:paraId="3F709745" w14:textId="77777777" w:rsidTr="00F16E23">
        <w:tc>
          <w:tcPr>
            <w:tcW w:w="0" w:type="auto"/>
            <w:shd w:val="clear" w:color="auto" w:fill="FFFFFF"/>
            <w:tcMar>
              <w:top w:w="0" w:type="dxa"/>
              <w:left w:w="85" w:type="dxa"/>
              <w:bottom w:w="0" w:type="dxa"/>
              <w:right w:w="85" w:type="dxa"/>
            </w:tcMar>
            <w:vAlign w:val="center"/>
          </w:tcPr>
          <w:p w14:paraId="1C06E431"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2010</w:t>
            </w:r>
          </w:p>
        </w:tc>
        <w:tc>
          <w:tcPr>
            <w:tcW w:w="1531" w:type="dxa"/>
            <w:shd w:val="clear" w:color="auto" w:fill="FFFFFF"/>
            <w:tcMar>
              <w:top w:w="0" w:type="dxa"/>
              <w:left w:w="85" w:type="dxa"/>
              <w:bottom w:w="0" w:type="dxa"/>
              <w:right w:w="85" w:type="dxa"/>
            </w:tcMar>
            <w:vAlign w:val="center"/>
          </w:tcPr>
          <w:p w14:paraId="4F6CDC0E" w14:textId="77777777" w:rsidR="00EB5913" w:rsidRPr="006623B9" w:rsidRDefault="00EB5913" w:rsidP="00F16E23">
            <w:pPr>
              <w:pStyle w:val="TableText"/>
              <w:spacing w:before="40" w:after="40"/>
              <w:jc w:val="right"/>
              <w:rPr>
                <w:szCs w:val="16"/>
              </w:rPr>
            </w:pPr>
            <w:r w:rsidRPr="006623B9">
              <w:rPr>
                <w:rFonts w:eastAsia="Calibri"/>
                <w:color w:val="000000"/>
                <w:szCs w:val="16"/>
              </w:rPr>
              <w:t>4,373,900</w:t>
            </w:r>
          </w:p>
        </w:tc>
        <w:tc>
          <w:tcPr>
            <w:tcW w:w="2665" w:type="dxa"/>
            <w:shd w:val="clear" w:color="auto" w:fill="FFFFFF"/>
            <w:tcMar>
              <w:top w:w="0" w:type="dxa"/>
              <w:left w:w="85" w:type="dxa"/>
              <w:bottom w:w="0" w:type="dxa"/>
              <w:right w:w="85" w:type="dxa"/>
            </w:tcMar>
            <w:vAlign w:val="center"/>
          </w:tcPr>
          <w:p w14:paraId="1E42DE07"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064C7D53" w14:textId="77777777" w:rsidR="00EB5913" w:rsidRPr="006623B9" w:rsidRDefault="00EB5913" w:rsidP="00F16E23">
            <w:pPr>
              <w:pStyle w:val="TableText"/>
              <w:spacing w:before="40" w:after="40"/>
              <w:jc w:val="right"/>
              <w:rPr>
                <w:szCs w:val="16"/>
              </w:rPr>
            </w:pPr>
            <w:r w:rsidRPr="006623B9">
              <w:rPr>
                <w:rFonts w:eastAsia="Calibri"/>
                <w:color w:val="000000"/>
                <w:szCs w:val="16"/>
              </w:rPr>
              <w:t>176.4</w:t>
            </w:r>
          </w:p>
        </w:tc>
      </w:tr>
      <w:tr w:rsidR="00EB5913" w:rsidRPr="006623B9" w14:paraId="5F013E83" w14:textId="77777777" w:rsidTr="00F16E23">
        <w:tc>
          <w:tcPr>
            <w:tcW w:w="0" w:type="auto"/>
            <w:shd w:val="clear" w:color="auto" w:fill="FFFFFF"/>
            <w:tcMar>
              <w:top w:w="0" w:type="dxa"/>
              <w:left w:w="85" w:type="dxa"/>
              <w:bottom w:w="0" w:type="dxa"/>
              <w:right w:w="85" w:type="dxa"/>
            </w:tcMar>
            <w:vAlign w:val="center"/>
          </w:tcPr>
          <w:p w14:paraId="5D67FBCB"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2011</w:t>
            </w:r>
          </w:p>
        </w:tc>
        <w:tc>
          <w:tcPr>
            <w:tcW w:w="1531" w:type="dxa"/>
            <w:shd w:val="clear" w:color="auto" w:fill="FFFFFF"/>
            <w:tcMar>
              <w:top w:w="0" w:type="dxa"/>
              <w:left w:w="85" w:type="dxa"/>
              <w:bottom w:w="0" w:type="dxa"/>
              <w:right w:w="85" w:type="dxa"/>
            </w:tcMar>
            <w:vAlign w:val="center"/>
          </w:tcPr>
          <w:p w14:paraId="793390C1" w14:textId="77777777" w:rsidR="00EB5913" w:rsidRPr="006623B9" w:rsidRDefault="00EB5913" w:rsidP="00F16E23">
            <w:pPr>
              <w:pStyle w:val="TableText"/>
              <w:spacing w:before="40" w:after="40"/>
              <w:jc w:val="right"/>
              <w:rPr>
                <w:szCs w:val="16"/>
              </w:rPr>
            </w:pPr>
            <w:r w:rsidRPr="006623B9">
              <w:rPr>
                <w:rFonts w:eastAsia="Calibri"/>
                <w:color w:val="000000"/>
                <w:szCs w:val="16"/>
              </w:rPr>
              <w:t>4,399,400</w:t>
            </w:r>
          </w:p>
        </w:tc>
        <w:tc>
          <w:tcPr>
            <w:tcW w:w="2665" w:type="dxa"/>
            <w:shd w:val="clear" w:color="auto" w:fill="FFFFFF"/>
            <w:tcMar>
              <w:top w:w="0" w:type="dxa"/>
              <w:left w:w="85" w:type="dxa"/>
              <w:bottom w:w="0" w:type="dxa"/>
              <w:right w:w="85" w:type="dxa"/>
            </w:tcMar>
            <w:vAlign w:val="center"/>
          </w:tcPr>
          <w:p w14:paraId="4A453F8A"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5DA35BAF" w14:textId="77777777" w:rsidR="00EB5913" w:rsidRPr="006623B9" w:rsidRDefault="00EB5913" w:rsidP="00F16E23">
            <w:pPr>
              <w:pStyle w:val="TableText"/>
              <w:spacing w:before="40" w:after="40"/>
              <w:jc w:val="right"/>
              <w:rPr>
                <w:szCs w:val="16"/>
              </w:rPr>
            </w:pPr>
            <w:r w:rsidRPr="006623B9">
              <w:rPr>
                <w:rFonts w:eastAsia="Calibri"/>
                <w:color w:val="000000"/>
                <w:szCs w:val="16"/>
              </w:rPr>
              <w:t>178.1</w:t>
            </w:r>
          </w:p>
        </w:tc>
      </w:tr>
      <w:tr w:rsidR="00EB5913" w:rsidRPr="006623B9" w14:paraId="0286AB0F" w14:textId="77777777" w:rsidTr="00F16E23">
        <w:tc>
          <w:tcPr>
            <w:tcW w:w="0" w:type="auto"/>
            <w:shd w:val="clear" w:color="auto" w:fill="FFFFFF"/>
            <w:tcMar>
              <w:top w:w="0" w:type="dxa"/>
              <w:left w:w="85" w:type="dxa"/>
              <w:bottom w:w="0" w:type="dxa"/>
              <w:right w:w="85" w:type="dxa"/>
            </w:tcMar>
            <w:vAlign w:val="center"/>
          </w:tcPr>
          <w:p w14:paraId="4DC7FDAF"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2012</w:t>
            </w:r>
          </w:p>
        </w:tc>
        <w:tc>
          <w:tcPr>
            <w:tcW w:w="1531" w:type="dxa"/>
            <w:shd w:val="clear" w:color="auto" w:fill="FFFFFF"/>
            <w:tcMar>
              <w:top w:w="0" w:type="dxa"/>
              <w:left w:w="85" w:type="dxa"/>
              <w:bottom w:w="0" w:type="dxa"/>
              <w:right w:w="85" w:type="dxa"/>
            </w:tcMar>
            <w:vAlign w:val="center"/>
          </w:tcPr>
          <w:p w14:paraId="0C5BF11A" w14:textId="77777777" w:rsidR="00EB5913" w:rsidRPr="006623B9" w:rsidRDefault="00EB5913" w:rsidP="00F16E23">
            <w:pPr>
              <w:pStyle w:val="TableText"/>
              <w:spacing w:before="40" w:after="40"/>
              <w:jc w:val="right"/>
              <w:rPr>
                <w:szCs w:val="16"/>
              </w:rPr>
            </w:pPr>
            <w:r w:rsidRPr="006623B9">
              <w:rPr>
                <w:rFonts w:eastAsia="Calibri"/>
                <w:color w:val="000000"/>
                <w:szCs w:val="16"/>
              </w:rPr>
              <w:t>4,425,900</w:t>
            </w:r>
          </w:p>
        </w:tc>
        <w:tc>
          <w:tcPr>
            <w:tcW w:w="2665" w:type="dxa"/>
            <w:shd w:val="clear" w:color="auto" w:fill="FFFFFF"/>
            <w:tcMar>
              <w:top w:w="0" w:type="dxa"/>
              <w:left w:w="85" w:type="dxa"/>
              <w:bottom w:w="0" w:type="dxa"/>
              <w:right w:w="85" w:type="dxa"/>
            </w:tcMar>
            <w:vAlign w:val="center"/>
          </w:tcPr>
          <w:p w14:paraId="3E3D33B5" w14:textId="77777777" w:rsidR="00EB5913" w:rsidRPr="006623B9" w:rsidRDefault="00EB5913" w:rsidP="00F16E23">
            <w:pPr>
              <w:pStyle w:val="TableText"/>
              <w:spacing w:before="40" w:after="40"/>
              <w:rPr>
                <w:szCs w:val="16"/>
              </w:rPr>
            </w:pPr>
            <w:r w:rsidRPr="006623B9">
              <w:rPr>
                <w:rFonts w:eastAsia="Calibri"/>
                <w:color w:val="000000"/>
                <w:szCs w:val="16"/>
              </w:rPr>
              <w:t>Interpolated</w:t>
            </w:r>
          </w:p>
        </w:tc>
        <w:tc>
          <w:tcPr>
            <w:tcW w:w="3402" w:type="dxa"/>
            <w:shd w:val="clear" w:color="auto" w:fill="FFFFFF"/>
            <w:tcMar>
              <w:top w:w="0" w:type="dxa"/>
              <w:left w:w="85" w:type="dxa"/>
              <w:bottom w:w="0" w:type="dxa"/>
              <w:right w:w="85" w:type="dxa"/>
            </w:tcMar>
            <w:vAlign w:val="center"/>
          </w:tcPr>
          <w:p w14:paraId="4CF5889C" w14:textId="77777777" w:rsidR="00EB5913" w:rsidRPr="006623B9" w:rsidRDefault="00EB5913" w:rsidP="00F16E23">
            <w:pPr>
              <w:pStyle w:val="TableText"/>
              <w:spacing w:before="40" w:after="40"/>
              <w:jc w:val="right"/>
              <w:rPr>
                <w:szCs w:val="16"/>
              </w:rPr>
            </w:pPr>
            <w:r w:rsidRPr="006623B9">
              <w:rPr>
                <w:rFonts w:eastAsia="Calibri"/>
                <w:color w:val="000000"/>
                <w:szCs w:val="16"/>
              </w:rPr>
              <w:t>179.8</w:t>
            </w:r>
          </w:p>
        </w:tc>
      </w:tr>
      <w:tr w:rsidR="00EB5913" w:rsidRPr="006623B9" w14:paraId="3994F2CC" w14:textId="77777777" w:rsidTr="00F16E23">
        <w:tc>
          <w:tcPr>
            <w:tcW w:w="0" w:type="auto"/>
            <w:shd w:val="clear" w:color="auto" w:fill="FFFFFF"/>
            <w:tcMar>
              <w:top w:w="0" w:type="dxa"/>
              <w:left w:w="85" w:type="dxa"/>
              <w:bottom w:w="0" w:type="dxa"/>
              <w:right w:w="85" w:type="dxa"/>
            </w:tcMar>
            <w:vAlign w:val="center"/>
          </w:tcPr>
          <w:p w14:paraId="035CFE86"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2013</w:t>
            </w:r>
          </w:p>
        </w:tc>
        <w:tc>
          <w:tcPr>
            <w:tcW w:w="1531" w:type="dxa"/>
            <w:shd w:val="clear" w:color="auto" w:fill="FFFFFF"/>
            <w:tcMar>
              <w:top w:w="0" w:type="dxa"/>
              <w:left w:w="85" w:type="dxa"/>
              <w:bottom w:w="0" w:type="dxa"/>
              <w:right w:w="85" w:type="dxa"/>
            </w:tcMar>
            <w:vAlign w:val="center"/>
          </w:tcPr>
          <w:p w14:paraId="219D0445" w14:textId="77777777" w:rsidR="00EB5913" w:rsidRPr="006623B9" w:rsidRDefault="00EB5913" w:rsidP="00F16E23">
            <w:pPr>
              <w:pStyle w:val="TableText"/>
              <w:spacing w:before="40" w:after="40"/>
              <w:jc w:val="right"/>
              <w:rPr>
                <w:szCs w:val="16"/>
              </w:rPr>
            </w:pPr>
            <w:r w:rsidRPr="006623B9">
              <w:rPr>
                <w:rFonts w:eastAsia="Calibri"/>
                <w:color w:val="000000"/>
                <w:szCs w:val="16"/>
              </w:rPr>
              <w:t>4,477,400</w:t>
            </w:r>
          </w:p>
        </w:tc>
        <w:tc>
          <w:tcPr>
            <w:tcW w:w="2665" w:type="dxa"/>
            <w:shd w:val="clear" w:color="auto" w:fill="FFFFFF"/>
            <w:tcMar>
              <w:top w:w="0" w:type="dxa"/>
              <w:left w:w="85" w:type="dxa"/>
              <w:bottom w:w="0" w:type="dxa"/>
              <w:right w:w="85" w:type="dxa"/>
            </w:tcMar>
            <w:vAlign w:val="center"/>
          </w:tcPr>
          <w:p w14:paraId="1FB98E45" w14:textId="77777777" w:rsidR="00EB5913" w:rsidRPr="006623B9" w:rsidRDefault="00EB5913" w:rsidP="00F16E23">
            <w:pPr>
              <w:pStyle w:val="TableText"/>
              <w:spacing w:before="40" w:after="40"/>
              <w:rPr>
                <w:szCs w:val="16"/>
              </w:rPr>
            </w:pPr>
            <w:r w:rsidRPr="006623B9">
              <w:rPr>
                <w:rFonts w:eastAsia="Calibri"/>
                <w:color w:val="000000"/>
                <w:szCs w:val="16"/>
              </w:rPr>
              <w:t>0.0316</w:t>
            </w:r>
          </w:p>
        </w:tc>
        <w:tc>
          <w:tcPr>
            <w:tcW w:w="3402" w:type="dxa"/>
            <w:shd w:val="clear" w:color="auto" w:fill="FFFFFF"/>
            <w:tcMar>
              <w:top w:w="0" w:type="dxa"/>
              <w:left w:w="85" w:type="dxa"/>
              <w:bottom w:w="0" w:type="dxa"/>
              <w:right w:w="85" w:type="dxa"/>
            </w:tcMar>
            <w:vAlign w:val="center"/>
          </w:tcPr>
          <w:p w14:paraId="2C93B509" w14:textId="77777777" w:rsidR="00EB5913" w:rsidRPr="006623B9" w:rsidRDefault="00EB5913" w:rsidP="00F16E23">
            <w:pPr>
              <w:pStyle w:val="TableText"/>
              <w:spacing w:before="40" w:after="40"/>
              <w:jc w:val="right"/>
              <w:rPr>
                <w:szCs w:val="16"/>
              </w:rPr>
            </w:pPr>
            <w:r w:rsidRPr="006623B9">
              <w:rPr>
                <w:rFonts w:eastAsia="Calibri"/>
                <w:color w:val="000000"/>
                <w:szCs w:val="16"/>
              </w:rPr>
              <w:t>181.7</w:t>
            </w:r>
          </w:p>
        </w:tc>
      </w:tr>
      <w:tr w:rsidR="00EB5913" w:rsidRPr="006623B9" w14:paraId="6537182A" w14:textId="77777777" w:rsidTr="00F16E23">
        <w:tc>
          <w:tcPr>
            <w:tcW w:w="0" w:type="auto"/>
            <w:shd w:val="clear" w:color="auto" w:fill="FFFFFF"/>
            <w:tcMar>
              <w:top w:w="0" w:type="dxa"/>
              <w:left w:w="85" w:type="dxa"/>
              <w:bottom w:w="0" w:type="dxa"/>
              <w:right w:w="85" w:type="dxa"/>
            </w:tcMar>
            <w:vAlign w:val="center"/>
          </w:tcPr>
          <w:p w14:paraId="22335A1C"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2014</w:t>
            </w:r>
          </w:p>
        </w:tc>
        <w:tc>
          <w:tcPr>
            <w:tcW w:w="1531" w:type="dxa"/>
            <w:shd w:val="clear" w:color="auto" w:fill="FFFFFF"/>
            <w:tcMar>
              <w:top w:w="0" w:type="dxa"/>
              <w:left w:w="85" w:type="dxa"/>
              <w:bottom w:w="0" w:type="dxa"/>
              <w:right w:w="85" w:type="dxa"/>
            </w:tcMar>
            <w:vAlign w:val="center"/>
          </w:tcPr>
          <w:p w14:paraId="2714A5D0" w14:textId="77777777" w:rsidR="00EB5913" w:rsidRPr="006623B9" w:rsidRDefault="00EB5913" w:rsidP="00F16E23">
            <w:pPr>
              <w:pStyle w:val="TableText"/>
              <w:spacing w:before="40" w:after="40"/>
              <w:jc w:val="right"/>
              <w:rPr>
                <w:szCs w:val="16"/>
              </w:rPr>
            </w:pPr>
            <w:r w:rsidRPr="006623B9">
              <w:rPr>
                <w:rFonts w:eastAsia="Calibri"/>
                <w:color w:val="000000"/>
                <w:szCs w:val="16"/>
              </w:rPr>
              <w:t>4,564,400</w:t>
            </w:r>
          </w:p>
        </w:tc>
        <w:tc>
          <w:tcPr>
            <w:tcW w:w="2665" w:type="dxa"/>
            <w:shd w:val="clear" w:color="auto" w:fill="FFFFFF"/>
            <w:tcMar>
              <w:top w:w="0" w:type="dxa"/>
              <w:left w:w="85" w:type="dxa"/>
              <w:bottom w:w="0" w:type="dxa"/>
              <w:right w:w="85" w:type="dxa"/>
            </w:tcMar>
            <w:vAlign w:val="center"/>
          </w:tcPr>
          <w:p w14:paraId="5E29D488" w14:textId="77777777" w:rsidR="00EB5913" w:rsidRPr="006623B9" w:rsidRDefault="00EB5913" w:rsidP="00F16E23">
            <w:pPr>
              <w:pStyle w:val="TableText"/>
              <w:spacing w:before="40" w:after="40"/>
              <w:rPr>
                <w:szCs w:val="16"/>
              </w:rPr>
            </w:pPr>
            <w:r w:rsidRPr="006623B9">
              <w:rPr>
                <w:rFonts w:eastAsia="Calibri"/>
                <w:color w:val="000000"/>
                <w:szCs w:val="16"/>
              </w:rPr>
              <w:t>0.0316</w:t>
            </w:r>
          </w:p>
        </w:tc>
        <w:tc>
          <w:tcPr>
            <w:tcW w:w="3402" w:type="dxa"/>
            <w:shd w:val="clear" w:color="auto" w:fill="FFFFFF"/>
            <w:tcMar>
              <w:top w:w="0" w:type="dxa"/>
              <w:left w:w="85" w:type="dxa"/>
              <w:bottom w:w="0" w:type="dxa"/>
              <w:right w:w="85" w:type="dxa"/>
            </w:tcMar>
            <w:vAlign w:val="center"/>
          </w:tcPr>
          <w:p w14:paraId="05CB598D" w14:textId="77777777" w:rsidR="00EB5913" w:rsidRPr="006623B9" w:rsidRDefault="00EB5913" w:rsidP="00F16E23">
            <w:pPr>
              <w:pStyle w:val="TableText"/>
              <w:spacing w:before="40" w:after="40"/>
              <w:jc w:val="right"/>
              <w:rPr>
                <w:szCs w:val="16"/>
              </w:rPr>
            </w:pPr>
            <w:r w:rsidRPr="006623B9">
              <w:rPr>
                <w:rFonts w:eastAsia="Calibri"/>
                <w:color w:val="000000"/>
                <w:szCs w:val="16"/>
              </w:rPr>
              <w:t>185.2</w:t>
            </w:r>
          </w:p>
        </w:tc>
      </w:tr>
      <w:tr w:rsidR="00EB5913" w:rsidRPr="006623B9" w14:paraId="313DDB9D" w14:textId="77777777" w:rsidTr="00F16E23">
        <w:tc>
          <w:tcPr>
            <w:tcW w:w="0" w:type="auto"/>
            <w:shd w:val="clear" w:color="auto" w:fill="FFFFFF"/>
            <w:tcMar>
              <w:top w:w="0" w:type="dxa"/>
              <w:left w:w="85" w:type="dxa"/>
              <w:bottom w:w="0" w:type="dxa"/>
              <w:right w:w="85" w:type="dxa"/>
            </w:tcMar>
            <w:vAlign w:val="center"/>
          </w:tcPr>
          <w:p w14:paraId="0DA6E7F7"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2015</w:t>
            </w:r>
          </w:p>
        </w:tc>
        <w:tc>
          <w:tcPr>
            <w:tcW w:w="1531" w:type="dxa"/>
            <w:shd w:val="clear" w:color="auto" w:fill="FFFFFF"/>
            <w:tcMar>
              <w:top w:w="0" w:type="dxa"/>
              <w:left w:w="85" w:type="dxa"/>
              <w:bottom w:w="0" w:type="dxa"/>
              <w:right w:w="85" w:type="dxa"/>
            </w:tcMar>
            <w:vAlign w:val="center"/>
          </w:tcPr>
          <w:p w14:paraId="571DA700" w14:textId="77777777" w:rsidR="00EB5913" w:rsidRPr="006623B9" w:rsidRDefault="00EB5913" w:rsidP="00F16E23">
            <w:pPr>
              <w:pStyle w:val="TableText"/>
              <w:spacing w:before="40" w:after="40"/>
              <w:jc w:val="right"/>
              <w:rPr>
                <w:szCs w:val="16"/>
              </w:rPr>
            </w:pPr>
            <w:r w:rsidRPr="006623B9">
              <w:rPr>
                <w:rFonts w:eastAsia="Calibri"/>
                <w:color w:val="000000"/>
                <w:szCs w:val="16"/>
              </w:rPr>
              <w:t>4,663,700</w:t>
            </w:r>
          </w:p>
        </w:tc>
        <w:tc>
          <w:tcPr>
            <w:tcW w:w="2665" w:type="dxa"/>
            <w:shd w:val="clear" w:color="auto" w:fill="FFFFFF"/>
            <w:tcMar>
              <w:top w:w="0" w:type="dxa"/>
              <w:left w:w="85" w:type="dxa"/>
              <w:bottom w:w="0" w:type="dxa"/>
              <w:right w:w="85" w:type="dxa"/>
            </w:tcMar>
            <w:vAlign w:val="center"/>
          </w:tcPr>
          <w:p w14:paraId="279C94A7" w14:textId="77777777" w:rsidR="00EB5913" w:rsidRPr="006623B9" w:rsidRDefault="00EB5913" w:rsidP="00F16E23">
            <w:pPr>
              <w:pStyle w:val="TableText"/>
              <w:spacing w:before="40" w:after="40"/>
              <w:rPr>
                <w:szCs w:val="16"/>
              </w:rPr>
            </w:pPr>
            <w:r w:rsidRPr="006623B9">
              <w:rPr>
                <w:rFonts w:eastAsia="Calibri"/>
                <w:color w:val="000000"/>
                <w:szCs w:val="16"/>
              </w:rPr>
              <w:t>0.0318</w:t>
            </w:r>
          </w:p>
        </w:tc>
        <w:tc>
          <w:tcPr>
            <w:tcW w:w="3402" w:type="dxa"/>
            <w:shd w:val="clear" w:color="auto" w:fill="FFFFFF"/>
            <w:tcMar>
              <w:top w:w="0" w:type="dxa"/>
              <w:left w:w="85" w:type="dxa"/>
              <w:bottom w:w="0" w:type="dxa"/>
              <w:right w:w="85" w:type="dxa"/>
            </w:tcMar>
            <w:vAlign w:val="center"/>
          </w:tcPr>
          <w:p w14:paraId="3CFF827D" w14:textId="77777777" w:rsidR="00EB5913" w:rsidRPr="006623B9" w:rsidRDefault="00EB5913" w:rsidP="00F16E23">
            <w:pPr>
              <w:pStyle w:val="TableText"/>
              <w:spacing w:before="40" w:after="40"/>
              <w:jc w:val="right"/>
              <w:rPr>
                <w:szCs w:val="16"/>
              </w:rPr>
            </w:pPr>
            <w:r w:rsidRPr="006623B9">
              <w:rPr>
                <w:rFonts w:eastAsia="Calibri"/>
                <w:color w:val="000000"/>
                <w:szCs w:val="16"/>
              </w:rPr>
              <w:t>189.2</w:t>
            </w:r>
          </w:p>
        </w:tc>
      </w:tr>
      <w:tr w:rsidR="00EB5913" w:rsidRPr="006623B9" w14:paraId="1F30F2D2" w14:textId="77777777" w:rsidTr="00F16E23">
        <w:tc>
          <w:tcPr>
            <w:tcW w:w="0" w:type="auto"/>
            <w:shd w:val="clear" w:color="auto" w:fill="FFFFFF"/>
            <w:tcMar>
              <w:top w:w="0" w:type="dxa"/>
              <w:left w:w="85" w:type="dxa"/>
              <w:bottom w:w="0" w:type="dxa"/>
              <w:right w:w="85" w:type="dxa"/>
            </w:tcMar>
            <w:vAlign w:val="center"/>
          </w:tcPr>
          <w:p w14:paraId="2D1EE696"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2016</w:t>
            </w:r>
          </w:p>
        </w:tc>
        <w:tc>
          <w:tcPr>
            <w:tcW w:w="1531" w:type="dxa"/>
            <w:shd w:val="clear" w:color="auto" w:fill="FFFFFF"/>
            <w:tcMar>
              <w:top w:w="0" w:type="dxa"/>
              <w:left w:w="85" w:type="dxa"/>
              <w:bottom w:w="0" w:type="dxa"/>
              <w:right w:w="85" w:type="dxa"/>
            </w:tcMar>
            <w:vAlign w:val="center"/>
          </w:tcPr>
          <w:p w14:paraId="1580C616" w14:textId="77777777" w:rsidR="00EB5913" w:rsidRPr="006623B9" w:rsidRDefault="00EB5913" w:rsidP="00F16E23">
            <w:pPr>
              <w:pStyle w:val="TableText"/>
              <w:spacing w:before="40" w:after="40"/>
              <w:jc w:val="right"/>
              <w:rPr>
                <w:szCs w:val="16"/>
              </w:rPr>
            </w:pPr>
            <w:r w:rsidRPr="006623B9">
              <w:rPr>
                <w:rFonts w:eastAsia="Calibri"/>
                <w:color w:val="000000"/>
                <w:szCs w:val="16"/>
              </w:rPr>
              <w:t>4,767,600</w:t>
            </w:r>
          </w:p>
        </w:tc>
        <w:tc>
          <w:tcPr>
            <w:tcW w:w="2665" w:type="dxa"/>
            <w:shd w:val="clear" w:color="auto" w:fill="FFFFFF"/>
            <w:tcMar>
              <w:top w:w="0" w:type="dxa"/>
              <w:left w:w="85" w:type="dxa"/>
              <w:bottom w:w="0" w:type="dxa"/>
              <w:right w:w="85" w:type="dxa"/>
            </w:tcMar>
            <w:vAlign w:val="center"/>
          </w:tcPr>
          <w:p w14:paraId="083BF94F" w14:textId="77777777" w:rsidR="00EB5913" w:rsidRPr="006623B9" w:rsidRDefault="00EB5913" w:rsidP="00F16E23">
            <w:pPr>
              <w:pStyle w:val="TableText"/>
              <w:spacing w:before="40" w:after="40"/>
              <w:rPr>
                <w:szCs w:val="16"/>
              </w:rPr>
            </w:pPr>
            <w:r w:rsidRPr="006623B9">
              <w:rPr>
                <w:rFonts w:eastAsia="Calibri"/>
                <w:color w:val="000000"/>
                <w:szCs w:val="16"/>
              </w:rPr>
              <w:t>0.0317</w:t>
            </w:r>
          </w:p>
        </w:tc>
        <w:tc>
          <w:tcPr>
            <w:tcW w:w="3402" w:type="dxa"/>
            <w:shd w:val="clear" w:color="auto" w:fill="FFFFFF"/>
            <w:tcMar>
              <w:top w:w="0" w:type="dxa"/>
              <w:left w:w="85" w:type="dxa"/>
              <w:bottom w:w="0" w:type="dxa"/>
              <w:right w:w="85" w:type="dxa"/>
            </w:tcMar>
            <w:vAlign w:val="center"/>
          </w:tcPr>
          <w:p w14:paraId="7FD811D4" w14:textId="77777777" w:rsidR="00EB5913" w:rsidRPr="006623B9" w:rsidRDefault="00EB5913" w:rsidP="00F16E23">
            <w:pPr>
              <w:pStyle w:val="TableText"/>
              <w:spacing w:before="40" w:after="40"/>
              <w:jc w:val="right"/>
              <w:rPr>
                <w:szCs w:val="16"/>
              </w:rPr>
            </w:pPr>
            <w:r w:rsidRPr="006623B9">
              <w:rPr>
                <w:rFonts w:eastAsia="Calibri"/>
                <w:color w:val="000000"/>
                <w:szCs w:val="16"/>
              </w:rPr>
              <w:t>193.3</w:t>
            </w:r>
          </w:p>
        </w:tc>
      </w:tr>
      <w:tr w:rsidR="00EB5913" w:rsidRPr="006623B9" w14:paraId="53704178" w14:textId="77777777" w:rsidTr="00F16E23">
        <w:tc>
          <w:tcPr>
            <w:tcW w:w="0" w:type="auto"/>
            <w:shd w:val="clear" w:color="auto" w:fill="FFFFFF"/>
            <w:tcMar>
              <w:top w:w="0" w:type="dxa"/>
              <w:left w:w="85" w:type="dxa"/>
              <w:bottom w:w="0" w:type="dxa"/>
              <w:right w:w="85" w:type="dxa"/>
            </w:tcMar>
            <w:vAlign w:val="center"/>
          </w:tcPr>
          <w:p w14:paraId="33E01F0F"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2017</w:t>
            </w:r>
          </w:p>
        </w:tc>
        <w:tc>
          <w:tcPr>
            <w:tcW w:w="1531" w:type="dxa"/>
            <w:shd w:val="clear" w:color="auto" w:fill="FFFFFF"/>
            <w:tcMar>
              <w:top w:w="0" w:type="dxa"/>
              <w:left w:w="85" w:type="dxa"/>
              <w:bottom w:w="0" w:type="dxa"/>
              <w:right w:w="85" w:type="dxa"/>
            </w:tcMar>
            <w:vAlign w:val="center"/>
          </w:tcPr>
          <w:p w14:paraId="381441D7" w14:textId="77777777" w:rsidR="00EB5913" w:rsidRPr="006623B9" w:rsidRDefault="00EB5913" w:rsidP="00F16E23">
            <w:pPr>
              <w:pStyle w:val="TableText"/>
              <w:spacing w:before="40" w:after="40"/>
              <w:jc w:val="right"/>
              <w:rPr>
                <w:szCs w:val="16"/>
              </w:rPr>
            </w:pPr>
            <w:r w:rsidRPr="006623B9">
              <w:rPr>
                <w:rFonts w:eastAsia="Calibri"/>
                <w:color w:val="000000"/>
                <w:szCs w:val="16"/>
              </w:rPr>
              <w:t>4,859,500</w:t>
            </w:r>
          </w:p>
        </w:tc>
        <w:tc>
          <w:tcPr>
            <w:tcW w:w="2665" w:type="dxa"/>
            <w:shd w:val="clear" w:color="auto" w:fill="FFFFFF"/>
            <w:tcMar>
              <w:top w:w="0" w:type="dxa"/>
              <w:left w:w="85" w:type="dxa"/>
              <w:bottom w:w="0" w:type="dxa"/>
              <w:right w:w="85" w:type="dxa"/>
            </w:tcMar>
            <w:vAlign w:val="center"/>
          </w:tcPr>
          <w:p w14:paraId="7C2EA234" w14:textId="77777777" w:rsidR="00EB5913" w:rsidRPr="006623B9" w:rsidRDefault="00EB5913" w:rsidP="00F16E23">
            <w:pPr>
              <w:pStyle w:val="TableText"/>
              <w:spacing w:before="40" w:after="40"/>
              <w:rPr>
                <w:szCs w:val="16"/>
              </w:rPr>
            </w:pPr>
            <w:r w:rsidRPr="006623B9">
              <w:rPr>
                <w:rFonts w:eastAsia="Calibri"/>
                <w:color w:val="000000"/>
                <w:szCs w:val="16"/>
              </w:rPr>
              <w:t>0.0318</w:t>
            </w:r>
          </w:p>
        </w:tc>
        <w:tc>
          <w:tcPr>
            <w:tcW w:w="3402" w:type="dxa"/>
            <w:shd w:val="clear" w:color="auto" w:fill="FFFFFF"/>
            <w:tcMar>
              <w:top w:w="0" w:type="dxa"/>
              <w:left w:w="85" w:type="dxa"/>
              <w:bottom w:w="0" w:type="dxa"/>
              <w:right w:w="85" w:type="dxa"/>
            </w:tcMar>
            <w:vAlign w:val="center"/>
          </w:tcPr>
          <w:p w14:paraId="2411A193" w14:textId="77777777" w:rsidR="00EB5913" w:rsidRPr="006623B9" w:rsidRDefault="00EB5913" w:rsidP="00F16E23">
            <w:pPr>
              <w:pStyle w:val="TableText"/>
              <w:spacing w:before="40" w:after="40"/>
              <w:jc w:val="right"/>
              <w:rPr>
                <w:szCs w:val="16"/>
              </w:rPr>
            </w:pPr>
            <w:r w:rsidRPr="006623B9">
              <w:rPr>
                <w:rFonts w:eastAsia="Calibri"/>
                <w:color w:val="000000"/>
                <w:szCs w:val="16"/>
              </w:rPr>
              <w:t>196.8</w:t>
            </w:r>
          </w:p>
        </w:tc>
      </w:tr>
      <w:tr w:rsidR="00EB5913" w:rsidRPr="006623B9" w14:paraId="54586054" w14:textId="77777777" w:rsidTr="00F16E23">
        <w:tc>
          <w:tcPr>
            <w:tcW w:w="0" w:type="auto"/>
            <w:shd w:val="clear" w:color="auto" w:fill="FFFFFF"/>
            <w:tcMar>
              <w:top w:w="0" w:type="dxa"/>
              <w:left w:w="85" w:type="dxa"/>
              <w:bottom w:w="0" w:type="dxa"/>
              <w:right w:w="85" w:type="dxa"/>
            </w:tcMar>
            <w:vAlign w:val="center"/>
          </w:tcPr>
          <w:p w14:paraId="148C73DC"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2018</w:t>
            </w:r>
          </w:p>
        </w:tc>
        <w:tc>
          <w:tcPr>
            <w:tcW w:w="1531" w:type="dxa"/>
            <w:shd w:val="clear" w:color="auto" w:fill="FFFFFF"/>
            <w:tcMar>
              <w:top w:w="0" w:type="dxa"/>
              <w:left w:w="85" w:type="dxa"/>
              <w:bottom w:w="0" w:type="dxa"/>
              <w:right w:w="85" w:type="dxa"/>
            </w:tcMar>
            <w:vAlign w:val="center"/>
          </w:tcPr>
          <w:p w14:paraId="6B457B89" w14:textId="77777777" w:rsidR="00EB5913" w:rsidRPr="006623B9" w:rsidRDefault="00EB5913" w:rsidP="00F16E23">
            <w:pPr>
              <w:pStyle w:val="TableText"/>
              <w:spacing w:before="40" w:after="40"/>
              <w:jc w:val="right"/>
              <w:rPr>
                <w:szCs w:val="16"/>
              </w:rPr>
            </w:pPr>
            <w:r w:rsidRPr="006623B9">
              <w:rPr>
                <w:rFonts w:eastAsia="Calibri"/>
                <w:color w:val="000000"/>
                <w:szCs w:val="16"/>
              </w:rPr>
              <w:t>4,936,700</w:t>
            </w:r>
          </w:p>
        </w:tc>
        <w:tc>
          <w:tcPr>
            <w:tcW w:w="2665" w:type="dxa"/>
            <w:shd w:val="clear" w:color="auto" w:fill="FFFFFF"/>
            <w:tcMar>
              <w:top w:w="0" w:type="dxa"/>
              <w:left w:w="85" w:type="dxa"/>
              <w:bottom w:w="0" w:type="dxa"/>
              <w:right w:w="85" w:type="dxa"/>
            </w:tcMar>
            <w:vAlign w:val="center"/>
          </w:tcPr>
          <w:p w14:paraId="63A134F2" w14:textId="77777777" w:rsidR="00EB5913" w:rsidRPr="006623B9" w:rsidRDefault="00EB5913" w:rsidP="00F16E23">
            <w:pPr>
              <w:pStyle w:val="TableText"/>
              <w:spacing w:before="40" w:after="40"/>
              <w:rPr>
                <w:szCs w:val="16"/>
              </w:rPr>
            </w:pPr>
            <w:r w:rsidRPr="006623B9">
              <w:rPr>
                <w:rFonts w:eastAsia="Calibri"/>
                <w:color w:val="000000"/>
                <w:szCs w:val="16"/>
              </w:rPr>
              <w:t>0.0319</w:t>
            </w:r>
          </w:p>
        </w:tc>
        <w:tc>
          <w:tcPr>
            <w:tcW w:w="3402" w:type="dxa"/>
            <w:shd w:val="clear" w:color="auto" w:fill="FFFFFF"/>
            <w:tcMar>
              <w:top w:w="0" w:type="dxa"/>
              <w:left w:w="85" w:type="dxa"/>
              <w:bottom w:w="0" w:type="dxa"/>
              <w:right w:w="85" w:type="dxa"/>
            </w:tcMar>
            <w:vAlign w:val="center"/>
          </w:tcPr>
          <w:p w14:paraId="3A79239F" w14:textId="77777777" w:rsidR="00EB5913" w:rsidRPr="006623B9" w:rsidRDefault="00EB5913" w:rsidP="00F16E23">
            <w:pPr>
              <w:pStyle w:val="TableText"/>
              <w:spacing w:before="40" w:after="40"/>
              <w:jc w:val="right"/>
              <w:rPr>
                <w:szCs w:val="16"/>
              </w:rPr>
            </w:pPr>
            <w:r w:rsidRPr="006623B9">
              <w:rPr>
                <w:rFonts w:eastAsia="Calibri"/>
                <w:color w:val="000000"/>
                <w:szCs w:val="16"/>
              </w:rPr>
              <w:t>199.8</w:t>
            </w:r>
          </w:p>
        </w:tc>
      </w:tr>
      <w:tr w:rsidR="00EB5913" w:rsidRPr="006623B9" w14:paraId="38F94A0F" w14:textId="77777777" w:rsidTr="00F16E23">
        <w:tc>
          <w:tcPr>
            <w:tcW w:w="0" w:type="auto"/>
            <w:shd w:val="clear" w:color="auto" w:fill="FFFFFF"/>
            <w:tcMar>
              <w:top w:w="0" w:type="dxa"/>
              <w:left w:w="85" w:type="dxa"/>
              <w:bottom w:w="0" w:type="dxa"/>
              <w:right w:w="85" w:type="dxa"/>
            </w:tcMar>
            <w:vAlign w:val="center"/>
          </w:tcPr>
          <w:p w14:paraId="5D7460FD"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2019</w:t>
            </w:r>
          </w:p>
        </w:tc>
        <w:tc>
          <w:tcPr>
            <w:tcW w:w="1531" w:type="dxa"/>
            <w:shd w:val="clear" w:color="auto" w:fill="FFFFFF"/>
            <w:tcMar>
              <w:top w:w="0" w:type="dxa"/>
              <w:left w:w="85" w:type="dxa"/>
              <w:bottom w:w="0" w:type="dxa"/>
              <w:right w:w="85" w:type="dxa"/>
            </w:tcMar>
            <w:vAlign w:val="center"/>
          </w:tcPr>
          <w:p w14:paraId="54B9A805" w14:textId="77777777" w:rsidR="00EB5913" w:rsidRPr="006623B9" w:rsidRDefault="00EB5913" w:rsidP="00F16E23">
            <w:pPr>
              <w:pStyle w:val="TableText"/>
              <w:spacing w:before="40" w:after="40"/>
              <w:jc w:val="right"/>
              <w:rPr>
                <w:szCs w:val="16"/>
              </w:rPr>
            </w:pPr>
            <w:r w:rsidRPr="006623B9">
              <w:rPr>
                <w:rFonts w:eastAsia="Calibri"/>
                <w:color w:val="000000"/>
                <w:szCs w:val="16"/>
              </w:rPr>
              <w:t>5,027,100</w:t>
            </w:r>
          </w:p>
        </w:tc>
        <w:tc>
          <w:tcPr>
            <w:tcW w:w="2665" w:type="dxa"/>
            <w:shd w:val="clear" w:color="auto" w:fill="FFFFFF"/>
            <w:tcMar>
              <w:top w:w="0" w:type="dxa"/>
              <w:left w:w="85" w:type="dxa"/>
              <w:bottom w:w="0" w:type="dxa"/>
              <w:right w:w="85" w:type="dxa"/>
            </w:tcMar>
            <w:vAlign w:val="center"/>
          </w:tcPr>
          <w:p w14:paraId="716FA70C" w14:textId="77777777" w:rsidR="00EB5913" w:rsidRPr="006623B9" w:rsidRDefault="00EB5913" w:rsidP="00F16E23">
            <w:pPr>
              <w:pStyle w:val="TableText"/>
              <w:spacing w:before="40" w:after="40"/>
              <w:rPr>
                <w:szCs w:val="16"/>
              </w:rPr>
            </w:pPr>
            <w:r w:rsidRPr="006623B9">
              <w:rPr>
                <w:rFonts w:eastAsia="Calibri"/>
                <w:color w:val="000000"/>
                <w:szCs w:val="16"/>
              </w:rPr>
              <w:t>0.0321</w:t>
            </w:r>
          </w:p>
        </w:tc>
        <w:tc>
          <w:tcPr>
            <w:tcW w:w="3402" w:type="dxa"/>
            <w:shd w:val="clear" w:color="auto" w:fill="FFFFFF"/>
            <w:tcMar>
              <w:top w:w="0" w:type="dxa"/>
              <w:left w:w="85" w:type="dxa"/>
              <w:bottom w:w="0" w:type="dxa"/>
              <w:right w:w="85" w:type="dxa"/>
            </w:tcMar>
            <w:vAlign w:val="center"/>
          </w:tcPr>
          <w:p w14:paraId="63687264" w14:textId="77777777" w:rsidR="00EB5913" w:rsidRPr="006623B9" w:rsidRDefault="00EB5913" w:rsidP="00F16E23">
            <w:pPr>
              <w:pStyle w:val="TableText"/>
              <w:spacing w:before="40" w:after="40"/>
              <w:jc w:val="right"/>
              <w:rPr>
                <w:szCs w:val="16"/>
              </w:rPr>
            </w:pPr>
            <w:r w:rsidRPr="006623B9">
              <w:rPr>
                <w:rFonts w:eastAsia="Calibri"/>
                <w:color w:val="000000"/>
                <w:szCs w:val="16"/>
              </w:rPr>
              <w:t>203.2</w:t>
            </w:r>
          </w:p>
        </w:tc>
      </w:tr>
      <w:tr w:rsidR="00EB5913" w:rsidRPr="006623B9" w14:paraId="04307078" w14:textId="77777777" w:rsidTr="00F16E23">
        <w:tc>
          <w:tcPr>
            <w:tcW w:w="0" w:type="auto"/>
            <w:shd w:val="clear" w:color="auto" w:fill="FFFFFF"/>
            <w:tcMar>
              <w:top w:w="0" w:type="dxa"/>
              <w:left w:w="85" w:type="dxa"/>
              <w:bottom w:w="0" w:type="dxa"/>
              <w:right w:w="85" w:type="dxa"/>
            </w:tcMar>
            <w:vAlign w:val="center"/>
          </w:tcPr>
          <w:p w14:paraId="4E9AF239"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2020</w:t>
            </w:r>
          </w:p>
        </w:tc>
        <w:tc>
          <w:tcPr>
            <w:tcW w:w="1531" w:type="dxa"/>
            <w:shd w:val="clear" w:color="auto" w:fill="FFFFFF"/>
            <w:tcMar>
              <w:top w:w="0" w:type="dxa"/>
              <w:left w:w="85" w:type="dxa"/>
              <w:bottom w:w="0" w:type="dxa"/>
              <w:right w:w="85" w:type="dxa"/>
            </w:tcMar>
            <w:vAlign w:val="center"/>
          </w:tcPr>
          <w:p w14:paraId="294B4734" w14:textId="77777777" w:rsidR="00EB5913" w:rsidRPr="006623B9" w:rsidRDefault="00EB5913" w:rsidP="00F16E23">
            <w:pPr>
              <w:pStyle w:val="TableText"/>
              <w:spacing w:before="40" w:after="40"/>
              <w:jc w:val="right"/>
              <w:rPr>
                <w:szCs w:val="16"/>
              </w:rPr>
            </w:pPr>
            <w:r w:rsidRPr="006623B9">
              <w:rPr>
                <w:rFonts w:eastAsia="Calibri"/>
                <w:color w:val="000000"/>
                <w:szCs w:val="16"/>
              </w:rPr>
              <w:t>5,081,400</w:t>
            </w:r>
          </w:p>
        </w:tc>
        <w:tc>
          <w:tcPr>
            <w:tcW w:w="2665" w:type="dxa"/>
            <w:shd w:val="clear" w:color="auto" w:fill="FFFFFF"/>
            <w:tcMar>
              <w:top w:w="0" w:type="dxa"/>
              <w:left w:w="85" w:type="dxa"/>
              <w:bottom w:w="0" w:type="dxa"/>
              <w:right w:w="85" w:type="dxa"/>
            </w:tcMar>
            <w:vAlign w:val="center"/>
          </w:tcPr>
          <w:p w14:paraId="47F76F34" w14:textId="77777777" w:rsidR="00EB5913" w:rsidRPr="006623B9" w:rsidRDefault="00EB5913" w:rsidP="00F16E23">
            <w:pPr>
              <w:pStyle w:val="TableText"/>
              <w:spacing w:before="40" w:after="40"/>
              <w:rPr>
                <w:szCs w:val="16"/>
              </w:rPr>
            </w:pPr>
            <w:r w:rsidRPr="006623B9">
              <w:rPr>
                <w:rFonts w:eastAsia="Calibri"/>
                <w:color w:val="000000"/>
                <w:szCs w:val="16"/>
              </w:rPr>
              <w:t>0.0322</w:t>
            </w:r>
          </w:p>
        </w:tc>
        <w:tc>
          <w:tcPr>
            <w:tcW w:w="3402" w:type="dxa"/>
            <w:shd w:val="clear" w:color="auto" w:fill="FFFFFF"/>
            <w:tcMar>
              <w:top w:w="0" w:type="dxa"/>
              <w:left w:w="85" w:type="dxa"/>
              <w:bottom w:w="0" w:type="dxa"/>
              <w:right w:w="85" w:type="dxa"/>
            </w:tcMar>
            <w:vAlign w:val="center"/>
          </w:tcPr>
          <w:p w14:paraId="7A720B82" w14:textId="77777777" w:rsidR="00EB5913" w:rsidRPr="006623B9" w:rsidRDefault="00EB5913" w:rsidP="00F16E23">
            <w:pPr>
              <w:pStyle w:val="TableText"/>
              <w:spacing w:before="40" w:after="40"/>
              <w:jc w:val="right"/>
              <w:rPr>
                <w:szCs w:val="16"/>
              </w:rPr>
            </w:pPr>
            <w:r w:rsidRPr="006623B9">
              <w:rPr>
                <w:rFonts w:eastAsia="Calibri"/>
                <w:color w:val="000000"/>
                <w:szCs w:val="16"/>
              </w:rPr>
              <w:t>205.6</w:t>
            </w:r>
          </w:p>
        </w:tc>
      </w:tr>
      <w:tr w:rsidR="00EB5913" w:rsidRPr="006623B9" w14:paraId="6D0B0105" w14:textId="77777777" w:rsidTr="00F16E23">
        <w:tc>
          <w:tcPr>
            <w:tcW w:w="0" w:type="auto"/>
            <w:shd w:val="clear" w:color="auto" w:fill="FFFFFF"/>
            <w:tcMar>
              <w:top w:w="0" w:type="dxa"/>
              <w:left w:w="85" w:type="dxa"/>
              <w:bottom w:w="0" w:type="dxa"/>
              <w:right w:w="85" w:type="dxa"/>
            </w:tcMar>
            <w:vAlign w:val="center"/>
          </w:tcPr>
          <w:p w14:paraId="515750FB"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2021</w:t>
            </w:r>
          </w:p>
        </w:tc>
        <w:tc>
          <w:tcPr>
            <w:tcW w:w="1531" w:type="dxa"/>
            <w:shd w:val="clear" w:color="auto" w:fill="FFFFFF"/>
            <w:tcMar>
              <w:top w:w="0" w:type="dxa"/>
              <w:left w:w="85" w:type="dxa"/>
              <w:bottom w:w="0" w:type="dxa"/>
              <w:right w:w="85" w:type="dxa"/>
            </w:tcMar>
            <w:vAlign w:val="center"/>
          </w:tcPr>
          <w:p w14:paraId="1DCA9F87" w14:textId="77777777" w:rsidR="00EB5913" w:rsidRPr="006623B9" w:rsidRDefault="00EB5913" w:rsidP="00F16E23">
            <w:pPr>
              <w:pStyle w:val="TableText"/>
              <w:spacing w:before="40" w:after="40"/>
              <w:jc w:val="right"/>
              <w:rPr>
                <w:szCs w:val="16"/>
              </w:rPr>
            </w:pPr>
            <w:r w:rsidRPr="006623B9">
              <w:rPr>
                <w:rFonts w:eastAsia="Calibri"/>
                <w:color w:val="000000"/>
                <w:szCs w:val="16"/>
              </w:rPr>
              <w:t>5,085,400</w:t>
            </w:r>
          </w:p>
        </w:tc>
        <w:tc>
          <w:tcPr>
            <w:tcW w:w="2665" w:type="dxa"/>
            <w:shd w:val="clear" w:color="auto" w:fill="FFFFFF"/>
            <w:tcMar>
              <w:top w:w="0" w:type="dxa"/>
              <w:left w:w="85" w:type="dxa"/>
              <w:bottom w:w="0" w:type="dxa"/>
              <w:right w:w="85" w:type="dxa"/>
            </w:tcMar>
            <w:vAlign w:val="center"/>
          </w:tcPr>
          <w:p w14:paraId="0156B891" w14:textId="77777777" w:rsidR="00EB5913" w:rsidRPr="006623B9" w:rsidRDefault="00EB5913" w:rsidP="00F16E23">
            <w:pPr>
              <w:pStyle w:val="TableText"/>
              <w:spacing w:before="40" w:after="40"/>
              <w:rPr>
                <w:szCs w:val="16"/>
              </w:rPr>
            </w:pPr>
            <w:r w:rsidRPr="006623B9">
              <w:rPr>
                <w:rFonts w:eastAsia="Calibri"/>
                <w:color w:val="000000"/>
                <w:szCs w:val="16"/>
              </w:rPr>
              <w:t>0.0325</w:t>
            </w:r>
          </w:p>
        </w:tc>
        <w:tc>
          <w:tcPr>
            <w:tcW w:w="3402" w:type="dxa"/>
            <w:shd w:val="clear" w:color="auto" w:fill="FFFFFF"/>
            <w:tcMar>
              <w:top w:w="0" w:type="dxa"/>
              <w:left w:w="85" w:type="dxa"/>
              <w:bottom w:w="0" w:type="dxa"/>
              <w:right w:w="85" w:type="dxa"/>
            </w:tcMar>
            <w:vAlign w:val="center"/>
          </w:tcPr>
          <w:p w14:paraId="76F340D4" w14:textId="77777777" w:rsidR="00EB5913" w:rsidRPr="006623B9" w:rsidRDefault="00EB5913" w:rsidP="00F16E23">
            <w:pPr>
              <w:pStyle w:val="TableText"/>
              <w:spacing w:before="40" w:after="40"/>
              <w:jc w:val="right"/>
              <w:rPr>
                <w:szCs w:val="16"/>
              </w:rPr>
            </w:pPr>
            <w:r w:rsidRPr="006623B9">
              <w:rPr>
                <w:rFonts w:eastAsia="Calibri"/>
                <w:color w:val="000000"/>
                <w:szCs w:val="16"/>
              </w:rPr>
              <w:t>205.7</w:t>
            </w:r>
          </w:p>
        </w:tc>
      </w:tr>
      <w:tr w:rsidR="00EB5913" w:rsidRPr="006623B9" w14:paraId="5CC4FD7C" w14:textId="77777777" w:rsidTr="00F16E23">
        <w:tc>
          <w:tcPr>
            <w:tcW w:w="0" w:type="auto"/>
            <w:shd w:val="clear" w:color="auto" w:fill="FFFFFF"/>
            <w:tcMar>
              <w:top w:w="0" w:type="dxa"/>
              <w:left w:w="85" w:type="dxa"/>
              <w:bottom w:w="0" w:type="dxa"/>
              <w:right w:w="85" w:type="dxa"/>
            </w:tcMar>
            <w:vAlign w:val="center"/>
          </w:tcPr>
          <w:p w14:paraId="5A3319DF"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2022</w:t>
            </w:r>
          </w:p>
        </w:tc>
        <w:tc>
          <w:tcPr>
            <w:tcW w:w="1531" w:type="dxa"/>
            <w:shd w:val="clear" w:color="auto" w:fill="FFFFFF"/>
            <w:tcMar>
              <w:top w:w="0" w:type="dxa"/>
              <w:left w:w="85" w:type="dxa"/>
              <w:bottom w:w="0" w:type="dxa"/>
              <w:right w:w="85" w:type="dxa"/>
            </w:tcMar>
            <w:vAlign w:val="center"/>
          </w:tcPr>
          <w:p w14:paraId="75745FFE" w14:textId="77777777" w:rsidR="00EB5913" w:rsidRPr="006623B9" w:rsidRDefault="00EB5913" w:rsidP="00F16E23">
            <w:pPr>
              <w:pStyle w:val="TableText"/>
              <w:spacing w:before="40" w:after="40"/>
              <w:jc w:val="right"/>
              <w:rPr>
                <w:szCs w:val="16"/>
              </w:rPr>
            </w:pPr>
            <w:r w:rsidRPr="006623B9">
              <w:rPr>
                <w:rFonts w:eastAsia="Calibri"/>
                <w:color w:val="000000"/>
                <w:szCs w:val="16"/>
              </w:rPr>
              <w:t>5,120,700</w:t>
            </w:r>
          </w:p>
        </w:tc>
        <w:tc>
          <w:tcPr>
            <w:tcW w:w="2665" w:type="dxa"/>
            <w:shd w:val="clear" w:color="auto" w:fill="FFFFFF"/>
            <w:tcMar>
              <w:top w:w="0" w:type="dxa"/>
              <w:left w:w="85" w:type="dxa"/>
              <w:bottom w:w="0" w:type="dxa"/>
              <w:right w:w="85" w:type="dxa"/>
            </w:tcMar>
            <w:vAlign w:val="center"/>
          </w:tcPr>
          <w:p w14:paraId="0C938744" w14:textId="77777777" w:rsidR="00EB5913" w:rsidRPr="006623B9" w:rsidRDefault="00EB5913" w:rsidP="00F16E23">
            <w:pPr>
              <w:pStyle w:val="TableText"/>
              <w:spacing w:before="40" w:after="40"/>
              <w:rPr>
                <w:szCs w:val="16"/>
              </w:rPr>
            </w:pPr>
            <w:r w:rsidRPr="006623B9">
              <w:rPr>
                <w:rFonts w:eastAsia="Calibri"/>
                <w:color w:val="000000"/>
                <w:szCs w:val="16"/>
              </w:rPr>
              <w:t>0.033</w:t>
            </w:r>
          </w:p>
        </w:tc>
        <w:tc>
          <w:tcPr>
            <w:tcW w:w="3402" w:type="dxa"/>
            <w:shd w:val="clear" w:color="auto" w:fill="FFFFFF"/>
            <w:tcMar>
              <w:top w:w="0" w:type="dxa"/>
              <w:left w:w="85" w:type="dxa"/>
              <w:bottom w:w="0" w:type="dxa"/>
              <w:right w:w="85" w:type="dxa"/>
            </w:tcMar>
            <w:vAlign w:val="center"/>
          </w:tcPr>
          <w:p w14:paraId="12B8F613" w14:textId="77777777" w:rsidR="00EB5913" w:rsidRPr="006623B9" w:rsidRDefault="00EB5913" w:rsidP="00F16E23">
            <w:pPr>
              <w:pStyle w:val="TableText"/>
              <w:spacing w:before="40" w:after="40"/>
              <w:jc w:val="right"/>
              <w:rPr>
                <w:szCs w:val="16"/>
              </w:rPr>
            </w:pPr>
            <w:r w:rsidRPr="006623B9">
              <w:rPr>
                <w:rFonts w:eastAsia="Calibri"/>
                <w:color w:val="000000"/>
                <w:szCs w:val="16"/>
              </w:rPr>
              <w:t>206.8</w:t>
            </w:r>
          </w:p>
        </w:tc>
      </w:tr>
      <w:tr w:rsidR="00EB5913" w:rsidRPr="006623B9" w14:paraId="6892D1F2" w14:textId="77777777" w:rsidTr="00F16E23">
        <w:tc>
          <w:tcPr>
            <w:tcW w:w="0" w:type="auto"/>
            <w:shd w:val="clear" w:color="auto" w:fill="FFFFFF"/>
            <w:tcMar>
              <w:top w:w="0" w:type="dxa"/>
              <w:left w:w="85" w:type="dxa"/>
              <w:bottom w:w="0" w:type="dxa"/>
              <w:right w:w="85" w:type="dxa"/>
            </w:tcMar>
            <w:vAlign w:val="center"/>
          </w:tcPr>
          <w:p w14:paraId="0C3D5BEF"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2023</w:t>
            </w:r>
          </w:p>
        </w:tc>
        <w:tc>
          <w:tcPr>
            <w:tcW w:w="1531" w:type="dxa"/>
            <w:shd w:val="clear" w:color="auto" w:fill="FFFFFF"/>
            <w:tcMar>
              <w:top w:w="0" w:type="dxa"/>
              <w:left w:w="85" w:type="dxa"/>
              <w:bottom w:w="0" w:type="dxa"/>
              <w:right w:w="85" w:type="dxa"/>
            </w:tcMar>
            <w:vAlign w:val="center"/>
          </w:tcPr>
          <w:p w14:paraId="28FCAA28" w14:textId="77777777" w:rsidR="00EB5913" w:rsidRPr="006623B9" w:rsidRDefault="00EB5913" w:rsidP="00F16E23">
            <w:pPr>
              <w:pStyle w:val="TableText"/>
              <w:spacing w:before="40" w:after="40"/>
              <w:jc w:val="right"/>
              <w:rPr>
                <w:szCs w:val="16"/>
              </w:rPr>
            </w:pPr>
            <w:r w:rsidRPr="006623B9">
              <w:rPr>
                <w:rFonts w:eastAsia="Calibri"/>
                <w:color w:val="000000"/>
                <w:szCs w:val="16"/>
              </w:rPr>
              <w:t>5,263,400</w:t>
            </w:r>
          </w:p>
        </w:tc>
        <w:tc>
          <w:tcPr>
            <w:tcW w:w="2665" w:type="dxa"/>
            <w:shd w:val="clear" w:color="auto" w:fill="FFFFFF"/>
            <w:tcMar>
              <w:top w:w="0" w:type="dxa"/>
              <w:left w:w="85" w:type="dxa"/>
              <w:bottom w:w="0" w:type="dxa"/>
              <w:right w:w="85" w:type="dxa"/>
            </w:tcMar>
            <w:vAlign w:val="center"/>
          </w:tcPr>
          <w:p w14:paraId="00187B34" w14:textId="77777777" w:rsidR="00EB5913" w:rsidRPr="006623B9" w:rsidRDefault="00EB5913" w:rsidP="00F16E23">
            <w:pPr>
              <w:pStyle w:val="TableText"/>
              <w:spacing w:before="40" w:after="40"/>
              <w:rPr>
                <w:szCs w:val="16"/>
              </w:rPr>
            </w:pPr>
            <w:r w:rsidRPr="006623B9">
              <w:rPr>
                <w:rFonts w:eastAsia="Calibri"/>
                <w:color w:val="000000"/>
                <w:szCs w:val="16"/>
              </w:rPr>
              <w:t>0.0329</w:t>
            </w:r>
          </w:p>
        </w:tc>
        <w:tc>
          <w:tcPr>
            <w:tcW w:w="3402" w:type="dxa"/>
            <w:shd w:val="clear" w:color="auto" w:fill="FFFFFF"/>
            <w:tcMar>
              <w:top w:w="0" w:type="dxa"/>
              <w:left w:w="85" w:type="dxa"/>
              <w:bottom w:w="0" w:type="dxa"/>
              <w:right w:w="85" w:type="dxa"/>
            </w:tcMar>
            <w:vAlign w:val="center"/>
          </w:tcPr>
          <w:p w14:paraId="463B35FC" w14:textId="77777777" w:rsidR="00EB5913" w:rsidRPr="006623B9" w:rsidRDefault="00EB5913" w:rsidP="00F16E23">
            <w:pPr>
              <w:pStyle w:val="TableText"/>
              <w:spacing w:before="40" w:after="40"/>
              <w:jc w:val="right"/>
              <w:rPr>
                <w:szCs w:val="16"/>
              </w:rPr>
            </w:pPr>
            <w:r w:rsidRPr="006623B9">
              <w:rPr>
                <w:rFonts w:eastAsia="Calibri"/>
                <w:color w:val="000000"/>
                <w:szCs w:val="16"/>
              </w:rPr>
              <w:t>211.8</w:t>
            </w:r>
          </w:p>
        </w:tc>
      </w:tr>
      <w:tr w:rsidR="00EB5913" w:rsidRPr="006623B9" w14:paraId="16F84559" w14:textId="77777777" w:rsidTr="00F16E23">
        <w:tc>
          <w:tcPr>
            <w:tcW w:w="0" w:type="auto"/>
            <w:shd w:val="clear" w:color="auto" w:fill="FFFFFF"/>
            <w:tcMar>
              <w:top w:w="0" w:type="dxa"/>
              <w:left w:w="85" w:type="dxa"/>
              <w:bottom w:w="0" w:type="dxa"/>
              <w:right w:w="85" w:type="dxa"/>
            </w:tcMar>
            <w:vAlign w:val="center"/>
          </w:tcPr>
          <w:p w14:paraId="638D30BD" w14:textId="77777777" w:rsidR="00EB5913" w:rsidRPr="006623B9" w:rsidRDefault="00EB5913" w:rsidP="00F16E23">
            <w:pPr>
              <w:pStyle w:val="TableText"/>
              <w:spacing w:before="40" w:after="40"/>
              <w:rPr>
                <w:b/>
                <w:color w:val="1B556B" w:themeColor="text2"/>
                <w:szCs w:val="16"/>
              </w:rPr>
            </w:pPr>
            <w:r w:rsidRPr="006623B9">
              <w:rPr>
                <w:rFonts w:eastAsia="Calibri"/>
                <w:b/>
                <w:color w:val="1B556B" w:themeColor="text2"/>
                <w:szCs w:val="16"/>
              </w:rPr>
              <w:t>2024</w:t>
            </w:r>
          </w:p>
        </w:tc>
        <w:tc>
          <w:tcPr>
            <w:tcW w:w="1531" w:type="dxa"/>
            <w:shd w:val="clear" w:color="auto" w:fill="FFFFFF"/>
            <w:tcMar>
              <w:top w:w="0" w:type="dxa"/>
              <w:left w:w="85" w:type="dxa"/>
              <w:bottom w:w="0" w:type="dxa"/>
              <w:right w:w="85" w:type="dxa"/>
            </w:tcMar>
            <w:vAlign w:val="center"/>
          </w:tcPr>
          <w:p w14:paraId="3A93BE38" w14:textId="77777777" w:rsidR="00EB5913" w:rsidRPr="006623B9" w:rsidRDefault="00EB5913" w:rsidP="00F16E23">
            <w:pPr>
              <w:pStyle w:val="TableText"/>
              <w:spacing w:before="40" w:after="40"/>
              <w:jc w:val="right"/>
              <w:rPr>
                <w:szCs w:val="16"/>
              </w:rPr>
            </w:pPr>
            <w:r w:rsidRPr="006623B9">
              <w:rPr>
                <w:rFonts w:eastAsia="Calibri"/>
                <w:color w:val="000000"/>
                <w:szCs w:val="16"/>
              </w:rPr>
              <w:t>5,311,100</w:t>
            </w:r>
          </w:p>
        </w:tc>
        <w:tc>
          <w:tcPr>
            <w:tcW w:w="2665" w:type="dxa"/>
            <w:shd w:val="clear" w:color="auto" w:fill="FFFFFF"/>
            <w:tcMar>
              <w:top w:w="0" w:type="dxa"/>
              <w:left w:w="85" w:type="dxa"/>
              <w:bottom w:w="0" w:type="dxa"/>
              <w:right w:w="85" w:type="dxa"/>
            </w:tcMar>
            <w:vAlign w:val="center"/>
          </w:tcPr>
          <w:p w14:paraId="50F531F9" w14:textId="77777777" w:rsidR="00EB5913" w:rsidRPr="006623B9" w:rsidRDefault="00EB5913" w:rsidP="00F16E23">
            <w:pPr>
              <w:pStyle w:val="TableText"/>
              <w:spacing w:before="40" w:after="40"/>
              <w:rPr>
                <w:szCs w:val="16"/>
              </w:rPr>
            </w:pPr>
            <w:r w:rsidRPr="006623B9">
              <w:rPr>
                <w:rFonts w:eastAsia="Calibri"/>
                <w:color w:val="000000"/>
                <w:szCs w:val="16"/>
              </w:rPr>
              <w:t>0.0329</w:t>
            </w:r>
          </w:p>
        </w:tc>
        <w:tc>
          <w:tcPr>
            <w:tcW w:w="3402" w:type="dxa"/>
            <w:shd w:val="clear" w:color="auto" w:fill="FFFFFF"/>
            <w:tcMar>
              <w:top w:w="0" w:type="dxa"/>
              <w:left w:w="85" w:type="dxa"/>
              <w:bottom w:w="0" w:type="dxa"/>
              <w:right w:w="85" w:type="dxa"/>
            </w:tcMar>
            <w:vAlign w:val="center"/>
          </w:tcPr>
          <w:p w14:paraId="698B102C" w14:textId="77777777" w:rsidR="00EB5913" w:rsidRPr="006623B9" w:rsidRDefault="00EB5913" w:rsidP="00F16E23">
            <w:pPr>
              <w:pStyle w:val="TableText"/>
              <w:spacing w:before="40" w:after="40"/>
              <w:jc w:val="right"/>
              <w:rPr>
                <w:szCs w:val="16"/>
              </w:rPr>
            </w:pPr>
            <w:r w:rsidRPr="006623B9">
              <w:rPr>
                <w:rFonts w:eastAsia="Calibri"/>
                <w:color w:val="000000"/>
                <w:szCs w:val="16"/>
              </w:rPr>
              <w:t>213.5</w:t>
            </w:r>
          </w:p>
        </w:tc>
      </w:tr>
    </w:tbl>
    <w:p w14:paraId="4D89273F" w14:textId="77777777" w:rsidR="00EB5913" w:rsidRPr="006623B9" w:rsidRDefault="00EB5913" w:rsidP="00EB5913">
      <w:pPr>
        <w:pStyle w:val="Heading5"/>
        <w:spacing w:before="400"/>
      </w:pPr>
      <w:bookmarkStart w:id="3102" w:name="industrial-wastewater-5.d.2-1"/>
      <w:bookmarkEnd w:id="3100"/>
      <w:r w:rsidRPr="006623B9">
        <w:t>Industrial wastewater (5.D.2)</w:t>
      </w:r>
    </w:p>
    <w:p w14:paraId="21B37368" w14:textId="77777777" w:rsidR="00EB5913" w:rsidRPr="006623B9" w:rsidRDefault="00EB5913" w:rsidP="00EB5913">
      <w:pPr>
        <w:pStyle w:val="BodyText"/>
      </w:pPr>
      <w:r w:rsidRPr="006623B9">
        <w:t>The following industries are identified as having organic-rich wastewaters that are treated anaerobically (in order of significance): meat processing, pulp and paper, and other industries described below. Table 7.5.3 reports the activity data for the amount of total organic product in wastewater (TOW) across the main industries.</w:t>
      </w:r>
    </w:p>
    <w:p w14:paraId="7C5F163F" w14:textId="6C1DAF23" w:rsidR="00EB5913" w:rsidRPr="006623B9" w:rsidRDefault="00EB5913" w:rsidP="00EB5913">
      <w:pPr>
        <w:pStyle w:val="Table"/>
      </w:pPr>
      <w:bookmarkStart w:id="3103" w:name="_Toc226669122"/>
      <w:r w:rsidRPr="006623B9">
        <w:t xml:space="preserve">Table 7.5.3 </w:t>
      </w:r>
      <w:r w:rsidRPr="006623B9">
        <w:tab/>
        <w:t>Total organic product producing methane from industrial wastewater, from 1990 to</w:t>
      </w:r>
      <w:r w:rsidR="00140A5C">
        <w:t> </w:t>
      </w:r>
      <w:r w:rsidRPr="006623B9">
        <w:t>2024</w:t>
      </w:r>
      <w:bookmarkEnd w:id="310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95"/>
        <w:gridCol w:w="1825"/>
        <w:gridCol w:w="2351"/>
        <w:gridCol w:w="2040"/>
        <w:gridCol w:w="1783"/>
      </w:tblGrid>
      <w:tr w:rsidR="00EB5913" w:rsidRPr="006623B9" w14:paraId="1C58F9CA" w14:textId="77777777" w:rsidTr="00F16E23">
        <w:trPr>
          <w:tblHeader/>
        </w:trPr>
        <w:tc>
          <w:tcPr>
            <w:tcW w:w="0" w:type="auto"/>
            <w:shd w:val="clear" w:color="auto" w:fill="1B556B"/>
            <w:tcMar>
              <w:top w:w="0" w:type="dxa"/>
              <w:left w:w="85" w:type="dxa"/>
              <w:bottom w:w="0" w:type="dxa"/>
              <w:right w:w="85" w:type="dxa"/>
            </w:tcMar>
            <w:vAlign w:val="bottom"/>
          </w:tcPr>
          <w:p w14:paraId="66E57B4D" w14:textId="77777777" w:rsidR="00EB5913" w:rsidRPr="006623B9" w:rsidRDefault="00EB5913" w:rsidP="00F16E23">
            <w:pPr>
              <w:pStyle w:val="TableTextBold"/>
              <w:spacing w:before="40" w:after="30"/>
              <w:rPr>
                <w:noProof w:val="0"/>
                <w:color w:val="FFFFFF" w:themeColor="background1"/>
                <w:szCs w:val="16"/>
              </w:rPr>
            </w:pPr>
            <w:r w:rsidRPr="006623B9">
              <w:rPr>
                <w:rFonts w:eastAsia="Calibri"/>
                <w:noProof w:val="0"/>
                <w:color w:val="FFFFFF" w:themeColor="background1"/>
                <w:szCs w:val="16"/>
              </w:rPr>
              <w:t>Year</w:t>
            </w:r>
          </w:p>
        </w:tc>
        <w:tc>
          <w:tcPr>
            <w:tcW w:w="0" w:type="auto"/>
            <w:shd w:val="clear" w:color="auto" w:fill="1B556B"/>
            <w:tcMar>
              <w:top w:w="0" w:type="dxa"/>
              <w:left w:w="85" w:type="dxa"/>
              <w:bottom w:w="0" w:type="dxa"/>
              <w:right w:w="85" w:type="dxa"/>
            </w:tcMar>
            <w:vAlign w:val="bottom"/>
          </w:tcPr>
          <w:p w14:paraId="0CB8221A"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Meat industries TOW (kt)</w:t>
            </w:r>
          </w:p>
        </w:tc>
        <w:tc>
          <w:tcPr>
            <w:tcW w:w="0" w:type="auto"/>
            <w:shd w:val="clear" w:color="auto" w:fill="1B556B"/>
            <w:tcMar>
              <w:top w:w="0" w:type="dxa"/>
              <w:left w:w="85" w:type="dxa"/>
              <w:bottom w:w="0" w:type="dxa"/>
              <w:right w:w="85" w:type="dxa"/>
            </w:tcMar>
            <w:vAlign w:val="bottom"/>
          </w:tcPr>
          <w:p w14:paraId="0F00ECDB"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Pulp and paper industry TOW (kt)</w:t>
            </w:r>
          </w:p>
        </w:tc>
        <w:tc>
          <w:tcPr>
            <w:tcW w:w="0" w:type="auto"/>
            <w:shd w:val="clear" w:color="auto" w:fill="1B556B"/>
            <w:tcMar>
              <w:top w:w="0" w:type="dxa"/>
              <w:left w:w="85" w:type="dxa"/>
              <w:bottom w:w="0" w:type="dxa"/>
              <w:right w:w="85" w:type="dxa"/>
            </w:tcMar>
            <w:vAlign w:val="bottom"/>
          </w:tcPr>
          <w:p w14:paraId="318B43E2"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All other industries TOW (kt)</w:t>
            </w:r>
          </w:p>
        </w:tc>
        <w:tc>
          <w:tcPr>
            <w:tcW w:w="0" w:type="auto"/>
            <w:shd w:val="clear" w:color="auto" w:fill="1B556B"/>
            <w:tcMar>
              <w:top w:w="0" w:type="dxa"/>
              <w:left w:w="85" w:type="dxa"/>
              <w:bottom w:w="0" w:type="dxa"/>
              <w:right w:w="85" w:type="dxa"/>
            </w:tcMar>
            <w:vAlign w:val="bottom"/>
          </w:tcPr>
          <w:p w14:paraId="46B80307"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Total industrial TOW (kt)</w:t>
            </w:r>
          </w:p>
        </w:tc>
      </w:tr>
      <w:tr w:rsidR="00EB5913" w:rsidRPr="006623B9" w14:paraId="66695F66" w14:textId="77777777" w:rsidTr="00F16E23">
        <w:tc>
          <w:tcPr>
            <w:tcW w:w="0" w:type="auto"/>
            <w:shd w:val="clear" w:color="auto" w:fill="FFFFFF"/>
            <w:tcMar>
              <w:top w:w="0" w:type="dxa"/>
              <w:left w:w="85" w:type="dxa"/>
              <w:bottom w:w="0" w:type="dxa"/>
              <w:right w:w="85" w:type="dxa"/>
            </w:tcMar>
            <w:vAlign w:val="center"/>
          </w:tcPr>
          <w:p w14:paraId="1C73707C" w14:textId="77777777" w:rsidR="00EB5913" w:rsidRPr="006623B9" w:rsidRDefault="00EB5913" w:rsidP="00F16E23">
            <w:pPr>
              <w:pStyle w:val="Tableboldblue"/>
              <w:spacing w:before="40" w:after="30"/>
              <w:rPr>
                <w:szCs w:val="16"/>
              </w:rPr>
            </w:pPr>
            <w:r w:rsidRPr="006623B9">
              <w:rPr>
                <w:rFonts w:eastAsia="Calibri"/>
                <w:szCs w:val="16"/>
              </w:rPr>
              <w:t>1990</w:t>
            </w:r>
          </w:p>
        </w:tc>
        <w:tc>
          <w:tcPr>
            <w:tcW w:w="0" w:type="auto"/>
            <w:shd w:val="clear" w:color="auto" w:fill="FFFFFF"/>
            <w:tcMar>
              <w:top w:w="0" w:type="dxa"/>
              <w:left w:w="85" w:type="dxa"/>
              <w:bottom w:w="0" w:type="dxa"/>
              <w:right w:w="85" w:type="dxa"/>
            </w:tcMar>
            <w:vAlign w:val="center"/>
          </w:tcPr>
          <w:p w14:paraId="13AEFE12" w14:textId="77777777" w:rsidR="00EB5913" w:rsidRPr="006623B9" w:rsidRDefault="00EB5913" w:rsidP="00F16E23">
            <w:pPr>
              <w:pStyle w:val="TableText"/>
              <w:spacing w:before="40" w:after="30"/>
              <w:jc w:val="right"/>
              <w:rPr>
                <w:szCs w:val="16"/>
              </w:rPr>
            </w:pPr>
            <w:r w:rsidRPr="006623B9">
              <w:rPr>
                <w:rFonts w:eastAsia="Calibri"/>
                <w:szCs w:val="16"/>
              </w:rPr>
              <w:t>54.8</w:t>
            </w:r>
          </w:p>
        </w:tc>
        <w:tc>
          <w:tcPr>
            <w:tcW w:w="0" w:type="auto"/>
            <w:shd w:val="clear" w:color="auto" w:fill="FFFFFF"/>
            <w:tcMar>
              <w:top w:w="0" w:type="dxa"/>
              <w:left w:w="85" w:type="dxa"/>
              <w:bottom w:w="0" w:type="dxa"/>
              <w:right w:w="85" w:type="dxa"/>
            </w:tcMar>
            <w:vAlign w:val="center"/>
          </w:tcPr>
          <w:p w14:paraId="3B55B4C8" w14:textId="77777777" w:rsidR="00EB5913" w:rsidRPr="006623B9" w:rsidRDefault="00EB5913" w:rsidP="00F16E23">
            <w:pPr>
              <w:pStyle w:val="TableText"/>
              <w:spacing w:before="40" w:after="30"/>
              <w:jc w:val="right"/>
              <w:rPr>
                <w:szCs w:val="16"/>
              </w:rPr>
            </w:pPr>
            <w:r w:rsidRPr="006623B9">
              <w:rPr>
                <w:rFonts w:eastAsia="Calibri"/>
                <w:szCs w:val="16"/>
              </w:rPr>
              <w:t>76.7</w:t>
            </w:r>
          </w:p>
        </w:tc>
        <w:tc>
          <w:tcPr>
            <w:tcW w:w="0" w:type="auto"/>
            <w:shd w:val="clear" w:color="auto" w:fill="FFFFFF"/>
            <w:tcMar>
              <w:top w:w="0" w:type="dxa"/>
              <w:left w:w="85" w:type="dxa"/>
              <w:bottom w:w="0" w:type="dxa"/>
              <w:right w:w="85" w:type="dxa"/>
            </w:tcMar>
            <w:vAlign w:val="center"/>
          </w:tcPr>
          <w:p w14:paraId="620537FE" w14:textId="77777777" w:rsidR="00EB5913" w:rsidRPr="006623B9" w:rsidRDefault="00EB5913" w:rsidP="00F16E23">
            <w:pPr>
              <w:pStyle w:val="TableText"/>
              <w:spacing w:before="40" w:after="30"/>
              <w:jc w:val="right"/>
              <w:rPr>
                <w:szCs w:val="16"/>
              </w:rPr>
            </w:pPr>
            <w:r w:rsidRPr="006623B9">
              <w:rPr>
                <w:rFonts w:eastAsia="Calibri"/>
                <w:szCs w:val="16"/>
              </w:rPr>
              <w:t>21.2</w:t>
            </w:r>
          </w:p>
        </w:tc>
        <w:tc>
          <w:tcPr>
            <w:tcW w:w="0" w:type="auto"/>
            <w:shd w:val="clear" w:color="auto" w:fill="FFFFFF"/>
            <w:tcMar>
              <w:top w:w="0" w:type="dxa"/>
              <w:left w:w="85" w:type="dxa"/>
              <w:bottom w:w="0" w:type="dxa"/>
              <w:right w:w="85" w:type="dxa"/>
            </w:tcMar>
            <w:vAlign w:val="center"/>
          </w:tcPr>
          <w:p w14:paraId="7D41F538" w14:textId="77777777" w:rsidR="00EB5913" w:rsidRPr="006623B9" w:rsidRDefault="00EB5913" w:rsidP="00F16E23">
            <w:pPr>
              <w:pStyle w:val="TableText"/>
              <w:spacing w:before="40" w:after="30"/>
              <w:jc w:val="right"/>
              <w:rPr>
                <w:szCs w:val="16"/>
              </w:rPr>
            </w:pPr>
            <w:r w:rsidRPr="006623B9">
              <w:rPr>
                <w:rFonts w:eastAsia="Calibri"/>
                <w:szCs w:val="16"/>
              </w:rPr>
              <w:t>152.7</w:t>
            </w:r>
          </w:p>
        </w:tc>
      </w:tr>
      <w:tr w:rsidR="00EB5913" w:rsidRPr="006623B9" w14:paraId="7C1C6928" w14:textId="77777777" w:rsidTr="00F16E23">
        <w:tc>
          <w:tcPr>
            <w:tcW w:w="0" w:type="auto"/>
            <w:shd w:val="clear" w:color="auto" w:fill="FFFFFF"/>
            <w:tcMar>
              <w:top w:w="0" w:type="dxa"/>
              <w:left w:w="85" w:type="dxa"/>
              <w:bottom w:w="0" w:type="dxa"/>
              <w:right w:w="85" w:type="dxa"/>
            </w:tcMar>
            <w:vAlign w:val="center"/>
          </w:tcPr>
          <w:p w14:paraId="737DC835" w14:textId="77777777" w:rsidR="00EB5913" w:rsidRPr="006623B9" w:rsidRDefault="00EB5913" w:rsidP="00F16E23">
            <w:pPr>
              <w:pStyle w:val="Tableboldblue"/>
              <w:spacing w:before="40" w:after="30"/>
              <w:rPr>
                <w:szCs w:val="16"/>
              </w:rPr>
            </w:pPr>
            <w:r w:rsidRPr="006623B9">
              <w:rPr>
                <w:rFonts w:eastAsia="Calibri"/>
                <w:szCs w:val="16"/>
              </w:rPr>
              <w:t>1991</w:t>
            </w:r>
          </w:p>
        </w:tc>
        <w:tc>
          <w:tcPr>
            <w:tcW w:w="0" w:type="auto"/>
            <w:shd w:val="clear" w:color="auto" w:fill="FFFFFF"/>
            <w:tcMar>
              <w:top w:w="0" w:type="dxa"/>
              <w:left w:w="85" w:type="dxa"/>
              <w:bottom w:w="0" w:type="dxa"/>
              <w:right w:w="85" w:type="dxa"/>
            </w:tcMar>
            <w:vAlign w:val="center"/>
          </w:tcPr>
          <w:p w14:paraId="3B7698A2" w14:textId="77777777" w:rsidR="00EB5913" w:rsidRPr="006623B9" w:rsidRDefault="00EB5913" w:rsidP="00F16E23">
            <w:pPr>
              <w:pStyle w:val="TableText"/>
              <w:spacing w:before="40" w:after="30"/>
              <w:jc w:val="right"/>
              <w:rPr>
                <w:szCs w:val="16"/>
              </w:rPr>
            </w:pPr>
            <w:r w:rsidRPr="006623B9">
              <w:rPr>
                <w:rFonts w:eastAsia="Calibri"/>
                <w:szCs w:val="16"/>
              </w:rPr>
              <w:t>58.5</w:t>
            </w:r>
          </w:p>
        </w:tc>
        <w:tc>
          <w:tcPr>
            <w:tcW w:w="0" w:type="auto"/>
            <w:shd w:val="clear" w:color="auto" w:fill="FFFFFF"/>
            <w:tcMar>
              <w:top w:w="0" w:type="dxa"/>
              <w:left w:w="85" w:type="dxa"/>
              <w:bottom w:w="0" w:type="dxa"/>
              <w:right w:w="85" w:type="dxa"/>
            </w:tcMar>
            <w:vAlign w:val="center"/>
          </w:tcPr>
          <w:p w14:paraId="4FCA5099" w14:textId="77777777" w:rsidR="00EB5913" w:rsidRPr="006623B9" w:rsidRDefault="00EB5913" w:rsidP="00F16E23">
            <w:pPr>
              <w:pStyle w:val="TableText"/>
              <w:spacing w:before="40" w:after="30"/>
              <w:jc w:val="right"/>
              <w:rPr>
                <w:szCs w:val="16"/>
              </w:rPr>
            </w:pPr>
            <w:r w:rsidRPr="006623B9">
              <w:rPr>
                <w:rFonts w:eastAsia="Calibri"/>
                <w:szCs w:val="16"/>
              </w:rPr>
              <w:t>76.3</w:t>
            </w:r>
          </w:p>
        </w:tc>
        <w:tc>
          <w:tcPr>
            <w:tcW w:w="0" w:type="auto"/>
            <w:shd w:val="clear" w:color="auto" w:fill="FFFFFF"/>
            <w:tcMar>
              <w:top w:w="0" w:type="dxa"/>
              <w:left w:w="85" w:type="dxa"/>
              <w:bottom w:w="0" w:type="dxa"/>
              <w:right w:w="85" w:type="dxa"/>
            </w:tcMar>
            <w:vAlign w:val="center"/>
          </w:tcPr>
          <w:p w14:paraId="1F82DDF1" w14:textId="77777777" w:rsidR="00EB5913" w:rsidRPr="006623B9" w:rsidRDefault="00EB5913" w:rsidP="00F16E23">
            <w:pPr>
              <w:pStyle w:val="TableText"/>
              <w:spacing w:before="40" w:after="30"/>
              <w:jc w:val="right"/>
              <w:rPr>
                <w:szCs w:val="16"/>
              </w:rPr>
            </w:pPr>
            <w:r w:rsidRPr="006623B9">
              <w:rPr>
                <w:rFonts w:eastAsia="Calibri"/>
                <w:szCs w:val="16"/>
              </w:rPr>
              <w:t>19.6</w:t>
            </w:r>
          </w:p>
        </w:tc>
        <w:tc>
          <w:tcPr>
            <w:tcW w:w="0" w:type="auto"/>
            <w:shd w:val="clear" w:color="auto" w:fill="FFFFFF"/>
            <w:tcMar>
              <w:top w:w="0" w:type="dxa"/>
              <w:left w:w="85" w:type="dxa"/>
              <w:bottom w:w="0" w:type="dxa"/>
              <w:right w:w="85" w:type="dxa"/>
            </w:tcMar>
            <w:vAlign w:val="center"/>
          </w:tcPr>
          <w:p w14:paraId="7A8930A7" w14:textId="77777777" w:rsidR="00EB5913" w:rsidRPr="006623B9" w:rsidRDefault="00EB5913" w:rsidP="00F16E23">
            <w:pPr>
              <w:pStyle w:val="TableText"/>
              <w:spacing w:before="40" w:after="30"/>
              <w:jc w:val="right"/>
              <w:rPr>
                <w:szCs w:val="16"/>
              </w:rPr>
            </w:pPr>
            <w:r w:rsidRPr="006623B9">
              <w:rPr>
                <w:rFonts w:eastAsia="Calibri"/>
                <w:szCs w:val="16"/>
              </w:rPr>
              <w:t>154.4</w:t>
            </w:r>
          </w:p>
        </w:tc>
      </w:tr>
      <w:tr w:rsidR="00EB5913" w:rsidRPr="006623B9" w14:paraId="6F48C76C" w14:textId="77777777" w:rsidTr="00F16E23">
        <w:tc>
          <w:tcPr>
            <w:tcW w:w="0" w:type="auto"/>
            <w:shd w:val="clear" w:color="auto" w:fill="FFFFFF"/>
            <w:tcMar>
              <w:top w:w="0" w:type="dxa"/>
              <w:left w:w="85" w:type="dxa"/>
              <w:bottom w:w="0" w:type="dxa"/>
              <w:right w:w="85" w:type="dxa"/>
            </w:tcMar>
            <w:vAlign w:val="center"/>
          </w:tcPr>
          <w:p w14:paraId="68FB1259" w14:textId="77777777" w:rsidR="00EB5913" w:rsidRPr="006623B9" w:rsidRDefault="00EB5913" w:rsidP="00F16E23">
            <w:pPr>
              <w:pStyle w:val="Tableboldblue"/>
              <w:spacing w:before="40" w:after="30"/>
              <w:rPr>
                <w:szCs w:val="16"/>
              </w:rPr>
            </w:pPr>
            <w:r w:rsidRPr="006623B9">
              <w:rPr>
                <w:rFonts w:eastAsia="Calibri"/>
                <w:szCs w:val="16"/>
              </w:rPr>
              <w:t>1992</w:t>
            </w:r>
          </w:p>
        </w:tc>
        <w:tc>
          <w:tcPr>
            <w:tcW w:w="0" w:type="auto"/>
            <w:shd w:val="clear" w:color="auto" w:fill="FFFFFF"/>
            <w:tcMar>
              <w:top w:w="0" w:type="dxa"/>
              <w:left w:w="85" w:type="dxa"/>
              <w:bottom w:w="0" w:type="dxa"/>
              <w:right w:w="85" w:type="dxa"/>
            </w:tcMar>
            <w:vAlign w:val="center"/>
          </w:tcPr>
          <w:p w14:paraId="02FBD30D" w14:textId="77777777" w:rsidR="00EB5913" w:rsidRPr="006623B9" w:rsidRDefault="00EB5913" w:rsidP="00F16E23">
            <w:pPr>
              <w:pStyle w:val="TableText"/>
              <w:spacing w:before="40" w:after="30"/>
              <w:jc w:val="right"/>
              <w:rPr>
                <w:szCs w:val="16"/>
              </w:rPr>
            </w:pPr>
            <w:r w:rsidRPr="006623B9">
              <w:rPr>
                <w:rFonts w:eastAsia="Calibri"/>
                <w:szCs w:val="16"/>
              </w:rPr>
              <w:t>63.8</w:t>
            </w:r>
          </w:p>
        </w:tc>
        <w:tc>
          <w:tcPr>
            <w:tcW w:w="0" w:type="auto"/>
            <w:shd w:val="clear" w:color="auto" w:fill="FFFFFF"/>
            <w:tcMar>
              <w:top w:w="0" w:type="dxa"/>
              <w:left w:w="85" w:type="dxa"/>
              <w:bottom w:w="0" w:type="dxa"/>
              <w:right w:w="85" w:type="dxa"/>
            </w:tcMar>
            <w:vAlign w:val="center"/>
          </w:tcPr>
          <w:p w14:paraId="11DC50B9" w14:textId="77777777" w:rsidR="00EB5913" w:rsidRPr="006623B9" w:rsidRDefault="00EB5913" w:rsidP="00F16E23">
            <w:pPr>
              <w:pStyle w:val="TableText"/>
              <w:spacing w:before="40" w:after="30"/>
              <w:jc w:val="right"/>
              <w:rPr>
                <w:szCs w:val="16"/>
              </w:rPr>
            </w:pPr>
            <w:r w:rsidRPr="006623B9">
              <w:rPr>
                <w:rFonts w:eastAsia="Calibri"/>
                <w:szCs w:val="16"/>
              </w:rPr>
              <w:t>72.7</w:t>
            </w:r>
          </w:p>
        </w:tc>
        <w:tc>
          <w:tcPr>
            <w:tcW w:w="0" w:type="auto"/>
            <w:shd w:val="clear" w:color="auto" w:fill="FFFFFF"/>
            <w:tcMar>
              <w:top w:w="0" w:type="dxa"/>
              <w:left w:w="85" w:type="dxa"/>
              <w:bottom w:w="0" w:type="dxa"/>
              <w:right w:w="85" w:type="dxa"/>
            </w:tcMar>
            <w:vAlign w:val="center"/>
          </w:tcPr>
          <w:p w14:paraId="4C11891F" w14:textId="77777777" w:rsidR="00EB5913" w:rsidRPr="006623B9" w:rsidRDefault="00EB5913" w:rsidP="00F16E23">
            <w:pPr>
              <w:pStyle w:val="TableText"/>
              <w:spacing w:before="40" w:after="30"/>
              <w:jc w:val="right"/>
              <w:rPr>
                <w:szCs w:val="16"/>
              </w:rPr>
            </w:pPr>
            <w:r w:rsidRPr="006623B9">
              <w:rPr>
                <w:rFonts w:eastAsia="Calibri"/>
                <w:szCs w:val="16"/>
              </w:rPr>
              <w:t>18.0</w:t>
            </w:r>
          </w:p>
        </w:tc>
        <w:tc>
          <w:tcPr>
            <w:tcW w:w="0" w:type="auto"/>
            <w:shd w:val="clear" w:color="auto" w:fill="FFFFFF"/>
            <w:tcMar>
              <w:top w:w="0" w:type="dxa"/>
              <w:left w:w="85" w:type="dxa"/>
              <w:bottom w:w="0" w:type="dxa"/>
              <w:right w:w="85" w:type="dxa"/>
            </w:tcMar>
            <w:vAlign w:val="center"/>
          </w:tcPr>
          <w:p w14:paraId="57C658C8" w14:textId="77777777" w:rsidR="00EB5913" w:rsidRPr="006623B9" w:rsidRDefault="00EB5913" w:rsidP="00F16E23">
            <w:pPr>
              <w:pStyle w:val="TableText"/>
              <w:spacing w:before="40" w:after="30"/>
              <w:jc w:val="right"/>
              <w:rPr>
                <w:szCs w:val="16"/>
              </w:rPr>
            </w:pPr>
            <w:r w:rsidRPr="006623B9">
              <w:rPr>
                <w:rFonts w:eastAsia="Calibri"/>
                <w:szCs w:val="16"/>
              </w:rPr>
              <w:t>154.5</w:t>
            </w:r>
          </w:p>
        </w:tc>
      </w:tr>
      <w:tr w:rsidR="00EB5913" w:rsidRPr="006623B9" w14:paraId="66BF0FAF" w14:textId="77777777" w:rsidTr="00F16E23">
        <w:tc>
          <w:tcPr>
            <w:tcW w:w="0" w:type="auto"/>
            <w:shd w:val="clear" w:color="auto" w:fill="FFFFFF"/>
            <w:tcMar>
              <w:top w:w="0" w:type="dxa"/>
              <w:left w:w="85" w:type="dxa"/>
              <w:bottom w:w="0" w:type="dxa"/>
              <w:right w:w="85" w:type="dxa"/>
            </w:tcMar>
            <w:vAlign w:val="center"/>
          </w:tcPr>
          <w:p w14:paraId="5617611C" w14:textId="77777777" w:rsidR="00EB5913" w:rsidRPr="006623B9" w:rsidRDefault="00EB5913" w:rsidP="00F16E23">
            <w:pPr>
              <w:pStyle w:val="Tableboldblue"/>
              <w:spacing w:before="40" w:after="30"/>
              <w:rPr>
                <w:szCs w:val="16"/>
              </w:rPr>
            </w:pPr>
            <w:r w:rsidRPr="006623B9">
              <w:rPr>
                <w:rFonts w:eastAsia="Calibri"/>
                <w:szCs w:val="16"/>
              </w:rPr>
              <w:t>1993</w:t>
            </w:r>
          </w:p>
        </w:tc>
        <w:tc>
          <w:tcPr>
            <w:tcW w:w="0" w:type="auto"/>
            <w:shd w:val="clear" w:color="auto" w:fill="FFFFFF"/>
            <w:tcMar>
              <w:top w:w="0" w:type="dxa"/>
              <w:left w:w="85" w:type="dxa"/>
              <w:bottom w:w="0" w:type="dxa"/>
              <w:right w:w="85" w:type="dxa"/>
            </w:tcMar>
            <w:vAlign w:val="center"/>
          </w:tcPr>
          <w:p w14:paraId="59F55825" w14:textId="77777777" w:rsidR="00EB5913" w:rsidRPr="006623B9" w:rsidRDefault="00EB5913" w:rsidP="00F16E23">
            <w:pPr>
              <w:pStyle w:val="TableText"/>
              <w:spacing w:before="40" w:after="30"/>
              <w:jc w:val="right"/>
              <w:rPr>
                <w:szCs w:val="16"/>
              </w:rPr>
            </w:pPr>
            <w:r w:rsidRPr="006623B9">
              <w:rPr>
                <w:rFonts w:eastAsia="Calibri"/>
                <w:szCs w:val="16"/>
              </w:rPr>
              <w:t>59.2</w:t>
            </w:r>
          </w:p>
        </w:tc>
        <w:tc>
          <w:tcPr>
            <w:tcW w:w="0" w:type="auto"/>
            <w:shd w:val="clear" w:color="auto" w:fill="FFFFFF"/>
            <w:tcMar>
              <w:top w:w="0" w:type="dxa"/>
              <w:left w:w="85" w:type="dxa"/>
              <w:bottom w:w="0" w:type="dxa"/>
              <w:right w:w="85" w:type="dxa"/>
            </w:tcMar>
            <w:vAlign w:val="center"/>
          </w:tcPr>
          <w:p w14:paraId="34436FA4" w14:textId="77777777" w:rsidR="00EB5913" w:rsidRPr="006623B9" w:rsidRDefault="00EB5913" w:rsidP="00F16E23">
            <w:pPr>
              <w:pStyle w:val="TableText"/>
              <w:spacing w:before="40" w:after="30"/>
              <w:jc w:val="right"/>
              <w:rPr>
                <w:szCs w:val="16"/>
              </w:rPr>
            </w:pPr>
            <w:r w:rsidRPr="006623B9">
              <w:rPr>
                <w:rFonts w:eastAsia="Calibri"/>
                <w:szCs w:val="16"/>
              </w:rPr>
              <w:t>79.3</w:t>
            </w:r>
          </w:p>
        </w:tc>
        <w:tc>
          <w:tcPr>
            <w:tcW w:w="0" w:type="auto"/>
            <w:shd w:val="clear" w:color="auto" w:fill="FFFFFF"/>
            <w:tcMar>
              <w:top w:w="0" w:type="dxa"/>
              <w:left w:w="85" w:type="dxa"/>
              <w:bottom w:w="0" w:type="dxa"/>
              <w:right w:w="85" w:type="dxa"/>
            </w:tcMar>
            <w:vAlign w:val="center"/>
          </w:tcPr>
          <w:p w14:paraId="1A1EA525" w14:textId="77777777" w:rsidR="00EB5913" w:rsidRPr="006623B9" w:rsidRDefault="00EB5913" w:rsidP="00F16E23">
            <w:pPr>
              <w:pStyle w:val="TableText"/>
              <w:spacing w:before="40" w:after="30"/>
              <w:jc w:val="right"/>
              <w:rPr>
                <w:szCs w:val="16"/>
              </w:rPr>
            </w:pPr>
            <w:r w:rsidRPr="006623B9">
              <w:rPr>
                <w:rFonts w:eastAsia="Calibri"/>
                <w:szCs w:val="16"/>
              </w:rPr>
              <w:t>16.4</w:t>
            </w:r>
          </w:p>
        </w:tc>
        <w:tc>
          <w:tcPr>
            <w:tcW w:w="0" w:type="auto"/>
            <w:shd w:val="clear" w:color="auto" w:fill="FFFFFF"/>
            <w:tcMar>
              <w:top w:w="0" w:type="dxa"/>
              <w:left w:w="85" w:type="dxa"/>
              <w:bottom w:w="0" w:type="dxa"/>
              <w:right w:w="85" w:type="dxa"/>
            </w:tcMar>
            <w:vAlign w:val="center"/>
          </w:tcPr>
          <w:p w14:paraId="24B2499F" w14:textId="77777777" w:rsidR="00EB5913" w:rsidRPr="006623B9" w:rsidRDefault="00EB5913" w:rsidP="00F16E23">
            <w:pPr>
              <w:pStyle w:val="TableText"/>
              <w:spacing w:before="40" w:after="30"/>
              <w:jc w:val="right"/>
              <w:rPr>
                <w:szCs w:val="16"/>
              </w:rPr>
            </w:pPr>
            <w:r w:rsidRPr="006623B9">
              <w:rPr>
                <w:rFonts w:eastAsia="Calibri"/>
                <w:szCs w:val="16"/>
              </w:rPr>
              <w:t>155.0</w:t>
            </w:r>
          </w:p>
        </w:tc>
      </w:tr>
      <w:tr w:rsidR="00EB5913" w:rsidRPr="006623B9" w14:paraId="03D85150" w14:textId="77777777" w:rsidTr="00F16E23">
        <w:tc>
          <w:tcPr>
            <w:tcW w:w="0" w:type="auto"/>
            <w:shd w:val="clear" w:color="auto" w:fill="FFFFFF"/>
            <w:tcMar>
              <w:top w:w="0" w:type="dxa"/>
              <w:left w:w="85" w:type="dxa"/>
              <w:bottom w:w="0" w:type="dxa"/>
              <w:right w:w="85" w:type="dxa"/>
            </w:tcMar>
            <w:vAlign w:val="center"/>
          </w:tcPr>
          <w:p w14:paraId="4AC98BE2" w14:textId="77777777" w:rsidR="00EB5913" w:rsidRPr="006623B9" w:rsidRDefault="00EB5913" w:rsidP="00F16E23">
            <w:pPr>
              <w:pStyle w:val="Tableboldblue"/>
              <w:spacing w:before="40" w:after="30"/>
              <w:rPr>
                <w:szCs w:val="16"/>
              </w:rPr>
            </w:pPr>
            <w:r w:rsidRPr="006623B9">
              <w:rPr>
                <w:rFonts w:eastAsia="Calibri"/>
                <w:szCs w:val="16"/>
              </w:rPr>
              <w:t>1994</w:t>
            </w:r>
          </w:p>
        </w:tc>
        <w:tc>
          <w:tcPr>
            <w:tcW w:w="0" w:type="auto"/>
            <w:shd w:val="clear" w:color="auto" w:fill="FFFFFF"/>
            <w:tcMar>
              <w:top w:w="0" w:type="dxa"/>
              <w:left w:w="85" w:type="dxa"/>
              <w:bottom w:w="0" w:type="dxa"/>
              <w:right w:w="85" w:type="dxa"/>
            </w:tcMar>
            <w:vAlign w:val="center"/>
          </w:tcPr>
          <w:p w14:paraId="310838BD" w14:textId="77777777" w:rsidR="00EB5913" w:rsidRPr="006623B9" w:rsidRDefault="00EB5913" w:rsidP="00F16E23">
            <w:pPr>
              <w:pStyle w:val="TableText"/>
              <w:spacing w:before="40" w:after="30"/>
              <w:jc w:val="right"/>
              <w:rPr>
                <w:szCs w:val="16"/>
              </w:rPr>
            </w:pPr>
            <w:r w:rsidRPr="006623B9">
              <w:rPr>
                <w:rFonts w:eastAsia="Calibri"/>
                <w:szCs w:val="16"/>
              </w:rPr>
              <w:t>62.0</w:t>
            </w:r>
          </w:p>
        </w:tc>
        <w:tc>
          <w:tcPr>
            <w:tcW w:w="0" w:type="auto"/>
            <w:shd w:val="clear" w:color="auto" w:fill="FFFFFF"/>
            <w:tcMar>
              <w:top w:w="0" w:type="dxa"/>
              <w:left w:w="85" w:type="dxa"/>
              <w:bottom w:w="0" w:type="dxa"/>
              <w:right w:w="85" w:type="dxa"/>
            </w:tcMar>
            <w:vAlign w:val="center"/>
          </w:tcPr>
          <w:p w14:paraId="23758A1F" w14:textId="77777777" w:rsidR="00EB5913" w:rsidRPr="006623B9" w:rsidRDefault="00EB5913" w:rsidP="00F16E23">
            <w:pPr>
              <w:pStyle w:val="TableText"/>
              <w:spacing w:before="40" w:after="30"/>
              <w:jc w:val="right"/>
              <w:rPr>
                <w:szCs w:val="16"/>
              </w:rPr>
            </w:pPr>
            <w:r w:rsidRPr="006623B9">
              <w:rPr>
                <w:rFonts w:eastAsia="Calibri"/>
                <w:szCs w:val="16"/>
              </w:rPr>
              <w:t>80.0</w:t>
            </w:r>
          </w:p>
        </w:tc>
        <w:tc>
          <w:tcPr>
            <w:tcW w:w="0" w:type="auto"/>
            <w:shd w:val="clear" w:color="auto" w:fill="FFFFFF"/>
            <w:tcMar>
              <w:top w:w="0" w:type="dxa"/>
              <w:left w:w="85" w:type="dxa"/>
              <w:bottom w:w="0" w:type="dxa"/>
              <w:right w:w="85" w:type="dxa"/>
            </w:tcMar>
            <w:vAlign w:val="center"/>
          </w:tcPr>
          <w:p w14:paraId="6F408A78" w14:textId="77777777" w:rsidR="00EB5913" w:rsidRPr="006623B9" w:rsidRDefault="00EB5913" w:rsidP="00F16E23">
            <w:pPr>
              <w:pStyle w:val="TableText"/>
              <w:spacing w:before="40" w:after="30"/>
              <w:jc w:val="right"/>
              <w:rPr>
                <w:szCs w:val="16"/>
              </w:rPr>
            </w:pPr>
            <w:r w:rsidRPr="006623B9">
              <w:rPr>
                <w:rFonts w:eastAsia="Calibri"/>
                <w:szCs w:val="16"/>
              </w:rPr>
              <w:t>15.0</w:t>
            </w:r>
          </w:p>
        </w:tc>
        <w:tc>
          <w:tcPr>
            <w:tcW w:w="0" w:type="auto"/>
            <w:shd w:val="clear" w:color="auto" w:fill="FFFFFF"/>
            <w:tcMar>
              <w:top w:w="0" w:type="dxa"/>
              <w:left w:w="85" w:type="dxa"/>
              <w:bottom w:w="0" w:type="dxa"/>
              <w:right w:w="85" w:type="dxa"/>
            </w:tcMar>
            <w:vAlign w:val="center"/>
          </w:tcPr>
          <w:p w14:paraId="1A0D1B2D" w14:textId="77777777" w:rsidR="00EB5913" w:rsidRPr="006623B9" w:rsidRDefault="00EB5913" w:rsidP="00F16E23">
            <w:pPr>
              <w:pStyle w:val="TableText"/>
              <w:spacing w:before="40" w:after="30"/>
              <w:jc w:val="right"/>
              <w:rPr>
                <w:szCs w:val="16"/>
              </w:rPr>
            </w:pPr>
            <w:r w:rsidRPr="006623B9">
              <w:rPr>
                <w:rFonts w:eastAsia="Calibri"/>
                <w:szCs w:val="16"/>
              </w:rPr>
              <w:t>157.1</w:t>
            </w:r>
          </w:p>
        </w:tc>
      </w:tr>
      <w:tr w:rsidR="00EB5913" w:rsidRPr="006623B9" w14:paraId="5810EED5" w14:textId="77777777" w:rsidTr="00F16E23">
        <w:tc>
          <w:tcPr>
            <w:tcW w:w="0" w:type="auto"/>
            <w:shd w:val="clear" w:color="auto" w:fill="FFFFFF"/>
            <w:tcMar>
              <w:top w:w="0" w:type="dxa"/>
              <w:left w:w="85" w:type="dxa"/>
              <w:bottom w:w="0" w:type="dxa"/>
              <w:right w:w="85" w:type="dxa"/>
            </w:tcMar>
            <w:vAlign w:val="center"/>
          </w:tcPr>
          <w:p w14:paraId="1CB413E0" w14:textId="77777777" w:rsidR="00EB5913" w:rsidRPr="006623B9" w:rsidRDefault="00EB5913" w:rsidP="00F16E23">
            <w:pPr>
              <w:pStyle w:val="Tableboldblue"/>
              <w:spacing w:before="40" w:after="30"/>
              <w:rPr>
                <w:szCs w:val="16"/>
              </w:rPr>
            </w:pPr>
            <w:r w:rsidRPr="006623B9">
              <w:rPr>
                <w:rFonts w:eastAsia="Calibri"/>
                <w:szCs w:val="16"/>
              </w:rPr>
              <w:t>1995</w:t>
            </w:r>
          </w:p>
        </w:tc>
        <w:tc>
          <w:tcPr>
            <w:tcW w:w="0" w:type="auto"/>
            <w:shd w:val="clear" w:color="auto" w:fill="FFFFFF"/>
            <w:tcMar>
              <w:top w:w="0" w:type="dxa"/>
              <w:left w:w="85" w:type="dxa"/>
              <w:bottom w:w="0" w:type="dxa"/>
              <w:right w:w="85" w:type="dxa"/>
            </w:tcMar>
            <w:vAlign w:val="center"/>
          </w:tcPr>
          <w:p w14:paraId="436B397D" w14:textId="77777777" w:rsidR="00EB5913" w:rsidRPr="006623B9" w:rsidRDefault="00EB5913" w:rsidP="00F16E23">
            <w:pPr>
              <w:pStyle w:val="TableText"/>
              <w:spacing w:before="40" w:after="30"/>
              <w:jc w:val="right"/>
              <w:rPr>
                <w:szCs w:val="16"/>
              </w:rPr>
            </w:pPr>
            <w:r w:rsidRPr="006623B9">
              <w:rPr>
                <w:rFonts w:eastAsia="Calibri"/>
                <w:szCs w:val="16"/>
              </w:rPr>
              <w:t>64.5</w:t>
            </w:r>
          </w:p>
        </w:tc>
        <w:tc>
          <w:tcPr>
            <w:tcW w:w="0" w:type="auto"/>
            <w:shd w:val="clear" w:color="auto" w:fill="FFFFFF"/>
            <w:tcMar>
              <w:top w:w="0" w:type="dxa"/>
              <w:left w:w="85" w:type="dxa"/>
              <w:bottom w:w="0" w:type="dxa"/>
              <w:right w:w="85" w:type="dxa"/>
            </w:tcMar>
            <w:vAlign w:val="center"/>
          </w:tcPr>
          <w:p w14:paraId="03894455" w14:textId="77777777" w:rsidR="00EB5913" w:rsidRPr="006623B9" w:rsidRDefault="00EB5913" w:rsidP="00F16E23">
            <w:pPr>
              <w:pStyle w:val="TableText"/>
              <w:spacing w:before="40" w:after="30"/>
              <w:jc w:val="right"/>
              <w:rPr>
                <w:szCs w:val="16"/>
              </w:rPr>
            </w:pPr>
            <w:r w:rsidRPr="006623B9">
              <w:rPr>
                <w:rFonts w:eastAsia="Calibri"/>
                <w:szCs w:val="16"/>
              </w:rPr>
              <w:t>83.3</w:t>
            </w:r>
          </w:p>
        </w:tc>
        <w:tc>
          <w:tcPr>
            <w:tcW w:w="0" w:type="auto"/>
            <w:shd w:val="clear" w:color="auto" w:fill="FFFFFF"/>
            <w:tcMar>
              <w:top w:w="0" w:type="dxa"/>
              <w:left w:w="85" w:type="dxa"/>
              <w:bottom w:w="0" w:type="dxa"/>
              <w:right w:w="85" w:type="dxa"/>
            </w:tcMar>
            <w:vAlign w:val="center"/>
          </w:tcPr>
          <w:p w14:paraId="440F3523" w14:textId="77777777" w:rsidR="00EB5913" w:rsidRPr="006623B9" w:rsidRDefault="00EB5913" w:rsidP="00F16E23">
            <w:pPr>
              <w:pStyle w:val="TableText"/>
              <w:spacing w:before="40" w:after="30"/>
              <w:jc w:val="right"/>
              <w:rPr>
                <w:szCs w:val="16"/>
              </w:rPr>
            </w:pPr>
            <w:r w:rsidRPr="006623B9">
              <w:rPr>
                <w:rFonts w:eastAsia="Calibri"/>
                <w:szCs w:val="16"/>
              </w:rPr>
              <w:t>13.8</w:t>
            </w:r>
          </w:p>
        </w:tc>
        <w:tc>
          <w:tcPr>
            <w:tcW w:w="0" w:type="auto"/>
            <w:shd w:val="clear" w:color="auto" w:fill="FFFFFF"/>
            <w:tcMar>
              <w:top w:w="0" w:type="dxa"/>
              <w:left w:w="85" w:type="dxa"/>
              <w:bottom w:w="0" w:type="dxa"/>
              <w:right w:w="85" w:type="dxa"/>
            </w:tcMar>
            <w:vAlign w:val="center"/>
          </w:tcPr>
          <w:p w14:paraId="16766BC4" w14:textId="77777777" w:rsidR="00EB5913" w:rsidRPr="006623B9" w:rsidRDefault="00EB5913" w:rsidP="00F16E23">
            <w:pPr>
              <w:pStyle w:val="TableText"/>
              <w:spacing w:before="40" w:after="30"/>
              <w:jc w:val="right"/>
              <w:rPr>
                <w:szCs w:val="16"/>
              </w:rPr>
            </w:pPr>
            <w:r w:rsidRPr="006623B9">
              <w:rPr>
                <w:rFonts w:eastAsia="Calibri"/>
                <w:szCs w:val="16"/>
              </w:rPr>
              <w:t>161.7</w:t>
            </w:r>
          </w:p>
        </w:tc>
      </w:tr>
      <w:tr w:rsidR="00EB5913" w:rsidRPr="006623B9" w14:paraId="7C297C5D" w14:textId="77777777" w:rsidTr="00F16E23">
        <w:tc>
          <w:tcPr>
            <w:tcW w:w="0" w:type="auto"/>
            <w:shd w:val="clear" w:color="auto" w:fill="FFFFFF"/>
            <w:tcMar>
              <w:top w:w="0" w:type="dxa"/>
              <w:left w:w="85" w:type="dxa"/>
              <w:bottom w:w="0" w:type="dxa"/>
              <w:right w:w="85" w:type="dxa"/>
            </w:tcMar>
            <w:vAlign w:val="center"/>
          </w:tcPr>
          <w:p w14:paraId="1CA736CD" w14:textId="77777777" w:rsidR="00EB5913" w:rsidRPr="006623B9" w:rsidRDefault="00EB5913" w:rsidP="00F16E23">
            <w:pPr>
              <w:pStyle w:val="Tableboldblue"/>
              <w:spacing w:before="40" w:after="30"/>
              <w:rPr>
                <w:szCs w:val="16"/>
              </w:rPr>
            </w:pPr>
            <w:r w:rsidRPr="006623B9">
              <w:rPr>
                <w:rFonts w:eastAsia="Calibri"/>
                <w:szCs w:val="16"/>
              </w:rPr>
              <w:t>1996</w:t>
            </w:r>
          </w:p>
        </w:tc>
        <w:tc>
          <w:tcPr>
            <w:tcW w:w="0" w:type="auto"/>
            <w:shd w:val="clear" w:color="auto" w:fill="FFFFFF"/>
            <w:tcMar>
              <w:top w:w="0" w:type="dxa"/>
              <w:left w:w="85" w:type="dxa"/>
              <w:bottom w:w="0" w:type="dxa"/>
              <w:right w:w="85" w:type="dxa"/>
            </w:tcMar>
            <w:vAlign w:val="center"/>
          </w:tcPr>
          <w:p w14:paraId="55EE0CA5" w14:textId="77777777" w:rsidR="00EB5913" w:rsidRPr="006623B9" w:rsidRDefault="00EB5913" w:rsidP="00F16E23">
            <w:pPr>
              <w:pStyle w:val="TableText"/>
              <w:spacing w:before="40" w:after="30"/>
              <w:jc w:val="right"/>
              <w:rPr>
                <w:szCs w:val="16"/>
              </w:rPr>
            </w:pPr>
            <w:r w:rsidRPr="006623B9">
              <w:rPr>
                <w:rFonts w:eastAsia="Calibri"/>
                <w:szCs w:val="16"/>
              </w:rPr>
              <w:t>65.8</w:t>
            </w:r>
          </w:p>
        </w:tc>
        <w:tc>
          <w:tcPr>
            <w:tcW w:w="0" w:type="auto"/>
            <w:shd w:val="clear" w:color="auto" w:fill="FFFFFF"/>
            <w:tcMar>
              <w:top w:w="0" w:type="dxa"/>
              <w:left w:w="85" w:type="dxa"/>
              <w:bottom w:w="0" w:type="dxa"/>
              <w:right w:w="85" w:type="dxa"/>
            </w:tcMar>
            <w:vAlign w:val="center"/>
          </w:tcPr>
          <w:p w14:paraId="2867FC4C" w14:textId="77777777" w:rsidR="00EB5913" w:rsidRPr="006623B9" w:rsidRDefault="00EB5913" w:rsidP="00F16E23">
            <w:pPr>
              <w:pStyle w:val="TableText"/>
              <w:spacing w:before="40" w:after="30"/>
              <w:jc w:val="right"/>
              <w:rPr>
                <w:szCs w:val="16"/>
              </w:rPr>
            </w:pPr>
            <w:r w:rsidRPr="006623B9">
              <w:rPr>
                <w:rFonts w:eastAsia="Calibri"/>
                <w:szCs w:val="16"/>
              </w:rPr>
              <w:t>79.9</w:t>
            </w:r>
          </w:p>
        </w:tc>
        <w:tc>
          <w:tcPr>
            <w:tcW w:w="0" w:type="auto"/>
            <w:shd w:val="clear" w:color="auto" w:fill="FFFFFF"/>
            <w:tcMar>
              <w:top w:w="0" w:type="dxa"/>
              <w:left w:w="85" w:type="dxa"/>
              <w:bottom w:w="0" w:type="dxa"/>
              <w:right w:w="85" w:type="dxa"/>
            </w:tcMar>
            <w:vAlign w:val="center"/>
          </w:tcPr>
          <w:p w14:paraId="3846A7BB" w14:textId="77777777" w:rsidR="00EB5913" w:rsidRPr="006623B9" w:rsidRDefault="00EB5913" w:rsidP="00F16E23">
            <w:pPr>
              <w:pStyle w:val="TableText"/>
              <w:spacing w:before="40" w:after="30"/>
              <w:jc w:val="right"/>
              <w:rPr>
                <w:szCs w:val="16"/>
              </w:rPr>
            </w:pPr>
            <w:r w:rsidRPr="006623B9">
              <w:rPr>
                <w:rFonts w:eastAsia="Calibri"/>
                <w:szCs w:val="16"/>
              </w:rPr>
              <w:t>12.4</w:t>
            </w:r>
          </w:p>
        </w:tc>
        <w:tc>
          <w:tcPr>
            <w:tcW w:w="0" w:type="auto"/>
            <w:shd w:val="clear" w:color="auto" w:fill="FFFFFF"/>
            <w:tcMar>
              <w:top w:w="0" w:type="dxa"/>
              <w:left w:w="85" w:type="dxa"/>
              <w:bottom w:w="0" w:type="dxa"/>
              <w:right w:w="85" w:type="dxa"/>
            </w:tcMar>
            <w:vAlign w:val="center"/>
          </w:tcPr>
          <w:p w14:paraId="099D8CA6" w14:textId="77777777" w:rsidR="00EB5913" w:rsidRPr="006623B9" w:rsidRDefault="00EB5913" w:rsidP="00F16E23">
            <w:pPr>
              <w:pStyle w:val="TableText"/>
              <w:spacing w:before="40" w:after="30"/>
              <w:jc w:val="right"/>
              <w:rPr>
                <w:szCs w:val="16"/>
              </w:rPr>
            </w:pPr>
            <w:r w:rsidRPr="006623B9">
              <w:rPr>
                <w:rFonts w:eastAsia="Calibri"/>
                <w:szCs w:val="16"/>
              </w:rPr>
              <w:t>158.1</w:t>
            </w:r>
          </w:p>
        </w:tc>
      </w:tr>
      <w:tr w:rsidR="00EB5913" w:rsidRPr="006623B9" w14:paraId="3C793B77" w14:textId="77777777" w:rsidTr="00F16E23">
        <w:tc>
          <w:tcPr>
            <w:tcW w:w="0" w:type="auto"/>
            <w:shd w:val="clear" w:color="auto" w:fill="FFFFFF"/>
            <w:tcMar>
              <w:top w:w="0" w:type="dxa"/>
              <w:left w:w="85" w:type="dxa"/>
              <w:bottom w:w="0" w:type="dxa"/>
              <w:right w:w="85" w:type="dxa"/>
            </w:tcMar>
            <w:vAlign w:val="center"/>
          </w:tcPr>
          <w:p w14:paraId="5E95079A" w14:textId="77777777" w:rsidR="00EB5913" w:rsidRPr="006623B9" w:rsidRDefault="00EB5913" w:rsidP="00F16E23">
            <w:pPr>
              <w:pStyle w:val="Tableboldblue"/>
              <w:spacing w:before="40" w:after="30"/>
              <w:rPr>
                <w:szCs w:val="16"/>
              </w:rPr>
            </w:pPr>
            <w:r w:rsidRPr="006623B9">
              <w:rPr>
                <w:rFonts w:eastAsia="Calibri"/>
                <w:szCs w:val="16"/>
              </w:rPr>
              <w:t>1997</w:t>
            </w:r>
          </w:p>
        </w:tc>
        <w:tc>
          <w:tcPr>
            <w:tcW w:w="0" w:type="auto"/>
            <w:shd w:val="clear" w:color="auto" w:fill="FFFFFF"/>
            <w:tcMar>
              <w:top w:w="0" w:type="dxa"/>
              <w:left w:w="85" w:type="dxa"/>
              <w:bottom w:w="0" w:type="dxa"/>
              <w:right w:w="85" w:type="dxa"/>
            </w:tcMar>
            <w:vAlign w:val="center"/>
          </w:tcPr>
          <w:p w14:paraId="165176B0" w14:textId="77777777" w:rsidR="00EB5913" w:rsidRPr="006623B9" w:rsidRDefault="00EB5913" w:rsidP="00F16E23">
            <w:pPr>
              <w:pStyle w:val="TableText"/>
              <w:spacing w:before="40" w:after="30"/>
              <w:jc w:val="right"/>
              <w:rPr>
                <w:szCs w:val="16"/>
              </w:rPr>
            </w:pPr>
            <w:r w:rsidRPr="006623B9">
              <w:rPr>
                <w:rFonts w:eastAsia="Calibri"/>
                <w:szCs w:val="16"/>
              </w:rPr>
              <w:t>66.5</w:t>
            </w:r>
          </w:p>
        </w:tc>
        <w:tc>
          <w:tcPr>
            <w:tcW w:w="0" w:type="auto"/>
            <w:shd w:val="clear" w:color="auto" w:fill="FFFFFF"/>
            <w:tcMar>
              <w:top w:w="0" w:type="dxa"/>
              <w:left w:w="85" w:type="dxa"/>
              <w:bottom w:w="0" w:type="dxa"/>
              <w:right w:w="85" w:type="dxa"/>
            </w:tcMar>
            <w:vAlign w:val="center"/>
          </w:tcPr>
          <w:p w14:paraId="4E430C50" w14:textId="77777777" w:rsidR="00EB5913" w:rsidRPr="006623B9" w:rsidRDefault="00EB5913" w:rsidP="00F16E23">
            <w:pPr>
              <w:pStyle w:val="TableText"/>
              <w:spacing w:before="40" w:after="30"/>
              <w:jc w:val="right"/>
              <w:rPr>
                <w:szCs w:val="16"/>
              </w:rPr>
            </w:pPr>
            <w:r w:rsidRPr="006623B9">
              <w:rPr>
                <w:rFonts w:eastAsia="Calibri"/>
                <w:szCs w:val="16"/>
              </w:rPr>
              <w:t>82.7</w:t>
            </w:r>
          </w:p>
        </w:tc>
        <w:tc>
          <w:tcPr>
            <w:tcW w:w="0" w:type="auto"/>
            <w:shd w:val="clear" w:color="auto" w:fill="FFFFFF"/>
            <w:tcMar>
              <w:top w:w="0" w:type="dxa"/>
              <w:left w:w="85" w:type="dxa"/>
              <w:bottom w:w="0" w:type="dxa"/>
              <w:right w:w="85" w:type="dxa"/>
            </w:tcMar>
            <w:vAlign w:val="center"/>
          </w:tcPr>
          <w:p w14:paraId="7D3C32C0" w14:textId="77777777" w:rsidR="00EB5913" w:rsidRPr="006623B9" w:rsidRDefault="00EB5913" w:rsidP="00F16E23">
            <w:pPr>
              <w:pStyle w:val="TableText"/>
              <w:spacing w:before="40" w:after="30"/>
              <w:jc w:val="right"/>
              <w:rPr>
                <w:szCs w:val="16"/>
              </w:rPr>
            </w:pPr>
            <w:r w:rsidRPr="006623B9">
              <w:rPr>
                <w:rFonts w:eastAsia="Calibri"/>
                <w:szCs w:val="16"/>
              </w:rPr>
              <w:t>10.7</w:t>
            </w:r>
          </w:p>
        </w:tc>
        <w:tc>
          <w:tcPr>
            <w:tcW w:w="0" w:type="auto"/>
            <w:shd w:val="clear" w:color="auto" w:fill="FFFFFF"/>
            <w:tcMar>
              <w:top w:w="0" w:type="dxa"/>
              <w:left w:w="85" w:type="dxa"/>
              <w:bottom w:w="0" w:type="dxa"/>
              <w:right w:w="85" w:type="dxa"/>
            </w:tcMar>
            <w:vAlign w:val="center"/>
          </w:tcPr>
          <w:p w14:paraId="0973D9DA" w14:textId="77777777" w:rsidR="00EB5913" w:rsidRPr="006623B9" w:rsidRDefault="00EB5913" w:rsidP="00F16E23">
            <w:pPr>
              <w:pStyle w:val="TableText"/>
              <w:spacing w:before="40" w:after="30"/>
              <w:jc w:val="right"/>
              <w:rPr>
                <w:szCs w:val="16"/>
              </w:rPr>
            </w:pPr>
            <w:r w:rsidRPr="006623B9">
              <w:rPr>
                <w:rFonts w:eastAsia="Calibri"/>
                <w:szCs w:val="16"/>
              </w:rPr>
              <w:t>159.9</w:t>
            </w:r>
          </w:p>
        </w:tc>
      </w:tr>
      <w:tr w:rsidR="00EB5913" w:rsidRPr="006623B9" w14:paraId="79E15C66" w14:textId="77777777" w:rsidTr="00F16E23">
        <w:tc>
          <w:tcPr>
            <w:tcW w:w="0" w:type="auto"/>
            <w:shd w:val="clear" w:color="auto" w:fill="FFFFFF"/>
            <w:tcMar>
              <w:top w:w="0" w:type="dxa"/>
              <w:left w:w="85" w:type="dxa"/>
              <w:bottom w:w="0" w:type="dxa"/>
              <w:right w:w="85" w:type="dxa"/>
            </w:tcMar>
            <w:vAlign w:val="center"/>
          </w:tcPr>
          <w:p w14:paraId="11EB11B6" w14:textId="77777777" w:rsidR="00EB5913" w:rsidRPr="006623B9" w:rsidRDefault="00EB5913" w:rsidP="00F16E23">
            <w:pPr>
              <w:pStyle w:val="Tableboldblue"/>
              <w:spacing w:before="40" w:after="30"/>
              <w:rPr>
                <w:szCs w:val="16"/>
              </w:rPr>
            </w:pPr>
            <w:r w:rsidRPr="006623B9">
              <w:rPr>
                <w:rFonts w:eastAsia="Calibri"/>
                <w:szCs w:val="16"/>
              </w:rPr>
              <w:t>1998</w:t>
            </w:r>
          </w:p>
        </w:tc>
        <w:tc>
          <w:tcPr>
            <w:tcW w:w="0" w:type="auto"/>
            <w:shd w:val="clear" w:color="auto" w:fill="FFFFFF"/>
            <w:tcMar>
              <w:top w:w="0" w:type="dxa"/>
              <w:left w:w="85" w:type="dxa"/>
              <w:bottom w:w="0" w:type="dxa"/>
              <w:right w:w="85" w:type="dxa"/>
            </w:tcMar>
            <w:vAlign w:val="center"/>
          </w:tcPr>
          <w:p w14:paraId="02131F8E" w14:textId="77777777" w:rsidR="00EB5913" w:rsidRPr="006623B9" w:rsidRDefault="00EB5913" w:rsidP="00F16E23">
            <w:pPr>
              <w:pStyle w:val="TableText"/>
              <w:spacing w:before="40" w:after="30"/>
              <w:jc w:val="right"/>
              <w:rPr>
                <w:szCs w:val="16"/>
              </w:rPr>
            </w:pPr>
            <w:r w:rsidRPr="006623B9">
              <w:rPr>
                <w:rFonts w:eastAsia="Calibri"/>
                <w:szCs w:val="16"/>
              </w:rPr>
              <w:t>68.5</w:t>
            </w:r>
          </w:p>
        </w:tc>
        <w:tc>
          <w:tcPr>
            <w:tcW w:w="0" w:type="auto"/>
            <w:shd w:val="clear" w:color="auto" w:fill="FFFFFF"/>
            <w:tcMar>
              <w:top w:w="0" w:type="dxa"/>
              <w:left w:w="85" w:type="dxa"/>
              <w:bottom w:w="0" w:type="dxa"/>
              <w:right w:w="85" w:type="dxa"/>
            </w:tcMar>
            <w:vAlign w:val="center"/>
          </w:tcPr>
          <w:p w14:paraId="32AE330C" w14:textId="77777777" w:rsidR="00EB5913" w:rsidRPr="006623B9" w:rsidRDefault="00EB5913" w:rsidP="00F16E23">
            <w:pPr>
              <w:pStyle w:val="TableText"/>
              <w:spacing w:before="40" w:after="30"/>
              <w:jc w:val="right"/>
              <w:rPr>
                <w:szCs w:val="16"/>
              </w:rPr>
            </w:pPr>
            <w:r w:rsidRPr="006623B9">
              <w:rPr>
                <w:rFonts w:eastAsia="Calibri"/>
                <w:szCs w:val="16"/>
              </w:rPr>
              <w:t>81.1</w:t>
            </w:r>
          </w:p>
        </w:tc>
        <w:tc>
          <w:tcPr>
            <w:tcW w:w="0" w:type="auto"/>
            <w:shd w:val="clear" w:color="auto" w:fill="FFFFFF"/>
            <w:tcMar>
              <w:top w:w="0" w:type="dxa"/>
              <w:left w:w="85" w:type="dxa"/>
              <w:bottom w:w="0" w:type="dxa"/>
              <w:right w:w="85" w:type="dxa"/>
            </w:tcMar>
            <w:vAlign w:val="center"/>
          </w:tcPr>
          <w:p w14:paraId="5FE9307F" w14:textId="77777777" w:rsidR="00EB5913" w:rsidRPr="006623B9" w:rsidRDefault="00EB5913" w:rsidP="00F16E23">
            <w:pPr>
              <w:pStyle w:val="TableText"/>
              <w:spacing w:before="40" w:after="30"/>
              <w:jc w:val="right"/>
              <w:rPr>
                <w:szCs w:val="16"/>
              </w:rPr>
            </w:pPr>
            <w:r w:rsidRPr="006623B9">
              <w:rPr>
                <w:rFonts w:eastAsia="Calibri"/>
                <w:szCs w:val="16"/>
              </w:rPr>
              <w:t>9.4</w:t>
            </w:r>
          </w:p>
        </w:tc>
        <w:tc>
          <w:tcPr>
            <w:tcW w:w="0" w:type="auto"/>
            <w:shd w:val="clear" w:color="auto" w:fill="FFFFFF"/>
            <w:tcMar>
              <w:top w:w="0" w:type="dxa"/>
              <w:left w:w="85" w:type="dxa"/>
              <w:bottom w:w="0" w:type="dxa"/>
              <w:right w:w="85" w:type="dxa"/>
            </w:tcMar>
            <w:vAlign w:val="center"/>
          </w:tcPr>
          <w:p w14:paraId="0FF66084" w14:textId="77777777" w:rsidR="00EB5913" w:rsidRPr="006623B9" w:rsidRDefault="00EB5913" w:rsidP="00F16E23">
            <w:pPr>
              <w:pStyle w:val="TableText"/>
              <w:spacing w:before="40" w:after="30"/>
              <w:jc w:val="right"/>
              <w:rPr>
                <w:szCs w:val="16"/>
              </w:rPr>
            </w:pPr>
            <w:r w:rsidRPr="006623B9">
              <w:rPr>
                <w:rFonts w:eastAsia="Calibri"/>
                <w:szCs w:val="16"/>
              </w:rPr>
              <w:t>159.0</w:t>
            </w:r>
          </w:p>
        </w:tc>
      </w:tr>
      <w:tr w:rsidR="00EB5913" w:rsidRPr="006623B9" w14:paraId="1BF5CF3D" w14:textId="77777777" w:rsidTr="00F16E23">
        <w:tc>
          <w:tcPr>
            <w:tcW w:w="0" w:type="auto"/>
            <w:shd w:val="clear" w:color="auto" w:fill="FFFFFF"/>
            <w:tcMar>
              <w:top w:w="0" w:type="dxa"/>
              <w:left w:w="85" w:type="dxa"/>
              <w:bottom w:w="0" w:type="dxa"/>
              <w:right w:w="85" w:type="dxa"/>
            </w:tcMar>
            <w:vAlign w:val="center"/>
          </w:tcPr>
          <w:p w14:paraId="55A2BAF3" w14:textId="77777777" w:rsidR="00EB5913" w:rsidRPr="006623B9" w:rsidRDefault="00EB5913" w:rsidP="00F16E23">
            <w:pPr>
              <w:pStyle w:val="Tableboldblue"/>
              <w:spacing w:before="40" w:after="30"/>
              <w:rPr>
                <w:szCs w:val="16"/>
              </w:rPr>
            </w:pPr>
            <w:r w:rsidRPr="006623B9">
              <w:rPr>
                <w:rFonts w:eastAsia="Calibri"/>
                <w:szCs w:val="16"/>
              </w:rPr>
              <w:t>1999</w:t>
            </w:r>
          </w:p>
        </w:tc>
        <w:tc>
          <w:tcPr>
            <w:tcW w:w="0" w:type="auto"/>
            <w:shd w:val="clear" w:color="auto" w:fill="FFFFFF"/>
            <w:tcMar>
              <w:top w:w="0" w:type="dxa"/>
              <w:left w:w="85" w:type="dxa"/>
              <w:bottom w:w="0" w:type="dxa"/>
              <w:right w:w="85" w:type="dxa"/>
            </w:tcMar>
            <w:vAlign w:val="center"/>
          </w:tcPr>
          <w:p w14:paraId="5EEAECE5" w14:textId="77777777" w:rsidR="00EB5913" w:rsidRPr="006623B9" w:rsidRDefault="00EB5913" w:rsidP="00F16E23">
            <w:pPr>
              <w:pStyle w:val="TableText"/>
              <w:spacing w:before="40" w:after="30"/>
              <w:jc w:val="right"/>
              <w:rPr>
                <w:szCs w:val="16"/>
              </w:rPr>
            </w:pPr>
            <w:r w:rsidRPr="006623B9">
              <w:rPr>
                <w:rFonts w:eastAsia="Calibri"/>
                <w:szCs w:val="16"/>
              </w:rPr>
              <w:t>61.4</w:t>
            </w:r>
          </w:p>
        </w:tc>
        <w:tc>
          <w:tcPr>
            <w:tcW w:w="0" w:type="auto"/>
            <w:shd w:val="clear" w:color="auto" w:fill="FFFFFF"/>
            <w:tcMar>
              <w:top w:w="0" w:type="dxa"/>
              <w:left w:w="85" w:type="dxa"/>
              <w:bottom w:w="0" w:type="dxa"/>
              <w:right w:w="85" w:type="dxa"/>
            </w:tcMar>
            <w:vAlign w:val="center"/>
          </w:tcPr>
          <w:p w14:paraId="758EE741" w14:textId="77777777" w:rsidR="00EB5913" w:rsidRPr="006623B9" w:rsidRDefault="00EB5913" w:rsidP="00F16E23">
            <w:pPr>
              <w:pStyle w:val="TableText"/>
              <w:spacing w:before="40" w:after="30"/>
              <w:jc w:val="right"/>
              <w:rPr>
                <w:szCs w:val="16"/>
              </w:rPr>
            </w:pPr>
            <w:r w:rsidRPr="006623B9">
              <w:rPr>
                <w:rFonts w:eastAsia="Calibri"/>
                <w:szCs w:val="16"/>
              </w:rPr>
              <w:t>81.9</w:t>
            </w:r>
          </w:p>
        </w:tc>
        <w:tc>
          <w:tcPr>
            <w:tcW w:w="0" w:type="auto"/>
            <w:shd w:val="clear" w:color="auto" w:fill="FFFFFF"/>
            <w:tcMar>
              <w:top w:w="0" w:type="dxa"/>
              <w:left w:w="85" w:type="dxa"/>
              <w:bottom w:w="0" w:type="dxa"/>
              <w:right w:w="85" w:type="dxa"/>
            </w:tcMar>
            <w:vAlign w:val="center"/>
          </w:tcPr>
          <w:p w14:paraId="064A8F32" w14:textId="77777777" w:rsidR="00EB5913" w:rsidRPr="006623B9" w:rsidRDefault="00EB5913" w:rsidP="00F16E23">
            <w:pPr>
              <w:pStyle w:val="TableText"/>
              <w:spacing w:before="40" w:after="30"/>
              <w:jc w:val="right"/>
              <w:rPr>
                <w:szCs w:val="16"/>
              </w:rPr>
            </w:pPr>
            <w:r w:rsidRPr="006623B9">
              <w:rPr>
                <w:rFonts w:eastAsia="Calibri"/>
                <w:szCs w:val="16"/>
              </w:rPr>
              <w:t>8.0</w:t>
            </w:r>
          </w:p>
        </w:tc>
        <w:tc>
          <w:tcPr>
            <w:tcW w:w="0" w:type="auto"/>
            <w:shd w:val="clear" w:color="auto" w:fill="FFFFFF"/>
            <w:tcMar>
              <w:top w:w="0" w:type="dxa"/>
              <w:left w:w="85" w:type="dxa"/>
              <w:bottom w:w="0" w:type="dxa"/>
              <w:right w:w="85" w:type="dxa"/>
            </w:tcMar>
            <w:vAlign w:val="center"/>
          </w:tcPr>
          <w:p w14:paraId="756417E6" w14:textId="77777777" w:rsidR="00EB5913" w:rsidRPr="006623B9" w:rsidRDefault="00EB5913" w:rsidP="00F16E23">
            <w:pPr>
              <w:pStyle w:val="TableText"/>
              <w:spacing w:before="40" w:after="30"/>
              <w:jc w:val="right"/>
              <w:rPr>
                <w:szCs w:val="16"/>
              </w:rPr>
            </w:pPr>
            <w:r w:rsidRPr="006623B9">
              <w:rPr>
                <w:rFonts w:eastAsia="Calibri"/>
                <w:szCs w:val="16"/>
              </w:rPr>
              <w:t>151.3</w:t>
            </w:r>
          </w:p>
        </w:tc>
      </w:tr>
      <w:tr w:rsidR="00EB5913" w:rsidRPr="006623B9" w14:paraId="200CF5EF" w14:textId="77777777" w:rsidTr="00F16E23">
        <w:tc>
          <w:tcPr>
            <w:tcW w:w="0" w:type="auto"/>
            <w:shd w:val="clear" w:color="auto" w:fill="FFFFFF"/>
            <w:tcMar>
              <w:top w:w="0" w:type="dxa"/>
              <w:left w:w="85" w:type="dxa"/>
              <w:bottom w:w="0" w:type="dxa"/>
              <w:right w:w="85" w:type="dxa"/>
            </w:tcMar>
            <w:vAlign w:val="center"/>
          </w:tcPr>
          <w:p w14:paraId="401C143A" w14:textId="77777777" w:rsidR="00EB5913" w:rsidRPr="006623B9" w:rsidRDefault="00EB5913" w:rsidP="00F16E23">
            <w:pPr>
              <w:pStyle w:val="Tableboldblue"/>
              <w:spacing w:before="40" w:after="30"/>
              <w:rPr>
                <w:szCs w:val="16"/>
              </w:rPr>
            </w:pPr>
            <w:r w:rsidRPr="006623B9">
              <w:rPr>
                <w:rFonts w:eastAsia="Calibri"/>
                <w:szCs w:val="16"/>
              </w:rPr>
              <w:t>2000</w:t>
            </w:r>
          </w:p>
        </w:tc>
        <w:tc>
          <w:tcPr>
            <w:tcW w:w="0" w:type="auto"/>
            <w:shd w:val="clear" w:color="auto" w:fill="FFFFFF"/>
            <w:tcMar>
              <w:top w:w="0" w:type="dxa"/>
              <w:left w:w="85" w:type="dxa"/>
              <w:bottom w:w="0" w:type="dxa"/>
              <w:right w:w="85" w:type="dxa"/>
            </w:tcMar>
            <w:vAlign w:val="center"/>
          </w:tcPr>
          <w:p w14:paraId="1040D056" w14:textId="77777777" w:rsidR="00EB5913" w:rsidRPr="006623B9" w:rsidRDefault="00EB5913" w:rsidP="00F16E23">
            <w:pPr>
              <w:pStyle w:val="TableText"/>
              <w:spacing w:before="40" w:after="30"/>
              <w:jc w:val="right"/>
              <w:rPr>
                <w:szCs w:val="16"/>
              </w:rPr>
            </w:pPr>
            <w:r w:rsidRPr="006623B9">
              <w:rPr>
                <w:rFonts w:eastAsia="Calibri"/>
                <w:szCs w:val="16"/>
              </w:rPr>
              <w:t>66.0</w:t>
            </w:r>
          </w:p>
        </w:tc>
        <w:tc>
          <w:tcPr>
            <w:tcW w:w="0" w:type="auto"/>
            <w:shd w:val="clear" w:color="auto" w:fill="FFFFFF"/>
            <w:tcMar>
              <w:top w:w="0" w:type="dxa"/>
              <w:left w:w="85" w:type="dxa"/>
              <w:bottom w:w="0" w:type="dxa"/>
              <w:right w:w="85" w:type="dxa"/>
            </w:tcMar>
            <w:vAlign w:val="center"/>
          </w:tcPr>
          <w:p w14:paraId="21852FDD" w14:textId="77777777" w:rsidR="00EB5913" w:rsidRPr="006623B9" w:rsidRDefault="00EB5913" w:rsidP="00F16E23">
            <w:pPr>
              <w:pStyle w:val="TableText"/>
              <w:spacing w:before="40" w:after="30"/>
              <w:jc w:val="right"/>
              <w:rPr>
                <w:szCs w:val="16"/>
              </w:rPr>
            </w:pPr>
            <w:r w:rsidRPr="006623B9">
              <w:rPr>
                <w:rFonts w:eastAsia="Calibri"/>
                <w:szCs w:val="16"/>
              </w:rPr>
              <w:t>89.4</w:t>
            </w:r>
          </w:p>
        </w:tc>
        <w:tc>
          <w:tcPr>
            <w:tcW w:w="0" w:type="auto"/>
            <w:shd w:val="clear" w:color="auto" w:fill="FFFFFF"/>
            <w:tcMar>
              <w:top w:w="0" w:type="dxa"/>
              <w:left w:w="85" w:type="dxa"/>
              <w:bottom w:w="0" w:type="dxa"/>
              <w:right w:w="85" w:type="dxa"/>
            </w:tcMar>
            <w:vAlign w:val="center"/>
          </w:tcPr>
          <w:p w14:paraId="0D89E2BE" w14:textId="77777777" w:rsidR="00EB5913" w:rsidRPr="006623B9" w:rsidRDefault="00EB5913" w:rsidP="00F16E23">
            <w:pPr>
              <w:pStyle w:val="TableText"/>
              <w:spacing w:before="40" w:after="30"/>
              <w:jc w:val="right"/>
              <w:rPr>
                <w:szCs w:val="16"/>
              </w:rPr>
            </w:pPr>
            <w:r w:rsidRPr="006623B9">
              <w:rPr>
                <w:rFonts w:eastAsia="Calibri"/>
                <w:szCs w:val="16"/>
              </w:rPr>
              <w:t>6.5</w:t>
            </w:r>
          </w:p>
        </w:tc>
        <w:tc>
          <w:tcPr>
            <w:tcW w:w="0" w:type="auto"/>
            <w:shd w:val="clear" w:color="auto" w:fill="FFFFFF"/>
            <w:tcMar>
              <w:top w:w="0" w:type="dxa"/>
              <w:left w:w="85" w:type="dxa"/>
              <w:bottom w:w="0" w:type="dxa"/>
              <w:right w:w="85" w:type="dxa"/>
            </w:tcMar>
            <w:vAlign w:val="center"/>
          </w:tcPr>
          <w:p w14:paraId="7DCC4200" w14:textId="77777777" w:rsidR="00EB5913" w:rsidRPr="006623B9" w:rsidRDefault="00EB5913" w:rsidP="00F16E23">
            <w:pPr>
              <w:pStyle w:val="TableText"/>
              <w:spacing w:before="40" w:after="30"/>
              <w:jc w:val="right"/>
              <w:rPr>
                <w:szCs w:val="16"/>
              </w:rPr>
            </w:pPr>
            <w:r w:rsidRPr="006623B9">
              <w:rPr>
                <w:rFonts w:eastAsia="Calibri"/>
                <w:szCs w:val="16"/>
              </w:rPr>
              <w:t>161.9</w:t>
            </w:r>
          </w:p>
        </w:tc>
      </w:tr>
      <w:tr w:rsidR="00EB5913" w:rsidRPr="006623B9" w14:paraId="6E937454" w14:textId="77777777" w:rsidTr="00F16E23">
        <w:tc>
          <w:tcPr>
            <w:tcW w:w="0" w:type="auto"/>
            <w:shd w:val="clear" w:color="auto" w:fill="FFFFFF"/>
            <w:tcMar>
              <w:top w:w="0" w:type="dxa"/>
              <w:left w:w="85" w:type="dxa"/>
              <w:bottom w:w="0" w:type="dxa"/>
              <w:right w:w="85" w:type="dxa"/>
            </w:tcMar>
            <w:vAlign w:val="center"/>
          </w:tcPr>
          <w:p w14:paraId="2C439616" w14:textId="77777777" w:rsidR="00EB5913" w:rsidRPr="006623B9" w:rsidRDefault="00EB5913" w:rsidP="00F16E23">
            <w:pPr>
              <w:pStyle w:val="Tableboldblue"/>
              <w:spacing w:before="40" w:after="30"/>
              <w:rPr>
                <w:szCs w:val="16"/>
              </w:rPr>
            </w:pPr>
            <w:r w:rsidRPr="006623B9">
              <w:rPr>
                <w:rFonts w:eastAsia="Calibri"/>
                <w:szCs w:val="16"/>
              </w:rPr>
              <w:t>2001</w:t>
            </w:r>
          </w:p>
        </w:tc>
        <w:tc>
          <w:tcPr>
            <w:tcW w:w="0" w:type="auto"/>
            <w:shd w:val="clear" w:color="auto" w:fill="FFFFFF"/>
            <w:tcMar>
              <w:top w:w="0" w:type="dxa"/>
              <w:left w:w="85" w:type="dxa"/>
              <w:bottom w:w="0" w:type="dxa"/>
              <w:right w:w="85" w:type="dxa"/>
            </w:tcMar>
            <w:vAlign w:val="center"/>
          </w:tcPr>
          <w:p w14:paraId="37E18FAD" w14:textId="77777777" w:rsidR="00EB5913" w:rsidRPr="006623B9" w:rsidRDefault="00EB5913" w:rsidP="00F16E23">
            <w:pPr>
              <w:pStyle w:val="TableText"/>
              <w:spacing w:before="40" w:after="30"/>
              <w:jc w:val="right"/>
              <w:rPr>
                <w:szCs w:val="16"/>
              </w:rPr>
            </w:pPr>
            <w:r w:rsidRPr="006623B9">
              <w:rPr>
                <w:rFonts w:eastAsia="Calibri"/>
                <w:szCs w:val="16"/>
              </w:rPr>
              <w:t>67.7</w:t>
            </w:r>
          </w:p>
        </w:tc>
        <w:tc>
          <w:tcPr>
            <w:tcW w:w="0" w:type="auto"/>
            <w:shd w:val="clear" w:color="auto" w:fill="FFFFFF"/>
            <w:tcMar>
              <w:top w:w="0" w:type="dxa"/>
              <w:left w:w="85" w:type="dxa"/>
              <w:bottom w:w="0" w:type="dxa"/>
              <w:right w:w="85" w:type="dxa"/>
            </w:tcMar>
            <w:vAlign w:val="center"/>
          </w:tcPr>
          <w:p w14:paraId="6351B6D6" w14:textId="77777777" w:rsidR="00EB5913" w:rsidRPr="006623B9" w:rsidRDefault="00EB5913" w:rsidP="00F16E23">
            <w:pPr>
              <w:pStyle w:val="TableText"/>
              <w:spacing w:before="40" w:after="30"/>
              <w:jc w:val="right"/>
              <w:rPr>
                <w:szCs w:val="16"/>
              </w:rPr>
            </w:pPr>
            <w:r w:rsidRPr="006623B9">
              <w:rPr>
                <w:rFonts w:eastAsia="Calibri"/>
                <w:szCs w:val="16"/>
              </w:rPr>
              <w:t>84.2</w:t>
            </w:r>
          </w:p>
        </w:tc>
        <w:tc>
          <w:tcPr>
            <w:tcW w:w="0" w:type="auto"/>
            <w:shd w:val="clear" w:color="auto" w:fill="FFFFFF"/>
            <w:tcMar>
              <w:top w:w="0" w:type="dxa"/>
              <w:left w:w="85" w:type="dxa"/>
              <w:bottom w:w="0" w:type="dxa"/>
              <w:right w:w="85" w:type="dxa"/>
            </w:tcMar>
            <w:vAlign w:val="center"/>
          </w:tcPr>
          <w:p w14:paraId="50E02B86" w14:textId="77777777" w:rsidR="00EB5913" w:rsidRPr="006623B9" w:rsidRDefault="00EB5913" w:rsidP="00F16E23">
            <w:pPr>
              <w:pStyle w:val="TableText"/>
              <w:spacing w:before="40" w:after="30"/>
              <w:jc w:val="right"/>
              <w:rPr>
                <w:szCs w:val="16"/>
              </w:rPr>
            </w:pPr>
            <w:r w:rsidRPr="006623B9">
              <w:rPr>
                <w:rFonts w:eastAsia="Calibri"/>
                <w:szCs w:val="16"/>
              </w:rPr>
              <w:t>4.9</w:t>
            </w:r>
          </w:p>
        </w:tc>
        <w:tc>
          <w:tcPr>
            <w:tcW w:w="0" w:type="auto"/>
            <w:shd w:val="clear" w:color="auto" w:fill="FFFFFF"/>
            <w:tcMar>
              <w:top w:w="0" w:type="dxa"/>
              <w:left w:w="85" w:type="dxa"/>
              <w:bottom w:w="0" w:type="dxa"/>
              <w:right w:w="85" w:type="dxa"/>
            </w:tcMar>
            <w:vAlign w:val="center"/>
          </w:tcPr>
          <w:p w14:paraId="42F29037" w14:textId="77777777" w:rsidR="00EB5913" w:rsidRPr="006623B9" w:rsidRDefault="00EB5913" w:rsidP="00F16E23">
            <w:pPr>
              <w:pStyle w:val="TableText"/>
              <w:spacing w:before="40" w:after="30"/>
              <w:jc w:val="right"/>
              <w:rPr>
                <w:szCs w:val="16"/>
              </w:rPr>
            </w:pPr>
            <w:r w:rsidRPr="006623B9">
              <w:rPr>
                <w:rFonts w:eastAsia="Calibri"/>
                <w:szCs w:val="16"/>
              </w:rPr>
              <w:t>156.8</w:t>
            </w:r>
          </w:p>
        </w:tc>
      </w:tr>
      <w:tr w:rsidR="00EB5913" w:rsidRPr="006623B9" w14:paraId="55D6FCEA" w14:textId="77777777" w:rsidTr="00F16E23">
        <w:tc>
          <w:tcPr>
            <w:tcW w:w="0" w:type="auto"/>
            <w:shd w:val="clear" w:color="auto" w:fill="FFFFFF"/>
            <w:tcMar>
              <w:top w:w="0" w:type="dxa"/>
              <w:left w:w="85" w:type="dxa"/>
              <w:bottom w:w="0" w:type="dxa"/>
              <w:right w:w="85" w:type="dxa"/>
            </w:tcMar>
            <w:vAlign w:val="center"/>
          </w:tcPr>
          <w:p w14:paraId="29E2BF5D" w14:textId="77777777" w:rsidR="00EB5913" w:rsidRPr="006623B9" w:rsidRDefault="00EB5913" w:rsidP="00F16E23">
            <w:pPr>
              <w:pStyle w:val="Tableboldblue"/>
              <w:spacing w:before="40" w:after="30"/>
              <w:rPr>
                <w:szCs w:val="16"/>
              </w:rPr>
            </w:pPr>
            <w:r w:rsidRPr="006623B9">
              <w:rPr>
                <w:rFonts w:eastAsia="Calibri"/>
                <w:szCs w:val="16"/>
              </w:rPr>
              <w:t>2002</w:t>
            </w:r>
          </w:p>
        </w:tc>
        <w:tc>
          <w:tcPr>
            <w:tcW w:w="0" w:type="auto"/>
            <w:shd w:val="clear" w:color="auto" w:fill="FFFFFF"/>
            <w:tcMar>
              <w:top w:w="0" w:type="dxa"/>
              <w:left w:w="85" w:type="dxa"/>
              <w:bottom w:w="0" w:type="dxa"/>
              <w:right w:w="85" w:type="dxa"/>
            </w:tcMar>
            <w:vAlign w:val="center"/>
          </w:tcPr>
          <w:p w14:paraId="7AD42E92" w14:textId="77777777" w:rsidR="00EB5913" w:rsidRPr="006623B9" w:rsidRDefault="00EB5913" w:rsidP="00F16E23">
            <w:pPr>
              <w:pStyle w:val="TableText"/>
              <w:spacing w:before="40" w:after="30"/>
              <w:jc w:val="right"/>
              <w:rPr>
                <w:szCs w:val="16"/>
              </w:rPr>
            </w:pPr>
            <w:r w:rsidRPr="006623B9">
              <w:rPr>
                <w:rFonts w:eastAsia="Calibri"/>
                <w:szCs w:val="16"/>
              </w:rPr>
              <w:t>64.9</w:t>
            </w:r>
          </w:p>
        </w:tc>
        <w:tc>
          <w:tcPr>
            <w:tcW w:w="0" w:type="auto"/>
            <w:shd w:val="clear" w:color="auto" w:fill="FFFFFF"/>
            <w:tcMar>
              <w:top w:w="0" w:type="dxa"/>
              <w:left w:w="85" w:type="dxa"/>
              <w:bottom w:w="0" w:type="dxa"/>
              <w:right w:w="85" w:type="dxa"/>
            </w:tcMar>
            <w:vAlign w:val="center"/>
          </w:tcPr>
          <w:p w14:paraId="390B846F" w14:textId="77777777" w:rsidR="00EB5913" w:rsidRPr="006623B9" w:rsidRDefault="00EB5913" w:rsidP="00F16E23">
            <w:pPr>
              <w:pStyle w:val="TableText"/>
              <w:spacing w:before="40" w:after="30"/>
              <w:jc w:val="right"/>
              <w:rPr>
                <w:szCs w:val="16"/>
              </w:rPr>
            </w:pPr>
            <w:r w:rsidRPr="006623B9">
              <w:rPr>
                <w:rFonts w:eastAsia="Calibri"/>
                <w:szCs w:val="16"/>
              </w:rPr>
              <w:t>87.1</w:t>
            </w:r>
          </w:p>
        </w:tc>
        <w:tc>
          <w:tcPr>
            <w:tcW w:w="0" w:type="auto"/>
            <w:shd w:val="clear" w:color="auto" w:fill="FFFFFF"/>
            <w:tcMar>
              <w:top w:w="0" w:type="dxa"/>
              <w:left w:w="85" w:type="dxa"/>
              <w:bottom w:w="0" w:type="dxa"/>
              <w:right w:w="85" w:type="dxa"/>
            </w:tcMar>
            <w:vAlign w:val="center"/>
          </w:tcPr>
          <w:p w14:paraId="09E477A9" w14:textId="77777777" w:rsidR="00EB5913" w:rsidRPr="006623B9" w:rsidRDefault="00EB5913" w:rsidP="00F16E23">
            <w:pPr>
              <w:pStyle w:val="TableText"/>
              <w:spacing w:before="40" w:after="30"/>
              <w:jc w:val="right"/>
              <w:rPr>
                <w:szCs w:val="16"/>
              </w:rPr>
            </w:pPr>
            <w:r w:rsidRPr="006623B9">
              <w:rPr>
                <w:rFonts w:eastAsia="Calibri"/>
                <w:szCs w:val="16"/>
              </w:rPr>
              <w:t>5.5</w:t>
            </w:r>
          </w:p>
        </w:tc>
        <w:tc>
          <w:tcPr>
            <w:tcW w:w="0" w:type="auto"/>
            <w:shd w:val="clear" w:color="auto" w:fill="FFFFFF"/>
            <w:tcMar>
              <w:top w:w="0" w:type="dxa"/>
              <w:left w:w="85" w:type="dxa"/>
              <w:bottom w:w="0" w:type="dxa"/>
              <w:right w:w="85" w:type="dxa"/>
            </w:tcMar>
            <w:vAlign w:val="center"/>
          </w:tcPr>
          <w:p w14:paraId="1CCF4000" w14:textId="77777777" w:rsidR="00EB5913" w:rsidRPr="006623B9" w:rsidRDefault="00EB5913" w:rsidP="00F16E23">
            <w:pPr>
              <w:pStyle w:val="TableText"/>
              <w:spacing w:before="40" w:after="30"/>
              <w:jc w:val="right"/>
              <w:rPr>
                <w:szCs w:val="16"/>
              </w:rPr>
            </w:pPr>
            <w:r w:rsidRPr="006623B9">
              <w:rPr>
                <w:rFonts w:eastAsia="Calibri"/>
                <w:szCs w:val="16"/>
              </w:rPr>
              <w:t>157.6</w:t>
            </w:r>
          </w:p>
        </w:tc>
      </w:tr>
      <w:tr w:rsidR="00EB5913" w:rsidRPr="006623B9" w14:paraId="7E3F627D" w14:textId="77777777" w:rsidTr="00F16E23">
        <w:tc>
          <w:tcPr>
            <w:tcW w:w="0" w:type="auto"/>
            <w:shd w:val="clear" w:color="auto" w:fill="FFFFFF"/>
            <w:tcMar>
              <w:top w:w="0" w:type="dxa"/>
              <w:left w:w="85" w:type="dxa"/>
              <w:bottom w:w="0" w:type="dxa"/>
              <w:right w:w="85" w:type="dxa"/>
            </w:tcMar>
            <w:vAlign w:val="center"/>
          </w:tcPr>
          <w:p w14:paraId="33B190B3" w14:textId="77777777" w:rsidR="00EB5913" w:rsidRPr="006623B9" w:rsidRDefault="00EB5913" w:rsidP="00F16E23">
            <w:pPr>
              <w:pStyle w:val="Tableboldblue"/>
              <w:spacing w:before="40" w:after="30"/>
              <w:rPr>
                <w:szCs w:val="16"/>
              </w:rPr>
            </w:pPr>
            <w:r w:rsidRPr="006623B9">
              <w:rPr>
                <w:rFonts w:eastAsia="Calibri"/>
                <w:szCs w:val="16"/>
              </w:rPr>
              <w:t>2003</w:t>
            </w:r>
          </w:p>
        </w:tc>
        <w:tc>
          <w:tcPr>
            <w:tcW w:w="0" w:type="auto"/>
            <w:shd w:val="clear" w:color="auto" w:fill="FFFFFF"/>
            <w:tcMar>
              <w:top w:w="0" w:type="dxa"/>
              <w:left w:w="85" w:type="dxa"/>
              <w:bottom w:w="0" w:type="dxa"/>
              <w:right w:w="85" w:type="dxa"/>
            </w:tcMar>
            <w:vAlign w:val="center"/>
          </w:tcPr>
          <w:p w14:paraId="3E08E7E3" w14:textId="77777777" w:rsidR="00EB5913" w:rsidRPr="006623B9" w:rsidRDefault="00EB5913" w:rsidP="00F16E23">
            <w:pPr>
              <w:pStyle w:val="TableText"/>
              <w:spacing w:before="40" w:after="30"/>
              <w:jc w:val="right"/>
              <w:rPr>
                <w:szCs w:val="16"/>
              </w:rPr>
            </w:pPr>
            <w:r w:rsidRPr="006623B9">
              <w:rPr>
                <w:rFonts w:eastAsia="Calibri"/>
                <w:szCs w:val="16"/>
              </w:rPr>
              <w:t>70.1</w:t>
            </w:r>
          </w:p>
        </w:tc>
        <w:tc>
          <w:tcPr>
            <w:tcW w:w="0" w:type="auto"/>
            <w:shd w:val="clear" w:color="auto" w:fill="FFFFFF"/>
            <w:tcMar>
              <w:top w:w="0" w:type="dxa"/>
              <w:left w:w="85" w:type="dxa"/>
              <w:bottom w:w="0" w:type="dxa"/>
              <w:right w:w="85" w:type="dxa"/>
            </w:tcMar>
            <w:vAlign w:val="center"/>
          </w:tcPr>
          <w:p w14:paraId="76B4C687" w14:textId="77777777" w:rsidR="00EB5913" w:rsidRPr="006623B9" w:rsidRDefault="00EB5913" w:rsidP="00F16E23">
            <w:pPr>
              <w:pStyle w:val="TableText"/>
              <w:spacing w:before="40" w:after="30"/>
              <w:jc w:val="right"/>
              <w:rPr>
                <w:szCs w:val="16"/>
              </w:rPr>
            </w:pPr>
            <w:r w:rsidRPr="006623B9">
              <w:rPr>
                <w:rFonts w:eastAsia="Calibri"/>
                <w:szCs w:val="16"/>
              </w:rPr>
              <w:t>80.2</w:t>
            </w:r>
          </w:p>
        </w:tc>
        <w:tc>
          <w:tcPr>
            <w:tcW w:w="0" w:type="auto"/>
            <w:shd w:val="clear" w:color="auto" w:fill="FFFFFF"/>
            <w:tcMar>
              <w:top w:w="0" w:type="dxa"/>
              <w:left w:w="85" w:type="dxa"/>
              <w:bottom w:w="0" w:type="dxa"/>
              <w:right w:w="85" w:type="dxa"/>
            </w:tcMar>
            <w:vAlign w:val="center"/>
          </w:tcPr>
          <w:p w14:paraId="10312BCC" w14:textId="77777777" w:rsidR="00EB5913" w:rsidRPr="006623B9" w:rsidRDefault="00EB5913" w:rsidP="00F16E23">
            <w:pPr>
              <w:pStyle w:val="TableText"/>
              <w:spacing w:before="40" w:after="30"/>
              <w:jc w:val="right"/>
              <w:rPr>
                <w:szCs w:val="16"/>
              </w:rPr>
            </w:pPr>
            <w:r w:rsidRPr="006623B9">
              <w:rPr>
                <w:rFonts w:eastAsia="Calibri"/>
                <w:szCs w:val="16"/>
              </w:rPr>
              <w:t>5.0</w:t>
            </w:r>
          </w:p>
        </w:tc>
        <w:tc>
          <w:tcPr>
            <w:tcW w:w="0" w:type="auto"/>
            <w:shd w:val="clear" w:color="auto" w:fill="FFFFFF"/>
            <w:tcMar>
              <w:top w:w="0" w:type="dxa"/>
              <w:left w:w="85" w:type="dxa"/>
              <w:bottom w:w="0" w:type="dxa"/>
              <w:right w:w="85" w:type="dxa"/>
            </w:tcMar>
            <w:vAlign w:val="center"/>
          </w:tcPr>
          <w:p w14:paraId="4969E33C" w14:textId="77777777" w:rsidR="00EB5913" w:rsidRPr="006623B9" w:rsidRDefault="00EB5913" w:rsidP="00F16E23">
            <w:pPr>
              <w:pStyle w:val="TableText"/>
              <w:spacing w:before="40" w:after="30"/>
              <w:jc w:val="right"/>
              <w:rPr>
                <w:szCs w:val="16"/>
              </w:rPr>
            </w:pPr>
            <w:r w:rsidRPr="006623B9">
              <w:rPr>
                <w:rFonts w:eastAsia="Calibri"/>
                <w:szCs w:val="16"/>
              </w:rPr>
              <w:t>155.3</w:t>
            </w:r>
          </w:p>
        </w:tc>
      </w:tr>
      <w:tr w:rsidR="00EB5913" w:rsidRPr="006623B9" w14:paraId="1DB0E677" w14:textId="77777777" w:rsidTr="00F16E23">
        <w:tc>
          <w:tcPr>
            <w:tcW w:w="0" w:type="auto"/>
            <w:shd w:val="clear" w:color="auto" w:fill="FFFFFF"/>
            <w:tcMar>
              <w:top w:w="0" w:type="dxa"/>
              <w:left w:w="85" w:type="dxa"/>
              <w:bottom w:w="0" w:type="dxa"/>
              <w:right w:w="85" w:type="dxa"/>
            </w:tcMar>
            <w:vAlign w:val="center"/>
          </w:tcPr>
          <w:p w14:paraId="60B2529D" w14:textId="77777777" w:rsidR="00EB5913" w:rsidRPr="006623B9" w:rsidRDefault="00EB5913" w:rsidP="00F16E23">
            <w:pPr>
              <w:pStyle w:val="Tableboldblue"/>
              <w:spacing w:before="40" w:after="30"/>
              <w:rPr>
                <w:szCs w:val="16"/>
              </w:rPr>
            </w:pPr>
            <w:r w:rsidRPr="006623B9">
              <w:rPr>
                <w:rFonts w:eastAsia="Calibri"/>
                <w:szCs w:val="16"/>
              </w:rPr>
              <w:t>2004</w:t>
            </w:r>
          </w:p>
        </w:tc>
        <w:tc>
          <w:tcPr>
            <w:tcW w:w="0" w:type="auto"/>
            <w:shd w:val="clear" w:color="auto" w:fill="FFFFFF"/>
            <w:tcMar>
              <w:top w:w="0" w:type="dxa"/>
              <w:left w:w="85" w:type="dxa"/>
              <w:bottom w:w="0" w:type="dxa"/>
              <w:right w:w="85" w:type="dxa"/>
            </w:tcMar>
            <w:vAlign w:val="center"/>
          </w:tcPr>
          <w:p w14:paraId="34183EF5" w14:textId="77777777" w:rsidR="00EB5913" w:rsidRPr="006623B9" w:rsidRDefault="00EB5913" w:rsidP="00F16E23">
            <w:pPr>
              <w:pStyle w:val="TableText"/>
              <w:spacing w:before="40" w:after="30"/>
              <w:jc w:val="right"/>
              <w:rPr>
                <w:szCs w:val="16"/>
              </w:rPr>
            </w:pPr>
            <w:r w:rsidRPr="006623B9">
              <w:rPr>
                <w:rFonts w:eastAsia="Calibri"/>
                <w:szCs w:val="16"/>
              </w:rPr>
              <w:t>73.7</w:t>
            </w:r>
          </w:p>
        </w:tc>
        <w:tc>
          <w:tcPr>
            <w:tcW w:w="0" w:type="auto"/>
            <w:shd w:val="clear" w:color="auto" w:fill="FFFFFF"/>
            <w:tcMar>
              <w:top w:w="0" w:type="dxa"/>
              <w:left w:w="85" w:type="dxa"/>
              <w:bottom w:w="0" w:type="dxa"/>
              <w:right w:w="85" w:type="dxa"/>
            </w:tcMar>
            <w:vAlign w:val="center"/>
          </w:tcPr>
          <w:p w14:paraId="21340264" w14:textId="77777777" w:rsidR="00EB5913" w:rsidRPr="006623B9" w:rsidRDefault="00EB5913" w:rsidP="00F16E23">
            <w:pPr>
              <w:pStyle w:val="TableText"/>
              <w:spacing w:before="40" w:after="30"/>
              <w:jc w:val="right"/>
              <w:rPr>
                <w:szCs w:val="16"/>
              </w:rPr>
            </w:pPr>
            <w:r w:rsidRPr="006623B9">
              <w:rPr>
                <w:rFonts w:eastAsia="Calibri"/>
                <w:szCs w:val="16"/>
              </w:rPr>
              <w:t>90.5</w:t>
            </w:r>
          </w:p>
        </w:tc>
        <w:tc>
          <w:tcPr>
            <w:tcW w:w="0" w:type="auto"/>
            <w:shd w:val="clear" w:color="auto" w:fill="FFFFFF"/>
            <w:tcMar>
              <w:top w:w="0" w:type="dxa"/>
              <w:left w:w="85" w:type="dxa"/>
              <w:bottom w:w="0" w:type="dxa"/>
              <w:right w:w="85" w:type="dxa"/>
            </w:tcMar>
            <w:vAlign w:val="center"/>
          </w:tcPr>
          <w:p w14:paraId="634C7172" w14:textId="77777777" w:rsidR="00EB5913" w:rsidRPr="006623B9" w:rsidRDefault="00EB5913" w:rsidP="00F16E23">
            <w:pPr>
              <w:pStyle w:val="TableText"/>
              <w:spacing w:before="40" w:after="30"/>
              <w:jc w:val="right"/>
              <w:rPr>
                <w:szCs w:val="16"/>
              </w:rPr>
            </w:pPr>
            <w:r w:rsidRPr="006623B9">
              <w:rPr>
                <w:rFonts w:eastAsia="Calibri"/>
                <w:szCs w:val="16"/>
              </w:rPr>
              <w:t>6.1</w:t>
            </w:r>
          </w:p>
        </w:tc>
        <w:tc>
          <w:tcPr>
            <w:tcW w:w="0" w:type="auto"/>
            <w:shd w:val="clear" w:color="auto" w:fill="FFFFFF"/>
            <w:tcMar>
              <w:top w:w="0" w:type="dxa"/>
              <w:left w:w="85" w:type="dxa"/>
              <w:bottom w:w="0" w:type="dxa"/>
              <w:right w:w="85" w:type="dxa"/>
            </w:tcMar>
            <w:vAlign w:val="center"/>
          </w:tcPr>
          <w:p w14:paraId="06A90852" w14:textId="77777777" w:rsidR="00EB5913" w:rsidRPr="006623B9" w:rsidRDefault="00EB5913" w:rsidP="00F16E23">
            <w:pPr>
              <w:pStyle w:val="TableText"/>
              <w:spacing w:before="40" w:after="30"/>
              <w:jc w:val="right"/>
              <w:rPr>
                <w:szCs w:val="16"/>
              </w:rPr>
            </w:pPr>
            <w:r w:rsidRPr="006623B9">
              <w:rPr>
                <w:rFonts w:eastAsia="Calibri"/>
                <w:szCs w:val="16"/>
              </w:rPr>
              <w:t>170.4</w:t>
            </w:r>
          </w:p>
        </w:tc>
      </w:tr>
      <w:tr w:rsidR="00EB5913" w:rsidRPr="006623B9" w14:paraId="4A038E3A" w14:textId="77777777" w:rsidTr="00F16E23">
        <w:tc>
          <w:tcPr>
            <w:tcW w:w="0" w:type="auto"/>
            <w:shd w:val="clear" w:color="auto" w:fill="FFFFFF"/>
            <w:tcMar>
              <w:top w:w="0" w:type="dxa"/>
              <w:left w:w="85" w:type="dxa"/>
              <w:bottom w:w="0" w:type="dxa"/>
              <w:right w:w="85" w:type="dxa"/>
            </w:tcMar>
            <w:vAlign w:val="center"/>
          </w:tcPr>
          <w:p w14:paraId="2686314F" w14:textId="77777777" w:rsidR="00EB5913" w:rsidRPr="006623B9" w:rsidRDefault="00EB5913" w:rsidP="00F16E23">
            <w:pPr>
              <w:pStyle w:val="Tableboldblue"/>
              <w:spacing w:before="40" w:after="30"/>
              <w:rPr>
                <w:szCs w:val="16"/>
              </w:rPr>
            </w:pPr>
            <w:r w:rsidRPr="006623B9">
              <w:rPr>
                <w:rFonts w:eastAsia="Calibri"/>
                <w:szCs w:val="16"/>
              </w:rPr>
              <w:t>2005</w:t>
            </w:r>
          </w:p>
        </w:tc>
        <w:tc>
          <w:tcPr>
            <w:tcW w:w="0" w:type="auto"/>
            <w:shd w:val="clear" w:color="auto" w:fill="FFFFFF"/>
            <w:tcMar>
              <w:top w:w="0" w:type="dxa"/>
              <w:left w:w="85" w:type="dxa"/>
              <w:bottom w:w="0" w:type="dxa"/>
              <w:right w:w="85" w:type="dxa"/>
            </w:tcMar>
            <w:vAlign w:val="center"/>
          </w:tcPr>
          <w:p w14:paraId="051E6185" w14:textId="77777777" w:rsidR="00EB5913" w:rsidRPr="006623B9" w:rsidRDefault="00EB5913" w:rsidP="00F16E23">
            <w:pPr>
              <w:pStyle w:val="TableText"/>
              <w:spacing w:before="40" w:after="30"/>
              <w:jc w:val="right"/>
              <w:rPr>
                <w:szCs w:val="16"/>
              </w:rPr>
            </w:pPr>
            <w:r w:rsidRPr="006623B9">
              <w:rPr>
                <w:rFonts w:eastAsia="Calibri"/>
                <w:szCs w:val="16"/>
              </w:rPr>
              <w:t>72.6</w:t>
            </w:r>
          </w:p>
        </w:tc>
        <w:tc>
          <w:tcPr>
            <w:tcW w:w="0" w:type="auto"/>
            <w:shd w:val="clear" w:color="auto" w:fill="FFFFFF"/>
            <w:tcMar>
              <w:top w:w="0" w:type="dxa"/>
              <w:left w:w="85" w:type="dxa"/>
              <w:bottom w:w="0" w:type="dxa"/>
              <w:right w:w="85" w:type="dxa"/>
            </w:tcMar>
            <w:vAlign w:val="center"/>
          </w:tcPr>
          <w:p w14:paraId="798FD92B" w14:textId="77777777" w:rsidR="00EB5913" w:rsidRPr="006623B9" w:rsidRDefault="00EB5913" w:rsidP="00F16E23">
            <w:pPr>
              <w:pStyle w:val="TableText"/>
              <w:spacing w:before="40" w:after="30"/>
              <w:jc w:val="right"/>
              <w:rPr>
                <w:szCs w:val="16"/>
              </w:rPr>
            </w:pPr>
            <w:r w:rsidRPr="006623B9">
              <w:rPr>
                <w:rFonts w:eastAsia="Calibri"/>
                <w:szCs w:val="16"/>
              </w:rPr>
              <w:t>91.9</w:t>
            </w:r>
          </w:p>
        </w:tc>
        <w:tc>
          <w:tcPr>
            <w:tcW w:w="0" w:type="auto"/>
            <w:shd w:val="clear" w:color="auto" w:fill="FFFFFF"/>
            <w:tcMar>
              <w:top w:w="0" w:type="dxa"/>
              <w:left w:w="85" w:type="dxa"/>
              <w:bottom w:w="0" w:type="dxa"/>
              <w:right w:w="85" w:type="dxa"/>
            </w:tcMar>
            <w:vAlign w:val="center"/>
          </w:tcPr>
          <w:p w14:paraId="1E8B4D1F" w14:textId="77777777" w:rsidR="00EB5913" w:rsidRPr="006623B9" w:rsidRDefault="00EB5913" w:rsidP="00F16E23">
            <w:pPr>
              <w:pStyle w:val="TableText"/>
              <w:spacing w:before="40" w:after="30"/>
              <w:jc w:val="right"/>
              <w:rPr>
                <w:szCs w:val="16"/>
              </w:rPr>
            </w:pPr>
            <w:r w:rsidRPr="006623B9">
              <w:rPr>
                <w:rFonts w:eastAsia="Calibri"/>
                <w:szCs w:val="16"/>
              </w:rPr>
              <w:t>5.9</w:t>
            </w:r>
          </w:p>
        </w:tc>
        <w:tc>
          <w:tcPr>
            <w:tcW w:w="0" w:type="auto"/>
            <w:shd w:val="clear" w:color="auto" w:fill="FFFFFF"/>
            <w:tcMar>
              <w:top w:w="0" w:type="dxa"/>
              <w:left w:w="85" w:type="dxa"/>
              <w:bottom w:w="0" w:type="dxa"/>
              <w:right w:w="85" w:type="dxa"/>
            </w:tcMar>
            <w:vAlign w:val="center"/>
          </w:tcPr>
          <w:p w14:paraId="611A5389" w14:textId="77777777" w:rsidR="00EB5913" w:rsidRPr="006623B9" w:rsidRDefault="00EB5913" w:rsidP="00F16E23">
            <w:pPr>
              <w:pStyle w:val="TableText"/>
              <w:spacing w:before="40" w:after="30"/>
              <w:jc w:val="right"/>
              <w:rPr>
                <w:szCs w:val="16"/>
              </w:rPr>
            </w:pPr>
            <w:r w:rsidRPr="006623B9">
              <w:rPr>
                <w:rFonts w:eastAsia="Calibri"/>
                <w:szCs w:val="16"/>
              </w:rPr>
              <w:t>170.3</w:t>
            </w:r>
          </w:p>
        </w:tc>
      </w:tr>
      <w:tr w:rsidR="00EB5913" w:rsidRPr="006623B9" w14:paraId="1D502AE2" w14:textId="77777777" w:rsidTr="00F16E23">
        <w:tc>
          <w:tcPr>
            <w:tcW w:w="0" w:type="auto"/>
            <w:shd w:val="clear" w:color="auto" w:fill="FFFFFF"/>
            <w:tcMar>
              <w:top w:w="0" w:type="dxa"/>
              <w:left w:w="85" w:type="dxa"/>
              <w:bottom w:w="0" w:type="dxa"/>
              <w:right w:w="85" w:type="dxa"/>
            </w:tcMar>
            <w:vAlign w:val="center"/>
          </w:tcPr>
          <w:p w14:paraId="057430A6" w14:textId="77777777" w:rsidR="00EB5913" w:rsidRPr="006623B9" w:rsidRDefault="00EB5913" w:rsidP="00F16E23">
            <w:pPr>
              <w:pStyle w:val="Tableboldblue"/>
              <w:spacing w:before="40" w:after="30"/>
              <w:rPr>
                <w:szCs w:val="16"/>
              </w:rPr>
            </w:pPr>
            <w:r w:rsidRPr="006623B9">
              <w:rPr>
                <w:rFonts w:eastAsia="Calibri"/>
                <w:szCs w:val="16"/>
              </w:rPr>
              <w:t>2006</w:t>
            </w:r>
          </w:p>
        </w:tc>
        <w:tc>
          <w:tcPr>
            <w:tcW w:w="0" w:type="auto"/>
            <w:shd w:val="clear" w:color="auto" w:fill="FFFFFF"/>
            <w:tcMar>
              <w:top w:w="0" w:type="dxa"/>
              <w:left w:w="85" w:type="dxa"/>
              <w:bottom w:w="0" w:type="dxa"/>
              <w:right w:w="85" w:type="dxa"/>
            </w:tcMar>
            <w:vAlign w:val="center"/>
          </w:tcPr>
          <w:p w14:paraId="557B0128" w14:textId="77777777" w:rsidR="00EB5913" w:rsidRPr="006623B9" w:rsidRDefault="00EB5913" w:rsidP="00F16E23">
            <w:pPr>
              <w:pStyle w:val="TableText"/>
              <w:spacing w:before="40" w:after="30"/>
              <w:jc w:val="right"/>
              <w:rPr>
                <w:szCs w:val="16"/>
              </w:rPr>
            </w:pPr>
            <w:r w:rsidRPr="006623B9">
              <w:rPr>
                <w:rFonts w:eastAsia="Calibri"/>
                <w:szCs w:val="16"/>
              </w:rPr>
              <w:t>71.3</w:t>
            </w:r>
          </w:p>
        </w:tc>
        <w:tc>
          <w:tcPr>
            <w:tcW w:w="0" w:type="auto"/>
            <w:shd w:val="clear" w:color="auto" w:fill="FFFFFF"/>
            <w:tcMar>
              <w:top w:w="0" w:type="dxa"/>
              <w:left w:w="85" w:type="dxa"/>
              <w:bottom w:w="0" w:type="dxa"/>
              <w:right w:w="85" w:type="dxa"/>
            </w:tcMar>
            <w:vAlign w:val="center"/>
          </w:tcPr>
          <w:p w14:paraId="6AE845DA" w14:textId="77777777" w:rsidR="00EB5913" w:rsidRPr="006623B9" w:rsidRDefault="00EB5913" w:rsidP="00F16E23">
            <w:pPr>
              <w:pStyle w:val="TableText"/>
              <w:spacing w:before="40" w:after="30"/>
              <w:jc w:val="right"/>
              <w:rPr>
                <w:szCs w:val="16"/>
              </w:rPr>
            </w:pPr>
            <w:r w:rsidRPr="006623B9">
              <w:rPr>
                <w:rFonts w:eastAsia="Calibri"/>
                <w:szCs w:val="16"/>
              </w:rPr>
              <w:t>86.5</w:t>
            </w:r>
          </w:p>
        </w:tc>
        <w:tc>
          <w:tcPr>
            <w:tcW w:w="0" w:type="auto"/>
            <w:shd w:val="clear" w:color="auto" w:fill="FFFFFF"/>
            <w:tcMar>
              <w:top w:w="0" w:type="dxa"/>
              <w:left w:w="85" w:type="dxa"/>
              <w:bottom w:w="0" w:type="dxa"/>
              <w:right w:w="85" w:type="dxa"/>
            </w:tcMar>
            <w:vAlign w:val="center"/>
          </w:tcPr>
          <w:p w14:paraId="6BCCB2BB" w14:textId="77777777" w:rsidR="00EB5913" w:rsidRPr="006623B9" w:rsidRDefault="00EB5913" w:rsidP="00F16E23">
            <w:pPr>
              <w:pStyle w:val="TableText"/>
              <w:spacing w:before="40" w:after="30"/>
              <w:jc w:val="right"/>
              <w:rPr>
                <w:szCs w:val="16"/>
              </w:rPr>
            </w:pPr>
            <w:r w:rsidRPr="006623B9">
              <w:rPr>
                <w:rFonts w:eastAsia="Calibri"/>
                <w:szCs w:val="16"/>
              </w:rPr>
              <w:t>6.4</w:t>
            </w:r>
          </w:p>
        </w:tc>
        <w:tc>
          <w:tcPr>
            <w:tcW w:w="0" w:type="auto"/>
            <w:shd w:val="clear" w:color="auto" w:fill="FFFFFF"/>
            <w:tcMar>
              <w:top w:w="0" w:type="dxa"/>
              <w:left w:w="85" w:type="dxa"/>
              <w:bottom w:w="0" w:type="dxa"/>
              <w:right w:w="85" w:type="dxa"/>
            </w:tcMar>
            <w:vAlign w:val="center"/>
          </w:tcPr>
          <w:p w14:paraId="26F19790" w14:textId="77777777" w:rsidR="00EB5913" w:rsidRPr="006623B9" w:rsidRDefault="00EB5913" w:rsidP="00F16E23">
            <w:pPr>
              <w:pStyle w:val="TableText"/>
              <w:spacing w:before="40" w:after="30"/>
              <w:jc w:val="right"/>
              <w:rPr>
                <w:szCs w:val="16"/>
              </w:rPr>
            </w:pPr>
            <w:r w:rsidRPr="006623B9">
              <w:rPr>
                <w:rFonts w:eastAsia="Calibri"/>
                <w:szCs w:val="16"/>
              </w:rPr>
              <w:t>164.2</w:t>
            </w:r>
          </w:p>
        </w:tc>
      </w:tr>
      <w:tr w:rsidR="00EB5913" w:rsidRPr="006623B9" w14:paraId="1C9D9EA8" w14:textId="77777777" w:rsidTr="00F16E23">
        <w:tc>
          <w:tcPr>
            <w:tcW w:w="0" w:type="auto"/>
            <w:shd w:val="clear" w:color="auto" w:fill="FFFFFF"/>
            <w:tcMar>
              <w:top w:w="0" w:type="dxa"/>
              <w:left w:w="85" w:type="dxa"/>
              <w:bottom w:w="0" w:type="dxa"/>
              <w:right w:w="85" w:type="dxa"/>
            </w:tcMar>
            <w:vAlign w:val="center"/>
          </w:tcPr>
          <w:p w14:paraId="2789E317" w14:textId="77777777" w:rsidR="00EB5913" w:rsidRPr="006623B9" w:rsidRDefault="00EB5913" w:rsidP="00F16E23">
            <w:pPr>
              <w:pStyle w:val="Tableboldblue"/>
              <w:spacing w:before="40" w:after="30"/>
              <w:rPr>
                <w:szCs w:val="16"/>
              </w:rPr>
            </w:pPr>
            <w:r w:rsidRPr="006623B9">
              <w:rPr>
                <w:rFonts w:eastAsia="Calibri"/>
                <w:szCs w:val="16"/>
              </w:rPr>
              <w:t>2007</w:t>
            </w:r>
          </w:p>
        </w:tc>
        <w:tc>
          <w:tcPr>
            <w:tcW w:w="0" w:type="auto"/>
            <w:shd w:val="clear" w:color="auto" w:fill="FFFFFF"/>
            <w:tcMar>
              <w:top w:w="0" w:type="dxa"/>
              <w:left w:w="85" w:type="dxa"/>
              <w:bottom w:w="0" w:type="dxa"/>
              <w:right w:w="85" w:type="dxa"/>
            </w:tcMar>
            <w:vAlign w:val="center"/>
          </w:tcPr>
          <w:p w14:paraId="6FD9ABAA" w14:textId="77777777" w:rsidR="00EB5913" w:rsidRPr="006623B9" w:rsidRDefault="00EB5913" w:rsidP="00F16E23">
            <w:pPr>
              <w:pStyle w:val="TableText"/>
              <w:spacing w:before="40" w:after="30"/>
              <w:jc w:val="right"/>
              <w:rPr>
                <w:szCs w:val="16"/>
              </w:rPr>
            </w:pPr>
            <w:r w:rsidRPr="006623B9">
              <w:rPr>
                <w:rFonts w:eastAsia="Calibri"/>
                <w:szCs w:val="16"/>
              </w:rPr>
              <w:t>72.7</w:t>
            </w:r>
          </w:p>
        </w:tc>
        <w:tc>
          <w:tcPr>
            <w:tcW w:w="0" w:type="auto"/>
            <w:shd w:val="clear" w:color="auto" w:fill="FFFFFF"/>
            <w:tcMar>
              <w:top w:w="0" w:type="dxa"/>
              <w:left w:w="85" w:type="dxa"/>
              <w:bottom w:w="0" w:type="dxa"/>
              <w:right w:w="85" w:type="dxa"/>
            </w:tcMar>
            <w:vAlign w:val="center"/>
          </w:tcPr>
          <w:p w14:paraId="0C9B8F73" w14:textId="77777777" w:rsidR="00EB5913" w:rsidRPr="006623B9" w:rsidRDefault="00EB5913" w:rsidP="00F16E23">
            <w:pPr>
              <w:pStyle w:val="TableText"/>
              <w:spacing w:before="40" w:after="30"/>
              <w:jc w:val="right"/>
              <w:rPr>
                <w:szCs w:val="16"/>
              </w:rPr>
            </w:pPr>
            <w:r w:rsidRPr="006623B9">
              <w:rPr>
                <w:rFonts w:eastAsia="Calibri"/>
                <w:szCs w:val="16"/>
              </w:rPr>
              <w:t>86.7</w:t>
            </w:r>
          </w:p>
        </w:tc>
        <w:tc>
          <w:tcPr>
            <w:tcW w:w="0" w:type="auto"/>
            <w:shd w:val="clear" w:color="auto" w:fill="FFFFFF"/>
            <w:tcMar>
              <w:top w:w="0" w:type="dxa"/>
              <w:left w:w="85" w:type="dxa"/>
              <w:bottom w:w="0" w:type="dxa"/>
              <w:right w:w="85" w:type="dxa"/>
            </w:tcMar>
            <w:vAlign w:val="center"/>
          </w:tcPr>
          <w:p w14:paraId="46DAD777" w14:textId="77777777" w:rsidR="00EB5913" w:rsidRPr="006623B9" w:rsidRDefault="00EB5913" w:rsidP="00F16E23">
            <w:pPr>
              <w:pStyle w:val="TableText"/>
              <w:spacing w:before="40" w:after="30"/>
              <w:jc w:val="right"/>
              <w:rPr>
                <w:szCs w:val="16"/>
              </w:rPr>
            </w:pPr>
            <w:r w:rsidRPr="006623B9">
              <w:rPr>
                <w:rFonts w:eastAsia="Calibri"/>
                <w:szCs w:val="16"/>
              </w:rPr>
              <w:t>6.7</w:t>
            </w:r>
          </w:p>
        </w:tc>
        <w:tc>
          <w:tcPr>
            <w:tcW w:w="0" w:type="auto"/>
            <w:shd w:val="clear" w:color="auto" w:fill="FFFFFF"/>
            <w:tcMar>
              <w:top w:w="0" w:type="dxa"/>
              <w:left w:w="85" w:type="dxa"/>
              <w:bottom w:w="0" w:type="dxa"/>
              <w:right w:w="85" w:type="dxa"/>
            </w:tcMar>
            <w:vAlign w:val="center"/>
          </w:tcPr>
          <w:p w14:paraId="5488BBE8" w14:textId="77777777" w:rsidR="00EB5913" w:rsidRPr="006623B9" w:rsidRDefault="00EB5913" w:rsidP="00F16E23">
            <w:pPr>
              <w:pStyle w:val="TableText"/>
              <w:spacing w:before="40" w:after="30"/>
              <w:jc w:val="right"/>
              <w:rPr>
                <w:szCs w:val="16"/>
              </w:rPr>
            </w:pPr>
            <w:r w:rsidRPr="006623B9">
              <w:rPr>
                <w:rFonts w:eastAsia="Calibri"/>
                <w:szCs w:val="16"/>
              </w:rPr>
              <w:t>166.2</w:t>
            </w:r>
          </w:p>
        </w:tc>
      </w:tr>
      <w:tr w:rsidR="00EB5913" w:rsidRPr="006623B9" w14:paraId="7FF1A46A" w14:textId="77777777" w:rsidTr="00F16E23">
        <w:tc>
          <w:tcPr>
            <w:tcW w:w="0" w:type="auto"/>
            <w:shd w:val="clear" w:color="auto" w:fill="FFFFFF"/>
            <w:tcMar>
              <w:top w:w="0" w:type="dxa"/>
              <w:left w:w="85" w:type="dxa"/>
              <w:bottom w:w="0" w:type="dxa"/>
              <w:right w:w="85" w:type="dxa"/>
            </w:tcMar>
            <w:vAlign w:val="center"/>
          </w:tcPr>
          <w:p w14:paraId="65DC51AB" w14:textId="77777777" w:rsidR="00EB5913" w:rsidRPr="006623B9" w:rsidRDefault="00EB5913" w:rsidP="00F16E23">
            <w:pPr>
              <w:pStyle w:val="Tableboldblue"/>
              <w:spacing w:before="40" w:after="30"/>
              <w:rPr>
                <w:szCs w:val="16"/>
              </w:rPr>
            </w:pPr>
            <w:r w:rsidRPr="006623B9">
              <w:rPr>
                <w:rFonts w:eastAsia="Calibri"/>
                <w:szCs w:val="16"/>
              </w:rPr>
              <w:t>2008</w:t>
            </w:r>
          </w:p>
        </w:tc>
        <w:tc>
          <w:tcPr>
            <w:tcW w:w="0" w:type="auto"/>
            <w:shd w:val="clear" w:color="auto" w:fill="FFFFFF"/>
            <w:tcMar>
              <w:top w:w="0" w:type="dxa"/>
              <w:left w:w="85" w:type="dxa"/>
              <w:bottom w:w="0" w:type="dxa"/>
              <w:right w:w="85" w:type="dxa"/>
            </w:tcMar>
            <w:vAlign w:val="center"/>
          </w:tcPr>
          <w:p w14:paraId="503607A1" w14:textId="77777777" w:rsidR="00EB5913" w:rsidRPr="006623B9" w:rsidRDefault="00EB5913" w:rsidP="00F16E23">
            <w:pPr>
              <w:pStyle w:val="TableText"/>
              <w:spacing w:before="40" w:after="30"/>
              <w:jc w:val="right"/>
              <w:rPr>
                <w:szCs w:val="16"/>
              </w:rPr>
            </w:pPr>
            <w:r w:rsidRPr="006623B9">
              <w:rPr>
                <w:rFonts w:eastAsia="Calibri"/>
                <w:szCs w:val="16"/>
              </w:rPr>
              <w:t>72.9</w:t>
            </w:r>
          </w:p>
        </w:tc>
        <w:tc>
          <w:tcPr>
            <w:tcW w:w="0" w:type="auto"/>
            <w:shd w:val="clear" w:color="auto" w:fill="FFFFFF"/>
            <w:tcMar>
              <w:top w:w="0" w:type="dxa"/>
              <w:left w:w="85" w:type="dxa"/>
              <w:bottom w:w="0" w:type="dxa"/>
              <w:right w:w="85" w:type="dxa"/>
            </w:tcMar>
            <w:vAlign w:val="center"/>
          </w:tcPr>
          <w:p w14:paraId="43CF84A7" w14:textId="77777777" w:rsidR="00EB5913" w:rsidRPr="006623B9" w:rsidRDefault="00EB5913" w:rsidP="00F16E23">
            <w:pPr>
              <w:pStyle w:val="TableText"/>
              <w:spacing w:before="40" w:after="30"/>
              <w:jc w:val="right"/>
              <w:rPr>
                <w:szCs w:val="16"/>
              </w:rPr>
            </w:pPr>
            <w:r w:rsidRPr="006623B9">
              <w:rPr>
                <w:rFonts w:eastAsia="Calibri"/>
                <w:szCs w:val="16"/>
              </w:rPr>
              <w:t>85.8</w:t>
            </w:r>
          </w:p>
        </w:tc>
        <w:tc>
          <w:tcPr>
            <w:tcW w:w="0" w:type="auto"/>
            <w:shd w:val="clear" w:color="auto" w:fill="FFFFFF"/>
            <w:tcMar>
              <w:top w:w="0" w:type="dxa"/>
              <w:left w:w="85" w:type="dxa"/>
              <w:bottom w:w="0" w:type="dxa"/>
              <w:right w:w="85" w:type="dxa"/>
            </w:tcMar>
            <w:vAlign w:val="center"/>
          </w:tcPr>
          <w:p w14:paraId="0B20DA5B" w14:textId="77777777" w:rsidR="00EB5913" w:rsidRPr="006623B9" w:rsidRDefault="00EB5913" w:rsidP="00F16E23">
            <w:pPr>
              <w:pStyle w:val="TableText"/>
              <w:spacing w:before="40" w:after="30"/>
              <w:jc w:val="right"/>
              <w:rPr>
                <w:szCs w:val="16"/>
              </w:rPr>
            </w:pPr>
            <w:r w:rsidRPr="006623B9">
              <w:rPr>
                <w:rFonts w:eastAsia="Calibri"/>
                <w:szCs w:val="16"/>
              </w:rPr>
              <w:t>7.7</w:t>
            </w:r>
          </w:p>
        </w:tc>
        <w:tc>
          <w:tcPr>
            <w:tcW w:w="0" w:type="auto"/>
            <w:shd w:val="clear" w:color="auto" w:fill="FFFFFF"/>
            <w:tcMar>
              <w:top w:w="0" w:type="dxa"/>
              <w:left w:w="85" w:type="dxa"/>
              <w:bottom w:w="0" w:type="dxa"/>
              <w:right w:w="85" w:type="dxa"/>
            </w:tcMar>
            <w:vAlign w:val="center"/>
          </w:tcPr>
          <w:p w14:paraId="066586D1" w14:textId="77777777" w:rsidR="00EB5913" w:rsidRPr="006623B9" w:rsidRDefault="00EB5913" w:rsidP="00F16E23">
            <w:pPr>
              <w:pStyle w:val="TableText"/>
              <w:spacing w:before="40" w:after="30"/>
              <w:jc w:val="right"/>
              <w:rPr>
                <w:szCs w:val="16"/>
              </w:rPr>
            </w:pPr>
            <w:r w:rsidRPr="006623B9">
              <w:rPr>
                <w:rFonts w:eastAsia="Calibri"/>
                <w:szCs w:val="16"/>
              </w:rPr>
              <w:t>166.3</w:t>
            </w:r>
          </w:p>
        </w:tc>
      </w:tr>
      <w:tr w:rsidR="00EB5913" w:rsidRPr="006623B9" w14:paraId="2B52873F" w14:textId="77777777" w:rsidTr="00F16E23">
        <w:tc>
          <w:tcPr>
            <w:tcW w:w="0" w:type="auto"/>
            <w:shd w:val="clear" w:color="auto" w:fill="FFFFFF"/>
            <w:tcMar>
              <w:top w:w="0" w:type="dxa"/>
              <w:left w:w="85" w:type="dxa"/>
              <w:bottom w:w="0" w:type="dxa"/>
              <w:right w:w="85" w:type="dxa"/>
            </w:tcMar>
            <w:vAlign w:val="center"/>
          </w:tcPr>
          <w:p w14:paraId="743D61F4" w14:textId="77777777" w:rsidR="00EB5913" w:rsidRPr="006623B9" w:rsidRDefault="00EB5913" w:rsidP="00F16E23">
            <w:pPr>
              <w:pStyle w:val="Tableboldblue"/>
              <w:spacing w:before="40" w:after="30"/>
              <w:rPr>
                <w:szCs w:val="16"/>
              </w:rPr>
            </w:pPr>
            <w:r w:rsidRPr="006623B9">
              <w:rPr>
                <w:rFonts w:eastAsia="Calibri"/>
                <w:szCs w:val="16"/>
              </w:rPr>
              <w:t>2009</w:t>
            </w:r>
          </w:p>
        </w:tc>
        <w:tc>
          <w:tcPr>
            <w:tcW w:w="0" w:type="auto"/>
            <w:shd w:val="clear" w:color="auto" w:fill="FFFFFF"/>
            <w:tcMar>
              <w:top w:w="0" w:type="dxa"/>
              <w:left w:w="85" w:type="dxa"/>
              <w:bottom w:w="0" w:type="dxa"/>
              <w:right w:w="85" w:type="dxa"/>
            </w:tcMar>
            <w:vAlign w:val="center"/>
          </w:tcPr>
          <w:p w14:paraId="71E3B9C2" w14:textId="77777777" w:rsidR="00EB5913" w:rsidRPr="006623B9" w:rsidRDefault="00EB5913" w:rsidP="00F16E23">
            <w:pPr>
              <w:pStyle w:val="TableText"/>
              <w:spacing w:before="40" w:after="30"/>
              <w:jc w:val="right"/>
              <w:rPr>
                <w:szCs w:val="16"/>
              </w:rPr>
            </w:pPr>
            <w:r w:rsidRPr="006623B9">
              <w:rPr>
                <w:rFonts w:eastAsia="Calibri"/>
                <w:szCs w:val="16"/>
              </w:rPr>
              <w:t>68.3</w:t>
            </w:r>
          </w:p>
        </w:tc>
        <w:tc>
          <w:tcPr>
            <w:tcW w:w="0" w:type="auto"/>
            <w:shd w:val="clear" w:color="auto" w:fill="FFFFFF"/>
            <w:tcMar>
              <w:top w:w="0" w:type="dxa"/>
              <w:left w:w="85" w:type="dxa"/>
              <w:bottom w:w="0" w:type="dxa"/>
              <w:right w:w="85" w:type="dxa"/>
            </w:tcMar>
            <w:vAlign w:val="center"/>
          </w:tcPr>
          <w:p w14:paraId="485A4BE0" w14:textId="77777777" w:rsidR="00EB5913" w:rsidRPr="006623B9" w:rsidRDefault="00EB5913" w:rsidP="00F16E23">
            <w:pPr>
              <w:pStyle w:val="TableText"/>
              <w:spacing w:before="40" w:after="30"/>
              <w:jc w:val="right"/>
              <w:rPr>
                <w:szCs w:val="16"/>
              </w:rPr>
            </w:pPr>
            <w:r w:rsidRPr="006623B9">
              <w:rPr>
                <w:rFonts w:eastAsia="Calibri"/>
                <w:szCs w:val="16"/>
              </w:rPr>
              <w:t>87.0</w:t>
            </w:r>
          </w:p>
        </w:tc>
        <w:tc>
          <w:tcPr>
            <w:tcW w:w="0" w:type="auto"/>
            <w:shd w:val="clear" w:color="auto" w:fill="FFFFFF"/>
            <w:tcMar>
              <w:top w:w="0" w:type="dxa"/>
              <w:left w:w="85" w:type="dxa"/>
              <w:bottom w:w="0" w:type="dxa"/>
              <w:right w:w="85" w:type="dxa"/>
            </w:tcMar>
            <w:vAlign w:val="center"/>
          </w:tcPr>
          <w:p w14:paraId="4B1DA8B7" w14:textId="77777777" w:rsidR="00EB5913" w:rsidRPr="006623B9" w:rsidRDefault="00EB5913" w:rsidP="00F16E23">
            <w:pPr>
              <w:pStyle w:val="TableText"/>
              <w:spacing w:before="40" w:after="30"/>
              <w:jc w:val="right"/>
              <w:rPr>
                <w:szCs w:val="16"/>
              </w:rPr>
            </w:pPr>
            <w:r w:rsidRPr="006623B9">
              <w:rPr>
                <w:rFonts w:eastAsia="Calibri"/>
                <w:szCs w:val="16"/>
              </w:rPr>
              <w:t>7.7</w:t>
            </w:r>
          </w:p>
        </w:tc>
        <w:tc>
          <w:tcPr>
            <w:tcW w:w="0" w:type="auto"/>
            <w:shd w:val="clear" w:color="auto" w:fill="FFFFFF"/>
            <w:tcMar>
              <w:top w:w="0" w:type="dxa"/>
              <w:left w:w="85" w:type="dxa"/>
              <w:bottom w:w="0" w:type="dxa"/>
              <w:right w:w="85" w:type="dxa"/>
            </w:tcMar>
            <w:vAlign w:val="center"/>
          </w:tcPr>
          <w:p w14:paraId="4BDE543D" w14:textId="77777777" w:rsidR="00EB5913" w:rsidRPr="006623B9" w:rsidRDefault="00EB5913" w:rsidP="00F16E23">
            <w:pPr>
              <w:pStyle w:val="TableText"/>
              <w:spacing w:before="40" w:after="30"/>
              <w:jc w:val="right"/>
              <w:rPr>
                <w:szCs w:val="16"/>
              </w:rPr>
            </w:pPr>
            <w:r w:rsidRPr="006623B9">
              <w:rPr>
                <w:rFonts w:eastAsia="Calibri"/>
                <w:szCs w:val="16"/>
              </w:rPr>
              <w:t>163.0</w:t>
            </w:r>
          </w:p>
        </w:tc>
      </w:tr>
      <w:tr w:rsidR="00EB5913" w:rsidRPr="006623B9" w14:paraId="222E450F" w14:textId="77777777" w:rsidTr="00F16E23">
        <w:tc>
          <w:tcPr>
            <w:tcW w:w="0" w:type="auto"/>
            <w:shd w:val="clear" w:color="auto" w:fill="FFFFFF"/>
            <w:tcMar>
              <w:top w:w="0" w:type="dxa"/>
              <w:left w:w="85" w:type="dxa"/>
              <w:bottom w:w="0" w:type="dxa"/>
              <w:right w:w="85" w:type="dxa"/>
            </w:tcMar>
            <w:vAlign w:val="center"/>
          </w:tcPr>
          <w:p w14:paraId="181B429F" w14:textId="77777777" w:rsidR="00EB5913" w:rsidRPr="006623B9" w:rsidRDefault="00EB5913" w:rsidP="00F16E23">
            <w:pPr>
              <w:pStyle w:val="Tableboldblue"/>
              <w:spacing w:before="40" w:after="30"/>
              <w:rPr>
                <w:szCs w:val="16"/>
              </w:rPr>
            </w:pPr>
            <w:r w:rsidRPr="006623B9">
              <w:rPr>
                <w:rFonts w:eastAsia="Calibri"/>
                <w:szCs w:val="16"/>
              </w:rPr>
              <w:t>2010</w:t>
            </w:r>
          </w:p>
        </w:tc>
        <w:tc>
          <w:tcPr>
            <w:tcW w:w="0" w:type="auto"/>
            <w:shd w:val="clear" w:color="auto" w:fill="FFFFFF"/>
            <w:tcMar>
              <w:top w:w="0" w:type="dxa"/>
              <w:left w:w="85" w:type="dxa"/>
              <w:bottom w:w="0" w:type="dxa"/>
              <w:right w:w="85" w:type="dxa"/>
            </w:tcMar>
            <w:vAlign w:val="center"/>
          </w:tcPr>
          <w:p w14:paraId="68D79338" w14:textId="77777777" w:rsidR="00EB5913" w:rsidRPr="006623B9" w:rsidRDefault="00EB5913" w:rsidP="00F16E23">
            <w:pPr>
              <w:pStyle w:val="TableText"/>
              <w:spacing w:before="40" w:after="30"/>
              <w:jc w:val="right"/>
              <w:rPr>
                <w:szCs w:val="16"/>
              </w:rPr>
            </w:pPr>
            <w:r w:rsidRPr="006623B9">
              <w:rPr>
                <w:rFonts w:eastAsia="Calibri"/>
                <w:szCs w:val="16"/>
              </w:rPr>
              <w:t>66.6</w:t>
            </w:r>
          </w:p>
        </w:tc>
        <w:tc>
          <w:tcPr>
            <w:tcW w:w="0" w:type="auto"/>
            <w:shd w:val="clear" w:color="auto" w:fill="FFFFFF"/>
            <w:tcMar>
              <w:top w:w="0" w:type="dxa"/>
              <w:left w:w="85" w:type="dxa"/>
              <w:bottom w:w="0" w:type="dxa"/>
              <w:right w:w="85" w:type="dxa"/>
            </w:tcMar>
            <w:vAlign w:val="center"/>
          </w:tcPr>
          <w:p w14:paraId="3137B3CC" w14:textId="77777777" w:rsidR="00EB5913" w:rsidRPr="006623B9" w:rsidRDefault="00EB5913" w:rsidP="00F16E23">
            <w:pPr>
              <w:pStyle w:val="TableText"/>
              <w:spacing w:before="40" w:after="30"/>
              <w:jc w:val="right"/>
              <w:rPr>
                <w:szCs w:val="16"/>
              </w:rPr>
            </w:pPr>
            <w:r w:rsidRPr="006623B9">
              <w:rPr>
                <w:rFonts w:eastAsia="Calibri"/>
                <w:szCs w:val="16"/>
              </w:rPr>
              <w:t>91.2</w:t>
            </w:r>
          </w:p>
        </w:tc>
        <w:tc>
          <w:tcPr>
            <w:tcW w:w="0" w:type="auto"/>
            <w:shd w:val="clear" w:color="auto" w:fill="FFFFFF"/>
            <w:tcMar>
              <w:top w:w="0" w:type="dxa"/>
              <w:left w:w="85" w:type="dxa"/>
              <w:bottom w:w="0" w:type="dxa"/>
              <w:right w:w="85" w:type="dxa"/>
            </w:tcMar>
            <w:vAlign w:val="center"/>
          </w:tcPr>
          <w:p w14:paraId="40F95487" w14:textId="77777777" w:rsidR="00EB5913" w:rsidRPr="006623B9" w:rsidRDefault="00EB5913" w:rsidP="00F16E23">
            <w:pPr>
              <w:pStyle w:val="TableText"/>
              <w:spacing w:before="40" w:after="30"/>
              <w:jc w:val="right"/>
              <w:rPr>
                <w:szCs w:val="16"/>
              </w:rPr>
            </w:pPr>
            <w:r w:rsidRPr="006623B9">
              <w:rPr>
                <w:rFonts w:eastAsia="Calibri"/>
                <w:szCs w:val="16"/>
              </w:rPr>
              <w:t>7.5</w:t>
            </w:r>
          </w:p>
        </w:tc>
        <w:tc>
          <w:tcPr>
            <w:tcW w:w="0" w:type="auto"/>
            <w:shd w:val="clear" w:color="auto" w:fill="FFFFFF"/>
            <w:tcMar>
              <w:top w:w="0" w:type="dxa"/>
              <w:left w:w="85" w:type="dxa"/>
              <w:bottom w:w="0" w:type="dxa"/>
              <w:right w:w="85" w:type="dxa"/>
            </w:tcMar>
            <w:vAlign w:val="center"/>
          </w:tcPr>
          <w:p w14:paraId="382C9A75" w14:textId="77777777" w:rsidR="00EB5913" w:rsidRPr="006623B9" w:rsidRDefault="00EB5913" w:rsidP="00F16E23">
            <w:pPr>
              <w:pStyle w:val="TableText"/>
              <w:spacing w:before="40" w:after="30"/>
              <w:jc w:val="right"/>
              <w:rPr>
                <w:szCs w:val="16"/>
              </w:rPr>
            </w:pPr>
            <w:r w:rsidRPr="006623B9">
              <w:rPr>
                <w:rFonts w:eastAsia="Calibri"/>
                <w:szCs w:val="16"/>
              </w:rPr>
              <w:t>165.4</w:t>
            </w:r>
          </w:p>
        </w:tc>
      </w:tr>
      <w:tr w:rsidR="00EB5913" w:rsidRPr="006623B9" w14:paraId="040FA556" w14:textId="77777777" w:rsidTr="00F16E23">
        <w:tc>
          <w:tcPr>
            <w:tcW w:w="0" w:type="auto"/>
            <w:shd w:val="clear" w:color="auto" w:fill="FFFFFF"/>
            <w:tcMar>
              <w:top w:w="0" w:type="dxa"/>
              <w:left w:w="85" w:type="dxa"/>
              <w:bottom w:w="0" w:type="dxa"/>
              <w:right w:w="85" w:type="dxa"/>
            </w:tcMar>
            <w:vAlign w:val="center"/>
          </w:tcPr>
          <w:p w14:paraId="641C2005" w14:textId="77777777" w:rsidR="00EB5913" w:rsidRPr="006623B9" w:rsidRDefault="00EB5913" w:rsidP="00F16E23">
            <w:pPr>
              <w:pStyle w:val="Tableboldblue"/>
              <w:spacing w:before="40" w:after="30"/>
              <w:rPr>
                <w:szCs w:val="16"/>
              </w:rPr>
            </w:pPr>
            <w:r w:rsidRPr="006623B9">
              <w:rPr>
                <w:rFonts w:eastAsia="Calibri"/>
                <w:szCs w:val="16"/>
              </w:rPr>
              <w:t>2011</w:t>
            </w:r>
          </w:p>
        </w:tc>
        <w:tc>
          <w:tcPr>
            <w:tcW w:w="0" w:type="auto"/>
            <w:shd w:val="clear" w:color="auto" w:fill="FFFFFF"/>
            <w:tcMar>
              <w:top w:w="0" w:type="dxa"/>
              <w:left w:w="85" w:type="dxa"/>
              <w:bottom w:w="0" w:type="dxa"/>
              <w:right w:w="85" w:type="dxa"/>
            </w:tcMar>
            <w:vAlign w:val="center"/>
          </w:tcPr>
          <w:p w14:paraId="26055C46" w14:textId="77777777" w:rsidR="00EB5913" w:rsidRPr="006623B9" w:rsidRDefault="00EB5913" w:rsidP="00F16E23">
            <w:pPr>
              <w:pStyle w:val="TableText"/>
              <w:spacing w:before="40" w:after="30"/>
              <w:jc w:val="right"/>
              <w:rPr>
                <w:szCs w:val="16"/>
              </w:rPr>
            </w:pPr>
            <w:r w:rsidRPr="006623B9">
              <w:rPr>
                <w:rFonts w:eastAsia="Calibri"/>
                <w:szCs w:val="16"/>
              </w:rPr>
              <w:t>65.6</w:t>
            </w:r>
          </w:p>
        </w:tc>
        <w:tc>
          <w:tcPr>
            <w:tcW w:w="0" w:type="auto"/>
            <w:shd w:val="clear" w:color="auto" w:fill="FFFFFF"/>
            <w:tcMar>
              <w:top w:w="0" w:type="dxa"/>
              <w:left w:w="85" w:type="dxa"/>
              <w:bottom w:w="0" w:type="dxa"/>
              <w:right w:w="85" w:type="dxa"/>
            </w:tcMar>
            <w:vAlign w:val="center"/>
          </w:tcPr>
          <w:p w14:paraId="36B1B7F5" w14:textId="77777777" w:rsidR="00EB5913" w:rsidRPr="006623B9" w:rsidRDefault="00EB5913" w:rsidP="00F16E23">
            <w:pPr>
              <w:pStyle w:val="TableText"/>
              <w:spacing w:before="40" w:after="30"/>
              <w:jc w:val="right"/>
              <w:rPr>
                <w:szCs w:val="16"/>
              </w:rPr>
            </w:pPr>
            <w:r w:rsidRPr="006623B9">
              <w:rPr>
                <w:rFonts w:eastAsia="Calibri"/>
                <w:szCs w:val="16"/>
              </w:rPr>
              <w:t>87.9</w:t>
            </w:r>
          </w:p>
        </w:tc>
        <w:tc>
          <w:tcPr>
            <w:tcW w:w="0" w:type="auto"/>
            <w:shd w:val="clear" w:color="auto" w:fill="FFFFFF"/>
            <w:tcMar>
              <w:top w:w="0" w:type="dxa"/>
              <w:left w:w="85" w:type="dxa"/>
              <w:bottom w:w="0" w:type="dxa"/>
              <w:right w:w="85" w:type="dxa"/>
            </w:tcMar>
            <w:vAlign w:val="center"/>
          </w:tcPr>
          <w:p w14:paraId="5AEAF344" w14:textId="77777777" w:rsidR="00EB5913" w:rsidRPr="006623B9" w:rsidRDefault="00EB5913" w:rsidP="00F16E23">
            <w:pPr>
              <w:pStyle w:val="TableText"/>
              <w:spacing w:before="40" w:after="30"/>
              <w:jc w:val="right"/>
              <w:rPr>
                <w:szCs w:val="16"/>
              </w:rPr>
            </w:pPr>
            <w:r w:rsidRPr="006623B9">
              <w:rPr>
                <w:rFonts w:eastAsia="Calibri"/>
                <w:szCs w:val="16"/>
              </w:rPr>
              <w:t>8.3</w:t>
            </w:r>
          </w:p>
        </w:tc>
        <w:tc>
          <w:tcPr>
            <w:tcW w:w="0" w:type="auto"/>
            <w:shd w:val="clear" w:color="auto" w:fill="FFFFFF"/>
            <w:tcMar>
              <w:top w:w="0" w:type="dxa"/>
              <w:left w:w="85" w:type="dxa"/>
              <w:bottom w:w="0" w:type="dxa"/>
              <w:right w:w="85" w:type="dxa"/>
            </w:tcMar>
            <w:vAlign w:val="center"/>
          </w:tcPr>
          <w:p w14:paraId="02835990" w14:textId="77777777" w:rsidR="00EB5913" w:rsidRPr="006623B9" w:rsidRDefault="00EB5913" w:rsidP="00F16E23">
            <w:pPr>
              <w:pStyle w:val="TableText"/>
              <w:spacing w:before="40" w:after="30"/>
              <w:jc w:val="right"/>
              <w:rPr>
                <w:szCs w:val="16"/>
              </w:rPr>
            </w:pPr>
            <w:r w:rsidRPr="006623B9">
              <w:rPr>
                <w:rFonts w:eastAsia="Calibri"/>
                <w:szCs w:val="16"/>
              </w:rPr>
              <w:t>161.8</w:t>
            </w:r>
          </w:p>
        </w:tc>
      </w:tr>
      <w:tr w:rsidR="00EB5913" w:rsidRPr="006623B9" w14:paraId="1DBE96DE" w14:textId="77777777" w:rsidTr="00F16E23">
        <w:tc>
          <w:tcPr>
            <w:tcW w:w="0" w:type="auto"/>
            <w:shd w:val="clear" w:color="auto" w:fill="FFFFFF"/>
            <w:tcMar>
              <w:top w:w="0" w:type="dxa"/>
              <w:left w:w="85" w:type="dxa"/>
              <w:bottom w:w="0" w:type="dxa"/>
              <w:right w:w="85" w:type="dxa"/>
            </w:tcMar>
            <w:vAlign w:val="center"/>
          </w:tcPr>
          <w:p w14:paraId="67467450" w14:textId="77777777" w:rsidR="00EB5913" w:rsidRPr="006623B9" w:rsidRDefault="00EB5913" w:rsidP="00F16E23">
            <w:pPr>
              <w:pStyle w:val="Tableboldblue"/>
              <w:spacing w:before="40" w:after="30"/>
              <w:rPr>
                <w:szCs w:val="16"/>
              </w:rPr>
            </w:pPr>
            <w:r w:rsidRPr="006623B9">
              <w:rPr>
                <w:rFonts w:eastAsia="Calibri"/>
                <w:szCs w:val="16"/>
              </w:rPr>
              <w:t>2012</w:t>
            </w:r>
          </w:p>
        </w:tc>
        <w:tc>
          <w:tcPr>
            <w:tcW w:w="0" w:type="auto"/>
            <w:shd w:val="clear" w:color="auto" w:fill="FFFFFF"/>
            <w:tcMar>
              <w:top w:w="0" w:type="dxa"/>
              <w:left w:w="85" w:type="dxa"/>
              <w:bottom w:w="0" w:type="dxa"/>
              <w:right w:w="85" w:type="dxa"/>
            </w:tcMar>
            <w:vAlign w:val="center"/>
          </w:tcPr>
          <w:p w14:paraId="14E90802" w14:textId="77777777" w:rsidR="00EB5913" w:rsidRPr="006623B9" w:rsidRDefault="00EB5913" w:rsidP="00F16E23">
            <w:pPr>
              <w:pStyle w:val="TableText"/>
              <w:spacing w:before="40" w:after="30"/>
              <w:jc w:val="right"/>
              <w:rPr>
                <w:szCs w:val="16"/>
              </w:rPr>
            </w:pPr>
            <w:r w:rsidRPr="006623B9">
              <w:rPr>
                <w:rFonts w:eastAsia="Calibri"/>
                <w:szCs w:val="16"/>
              </w:rPr>
              <w:t>65.7</w:t>
            </w:r>
          </w:p>
        </w:tc>
        <w:tc>
          <w:tcPr>
            <w:tcW w:w="0" w:type="auto"/>
            <w:shd w:val="clear" w:color="auto" w:fill="FFFFFF"/>
            <w:tcMar>
              <w:top w:w="0" w:type="dxa"/>
              <w:left w:w="85" w:type="dxa"/>
              <w:bottom w:w="0" w:type="dxa"/>
              <w:right w:w="85" w:type="dxa"/>
            </w:tcMar>
            <w:vAlign w:val="center"/>
          </w:tcPr>
          <w:p w14:paraId="4AE4EEF2" w14:textId="77777777" w:rsidR="00EB5913" w:rsidRPr="006623B9" w:rsidRDefault="00EB5913" w:rsidP="00F16E23">
            <w:pPr>
              <w:pStyle w:val="TableText"/>
              <w:spacing w:before="40" w:after="30"/>
              <w:jc w:val="right"/>
              <w:rPr>
                <w:szCs w:val="16"/>
              </w:rPr>
            </w:pPr>
            <w:r w:rsidRPr="006623B9">
              <w:rPr>
                <w:rFonts w:eastAsia="Calibri"/>
                <w:szCs w:val="16"/>
              </w:rPr>
              <w:t>84.9</w:t>
            </w:r>
          </w:p>
        </w:tc>
        <w:tc>
          <w:tcPr>
            <w:tcW w:w="0" w:type="auto"/>
            <w:shd w:val="clear" w:color="auto" w:fill="FFFFFF"/>
            <w:tcMar>
              <w:top w:w="0" w:type="dxa"/>
              <w:left w:w="85" w:type="dxa"/>
              <w:bottom w:w="0" w:type="dxa"/>
              <w:right w:w="85" w:type="dxa"/>
            </w:tcMar>
            <w:vAlign w:val="center"/>
          </w:tcPr>
          <w:p w14:paraId="4BAF98EC" w14:textId="77777777" w:rsidR="00EB5913" w:rsidRPr="006623B9" w:rsidRDefault="00EB5913" w:rsidP="00F16E23">
            <w:pPr>
              <w:pStyle w:val="TableText"/>
              <w:spacing w:before="40" w:after="30"/>
              <w:jc w:val="right"/>
              <w:rPr>
                <w:szCs w:val="16"/>
              </w:rPr>
            </w:pPr>
            <w:r w:rsidRPr="006623B9">
              <w:rPr>
                <w:rFonts w:eastAsia="Calibri"/>
                <w:szCs w:val="16"/>
              </w:rPr>
              <w:t>7.6</w:t>
            </w:r>
          </w:p>
        </w:tc>
        <w:tc>
          <w:tcPr>
            <w:tcW w:w="0" w:type="auto"/>
            <w:shd w:val="clear" w:color="auto" w:fill="FFFFFF"/>
            <w:tcMar>
              <w:top w:w="0" w:type="dxa"/>
              <w:left w:w="85" w:type="dxa"/>
              <w:bottom w:w="0" w:type="dxa"/>
              <w:right w:w="85" w:type="dxa"/>
            </w:tcMar>
            <w:vAlign w:val="center"/>
          </w:tcPr>
          <w:p w14:paraId="2A8A7BDD" w14:textId="77777777" w:rsidR="00EB5913" w:rsidRPr="006623B9" w:rsidRDefault="00EB5913" w:rsidP="00F16E23">
            <w:pPr>
              <w:pStyle w:val="TableText"/>
              <w:spacing w:before="40" w:after="30"/>
              <w:jc w:val="right"/>
              <w:rPr>
                <w:szCs w:val="16"/>
              </w:rPr>
            </w:pPr>
            <w:r w:rsidRPr="006623B9">
              <w:rPr>
                <w:rFonts w:eastAsia="Calibri"/>
                <w:szCs w:val="16"/>
              </w:rPr>
              <w:t>158.2</w:t>
            </w:r>
          </w:p>
        </w:tc>
      </w:tr>
      <w:tr w:rsidR="00EB5913" w:rsidRPr="006623B9" w14:paraId="7A4478ED" w14:textId="77777777" w:rsidTr="00F16E23">
        <w:tc>
          <w:tcPr>
            <w:tcW w:w="0" w:type="auto"/>
            <w:shd w:val="clear" w:color="auto" w:fill="FFFFFF"/>
            <w:tcMar>
              <w:top w:w="0" w:type="dxa"/>
              <w:left w:w="85" w:type="dxa"/>
              <w:bottom w:w="0" w:type="dxa"/>
              <w:right w:w="85" w:type="dxa"/>
            </w:tcMar>
            <w:vAlign w:val="center"/>
          </w:tcPr>
          <w:p w14:paraId="33AE845D" w14:textId="77777777" w:rsidR="00EB5913" w:rsidRPr="006623B9" w:rsidRDefault="00EB5913" w:rsidP="00F16E23">
            <w:pPr>
              <w:pStyle w:val="Tableboldblue"/>
              <w:spacing w:before="40" w:after="30"/>
              <w:rPr>
                <w:szCs w:val="16"/>
              </w:rPr>
            </w:pPr>
            <w:r w:rsidRPr="006623B9">
              <w:rPr>
                <w:rFonts w:eastAsia="Calibri"/>
                <w:szCs w:val="16"/>
              </w:rPr>
              <w:t>2013</w:t>
            </w:r>
          </w:p>
        </w:tc>
        <w:tc>
          <w:tcPr>
            <w:tcW w:w="0" w:type="auto"/>
            <w:shd w:val="clear" w:color="auto" w:fill="FFFFFF"/>
            <w:tcMar>
              <w:top w:w="0" w:type="dxa"/>
              <w:left w:w="85" w:type="dxa"/>
              <w:bottom w:w="0" w:type="dxa"/>
              <w:right w:w="85" w:type="dxa"/>
            </w:tcMar>
            <w:vAlign w:val="center"/>
          </w:tcPr>
          <w:p w14:paraId="4918A2BA" w14:textId="77777777" w:rsidR="00EB5913" w:rsidRPr="006623B9" w:rsidRDefault="00EB5913" w:rsidP="00F16E23">
            <w:pPr>
              <w:pStyle w:val="TableText"/>
              <w:spacing w:before="40" w:after="30"/>
              <w:jc w:val="right"/>
              <w:rPr>
                <w:szCs w:val="16"/>
              </w:rPr>
            </w:pPr>
            <w:r w:rsidRPr="006623B9">
              <w:rPr>
                <w:rFonts w:eastAsia="Calibri"/>
                <w:szCs w:val="16"/>
              </w:rPr>
              <w:t>67.9</w:t>
            </w:r>
          </w:p>
        </w:tc>
        <w:tc>
          <w:tcPr>
            <w:tcW w:w="0" w:type="auto"/>
            <w:shd w:val="clear" w:color="auto" w:fill="FFFFFF"/>
            <w:tcMar>
              <w:top w:w="0" w:type="dxa"/>
              <w:left w:w="85" w:type="dxa"/>
              <w:bottom w:w="0" w:type="dxa"/>
              <w:right w:w="85" w:type="dxa"/>
            </w:tcMar>
            <w:vAlign w:val="center"/>
          </w:tcPr>
          <w:p w14:paraId="51278339" w14:textId="77777777" w:rsidR="00EB5913" w:rsidRPr="006623B9" w:rsidRDefault="00EB5913" w:rsidP="00F16E23">
            <w:pPr>
              <w:pStyle w:val="TableText"/>
              <w:spacing w:before="40" w:after="30"/>
              <w:jc w:val="right"/>
              <w:rPr>
                <w:szCs w:val="16"/>
              </w:rPr>
            </w:pPr>
            <w:r w:rsidRPr="006623B9">
              <w:rPr>
                <w:rFonts w:eastAsia="Calibri"/>
                <w:szCs w:val="16"/>
              </w:rPr>
              <w:t>79.1</w:t>
            </w:r>
          </w:p>
        </w:tc>
        <w:tc>
          <w:tcPr>
            <w:tcW w:w="0" w:type="auto"/>
            <w:shd w:val="clear" w:color="auto" w:fill="FFFFFF"/>
            <w:tcMar>
              <w:top w:w="0" w:type="dxa"/>
              <w:left w:w="85" w:type="dxa"/>
              <w:bottom w:w="0" w:type="dxa"/>
              <w:right w:w="85" w:type="dxa"/>
            </w:tcMar>
            <w:vAlign w:val="center"/>
          </w:tcPr>
          <w:p w14:paraId="73E210BF" w14:textId="77777777" w:rsidR="00EB5913" w:rsidRPr="006623B9" w:rsidRDefault="00EB5913" w:rsidP="00F16E23">
            <w:pPr>
              <w:pStyle w:val="TableText"/>
              <w:spacing w:before="40" w:after="30"/>
              <w:jc w:val="right"/>
              <w:rPr>
                <w:szCs w:val="16"/>
              </w:rPr>
            </w:pPr>
            <w:r w:rsidRPr="006623B9">
              <w:rPr>
                <w:rFonts w:eastAsia="Calibri"/>
                <w:szCs w:val="16"/>
              </w:rPr>
              <w:t>4.3</w:t>
            </w:r>
          </w:p>
        </w:tc>
        <w:tc>
          <w:tcPr>
            <w:tcW w:w="0" w:type="auto"/>
            <w:shd w:val="clear" w:color="auto" w:fill="FFFFFF"/>
            <w:tcMar>
              <w:top w:w="0" w:type="dxa"/>
              <w:left w:w="85" w:type="dxa"/>
              <w:bottom w:w="0" w:type="dxa"/>
              <w:right w:w="85" w:type="dxa"/>
            </w:tcMar>
            <w:vAlign w:val="center"/>
          </w:tcPr>
          <w:p w14:paraId="42A976EF" w14:textId="77777777" w:rsidR="00EB5913" w:rsidRPr="006623B9" w:rsidRDefault="00EB5913" w:rsidP="00F16E23">
            <w:pPr>
              <w:pStyle w:val="TableText"/>
              <w:spacing w:before="40" w:after="30"/>
              <w:jc w:val="right"/>
              <w:rPr>
                <w:szCs w:val="16"/>
              </w:rPr>
            </w:pPr>
            <w:r w:rsidRPr="006623B9">
              <w:rPr>
                <w:rFonts w:eastAsia="Calibri"/>
                <w:szCs w:val="16"/>
              </w:rPr>
              <w:t>151.2</w:t>
            </w:r>
          </w:p>
        </w:tc>
      </w:tr>
      <w:tr w:rsidR="00EB5913" w:rsidRPr="006623B9" w14:paraId="4CDAE069" w14:textId="77777777" w:rsidTr="00F16E23">
        <w:tc>
          <w:tcPr>
            <w:tcW w:w="0" w:type="auto"/>
            <w:shd w:val="clear" w:color="auto" w:fill="FFFFFF"/>
            <w:tcMar>
              <w:top w:w="0" w:type="dxa"/>
              <w:left w:w="85" w:type="dxa"/>
              <w:bottom w:w="0" w:type="dxa"/>
              <w:right w:w="85" w:type="dxa"/>
            </w:tcMar>
            <w:vAlign w:val="center"/>
          </w:tcPr>
          <w:p w14:paraId="2FE00E97" w14:textId="77777777" w:rsidR="00EB5913" w:rsidRPr="006623B9" w:rsidRDefault="00EB5913" w:rsidP="00F16E23">
            <w:pPr>
              <w:pStyle w:val="Tableboldblue"/>
              <w:spacing w:before="40" w:after="30"/>
              <w:rPr>
                <w:szCs w:val="16"/>
              </w:rPr>
            </w:pPr>
            <w:r w:rsidRPr="006623B9">
              <w:rPr>
                <w:rFonts w:eastAsia="Calibri"/>
                <w:szCs w:val="16"/>
              </w:rPr>
              <w:t>2014</w:t>
            </w:r>
          </w:p>
        </w:tc>
        <w:tc>
          <w:tcPr>
            <w:tcW w:w="0" w:type="auto"/>
            <w:shd w:val="clear" w:color="auto" w:fill="FFFFFF"/>
            <w:tcMar>
              <w:top w:w="0" w:type="dxa"/>
              <w:left w:w="85" w:type="dxa"/>
              <w:bottom w:w="0" w:type="dxa"/>
              <w:right w:w="85" w:type="dxa"/>
            </w:tcMar>
            <w:vAlign w:val="center"/>
          </w:tcPr>
          <w:p w14:paraId="419C7F50" w14:textId="77777777" w:rsidR="00EB5913" w:rsidRPr="006623B9" w:rsidRDefault="00EB5913" w:rsidP="00F16E23">
            <w:pPr>
              <w:pStyle w:val="TableText"/>
              <w:spacing w:before="40" w:after="30"/>
              <w:jc w:val="right"/>
              <w:rPr>
                <w:szCs w:val="16"/>
              </w:rPr>
            </w:pPr>
            <w:r w:rsidRPr="006623B9">
              <w:rPr>
                <w:rFonts w:eastAsia="Calibri"/>
                <w:szCs w:val="16"/>
              </w:rPr>
              <w:t>68.7</w:t>
            </w:r>
          </w:p>
        </w:tc>
        <w:tc>
          <w:tcPr>
            <w:tcW w:w="0" w:type="auto"/>
            <w:shd w:val="clear" w:color="auto" w:fill="FFFFFF"/>
            <w:tcMar>
              <w:top w:w="0" w:type="dxa"/>
              <w:left w:w="85" w:type="dxa"/>
              <w:bottom w:w="0" w:type="dxa"/>
              <w:right w:w="85" w:type="dxa"/>
            </w:tcMar>
            <w:vAlign w:val="center"/>
          </w:tcPr>
          <w:p w14:paraId="2BCCEC57" w14:textId="77777777" w:rsidR="00EB5913" w:rsidRPr="006623B9" w:rsidRDefault="00EB5913" w:rsidP="00F16E23">
            <w:pPr>
              <w:pStyle w:val="TableText"/>
              <w:spacing w:before="40" w:after="30"/>
              <w:jc w:val="right"/>
              <w:rPr>
                <w:szCs w:val="16"/>
              </w:rPr>
            </w:pPr>
            <w:r w:rsidRPr="006623B9">
              <w:rPr>
                <w:rFonts w:eastAsia="Calibri"/>
                <w:szCs w:val="16"/>
              </w:rPr>
              <w:t>77.5</w:t>
            </w:r>
          </w:p>
        </w:tc>
        <w:tc>
          <w:tcPr>
            <w:tcW w:w="0" w:type="auto"/>
            <w:shd w:val="clear" w:color="auto" w:fill="FFFFFF"/>
            <w:tcMar>
              <w:top w:w="0" w:type="dxa"/>
              <w:left w:w="85" w:type="dxa"/>
              <w:bottom w:w="0" w:type="dxa"/>
              <w:right w:w="85" w:type="dxa"/>
            </w:tcMar>
            <w:vAlign w:val="center"/>
          </w:tcPr>
          <w:p w14:paraId="6F939BFF" w14:textId="77777777" w:rsidR="00EB5913" w:rsidRPr="006623B9" w:rsidRDefault="00EB5913" w:rsidP="00F16E23">
            <w:pPr>
              <w:pStyle w:val="TableText"/>
              <w:spacing w:before="40" w:after="30"/>
              <w:jc w:val="right"/>
              <w:rPr>
                <w:szCs w:val="16"/>
              </w:rPr>
            </w:pPr>
            <w:r w:rsidRPr="006623B9">
              <w:rPr>
                <w:rFonts w:eastAsia="Calibri"/>
                <w:szCs w:val="16"/>
              </w:rPr>
              <w:t>5.5</w:t>
            </w:r>
          </w:p>
        </w:tc>
        <w:tc>
          <w:tcPr>
            <w:tcW w:w="0" w:type="auto"/>
            <w:shd w:val="clear" w:color="auto" w:fill="FFFFFF"/>
            <w:tcMar>
              <w:top w:w="0" w:type="dxa"/>
              <w:left w:w="85" w:type="dxa"/>
              <w:bottom w:w="0" w:type="dxa"/>
              <w:right w:w="85" w:type="dxa"/>
            </w:tcMar>
            <w:vAlign w:val="center"/>
          </w:tcPr>
          <w:p w14:paraId="0CD4700A" w14:textId="77777777" w:rsidR="00EB5913" w:rsidRPr="006623B9" w:rsidRDefault="00EB5913" w:rsidP="00F16E23">
            <w:pPr>
              <w:pStyle w:val="TableText"/>
              <w:spacing w:before="40" w:after="30"/>
              <w:jc w:val="right"/>
              <w:rPr>
                <w:szCs w:val="16"/>
              </w:rPr>
            </w:pPr>
            <w:r w:rsidRPr="006623B9">
              <w:rPr>
                <w:rFonts w:eastAsia="Calibri"/>
                <w:szCs w:val="16"/>
              </w:rPr>
              <w:t>151.8</w:t>
            </w:r>
          </w:p>
        </w:tc>
      </w:tr>
      <w:tr w:rsidR="00EB5913" w:rsidRPr="006623B9" w14:paraId="045AF06C" w14:textId="77777777" w:rsidTr="00F16E23">
        <w:tc>
          <w:tcPr>
            <w:tcW w:w="0" w:type="auto"/>
            <w:shd w:val="clear" w:color="auto" w:fill="FFFFFF"/>
            <w:tcMar>
              <w:top w:w="0" w:type="dxa"/>
              <w:left w:w="85" w:type="dxa"/>
              <w:bottom w:w="0" w:type="dxa"/>
              <w:right w:w="85" w:type="dxa"/>
            </w:tcMar>
            <w:vAlign w:val="center"/>
          </w:tcPr>
          <w:p w14:paraId="03DFFF81" w14:textId="77777777" w:rsidR="00EB5913" w:rsidRPr="006623B9" w:rsidRDefault="00EB5913" w:rsidP="00F16E23">
            <w:pPr>
              <w:pStyle w:val="Tableboldblue"/>
              <w:spacing w:before="40" w:after="30"/>
              <w:rPr>
                <w:szCs w:val="16"/>
              </w:rPr>
            </w:pPr>
            <w:r w:rsidRPr="006623B9">
              <w:rPr>
                <w:rFonts w:eastAsia="Calibri"/>
                <w:szCs w:val="16"/>
              </w:rPr>
              <w:t>2015</w:t>
            </w:r>
          </w:p>
        </w:tc>
        <w:tc>
          <w:tcPr>
            <w:tcW w:w="0" w:type="auto"/>
            <w:shd w:val="clear" w:color="auto" w:fill="FFFFFF"/>
            <w:tcMar>
              <w:top w:w="0" w:type="dxa"/>
              <w:left w:w="85" w:type="dxa"/>
              <w:bottom w:w="0" w:type="dxa"/>
              <w:right w:w="85" w:type="dxa"/>
            </w:tcMar>
            <w:vAlign w:val="center"/>
          </w:tcPr>
          <w:p w14:paraId="4359A5CB" w14:textId="77777777" w:rsidR="00EB5913" w:rsidRPr="006623B9" w:rsidRDefault="00EB5913" w:rsidP="00F16E23">
            <w:pPr>
              <w:pStyle w:val="TableText"/>
              <w:spacing w:before="40" w:after="30"/>
              <w:jc w:val="right"/>
              <w:rPr>
                <w:szCs w:val="16"/>
              </w:rPr>
            </w:pPr>
            <w:r w:rsidRPr="006623B9">
              <w:rPr>
                <w:rFonts w:eastAsia="Calibri"/>
                <w:szCs w:val="16"/>
              </w:rPr>
              <w:t>72.4</w:t>
            </w:r>
          </w:p>
        </w:tc>
        <w:tc>
          <w:tcPr>
            <w:tcW w:w="0" w:type="auto"/>
            <w:shd w:val="clear" w:color="auto" w:fill="FFFFFF"/>
            <w:tcMar>
              <w:top w:w="0" w:type="dxa"/>
              <w:left w:w="85" w:type="dxa"/>
              <w:bottom w:w="0" w:type="dxa"/>
              <w:right w:w="85" w:type="dxa"/>
            </w:tcMar>
            <w:vAlign w:val="center"/>
          </w:tcPr>
          <w:p w14:paraId="613A43D9" w14:textId="77777777" w:rsidR="00EB5913" w:rsidRPr="006623B9" w:rsidRDefault="00EB5913" w:rsidP="00F16E23">
            <w:pPr>
              <w:pStyle w:val="TableText"/>
              <w:spacing w:before="40" w:after="30"/>
              <w:jc w:val="right"/>
              <w:rPr>
                <w:szCs w:val="16"/>
              </w:rPr>
            </w:pPr>
            <w:r w:rsidRPr="006623B9">
              <w:rPr>
                <w:rFonts w:eastAsia="Calibri"/>
                <w:szCs w:val="16"/>
              </w:rPr>
              <w:t>78.6</w:t>
            </w:r>
          </w:p>
        </w:tc>
        <w:tc>
          <w:tcPr>
            <w:tcW w:w="0" w:type="auto"/>
            <w:shd w:val="clear" w:color="auto" w:fill="FFFFFF"/>
            <w:tcMar>
              <w:top w:w="0" w:type="dxa"/>
              <w:left w:w="85" w:type="dxa"/>
              <w:bottom w:w="0" w:type="dxa"/>
              <w:right w:w="85" w:type="dxa"/>
            </w:tcMar>
            <w:vAlign w:val="center"/>
          </w:tcPr>
          <w:p w14:paraId="1349B347" w14:textId="77777777" w:rsidR="00EB5913" w:rsidRPr="006623B9" w:rsidRDefault="00EB5913" w:rsidP="00F16E23">
            <w:pPr>
              <w:pStyle w:val="TableText"/>
              <w:spacing w:before="40" w:after="30"/>
              <w:jc w:val="right"/>
              <w:rPr>
                <w:szCs w:val="16"/>
              </w:rPr>
            </w:pPr>
            <w:r w:rsidRPr="006623B9">
              <w:rPr>
                <w:rFonts w:eastAsia="Calibri"/>
                <w:szCs w:val="16"/>
              </w:rPr>
              <w:t>4.0</w:t>
            </w:r>
          </w:p>
        </w:tc>
        <w:tc>
          <w:tcPr>
            <w:tcW w:w="0" w:type="auto"/>
            <w:shd w:val="clear" w:color="auto" w:fill="FFFFFF"/>
            <w:tcMar>
              <w:top w:w="0" w:type="dxa"/>
              <w:left w:w="85" w:type="dxa"/>
              <w:bottom w:w="0" w:type="dxa"/>
              <w:right w:w="85" w:type="dxa"/>
            </w:tcMar>
            <w:vAlign w:val="center"/>
          </w:tcPr>
          <w:p w14:paraId="0D6F5D4C" w14:textId="77777777" w:rsidR="00EB5913" w:rsidRPr="006623B9" w:rsidRDefault="00EB5913" w:rsidP="00F16E23">
            <w:pPr>
              <w:pStyle w:val="TableText"/>
              <w:spacing w:before="40" w:after="30"/>
              <w:jc w:val="right"/>
              <w:rPr>
                <w:szCs w:val="16"/>
              </w:rPr>
            </w:pPr>
            <w:r w:rsidRPr="006623B9">
              <w:rPr>
                <w:rFonts w:eastAsia="Calibri"/>
                <w:szCs w:val="16"/>
              </w:rPr>
              <w:t>155.0</w:t>
            </w:r>
          </w:p>
        </w:tc>
      </w:tr>
      <w:tr w:rsidR="00EB5913" w:rsidRPr="006623B9" w14:paraId="31E14BF0" w14:textId="77777777" w:rsidTr="00F16E23">
        <w:tc>
          <w:tcPr>
            <w:tcW w:w="0" w:type="auto"/>
            <w:shd w:val="clear" w:color="auto" w:fill="FFFFFF"/>
            <w:tcMar>
              <w:top w:w="0" w:type="dxa"/>
              <w:left w:w="85" w:type="dxa"/>
              <w:bottom w:w="0" w:type="dxa"/>
              <w:right w:w="85" w:type="dxa"/>
            </w:tcMar>
            <w:vAlign w:val="center"/>
          </w:tcPr>
          <w:p w14:paraId="2FC62179" w14:textId="77777777" w:rsidR="00EB5913" w:rsidRPr="006623B9" w:rsidRDefault="00EB5913" w:rsidP="00F16E23">
            <w:pPr>
              <w:pStyle w:val="Tableboldblue"/>
              <w:spacing w:before="40" w:after="30"/>
              <w:rPr>
                <w:szCs w:val="16"/>
              </w:rPr>
            </w:pPr>
            <w:r w:rsidRPr="006623B9">
              <w:rPr>
                <w:rFonts w:eastAsia="Calibri"/>
                <w:szCs w:val="16"/>
              </w:rPr>
              <w:t>2016</w:t>
            </w:r>
          </w:p>
        </w:tc>
        <w:tc>
          <w:tcPr>
            <w:tcW w:w="0" w:type="auto"/>
            <w:shd w:val="clear" w:color="auto" w:fill="FFFFFF"/>
            <w:tcMar>
              <w:top w:w="0" w:type="dxa"/>
              <w:left w:w="85" w:type="dxa"/>
              <w:bottom w:w="0" w:type="dxa"/>
              <w:right w:w="85" w:type="dxa"/>
            </w:tcMar>
            <w:vAlign w:val="center"/>
          </w:tcPr>
          <w:p w14:paraId="5EFEE84F" w14:textId="77777777" w:rsidR="00EB5913" w:rsidRPr="006623B9" w:rsidRDefault="00EB5913" w:rsidP="00F16E23">
            <w:pPr>
              <w:pStyle w:val="TableText"/>
              <w:spacing w:before="40" w:after="30"/>
              <w:jc w:val="right"/>
              <w:rPr>
                <w:szCs w:val="16"/>
              </w:rPr>
            </w:pPr>
            <w:r w:rsidRPr="006623B9">
              <w:rPr>
                <w:rFonts w:eastAsia="Calibri"/>
                <w:szCs w:val="16"/>
              </w:rPr>
              <w:t>69.2</w:t>
            </w:r>
          </w:p>
        </w:tc>
        <w:tc>
          <w:tcPr>
            <w:tcW w:w="0" w:type="auto"/>
            <w:shd w:val="clear" w:color="auto" w:fill="FFFFFF"/>
            <w:tcMar>
              <w:top w:w="0" w:type="dxa"/>
              <w:left w:w="85" w:type="dxa"/>
              <w:bottom w:w="0" w:type="dxa"/>
              <w:right w:w="85" w:type="dxa"/>
            </w:tcMar>
            <w:vAlign w:val="center"/>
          </w:tcPr>
          <w:p w14:paraId="7423183B" w14:textId="77777777" w:rsidR="00EB5913" w:rsidRPr="006623B9" w:rsidRDefault="00EB5913" w:rsidP="00F16E23">
            <w:pPr>
              <w:pStyle w:val="TableText"/>
              <w:spacing w:before="40" w:after="30"/>
              <w:jc w:val="right"/>
              <w:rPr>
                <w:szCs w:val="16"/>
              </w:rPr>
            </w:pPr>
            <w:r w:rsidRPr="006623B9">
              <w:rPr>
                <w:rFonts w:eastAsia="Calibri"/>
                <w:szCs w:val="16"/>
              </w:rPr>
              <w:t>78.4</w:t>
            </w:r>
          </w:p>
        </w:tc>
        <w:tc>
          <w:tcPr>
            <w:tcW w:w="0" w:type="auto"/>
            <w:shd w:val="clear" w:color="auto" w:fill="FFFFFF"/>
            <w:tcMar>
              <w:top w:w="0" w:type="dxa"/>
              <w:left w:w="85" w:type="dxa"/>
              <w:bottom w:w="0" w:type="dxa"/>
              <w:right w:w="85" w:type="dxa"/>
            </w:tcMar>
            <w:vAlign w:val="center"/>
          </w:tcPr>
          <w:p w14:paraId="0165811B" w14:textId="77777777" w:rsidR="00EB5913" w:rsidRPr="006623B9" w:rsidRDefault="00EB5913" w:rsidP="00F16E23">
            <w:pPr>
              <w:pStyle w:val="TableText"/>
              <w:spacing w:before="40" w:after="30"/>
              <w:jc w:val="right"/>
              <w:rPr>
                <w:szCs w:val="16"/>
              </w:rPr>
            </w:pPr>
            <w:r w:rsidRPr="006623B9">
              <w:rPr>
                <w:rFonts w:eastAsia="Calibri"/>
                <w:szCs w:val="16"/>
              </w:rPr>
              <w:t>5.4</w:t>
            </w:r>
          </w:p>
        </w:tc>
        <w:tc>
          <w:tcPr>
            <w:tcW w:w="0" w:type="auto"/>
            <w:shd w:val="clear" w:color="auto" w:fill="FFFFFF"/>
            <w:tcMar>
              <w:top w:w="0" w:type="dxa"/>
              <w:left w:w="85" w:type="dxa"/>
              <w:bottom w:w="0" w:type="dxa"/>
              <w:right w:w="85" w:type="dxa"/>
            </w:tcMar>
            <w:vAlign w:val="center"/>
          </w:tcPr>
          <w:p w14:paraId="2E168B0D" w14:textId="77777777" w:rsidR="00EB5913" w:rsidRPr="006623B9" w:rsidRDefault="00EB5913" w:rsidP="00F16E23">
            <w:pPr>
              <w:pStyle w:val="TableText"/>
              <w:spacing w:before="40" w:after="30"/>
              <w:jc w:val="right"/>
              <w:rPr>
                <w:szCs w:val="16"/>
              </w:rPr>
            </w:pPr>
            <w:r w:rsidRPr="006623B9">
              <w:rPr>
                <w:rFonts w:eastAsia="Calibri"/>
                <w:szCs w:val="16"/>
              </w:rPr>
              <w:t>153.0</w:t>
            </w:r>
          </w:p>
        </w:tc>
      </w:tr>
      <w:tr w:rsidR="00EB5913" w:rsidRPr="006623B9" w14:paraId="6AC14837" w14:textId="77777777" w:rsidTr="00F16E23">
        <w:tc>
          <w:tcPr>
            <w:tcW w:w="0" w:type="auto"/>
            <w:shd w:val="clear" w:color="auto" w:fill="FFFFFF"/>
            <w:tcMar>
              <w:top w:w="0" w:type="dxa"/>
              <w:left w:w="85" w:type="dxa"/>
              <w:bottom w:w="0" w:type="dxa"/>
              <w:right w:w="85" w:type="dxa"/>
            </w:tcMar>
            <w:vAlign w:val="center"/>
          </w:tcPr>
          <w:p w14:paraId="2B2B0FD7" w14:textId="77777777" w:rsidR="00EB5913" w:rsidRPr="006623B9" w:rsidRDefault="00EB5913" w:rsidP="00F16E23">
            <w:pPr>
              <w:pStyle w:val="Tableboldblue"/>
              <w:spacing w:before="40" w:after="30"/>
              <w:rPr>
                <w:szCs w:val="16"/>
              </w:rPr>
            </w:pPr>
            <w:r w:rsidRPr="006623B9">
              <w:rPr>
                <w:rFonts w:eastAsia="Calibri"/>
                <w:szCs w:val="16"/>
              </w:rPr>
              <w:t>2017</w:t>
            </w:r>
          </w:p>
        </w:tc>
        <w:tc>
          <w:tcPr>
            <w:tcW w:w="0" w:type="auto"/>
            <w:shd w:val="clear" w:color="auto" w:fill="FFFFFF"/>
            <w:tcMar>
              <w:top w:w="0" w:type="dxa"/>
              <w:left w:w="85" w:type="dxa"/>
              <w:bottom w:w="0" w:type="dxa"/>
              <w:right w:w="85" w:type="dxa"/>
            </w:tcMar>
            <w:vAlign w:val="center"/>
          </w:tcPr>
          <w:p w14:paraId="2E0B7E8A" w14:textId="77777777" w:rsidR="00EB5913" w:rsidRPr="006623B9" w:rsidRDefault="00EB5913" w:rsidP="00F16E23">
            <w:pPr>
              <w:pStyle w:val="TableText"/>
              <w:spacing w:before="40" w:after="30"/>
              <w:jc w:val="right"/>
              <w:rPr>
                <w:szCs w:val="16"/>
              </w:rPr>
            </w:pPr>
            <w:r w:rsidRPr="006623B9">
              <w:rPr>
                <w:rFonts w:eastAsia="Calibri"/>
                <w:szCs w:val="16"/>
              </w:rPr>
              <w:t>71.2</w:t>
            </w:r>
          </w:p>
        </w:tc>
        <w:tc>
          <w:tcPr>
            <w:tcW w:w="0" w:type="auto"/>
            <w:shd w:val="clear" w:color="auto" w:fill="FFFFFF"/>
            <w:tcMar>
              <w:top w:w="0" w:type="dxa"/>
              <w:left w:w="85" w:type="dxa"/>
              <w:bottom w:w="0" w:type="dxa"/>
              <w:right w:w="85" w:type="dxa"/>
            </w:tcMar>
            <w:vAlign w:val="center"/>
          </w:tcPr>
          <w:p w14:paraId="0A0244A6" w14:textId="77777777" w:rsidR="00EB5913" w:rsidRPr="006623B9" w:rsidRDefault="00EB5913" w:rsidP="00F16E23">
            <w:pPr>
              <w:pStyle w:val="TableText"/>
              <w:spacing w:before="40" w:after="30"/>
              <w:jc w:val="right"/>
              <w:rPr>
                <w:szCs w:val="16"/>
              </w:rPr>
            </w:pPr>
            <w:r w:rsidRPr="006623B9">
              <w:rPr>
                <w:rFonts w:eastAsia="Calibri"/>
                <w:szCs w:val="16"/>
              </w:rPr>
              <w:t>78.6</w:t>
            </w:r>
          </w:p>
        </w:tc>
        <w:tc>
          <w:tcPr>
            <w:tcW w:w="0" w:type="auto"/>
            <w:shd w:val="clear" w:color="auto" w:fill="FFFFFF"/>
            <w:tcMar>
              <w:top w:w="0" w:type="dxa"/>
              <w:left w:w="85" w:type="dxa"/>
              <w:bottom w:w="0" w:type="dxa"/>
              <w:right w:w="85" w:type="dxa"/>
            </w:tcMar>
            <w:vAlign w:val="center"/>
          </w:tcPr>
          <w:p w14:paraId="14103B3C" w14:textId="77777777" w:rsidR="00EB5913" w:rsidRPr="006623B9" w:rsidRDefault="00EB5913" w:rsidP="00F16E23">
            <w:pPr>
              <w:pStyle w:val="TableText"/>
              <w:spacing w:before="40" w:after="30"/>
              <w:jc w:val="right"/>
              <w:rPr>
                <w:szCs w:val="16"/>
              </w:rPr>
            </w:pPr>
            <w:r w:rsidRPr="006623B9">
              <w:rPr>
                <w:rFonts w:eastAsia="Calibri"/>
                <w:szCs w:val="16"/>
              </w:rPr>
              <w:t>4.9</w:t>
            </w:r>
          </w:p>
        </w:tc>
        <w:tc>
          <w:tcPr>
            <w:tcW w:w="0" w:type="auto"/>
            <w:shd w:val="clear" w:color="auto" w:fill="FFFFFF"/>
            <w:tcMar>
              <w:top w:w="0" w:type="dxa"/>
              <w:left w:w="85" w:type="dxa"/>
              <w:bottom w:w="0" w:type="dxa"/>
              <w:right w:w="85" w:type="dxa"/>
            </w:tcMar>
            <w:vAlign w:val="center"/>
          </w:tcPr>
          <w:p w14:paraId="4DBD1AFD" w14:textId="77777777" w:rsidR="00EB5913" w:rsidRPr="006623B9" w:rsidRDefault="00EB5913" w:rsidP="00F16E23">
            <w:pPr>
              <w:pStyle w:val="TableText"/>
              <w:spacing w:before="40" w:after="30"/>
              <w:jc w:val="right"/>
              <w:rPr>
                <w:szCs w:val="16"/>
              </w:rPr>
            </w:pPr>
            <w:r w:rsidRPr="006623B9">
              <w:rPr>
                <w:rFonts w:eastAsia="Calibri"/>
                <w:szCs w:val="16"/>
              </w:rPr>
              <w:t>154.7</w:t>
            </w:r>
          </w:p>
        </w:tc>
      </w:tr>
      <w:tr w:rsidR="00EB5913" w:rsidRPr="006623B9" w14:paraId="60652C9D" w14:textId="77777777" w:rsidTr="00F16E23">
        <w:tc>
          <w:tcPr>
            <w:tcW w:w="0" w:type="auto"/>
            <w:shd w:val="clear" w:color="auto" w:fill="FFFFFF"/>
            <w:tcMar>
              <w:top w:w="0" w:type="dxa"/>
              <w:left w:w="85" w:type="dxa"/>
              <w:bottom w:w="0" w:type="dxa"/>
              <w:right w:w="85" w:type="dxa"/>
            </w:tcMar>
            <w:vAlign w:val="center"/>
          </w:tcPr>
          <w:p w14:paraId="13FC6882" w14:textId="77777777" w:rsidR="00EB5913" w:rsidRPr="006623B9" w:rsidRDefault="00EB5913" w:rsidP="00F16E23">
            <w:pPr>
              <w:pStyle w:val="Tableboldblue"/>
              <w:spacing w:before="40" w:after="30"/>
              <w:rPr>
                <w:szCs w:val="16"/>
              </w:rPr>
            </w:pPr>
            <w:r w:rsidRPr="006623B9">
              <w:rPr>
                <w:rFonts w:eastAsia="Calibri"/>
                <w:szCs w:val="16"/>
              </w:rPr>
              <w:t>2018</w:t>
            </w:r>
          </w:p>
        </w:tc>
        <w:tc>
          <w:tcPr>
            <w:tcW w:w="0" w:type="auto"/>
            <w:shd w:val="clear" w:color="auto" w:fill="FFFFFF"/>
            <w:tcMar>
              <w:top w:w="0" w:type="dxa"/>
              <w:left w:w="85" w:type="dxa"/>
              <w:bottom w:w="0" w:type="dxa"/>
              <w:right w:w="85" w:type="dxa"/>
            </w:tcMar>
            <w:vAlign w:val="center"/>
          </w:tcPr>
          <w:p w14:paraId="554206BC" w14:textId="77777777" w:rsidR="00EB5913" w:rsidRPr="006623B9" w:rsidRDefault="00EB5913" w:rsidP="00F16E23">
            <w:pPr>
              <w:pStyle w:val="TableText"/>
              <w:spacing w:before="40" w:after="30"/>
              <w:jc w:val="right"/>
              <w:rPr>
                <w:szCs w:val="16"/>
              </w:rPr>
            </w:pPr>
            <w:r w:rsidRPr="006623B9">
              <w:rPr>
                <w:rFonts w:eastAsia="Calibri"/>
                <w:szCs w:val="16"/>
              </w:rPr>
              <w:t>72.7</w:t>
            </w:r>
          </w:p>
        </w:tc>
        <w:tc>
          <w:tcPr>
            <w:tcW w:w="0" w:type="auto"/>
            <w:shd w:val="clear" w:color="auto" w:fill="FFFFFF"/>
            <w:tcMar>
              <w:top w:w="0" w:type="dxa"/>
              <w:left w:w="85" w:type="dxa"/>
              <w:bottom w:w="0" w:type="dxa"/>
              <w:right w:w="85" w:type="dxa"/>
            </w:tcMar>
            <w:vAlign w:val="center"/>
          </w:tcPr>
          <w:p w14:paraId="61094D63" w14:textId="77777777" w:rsidR="00EB5913" w:rsidRPr="006623B9" w:rsidRDefault="00EB5913" w:rsidP="00F16E23">
            <w:pPr>
              <w:pStyle w:val="TableText"/>
              <w:spacing w:before="40" w:after="30"/>
              <w:jc w:val="right"/>
              <w:rPr>
                <w:szCs w:val="16"/>
              </w:rPr>
            </w:pPr>
            <w:r w:rsidRPr="006623B9">
              <w:rPr>
                <w:rFonts w:eastAsia="Calibri"/>
                <w:szCs w:val="16"/>
              </w:rPr>
              <w:t>77.2</w:t>
            </w:r>
          </w:p>
        </w:tc>
        <w:tc>
          <w:tcPr>
            <w:tcW w:w="0" w:type="auto"/>
            <w:shd w:val="clear" w:color="auto" w:fill="FFFFFF"/>
            <w:tcMar>
              <w:top w:w="0" w:type="dxa"/>
              <w:left w:w="85" w:type="dxa"/>
              <w:bottom w:w="0" w:type="dxa"/>
              <w:right w:w="85" w:type="dxa"/>
            </w:tcMar>
            <w:vAlign w:val="center"/>
          </w:tcPr>
          <w:p w14:paraId="3CEAA8CE" w14:textId="77777777" w:rsidR="00EB5913" w:rsidRPr="006623B9" w:rsidRDefault="00EB5913" w:rsidP="00F16E23">
            <w:pPr>
              <w:pStyle w:val="TableText"/>
              <w:spacing w:before="40" w:after="30"/>
              <w:jc w:val="right"/>
              <w:rPr>
                <w:szCs w:val="16"/>
              </w:rPr>
            </w:pPr>
            <w:r w:rsidRPr="006623B9">
              <w:rPr>
                <w:rFonts w:eastAsia="Calibri"/>
                <w:szCs w:val="16"/>
              </w:rPr>
              <w:t>5.2</w:t>
            </w:r>
          </w:p>
        </w:tc>
        <w:tc>
          <w:tcPr>
            <w:tcW w:w="0" w:type="auto"/>
            <w:shd w:val="clear" w:color="auto" w:fill="FFFFFF"/>
            <w:tcMar>
              <w:top w:w="0" w:type="dxa"/>
              <w:left w:w="85" w:type="dxa"/>
              <w:bottom w:w="0" w:type="dxa"/>
              <w:right w:w="85" w:type="dxa"/>
            </w:tcMar>
            <w:vAlign w:val="center"/>
          </w:tcPr>
          <w:p w14:paraId="115AB883" w14:textId="77777777" w:rsidR="00EB5913" w:rsidRPr="006623B9" w:rsidRDefault="00EB5913" w:rsidP="00F16E23">
            <w:pPr>
              <w:pStyle w:val="TableText"/>
              <w:spacing w:before="40" w:after="30"/>
              <w:jc w:val="right"/>
              <w:rPr>
                <w:szCs w:val="16"/>
              </w:rPr>
            </w:pPr>
            <w:r w:rsidRPr="006623B9">
              <w:rPr>
                <w:rFonts w:eastAsia="Calibri"/>
                <w:szCs w:val="16"/>
              </w:rPr>
              <w:t>155.2</w:t>
            </w:r>
          </w:p>
        </w:tc>
      </w:tr>
      <w:tr w:rsidR="00EB5913" w:rsidRPr="006623B9" w14:paraId="5DAABDFA" w14:textId="77777777" w:rsidTr="00F16E23">
        <w:tc>
          <w:tcPr>
            <w:tcW w:w="0" w:type="auto"/>
            <w:shd w:val="clear" w:color="auto" w:fill="FFFFFF"/>
            <w:tcMar>
              <w:top w:w="0" w:type="dxa"/>
              <w:left w:w="85" w:type="dxa"/>
              <w:bottom w:w="0" w:type="dxa"/>
              <w:right w:w="85" w:type="dxa"/>
            </w:tcMar>
            <w:vAlign w:val="center"/>
          </w:tcPr>
          <w:p w14:paraId="246D77A0" w14:textId="77777777" w:rsidR="00EB5913" w:rsidRPr="006623B9" w:rsidRDefault="00EB5913" w:rsidP="00F16E23">
            <w:pPr>
              <w:pStyle w:val="Tableboldblue"/>
              <w:spacing w:before="40" w:after="30"/>
              <w:rPr>
                <w:szCs w:val="16"/>
              </w:rPr>
            </w:pPr>
            <w:r w:rsidRPr="006623B9">
              <w:rPr>
                <w:rFonts w:eastAsia="Calibri"/>
                <w:szCs w:val="16"/>
              </w:rPr>
              <w:t>2019</w:t>
            </w:r>
          </w:p>
        </w:tc>
        <w:tc>
          <w:tcPr>
            <w:tcW w:w="0" w:type="auto"/>
            <w:shd w:val="clear" w:color="auto" w:fill="FFFFFF"/>
            <w:tcMar>
              <w:top w:w="0" w:type="dxa"/>
              <w:left w:w="85" w:type="dxa"/>
              <w:bottom w:w="0" w:type="dxa"/>
              <w:right w:w="85" w:type="dxa"/>
            </w:tcMar>
            <w:vAlign w:val="center"/>
          </w:tcPr>
          <w:p w14:paraId="169300E1" w14:textId="77777777" w:rsidR="00EB5913" w:rsidRPr="006623B9" w:rsidRDefault="00EB5913" w:rsidP="00F16E23">
            <w:pPr>
              <w:pStyle w:val="TableText"/>
              <w:spacing w:before="40" w:after="30"/>
              <w:jc w:val="right"/>
              <w:rPr>
                <w:szCs w:val="16"/>
              </w:rPr>
            </w:pPr>
            <w:r w:rsidRPr="006623B9">
              <w:rPr>
                <w:rFonts w:eastAsia="Calibri"/>
                <w:szCs w:val="16"/>
              </w:rPr>
              <w:t>73.0</w:t>
            </w:r>
          </w:p>
        </w:tc>
        <w:tc>
          <w:tcPr>
            <w:tcW w:w="0" w:type="auto"/>
            <w:shd w:val="clear" w:color="auto" w:fill="FFFFFF"/>
            <w:tcMar>
              <w:top w:w="0" w:type="dxa"/>
              <w:left w:w="85" w:type="dxa"/>
              <w:bottom w:w="0" w:type="dxa"/>
              <w:right w:w="85" w:type="dxa"/>
            </w:tcMar>
            <w:vAlign w:val="center"/>
          </w:tcPr>
          <w:p w14:paraId="209583B8" w14:textId="77777777" w:rsidR="00EB5913" w:rsidRPr="006623B9" w:rsidRDefault="00EB5913" w:rsidP="00F16E23">
            <w:pPr>
              <w:pStyle w:val="TableText"/>
              <w:spacing w:before="40" w:after="30"/>
              <w:jc w:val="right"/>
              <w:rPr>
                <w:szCs w:val="16"/>
              </w:rPr>
            </w:pPr>
            <w:r w:rsidRPr="006623B9">
              <w:rPr>
                <w:rFonts w:eastAsia="Calibri"/>
                <w:szCs w:val="16"/>
              </w:rPr>
              <w:t>77.7</w:t>
            </w:r>
          </w:p>
        </w:tc>
        <w:tc>
          <w:tcPr>
            <w:tcW w:w="0" w:type="auto"/>
            <w:shd w:val="clear" w:color="auto" w:fill="FFFFFF"/>
            <w:tcMar>
              <w:top w:w="0" w:type="dxa"/>
              <w:left w:w="85" w:type="dxa"/>
              <w:bottom w:w="0" w:type="dxa"/>
              <w:right w:w="85" w:type="dxa"/>
            </w:tcMar>
            <w:vAlign w:val="center"/>
          </w:tcPr>
          <w:p w14:paraId="22EAE45D" w14:textId="77777777" w:rsidR="00EB5913" w:rsidRPr="006623B9" w:rsidRDefault="00EB5913" w:rsidP="00F16E23">
            <w:pPr>
              <w:pStyle w:val="TableText"/>
              <w:spacing w:before="40" w:after="30"/>
              <w:jc w:val="right"/>
              <w:rPr>
                <w:szCs w:val="16"/>
              </w:rPr>
            </w:pPr>
            <w:r w:rsidRPr="006623B9">
              <w:rPr>
                <w:rFonts w:eastAsia="Calibri"/>
                <w:szCs w:val="16"/>
              </w:rPr>
              <w:t>5.1</w:t>
            </w:r>
          </w:p>
        </w:tc>
        <w:tc>
          <w:tcPr>
            <w:tcW w:w="0" w:type="auto"/>
            <w:shd w:val="clear" w:color="auto" w:fill="FFFFFF"/>
            <w:tcMar>
              <w:top w:w="0" w:type="dxa"/>
              <w:left w:w="85" w:type="dxa"/>
              <w:bottom w:w="0" w:type="dxa"/>
              <w:right w:w="85" w:type="dxa"/>
            </w:tcMar>
            <w:vAlign w:val="center"/>
          </w:tcPr>
          <w:p w14:paraId="2847984E" w14:textId="77777777" w:rsidR="00EB5913" w:rsidRPr="006623B9" w:rsidRDefault="00EB5913" w:rsidP="00F16E23">
            <w:pPr>
              <w:pStyle w:val="TableText"/>
              <w:spacing w:before="40" w:after="30"/>
              <w:jc w:val="right"/>
              <w:rPr>
                <w:szCs w:val="16"/>
              </w:rPr>
            </w:pPr>
            <w:r w:rsidRPr="006623B9">
              <w:rPr>
                <w:rFonts w:eastAsia="Calibri"/>
                <w:szCs w:val="16"/>
              </w:rPr>
              <w:t>155.8</w:t>
            </w:r>
          </w:p>
        </w:tc>
      </w:tr>
      <w:tr w:rsidR="00EB5913" w:rsidRPr="006623B9" w14:paraId="6367E1CE" w14:textId="77777777" w:rsidTr="00F16E23">
        <w:tc>
          <w:tcPr>
            <w:tcW w:w="0" w:type="auto"/>
            <w:shd w:val="clear" w:color="auto" w:fill="FFFFFF"/>
            <w:tcMar>
              <w:top w:w="0" w:type="dxa"/>
              <w:left w:w="85" w:type="dxa"/>
              <w:bottom w:w="0" w:type="dxa"/>
              <w:right w:w="85" w:type="dxa"/>
            </w:tcMar>
            <w:vAlign w:val="center"/>
          </w:tcPr>
          <w:p w14:paraId="7A471142" w14:textId="77777777" w:rsidR="00EB5913" w:rsidRPr="006623B9" w:rsidRDefault="00EB5913" w:rsidP="00F16E23">
            <w:pPr>
              <w:pStyle w:val="Tableboldblue"/>
              <w:spacing w:before="40" w:after="30"/>
              <w:rPr>
                <w:szCs w:val="16"/>
              </w:rPr>
            </w:pPr>
            <w:r w:rsidRPr="006623B9">
              <w:rPr>
                <w:rFonts w:eastAsia="Calibri"/>
                <w:szCs w:val="16"/>
              </w:rPr>
              <w:t>2020</w:t>
            </w:r>
          </w:p>
        </w:tc>
        <w:tc>
          <w:tcPr>
            <w:tcW w:w="0" w:type="auto"/>
            <w:shd w:val="clear" w:color="auto" w:fill="FFFFFF"/>
            <w:tcMar>
              <w:top w:w="0" w:type="dxa"/>
              <w:left w:w="85" w:type="dxa"/>
              <w:bottom w:w="0" w:type="dxa"/>
              <w:right w:w="85" w:type="dxa"/>
            </w:tcMar>
            <w:vAlign w:val="center"/>
          </w:tcPr>
          <w:p w14:paraId="136E1155" w14:textId="77777777" w:rsidR="00EB5913" w:rsidRPr="006623B9" w:rsidRDefault="00EB5913" w:rsidP="00F16E23">
            <w:pPr>
              <w:pStyle w:val="TableText"/>
              <w:spacing w:before="40" w:after="30"/>
              <w:jc w:val="right"/>
              <w:rPr>
                <w:szCs w:val="16"/>
              </w:rPr>
            </w:pPr>
            <w:r w:rsidRPr="006623B9">
              <w:rPr>
                <w:rFonts w:eastAsia="Calibri"/>
                <w:szCs w:val="16"/>
              </w:rPr>
              <w:t>73.8</w:t>
            </w:r>
          </w:p>
        </w:tc>
        <w:tc>
          <w:tcPr>
            <w:tcW w:w="0" w:type="auto"/>
            <w:shd w:val="clear" w:color="auto" w:fill="FFFFFF"/>
            <w:tcMar>
              <w:top w:w="0" w:type="dxa"/>
              <w:left w:w="85" w:type="dxa"/>
              <w:bottom w:w="0" w:type="dxa"/>
              <w:right w:w="85" w:type="dxa"/>
            </w:tcMar>
            <w:vAlign w:val="center"/>
          </w:tcPr>
          <w:p w14:paraId="009BA334" w14:textId="77777777" w:rsidR="00EB5913" w:rsidRPr="006623B9" w:rsidRDefault="00EB5913" w:rsidP="00F16E23">
            <w:pPr>
              <w:pStyle w:val="TableText"/>
              <w:spacing w:before="40" w:after="30"/>
              <w:jc w:val="right"/>
              <w:rPr>
                <w:szCs w:val="16"/>
              </w:rPr>
            </w:pPr>
            <w:r w:rsidRPr="006623B9">
              <w:rPr>
                <w:rFonts w:eastAsia="Calibri"/>
                <w:szCs w:val="16"/>
              </w:rPr>
              <w:t>71.8</w:t>
            </w:r>
          </w:p>
        </w:tc>
        <w:tc>
          <w:tcPr>
            <w:tcW w:w="0" w:type="auto"/>
            <w:shd w:val="clear" w:color="auto" w:fill="FFFFFF"/>
            <w:tcMar>
              <w:top w:w="0" w:type="dxa"/>
              <w:left w:w="85" w:type="dxa"/>
              <w:bottom w:w="0" w:type="dxa"/>
              <w:right w:w="85" w:type="dxa"/>
            </w:tcMar>
            <w:vAlign w:val="center"/>
          </w:tcPr>
          <w:p w14:paraId="6DD0B3A4" w14:textId="77777777" w:rsidR="00EB5913" w:rsidRPr="006623B9" w:rsidRDefault="00EB5913" w:rsidP="00F16E23">
            <w:pPr>
              <w:pStyle w:val="TableText"/>
              <w:spacing w:before="40" w:after="30"/>
              <w:jc w:val="right"/>
              <w:rPr>
                <w:szCs w:val="16"/>
              </w:rPr>
            </w:pPr>
            <w:r w:rsidRPr="006623B9">
              <w:rPr>
                <w:rFonts w:eastAsia="Calibri"/>
                <w:szCs w:val="16"/>
              </w:rPr>
              <w:t>5.7</w:t>
            </w:r>
          </w:p>
        </w:tc>
        <w:tc>
          <w:tcPr>
            <w:tcW w:w="0" w:type="auto"/>
            <w:shd w:val="clear" w:color="auto" w:fill="FFFFFF"/>
            <w:tcMar>
              <w:top w:w="0" w:type="dxa"/>
              <w:left w:w="85" w:type="dxa"/>
              <w:bottom w:w="0" w:type="dxa"/>
              <w:right w:w="85" w:type="dxa"/>
            </w:tcMar>
            <w:vAlign w:val="center"/>
          </w:tcPr>
          <w:p w14:paraId="7A888BCB" w14:textId="77777777" w:rsidR="00EB5913" w:rsidRPr="006623B9" w:rsidRDefault="00EB5913" w:rsidP="00F16E23">
            <w:pPr>
              <w:pStyle w:val="TableText"/>
              <w:spacing w:before="40" w:after="30"/>
              <w:jc w:val="right"/>
              <w:rPr>
                <w:szCs w:val="16"/>
              </w:rPr>
            </w:pPr>
            <w:r w:rsidRPr="006623B9">
              <w:rPr>
                <w:rFonts w:eastAsia="Calibri"/>
                <w:szCs w:val="16"/>
              </w:rPr>
              <w:t>151.2</w:t>
            </w:r>
          </w:p>
        </w:tc>
      </w:tr>
      <w:tr w:rsidR="00EB5913" w:rsidRPr="006623B9" w14:paraId="24A01A0A" w14:textId="77777777" w:rsidTr="00F16E23">
        <w:tc>
          <w:tcPr>
            <w:tcW w:w="0" w:type="auto"/>
            <w:shd w:val="clear" w:color="auto" w:fill="FFFFFF"/>
            <w:tcMar>
              <w:top w:w="0" w:type="dxa"/>
              <w:left w:w="85" w:type="dxa"/>
              <w:bottom w:w="0" w:type="dxa"/>
              <w:right w:w="85" w:type="dxa"/>
            </w:tcMar>
            <w:vAlign w:val="center"/>
          </w:tcPr>
          <w:p w14:paraId="234E8DCE" w14:textId="77777777" w:rsidR="00EB5913" w:rsidRPr="006623B9" w:rsidRDefault="00EB5913" w:rsidP="00F16E23">
            <w:pPr>
              <w:pStyle w:val="Tableboldblue"/>
              <w:spacing w:before="40" w:after="30"/>
              <w:rPr>
                <w:szCs w:val="16"/>
              </w:rPr>
            </w:pPr>
            <w:r w:rsidRPr="006623B9">
              <w:rPr>
                <w:rFonts w:eastAsia="Calibri"/>
                <w:szCs w:val="16"/>
              </w:rPr>
              <w:t>2021</w:t>
            </w:r>
          </w:p>
        </w:tc>
        <w:tc>
          <w:tcPr>
            <w:tcW w:w="0" w:type="auto"/>
            <w:shd w:val="clear" w:color="auto" w:fill="FFFFFF"/>
            <w:tcMar>
              <w:top w:w="0" w:type="dxa"/>
              <w:left w:w="85" w:type="dxa"/>
              <w:bottom w:w="0" w:type="dxa"/>
              <w:right w:w="85" w:type="dxa"/>
            </w:tcMar>
            <w:vAlign w:val="center"/>
          </w:tcPr>
          <w:p w14:paraId="17A2D5E1" w14:textId="77777777" w:rsidR="00EB5913" w:rsidRPr="006623B9" w:rsidRDefault="00EB5913" w:rsidP="00F16E23">
            <w:pPr>
              <w:pStyle w:val="TableText"/>
              <w:spacing w:before="40" w:after="30"/>
              <w:jc w:val="right"/>
              <w:rPr>
                <w:szCs w:val="16"/>
              </w:rPr>
            </w:pPr>
            <w:r w:rsidRPr="006623B9">
              <w:rPr>
                <w:rFonts w:eastAsia="Calibri"/>
                <w:szCs w:val="16"/>
              </w:rPr>
              <w:t>74.6</w:t>
            </w:r>
          </w:p>
        </w:tc>
        <w:tc>
          <w:tcPr>
            <w:tcW w:w="0" w:type="auto"/>
            <w:shd w:val="clear" w:color="auto" w:fill="FFFFFF"/>
            <w:tcMar>
              <w:top w:w="0" w:type="dxa"/>
              <w:left w:w="85" w:type="dxa"/>
              <w:bottom w:w="0" w:type="dxa"/>
              <w:right w:w="85" w:type="dxa"/>
            </w:tcMar>
            <w:vAlign w:val="center"/>
          </w:tcPr>
          <w:p w14:paraId="5CF3DB7F" w14:textId="77777777" w:rsidR="00EB5913" w:rsidRPr="006623B9" w:rsidRDefault="00EB5913" w:rsidP="00F16E23">
            <w:pPr>
              <w:pStyle w:val="TableText"/>
              <w:spacing w:before="40" w:after="30"/>
              <w:jc w:val="right"/>
              <w:rPr>
                <w:szCs w:val="16"/>
              </w:rPr>
            </w:pPr>
            <w:r w:rsidRPr="006623B9">
              <w:rPr>
                <w:rFonts w:eastAsia="Calibri"/>
                <w:szCs w:val="16"/>
              </w:rPr>
              <w:t>68.2</w:t>
            </w:r>
          </w:p>
        </w:tc>
        <w:tc>
          <w:tcPr>
            <w:tcW w:w="0" w:type="auto"/>
            <w:shd w:val="clear" w:color="auto" w:fill="FFFFFF"/>
            <w:tcMar>
              <w:top w:w="0" w:type="dxa"/>
              <w:left w:w="85" w:type="dxa"/>
              <w:bottom w:w="0" w:type="dxa"/>
              <w:right w:w="85" w:type="dxa"/>
            </w:tcMar>
            <w:vAlign w:val="center"/>
          </w:tcPr>
          <w:p w14:paraId="12389146" w14:textId="77777777" w:rsidR="00EB5913" w:rsidRPr="006623B9" w:rsidRDefault="00EB5913" w:rsidP="00F16E23">
            <w:pPr>
              <w:pStyle w:val="TableText"/>
              <w:spacing w:before="40" w:after="30"/>
              <w:jc w:val="right"/>
              <w:rPr>
                <w:szCs w:val="16"/>
              </w:rPr>
            </w:pPr>
            <w:r w:rsidRPr="006623B9">
              <w:rPr>
                <w:rFonts w:eastAsia="Calibri"/>
                <w:szCs w:val="16"/>
              </w:rPr>
              <w:t>4.6</w:t>
            </w:r>
          </w:p>
        </w:tc>
        <w:tc>
          <w:tcPr>
            <w:tcW w:w="0" w:type="auto"/>
            <w:shd w:val="clear" w:color="auto" w:fill="FFFFFF"/>
            <w:tcMar>
              <w:top w:w="0" w:type="dxa"/>
              <w:left w:w="85" w:type="dxa"/>
              <w:bottom w:w="0" w:type="dxa"/>
              <w:right w:w="85" w:type="dxa"/>
            </w:tcMar>
            <w:vAlign w:val="center"/>
          </w:tcPr>
          <w:p w14:paraId="1F29E0C1" w14:textId="77777777" w:rsidR="00EB5913" w:rsidRPr="006623B9" w:rsidRDefault="00EB5913" w:rsidP="00F16E23">
            <w:pPr>
              <w:pStyle w:val="TableText"/>
              <w:spacing w:before="40" w:after="30"/>
              <w:jc w:val="right"/>
              <w:rPr>
                <w:szCs w:val="16"/>
              </w:rPr>
            </w:pPr>
            <w:r w:rsidRPr="006623B9">
              <w:rPr>
                <w:rFonts w:eastAsia="Calibri"/>
                <w:szCs w:val="16"/>
              </w:rPr>
              <w:t>147.4</w:t>
            </w:r>
          </w:p>
        </w:tc>
      </w:tr>
      <w:tr w:rsidR="00EB5913" w:rsidRPr="006623B9" w14:paraId="02740E69" w14:textId="77777777" w:rsidTr="00F16E23">
        <w:tc>
          <w:tcPr>
            <w:tcW w:w="0" w:type="auto"/>
            <w:shd w:val="clear" w:color="auto" w:fill="FFFFFF"/>
            <w:tcMar>
              <w:top w:w="0" w:type="dxa"/>
              <w:left w:w="85" w:type="dxa"/>
              <w:bottom w:w="0" w:type="dxa"/>
              <w:right w:w="85" w:type="dxa"/>
            </w:tcMar>
            <w:vAlign w:val="center"/>
          </w:tcPr>
          <w:p w14:paraId="2D13C7E0" w14:textId="77777777" w:rsidR="00EB5913" w:rsidRPr="006623B9" w:rsidRDefault="00EB5913" w:rsidP="00F16E23">
            <w:pPr>
              <w:pStyle w:val="Tableboldblue"/>
              <w:spacing w:before="40" w:after="30"/>
              <w:rPr>
                <w:szCs w:val="16"/>
              </w:rPr>
            </w:pPr>
            <w:r w:rsidRPr="006623B9">
              <w:rPr>
                <w:rFonts w:eastAsia="Calibri"/>
                <w:szCs w:val="16"/>
              </w:rPr>
              <w:t>2022</w:t>
            </w:r>
          </w:p>
        </w:tc>
        <w:tc>
          <w:tcPr>
            <w:tcW w:w="0" w:type="auto"/>
            <w:shd w:val="clear" w:color="auto" w:fill="FFFFFF"/>
            <w:tcMar>
              <w:top w:w="0" w:type="dxa"/>
              <w:left w:w="85" w:type="dxa"/>
              <w:bottom w:w="0" w:type="dxa"/>
              <w:right w:w="85" w:type="dxa"/>
            </w:tcMar>
            <w:vAlign w:val="center"/>
          </w:tcPr>
          <w:p w14:paraId="6AE7B8D6" w14:textId="77777777" w:rsidR="00EB5913" w:rsidRPr="006623B9" w:rsidRDefault="00EB5913" w:rsidP="00F16E23">
            <w:pPr>
              <w:pStyle w:val="TableText"/>
              <w:spacing w:before="40" w:after="30"/>
              <w:jc w:val="right"/>
              <w:rPr>
                <w:szCs w:val="16"/>
              </w:rPr>
            </w:pPr>
            <w:r w:rsidRPr="006623B9">
              <w:rPr>
                <w:rFonts w:eastAsia="Calibri"/>
                <w:szCs w:val="16"/>
              </w:rPr>
              <w:t>72.7</w:t>
            </w:r>
          </w:p>
        </w:tc>
        <w:tc>
          <w:tcPr>
            <w:tcW w:w="0" w:type="auto"/>
            <w:shd w:val="clear" w:color="auto" w:fill="FFFFFF"/>
            <w:tcMar>
              <w:top w:w="0" w:type="dxa"/>
              <w:left w:w="85" w:type="dxa"/>
              <w:bottom w:w="0" w:type="dxa"/>
              <w:right w:w="85" w:type="dxa"/>
            </w:tcMar>
            <w:vAlign w:val="center"/>
          </w:tcPr>
          <w:p w14:paraId="56AAC920" w14:textId="77777777" w:rsidR="00EB5913" w:rsidRPr="006623B9" w:rsidRDefault="00EB5913" w:rsidP="00F16E23">
            <w:pPr>
              <w:pStyle w:val="TableText"/>
              <w:spacing w:before="40" w:after="30"/>
              <w:jc w:val="right"/>
              <w:rPr>
                <w:szCs w:val="16"/>
              </w:rPr>
            </w:pPr>
            <w:r w:rsidRPr="006623B9">
              <w:rPr>
                <w:rFonts w:eastAsia="Calibri"/>
                <w:szCs w:val="16"/>
              </w:rPr>
              <w:t>61.0</w:t>
            </w:r>
          </w:p>
        </w:tc>
        <w:tc>
          <w:tcPr>
            <w:tcW w:w="0" w:type="auto"/>
            <w:shd w:val="clear" w:color="auto" w:fill="FFFFFF"/>
            <w:tcMar>
              <w:top w:w="0" w:type="dxa"/>
              <w:left w:w="85" w:type="dxa"/>
              <w:bottom w:w="0" w:type="dxa"/>
              <w:right w:w="85" w:type="dxa"/>
            </w:tcMar>
            <w:vAlign w:val="center"/>
          </w:tcPr>
          <w:p w14:paraId="70F2B34E" w14:textId="77777777" w:rsidR="00EB5913" w:rsidRPr="006623B9" w:rsidRDefault="00EB5913" w:rsidP="00F16E23">
            <w:pPr>
              <w:pStyle w:val="TableText"/>
              <w:spacing w:before="40" w:after="30"/>
              <w:jc w:val="right"/>
              <w:rPr>
                <w:szCs w:val="16"/>
              </w:rPr>
            </w:pPr>
            <w:r w:rsidRPr="006623B9">
              <w:rPr>
                <w:rFonts w:eastAsia="Calibri"/>
                <w:szCs w:val="16"/>
              </w:rPr>
              <w:t>6.6</w:t>
            </w:r>
          </w:p>
        </w:tc>
        <w:tc>
          <w:tcPr>
            <w:tcW w:w="0" w:type="auto"/>
            <w:shd w:val="clear" w:color="auto" w:fill="FFFFFF"/>
            <w:tcMar>
              <w:top w:w="0" w:type="dxa"/>
              <w:left w:w="85" w:type="dxa"/>
              <w:bottom w:w="0" w:type="dxa"/>
              <w:right w:w="85" w:type="dxa"/>
            </w:tcMar>
            <w:vAlign w:val="center"/>
          </w:tcPr>
          <w:p w14:paraId="29D599A5" w14:textId="77777777" w:rsidR="00EB5913" w:rsidRPr="006623B9" w:rsidRDefault="00EB5913" w:rsidP="00F16E23">
            <w:pPr>
              <w:pStyle w:val="TableText"/>
              <w:spacing w:before="40" w:after="30"/>
              <w:jc w:val="right"/>
              <w:rPr>
                <w:szCs w:val="16"/>
              </w:rPr>
            </w:pPr>
            <w:r w:rsidRPr="006623B9">
              <w:rPr>
                <w:rFonts w:eastAsia="Calibri"/>
                <w:szCs w:val="16"/>
              </w:rPr>
              <w:t>140.3</w:t>
            </w:r>
          </w:p>
        </w:tc>
      </w:tr>
      <w:tr w:rsidR="00EB5913" w:rsidRPr="006623B9" w14:paraId="12317BA9" w14:textId="77777777" w:rsidTr="00F16E23">
        <w:tc>
          <w:tcPr>
            <w:tcW w:w="0" w:type="auto"/>
            <w:shd w:val="clear" w:color="auto" w:fill="FFFFFF"/>
            <w:tcMar>
              <w:top w:w="0" w:type="dxa"/>
              <w:left w:w="85" w:type="dxa"/>
              <w:bottom w:w="0" w:type="dxa"/>
              <w:right w:w="85" w:type="dxa"/>
            </w:tcMar>
            <w:vAlign w:val="center"/>
          </w:tcPr>
          <w:p w14:paraId="39597FDA" w14:textId="77777777" w:rsidR="00EB5913" w:rsidRPr="006623B9" w:rsidRDefault="00EB5913" w:rsidP="00F16E23">
            <w:pPr>
              <w:pStyle w:val="Tableboldblue"/>
              <w:spacing w:before="40" w:after="30"/>
              <w:rPr>
                <w:szCs w:val="16"/>
              </w:rPr>
            </w:pPr>
            <w:r w:rsidRPr="006623B9">
              <w:rPr>
                <w:rFonts w:eastAsia="Calibri"/>
                <w:szCs w:val="16"/>
              </w:rPr>
              <w:t>2023</w:t>
            </w:r>
          </w:p>
        </w:tc>
        <w:tc>
          <w:tcPr>
            <w:tcW w:w="0" w:type="auto"/>
            <w:shd w:val="clear" w:color="auto" w:fill="FFFFFF"/>
            <w:tcMar>
              <w:top w:w="0" w:type="dxa"/>
              <w:left w:w="85" w:type="dxa"/>
              <w:bottom w:w="0" w:type="dxa"/>
              <w:right w:w="85" w:type="dxa"/>
            </w:tcMar>
            <w:vAlign w:val="center"/>
          </w:tcPr>
          <w:p w14:paraId="398AA065" w14:textId="77777777" w:rsidR="00EB5913" w:rsidRPr="006623B9" w:rsidRDefault="00EB5913" w:rsidP="00F16E23">
            <w:pPr>
              <w:pStyle w:val="TableText"/>
              <w:spacing w:before="40" w:after="30"/>
              <w:jc w:val="right"/>
              <w:rPr>
                <w:szCs w:val="16"/>
              </w:rPr>
            </w:pPr>
            <w:r w:rsidRPr="006623B9">
              <w:rPr>
                <w:rFonts w:eastAsia="Calibri"/>
                <w:szCs w:val="16"/>
              </w:rPr>
              <w:t>74.2</w:t>
            </w:r>
          </w:p>
        </w:tc>
        <w:tc>
          <w:tcPr>
            <w:tcW w:w="0" w:type="auto"/>
            <w:shd w:val="clear" w:color="auto" w:fill="FFFFFF"/>
            <w:tcMar>
              <w:top w:w="0" w:type="dxa"/>
              <w:left w:w="85" w:type="dxa"/>
              <w:bottom w:w="0" w:type="dxa"/>
              <w:right w:w="85" w:type="dxa"/>
            </w:tcMar>
            <w:vAlign w:val="center"/>
          </w:tcPr>
          <w:p w14:paraId="16381723" w14:textId="77777777" w:rsidR="00EB5913" w:rsidRPr="006623B9" w:rsidRDefault="00EB5913" w:rsidP="00F16E23">
            <w:pPr>
              <w:pStyle w:val="TableText"/>
              <w:spacing w:before="40" w:after="30"/>
              <w:jc w:val="right"/>
              <w:rPr>
                <w:szCs w:val="16"/>
              </w:rPr>
            </w:pPr>
            <w:r w:rsidRPr="006623B9">
              <w:rPr>
                <w:rFonts w:eastAsia="Calibri"/>
                <w:szCs w:val="16"/>
              </w:rPr>
              <w:t>50.6</w:t>
            </w:r>
          </w:p>
        </w:tc>
        <w:tc>
          <w:tcPr>
            <w:tcW w:w="0" w:type="auto"/>
            <w:shd w:val="clear" w:color="auto" w:fill="FFFFFF"/>
            <w:tcMar>
              <w:top w:w="0" w:type="dxa"/>
              <w:left w:w="85" w:type="dxa"/>
              <w:bottom w:w="0" w:type="dxa"/>
              <w:right w:w="85" w:type="dxa"/>
            </w:tcMar>
            <w:vAlign w:val="center"/>
          </w:tcPr>
          <w:p w14:paraId="00DC6865" w14:textId="77777777" w:rsidR="00EB5913" w:rsidRPr="006623B9" w:rsidRDefault="00EB5913" w:rsidP="00F16E23">
            <w:pPr>
              <w:pStyle w:val="TableText"/>
              <w:spacing w:before="40" w:after="30"/>
              <w:jc w:val="right"/>
              <w:rPr>
                <w:szCs w:val="16"/>
              </w:rPr>
            </w:pPr>
            <w:r w:rsidRPr="006623B9">
              <w:rPr>
                <w:rFonts w:eastAsia="Calibri"/>
                <w:szCs w:val="16"/>
              </w:rPr>
              <w:t>6.2</w:t>
            </w:r>
          </w:p>
        </w:tc>
        <w:tc>
          <w:tcPr>
            <w:tcW w:w="0" w:type="auto"/>
            <w:shd w:val="clear" w:color="auto" w:fill="FFFFFF"/>
            <w:tcMar>
              <w:top w:w="0" w:type="dxa"/>
              <w:left w:w="85" w:type="dxa"/>
              <w:bottom w:w="0" w:type="dxa"/>
              <w:right w:w="85" w:type="dxa"/>
            </w:tcMar>
            <w:vAlign w:val="center"/>
          </w:tcPr>
          <w:p w14:paraId="229D9388" w14:textId="77777777" w:rsidR="00EB5913" w:rsidRPr="006623B9" w:rsidRDefault="00EB5913" w:rsidP="00F16E23">
            <w:pPr>
              <w:pStyle w:val="TableText"/>
              <w:spacing w:before="40" w:after="30"/>
              <w:jc w:val="right"/>
              <w:rPr>
                <w:szCs w:val="16"/>
              </w:rPr>
            </w:pPr>
            <w:r w:rsidRPr="006623B9">
              <w:rPr>
                <w:rFonts w:eastAsia="Calibri"/>
                <w:szCs w:val="16"/>
              </w:rPr>
              <w:t>131.0</w:t>
            </w:r>
          </w:p>
        </w:tc>
      </w:tr>
      <w:tr w:rsidR="00EB5913" w:rsidRPr="006623B9" w14:paraId="4AEFD3F0" w14:textId="77777777" w:rsidTr="00F16E23">
        <w:tc>
          <w:tcPr>
            <w:tcW w:w="0" w:type="auto"/>
            <w:shd w:val="clear" w:color="auto" w:fill="FFFFFF"/>
            <w:tcMar>
              <w:top w:w="0" w:type="dxa"/>
              <w:left w:w="85" w:type="dxa"/>
              <w:bottom w:w="0" w:type="dxa"/>
              <w:right w:w="85" w:type="dxa"/>
            </w:tcMar>
            <w:vAlign w:val="center"/>
          </w:tcPr>
          <w:p w14:paraId="0F61CAAB" w14:textId="77777777" w:rsidR="00EB5913" w:rsidRPr="006623B9" w:rsidRDefault="00EB5913" w:rsidP="00F16E23">
            <w:pPr>
              <w:pStyle w:val="Tableboldblue"/>
              <w:spacing w:before="40" w:after="30"/>
              <w:rPr>
                <w:szCs w:val="16"/>
              </w:rPr>
            </w:pPr>
            <w:r w:rsidRPr="006623B9">
              <w:rPr>
                <w:rFonts w:eastAsia="Calibri"/>
                <w:szCs w:val="16"/>
              </w:rPr>
              <w:t>2024</w:t>
            </w:r>
          </w:p>
        </w:tc>
        <w:tc>
          <w:tcPr>
            <w:tcW w:w="0" w:type="auto"/>
            <w:shd w:val="clear" w:color="auto" w:fill="FFFFFF"/>
            <w:tcMar>
              <w:top w:w="0" w:type="dxa"/>
              <w:left w:w="85" w:type="dxa"/>
              <w:bottom w:w="0" w:type="dxa"/>
              <w:right w:w="85" w:type="dxa"/>
            </w:tcMar>
            <w:vAlign w:val="center"/>
          </w:tcPr>
          <w:p w14:paraId="35A8A9CC" w14:textId="77777777" w:rsidR="00EB5913" w:rsidRPr="006623B9" w:rsidRDefault="00EB5913" w:rsidP="00F16E23">
            <w:pPr>
              <w:pStyle w:val="TableText"/>
              <w:spacing w:before="40" w:after="30"/>
              <w:jc w:val="right"/>
              <w:rPr>
                <w:szCs w:val="16"/>
              </w:rPr>
            </w:pPr>
            <w:r w:rsidRPr="006623B9">
              <w:rPr>
                <w:rFonts w:eastAsia="Calibri"/>
                <w:szCs w:val="16"/>
              </w:rPr>
              <w:t>73.3</w:t>
            </w:r>
          </w:p>
        </w:tc>
        <w:tc>
          <w:tcPr>
            <w:tcW w:w="0" w:type="auto"/>
            <w:shd w:val="clear" w:color="auto" w:fill="FFFFFF"/>
            <w:tcMar>
              <w:top w:w="0" w:type="dxa"/>
              <w:left w:w="85" w:type="dxa"/>
              <w:bottom w:w="0" w:type="dxa"/>
              <w:right w:w="85" w:type="dxa"/>
            </w:tcMar>
            <w:vAlign w:val="center"/>
          </w:tcPr>
          <w:p w14:paraId="2286C4A0" w14:textId="77777777" w:rsidR="00EB5913" w:rsidRPr="006623B9" w:rsidRDefault="00EB5913" w:rsidP="00F16E23">
            <w:pPr>
              <w:pStyle w:val="TableText"/>
              <w:spacing w:before="40" w:after="30"/>
              <w:jc w:val="right"/>
              <w:rPr>
                <w:szCs w:val="16"/>
              </w:rPr>
            </w:pPr>
            <w:r w:rsidRPr="006623B9">
              <w:rPr>
                <w:rFonts w:eastAsia="Calibri"/>
                <w:szCs w:val="16"/>
              </w:rPr>
              <w:t>56.6</w:t>
            </w:r>
          </w:p>
        </w:tc>
        <w:tc>
          <w:tcPr>
            <w:tcW w:w="0" w:type="auto"/>
            <w:shd w:val="clear" w:color="auto" w:fill="FFFFFF"/>
            <w:tcMar>
              <w:top w:w="0" w:type="dxa"/>
              <w:left w:w="85" w:type="dxa"/>
              <w:bottom w:w="0" w:type="dxa"/>
              <w:right w:w="85" w:type="dxa"/>
            </w:tcMar>
            <w:vAlign w:val="center"/>
          </w:tcPr>
          <w:p w14:paraId="2731F143" w14:textId="77777777" w:rsidR="00EB5913" w:rsidRPr="006623B9" w:rsidRDefault="00EB5913" w:rsidP="00F16E23">
            <w:pPr>
              <w:pStyle w:val="TableText"/>
              <w:spacing w:before="40" w:after="30"/>
              <w:jc w:val="right"/>
              <w:rPr>
                <w:szCs w:val="16"/>
              </w:rPr>
            </w:pPr>
            <w:r w:rsidRPr="006623B9">
              <w:rPr>
                <w:rFonts w:eastAsia="Calibri"/>
                <w:szCs w:val="16"/>
              </w:rPr>
              <w:t>4.9</w:t>
            </w:r>
          </w:p>
        </w:tc>
        <w:tc>
          <w:tcPr>
            <w:tcW w:w="0" w:type="auto"/>
            <w:shd w:val="clear" w:color="auto" w:fill="FFFFFF"/>
            <w:tcMar>
              <w:top w:w="0" w:type="dxa"/>
              <w:left w:w="85" w:type="dxa"/>
              <w:bottom w:w="0" w:type="dxa"/>
              <w:right w:w="85" w:type="dxa"/>
            </w:tcMar>
            <w:vAlign w:val="center"/>
          </w:tcPr>
          <w:p w14:paraId="42016797" w14:textId="77777777" w:rsidR="00EB5913" w:rsidRPr="006623B9" w:rsidRDefault="00EB5913" w:rsidP="00F16E23">
            <w:pPr>
              <w:pStyle w:val="TableText"/>
              <w:spacing w:before="40" w:after="30"/>
              <w:jc w:val="right"/>
              <w:rPr>
                <w:szCs w:val="16"/>
              </w:rPr>
            </w:pPr>
            <w:r w:rsidRPr="006623B9">
              <w:rPr>
                <w:rFonts w:eastAsia="Calibri"/>
                <w:szCs w:val="16"/>
              </w:rPr>
              <w:t>134.8</w:t>
            </w:r>
          </w:p>
        </w:tc>
      </w:tr>
    </w:tbl>
    <w:p w14:paraId="6DA26DFC" w14:textId="77777777" w:rsidR="00EB5913" w:rsidRPr="006623B9" w:rsidRDefault="00EB5913" w:rsidP="00EB5913">
      <w:pPr>
        <w:pStyle w:val="Noteundertable"/>
      </w:pPr>
      <w:r w:rsidRPr="006623B9">
        <w:rPr>
          <w:b/>
          <w:bCs/>
        </w:rPr>
        <w:t>Note:</w:t>
      </w:r>
      <w:r w:rsidRPr="006623B9">
        <w:t xml:space="preserve"> </w:t>
      </w:r>
      <w:r w:rsidRPr="006623B9">
        <w:tab/>
        <w:t>TOW = total organic product in wastewater. Columns may not total due to rounding.</w:t>
      </w:r>
    </w:p>
    <w:p w14:paraId="0B62478C" w14:textId="77777777" w:rsidR="00EB5913" w:rsidRPr="006623B9" w:rsidRDefault="00EB5913" w:rsidP="00EB5913">
      <w:pPr>
        <w:pStyle w:val="BodyText"/>
        <w:rPr>
          <w:spacing w:val="-2"/>
        </w:rPr>
      </w:pPr>
      <w:r w:rsidRPr="006623B9">
        <w:rPr>
          <w:spacing w:val="-2"/>
        </w:rPr>
        <w:t>Table 7.5.4 reports the activity data for the total nitrogen in effluent from industrial wastewater.</w:t>
      </w:r>
    </w:p>
    <w:p w14:paraId="545F8805" w14:textId="77777777" w:rsidR="00EB5913" w:rsidRPr="006623B9" w:rsidRDefault="00EB5913" w:rsidP="00EB5913">
      <w:pPr>
        <w:pStyle w:val="Table"/>
      </w:pPr>
      <w:bookmarkStart w:id="3104" w:name="_Toc226669123"/>
      <w:r w:rsidRPr="006623B9">
        <w:t xml:space="preserve">Table 7.5.4 </w:t>
      </w:r>
      <w:r w:rsidRPr="006623B9">
        <w:tab/>
        <w:t>Nitrogen (N) in effluent from industrial wastewater, from 1990 to 2024</w:t>
      </w:r>
      <w:bookmarkEnd w:id="310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95"/>
        <w:gridCol w:w="1989"/>
        <w:gridCol w:w="1303"/>
        <w:gridCol w:w="1599"/>
        <w:gridCol w:w="1558"/>
        <w:gridCol w:w="1550"/>
      </w:tblGrid>
      <w:tr w:rsidR="00EB5913" w:rsidRPr="006623B9" w14:paraId="2BD7E7C2" w14:textId="77777777" w:rsidTr="00F16E23">
        <w:trPr>
          <w:tblHeader/>
        </w:trPr>
        <w:tc>
          <w:tcPr>
            <w:tcW w:w="0" w:type="auto"/>
            <w:shd w:val="clear" w:color="auto" w:fill="1B556B"/>
            <w:tcMar>
              <w:top w:w="0" w:type="dxa"/>
              <w:left w:w="85" w:type="dxa"/>
              <w:bottom w:w="0" w:type="dxa"/>
              <w:right w:w="85" w:type="dxa"/>
            </w:tcMar>
            <w:vAlign w:val="bottom"/>
          </w:tcPr>
          <w:p w14:paraId="6FF21090" w14:textId="77777777" w:rsidR="00EB5913" w:rsidRPr="006623B9" w:rsidRDefault="00EB5913" w:rsidP="00F16E23">
            <w:pPr>
              <w:pStyle w:val="TableTextBold"/>
              <w:spacing w:before="40" w:after="30"/>
              <w:rPr>
                <w:noProof w:val="0"/>
                <w:color w:val="FFFFFF" w:themeColor="background1"/>
                <w:szCs w:val="16"/>
              </w:rPr>
            </w:pPr>
            <w:r w:rsidRPr="006623B9">
              <w:rPr>
                <w:rFonts w:eastAsia="Calibri"/>
                <w:noProof w:val="0"/>
                <w:color w:val="FFFFFF" w:themeColor="background1"/>
                <w:szCs w:val="16"/>
              </w:rPr>
              <w:t>Year</w:t>
            </w:r>
          </w:p>
        </w:tc>
        <w:tc>
          <w:tcPr>
            <w:tcW w:w="0" w:type="auto"/>
            <w:shd w:val="clear" w:color="auto" w:fill="1B556B"/>
            <w:tcMar>
              <w:top w:w="0" w:type="dxa"/>
              <w:left w:w="85" w:type="dxa"/>
              <w:bottom w:w="0" w:type="dxa"/>
              <w:right w:w="85" w:type="dxa"/>
            </w:tcMar>
            <w:vAlign w:val="bottom"/>
          </w:tcPr>
          <w:p w14:paraId="347261F8"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Meat industries (excl poultry) N in effluent (kt)</w:t>
            </w:r>
          </w:p>
        </w:tc>
        <w:tc>
          <w:tcPr>
            <w:tcW w:w="0" w:type="auto"/>
            <w:shd w:val="clear" w:color="auto" w:fill="1B556B"/>
            <w:tcMar>
              <w:top w:w="0" w:type="dxa"/>
              <w:left w:w="85" w:type="dxa"/>
              <w:bottom w:w="0" w:type="dxa"/>
              <w:right w:w="85" w:type="dxa"/>
            </w:tcMar>
            <w:vAlign w:val="bottom"/>
          </w:tcPr>
          <w:p w14:paraId="23253219"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Poultry N in effluent (kt)</w:t>
            </w:r>
          </w:p>
        </w:tc>
        <w:tc>
          <w:tcPr>
            <w:tcW w:w="0" w:type="auto"/>
            <w:shd w:val="clear" w:color="auto" w:fill="1B556B"/>
            <w:tcMar>
              <w:top w:w="0" w:type="dxa"/>
              <w:left w:w="85" w:type="dxa"/>
              <w:bottom w:w="0" w:type="dxa"/>
              <w:right w:w="85" w:type="dxa"/>
            </w:tcMar>
            <w:vAlign w:val="bottom"/>
          </w:tcPr>
          <w:p w14:paraId="64FFBC1A"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Dairy processing N in effluent (kt)</w:t>
            </w:r>
          </w:p>
        </w:tc>
        <w:tc>
          <w:tcPr>
            <w:tcW w:w="0" w:type="auto"/>
            <w:shd w:val="clear" w:color="auto" w:fill="1B556B"/>
            <w:tcMar>
              <w:top w:w="0" w:type="dxa"/>
              <w:left w:w="85" w:type="dxa"/>
              <w:bottom w:w="0" w:type="dxa"/>
              <w:right w:w="85" w:type="dxa"/>
            </w:tcMar>
            <w:vAlign w:val="bottom"/>
          </w:tcPr>
          <w:p w14:paraId="41E0152D"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Leather &amp; skins N in effluent (kt)</w:t>
            </w:r>
          </w:p>
        </w:tc>
        <w:tc>
          <w:tcPr>
            <w:tcW w:w="0" w:type="auto"/>
            <w:shd w:val="clear" w:color="auto" w:fill="1B556B"/>
            <w:tcMar>
              <w:top w:w="0" w:type="dxa"/>
              <w:left w:w="85" w:type="dxa"/>
              <w:bottom w:w="0" w:type="dxa"/>
              <w:right w:w="85" w:type="dxa"/>
            </w:tcMar>
            <w:vAlign w:val="bottom"/>
          </w:tcPr>
          <w:p w14:paraId="4C99301F" w14:textId="77777777" w:rsidR="00EB5913" w:rsidRPr="006623B9" w:rsidRDefault="00EB5913" w:rsidP="00F16E23">
            <w:pPr>
              <w:pStyle w:val="TableTextBold"/>
              <w:spacing w:before="40" w:after="30"/>
              <w:jc w:val="right"/>
              <w:rPr>
                <w:noProof w:val="0"/>
                <w:color w:val="FFFFFF" w:themeColor="background1"/>
                <w:szCs w:val="16"/>
              </w:rPr>
            </w:pPr>
            <w:r w:rsidRPr="006623B9">
              <w:rPr>
                <w:rFonts w:eastAsia="Calibri"/>
                <w:noProof w:val="0"/>
                <w:color w:val="FFFFFF" w:themeColor="background1"/>
                <w:szCs w:val="16"/>
              </w:rPr>
              <w:t>Total industrial N in effluent (kt)</w:t>
            </w:r>
          </w:p>
        </w:tc>
      </w:tr>
      <w:tr w:rsidR="00EB5913" w:rsidRPr="006623B9" w14:paraId="7EB607F6" w14:textId="77777777" w:rsidTr="00F16E23">
        <w:tc>
          <w:tcPr>
            <w:tcW w:w="0" w:type="auto"/>
            <w:shd w:val="clear" w:color="auto" w:fill="FFFFFF"/>
            <w:tcMar>
              <w:top w:w="0" w:type="dxa"/>
              <w:left w:w="85" w:type="dxa"/>
              <w:bottom w:w="0" w:type="dxa"/>
              <w:right w:w="85" w:type="dxa"/>
            </w:tcMar>
            <w:vAlign w:val="center"/>
          </w:tcPr>
          <w:p w14:paraId="14E2D6CB" w14:textId="77777777" w:rsidR="00EB5913" w:rsidRPr="006623B9" w:rsidRDefault="00EB5913" w:rsidP="00F16E23">
            <w:pPr>
              <w:pStyle w:val="Tableboldblue"/>
              <w:spacing w:before="40" w:after="30"/>
              <w:rPr>
                <w:szCs w:val="16"/>
              </w:rPr>
            </w:pPr>
            <w:r w:rsidRPr="006623B9">
              <w:rPr>
                <w:rFonts w:eastAsia="Calibri"/>
                <w:szCs w:val="16"/>
              </w:rPr>
              <w:t>1990</w:t>
            </w:r>
          </w:p>
        </w:tc>
        <w:tc>
          <w:tcPr>
            <w:tcW w:w="0" w:type="auto"/>
            <w:shd w:val="clear" w:color="auto" w:fill="FFFFFF"/>
            <w:tcMar>
              <w:top w:w="0" w:type="dxa"/>
              <w:left w:w="85" w:type="dxa"/>
              <w:bottom w:w="0" w:type="dxa"/>
              <w:right w:w="85" w:type="dxa"/>
            </w:tcMar>
            <w:vAlign w:val="center"/>
          </w:tcPr>
          <w:p w14:paraId="5D56F100" w14:textId="77777777" w:rsidR="00EB5913" w:rsidRPr="006623B9" w:rsidRDefault="00EB5913" w:rsidP="00F16E23">
            <w:pPr>
              <w:pStyle w:val="TableText"/>
              <w:spacing w:before="40" w:after="30"/>
              <w:jc w:val="right"/>
              <w:rPr>
                <w:szCs w:val="16"/>
              </w:rPr>
            </w:pPr>
            <w:r w:rsidRPr="006623B9">
              <w:rPr>
                <w:rFonts w:eastAsia="Calibri"/>
                <w:szCs w:val="16"/>
              </w:rPr>
              <w:t>1.3</w:t>
            </w:r>
          </w:p>
        </w:tc>
        <w:tc>
          <w:tcPr>
            <w:tcW w:w="0" w:type="auto"/>
            <w:shd w:val="clear" w:color="auto" w:fill="FFFFFF"/>
            <w:tcMar>
              <w:top w:w="0" w:type="dxa"/>
              <w:left w:w="85" w:type="dxa"/>
              <w:bottom w:w="0" w:type="dxa"/>
              <w:right w:w="85" w:type="dxa"/>
            </w:tcMar>
            <w:vAlign w:val="center"/>
          </w:tcPr>
          <w:p w14:paraId="6B68833C"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237F86C4"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6E61CB51"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38C1D285" w14:textId="77777777" w:rsidR="00EB5913" w:rsidRPr="006623B9" w:rsidRDefault="00EB5913" w:rsidP="00F16E23">
            <w:pPr>
              <w:pStyle w:val="TableText"/>
              <w:spacing w:before="40" w:after="30"/>
              <w:jc w:val="right"/>
              <w:rPr>
                <w:szCs w:val="16"/>
              </w:rPr>
            </w:pPr>
            <w:r w:rsidRPr="006623B9">
              <w:rPr>
                <w:rFonts w:eastAsia="Calibri"/>
                <w:szCs w:val="16"/>
              </w:rPr>
              <w:t>2.8</w:t>
            </w:r>
          </w:p>
        </w:tc>
      </w:tr>
      <w:tr w:rsidR="00EB5913" w:rsidRPr="006623B9" w14:paraId="218B4B71" w14:textId="77777777" w:rsidTr="00F16E23">
        <w:tc>
          <w:tcPr>
            <w:tcW w:w="0" w:type="auto"/>
            <w:shd w:val="clear" w:color="auto" w:fill="FFFFFF"/>
            <w:tcMar>
              <w:top w:w="0" w:type="dxa"/>
              <w:left w:w="85" w:type="dxa"/>
              <w:bottom w:w="0" w:type="dxa"/>
              <w:right w:w="85" w:type="dxa"/>
            </w:tcMar>
            <w:vAlign w:val="center"/>
          </w:tcPr>
          <w:p w14:paraId="285C6BCB" w14:textId="77777777" w:rsidR="00EB5913" w:rsidRPr="006623B9" w:rsidRDefault="00EB5913" w:rsidP="00F16E23">
            <w:pPr>
              <w:pStyle w:val="Tableboldblue"/>
              <w:spacing w:before="40" w:after="30"/>
              <w:rPr>
                <w:szCs w:val="16"/>
              </w:rPr>
            </w:pPr>
            <w:r w:rsidRPr="006623B9">
              <w:rPr>
                <w:rFonts w:eastAsia="Calibri"/>
                <w:szCs w:val="16"/>
              </w:rPr>
              <w:t>1991</w:t>
            </w:r>
          </w:p>
        </w:tc>
        <w:tc>
          <w:tcPr>
            <w:tcW w:w="0" w:type="auto"/>
            <w:shd w:val="clear" w:color="auto" w:fill="FFFFFF"/>
            <w:tcMar>
              <w:top w:w="0" w:type="dxa"/>
              <w:left w:w="85" w:type="dxa"/>
              <w:bottom w:w="0" w:type="dxa"/>
              <w:right w:w="85" w:type="dxa"/>
            </w:tcMar>
            <w:vAlign w:val="center"/>
          </w:tcPr>
          <w:p w14:paraId="7CA0154C" w14:textId="77777777" w:rsidR="00EB5913" w:rsidRPr="006623B9" w:rsidRDefault="00EB5913" w:rsidP="00F16E23">
            <w:pPr>
              <w:pStyle w:val="TableText"/>
              <w:spacing w:before="40" w:after="30"/>
              <w:jc w:val="right"/>
              <w:rPr>
                <w:szCs w:val="16"/>
              </w:rPr>
            </w:pPr>
            <w:r w:rsidRPr="006623B9">
              <w:rPr>
                <w:rFonts w:eastAsia="Calibri"/>
                <w:szCs w:val="16"/>
              </w:rPr>
              <w:t>1.4</w:t>
            </w:r>
          </w:p>
        </w:tc>
        <w:tc>
          <w:tcPr>
            <w:tcW w:w="0" w:type="auto"/>
            <w:shd w:val="clear" w:color="auto" w:fill="FFFFFF"/>
            <w:tcMar>
              <w:top w:w="0" w:type="dxa"/>
              <w:left w:w="85" w:type="dxa"/>
              <w:bottom w:w="0" w:type="dxa"/>
              <w:right w:w="85" w:type="dxa"/>
            </w:tcMar>
            <w:vAlign w:val="center"/>
          </w:tcPr>
          <w:p w14:paraId="245DFA8C"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4461A31A"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70BAF8E7"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4FEBBBAA"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0490B775" w14:textId="77777777" w:rsidTr="00F16E23">
        <w:tc>
          <w:tcPr>
            <w:tcW w:w="0" w:type="auto"/>
            <w:shd w:val="clear" w:color="auto" w:fill="FFFFFF"/>
            <w:tcMar>
              <w:top w:w="0" w:type="dxa"/>
              <w:left w:w="85" w:type="dxa"/>
              <w:bottom w:w="0" w:type="dxa"/>
              <w:right w:w="85" w:type="dxa"/>
            </w:tcMar>
            <w:vAlign w:val="center"/>
          </w:tcPr>
          <w:p w14:paraId="77D9E9FE" w14:textId="77777777" w:rsidR="00EB5913" w:rsidRPr="006623B9" w:rsidRDefault="00EB5913" w:rsidP="00F16E23">
            <w:pPr>
              <w:pStyle w:val="Tableboldblue"/>
              <w:spacing w:before="40" w:after="30"/>
              <w:rPr>
                <w:szCs w:val="16"/>
              </w:rPr>
            </w:pPr>
            <w:r w:rsidRPr="006623B9">
              <w:rPr>
                <w:rFonts w:eastAsia="Calibri"/>
                <w:szCs w:val="16"/>
              </w:rPr>
              <w:t>1992</w:t>
            </w:r>
          </w:p>
        </w:tc>
        <w:tc>
          <w:tcPr>
            <w:tcW w:w="0" w:type="auto"/>
            <w:shd w:val="clear" w:color="auto" w:fill="FFFFFF"/>
            <w:tcMar>
              <w:top w:w="0" w:type="dxa"/>
              <w:left w:w="85" w:type="dxa"/>
              <w:bottom w:w="0" w:type="dxa"/>
              <w:right w:w="85" w:type="dxa"/>
            </w:tcMar>
            <w:vAlign w:val="center"/>
          </w:tcPr>
          <w:p w14:paraId="7DF29B19"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5F350897"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10976219"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1A9B1960"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4B292582" w14:textId="77777777" w:rsidR="00EB5913" w:rsidRPr="006623B9" w:rsidRDefault="00EB5913" w:rsidP="00F16E23">
            <w:pPr>
              <w:pStyle w:val="TableText"/>
              <w:spacing w:before="40" w:after="30"/>
              <w:jc w:val="right"/>
              <w:rPr>
                <w:szCs w:val="16"/>
              </w:rPr>
            </w:pPr>
            <w:r w:rsidRPr="006623B9">
              <w:rPr>
                <w:rFonts w:eastAsia="Calibri"/>
                <w:szCs w:val="16"/>
              </w:rPr>
              <w:t>3.0</w:t>
            </w:r>
          </w:p>
        </w:tc>
      </w:tr>
      <w:tr w:rsidR="00EB5913" w:rsidRPr="006623B9" w14:paraId="7B81D3AA" w14:textId="77777777" w:rsidTr="00F16E23">
        <w:tc>
          <w:tcPr>
            <w:tcW w:w="0" w:type="auto"/>
            <w:shd w:val="clear" w:color="auto" w:fill="FFFFFF"/>
            <w:tcMar>
              <w:top w:w="0" w:type="dxa"/>
              <w:left w:w="85" w:type="dxa"/>
              <w:bottom w:w="0" w:type="dxa"/>
              <w:right w:w="85" w:type="dxa"/>
            </w:tcMar>
            <w:vAlign w:val="center"/>
          </w:tcPr>
          <w:p w14:paraId="3EDAC511" w14:textId="77777777" w:rsidR="00EB5913" w:rsidRPr="006623B9" w:rsidRDefault="00EB5913" w:rsidP="00F16E23">
            <w:pPr>
              <w:pStyle w:val="Tableboldblue"/>
              <w:spacing w:before="40" w:after="30"/>
              <w:rPr>
                <w:szCs w:val="16"/>
              </w:rPr>
            </w:pPr>
            <w:r w:rsidRPr="006623B9">
              <w:rPr>
                <w:rFonts w:eastAsia="Calibri"/>
                <w:szCs w:val="16"/>
              </w:rPr>
              <w:t>1993</w:t>
            </w:r>
          </w:p>
        </w:tc>
        <w:tc>
          <w:tcPr>
            <w:tcW w:w="0" w:type="auto"/>
            <w:shd w:val="clear" w:color="auto" w:fill="FFFFFF"/>
            <w:tcMar>
              <w:top w:w="0" w:type="dxa"/>
              <w:left w:w="85" w:type="dxa"/>
              <w:bottom w:w="0" w:type="dxa"/>
              <w:right w:w="85" w:type="dxa"/>
            </w:tcMar>
            <w:vAlign w:val="center"/>
          </w:tcPr>
          <w:p w14:paraId="69C6F48A" w14:textId="77777777" w:rsidR="00EB5913" w:rsidRPr="006623B9" w:rsidRDefault="00EB5913" w:rsidP="00F16E23">
            <w:pPr>
              <w:pStyle w:val="TableText"/>
              <w:spacing w:before="40" w:after="30"/>
              <w:jc w:val="right"/>
              <w:rPr>
                <w:szCs w:val="16"/>
              </w:rPr>
            </w:pPr>
            <w:r w:rsidRPr="006623B9">
              <w:rPr>
                <w:rFonts w:eastAsia="Calibri"/>
                <w:szCs w:val="16"/>
              </w:rPr>
              <w:t>1.4</w:t>
            </w:r>
          </w:p>
        </w:tc>
        <w:tc>
          <w:tcPr>
            <w:tcW w:w="0" w:type="auto"/>
            <w:shd w:val="clear" w:color="auto" w:fill="FFFFFF"/>
            <w:tcMar>
              <w:top w:w="0" w:type="dxa"/>
              <w:left w:w="85" w:type="dxa"/>
              <w:bottom w:w="0" w:type="dxa"/>
              <w:right w:w="85" w:type="dxa"/>
            </w:tcMar>
            <w:vAlign w:val="center"/>
          </w:tcPr>
          <w:p w14:paraId="10A04A65"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7052CC9F"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3380D7FD"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70EAD1DC"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1CDEA30E" w14:textId="77777777" w:rsidTr="00F16E23">
        <w:tc>
          <w:tcPr>
            <w:tcW w:w="0" w:type="auto"/>
            <w:shd w:val="clear" w:color="auto" w:fill="FFFFFF"/>
            <w:tcMar>
              <w:top w:w="0" w:type="dxa"/>
              <w:left w:w="85" w:type="dxa"/>
              <w:bottom w:w="0" w:type="dxa"/>
              <w:right w:w="85" w:type="dxa"/>
            </w:tcMar>
            <w:vAlign w:val="center"/>
          </w:tcPr>
          <w:p w14:paraId="3EA20C94" w14:textId="77777777" w:rsidR="00EB5913" w:rsidRPr="006623B9" w:rsidRDefault="00EB5913" w:rsidP="00F16E23">
            <w:pPr>
              <w:pStyle w:val="Tableboldblue"/>
              <w:spacing w:before="40" w:after="30"/>
              <w:rPr>
                <w:szCs w:val="16"/>
              </w:rPr>
            </w:pPr>
            <w:r w:rsidRPr="006623B9">
              <w:rPr>
                <w:rFonts w:eastAsia="Calibri"/>
                <w:szCs w:val="16"/>
              </w:rPr>
              <w:t>1994</w:t>
            </w:r>
          </w:p>
        </w:tc>
        <w:tc>
          <w:tcPr>
            <w:tcW w:w="0" w:type="auto"/>
            <w:shd w:val="clear" w:color="auto" w:fill="FFFFFF"/>
            <w:tcMar>
              <w:top w:w="0" w:type="dxa"/>
              <w:left w:w="85" w:type="dxa"/>
              <w:bottom w:w="0" w:type="dxa"/>
              <w:right w:w="85" w:type="dxa"/>
            </w:tcMar>
            <w:vAlign w:val="center"/>
          </w:tcPr>
          <w:p w14:paraId="69C9724A"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703269A1"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590B4324"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201BAD72"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60D9C16F" w14:textId="77777777" w:rsidR="00EB5913" w:rsidRPr="006623B9" w:rsidRDefault="00EB5913" w:rsidP="00F16E23">
            <w:pPr>
              <w:pStyle w:val="TableText"/>
              <w:spacing w:before="40" w:after="30"/>
              <w:jc w:val="right"/>
              <w:rPr>
                <w:szCs w:val="16"/>
              </w:rPr>
            </w:pPr>
            <w:r w:rsidRPr="006623B9">
              <w:rPr>
                <w:rFonts w:eastAsia="Calibri"/>
                <w:szCs w:val="16"/>
              </w:rPr>
              <w:t>3.0</w:t>
            </w:r>
          </w:p>
        </w:tc>
      </w:tr>
      <w:tr w:rsidR="00EB5913" w:rsidRPr="006623B9" w14:paraId="6C8BDDB3" w14:textId="77777777" w:rsidTr="00F16E23">
        <w:tc>
          <w:tcPr>
            <w:tcW w:w="0" w:type="auto"/>
            <w:shd w:val="clear" w:color="auto" w:fill="FFFFFF"/>
            <w:tcMar>
              <w:top w:w="0" w:type="dxa"/>
              <w:left w:w="85" w:type="dxa"/>
              <w:bottom w:w="0" w:type="dxa"/>
              <w:right w:w="85" w:type="dxa"/>
            </w:tcMar>
            <w:vAlign w:val="center"/>
          </w:tcPr>
          <w:p w14:paraId="242220DC" w14:textId="77777777" w:rsidR="00EB5913" w:rsidRPr="006623B9" w:rsidRDefault="00EB5913" w:rsidP="00F16E23">
            <w:pPr>
              <w:pStyle w:val="Tableboldblue"/>
              <w:spacing w:before="40" w:after="30"/>
              <w:rPr>
                <w:szCs w:val="16"/>
              </w:rPr>
            </w:pPr>
            <w:r w:rsidRPr="006623B9">
              <w:rPr>
                <w:rFonts w:eastAsia="Calibri"/>
                <w:szCs w:val="16"/>
              </w:rPr>
              <w:t>1995</w:t>
            </w:r>
          </w:p>
        </w:tc>
        <w:tc>
          <w:tcPr>
            <w:tcW w:w="0" w:type="auto"/>
            <w:shd w:val="clear" w:color="auto" w:fill="FFFFFF"/>
            <w:tcMar>
              <w:top w:w="0" w:type="dxa"/>
              <w:left w:w="85" w:type="dxa"/>
              <w:bottom w:w="0" w:type="dxa"/>
              <w:right w:w="85" w:type="dxa"/>
            </w:tcMar>
            <w:vAlign w:val="center"/>
          </w:tcPr>
          <w:p w14:paraId="4C536A6B"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37266430"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56DE4CB1"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2931188A"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5B8731BC" w14:textId="77777777" w:rsidR="00EB5913" w:rsidRPr="006623B9" w:rsidRDefault="00EB5913" w:rsidP="00F16E23">
            <w:pPr>
              <w:pStyle w:val="TableText"/>
              <w:spacing w:before="40" w:after="30"/>
              <w:jc w:val="right"/>
              <w:rPr>
                <w:szCs w:val="16"/>
              </w:rPr>
            </w:pPr>
            <w:r w:rsidRPr="006623B9">
              <w:rPr>
                <w:rFonts w:eastAsia="Calibri"/>
                <w:szCs w:val="16"/>
              </w:rPr>
              <w:t>3.1</w:t>
            </w:r>
          </w:p>
        </w:tc>
      </w:tr>
      <w:tr w:rsidR="00EB5913" w:rsidRPr="006623B9" w14:paraId="3418CD58" w14:textId="77777777" w:rsidTr="00F16E23">
        <w:tc>
          <w:tcPr>
            <w:tcW w:w="0" w:type="auto"/>
            <w:shd w:val="clear" w:color="auto" w:fill="FFFFFF"/>
            <w:tcMar>
              <w:top w:w="0" w:type="dxa"/>
              <w:left w:w="85" w:type="dxa"/>
              <w:bottom w:w="0" w:type="dxa"/>
              <w:right w:w="85" w:type="dxa"/>
            </w:tcMar>
            <w:vAlign w:val="center"/>
          </w:tcPr>
          <w:p w14:paraId="4CC50527" w14:textId="77777777" w:rsidR="00EB5913" w:rsidRPr="006623B9" w:rsidRDefault="00EB5913" w:rsidP="00F16E23">
            <w:pPr>
              <w:pStyle w:val="Tableboldblue"/>
              <w:spacing w:before="40" w:after="30"/>
              <w:rPr>
                <w:szCs w:val="16"/>
              </w:rPr>
            </w:pPr>
            <w:r w:rsidRPr="006623B9">
              <w:rPr>
                <w:rFonts w:eastAsia="Calibri"/>
                <w:szCs w:val="16"/>
              </w:rPr>
              <w:t>1996</w:t>
            </w:r>
          </w:p>
        </w:tc>
        <w:tc>
          <w:tcPr>
            <w:tcW w:w="0" w:type="auto"/>
            <w:shd w:val="clear" w:color="auto" w:fill="FFFFFF"/>
            <w:tcMar>
              <w:top w:w="0" w:type="dxa"/>
              <w:left w:w="85" w:type="dxa"/>
              <w:bottom w:w="0" w:type="dxa"/>
              <w:right w:w="85" w:type="dxa"/>
            </w:tcMar>
            <w:vAlign w:val="center"/>
          </w:tcPr>
          <w:p w14:paraId="3D637D03"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2CBFBFBF"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532BCC31"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52454A6B"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4744C3D0" w14:textId="77777777" w:rsidR="00EB5913" w:rsidRPr="006623B9" w:rsidRDefault="00EB5913" w:rsidP="00F16E23">
            <w:pPr>
              <w:pStyle w:val="TableText"/>
              <w:spacing w:before="40" w:after="30"/>
              <w:jc w:val="right"/>
              <w:rPr>
                <w:szCs w:val="16"/>
              </w:rPr>
            </w:pPr>
            <w:r w:rsidRPr="006623B9">
              <w:rPr>
                <w:rFonts w:eastAsia="Calibri"/>
                <w:szCs w:val="16"/>
              </w:rPr>
              <w:t>3.2</w:t>
            </w:r>
          </w:p>
        </w:tc>
      </w:tr>
      <w:tr w:rsidR="00EB5913" w:rsidRPr="006623B9" w14:paraId="127B9598" w14:textId="77777777" w:rsidTr="00F16E23">
        <w:tc>
          <w:tcPr>
            <w:tcW w:w="0" w:type="auto"/>
            <w:shd w:val="clear" w:color="auto" w:fill="FFFFFF"/>
            <w:tcMar>
              <w:top w:w="0" w:type="dxa"/>
              <w:left w:w="85" w:type="dxa"/>
              <w:bottom w:w="0" w:type="dxa"/>
              <w:right w:w="85" w:type="dxa"/>
            </w:tcMar>
            <w:vAlign w:val="center"/>
          </w:tcPr>
          <w:p w14:paraId="368A6716" w14:textId="77777777" w:rsidR="00EB5913" w:rsidRPr="006623B9" w:rsidRDefault="00EB5913" w:rsidP="00F16E23">
            <w:pPr>
              <w:pStyle w:val="Tableboldblue"/>
              <w:spacing w:before="40" w:after="30"/>
              <w:rPr>
                <w:szCs w:val="16"/>
              </w:rPr>
            </w:pPr>
            <w:r w:rsidRPr="006623B9">
              <w:rPr>
                <w:rFonts w:eastAsia="Calibri"/>
                <w:szCs w:val="16"/>
              </w:rPr>
              <w:t>1997</w:t>
            </w:r>
          </w:p>
        </w:tc>
        <w:tc>
          <w:tcPr>
            <w:tcW w:w="0" w:type="auto"/>
            <w:shd w:val="clear" w:color="auto" w:fill="FFFFFF"/>
            <w:tcMar>
              <w:top w:w="0" w:type="dxa"/>
              <w:left w:w="85" w:type="dxa"/>
              <w:bottom w:w="0" w:type="dxa"/>
              <w:right w:w="85" w:type="dxa"/>
            </w:tcMar>
            <w:vAlign w:val="center"/>
          </w:tcPr>
          <w:p w14:paraId="76A180B8"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2CD408DB"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5D6496B1"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76F5FC08"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55D2C926" w14:textId="77777777" w:rsidR="00EB5913" w:rsidRPr="006623B9" w:rsidRDefault="00EB5913" w:rsidP="00F16E23">
            <w:pPr>
              <w:pStyle w:val="TableText"/>
              <w:spacing w:before="40" w:after="30"/>
              <w:jc w:val="right"/>
              <w:rPr>
                <w:szCs w:val="16"/>
              </w:rPr>
            </w:pPr>
            <w:r w:rsidRPr="006623B9">
              <w:rPr>
                <w:rFonts w:eastAsia="Calibri"/>
                <w:szCs w:val="16"/>
              </w:rPr>
              <w:t>3.2</w:t>
            </w:r>
          </w:p>
        </w:tc>
      </w:tr>
      <w:tr w:rsidR="00EB5913" w:rsidRPr="006623B9" w14:paraId="1940A1DF" w14:textId="77777777" w:rsidTr="00F16E23">
        <w:tc>
          <w:tcPr>
            <w:tcW w:w="0" w:type="auto"/>
            <w:shd w:val="clear" w:color="auto" w:fill="FFFFFF"/>
            <w:tcMar>
              <w:top w:w="0" w:type="dxa"/>
              <w:left w:w="85" w:type="dxa"/>
              <w:bottom w:w="0" w:type="dxa"/>
              <w:right w:w="85" w:type="dxa"/>
            </w:tcMar>
            <w:vAlign w:val="center"/>
          </w:tcPr>
          <w:p w14:paraId="2A269314" w14:textId="77777777" w:rsidR="00EB5913" w:rsidRPr="006623B9" w:rsidRDefault="00EB5913" w:rsidP="00F16E23">
            <w:pPr>
              <w:pStyle w:val="Tableboldblue"/>
              <w:spacing w:before="40" w:after="30"/>
              <w:rPr>
                <w:szCs w:val="16"/>
              </w:rPr>
            </w:pPr>
            <w:r w:rsidRPr="006623B9">
              <w:rPr>
                <w:rFonts w:eastAsia="Calibri"/>
                <w:szCs w:val="16"/>
              </w:rPr>
              <w:t>1998</w:t>
            </w:r>
          </w:p>
        </w:tc>
        <w:tc>
          <w:tcPr>
            <w:tcW w:w="0" w:type="auto"/>
            <w:shd w:val="clear" w:color="auto" w:fill="FFFFFF"/>
            <w:tcMar>
              <w:top w:w="0" w:type="dxa"/>
              <w:left w:w="85" w:type="dxa"/>
              <w:bottom w:w="0" w:type="dxa"/>
              <w:right w:w="85" w:type="dxa"/>
            </w:tcMar>
            <w:vAlign w:val="center"/>
          </w:tcPr>
          <w:p w14:paraId="24E53C36"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0943A436"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02FF4EC3"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177D4996"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3C7CC28E" w14:textId="77777777" w:rsidR="00EB5913" w:rsidRPr="006623B9" w:rsidRDefault="00EB5913" w:rsidP="00F16E23">
            <w:pPr>
              <w:pStyle w:val="TableText"/>
              <w:spacing w:before="40" w:after="30"/>
              <w:jc w:val="right"/>
              <w:rPr>
                <w:szCs w:val="16"/>
              </w:rPr>
            </w:pPr>
            <w:r w:rsidRPr="006623B9">
              <w:rPr>
                <w:rFonts w:eastAsia="Calibri"/>
                <w:szCs w:val="16"/>
              </w:rPr>
              <w:t>3.2</w:t>
            </w:r>
          </w:p>
        </w:tc>
      </w:tr>
      <w:tr w:rsidR="00EB5913" w:rsidRPr="006623B9" w14:paraId="45904824" w14:textId="77777777" w:rsidTr="00F16E23">
        <w:tc>
          <w:tcPr>
            <w:tcW w:w="0" w:type="auto"/>
            <w:shd w:val="clear" w:color="auto" w:fill="FFFFFF"/>
            <w:tcMar>
              <w:top w:w="0" w:type="dxa"/>
              <w:left w:w="85" w:type="dxa"/>
              <w:bottom w:w="0" w:type="dxa"/>
              <w:right w:w="85" w:type="dxa"/>
            </w:tcMar>
            <w:vAlign w:val="center"/>
          </w:tcPr>
          <w:p w14:paraId="5F8EAB25" w14:textId="77777777" w:rsidR="00EB5913" w:rsidRPr="006623B9" w:rsidRDefault="00EB5913" w:rsidP="00F16E23">
            <w:pPr>
              <w:pStyle w:val="Tableboldblue"/>
              <w:spacing w:before="40" w:after="30"/>
              <w:rPr>
                <w:szCs w:val="16"/>
              </w:rPr>
            </w:pPr>
            <w:r w:rsidRPr="006623B9">
              <w:rPr>
                <w:rFonts w:eastAsia="Calibri"/>
                <w:szCs w:val="16"/>
              </w:rPr>
              <w:t>1999</w:t>
            </w:r>
          </w:p>
        </w:tc>
        <w:tc>
          <w:tcPr>
            <w:tcW w:w="0" w:type="auto"/>
            <w:shd w:val="clear" w:color="auto" w:fill="FFFFFF"/>
            <w:tcMar>
              <w:top w:w="0" w:type="dxa"/>
              <w:left w:w="85" w:type="dxa"/>
              <w:bottom w:w="0" w:type="dxa"/>
              <w:right w:w="85" w:type="dxa"/>
            </w:tcMar>
            <w:vAlign w:val="center"/>
          </w:tcPr>
          <w:p w14:paraId="7F48A10D"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20575E2B"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52C46792"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53C61E9C"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729126F4" w14:textId="77777777" w:rsidR="00EB5913" w:rsidRPr="006623B9" w:rsidRDefault="00EB5913" w:rsidP="00F16E23">
            <w:pPr>
              <w:pStyle w:val="TableText"/>
              <w:spacing w:before="40" w:after="30"/>
              <w:jc w:val="right"/>
              <w:rPr>
                <w:szCs w:val="16"/>
              </w:rPr>
            </w:pPr>
            <w:r w:rsidRPr="006623B9">
              <w:rPr>
                <w:rFonts w:eastAsia="Calibri"/>
                <w:szCs w:val="16"/>
              </w:rPr>
              <w:t>3.1</w:t>
            </w:r>
          </w:p>
        </w:tc>
      </w:tr>
      <w:tr w:rsidR="00EB5913" w:rsidRPr="006623B9" w14:paraId="79617732" w14:textId="77777777" w:rsidTr="00F16E23">
        <w:tc>
          <w:tcPr>
            <w:tcW w:w="0" w:type="auto"/>
            <w:shd w:val="clear" w:color="auto" w:fill="FFFFFF"/>
            <w:tcMar>
              <w:top w:w="0" w:type="dxa"/>
              <w:left w:w="85" w:type="dxa"/>
              <w:bottom w:w="0" w:type="dxa"/>
              <w:right w:w="85" w:type="dxa"/>
            </w:tcMar>
            <w:vAlign w:val="center"/>
          </w:tcPr>
          <w:p w14:paraId="4B2C5D53" w14:textId="77777777" w:rsidR="00EB5913" w:rsidRPr="006623B9" w:rsidRDefault="00EB5913" w:rsidP="00F16E23">
            <w:pPr>
              <w:pStyle w:val="Tableboldblue"/>
              <w:spacing w:before="40" w:after="30"/>
              <w:rPr>
                <w:szCs w:val="16"/>
              </w:rPr>
            </w:pPr>
            <w:r w:rsidRPr="006623B9">
              <w:rPr>
                <w:rFonts w:eastAsia="Calibri"/>
                <w:szCs w:val="16"/>
              </w:rPr>
              <w:t>2000</w:t>
            </w:r>
          </w:p>
        </w:tc>
        <w:tc>
          <w:tcPr>
            <w:tcW w:w="0" w:type="auto"/>
            <w:shd w:val="clear" w:color="auto" w:fill="FFFFFF"/>
            <w:tcMar>
              <w:top w:w="0" w:type="dxa"/>
              <w:left w:w="85" w:type="dxa"/>
              <w:bottom w:w="0" w:type="dxa"/>
              <w:right w:w="85" w:type="dxa"/>
            </w:tcMar>
            <w:vAlign w:val="center"/>
          </w:tcPr>
          <w:p w14:paraId="0005279A"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60CCE861"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2FFBBC3D"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6771402E"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7EB8249C" w14:textId="77777777" w:rsidR="00EB5913" w:rsidRPr="006623B9" w:rsidRDefault="00EB5913" w:rsidP="00F16E23">
            <w:pPr>
              <w:pStyle w:val="TableText"/>
              <w:spacing w:before="40" w:after="30"/>
              <w:jc w:val="right"/>
              <w:rPr>
                <w:szCs w:val="16"/>
              </w:rPr>
            </w:pPr>
            <w:r w:rsidRPr="006623B9">
              <w:rPr>
                <w:rFonts w:eastAsia="Calibri"/>
                <w:szCs w:val="16"/>
              </w:rPr>
              <w:t>3.2</w:t>
            </w:r>
          </w:p>
        </w:tc>
      </w:tr>
      <w:tr w:rsidR="00EB5913" w:rsidRPr="006623B9" w14:paraId="75BC0180" w14:textId="77777777" w:rsidTr="00F16E23">
        <w:tc>
          <w:tcPr>
            <w:tcW w:w="0" w:type="auto"/>
            <w:shd w:val="clear" w:color="auto" w:fill="FFFFFF"/>
            <w:tcMar>
              <w:top w:w="0" w:type="dxa"/>
              <w:left w:w="85" w:type="dxa"/>
              <w:bottom w:w="0" w:type="dxa"/>
              <w:right w:w="85" w:type="dxa"/>
            </w:tcMar>
            <w:vAlign w:val="center"/>
          </w:tcPr>
          <w:p w14:paraId="2B26A330" w14:textId="77777777" w:rsidR="00EB5913" w:rsidRPr="006623B9" w:rsidRDefault="00EB5913" w:rsidP="00F16E23">
            <w:pPr>
              <w:pStyle w:val="Tableboldblue"/>
              <w:spacing w:before="40" w:after="30"/>
              <w:rPr>
                <w:szCs w:val="16"/>
              </w:rPr>
            </w:pPr>
            <w:r w:rsidRPr="006623B9">
              <w:rPr>
                <w:rFonts w:eastAsia="Calibri"/>
                <w:szCs w:val="16"/>
              </w:rPr>
              <w:t>2001</w:t>
            </w:r>
          </w:p>
        </w:tc>
        <w:tc>
          <w:tcPr>
            <w:tcW w:w="0" w:type="auto"/>
            <w:shd w:val="clear" w:color="auto" w:fill="FFFFFF"/>
            <w:tcMar>
              <w:top w:w="0" w:type="dxa"/>
              <w:left w:w="85" w:type="dxa"/>
              <w:bottom w:w="0" w:type="dxa"/>
              <w:right w:w="85" w:type="dxa"/>
            </w:tcMar>
            <w:vAlign w:val="center"/>
          </w:tcPr>
          <w:p w14:paraId="044F432E"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6FD0EDE9" w14:textId="77777777" w:rsidR="00EB5913" w:rsidRPr="006623B9" w:rsidRDefault="00EB5913" w:rsidP="00F16E23">
            <w:pPr>
              <w:pStyle w:val="TableText"/>
              <w:spacing w:before="40" w:after="30"/>
              <w:jc w:val="right"/>
              <w:rPr>
                <w:szCs w:val="16"/>
              </w:rPr>
            </w:pPr>
            <w:r w:rsidRPr="006623B9">
              <w:rPr>
                <w:rFonts w:eastAsia="Calibri"/>
                <w:szCs w:val="16"/>
              </w:rPr>
              <w:t>0.1</w:t>
            </w:r>
          </w:p>
        </w:tc>
        <w:tc>
          <w:tcPr>
            <w:tcW w:w="0" w:type="auto"/>
            <w:shd w:val="clear" w:color="auto" w:fill="FFFFFF"/>
            <w:tcMar>
              <w:top w:w="0" w:type="dxa"/>
              <w:left w:w="85" w:type="dxa"/>
              <w:bottom w:w="0" w:type="dxa"/>
              <w:right w:w="85" w:type="dxa"/>
            </w:tcMar>
            <w:vAlign w:val="center"/>
          </w:tcPr>
          <w:p w14:paraId="3D43F84F"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7399C17E" w14:textId="77777777" w:rsidR="00EB5913" w:rsidRPr="006623B9" w:rsidRDefault="00EB5913" w:rsidP="00F16E23">
            <w:pPr>
              <w:pStyle w:val="TableText"/>
              <w:spacing w:before="40" w:after="30"/>
              <w:jc w:val="right"/>
              <w:rPr>
                <w:szCs w:val="16"/>
              </w:rPr>
            </w:pPr>
            <w:r w:rsidRPr="006623B9">
              <w:rPr>
                <w:rFonts w:eastAsia="Calibri"/>
                <w:szCs w:val="16"/>
              </w:rPr>
              <w:t>1.2</w:t>
            </w:r>
          </w:p>
        </w:tc>
        <w:tc>
          <w:tcPr>
            <w:tcW w:w="0" w:type="auto"/>
            <w:shd w:val="clear" w:color="auto" w:fill="FFFFFF"/>
            <w:tcMar>
              <w:top w:w="0" w:type="dxa"/>
              <w:left w:w="85" w:type="dxa"/>
              <w:bottom w:w="0" w:type="dxa"/>
              <w:right w:w="85" w:type="dxa"/>
            </w:tcMar>
            <w:vAlign w:val="center"/>
          </w:tcPr>
          <w:p w14:paraId="6CA0F3F5" w14:textId="77777777" w:rsidR="00EB5913" w:rsidRPr="006623B9" w:rsidRDefault="00EB5913" w:rsidP="00F16E23">
            <w:pPr>
              <w:pStyle w:val="TableText"/>
              <w:spacing w:before="40" w:after="30"/>
              <w:jc w:val="right"/>
              <w:rPr>
                <w:szCs w:val="16"/>
              </w:rPr>
            </w:pPr>
            <w:r w:rsidRPr="006623B9">
              <w:rPr>
                <w:rFonts w:eastAsia="Calibri"/>
                <w:szCs w:val="16"/>
              </w:rPr>
              <w:t>3.3</w:t>
            </w:r>
          </w:p>
        </w:tc>
      </w:tr>
      <w:tr w:rsidR="00EB5913" w:rsidRPr="006623B9" w14:paraId="4AED96BA" w14:textId="77777777" w:rsidTr="00F16E23">
        <w:tc>
          <w:tcPr>
            <w:tcW w:w="0" w:type="auto"/>
            <w:shd w:val="clear" w:color="auto" w:fill="FFFFFF"/>
            <w:tcMar>
              <w:top w:w="0" w:type="dxa"/>
              <w:left w:w="85" w:type="dxa"/>
              <w:bottom w:w="0" w:type="dxa"/>
              <w:right w:w="85" w:type="dxa"/>
            </w:tcMar>
            <w:vAlign w:val="center"/>
          </w:tcPr>
          <w:p w14:paraId="4892834F" w14:textId="77777777" w:rsidR="00EB5913" w:rsidRPr="006623B9" w:rsidRDefault="00EB5913" w:rsidP="00F16E23">
            <w:pPr>
              <w:pStyle w:val="Tableboldblue"/>
              <w:spacing w:before="40" w:after="30"/>
              <w:rPr>
                <w:szCs w:val="16"/>
              </w:rPr>
            </w:pPr>
            <w:r w:rsidRPr="006623B9">
              <w:rPr>
                <w:rFonts w:eastAsia="Calibri"/>
                <w:szCs w:val="16"/>
              </w:rPr>
              <w:t>2002</w:t>
            </w:r>
          </w:p>
        </w:tc>
        <w:tc>
          <w:tcPr>
            <w:tcW w:w="0" w:type="auto"/>
            <w:shd w:val="clear" w:color="auto" w:fill="FFFFFF"/>
            <w:tcMar>
              <w:top w:w="0" w:type="dxa"/>
              <w:left w:w="85" w:type="dxa"/>
              <w:bottom w:w="0" w:type="dxa"/>
              <w:right w:w="85" w:type="dxa"/>
            </w:tcMar>
            <w:vAlign w:val="center"/>
          </w:tcPr>
          <w:p w14:paraId="37C4589F"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0288AD53"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506DE94C"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239BDF88"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2DDB237F" w14:textId="77777777" w:rsidR="00EB5913" w:rsidRPr="006623B9" w:rsidRDefault="00EB5913" w:rsidP="00F16E23">
            <w:pPr>
              <w:pStyle w:val="TableText"/>
              <w:spacing w:before="40" w:after="30"/>
              <w:jc w:val="right"/>
              <w:rPr>
                <w:szCs w:val="16"/>
              </w:rPr>
            </w:pPr>
            <w:r w:rsidRPr="006623B9">
              <w:rPr>
                <w:rFonts w:eastAsia="Calibri"/>
                <w:szCs w:val="16"/>
              </w:rPr>
              <w:t>2.6</w:t>
            </w:r>
          </w:p>
        </w:tc>
      </w:tr>
      <w:tr w:rsidR="00EB5913" w:rsidRPr="006623B9" w14:paraId="0CCC9C39" w14:textId="77777777" w:rsidTr="00F16E23">
        <w:tc>
          <w:tcPr>
            <w:tcW w:w="0" w:type="auto"/>
            <w:shd w:val="clear" w:color="auto" w:fill="FFFFFF"/>
            <w:tcMar>
              <w:top w:w="0" w:type="dxa"/>
              <w:left w:w="85" w:type="dxa"/>
              <w:bottom w:w="0" w:type="dxa"/>
              <w:right w:w="85" w:type="dxa"/>
            </w:tcMar>
            <w:vAlign w:val="center"/>
          </w:tcPr>
          <w:p w14:paraId="17BC4460" w14:textId="77777777" w:rsidR="00EB5913" w:rsidRPr="006623B9" w:rsidRDefault="00EB5913" w:rsidP="00F16E23">
            <w:pPr>
              <w:pStyle w:val="Tableboldblue"/>
              <w:spacing w:before="40" w:after="30"/>
              <w:rPr>
                <w:szCs w:val="16"/>
              </w:rPr>
            </w:pPr>
            <w:r w:rsidRPr="006623B9">
              <w:rPr>
                <w:rFonts w:eastAsia="Calibri"/>
                <w:szCs w:val="16"/>
              </w:rPr>
              <w:t>2003</w:t>
            </w:r>
          </w:p>
        </w:tc>
        <w:tc>
          <w:tcPr>
            <w:tcW w:w="0" w:type="auto"/>
            <w:shd w:val="clear" w:color="auto" w:fill="FFFFFF"/>
            <w:tcMar>
              <w:top w:w="0" w:type="dxa"/>
              <w:left w:w="85" w:type="dxa"/>
              <w:bottom w:w="0" w:type="dxa"/>
              <w:right w:w="85" w:type="dxa"/>
            </w:tcMar>
            <w:vAlign w:val="center"/>
          </w:tcPr>
          <w:p w14:paraId="2C97D272"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57712266"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2A418BBB"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2F9A5542"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4EC59406" w14:textId="77777777" w:rsidR="00EB5913" w:rsidRPr="006623B9" w:rsidRDefault="00EB5913" w:rsidP="00F16E23">
            <w:pPr>
              <w:pStyle w:val="TableText"/>
              <w:spacing w:before="40" w:after="30"/>
              <w:jc w:val="right"/>
              <w:rPr>
                <w:szCs w:val="16"/>
              </w:rPr>
            </w:pPr>
            <w:r w:rsidRPr="006623B9">
              <w:rPr>
                <w:rFonts w:eastAsia="Calibri"/>
                <w:szCs w:val="16"/>
              </w:rPr>
              <w:t>2.7</w:t>
            </w:r>
          </w:p>
        </w:tc>
      </w:tr>
      <w:tr w:rsidR="00EB5913" w:rsidRPr="006623B9" w14:paraId="07BBBAFB" w14:textId="77777777" w:rsidTr="00F16E23">
        <w:tc>
          <w:tcPr>
            <w:tcW w:w="0" w:type="auto"/>
            <w:shd w:val="clear" w:color="auto" w:fill="FFFFFF"/>
            <w:tcMar>
              <w:top w:w="0" w:type="dxa"/>
              <w:left w:w="85" w:type="dxa"/>
              <w:bottom w:w="0" w:type="dxa"/>
              <w:right w:w="85" w:type="dxa"/>
            </w:tcMar>
            <w:vAlign w:val="center"/>
          </w:tcPr>
          <w:p w14:paraId="2091FBB8" w14:textId="77777777" w:rsidR="00EB5913" w:rsidRPr="006623B9" w:rsidRDefault="00EB5913" w:rsidP="00F16E23">
            <w:pPr>
              <w:pStyle w:val="Tableboldblue"/>
              <w:spacing w:before="40" w:after="30"/>
              <w:rPr>
                <w:szCs w:val="16"/>
              </w:rPr>
            </w:pPr>
            <w:r w:rsidRPr="006623B9">
              <w:rPr>
                <w:rFonts w:eastAsia="Calibri"/>
                <w:szCs w:val="16"/>
              </w:rPr>
              <w:t>2004</w:t>
            </w:r>
          </w:p>
        </w:tc>
        <w:tc>
          <w:tcPr>
            <w:tcW w:w="0" w:type="auto"/>
            <w:shd w:val="clear" w:color="auto" w:fill="FFFFFF"/>
            <w:tcMar>
              <w:top w:w="0" w:type="dxa"/>
              <w:left w:w="85" w:type="dxa"/>
              <w:bottom w:w="0" w:type="dxa"/>
              <w:right w:w="85" w:type="dxa"/>
            </w:tcMar>
            <w:vAlign w:val="center"/>
          </w:tcPr>
          <w:p w14:paraId="1B72807D" w14:textId="77777777" w:rsidR="00EB5913" w:rsidRPr="006623B9" w:rsidRDefault="00EB5913" w:rsidP="00F16E23">
            <w:pPr>
              <w:pStyle w:val="TableText"/>
              <w:spacing w:before="40" w:after="30"/>
              <w:jc w:val="right"/>
              <w:rPr>
                <w:szCs w:val="16"/>
              </w:rPr>
            </w:pPr>
            <w:r w:rsidRPr="006623B9">
              <w:rPr>
                <w:rFonts w:eastAsia="Calibri"/>
                <w:szCs w:val="16"/>
              </w:rPr>
              <w:t>1.7</w:t>
            </w:r>
          </w:p>
        </w:tc>
        <w:tc>
          <w:tcPr>
            <w:tcW w:w="0" w:type="auto"/>
            <w:shd w:val="clear" w:color="auto" w:fill="FFFFFF"/>
            <w:tcMar>
              <w:top w:w="0" w:type="dxa"/>
              <w:left w:w="85" w:type="dxa"/>
              <w:bottom w:w="0" w:type="dxa"/>
              <w:right w:w="85" w:type="dxa"/>
            </w:tcMar>
            <w:vAlign w:val="center"/>
          </w:tcPr>
          <w:p w14:paraId="12B7E932"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3479D5F7"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4112446A"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74D76E9F" w14:textId="77777777" w:rsidR="00EB5913" w:rsidRPr="006623B9" w:rsidRDefault="00EB5913" w:rsidP="00F16E23">
            <w:pPr>
              <w:pStyle w:val="TableText"/>
              <w:spacing w:before="40" w:after="30"/>
              <w:jc w:val="right"/>
              <w:rPr>
                <w:szCs w:val="16"/>
              </w:rPr>
            </w:pPr>
            <w:r w:rsidRPr="006623B9">
              <w:rPr>
                <w:rFonts w:eastAsia="Calibri"/>
                <w:szCs w:val="16"/>
              </w:rPr>
              <w:t>2.8</w:t>
            </w:r>
          </w:p>
        </w:tc>
      </w:tr>
      <w:tr w:rsidR="00EB5913" w:rsidRPr="006623B9" w14:paraId="51009F33" w14:textId="77777777" w:rsidTr="00F16E23">
        <w:tc>
          <w:tcPr>
            <w:tcW w:w="0" w:type="auto"/>
            <w:shd w:val="clear" w:color="auto" w:fill="FFFFFF"/>
            <w:tcMar>
              <w:top w:w="0" w:type="dxa"/>
              <w:left w:w="85" w:type="dxa"/>
              <w:bottom w:w="0" w:type="dxa"/>
              <w:right w:w="85" w:type="dxa"/>
            </w:tcMar>
            <w:vAlign w:val="center"/>
          </w:tcPr>
          <w:p w14:paraId="4800F458" w14:textId="77777777" w:rsidR="00EB5913" w:rsidRPr="006623B9" w:rsidRDefault="00EB5913" w:rsidP="00F16E23">
            <w:pPr>
              <w:pStyle w:val="Tableboldblue"/>
              <w:spacing w:before="40" w:after="30"/>
              <w:rPr>
                <w:szCs w:val="16"/>
              </w:rPr>
            </w:pPr>
            <w:r w:rsidRPr="006623B9">
              <w:rPr>
                <w:rFonts w:eastAsia="Calibri"/>
                <w:szCs w:val="16"/>
              </w:rPr>
              <w:t>2005</w:t>
            </w:r>
          </w:p>
        </w:tc>
        <w:tc>
          <w:tcPr>
            <w:tcW w:w="0" w:type="auto"/>
            <w:shd w:val="clear" w:color="auto" w:fill="FFFFFF"/>
            <w:tcMar>
              <w:top w:w="0" w:type="dxa"/>
              <w:left w:w="85" w:type="dxa"/>
              <w:bottom w:w="0" w:type="dxa"/>
              <w:right w:w="85" w:type="dxa"/>
            </w:tcMar>
            <w:vAlign w:val="center"/>
          </w:tcPr>
          <w:p w14:paraId="67AAA08B" w14:textId="77777777" w:rsidR="00EB5913" w:rsidRPr="006623B9" w:rsidRDefault="00EB5913" w:rsidP="00F16E23">
            <w:pPr>
              <w:pStyle w:val="TableText"/>
              <w:spacing w:before="40" w:after="30"/>
              <w:jc w:val="right"/>
              <w:rPr>
                <w:szCs w:val="16"/>
              </w:rPr>
            </w:pPr>
            <w:r w:rsidRPr="006623B9">
              <w:rPr>
                <w:rFonts w:eastAsia="Calibri"/>
                <w:szCs w:val="16"/>
              </w:rPr>
              <w:t>1.7</w:t>
            </w:r>
          </w:p>
        </w:tc>
        <w:tc>
          <w:tcPr>
            <w:tcW w:w="0" w:type="auto"/>
            <w:shd w:val="clear" w:color="auto" w:fill="FFFFFF"/>
            <w:tcMar>
              <w:top w:w="0" w:type="dxa"/>
              <w:left w:w="85" w:type="dxa"/>
              <w:bottom w:w="0" w:type="dxa"/>
              <w:right w:w="85" w:type="dxa"/>
            </w:tcMar>
            <w:vAlign w:val="center"/>
          </w:tcPr>
          <w:p w14:paraId="17DDE6C4"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36EAA0C1"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6225E4C0"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62C59561" w14:textId="77777777" w:rsidR="00EB5913" w:rsidRPr="006623B9" w:rsidRDefault="00EB5913" w:rsidP="00F16E23">
            <w:pPr>
              <w:pStyle w:val="TableText"/>
              <w:spacing w:before="40" w:after="30"/>
              <w:jc w:val="right"/>
              <w:rPr>
                <w:szCs w:val="16"/>
              </w:rPr>
            </w:pPr>
            <w:r w:rsidRPr="006623B9">
              <w:rPr>
                <w:rFonts w:eastAsia="Calibri"/>
                <w:szCs w:val="16"/>
              </w:rPr>
              <w:t>2.8</w:t>
            </w:r>
          </w:p>
        </w:tc>
      </w:tr>
      <w:tr w:rsidR="00EB5913" w:rsidRPr="006623B9" w14:paraId="09E7B54A" w14:textId="77777777" w:rsidTr="00F16E23">
        <w:tc>
          <w:tcPr>
            <w:tcW w:w="0" w:type="auto"/>
            <w:shd w:val="clear" w:color="auto" w:fill="FFFFFF"/>
            <w:tcMar>
              <w:top w:w="0" w:type="dxa"/>
              <w:left w:w="85" w:type="dxa"/>
              <w:bottom w:w="0" w:type="dxa"/>
              <w:right w:w="85" w:type="dxa"/>
            </w:tcMar>
            <w:vAlign w:val="center"/>
          </w:tcPr>
          <w:p w14:paraId="1FE85620" w14:textId="77777777" w:rsidR="00EB5913" w:rsidRPr="006623B9" w:rsidRDefault="00EB5913" w:rsidP="00F16E23">
            <w:pPr>
              <w:pStyle w:val="Tableboldblue"/>
              <w:spacing w:before="40" w:after="30"/>
              <w:rPr>
                <w:szCs w:val="16"/>
              </w:rPr>
            </w:pPr>
            <w:r w:rsidRPr="006623B9">
              <w:rPr>
                <w:rFonts w:eastAsia="Calibri"/>
                <w:szCs w:val="16"/>
              </w:rPr>
              <w:t>2006</w:t>
            </w:r>
          </w:p>
        </w:tc>
        <w:tc>
          <w:tcPr>
            <w:tcW w:w="0" w:type="auto"/>
            <w:shd w:val="clear" w:color="auto" w:fill="FFFFFF"/>
            <w:tcMar>
              <w:top w:w="0" w:type="dxa"/>
              <w:left w:w="85" w:type="dxa"/>
              <w:bottom w:w="0" w:type="dxa"/>
              <w:right w:w="85" w:type="dxa"/>
            </w:tcMar>
            <w:vAlign w:val="center"/>
          </w:tcPr>
          <w:p w14:paraId="2F3CC100" w14:textId="77777777" w:rsidR="00EB5913" w:rsidRPr="006623B9" w:rsidRDefault="00EB5913" w:rsidP="00F16E23">
            <w:pPr>
              <w:pStyle w:val="TableText"/>
              <w:spacing w:before="40" w:after="30"/>
              <w:jc w:val="right"/>
              <w:rPr>
                <w:szCs w:val="16"/>
              </w:rPr>
            </w:pPr>
            <w:r w:rsidRPr="006623B9">
              <w:rPr>
                <w:rFonts w:eastAsia="Calibri"/>
                <w:szCs w:val="16"/>
              </w:rPr>
              <w:t>1.7</w:t>
            </w:r>
          </w:p>
        </w:tc>
        <w:tc>
          <w:tcPr>
            <w:tcW w:w="0" w:type="auto"/>
            <w:shd w:val="clear" w:color="auto" w:fill="FFFFFF"/>
            <w:tcMar>
              <w:top w:w="0" w:type="dxa"/>
              <w:left w:w="85" w:type="dxa"/>
              <w:bottom w:w="0" w:type="dxa"/>
              <w:right w:w="85" w:type="dxa"/>
            </w:tcMar>
            <w:vAlign w:val="center"/>
          </w:tcPr>
          <w:p w14:paraId="48C4D964"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42D4BA9A"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760787A6"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19EBE61D" w14:textId="77777777" w:rsidR="00EB5913" w:rsidRPr="006623B9" w:rsidRDefault="00EB5913" w:rsidP="00F16E23">
            <w:pPr>
              <w:pStyle w:val="TableText"/>
              <w:spacing w:before="40" w:after="30"/>
              <w:jc w:val="right"/>
              <w:rPr>
                <w:szCs w:val="16"/>
              </w:rPr>
            </w:pPr>
            <w:r w:rsidRPr="006623B9">
              <w:rPr>
                <w:rFonts w:eastAsia="Calibri"/>
                <w:szCs w:val="16"/>
              </w:rPr>
              <w:t>2.8</w:t>
            </w:r>
          </w:p>
        </w:tc>
      </w:tr>
      <w:tr w:rsidR="00EB5913" w:rsidRPr="006623B9" w14:paraId="59409CA9" w14:textId="77777777" w:rsidTr="00F16E23">
        <w:tc>
          <w:tcPr>
            <w:tcW w:w="0" w:type="auto"/>
            <w:shd w:val="clear" w:color="auto" w:fill="FFFFFF"/>
            <w:tcMar>
              <w:top w:w="0" w:type="dxa"/>
              <w:left w:w="85" w:type="dxa"/>
              <w:bottom w:w="0" w:type="dxa"/>
              <w:right w:w="85" w:type="dxa"/>
            </w:tcMar>
            <w:vAlign w:val="center"/>
          </w:tcPr>
          <w:p w14:paraId="192287B1" w14:textId="77777777" w:rsidR="00EB5913" w:rsidRPr="006623B9" w:rsidRDefault="00EB5913" w:rsidP="00F16E23">
            <w:pPr>
              <w:pStyle w:val="Tableboldblue"/>
              <w:spacing w:before="40" w:after="30"/>
              <w:rPr>
                <w:szCs w:val="16"/>
              </w:rPr>
            </w:pPr>
            <w:r w:rsidRPr="006623B9">
              <w:rPr>
                <w:rFonts w:eastAsia="Calibri"/>
                <w:szCs w:val="16"/>
              </w:rPr>
              <w:t>2007</w:t>
            </w:r>
          </w:p>
        </w:tc>
        <w:tc>
          <w:tcPr>
            <w:tcW w:w="0" w:type="auto"/>
            <w:shd w:val="clear" w:color="auto" w:fill="FFFFFF"/>
            <w:tcMar>
              <w:top w:w="0" w:type="dxa"/>
              <w:left w:w="85" w:type="dxa"/>
              <w:bottom w:w="0" w:type="dxa"/>
              <w:right w:w="85" w:type="dxa"/>
            </w:tcMar>
            <w:vAlign w:val="center"/>
          </w:tcPr>
          <w:p w14:paraId="5CBC406E" w14:textId="77777777" w:rsidR="00EB5913" w:rsidRPr="006623B9" w:rsidRDefault="00EB5913" w:rsidP="00F16E23">
            <w:pPr>
              <w:pStyle w:val="TableText"/>
              <w:spacing w:before="40" w:after="30"/>
              <w:jc w:val="right"/>
              <w:rPr>
                <w:szCs w:val="16"/>
              </w:rPr>
            </w:pPr>
            <w:r w:rsidRPr="006623B9">
              <w:rPr>
                <w:rFonts w:eastAsia="Calibri"/>
                <w:szCs w:val="16"/>
              </w:rPr>
              <w:t>1.7</w:t>
            </w:r>
          </w:p>
        </w:tc>
        <w:tc>
          <w:tcPr>
            <w:tcW w:w="0" w:type="auto"/>
            <w:shd w:val="clear" w:color="auto" w:fill="FFFFFF"/>
            <w:tcMar>
              <w:top w:w="0" w:type="dxa"/>
              <w:left w:w="85" w:type="dxa"/>
              <w:bottom w:w="0" w:type="dxa"/>
              <w:right w:w="85" w:type="dxa"/>
            </w:tcMar>
            <w:vAlign w:val="center"/>
          </w:tcPr>
          <w:p w14:paraId="3D009F77"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5BF27A76"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0050DFBB"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39A3BAC3" w14:textId="77777777" w:rsidR="00EB5913" w:rsidRPr="006623B9" w:rsidRDefault="00EB5913" w:rsidP="00F16E23">
            <w:pPr>
              <w:pStyle w:val="TableText"/>
              <w:spacing w:before="40" w:after="30"/>
              <w:jc w:val="right"/>
              <w:rPr>
                <w:szCs w:val="16"/>
              </w:rPr>
            </w:pPr>
            <w:r w:rsidRPr="006623B9">
              <w:rPr>
                <w:rFonts w:eastAsia="Calibri"/>
                <w:szCs w:val="16"/>
              </w:rPr>
              <w:t>2.8</w:t>
            </w:r>
          </w:p>
        </w:tc>
      </w:tr>
      <w:tr w:rsidR="00EB5913" w:rsidRPr="006623B9" w14:paraId="4415186F" w14:textId="77777777" w:rsidTr="00F16E23">
        <w:tc>
          <w:tcPr>
            <w:tcW w:w="0" w:type="auto"/>
            <w:shd w:val="clear" w:color="auto" w:fill="FFFFFF"/>
            <w:tcMar>
              <w:top w:w="0" w:type="dxa"/>
              <w:left w:w="85" w:type="dxa"/>
              <w:bottom w:w="0" w:type="dxa"/>
              <w:right w:w="85" w:type="dxa"/>
            </w:tcMar>
            <w:vAlign w:val="center"/>
          </w:tcPr>
          <w:p w14:paraId="1EC6F51C" w14:textId="77777777" w:rsidR="00EB5913" w:rsidRPr="006623B9" w:rsidRDefault="00EB5913" w:rsidP="00F16E23">
            <w:pPr>
              <w:pStyle w:val="Tableboldblue"/>
              <w:spacing w:before="40" w:after="30"/>
              <w:rPr>
                <w:szCs w:val="16"/>
              </w:rPr>
            </w:pPr>
            <w:r w:rsidRPr="006623B9">
              <w:rPr>
                <w:rFonts w:eastAsia="Calibri"/>
                <w:szCs w:val="16"/>
              </w:rPr>
              <w:t>2008</w:t>
            </w:r>
          </w:p>
        </w:tc>
        <w:tc>
          <w:tcPr>
            <w:tcW w:w="0" w:type="auto"/>
            <w:shd w:val="clear" w:color="auto" w:fill="FFFFFF"/>
            <w:tcMar>
              <w:top w:w="0" w:type="dxa"/>
              <w:left w:w="85" w:type="dxa"/>
              <w:bottom w:w="0" w:type="dxa"/>
              <w:right w:w="85" w:type="dxa"/>
            </w:tcMar>
            <w:vAlign w:val="center"/>
          </w:tcPr>
          <w:p w14:paraId="51B5F45C" w14:textId="77777777" w:rsidR="00EB5913" w:rsidRPr="006623B9" w:rsidRDefault="00EB5913" w:rsidP="00F16E23">
            <w:pPr>
              <w:pStyle w:val="TableText"/>
              <w:spacing w:before="40" w:after="30"/>
              <w:jc w:val="right"/>
              <w:rPr>
                <w:szCs w:val="16"/>
              </w:rPr>
            </w:pPr>
            <w:r w:rsidRPr="006623B9">
              <w:rPr>
                <w:rFonts w:eastAsia="Calibri"/>
                <w:szCs w:val="16"/>
              </w:rPr>
              <w:t>1.7</w:t>
            </w:r>
          </w:p>
        </w:tc>
        <w:tc>
          <w:tcPr>
            <w:tcW w:w="0" w:type="auto"/>
            <w:shd w:val="clear" w:color="auto" w:fill="FFFFFF"/>
            <w:tcMar>
              <w:top w:w="0" w:type="dxa"/>
              <w:left w:w="85" w:type="dxa"/>
              <w:bottom w:w="0" w:type="dxa"/>
              <w:right w:w="85" w:type="dxa"/>
            </w:tcMar>
            <w:vAlign w:val="center"/>
          </w:tcPr>
          <w:p w14:paraId="4C6C484F"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711EE533" w14:textId="77777777" w:rsidR="00EB5913" w:rsidRPr="006623B9" w:rsidRDefault="00EB5913" w:rsidP="00F16E23">
            <w:pPr>
              <w:pStyle w:val="TableText"/>
              <w:spacing w:before="40" w:after="30"/>
              <w:jc w:val="right"/>
              <w:rPr>
                <w:szCs w:val="16"/>
              </w:rPr>
            </w:pPr>
            <w:r w:rsidRPr="006623B9">
              <w:rPr>
                <w:rFonts w:eastAsia="Calibri"/>
                <w:szCs w:val="16"/>
              </w:rPr>
              <w:t>0.4</w:t>
            </w:r>
          </w:p>
        </w:tc>
        <w:tc>
          <w:tcPr>
            <w:tcW w:w="0" w:type="auto"/>
            <w:shd w:val="clear" w:color="auto" w:fill="FFFFFF"/>
            <w:tcMar>
              <w:top w:w="0" w:type="dxa"/>
              <w:left w:w="85" w:type="dxa"/>
              <w:bottom w:w="0" w:type="dxa"/>
              <w:right w:w="85" w:type="dxa"/>
            </w:tcMar>
            <w:vAlign w:val="center"/>
          </w:tcPr>
          <w:p w14:paraId="494BC1F3"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7A5C5AD2"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3E72F052" w14:textId="77777777" w:rsidTr="00F16E23">
        <w:tc>
          <w:tcPr>
            <w:tcW w:w="0" w:type="auto"/>
            <w:shd w:val="clear" w:color="auto" w:fill="FFFFFF"/>
            <w:tcMar>
              <w:top w:w="0" w:type="dxa"/>
              <w:left w:w="85" w:type="dxa"/>
              <w:bottom w:w="0" w:type="dxa"/>
              <w:right w:w="85" w:type="dxa"/>
            </w:tcMar>
            <w:vAlign w:val="center"/>
          </w:tcPr>
          <w:p w14:paraId="785734C2" w14:textId="77777777" w:rsidR="00EB5913" w:rsidRPr="006623B9" w:rsidRDefault="00EB5913" w:rsidP="00F16E23">
            <w:pPr>
              <w:pStyle w:val="Tableboldblue"/>
              <w:spacing w:before="40" w:after="30"/>
              <w:rPr>
                <w:szCs w:val="16"/>
              </w:rPr>
            </w:pPr>
            <w:r w:rsidRPr="006623B9">
              <w:rPr>
                <w:rFonts w:eastAsia="Calibri"/>
                <w:szCs w:val="16"/>
              </w:rPr>
              <w:t>2009</w:t>
            </w:r>
          </w:p>
        </w:tc>
        <w:tc>
          <w:tcPr>
            <w:tcW w:w="0" w:type="auto"/>
            <w:shd w:val="clear" w:color="auto" w:fill="FFFFFF"/>
            <w:tcMar>
              <w:top w:w="0" w:type="dxa"/>
              <w:left w:w="85" w:type="dxa"/>
              <w:bottom w:w="0" w:type="dxa"/>
              <w:right w:w="85" w:type="dxa"/>
            </w:tcMar>
            <w:vAlign w:val="center"/>
          </w:tcPr>
          <w:p w14:paraId="448FFFE5"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6358D320"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61A851C8" w14:textId="77777777" w:rsidR="00EB5913" w:rsidRPr="006623B9" w:rsidRDefault="00EB5913" w:rsidP="00F16E23">
            <w:pPr>
              <w:pStyle w:val="TableText"/>
              <w:spacing w:before="40" w:after="30"/>
              <w:jc w:val="right"/>
              <w:rPr>
                <w:szCs w:val="16"/>
              </w:rPr>
            </w:pPr>
            <w:r w:rsidRPr="006623B9">
              <w:rPr>
                <w:rFonts w:eastAsia="Calibri"/>
                <w:szCs w:val="16"/>
              </w:rPr>
              <w:t>0.4</w:t>
            </w:r>
          </w:p>
        </w:tc>
        <w:tc>
          <w:tcPr>
            <w:tcW w:w="0" w:type="auto"/>
            <w:shd w:val="clear" w:color="auto" w:fill="FFFFFF"/>
            <w:tcMar>
              <w:top w:w="0" w:type="dxa"/>
              <w:left w:w="85" w:type="dxa"/>
              <w:bottom w:w="0" w:type="dxa"/>
              <w:right w:w="85" w:type="dxa"/>
            </w:tcMar>
            <w:vAlign w:val="center"/>
          </w:tcPr>
          <w:p w14:paraId="115659B9"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38BCCF8C" w14:textId="77777777" w:rsidR="00EB5913" w:rsidRPr="006623B9" w:rsidRDefault="00EB5913" w:rsidP="00F16E23">
            <w:pPr>
              <w:pStyle w:val="TableText"/>
              <w:spacing w:before="40" w:after="30"/>
              <w:jc w:val="right"/>
              <w:rPr>
                <w:szCs w:val="16"/>
              </w:rPr>
            </w:pPr>
            <w:r w:rsidRPr="006623B9">
              <w:rPr>
                <w:rFonts w:eastAsia="Calibri"/>
                <w:szCs w:val="16"/>
              </w:rPr>
              <w:t>2.7</w:t>
            </w:r>
          </w:p>
        </w:tc>
      </w:tr>
      <w:tr w:rsidR="00EB5913" w:rsidRPr="006623B9" w14:paraId="02254C16" w14:textId="77777777" w:rsidTr="00F16E23">
        <w:tc>
          <w:tcPr>
            <w:tcW w:w="0" w:type="auto"/>
            <w:shd w:val="clear" w:color="auto" w:fill="FFFFFF"/>
            <w:tcMar>
              <w:top w:w="0" w:type="dxa"/>
              <w:left w:w="85" w:type="dxa"/>
              <w:bottom w:w="0" w:type="dxa"/>
              <w:right w:w="85" w:type="dxa"/>
            </w:tcMar>
            <w:vAlign w:val="center"/>
          </w:tcPr>
          <w:p w14:paraId="5A7A580C" w14:textId="77777777" w:rsidR="00EB5913" w:rsidRPr="006623B9" w:rsidRDefault="00EB5913" w:rsidP="00F16E23">
            <w:pPr>
              <w:pStyle w:val="Tableboldblue"/>
              <w:spacing w:before="40" w:after="30"/>
              <w:rPr>
                <w:szCs w:val="16"/>
              </w:rPr>
            </w:pPr>
            <w:r w:rsidRPr="006623B9">
              <w:rPr>
                <w:rFonts w:eastAsia="Calibri"/>
                <w:szCs w:val="16"/>
              </w:rPr>
              <w:t>2010</w:t>
            </w:r>
          </w:p>
        </w:tc>
        <w:tc>
          <w:tcPr>
            <w:tcW w:w="0" w:type="auto"/>
            <w:shd w:val="clear" w:color="auto" w:fill="FFFFFF"/>
            <w:tcMar>
              <w:top w:w="0" w:type="dxa"/>
              <w:left w:w="85" w:type="dxa"/>
              <w:bottom w:w="0" w:type="dxa"/>
              <w:right w:w="85" w:type="dxa"/>
            </w:tcMar>
            <w:vAlign w:val="center"/>
          </w:tcPr>
          <w:p w14:paraId="2290B188"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23F77AD6"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683021B5" w14:textId="77777777" w:rsidR="00EB5913" w:rsidRPr="006623B9" w:rsidRDefault="00EB5913" w:rsidP="00F16E23">
            <w:pPr>
              <w:pStyle w:val="TableText"/>
              <w:spacing w:before="40" w:after="30"/>
              <w:jc w:val="right"/>
              <w:rPr>
                <w:szCs w:val="16"/>
              </w:rPr>
            </w:pPr>
            <w:r w:rsidRPr="006623B9">
              <w:rPr>
                <w:rFonts w:eastAsia="Calibri"/>
                <w:szCs w:val="16"/>
              </w:rPr>
              <w:t>0.4</w:t>
            </w:r>
          </w:p>
        </w:tc>
        <w:tc>
          <w:tcPr>
            <w:tcW w:w="0" w:type="auto"/>
            <w:shd w:val="clear" w:color="auto" w:fill="FFFFFF"/>
            <w:tcMar>
              <w:top w:w="0" w:type="dxa"/>
              <w:left w:w="85" w:type="dxa"/>
              <w:bottom w:w="0" w:type="dxa"/>
              <w:right w:w="85" w:type="dxa"/>
            </w:tcMar>
            <w:vAlign w:val="center"/>
          </w:tcPr>
          <w:p w14:paraId="1989FEEA"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5E050889" w14:textId="77777777" w:rsidR="00EB5913" w:rsidRPr="006623B9" w:rsidRDefault="00EB5913" w:rsidP="00F16E23">
            <w:pPr>
              <w:pStyle w:val="TableText"/>
              <w:spacing w:before="40" w:after="30"/>
              <w:jc w:val="right"/>
              <w:rPr>
                <w:szCs w:val="16"/>
              </w:rPr>
            </w:pPr>
            <w:r w:rsidRPr="006623B9">
              <w:rPr>
                <w:rFonts w:eastAsia="Calibri"/>
                <w:szCs w:val="16"/>
              </w:rPr>
              <w:t>2.7</w:t>
            </w:r>
          </w:p>
        </w:tc>
      </w:tr>
      <w:tr w:rsidR="00EB5913" w:rsidRPr="006623B9" w14:paraId="793EC350" w14:textId="77777777" w:rsidTr="00F16E23">
        <w:tc>
          <w:tcPr>
            <w:tcW w:w="0" w:type="auto"/>
            <w:shd w:val="clear" w:color="auto" w:fill="FFFFFF"/>
            <w:tcMar>
              <w:top w:w="0" w:type="dxa"/>
              <w:left w:w="85" w:type="dxa"/>
              <w:bottom w:w="0" w:type="dxa"/>
              <w:right w:w="85" w:type="dxa"/>
            </w:tcMar>
            <w:vAlign w:val="center"/>
          </w:tcPr>
          <w:p w14:paraId="6BE49313" w14:textId="77777777" w:rsidR="00EB5913" w:rsidRPr="006623B9" w:rsidRDefault="00EB5913" w:rsidP="00F16E23">
            <w:pPr>
              <w:pStyle w:val="Tableboldblue"/>
              <w:spacing w:before="40" w:after="30"/>
              <w:rPr>
                <w:szCs w:val="16"/>
              </w:rPr>
            </w:pPr>
            <w:r w:rsidRPr="006623B9">
              <w:rPr>
                <w:rFonts w:eastAsia="Calibri"/>
                <w:szCs w:val="16"/>
              </w:rPr>
              <w:t>2011</w:t>
            </w:r>
          </w:p>
        </w:tc>
        <w:tc>
          <w:tcPr>
            <w:tcW w:w="0" w:type="auto"/>
            <w:shd w:val="clear" w:color="auto" w:fill="FFFFFF"/>
            <w:tcMar>
              <w:top w:w="0" w:type="dxa"/>
              <w:left w:w="85" w:type="dxa"/>
              <w:bottom w:w="0" w:type="dxa"/>
              <w:right w:w="85" w:type="dxa"/>
            </w:tcMar>
            <w:vAlign w:val="center"/>
          </w:tcPr>
          <w:p w14:paraId="3AEB2AC1"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6AD3F96A"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61144666" w14:textId="77777777" w:rsidR="00EB5913" w:rsidRPr="006623B9" w:rsidRDefault="00EB5913" w:rsidP="00F16E23">
            <w:pPr>
              <w:pStyle w:val="TableText"/>
              <w:spacing w:before="40" w:after="30"/>
              <w:jc w:val="right"/>
              <w:rPr>
                <w:szCs w:val="16"/>
              </w:rPr>
            </w:pPr>
            <w:r w:rsidRPr="006623B9">
              <w:rPr>
                <w:rFonts w:eastAsia="Calibri"/>
                <w:szCs w:val="16"/>
              </w:rPr>
              <w:t>0.4</w:t>
            </w:r>
          </w:p>
        </w:tc>
        <w:tc>
          <w:tcPr>
            <w:tcW w:w="0" w:type="auto"/>
            <w:shd w:val="clear" w:color="auto" w:fill="FFFFFF"/>
            <w:tcMar>
              <w:top w:w="0" w:type="dxa"/>
              <w:left w:w="85" w:type="dxa"/>
              <w:bottom w:w="0" w:type="dxa"/>
              <w:right w:w="85" w:type="dxa"/>
            </w:tcMar>
            <w:vAlign w:val="center"/>
          </w:tcPr>
          <w:p w14:paraId="61DDB0A9"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10CF3C08" w14:textId="77777777" w:rsidR="00EB5913" w:rsidRPr="006623B9" w:rsidRDefault="00EB5913" w:rsidP="00F16E23">
            <w:pPr>
              <w:pStyle w:val="TableText"/>
              <w:spacing w:before="40" w:after="30"/>
              <w:jc w:val="right"/>
              <w:rPr>
                <w:szCs w:val="16"/>
              </w:rPr>
            </w:pPr>
            <w:r w:rsidRPr="006623B9">
              <w:rPr>
                <w:rFonts w:eastAsia="Calibri"/>
                <w:szCs w:val="16"/>
              </w:rPr>
              <w:t>2.7</w:t>
            </w:r>
          </w:p>
        </w:tc>
      </w:tr>
      <w:tr w:rsidR="00EB5913" w:rsidRPr="006623B9" w14:paraId="52988D6F" w14:textId="77777777" w:rsidTr="00F16E23">
        <w:tc>
          <w:tcPr>
            <w:tcW w:w="0" w:type="auto"/>
            <w:shd w:val="clear" w:color="auto" w:fill="FFFFFF"/>
            <w:tcMar>
              <w:top w:w="0" w:type="dxa"/>
              <w:left w:w="85" w:type="dxa"/>
              <w:bottom w:w="0" w:type="dxa"/>
              <w:right w:w="85" w:type="dxa"/>
            </w:tcMar>
            <w:vAlign w:val="center"/>
          </w:tcPr>
          <w:p w14:paraId="77D7CE0B" w14:textId="77777777" w:rsidR="00EB5913" w:rsidRPr="006623B9" w:rsidRDefault="00EB5913" w:rsidP="00F16E23">
            <w:pPr>
              <w:pStyle w:val="Tableboldblue"/>
              <w:spacing w:before="40" w:after="30"/>
              <w:rPr>
                <w:szCs w:val="16"/>
              </w:rPr>
            </w:pPr>
            <w:r w:rsidRPr="006623B9">
              <w:rPr>
                <w:rFonts w:eastAsia="Calibri"/>
                <w:szCs w:val="16"/>
              </w:rPr>
              <w:t>2012</w:t>
            </w:r>
          </w:p>
        </w:tc>
        <w:tc>
          <w:tcPr>
            <w:tcW w:w="0" w:type="auto"/>
            <w:shd w:val="clear" w:color="auto" w:fill="FFFFFF"/>
            <w:tcMar>
              <w:top w:w="0" w:type="dxa"/>
              <w:left w:w="85" w:type="dxa"/>
              <w:bottom w:w="0" w:type="dxa"/>
              <w:right w:w="85" w:type="dxa"/>
            </w:tcMar>
            <w:vAlign w:val="center"/>
          </w:tcPr>
          <w:p w14:paraId="2D08711C"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37E8156A"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5D8A5FF8" w14:textId="77777777" w:rsidR="00EB5913" w:rsidRPr="006623B9" w:rsidRDefault="00EB5913" w:rsidP="00F16E23">
            <w:pPr>
              <w:pStyle w:val="TableText"/>
              <w:spacing w:before="40" w:after="30"/>
              <w:jc w:val="right"/>
              <w:rPr>
                <w:szCs w:val="16"/>
              </w:rPr>
            </w:pPr>
            <w:r w:rsidRPr="006623B9">
              <w:rPr>
                <w:rFonts w:eastAsia="Calibri"/>
                <w:szCs w:val="16"/>
              </w:rPr>
              <w:t>0.4</w:t>
            </w:r>
          </w:p>
        </w:tc>
        <w:tc>
          <w:tcPr>
            <w:tcW w:w="0" w:type="auto"/>
            <w:shd w:val="clear" w:color="auto" w:fill="FFFFFF"/>
            <w:tcMar>
              <w:top w:w="0" w:type="dxa"/>
              <w:left w:w="85" w:type="dxa"/>
              <w:bottom w:w="0" w:type="dxa"/>
              <w:right w:w="85" w:type="dxa"/>
            </w:tcMar>
            <w:vAlign w:val="center"/>
          </w:tcPr>
          <w:p w14:paraId="20908C7B"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646A06ED" w14:textId="77777777" w:rsidR="00EB5913" w:rsidRPr="006623B9" w:rsidRDefault="00EB5913" w:rsidP="00F16E23">
            <w:pPr>
              <w:pStyle w:val="TableText"/>
              <w:spacing w:before="40" w:after="30"/>
              <w:jc w:val="right"/>
              <w:rPr>
                <w:szCs w:val="16"/>
              </w:rPr>
            </w:pPr>
            <w:r w:rsidRPr="006623B9">
              <w:rPr>
                <w:rFonts w:eastAsia="Calibri"/>
                <w:szCs w:val="16"/>
              </w:rPr>
              <w:t>2.7</w:t>
            </w:r>
          </w:p>
        </w:tc>
      </w:tr>
      <w:tr w:rsidR="00EB5913" w:rsidRPr="006623B9" w14:paraId="6722A472" w14:textId="77777777" w:rsidTr="00F16E23">
        <w:tc>
          <w:tcPr>
            <w:tcW w:w="0" w:type="auto"/>
            <w:shd w:val="clear" w:color="auto" w:fill="FFFFFF"/>
            <w:tcMar>
              <w:top w:w="0" w:type="dxa"/>
              <w:left w:w="85" w:type="dxa"/>
              <w:bottom w:w="0" w:type="dxa"/>
              <w:right w:w="85" w:type="dxa"/>
            </w:tcMar>
            <w:vAlign w:val="center"/>
          </w:tcPr>
          <w:p w14:paraId="4176C546" w14:textId="77777777" w:rsidR="00EB5913" w:rsidRPr="006623B9" w:rsidRDefault="00EB5913" w:rsidP="00F16E23">
            <w:pPr>
              <w:pStyle w:val="Tableboldblue"/>
              <w:spacing w:before="40" w:after="30"/>
              <w:rPr>
                <w:szCs w:val="16"/>
              </w:rPr>
            </w:pPr>
            <w:r w:rsidRPr="006623B9">
              <w:rPr>
                <w:rFonts w:eastAsia="Calibri"/>
                <w:szCs w:val="16"/>
              </w:rPr>
              <w:t>2013</w:t>
            </w:r>
          </w:p>
        </w:tc>
        <w:tc>
          <w:tcPr>
            <w:tcW w:w="0" w:type="auto"/>
            <w:shd w:val="clear" w:color="auto" w:fill="FFFFFF"/>
            <w:tcMar>
              <w:top w:w="0" w:type="dxa"/>
              <w:left w:w="85" w:type="dxa"/>
              <w:bottom w:w="0" w:type="dxa"/>
              <w:right w:w="85" w:type="dxa"/>
            </w:tcMar>
            <w:vAlign w:val="center"/>
          </w:tcPr>
          <w:p w14:paraId="047AE221"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7941BB57"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69BCF103"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1076FC66"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3FBD95A5" w14:textId="77777777" w:rsidR="00EB5913" w:rsidRPr="006623B9" w:rsidRDefault="00EB5913" w:rsidP="00F16E23">
            <w:pPr>
              <w:pStyle w:val="TableText"/>
              <w:spacing w:before="40" w:after="30"/>
              <w:jc w:val="right"/>
              <w:rPr>
                <w:szCs w:val="16"/>
              </w:rPr>
            </w:pPr>
            <w:r w:rsidRPr="006623B9">
              <w:rPr>
                <w:rFonts w:eastAsia="Calibri"/>
                <w:szCs w:val="16"/>
              </w:rPr>
              <w:t>2.8</w:t>
            </w:r>
          </w:p>
        </w:tc>
      </w:tr>
      <w:tr w:rsidR="00EB5913" w:rsidRPr="006623B9" w14:paraId="06397894" w14:textId="77777777" w:rsidTr="00F16E23">
        <w:tc>
          <w:tcPr>
            <w:tcW w:w="0" w:type="auto"/>
            <w:shd w:val="clear" w:color="auto" w:fill="FFFFFF"/>
            <w:tcMar>
              <w:top w:w="0" w:type="dxa"/>
              <w:left w:w="85" w:type="dxa"/>
              <w:bottom w:w="0" w:type="dxa"/>
              <w:right w:w="85" w:type="dxa"/>
            </w:tcMar>
            <w:vAlign w:val="center"/>
          </w:tcPr>
          <w:p w14:paraId="370B8A86" w14:textId="77777777" w:rsidR="00EB5913" w:rsidRPr="006623B9" w:rsidRDefault="00EB5913" w:rsidP="00F16E23">
            <w:pPr>
              <w:pStyle w:val="Tableboldblue"/>
              <w:spacing w:before="40" w:after="30"/>
              <w:rPr>
                <w:szCs w:val="16"/>
              </w:rPr>
            </w:pPr>
            <w:r w:rsidRPr="006623B9">
              <w:rPr>
                <w:rFonts w:eastAsia="Calibri"/>
                <w:szCs w:val="16"/>
              </w:rPr>
              <w:t>2014</w:t>
            </w:r>
          </w:p>
        </w:tc>
        <w:tc>
          <w:tcPr>
            <w:tcW w:w="0" w:type="auto"/>
            <w:shd w:val="clear" w:color="auto" w:fill="FFFFFF"/>
            <w:tcMar>
              <w:top w:w="0" w:type="dxa"/>
              <w:left w:w="85" w:type="dxa"/>
              <w:bottom w:w="0" w:type="dxa"/>
              <w:right w:w="85" w:type="dxa"/>
            </w:tcMar>
            <w:vAlign w:val="center"/>
          </w:tcPr>
          <w:p w14:paraId="50CDF9BD"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08F2B74F"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626EF789"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561B388E"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6D558E1A"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76C2AAC2" w14:textId="77777777" w:rsidTr="00F16E23">
        <w:tc>
          <w:tcPr>
            <w:tcW w:w="0" w:type="auto"/>
            <w:shd w:val="clear" w:color="auto" w:fill="FFFFFF"/>
            <w:tcMar>
              <w:top w:w="0" w:type="dxa"/>
              <w:left w:w="85" w:type="dxa"/>
              <w:bottom w:w="0" w:type="dxa"/>
              <w:right w:w="85" w:type="dxa"/>
            </w:tcMar>
            <w:vAlign w:val="center"/>
          </w:tcPr>
          <w:p w14:paraId="65D3866D" w14:textId="77777777" w:rsidR="00EB5913" w:rsidRPr="006623B9" w:rsidRDefault="00EB5913" w:rsidP="00F16E23">
            <w:pPr>
              <w:pStyle w:val="Tableboldblue"/>
              <w:spacing w:before="40" w:after="30"/>
              <w:rPr>
                <w:szCs w:val="16"/>
              </w:rPr>
            </w:pPr>
            <w:r w:rsidRPr="006623B9">
              <w:rPr>
                <w:rFonts w:eastAsia="Calibri"/>
                <w:szCs w:val="16"/>
              </w:rPr>
              <w:t>2015</w:t>
            </w:r>
          </w:p>
        </w:tc>
        <w:tc>
          <w:tcPr>
            <w:tcW w:w="0" w:type="auto"/>
            <w:shd w:val="clear" w:color="auto" w:fill="FFFFFF"/>
            <w:tcMar>
              <w:top w:w="0" w:type="dxa"/>
              <w:left w:w="85" w:type="dxa"/>
              <w:bottom w:w="0" w:type="dxa"/>
              <w:right w:w="85" w:type="dxa"/>
            </w:tcMar>
            <w:vAlign w:val="center"/>
          </w:tcPr>
          <w:p w14:paraId="7ED8FA6E"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650C514F" w14:textId="77777777" w:rsidR="00EB5913" w:rsidRPr="006623B9" w:rsidRDefault="00EB5913" w:rsidP="00F16E23">
            <w:pPr>
              <w:pStyle w:val="TableText"/>
              <w:spacing w:before="40" w:after="30"/>
              <w:jc w:val="right"/>
              <w:rPr>
                <w:szCs w:val="16"/>
              </w:rPr>
            </w:pPr>
            <w:r w:rsidRPr="006623B9">
              <w:rPr>
                <w:rFonts w:eastAsia="Calibri"/>
                <w:szCs w:val="16"/>
              </w:rPr>
              <w:t>0.2</w:t>
            </w:r>
          </w:p>
        </w:tc>
        <w:tc>
          <w:tcPr>
            <w:tcW w:w="0" w:type="auto"/>
            <w:shd w:val="clear" w:color="auto" w:fill="FFFFFF"/>
            <w:tcMar>
              <w:top w:w="0" w:type="dxa"/>
              <w:left w:w="85" w:type="dxa"/>
              <w:bottom w:w="0" w:type="dxa"/>
              <w:right w:w="85" w:type="dxa"/>
            </w:tcMar>
            <w:vAlign w:val="center"/>
          </w:tcPr>
          <w:p w14:paraId="24982D93"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7D192D20"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49E524D4"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13CA0091" w14:textId="77777777" w:rsidTr="00F16E23">
        <w:tc>
          <w:tcPr>
            <w:tcW w:w="0" w:type="auto"/>
            <w:shd w:val="clear" w:color="auto" w:fill="FFFFFF"/>
            <w:tcMar>
              <w:top w:w="0" w:type="dxa"/>
              <w:left w:w="85" w:type="dxa"/>
              <w:bottom w:w="0" w:type="dxa"/>
              <w:right w:w="85" w:type="dxa"/>
            </w:tcMar>
            <w:vAlign w:val="center"/>
          </w:tcPr>
          <w:p w14:paraId="251DDB33" w14:textId="77777777" w:rsidR="00EB5913" w:rsidRPr="006623B9" w:rsidRDefault="00EB5913" w:rsidP="00F16E23">
            <w:pPr>
              <w:pStyle w:val="Tableboldblue"/>
              <w:spacing w:before="40" w:after="30"/>
              <w:rPr>
                <w:szCs w:val="16"/>
              </w:rPr>
            </w:pPr>
            <w:r w:rsidRPr="006623B9">
              <w:rPr>
                <w:rFonts w:eastAsia="Calibri"/>
                <w:szCs w:val="16"/>
              </w:rPr>
              <w:t>2016</w:t>
            </w:r>
          </w:p>
        </w:tc>
        <w:tc>
          <w:tcPr>
            <w:tcW w:w="0" w:type="auto"/>
            <w:shd w:val="clear" w:color="auto" w:fill="FFFFFF"/>
            <w:tcMar>
              <w:top w:w="0" w:type="dxa"/>
              <w:left w:w="85" w:type="dxa"/>
              <w:bottom w:w="0" w:type="dxa"/>
              <w:right w:w="85" w:type="dxa"/>
            </w:tcMar>
            <w:vAlign w:val="center"/>
          </w:tcPr>
          <w:p w14:paraId="056EFDC9"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0E0ABBB9"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4CD0686C"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7242C442"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06700DB1"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0130CA96" w14:textId="77777777" w:rsidTr="00F16E23">
        <w:tc>
          <w:tcPr>
            <w:tcW w:w="0" w:type="auto"/>
            <w:shd w:val="clear" w:color="auto" w:fill="FFFFFF"/>
            <w:tcMar>
              <w:top w:w="0" w:type="dxa"/>
              <w:left w:w="85" w:type="dxa"/>
              <w:bottom w:w="0" w:type="dxa"/>
              <w:right w:w="85" w:type="dxa"/>
            </w:tcMar>
            <w:vAlign w:val="center"/>
          </w:tcPr>
          <w:p w14:paraId="4784762B" w14:textId="77777777" w:rsidR="00EB5913" w:rsidRPr="006623B9" w:rsidRDefault="00EB5913" w:rsidP="00F16E23">
            <w:pPr>
              <w:pStyle w:val="Tableboldblue"/>
              <w:spacing w:before="40" w:after="30"/>
              <w:rPr>
                <w:szCs w:val="16"/>
              </w:rPr>
            </w:pPr>
            <w:r w:rsidRPr="006623B9">
              <w:rPr>
                <w:rFonts w:eastAsia="Calibri"/>
                <w:szCs w:val="16"/>
              </w:rPr>
              <w:t>2017</w:t>
            </w:r>
          </w:p>
        </w:tc>
        <w:tc>
          <w:tcPr>
            <w:tcW w:w="0" w:type="auto"/>
            <w:shd w:val="clear" w:color="auto" w:fill="FFFFFF"/>
            <w:tcMar>
              <w:top w:w="0" w:type="dxa"/>
              <w:left w:w="85" w:type="dxa"/>
              <w:bottom w:w="0" w:type="dxa"/>
              <w:right w:w="85" w:type="dxa"/>
            </w:tcMar>
            <w:vAlign w:val="center"/>
          </w:tcPr>
          <w:p w14:paraId="3FB63201" w14:textId="77777777" w:rsidR="00EB5913" w:rsidRPr="006623B9" w:rsidRDefault="00EB5913" w:rsidP="00F16E23">
            <w:pPr>
              <w:pStyle w:val="TableText"/>
              <w:spacing w:before="40" w:after="30"/>
              <w:jc w:val="right"/>
              <w:rPr>
                <w:szCs w:val="16"/>
              </w:rPr>
            </w:pPr>
            <w:r w:rsidRPr="006623B9">
              <w:rPr>
                <w:rFonts w:eastAsia="Calibri"/>
                <w:szCs w:val="16"/>
              </w:rPr>
              <w:t>1.5</w:t>
            </w:r>
          </w:p>
        </w:tc>
        <w:tc>
          <w:tcPr>
            <w:tcW w:w="0" w:type="auto"/>
            <w:shd w:val="clear" w:color="auto" w:fill="FFFFFF"/>
            <w:tcMar>
              <w:top w:w="0" w:type="dxa"/>
              <w:left w:w="85" w:type="dxa"/>
              <w:bottom w:w="0" w:type="dxa"/>
              <w:right w:w="85" w:type="dxa"/>
            </w:tcMar>
            <w:vAlign w:val="center"/>
          </w:tcPr>
          <w:p w14:paraId="4BA916CC"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30DC600F"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115DF206"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5C1A8A19"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7C8B3B26" w14:textId="77777777" w:rsidTr="00F16E23">
        <w:tc>
          <w:tcPr>
            <w:tcW w:w="0" w:type="auto"/>
            <w:shd w:val="clear" w:color="auto" w:fill="FFFFFF"/>
            <w:tcMar>
              <w:top w:w="0" w:type="dxa"/>
              <w:left w:w="85" w:type="dxa"/>
              <w:bottom w:w="0" w:type="dxa"/>
              <w:right w:w="85" w:type="dxa"/>
            </w:tcMar>
            <w:vAlign w:val="center"/>
          </w:tcPr>
          <w:p w14:paraId="47D88661" w14:textId="77777777" w:rsidR="00EB5913" w:rsidRPr="006623B9" w:rsidRDefault="00EB5913" w:rsidP="00F16E23">
            <w:pPr>
              <w:pStyle w:val="Tableboldblue"/>
              <w:spacing w:before="40" w:after="30"/>
              <w:rPr>
                <w:szCs w:val="16"/>
              </w:rPr>
            </w:pPr>
            <w:r w:rsidRPr="006623B9">
              <w:rPr>
                <w:rFonts w:eastAsia="Calibri"/>
                <w:szCs w:val="16"/>
              </w:rPr>
              <w:t>2018</w:t>
            </w:r>
          </w:p>
        </w:tc>
        <w:tc>
          <w:tcPr>
            <w:tcW w:w="0" w:type="auto"/>
            <w:shd w:val="clear" w:color="auto" w:fill="FFFFFF"/>
            <w:tcMar>
              <w:top w:w="0" w:type="dxa"/>
              <w:left w:w="85" w:type="dxa"/>
              <w:bottom w:w="0" w:type="dxa"/>
              <w:right w:w="85" w:type="dxa"/>
            </w:tcMar>
            <w:vAlign w:val="center"/>
          </w:tcPr>
          <w:p w14:paraId="58A7FF52"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3FFAC80D"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12D97DB5"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3CB83A35"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029DD89A" w14:textId="77777777" w:rsidR="00EB5913" w:rsidRPr="006623B9" w:rsidRDefault="00EB5913" w:rsidP="00F16E23">
            <w:pPr>
              <w:pStyle w:val="TableText"/>
              <w:spacing w:before="40" w:after="30"/>
              <w:jc w:val="right"/>
              <w:rPr>
                <w:szCs w:val="16"/>
              </w:rPr>
            </w:pPr>
            <w:r w:rsidRPr="006623B9">
              <w:rPr>
                <w:rFonts w:eastAsia="Calibri"/>
                <w:szCs w:val="16"/>
              </w:rPr>
              <w:t>3.0</w:t>
            </w:r>
          </w:p>
        </w:tc>
      </w:tr>
      <w:tr w:rsidR="00EB5913" w:rsidRPr="006623B9" w14:paraId="281370ED" w14:textId="77777777" w:rsidTr="00F16E23">
        <w:tc>
          <w:tcPr>
            <w:tcW w:w="0" w:type="auto"/>
            <w:shd w:val="clear" w:color="auto" w:fill="FFFFFF"/>
            <w:tcMar>
              <w:top w:w="0" w:type="dxa"/>
              <w:left w:w="85" w:type="dxa"/>
              <w:bottom w:w="0" w:type="dxa"/>
              <w:right w:w="85" w:type="dxa"/>
            </w:tcMar>
            <w:vAlign w:val="center"/>
          </w:tcPr>
          <w:p w14:paraId="04690B49" w14:textId="77777777" w:rsidR="00EB5913" w:rsidRPr="006623B9" w:rsidRDefault="00EB5913" w:rsidP="00F16E23">
            <w:pPr>
              <w:pStyle w:val="Tableboldblue"/>
              <w:spacing w:before="40" w:after="30"/>
              <w:rPr>
                <w:szCs w:val="16"/>
              </w:rPr>
            </w:pPr>
            <w:r w:rsidRPr="006623B9">
              <w:rPr>
                <w:rFonts w:eastAsia="Calibri"/>
                <w:szCs w:val="16"/>
              </w:rPr>
              <w:t>2019</w:t>
            </w:r>
          </w:p>
        </w:tc>
        <w:tc>
          <w:tcPr>
            <w:tcW w:w="0" w:type="auto"/>
            <w:shd w:val="clear" w:color="auto" w:fill="FFFFFF"/>
            <w:tcMar>
              <w:top w:w="0" w:type="dxa"/>
              <w:left w:w="85" w:type="dxa"/>
              <w:bottom w:w="0" w:type="dxa"/>
              <w:right w:w="85" w:type="dxa"/>
            </w:tcMar>
            <w:vAlign w:val="center"/>
          </w:tcPr>
          <w:p w14:paraId="4CE297E8"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2BEA7573"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5CA89245"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4A004492"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07537746" w14:textId="77777777" w:rsidR="00EB5913" w:rsidRPr="006623B9" w:rsidRDefault="00EB5913" w:rsidP="00F16E23">
            <w:pPr>
              <w:pStyle w:val="TableText"/>
              <w:spacing w:before="40" w:after="30"/>
              <w:jc w:val="right"/>
              <w:rPr>
                <w:szCs w:val="16"/>
              </w:rPr>
            </w:pPr>
            <w:r w:rsidRPr="006623B9">
              <w:rPr>
                <w:rFonts w:eastAsia="Calibri"/>
                <w:szCs w:val="16"/>
              </w:rPr>
              <w:t>3.0</w:t>
            </w:r>
          </w:p>
        </w:tc>
      </w:tr>
      <w:tr w:rsidR="00EB5913" w:rsidRPr="006623B9" w14:paraId="3F7BB537" w14:textId="77777777" w:rsidTr="00F16E23">
        <w:tc>
          <w:tcPr>
            <w:tcW w:w="0" w:type="auto"/>
            <w:shd w:val="clear" w:color="auto" w:fill="FFFFFF"/>
            <w:tcMar>
              <w:top w:w="0" w:type="dxa"/>
              <w:left w:w="85" w:type="dxa"/>
              <w:bottom w:w="0" w:type="dxa"/>
              <w:right w:w="85" w:type="dxa"/>
            </w:tcMar>
            <w:vAlign w:val="center"/>
          </w:tcPr>
          <w:p w14:paraId="0CE00C4B" w14:textId="77777777" w:rsidR="00EB5913" w:rsidRPr="006623B9" w:rsidRDefault="00EB5913" w:rsidP="00F16E23">
            <w:pPr>
              <w:pStyle w:val="Tableboldblue"/>
              <w:spacing w:before="40" w:after="30"/>
              <w:rPr>
                <w:szCs w:val="16"/>
              </w:rPr>
            </w:pPr>
            <w:r w:rsidRPr="006623B9">
              <w:rPr>
                <w:rFonts w:eastAsia="Calibri"/>
                <w:szCs w:val="16"/>
              </w:rPr>
              <w:t>2020</w:t>
            </w:r>
          </w:p>
        </w:tc>
        <w:tc>
          <w:tcPr>
            <w:tcW w:w="0" w:type="auto"/>
            <w:shd w:val="clear" w:color="auto" w:fill="FFFFFF"/>
            <w:tcMar>
              <w:top w:w="0" w:type="dxa"/>
              <w:left w:w="85" w:type="dxa"/>
              <w:bottom w:w="0" w:type="dxa"/>
              <w:right w:w="85" w:type="dxa"/>
            </w:tcMar>
            <w:vAlign w:val="center"/>
          </w:tcPr>
          <w:p w14:paraId="0A4444B5"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780C94B7"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15B21CD4"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6D08BDAA"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03611BFF" w14:textId="77777777" w:rsidR="00EB5913" w:rsidRPr="006623B9" w:rsidRDefault="00EB5913" w:rsidP="00F16E23">
            <w:pPr>
              <w:pStyle w:val="TableText"/>
              <w:spacing w:before="40" w:after="30"/>
              <w:jc w:val="right"/>
              <w:rPr>
                <w:szCs w:val="16"/>
              </w:rPr>
            </w:pPr>
            <w:r w:rsidRPr="006623B9">
              <w:rPr>
                <w:rFonts w:eastAsia="Calibri"/>
                <w:szCs w:val="16"/>
              </w:rPr>
              <w:t>3.0</w:t>
            </w:r>
          </w:p>
        </w:tc>
      </w:tr>
      <w:tr w:rsidR="00EB5913" w:rsidRPr="006623B9" w14:paraId="1FCD99D4" w14:textId="77777777" w:rsidTr="00F16E23">
        <w:tc>
          <w:tcPr>
            <w:tcW w:w="0" w:type="auto"/>
            <w:shd w:val="clear" w:color="auto" w:fill="FFFFFF"/>
            <w:tcMar>
              <w:top w:w="0" w:type="dxa"/>
              <w:left w:w="85" w:type="dxa"/>
              <w:bottom w:w="0" w:type="dxa"/>
              <w:right w:w="85" w:type="dxa"/>
            </w:tcMar>
            <w:vAlign w:val="center"/>
          </w:tcPr>
          <w:p w14:paraId="07E3E5F0" w14:textId="77777777" w:rsidR="00EB5913" w:rsidRPr="006623B9" w:rsidRDefault="00EB5913" w:rsidP="00F16E23">
            <w:pPr>
              <w:pStyle w:val="Tableboldblue"/>
              <w:spacing w:before="40" w:after="30"/>
              <w:rPr>
                <w:szCs w:val="16"/>
              </w:rPr>
            </w:pPr>
            <w:r w:rsidRPr="006623B9">
              <w:rPr>
                <w:rFonts w:eastAsia="Calibri"/>
                <w:szCs w:val="16"/>
              </w:rPr>
              <w:t>2021</w:t>
            </w:r>
          </w:p>
        </w:tc>
        <w:tc>
          <w:tcPr>
            <w:tcW w:w="0" w:type="auto"/>
            <w:shd w:val="clear" w:color="auto" w:fill="FFFFFF"/>
            <w:tcMar>
              <w:top w:w="0" w:type="dxa"/>
              <w:left w:w="85" w:type="dxa"/>
              <w:bottom w:w="0" w:type="dxa"/>
              <w:right w:w="85" w:type="dxa"/>
            </w:tcMar>
            <w:vAlign w:val="center"/>
          </w:tcPr>
          <w:p w14:paraId="4CF8CB54"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7F9D369E"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4D455B2F"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78C809CA"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2D2C83EB" w14:textId="77777777" w:rsidR="00EB5913" w:rsidRPr="006623B9" w:rsidRDefault="00EB5913" w:rsidP="00F16E23">
            <w:pPr>
              <w:pStyle w:val="TableText"/>
              <w:spacing w:before="40" w:after="30"/>
              <w:jc w:val="right"/>
              <w:rPr>
                <w:szCs w:val="16"/>
              </w:rPr>
            </w:pPr>
            <w:r w:rsidRPr="006623B9">
              <w:rPr>
                <w:rFonts w:eastAsia="Calibri"/>
                <w:szCs w:val="16"/>
              </w:rPr>
              <w:t>3.0</w:t>
            </w:r>
          </w:p>
        </w:tc>
      </w:tr>
      <w:tr w:rsidR="00EB5913" w:rsidRPr="006623B9" w14:paraId="61F5F299" w14:textId="77777777" w:rsidTr="00F16E23">
        <w:tc>
          <w:tcPr>
            <w:tcW w:w="0" w:type="auto"/>
            <w:shd w:val="clear" w:color="auto" w:fill="FFFFFF"/>
            <w:tcMar>
              <w:top w:w="0" w:type="dxa"/>
              <w:left w:w="85" w:type="dxa"/>
              <w:bottom w:w="0" w:type="dxa"/>
              <w:right w:w="85" w:type="dxa"/>
            </w:tcMar>
            <w:vAlign w:val="center"/>
          </w:tcPr>
          <w:p w14:paraId="2D930A1F" w14:textId="77777777" w:rsidR="00EB5913" w:rsidRPr="006623B9" w:rsidRDefault="00EB5913" w:rsidP="00F16E23">
            <w:pPr>
              <w:pStyle w:val="Tableboldblue"/>
              <w:spacing w:before="40" w:after="30"/>
              <w:rPr>
                <w:szCs w:val="16"/>
              </w:rPr>
            </w:pPr>
            <w:r w:rsidRPr="006623B9">
              <w:rPr>
                <w:rFonts w:eastAsia="Calibri"/>
                <w:szCs w:val="16"/>
              </w:rPr>
              <w:t>2022</w:t>
            </w:r>
          </w:p>
        </w:tc>
        <w:tc>
          <w:tcPr>
            <w:tcW w:w="0" w:type="auto"/>
            <w:shd w:val="clear" w:color="auto" w:fill="FFFFFF"/>
            <w:tcMar>
              <w:top w:w="0" w:type="dxa"/>
              <w:left w:w="85" w:type="dxa"/>
              <w:bottom w:w="0" w:type="dxa"/>
              <w:right w:w="85" w:type="dxa"/>
            </w:tcMar>
            <w:vAlign w:val="center"/>
          </w:tcPr>
          <w:p w14:paraId="7CF81243"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53E18DB9"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0F06D5F1"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144A28F7"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7C1237DC" w14:textId="77777777" w:rsidR="00EB5913" w:rsidRPr="006623B9" w:rsidRDefault="00EB5913" w:rsidP="00F16E23">
            <w:pPr>
              <w:pStyle w:val="TableText"/>
              <w:spacing w:before="40" w:after="30"/>
              <w:jc w:val="right"/>
              <w:rPr>
                <w:szCs w:val="16"/>
              </w:rPr>
            </w:pPr>
            <w:r w:rsidRPr="006623B9">
              <w:rPr>
                <w:rFonts w:eastAsia="Calibri"/>
                <w:szCs w:val="16"/>
              </w:rPr>
              <w:t>2.9</w:t>
            </w:r>
          </w:p>
        </w:tc>
      </w:tr>
      <w:tr w:rsidR="00EB5913" w:rsidRPr="006623B9" w14:paraId="6BB64491" w14:textId="77777777" w:rsidTr="00F16E23">
        <w:tc>
          <w:tcPr>
            <w:tcW w:w="0" w:type="auto"/>
            <w:shd w:val="clear" w:color="auto" w:fill="FFFFFF"/>
            <w:tcMar>
              <w:top w:w="0" w:type="dxa"/>
              <w:left w:w="85" w:type="dxa"/>
              <w:bottom w:w="0" w:type="dxa"/>
              <w:right w:w="85" w:type="dxa"/>
            </w:tcMar>
            <w:vAlign w:val="center"/>
          </w:tcPr>
          <w:p w14:paraId="3368C534" w14:textId="77777777" w:rsidR="00EB5913" w:rsidRPr="006623B9" w:rsidRDefault="00EB5913" w:rsidP="00F16E23">
            <w:pPr>
              <w:pStyle w:val="Tableboldblue"/>
              <w:spacing w:before="40" w:after="30"/>
              <w:rPr>
                <w:szCs w:val="16"/>
              </w:rPr>
            </w:pPr>
            <w:r w:rsidRPr="006623B9">
              <w:rPr>
                <w:rFonts w:eastAsia="Calibri"/>
                <w:szCs w:val="16"/>
              </w:rPr>
              <w:t>2023</w:t>
            </w:r>
          </w:p>
        </w:tc>
        <w:tc>
          <w:tcPr>
            <w:tcW w:w="0" w:type="auto"/>
            <w:shd w:val="clear" w:color="auto" w:fill="FFFFFF"/>
            <w:tcMar>
              <w:top w:w="0" w:type="dxa"/>
              <w:left w:w="85" w:type="dxa"/>
              <w:bottom w:w="0" w:type="dxa"/>
              <w:right w:w="85" w:type="dxa"/>
            </w:tcMar>
            <w:vAlign w:val="center"/>
          </w:tcPr>
          <w:p w14:paraId="55622BC3"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3235C9CF"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548BC83D"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118DB54A"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0470854B" w14:textId="77777777" w:rsidR="00EB5913" w:rsidRPr="006623B9" w:rsidRDefault="00EB5913" w:rsidP="00F16E23">
            <w:pPr>
              <w:pStyle w:val="TableText"/>
              <w:spacing w:before="40" w:after="30"/>
              <w:jc w:val="right"/>
              <w:rPr>
                <w:szCs w:val="16"/>
              </w:rPr>
            </w:pPr>
            <w:r w:rsidRPr="006623B9">
              <w:rPr>
                <w:rFonts w:eastAsia="Calibri"/>
                <w:szCs w:val="16"/>
              </w:rPr>
              <w:t>3.0</w:t>
            </w:r>
          </w:p>
        </w:tc>
      </w:tr>
      <w:tr w:rsidR="00EB5913" w:rsidRPr="006623B9" w14:paraId="1697F411" w14:textId="77777777" w:rsidTr="00F16E23">
        <w:tc>
          <w:tcPr>
            <w:tcW w:w="0" w:type="auto"/>
            <w:shd w:val="clear" w:color="auto" w:fill="FFFFFF"/>
            <w:tcMar>
              <w:top w:w="0" w:type="dxa"/>
              <w:left w:w="85" w:type="dxa"/>
              <w:bottom w:w="0" w:type="dxa"/>
              <w:right w:w="85" w:type="dxa"/>
            </w:tcMar>
            <w:vAlign w:val="center"/>
          </w:tcPr>
          <w:p w14:paraId="4A7162F7" w14:textId="77777777" w:rsidR="00EB5913" w:rsidRPr="006623B9" w:rsidRDefault="00EB5913" w:rsidP="00F16E23">
            <w:pPr>
              <w:pStyle w:val="Tableboldblue"/>
              <w:spacing w:before="40" w:after="30"/>
              <w:rPr>
                <w:szCs w:val="16"/>
              </w:rPr>
            </w:pPr>
            <w:r w:rsidRPr="006623B9">
              <w:rPr>
                <w:rFonts w:eastAsia="Calibri"/>
                <w:szCs w:val="16"/>
              </w:rPr>
              <w:t>2024</w:t>
            </w:r>
          </w:p>
        </w:tc>
        <w:tc>
          <w:tcPr>
            <w:tcW w:w="0" w:type="auto"/>
            <w:shd w:val="clear" w:color="auto" w:fill="FFFFFF"/>
            <w:tcMar>
              <w:top w:w="0" w:type="dxa"/>
              <w:left w:w="85" w:type="dxa"/>
              <w:bottom w:w="0" w:type="dxa"/>
              <w:right w:w="85" w:type="dxa"/>
            </w:tcMar>
            <w:vAlign w:val="center"/>
          </w:tcPr>
          <w:p w14:paraId="7AEE73F8" w14:textId="77777777" w:rsidR="00EB5913" w:rsidRPr="006623B9" w:rsidRDefault="00EB5913" w:rsidP="00F16E23">
            <w:pPr>
              <w:pStyle w:val="TableText"/>
              <w:spacing w:before="40" w:after="30"/>
              <w:jc w:val="right"/>
              <w:rPr>
                <w:szCs w:val="16"/>
              </w:rPr>
            </w:pPr>
            <w:r w:rsidRPr="006623B9">
              <w:rPr>
                <w:rFonts w:eastAsia="Calibri"/>
                <w:szCs w:val="16"/>
              </w:rPr>
              <w:t>1.6</w:t>
            </w:r>
          </w:p>
        </w:tc>
        <w:tc>
          <w:tcPr>
            <w:tcW w:w="0" w:type="auto"/>
            <w:shd w:val="clear" w:color="auto" w:fill="FFFFFF"/>
            <w:tcMar>
              <w:top w:w="0" w:type="dxa"/>
              <w:left w:w="85" w:type="dxa"/>
              <w:bottom w:w="0" w:type="dxa"/>
              <w:right w:w="85" w:type="dxa"/>
            </w:tcMar>
            <w:vAlign w:val="center"/>
          </w:tcPr>
          <w:p w14:paraId="28E3F3EC" w14:textId="77777777" w:rsidR="00EB5913" w:rsidRPr="006623B9" w:rsidRDefault="00EB5913" w:rsidP="00F16E23">
            <w:pPr>
              <w:pStyle w:val="TableText"/>
              <w:spacing w:before="40" w:after="30"/>
              <w:jc w:val="right"/>
              <w:rPr>
                <w:szCs w:val="16"/>
              </w:rPr>
            </w:pPr>
            <w:r w:rsidRPr="006623B9">
              <w:rPr>
                <w:rFonts w:eastAsia="Calibri"/>
                <w:szCs w:val="16"/>
              </w:rPr>
              <w:t>0.3</w:t>
            </w:r>
          </w:p>
        </w:tc>
        <w:tc>
          <w:tcPr>
            <w:tcW w:w="0" w:type="auto"/>
            <w:shd w:val="clear" w:color="auto" w:fill="FFFFFF"/>
            <w:tcMar>
              <w:top w:w="0" w:type="dxa"/>
              <w:left w:w="85" w:type="dxa"/>
              <w:bottom w:w="0" w:type="dxa"/>
              <w:right w:w="85" w:type="dxa"/>
            </w:tcMar>
            <w:vAlign w:val="center"/>
          </w:tcPr>
          <w:p w14:paraId="4C115DE7" w14:textId="77777777" w:rsidR="00EB5913" w:rsidRPr="006623B9" w:rsidRDefault="00EB5913" w:rsidP="00F16E23">
            <w:pPr>
              <w:pStyle w:val="TableText"/>
              <w:spacing w:before="40" w:after="30"/>
              <w:jc w:val="right"/>
              <w:rPr>
                <w:szCs w:val="16"/>
              </w:rPr>
            </w:pPr>
            <w:r w:rsidRPr="006623B9">
              <w:rPr>
                <w:rFonts w:eastAsia="Calibri"/>
                <w:szCs w:val="16"/>
              </w:rPr>
              <w:t>0.5</w:t>
            </w:r>
          </w:p>
        </w:tc>
        <w:tc>
          <w:tcPr>
            <w:tcW w:w="0" w:type="auto"/>
            <w:shd w:val="clear" w:color="auto" w:fill="FFFFFF"/>
            <w:tcMar>
              <w:top w:w="0" w:type="dxa"/>
              <w:left w:w="85" w:type="dxa"/>
              <w:bottom w:w="0" w:type="dxa"/>
              <w:right w:w="85" w:type="dxa"/>
            </w:tcMar>
            <w:vAlign w:val="center"/>
          </w:tcPr>
          <w:p w14:paraId="514C5776" w14:textId="77777777" w:rsidR="00EB5913" w:rsidRPr="006623B9" w:rsidRDefault="00EB5913" w:rsidP="00F16E23">
            <w:pPr>
              <w:pStyle w:val="TableText"/>
              <w:spacing w:before="40" w:after="30"/>
              <w:jc w:val="right"/>
              <w:rPr>
                <w:szCs w:val="16"/>
              </w:rPr>
            </w:pPr>
            <w:r w:rsidRPr="006623B9">
              <w:rPr>
                <w:rFonts w:eastAsia="Calibri"/>
                <w:szCs w:val="16"/>
              </w:rPr>
              <w:t>0.6</w:t>
            </w:r>
          </w:p>
        </w:tc>
        <w:tc>
          <w:tcPr>
            <w:tcW w:w="0" w:type="auto"/>
            <w:shd w:val="clear" w:color="auto" w:fill="FFFFFF"/>
            <w:tcMar>
              <w:top w:w="0" w:type="dxa"/>
              <w:left w:w="85" w:type="dxa"/>
              <w:bottom w:w="0" w:type="dxa"/>
              <w:right w:w="85" w:type="dxa"/>
            </w:tcMar>
            <w:vAlign w:val="center"/>
          </w:tcPr>
          <w:p w14:paraId="78C41CF6" w14:textId="77777777" w:rsidR="00EB5913" w:rsidRPr="006623B9" w:rsidRDefault="00EB5913" w:rsidP="00F16E23">
            <w:pPr>
              <w:pStyle w:val="TableText"/>
              <w:spacing w:before="40" w:after="30"/>
              <w:jc w:val="right"/>
              <w:rPr>
                <w:szCs w:val="16"/>
              </w:rPr>
            </w:pPr>
            <w:r w:rsidRPr="006623B9">
              <w:rPr>
                <w:rFonts w:eastAsia="Calibri"/>
                <w:szCs w:val="16"/>
              </w:rPr>
              <w:t>3.0</w:t>
            </w:r>
          </w:p>
        </w:tc>
      </w:tr>
    </w:tbl>
    <w:p w14:paraId="5E7AFCD3" w14:textId="77777777" w:rsidR="00EB5913" w:rsidRPr="006623B9" w:rsidRDefault="00EB5913" w:rsidP="00EB5913">
      <w:pPr>
        <w:pStyle w:val="Noteundertable"/>
      </w:pPr>
      <w:r w:rsidRPr="006623B9">
        <w:rPr>
          <w:b/>
          <w:bCs/>
        </w:rPr>
        <w:t>Note:</w:t>
      </w:r>
      <w:r w:rsidRPr="006623B9">
        <w:t xml:space="preserve"> </w:t>
      </w:r>
      <w:r w:rsidRPr="006623B9">
        <w:tab/>
        <w:t>Columns may not total due to rounding.</w:t>
      </w:r>
    </w:p>
    <w:p w14:paraId="2F4223E3" w14:textId="77777777" w:rsidR="00EB5913" w:rsidRPr="006623B9" w:rsidRDefault="00EB5913" w:rsidP="00EB5913">
      <w:pPr>
        <w:pStyle w:val="Heading5"/>
      </w:pPr>
      <w:bookmarkStart w:id="3105" w:name="meat-industry"/>
      <w:bookmarkEnd w:id="3102"/>
      <w:r w:rsidRPr="006623B9">
        <w:t>Meat industry</w:t>
      </w:r>
    </w:p>
    <w:p w14:paraId="17679143" w14:textId="77777777" w:rsidR="00EB5913" w:rsidRPr="006623B9" w:rsidRDefault="00EB5913" w:rsidP="00EB5913">
      <w:pPr>
        <w:pStyle w:val="BodyText"/>
      </w:pPr>
      <w:r w:rsidRPr="006623B9">
        <w:t>Methane emissions from the meat industry are calculated from an estimate of the wastewater output from meat processing. This estimate is based on the total production (kills) from the different producers in the meat industry and uses data that is as consistent as possible with the data for kills used in the Agriculture sector.</w:t>
      </w:r>
    </w:p>
    <w:p w14:paraId="7B3C69FD" w14:textId="77777777" w:rsidR="00EB5913" w:rsidRPr="006623B9" w:rsidRDefault="00EB5913" w:rsidP="00EB5913">
      <w:pPr>
        <w:pStyle w:val="BodyText"/>
      </w:pPr>
      <w:r w:rsidRPr="006623B9">
        <w:t>Poultry processing is calculated separately from other meat processing because its fraction of waste treated in anaerobic ponds and the unit COD load are higher than for other meat processing (Cardno, unpublished).</w:t>
      </w:r>
    </w:p>
    <w:p w14:paraId="57BB0705" w14:textId="77777777" w:rsidR="00EB5913" w:rsidRPr="006623B9" w:rsidRDefault="00EB5913" w:rsidP="00EB5913">
      <w:pPr>
        <w:pStyle w:val="BodyText"/>
      </w:pPr>
      <w:r w:rsidRPr="006623B9">
        <w:t>Rendering loads are not separated out to simplify the inventory calculations because there are only a few standalone rendering plants in New Zealand, and the rest are combined with meat processing plants. Therefore, the unit COD load only includes rendering operations (Cardno, unpublished).</w:t>
      </w:r>
    </w:p>
    <w:p w14:paraId="3D092B40" w14:textId="77777777" w:rsidR="00EB5913" w:rsidRPr="006623B9" w:rsidRDefault="00EB5913" w:rsidP="00EB5913">
      <w:pPr>
        <w:pStyle w:val="BodyText"/>
      </w:pPr>
      <w:r w:rsidRPr="006623B9">
        <w:t>Nitrous oxide emissions from the meat industry are calculated using the same activity data as for CH</w:t>
      </w:r>
      <w:r w:rsidRPr="006623B9">
        <w:rPr>
          <w:vertAlign w:val="subscript"/>
        </w:rPr>
        <w:t>4</w:t>
      </w:r>
      <w:r w:rsidRPr="006623B9">
        <w:t xml:space="preserve"> emissions.</w:t>
      </w:r>
    </w:p>
    <w:p w14:paraId="23CD0753" w14:textId="77777777" w:rsidR="00EB5913" w:rsidRPr="006623B9" w:rsidRDefault="00EB5913" w:rsidP="00EB5913">
      <w:pPr>
        <w:pStyle w:val="Heading5"/>
      </w:pPr>
      <w:bookmarkStart w:id="3106" w:name="pulp-and-paper-industry"/>
      <w:bookmarkEnd w:id="3105"/>
      <w:r w:rsidRPr="006623B9">
        <w:t>Pulp and paper industry</w:t>
      </w:r>
    </w:p>
    <w:p w14:paraId="0B9EC329" w14:textId="77777777" w:rsidR="00EB5913" w:rsidRPr="006623B9" w:rsidRDefault="00EB5913" w:rsidP="00EB5913">
      <w:pPr>
        <w:pStyle w:val="BodyText"/>
      </w:pPr>
      <w:r w:rsidRPr="006623B9">
        <w:t>Estimated pulp and paper wastewater output is based on paper, paperboard and pulp production. This information is obtained from the Ministry for Primary Industries.</w:t>
      </w:r>
    </w:p>
    <w:p w14:paraId="64B1C4B9" w14:textId="77777777" w:rsidR="00EB5913" w:rsidRPr="006623B9" w:rsidRDefault="00EB5913" w:rsidP="00EB5913">
      <w:pPr>
        <w:pStyle w:val="Heading5"/>
      </w:pPr>
      <w:bookmarkStart w:id="3107" w:name="wine-industry"/>
      <w:bookmarkEnd w:id="3106"/>
      <w:r w:rsidRPr="006623B9">
        <w:t>Wine industry</w:t>
      </w:r>
    </w:p>
    <w:p w14:paraId="12D4DC54" w14:textId="77777777" w:rsidR="00EB5913" w:rsidRPr="006623B9" w:rsidRDefault="00EB5913" w:rsidP="00EB5913">
      <w:pPr>
        <w:pStyle w:val="BodyText"/>
      </w:pPr>
      <w:r w:rsidRPr="006623B9">
        <w:t>Methane emissions from wastewater for the wine industry are based on the outputs obtained from New Zealand Wine, which reports on the grape and wine sector. For this assessment, an average industry wastewater discharge metric of 2.7 cubic metres of water per tonne of grapes processed is assumed. This value is derived from national data. Note that this value is significantly lower than IPCC default values (Beca Ltd, unpublished).</w:t>
      </w:r>
    </w:p>
    <w:p w14:paraId="0B15444E" w14:textId="77777777" w:rsidR="00EB5913" w:rsidRPr="006623B9" w:rsidRDefault="00EB5913" w:rsidP="00EB5913">
      <w:pPr>
        <w:pStyle w:val="Heading5"/>
      </w:pPr>
      <w:bookmarkStart w:id="3108" w:name="wool-scouring-industry"/>
      <w:bookmarkEnd w:id="3107"/>
      <w:r w:rsidRPr="006623B9">
        <w:t>Wool scouring industry</w:t>
      </w:r>
    </w:p>
    <w:p w14:paraId="49EA2A3E" w14:textId="77777777" w:rsidR="00EB5913" w:rsidRPr="006623B9" w:rsidRDefault="00EB5913" w:rsidP="00EB5913">
      <w:pPr>
        <w:pStyle w:val="BodyText"/>
      </w:pPr>
      <w:r w:rsidRPr="006623B9">
        <w:t>Methane emissions from wastewater for the wool scouring industry are based on the outputs obtained by SCS Wetherill Environmental (unpublished) for the years up to 2000. From 2001 to 2012, the SCS estimates have been prorated against the industry’s output data and applied to the output data for these years. After 2012, the wool scouring industry used only aerobic treatment of wastewater and, consequently, no emissions are reported for 2013 onwards (Beca Ltd, unpublished).</w:t>
      </w:r>
    </w:p>
    <w:p w14:paraId="3763786C" w14:textId="77777777" w:rsidR="00EB5913" w:rsidRPr="006623B9" w:rsidRDefault="00EB5913" w:rsidP="00EB5913">
      <w:pPr>
        <w:pStyle w:val="Heading5"/>
      </w:pPr>
      <w:bookmarkStart w:id="3109" w:name="dairy-processing-industry"/>
      <w:bookmarkEnd w:id="3108"/>
      <w:r w:rsidRPr="006623B9">
        <w:t>Dairy processing industry</w:t>
      </w:r>
    </w:p>
    <w:p w14:paraId="7E0F9049" w14:textId="77777777" w:rsidR="00EB5913" w:rsidRPr="006623B9" w:rsidRDefault="00EB5913" w:rsidP="00EB5913">
      <w:pPr>
        <w:pStyle w:val="BodyText"/>
      </w:pPr>
      <w:r w:rsidRPr="006623B9">
        <w:t xml:space="preserve">The dairy processing industry predominantly uses aerobic treatment. Only one factory uses anaerobic treatment. The emissions from the wastewater treatment process are recovered, </w:t>
      </w:r>
      <w:r w:rsidRPr="006623B9">
        <w:rPr>
          <w:spacing w:val="-2"/>
        </w:rPr>
        <w:t>and most of the captured biogas (consisting of 55 percent CH</w:t>
      </w:r>
      <w:r w:rsidRPr="006623B9">
        <w:rPr>
          <w:spacing w:val="-2"/>
          <w:vertAlign w:val="subscript"/>
        </w:rPr>
        <w:t>4</w:t>
      </w:r>
      <w:r w:rsidRPr="006623B9">
        <w:rPr>
          <w:spacing w:val="-2"/>
        </w:rPr>
        <w:t>) is used in boilers. The remainde</w:t>
      </w:r>
      <w:r w:rsidRPr="006623B9">
        <w:t>r is flared (Beca Infrastructure Ltd, unpublished). Emissions from the biogas recovered from the Tirau dairy processing plant (</w:t>
      </w:r>
      <w:r w:rsidRPr="006623B9">
        <w:rPr>
          <w:i/>
          <w:iCs/>
        </w:rPr>
        <w:t>Industrial wastewater</w:t>
      </w:r>
      <w:r w:rsidRPr="006623B9">
        <w:t xml:space="preserve">) for energy recovery are reported as ‘included elsewhere’ under the Waste sector, and actual emissions are reported in </w:t>
      </w:r>
      <w:r w:rsidRPr="006623B9">
        <w:rPr>
          <w:i/>
          <w:iCs/>
        </w:rPr>
        <w:t>1.A.2.e – Biomass</w:t>
      </w:r>
      <w:r w:rsidRPr="006623B9">
        <w:t xml:space="preserve"> under the Energy sector.</w:t>
      </w:r>
    </w:p>
    <w:p w14:paraId="361F448B" w14:textId="77777777" w:rsidR="00EB5913" w:rsidRPr="006623B9" w:rsidRDefault="00EB5913" w:rsidP="00EB5913">
      <w:pPr>
        <w:pStyle w:val="BodyText"/>
      </w:pPr>
      <w:r w:rsidRPr="006623B9">
        <w:t>Nitrous oxide emissions from dairy industry wastewater are included, based on the review of methods for industrial wastewater by Cardno (unpublished). Emission estimates are based on the total litres of milk processed, consistent with data reported under the Agriculture sector. The production data are then converted from litres to kilograms by multiplying by 1.031 (the weight of 1 litre of milk) for the activity data used in the emissions calculations.</w:t>
      </w:r>
    </w:p>
    <w:p w14:paraId="6895646E" w14:textId="77777777" w:rsidR="00EB5913" w:rsidRPr="006623B9" w:rsidRDefault="00EB5913" w:rsidP="00EB5913">
      <w:pPr>
        <w:pStyle w:val="Heading5"/>
      </w:pPr>
      <w:bookmarkStart w:id="3110" w:name="leather-and-skins-industry"/>
      <w:bookmarkEnd w:id="3109"/>
      <w:r w:rsidRPr="006623B9">
        <w:t>Leather and skins industry</w:t>
      </w:r>
    </w:p>
    <w:p w14:paraId="463ACB4B" w14:textId="77777777" w:rsidR="00EB5913" w:rsidRPr="006623B9" w:rsidRDefault="00EB5913" w:rsidP="00EB5913">
      <w:pPr>
        <w:pStyle w:val="BodyText"/>
      </w:pPr>
      <w:r w:rsidRPr="006623B9">
        <w:t>Methane emissions from wastewater for the leather and skins industry, also known as tanneries and fellmongers, are based on the outputs obtained by SCS Wetherill Environmental (unpublished) for the years up to 2001. From 2002, all wastewater from the tanneries is accounted for in domestic wastewater because all tanneries now discharge to the municipal wastewater system; however, some fellmongers still use aerobic treatment (Cardno, unpublished).</w:t>
      </w:r>
    </w:p>
    <w:p w14:paraId="5895D556" w14:textId="4305C40F" w:rsidR="00EB5913" w:rsidRPr="006623B9" w:rsidRDefault="00EB5913" w:rsidP="00EB5913">
      <w:pPr>
        <w:pStyle w:val="BodyText"/>
      </w:pPr>
      <w:r w:rsidRPr="006623B9">
        <w:t>Nitrous oxide emissions from wastewater for the leather and skins industry are based on the outputs obtained by SCS Wetherill Environmental (unpublished). Emissions reduced in 2002 to</w:t>
      </w:r>
      <w:r w:rsidR="00692346">
        <w:t> </w:t>
      </w:r>
      <w:r w:rsidRPr="006623B9">
        <w:t>account for the tanneries that discharge entirely to the domestic system.</w:t>
      </w:r>
    </w:p>
    <w:p w14:paraId="07261CF6" w14:textId="77777777" w:rsidR="00EB5913" w:rsidRPr="006623B9" w:rsidRDefault="00EB5913" w:rsidP="00EB5913">
      <w:pPr>
        <w:pStyle w:val="Heading4"/>
      </w:pPr>
      <w:bookmarkStart w:id="3111" w:name="choice-of-methods-3"/>
      <w:bookmarkEnd w:id="3099"/>
      <w:bookmarkEnd w:id="3110"/>
      <w:r w:rsidRPr="006623B9">
        <w:t>Choice of methods</w:t>
      </w:r>
    </w:p>
    <w:p w14:paraId="5C31BF3D" w14:textId="77777777" w:rsidR="00EB5913" w:rsidRPr="006623B9" w:rsidRDefault="00EB5913" w:rsidP="00EB5913">
      <w:pPr>
        <w:pStyle w:val="BodyText"/>
      </w:pPr>
      <w:r w:rsidRPr="006623B9">
        <w:t>Methods used to calculate emissions from wastewater handling are summarised in table 7.5.5. For domestic wastewater, the TOW is estimated for each treatment plant based on the population in the district served by the plant.</w:t>
      </w:r>
    </w:p>
    <w:p w14:paraId="7B827800" w14:textId="77777777" w:rsidR="00EB5913" w:rsidRPr="006623B9" w:rsidRDefault="00EB5913" w:rsidP="00EB5913">
      <w:pPr>
        <w:pStyle w:val="Table"/>
      </w:pPr>
      <w:bookmarkStart w:id="3112" w:name="_Toc226669124"/>
      <w:r w:rsidRPr="006623B9">
        <w:t xml:space="preserve">Table 7.5.5 </w:t>
      </w:r>
      <w:r w:rsidRPr="006623B9">
        <w:tab/>
        <w:t>Methods used for calculating emissions from wastewater treatment</w:t>
      </w:r>
      <w:bookmarkEnd w:id="311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188"/>
        <w:gridCol w:w="433"/>
        <w:gridCol w:w="2120"/>
        <w:gridCol w:w="704"/>
        <w:gridCol w:w="3049"/>
      </w:tblGrid>
      <w:tr w:rsidR="00EB5913" w:rsidRPr="006623B9" w14:paraId="2FE1DF1D" w14:textId="77777777" w:rsidTr="00F16E23">
        <w:trPr>
          <w:tblHeader/>
        </w:trPr>
        <w:tc>
          <w:tcPr>
            <w:tcW w:w="0" w:type="auto"/>
            <w:shd w:val="clear" w:color="auto" w:fill="1B556B"/>
            <w:tcMar>
              <w:top w:w="0" w:type="dxa"/>
              <w:left w:w="85" w:type="dxa"/>
              <w:bottom w:w="0" w:type="dxa"/>
              <w:right w:w="85" w:type="dxa"/>
            </w:tcMar>
            <w:vAlign w:val="center"/>
          </w:tcPr>
          <w:p w14:paraId="574286F8"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2E40B262"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Gas</w:t>
            </w:r>
          </w:p>
        </w:tc>
        <w:tc>
          <w:tcPr>
            <w:tcW w:w="0" w:type="auto"/>
            <w:shd w:val="clear" w:color="auto" w:fill="1B556B"/>
            <w:tcMar>
              <w:top w:w="0" w:type="dxa"/>
              <w:left w:w="85" w:type="dxa"/>
              <w:bottom w:w="0" w:type="dxa"/>
              <w:right w:w="85" w:type="dxa"/>
            </w:tcMar>
            <w:vAlign w:val="center"/>
          </w:tcPr>
          <w:p w14:paraId="03082EB9"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Comment</w:t>
            </w:r>
          </w:p>
        </w:tc>
        <w:tc>
          <w:tcPr>
            <w:tcW w:w="0" w:type="auto"/>
            <w:shd w:val="clear" w:color="auto" w:fill="1B556B"/>
            <w:tcMar>
              <w:top w:w="0" w:type="dxa"/>
              <w:left w:w="85" w:type="dxa"/>
              <w:bottom w:w="0" w:type="dxa"/>
              <w:right w:w="85" w:type="dxa"/>
            </w:tcMar>
            <w:vAlign w:val="center"/>
          </w:tcPr>
          <w:p w14:paraId="6BF52FDE"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Method</w:t>
            </w:r>
          </w:p>
        </w:tc>
        <w:tc>
          <w:tcPr>
            <w:tcW w:w="0" w:type="auto"/>
            <w:shd w:val="clear" w:color="auto" w:fill="1B556B"/>
            <w:tcMar>
              <w:top w:w="0" w:type="dxa"/>
              <w:left w:w="85" w:type="dxa"/>
              <w:bottom w:w="0" w:type="dxa"/>
              <w:right w:w="85" w:type="dxa"/>
            </w:tcMar>
            <w:vAlign w:val="center"/>
          </w:tcPr>
          <w:p w14:paraId="383A4E7D"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r>
      <w:tr w:rsidR="00EB5913" w:rsidRPr="006623B9" w14:paraId="3D256879" w14:textId="77777777" w:rsidTr="00F16E23">
        <w:tc>
          <w:tcPr>
            <w:tcW w:w="0" w:type="auto"/>
            <w:shd w:val="clear" w:color="auto" w:fill="FFFFFF"/>
            <w:tcMar>
              <w:top w:w="0" w:type="dxa"/>
              <w:left w:w="85" w:type="dxa"/>
              <w:bottom w:w="0" w:type="dxa"/>
              <w:right w:w="85" w:type="dxa"/>
            </w:tcMar>
          </w:tcPr>
          <w:p w14:paraId="07391CE0" w14:textId="77777777" w:rsidR="00EB5913" w:rsidRPr="006623B9" w:rsidRDefault="00EB5913" w:rsidP="00F16E23">
            <w:pPr>
              <w:pStyle w:val="TableText"/>
              <w:spacing w:before="40" w:after="40"/>
              <w:rPr>
                <w:i/>
                <w:iCs/>
              </w:rPr>
            </w:pPr>
            <w:r w:rsidRPr="006623B9">
              <w:rPr>
                <w:rFonts w:eastAsia="Calibri"/>
                <w:i/>
                <w:iCs/>
              </w:rPr>
              <w:t>Domestic wastewater (5.D.1)</w:t>
            </w:r>
          </w:p>
        </w:tc>
        <w:tc>
          <w:tcPr>
            <w:tcW w:w="0" w:type="auto"/>
            <w:shd w:val="clear" w:color="auto" w:fill="FFFFFF"/>
            <w:tcMar>
              <w:top w:w="0" w:type="dxa"/>
              <w:left w:w="85" w:type="dxa"/>
              <w:bottom w:w="0" w:type="dxa"/>
              <w:right w:w="85" w:type="dxa"/>
            </w:tcMar>
          </w:tcPr>
          <w:p w14:paraId="35157FD6" w14:textId="77777777" w:rsidR="00EB5913" w:rsidRPr="006623B9" w:rsidRDefault="00EB5913" w:rsidP="00F16E23">
            <w:pPr>
              <w:pStyle w:val="TableText"/>
              <w:spacing w:before="40" w:after="40"/>
            </w:pPr>
            <w:r w:rsidRPr="006623B9">
              <w:rPr>
                <w:rFonts w:eastAsia="Calibri"/>
              </w:rPr>
              <w:t>CH₄</w:t>
            </w:r>
          </w:p>
        </w:tc>
        <w:tc>
          <w:tcPr>
            <w:tcW w:w="0" w:type="auto"/>
            <w:shd w:val="clear" w:color="auto" w:fill="FFFFFF"/>
            <w:tcMar>
              <w:top w:w="0" w:type="dxa"/>
              <w:left w:w="85" w:type="dxa"/>
              <w:bottom w:w="0" w:type="dxa"/>
              <w:right w:w="85" w:type="dxa"/>
            </w:tcMar>
          </w:tcPr>
          <w:p w14:paraId="14D61301" w14:textId="77777777" w:rsidR="00EB5913" w:rsidRPr="006623B9" w:rsidRDefault="00EB5913" w:rsidP="00F16E23">
            <w:pPr>
              <w:pStyle w:val="TableText"/>
              <w:spacing w:before="40" w:after="40"/>
            </w:pPr>
          </w:p>
        </w:tc>
        <w:tc>
          <w:tcPr>
            <w:tcW w:w="0" w:type="auto"/>
            <w:shd w:val="clear" w:color="auto" w:fill="FFFFFF"/>
            <w:tcMar>
              <w:top w:w="0" w:type="dxa"/>
              <w:left w:w="85" w:type="dxa"/>
              <w:bottom w:w="0" w:type="dxa"/>
              <w:right w:w="85" w:type="dxa"/>
            </w:tcMar>
          </w:tcPr>
          <w:p w14:paraId="73A3D42B" w14:textId="77777777" w:rsidR="00EB5913" w:rsidRPr="006623B9" w:rsidRDefault="00EB5913" w:rsidP="00F16E23">
            <w:pPr>
              <w:pStyle w:val="TableText"/>
              <w:spacing w:before="40" w:after="40"/>
            </w:pPr>
            <w:r w:rsidRPr="006623B9">
              <w:rPr>
                <w:rFonts w:eastAsia="Calibri"/>
              </w:rPr>
              <w:t>Tier 2</w:t>
            </w:r>
          </w:p>
        </w:tc>
        <w:tc>
          <w:tcPr>
            <w:tcW w:w="0" w:type="auto"/>
            <w:shd w:val="clear" w:color="auto" w:fill="FFFFFF"/>
            <w:tcMar>
              <w:top w:w="0" w:type="dxa"/>
              <w:left w:w="85" w:type="dxa"/>
              <w:bottom w:w="0" w:type="dxa"/>
              <w:right w:w="85" w:type="dxa"/>
            </w:tcMar>
          </w:tcPr>
          <w:p w14:paraId="6F0F6869" w14:textId="77777777" w:rsidR="00EB5913" w:rsidRPr="006623B9" w:rsidRDefault="00EB5913" w:rsidP="00F16E23">
            <w:pPr>
              <w:pStyle w:val="TableText"/>
              <w:spacing w:before="40" w:after="40"/>
            </w:pPr>
            <w:r w:rsidRPr="006623B9">
              <w:rPr>
                <w:rFonts w:eastAsia="Calibri"/>
              </w:rPr>
              <w:t>SCS Wetherill Environmental (unpublished), Beca Infrastructure Ltd (unpublished)</w:t>
            </w:r>
          </w:p>
        </w:tc>
      </w:tr>
      <w:tr w:rsidR="00EB5913" w:rsidRPr="006623B9" w14:paraId="3C814E63" w14:textId="77777777" w:rsidTr="00F16E23">
        <w:tc>
          <w:tcPr>
            <w:tcW w:w="0" w:type="auto"/>
            <w:shd w:val="clear" w:color="auto" w:fill="FFFFFF"/>
            <w:tcMar>
              <w:top w:w="0" w:type="dxa"/>
              <w:left w:w="85" w:type="dxa"/>
              <w:bottom w:w="0" w:type="dxa"/>
              <w:right w:w="85" w:type="dxa"/>
            </w:tcMar>
          </w:tcPr>
          <w:p w14:paraId="5F25CC30" w14:textId="77777777" w:rsidR="00EB5913" w:rsidRPr="006623B9" w:rsidRDefault="00EB5913" w:rsidP="00F16E23">
            <w:pPr>
              <w:pStyle w:val="TableText"/>
              <w:spacing w:before="40" w:after="40"/>
              <w:rPr>
                <w:i/>
                <w:iCs/>
              </w:rPr>
            </w:pPr>
            <w:r w:rsidRPr="006623B9">
              <w:rPr>
                <w:rFonts w:eastAsia="Calibri"/>
                <w:i/>
                <w:iCs/>
              </w:rPr>
              <w:t>Domestic wastewater (5.D.1)</w:t>
            </w:r>
          </w:p>
        </w:tc>
        <w:tc>
          <w:tcPr>
            <w:tcW w:w="0" w:type="auto"/>
            <w:shd w:val="clear" w:color="auto" w:fill="FFFFFF"/>
            <w:tcMar>
              <w:top w:w="0" w:type="dxa"/>
              <w:left w:w="85" w:type="dxa"/>
              <w:bottom w:w="0" w:type="dxa"/>
              <w:right w:w="85" w:type="dxa"/>
            </w:tcMar>
          </w:tcPr>
          <w:p w14:paraId="48172C4C" w14:textId="77777777" w:rsidR="00EB5913" w:rsidRPr="006623B9" w:rsidRDefault="00EB5913" w:rsidP="00F16E23">
            <w:pPr>
              <w:pStyle w:val="TableText"/>
              <w:spacing w:before="40" w:after="40"/>
            </w:pPr>
            <w:r w:rsidRPr="006623B9">
              <w:rPr>
                <w:rFonts w:eastAsia="Calibri"/>
              </w:rPr>
              <w:t>N₂O</w:t>
            </w:r>
          </w:p>
        </w:tc>
        <w:tc>
          <w:tcPr>
            <w:tcW w:w="0" w:type="auto"/>
            <w:shd w:val="clear" w:color="auto" w:fill="FFFFFF"/>
            <w:tcMar>
              <w:top w:w="0" w:type="dxa"/>
              <w:left w:w="85" w:type="dxa"/>
              <w:bottom w:w="0" w:type="dxa"/>
              <w:right w:w="85" w:type="dxa"/>
            </w:tcMar>
          </w:tcPr>
          <w:p w14:paraId="3C0B37CD" w14:textId="77777777" w:rsidR="00EB5913" w:rsidRPr="006623B9" w:rsidRDefault="00EB5913" w:rsidP="00F16E23">
            <w:pPr>
              <w:pStyle w:val="TableText"/>
              <w:spacing w:before="40" w:after="40"/>
            </w:pPr>
            <w:r w:rsidRPr="006623B9">
              <w:rPr>
                <w:rFonts w:eastAsia="Calibri"/>
              </w:rPr>
              <w:t>Based on average per-capita protein intake</w:t>
            </w:r>
          </w:p>
        </w:tc>
        <w:tc>
          <w:tcPr>
            <w:tcW w:w="0" w:type="auto"/>
            <w:shd w:val="clear" w:color="auto" w:fill="FFFFFF"/>
            <w:tcMar>
              <w:top w:w="0" w:type="dxa"/>
              <w:left w:w="85" w:type="dxa"/>
              <w:bottom w:w="0" w:type="dxa"/>
              <w:right w:w="85" w:type="dxa"/>
            </w:tcMar>
          </w:tcPr>
          <w:p w14:paraId="1568854C" w14:textId="77777777" w:rsidR="00EB5913" w:rsidRPr="006623B9" w:rsidRDefault="00EB5913" w:rsidP="00F16E23">
            <w:pPr>
              <w:pStyle w:val="TableText"/>
              <w:spacing w:before="40" w:after="40"/>
            </w:pPr>
            <w:r w:rsidRPr="006623B9">
              <w:rPr>
                <w:rFonts w:eastAsia="Calibri"/>
              </w:rPr>
              <w:t>Tier 1</w:t>
            </w:r>
          </w:p>
        </w:tc>
        <w:tc>
          <w:tcPr>
            <w:tcW w:w="0" w:type="auto"/>
            <w:shd w:val="clear" w:color="auto" w:fill="FFFFFF"/>
            <w:tcMar>
              <w:top w:w="0" w:type="dxa"/>
              <w:left w:w="85" w:type="dxa"/>
              <w:bottom w:w="0" w:type="dxa"/>
              <w:right w:w="85" w:type="dxa"/>
            </w:tcMar>
          </w:tcPr>
          <w:p w14:paraId="65CE7592" w14:textId="77777777" w:rsidR="00EB5913" w:rsidRPr="006623B9" w:rsidRDefault="00EB5913" w:rsidP="00F16E23">
            <w:pPr>
              <w:pStyle w:val="TableText"/>
              <w:spacing w:before="40" w:after="40"/>
            </w:pPr>
            <w:r w:rsidRPr="006623B9">
              <w:rPr>
                <w:rFonts w:eastAsia="Calibri"/>
              </w:rPr>
              <w:t>IPCC (2006a)</w:t>
            </w:r>
          </w:p>
        </w:tc>
      </w:tr>
      <w:tr w:rsidR="00EB5913" w:rsidRPr="006623B9" w14:paraId="3E031772" w14:textId="77777777" w:rsidTr="00F16E23">
        <w:tc>
          <w:tcPr>
            <w:tcW w:w="0" w:type="auto"/>
            <w:shd w:val="clear" w:color="auto" w:fill="FFFFFF"/>
            <w:tcMar>
              <w:top w:w="0" w:type="dxa"/>
              <w:left w:w="85" w:type="dxa"/>
              <w:bottom w:w="0" w:type="dxa"/>
              <w:right w:w="85" w:type="dxa"/>
            </w:tcMar>
          </w:tcPr>
          <w:p w14:paraId="47A8F877" w14:textId="77777777" w:rsidR="00EB5913" w:rsidRPr="006623B9" w:rsidRDefault="00EB5913" w:rsidP="00F16E23">
            <w:pPr>
              <w:pStyle w:val="TableText"/>
              <w:spacing w:before="40" w:after="40"/>
              <w:rPr>
                <w:i/>
                <w:iCs/>
              </w:rPr>
            </w:pPr>
            <w:r w:rsidRPr="006623B9">
              <w:rPr>
                <w:rFonts w:eastAsia="Calibri"/>
                <w:i/>
                <w:iCs/>
              </w:rPr>
              <w:t>Industrial wastewater (5.D.2) – Meat industry</w:t>
            </w:r>
          </w:p>
        </w:tc>
        <w:tc>
          <w:tcPr>
            <w:tcW w:w="0" w:type="auto"/>
            <w:shd w:val="clear" w:color="auto" w:fill="FFFFFF"/>
            <w:tcMar>
              <w:top w:w="0" w:type="dxa"/>
              <w:left w:w="85" w:type="dxa"/>
              <w:bottom w:w="0" w:type="dxa"/>
              <w:right w:w="85" w:type="dxa"/>
            </w:tcMar>
          </w:tcPr>
          <w:p w14:paraId="3850D887" w14:textId="77777777" w:rsidR="00EB5913" w:rsidRPr="006623B9" w:rsidRDefault="00EB5913" w:rsidP="00F16E23">
            <w:pPr>
              <w:pStyle w:val="TableText"/>
              <w:spacing w:before="40" w:after="40"/>
            </w:pPr>
            <w:r w:rsidRPr="006623B9">
              <w:rPr>
                <w:rFonts w:eastAsia="Calibri"/>
              </w:rPr>
              <w:t>CH₄</w:t>
            </w:r>
          </w:p>
        </w:tc>
        <w:tc>
          <w:tcPr>
            <w:tcW w:w="0" w:type="auto"/>
            <w:shd w:val="clear" w:color="auto" w:fill="FFFFFF"/>
            <w:tcMar>
              <w:top w:w="0" w:type="dxa"/>
              <w:left w:w="85" w:type="dxa"/>
              <w:bottom w:w="0" w:type="dxa"/>
              <w:right w:w="85" w:type="dxa"/>
            </w:tcMar>
          </w:tcPr>
          <w:p w14:paraId="108F9115" w14:textId="77777777" w:rsidR="00EB5913" w:rsidRPr="006623B9" w:rsidRDefault="00EB5913" w:rsidP="00F16E23">
            <w:pPr>
              <w:pStyle w:val="TableText"/>
              <w:spacing w:before="40" w:after="40"/>
            </w:pPr>
          </w:p>
        </w:tc>
        <w:tc>
          <w:tcPr>
            <w:tcW w:w="0" w:type="auto"/>
            <w:shd w:val="clear" w:color="auto" w:fill="FFFFFF"/>
            <w:tcMar>
              <w:top w:w="0" w:type="dxa"/>
              <w:left w:w="85" w:type="dxa"/>
              <w:bottom w:w="0" w:type="dxa"/>
              <w:right w:w="85" w:type="dxa"/>
            </w:tcMar>
          </w:tcPr>
          <w:p w14:paraId="6EBD8487" w14:textId="77777777" w:rsidR="00EB5913" w:rsidRPr="006623B9" w:rsidRDefault="00EB5913" w:rsidP="00F16E23">
            <w:pPr>
              <w:pStyle w:val="TableText"/>
              <w:spacing w:before="40" w:after="40"/>
            </w:pPr>
            <w:r w:rsidRPr="006623B9">
              <w:rPr>
                <w:rFonts w:eastAsia="Calibri"/>
              </w:rPr>
              <w:t>Tier 1</w:t>
            </w:r>
          </w:p>
        </w:tc>
        <w:tc>
          <w:tcPr>
            <w:tcW w:w="0" w:type="auto"/>
            <w:shd w:val="clear" w:color="auto" w:fill="FFFFFF"/>
            <w:tcMar>
              <w:top w:w="0" w:type="dxa"/>
              <w:left w:w="85" w:type="dxa"/>
              <w:bottom w:w="0" w:type="dxa"/>
              <w:right w:w="85" w:type="dxa"/>
            </w:tcMar>
          </w:tcPr>
          <w:p w14:paraId="77922E31" w14:textId="77777777" w:rsidR="00EB5913" w:rsidRPr="006623B9" w:rsidRDefault="00EB5913" w:rsidP="00F16E23">
            <w:pPr>
              <w:pStyle w:val="TableText"/>
              <w:spacing w:before="40" w:after="40"/>
            </w:pPr>
            <w:r w:rsidRPr="006623B9">
              <w:rPr>
                <w:rFonts w:eastAsia="Calibri"/>
              </w:rPr>
              <w:t>IPCC (2006a)</w:t>
            </w:r>
          </w:p>
        </w:tc>
      </w:tr>
      <w:tr w:rsidR="00EB5913" w:rsidRPr="006623B9" w14:paraId="24A20CB7" w14:textId="77777777" w:rsidTr="00F16E23">
        <w:tc>
          <w:tcPr>
            <w:tcW w:w="0" w:type="auto"/>
            <w:shd w:val="clear" w:color="auto" w:fill="FFFFFF"/>
            <w:tcMar>
              <w:top w:w="0" w:type="dxa"/>
              <w:left w:w="85" w:type="dxa"/>
              <w:bottom w:w="0" w:type="dxa"/>
              <w:right w:w="85" w:type="dxa"/>
            </w:tcMar>
          </w:tcPr>
          <w:p w14:paraId="17A73DD1" w14:textId="77777777" w:rsidR="00EB5913" w:rsidRPr="006623B9" w:rsidRDefault="00EB5913" w:rsidP="00F16E23">
            <w:pPr>
              <w:pStyle w:val="TableText"/>
              <w:spacing w:before="40" w:after="40"/>
              <w:rPr>
                <w:i/>
                <w:iCs/>
              </w:rPr>
            </w:pPr>
            <w:r w:rsidRPr="006623B9">
              <w:rPr>
                <w:rFonts w:eastAsia="Calibri"/>
                <w:i/>
                <w:iCs/>
              </w:rPr>
              <w:t>Industrial wastewater (5.D.2) – Pulp and paper industry</w:t>
            </w:r>
          </w:p>
        </w:tc>
        <w:tc>
          <w:tcPr>
            <w:tcW w:w="0" w:type="auto"/>
            <w:shd w:val="clear" w:color="auto" w:fill="FFFFFF"/>
            <w:tcMar>
              <w:top w:w="0" w:type="dxa"/>
              <w:left w:w="85" w:type="dxa"/>
              <w:bottom w:w="0" w:type="dxa"/>
              <w:right w:w="85" w:type="dxa"/>
            </w:tcMar>
          </w:tcPr>
          <w:p w14:paraId="05FB46C2" w14:textId="77777777" w:rsidR="00EB5913" w:rsidRPr="006623B9" w:rsidRDefault="00EB5913" w:rsidP="00F16E23">
            <w:pPr>
              <w:pStyle w:val="TableText"/>
              <w:spacing w:before="40" w:after="40"/>
            </w:pPr>
            <w:r w:rsidRPr="006623B9">
              <w:rPr>
                <w:rFonts w:eastAsia="Calibri"/>
              </w:rPr>
              <w:t>CH₄</w:t>
            </w:r>
          </w:p>
        </w:tc>
        <w:tc>
          <w:tcPr>
            <w:tcW w:w="0" w:type="auto"/>
            <w:shd w:val="clear" w:color="auto" w:fill="FFFFFF"/>
            <w:tcMar>
              <w:top w:w="0" w:type="dxa"/>
              <w:left w:w="85" w:type="dxa"/>
              <w:bottom w:w="0" w:type="dxa"/>
              <w:right w:w="85" w:type="dxa"/>
            </w:tcMar>
          </w:tcPr>
          <w:p w14:paraId="13D62D10" w14:textId="77777777" w:rsidR="00EB5913" w:rsidRPr="006623B9" w:rsidRDefault="00EB5913" w:rsidP="00F16E23">
            <w:pPr>
              <w:pStyle w:val="TableText"/>
              <w:spacing w:before="40" w:after="40"/>
            </w:pPr>
          </w:p>
        </w:tc>
        <w:tc>
          <w:tcPr>
            <w:tcW w:w="0" w:type="auto"/>
            <w:shd w:val="clear" w:color="auto" w:fill="FFFFFF"/>
            <w:tcMar>
              <w:top w:w="0" w:type="dxa"/>
              <w:left w:w="85" w:type="dxa"/>
              <w:bottom w:w="0" w:type="dxa"/>
              <w:right w:w="85" w:type="dxa"/>
            </w:tcMar>
          </w:tcPr>
          <w:p w14:paraId="1A8B7537" w14:textId="77777777" w:rsidR="00EB5913" w:rsidRPr="006623B9" w:rsidRDefault="00EB5913" w:rsidP="00F16E23">
            <w:pPr>
              <w:pStyle w:val="TableText"/>
              <w:spacing w:before="40" w:after="40"/>
            </w:pPr>
            <w:r w:rsidRPr="006623B9">
              <w:rPr>
                <w:rFonts w:eastAsia="Calibri"/>
              </w:rPr>
              <w:t>Tier 1</w:t>
            </w:r>
          </w:p>
        </w:tc>
        <w:tc>
          <w:tcPr>
            <w:tcW w:w="0" w:type="auto"/>
            <w:shd w:val="clear" w:color="auto" w:fill="FFFFFF"/>
            <w:tcMar>
              <w:top w:w="0" w:type="dxa"/>
              <w:left w:w="85" w:type="dxa"/>
              <w:bottom w:w="0" w:type="dxa"/>
              <w:right w:w="85" w:type="dxa"/>
            </w:tcMar>
          </w:tcPr>
          <w:p w14:paraId="731C6D82" w14:textId="77777777" w:rsidR="00EB5913" w:rsidRPr="006623B9" w:rsidRDefault="00EB5913" w:rsidP="00F16E23">
            <w:pPr>
              <w:pStyle w:val="TableText"/>
              <w:spacing w:before="40" w:after="40"/>
            </w:pPr>
            <w:r w:rsidRPr="006623B9">
              <w:rPr>
                <w:rFonts w:eastAsia="Calibri"/>
              </w:rPr>
              <w:t>IPCC (2006a)</w:t>
            </w:r>
          </w:p>
        </w:tc>
      </w:tr>
      <w:tr w:rsidR="00EB5913" w:rsidRPr="006623B9" w14:paraId="36A5B77C" w14:textId="77777777" w:rsidTr="00F16E23">
        <w:tc>
          <w:tcPr>
            <w:tcW w:w="0" w:type="auto"/>
            <w:shd w:val="clear" w:color="auto" w:fill="FFFFFF"/>
            <w:tcMar>
              <w:top w:w="0" w:type="dxa"/>
              <w:left w:w="85" w:type="dxa"/>
              <w:bottom w:w="0" w:type="dxa"/>
              <w:right w:w="85" w:type="dxa"/>
            </w:tcMar>
          </w:tcPr>
          <w:p w14:paraId="77CE7EF3" w14:textId="77777777" w:rsidR="00EB5913" w:rsidRPr="006623B9" w:rsidRDefault="00EB5913" w:rsidP="00F16E23">
            <w:pPr>
              <w:pStyle w:val="TableText"/>
              <w:spacing w:before="40" w:after="40"/>
              <w:rPr>
                <w:i/>
                <w:iCs/>
              </w:rPr>
            </w:pPr>
            <w:r w:rsidRPr="006623B9">
              <w:rPr>
                <w:rFonts w:eastAsia="Calibri"/>
                <w:i/>
                <w:iCs/>
              </w:rPr>
              <w:t>Industrial wastewater (5.D.2) – Wine industry</w:t>
            </w:r>
          </w:p>
        </w:tc>
        <w:tc>
          <w:tcPr>
            <w:tcW w:w="0" w:type="auto"/>
            <w:shd w:val="clear" w:color="auto" w:fill="FFFFFF"/>
            <w:tcMar>
              <w:top w:w="0" w:type="dxa"/>
              <w:left w:w="85" w:type="dxa"/>
              <w:bottom w:w="0" w:type="dxa"/>
              <w:right w:w="85" w:type="dxa"/>
            </w:tcMar>
          </w:tcPr>
          <w:p w14:paraId="47E93281" w14:textId="77777777" w:rsidR="00EB5913" w:rsidRPr="006623B9" w:rsidRDefault="00EB5913" w:rsidP="00F16E23">
            <w:pPr>
              <w:pStyle w:val="TableText"/>
              <w:spacing w:before="40" w:after="40"/>
            </w:pPr>
            <w:r w:rsidRPr="006623B9">
              <w:rPr>
                <w:rFonts w:eastAsia="Calibri"/>
              </w:rPr>
              <w:t>CH₄</w:t>
            </w:r>
          </w:p>
        </w:tc>
        <w:tc>
          <w:tcPr>
            <w:tcW w:w="0" w:type="auto"/>
            <w:shd w:val="clear" w:color="auto" w:fill="FFFFFF"/>
            <w:tcMar>
              <w:top w:w="0" w:type="dxa"/>
              <w:left w:w="85" w:type="dxa"/>
              <w:bottom w:w="0" w:type="dxa"/>
              <w:right w:w="85" w:type="dxa"/>
            </w:tcMar>
          </w:tcPr>
          <w:p w14:paraId="58434D03" w14:textId="77777777" w:rsidR="00EB5913" w:rsidRPr="006623B9" w:rsidRDefault="00EB5913" w:rsidP="00F16E23">
            <w:pPr>
              <w:pStyle w:val="TableText"/>
              <w:spacing w:before="40" w:after="40"/>
            </w:pPr>
          </w:p>
        </w:tc>
        <w:tc>
          <w:tcPr>
            <w:tcW w:w="0" w:type="auto"/>
            <w:shd w:val="clear" w:color="auto" w:fill="FFFFFF"/>
            <w:tcMar>
              <w:top w:w="0" w:type="dxa"/>
              <w:left w:w="85" w:type="dxa"/>
              <w:bottom w:w="0" w:type="dxa"/>
              <w:right w:w="85" w:type="dxa"/>
            </w:tcMar>
          </w:tcPr>
          <w:p w14:paraId="28EE573D" w14:textId="77777777" w:rsidR="00EB5913" w:rsidRPr="006623B9" w:rsidRDefault="00EB5913" w:rsidP="00F16E23">
            <w:pPr>
              <w:pStyle w:val="TableText"/>
              <w:spacing w:before="40" w:after="40"/>
            </w:pPr>
            <w:r w:rsidRPr="006623B9">
              <w:rPr>
                <w:rFonts w:eastAsia="Calibri"/>
              </w:rPr>
              <w:t>Tier 2</w:t>
            </w:r>
          </w:p>
        </w:tc>
        <w:tc>
          <w:tcPr>
            <w:tcW w:w="0" w:type="auto"/>
            <w:shd w:val="clear" w:color="auto" w:fill="FFFFFF"/>
            <w:tcMar>
              <w:top w:w="0" w:type="dxa"/>
              <w:left w:w="85" w:type="dxa"/>
              <w:bottom w:w="0" w:type="dxa"/>
              <w:right w:w="85" w:type="dxa"/>
            </w:tcMar>
          </w:tcPr>
          <w:p w14:paraId="5A958F42" w14:textId="77777777" w:rsidR="00EB5913" w:rsidRPr="006623B9" w:rsidRDefault="00EB5913" w:rsidP="00F16E23">
            <w:pPr>
              <w:pStyle w:val="TableText"/>
              <w:spacing w:before="40" w:after="40"/>
            </w:pPr>
            <w:r w:rsidRPr="006623B9">
              <w:rPr>
                <w:rFonts w:eastAsia="Calibri"/>
              </w:rPr>
              <w:t>Beca Ltd (unpublished)</w:t>
            </w:r>
          </w:p>
        </w:tc>
      </w:tr>
      <w:tr w:rsidR="00EB5913" w:rsidRPr="006623B9" w14:paraId="5476EA67" w14:textId="77777777" w:rsidTr="00F16E23">
        <w:tc>
          <w:tcPr>
            <w:tcW w:w="0" w:type="auto"/>
            <w:shd w:val="clear" w:color="auto" w:fill="FFFFFF"/>
            <w:tcMar>
              <w:top w:w="0" w:type="dxa"/>
              <w:left w:w="85" w:type="dxa"/>
              <w:bottom w:w="0" w:type="dxa"/>
              <w:right w:w="85" w:type="dxa"/>
            </w:tcMar>
          </w:tcPr>
          <w:p w14:paraId="0E7CE817" w14:textId="77777777" w:rsidR="00EB5913" w:rsidRPr="006623B9" w:rsidRDefault="00EB5913" w:rsidP="00F16E23">
            <w:pPr>
              <w:pStyle w:val="TableText"/>
              <w:spacing w:before="40" w:after="40"/>
              <w:rPr>
                <w:i/>
                <w:iCs/>
              </w:rPr>
            </w:pPr>
            <w:r w:rsidRPr="006623B9">
              <w:rPr>
                <w:rFonts w:eastAsia="Calibri"/>
                <w:i/>
                <w:iCs/>
              </w:rPr>
              <w:t>Industrial wastewater (5.D.2) – Wool scouring industry</w:t>
            </w:r>
          </w:p>
        </w:tc>
        <w:tc>
          <w:tcPr>
            <w:tcW w:w="0" w:type="auto"/>
            <w:shd w:val="clear" w:color="auto" w:fill="FFFFFF"/>
            <w:tcMar>
              <w:top w:w="0" w:type="dxa"/>
              <w:left w:w="85" w:type="dxa"/>
              <w:bottom w:w="0" w:type="dxa"/>
              <w:right w:w="85" w:type="dxa"/>
            </w:tcMar>
          </w:tcPr>
          <w:p w14:paraId="68E07E3D" w14:textId="77777777" w:rsidR="00EB5913" w:rsidRPr="006623B9" w:rsidRDefault="00EB5913" w:rsidP="00F16E23">
            <w:pPr>
              <w:pStyle w:val="TableText"/>
              <w:spacing w:before="40" w:after="40"/>
            </w:pPr>
            <w:r w:rsidRPr="006623B9">
              <w:rPr>
                <w:rFonts w:eastAsia="Calibri"/>
              </w:rPr>
              <w:t>CH₄</w:t>
            </w:r>
          </w:p>
        </w:tc>
        <w:tc>
          <w:tcPr>
            <w:tcW w:w="0" w:type="auto"/>
            <w:shd w:val="clear" w:color="auto" w:fill="FFFFFF"/>
            <w:tcMar>
              <w:top w:w="0" w:type="dxa"/>
              <w:left w:w="85" w:type="dxa"/>
              <w:bottom w:w="0" w:type="dxa"/>
              <w:right w:w="85" w:type="dxa"/>
            </w:tcMar>
          </w:tcPr>
          <w:p w14:paraId="0757D9BB" w14:textId="77777777" w:rsidR="00EB5913" w:rsidRPr="006623B9" w:rsidRDefault="00EB5913" w:rsidP="00F16E23">
            <w:pPr>
              <w:pStyle w:val="TableText"/>
              <w:spacing w:before="40" w:after="40"/>
            </w:pPr>
          </w:p>
        </w:tc>
        <w:tc>
          <w:tcPr>
            <w:tcW w:w="0" w:type="auto"/>
            <w:shd w:val="clear" w:color="auto" w:fill="FFFFFF"/>
            <w:tcMar>
              <w:top w:w="0" w:type="dxa"/>
              <w:left w:w="85" w:type="dxa"/>
              <w:bottom w:w="0" w:type="dxa"/>
              <w:right w:w="85" w:type="dxa"/>
            </w:tcMar>
          </w:tcPr>
          <w:p w14:paraId="5048A02B" w14:textId="77777777" w:rsidR="00EB5913" w:rsidRPr="006623B9" w:rsidRDefault="00EB5913" w:rsidP="00F16E23">
            <w:pPr>
              <w:pStyle w:val="TableText"/>
              <w:spacing w:before="40" w:after="40"/>
            </w:pPr>
            <w:r w:rsidRPr="006623B9">
              <w:rPr>
                <w:rFonts w:eastAsia="Calibri"/>
              </w:rPr>
              <w:t>Tier 1</w:t>
            </w:r>
          </w:p>
        </w:tc>
        <w:tc>
          <w:tcPr>
            <w:tcW w:w="0" w:type="auto"/>
            <w:shd w:val="clear" w:color="auto" w:fill="FFFFFF"/>
            <w:tcMar>
              <w:top w:w="0" w:type="dxa"/>
              <w:left w:w="85" w:type="dxa"/>
              <w:bottom w:w="0" w:type="dxa"/>
              <w:right w:w="85" w:type="dxa"/>
            </w:tcMar>
          </w:tcPr>
          <w:p w14:paraId="0D35652B" w14:textId="77777777" w:rsidR="00EB5913" w:rsidRPr="006623B9" w:rsidRDefault="00EB5913" w:rsidP="00F16E23">
            <w:pPr>
              <w:pStyle w:val="TableText"/>
              <w:spacing w:before="40" w:after="40"/>
            </w:pPr>
            <w:r w:rsidRPr="006623B9">
              <w:rPr>
                <w:rFonts w:eastAsia="Calibri"/>
              </w:rPr>
              <w:t>IPCC (2006a)</w:t>
            </w:r>
          </w:p>
        </w:tc>
      </w:tr>
      <w:tr w:rsidR="00EB5913" w:rsidRPr="006623B9" w14:paraId="6B5C6A49" w14:textId="77777777" w:rsidTr="00F16E23">
        <w:tc>
          <w:tcPr>
            <w:tcW w:w="0" w:type="auto"/>
            <w:shd w:val="clear" w:color="auto" w:fill="FFFFFF"/>
            <w:tcMar>
              <w:top w:w="0" w:type="dxa"/>
              <w:left w:w="85" w:type="dxa"/>
              <w:bottom w:w="0" w:type="dxa"/>
              <w:right w:w="85" w:type="dxa"/>
            </w:tcMar>
          </w:tcPr>
          <w:p w14:paraId="710B4BB4" w14:textId="77777777" w:rsidR="00EB5913" w:rsidRPr="006623B9" w:rsidRDefault="00EB5913" w:rsidP="00F16E23">
            <w:pPr>
              <w:pStyle w:val="TableText"/>
              <w:spacing w:before="40" w:after="40"/>
              <w:rPr>
                <w:i/>
                <w:iCs/>
              </w:rPr>
            </w:pPr>
            <w:r w:rsidRPr="006623B9">
              <w:rPr>
                <w:rFonts w:eastAsia="Calibri"/>
                <w:i/>
                <w:iCs/>
              </w:rPr>
              <w:t>Industrial wastewater (5.D.2)</w:t>
            </w:r>
          </w:p>
        </w:tc>
        <w:tc>
          <w:tcPr>
            <w:tcW w:w="0" w:type="auto"/>
            <w:shd w:val="clear" w:color="auto" w:fill="FFFFFF"/>
            <w:tcMar>
              <w:top w:w="0" w:type="dxa"/>
              <w:left w:w="85" w:type="dxa"/>
              <w:bottom w:w="0" w:type="dxa"/>
              <w:right w:w="85" w:type="dxa"/>
            </w:tcMar>
          </w:tcPr>
          <w:p w14:paraId="596433DF" w14:textId="77777777" w:rsidR="00EB5913" w:rsidRPr="006623B9" w:rsidRDefault="00EB5913" w:rsidP="00F16E23">
            <w:pPr>
              <w:pStyle w:val="TableText"/>
              <w:spacing w:before="40" w:after="40"/>
            </w:pPr>
            <w:r w:rsidRPr="006623B9">
              <w:rPr>
                <w:rFonts w:eastAsia="Calibri"/>
              </w:rPr>
              <w:t>N₂O</w:t>
            </w:r>
          </w:p>
        </w:tc>
        <w:tc>
          <w:tcPr>
            <w:tcW w:w="0" w:type="auto"/>
            <w:shd w:val="clear" w:color="auto" w:fill="FFFFFF"/>
            <w:tcMar>
              <w:top w:w="0" w:type="dxa"/>
              <w:left w:w="85" w:type="dxa"/>
              <w:bottom w:w="0" w:type="dxa"/>
              <w:right w:w="85" w:type="dxa"/>
            </w:tcMar>
          </w:tcPr>
          <w:p w14:paraId="7426D909" w14:textId="77777777" w:rsidR="00EB5913" w:rsidRPr="006623B9" w:rsidRDefault="00EB5913" w:rsidP="00F16E23">
            <w:pPr>
              <w:pStyle w:val="TableText"/>
              <w:spacing w:before="40" w:after="40"/>
            </w:pPr>
            <w:r w:rsidRPr="006623B9">
              <w:rPr>
                <w:rFonts w:eastAsia="Calibri"/>
              </w:rPr>
              <w:t>Based on chemical oxygen demand from CH₄ emissions</w:t>
            </w:r>
          </w:p>
        </w:tc>
        <w:tc>
          <w:tcPr>
            <w:tcW w:w="0" w:type="auto"/>
            <w:shd w:val="clear" w:color="auto" w:fill="FFFFFF"/>
            <w:tcMar>
              <w:top w:w="0" w:type="dxa"/>
              <w:left w:w="85" w:type="dxa"/>
              <w:bottom w:w="0" w:type="dxa"/>
              <w:right w:w="85" w:type="dxa"/>
            </w:tcMar>
          </w:tcPr>
          <w:p w14:paraId="1161251C" w14:textId="77777777" w:rsidR="00EB5913" w:rsidRPr="006623B9" w:rsidRDefault="00EB5913" w:rsidP="00F16E23">
            <w:pPr>
              <w:pStyle w:val="TableText"/>
              <w:spacing w:before="40" w:after="40"/>
            </w:pPr>
            <w:r w:rsidRPr="006623B9">
              <w:rPr>
                <w:rFonts w:eastAsia="Calibri"/>
              </w:rPr>
              <w:t>Tier 2</w:t>
            </w:r>
          </w:p>
        </w:tc>
        <w:tc>
          <w:tcPr>
            <w:tcW w:w="0" w:type="auto"/>
            <w:shd w:val="clear" w:color="auto" w:fill="FFFFFF"/>
            <w:tcMar>
              <w:top w:w="0" w:type="dxa"/>
              <w:left w:w="85" w:type="dxa"/>
              <w:bottom w:w="0" w:type="dxa"/>
              <w:right w:w="85" w:type="dxa"/>
            </w:tcMar>
          </w:tcPr>
          <w:p w14:paraId="56D959F2" w14:textId="77777777" w:rsidR="00EB5913" w:rsidRPr="006623B9" w:rsidRDefault="00EB5913" w:rsidP="00F16E23">
            <w:pPr>
              <w:pStyle w:val="TableText"/>
              <w:spacing w:before="40" w:after="40"/>
            </w:pPr>
            <w:r w:rsidRPr="006623B9">
              <w:rPr>
                <w:rFonts w:eastAsia="Calibri"/>
              </w:rPr>
              <w:t>Cardno (unpublished)</w:t>
            </w:r>
          </w:p>
        </w:tc>
      </w:tr>
    </w:tbl>
    <w:p w14:paraId="53665666" w14:textId="77777777" w:rsidR="00EB5913" w:rsidRPr="006623B9" w:rsidRDefault="00EB5913" w:rsidP="00EB5913">
      <w:pPr>
        <w:pStyle w:val="Heading5"/>
      </w:pPr>
      <w:bookmarkStart w:id="3113" w:name="wine-industry-1"/>
      <w:r w:rsidRPr="006623B9">
        <w:t>Wine industry</w:t>
      </w:r>
    </w:p>
    <w:p w14:paraId="180D65D7" w14:textId="77777777" w:rsidR="00EB5913" w:rsidRPr="006623B9" w:rsidRDefault="00EB5913" w:rsidP="00EB5913">
      <w:pPr>
        <w:pStyle w:val="BodyText"/>
      </w:pPr>
      <w:r w:rsidRPr="006623B9">
        <w:t>A Tier 2 approach is used to estimate emissions from the wine industry. Information on the wastewater treatment practices of the industry was obtained from a survey (Beca Ltd, unpublished). Default values from the 2006 IPCC Guidelines (IPCC, 2006a) are used where New Zealand-specific information is not available.</w:t>
      </w:r>
    </w:p>
    <w:p w14:paraId="5508BA54" w14:textId="77777777" w:rsidR="00EB5913" w:rsidRPr="006623B9" w:rsidRDefault="00EB5913" w:rsidP="00EB5913">
      <w:pPr>
        <w:pStyle w:val="Heading5"/>
      </w:pPr>
      <w:bookmarkStart w:id="3114" w:name="nitrous-oxide-emissions"/>
      <w:bookmarkEnd w:id="3113"/>
      <w:r w:rsidRPr="006623B9">
        <w:t>Nitrous oxide emissions</w:t>
      </w:r>
    </w:p>
    <w:p w14:paraId="4AE0FE75" w14:textId="77777777" w:rsidR="00EB5913" w:rsidRPr="006623B9" w:rsidRDefault="00EB5913" w:rsidP="00EB5913">
      <w:pPr>
        <w:pStyle w:val="BodyText"/>
      </w:pPr>
      <w:r w:rsidRPr="006623B9">
        <w:t>Direct emissions of N</w:t>
      </w:r>
      <w:r w:rsidRPr="006623B9">
        <w:rPr>
          <w:vertAlign w:val="subscript"/>
        </w:rPr>
        <w:t>2</w:t>
      </w:r>
      <w:r w:rsidRPr="006623B9">
        <w:t>O from domestic wastewater plants are typically minor and only occur in advanced centralised treatment plants. Good practice guidelines (IPCC, 2006a) advise that the estimation of direct N</w:t>
      </w:r>
      <w:r w:rsidRPr="006623B9">
        <w:rPr>
          <w:vertAlign w:val="subscript"/>
        </w:rPr>
        <w:t>2</w:t>
      </w:r>
      <w:r w:rsidRPr="006623B9">
        <w:t>O emissions is only necessary where advanced centralised treatment plants account for a major proportion of wastewater treatment. Although one wastewater treatment plant in Auckland serves about a million people, direct N</w:t>
      </w:r>
      <w:r w:rsidRPr="006623B9">
        <w:rPr>
          <w:vertAlign w:val="subscript"/>
        </w:rPr>
        <w:t>2</w:t>
      </w:r>
      <w:r w:rsidRPr="006623B9">
        <w:t>O emissions are not estimated because they are likely to be small.</w:t>
      </w:r>
    </w:p>
    <w:p w14:paraId="348EB575" w14:textId="77777777" w:rsidR="00EB5913" w:rsidRPr="006623B9" w:rsidRDefault="00EB5913" w:rsidP="00EB5913">
      <w:pPr>
        <w:pStyle w:val="BodyText"/>
      </w:pPr>
      <w:r w:rsidRPr="006623B9">
        <w:t>However, indirect emissions of N</w:t>
      </w:r>
      <w:r w:rsidRPr="006623B9">
        <w:rPr>
          <w:vertAlign w:val="subscript"/>
        </w:rPr>
        <w:t>2</w:t>
      </w:r>
      <w:r w:rsidRPr="006623B9">
        <w:t>O may occur after disposal of effluent into waterways, lakes or the ocean. New Zealand reports indirect emissions of N</w:t>
      </w:r>
      <w:r w:rsidRPr="006623B9">
        <w:rPr>
          <w:vertAlign w:val="subscript"/>
        </w:rPr>
        <w:t>2</w:t>
      </w:r>
      <w:r w:rsidRPr="006623B9">
        <w:t>O from domestic wastewater.</w:t>
      </w:r>
    </w:p>
    <w:p w14:paraId="61D41302" w14:textId="77777777" w:rsidR="00EB5913" w:rsidRPr="006623B9" w:rsidRDefault="00EB5913" w:rsidP="00EB5913">
      <w:pPr>
        <w:pStyle w:val="BodyText"/>
      </w:pPr>
      <w:r w:rsidRPr="006623B9">
        <w:t>The 2006 IPCC Guidelines (IPCC, 2006a) indicate that, compared with domestic wastewater, the N</w:t>
      </w:r>
      <w:r w:rsidRPr="006623B9">
        <w:rPr>
          <w:vertAlign w:val="subscript"/>
        </w:rPr>
        <w:t>2</w:t>
      </w:r>
      <w:r w:rsidRPr="006623B9">
        <w:t>O emissions from industrial wastewater are believed to be insignificant. Yet, in New Zealand, these emissions have greater significance because the meat and dairy processing industries produce nitrogen-rich wastewaters.</w:t>
      </w:r>
    </w:p>
    <w:p w14:paraId="1FEA14D6" w14:textId="77777777" w:rsidR="00EB5913" w:rsidRPr="006623B9" w:rsidRDefault="00EB5913" w:rsidP="00EB5913">
      <w:pPr>
        <w:pStyle w:val="BodyText"/>
      </w:pPr>
      <w:r w:rsidRPr="006623B9">
        <w:t>The IPCC does not provide a method for calculating N</w:t>
      </w:r>
      <w:r w:rsidRPr="006623B9">
        <w:rPr>
          <w:vertAlign w:val="subscript"/>
        </w:rPr>
        <w:t>2</w:t>
      </w:r>
      <w:r w:rsidRPr="006623B9">
        <w:t>O emissions from industrial wastewater and, consequently, a New Zealand-derived method has been applied. The total nitrogen load is calculated by adopting the COD load, as determined in calculating CH</w:t>
      </w:r>
      <w:r w:rsidRPr="006623B9">
        <w:rPr>
          <w:vertAlign w:val="subscript"/>
        </w:rPr>
        <w:t>4</w:t>
      </w:r>
      <w:r w:rsidRPr="006623B9">
        <w:t xml:space="preserve"> emissions from the same wastewater, and using an estimated ratio of COD to nitrogen in the wastewater for each of the different producers in the meat, dairy processing and leather and skins industries.</w:t>
      </w:r>
    </w:p>
    <w:p w14:paraId="722E18CD" w14:textId="77777777" w:rsidR="00EB5913" w:rsidRPr="006623B9" w:rsidRDefault="00EB5913" w:rsidP="00EB5913">
      <w:pPr>
        <w:pStyle w:val="Heading4"/>
      </w:pPr>
      <w:bookmarkStart w:id="3115" w:name="choice-of-emission-factors-2"/>
      <w:bookmarkEnd w:id="3111"/>
      <w:bookmarkEnd w:id="3114"/>
      <w:r w:rsidRPr="006623B9">
        <w:t>Choice of emission factors</w:t>
      </w:r>
    </w:p>
    <w:p w14:paraId="6D7A601D" w14:textId="77777777" w:rsidR="00EB5913" w:rsidRPr="006623B9" w:rsidRDefault="00EB5913" w:rsidP="00EB5913">
      <w:pPr>
        <w:pStyle w:val="Heading5"/>
        <w:spacing w:before="180"/>
      </w:pPr>
      <w:bookmarkStart w:id="3116" w:name="domestic-wastewater-5.d.1-2"/>
      <w:r w:rsidRPr="006623B9">
        <w:t>Domestic wastewater (5.D.1)</w:t>
      </w:r>
    </w:p>
    <w:p w14:paraId="0AC62B41" w14:textId="77777777" w:rsidR="00EB5913" w:rsidRPr="006623B9" w:rsidRDefault="00EB5913" w:rsidP="00EB5913">
      <w:pPr>
        <w:pStyle w:val="Heading6"/>
        <w:spacing w:before="180"/>
      </w:pPr>
      <w:bookmarkStart w:id="3117" w:name="Xd5583ba6d1cbf8baf7c106a7a0a3d02cb92bd05"/>
      <w:r w:rsidRPr="006623B9">
        <w:t>Methane emissions from domestic wastewater treatment</w:t>
      </w:r>
    </w:p>
    <w:p w14:paraId="6F7613AF" w14:textId="77777777" w:rsidR="00EB5913" w:rsidRPr="006623B9" w:rsidRDefault="00EB5913" w:rsidP="00EB5913">
      <w:pPr>
        <w:pStyle w:val="BodyText"/>
      </w:pPr>
      <w:r w:rsidRPr="006623B9">
        <w:t>Table 7.5.6 summarises the parameter values applied for estimating CH</w:t>
      </w:r>
      <w:r w:rsidRPr="006623B9">
        <w:rPr>
          <w:vertAlign w:val="subscript"/>
        </w:rPr>
        <w:t>4</w:t>
      </w:r>
      <w:r w:rsidRPr="006623B9">
        <w:t xml:space="preserve"> emissions from domestic wastewater treatment.</w:t>
      </w:r>
    </w:p>
    <w:p w14:paraId="1FDE0DD2" w14:textId="77777777" w:rsidR="00EB5913" w:rsidRPr="006623B9" w:rsidRDefault="00EB5913" w:rsidP="00EB5913">
      <w:pPr>
        <w:pStyle w:val="Table"/>
      </w:pPr>
      <w:bookmarkStart w:id="3118" w:name="_Toc226669125"/>
      <w:r w:rsidRPr="006623B9">
        <w:t xml:space="preserve">Table 7.5.6 </w:t>
      </w:r>
      <w:r w:rsidRPr="006623B9">
        <w:tab/>
        <w:t>Parameter values applied by New Zealand for estimating methane emissions for domestic wastewater treatment</w:t>
      </w:r>
      <w:bookmarkEnd w:id="311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77"/>
        <w:gridCol w:w="1663"/>
        <w:gridCol w:w="1739"/>
        <w:gridCol w:w="2115"/>
      </w:tblGrid>
      <w:tr w:rsidR="00EB5913" w:rsidRPr="006623B9" w14:paraId="4C8600A5" w14:textId="77777777" w:rsidTr="00F16E23">
        <w:trPr>
          <w:tblHeader/>
        </w:trPr>
        <w:tc>
          <w:tcPr>
            <w:tcW w:w="2977" w:type="dxa"/>
            <w:shd w:val="clear" w:color="auto" w:fill="1B556B"/>
            <w:tcMar>
              <w:top w:w="0" w:type="dxa"/>
              <w:left w:w="85" w:type="dxa"/>
              <w:bottom w:w="0" w:type="dxa"/>
              <w:right w:w="85" w:type="dxa"/>
            </w:tcMar>
          </w:tcPr>
          <w:p w14:paraId="24C504D6"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1663" w:type="dxa"/>
            <w:shd w:val="clear" w:color="auto" w:fill="1B556B"/>
            <w:tcMar>
              <w:top w:w="0" w:type="dxa"/>
              <w:left w:w="85" w:type="dxa"/>
              <w:bottom w:w="0" w:type="dxa"/>
              <w:right w:w="85" w:type="dxa"/>
            </w:tcMar>
          </w:tcPr>
          <w:p w14:paraId="35574D86"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1739" w:type="dxa"/>
            <w:shd w:val="clear" w:color="auto" w:fill="1B556B"/>
            <w:tcMar>
              <w:top w:w="0" w:type="dxa"/>
              <w:left w:w="85" w:type="dxa"/>
              <w:bottom w:w="0" w:type="dxa"/>
              <w:right w:w="85" w:type="dxa"/>
            </w:tcMar>
          </w:tcPr>
          <w:p w14:paraId="7145E7F7"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c>
          <w:tcPr>
            <w:tcW w:w="2115" w:type="dxa"/>
            <w:shd w:val="clear" w:color="auto" w:fill="1B556B"/>
            <w:tcMar>
              <w:top w:w="0" w:type="dxa"/>
              <w:left w:w="85" w:type="dxa"/>
              <w:bottom w:w="0" w:type="dxa"/>
              <w:right w:w="85" w:type="dxa"/>
            </w:tcMar>
          </w:tcPr>
          <w:p w14:paraId="21E0EA37"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08FC43DC" w14:textId="77777777" w:rsidTr="00F16E23">
        <w:tc>
          <w:tcPr>
            <w:tcW w:w="2977" w:type="dxa"/>
            <w:shd w:val="clear" w:color="auto" w:fill="FFFFFF"/>
            <w:tcMar>
              <w:top w:w="0" w:type="dxa"/>
              <w:left w:w="85" w:type="dxa"/>
              <w:bottom w:w="0" w:type="dxa"/>
              <w:right w:w="85" w:type="dxa"/>
            </w:tcMar>
          </w:tcPr>
          <w:p w14:paraId="4BD38A6A" w14:textId="77777777" w:rsidR="00EB5913" w:rsidRPr="006623B9" w:rsidRDefault="00EB5913" w:rsidP="00F16E23">
            <w:pPr>
              <w:pStyle w:val="TableText"/>
              <w:spacing w:before="40" w:after="40"/>
            </w:pPr>
            <w:r w:rsidRPr="006623B9">
              <w:rPr>
                <w:rFonts w:eastAsia="Calibri"/>
              </w:rPr>
              <w:t>Methane correction factors</w:t>
            </w:r>
          </w:p>
        </w:tc>
        <w:tc>
          <w:tcPr>
            <w:tcW w:w="1663" w:type="dxa"/>
            <w:shd w:val="clear" w:color="auto" w:fill="FFFFFF"/>
            <w:tcMar>
              <w:top w:w="0" w:type="dxa"/>
              <w:left w:w="85" w:type="dxa"/>
              <w:bottom w:w="0" w:type="dxa"/>
              <w:right w:w="85" w:type="dxa"/>
            </w:tcMar>
          </w:tcPr>
          <w:p w14:paraId="0D71E17F" w14:textId="77777777" w:rsidR="00EB5913" w:rsidRPr="006623B9" w:rsidRDefault="00EB5913" w:rsidP="00F16E23">
            <w:pPr>
              <w:pStyle w:val="TableText"/>
              <w:spacing w:before="40" w:after="40"/>
            </w:pPr>
          </w:p>
        </w:tc>
        <w:tc>
          <w:tcPr>
            <w:tcW w:w="1739" w:type="dxa"/>
            <w:shd w:val="clear" w:color="auto" w:fill="FFFFFF"/>
            <w:tcMar>
              <w:top w:w="0" w:type="dxa"/>
              <w:left w:w="85" w:type="dxa"/>
              <w:bottom w:w="0" w:type="dxa"/>
              <w:right w:w="85" w:type="dxa"/>
            </w:tcMar>
          </w:tcPr>
          <w:p w14:paraId="64E48892" w14:textId="77777777" w:rsidR="00EB5913" w:rsidRPr="006623B9" w:rsidRDefault="00EB5913" w:rsidP="00F16E23">
            <w:pPr>
              <w:pStyle w:val="TableText"/>
              <w:spacing w:before="40" w:after="40"/>
            </w:pPr>
          </w:p>
        </w:tc>
        <w:tc>
          <w:tcPr>
            <w:tcW w:w="2115" w:type="dxa"/>
            <w:shd w:val="clear" w:color="auto" w:fill="FFFFFF"/>
            <w:tcMar>
              <w:top w:w="0" w:type="dxa"/>
              <w:left w:w="85" w:type="dxa"/>
              <w:bottom w:w="0" w:type="dxa"/>
              <w:right w:w="85" w:type="dxa"/>
            </w:tcMar>
          </w:tcPr>
          <w:p w14:paraId="2E583529" w14:textId="77777777" w:rsidR="00EB5913" w:rsidRPr="006623B9" w:rsidRDefault="00EB5913" w:rsidP="00F16E23">
            <w:pPr>
              <w:pStyle w:val="TableText"/>
              <w:spacing w:before="40" w:after="40"/>
            </w:pPr>
          </w:p>
        </w:tc>
      </w:tr>
      <w:tr w:rsidR="00EB5913" w:rsidRPr="006623B9" w14:paraId="097165E9" w14:textId="77777777" w:rsidTr="00F16E23">
        <w:tc>
          <w:tcPr>
            <w:tcW w:w="2977" w:type="dxa"/>
            <w:shd w:val="clear" w:color="auto" w:fill="FFFFFF"/>
            <w:tcMar>
              <w:top w:w="0" w:type="dxa"/>
              <w:left w:w="85" w:type="dxa"/>
              <w:bottom w:w="0" w:type="dxa"/>
              <w:right w:w="85" w:type="dxa"/>
            </w:tcMar>
          </w:tcPr>
          <w:p w14:paraId="50C3F9DB" w14:textId="77777777" w:rsidR="00EB5913" w:rsidRPr="006623B9" w:rsidRDefault="00EB5913" w:rsidP="00F16E23">
            <w:pPr>
              <w:pStyle w:val="TableText"/>
              <w:spacing w:before="40" w:after="40"/>
            </w:pPr>
            <w:r w:rsidRPr="006623B9">
              <w:rPr>
                <w:rFonts w:eastAsia="Calibri"/>
              </w:rPr>
              <w:t>Handling systems methane correction factor</w:t>
            </w:r>
          </w:p>
        </w:tc>
        <w:tc>
          <w:tcPr>
            <w:tcW w:w="1663" w:type="dxa"/>
            <w:shd w:val="clear" w:color="auto" w:fill="FFFFFF"/>
            <w:tcMar>
              <w:top w:w="0" w:type="dxa"/>
              <w:left w:w="85" w:type="dxa"/>
              <w:bottom w:w="0" w:type="dxa"/>
              <w:right w:w="85" w:type="dxa"/>
            </w:tcMar>
          </w:tcPr>
          <w:p w14:paraId="09552379" w14:textId="77777777" w:rsidR="00EB5913" w:rsidRPr="006623B9" w:rsidRDefault="00EB5913" w:rsidP="00F16E23">
            <w:pPr>
              <w:pStyle w:val="TableText"/>
              <w:spacing w:before="40" w:after="40"/>
            </w:pPr>
            <w:r w:rsidRPr="006623B9">
              <w:rPr>
                <w:rFonts w:eastAsia="Calibri"/>
              </w:rPr>
              <w:t>Range of 0–0.65</w:t>
            </w:r>
          </w:p>
        </w:tc>
        <w:tc>
          <w:tcPr>
            <w:tcW w:w="1739" w:type="dxa"/>
            <w:shd w:val="clear" w:color="auto" w:fill="FFFFFF"/>
            <w:tcMar>
              <w:top w:w="0" w:type="dxa"/>
              <w:left w:w="85" w:type="dxa"/>
              <w:bottom w:w="0" w:type="dxa"/>
              <w:right w:w="85" w:type="dxa"/>
            </w:tcMar>
          </w:tcPr>
          <w:p w14:paraId="223E956D"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55F7407A" w14:textId="77777777" w:rsidR="00EB5913" w:rsidRPr="006623B9" w:rsidRDefault="00EB5913" w:rsidP="00F16E23">
            <w:pPr>
              <w:pStyle w:val="TableText"/>
              <w:spacing w:before="40" w:after="40"/>
            </w:pPr>
            <w:r w:rsidRPr="006623B9">
              <w:rPr>
                <w:rFonts w:eastAsia="Calibri"/>
              </w:rPr>
              <w:t>SCS Wetherill Environmental (unpublished)</w:t>
            </w:r>
          </w:p>
        </w:tc>
      </w:tr>
      <w:tr w:rsidR="00EB5913" w:rsidRPr="006623B9" w14:paraId="24410249" w14:textId="77777777" w:rsidTr="00F16E23">
        <w:tc>
          <w:tcPr>
            <w:tcW w:w="2977" w:type="dxa"/>
            <w:shd w:val="clear" w:color="auto" w:fill="FFFFFF"/>
            <w:tcMar>
              <w:top w:w="0" w:type="dxa"/>
              <w:left w:w="85" w:type="dxa"/>
              <w:bottom w:w="0" w:type="dxa"/>
              <w:right w:w="85" w:type="dxa"/>
            </w:tcMar>
          </w:tcPr>
          <w:p w14:paraId="5E5F4A19" w14:textId="77777777" w:rsidR="00EB5913" w:rsidRPr="006623B9" w:rsidRDefault="00EB5913" w:rsidP="00F16E23">
            <w:pPr>
              <w:pStyle w:val="TableText"/>
              <w:spacing w:before="40" w:after="40"/>
            </w:pPr>
            <w:r w:rsidRPr="006623B9">
              <w:rPr>
                <w:rFonts w:eastAsia="Calibri"/>
              </w:rPr>
              <w:t>Aggregated methane correction factor</w:t>
            </w:r>
          </w:p>
        </w:tc>
        <w:tc>
          <w:tcPr>
            <w:tcW w:w="1663" w:type="dxa"/>
            <w:shd w:val="clear" w:color="auto" w:fill="FFFFFF"/>
            <w:tcMar>
              <w:top w:w="0" w:type="dxa"/>
              <w:left w:w="85" w:type="dxa"/>
              <w:bottom w:w="0" w:type="dxa"/>
              <w:right w:w="85" w:type="dxa"/>
            </w:tcMar>
          </w:tcPr>
          <w:p w14:paraId="08AA929A" w14:textId="77777777" w:rsidR="00EB5913" w:rsidRPr="006623B9" w:rsidRDefault="00EB5913" w:rsidP="00F16E23">
            <w:pPr>
              <w:pStyle w:val="TableText"/>
              <w:spacing w:before="40" w:after="40"/>
            </w:pPr>
            <w:r w:rsidRPr="006623B9">
              <w:rPr>
                <w:rFonts w:eastAsia="Calibri"/>
              </w:rPr>
              <w:t>Range of 0.032–0.043</w:t>
            </w:r>
          </w:p>
        </w:tc>
        <w:tc>
          <w:tcPr>
            <w:tcW w:w="1739" w:type="dxa"/>
            <w:shd w:val="clear" w:color="auto" w:fill="FFFFFF"/>
            <w:tcMar>
              <w:top w:w="0" w:type="dxa"/>
              <w:left w:w="85" w:type="dxa"/>
              <w:bottom w:w="0" w:type="dxa"/>
              <w:right w:w="85" w:type="dxa"/>
            </w:tcMar>
          </w:tcPr>
          <w:p w14:paraId="12C6D88B"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716E019E" w14:textId="77777777" w:rsidR="00EB5913" w:rsidRPr="006623B9" w:rsidRDefault="00EB5913" w:rsidP="00F16E23">
            <w:pPr>
              <w:pStyle w:val="TableText"/>
              <w:spacing w:before="40" w:after="40"/>
            </w:pPr>
            <w:r w:rsidRPr="006623B9">
              <w:rPr>
                <w:rFonts w:eastAsia="Calibri"/>
              </w:rPr>
              <w:t>SCS Wetherill Environmental (unpublished)</w:t>
            </w:r>
          </w:p>
        </w:tc>
      </w:tr>
      <w:tr w:rsidR="00EB5913" w:rsidRPr="006623B9" w14:paraId="78408E9C" w14:textId="77777777" w:rsidTr="00F16E23">
        <w:tc>
          <w:tcPr>
            <w:tcW w:w="2977" w:type="dxa"/>
            <w:shd w:val="clear" w:color="auto" w:fill="FFFFFF"/>
            <w:tcMar>
              <w:top w:w="0" w:type="dxa"/>
              <w:left w:w="85" w:type="dxa"/>
              <w:bottom w:w="0" w:type="dxa"/>
              <w:right w:w="85" w:type="dxa"/>
            </w:tcMar>
          </w:tcPr>
          <w:p w14:paraId="6D0175F8" w14:textId="77777777" w:rsidR="00EB5913" w:rsidRPr="006623B9" w:rsidRDefault="00EB5913" w:rsidP="00F16E23">
            <w:pPr>
              <w:pStyle w:val="TableText"/>
              <w:spacing w:before="40" w:after="40"/>
            </w:pPr>
            <w:r w:rsidRPr="006623B9">
              <w:rPr>
                <w:rFonts w:eastAsia="Calibri"/>
              </w:rPr>
              <w:t>BOD (kg BOD/person/year)</w:t>
            </w:r>
          </w:p>
        </w:tc>
        <w:tc>
          <w:tcPr>
            <w:tcW w:w="1663" w:type="dxa"/>
            <w:shd w:val="clear" w:color="auto" w:fill="FFFFFF"/>
            <w:tcMar>
              <w:top w:w="0" w:type="dxa"/>
              <w:left w:w="85" w:type="dxa"/>
              <w:bottom w:w="0" w:type="dxa"/>
              <w:right w:w="85" w:type="dxa"/>
            </w:tcMar>
          </w:tcPr>
          <w:p w14:paraId="6C17A7EC" w14:textId="77777777" w:rsidR="00EB5913" w:rsidRPr="006623B9" w:rsidRDefault="00EB5913" w:rsidP="00F16E23">
            <w:pPr>
              <w:pStyle w:val="TableText"/>
              <w:spacing w:before="40" w:after="40"/>
            </w:pPr>
            <w:r w:rsidRPr="006623B9">
              <w:rPr>
                <w:rFonts w:eastAsia="Calibri"/>
              </w:rPr>
              <w:t>26</w:t>
            </w:r>
          </w:p>
        </w:tc>
        <w:tc>
          <w:tcPr>
            <w:tcW w:w="1739" w:type="dxa"/>
            <w:shd w:val="clear" w:color="auto" w:fill="FFFFFF"/>
            <w:tcMar>
              <w:top w:w="0" w:type="dxa"/>
              <w:left w:w="85" w:type="dxa"/>
              <w:bottom w:w="0" w:type="dxa"/>
              <w:right w:w="85" w:type="dxa"/>
            </w:tcMar>
          </w:tcPr>
          <w:p w14:paraId="6291FA40"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153A4A49" w14:textId="77777777" w:rsidR="00EB5913" w:rsidRPr="006623B9" w:rsidRDefault="00EB5913" w:rsidP="00F16E23">
            <w:pPr>
              <w:pStyle w:val="TableText"/>
              <w:spacing w:before="40" w:after="40"/>
            </w:pPr>
            <w:r w:rsidRPr="006623B9">
              <w:rPr>
                <w:rFonts w:eastAsia="Calibri"/>
              </w:rPr>
              <w:t>Beca Infrastructure Ltd (unpublished)</w:t>
            </w:r>
          </w:p>
        </w:tc>
      </w:tr>
      <w:tr w:rsidR="00EB5913" w:rsidRPr="006623B9" w14:paraId="6F0DA498" w14:textId="77777777" w:rsidTr="00F16E23">
        <w:tc>
          <w:tcPr>
            <w:tcW w:w="2977" w:type="dxa"/>
            <w:shd w:val="clear" w:color="auto" w:fill="FFFFFF"/>
            <w:tcMar>
              <w:top w:w="0" w:type="dxa"/>
              <w:left w:w="85" w:type="dxa"/>
              <w:bottom w:w="0" w:type="dxa"/>
              <w:right w:w="85" w:type="dxa"/>
            </w:tcMar>
          </w:tcPr>
          <w:p w14:paraId="5FABEA6F" w14:textId="77777777" w:rsidR="00EB5913" w:rsidRPr="006623B9" w:rsidRDefault="00EB5913" w:rsidP="00F16E23">
            <w:pPr>
              <w:pStyle w:val="TableText"/>
              <w:spacing w:before="40" w:after="40"/>
            </w:pPr>
            <w:r w:rsidRPr="006623B9">
              <w:rPr>
                <w:rFonts w:eastAsia="Calibri"/>
              </w:rPr>
              <w:t>Correction factor for BOD</w:t>
            </w:r>
          </w:p>
        </w:tc>
        <w:tc>
          <w:tcPr>
            <w:tcW w:w="1663" w:type="dxa"/>
            <w:shd w:val="clear" w:color="auto" w:fill="FFFFFF"/>
            <w:tcMar>
              <w:top w:w="0" w:type="dxa"/>
              <w:left w:w="85" w:type="dxa"/>
              <w:bottom w:w="0" w:type="dxa"/>
              <w:right w:w="85" w:type="dxa"/>
            </w:tcMar>
          </w:tcPr>
          <w:p w14:paraId="614D9697" w14:textId="77777777" w:rsidR="00EB5913" w:rsidRPr="006623B9" w:rsidRDefault="00EB5913" w:rsidP="00F16E23">
            <w:pPr>
              <w:pStyle w:val="TableText"/>
              <w:spacing w:before="40" w:after="40"/>
            </w:pPr>
            <w:r w:rsidRPr="006623B9">
              <w:rPr>
                <w:rFonts w:eastAsia="Calibri"/>
              </w:rPr>
              <w:t>Range of 1.0–14.9</w:t>
            </w:r>
          </w:p>
        </w:tc>
        <w:tc>
          <w:tcPr>
            <w:tcW w:w="1739" w:type="dxa"/>
            <w:shd w:val="clear" w:color="auto" w:fill="FFFFFF"/>
            <w:tcMar>
              <w:top w:w="0" w:type="dxa"/>
              <w:left w:w="85" w:type="dxa"/>
              <w:bottom w:w="0" w:type="dxa"/>
              <w:right w:w="85" w:type="dxa"/>
            </w:tcMar>
          </w:tcPr>
          <w:p w14:paraId="7896F8C4"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52D27635" w14:textId="77777777" w:rsidR="00EB5913" w:rsidRPr="006623B9" w:rsidRDefault="00EB5913" w:rsidP="00F16E23">
            <w:pPr>
              <w:pStyle w:val="TableText"/>
              <w:spacing w:before="40" w:after="40"/>
            </w:pPr>
            <w:r w:rsidRPr="006623B9">
              <w:rPr>
                <w:rFonts w:eastAsia="Calibri"/>
              </w:rPr>
              <w:t>Beca Infrastructure Ltd (unpublished)</w:t>
            </w:r>
          </w:p>
        </w:tc>
      </w:tr>
      <w:tr w:rsidR="00EB5913" w:rsidRPr="006623B9" w14:paraId="38667C22" w14:textId="77777777" w:rsidTr="00F16E23">
        <w:tc>
          <w:tcPr>
            <w:tcW w:w="2977" w:type="dxa"/>
            <w:shd w:val="clear" w:color="auto" w:fill="FFFFFF"/>
            <w:tcMar>
              <w:top w:w="0" w:type="dxa"/>
              <w:left w:w="85" w:type="dxa"/>
              <w:bottom w:w="0" w:type="dxa"/>
              <w:right w:w="85" w:type="dxa"/>
            </w:tcMar>
          </w:tcPr>
          <w:p w14:paraId="79705726" w14:textId="77777777" w:rsidR="00EB5913" w:rsidRPr="006623B9" w:rsidRDefault="00EB5913" w:rsidP="00F16E23">
            <w:pPr>
              <w:pStyle w:val="TableText"/>
              <w:spacing w:before="40" w:after="40"/>
            </w:pPr>
            <w:r w:rsidRPr="006623B9">
              <w:rPr>
                <w:rFonts w:eastAsia="Calibri"/>
              </w:rPr>
              <w:t>Maximum methane-producing capacity (kg CH₄/kg BOD)</w:t>
            </w:r>
          </w:p>
        </w:tc>
        <w:tc>
          <w:tcPr>
            <w:tcW w:w="1663" w:type="dxa"/>
            <w:shd w:val="clear" w:color="auto" w:fill="FFFFFF"/>
            <w:tcMar>
              <w:top w:w="0" w:type="dxa"/>
              <w:left w:w="85" w:type="dxa"/>
              <w:bottom w:w="0" w:type="dxa"/>
              <w:right w:w="85" w:type="dxa"/>
            </w:tcMar>
          </w:tcPr>
          <w:p w14:paraId="65CC376D" w14:textId="77777777" w:rsidR="00EB5913" w:rsidRPr="006623B9" w:rsidRDefault="00EB5913" w:rsidP="00F16E23">
            <w:pPr>
              <w:pStyle w:val="TableText"/>
              <w:spacing w:before="40" w:after="40"/>
            </w:pPr>
            <w:r w:rsidRPr="006623B9">
              <w:rPr>
                <w:rFonts w:eastAsia="Calibri"/>
              </w:rPr>
              <w:t>0.625</w:t>
            </w:r>
          </w:p>
        </w:tc>
        <w:tc>
          <w:tcPr>
            <w:tcW w:w="1739" w:type="dxa"/>
            <w:shd w:val="clear" w:color="auto" w:fill="FFFFFF"/>
            <w:tcMar>
              <w:top w:w="0" w:type="dxa"/>
              <w:left w:w="85" w:type="dxa"/>
              <w:bottom w:w="0" w:type="dxa"/>
              <w:right w:w="85" w:type="dxa"/>
            </w:tcMar>
          </w:tcPr>
          <w:p w14:paraId="66773CB8"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07613CCF" w14:textId="77777777" w:rsidR="00EB5913" w:rsidRPr="006623B9" w:rsidRDefault="00EB5913" w:rsidP="00F16E23">
            <w:pPr>
              <w:pStyle w:val="TableText"/>
              <w:spacing w:before="40" w:after="40"/>
            </w:pPr>
            <w:r w:rsidRPr="006623B9">
              <w:rPr>
                <w:rFonts w:eastAsia="Calibri"/>
              </w:rPr>
              <w:t>SCS Wetherill Environmental (unpublished)</w:t>
            </w:r>
          </w:p>
        </w:tc>
      </w:tr>
    </w:tbl>
    <w:p w14:paraId="4EB50143" w14:textId="77777777" w:rsidR="00EB5913" w:rsidRPr="006623B9" w:rsidRDefault="00EB5913" w:rsidP="00EB5913">
      <w:pPr>
        <w:pStyle w:val="Noteundertable"/>
      </w:pPr>
      <w:r w:rsidRPr="006623B9">
        <w:rPr>
          <w:b/>
          <w:bCs/>
        </w:rPr>
        <w:t>Note:</w:t>
      </w:r>
      <w:r w:rsidRPr="006623B9">
        <w:t xml:space="preserve"> </w:t>
      </w:r>
      <w:r w:rsidRPr="006623B9">
        <w:tab/>
        <w:t>BOD = biochemical oxygen demand.</w:t>
      </w:r>
    </w:p>
    <w:p w14:paraId="10FE4A2C" w14:textId="77777777" w:rsidR="00EB5913" w:rsidRPr="006623B9" w:rsidRDefault="00EB5913" w:rsidP="00EB5913">
      <w:pPr>
        <w:pStyle w:val="Heading6"/>
      </w:pPr>
      <w:bookmarkStart w:id="3119" w:name="X698e3d1972339c976269d4c73c660df246dc4e1"/>
      <w:bookmarkEnd w:id="3117"/>
      <w:r w:rsidRPr="006623B9">
        <w:t>Methane correction factors for handling systems</w:t>
      </w:r>
    </w:p>
    <w:p w14:paraId="067043DE" w14:textId="77777777" w:rsidR="00EB5913" w:rsidRPr="006623B9" w:rsidRDefault="00EB5913" w:rsidP="00EB5913">
      <w:pPr>
        <w:pStyle w:val="BodyText"/>
      </w:pPr>
      <w:r w:rsidRPr="006623B9">
        <w:t>Methane correction factors for the different handling systems in New Zealand were estimated by SCS Wetherill Environmental (unpublished). These factors range from zero up to 0.65 for the different types of anaerobic treatment. The different treatment types are added together, weighted by the population for each type of treatment, to give an aggregated CH</w:t>
      </w:r>
      <w:r w:rsidRPr="006623B9">
        <w:rPr>
          <w:vertAlign w:val="subscript"/>
        </w:rPr>
        <w:t>4</w:t>
      </w:r>
      <w:r w:rsidRPr="006623B9">
        <w:t xml:space="preserve"> correction factor ranging between 0.032 and 0.043. Table 7.5.2 shows the aggregate CH</w:t>
      </w:r>
      <w:r w:rsidRPr="006623B9">
        <w:rPr>
          <w:vertAlign w:val="subscript"/>
        </w:rPr>
        <w:t>4</w:t>
      </w:r>
      <w:r w:rsidRPr="006623B9">
        <w:t xml:space="preserve"> correction factor applied across the time series.</w:t>
      </w:r>
    </w:p>
    <w:p w14:paraId="1BE852E0" w14:textId="77777777" w:rsidR="00EB5913" w:rsidRPr="006623B9" w:rsidRDefault="00EB5913" w:rsidP="00EB5913">
      <w:pPr>
        <w:pStyle w:val="Heading6"/>
      </w:pPr>
      <w:bookmarkStart w:id="3120" w:name="adjustments-to-biochemical-oxygen-demand"/>
      <w:bookmarkEnd w:id="3119"/>
      <w:r w:rsidRPr="006623B9">
        <w:t>Adjustments to biochemical oxygen demand</w:t>
      </w:r>
    </w:p>
    <w:p w14:paraId="3AC009D5" w14:textId="77777777" w:rsidR="00EB5913" w:rsidRPr="006623B9" w:rsidRDefault="00EB5913" w:rsidP="00EB5913">
      <w:pPr>
        <w:pStyle w:val="BodyText"/>
      </w:pPr>
      <w:r w:rsidRPr="006623B9">
        <w:t>New Zealand uses a value of 26 kilograms biochemical oxygen demand (BOD) per person per year. This is equivalent to the IPCC high-range default value for the Oceania region of about 70 grams per person per day (IPCC, 2006a). This value has been determined as a typical value for wastewater treatment methods adopted in New Zealand (Beca Infrastructure Ltd, unpublished).</w:t>
      </w:r>
    </w:p>
    <w:p w14:paraId="7445FB87" w14:textId="77777777" w:rsidR="00EB5913" w:rsidRPr="006623B9" w:rsidRDefault="00EB5913" w:rsidP="00EB5913">
      <w:pPr>
        <w:pStyle w:val="BodyText"/>
      </w:pPr>
      <w:r w:rsidRPr="006623B9">
        <w:t>This value has been increased by 25 percent for most treatment plants, to allow for the additional wastewater that they take from commercial and industrial activity within the municipal area. Ten of the treatment plants have been identified as accepting much larger amounts of industrial and/or commercial wastewater. The correction factor for BOD for these plants ranges from 77 percent to 1,390 percent above the amount of domestic wastewater (Beca Infrastructure Ltd, unpublished). No adjustment to the BOD is made for septic tanks.</w:t>
      </w:r>
    </w:p>
    <w:p w14:paraId="3BCF715D" w14:textId="77777777" w:rsidR="00EB5913" w:rsidRPr="006623B9" w:rsidRDefault="00EB5913" w:rsidP="00EB5913">
      <w:pPr>
        <w:pStyle w:val="Heading6"/>
      </w:pPr>
      <w:bookmarkStart w:id="3121" w:name="recovery"/>
      <w:bookmarkEnd w:id="3120"/>
      <w:r w:rsidRPr="006623B9">
        <w:t>Recovery</w:t>
      </w:r>
    </w:p>
    <w:p w14:paraId="203CD86D" w14:textId="77777777" w:rsidR="00EB5913" w:rsidRPr="006623B9" w:rsidRDefault="00EB5913" w:rsidP="00EB5913">
      <w:pPr>
        <w:pStyle w:val="BodyText"/>
      </w:pPr>
      <w:r w:rsidRPr="006623B9">
        <w:t>Methane removal through flaring or energy recovery is undertaken at eight wastewater treatment plants in New Zealand. Each facility incorporates anaerobic digesters within its treatment processes.</w:t>
      </w:r>
    </w:p>
    <w:p w14:paraId="594786B1" w14:textId="77777777" w:rsidR="00EB5913" w:rsidRPr="006623B9" w:rsidRDefault="00EB5913" w:rsidP="00EB5913">
      <w:pPr>
        <w:pStyle w:val="BodyText"/>
      </w:pPr>
      <w:r w:rsidRPr="006623B9">
        <w:t>Under the 2006 IPCC Guidelines, these facilities are classified as centralised, well‑managed aerobic treatment plants (IPCC, 2006a). This classification assigns a CH</w:t>
      </w:r>
      <w:r w:rsidRPr="006623B9">
        <w:rPr>
          <w:vertAlign w:val="subscript"/>
        </w:rPr>
        <w:t>4</w:t>
      </w:r>
      <w:r w:rsidRPr="006623B9">
        <w:t xml:space="preserve"> emission factor of zero, indicating that no CH</w:t>
      </w:r>
      <w:r w:rsidRPr="006623B9">
        <w:rPr>
          <w:vertAlign w:val="subscript"/>
        </w:rPr>
        <w:t>4</w:t>
      </w:r>
      <w:r w:rsidRPr="006623B9">
        <w:t xml:space="preserve"> emissions are expected under normal operating conditions. Consequently, the presence of anaerobic digesters, and the associated CH</w:t>
      </w:r>
      <w:r w:rsidRPr="006623B9">
        <w:rPr>
          <w:vertAlign w:val="subscript"/>
        </w:rPr>
        <w:t>4</w:t>
      </w:r>
      <w:r w:rsidRPr="006623B9">
        <w:t xml:space="preserve"> generation, is considered outside the assumptions of this category.</w:t>
      </w:r>
    </w:p>
    <w:p w14:paraId="28071DE0" w14:textId="77777777" w:rsidR="00EB5913" w:rsidRPr="006623B9" w:rsidRDefault="00EB5913" w:rsidP="00EB5913">
      <w:pPr>
        <w:pStyle w:val="BodyText"/>
      </w:pPr>
      <w:r w:rsidRPr="006623B9">
        <w:t>Despite this, all CH</w:t>
      </w:r>
      <w:r w:rsidRPr="006623B9">
        <w:rPr>
          <w:vertAlign w:val="subscript"/>
        </w:rPr>
        <w:t>4</w:t>
      </w:r>
      <w:r w:rsidRPr="006623B9">
        <w:t xml:space="preserve"> produced by the anaerobic digesters at these plants is either combusted via flaring or utilised for energy generation. As a result, the net CH</w:t>
      </w:r>
      <w:r w:rsidRPr="006623B9">
        <w:rPr>
          <w:vertAlign w:val="subscript"/>
        </w:rPr>
        <w:t>4</w:t>
      </w:r>
      <w:r w:rsidRPr="006623B9">
        <w:t xml:space="preserve"> emissions from these facilities remain at zero. Accordingly, volumes of CH</w:t>
      </w:r>
      <w:r w:rsidRPr="006623B9">
        <w:rPr>
          <w:vertAlign w:val="subscript"/>
        </w:rPr>
        <w:t>4</w:t>
      </w:r>
      <w:r w:rsidRPr="006623B9">
        <w:t xml:space="preserve"> flared are not included in the emissions calculation (Beca Infrastructure Ltd, unpublished).</w:t>
      </w:r>
    </w:p>
    <w:p w14:paraId="3411F198" w14:textId="77777777" w:rsidR="00EB5913" w:rsidRPr="006623B9" w:rsidRDefault="00EB5913" w:rsidP="00EB5913">
      <w:pPr>
        <w:pStyle w:val="Heading5"/>
      </w:pPr>
      <w:bookmarkStart w:id="3122" w:name="X6df5e7359f7d9ea7bbeae025ed840ba1935ac6e"/>
      <w:bookmarkEnd w:id="3116"/>
      <w:bookmarkEnd w:id="3121"/>
      <w:r w:rsidRPr="006623B9">
        <w:t>Nitrous oxide emissions from domestic wastewater</w:t>
      </w:r>
    </w:p>
    <w:p w14:paraId="2F6E182E" w14:textId="77777777" w:rsidR="00EB5913" w:rsidRPr="006623B9" w:rsidRDefault="00EB5913" w:rsidP="00EB5913">
      <w:pPr>
        <w:pStyle w:val="BodyText"/>
      </w:pPr>
      <w:r w:rsidRPr="006623B9">
        <w:t>Table 7.5.7 summarises the parameter values applied for estimating N</w:t>
      </w:r>
      <w:r w:rsidRPr="006623B9">
        <w:rPr>
          <w:vertAlign w:val="subscript"/>
        </w:rPr>
        <w:t>2</w:t>
      </w:r>
      <w:r w:rsidRPr="006623B9">
        <w:t>O emissions from domestic and commercial wastewater treatment.</w:t>
      </w:r>
    </w:p>
    <w:p w14:paraId="2DA26CE3" w14:textId="77777777" w:rsidR="00EB5913" w:rsidRPr="006623B9" w:rsidRDefault="00EB5913" w:rsidP="00EB5913">
      <w:pPr>
        <w:pStyle w:val="Table"/>
      </w:pPr>
      <w:bookmarkStart w:id="3123" w:name="_Toc226669126"/>
      <w:r w:rsidRPr="006623B9">
        <w:t xml:space="preserve">Table 7.5.7 </w:t>
      </w:r>
      <w:r w:rsidRPr="006623B9">
        <w:tab/>
        <w:t>Parameter values applied by New Zealand for estimating nitrous oxide emissions from domestic and commercial wastewater treatment</w:t>
      </w:r>
      <w:bookmarkEnd w:id="312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253"/>
        <w:gridCol w:w="709"/>
        <w:gridCol w:w="1701"/>
        <w:gridCol w:w="1831"/>
      </w:tblGrid>
      <w:tr w:rsidR="00EB5913" w:rsidRPr="006623B9" w14:paraId="51218A9C" w14:textId="77777777" w:rsidTr="00F16E23">
        <w:trPr>
          <w:tblHeader/>
        </w:trPr>
        <w:tc>
          <w:tcPr>
            <w:tcW w:w="4253" w:type="dxa"/>
            <w:shd w:val="clear" w:color="auto" w:fill="1B556B"/>
            <w:tcMar>
              <w:top w:w="0" w:type="dxa"/>
              <w:left w:w="85" w:type="dxa"/>
              <w:bottom w:w="0" w:type="dxa"/>
              <w:right w:w="85" w:type="dxa"/>
            </w:tcMar>
          </w:tcPr>
          <w:p w14:paraId="4B380194" w14:textId="77777777" w:rsidR="00EB5913" w:rsidRPr="006623B9" w:rsidRDefault="00EB5913" w:rsidP="00F16E23">
            <w:pPr>
              <w:pStyle w:val="TableTextBold"/>
              <w:keepNext/>
              <w:rPr>
                <w:noProof w:val="0"/>
                <w:color w:val="FFFFFF" w:themeColor="background1"/>
              </w:rPr>
            </w:pPr>
            <w:r w:rsidRPr="006623B9">
              <w:rPr>
                <w:rFonts w:eastAsia="Calibri"/>
                <w:noProof w:val="0"/>
                <w:color w:val="FFFFFF" w:themeColor="background1"/>
              </w:rPr>
              <w:t>Parameter</w:t>
            </w:r>
          </w:p>
        </w:tc>
        <w:tc>
          <w:tcPr>
            <w:tcW w:w="709" w:type="dxa"/>
            <w:shd w:val="clear" w:color="auto" w:fill="1B556B"/>
            <w:tcMar>
              <w:top w:w="0" w:type="dxa"/>
              <w:left w:w="85" w:type="dxa"/>
              <w:bottom w:w="0" w:type="dxa"/>
              <w:right w:w="85" w:type="dxa"/>
            </w:tcMar>
          </w:tcPr>
          <w:p w14:paraId="3EA15EB0" w14:textId="77777777" w:rsidR="00EB5913" w:rsidRPr="006623B9" w:rsidRDefault="00EB5913" w:rsidP="00F16E23">
            <w:pPr>
              <w:pStyle w:val="TableTextBold"/>
              <w:keepNext/>
              <w:rPr>
                <w:noProof w:val="0"/>
                <w:color w:val="FFFFFF" w:themeColor="background1"/>
              </w:rPr>
            </w:pPr>
            <w:r w:rsidRPr="006623B9">
              <w:rPr>
                <w:rFonts w:eastAsia="Calibri"/>
                <w:noProof w:val="0"/>
                <w:color w:val="FFFFFF" w:themeColor="background1"/>
              </w:rPr>
              <w:t>Value</w:t>
            </w:r>
          </w:p>
        </w:tc>
        <w:tc>
          <w:tcPr>
            <w:tcW w:w="1701" w:type="dxa"/>
            <w:shd w:val="clear" w:color="auto" w:fill="1B556B"/>
            <w:tcMar>
              <w:top w:w="0" w:type="dxa"/>
              <w:left w:w="85" w:type="dxa"/>
              <w:bottom w:w="0" w:type="dxa"/>
              <w:right w:w="85" w:type="dxa"/>
            </w:tcMar>
          </w:tcPr>
          <w:p w14:paraId="4FBA4A32" w14:textId="77777777" w:rsidR="00EB5913" w:rsidRPr="006623B9" w:rsidRDefault="00EB5913" w:rsidP="00F16E23">
            <w:pPr>
              <w:pStyle w:val="TableTextBold"/>
              <w:keepNext/>
              <w:rPr>
                <w:noProof w:val="0"/>
                <w:color w:val="FFFFFF" w:themeColor="background1"/>
              </w:rPr>
            </w:pPr>
            <w:r w:rsidRPr="006623B9">
              <w:rPr>
                <w:rFonts w:eastAsia="Calibri"/>
                <w:noProof w:val="0"/>
                <w:color w:val="FFFFFF" w:themeColor="background1"/>
              </w:rPr>
              <w:t>Source</w:t>
            </w:r>
          </w:p>
        </w:tc>
        <w:tc>
          <w:tcPr>
            <w:tcW w:w="1831" w:type="dxa"/>
            <w:shd w:val="clear" w:color="auto" w:fill="1B556B"/>
            <w:tcMar>
              <w:top w:w="0" w:type="dxa"/>
              <w:left w:w="85" w:type="dxa"/>
              <w:bottom w:w="0" w:type="dxa"/>
              <w:right w:w="85" w:type="dxa"/>
            </w:tcMar>
          </w:tcPr>
          <w:p w14:paraId="38BD4C36" w14:textId="77777777" w:rsidR="00EB5913" w:rsidRPr="006623B9" w:rsidRDefault="00EB5913" w:rsidP="00F16E23">
            <w:pPr>
              <w:pStyle w:val="TableTextBold"/>
              <w:keepNext/>
              <w:rPr>
                <w:noProof w:val="0"/>
                <w:color w:val="FFFFFF" w:themeColor="background1"/>
              </w:rPr>
            </w:pPr>
            <w:r w:rsidRPr="006623B9">
              <w:rPr>
                <w:rFonts w:eastAsia="Calibri"/>
                <w:noProof w:val="0"/>
                <w:color w:val="FFFFFF" w:themeColor="background1"/>
              </w:rPr>
              <w:t>Reference</w:t>
            </w:r>
          </w:p>
        </w:tc>
      </w:tr>
      <w:tr w:rsidR="00EB5913" w:rsidRPr="006623B9" w14:paraId="38A5E7E1" w14:textId="77777777" w:rsidTr="00F16E23">
        <w:tc>
          <w:tcPr>
            <w:tcW w:w="4253" w:type="dxa"/>
            <w:shd w:val="clear" w:color="auto" w:fill="FFFFFF"/>
            <w:tcMar>
              <w:top w:w="0" w:type="dxa"/>
              <w:left w:w="85" w:type="dxa"/>
              <w:bottom w:w="0" w:type="dxa"/>
              <w:right w:w="85" w:type="dxa"/>
            </w:tcMar>
          </w:tcPr>
          <w:p w14:paraId="0ECF5818" w14:textId="77777777" w:rsidR="00EB5913" w:rsidRPr="006623B9" w:rsidRDefault="00EB5913" w:rsidP="00F16E23">
            <w:pPr>
              <w:pStyle w:val="TableText"/>
              <w:keepNext/>
              <w:spacing w:before="40" w:after="40"/>
            </w:pPr>
            <w:r w:rsidRPr="006623B9">
              <w:t>Per capita protein consumption (kg/person/year)</w:t>
            </w:r>
          </w:p>
        </w:tc>
        <w:tc>
          <w:tcPr>
            <w:tcW w:w="709" w:type="dxa"/>
            <w:shd w:val="clear" w:color="auto" w:fill="FFFFFF"/>
            <w:tcMar>
              <w:top w:w="0" w:type="dxa"/>
              <w:left w:w="85" w:type="dxa"/>
              <w:bottom w:w="0" w:type="dxa"/>
              <w:right w:w="85" w:type="dxa"/>
            </w:tcMar>
          </w:tcPr>
          <w:p w14:paraId="437346E4" w14:textId="77777777" w:rsidR="00EB5913" w:rsidRPr="006623B9" w:rsidRDefault="00EB5913" w:rsidP="00F16E23">
            <w:pPr>
              <w:pStyle w:val="TableText"/>
              <w:keepNext/>
              <w:spacing w:before="40" w:after="40"/>
            </w:pPr>
            <w:r w:rsidRPr="006623B9">
              <w:t>36.135</w:t>
            </w:r>
          </w:p>
        </w:tc>
        <w:tc>
          <w:tcPr>
            <w:tcW w:w="1701" w:type="dxa"/>
            <w:shd w:val="clear" w:color="auto" w:fill="FFFFFF"/>
            <w:tcMar>
              <w:top w:w="0" w:type="dxa"/>
              <w:left w:w="85" w:type="dxa"/>
              <w:bottom w:w="0" w:type="dxa"/>
              <w:right w:w="85" w:type="dxa"/>
            </w:tcMar>
          </w:tcPr>
          <w:p w14:paraId="38737F2E" w14:textId="77777777" w:rsidR="00EB5913" w:rsidRPr="006623B9" w:rsidRDefault="00EB5913" w:rsidP="00F16E23">
            <w:pPr>
              <w:pStyle w:val="TableText"/>
              <w:keepNext/>
              <w:spacing w:before="40" w:after="40"/>
            </w:pPr>
            <w:r w:rsidRPr="006623B9">
              <w:t>New Zealand specific</w:t>
            </w:r>
          </w:p>
        </w:tc>
        <w:tc>
          <w:tcPr>
            <w:tcW w:w="1831" w:type="dxa"/>
            <w:shd w:val="clear" w:color="auto" w:fill="FFFFFF"/>
            <w:tcMar>
              <w:top w:w="0" w:type="dxa"/>
              <w:left w:w="85" w:type="dxa"/>
              <w:bottom w:w="0" w:type="dxa"/>
              <w:right w:w="85" w:type="dxa"/>
            </w:tcMar>
          </w:tcPr>
          <w:p w14:paraId="41E2E632" w14:textId="77777777" w:rsidR="00EB5913" w:rsidRPr="006623B9" w:rsidRDefault="00EB5913" w:rsidP="00F16E23">
            <w:pPr>
              <w:pStyle w:val="TableText"/>
              <w:keepNext/>
              <w:spacing w:before="40" w:after="40"/>
            </w:pPr>
            <w:r w:rsidRPr="006623B9">
              <w:t>Beca Infrastructure Ltd (unpublished)</w:t>
            </w:r>
          </w:p>
        </w:tc>
      </w:tr>
      <w:tr w:rsidR="00EB5913" w:rsidRPr="006623B9" w14:paraId="4B852897" w14:textId="77777777" w:rsidTr="00F16E23">
        <w:tc>
          <w:tcPr>
            <w:tcW w:w="4253" w:type="dxa"/>
            <w:shd w:val="clear" w:color="auto" w:fill="FFFFFF"/>
            <w:tcMar>
              <w:top w:w="0" w:type="dxa"/>
              <w:left w:w="85" w:type="dxa"/>
              <w:bottom w:w="0" w:type="dxa"/>
              <w:right w:w="85" w:type="dxa"/>
            </w:tcMar>
          </w:tcPr>
          <w:p w14:paraId="4FBD62CD" w14:textId="77777777" w:rsidR="00EB5913" w:rsidRPr="006623B9" w:rsidRDefault="00EB5913" w:rsidP="00F16E23">
            <w:pPr>
              <w:pStyle w:val="TableText"/>
              <w:keepNext/>
              <w:spacing w:before="40" w:after="40"/>
            </w:pPr>
            <w:r w:rsidRPr="006623B9">
              <w:t>Fraction of nitrogen in protein</w:t>
            </w:r>
          </w:p>
        </w:tc>
        <w:tc>
          <w:tcPr>
            <w:tcW w:w="709" w:type="dxa"/>
            <w:shd w:val="clear" w:color="auto" w:fill="FFFFFF"/>
            <w:tcMar>
              <w:top w:w="0" w:type="dxa"/>
              <w:left w:w="85" w:type="dxa"/>
              <w:bottom w:w="0" w:type="dxa"/>
              <w:right w:w="85" w:type="dxa"/>
            </w:tcMar>
          </w:tcPr>
          <w:p w14:paraId="2F8437ED" w14:textId="77777777" w:rsidR="00EB5913" w:rsidRPr="006623B9" w:rsidRDefault="00EB5913" w:rsidP="00F16E23">
            <w:pPr>
              <w:pStyle w:val="TableText"/>
              <w:keepNext/>
              <w:spacing w:before="40" w:after="40"/>
            </w:pPr>
            <w:r w:rsidRPr="006623B9">
              <w:t>0.16</w:t>
            </w:r>
          </w:p>
        </w:tc>
        <w:tc>
          <w:tcPr>
            <w:tcW w:w="1701" w:type="dxa"/>
            <w:shd w:val="clear" w:color="auto" w:fill="FFFFFF"/>
            <w:tcMar>
              <w:top w:w="0" w:type="dxa"/>
              <w:left w:w="85" w:type="dxa"/>
              <w:bottom w:w="0" w:type="dxa"/>
              <w:right w:w="85" w:type="dxa"/>
            </w:tcMar>
          </w:tcPr>
          <w:p w14:paraId="7E6256AF" w14:textId="77777777" w:rsidR="00EB5913" w:rsidRPr="006623B9" w:rsidRDefault="00EB5913" w:rsidP="00F16E23">
            <w:pPr>
              <w:pStyle w:val="TableText"/>
              <w:keepNext/>
              <w:spacing w:before="40" w:after="40"/>
            </w:pPr>
            <w:r w:rsidRPr="006623B9">
              <w:t>IPCC default</w:t>
            </w:r>
          </w:p>
        </w:tc>
        <w:tc>
          <w:tcPr>
            <w:tcW w:w="1831" w:type="dxa"/>
            <w:shd w:val="clear" w:color="auto" w:fill="FFFFFF"/>
            <w:tcMar>
              <w:top w:w="0" w:type="dxa"/>
              <w:left w:w="85" w:type="dxa"/>
              <w:bottom w:w="0" w:type="dxa"/>
              <w:right w:w="85" w:type="dxa"/>
            </w:tcMar>
          </w:tcPr>
          <w:p w14:paraId="1DA484BE" w14:textId="77777777" w:rsidR="00EB5913" w:rsidRPr="006623B9" w:rsidRDefault="00EB5913" w:rsidP="00F16E23">
            <w:pPr>
              <w:pStyle w:val="TableText"/>
              <w:keepNext/>
              <w:spacing w:before="40" w:after="40"/>
            </w:pPr>
            <w:r w:rsidRPr="006623B9">
              <w:t>IPCC (2006a)</w:t>
            </w:r>
          </w:p>
        </w:tc>
      </w:tr>
      <w:tr w:rsidR="00EB5913" w:rsidRPr="006623B9" w14:paraId="2D9D457A" w14:textId="77777777" w:rsidTr="00F16E23">
        <w:tc>
          <w:tcPr>
            <w:tcW w:w="4253" w:type="dxa"/>
            <w:shd w:val="clear" w:color="auto" w:fill="FFFFFF"/>
            <w:tcMar>
              <w:top w:w="0" w:type="dxa"/>
              <w:left w:w="85" w:type="dxa"/>
              <w:bottom w:w="0" w:type="dxa"/>
              <w:right w:w="85" w:type="dxa"/>
            </w:tcMar>
          </w:tcPr>
          <w:p w14:paraId="4E731234" w14:textId="77777777" w:rsidR="00EB5913" w:rsidRPr="006623B9" w:rsidRDefault="00EB5913" w:rsidP="00F16E23">
            <w:pPr>
              <w:pStyle w:val="TableText"/>
              <w:keepNext/>
              <w:spacing w:before="40" w:after="40"/>
            </w:pPr>
            <w:r w:rsidRPr="006623B9">
              <w:t>Fraction of non –consumed protein</w:t>
            </w:r>
          </w:p>
        </w:tc>
        <w:tc>
          <w:tcPr>
            <w:tcW w:w="709" w:type="dxa"/>
            <w:shd w:val="clear" w:color="auto" w:fill="FFFFFF"/>
            <w:tcMar>
              <w:top w:w="0" w:type="dxa"/>
              <w:left w:w="85" w:type="dxa"/>
              <w:bottom w:w="0" w:type="dxa"/>
              <w:right w:w="85" w:type="dxa"/>
            </w:tcMar>
          </w:tcPr>
          <w:p w14:paraId="2F8E3D91" w14:textId="77777777" w:rsidR="00EB5913" w:rsidRPr="006623B9" w:rsidRDefault="00EB5913" w:rsidP="00F16E23">
            <w:pPr>
              <w:pStyle w:val="TableText"/>
              <w:keepNext/>
              <w:spacing w:before="40" w:after="40"/>
            </w:pPr>
            <w:r w:rsidRPr="006623B9">
              <w:t>1.4</w:t>
            </w:r>
          </w:p>
        </w:tc>
        <w:tc>
          <w:tcPr>
            <w:tcW w:w="1701" w:type="dxa"/>
            <w:shd w:val="clear" w:color="auto" w:fill="FFFFFF"/>
            <w:tcMar>
              <w:top w:w="0" w:type="dxa"/>
              <w:left w:w="85" w:type="dxa"/>
              <w:bottom w:w="0" w:type="dxa"/>
              <w:right w:w="85" w:type="dxa"/>
            </w:tcMar>
          </w:tcPr>
          <w:p w14:paraId="7EDCB3FF" w14:textId="77777777" w:rsidR="00EB5913" w:rsidRPr="006623B9" w:rsidRDefault="00EB5913" w:rsidP="00F16E23">
            <w:pPr>
              <w:pStyle w:val="TableText"/>
              <w:keepNext/>
              <w:spacing w:before="40" w:after="40"/>
            </w:pPr>
            <w:r w:rsidRPr="006623B9">
              <w:t>IPCC default</w:t>
            </w:r>
          </w:p>
        </w:tc>
        <w:tc>
          <w:tcPr>
            <w:tcW w:w="1831" w:type="dxa"/>
            <w:shd w:val="clear" w:color="auto" w:fill="FFFFFF"/>
            <w:tcMar>
              <w:top w:w="0" w:type="dxa"/>
              <w:left w:w="85" w:type="dxa"/>
              <w:bottom w:w="0" w:type="dxa"/>
              <w:right w:w="85" w:type="dxa"/>
            </w:tcMar>
          </w:tcPr>
          <w:p w14:paraId="73F2330C" w14:textId="77777777" w:rsidR="00EB5913" w:rsidRPr="006623B9" w:rsidRDefault="00EB5913" w:rsidP="00F16E23">
            <w:pPr>
              <w:pStyle w:val="TableText"/>
              <w:keepNext/>
              <w:spacing w:before="40" w:after="40"/>
            </w:pPr>
            <w:r w:rsidRPr="006623B9">
              <w:t>IPCC (2006a)</w:t>
            </w:r>
          </w:p>
        </w:tc>
      </w:tr>
      <w:tr w:rsidR="00EB5913" w:rsidRPr="006623B9" w14:paraId="58CAA625" w14:textId="77777777" w:rsidTr="00F16E23">
        <w:tc>
          <w:tcPr>
            <w:tcW w:w="4253" w:type="dxa"/>
            <w:shd w:val="clear" w:color="auto" w:fill="FFFFFF"/>
            <w:tcMar>
              <w:top w:w="0" w:type="dxa"/>
              <w:left w:w="85" w:type="dxa"/>
              <w:bottom w:w="0" w:type="dxa"/>
              <w:right w:w="85" w:type="dxa"/>
            </w:tcMar>
          </w:tcPr>
          <w:p w14:paraId="057F2560" w14:textId="77777777" w:rsidR="00EB5913" w:rsidRPr="006623B9" w:rsidRDefault="00EB5913" w:rsidP="00F16E23">
            <w:pPr>
              <w:pStyle w:val="TableText"/>
              <w:spacing w:before="40" w:after="40"/>
            </w:pPr>
            <w:r w:rsidRPr="006623B9">
              <w:t>Fraction of industrial and commercial co</w:t>
            </w:r>
            <w:r w:rsidRPr="006623B9">
              <w:rPr>
                <w:rFonts w:ascii="Cambria Math" w:hAnsi="Cambria Math" w:cs="Cambria Math"/>
              </w:rPr>
              <w:t>‑</w:t>
            </w:r>
            <w:r w:rsidRPr="006623B9">
              <w:t>discharged protein</w:t>
            </w:r>
          </w:p>
        </w:tc>
        <w:tc>
          <w:tcPr>
            <w:tcW w:w="709" w:type="dxa"/>
            <w:shd w:val="clear" w:color="auto" w:fill="FFFFFF"/>
            <w:tcMar>
              <w:top w:w="0" w:type="dxa"/>
              <w:left w:w="85" w:type="dxa"/>
              <w:bottom w:w="0" w:type="dxa"/>
              <w:right w:w="85" w:type="dxa"/>
            </w:tcMar>
          </w:tcPr>
          <w:p w14:paraId="79C9955C" w14:textId="77777777" w:rsidR="00EB5913" w:rsidRPr="006623B9" w:rsidRDefault="00EB5913" w:rsidP="00F16E23">
            <w:pPr>
              <w:pStyle w:val="TableText"/>
              <w:spacing w:before="40" w:after="40"/>
            </w:pPr>
            <w:r w:rsidRPr="006623B9">
              <w:t>1.25</w:t>
            </w:r>
          </w:p>
        </w:tc>
        <w:tc>
          <w:tcPr>
            <w:tcW w:w="1701" w:type="dxa"/>
            <w:shd w:val="clear" w:color="auto" w:fill="FFFFFF"/>
            <w:tcMar>
              <w:top w:w="0" w:type="dxa"/>
              <w:left w:w="85" w:type="dxa"/>
              <w:bottom w:w="0" w:type="dxa"/>
              <w:right w:w="85" w:type="dxa"/>
            </w:tcMar>
          </w:tcPr>
          <w:p w14:paraId="4573E12F" w14:textId="77777777" w:rsidR="00EB5913" w:rsidRPr="006623B9" w:rsidRDefault="00EB5913" w:rsidP="00F16E23">
            <w:pPr>
              <w:pStyle w:val="TableText"/>
              <w:spacing w:before="40" w:after="40"/>
            </w:pPr>
            <w:r w:rsidRPr="006623B9">
              <w:t>IPCC default</w:t>
            </w:r>
          </w:p>
        </w:tc>
        <w:tc>
          <w:tcPr>
            <w:tcW w:w="1831" w:type="dxa"/>
            <w:shd w:val="clear" w:color="auto" w:fill="FFFFFF"/>
            <w:tcMar>
              <w:top w:w="0" w:type="dxa"/>
              <w:left w:w="85" w:type="dxa"/>
              <w:bottom w:w="0" w:type="dxa"/>
              <w:right w:w="85" w:type="dxa"/>
            </w:tcMar>
          </w:tcPr>
          <w:p w14:paraId="09929E2C" w14:textId="77777777" w:rsidR="00EB5913" w:rsidRPr="006623B9" w:rsidRDefault="00EB5913" w:rsidP="00F16E23">
            <w:pPr>
              <w:pStyle w:val="TableText"/>
              <w:spacing w:before="40" w:after="40"/>
            </w:pPr>
            <w:r w:rsidRPr="006623B9">
              <w:t>IPCC (2006a)</w:t>
            </w:r>
          </w:p>
        </w:tc>
      </w:tr>
      <w:tr w:rsidR="00EB5913" w:rsidRPr="006623B9" w14:paraId="27C44428" w14:textId="77777777" w:rsidTr="00F16E23">
        <w:tc>
          <w:tcPr>
            <w:tcW w:w="4253" w:type="dxa"/>
            <w:shd w:val="clear" w:color="auto" w:fill="FFFFFF"/>
            <w:tcMar>
              <w:top w:w="0" w:type="dxa"/>
              <w:left w:w="85" w:type="dxa"/>
              <w:bottom w:w="0" w:type="dxa"/>
              <w:right w:w="85" w:type="dxa"/>
            </w:tcMar>
          </w:tcPr>
          <w:p w14:paraId="7154C111" w14:textId="77777777" w:rsidR="00EB5913" w:rsidRPr="006623B9" w:rsidRDefault="00EB5913" w:rsidP="00F16E23">
            <w:pPr>
              <w:pStyle w:val="TableText"/>
              <w:spacing w:before="40" w:after="40"/>
            </w:pPr>
            <w:r w:rsidRPr="006623B9">
              <w:t>Nitrogen removed with sludge (kg)</w:t>
            </w:r>
          </w:p>
        </w:tc>
        <w:tc>
          <w:tcPr>
            <w:tcW w:w="709" w:type="dxa"/>
            <w:shd w:val="clear" w:color="auto" w:fill="FFFFFF"/>
            <w:tcMar>
              <w:top w:w="0" w:type="dxa"/>
              <w:left w:w="85" w:type="dxa"/>
              <w:bottom w:w="0" w:type="dxa"/>
              <w:right w:w="85" w:type="dxa"/>
            </w:tcMar>
          </w:tcPr>
          <w:p w14:paraId="5B7F8B08" w14:textId="77777777" w:rsidR="00EB5913" w:rsidRPr="006623B9" w:rsidRDefault="00EB5913" w:rsidP="00F16E23">
            <w:pPr>
              <w:pStyle w:val="TableText"/>
              <w:spacing w:before="40" w:after="40"/>
            </w:pPr>
            <w:r w:rsidRPr="006623B9">
              <w:t>0</w:t>
            </w:r>
          </w:p>
        </w:tc>
        <w:tc>
          <w:tcPr>
            <w:tcW w:w="1701" w:type="dxa"/>
            <w:shd w:val="clear" w:color="auto" w:fill="FFFFFF"/>
            <w:tcMar>
              <w:top w:w="0" w:type="dxa"/>
              <w:left w:w="85" w:type="dxa"/>
              <w:bottom w:w="0" w:type="dxa"/>
              <w:right w:w="85" w:type="dxa"/>
            </w:tcMar>
          </w:tcPr>
          <w:p w14:paraId="47059470" w14:textId="77777777" w:rsidR="00EB5913" w:rsidRPr="006623B9" w:rsidRDefault="00EB5913" w:rsidP="00F16E23">
            <w:pPr>
              <w:pStyle w:val="TableText"/>
              <w:spacing w:before="40" w:after="40"/>
            </w:pPr>
            <w:r w:rsidRPr="006623B9">
              <w:t>IPCC default</w:t>
            </w:r>
          </w:p>
        </w:tc>
        <w:tc>
          <w:tcPr>
            <w:tcW w:w="1831" w:type="dxa"/>
            <w:shd w:val="clear" w:color="auto" w:fill="FFFFFF"/>
            <w:tcMar>
              <w:top w:w="0" w:type="dxa"/>
              <w:left w:w="85" w:type="dxa"/>
              <w:bottom w:w="0" w:type="dxa"/>
              <w:right w:w="85" w:type="dxa"/>
            </w:tcMar>
          </w:tcPr>
          <w:p w14:paraId="3C1C610F" w14:textId="77777777" w:rsidR="00EB5913" w:rsidRPr="006623B9" w:rsidRDefault="00EB5913" w:rsidP="00F16E23">
            <w:pPr>
              <w:pStyle w:val="TableText"/>
              <w:spacing w:before="40" w:after="40"/>
            </w:pPr>
            <w:r w:rsidRPr="006623B9">
              <w:t>IPCC (2006a)</w:t>
            </w:r>
          </w:p>
        </w:tc>
      </w:tr>
      <w:tr w:rsidR="00EB5913" w:rsidRPr="006623B9" w14:paraId="5D1EF03A" w14:textId="77777777" w:rsidTr="00F16E23">
        <w:tc>
          <w:tcPr>
            <w:tcW w:w="4253" w:type="dxa"/>
            <w:shd w:val="clear" w:color="auto" w:fill="FFFFFF"/>
            <w:tcMar>
              <w:top w:w="0" w:type="dxa"/>
              <w:left w:w="85" w:type="dxa"/>
              <w:bottom w:w="0" w:type="dxa"/>
              <w:right w:w="85" w:type="dxa"/>
            </w:tcMar>
          </w:tcPr>
          <w:p w14:paraId="2F7785DA" w14:textId="77777777" w:rsidR="00EB5913" w:rsidRPr="006623B9" w:rsidRDefault="00EB5913" w:rsidP="00F16E23">
            <w:pPr>
              <w:pStyle w:val="TableText"/>
              <w:spacing w:before="40" w:after="40"/>
            </w:pPr>
            <w:r w:rsidRPr="006623B9">
              <w:t>Emission factor</w:t>
            </w:r>
          </w:p>
        </w:tc>
        <w:tc>
          <w:tcPr>
            <w:tcW w:w="709" w:type="dxa"/>
            <w:shd w:val="clear" w:color="auto" w:fill="FFFFFF"/>
            <w:tcMar>
              <w:top w:w="0" w:type="dxa"/>
              <w:left w:w="85" w:type="dxa"/>
              <w:bottom w:w="0" w:type="dxa"/>
              <w:right w:w="85" w:type="dxa"/>
            </w:tcMar>
          </w:tcPr>
          <w:p w14:paraId="1756D570" w14:textId="77777777" w:rsidR="00EB5913" w:rsidRPr="006623B9" w:rsidRDefault="00EB5913" w:rsidP="00F16E23">
            <w:pPr>
              <w:pStyle w:val="TableText"/>
              <w:spacing w:before="40" w:after="40"/>
            </w:pPr>
            <w:r w:rsidRPr="006623B9">
              <w:t>0.005</w:t>
            </w:r>
          </w:p>
        </w:tc>
        <w:tc>
          <w:tcPr>
            <w:tcW w:w="1701" w:type="dxa"/>
            <w:shd w:val="clear" w:color="auto" w:fill="FFFFFF"/>
            <w:tcMar>
              <w:top w:w="0" w:type="dxa"/>
              <w:left w:w="85" w:type="dxa"/>
              <w:bottom w:w="0" w:type="dxa"/>
              <w:right w:w="85" w:type="dxa"/>
            </w:tcMar>
          </w:tcPr>
          <w:p w14:paraId="7946E9F9" w14:textId="77777777" w:rsidR="00EB5913" w:rsidRPr="006623B9" w:rsidRDefault="00EB5913" w:rsidP="00F16E23">
            <w:pPr>
              <w:pStyle w:val="TableText"/>
              <w:spacing w:before="40" w:after="40"/>
            </w:pPr>
            <w:r w:rsidRPr="006623B9">
              <w:t>IPCC default</w:t>
            </w:r>
          </w:p>
        </w:tc>
        <w:tc>
          <w:tcPr>
            <w:tcW w:w="1831" w:type="dxa"/>
            <w:shd w:val="clear" w:color="auto" w:fill="FFFFFF"/>
            <w:tcMar>
              <w:top w:w="0" w:type="dxa"/>
              <w:left w:w="85" w:type="dxa"/>
              <w:bottom w:w="0" w:type="dxa"/>
              <w:right w:w="85" w:type="dxa"/>
            </w:tcMar>
          </w:tcPr>
          <w:p w14:paraId="308AEFD1" w14:textId="77777777" w:rsidR="00EB5913" w:rsidRPr="006623B9" w:rsidRDefault="00EB5913" w:rsidP="00F16E23">
            <w:pPr>
              <w:pStyle w:val="TableText"/>
              <w:spacing w:before="40" w:after="40"/>
            </w:pPr>
            <w:r w:rsidRPr="006623B9">
              <w:t>IPCC (2006a)</w:t>
            </w:r>
          </w:p>
        </w:tc>
      </w:tr>
      <w:tr w:rsidR="00EB5913" w:rsidRPr="006623B9" w14:paraId="65DF0C9B" w14:textId="77777777" w:rsidTr="00F16E23">
        <w:tc>
          <w:tcPr>
            <w:tcW w:w="4253" w:type="dxa"/>
            <w:shd w:val="clear" w:color="auto" w:fill="FFFFFF"/>
            <w:tcMar>
              <w:top w:w="0" w:type="dxa"/>
              <w:left w:w="85" w:type="dxa"/>
              <w:bottom w:w="0" w:type="dxa"/>
              <w:right w:w="85" w:type="dxa"/>
            </w:tcMar>
          </w:tcPr>
          <w:p w14:paraId="06F2CFF8" w14:textId="77777777" w:rsidR="00EB5913" w:rsidRPr="006623B9" w:rsidRDefault="00EB5913" w:rsidP="00F16E23">
            <w:pPr>
              <w:pStyle w:val="TableText"/>
              <w:spacing w:before="40" w:after="40"/>
            </w:pPr>
            <w:r w:rsidRPr="006623B9">
              <w:t>Direct N₂O emissions from wastewater treatment plants</w:t>
            </w:r>
          </w:p>
        </w:tc>
        <w:tc>
          <w:tcPr>
            <w:tcW w:w="709" w:type="dxa"/>
            <w:shd w:val="clear" w:color="auto" w:fill="FFFFFF"/>
            <w:tcMar>
              <w:top w:w="0" w:type="dxa"/>
              <w:left w:w="85" w:type="dxa"/>
              <w:bottom w:w="0" w:type="dxa"/>
              <w:right w:w="85" w:type="dxa"/>
            </w:tcMar>
          </w:tcPr>
          <w:p w14:paraId="2C2109FA" w14:textId="77777777" w:rsidR="00EB5913" w:rsidRPr="006623B9" w:rsidRDefault="00EB5913" w:rsidP="00F16E23">
            <w:pPr>
              <w:pStyle w:val="TableText"/>
              <w:spacing w:before="40" w:after="40"/>
            </w:pPr>
            <w:r w:rsidRPr="006623B9">
              <w:t>0</w:t>
            </w:r>
          </w:p>
        </w:tc>
        <w:tc>
          <w:tcPr>
            <w:tcW w:w="1701" w:type="dxa"/>
            <w:shd w:val="clear" w:color="auto" w:fill="FFFFFF"/>
            <w:tcMar>
              <w:top w:w="0" w:type="dxa"/>
              <w:left w:w="85" w:type="dxa"/>
              <w:bottom w:w="0" w:type="dxa"/>
              <w:right w:w="85" w:type="dxa"/>
            </w:tcMar>
          </w:tcPr>
          <w:p w14:paraId="0A888E18" w14:textId="77777777" w:rsidR="00EB5913" w:rsidRPr="006623B9" w:rsidRDefault="00EB5913" w:rsidP="00F16E23">
            <w:pPr>
              <w:pStyle w:val="TableText"/>
              <w:spacing w:before="40" w:after="40"/>
            </w:pPr>
            <w:r w:rsidRPr="006623B9">
              <w:t>IPCC default</w:t>
            </w:r>
          </w:p>
        </w:tc>
        <w:tc>
          <w:tcPr>
            <w:tcW w:w="1831" w:type="dxa"/>
            <w:shd w:val="clear" w:color="auto" w:fill="FFFFFF"/>
            <w:tcMar>
              <w:top w:w="0" w:type="dxa"/>
              <w:left w:w="85" w:type="dxa"/>
              <w:bottom w:w="0" w:type="dxa"/>
              <w:right w:w="85" w:type="dxa"/>
            </w:tcMar>
          </w:tcPr>
          <w:p w14:paraId="33BFF321" w14:textId="77777777" w:rsidR="00EB5913" w:rsidRPr="006623B9" w:rsidRDefault="00EB5913" w:rsidP="00F16E23">
            <w:pPr>
              <w:pStyle w:val="TableText"/>
              <w:spacing w:before="40" w:after="40"/>
            </w:pPr>
            <w:r w:rsidRPr="006623B9">
              <w:t>IPCC (2006a)</w:t>
            </w:r>
          </w:p>
        </w:tc>
      </w:tr>
    </w:tbl>
    <w:p w14:paraId="38F38B6C" w14:textId="77777777" w:rsidR="00EB5913" w:rsidRPr="006623B9" w:rsidRDefault="00EB5913" w:rsidP="00EB5913">
      <w:pPr>
        <w:pStyle w:val="BodyText"/>
        <w:spacing w:before="240"/>
      </w:pPr>
      <w:r w:rsidRPr="006623B9">
        <w:t>A value of 36.135 kilograms of protein per person per year is used. This figure was the maximum value reported by New Zealand to the Food and Agriculture Organization of the United Nations.</w:t>
      </w:r>
    </w:p>
    <w:p w14:paraId="72388466" w14:textId="77777777" w:rsidR="00EB5913" w:rsidRPr="006623B9" w:rsidRDefault="00EB5913" w:rsidP="00EB5913">
      <w:pPr>
        <w:pStyle w:val="Heading6"/>
      </w:pPr>
      <w:bookmarkStart w:id="3124" w:name="recovery-1"/>
      <w:r w:rsidRPr="006623B9">
        <w:t>Recovery</w:t>
      </w:r>
    </w:p>
    <w:p w14:paraId="7D3C38E8" w14:textId="77777777" w:rsidR="00EB5913" w:rsidRPr="006623B9" w:rsidRDefault="00EB5913" w:rsidP="00EB5913">
      <w:pPr>
        <w:pStyle w:val="BodyText"/>
      </w:pPr>
      <w:r w:rsidRPr="006623B9">
        <w:t>There is no recovery of emissions reported for this source.</w:t>
      </w:r>
    </w:p>
    <w:p w14:paraId="0A60263A" w14:textId="77777777" w:rsidR="00EB5913" w:rsidRPr="006623B9" w:rsidRDefault="00EB5913" w:rsidP="00EB5913">
      <w:pPr>
        <w:pStyle w:val="Heading4"/>
      </w:pPr>
      <w:bookmarkStart w:id="3125" w:name="industrial-wastewater-5.d.2-2"/>
      <w:bookmarkEnd w:id="3115"/>
      <w:bookmarkEnd w:id="3122"/>
      <w:bookmarkEnd w:id="3124"/>
      <w:r w:rsidRPr="006623B9">
        <w:t>Industrial wastewater (5.D.2)</w:t>
      </w:r>
    </w:p>
    <w:p w14:paraId="25A741FC" w14:textId="77777777" w:rsidR="00EB5913" w:rsidRPr="006623B9" w:rsidRDefault="00EB5913" w:rsidP="00EB5913">
      <w:pPr>
        <w:pStyle w:val="Heading5"/>
        <w:spacing w:before="180"/>
      </w:pPr>
      <w:bookmarkStart w:id="3126" w:name="Xb027ccc27a0528429fadaa4c67f957225579be4"/>
      <w:r w:rsidRPr="006623B9">
        <w:t>Methane emissions from industrial wastewater treatment – Meat industry</w:t>
      </w:r>
    </w:p>
    <w:p w14:paraId="1C9B1BE4" w14:textId="77777777" w:rsidR="00EB5913" w:rsidRPr="006623B9" w:rsidRDefault="00EB5913" w:rsidP="00EB5913">
      <w:pPr>
        <w:pStyle w:val="BodyText"/>
      </w:pPr>
      <w:r w:rsidRPr="006623B9">
        <w:t>Table 7.5.8 summarises the parameter values applied for estimating CH</w:t>
      </w:r>
      <w:r w:rsidRPr="006623B9">
        <w:rPr>
          <w:vertAlign w:val="subscript"/>
        </w:rPr>
        <w:t>4</w:t>
      </w:r>
      <w:r w:rsidRPr="006623B9">
        <w:t xml:space="preserve"> emissions from wastewater treatment by the meat industry.</w:t>
      </w:r>
    </w:p>
    <w:p w14:paraId="0589CE47" w14:textId="77777777" w:rsidR="00EB5913" w:rsidRPr="006623B9" w:rsidRDefault="00EB5913" w:rsidP="00EB5913">
      <w:pPr>
        <w:pStyle w:val="Table"/>
      </w:pPr>
      <w:bookmarkStart w:id="3127" w:name="_Toc226669127"/>
      <w:r w:rsidRPr="006623B9">
        <w:t xml:space="preserve">Table 7.5.8 </w:t>
      </w:r>
      <w:r w:rsidRPr="006623B9">
        <w:tab/>
        <w:t>Parameter values applied by New Zealand for estimating methane emissions from wastewater treatment by the meat industry</w:t>
      </w:r>
      <w:bookmarkEnd w:id="312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584"/>
        <w:gridCol w:w="1650"/>
        <w:gridCol w:w="1564"/>
        <w:gridCol w:w="1696"/>
      </w:tblGrid>
      <w:tr w:rsidR="00EB5913" w:rsidRPr="006623B9" w14:paraId="21DDAD0D" w14:textId="77777777" w:rsidTr="00F16E23">
        <w:trPr>
          <w:tblHeader/>
        </w:trPr>
        <w:tc>
          <w:tcPr>
            <w:tcW w:w="3572" w:type="dxa"/>
            <w:shd w:val="clear" w:color="auto" w:fill="1B556B"/>
            <w:tcMar>
              <w:top w:w="0" w:type="dxa"/>
              <w:left w:w="85" w:type="dxa"/>
              <w:bottom w:w="0" w:type="dxa"/>
              <w:right w:w="85" w:type="dxa"/>
            </w:tcMar>
            <w:vAlign w:val="center"/>
          </w:tcPr>
          <w:p w14:paraId="12BB221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1644" w:type="dxa"/>
            <w:shd w:val="clear" w:color="auto" w:fill="1B556B"/>
            <w:tcMar>
              <w:top w:w="0" w:type="dxa"/>
              <w:left w:w="85" w:type="dxa"/>
              <w:bottom w:w="0" w:type="dxa"/>
              <w:right w:w="85" w:type="dxa"/>
            </w:tcMar>
            <w:vAlign w:val="center"/>
          </w:tcPr>
          <w:p w14:paraId="30183502"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1559" w:type="dxa"/>
            <w:shd w:val="clear" w:color="auto" w:fill="1B556B"/>
            <w:tcMar>
              <w:top w:w="0" w:type="dxa"/>
              <w:left w:w="85" w:type="dxa"/>
              <w:bottom w:w="0" w:type="dxa"/>
              <w:right w:w="85" w:type="dxa"/>
            </w:tcMar>
            <w:vAlign w:val="center"/>
          </w:tcPr>
          <w:p w14:paraId="2BB66758"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c>
          <w:tcPr>
            <w:tcW w:w="1690" w:type="dxa"/>
            <w:shd w:val="clear" w:color="auto" w:fill="1B556B"/>
            <w:tcMar>
              <w:top w:w="0" w:type="dxa"/>
              <w:left w:w="85" w:type="dxa"/>
              <w:bottom w:w="0" w:type="dxa"/>
              <w:right w:w="85" w:type="dxa"/>
            </w:tcMar>
            <w:vAlign w:val="center"/>
          </w:tcPr>
          <w:p w14:paraId="0FA757BD"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5A304467" w14:textId="77777777" w:rsidTr="00F16E23">
        <w:tc>
          <w:tcPr>
            <w:tcW w:w="3572" w:type="dxa"/>
            <w:shd w:val="clear" w:color="auto" w:fill="FFFFFF"/>
            <w:tcMar>
              <w:top w:w="0" w:type="dxa"/>
              <w:left w:w="85" w:type="dxa"/>
              <w:bottom w:w="0" w:type="dxa"/>
              <w:right w:w="85" w:type="dxa"/>
            </w:tcMar>
          </w:tcPr>
          <w:p w14:paraId="504498D3" w14:textId="77777777" w:rsidR="00EB5913" w:rsidRPr="006623B9" w:rsidRDefault="00EB5913" w:rsidP="00F16E23">
            <w:pPr>
              <w:pStyle w:val="TableText"/>
              <w:spacing w:before="40" w:after="40"/>
            </w:pPr>
            <w:r w:rsidRPr="006623B9">
              <w:rPr>
                <w:rFonts w:eastAsia="Calibri"/>
              </w:rPr>
              <w:t>Degradable organic component (kg COD/tonne of product)</w:t>
            </w:r>
          </w:p>
        </w:tc>
        <w:tc>
          <w:tcPr>
            <w:tcW w:w="1644" w:type="dxa"/>
            <w:shd w:val="clear" w:color="auto" w:fill="FFFFFF"/>
            <w:tcMar>
              <w:top w:w="0" w:type="dxa"/>
              <w:left w:w="85" w:type="dxa"/>
              <w:bottom w:w="0" w:type="dxa"/>
              <w:right w:w="85" w:type="dxa"/>
            </w:tcMar>
          </w:tcPr>
          <w:p w14:paraId="72A7ACF8" w14:textId="77777777" w:rsidR="00EB5913" w:rsidRPr="006623B9" w:rsidRDefault="00EB5913" w:rsidP="00F16E23">
            <w:pPr>
              <w:pStyle w:val="TableText"/>
              <w:spacing w:before="40" w:after="40"/>
            </w:pPr>
            <w:r w:rsidRPr="006623B9">
              <w:rPr>
                <w:rFonts w:eastAsia="Calibri"/>
              </w:rPr>
              <w:t>50</w:t>
            </w:r>
          </w:p>
        </w:tc>
        <w:tc>
          <w:tcPr>
            <w:tcW w:w="1559" w:type="dxa"/>
            <w:shd w:val="clear" w:color="auto" w:fill="FFFFFF"/>
            <w:tcMar>
              <w:top w:w="0" w:type="dxa"/>
              <w:left w:w="85" w:type="dxa"/>
              <w:bottom w:w="0" w:type="dxa"/>
              <w:right w:w="85" w:type="dxa"/>
            </w:tcMar>
          </w:tcPr>
          <w:p w14:paraId="25A38987"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0DDFB505"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263FA353" w14:textId="77777777" w:rsidTr="00F16E23">
        <w:tc>
          <w:tcPr>
            <w:tcW w:w="3572" w:type="dxa"/>
            <w:shd w:val="clear" w:color="auto" w:fill="FFFFFF"/>
            <w:tcMar>
              <w:top w:w="0" w:type="dxa"/>
              <w:left w:w="85" w:type="dxa"/>
              <w:bottom w:w="0" w:type="dxa"/>
              <w:right w:w="85" w:type="dxa"/>
            </w:tcMar>
          </w:tcPr>
          <w:p w14:paraId="08BCF71E" w14:textId="77777777" w:rsidR="00EB5913" w:rsidRPr="006623B9" w:rsidRDefault="00EB5913" w:rsidP="00F16E23">
            <w:pPr>
              <w:pStyle w:val="TableText"/>
              <w:spacing w:before="40" w:after="40"/>
            </w:pPr>
            <w:r w:rsidRPr="006623B9">
              <w:rPr>
                <w:rFonts w:eastAsia="Calibri"/>
              </w:rPr>
              <w:t>Methane correction factor</w:t>
            </w:r>
          </w:p>
        </w:tc>
        <w:tc>
          <w:tcPr>
            <w:tcW w:w="1644" w:type="dxa"/>
            <w:shd w:val="clear" w:color="auto" w:fill="FFFFFF"/>
            <w:tcMar>
              <w:top w:w="0" w:type="dxa"/>
              <w:left w:w="85" w:type="dxa"/>
              <w:bottom w:w="0" w:type="dxa"/>
              <w:right w:w="85" w:type="dxa"/>
            </w:tcMar>
          </w:tcPr>
          <w:p w14:paraId="5460E941" w14:textId="77777777" w:rsidR="00EB5913" w:rsidRPr="006623B9" w:rsidRDefault="00EB5913" w:rsidP="00F16E23">
            <w:pPr>
              <w:pStyle w:val="TableText"/>
              <w:spacing w:before="40" w:after="40"/>
            </w:pPr>
            <w:r w:rsidRPr="006623B9">
              <w:rPr>
                <w:rFonts w:eastAsia="Calibri"/>
              </w:rPr>
              <w:t>Range of 0–0.55</w:t>
            </w:r>
          </w:p>
        </w:tc>
        <w:tc>
          <w:tcPr>
            <w:tcW w:w="1559" w:type="dxa"/>
            <w:shd w:val="clear" w:color="auto" w:fill="FFFFFF"/>
            <w:tcMar>
              <w:top w:w="0" w:type="dxa"/>
              <w:left w:w="85" w:type="dxa"/>
              <w:bottom w:w="0" w:type="dxa"/>
              <w:right w:w="85" w:type="dxa"/>
            </w:tcMar>
          </w:tcPr>
          <w:p w14:paraId="24E134A9"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6EAE0D43"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38548670" w14:textId="77777777" w:rsidTr="00F16E23">
        <w:tc>
          <w:tcPr>
            <w:tcW w:w="3572" w:type="dxa"/>
            <w:shd w:val="clear" w:color="auto" w:fill="FFFFFF"/>
            <w:tcMar>
              <w:top w:w="0" w:type="dxa"/>
              <w:left w:w="85" w:type="dxa"/>
              <w:bottom w:w="0" w:type="dxa"/>
              <w:right w:w="85" w:type="dxa"/>
            </w:tcMar>
          </w:tcPr>
          <w:p w14:paraId="726974DA" w14:textId="77777777" w:rsidR="00EB5913" w:rsidRPr="006623B9" w:rsidRDefault="00EB5913" w:rsidP="00F16E23">
            <w:pPr>
              <w:pStyle w:val="TableText"/>
              <w:spacing w:before="40" w:after="40"/>
            </w:pPr>
            <w:r w:rsidRPr="006623B9">
              <w:rPr>
                <w:rFonts w:eastAsia="Calibri"/>
              </w:rPr>
              <w:t>Maximum methane-producing capacity (kg CH₄/kg COD)</w:t>
            </w:r>
          </w:p>
        </w:tc>
        <w:tc>
          <w:tcPr>
            <w:tcW w:w="1644" w:type="dxa"/>
            <w:shd w:val="clear" w:color="auto" w:fill="FFFFFF"/>
            <w:tcMar>
              <w:top w:w="0" w:type="dxa"/>
              <w:left w:w="85" w:type="dxa"/>
              <w:bottom w:w="0" w:type="dxa"/>
              <w:right w:w="85" w:type="dxa"/>
            </w:tcMar>
          </w:tcPr>
          <w:p w14:paraId="52B4B6E5" w14:textId="77777777" w:rsidR="00EB5913" w:rsidRPr="006623B9" w:rsidRDefault="00EB5913" w:rsidP="00F16E23">
            <w:pPr>
              <w:pStyle w:val="TableText"/>
              <w:spacing w:before="40" w:after="40"/>
            </w:pPr>
            <w:r w:rsidRPr="006623B9">
              <w:rPr>
                <w:rFonts w:eastAsia="Calibri"/>
              </w:rPr>
              <w:t>0.25</w:t>
            </w:r>
          </w:p>
        </w:tc>
        <w:tc>
          <w:tcPr>
            <w:tcW w:w="1559" w:type="dxa"/>
            <w:shd w:val="clear" w:color="auto" w:fill="FFFFFF"/>
            <w:tcMar>
              <w:top w:w="0" w:type="dxa"/>
              <w:left w:w="85" w:type="dxa"/>
              <w:bottom w:w="0" w:type="dxa"/>
              <w:right w:w="85" w:type="dxa"/>
            </w:tcMar>
          </w:tcPr>
          <w:p w14:paraId="79D95803" w14:textId="77777777" w:rsidR="00EB5913" w:rsidRPr="006623B9" w:rsidRDefault="00EB5913" w:rsidP="00F16E23">
            <w:pPr>
              <w:pStyle w:val="TableText"/>
              <w:spacing w:before="40" w:after="40"/>
            </w:pPr>
            <w:r w:rsidRPr="006623B9">
              <w:rPr>
                <w:rFonts w:eastAsia="Calibri"/>
              </w:rPr>
              <w:t>IPCC default</w:t>
            </w:r>
          </w:p>
        </w:tc>
        <w:tc>
          <w:tcPr>
            <w:tcW w:w="1690" w:type="dxa"/>
            <w:shd w:val="clear" w:color="auto" w:fill="FFFFFF"/>
            <w:tcMar>
              <w:top w:w="0" w:type="dxa"/>
              <w:left w:w="85" w:type="dxa"/>
              <w:bottom w:w="0" w:type="dxa"/>
              <w:right w:w="85" w:type="dxa"/>
            </w:tcMar>
          </w:tcPr>
          <w:p w14:paraId="22126FB7" w14:textId="77777777" w:rsidR="00EB5913" w:rsidRPr="006623B9" w:rsidRDefault="00EB5913" w:rsidP="00F16E23">
            <w:pPr>
              <w:pStyle w:val="TableText"/>
              <w:spacing w:before="40" w:after="40"/>
            </w:pPr>
            <w:r w:rsidRPr="006623B9">
              <w:rPr>
                <w:rFonts w:eastAsia="Calibri"/>
              </w:rPr>
              <w:t>IPCC (2006a)</w:t>
            </w:r>
          </w:p>
        </w:tc>
      </w:tr>
      <w:tr w:rsidR="00EB5913" w:rsidRPr="006623B9" w14:paraId="67584192" w14:textId="77777777" w:rsidTr="00F16E23">
        <w:tc>
          <w:tcPr>
            <w:tcW w:w="3572" w:type="dxa"/>
            <w:shd w:val="clear" w:color="auto" w:fill="FFFFFF"/>
            <w:tcMar>
              <w:top w:w="0" w:type="dxa"/>
              <w:left w:w="85" w:type="dxa"/>
              <w:bottom w:w="0" w:type="dxa"/>
              <w:right w:w="85" w:type="dxa"/>
            </w:tcMar>
          </w:tcPr>
          <w:p w14:paraId="1DB6510E" w14:textId="77777777" w:rsidR="00EB5913" w:rsidRPr="006623B9" w:rsidRDefault="00EB5913" w:rsidP="00F16E23">
            <w:pPr>
              <w:pStyle w:val="TableText"/>
              <w:spacing w:before="40" w:after="40"/>
            </w:pPr>
            <w:r w:rsidRPr="006623B9">
              <w:rPr>
                <w:rFonts w:eastAsia="Calibri"/>
              </w:rPr>
              <w:t>Overall emission factor</w:t>
            </w:r>
          </w:p>
        </w:tc>
        <w:tc>
          <w:tcPr>
            <w:tcW w:w="1644" w:type="dxa"/>
            <w:shd w:val="clear" w:color="auto" w:fill="FFFFFF"/>
            <w:tcMar>
              <w:top w:w="0" w:type="dxa"/>
              <w:left w:w="85" w:type="dxa"/>
              <w:bottom w:w="0" w:type="dxa"/>
              <w:right w:w="85" w:type="dxa"/>
            </w:tcMar>
          </w:tcPr>
          <w:p w14:paraId="76503BCE" w14:textId="77777777" w:rsidR="00EB5913" w:rsidRPr="006623B9" w:rsidRDefault="00EB5913" w:rsidP="00F16E23">
            <w:pPr>
              <w:pStyle w:val="TableText"/>
              <w:spacing w:before="40" w:after="40"/>
            </w:pPr>
            <w:r w:rsidRPr="006623B9">
              <w:rPr>
                <w:rFonts w:eastAsia="Calibri"/>
              </w:rPr>
              <w:t>Range of 1.719–1.788</w:t>
            </w:r>
          </w:p>
        </w:tc>
        <w:tc>
          <w:tcPr>
            <w:tcW w:w="1559" w:type="dxa"/>
            <w:shd w:val="clear" w:color="auto" w:fill="FFFFFF"/>
            <w:tcMar>
              <w:top w:w="0" w:type="dxa"/>
              <w:left w:w="85" w:type="dxa"/>
              <w:bottom w:w="0" w:type="dxa"/>
              <w:right w:w="85" w:type="dxa"/>
            </w:tcMar>
          </w:tcPr>
          <w:p w14:paraId="7F13571A"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240177A9" w14:textId="77777777" w:rsidR="00EB5913" w:rsidRPr="006623B9" w:rsidRDefault="00EB5913" w:rsidP="00F16E23">
            <w:pPr>
              <w:pStyle w:val="TableText"/>
              <w:spacing w:before="40" w:after="40"/>
            </w:pPr>
            <w:r w:rsidRPr="006623B9">
              <w:rPr>
                <w:rFonts w:eastAsia="Calibri"/>
              </w:rPr>
              <w:t>Derived from Cardno (unpublished)</w:t>
            </w:r>
          </w:p>
        </w:tc>
      </w:tr>
    </w:tbl>
    <w:p w14:paraId="3FD85A34" w14:textId="77777777" w:rsidR="00EB5913" w:rsidRPr="006623B9" w:rsidRDefault="00EB5913" w:rsidP="00EB5913">
      <w:pPr>
        <w:pStyle w:val="Noteundertable"/>
      </w:pPr>
      <w:r w:rsidRPr="006623B9">
        <w:rPr>
          <w:b/>
          <w:bCs/>
        </w:rPr>
        <w:t>Note:</w:t>
      </w:r>
      <w:r w:rsidRPr="006623B9">
        <w:t xml:space="preserve"> </w:t>
      </w:r>
      <w:r w:rsidRPr="006623B9">
        <w:tab/>
        <w:t>COD = chemical oxygen demand.</w:t>
      </w:r>
    </w:p>
    <w:p w14:paraId="6A094066" w14:textId="77777777" w:rsidR="00EB5913" w:rsidRPr="006623B9" w:rsidRDefault="00EB5913" w:rsidP="00EB5913">
      <w:pPr>
        <w:pStyle w:val="Heading6"/>
      </w:pPr>
      <w:bookmarkStart w:id="3128" w:name="recovery-2"/>
      <w:r w:rsidRPr="006623B9">
        <w:t>Recovery</w:t>
      </w:r>
    </w:p>
    <w:p w14:paraId="7FF87C24" w14:textId="77777777" w:rsidR="00EB5913" w:rsidRPr="006623B9" w:rsidRDefault="00EB5913" w:rsidP="00EB5913">
      <w:pPr>
        <w:pStyle w:val="BodyText"/>
      </w:pPr>
      <w:r w:rsidRPr="006623B9">
        <w:t>There is no recovery of emissions reported for this source.</w:t>
      </w:r>
    </w:p>
    <w:p w14:paraId="7ABF7147" w14:textId="77777777" w:rsidR="00EB5913" w:rsidRPr="006623B9" w:rsidRDefault="00EB5913" w:rsidP="00EB5913">
      <w:pPr>
        <w:pStyle w:val="Heading5"/>
      </w:pPr>
      <w:bookmarkStart w:id="3129" w:name="Xb0f87ab327284949166e160373d79028699348d"/>
      <w:bookmarkEnd w:id="3126"/>
      <w:bookmarkEnd w:id="3128"/>
      <w:r w:rsidRPr="006623B9">
        <w:t>Methane emissions from industrial wastewater treatment – Pulp and paper industry</w:t>
      </w:r>
    </w:p>
    <w:p w14:paraId="1D69A8E8" w14:textId="77777777" w:rsidR="00EB5913" w:rsidRPr="006623B9" w:rsidRDefault="00EB5913" w:rsidP="00EB5913">
      <w:pPr>
        <w:pStyle w:val="BodyText"/>
      </w:pPr>
      <w:r w:rsidRPr="006623B9">
        <w:t>Table 7.5.9 summarises the parameter values applied for estimating CH</w:t>
      </w:r>
      <w:r w:rsidRPr="006623B9">
        <w:rPr>
          <w:vertAlign w:val="subscript"/>
        </w:rPr>
        <w:t>4</w:t>
      </w:r>
      <w:r w:rsidRPr="006623B9">
        <w:t xml:space="preserve"> emissions from wastewater treatment by the pulp and paper industry.</w:t>
      </w:r>
    </w:p>
    <w:p w14:paraId="79818659" w14:textId="77777777" w:rsidR="00EB5913" w:rsidRPr="006623B9" w:rsidRDefault="00EB5913" w:rsidP="00EB5913">
      <w:pPr>
        <w:pStyle w:val="Table"/>
      </w:pPr>
      <w:bookmarkStart w:id="3130" w:name="_Toc226669128"/>
      <w:r w:rsidRPr="006623B9">
        <w:t xml:space="preserve">Table 7.5.9 </w:t>
      </w:r>
      <w:r w:rsidRPr="006623B9">
        <w:tab/>
        <w:t>Parameter values applied by New Zealand for estimating methane emissions for wastewater treatment by the pulp and paper industry</w:t>
      </w:r>
      <w:bookmarkEnd w:id="313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828"/>
        <w:gridCol w:w="1417"/>
        <w:gridCol w:w="1559"/>
        <w:gridCol w:w="1690"/>
      </w:tblGrid>
      <w:tr w:rsidR="00EB5913" w:rsidRPr="006623B9" w14:paraId="63F3BDAB" w14:textId="77777777" w:rsidTr="00F16E23">
        <w:trPr>
          <w:tblHeader/>
        </w:trPr>
        <w:tc>
          <w:tcPr>
            <w:tcW w:w="3828" w:type="dxa"/>
            <w:shd w:val="clear" w:color="auto" w:fill="1B556B"/>
            <w:tcMar>
              <w:top w:w="0" w:type="dxa"/>
              <w:left w:w="85" w:type="dxa"/>
              <w:bottom w:w="0" w:type="dxa"/>
              <w:right w:w="85" w:type="dxa"/>
            </w:tcMar>
            <w:vAlign w:val="center"/>
          </w:tcPr>
          <w:p w14:paraId="790BFBC4"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Parameter</w:t>
            </w:r>
          </w:p>
        </w:tc>
        <w:tc>
          <w:tcPr>
            <w:tcW w:w="1417" w:type="dxa"/>
            <w:shd w:val="clear" w:color="auto" w:fill="1B556B"/>
            <w:tcMar>
              <w:top w:w="0" w:type="dxa"/>
              <w:left w:w="85" w:type="dxa"/>
              <w:bottom w:w="0" w:type="dxa"/>
              <w:right w:w="85" w:type="dxa"/>
            </w:tcMar>
            <w:vAlign w:val="center"/>
          </w:tcPr>
          <w:p w14:paraId="5BC67CB9"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Value</w:t>
            </w:r>
          </w:p>
        </w:tc>
        <w:tc>
          <w:tcPr>
            <w:tcW w:w="1559" w:type="dxa"/>
            <w:shd w:val="clear" w:color="auto" w:fill="1B556B"/>
            <w:tcMar>
              <w:top w:w="0" w:type="dxa"/>
              <w:left w:w="85" w:type="dxa"/>
              <w:bottom w:w="0" w:type="dxa"/>
              <w:right w:w="85" w:type="dxa"/>
            </w:tcMar>
            <w:vAlign w:val="center"/>
          </w:tcPr>
          <w:p w14:paraId="68AB9C0C"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Source</w:t>
            </w:r>
          </w:p>
        </w:tc>
        <w:tc>
          <w:tcPr>
            <w:tcW w:w="1690" w:type="dxa"/>
            <w:shd w:val="clear" w:color="auto" w:fill="1B556B"/>
            <w:tcMar>
              <w:top w:w="0" w:type="dxa"/>
              <w:left w:w="85" w:type="dxa"/>
              <w:bottom w:w="0" w:type="dxa"/>
              <w:right w:w="85" w:type="dxa"/>
            </w:tcMar>
            <w:vAlign w:val="center"/>
          </w:tcPr>
          <w:p w14:paraId="1A8E6635"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1DA5E878" w14:textId="77777777" w:rsidTr="00F16E23">
        <w:tc>
          <w:tcPr>
            <w:tcW w:w="3828" w:type="dxa"/>
            <w:shd w:val="clear" w:color="auto" w:fill="FFFFFF"/>
            <w:tcMar>
              <w:top w:w="0" w:type="dxa"/>
              <w:left w:w="85" w:type="dxa"/>
              <w:bottom w:w="0" w:type="dxa"/>
              <w:right w:w="85" w:type="dxa"/>
            </w:tcMar>
          </w:tcPr>
          <w:p w14:paraId="18C02EBA" w14:textId="77777777" w:rsidR="00EB5913" w:rsidRPr="006623B9" w:rsidRDefault="00EB5913" w:rsidP="00F16E23">
            <w:pPr>
              <w:pStyle w:val="TableText"/>
              <w:keepNext/>
              <w:spacing w:before="40" w:after="40"/>
            </w:pPr>
            <w:r w:rsidRPr="006623B9">
              <w:rPr>
                <w:rFonts w:eastAsia="Calibri"/>
              </w:rPr>
              <w:t>Degradable organic component (kg COD/tonne of product)</w:t>
            </w:r>
          </w:p>
        </w:tc>
        <w:tc>
          <w:tcPr>
            <w:tcW w:w="1417" w:type="dxa"/>
            <w:shd w:val="clear" w:color="auto" w:fill="FFFFFF"/>
            <w:tcMar>
              <w:top w:w="0" w:type="dxa"/>
              <w:left w:w="85" w:type="dxa"/>
              <w:bottom w:w="0" w:type="dxa"/>
              <w:right w:w="85" w:type="dxa"/>
            </w:tcMar>
          </w:tcPr>
          <w:p w14:paraId="1FCD54BD" w14:textId="77777777" w:rsidR="00EB5913" w:rsidRPr="006623B9" w:rsidRDefault="00EB5913" w:rsidP="00F16E23">
            <w:pPr>
              <w:pStyle w:val="TableText"/>
              <w:keepNext/>
              <w:spacing w:before="40" w:after="40"/>
            </w:pPr>
            <w:r w:rsidRPr="006623B9">
              <w:rPr>
                <w:rFonts w:eastAsia="Calibri"/>
              </w:rPr>
              <w:t>36</w:t>
            </w:r>
          </w:p>
        </w:tc>
        <w:tc>
          <w:tcPr>
            <w:tcW w:w="1559" w:type="dxa"/>
            <w:shd w:val="clear" w:color="auto" w:fill="FFFFFF"/>
            <w:tcMar>
              <w:top w:w="0" w:type="dxa"/>
              <w:left w:w="85" w:type="dxa"/>
              <w:bottom w:w="0" w:type="dxa"/>
              <w:right w:w="85" w:type="dxa"/>
            </w:tcMar>
          </w:tcPr>
          <w:p w14:paraId="23388EDC" w14:textId="77777777" w:rsidR="00EB5913" w:rsidRPr="006623B9" w:rsidRDefault="00EB5913" w:rsidP="00F16E23">
            <w:pPr>
              <w:pStyle w:val="TableText"/>
              <w:keepN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4BCD4A3D" w14:textId="77777777" w:rsidR="00EB5913" w:rsidRPr="006623B9" w:rsidRDefault="00EB5913" w:rsidP="00F16E23">
            <w:pPr>
              <w:pStyle w:val="TableText"/>
              <w:keepNext/>
              <w:spacing w:before="40" w:after="40"/>
            </w:pPr>
            <w:r w:rsidRPr="006623B9">
              <w:rPr>
                <w:rFonts w:eastAsia="Calibri"/>
              </w:rPr>
              <w:t>Cardno (unpublished)</w:t>
            </w:r>
          </w:p>
        </w:tc>
      </w:tr>
      <w:tr w:rsidR="00EB5913" w:rsidRPr="006623B9" w14:paraId="5747A9A5" w14:textId="77777777" w:rsidTr="00F16E23">
        <w:tc>
          <w:tcPr>
            <w:tcW w:w="3828" w:type="dxa"/>
            <w:shd w:val="clear" w:color="auto" w:fill="FFFFFF"/>
            <w:tcMar>
              <w:top w:w="0" w:type="dxa"/>
              <w:left w:w="85" w:type="dxa"/>
              <w:bottom w:w="0" w:type="dxa"/>
              <w:right w:w="85" w:type="dxa"/>
            </w:tcMar>
          </w:tcPr>
          <w:p w14:paraId="00D40310" w14:textId="77777777" w:rsidR="00EB5913" w:rsidRPr="006623B9" w:rsidRDefault="00EB5913" w:rsidP="00F16E23">
            <w:pPr>
              <w:pStyle w:val="TableText"/>
              <w:spacing w:before="40" w:after="40"/>
            </w:pPr>
            <w:r w:rsidRPr="006623B9">
              <w:rPr>
                <w:rFonts w:eastAsia="Calibri"/>
              </w:rPr>
              <w:t>Methane correction factor</w:t>
            </w:r>
          </w:p>
        </w:tc>
        <w:tc>
          <w:tcPr>
            <w:tcW w:w="1417" w:type="dxa"/>
            <w:shd w:val="clear" w:color="auto" w:fill="FFFFFF"/>
            <w:tcMar>
              <w:top w:w="0" w:type="dxa"/>
              <w:left w:w="85" w:type="dxa"/>
              <w:bottom w:w="0" w:type="dxa"/>
              <w:right w:w="85" w:type="dxa"/>
            </w:tcMar>
          </w:tcPr>
          <w:p w14:paraId="60862A84" w14:textId="77777777" w:rsidR="00EB5913" w:rsidRPr="006623B9" w:rsidRDefault="00EB5913" w:rsidP="00F16E23">
            <w:pPr>
              <w:pStyle w:val="TableText"/>
              <w:spacing w:before="40" w:after="40"/>
            </w:pPr>
            <w:r w:rsidRPr="006623B9">
              <w:rPr>
                <w:rFonts w:eastAsia="Calibri"/>
              </w:rPr>
              <w:t>Range of 0–0.8</w:t>
            </w:r>
          </w:p>
        </w:tc>
        <w:tc>
          <w:tcPr>
            <w:tcW w:w="1559" w:type="dxa"/>
            <w:shd w:val="clear" w:color="auto" w:fill="FFFFFF"/>
            <w:tcMar>
              <w:top w:w="0" w:type="dxa"/>
              <w:left w:w="85" w:type="dxa"/>
              <w:bottom w:w="0" w:type="dxa"/>
              <w:right w:w="85" w:type="dxa"/>
            </w:tcMar>
          </w:tcPr>
          <w:p w14:paraId="161A0284"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7EDF4ADB"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32EA1FF2" w14:textId="77777777" w:rsidTr="00F16E23">
        <w:tc>
          <w:tcPr>
            <w:tcW w:w="3828" w:type="dxa"/>
            <w:shd w:val="clear" w:color="auto" w:fill="FFFFFF"/>
            <w:tcMar>
              <w:top w:w="0" w:type="dxa"/>
              <w:left w:w="85" w:type="dxa"/>
              <w:bottom w:w="0" w:type="dxa"/>
              <w:right w:w="85" w:type="dxa"/>
            </w:tcMar>
          </w:tcPr>
          <w:p w14:paraId="734402F8" w14:textId="77777777" w:rsidR="00EB5913" w:rsidRPr="006623B9" w:rsidRDefault="00EB5913" w:rsidP="00F16E23">
            <w:pPr>
              <w:pStyle w:val="TableText"/>
              <w:spacing w:before="40" w:after="40"/>
            </w:pPr>
            <w:r w:rsidRPr="006623B9">
              <w:rPr>
                <w:rFonts w:eastAsia="Calibri"/>
              </w:rPr>
              <w:t>Maximum methane-producing capacity (kg CH₄/kg COD)</w:t>
            </w:r>
          </w:p>
        </w:tc>
        <w:tc>
          <w:tcPr>
            <w:tcW w:w="1417" w:type="dxa"/>
            <w:shd w:val="clear" w:color="auto" w:fill="FFFFFF"/>
            <w:tcMar>
              <w:top w:w="0" w:type="dxa"/>
              <w:left w:w="85" w:type="dxa"/>
              <w:bottom w:w="0" w:type="dxa"/>
              <w:right w:w="85" w:type="dxa"/>
            </w:tcMar>
          </w:tcPr>
          <w:p w14:paraId="1332D0BE" w14:textId="77777777" w:rsidR="00EB5913" w:rsidRPr="006623B9" w:rsidRDefault="00EB5913" w:rsidP="00F16E23">
            <w:pPr>
              <w:pStyle w:val="TableText"/>
              <w:spacing w:before="40" w:after="40"/>
            </w:pPr>
            <w:r w:rsidRPr="006623B9">
              <w:rPr>
                <w:rFonts w:eastAsia="Calibri"/>
              </w:rPr>
              <w:t>0.25</w:t>
            </w:r>
          </w:p>
        </w:tc>
        <w:tc>
          <w:tcPr>
            <w:tcW w:w="1559" w:type="dxa"/>
            <w:shd w:val="clear" w:color="auto" w:fill="FFFFFF"/>
            <w:tcMar>
              <w:top w:w="0" w:type="dxa"/>
              <w:left w:w="85" w:type="dxa"/>
              <w:bottom w:w="0" w:type="dxa"/>
              <w:right w:w="85" w:type="dxa"/>
            </w:tcMar>
          </w:tcPr>
          <w:p w14:paraId="1F7ECB30" w14:textId="77777777" w:rsidR="00EB5913" w:rsidRPr="006623B9" w:rsidRDefault="00EB5913" w:rsidP="00F16E23">
            <w:pPr>
              <w:pStyle w:val="TableText"/>
              <w:spacing w:before="40" w:after="40"/>
            </w:pPr>
            <w:r w:rsidRPr="006623B9">
              <w:rPr>
                <w:rFonts w:eastAsia="Calibri"/>
              </w:rPr>
              <w:t>IPCC default</w:t>
            </w:r>
          </w:p>
        </w:tc>
        <w:tc>
          <w:tcPr>
            <w:tcW w:w="1690" w:type="dxa"/>
            <w:shd w:val="clear" w:color="auto" w:fill="FFFFFF"/>
            <w:tcMar>
              <w:top w:w="0" w:type="dxa"/>
              <w:left w:w="85" w:type="dxa"/>
              <w:bottom w:w="0" w:type="dxa"/>
              <w:right w:w="85" w:type="dxa"/>
            </w:tcMar>
          </w:tcPr>
          <w:p w14:paraId="5E45B2D3" w14:textId="77777777" w:rsidR="00EB5913" w:rsidRPr="006623B9" w:rsidRDefault="00EB5913" w:rsidP="00F16E23">
            <w:pPr>
              <w:pStyle w:val="TableText"/>
              <w:spacing w:before="40" w:after="40"/>
            </w:pPr>
            <w:r w:rsidRPr="006623B9">
              <w:rPr>
                <w:rFonts w:eastAsia="Calibri"/>
              </w:rPr>
              <w:t>IPCC (2006a)</w:t>
            </w:r>
          </w:p>
        </w:tc>
      </w:tr>
      <w:tr w:rsidR="00EB5913" w:rsidRPr="006623B9" w14:paraId="438188D6" w14:textId="77777777" w:rsidTr="00F16E23">
        <w:tc>
          <w:tcPr>
            <w:tcW w:w="3828" w:type="dxa"/>
            <w:shd w:val="clear" w:color="auto" w:fill="FFFFFF"/>
            <w:tcMar>
              <w:top w:w="0" w:type="dxa"/>
              <w:left w:w="85" w:type="dxa"/>
              <w:bottom w:w="0" w:type="dxa"/>
              <w:right w:w="85" w:type="dxa"/>
            </w:tcMar>
          </w:tcPr>
          <w:p w14:paraId="5AD851D7" w14:textId="77777777" w:rsidR="00EB5913" w:rsidRPr="006623B9" w:rsidRDefault="00EB5913" w:rsidP="00F16E23">
            <w:pPr>
              <w:pStyle w:val="TableText"/>
              <w:spacing w:before="40" w:after="40"/>
            </w:pPr>
            <w:r w:rsidRPr="006623B9">
              <w:rPr>
                <w:rFonts w:eastAsia="Calibri"/>
              </w:rPr>
              <w:t>Overall emission factor</w:t>
            </w:r>
          </w:p>
        </w:tc>
        <w:tc>
          <w:tcPr>
            <w:tcW w:w="1417" w:type="dxa"/>
            <w:shd w:val="clear" w:color="auto" w:fill="FFFFFF"/>
            <w:tcMar>
              <w:top w:w="0" w:type="dxa"/>
              <w:left w:w="85" w:type="dxa"/>
              <w:bottom w:w="0" w:type="dxa"/>
              <w:right w:w="85" w:type="dxa"/>
            </w:tcMar>
          </w:tcPr>
          <w:p w14:paraId="37C89786" w14:textId="77777777" w:rsidR="00EB5913" w:rsidRPr="006623B9" w:rsidRDefault="00EB5913" w:rsidP="00F16E23">
            <w:pPr>
              <w:pStyle w:val="TableText"/>
              <w:spacing w:before="40" w:after="40"/>
            </w:pPr>
            <w:r w:rsidRPr="006623B9">
              <w:rPr>
                <w:rFonts w:eastAsia="Calibri"/>
              </w:rPr>
              <w:t>0.421</w:t>
            </w:r>
          </w:p>
        </w:tc>
        <w:tc>
          <w:tcPr>
            <w:tcW w:w="1559" w:type="dxa"/>
            <w:shd w:val="clear" w:color="auto" w:fill="FFFFFF"/>
            <w:tcMar>
              <w:top w:w="0" w:type="dxa"/>
              <w:left w:w="85" w:type="dxa"/>
              <w:bottom w:w="0" w:type="dxa"/>
              <w:right w:w="85" w:type="dxa"/>
            </w:tcMar>
          </w:tcPr>
          <w:p w14:paraId="2569B12B"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62BE8F04" w14:textId="77777777" w:rsidR="00EB5913" w:rsidRPr="006623B9" w:rsidRDefault="00EB5913" w:rsidP="00F16E23">
            <w:pPr>
              <w:pStyle w:val="TableText"/>
              <w:spacing w:before="40" w:after="40"/>
            </w:pPr>
            <w:r w:rsidRPr="006623B9">
              <w:rPr>
                <w:rFonts w:eastAsia="Calibri"/>
              </w:rPr>
              <w:t>Derived from Cardno (unpublished)</w:t>
            </w:r>
          </w:p>
        </w:tc>
      </w:tr>
    </w:tbl>
    <w:p w14:paraId="5B6B414C" w14:textId="77777777" w:rsidR="00EB5913" w:rsidRPr="006623B9" w:rsidRDefault="00EB5913" w:rsidP="00EB5913">
      <w:pPr>
        <w:pStyle w:val="Noteundertable"/>
      </w:pPr>
      <w:r w:rsidRPr="006623B9">
        <w:rPr>
          <w:b/>
          <w:bCs/>
        </w:rPr>
        <w:t>Note:</w:t>
      </w:r>
      <w:r w:rsidRPr="006623B9">
        <w:t xml:space="preserve"> COD = chemical oxygen demand.</w:t>
      </w:r>
    </w:p>
    <w:p w14:paraId="3CB4EC5B" w14:textId="77777777" w:rsidR="00EB5913" w:rsidRPr="006623B9" w:rsidRDefault="00EB5913" w:rsidP="00EB5913">
      <w:pPr>
        <w:pStyle w:val="Heading6"/>
      </w:pPr>
      <w:bookmarkStart w:id="3131" w:name="recovery-3"/>
      <w:r w:rsidRPr="006623B9">
        <w:t>Recovery</w:t>
      </w:r>
    </w:p>
    <w:p w14:paraId="03DC408B" w14:textId="77777777" w:rsidR="00EB5913" w:rsidRPr="006623B9" w:rsidRDefault="00EB5913" w:rsidP="00EB5913">
      <w:pPr>
        <w:pStyle w:val="BodyText"/>
      </w:pPr>
      <w:r w:rsidRPr="006623B9">
        <w:t>There is no recovery of emissions reported for this source.</w:t>
      </w:r>
    </w:p>
    <w:p w14:paraId="33A4D409" w14:textId="77777777" w:rsidR="00EB5913" w:rsidRPr="006623B9" w:rsidRDefault="00EB5913" w:rsidP="00EB5913">
      <w:pPr>
        <w:pStyle w:val="Heading5"/>
      </w:pPr>
      <w:bookmarkStart w:id="3132" w:name="X5488992b1bcc26c67c2161f3c767fe6715fed57"/>
      <w:bookmarkEnd w:id="3129"/>
      <w:bookmarkEnd w:id="3131"/>
      <w:r w:rsidRPr="006623B9">
        <w:t>Methane emissions from industrial wastewater treatment – Wine industry</w:t>
      </w:r>
    </w:p>
    <w:p w14:paraId="5567384E" w14:textId="77777777" w:rsidR="00EB5913" w:rsidRPr="006623B9" w:rsidRDefault="00EB5913" w:rsidP="00EB5913">
      <w:pPr>
        <w:pStyle w:val="BodyText"/>
      </w:pPr>
      <w:r w:rsidRPr="006623B9">
        <w:t>Table 7.5.10 summarises the parameter values applied for estimating CH</w:t>
      </w:r>
      <w:r w:rsidRPr="006623B9">
        <w:rPr>
          <w:vertAlign w:val="subscript"/>
        </w:rPr>
        <w:t>4</w:t>
      </w:r>
      <w:r w:rsidRPr="006623B9">
        <w:t xml:space="preserve"> emissions from wastewater treatment by the wine industry.</w:t>
      </w:r>
    </w:p>
    <w:p w14:paraId="73E7FCC6" w14:textId="77777777" w:rsidR="00EB5913" w:rsidRPr="006623B9" w:rsidRDefault="00EB5913" w:rsidP="00EB5913">
      <w:pPr>
        <w:pStyle w:val="Table"/>
      </w:pPr>
      <w:bookmarkStart w:id="3133" w:name="_Toc226669129"/>
      <w:r w:rsidRPr="006623B9">
        <w:t xml:space="preserve">Table 7.5.10 </w:t>
      </w:r>
      <w:r w:rsidRPr="006623B9">
        <w:tab/>
        <w:t>Parameter values applied by New Zealand for estimating methane emissions for wastewater treatment by the wine industry</w:t>
      </w:r>
      <w:bookmarkEnd w:id="313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828"/>
        <w:gridCol w:w="1275"/>
        <w:gridCol w:w="1701"/>
        <w:gridCol w:w="1690"/>
      </w:tblGrid>
      <w:tr w:rsidR="00EB5913" w:rsidRPr="006623B9" w14:paraId="05D27CA8" w14:textId="77777777" w:rsidTr="00F16E23">
        <w:trPr>
          <w:tblHeader/>
        </w:trPr>
        <w:tc>
          <w:tcPr>
            <w:tcW w:w="3828" w:type="dxa"/>
            <w:shd w:val="clear" w:color="auto" w:fill="1B556B"/>
            <w:tcMar>
              <w:top w:w="0" w:type="dxa"/>
              <w:left w:w="85" w:type="dxa"/>
              <w:bottom w:w="0" w:type="dxa"/>
              <w:right w:w="85" w:type="dxa"/>
            </w:tcMar>
          </w:tcPr>
          <w:p w14:paraId="25D91C1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1275" w:type="dxa"/>
            <w:shd w:val="clear" w:color="auto" w:fill="1B556B"/>
            <w:tcMar>
              <w:top w:w="0" w:type="dxa"/>
              <w:left w:w="85" w:type="dxa"/>
              <w:bottom w:w="0" w:type="dxa"/>
              <w:right w:w="85" w:type="dxa"/>
            </w:tcMar>
          </w:tcPr>
          <w:p w14:paraId="15183278"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1701" w:type="dxa"/>
            <w:shd w:val="clear" w:color="auto" w:fill="1B556B"/>
            <w:tcMar>
              <w:top w:w="0" w:type="dxa"/>
              <w:left w:w="85" w:type="dxa"/>
              <w:bottom w:w="0" w:type="dxa"/>
              <w:right w:w="85" w:type="dxa"/>
            </w:tcMar>
          </w:tcPr>
          <w:p w14:paraId="5C54E655"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c>
          <w:tcPr>
            <w:tcW w:w="1690" w:type="dxa"/>
            <w:shd w:val="clear" w:color="auto" w:fill="1B556B"/>
            <w:tcMar>
              <w:top w:w="0" w:type="dxa"/>
              <w:left w:w="85" w:type="dxa"/>
              <w:bottom w:w="0" w:type="dxa"/>
              <w:right w:w="85" w:type="dxa"/>
            </w:tcMar>
          </w:tcPr>
          <w:p w14:paraId="40152252"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6CB91945" w14:textId="77777777" w:rsidTr="00F16E23">
        <w:tc>
          <w:tcPr>
            <w:tcW w:w="3828" w:type="dxa"/>
            <w:shd w:val="clear" w:color="auto" w:fill="FFFFFF"/>
            <w:tcMar>
              <w:top w:w="0" w:type="dxa"/>
              <w:left w:w="85" w:type="dxa"/>
              <w:bottom w:w="0" w:type="dxa"/>
              <w:right w:w="85" w:type="dxa"/>
            </w:tcMar>
          </w:tcPr>
          <w:p w14:paraId="7704FCD7" w14:textId="77777777" w:rsidR="00EB5913" w:rsidRPr="006623B9" w:rsidRDefault="00EB5913" w:rsidP="00F16E23">
            <w:pPr>
              <w:pStyle w:val="TableText"/>
              <w:spacing w:before="40" w:after="40"/>
            </w:pPr>
            <w:r w:rsidRPr="006623B9">
              <w:t>Degradable organic component (kg COD/tonne of product)</w:t>
            </w:r>
          </w:p>
        </w:tc>
        <w:tc>
          <w:tcPr>
            <w:tcW w:w="1275" w:type="dxa"/>
            <w:shd w:val="clear" w:color="auto" w:fill="FFFFFF"/>
            <w:tcMar>
              <w:top w:w="0" w:type="dxa"/>
              <w:left w:w="85" w:type="dxa"/>
              <w:bottom w:w="0" w:type="dxa"/>
              <w:right w:w="85" w:type="dxa"/>
            </w:tcMar>
          </w:tcPr>
          <w:p w14:paraId="1564ACB5" w14:textId="77777777" w:rsidR="00EB5913" w:rsidRPr="006623B9" w:rsidRDefault="00EB5913" w:rsidP="00F16E23">
            <w:pPr>
              <w:pStyle w:val="TableText"/>
              <w:spacing w:before="40" w:after="40"/>
            </w:pPr>
            <w:r w:rsidRPr="006623B9">
              <w:t>12.42</w:t>
            </w:r>
          </w:p>
        </w:tc>
        <w:tc>
          <w:tcPr>
            <w:tcW w:w="1701" w:type="dxa"/>
            <w:shd w:val="clear" w:color="auto" w:fill="FFFFFF"/>
            <w:tcMar>
              <w:top w:w="0" w:type="dxa"/>
              <w:left w:w="85" w:type="dxa"/>
              <w:bottom w:w="0" w:type="dxa"/>
              <w:right w:w="85" w:type="dxa"/>
            </w:tcMar>
          </w:tcPr>
          <w:p w14:paraId="5242651C" w14:textId="77777777" w:rsidR="00EB5913" w:rsidRPr="006623B9" w:rsidRDefault="00EB5913" w:rsidP="00F16E23">
            <w:pPr>
              <w:pStyle w:val="TableText"/>
              <w:spacing w:before="40" w:after="40"/>
            </w:pPr>
            <w:r w:rsidRPr="006623B9">
              <w:t>New Zealand specific</w:t>
            </w:r>
          </w:p>
        </w:tc>
        <w:tc>
          <w:tcPr>
            <w:tcW w:w="1690" w:type="dxa"/>
            <w:shd w:val="clear" w:color="auto" w:fill="FFFFFF"/>
            <w:tcMar>
              <w:top w:w="0" w:type="dxa"/>
              <w:left w:w="85" w:type="dxa"/>
              <w:bottom w:w="0" w:type="dxa"/>
              <w:right w:w="85" w:type="dxa"/>
            </w:tcMar>
          </w:tcPr>
          <w:p w14:paraId="582DB657" w14:textId="77777777" w:rsidR="00EB5913" w:rsidRPr="006623B9" w:rsidRDefault="00EB5913" w:rsidP="00F16E23">
            <w:pPr>
              <w:pStyle w:val="TableText"/>
              <w:spacing w:before="40" w:after="40"/>
            </w:pPr>
            <w:r w:rsidRPr="006623B9">
              <w:t>Cardno (unpublished)</w:t>
            </w:r>
          </w:p>
        </w:tc>
      </w:tr>
      <w:tr w:rsidR="00EB5913" w:rsidRPr="006623B9" w14:paraId="3E351FCB" w14:textId="77777777" w:rsidTr="00F16E23">
        <w:tc>
          <w:tcPr>
            <w:tcW w:w="3828" w:type="dxa"/>
            <w:shd w:val="clear" w:color="auto" w:fill="FFFFFF"/>
            <w:tcMar>
              <w:top w:w="0" w:type="dxa"/>
              <w:left w:w="85" w:type="dxa"/>
              <w:bottom w:w="0" w:type="dxa"/>
              <w:right w:w="85" w:type="dxa"/>
            </w:tcMar>
          </w:tcPr>
          <w:p w14:paraId="140B5AF7" w14:textId="77777777" w:rsidR="00EB5913" w:rsidRPr="006623B9" w:rsidRDefault="00EB5913" w:rsidP="00F16E23">
            <w:pPr>
              <w:pStyle w:val="TableText"/>
              <w:spacing w:before="40" w:after="40"/>
            </w:pPr>
            <w:r w:rsidRPr="006623B9">
              <w:t>Methane correction factor</w:t>
            </w:r>
          </w:p>
        </w:tc>
        <w:tc>
          <w:tcPr>
            <w:tcW w:w="1275" w:type="dxa"/>
            <w:shd w:val="clear" w:color="auto" w:fill="FFFFFF"/>
            <w:tcMar>
              <w:top w:w="0" w:type="dxa"/>
              <w:left w:w="85" w:type="dxa"/>
              <w:bottom w:w="0" w:type="dxa"/>
              <w:right w:w="85" w:type="dxa"/>
            </w:tcMar>
          </w:tcPr>
          <w:p w14:paraId="12AD629E" w14:textId="77777777" w:rsidR="00EB5913" w:rsidRPr="006623B9" w:rsidRDefault="00EB5913" w:rsidP="00F16E23">
            <w:pPr>
              <w:pStyle w:val="TableText"/>
              <w:spacing w:before="40" w:after="40"/>
            </w:pPr>
            <w:r w:rsidRPr="006623B9">
              <w:t>Range of 0–0.5</w:t>
            </w:r>
          </w:p>
        </w:tc>
        <w:tc>
          <w:tcPr>
            <w:tcW w:w="1701" w:type="dxa"/>
            <w:shd w:val="clear" w:color="auto" w:fill="FFFFFF"/>
            <w:tcMar>
              <w:top w:w="0" w:type="dxa"/>
              <w:left w:w="85" w:type="dxa"/>
              <w:bottom w:w="0" w:type="dxa"/>
              <w:right w:w="85" w:type="dxa"/>
            </w:tcMar>
          </w:tcPr>
          <w:p w14:paraId="20ACF34F" w14:textId="77777777" w:rsidR="00EB5913" w:rsidRPr="006623B9" w:rsidRDefault="00EB5913" w:rsidP="00F16E23">
            <w:pPr>
              <w:pStyle w:val="TableText"/>
              <w:spacing w:before="40" w:after="40"/>
            </w:pPr>
            <w:r w:rsidRPr="006623B9">
              <w:t>New Zealand specific</w:t>
            </w:r>
          </w:p>
        </w:tc>
        <w:tc>
          <w:tcPr>
            <w:tcW w:w="1690" w:type="dxa"/>
            <w:shd w:val="clear" w:color="auto" w:fill="FFFFFF"/>
            <w:tcMar>
              <w:top w:w="0" w:type="dxa"/>
              <w:left w:w="85" w:type="dxa"/>
              <w:bottom w:w="0" w:type="dxa"/>
              <w:right w:w="85" w:type="dxa"/>
            </w:tcMar>
          </w:tcPr>
          <w:p w14:paraId="25FEE21C" w14:textId="77777777" w:rsidR="00EB5913" w:rsidRPr="006623B9" w:rsidRDefault="00EB5913" w:rsidP="00F16E23">
            <w:pPr>
              <w:pStyle w:val="TableText"/>
              <w:spacing w:before="40" w:after="40"/>
            </w:pPr>
            <w:r w:rsidRPr="006623B9">
              <w:t>Cardno (unpublished)</w:t>
            </w:r>
          </w:p>
        </w:tc>
      </w:tr>
      <w:tr w:rsidR="00EB5913" w:rsidRPr="006623B9" w14:paraId="1C5CA88D" w14:textId="77777777" w:rsidTr="00F16E23">
        <w:tc>
          <w:tcPr>
            <w:tcW w:w="3828" w:type="dxa"/>
            <w:shd w:val="clear" w:color="auto" w:fill="FFFFFF"/>
            <w:tcMar>
              <w:top w:w="0" w:type="dxa"/>
              <w:left w:w="85" w:type="dxa"/>
              <w:bottom w:w="0" w:type="dxa"/>
              <w:right w:w="85" w:type="dxa"/>
            </w:tcMar>
          </w:tcPr>
          <w:p w14:paraId="17117D80" w14:textId="77777777" w:rsidR="00EB5913" w:rsidRPr="006623B9" w:rsidRDefault="00EB5913" w:rsidP="00F16E23">
            <w:pPr>
              <w:pStyle w:val="TableText"/>
              <w:spacing w:before="40" w:after="40"/>
            </w:pPr>
            <w:r w:rsidRPr="006623B9">
              <w:t>Maximum methane-producing capacity (kg CH₄/kg COD)</w:t>
            </w:r>
          </w:p>
        </w:tc>
        <w:tc>
          <w:tcPr>
            <w:tcW w:w="1275" w:type="dxa"/>
            <w:shd w:val="clear" w:color="auto" w:fill="FFFFFF"/>
            <w:tcMar>
              <w:top w:w="0" w:type="dxa"/>
              <w:left w:w="85" w:type="dxa"/>
              <w:bottom w:w="0" w:type="dxa"/>
              <w:right w:w="85" w:type="dxa"/>
            </w:tcMar>
          </w:tcPr>
          <w:p w14:paraId="1508474F" w14:textId="77777777" w:rsidR="00EB5913" w:rsidRPr="006623B9" w:rsidRDefault="00EB5913" w:rsidP="00F16E23">
            <w:pPr>
              <w:pStyle w:val="TableText"/>
              <w:spacing w:before="40" w:after="40"/>
            </w:pPr>
            <w:r w:rsidRPr="006623B9">
              <w:t>0.25</w:t>
            </w:r>
          </w:p>
        </w:tc>
        <w:tc>
          <w:tcPr>
            <w:tcW w:w="1701" w:type="dxa"/>
            <w:shd w:val="clear" w:color="auto" w:fill="FFFFFF"/>
            <w:tcMar>
              <w:top w:w="0" w:type="dxa"/>
              <w:left w:w="85" w:type="dxa"/>
              <w:bottom w:w="0" w:type="dxa"/>
              <w:right w:w="85" w:type="dxa"/>
            </w:tcMar>
          </w:tcPr>
          <w:p w14:paraId="79A450D3" w14:textId="77777777" w:rsidR="00EB5913" w:rsidRPr="006623B9" w:rsidRDefault="00EB5913" w:rsidP="00F16E23">
            <w:pPr>
              <w:pStyle w:val="TableText"/>
              <w:spacing w:before="40" w:after="40"/>
            </w:pPr>
            <w:r w:rsidRPr="006623B9">
              <w:t>IPCC default</w:t>
            </w:r>
          </w:p>
        </w:tc>
        <w:tc>
          <w:tcPr>
            <w:tcW w:w="1690" w:type="dxa"/>
            <w:shd w:val="clear" w:color="auto" w:fill="FFFFFF"/>
            <w:tcMar>
              <w:top w:w="0" w:type="dxa"/>
              <w:left w:w="85" w:type="dxa"/>
              <w:bottom w:w="0" w:type="dxa"/>
              <w:right w:w="85" w:type="dxa"/>
            </w:tcMar>
          </w:tcPr>
          <w:p w14:paraId="2FBDB886" w14:textId="77777777" w:rsidR="00EB5913" w:rsidRPr="006623B9" w:rsidRDefault="00EB5913" w:rsidP="00F16E23">
            <w:pPr>
              <w:pStyle w:val="TableText"/>
              <w:spacing w:before="40" w:after="40"/>
            </w:pPr>
            <w:r w:rsidRPr="006623B9">
              <w:t>IPCC (2006a)</w:t>
            </w:r>
          </w:p>
        </w:tc>
      </w:tr>
      <w:tr w:rsidR="00EB5913" w:rsidRPr="006623B9" w14:paraId="54A6EB0F" w14:textId="77777777" w:rsidTr="00F16E23">
        <w:tc>
          <w:tcPr>
            <w:tcW w:w="3828" w:type="dxa"/>
            <w:shd w:val="clear" w:color="auto" w:fill="FFFFFF"/>
            <w:tcMar>
              <w:top w:w="0" w:type="dxa"/>
              <w:left w:w="85" w:type="dxa"/>
              <w:bottom w:w="0" w:type="dxa"/>
              <w:right w:w="85" w:type="dxa"/>
            </w:tcMar>
          </w:tcPr>
          <w:p w14:paraId="29BAE1B8" w14:textId="77777777" w:rsidR="00EB5913" w:rsidRPr="006623B9" w:rsidRDefault="00EB5913" w:rsidP="00F16E23">
            <w:pPr>
              <w:pStyle w:val="TableText"/>
              <w:spacing w:before="40" w:after="40"/>
            </w:pPr>
            <w:r w:rsidRPr="006623B9">
              <w:t>Overall emission factor</w:t>
            </w:r>
          </w:p>
        </w:tc>
        <w:tc>
          <w:tcPr>
            <w:tcW w:w="1275" w:type="dxa"/>
            <w:shd w:val="clear" w:color="auto" w:fill="FFFFFF"/>
            <w:tcMar>
              <w:top w:w="0" w:type="dxa"/>
              <w:left w:w="85" w:type="dxa"/>
              <w:bottom w:w="0" w:type="dxa"/>
              <w:right w:w="85" w:type="dxa"/>
            </w:tcMar>
          </w:tcPr>
          <w:p w14:paraId="0172280A" w14:textId="77777777" w:rsidR="00EB5913" w:rsidRPr="006623B9" w:rsidRDefault="00EB5913" w:rsidP="00F16E23">
            <w:pPr>
              <w:pStyle w:val="TableText"/>
              <w:spacing w:before="40" w:after="40"/>
            </w:pPr>
            <w:r w:rsidRPr="006623B9">
              <w:t>0.207</w:t>
            </w:r>
          </w:p>
        </w:tc>
        <w:tc>
          <w:tcPr>
            <w:tcW w:w="1701" w:type="dxa"/>
            <w:shd w:val="clear" w:color="auto" w:fill="FFFFFF"/>
            <w:tcMar>
              <w:top w:w="0" w:type="dxa"/>
              <w:left w:w="85" w:type="dxa"/>
              <w:bottom w:w="0" w:type="dxa"/>
              <w:right w:w="85" w:type="dxa"/>
            </w:tcMar>
          </w:tcPr>
          <w:p w14:paraId="1376B318" w14:textId="77777777" w:rsidR="00EB5913" w:rsidRPr="006623B9" w:rsidRDefault="00EB5913" w:rsidP="00F16E23">
            <w:pPr>
              <w:pStyle w:val="TableText"/>
              <w:spacing w:before="40" w:after="40"/>
            </w:pPr>
            <w:r w:rsidRPr="006623B9">
              <w:t>New Zealand specific</w:t>
            </w:r>
          </w:p>
        </w:tc>
        <w:tc>
          <w:tcPr>
            <w:tcW w:w="1690" w:type="dxa"/>
            <w:shd w:val="clear" w:color="auto" w:fill="FFFFFF"/>
            <w:tcMar>
              <w:top w:w="0" w:type="dxa"/>
              <w:left w:w="85" w:type="dxa"/>
              <w:bottom w:w="0" w:type="dxa"/>
              <w:right w:w="85" w:type="dxa"/>
            </w:tcMar>
          </w:tcPr>
          <w:p w14:paraId="4BC160AF" w14:textId="77777777" w:rsidR="00EB5913" w:rsidRPr="006623B9" w:rsidRDefault="00EB5913" w:rsidP="00F16E23">
            <w:pPr>
              <w:pStyle w:val="TableText"/>
              <w:spacing w:before="40" w:after="40"/>
            </w:pPr>
            <w:r w:rsidRPr="006623B9">
              <w:t>Derived from Cardno (unpublished)</w:t>
            </w:r>
          </w:p>
        </w:tc>
      </w:tr>
    </w:tbl>
    <w:p w14:paraId="22947990" w14:textId="77777777" w:rsidR="00EB5913" w:rsidRPr="006623B9" w:rsidRDefault="00EB5913" w:rsidP="00EB5913">
      <w:pPr>
        <w:pStyle w:val="Noteundertable"/>
      </w:pPr>
      <w:r w:rsidRPr="006623B9">
        <w:rPr>
          <w:b/>
          <w:bCs/>
        </w:rPr>
        <w:t>Note:</w:t>
      </w:r>
      <w:r w:rsidRPr="006623B9">
        <w:t xml:space="preserve"> </w:t>
      </w:r>
      <w:r w:rsidRPr="006623B9">
        <w:tab/>
        <w:t>COD = chemical oxygen demand.</w:t>
      </w:r>
    </w:p>
    <w:p w14:paraId="35085E5B" w14:textId="77777777" w:rsidR="00EB5913" w:rsidRPr="006623B9" w:rsidRDefault="00EB5913" w:rsidP="00EB5913">
      <w:pPr>
        <w:pStyle w:val="Heading6"/>
      </w:pPr>
      <w:bookmarkStart w:id="3134" w:name="recovery-4"/>
      <w:r w:rsidRPr="006623B9">
        <w:t>Recovery</w:t>
      </w:r>
    </w:p>
    <w:p w14:paraId="1D18A91E" w14:textId="77777777" w:rsidR="00EB5913" w:rsidRPr="006623B9" w:rsidRDefault="00EB5913" w:rsidP="00EB5913">
      <w:pPr>
        <w:pStyle w:val="BodyText"/>
      </w:pPr>
      <w:r w:rsidRPr="006623B9">
        <w:t>There is no recovery of emissions reported for this source.</w:t>
      </w:r>
    </w:p>
    <w:p w14:paraId="561CB87E" w14:textId="77777777" w:rsidR="00EB5913" w:rsidRPr="006623B9" w:rsidRDefault="00EB5913" w:rsidP="00EB5913">
      <w:pPr>
        <w:pStyle w:val="Heading5"/>
      </w:pPr>
      <w:bookmarkStart w:id="3135" w:name="X5a52bbb68da2cb296e8b721fd30922a71eebd28"/>
      <w:bookmarkEnd w:id="3132"/>
      <w:bookmarkEnd w:id="3134"/>
      <w:r w:rsidRPr="006623B9">
        <w:t>Methane emissions from industrial wastewater treatment – Wool scouring industry</w:t>
      </w:r>
    </w:p>
    <w:p w14:paraId="26DE9663" w14:textId="77777777" w:rsidR="00EB5913" w:rsidRPr="006623B9" w:rsidRDefault="00EB5913" w:rsidP="00EB5913">
      <w:pPr>
        <w:pStyle w:val="BodyText"/>
      </w:pPr>
      <w:r w:rsidRPr="006623B9">
        <w:t>Table 7.5.11 summarises the parameter values applied for estimating CH</w:t>
      </w:r>
      <w:r w:rsidRPr="006623B9">
        <w:rPr>
          <w:vertAlign w:val="subscript"/>
        </w:rPr>
        <w:t>4</w:t>
      </w:r>
      <w:r w:rsidRPr="006623B9">
        <w:t xml:space="preserve"> emissions from wastewater treatment by the wool scouring industry.</w:t>
      </w:r>
    </w:p>
    <w:p w14:paraId="443C1AEC" w14:textId="77777777" w:rsidR="00EB5913" w:rsidRPr="006623B9" w:rsidRDefault="00EB5913" w:rsidP="00EB5913">
      <w:pPr>
        <w:pStyle w:val="Table"/>
      </w:pPr>
      <w:bookmarkStart w:id="3136" w:name="_Toc226669130"/>
      <w:r w:rsidRPr="006623B9">
        <w:t xml:space="preserve">Table 7.5.11 </w:t>
      </w:r>
      <w:r w:rsidRPr="006623B9">
        <w:tab/>
        <w:t>Parameter values applied by New Zealand for estimating methane emissions for wastewater treatment by the wool scouring industry</w:t>
      </w:r>
      <w:bookmarkEnd w:id="313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828"/>
        <w:gridCol w:w="992"/>
        <w:gridCol w:w="1559"/>
        <w:gridCol w:w="2115"/>
      </w:tblGrid>
      <w:tr w:rsidR="00EB5913" w:rsidRPr="006623B9" w14:paraId="660FC84A" w14:textId="77777777" w:rsidTr="00F16E23">
        <w:trPr>
          <w:tblHeader/>
        </w:trPr>
        <w:tc>
          <w:tcPr>
            <w:tcW w:w="3828" w:type="dxa"/>
            <w:shd w:val="clear" w:color="auto" w:fill="1B556B"/>
            <w:tcMar>
              <w:top w:w="0" w:type="dxa"/>
              <w:left w:w="85" w:type="dxa"/>
              <w:bottom w:w="0" w:type="dxa"/>
              <w:right w:w="85" w:type="dxa"/>
            </w:tcMar>
          </w:tcPr>
          <w:p w14:paraId="50E1AA19"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992" w:type="dxa"/>
            <w:shd w:val="clear" w:color="auto" w:fill="1B556B"/>
            <w:tcMar>
              <w:top w:w="0" w:type="dxa"/>
              <w:left w:w="85" w:type="dxa"/>
              <w:bottom w:w="0" w:type="dxa"/>
              <w:right w:w="85" w:type="dxa"/>
            </w:tcMar>
          </w:tcPr>
          <w:p w14:paraId="7C475D2A"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58CE1D86"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c>
          <w:tcPr>
            <w:tcW w:w="2115" w:type="dxa"/>
            <w:shd w:val="clear" w:color="auto" w:fill="1B556B"/>
            <w:tcMar>
              <w:top w:w="0" w:type="dxa"/>
              <w:left w:w="85" w:type="dxa"/>
              <w:bottom w:w="0" w:type="dxa"/>
              <w:right w:w="85" w:type="dxa"/>
            </w:tcMar>
          </w:tcPr>
          <w:p w14:paraId="764F94E3"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63D2AF84" w14:textId="77777777" w:rsidTr="00F16E23">
        <w:tc>
          <w:tcPr>
            <w:tcW w:w="3828" w:type="dxa"/>
            <w:shd w:val="clear" w:color="auto" w:fill="FFFFFF"/>
            <w:tcMar>
              <w:top w:w="0" w:type="dxa"/>
              <w:left w:w="85" w:type="dxa"/>
              <w:bottom w:w="0" w:type="dxa"/>
              <w:right w:w="85" w:type="dxa"/>
            </w:tcMar>
          </w:tcPr>
          <w:p w14:paraId="0683BA98" w14:textId="77777777" w:rsidR="00EB5913" w:rsidRPr="006623B9" w:rsidRDefault="00EB5913" w:rsidP="00F16E23">
            <w:pPr>
              <w:pStyle w:val="TableText"/>
              <w:spacing w:before="40" w:after="40"/>
            </w:pPr>
            <w:r w:rsidRPr="006623B9">
              <w:rPr>
                <w:rFonts w:eastAsia="Calibri"/>
              </w:rPr>
              <w:t>Degradable organic component (kg COD/tonne of product)</w:t>
            </w:r>
          </w:p>
        </w:tc>
        <w:tc>
          <w:tcPr>
            <w:tcW w:w="992" w:type="dxa"/>
            <w:shd w:val="clear" w:color="auto" w:fill="FFFFFF"/>
            <w:tcMar>
              <w:top w:w="0" w:type="dxa"/>
              <w:left w:w="85" w:type="dxa"/>
              <w:bottom w:w="0" w:type="dxa"/>
              <w:right w:w="85" w:type="dxa"/>
            </w:tcMar>
          </w:tcPr>
          <w:p w14:paraId="069A086D" w14:textId="77777777" w:rsidR="00EB5913" w:rsidRPr="006623B9" w:rsidRDefault="00EB5913" w:rsidP="00F16E23">
            <w:pPr>
              <w:pStyle w:val="TableText"/>
              <w:spacing w:before="40" w:after="40"/>
            </w:pPr>
            <w:r w:rsidRPr="006623B9">
              <w:rPr>
                <w:rFonts w:eastAsia="Calibri"/>
              </w:rPr>
              <w:t>22</w:t>
            </w:r>
          </w:p>
        </w:tc>
        <w:tc>
          <w:tcPr>
            <w:tcW w:w="1559" w:type="dxa"/>
            <w:shd w:val="clear" w:color="auto" w:fill="FFFFFF"/>
            <w:tcMar>
              <w:top w:w="0" w:type="dxa"/>
              <w:left w:w="85" w:type="dxa"/>
              <w:bottom w:w="0" w:type="dxa"/>
              <w:right w:w="85" w:type="dxa"/>
            </w:tcMar>
          </w:tcPr>
          <w:p w14:paraId="5E4201B5"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25485ADE" w14:textId="77777777" w:rsidR="00EB5913" w:rsidRPr="006623B9" w:rsidRDefault="00EB5913" w:rsidP="00F16E23">
            <w:pPr>
              <w:pStyle w:val="TableText"/>
              <w:spacing w:before="40" w:after="40"/>
            </w:pPr>
            <w:r w:rsidRPr="006623B9">
              <w:rPr>
                <w:rFonts w:eastAsia="Calibri"/>
              </w:rPr>
              <w:t>SCS Wetherill Environmental (unpublished)</w:t>
            </w:r>
          </w:p>
        </w:tc>
      </w:tr>
      <w:tr w:rsidR="00EB5913" w:rsidRPr="006623B9" w14:paraId="1AD5C5E5" w14:textId="77777777" w:rsidTr="00F16E23">
        <w:tc>
          <w:tcPr>
            <w:tcW w:w="3828" w:type="dxa"/>
            <w:shd w:val="clear" w:color="auto" w:fill="FFFFFF"/>
            <w:tcMar>
              <w:top w:w="0" w:type="dxa"/>
              <w:left w:w="85" w:type="dxa"/>
              <w:bottom w:w="0" w:type="dxa"/>
              <w:right w:w="85" w:type="dxa"/>
            </w:tcMar>
          </w:tcPr>
          <w:p w14:paraId="24A455FD" w14:textId="77777777" w:rsidR="00EB5913" w:rsidRPr="006623B9" w:rsidRDefault="00EB5913" w:rsidP="00F16E23">
            <w:pPr>
              <w:pStyle w:val="TableText"/>
              <w:spacing w:before="40" w:after="40"/>
            </w:pPr>
            <w:r w:rsidRPr="006623B9">
              <w:rPr>
                <w:rFonts w:eastAsia="Calibri"/>
              </w:rPr>
              <w:t>Methane correction factor</w:t>
            </w:r>
          </w:p>
        </w:tc>
        <w:tc>
          <w:tcPr>
            <w:tcW w:w="992" w:type="dxa"/>
            <w:shd w:val="clear" w:color="auto" w:fill="FFFFFF"/>
            <w:tcMar>
              <w:top w:w="0" w:type="dxa"/>
              <w:left w:w="85" w:type="dxa"/>
              <w:bottom w:w="0" w:type="dxa"/>
              <w:right w:w="85" w:type="dxa"/>
            </w:tcMar>
          </w:tcPr>
          <w:p w14:paraId="4F838820" w14:textId="77777777" w:rsidR="00EB5913" w:rsidRPr="006623B9" w:rsidRDefault="00EB5913" w:rsidP="00F16E23">
            <w:pPr>
              <w:pStyle w:val="TableText"/>
              <w:spacing w:before="40" w:after="40"/>
            </w:pPr>
            <w:r w:rsidRPr="006623B9">
              <w:rPr>
                <w:rFonts w:eastAsia="Calibri"/>
              </w:rPr>
              <w:t>0.29</w:t>
            </w:r>
          </w:p>
        </w:tc>
        <w:tc>
          <w:tcPr>
            <w:tcW w:w="1559" w:type="dxa"/>
            <w:shd w:val="clear" w:color="auto" w:fill="FFFFFF"/>
            <w:tcMar>
              <w:top w:w="0" w:type="dxa"/>
              <w:left w:w="85" w:type="dxa"/>
              <w:bottom w:w="0" w:type="dxa"/>
              <w:right w:w="85" w:type="dxa"/>
            </w:tcMar>
          </w:tcPr>
          <w:p w14:paraId="040A1CD4"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1300A565" w14:textId="77777777" w:rsidR="00EB5913" w:rsidRPr="006623B9" w:rsidRDefault="00EB5913" w:rsidP="00F16E23">
            <w:pPr>
              <w:pStyle w:val="TableText"/>
              <w:spacing w:before="40" w:after="40"/>
            </w:pPr>
            <w:r w:rsidRPr="006623B9">
              <w:rPr>
                <w:rFonts w:eastAsia="Calibri"/>
              </w:rPr>
              <w:t>SCS Wetherill Environmental (unpublished)</w:t>
            </w:r>
          </w:p>
        </w:tc>
      </w:tr>
      <w:tr w:rsidR="00EB5913" w:rsidRPr="006623B9" w14:paraId="2EF87A68" w14:textId="77777777" w:rsidTr="00F16E23">
        <w:tc>
          <w:tcPr>
            <w:tcW w:w="3828" w:type="dxa"/>
            <w:shd w:val="clear" w:color="auto" w:fill="FFFFFF"/>
            <w:tcMar>
              <w:top w:w="0" w:type="dxa"/>
              <w:left w:w="85" w:type="dxa"/>
              <w:bottom w:w="0" w:type="dxa"/>
              <w:right w:w="85" w:type="dxa"/>
            </w:tcMar>
          </w:tcPr>
          <w:p w14:paraId="1615B07F" w14:textId="77777777" w:rsidR="00EB5913" w:rsidRPr="006623B9" w:rsidRDefault="00EB5913" w:rsidP="00F16E23">
            <w:pPr>
              <w:pStyle w:val="TableText"/>
              <w:spacing w:before="40" w:after="40"/>
            </w:pPr>
            <w:r w:rsidRPr="006623B9">
              <w:rPr>
                <w:rFonts w:eastAsia="Calibri"/>
              </w:rPr>
              <w:t>Maximum methane-producing capacity (kg CH₄/kg COD)</w:t>
            </w:r>
          </w:p>
        </w:tc>
        <w:tc>
          <w:tcPr>
            <w:tcW w:w="992" w:type="dxa"/>
            <w:shd w:val="clear" w:color="auto" w:fill="FFFFFF"/>
            <w:tcMar>
              <w:top w:w="0" w:type="dxa"/>
              <w:left w:w="85" w:type="dxa"/>
              <w:bottom w:w="0" w:type="dxa"/>
              <w:right w:w="85" w:type="dxa"/>
            </w:tcMar>
          </w:tcPr>
          <w:p w14:paraId="5920A47E" w14:textId="77777777" w:rsidR="00EB5913" w:rsidRPr="006623B9" w:rsidRDefault="00EB5913" w:rsidP="00F16E23">
            <w:pPr>
              <w:pStyle w:val="TableText"/>
              <w:spacing w:before="40" w:after="40"/>
            </w:pPr>
            <w:r w:rsidRPr="006623B9">
              <w:rPr>
                <w:rFonts w:eastAsia="Calibri"/>
              </w:rPr>
              <w:t>0.25</w:t>
            </w:r>
          </w:p>
        </w:tc>
        <w:tc>
          <w:tcPr>
            <w:tcW w:w="1559" w:type="dxa"/>
            <w:shd w:val="clear" w:color="auto" w:fill="FFFFFF"/>
            <w:tcMar>
              <w:top w:w="0" w:type="dxa"/>
              <w:left w:w="85" w:type="dxa"/>
              <w:bottom w:w="0" w:type="dxa"/>
              <w:right w:w="85" w:type="dxa"/>
            </w:tcMar>
          </w:tcPr>
          <w:p w14:paraId="545363FE" w14:textId="77777777" w:rsidR="00EB5913" w:rsidRPr="006623B9" w:rsidRDefault="00EB5913" w:rsidP="00F16E23">
            <w:pPr>
              <w:pStyle w:val="TableText"/>
              <w:spacing w:before="40" w:after="40"/>
            </w:pPr>
            <w:r w:rsidRPr="006623B9">
              <w:rPr>
                <w:rFonts w:eastAsia="Calibri"/>
              </w:rPr>
              <w:t>IPCC default</w:t>
            </w:r>
          </w:p>
        </w:tc>
        <w:tc>
          <w:tcPr>
            <w:tcW w:w="2115" w:type="dxa"/>
            <w:shd w:val="clear" w:color="auto" w:fill="FFFFFF"/>
            <w:tcMar>
              <w:top w:w="0" w:type="dxa"/>
              <w:left w:w="85" w:type="dxa"/>
              <w:bottom w:w="0" w:type="dxa"/>
              <w:right w:w="85" w:type="dxa"/>
            </w:tcMar>
          </w:tcPr>
          <w:p w14:paraId="1E2FE888" w14:textId="77777777" w:rsidR="00EB5913" w:rsidRPr="006623B9" w:rsidRDefault="00EB5913" w:rsidP="00F16E23">
            <w:pPr>
              <w:pStyle w:val="TableText"/>
              <w:spacing w:before="40" w:after="40"/>
            </w:pPr>
            <w:r w:rsidRPr="006623B9">
              <w:rPr>
                <w:rFonts w:eastAsia="Calibri"/>
              </w:rPr>
              <w:t>IPCC (2006a)</w:t>
            </w:r>
          </w:p>
        </w:tc>
      </w:tr>
      <w:tr w:rsidR="00EB5913" w:rsidRPr="006623B9" w14:paraId="2E7EFA5E" w14:textId="77777777" w:rsidTr="00F16E23">
        <w:tc>
          <w:tcPr>
            <w:tcW w:w="3828" w:type="dxa"/>
            <w:shd w:val="clear" w:color="auto" w:fill="FFFFFF"/>
            <w:tcMar>
              <w:top w:w="0" w:type="dxa"/>
              <w:left w:w="85" w:type="dxa"/>
              <w:bottom w:w="0" w:type="dxa"/>
              <w:right w:w="85" w:type="dxa"/>
            </w:tcMar>
          </w:tcPr>
          <w:p w14:paraId="0D7CA8D3" w14:textId="77777777" w:rsidR="00EB5913" w:rsidRPr="006623B9" w:rsidRDefault="00EB5913" w:rsidP="00F16E23">
            <w:pPr>
              <w:pStyle w:val="TableText"/>
              <w:spacing w:before="40" w:after="40"/>
            </w:pPr>
            <w:r w:rsidRPr="006623B9">
              <w:rPr>
                <w:rFonts w:eastAsia="Calibri"/>
              </w:rPr>
              <w:t>Overall emission factor</w:t>
            </w:r>
          </w:p>
        </w:tc>
        <w:tc>
          <w:tcPr>
            <w:tcW w:w="992" w:type="dxa"/>
            <w:shd w:val="clear" w:color="auto" w:fill="FFFFFF"/>
            <w:tcMar>
              <w:top w:w="0" w:type="dxa"/>
              <w:left w:w="85" w:type="dxa"/>
              <w:bottom w:w="0" w:type="dxa"/>
              <w:right w:w="85" w:type="dxa"/>
            </w:tcMar>
          </w:tcPr>
          <w:p w14:paraId="02654D3F" w14:textId="77777777" w:rsidR="00EB5913" w:rsidRPr="006623B9" w:rsidRDefault="00EB5913" w:rsidP="00F16E23">
            <w:pPr>
              <w:pStyle w:val="TableText"/>
              <w:spacing w:before="40" w:after="40"/>
            </w:pPr>
            <w:r w:rsidRPr="006623B9">
              <w:rPr>
                <w:rFonts w:eastAsia="Calibri"/>
              </w:rPr>
              <w:t>0.144</w:t>
            </w:r>
          </w:p>
        </w:tc>
        <w:tc>
          <w:tcPr>
            <w:tcW w:w="1559" w:type="dxa"/>
            <w:shd w:val="clear" w:color="auto" w:fill="FFFFFF"/>
            <w:tcMar>
              <w:top w:w="0" w:type="dxa"/>
              <w:left w:w="85" w:type="dxa"/>
              <w:bottom w:w="0" w:type="dxa"/>
              <w:right w:w="85" w:type="dxa"/>
            </w:tcMar>
          </w:tcPr>
          <w:p w14:paraId="03510BE8" w14:textId="77777777" w:rsidR="00EB5913" w:rsidRPr="006623B9" w:rsidRDefault="00EB5913" w:rsidP="00F16E23">
            <w:pPr>
              <w:pStyle w:val="TableText"/>
              <w:spacing w:before="40" w:after="40"/>
            </w:pPr>
            <w:r w:rsidRPr="006623B9">
              <w:rPr>
                <w:rFonts w:eastAsia="Calibri"/>
              </w:rPr>
              <w:t>New Zealand specific</w:t>
            </w:r>
          </w:p>
        </w:tc>
        <w:tc>
          <w:tcPr>
            <w:tcW w:w="2115" w:type="dxa"/>
            <w:shd w:val="clear" w:color="auto" w:fill="FFFFFF"/>
            <w:tcMar>
              <w:top w:w="0" w:type="dxa"/>
              <w:left w:w="85" w:type="dxa"/>
              <w:bottom w:w="0" w:type="dxa"/>
              <w:right w:w="85" w:type="dxa"/>
            </w:tcMar>
          </w:tcPr>
          <w:p w14:paraId="57428897" w14:textId="77777777" w:rsidR="00EB5913" w:rsidRPr="006623B9" w:rsidRDefault="00EB5913" w:rsidP="00F16E23">
            <w:pPr>
              <w:pStyle w:val="TableText"/>
              <w:spacing w:before="40" w:after="40"/>
            </w:pPr>
            <w:r w:rsidRPr="006623B9">
              <w:rPr>
                <w:rFonts w:eastAsia="Calibri"/>
              </w:rPr>
              <w:t>Derived from SCS Wetherill Environmental (unpublished)</w:t>
            </w:r>
          </w:p>
        </w:tc>
      </w:tr>
    </w:tbl>
    <w:p w14:paraId="5857C176" w14:textId="77777777" w:rsidR="00EB5913" w:rsidRPr="006623B9" w:rsidRDefault="00EB5913" w:rsidP="00EB5913">
      <w:pPr>
        <w:pStyle w:val="Noteundertable"/>
      </w:pPr>
      <w:r w:rsidRPr="006623B9">
        <w:rPr>
          <w:b/>
          <w:bCs/>
        </w:rPr>
        <w:t>Note:</w:t>
      </w:r>
      <w:r w:rsidRPr="006623B9">
        <w:t xml:space="preserve"> </w:t>
      </w:r>
      <w:r w:rsidRPr="006623B9">
        <w:tab/>
        <w:t>COD = chemical oxygen demand.</w:t>
      </w:r>
    </w:p>
    <w:p w14:paraId="39A5B97D" w14:textId="77777777" w:rsidR="00EB5913" w:rsidRPr="006623B9" w:rsidRDefault="00EB5913" w:rsidP="00EB5913">
      <w:pPr>
        <w:pStyle w:val="Heading6"/>
      </w:pPr>
      <w:bookmarkStart w:id="3137" w:name="recovery-5"/>
      <w:r w:rsidRPr="006623B9">
        <w:t>Recovery</w:t>
      </w:r>
    </w:p>
    <w:p w14:paraId="25C9C049" w14:textId="77777777" w:rsidR="00EB5913" w:rsidRPr="006623B9" w:rsidRDefault="00EB5913" w:rsidP="00EB5913">
      <w:pPr>
        <w:pStyle w:val="BodyText"/>
      </w:pPr>
      <w:r w:rsidRPr="006623B9">
        <w:t>There is no recovery of emissions reported for this source.</w:t>
      </w:r>
    </w:p>
    <w:p w14:paraId="47E27C1F" w14:textId="77777777" w:rsidR="00EB5913" w:rsidRPr="006623B9" w:rsidRDefault="00EB5913" w:rsidP="00EB5913">
      <w:pPr>
        <w:pStyle w:val="Heading5"/>
      </w:pPr>
      <w:bookmarkStart w:id="3138" w:name="Xc1a340efd67d5eccc23ff934f22dc8335d4080f"/>
      <w:bookmarkEnd w:id="3135"/>
      <w:bookmarkEnd w:id="3137"/>
      <w:r w:rsidRPr="006623B9">
        <w:t>Methan</w:t>
      </w:r>
      <w:r w:rsidRPr="006623B9">
        <w:tab/>
        <w:t>e emissions from industrial wastewater treatment – Leather and skins industry</w:t>
      </w:r>
    </w:p>
    <w:p w14:paraId="56C095AA" w14:textId="77777777" w:rsidR="00EB5913" w:rsidRPr="006623B9" w:rsidRDefault="00EB5913" w:rsidP="00EB5913">
      <w:pPr>
        <w:pStyle w:val="BodyText"/>
      </w:pPr>
      <w:r w:rsidRPr="006623B9">
        <w:t>Table 7.5.12 summarises the parameter values applied for estimating CH</w:t>
      </w:r>
      <w:r w:rsidRPr="006623B9">
        <w:rPr>
          <w:vertAlign w:val="subscript"/>
        </w:rPr>
        <w:t>4</w:t>
      </w:r>
      <w:r w:rsidRPr="006623B9">
        <w:t xml:space="preserve"> emissions from wastewater treatment by the leather and skins industry.</w:t>
      </w:r>
    </w:p>
    <w:p w14:paraId="353A83E2" w14:textId="77777777" w:rsidR="00EB5913" w:rsidRPr="006623B9" w:rsidRDefault="00EB5913" w:rsidP="00EB5913">
      <w:pPr>
        <w:pStyle w:val="Table"/>
      </w:pPr>
      <w:bookmarkStart w:id="3139" w:name="_Toc226669131"/>
      <w:r w:rsidRPr="006623B9">
        <w:t xml:space="preserve">Table 7.5.12 </w:t>
      </w:r>
      <w:r w:rsidRPr="006623B9">
        <w:tab/>
        <w:t>Parameter values applied by New Zealand for estimating methane emissions for wastewater treatment by the leather and skins industry</w:t>
      </w:r>
      <w:bookmarkEnd w:id="313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969"/>
        <w:gridCol w:w="1276"/>
        <w:gridCol w:w="1559"/>
        <w:gridCol w:w="1690"/>
      </w:tblGrid>
      <w:tr w:rsidR="00EB5913" w:rsidRPr="006623B9" w14:paraId="5C9593A3" w14:textId="77777777" w:rsidTr="00F16E23">
        <w:trPr>
          <w:tblHeader/>
        </w:trPr>
        <w:tc>
          <w:tcPr>
            <w:tcW w:w="3969" w:type="dxa"/>
            <w:shd w:val="clear" w:color="auto" w:fill="1B556B"/>
            <w:tcMar>
              <w:top w:w="0" w:type="dxa"/>
              <w:left w:w="85" w:type="dxa"/>
              <w:bottom w:w="0" w:type="dxa"/>
              <w:right w:w="85" w:type="dxa"/>
            </w:tcMar>
          </w:tcPr>
          <w:p w14:paraId="20E248E0"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1276" w:type="dxa"/>
            <w:shd w:val="clear" w:color="auto" w:fill="1B556B"/>
            <w:tcMar>
              <w:top w:w="0" w:type="dxa"/>
              <w:left w:w="85" w:type="dxa"/>
              <w:bottom w:w="0" w:type="dxa"/>
              <w:right w:w="85" w:type="dxa"/>
            </w:tcMar>
          </w:tcPr>
          <w:p w14:paraId="24126FB3"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7253F3F3"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c>
          <w:tcPr>
            <w:tcW w:w="1690" w:type="dxa"/>
            <w:shd w:val="clear" w:color="auto" w:fill="1B556B"/>
            <w:tcMar>
              <w:top w:w="0" w:type="dxa"/>
              <w:left w:w="85" w:type="dxa"/>
              <w:bottom w:w="0" w:type="dxa"/>
              <w:right w:w="85" w:type="dxa"/>
            </w:tcMar>
          </w:tcPr>
          <w:p w14:paraId="19C2ADE3"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3BB9F2A4" w14:textId="77777777" w:rsidTr="00F16E23">
        <w:tc>
          <w:tcPr>
            <w:tcW w:w="3969" w:type="dxa"/>
            <w:shd w:val="clear" w:color="auto" w:fill="FFFFFF"/>
            <w:tcMar>
              <w:top w:w="0" w:type="dxa"/>
              <w:left w:w="85" w:type="dxa"/>
              <w:bottom w:w="0" w:type="dxa"/>
              <w:right w:w="85" w:type="dxa"/>
            </w:tcMar>
          </w:tcPr>
          <w:p w14:paraId="714DBA90" w14:textId="77777777" w:rsidR="00EB5913" w:rsidRPr="006623B9" w:rsidRDefault="00EB5913" w:rsidP="00F16E23">
            <w:pPr>
              <w:pStyle w:val="TableText"/>
              <w:spacing w:before="40" w:after="40"/>
            </w:pPr>
            <w:r w:rsidRPr="006623B9">
              <w:rPr>
                <w:rFonts w:eastAsia="Calibri"/>
              </w:rPr>
              <w:t>Degradable organic component (kg COD/tonne of product)</w:t>
            </w:r>
          </w:p>
        </w:tc>
        <w:tc>
          <w:tcPr>
            <w:tcW w:w="1276" w:type="dxa"/>
            <w:shd w:val="clear" w:color="auto" w:fill="FFFFFF"/>
            <w:tcMar>
              <w:top w:w="0" w:type="dxa"/>
              <w:left w:w="85" w:type="dxa"/>
              <w:bottom w:w="0" w:type="dxa"/>
              <w:right w:w="85" w:type="dxa"/>
            </w:tcMar>
          </w:tcPr>
          <w:p w14:paraId="4DFB2B29" w14:textId="77777777" w:rsidR="00EB5913" w:rsidRPr="006623B9" w:rsidRDefault="00EB5913" w:rsidP="00F16E23">
            <w:pPr>
              <w:pStyle w:val="TableText"/>
              <w:spacing w:before="40" w:after="40"/>
            </w:pPr>
            <w:r w:rsidRPr="006623B9">
              <w:rPr>
                <w:rFonts w:eastAsia="Calibri"/>
              </w:rPr>
              <w:t>180</w:t>
            </w:r>
          </w:p>
        </w:tc>
        <w:tc>
          <w:tcPr>
            <w:tcW w:w="1559" w:type="dxa"/>
            <w:shd w:val="clear" w:color="auto" w:fill="FFFFFF"/>
            <w:tcMar>
              <w:top w:w="0" w:type="dxa"/>
              <w:left w:w="85" w:type="dxa"/>
              <w:bottom w:w="0" w:type="dxa"/>
              <w:right w:w="85" w:type="dxa"/>
            </w:tcMar>
          </w:tcPr>
          <w:p w14:paraId="37B39FAF"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0101C39C"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6B8CA0D9" w14:textId="77777777" w:rsidTr="00F16E23">
        <w:tc>
          <w:tcPr>
            <w:tcW w:w="3969" w:type="dxa"/>
            <w:shd w:val="clear" w:color="auto" w:fill="FFFFFF"/>
            <w:tcMar>
              <w:top w:w="0" w:type="dxa"/>
              <w:left w:w="85" w:type="dxa"/>
              <w:bottom w:w="0" w:type="dxa"/>
              <w:right w:w="85" w:type="dxa"/>
            </w:tcMar>
          </w:tcPr>
          <w:p w14:paraId="679E558B" w14:textId="77777777" w:rsidR="00EB5913" w:rsidRPr="006623B9" w:rsidRDefault="00EB5913" w:rsidP="00F16E23">
            <w:pPr>
              <w:pStyle w:val="TableText"/>
              <w:spacing w:before="40" w:after="40"/>
            </w:pPr>
            <w:r w:rsidRPr="006623B9">
              <w:rPr>
                <w:rFonts w:eastAsia="Calibri"/>
              </w:rPr>
              <w:t>Methane correction factor</w:t>
            </w:r>
          </w:p>
        </w:tc>
        <w:tc>
          <w:tcPr>
            <w:tcW w:w="1276" w:type="dxa"/>
            <w:shd w:val="clear" w:color="auto" w:fill="FFFFFF"/>
            <w:tcMar>
              <w:top w:w="0" w:type="dxa"/>
              <w:left w:w="85" w:type="dxa"/>
              <w:bottom w:w="0" w:type="dxa"/>
              <w:right w:w="85" w:type="dxa"/>
            </w:tcMar>
          </w:tcPr>
          <w:p w14:paraId="4044A43E" w14:textId="77777777" w:rsidR="00EB5913" w:rsidRPr="006623B9" w:rsidRDefault="00EB5913" w:rsidP="00F16E23">
            <w:pPr>
              <w:pStyle w:val="TableText"/>
              <w:spacing w:before="40" w:after="40"/>
            </w:pPr>
            <w:r w:rsidRPr="006623B9">
              <w:rPr>
                <w:rFonts w:eastAsia="Calibri"/>
              </w:rPr>
              <w:t>Range of 0–0.55</w:t>
            </w:r>
          </w:p>
        </w:tc>
        <w:tc>
          <w:tcPr>
            <w:tcW w:w="1559" w:type="dxa"/>
            <w:shd w:val="clear" w:color="auto" w:fill="FFFFFF"/>
            <w:tcMar>
              <w:top w:w="0" w:type="dxa"/>
              <w:left w:w="85" w:type="dxa"/>
              <w:bottom w:w="0" w:type="dxa"/>
              <w:right w:w="85" w:type="dxa"/>
            </w:tcMar>
          </w:tcPr>
          <w:p w14:paraId="245DA3D6"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3762FCE5"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04D68B84" w14:textId="77777777" w:rsidTr="00F16E23">
        <w:tc>
          <w:tcPr>
            <w:tcW w:w="3969" w:type="dxa"/>
            <w:shd w:val="clear" w:color="auto" w:fill="FFFFFF"/>
            <w:tcMar>
              <w:top w:w="0" w:type="dxa"/>
              <w:left w:w="85" w:type="dxa"/>
              <w:bottom w:w="0" w:type="dxa"/>
              <w:right w:w="85" w:type="dxa"/>
            </w:tcMar>
          </w:tcPr>
          <w:p w14:paraId="0D03A5DD" w14:textId="77777777" w:rsidR="00EB5913" w:rsidRPr="006623B9" w:rsidRDefault="00EB5913" w:rsidP="00F16E23">
            <w:pPr>
              <w:pStyle w:val="TableText"/>
              <w:spacing w:before="40" w:after="40"/>
            </w:pPr>
            <w:r w:rsidRPr="006623B9">
              <w:rPr>
                <w:rFonts w:eastAsia="Calibri"/>
              </w:rPr>
              <w:t>Maximum methane-producing capacity (kg CH₄/kg COD)</w:t>
            </w:r>
          </w:p>
        </w:tc>
        <w:tc>
          <w:tcPr>
            <w:tcW w:w="1276" w:type="dxa"/>
            <w:shd w:val="clear" w:color="auto" w:fill="FFFFFF"/>
            <w:tcMar>
              <w:top w:w="0" w:type="dxa"/>
              <w:left w:w="85" w:type="dxa"/>
              <w:bottom w:w="0" w:type="dxa"/>
              <w:right w:w="85" w:type="dxa"/>
            </w:tcMar>
          </w:tcPr>
          <w:p w14:paraId="5FFEBAAB" w14:textId="77777777" w:rsidR="00EB5913" w:rsidRPr="006623B9" w:rsidRDefault="00EB5913" w:rsidP="00F16E23">
            <w:pPr>
              <w:pStyle w:val="TableText"/>
              <w:spacing w:before="40" w:after="40"/>
            </w:pPr>
            <w:r w:rsidRPr="006623B9">
              <w:rPr>
                <w:rFonts w:eastAsia="Calibri"/>
              </w:rPr>
              <w:t>0.25</w:t>
            </w:r>
          </w:p>
        </w:tc>
        <w:tc>
          <w:tcPr>
            <w:tcW w:w="1559" w:type="dxa"/>
            <w:shd w:val="clear" w:color="auto" w:fill="FFFFFF"/>
            <w:tcMar>
              <w:top w:w="0" w:type="dxa"/>
              <w:left w:w="85" w:type="dxa"/>
              <w:bottom w:w="0" w:type="dxa"/>
              <w:right w:w="85" w:type="dxa"/>
            </w:tcMar>
          </w:tcPr>
          <w:p w14:paraId="4A4C127B" w14:textId="77777777" w:rsidR="00EB5913" w:rsidRPr="006623B9" w:rsidRDefault="00EB5913" w:rsidP="00F16E23">
            <w:pPr>
              <w:pStyle w:val="TableText"/>
              <w:spacing w:before="40" w:after="40"/>
            </w:pPr>
            <w:r w:rsidRPr="006623B9">
              <w:rPr>
                <w:rFonts w:eastAsia="Calibri"/>
              </w:rPr>
              <w:t>IPCC default</w:t>
            </w:r>
          </w:p>
        </w:tc>
        <w:tc>
          <w:tcPr>
            <w:tcW w:w="1690" w:type="dxa"/>
            <w:shd w:val="clear" w:color="auto" w:fill="FFFFFF"/>
            <w:tcMar>
              <w:top w:w="0" w:type="dxa"/>
              <w:left w:w="85" w:type="dxa"/>
              <w:bottom w:w="0" w:type="dxa"/>
              <w:right w:w="85" w:type="dxa"/>
            </w:tcMar>
          </w:tcPr>
          <w:p w14:paraId="636DC2C9" w14:textId="77777777" w:rsidR="00EB5913" w:rsidRPr="006623B9" w:rsidRDefault="00EB5913" w:rsidP="00F16E23">
            <w:pPr>
              <w:pStyle w:val="TableText"/>
              <w:spacing w:before="40" w:after="40"/>
            </w:pPr>
            <w:r w:rsidRPr="006623B9">
              <w:rPr>
                <w:rFonts w:eastAsia="Calibri"/>
              </w:rPr>
              <w:t>IPCC (2006a)</w:t>
            </w:r>
          </w:p>
        </w:tc>
      </w:tr>
      <w:tr w:rsidR="00EB5913" w:rsidRPr="006623B9" w14:paraId="4D31D6E5" w14:textId="77777777" w:rsidTr="00F16E23">
        <w:tc>
          <w:tcPr>
            <w:tcW w:w="3969" w:type="dxa"/>
            <w:shd w:val="clear" w:color="auto" w:fill="FFFFFF"/>
            <w:tcMar>
              <w:top w:w="0" w:type="dxa"/>
              <w:left w:w="85" w:type="dxa"/>
              <w:bottom w:w="0" w:type="dxa"/>
              <w:right w:w="85" w:type="dxa"/>
            </w:tcMar>
          </w:tcPr>
          <w:p w14:paraId="35B2E90C" w14:textId="77777777" w:rsidR="00EB5913" w:rsidRPr="006623B9" w:rsidRDefault="00EB5913" w:rsidP="00F16E23">
            <w:pPr>
              <w:pStyle w:val="TableText"/>
              <w:spacing w:before="40" w:after="40"/>
            </w:pPr>
            <w:r w:rsidRPr="006623B9">
              <w:rPr>
                <w:rFonts w:eastAsia="Calibri"/>
              </w:rPr>
              <w:t>Overall emission factor</w:t>
            </w:r>
          </w:p>
        </w:tc>
        <w:tc>
          <w:tcPr>
            <w:tcW w:w="1276" w:type="dxa"/>
            <w:shd w:val="clear" w:color="auto" w:fill="FFFFFF"/>
            <w:tcMar>
              <w:top w:w="0" w:type="dxa"/>
              <w:left w:w="85" w:type="dxa"/>
              <w:bottom w:w="0" w:type="dxa"/>
              <w:right w:w="85" w:type="dxa"/>
            </w:tcMar>
          </w:tcPr>
          <w:p w14:paraId="2BA33DA3" w14:textId="77777777" w:rsidR="00EB5913" w:rsidRPr="006623B9" w:rsidRDefault="00EB5913" w:rsidP="00F16E23">
            <w:pPr>
              <w:pStyle w:val="TableText"/>
              <w:spacing w:before="40" w:after="40"/>
            </w:pPr>
            <w:r w:rsidRPr="006623B9">
              <w:rPr>
                <w:rFonts w:eastAsia="Calibri"/>
              </w:rPr>
              <w:t>0.012</w:t>
            </w:r>
          </w:p>
        </w:tc>
        <w:tc>
          <w:tcPr>
            <w:tcW w:w="1559" w:type="dxa"/>
            <w:shd w:val="clear" w:color="auto" w:fill="FFFFFF"/>
            <w:tcMar>
              <w:top w:w="0" w:type="dxa"/>
              <w:left w:w="85" w:type="dxa"/>
              <w:bottom w:w="0" w:type="dxa"/>
              <w:right w:w="85" w:type="dxa"/>
            </w:tcMar>
          </w:tcPr>
          <w:p w14:paraId="30806C9C"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49D360B5" w14:textId="77777777" w:rsidR="00EB5913" w:rsidRPr="006623B9" w:rsidRDefault="00EB5913" w:rsidP="00F16E23">
            <w:pPr>
              <w:pStyle w:val="TableText"/>
              <w:spacing w:before="40" w:after="40"/>
            </w:pPr>
            <w:r w:rsidRPr="006623B9">
              <w:rPr>
                <w:rFonts w:eastAsia="Calibri"/>
              </w:rPr>
              <w:t>Derived from Cardno (unpublished)</w:t>
            </w:r>
          </w:p>
        </w:tc>
      </w:tr>
    </w:tbl>
    <w:p w14:paraId="0C0DF28D" w14:textId="77777777" w:rsidR="00EB5913" w:rsidRPr="006623B9" w:rsidRDefault="00EB5913" w:rsidP="00EB5913">
      <w:pPr>
        <w:pStyle w:val="Noteundertable"/>
      </w:pPr>
      <w:r w:rsidRPr="006623B9">
        <w:rPr>
          <w:b/>
          <w:bCs/>
        </w:rPr>
        <w:t>Note:</w:t>
      </w:r>
      <w:r w:rsidRPr="006623B9">
        <w:t xml:space="preserve"> </w:t>
      </w:r>
      <w:r w:rsidRPr="006623B9">
        <w:tab/>
        <w:t>COD = chemical oxygen demand.</w:t>
      </w:r>
    </w:p>
    <w:p w14:paraId="0E1EB928" w14:textId="77777777" w:rsidR="00EB5913" w:rsidRPr="006623B9" w:rsidRDefault="00EB5913" w:rsidP="00EB5913">
      <w:pPr>
        <w:pStyle w:val="Heading6"/>
      </w:pPr>
      <w:bookmarkStart w:id="3140" w:name="recovery-6"/>
      <w:r w:rsidRPr="006623B9">
        <w:t>Recovery</w:t>
      </w:r>
    </w:p>
    <w:p w14:paraId="4BB1F445" w14:textId="77777777" w:rsidR="00EB5913" w:rsidRPr="006623B9" w:rsidRDefault="00EB5913" w:rsidP="00EB5913">
      <w:pPr>
        <w:pStyle w:val="BodyText"/>
      </w:pPr>
      <w:r w:rsidRPr="006623B9">
        <w:t>There is no recovery of emissions reported for this source.</w:t>
      </w:r>
    </w:p>
    <w:p w14:paraId="04F4D283" w14:textId="77777777" w:rsidR="00EB5913" w:rsidRPr="006623B9" w:rsidRDefault="00EB5913" w:rsidP="00EB5913">
      <w:pPr>
        <w:pStyle w:val="Heading5"/>
      </w:pPr>
      <w:bookmarkStart w:id="3141" w:name="Xe49511f11d376eec0be6644f93ad4abce330135"/>
      <w:bookmarkEnd w:id="3138"/>
      <w:bookmarkEnd w:id="3140"/>
      <w:r w:rsidRPr="006623B9">
        <w:t>Nitrous oxide emissions from industrial wastewater treatment – Meat industry</w:t>
      </w:r>
    </w:p>
    <w:p w14:paraId="3F3C9E18" w14:textId="77777777" w:rsidR="00EB5913" w:rsidRPr="006623B9" w:rsidRDefault="00EB5913" w:rsidP="00EB5913">
      <w:pPr>
        <w:pStyle w:val="BodyText"/>
      </w:pPr>
      <w:r w:rsidRPr="006623B9">
        <w:t>Table 7.5.13 summarises the parameter values applied for estimating N</w:t>
      </w:r>
      <w:r w:rsidRPr="006623B9">
        <w:rPr>
          <w:vertAlign w:val="subscript"/>
        </w:rPr>
        <w:t>2</w:t>
      </w:r>
      <w:r w:rsidRPr="006623B9">
        <w:t>O emissions from wastewater treatment by the meat industry.</w:t>
      </w:r>
    </w:p>
    <w:p w14:paraId="1389C288" w14:textId="77777777" w:rsidR="00EB5913" w:rsidRPr="006623B9" w:rsidRDefault="00EB5913" w:rsidP="00EB5913">
      <w:pPr>
        <w:pStyle w:val="Table"/>
      </w:pPr>
      <w:bookmarkStart w:id="3142" w:name="_Toc226669132"/>
      <w:r w:rsidRPr="006623B9">
        <w:t xml:space="preserve">Table 7.5.13 </w:t>
      </w:r>
      <w:r w:rsidRPr="006623B9">
        <w:tab/>
        <w:t>Parameter values applied by New Zealand for estimating nitrous oxide emissions for wastewater treatment for the meat industry</w:t>
      </w:r>
      <w:bookmarkEnd w:id="314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410"/>
        <w:gridCol w:w="1835"/>
        <w:gridCol w:w="1559"/>
        <w:gridCol w:w="1690"/>
      </w:tblGrid>
      <w:tr w:rsidR="00EB5913" w:rsidRPr="006623B9" w14:paraId="09C39EE7" w14:textId="77777777" w:rsidTr="00F16E23">
        <w:trPr>
          <w:tblHeader/>
        </w:trPr>
        <w:tc>
          <w:tcPr>
            <w:tcW w:w="0" w:type="auto"/>
            <w:shd w:val="clear" w:color="auto" w:fill="1B556B"/>
            <w:tcMar>
              <w:top w:w="0" w:type="dxa"/>
              <w:left w:w="85" w:type="dxa"/>
              <w:bottom w:w="0" w:type="dxa"/>
              <w:right w:w="85" w:type="dxa"/>
            </w:tcMar>
            <w:vAlign w:val="center"/>
          </w:tcPr>
          <w:p w14:paraId="26F89DA5"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1835" w:type="dxa"/>
            <w:shd w:val="clear" w:color="auto" w:fill="1B556B"/>
            <w:tcMar>
              <w:top w:w="0" w:type="dxa"/>
              <w:left w:w="85" w:type="dxa"/>
              <w:bottom w:w="0" w:type="dxa"/>
              <w:right w:w="85" w:type="dxa"/>
            </w:tcMar>
            <w:vAlign w:val="center"/>
          </w:tcPr>
          <w:p w14:paraId="2AC48C4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1559" w:type="dxa"/>
            <w:shd w:val="clear" w:color="auto" w:fill="1B556B"/>
            <w:tcMar>
              <w:top w:w="0" w:type="dxa"/>
              <w:left w:w="85" w:type="dxa"/>
              <w:bottom w:w="0" w:type="dxa"/>
              <w:right w:w="85" w:type="dxa"/>
            </w:tcMar>
            <w:vAlign w:val="center"/>
          </w:tcPr>
          <w:p w14:paraId="514712C7"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c>
          <w:tcPr>
            <w:tcW w:w="1690" w:type="dxa"/>
            <w:shd w:val="clear" w:color="auto" w:fill="1B556B"/>
            <w:tcMar>
              <w:top w:w="0" w:type="dxa"/>
              <w:left w:w="85" w:type="dxa"/>
              <w:bottom w:w="0" w:type="dxa"/>
              <w:right w:w="85" w:type="dxa"/>
            </w:tcMar>
            <w:vAlign w:val="center"/>
          </w:tcPr>
          <w:p w14:paraId="2EA84DF6"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01AF828F" w14:textId="77777777" w:rsidTr="00F16E23">
        <w:tc>
          <w:tcPr>
            <w:tcW w:w="0" w:type="auto"/>
            <w:shd w:val="clear" w:color="auto" w:fill="FFFFFF"/>
            <w:tcMar>
              <w:top w:w="0" w:type="dxa"/>
              <w:left w:w="85" w:type="dxa"/>
              <w:bottom w:w="0" w:type="dxa"/>
              <w:right w:w="85" w:type="dxa"/>
            </w:tcMar>
          </w:tcPr>
          <w:p w14:paraId="30B3B0CD" w14:textId="77777777" w:rsidR="00EB5913" w:rsidRPr="006623B9" w:rsidRDefault="00EB5913" w:rsidP="00F16E23">
            <w:pPr>
              <w:pStyle w:val="TableText"/>
              <w:spacing w:before="40" w:after="40"/>
            </w:pPr>
            <w:r w:rsidRPr="006623B9">
              <w:t>Degradable organic component (kg COD/tonne of product)</w:t>
            </w:r>
          </w:p>
        </w:tc>
        <w:tc>
          <w:tcPr>
            <w:tcW w:w="1835" w:type="dxa"/>
            <w:shd w:val="clear" w:color="auto" w:fill="FFFFFF"/>
            <w:tcMar>
              <w:top w:w="0" w:type="dxa"/>
              <w:left w:w="85" w:type="dxa"/>
              <w:bottom w:w="0" w:type="dxa"/>
              <w:right w:w="85" w:type="dxa"/>
            </w:tcMar>
          </w:tcPr>
          <w:p w14:paraId="78927ABE" w14:textId="77777777" w:rsidR="00EB5913" w:rsidRPr="006623B9" w:rsidRDefault="00EB5913" w:rsidP="00F16E23">
            <w:pPr>
              <w:pStyle w:val="TableText"/>
              <w:spacing w:before="40" w:after="40"/>
            </w:pPr>
            <w:r w:rsidRPr="006623B9">
              <w:t>50</w:t>
            </w:r>
          </w:p>
        </w:tc>
        <w:tc>
          <w:tcPr>
            <w:tcW w:w="1559" w:type="dxa"/>
            <w:shd w:val="clear" w:color="auto" w:fill="FFFFFF"/>
            <w:tcMar>
              <w:top w:w="0" w:type="dxa"/>
              <w:left w:w="85" w:type="dxa"/>
              <w:bottom w:w="0" w:type="dxa"/>
              <w:right w:w="85" w:type="dxa"/>
            </w:tcMar>
          </w:tcPr>
          <w:p w14:paraId="267BB5CC" w14:textId="77777777" w:rsidR="00EB5913" w:rsidRPr="006623B9" w:rsidRDefault="00EB5913" w:rsidP="00F16E23">
            <w:pPr>
              <w:pStyle w:val="TableText"/>
              <w:spacing w:before="40" w:after="40"/>
            </w:pPr>
            <w:r w:rsidRPr="006623B9">
              <w:t>New Zealand specific</w:t>
            </w:r>
          </w:p>
        </w:tc>
        <w:tc>
          <w:tcPr>
            <w:tcW w:w="1690" w:type="dxa"/>
            <w:shd w:val="clear" w:color="auto" w:fill="FFFFFF"/>
            <w:tcMar>
              <w:top w:w="0" w:type="dxa"/>
              <w:left w:w="85" w:type="dxa"/>
              <w:bottom w:w="0" w:type="dxa"/>
              <w:right w:w="85" w:type="dxa"/>
            </w:tcMar>
          </w:tcPr>
          <w:p w14:paraId="72FA26CD" w14:textId="77777777" w:rsidR="00EB5913" w:rsidRPr="006623B9" w:rsidRDefault="00EB5913" w:rsidP="00F16E23">
            <w:pPr>
              <w:pStyle w:val="TableText"/>
              <w:spacing w:before="40" w:after="40"/>
            </w:pPr>
            <w:r w:rsidRPr="006623B9">
              <w:t>Cardno (unpublished)</w:t>
            </w:r>
          </w:p>
        </w:tc>
      </w:tr>
      <w:tr w:rsidR="00EB5913" w:rsidRPr="006623B9" w14:paraId="7AD14BBE" w14:textId="77777777" w:rsidTr="00F16E23">
        <w:tc>
          <w:tcPr>
            <w:tcW w:w="0" w:type="auto"/>
            <w:shd w:val="clear" w:color="auto" w:fill="FFFFFF"/>
            <w:tcMar>
              <w:top w:w="0" w:type="dxa"/>
              <w:left w:w="85" w:type="dxa"/>
              <w:bottom w:w="0" w:type="dxa"/>
              <w:right w:w="85" w:type="dxa"/>
            </w:tcMar>
          </w:tcPr>
          <w:p w14:paraId="453053A2" w14:textId="77777777" w:rsidR="00EB5913" w:rsidRPr="006623B9" w:rsidRDefault="00EB5913" w:rsidP="00F16E23">
            <w:pPr>
              <w:pStyle w:val="TableText"/>
              <w:spacing w:before="40" w:after="40"/>
            </w:pPr>
            <w:r w:rsidRPr="006623B9">
              <w:t>Ratio of total nitrogen to biodegradable COD (TN:CODb)</w:t>
            </w:r>
          </w:p>
        </w:tc>
        <w:tc>
          <w:tcPr>
            <w:tcW w:w="1835" w:type="dxa"/>
            <w:shd w:val="clear" w:color="auto" w:fill="FFFFFF"/>
            <w:tcMar>
              <w:top w:w="0" w:type="dxa"/>
              <w:left w:w="85" w:type="dxa"/>
              <w:bottom w:w="0" w:type="dxa"/>
              <w:right w:w="85" w:type="dxa"/>
            </w:tcMar>
          </w:tcPr>
          <w:p w14:paraId="6A0543B8" w14:textId="77777777" w:rsidR="00EB5913" w:rsidRPr="006623B9" w:rsidRDefault="00EB5913" w:rsidP="00F16E23">
            <w:pPr>
              <w:pStyle w:val="TableText"/>
              <w:spacing w:before="40" w:after="40"/>
            </w:pPr>
            <w:r w:rsidRPr="006623B9">
              <w:t>0.09</w:t>
            </w:r>
          </w:p>
        </w:tc>
        <w:tc>
          <w:tcPr>
            <w:tcW w:w="1559" w:type="dxa"/>
            <w:shd w:val="clear" w:color="auto" w:fill="FFFFFF"/>
            <w:tcMar>
              <w:top w:w="0" w:type="dxa"/>
              <w:left w:w="85" w:type="dxa"/>
              <w:bottom w:w="0" w:type="dxa"/>
              <w:right w:w="85" w:type="dxa"/>
            </w:tcMar>
          </w:tcPr>
          <w:p w14:paraId="6703E0D4" w14:textId="77777777" w:rsidR="00EB5913" w:rsidRPr="006623B9" w:rsidRDefault="00EB5913" w:rsidP="00F16E23">
            <w:pPr>
              <w:pStyle w:val="TableText"/>
              <w:spacing w:before="40" w:after="40"/>
            </w:pPr>
            <w:r w:rsidRPr="006623B9">
              <w:t>New Zealand specific</w:t>
            </w:r>
          </w:p>
        </w:tc>
        <w:tc>
          <w:tcPr>
            <w:tcW w:w="1690" w:type="dxa"/>
            <w:shd w:val="clear" w:color="auto" w:fill="FFFFFF"/>
            <w:tcMar>
              <w:top w:w="0" w:type="dxa"/>
              <w:left w:w="85" w:type="dxa"/>
              <w:bottom w:w="0" w:type="dxa"/>
              <w:right w:w="85" w:type="dxa"/>
            </w:tcMar>
          </w:tcPr>
          <w:p w14:paraId="1AD50FF1" w14:textId="77777777" w:rsidR="00EB5913" w:rsidRPr="006623B9" w:rsidRDefault="00EB5913" w:rsidP="00F16E23">
            <w:pPr>
              <w:pStyle w:val="TableText"/>
              <w:spacing w:before="40" w:after="40"/>
            </w:pPr>
            <w:r w:rsidRPr="006623B9">
              <w:t>Cardno (unpublished)</w:t>
            </w:r>
          </w:p>
        </w:tc>
      </w:tr>
      <w:tr w:rsidR="00EB5913" w:rsidRPr="006623B9" w14:paraId="67404F20" w14:textId="77777777" w:rsidTr="00F16E23">
        <w:tc>
          <w:tcPr>
            <w:tcW w:w="0" w:type="auto"/>
            <w:shd w:val="clear" w:color="auto" w:fill="FFFFFF"/>
            <w:tcMar>
              <w:top w:w="0" w:type="dxa"/>
              <w:left w:w="85" w:type="dxa"/>
              <w:bottom w:w="0" w:type="dxa"/>
              <w:right w:w="85" w:type="dxa"/>
            </w:tcMar>
          </w:tcPr>
          <w:p w14:paraId="4A53A4E5" w14:textId="77777777" w:rsidR="00EB5913" w:rsidRPr="006623B9" w:rsidRDefault="00EB5913" w:rsidP="00F16E23">
            <w:pPr>
              <w:pStyle w:val="TableText"/>
              <w:spacing w:before="40" w:after="40"/>
            </w:pPr>
            <w:r w:rsidRPr="006623B9">
              <w:t>Overall emission factor</w:t>
            </w:r>
          </w:p>
        </w:tc>
        <w:tc>
          <w:tcPr>
            <w:tcW w:w="1835" w:type="dxa"/>
            <w:shd w:val="clear" w:color="auto" w:fill="FFFFFF"/>
            <w:tcMar>
              <w:top w:w="0" w:type="dxa"/>
              <w:left w:w="85" w:type="dxa"/>
              <w:bottom w:w="0" w:type="dxa"/>
              <w:right w:w="85" w:type="dxa"/>
            </w:tcMar>
          </w:tcPr>
          <w:p w14:paraId="05E9BC30" w14:textId="77777777" w:rsidR="00EB5913" w:rsidRPr="006623B9" w:rsidRDefault="00EB5913" w:rsidP="00F16E23">
            <w:pPr>
              <w:pStyle w:val="TableText"/>
              <w:spacing w:before="40" w:after="40"/>
            </w:pPr>
            <w:r w:rsidRPr="006623B9">
              <w:t>Range of 0.0095–0.0136</w:t>
            </w:r>
          </w:p>
        </w:tc>
        <w:tc>
          <w:tcPr>
            <w:tcW w:w="1559" w:type="dxa"/>
            <w:shd w:val="clear" w:color="auto" w:fill="FFFFFF"/>
            <w:tcMar>
              <w:top w:w="0" w:type="dxa"/>
              <w:left w:w="85" w:type="dxa"/>
              <w:bottom w:w="0" w:type="dxa"/>
              <w:right w:w="85" w:type="dxa"/>
            </w:tcMar>
          </w:tcPr>
          <w:p w14:paraId="72E52C7D" w14:textId="77777777" w:rsidR="00EB5913" w:rsidRPr="006623B9" w:rsidRDefault="00EB5913" w:rsidP="00F16E23">
            <w:pPr>
              <w:pStyle w:val="TableText"/>
              <w:spacing w:before="40" w:after="40"/>
            </w:pPr>
            <w:r w:rsidRPr="006623B9">
              <w:t>New Zealand specific</w:t>
            </w:r>
          </w:p>
        </w:tc>
        <w:tc>
          <w:tcPr>
            <w:tcW w:w="1690" w:type="dxa"/>
            <w:shd w:val="clear" w:color="auto" w:fill="FFFFFF"/>
            <w:tcMar>
              <w:top w:w="0" w:type="dxa"/>
              <w:left w:w="85" w:type="dxa"/>
              <w:bottom w:w="0" w:type="dxa"/>
              <w:right w:w="85" w:type="dxa"/>
            </w:tcMar>
          </w:tcPr>
          <w:p w14:paraId="5CE8BA4F" w14:textId="77777777" w:rsidR="00EB5913" w:rsidRPr="006623B9" w:rsidRDefault="00EB5913" w:rsidP="00F16E23">
            <w:pPr>
              <w:pStyle w:val="TableText"/>
              <w:spacing w:before="40" w:after="40"/>
            </w:pPr>
            <w:r w:rsidRPr="006623B9">
              <w:t>Derived from Cardno (unpublished)</w:t>
            </w:r>
          </w:p>
        </w:tc>
      </w:tr>
    </w:tbl>
    <w:p w14:paraId="29286414" w14:textId="77777777" w:rsidR="00EB5913" w:rsidRPr="006623B9" w:rsidRDefault="00EB5913" w:rsidP="00EB5913">
      <w:pPr>
        <w:pStyle w:val="Noteundertable"/>
      </w:pPr>
      <w:r w:rsidRPr="006623B9">
        <w:rPr>
          <w:b/>
          <w:bCs/>
        </w:rPr>
        <w:t>Note:</w:t>
      </w:r>
      <w:r w:rsidRPr="006623B9">
        <w:t xml:space="preserve"> </w:t>
      </w:r>
      <w:r w:rsidRPr="006623B9">
        <w:tab/>
        <w:t>COD = chemical oxygen demand; COD</w:t>
      </w:r>
      <w:r w:rsidRPr="006623B9">
        <w:rPr>
          <w:vertAlign w:val="subscript"/>
        </w:rPr>
        <w:t>b</w:t>
      </w:r>
      <w:r w:rsidRPr="006623B9">
        <w:t xml:space="preserve"> = COD of total biodegradable material; TN = total nitrogen.</w:t>
      </w:r>
    </w:p>
    <w:p w14:paraId="0D942ADC" w14:textId="77777777" w:rsidR="00EB5913" w:rsidRPr="006623B9" w:rsidRDefault="00EB5913" w:rsidP="00EB5913">
      <w:pPr>
        <w:pStyle w:val="Heading6"/>
      </w:pPr>
      <w:bookmarkStart w:id="3143" w:name="recovery-7"/>
      <w:r w:rsidRPr="006623B9">
        <w:t>Recovery</w:t>
      </w:r>
    </w:p>
    <w:p w14:paraId="083CFA5D" w14:textId="77777777" w:rsidR="00EB5913" w:rsidRPr="006623B9" w:rsidRDefault="00EB5913" w:rsidP="00EB5913">
      <w:pPr>
        <w:pStyle w:val="BodyText"/>
      </w:pPr>
      <w:r w:rsidRPr="006623B9">
        <w:t>There is no recovery of emissions reported for this source.</w:t>
      </w:r>
    </w:p>
    <w:p w14:paraId="265D7D5B" w14:textId="77777777" w:rsidR="00EB5913" w:rsidRPr="006623B9" w:rsidRDefault="00EB5913" w:rsidP="00EB5913">
      <w:pPr>
        <w:pStyle w:val="Heading5"/>
      </w:pPr>
      <w:bookmarkStart w:id="3144" w:name="X5d86673037b98ba8b78ea95af024b5ec0c9825a"/>
      <w:bookmarkEnd w:id="3141"/>
      <w:bookmarkEnd w:id="3143"/>
      <w:r w:rsidRPr="006623B9">
        <w:t>Nitrous oxide emissions from industrial wastewater treatment – Dairy processing industry</w:t>
      </w:r>
    </w:p>
    <w:p w14:paraId="6B9ECF0B" w14:textId="77777777" w:rsidR="00EB5913" w:rsidRPr="006623B9" w:rsidRDefault="00EB5913" w:rsidP="00EB5913">
      <w:pPr>
        <w:pStyle w:val="BodyText"/>
      </w:pPr>
      <w:r w:rsidRPr="006623B9">
        <w:t>Table 7.5.14 summarises the parameter values applied for estimating N</w:t>
      </w:r>
      <w:r w:rsidRPr="006623B9">
        <w:rPr>
          <w:vertAlign w:val="subscript"/>
        </w:rPr>
        <w:t>2</w:t>
      </w:r>
      <w:r w:rsidRPr="006623B9">
        <w:t>O emissions from wastewater treatment by the dairy processing industry.</w:t>
      </w:r>
    </w:p>
    <w:p w14:paraId="4679C1AC" w14:textId="77777777" w:rsidR="00EB5913" w:rsidRPr="006623B9" w:rsidRDefault="00EB5913" w:rsidP="00EB5913">
      <w:pPr>
        <w:pStyle w:val="Table"/>
      </w:pPr>
      <w:bookmarkStart w:id="3145" w:name="_Toc226669133"/>
      <w:r w:rsidRPr="006623B9">
        <w:t xml:space="preserve">Table 7.5.14 </w:t>
      </w:r>
      <w:r w:rsidRPr="006623B9">
        <w:tab/>
        <w:t>Parameter values applied by New Zealand for estimating nitrous oxide emissions for wastewater treatment for the dairy processing industry</w:t>
      </w:r>
      <w:bookmarkEnd w:id="3145"/>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11"/>
        <w:gridCol w:w="1134"/>
        <w:gridCol w:w="1559"/>
        <w:gridCol w:w="1690"/>
      </w:tblGrid>
      <w:tr w:rsidR="00EB5913" w:rsidRPr="006623B9" w14:paraId="648843F7" w14:textId="77777777" w:rsidTr="00F16E23">
        <w:trPr>
          <w:tblHeader/>
        </w:trPr>
        <w:tc>
          <w:tcPr>
            <w:tcW w:w="4111" w:type="dxa"/>
            <w:shd w:val="clear" w:color="auto" w:fill="1B556B"/>
            <w:tcMar>
              <w:top w:w="0" w:type="dxa"/>
              <w:left w:w="85" w:type="dxa"/>
              <w:bottom w:w="0" w:type="dxa"/>
              <w:right w:w="85" w:type="dxa"/>
            </w:tcMar>
          </w:tcPr>
          <w:p w14:paraId="4807B3E2"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Parameter</w:t>
            </w:r>
          </w:p>
        </w:tc>
        <w:tc>
          <w:tcPr>
            <w:tcW w:w="1134" w:type="dxa"/>
            <w:shd w:val="clear" w:color="auto" w:fill="1B556B"/>
            <w:tcMar>
              <w:top w:w="0" w:type="dxa"/>
              <w:left w:w="85" w:type="dxa"/>
              <w:bottom w:w="0" w:type="dxa"/>
              <w:right w:w="85" w:type="dxa"/>
            </w:tcMar>
          </w:tcPr>
          <w:p w14:paraId="6A8CBB1E"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33F35BD2"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Source</w:t>
            </w:r>
          </w:p>
        </w:tc>
        <w:tc>
          <w:tcPr>
            <w:tcW w:w="1690" w:type="dxa"/>
            <w:shd w:val="clear" w:color="auto" w:fill="1B556B"/>
            <w:tcMar>
              <w:top w:w="0" w:type="dxa"/>
              <w:left w:w="85" w:type="dxa"/>
              <w:bottom w:w="0" w:type="dxa"/>
              <w:right w:w="85" w:type="dxa"/>
            </w:tcMar>
          </w:tcPr>
          <w:p w14:paraId="1A164CAD" w14:textId="77777777" w:rsidR="00EB5913" w:rsidRPr="006623B9" w:rsidRDefault="00EB5913" w:rsidP="00F16E23">
            <w:pPr>
              <w:pStyle w:val="TableTextBold"/>
              <w:keepNext/>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67F16A4D" w14:textId="77777777" w:rsidTr="00F16E23">
        <w:tc>
          <w:tcPr>
            <w:tcW w:w="4111" w:type="dxa"/>
            <w:shd w:val="clear" w:color="auto" w:fill="FFFFFF"/>
            <w:tcMar>
              <w:top w:w="0" w:type="dxa"/>
              <w:left w:w="85" w:type="dxa"/>
              <w:bottom w:w="0" w:type="dxa"/>
              <w:right w:w="85" w:type="dxa"/>
            </w:tcMar>
          </w:tcPr>
          <w:p w14:paraId="5AA440A2" w14:textId="77777777" w:rsidR="00EB5913" w:rsidRPr="006623B9" w:rsidRDefault="00EB5913" w:rsidP="00F16E23">
            <w:pPr>
              <w:pStyle w:val="TableText"/>
              <w:keepNext/>
              <w:spacing w:before="40" w:after="40"/>
            </w:pPr>
            <w:r w:rsidRPr="006623B9">
              <w:rPr>
                <w:rFonts w:eastAsia="Calibri"/>
              </w:rPr>
              <w:t>Degradable organic component (kg COD/tonne of product)</w:t>
            </w:r>
          </w:p>
        </w:tc>
        <w:tc>
          <w:tcPr>
            <w:tcW w:w="1134" w:type="dxa"/>
            <w:shd w:val="clear" w:color="auto" w:fill="FFFFFF"/>
            <w:tcMar>
              <w:top w:w="0" w:type="dxa"/>
              <w:left w:w="85" w:type="dxa"/>
              <w:bottom w:w="0" w:type="dxa"/>
              <w:right w:w="85" w:type="dxa"/>
            </w:tcMar>
          </w:tcPr>
          <w:p w14:paraId="6A5061E3" w14:textId="77777777" w:rsidR="00EB5913" w:rsidRPr="006623B9" w:rsidRDefault="00EB5913" w:rsidP="00F16E23">
            <w:pPr>
              <w:pStyle w:val="TableText"/>
              <w:keepNext/>
              <w:spacing w:before="40" w:after="40"/>
            </w:pPr>
            <w:r w:rsidRPr="006623B9">
              <w:rPr>
                <w:rFonts w:eastAsia="Calibri"/>
              </w:rPr>
              <w:t>2</w:t>
            </w:r>
          </w:p>
        </w:tc>
        <w:tc>
          <w:tcPr>
            <w:tcW w:w="1559" w:type="dxa"/>
            <w:shd w:val="clear" w:color="auto" w:fill="FFFFFF"/>
            <w:tcMar>
              <w:top w:w="0" w:type="dxa"/>
              <w:left w:w="85" w:type="dxa"/>
              <w:bottom w:w="0" w:type="dxa"/>
              <w:right w:w="85" w:type="dxa"/>
            </w:tcMar>
          </w:tcPr>
          <w:p w14:paraId="28C835E8" w14:textId="77777777" w:rsidR="00EB5913" w:rsidRPr="006623B9" w:rsidRDefault="00EB5913" w:rsidP="00F16E23">
            <w:pPr>
              <w:pStyle w:val="TableText"/>
              <w:keepN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23C8C319" w14:textId="77777777" w:rsidR="00EB5913" w:rsidRPr="006623B9" w:rsidRDefault="00EB5913" w:rsidP="00F16E23">
            <w:pPr>
              <w:pStyle w:val="TableText"/>
              <w:keepNext/>
              <w:spacing w:before="40" w:after="40"/>
            </w:pPr>
            <w:r w:rsidRPr="006623B9">
              <w:rPr>
                <w:rFonts w:eastAsia="Calibri"/>
              </w:rPr>
              <w:t>Cardno (unpublished)</w:t>
            </w:r>
          </w:p>
        </w:tc>
      </w:tr>
      <w:tr w:rsidR="00EB5913" w:rsidRPr="006623B9" w14:paraId="2E8453F9" w14:textId="77777777" w:rsidTr="00F16E23">
        <w:tc>
          <w:tcPr>
            <w:tcW w:w="4111" w:type="dxa"/>
            <w:shd w:val="clear" w:color="auto" w:fill="FFFFFF"/>
            <w:tcMar>
              <w:top w:w="0" w:type="dxa"/>
              <w:left w:w="85" w:type="dxa"/>
              <w:bottom w:w="0" w:type="dxa"/>
              <w:right w:w="85" w:type="dxa"/>
            </w:tcMar>
          </w:tcPr>
          <w:p w14:paraId="3387EC1B" w14:textId="77777777" w:rsidR="00EB5913" w:rsidRPr="006623B9" w:rsidRDefault="00EB5913" w:rsidP="00F16E23">
            <w:pPr>
              <w:pStyle w:val="TableText"/>
              <w:spacing w:before="40" w:after="40"/>
            </w:pPr>
            <w:r w:rsidRPr="006623B9">
              <w:rPr>
                <w:rFonts w:eastAsia="Calibri"/>
              </w:rPr>
              <w:t>Ratio of total nitrogen to biodegradable COD (TN:COD</w:t>
            </w:r>
            <w:r w:rsidRPr="006623B9">
              <w:rPr>
                <w:rFonts w:eastAsia="Calibri"/>
                <w:vertAlign w:val="subscript"/>
              </w:rPr>
              <w:t>b</w:t>
            </w:r>
            <w:r w:rsidRPr="006623B9">
              <w:rPr>
                <w:rFonts w:eastAsia="Calibri"/>
              </w:rPr>
              <w:t>)</w:t>
            </w:r>
          </w:p>
        </w:tc>
        <w:tc>
          <w:tcPr>
            <w:tcW w:w="1134" w:type="dxa"/>
            <w:shd w:val="clear" w:color="auto" w:fill="FFFFFF"/>
            <w:tcMar>
              <w:top w:w="0" w:type="dxa"/>
              <w:left w:w="85" w:type="dxa"/>
              <w:bottom w:w="0" w:type="dxa"/>
              <w:right w:w="85" w:type="dxa"/>
            </w:tcMar>
          </w:tcPr>
          <w:p w14:paraId="0079A360" w14:textId="77777777" w:rsidR="00EB5913" w:rsidRPr="006623B9" w:rsidRDefault="00EB5913" w:rsidP="00F16E23">
            <w:pPr>
              <w:pStyle w:val="TableText"/>
              <w:spacing w:before="40" w:after="40"/>
            </w:pPr>
            <w:r w:rsidRPr="006623B9">
              <w:rPr>
                <w:rFonts w:eastAsia="Calibri"/>
              </w:rPr>
              <w:t>0.044</w:t>
            </w:r>
          </w:p>
        </w:tc>
        <w:tc>
          <w:tcPr>
            <w:tcW w:w="1559" w:type="dxa"/>
            <w:shd w:val="clear" w:color="auto" w:fill="FFFFFF"/>
            <w:tcMar>
              <w:top w:w="0" w:type="dxa"/>
              <w:left w:w="85" w:type="dxa"/>
              <w:bottom w:w="0" w:type="dxa"/>
              <w:right w:w="85" w:type="dxa"/>
            </w:tcMar>
          </w:tcPr>
          <w:p w14:paraId="557D4C00"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42D989B2"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1D1A1FDC" w14:textId="77777777" w:rsidTr="00F16E23">
        <w:tc>
          <w:tcPr>
            <w:tcW w:w="4111" w:type="dxa"/>
            <w:shd w:val="clear" w:color="auto" w:fill="FFFFFF"/>
            <w:tcMar>
              <w:top w:w="0" w:type="dxa"/>
              <w:left w:w="85" w:type="dxa"/>
              <w:bottom w:w="0" w:type="dxa"/>
              <w:right w:w="85" w:type="dxa"/>
            </w:tcMar>
          </w:tcPr>
          <w:p w14:paraId="259636EC" w14:textId="77777777" w:rsidR="00EB5913" w:rsidRPr="006623B9" w:rsidRDefault="00EB5913" w:rsidP="00F16E23">
            <w:pPr>
              <w:pStyle w:val="TableText"/>
              <w:spacing w:before="40" w:after="40"/>
            </w:pPr>
            <w:r w:rsidRPr="006623B9">
              <w:rPr>
                <w:rFonts w:eastAsia="Calibri"/>
              </w:rPr>
              <w:t>Overall emission factor</w:t>
            </w:r>
          </w:p>
        </w:tc>
        <w:tc>
          <w:tcPr>
            <w:tcW w:w="1134" w:type="dxa"/>
            <w:shd w:val="clear" w:color="auto" w:fill="FFFFFF"/>
            <w:tcMar>
              <w:top w:w="0" w:type="dxa"/>
              <w:left w:w="85" w:type="dxa"/>
              <w:bottom w:w="0" w:type="dxa"/>
              <w:right w:w="85" w:type="dxa"/>
            </w:tcMar>
          </w:tcPr>
          <w:p w14:paraId="0EC5CFCF" w14:textId="77777777" w:rsidR="00EB5913" w:rsidRPr="006623B9" w:rsidRDefault="00EB5913" w:rsidP="00F16E23">
            <w:pPr>
              <w:pStyle w:val="TableText"/>
              <w:spacing w:before="40" w:after="40"/>
            </w:pPr>
            <w:r w:rsidRPr="006623B9">
              <w:rPr>
                <w:rFonts w:eastAsia="Calibri"/>
              </w:rPr>
              <w:t>0.0004</w:t>
            </w:r>
          </w:p>
        </w:tc>
        <w:tc>
          <w:tcPr>
            <w:tcW w:w="1559" w:type="dxa"/>
            <w:shd w:val="clear" w:color="auto" w:fill="FFFFFF"/>
            <w:tcMar>
              <w:top w:w="0" w:type="dxa"/>
              <w:left w:w="85" w:type="dxa"/>
              <w:bottom w:w="0" w:type="dxa"/>
              <w:right w:w="85" w:type="dxa"/>
            </w:tcMar>
          </w:tcPr>
          <w:p w14:paraId="55C1E408"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0A55EAB7" w14:textId="77777777" w:rsidR="00EB5913" w:rsidRPr="006623B9" w:rsidRDefault="00EB5913" w:rsidP="00F16E23">
            <w:pPr>
              <w:pStyle w:val="TableText"/>
              <w:spacing w:before="40" w:after="40"/>
            </w:pPr>
            <w:r w:rsidRPr="006623B9">
              <w:rPr>
                <w:rFonts w:eastAsia="Calibri"/>
              </w:rPr>
              <w:t>Derived from Cardno (unpublished)</w:t>
            </w:r>
          </w:p>
        </w:tc>
      </w:tr>
    </w:tbl>
    <w:p w14:paraId="0E45094D" w14:textId="77777777" w:rsidR="00EB5913" w:rsidRPr="006623B9" w:rsidRDefault="00EB5913" w:rsidP="00EB5913">
      <w:pPr>
        <w:pStyle w:val="Noteundertable"/>
      </w:pPr>
      <w:r w:rsidRPr="006623B9">
        <w:rPr>
          <w:b/>
          <w:bCs/>
        </w:rPr>
        <w:t>Note:</w:t>
      </w:r>
      <w:r w:rsidRPr="006623B9">
        <w:t xml:space="preserve"> </w:t>
      </w:r>
      <w:r w:rsidRPr="006623B9">
        <w:tab/>
        <w:t>COD = chemical oxygen demand; COD</w:t>
      </w:r>
      <w:r w:rsidRPr="006623B9">
        <w:rPr>
          <w:vertAlign w:val="subscript"/>
        </w:rPr>
        <w:t>b</w:t>
      </w:r>
      <w:r w:rsidRPr="006623B9">
        <w:t xml:space="preserve"> = COD of total biodegradable material; TN = total nitrogen.</w:t>
      </w:r>
    </w:p>
    <w:p w14:paraId="0982824D" w14:textId="77777777" w:rsidR="00EB5913" w:rsidRPr="006623B9" w:rsidRDefault="00EB5913" w:rsidP="00EB5913">
      <w:pPr>
        <w:pStyle w:val="Heading6"/>
      </w:pPr>
      <w:bookmarkStart w:id="3146" w:name="recovery-8"/>
      <w:r w:rsidRPr="006623B9">
        <w:t>Recovery</w:t>
      </w:r>
    </w:p>
    <w:p w14:paraId="6ECD87B5" w14:textId="77777777" w:rsidR="00EB5913" w:rsidRPr="006623B9" w:rsidRDefault="00EB5913" w:rsidP="00EB5913">
      <w:pPr>
        <w:pStyle w:val="BodyText"/>
      </w:pPr>
      <w:r w:rsidRPr="006623B9">
        <w:t>There is no recovery of emissions reported for this source.</w:t>
      </w:r>
    </w:p>
    <w:p w14:paraId="5DDC0C62" w14:textId="77777777" w:rsidR="00EB5913" w:rsidRPr="006623B9" w:rsidRDefault="00EB5913" w:rsidP="00EB5913">
      <w:pPr>
        <w:pStyle w:val="Heading5"/>
      </w:pPr>
      <w:bookmarkStart w:id="3147" w:name="X8304ebedd37f21741b77165175d750c1cbc201b"/>
      <w:bookmarkEnd w:id="3144"/>
      <w:bookmarkEnd w:id="3146"/>
      <w:r w:rsidRPr="006623B9">
        <w:t>Nitrous oxide emissions from industrial wastewater treatment – Leather and skins industry</w:t>
      </w:r>
    </w:p>
    <w:p w14:paraId="5DD3FF84" w14:textId="77777777" w:rsidR="00EB5913" w:rsidRPr="006623B9" w:rsidRDefault="00EB5913" w:rsidP="00EB5913">
      <w:pPr>
        <w:pStyle w:val="BodyText"/>
      </w:pPr>
      <w:r w:rsidRPr="006623B9">
        <w:t>Table 7.5.15 summarises the parameter values applied for estimating N</w:t>
      </w:r>
      <w:r w:rsidRPr="006623B9">
        <w:rPr>
          <w:vertAlign w:val="subscript"/>
        </w:rPr>
        <w:t>2</w:t>
      </w:r>
      <w:r w:rsidRPr="006623B9">
        <w:t>O emissions from wastewater treatment by the leather and skins industry.</w:t>
      </w:r>
    </w:p>
    <w:p w14:paraId="28FE44B8" w14:textId="77777777" w:rsidR="00EB5913" w:rsidRPr="006623B9" w:rsidRDefault="00EB5913" w:rsidP="00EB5913">
      <w:pPr>
        <w:pStyle w:val="Table"/>
      </w:pPr>
      <w:bookmarkStart w:id="3148" w:name="_Toc226669134"/>
      <w:r w:rsidRPr="006623B9">
        <w:t xml:space="preserve">Table 7.5.15 </w:t>
      </w:r>
      <w:r w:rsidRPr="006623B9">
        <w:tab/>
        <w:t>Parameter values applied by New Zealand for estimating nitrous oxide emissions for wastewater treatment for the leather and skins industry</w:t>
      </w:r>
      <w:bookmarkEnd w:id="314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95"/>
        <w:gridCol w:w="850"/>
        <w:gridCol w:w="1559"/>
        <w:gridCol w:w="1690"/>
      </w:tblGrid>
      <w:tr w:rsidR="00EB5913" w:rsidRPr="006623B9" w14:paraId="0FDA762F" w14:textId="77777777" w:rsidTr="00F16E23">
        <w:trPr>
          <w:tblHeader/>
        </w:trPr>
        <w:tc>
          <w:tcPr>
            <w:tcW w:w="4395" w:type="dxa"/>
            <w:shd w:val="clear" w:color="auto" w:fill="1B556B"/>
            <w:tcMar>
              <w:top w:w="0" w:type="dxa"/>
              <w:left w:w="85" w:type="dxa"/>
              <w:bottom w:w="0" w:type="dxa"/>
              <w:right w:w="85" w:type="dxa"/>
            </w:tcMar>
          </w:tcPr>
          <w:p w14:paraId="3D9F118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Parameter</w:t>
            </w:r>
          </w:p>
        </w:tc>
        <w:tc>
          <w:tcPr>
            <w:tcW w:w="850" w:type="dxa"/>
            <w:shd w:val="clear" w:color="auto" w:fill="1B556B"/>
            <w:tcMar>
              <w:top w:w="0" w:type="dxa"/>
              <w:left w:w="85" w:type="dxa"/>
              <w:bottom w:w="0" w:type="dxa"/>
              <w:right w:w="85" w:type="dxa"/>
            </w:tcMar>
          </w:tcPr>
          <w:p w14:paraId="1A71055F"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7CE7DB5C"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Source</w:t>
            </w:r>
          </w:p>
        </w:tc>
        <w:tc>
          <w:tcPr>
            <w:tcW w:w="1690" w:type="dxa"/>
            <w:shd w:val="clear" w:color="auto" w:fill="1B556B"/>
            <w:tcMar>
              <w:top w:w="0" w:type="dxa"/>
              <w:left w:w="85" w:type="dxa"/>
              <w:bottom w:w="0" w:type="dxa"/>
              <w:right w:w="85" w:type="dxa"/>
            </w:tcMar>
          </w:tcPr>
          <w:p w14:paraId="65D74E0F"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Reference</w:t>
            </w:r>
          </w:p>
        </w:tc>
      </w:tr>
      <w:tr w:rsidR="00EB5913" w:rsidRPr="006623B9" w14:paraId="675B5FE7" w14:textId="77777777" w:rsidTr="00F16E23">
        <w:tc>
          <w:tcPr>
            <w:tcW w:w="4395" w:type="dxa"/>
            <w:shd w:val="clear" w:color="auto" w:fill="FFFFFF"/>
            <w:tcMar>
              <w:top w:w="0" w:type="dxa"/>
              <w:left w:w="85" w:type="dxa"/>
              <w:bottom w:w="0" w:type="dxa"/>
              <w:right w:w="85" w:type="dxa"/>
            </w:tcMar>
          </w:tcPr>
          <w:p w14:paraId="4AF4AFA8" w14:textId="77777777" w:rsidR="00EB5913" w:rsidRPr="006623B9" w:rsidRDefault="00EB5913" w:rsidP="00F16E23">
            <w:pPr>
              <w:pStyle w:val="TableText"/>
              <w:spacing w:before="40" w:after="40"/>
            </w:pPr>
            <w:r w:rsidRPr="006623B9">
              <w:rPr>
                <w:rFonts w:eastAsia="Calibri"/>
              </w:rPr>
              <w:t>Degradable organic component (kg COD/tonne of product)</w:t>
            </w:r>
          </w:p>
        </w:tc>
        <w:tc>
          <w:tcPr>
            <w:tcW w:w="850" w:type="dxa"/>
            <w:shd w:val="clear" w:color="auto" w:fill="FFFFFF"/>
            <w:tcMar>
              <w:top w:w="0" w:type="dxa"/>
              <w:left w:w="85" w:type="dxa"/>
              <w:bottom w:w="0" w:type="dxa"/>
              <w:right w:w="85" w:type="dxa"/>
            </w:tcMar>
          </w:tcPr>
          <w:p w14:paraId="28039DEB" w14:textId="77777777" w:rsidR="00EB5913" w:rsidRPr="006623B9" w:rsidRDefault="00EB5913" w:rsidP="00F16E23">
            <w:pPr>
              <w:pStyle w:val="TableText"/>
              <w:spacing w:before="40" w:after="40"/>
            </w:pPr>
            <w:r w:rsidRPr="006623B9">
              <w:rPr>
                <w:rFonts w:eastAsia="Calibri"/>
              </w:rPr>
              <w:t>180</w:t>
            </w:r>
          </w:p>
        </w:tc>
        <w:tc>
          <w:tcPr>
            <w:tcW w:w="1559" w:type="dxa"/>
            <w:shd w:val="clear" w:color="auto" w:fill="FFFFFF"/>
            <w:tcMar>
              <w:top w:w="0" w:type="dxa"/>
              <w:left w:w="85" w:type="dxa"/>
              <w:bottom w:w="0" w:type="dxa"/>
              <w:right w:w="85" w:type="dxa"/>
            </w:tcMar>
          </w:tcPr>
          <w:p w14:paraId="2DCE0AB4"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547D560F"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45422AC1" w14:textId="77777777" w:rsidTr="00F16E23">
        <w:tc>
          <w:tcPr>
            <w:tcW w:w="4395" w:type="dxa"/>
            <w:shd w:val="clear" w:color="auto" w:fill="FFFFFF"/>
            <w:tcMar>
              <w:top w:w="0" w:type="dxa"/>
              <w:left w:w="85" w:type="dxa"/>
              <w:bottom w:w="0" w:type="dxa"/>
              <w:right w:w="85" w:type="dxa"/>
            </w:tcMar>
          </w:tcPr>
          <w:p w14:paraId="377B14AF" w14:textId="77777777" w:rsidR="00EB5913" w:rsidRPr="006623B9" w:rsidRDefault="00EB5913" w:rsidP="00F16E23">
            <w:pPr>
              <w:pStyle w:val="TableText"/>
              <w:spacing w:before="40" w:after="40"/>
            </w:pPr>
            <w:r w:rsidRPr="006623B9">
              <w:rPr>
                <w:rFonts w:eastAsia="Calibri"/>
              </w:rPr>
              <w:t>Ratio of total nitrogen to biodegradable COD (TN:COD</w:t>
            </w:r>
            <w:r w:rsidRPr="006623B9">
              <w:rPr>
                <w:rFonts w:eastAsia="Calibri"/>
                <w:vertAlign w:val="subscript"/>
              </w:rPr>
              <w:t>b</w:t>
            </w:r>
            <w:r w:rsidRPr="006623B9">
              <w:rPr>
                <w:rFonts w:eastAsia="Calibri"/>
              </w:rPr>
              <w:t>)</w:t>
            </w:r>
          </w:p>
        </w:tc>
        <w:tc>
          <w:tcPr>
            <w:tcW w:w="850" w:type="dxa"/>
            <w:shd w:val="clear" w:color="auto" w:fill="FFFFFF"/>
            <w:tcMar>
              <w:top w:w="0" w:type="dxa"/>
              <w:left w:w="85" w:type="dxa"/>
              <w:bottom w:w="0" w:type="dxa"/>
              <w:right w:w="85" w:type="dxa"/>
            </w:tcMar>
          </w:tcPr>
          <w:p w14:paraId="07D54968" w14:textId="77777777" w:rsidR="00EB5913" w:rsidRPr="006623B9" w:rsidRDefault="00EB5913" w:rsidP="00F16E23">
            <w:pPr>
              <w:pStyle w:val="TableText"/>
              <w:spacing w:before="40" w:after="40"/>
            </w:pPr>
            <w:r w:rsidRPr="006623B9">
              <w:rPr>
                <w:rFonts w:eastAsia="Calibri"/>
              </w:rPr>
              <w:t>0.08</w:t>
            </w:r>
          </w:p>
        </w:tc>
        <w:tc>
          <w:tcPr>
            <w:tcW w:w="1559" w:type="dxa"/>
            <w:shd w:val="clear" w:color="auto" w:fill="FFFFFF"/>
            <w:tcMar>
              <w:top w:w="0" w:type="dxa"/>
              <w:left w:w="85" w:type="dxa"/>
              <w:bottom w:w="0" w:type="dxa"/>
              <w:right w:w="85" w:type="dxa"/>
            </w:tcMar>
          </w:tcPr>
          <w:p w14:paraId="1C6DC75E"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3A86178C" w14:textId="77777777" w:rsidR="00EB5913" w:rsidRPr="006623B9" w:rsidRDefault="00EB5913" w:rsidP="00F16E23">
            <w:pPr>
              <w:pStyle w:val="TableText"/>
              <w:spacing w:before="40" w:after="40"/>
            </w:pPr>
            <w:r w:rsidRPr="006623B9">
              <w:rPr>
                <w:rFonts w:eastAsia="Calibri"/>
              </w:rPr>
              <w:t>Cardno (unpublished)</w:t>
            </w:r>
          </w:p>
        </w:tc>
      </w:tr>
      <w:tr w:rsidR="00EB5913" w:rsidRPr="006623B9" w14:paraId="4AF651E5" w14:textId="77777777" w:rsidTr="00F16E23">
        <w:tc>
          <w:tcPr>
            <w:tcW w:w="4395" w:type="dxa"/>
            <w:shd w:val="clear" w:color="auto" w:fill="FFFFFF"/>
            <w:tcMar>
              <w:top w:w="0" w:type="dxa"/>
              <w:left w:w="85" w:type="dxa"/>
              <w:bottom w:w="0" w:type="dxa"/>
              <w:right w:w="85" w:type="dxa"/>
            </w:tcMar>
          </w:tcPr>
          <w:p w14:paraId="166F003D" w14:textId="77777777" w:rsidR="00EB5913" w:rsidRPr="006623B9" w:rsidRDefault="00EB5913" w:rsidP="00F16E23">
            <w:pPr>
              <w:pStyle w:val="TableText"/>
              <w:spacing w:before="40" w:after="40"/>
            </w:pPr>
            <w:r w:rsidRPr="006623B9">
              <w:rPr>
                <w:rFonts w:eastAsia="Calibri"/>
              </w:rPr>
              <w:t>Overall emission factor</w:t>
            </w:r>
          </w:p>
        </w:tc>
        <w:tc>
          <w:tcPr>
            <w:tcW w:w="850" w:type="dxa"/>
            <w:shd w:val="clear" w:color="auto" w:fill="FFFFFF"/>
            <w:tcMar>
              <w:top w:w="0" w:type="dxa"/>
              <w:left w:w="85" w:type="dxa"/>
              <w:bottom w:w="0" w:type="dxa"/>
              <w:right w:w="85" w:type="dxa"/>
            </w:tcMar>
          </w:tcPr>
          <w:p w14:paraId="3B68DAA2" w14:textId="77777777" w:rsidR="00EB5913" w:rsidRPr="006623B9" w:rsidRDefault="00EB5913" w:rsidP="00F16E23">
            <w:pPr>
              <w:pStyle w:val="TableText"/>
              <w:spacing w:before="40" w:after="40"/>
            </w:pPr>
            <w:r w:rsidRPr="006623B9">
              <w:rPr>
                <w:rFonts w:eastAsia="Calibri"/>
              </w:rPr>
              <w:t>0.002</w:t>
            </w:r>
          </w:p>
        </w:tc>
        <w:tc>
          <w:tcPr>
            <w:tcW w:w="1559" w:type="dxa"/>
            <w:shd w:val="clear" w:color="auto" w:fill="FFFFFF"/>
            <w:tcMar>
              <w:top w:w="0" w:type="dxa"/>
              <w:left w:w="85" w:type="dxa"/>
              <w:bottom w:w="0" w:type="dxa"/>
              <w:right w:w="85" w:type="dxa"/>
            </w:tcMar>
          </w:tcPr>
          <w:p w14:paraId="409854B7" w14:textId="77777777" w:rsidR="00EB5913" w:rsidRPr="006623B9" w:rsidRDefault="00EB5913" w:rsidP="00F16E23">
            <w:pPr>
              <w:pStyle w:val="TableText"/>
              <w:spacing w:before="40" w:after="40"/>
            </w:pPr>
            <w:r w:rsidRPr="006623B9">
              <w:rPr>
                <w:rFonts w:eastAsia="Calibri"/>
              </w:rPr>
              <w:t>New Zealand specific</w:t>
            </w:r>
          </w:p>
        </w:tc>
        <w:tc>
          <w:tcPr>
            <w:tcW w:w="1690" w:type="dxa"/>
            <w:shd w:val="clear" w:color="auto" w:fill="FFFFFF"/>
            <w:tcMar>
              <w:top w:w="0" w:type="dxa"/>
              <w:left w:w="85" w:type="dxa"/>
              <w:bottom w:w="0" w:type="dxa"/>
              <w:right w:w="85" w:type="dxa"/>
            </w:tcMar>
          </w:tcPr>
          <w:p w14:paraId="2EF6BE7B" w14:textId="77777777" w:rsidR="00EB5913" w:rsidRPr="006623B9" w:rsidRDefault="00EB5913" w:rsidP="00F16E23">
            <w:pPr>
              <w:pStyle w:val="TableText"/>
              <w:spacing w:before="40" w:after="40"/>
            </w:pPr>
            <w:r w:rsidRPr="006623B9">
              <w:rPr>
                <w:rFonts w:eastAsia="Calibri"/>
              </w:rPr>
              <w:t>Derived from Cardno (unpublished)</w:t>
            </w:r>
          </w:p>
        </w:tc>
      </w:tr>
    </w:tbl>
    <w:p w14:paraId="66B09688" w14:textId="77777777" w:rsidR="00EB5913" w:rsidRPr="006623B9" w:rsidRDefault="00EB5913" w:rsidP="00EB5913">
      <w:pPr>
        <w:pStyle w:val="Noteundertable"/>
      </w:pPr>
      <w:r w:rsidRPr="006623B9">
        <w:rPr>
          <w:b/>
          <w:bCs/>
        </w:rPr>
        <w:t>Note:</w:t>
      </w:r>
      <w:r w:rsidRPr="006623B9">
        <w:t xml:space="preserve"> </w:t>
      </w:r>
      <w:r w:rsidRPr="006623B9">
        <w:tab/>
        <w:t>COD = chemical oxygen demand; COD</w:t>
      </w:r>
      <w:r w:rsidRPr="006623B9">
        <w:rPr>
          <w:vertAlign w:val="subscript"/>
        </w:rPr>
        <w:t>b</w:t>
      </w:r>
      <w:r w:rsidRPr="006623B9">
        <w:t xml:space="preserve"> = COD of total biodegradable material; TN = total nitrogen.</w:t>
      </w:r>
    </w:p>
    <w:p w14:paraId="1F8BBF2B" w14:textId="77777777" w:rsidR="00EB5913" w:rsidRPr="006623B9" w:rsidRDefault="00EB5913" w:rsidP="00EB5913">
      <w:pPr>
        <w:pStyle w:val="Heading6"/>
      </w:pPr>
      <w:bookmarkStart w:id="3149" w:name="recovery-9"/>
      <w:r w:rsidRPr="006623B9">
        <w:t>Recovery</w:t>
      </w:r>
    </w:p>
    <w:p w14:paraId="4F318D57" w14:textId="77777777" w:rsidR="00EB5913" w:rsidRPr="006623B9" w:rsidRDefault="00EB5913" w:rsidP="00EB5913">
      <w:pPr>
        <w:pStyle w:val="BodyText"/>
      </w:pPr>
      <w:r w:rsidRPr="006623B9">
        <w:t>There is no recovery of emissions reported for this source.</w:t>
      </w:r>
    </w:p>
    <w:p w14:paraId="3B082FB4" w14:textId="77777777" w:rsidR="00EB5913" w:rsidRPr="006623B9" w:rsidRDefault="00EB5913" w:rsidP="00EB5913">
      <w:pPr>
        <w:pStyle w:val="Heading3"/>
        <w:spacing w:before="240"/>
      </w:pPr>
      <w:bookmarkStart w:id="3150" w:name="X335db87626b49a835690f4032684f06d4f55ca8"/>
      <w:bookmarkEnd w:id="3098"/>
      <w:bookmarkEnd w:id="3125"/>
      <w:bookmarkEnd w:id="3147"/>
      <w:bookmarkEnd w:id="3149"/>
      <w:r w:rsidRPr="006623B9">
        <w:t xml:space="preserve">7.5.3 </w:t>
      </w:r>
      <w:r w:rsidRPr="006623B9">
        <w:tab/>
        <w:t>Uncertainty assessment and time-series consistency</w:t>
      </w:r>
    </w:p>
    <w:p w14:paraId="441AD1D9" w14:textId="77777777" w:rsidR="00EB5913" w:rsidRPr="006623B9" w:rsidRDefault="00EB5913" w:rsidP="00EB5913">
      <w:pPr>
        <w:pStyle w:val="Heading4"/>
      </w:pPr>
      <w:bookmarkStart w:id="3151" w:name="uncertainties-4"/>
      <w:r w:rsidRPr="006623B9">
        <w:t>Uncertainties</w:t>
      </w:r>
    </w:p>
    <w:p w14:paraId="53F15A48" w14:textId="77777777" w:rsidR="00EB5913" w:rsidRPr="006623B9" w:rsidRDefault="00EB5913" w:rsidP="00EB5913">
      <w:pPr>
        <w:pStyle w:val="BodyText"/>
      </w:pPr>
      <w:r w:rsidRPr="006623B9">
        <w:t>Uncertainties in the assessment of CH</w:t>
      </w:r>
      <w:r w:rsidRPr="006623B9">
        <w:rPr>
          <w:vertAlign w:val="subscript"/>
        </w:rPr>
        <w:t>4</w:t>
      </w:r>
      <w:r w:rsidRPr="006623B9">
        <w:t xml:space="preserve"> emissions from domestic and industrial wastewater are set out in table 7.5.16.</w:t>
      </w:r>
    </w:p>
    <w:p w14:paraId="6D215DEF" w14:textId="77777777" w:rsidR="00EB5913" w:rsidRPr="006623B9" w:rsidRDefault="00EB5913" w:rsidP="00EB5913">
      <w:pPr>
        <w:pStyle w:val="Table"/>
      </w:pPr>
      <w:bookmarkStart w:id="3152" w:name="_Toc226669135"/>
      <w:r w:rsidRPr="006623B9">
        <w:t xml:space="preserve">Table 7.5.16 </w:t>
      </w:r>
      <w:r w:rsidRPr="006623B9">
        <w:tab/>
        <w:t>Uncertainty in emissions from wastewater</w:t>
      </w:r>
      <w:bookmarkEnd w:id="315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39"/>
        <w:gridCol w:w="2482"/>
        <w:gridCol w:w="2773"/>
      </w:tblGrid>
      <w:tr w:rsidR="00EB5913" w:rsidRPr="006623B9" w14:paraId="081E4A26" w14:textId="77777777" w:rsidTr="00F16E23">
        <w:trPr>
          <w:tblHeader/>
        </w:trPr>
        <w:tc>
          <w:tcPr>
            <w:tcW w:w="0" w:type="auto"/>
            <w:shd w:val="clear" w:color="auto" w:fill="1B556B"/>
            <w:tcMar>
              <w:top w:w="0" w:type="dxa"/>
              <w:left w:w="85" w:type="dxa"/>
              <w:bottom w:w="0" w:type="dxa"/>
              <w:right w:w="85" w:type="dxa"/>
            </w:tcMar>
            <w:vAlign w:val="center"/>
          </w:tcPr>
          <w:p w14:paraId="341D9B9A" w14:textId="77777777" w:rsidR="00EB5913" w:rsidRPr="006623B9" w:rsidRDefault="00EB5913" w:rsidP="00F16E23">
            <w:pPr>
              <w:pStyle w:val="TableTextBold"/>
              <w:spacing w:before="40" w:after="40"/>
              <w:rPr>
                <w:noProof w:val="0"/>
                <w:color w:val="FFFFFF" w:themeColor="background1"/>
              </w:rPr>
            </w:pPr>
            <w:r w:rsidRPr="006623B9">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6EE72D7F"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35C95713" w14:textId="77777777" w:rsidR="00EB5913" w:rsidRPr="006623B9" w:rsidRDefault="00EB5913" w:rsidP="00F16E23">
            <w:pPr>
              <w:pStyle w:val="TableTextBold"/>
              <w:spacing w:before="40" w:after="40"/>
              <w:jc w:val="right"/>
              <w:rPr>
                <w:noProof w:val="0"/>
                <w:color w:val="FFFFFF" w:themeColor="background1"/>
              </w:rPr>
            </w:pPr>
            <w:r w:rsidRPr="006623B9">
              <w:rPr>
                <w:rFonts w:eastAsia="Calibri"/>
                <w:noProof w:val="0"/>
                <w:color w:val="FFFFFF" w:themeColor="background1"/>
              </w:rPr>
              <w:t>Uncertainty in emission factors (%)</w:t>
            </w:r>
          </w:p>
        </w:tc>
      </w:tr>
      <w:tr w:rsidR="00EB5913" w:rsidRPr="006623B9" w14:paraId="1AF0D71B" w14:textId="77777777" w:rsidTr="00F16E23">
        <w:tc>
          <w:tcPr>
            <w:tcW w:w="0" w:type="auto"/>
            <w:shd w:val="clear" w:color="auto" w:fill="FFFFFF"/>
            <w:tcMar>
              <w:top w:w="0" w:type="dxa"/>
              <w:left w:w="85" w:type="dxa"/>
              <w:bottom w:w="0" w:type="dxa"/>
              <w:right w:w="85" w:type="dxa"/>
            </w:tcMar>
            <w:vAlign w:val="center"/>
          </w:tcPr>
          <w:p w14:paraId="0D0F49E8" w14:textId="77777777" w:rsidR="00EB5913" w:rsidRPr="006623B9" w:rsidRDefault="00EB5913" w:rsidP="00F16E23">
            <w:pPr>
              <w:pStyle w:val="TableText"/>
              <w:spacing w:before="40" w:after="40"/>
            </w:pPr>
            <w:r w:rsidRPr="006623B9">
              <w:rPr>
                <w:rFonts w:eastAsia="Calibri"/>
              </w:rPr>
              <w:t>Domestic and industrial wastewater (CH₄)</w:t>
            </w:r>
          </w:p>
        </w:tc>
        <w:tc>
          <w:tcPr>
            <w:tcW w:w="0" w:type="auto"/>
            <w:shd w:val="clear" w:color="auto" w:fill="FFFFFF"/>
            <w:tcMar>
              <w:top w:w="0" w:type="dxa"/>
              <w:left w:w="85" w:type="dxa"/>
              <w:bottom w:w="0" w:type="dxa"/>
              <w:right w:w="85" w:type="dxa"/>
            </w:tcMar>
            <w:vAlign w:val="center"/>
          </w:tcPr>
          <w:p w14:paraId="1E93024E" w14:textId="77777777" w:rsidR="00EB5913" w:rsidRPr="006623B9" w:rsidRDefault="00EB5913" w:rsidP="00F16E23">
            <w:pPr>
              <w:pStyle w:val="TableText"/>
              <w:spacing w:before="40" w:after="40"/>
              <w:jc w:val="right"/>
            </w:pPr>
            <w:r w:rsidRPr="006623B9">
              <w:rPr>
                <w:rFonts w:eastAsia="Calibri"/>
              </w:rPr>
              <w:t>±10</w:t>
            </w:r>
          </w:p>
        </w:tc>
        <w:tc>
          <w:tcPr>
            <w:tcW w:w="0" w:type="auto"/>
            <w:shd w:val="clear" w:color="auto" w:fill="FFFFFF"/>
            <w:tcMar>
              <w:top w:w="0" w:type="dxa"/>
              <w:left w:w="85" w:type="dxa"/>
              <w:bottom w:w="0" w:type="dxa"/>
              <w:right w:w="85" w:type="dxa"/>
            </w:tcMar>
            <w:vAlign w:val="center"/>
          </w:tcPr>
          <w:p w14:paraId="08CC2695" w14:textId="77777777" w:rsidR="00EB5913" w:rsidRPr="006623B9" w:rsidRDefault="00EB5913" w:rsidP="00F16E23">
            <w:pPr>
              <w:pStyle w:val="TableText"/>
              <w:spacing w:before="40" w:after="40"/>
              <w:jc w:val="right"/>
            </w:pPr>
            <w:r w:rsidRPr="006623B9">
              <w:rPr>
                <w:rFonts w:eastAsia="Calibri"/>
              </w:rPr>
              <w:t>±40</w:t>
            </w:r>
          </w:p>
        </w:tc>
      </w:tr>
      <w:tr w:rsidR="00EB5913" w:rsidRPr="006623B9" w14:paraId="1254E2A0" w14:textId="77777777" w:rsidTr="00F16E23">
        <w:tc>
          <w:tcPr>
            <w:tcW w:w="0" w:type="auto"/>
            <w:shd w:val="clear" w:color="auto" w:fill="FFFFFF"/>
            <w:tcMar>
              <w:top w:w="0" w:type="dxa"/>
              <w:left w:w="85" w:type="dxa"/>
              <w:bottom w:w="0" w:type="dxa"/>
              <w:right w:w="85" w:type="dxa"/>
            </w:tcMar>
            <w:vAlign w:val="center"/>
          </w:tcPr>
          <w:p w14:paraId="2478EA65" w14:textId="77777777" w:rsidR="00EB5913" w:rsidRPr="006623B9" w:rsidRDefault="00EB5913" w:rsidP="00F16E23">
            <w:pPr>
              <w:pStyle w:val="TableText"/>
              <w:spacing w:before="40" w:after="40"/>
            </w:pPr>
            <w:r w:rsidRPr="006623B9">
              <w:rPr>
                <w:rFonts w:eastAsia="Calibri"/>
              </w:rPr>
              <w:t>Domestic and industrial wastewater (N₂O)</w:t>
            </w:r>
          </w:p>
        </w:tc>
        <w:tc>
          <w:tcPr>
            <w:tcW w:w="0" w:type="auto"/>
            <w:shd w:val="clear" w:color="auto" w:fill="FFFFFF"/>
            <w:tcMar>
              <w:top w:w="0" w:type="dxa"/>
              <w:left w:w="85" w:type="dxa"/>
              <w:bottom w:w="0" w:type="dxa"/>
              <w:right w:w="85" w:type="dxa"/>
            </w:tcMar>
            <w:vAlign w:val="center"/>
          </w:tcPr>
          <w:p w14:paraId="4DC4F863" w14:textId="77777777" w:rsidR="00EB5913" w:rsidRPr="006623B9" w:rsidRDefault="00EB5913" w:rsidP="00F16E23">
            <w:pPr>
              <w:pStyle w:val="TableText"/>
              <w:spacing w:before="40" w:after="40"/>
              <w:jc w:val="right"/>
            </w:pPr>
            <w:r w:rsidRPr="006623B9">
              <w:rPr>
                <w:rFonts w:eastAsia="Calibri"/>
              </w:rPr>
              <w:t>±10</w:t>
            </w:r>
          </w:p>
        </w:tc>
        <w:tc>
          <w:tcPr>
            <w:tcW w:w="0" w:type="auto"/>
            <w:shd w:val="clear" w:color="auto" w:fill="FFFFFF"/>
            <w:tcMar>
              <w:top w:w="0" w:type="dxa"/>
              <w:left w:w="85" w:type="dxa"/>
              <w:bottom w:w="0" w:type="dxa"/>
              <w:right w:w="85" w:type="dxa"/>
            </w:tcMar>
            <w:vAlign w:val="center"/>
          </w:tcPr>
          <w:p w14:paraId="1879C3B0" w14:textId="77777777" w:rsidR="00EB5913" w:rsidRPr="006623B9" w:rsidRDefault="00EB5913" w:rsidP="00F16E23">
            <w:pPr>
              <w:pStyle w:val="TableText"/>
              <w:spacing w:before="40" w:after="40"/>
              <w:jc w:val="right"/>
            </w:pPr>
            <w:r w:rsidRPr="006623B9">
              <w:rPr>
                <w:rFonts w:eastAsia="Calibri"/>
              </w:rPr>
              <w:t>±90</w:t>
            </w:r>
          </w:p>
        </w:tc>
      </w:tr>
    </w:tbl>
    <w:p w14:paraId="5D86C3A1" w14:textId="77777777" w:rsidR="00EB5913" w:rsidRPr="006623B9" w:rsidRDefault="00EB5913" w:rsidP="00EB5913">
      <w:pPr>
        <w:pStyle w:val="Heading5"/>
        <w:spacing w:before="400"/>
      </w:pPr>
      <w:bookmarkStart w:id="3153" w:name="methane-emissions"/>
      <w:r w:rsidRPr="006623B9">
        <w:t>Methane emissions</w:t>
      </w:r>
    </w:p>
    <w:p w14:paraId="160BD779" w14:textId="77777777" w:rsidR="00EB5913" w:rsidRPr="006623B9" w:rsidRDefault="00EB5913" w:rsidP="00EB5913">
      <w:pPr>
        <w:pStyle w:val="BodyText"/>
      </w:pPr>
      <w:r w:rsidRPr="006623B9">
        <w:t>The parameters used to estimate CH</w:t>
      </w:r>
      <w:r w:rsidRPr="006623B9">
        <w:rPr>
          <w:vertAlign w:val="subscript"/>
        </w:rPr>
        <w:t>4</w:t>
      </w:r>
      <w:r w:rsidRPr="006623B9">
        <w:t xml:space="preserve"> emissions from domestic and industrial wastewater (see table 7.5.16) have an estimated uncertainty of ±40 percent (SCS Wetherill Environmental, unpublished). This stems from uncertainties in:</w:t>
      </w:r>
    </w:p>
    <w:p w14:paraId="5F560A95" w14:textId="77777777" w:rsidR="00EB5913" w:rsidRPr="006623B9" w:rsidRDefault="00EB5913" w:rsidP="00EB5913">
      <w:pPr>
        <w:pStyle w:val="Bullet"/>
      </w:pPr>
      <w:r w:rsidRPr="006623B9">
        <w:t>the factors used to calculate emissions from the different wastewater treatment processes</w:t>
      </w:r>
    </w:p>
    <w:p w14:paraId="02E0D6DE" w14:textId="77777777" w:rsidR="00EB5913" w:rsidRPr="006623B9" w:rsidRDefault="00EB5913" w:rsidP="00EB5913">
      <w:pPr>
        <w:pStyle w:val="Bullet"/>
      </w:pPr>
      <w:r w:rsidRPr="006623B9">
        <w:t>the quantities of wastewater handled by the different wastewater treatment plants</w:t>
      </w:r>
    </w:p>
    <w:p w14:paraId="069FA2DF" w14:textId="77777777" w:rsidR="00EB5913" w:rsidRPr="006623B9" w:rsidRDefault="00EB5913" w:rsidP="00EB5913">
      <w:pPr>
        <w:pStyle w:val="Bullet"/>
      </w:pPr>
      <w:r w:rsidRPr="006623B9">
        <w:t>the accuracy and completeness of the data relating to each plant</w:t>
      </w:r>
    </w:p>
    <w:p w14:paraId="3537FC89" w14:textId="77777777" w:rsidR="00EB5913" w:rsidRPr="006623B9" w:rsidRDefault="00EB5913" w:rsidP="00EB5913">
      <w:pPr>
        <w:pStyle w:val="Bullet"/>
      </w:pPr>
      <w:r w:rsidRPr="006623B9">
        <w:t>the factors used to calculate the degradable organic content in the wastewater</w:t>
      </w:r>
    </w:p>
    <w:p w14:paraId="3FDFF518" w14:textId="77777777" w:rsidR="00EB5913" w:rsidRPr="006623B9" w:rsidRDefault="00EB5913" w:rsidP="00EB5913">
      <w:pPr>
        <w:pStyle w:val="Bullet"/>
      </w:pPr>
      <w:r w:rsidRPr="006623B9">
        <w:t>the wastewater treatment methods.</w:t>
      </w:r>
    </w:p>
    <w:p w14:paraId="0DCA6271" w14:textId="77777777" w:rsidR="00EB5913" w:rsidRPr="006623B9" w:rsidRDefault="00EB5913" w:rsidP="00EB5913">
      <w:pPr>
        <w:pStyle w:val="Heading5"/>
      </w:pPr>
      <w:bookmarkStart w:id="3154" w:name="nitrous-oxide-emissions-1"/>
      <w:bookmarkEnd w:id="3153"/>
      <w:r w:rsidRPr="006623B9">
        <w:t>Nitrous oxide emissions</w:t>
      </w:r>
    </w:p>
    <w:p w14:paraId="282F3436" w14:textId="77777777" w:rsidR="00EB5913" w:rsidRPr="006623B9" w:rsidRDefault="00EB5913" w:rsidP="00EB5913">
      <w:pPr>
        <w:pStyle w:val="BodyText"/>
      </w:pPr>
      <w:r w:rsidRPr="006623B9">
        <w:t>Large uncertainties are associated with the IPCC default emission factors for N</w:t>
      </w:r>
      <w:r w:rsidRPr="006623B9">
        <w:rPr>
          <w:vertAlign w:val="subscript"/>
        </w:rPr>
        <w:t>2</w:t>
      </w:r>
      <w:r w:rsidRPr="006623B9">
        <w:t>O emissions from wastewater treatment effluent (IPCC, 2006a). The uncertainty is estimated to be ±90 percent based on the ranges experienced in collecting and applying similar data internationally, and expert judgement on the application of this experience to New Zealand (Law et al., 2012).</w:t>
      </w:r>
    </w:p>
    <w:p w14:paraId="35F2C712" w14:textId="77777777" w:rsidR="00EB5913" w:rsidRPr="006623B9" w:rsidRDefault="00EB5913" w:rsidP="00EB5913">
      <w:pPr>
        <w:pStyle w:val="Heading4"/>
      </w:pPr>
      <w:bookmarkStart w:id="3155" w:name="time-series-consistency-3"/>
      <w:bookmarkEnd w:id="3151"/>
      <w:bookmarkEnd w:id="3154"/>
      <w:r w:rsidRPr="006623B9">
        <w:t>Time-series consistency</w:t>
      </w:r>
    </w:p>
    <w:p w14:paraId="3DCBD402" w14:textId="77777777" w:rsidR="00EB5913" w:rsidRPr="006623B9" w:rsidRDefault="00EB5913" w:rsidP="00EB5913">
      <w:pPr>
        <w:pStyle w:val="BodyText"/>
      </w:pPr>
      <w:r w:rsidRPr="006623B9">
        <w:t>Time-series consistency is ensured by the use of consistent models and parameters across the period. Where changes to methodologies or emission factors have occurred, the entire time series has been recalculated.</w:t>
      </w:r>
    </w:p>
    <w:p w14:paraId="4F911BBB" w14:textId="77777777" w:rsidR="00EB5913" w:rsidRPr="006623B9" w:rsidRDefault="00EB5913" w:rsidP="00EB5913">
      <w:pPr>
        <w:pStyle w:val="Heading3"/>
      </w:pPr>
      <w:bookmarkStart w:id="3156" w:name="X82c00aa75cec5601534b14371f804a69d91c8c4"/>
      <w:bookmarkEnd w:id="3150"/>
      <w:bookmarkEnd w:id="3155"/>
      <w:r w:rsidRPr="006623B9">
        <w:t xml:space="preserve">7.5.4 </w:t>
      </w:r>
      <w:r w:rsidRPr="006623B9">
        <w:tab/>
        <w:t>Category-specific QA/QC and verification</w:t>
      </w:r>
    </w:p>
    <w:p w14:paraId="0CE1A7F5" w14:textId="77777777" w:rsidR="00EB5913" w:rsidRPr="006623B9" w:rsidRDefault="00EB5913" w:rsidP="00EB5913">
      <w:pPr>
        <w:pStyle w:val="BodyText"/>
      </w:pPr>
      <w:r w:rsidRPr="006623B9">
        <w:t xml:space="preserve">In the preparation for this inventory submission, the data for the </w:t>
      </w:r>
      <w:r w:rsidRPr="006623B9">
        <w:rPr>
          <w:i/>
          <w:iCs/>
        </w:rPr>
        <w:t>Wastewater treatment and discharge</w:t>
      </w:r>
      <w:r w:rsidRPr="006623B9">
        <w:t xml:space="preserve"> category underwent Tier 1 quality checks.</w:t>
      </w:r>
    </w:p>
    <w:p w14:paraId="47F51F5F" w14:textId="77777777" w:rsidR="00EB5913" w:rsidRPr="006623B9" w:rsidRDefault="00EB5913" w:rsidP="00EB5913">
      <w:pPr>
        <w:pStyle w:val="Heading3"/>
      </w:pPr>
      <w:bookmarkStart w:id="3157" w:name="category-specific-recalculations-3"/>
      <w:bookmarkEnd w:id="3156"/>
      <w:r w:rsidRPr="006623B9">
        <w:t xml:space="preserve">7.5.5 </w:t>
      </w:r>
      <w:r w:rsidRPr="006623B9">
        <w:tab/>
        <w:t>Category-specific recalculations</w:t>
      </w:r>
    </w:p>
    <w:p w14:paraId="21C15049" w14:textId="77777777" w:rsidR="00EB5913" w:rsidRPr="006623B9" w:rsidRDefault="00EB5913" w:rsidP="00EB5913">
      <w:pPr>
        <w:pStyle w:val="Heading4"/>
      </w:pPr>
      <w:bookmarkStart w:id="3158" w:name="X5c9c54e7058d7078b7a5b4d3a53718bf553c884"/>
      <w:r w:rsidRPr="006623B9">
        <w:t>Emissions from domestic and industrial wastewater treatment</w:t>
      </w:r>
    </w:p>
    <w:p w14:paraId="1031D305" w14:textId="77777777" w:rsidR="00EB5913" w:rsidRPr="006623B9" w:rsidRDefault="00EB5913" w:rsidP="00EB5913">
      <w:pPr>
        <w:pStyle w:val="BodyText"/>
      </w:pPr>
      <w:r w:rsidRPr="006623B9">
        <w:t xml:space="preserve">Improvements and recalculations to estimates in the </w:t>
      </w:r>
      <w:r w:rsidRPr="006623B9">
        <w:rPr>
          <w:i/>
          <w:iCs/>
        </w:rPr>
        <w:t>Wastewater treatment and discharge</w:t>
      </w:r>
      <w:r w:rsidRPr="006623B9">
        <w:t xml:space="preserve"> category have resulted in a 1.0 percent (3.3 kt CO</w:t>
      </w:r>
      <w:r w:rsidRPr="006623B9">
        <w:rPr>
          <w:vertAlign w:val="subscript"/>
        </w:rPr>
        <w:t>2</w:t>
      </w:r>
      <w:r w:rsidRPr="006623B9">
        <w:t>e) increase in 1990, a 0.3 percent (1.0 kt CO</w:t>
      </w:r>
      <w:r w:rsidRPr="006623B9">
        <w:rPr>
          <w:vertAlign w:val="subscript"/>
        </w:rPr>
        <w:t>2</w:t>
      </w:r>
      <w:r w:rsidRPr="006623B9">
        <w:t>e) increase in 2005 and a 0.7 percent (2.6 kt CO</w:t>
      </w:r>
      <w:r w:rsidRPr="006623B9">
        <w:rPr>
          <w:vertAlign w:val="subscript"/>
        </w:rPr>
        <w:t>2</w:t>
      </w:r>
      <w:r w:rsidRPr="006623B9">
        <w:t>e) decrease in 2023. This is the result of revising population data using the latest estimates available and applying these consistently across the time series where possible.</w:t>
      </w:r>
    </w:p>
    <w:p w14:paraId="627919C4" w14:textId="77777777" w:rsidR="00EB5913" w:rsidRPr="006623B9" w:rsidRDefault="00EB5913" w:rsidP="00EB5913">
      <w:pPr>
        <w:pStyle w:val="Heading3"/>
      </w:pPr>
      <w:bookmarkStart w:id="3159" w:name="category-specific-planned-improvements-3"/>
      <w:bookmarkEnd w:id="3157"/>
      <w:bookmarkEnd w:id="3158"/>
      <w:r w:rsidRPr="006623B9">
        <w:t xml:space="preserve">7.5.6 </w:t>
      </w:r>
      <w:r w:rsidRPr="006623B9">
        <w:tab/>
        <w:t>Category-specific planned improvements</w:t>
      </w:r>
    </w:p>
    <w:p w14:paraId="5ADE61D2" w14:textId="77777777" w:rsidR="00EB5913" w:rsidRPr="006623B9" w:rsidRDefault="00EB5913" w:rsidP="00EB5913">
      <w:pPr>
        <w:pStyle w:val="BodyText"/>
      </w:pPr>
      <w:r w:rsidRPr="006623B9">
        <w:t>Three areas within the Wastewater treatment and discharge category have been identified for potential future improvements.</w:t>
      </w:r>
    </w:p>
    <w:p w14:paraId="205BAB87" w14:textId="77777777" w:rsidR="00EB5913" w:rsidRPr="006623B9" w:rsidRDefault="00EB5913" w:rsidP="00EB5913">
      <w:pPr>
        <w:pStyle w:val="Bullet"/>
      </w:pPr>
      <w:r w:rsidRPr="006623B9">
        <w:rPr>
          <w:spacing w:val="-2"/>
        </w:rPr>
        <w:t>Methane recovery and flaring from the Domestic and Industrial wastewater sub-categories</w:t>
      </w:r>
      <w:r w:rsidRPr="006623B9">
        <w:t xml:space="preserve"> </w:t>
      </w:r>
      <w:r w:rsidRPr="006623B9">
        <w:rPr>
          <w:spacing w:val="-2"/>
        </w:rPr>
        <w:t>have not been estimated in this or previous submissions due to the limited and inconsistent</w:t>
      </w:r>
      <w:r w:rsidRPr="006623B9">
        <w:t xml:space="preserve"> data on recovery volumes. The inventory agency will aim to include estimates in future submissions, subject to the availability of budget, resources and suitable data.</w:t>
      </w:r>
    </w:p>
    <w:p w14:paraId="77D025A4" w14:textId="77777777" w:rsidR="00EB5913" w:rsidRPr="006623B9" w:rsidRDefault="00EB5913" w:rsidP="00EB5913">
      <w:pPr>
        <w:pStyle w:val="Bullet"/>
      </w:pPr>
      <w:r w:rsidRPr="006623B9">
        <w:t>Information on nutrient-removal technologies installed at major wastewater treatment plants outside Auckland has not been supplied in this or previous submissions. The inventory agency will aim to incorporate additional information in the next submission, depending on data availability.</w:t>
      </w:r>
    </w:p>
    <w:p w14:paraId="07410F59" w14:textId="77777777" w:rsidR="00EB5913" w:rsidRPr="006623B9" w:rsidRDefault="00EB5913" w:rsidP="00EB5913">
      <w:pPr>
        <w:pStyle w:val="Bullet"/>
      </w:pPr>
      <w:r w:rsidRPr="006623B9">
        <w:t>Country-specific protein consumption values used to estimate N</w:t>
      </w:r>
      <w:r w:rsidRPr="006623B9">
        <w:rPr>
          <w:vertAlign w:val="subscript"/>
        </w:rPr>
        <w:t>2</w:t>
      </w:r>
      <w:r w:rsidRPr="006623B9">
        <w:t>O emissions for category 5.D (Wastewater treatment and discharge) are out of date. An update to these values is required, and the inventory agency will aim to provide revised information in the next submission, subject to the availability of data appropriate data.</w:t>
      </w:r>
      <w:r w:rsidRPr="006623B9">
        <w:br w:type="page"/>
      </w:r>
    </w:p>
    <w:p w14:paraId="65F68C17" w14:textId="77777777" w:rsidR="00EB5913" w:rsidRPr="006623B9" w:rsidRDefault="00EB5913" w:rsidP="00EB5913">
      <w:pPr>
        <w:pStyle w:val="Heading2"/>
        <w:spacing w:after="360"/>
      </w:pPr>
      <w:bookmarkStart w:id="3160" w:name="_Toc226460799"/>
      <w:bookmarkStart w:id="3161" w:name="chapter-7-references"/>
      <w:bookmarkEnd w:id="3093"/>
      <w:bookmarkEnd w:id="3159"/>
      <w:r w:rsidRPr="006623B9">
        <w:t>Chapter 7: References</w:t>
      </w:r>
      <w:bookmarkEnd w:id="3160"/>
    </w:p>
    <w:p w14:paraId="3E69487D" w14:textId="77777777" w:rsidR="00EB5913" w:rsidRPr="006623B9" w:rsidRDefault="00EB5913" w:rsidP="00EB5913">
      <w:pPr>
        <w:pStyle w:val="References"/>
      </w:pPr>
      <w:r w:rsidRPr="006623B9">
        <w:t>Beca Infrastructure Ltd. Unpublished. National Greenhouse Gas Inventory from Wastewater Treatment and Discharge. Report commissioned by the Ministry for the Environment in 2007.</w:t>
      </w:r>
    </w:p>
    <w:p w14:paraId="680EC018" w14:textId="77777777" w:rsidR="00EB5913" w:rsidRPr="006623B9" w:rsidRDefault="00EB5913" w:rsidP="00EB5913">
      <w:pPr>
        <w:pStyle w:val="References"/>
      </w:pPr>
      <w:r w:rsidRPr="006623B9">
        <w:t>Beca Ltd. Unpublished. Industrial Wastewater Greenhouse Gas (GHG) Estimates from the Pulp and Paper, Wool Scouring and Wine Industries for New Zealand’s GHG Inventory. Report commissioned by the Ministry for the Environment in 2013.</w:t>
      </w:r>
    </w:p>
    <w:p w14:paraId="18EC4D03" w14:textId="77777777" w:rsidR="00EB5913" w:rsidRPr="006623B9" w:rsidRDefault="00EB5913" w:rsidP="00EB5913">
      <w:pPr>
        <w:pStyle w:val="References"/>
      </w:pPr>
      <w:r w:rsidRPr="006623B9">
        <w:t>Cardno. Unpublished. Greenhouse Gas Emissions from Industrial Wastewater Treatment. Report commissioned by the Ministry for the Environment in 2015.</w:t>
      </w:r>
    </w:p>
    <w:p w14:paraId="3C531BF8" w14:textId="77777777" w:rsidR="00EB5913" w:rsidRPr="006623B9" w:rsidRDefault="00EB5913" w:rsidP="00EB5913">
      <w:pPr>
        <w:pStyle w:val="References"/>
      </w:pPr>
      <w:r w:rsidRPr="006623B9">
        <w:t>Eunomia Research and Consulting and Waste Not Consulting. Unpublished. Incorporating Waste Minimisation Act Data into New Zealand’s Greenhouse Gas Estimates. Report commissioned by the Ministry for the Environment in 2014.</w:t>
      </w:r>
    </w:p>
    <w:p w14:paraId="5B64D58E" w14:textId="77777777" w:rsidR="00EB5913" w:rsidRPr="006623B9" w:rsidRDefault="00EB5913" w:rsidP="00EB5913">
      <w:pPr>
        <w:pStyle w:val="References"/>
      </w:pPr>
      <w:r w:rsidRPr="006623B9">
        <w:t>Eunomia. Unpublished(a). Improvements to Estimates of Greenhouse Gas Emissions from Landfills. Report commissioned by the Ministry for the Environment in 2020.</w:t>
      </w:r>
    </w:p>
    <w:p w14:paraId="466187F8" w14:textId="77777777" w:rsidR="00EB5913" w:rsidRPr="006623B9" w:rsidRDefault="00EB5913" w:rsidP="00EB5913">
      <w:pPr>
        <w:pStyle w:val="References"/>
      </w:pPr>
      <w:r w:rsidRPr="006623B9">
        <w:t>Eunomia. Unpublished(b). Data updated from National Resource Recovery Project situational analysis report (2019). Commissioned by the Ministry for the Environment in 2020.</w:t>
      </w:r>
    </w:p>
    <w:p w14:paraId="26AA17B4" w14:textId="77777777" w:rsidR="00EB5913" w:rsidRPr="006623B9" w:rsidRDefault="00EB5913" w:rsidP="00EB5913">
      <w:pPr>
        <w:pStyle w:val="References"/>
      </w:pPr>
      <w:r w:rsidRPr="006623B9">
        <w:t>Eunomia. Unpublished(c). Waste Data Improvements for Non-Municipal Landfills and Farm Waste. Report commissioned by the Ministry for the Environment in 2022.</w:t>
      </w:r>
    </w:p>
    <w:p w14:paraId="665C095D" w14:textId="77777777" w:rsidR="00EB5913" w:rsidRPr="006623B9" w:rsidRDefault="00EB5913" w:rsidP="00EB5913">
      <w:pPr>
        <w:pStyle w:val="References"/>
      </w:pPr>
      <w:r w:rsidRPr="006623B9">
        <w:t>Eunomia. Unpublished(d). New Zealand’s National Recycling Rate: Options and estimates. Report commissioned by the Ministry for the Environment in 2024.</w:t>
      </w:r>
    </w:p>
    <w:p w14:paraId="73E01EBB" w14:textId="77777777" w:rsidR="00EB5913" w:rsidRPr="006623B9" w:rsidRDefault="00EB5913" w:rsidP="00EB5913">
      <w:pPr>
        <w:pStyle w:val="References"/>
      </w:pPr>
      <w:r w:rsidRPr="006623B9">
        <w:t xml:space="preserve">GHD. 2013. </w:t>
      </w:r>
      <w:r w:rsidRPr="006623B9">
        <w:rPr>
          <w:i/>
          <w:iCs/>
        </w:rPr>
        <w:t>Non-natural Rural Wastes: Site survey analysis</w:t>
      </w:r>
      <w:r w:rsidRPr="006623B9">
        <w:t>. GHD Ltd for the Canterbury Regional Council, published as Canterbury Regional Council Report No R13/52. Retrieved 9 November 2017.</w:t>
      </w:r>
    </w:p>
    <w:p w14:paraId="7807E5FD" w14:textId="77777777" w:rsidR="00EB5913" w:rsidRPr="006623B9" w:rsidRDefault="00EB5913" w:rsidP="00EB5913">
      <w:pPr>
        <w:pStyle w:val="References"/>
        <w:rPr>
          <w:spacing w:val="-2"/>
        </w:rPr>
      </w:pPr>
      <w:r w:rsidRPr="006623B9">
        <w:t xml:space="preserve">GHD. 2014. </w:t>
      </w:r>
      <w:r w:rsidRPr="006623B9">
        <w:rPr>
          <w:i/>
          <w:iCs/>
        </w:rPr>
        <w:t>Rural Waste Surveys Data Analysis: Waikato and Bay of Plenty.</w:t>
      </w:r>
      <w:r w:rsidRPr="006623B9">
        <w:t xml:space="preserve"> GHD Ltd for the Waikato </w:t>
      </w:r>
      <w:r w:rsidRPr="006623B9">
        <w:rPr>
          <w:spacing w:val="-2"/>
        </w:rPr>
        <w:t>Regional Council, published as Waikato Regional Council Report No 3114554. Retrieved 9 November 2017.</w:t>
      </w:r>
    </w:p>
    <w:p w14:paraId="620F1711" w14:textId="77777777" w:rsidR="00EB5913" w:rsidRPr="006623B9" w:rsidRDefault="00EB5913" w:rsidP="00EB5913">
      <w:pPr>
        <w:pStyle w:val="References"/>
      </w:pPr>
      <w:r w:rsidRPr="006623B9">
        <w:t xml:space="preserve">Gregory RG. 2017. </w:t>
      </w:r>
      <w:r w:rsidRPr="006623B9">
        <w:rPr>
          <w:i/>
          <w:iCs/>
        </w:rPr>
        <w:t>Landfill gas modelling: combining scientific rigour and commercial key performance indicators for reliable forecasting</w:t>
      </w:r>
      <w:r w:rsidRPr="006623B9">
        <w:t>. International Waste Working Group, Conference Proceedings Sardinia, TUHH 2017.</w:t>
      </w:r>
    </w:p>
    <w:p w14:paraId="77F4C043" w14:textId="77777777" w:rsidR="00EB5913" w:rsidRPr="006623B9" w:rsidRDefault="00EB5913" w:rsidP="00EB5913">
      <w:pPr>
        <w:pStyle w:val="References"/>
      </w:pPr>
      <w:r w:rsidRPr="006623B9">
        <w:t xml:space="preserve">IPCC. 2006a. Eggleston HS, Buendia L, Miwa K, Ngara T, Tanabe K (eds). </w:t>
      </w:r>
      <w:r w:rsidRPr="006623B9">
        <w:rPr>
          <w:i/>
          <w:iCs/>
        </w:rPr>
        <w:t>2006 IPCC Guidelines for National Greenhouse Gas Inventories. Volume 5. Waste</w:t>
      </w:r>
      <w:r w:rsidRPr="006623B9">
        <w:t>. IPCC National Greenhouse Gas Inventories Programme. Japan: Institute for Global Environmental Strategies for IPCC.</w:t>
      </w:r>
    </w:p>
    <w:p w14:paraId="0380C96C" w14:textId="77777777" w:rsidR="00EB5913" w:rsidRPr="006623B9" w:rsidRDefault="00EB5913" w:rsidP="00EB5913">
      <w:pPr>
        <w:pStyle w:val="References"/>
      </w:pPr>
      <w:r w:rsidRPr="006623B9">
        <w:t xml:space="preserve">IPCC. 2006b. Eggleston HS, Buendia L, Miwa K, Ngara T, Tanabe K (eds). </w:t>
      </w:r>
      <w:r w:rsidRPr="006623B9">
        <w:rPr>
          <w:i/>
          <w:iCs/>
        </w:rPr>
        <w:t>2006 IPCC Guidelines for National Greenhouse Gas Inventories. Volume 2. Energy</w:t>
      </w:r>
      <w:r w:rsidRPr="006623B9">
        <w:t>. IPCC National Greenhouse Gas Inventories Programme. Japan: Institute for Global Environmental Strategies for IPCC.</w:t>
      </w:r>
    </w:p>
    <w:p w14:paraId="7EBBEA1B" w14:textId="77777777" w:rsidR="00EB5913" w:rsidRPr="006623B9" w:rsidRDefault="00EB5913" w:rsidP="00EB5913">
      <w:pPr>
        <w:pStyle w:val="References"/>
      </w:pPr>
      <w:r w:rsidRPr="006623B9">
        <w:t xml:space="preserve">IPCC. 2019. Calvo Buendia E, Tanabe K, Kranjc A, Baasansuren J, Fukuda M, Ngarize S, Osako A, Pyrozhenko Y, Shermanau P, Federici S (eds). </w:t>
      </w:r>
      <w:r w:rsidRPr="006623B9">
        <w:rPr>
          <w:i/>
          <w:iCs/>
        </w:rPr>
        <w:t>2019 Refinement to the 2006 IPCC Guidelines for National Greenhouse Gas Inventories. Volume 5. Waste</w:t>
      </w:r>
      <w:r w:rsidRPr="006623B9">
        <w:t>. IPCC National Greenhouse Gas Inventories Programme. Switzerland: Intergovernmental Panel on Climate Change.</w:t>
      </w:r>
    </w:p>
    <w:p w14:paraId="0A10FEA7" w14:textId="77777777" w:rsidR="00EB5913" w:rsidRPr="006623B9" w:rsidRDefault="00EB5913" w:rsidP="00EB5913">
      <w:pPr>
        <w:pStyle w:val="References"/>
      </w:pPr>
      <w:r w:rsidRPr="006623B9">
        <w:t xml:space="preserve">Law Y, Ye L, Pan Y, Yuan Z. 2012. Nitrous oxide emissions from wastewater treatment processes. </w:t>
      </w:r>
      <w:r w:rsidRPr="006623B9">
        <w:rPr>
          <w:i/>
          <w:iCs/>
        </w:rPr>
        <w:t>Philosophical Transactions of the Royal Society ‘B’</w:t>
      </w:r>
      <w:r w:rsidRPr="006623B9">
        <w:t xml:space="preserve"> 367(1593): 1265–1277.</w:t>
      </w:r>
    </w:p>
    <w:p w14:paraId="4906156C" w14:textId="23478AE2" w:rsidR="00EB5913" w:rsidRPr="006623B9" w:rsidRDefault="00EB5913" w:rsidP="00EB5913">
      <w:pPr>
        <w:pStyle w:val="References"/>
      </w:pPr>
      <w:r w:rsidRPr="006623B9">
        <w:t xml:space="preserve">Ministry of Education. 2021. </w:t>
      </w:r>
      <w:r w:rsidRPr="006623B9">
        <w:rPr>
          <w:i/>
          <w:iCs/>
        </w:rPr>
        <w:t>Waste management in schools, Information, resources and operational advice</w:t>
      </w:r>
      <w:r w:rsidRPr="006623B9">
        <w:t xml:space="preserve"> (</w:t>
      </w:r>
      <w:hyperlink r:id="rId247">
        <w:r w:rsidRPr="006623B9">
          <w:rPr>
            <w:rStyle w:val="Hyperlink"/>
          </w:rPr>
          <w:t>www.education.govt.nz</w:t>
        </w:r>
      </w:hyperlink>
      <w:r w:rsidRPr="006623B9">
        <w:t xml:space="preserve">: 19 April 2021); archived at </w:t>
      </w:r>
      <w:r w:rsidRPr="006623B9">
        <w:rPr>
          <w:i/>
          <w:iCs/>
        </w:rPr>
        <w:t>Wayback Machine</w:t>
      </w:r>
      <w:r w:rsidRPr="006623B9">
        <w:t xml:space="preserve"> (</w:t>
      </w:r>
      <w:hyperlink r:id="rId248" w:history="1">
        <w:r w:rsidR="0089056C">
          <w:rPr>
            <w:rStyle w:val="Hyperlink"/>
          </w:rPr>
          <w:t>www.education.govt.nz/school/property-and-transport/school-facilities/energy-water-and-waste-management/waste-management</w:t>
        </w:r>
      </w:hyperlink>
      <w:r w:rsidRPr="006623B9">
        <w:t>); citing a capture dated 9 September 2025.</w:t>
      </w:r>
    </w:p>
    <w:p w14:paraId="0970B863" w14:textId="77777777" w:rsidR="00EB5913" w:rsidRPr="006623B9" w:rsidRDefault="00EB5913" w:rsidP="00EB5913">
      <w:pPr>
        <w:pStyle w:val="References"/>
      </w:pPr>
      <w:r w:rsidRPr="006623B9">
        <w:t xml:space="preserve">Ministry for the Environment. 1997. </w:t>
      </w:r>
      <w:r w:rsidRPr="006623B9">
        <w:rPr>
          <w:i/>
          <w:iCs/>
        </w:rPr>
        <w:t>National Waste Data Report</w:t>
      </w:r>
      <w:r w:rsidRPr="006623B9">
        <w:t>. Wellington: Ministry for the Environment.</w:t>
      </w:r>
    </w:p>
    <w:p w14:paraId="445E73DF" w14:textId="77777777" w:rsidR="00EB5913" w:rsidRPr="006623B9" w:rsidRDefault="00EB5913" w:rsidP="00EB5913">
      <w:pPr>
        <w:pStyle w:val="References"/>
      </w:pPr>
      <w:r w:rsidRPr="006623B9">
        <w:t xml:space="preserve">Ministry for the Environment. 2002a. </w:t>
      </w:r>
      <w:r w:rsidRPr="006623B9">
        <w:rPr>
          <w:i/>
          <w:iCs/>
        </w:rPr>
        <w:t>The New Zealand Waste Strategy</w:t>
      </w:r>
      <w:r w:rsidRPr="006623B9">
        <w:t>. Wellington: Ministry for the Environment.</w:t>
      </w:r>
    </w:p>
    <w:p w14:paraId="76901DE8" w14:textId="77777777" w:rsidR="00EB5913" w:rsidRPr="006623B9" w:rsidRDefault="00EB5913" w:rsidP="00EB5913">
      <w:pPr>
        <w:pStyle w:val="References"/>
      </w:pPr>
      <w:r w:rsidRPr="006623B9">
        <w:t xml:space="preserve">Ministry for the Environment. 2002b. </w:t>
      </w:r>
      <w:r w:rsidRPr="006623B9">
        <w:rPr>
          <w:i/>
          <w:iCs/>
        </w:rPr>
        <w:t>Solid Waste Analysis Protocol</w:t>
      </w:r>
      <w:r w:rsidRPr="006623B9">
        <w:t>. Wellington: Ministry for the Environment.</w:t>
      </w:r>
    </w:p>
    <w:p w14:paraId="11D83CB4" w14:textId="77777777" w:rsidR="00EB5913" w:rsidRPr="006623B9" w:rsidRDefault="00EB5913" w:rsidP="00EB5913">
      <w:pPr>
        <w:pStyle w:val="References"/>
      </w:pPr>
      <w:r w:rsidRPr="006623B9">
        <w:t xml:space="preserve">Ministry for the Environment. 2010. </w:t>
      </w:r>
      <w:r w:rsidRPr="006623B9">
        <w:rPr>
          <w:i/>
          <w:iCs/>
        </w:rPr>
        <w:t>The New Zealand Waste Strategy: Reducing Harm, Improving Efficiency</w:t>
      </w:r>
      <w:r w:rsidRPr="006623B9">
        <w:t>. Wellington: Ministry for the Environment.</w:t>
      </w:r>
    </w:p>
    <w:p w14:paraId="2F9D7CC4" w14:textId="77777777" w:rsidR="00EB5913" w:rsidRPr="006623B9" w:rsidRDefault="00EB5913" w:rsidP="00EB5913">
      <w:pPr>
        <w:pStyle w:val="References"/>
      </w:pPr>
      <w:r w:rsidRPr="006623B9">
        <w:t xml:space="preserve">Ministry for the Environment. 2023. </w:t>
      </w:r>
      <w:r w:rsidRPr="006623B9">
        <w:rPr>
          <w:i/>
          <w:iCs/>
        </w:rPr>
        <w:t>Te rautaki para / Waste Strategy: Getting rid of waste for a circular Aotearoa New Zealand</w:t>
      </w:r>
      <w:r w:rsidRPr="006623B9">
        <w:t>. Wellington: Ministry for the Environment.</w:t>
      </w:r>
    </w:p>
    <w:p w14:paraId="47C82798" w14:textId="77777777" w:rsidR="00EB5913" w:rsidRPr="006623B9" w:rsidRDefault="00EB5913" w:rsidP="00EB5913">
      <w:pPr>
        <w:pStyle w:val="References"/>
      </w:pPr>
      <w:r w:rsidRPr="006623B9">
        <w:t xml:space="preserve">Ministry for the Environment. 2024. </w:t>
      </w:r>
      <w:r w:rsidRPr="006623B9">
        <w:rPr>
          <w:i/>
          <w:iCs/>
        </w:rPr>
        <w:t>Our journey towards net zero: New Zealand’s second emissions reduction plan 2026–30</w:t>
      </w:r>
      <w:r w:rsidRPr="006623B9">
        <w:t>. Wellington: Ministry for the Environment.</w:t>
      </w:r>
    </w:p>
    <w:p w14:paraId="64A3DB7E" w14:textId="77777777" w:rsidR="00EB5913" w:rsidRPr="006623B9" w:rsidRDefault="00EB5913" w:rsidP="00EB5913">
      <w:pPr>
        <w:pStyle w:val="References"/>
      </w:pPr>
      <w:r w:rsidRPr="006623B9">
        <w:t xml:space="preserve">Ministry of Commerce. 1993. </w:t>
      </w:r>
      <w:r w:rsidRPr="006623B9">
        <w:rPr>
          <w:i/>
          <w:iCs/>
        </w:rPr>
        <w:t>New Zealand Energy Information Handbook:</w:t>
      </w:r>
      <w:r w:rsidRPr="006623B9">
        <w:t xml:space="preserve"> </w:t>
      </w:r>
      <w:r w:rsidRPr="006623B9">
        <w:rPr>
          <w:i/>
          <w:iCs/>
        </w:rPr>
        <w:t>Energy Data, Conversion Factors, Definitions.</w:t>
      </w:r>
      <w:r w:rsidRPr="006623B9">
        <w:t xml:space="preserve"> Taylor Baines and Associates.</w:t>
      </w:r>
    </w:p>
    <w:p w14:paraId="7D28527A" w14:textId="77777777" w:rsidR="00EB5913" w:rsidRPr="006623B9" w:rsidRDefault="00EB5913" w:rsidP="00EB5913">
      <w:pPr>
        <w:pStyle w:val="References"/>
      </w:pPr>
      <w:r w:rsidRPr="006623B9">
        <w:t xml:space="preserve">MWH. 2017. </w:t>
      </w:r>
      <w:r w:rsidRPr="006623B9">
        <w:rPr>
          <w:i/>
          <w:iCs/>
        </w:rPr>
        <w:t>National Waste Disposal Survey. Final Report.</w:t>
      </w:r>
      <w:r w:rsidRPr="006623B9">
        <w:t xml:space="preserve"> MWH for the Ministry for the Environment, published as National Waste Disposal Survey Final Report 2017 No CR275. Retrieved 9 November 2017.</w:t>
      </w:r>
    </w:p>
    <w:p w14:paraId="0EF10D22" w14:textId="77777777" w:rsidR="00EB5913" w:rsidRPr="006623B9" w:rsidRDefault="00EB5913" w:rsidP="00EB5913">
      <w:pPr>
        <w:pStyle w:val="References"/>
      </w:pPr>
      <w:r w:rsidRPr="006623B9">
        <w:t>SCS Wetherill Environmental. Unpublished. National Greenhouse Gas Inventory from the Waste Sector 1990–2020. Report commissioned by the Ministry for the Environment in 2002.</w:t>
      </w:r>
    </w:p>
    <w:p w14:paraId="509179BD" w14:textId="77777777" w:rsidR="00EB5913" w:rsidRPr="006623B9" w:rsidRDefault="00EB5913" w:rsidP="00EB5913">
      <w:pPr>
        <w:pStyle w:val="References"/>
      </w:pPr>
      <w:r w:rsidRPr="006623B9">
        <w:t>SKM. Unpublished(a). Greenhouse Gases from the Waste Incineration Sector. Report commissioned by the Ministry for the Environment in 2007.</w:t>
      </w:r>
    </w:p>
    <w:p w14:paraId="77F81DD3" w14:textId="77777777" w:rsidR="00EB5913" w:rsidRPr="006623B9" w:rsidRDefault="00EB5913" w:rsidP="00EB5913">
      <w:pPr>
        <w:pStyle w:val="References"/>
      </w:pPr>
      <w:r w:rsidRPr="006623B9">
        <w:t>SKM. Unpublished(b). Estimates of Landfill Methane Recovered in New Zealand 1990–2012. Report commissioned by the Ministry for the Environment in 2009.</w:t>
      </w:r>
    </w:p>
    <w:p w14:paraId="049D2383" w14:textId="77777777" w:rsidR="00EB5913" w:rsidRPr="006623B9" w:rsidRDefault="00EB5913" w:rsidP="00EB5913">
      <w:pPr>
        <w:pStyle w:val="References"/>
      </w:pPr>
      <w:r w:rsidRPr="006623B9">
        <w:t>Tonkin and Taylor Ltd. Unpublished(a). National Greenhouse Gas Emissions from Wastewater Sludge. Report commissioned by the Ministry for the Environment in 2011.</w:t>
      </w:r>
    </w:p>
    <w:p w14:paraId="1B6815CF" w14:textId="77777777" w:rsidR="00EB5913" w:rsidRPr="006623B9" w:rsidRDefault="00EB5913" w:rsidP="00EB5913">
      <w:pPr>
        <w:pStyle w:val="References"/>
      </w:pPr>
      <w:r w:rsidRPr="006623B9">
        <w:t>Tonkin and Taylor Ltd. Unpublished(b). GHG Estimates from Non-municipal Landfills in New Zealand. Report commissioned by the Ministry for the Environment in 2014.</w:t>
      </w:r>
    </w:p>
    <w:p w14:paraId="0319690A" w14:textId="77777777" w:rsidR="00EB5913" w:rsidRPr="006623B9" w:rsidRDefault="00EB5913" w:rsidP="00EB5913">
      <w:pPr>
        <w:pStyle w:val="References"/>
      </w:pPr>
      <w:r w:rsidRPr="006623B9">
        <w:t xml:space="preserve">UNFCCC.2018. FCCC/PA/CMA/2018/3//Add.2. </w:t>
      </w:r>
      <w:r w:rsidRPr="006623B9">
        <w:rPr>
          <w:i/>
          <w:iCs/>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r w:rsidRPr="006623B9">
        <w:t>.</w:t>
      </w:r>
    </w:p>
    <w:p w14:paraId="00DF5903" w14:textId="77777777" w:rsidR="00EB5913" w:rsidRPr="006623B9" w:rsidRDefault="00EB5913" w:rsidP="00EB5913">
      <w:pPr>
        <w:pStyle w:val="References"/>
      </w:pPr>
      <w:r w:rsidRPr="006623B9">
        <w:t xml:space="preserve">van der Weerden A, de Klein C, Kelliher R, Rollo M. 2014. </w:t>
      </w:r>
      <w:r w:rsidRPr="006623B9">
        <w:rPr>
          <w:i/>
          <w:iCs/>
        </w:rPr>
        <w:t>Reporting to 2006 IPCC Guidelines for N</w:t>
      </w:r>
      <w:r w:rsidRPr="006623B9">
        <w:rPr>
          <w:i/>
          <w:iCs/>
          <w:vertAlign w:val="subscript"/>
        </w:rPr>
        <w:t>2</w:t>
      </w:r>
      <w:r w:rsidRPr="006623B9">
        <w:rPr>
          <w:i/>
          <w:iCs/>
        </w:rPr>
        <w:t>O Emissions from Additional Sources of Organic N: Final report</w:t>
      </w:r>
      <w:r w:rsidRPr="006623B9">
        <w:t>. Wellington: Ministry for Primary Industries.</w:t>
      </w:r>
    </w:p>
    <w:p w14:paraId="13667A4C" w14:textId="77777777" w:rsidR="00EB5913" w:rsidRPr="006623B9" w:rsidRDefault="00EB5913" w:rsidP="00EB5913">
      <w:pPr>
        <w:pStyle w:val="References"/>
      </w:pPr>
      <w:r w:rsidRPr="006623B9">
        <w:t xml:space="preserve">WasteMINZ. 2023. </w:t>
      </w:r>
      <w:r w:rsidRPr="006623B9">
        <w:rPr>
          <w:i/>
          <w:iCs/>
        </w:rPr>
        <w:t>Technical Guidelines for Disposal to Land</w:t>
      </w:r>
      <w:r w:rsidRPr="006623B9">
        <w:t>. Revision 3.1. Auckland: Waste Management Institute New Zealand.</w:t>
      </w:r>
    </w:p>
    <w:p w14:paraId="5D6E748B" w14:textId="77777777" w:rsidR="00EB5913" w:rsidRPr="006623B9" w:rsidRDefault="00EB5913" w:rsidP="00EB5913">
      <w:pPr>
        <w:pStyle w:val="References"/>
      </w:pPr>
      <w:r w:rsidRPr="006623B9">
        <w:t>Waste Not Consulting. Unpublished(a). Waste Composition and Construction Waste Data. Report commissioned by the Ministry for the Environment in 2006.</w:t>
      </w:r>
    </w:p>
    <w:p w14:paraId="7179D563" w14:textId="77777777" w:rsidR="00EB5913" w:rsidRPr="006623B9" w:rsidRDefault="00EB5913" w:rsidP="00EB5913">
      <w:pPr>
        <w:pStyle w:val="References"/>
      </w:pPr>
      <w:r w:rsidRPr="006623B9">
        <w:t>Waste Not Consulting. Unpublished(b). Reviewing the 2008 National Waste Composition Estimate and Producing a 2012 Estimate. Report commissioned by the Ministry for the Environment in 2013.</w:t>
      </w:r>
    </w:p>
    <w:p w14:paraId="69FC21A9" w14:textId="77777777" w:rsidR="00EB5913" w:rsidRPr="006623B9" w:rsidRDefault="00EB5913" w:rsidP="00EB5913">
      <w:pPr>
        <w:pStyle w:val="References"/>
      </w:pPr>
      <w:r w:rsidRPr="006623B9">
        <w:t>Waste Not Consulting. Unpublished(c). Update of National Average Waste Composition for Class 1 Landfills. Report commissioned by the Ministry for the Environment in 2020.</w:t>
      </w:r>
    </w:p>
    <w:p w14:paraId="08A4436A" w14:textId="77777777" w:rsidR="00EB5913" w:rsidRPr="006623B9" w:rsidRDefault="00EB5913" w:rsidP="00EB5913">
      <w:pPr>
        <w:pStyle w:val="References"/>
      </w:pPr>
      <w:r w:rsidRPr="006623B9">
        <w:t xml:space="preserve">Watercare. 2024. </w:t>
      </w:r>
      <w:hyperlink r:id="rId249" w:history="1">
        <w:r w:rsidRPr="58BC805D">
          <w:rPr>
            <w:rStyle w:val="Hyperlink"/>
            <w:i/>
            <w:iCs/>
          </w:rPr>
          <w:t>Wondering about wastewater?</w:t>
        </w:r>
      </w:hyperlink>
      <w:r w:rsidRPr="006623B9">
        <w:t xml:space="preserve"> (citing a capture dated 10 October 2025)</w:t>
      </w:r>
      <w:bookmarkEnd w:id="2984"/>
      <w:bookmarkEnd w:id="3161"/>
      <w:r w:rsidRPr="006623B9">
        <w:t>. Retrieved 25 March 2026.</w:t>
      </w:r>
    </w:p>
    <w:p w14:paraId="4EC0E945" w14:textId="77777777" w:rsidR="00E46639" w:rsidRPr="0028033B" w:rsidRDefault="00E46639" w:rsidP="00E46639">
      <w:pPr>
        <w:pStyle w:val="References"/>
        <w:rPr>
          <w:rFonts w:cs="Calibri"/>
          <w:szCs w:val="20"/>
        </w:rPr>
      </w:pPr>
    </w:p>
    <w:p w14:paraId="42385C11" w14:textId="77777777" w:rsidR="002F22C4" w:rsidRDefault="002F22C4" w:rsidP="00E46639">
      <w:pPr>
        <w:pStyle w:val="References"/>
        <w:rPr>
          <w:rFonts w:cs="Calibri"/>
          <w:szCs w:val="20"/>
        </w:rPr>
        <w:sectPr w:rsidR="002F22C4" w:rsidSect="00E46639">
          <w:footerReference w:type="even" r:id="rId250"/>
          <w:footerReference w:type="default" r:id="rId251"/>
          <w:pgSz w:w="11907" w:h="16840" w:code="9"/>
          <w:pgMar w:top="1418" w:right="1701" w:bottom="1418" w:left="1701" w:header="567" w:footer="567" w:gutter="0"/>
          <w:cols w:space="720"/>
          <w:docGrid w:linePitch="299"/>
        </w:sectPr>
      </w:pPr>
    </w:p>
    <w:p w14:paraId="44752DD8" w14:textId="77777777" w:rsidR="00B259A8" w:rsidRPr="0072192C" w:rsidRDefault="00B259A8" w:rsidP="00B259A8">
      <w:pPr>
        <w:pStyle w:val="Heading1"/>
      </w:pPr>
      <w:bookmarkStart w:id="3162" w:name="_Toc226460800"/>
      <w:bookmarkStart w:id="3163" w:name="chapter-8-tokelau-other-sector"/>
      <w:r w:rsidRPr="0072192C">
        <w:t>Chapter 8: Tokelau (other) sector</w:t>
      </w:r>
      <w:bookmarkEnd w:id="3162"/>
    </w:p>
    <w:p w14:paraId="5E6C8CF6" w14:textId="77777777" w:rsidR="00B259A8" w:rsidRPr="0072192C" w:rsidRDefault="00B259A8" w:rsidP="00B259A8">
      <w:pPr>
        <w:pStyle w:val="BodyText"/>
      </w:pPr>
      <w:r w:rsidRPr="0072192C">
        <w:t xml:space="preserve">New Zealand ratified the United Nations Framework Convention on Climate Change (the Convention) on 16 September 1993 and the Paris Agreement on 4 October 2016. The </w:t>
      </w:r>
      <w:r w:rsidRPr="0072192C">
        <w:rPr>
          <w:spacing w:val="-2"/>
        </w:rPr>
        <w:t>extension to Tokelau (as of 13 November 2017) of New Zealand’s ratification of the Convention</w:t>
      </w:r>
      <w:r w:rsidRPr="0072192C">
        <w:t xml:space="preserve"> and of the Paris Agreement requires the reporting of Tokelau’s emissions in New Zealand’s Greenhouse Gas Inventory (the Inventory).</w:t>
      </w:r>
    </w:p>
    <w:p w14:paraId="05689CE0" w14:textId="22946CFC" w:rsidR="00B259A8" w:rsidRPr="0072192C" w:rsidRDefault="00B259A8" w:rsidP="00B259A8">
      <w:pPr>
        <w:pStyle w:val="BodyText"/>
      </w:pPr>
      <w:r w:rsidRPr="0072192C">
        <w:t>Since the 2019 submission, the Inventory has included emissions from Tokelau, an overseas dependent territory of New Zealand. Tokelau is the only such dependent territory of New</w:t>
      </w:r>
      <w:r w:rsidR="001E2306">
        <w:t xml:space="preserve"> </w:t>
      </w:r>
      <w:r w:rsidRPr="0072192C">
        <w:t>Zealand. Net and gross emissions are reported by sector from New Zealand’s mainland territory (mainland New Zealand), with Tokelau’s emissions reported separately. Emissions from Tokelau are small, and the methodology used varies greatly between Tokelau’s greenhouse gas (GHG) inventory and the sectoral inventories for New Zealand’s mainland territory. This means emissions from Tokelau are reported in the Other sector (CRT sector 6). Tokelau’s contribution to the Inventory in relation to New Zealand’s mainland emissions is provided in chapter 2, table 2.2.2.</w:t>
      </w:r>
    </w:p>
    <w:p w14:paraId="1956F93F" w14:textId="77777777" w:rsidR="00B259A8" w:rsidRPr="0072192C" w:rsidRDefault="00B259A8" w:rsidP="00B259A8">
      <w:pPr>
        <w:pStyle w:val="BodyText"/>
      </w:pPr>
      <w:r w:rsidRPr="0072192C">
        <w:t xml:space="preserve">This chapter provides an overview of Tokelau’s economy and industry. It includes information on Tokelau’s GHG emissions and trends, roles and responsibilities for compilation, quality-assurance and quality-control planning and methodological notes in regard to Tokelau’s GHG inventory. The methods used for compiling Tokelau’s GHG inventory are detailed in chapter 8, </w:t>
      </w:r>
      <w:r w:rsidRPr="0072192C">
        <w:rPr>
          <w:spacing w:val="-2"/>
        </w:rPr>
        <w:t>separately from the sectoral chapters that focus on the methods used in inventorying emissions</w:t>
      </w:r>
      <w:r w:rsidRPr="0072192C">
        <w:t xml:space="preserve"> from New Zealand’s mainland territory. Annex 7 provides the common reporting tables (CRTs) of the time series for emissions and activity data, and information on methods and emission factors for each sector and category contributing to the gross emissions from Tokelau.</w:t>
      </w:r>
    </w:p>
    <w:p w14:paraId="38A49E62" w14:textId="77777777" w:rsidR="00B259A8" w:rsidRPr="0072192C" w:rsidRDefault="00B259A8" w:rsidP="00B259A8">
      <w:pPr>
        <w:pStyle w:val="BodyText"/>
      </w:pPr>
      <w:r w:rsidRPr="0072192C">
        <w:t>To maintain transparency of the inventory and visibility of Tokelau’s GHG emissions, CRT sector 6 (Other) is used to present emissions from Tokelau’s sectors.</w:t>
      </w:r>
    </w:p>
    <w:p w14:paraId="1E5CEDCB" w14:textId="77777777" w:rsidR="00B259A8" w:rsidRPr="0072192C" w:rsidRDefault="00B259A8" w:rsidP="00B259A8">
      <w:pPr>
        <w:pStyle w:val="Heading2"/>
      </w:pPr>
      <w:bookmarkStart w:id="3164" w:name="_Toc226460801"/>
      <w:bookmarkStart w:id="3165" w:name="tokelau-overview"/>
      <w:r w:rsidRPr="0072192C">
        <w:t>8.1</w:t>
      </w:r>
      <w:r w:rsidRPr="0072192C">
        <w:tab/>
        <w:t>Tokelau overview</w:t>
      </w:r>
      <w:bookmarkEnd w:id="3164"/>
    </w:p>
    <w:p w14:paraId="6E1B5691" w14:textId="77777777" w:rsidR="00B259A8" w:rsidRPr="0072192C" w:rsidRDefault="00B259A8" w:rsidP="00B259A8">
      <w:pPr>
        <w:pStyle w:val="Heading3"/>
        <w:spacing w:before="240"/>
      </w:pPr>
      <w:bookmarkStart w:id="3166" w:name="geography"/>
      <w:r w:rsidRPr="0072192C">
        <w:t>8.1.1</w:t>
      </w:r>
      <w:r w:rsidRPr="0072192C">
        <w:tab/>
        <w:t>Geography</w:t>
      </w:r>
    </w:p>
    <w:p w14:paraId="29D4E001" w14:textId="77777777" w:rsidR="00B259A8" w:rsidRPr="0072192C" w:rsidRDefault="00B259A8" w:rsidP="00B259A8">
      <w:pPr>
        <w:pStyle w:val="BodyText"/>
      </w:pPr>
      <w:r w:rsidRPr="0072192C">
        <w:t>Tokelau is a non-self-governing territory</w:t>
      </w:r>
      <w:r w:rsidRPr="0072192C">
        <w:rPr>
          <w:rStyle w:val="FootnoteReference"/>
        </w:rPr>
        <w:footnoteReference w:id="56"/>
      </w:r>
      <w:r w:rsidRPr="0072192C">
        <w:t xml:space="preserve"> of New Zealand and is made up of three small coral atolls: Atafu, Nukunonu and Fakaofo. The total land area is 12 square kilometres within an Exclusive Economic Zone covering 318,990 square kilometres. Atafu, the northern atoll, has a surface area of 3.5 square kilometres; Nukunonu, the central atoll, is 4.7 square kilometres and Fakaofo, the southern atoll, is 4 square kilometres (figure 8.1.1).</w:t>
      </w:r>
    </w:p>
    <w:p w14:paraId="66A24C6B" w14:textId="77777777" w:rsidR="00B259A8" w:rsidRPr="0072192C" w:rsidRDefault="00B259A8" w:rsidP="00B259A8">
      <w:pPr>
        <w:pStyle w:val="Figure"/>
      </w:pPr>
      <w:bookmarkStart w:id="3167" w:name="_Toc225424340"/>
      <w:bookmarkStart w:id="3168" w:name="_Toc226200709"/>
      <w:r w:rsidRPr="0072192C">
        <w:rPr>
          <w:bCs/>
        </w:rPr>
        <w:t xml:space="preserve">Figure 8.1.1 </w:t>
      </w:r>
      <w:r w:rsidRPr="0072192C">
        <w:rPr>
          <w:bCs/>
        </w:rPr>
        <w:tab/>
        <w:t>Map of Tokelau</w:t>
      </w:r>
      <w:bookmarkEnd w:id="3167"/>
      <w:bookmarkEnd w:id="3168"/>
    </w:p>
    <w:p w14:paraId="7B5A9EB4" w14:textId="77777777" w:rsidR="00B259A8" w:rsidRPr="0072192C" w:rsidRDefault="00B259A8" w:rsidP="00B259A8">
      <w:pPr>
        <w:pStyle w:val="BodyText"/>
        <w:jc w:val="center"/>
      </w:pPr>
      <w:r w:rsidRPr="0072192C">
        <w:rPr>
          <w:noProof/>
        </w:rPr>
        <w:drawing>
          <wp:inline distT="0" distB="0" distL="0" distR="0" wp14:anchorId="7BBDE02C" wp14:editId="3E4E030D">
            <wp:extent cx="4318000" cy="2205099"/>
            <wp:effectExtent l="0" t="0" r="0" b="0"/>
            <wp:docPr id="22" name="Picture"/>
            <wp:cNvGraphicFramePr/>
            <a:graphic xmlns:a="http://schemas.openxmlformats.org/drawingml/2006/main">
              <a:graphicData uri="http://schemas.openxmlformats.org/drawingml/2006/picture">
                <pic:pic xmlns:pic="http://schemas.openxmlformats.org/drawingml/2006/picture">
                  <pic:nvPicPr>
                    <pic:cNvPr id="23" name="Picture" descr="images/fig_8_1_1_updated.gif"/>
                    <pic:cNvPicPr>
                      <a:picLocks noChangeAspect="1" noChangeArrowheads="1"/>
                    </pic:cNvPicPr>
                  </pic:nvPicPr>
                  <pic:blipFill>
                    <a:blip r:embed="rId252"/>
                    <a:stretch>
                      <a:fillRect/>
                    </a:stretch>
                  </pic:blipFill>
                  <pic:spPr bwMode="auto">
                    <a:xfrm>
                      <a:off x="0" y="0"/>
                      <a:ext cx="4318000" cy="2205099"/>
                    </a:xfrm>
                    <a:prstGeom prst="rect">
                      <a:avLst/>
                    </a:prstGeom>
                    <a:noFill/>
                    <a:ln w="9525">
                      <a:noFill/>
                      <a:headEnd/>
                      <a:tailEnd/>
                    </a:ln>
                  </pic:spPr>
                </pic:pic>
              </a:graphicData>
            </a:graphic>
          </wp:inline>
        </w:drawing>
      </w:r>
    </w:p>
    <w:p w14:paraId="5E874691" w14:textId="77777777" w:rsidR="00B259A8" w:rsidRPr="0072192C" w:rsidRDefault="00B259A8" w:rsidP="00B259A8">
      <w:pPr>
        <w:pStyle w:val="Source"/>
        <w:spacing w:after="120"/>
      </w:pPr>
      <w:r w:rsidRPr="0072192C">
        <w:rPr>
          <w:b/>
          <w:bCs/>
        </w:rPr>
        <w:t>Source</w:t>
      </w:r>
      <w:r w:rsidRPr="0072192C">
        <w:t>: Tokelau Islands Maps</w:t>
      </w:r>
    </w:p>
    <w:p w14:paraId="06AB072A" w14:textId="77777777" w:rsidR="00B259A8" w:rsidRPr="0072192C" w:rsidRDefault="00B259A8" w:rsidP="00B259A8">
      <w:pPr>
        <w:pStyle w:val="BodyText"/>
      </w:pPr>
      <w:r w:rsidRPr="0072192C">
        <w:t>From Atafu in the north to Fakaofo in the south, Tokelau extends for less than 200 kilometres. The atolls are about 3 to 5 metres above sea level. The maximum width of any island (motu) on the atolls’ rims is 200 metres. Tokelau is, therefore, particularly vulnerable to natural hazards.</w:t>
      </w:r>
    </w:p>
    <w:p w14:paraId="6A3E8B9B" w14:textId="77777777" w:rsidR="00B259A8" w:rsidRPr="0072192C" w:rsidRDefault="00B259A8" w:rsidP="00B259A8">
      <w:pPr>
        <w:pStyle w:val="Heading3"/>
      </w:pPr>
      <w:bookmarkStart w:id="3169" w:name="Xfe534277c3180462605384ad62f97f39780a606"/>
      <w:bookmarkEnd w:id="3166"/>
      <w:r w:rsidRPr="0072192C">
        <w:t>8.1.2</w:t>
      </w:r>
      <w:r w:rsidRPr="0072192C">
        <w:tab/>
        <w:t>Preparing the Tokelau inventory estimates</w:t>
      </w:r>
    </w:p>
    <w:p w14:paraId="7C7E9FBB" w14:textId="77777777" w:rsidR="00B259A8" w:rsidRPr="0072192C" w:rsidRDefault="00B259A8" w:rsidP="00B259A8">
      <w:pPr>
        <w:pStyle w:val="Heading4"/>
      </w:pPr>
      <w:bookmarkStart w:id="3170" w:name="censuses-of-dwellings-and-population"/>
      <w:r w:rsidRPr="0072192C">
        <w:t>Censuses of dwellings and population</w:t>
      </w:r>
    </w:p>
    <w:p w14:paraId="20C2D4C1" w14:textId="77777777" w:rsidR="00B259A8" w:rsidRPr="0072192C" w:rsidRDefault="00B259A8" w:rsidP="00B259A8">
      <w:pPr>
        <w:pStyle w:val="BodyText"/>
      </w:pPr>
      <w:r w:rsidRPr="0072192C">
        <w:t>Tokelauans have New Zealand citizenship.</w:t>
      </w:r>
    </w:p>
    <w:p w14:paraId="6D68A17D" w14:textId="77777777" w:rsidR="00B259A8" w:rsidRPr="0072192C" w:rsidRDefault="00B259A8" w:rsidP="00B259A8">
      <w:pPr>
        <w:pStyle w:val="BodyText"/>
      </w:pPr>
      <w:r w:rsidRPr="0072192C">
        <w:t>Tokelau has carried out independent censuses of population and dwellings five yearly; detailed data are available on the number of inhabitants, livestock, housing and some appliances. Only the past four censuses in Tokelau (2006, 2011, 2016 and the 2019 mini census) have used a precise definition of who is a ‘de jure Tokelauan’</w:t>
      </w:r>
      <w:r w:rsidRPr="0072192C">
        <w:rPr>
          <w:rStyle w:val="FootnoteReference"/>
        </w:rPr>
        <w:footnoteReference w:id="57"/>
      </w:r>
      <w:r w:rsidRPr="0072192C">
        <w:t xml:space="preserve"> and the people who actually lived in Tokelau during the Census night (‘de facto’ population). The de facto population has been used for the purposes of estimating emissions, which was 1,295 people in 2019 (Tokelau National Statistics Office, 2020). From 1990 to 2019, the population was fluctuating but generally declined for both de facto and de jure measures. Around 15,000 of the people who identify as Tokelauan live overseas, mostly in New Zealand.</w:t>
      </w:r>
    </w:p>
    <w:p w14:paraId="62082D26" w14:textId="77777777" w:rsidR="00B259A8" w:rsidRPr="0072192C" w:rsidRDefault="00B259A8" w:rsidP="00B259A8">
      <w:pPr>
        <w:pStyle w:val="BodyText"/>
      </w:pPr>
      <w:r w:rsidRPr="0072192C">
        <w:t>Tokelau has a subsistence economy in which the sharing (inati) of essential resources plays an important and significant role. The inhabitants are dependent on local natural resources, particularly fishing in the lagoon and deep sea, growing coconuts and breadfruit, and keeping domesticated pigs and chickens.</w:t>
      </w:r>
    </w:p>
    <w:p w14:paraId="6EB8E4A4" w14:textId="77777777" w:rsidR="00B259A8" w:rsidRPr="0072192C" w:rsidRDefault="00B259A8" w:rsidP="00B259A8">
      <w:pPr>
        <w:pStyle w:val="BodyText"/>
      </w:pPr>
      <w:r w:rsidRPr="0072192C">
        <w:t>The coral atolls provide a subsistence lifestyle within a fragile environment. Tokelau imports most of its foodstuffs from Samoa. The Tokelau economy is dependent on two major financial resources: economic and administrative assistance from New Zealand, and income from fisheries. New Zealand provides general budget support to help the delivery of essential services, consistent with its constitutional and United Nations Charter obligations.</w:t>
      </w:r>
    </w:p>
    <w:p w14:paraId="46285F9D" w14:textId="77777777" w:rsidR="00B259A8" w:rsidRPr="0072192C" w:rsidRDefault="00B259A8" w:rsidP="00B259A8">
      <w:pPr>
        <w:pStyle w:val="Heading4"/>
      </w:pPr>
      <w:bookmarkStart w:id="3171" w:name="reporting-arrangements"/>
      <w:bookmarkEnd w:id="3170"/>
      <w:r w:rsidRPr="0072192C">
        <w:t>Reporting arrangements</w:t>
      </w:r>
    </w:p>
    <w:p w14:paraId="15E8E394" w14:textId="77777777" w:rsidR="00B259A8" w:rsidRPr="0072192C" w:rsidRDefault="00B259A8" w:rsidP="00B259A8">
      <w:pPr>
        <w:pStyle w:val="BodyText"/>
      </w:pPr>
      <w:r w:rsidRPr="0072192C">
        <w:t>The development of a robust reporting system to enable the inclusion of Tokelau’s emissions in the Inventory is an ongoing process. Expertise and capacity continue to be strengthened through the establishment of connections with the various organisations and businesses in Tokelau involved in data collection and processing. Tokelau’s GHG inventory includes emissions from four sectors of Tokelau’s economy, which are the Energy, Industrial Processes and Product Use (IPPU), Agriculture and Waste sectors. Tier 1 methodologies with default emission factors from the 2006 Intergovernmental Panel on Climate Change (IPCC) Guidelines for National Greenhouse Gas Inventories (2006 IPCC Guidelines) are used for all reported categories (IPCC, 2006a–d). The Land Use, Land-Use Change and Forestry sector is excluded from Tokelau’s GHG inventory. Tokelau has no planted or managed forest, and the area of each land use category is unknown. Due to the small terrestrial land area and the geographic nature of Tokelau, being three low-lying coral atolls, the opportunity for land-use change is limited. Emissions are expected to be negligible because the size of the area that could support vegetation and soil establishment would be unable to significantly influence emissions from these sources, even if land-use change were possible or occurring.</w:t>
      </w:r>
    </w:p>
    <w:p w14:paraId="226F5A91" w14:textId="77777777" w:rsidR="00B259A8" w:rsidRPr="0072192C" w:rsidRDefault="00B259A8" w:rsidP="00B259A8">
      <w:pPr>
        <w:pStyle w:val="BodyText"/>
      </w:pPr>
      <w:r w:rsidRPr="0072192C">
        <w:t>New Zealand and Tokelau signed a memorandum of understanding on 18 January 2018 to establish the relationship between Tokelau and New Zealand regarding the governance of international climate change reporting relating to the inclusion of Tokelau in New Zealand’s national inventory system. According to the memorandum of understanding, both New Zealand’s central inventory agency (the Ministry for the Environment) and Tokelau’s Ministry of Climate, Oceans and Resilience</w:t>
      </w:r>
      <w:r w:rsidRPr="0072192C">
        <w:rPr>
          <w:rStyle w:val="FootnoteReference"/>
        </w:rPr>
        <w:footnoteReference w:id="58"/>
      </w:r>
      <w:r w:rsidRPr="0072192C">
        <w:t xml:space="preserve"> have roles to enable Tokelau’s GHG inventory reporting.</w:t>
      </w:r>
    </w:p>
    <w:p w14:paraId="24F23030" w14:textId="77777777" w:rsidR="00B259A8" w:rsidRPr="0072192C" w:rsidRDefault="00B259A8" w:rsidP="00B259A8">
      <w:pPr>
        <w:pStyle w:val="BodyText"/>
      </w:pPr>
      <w:r w:rsidRPr="0072192C">
        <w:t>New Zealand’s Ministry for the Environment takes responsibility for:</w:t>
      </w:r>
    </w:p>
    <w:p w14:paraId="7A2F6E29" w14:textId="77777777" w:rsidR="00B259A8" w:rsidRPr="0072192C" w:rsidRDefault="00B259A8" w:rsidP="00B259A8">
      <w:pPr>
        <w:pStyle w:val="Bullet"/>
      </w:pPr>
      <w:r w:rsidRPr="0072192C">
        <w:t>coordination of communications between New Zealand and Tokelau officials, and with project consultants in New Zealand and overseas</w:t>
      </w:r>
    </w:p>
    <w:p w14:paraId="08A21B1A" w14:textId="77777777" w:rsidR="00B259A8" w:rsidRPr="0072192C" w:rsidRDefault="00B259A8" w:rsidP="00B259A8">
      <w:pPr>
        <w:pStyle w:val="Bullet"/>
      </w:pPr>
      <w:r w:rsidRPr="0072192C">
        <w:t>coordination with other New Zealand government agencies participating in the compilation of the Inventory, should their consulting or advice be required</w:t>
      </w:r>
    </w:p>
    <w:p w14:paraId="4DF65FD4" w14:textId="77777777" w:rsidR="00B259A8" w:rsidRPr="0072192C" w:rsidRDefault="00B259A8" w:rsidP="00B259A8">
      <w:pPr>
        <w:pStyle w:val="Bullet"/>
      </w:pPr>
      <w:r w:rsidRPr="0072192C">
        <w:t>initial consultation on developing a national inventory system for Tokelau, together with the relevant instructive materials, including methodological guidance for Tokelau’s GHG inventory compilation</w:t>
      </w:r>
    </w:p>
    <w:p w14:paraId="7FC7285F" w14:textId="77777777" w:rsidR="00B259A8" w:rsidRPr="0072192C" w:rsidRDefault="00B259A8" w:rsidP="00B259A8">
      <w:pPr>
        <w:pStyle w:val="Bullet"/>
      </w:pPr>
      <w:r w:rsidRPr="0072192C">
        <w:t>technical advice on various aspects of Tokelau’s GHG inventory compilation regarding the subject matter, the legal background (reporting obligations under the Paris Agreement and the Convention), software use issues, and the quality-assurance and quality-control considerations associated with any changes to Tokelau’s national inventory system</w:t>
      </w:r>
    </w:p>
    <w:p w14:paraId="1664B4FB" w14:textId="77777777" w:rsidR="00B259A8" w:rsidRPr="0072192C" w:rsidRDefault="00B259A8" w:rsidP="00B259A8">
      <w:pPr>
        <w:pStyle w:val="Bullet"/>
      </w:pPr>
      <w:r w:rsidRPr="0072192C">
        <w:t>production of the complete set of the data tables in agreed common reporting formats</w:t>
      </w:r>
    </w:p>
    <w:p w14:paraId="307FCD63" w14:textId="77777777" w:rsidR="00B259A8" w:rsidRPr="0072192C" w:rsidRDefault="00B259A8" w:rsidP="00B259A8">
      <w:pPr>
        <w:pStyle w:val="Bullet"/>
      </w:pPr>
      <w:r w:rsidRPr="0072192C">
        <w:t>final integration of Tokelau’s GHG inventory component into the Inventory</w:t>
      </w:r>
    </w:p>
    <w:p w14:paraId="31F71E64" w14:textId="77777777" w:rsidR="00B259A8" w:rsidRPr="0072192C" w:rsidRDefault="00B259A8" w:rsidP="00B259A8">
      <w:pPr>
        <w:pStyle w:val="Bullet"/>
      </w:pPr>
      <w:r w:rsidRPr="0072192C">
        <w:t>submission of the Inventory under the Paris Agreement and the Convention, and coordinating communication with the United Nations Climate Change secretariat associated with the Inventory submission and review</w:t>
      </w:r>
    </w:p>
    <w:p w14:paraId="7055AA7B" w14:textId="77777777" w:rsidR="00B259A8" w:rsidRPr="0072192C" w:rsidRDefault="00B259A8" w:rsidP="00B259A8">
      <w:pPr>
        <w:pStyle w:val="Bullet"/>
      </w:pPr>
      <w:r w:rsidRPr="0072192C">
        <w:t>publication of the Inventory online, as well as all supplementary materials.</w:t>
      </w:r>
    </w:p>
    <w:p w14:paraId="217A2DD1" w14:textId="77777777" w:rsidR="00B259A8" w:rsidRPr="0072192C" w:rsidRDefault="00B259A8" w:rsidP="00B259A8">
      <w:pPr>
        <w:pStyle w:val="BodyText"/>
        <w:keepNext/>
        <w:spacing w:after="100"/>
      </w:pPr>
      <w:r w:rsidRPr="0072192C">
        <w:t>Tokelau’s Ministry of Climate, Oceans and Resilience takes responsibility for:</w:t>
      </w:r>
    </w:p>
    <w:p w14:paraId="673C6B96" w14:textId="77777777" w:rsidR="00B259A8" w:rsidRPr="0072192C" w:rsidRDefault="00B259A8" w:rsidP="00B259A8">
      <w:pPr>
        <w:pStyle w:val="Bullet"/>
        <w:spacing w:after="100"/>
      </w:pPr>
      <w:r w:rsidRPr="0072192C">
        <w:t>coordinating the project implementation in Tokelau by communicating with the relevant agencies, organisations and individuals involved in Tokelau’s GHG inventory compilation; coordinating their efforts and delegating responsibilities to ensure sufficient information and support are provided to those agencies, organisations and individuals to enable Tokelau’s GHG inventory production</w:t>
      </w:r>
    </w:p>
    <w:p w14:paraId="13F85055" w14:textId="77777777" w:rsidR="00B259A8" w:rsidRPr="0072192C" w:rsidRDefault="00B259A8" w:rsidP="00B259A8">
      <w:pPr>
        <w:pStyle w:val="Bullet"/>
        <w:spacing w:after="100"/>
      </w:pPr>
      <w:r w:rsidRPr="0072192C">
        <w:t>providing timely advice on all cultural aspects of Tokelau’s GHG inventory compilation and helping to resolve any matters associated with potential cultural issues</w:t>
      </w:r>
    </w:p>
    <w:p w14:paraId="382E8381" w14:textId="77777777" w:rsidR="00B259A8" w:rsidRPr="0072192C" w:rsidRDefault="00B259A8" w:rsidP="00B259A8">
      <w:pPr>
        <w:pStyle w:val="Bullet"/>
        <w:spacing w:after="100"/>
      </w:pPr>
      <w:r w:rsidRPr="0072192C">
        <w:t>ensuring that the agreed compilation schedule is fully complied with, and the relevant timeframes are met, which includes submission of Tokelau’s GHG inventory data and information to New Zealand’s national inventory compiler within the agreed timeframe</w:t>
      </w:r>
    </w:p>
    <w:p w14:paraId="6B77AF4C" w14:textId="77777777" w:rsidR="00B259A8" w:rsidRPr="0072192C" w:rsidRDefault="00B259A8" w:rsidP="00B259A8">
      <w:pPr>
        <w:pStyle w:val="Bullet"/>
        <w:spacing w:after="100"/>
      </w:pPr>
      <w:r w:rsidRPr="0072192C">
        <w:t>coordinating Tokelau’s efforts in activity data collection and data processing</w:t>
      </w:r>
    </w:p>
    <w:p w14:paraId="698CE2BB" w14:textId="77777777" w:rsidR="00B259A8" w:rsidRPr="0072192C" w:rsidRDefault="00B259A8" w:rsidP="00B259A8">
      <w:pPr>
        <w:pStyle w:val="Bullet"/>
        <w:spacing w:after="100"/>
      </w:pPr>
      <w:r w:rsidRPr="0072192C">
        <w:t>producing a peer-reviewed draft of the Tokelau chapter that is consistent with Paris Agreement reporting requirements as agreed under the Convention (UNFCCC, 2018a), chapter II of the Paris Agreement’s modalities, procedures and guidelines (UNFCCC, 2018b), including the use of the 2006 IPCC Guidelines (IPCC, 2006a–d) and following the common reporting tables in Annex I to decision 5/CMA.3 (UNFCCC, 2021).</w:t>
      </w:r>
    </w:p>
    <w:p w14:paraId="5CE2FDF8" w14:textId="77777777" w:rsidR="00B259A8" w:rsidRPr="0072192C" w:rsidRDefault="00B259A8" w:rsidP="00B259A8">
      <w:pPr>
        <w:pStyle w:val="BodyText"/>
        <w:spacing w:before="100" w:after="100"/>
      </w:pPr>
      <w:r w:rsidRPr="0072192C">
        <w:t>Both the Ministry for the Environment and Ministry of Climate, Oceans and Resilience are responsible for adhering to the principles and protocols for producers of Tier 1 statistics (Stats NZ, 2007).</w:t>
      </w:r>
    </w:p>
    <w:p w14:paraId="0B35EB5D" w14:textId="77777777" w:rsidR="00B259A8" w:rsidRPr="0072192C" w:rsidRDefault="00B259A8" w:rsidP="00B259A8">
      <w:pPr>
        <w:pStyle w:val="BodyText"/>
        <w:spacing w:before="100" w:after="100"/>
      </w:pPr>
      <w:r w:rsidRPr="0072192C">
        <w:t xml:space="preserve">For the 2026 submission, there were insufficient quantitative activity data available for the 2024 reporting year. The Ministry for the Environment and Ministry of Climate, Oceans and Resilience agreed to use activity data from the 2023 reporting year for 2024. An assessment of the time series and the general trend in emissions fed into the decision. In the absence of significant disruptive events, only marginal changes in Tokelau’s emissions occur for most categories year to year. Anecdotal evidence confirmed that similar consumption patterns of diesel fuel use occurred in 2024. This is the major driver of change in Tokelau’s GHG inventory, affecting emissions from energy generation in the </w:t>
      </w:r>
      <w:r w:rsidRPr="0072192C">
        <w:rPr>
          <w:i/>
          <w:iCs/>
        </w:rPr>
        <w:t>Energy industries –</w:t>
      </w:r>
      <w:r w:rsidRPr="0072192C">
        <w:t xml:space="preserve"> </w:t>
      </w:r>
      <w:r w:rsidRPr="0072192C">
        <w:rPr>
          <w:i/>
          <w:iCs/>
        </w:rPr>
        <w:t>Public electricity and heat production</w:t>
      </w:r>
      <w:r w:rsidRPr="0072192C">
        <w:t xml:space="preserve"> category. This decision means there are no changes in reported emission values between 2023 and 2024. New Zealand intends to provide actual activity data for the 2024 and 2025 data years in the 2027 submission.</w:t>
      </w:r>
    </w:p>
    <w:bookmarkEnd w:id="3171"/>
    <w:p w14:paraId="2E930137" w14:textId="77777777" w:rsidR="00B259A8" w:rsidRPr="0072192C" w:rsidRDefault="00B259A8" w:rsidP="00B259A8">
      <w:pPr>
        <w:pStyle w:val="Heading4"/>
      </w:pPr>
      <w:r w:rsidRPr="0072192C">
        <w:t>Methodological issues</w:t>
      </w:r>
    </w:p>
    <w:p w14:paraId="58A257D2" w14:textId="77777777" w:rsidR="00B259A8" w:rsidRPr="0072192C" w:rsidRDefault="00B259A8" w:rsidP="00B259A8">
      <w:pPr>
        <w:pStyle w:val="Heading5"/>
        <w:spacing w:before="180"/>
      </w:pPr>
      <w:bookmarkStart w:id="3172" w:name="methods-and-emission-factors"/>
      <w:r w:rsidRPr="0072192C">
        <w:t>Methods and emission factors</w:t>
      </w:r>
    </w:p>
    <w:p w14:paraId="67100002" w14:textId="77777777" w:rsidR="00B259A8" w:rsidRPr="0072192C" w:rsidRDefault="00B259A8" w:rsidP="00B259A8">
      <w:pPr>
        <w:pStyle w:val="BodyText"/>
        <w:spacing w:before="80" w:after="100"/>
      </w:pPr>
      <w:r w:rsidRPr="0072192C">
        <w:t>Tier 1 methodological approaches with default emission factors were used for estimating emissions from all Tokelau source categories.</w:t>
      </w:r>
    </w:p>
    <w:p w14:paraId="6BDD3C11" w14:textId="77777777" w:rsidR="00B259A8" w:rsidRPr="0072192C" w:rsidRDefault="00B259A8" w:rsidP="00B259A8">
      <w:pPr>
        <w:pStyle w:val="BodyText"/>
        <w:spacing w:before="100" w:after="100"/>
      </w:pPr>
      <w:r w:rsidRPr="0072192C">
        <w:t>Tokelau’s climate zone, way of life, economic base and technological infrastructure differ significantly from that of New Zealand. There are also differences in the scale of operations, especially in the Agriculture sector, meaning New Zealand’s definition of a farm does not apply to Tokelau. For estimating emissions from Tokelau, the 2006 IPCC default emission factors for Oceania with a warm climate are used, whereas New Zealand uses emission factors relevant for a temperate climate.</w:t>
      </w:r>
    </w:p>
    <w:p w14:paraId="2156553C" w14:textId="77777777" w:rsidR="00B259A8" w:rsidRPr="0072192C" w:rsidRDefault="00B259A8" w:rsidP="00B259A8">
      <w:pPr>
        <w:pStyle w:val="BodyText"/>
        <w:spacing w:before="100" w:after="100"/>
      </w:pPr>
      <w:r w:rsidRPr="0072192C">
        <w:rPr>
          <w:spacing w:val="-2"/>
        </w:rPr>
        <w:t>The calorific values for fuels used for Tokelau are also different from those used for New Zealand</w:t>
      </w:r>
      <w:r w:rsidRPr="0072192C">
        <w:t xml:space="preserve"> because those fuels are obtained from different sources. Relevant emission factors used for estimating emissions and references to the methods are detailed in sections 8.2 to 8.15.</w:t>
      </w:r>
    </w:p>
    <w:p w14:paraId="0810986C" w14:textId="77777777" w:rsidR="00B259A8" w:rsidRPr="0072192C" w:rsidRDefault="00B259A8" w:rsidP="00B259A8">
      <w:pPr>
        <w:pStyle w:val="Heading4"/>
      </w:pPr>
      <w:bookmarkStart w:id="3173" w:name="activity-data"/>
      <w:bookmarkEnd w:id="3172"/>
      <w:r w:rsidRPr="0072192C">
        <w:t>Activity data</w:t>
      </w:r>
    </w:p>
    <w:p w14:paraId="7FB40E7E" w14:textId="77777777" w:rsidR="00B259A8" w:rsidRPr="0072192C" w:rsidRDefault="00B259A8" w:rsidP="00B259A8">
      <w:pPr>
        <w:pStyle w:val="BodyText"/>
        <w:spacing w:before="80" w:after="80"/>
      </w:pPr>
      <w:r w:rsidRPr="0072192C">
        <w:t>The Tokelau National Statistics Office collects and processes activity data from Tokelau for the preparation of the Inventory. Table 8.1.1 contains the key sources of the activity data from Tokelau used in Tokelau’s GHG inventory.</w:t>
      </w:r>
    </w:p>
    <w:p w14:paraId="399CFEDF" w14:textId="77777777" w:rsidR="00B259A8" w:rsidRPr="0072192C" w:rsidRDefault="00B259A8" w:rsidP="00B259A8">
      <w:pPr>
        <w:pStyle w:val="Table"/>
      </w:pPr>
      <w:bookmarkStart w:id="3174" w:name="_Toc225424314"/>
      <w:bookmarkStart w:id="3175" w:name="_Toc226669136"/>
      <w:r w:rsidRPr="0072192C">
        <w:t>Table 8.1.1</w:t>
      </w:r>
      <w:r w:rsidRPr="0072192C">
        <w:tab/>
        <w:t>Key sources for activity data in Tokelau</w:t>
      </w:r>
      <w:bookmarkEnd w:id="3174"/>
      <w:bookmarkEnd w:id="3175"/>
    </w:p>
    <w:tbl>
      <w:tblPr>
        <w:tblW w:w="8510" w:type="dxa"/>
        <w:tblBorders>
          <w:top w:val="single" w:sz="4" w:space="0" w:color="1B556B"/>
          <w:bottom w:val="single" w:sz="4" w:space="0" w:color="1B556B"/>
          <w:insideH w:val="single" w:sz="4" w:space="0" w:color="1B556B"/>
        </w:tblBorders>
        <w:tblLayout w:type="fixed"/>
        <w:tblCellMar>
          <w:left w:w="85" w:type="dxa"/>
          <w:right w:w="57" w:type="dxa"/>
        </w:tblCellMar>
        <w:tblLook w:val="0420" w:firstRow="1" w:lastRow="0" w:firstColumn="0" w:lastColumn="0" w:noHBand="0" w:noVBand="1"/>
      </w:tblPr>
      <w:tblGrid>
        <w:gridCol w:w="514"/>
        <w:gridCol w:w="1485"/>
        <w:gridCol w:w="2742"/>
        <w:gridCol w:w="3769"/>
      </w:tblGrid>
      <w:tr w:rsidR="00B259A8" w:rsidRPr="0072192C" w14:paraId="0B18E216" w14:textId="77777777" w:rsidTr="00F16E23">
        <w:trPr>
          <w:trHeight w:val="20"/>
          <w:tblHeader/>
        </w:trPr>
        <w:tc>
          <w:tcPr>
            <w:tcW w:w="510" w:type="dxa"/>
            <w:shd w:val="clear" w:color="auto" w:fill="1B556B"/>
            <w:tcMar>
              <w:top w:w="0" w:type="dxa"/>
              <w:left w:w="85" w:type="dxa"/>
              <w:bottom w:w="0" w:type="dxa"/>
              <w:right w:w="57" w:type="dxa"/>
            </w:tcMar>
          </w:tcPr>
          <w:p w14:paraId="56EA77AB" w14:textId="77777777" w:rsidR="00B259A8" w:rsidRPr="0072192C" w:rsidRDefault="00B259A8" w:rsidP="00F16E23">
            <w:pPr>
              <w:pStyle w:val="TableTextBold"/>
              <w:spacing w:before="20" w:after="20"/>
              <w:rPr>
                <w:noProof w:val="0"/>
                <w:color w:val="FFFFFF" w:themeColor="background1"/>
                <w:szCs w:val="16"/>
              </w:rPr>
            </w:pPr>
            <w:r w:rsidRPr="0072192C">
              <w:rPr>
                <w:rFonts w:eastAsia="Calibri"/>
                <w:noProof w:val="0"/>
                <w:color w:val="FFFFFF" w:themeColor="background1"/>
                <w:szCs w:val="16"/>
              </w:rPr>
              <w:t>Item</w:t>
            </w:r>
          </w:p>
        </w:tc>
        <w:tc>
          <w:tcPr>
            <w:tcW w:w="1474" w:type="dxa"/>
            <w:shd w:val="clear" w:color="auto" w:fill="1B556B"/>
            <w:tcMar>
              <w:top w:w="0" w:type="dxa"/>
              <w:left w:w="85" w:type="dxa"/>
              <w:bottom w:w="0" w:type="dxa"/>
              <w:right w:w="57" w:type="dxa"/>
            </w:tcMar>
          </w:tcPr>
          <w:p w14:paraId="7BFDBFF9" w14:textId="77777777" w:rsidR="00B259A8" w:rsidRPr="0072192C" w:rsidRDefault="00B259A8" w:rsidP="00F16E23">
            <w:pPr>
              <w:pStyle w:val="TableTextBold"/>
              <w:spacing w:before="20" w:after="20"/>
              <w:rPr>
                <w:noProof w:val="0"/>
                <w:color w:val="FFFFFF" w:themeColor="background1"/>
                <w:szCs w:val="16"/>
              </w:rPr>
            </w:pPr>
            <w:r w:rsidRPr="0072192C">
              <w:rPr>
                <w:rFonts w:eastAsia="Calibri"/>
                <w:noProof w:val="0"/>
                <w:color w:val="FFFFFF" w:themeColor="background1"/>
                <w:szCs w:val="16"/>
              </w:rPr>
              <w:t>Name/abbreviation</w:t>
            </w:r>
          </w:p>
        </w:tc>
        <w:tc>
          <w:tcPr>
            <w:tcW w:w="2722" w:type="dxa"/>
            <w:shd w:val="clear" w:color="auto" w:fill="1B556B"/>
            <w:tcMar>
              <w:top w:w="0" w:type="dxa"/>
              <w:left w:w="85" w:type="dxa"/>
              <w:bottom w:w="0" w:type="dxa"/>
              <w:right w:w="57" w:type="dxa"/>
            </w:tcMar>
          </w:tcPr>
          <w:p w14:paraId="50BAA007" w14:textId="77777777" w:rsidR="00B259A8" w:rsidRPr="0072192C" w:rsidRDefault="00B259A8" w:rsidP="00F16E23">
            <w:pPr>
              <w:pStyle w:val="TableTextBold"/>
              <w:spacing w:before="20" w:after="20"/>
              <w:rPr>
                <w:noProof w:val="0"/>
                <w:color w:val="FFFFFF" w:themeColor="background1"/>
                <w:szCs w:val="16"/>
              </w:rPr>
            </w:pPr>
            <w:r w:rsidRPr="0072192C">
              <w:rPr>
                <w:rFonts w:eastAsia="Calibri"/>
                <w:noProof w:val="0"/>
                <w:color w:val="FFFFFF" w:themeColor="background1"/>
                <w:szCs w:val="16"/>
              </w:rPr>
              <w:t>Explanation</w:t>
            </w:r>
          </w:p>
        </w:tc>
        <w:tc>
          <w:tcPr>
            <w:tcW w:w="3742" w:type="dxa"/>
            <w:shd w:val="clear" w:color="auto" w:fill="1B556B"/>
            <w:tcMar>
              <w:top w:w="0" w:type="dxa"/>
              <w:left w:w="85" w:type="dxa"/>
              <w:bottom w:w="0" w:type="dxa"/>
              <w:right w:w="57" w:type="dxa"/>
            </w:tcMar>
          </w:tcPr>
          <w:p w14:paraId="229A0E07" w14:textId="77777777" w:rsidR="00B259A8" w:rsidRPr="0072192C" w:rsidRDefault="00B259A8" w:rsidP="00F16E23">
            <w:pPr>
              <w:pStyle w:val="TableTextBold"/>
              <w:spacing w:before="20" w:after="20"/>
              <w:rPr>
                <w:rFonts w:eastAsia="Calibri"/>
                <w:bCs/>
                <w:noProof w:val="0"/>
                <w:color w:val="FFFFFF" w:themeColor="background1"/>
                <w:szCs w:val="16"/>
              </w:rPr>
            </w:pPr>
            <w:r w:rsidRPr="0072192C">
              <w:rPr>
                <w:rFonts w:eastAsia="Calibri"/>
                <w:bCs/>
                <w:noProof w:val="0"/>
                <w:color w:val="FFFFFF" w:themeColor="background1"/>
                <w:szCs w:val="16"/>
              </w:rPr>
              <w:t>Used where</w:t>
            </w:r>
          </w:p>
        </w:tc>
      </w:tr>
      <w:tr w:rsidR="00B259A8" w:rsidRPr="0072192C" w14:paraId="253BD793" w14:textId="77777777" w:rsidTr="00F16E23">
        <w:trPr>
          <w:trHeight w:val="20"/>
        </w:trPr>
        <w:tc>
          <w:tcPr>
            <w:tcW w:w="510" w:type="dxa"/>
            <w:shd w:val="clear" w:color="auto" w:fill="FFFFFF" w:themeFill="background1"/>
            <w:tcMar>
              <w:top w:w="0" w:type="dxa"/>
              <w:left w:w="85" w:type="dxa"/>
              <w:bottom w:w="0" w:type="dxa"/>
              <w:right w:w="57" w:type="dxa"/>
            </w:tcMar>
          </w:tcPr>
          <w:p w14:paraId="54A61AAA" w14:textId="77777777" w:rsidR="00B259A8" w:rsidRPr="0072192C" w:rsidRDefault="00B259A8" w:rsidP="00F16E23">
            <w:pPr>
              <w:pStyle w:val="TableText"/>
              <w:spacing w:before="20" w:after="20"/>
              <w:rPr>
                <w:szCs w:val="16"/>
              </w:rPr>
            </w:pPr>
            <w:r w:rsidRPr="0072192C">
              <w:rPr>
                <w:rFonts w:eastAsia="Calibri"/>
                <w:szCs w:val="16"/>
              </w:rPr>
              <w:t>1</w:t>
            </w:r>
          </w:p>
        </w:tc>
        <w:tc>
          <w:tcPr>
            <w:tcW w:w="1474" w:type="dxa"/>
            <w:shd w:val="clear" w:color="auto" w:fill="FFFFFF" w:themeFill="background1"/>
            <w:tcMar>
              <w:top w:w="0" w:type="dxa"/>
              <w:left w:w="85" w:type="dxa"/>
              <w:bottom w:w="0" w:type="dxa"/>
              <w:right w:w="57" w:type="dxa"/>
            </w:tcMar>
          </w:tcPr>
          <w:p w14:paraId="0359E033" w14:textId="77777777" w:rsidR="00B259A8" w:rsidRPr="0072192C" w:rsidRDefault="00B259A8" w:rsidP="00F16E23">
            <w:pPr>
              <w:pStyle w:val="TableText"/>
              <w:spacing w:before="20" w:after="20"/>
              <w:rPr>
                <w:szCs w:val="16"/>
              </w:rPr>
            </w:pPr>
            <w:r w:rsidRPr="0072192C">
              <w:rPr>
                <w:rFonts w:eastAsia="Calibri"/>
                <w:szCs w:val="16"/>
              </w:rPr>
              <w:t>Census</w:t>
            </w:r>
          </w:p>
        </w:tc>
        <w:tc>
          <w:tcPr>
            <w:tcW w:w="2722" w:type="dxa"/>
            <w:shd w:val="clear" w:color="auto" w:fill="FFFFFF" w:themeFill="background1"/>
            <w:tcMar>
              <w:top w:w="0" w:type="dxa"/>
              <w:left w:w="85" w:type="dxa"/>
              <w:bottom w:w="0" w:type="dxa"/>
              <w:right w:w="57" w:type="dxa"/>
            </w:tcMar>
          </w:tcPr>
          <w:p w14:paraId="29FAC258" w14:textId="0D1A936C" w:rsidR="00B259A8" w:rsidRPr="0072192C" w:rsidRDefault="00B259A8" w:rsidP="00F16E23">
            <w:pPr>
              <w:pStyle w:val="TableText"/>
              <w:spacing w:before="20" w:after="20"/>
              <w:rPr>
                <w:szCs w:val="16"/>
              </w:rPr>
            </w:pPr>
            <w:r w:rsidRPr="0072192C">
              <w:rPr>
                <w:rFonts w:eastAsia="Calibri"/>
                <w:szCs w:val="16"/>
              </w:rPr>
              <w:t>Tokelau Census of Population and Dwellings 2006, 2011, 2016, 2019 (mini</w:t>
            </w:r>
            <w:r w:rsidR="005F32B9">
              <w:rPr>
                <w:rFonts w:eastAsia="Calibri"/>
                <w:szCs w:val="16"/>
              </w:rPr>
              <w:t> </w:t>
            </w:r>
            <w:r w:rsidRPr="0072192C">
              <w:rPr>
                <w:rFonts w:eastAsia="Calibri"/>
                <w:szCs w:val="16"/>
              </w:rPr>
              <w:t xml:space="preserve">census). </w:t>
            </w:r>
            <w:r w:rsidRPr="0072192C">
              <w:rPr>
                <w:rFonts w:eastAsia="Calibri"/>
                <w:szCs w:val="16"/>
              </w:rPr>
              <w:br/>
            </w:r>
            <w:hyperlink r:id="rId253" w:history="1">
              <w:r w:rsidR="006650AC">
                <w:rPr>
                  <w:rStyle w:val="Hyperlink"/>
                </w:rPr>
                <w:t>www.tokelau.org.nz/Stats.html</w:t>
              </w:r>
            </w:hyperlink>
            <w:r w:rsidR="006650AC">
              <w:t xml:space="preserve"> </w:t>
            </w:r>
            <w:r w:rsidRPr="0072192C">
              <w:rPr>
                <w:rFonts w:eastAsia="Calibri"/>
                <w:color w:val="32809C"/>
                <w:szCs w:val="16"/>
              </w:rPr>
              <w:t xml:space="preserve"> </w:t>
            </w:r>
          </w:p>
        </w:tc>
        <w:tc>
          <w:tcPr>
            <w:tcW w:w="3742" w:type="dxa"/>
            <w:shd w:val="clear" w:color="auto" w:fill="FFFFFF" w:themeFill="background1"/>
            <w:tcMar>
              <w:top w:w="0" w:type="dxa"/>
              <w:left w:w="85" w:type="dxa"/>
              <w:bottom w:w="0" w:type="dxa"/>
              <w:right w:w="57" w:type="dxa"/>
            </w:tcMar>
          </w:tcPr>
          <w:p w14:paraId="13FE7E31" w14:textId="77777777" w:rsidR="00B259A8" w:rsidRPr="0072192C" w:rsidRDefault="00B259A8" w:rsidP="00F16E23">
            <w:pPr>
              <w:pStyle w:val="TableText"/>
              <w:spacing w:before="20" w:after="20"/>
              <w:rPr>
                <w:szCs w:val="16"/>
              </w:rPr>
            </w:pPr>
            <w:r w:rsidRPr="0072192C">
              <w:rPr>
                <w:rFonts w:eastAsia="Calibri"/>
                <w:szCs w:val="16"/>
              </w:rPr>
              <w:t>Census data; interpolations for populations of people and livestock; solid and water waste disposal (flush toilets), number of private aluminium boats and outboard motors, home appliances.</w:t>
            </w:r>
          </w:p>
        </w:tc>
      </w:tr>
      <w:tr w:rsidR="00B259A8" w:rsidRPr="0072192C" w14:paraId="4A3CCBE0" w14:textId="77777777" w:rsidTr="00F16E23">
        <w:trPr>
          <w:trHeight w:val="20"/>
        </w:trPr>
        <w:tc>
          <w:tcPr>
            <w:tcW w:w="510" w:type="dxa"/>
            <w:shd w:val="clear" w:color="auto" w:fill="FFFFFF" w:themeFill="background1"/>
            <w:tcMar>
              <w:top w:w="0" w:type="dxa"/>
              <w:left w:w="85" w:type="dxa"/>
              <w:bottom w:w="0" w:type="dxa"/>
              <w:right w:w="57" w:type="dxa"/>
            </w:tcMar>
          </w:tcPr>
          <w:p w14:paraId="03C9D79B" w14:textId="77777777" w:rsidR="00B259A8" w:rsidRPr="0072192C" w:rsidRDefault="00B259A8" w:rsidP="00F16E23">
            <w:pPr>
              <w:pStyle w:val="TableText"/>
              <w:spacing w:before="20" w:after="20"/>
              <w:rPr>
                <w:szCs w:val="16"/>
              </w:rPr>
            </w:pPr>
            <w:r w:rsidRPr="0072192C">
              <w:rPr>
                <w:rFonts w:eastAsia="Calibri"/>
                <w:szCs w:val="16"/>
              </w:rPr>
              <w:t>2</w:t>
            </w:r>
          </w:p>
        </w:tc>
        <w:tc>
          <w:tcPr>
            <w:tcW w:w="1474" w:type="dxa"/>
            <w:shd w:val="clear" w:color="auto" w:fill="FFFFFF" w:themeFill="background1"/>
            <w:tcMar>
              <w:top w:w="0" w:type="dxa"/>
              <w:left w:w="85" w:type="dxa"/>
              <w:bottom w:w="0" w:type="dxa"/>
              <w:right w:w="57" w:type="dxa"/>
            </w:tcMar>
          </w:tcPr>
          <w:p w14:paraId="7161076F" w14:textId="77777777" w:rsidR="00B259A8" w:rsidRPr="0072192C" w:rsidRDefault="00B259A8" w:rsidP="00F16E23">
            <w:pPr>
              <w:pStyle w:val="TableText"/>
              <w:spacing w:before="20" w:after="20"/>
              <w:rPr>
                <w:szCs w:val="16"/>
              </w:rPr>
            </w:pPr>
            <w:r w:rsidRPr="0072192C">
              <w:rPr>
                <w:rFonts w:eastAsia="Calibri"/>
                <w:szCs w:val="16"/>
              </w:rPr>
              <w:t>Archives NZ</w:t>
            </w:r>
          </w:p>
        </w:tc>
        <w:tc>
          <w:tcPr>
            <w:tcW w:w="2722" w:type="dxa"/>
            <w:shd w:val="clear" w:color="auto" w:fill="FFFFFF" w:themeFill="background1"/>
            <w:tcMar>
              <w:top w:w="0" w:type="dxa"/>
              <w:left w:w="85" w:type="dxa"/>
              <w:bottom w:w="0" w:type="dxa"/>
              <w:right w:w="57" w:type="dxa"/>
            </w:tcMar>
          </w:tcPr>
          <w:p w14:paraId="32671B05" w14:textId="77777777" w:rsidR="00B259A8" w:rsidRPr="0072192C" w:rsidRDefault="00B259A8" w:rsidP="00F16E23">
            <w:pPr>
              <w:pStyle w:val="TableText"/>
              <w:spacing w:before="20" w:after="20"/>
              <w:rPr>
                <w:szCs w:val="16"/>
              </w:rPr>
            </w:pPr>
            <w:r w:rsidRPr="0072192C">
              <w:rPr>
                <w:rFonts w:eastAsia="Calibri"/>
                <w:szCs w:val="16"/>
              </w:rPr>
              <w:t>Archives New Zealand, Wellington</w:t>
            </w:r>
          </w:p>
        </w:tc>
        <w:tc>
          <w:tcPr>
            <w:tcW w:w="3742" w:type="dxa"/>
            <w:shd w:val="clear" w:color="auto" w:fill="FFFFFF" w:themeFill="background1"/>
            <w:tcMar>
              <w:top w:w="0" w:type="dxa"/>
              <w:left w:w="85" w:type="dxa"/>
              <w:bottom w:w="0" w:type="dxa"/>
              <w:right w:w="57" w:type="dxa"/>
            </w:tcMar>
          </w:tcPr>
          <w:p w14:paraId="388465A9" w14:textId="77777777" w:rsidR="00B259A8" w:rsidRPr="0072192C" w:rsidRDefault="00B259A8" w:rsidP="00F16E23">
            <w:pPr>
              <w:pStyle w:val="TableText"/>
              <w:spacing w:before="20" w:after="20"/>
              <w:rPr>
                <w:szCs w:val="16"/>
              </w:rPr>
            </w:pPr>
            <w:r w:rsidRPr="0072192C">
              <w:rPr>
                <w:rFonts w:eastAsia="Calibri"/>
                <w:szCs w:val="16"/>
              </w:rPr>
              <w:t>Historic Census records going back to 1951, at five-year intervals (Tokelau National Statistics Office collation and analysis).</w:t>
            </w:r>
          </w:p>
        </w:tc>
      </w:tr>
      <w:tr w:rsidR="00B259A8" w:rsidRPr="0072192C" w14:paraId="49D3C5FA" w14:textId="77777777" w:rsidTr="00F16E23">
        <w:trPr>
          <w:trHeight w:val="20"/>
        </w:trPr>
        <w:tc>
          <w:tcPr>
            <w:tcW w:w="510" w:type="dxa"/>
            <w:shd w:val="clear" w:color="auto" w:fill="FFFFFF" w:themeFill="background1"/>
            <w:tcMar>
              <w:top w:w="0" w:type="dxa"/>
              <w:left w:w="85" w:type="dxa"/>
              <w:bottom w:w="0" w:type="dxa"/>
              <w:right w:w="57" w:type="dxa"/>
            </w:tcMar>
          </w:tcPr>
          <w:p w14:paraId="19663528" w14:textId="77777777" w:rsidR="00B259A8" w:rsidRPr="0072192C" w:rsidRDefault="00B259A8" w:rsidP="00F16E23">
            <w:pPr>
              <w:pStyle w:val="TableText"/>
              <w:spacing w:before="20" w:after="20"/>
              <w:rPr>
                <w:szCs w:val="16"/>
              </w:rPr>
            </w:pPr>
            <w:r w:rsidRPr="0072192C">
              <w:rPr>
                <w:rFonts w:eastAsia="Calibri"/>
                <w:szCs w:val="16"/>
              </w:rPr>
              <w:t>3</w:t>
            </w:r>
          </w:p>
        </w:tc>
        <w:tc>
          <w:tcPr>
            <w:tcW w:w="1474" w:type="dxa"/>
            <w:shd w:val="clear" w:color="auto" w:fill="FFFFFF" w:themeFill="background1"/>
            <w:tcMar>
              <w:top w:w="0" w:type="dxa"/>
              <w:left w:w="85" w:type="dxa"/>
              <w:bottom w:w="0" w:type="dxa"/>
              <w:right w:w="57" w:type="dxa"/>
            </w:tcMar>
          </w:tcPr>
          <w:p w14:paraId="0111FEC6" w14:textId="77777777" w:rsidR="00B259A8" w:rsidRPr="0072192C" w:rsidRDefault="00B259A8" w:rsidP="00F16E23">
            <w:pPr>
              <w:pStyle w:val="TableText"/>
              <w:spacing w:before="20" w:after="20"/>
              <w:rPr>
                <w:szCs w:val="16"/>
              </w:rPr>
            </w:pPr>
            <w:r w:rsidRPr="0072192C">
              <w:rPr>
                <w:rFonts w:eastAsia="Calibri"/>
                <w:szCs w:val="16"/>
              </w:rPr>
              <w:t>HIES</w:t>
            </w:r>
          </w:p>
        </w:tc>
        <w:tc>
          <w:tcPr>
            <w:tcW w:w="2722" w:type="dxa"/>
            <w:shd w:val="clear" w:color="auto" w:fill="FFFFFF" w:themeFill="background1"/>
            <w:tcMar>
              <w:top w:w="0" w:type="dxa"/>
              <w:left w:w="85" w:type="dxa"/>
              <w:bottom w:w="0" w:type="dxa"/>
              <w:right w:w="57" w:type="dxa"/>
            </w:tcMar>
          </w:tcPr>
          <w:p w14:paraId="2A67B119" w14:textId="282A1F03" w:rsidR="00B259A8" w:rsidRPr="0072192C" w:rsidRDefault="00B259A8" w:rsidP="00F16E23">
            <w:pPr>
              <w:pStyle w:val="TableText"/>
              <w:spacing w:before="20" w:after="20"/>
              <w:rPr>
                <w:szCs w:val="16"/>
              </w:rPr>
            </w:pPr>
            <w:r w:rsidRPr="0072192C">
              <w:rPr>
                <w:rFonts w:eastAsia="Calibri"/>
                <w:szCs w:val="16"/>
              </w:rPr>
              <w:t xml:space="preserve">Tokelau Household Income and Expenditure Survey 2015/16 </w:t>
            </w:r>
            <w:r w:rsidRPr="0072192C">
              <w:rPr>
                <w:rFonts w:eastAsia="Calibri"/>
                <w:szCs w:val="16"/>
              </w:rPr>
              <w:br/>
            </w:r>
            <w:hyperlink r:id="rId254" w:history="1">
              <w:r w:rsidR="00050405">
                <w:rPr>
                  <w:rStyle w:val="Hyperlink"/>
                </w:rPr>
                <w:t>www.tokelau.org.nz/Stats.html</w:t>
              </w:r>
            </w:hyperlink>
            <w:r w:rsidR="00050405">
              <w:t xml:space="preserve"> </w:t>
            </w:r>
            <w:r w:rsidRPr="0072192C">
              <w:rPr>
                <w:rFonts w:eastAsia="Calibri"/>
                <w:color w:val="32809C"/>
                <w:szCs w:val="16"/>
              </w:rPr>
              <w:t xml:space="preserve"> </w:t>
            </w:r>
          </w:p>
        </w:tc>
        <w:tc>
          <w:tcPr>
            <w:tcW w:w="3742" w:type="dxa"/>
            <w:shd w:val="clear" w:color="auto" w:fill="FFFFFF" w:themeFill="background1"/>
            <w:tcMar>
              <w:top w:w="0" w:type="dxa"/>
              <w:left w:w="85" w:type="dxa"/>
              <w:bottom w:w="0" w:type="dxa"/>
              <w:right w:w="57" w:type="dxa"/>
            </w:tcMar>
          </w:tcPr>
          <w:p w14:paraId="6701C447" w14:textId="77777777" w:rsidR="00B259A8" w:rsidRPr="0072192C" w:rsidRDefault="00B259A8" w:rsidP="00F16E23">
            <w:pPr>
              <w:pStyle w:val="TableText"/>
              <w:spacing w:before="20" w:after="20"/>
              <w:rPr>
                <w:szCs w:val="16"/>
              </w:rPr>
            </w:pPr>
            <w:r w:rsidRPr="0072192C">
              <w:rPr>
                <w:rFonts w:eastAsia="Calibri"/>
                <w:szCs w:val="16"/>
              </w:rPr>
              <w:t>Population and dwellings data supplementary to Census, in partnership with Pacific Community (SPC).</w:t>
            </w:r>
          </w:p>
        </w:tc>
      </w:tr>
      <w:tr w:rsidR="00B259A8" w:rsidRPr="0072192C" w14:paraId="56AAC0C3" w14:textId="77777777" w:rsidTr="00F16E23">
        <w:trPr>
          <w:trHeight w:val="20"/>
        </w:trPr>
        <w:tc>
          <w:tcPr>
            <w:tcW w:w="510" w:type="dxa"/>
            <w:shd w:val="clear" w:color="auto" w:fill="FFFFFF" w:themeFill="background1"/>
            <w:tcMar>
              <w:top w:w="0" w:type="dxa"/>
              <w:left w:w="85" w:type="dxa"/>
              <w:bottom w:w="0" w:type="dxa"/>
              <w:right w:w="57" w:type="dxa"/>
            </w:tcMar>
          </w:tcPr>
          <w:p w14:paraId="5C5ED273" w14:textId="77777777" w:rsidR="00B259A8" w:rsidRPr="0072192C" w:rsidRDefault="00B259A8" w:rsidP="00F16E23">
            <w:pPr>
              <w:pStyle w:val="TableText"/>
              <w:spacing w:before="20" w:after="20"/>
              <w:rPr>
                <w:szCs w:val="16"/>
              </w:rPr>
            </w:pPr>
            <w:r w:rsidRPr="0072192C">
              <w:rPr>
                <w:rFonts w:eastAsia="Calibri"/>
                <w:szCs w:val="16"/>
              </w:rPr>
              <w:t>4</w:t>
            </w:r>
          </w:p>
        </w:tc>
        <w:tc>
          <w:tcPr>
            <w:tcW w:w="1474" w:type="dxa"/>
            <w:shd w:val="clear" w:color="auto" w:fill="FFFFFF" w:themeFill="background1"/>
            <w:tcMar>
              <w:top w:w="0" w:type="dxa"/>
              <w:left w:w="85" w:type="dxa"/>
              <w:bottom w:w="0" w:type="dxa"/>
              <w:right w:w="57" w:type="dxa"/>
            </w:tcMar>
          </w:tcPr>
          <w:p w14:paraId="3CBC5C52" w14:textId="77777777" w:rsidR="00B259A8" w:rsidRPr="0072192C" w:rsidRDefault="00B259A8" w:rsidP="00F16E23">
            <w:pPr>
              <w:pStyle w:val="TableText"/>
              <w:spacing w:before="20" w:after="20"/>
              <w:rPr>
                <w:szCs w:val="16"/>
              </w:rPr>
            </w:pPr>
            <w:r w:rsidRPr="0072192C">
              <w:rPr>
                <w:rFonts w:eastAsia="Calibri"/>
                <w:szCs w:val="16"/>
              </w:rPr>
              <w:t>SNZ, Stats NZ</w:t>
            </w:r>
          </w:p>
        </w:tc>
        <w:tc>
          <w:tcPr>
            <w:tcW w:w="2722" w:type="dxa"/>
            <w:shd w:val="clear" w:color="auto" w:fill="FFFFFF" w:themeFill="background1"/>
            <w:tcMar>
              <w:top w:w="0" w:type="dxa"/>
              <w:left w:w="85" w:type="dxa"/>
              <w:bottom w:w="0" w:type="dxa"/>
              <w:right w:w="57" w:type="dxa"/>
            </w:tcMar>
          </w:tcPr>
          <w:p w14:paraId="212E87C3" w14:textId="77777777" w:rsidR="00B259A8" w:rsidRPr="0072192C" w:rsidRDefault="00B259A8" w:rsidP="00F16E23">
            <w:pPr>
              <w:pStyle w:val="TableText"/>
              <w:spacing w:before="20" w:after="20"/>
              <w:rPr>
                <w:szCs w:val="16"/>
              </w:rPr>
            </w:pPr>
            <w:r w:rsidRPr="0072192C">
              <w:rPr>
                <w:rFonts w:eastAsia="Calibri"/>
                <w:szCs w:val="16"/>
              </w:rPr>
              <w:t xml:space="preserve">Stats NZ, Wellington </w:t>
            </w:r>
            <w:r w:rsidRPr="0072192C">
              <w:rPr>
                <w:rFonts w:eastAsia="Calibri"/>
                <w:szCs w:val="16"/>
              </w:rPr>
              <w:br/>
            </w:r>
            <w:hyperlink r:id="rId255" w:history="1">
              <w:r w:rsidRPr="0072192C">
                <w:rPr>
                  <w:rStyle w:val="Hyperlink"/>
                  <w:rFonts w:eastAsia="Calibri" w:cs="Calibri"/>
                  <w:szCs w:val="16"/>
                </w:rPr>
                <w:t>www.stats.govt.nz</w:t>
              </w:r>
            </w:hyperlink>
            <w:r w:rsidRPr="0072192C">
              <w:rPr>
                <w:rFonts w:eastAsia="Calibri"/>
                <w:szCs w:val="16"/>
              </w:rPr>
              <w:t xml:space="preserve"> </w:t>
            </w:r>
          </w:p>
        </w:tc>
        <w:tc>
          <w:tcPr>
            <w:tcW w:w="3742" w:type="dxa"/>
            <w:shd w:val="clear" w:color="auto" w:fill="FFFFFF" w:themeFill="background1"/>
            <w:tcMar>
              <w:top w:w="0" w:type="dxa"/>
              <w:left w:w="85" w:type="dxa"/>
              <w:bottom w:w="0" w:type="dxa"/>
              <w:right w:w="57" w:type="dxa"/>
            </w:tcMar>
          </w:tcPr>
          <w:p w14:paraId="111B12BE" w14:textId="77777777" w:rsidR="00B259A8" w:rsidRPr="0072192C" w:rsidRDefault="00B259A8" w:rsidP="00F16E23">
            <w:pPr>
              <w:pStyle w:val="TableText"/>
              <w:spacing w:before="20" w:after="20"/>
              <w:rPr>
                <w:szCs w:val="16"/>
              </w:rPr>
            </w:pPr>
            <w:r w:rsidRPr="0072192C">
              <w:rPr>
                <w:rFonts w:eastAsia="Calibri"/>
                <w:szCs w:val="16"/>
              </w:rPr>
              <w:t>Major partner in collection, analysis and publication of Tokelau Census data.</w:t>
            </w:r>
          </w:p>
        </w:tc>
      </w:tr>
      <w:tr w:rsidR="00B259A8" w:rsidRPr="0072192C" w14:paraId="1DB38B79" w14:textId="77777777" w:rsidTr="00F16E23">
        <w:trPr>
          <w:trHeight w:val="20"/>
        </w:trPr>
        <w:tc>
          <w:tcPr>
            <w:tcW w:w="510" w:type="dxa"/>
            <w:shd w:val="clear" w:color="auto" w:fill="FFFFFF" w:themeFill="background1"/>
            <w:tcMar>
              <w:top w:w="0" w:type="dxa"/>
              <w:left w:w="85" w:type="dxa"/>
              <w:bottom w:w="0" w:type="dxa"/>
              <w:right w:w="57" w:type="dxa"/>
            </w:tcMar>
          </w:tcPr>
          <w:p w14:paraId="6FB1EC74" w14:textId="77777777" w:rsidR="00B259A8" w:rsidRPr="0072192C" w:rsidRDefault="00B259A8" w:rsidP="00F16E23">
            <w:pPr>
              <w:pStyle w:val="TableText"/>
              <w:spacing w:before="20" w:after="20"/>
              <w:rPr>
                <w:szCs w:val="16"/>
              </w:rPr>
            </w:pPr>
            <w:r w:rsidRPr="0072192C">
              <w:rPr>
                <w:rFonts w:eastAsia="Calibri"/>
                <w:szCs w:val="16"/>
              </w:rPr>
              <w:t>5</w:t>
            </w:r>
          </w:p>
        </w:tc>
        <w:tc>
          <w:tcPr>
            <w:tcW w:w="1474" w:type="dxa"/>
            <w:shd w:val="clear" w:color="auto" w:fill="FFFFFF" w:themeFill="background1"/>
            <w:tcMar>
              <w:top w:w="0" w:type="dxa"/>
              <w:left w:w="85" w:type="dxa"/>
              <w:bottom w:w="0" w:type="dxa"/>
              <w:right w:w="57" w:type="dxa"/>
            </w:tcMar>
          </w:tcPr>
          <w:p w14:paraId="17C90266" w14:textId="77777777" w:rsidR="00B259A8" w:rsidRPr="0072192C" w:rsidRDefault="00B259A8" w:rsidP="00F16E23">
            <w:pPr>
              <w:pStyle w:val="TableText"/>
              <w:spacing w:before="20" w:after="20"/>
              <w:rPr>
                <w:szCs w:val="16"/>
              </w:rPr>
            </w:pPr>
            <w:r w:rsidRPr="0072192C">
              <w:rPr>
                <w:rFonts w:eastAsia="Calibri"/>
                <w:szCs w:val="16"/>
              </w:rPr>
              <w:t>TNSO</w:t>
            </w:r>
          </w:p>
        </w:tc>
        <w:tc>
          <w:tcPr>
            <w:tcW w:w="2722" w:type="dxa"/>
            <w:shd w:val="clear" w:color="auto" w:fill="FFFFFF" w:themeFill="background1"/>
            <w:tcMar>
              <w:top w:w="0" w:type="dxa"/>
              <w:left w:w="85" w:type="dxa"/>
              <w:bottom w:w="0" w:type="dxa"/>
              <w:right w:w="57" w:type="dxa"/>
            </w:tcMar>
          </w:tcPr>
          <w:p w14:paraId="156DB808" w14:textId="77777777" w:rsidR="00B259A8" w:rsidRPr="0072192C" w:rsidRDefault="00B259A8" w:rsidP="00F16E23">
            <w:pPr>
              <w:pStyle w:val="TableText"/>
              <w:spacing w:before="20" w:after="20"/>
              <w:rPr>
                <w:szCs w:val="16"/>
              </w:rPr>
            </w:pPr>
            <w:r w:rsidRPr="0072192C">
              <w:rPr>
                <w:rFonts w:eastAsia="Calibri"/>
                <w:szCs w:val="16"/>
              </w:rPr>
              <w:t xml:space="preserve">Tokelau National Statistics Office, Apia </w:t>
            </w:r>
            <w:r w:rsidRPr="0072192C">
              <w:rPr>
                <w:rFonts w:eastAsia="Calibri"/>
                <w:szCs w:val="16"/>
              </w:rPr>
              <w:br/>
            </w:r>
            <w:hyperlink r:id="rId256" w:history="1">
              <w:r w:rsidRPr="0072192C">
                <w:rPr>
                  <w:rStyle w:val="Hyperlink"/>
                  <w:rFonts w:eastAsia="Calibri" w:cs="Calibri"/>
                  <w:szCs w:val="16"/>
                </w:rPr>
                <w:t>www.tokelau.org.nz/Stats.html</w:t>
              </w:r>
            </w:hyperlink>
            <w:r w:rsidRPr="0072192C">
              <w:rPr>
                <w:rFonts w:eastAsia="Calibri"/>
                <w:color w:val="32809C"/>
                <w:szCs w:val="16"/>
              </w:rPr>
              <w:t xml:space="preserve"> </w:t>
            </w:r>
          </w:p>
        </w:tc>
        <w:tc>
          <w:tcPr>
            <w:tcW w:w="3742" w:type="dxa"/>
            <w:shd w:val="clear" w:color="auto" w:fill="FFFFFF" w:themeFill="background1"/>
            <w:tcMar>
              <w:top w:w="0" w:type="dxa"/>
              <w:left w:w="85" w:type="dxa"/>
              <w:bottom w:w="0" w:type="dxa"/>
              <w:right w:w="57" w:type="dxa"/>
            </w:tcMar>
          </w:tcPr>
          <w:p w14:paraId="2D39CE7E" w14:textId="77777777" w:rsidR="00B259A8" w:rsidRPr="0072192C" w:rsidRDefault="00B259A8" w:rsidP="00F16E23">
            <w:pPr>
              <w:pStyle w:val="TableText"/>
              <w:spacing w:before="20" w:after="20"/>
              <w:rPr>
                <w:szCs w:val="16"/>
              </w:rPr>
            </w:pPr>
            <w:r w:rsidRPr="0072192C">
              <w:rPr>
                <w:rFonts w:eastAsia="Calibri"/>
                <w:szCs w:val="16"/>
              </w:rPr>
              <w:t>Joint collection, analysis and publication of Tokelau Census data.</w:t>
            </w:r>
          </w:p>
        </w:tc>
      </w:tr>
      <w:tr w:rsidR="00B259A8" w:rsidRPr="0072192C" w14:paraId="607DA106" w14:textId="77777777" w:rsidTr="00F16E23">
        <w:trPr>
          <w:trHeight w:val="20"/>
        </w:trPr>
        <w:tc>
          <w:tcPr>
            <w:tcW w:w="510" w:type="dxa"/>
            <w:shd w:val="clear" w:color="auto" w:fill="FFFFFF" w:themeFill="background1"/>
            <w:tcMar>
              <w:top w:w="0" w:type="dxa"/>
              <w:left w:w="85" w:type="dxa"/>
              <w:bottom w:w="0" w:type="dxa"/>
              <w:right w:w="57" w:type="dxa"/>
            </w:tcMar>
          </w:tcPr>
          <w:p w14:paraId="0BFA5051" w14:textId="77777777" w:rsidR="00B259A8" w:rsidRPr="0072192C" w:rsidRDefault="00B259A8" w:rsidP="00F16E23">
            <w:pPr>
              <w:pStyle w:val="TableText"/>
              <w:spacing w:before="20" w:after="20"/>
              <w:rPr>
                <w:szCs w:val="16"/>
              </w:rPr>
            </w:pPr>
            <w:r w:rsidRPr="0072192C">
              <w:rPr>
                <w:rFonts w:eastAsia="Calibri"/>
                <w:szCs w:val="16"/>
              </w:rPr>
              <w:t>6</w:t>
            </w:r>
          </w:p>
        </w:tc>
        <w:tc>
          <w:tcPr>
            <w:tcW w:w="1474" w:type="dxa"/>
            <w:shd w:val="clear" w:color="auto" w:fill="FFFFFF" w:themeFill="background1"/>
            <w:tcMar>
              <w:top w:w="0" w:type="dxa"/>
              <w:left w:w="85" w:type="dxa"/>
              <w:bottom w:w="0" w:type="dxa"/>
              <w:right w:w="57" w:type="dxa"/>
            </w:tcMar>
          </w:tcPr>
          <w:p w14:paraId="1CE7DF1D" w14:textId="77777777" w:rsidR="00B259A8" w:rsidRPr="0072192C" w:rsidRDefault="00B259A8" w:rsidP="00F16E23">
            <w:pPr>
              <w:pStyle w:val="TableText"/>
              <w:spacing w:before="20" w:after="20"/>
              <w:rPr>
                <w:szCs w:val="16"/>
              </w:rPr>
            </w:pPr>
            <w:r w:rsidRPr="0072192C">
              <w:rPr>
                <w:rFonts w:eastAsia="Calibri"/>
                <w:szCs w:val="16"/>
              </w:rPr>
              <w:t>DoE</w:t>
            </w:r>
          </w:p>
        </w:tc>
        <w:tc>
          <w:tcPr>
            <w:tcW w:w="2722" w:type="dxa"/>
            <w:shd w:val="clear" w:color="auto" w:fill="FFFFFF" w:themeFill="background1"/>
            <w:tcMar>
              <w:top w:w="0" w:type="dxa"/>
              <w:left w:w="85" w:type="dxa"/>
              <w:bottom w:w="0" w:type="dxa"/>
              <w:right w:w="57" w:type="dxa"/>
            </w:tcMar>
          </w:tcPr>
          <w:p w14:paraId="06670B0B" w14:textId="77777777" w:rsidR="00B259A8" w:rsidRPr="0072192C" w:rsidRDefault="00B259A8" w:rsidP="00F16E23">
            <w:pPr>
              <w:pStyle w:val="TableText"/>
              <w:spacing w:before="20" w:after="20"/>
              <w:rPr>
                <w:szCs w:val="16"/>
              </w:rPr>
            </w:pPr>
            <w:r w:rsidRPr="0072192C">
              <w:rPr>
                <w:rFonts w:eastAsia="Calibri"/>
                <w:szCs w:val="16"/>
              </w:rPr>
              <w:t>Tokelau Department of Energy</w:t>
            </w:r>
          </w:p>
        </w:tc>
        <w:tc>
          <w:tcPr>
            <w:tcW w:w="3742" w:type="dxa"/>
            <w:shd w:val="clear" w:color="auto" w:fill="FFFFFF" w:themeFill="background1"/>
            <w:tcMar>
              <w:top w:w="0" w:type="dxa"/>
              <w:left w:w="85" w:type="dxa"/>
              <w:bottom w:w="0" w:type="dxa"/>
              <w:right w:w="57" w:type="dxa"/>
            </w:tcMar>
          </w:tcPr>
          <w:p w14:paraId="3A1F5E9E" w14:textId="77777777" w:rsidR="00B259A8" w:rsidRPr="0072192C" w:rsidRDefault="00B259A8" w:rsidP="00F16E23">
            <w:pPr>
              <w:pStyle w:val="TableText"/>
              <w:spacing w:before="20" w:after="20"/>
              <w:rPr>
                <w:szCs w:val="16"/>
              </w:rPr>
            </w:pPr>
            <w:r w:rsidRPr="0072192C">
              <w:rPr>
                <w:rFonts w:eastAsia="Calibri"/>
                <w:szCs w:val="16"/>
              </w:rPr>
              <w:t>Estimate of diesel use for 24/7 power generation in 2004, plus before and after installation of solar panels in July–September 2012 (personal communication Mr Robin Pene, DoE director).</w:t>
            </w:r>
          </w:p>
        </w:tc>
      </w:tr>
      <w:tr w:rsidR="00B259A8" w:rsidRPr="0072192C" w14:paraId="204788BB" w14:textId="77777777" w:rsidTr="00F16E23">
        <w:trPr>
          <w:trHeight w:val="20"/>
        </w:trPr>
        <w:tc>
          <w:tcPr>
            <w:tcW w:w="510" w:type="dxa"/>
            <w:shd w:val="clear" w:color="auto" w:fill="FFFFFF" w:themeFill="background1"/>
            <w:tcMar>
              <w:top w:w="0" w:type="dxa"/>
              <w:left w:w="85" w:type="dxa"/>
              <w:bottom w:w="0" w:type="dxa"/>
              <w:right w:w="57" w:type="dxa"/>
            </w:tcMar>
          </w:tcPr>
          <w:p w14:paraId="4E9743E9" w14:textId="77777777" w:rsidR="00B259A8" w:rsidRPr="0072192C" w:rsidRDefault="00B259A8" w:rsidP="00F16E23">
            <w:pPr>
              <w:pStyle w:val="TableText"/>
              <w:spacing w:before="20" w:after="20"/>
              <w:rPr>
                <w:szCs w:val="16"/>
              </w:rPr>
            </w:pPr>
            <w:r w:rsidRPr="0072192C">
              <w:rPr>
                <w:rFonts w:eastAsia="Calibri"/>
                <w:szCs w:val="16"/>
              </w:rPr>
              <w:t>7</w:t>
            </w:r>
          </w:p>
        </w:tc>
        <w:tc>
          <w:tcPr>
            <w:tcW w:w="1474" w:type="dxa"/>
            <w:shd w:val="clear" w:color="auto" w:fill="FFFFFF" w:themeFill="background1"/>
            <w:tcMar>
              <w:top w:w="0" w:type="dxa"/>
              <w:left w:w="85" w:type="dxa"/>
              <w:bottom w:w="0" w:type="dxa"/>
              <w:right w:w="57" w:type="dxa"/>
            </w:tcMar>
          </w:tcPr>
          <w:p w14:paraId="1C152E98" w14:textId="77777777" w:rsidR="00B259A8" w:rsidRPr="0072192C" w:rsidRDefault="00B259A8" w:rsidP="00F16E23">
            <w:pPr>
              <w:pStyle w:val="TableText"/>
              <w:spacing w:before="20" w:after="20"/>
              <w:rPr>
                <w:szCs w:val="16"/>
              </w:rPr>
            </w:pPr>
            <w:r w:rsidRPr="0072192C">
              <w:rPr>
                <w:rFonts w:eastAsia="Calibri"/>
                <w:szCs w:val="16"/>
              </w:rPr>
              <w:t>PPS</w:t>
            </w:r>
          </w:p>
        </w:tc>
        <w:tc>
          <w:tcPr>
            <w:tcW w:w="2722" w:type="dxa"/>
            <w:shd w:val="clear" w:color="auto" w:fill="FFFFFF" w:themeFill="background1"/>
            <w:tcMar>
              <w:top w:w="0" w:type="dxa"/>
              <w:left w:w="85" w:type="dxa"/>
              <w:bottom w:w="0" w:type="dxa"/>
              <w:right w:w="57" w:type="dxa"/>
            </w:tcMar>
          </w:tcPr>
          <w:p w14:paraId="73A934BD" w14:textId="77777777" w:rsidR="00B259A8" w:rsidRPr="0072192C" w:rsidRDefault="00B259A8" w:rsidP="00F16E23">
            <w:pPr>
              <w:pStyle w:val="TableText"/>
              <w:spacing w:before="20" w:after="20"/>
              <w:rPr>
                <w:szCs w:val="16"/>
              </w:rPr>
            </w:pPr>
            <w:r w:rsidRPr="0072192C">
              <w:rPr>
                <w:rFonts w:eastAsia="Calibri"/>
                <w:szCs w:val="16"/>
              </w:rPr>
              <w:t>Petroleum Product Supplies Ltd Apia</w:t>
            </w:r>
          </w:p>
        </w:tc>
        <w:tc>
          <w:tcPr>
            <w:tcW w:w="3742" w:type="dxa"/>
            <w:shd w:val="clear" w:color="auto" w:fill="FFFFFF" w:themeFill="background1"/>
            <w:tcMar>
              <w:top w:w="0" w:type="dxa"/>
              <w:left w:w="85" w:type="dxa"/>
              <w:bottom w:w="0" w:type="dxa"/>
              <w:right w:w="57" w:type="dxa"/>
            </w:tcMar>
          </w:tcPr>
          <w:p w14:paraId="3D59275A" w14:textId="77777777" w:rsidR="00B259A8" w:rsidRPr="0072192C" w:rsidRDefault="00B259A8" w:rsidP="00F16E23">
            <w:pPr>
              <w:pStyle w:val="TableText"/>
              <w:spacing w:before="20" w:after="20"/>
              <w:rPr>
                <w:szCs w:val="16"/>
              </w:rPr>
            </w:pPr>
            <w:r w:rsidRPr="0072192C">
              <w:rPr>
                <w:rFonts w:eastAsia="Calibri"/>
                <w:szCs w:val="16"/>
              </w:rPr>
              <w:t>Fuel prices and volumes supplied for shipping and on-atoll use of diesel, petrol, kerosene and lubricant oil.</w:t>
            </w:r>
          </w:p>
        </w:tc>
      </w:tr>
      <w:tr w:rsidR="00B259A8" w:rsidRPr="0072192C" w14:paraId="2B6CFDBF" w14:textId="77777777" w:rsidTr="00F16E23">
        <w:trPr>
          <w:trHeight w:val="20"/>
        </w:trPr>
        <w:tc>
          <w:tcPr>
            <w:tcW w:w="510" w:type="dxa"/>
            <w:shd w:val="clear" w:color="auto" w:fill="FFFFFF" w:themeFill="background1"/>
            <w:tcMar>
              <w:top w:w="0" w:type="dxa"/>
              <w:left w:w="85" w:type="dxa"/>
              <w:bottom w:w="0" w:type="dxa"/>
              <w:right w:w="57" w:type="dxa"/>
            </w:tcMar>
          </w:tcPr>
          <w:p w14:paraId="73552A06" w14:textId="77777777" w:rsidR="00B259A8" w:rsidRPr="0072192C" w:rsidRDefault="00B259A8" w:rsidP="00F16E23">
            <w:pPr>
              <w:pStyle w:val="TableText"/>
              <w:spacing w:before="20" w:after="20"/>
              <w:rPr>
                <w:szCs w:val="16"/>
              </w:rPr>
            </w:pPr>
            <w:r w:rsidRPr="0072192C">
              <w:rPr>
                <w:rFonts w:eastAsia="Calibri"/>
                <w:szCs w:val="16"/>
              </w:rPr>
              <w:t>8</w:t>
            </w:r>
          </w:p>
        </w:tc>
        <w:tc>
          <w:tcPr>
            <w:tcW w:w="1474" w:type="dxa"/>
            <w:shd w:val="clear" w:color="auto" w:fill="FFFFFF" w:themeFill="background1"/>
            <w:tcMar>
              <w:top w:w="0" w:type="dxa"/>
              <w:left w:w="85" w:type="dxa"/>
              <w:bottom w:w="0" w:type="dxa"/>
              <w:right w:w="57" w:type="dxa"/>
            </w:tcMar>
          </w:tcPr>
          <w:p w14:paraId="253A1BF2" w14:textId="77777777" w:rsidR="00B259A8" w:rsidRPr="0072192C" w:rsidRDefault="00B259A8" w:rsidP="00F16E23">
            <w:pPr>
              <w:pStyle w:val="TableText"/>
              <w:spacing w:before="20" w:after="20"/>
              <w:rPr>
                <w:szCs w:val="16"/>
              </w:rPr>
            </w:pPr>
            <w:r w:rsidRPr="0072192C">
              <w:rPr>
                <w:rFonts w:eastAsia="Calibri"/>
                <w:szCs w:val="16"/>
              </w:rPr>
              <w:t>DoF</w:t>
            </w:r>
          </w:p>
        </w:tc>
        <w:tc>
          <w:tcPr>
            <w:tcW w:w="2722" w:type="dxa"/>
            <w:shd w:val="clear" w:color="auto" w:fill="FFFFFF" w:themeFill="background1"/>
            <w:tcMar>
              <w:top w:w="0" w:type="dxa"/>
              <w:left w:w="85" w:type="dxa"/>
              <w:bottom w:w="0" w:type="dxa"/>
              <w:right w:w="57" w:type="dxa"/>
            </w:tcMar>
          </w:tcPr>
          <w:p w14:paraId="414EDED1" w14:textId="77777777" w:rsidR="00B259A8" w:rsidRPr="0072192C" w:rsidRDefault="00B259A8" w:rsidP="00F16E23">
            <w:pPr>
              <w:pStyle w:val="TableText"/>
              <w:spacing w:before="20" w:after="20"/>
              <w:rPr>
                <w:szCs w:val="16"/>
              </w:rPr>
            </w:pPr>
            <w:r w:rsidRPr="0072192C">
              <w:rPr>
                <w:rFonts w:eastAsia="Calibri"/>
                <w:szCs w:val="16"/>
              </w:rPr>
              <w:t>Tokelau Department of Finance</w:t>
            </w:r>
          </w:p>
        </w:tc>
        <w:tc>
          <w:tcPr>
            <w:tcW w:w="3742" w:type="dxa"/>
            <w:shd w:val="clear" w:color="auto" w:fill="FFFFFF" w:themeFill="background1"/>
            <w:tcMar>
              <w:top w:w="0" w:type="dxa"/>
              <w:left w:w="85" w:type="dxa"/>
              <w:bottom w:w="0" w:type="dxa"/>
              <w:right w:w="57" w:type="dxa"/>
            </w:tcMar>
          </w:tcPr>
          <w:p w14:paraId="09C6D1D8" w14:textId="77777777" w:rsidR="00B259A8" w:rsidRPr="0072192C" w:rsidRDefault="00B259A8" w:rsidP="00F16E23">
            <w:pPr>
              <w:pStyle w:val="TableText"/>
              <w:spacing w:before="20" w:after="20"/>
              <w:rPr>
                <w:szCs w:val="16"/>
              </w:rPr>
            </w:pPr>
            <w:r w:rsidRPr="0072192C">
              <w:rPr>
                <w:rFonts w:eastAsia="Calibri"/>
                <w:szCs w:val="16"/>
              </w:rPr>
              <w:t>Paid invoices and payment records to PPS, Origin, and on-atoll stores.</w:t>
            </w:r>
          </w:p>
        </w:tc>
      </w:tr>
      <w:tr w:rsidR="00B259A8" w:rsidRPr="0072192C" w14:paraId="5095848A" w14:textId="77777777" w:rsidTr="00F16E23">
        <w:trPr>
          <w:trHeight w:val="20"/>
        </w:trPr>
        <w:tc>
          <w:tcPr>
            <w:tcW w:w="510" w:type="dxa"/>
            <w:shd w:val="clear" w:color="auto" w:fill="FFFFFF" w:themeFill="background1"/>
            <w:tcMar>
              <w:top w:w="0" w:type="dxa"/>
              <w:left w:w="85" w:type="dxa"/>
              <w:bottom w:w="0" w:type="dxa"/>
              <w:right w:w="57" w:type="dxa"/>
            </w:tcMar>
          </w:tcPr>
          <w:p w14:paraId="0F4F5DA9" w14:textId="77777777" w:rsidR="00B259A8" w:rsidRPr="0072192C" w:rsidRDefault="00B259A8" w:rsidP="00F16E23">
            <w:pPr>
              <w:pStyle w:val="TableText"/>
              <w:spacing w:before="20" w:after="20"/>
              <w:rPr>
                <w:szCs w:val="16"/>
              </w:rPr>
            </w:pPr>
            <w:r w:rsidRPr="0072192C">
              <w:rPr>
                <w:rFonts w:eastAsia="Calibri"/>
                <w:szCs w:val="16"/>
              </w:rPr>
              <w:t>9</w:t>
            </w:r>
          </w:p>
        </w:tc>
        <w:tc>
          <w:tcPr>
            <w:tcW w:w="1474" w:type="dxa"/>
            <w:shd w:val="clear" w:color="auto" w:fill="FFFFFF" w:themeFill="background1"/>
            <w:tcMar>
              <w:top w:w="0" w:type="dxa"/>
              <w:left w:w="85" w:type="dxa"/>
              <w:bottom w:w="0" w:type="dxa"/>
              <w:right w:w="57" w:type="dxa"/>
            </w:tcMar>
          </w:tcPr>
          <w:p w14:paraId="72C8C4A1" w14:textId="77777777" w:rsidR="00B259A8" w:rsidRPr="0072192C" w:rsidRDefault="00B259A8" w:rsidP="00F16E23">
            <w:pPr>
              <w:pStyle w:val="TableText"/>
              <w:spacing w:before="20" w:after="20"/>
              <w:rPr>
                <w:szCs w:val="16"/>
              </w:rPr>
            </w:pPr>
            <w:r w:rsidRPr="0072192C">
              <w:rPr>
                <w:rFonts w:eastAsia="Calibri"/>
                <w:szCs w:val="16"/>
              </w:rPr>
              <w:t>2018 vehicle survey</w:t>
            </w:r>
          </w:p>
        </w:tc>
        <w:tc>
          <w:tcPr>
            <w:tcW w:w="2722" w:type="dxa"/>
            <w:shd w:val="clear" w:color="auto" w:fill="FFFFFF" w:themeFill="background1"/>
            <w:tcMar>
              <w:top w:w="0" w:type="dxa"/>
              <w:left w:w="85" w:type="dxa"/>
              <w:bottom w:w="0" w:type="dxa"/>
              <w:right w:w="57" w:type="dxa"/>
            </w:tcMar>
          </w:tcPr>
          <w:p w14:paraId="1B2C4316" w14:textId="77777777" w:rsidR="00B259A8" w:rsidRPr="0072192C" w:rsidRDefault="00B259A8" w:rsidP="00F16E23">
            <w:pPr>
              <w:pStyle w:val="TableText"/>
              <w:spacing w:before="20" w:after="20"/>
              <w:rPr>
                <w:szCs w:val="16"/>
              </w:rPr>
            </w:pPr>
            <w:r w:rsidRPr="0072192C">
              <w:rPr>
                <w:rFonts w:eastAsia="Calibri"/>
                <w:szCs w:val="16"/>
              </w:rPr>
              <w:t>Photo survey of Tokelau motorised vehicles on-atoll, August–December 2018</w:t>
            </w:r>
          </w:p>
        </w:tc>
        <w:tc>
          <w:tcPr>
            <w:tcW w:w="3742" w:type="dxa"/>
            <w:shd w:val="clear" w:color="auto" w:fill="FFFFFF" w:themeFill="background1"/>
            <w:tcMar>
              <w:top w:w="0" w:type="dxa"/>
              <w:left w:w="85" w:type="dxa"/>
              <w:bottom w:w="0" w:type="dxa"/>
              <w:right w:w="57" w:type="dxa"/>
            </w:tcMar>
          </w:tcPr>
          <w:p w14:paraId="0C165A5E" w14:textId="77777777" w:rsidR="00B259A8" w:rsidRPr="0072192C" w:rsidRDefault="00B259A8" w:rsidP="00F16E23">
            <w:pPr>
              <w:pStyle w:val="TableText"/>
              <w:spacing w:before="20" w:after="20"/>
              <w:rPr>
                <w:szCs w:val="16"/>
              </w:rPr>
            </w:pPr>
            <w:r w:rsidRPr="0072192C">
              <w:rPr>
                <w:rFonts w:eastAsia="Calibri"/>
                <w:szCs w:val="16"/>
              </w:rPr>
              <w:t>Personal communication JA Jasperse, TNSO.</w:t>
            </w:r>
          </w:p>
        </w:tc>
      </w:tr>
      <w:tr w:rsidR="00B259A8" w:rsidRPr="0072192C" w14:paraId="0CD20200" w14:textId="77777777" w:rsidTr="00F16E23">
        <w:trPr>
          <w:trHeight w:val="20"/>
        </w:trPr>
        <w:tc>
          <w:tcPr>
            <w:tcW w:w="510" w:type="dxa"/>
            <w:shd w:val="clear" w:color="auto" w:fill="FFFFFF" w:themeFill="background1"/>
            <w:tcMar>
              <w:top w:w="0" w:type="dxa"/>
              <w:left w:w="85" w:type="dxa"/>
              <w:bottom w:w="0" w:type="dxa"/>
              <w:right w:w="57" w:type="dxa"/>
            </w:tcMar>
          </w:tcPr>
          <w:p w14:paraId="130A8B69" w14:textId="77777777" w:rsidR="00B259A8" w:rsidRPr="0072192C" w:rsidRDefault="00B259A8" w:rsidP="00F16E23">
            <w:pPr>
              <w:pStyle w:val="TableText"/>
              <w:spacing w:before="20" w:after="20"/>
              <w:rPr>
                <w:szCs w:val="16"/>
              </w:rPr>
            </w:pPr>
            <w:r w:rsidRPr="0072192C">
              <w:rPr>
                <w:rFonts w:eastAsia="Calibri"/>
                <w:szCs w:val="16"/>
              </w:rPr>
              <w:t>10</w:t>
            </w:r>
          </w:p>
        </w:tc>
        <w:tc>
          <w:tcPr>
            <w:tcW w:w="1474" w:type="dxa"/>
            <w:shd w:val="clear" w:color="auto" w:fill="FFFFFF" w:themeFill="background1"/>
            <w:tcMar>
              <w:top w:w="0" w:type="dxa"/>
              <w:left w:w="85" w:type="dxa"/>
              <w:bottom w:w="0" w:type="dxa"/>
              <w:right w:w="57" w:type="dxa"/>
            </w:tcMar>
          </w:tcPr>
          <w:p w14:paraId="1692F67E" w14:textId="77777777" w:rsidR="00B259A8" w:rsidRPr="0072192C" w:rsidRDefault="00B259A8" w:rsidP="00F16E23">
            <w:pPr>
              <w:pStyle w:val="TableText"/>
              <w:spacing w:before="20" w:after="20"/>
              <w:rPr>
                <w:szCs w:val="16"/>
              </w:rPr>
            </w:pPr>
            <w:r w:rsidRPr="0072192C">
              <w:rPr>
                <w:rFonts w:eastAsia="Calibri"/>
                <w:szCs w:val="16"/>
              </w:rPr>
              <w:t>Origin</w:t>
            </w:r>
          </w:p>
        </w:tc>
        <w:tc>
          <w:tcPr>
            <w:tcW w:w="2722" w:type="dxa"/>
            <w:shd w:val="clear" w:color="auto" w:fill="FFFFFF" w:themeFill="background1"/>
            <w:tcMar>
              <w:top w:w="0" w:type="dxa"/>
              <w:left w:w="85" w:type="dxa"/>
              <w:bottom w:w="0" w:type="dxa"/>
              <w:right w:w="57" w:type="dxa"/>
            </w:tcMar>
          </w:tcPr>
          <w:p w14:paraId="1F06EDDB" w14:textId="77777777" w:rsidR="00B259A8" w:rsidRPr="0072192C" w:rsidRDefault="00B259A8" w:rsidP="00F16E23">
            <w:pPr>
              <w:pStyle w:val="TableText"/>
              <w:spacing w:before="20" w:after="20"/>
              <w:rPr>
                <w:szCs w:val="16"/>
              </w:rPr>
            </w:pPr>
            <w:r w:rsidRPr="0072192C">
              <w:rPr>
                <w:rFonts w:eastAsia="Calibri"/>
                <w:szCs w:val="16"/>
              </w:rPr>
              <w:t>Origin Energy Samoa Ltd, Apia</w:t>
            </w:r>
          </w:p>
        </w:tc>
        <w:tc>
          <w:tcPr>
            <w:tcW w:w="3742" w:type="dxa"/>
            <w:shd w:val="clear" w:color="auto" w:fill="FFFFFF" w:themeFill="background1"/>
            <w:tcMar>
              <w:top w:w="0" w:type="dxa"/>
              <w:left w:w="85" w:type="dxa"/>
              <w:bottom w:w="0" w:type="dxa"/>
              <w:right w:w="57" w:type="dxa"/>
            </w:tcMar>
          </w:tcPr>
          <w:p w14:paraId="67DFB93B" w14:textId="77777777" w:rsidR="00B259A8" w:rsidRPr="0072192C" w:rsidRDefault="00B259A8" w:rsidP="00F16E23">
            <w:pPr>
              <w:pStyle w:val="TableText"/>
              <w:spacing w:before="20" w:after="20"/>
              <w:rPr>
                <w:szCs w:val="16"/>
              </w:rPr>
            </w:pPr>
            <w:r w:rsidRPr="0072192C">
              <w:rPr>
                <w:rFonts w:eastAsia="Calibri"/>
                <w:szCs w:val="16"/>
              </w:rPr>
              <w:t>Prices and volumes supplied for on-atoll use of propane for cooking.</w:t>
            </w:r>
          </w:p>
        </w:tc>
      </w:tr>
      <w:tr w:rsidR="00B259A8" w:rsidRPr="0072192C" w14:paraId="3C7388F4" w14:textId="77777777" w:rsidTr="00F16E23">
        <w:trPr>
          <w:trHeight w:val="20"/>
        </w:trPr>
        <w:tc>
          <w:tcPr>
            <w:tcW w:w="510" w:type="dxa"/>
            <w:shd w:val="clear" w:color="auto" w:fill="FFFFFF" w:themeFill="background1"/>
            <w:tcMar>
              <w:top w:w="0" w:type="dxa"/>
              <w:left w:w="85" w:type="dxa"/>
              <w:bottom w:w="0" w:type="dxa"/>
              <w:right w:w="57" w:type="dxa"/>
            </w:tcMar>
          </w:tcPr>
          <w:p w14:paraId="6FA36D40" w14:textId="77777777" w:rsidR="00B259A8" w:rsidRPr="0072192C" w:rsidRDefault="00B259A8" w:rsidP="00F16E23">
            <w:pPr>
              <w:pStyle w:val="TableText"/>
              <w:spacing w:before="20" w:after="20"/>
              <w:rPr>
                <w:szCs w:val="16"/>
              </w:rPr>
            </w:pPr>
            <w:r w:rsidRPr="0072192C">
              <w:rPr>
                <w:rFonts w:eastAsia="Calibri"/>
                <w:szCs w:val="16"/>
              </w:rPr>
              <w:t>11</w:t>
            </w:r>
          </w:p>
        </w:tc>
        <w:tc>
          <w:tcPr>
            <w:tcW w:w="1474" w:type="dxa"/>
            <w:shd w:val="clear" w:color="auto" w:fill="FFFFFF" w:themeFill="background1"/>
            <w:tcMar>
              <w:top w:w="0" w:type="dxa"/>
              <w:left w:w="85" w:type="dxa"/>
              <w:bottom w:w="0" w:type="dxa"/>
              <w:right w:w="57" w:type="dxa"/>
            </w:tcMar>
          </w:tcPr>
          <w:p w14:paraId="6BA31361" w14:textId="77777777" w:rsidR="00B259A8" w:rsidRPr="0072192C" w:rsidRDefault="00B259A8" w:rsidP="00F16E23">
            <w:pPr>
              <w:pStyle w:val="TableText"/>
              <w:spacing w:before="20" w:after="20"/>
              <w:rPr>
                <w:szCs w:val="16"/>
              </w:rPr>
            </w:pPr>
            <w:r w:rsidRPr="0072192C">
              <w:rPr>
                <w:rFonts w:eastAsia="Calibri"/>
                <w:szCs w:val="16"/>
              </w:rPr>
              <w:t>PCTrade-Green</w:t>
            </w:r>
          </w:p>
        </w:tc>
        <w:tc>
          <w:tcPr>
            <w:tcW w:w="2722" w:type="dxa"/>
            <w:shd w:val="clear" w:color="auto" w:fill="FFFFFF" w:themeFill="background1"/>
            <w:tcMar>
              <w:top w:w="0" w:type="dxa"/>
              <w:left w:w="85" w:type="dxa"/>
              <w:bottom w:w="0" w:type="dxa"/>
              <w:right w:w="57" w:type="dxa"/>
            </w:tcMar>
          </w:tcPr>
          <w:p w14:paraId="6A2B5610" w14:textId="77777777" w:rsidR="00B259A8" w:rsidRPr="0072192C" w:rsidRDefault="00B259A8" w:rsidP="00F16E23">
            <w:pPr>
              <w:pStyle w:val="TableText"/>
              <w:spacing w:before="20" w:after="20"/>
              <w:rPr>
                <w:szCs w:val="16"/>
              </w:rPr>
            </w:pPr>
            <w:r w:rsidRPr="0072192C">
              <w:rPr>
                <w:rFonts w:eastAsia="Calibri"/>
                <w:szCs w:val="16"/>
              </w:rPr>
              <w:t>Excel version of PCTrade package developed by Stats NZ, Christchurch</w:t>
            </w:r>
          </w:p>
        </w:tc>
        <w:tc>
          <w:tcPr>
            <w:tcW w:w="3742" w:type="dxa"/>
            <w:shd w:val="clear" w:color="auto" w:fill="FFFFFF" w:themeFill="background1"/>
            <w:tcMar>
              <w:top w:w="0" w:type="dxa"/>
              <w:left w:w="85" w:type="dxa"/>
              <w:bottom w:w="0" w:type="dxa"/>
              <w:right w:w="57" w:type="dxa"/>
            </w:tcMar>
          </w:tcPr>
          <w:p w14:paraId="1B919E53" w14:textId="77777777" w:rsidR="00B259A8" w:rsidRPr="0072192C" w:rsidRDefault="00B259A8" w:rsidP="00F16E23">
            <w:pPr>
              <w:pStyle w:val="TableText"/>
              <w:spacing w:before="20" w:after="20"/>
              <w:rPr>
                <w:szCs w:val="16"/>
              </w:rPr>
            </w:pPr>
            <w:r w:rsidRPr="0072192C">
              <w:rPr>
                <w:rFonts w:eastAsia="Calibri"/>
                <w:szCs w:val="16"/>
              </w:rPr>
              <w:t>Used for analysing cargo shipping manifests, providing number of return voyages Apia–Tokelau over time, imports of goods, and exports of recyclables to date (2014 – June 2019 data available).</w:t>
            </w:r>
          </w:p>
        </w:tc>
      </w:tr>
      <w:tr w:rsidR="00B259A8" w:rsidRPr="0072192C" w14:paraId="0E3A40E7" w14:textId="77777777" w:rsidTr="00F16E23">
        <w:trPr>
          <w:trHeight w:val="20"/>
        </w:trPr>
        <w:tc>
          <w:tcPr>
            <w:tcW w:w="510" w:type="dxa"/>
            <w:shd w:val="clear" w:color="auto" w:fill="FFFFFF" w:themeFill="background1"/>
            <w:tcMar>
              <w:top w:w="0" w:type="dxa"/>
              <w:left w:w="85" w:type="dxa"/>
              <w:bottom w:w="0" w:type="dxa"/>
              <w:right w:w="57" w:type="dxa"/>
            </w:tcMar>
          </w:tcPr>
          <w:p w14:paraId="3759D853" w14:textId="77777777" w:rsidR="00B259A8" w:rsidRPr="0072192C" w:rsidRDefault="00B259A8" w:rsidP="00F16E23">
            <w:pPr>
              <w:pStyle w:val="TableText"/>
              <w:spacing w:before="20" w:after="20"/>
              <w:rPr>
                <w:szCs w:val="16"/>
              </w:rPr>
            </w:pPr>
            <w:r w:rsidRPr="0072192C">
              <w:rPr>
                <w:rFonts w:eastAsia="Calibri"/>
                <w:szCs w:val="16"/>
              </w:rPr>
              <w:t>12</w:t>
            </w:r>
          </w:p>
        </w:tc>
        <w:tc>
          <w:tcPr>
            <w:tcW w:w="1474" w:type="dxa"/>
            <w:shd w:val="clear" w:color="auto" w:fill="FFFFFF" w:themeFill="background1"/>
            <w:tcMar>
              <w:top w:w="0" w:type="dxa"/>
              <w:left w:w="85" w:type="dxa"/>
              <w:bottom w:w="0" w:type="dxa"/>
              <w:right w:w="57" w:type="dxa"/>
            </w:tcMar>
          </w:tcPr>
          <w:p w14:paraId="0CCCC045" w14:textId="77777777" w:rsidR="00B259A8" w:rsidRPr="0072192C" w:rsidRDefault="00B259A8" w:rsidP="00F16E23">
            <w:pPr>
              <w:pStyle w:val="TableText"/>
              <w:spacing w:before="20" w:after="20"/>
              <w:rPr>
                <w:szCs w:val="16"/>
              </w:rPr>
            </w:pPr>
            <w:r w:rsidRPr="0072192C">
              <w:rPr>
                <w:rFonts w:eastAsia="Calibri"/>
                <w:szCs w:val="16"/>
              </w:rPr>
              <w:t>DoH</w:t>
            </w:r>
          </w:p>
        </w:tc>
        <w:tc>
          <w:tcPr>
            <w:tcW w:w="2722" w:type="dxa"/>
            <w:shd w:val="clear" w:color="auto" w:fill="FFFFFF" w:themeFill="background1"/>
            <w:tcMar>
              <w:top w:w="0" w:type="dxa"/>
              <w:left w:w="85" w:type="dxa"/>
              <w:bottom w:w="0" w:type="dxa"/>
              <w:right w:w="57" w:type="dxa"/>
            </w:tcMar>
          </w:tcPr>
          <w:p w14:paraId="25F8E1EC" w14:textId="77777777" w:rsidR="00B259A8" w:rsidRPr="0072192C" w:rsidRDefault="00B259A8" w:rsidP="00F16E23">
            <w:pPr>
              <w:pStyle w:val="TableText"/>
              <w:spacing w:before="20" w:after="20"/>
              <w:rPr>
                <w:szCs w:val="16"/>
              </w:rPr>
            </w:pPr>
            <w:r w:rsidRPr="0072192C">
              <w:rPr>
                <w:rFonts w:eastAsia="Calibri"/>
                <w:szCs w:val="16"/>
              </w:rPr>
              <w:t>Tokelau Department of Health</w:t>
            </w:r>
          </w:p>
        </w:tc>
        <w:tc>
          <w:tcPr>
            <w:tcW w:w="3742" w:type="dxa"/>
            <w:shd w:val="clear" w:color="auto" w:fill="FFFFFF" w:themeFill="background1"/>
            <w:tcMar>
              <w:top w:w="0" w:type="dxa"/>
              <w:left w:w="85" w:type="dxa"/>
              <w:bottom w:w="0" w:type="dxa"/>
              <w:right w:w="57" w:type="dxa"/>
            </w:tcMar>
          </w:tcPr>
          <w:p w14:paraId="57FFDFD1" w14:textId="77777777" w:rsidR="00B259A8" w:rsidRPr="0072192C" w:rsidRDefault="00B259A8" w:rsidP="00F16E23">
            <w:pPr>
              <w:pStyle w:val="TableText"/>
              <w:spacing w:before="20" w:after="20"/>
              <w:rPr>
                <w:szCs w:val="16"/>
              </w:rPr>
            </w:pPr>
            <w:r w:rsidRPr="0072192C">
              <w:rPr>
                <w:rFonts w:eastAsia="Calibri"/>
                <w:szCs w:val="16"/>
              </w:rPr>
              <w:t>Anecdotal information on inhalers, laser gas, fire extinguishers.</w:t>
            </w:r>
          </w:p>
        </w:tc>
      </w:tr>
      <w:tr w:rsidR="00B259A8" w:rsidRPr="0072192C" w14:paraId="2FBDB9A7" w14:textId="77777777" w:rsidTr="00F16E23">
        <w:trPr>
          <w:trHeight w:val="20"/>
        </w:trPr>
        <w:tc>
          <w:tcPr>
            <w:tcW w:w="510" w:type="dxa"/>
            <w:shd w:val="clear" w:color="auto" w:fill="FFFFFF" w:themeFill="background1"/>
            <w:tcMar>
              <w:top w:w="0" w:type="dxa"/>
              <w:left w:w="85" w:type="dxa"/>
              <w:bottom w:w="0" w:type="dxa"/>
              <w:right w:w="57" w:type="dxa"/>
            </w:tcMar>
          </w:tcPr>
          <w:p w14:paraId="6BD88793" w14:textId="77777777" w:rsidR="00B259A8" w:rsidRPr="0072192C" w:rsidRDefault="00B259A8" w:rsidP="00F16E23">
            <w:pPr>
              <w:pStyle w:val="TableText"/>
              <w:spacing w:before="20" w:after="20"/>
              <w:rPr>
                <w:szCs w:val="16"/>
              </w:rPr>
            </w:pPr>
            <w:r w:rsidRPr="0072192C">
              <w:rPr>
                <w:rFonts w:eastAsia="Calibri"/>
                <w:szCs w:val="16"/>
              </w:rPr>
              <w:t>13</w:t>
            </w:r>
          </w:p>
        </w:tc>
        <w:tc>
          <w:tcPr>
            <w:tcW w:w="1474" w:type="dxa"/>
            <w:shd w:val="clear" w:color="auto" w:fill="FFFFFF" w:themeFill="background1"/>
            <w:tcMar>
              <w:top w:w="0" w:type="dxa"/>
              <w:left w:w="85" w:type="dxa"/>
              <w:bottom w:w="0" w:type="dxa"/>
              <w:right w:w="57" w:type="dxa"/>
            </w:tcMar>
          </w:tcPr>
          <w:p w14:paraId="6CD6124D" w14:textId="77777777" w:rsidR="00B259A8" w:rsidRPr="0072192C" w:rsidRDefault="00B259A8" w:rsidP="00F16E23">
            <w:pPr>
              <w:pStyle w:val="TableText"/>
              <w:spacing w:before="20" w:after="20"/>
              <w:rPr>
                <w:szCs w:val="16"/>
              </w:rPr>
            </w:pPr>
            <w:r w:rsidRPr="0072192C">
              <w:rPr>
                <w:rFonts w:eastAsia="Calibri"/>
                <w:szCs w:val="16"/>
              </w:rPr>
              <w:t>TSS</w:t>
            </w:r>
          </w:p>
        </w:tc>
        <w:tc>
          <w:tcPr>
            <w:tcW w:w="2722" w:type="dxa"/>
            <w:shd w:val="clear" w:color="auto" w:fill="FFFFFF" w:themeFill="background1"/>
            <w:tcMar>
              <w:top w:w="0" w:type="dxa"/>
              <w:left w:w="85" w:type="dxa"/>
              <w:bottom w:w="0" w:type="dxa"/>
              <w:right w:w="57" w:type="dxa"/>
            </w:tcMar>
          </w:tcPr>
          <w:p w14:paraId="6B891692" w14:textId="77777777" w:rsidR="00B259A8" w:rsidRPr="0072192C" w:rsidRDefault="00B259A8" w:rsidP="00F16E23">
            <w:pPr>
              <w:pStyle w:val="TableText"/>
              <w:spacing w:before="20" w:after="20"/>
              <w:rPr>
                <w:szCs w:val="16"/>
              </w:rPr>
            </w:pPr>
            <w:r w:rsidRPr="0072192C">
              <w:rPr>
                <w:rFonts w:eastAsia="Calibri"/>
                <w:szCs w:val="16"/>
              </w:rPr>
              <w:t>Tokelau Department of Transport and Support Services, Apia</w:t>
            </w:r>
          </w:p>
        </w:tc>
        <w:tc>
          <w:tcPr>
            <w:tcW w:w="3742" w:type="dxa"/>
            <w:shd w:val="clear" w:color="auto" w:fill="FFFFFF" w:themeFill="background1"/>
            <w:tcMar>
              <w:top w:w="0" w:type="dxa"/>
              <w:left w:w="85" w:type="dxa"/>
              <w:bottom w:w="0" w:type="dxa"/>
              <w:right w:w="57" w:type="dxa"/>
            </w:tcMar>
          </w:tcPr>
          <w:p w14:paraId="0533CFF6" w14:textId="77777777" w:rsidR="00B259A8" w:rsidRPr="0072192C" w:rsidRDefault="00B259A8" w:rsidP="00F16E23">
            <w:pPr>
              <w:pStyle w:val="TableText"/>
              <w:spacing w:before="20" w:after="20"/>
              <w:rPr>
                <w:szCs w:val="16"/>
              </w:rPr>
            </w:pPr>
            <w:r w:rsidRPr="0072192C">
              <w:rPr>
                <w:rFonts w:eastAsia="Calibri"/>
                <w:szCs w:val="16"/>
              </w:rPr>
              <w:t>Cargo shipping manifests for analysis of imports of all goods, and export of recyclables.</w:t>
            </w:r>
          </w:p>
        </w:tc>
      </w:tr>
      <w:tr w:rsidR="00B259A8" w:rsidRPr="0072192C" w14:paraId="6A5958B2" w14:textId="77777777" w:rsidTr="00F16E23">
        <w:trPr>
          <w:trHeight w:val="20"/>
        </w:trPr>
        <w:tc>
          <w:tcPr>
            <w:tcW w:w="510" w:type="dxa"/>
            <w:shd w:val="clear" w:color="auto" w:fill="FFFFFF" w:themeFill="background1"/>
            <w:tcMar>
              <w:top w:w="0" w:type="dxa"/>
              <w:left w:w="85" w:type="dxa"/>
              <w:bottom w:w="0" w:type="dxa"/>
              <w:right w:w="57" w:type="dxa"/>
            </w:tcMar>
          </w:tcPr>
          <w:p w14:paraId="1C8818BB" w14:textId="77777777" w:rsidR="00B259A8" w:rsidRPr="0072192C" w:rsidRDefault="00B259A8" w:rsidP="00F16E23">
            <w:pPr>
              <w:pStyle w:val="TableText"/>
              <w:spacing w:before="20" w:after="20"/>
              <w:rPr>
                <w:szCs w:val="16"/>
              </w:rPr>
            </w:pPr>
            <w:r w:rsidRPr="0072192C">
              <w:rPr>
                <w:rFonts w:eastAsia="Calibri"/>
                <w:szCs w:val="16"/>
              </w:rPr>
              <w:t>14</w:t>
            </w:r>
          </w:p>
        </w:tc>
        <w:tc>
          <w:tcPr>
            <w:tcW w:w="1474" w:type="dxa"/>
            <w:shd w:val="clear" w:color="auto" w:fill="FFFFFF" w:themeFill="background1"/>
            <w:tcMar>
              <w:top w:w="0" w:type="dxa"/>
              <w:left w:w="85" w:type="dxa"/>
              <w:bottom w:w="0" w:type="dxa"/>
              <w:right w:w="57" w:type="dxa"/>
            </w:tcMar>
          </w:tcPr>
          <w:p w14:paraId="2C298857" w14:textId="77777777" w:rsidR="00B259A8" w:rsidRPr="0072192C" w:rsidRDefault="00B259A8" w:rsidP="00F16E23">
            <w:pPr>
              <w:pStyle w:val="TableText"/>
              <w:spacing w:before="20" w:after="20"/>
              <w:rPr>
                <w:szCs w:val="16"/>
              </w:rPr>
            </w:pPr>
            <w:r w:rsidRPr="0072192C">
              <w:rPr>
                <w:rFonts w:eastAsia="Calibri"/>
                <w:szCs w:val="16"/>
              </w:rPr>
              <w:t>2014 Imports study</w:t>
            </w:r>
          </w:p>
        </w:tc>
        <w:tc>
          <w:tcPr>
            <w:tcW w:w="2722" w:type="dxa"/>
            <w:shd w:val="clear" w:color="auto" w:fill="FFFFFF" w:themeFill="background1"/>
            <w:tcMar>
              <w:top w:w="0" w:type="dxa"/>
              <w:left w:w="85" w:type="dxa"/>
              <w:bottom w:w="0" w:type="dxa"/>
              <w:right w:w="57" w:type="dxa"/>
            </w:tcMar>
          </w:tcPr>
          <w:p w14:paraId="5060333E" w14:textId="77777777" w:rsidR="00B259A8" w:rsidRPr="0072192C" w:rsidRDefault="00B259A8" w:rsidP="00F16E23">
            <w:pPr>
              <w:pStyle w:val="TableText"/>
              <w:spacing w:before="20" w:after="20"/>
              <w:rPr>
                <w:szCs w:val="16"/>
              </w:rPr>
            </w:pPr>
            <w:r w:rsidRPr="0072192C">
              <w:rPr>
                <w:rFonts w:eastAsia="Calibri"/>
                <w:szCs w:val="16"/>
              </w:rPr>
              <w:t>Jasperse, 2016.</w:t>
            </w:r>
          </w:p>
        </w:tc>
        <w:tc>
          <w:tcPr>
            <w:tcW w:w="3742" w:type="dxa"/>
            <w:shd w:val="clear" w:color="auto" w:fill="FFFFFF" w:themeFill="background1"/>
            <w:tcMar>
              <w:top w:w="0" w:type="dxa"/>
              <w:left w:w="85" w:type="dxa"/>
              <w:bottom w:w="0" w:type="dxa"/>
              <w:right w:w="57" w:type="dxa"/>
            </w:tcMar>
          </w:tcPr>
          <w:p w14:paraId="159AAFDC" w14:textId="2D86C82B" w:rsidR="00B259A8" w:rsidRPr="0072192C" w:rsidRDefault="00B259A8" w:rsidP="00F16E23">
            <w:pPr>
              <w:pStyle w:val="TableText"/>
              <w:spacing w:before="20" w:after="20"/>
              <w:rPr>
                <w:szCs w:val="16"/>
              </w:rPr>
            </w:pPr>
            <w:r w:rsidRPr="0072192C">
              <w:rPr>
                <w:rFonts w:eastAsia="Calibri"/>
                <w:szCs w:val="16"/>
              </w:rPr>
              <w:t xml:space="preserve">Various Energy and Waste sector data, for example, calculation of per capita protein consumption. </w:t>
            </w:r>
            <w:r w:rsidRPr="0072192C">
              <w:rPr>
                <w:rFonts w:eastAsia="Calibri"/>
                <w:szCs w:val="16"/>
              </w:rPr>
              <w:br/>
            </w:r>
            <w:hyperlink r:id="rId257" w:history="1">
              <w:r w:rsidR="005A7CCE">
                <w:rPr>
                  <w:rStyle w:val="Hyperlink"/>
                </w:rPr>
                <w:t>www.tokelau.org.nz/Bulletin/September+2016/2014+imports+final.html</w:t>
              </w:r>
            </w:hyperlink>
            <w:r w:rsidR="005A7CCE">
              <w:t xml:space="preserve"> </w:t>
            </w:r>
            <w:r w:rsidRPr="0072192C">
              <w:rPr>
                <w:rFonts w:eastAsia="Calibri"/>
                <w:color w:val="32809C"/>
                <w:szCs w:val="16"/>
              </w:rPr>
              <w:t xml:space="preserve"> </w:t>
            </w:r>
          </w:p>
        </w:tc>
      </w:tr>
      <w:tr w:rsidR="00B259A8" w:rsidRPr="0072192C" w14:paraId="7114E98C" w14:textId="77777777" w:rsidTr="00F16E23">
        <w:trPr>
          <w:trHeight w:val="20"/>
        </w:trPr>
        <w:tc>
          <w:tcPr>
            <w:tcW w:w="510" w:type="dxa"/>
            <w:shd w:val="clear" w:color="auto" w:fill="FFFFFF" w:themeFill="background1"/>
            <w:tcMar>
              <w:top w:w="0" w:type="dxa"/>
              <w:left w:w="85" w:type="dxa"/>
              <w:bottom w:w="0" w:type="dxa"/>
              <w:right w:w="57" w:type="dxa"/>
            </w:tcMar>
          </w:tcPr>
          <w:p w14:paraId="00AC9356" w14:textId="77777777" w:rsidR="00B259A8" w:rsidRPr="0072192C" w:rsidRDefault="00B259A8" w:rsidP="00F16E23">
            <w:pPr>
              <w:pStyle w:val="TableText"/>
              <w:spacing w:before="20" w:after="20"/>
              <w:rPr>
                <w:szCs w:val="16"/>
              </w:rPr>
            </w:pPr>
            <w:r w:rsidRPr="0072192C">
              <w:rPr>
                <w:rFonts w:eastAsia="Calibri"/>
                <w:szCs w:val="16"/>
              </w:rPr>
              <w:t>15</w:t>
            </w:r>
          </w:p>
        </w:tc>
        <w:tc>
          <w:tcPr>
            <w:tcW w:w="1474" w:type="dxa"/>
            <w:shd w:val="clear" w:color="auto" w:fill="FFFFFF" w:themeFill="background1"/>
            <w:tcMar>
              <w:top w:w="0" w:type="dxa"/>
              <w:left w:w="85" w:type="dxa"/>
              <w:bottom w:w="0" w:type="dxa"/>
              <w:right w:w="57" w:type="dxa"/>
            </w:tcMar>
          </w:tcPr>
          <w:p w14:paraId="779D0894" w14:textId="77777777" w:rsidR="00B259A8" w:rsidRPr="0072192C" w:rsidRDefault="00B259A8" w:rsidP="00F16E23">
            <w:pPr>
              <w:pStyle w:val="TableText"/>
              <w:spacing w:before="20" w:after="20"/>
              <w:rPr>
                <w:szCs w:val="16"/>
              </w:rPr>
            </w:pPr>
            <w:r w:rsidRPr="0072192C">
              <w:rPr>
                <w:rFonts w:eastAsia="Calibri"/>
                <w:szCs w:val="16"/>
              </w:rPr>
              <w:t>EDNRE</w:t>
            </w:r>
          </w:p>
        </w:tc>
        <w:tc>
          <w:tcPr>
            <w:tcW w:w="2722" w:type="dxa"/>
            <w:shd w:val="clear" w:color="auto" w:fill="FFFFFF" w:themeFill="background1"/>
            <w:tcMar>
              <w:top w:w="0" w:type="dxa"/>
              <w:left w:w="85" w:type="dxa"/>
              <w:bottom w:w="0" w:type="dxa"/>
              <w:right w:w="57" w:type="dxa"/>
            </w:tcMar>
          </w:tcPr>
          <w:p w14:paraId="5E5F1AC3" w14:textId="77777777" w:rsidR="00B259A8" w:rsidRPr="0072192C" w:rsidRDefault="00B259A8" w:rsidP="00F16E23">
            <w:pPr>
              <w:pStyle w:val="TableText"/>
              <w:spacing w:before="20" w:after="20"/>
              <w:rPr>
                <w:szCs w:val="16"/>
              </w:rPr>
            </w:pPr>
            <w:r w:rsidRPr="0072192C">
              <w:rPr>
                <w:rFonts w:eastAsia="Calibri"/>
                <w:szCs w:val="16"/>
              </w:rPr>
              <w:t>Tokelau Department of Economic Development, Natural Resources and Environment</w:t>
            </w:r>
          </w:p>
        </w:tc>
        <w:tc>
          <w:tcPr>
            <w:tcW w:w="3742" w:type="dxa"/>
            <w:shd w:val="clear" w:color="auto" w:fill="FFFFFF" w:themeFill="background1"/>
            <w:tcMar>
              <w:top w:w="0" w:type="dxa"/>
              <w:left w:w="85" w:type="dxa"/>
              <w:bottom w:w="0" w:type="dxa"/>
              <w:right w:w="57" w:type="dxa"/>
            </w:tcMar>
          </w:tcPr>
          <w:p w14:paraId="0192A01B" w14:textId="77777777" w:rsidR="00B259A8" w:rsidRPr="0072192C" w:rsidRDefault="00B259A8" w:rsidP="00F16E23">
            <w:pPr>
              <w:pStyle w:val="TableText"/>
              <w:spacing w:before="20" w:after="20"/>
              <w:rPr>
                <w:szCs w:val="16"/>
              </w:rPr>
            </w:pPr>
            <w:r w:rsidRPr="0072192C">
              <w:rPr>
                <w:rFonts w:eastAsia="Calibri"/>
                <w:szCs w:val="16"/>
              </w:rPr>
              <w:t>Anecdotal information on waste disposal and export.</w:t>
            </w:r>
          </w:p>
        </w:tc>
      </w:tr>
      <w:tr w:rsidR="00B259A8" w:rsidRPr="0072192C" w14:paraId="6C34A532" w14:textId="77777777" w:rsidTr="00F16E23">
        <w:trPr>
          <w:trHeight w:val="20"/>
        </w:trPr>
        <w:tc>
          <w:tcPr>
            <w:tcW w:w="510" w:type="dxa"/>
            <w:shd w:val="clear" w:color="auto" w:fill="FFFFFF" w:themeFill="background1"/>
            <w:tcMar>
              <w:top w:w="0" w:type="dxa"/>
              <w:left w:w="85" w:type="dxa"/>
              <w:bottom w:w="0" w:type="dxa"/>
              <w:right w:w="57" w:type="dxa"/>
            </w:tcMar>
          </w:tcPr>
          <w:p w14:paraId="4A509379" w14:textId="77777777" w:rsidR="00B259A8" w:rsidRPr="0072192C" w:rsidRDefault="00B259A8" w:rsidP="00F16E23">
            <w:pPr>
              <w:pStyle w:val="TableText"/>
              <w:spacing w:before="20" w:after="20"/>
              <w:rPr>
                <w:szCs w:val="16"/>
              </w:rPr>
            </w:pPr>
            <w:r w:rsidRPr="0072192C">
              <w:rPr>
                <w:rFonts w:eastAsia="Calibri"/>
                <w:szCs w:val="16"/>
              </w:rPr>
              <w:t>16</w:t>
            </w:r>
          </w:p>
        </w:tc>
        <w:tc>
          <w:tcPr>
            <w:tcW w:w="1474" w:type="dxa"/>
            <w:shd w:val="clear" w:color="auto" w:fill="FFFFFF" w:themeFill="background1"/>
            <w:tcMar>
              <w:top w:w="0" w:type="dxa"/>
              <w:left w:w="85" w:type="dxa"/>
              <w:bottom w:w="0" w:type="dxa"/>
              <w:right w:w="57" w:type="dxa"/>
            </w:tcMar>
          </w:tcPr>
          <w:p w14:paraId="103678D4" w14:textId="77777777" w:rsidR="00B259A8" w:rsidRPr="0072192C" w:rsidRDefault="00B259A8" w:rsidP="00F16E23">
            <w:pPr>
              <w:pStyle w:val="TableText"/>
              <w:spacing w:before="20" w:after="20"/>
              <w:rPr>
                <w:szCs w:val="16"/>
              </w:rPr>
            </w:pPr>
            <w:r w:rsidRPr="0072192C">
              <w:rPr>
                <w:rFonts w:eastAsia="Calibri"/>
                <w:szCs w:val="16"/>
              </w:rPr>
              <w:t>PCRAFI</w:t>
            </w:r>
          </w:p>
        </w:tc>
        <w:tc>
          <w:tcPr>
            <w:tcW w:w="2722" w:type="dxa"/>
            <w:shd w:val="clear" w:color="auto" w:fill="FFFFFF" w:themeFill="background1"/>
            <w:tcMar>
              <w:top w:w="0" w:type="dxa"/>
              <w:left w:w="85" w:type="dxa"/>
              <w:bottom w:w="0" w:type="dxa"/>
              <w:right w:w="57" w:type="dxa"/>
            </w:tcMar>
          </w:tcPr>
          <w:p w14:paraId="14C617C3" w14:textId="77777777" w:rsidR="00B259A8" w:rsidRPr="0072192C" w:rsidRDefault="00B259A8" w:rsidP="00F16E23">
            <w:pPr>
              <w:pStyle w:val="TableText"/>
              <w:spacing w:before="20" w:after="20"/>
              <w:rPr>
                <w:szCs w:val="16"/>
              </w:rPr>
            </w:pPr>
            <w:r w:rsidRPr="0072192C">
              <w:rPr>
                <w:rFonts w:eastAsia="Calibri"/>
                <w:szCs w:val="16"/>
              </w:rPr>
              <w:t>Koroisamanunu et al, 2014.</w:t>
            </w:r>
          </w:p>
        </w:tc>
        <w:tc>
          <w:tcPr>
            <w:tcW w:w="3742" w:type="dxa"/>
            <w:shd w:val="clear" w:color="auto" w:fill="FFFFFF" w:themeFill="background1"/>
            <w:tcMar>
              <w:top w:w="0" w:type="dxa"/>
              <w:left w:w="85" w:type="dxa"/>
              <w:bottom w:w="0" w:type="dxa"/>
              <w:right w:w="57" w:type="dxa"/>
            </w:tcMar>
          </w:tcPr>
          <w:p w14:paraId="0E8A56E7" w14:textId="77777777" w:rsidR="00B259A8" w:rsidRPr="0072192C" w:rsidRDefault="00B259A8" w:rsidP="00F16E23">
            <w:pPr>
              <w:pStyle w:val="TableText"/>
              <w:spacing w:before="20" w:after="20"/>
              <w:rPr>
                <w:szCs w:val="16"/>
              </w:rPr>
            </w:pPr>
            <w:r w:rsidRPr="0072192C">
              <w:rPr>
                <w:rFonts w:eastAsia="Calibri"/>
                <w:szCs w:val="16"/>
              </w:rPr>
              <w:t>Information on drinking water, wastewater and sanitation.</w:t>
            </w:r>
          </w:p>
        </w:tc>
      </w:tr>
      <w:tr w:rsidR="00B259A8" w:rsidRPr="0072192C" w14:paraId="0E833F7D" w14:textId="77777777" w:rsidTr="00F16E23">
        <w:trPr>
          <w:trHeight w:val="20"/>
        </w:trPr>
        <w:tc>
          <w:tcPr>
            <w:tcW w:w="510" w:type="dxa"/>
            <w:shd w:val="clear" w:color="auto" w:fill="FFFFFF" w:themeFill="background1"/>
            <w:tcMar>
              <w:top w:w="0" w:type="dxa"/>
              <w:left w:w="85" w:type="dxa"/>
              <w:bottom w:w="0" w:type="dxa"/>
              <w:right w:w="57" w:type="dxa"/>
            </w:tcMar>
          </w:tcPr>
          <w:p w14:paraId="3AB261BB" w14:textId="77777777" w:rsidR="00B259A8" w:rsidRPr="0072192C" w:rsidRDefault="00B259A8" w:rsidP="00F16E23">
            <w:pPr>
              <w:pStyle w:val="TableText"/>
              <w:spacing w:before="20" w:after="20"/>
              <w:rPr>
                <w:szCs w:val="16"/>
              </w:rPr>
            </w:pPr>
            <w:r w:rsidRPr="0072192C">
              <w:rPr>
                <w:rFonts w:eastAsia="Calibri"/>
                <w:szCs w:val="16"/>
              </w:rPr>
              <w:t>17</w:t>
            </w:r>
          </w:p>
        </w:tc>
        <w:tc>
          <w:tcPr>
            <w:tcW w:w="1474" w:type="dxa"/>
            <w:shd w:val="clear" w:color="auto" w:fill="FFFFFF" w:themeFill="background1"/>
            <w:tcMar>
              <w:top w:w="0" w:type="dxa"/>
              <w:left w:w="85" w:type="dxa"/>
              <w:bottom w:w="0" w:type="dxa"/>
              <w:right w:w="57" w:type="dxa"/>
            </w:tcMar>
          </w:tcPr>
          <w:p w14:paraId="685C126E" w14:textId="77777777" w:rsidR="00B259A8" w:rsidRPr="0072192C" w:rsidRDefault="00B259A8" w:rsidP="00F16E23">
            <w:pPr>
              <w:pStyle w:val="TableText"/>
              <w:spacing w:before="20" w:after="20"/>
              <w:rPr>
                <w:szCs w:val="16"/>
              </w:rPr>
            </w:pPr>
            <w:r w:rsidRPr="0072192C">
              <w:rPr>
                <w:rFonts w:eastAsia="Calibri"/>
                <w:szCs w:val="16"/>
              </w:rPr>
              <w:t>MiCORE</w:t>
            </w:r>
          </w:p>
        </w:tc>
        <w:tc>
          <w:tcPr>
            <w:tcW w:w="2722" w:type="dxa"/>
            <w:shd w:val="clear" w:color="auto" w:fill="FFFFFF" w:themeFill="background1"/>
            <w:tcMar>
              <w:top w:w="0" w:type="dxa"/>
              <w:left w:w="85" w:type="dxa"/>
              <w:bottom w:w="0" w:type="dxa"/>
              <w:right w:w="57" w:type="dxa"/>
            </w:tcMar>
          </w:tcPr>
          <w:p w14:paraId="2F3BFB73" w14:textId="77777777" w:rsidR="00B259A8" w:rsidRPr="0072192C" w:rsidRDefault="00B259A8" w:rsidP="00F16E23">
            <w:pPr>
              <w:pStyle w:val="TableText"/>
              <w:spacing w:before="20" w:after="20"/>
              <w:rPr>
                <w:szCs w:val="16"/>
              </w:rPr>
            </w:pPr>
            <w:r w:rsidRPr="0072192C">
              <w:rPr>
                <w:rFonts w:eastAsia="Calibri"/>
                <w:szCs w:val="16"/>
              </w:rPr>
              <w:t>Tokelau Ministry of Climate, Oceans and Resilience</w:t>
            </w:r>
          </w:p>
        </w:tc>
        <w:tc>
          <w:tcPr>
            <w:tcW w:w="3742" w:type="dxa"/>
            <w:shd w:val="clear" w:color="auto" w:fill="FFFFFF" w:themeFill="background1"/>
            <w:tcMar>
              <w:top w:w="0" w:type="dxa"/>
              <w:left w:w="85" w:type="dxa"/>
              <w:bottom w:w="0" w:type="dxa"/>
              <w:right w:w="57" w:type="dxa"/>
            </w:tcMar>
          </w:tcPr>
          <w:p w14:paraId="2B2A3D6D" w14:textId="77777777" w:rsidR="00B259A8" w:rsidRPr="0072192C" w:rsidRDefault="00B259A8" w:rsidP="00F16E23">
            <w:pPr>
              <w:pStyle w:val="TableText"/>
              <w:spacing w:before="20" w:after="20"/>
              <w:rPr>
                <w:szCs w:val="16"/>
              </w:rPr>
            </w:pPr>
            <w:r w:rsidRPr="0072192C">
              <w:rPr>
                <w:rFonts w:eastAsia="Calibri"/>
                <w:szCs w:val="16"/>
              </w:rPr>
              <w:t>Partner to Memorandum of Understanding with New Zealand Ministry for the Environment leading to the present inventory.</w:t>
            </w:r>
          </w:p>
        </w:tc>
      </w:tr>
    </w:tbl>
    <w:p w14:paraId="5C275D6C" w14:textId="77777777" w:rsidR="00B259A8" w:rsidRPr="0072192C" w:rsidRDefault="00B259A8" w:rsidP="00B259A8">
      <w:pPr>
        <w:pStyle w:val="Heading4"/>
        <w:spacing w:before="320"/>
      </w:pPr>
      <w:bookmarkStart w:id="3176" w:name="Xcc02e3b70565634eaff70f028a415dd9a5523ae"/>
      <w:bookmarkEnd w:id="3173"/>
      <w:r w:rsidRPr="0072192C">
        <w:t>Tokelau’s data and information in the common reporting tables</w:t>
      </w:r>
    </w:p>
    <w:p w14:paraId="6D37EF38" w14:textId="77777777" w:rsidR="00B259A8" w:rsidRPr="0072192C" w:rsidRDefault="00B259A8" w:rsidP="00B259A8">
      <w:pPr>
        <w:pStyle w:val="BodyText"/>
        <w:spacing w:before="80"/>
      </w:pPr>
      <w:r w:rsidRPr="0072192C">
        <w:t>The methodologies for estimating emissions in Tokelau and New Zealand differ, so adding Tokelau and New Zealand’s activity data at a category level and estimating combined emissions within each category are currently not possible. Due to limitations of the CRT, including specific categories for Tokelau consistently across all inventory sectors is also not possible.</w:t>
      </w:r>
    </w:p>
    <w:p w14:paraId="15E12245" w14:textId="77777777" w:rsidR="00B259A8" w:rsidRPr="0072192C" w:rsidRDefault="00B259A8" w:rsidP="00B259A8">
      <w:pPr>
        <w:pStyle w:val="BodyText"/>
      </w:pPr>
      <w:r w:rsidRPr="0072192C">
        <w:t>Tokelau requested that visibility of the data from Tokelau’s GHG inventory be maintained in the CRT, enabling Tokelau officials to use the data for other reporting and policy purposes. Reporting Tokelau as a different inventory sector provides this visibility.</w:t>
      </w:r>
    </w:p>
    <w:p w14:paraId="78EC6C55" w14:textId="77777777" w:rsidR="00B259A8" w:rsidRPr="0072192C" w:rsidRDefault="00B259A8" w:rsidP="00B259A8">
      <w:pPr>
        <w:pStyle w:val="BodyText"/>
      </w:pPr>
      <w:r w:rsidRPr="0072192C">
        <w:t>Therefore, CRT sector 6 (Other) is used to present emissions from Tokelau by sector in the CRT. Currently, the CRT environment does not allow the creation of lower-level categories in sector 6. To avoid double counting in the CRT, the data and information are aggregated for each of the Energy, IPPU, Agriculture and Waste sectors. In addition, annex 7 includes detailed tables with time series from 1990 to 2024 for each category reported for Tokelau. For comparability reasons, these tables are presented in a similar format to the CRT entry tables, and the table names follow the CRT naming convention for source categories.</w:t>
      </w:r>
    </w:p>
    <w:p w14:paraId="2104ECB8" w14:textId="77777777" w:rsidR="00B259A8" w:rsidRPr="0072192C" w:rsidRDefault="00B259A8" w:rsidP="00B259A8">
      <w:pPr>
        <w:pStyle w:val="BodyText"/>
      </w:pPr>
      <w:r w:rsidRPr="0072192C">
        <w:t>The category names in Tokelau’s GHG inventory follow Annex I of Decision 5/CMA.3 (UNFCCC, 2021). From the CRT category names alone, it is not always clear which activities these categories refer to in the Tokelau context. To ensure the Inventory is understandable to all readers, Tokelau-specific activity descriptions have been developed for each category.</w:t>
      </w:r>
    </w:p>
    <w:p w14:paraId="54FA21CA" w14:textId="77777777" w:rsidR="00B259A8" w:rsidRPr="0072192C" w:rsidRDefault="00B259A8" w:rsidP="00B259A8">
      <w:pPr>
        <w:pStyle w:val="BodyText"/>
      </w:pPr>
      <w:r w:rsidRPr="0072192C">
        <w:t>Table 8.1.2 presents these technical category names alongside plain‑language descriptions of the corresponding activities in Tokelau.</w:t>
      </w:r>
    </w:p>
    <w:p w14:paraId="1AEF1F26" w14:textId="77777777" w:rsidR="00B259A8" w:rsidRPr="0072192C" w:rsidRDefault="00B259A8" w:rsidP="00B259A8">
      <w:pPr>
        <w:pStyle w:val="Table"/>
      </w:pPr>
      <w:bookmarkStart w:id="3177" w:name="_Toc225424315"/>
      <w:bookmarkStart w:id="3178" w:name="_Toc226669137"/>
      <w:r w:rsidRPr="0072192C">
        <w:t>Table 8.1.2</w:t>
      </w:r>
      <w:r w:rsidRPr="0072192C">
        <w:tab/>
        <w:t>Common reporting table category names and the equivalent descriptions for activities in Tokelau</w:t>
      </w:r>
      <w:bookmarkEnd w:id="3177"/>
      <w:bookmarkEnd w:id="317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353"/>
        <w:gridCol w:w="3032"/>
        <w:gridCol w:w="4109"/>
      </w:tblGrid>
      <w:tr w:rsidR="00B259A8" w:rsidRPr="0072192C" w14:paraId="500617B3" w14:textId="77777777" w:rsidTr="00F16E23">
        <w:trPr>
          <w:tblHeader/>
        </w:trPr>
        <w:tc>
          <w:tcPr>
            <w:tcW w:w="1370" w:type="dxa"/>
            <w:shd w:val="clear" w:color="auto" w:fill="1B556B"/>
            <w:tcMar>
              <w:top w:w="0" w:type="dxa"/>
              <w:left w:w="85" w:type="dxa"/>
              <w:bottom w:w="0" w:type="dxa"/>
              <w:right w:w="85" w:type="dxa"/>
            </w:tcMar>
          </w:tcPr>
          <w:p w14:paraId="628AA355"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Category number</w:t>
            </w:r>
          </w:p>
        </w:tc>
        <w:tc>
          <w:tcPr>
            <w:tcW w:w="3062" w:type="dxa"/>
            <w:shd w:val="clear" w:color="auto" w:fill="1B556B"/>
            <w:tcMar>
              <w:top w:w="0" w:type="dxa"/>
              <w:left w:w="85" w:type="dxa"/>
              <w:bottom w:w="0" w:type="dxa"/>
              <w:right w:w="85" w:type="dxa"/>
            </w:tcMar>
          </w:tcPr>
          <w:p w14:paraId="7BA8EC5C"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Category name</w:t>
            </w:r>
          </w:p>
        </w:tc>
        <w:tc>
          <w:tcPr>
            <w:tcW w:w="4196" w:type="dxa"/>
            <w:shd w:val="clear" w:color="auto" w:fill="1B556B"/>
            <w:tcMar>
              <w:top w:w="0" w:type="dxa"/>
              <w:left w:w="85" w:type="dxa"/>
              <w:bottom w:w="0" w:type="dxa"/>
              <w:right w:w="85" w:type="dxa"/>
            </w:tcMar>
          </w:tcPr>
          <w:p w14:paraId="1A8088A0"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Description of activities in Tokelau</w:t>
            </w:r>
          </w:p>
        </w:tc>
      </w:tr>
      <w:tr w:rsidR="00B259A8" w:rsidRPr="0072192C" w14:paraId="11D475C2" w14:textId="77777777" w:rsidTr="00F16E23">
        <w:tc>
          <w:tcPr>
            <w:tcW w:w="1370" w:type="dxa"/>
            <w:shd w:val="clear" w:color="auto" w:fill="FFFFFF"/>
            <w:tcMar>
              <w:top w:w="0" w:type="dxa"/>
              <w:left w:w="85" w:type="dxa"/>
              <w:bottom w:w="0" w:type="dxa"/>
              <w:right w:w="85" w:type="dxa"/>
            </w:tcMar>
          </w:tcPr>
          <w:p w14:paraId="14C80300" w14:textId="77777777" w:rsidR="00B259A8" w:rsidRPr="0072192C" w:rsidRDefault="00B259A8" w:rsidP="00F16E23">
            <w:pPr>
              <w:pStyle w:val="TableText"/>
              <w:spacing w:before="40" w:after="40"/>
              <w:rPr>
                <w:szCs w:val="16"/>
              </w:rPr>
            </w:pPr>
            <w:r w:rsidRPr="0072192C">
              <w:rPr>
                <w:rFonts w:eastAsia="Calibri"/>
                <w:szCs w:val="16"/>
              </w:rPr>
              <w:t>1.A.1.a</w:t>
            </w:r>
          </w:p>
        </w:tc>
        <w:tc>
          <w:tcPr>
            <w:tcW w:w="3062" w:type="dxa"/>
            <w:shd w:val="clear" w:color="auto" w:fill="FFFFFF"/>
            <w:tcMar>
              <w:top w:w="0" w:type="dxa"/>
              <w:left w:w="85" w:type="dxa"/>
              <w:bottom w:w="0" w:type="dxa"/>
              <w:right w:w="85" w:type="dxa"/>
            </w:tcMar>
          </w:tcPr>
          <w:p w14:paraId="5827C9BA" w14:textId="77777777" w:rsidR="00B259A8" w:rsidRPr="0072192C" w:rsidRDefault="00B259A8" w:rsidP="00F16E23">
            <w:pPr>
              <w:pStyle w:val="TableText"/>
              <w:spacing w:before="40" w:after="40"/>
              <w:rPr>
                <w:szCs w:val="16"/>
              </w:rPr>
            </w:pPr>
            <w:r w:rsidRPr="0072192C">
              <w:rPr>
                <w:rFonts w:eastAsia="Calibri"/>
                <w:szCs w:val="16"/>
              </w:rPr>
              <w:t>Energy industries – Public electricity and heat production</w:t>
            </w:r>
          </w:p>
        </w:tc>
        <w:tc>
          <w:tcPr>
            <w:tcW w:w="4196" w:type="dxa"/>
            <w:shd w:val="clear" w:color="auto" w:fill="FFFFFF"/>
            <w:tcMar>
              <w:top w:w="0" w:type="dxa"/>
              <w:left w:w="85" w:type="dxa"/>
              <w:bottom w:w="0" w:type="dxa"/>
              <w:right w:w="85" w:type="dxa"/>
            </w:tcMar>
          </w:tcPr>
          <w:p w14:paraId="0972BD4A" w14:textId="77777777" w:rsidR="00B259A8" w:rsidRPr="0072192C" w:rsidRDefault="00B259A8" w:rsidP="00F16E23">
            <w:pPr>
              <w:pStyle w:val="TableText"/>
              <w:spacing w:before="40" w:after="40"/>
              <w:rPr>
                <w:szCs w:val="16"/>
              </w:rPr>
            </w:pPr>
            <w:r w:rsidRPr="0072192C">
              <w:rPr>
                <w:rFonts w:eastAsia="Calibri"/>
                <w:szCs w:val="16"/>
              </w:rPr>
              <w:t>Energy – Diesel use for generators and machinery</w:t>
            </w:r>
          </w:p>
        </w:tc>
      </w:tr>
      <w:tr w:rsidR="00B259A8" w:rsidRPr="0072192C" w14:paraId="36CB6C9E" w14:textId="77777777" w:rsidTr="00F16E23">
        <w:tc>
          <w:tcPr>
            <w:tcW w:w="1370" w:type="dxa"/>
            <w:shd w:val="clear" w:color="auto" w:fill="FFFFFF"/>
            <w:tcMar>
              <w:top w:w="0" w:type="dxa"/>
              <w:left w:w="85" w:type="dxa"/>
              <w:bottom w:w="0" w:type="dxa"/>
              <w:right w:w="85" w:type="dxa"/>
            </w:tcMar>
          </w:tcPr>
          <w:p w14:paraId="1EB65DF5" w14:textId="77777777" w:rsidR="00B259A8" w:rsidRPr="0072192C" w:rsidRDefault="00B259A8" w:rsidP="00F16E23">
            <w:pPr>
              <w:pStyle w:val="TableText"/>
              <w:spacing w:before="40" w:after="40"/>
              <w:rPr>
                <w:szCs w:val="16"/>
              </w:rPr>
            </w:pPr>
            <w:r w:rsidRPr="0072192C">
              <w:rPr>
                <w:rFonts w:eastAsia="Calibri"/>
                <w:szCs w:val="16"/>
              </w:rPr>
              <w:t>1.A.3</w:t>
            </w:r>
          </w:p>
        </w:tc>
        <w:tc>
          <w:tcPr>
            <w:tcW w:w="3062" w:type="dxa"/>
            <w:shd w:val="clear" w:color="auto" w:fill="FFFFFF"/>
            <w:tcMar>
              <w:top w:w="0" w:type="dxa"/>
              <w:left w:w="85" w:type="dxa"/>
              <w:bottom w:w="0" w:type="dxa"/>
              <w:right w:w="85" w:type="dxa"/>
            </w:tcMar>
          </w:tcPr>
          <w:p w14:paraId="553F489C" w14:textId="77777777" w:rsidR="00B259A8" w:rsidRPr="0072192C" w:rsidRDefault="00B259A8" w:rsidP="00F16E23">
            <w:pPr>
              <w:pStyle w:val="TableText"/>
              <w:spacing w:before="40" w:after="40"/>
              <w:rPr>
                <w:szCs w:val="16"/>
              </w:rPr>
            </w:pPr>
            <w:r w:rsidRPr="0072192C">
              <w:rPr>
                <w:rFonts w:eastAsia="Calibri"/>
                <w:szCs w:val="16"/>
              </w:rPr>
              <w:t>Transport</w:t>
            </w:r>
          </w:p>
        </w:tc>
        <w:tc>
          <w:tcPr>
            <w:tcW w:w="4196" w:type="dxa"/>
            <w:shd w:val="clear" w:color="auto" w:fill="FFFFFF"/>
            <w:tcMar>
              <w:top w:w="0" w:type="dxa"/>
              <w:left w:w="85" w:type="dxa"/>
              <w:bottom w:w="0" w:type="dxa"/>
              <w:right w:w="85" w:type="dxa"/>
            </w:tcMar>
          </w:tcPr>
          <w:p w14:paraId="77D162E2" w14:textId="77777777" w:rsidR="00B259A8" w:rsidRPr="0072192C" w:rsidRDefault="00B259A8" w:rsidP="00F16E23">
            <w:pPr>
              <w:pStyle w:val="TableText"/>
              <w:spacing w:before="40" w:after="40"/>
              <w:rPr>
                <w:szCs w:val="16"/>
              </w:rPr>
            </w:pPr>
            <w:r w:rsidRPr="0072192C">
              <w:rPr>
                <w:rFonts w:eastAsia="Calibri"/>
                <w:szCs w:val="16"/>
              </w:rPr>
              <w:t>Energy – Fuel use for fishing boats, domestic ferries and cars</w:t>
            </w:r>
          </w:p>
        </w:tc>
      </w:tr>
      <w:tr w:rsidR="00B259A8" w:rsidRPr="0072192C" w14:paraId="33E1FB05" w14:textId="77777777" w:rsidTr="00F16E23">
        <w:tc>
          <w:tcPr>
            <w:tcW w:w="1370" w:type="dxa"/>
            <w:shd w:val="clear" w:color="auto" w:fill="FFFFFF"/>
            <w:tcMar>
              <w:top w:w="0" w:type="dxa"/>
              <w:left w:w="85" w:type="dxa"/>
              <w:bottom w:w="0" w:type="dxa"/>
              <w:right w:w="85" w:type="dxa"/>
            </w:tcMar>
          </w:tcPr>
          <w:p w14:paraId="3512AE42" w14:textId="77777777" w:rsidR="00B259A8" w:rsidRPr="0072192C" w:rsidRDefault="00B259A8" w:rsidP="00F16E23">
            <w:pPr>
              <w:pStyle w:val="TableText"/>
              <w:spacing w:before="40" w:after="40"/>
              <w:rPr>
                <w:szCs w:val="16"/>
              </w:rPr>
            </w:pPr>
            <w:r w:rsidRPr="0072192C">
              <w:rPr>
                <w:rFonts w:eastAsia="Calibri"/>
                <w:szCs w:val="16"/>
              </w:rPr>
              <w:t>1.A.3.b</w:t>
            </w:r>
          </w:p>
        </w:tc>
        <w:tc>
          <w:tcPr>
            <w:tcW w:w="3062" w:type="dxa"/>
            <w:shd w:val="clear" w:color="auto" w:fill="FFFFFF"/>
            <w:tcMar>
              <w:top w:w="0" w:type="dxa"/>
              <w:left w:w="85" w:type="dxa"/>
              <w:bottom w:w="0" w:type="dxa"/>
              <w:right w:w="85" w:type="dxa"/>
            </w:tcMar>
          </w:tcPr>
          <w:p w14:paraId="28B3F10C" w14:textId="77777777" w:rsidR="00B259A8" w:rsidRPr="0072192C" w:rsidRDefault="00B259A8" w:rsidP="00F16E23">
            <w:pPr>
              <w:pStyle w:val="TableText"/>
              <w:spacing w:before="40" w:after="40"/>
              <w:rPr>
                <w:szCs w:val="16"/>
              </w:rPr>
            </w:pPr>
            <w:r w:rsidRPr="0072192C">
              <w:rPr>
                <w:rFonts w:eastAsia="Calibri"/>
                <w:szCs w:val="16"/>
              </w:rPr>
              <w:t>Road transportation</w:t>
            </w:r>
          </w:p>
        </w:tc>
        <w:tc>
          <w:tcPr>
            <w:tcW w:w="4196" w:type="dxa"/>
            <w:shd w:val="clear" w:color="auto" w:fill="FFFFFF"/>
            <w:tcMar>
              <w:top w:w="0" w:type="dxa"/>
              <w:left w:w="85" w:type="dxa"/>
              <w:bottom w:w="0" w:type="dxa"/>
              <w:right w:w="85" w:type="dxa"/>
            </w:tcMar>
          </w:tcPr>
          <w:p w14:paraId="1A330F63" w14:textId="77777777" w:rsidR="00B259A8" w:rsidRPr="0072192C" w:rsidRDefault="00B259A8" w:rsidP="00F16E23">
            <w:pPr>
              <w:pStyle w:val="TableText"/>
              <w:spacing w:before="40" w:after="40"/>
              <w:rPr>
                <w:szCs w:val="16"/>
              </w:rPr>
            </w:pPr>
            <w:r w:rsidRPr="0072192C">
              <w:rPr>
                <w:rFonts w:eastAsia="Calibri"/>
                <w:szCs w:val="16"/>
              </w:rPr>
              <w:t>Energy – Fuel use for cars</w:t>
            </w:r>
          </w:p>
        </w:tc>
      </w:tr>
      <w:tr w:rsidR="00B259A8" w:rsidRPr="0072192C" w14:paraId="491AA1AF" w14:textId="77777777" w:rsidTr="00F16E23">
        <w:tc>
          <w:tcPr>
            <w:tcW w:w="1370" w:type="dxa"/>
            <w:shd w:val="clear" w:color="auto" w:fill="FFFFFF"/>
            <w:tcMar>
              <w:top w:w="0" w:type="dxa"/>
              <w:left w:w="85" w:type="dxa"/>
              <w:bottom w:w="0" w:type="dxa"/>
              <w:right w:w="85" w:type="dxa"/>
            </w:tcMar>
          </w:tcPr>
          <w:p w14:paraId="7F67AF2D" w14:textId="77777777" w:rsidR="00B259A8" w:rsidRPr="0072192C" w:rsidRDefault="00B259A8" w:rsidP="00F16E23">
            <w:pPr>
              <w:pStyle w:val="TableText"/>
              <w:spacing w:before="40" w:after="40"/>
              <w:rPr>
                <w:szCs w:val="16"/>
              </w:rPr>
            </w:pPr>
            <w:r w:rsidRPr="0072192C">
              <w:rPr>
                <w:rFonts w:eastAsia="Calibri"/>
                <w:szCs w:val="16"/>
              </w:rPr>
              <w:t>1.A.3.b.i</w:t>
            </w:r>
          </w:p>
        </w:tc>
        <w:tc>
          <w:tcPr>
            <w:tcW w:w="3062" w:type="dxa"/>
            <w:shd w:val="clear" w:color="auto" w:fill="FFFFFF"/>
            <w:tcMar>
              <w:top w:w="0" w:type="dxa"/>
              <w:left w:w="85" w:type="dxa"/>
              <w:bottom w:w="0" w:type="dxa"/>
              <w:right w:w="85" w:type="dxa"/>
            </w:tcMar>
          </w:tcPr>
          <w:p w14:paraId="47B852AC" w14:textId="77777777" w:rsidR="00B259A8" w:rsidRPr="0072192C" w:rsidRDefault="00B259A8" w:rsidP="00F16E23">
            <w:pPr>
              <w:pStyle w:val="TableText"/>
              <w:spacing w:before="40" w:after="40"/>
              <w:rPr>
                <w:szCs w:val="16"/>
              </w:rPr>
            </w:pPr>
            <w:r w:rsidRPr="0072192C">
              <w:rPr>
                <w:rFonts w:eastAsia="Calibri"/>
                <w:szCs w:val="16"/>
              </w:rPr>
              <w:t>Cars</w:t>
            </w:r>
          </w:p>
        </w:tc>
        <w:tc>
          <w:tcPr>
            <w:tcW w:w="4196" w:type="dxa"/>
            <w:shd w:val="clear" w:color="auto" w:fill="FFFFFF"/>
            <w:tcMar>
              <w:top w:w="0" w:type="dxa"/>
              <w:left w:w="85" w:type="dxa"/>
              <w:bottom w:w="0" w:type="dxa"/>
              <w:right w:w="85" w:type="dxa"/>
            </w:tcMar>
          </w:tcPr>
          <w:p w14:paraId="05487E1C" w14:textId="77777777" w:rsidR="00B259A8" w:rsidRPr="0072192C" w:rsidRDefault="00B259A8" w:rsidP="00F16E23">
            <w:pPr>
              <w:pStyle w:val="TableText"/>
              <w:spacing w:before="40" w:after="40"/>
              <w:rPr>
                <w:szCs w:val="16"/>
              </w:rPr>
            </w:pPr>
            <w:r w:rsidRPr="0072192C">
              <w:rPr>
                <w:rFonts w:eastAsia="Calibri"/>
                <w:szCs w:val="16"/>
              </w:rPr>
              <w:t>Energy – Fuel use for cars</w:t>
            </w:r>
          </w:p>
        </w:tc>
      </w:tr>
      <w:tr w:rsidR="00B259A8" w:rsidRPr="0072192C" w14:paraId="705A5738" w14:textId="77777777" w:rsidTr="00F16E23">
        <w:tc>
          <w:tcPr>
            <w:tcW w:w="1370" w:type="dxa"/>
            <w:shd w:val="clear" w:color="auto" w:fill="FFFFFF"/>
            <w:tcMar>
              <w:top w:w="0" w:type="dxa"/>
              <w:left w:w="85" w:type="dxa"/>
              <w:bottom w:w="0" w:type="dxa"/>
              <w:right w:w="85" w:type="dxa"/>
            </w:tcMar>
          </w:tcPr>
          <w:p w14:paraId="1DB9822E" w14:textId="77777777" w:rsidR="00B259A8" w:rsidRPr="0072192C" w:rsidRDefault="00B259A8" w:rsidP="00F16E23">
            <w:pPr>
              <w:pStyle w:val="TableText"/>
              <w:spacing w:before="40" w:after="40"/>
              <w:rPr>
                <w:szCs w:val="16"/>
              </w:rPr>
            </w:pPr>
            <w:r w:rsidRPr="0072192C">
              <w:rPr>
                <w:rFonts w:eastAsia="Calibri"/>
                <w:szCs w:val="16"/>
              </w:rPr>
              <w:t>1.A.3.d</w:t>
            </w:r>
          </w:p>
        </w:tc>
        <w:tc>
          <w:tcPr>
            <w:tcW w:w="3062" w:type="dxa"/>
            <w:shd w:val="clear" w:color="auto" w:fill="FFFFFF"/>
            <w:tcMar>
              <w:top w:w="0" w:type="dxa"/>
              <w:left w:w="85" w:type="dxa"/>
              <w:bottom w:w="0" w:type="dxa"/>
              <w:right w:w="85" w:type="dxa"/>
            </w:tcMar>
          </w:tcPr>
          <w:p w14:paraId="70C3DCC0" w14:textId="77777777" w:rsidR="00B259A8" w:rsidRPr="0072192C" w:rsidRDefault="00B259A8" w:rsidP="00F16E23">
            <w:pPr>
              <w:pStyle w:val="TableText"/>
              <w:spacing w:before="40" w:after="40"/>
              <w:rPr>
                <w:szCs w:val="16"/>
              </w:rPr>
            </w:pPr>
            <w:r w:rsidRPr="0072192C">
              <w:rPr>
                <w:rFonts w:eastAsia="Calibri"/>
                <w:szCs w:val="16"/>
              </w:rPr>
              <w:t>Domestic navigation</w:t>
            </w:r>
          </w:p>
        </w:tc>
        <w:tc>
          <w:tcPr>
            <w:tcW w:w="4196" w:type="dxa"/>
            <w:shd w:val="clear" w:color="auto" w:fill="FFFFFF"/>
            <w:tcMar>
              <w:top w:w="0" w:type="dxa"/>
              <w:left w:w="85" w:type="dxa"/>
              <w:bottom w:w="0" w:type="dxa"/>
              <w:right w:w="85" w:type="dxa"/>
            </w:tcMar>
          </w:tcPr>
          <w:p w14:paraId="24F89AE0" w14:textId="77777777" w:rsidR="00B259A8" w:rsidRPr="0072192C" w:rsidRDefault="00B259A8" w:rsidP="00F16E23">
            <w:pPr>
              <w:pStyle w:val="TableText"/>
              <w:spacing w:before="40" w:after="40"/>
              <w:rPr>
                <w:szCs w:val="16"/>
              </w:rPr>
            </w:pPr>
            <w:r w:rsidRPr="0072192C">
              <w:rPr>
                <w:rFonts w:eastAsia="Calibri"/>
                <w:szCs w:val="16"/>
              </w:rPr>
              <w:t>Energy – Fuel use for fishing boats and domestic ferries</w:t>
            </w:r>
          </w:p>
        </w:tc>
      </w:tr>
      <w:tr w:rsidR="00B259A8" w:rsidRPr="0072192C" w14:paraId="6A451002" w14:textId="77777777" w:rsidTr="00F16E23">
        <w:tc>
          <w:tcPr>
            <w:tcW w:w="1370" w:type="dxa"/>
            <w:shd w:val="clear" w:color="auto" w:fill="FFFFFF"/>
            <w:tcMar>
              <w:top w:w="0" w:type="dxa"/>
              <w:left w:w="85" w:type="dxa"/>
              <w:bottom w:w="0" w:type="dxa"/>
              <w:right w:w="85" w:type="dxa"/>
            </w:tcMar>
          </w:tcPr>
          <w:p w14:paraId="54D0E2FF" w14:textId="77777777" w:rsidR="00B259A8" w:rsidRPr="0072192C" w:rsidRDefault="00B259A8" w:rsidP="00F16E23">
            <w:pPr>
              <w:pStyle w:val="TableText"/>
              <w:spacing w:before="40" w:after="40"/>
              <w:rPr>
                <w:szCs w:val="16"/>
              </w:rPr>
            </w:pPr>
            <w:r w:rsidRPr="0072192C">
              <w:rPr>
                <w:rFonts w:eastAsia="Calibri"/>
                <w:szCs w:val="16"/>
              </w:rPr>
              <w:t>1.A.4.b</w:t>
            </w:r>
          </w:p>
        </w:tc>
        <w:tc>
          <w:tcPr>
            <w:tcW w:w="3062" w:type="dxa"/>
            <w:shd w:val="clear" w:color="auto" w:fill="FFFFFF"/>
            <w:tcMar>
              <w:top w:w="0" w:type="dxa"/>
              <w:left w:w="85" w:type="dxa"/>
              <w:bottom w:w="0" w:type="dxa"/>
              <w:right w:w="85" w:type="dxa"/>
            </w:tcMar>
          </w:tcPr>
          <w:p w14:paraId="6CA140F4" w14:textId="77777777" w:rsidR="00B259A8" w:rsidRPr="0072192C" w:rsidRDefault="00B259A8" w:rsidP="00F16E23">
            <w:pPr>
              <w:pStyle w:val="TableText"/>
              <w:spacing w:before="40" w:after="40"/>
              <w:rPr>
                <w:szCs w:val="16"/>
              </w:rPr>
            </w:pPr>
            <w:r w:rsidRPr="0072192C">
              <w:rPr>
                <w:rFonts w:eastAsia="Calibri"/>
                <w:szCs w:val="16"/>
              </w:rPr>
              <w:t>Other sectors – Residential</w:t>
            </w:r>
          </w:p>
        </w:tc>
        <w:tc>
          <w:tcPr>
            <w:tcW w:w="4196" w:type="dxa"/>
            <w:shd w:val="clear" w:color="auto" w:fill="FFFFFF"/>
            <w:tcMar>
              <w:top w:w="0" w:type="dxa"/>
              <w:left w:w="85" w:type="dxa"/>
              <w:bottom w:w="0" w:type="dxa"/>
              <w:right w:w="85" w:type="dxa"/>
            </w:tcMar>
          </w:tcPr>
          <w:p w14:paraId="0145B533" w14:textId="77777777" w:rsidR="00B259A8" w:rsidRPr="0072192C" w:rsidRDefault="00B259A8" w:rsidP="00F16E23">
            <w:pPr>
              <w:pStyle w:val="TableText"/>
              <w:spacing w:before="40" w:after="40"/>
              <w:rPr>
                <w:szCs w:val="16"/>
              </w:rPr>
            </w:pPr>
            <w:r w:rsidRPr="0072192C">
              <w:rPr>
                <w:rFonts w:eastAsia="Calibri"/>
                <w:szCs w:val="16"/>
              </w:rPr>
              <w:t>Energy – Kerosene and propane use for cooking</w:t>
            </w:r>
          </w:p>
        </w:tc>
      </w:tr>
      <w:tr w:rsidR="00B259A8" w:rsidRPr="0072192C" w14:paraId="35233440" w14:textId="77777777" w:rsidTr="00F16E23">
        <w:tc>
          <w:tcPr>
            <w:tcW w:w="1370" w:type="dxa"/>
            <w:shd w:val="clear" w:color="auto" w:fill="FFFFFF"/>
            <w:tcMar>
              <w:top w:w="0" w:type="dxa"/>
              <w:left w:w="85" w:type="dxa"/>
              <w:bottom w:w="0" w:type="dxa"/>
              <w:right w:w="85" w:type="dxa"/>
            </w:tcMar>
          </w:tcPr>
          <w:p w14:paraId="76841C8D" w14:textId="77777777" w:rsidR="00B259A8" w:rsidRPr="0072192C" w:rsidRDefault="00B259A8" w:rsidP="00F16E23">
            <w:pPr>
              <w:pStyle w:val="TableText"/>
              <w:spacing w:before="40" w:after="40"/>
              <w:rPr>
                <w:szCs w:val="16"/>
              </w:rPr>
            </w:pPr>
            <w:r w:rsidRPr="0072192C">
              <w:rPr>
                <w:rFonts w:eastAsia="Calibri"/>
                <w:szCs w:val="16"/>
              </w:rPr>
              <w:t>1.A.4.c</w:t>
            </w:r>
          </w:p>
        </w:tc>
        <w:tc>
          <w:tcPr>
            <w:tcW w:w="3062" w:type="dxa"/>
            <w:shd w:val="clear" w:color="auto" w:fill="FFFFFF"/>
            <w:tcMar>
              <w:top w:w="0" w:type="dxa"/>
              <w:left w:w="85" w:type="dxa"/>
              <w:bottom w:w="0" w:type="dxa"/>
              <w:right w:w="85" w:type="dxa"/>
            </w:tcMar>
          </w:tcPr>
          <w:p w14:paraId="4548543E" w14:textId="77777777" w:rsidR="00B259A8" w:rsidRPr="0072192C" w:rsidRDefault="00B259A8" w:rsidP="00F16E23">
            <w:pPr>
              <w:pStyle w:val="TableText"/>
              <w:spacing w:before="40" w:after="40"/>
              <w:rPr>
                <w:szCs w:val="16"/>
              </w:rPr>
            </w:pPr>
            <w:r w:rsidRPr="0072192C">
              <w:rPr>
                <w:rFonts w:eastAsia="Calibri"/>
                <w:szCs w:val="16"/>
              </w:rPr>
              <w:t>Agriculture/forestry/fishing</w:t>
            </w:r>
          </w:p>
        </w:tc>
        <w:tc>
          <w:tcPr>
            <w:tcW w:w="4196" w:type="dxa"/>
            <w:shd w:val="clear" w:color="auto" w:fill="FFFFFF"/>
            <w:tcMar>
              <w:top w:w="0" w:type="dxa"/>
              <w:left w:w="85" w:type="dxa"/>
              <w:bottom w:w="0" w:type="dxa"/>
              <w:right w:w="85" w:type="dxa"/>
            </w:tcMar>
          </w:tcPr>
          <w:p w14:paraId="02D4B4A8" w14:textId="77777777" w:rsidR="00B259A8" w:rsidRPr="0072192C" w:rsidRDefault="00B259A8" w:rsidP="00F16E23">
            <w:pPr>
              <w:pStyle w:val="TableText"/>
              <w:spacing w:before="40" w:after="40"/>
              <w:rPr>
                <w:szCs w:val="16"/>
              </w:rPr>
            </w:pPr>
            <w:r w:rsidRPr="0072192C">
              <w:rPr>
                <w:rFonts w:eastAsia="Calibri"/>
                <w:szCs w:val="16"/>
              </w:rPr>
              <w:t>Energy – Fuel use for fishing boats</w:t>
            </w:r>
          </w:p>
        </w:tc>
      </w:tr>
      <w:tr w:rsidR="00B259A8" w:rsidRPr="0072192C" w14:paraId="5409F831" w14:textId="77777777" w:rsidTr="00F16E23">
        <w:tc>
          <w:tcPr>
            <w:tcW w:w="1370" w:type="dxa"/>
            <w:shd w:val="clear" w:color="auto" w:fill="FFFFFF"/>
            <w:tcMar>
              <w:top w:w="0" w:type="dxa"/>
              <w:left w:w="85" w:type="dxa"/>
              <w:bottom w:w="0" w:type="dxa"/>
              <w:right w:w="85" w:type="dxa"/>
            </w:tcMar>
          </w:tcPr>
          <w:p w14:paraId="22983CF7" w14:textId="77777777" w:rsidR="00B259A8" w:rsidRPr="0072192C" w:rsidRDefault="00B259A8" w:rsidP="00F16E23">
            <w:pPr>
              <w:pStyle w:val="TableText"/>
              <w:spacing w:before="40" w:after="40"/>
              <w:rPr>
                <w:szCs w:val="16"/>
              </w:rPr>
            </w:pPr>
            <w:r w:rsidRPr="0072192C">
              <w:rPr>
                <w:rFonts w:eastAsia="Calibri"/>
                <w:szCs w:val="16"/>
              </w:rPr>
              <w:t>2.F.1</w:t>
            </w:r>
          </w:p>
        </w:tc>
        <w:tc>
          <w:tcPr>
            <w:tcW w:w="3062" w:type="dxa"/>
            <w:shd w:val="clear" w:color="auto" w:fill="FFFFFF"/>
            <w:tcMar>
              <w:top w:w="0" w:type="dxa"/>
              <w:left w:w="85" w:type="dxa"/>
              <w:bottom w:w="0" w:type="dxa"/>
              <w:right w:w="85" w:type="dxa"/>
            </w:tcMar>
          </w:tcPr>
          <w:p w14:paraId="4567A5AC" w14:textId="77777777" w:rsidR="00B259A8" w:rsidRPr="0072192C" w:rsidRDefault="00B259A8" w:rsidP="00F16E23">
            <w:pPr>
              <w:pStyle w:val="TableText"/>
              <w:spacing w:before="40" w:after="40"/>
              <w:rPr>
                <w:szCs w:val="16"/>
              </w:rPr>
            </w:pPr>
            <w:r w:rsidRPr="0072192C">
              <w:rPr>
                <w:rFonts w:eastAsia="Calibri"/>
                <w:szCs w:val="16"/>
              </w:rPr>
              <w:t>Refrigeration and air-conditioning</w:t>
            </w:r>
          </w:p>
        </w:tc>
        <w:tc>
          <w:tcPr>
            <w:tcW w:w="4196" w:type="dxa"/>
            <w:shd w:val="clear" w:color="auto" w:fill="FFFFFF"/>
            <w:tcMar>
              <w:top w:w="0" w:type="dxa"/>
              <w:left w:w="85" w:type="dxa"/>
              <w:bottom w:w="0" w:type="dxa"/>
              <w:right w:w="85" w:type="dxa"/>
            </w:tcMar>
          </w:tcPr>
          <w:p w14:paraId="344B9E70" w14:textId="77777777" w:rsidR="00B259A8" w:rsidRPr="0072192C" w:rsidRDefault="00B259A8" w:rsidP="00F16E23">
            <w:pPr>
              <w:pStyle w:val="TableText"/>
              <w:spacing w:before="40" w:after="40"/>
              <w:rPr>
                <w:szCs w:val="16"/>
              </w:rPr>
            </w:pPr>
            <w:r w:rsidRPr="0072192C">
              <w:rPr>
                <w:rFonts w:eastAsia="Calibri"/>
                <w:szCs w:val="16"/>
              </w:rPr>
              <w:t>Industrial – Fridge gas and air conditioning gas</w:t>
            </w:r>
          </w:p>
        </w:tc>
      </w:tr>
      <w:tr w:rsidR="00B259A8" w:rsidRPr="0072192C" w14:paraId="1D5C2F79" w14:textId="77777777" w:rsidTr="00F16E23">
        <w:tc>
          <w:tcPr>
            <w:tcW w:w="1370" w:type="dxa"/>
            <w:shd w:val="clear" w:color="auto" w:fill="FFFFFF"/>
            <w:tcMar>
              <w:top w:w="0" w:type="dxa"/>
              <w:left w:w="85" w:type="dxa"/>
              <w:bottom w:w="0" w:type="dxa"/>
              <w:right w:w="85" w:type="dxa"/>
            </w:tcMar>
          </w:tcPr>
          <w:p w14:paraId="1D8350E9" w14:textId="77777777" w:rsidR="00B259A8" w:rsidRPr="0072192C" w:rsidRDefault="00B259A8" w:rsidP="00F16E23">
            <w:pPr>
              <w:pStyle w:val="TableText"/>
              <w:spacing w:before="40" w:after="40"/>
              <w:rPr>
                <w:szCs w:val="16"/>
              </w:rPr>
            </w:pPr>
            <w:r w:rsidRPr="0072192C">
              <w:rPr>
                <w:rFonts w:eastAsia="Calibri"/>
                <w:szCs w:val="16"/>
              </w:rPr>
              <w:t>2.F.1.b</w:t>
            </w:r>
          </w:p>
        </w:tc>
        <w:tc>
          <w:tcPr>
            <w:tcW w:w="3062" w:type="dxa"/>
            <w:shd w:val="clear" w:color="auto" w:fill="FFFFFF"/>
            <w:tcMar>
              <w:top w:w="0" w:type="dxa"/>
              <w:left w:w="85" w:type="dxa"/>
              <w:bottom w:w="0" w:type="dxa"/>
              <w:right w:w="85" w:type="dxa"/>
            </w:tcMar>
          </w:tcPr>
          <w:p w14:paraId="51C3BDB4" w14:textId="77777777" w:rsidR="00B259A8" w:rsidRPr="0072192C" w:rsidRDefault="00B259A8" w:rsidP="00F16E23">
            <w:pPr>
              <w:pStyle w:val="TableText"/>
              <w:spacing w:before="40" w:after="40"/>
              <w:rPr>
                <w:szCs w:val="16"/>
              </w:rPr>
            </w:pPr>
            <w:r w:rsidRPr="0072192C">
              <w:rPr>
                <w:rFonts w:eastAsia="Calibri"/>
                <w:szCs w:val="16"/>
              </w:rPr>
              <w:t>Domestic refrigeration</w:t>
            </w:r>
          </w:p>
        </w:tc>
        <w:tc>
          <w:tcPr>
            <w:tcW w:w="4196" w:type="dxa"/>
            <w:shd w:val="clear" w:color="auto" w:fill="FFFFFF"/>
            <w:tcMar>
              <w:top w:w="0" w:type="dxa"/>
              <w:left w:w="85" w:type="dxa"/>
              <w:bottom w:w="0" w:type="dxa"/>
              <w:right w:w="85" w:type="dxa"/>
            </w:tcMar>
          </w:tcPr>
          <w:p w14:paraId="5D519208" w14:textId="77777777" w:rsidR="00B259A8" w:rsidRPr="0072192C" w:rsidRDefault="00B259A8" w:rsidP="00F16E23">
            <w:pPr>
              <w:pStyle w:val="TableText"/>
              <w:spacing w:before="40" w:after="40"/>
              <w:rPr>
                <w:szCs w:val="16"/>
              </w:rPr>
            </w:pPr>
            <w:r w:rsidRPr="0072192C">
              <w:rPr>
                <w:rFonts w:eastAsia="Calibri"/>
                <w:szCs w:val="16"/>
              </w:rPr>
              <w:t>Industrial – Fridge gas</w:t>
            </w:r>
          </w:p>
        </w:tc>
      </w:tr>
      <w:tr w:rsidR="00B259A8" w:rsidRPr="0072192C" w14:paraId="50623945" w14:textId="77777777" w:rsidTr="00F16E23">
        <w:tc>
          <w:tcPr>
            <w:tcW w:w="1370" w:type="dxa"/>
            <w:shd w:val="clear" w:color="auto" w:fill="FFFFFF"/>
            <w:tcMar>
              <w:top w:w="0" w:type="dxa"/>
              <w:left w:w="85" w:type="dxa"/>
              <w:bottom w:w="0" w:type="dxa"/>
              <w:right w:w="85" w:type="dxa"/>
            </w:tcMar>
          </w:tcPr>
          <w:p w14:paraId="74960461" w14:textId="77777777" w:rsidR="00B259A8" w:rsidRPr="0072192C" w:rsidRDefault="00B259A8" w:rsidP="00F16E23">
            <w:pPr>
              <w:pStyle w:val="TableText"/>
              <w:spacing w:before="40" w:after="40"/>
              <w:rPr>
                <w:szCs w:val="16"/>
              </w:rPr>
            </w:pPr>
            <w:r w:rsidRPr="0072192C">
              <w:rPr>
                <w:rFonts w:eastAsia="Calibri"/>
                <w:szCs w:val="16"/>
              </w:rPr>
              <w:t>2F.1.f</w:t>
            </w:r>
          </w:p>
        </w:tc>
        <w:tc>
          <w:tcPr>
            <w:tcW w:w="3062" w:type="dxa"/>
            <w:shd w:val="clear" w:color="auto" w:fill="FFFFFF"/>
            <w:tcMar>
              <w:top w:w="0" w:type="dxa"/>
              <w:left w:w="85" w:type="dxa"/>
              <w:bottom w:w="0" w:type="dxa"/>
              <w:right w:w="85" w:type="dxa"/>
            </w:tcMar>
          </w:tcPr>
          <w:p w14:paraId="3A32EBC2" w14:textId="77777777" w:rsidR="00B259A8" w:rsidRPr="0072192C" w:rsidRDefault="00B259A8" w:rsidP="00F16E23">
            <w:pPr>
              <w:pStyle w:val="TableText"/>
              <w:spacing w:before="40" w:after="40"/>
              <w:rPr>
                <w:szCs w:val="16"/>
              </w:rPr>
            </w:pPr>
            <w:r w:rsidRPr="0072192C">
              <w:rPr>
                <w:rFonts w:eastAsia="Calibri"/>
                <w:szCs w:val="16"/>
              </w:rPr>
              <w:t>Stationary air-conditioning</w:t>
            </w:r>
          </w:p>
        </w:tc>
        <w:tc>
          <w:tcPr>
            <w:tcW w:w="4196" w:type="dxa"/>
            <w:shd w:val="clear" w:color="auto" w:fill="FFFFFF"/>
            <w:tcMar>
              <w:top w:w="0" w:type="dxa"/>
              <w:left w:w="85" w:type="dxa"/>
              <w:bottom w:w="0" w:type="dxa"/>
              <w:right w:w="85" w:type="dxa"/>
            </w:tcMar>
          </w:tcPr>
          <w:p w14:paraId="4E8B4851" w14:textId="77777777" w:rsidR="00B259A8" w:rsidRPr="0072192C" w:rsidRDefault="00B259A8" w:rsidP="00F16E23">
            <w:pPr>
              <w:pStyle w:val="TableText"/>
              <w:spacing w:before="40" w:after="40"/>
              <w:rPr>
                <w:szCs w:val="16"/>
              </w:rPr>
            </w:pPr>
            <w:r w:rsidRPr="0072192C">
              <w:rPr>
                <w:rFonts w:eastAsia="Calibri"/>
                <w:szCs w:val="16"/>
              </w:rPr>
              <w:t>Industrial – Air-conditioning gas</w:t>
            </w:r>
          </w:p>
        </w:tc>
      </w:tr>
      <w:tr w:rsidR="00B259A8" w:rsidRPr="0072192C" w14:paraId="51B3B6BC" w14:textId="77777777" w:rsidTr="00F16E23">
        <w:tc>
          <w:tcPr>
            <w:tcW w:w="1370" w:type="dxa"/>
            <w:shd w:val="clear" w:color="auto" w:fill="FFFFFF"/>
            <w:tcMar>
              <w:top w:w="0" w:type="dxa"/>
              <w:left w:w="85" w:type="dxa"/>
              <w:bottom w:w="0" w:type="dxa"/>
              <w:right w:w="85" w:type="dxa"/>
            </w:tcMar>
          </w:tcPr>
          <w:p w14:paraId="633BF0D8" w14:textId="77777777" w:rsidR="00B259A8" w:rsidRPr="0072192C" w:rsidRDefault="00B259A8" w:rsidP="00F16E23">
            <w:pPr>
              <w:pStyle w:val="TableText"/>
              <w:spacing w:before="40" w:after="40"/>
              <w:rPr>
                <w:szCs w:val="16"/>
              </w:rPr>
            </w:pPr>
            <w:r w:rsidRPr="0072192C">
              <w:rPr>
                <w:rFonts w:eastAsia="Calibri"/>
                <w:szCs w:val="16"/>
              </w:rPr>
              <w:t>2.F.4.a</w:t>
            </w:r>
          </w:p>
        </w:tc>
        <w:tc>
          <w:tcPr>
            <w:tcW w:w="3062" w:type="dxa"/>
            <w:shd w:val="clear" w:color="auto" w:fill="FFFFFF"/>
            <w:tcMar>
              <w:top w:w="0" w:type="dxa"/>
              <w:left w:w="85" w:type="dxa"/>
              <w:bottom w:w="0" w:type="dxa"/>
              <w:right w:w="85" w:type="dxa"/>
            </w:tcMar>
          </w:tcPr>
          <w:p w14:paraId="0D937413" w14:textId="77777777" w:rsidR="00B259A8" w:rsidRPr="0072192C" w:rsidRDefault="00B259A8" w:rsidP="00F16E23">
            <w:pPr>
              <w:pStyle w:val="TableText"/>
              <w:spacing w:before="40" w:after="40"/>
              <w:rPr>
                <w:szCs w:val="16"/>
              </w:rPr>
            </w:pPr>
            <w:r w:rsidRPr="0072192C">
              <w:rPr>
                <w:rFonts w:eastAsia="Calibri"/>
                <w:szCs w:val="16"/>
              </w:rPr>
              <w:t>Metered dose inhalers</w:t>
            </w:r>
          </w:p>
        </w:tc>
        <w:tc>
          <w:tcPr>
            <w:tcW w:w="4196" w:type="dxa"/>
            <w:shd w:val="clear" w:color="auto" w:fill="FFFFFF"/>
            <w:tcMar>
              <w:top w:w="0" w:type="dxa"/>
              <w:left w:w="85" w:type="dxa"/>
              <w:bottom w:w="0" w:type="dxa"/>
              <w:right w:w="85" w:type="dxa"/>
            </w:tcMar>
          </w:tcPr>
          <w:p w14:paraId="6CD8BC11" w14:textId="77777777" w:rsidR="00B259A8" w:rsidRPr="0072192C" w:rsidRDefault="00B259A8" w:rsidP="00F16E23">
            <w:pPr>
              <w:pStyle w:val="TableText"/>
              <w:spacing w:before="40" w:after="40"/>
              <w:rPr>
                <w:szCs w:val="16"/>
              </w:rPr>
            </w:pPr>
            <w:r w:rsidRPr="0072192C">
              <w:rPr>
                <w:rFonts w:eastAsia="Calibri"/>
                <w:szCs w:val="16"/>
              </w:rPr>
              <w:t>Industrial – Asthma inhalers</w:t>
            </w:r>
          </w:p>
        </w:tc>
      </w:tr>
      <w:tr w:rsidR="00B259A8" w:rsidRPr="0072192C" w14:paraId="6B5BA05B" w14:textId="77777777" w:rsidTr="00F16E23">
        <w:tc>
          <w:tcPr>
            <w:tcW w:w="1370" w:type="dxa"/>
            <w:shd w:val="clear" w:color="auto" w:fill="FFFFFF"/>
            <w:tcMar>
              <w:top w:w="0" w:type="dxa"/>
              <w:left w:w="85" w:type="dxa"/>
              <w:bottom w:w="0" w:type="dxa"/>
              <w:right w:w="85" w:type="dxa"/>
            </w:tcMar>
          </w:tcPr>
          <w:p w14:paraId="76762D20" w14:textId="77777777" w:rsidR="00B259A8" w:rsidRPr="0072192C" w:rsidRDefault="00B259A8" w:rsidP="00F16E23">
            <w:pPr>
              <w:pStyle w:val="TableText"/>
              <w:spacing w:before="40" w:after="40"/>
              <w:rPr>
                <w:szCs w:val="16"/>
              </w:rPr>
            </w:pPr>
            <w:r w:rsidRPr="0072192C">
              <w:rPr>
                <w:rFonts w:eastAsia="Calibri"/>
                <w:szCs w:val="16"/>
              </w:rPr>
              <w:t>2.G.3.a</w:t>
            </w:r>
          </w:p>
        </w:tc>
        <w:tc>
          <w:tcPr>
            <w:tcW w:w="3062" w:type="dxa"/>
            <w:shd w:val="clear" w:color="auto" w:fill="FFFFFF"/>
            <w:tcMar>
              <w:top w:w="0" w:type="dxa"/>
              <w:left w:w="85" w:type="dxa"/>
              <w:bottom w:w="0" w:type="dxa"/>
              <w:right w:w="85" w:type="dxa"/>
            </w:tcMar>
          </w:tcPr>
          <w:p w14:paraId="2EAE14DE" w14:textId="77777777" w:rsidR="00B259A8" w:rsidRPr="0072192C" w:rsidRDefault="00B259A8" w:rsidP="00F16E23">
            <w:pPr>
              <w:pStyle w:val="TableText"/>
              <w:spacing w:before="40" w:after="40"/>
              <w:rPr>
                <w:szCs w:val="16"/>
              </w:rPr>
            </w:pPr>
            <w:r w:rsidRPr="0072192C">
              <w:rPr>
                <w:rFonts w:eastAsia="Calibri"/>
                <w:szCs w:val="16"/>
              </w:rPr>
              <w:t>Medical applications</w:t>
            </w:r>
          </w:p>
        </w:tc>
        <w:tc>
          <w:tcPr>
            <w:tcW w:w="4196" w:type="dxa"/>
            <w:shd w:val="clear" w:color="auto" w:fill="FFFFFF"/>
            <w:tcMar>
              <w:top w:w="0" w:type="dxa"/>
              <w:left w:w="85" w:type="dxa"/>
              <w:bottom w:w="0" w:type="dxa"/>
              <w:right w:w="85" w:type="dxa"/>
            </w:tcMar>
          </w:tcPr>
          <w:p w14:paraId="67636662" w14:textId="77777777" w:rsidR="00B259A8" w:rsidRPr="0072192C" w:rsidRDefault="00B259A8" w:rsidP="00F16E23">
            <w:pPr>
              <w:pStyle w:val="TableText"/>
              <w:spacing w:before="40" w:after="40"/>
              <w:rPr>
                <w:szCs w:val="16"/>
              </w:rPr>
            </w:pPr>
            <w:r w:rsidRPr="0072192C">
              <w:rPr>
                <w:rFonts w:eastAsia="Calibri"/>
                <w:szCs w:val="16"/>
              </w:rPr>
              <w:t>Industrial – Laughing gas</w:t>
            </w:r>
          </w:p>
        </w:tc>
      </w:tr>
      <w:tr w:rsidR="00B259A8" w:rsidRPr="0072192C" w14:paraId="61B3EFC0" w14:textId="77777777" w:rsidTr="00F16E23">
        <w:tc>
          <w:tcPr>
            <w:tcW w:w="1370" w:type="dxa"/>
            <w:shd w:val="clear" w:color="auto" w:fill="FFFFFF"/>
            <w:tcMar>
              <w:top w:w="0" w:type="dxa"/>
              <w:left w:w="85" w:type="dxa"/>
              <w:bottom w:w="0" w:type="dxa"/>
              <w:right w:w="85" w:type="dxa"/>
            </w:tcMar>
          </w:tcPr>
          <w:p w14:paraId="3523AC55" w14:textId="77777777" w:rsidR="00B259A8" w:rsidRPr="0072192C" w:rsidRDefault="00B259A8" w:rsidP="00F16E23">
            <w:pPr>
              <w:pStyle w:val="TableText"/>
              <w:spacing w:before="40" w:after="40"/>
              <w:rPr>
                <w:szCs w:val="16"/>
              </w:rPr>
            </w:pPr>
            <w:r w:rsidRPr="0072192C">
              <w:rPr>
                <w:rFonts w:eastAsia="Calibri"/>
                <w:szCs w:val="16"/>
              </w:rPr>
              <w:t>3.A</w:t>
            </w:r>
          </w:p>
        </w:tc>
        <w:tc>
          <w:tcPr>
            <w:tcW w:w="3062" w:type="dxa"/>
            <w:shd w:val="clear" w:color="auto" w:fill="FFFFFF"/>
            <w:tcMar>
              <w:top w:w="0" w:type="dxa"/>
              <w:left w:w="85" w:type="dxa"/>
              <w:bottom w:w="0" w:type="dxa"/>
              <w:right w:w="85" w:type="dxa"/>
            </w:tcMar>
          </w:tcPr>
          <w:p w14:paraId="34971AA9" w14:textId="77777777" w:rsidR="00B259A8" w:rsidRPr="0072192C" w:rsidRDefault="00B259A8" w:rsidP="00F16E23">
            <w:pPr>
              <w:pStyle w:val="TableText"/>
              <w:spacing w:before="40" w:after="40"/>
              <w:rPr>
                <w:szCs w:val="16"/>
              </w:rPr>
            </w:pPr>
            <w:r w:rsidRPr="0072192C">
              <w:rPr>
                <w:rFonts w:eastAsia="Calibri"/>
                <w:szCs w:val="16"/>
              </w:rPr>
              <w:t>Enteric fermentation</w:t>
            </w:r>
          </w:p>
        </w:tc>
        <w:tc>
          <w:tcPr>
            <w:tcW w:w="4196" w:type="dxa"/>
            <w:shd w:val="clear" w:color="auto" w:fill="FFFFFF"/>
            <w:tcMar>
              <w:top w:w="0" w:type="dxa"/>
              <w:left w:w="85" w:type="dxa"/>
              <w:bottom w:w="0" w:type="dxa"/>
              <w:right w:w="85" w:type="dxa"/>
            </w:tcMar>
          </w:tcPr>
          <w:p w14:paraId="23E6A0CF" w14:textId="77777777" w:rsidR="00B259A8" w:rsidRPr="0072192C" w:rsidRDefault="00B259A8" w:rsidP="00F16E23">
            <w:pPr>
              <w:pStyle w:val="TableText"/>
              <w:spacing w:before="40" w:after="40"/>
              <w:rPr>
                <w:szCs w:val="16"/>
              </w:rPr>
            </w:pPr>
            <w:r w:rsidRPr="0072192C">
              <w:rPr>
                <w:rFonts w:eastAsia="Calibri"/>
                <w:szCs w:val="16"/>
              </w:rPr>
              <w:t>Agriculture – Digestive systems of livestock</w:t>
            </w:r>
          </w:p>
        </w:tc>
      </w:tr>
      <w:tr w:rsidR="00B259A8" w:rsidRPr="0072192C" w14:paraId="5DF8EC96" w14:textId="77777777" w:rsidTr="00F16E23">
        <w:tc>
          <w:tcPr>
            <w:tcW w:w="1370" w:type="dxa"/>
            <w:shd w:val="clear" w:color="auto" w:fill="FFFFFF"/>
            <w:tcMar>
              <w:top w:w="0" w:type="dxa"/>
              <w:left w:w="85" w:type="dxa"/>
              <w:bottom w:w="0" w:type="dxa"/>
              <w:right w:w="85" w:type="dxa"/>
            </w:tcMar>
          </w:tcPr>
          <w:p w14:paraId="4F018EB0" w14:textId="77777777" w:rsidR="00B259A8" w:rsidRPr="0072192C" w:rsidRDefault="00B259A8" w:rsidP="00F16E23">
            <w:pPr>
              <w:pStyle w:val="TableText"/>
              <w:spacing w:before="40" w:after="40"/>
              <w:rPr>
                <w:szCs w:val="16"/>
              </w:rPr>
            </w:pPr>
            <w:r w:rsidRPr="0072192C">
              <w:rPr>
                <w:rFonts w:eastAsia="Calibri"/>
                <w:szCs w:val="16"/>
              </w:rPr>
              <w:t>3.A.3</w:t>
            </w:r>
          </w:p>
        </w:tc>
        <w:tc>
          <w:tcPr>
            <w:tcW w:w="3062" w:type="dxa"/>
            <w:shd w:val="clear" w:color="auto" w:fill="FFFFFF"/>
            <w:tcMar>
              <w:top w:w="0" w:type="dxa"/>
              <w:left w:w="85" w:type="dxa"/>
              <w:bottom w:w="0" w:type="dxa"/>
              <w:right w:w="85" w:type="dxa"/>
            </w:tcMar>
          </w:tcPr>
          <w:p w14:paraId="09CBCC09" w14:textId="77777777" w:rsidR="00B259A8" w:rsidRPr="0072192C" w:rsidRDefault="00B259A8" w:rsidP="00F16E23">
            <w:pPr>
              <w:pStyle w:val="TableText"/>
              <w:spacing w:before="40" w:after="40"/>
              <w:rPr>
                <w:szCs w:val="16"/>
              </w:rPr>
            </w:pPr>
            <w:r w:rsidRPr="0072192C">
              <w:rPr>
                <w:rFonts w:eastAsia="Calibri"/>
                <w:szCs w:val="16"/>
              </w:rPr>
              <w:t>Swine</w:t>
            </w:r>
          </w:p>
        </w:tc>
        <w:tc>
          <w:tcPr>
            <w:tcW w:w="4196" w:type="dxa"/>
            <w:shd w:val="clear" w:color="auto" w:fill="FFFFFF"/>
            <w:tcMar>
              <w:top w:w="0" w:type="dxa"/>
              <w:left w:w="85" w:type="dxa"/>
              <w:bottom w:w="0" w:type="dxa"/>
              <w:right w:w="85" w:type="dxa"/>
            </w:tcMar>
          </w:tcPr>
          <w:p w14:paraId="6A5F1D6E" w14:textId="77777777" w:rsidR="00B259A8" w:rsidRPr="0072192C" w:rsidRDefault="00B259A8" w:rsidP="00F16E23">
            <w:pPr>
              <w:pStyle w:val="TableText"/>
              <w:spacing w:before="40" w:after="40"/>
              <w:rPr>
                <w:szCs w:val="16"/>
              </w:rPr>
            </w:pPr>
            <w:r w:rsidRPr="0072192C">
              <w:rPr>
                <w:rFonts w:eastAsia="Calibri"/>
                <w:szCs w:val="16"/>
              </w:rPr>
              <w:t>Agriculture – Digestive systems of pigs</w:t>
            </w:r>
          </w:p>
        </w:tc>
      </w:tr>
      <w:tr w:rsidR="00B259A8" w:rsidRPr="0072192C" w14:paraId="35E17AF5" w14:textId="77777777" w:rsidTr="00F16E23">
        <w:tc>
          <w:tcPr>
            <w:tcW w:w="1370" w:type="dxa"/>
            <w:shd w:val="clear" w:color="auto" w:fill="FFFFFF"/>
            <w:tcMar>
              <w:top w:w="0" w:type="dxa"/>
              <w:left w:w="85" w:type="dxa"/>
              <w:bottom w:w="0" w:type="dxa"/>
              <w:right w:w="85" w:type="dxa"/>
            </w:tcMar>
          </w:tcPr>
          <w:p w14:paraId="3199185A" w14:textId="77777777" w:rsidR="00B259A8" w:rsidRPr="0072192C" w:rsidRDefault="00B259A8" w:rsidP="00F16E23">
            <w:pPr>
              <w:pStyle w:val="TableText"/>
              <w:spacing w:before="40" w:after="40"/>
              <w:rPr>
                <w:szCs w:val="16"/>
              </w:rPr>
            </w:pPr>
            <w:r w:rsidRPr="0072192C">
              <w:rPr>
                <w:rFonts w:eastAsia="Calibri"/>
                <w:szCs w:val="16"/>
              </w:rPr>
              <w:t>3.B</w:t>
            </w:r>
          </w:p>
        </w:tc>
        <w:tc>
          <w:tcPr>
            <w:tcW w:w="3062" w:type="dxa"/>
            <w:shd w:val="clear" w:color="auto" w:fill="FFFFFF"/>
            <w:tcMar>
              <w:top w:w="0" w:type="dxa"/>
              <w:left w:w="85" w:type="dxa"/>
              <w:bottom w:w="0" w:type="dxa"/>
              <w:right w:w="85" w:type="dxa"/>
            </w:tcMar>
          </w:tcPr>
          <w:p w14:paraId="5947F0B6" w14:textId="77777777" w:rsidR="00B259A8" w:rsidRPr="0072192C" w:rsidRDefault="00B259A8" w:rsidP="00F16E23">
            <w:pPr>
              <w:pStyle w:val="TableText"/>
              <w:spacing w:before="40" w:after="40"/>
              <w:rPr>
                <w:szCs w:val="16"/>
              </w:rPr>
            </w:pPr>
            <w:r w:rsidRPr="0072192C">
              <w:rPr>
                <w:rFonts w:eastAsia="Calibri"/>
                <w:szCs w:val="16"/>
              </w:rPr>
              <w:t>Manure management</w:t>
            </w:r>
          </w:p>
        </w:tc>
        <w:tc>
          <w:tcPr>
            <w:tcW w:w="4196" w:type="dxa"/>
            <w:shd w:val="clear" w:color="auto" w:fill="FFFFFF"/>
            <w:tcMar>
              <w:top w:w="0" w:type="dxa"/>
              <w:left w:w="85" w:type="dxa"/>
              <w:bottom w:w="0" w:type="dxa"/>
              <w:right w:w="85" w:type="dxa"/>
            </w:tcMar>
          </w:tcPr>
          <w:p w14:paraId="37EA62EA" w14:textId="77777777" w:rsidR="00B259A8" w:rsidRPr="0072192C" w:rsidRDefault="00B259A8" w:rsidP="00F16E23">
            <w:pPr>
              <w:pStyle w:val="TableText"/>
              <w:spacing w:before="40" w:after="40"/>
              <w:rPr>
                <w:szCs w:val="16"/>
              </w:rPr>
            </w:pPr>
            <w:r w:rsidRPr="0072192C">
              <w:rPr>
                <w:rFonts w:eastAsia="Calibri"/>
                <w:szCs w:val="16"/>
              </w:rPr>
              <w:t>Agriculture – Manure from livestock</w:t>
            </w:r>
          </w:p>
        </w:tc>
      </w:tr>
      <w:tr w:rsidR="00B259A8" w:rsidRPr="0072192C" w14:paraId="4E960626" w14:textId="77777777" w:rsidTr="00F16E23">
        <w:tc>
          <w:tcPr>
            <w:tcW w:w="1370" w:type="dxa"/>
            <w:shd w:val="clear" w:color="auto" w:fill="FFFFFF"/>
            <w:tcMar>
              <w:top w:w="0" w:type="dxa"/>
              <w:left w:w="85" w:type="dxa"/>
              <w:bottom w:w="0" w:type="dxa"/>
              <w:right w:w="85" w:type="dxa"/>
            </w:tcMar>
          </w:tcPr>
          <w:p w14:paraId="2636DB94" w14:textId="77777777" w:rsidR="00B259A8" w:rsidRPr="0072192C" w:rsidRDefault="00B259A8" w:rsidP="00F16E23">
            <w:pPr>
              <w:pStyle w:val="TableText"/>
              <w:spacing w:before="40" w:after="40"/>
              <w:rPr>
                <w:szCs w:val="16"/>
              </w:rPr>
            </w:pPr>
            <w:r w:rsidRPr="0072192C">
              <w:rPr>
                <w:rFonts w:eastAsia="Calibri"/>
                <w:szCs w:val="16"/>
              </w:rPr>
              <w:t>3.B.3</w:t>
            </w:r>
          </w:p>
        </w:tc>
        <w:tc>
          <w:tcPr>
            <w:tcW w:w="3062" w:type="dxa"/>
            <w:shd w:val="clear" w:color="auto" w:fill="FFFFFF"/>
            <w:tcMar>
              <w:top w:w="0" w:type="dxa"/>
              <w:left w:w="85" w:type="dxa"/>
              <w:bottom w:w="0" w:type="dxa"/>
              <w:right w:w="85" w:type="dxa"/>
            </w:tcMar>
          </w:tcPr>
          <w:p w14:paraId="219276B0" w14:textId="77777777" w:rsidR="00B259A8" w:rsidRPr="0072192C" w:rsidRDefault="00B259A8" w:rsidP="00F16E23">
            <w:pPr>
              <w:pStyle w:val="TableText"/>
              <w:spacing w:before="40" w:after="40"/>
              <w:rPr>
                <w:szCs w:val="16"/>
              </w:rPr>
            </w:pPr>
            <w:r w:rsidRPr="0072192C">
              <w:rPr>
                <w:rFonts w:eastAsia="Calibri"/>
                <w:szCs w:val="16"/>
              </w:rPr>
              <w:t>Manure management – methane emissions – Swine</w:t>
            </w:r>
          </w:p>
        </w:tc>
        <w:tc>
          <w:tcPr>
            <w:tcW w:w="4196" w:type="dxa"/>
            <w:shd w:val="clear" w:color="auto" w:fill="FFFFFF"/>
            <w:tcMar>
              <w:top w:w="0" w:type="dxa"/>
              <w:left w:w="85" w:type="dxa"/>
              <w:bottom w:w="0" w:type="dxa"/>
              <w:right w:w="85" w:type="dxa"/>
            </w:tcMar>
          </w:tcPr>
          <w:p w14:paraId="0AE00114" w14:textId="77777777" w:rsidR="00B259A8" w:rsidRPr="0072192C" w:rsidRDefault="00B259A8" w:rsidP="00F16E23">
            <w:pPr>
              <w:pStyle w:val="TableText"/>
              <w:spacing w:before="40" w:after="40"/>
              <w:rPr>
                <w:szCs w:val="16"/>
              </w:rPr>
            </w:pPr>
            <w:r w:rsidRPr="0072192C">
              <w:rPr>
                <w:rFonts w:eastAsia="Calibri"/>
                <w:szCs w:val="16"/>
              </w:rPr>
              <w:t>Agriculture – Manure from pigs</w:t>
            </w:r>
          </w:p>
        </w:tc>
      </w:tr>
      <w:tr w:rsidR="00B259A8" w:rsidRPr="0072192C" w14:paraId="7F83CB73" w14:textId="77777777" w:rsidTr="00F16E23">
        <w:tc>
          <w:tcPr>
            <w:tcW w:w="1370" w:type="dxa"/>
            <w:shd w:val="clear" w:color="auto" w:fill="FFFFFF"/>
            <w:tcMar>
              <w:top w:w="0" w:type="dxa"/>
              <w:left w:w="85" w:type="dxa"/>
              <w:bottom w:w="0" w:type="dxa"/>
              <w:right w:w="85" w:type="dxa"/>
            </w:tcMar>
          </w:tcPr>
          <w:p w14:paraId="6C76CE3F" w14:textId="77777777" w:rsidR="00B259A8" w:rsidRPr="0072192C" w:rsidRDefault="00B259A8" w:rsidP="00F16E23">
            <w:pPr>
              <w:pStyle w:val="TableText"/>
              <w:spacing w:before="40" w:after="40"/>
              <w:rPr>
                <w:szCs w:val="16"/>
              </w:rPr>
            </w:pPr>
            <w:r w:rsidRPr="0072192C">
              <w:rPr>
                <w:rFonts w:eastAsia="Calibri"/>
                <w:szCs w:val="16"/>
              </w:rPr>
              <w:t>5.A</w:t>
            </w:r>
          </w:p>
        </w:tc>
        <w:tc>
          <w:tcPr>
            <w:tcW w:w="3062" w:type="dxa"/>
            <w:shd w:val="clear" w:color="auto" w:fill="FFFFFF"/>
            <w:tcMar>
              <w:top w:w="0" w:type="dxa"/>
              <w:left w:w="85" w:type="dxa"/>
              <w:bottom w:w="0" w:type="dxa"/>
              <w:right w:w="85" w:type="dxa"/>
            </w:tcMar>
          </w:tcPr>
          <w:p w14:paraId="24D33D0D" w14:textId="77777777" w:rsidR="00B259A8" w:rsidRPr="0072192C" w:rsidRDefault="00B259A8" w:rsidP="00F16E23">
            <w:pPr>
              <w:pStyle w:val="TableText"/>
              <w:spacing w:before="40" w:after="40"/>
              <w:rPr>
                <w:szCs w:val="16"/>
              </w:rPr>
            </w:pPr>
            <w:r w:rsidRPr="0072192C">
              <w:rPr>
                <w:rFonts w:eastAsia="Calibri"/>
                <w:szCs w:val="16"/>
              </w:rPr>
              <w:t>Solid waste disposal</w:t>
            </w:r>
          </w:p>
        </w:tc>
        <w:tc>
          <w:tcPr>
            <w:tcW w:w="4196" w:type="dxa"/>
            <w:shd w:val="clear" w:color="auto" w:fill="FFFFFF"/>
            <w:tcMar>
              <w:top w:w="0" w:type="dxa"/>
              <w:left w:w="85" w:type="dxa"/>
              <w:bottom w:w="0" w:type="dxa"/>
              <w:right w:w="85" w:type="dxa"/>
            </w:tcMar>
          </w:tcPr>
          <w:p w14:paraId="56D9E06E" w14:textId="77777777" w:rsidR="00B259A8" w:rsidRPr="0072192C" w:rsidRDefault="00B259A8" w:rsidP="00F16E23">
            <w:pPr>
              <w:pStyle w:val="TableText"/>
              <w:spacing w:before="40" w:after="40"/>
              <w:rPr>
                <w:szCs w:val="16"/>
              </w:rPr>
            </w:pPr>
            <w:r w:rsidRPr="0072192C">
              <w:rPr>
                <w:rFonts w:eastAsia="Calibri"/>
                <w:szCs w:val="16"/>
              </w:rPr>
              <w:t>Waste – Buried</w:t>
            </w:r>
          </w:p>
        </w:tc>
      </w:tr>
      <w:tr w:rsidR="00B259A8" w:rsidRPr="0072192C" w14:paraId="7AFDA175" w14:textId="77777777" w:rsidTr="00F16E23">
        <w:tc>
          <w:tcPr>
            <w:tcW w:w="1370" w:type="dxa"/>
            <w:shd w:val="clear" w:color="auto" w:fill="FFFFFF"/>
            <w:tcMar>
              <w:top w:w="0" w:type="dxa"/>
              <w:left w:w="85" w:type="dxa"/>
              <w:bottom w:w="0" w:type="dxa"/>
              <w:right w:w="85" w:type="dxa"/>
            </w:tcMar>
          </w:tcPr>
          <w:p w14:paraId="7E2105C4" w14:textId="77777777" w:rsidR="00B259A8" w:rsidRPr="0072192C" w:rsidRDefault="00B259A8" w:rsidP="00F16E23">
            <w:pPr>
              <w:pStyle w:val="TableText"/>
              <w:spacing w:before="40" w:after="40"/>
              <w:rPr>
                <w:szCs w:val="16"/>
              </w:rPr>
            </w:pPr>
            <w:r w:rsidRPr="0072192C">
              <w:rPr>
                <w:rFonts w:eastAsia="Calibri"/>
                <w:szCs w:val="16"/>
              </w:rPr>
              <w:t>5.A.3</w:t>
            </w:r>
          </w:p>
        </w:tc>
        <w:tc>
          <w:tcPr>
            <w:tcW w:w="3062" w:type="dxa"/>
            <w:shd w:val="clear" w:color="auto" w:fill="FFFFFF"/>
            <w:tcMar>
              <w:top w:w="0" w:type="dxa"/>
              <w:left w:w="85" w:type="dxa"/>
              <w:bottom w:w="0" w:type="dxa"/>
              <w:right w:w="85" w:type="dxa"/>
            </w:tcMar>
          </w:tcPr>
          <w:p w14:paraId="53E72E4E" w14:textId="77777777" w:rsidR="00B259A8" w:rsidRPr="0072192C" w:rsidRDefault="00B259A8" w:rsidP="00F16E23">
            <w:pPr>
              <w:pStyle w:val="TableText"/>
              <w:spacing w:before="40" w:after="40"/>
              <w:rPr>
                <w:szCs w:val="16"/>
              </w:rPr>
            </w:pPr>
            <w:r w:rsidRPr="0072192C">
              <w:rPr>
                <w:rFonts w:eastAsia="Calibri"/>
                <w:szCs w:val="16"/>
              </w:rPr>
              <w:t>Solid waste disposal – Uncategorised waste disposal sites</w:t>
            </w:r>
          </w:p>
        </w:tc>
        <w:tc>
          <w:tcPr>
            <w:tcW w:w="4196" w:type="dxa"/>
            <w:shd w:val="clear" w:color="auto" w:fill="FFFFFF"/>
            <w:tcMar>
              <w:top w:w="0" w:type="dxa"/>
              <w:left w:w="85" w:type="dxa"/>
              <w:bottom w:w="0" w:type="dxa"/>
              <w:right w:w="85" w:type="dxa"/>
            </w:tcMar>
          </w:tcPr>
          <w:p w14:paraId="66E85B26" w14:textId="77777777" w:rsidR="00B259A8" w:rsidRPr="0072192C" w:rsidRDefault="00B259A8" w:rsidP="00F16E23">
            <w:pPr>
              <w:pStyle w:val="TableText"/>
              <w:spacing w:before="40" w:after="40"/>
              <w:rPr>
                <w:szCs w:val="16"/>
              </w:rPr>
            </w:pPr>
            <w:r w:rsidRPr="0072192C">
              <w:rPr>
                <w:rFonts w:eastAsia="Calibri"/>
                <w:szCs w:val="16"/>
              </w:rPr>
              <w:t>Waste – Buried</w:t>
            </w:r>
          </w:p>
        </w:tc>
      </w:tr>
      <w:tr w:rsidR="00B259A8" w:rsidRPr="0072192C" w14:paraId="7B2DCAD1" w14:textId="77777777" w:rsidTr="00F16E23">
        <w:tc>
          <w:tcPr>
            <w:tcW w:w="1370" w:type="dxa"/>
            <w:shd w:val="clear" w:color="auto" w:fill="FFFFFF"/>
            <w:tcMar>
              <w:top w:w="0" w:type="dxa"/>
              <w:left w:w="85" w:type="dxa"/>
              <w:bottom w:w="0" w:type="dxa"/>
              <w:right w:w="85" w:type="dxa"/>
            </w:tcMar>
          </w:tcPr>
          <w:p w14:paraId="6F2811D8" w14:textId="77777777" w:rsidR="00B259A8" w:rsidRPr="0072192C" w:rsidRDefault="00B259A8" w:rsidP="00F16E23">
            <w:pPr>
              <w:pStyle w:val="TableText"/>
              <w:spacing w:before="40" w:after="40"/>
              <w:rPr>
                <w:szCs w:val="16"/>
              </w:rPr>
            </w:pPr>
            <w:r w:rsidRPr="0072192C">
              <w:rPr>
                <w:rFonts w:eastAsia="Calibri"/>
                <w:szCs w:val="16"/>
              </w:rPr>
              <w:t>5.C</w:t>
            </w:r>
          </w:p>
        </w:tc>
        <w:tc>
          <w:tcPr>
            <w:tcW w:w="3062" w:type="dxa"/>
            <w:shd w:val="clear" w:color="auto" w:fill="FFFFFF"/>
            <w:tcMar>
              <w:top w:w="0" w:type="dxa"/>
              <w:left w:w="85" w:type="dxa"/>
              <w:bottom w:w="0" w:type="dxa"/>
              <w:right w:w="85" w:type="dxa"/>
            </w:tcMar>
          </w:tcPr>
          <w:p w14:paraId="6F416D8C" w14:textId="77777777" w:rsidR="00B259A8" w:rsidRPr="0072192C" w:rsidRDefault="00B259A8" w:rsidP="00F16E23">
            <w:pPr>
              <w:pStyle w:val="TableText"/>
              <w:spacing w:before="40" w:after="40"/>
              <w:rPr>
                <w:szCs w:val="16"/>
              </w:rPr>
            </w:pPr>
            <w:r w:rsidRPr="0072192C">
              <w:rPr>
                <w:rFonts w:eastAsia="Calibri"/>
                <w:szCs w:val="16"/>
              </w:rPr>
              <w:t>Incineration and open burning of waste</w:t>
            </w:r>
          </w:p>
        </w:tc>
        <w:tc>
          <w:tcPr>
            <w:tcW w:w="4196" w:type="dxa"/>
            <w:shd w:val="clear" w:color="auto" w:fill="FFFFFF"/>
            <w:tcMar>
              <w:top w:w="0" w:type="dxa"/>
              <w:left w:w="85" w:type="dxa"/>
              <w:bottom w:w="0" w:type="dxa"/>
              <w:right w:w="85" w:type="dxa"/>
            </w:tcMar>
          </w:tcPr>
          <w:p w14:paraId="3C148B39" w14:textId="77777777" w:rsidR="00B259A8" w:rsidRPr="0072192C" w:rsidRDefault="00B259A8" w:rsidP="00F16E23">
            <w:pPr>
              <w:pStyle w:val="TableText"/>
              <w:spacing w:before="40" w:after="40"/>
              <w:rPr>
                <w:szCs w:val="16"/>
              </w:rPr>
            </w:pPr>
            <w:r w:rsidRPr="0072192C">
              <w:rPr>
                <w:rFonts w:eastAsia="Calibri"/>
                <w:szCs w:val="16"/>
              </w:rPr>
              <w:t>Waste – Burned</w:t>
            </w:r>
          </w:p>
        </w:tc>
      </w:tr>
      <w:tr w:rsidR="00B259A8" w:rsidRPr="0072192C" w14:paraId="7382C839" w14:textId="77777777" w:rsidTr="00F16E23">
        <w:tc>
          <w:tcPr>
            <w:tcW w:w="1370" w:type="dxa"/>
            <w:shd w:val="clear" w:color="auto" w:fill="FFFFFF"/>
            <w:tcMar>
              <w:top w:w="0" w:type="dxa"/>
              <w:left w:w="85" w:type="dxa"/>
              <w:bottom w:w="0" w:type="dxa"/>
              <w:right w:w="85" w:type="dxa"/>
            </w:tcMar>
          </w:tcPr>
          <w:p w14:paraId="26CAAE36" w14:textId="77777777" w:rsidR="00B259A8" w:rsidRPr="0072192C" w:rsidRDefault="00B259A8" w:rsidP="00F16E23">
            <w:pPr>
              <w:pStyle w:val="TableText"/>
              <w:spacing w:before="40" w:after="40"/>
              <w:rPr>
                <w:szCs w:val="16"/>
              </w:rPr>
            </w:pPr>
            <w:r w:rsidRPr="0072192C">
              <w:rPr>
                <w:rFonts w:eastAsia="Calibri"/>
                <w:szCs w:val="16"/>
              </w:rPr>
              <w:t>5.C.2</w:t>
            </w:r>
          </w:p>
        </w:tc>
        <w:tc>
          <w:tcPr>
            <w:tcW w:w="3062" w:type="dxa"/>
            <w:shd w:val="clear" w:color="auto" w:fill="FFFFFF"/>
            <w:tcMar>
              <w:top w:w="0" w:type="dxa"/>
              <w:left w:w="85" w:type="dxa"/>
              <w:bottom w:w="0" w:type="dxa"/>
              <w:right w:w="85" w:type="dxa"/>
            </w:tcMar>
          </w:tcPr>
          <w:p w14:paraId="488A11E0" w14:textId="77777777" w:rsidR="00B259A8" w:rsidRPr="0072192C" w:rsidRDefault="00B259A8" w:rsidP="00F16E23">
            <w:pPr>
              <w:pStyle w:val="TableText"/>
              <w:spacing w:before="40" w:after="40"/>
              <w:rPr>
                <w:szCs w:val="16"/>
              </w:rPr>
            </w:pPr>
            <w:r w:rsidRPr="0072192C">
              <w:rPr>
                <w:rFonts w:eastAsia="Calibri"/>
                <w:szCs w:val="16"/>
              </w:rPr>
              <w:t>Open burning of waste</w:t>
            </w:r>
          </w:p>
        </w:tc>
        <w:tc>
          <w:tcPr>
            <w:tcW w:w="4196" w:type="dxa"/>
            <w:shd w:val="clear" w:color="auto" w:fill="FFFFFF"/>
            <w:tcMar>
              <w:top w:w="0" w:type="dxa"/>
              <w:left w:w="85" w:type="dxa"/>
              <w:bottom w:w="0" w:type="dxa"/>
              <w:right w:w="85" w:type="dxa"/>
            </w:tcMar>
          </w:tcPr>
          <w:p w14:paraId="73DCAA6B" w14:textId="77777777" w:rsidR="00B259A8" w:rsidRPr="0072192C" w:rsidRDefault="00B259A8" w:rsidP="00F16E23">
            <w:pPr>
              <w:pStyle w:val="TableText"/>
              <w:spacing w:before="40" w:after="40"/>
              <w:rPr>
                <w:szCs w:val="16"/>
              </w:rPr>
            </w:pPr>
            <w:r w:rsidRPr="0072192C">
              <w:rPr>
                <w:rFonts w:eastAsia="Calibri"/>
                <w:szCs w:val="16"/>
              </w:rPr>
              <w:t>Waste – Burned</w:t>
            </w:r>
          </w:p>
        </w:tc>
      </w:tr>
      <w:tr w:rsidR="00B259A8" w:rsidRPr="0072192C" w14:paraId="37666027" w14:textId="77777777" w:rsidTr="00F16E23">
        <w:tc>
          <w:tcPr>
            <w:tcW w:w="1370" w:type="dxa"/>
            <w:shd w:val="clear" w:color="auto" w:fill="FFFFFF"/>
            <w:tcMar>
              <w:top w:w="0" w:type="dxa"/>
              <w:left w:w="85" w:type="dxa"/>
              <w:bottom w:w="0" w:type="dxa"/>
              <w:right w:w="85" w:type="dxa"/>
            </w:tcMar>
          </w:tcPr>
          <w:p w14:paraId="7B482E8F" w14:textId="77777777" w:rsidR="00B259A8" w:rsidRPr="0072192C" w:rsidRDefault="00B259A8" w:rsidP="00F16E23">
            <w:pPr>
              <w:pStyle w:val="TableText"/>
              <w:spacing w:before="40" w:after="40"/>
              <w:rPr>
                <w:szCs w:val="16"/>
              </w:rPr>
            </w:pPr>
            <w:r w:rsidRPr="0072192C">
              <w:rPr>
                <w:rFonts w:eastAsia="Calibri"/>
                <w:szCs w:val="16"/>
              </w:rPr>
              <w:t>5.D</w:t>
            </w:r>
          </w:p>
        </w:tc>
        <w:tc>
          <w:tcPr>
            <w:tcW w:w="3062" w:type="dxa"/>
            <w:shd w:val="clear" w:color="auto" w:fill="FFFFFF"/>
            <w:tcMar>
              <w:top w:w="0" w:type="dxa"/>
              <w:left w:w="85" w:type="dxa"/>
              <w:bottom w:w="0" w:type="dxa"/>
              <w:right w:w="85" w:type="dxa"/>
            </w:tcMar>
          </w:tcPr>
          <w:p w14:paraId="1B2F2DE5" w14:textId="77777777" w:rsidR="00B259A8" w:rsidRPr="0072192C" w:rsidRDefault="00B259A8" w:rsidP="00F16E23">
            <w:pPr>
              <w:pStyle w:val="TableText"/>
              <w:spacing w:before="40" w:after="40"/>
              <w:rPr>
                <w:szCs w:val="16"/>
              </w:rPr>
            </w:pPr>
            <w:r w:rsidRPr="0072192C">
              <w:rPr>
                <w:rFonts w:eastAsia="Calibri"/>
                <w:szCs w:val="16"/>
              </w:rPr>
              <w:t>Wastewater treatment and discharge</w:t>
            </w:r>
          </w:p>
        </w:tc>
        <w:tc>
          <w:tcPr>
            <w:tcW w:w="4196" w:type="dxa"/>
            <w:shd w:val="clear" w:color="auto" w:fill="FFFFFF"/>
            <w:tcMar>
              <w:top w:w="0" w:type="dxa"/>
              <w:left w:w="85" w:type="dxa"/>
              <w:bottom w:w="0" w:type="dxa"/>
              <w:right w:w="85" w:type="dxa"/>
            </w:tcMar>
          </w:tcPr>
          <w:p w14:paraId="7C006D19" w14:textId="77777777" w:rsidR="00B259A8" w:rsidRPr="0072192C" w:rsidRDefault="00B259A8" w:rsidP="00F16E23">
            <w:pPr>
              <w:pStyle w:val="TableText"/>
              <w:spacing w:before="40" w:after="40"/>
              <w:rPr>
                <w:szCs w:val="16"/>
              </w:rPr>
            </w:pPr>
            <w:r w:rsidRPr="0072192C">
              <w:rPr>
                <w:rFonts w:eastAsia="Calibri"/>
                <w:szCs w:val="16"/>
              </w:rPr>
              <w:t>Waste – Wastewater</w:t>
            </w:r>
          </w:p>
        </w:tc>
      </w:tr>
      <w:tr w:rsidR="00B259A8" w:rsidRPr="0072192C" w14:paraId="4605D6C8" w14:textId="77777777" w:rsidTr="00F16E23">
        <w:tc>
          <w:tcPr>
            <w:tcW w:w="1370" w:type="dxa"/>
            <w:shd w:val="clear" w:color="auto" w:fill="FFFFFF"/>
            <w:tcMar>
              <w:top w:w="0" w:type="dxa"/>
              <w:left w:w="85" w:type="dxa"/>
              <w:bottom w:w="0" w:type="dxa"/>
              <w:right w:w="85" w:type="dxa"/>
            </w:tcMar>
          </w:tcPr>
          <w:p w14:paraId="6D838C9C" w14:textId="77777777" w:rsidR="00B259A8" w:rsidRPr="0072192C" w:rsidRDefault="00B259A8" w:rsidP="00F16E23">
            <w:pPr>
              <w:pStyle w:val="TableText"/>
              <w:spacing w:before="40" w:after="40"/>
              <w:rPr>
                <w:szCs w:val="16"/>
              </w:rPr>
            </w:pPr>
            <w:r w:rsidRPr="0072192C">
              <w:rPr>
                <w:rFonts w:eastAsia="Calibri"/>
                <w:szCs w:val="16"/>
              </w:rPr>
              <w:t>5.D.1</w:t>
            </w:r>
          </w:p>
        </w:tc>
        <w:tc>
          <w:tcPr>
            <w:tcW w:w="3062" w:type="dxa"/>
            <w:shd w:val="clear" w:color="auto" w:fill="FFFFFF"/>
            <w:tcMar>
              <w:top w:w="0" w:type="dxa"/>
              <w:left w:w="85" w:type="dxa"/>
              <w:bottom w:w="0" w:type="dxa"/>
              <w:right w:w="85" w:type="dxa"/>
            </w:tcMar>
          </w:tcPr>
          <w:p w14:paraId="6AB631B5" w14:textId="77777777" w:rsidR="00B259A8" w:rsidRPr="0072192C" w:rsidRDefault="00B259A8" w:rsidP="00F16E23">
            <w:pPr>
              <w:pStyle w:val="TableText"/>
              <w:spacing w:before="40" w:after="40"/>
              <w:rPr>
                <w:szCs w:val="16"/>
              </w:rPr>
            </w:pPr>
            <w:r w:rsidRPr="0072192C">
              <w:rPr>
                <w:rFonts w:eastAsia="Calibri"/>
                <w:szCs w:val="16"/>
              </w:rPr>
              <w:t>Domestic wastewater</w:t>
            </w:r>
          </w:p>
        </w:tc>
        <w:tc>
          <w:tcPr>
            <w:tcW w:w="4196" w:type="dxa"/>
            <w:shd w:val="clear" w:color="auto" w:fill="FFFFFF"/>
            <w:tcMar>
              <w:top w:w="0" w:type="dxa"/>
              <w:left w:w="85" w:type="dxa"/>
              <w:bottom w:w="0" w:type="dxa"/>
              <w:right w:w="85" w:type="dxa"/>
            </w:tcMar>
          </w:tcPr>
          <w:p w14:paraId="6A9DE277" w14:textId="77777777" w:rsidR="00B259A8" w:rsidRPr="0072192C" w:rsidRDefault="00B259A8" w:rsidP="00F16E23">
            <w:pPr>
              <w:pStyle w:val="TableText"/>
              <w:spacing w:before="40" w:after="40"/>
              <w:rPr>
                <w:szCs w:val="16"/>
              </w:rPr>
            </w:pPr>
            <w:r w:rsidRPr="0072192C">
              <w:rPr>
                <w:rFonts w:eastAsia="Calibri"/>
                <w:szCs w:val="16"/>
              </w:rPr>
              <w:t>Waste – Wastewater</w:t>
            </w:r>
          </w:p>
        </w:tc>
      </w:tr>
      <w:tr w:rsidR="00B259A8" w:rsidRPr="0072192C" w14:paraId="372DA8EC" w14:textId="77777777" w:rsidTr="00F16E23">
        <w:tc>
          <w:tcPr>
            <w:tcW w:w="1370" w:type="dxa"/>
            <w:shd w:val="clear" w:color="auto" w:fill="FFFFFF"/>
            <w:tcMar>
              <w:top w:w="0" w:type="dxa"/>
              <w:left w:w="85" w:type="dxa"/>
              <w:bottom w:w="0" w:type="dxa"/>
              <w:right w:w="85" w:type="dxa"/>
            </w:tcMar>
          </w:tcPr>
          <w:p w14:paraId="690D918B" w14:textId="77777777" w:rsidR="00B259A8" w:rsidRPr="0072192C" w:rsidRDefault="00B259A8" w:rsidP="00F16E23">
            <w:pPr>
              <w:pStyle w:val="TableText"/>
              <w:spacing w:before="40" w:after="40"/>
              <w:rPr>
                <w:szCs w:val="16"/>
              </w:rPr>
            </w:pPr>
            <w:r w:rsidRPr="0072192C">
              <w:rPr>
                <w:rFonts w:eastAsia="Calibri"/>
                <w:szCs w:val="16"/>
              </w:rPr>
              <w:t>5.D.2</w:t>
            </w:r>
          </w:p>
        </w:tc>
        <w:tc>
          <w:tcPr>
            <w:tcW w:w="3062" w:type="dxa"/>
            <w:shd w:val="clear" w:color="auto" w:fill="FFFFFF"/>
            <w:tcMar>
              <w:top w:w="0" w:type="dxa"/>
              <w:left w:w="85" w:type="dxa"/>
              <w:bottom w:w="0" w:type="dxa"/>
              <w:right w:w="85" w:type="dxa"/>
            </w:tcMar>
          </w:tcPr>
          <w:p w14:paraId="489567FF" w14:textId="77777777" w:rsidR="00B259A8" w:rsidRPr="0072192C" w:rsidRDefault="00B259A8" w:rsidP="00F16E23">
            <w:pPr>
              <w:pStyle w:val="TableText"/>
              <w:spacing w:before="40" w:after="40"/>
              <w:rPr>
                <w:szCs w:val="16"/>
              </w:rPr>
            </w:pPr>
            <w:r w:rsidRPr="0072192C">
              <w:rPr>
                <w:rFonts w:eastAsia="Calibri"/>
                <w:szCs w:val="16"/>
              </w:rPr>
              <w:t>Industrial wastewater</w:t>
            </w:r>
          </w:p>
        </w:tc>
        <w:tc>
          <w:tcPr>
            <w:tcW w:w="4196" w:type="dxa"/>
            <w:shd w:val="clear" w:color="auto" w:fill="FFFFFF"/>
            <w:tcMar>
              <w:top w:w="0" w:type="dxa"/>
              <w:left w:w="85" w:type="dxa"/>
              <w:bottom w:w="0" w:type="dxa"/>
              <w:right w:w="85" w:type="dxa"/>
            </w:tcMar>
          </w:tcPr>
          <w:p w14:paraId="26C38E0F" w14:textId="77777777" w:rsidR="00B259A8" w:rsidRPr="0072192C" w:rsidRDefault="00B259A8" w:rsidP="00F16E23">
            <w:pPr>
              <w:pStyle w:val="TableText"/>
              <w:spacing w:before="40" w:after="40"/>
              <w:rPr>
                <w:szCs w:val="16"/>
              </w:rPr>
            </w:pPr>
            <w:r w:rsidRPr="0072192C">
              <w:rPr>
                <w:rFonts w:eastAsia="Calibri"/>
                <w:szCs w:val="16"/>
              </w:rPr>
              <w:t>Waste – Wastewater</w:t>
            </w:r>
          </w:p>
        </w:tc>
      </w:tr>
    </w:tbl>
    <w:p w14:paraId="6DB6268B" w14:textId="77777777" w:rsidR="00B259A8" w:rsidRPr="0072192C" w:rsidRDefault="00B259A8" w:rsidP="00B259A8">
      <w:pPr>
        <w:pStyle w:val="BodyText"/>
        <w:spacing w:before="240"/>
      </w:pPr>
      <w:r w:rsidRPr="0072192C">
        <w:t>The executive summary and chapter 2 of this National Inventory Report include comparisons between Tokelau and New Zealand’s emissions.</w:t>
      </w:r>
    </w:p>
    <w:p w14:paraId="7FF1A744" w14:textId="77777777" w:rsidR="00B259A8" w:rsidRPr="0072192C" w:rsidRDefault="00B259A8" w:rsidP="00B259A8">
      <w:pPr>
        <w:pStyle w:val="Heading3"/>
      </w:pPr>
      <w:bookmarkStart w:id="3179" w:name="emissions-reporting"/>
      <w:bookmarkEnd w:id="3169"/>
      <w:bookmarkEnd w:id="3176"/>
      <w:r w:rsidRPr="0072192C">
        <w:t>8.1.3</w:t>
      </w:r>
      <w:r w:rsidRPr="0072192C">
        <w:tab/>
        <w:t>Emissions reporting</w:t>
      </w:r>
    </w:p>
    <w:p w14:paraId="74AAD6CF" w14:textId="77777777" w:rsidR="00B259A8" w:rsidRPr="0072192C" w:rsidRDefault="00B259A8" w:rsidP="00B259A8">
      <w:pPr>
        <w:pStyle w:val="BodyText"/>
      </w:pPr>
      <w:r w:rsidRPr="0072192C">
        <w:t>Due to the small land size area, small population and absence of industry, Tokelau has a very low impact on the environment and emits very small amounts of GHGs. In relative terms, emissions have increased overall since 1990, driven by higher per capita consumption despite a declining population. Tokelau produces mainly carbon dioxide (CO</w:t>
      </w:r>
      <w:r w:rsidRPr="0072192C">
        <w:rPr>
          <w:vertAlign w:val="subscript"/>
        </w:rPr>
        <w:t>2</w:t>
      </w:r>
      <w:r w:rsidRPr="0072192C">
        <w:t>) emissions (54.5 percent) and methane (CH</w:t>
      </w:r>
      <w:r w:rsidRPr="0072192C">
        <w:rPr>
          <w:vertAlign w:val="subscript"/>
        </w:rPr>
        <w:t>4</w:t>
      </w:r>
      <w:r w:rsidRPr="0072192C">
        <w:t>) emissions (39.3 percent), followed by hydrofluorocarbons (HFCs) (5.0 percent) and nitrous oxide (N</w:t>
      </w:r>
      <w:r w:rsidRPr="0072192C">
        <w:rPr>
          <w:vertAlign w:val="subscript"/>
        </w:rPr>
        <w:t>2</w:t>
      </w:r>
      <w:r w:rsidRPr="0072192C">
        <w:t>O) emissions (1.2 percent). Emissions from HFCs largely come from the use of air conditioning.</w:t>
      </w:r>
    </w:p>
    <w:p w14:paraId="58FFADD2" w14:textId="77777777" w:rsidR="00B259A8" w:rsidRPr="0072192C" w:rsidRDefault="00B259A8" w:rsidP="00B259A8">
      <w:pPr>
        <w:pStyle w:val="BodyText"/>
      </w:pPr>
      <w:r w:rsidRPr="0072192C">
        <w:t>In 2024, Tokelau’s emissions were 4.21 kilotonnes carbon dioxide equivalent (kt CO</w:t>
      </w:r>
      <w:r w:rsidRPr="0072192C">
        <w:rPr>
          <w:vertAlign w:val="subscript"/>
        </w:rPr>
        <w:t>2</w:t>
      </w:r>
      <w:r w:rsidRPr="0072192C">
        <w:t>e), contributing around 0.006 percent to New Zealand’s gross emissions. This is below the significance threshold in accordance with paragraph 32, chapter II of the Annex to the decision 18/CMA.1 (UNFCCC, 2018b).</w:t>
      </w:r>
    </w:p>
    <w:p w14:paraId="63BC3D69" w14:textId="77777777" w:rsidR="00B259A8" w:rsidRPr="0072192C" w:rsidRDefault="00B259A8" w:rsidP="00B259A8">
      <w:pPr>
        <w:pStyle w:val="BodyText"/>
      </w:pPr>
      <w:r w:rsidRPr="0072192C">
        <w:t>Emissions from Tokelau have increased since 1990, mainly due to increases in CO</w:t>
      </w:r>
      <w:r w:rsidRPr="0072192C">
        <w:rPr>
          <w:vertAlign w:val="subscript"/>
        </w:rPr>
        <w:t>2</w:t>
      </w:r>
      <w:r w:rsidRPr="0072192C">
        <w:t xml:space="preserve"> emissions from the </w:t>
      </w:r>
      <w:r w:rsidRPr="0072192C">
        <w:rPr>
          <w:i/>
          <w:iCs/>
        </w:rPr>
        <w:t>Public electricity and heat production</w:t>
      </w:r>
      <w:r w:rsidRPr="0072192C">
        <w:t xml:space="preserve"> category (see figure 8.3.1).</w:t>
      </w:r>
    </w:p>
    <w:p w14:paraId="478CC31B" w14:textId="77777777" w:rsidR="00B259A8" w:rsidRPr="0072192C" w:rsidRDefault="00B259A8" w:rsidP="00B259A8">
      <w:pPr>
        <w:pStyle w:val="BodyText"/>
      </w:pPr>
      <w:r w:rsidRPr="0072192C">
        <w:t>The emissions in Tokelau are limited to:</w:t>
      </w:r>
    </w:p>
    <w:p w14:paraId="7E25B41A" w14:textId="77777777" w:rsidR="00B259A8" w:rsidRPr="0072192C" w:rsidRDefault="00B259A8" w:rsidP="00B259A8">
      <w:pPr>
        <w:pStyle w:val="Bullet"/>
      </w:pPr>
      <w:r w:rsidRPr="0072192C">
        <w:t>CO</w:t>
      </w:r>
      <w:r w:rsidRPr="0072192C">
        <w:rPr>
          <w:vertAlign w:val="subscript"/>
        </w:rPr>
        <w:t>2</w:t>
      </w:r>
      <w:r w:rsidRPr="0072192C">
        <w:t xml:space="preserve"> from boat engines and vehicles</w:t>
      </w:r>
    </w:p>
    <w:p w14:paraId="077B4CB9" w14:textId="77777777" w:rsidR="00B259A8" w:rsidRPr="0072192C" w:rsidRDefault="00B259A8" w:rsidP="00B259A8">
      <w:pPr>
        <w:pStyle w:val="Bullet"/>
      </w:pPr>
      <w:r w:rsidRPr="0072192C">
        <w:t>CO</w:t>
      </w:r>
      <w:r w:rsidRPr="0072192C">
        <w:rPr>
          <w:vertAlign w:val="subscript"/>
        </w:rPr>
        <w:t>2</w:t>
      </w:r>
      <w:r w:rsidRPr="0072192C">
        <w:t xml:space="preserve"> from back-up power generators</w:t>
      </w:r>
    </w:p>
    <w:p w14:paraId="203B11AD" w14:textId="77777777" w:rsidR="00B259A8" w:rsidRPr="0072192C" w:rsidRDefault="00B259A8" w:rsidP="00B259A8">
      <w:pPr>
        <w:pStyle w:val="Bullet"/>
      </w:pPr>
      <w:r w:rsidRPr="0072192C">
        <w:t>fluorinated gases from the use of refrigerants</w:t>
      </w:r>
    </w:p>
    <w:p w14:paraId="1521E3BB" w14:textId="77777777" w:rsidR="00B259A8" w:rsidRPr="0072192C" w:rsidRDefault="00B259A8" w:rsidP="00B259A8">
      <w:pPr>
        <w:pStyle w:val="Bullet"/>
      </w:pPr>
      <w:r w:rsidRPr="0072192C">
        <w:t>CH</w:t>
      </w:r>
      <w:r w:rsidRPr="0072192C">
        <w:rPr>
          <w:vertAlign w:val="subscript"/>
        </w:rPr>
        <w:t>4</w:t>
      </w:r>
      <w:r w:rsidRPr="0072192C">
        <w:t xml:space="preserve"> and N</w:t>
      </w:r>
      <w:r w:rsidRPr="0072192C">
        <w:rPr>
          <w:vertAlign w:val="subscript"/>
        </w:rPr>
        <w:t>2</w:t>
      </w:r>
      <w:r w:rsidRPr="0072192C">
        <w:t>O from livestock (pigs and poultry)</w:t>
      </w:r>
    </w:p>
    <w:p w14:paraId="502A3428" w14:textId="77777777" w:rsidR="00B259A8" w:rsidRPr="0072192C" w:rsidRDefault="00B259A8" w:rsidP="00B259A8">
      <w:pPr>
        <w:pStyle w:val="Bullet"/>
      </w:pPr>
      <w:r w:rsidRPr="0072192C">
        <w:t>CH</w:t>
      </w:r>
      <w:r w:rsidRPr="0072192C">
        <w:rPr>
          <w:vertAlign w:val="subscript"/>
        </w:rPr>
        <w:t>4</w:t>
      </w:r>
      <w:r w:rsidRPr="0072192C">
        <w:t>, CO</w:t>
      </w:r>
      <w:r w:rsidRPr="0072192C">
        <w:rPr>
          <w:vertAlign w:val="subscript"/>
        </w:rPr>
        <w:t>2</w:t>
      </w:r>
      <w:r w:rsidRPr="0072192C">
        <w:t xml:space="preserve"> and N</w:t>
      </w:r>
      <w:r w:rsidRPr="0072192C">
        <w:rPr>
          <w:vertAlign w:val="subscript"/>
        </w:rPr>
        <w:t>2</w:t>
      </w:r>
      <w:r w:rsidRPr="0072192C">
        <w:t>O from waste.</w:t>
      </w:r>
    </w:p>
    <w:p w14:paraId="7E1FB759" w14:textId="77777777" w:rsidR="00B259A8" w:rsidRPr="0072192C" w:rsidRDefault="00B259A8" w:rsidP="00B259A8">
      <w:pPr>
        <w:pStyle w:val="Heading4"/>
      </w:pPr>
      <w:r w:rsidRPr="0072192C">
        <w:t>2024</w:t>
      </w:r>
    </w:p>
    <w:p w14:paraId="21C9C2DA" w14:textId="77777777" w:rsidR="00B259A8" w:rsidRPr="0072192C" w:rsidRDefault="00B259A8" w:rsidP="00B259A8">
      <w:pPr>
        <w:pStyle w:val="BodyText"/>
      </w:pPr>
      <w:r w:rsidRPr="0072192C">
        <w:t>In 2024, emissions from Tokelau contributed 0.006 percent (4.21 kt CO</w:t>
      </w:r>
      <w:r w:rsidRPr="0072192C">
        <w:rPr>
          <w:vertAlign w:val="subscript"/>
        </w:rPr>
        <w:t>2</w:t>
      </w:r>
      <w:r w:rsidRPr="0072192C">
        <w:t>e) to New Zealand’s gross emissions.</w:t>
      </w:r>
    </w:p>
    <w:p w14:paraId="5444DFDD" w14:textId="77777777" w:rsidR="00B259A8" w:rsidRPr="0072192C" w:rsidRDefault="00B259A8" w:rsidP="00B259A8">
      <w:pPr>
        <w:pStyle w:val="BodyText"/>
      </w:pPr>
      <w:r w:rsidRPr="0072192C">
        <w:t xml:space="preserve">The largest source category was </w:t>
      </w:r>
      <w:r w:rsidRPr="0072192C">
        <w:rPr>
          <w:i/>
          <w:iCs/>
        </w:rPr>
        <w:t>Domestic navigation</w:t>
      </w:r>
      <w:r w:rsidRPr="0072192C">
        <w:t xml:space="preserve"> (emissions from marine vessels within </w:t>
      </w:r>
      <w:r w:rsidRPr="0072192C">
        <w:rPr>
          <w:spacing w:val="-2"/>
        </w:rPr>
        <w:t>Tokelau), which contributed 63.2 percent (1.43 kt CO</w:t>
      </w:r>
      <w:r w:rsidRPr="0072192C">
        <w:rPr>
          <w:spacing w:val="-2"/>
          <w:vertAlign w:val="subscript"/>
        </w:rPr>
        <w:t>2</w:t>
      </w:r>
      <w:r w:rsidRPr="0072192C">
        <w:rPr>
          <w:spacing w:val="-2"/>
        </w:rPr>
        <w:t>e) of all energy emissions and 34.1 percent</w:t>
      </w:r>
      <w:r w:rsidRPr="0072192C">
        <w:t xml:space="preserve"> of gross emissions from Tokelau.</w:t>
      </w:r>
    </w:p>
    <w:p w14:paraId="714D03BD" w14:textId="77777777" w:rsidR="00B259A8" w:rsidRPr="0072192C" w:rsidRDefault="00B259A8" w:rsidP="00B259A8">
      <w:pPr>
        <w:pStyle w:val="BodyText"/>
      </w:pPr>
      <w:r w:rsidRPr="0072192C">
        <w:t>Carbon dioxide dominated emissions from Tokelau, contributing 54.5 percent (2.29 kt CO</w:t>
      </w:r>
      <w:r w:rsidRPr="0072192C">
        <w:rPr>
          <w:vertAlign w:val="subscript"/>
        </w:rPr>
        <w:t>2</w:t>
      </w:r>
      <w:r w:rsidRPr="0072192C">
        <w:t>e) of its total emissions in 2024. At 2.25 kt CO</w:t>
      </w:r>
      <w:r w:rsidRPr="0072192C">
        <w:rPr>
          <w:vertAlign w:val="subscript"/>
        </w:rPr>
        <w:t>2</w:t>
      </w:r>
      <w:r w:rsidRPr="0072192C">
        <w:t>, the Energy sector contributed 98.3 percent of total CO</w:t>
      </w:r>
      <w:r w:rsidRPr="0072192C">
        <w:rPr>
          <w:vertAlign w:val="subscript"/>
        </w:rPr>
        <w:t>2</w:t>
      </w:r>
      <w:r w:rsidRPr="0072192C">
        <w:t xml:space="preserve"> emissions, mostly from </w:t>
      </w:r>
      <w:r w:rsidRPr="0072192C">
        <w:rPr>
          <w:i/>
          <w:iCs/>
        </w:rPr>
        <w:t>Domestic navigation</w:t>
      </w:r>
      <w:r w:rsidRPr="0072192C">
        <w:t xml:space="preserve">, with the remaining 1.7 percent (0.04 kt) coming from </w:t>
      </w:r>
      <w:r w:rsidRPr="0072192C">
        <w:rPr>
          <w:i/>
          <w:iCs/>
        </w:rPr>
        <w:t>Open burning of waste</w:t>
      </w:r>
      <w:r w:rsidRPr="0072192C">
        <w:t xml:space="preserve"> in the Waste sector.</w:t>
      </w:r>
    </w:p>
    <w:p w14:paraId="32955D6D" w14:textId="77777777" w:rsidR="00B259A8" w:rsidRPr="0072192C" w:rsidRDefault="00B259A8" w:rsidP="00B259A8">
      <w:pPr>
        <w:pStyle w:val="BodyText"/>
      </w:pPr>
      <w:r w:rsidRPr="0072192C">
        <w:t>Methane emissions contributed 39.3 percent (1.66 kt CO</w:t>
      </w:r>
      <w:r w:rsidRPr="0072192C">
        <w:rPr>
          <w:vertAlign w:val="subscript"/>
        </w:rPr>
        <w:t>2</w:t>
      </w:r>
      <w:r w:rsidRPr="0072192C">
        <w:t>e) to the total emissions from Tokelau. The Agriculture sector in Tokelau contributed 55.8 percent of CH</w:t>
      </w:r>
      <w:r w:rsidRPr="0072192C">
        <w:rPr>
          <w:vertAlign w:val="subscript"/>
        </w:rPr>
        <w:t>4</w:t>
      </w:r>
      <w:r w:rsidRPr="0072192C">
        <w:t xml:space="preserve"> emissions (0.92 kt CO</w:t>
      </w:r>
      <w:r w:rsidRPr="0072192C">
        <w:rPr>
          <w:vertAlign w:val="subscript"/>
        </w:rPr>
        <w:t>2</w:t>
      </w:r>
      <w:r w:rsidRPr="0072192C">
        <w:t xml:space="preserve">e), which mostly came from </w:t>
      </w:r>
      <w:r w:rsidRPr="0072192C">
        <w:rPr>
          <w:i/>
          <w:iCs/>
        </w:rPr>
        <w:t>Manure management</w:t>
      </w:r>
      <w:r w:rsidRPr="0072192C">
        <w:t>. A significant portion of CH</w:t>
      </w:r>
      <w:r w:rsidRPr="0072192C">
        <w:rPr>
          <w:vertAlign w:val="subscript"/>
        </w:rPr>
        <w:t>4</w:t>
      </w:r>
      <w:r w:rsidRPr="0072192C">
        <w:t xml:space="preserve"> emissions, 43.9 percent (0.73 kt CO</w:t>
      </w:r>
      <w:r w:rsidRPr="0072192C">
        <w:rPr>
          <w:vertAlign w:val="subscript"/>
        </w:rPr>
        <w:t>2</w:t>
      </w:r>
      <w:r w:rsidRPr="0072192C">
        <w:t xml:space="preserve">e), came from the Waste sector, largely from </w:t>
      </w:r>
      <w:r w:rsidRPr="0072192C">
        <w:rPr>
          <w:i/>
          <w:iCs/>
        </w:rPr>
        <w:t>Solid waste disposal</w:t>
      </w:r>
      <w:r w:rsidRPr="0072192C">
        <w:t>. The Energy sector contributed the remaining 0.4 percent of CH</w:t>
      </w:r>
      <w:r w:rsidRPr="0072192C">
        <w:rPr>
          <w:vertAlign w:val="subscript"/>
        </w:rPr>
        <w:t>4</w:t>
      </w:r>
      <w:r w:rsidRPr="0072192C">
        <w:t xml:space="preserve"> emissions (0.01 kt CO</w:t>
      </w:r>
      <w:r w:rsidRPr="0072192C">
        <w:rPr>
          <w:vertAlign w:val="subscript"/>
        </w:rPr>
        <w:t>2</w:t>
      </w:r>
      <w:r w:rsidRPr="0072192C">
        <w:t xml:space="preserve">e), which mostly came from </w:t>
      </w:r>
      <w:r w:rsidRPr="0072192C">
        <w:rPr>
          <w:i/>
          <w:iCs/>
        </w:rPr>
        <w:t>Domestic navigation</w:t>
      </w:r>
      <w:r w:rsidRPr="0072192C">
        <w:t>.</w:t>
      </w:r>
    </w:p>
    <w:p w14:paraId="272DEA80" w14:textId="77777777" w:rsidR="00B259A8" w:rsidRPr="0072192C" w:rsidRDefault="00B259A8" w:rsidP="00B259A8">
      <w:pPr>
        <w:pStyle w:val="BodyText"/>
      </w:pPr>
      <w:r w:rsidRPr="0072192C">
        <w:t>Nitrous oxide emissions contributed 1.2 percent (0.05 kt CO</w:t>
      </w:r>
      <w:r w:rsidRPr="0072192C">
        <w:rPr>
          <w:vertAlign w:val="subscript"/>
        </w:rPr>
        <w:t>2</w:t>
      </w:r>
      <w:r w:rsidRPr="0072192C">
        <w:t>e) to the total emissions from Tokelau. The IPPU sector (</w:t>
      </w:r>
      <w:r w:rsidRPr="0072192C">
        <w:rPr>
          <w:i/>
          <w:iCs/>
        </w:rPr>
        <w:t>Medical applications</w:t>
      </w:r>
      <w:r w:rsidRPr="0072192C">
        <w:t>) contributed the largest amount of N</w:t>
      </w:r>
      <w:r w:rsidRPr="0072192C">
        <w:rPr>
          <w:vertAlign w:val="subscript"/>
        </w:rPr>
        <w:t>2</w:t>
      </w:r>
      <w:r w:rsidRPr="0072192C">
        <w:t>O, 55.7 percent (0.03 kt CO</w:t>
      </w:r>
      <w:r w:rsidRPr="0072192C">
        <w:rPr>
          <w:vertAlign w:val="subscript"/>
        </w:rPr>
        <w:t>2</w:t>
      </w:r>
      <w:r w:rsidRPr="0072192C">
        <w:t>e) of the total N</w:t>
      </w:r>
      <w:r w:rsidRPr="0072192C">
        <w:rPr>
          <w:vertAlign w:val="subscript"/>
        </w:rPr>
        <w:t>2</w:t>
      </w:r>
      <w:r w:rsidRPr="0072192C">
        <w:t>O. The Energy sector contributed a further 24.1 percent (0.01 kt CO</w:t>
      </w:r>
      <w:r w:rsidRPr="0072192C">
        <w:rPr>
          <w:vertAlign w:val="subscript"/>
        </w:rPr>
        <w:t>2</w:t>
      </w:r>
      <w:r w:rsidRPr="0072192C">
        <w:t xml:space="preserve">e), which comes largely from </w:t>
      </w:r>
      <w:r w:rsidRPr="0072192C">
        <w:rPr>
          <w:i/>
          <w:iCs/>
        </w:rPr>
        <w:t>Domestic navigation</w:t>
      </w:r>
      <w:r w:rsidRPr="0072192C">
        <w:t>. The Waste sector contributed the remaining 20.2 percent of N</w:t>
      </w:r>
      <w:r w:rsidRPr="0072192C">
        <w:rPr>
          <w:vertAlign w:val="subscript"/>
        </w:rPr>
        <w:t>2</w:t>
      </w:r>
      <w:r w:rsidRPr="0072192C">
        <w:t>O (0.01 kt CO</w:t>
      </w:r>
      <w:r w:rsidRPr="0072192C">
        <w:rPr>
          <w:vertAlign w:val="subscript"/>
        </w:rPr>
        <w:t>2</w:t>
      </w:r>
      <w:r w:rsidRPr="0072192C">
        <w:t xml:space="preserve">e) from </w:t>
      </w:r>
      <w:r w:rsidRPr="0072192C">
        <w:rPr>
          <w:i/>
          <w:iCs/>
        </w:rPr>
        <w:t>Open burning of waste</w:t>
      </w:r>
      <w:r w:rsidRPr="0072192C">
        <w:t>.</w:t>
      </w:r>
    </w:p>
    <w:p w14:paraId="278A0A6A" w14:textId="77777777" w:rsidR="00B259A8" w:rsidRPr="0072192C" w:rsidRDefault="00B259A8" w:rsidP="00B259A8">
      <w:pPr>
        <w:pStyle w:val="BodyText"/>
      </w:pPr>
      <w:r w:rsidRPr="0072192C">
        <w:t>Emissions of fluorinated gases from Tokelau consisted of HFC emissions only, contributing 5.0 percent (0.21 kt CO</w:t>
      </w:r>
      <w:r w:rsidRPr="0072192C">
        <w:rPr>
          <w:vertAlign w:val="subscript"/>
        </w:rPr>
        <w:t>2</w:t>
      </w:r>
      <w:r w:rsidRPr="0072192C">
        <w:t xml:space="preserve">e) to the total emissions from Tokelau. These emissions largely result from the use of </w:t>
      </w:r>
      <w:r w:rsidRPr="0072192C">
        <w:rPr>
          <w:i/>
          <w:iCs/>
        </w:rPr>
        <w:t>Stationary air conditioning</w:t>
      </w:r>
      <w:r w:rsidRPr="0072192C">
        <w:t>. Emissions of perfluorocarbons (PFCs), nitrogen trifluoride and sulphur hexafluoride do not occur in Tokelau.</w:t>
      </w:r>
    </w:p>
    <w:p w14:paraId="75BE5D25" w14:textId="77777777" w:rsidR="00B259A8" w:rsidRPr="0072192C" w:rsidRDefault="00B259A8" w:rsidP="00B259A8">
      <w:pPr>
        <w:pStyle w:val="BodyText"/>
      </w:pPr>
      <w:r w:rsidRPr="0072192C">
        <w:t>Figure 8.1.2 and figure 8.1.3 show emissions from Tokelau by gas and by sector.</w:t>
      </w:r>
    </w:p>
    <w:p w14:paraId="23085013" w14:textId="77777777" w:rsidR="00B259A8" w:rsidRPr="0072192C" w:rsidRDefault="00B259A8" w:rsidP="00B259A8">
      <w:pPr>
        <w:pStyle w:val="Figure"/>
        <w:spacing w:after="80"/>
      </w:pPr>
      <w:bookmarkStart w:id="3180" w:name="_Toc225424341"/>
      <w:bookmarkStart w:id="3181" w:name="_Toc226200710"/>
      <w:r w:rsidRPr="0072192C">
        <w:rPr>
          <w:bCs/>
        </w:rPr>
        <w:t>Figure 8.1.2</w:t>
      </w:r>
      <w:r w:rsidRPr="0072192C">
        <w:rPr>
          <w:bCs/>
        </w:rPr>
        <w:tab/>
        <w:t>Tokelau’s emissions by gas in 2024</w:t>
      </w:r>
      <w:bookmarkEnd w:id="3180"/>
      <w:bookmarkEnd w:id="3181"/>
    </w:p>
    <w:p w14:paraId="10F4B7A8" w14:textId="77777777" w:rsidR="00B259A8" w:rsidRPr="0072192C" w:rsidRDefault="00B259A8" w:rsidP="00B259A8">
      <w:pPr>
        <w:pStyle w:val="BodyText"/>
      </w:pPr>
      <w:r w:rsidRPr="0072192C">
        <w:rPr>
          <w:noProof/>
        </w:rPr>
        <w:drawing>
          <wp:inline distT="0" distB="0" distL="0" distR="0" wp14:anchorId="51D7E85B" wp14:editId="62F9D4B5">
            <wp:extent cx="5395595" cy="2564130"/>
            <wp:effectExtent l="0" t="0" r="0" b="7620"/>
            <wp:docPr id="35" name="Picture"/>
            <wp:cNvGraphicFramePr/>
            <a:graphic xmlns:a="http://schemas.openxmlformats.org/drawingml/2006/main">
              <a:graphicData uri="http://schemas.openxmlformats.org/drawingml/2006/picture">
                <pic:pic xmlns:pic="http://schemas.openxmlformats.org/drawingml/2006/picture">
                  <pic:nvPicPr>
                    <pic:cNvPr id="36" name="Picture" descr="images/fig_8_1_2.png"/>
                    <pic:cNvPicPr>
                      <a:picLocks noChangeAspect="1" noChangeArrowheads="1"/>
                    </pic:cNvPicPr>
                  </pic:nvPicPr>
                  <pic:blipFill rotWithShape="1">
                    <a:blip r:embed="rId258"/>
                    <a:srcRect t="13954" b="4991"/>
                    <a:stretch>
                      <a:fillRect/>
                    </a:stretch>
                  </pic:blipFill>
                  <pic:spPr bwMode="auto">
                    <a:xfrm>
                      <a:off x="0" y="0"/>
                      <a:ext cx="5397500" cy="2565035"/>
                    </a:xfrm>
                    <a:prstGeom prst="rect">
                      <a:avLst/>
                    </a:prstGeom>
                    <a:noFill/>
                    <a:ln>
                      <a:noFill/>
                    </a:ln>
                    <a:extLst>
                      <a:ext uri="{53640926-AAD7-44D8-BBD7-CCE9431645EC}">
                        <a14:shadowObscured xmlns:a14="http://schemas.microsoft.com/office/drawing/2010/main"/>
                      </a:ext>
                    </a:extLst>
                  </pic:spPr>
                </pic:pic>
              </a:graphicData>
            </a:graphic>
          </wp:inline>
        </w:drawing>
      </w:r>
    </w:p>
    <w:p w14:paraId="173657D7" w14:textId="77777777" w:rsidR="00B259A8" w:rsidRPr="0072192C" w:rsidRDefault="00B259A8" w:rsidP="00B259A8">
      <w:pPr>
        <w:pStyle w:val="Figure"/>
        <w:spacing w:before="240" w:after="80"/>
      </w:pPr>
      <w:bookmarkStart w:id="3182" w:name="_Toc225424342"/>
      <w:bookmarkStart w:id="3183" w:name="_Toc226200711"/>
      <w:r w:rsidRPr="0072192C">
        <w:rPr>
          <w:bCs/>
        </w:rPr>
        <w:t>Figure 8.1.3</w:t>
      </w:r>
      <w:r w:rsidRPr="0072192C">
        <w:rPr>
          <w:bCs/>
        </w:rPr>
        <w:tab/>
        <w:t>Tokelau’s emissions by sector in 2024</w:t>
      </w:r>
      <w:bookmarkEnd w:id="3182"/>
      <w:bookmarkEnd w:id="3183"/>
    </w:p>
    <w:p w14:paraId="1AD4823D" w14:textId="77777777" w:rsidR="00B259A8" w:rsidRPr="0072192C" w:rsidRDefault="00B259A8" w:rsidP="00B259A8">
      <w:pPr>
        <w:pStyle w:val="BodyText"/>
      </w:pPr>
      <w:r w:rsidRPr="0072192C">
        <w:rPr>
          <w:noProof/>
        </w:rPr>
        <w:drawing>
          <wp:inline distT="0" distB="0" distL="0" distR="0" wp14:anchorId="256201F1" wp14:editId="3BF13A64">
            <wp:extent cx="5395595" cy="1689100"/>
            <wp:effectExtent l="0" t="0" r="0" b="6350"/>
            <wp:docPr id="38" name="Picture"/>
            <wp:cNvGraphicFramePr/>
            <a:graphic xmlns:a="http://schemas.openxmlformats.org/drawingml/2006/main">
              <a:graphicData uri="http://schemas.openxmlformats.org/drawingml/2006/picture">
                <pic:pic xmlns:pic="http://schemas.openxmlformats.org/drawingml/2006/picture">
                  <pic:nvPicPr>
                    <pic:cNvPr id="39" name="Picture" descr="images/fig_8_1_3.png"/>
                    <pic:cNvPicPr>
                      <a:picLocks noChangeAspect="1" noChangeArrowheads="1"/>
                    </pic:cNvPicPr>
                  </pic:nvPicPr>
                  <pic:blipFill rotWithShape="1">
                    <a:blip r:embed="rId259"/>
                    <a:srcRect t="26992" b="4136"/>
                    <a:stretch>
                      <a:fillRect/>
                    </a:stretch>
                  </pic:blipFill>
                  <pic:spPr bwMode="auto">
                    <a:xfrm>
                      <a:off x="0" y="0"/>
                      <a:ext cx="5397500" cy="1689696"/>
                    </a:xfrm>
                    <a:prstGeom prst="rect">
                      <a:avLst/>
                    </a:prstGeom>
                    <a:noFill/>
                    <a:ln>
                      <a:noFill/>
                    </a:ln>
                    <a:extLst>
                      <a:ext uri="{53640926-AAD7-44D8-BBD7-CCE9431645EC}">
                        <a14:shadowObscured xmlns:a14="http://schemas.microsoft.com/office/drawing/2010/main"/>
                      </a:ext>
                    </a:extLst>
                  </pic:spPr>
                </pic:pic>
              </a:graphicData>
            </a:graphic>
          </wp:inline>
        </w:drawing>
      </w:r>
    </w:p>
    <w:p w14:paraId="65951B4D" w14:textId="77777777" w:rsidR="00B259A8" w:rsidRPr="0072192C" w:rsidRDefault="00B259A8" w:rsidP="00B259A8">
      <w:pPr>
        <w:pStyle w:val="Heading4"/>
      </w:pPr>
      <w:r w:rsidRPr="0072192C">
        <w:t>2023–2024</w:t>
      </w:r>
    </w:p>
    <w:p w14:paraId="24453B35" w14:textId="77777777" w:rsidR="00B259A8" w:rsidRPr="0072192C" w:rsidRDefault="00B259A8" w:rsidP="00B259A8">
      <w:pPr>
        <w:pStyle w:val="BodyText"/>
      </w:pPr>
      <w:r w:rsidRPr="0072192C">
        <w:t>Total Tokelau emissions in 2024 were 0.0006 kt CO</w:t>
      </w:r>
      <w:r w:rsidRPr="0072192C">
        <w:rPr>
          <w:vertAlign w:val="subscript"/>
        </w:rPr>
        <w:t>2</w:t>
      </w:r>
      <w:r w:rsidRPr="0072192C">
        <w:t xml:space="preserve">e (0.01 percent) higher than emissions in 2023. Emissions for 2024 are reported as largely unchanged from 2023 due to insufficient quantitative activity data available for the 2024 reporting year. There is anecdotal evidence suggesting that diesel fuel consumption patterns were similar across these years for energy generation in the </w:t>
      </w:r>
      <w:r w:rsidRPr="0072192C">
        <w:rPr>
          <w:i/>
          <w:iCs/>
        </w:rPr>
        <w:t>Energy industries – Public electricity and heat production</w:t>
      </w:r>
      <w:r w:rsidRPr="0072192C">
        <w:t xml:space="preserve"> category.</w:t>
      </w:r>
    </w:p>
    <w:p w14:paraId="0EFD18C1" w14:textId="77777777" w:rsidR="00B259A8" w:rsidRPr="0072192C" w:rsidRDefault="00B259A8" w:rsidP="00B259A8">
      <w:pPr>
        <w:pStyle w:val="BodyText"/>
      </w:pPr>
      <w:r w:rsidRPr="0072192C">
        <w:t>While the activity data between these years were unchanged for all categories, the increase in emissions is the result of CH</w:t>
      </w:r>
      <w:r w:rsidRPr="0072192C">
        <w:rPr>
          <w:vertAlign w:val="subscript"/>
        </w:rPr>
        <w:t>4</w:t>
      </w:r>
      <w:r w:rsidRPr="0072192C">
        <w:t xml:space="preserve"> emissions from </w:t>
      </w:r>
      <w:r w:rsidRPr="0072192C">
        <w:rPr>
          <w:i/>
          <w:iCs/>
        </w:rPr>
        <w:t>Solid waste disposal</w:t>
      </w:r>
      <w:r w:rsidRPr="0072192C">
        <w:t xml:space="preserve">. Emissions from </w:t>
      </w:r>
      <w:r w:rsidRPr="0072192C">
        <w:rPr>
          <w:i/>
          <w:iCs/>
        </w:rPr>
        <w:t>Solid waste disposal</w:t>
      </w:r>
      <w:r w:rsidRPr="0072192C">
        <w:t xml:space="preserve"> are calculated using a first order decay model outlined in the 2006 IPCC Guidelines (IPCC, 2006a), which reflects how buried waste breaks down slowly over time. This means the emissions in any given year depend on the waste disposed in all previous years rather than the </w:t>
      </w:r>
      <w:r w:rsidRPr="0072192C">
        <w:rPr>
          <w:spacing w:val="-2"/>
        </w:rPr>
        <w:t>waste disposed this year. As a result, emissions change even when the activity has not changed</w:t>
      </w:r>
      <w:r w:rsidRPr="0072192C">
        <w:t>.</w:t>
      </w:r>
    </w:p>
    <w:p w14:paraId="1EAB55F1" w14:textId="77777777" w:rsidR="00B259A8" w:rsidRPr="0072192C" w:rsidRDefault="00B259A8" w:rsidP="00B259A8">
      <w:pPr>
        <w:pStyle w:val="Heading4"/>
      </w:pPr>
      <w:r w:rsidRPr="0072192C">
        <w:t>2005–2024</w:t>
      </w:r>
    </w:p>
    <w:p w14:paraId="2E0CD060" w14:textId="77777777" w:rsidR="00B259A8" w:rsidRPr="0072192C" w:rsidRDefault="00B259A8" w:rsidP="00B259A8">
      <w:pPr>
        <w:pStyle w:val="BodyText"/>
        <w:spacing w:before="80" w:after="100"/>
      </w:pPr>
      <w:r w:rsidRPr="0072192C">
        <w:t>Tokelau’s gross emissions in 2024 were 0.50 kt CO</w:t>
      </w:r>
      <w:r w:rsidRPr="0072192C">
        <w:rPr>
          <w:vertAlign w:val="subscript"/>
        </w:rPr>
        <w:t>2</w:t>
      </w:r>
      <w:r w:rsidRPr="0072192C">
        <w:t>e (10.6 percent) lower than in 2005. This change was mainly the result of reductions in emissions from the Agriculture sector. This was due to a reduction in the number of both pigs and chickens. Emissions from the Energy sector decreased overall between 2005 and 2024, due to the installation of solar photovoltaic (PV) systems in 2012. The increases and decreases in Energy sector emissions between 2012 and 2024 are further explained in section 8.3.1. Emissions from the IPPU sector increased slightly between 2005 and 2024, primarily due to the growth in the number of air conditioning units during this period. Emissions from the Waste sector for Tokelau have remained steady between 2005 and 2024.</w:t>
      </w:r>
    </w:p>
    <w:p w14:paraId="3CA2B3D7" w14:textId="77777777" w:rsidR="00B259A8" w:rsidRPr="0072192C" w:rsidRDefault="00B259A8" w:rsidP="00B259A8">
      <w:pPr>
        <w:pStyle w:val="Heading4"/>
      </w:pPr>
      <w:r w:rsidRPr="0072192C">
        <w:t>1990–2024</w:t>
      </w:r>
    </w:p>
    <w:p w14:paraId="48DA0517" w14:textId="77777777" w:rsidR="00B259A8" w:rsidRPr="0072192C" w:rsidRDefault="00B259A8" w:rsidP="00B259A8">
      <w:pPr>
        <w:pStyle w:val="BodyText"/>
        <w:spacing w:before="80" w:after="100"/>
      </w:pPr>
      <w:r w:rsidRPr="0072192C">
        <w:t>In 1990, Tokelau’s gross emissions were 3.37 kt CO</w:t>
      </w:r>
      <w:r w:rsidRPr="0072192C">
        <w:rPr>
          <w:vertAlign w:val="subscript"/>
        </w:rPr>
        <w:t>2</w:t>
      </w:r>
      <w:r w:rsidRPr="0072192C">
        <w:t>e. Between 1990 and 2024, total emissions increased by 24.8 percent (0.84 kt CO</w:t>
      </w:r>
      <w:r w:rsidRPr="0072192C">
        <w:rPr>
          <w:vertAlign w:val="subscript"/>
        </w:rPr>
        <w:t>2</w:t>
      </w:r>
      <w:r w:rsidRPr="0072192C">
        <w:t>e) to 4.21 kt CO</w:t>
      </w:r>
      <w:r w:rsidRPr="0072192C">
        <w:rPr>
          <w:vertAlign w:val="subscript"/>
        </w:rPr>
        <w:t>2</w:t>
      </w:r>
      <w:r w:rsidRPr="0072192C">
        <w:t>e (table 8.1.3 and figure 8.1.4). From 1990 to 2024, the average annual increase in gross emissions was 0.87 percent.</w:t>
      </w:r>
    </w:p>
    <w:p w14:paraId="6F020FDB" w14:textId="77777777" w:rsidR="00B259A8" w:rsidRPr="0072192C" w:rsidRDefault="00B259A8" w:rsidP="00B259A8">
      <w:pPr>
        <w:pStyle w:val="BodyText"/>
        <w:spacing w:after="100"/>
        <w:rPr>
          <w:spacing w:val="-2"/>
        </w:rPr>
      </w:pPr>
      <w:r w:rsidRPr="0072192C">
        <w:rPr>
          <w:spacing w:val="-2"/>
        </w:rPr>
        <w:t xml:space="preserve">The emissions increase was largely due to changes in the Energy sector. The emission categories that contributed the most to this change were </w:t>
      </w:r>
      <w:r w:rsidRPr="0072192C">
        <w:rPr>
          <w:i/>
          <w:iCs/>
          <w:spacing w:val="-2"/>
        </w:rPr>
        <w:t>Domestic navigation</w:t>
      </w:r>
      <w:r w:rsidRPr="0072192C">
        <w:rPr>
          <w:spacing w:val="-2"/>
        </w:rPr>
        <w:t xml:space="preserve"> and </w:t>
      </w:r>
      <w:r w:rsidRPr="0072192C">
        <w:rPr>
          <w:i/>
          <w:iCs/>
          <w:spacing w:val="-2"/>
        </w:rPr>
        <w:t>Electricity generation</w:t>
      </w:r>
      <w:r w:rsidRPr="0072192C">
        <w:rPr>
          <w:spacing w:val="-2"/>
        </w:rPr>
        <w:t>.</w:t>
      </w:r>
    </w:p>
    <w:p w14:paraId="3D272FDB" w14:textId="77777777" w:rsidR="00B259A8" w:rsidRPr="0072192C" w:rsidRDefault="00B259A8" w:rsidP="00B259A8">
      <w:pPr>
        <w:pStyle w:val="BodyText"/>
        <w:spacing w:after="100"/>
      </w:pPr>
      <w:r w:rsidRPr="0072192C">
        <w:t xml:space="preserve">The changes in </w:t>
      </w:r>
      <w:r w:rsidRPr="0072192C">
        <w:rPr>
          <w:i/>
          <w:iCs/>
        </w:rPr>
        <w:t>Domestic navigation</w:t>
      </w:r>
      <w:r w:rsidRPr="0072192C">
        <w:t xml:space="preserve"> are a result of Tokelau gaining ownership and use of the ferry </w:t>
      </w:r>
      <w:r w:rsidRPr="0072192C">
        <w:rPr>
          <w:i/>
          <w:iCs/>
        </w:rPr>
        <w:t>Mataliki</w:t>
      </w:r>
      <w:r w:rsidRPr="0072192C">
        <w:t xml:space="preserve"> in 2016, cargo vessel </w:t>
      </w:r>
      <w:r w:rsidRPr="0072192C">
        <w:rPr>
          <w:i/>
          <w:iCs/>
        </w:rPr>
        <w:t>Kalopaga</w:t>
      </w:r>
      <w:r w:rsidRPr="0072192C">
        <w:t xml:space="preserve"> in 2018 and </w:t>
      </w:r>
      <w:r w:rsidRPr="0072192C">
        <w:rPr>
          <w:i/>
          <w:iCs/>
        </w:rPr>
        <w:t>Fetu o te Moana</w:t>
      </w:r>
      <w:r w:rsidRPr="0072192C">
        <w:t xml:space="preserve"> in 2019, leading to an increasing number of sea voyages between the atolls, which increased transport emissions.</w:t>
      </w:r>
    </w:p>
    <w:p w14:paraId="2363C298" w14:textId="77777777" w:rsidR="00B259A8" w:rsidRPr="0072192C" w:rsidRDefault="00B259A8" w:rsidP="00B259A8">
      <w:pPr>
        <w:pStyle w:val="BodyText"/>
        <w:spacing w:after="100"/>
      </w:pPr>
      <w:r w:rsidRPr="0072192C">
        <w:t xml:space="preserve">The changes in Tokelau’s Energy sector emissions from </w:t>
      </w:r>
      <w:r w:rsidRPr="0072192C">
        <w:rPr>
          <w:i/>
          <w:iCs/>
        </w:rPr>
        <w:t>Electricity generation</w:t>
      </w:r>
      <w:r w:rsidRPr="0072192C">
        <w:t xml:space="preserve"> drive the overall emissions trend observed across most of the time series. Initially, up until 2003, emissions from this source were relatively stable. A significant increase in emissions (of nearly 400 percent) was then observed between 2003 and 2011 due to an increase in the use of diesel generators for electricity production. This was followed by a significant drop in emissions occurring in 2012 and 2013 (by 82.5 percent), when solar electricity generation began. Toward the end of the time series, diesel generator use increased again as the generation from solar power decreased, with emissions increasing accordingly.</w:t>
      </w:r>
    </w:p>
    <w:p w14:paraId="452D197C" w14:textId="77777777" w:rsidR="00B259A8" w:rsidRPr="0072192C" w:rsidRDefault="00B259A8" w:rsidP="00B259A8">
      <w:pPr>
        <w:pStyle w:val="BodyText"/>
      </w:pPr>
      <w:r w:rsidRPr="0072192C">
        <w:t>Emissions from Tokelau’s IPPU sector have also increased mainly due to the introduction of air conditioning after 2006. Emissions from Tokelau’s Agriculture sector decreased as a result of a reduced population of pigs and chickens.</w:t>
      </w:r>
    </w:p>
    <w:p w14:paraId="6E3782D6" w14:textId="77777777" w:rsidR="00B259A8" w:rsidRPr="0072192C" w:rsidRDefault="00B259A8" w:rsidP="00B259A8">
      <w:pPr>
        <w:pStyle w:val="Table"/>
      </w:pPr>
      <w:bookmarkStart w:id="3184" w:name="_Toc225424316"/>
      <w:bookmarkStart w:id="3185" w:name="_Toc226669138"/>
      <w:r w:rsidRPr="0072192C">
        <w:t>Table 8.1.3</w:t>
      </w:r>
      <w:r w:rsidRPr="0072192C">
        <w:tab/>
        <w:t xml:space="preserve">Gross emissions from Tokelau by gas in </w:t>
      </w:r>
      <w:r w:rsidRPr="0072192C">
        <w:rPr>
          <w:bCs/>
        </w:rPr>
        <w:t>1990</w:t>
      </w:r>
      <w:r w:rsidRPr="0072192C">
        <w:t xml:space="preserve">, </w:t>
      </w:r>
      <w:r w:rsidRPr="0072192C">
        <w:rPr>
          <w:bCs/>
        </w:rPr>
        <w:t>2005</w:t>
      </w:r>
      <w:r w:rsidRPr="0072192C">
        <w:t xml:space="preserve"> and </w:t>
      </w:r>
      <w:r w:rsidRPr="0072192C">
        <w:rPr>
          <w:bCs/>
        </w:rPr>
        <w:t>2024</w:t>
      </w:r>
      <w:bookmarkEnd w:id="3184"/>
      <w:bookmarkEnd w:id="3185"/>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673"/>
        <w:gridCol w:w="567"/>
        <w:gridCol w:w="567"/>
        <w:gridCol w:w="567"/>
        <w:gridCol w:w="1030"/>
        <w:gridCol w:w="1030"/>
        <w:gridCol w:w="1030"/>
        <w:gridCol w:w="1030"/>
      </w:tblGrid>
      <w:tr w:rsidR="00B259A8" w:rsidRPr="0072192C" w14:paraId="7D4E1977" w14:textId="77777777" w:rsidTr="00F16E23">
        <w:trPr>
          <w:tblHeader/>
        </w:trPr>
        <w:tc>
          <w:tcPr>
            <w:tcW w:w="0" w:type="auto"/>
            <w:shd w:val="clear" w:color="auto" w:fill="1B556B"/>
            <w:tcMar>
              <w:top w:w="0" w:type="dxa"/>
              <w:left w:w="85" w:type="dxa"/>
              <w:bottom w:w="0" w:type="dxa"/>
              <w:right w:w="85" w:type="dxa"/>
            </w:tcMar>
          </w:tcPr>
          <w:p w14:paraId="62A32EF2" w14:textId="77777777" w:rsidR="00B259A8" w:rsidRPr="0072192C" w:rsidRDefault="00B259A8" w:rsidP="00F16E23">
            <w:pPr>
              <w:pStyle w:val="TableTextBold"/>
              <w:spacing w:before="40" w:after="0"/>
              <w:rPr>
                <w:noProof w:val="0"/>
                <w:color w:val="FFFFFF" w:themeColor="background1"/>
              </w:rPr>
            </w:pPr>
          </w:p>
        </w:tc>
        <w:tc>
          <w:tcPr>
            <w:tcW w:w="0" w:type="auto"/>
            <w:gridSpan w:val="3"/>
            <w:shd w:val="clear" w:color="auto" w:fill="1B556B"/>
            <w:tcMar>
              <w:top w:w="0" w:type="dxa"/>
              <w:left w:w="85" w:type="dxa"/>
              <w:bottom w:w="0" w:type="dxa"/>
              <w:right w:w="85" w:type="dxa"/>
            </w:tcMar>
          </w:tcPr>
          <w:p w14:paraId="294CE6A3" w14:textId="77777777" w:rsidR="00B259A8" w:rsidRPr="0072192C" w:rsidRDefault="00B259A8" w:rsidP="00F16E23">
            <w:pPr>
              <w:pStyle w:val="TableTextBold"/>
              <w:spacing w:before="40" w:after="0"/>
              <w:jc w:val="center"/>
              <w:rPr>
                <w:noProof w:val="0"/>
                <w:color w:val="FFFFFF" w:themeColor="background1"/>
              </w:rPr>
            </w:pPr>
            <w:r w:rsidRPr="0072192C">
              <w:rPr>
                <w:rFonts w:eastAsia="Calibri" w:cs="Calibri"/>
                <w:noProof w:val="0"/>
                <w:color w:val="FFFFFF" w:themeColor="background1"/>
                <w:szCs w:val="16"/>
              </w:rPr>
              <w:t>Emissions (kt CO</w:t>
            </w:r>
            <w:r w:rsidRPr="0072192C">
              <w:rPr>
                <w:rFonts w:eastAsia="Calibri" w:cs="Calibri"/>
                <w:noProof w:val="0"/>
                <w:color w:val="FFFFFF" w:themeColor="background1"/>
                <w:szCs w:val="16"/>
                <w:vertAlign w:val="subscript"/>
              </w:rPr>
              <w:t>2</w:t>
            </w:r>
            <w:r w:rsidRPr="0072192C">
              <w:rPr>
                <w:rFonts w:eastAsia="Calibri" w:cs="Calibri"/>
                <w:noProof w:val="0"/>
                <w:color w:val="FFFFFF" w:themeColor="background1"/>
                <w:szCs w:val="16"/>
              </w:rPr>
              <w:t>e)</w:t>
            </w:r>
          </w:p>
        </w:tc>
        <w:tc>
          <w:tcPr>
            <w:tcW w:w="0" w:type="auto"/>
            <w:gridSpan w:val="2"/>
            <w:shd w:val="clear" w:color="auto" w:fill="1B556B"/>
            <w:tcMar>
              <w:top w:w="0" w:type="dxa"/>
              <w:left w:w="85" w:type="dxa"/>
              <w:bottom w:w="0" w:type="dxa"/>
              <w:right w:w="85" w:type="dxa"/>
            </w:tcMar>
          </w:tcPr>
          <w:p w14:paraId="0638C433" w14:textId="77777777" w:rsidR="00B259A8" w:rsidRPr="0072192C" w:rsidRDefault="00B259A8" w:rsidP="00F16E23">
            <w:pPr>
              <w:pStyle w:val="TableTextBold"/>
              <w:spacing w:before="40" w:after="0"/>
              <w:jc w:val="center"/>
              <w:rPr>
                <w:noProof w:val="0"/>
                <w:color w:val="FFFFFF" w:themeColor="background1"/>
              </w:rPr>
            </w:pPr>
            <w:r w:rsidRPr="0072192C">
              <w:rPr>
                <w:rFonts w:eastAsia="Calibri" w:cs="Calibri"/>
                <w:noProof w:val="0"/>
                <w:color w:val="FFFFFF" w:themeColor="background1"/>
                <w:szCs w:val="16"/>
              </w:rPr>
              <w:t>Difference (kt CO</w:t>
            </w:r>
            <w:r w:rsidRPr="0072192C">
              <w:rPr>
                <w:rFonts w:eastAsia="Calibri" w:cs="Calibri"/>
                <w:noProof w:val="0"/>
                <w:color w:val="FFFFFF" w:themeColor="background1"/>
                <w:szCs w:val="16"/>
                <w:vertAlign w:val="subscript"/>
              </w:rPr>
              <w:t>2</w:t>
            </w:r>
            <w:r w:rsidRPr="0072192C">
              <w:rPr>
                <w:rFonts w:eastAsia="Calibri" w:cs="Calibri"/>
                <w:noProof w:val="0"/>
                <w:color w:val="FFFFFF" w:themeColor="background1"/>
                <w:szCs w:val="16"/>
              </w:rPr>
              <w:t>e)</w:t>
            </w:r>
          </w:p>
        </w:tc>
        <w:tc>
          <w:tcPr>
            <w:tcW w:w="0" w:type="auto"/>
            <w:gridSpan w:val="2"/>
            <w:shd w:val="clear" w:color="auto" w:fill="1B556B"/>
            <w:tcMar>
              <w:top w:w="0" w:type="dxa"/>
              <w:left w:w="85" w:type="dxa"/>
              <w:bottom w:w="0" w:type="dxa"/>
              <w:right w:w="85" w:type="dxa"/>
            </w:tcMar>
          </w:tcPr>
          <w:p w14:paraId="4ACB88DB" w14:textId="77777777" w:rsidR="00B259A8" w:rsidRPr="0072192C" w:rsidRDefault="00B259A8" w:rsidP="00F16E23">
            <w:pPr>
              <w:pStyle w:val="TableTextBold"/>
              <w:spacing w:before="40" w:after="0"/>
              <w:jc w:val="center"/>
              <w:rPr>
                <w:noProof w:val="0"/>
                <w:color w:val="FFFFFF" w:themeColor="background1"/>
              </w:rPr>
            </w:pPr>
            <w:r w:rsidRPr="0072192C">
              <w:rPr>
                <w:rFonts w:eastAsia="Calibri" w:cs="Calibri"/>
                <w:noProof w:val="0"/>
                <w:color w:val="FFFFFF" w:themeColor="background1"/>
                <w:szCs w:val="16"/>
              </w:rPr>
              <w:t>Change (%)</w:t>
            </w:r>
          </w:p>
        </w:tc>
      </w:tr>
      <w:tr w:rsidR="00B259A8" w:rsidRPr="0072192C" w14:paraId="743FBCE9" w14:textId="77777777" w:rsidTr="00F16E23">
        <w:tc>
          <w:tcPr>
            <w:tcW w:w="0" w:type="auto"/>
            <w:shd w:val="clear" w:color="auto" w:fill="1B556B"/>
            <w:tcMar>
              <w:top w:w="0" w:type="dxa"/>
              <w:left w:w="85" w:type="dxa"/>
              <w:bottom w:w="0" w:type="dxa"/>
              <w:right w:w="85" w:type="dxa"/>
            </w:tcMar>
          </w:tcPr>
          <w:p w14:paraId="3833D740" w14:textId="77777777" w:rsidR="00B259A8" w:rsidRPr="0072192C" w:rsidRDefault="00B259A8" w:rsidP="00F16E23">
            <w:pPr>
              <w:pStyle w:val="TableTextBold"/>
              <w:spacing w:before="40" w:after="40"/>
              <w:rPr>
                <w:noProof w:val="0"/>
                <w:color w:val="FFFFFF" w:themeColor="background1"/>
              </w:rPr>
            </w:pPr>
            <w:r w:rsidRPr="0072192C">
              <w:rPr>
                <w:rFonts w:eastAsia="Calibri" w:cs="Calibri"/>
                <w:noProof w:val="0"/>
                <w:color w:val="FFFFFF" w:themeColor="background1"/>
                <w:szCs w:val="16"/>
              </w:rPr>
              <w:t>Direct greenhouse gas emissions</w:t>
            </w:r>
          </w:p>
        </w:tc>
        <w:tc>
          <w:tcPr>
            <w:tcW w:w="0" w:type="auto"/>
            <w:shd w:val="clear" w:color="auto" w:fill="1B556B"/>
            <w:tcMar>
              <w:top w:w="0" w:type="dxa"/>
              <w:left w:w="85" w:type="dxa"/>
              <w:bottom w:w="0" w:type="dxa"/>
              <w:right w:w="85" w:type="dxa"/>
            </w:tcMar>
          </w:tcPr>
          <w:p w14:paraId="37D5972E"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cs="Calibri"/>
                <w:noProof w:val="0"/>
                <w:color w:val="FFFFFF" w:themeColor="background1"/>
                <w:szCs w:val="16"/>
              </w:rPr>
              <w:t>1990</w:t>
            </w:r>
          </w:p>
        </w:tc>
        <w:tc>
          <w:tcPr>
            <w:tcW w:w="0" w:type="auto"/>
            <w:shd w:val="clear" w:color="auto" w:fill="1B556B"/>
            <w:tcMar>
              <w:top w:w="0" w:type="dxa"/>
              <w:left w:w="85" w:type="dxa"/>
              <w:bottom w:w="0" w:type="dxa"/>
              <w:right w:w="85" w:type="dxa"/>
            </w:tcMar>
          </w:tcPr>
          <w:p w14:paraId="18158CE4"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cs="Calibri"/>
                <w:noProof w:val="0"/>
                <w:color w:val="FFFFFF" w:themeColor="background1"/>
                <w:szCs w:val="16"/>
              </w:rPr>
              <w:t>2005</w:t>
            </w:r>
          </w:p>
        </w:tc>
        <w:tc>
          <w:tcPr>
            <w:tcW w:w="0" w:type="auto"/>
            <w:shd w:val="clear" w:color="auto" w:fill="1B556B"/>
            <w:tcMar>
              <w:top w:w="0" w:type="dxa"/>
              <w:left w:w="85" w:type="dxa"/>
              <w:bottom w:w="0" w:type="dxa"/>
              <w:right w:w="85" w:type="dxa"/>
            </w:tcMar>
          </w:tcPr>
          <w:p w14:paraId="0DCABDC1"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cs="Calibri"/>
                <w:noProof w:val="0"/>
                <w:color w:val="FFFFFF" w:themeColor="background1"/>
                <w:szCs w:val="16"/>
              </w:rPr>
              <w:t>2024</w:t>
            </w:r>
          </w:p>
        </w:tc>
        <w:tc>
          <w:tcPr>
            <w:tcW w:w="0" w:type="auto"/>
            <w:shd w:val="clear" w:color="auto" w:fill="1B556B"/>
            <w:tcMar>
              <w:top w:w="0" w:type="dxa"/>
              <w:left w:w="85" w:type="dxa"/>
              <w:bottom w:w="0" w:type="dxa"/>
              <w:right w:w="85" w:type="dxa"/>
            </w:tcMar>
          </w:tcPr>
          <w:p w14:paraId="35DE4E0F"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cs="Calibri"/>
                <w:noProof w:val="0"/>
                <w:color w:val="FFFFFF" w:themeColor="background1"/>
                <w:szCs w:val="16"/>
              </w:rPr>
              <w:t>1990–2024</w:t>
            </w:r>
          </w:p>
        </w:tc>
        <w:tc>
          <w:tcPr>
            <w:tcW w:w="0" w:type="auto"/>
            <w:shd w:val="clear" w:color="auto" w:fill="1B556B"/>
            <w:tcMar>
              <w:top w:w="0" w:type="dxa"/>
              <w:left w:w="85" w:type="dxa"/>
              <w:bottom w:w="0" w:type="dxa"/>
              <w:right w:w="85" w:type="dxa"/>
            </w:tcMar>
          </w:tcPr>
          <w:p w14:paraId="2C657117"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cs="Calibri"/>
                <w:noProof w:val="0"/>
                <w:color w:val="FFFFFF" w:themeColor="background1"/>
                <w:szCs w:val="16"/>
              </w:rPr>
              <w:t>2005–2024</w:t>
            </w:r>
          </w:p>
        </w:tc>
        <w:tc>
          <w:tcPr>
            <w:tcW w:w="0" w:type="auto"/>
            <w:shd w:val="clear" w:color="auto" w:fill="1B556B"/>
            <w:tcMar>
              <w:top w:w="0" w:type="dxa"/>
              <w:left w:w="85" w:type="dxa"/>
              <w:bottom w:w="0" w:type="dxa"/>
              <w:right w:w="85" w:type="dxa"/>
            </w:tcMar>
          </w:tcPr>
          <w:p w14:paraId="4AB03873"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cs="Calibri"/>
                <w:noProof w:val="0"/>
                <w:color w:val="FFFFFF" w:themeColor="background1"/>
                <w:szCs w:val="16"/>
              </w:rPr>
              <w:t>1990–2024</w:t>
            </w:r>
          </w:p>
        </w:tc>
        <w:tc>
          <w:tcPr>
            <w:tcW w:w="0" w:type="auto"/>
            <w:shd w:val="clear" w:color="auto" w:fill="1B556B"/>
            <w:tcMar>
              <w:top w:w="0" w:type="dxa"/>
              <w:left w:w="85" w:type="dxa"/>
              <w:bottom w:w="0" w:type="dxa"/>
              <w:right w:w="85" w:type="dxa"/>
            </w:tcMar>
          </w:tcPr>
          <w:p w14:paraId="65727D59"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cs="Calibri"/>
                <w:noProof w:val="0"/>
                <w:color w:val="FFFFFF" w:themeColor="background1"/>
                <w:szCs w:val="16"/>
              </w:rPr>
              <w:t>2005–2024</w:t>
            </w:r>
          </w:p>
        </w:tc>
      </w:tr>
      <w:tr w:rsidR="00B259A8" w:rsidRPr="0072192C" w14:paraId="119DEADB" w14:textId="77777777" w:rsidTr="00F16E23">
        <w:tc>
          <w:tcPr>
            <w:tcW w:w="0" w:type="auto"/>
            <w:shd w:val="clear" w:color="auto" w:fill="FFFFFF"/>
            <w:tcMar>
              <w:top w:w="0" w:type="dxa"/>
              <w:left w:w="85" w:type="dxa"/>
              <w:bottom w:w="0" w:type="dxa"/>
              <w:right w:w="85" w:type="dxa"/>
            </w:tcMar>
          </w:tcPr>
          <w:p w14:paraId="4C3F20F8" w14:textId="77777777" w:rsidR="00B259A8" w:rsidRPr="0072192C" w:rsidRDefault="00B259A8" w:rsidP="00F16E23">
            <w:pPr>
              <w:pStyle w:val="TableText"/>
              <w:spacing w:before="40" w:after="40"/>
            </w:pPr>
            <w:r w:rsidRPr="0072192C">
              <w:rPr>
                <w:rFonts w:eastAsia="Calibri"/>
              </w:rPr>
              <w:t>CO</w:t>
            </w:r>
            <w:r w:rsidRPr="0072192C">
              <w:rPr>
                <w:rFonts w:eastAsia="Calibri"/>
                <w:vertAlign w:val="subscript"/>
              </w:rPr>
              <w:t>2</w:t>
            </w:r>
          </w:p>
        </w:tc>
        <w:tc>
          <w:tcPr>
            <w:tcW w:w="0" w:type="auto"/>
            <w:shd w:val="clear" w:color="auto" w:fill="FFFFFF"/>
            <w:tcMar>
              <w:top w:w="0" w:type="dxa"/>
              <w:left w:w="85" w:type="dxa"/>
              <w:bottom w:w="0" w:type="dxa"/>
              <w:right w:w="85" w:type="dxa"/>
            </w:tcMar>
          </w:tcPr>
          <w:p w14:paraId="2CE09A58" w14:textId="77777777" w:rsidR="00B259A8" w:rsidRPr="0072192C" w:rsidRDefault="00B259A8" w:rsidP="00F16E23">
            <w:pPr>
              <w:pStyle w:val="TableText"/>
              <w:spacing w:before="40" w:after="40"/>
              <w:jc w:val="right"/>
            </w:pPr>
            <w:r w:rsidRPr="0072192C">
              <w:rPr>
                <w:rFonts w:eastAsia="Calibri"/>
              </w:rPr>
              <w:t>1.30</w:t>
            </w:r>
          </w:p>
        </w:tc>
        <w:tc>
          <w:tcPr>
            <w:tcW w:w="0" w:type="auto"/>
            <w:shd w:val="clear" w:color="auto" w:fill="FFFFFF"/>
            <w:tcMar>
              <w:top w:w="0" w:type="dxa"/>
              <w:left w:w="85" w:type="dxa"/>
              <w:bottom w:w="0" w:type="dxa"/>
              <w:right w:w="85" w:type="dxa"/>
            </w:tcMar>
          </w:tcPr>
          <w:p w14:paraId="3F8DEA0D" w14:textId="77777777" w:rsidR="00B259A8" w:rsidRPr="0072192C" w:rsidRDefault="00B259A8" w:rsidP="00F16E23">
            <w:pPr>
              <w:pStyle w:val="TableText"/>
              <w:spacing w:before="40" w:after="40"/>
              <w:jc w:val="right"/>
            </w:pPr>
            <w:r w:rsidRPr="0072192C">
              <w:rPr>
                <w:rFonts w:eastAsia="Calibri"/>
              </w:rPr>
              <w:t>2.45</w:t>
            </w:r>
          </w:p>
        </w:tc>
        <w:tc>
          <w:tcPr>
            <w:tcW w:w="0" w:type="auto"/>
            <w:shd w:val="clear" w:color="auto" w:fill="FFFFFF"/>
            <w:tcMar>
              <w:top w:w="0" w:type="dxa"/>
              <w:left w:w="85" w:type="dxa"/>
              <w:bottom w:w="0" w:type="dxa"/>
              <w:right w:w="85" w:type="dxa"/>
            </w:tcMar>
          </w:tcPr>
          <w:p w14:paraId="4258C485" w14:textId="77777777" w:rsidR="00B259A8" w:rsidRPr="0072192C" w:rsidRDefault="00B259A8" w:rsidP="00F16E23">
            <w:pPr>
              <w:pStyle w:val="TableText"/>
              <w:spacing w:before="40" w:after="40"/>
              <w:jc w:val="right"/>
            </w:pPr>
            <w:r w:rsidRPr="0072192C">
              <w:rPr>
                <w:rFonts w:eastAsia="Calibri"/>
              </w:rPr>
              <w:t>2.29</w:t>
            </w:r>
          </w:p>
        </w:tc>
        <w:tc>
          <w:tcPr>
            <w:tcW w:w="0" w:type="auto"/>
            <w:shd w:val="clear" w:color="auto" w:fill="FFFFFF"/>
            <w:tcMar>
              <w:top w:w="0" w:type="dxa"/>
              <w:left w:w="85" w:type="dxa"/>
              <w:bottom w:w="0" w:type="dxa"/>
              <w:right w:w="85" w:type="dxa"/>
            </w:tcMar>
          </w:tcPr>
          <w:p w14:paraId="62780D50" w14:textId="77777777" w:rsidR="00B259A8" w:rsidRPr="0072192C" w:rsidRDefault="00B259A8" w:rsidP="00F16E23">
            <w:pPr>
              <w:pStyle w:val="TableText"/>
              <w:spacing w:before="40" w:after="40"/>
              <w:jc w:val="right"/>
            </w:pPr>
            <w:r w:rsidRPr="0072192C">
              <w:rPr>
                <w:rFonts w:eastAsia="Calibri"/>
              </w:rPr>
              <w:t>0.99</w:t>
            </w:r>
          </w:p>
        </w:tc>
        <w:tc>
          <w:tcPr>
            <w:tcW w:w="0" w:type="auto"/>
            <w:shd w:val="clear" w:color="auto" w:fill="FFFFFF"/>
            <w:tcMar>
              <w:top w:w="0" w:type="dxa"/>
              <w:left w:w="85" w:type="dxa"/>
              <w:bottom w:w="0" w:type="dxa"/>
              <w:right w:w="85" w:type="dxa"/>
            </w:tcMar>
          </w:tcPr>
          <w:p w14:paraId="32A39E97" w14:textId="77777777" w:rsidR="00B259A8" w:rsidRPr="0072192C" w:rsidRDefault="00B259A8" w:rsidP="00F16E23">
            <w:pPr>
              <w:pStyle w:val="TableText"/>
              <w:spacing w:before="40" w:after="40"/>
              <w:jc w:val="right"/>
            </w:pPr>
            <w:r w:rsidRPr="0072192C">
              <w:rPr>
                <w:rFonts w:eastAsia="Calibri"/>
              </w:rPr>
              <w:t>-0.15</w:t>
            </w:r>
          </w:p>
        </w:tc>
        <w:tc>
          <w:tcPr>
            <w:tcW w:w="0" w:type="auto"/>
            <w:shd w:val="clear" w:color="auto" w:fill="FFFFFF"/>
            <w:tcMar>
              <w:top w:w="0" w:type="dxa"/>
              <w:left w:w="85" w:type="dxa"/>
              <w:bottom w:w="0" w:type="dxa"/>
              <w:right w:w="85" w:type="dxa"/>
            </w:tcMar>
          </w:tcPr>
          <w:p w14:paraId="4A07C93E" w14:textId="77777777" w:rsidR="00B259A8" w:rsidRPr="0072192C" w:rsidRDefault="00B259A8" w:rsidP="00F16E23">
            <w:pPr>
              <w:pStyle w:val="TableText"/>
              <w:spacing w:before="40" w:after="40"/>
              <w:jc w:val="right"/>
            </w:pPr>
            <w:r w:rsidRPr="0072192C">
              <w:rPr>
                <w:rFonts w:eastAsia="Calibri"/>
              </w:rPr>
              <w:t>76.65</w:t>
            </w:r>
          </w:p>
        </w:tc>
        <w:tc>
          <w:tcPr>
            <w:tcW w:w="0" w:type="auto"/>
            <w:shd w:val="clear" w:color="auto" w:fill="FFFFFF"/>
            <w:tcMar>
              <w:top w:w="0" w:type="dxa"/>
              <w:left w:w="85" w:type="dxa"/>
              <w:bottom w:w="0" w:type="dxa"/>
              <w:right w:w="85" w:type="dxa"/>
            </w:tcMar>
          </w:tcPr>
          <w:p w14:paraId="27C026D1" w14:textId="77777777" w:rsidR="00B259A8" w:rsidRPr="0072192C" w:rsidRDefault="00B259A8" w:rsidP="00F16E23">
            <w:pPr>
              <w:pStyle w:val="TableText"/>
              <w:spacing w:before="40" w:after="40"/>
              <w:jc w:val="right"/>
            </w:pPr>
            <w:r w:rsidRPr="0072192C">
              <w:rPr>
                <w:rFonts w:eastAsia="Calibri"/>
              </w:rPr>
              <w:t>-6.27</w:t>
            </w:r>
          </w:p>
        </w:tc>
      </w:tr>
      <w:tr w:rsidR="00B259A8" w:rsidRPr="0072192C" w14:paraId="5D473714" w14:textId="77777777" w:rsidTr="00F16E23">
        <w:tc>
          <w:tcPr>
            <w:tcW w:w="0" w:type="auto"/>
            <w:shd w:val="clear" w:color="auto" w:fill="FFFFFF"/>
            <w:tcMar>
              <w:top w:w="0" w:type="dxa"/>
              <w:left w:w="85" w:type="dxa"/>
              <w:bottom w:w="0" w:type="dxa"/>
              <w:right w:w="85" w:type="dxa"/>
            </w:tcMar>
          </w:tcPr>
          <w:p w14:paraId="72479F9C" w14:textId="77777777" w:rsidR="00B259A8" w:rsidRPr="0072192C" w:rsidRDefault="00B259A8" w:rsidP="00F16E23">
            <w:pPr>
              <w:pStyle w:val="TableText"/>
              <w:spacing w:before="40" w:after="40"/>
            </w:pPr>
            <w:r w:rsidRPr="0072192C">
              <w:rPr>
                <w:rFonts w:eastAsia="Calibri"/>
              </w:rPr>
              <w:t>CH</w:t>
            </w:r>
            <w:r w:rsidRPr="0072192C">
              <w:rPr>
                <w:rFonts w:eastAsia="Calibri"/>
                <w:vertAlign w:val="subscript"/>
              </w:rPr>
              <w:t>4</w:t>
            </w:r>
          </w:p>
        </w:tc>
        <w:tc>
          <w:tcPr>
            <w:tcW w:w="0" w:type="auto"/>
            <w:shd w:val="clear" w:color="auto" w:fill="FFFFFF"/>
            <w:tcMar>
              <w:top w:w="0" w:type="dxa"/>
              <w:left w:w="85" w:type="dxa"/>
              <w:bottom w:w="0" w:type="dxa"/>
              <w:right w:w="85" w:type="dxa"/>
            </w:tcMar>
          </w:tcPr>
          <w:p w14:paraId="40C30B86" w14:textId="77777777" w:rsidR="00B259A8" w:rsidRPr="0072192C" w:rsidRDefault="00B259A8" w:rsidP="00F16E23">
            <w:pPr>
              <w:pStyle w:val="TableText"/>
              <w:spacing w:before="40" w:after="40"/>
              <w:jc w:val="right"/>
            </w:pPr>
            <w:r w:rsidRPr="0072192C">
              <w:rPr>
                <w:rFonts w:eastAsia="Calibri"/>
              </w:rPr>
              <w:t>2.00</w:t>
            </w:r>
          </w:p>
        </w:tc>
        <w:tc>
          <w:tcPr>
            <w:tcW w:w="0" w:type="auto"/>
            <w:shd w:val="clear" w:color="auto" w:fill="FFFFFF"/>
            <w:tcMar>
              <w:top w:w="0" w:type="dxa"/>
              <w:left w:w="85" w:type="dxa"/>
              <w:bottom w:w="0" w:type="dxa"/>
              <w:right w:w="85" w:type="dxa"/>
            </w:tcMar>
          </w:tcPr>
          <w:p w14:paraId="159DE43B" w14:textId="77777777" w:rsidR="00B259A8" w:rsidRPr="0072192C" w:rsidRDefault="00B259A8" w:rsidP="00F16E23">
            <w:pPr>
              <w:pStyle w:val="TableText"/>
              <w:spacing w:before="40" w:after="40"/>
              <w:jc w:val="right"/>
            </w:pPr>
            <w:r w:rsidRPr="0072192C">
              <w:rPr>
                <w:rFonts w:eastAsia="Calibri"/>
              </w:rPr>
              <w:t>2.16</w:t>
            </w:r>
          </w:p>
        </w:tc>
        <w:tc>
          <w:tcPr>
            <w:tcW w:w="0" w:type="auto"/>
            <w:shd w:val="clear" w:color="auto" w:fill="FFFFFF"/>
            <w:tcMar>
              <w:top w:w="0" w:type="dxa"/>
              <w:left w:w="85" w:type="dxa"/>
              <w:bottom w:w="0" w:type="dxa"/>
              <w:right w:w="85" w:type="dxa"/>
            </w:tcMar>
          </w:tcPr>
          <w:p w14:paraId="65496906" w14:textId="77777777" w:rsidR="00B259A8" w:rsidRPr="0072192C" w:rsidRDefault="00B259A8" w:rsidP="00F16E23">
            <w:pPr>
              <w:pStyle w:val="TableText"/>
              <w:spacing w:before="40" w:after="40"/>
              <w:jc w:val="right"/>
            </w:pPr>
            <w:r w:rsidRPr="0072192C">
              <w:rPr>
                <w:rFonts w:eastAsia="Calibri"/>
              </w:rPr>
              <w:t>1.66</w:t>
            </w:r>
          </w:p>
        </w:tc>
        <w:tc>
          <w:tcPr>
            <w:tcW w:w="0" w:type="auto"/>
            <w:shd w:val="clear" w:color="auto" w:fill="FFFFFF"/>
            <w:tcMar>
              <w:top w:w="0" w:type="dxa"/>
              <w:left w:w="85" w:type="dxa"/>
              <w:bottom w:w="0" w:type="dxa"/>
              <w:right w:w="85" w:type="dxa"/>
            </w:tcMar>
          </w:tcPr>
          <w:p w14:paraId="4C4EF0DB" w14:textId="77777777" w:rsidR="00B259A8" w:rsidRPr="0072192C" w:rsidRDefault="00B259A8" w:rsidP="00F16E23">
            <w:pPr>
              <w:pStyle w:val="TableText"/>
              <w:spacing w:before="40" w:after="40"/>
              <w:jc w:val="right"/>
            </w:pPr>
            <w:r w:rsidRPr="0072192C">
              <w:rPr>
                <w:rFonts w:eastAsia="Calibri"/>
              </w:rPr>
              <w:t>-0.34</w:t>
            </w:r>
          </w:p>
        </w:tc>
        <w:tc>
          <w:tcPr>
            <w:tcW w:w="0" w:type="auto"/>
            <w:shd w:val="clear" w:color="auto" w:fill="FFFFFF"/>
            <w:tcMar>
              <w:top w:w="0" w:type="dxa"/>
              <w:left w:w="85" w:type="dxa"/>
              <w:bottom w:w="0" w:type="dxa"/>
              <w:right w:w="85" w:type="dxa"/>
            </w:tcMar>
          </w:tcPr>
          <w:p w14:paraId="0B7AEE0F" w14:textId="77777777" w:rsidR="00B259A8" w:rsidRPr="0072192C" w:rsidRDefault="00B259A8" w:rsidP="00F16E23">
            <w:pPr>
              <w:pStyle w:val="TableText"/>
              <w:spacing w:before="40" w:after="40"/>
              <w:jc w:val="right"/>
            </w:pPr>
            <w:r w:rsidRPr="0072192C">
              <w:rPr>
                <w:rFonts w:eastAsia="Calibri"/>
              </w:rPr>
              <w:t>-0.50</w:t>
            </w:r>
          </w:p>
        </w:tc>
        <w:tc>
          <w:tcPr>
            <w:tcW w:w="0" w:type="auto"/>
            <w:shd w:val="clear" w:color="auto" w:fill="FFFFFF"/>
            <w:tcMar>
              <w:top w:w="0" w:type="dxa"/>
              <w:left w:w="85" w:type="dxa"/>
              <w:bottom w:w="0" w:type="dxa"/>
              <w:right w:w="85" w:type="dxa"/>
            </w:tcMar>
          </w:tcPr>
          <w:p w14:paraId="060B6987" w14:textId="77777777" w:rsidR="00B259A8" w:rsidRPr="0072192C" w:rsidRDefault="00B259A8" w:rsidP="00F16E23">
            <w:pPr>
              <w:pStyle w:val="TableText"/>
              <w:spacing w:before="40" w:after="40"/>
              <w:jc w:val="right"/>
            </w:pPr>
            <w:r w:rsidRPr="0072192C">
              <w:rPr>
                <w:rFonts w:eastAsia="Calibri"/>
              </w:rPr>
              <w:t>-17.15</w:t>
            </w:r>
          </w:p>
        </w:tc>
        <w:tc>
          <w:tcPr>
            <w:tcW w:w="0" w:type="auto"/>
            <w:shd w:val="clear" w:color="auto" w:fill="FFFFFF"/>
            <w:tcMar>
              <w:top w:w="0" w:type="dxa"/>
              <w:left w:w="85" w:type="dxa"/>
              <w:bottom w:w="0" w:type="dxa"/>
              <w:right w:w="85" w:type="dxa"/>
            </w:tcMar>
          </w:tcPr>
          <w:p w14:paraId="7EDC1CBB" w14:textId="77777777" w:rsidR="00B259A8" w:rsidRPr="0072192C" w:rsidRDefault="00B259A8" w:rsidP="00F16E23">
            <w:pPr>
              <w:pStyle w:val="TableText"/>
              <w:spacing w:before="40" w:after="40"/>
              <w:jc w:val="right"/>
            </w:pPr>
            <w:r w:rsidRPr="0072192C">
              <w:rPr>
                <w:rFonts w:eastAsia="Calibri"/>
              </w:rPr>
              <w:t>-23.27</w:t>
            </w:r>
          </w:p>
        </w:tc>
      </w:tr>
      <w:tr w:rsidR="00B259A8" w:rsidRPr="0072192C" w14:paraId="636F3517" w14:textId="77777777" w:rsidTr="00F16E23">
        <w:tc>
          <w:tcPr>
            <w:tcW w:w="0" w:type="auto"/>
            <w:shd w:val="clear" w:color="auto" w:fill="FFFFFF"/>
            <w:tcMar>
              <w:top w:w="0" w:type="dxa"/>
              <w:left w:w="85" w:type="dxa"/>
              <w:bottom w:w="0" w:type="dxa"/>
              <w:right w:w="85" w:type="dxa"/>
            </w:tcMar>
          </w:tcPr>
          <w:p w14:paraId="1018F1EE" w14:textId="77777777" w:rsidR="00B259A8" w:rsidRPr="0072192C" w:rsidRDefault="00B259A8" w:rsidP="00F16E23">
            <w:pPr>
              <w:pStyle w:val="TableText"/>
              <w:spacing w:before="40" w:after="40"/>
            </w:pPr>
            <w:r w:rsidRPr="0072192C">
              <w:rPr>
                <w:rFonts w:eastAsia="Calibri"/>
              </w:rPr>
              <w:t>N</w:t>
            </w:r>
            <w:r w:rsidRPr="0072192C">
              <w:rPr>
                <w:rFonts w:eastAsia="Calibri"/>
                <w:vertAlign w:val="subscript"/>
              </w:rPr>
              <w:t>2</w:t>
            </w:r>
            <w:r w:rsidRPr="0072192C">
              <w:rPr>
                <w:rFonts w:eastAsia="Calibri"/>
              </w:rPr>
              <w:t>O</w:t>
            </w:r>
          </w:p>
        </w:tc>
        <w:tc>
          <w:tcPr>
            <w:tcW w:w="0" w:type="auto"/>
            <w:shd w:val="clear" w:color="auto" w:fill="FFFFFF"/>
            <w:tcMar>
              <w:top w:w="0" w:type="dxa"/>
              <w:left w:w="85" w:type="dxa"/>
              <w:bottom w:w="0" w:type="dxa"/>
              <w:right w:w="85" w:type="dxa"/>
            </w:tcMar>
          </w:tcPr>
          <w:p w14:paraId="2805EE03" w14:textId="77777777" w:rsidR="00B259A8" w:rsidRPr="0072192C" w:rsidRDefault="00B259A8" w:rsidP="00F16E23">
            <w:pPr>
              <w:pStyle w:val="TableText"/>
              <w:spacing w:before="40" w:after="40"/>
              <w:jc w:val="right"/>
            </w:pPr>
            <w:r w:rsidRPr="0072192C">
              <w:rPr>
                <w:rFonts w:eastAsia="Calibri"/>
              </w:rPr>
              <w:t>0.08</w:t>
            </w:r>
          </w:p>
        </w:tc>
        <w:tc>
          <w:tcPr>
            <w:tcW w:w="0" w:type="auto"/>
            <w:shd w:val="clear" w:color="auto" w:fill="FFFFFF"/>
            <w:tcMar>
              <w:top w:w="0" w:type="dxa"/>
              <w:left w:w="85" w:type="dxa"/>
              <w:bottom w:w="0" w:type="dxa"/>
              <w:right w:w="85" w:type="dxa"/>
            </w:tcMar>
          </w:tcPr>
          <w:p w14:paraId="0688A590" w14:textId="77777777" w:rsidR="00B259A8" w:rsidRPr="0072192C" w:rsidRDefault="00B259A8" w:rsidP="00F16E23">
            <w:pPr>
              <w:pStyle w:val="TableText"/>
              <w:spacing w:before="40" w:after="40"/>
              <w:jc w:val="right"/>
            </w:pPr>
            <w:r w:rsidRPr="0072192C">
              <w:rPr>
                <w:rFonts w:eastAsia="Calibri"/>
              </w:rPr>
              <w:t>0.03</w:t>
            </w:r>
          </w:p>
        </w:tc>
        <w:tc>
          <w:tcPr>
            <w:tcW w:w="0" w:type="auto"/>
            <w:shd w:val="clear" w:color="auto" w:fill="FFFFFF"/>
            <w:tcMar>
              <w:top w:w="0" w:type="dxa"/>
              <w:left w:w="85" w:type="dxa"/>
              <w:bottom w:w="0" w:type="dxa"/>
              <w:right w:w="85" w:type="dxa"/>
            </w:tcMar>
          </w:tcPr>
          <w:p w14:paraId="434428D4" w14:textId="77777777" w:rsidR="00B259A8" w:rsidRPr="0072192C" w:rsidRDefault="00B259A8" w:rsidP="00F16E23">
            <w:pPr>
              <w:pStyle w:val="TableText"/>
              <w:spacing w:before="40" w:after="40"/>
              <w:jc w:val="right"/>
            </w:pPr>
            <w:r w:rsidRPr="0072192C">
              <w:rPr>
                <w:rFonts w:eastAsia="Calibri"/>
              </w:rPr>
              <w:t>0.05</w:t>
            </w:r>
          </w:p>
        </w:tc>
        <w:tc>
          <w:tcPr>
            <w:tcW w:w="0" w:type="auto"/>
            <w:shd w:val="clear" w:color="auto" w:fill="FFFFFF"/>
            <w:tcMar>
              <w:top w:w="0" w:type="dxa"/>
              <w:left w:w="85" w:type="dxa"/>
              <w:bottom w:w="0" w:type="dxa"/>
              <w:right w:w="85" w:type="dxa"/>
            </w:tcMar>
          </w:tcPr>
          <w:p w14:paraId="28DF2A9A" w14:textId="77777777" w:rsidR="00B259A8" w:rsidRPr="0072192C" w:rsidRDefault="00B259A8" w:rsidP="00F16E23">
            <w:pPr>
              <w:pStyle w:val="TableText"/>
              <w:spacing w:before="40" w:after="40"/>
              <w:jc w:val="right"/>
            </w:pPr>
            <w:r w:rsidRPr="0072192C">
              <w:rPr>
                <w:rFonts w:eastAsia="Calibri"/>
              </w:rPr>
              <w:t>-0.03</w:t>
            </w:r>
          </w:p>
        </w:tc>
        <w:tc>
          <w:tcPr>
            <w:tcW w:w="0" w:type="auto"/>
            <w:shd w:val="clear" w:color="auto" w:fill="FFFFFF"/>
            <w:tcMar>
              <w:top w:w="0" w:type="dxa"/>
              <w:left w:w="85" w:type="dxa"/>
              <w:bottom w:w="0" w:type="dxa"/>
              <w:right w:w="85" w:type="dxa"/>
            </w:tcMar>
          </w:tcPr>
          <w:p w14:paraId="14722AC4" w14:textId="77777777" w:rsidR="00B259A8" w:rsidRPr="0072192C" w:rsidRDefault="00B259A8" w:rsidP="00F16E23">
            <w:pPr>
              <w:pStyle w:val="TableText"/>
              <w:spacing w:before="40" w:after="40"/>
              <w:jc w:val="right"/>
            </w:pPr>
            <w:r w:rsidRPr="0072192C">
              <w:rPr>
                <w:rFonts w:eastAsia="Calibri"/>
              </w:rPr>
              <w:t>0.01</w:t>
            </w:r>
          </w:p>
        </w:tc>
        <w:tc>
          <w:tcPr>
            <w:tcW w:w="0" w:type="auto"/>
            <w:shd w:val="clear" w:color="auto" w:fill="FFFFFF"/>
            <w:tcMar>
              <w:top w:w="0" w:type="dxa"/>
              <w:left w:w="85" w:type="dxa"/>
              <w:bottom w:w="0" w:type="dxa"/>
              <w:right w:w="85" w:type="dxa"/>
            </w:tcMar>
          </w:tcPr>
          <w:p w14:paraId="7ADF6C5A" w14:textId="77777777" w:rsidR="00B259A8" w:rsidRPr="0072192C" w:rsidRDefault="00B259A8" w:rsidP="00F16E23">
            <w:pPr>
              <w:pStyle w:val="TableText"/>
              <w:spacing w:before="40" w:after="40"/>
              <w:jc w:val="right"/>
            </w:pPr>
            <w:r w:rsidRPr="0072192C">
              <w:rPr>
                <w:rFonts w:eastAsia="Calibri"/>
              </w:rPr>
              <w:t>-34.82</w:t>
            </w:r>
          </w:p>
        </w:tc>
        <w:tc>
          <w:tcPr>
            <w:tcW w:w="0" w:type="auto"/>
            <w:shd w:val="clear" w:color="auto" w:fill="FFFFFF"/>
            <w:tcMar>
              <w:top w:w="0" w:type="dxa"/>
              <w:left w:w="85" w:type="dxa"/>
              <w:bottom w:w="0" w:type="dxa"/>
              <w:right w:w="85" w:type="dxa"/>
            </w:tcMar>
          </w:tcPr>
          <w:p w14:paraId="684CC004" w14:textId="77777777" w:rsidR="00B259A8" w:rsidRPr="0072192C" w:rsidRDefault="00B259A8" w:rsidP="00F16E23">
            <w:pPr>
              <w:pStyle w:val="TableText"/>
              <w:spacing w:before="40" w:after="40"/>
              <w:jc w:val="right"/>
            </w:pPr>
            <w:r w:rsidRPr="0072192C">
              <w:rPr>
                <w:rFonts w:eastAsia="Calibri"/>
              </w:rPr>
              <w:t>43.64</w:t>
            </w:r>
          </w:p>
        </w:tc>
      </w:tr>
      <w:tr w:rsidR="00B259A8" w:rsidRPr="0072192C" w14:paraId="7DF313B4" w14:textId="77777777" w:rsidTr="00F16E23">
        <w:tc>
          <w:tcPr>
            <w:tcW w:w="0" w:type="auto"/>
            <w:shd w:val="clear" w:color="auto" w:fill="FFFFFF"/>
            <w:tcMar>
              <w:top w:w="0" w:type="dxa"/>
              <w:left w:w="85" w:type="dxa"/>
              <w:bottom w:w="0" w:type="dxa"/>
              <w:right w:w="85" w:type="dxa"/>
            </w:tcMar>
          </w:tcPr>
          <w:p w14:paraId="3C5492D1" w14:textId="77777777" w:rsidR="00B259A8" w:rsidRPr="0072192C" w:rsidRDefault="00B259A8" w:rsidP="00F16E23">
            <w:pPr>
              <w:pStyle w:val="TableText"/>
              <w:spacing w:before="40" w:after="40"/>
            </w:pPr>
            <w:r w:rsidRPr="0072192C">
              <w:rPr>
                <w:rFonts w:eastAsia="Calibri"/>
              </w:rPr>
              <w:t>HFCs</w:t>
            </w:r>
          </w:p>
        </w:tc>
        <w:tc>
          <w:tcPr>
            <w:tcW w:w="0" w:type="auto"/>
            <w:shd w:val="clear" w:color="auto" w:fill="FFFFFF"/>
            <w:tcMar>
              <w:top w:w="0" w:type="dxa"/>
              <w:left w:w="85" w:type="dxa"/>
              <w:bottom w:w="0" w:type="dxa"/>
              <w:right w:w="85" w:type="dxa"/>
            </w:tcMar>
          </w:tcPr>
          <w:p w14:paraId="13911F24"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416458EE" w14:textId="77777777" w:rsidR="00B259A8" w:rsidRPr="0072192C" w:rsidRDefault="00B259A8" w:rsidP="00F16E23">
            <w:pPr>
              <w:pStyle w:val="TableText"/>
              <w:spacing w:before="40" w:after="40"/>
              <w:jc w:val="right"/>
            </w:pPr>
            <w:r w:rsidRPr="0072192C">
              <w:rPr>
                <w:rFonts w:eastAsia="Calibri"/>
              </w:rPr>
              <w:t>0.07</w:t>
            </w:r>
          </w:p>
        </w:tc>
        <w:tc>
          <w:tcPr>
            <w:tcW w:w="0" w:type="auto"/>
            <w:shd w:val="clear" w:color="auto" w:fill="FFFFFF"/>
            <w:tcMar>
              <w:top w:w="0" w:type="dxa"/>
              <w:left w:w="85" w:type="dxa"/>
              <w:bottom w:w="0" w:type="dxa"/>
              <w:right w:w="85" w:type="dxa"/>
            </w:tcMar>
          </w:tcPr>
          <w:p w14:paraId="41B48CC9" w14:textId="77777777" w:rsidR="00B259A8" w:rsidRPr="0072192C" w:rsidRDefault="00B259A8" w:rsidP="00F16E23">
            <w:pPr>
              <w:pStyle w:val="TableText"/>
              <w:spacing w:before="40" w:after="40"/>
              <w:jc w:val="right"/>
            </w:pPr>
            <w:r w:rsidRPr="0072192C">
              <w:rPr>
                <w:rFonts w:eastAsia="Calibri"/>
              </w:rPr>
              <w:t>0.21</w:t>
            </w:r>
          </w:p>
        </w:tc>
        <w:tc>
          <w:tcPr>
            <w:tcW w:w="0" w:type="auto"/>
            <w:shd w:val="clear" w:color="auto" w:fill="FFFFFF"/>
            <w:tcMar>
              <w:top w:w="0" w:type="dxa"/>
              <w:left w:w="85" w:type="dxa"/>
              <w:bottom w:w="0" w:type="dxa"/>
              <w:right w:w="85" w:type="dxa"/>
            </w:tcMar>
          </w:tcPr>
          <w:p w14:paraId="4689CB31" w14:textId="77777777" w:rsidR="00B259A8" w:rsidRPr="0072192C" w:rsidRDefault="00B259A8" w:rsidP="00F16E23">
            <w:pPr>
              <w:pStyle w:val="TableText"/>
              <w:spacing w:before="40" w:after="40"/>
              <w:jc w:val="right"/>
            </w:pPr>
            <w:r w:rsidRPr="0072192C">
              <w:rPr>
                <w:rFonts w:eastAsia="Calibri"/>
              </w:rPr>
              <w:t>0.21</w:t>
            </w:r>
          </w:p>
        </w:tc>
        <w:tc>
          <w:tcPr>
            <w:tcW w:w="0" w:type="auto"/>
            <w:shd w:val="clear" w:color="auto" w:fill="FFFFFF"/>
            <w:tcMar>
              <w:top w:w="0" w:type="dxa"/>
              <w:left w:w="85" w:type="dxa"/>
              <w:bottom w:w="0" w:type="dxa"/>
              <w:right w:w="85" w:type="dxa"/>
            </w:tcMar>
          </w:tcPr>
          <w:p w14:paraId="2F44FE47" w14:textId="77777777" w:rsidR="00B259A8" w:rsidRPr="0072192C" w:rsidRDefault="00B259A8" w:rsidP="00F16E23">
            <w:pPr>
              <w:pStyle w:val="TableText"/>
              <w:spacing w:before="40" w:after="40"/>
              <w:jc w:val="right"/>
            </w:pPr>
            <w:r w:rsidRPr="0072192C">
              <w:rPr>
                <w:rFonts w:eastAsia="Calibri"/>
              </w:rPr>
              <w:t>0.14</w:t>
            </w:r>
          </w:p>
        </w:tc>
        <w:tc>
          <w:tcPr>
            <w:tcW w:w="0" w:type="auto"/>
            <w:shd w:val="clear" w:color="auto" w:fill="FFFFFF"/>
            <w:tcMar>
              <w:top w:w="0" w:type="dxa"/>
              <w:left w:w="85" w:type="dxa"/>
              <w:bottom w:w="0" w:type="dxa"/>
              <w:right w:w="85" w:type="dxa"/>
            </w:tcMar>
          </w:tcPr>
          <w:p w14:paraId="04DBBDB7"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7D09D9BD" w14:textId="77777777" w:rsidR="00B259A8" w:rsidRPr="0072192C" w:rsidRDefault="00B259A8" w:rsidP="00F16E23">
            <w:pPr>
              <w:pStyle w:val="TableText"/>
              <w:spacing w:before="40" w:after="40"/>
              <w:jc w:val="right"/>
            </w:pPr>
            <w:r w:rsidRPr="0072192C">
              <w:rPr>
                <w:rFonts w:eastAsia="Calibri"/>
              </w:rPr>
              <w:t>201.79</w:t>
            </w:r>
          </w:p>
        </w:tc>
      </w:tr>
      <w:tr w:rsidR="00B259A8" w:rsidRPr="0072192C" w14:paraId="7011A35A" w14:textId="77777777" w:rsidTr="00F16E23">
        <w:tc>
          <w:tcPr>
            <w:tcW w:w="0" w:type="auto"/>
            <w:shd w:val="clear" w:color="auto" w:fill="FFFFFF"/>
            <w:tcMar>
              <w:top w:w="0" w:type="dxa"/>
              <w:left w:w="85" w:type="dxa"/>
              <w:bottom w:w="0" w:type="dxa"/>
              <w:right w:w="85" w:type="dxa"/>
            </w:tcMar>
          </w:tcPr>
          <w:p w14:paraId="7147DDE5" w14:textId="77777777" w:rsidR="00B259A8" w:rsidRPr="0072192C" w:rsidRDefault="00B259A8" w:rsidP="00F16E23">
            <w:pPr>
              <w:pStyle w:val="TableText"/>
              <w:spacing w:before="40" w:after="40"/>
            </w:pPr>
            <w:r w:rsidRPr="0072192C">
              <w:rPr>
                <w:rFonts w:eastAsia="Calibri"/>
              </w:rPr>
              <w:t>PFCs</w:t>
            </w:r>
          </w:p>
        </w:tc>
        <w:tc>
          <w:tcPr>
            <w:tcW w:w="0" w:type="auto"/>
            <w:shd w:val="clear" w:color="auto" w:fill="FFFFFF"/>
            <w:tcMar>
              <w:top w:w="0" w:type="dxa"/>
              <w:left w:w="85" w:type="dxa"/>
              <w:bottom w:w="0" w:type="dxa"/>
              <w:right w:w="85" w:type="dxa"/>
            </w:tcMar>
          </w:tcPr>
          <w:p w14:paraId="6D187D9E"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5F981819"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68E1611A"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29572379"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0EF8AA8F"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74B3DC01"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330C0B13" w14:textId="77777777" w:rsidR="00B259A8" w:rsidRPr="0072192C" w:rsidRDefault="00B259A8" w:rsidP="00F16E23">
            <w:pPr>
              <w:pStyle w:val="TableText"/>
              <w:spacing w:before="40" w:after="40"/>
              <w:jc w:val="right"/>
            </w:pPr>
            <w:r w:rsidRPr="0072192C">
              <w:rPr>
                <w:rFonts w:eastAsia="Calibri"/>
              </w:rPr>
              <w:t>NA</w:t>
            </w:r>
          </w:p>
        </w:tc>
      </w:tr>
      <w:tr w:rsidR="00B259A8" w:rsidRPr="0072192C" w14:paraId="47320A75" w14:textId="77777777" w:rsidTr="00F16E23">
        <w:tc>
          <w:tcPr>
            <w:tcW w:w="0" w:type="auto"/>
            <w:shd w:val="clear" w:color="auto" w:fill="FFFFFF"/>
            <w:tcMar>
              <w:top w:w="0" w:type="dxa"/>
              <w:left w:w="85" w:type="dxa"/>
              <w:bottom w:w="0" w:type="dxa"/>
              <w:right w:w="85" w:type="dxa"/>
            </w:tcMar>
          </w:tcPr>
          <w:p w14:paraId="6FB4B086" w14:textId="77777777" w:rsidR="00B259A8" w:rsidRPr="0072192C" w:rsidRDefault="00B259A8" w:rsidP="00F16E23">
            <w:pPr>
              <w:pStyle w:val="TableText"/>
              <w:spacing w:before="40" w:after="40"/>
            </w:pPr>
            <w:r w:rsidRPr="0072192C">
              <w:rPr>
                <w:rFonts w:eastAsia="Calibri"/>
              </w:rPr>
              <w:t>SF</w:t>
            </w:r>
            <w:r w:rsidRPr="0072192C">
              <w:rPr>
                <w:rFonts w:eastAsia="Calibri"/>
                <w:vertAlign w:val="subscript"/>
              </w:rPr>
              <w:t>6</w:t>
            </w:r>
          </w:p>
        </w:tc>
        <w:tc>
          <w:tcPr>
            <w:tcW w:w="0" w:type="auto"/>
            <w:shd w:val="clear" w:color="auto" w:fill="FFFFFF"/>
            <w:tcMar>
              <w:top w:w="0" w:type="dxa"/>
              <w:left w:w="85" w:type="dxa"/>
              <w:bottom w:w="0" w:type="dxa"/>
              <w:right w:w="85" w:type="dxa"/>
            </w:tcMar>
          </w:tcPr>
          <w:p w14:paraId="01E4F633"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47C5BD32"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07F809A0"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5195FD2A"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021E1D63"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585A0C5F"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11997534" w14:textId="77777777" w:rsidR="00B259A8" w:rsidRPr="0072192C" w:rsidRDefault="00B259A8" w:rsidP="00F16E23">
            <w:pPr>
              <w:pStyle w:val="TableText"/>
              <w:spacing w:before="40" w:after="40"/>
              <w:jc w:val="right"/>
            </w:pPr>
            <w:r w:rsidRPr="0072192C">
              <w:rPr>
                <w:rFonts w:eastAsia="Calibri"/>
              </w:rPr>
              <w:t>NA</w:t>
            </w:r>
          </w:p>
        </w:tc>
      </w:tr>
      <w:tr w:rsidR="00B259A8" w:rsidRPr="0072192C" w14:paraId="49C40BEF" w14:textId="77777777" w:rsidTr="00F16E23">
        <w:tc>
          <w:tcPr>
            <w:tcW w:w="0" w:type="auto"/>
            <w:shd w:val="clear" w:color="auto" w:fill="FFFFFF"/>
            <w:tcMar>
              <w:top w:w="0" w:type="dxa"/>
              <w:left w:w="85" w:type="dxa"/>
              <w:bottom w:w="0" w:type="dxa"/>
              <w:right w:w="85" w:type="dxa"/>
            </w:tcMar>
          </w:tcPr>
          <w:p w14:paraId="65C7F7AE" w14:textId="77777777" w:rsidR="00B259A8" w:rsidRPr="0072192C" w:rsidRDefault="00B259A8" w:rsidP="00F16E23">
            <w:pPr>
              <w:pStyle w:val="TableText"/>
              <w:spacing w:before="40" w:after="40"/>
            </w:pPr>
            <w:r w:rsidRPr="0072192C">
              <w:rPr>
                <w:rFonts w:eastAsia="Calibri"/>
              </w:rPr>
              <w:t>NF</w:t>
            </w:r>
            <w:r w:rsidRPr="0072192C">
              <w:rPr>
                <w:rFonts w:eastAsia="Calibri"/>
                <w:vertAlign w:val="subscript"/>
              </w:rPr>
              <w:t>3</w:t>
            </w:r>
          </w:p>
        </w:tc>
        <w:tc>
          <w:tcPr>
            <w:tcW w:w="0" w:type="auto"/>
            <w:shd w:val="clear" w:color="auto" w:fill="FFFFFF"/>
            <w:tcMar>
              <w:top w:w="0" w:type="dxa"/>
              <w:left w:w="85" w:type="dxa"/>
              <w:bottom w:w="0" w:type="dxa"/>
              <w:right w:w="85" w:type="dxa"/>
            </w:tcMar>
          </w:tcPr>
          <w:p w14:paraId="4375AB7F"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14410673"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1DA11F0E" w14:textId="77777777" w:rsidR="00B259A8" w:rsidRPr="0072192C" w:rsidRDefault="00B259A8" w:rsidP="00F16E23">
            <w:pPr>
              <w:pStyle w:val="TableText"/>
              <w:spacing w:before="40" w:after="40"/>
              <w:jc w:val="right"/>
            </w:pPr>
            <w:r w:rsidRPr="0072192C">
              <w:rPr>
                <w:rFonts w:eastAsia="Calibri"/>
              </w:rPr>
              <w:t>NO</w:t>
            </w:r>
          </w:p>
        </w:tc>
        <w:tc>
          <w:tcPr>
            <w:tcW w:w="0" w:type="auto"/>
            <w:shd w:val="clear" w:color="auto" w:fill="FFFFFF"/>
            <w:tcMar>
              <w:top w:w="0" w:type="dxa"/>
              <w:left w:w="85" w:type="dxa"/>
              <w:bottom w:w="0" w:type="dxa"/>
              <w:right w:w="85" w:type="dxa"/>
            </w:tcMar>
          </w:tcPr>
          <w:p w14:paraId="4931152E"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7B066F48"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40E81ABD" w14:textId="77777777" w:rsidR="00B259A8" w:rsidRPr="0072192C" w:rsidRDefault="00B259A8" w:rsidP="00F16E23">
            <w:pPr>
              <w:pStyle w:val="TableText"/>
              <w:spacing w:before="40" w:after="40"/>
              <w:jc w:val="right"/>
            </w:pPr>
            <w:r w:rsidRPr="0072192C">
              <w:rPr>
                <w:rFonts w:eastAsia="Calibri"/>
              </w:rPr>
              <w:t>NA</w:t>
            </w:r>
          </w:p>
        </w:tc>
        <w:tc>
          <w:tcPr>
            <w:tcW w:w="0" w:type="auto"/>
            <w:shd w:val="clear" w:color="auto" w:fill="FFFFFF"/>
            <w:tcMar>
              <w:top w:w="0" w:type="dxa"/>
              <w:left w:w="85" w:type="dxa"/>
              <w:bottom w:w="0" w:type="dxa"/>
              <w:right w:w="85" w:type="dxa"/>
            </w:tcMar>
          </w:tcPr>
          <w:p w14:paraId="2356889F" w14:textId="77777777" w:rsidR="00B259A8" w:rsidRPr="0072192C" w:rsidRDefault="00B259A8" w:rsidP="00F16E23">
            <w:pPr>
              <w:pStyle w:val="TableText"/>
              <w:spacing w:before="40" w:after="40"/>
              <w:jc w:val="right"/>
            </w:pPr>
            <w:r w:rsidRPr="0072192C">
              <w:rPr>
                <w:rFonts w:eastAsia="Calibri"/>
              </w:rPr>
              <w:t>NA</w:t>
            </w:r>
          </w:p>
        </w:tc>
      </w:tr>
      <w:tr w:rsidR="00B259A8" w:rsidRPr="0072192C" w14:paraId="4D5363E3" w14:textId="77777777" w:rsidTr="00F16E23">
        <w:tc>
          <w:tcPr>
            <w:tcW w:w="0" w:type="auto"/>
            <w:shd w:val="clear" w:color="auto" w:fill="FFFFFF"/>
            <w:tcMar>
              <w:top w:w="0" w:type="dxa"/>
              <w:left w:w="85" w:type="dxa"/>
              <w:bottom w:w="0" w:type="dxa"/>
              <w:right w:w="85" w:type="dxa"/>
            </w:tcMar>
          </w:tcPr>
          <w:p w14:paraId="010AB74E" w14:textId="77777777" w:rsidR="00B259A8" w:rsidRPr="0072192C" w:rsidRDefault="00B259A8" w:rsidP="00F16E23">
            <w:pPr>
              <w:pStyle w:val="Tableboldblue"/>
              <w:spacing w:before="40" w:after="40"/>
            </w:pPr>
            <w:r w:rsidRPr="0072192C">
              <w:rPr>
                <w:rFonts w:eastAsia="Calibri"/>
              </w:rPr>
              <w:t>Gross, all gases</w:t>
            </w:r>
          </w:p>
        </w:tc>
        <w:tc>
          <w:tcPr>
            <w:tcW w:w="0" w:type="auto"/>
            <w:shd w:val="clear" w:color="auto" w:fill="FFFFFF"/>
            <w:tcMar>
              <w:top w:w="0" w:type="dxa"/>
              <w:left w:w="85" w:type="dxa"/>
              <w:bottom w:w="0" w:type="dxa"/>
              <w:right w:w="85" w:type="dxa"/>
            </w:tcMar>
          </w:tcPr>
          <w:p w14:paraId="1326D8E5" w14:textId="77777777" w:rsidR="00B259A8" w:rsidRPr="0072192C" w:rsidRDefault="00B259A8" w:rsidP="00F16E23">
            <w:pPr>
              <w:pStyle w:val="Tableboldblue"/>
              <w:spacing w:before="40" w:after="40"/>
              <w:jc w:val="right"/>
            </w:pPr>
            <w:r w:rsidRPr="0072192C">
              <w:rPr>
                <w:rFonts w:eastAsia="Calibri"/>
              </w:rPr>
              <w:t>3.37</w:t>
            </w:r>
          </w:p>
        </w:tc>
        <w:tc>
          <w:tcPr>
            <w:tcW w:w="0" w:type="auto"/>
            <w:shd w:val="clear" w:color="auto" w:fill="FFFFFF"/>
            <w:tcMar>
              <w:top w:w="0" w:type="dxa"/>
              <w:left w:w="85" w:type="dxa"/>
              <w:bottom w:w="0" w:type="dxa"/>
              <w:right w:w="85" w:type="dxa"/>
            </w:tcMar>
          </w:tcPr>
          <w:p w14:paraId="545B8D74" w14:textId="77777777" w:rsidR="00B259A8" w:rsidRPr="0072192C" w:rsidRDefault="00B259A8" w:rsidP="00F16E23">
            <w:pPr>
              <w:pStyle w:val="Tableboldblue"/>
              <w:spacing w:before="40" w:after="40"/>
              <w:jc w:val="right"/>
            </w:pPr>
            <w:r w:rsidRPr="0072192C">
              <w:rPr>
                <w:rFonts w:eastAsia="Calibri"/>
              </w:rPr>
              <w:t>4.71</w:t>
            </w:r>
          </w:p>
        </w:tc>
        <w:tc>
          <w:tcPr>
            <w:tcW w:w="0" w:type="auto"/>
            <w:shd w:val="clear" w:color="auto" w:fill="FFFFFF"/>
            <w:tcMar>
              <w:top w:w="0" w:type="dxa"/>
              <w:left w:w="85" w:type="dxa"/>
              <w:bottom w:w="0" w:type="dxa"/>
              <w:right w:w="85" w:type="dxa"/>
            </w:tcMar>
          </w:tcPr>
          <w:p w14:paraId="574E6C53" w14:textId="77777777" w:rsidR="00B259A8" w:rsidRPr="0072192C" w:rsidRDefault="00B259A8" w:rsidP="00F16E23">
            <w:pPr>
              <w:pStyle w:val="Tableboldblue"/>
              <w:spacing w:before="40" w:after="40"/>
              <w:jc w:val="right"/>
            </w:pPr>
            <w:r w:rsidRPr="0072192C">
              <w:rPr>
                <w:rFonts w:eastAsia="Calibri"/>
              </w:rPr>
              <w:t>4.21</w:t>
            </w:r>
          </w:p>
        </w:tc>
        <w:tc>
          <w:tcPr>
            <w:tcW w:w="0" w:type="auto"/>
            <w:shd w:val="clear" w:color="auto" w:fill="FFFFFF"/>
            <w:tcMar>
              <w:top w:w="0" w:type="dxa"/>
              <w:left w:w="85" w:type="dxa"/>
              <w:bottom w:w="0" w:type="dxa"/>
              <w:right w:w="85" w:type="dxa"/>
            </w:tcMar>
          </w:tcPr>
          <w:p w14:paraId="769E91C1" w14:textId="77777777" w:rsidR="00B259A8" w:rsidRPr="0072192C" w:rsidRDefault="00B259A8" w:rsidP="00F16E23">
            <w:pPr>
              <w:pStyle w:val="Tableboldblue"/>
              <w:spacing w:before="40" w:after="40"/>
              <w:jc w:val="right"/>
            </w:pPr>
            <w:r w:rsidRPr="0072192C">
              <w:rPr>
                <w:rFonts w:eastAsia="Calibri"/>
              </w:rPr>
              <w:t>0.84</w:t>
            </w:r>
          </w:p>
        </w:tc>
        <w:tc>
          <w:tcPr>
            <w:tcW w:w="0" w:type="auto"/>
            <w:shd w:val="clear" w:color="auto" w:fill="FFFFFF"/>
            <w:tcMar>
              <w:top w:w="0" w:type="dxa"/>
              <w:left w:w="85" w:type="dxa"/>
              <w:bottom w:w="0" w:type="dxa"/>
              <w:right w:w="85" w:type="dxa"/>
            </w:tcMar>
          </w:tcPr>
          <w:p w14:paraId="3C4A7EA4" w14:textId="77777777" w:rsidR="00B259A8" w:rsidRPr="0072192C" w:rsidRDefault="00B259A8" w:rsidP="00F16E23">
            <w:pPr>
              <w:pStyle w:val="Tableboldblue"/>
              <w:spacing w:before="40" w:after="40"/>
              <w:jc w:val="right"/>
            </w:pPr>
            <w:r w:rsidRPr="0072192C">
              <w:rPr>
                <w:rFonts w:eastAsia="Calibri"/>
              </w:rPr>
              <w:t>-0.50</w:t>
            </w:r>
          </w:p>
        </w:tc>
        <w:tc>
          <w:tcPr>
            <w:tcW w:w="0" w:type="auto"/>
            <w:shd w:val="clear" w:color="auto" w:fill="FFFFFF"/>
            <w:tcMar>
              <w:top w:w="0" w:type="dxa"/>
              <w:left w:w="85" w:type="dxa"/>
              <w:bottom w:w="0" w:type="dxa"/>
              <w:right w:w="85" w:type="dxa"/>
            </w:tcMar>
          </w:tcPr>
          <w:p w14:paraId="10E93837" w14:textId="77777777" w:rsidR="00B259A8" w:rsidRPr="0072192C" w:rsidRDefault="00B259A8" w:rsidP="00F16E23">
            <w:pPr>
              <w:pStyle w:val="Tableboldblue"/>
              <w:spacing w:before="40" w:after="40"/>
              <w:jc w:val="right"/>
            </w:pPr>
            <w:r w:rsidRPr="0072192C">
              <w:rPr>
                <w:rFonts w:eastAsia="Calibri"/>
              </w:rPr>
              <w:t>24.81</w:t>
            </w:r>
          </w:p>
        </w:tc>
        <w:tc>
          <w:tcPr>
            <w:tcW w:w="0" w:type="auto"/>
            <w:shd w:val="clear" w:color="auto" w:fill="FFFFFF"/>
            <w:tcMar>
              <w:top w:w="0" w:type="dxa"/>
              <w:left w:w="85" w:type="dxa"/>
              <w:bottom w:w="0" w:type="dxa"/>
              <w:right w:w="85" w:type="dxa"/>
            </w:tcMar>
          </w:tcPr>
          <w:p w14:paraId="5E1E5944" w14:textId="77777777" w:rsidR="00B259A8" w:rsidRPr="0072192C" w:rsidRDefault="00B259A8" w:rsidP="00F16E23">
            <w:pPr>
              <w:pStyle w:val="Tableboldblue"/>
              <w:spacing w:before="40" w:after="40"/>
              <w:jc w:val="right"/>
            </w:pPr>
            <w:r w:rsidRPr="0072192C">
              <w:rPr>
                <w:rFonts w:eastAsia="Calibri"/>
              </w:rPr>
              <w:t>-10.61</w:t>
            </w:r>
          </w:p>
        </w:tc>
      </w:tr>
    </w:tbl>
    <w:p w14:paraId="132BE1AC" w14:textId="77777777" w:rsidR="00B259A8" w:rsidRPr="0072192C" w:rsidRDefault="00B259A8" w:rsidP="00B259A8">
      <w:pPr>
        <w:pStyle w:val="Noteundertable"/>
      </w:pPr>
      <w:r w:rsidRPr="0072192C">
        <w:rPr>
          <w:b/>
          <w:bCs/>
        </w:rPr>
        <w:t>Note:</w:t>
      </w:r>
      <w:r w:rsidRPr="0072192C">
        <w:tab/>
        <w:t>Emissions from the Land Use, Land-Use Change and Forestry sector are not estimated for Tokelau. The percentage change for hydrofluorocarbons (HFCs) is not applicable (NA) because HFC production or use was not occurring (NO) in 1990. Columns may not total due to rounding. Presented percentages are calculated from unrounded values.</w:t>
      </w:r>
    </w:p>
    <w:p w14:paraId="157D2DAC" w14:textId="77777777" w:rsidR="00B259A8" w:rsidRPr="0072192C" w:rsidRDefault="00B259A8" w:rsidP="00B259A8">
      <w:pPr>
        <w:pStyle w:val="Figure"/>
      </w:pPr>
      <w:bookmarkStart w:id="3186" w:name="_Toc225424343"/>
      <w:bookmarkStart w:id="3187" w:name="_Toc226200712"/>
      <w:r w:rsidRPr="0072192C">
        <w:rPr>
          <w:bCs/>
        </w:rPr>
        <w:t xml:space="preserve">Figure 8.1.4 </w:t>
      </w:r>
      <w:r w:rsidRPr="0072192C">
        <w:rPr>
          <w:bCs/>
        </w:rPr>
        <w:tab/>
        <w:t>Emissions by sector for Tokelau, from 1990 to 2024</w:t>
      </w:r>
      <w:bookmarkEnd w:id="3186"/>
      <w:bookmarkEnd w:id="3187"/>
    </w:p>
    <w:p w14:paraId="7E4DDD12" w14:textId="77777777" w:rsidR="00B259A8" w:rsidRPr="0072192C" w:rsidRDefault="00B259A8" w:rsidP="00B259A8">
      <w:pPr>
        <w:pStyle w:val="BodyText"/>
      </w:pPr>
      <w:r w:rsidRPr="0072192C">
        <w:rPr>
          <w:noProof/>
        </w:rPr>
        <w:drawing>
          <wp:inline distT="0" distB="0" distL="0" distR="0" wp14:anchorId="3059DEE1" wp14:editId="02C81B55">
            <wp:extent cx="5396230" cy="2552412"/>
            <wp:effectExtent l="0" t="0" r="0" b="635"/>
            <wp:docPr id="44" name="Picture"/>
            <wp:cNvGraphicFramePr/>
            <a:graphic xmlns:a="http://schemas.openxmlformats.org/drawingml/2006/main">
              <a:graphicData uri="http://schemas.openxmlformats.org/drawingml/2006/picture">
                <pic:pic xmlns:pic="http://schemas.openxmlformats.org/drawingml/2006/picture">
                  <pic:nvPicPr>
                    <pic:cNvPr id="45" name="Picture" descr="images/fig_8_1_4.png"/>
                    <pic:cNvPicPr>
                      <a:picLocks noChangeAspect="1" noChangeArrowheads="1"/>
                    </pic:cNvPicPr>
                  </pic:nvPicPr>
                  <pic:blipFill rotWithShape="1">
                    <a:blip r:embed="rId260"/>
                    <a:srcRect t="2284" b="2140"/>
                    <a:stretch>
                      <a:fillRect/>
                    </a:stretch>
                  </pic:blipFill>
                  <pic:spPr bwMode="auto">
                    <a:xfrm>
                      <a:off x="0" y="0"/>
                      <a:ext cx="5397500" cy="2553013"/>
                    </a:xfrm>
                    <a:prstGeom prst="rect">
                      <a:avLst/>
                    </a:prstGeom>
                    <a:noFill/>
                    <a:ln>
                      <a:noFill/>
                    </a:ln>
                    <a:extLst>
                      <a:ext uri="{53640926-AAD7-44D8-BBD7-CCE9431645EC}">
                        <a14:shadowObscured xmlns:a14="http://schemas.microsoft.com/office/drawing/2010/main"/>
                      </a:ext>
                    </a:extLst>
                  </pic:spPr>
                </pic:pic>
              </a:graphicData>
            </a:graphic>
          </wp:inline>
        </w:drawing>
      </w:r>
    </w:p>
    <w:p w14:paraId="0C270795" w14:textId="77777777" w:rsidR="00B259A8" w:rsidRPr="0072192C" w:rsidRDefault="00B259A8" w:rsidP="00B259A8">
      <w:pPr>
        <w:pStyle w:val="Heading4"/>
      </w:pPr>
      <w:bookmarkStart w:id="3188" w:name="key-categories"/>
      <w:r w:rsidRPr="0072192C">
        <w:t>Key categories</w:t>
      </w:r>
    </w:p>
    <w:p w14:paraId="505AA556" w14:textId="77777777" w:rsidR="00B259A8" w:rsidRPr="0072192C" w:rsidRDefault="00B259A8" w:rsidP="00B259A8">
      <w:pPr>
        <w:pStyle w:val="BodyText"/>
      </w:pPr>
      <w:r w:rsidRPr="0072192C">
        <w:t>Emission categories from Tokelau have been included in the key category analysis, along with all categories reported in New Zealand’s inventory. None of the emission categories from Tokelau are key categories (either level or trend) in the 2026 submission.</w:t>
      </w:r>
    </w:p>
    <w:bookmarkEnd w:id="3179"/>
    <w:bookmarkEnd w:id="3188"/>
    <w:p w14:paraId="4085B5A6" w14:textId="77777777" w:rsidR="00B259A8" w:rsidRPr="0072192C" w:rsidRDefault="00B259A8" w:rsidP="00B259A8">
      <w:pPr>
        <w:pStyle w:val="Heading3"/>
      </w:pPr>
      <w:r w:rsidRPr="0072192C">
        <w:t>8.1.4</w:t>
      </w:r>
      <w:r w:rsidRPr="0072192C">
        <w:tab/>
        <w:t>Recalculations and improvements</w:t>
      </w:r>
    </w:p>
    <w:p w14:paraId="6496803D" w14:textId="2996A497" w:rsidR="00B259A8" w:rsidRPr="0072192C" w:rsidRDefault="00B259A8" w:rsidP="00B259A8">
      <w:pPr>
        <w:pStyle w:val="BodyText"/>
      </w:pPr>
      <w:r w:rsidRPr="0072192C">
        <w:t>One minor recalculation has been made to Tokelau’s GHG inventory estimates since the 2025 submission. Improvements made to Tokelau’s GHG inventory estimates have resulted in no change in 1990, no change in 2005 and an increase of 0.1 percent (0.004 kt CO</w:t>
      </w:r>
      <w:r w:rsidRPr="0072192C">
        <w:rPr>
          <w:vertAlign w:val="subscript"/>
        </w:rPr>
        <w:t>2</w:t>
      </w:r>
      <w:r w:rsidRPr="0072192C">
        <w:t>e) in 2023. This</w:t>
      </w:r>
      <w:r w:rsidR="00D908F2">
        <w:t> </w:t>
      </w:r>
      <w:r w:rsidRPr="0072192C">
        <w:t>change is due to updates in New Zealand’s medical emissions data, which are applied to</w:t>
      </w:r>
      <w:r w:rsidR="00D908F2">
        <w:t> </w:t>
      </w:r>
      <w:r w:rsidRPr="0072192C">
        <w:t>Tokelau on a per capita basis.</w:t>
      </w:r>
    </w:p>
    <w:p w14:paraId="7CC28351" w14:textId="77777777" w:rsidR="00B259A8" w:rsidRPr="0072192C" w:rsidRDefault="00B259A8" w:rsidP="00B259A8">
      <w:pPr>
        <w:pStyle w:val="Table"/>
      </w:pPr>
      <w:bookmarkStart w:id="3189" w:name="_Toc225424317"/>
      <w:bookmarkStart w:id="3190" w:name="_Toc226669139"/>
      <w:r w:rsidRPr="0072192C">
        <w:t>Table 8.1.4</w:t>
      </w:r>
      <w:r w:rsidRPr="0072192C">
        <w:tab/>
        <w:t>Explanations and justifications for recalculations</w:t>
      </w:r>
      <w:bookmarkEnd w:id="3189"/>
      <w:bookmarkEnd w:id="319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276"/>
        <w:gridCol w:w="4678"/>
        <w:gridCol w:w="1305"/>
        <w:gridCol w:w="1235"/>
      </w:tblGrid>
      <w:tr w:rsidR="00B259A8" w:rsidRPr="0072192C" w14:paraId="6D9B79A3" w14:textId="77777777" w:rsidTr="00F16E23">
        <w:trPr>
          <w:tblHeader/>
        </w:trPr>
        <w:tc>
          <w:tcPr>
            <w:tcW w:w="1276" w:type="dxa"/>
            <w:shd w:val="clear" w:color="auto" w:fill="1B556B"/>
            <w:tcMar>
              <w:top w:w="0" w:type="dxa"/>
              <w:left w:w="85" w:type="dxa"/>
              <w:bottom w:w="0" w:type="dxa"/>
              <w:right w:w="85" w:type="dxa"/>
            </w:tcMar>
          </w:tcPr>
          <w:p w14:paraId="4D34AE7D"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Sector</w:t>
            </w:r>
          </w:p>
        </w:tc>
        <w:tc>
          <w:tcPr>
            <w:tcW w:w="4678" w:type="dxa"/>
            <w:shd w:val="clear" w:color="auto" w:fill="1B556B"/>
            <w:tcMar>
              <w:top w:w="0" w:type="dxa"/>
              <w:left w:w="85" w:type="dxa"/>
              <w:bottom w:w="0" w:type="dxa"/>
              <w:right w:w="85" w:type="dxa"/>
            </w:tcMar>
          </w:tcPr>
          <w:p w14:paraId="7916D92F"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Explanation of recalculation</w:t>
            </w:r>
          </w:p>
        </w:tc>
        <w:tc>
          <w:tcPr>
            <w:tcW w:w="1305" w:type="dxa"/>
            <w:shd w:val="clear" w:color="auto" w:fill="1B556B"/>
            <w:tcMar>
              <w:top w:w="0" w:type="dxa"/>
              <w:left w:w="85" w:type="dxa"/>
              <w:bottom w:w="0" w:type="dxa"/>
              <w:right w:w="85" w:type="dxa"/>
            </w:tcMar>
          </w:tcPr>
          <w:p w14:paraId="7C96CFDD"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Underpinning IPCC principle</w:t>
            </w:r>
          </w:p>
        </w:tc>
        <w:tc>
          <w:tcPr>
            <w:tcW w:w="0" w:type="auto"/>
            <w:shd w:val="clear" w:color="auto" w:fill="1B556B"/>
            <w:tcMar>
              <w:top w:w="0" w:type="dxa"/>
              <w:left w:w="85" w:type="dxa"/>
              <w:bottom w:w="0" w:type="dxa"/>
              <w:right w:w="85" w:type="dxa"/>
            </w:tcMar>
          </w:tcPr>
          <w:p w14:paraId="40B151CA"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Additional justification</w:t>
            </w:r>
          </w:p>
        </w:tc>
      </w:tr>
      <w:tr w:rsidR="00B259A8" w:rsidRPr="0072192C" w14:paraId="3E55AD88" w14:textId="77777777" w:rsidTr="00F16E23">
        <w:tc>
          <w:tcPr>
            <w:tcW w:w="1276" w:type="dxa"/>
            <w:shd w:val="clear" w:color="auto" w:fill="FFFFFF"/>
            <w:tcMar>
              <w:top w:w="0" w:type="dxa"/>
              <w:left w:w="85" w:type="dxa"/>
              <w:bottom w:w="0" w:type="dxa"/>
              <w:right w:w="85" w:type="dxa"/>
            </w:tcMar>
          </w:tcPr>
          <w:p w14:paraId="00965875" w14:textId="77777777" w:rsidR="00B259A8" w:rsidRPr="0072192C" w:rsidRDefault="00B259A8" w:rsidP="00F16E23">
            <w:pPr>
              <w:pStyle w:val="TableText"/>
              <w:spacing w:before="40" w:after="40"/>
            </w:pPr>
            <w:r w:rsidRPr="0072192C">
              <w:rPr>
                <w:rFonts w:eastAsia="Calibri"/>
              </w:rPr>
              <w:t>Tokelau – IPPU</w:t>
            </w:r>
          </w:p>
        </w:tc>
        <w:tc>
          <w:tcPr>
            <w:tcW w:w="4678" w:type="dxa"/>
            <w:shd w:val="clear" w:color="auto" w:fill="FFFFFF"/>
            <w:tcMar>
              <w:top w:w="0" w:type="dxa"/>
              <w:left w:w="85" w:type="dxa"/>
              <w:bottom w:w="0" w:type="dxa"/>
              <w:right w:w="85" w:type="dxa"/>
            </w:tcMar>
          </w:tcPr>
          <w:p w14:paraId="22CC25E5" w14:textId="77777777" w:rsidR="00B259A8" w:rsidRPr="0072192C" w:rsidRDefault="00B259A8" w:rsidP="00F16E23">
            <w:pPr>
              <w:pStyle w:val="TableText"/>
              <w:spacing w:before="40" w:after="40"/>
            </w:pPr>
            <w:r w:rsidRPr="0072192C">
              <w:rPr>
                <w:rFonts w:eastAsia="Calibri"/>
              </w:rPr>
              <w:t>The recalculation is due to passing through updates in New Zealand’s medical emissions data, which are assumed to apply equally to Tokelau (see chapter 10, figure 10.3.8).</w:t>
            </w:r>
          </w:p>
        </w:tc>
        <w:tc>
          <w:tcPr>
            <w:tcW w:w="1305" w:type="dxa"/>
            <w:shd w:val="clear" w:color="auto" w:fill="FFFFFF"/>
            <w:tcMar>
              <w:top w:w="0" w:type="dxa"/>
              <w:left w:w="85" w:type="dxa"/>
              <w:bottom w:w="0" w:type="dxa"/>
              <w:right w:w="85" w:type="dxa"/>
            </w:tcMar>
          </w:tcPr>
          <w:p w14:paraId="0CD68E2C" w14:textId="77777777" w:rsidR="00B259A8" w:rsidRPr="0072192C" w:rsidRDefault="00B259A8" w:rsidP="00F16E23">
            <w:pPr>
              <w:pStyle w:val="TableText"/>
              <w:spacing w:before="40" w:after="40"/>
            </w:pPr>
            <w:r w:rsidRPr="0072192C">
              <w:rPr>
                <w:rFonts w:eastAsia="Calibri"/>
              </w:rPr>
              <w:t>Accuracy</w:t>
            </w:r>
          </w:p>
        </w:tc>
        <w:tc>
          <w:tcPr>
            <w:tcW w:w="0" w:type="auto"/>
            <w:shd w:val="clear" w:color="auto" w:fill="FFFFFF"/>
            <w:tcMar>
              <w:top w:w="0" w:type="dxa"/>
              <w:left w:w="85" w:type="dxa"/>
              <w:bottom w:w="0" w:type="dxa"/>
              <w:right w:w="85" w:type="dxa"/>
            </w:tcMar>
          </w:tcPr>
          <w:p w14:paraId="1E18F402" w14:textId="77777777" w:rsidR="00B259A8" w:rsidRPr="0072192C" w:rsidRDefault="00B259A8" w:rsidP="00F16E23">
            <w:pPr>
              <w:pStyle w:val="TableText"/>
              <w:spacing w:before="40" w:after="40"/>
            </w:pPr>
          </w:p>
        </w:tc>
      </w:tr>
    </w:tbl>
    <w:p w14:paraId="77EF1075" w14:textId="77777777" w:rsidR="00B259A8" w:rsidRPr="0072192C" w:rsidRDefault="00B259A8" w:rsidP="00B259A8">
      <w:pPr>
        <w:pStyle w:val="Heading3"/>
        <w:spacing w:before="440"/>
      </w:pPr>
      <w:r w:rsidRPr="0072192C">
        <w:t>8.1.5</w:t>
      </w:r>
      <w:r w:rsidRPr="0072192C">
        <w:tab/>
        <w:t>Quality-assurance/quality-control (QA/QC) processes</w:t>
      </w:r>
    </w:p>
    <w:p w14:paraId="29575D21" w14:textId="77777777" w:rsidR="00B259A8" w:rsidRPr="0072192C" w:rsidRDefault="00B259A8" w:rsidP="00B259A8">
      <w:pPr>
        <w:pStyle w:val="BodyText"/>
      </w:pPr>
      <w:r w:rsidRPr="0072192C">
        <w:t>Tokelau’s activity data undergo quality-control processes at the Tokelau National Statistics Office. Tokelau’s GHG inventory estimates undergo quality-assurance and quality-control processes that are similar to those of other inventory sectors.</w:t>
      </w:r>
    </w:p>
    <w:p w14:paraId="179C81F3" w14:textId="77777777" w:rsidR="00B259A8" w:rsidRPr="0072192C" w:rsidRDefault="00B259A8" w:rsidP="00B259A8">
      <w:pPr>
        <w:pStyle w:val="BodyText"/>
      </w:pPr>
      <w:r w:rsidRPr="0072192C">
        <w:t>Figure 8.1.5 presents an overview of the compilation process for Tokelau and its integration into the Inventory. It also shows where quality-assurance and quality-control steps are applied.</w:t>
      </w:r>
    </w:p>
    <w:p w14:paraId="6A31FB46" w14:textId="77777777" w:rsidR="00B259A8" w:rsidRPr="0072192C" w:rsidRDefault="00B259A8" w:rsidP="00B259A8">
      <w:pPr>
        <w:pStyle w:val="Figure"/>
      </w:pPr>
      <w:bookmarkStart w:id="3191" w:name="_Toc225424344"/>
      <w:bookmarkStart w:id="3192" w:name="_Toc226200713"/>
      <w:r w:rsidRPr="0072192C">
        <w:rPr>
          <w:bCs/>
        </w:rPr>
        <w:t xml:space="preserve">Figure 8.1.5 </w:t>
      </w:r>
      <w:r w:rsidRPr="0072192C">
        <w:rPr>
          <w:bCs/>
        </w:rPr>
        <w:tab/>
        <w:t>Data processing, quality-assurance and quality-control processes applied to the Inventory data from Tokelau and their integration into the Inventory</w:t>
      </w:r>
      <w:bookmarkEnd w:id="3191"/>
      <w:bookmarkEnd w:id="3192"/>
    </w:p>
    <w:p w14:paraId="1A81AEE2" w14:textId="77777777" w:rsidR="00B259A8" w:rsidRPr="0072192C" w:rsidRDefault="00B259A8" w:rsidP="00B259A8">
      <w:pPr>
        <w:pStyle w:val="BodyText"/>
        <w:jc w:val="center"/>
      </w:pPr>
      <w:r w:rsidRPr="0072192C">
        <w:rPr>
          <w:noProof/>
        </w:rPr>
        <w:drawing>
          <wp:inline distT="0" distB="0" distL="0" distR="0" wp14:anchorId="51CD4B31" wp14:editId="4BCA834D">
            <wp:extent cx="4744318" cy="3810000"/>
            <wp:effectExtent l="0" t="0" r="0" b="0"/>
            <wp:docPr id="51" name="Picture"/>
            <wp:cNvGraphicFramePr/>
            <a:graphic xmlns:a="http://schemas.openxmlformats.org/drawingml/2006/main">
              <a:graphicData uri="http://schemas.openxmlformats.org/drawingml/2006/picture">
                <pic:pic xmlns:pic="http://schemas.openxmlformats.org/drawingml/2006/picture">
                  <pic:nvPicPr>
                    <pic:cNvPr id="52" name="Picture" descr="images/fig_8_1_5.png"/>
                    <pic:cNvPicPr>
                      <a:picLocks noChangeAspect="1" noChangeArrowheads="1"/>
                    </pic:cNvPicPr>
                  </pic:nvPicPr>
                  <pic:blipFill>
                    <a:blip r:embed="rId261"/>
                    <a:stretch>
                      <a:fillRect/>
                    </a:stretch>
                  </pic:blipFill>
                  <pic:spPr bwMode="auto">
                    <a:xfrm>
                      <a:off x="0" y="0"/>
                      <a:ext cx="4751978" cy="3816152"/>
                    </a:xfrm>
                    <a:prstGeom prst="rect">
                      <a:avLst/>
                    </a:prstGeom>
                    <a:noFill/>
                    <a:ln w="9525">
                      <a:noFill/>
                      <a:headEnd/>
                      <a:tailEnd/>
                    </a:ln>
                  </pic:spPr>
                </pic:pic>
              </a:graphicData>
            </a:graphic>
          </wp:inline>
        </w:drawing>
      </w:r>
    </w:p>
    <w:p w14:paraId="7C1ED0A4" w14:textId="77777777" w:rsidR="00B259A8" w:rsidRPr="0072192C" w:rsidRDefault="00B259A8" w:rsidP="00B259A8">
      <w:pPr>
        <w:pStyle w:val="Heading3"/>
      </w:pPr>
      <w:r w:rsidRPr="0072192C">
        <w:t>8.1.6</w:t>
      </w:r>
      <w:r w:rsidRPr="0072192C">
        <w:tab/>
        <w:t>Information on completeness</w:t>
      </w:r>
    </w:p>
    <w:p w14:paraId="45371ACA" w14:textId="77777777" w:rsidR="00B259A8" w:rsidRPr="0072192C" w:rsidRDefault="00B259A8" w:rsidP="00B259A8">
      <w:pPr>
        <w:pStyle w:val="Heading4"/>
      </w:pPr>
      <w:r w:rsidRPr="0072192C">
        <w:t>Emissions reported as ‘NE’ or ‘not estimated’</w:t>
      </w:r>
    </w:p>
    <w:p w14:paraId="6E0B90EB" w14:textId="77777777" w:rsidR="00B259A8" w:rsidRPr="0072192C" w:rsidRDefault="00B259A8" w:rsidP="00B259A8">
      <w:pPr>
        <w:pStyle w:val="BodyText"/>
      </w:pPr>
      <w:r w:rsidRPr="0072192C">
        <w:t>Table 8.1.5 lists Tokelau’s direct GHG emission sources that are reported as ‘NE’ in the 2026 submission.</w:t>
      </w:r>
    </w:p>
    <w:p w14:paraId="4CC389E5" w14:textId="77777777" w:rsidR="00B259A8" w:rsidRPr="0072192C" w:rsidRDefault="00B259A8" w:rsidP="00B259A8">
      <w:pPr>
        <w:pStyle w:val="Table"/>
      </w:pPr>
      <w:bookmarkStart w:id="3193" w:name="_Toc225424318"/>
      <w:bookmarkStart w:id="3194" w:name="_Toc226669140"/>
      <w:r w:rsidRPr="0072192C">
        <w:t>Table 8.1.5</w:t>
      </w:r>
      <w:r w:rsidRPr="0072192C">
        <w:tab/>
        <w:t xml:space="preserve">Summary of ‘NE’ or ‘not estimated’ entries for Tokelau’s GHG inventory sources in the </w:t>
      </w:r>
      <w:r w:rsidRPr="0072192C">
        <w:rPr>
          <w:bCs/>
        </w:rPr>
        <w:t>2026</w:t>
      </w:r>
      <w:r w:rsidRPr="0072192C">
        <w:t> submission</w:t>
      </w:r>
      <w:bookmarkEnd w:id="3193"/>
      <w:bookmarkEnd w:id="319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43"/>
        <w:gridCol w:w="1531"/>
        <w:gridCol w:w="387"/>
        <w:gridCol w:w="4733"/>
      </w:tblGrid>
      <w:tr w:rsidR="00B259A8" w:rsidRPr="0072192C" w14:paraId="507E34EE" w14:textId="77777777" w:rsidTr="00F16E23">
        <w:trPr>
          <w:tblHeader/>
        </w:trPr>
        <w:tc>
          <w:tcPr>
            <w:tcW w:w="1843" w:type="dxa"/>
            <w:shd w:val="clear" w:color="auto" w:fill="1B556B"/>
            <w:tcMar>
              <w:top w:w="0" w:type="dxa"/>
              <w:left w:w="85" w:type="dxa"/>
              <w:bottom w:w="0" w:type="dxa"/>
              <w:right w:w="57" w:type="dxa"/>
            </w:tcMar>
          </w:tcPr>
          <w:p w14:paraId="048E0038"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CRT category code</w:t>
            </w:r>
          </w:p>
        </w:tc>
        <w:tc>
          <w:tcPr>
            <w:tcW w:w="1531" w:type="dxa"/>
            <w:shd w:val="clear" w:color="auto" w:fill="1B556B"/>
            <w:tcMar>
              <w:top w:w="0" w:type="dxa"/>
              <w:left w:w="85" w:type="dxa"/>
              <w:bottom w:w="0" w:type="dxa"/>
              <w:right w:w="57" w:type="dxa"/>
            </w:tcMar>
          </w:tcPr>
          <w:p w14:paraId="56AB18A5"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Category</w:t>
            </w:r>
          </w:p>
        </w:tc>
        <w:tc>
          <w:tcPr>
            <w:tcW w:w="0" w:type="auto"/>
            <w:shd w:val="clear" w:color="auto" w:fill="1B556B"/>
            <w:tcMar>
              <w:top w:w="0" w:type="dxa"/>
              <w:left w:w="85" w:type="dxa"/>
              <w:bottom w:w="0" w:type="dxa"/>
              <w:right w:w="57" w:type="dxa"/>
            </w:tcMar>
          </w:tcPr>
          <w:p w14:paraId="7CDD4389"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Gas</w:t>
            </w:r>
          </w:p>
        </w:tc>
        <w:tc>
          <w:tcPr>
            <w:tcW w:w="0" w:type="auto"/>
            <w:shd w:val="clear" w:color="auto" w:fill="1B556B"/>
            <w:tcMar>
              <w:top w:w="0" w:type="dxa"/>
              <w:left w:w="85" w:type="dxa"/>
              <w:bottom w:w="0" w:type="dxa"/>
              <w:right w:w="57" w:type="dxa"/>
            </w:tcMar>
          </w:tcPr>
          <w:p w14:paraId="4F74D78E"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Explanation</w:t>
            </w:r>
          </w:p>
        </w:tc>
      </w:tr>
      <w:tr w:rsidR="00B259A8" w:rsidRPr="0072192C" w14:paraId="0DBDCF46" w14:textId="77777777" w:rsidTr="00F16E23">
        <w:tc>
          <w:tcPr>
            <w:tcW w:w="1843" w:type="dxa"/>
            <w:shd w:val="clear" w:color="auto" w:fill="FFFFFF"/>
            <w:tcMar>
              <w:top w:w="0" w:type="dxa"/>
              <w:left w:w="85" w:type="dxa"/>
              <w:bottom w:w="0" w:type="dxa"/>
              <w:right w:w="57" w:type="dxa"/>
            </w:tcMar>
          </w:tcPr>
          <w:p w14:paraId="14C18034" w14:textId="77777777" w:rsidR="00B259A8" w:rsidRPr="0072192C" w:rsidRDefault="00B259A8" w:rsidP="00F16E23">
            <w:pPr>
              <w:pStyle w:val="TableText"/>
              <w:spacing w:before="40" w:after="40"/>
            </w:pPr>
            <w:r w:rsidRPr="0072192C">
              <w:rPr>
                <w:rFonts w:eastAsia="Calibri"/>
              </w:rPr>
              <w:t>Tokelau</w:t>
            </w:r>
          </w:p>
        </w:tc>
        <w:tc>
          <w:tcPr>
            <w:tcW w:w="1531" w:type="dxa"/>
            <w:shd w:val="clear" w:color="auto" w:fill="FFFFFF"/>
            <w:tcMar>
              <w:top w:w="0" w:type="dxa"/>
              <w:left w:w="85" w:type="dxa"/>
              <w:bottom w:w="0" w:type="dxa"/>
              <w:right w:w="57" w:type="dxa"/>
            </w:tcMar>
          </w:tcPr>
          <w:p w14:paraId="5E601A63" w14:textId="77777777" w:rsidR="00B259A8" w:rsidRPr="0072192C" w:rsidRDefault="00B259A8" w:rsidP="00F16E23">
            <w:pPr>
              <w:pStyle w:val="TableText"/>
              <w:spacing w:before="40" w:after="40"/>
            </w:pPr>
          </w:p>
        </w:tc>
        <w:tc>
          <w:tcPr>
            <w:tcW w:w="0" w:type="auto"/>
            <w:shd w:val="clear" w:color="auto" w:fill="FFFFFF"/>
            <w:tcMar>
              <w:top w:w="0" w:type="dxa"/>
              <w:left w:w="85" w:type="dxa"/>
              <w:bottom w:w="0" w:type="dxa"/>
              <w:right w:w="57" w:type="dxa"/>
            </w:tcMar>
          </w:tcPr>
          <w:p w14:paraId="27E13D74" w14:textId="77777777" w:rsidR="00B259A8" w:rsidRPr="0072192C" w:rsidRDefault="00B259A8" w:rsidP="00F16E23">
            <w:pPr>
              <w:pStyle w:val="TableText"/>
              <w:spacing w:before="40" w:after="40"/>
            </w:pPr>
          </w:p>
        </w:tc>
        <w:tc>
          <w:tcPr>
            <w:tcW w:w="0" w:type="auto"/>
            <w:shd w:val="clear" w:color="auto" w:fill="FFFFFF"/>
            <w:tcMar>
              <w:top w:w="0" w:type="dxa"/>
              <w:left w:w="85" w:type="dxa"/>
              <w:bottom w:w="0" w:type="dxa"/>
              <w:right w:w="57" w:type="dxa"/>
            </w:tcMar>
          </w:tcPr>
          <w:p w14:paraId="06FF5DCA" w14:textId="77777777" w:rsidR="00B259A8" w:rsidRPr="0072192C" w:rsidRDefault="00B259A8" w:rsidP="00F16E23">
            <w:pPr>
              <w:pStyle w:val="TableText"/>
              <w:spacing w:before="40" w:after="40"/>
            </w:pPr>
          </w:p>
        </w:tc>
      </w:tr>
      <w:tr w:rsidR="00B259A8" w:rsidRPr="0072192C" w14:paraId="2F6EC5EE" w14:textId="77777777" w:rsidTr="00F16E23">
        <w:tc>
          <w:tcPr>
            <w:tcW w:w="1843" w:type="dxa"/>
            <w:shd w:val="clear" w:color="auto" w:fill="FFFFFF"/>
            <w:tcMar>
              <w:top w:w="0" w:type="dxa"/>
              <w:left w:w="85" w:type="dxa"/>
              <w:bottom w:w="0" w:type="dxa"/>
              <w:right w:w="57" w:type="dxa"/>
            </w:tcMar>
          </w:tcPr>
          <w:p w14:paraId="45C56F72" w14:textId="77777777" w:rsidR="00B259A8" w:rsidRPr="0072192C" w:rsidRDefault="00B259A8" w:rsidP="00F16E23">
            <w:pPr>
              <w:pStyle w:val="TableText"/>
              <w:spacing w:before="40" w:after="40"/>
            </w:pPr>
            <w:r w:rsidRPr="0072192C">
              <w:rPr>
                <w:rFonts w:eastAsia="Calibri"/>
              </w:rPr>
              <w:t xml:space="preserve">Within the Tokelau sector 6, category 3.A.4 </w:t>
            </w:r>
            <w:r w:rsidRPr="0072192C">
              <w:rPr>
                <w:rFonts w:eastAsia="Calibri"/>
                <w:i/>
                <w:iCs/>
              </w:rPr>
              <w:t>Enteric fermentation for poultry</w:t>
            </w:r>
          </w:p>
        </w:tc>
        <w:tc>
          <w:tcPr>
            <w:tcW w:w="1531" w:type="dxa"/>
            <w:shd w:val="clear" w:color="auto" w:fill="FFFFFF"/>
            <w:tcMar>
              <w:top w:w="0" w:type="dxa"/>
              <w:left w:w="85" w:type="dxa"/>
              <w:bottom w:w="0" w:type="dxa"/>
              <w:right w:w="57" w:type="dxa"/>
            </w:tcMar>
          </w:tcPr>
          <w:p w14:paraId="42513909" w14:textId="77777777" w:rsidR="00B259A8" w:rsidRPr="0072192C" w:rsidRDefault="00B259A8" w:rsidP="00F16E23">
            <w:pPr>
              <w:pStyle w:val="TableText"/>
              <w:spacing w:before="40" w:after="40"/>
            </w:pPr>
            <w:r w:rsidRPr="0072192C">
              <w:rPr>
                <w:rFonts w:eastAsia="Calibri"/>
                <w:i/>
                <w:iCs/>
              </w:rPr>
              <w:t>Enteric fermentation from poultry</w:t>
            </w:r>
            <w:r w:rsidRPr="0072192C">
              <w:rPr>
                <w:rFonts w:eastAsia="Calibri"/>
              </w:rPr>
              <w:t xml:space="preserve"> in Tokelau</w:t>
            </w:r>
          </w:p>
        </w:tc>
        <w:tc>
          <w:tcPr>
            <w:tcW w:w="0" w:type="auto"/>
            <w:shd w:val="clear" w:color="auto" w:fill="FFFFFF"/>
            <w:tcMar>
              <w:top w:w="0" w:type="dxa"/>
              <w:left w:w="85" w:type="dxa"/>
              <w:bottom w:w="0" w:type="dxa"/>
              <w:right w:w="57" w:type="dxa"/>
            </w:tcMar>
          </w:tcPr>
          <w:p w14:paraId="4105F931" w14:textId="77777777" w:rsidR="00B259A8" w:rsidRPr="0072192C" w:rsidRDefault="00B259A8" w:rsidP="00F16E23">
            <w:pPr>
              <w:pStyle w:val="TableText"/>
              <w:spacing w:before="40" w:after="40"/>
            </w:pPr>
            <w:r w:rsidRPr="0072192C">
              <w:rPr>
                <w:rFonts w:eastAsia="Calibri"/>
              </w:rPr>
              <w:t>CH</w:t>
            </w:r>
            <w:r w:rsidRPr="0072192C">
              <w:rPr>
                <w:rFonts w:eastAsia="Calibri"/>
                <w:vertAlign w:val="subscript"/>
              </w:rPr>
              <w:t>4</w:t>
            </w:r>
          </w:p>
        </w:tc>
        <w:tc>
          <w:tcPr>
            <w:tcW w:w="0" w:type="auto"/>
            <w:shd w:val="clear" w:color="auto" w:fill="FFFFFF"/>
            <w:tcMar>
              <w:top w:w="0" w:type="dxa"/>
              <w:left w:w="85" w:type="dxa"/>
              <w:bottom w:w="0" w:type="dxa"/>
              <w:right w:w="57" w:type="dxa"/>
            </w:tcMar>
          </w:tcPr>
          <w:p w14:paraId="1D35AE5C" w14:textId="77777777" w:rsidR="00B259A8" w:rsidRPr="0072192C" w:rsidRDefault="00B259A8" w:rsidP="00F16E23">
            <w:pPr>
              <w:pStyle w:val="TableText"/>
              <w:spacing w:before="40" w:after="40"/>
            </w:pPr>
            <w:r w:rsidRPr="0072192C">
              <w:rPr>
                <w:rFonts w:eastAsia="Calibri"/>
              </w:rPr>
              <w:t>This category is not mandatory. IPCC guidance is not provided for calculating Tier 1 estimates. Any potential emissions from this activity are expected to be very small, under 0.1 kt CO</w:t>
            </w:r>
            <w:r w:rsidRPr="0072192C">
              <w:rPr>
                <w:rFonts w:eastAsia="Calibri"/>
                <w:vertAlign w:val="subscript"/>
              </w:rPr>
              <w:t>2</w:t>
            </w:r>
            <w:r w:rsidRPr="0072192C">
              <w:rPr>
                <w:rFonts w:eastAsia="Calibri"/>
              </w:rPr>
              <w:t xml:space="preserve">e or less, which is the quantity of emissions for </w:t>
            </w:r>
            <w:r w:rsidRPr="0072192C">
              <w:rPr>
                <w:rFonts w:eastAsia="Calibri"/>
                <w:i/>
                <w:iCs/>
              </w:rPr>
              <w:t>Enteric fermentation from swine</w:t>
            </w:r>
            <w:r w:rsidRPr="0072192C">
              <w:rPr>
                <w:rFonts w:eastAsia="Calibri"/>
              </w:rPr>
              <w:t xml:space="preserve"> in Tokelau.</w:t>
            </w:r>
          </w:p>
        </w:tc>
      </w:tr>
    </w:tbl>
    <w:p w14:paraId="47AC1261" w14:textId="77777777" w:rsidR="00B259A8" w:rsidRPr="0072192C" w:rsidRDefault="00B259A8" w:rsidP="00B259A8">
      <w:pPr>
        <w:pStyle w:val="Heading4"/>
        <w:spacing w:before="360"/>
      </w:pPr>
      <w:r w:rsidRPr="0072192C">
        <w:t>Emissions reported as ‘IE’ or ‘included elsewhere’</w:t>
      </w:r>
    </w:p>
    <w:p w14:paraId="2F49E1B1" w14:textId="77777777" w:rsidR="00B259A8" w:rsidRPr="0072192C" w:rsidRDefault="00B259A8" w:rsidP="00B259A8">
      <w:pPr>
        <w:pStyle w:val="BodyText"/>
      </w:pPr>
      <w:r w:rsidRPr="0072192C">
        <w:t>Table 8.1.6 lists Tokelau’s direct GHG emission sources that are reported as ‘IE’ in this submission.</w:t>
      </w:r>
    </w:p>
    <w:p w14:paraId="4063FD98" w14:textId="77777777" w:rsidR="00B259A8" w:rsidRPr="0072192C" w:rsidRDefault="00B259A8" w:rsidP="00B259A8">
      <w:pPr>
        <w:pStyle w:val="Table"/>
      </w:pPr>
      <w:bookmarkStart w:id="3195" w:name="_Toc225424319"/>
      <w:bookmarkStart w:id="3196" w:name="_Toc226669141"/>
      <w:r w:rsidRPr="0072192C">
        <w:t>Table 8.1.6</w:t>
      </w:r>
      <w:r w:rsidRPr="0072192C">
        <w:tab/>
        <w:t xml:space="preserve">Summary of ‘IE’ or ‘included elsewhere’ entries for Tokelau’s GHG inventory sources in the </w:t>
      </w:r>
      <w:r w:rsidRPr="0072192C">
        <w:rPr>
          <w:bCs/>
        </w:rPr>
        <w:t>2026</w:t>
      </w:r>
      <w:r w:rsidRPr="0072192C">
        <w:t> submission</w:t>
      </w:r>
      <w:bookmarkEnd w:id="3195"/>
      <w:bookmarkEnd w:id="319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587"/>
        <w:gridCol w:w="1137"/>
        <w:gridCol w:w="1529"/>
        <w:gridCol w:w="4241"/>
      </w:tblGrid>
      <w:tr w:rsidR="00B259A8" w:rsidRPr="0072192C" w14:paraId="61BD57B8" w14:textId="77777777" w:rsidTr="00F16E23">
        <w:trPr>
          <w:tblHeader/>
        </w:trPr>
        <w:tc>
          <w:tcPr>
            <w:tcW w:w="0" w:type="auto"/>
            <w:shd w:val="clear" w:color="auto" w:fill="1B556B"/>
            <w:tcMar>
              <w:top w:w="0" w:type="dxa"/>
              <w:left w:w="85" w:type="dxa"/>
              <w:bottom w:w="0" w:type="dxa"/>
              <w:right w:w="85" w:type="dxa"/>
            </w:tcMar>
            <w:vAlign w:val="bottom"/>
          </w:tcPr>
          <w:p w14:paraId="57049632" w14:textId="77777777" w:rsidR="00B259A8" w:rsidRPr="0072192C" w:rsidRDefault="00B259A8" w:rsidP="00F16E23">
            <w:pPr>
              <w:pStyle w:val="TableTextBold"/>
              <w:keepNext/>
              <w:spacing w:before="40" w:after="40"/>
              <w:rPr>
                <w:noProof w:val="0"/>
                <w:color w:val="FFFFFF" w:themeColor="background1"/>
              </w:rPr>
            </w:pPr>
            <w:r w:rsidRPr="0072192C">
              <w:rPr>
                <w:rFonts w:eastAsia="Calibri"/>
                <w:noProof w:val="0"/>
                <w:color w:val="FFFFFF" w:themeColor="background1"/>
              </w:rPr>
              <w:t>CRT category code </w:t>
            </w:r>
          </w:p>
        </w:tc>
        <w:tc>
          <w:tcPr>
            <w:tcW w:w="0" w:type="auto"/>
            <w:shd w:val="clear" w:color="auto" w:fill="1B556B"/>
            <w:tcMar>
              <w:top w:w="0" w:type="dxa"/>
              <w:left w:w="85" w:type="dxa"/>
              <w:bottom w:w="0" w:type="dxa"/>
              <w:right w:w="85" w:type="dxa"/>
            </w:tcMar>
            <w:vAlign w:val="bottom"/>
          </w:tcPr>
          <w:p w14:paraId="6602DE2B" w14:textId="77777777" w:rsidR="00B259A8" w:rsidRPr="0072192C" w:rsidRDefault="00B259A8" w:rsidP="00F16E23">
            <w:pPr>
              <w:pStyle w:val="TableTextBold"/>
              <w:keepNext/>
              <w:spacing w:before="40" w:after="40"/>
              <w:rPr>
                <w:noProof w:val="0"/>
                <w:color w:val="FFFFFF" w:themeColor="background1"/>
              </w:rPr>
            </w:pPr>
            <w:r w:rsidRPr="0072192C">
              <w:rPr>
                <w:rFonts w:eastAsia="Calibri"/>
                <w:noProof w:val="0"/>
                <w:color w:val="FFFFFF" w:themeColor="background1"/>
              </w:rPr>
              <w:t>Category </w:t>
            </w:r>
          </w:p>
        </w:tc>
        <w:tc>
          <w:tcPr>
            <w:tcW w:w="1529" w:type="dxa"/>
            <w:shd w:val="clear" w:color="auto" w:fill="1B556B"/>
            <w:tcMar>
              <w:top w:w="0" w:type="dxa"/>
              <w:left w:w="85" w:type="dxa"/>
              <w:bottom w:w="0" w:type="dxa"/>
              <w:right w:w="85" w:type="dxa"/>
            </w:tcMar>
            <w:vAlign w:val="bottom"/>
          </w:tcPr>
          <w:p w14:paraId="171207F1" w14:textId="77777777" w:rsidR="00B259A8" w:rsidRPr="0072192C" w:rsidRDefault="00B259A8" w:rsidP="00F16E23">
            <w:pPr>
              <w:pStyle w:val="TableTextBold"/>
              <w:keepNext/>
              <w:spacing w:before="40" w:after="40"/>
              <w:rPr>
                <w:noProof w:val="0"/>
                <w:color w:val="FFFFFF" w:themeColor="background1"/>
              </w:rPr>
            </w:pPr>
            <w:r w:rsidRPr="0072192C">
              <w:rPr>
                <w:rFonts w:eastAsia="Calibri"/>
                <w:noProof w:val="0"/>
                <w:color w:val="FFFFFF" w:themeColor="background1"/>
              </w:rPr>
              <w:t>Source category reported under </w:t>
            </w:r>
          </w:p>
        </w:tc>
        <w:tc>
          <w:tcPr>
            <w:tcW w:w="4241" w:type="dxa"/>
            <w:shd w:val="clear" w:color="auto" w:fill="1B556B"/>
            <w:tcMar>
              <w:top w:w="0" w:type="dxa"/>
              <w:left w:w="85" w:type="dxa"/>
              <w:bottom w:w="0" w:type="dxa"/>
              <w:right w:w="85" w:type="dxa"/>
            </w:tcMar>
            <w:vAlign w:val="bottom"/>
          </w:tcPr>
          <w:p w14:paraId="29C766BE" w14:textId="77777777" w:rsidR="00B259A8" w:rsidRPr="0072192C" w:rsidRDefault="00B259A8" w:rsidP="00F16E23">
            <w:pPr>
              <w:pStyle w:val="TableTextBold"/>
              <w:keepNext/>
              <w:spacing w:before="40" w:after="40"/>
              <w:rPr>
                <w:noProof w:val="0"/>
                <w:color w:val="FFFFFF" w:themeColor="background1"/>
              </w:rPr>
            </w:pPr>
            <w:r w:rsidRPr="0072192C">
              <w:rPr>
                <w:rFonts w:eastAsia="Calibri"/>
                <w:noProof w:val="0"/>
                <w:color w:val="FFFFFF" w:themeColor="background1"/>
              </w:rPr>
              <w:t>Notation key explanation </w:t>
            </w:r>
          </w:p>
        </w:tc>
      </w:tr>
      <w:tr w:rsidR="00B259A8" w:rsidRPr="0072192C" w14:paraId="5F50CAC2" w14:textId="77777777" w:rsidTr="00F16E23">
        <w:tc>
          <w:tcPr>
            <w:tcW w:w="0" w:type="auto"/>
            <w:shd w:val="clear" w:color="auto" w:fill="FFFFFF"/>
            <w:tcMar>
              <w:top w:w="0" w:type="dxa"/>
              <w:left w:w="85" w:type="dxa"/>
              <w:bottom w:w="0" w:type="dxa"/>
              <w:right w:w="85" w:type="dxa"/>
            </w:tcMar>
          </w:tcPr>
          <w:p w14:paraId="37DB1FBC" w14:textId="77777777" w:rsidR="00B259A8" w:rsidRPr="0072192C" w:rsidRDefault="00B259A8" w:rsidP="00F16E23">
            <w:pPr>
              <w:pStyle w:val="TableText"/>
              <w:keepNext/>
              <w:spacing w:before="40" w:after="40"/>
            </w:pPr>
            <w:r w:rsidRPr="0072192C">
              <w:rPr>
                <w:rFonts w:eastAsia="Calibri"/>
              </w:rPr>
              <w:t>Tokelau</w:t>
            </w:r>
          </w:p>
        </w:tc>
        <w:tc>
          <w:tcPr>
            <w:tcW w:w="0" w:type="auto"/>
            <w:shd w:val="clear" w:color="auto" w:fill="FFFFFF"/>
            <w:tcMar>
              <w:top w:w="0" w:type="dxa"/>
              <w:left w:w="85" w:type="dxa"/>
              <w:bottom w:w="0" w:type="dxa"/>
              <w:right w:w="85" w:type="dxa"/>
            </w:tcMar>
          </w:tcPr>
          <w:p w14:paraId="6C5D4CBB" w14:textId="77777777" w:rsidR="00B259A8" w:rsidRPr="0072192C" w:rsidRDefault="00B259A8" w:rsidP="00F16E23">
            <w:pPr>
              <w:pStyle w:val="TableText"/>
              <w:keepNext/>
              <w:spacing w:before="40" w:after="40"/>
            </w:pPr>
          </w:p>
        </w:tc>
        <w:tc>
          <w:tcPr>
            <w:tcW w:w="1529" w:type="dxa"/>
            <w:shd w:val="clear" w:color="auto" w:fill="FFFFFF"/>
            <w:tcMar>
              <w:top w:w="0" w:type="dxa"/>
              <w:left w:w="85" w:type="dxa"/>
              <w:bottom w:w="0" w:type="dxa"/>
              <w:right w:w="85" w:type="dxa"/>
            </w:tcMar>
          </w:tcPr>
          <w:p w14:paraId="52558F2E" w14:textId="77777777" w:rsidR="00B259A8" w:rsidRPr="0072192C" w:rsidRDefault="00B259A8" w:rsidP="00F16E23">
            <w:pPr>
              <w:pStyle w:val="TableText"/>
              <w:keepNext/>
              <w:spacing w:before="40" w:after="40"/>
            </w:pPr>
          </w:p>
        </w:tc>
        <w:tc>
          <w:tcPr>
            <w:tcW w:w="4241" w:type="dxa"/>
            <w:shd w:val="clear" w:color="auto" w:fill="FFFFFF"/>
            <w:tcMar>
              <w:top w:w="0" w:type="dxa"/>
              <w:left w:w="85" w:type="dxa"/>
              <w:bottom w:w="0" w:type="dxa"/>
              <w:right w:w="85" w:type="dxa"/>
            </w:tcMar>
          </w:tcPr>
          <w:p w14:paraId="3762AB42" w14:textId="77777777" w:rsidR="00B259A8" w:rsidRPr="0072192C" w:rsidRDefault="00B259A8" w:rsidP="00F16E23">
            <w:pPr>
              <w:pStyle w:val="TableText"/>
              <w:keepNext/>
              <w:spacing w:before="40" w:after="40"/>
            </w:pPr>
          </w:p>
        </w:tc>
      </w:tr>
      <w:tr w:rsidR="00B259A8" w:rsidRPr="0072192C" w14:paraId="7C2AE20A" w14:textId="77777777" w:rsidTr="00F16E23">
        <w:tc>
          <w:tcPr>
            <w:tcW w:w="0" w:type="auto"/>
            <w:shd w:val="clear" w:color="auto" w:fill="FFFFFF"/>
            <w:tcMar>
              <w:top w:w="0" w:type="dxa"/>
              <w:left w:w="85" w:type="dxa"/>
              <w:bottom w:w="0" w:type="dxa"/>
              <w:right w:w="85" w:type="dxa"/>
            </w:tcMar>
          </w:tcPr>
          <w:p w14:paraId="397F4EC4" w14:textId="77777777" w:rsidR="00B259A8" w:rsidRPr="0072192C" w:rsidRDefault="00B259A8" w:rsidP="00F16E23">
            <w:pPr>
              <w:pStyle w:val="TableText"/>
            </w:pPr>
            <w:r w:rsidRPr="0072192C">
              <w:rPr>
                <w:rFonts w:eastAsia="Calibri"/>
              </w:rPr>
              <w:t>Within the Tokelau sector 6, categories 1.A.3.b.i. and 1.A.4.c.iii. were reported elsewhere</w:t>
            </w:r>
          </w:p>
        </w:tc>
        <w:tc>
          <w:tcPr>
            <w:tcW w:w="0" w:type="auto"/>
            <w:shd w:val="clear" w:color="auto" w:fill="FFFFFF"/>
            <w:tcMar>
              <w:top w:w="0" w:type="dxa"/>
              <w:left w:w="85" w:type="dxa"/>
              <w:bottom w:w="0" w:type="dxa"/>
              <w:right w:w="85" w:type="dxa"/>
            </w:tcMar>
          </w:tcPr>
          <w:p w14:paraId="63FD8A52" w14:textId="77777777" w:rsidR="00B259A8" w:rsidRPr="0072192C" w:rsidRDefault="00B259A8" w:rsidP="00F16E23">
            <w:pPr>
              <w:pStyle w:val="TableText"/>
              <w:rPr>
                <w:i/>
                <w:iCs/>
              </w:rPr>
            </w:pPr>
            <w:r w:rsidRPr="0072192C">
              <w:rPr>
                <w:rFonts w:eastAsia="Calibri"/>
                <w:i/>
                <w:iCs/>
              </w:rPr>
              <w:t>Road transport/ Gasoline and diesel oil </w:t>
            </w:r>
          </w:p>
        </w:tc>
        <w:tc>
          <w:tcPr>
            <w:tcW w:w="1529" w:type="dxa"/>
            <w:shd w:val="clear" w:color="auto" w:fill="FFFFFF"/>
            <w:tcMar>
              <w:top w:w="0" w:type="dxa"/>
              <w:left w:w="85" w:type="dxa"/>
              <w:bottom w:w="0" w:type="dxa"/>
              <w:right w:w="85" w:type="dxa"/>
            </w:tcMar>
          </w:tcPr>
          <w:p w14:paraId="10B052D2" w14:textId="77777777" w:rsidR="00B259A8" w:rsidRPr="0072192C" w:rsidRDefault="00B259A8" w:rsidP="00F16E23">
            <w:pPr>
              <w:pStyle w:val="TableText"/>
            </w:pPr>
            <w:r w:rsidRPr="0072192C">
              <w:rPr>
                <w:rFonts w:eastAsia="Calibri"/>
              </w:rPr>
              <w:t xml:space="preserve">1.A.3.d. </w:t>
            </w:r>
            <w:r w:rsidRPr="0072192C">
              <w:rPr>
                <w:rFonts w:eastAsia="Calibri"/>
                <w:i/>
                <w:iCs/>
              </w:rPr>
              <w:t>Domestic navigation – Gas-diesel oil</w:t>
            </w:r>
            <w:r w:rsidRPr="0072192C">
              <w:rPr>
                <w:rFonts w:eastAsia="Calibri"/>
              </w:rPr>
              <w:t xml:space="preserve"> (within Tokelau sector 6) </w:t>
            </w:r>
          </w:p>
        </w:tc>
        <w:tc>
          <w:tcPr>
            <w:tcW w:w="4241" w:type="dxa"/>
            <w:shd w:val="clear" w:color="auto" w:fill="FFFFFF"/>
            <w:tcMar>
              <w:top w:w="0" w:type="dxa"/>
              <w:left w:w="85" w:type="dxa"/>
              <w:bottom w:w="0" w:type="dxa"/>
              <w:right w:w="85" w:type="dxa"/>
            </w:tcMar>
          </w:tcPr>
          <w:p w14:paraId="5765EC66" w14:textId="77777777" w:rsidR="00B259A8" w:rsidRPr="0072192C" w:rsidRDefault="00B259A8" w:rsidP="00F16E23">
            <w:pPr>
              <w:pStyle w:val="TableText"/>
            </w:pPr>
            <w:r w:rsidRPr="0072192C">
              <w:rPr>
                <w:rFonts w:eastAsia="Calibri"/>
              </w:rPr>
              <w:t xml:space="preserve">Tokelau has a small petrol car fleet. In 2018 there were about 40 cars and 30 motorbikes, with an entire road network less than 10 kilometres. Fuel use for road transport cannot be distinguished from fuel use for domestic navigation, which is the main means of private transport in Tokelau. All sources of emissions from road transport are therefore included within </w:t>
            </w:r>
            <w:r w:rsidRPr="0072192C">
              <w:rPr>
                <w:rFonts w:eastAsia="Calibri"/>
                <w:i/>
                <w:iCs/>
              </w:rPr>
              <w:t>Domestic navigation.</w:t>
            </w:r>
            <w:r w:rsidRPr="0072192C">
              <w:rPr>
                <w:rFonts w:eastAsia="Calibri"/>
              </w:rPr>
              <w:t> </w:t>
            </w:r>
          </w:p>
        </w:tc>
      </w:tr>
      <w:tr w:rsidR="00B259A8" w:rsidRPr="0072192C" w14:paraId="52297514" w14:textId="77777777" w:rsidTr="00F16E23">
        <w:tc>
          <w:tcPr>
            <w:tcW w:w="0" w:type="auto"/>
            <w:shd w:val="clear" w:color="auto" w:fill="FFFFFF"/>
            <w:tcMar>
              <w:top w:w="0" w:type="dxa"/>
              <w:left w:w="85" w:type="dxa"/>
              <w:bottom w:w="0" w:type="dxa"/>
              <w:right w:w="85" w:type="dxa"/>
            </w:tcMar>
          </w:tcPr>
          <w:p w14:paraId="142E836F" w14:textId="77777777" w:rsidR="00B259A8" w:rsidRPr="0072192C" w:rsidRDefault="00B259A8" w:rsidP="00F16E23">
            <w:pPr>
              <w:pStyle w:val="TableText"/>
            </w:pPr>
            <w:r w:rsidRPr="0072192C">
              <w:rPr>
                <w:rFonts w:eastAsia="Calibri"/>
              </w:rPr>
              <w:t>Within the Tokelau sector 6, category 1.A.4.b. Residential is reported elsewhere</w:t>
            </w:r>
          </w:p>
        </w:tc>
        <w:tc>
          <w:tcPr>
            <w:tcW w:w="0" w:type="auto"/>
            <w:shd w:val="clear" w:color="auto" w:fill="FFFFFF"/>
            <w:tcMar>
              <w:top w:w="0" w:type="dxa"/>
              <w:left w:w="85" w:type="dxa"/>
              <w:bottom w:w="0" w:type="dxa"/>
              <w:right w:w="85" w:type="dxa"/>
            </w:tcMar>
          </w:tcPr>
          <w:p w14:paraId="5774FF15" w14:textId="77777777" w:rsidR="00B259A8" w:rsidRPr="0072192C" w:rsidRDefault="00B259A8" w:rsidP="00F16E23">
            <w:pPr>
              <w:pStyle w:val="TableText"/>
            </w:pPr>
            <w:r w:rsidRPr="0072192C">
              <w:rPr>
                <w:rFonts w:eastAsia="Calibri"/>
              </w:rPr>
              <w:t xml:space="preserve">1.A.4.b. </w:t>
            </w:r>
            <w:r w:rsidRPr="0072192C">
              <w:rPr>
                <w:rFonts w:eastAsia="Calibri"/>
                <w:i/>
                <w:iCs/>
              </w:rPr>
              <w:t>Residential liquid fuels</w:t>
            </w:r>
            <w:r w:rsidRPr="0072192C">
              <w:rPr>
                <w:rFonts w:eastAsia="Calibri"/>
              </w:rPr>
              <w:t> </w:t>
            </w:r>
          </w:p>
        </w:tc>
        <w:tc>
          <w:tcPr>
            <w:tcW w:w="1529" w:type="dxa"/>
            <w:shd w:val="clear" w:color="auto" w:fill="FFFFFF"/>
            <w:tcMar>
              <w:top w:w="0" w:type="dxa"/>
              <w:left w:w="85" w:type="dxa"/>
              <w:bottom w:w="0" w:type="dxa"/>
              <w:right w:w="85" w:type="dxa"/>
            </w:tcMar>
          </w:tcPr>
          <w:p w14:paraId="3E6AA697" w14:textId="77777777" w:rsidR="00B259A8" w:rsidRPr="0072192C" w:rsidRDefault="00B259A8" w:rsidP="00F16E23">
            <w:pPr>
              <w:pStyle w:val="TableText"/>
            </w:pPr>
            <w:r w:rsidRPr="0072192C">
              <w:rPr>
                <w:rFonts w:eastAsia="Calibri"/>
              </w:rPr>
              <w:t xml:space="preserve">1.A.3.d. </w:t>
            </w:r>
            <w:r w:rsidRPr="0072192C">
              <w:rPr>
                <w:rFonts w:eastAsia="Calibri"/>
                <w:i/>
                <w:iCs/>
              </w:rPr>
              <w:t>Domestic navigation – Gas-diesel oil</w:t>
            </w:r>
            <w:r w:rsidRPr="0072192C">
              <w:rPr>
                <w:rFonts w:eastAsia="Calibri"/>
              </w:rPr>
              <w:t xml:space="preserve"> (within Tokelau sector 6) </w:t>
            </w:r>
          </w:p>
        </w:tc>
        <w:tc>
          <w:tcPr>
            <w:tcW w:w="4241" w:type="dxa"/>
            <w:shd w:val="clear" w:color="auto" w:fill="FFFFFF"/>
            <w:tcMar>
              <w:top w:w="0" w:type="dxa"/>
              <w:left w:w="85" w:type="dxa"/>
              <w:bottom w:w="0" w:type="dxa"/>
              <w:right w:w="85" w:type="dxa"/>
            </w:tcMar>
          </w:tcPr>
          <w:p w14:paraId="1C85C028" w14:textId="77777777" w:rsidR="00B259A8" w:rsidRPr="0072192C" w:rsidRDefault="00B259A8" w:rsidP="00F16E23">
            <w:pPr>
              <w:pStyle w:val="TableText"/>
            </w:pPr>
            <w:r w:rsidRPr="0072192C">
              <w:rPr>
                <w:rFonts w:eastAsia="Calibri"/>
              </w:rPr>
              <w:t xml:space="preserve">The only emission source of liquid fuel occurring in this category is gas used for cooking. The amount of liquid fuel use in this category is small compared with that used for </w:t>
            </w:r>
            <w:r w:rsidRPr="0072192C">
              <w:rPr>
                <w:rFonts w:eastAsia="Calibri"/>
                <w:i/>
                <w:iCs/>
              </w:rPr>
              <w:t>Domestic navigation</w:t>
            </w:r>
            <w:r w:rsidRPr="0072192C">
              <w:rPr>
                <w:rFonts w:eastAsia="Calibri"/>
              </w:rPr>
              <w:t xml:space="preserve">, therefore all emissions are included in </w:t>
            </w:r>
            <w:r w:rsidRPr="0072192C">
              <w:rPr>
                <w:rFonts w:eastAsia="Calibri"/>
                <w:i/>
                <w:iCs/>
              </w:rPr>
              <w:t>Domestic navigation.</w:t>
            </w:r>
            <w:r w:rsidRPr="0072192C">
              <w:rPr>
                <w:rFonts w:eastAsia="Calibri"/>
              </w:rPr>
              <w:t> </w:t>
            </w:r>
          </w:p>
        </w:tc>
      </w:tr>
    </w:tbl>
    <w:p w14:paraId="1B7D6319" w14:textId="77777777" w:rsidR="00B259A8" w:rsidRPr="0072192C" w:rsidRDefault="00B259A8" w:rsidP="00B259A8">
      <w:pPr>
        <w:pStyle w:val="Heading2"/>
        <w:spacing w:before="440"/>
      </w:pPr>
      <w:bookmarkStart w:id="3197" w:name="_Toc226460802"/>
      <w:bookmarkStart w:id="3198" w:name="Xcd5300556b0895163a9a89b27b745693357fe3c"/>
      <w:bookmarkEnd w:id="3165"/>
      <w:r w:rsidRPr="0072192C">
        <w:t>8.2</w:t>
      </w:r>
      <w:r w:rsidRPr="0072192C">
        <w:tab/>
        <w:t xml:space="preserve">Energy emissions from Tokelau </w:t>
      </w:r>
      <w:r w:rsidRPr="0072192C">
        <w:rPr>
          <w:spacing w:val="-2"/>
        </w:rPr>
        <w:t>(6. Tokelau_1)</w:t>
      </w:r>
      <w:bookmarkEnd w:id="3197"/>
    </w:p>
    <w:p w14:paraId="344F7FF6" w14:textId="77777777" w:rsidR="00B259A8" w:rsidRPr="0072192C" w:rsidRDefault="00B259A8" w:rsidP="00B259A8">
      <w:pPr>
        <w:pStyle w:val="Heading3"/>
        <w:spacing w:before="240"/>
      </w:pPr>
      <w:bookmarkStart w:id="3199" w:name="overview-of-tokelaus-energy-sector"/>
      <w:r w:rsidRPr="0072192C">
        <w:t>8.2.1</w:t>
      </w:r>
      <w:r w:rsidRPr="0072192C">
        <w:tab/>
        <w:t>Overview of Tokelau’s Energy sector</w:t>
      </w:r>
    </w:p>
    <w:p w14:paraId="68ECDDF3" w14:textId="77777777" w:rsidR="00B259A8" w:rsidRPr="0072192C" w:rsidRDefault="00B259A8" w:rsidP="00B259A8">
      <w:pPr>
        <w:pStyle w:val="BodyText"/>
      </w:pPr>
      <w:r w:rsidRPr="0072192C">
        <w:t>In 2024, emissions from Tokelau’s Energy sector were 2.27 kt CO</w:t>
      </w:r>
      <w:r w:rsidRPr="0072192C">
        <w:rPr>
          <w:vertAlign w:val="subscript"/>
        </w:rPr>
        <w:t>2</w:t>
      </w:r>
      <w:r w:rsidRPr="0072192C">
        <w:t>e. This contributed 54.0 percent of Tokelau’s gross emissions and 0.003 percent to New Zealand’s gross emissions.</w:t>
      </w:r>
    </w:p>
    <w:p w14:paraId="620BAE75" w14:textId="77777777" w:rsidR="00B259A8" w:rsidRPr="0072192C" w:rsidRDefault="00B259A8" w:rsidP="00B259A8">
      <w:pPr>
        <w:pStyle w:val="BodyText"/>
      </w:pPr>
      <w:r w:rsidRPr="0072192C">
        <w:t xml:space="preserve">In Tokelau, the Energy sector covers the </w:t>
      </w:r>
      <w:r w:rsidRPr="0072192C">
        <w:rPr>
          <w:i/>
          <w:iCs/>
        </w:rPr>
        <w:t>Domestic navigation</w:t>
      </w:r>
      <w:r w:rsidRPr="0072192C">
        <w:t xml:space="preserve">, </w:t>
      </w:r>
      <w:r w:rsidRPr="0072192C">
        <w:rPr>
          <w:i/>
          <w:iCs/>
        </w:rPr>
        <w:t>Public electricity and heat production</w:t>
      </w:r>
      <w:r w:rsidRPr="0072192C">
        <w:t xml:space="preserve"> and </w:t>
      </w:r>
      <w:r w:rsidRPr="0072192C">
        <w:rPr>
          <w:i/>
          <w:iCs/>
        </w:rPr>
        <w:t>Other – Residential</w:t>
      </w:r>
      <w:r w:rsidRPr="0072192C">
        <w:t xml:space="preserve"> categories (see figure 8.2.1).</w:t>
      </w:r>
    </w:p>
    <w:p w14:paraId="7530B004" w14:textId="77777777" w:rsidR="00B259A8" w:rsidRPr="0072192C" w:rsidRDefault="00B259A8" w:rsidP="00B259A8">
      <w:pPr>
        <w:pStyle w:val="Figure"/>
        <w:spacing w:after="100"/>
      </w:pPr>
      <w:bookmarkStart w:id="3200" w:name="_Toc225424345"/>
      <w:bookmarkStart w:id="3201" w:name="_Toc226200714"/>
      <w:r w:rsidRPr="0072192C">
        <w:rPr>
          <w:bCs/>
        </w:rPr>
        <w:t>Figure 8.2.1</w:t>
      </w:r>
      <w:r w:rsidRPr="0072192C">
        <w:t xml:space="preserve"> </w:t>
      </w:r>
      <w:r w:rsidRPr="0072192C">
        <w:tab/>
        <w:t xml:space="preserve">Energy emissions by category for Tokelau, from </w:t>
      </w:r>
      <w:r w:rsidRPr="0072192C">
        <w:rPr>
          <w:bCs/>
        </w:rPr>
        <w:t>1990</w:t>
      </w:r>
      <w:r w:rsidRPr="0072192C">
        <w:t xml:space="preserve"> to </w:t>
      </w:r>
      <w:r w:rsidRPr="0072192C">
        <w:rPr>
          <w:bCs/>
        </w:rPr>
        <w:t>2024</w:t>
      </w:r>
      <w:bookmarkEnd w:id="3200"/>
      <w:bookmarkEnd w:id="3201"/>
    </w:p>
    <w:p w14:paraId="67DD90C6" w14:textId="77777777" w:rsidR="00B259A8" w:rsidRPr="0072192C" w:rsidRDefault="00B259A8" w:rsidP="00B259A8">
      <w:pPr>
        <w:pStyle w:val="BodyText"/>
      </w:pPr>
      <w:r w:rsidRPr="0072192C">
        <w:rPr>
          <w:noProof/>
        </w:rPr>
        <w:drawing>
          <wp:inline distT="0" distB="0" distL="0" distR="0" wp14:anchorId="331BEC0D" wp14:editId="513B88B6">
            <wp:extent cx="5334000" cy="2675467"/>
            <wp:effectExtent l="0" t="0" r="0" b="0"/>
            <wp:docPr id="59" name="Picture"/>
            <wp:cNvGraphicFramePr/>
            <a:graphic xmlns:a="http://schemas.openxmlformats.org/drawingml/2006/main">
              <a:graphicData uri="http://schemas.openxmlformats.org/drawingml/2006/picture">
                <pic:pic xmlns:pic="http://schemas.openxmlformats.org/drawingml/2006/picture">
                  <pic:nvPicPr>
                    <pic:cNvPr id="60" name="Picture" descr="images/fig_8_3_2.png"/>
                    <pic:cNvPicPr>
                      <a:picLocks noChangeAspect="1" noChangeArrowheads="1"/>
                    </pic:cNvPicPr>
                  </pic:nvPicPr>
                  <pic:blipFill rotWithShape="1">
                    <a:blip r:embed="rId262"/>
                    <a:srcRect t="1481" b="3146"/>
                    <a:stretch>
                      <a:fillRect/>
                    </a:stretch>
                  </pic:blipFill>
                  <pic:spPr bwMode="auto">
                    <a:xfrm>
                      <a:off x="0" y="0"/>
                      <a:ext cx="5336173" cy="2676557"/>
                    </a:xfrm>
                    <a:prstGeom prst="rect">
                      <a:avLst/>
                    </a:prstGeom>
                    <a:noFill/>
                    <a:ln>
                      <a:noFill/>
                    </a:ln>
                    <a:extLst>
                      <a:ext uri="{53640926-AAD7-44D8-BBD7-CCE9431645EC}">
                        <a14:shadowObscured xmlns:a14="http://schemas.microsoft.com/office/drawing/2010/main"/>
                      </a:ext>
                    </a:extLst>
                  </pic:spPr>
                </pic:pic>
              </a:graphicData>
            </a:graphic>
          </wp:inline>
        </w:drawing>
      </w:r>
    </w:p>
    <w:p w14:paraId="3A07D791" w14:textId="77777777" w:rsidR="00B259A8" w:rsidRPr="0072192C" w:rsidRDefault="00B259A8" w:rsidP="00B259A8">
      <w:pPr>
        <w:pStyle w:val="BodyText"/>
      </w:pPr>
      <w:r w:rsidRPr="0072192C">
        <w:t>For all energy categories, emissions were estimated using the IPCC Tier 1 methodological approach with IPCC default emission factors (IPCC, 2006a). Default IPCC uncertainty values were used for all estimates (IPCC, 2006a).</w:t>
      </w:r>
    </w:p>
    <w:p w14:paraId="59E5B522" w14:textId="77777777" w:rsidR="00B259A8" w:rsidRPr="0072192C" w:rsidRDefault="00B259A8" w:rsidP="00B259A8">
      <w:pPr>
        <w:pStyle w:val="BodyText"/>
      </w:pPr>
      <w:r w:rsidRPr="0072192C">
        <w:t>Tokelau predominately uses diesel oil and petrol (for back-up generators and transport) and liquefied petroleum gas (LPG) (for cooking purposes). Solid fuels are not used in Tokelau, other than on a small scale (e.g., the husks of locally grown coconuts). Emissions from solid fuels are, therefore, not estimated.</w:t>
      </w:r>
    </w:p>
    <w:p w14:paraId="5C62C2ED" w14:textId="77777777" w:rsidR="00B259A8" w:rsidRPr="0072192C" w:rsidRDefault="00B259A8" w:rsidP="00B259A8">
      <w:pPr>
        <w:pStyle w:val="BodyText"/>
      </w:pPr>
      <w:r w:rsidRPr="0072192C">
        <w:t xml:space="preserve">Small amounts of other fossil fuels imported by Tokelau are assumed to be combusted. These include gasoline, other kerosene and lubricants. Their combustion is accounted for under </w:t>
      </w:r>
      <w:r w:rsidRPr="0072192C">
        <w:rPr>
          <w:i/>
          <w:iCs/>
        </w:rPr>
        <w:t>Domestic navigation – Gas/diesel oil</w:t>
      </w:r>
      <w:r w:rsidRPr="0072192C">
        <w:t xml:space="preserve">. Around 40 drums (205-litre capacity per drum) of oil are imported annually, the bulk of which is assumed to be mixed with petrol for ‘outboard’ engine use and combusted, with only a few drums used to lubricate cars and other engines. Because none of those are recycled, combustion is the most likely outcome. After every five roundtrips, oil changes carried out in Apia during servicing of the ferries </w:t>
      </w:r>
      <w:r w:rsidRPr="0072192C">
        <w:rPr>
          <w:i/>
          <w:iCs/>
        </w:rPr>
        <w:t>Mataliki</w:t>
      </w:r>
      <w:r w:rsidRPr="0072192C">
        <w:t xml:space="preserve"> and </w:t>
      </w:r>
      <w:r w:rsidRPr="0072192C">
        <w:rPr>
          <w:i/>
          <w:iCs/>
        </w:rPr>
        <w:t>Kalopaga</w:t>
      </w:r>
      <w:r w:rsidRPr="0072192C">
        <w:t xml:space="preserve"> have the more significant amount of waste oil but this remains in Samoa.</w:t>
      </w:r>
    </w:p>
    <w:p w14:paraId="53DCD550" w14:textId="77777777" w:rsidR="00B259A8" w:rsidRPr="0072192C" w:rsidRDefault="00B259A8" w:rsidP="00B259A8">
      <w:pPr>
        <w:pStyle w:val="BodyText"/>
      </w:pPr>
      <w:r w:rsidRPr="0072192C">
        <w:t>For consistency with New Zealand’s Energy sector, gross calorific values were used for Energy sector estimates from Tokelau. The relevant IPCC default emission factors were adjusted accordingly by multiplying them by 0.95 and 0.90 for liquid and gaseous fuels respectively.</w:t>
      </w:r>
    </w:p>
    <w:p w14:paraId="59F04862" w14:textId="77777777" w:rsidR="00B259A8" w:rsidRPr="0072192C" w:rsidRDefault="00B259A8" w:rsidP="00B259A8">
      <w:pPr>
        <w:pStyle w:val="Heading3"/>
      </w:pPr>
      <w:bookmarkStart w:id="3202" w:name="reference-approach"/>
      <w:bookmarkEnd w:id="3199"/>
      <w:r w:rsidRPr="0072192C">
        <w:t>8.2.2</w:t>
      </w:r>
      <w:r w:rsidRPr="0072192C">
        <w:tab/>
        <w:t>Reference approach</w:t>
      </w:r>
    </w:p>
    <w:p w14:paraId="7215CE23" w14:textId="77777777" w:rsidR="00B259A8" w:rsidRPr="0072192C" w:rsidRDefault="00B259A8" w:rsidP="00B259A8">
      <w:pPr>
        <w:pStyle w:val="BodyText"/>
      </w:pPr>
      <w:r w:rsidRPr="0072192C">
        <w:t>The reference approach calculations were performed according to the methods described in the 2006 IPCC Guidelines (IPCC, 2006a). Equations 6.1 to 6.4 (volume 2, chapter 6, IPCC, 2006a) were used for calculating consumption and estimating emissions. Gross calorific values were used for all calculations.</w:t>
      </w:r>
    </w:p>
    <w:p w14:paraId="4991FC31" w14:textId="77777777" w:rsidR="00B259A8" w:rsidRPr="0072192C" w:rsidRDefault="00B259A8" w:rsidP="00B259A8">
      <w:pPr>
        <w:pStyle w:val="BodyText"/>
      </w:pPr>
      <w:r w:rsidRPr="0072192C">
        <w:rPr>
          <w:spacing w:val="-2"/>
        </w:rPr>
        <w:t>In 2024, total CO</w:t>
      </w:r>
      <w:r w:rsidRPr="0072192C">
        <w:rPr>
          <w:spacing w:val="-2"/>
          <w:vertAlign w:val="subscript"/>
        </w:rPr>
        <w:t>2</w:t>
      </w:r>
      <w:r w:rsidRPr="0072192C">
        <w:rPr>
          <w:spacing w:val="-2"/>
        </w:rPr>
        <w:t xml:space="preserve"> emissions estimated using the reference approach were 2.22 kt, which differs</w:t>
      </w:r>
      <w:r w:rsidRPr="0072192C">
        <w:t xml:space="preserve"> from the sectoral approach by 1.7 percent. The average variation of differences between the sectoral and reference approach across the time series was 2.2 percent.</w:t>
      </w:r>
    </w:p>
    <w:p w14:paraId="0084B7CD" w14:textId="77777777" w:rsidR="00B259A8" w:rsidRPr="0072192C" w:rsidRDefault="00B259A8" w:rsidP="00B259A8">
      <w:pPr>
        <w:pStyle w:val="Heading3"/>
      </w:pPr>
      <w:bookmarkStart w:id="3203" w:name="international-bunker-fuels"/>
      <w:bookmarkEnd w:id="3202"/>
      <w:r w:rsidRPr="0072192C">
        <w:t>8.2.3</w:t>
      </w:r>
      <w:r w:rsidRPr="0072192C">
        <w:tab/>
        <w:t>International bunker fuels</w:t>
      </w:r>
    </w:p>
    <w:p w14:paraId="7E8BD855" w14:textId="77777777" w:rsidR="00B259A8" w:rsidRPr="0072192C" w:rsidRDefault="00B259A8" w:rsidP="00B259A8">
      <w:pPr>
        <w:pStyle w:val="BodyText"/>
      </w:pPr>
      <w:r w:rsidRPr="0072192C">
        <w:t>All fuel imported or sold in Tokelau is for domestic voyages. All international voyages operate exclusively on fuel loaded in Samoa, no refuelling takes place in Tokelau for international shipping routes.</w:t>
      </w:r>
    </w:p>
    <w:p w14:paraId="55F7432B" w14:textId="77777777" w:rsidR="00B259A8" w:rsidRPr="0072192C" w:rsidRDefault="00B259A8" w:rsidP="00B259A8">
      <w:pPr>
        <w:pStyle w:val="BodyText"/>
      </w:pPr>
      <w:r w:rsidRPr="0072192C">
        <w:t>Tokelau has no domestic or international aviation transportation.</w:t>
      </w:r>
    </w:p>
    <w:p w14:paraId="09D8AB9B" w14:textId="77777777" w:rsidR="00B259A8" w:rsidRPr="0072192C" w:rsidRDefault="00B259A8" w:rsidP="00B259A8">
      <w:pPr>
        <w:pStyle w:val="Heading2"/>
      </w:pPr>
      <w:bookmarkStart w:id="3204" w:name="_Toc226460803"/>
      <w:bookmarkStart w:id="3205" w:name="X28afd734f18878b6460c7bd7cf440e665c35fc3"/>
      <w:bookmarkEnd w:id="3198"/>
      <w:bookmarkEnd w:id="3203"/>
      <w:r w:rsidRPr="0072192C">
        <w:t>8.3</w:t>
      </w:r>
      <w:r w:rsidRPr="0072192C">
        <w:tab/>
        <w:t>Stationary combustion: Public electricity and heat production</w:t>
      </w:r>
      <w:bookmarkEnd w:id="3204"/>
    </w:p>
    <w:p w14:paraId="583C0AC3" w14:textId="77777777" w:rsidR="00B259A8" w:rsidRPr="0072192C" w:rsidRDefault="00B259A8" w:rsidP="00B259A8">
      <w:pPr>
        <w:pStyle w:val="Heading3"/>
        <w:spacing w:before="240"/>
      </w:pPr>
      <w:r w:rsidRPr="0072192C">
        <w:t>8.3.1</w:t>
      </w:r>
      <w:r w:rsidRPr="0072192C">
        <w:tab/>
        <w:t>Description</w:t>
      </w:r>
    </w:p>
    <w:p w14:paraId="1275B030" w14:textId="77777777" w:rsidR="00B259A8" w:rsidRPr="0072192C" w:rsidRDefault="00B259A8" w:rsidP="00B259A8">
      <w:pPr>
        <w:pStyle w:val="BodyText"/>
      </w:pPr>
      <w:r w:rsidRPr="0072192C">
        <w:t xml:space="preserve">In Tokelau, the main source of emissions from this category is electricity production from back-up generators. These generators operate exclusively on liquid fossil fuels, and only liquid fossil fuels are reported in the </w:t>
      </w:r>
      <w:r w:rsidRPr="0072192C">
        <w:rPr>
          <w:i/>
          <w:iCs/>
        </w:rPr>
        <w:t>Energy industries – Public electricity and heat production</w:t>
      </w:r>
      <w:r w:rsidRPr="0072192C">
        <w:t xml:space="preserve"> category.</w:t>
      </w:r>
    </w:p>
    <w:p w14:paraId="47F4D0A4" w14:textId="77777777" w:rsidR="00B259A8" w:rsidRPr="0072192C" w:rsidRDefault="00B259A8" w:rsidP="00B259A8">
      <w:pPr>
        <w:pStyle w:val="BodyText"/>
      </w:pPr>
      <w:r w:rsidRPr="0072192C">
        <w:t>Like most small Pacific Island nations and territories, Tokelau has been heavily reliant on the importation of fossil fuels for energy generation. Imports increased significantly in 2004, when electric power became available for households 24 hours a day, 7 days a week. Before that, electricity was generated between 6 pm and 10 pm daily, and annual diesel consumption was about 20 percent of the value in 2011.</w:t>
      </w:r>
    </w:p>
    <w:p w14:paraId="15F50E0E" w14:textId="77777777" w:rsidR="00B259A8" w:rsidRPr="0072192C" w:rsidRDefault="00B259A8" w:rsidP="00B259A8">
      <w:pPr>
        <w:pStyle w:val="BodyText"/>
      </w:pPr>
      <w:r w:rsidRPr="0072192C">
        <w:t>In 2012, the installation of 4,000 solar PV systems across the three atolls was completed (figure 8.3.1). Each of the three Tokelau atolls now has solar PV systems that provide a significant proportion of local electricity demand.</w:t>
      </w:r>
    </w:p>
    <w:p w14:paraId="7528E6D4" w14:textId="77777777" w:rsidR="00B259A8" w:rsidRPr="0072192C" w:rsidRDefault="00B259A8" w:rsidP="00B259A8">
      <w:pPr>
        <w:pStyle w:val="Figure"/>
        <w:spacing w:after="80"/>
      </w:pPr>
      <w:bookmarkStart w:id="3206" w:name="_Toc225424346"/>
      <w:bookmarkStart w:id="3207" w:name="_Toc226200715"/>
      <w:r w:rsidRPr="0072192C">
        <w:rPr>
          <w:bCs/>
        </w:rPr>
        <w:t xml:space="preserve">Figure 8.3.1 </w:t>
      </w:r>
      <w:r w:rsidRPr="0072192C">
        <w:rPr>
          <w:bCs/>
        </w:rPr>
        <w:tab/>
        <w:t>Cluster block diagram for Tokelau’s solar project</w:t>
      </w:r>
      <w:bookmarkEnd w:id="3206"/>
      <w:bookmarkEnd w:id="3207"/>
    </w:p>
    <w:p w14:paraId="3D2C589D" w14:textId="77777777" w:rsidR="00B259A8" w:rsidRPr="0072192C" w:rsidRDefault="00B259A8" w:rsidP="00B259A8">
      <w:pPr>
        <w:pStyle w:val="BodyText"/>
        <w:spacing w:after="0"/>
        <w:jc w:val="center"/>
      </w:pPr>
      <w:r w:rsidRPr="0072192C">
        <w:rPr>
          <w:noProof/>
        </w:rPr>
        <w:drawing>
          <wp:inline distT="0" distB="0" distL="0" distR="0" wp14:anchorId="73F88DB9" wp14:editId="2161E9B8">
            <wp:extent cx="4822190" cy="3005667"/>
            <wp:effectExtent l="0" t="0" r="0" b="4445"/>
            <wp:docPr id="66" name="Picture"/>
            <wp:cNvGraphicFramePr/>
            <a:graphic xmlns:a="http://schemas.openxmlformats.org/drawingml/2006/main">
              <a:graphicData uri="http://schemas.openxmlformats.org/drawingml/2006/picture">
                <pic:pic xmlns:pic="http://schemas.openxmlformats.org/drawingml/2006/picture">
                  <pic:nvPicPr>
                    <pic:cNvPr id="67" name="Picture" descr="images/fig_8_2_1.png"/>
                    <pic:cNvPicPr>
                      <a:picLocks noChangeAspect="1" noChangeArrowheads="1"/>
                    </pic:cNvPicPr>
                  </pic:nvPicPr>
                  <pic:blipFill rotWithShape="1">
                    <a:blip r:embed="rId263"/>
                    <a:srcRect b="3321"/>
                    <a:stretch>
                      <a:fillRect/>
                    </a:stretch>
                  </pic:blipFill>
                  <pic:spPr bwMode="auto">
                    <a:xfrm>
                      <a:off x="0" y="0"/>
                      <a:ext cx="4822256" cy="3005708"/>
                    </a:xfrm>
                    <a:prstGeom prst="rect">
                      <a:avLst/>
                    </a:prstGeom>
                    <a:noFill/>
                    <a:ln>
                      <a:noFill/>
                    </a:ln>
                    <a:extLst>
                      <a:ext uri="{53640926-AAD7-44D8-BBD7-CCE9431645EC}">
                        <a14:shadowObscured xmlns:a14="http://schemas.microsoft.com/office/drawing/2010/main"/>
                      </a:ext>
                    </a:extLst>
                  </pic:spPr>
                </pic:pic>
              </a:graphicData>
            </a:graphic>
          </wp:inline>
        </w:drawing>
      </w:r>
    </w:p>
    <w:p w14:paraId="695053C7" w14:textId="77777777" w:rsidR="00B259A8" w:rsidRPr="0072192C" w:rsidRDefault="00B259A8" w:rsidP="00B259A8">
      <w:pPr>
        <w:pStyle w:val="Source"/>
        <w:spacing w:after="60"/>
      </w:pPr>
      <w:r w:rsidRPr="0072192C">
        <w:rPr>
          <w:b/>
          <w:bCs/>
        </w:rPr>
        <w:t>Source:</w:t>
      </w:r>
      <w:r w:rsidRPr="0072192C">
        <w:tab/>
      </w:r>
      <w:r w:rsidRPr="0072192C">
        <w:tab/>
        <w:t>International Renewable Energy Agency (2013)</w:t>
      </w:r>
    </w:p>
    <w:p w14:paraId="49AAE3D7" w14:textId="77777777" w:rsidR="00B259A8" w:rsidRPr="0072192C" w:rsidRDefault="00B259A8" w:rsidP="00B259A8">
      <w:pPr>
        <w:pStyle w:val="BodyText"/>
        <w:spacing w:after="100"/>
      </w:pPr>
      <w:r w:rsidRPr="0072192C">
        <w:t>Tokelau received wide media coverage for its installation of solar PV units.</w:t>
      </w:r>
      <w:r w:rsidRPr="0072192C">
        <w:rPr>
          <w:rStyle w:val="FootnoteReference"/>
        </w:rPr>
        <w:footnoteReference w:id="59"/>
      </w:r>
      <w:r w:rsidRPr="0072192C">
        <w:t xml:space="preserve"> The change resulted in a significant drop in liquid fossil fuels consumption for electricity production in Tokelau (by around 82.5 percent) and a decrease in the total energy emissions by 36.4 percent between 2011 and 2013. However, some power generation using diesel remains necessary as a back up, during the failure of solar PV units, prolonged cloudy spells, and to meet the steadily increasing demand from households and the public sector. Since 2022, Tokelau’s reliance on diesel generators has increased in part due to Nukunonu’s solar panel batteries overheating. A project that was planned to upgrade the solar panel batteries was deferred due to COVID-19.</w:t>
      </w:r>
    </w:p>
    <w:p w14:paraId="3BF3942F" w14:textId="77777777" w:rsidR="00B259A8" w:rsidRPr="0072192C" w:rsidRDefault="00B259A8" w:rsidP="00B259A8">
      <w:pPr>
        <w:pStyle w:val="Heading4"/>
      </w:pPr>
      <w:bookmarkStart w:id="3208" w:name="energy-emission-trends"/>
      <w:r w:rsidRPr="0072192C">
        <w:t>Energy emission trends</w:t>
      </w:r>
    </w:p>
    <w:p w14:paraId="0A88AA31" w14:textId="77777777" w:rsidR="00B259A8" w:rsidRPr="0072192C" w:rsidRDefault="00B259A8" w:rsidP="00B259A8">
      <w:pPr>
        <w:pStyle w:val="BodyText"/>
        <w:spacing w:before="80" w:after="100"/>
      </w:pPr>
      <w:r w:rsidRPr="0072192C">
        <w:t xml:space="preserve">In Tokelau, the </w:t>
      </w:r>
      <w:r w:rsidRPr="0072192C">
        <w:rPr>
          <w:i/>
          <w:iCs/>
        </w:rPr>
        <w:t>Public electricity and heat production</w:t>
      </w:r>
      <w:r w:rsidRPr="0072192C">
        <w:t xml:space="preserve"> category accounted for 100 percent of the emissions from the </w:t>
      </w:r>
      <w:r w:rsidRPr="0072192C">
        <w:rPr>
          <w:i/>
          <w:iCs/>
        </w:rPr>
        <w:t>Energy industries</w:t>
      </w:r>
      <w:r w:rsidRPr="0072192C">
        <w:t xml:space="preserve"> category for the entire time series. In 2024, emissions totalled 0.78 kt CO</w:t>
      </w:r>
      <w:r w:rsidRPr="0072192C">
        <w:rPr>
          <w:vertAlign w:val="subscript"/>
        </w:rPr>
        <w:t>2</w:t>
      </w:r>
      <w:r w:rsidRPr="0072192C">
        <w:t xml:space="preserve">e (34.2 percent of all energy emissions from Tokelau). Emissions from </w:t>
      </w:r>
      <w:r w:rsidRPr="0072192C">
        <w:rPr>
          <w:i/>
          <w:iCs/>
        </w:rPr>
        <w:t>Public electricity and heat production</w:t>
      </w:r>
      <w:r w:rsidRPr="0072192C">
        <w:t xml:space="preserve"> increased by 0.54 kt CO</w:t>
      </w:r>
      <w:r w:rsidRPr="0072192C">
        <w:rPr>
          <w:vertAlign w:val="subscript"/>
        </w:rPr>
        <w:t>2</w:t>
      </w:r>
      <w:r w:rsidRPr="0072192C">
        <w:t>e (136.1 percent) since the 1990 level of 0.23 kt CO</w:t>
      </w:r>
      <w:r w:rsidRPr="0072192C">
        <w:rPr>
          <w:vertAlign w:val="subscript"/>
        </w:rPr>
        <w:t>2</w:t>
      </w:r>
      <w:r w:rsidRPr="0072192C">
        <w:t>e.</w:t>
      </w:r>
    </w:p>
    <w:bookmarkEnd w:id="3208"/>
    <w:p w14:paraId="37F5C87B" w14:textId="77777777" w:rsidR="00B259A8" w:rsidRPr="0072192C" w:rsidRDefault="00B259A8" w:rsidP="00B259A8">
      <w:pPr>
        <w:pStyle w:val="Heading3"/>
      </w:pPr>
      <w:r w:rsidRPr="0072192C">
        <w:t>8.3.2</w:t>
      </w:r>
      <w:r w:rsidRPr="0072192C">
        <w:tab/>
        <w:t>Methodological issues</w:t>
      </w:r>
    </w:p>
    <w:p w14:paraId="6B18F6BD" w14:textId="77777777" w:rsidR="00B259A8" w:rsidRPr="0072192C" w:rsidRDefault="00B259A8" w:rsidP="00B259A8">
      <w:pPr>
        <w:pStyle w:val="Heading4"/>
      </w:pPr>
      <w:bookmarkStart w:id="3209" w:name="activity-data-1"/>
      <w:r w:rsidRPr="0072192C">
        <w:t>Activity data</w:t>
      </w:r>
    </w:p>
    <w:p w14:paraId="37BEAB9E" w14:textId="77777777" w:rsidR="00B259A8" w:rsidRPr="0072192C" w:rsidRDefault="00B259A8" w:rsidP="00B259A8">
      <w:pPr>
        <w:pStyle w:val="BodyText"/>
      </w:pPr>
      <w:r w:rsidRPr="0072192C">
        <w:t xml:space="preserve">The sources of activity data for the </w:t>
      </w:r>
      <w:r w:rsidRPr="0072192C">
        <w:rPr>
          <w:i/>
          <w:iCs/>
        </w:rPr>
        <w:t>Energy industries – Public electricity and heat production</w:t>
      </w:r>
      <w:r w:rsidRPr="0072192C">
        <w:t xml:space="preserve"> category are included in table 8.1.1. Key sources for the energy supply and consumption data are the Tokelau Department of Energy and Petroleum Product Supplies Ltd (Apia, Samoa). The Tokelau Department of Energy provided background data for estimates of diesel use for power generation around the time that electricity became available 24 hours a day, 7 days a </w:t>
      </w:r>
      <w:r w:rsidRPr="0072192C">
        <w:rPr>
          <w:spacing w:val="-2"/>
        </w:rPr>
        <w:t>week in Tokelau in 2004 (item 6 in table 8.1.1). Based on purchase information, the Department</w:t>
      </w:r>
      <w:r w:rsidRPr="0072192C">
        <w:t xml:space="preserve"> of Finance provided the data on fuel prices and volumes supplied by Petroleum Product Supplies Ltd for shipping and on-atoll use of diesel, petrol, kerosene and lubricant oil (item 7 in table 8.1.1). Only liquid fossil fuels (i.e., gas and diesel oil) are used in the </w:t>
      </w:r>
      <w:r w:rsidRPr="0072192C">
        <w:rPr>
          <w:i/>
          <w:iCs/>
        </w:rPr>
        <w:t>Public electricity and heat production</w:t>
      </w:r>
      <w:r w:rsidRPr="0072192C">
        <w:t xml:space="preserve"> category. All fossil fuels in Tokelau are imported and activity data are mostly obtained from analysis of invoices from main suppliers and shipping manifests.</w:t>
      </w:r>
    </w:p>
    <w:p w14:paraId="28CAA916" w14:textId="77777777" w:rsidR="00B259A8" w:rsidRPr="0072192C" w:rsidRDefault="00B259A8" w:rsidP="00B259A8">
      <w:pPr>
        <w:pStyle w:val="BodyText"/>
      </w:pPr>
      <w:r w:rsidRPr="0072192C">
        <w:t>In the course of the analysis of available data, discrepancies were discovered between the fuel imports shown on shipping manifests and the more reliable financial fuel purchase data that were audited. Detailed data were not available for each year from 1990 to 2024 (or data reliability was not high), so a trade-off was made between data granularity and data quality. The biggest and most reliably recorded data variations are reflected in the time series.</w:t>
      </w:r>
    </w:p>
    <w:p w14:paraId="01C57EEC" w14:textId="77777777" w:rsidR="00B259A8" w:rsidRPr="0072192C" w:rsidRDefault="00B259A8" w:rsidP="00B259A8">
      <w:pPr>
        <w:pStyle w:val="BodyText"/>
      </w:pPr>
      <w:r w:rsidRPr="0072192C">
        <w:t>For electricity generation, two important events occurred: first, the changeover to 24 hour, 7 days a week electricity in 2004 (from 6 pm to 10 pm before that, at an estimated 20 percent of the 24 hour, 7 days a week value in 2011); and second the introduction of solar PV-powered plants in 2012. The change during 2012, due to the installation of solar PV-powered plants, was reasonably well documented and, therefore, reflected in the time series. For the years 1990 to 2003, 2005 to 2011 and 2013 to 2015, the activity data (and corresponding emissions) are shown as constant. In 2022, Tokelau’s reliance on diesel generators increased due to an increase in demand and a decrease in the availability of solar power. Use of diesel generators subsequently decreased in 2023 due to fuel conservation initiatives and problems with the generators. In the absence of updated activity data for diesel generator use in 2024, emissions have been maintained at 2023 levels.</w:t>
      </w:r>
    </w:p>
    <w:p w14:paraId="10A2D39E" w14:textId="77777777" w:rsidR="00B259A8" w:rsidRPr="0072192C" w:rsidRDefault="00B259A8" w:rsidP="00B259A8">
      <w:pPr>
        <w:pStyle w:val="BodyText"/>
      </w:pPr>
      <w:r w:rsidRPr="0072192C">
        <w:t>The diesel data for 2013 to 2015 were entirely based on analysis during 2018 of fuel purchases, when, for the first time, Tokelau’s analysts could clearly separate out the diesel used on-atoll and for shipping. The methodology for such analyses that was put in place for the 2019 inventory submission has been refined in each subsequent submission.</w:t>
      </w:r>
    </w:p>
    <w:p w14:paraId="519D0A80" w14:textId="77777777" w:rsidR="00B259A8" w:rsidRPr="0072192C" w:rsidRDefault="00B259A8" w:rsidP="00B259A8">
      <w:pPr>
        <w:pStyle w:val="BodyText"/>
      </w:pPr>
      <w:r w:rsidRPr="0072192C">
        <w:t>Diesel is delivered on ‘dangerous goods sailings’ to Tokelau in the ships’ fuel bunkers. On arrival, it is pumped into drums on a barge, for shipping to shore and transport to the generator sites.</w:t>
      </w:r>
    </w:p>
    <w:p w14:paraId="10A8A087" w14:textId="77777777" w:rsidR="00B259A8" w:rsidRPr="0072192C" w:rsidRDefault="00B259A8" w:rsidP="00B259A8">
      <w:pPr>
        <w:pStyle w:val="Heading4"/>
      </w:pPr>
      <w:bookmarkStart w:id="3210" w:name="methods-and-emission-factors-1"/>
      <w:bookmarkEnd w:id="3209"/>
      <w:r w:rsidRPr="0072192C">
        <w:t>Methods and emission factors</w:t>
      </w:r>
    </w:p>
    <w:p w14:paraId="30230E38" w14:textId="77777777" w:rsidR="00B259A8" w:rsidRPr="0072192C" w:rsidRDefault="00B259A8" w:rsidP="00B259A8">
      <w:pPr>
        <w:pStyle w:val="BodyText"/>
      </w:pPr>
      <w:r w:rsidRPr="0072192C">
        <w:t xml:space="preserve">An IPCC Tier 1 method was applied for estimating emissions from the </w:t>
      </w:r>
      <w:r w:rsidRPr="0072192C">
        <w:rPr>
          <w:i/>
          <w:iCs/>
        </w:rPr>
        <w:t>Public electricity and heat production</w:t>
      </w:r>
      <w:r w:rsidRPr="0072192C">
        <w:t xml:space="preserve"> category. The method required data on the amount of diesel combusted in the source category and a default emission factor from table 2.2, section 2.3.2.1, volume 2 of the 2006 IPCC Guidelines (IPCC, 2006a). Default emission factors from the 2006 IPCC Guidelines were converted from net calorific values to gross calorific values using the Organisation for Economic Co-operation and Development (OECD) and International Energy Agency (IEA) assumptions to make these conversions:</w:t>
      </w:r>
    </w:p>
    <w:p w14:paraId="4BE55681" w14:textId="77777777" w:rsidR="00B259A8" w:rsidRPr="0072192C" w:rsidRDefault="00B259A8" w:rsidP="00B259A8">
      <w:pPr>
        <w:pStyle w:val="BodyText"/>
        <w:rPr>
          <w:rFonts w:ascii="Cambria Math" w:hAnsi="Cambria Math"/>
          <w:i/>
          <w:iCs/>
          <w:sz w:val="24"/>
          <w:szCs w:val="24"/>
        </w:rPr>
      </w:pPr>
      <m:oMathPara>
        <m:oMathParaPr>
          <m:jc m:val="center"/>
        </m:oMathParaPr>
        <m:oMath>
          <m:r>
            <m:rPr>
              <m:nor/>
            </m:rPr>
            <w:rPr>
              <w:rFonts w:ascii="Cambria Math" w:hAnsi="Cambria Math"/>
              <w:i/>
              <w:iCs/>
              <w:sz w:val="24"/>
              <w:szCs w:val="24"/>
            </w:rPr>
            <m:t>Gross</m:t>
          </m:r>
          <m:r>
            <w:rPr>
              <w:rFonts w:ascii="Cambria Math" w:hAnsi="Cambria Math"/>
              <w:sz w:val="24"/>
              <w:szCs w:val="24"/>
            </w:rPr>
            <m:t> </m:t>
          </m:r>
          <m:r>
            <m:rPr>
              <m:nor/>
            </m:rPr>
            <w:rPr>
              <w:rFonts w:ascii="Cambria Math" w:hAnsi="Cambria Math"/>
              <w:i/>
              <w:iCs/>
              <w:sz w:val="24"/>
              <w:szCs w:val="24"/>
            </w:rPr>
            <m:t>Emission</m:t>
          </m:r>
          <m:r>
            <w:rPr>
              <w:rFonts w:ascii="Cambria Math" w:hAnsi="Cambria Math"/>
              <w:sz w:val="24"/>
              <w:szCs w:val="24"/>
            </w:rPr>
            <m:t> </m:t>
          </m:r>
          <m:r>
            <m:rPr>
              <m:nor/>
            </m:rPr>
            <w:rPr>
              <w:rFonts w:ascii="Cambria Math" w:hAnsi="Cambria Math"/>
              <w:i/>
              <w:iCs/>
              <w:sz w:val="24"/>
              <w:szCs w:val="24"/>
            </w:rPr>
            <m:t>Factor</m:t>
          </m:r>
          <m:r>
            <w:rPr>
              <w:rFonts w:ascii="Cambria Math" w:hAnsi="Cambria Math"/>
              <w:sz w:val="24"/>
              <w:szCs w:val="24"/>
            </w:rPr>
            <m:t> </m:t>
          </m:r>
          <m:d>
            <m:dPr>
              <m:ctrlPr>
                <w:rPr>
                  <w:rFonts w:ascii="Cambria Math" w:hAnsi="Cambria Math"/>
                  <w:i/>
                  <w:iCs/>
                  <w:sz w:val="24"/>
                  <w:szCs w:val="24"/>
                </w:rPr>
              </m:ctrlPr>
            </m:dPr>
            <m:e>
              <m:r>
                <w:rPr>
                  <w:rFonts w:ascii="Cambria Math" w:hAnsi="Cambria Math"/>
                  <w:sz w:val="24"/>
                  <w:szCs w:val="24"/>
                </w:rPr>
                <m:t>liquid fuels</m:t>
              </m:r>
            </m:e>
          </m:d>
          <m:r>
            <w:rPr>
              <w:rFonts w:ascii="Cambria Math" w:hAnsi="Cambria Math"/>
              <w:sz w:val="24"/>
              <w:szCs w:val="24"/>
            </w:rPr>
            <m:t>= 0.95×</m:t>
          </m:r>
          <m:r>
            <m:rPr>
              <m:nor/>
            </m:rPr>
            <w:rPr>
              <w:rFonts w:ascii="Cambria Math" w:hAnsi="Cambria Math"/>
              <w:i/>
              <w:iCs/>
              <w:sz w:val="24"/>
              <w:szCs w:val="24"/>
            </w:rPr>
            <m:t>Net</m:t>
          </m:r>
          <m:r>
            <w:rPr>
              <w:rFonts w:ascii="Cambria Math" w:hAnsi="Cambria Math"/>
              <w:sz w:val="24"/>
              <w:szCs w:val="24"/>
            </w:rPr>
            <m:t> </m:t>
          </m:r>
          <m:r>
            <m:rPr>
              <m:nor/>
            </m:rPr>
            <w:rPr>
              <w:rFonts w:ascii="Cambria Math" w:hAnsi="Cambria Math"/>
              <w:i/>
              <w:iCs/>
              <w:sz w:val="24"/>
              <w:szCs w:val="24"/>
            </w:rPr>
            <m:t>Emission</m:t>
          </m:r>
          <m:r>
            <w:rPr>
              <w:rFonts w:ascii="Cambria Math" w:hAnsi="Cambria Math"/>
              <w:sz w:val="24"/>
              <w:szCs w:val="24"/>
            </w:rPr>
            <m:t> </m:t>
          </m:r>
          <m:r>
            <m:rPr>
              <m:nor/>
            </m:rPr>
            <w:rPr>
              <w:rFonts w:ascii="Cambria Math" w:hAnsi="Cambria Math"/>
              <w:i/>
              <w:iCs/>
              <w:sz w:val="24"/>
              <w:szCs w:val="24"/>
            </w:rPr>
            <m:t>Factor</m:t>
          </m:r>
        </m:oMath>
      </m:oMathPara>
    </w:p>
    <w:p w14:paraId="38347CBD" w14:textId="77777777" w:rsidR="00B259A8" w:rsidRPr="0072192C" w:rsidRDefault="00B259A8" w:rsidP="00B259A8">
      <w:pPr>
        <w:pStyle w:val="BodyText"/>
      </w:pPr>
      <w:r w:rsidRPr="0072192C">
        <w:t>Equations 2.1 and 2.2 from section 2.3.1.1 in the 2006 IPCC Guidelines were used for estimating emissions (IPCC, 2006a).</w:t>
      </w:r>
    </w:p>
    <w:bookmarkEnd w:id="3210"/>
    <w:p w14:paraId="50A22B63" w14:textId="77777777" w:rsidR="00B259A8" w:rsidRPr="0072192C" w:rsidRDefault="00B259A8" w:rsidP="00B259A8">
      <w:pPr>
        <w:pStyle w:val="Heading3"/>
        <w:spacing w:before="240"/>
      </w:pPr>
      <w:r w:rsidRPr="0072192C">
        <w:t>8.3.3</w:t>
      </w:r>
      <w:r w:rsidRPr="0072192C">
        <w:tab/>
        <w:t>Uncertainty assessment and time-series consistency</w:t>
      </w:r>
    </w:p>
    <w:p w14:paraId="78674ECD" w14:textId="77777777" w:rsidR="00B259A8" w:rsidRPr="0072192C" w:rsidRDefault="00B259A8" w:rsidP="00B259A8">
      <w:pPr>
        <w:pStyle w:val="BodyText"/>
      </w:pPr>
      <w:r w:rsidRPr="0072192C">
        <w:t>The default uncertainty values for emission factors provided in the 2006 IPCC Guidelines were used for CO</w:t>
      </w:r>
      <w:r w:rsidRPr="0072192C">
        <w:rPr>
          <w:vertAlign w:val="subscript"/>
        </w:rPr>
        <w:t>2</w:t>
      </w:r>
      <w:r w:rsidRPr="0072192C">
        <w:t xml:space="preserve"> and CH</w:t>
      </w:r>
      <w:r w:rsidRPr="0072192C">
        <w:rPr>
          <w:vertAlign w:val="subscript"/>
        </w:rPr>
        <w:t>4</w:t>
      </w:r>
      <w:r w:rsidRPr="0072192C">
        <w:t xml:space="preserve"> (for public power, co-generation and district heating) (IPCC, 2006a). The 2006 IPCC Guidelines do not provide a quantified default emission factor for N</w:t>
      </w:r>
      <w:r w:rsidRPr="0072192C">
        <w:rPr>
          <w:vertAlign w:val="subscript"/>
        </w:rPr>
        <w:t>2</w:t>
      </w:r>
      <w:r w:rsidRPr="0072192C">
        <w:t>O, therefore New Zealand’s emission factor uncertainty across the Energy sector was applied to the N</w:t>
      </w:r>
      <w:r w:rsidRPr="0072192C">
        <w:rPr>
          <w:vertAlign w:val="subscript"/>
        </w:rPr>
        <w:t>2</w:t>
      </w:r>
      <w:r w:rsidRPr="0072192C">
        <w:t>O emissions from this category.</w:t>
      </w:r>
    </w:p>
    <w:p w14:paraId="2E470682" w14:textId="77777777" w:rsidR="00B259A8" w:rsidRPr="0072192C" w:rsidRDefault="00B259A8" w:rsidP="00B259A8">
      <w:pPr>
        <w:pStyle w:val="BodyText"/>
      </w:pPr>
      <w:r w:rsidRPr="0072192C">
        <w:t xml:space="preserve">For activity data, the upper level of the default uncertainty range for the main activity of electricity and heat production was applied from the 2006 IPCC Guidelines (IPCC, 2006a). This is because of the lack of detailed pre-2018 fuel data, requiring data to be extrapolated back across the time series. Table 8.3.1 shows the uncertainties applied to the source emissions reported under the </w:t>
      </w:r>
      <w:r w:rsidRPr="0072192C">
        <w:rPr>
          <w:i/>
          <w:iCs/>
        </w:rPr>
        <w:t>Energy industries – Public electricity and heat production</w:t>
      </w:r>
      <w:r w:rsidRPr="0072192C">
        <w:t xml:space="preserve"> category.</w:t>
      </w:r>
    </w:p>
    <w:p w14:paraId="75D182C3" w14:textId="77777777" w:rsidR="00B259A8" w:rsidRPr="0072192C" w:rsidRDefault="00B259A8" w:rsidP="00B259A8">
      <w:pPr>
        <w:pStyle w:val="Table"/>
      </w:pPr>
      <w:bookmarkStart w:id="3211" w:name="_Toc225424320"/>
      <w:bookmarkStart w:id="3212" w:name="_Toc226669142"/>
      <w:r w:rsidRPr="0072192C">
        <w:rPr>
          <w:bCs/>
        </w:rPr>
        <w:t>Table 8.3.1</w:t>
      </w:r>
      <w:r w:rsidRPr="0072192C">
        <w:rPr>
          <w:bCs/>
        </w:rPr>
        <w:tab/>
        <w:t>Uncertainties for the</w:t>
      </w:r>
      <w:r w:rsidRPr="0072192C">
        <w:t xml:space="preserve"> </w:t>
      </w:r>
      <w:r w:rsidRPr="0072192C">
        <w:rPr>
          <w:i/>
          <w:iCs/>
        </w:rPr>
        <w:t>Energy industries – Public electricity and heat production</w:t>
      </w:r>
      <w:r w:rsidRPr="0072192C">
        <w:t xml:space="preserve"> </w:t>
      </w:r>
      <w:r w:rsidRPr="0072192C">
        <w:rPr>
          <w:bCs/>
        </w:rPr>
        <w:t>category</w:t>
      </w:r>
      <w:bookmarkEnd w:id="3211"/>
      <w:bookmarkEnd w:id="321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0"/>
        <w:gridCol w:w="987"/>
        <w:gridCol w:w="1560"/>
        <w:gridCol w:w="1701"/>
        <w:gridCol w:w="3816"/>
      </w:tblGrid>
      <w:tr w:rsidR="00B259A8" w:rsidRPr="0072192C" w14:paraId="149F9C4D" w14:textId="77777777" w:rsidTr="00F16E23">
        <w:trPr>
          <w:tblHeader/>
        </w:trPr>
        <w:tc>
          <w:tcPr>
            <w:tcW w:w="0" w:type="auto"/>
            <w:shd w:val="clear" w:color="auto" w:fill="1B556B"/>
            <w:tcMar>
              <w:top w:w="0" w:type="dxa"/>
              <w:left w:w="85" w:type="dxa"/>
              <w:bottom w:w="0" w:type="dxa"/>
              <w:right w:w="85" w:type="dxa"/>
            </w:tcMar>
            <w:vAlign w:val="bottom"/>
          </w:tcPr>
          <w:p w14:paraId="0192755E"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Gas</w:t>
            </w:r>
          </w:p>
        </w:tc>
        <w:tc>
          <w:tcPr>
            <w:tcW w:w="987" w:type="dxa"/>
            <w:shd w:val="clear" w:color="auto" w:fill="1B556B"/>
            <w:tcMar>
              <w:top w:w="0" w:type="dxa"/>
              <w:left w:w="85" w:type="dxa"/>
              <w:bottom w:w="0" w:type="dxa"/>
              <w:right w:w="85" w:type="dxa"/>
            </w:tcMar>
            <w:vAlign w:val="bottom"/>
          </w:tcPr>
          <w:p w14:paraId="6AAD5ACE"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Fuel type</w:t>
            </w:r>
          </w:p>
        </w:tc>
        <w:tc>
          <w:tcPr>
            <w:tcW w:w="1560" w:type="dxa"/>
            <w:shd w:val="clear" w:color="auto" w:fill="1B556B"/>
            <w:tcMar>
              <w:top w:w="0" w:type="dxa"/>
              <w:left w:w="85" w:type="dxa"/>
              <w:bottom w:w="0" w:type="dxa"/>
              <w:right w:w="85" w:type="dxa"/>
            </w:tcMar>
            <w:vAlign w:val="bottom"/>
          </w:tcPr>
          <w:p w14:paraId="178191DE"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Activity data (AD) uncertainty (%)</w:t>
            </w:r>
          </w:p>
        </w:tc>
        <w:tc>
          <w:tcPr>
            <w:tcW w:w="1701" w:type="dxa"/>
            <w:shd w:val="clear" w:color="auto" w:fill="1B556B"/>
            <w:tcMar>
              <w:top w:w="0" w:type="dxa"/>
              <w:left w:w="85" w:type="dxa"/>
              <w:bottom w:w="0" w:type="dxa"/>
              <w:right w:w="85" w:type="dxa"/>
            </w:tcMar>
            <w:vAlign w:val="bottom"/>
          </w:tcPr>
          <w:p w14:paraId="60C5A858"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Emission factor (EF) uncertainty (%)</w:t>
            </w:r>
          </w:p>
        </w:tc>
        <w:tc>
          <w:tcPr>
            <w:tcW w:w="3816" w:type="dxa"/>
            <w:shd w:val="clear" w:color="auto" w:fill="1B556B"/>
            <w:tcMar>
              <w:top w:w="0" w:type="dxa"/>
              <w:left w:w="85" w:type="dxa"/>
              <w:bottom w:w="0" w:type="dxa"/>
              <w:right w:w="85" w:type="dxa"/>
            </w:tcMar>
            <w:vAlign w:val="bottom"/>
          </w:tcPr>
          <w:p w14:paraId="19D828BD"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Source</w:t>
            </w:r>
          </w:p>
        </w:tc>
      </w:tr>
      <w:tr w:rsidR="00B259A8" w:rsidRPr="0072192C" w14:paraId="5BABA0BF" w14:textId="77777777" w:rsidTr="00F16E23">
        <w:tc>
          <w:tcPr>
            <w:tcW w:w="0" w:type="auto"/>
            <w:shd w:val="clear" w:color="auto" w:fill="FFFFFF"/>
            <w:tcMar>
              <w:top w:w="0" w:type="dxa"/>
              <w:left w:w="85" w:type="dxa"/>
              <w:bottom w:w="0" w:type="dxa"/>
              <w:right w:w="85" w:type="dxa"/>
            </w:tcMar>
          </w:tcPr>
          <w:p w14:paraId="4A3BEDF2" w14:textId="77777777" w:rsidR="00B259A8" w:rsidRPr="0072192C" w:rsidRDefault="00B259A8" w:rsidP="00F16E23">
            <w:pPr>
              <w:pStyle w:val="TableText"/>
              <w:spacing w:before="40" w:after="40"/>
            </w:pPr>
            <w:r w:rsidRPr="0072192C">
              <w:rPr>
                <w:rFonts w:eastAsia="Calibri"/>
              </w:rPr>
              <w:t>CO</w:t>
            </w:r>
            <w:r w:rsidRPr="0072192C">
              <w:rPr>
                <w:rFonts w:eastAsia="Calibri"/>
                <w:vertAlign w:val="subscript"/>
              </w:rPr>
              <w:t>2</w:t>
            </w:r>
          </w:p>
        </w:tc>
        <w:tc>
          <w:tcPr>
            <w:tcW w:w="987" w:type="dxa"/>
            <w:shd w:val="clear" w:color="auto" w:fill="FFFFFF"/>
            <w:tcMar>
              <w:top w:w="0" w:type="dxa"/>
              <w:left w:w="85" w:type="dxa"/>
              <w:bottom w:w="0" w:type="dxa"/>
              <w:right w:w="85" w:type="dxa"/>
            </w:tcMar>
          </w:tcPr>
          <w:p w14:paraId="78242AB0" w14:textId="77777777" w:rsidR="00B259A8" w:rsidRPr="0072192C" w:rsidRDefault="00B259A8" w:rsidP="00F16E23">
            <w:pPr>
              <w:pStyle w:val="TableText"/>
              <w:spacing w:before="40" w:after="40"/>
            </w:pPr>
            <w:r w:rsidRPr="0072192C">
              <w:rPr>
                <w:rFonts w:eastAsia="Calibri"/>
              </w:rPr>
              <w:t>Liquid fuels</w:t>
            </w:r>
          </w:p>
        </w:tc>
        <w:tc>
          <w:tcPr>
            <w:tcW w:w="1560" w:type="dxa"/>
            <w:shd w:val="clear" w:color="auto" w:fill="FFFFFF"/>
            <w:tcMar>
              <w:top w:w="0" w:type="dxa"/>
              <w:left w:w="85" w:type="dxa"/>
              <w:bottom w:w="0" w:type="dxa"/>
              <w:right w:w="85" w:type="dxa"/>
            </w:tcMar>
          </w:tcPr>
          <w:p w14:paraId="1E86909C" w14:textId="77777777" w:rsidR="00B259A8" w:rsidRPr="0072192C" w:rsidRDefault="00B259A8" w:rsidP="00F16E23">
            <w:pPr>
              <w:pStyle w:val="TableText"/>
              <w:spacing w:before="40" w:after="40"/>
              <w:jc w:val="right"/>
            </w:pPr>
            <w:r w:rsidRPr="0072192C">
              <w:rPr>
                <w:rFonts w:eastAsia="Calibri"/>
              </w:rPr>
              <w:t>10</w:t>
            </w:r>
          </w:p>
        </w:tc>
        <w:tc>
          <w:tcPr>
            <w:tcW w:w="1701" w:type="dxa"/>
            <w:shd w:val="clear" w:color="auto" w:fill="FFFFFF"/>
            <w:tcMar>
              <w:top w:w="0" w:type="dxa"/>
              <w:left w:w="85" w:type="dxa"/>
              <w:bottom w:w="0" w:type="dxa"/>
              <w:right w:w="85" w:type="dxa"/>
            </w:tcMar>
          </w:tcPr>
          <w:p w14:paraId="2B666F17" w14:textId="77777777" w:rsidR="00B259A8" w:rsidRPr="0072192C" w:rsidRDefault="00B259A8" w:rsidP="00F16E23">
            <w:pPr>
              <w:pStyle w:val="TableText"/>
              <w:spacing w:before="40" w:after="40"/>
              <w:jc w:val="right"/>
            </w:pPr>
            <w:r w:rsidRPr="0072192C">
              <w:rPr>
                <w:rFonts w:eastAsia="Calibri"/>
              </w:rPr>
              <w:t>±7</w:t>
            </w:r>
          </w:p>
        </w:tc>
        <w:tc>
          <w:tcPr>
            <w:tcW w:w="3816" w:type="dxa"/>
            <w:shd w:val="clear" w:color="auto" w:fill="FFFFFF"/>
            <w:tcMar>
              <w:top w:w="0" w:type="dxa"/>
              <w:left w:w="85" w:type="dxa"/>
              <w:bottom w:w="0" w:type="dxa"/>
              <w:right w:w="85" w:type="dxa"/>
            </w:tcMar>
          </w:tcPr>
          <w:p w14:paraId="13C08499" w14:textId="77777777" w:rsidR="00B259A8" w:rsidRPr="0072192C" w:rsidRDefault="00B259A8" w:rsidP="00F16E23">
            <w:pPr>
              <w:pStyle w:val="TableText"/>
              <w:spacing w:before="40" w:after="40"/>
            </w:pPr>
            <w:r w:rsidRPr="0072192C">
              <w:rPr>
                <w:rFonts w:eastAsia="Calibri"/>
              </w:rPr>
              <w:t xml:space="preserve">AD: page 2.41, IPCC, 2006a (table 2.15) </w:t>
            </w:r>
            <w:r w:rsidRPr="0072192C">
              <w:rPr>
                <w:rFonts w:eastAsia="Calibri"/>
              </w:rPr>
              <w:br/>
              <w:t>EF: page 2.38, IPCC, 2006a</w:t>
            </w:r>
          </w:p>
        </w:tc>
      </w:tr>
      <w:tr w:rsidR="00B259A8" w:rsidRPr="0072192C" w14:paraId="6E20DECE" w14:textId="77777777" w:rsidTr="00F16E23">
        <w:tc>
          <w:tcPr>
            <w:tcW w:w="0" w:type="auto"/>
            <w:shd w:val="clear" w:color="auto" w:fill="FFFFFF"/>
            <w:tcMar>
              <w:top w:w="0" w:type="dxa"/>
              <w:left w:w="85" w:type="dxa"/>
              <w:bottom w:w="0" w:type="dxa"/>
              <w:right w:w="85" w:type="dxa"/>
            </w:tcMar>
          </w:tcPr>
          <w:p w14:paraId="62429DF2" w14:textId="77777777" w:rsidR="00B259A8" w:rsidRPr="0072192C" w:rsidRDefault="00B259A8" w:rsidP="00F16E23">
            <w:pPr>
              <w:pStyle w:val="TableText"/>
              <w:spacing w:before="40" w:after="40"/>
            </w:pPr>
            <w:r w:rsidRPr="0072192C">
              <w:rPr>
                <w:rFonts w:eastAsia="Calibri"/>
              </w:rPr>
              <w:t>CH</w:t>
            </w:r>
            <w:r w:rsidRPr="0072192C">
              <w:rPr>
                <w:rFonts w:eastAsia="Calibri"/>
                <w:vertAlign w:val="subscript"/>
              </w:rPr>
              <w:t>4</w:t>
            </w:r>
          </w:p>
        </w:tc>
        <w:tc>
          <w:tcPr>
            <w:tcW w:w="987" w:type="dxa"/>
            <w:shd w:val="clear" w:color="auto" w:fill="FFFFFF"/>
            <w:tcMar>
              <w:top w:w="0" w:type="dxa"/>
              <w:left w:w="85" w:type="dxa"/>
              <w:bottom w:w="0" w:type="dxa"/>
              <w:right w:w="85" w:type="dxa"/>
            </w:tcMar>
          </w:tcPr>
          <w:p w14:paraId="30B22F99" w14:textId="77777777" w:rsidR="00B259A8" w:rsidRPr="0072192C" w:rsidRDefault="00B259A8" w:rsidP="00F16E23">
            <w:pPr>
              <w:pStyle w:val="TableText"/>
              <w:spacing w:before="40" w:after="40"/>
            </w:pPr>
            <w:r w:rsidRPr="0072192C">
              <w:rPr>
                <w:rFonts w:eastAsia="Calibri"/>
              </w:rPr>
              <w:t>Liquid fuels</w:t>
            </w:r>
          </w:p>
        </w:tc>
        <w:tc>
          <w:tcPr>
            <w:tcW w:w="1560" w:type="dxa"/>
            <w:shd w:val="clear" w:color="auto" w:fill="FFFFFF"/>
            <w:tcMar>
              <w:top w:w="0" w:type="dxa"/>
              <w:left w:w="85" w:type="dxa"/>
              <w:bottom w:w="0" w:type="dxa"/>
              <w:right w:w="85" w:type="dxa"/>
            </w:tcMar>
          </w:tcPr>
          <w:p w14:paraId="3ED8BC86" w14:textId="77777777" w:rsidR="00B259A8" w:rsidRPr="0072192C" w:rsidRDefault="00B259A8" w:rsidP="00F16E23">
            <w:pPr>
              <w:pStyle w:val="TableText"/>
              <w:spacing w:before="40" w:after="40"/>
              <w:jc w:val="right"/>
            </w:pPr>
            <w:r w:rsidRPr="0072192C">
              <w:rPr>
                <w:rFonts w:eastAsia="Calibri"/>
              </w:rPr>
              <w:t>10</w:t>
            </w:r>
          </w:p>
        </w:tc>
        <w:tc>
          <w:tcPr>
            <w:tcW w:w="1701" w:type="dxa"/>
            <w:shd w:val="clear" w:color="auto" w:fill="FFFFFF"/>
            <w:tcMar>
              <w:top w:w="0" w:type="dxa"/>
              <w:left w:w="85" w:type="dxa"/>
              <w:bottom w:w="0" w:type="dxa"/>
              <w:right w:w="85" w:type="dxa"/>
            </w:tcMar>
          </w:tcPr>
          <w:p w14:paraId="1BC54683" w14:textId="77777777" w:rsidR="00B259A8" w:rsidRPr="0072192C" w:rsidRDefault="00B259A8" w:rsidP="00F16E23">
            <w:pPr>
              <w:pStyle w:val="TableText"/>
              <w:spacing w:before="40" w:after="40"/>
              <w:jc w:val="right"/>
            </w:pPr>
            <w:r w:rsidRPr="0072192C">
              <w:rPr>
                <w:rFonts w:eastAsia="Calibri"/>
              </w:rPr>
              <w:t>±50.0</w:t>
            </w:r>
          </w:p>
        </w:tc>
        <w:tc>
          <w:tcPr>
            <w:tcW w:w="3816" w:type="dxa"/>
            <w:shd w:val="clear" w:color="auto" w:fill="FFFFFF"/>
            <w:tcMar>
              <w:top w:w="0" w:type="dxa"/>
              <w:left w:w="85" w:type="dxa"/>
              <w:bottom w:w="0" w:type="dxa"/>
              <w:right w:w="85" w:type="dxa"/>
            </w:tcMar>
          </w:tcPr>
          <w:p w14:paraId="7A2EBD4B" w14:textId="77777777" w:rsidR="00B259A8" w:rsidRPr="0072192C" w:rsidRDefault="00B259A8" w:rsidP="00F16E23">
            <w:pPr>
              <w:pStyle w:val="TableText"/>
              <w:spacing w:before="40" w:after="40"/>
            </w:pPr>
            <w:r w:rsidRPr="0072192C">
              <w:rPr>
                <w:rFonts w:eastAsia="Calibri"/>
              </w:rPr>
              <w:t xml:space="preserve">AD: page 2.41, IPCC, 2006a (table 2.15) </w:t>
            </w:r>
            <w:r w:rsidRPr="0072192C">
              <w:rPr>
                <w:rFonts w:eastAsia="Calibri"/>
              </w:rPr>
              <w:br/>
              <w:t>EF: page 2.38, IPCC, 2006a (table 2.12)</w:t>
            </w:r>
          </w:p>
        </w:tc>
      </w:tr>
      <w:tr w:rsidR="00B259A8" w:rsidRPr="0072192C" w14:paraId="4E14D433" w14:textId="77777777" w:rsidTr="00F16E23">
        <w:tc>
          <w:tcPr>
            <w:tcW w:w="0" w:type="auto"/>
            <w:shd w:val="clear" w:color="auto" w:fill="FFFFFF"/>
            <w:tcMar>
              <w:top w:w="0" w:type="dxa"/>
              <w:left w:w="85" w:type="dxa"/>
              <w:bottom w:w="0" w:type="dxa"/>
              <w:right w:w="85" w:type="dxa"/>
            </w:tcMar>
          </w:tcPr>
          <w:p w14:paraId="7E1068B6" w14:textId="77777777" w:rsidR="00B259A8" w:rsidRPr="0072192C" w:rsidRDefault="00B259A8" w:rsidP="00F16E23">
            <w:pPr>
              <w:pStyle w:val="TableText"/>
              <w:spacing w:before="40" w:after="40"/>
            </w:pPr>
            <w:r w:rsidRPr="0072192C">
              <w:rPr>
                <w:rFonts w:eastAsia="Calibri"/>
              </w:rPr>
              <w:t>N</w:t>
            </w:r>
            <w:r w:rsidRPr="0072192C">
              <w:rPr>
                <w:rFonts w:eastAsia="Calibri"/>
                <w:vertAlign w:val="subscript"/>
              </w:rPr>
              <w:t>2</w:t>
            </w:r>
            <w:r w:rsidRPr="0072192C">
              <w:rPr>
                <w:rFonts w:eastAsia="Calibri"/>
              </w:rPr>
              <w:t>O</w:t>
            </w:r>
          </w:p>
        </w:tc>
        <w:tc>
          <w:tcPr>
            <w:tcW w:w="987" w:type="dxa"/>
            <w:shd w:val="clear" w:color="auto" w:fill="FFFFFF"/>
            <w:tcMar>
              <w:top w:w="0" w:type="dxa"/>
              <w:left w:w="85" w:type="dxa"/>
              <w:bottom w:w="0" w:type="dxa"/>
              <w:right w:w="85" w:type="dxa"/>
            </w:tcMar>
          </w:tcPr>
          <w:p w14:paraId="568E1344" w14:textId="77777777" w:rsidR="00B259A8" w:rsidRPr="0072192C" w:rsidRDefault="00B259A8" w:rsidP="00F16E23">
            <w:pPr>
              <w:pStyle w:val="TableText"/>
              <w:spacing w:before="40" w:after="40"/>
            </w:pPr>
            <w:r w:rsidRPr="0072192C">
              <w:rPr>
                <w:rFonts w:eastAsia="Calibri"/>
              </w:rPr>
              <w:t>Liquid fuels</w:t>
            </w:r>
          </w:p>
        </w:tc>
        <w:tc>
          <w:tcPr>
            <w:tcW w:w="1560" w:type="dxa"/>
            <w:shd w:val="clear" w:color="auto" w:fill="FFFFFF"/>
            <w:tcMar>
              <w:top w:w="0" w:type="dxa"/>
              <w:left w:w="85" w:type="dxa"/>
              <w:bottom w:w="0" w:type="dxa"/>
              <w:right w:w="85" w:type="dxa"/>
            </w:tcMar>
          </w:tcPr>
          <w:p w14:paraId="2385E901" w14:textId="77777777" w:rsidR="00B259A8" w:rsidRPr="0072192C" w:rsidRDefault="00B259A8" w:rsidP="00F16E23">
            <w:pPr>
              <w:pStyle w:val="TableText"/>
              <w:spacing w:before="40" w:after="40"/>
              <w:jc w:val="right"/>
            </w:pPr>
            <w:r w:rsidRPr="0072192C">
              <w:rPr>
                <w:rFonts w:eastAsia="Calibri"/>
              </w:rPr>
              <w:t>10</w:t>
            </w:r>
          </w:p>
        </w:tc>
        <w:tc>
          <w:tcPr>
            <w:tcW w:w="1701" w:type="dxa"/>
            <w:shd w:val="clear" w:color="auto" w:fill="FFFFFF"/>
            <w:tcMar>
              <w:top w:w="0" w:type="dxa"/>
              <w:left w:w="85" w:type="dxa"/>
              <w:bottom w:w="0" w:type="dxa"/>
              <w:right w:w="85" w:type="dxa"/>
            </w:tcMar>
          </w:tcPr>
          <w:p w14:paraId="634881E9" w14:textId="77777777" w:rsidR="00B259A8" w:rsidRPr="0072192C" w:rsidRDefault="00B259A8" w:rsidP="00F16E23">
            <w:pPr>
              <w:pStyle w:val="TableText"/>
              <w:spacing w:before="40" w:after="40"/>
              <w:jc w:val="right"/>
            </w:pPr>
            <w:r w:rsidRPr="0072192C">
              <w:rPr>
                <w:rFonts w:eastAsia="Calibri"/>
              </w:rPr>
              <w:t>±50.0</w:t>
            </w:r>
          </w:p>
        </w:tc>
        <w:tc>
          <w:tcPr>
            <w:tcW w:w="3816" w:type="dxa"/>
            <w:shd w:val="clear" w:color="auto" w:fill="FFFFFF"/>
            <w:tcMar>
              <w:top w:w="0" w:type="dxa"/>
              <w:left w:w="85" w:type="dxa"/>
              <w:bottom w:w="0" w:type="dxa"/>
              <w:right w:w="85" w:type="dxa"/>
            </w:tcMar>
          </w:tcPr>
          <w:p w14:paraId="6FACAA79" w14:textId="77777777" w:rsidR="00B259A8" w:rsidRPr="0072192C" w:rsidRDefault="00B259A8" w:rsidP="00F16E23">
            <w:pPr>
              <w:pStyle w:val="TableText"/>
              <w:spacing w:before="40" w:after="40"/>
            </w:pPr>
            <w:r w:rsidRPr="0072192C">
              <w:rPr>
                <w:rFonts w:eastAsia="Calibri"/>
              </w:rPr>
              <w:t xml:space="preserve">AD: page 2.41, IPCC, 2006a (table 2.15) </w:t>
            </w:r>
            <w:r w:rsidRPr="0072192C">
              <w:rPr>
                <w:rFonts w:eastAsia="Calibri"/>
              </w:rPr>
              <w:br/>
              <w:t>EF: New Zealand’s value is used (table 3.2.1, chapter 3)</w:t>
            </w:r>
          </w:p>
        </w:tc>
      </w:tr>
    </w:tbl>
    <w:p w14:paraId="101D8644" w14:textId="77777777" w:rsidR="00B259A8" w:rsidRPr="0072192C" w:rsidRDefault="00B259A8" w:rsidP="00B259A8">
      <w:pPr>
        <w:pStyle w:val="BodyText"/>
        <w:spacing w:before="240"/>
      </w:pPr>
      <w:r w:rsidRPr="0072192C">
        <w:t xml:space="preserve">For the </w:t>
      </w:r>
      <w:r w:rsidRPr="0072192C">
        <w:rPr>
          <w:i/>
          <w:iCs/>
        </w:rPr>
        <w:t>Public electricity and heat production</w:t>
      </w:r>
      <w:r w:rsidRPr="0072192C">
        <w:t xml:space="preserve"> category, time-series consistency is maintained by using a combination of actual and inferred data for diesel consumed depending on the information available. For all years before 2019, except 2011 and 2015, diesel use is based on typical diesel electricity generator use.</w:t>
      </w:r>
    </w:p>
    <w:p w14:paraId="57B49B18" w14:textId="77777777" w:rsidR="00B259A8" w:rsidRPr="0072192C" w:rsidRDefault="00B259A8" w:rsidP="00B259A8">
      <w:pPr>
        <w:pStyle w:val="Heading3"/>
      </w:pPr>
      <w:r w:rsidRPr="0072192C">
        <w:t>8.3.4</w:t>
      </w:r>
      <w:r w:rsidRPr="0072192C">
        <w:tab/>
        <w:t>Category-specific QA/QC and verification</w:t>
      </w:r>
    </w:p>
    <w:p w14:paraId="46AED0FE"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3B9481FB" w14:textId="77777777" w:rsidR="00B259A8" w:rsidRPr="0072192C" w:rsidRDefault="00B259A8" w:rsidP="00B259A8">
      <w:pPr>
        <w:pStyle w:val="Heading3"/>
      </w:pPr>
      <w:r w:rsidRPr="0072192C">
        <w:t>8.3.5</w:t>
      </w:r>
      <w:r w:rsidRPr="0072192C">
        <w:tab/>
        <w:t>Category-specific recalculations</w:t>
      </w:r>
    </w:p>
    <w:p w14:paraId="4B4B4EA1" w14:textId="77777777" w:rsidR="00B259A8" w:rsidRPr="0072192C" w:rsidRDefault="00B259A8" w:rsidP="00B259A8">
      <w:pPr>
        <w:pStyle w:val="BodyText"/>
      </w:pPr>
      <w:r w:rsidRPr="0072192C">
        <w:t xml:space="preserve">There were no changes to estimates for the </w:t>
      </w:r>
      <w:r w:rsidRPr="0072192C">
        <w:rPr>
          <w:i/>
          <w:iCs/>
        </w:rPr>
        <w:t>Energy industries – Public electricity and heat production</w:t>
      </w:r>
      <w:r w:rsidRPr="0072192C">
        <w:t xml:space="preserve"> category.</w:t>
      </w:r>
    </w:p>
    <w:p w14:paraId="2314452A" w14:textId="77777777" w:rsidR="00B259A8" w:rsidRPr="0072192C" w:rsidRDefault="00B259A8" w:rsidP="00B259A8">
      <w:pPr>
        <w:pStyle w:val="Heading3"/>
      </w:pPr>
      <w:r w:rsidRPr="0072192C">
        <w:t>8.3.6</w:t>
      </w:r>
      <w:r w:rsidRPr="0072192C">
        <w:tab/>
        <w:t>Category-specific planned improvements</w:t>
      </w:r>
    </w:p>
    <w:p w14:paraId="5BAE2B75" w14:textId="77777777" w:rsidR="00B259A8" w:rsidRPr="0072192C" w:rsidRDefault="00B259A8" w:rsidP="00B259A8">
      <w:pPr>
        <w:pStyle w:val="BodyText"/>
      </w:pPr>
      <w:r w:rsidRPr="0072192C">
        <w:t xml:space="preserve">No improvements are planned for the </w:t>
      </w:r>
      <w:r w:rsidRPr="0072192C">
        <w:rPr>
          <w:i/>
          <w:iCs/>
        </w:rPr>
        <w:t>Energy industries – Public electricity and heat production</w:t>
      </w:r>
      <w:r w:rsidRPr="0072192C">
        <w:t xml:space="preserve"> category. Some areas identified for possible improvements are better monitoring of diesel fuel </w:t>
      </w:r>
      <w:r w:rsidRPr="0072192C">
        <w:rPr>
          <w:spacing w:val="-2"/>
        </w:rPr>
        <w:t>landing on-atoll at the power sites, and clearly separating fuel used for power generation from heavy machinery and diesel-powered vehicles. Data on gross electricity production from oil were acquired in late 2019 from the International Renewable Energy Agency; these could provide additional detail and verification of energy use back to their base year 2000. Future imports of coolants (ethylene glycol) for the solar PV-powered plants may also be considered in future</w:t>
      </w:r>
      <w:r w:rsidRPr="0072192C">
        <w:t>.</w:t>
      </w:r>
    </w:p>
    <w:p w14:paraId="43C6011E" w14:textId="77777777" w:rsidR="00B259A8" w:rsidRPr="0072192C" w:rsidRDefault="00B259A8" w:rsidP="00B259A8">
      <w:pPr>
        <w:pStyle w:val="Heading2"/>
      </w:pPr>
      <w:bookmarkStart w:id="3213" w:name="_Toc226460804"/>
      <w:bookmarkStart w:id="3214" w:name="Xe761a6f1f8d708297f22c094f8d285ef17c6268"/>
      <w:bookmarkEnd w:id="3205"/>
      <w:r w:rsidRPr="0072192C">
        <w:t>8.4</w:t>
      </w:r>
      <w:r w:rsidRPr="0072192C">
        <w:tab/>
        <w:t>Stationary combustion: Other sectors – Residential</w:t>
      </w:r>
      <w:bookmarkEnd w:id="3213"/>
    </w:p>
    <w:p w14:paraId="1E25BF08" w14:textId="77777777" w:rsidR="00B259A8" w:rsidRPr="0072192C" w:rsidRDefault="00B259A8" w:rsidP="00B259A8">
      <w:pPr>
        <w:pStyle w:val="Heading3"/>
        <w:spacing w:before="240"/>
      </w:pPr>
      <w:r w:rsidRPr="0072192C">
        <w:t>8.4.1</w:t>
      </w:r>
      <w:r w:rsidRPr="0072192C">
        <w:tab/>
        <w:t>Description</w:t>
      </w:r>
    </w:p>
    <w:p w14:paraId="291E554C" w14:textId="77777777" w:rsidR="00B259A8" w:rsidRPr="0072192C" w:rsidRDefault="00B259A8" w:rsidP="00B259A8">
      <w:pPr>
        <w:pStyle w:val="BodyText"/>
        <w:spacing w:before="100" w:after="100"/>
      </w:pPr>
      <w:r w:rsidRPr="0072192C">
        <w:t xml:space="preserve">Tokelau has no significant manufacturing industry. Fuel combustion other than for electricity generation occurs in some domestic and fishing activities, and community–government activities (e.g., meeting halls and offices, village freezers, building projects, stevedoring). Emissions associated with these activities in Tokelau (except fishing) are included in the </w:t>
      </w:r>
      <w:r w:rsidRPr="0072192C">
        <w:rPr>
          <w:spacing w:val="-2"/>
        </w:rPr>
        <w:t xml:space="preserve">category </w:t>
      </w:r>
      <w:r w:rsidRPr="0072192C">
        <w:rPr>
          <w:i/>
          <w:iCs/>
          <w:spacing w:val="-2"/>
        </w:rPr>
        <w:t>Other sectors – Residential</w:t>
      </w:r>
      <w:r w:rsidRPr="0072192C">
        <w:rPr>
          <w:spacing w:val="-2"/>
        </w:rPr>
        <w:t>. The small amount of emissions associated with communal</w:t>
      </w:r>
      <w:r w:rsidRPr="0072192C">
        <w:t xml:space="preserve"> activities are not easily distinguishable from those coming from residential activities and are therefore reported together in the </w:t>
      </w:r>
      <w:r w:rsidRPr="0072192C">
        <w:rPr>
          <w:i/>
          <w:iCs/>
        </w:rPr>
        <w:t>Other sectors – Residential</w:t>
      </w:r>
      <w:r w:rsidRPr="0072192C">
        <w:t xml:space="preserve"> category. Emissions from fishing are included in </w:t>
      </w:r>
      <w:r w:rsidRPr="0072192C">
        <w:rPr>
          <w:i/>
          <w:iCs/>
        </w:rPr>
        <w:t>Domestic navigation</w:t>
      </w:r>
      <w:r w:rsidRPr="0072192C">
        <w:t>. This is because it is difficult to distinguish fuel use for fishing from fuel use for domestic navigation in Tokelau, because families use the same boats for both purposes.</w:t>
      </w:r>
    </w:p>
    <w:p w14:paraId="0BBB11B7" w14:textId="77777777" w:rsidR="00B259A8" w:rsidRPr="0072192C" w:rsidRDefault="00B259A8" w:rsidP="00B259A8">
      <w:pPr>
        <w:pStyle w:val="BodyText"/>
        <w:spacing w:before="100" w:after="100"/>
      </w:pPr>
      <w:r w:rsidRPr="0072192C">
        <w:t xml:space="preserve">According to the 2016 Tokelau Census, every household has a fridge and a freezer, and some households now have air conditioning. Most households (over 60 percent) also own a washing machine, a computer and a television. The United Nations Development Programme, under the Tokelau Energy Sector Support Project, has in the past funded a programme of replacing old inefficient fridges and freezers with new ones. Home appliances in Tokelau mainly use the power provided by solar PV-powered plants, supplemented as needed by back-up diesel-powered generators. Emissions associated with the use of diesel-powered back-up generators are included in the </w:t>
      </w:r>
      <w:r w:rsidRPr="0072192C">
        <w:rPr>
          <w:i/>
          <w:iCs/>
        </w:rPr>
        <w:t>Energy industries – Public electricity and heat production</w:t>
      </w:r>
      <w:r w:rsidRPr="0072192C">
        <w:t xml:space="preserve"> category.</w:t>
      </w:r>
    </w:p>
    <w:p w14:paraId="22A34970" w14:textId="77777777" w:rsidR="00B259A8" w:rsidRPr="0072192C" w:rsidRDefault="00B259A8" w:rsidP="00B259A8">
      <w:pPr>
        <w:pStyle w:val="BodyText"/>
        <w:spacing w:before="100" w:after="100"/>
      </w:pPr>
      <w:r w:rsidRPr="0072192C">
        <w:t xml:space="preserve">Gas cooking using imported natural gas (LPG) is the preferred method used by about 72.0 percent of households, replacing kerosene stoves. The use of kerosene stoves dropped from 56.6 percent of households in 2006 to 23.6 percent in 2016 (2016 Tokelau Census). Associated activity data and emissions are included in the </w:t>
      </w:r>
      <w:r w:rsidRPr="0072192C">
        <w:rPr>
          <w:i/>
          <w:iCs/>
        </w:rPr>
        <w:t>Other sectors – Residential</w:t>
      </w:r>
      <w:r w:rsidRPr="0072192C">
        <w:t xml:space="preserve"> category.</w:t>
      </w:r>
    </w:p>
    <w:p w14:paraId="6D450AC0" w14:textId="77777777" w:rsidR="00B259A8" w:rsidRPr="0072192C" w:rsidRDefault="00B259A8" w:rsidP="00B259A8">
      <w:pPr>
        <w:pStyle w:val="BodyText"/>
        <w:spacing w:before="100" w:after="100"/>
      </w:pPr>
      <w:r w:rsidRPr="0072192C">
        <w:rPr>
          <w:spacing w:val="-2"/>
        </w:rPr>
        <w:t xml:space="preserve">In 2024, emissions from the </w:t>
      </w:r>
      <w:r w:rsidRPr="0072192C">
        <w:rPr>
          <w:i/>
          <w:iCs/>
          <w:spacing w:val="-2"/>
        </w:rPr>
        <w:t>Other sectors – Residential</w:t>
      </w:r>
      <w:r w:rsidRPr="0072192C">
        <w:rPr>
          <w:spacing w:val="-2"/>
        </w:rPr>
        <w:t xml:space="preserve"> category were 0.06 kt CO</w:t>
      </w:r>
      <w:r w:rsidRPr="0072192C">
        <w:rPr>
          <w:spacing w:val="-2"/>
          <w:vertAlign w:val="subscript"/>
        </w:rPr>
        <w:t>2</w:t>
      </w:r>
      <w:r w:rsidRPr="0072192C">
        <w:rPr>
          <w:spacing w:val="-2"/>
        </w:rPr>
        <w:t>e (2.7 percent</w:t>
      </w:r>
      <w:r w:rsidRPr="0072192C">
        <w:t xml:space="preserve"> of all energy emissions from Tokelau).</w:t>
      </w:r>
    </w:p>
    <w:p w14:paraId="0CBA6961" w14:textId="77777777" w:rsidR="00B259A8" w:rsidRPr="0072192C" w:rsidRDefault="00B259A8" w:rsidP="00B259A8">
      <w:pPr>
        <w:pStyle w:val="Heading3"/>
      </w:pPr>
      <w:r w:rsidRPr="0072192C">
        <w:t>8.4.2</w:t>
      </w:r>
      <w:r w:rsidRPr="0072192C">
        <w:tab/>
        <w:t>Methodological issues</w:t>
      </w:r>
    </w:p>
    <w:p w14:paraId="66696B01" w14:textId="77777777" w:rsidR="00B259A8" w:rsidRPr="0072192C" w:rsidRDefault="00B259A8" w:rsidP="00B259A8">
      <w:pPr>
        <w:pStyle w:val="Heading4"/>
      </w:pPr>
      <w:bookmarkStart w:id="3215" w:name="activity-data-2"/>
      <w:r w:rsidRPr="0072192C">
        <w:t>Activity data</w:t>
      </w:r>
    </w:p>
    <w:p w14:paraId="753AEB1D" w14:textId="77777777" w:rsidR="00B259A8" w:rsidRPr="0072192C" w:rsidRDefault="00B259A8" w:rsidP="00B259A8">
      <w:pPr>
        <w:pStyle w:val="BodyText"/>
        <w:spacing w:before="100" w:after="100"/>
      </w:pPr>
      <w:r w:rsidRPr="0072192C">
        <w:t xml:space="preserve">The sources of activity data for the </w:t>
      </w:r>
      <w:r w:rsidRPr="0072192C">
        <w:rPr>
          <w:i/>
          <w:iCs/>
        </w:rPr>
        <w:t>Other sectors – Residential</w:t>
      </w:r>
      <w:r w:rsidRPr="0072192C">
        <w:t xml:space="preserve"> category are included in table 8.1.1. The key data source for the category is paid invoices from Origin Energy Samoa Ltd (Apia, Samoa) providing prices and volumes of propane supplied on-atoll for cooking.</w:t>
      </w:r>
    </w:p>
    <w:p w14:paraId="705AAAFF" w14:textId="77777777" w:rsidR="00B259A8" w:rsidRPr="0072192C" w:rsidRDefault="00B259A8" w:rsidP="00B259A8">
      <w:pPr>
        <w:pStyle w:val="Heading4"/>
      </w:pPr>
      <w:bookmarkStart w:id="3216" w:name="methods-and-emission-factors-2"/>
      <w:bookmarkEnd w:id="3215"/>
      <w:r w:rsidRPr="0072192C">
        <w:t>Methods and emission factors</w:t>
      </w:r>
    </w:p>
    <w:p w14:paraId="615EF564" w14:textId="77777777" w:rsidR="00B259A8" w:rsidRPr="0072192C" w:rsidRDefault="00B259A8" w:rsidP="00B259A8">
      <w:pPr>
        <w:pStyle w:val="BodyText"/>
        <w:spacing w:before="100" w:after="100"/>
      </w:pPr>
      <w:r w:rsidRPr="0072192C">
        <w:rPr>
          <w:spacing w:val="-2"/>
        </w:rPr>
        <w:t xml:space="preserve">An IPCC Tier 1 method was applied for estimating emissions from the </w:t>
      </w:r>
      <w:r w:rsidRPr="0072192C">
        <w:rPr>
          <w:i/>
          <w:iCs/>
          <w:spacing w:val="-2"/>
        </w:rPr>
        <w:t>Other sectors – Residential</w:t>
      </w:r>
      <w:r w:rsidRPr="0072192C">
        <w:t xml:space="preserve"> category. The method requires data on the amount of LPG combusted in the source category and a default emission factor from table 2.2, section 2.3.2.1, volume 2 of the 2006 IPCC Guidelines (IPCC, 2006a). Default emission factors from the 2006 IPCC Guidelines were converted from net calorific values to gross calorific values using the OECD and IEA assumptions to make these conversions:</w:t>
      </w:r>
    </w:p>
    <w:p w14:paraId="12F8E7CE" w14:textId="77777777" w:rsidR="00B259A8" w:rsidRPr="0072192C" w:rsidRDefault="00B259A8" w:rsidP="00B259A8">
      <w:pPr>
        <w:pStyle w:val="BodyText"/>
        <w:ind w:left="284"/>
        <w:rPr>
          <w:rFonts w:ascii="Cambria Math" w:hAnsi="Cambria Math"/>
          <w:i/>
          <w:iCs/>
          <w:sz w:val="24"/>
          <w:szCs w:val="24"/>
        </w:rPr>
      </w:pPr>
      <m:oMathPara>
        <m:oMathParaPr>
          <m:jc m:val="left"/>
        </m:oMathParaPr>
        <m:oMath>
          <m:r>
            <m:rPr>
              <m:nor/>
            </m:rPr>
            <w:rPr>
              <w:rFonts w:ascii="Cambria Math" w:hAnsi="Cambria Math"/>
              <w:i/>
              <w:iCs/>
              <w:sz w:val="24"/>
              <w:szCs w:val="24"/>
            </w:rPr>
            <m:t>Gross</m:t>
          </m:r>
          <m:r>
            <w:rPr>
              <w:rFonts w:ascii="Cambria Math" w:hAnsi="Cambria Math"/>
              <w:sz w:val="24"/>
              <w:szCs w:val="24"/>
            </w:rPr>
            <m:t> </m:t>
          </m:r>
          <m:r>
            <m:rPr>
              <m:nor/>
            </m:rPr>
            <w:rPr>
              <w:rFonts w:ascii="Cambria Math" w:hAnsi="Cambria Math"/>
              <w:i/>
              <w:iCs/>
              <w:sz w:val="24"/>
              <w:szCs w:val="24"/>
            </w:rPr>
            <m:t>Emission</m:t>
          </m:r>
          <m:r>
            <w:rPr>
              <w:rFonts w:ascii="Cambria Math" w:hAnsi="Cambria Math"/>
              <w:sz w:val="24"/>
              <w:szCs w:val="24"/>
            </w:rPr>
            <m:t> </m:t>
          </m:r>
          <m:r>
            <m:rPr>
              <m:nor/>
            </m:rPr>
            <w:rPr>
              <w:rFonts w:ascii="Cambria Math" w:hAnsi="Cambria Math"/>
              <w:i/>
              <w:iCs/>
              <w:sz w:val="24"/>
              <w:szCs w:val="24"/>
            </w:rPr>
            <m:t>Factor</m:t>
          </m:r>
          <m:r>
            <w:rPr>
              <w:rFonts w:ascii="Cambria Math" w:hAnsi="Cambria Math"/>
              <w:sz w:val="24"/>
              <w:szCs w:val="24"/>
            </w:rPr>
            <m:t xml:space="preserve"> </m:t>
          </m:r>
          <m:d>
            <m:dPr>
              <m:ctrlPr>
                <w:rPr>
                  <w:rFonts w:ascii="Cambria Math" w:hAnsi="Cambria Math"/>
                  <w:i/>
                  <w:iCs/>
                  <w:sz w:val="24"/>
                  <w:szCs w:val="24"/>
                </w:rPr>
              </m:ctrlPr>
            </m:dPr>
            <m:e>
              <m:r>
                <w:rPr>
                  <w:rFonts w:ascii="Cambria Math" w:hAnsi="Cambria Math"/>
                  <w:sz w:val="24"/>
                  <w:szCs w:val="24"/>
                </w:rPr>
                <m:t>gaseous fuels</m:t>
              </m:r>
            </m:e>
          </m:d>
          <m:r>
            <w:rPr>
              <w:rFonts w:ascii="Cambria Math" w:hAnsi="Cambria Math"/>
              <w:sz w:val="24"/>
              <w:szCs w:val="24"/>
            </w:rPr>
            <m:t>= 0.90×</m:t>
          </m:r>
          <m:r>
            <m:rPr>
              <m:nor/>
            </m:rPr>
            <w:rPr>
              <w:rFonts w:ascii="Cambria Math" w:hAnsi="Cambria Math"/>
              <w:i/>
              <w:iCs/>
              <w:sz w:val="24"/>
              <w:szCs w:val="24"/>
            </w:rPr>
            <m:t>Net</m:t>
          </m:r>
          <m:r>
            <w:rPr>
              <w:rFonts w:ascii="Cambria Math" w:hAnsi="Cambria Math"/>
              <w:sz w:val="24"/>
              <w:szCs w:val="24"/>
            </w:rPr>
            <m:t> </m:t>
          </m:r>
          <m:r>
            <m:rPr>
              <m:nor/>
            </m:rPr>
            <w:rPr>
              <w:rFonts w:ascii="Cambria Math" w:hAnsi="Cambria Math"/>
              <w:i/>
              <w:iCs/>
              <w:sz w:val="24"/>
              <w:szCs w:val="24"/>
            </w:rPr>
            <m:t>Emission</m:t>
          </m:r>
          <m:r>
            <w:rPr>
              <w:rFonts w:ascii="Cambria Math" w:hAnsi="Cambria Math"/>
              <w:sz w:val="24"/>
              <w:szCs w:val="24"/>
            </w:rPr>
            <m:t> </m:t>
          </m:r>
          <m:r>
            <m:rPr>
              <m:nor/>
            </m:rPr>
            <w:rPr>
              <w:rFonts w:ascii="Cambria Math" w:hAnsi="Cambria Math"/>
              <w:i/>
              <w:iCs/>
              <w:sz w:val="24"/>
              <w:szCs w:val="24"/>
            </w:rPr>
            <m:t>Factor</m:t>
          </m:r>
        </m:oMath>
      </m:oMathPara>
    </w:p>
    <w:p w14:paraId="71E18194" w14:textId="77777777" w:rsidR="00B259A8" w:rsidRPr="0072192C" w:rsidRDefault="00B259A8" w:rsidP="00B259A8">
      <w:pPr>
        <w:pStyle w:val="BodyText"/>
        <w:spacing w:before="100" w:after="100"/>
      </w:pPr>
      <w:r w:rsidRPr="0072192C">
        <w:t>Equations 2.1 and 2.2 from section 2.3.1.1 in the 2006 IPCC Guidelines were used for estimating emissions (IPCC, 2006a).</w:t>
      </w:r>
    </w:p>
    <w:bookmarkEnd w:id="3216"/>
    <w:p w14:paraId="7335105C" w14:textId="77777777" w:rsidR="00B259A8" w:rsidRPr="0072192C" w:rsidRDefault="00B259A8" w:rsidP="00B259A8">
      <w:pPr>
        <w:pStyle w:val="Heading3"/>
      </w:pPr>
      <w:r w:rsidRPr="0072192C">
        <w:t>8.4.3</w:t>
      </w:r>
      <w:r w:rsidRPr="0072192C">
        <w:tab/>
        <w:t>Uncertainty assessment and time-series consistency</w:t>
      </w:r>
    </w:p>
    <w:p w14:paraId="55C19487" w14:textId="77777777" w:rsidR="00B259A8" w:rsidRPr="0072192C" w:rsidRDefault="00B259A8" w:rsidP="00B259A8">
      <w:pPr>
        <w:pStyle w:val="BodyText"/>
        <w:spacing w:before="100"/>
      </w:pPr>
      <w:r w:rsidRPr="0072192C">
        <w:t>For this submission, it was not possible to develop Tokelau-specific uncertainty values, therefore, for emission factors, default uncertainty values provided in the 2006 IPCC Guidelines were used for CO</w:t>
      </w:r>
      <w:r w:rsidRPr="0072192C">
        <w:rPr>
          <w:vertAlign w:val="subscript"/>
        </w:rPr>
        <w:t>2</w:t>
      </w:r>
      <w:r w:rsidRPr="0072192C">
        <w:t xml:space="preserve"> and CH</w:t>
      </w:r>
      <w:r w:rsidRPr="0072192C">
        <w:rPr>
          <w:vertAlign w:val="subscript"/>
        </w:rPr>
        <w:t>4</w:t>
      </w:r>
      <w:r w:rsidRPr="0072192C">
        <w:t xml:space="preserve"> (for commercial, institutional and residential combustion) (IPCC, 2006a). The 2006 IPCC Guidelines do not provide a quantified default emission factor for N</w:t>
      </w:r>
      <w:r w:rsidRPr="0072192C">
        <w:rPr>
          <w:vertAlign w:val="subscript"/>
        </w:rPr>
        <w:t>2</w:t>
      </w:r>
      <w:r w:rsidRPr="0072192C">
        <w:t>O, therefore New Zealand’s emission factor uncertainty across the Energy sector was applied to the N</w:t>
      </w:r>
      <w:r w:rsidRPr="0072192C">
        <w:rPr>
          <w:vertAlign w:val="subscript"/>
        </w:rPr>
        <w:t>2</w:t>
      </w:r>
      <w:r w:rsidRPr="0072192C">
        <w:t>O emissions from this category.</w:t>
      </w:r>
    </w:p>
    <w:p w14:paraId="7E6BE9AA" w14:textId="77777777" w:rsidR="00B259A8" w:rsidRPr="0072192C" w:rsidRDefault="00B259A8" w:rsidP="00B259A8">
      <w:pPr>
        <w:pStyle w:val="BodyText"/>
      </w:pPr>
      <w:r w:rsidRPr="0072192C">
        <w:t xml:space="preserve">For activity data, a mid-range level default uncertainty was applied (IPCC, 2006a). Table 8.4.1 shows the use of uncertainties for the </w:t>
      </w:r>
      <w:r w:rsidRPr="0072192C">
        <w:rPr>
          <w:i/>
          <w:iCs/>
        </w:rPr>
        <w:t>Other sectors – Residential</w:t>
      </w:r>
      <w:r w:rsidRPr="0072192C">
        <w:t xml:space="preserve"> category.</w:t>
      </w:r>
    </w:p>
    <w:p w14:paraId="0CF00ACF" w14:textId="77777777" w:rsidR="00B259A8" w:rsidRPr="0072192C" w:rsidRDefault="00B259A8" w:rsidP="00B259A8">
      <w:pPr>
        <w:pStyle w:val="Table"/>
      </w:pPr>
      <w:bookmarkStart w:id="3217" w:name="_Toc225424321"/>
      <w:bookmarkStart w:id="3218" w:name="_Toc226669143"/>
      <w:r w:rsidRPr="0072192C">
        <w:t>Table 8.4.1</w:t>
      </w:r>
      <w:r w:rsidRPr="0072192C">
        <w:tab/>
        <w:t xml:space="preserve">Uncertainties for the </w:t>
      </w:r>
      <w:r w:rsidRPr="0072192C">
        <w:rPr>
          <w:i/>
          <w:iCs/>
        </w:rPr>
        <w:t>Other sectors – Residential</w:t>
      </w:r>
      <w:r w:rsidRPr="0072192C">
        <w:t xml:space="preserve"> category</w:t>
      </w:r>
      <w:bookmarkEnd w:id="3217"/>
      <w:bookmarkEnd w:id="321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0"/>
        <w:gridCol w:w="988"/>
        <w:gridCol w:w="1843"/>
        <w:gridCol w:w="1842"/>
        <w:gridCol w:w="3391"/>
      </w:tblGrid>
      <w:tr w:rsidR="00B259A8" w:rsidRPr="0072192C" w14:paraId="68D32AF0" w14:textId="77777777" w:rsidTr="00F16E23">
        <w:trPr>
          <w:tblHeader/>
        </w:trPr>
        <w:tc>
          <w:tcPr>
            <w:tcW w:w="0" w:type="auto"/>
            <w:shd w:val="clear" w:color="auto" w:fill="1B556B"/>
            <w:tcMar>
              <w:top w:w="0" w:type="dxa"/>
              <w:left w:w="85" w:type="dxa"/>
              <w:bottom w:w="0" w:type="dxa"/>
              <w:right w:w="85" w:type="dxa"/>
            </w:tcMar>
            <w:vAlign w:val="bottom"/>
          </w:tcPr>
          <w:p w14:paraId="6FDB57FA"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Gas</w:t>
            </w:r>
          </w:p>
        </w:tc>
        <w:tc>
          <w:tcPr>
            <w:tcW w:w="988" w:type="dxa"/>
            <w:shd w:val="clear" w:color="auto" w:fill="1B556B"/>
            <w:tcMar>
              <w:top w:w="0" w:type="dxa"/>
              <w:left w:w="85" w:type="dxa"/>
              <w:bottom w:w="0" w:type="dxa"/>
              <w:right w:w="85" w:type="dxa"/>
            </w:tcMar>
            <w:vAlign w:val="bottom"/>
          </w:tcPr>
          <w:p w14:paraId="4CCAF52D"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Fuel type</w:t>
            </w:r>
          </w:p>
        </w:tc>
        <w:tc>
          <w:tcPr>
            <w:tcW w:w="1843" w:type="dxa"/>
            <w:shd w:val="clear" w:color="auto" w:fill="1B556B"/>
            <w:tcMar>
              <w:top w:w="0" w:type="dxa"/>
              <w:left w:w="85" w:type="dxa"/>
              <w:bottom w:w="0" w:type="dxa"/>
              <w:right w:w="85" w:type="dxa"/>
            </w:tcMar>
            <w:vAlign w:val="bottom"/>
          </w:tcPr>
          <w:p w14:paraId="212C93CB"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Activity data (AD) uncertainty (%)</w:t>
            </w:r>
          </w:p>
        </w:tc>
        <w:tc>
          <w:tcPr>
            <w:tcW w:w="1842" w:type="dxa"/>
            <w:shd w:val="clear" w:color="auto" w:fill="1B556B"/>
            <w:tcMar>
              <w:top w:w="0" w:type="dxa"/>
              <w:left w:w="85" w:type="dxa"/>
              <w:bottom w:w="0" w:type="dxa"/>
              <w:right w:w="85" w:type="dxa"/>
            </w:tcMar>
            <w:vAlign w:val="bottom"/>
          </w:tcPr>
          <w:p w14:paraId="462EA16C"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Emission factor (EF) uncertainty (%)</w:t>
            </w:r>
          </w:p>
        </w:tc>
        <w:tc>
          <w:tcPr>
            <w:tcW w:w="3391" w:type="dxa"/>
            <w:shd w:val="clear" w:color="auto" w:fill="1B556B"/>
            <w:tcMar>
              <w:top w:w="0" w:type="dxa"/>
              <w:left w:w="85" w:type="dxa"/>
              <w:bottom w:w="0" w:type="dxa"/>
              <w:right w:w="85" w:type="dxa"/>
            </w:tcMar>
            <w:vAlign w:val="bottom"/>
          </w:tcPr>
          <w:p w14:paraId="05F37B70"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Source</w:t>
            </w:r>
          </w:p>
        </w:tc>
      </w:tr>
      <w:tr w:rsidR="00B259A8" w:rsidRPr="0072192C" w14:paraId="6F181EE2" w14:textId="77777777" w:rsidTr="00F16E23">
        <w:tc>
          <w:tcPr>
            <w:tcW w:w="0" w:type="auto"/>
            <w:shd w:val="clear" w:color="auto" w:fill="FFFFFF"/>
            <w:tcMar>
              <w:top w:w="0" w:type="dxa"/>
              <w:left w:w="85" w:type="dxa"/>
              <w:bottom w:w="0" w:type="dxa"/>
              <w:right w:w="85" w:type="dxa"/>
            </w:tcMar>
          </w:tcPr>
          <w:p w14:paraId="08231C52" w14:textId="77777777" w:rsidR="00B259A8" w:rsidRPr="0072192C" w:rsidRDefault="00B259A8" w:rsidP="00F16E23">
            <w:pPr>
              <w:pStyle w:val="TableText"/>
              <w:spacing w:before="40" w:after="40"/>
            </w:pPr>
            <w:r w:rsidRPr="0072192C">
              <w:rPr>
                <w:rFonts w:eastAsia="Calibri"/>
              </w:rPr>
              <w:t>CO</w:t>
            </w:r>
            <w:r w:rsidRPr="0072192C">
              <w:rPr>
                <w:rFonts w:eastAsia="Calibri"/>
                <w:vertAlign w:val="subscript"/>
              </w:rPr>
              <w:t>2</w:t>
            </w:r>
          </w:p>
        </w:tc>
        <w:tc>
          <w:tcPr>
            <w:tcW w:w="988" w:type="dxa"/>
            <w:shd w:val="clear" w:color="auto" w:fill="FFFFFF"/>
            <w:tcMar>
              <w:top w:w="0" w:type="dxa"/>
              <w:left w:w="85" w:type="dxa"/>
              <w:bottom w:w="0" w:type="dxa"/>
              <w:right w:w="85" w:type="dxa"/>
            </w:tcMar>
          </w:tcPr>
          <w:p w14:paraId="4602352E" w14:textId="77777777" w:rsidR="00B259A8" w:rsidRPr="0072192C" w:rsidRDefault="00B259A8" w:rsidP="00F16E23">
            <w:pPr>
              <w:pStyle w:val="TableText"/>
              <w:spacing w:before="40" w:after="40"/>
            </w:pPr>
            <w:r w:rsidRPr="0072192C">
              <w:rPr>
                <w:rFonts w:eastAsia="Calibri"/>
              </w:rPr>
              <w:t>Liquid fuels</w:t>
            </w:r>
          </w:p>
        </w:tc>
        <w:tc>
          <w:tcPr>
            <w:tcW w:w="1843" w:type="dxa"/>
            <w:shd w:val="clear" w:color="auto" w:fill="FFFFFF"/>
            <w:tcMar>
              <w:top w:w="0" w:type="dxa"/>
              <w:left w:w="85" w:type="dxa"/>
              <w:bottom w:w="0" w:type="dxa"/>
              <w:right w:w="85" w:type="dxa"/>
            </w:tcMar>
          </w:tcPr>
          <w:p w14:paraId="5DBEF2D0" w14:textId="77777777" w:rsidR="00B259A8" w:rsidRPr="0072192C" w:rsidRDefault="00B259A8" w:rsidP="00F16E23">
            <w:pPr>
              <w:pStyle w:val="TableText"/>
              <w:spacing w:before="40" w:after="40"/>
              <w:jc w:val="right"/>
            </w:pPr>
            <w:r w:rsidRPr="0072192C">
              <w:rPr>
                <w:rFonts w:eastAsia="Calibri"/>
              </w:rPr>
              <w:t>20</w:t>
            </w:r>
          </w:p>
        </w:tc>
        <w:tc>
          <w:tcPr>
            <w:tcW w:w="1842" w:type="dxa"/>
            <w:shd w:val="clear" w:color="auto" w:fill="FFFFFF"/>
            <w:tcMar>
              <w:top w:w="0" w:type="dxa"/>
              <w:left w:w="85" w:type="dxa"/>
              <w:bottom w:w="0" w:type="dxa"/>
              <w:right w:w="85" w:type="dxa"/>
            </w:tcMar>
          </w:tcPr>
          <w:p w14:paraId="0175EBE2" w14:textId="77777777" w:rsidR="00B259A8" w:rsidRPr="0072192C" w:rsidRDefault="00B259A8" w:rsidP="00F16E23">
            <w:pPr>
              <w:pStyle w:val="TableText"/>
              <w:spacing w:before="40" w:after="40"/>
              <w:jc w:val="right"/>
            </w:pPr>
            <w:r w:rsidRPr="0072192C">
              <w:rPr>
                <w:rFonts w:eastAsia="Calibri"/>
              </w:rPr>
              <w:t>±7</w:t>
            </w:r>
          </w:p>
        </w:tc>
        <w:tc>
          <w:tcPr>
            <w:tcW w:w="3391" w:type="dxa"/>
            <w:shd w:val="clear" w:color="auto" w:fill="FFFFFF"/>
            <w:tcMar>
              <w:top w:w="0" w:type="dxa"/>
              <w:left w:w="85" w:type="dxa"/>
              <w:bottom w:w="0" w:type="dxa"/>
              <w:right w:w="85" w:type="dxa"/>
            </w:tcMar>
          </w:tcPr>
          <w:p w14:paraId="23E6FA2C" w14:textId="77777777" w:rsidR="00B259A8" w:rsidRPr="0072192C" w:rsidRDefault="00B259A8" w:rsidP="00F16E23">
            <w:pPr>
              <w:pStyle w:val="TableText"/>
              <w:spacing w:before="40" w:after="40"/>
            </w:pPr>
            <w:r w:rsidRPr="0072192C">
              <w:rPr>
                <w:rFonts w:eastAsia="Calibri"/>
              </w:rPr>
              <w:t xml:space="preserve">AD: page 2.41, IPCC, 2006a (table 2.15) </w:t>
            </w:r>
            <w:r w:rsidRPr="0072192C">
              <w:rPr>
                <w:rFonts w:eastAsia="Calibri"/>
              </w:rPr>
              <w:br/>
              <w:t>EF: page 2.38, IPCC, 2006a</w:t>
            </w:r>
          </w:p>
        </w:tc>
      </w:tr>
      <w:tr w:rsidR="00B259A8" w:rsidRPr="0072192C" w14:paraId="09386CE6" w14:textId="77777777" w:rsidTr="00F16E23">
        <w:tc>
          <w:tcPr>
            <w:tcW w:w="0" w:type="auto"/>
            <w:shd w:val="clear" w:color="auto" w:fill="FFFFFF"/>
            <w:tcMar>
              <w:top w:w="0" w:type="dxa"/>
              <w:left w:w="85" w:type="dxa"/>
              <w:bottom w:w="0" w:type="dxa"/>
              <w:right w:w="85" w:type="dxa"/>
            </w:tcMar>
          </w:tcPr>
          <w:p w14:paraId="0B65B296" w14:textId="77777777" w:rsidR="00B259A8" w:rsidRPr="0072192C" w:rsidRDefault="00B259A8" w:rsidP="00F16E23">
            <w:pPr>
              <w:pStyle w:val="TableText"/>
              <w:spacing w:before="40" w:after="40"/>
            </w:pPr>
            <w:r w:rsidRPr="0072192C">
              <w:rPr>
                <w:rFonts w:eastAsia="Calibri"/>
              </w:rPr>
              <w:t>CH</w:t>
            </w:r>
            <w:r w:rsidRPr="0072192C">
              <w:rPr>
                <w:rFonts w:eastAsia="Calibri"/>
                <w:vertAlign w:val="subscript"/>
              </w:rPr>
              <w:t>4</w:t>
            </w:r>
          </w:p>
        </w:tc>
        <w:tc>
          <w:tcPr>
            <w:tcW w:w="988" w:type="dxa"/>
            <w:shd w:val="clear" w:color="auto" w:fill="FFFFFF"/>
            <w:tcMar>
              <w:top w:w="0" w:type="dxa"/>
              <w:left w:w="85" w:type="dxa"/>
              <w:bottom w:w="0" w:type="dxa"/>
              <w:right w:w="85" w:type="dxa"/>
            </w:tcMar>
          </w:tcPr>
          <w:p w14:paraId="5780E4B4" w14:textId="77777777" w:rsidR="00B259A8" w:rsidRPr="0072192C" w:rsidRDefault="00B259A8" w:rsidP="00F16E23">
            <w:pPr>
              <w:pStyle w:val="TableText"/>
              <w:spacing w:before="40" w:after="40"/>
            </w:pPr>
            <w:r w:rsidRPr="0072192C">
              <w:rPr>
                <w:rFonts w:eastAsia="Calibri"/>
              </w:rPr>
              <w:t>Liquid fuels</w:t>
            </w:r>
          </w:p>
        </w:tc>
        <w:tc>
          <w:tcPr>
            <w:tcW w:w="1843" w:type="dxa"/>
            <w:shd w:val="clear" w:color="auto" w:fill="FFFFFF"/>
            <w:tcMar>
              <w:top w:w="0" w:type="dxa"/>
              <w:left w:w="85" w:type="dxa"/>
              <w:bottom w:w="0" w:type="dxa"/>
              <w:right w:w="85" w:type="dxa"/>
            </w:tcMar>
          </w:tcPr>
          <w:p w14:paraId="06D2C0C9" w14:textId="77777777" w:rsidR="00B259A8" w:rsidRPr="0072192C" w:rsidRDefault="00B259A8" w:rsidP="00F16E23">
            <w:pPr>
              <w:pStyle w:val="TableText"/>
              <w:spacing w:before="40" w:after="40"/>
              <w:jc w:val="right"/>
            </w:pPr>
            <w:r w:rsidRPr="0072192C">
              <w:rPr>
                <w:rFonts w:eastAsia="Calibri"/>
              </w:rPr>
              <w:t>20</w:t>
            </w:r>
          </w:p>
        </w:tc>
        <w:tc>
          <w:tcPr>
            <w:tcW w:w="1842" w:type="dxa"/>
            <w:shd w:val="clear" w:color="auto" w:fill="FFFFFF"/>
            <w:tcMar>
              <w:top w:w="0" w:type="dxa"/>
              <w:left w:w="85" w:type="dxa"/>
              <w:bottom w:w="0" w:type="dxa"/>
              <w:right w:w="85" w:type="dxa"/>
            </w:tcMar>
          </w:tcPr>
          <w:p w14:paraId="5E3A8801" w14:textId="77777777" w:rsidR="00B259A8" w:rsidRPr="0072192C" w:rsidRDefault="00B259A8" w:rsidP="00F16E23">
            <w:pPr>
              <w:pStyle w:val="TableText"/>
              <w:spacing w:before="40" w:after="40"/>
              <w:jc w:val="right"/>
            </w:pPr>
            <w:r w:rsidRPr="0072192C">
              <w:rPr>
                <w:rFonts w:eastAsia="Calibri"/>
              </w:rPr>
              <w:t>±50.0</w:t>
            </w:r>
          </w:p>
        </w:tc>
        <w:tc>
          <w:tcPr>
            <w:tcW w:w="3391" w:type="dxa"/>
            <w:shd w:val="clear" w:color="auto" w:fill="FFFFFF"/>
            <w:tcMar>
              <w:top w:w="0" w:type="dxa"/>
              <w:left w:w="85" w:type="dxa"/>
              <w:bottom w:w="0" w:type="dxa"/>
              <w:right w:w="85" w:type="dxa"/>
            </w:tcMar>
          </w:tcPr>
          <w:p w14:paraId="068075EB" w14:textId="77777777" w:rsidR="00B259A8" w:rsidRPr="0072192C" w:rsidRDefault="00B259A8" w:rsidP="00F16E23">
            <w:pPr>
              <w:pStyle w:val="TableText"/>
              <w:spacing w:before="40" w:after="40"/>
            </w:pPr>
            <w:r w:rsidRPr="0072192C">
              <w:rPr>
                <w:rFonts w:eastAsia="Calibri"/>
              </w:rPr>
              <w:t xml:space="preserve">AD: page 2.41, IPCC, 2006a (table 2.15) </w:t>
            </w:r>
            <w:r w:rsidRPr="0072192C">
              <w:rPr>
                <w:rFonts w:eastAsia="Calibri"/>
              </w:rPr>
              <w:br/>
              <w:t>EF: page 2.38, IPCC, 2006a (table 2.12)</w:t>
            </w:r>
          </w:p>
        </w:tc>
      </w:tr>
      <w:tr w:rsidR="00B259A8" w:rsidRPr="0072192C" w14:paraId="75623687" w14:textId="77777777" w:rsidTr="00F16E23">
        <w:tc>
          <w:tcPr>
            <w:tcW w:w="0" w:type="auto"/>
            <w:shd w:val="clear" w:color="auto" w:fill="FFFFFF"/>
            <w:tcMar>
              <w:top w:w="0" w:type="dxa"/>
              <w:left w:w="85" w:type="dxa"/>
              <w:bottom w:w="0" w:type="dxa"/>
              <w:right w:w="85" w:type="dxa"/>
            </w:tcMar>
          </w:tcPr>
          <w:p w14:paraId="54B673B1" w14:textId="77777777" w:rsidR="00B259A8" w:rsidRPr="0072192C" w:rsidRDefault="00B259A8" w:rsidP="00F16E23">
            <w:pPr>
              <w:pStyle w:val="TableText"/>
              <w:spacing w:before="40" w:after="40"/>
            </w:pPr>
            <w:r w:rsidRPr="0072192C">
              <w:rPr>
                <w:rFonts w:eastAsia="Calibri"/>
              </w:rPr>
              <w:t>N</w:t>
            </w:r>
            <w:r w:rsidRPr="0072192C">
              <w:rPr>
                <w:rFonts w:eastAsia="Calibri"/>
                <w:vertAlign w:val="subscript"/>
              </w:rPr>
              <w:t>2</w:t>
            </w:r>
            <w:r w:rsidRPr="0072192C">
              <w:rPr>
                <w:rFonts w:eastAsia="Calibri"/>
              </w:rPr>
              <w:t>O</w:t>
            </w:r>
          </w:p>
        </w:tc>
        <w:tc>
          <w:tcPr>
            <w:tcW w:w="988" w:type="dxa"/>
            <w:shd w:val="clear" w:color="auto" w:fill="FFFFFF"/>
            <w:tcMar>
              <w:top w:w="0" w:type="dxa"/>
              <w:left w:w="85" w:type="dxa"/>
              <w:bottom w:w="0" w:type="dxa"/>
              <w:right w:w="85" w:type="dxa"/>
            </w:tcMar>
          </w:tcPr>
          <w:p w14:paraId="768139B8" w14:textId="77777777" w:rsidR="00B259A8" w:rsidRPr="0072192C" w:rsidRDefault="00B259A8" w:rsidP="00F16E23">
            <w:pPr>
              <w:pStyle w:val="TableText"/>
              <w:spacing w:before="40" w:after="40"/>
            </w:pPr>
            <w:r w:rsidRPr="0072192C">
              <w:rPr>
                <w:rFonts w:eastAsia="Calibri"/>
              </w:rPr>
              <w:t>Liquid fuels</w:t>
            </w:r>
          </w:p>
        </w:tc>
        <w:tc>
          <w:tcPr>
            <w:tcW w:w="1843" w:type="dxa"/>
            <w:shd w:val="clear" w:color="auto" w:fill="FFFFFF"/>
            <w:tcMar>
              <w:top w:w="0" w:type="dxa"/>
              <w:left w:w="85" w:type="dxa"/>
              <w:bottom w:w="0" w:type="dxa"/>
              <w:right w:w="85" w:type="dxa"/>
            </w:tcMar>
          </w:tcPr>
          <w:p w14:paraId="569041AD" w14:textId="77777777" w:rsidR="00B259A8" w:rsidRPr="0072192C" w:rsidRDefault="00B259A8" w:rsidP="00F16E23">
            <w:pPr>
              <w:pStyle w:val="TableText"/>
              <w:spacing w:before="40" w:after="40"/>
              <w:jc w:val="right"/>
            </w:pPr>
            <w:r w:rsidRPr="0072192C">
              <w:rPr>
                <w:rFonts w:eastAsia="Calibri"/>
              </w:rPr>
              <w:t>20</w:t>
            </w:r>
          </w:p>
        </w:tc>
        <w:tc>
          <w:tcPr>
            <w:tcW w:w="1842" w:type="dxa"/>
            <w:shd w:val="clear" w:color="auto" w:fill="FFFFFF"/>
            <w:tcMar>
              <w:top w:w="0" w:type="dxa"/>
              <w:left w:w="85" w:type="dxa"/>
              <w:bottom w:w="0" w:type="dxa"/>
              <w:right w:w="85" w:type="dxa"/>
            </w:tcMar>
          </w:tcPr>
          <w:p w14:paraId="7734712C" w14:textId="77777777" w:rsidR="00B259A8" w:rsidRPr="0072192C" w:rsidRDefault="00B259A8" w:rsidP="00F16E23">
            <w:pPr>
              <w:pStyle w:val="TableText"/>
              <w:spacing w:before="40" w:after="40"/>
              <w:jc w:val="right"/>
            </w:pPr>
            <w:r w:rsidRPr="0072192C">
              <w:rPr>
                <w:rFonts w:eastAsia="Calibri"/>
              </w:rPr>
              <w:t>±50.0</w:t>
            </w:r>
          </w:p>
        </w:tc>
        <w:tc>
          <w:tcPr>
            <w:tcW w:w="3391" w:type="dxa"/>
            <w:shd w:val="clear" w:color="auto" w:fill="FFFFFF"/>
            <w:tcMar>
              <w:top w:w="0" w:type="dxa"/>
              <w:left w:w="85" w:type="dxa"/>
              <w:bottom w:w="0" w:type="dxa"/>
              <w:right w:w="85" w:type="dxa"/>
            </w:tcMar>
          </w:tcPr>
          <w:p w14:paraId="31E69155" w14:textId="77777777" w:rsidR="00B259A8" w:rsidRPr="0072192C" w:rsidRDefault="00B259A8" w:rsidP="00F16E23">
            <w:pPr>
              <w:pStyle w:val="TableText"/>
              <w:spacing w:before="40" w:after="40"/>
            </w:pPr>
            <w:r w:rsidRPr="0072192C">
              <w:rPr>
                <w:rFonts w:eastAsia="Calibri"/>
              </w:rPr>
              <w:t xml:space="preserve">AD: page 2.41, IPCC, 2006a (table 2.15) </w:t>
            </w:r>
            <w:r w:rsidRPr="0072192C">
              <w:rPr>
                <w:rFonts w:eastAsia="Calibri"/>
              </w:rPr>
              <w:br/>
              <w:t>EF: New Zealand’s value (table 3.2.1, chapter 3)</w:t>
            </w:r>
          </w:p>
        </w:tc>
      </w:tr>
    </w:tbl>
    <w:p w14:paraId="53D2D247" w14:textId="77777777" w:rsidR="00B259A8" w:rsidRPr="0072192C" w:rsidRDefault="00B259A8" w:rsidP="00B259A8">
      <w:pPr>
        <w:pStyle w:val="BodyText"/>
        <w:spacing w:before="240"/>
      </w:pPr>
      <w:r w:rsidRPr="0072192C">
        <w:t xml:space="preserve">For the </w:t>
      </w:r>
      <w:r w:rsidRPr="0072192C">
        <w:rPr>
          <w:i/>
          <w:iCs/>
        </w:rPr>
        <w:t>Other sectors – Residential</w:t>
      </w:r>
      <w:r w:rsidRPr="0072192C">
        <w:t xml:space="preserve"> category, time-series consistency is maintained by keeping activity data from 1990 to 2018 constant at 2018 levels and using actual data since 2018 where available.</w:t>
      </w:r>
    </w:p>
    <w:p w14:paraId="59D9C3BC" w14:textId="77777777" w:rsidR="00B259A8" w:rsidRPr="0072192C" w:rsidRDefault="00B259A8" w:rsidP="00B259A8">
      <w:pPr>
        <w:pStyle w:val="Heading3"/>
      </w:pPr>
      <w:r w:rsidRPr="0072192C">
        <w:t>8.4.4</w:t>
      </w:r>
      <w:r w:rsidRPr="0072192C">
        <w:tab/>
        <w:t>Category-specific QA/QC and verification</w:t>
      </w:r>
    </w:p>
    <w:p w14:paraId="1236EA40"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5FC562C1" w14:textId="77777777" w:rsidR="00B259A8" w:rsidRPr="0072192C" w:rsidRDefault="00B259A8" w:rsidP="00B259A8">
      <w:pPr>
        <w:pStyle w:val="Heading3"/>
      </w:pPr>
      <w:r w:rsidRPr="0072192C">
        <w:t>8.4.5</w:t>
      </w:r>
      <w:r w:rsidRPr="0072192C">
        <w:tab/>
        <w:t>Category-specific recalculations</w:t>
      </w:r>
    </w:p>
    <w:p w14:paraId="326A6739" w14:textId="77777777" w:rsidR="00B259A8" w:rsidRPr="0072192C" w:rsidRDefault="00B259A8" w:rsidP="00B259A8">
      <w:pPr>
        <w:pStyle w:val="BodyText"/>
      </w:pPr>
      <w:r w:rsidRPr="0072192C">
        <w:t xml:space="preserve">There were no changes to estimates for the </w:t>
      </w:r>
      <w:r w:rsidRPr="0072192C">
        <w:rPr>
          <w:i/>
          <w:iCs/>
        </w:rPr>
        <w:t>Other sectors – Residential</w:t>
      </w:r>
      <w:r w:rsidRPr="0072192C">
        <w:t xml:space="preserve"> category.</w:t>
      </w:r>
    </w:p>
    <w:p w14:paraId="3706B8C5" w14:textId="77777777" w:rsidR="00B259A8" w:rsidRPr="0072192C" w:rsidRDefault="00B259A8" w:rsidP="00B259A8">
      <w:pPr>
        <w:pStyle w:val="Heading3"/>
      </w:pPr>
      <w:r w:rsidRPr="0072192C">
        <w:t>8.4.6</w:t>
      </w:r>
      <w:r w:rsidRPr="0072192C">
        <w:tab/>
        <w:t>Category-specific planned improvements</w:t>
      </w:r>
    </w:p>
    <w:p w14:paraId="17EB26D9" w14:textId="77777777" w:rsidR="00B259A8" w:rsidRPr="0072192C" w:rsidRDefault="00B259A8" w:rsidP="00B259A8">
      <w:pPr>
        <w:pStyle w:val="BodyText"/>
      </w:pPr>
      <w:r w:rsidRPr="0072192C">
        <w:t xml:space="preserve">No improvements are planned for the </w:t>
      </w:r>
      <w:r w:rsidRPr="0072192C">
        <w:rPr>
          <w:i/>
          <w:iCs/>
        </w:rPr>
        <w:t>Other sectors – Residential</w:t>
      </w:r>
      <w:r w:rsidRPr="0072192C">
        <w:t xml:space="preserve"> category. One area identified for possible future improvement is to consider additional LPG imports purchased from Aute Gas (Apia, Samoa), for Nukunonu. However, the difference is likely to be small, compared with the current approach (where Nukunonu is taken as the average between the fuel purchases from Origin, by Atafu and Fakaofo). For future submissions, further analysis of activity data from Tokelau, to reflect year-to-year variations, will be considered as resources allow.</w:t>
      </w:r>
    </w:p>
    <w:p w14:paraId="333E1F09" w14:textId="77777777" w:rsidR="00B259A8" w:rsidRPr="0072192C" w:rsidRDefault="00B259A8" w:rsidP="00B259A8">
      <w:pPr>
        <w:pStyle w:val="Heading2"/>
      </w:pPr>
      <w:bookmarkStart w:id="3219" w:name="_Toc226460805"/>
      <w:bookmarkStart w:id="3220" w:name="mobile-combustion-domestic-navigation"/>
      <w:bookmarkEnd w:id="3214"/>
      <w:r w:rsidRPr="0072192C">
        <w:t>8.5</w:t>
      </w:r>
      <w:r w:rsidRPr="0072192C">
        <w:tab/>
        <w:t>Mobile combustion: Domestic navigation</w:t>
      </w:r>
      <w:bookmarkEnd w:id="3219"/>
    </w:p>
    <w:p w14:paraId="71396BB1" w14:textId="77777777" w:rsidR="00B259A8" w:rsidRPr="0072192C" w:rsidRDefault="00B259A8" w:rsidP="00B259A8">
      <w:pPr>
        <w:pStyle w:val="Heading3"/>
        <w:spacing w:before="240"/>
      </w:pPr>
      <w:r w:rsidRPr="0072192C">
        <w:t>8.5.1</w:t>
      </w:r>
      <w:r w:rsidRPr="0072192C">
        <w:tab/>
        <w:t>Description</w:t>
      </w:r>
    </w:p>
    <w:p w14:paraId="42E553D2" w14:textId="77777777" w:rsidR="00B259A8" w:rsidRPr="0072192C" w:rsidRDefault="00B259A8" w:rsidP="00B259A8">
      <w:pPr>
        <w:pStyle w:val="BodyText"/>
      </w:pPr>
      <w:r w:rsidRPr="0072192C">
        <w:rPr>
          <w:spacing w:val="-2"/>
        </w:rPr>
        <w:t>The only means of transport to and from Tokelau is by sea because there is no air transportation</w:t>
      </w:r>
      <w:r w:rsidRPr="0072192C">
        <w:t xml:space="preserve">. </w:t>
      </w:r>
      <w:r w:rsidRPr="0072192C">
        <w:rPr>
          <w:spacing w:val="-2"/>
        </w:rPr>
        <w:t>All travel and supplies to Tokelau originate and terminate in Samoa, Tokelau’s closest neighbour. A direct trip from any of the three atolls to the nearest port, Apia, usually takes between 26 hours and 40 hours. There are no ports and terminals in Tokelau, and no offshore anchorage is available; barges that can enter the fringe reef are used for loading and offloading ships.</w:t>
      </w:r>
    </w:p>
    <w:p w14:paraId="72CD7621" w14:textId="77777777" w:rsidR="00B259A8" w:rsidRPr="0072192C" w:rsidRDefault="00B259A8" w:rsidP="00B259A8">
      <w:pPr>
        <w:pStyle w:val="BodyText"/>
      </w:pPr>
      <w:r w:rsidRPr="0072192C">
        <w:t xml:space="preserve">The passenger ferries and cargo ships arriving from Apia (distance around 500 kilometres) generally visit the three atolls in succession: they are 60 kilometres and 90 kilometres apart, respectively. A round trip is about 1,300 kilometres using diesel from Apia. Up until 2018, the fraction (300/1300) is used to estimate </w:t>
      </w:r>
      <w:r w:rsidRPr="0072192C">
        <w:rPr>
          <w:i/>
          <w:iCs/>
        </w:rPr>
        <w:t>Domestic navigation</w:t>
      </w:r>
      <w:r w:rsidRPr="0072192C">
        <w:t xml:space="preserve"> within Tokelau. Between 2019 and 2023, actual data on the number of inter-atoll trips were used.</w:t>
      </w:r>
    </w:p>
    <w:p w14:paraId="4F39BDD5" w14:textId="77777777" w:rsidR="00B259A8" w:rsidRPr="0072192C" w:rsidRDefault="00B259A8" w:rsidP="00B259A8">
      <w:pPr>
        <w:pStyle w:val="BodyText"/>
        <w:spacing w:before="100" w:after="100"/>
      </w:pPr>
      <w:r w:rsidRPr="0072192C">
        <w:t>Until recently, the main forms of road transport on the atolls were trucks, pick-ups, motorbikes and a range of golf carts. Some vehicles are electric, fuelled by solar PV energy. Solar-powered streetlights ensure safety on the roadways. The private importation of other vehicles has increased recently.</w:t>
      </w:r>
    </w:p>
    <w:p w14:paraId="7534794E" w14:textId="77777777" w:rsidR="00B259A8" w:rsidRPr="0072192C" w:rsidRDefault="00B259A8" w:rsidP="00B259A8">
      <w:pPr>
        <w:pStyle w:val="BodyText"/>
        <w:spacing w:before="100" w:after="100"/>
      </w:pPr>
      <w:r w:rsidRPr="0072192C">
        <w:t>The road transport vehicle fleet remains very small in Tokelau. Census 2001 and prior recorded only four registered cars. In 2024, there were about 40 cars (in addition to the vehicles above) and 30 motorbikes, with the entire network of unsealed roads being about 10 kilometres.</w:t>
      </w:r>
    </w:p>
    <w:p w14:paraId="791E98DF" w14:textId="77777777" w:rsidR="00B259A8" w:rsidRPr="0072192C" w:rsidRDefault="00B259A8" w:rsidP="00B259A8">
      <w:pPr>
        <w:pStyle w:val="BodyText"/>
        <w:spacing w:before="100" w:after="100"/>
      </w:pPr>
      <w:r w:rsidRPr="0072192C">
        <w:t xml:space="preserve">Aluminium boats with an outboard motor are widely used by families. Emissions from fuels </w:t>
      </w:r>
      <w:r w:rsidRPr="0072192C">
        <w:rPr>
          <w:spacing w:val="-2"/>
        </w:rPr>
        <w:t>used for road transport are orders of magnitude lower than from boats, and it was not possible</w:t>
      </w:r>
      <w:r w:rsidRPr="0072192C">
        <w:t xml:space="preserve"> to distinguish the small amounts of fuel used for road transport from the total amount used for all forms of transport. Emissions from road transport are therefore included under the </w:t>
      </w:r>
      <w:r w:rsidRPr="0072192C">
        <w:rPr>
          <w:i/>
          <w:iCs/>
        </w:rPr>
        <w:t>Domestic navigation</w:t>
      </w:r>
      <w:r w:rsidRPr="0072192C">
        <w:t xml:space="preserve"> category.</w:t>
      </w:r>
    </w:p>
    <w:p w14:paraId="25DBA6D0" w14:textId="77777777" w:rsidR="00B259A8" w:rsidRPr="0072192C" w:rsidRDefault="00B259A8" w:rsidP="00B259A8">
      <w:pPr>
        <w:pStyle w:val="BodyText"/>
        <w:spacing w:before="100" w:after="100"/>
      </w:pPr>
      <w:r w:rsidRPr="0072192C">
        <w:t xml:space="preserve">According to its 2016 census, Tokelau has 176 aluminium boats with 160 outboard motors, which use most of the imported petrol to travel within and outside the large lagoons. Most of the diesel use is by the ferries travelling to and from Samoa. </w:t>
      </w:r>
      <w:r w:rsidRPr="0072192C">
        <w:rPr>
          <w:i/>
          <w:iCs/>
        </w:rPr>
        <w:t>Fetu o te Moana</w:t>
      </w:r>
      <w:r w:rsidRPr="0072192C">
        <w:t xml:space="preserve"> is a new search and rescue vessel delivered in 2019 that also provides general inter-atoll transport.</w:t>
      </w:r>
    </w:p>
    <w:p w14:paraId="769B4084" w14:textId="77777777" w:rsidR="00B259A8" w:rsidRPr="0072192C" w:rsidRDefault="00B259A8" w:rsidP="00B259A8">
      <w:pPr>
        <w:pStyle w:val="BodyText"/>
        <w:spacing w:before="100" w:after="100"/>
      </w:pPr>
      <w:r w:rsidRPr="0072192C">
        <w:t xml:space="preserve">For Tokelau, all emissions from </w:t>
      </w:r>
      <w:r w:rsidRPr="0072192C">
        <w:rPr>
          <w:i/>
          <w:iCs/>
        </w:rPr>
        <w:t>Transport</w:t>
      </w:r>
      <w:r w:rsidRPr="0072192C">
        <w:t xml:space="preserve"> are reported in the </w:t>
      </w:r>
      <w:r w:rsidRPr="0072192C">
        <w:rPr>
          <w:i/>
          <w:iCs/>
        </w:rPr>
        <w:t>Domestic navigation</w:t>
      </w:r>
      <w:r w:rsidRPr="0072192C">
        <w:t xml:space="preserve"> category across the entire time series. In 2024, emissions from the </w:t>
      </w:r>
      <w:r w:rsidRPr="0072192C">
        <w:rPr>
          <w:i/>
          <w:iCs/>
        </w:rPr>
        <w:t>Domestic navigation</w:t>
      </w:r>
      <w:r w:rsidRPr="0072192C">
        <w:t xml:space="preserve"> category totalled 1.43 kt CO</w:t>
      </w:r>
      <w:r w:rsidRPr="0072192C">
        <w:rPr>
          <w:vertAlign w:val="subscript"/>
        </w:rPr>
        <w:t>2</w:t>
      </w:r>
      <w:r w:rsidRPr="0072192C">
        <w:t>e (63.2 percent of all energy emissions from Tokelau).</w:t>
      </w:r>
    </w:p>
    <w:p w14:paraId="3D0708AE" w14:textId="77777777" w:rsidR="00B259A8" w:rsidRPr="0072192C" w:rsidRDefault="00B259A8" w:rsidP="00B259A8">
      <w:pPr>
        <w:pStyle w:val="Heading3"/>
      </w:pPr>
      <w:r w:rsidRPr="0072192C">
        <w:t>8.5.2</w:t>
      </w:r>
      <w:r w:rsidRPr="0072192C">
        <w:tab/>
        <w:t>Methodological issues</w:t>
      </w:r>
    </w:p>
    <w:p w14:paraId="51E4D772" w14:textId="77777777" w:rsidR="00B259A8" w:rsidRPr="0072192C" w:rsidRDefault="00B259A8" w:rsidP="00B259A8">
      <w:pPr>
        <w:pStyle w:val="Heading4"/>
        <w:spacing w:before="180"/>
      </w:pPr>
      <w:bookmarkStart w:id="3221" w:name="activity-data-3"/>
      <w:r w:rsidRPr="0072192C">
        <w:t>Activity data</w:t>
      </w:r>
    </w:p>
    <w:p w14:paraId="532A2141" w14:textId="77777777" w:rsidR="00B259A8" w:rsidRPr="0072192C" w:rsidRDefault="00B259A8" w:rsidP="00B259A8">
      <w:pPr>
        <w:pStyle w:val="BodyText"/>
        <w:spacing w:before="80" w:after="100"/>
      </w:pPr>
      <w:r w:rsidRPr="0072192C">
        <w:t xml:space="preserve">The sources of activity data for the </w:t>
      </w:r>
      <w:r w:rsidRPr="0072192C">
        <w:rPr>
          <w:i/>
          <w:iCs/>
        </w:rPr>
        <w:t>Transport</w:t>
      </w:r>
      <w:r w:rsidRPr="0072192C">
        <w:t xml:space="preserve"> category are included in table 8.1.1. Activity data sources for the category are:</w:t>
      </w:r>
    </w:p>
    <w:p w14:paraId="124AA996" w14:textId="77777777" w:rsidR="00B259A8" w:rsidRPr="0072192C" w:rsidRDefault="00B259A8" w:rsidP="00B259A8">
      <w:pPr>
        <w:pStyle w:val="Bullet"/>
        <w:spacing w:after="100"/>
      </w:pPr>
      <w:r w:rsidRPr="0072192C">
        <w:t>paid invoices from Petroleum Product Supplies Ltd (Apia, Samoa) with data on fuel prices and volumes supplied for shipping and on-atoll use: diesel, petrol, kerosene and lubricant oil</w:t>
      </w:r>
    </w:p>
    <w:p w14:paraId="55589357" w14:textId="77777777" w:rsidR="00B259A8" w:rsidRPr="0072192C" w:rsidRDefault="00B259A8" w:rsidP="00B259A8">
      <w:pPr>
        <w:pStyle w:val="Bullet"/>
        <w:spacing w:after="100"/>
      </w:pPr>
      <w:r w:rsidRPr="0072192C">
        <w:t>the Tokelau Department of Finance’s invoices and payment records to Petroleum Product Supplies Ltd, Origin and on-atoll stores</w:t>
      </w:r>
    </w:p>
    <w:p w14:paraId="4219651F" w14:textId="77777777" w:rsidR="00B259A8" w:rsidRPr="0072192C" w:rsidRDefault="00B259A8" w:rsidP="00B259A8">
      <w:pPr>
        <w:pStyle w:val="Bullet"/>
        <w:spacing w:after="100"/>
      </w:pPr>
      <w:r w:rsidRPr="0072192C">
        <w:t>a photo survey of Tokelau motorised vehicles on-atoll, August to December 2018.</w:t>
      </w:r>
    </w:p>
    <w:p w14:paraId="63491B0B" w14:textId="77777777" w:rsidR="00B259A8" w:rsidRPr="0072192C" w:rsidRDefault="00B259A8" w:rsidP="00B259A8">
      <w:pPr>
        <w:pStyle w:val="BodyText"/>
        <w:spacing w:after="100"/>
      </w:pPr>
      <w:r w:rsidRPr="0072192C">
        <w:t>Additional energy data related to cargo manifests were obtained from Jasperse (2016). Only liquid fossil fuels (gas and diesel oil) are used for fuelling Tokelau’s transport.</w:t>
      </w:r>
    </w:p>
    <w:p w14:paraId="069F6B76" w14:textId="77777777" w:rsidR="00B259A8" w:rsidRPr="0072192C" w:rsidRDefault="00B259A8" w:rsidP="00B259A8">
      <w:pPr>
        <w:pStyle w:val="BodyText"/>
        <w:spacing w:after="100"/>
      </w:pPr>
      <w:r w:rsidRPr="0072192C">
        <w:t>Due to large discrepancies between different sources of raw data, reliable statistics on fuel consumption across the full reporting period 1990 to 2024 are not available. Some anecdotal transport data exist for the number of roundtrips Apia–Tokelau during the years 1990 to 2014. Actual records are available after this period.</w:t>
      </w:r>
    </w:p>
    <w:p w14:paraId="2CEA4803" w14:textId="77777777" w:rsidR="00B259A8" w:rsidRPr="0072192C" w:rsidRDefault="00B259A8" w:rsidP="00B259A8">
      <w:pPr>
        <w:pStyle w:val="Heading4"/>
      </w:pPr>
      <w:bookmarkStart w:id="3222" w:name="methods-and-emission-factors-3"/>
      <w:bookmarkEnd w:id="3221"/>
      <w:r w:rsidRPr="0072192C">
        <w:t>Methods and emission factors</w:t>
      </w:r>
    </w:p>
    <w:p w14:paraId="32D97322" w14:textId="77777777" w:rsidR="00B259A8" w:rsidRPr="0072192C" w:rsidRDefault="00B259A8" w:rsidP="00B259A8">
      <w:pPr>
        <w:pStyle w:val="BodyText"/>
        <w:spacing w:before="80" w:after="100"/>
      </w:pPr>
      <w:r w:rsidRPr="0072192C">
        <w:t xml:space="preserve">A Tier 1 method was applied for estimating emissions from the </w:t>
      </w:r>
      <w:r w:rsidRPr="0072192C">
        <w:rPr>
          <w:i/>
          <w:iCs/>
        </w:rPr>
        <w:t>Domestic navigation</w:t>
      </w:r>
      <w:r w:rsidRPr="0072192C">
        <w:t xml:space="preserve"> category. The method requires data on the amount of fuel combusted in the source category and a default emission factor from tables 3.5.2 (for CO</w:t>
      </w:r>
      <w:r w:rsidRPr="0072192C">
        <w:rPr>
          <w:vertAlign w:val="subscript"/>
        </w:rPr>
        <w:t>2</w:t>
      </w:r>
      <w:r w:rsidRPr="0072192C">
        <w:t>) and 3.5.3 (for non-CO</w:t>
      </w:r>
      <w:r w:rsidRPr="0072192C">
        <w:rPr>
          <w:vertAlign w:val="subscript"/>
        </w:rPr>
        <w:t>2</w:t>
      </w:r>
      <w:r w:rsidRPr="0072192C">
        <w:t xml:space="preserve"> gases), section 3.5.1.2, volume 2 of the 2006 IPCC Guidelines (IPCC, 2006a). Default emission factors from the 2006 IPCC Guidelines were converted from net calorific values to gross calorific values using the OECD and IEA assumptions to make these conversions:</w:t>
      </w:r>
    </w:p>
    <w:p w14:paraId="5B22A33C" w14:textId="77777777" w:rsidR="00B259A8" w:rsidRPr="0072192C" w:rsidRDefault="00B259A8" w:rsidP="00B259A8">
      <w:pPr>
        <w:pStyle w:val="BodyText"/>
        <w:rPr>
          <w:rFonts w:ascii="Cambria Math" w:hAnsi="Cambria Math"/>
          <w:i/>
          <w:iCs/>
          <w:sz w:val="24"/>
          <w:szCs w:val="24"/>
        </w:rPr>
      </w:pPr>
      <m:oMathPara>
        <m:oMathParaPr>
          <m:jc m:val="center"/>
        </m:oMathParaPr>
        <m:oMath>
          <m:r>
            <m:rPr>
              <m:nor/>
            </m:rPr>
            <w:rPr>
              <w:rFonts w:ascii="Cambria Math" w:hAnsi="Cambria Math"/>
              <w:i/>
              <w:iCs/>
              <w:sz w:val="24"/>
              <w:szCs w:val="24"/>
            </w:rPr>
            <m:t>Gross Emission</m:t>
          </m:r>
          <m:r>
            <w:rPr>
              <w:rFonts w:ascii="Cambria Math" w:hAnsi="Cambria Math"/>
              <w:sz w:val="24"/>
              <w:szCs w:val="24"/>
            </w:rPr>
            <m:t> </m:t>
          </m:r>
          <m:r>
            <m:rPr>
              <m:nor/>
            </m:rPr>
            <w:rPr>
              <w:rFonts w:ascii="Cambria Math" w:hAnsi="Cambria Math"/>
              <w:i/>
              <w:iCs/>
              <w:sz w:val="24"/>
              <w:szCs w:val="24"/>
            </w:rPr>
            <m:t>Factor</m:t>
          </m:r>
          <m:r>
            <w:rPr>
              <w:rFonts w:ascii="Cambria Math" w:hAnsi="Cambria Math"/>
              <w:sz w:val="24"/>
              <w:szCs w:val="24"/>
            </w:rPr>
            <m:t> </m:t>
          </m:r>
          <m:d>
            <m:dPr>
              <m:ctrlPr>
                <w:rPr>
                  <w:rFonts w:ascii="Cambria Math" w:hAnsi="Cambria Math"/>
                  <w:i/>
                  <w:iCs/>
                  <w:sz w:val="24"/>
                  <w:szCs w:val="24"/>
                </w:rPr>
              </m:ctrlPr>
            </m:dPr>
            <m:e>
              <m:r>
                <w:rPr>
                  <w:rFonts w:ascii="Cambria Math" w:hAnsi="Cambria Math"/>
                  <w:sz w:val="24"/>
                  <w:szCs w:val="24"/>
                </w:rPr>
                <m:t>liquid fuels</m:t>
              </m:r>
            </m:e>
          </m:d>
          <m:r>
            <w:rPr>
              <w:rFonts w:ascii="Cambria Math" w:hAnsi="Cambria Math"/>
              <w:sz w:val="24"/>
              <w:szCs w:val="24"/>
            </w:rPr>
            <m:t>= 0.95×</m:t>
          </m:r>
          <m:r>
            <m:rPr>
              <m:nor/>
            </m:rPr>
            <w:rPr>
              <w:rFonts w:ascii="Cambria Math" w:hAnsi="Cambria Math"/>
              <w:i/>
              <w:iCs/>
              <w:sz w:val="24"/>
              <w:szCs w:val="24"/>
            </w:rPr>
            <m:t>Net</m:t>
          </m:r>
          <m:r>
            <w:rPr>
              <w:rFonts w:ascii="Cambria Math" w:hAnsi="Cambria Math"/>
              <w:sz w:val="24"/>
              <w:szCs w:val="24"/>
            </w:rPr>
            <m:t> </m:t>
          </m:r>
          <m:r>
            <m:rPr>
              <m:nor/>
            </m:rPr>
            <w:rPr>
              <w:rFonts w:ascii="Cambria Math" w:hAnsi="Cambria Math"/>
              <w:i/>
              <w:iCs/>
              <w:sz w:val="24"/>
              <w:szCs w:val="24"/>
            </w:rPr>
            <m:t>Emission</m:t>
          </m:r>
          <m:r>
            <w:rPr>
              <w:rFonts w:ascii="Cambria Math" w:hAnsi="Cambria Math"/>
              <w:sz w:val="24"/>
              <w:szCs w:val="24"/>
            </w:rPr>
            <m:t> </m:t>
          </m:r>
          <m:r>
            <m:rPr>
              <m:nor/>
            </m:rPr>
            <w:rPr>
              <w:rFonts w:ascii="Cambria Math" w:hAnsi="Cambria Math"/>
              <w:i/>
              <w:iCs/>
              <w:sz w:val="24"/>
              <w:szCs w:val="24"/>
            </w:rPr>
            <m:t>Factor</m:t>
          </m:r>
        </m:oMath>
      </m:oMathPara>
    </w:p>
    <w:p w14:paraId="5ADD245D" w14:textId="77777777" w:rsidR="00B259A8" w:rsidRPr="0072192C" w:rsidRDefault="00B259A8" w:rsidP="00B259A8">
      <w:pPr>
        <w:pStyle w:val="BodyText"/>
      </w:pPr>
      <w:r w:rsidRPr="0072192C">
        <w:t>Equation 3.5.1 in section 3.5.1.1 in the 2006 IPCC Guidelines was used for estimating emissions (IPCC, 2006a).</w:t>
      </w:r>
    </w:p>
    <w:bookmarkEnd w:id="3222"/>
    <w:p w14:paraId="70C8EF61" w14:textId="77777777" w:rsidR="00B259A8" w:rsidRPr="0072192C" w:rsidRDefault="00B259A8" w:rsidP="00B259A8">
      <w:pPr>
        <w:pStyle w:val="Heading3"/>
        <w:spacing w:before="240"/>
      </w:pPr>
      <w:r w:rsidRPr="0072192C">
        <w:t>8.5.3</w:t>
      </w:r>
      <w:r w:rsidRPr="0072192C">
        <w:tab/>
        <w:t>Uncertainty assessment and time-series consistency</w:t>
      </w:r>
    </w:p>
    <w:p w14:paraId="67945625" w14:textId="77777777" w:rsidR="00B259A8" w:rsidRPr="0072192C" w:rsidRDefault="00B259A8" w:rsidP="00B259A8">
      <w:pPr>
        <w:pStyle w:val="BodyText"/>
      </w:pPr>
      <w:r w:rsidRPr="0072192C">
        <w:rPr>
          <w:spacing w:val="-2"/>
        </w:rPr>
        <w:t>For this submission, it was not possible to develop Tokelau-specific uncertainty values, therefore</w:t>
      </w:r>
      <w:r w:rsidRPr="0072192C">
        <w:t>, for emission factors, default uncertainty values provided in the 2006 IPCC Guidelines were used for CO</w:t>
      </w:r>
      <w:r w:rsidRPr="0072192C">
        <w:rPr>
          <w:vertAlign w:val="subscript"/>
        </w:rPr>
        <w:t>2</w:t>
      </w:r>
      <w:r w:rsidRPr="0072192C">
        <w:t xml:space="preserve"> (for diesel) and CH</w:t>
      </w:r>
      <w:r w:rsidRPr="0072192C">
        <w:rPr>
          <w:vertAlign w:val="subscript"/>
        </w:rPr>
        <w:t>4</w:t>
      </w:r>
      <w:r w:rsidRPr="0072192C">
        <w:t xml:space="preserve"> (upper value) (IPCC, 2006a). For N</w:t>
      </w:r>
      <w:r w:rsidRPr="0072192C">
        <w:rPr>
          <w:vertAlign w:val="subscript"/>
        </w:rPr>
        <w:t>2</w:t>
      </w:r>
      <w:r w:rsidRPr="0072192C">
        <w:t>O, New Zealand’s emission factor uncertainty across the Energy sector was used for this category, which is within the default uncertainty range.</w:t>
      </w:r>
    </w:p>
    <w:p w14:paraId="40B9B7A9" w14:textId="77777777" w:rsidR="00B259A8" w:rsidRPr="0072192C" w:rsidRDefault="00B259A8" w:rsidP="00B259A8">
      <w:pPr>
        <w:pStyle w:val="BodyText"/>
      </w:pPr>
      <w:r w:rsidRPr="0072192C">
        <w:t xml:space="preserve">For activity data, due to discrepancies between different data sources, an upper level of default uncertainty range associated with incomplete surveys from the 2006 IPCC Guidelines was applied (IPCC, 2006a). Table 8.5.1 shows the use of uncertainties for </w:t>
      </w:r>
      <w:r w:rsidRPr="0072192C">
        <w:rPr>
          <w:i/>
          <w:iCs/>
        </w:rPr>
        <w:t>Domestic navigation</w:t>
      </w:r>
      <w:r w:rsidRPr="0072192C">
        <w:t xml:space="preserve"> (diesel).</w:t>
      </w:r>
    </w:p>
    <w:p w14:paraId="2FC7AFA7" w14:textId="77777777" w:rsidR="00B259A8" w:rsidRPr="0072192C" w:rsidRDefault="00B259A8" w:rsidP="00B259A8">
      <w:pPr>
        <w:pStyle w:val="Table"/>
      </w:pPr>
      <w:bookmarkStart w:id="3223" w:name="_Toc225424322"/>
      <w:bookmarkStart w:id="3224" w:name="_Toc226669144"/>
      <w:r w:rsidRPr="0072192C">
        <w:t>Table 8.5.1</w:t>
      </w:r>
      <w:r w:rsidRPr="0072192C">
        <w:tab/>
        <w:t xml:space="preserve">Uncertainties for the </w:t>
      </w:r>
      <w:r w:rsidRPr="0072192C">
        <w:rPr>
          <w:i/>
          <w:iCs/>
        </w:rPr>
        <w:t>Domestic navigation</w:t>
      </w:r>
      <w:r w:rsidRPr="0072192C">
        <w:t xml:space="preserve"> (diesel) category</w:t>
      </w:r>
      <w:bookmarkEnd w:id="3223"/>
      <w:bookmarkEnd w:id="322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0"/>
        <w:gridCol w:w="1130"/>
        <w:gridCol w:w="1559"/>
        <w:gridCol w:w="1701"/>
        <w:gridCol w:w="3674"/>
      </w:tblGrid>
      <w:tr w:rsidR="00B259A8" w:rsidRPr="0072192C" w14:paraId="5F3590DC" w14:textId="77777777" w:rsidTr="00F16E23">
        <w:trPr>
          <w:tblHeader/>
        </w:trPr>
        <w:tc>
          <w:tcPr>
            <w:tcW w:w="0" w:type="auto"/>
            <w:shd w:val="clear" w:color="auto" w:fill="1B556B"/>
            <w:tcMar>
              <w:top w:w="0" w:type="dxa"/>
              <w:left w:w="85" w:type="dxa"/>
              <w:bottom w:w="0" w:type="dxa"/>
              <w:right w:w="85" w:type="dxa"/>
            </w:tcMar>
            <w:vAlign w:val="bottom"/>
          </w:tcPr>
          <w:p w14:paraId="1AAA6AAB"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Gas</w:t>
            </w:r>
          </w:p>
        </w:tc>
        <w:tc>
          <w:tcPr>
            <w:tcW w:w="1130" w:type="dxa"/>
            <w:shd w:val="clear" w:color="auto" w:fill="1B556B"/>
            <w:tcMar>
              <w:top w:w="0" w:type="dxa"/>
              <w:left w:w="85" w:type="dxa"/>
              <w:bottom w:w="0" w:type="dxa"/>
              <w:right w:w="85" w:type="dxa"/>
            </w:tcMar>
            <w:vAlign w:val="bottom"/>
          </w:tcPr>
          <w:p w14:paraId="16CAE329"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Fuel type</w:t>
            </w:r>
          </w:p>
        </w:tc>
        <w:tc>
          <w:tcPr>
            <w:tcW w:w="1559" w:type="dxa"/>
            <w:shd w:val="clear" w:color="auto" w:fill="1B556B"/>
            <w:tcMar>
              <w:top w:w="0" w:type="dxa"/>
              <w:left w:w="85" w:type="dxa"/>
              <w:bottom w:w="0" w:type="dxa"/>
              <w:right w:w="85" w:type="dxa"/>
            </w:tcMar>
            <w:vAlign w:val="bottom"/>
          </w:tcPr>
          <w:p w14:paraId="007968DA"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Activity data (AD) uncertainty (%)</w:t>
            </w:r>
          </w:p>
        </w:tc>
        <w:tc>
          <w:tcPr>
            <w:tcW w:w="1701" w:type="dxa"/>
            <w:shd w:val="clear" w:color="auto" w:fill="1B556B"/>
            <w:tcMar>
              <w:top w:w="0" w:type="dxa"/>
              <w:left w:w="85" w:type="dxa"/>
              <w:bottom w:w="0" w:type="dxa"/>
              <w:right w:w="85" w:type="dxa"/>
            </w:tcMar>
            <w:vAlign w:val="bottom"/>
          </w:tcPr>
          <w:p w14:paraId="4CB81536"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Emission factor (EF) uncertainty (%)</w:t>
            </w:r>
          </w:p>
        </w:tc>
        <w:tc>
          <w:tcPr>
            <w:tcW w:w="3674" w:type="dxa"/>
            <w:shd w:val="clear" w:color="auto" w:fill="1B556B"/>
            <w:tcMar>
              <w:top w:w="0" w:type="dxa"/>
              <w:left w:w="85" w:type="dxa"/>
              <w:bottom w:w="0" w:type="dxa"/>
              <w:right w:w="85" w:type="dxa"/>
            </w:tcMar>
            <w:vAlign w:val="bottom"/>
          </w:tcPr>
          <w:p w14:paraId="4D12A44A"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Source</w:t>
            </w:r>
          </w:p>
        </w:tc>
      </w:tr>
      <w:tr w:rsidR="00B259A8" w:rsidRPr="0072192C" w14:paraId="3721E756" w14:textId="77777777" w:rsidTr="00F16E23">
        <w:tc>
          <w:tcPr>
            <w:tcW w:w="0" w:type="auto"/>
            <w:shd w:val="clear" w:color="auto" w:fill="FFFFFF"/>
            <w:tcMar>
              <w:top w:w="0" w:type="dxa"/>
              <w:left w:w="85" w:type="dxa"/>
              <w:bottom w:w="0" w:type="dxa"/>
              <w:right w:w="85" w:type="dxa"/>
            </w:tcMar>
          </w:tcPr>
          <w:p w14:paraId="250329EE" w14:textId="77777777" w:rsidR="00B259A8" w:rsidRPr="0072192C" w:rsidRDefault="00B259A8" w:rsidP="00F16E23">
            <w:pPr>
              <w:pStyle w:val="TableText"/>
              <w:spacing w:before="40" w:after="40"/>
            </w:pPr>
            <w:r w:rsidRPr="0072192C">
              <w:rPr>
                <w:rFonts w:eastAsia="Calibri"/>
              </w:rPr>
              <w:t>CO</w:t>
            </w:r>
            <w:r w:rsidRPr="0072192C">
              <w:rPr>
                <w:rFonts w:eastAsia="Calibri"/>
                <w:vertAlign w:val="subscript"/>
              </w:rPr>
              <w:t>2</w:t>
            </w:r>
          </w:p>
        </w:tc>
        <w:tc>
          <w:tcPr>
            <w:tcW w:w="1130" w:type="dxa"/>
            <w:shd w:val="clear" w:color="auto" w:fill="FFFFFF"/>
            <w:tcMar>
              <w:top w:w="0" w:type="dxa"/>
              <w:left w:w="85" w:type="dxa"/>
              <w:bottom w:w="0" w:type="dxa"/>
              <w:right w:w="85" w:type="dxa"/>
            </w:tcMar>
          </w:tcPr>
          <w:p w14:paraId="056C596B" w14:textId="77777777" w:rsidR="00B259A8" w:rsidRPr="0072192C" w:rsidRDefault="00B259A8" w:rsidP="00F16E23">
            <w:pPr>
              <w:pStyle w:val="TableText"/>
              <w:spacing w:before="40" w:after="40"/>
            </w:pPr>
            <w:r w:rsidRPr="0072192C">
              <w:rPr>
                <w:rFonts w:eastAsia="Calibri"/>
              </w:rPr>
              <w:t>Liquid fuels</w:t>
            </w:r>
          </w:p>
        </w:tc>
        <w:tc>
          <w:tcPr>
            <w:tcW w:w="1559" w:type="dxa"/>
            <w:shd w:val="clear" w:color="auto" w:fill="FFFFFF"/>
            <w:tcMar>
              <w:top w:w="0" w:type="dxa"/>
              <w:left w:w="85" w:type="dxa"/>
              <w:bottom w:w="0" w:type="dxa"/>
              <w:right w:w="85" w:type="dxa"/>
            </w:tcMar>
          </w:tcPr>
          <w:p w14:paraId="28AF1C10" w14:textId="77777777" w:rsidR="00B259A8" w:rsidRPr="0072192C" w:rsidRDefault="00B259A8" w:rsidP="00F16E23">
            <w:pPr>
              <w:pStyle w:val="TableText"/>
              <w:spacing w:before="40" w:after="40"/>
            </w:pPr>
            <w:r w:rsidRPr="0072192C">
              <w:rPr>
                <w:rFonts w:eastAsia="Calibri"/>
              </w:rPr>
              <w:t>±50</w:t>
            </w:r>
          </w:p>
        </w:tc>
        <w:tc>
          <w:tcPr>
            <w:tcW w:w="1701" w:type="dxa"/>
            <w:shd w:val="clear" w:color="auto" w:fill="FFFFFF"/>
            <w:tcMar>
              <w:top w:w="0" w:type="dxa"/>
              <w:left w:w="85" w:type="dxa"/>
              <w:bottom w:w="0" w:type="dxa"/>
              <w:right w:w="85" w:type="dxa"/>
            </w:tcMar>
          </w:tcPr>
          <w:p w14:paraId="60D46282" w14:textId="77777777" w:rsidR="00B259A8" w:rsidRPr="0072192C" w:rsidRDefault="00B259A8" w:rsidP="00F16E23">
            <w:pPr>
              <w:pStyle w:val="TableText"/>
              <w:spacing w:before="40" w:after="40"/>
            </w:pPr>
            <w:r w:rsidRPr="0072192C">
              <w:rPr>
                <w:rFonts w:eastAsia="Calibri"/>
              </w:rPr>
              <w:t>±1.5</w:t>
            </w:r>
          </w:p>
        </w:tc>
        <w:tc>
          <w:tcPr>
            <w:tcW w:w="3674" w:type="dxa"/>
            <w:shd w:val="clear" w:color="auto" w:fill="FFFFFF"/>
            <w:tcMar>
              <w:top w:w="0" w:type="dxa"/>
              <w:left w:w="85" w:type="dxa"/>
              <w:bottom w:w="0" w:type="dxa"/>
              <w:right w:w="85" w:type="dxa"/>
            </w:tcMar>
          </w:tcPr>
          <w:p w14:paraId="4ED4071E" w14:textId="77777777" w:rsidR="00B259A8" w:rsidRPr="0072192C" w:rsidRDefault="00B259A8" w:rsidP="00F16E23">
            <w:pPr>
              <w:pStyle w:val="TableText"/>
              <w:spacing w:before="40" w:after="40"/>
            </w:pPr>
            <w:r w:rsidRPr="0072192C">
              <w:rPr>
                <w:rFonts w:eastAsia="Calibri"/>
              </w:rPr>
              <w:t>Section 3.5.1.7, IPCC, 2006a</w:t>
            </w:r>
          </w:p>
        </w:tc>
      </w:tr>
      <w:tr w:rsidR="00B259A8" w:rsidRPr="0072192C" w14:paraId="1840DD1F" w14:textId="77777777" w:rsidTr="00F16E23">
        <w:tc>
          <w:tcPr>
            <w:tcW w:w="0" w:type="auto"/>
            <w:shd w:val="clear" w:color="auto" w:fill="FFFFFF"/>
            <w:tcMar>
              <w:top w:w="0" w:type="dxa"/>
              <w:left w:w="85" w:type="dxa"/>
              <w:bottom w:w="0" w:type="dxa"/>
              <w:right w:w="85" w:type="dxa"/>
            </w:tcMar>
          </w:tcPr>
          <w:p w14:paraId="2AB49520" w14:textId="77777777" w:rsidR="00B259A8" w:rsidRPr="0072192C" w:rsidRDefault="00B259A8" w:rsidP="00F16E23">
            <w:pPr>
              <w:pStyle w:val="TableText"/>
              <w:spacing w:before="40" w:after="40"/>
            </w:pPr>
            <w:r w:rsidRPr="0072192C">
              <w:rPr>
                <w:rFonts w:eastAsia="Calibri"/>
              </w:rPr>
              <w:t>CH</w:t>
            </w:r>
            <w:r w:rsidRPr="0072192C">
              <w:rPr>
                <w:rFonts w:eastAsia="Calibri"/>
                <w:vertAlign w:val="subscript"/>
              </w:rPr>
              <w:t>4</w:t>
            </w:r>
          </w:p>
        </w:tc>
        <w:tc>
          <w:tcPr>
            <w:tcW w:w="1130" w:type="dxa"/>
            <w:shd w:val="clear" w:color="auto" w:fill="FFFFFF"/>
            <w:tcMar>
              <w:top w:w="0" w:type="dxa"/>
              <w:left w:w="85" w:type="dxa"/>
              <w:bottom w:w="0" w:type="dxa"/>
              <w:right w:w="85" w:type="dxa"/>
            </w:tcMar>
          </w:tcPr>
          <w:p w14:paraId="6CC9C005" w14:textId="77777777" w:rsidR="00B259A8" w:rsidRPr="0072192C" w:rsidRDefault="00B259A8" w:rsidP="00F16E23">
            <w:pPr>
              <w:pStyle w:val="TableText"/>
              <w:spacing w:before="40" w:after="40"/>
            </w:pPr>
            <w:r w:rsidRPr="0072192C">
              <w:rPr>
                <w:rFonts w:eastAsia="Calibri"/>
              </w:rPr>
              <w:t>Liquid fuels</w:t>
            </w:r>
          </w:p>
        </w:tc>
        <w:tc>
          <w:tcPr>
            <w:tcW w:w="1559" w:type="dxa"/>
            <w:shd w:val="clear" w:color="auto" w:fill="FFFFFF"/>
            <w:tcMar>
              <w:top w:w="0" w:type="dxa"/>
              <w:left w:w="85" w:type="dxa"/>
              <w:bottom w:w="0" w:type="dxa"/>
              <w:right w:w="85" w:type="dxa"/>
            </w:tcMar>
          </w:tcPr>
          <w:p w14:paraId="12D86007" w14:textId="77777777" w:rsidR="00B259A8" w:rsidRPr="0072192C" w:rsidRDefault="00B259A8" w:rsidP="00F16E23">
            <w:pPr>
              <w:pStyle w:val="TableText"/>
              <w:spacing w:before="40" w:after="40"/>
            </w:pPr>
            <w:r w:rsidRPr="0072192C">
              <w:rPr>
                <w:rFonts w:eastAsia="Calibri"/>
              </w:rPr>
              <w:t>±50</w:t>
            </w:r>
          </w:p>
        </w:tc>
        <w:tc>
          <w:tcPr>
            <w:tcW w:w="1701" w:type="dxa"/>
            <w:shd w:val="clear" w:color="auto" w:fill="FFFFFF"/>
            <w:tcMar>
              <w:top w:w="0" w:type="dxa"/>
              <w:left w:w="85" w:type="dxa"/>
              <w:bottom w:w="0" w:type="dxa"/>
              <w:right w:w="85" w:type="dxa"/>
            </w:tcMar>
          </w:tcPr>
          <w:p w14:paraId="11E8A8B7" w14:textId="77777777" w:rsidR="00B259A8" w:rsidRPr="0072192C" w:rsidRDefault="00B259A8" w:rsidP="00F16E23">
            <w:pPr>
              <w:pStyle w:val="TableText"/>
              <w:spacing w:before="40" w:after="40"/>
            </w:pPr>
            <w:r w:rsidRPr="0072192C">
              <w:rPr>
                <w:rFonts w:eastAsia="Calibri"/>
              </w:rPr>
              <w:t>±50.0</w:t>
            </w:r>
          </w:p>
        </w:tc>
        <w:tc>
          <w:tcPr>
            <w:tcW w:w="3674" w:type="dxa"/>
            <w:shd w:val="clear" w:color="auto" w:fill="FFFFFF"/>
            <w:tcMar>
              <w:top w:w="0" w:type="dxa"/>
              <w:left w:w="85" w:type="dxa"/>
              <w:bottom w:w="0" w:type="dxa"/>
              <w:right w:w="85" w:type="dxa"/>
            </w:tcMar>
          </w:tcPr>
          <w:p w14:paraId="259D227D" w14:textId="77777777" w:rsidR="00B259A8" w:rsidRPr="0072192C" w:rsidRDefault="00B259A8" w:rsidP="00F16E23">
            <w:pPr>
              <w:pStyle w:val="TableText"/>
              <w:spacing w:before="40" w:after="40"/>
            </w:pPr>
            <w:r w:rsidRPr="0072192C">
              <w:rPr>
                <w:rFonts w:eastAsia="Calibri"/>
              </w:rPr>
              <w:t>Section 3.5.1.7, IPCC, 2006a</w:t>
            </w:r>
          </w:p>
        </w:tc>
      </w:tr>
      <w:tr w:rsidR="00B259A8" w:rsidRPr="0072192C" w14:paraId="3F30C01E" w14:textId="77777777" w:rsidTr="00F16E23">
        <w:tc>
          <w:tcPr>
            <w:tcW w:w="0" w:type="auto"/>
            <w:shd w:val="clear" w:color="auto" w:fill="FFFFFF"/>
            <w:tcMar>
              <w:top w:w="0" w:type="dxa"/>
              <w:left w:w="85" w:type="dxa"/>
              <w:bottom w:w="0" w:type="dxa"/>
              <w:right w:w="85" w:type="dxa"/>
            </w:tcMar>
          </w:tcPr>
          <w:p w14:paraId="0B6F9B39" w14:textId="77777777" w:rsidR="00B259A8" w:rsidRPr="0072192C" w:rsidRDefault="00B259A8" w:rsidP="00F16E23">
            <w:pPr>
              <w:pStyle w:val="TableText"/>
              <w:spacing w:before="40" w:after="40"/>
            </w:pPr>
            <w:r w:rsidRPr="0072192C">
              <w:rPr>
                <w:rFonts w:eastAsia="Calibri"/>
              </w:rPr>
              <w:t>N</w:t>
            </w:r>
            <w:r w:rsidRPr="0072192C">
              <w:rPr>
                <w:rFonts w:eastAsia="Calibri"/>
                <w:vertAlign w:val="subscript"/>
              </w:rPr>
              <w:t>2</w:t>
            </w:r>
            <w:r w:rsidRPr="0072192C">
              <w:rPr>
                <w:rFonts w:eastAsia="Calibri"/>
              </w:rPr>
              <w:t>O</w:t>
            </w:r>
          </w:p>
        </w:tc>
        <w:tc>
          <w:tcPr>
            <w:tcW w:w="1130" w:type="dxa"/>
            <w:shd w:val="clear" w:color="auto" w:fill="FFFFFF"/>
            <w:tcMar>
              <w:top w:w="0" w:type="dxa"/>
              <w:left w:w="85" w:type="dxa"/>
              <w:bottom w:w="0" w:type="dxa"/>
              <w:right w:w="85" w:type="dxa"/>
            </w:tcMar>
          </w:tcPr>
          <w:p w14:paraId="53A28C95" w14:textId="77777777" w:rsidR="00B259A8" w:rsidRPr="0072192C" w:rsidRDefault="00B259A8" w:rsidP="00F16E23">
            <w:pPr>
              <w:pStyle w:val="TableText"/>
              <w:spacing w:before="40" w:after="40"/>
            </w:pPr>
            <w:r w:rsidRPr="0072192C">
              <w:rPr>
                <w:rFonts w:eastAsia="Calibri"/>
              </w:rPr>
              <w:t>Liquid fuels</w:t>
            </w:r>
          </w:p>
        </w:tc>
        <w:tc>
          <w:tcPr>
            <w:tcW w:w="1559" w:type="dxa"/>
            <w:shd w:val="clear" w:color="auto" w:fill="FFFFFF"/>
            <w:tcMar>
              <w:top w:w="0" w:type="dxa"/>
              <w:left w:w="85" w:type="dxa"/>
              <w:bottom w:w="0" w:type="dxa"/>
              <w:right w:w="85" w:type="dxa"/>
            </w:tcMar>
          </w:tcPr>
          <w:p w14:paraId="1DF816C8" w14:textId="77777777" w:rsidR="00B259A8" w:rsidRPr="0072192C" w:rsidRDefault="00B259A8" w:rsidP="00F16E23">
            <w:pPr>
              <w:pStyle w:val="TableText"/>
              <w:spacing w:before="40" w:after="40"/>
            </w:pPr>
            <w:r w:rsidRPr="0072192C">
              <w:rPr>
                <w:rFonts w:eastAsia="Calibri"/>
              </w:rPr>
              <w:t>±50</w:t>
            </w:r>
          </w:p>
        </w:tc>
        <w:tc>
          <w:tcPr>
            <w:tcW w:w="1701" w:type="dxa"/>
            <w:shd w:val="clear" w:color="auto" w:fill="FFFFFF"/>
            <w:tcMar>
              <w:top w:w="0" w:type="dxa"/>
              <w:left w:w="85" w:type="dxa"/>
              <w:bottom w:w="0" w:type="dxa"/>
              <w:right w:w="85" w:type="dxa"/>
            </w:tcMar>
          </w:tcPr>
          <w:p w14:paraId="518ECAA6" w14:textId="77777777" w:rsidR="00B259A8" w:rsidRPr="0072192C" w:rsidRDefault="00B259A8" w:rsidP="00F16E23">
            <w:pPr>
              <w:pStyle w:val="TableText"/>
              <w:spacing w:before="40" w:after="40"/>
            </w:pPr>
            <w:r w:rsidRPr="0072192C">
              <w:rPr>
                <w:rFonts w:eastAsia="Calibri"/>
              </w:rPr>
              <w:t>±50.0</w:t>
            </w:r>
          </w:p>
        </w:tc>
        <w:tc>
          <w:tcPr>
            <w:tcW w:w="3674" w:type="dxa"/>
            <w:shd w:val="clear" w:color="auto" w:fill="FFFFFF"/>
            <w:tcMar>
              <w:top w:w="0" w:type="dxa"/>
              <w:left w:w="85" w:type="dxa"/>
              <w:bottom w:w="0" w:type="dxa"/>
              <w:right w:w="85" w:type="dxa"/>
            </w:tcMar>
          </w:tcPr>
          <w:p w14:paraId="6E0133E5" w14:textId="77777777" w:rsidR="00B259A8" w:rsidRPr="0072192C" w:rsidRDefault="00B259A8" w:rsidP="00F16E23">
            <w:pPr>
              <w:pStyle w:val="TableText"/>
              <w:spacing w:before="40" w:after="40"/>
            </w:pPr>
            <w:r w:rsidRPr="0072192C">
              <w:rPr>
                <w:rFonts w:eastAsia="Calibri"/>
              </w:rPr>
              <w:t>New Zealand’s value is used (table 3.2.1, chapter 3), section 3.5.1.7, IPCC, 2006a</w:t>
            </w:r>
          </w:p>
        </w:tc>
      </w:tr>
    </w:tbl>
    <w:p w14:paraId="4C471657" w14:textId="77777777" w:rsidR="00B259A8" w:rsidRPr="0072192C" w:rsidRDefault="00B259A8" w:rsidP="00B259A8">
      <w:pPr>
        <w:pStyle w:val="BodyText"/>
        <w:spacing w:before="240"/>
      </w:pPr>
      <w:r w:rsidRPr="0072192C">
        <w:t xml:space="preserve">For the </w:t>
      </w:r>
      <w:r w:rsidRPr="0072192C">
        <w:rPr>
          <w:i/>
          <w:iCs/>
        </w:rPr>
        <w:t>Domestic navigation</w:t>
      </w:r>
      <w:r w:rsidRPr="0072192C">
        <w:t xml:space="preserve"> category, time-series consistency is maintained by estimating activity data for the years before 2018 when detailed data became available.</w:t>
      </w:r>
    </w:p>
    <w:p w14:paraId="5E30E078" w14:textId="77777777" w:rsidR="00B259A8" w:rsidRPr="0072192C" w:rsidRDefault="00B259A8" w:rsidP="00B259A8">
      <w:pPr>
        <w:pStyle w:val="Heading3"/>
        <w:spacing w:before="280"/>
      </w:pPr>
      <w:r w:rsidRPr="0072192C">
        <w:t>8.5.4</w:t>
      </w:r>
      <w:r w:rsidRPr="0072192C">
        <w:tab/>
        <w:t>Category-specific QA/QC and verification</w:t>
      </w:r>
    </w:p>
    <w:p w14:paraId="142045C5"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352158CE" w14:textId="77777777" w:rsidR="00B259A8" w:rsidRPr="0072192C" w:rsidRDefault="00B259A8" w:rsidP="00B259A8">
      <w:pPr>
        <w:pStyle w:val="Heading3"/>
        <w:spacing w:before="280"/>
      </w:pPr>
      <w:r w:rsidRPr="0072192C">
        <w:t>8.5.5</w:t>
      </w:r>
      <w:r w:rsidRPr="0072192C">
        <w:tab/>
        <w:t>Category-specific recalculations</w:t>
      </w:r>
    </w:p>
    <w:p w14:paraId="5B58A030" w14:textId="77777777" w:rsidR="00B259A8" w:rsidRPr="0072192C" w:rsidRDefault="00B259A8" w:rsidP="00B259A8">
      <w:pPr>
        <w:pStyle w:val="BodyText"/>
      </w:pPr>
      <w:r w:rsidRPr="0072192C">
        <w:t xml:space="preserve">There were no changes to estimates for the </w:t>
      </w:r>
      <w:r w:rsidRPr="0072192C">
        <w:rPr>
          <w:i/>
          <w:iCs/>
        </w:rPr>
        <w:t>Domestic navigation</w:t>
      </w:r>
      <w:r w:rsidRPr="0072192C">
        <w:t xml:space="preserve"> category.</w:t>
      </w:r>
    </w:p>
    <w:p w14:paraId="72064AF8" w14:textId="77777777" w:rsidR="00B259A8" w:rsidRPr="0072192C" w:rsidRDefault="00B259A8" w:rsidP="00B259A8">
      <w:pPr>
        <w:pStyle w:val="Heading3"/>
        <w:spacing w:before="280"/>
      </w:pPr>
      <w:r w:rsidRPr="0072192C">
        <w:t>8.5.6</w:t>
      </w:r>
      <w:r w:rsidRPr="0072192C">
        <w:tab/>
        <w:t>Category-specific planned improvements</w:t>
      </w:r>
    </w:p>
    <w:p w14:paraId="7676FDC2" w14:textId="77777777" w:rsidR="00B259A8" w:rsidRPr="0072192C" w:rsidRDefault="00B259A8" w:rsidP="00B259A8">
      <w:pPr>
        <w:pStyle w:val="BodyText"/>
      </w:pPr>
      <w:r w:rsidRPr="0072192C">
        <w:t xml:space="preserve">No improvements are planned for </w:t>
      </w:r>
      <w:r w:rsidRPr="0072192C">
        <w:rPr>
          <w:i/>
          <w:iCs/>
        </w:rPr>
        <w:t>Transport</w:t>
      </w:r>
      <w:r w:rsidRPr="0072192C">
        <w:t>. For future submissions, further analysis of activity data to reflect year-to-year variations will be considered as resources allow.</w:t>
      </w:r>
    </w:p>
    <w:p w14:paraId="4DF1EA72" w14:textId="77777777" w:rsidR="00B259A8" w:rsidRPr="0072192C" w:rsidRDefault="00B259A8" w:rsidP="00B259A8">
      <w:pPr>
        <w:pStyle w:val="Heading2"/>
        <w:spacing w:before="320"/>
      </w:pPr>
      <w:bookmarkStart w:id="3225" w:name="_Toc226460806"/>
      <w:bookmarkStart w:id="3226" w:name="X6d73830ce7ffc20e317e661e9a2ebcec2571f49"/>
      <w:bookmarkEnd w:id="3220"/>
      <w:r w:rsidRPr="0072192C">
        <w:t>8.6</w:t>
      </w:r>
      <w:r w:rsidRPr="0072192C">
        <w:tab/>
        <w:t>Emissions from Industrial Processes and Product Use in Tokelau (6. Tokelau_2)</w:t>
      </w:r>
      <w:bookmarkEnd w:id="3225"/>
    </w:p>
    <w:p w14:paraId="54BBF1B4" w14:textId="77777777" w:rsidR="00B259A8" w:rsidRPr="0072192C" w:rsidRDefault="00B259A8" w:rsidP="00B259A8">
      <w:pPr>
        <w:pStyle w:val="Heading3"/>
        <w:spacing w:before="240"/>
      </w:pPr>
      <w:bookmarkStart w:id="3227" w:name="X3f10a5aaf563e81def2fdb0dee65129036e6a58"/>
      <w:r w:rsidRPr="0072192C">
        <w:t>8.6.1</w:t>
      </w:r>
      <w:r w:rsidRPr="0072192C">
        <w:tab/>
        <w:t>Overview of Tokelau’s Industrial Processes and Product Use sector</w:t>
      </w:r>
    </w:p>
    <w:p w14:paraId="49345B82" w14:textId="77777777" w:rsidR="00B259A8" w:rsidRPr="0072192C" w:rsidRDefault="00B259A8" w:rsidP="00B259A8">
      <w:pPr>
        <w:pStyle w:val="BodyText"/>
      </w:pPr>
      <w:r w:rsidRPr="0072192C">
        <w:t>Tokelau has no significant industry. The emissions associated with the IPPU sector come from the following activities:</w:t>
      </w:r>
    </w:p>
    <w:p w14:paraId="78A77140" w14:textId="77777777" w:rsidR="00B259A8" w:rsidRPr="0072192C" w:rsidRDefault="00B259A8" w:rsidP="00B259A8">
      <w:pPr>
        <w:pStyle w:val="Bullet"/>
      </w:pPr>
      <w:r w:rsidRPr="0072192C">
        <w:t>use of refrigeration and air conditioning – HFCs</w:t>
      </w:r>
    </w:p>
    <w:p w14:paraId="4AB09B16" w14:textId="77777777" w:rsidR="00B259A8" w:rsidRPr="0072192C" w:rsidRDefault="00B259A8" w:rsidP="00B259A8">
      <w:pPr>
        <w:pStyle w:val="Bullet"/>
      </w:pPr>
      <w:r w:rsidRPr="0072192C">
        <w:t>use of metered dose inhalers – HFC-134a and HFC-227ea</w:t>
      </w:r>
    </w:p>
    <w:p w14:paraId="743A7820" w14:textId="77777777" w:rsidR="00B259A8" w:rsidRPr="0072192C" w:rsidRDefault="00B259A8" w:rsidP="00B259A8">
      <w:pPr>
        <w:pStyle w:val="Bullet"/>
      </w:pPr>
      <w:r w:rsidRPr="0072192C">
        <w:t>medical applications of N</w:t>
      </w:r>
      <w:r w:rsidRPr="0072192C">
        <w:rPr>
          <w:vertAlign w:val="subscript"/>
        </w:rPr>
        <w:t>2</w:t>
      </w:r>
      <w:r w:rsidRPr="0072192C">
        <w:t>O.</w:t>
      </w:r>
    </w:p>
    <w:p w14:paraId="021F5B5D" w14:textId="77777777" w:rsidR="00B259A8" w:rsidRPr="0072192C" w:rsidRDefault="00B259A8" w:rsidP="00B259A8">
      <w:pPr>
        <w:pStyle w:val="BodyText"/>
      </w:pPr>
      <w:r w:rsidRPr="0072192C">
        <w:t xml:space="preserve">Thus, the source categories included in this report are </w:t>
      </w:r>
      <w:r w:rsidRPr="0072192C">
        <w:rPr>
          <w:i/>
          <w:iCs/>
        </w:rPr>
        <w:t>Refrigeration and air conditioning</w:t>
      </w:r>
      <w:r w:rsidRPr="0072192C">
        <w:t xml:space="preserve"> (2.F.1), </w:t>
      </w:r>
      <w:r w:rsidRPr="0072192C">
        <w:rPr>
          <w:i/>
          <w:iCs/>
        </w:rPr>
        <w:t>Metered dose inhalers</w:t>
      </w:r>
      <w:r w:rsidRPr="0072192C">
        <w:t xml:space="preserve"> (2.F.4) and </w:t>
      </w:r>
      <w:r w:rsidRPr="0072192C">
        <w:rPr>
          <w:i/>
          <w:iCs/>
        </w:rPr>
        <w:t>Medical applications</w:t>
      </w:r>
      <w:r w:rsidRPr="0072192C">
        <w:t xml:space="preserve"> (2.G.3).</w:t>
      </w:r>
    </w:p>
    <w:p w14:paraId="0800BC74" w14:textId="77777777" w:rsidR="00B259A8" w:rsidRPr="0072192C" w:rsidRDefault="00B259A8" w:rsidP="00B259A8">
      <w:pPr>
        <w:pStyle w:val="BodyText"/>
      </w:pPr>
      <w:r w:rsidRPr="0072192C">
        <w:t>In 2024, emissions from Tokelau’s IPPU sector were 0.24 kt CO</w:t>
      </w:r>
      <w:r w:rsidRPr="0072192C">
        <w:rPr>
          <w:vertAlign w:val="subscript"/>
        </w:rPr>
        <w:t>2</w:t>
      </w:r>
      <w:r w:rsidRPr="0072192C">
        <w:t xml:space="preserve">e. The IPPU sector contributed 5.7 percent to Tokelau’s gross emissions and 0.0003 percent to New Zealand’s gross emissions. The biggest contributor to the total IPPU HFC emissions is </w:t>
      </w:r>
      <w:r w:rsidRPr="0072192C">
        <w:rPr>
          <w:i/>
          <w:iCs/>
        </w:rPr>
        <w:t>Stationary air conditioning</w:t>
      </w:r>
      <w:r w:rsidRPr="0072192C">
        <w:t xml:space="preserve"> followed by </w:t>
      </w:r>
      <w:r w:rsidRPr="0072192C">
        <w:rPr>
          <w:i/>
          <w:iCs/>
        </w:rPr>
        <w:t>Domestic refrigeration</w:t>
      </w:r>
      <w:r w:rsidRPr="0072192C">
        <w:t>, with 65.6 percent and 17.0 percent of IPPU emissions from Tokelau, respectively. Figure 8.6.1 shows emission trends in the IPPU sector by category for Tokelau.</w:t>
      </w:r>
    </w:p>
    <w:p w14:paraId="1F4A746E" w14:textId="77777777" w:rsidR="00B259A8" w:rsidRPr="0072192C" w:rsidRDefault="00B259A8" w:rsidP="00B259A8">
      <w:pPr>
        <w:pStyle w:val="Figure"/>
      </w:pPr>
      <w:bookmarkStart w:id="3228" w:name="_Toc225424347"/>
      <w:bookmarkStart w:id="3229" w:name="_Toc226200716"/>
      <w:r w:rsidRPr="0072192C">
        <w:rPr>
          <w:bCs/>
        </w:rPr>
        <w:t>Figure 8.6.1</w:t>
      </w:r>
      <w:r w:rsidRPr="0072192C">
        <w:rPr>
          <w:bCs/>
        </w:rPr>
        <w:tab/>
        <w:t>Industrial Processes and Product Use emissions by category for Tokelau from 1990 to 2024</w:t>
      </w:r>
      <w:bookmarkEnd w:id="3228"/>
      <w:bookmarkEnd w:id="3229"/>
    </w:p>
    <w:p w14:paraId="0661529B" w14:textId="77777777" w:rsidR="00B259A8" w:rsidRPr="0072192C" w:rsidRDefault="00B259A8" w:rsidP="00B259A8">
      <w:pPr>
        <w:pStyle w:val="BodyText"/>
      </w:pPr>
      <w:r w:rsidRPr="0072192C">
        <w:rPr>
          <w:noProof/>
        </w:rPr>
        <w:drawing>
          <wp:inline distT="0" distB="0" distL="0" distR="0" wp14:anchorId="445006E5" wp14:editId="4D254ADE">
            <wp:extent cx="5199380" cy="2927350"/>
            <wp:effectExtent l="0" t="0" r="1270" b="6350"/>
            <wp:docPr id="99" name="Picture"/>
            <wp:cNvGraphicFramePr/>
            <a:graphic xmlns:a="http://schemas.openxmlformats.org/drawingml/2006/main">
              <a:graphicData uri="http://schemas.openxmlformats.org/drawingml/2006/picture">
                <pic:pic xmlns:pic="http://schemas.openxmlformats.org/drawingml/2006/picture">
                  <pic:nvPicPr>
                    <pic:cNvPr id="100" name="Picture" descr="images/fig_8_6_1.png"/>
                    <pic:cNvPicPr>
                      <a:picLocks noChangeAspect="1" noChangeArrowheads="1"/>
                    </pic:cNvPicPr>
                  </pic:nvPicPr>
                  <pic:blipFill rotWithShape="1">
                    <a:blip r:embed="rId264"/>
                    <a:srcRect t="2078" b="2158"/>
                    <a:stretch>
                      <a:fillRect/>
                    </a:stretch>
                  </pic:blipFill>
                  <pic:spPr bwMode="auto">
                    <a:xfrm>
                      <a:off x="0" y="0"/>
                      <a:ext cx="5200128" cy="2927771"/>
                    </a:xfrm>
                    <a:prstGeom prst="rect">
                      <a:avLst/>
                    </a:prstGeom>
                    <a:noFill/>
                    <a:ln>
                      <a:noFill/>
                    </a:ln>
                    <a:extLst>
                      <a:ext uri="{53640926-AAD7-44D8-BBD7-CCE9431645EC}">
                        <a14:shadowObscured xmlns:a14="http://schemas.microsoft.com/office/drawing/2010/main"/>
                      </a:ext>
                    </a:extLst>
                  </pic:spPr>
                </pic:pic>
              </a:graphicData>
            </a:graphic>
          </wp:inline>
        </w:drawing>
      </w:r>
    </w:p>
    <w:p w14:paraId="5EAAC6CE" w14:textId="77777777" w:rsidR="00B259A8" w:rsidRPr="0072192C" w:rsidRDefault="00B259A8" w:rsidP="00B259A8">
      <w:pPr>
        <w:pStyle w:val="Heading2"/>
      </w:pPr>
      <w:bookmarkStart w:id="3230" w:name="_Toc226460807"/>
      <w:bookmarkStart w:id="3231" w:name="X259a99bc59bd2356422201190e2f15d542f112e"/>
      <w:bookmarkEnd w:id="3226"/>
      <w:bookmarkEnd w:id="3227"/>
      <w:r w:rsidRPr="0072192C">
        <w:t>8.7</w:t>
      </w:r>
      <w:r w:rsidRPr="0072192C">
        <w:tab/>
        <w:t>Emissions from Refrigeration and air conditioning in Tokelau</w:t>
      </w:r>
      <w:bookmarkEnd w:id="3230"/>
    </w:p>
    <w:p w14:paraId="5899C1C3" w14:textId="77777777" w:rsidR="00B259A8" w:rsidRPr="0072192C" w:rsidRDefault="00B259A8" w:rsidP="00B259A8">
      <w:pPr>
        <w:pStyle w:val="Heading3"/>
        <w:spacing w:before="240"/>
      </w:pPr>
      <w:r w:rsidRPr="0072192C">
        <w:t>8.7.1</w:t>
      </w:r>
      <w:r w:rsidRPr="0072192C">
        <w:tab/>
        <w:t>Description</w:t>
      </w:r>
    </w:p>
    <w:p w14:paraId="1DAB2DCF" w14:textId="77777777" w:rsidR="00B259A8" w:rsidRPr="0072192C" w:rsidRDefault="00B259A8" w:rsidP="00B259A8">
      <w:pPr>
        <w:pStyle w:val="BodyText"/>
      </w:pPr>
      <w:r w:rsidRPr="0072192C">
        <w:t xml:space="preserve">Due to a very small number of air-conditioned vehicles in Tokelau, all emissions from this category are reported in </w:t>
      </w:r>
      <w:r w:rsidRPr="0072192C">
        <w:rPr>
          <w:i/>
          <w:iCs/>
        </w:rPr>
        <w:t>Stationary air conditioning</w:t>
      </w:r>
      <w:r w:rsidRPr="0072192C">
        <w:t xml:space="preserve"> (2.F.1.f).</w:t>
      </w:r>
    </w:p>
    <w:p w14:paraId="4B091B1E" w14:textId="77777777" w:rsidR="00B259A8" w:rsidRPr="0072192C" w:rsidRDefault="00B259A8" w:rsidP="00B259A8">
      <w:pPr>
        <w:pStyle w:val="BodyText"/>
      </w:pPr>
      <w:r w:rsidRPr="0072192C">
        <w:t xml:space="preserve">Because most fridge and freezer appliances are installed in households, the emissions associated with refrigeration are reported in </w:t>
      </w:r>
      <w:r w:rsidRPr="0072192C">
        <w:rPr>
          <w:i/>
          <w:iCs/>
        </w:rPr>
        <w:t>Domestic refrigeration</w:t>
      </w:r>
      <w:r w:rsidRPr="0072192C">
        <w:t xml:space="preserve"> (2.F.1.b). Emissions from fridge and freezer appliances are based on the number of those appliances, however, no HFCs were used before 1994. To account for the phase-in of HFCs, it has been assumed that the proportion of appliances using HFCs increased 10 percent per year, starting at 10 percent of appliances in 1994 and reaching 100 percent of appliances in 2003. This phase-in is reflected in figure 8.6.1. Emissions continue to change after 2003 due to changes in the overall number of appliances.</w:t>
      </w:r>
    </w:p>
    <w:p w14:paraId="37621B3A" w14:textId="77777777" w:rsidR="00B259A8" w:rsidRPr="0072192C" w:rsidRDefault="00B259A8" w:rsidP="00B259A8">
      <w:pPr>
        <w:pStyle w:val="Heading3"/>
      </w:pPr>
      <w:bookmarkStart w:id="3232" w:name="methodological-issues-4"/>
      <w:r w:rsidRPr="0072192C">
        <w:t>8.7.2</w:t>
      </w:r>
      <w:r w:rsidRPr="0072192C">
        <w:tab/>
        <w:t>Methodological issues</w:t>
      </w:r>
    </w:p>
    <w:p w14:paraId="49BB44EE" w14:textId="77777777" w:rsidR="00B259A8" w:rsidRPr="0072192C" w:rsidRDefault="00B259A8" w:rsidP="00B259A8">
      <w:pPr>
        <w:pStyle w:val="Heading4"/>
      </w:pPr>
      <w:bookmarkStart w:id="3233" w:name="activity-data-4"/>
      <w:r w:rsidRPr="0072192C">
        <w:t>Activity data</w:t>
      </w:r>
    </w:p>
    <w:p w14:paraId="30503587" w14:textId="77777777" w:rsidR="00B259A8" w:rsidRPr="0072192C" w:rsidRDefault="00B259A8" w:rsidP="00B259A8">
      <w:pPr>
        <w:pStyle w:val="BodyText"/>
        <w:spacing w:before="100"/>
      </w:pPr>
      <w:r w:rsidRPr="0072192C">
        <w:t>The data for the number of appliances are sourced from:</w:t>
      </w:r>
    </w:p>
    <w:p w14:paraId="1022586F" w14:textId="77777777" w:rsidR="00B259A8" w:rsidRPr="0072192C" w:rsidRDefault="00B259A8" w:rsidP="00B259A8">
      <w:pPr>
        <w:pStyle w:val="Bullet"/>
        <w:spacing w:after="100"/>
      </w:pPr>
      <w:r w:rsidRPr="0072192C">
        <w:t>Tokelau Census of Population and Dwellings (2006, 2011, 2016) (item 1 in table 8.1.1) for 2006 to 2016 data points</w:t>
      </w:r>
    </w:p>
    <w:p w14:paraId="10A74C61" w14:textId="77777777" w:rsidR="00B259A8" w:rsidRPr="0072192C" w:rsidRDefault="00B259A8" w:rsidP="00B259A8">
      <w:pPr>
        <w:pStyle w:val="Bullet"/>
        <w:spacing w:after="100"/>
      </w:pPr>
      <w:r w:rsidRPr="0072192C">
        <w:t>Archives New Zealand (Wellington, New Zealand) for historic Census records going back to 1950, mostly at five-year intervals</w:t>
      </w:r>
    </w:p>
    <w:p w14:paraId="7D29E599" w14:textId="77777777" w:rsidR="00B259A8" w:rsidRPr="0072192C" w:rsidRDefault="00B259A8" w:rsidP="00B259A8">
      <w:pPr>
        <w:pStyle w:val="Bullet"/>
        <w:spacing w:after="100"/>
      </w:pPr>
      <w:r w:rsidRPr="0072192C">
        <w:t>Tokelau Household Income and Expenditure Survey 2015/16 for population and dwellings data supplementary to the Census</w:t>
      </w:r>
    </w:p>
    <w:p w14:paraId="4B5A1FE8" w14:textId="77777777" w:rsidR="00B259A8" w:rsidRPr="0072192C" w:rsidRDefault="00B259A8" w:rsidP="00B259A8">
      <w:pPr>
        <w:pStyle w:val="Bullet"/>
        <w:spacing w:after="100"/>
      </w:pPr>
      <w:r w:rsidRPr="0072192C">
        <w:t>Tokelau Department of Health for anecdotal information on inhalers, laser gas and fire extinguishers</w:t>
      </w:r>
    </w:p>
    <w:p w14:paraId="5B86F4E6" w14:textId="77777777" w:rsidR="00B259A8" w:rsidRPr="0072192C" w:rsidRDefault="00B259A8" w:rsidP="00B259A8">
      <w:pPr>
        <w:pStyle w:val="Bullet"/>
        <w:spacing w:after="100"/>
      </w:pPr>
      <w:r w:rsidRPr="0072192C">
        <w:t>Tokelau Department of Transport and Support Services (Apia, Samoa) for cargo shipping manifests for analysis of imports of all goods</w:t>
      </w:r>
    </w:p>
    <w:p w14:paraId="636E11CA" w14:textId="77777777" w:rsidR="00B259A8" w:rsidRPr="0072192C" w:rsidRDefault="00B259A8" w:rsidP="00B259A8">
      <w:pPr>
        <w:pStyle w:val="Bullet"/>
        <w:spacing w:after="100"/>
      </w:pPr>
      <w:r w:rsidRPr="0072192C">
        <w:t>Stats NZ (Wellington, New Zealand), which helped in the collection, analysis and publication of Tokelau Census data</w:t>
      </w:r>
    </w:p>
    <w:p w14:paraId="10AD645A" w14:textId="77777777" w:rsidR="00B259A8" w:rsidRPr="0072192C" w:rsidRDefault="00B259A8" w:rsidP="00B259A8">
      <w:pPr>
        <w:pStyle w:val="Bullet"/>
      </w:pPr>
      <w:r w:rsidRPr="0072192C">
        <w:t>Tokelau National Statistics Office, which performed collection, analysis and publication of Tokelau Census data with subsequent data collation and analyses.</w:t>
      </w:r>
    </w:p>
    <w:p w14:paraId="66EF8EBC" w14:textId="77777777" w:rsidR="00B259A8" w:rsidRPr="0072192C" w:rsidRDefault="00B259A8" w:rsidP="00B259A8">
      <w:pPr>
        <w:pStyle w:val="BodyText"/>
      </w:pPr>
      <w:r w:rsidRPr="0072192C">
        <w:t>The raw data on the number of appliances used in Tokelau obtained from the Census have been further analysed and cross-referenced through other sources (e.g., see those listed in table 8.1.1); available data points are increased by equal increments between the data collection years.</w:t>
      </w:r>
    </w:p>
    <w:p w14:paraId="0F43AB6D" w14:textId="77777777" w:rsidR="00B259A8" w:rsidRPr="0072192C" w:rsidRDefault="00B259A8" w:rsidP="00B259A8">
      <w:pPr>
        <w:pStyle w:val="Heading4"/>
      </w:pPr>
      <w:bookmarkStart w:id="3234" w:name="method-and-emission-factors"/>
      <w:bookmarkEnd w:id="3233"/>
      <w:r w:rsidRPr="0072192C">
        <w:t>Method and emission factors</w:t>
      </w:r>
    </w:p>
    <w:p w14:paraId="32142201" w14:textId="77777777" w:rsidR="00B259A8" w:rsidRPr="0072192C" w:rsidRDefault="00B259A8" w:rsidP="00B259A8">
      <w:pPr>
        <w:pStyle w:val="BodyText"/>
        <w:spacing w:before="100"/>
      </w:pPr>
      <w:r w:rsidRPr="0072192C">
        <w:t>For both air conditioning and domestic refrigeration, the following assumptions were made:</w:t>
      </w:r>
    </w:p>
    <w:p w14:paraId="49695D0D" w14:textId="77777777" w:rsidR="00B259A8" w:rsidRPr="0072192C" w:rsidRDefault="00B259A8" w:rsidP="00B259A8">
      <w:pPr>
        <w:pStyle w:val="Bullet"/>
      </w:pPr>
      <w:r w:rsidRPr="0072192C">
        <w:t>no chemicals are imported or exported, except as a component of each sort of equipment; emissions are assumed to be derived from current equipment only</w:t>
      </w:r>
    </w:p>
    <w:p w14:paraId="6A2389A5" w14:textId="77777777" w:rsidR="00B259A8" w:rsidRPr="0072192C" w:rsidRDefault="00B259A8" w:rsidP="00B259A8">
      <w:pPr>
        <w:pStyle w:val="Bullet"/>
      </w:pPr>
      <w:r w:rsidRPr="0072192C">
        <w:t>HFCs and PFCs are neither produced nor exported or disposed of in Tokelau, therefore, the net consumption is essentially equal to imports</w:t>
      </w:r>
    </w:p>
    <w:p w14:paraId="70647B8B" w14:textId="77777777" w:rsidR="00B259A8" w:rsidRPr="0072192C" w:rsidRDefault="00B259A8" w:rsidP="00B259A8">
      <w:pPr>
        <w:pStyle w:val="Bullet"/>
      </w:pPr>
      <w:r w:rsidRPr="0072192C">
        <w:t>a composite default emission factor of 15 percent can be used for estimating emissions for both domestic refrigeration and stationary air conditioning</w:t>
      </w:r>
    </w:p>
    <w:p w14:paraId="59E48652" w14:textId="77777777" w:rsidR="00B259A8" w:rsidRPr="0072192C" w:rsidRDefault="00B259A8" w:rsidP="00B259A8">
      <w:pPr>
        <w:pStyle w:val="Bullet"/>
      </w:pPr>
      <w:r w:rsidRPr="0072192C">
        <w:t>assumed percentage of new equipment exported (0 percent for Tokelau)</w:t>
      </w:r>
    </w:p>
    <w:p w14:paraId="2F01D753" w14:textId="77777777" w:rsidR="00B259A8" w:rsidRPr="0072192C" w:rsidRDefault="00B259A8" w:rsidP="00B259A8">
      <w:pPr>
        <w:pStyle w:val="Bullet"/>
      </w:pPr>
      <w:r w:rsidRPr="0072192C">
        <w:t>assumed percentage of new equipment imported (100 percent for Tokelau)</w:t>
      </w:r>
    </w:p>
    <w:p w14:paraId="74AE5554" w14:textId="77777777" w:rsidR="00B259A8" w:rsidRPr="0072192C" w:rsidRDefault="00B259A8" w:rsidP="00B259A8">
      <w:pPr>
        <w:pStyle w:val="Bullet"/>
      </w:pPr>
      <w:r w:rsidRPr="0072192C">
        <w:t>the HFC emissions from stationary air conditioning did not occur until 2006</w:t>
      </w:r>
    </w:p>
    <w:p w14:paraId="5F0C70F9" w14:textId="77777777" w:rsidR="00B259A8" w:rsidRPr="0072192C" w:rsidRDefault="00B259A8" w:rsidP="00B259A8">
      <w:pPr>
        <w:pStyle w:val="Bullet"/>
      </w:pPr>
      <w:r w:rsidRPr="0072192C">
        <w:t>the HFC emissions from domestic refrigeration did not occur until 1994 (the same as for New Zealand)</w:t>
      </w:r>
    </w:p>
    <w:p w14:paraId="7B56EB3A" w14:textId="77777777" w:rsidR="00B259A8" w:rsidRPr="0072192C" w:rsidRDefault="00B259A8" w:rsidP="00B259A8">
      <w:pPr>
        <w:pStyle w:val="Bullet"/>
      </w:pPr>
      <w:r w:rsidRPr="0072192C">
        <w:t>the average charge for fridges and freezers has the upper limit of the mass of gas of 0.5 kilograms (from table 7.9 of volume 3 of the 2006 IPCC Guidelines (IPCC, 2006b))</w:t>
      </w:r>
    </w:p>
    <w:p w14:paraId="508B0A0E" w14:textId="77777777" w:rsidR="00B259A8" w:rsidRPr="0072192C" w:rsidRDefault="00B259A8" w:rsidP="00B259A8">
      <w:pPr>
        <w:pStyle w:val="Bullet"/>
      </w:pPr>
      <w:r w:rsidRPr="0072192C">
        <w:t>the average charge for an air conditioning unit is 10 kilograms of refrigerant gas (default value from the 2006 IPCC Guidelines (IPCC, 2006a))</w:t>
      </w:r>
    </w:p>
    <w:p w14:paraId="010D89D7" w14:textId="77777777" w:rsidR="00B259A8" w:rsidRPr="0072192C" w:rsidRDefault="00B259A8" w:rsidP="00B259A8">
      <w:pPr>
        <w:pStyle w:val="Bullet"/>
      </w:pPr>
      <w:r w:rsidRPr="0072192C">
        <w:t>for air conditioning units and fridges and freezers, Tokelau reports the same set of HFCs as New Zealand. These are HFC-32, HFC-125 and HFC-134a for air conditioning units, and HFC-134a for refrigeration.</w:t>
      </w:r>
    </w:p>
    <w:p w14:paraId="7F6DACE8" w14:textId="77777777" w:rsidR="00B259A8" w:rsidRPr="0072192C" w:rsidRDefault="00B259A8" w:rsidP="00B259A8">
      <w:pPr>
        <w:pStyle w:val="BodyText"/>
      </w:pPr>
      <w:r w:rsidRPr="0072192C">
        <w:t>The Tier 1a method from the 2006 IPCC Guidelines is used for estimating emissions from category 2.F.1 in Tokelau (IPCC, 2006b). In this method, activity data are represented by a net consumption value (equation 7.1 from volume 3 of the 2006 IPCC Guidelines), while the emission factor is a value that represents a weighted average of several parameters, as shown in table 7.9 in volume 3 of the 2006 IPCC Guidelines (IPCC, 2006b).</w:t>
      </w:r>
    </w:p>
    <w:p w14:paraId="2D8F3C24" w14:textId="77777777" w:rsidR="00B259A8" w:rsidRPr="0072192C" w:rsidRDefault="00B259A8" w:rsidP="00B259A8">
      <w:pPr>
        <w:pStyle w:val="BodyText"/>
        <w:spacing w:after="180"/>
      </w:pPr>
      <w:r w:rsidRPr="0072192C">
        <w:t>The calculation formula for net consumption within the Tier 1a method is as follows.</w:t>
      </w:r>
    </w:p>
    <w:tbl>
      <w:tblPr>
        <w:tblStyle w:val="TableGrid"/>
        <w:tblW w:w="0" w:type="auto"/>
        <w:tblLook w:val="04A0" w:firstRow="1" w:lastRow="0" w:firstColumn="1" w:lastColumn="0" w:noHBand="0" w:noVBand="1"/>
      </w:tblPr>
      <w:tblGrid>
        <w:gridCol w:w="8495"/>
      </w:tblGrid>
      <w:tr w:rsidR="00B259A8" w:rsidRPr="0072192C" w14:paraId="61835BC6" w14:textId="77777777" w:rsidTr="00F16E23">
        <w:tc>
          <w:tcPr>
            <w:tcW w:w="8495" w:type="dxa"/>
          </w:tcPr>
          <w:p w14:paraId="6B02F9D5" w14:textId="77777777" w:rsidR="00B259A8" w:rsidRPr="0072192C" w:rsidRDefault="00B259A8" w:rsidP="00F16E23">
            <w:pPr>
              <w:pStyle w:val="BodyText"/>
              <w:spacing w:after="80"/>
              <w:rPr>
                <w:rFonts w:ascii="Cambria Math" w:hAnsi="Cambria Math"/>
                <w:sz w:val="18"/>
                <w:szCs w:val="18"/>
              </w:rPr>
            </w:pPr>
            <m:oMathPara>
              <m:oMathParaPr>
                <m:jc m:val="center"/>
              </m:oMathParaPr>
              <m:oMath>
                <m:r>
                  <m:rPr>
                    <m:nor/>
                  </m:rPr>
                  <w:rPr>
                    <w:rFonts w:ascii="Cambria Math" w:hAnsi="Cambria Math"/>
                    <w:sz w:val="18"/>
                    <w:szCs w:val="18"/>
                  </w:rPr>
                  <m:t>EQUATION 7.1</m:t>
                </m:r>
                <m:r>
                  <w:rPr>
                    <w:rFonts w:ascii="Cambria Math" w:hAnsi="Cambria Math"/>
                    <w:sz w:val="18"/>
                    <w:szCs w:val="18"/>
                  </w:rPr>
                  <m:t> </m:t>
                </m:r>
              </m:oMath>
            </m:oMathPara>
          </w:p>
          <w:p w14:paraId="6C374887" w14:textId="77777777" w:rsidR="00B259A8" w:rsidRPr="0072192C" w:rsidRDefault="00B259A8" w:rsidP="00F16E23">
            <w:pPr>
              <w:pStyle w:val="BodyText"/>
              <w:spacing w:after="80"/>
              <w:rPr>
                <w:rFonts w:ascii="Cambria Math" w:hAnsi="Cambria Math"/>
                <w:sz w:val="18"/>
                <w:szCs w:val="18"/>
              </w:rPr>
            </w:pPr>
            <m:oMathPara>
              <m:oMathParaPr>
                <m:jc m:val="center"/>
              </m:oMathParaPr>
              <m:oMath>
                <m:r>
                  <m:rPr>
                    <m:nor/>
                  </m:rPr>
                  <w:rPr>
                    <w:rFonts w:ascii="Cambria Math" w:hAnsi="Cambria Math"/>
                    <w:sz w:val="18"/>
                    <w:szCs w:val="18"/>
                  </w:rPr>
                  <m:t>CALCULATION OF NET CONSUMPTION OF A CHEMICAL IN A SPECIFIC APPLICATION</m:t>
                </m:r>
                <m:r>
                  <w:rPr>
                    <w:rFonts w:ascii="Cambria Math" w:hAnsi="Cambria Math"/>
                    <w:sz w:val="18"/>
                    <w:szCs w:val="18"/>
                  </w:rPr>
                  <m:t> </m:t>
                </m:r>
              </m:oMath>
            </m:oMathPara>
          </w:p>
          <w:p w14:paraId="1FE64F77" w14:textId="77777777" w:rsidR="00B259A8" w:rsidRPr="0072192C" w:rsidRDefault="00B259A8" w:rsidP="00F16E23">
            <w:pPr>
              <w:pStyle w:val="BodyText"/>
            </w:pPr>
            <m:oMathPara>
              <m:oMath>
                <m:r>
                  <m:rPr>
                    <m:nor/>
                  </m:rPr>
                  <w:rPr>
                    <w:rFonts w:ascii="Cambria Math" w:hAnsi="Cambria Math"/>
                    <w:i/>
                    <w:iCs/>
                    <w:sz w:val="18"/>
                    <w:szCs w:val="18"/>
                  </w:rPr>
                  <m:t>Net</m:t>
                </m:r>
                <m:r>
                  <w:rPr>
                    <w:rFonts w:ascii="Cambria Math" w:hAnsi="Cambria Math"/>
                    <w:sz w:val="18"/>
                    <w:szCs w:val="18"/>
                  </w:rPr>
                  <m:t> </m:t>
                </m:r>
                <m:r>
                  <m:rPr>
                    <m:nor/>
                  </m:rPr>
                  <w:rPr>
                    <w:rFonts w:ascii="Cambria Math" w:hAnsi="Cambria Math"/>
                    <w:i/>
                    <w:iCs/>
                    <w:sz w:val="18"/>
                    <w:szCs w:val="18"/>
                  </w:rPr>
                  <m:t>Consumption</m:t>
                </m:r>
                <m:r>
                  <w:rPr>
                    <w:rFonts w:ascii="Cambria Math" w:hAnsi="Cambria Math"/>
                    <w:sz w:val="18"/>
                    <w:szCs w:val="18"/>
                  </w:rPr>
                  <m:t> =</m:t>
                </m:r>
                <m:r>
                  <m:rPr>
                    <m:nor/>
                  </m:rPr>
                  <w:rPr>
                    <w:rFonts w:ascii="Cambria Math" w:hAnsi="Cambria Math"/>
                    <w:i/>
                    <w:iCs/>
                    <w:sz w:val="18"/>
                    <w:szCs w:val="18"/>
                  </w:rPr>
                  <m:t>Production</m:t>
                </m:r>
                <m:r>
                  <w:rPr>
                    <w:rFonts w:ascii="Cambria Math" w:hAnsi="Cambria Math"/>
                    <w:sz w:val="18"/>
                    <w:szCs w:val="18"/>
                  </w:rPr>
                  <m:t> +</m:t>
                </m:r>
                <m:r>
                  <m:rPr>
                    <m:nor/>
                  </m:rPr>
                  <w:rPr>
                    <w:rFonts w:ascii="Cambria Math" w:hAnsi="Cambria Math"/>
                    <w:i/>
                    <w:iCs/>
                    <w:sz w:val="18"/>
                    <w:szCs w:val="18"/>
                  </w:rPr>
                  <m:t>Imports</m:t>
                </m:r>
                <m:r>
                  <w:rPr>
                    <w:rFonts w:ascii="Cambria Math" w:hAnsi="Cambria Math"/>
                    <w:sz w:val="18"/>
                    <w:szCs w:val="18"/>
                  </w:rPr>
                  <m:t>-</m:t>
                </m:r>
                <m:r>
                  <m:rPr>
                    <m:nor/>
                  </m:rPr>
                  <w:rPr>
                    <w:rFonts w:ascii="Cambria Math" w:hAnsi="Cambria Math"/>
                    <w:i/>
                    <w:iCs/>
                    <w:sz w:val="18"/>
                    <w:szCs w:val="18"/>
                  </w:rPr>
                  <m:t>Exports</m:t>
                </m:r>
                <m:r>
                  <w:rPr>
                    <w:rFonts w:ascii="Cambria Math" w:hAnsi="Cambria Math"/>
                    <w:sz w:val="18"/>
                    <w:szCs w:val="18"/>
                  </w:rPr>
                  <m:t> -</m:t>
                </m:r>
                <m:r>
                  <m:rPr>
                    <m:nor/>
                  </m:rPr>
                  <w:rPr>
                    <w:rFonts w:ascii="Cambria Math" w:hAnsi="Cambria Math"/>
                    <w:i/>
                    <w:iCs/>
                    <w:sz w:val="18"/>
                    <w:szCs w:val="18"/>
                  </w:rPr>
                  <m:t>Destruction</m:t>
                </m:r>
              </m:oMath>
            </m:oMathPara>
          </w:p>
        </w:tc>
      </w:tr>
    </w:tbl>
    <w:p w14:paraId="0764A914" w14:textId="77777777" w:rsidR="00B259A8" w:rsidRPr="0072192C" w:rsidRDefault="00B259A8" w:rsidP="00B259A8">
      <w:pPr>
        <w:pStyle w:val="BodyText"/>
        <w:spacing w:before="240" w:after="180"/>
      </w:pPr>
      <w:r w:rsidRPr="0072192C">
        <w:t>Net consumption values for each HFC are then used to calculate annual emissions for applications exhibiting prompt emissions,</w:t>
      </w:r>
      <w:r w:rsidRPr="0072192C">
        <w:rPr>
          <w:rStyle w:val="FootnoteReference"/>
        </w:rPr>
        <w:footnoteReference w:id="60"/>
      </w:r>
      <w:r w:rsidRPr="0072192C">
        <w:t xml:space="preserve"> as follows.</w:t>
      </w:r>
    </w:p>
    <w:tbl>
      <w:tblPr>
        <w:tblStyle w:val="TableGrid"/>
        <w:tblW w:w="0" w:type="auto"/>
        <w:tblLook w:val="04A0" w:firstRow="1" w:lastRow="0" w:firstColumn="1" w:lastColumn="0" w:noHBand="0" w:noVBand="1"/>
      </w:tblPr>
      <w:tblGrid>
        <w:gridCol w:w="8495"/>
      </w:tblGrid>
      <w:tr w:rsidR="00B259A8" w:rsidRPr="0072192C" w14:paraId="18B1039B" w14:textId="77777777" w:rsidTr="00F16E23">
        <w:tc>
          <w:tcPr>
            <w:tcW w:w="8495" w:type="dxa"/>
          </w:tcPr>
          <w:p w14:paraId="3BB71831" w14:textId="77777777" w:rsidR="00B259A8" w:rsidRPr="0072192C" w:rsidRDefault="00B259A8" w:rsidP="00F16E23">
            <w:pPr>
              <w:pStyle w:val="BodyText"/>
              <w:spacing w:after="80"/>
              <w:rPr>
                <w:rFonts w:ascii="Cambria Math" w:hAnsi="Cambria Math"/>
                <w:sz w:val="18"/>
                <w:szCs w:val="18"/>
              </w:rPr>
            </w:pPr>
            <m:oMathPara>
              <m:oMathParaPr>
                <m:jc m:val="center"/>
              </m:oMathParaPr>
              <m:oMath>
                <m:r>
                  <m:rPr>
                    <m:nor/>
                  </m:rPr>
                  <w:rPr>
                    <w:rFonts w:ascii="Cambria Math" w:hAnsi="Cambria Math"/>
                    <w:sz w:val="18"/>
                    <w:szCs w:val="18"/>
                  </w:rPr>
                  <m:t>EQUATION 7.2A</m:t>
                </m:r>
                <m:r>
                  <w:rPr>
                    <w:rFonts w:ascii="Cambria Math" w:hAnsi="Cambria Math"/>
                    <w:sz w:val="18"/>
                    <w:szCs w:val="18"/>
                  </w:rPr>
                  <m:t> </m:t>
                </m:r>
              </m:oMath>
            </m:oMathPara>
          </w:p>
          <w:p w14:paraId="7A27E4EB" w14:textId="77777777" w:rsidR="00B259A8" w:rsidRPr="0072192C" w:rsidRDefault="00B259A8" w:rsidP="00F16E23">
            <w:pPr>
              <w:pStyle w:val="BodyText"/>
              <w:spacing w:after="80"/>
              <w:rPr>
                <w:rFonts w:ascii="Cambria Math" w:hAnsi="Cambria Math"/>
                <w:sz w:val="18"/>
              </w:rPr>
            </w:pPr>
            <m:oMathPara>
              <m:oMathParaPr>
                <m:jc m:val="center"/>
              </m:oMathParaPr>
              <m:oMath>
                <m:r>
                  <m:rPr>
                    <m:nor/>
                  </m:rPr>
                  <w:rPr>
                    <w:rFonts w:ascii="Cambria Math" w:hAnsi="Cambria Math"/>
                    <w:sz w:val="18"/>
                  </w:rPr>
                  <m:t>CALCULATION OF EMISSIONS OF A CHEMICAL FROM A SPECIFIC APPLICATION</m:t>
                </m:r>
                <m:r>
                  <w:rPr>
                    <w:rFonts w:ascii="Cambria Math" w:hAnsi="Cambria Math"/>
                    <w:sz w:val="18"/>
                  </w:rPr>
                  <m:t> </m:t>
                </m:r>
              </m:oMath>
            </m:oMathPara>
          </w:p>
          <w:p w14:paraId="6785F265" w14:textId="77777777" w:rsidR="00B259A8" w:rsidRPr="0072192C" w:rsidRDefault="00B259A8" w:rsidP="00F16E23">
            <w:pPr>
              <w:pStyle w:val="BodyText"/>
              <w:jc w:val="center"/>
              <w:rPr>
                <w:i/>
                <w:iCs/>
                <w:lang w:eastAsia="en-US"/>
              </w:rPr>
            </w:pPr>
            <m:oMathPara>
              <m:oMath>
                <m:r>
                  <m:rPr>
                    <m:nor/>
                  </m:rPr>
                  <w:rPr>
                    <w:rFonts w:ascii="Cambria Math" w:hAnsi="Cambria Math"/>
                    <w:i/>
                    <w:iCs/>
                    <w:sz w:val="18"/>
                  </w:rPr>
                  <m:t>Annual</m:t>
                </m:r>
                <m:r>
                  <w:rPr>
                    <w:rFonts w:ascii="Cambria Math" w:hAnsi="Cambria Math"/>
                    <w:sz w:val="18"/>
                  </w:rPr>
                  <m:t> </m:t>
                </m:r>
                <m:r>
                  <m:rPr>
                    <m:nor/>
                  </m:rPr>
                  <w:rPr>
                    <w:rFonts w:ascii="Cambria Math" w:hAnsi="Cambria Math"/>
                    <w:i/>
                    <w:iCs/>
                    <w:sz w:val="18"/>
                  </w:rPr>
                  <m:t>Emissions</m:t>
                </m:r>
                <m:r>
                  <w:rPr>
                    <w:rFonts w:ascii="Cambria Math" w:hAnsi="Cambria Math"/>
                    <w:sz w:val="18"/>
                  </w:rPr>
                  <m:t> =</m:t>
                </m:r>
                <m:r>
                  <m:rPr>
                    <m:nor/>
                  </m:rPr>
                  <w:rPr>
                    <w:rFonts w:ascii="Cambria Math" w:hAnsi="Cambria Math"/>
                    <w:i/>
                    <w:iCs/>
                    <w:sz w:val="18"/>
                  </w:rPr>
                  <m:t>Net</m:t>
                </m:r>
                <m:r>
                  <w:rPr>
                    <w:rFonts w:ascii="Cambria Math" w:hAnsi="Cambria Math"/>
                    <w:sz w:val="18"/>
                  </w:rPr>
                  <m:t> </m:t>
                </m:r>
                <m:r>
                  <m:rPr>
                    <m:nor/>
                  </m:rPr>
                  <w:rPr>
                    <w:rFonts w:ascii="Cambria Math" w:hAnsi="Cambria Math"/>
                    <w:i/>
                    <w:iCs/>
                    <w:sz w:val="18"/>
                  </w:rPr>
                  <m:t>Consumption</m:t>
                </m:r>
                <m:r>
                  <w:rPr>
                    <w:rFonts w:ascii="Cambria Math" w:hAnsi="Cambria Math"/>
                    <w:sz w:val="18"/>
                  </w:rPr>
                  <m:t>*</m:t>
                </m:r>
                <m:r>
                  <m:rPr>
                    <m:nor/>
                  </m:rPr>
                  <w:rPr>
                    <w:rFonts w:ascii="Cambria Math" w:hAnsi="Cambria Math"/>
                    <w:i/>
                    <w:iCs/>
                    <w:sz w:val="18"/>
                  </w:rPr>
                  <m:t>Composite</m:t>
                </m:r>
                <m:r>
                  <w:rPr>
                    <w:rFonts w:ascii="Cambria Math" w:hAnsi="Cambria Math"/>
                    <w:sz w:val="18"/>
                  </w:rPr>
                  <m:t> </m:t>
                </m:r>
                <m:r>
                  <m:rPr>
                    <m:nor/>
                  </m:rPr>
                  <w:rPr>
                    <w:rFonts w:ascii="Cambria Math" w:hAnsi="Cambria Math"/>
                    <w:i/>
                    <w:iCs/>
                    <w:sz w:val="18"/>
                  </w:rPr>
                  <m:t>EF</m:t>
                </m:r>
              </m:oMath>
            </m:oMathPara>
          </w:p>
        </w:tc>
      </w:tr>
    </w:tbl>
    <w:bookmarkEnd w:id="3232"/>
    <w:bookmarkEnd w:id="3234"/>
    <w:p w14:paraId="59E40EE6" w14:textId="77777777" w:rsidR="00B259A8" w:rsidRPr="0072192C" w:rsidRDefault="00B259A8" w:rsidP="00B259A8">
      <w:pPr>
        <w:pStyle w:val="Heading3"/>
        <w:spacing w:before="440"/>
      </w:pPr>
      <w:r w:rsidRPr="0072192C">
        <w:t>8.7.3</w:t>
      </w:r>
      <w:r w:rsidRPr="0072192C">
        <w:tab/>
        <w:t>Uncertainty assessment and time-series consistency</w:t>
      </w:r>
    </w:p>
    <w:p w14:paraId="1D1C733C" w14:textId="77777777" w:rsidR="00B259A8" w:rsidRPr="0072192C" w:rsidRDefault="00B259A8" w:rsidP="00B259A8">
      <w:pPr>
        <w:pStyle w:val="BodyText"/>
      </w:pPr>
      <w:r w:rsidRPr="0072192C">
        <w:t xml:space="preserve">Because a composite emission factor was used for both the 2.F.1.b and 2.F.1.f categories, the </w:t>
      </w:r>
      <w:r w:rsidRPr="0072192C">
        <w:rPr>
          <w:spacing w:val="-2"/>
        </w:rPr>
        <w:t>uncertainty level for activity data is assumed at a level of ±24 percent (see table 8.7.1). The 2006 IPCC Guidelines (IPCC, 2006b) do not provide a default value for the composite factors, so New Zealand’s value for uncertainties to describe refrigerant leakages was used for both categories</w:t>
      </w:r>
      <w:r w:rsidRPr="0072192C">
        <w:t>.</w:t>
      </w:r>
    </w:p>
    <w:p w14:paraId="677D8AED" w14:textId="77777777" w:rsidR="00B259A8" w:rsidRPr="0072192C" w:rsidRDefault="00B259A8" w:rsidP="00B259A8">
      <w:pPr>
        <w:pStyle w:val="Table"/>
      </w:pPr>
      <w:bookmarkStart w:id="3235" w:name="_Toc225424323"/>
      <w:bookmarkStart w:id="3236" w:name="_Toc226669145"/>
      <w:r w:rsidRPr="0072192C">
        <w:t>Table 8.7.1</w:t>
      </w:r>
      <w:r w:rsidRPr="0072192C">
        <w:tab/>
        <w:t xml:space="preserve">Uncertainties for the </w:t>
      </w:r>
      <w:r w:rsidRPr="0072192C">
        <w:rPr>
          <w:i/>
          <w:iCs/>
        </w:rPr>
        <w:t>Refrigeration and air conditioning</w:t>
      </w:r>
      <w:r w:rsidRPr="0072192C">
        <w:t xml:space="preserve"> category</w:t>
      </w:r>
      <w:bookmarkEnd w:id="3235"/>
      <w:bookmarkEnd w:id="3236"/>
    </w:p>
    <w:tbl>
      <w:tblPr>
        <w:tblW w:w="8494"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492"/>
        <w:gridCol w:w="765"/>
        <w:gridCol w:w="2145"/>
        <w:gridCol w:w="2268"/>
        <w:gridCol w:w="2824"/>
      </w:tblGrid>
      <w:tr w:rsidR="00B259A8" w:rsidRPr="0072192C" w14:paraId="34599902" w14:textId="77777777" w:rsidTr="00F16E23">
        <w:trPr>
          <w:tblHeader/>
        </w:trPr>
        <w:tc>
          <w:tcPr>
            <w:tcW w:w="0" w:type="auto"/>
            <w:shd w:val="clear" w:color="auto" w:fill="1B556B"/>
            <w:tcMar>
              <w:top w:w="0" w:type="dxa"/>
              <w:left w:w="85" w:type="dxa"/>
              <w:bottom w:w="0" w:type="dxa"/>
              <w:right w:w="85" w:type="dxa"/>
            </w:tcMar>
            <w:vAlign w:val="center"/>
          </w:tcPr>
          <w:p w14:paraId="5647A6E6"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Gas</w:t>
            </w:r>
          </w:p>
        </w:tc>
        <w:tc>
          <w:tcPr>
            <w:tcW w:w="0" w:type="auto"/>
            <w:shd w:val="clear" w:color="auto" w:fill="1B556B"/>
            <w:tcMar>
              <w:top w:w="0" w:type="dxa"/>
              <w:left w:w="85" w:type="dxa"/>
              <w:bottom w:w="0" w:type="dxa"/>
              <w:right w:w="85" w:type="dxa"/>
            </w:tcMar>
            <w:vAlign w:val="center"/>
          </w:tcPr>
          <w:p w14:paraId="15DAA89D"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Category</w:t>
            </w:r>
          </w:p>
        </w:tc>
        <w:tc>
          <w:tcPr>
            <w:tcW w:w="2145" w:type="dxa"/>
            <w:shd w:val="clear" w:color="auto" w:fill="1B556B"/>
            <w:tcMar>
              <w:top w:w="0" w:type="dxa"/>
              <w:left w:w="85" w:type="dxa"/>
              <w:bottom w:w="0" w:type="dxa"/>
              <w:right w:w="85" w:type="dxa"/>
            </w:tcMar>
            <w:vAlign w:val="center"/>
          </w:tcPr>
          <w:p w14:paraId="00834776"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Activity data uncertainty (%)</w:t>
            </w:r>
          </w:p>
        </w:tc>
        <w:tc>
          <w:tcPr>
            <w:tcW w:w="2268" w:type="dxa"/>
            <w:shd w:val="clear" w:color="auto" w:fill="1B556B"/>
            <w:tcMar>
              <w:top w:w="0" w:type="dxa"/>
              <w:left w:w="85" w:type="dxa"/>
              <w:bottom w:w="0" w:type="dxa"/>
              <w:right w:w="85" w:type="dxa"/>
            </w:tcMar>
            <w:vAlign w:val="center"/>
          </w:tcPr>
          <w:p w14:paraId="475924BA"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Emission factor uncertainty (%)</w:t>
            </w:r>
          </w:p>
        </w:tc>
        <w:tc>
          <w:tcPr>
            <w:tcW w:w="2824" w:type="dxa"/>
            <w:shd w:val="clear" w:color="auto" w:fill="1B556B"/>
            <w:tcMar>
              <w:top w:w="0" w:type="dxa"/>
              <w:left w:w="85" w:type="dxa"/>
              <w:bottom w:w="0" w:type="dxa"/>
              <w:right w:w="85" w:type="dxa"/>
            </w:tcMar>
            <w:vAlign w:val="center"/>
          </w:tcPr>
          <w:p w14:paraId="41E2C984"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Source</w:t>
            </w:r>
          </w:p>
        </w:tc>
      </w:tr>
      <w:tr w:rsidR="00B259A8" w:rsidRPr="0072192C" w14:paraId="17F275EE" w14:textId="77777777" w:rsidTr="00F16E23">
        <w:tc>
          <w:tcPr>
            <w:tcW w:w="0" w:type="auto"/>
            <w:shd w:val="clear" w:color="auto" w:fill="FFFFFF"/>
            <w:tcMar>
              <w:top w:w="0" w:type="dxa"/>
              <w:left w:w="85" w:type="dxa"/>
              <w:bottom w:w="0" w:type="dxa"/>
              <w:right w:w="85" w:type="dxa"/>
            </w:tcMar>
          </w:tcPr>
          <w:p w14:paraId="6C4FA336" w14:textId="77777777" w:rsidR="00B259A8" w:rsidRPr="0072192C" w:rsidRDefault="00B259A8" w:rsidP="00F16E23">
            <w:pPr>
              <w:pStyle w:val="TableText"/>
              <w:spacing w:before="40" w:after="40"/>
            </w:pPr>
            <w:r w:rsidRPr="0072192C">
              <w:rPr>
                <w:rFonts w:eastAsia="Calibri"/>
              </w:rPr>
              <w:t>HFCs</w:t>
            </w:r>
          </w:p>
        </w:tc>
        <w:tc>
          <w:tcPr>
            <w:tcW w:w="0" w:type="auto"/>
            <w:shd w:val="clear" w:color="auto" w:fill="FFFFFF"/>
            <w:tcMar>
              <w:top w:w="0" w:type="dxa"/>
              <w:left w:w="85" w:type="dxa"/>
              <w:bottom w:w="0" w:type="dxa"/>
              <w:right w:w="85" w:type="dxa"/>
            </w:tcMar>
          </w:tcPr>
          <w:p w14:paraId="46354561" w14:textId="77777777" w:rsidR="00B259A8" w:rsidRPr="0072192C" w:rsidRDefault="00B259A8" w:rsidP="00F16E23">
            <w:pPr>
              <w:pStyle w:val="TableText"/>
              <w:spacing w:before="40" w:after="40"/>
            </w:pPr>
            <w:r w:rsidRPr="0072192C">
              <w:rPr>
                <w:rFonts w:eastAsia="Calibri"/>
              </w:rPr>
              <w:t>2.F.1</w:t>
            </w:r>
          </w:p>
        </w:tc>
        <w:tc>
          <w:tcPr>
            <w:tcW w:w="2145" w:type="dxa"/>
            <w:shd w:val="clear" w:color="auto" w:fill="FFFFFF"/>
            <w:tcMar>
              <w:top w:w="0" w:type="dxa"/>
              <w:left w:w="85" w:type="dxa"/>
              <w:bottom w:w="0" w:type="dxa"/>
              <w:right w:w="85" w:type="dxa"/>
            </w:tcMar>
          </w:tcPr>
          <w:p w14:paraId="04B37056" w14:textId="77777777" w:rsidR="00B259A8" w:rsidRPr="0072192C" w:rsidRDefault="00B259A8" w:rsidP="00F16E23">
            <w:pPr>
              <w:pStyle w:val="TableText"/>
              <w:spacing w:before="40" w:after="40"/>
            </w:pPr>
            <w:r w:rsidRPr="0072192C">
              <w:rPr>
                <w:rFonts w:eastAsia="Calibri"/>
              </w:rPr>
              <w:t>±24</w:t>
            </w:r>
          </w:p>
        </w:tc>
        <w:tc>
          <w:tcPr>
            <w:tcW w:w="2268" w:type="dxa"/>
            <w:shd w:val="clear" w:color="auto" w:fill="FFFFFF"/>
            <w:tcMar>
              <w:top w:w="0" w:type="dxa"/>
              <w:left w:w="85" w:type="dxa"/>
              <w:bottom w:w="0" w:type="dxa"/>
              <w:right w:w="85" w:type="dxa"/>
            </w:tcMar>
          </w:tcPr>
          <w:p w14:paraId="72E93B67" w14:textId="77777777" w:rsidR="00B259A8" w:rsidRPr="0072192C" w:rsidRDefault="00B259A8" w:rsidP="00F16E23">
            <w:pPr>
              <w:pStyle w:val="TableText"/>
              <w:spacing w:before="40" w:after="40"/>
            </w:pPr>
            <w:r w:rsidRPr="0072192C">
              <w:rPr>
                <w:rFonts w:eastAsia="Calibri"/>
              </w:rPr>
              <w:t>Not applicable</w:t>
            </w:r>
          </w:p>
        </w:tc>
        <w:tc>
          <w:tcPr>
            <w:tcW w:w="2824" w:type="dxa"/>
            <w:shd w:val="clear" w:color="auto" w:fill="FFFFFF"/>
            <w:tcMar>
              <w:top w:w="0" w:type="dxa"/>
              <w:left w:w="85" w:type="dxa"/>
              <w:bottom w:w="0" w:type="dxa"/>
              <w:right w:w="85" w:type="dxa"/>
            </w:tcMar>
          </w:tcPr>
          <w:p w14:paraId="7898C60A" w14:textId="77777777" w:rsidR="00B259A8" w:rsidRPr="0072192C" w:rsidRDefault="00B259A8" w:rsidP="00F16E23">
            <w:pPr>
              <w:pStyle w:val="TableText"/>
              <w:spacing w:before="40" w:after="40"/>
            </w:pPr>
            <w:r w:rsidRPr="0072192C">
              <w:rPr>
                <w:rFonts w:eastAsia="Calibri"/>
              </w:rPr>
              <w:t>New Zealand’s value is used (table 4.7.4, chapter 4)</w:t>
            </w:r>
          </w:p>
        </w:tc>
      </w:tr>
    </w:tbl>
    <w:p w14:paraId="4BA2EE85" w14:textId="77777777" w:rsidR="00B259A8" w:rsidRPr="0072192C" w:rsidRDefault="00B259A8" w:rsidP="00B259A8">
      <w:pPr>
        <w:pStyle w:val="BodyText"/>
        <w:spacing w:before="240"/>
      </w:pPr>
      <w:r w:rsidRPr="0072192C">
        <w:t>Time-series consistency is maintained by interpolating the number of air conditioning and refrigeration units in between census years (which are generally five years apart).</w:t>
      </w:r>
    </w:p>
    <w:p w14:paraId="44A553F6" w14:textId="77777777" w:rsidR="00B259A8" w:rsidRPr="0072192C" w:rsidRDefault="00B259A8" w:rsidP="00B259A8">
      <w:pPr>
        <w:pStyle w:val="Heading3"/>
      </w:pPr>
      <w:bookmarkStart w:id="3237" w:name="X187910eb94fda0957981d3d62def95cc1933357"/>
      <w:r w:rsidRPr="0072192C">
        <w:t>8.7.4</w:t>
      </w:r>
      <w:r w:rsidRPr="0072192C">
        <w:tab/>
        <w:t>Category-specific QA/QC and verification</w:t>
      </w:r>
    </w:p>
    <w:p w14:paraId="1592D092"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bookmarkEnd w:id="3237"/>
    <w:p w14:paraId="3C584077" w14:textId="77777777" w:rsidR="00B259A8" w:rsidRPr="0072192C" w:rsidRDefault="00B259A8" w:rsidP="00B259A8">
      <w:pPr>
        <w:pStyle w:val="Heading3"/>
      </w:pPr>
      <w:r w:rsidRPr="0072192C">
        <w:t>8.7.5</w:t>
      </w:r>
      <w:r w:rsidRPr="0072192C">
        <w:tab/>
        <w:t>Category-specific recalculations</w:t>
      </w:r>
    </w:p>
    <w:p w14:paraId="20ADDD63" w14:textId="77777777" w:rsidR="00B259A8" w:rsidRPr="0072192C" w:rsidRDefault="00B259A8" w:rsidP="00B259A8">
      <w:pPr>
        <w:pStyle w:val="BodyText"/>
      </w:pPr>
      <w:r w:rsidRPr="0072192C">
        <w:t xml:space="preserve">There were no changes to estimates for the </w:t>
      </w:r>
      <w:r w:rsidRPr="0072192C">
        <w:rPr>
          <w:i/>
          <w:iCs/>
        </w:rPr>
        <w:t>Stationary air conditioning</w:t>
      </w:r>
      <w:r w:rsidRPr="0072192C">
        <w:t xml:space="preserve"> and </w:t>
      </w:r>
      <w:r w:rsidRPr="0072192C">
        <w:rPr>
          <w:i/>
          <w:iCs/>
        </w:rPr>
        <w:t>Domestic refrigeration</w:t>
      </w:r>
      <w:r w:rsidRPr="0072192C">
        <w:t xml:space="preserve"> categories.</w:t>
      </w:r>
    </w:p>
    <w:p w14:paraId="4912F5BB" w14:textId="77777777" w:rsidR="00B259A8" w:rsidRPr="0072192C" w:rsidRDefault="00B259A8" w:rsidP="00B259A8">
      <w:pPr>
        <w:pStyle w:val="Heading3"/>
        <w:spacing w:before="280"/>
      </w:pPr>
      <w:r w:rsidRPr="0072192C">
        <w:t>8.7.6</w:t>
      </w:r>
      <w:r w:rsidRPr="0072192C">
        <w:tab/>
        <w:t>Category-specific planned improvements</w:t>
      </w:r>
    </w:p>
    <w:p w14:paraId="7769EDCF" w14:textId="77777777" w:rsidR="00B259A8" w:rsidRPr="0072192C" w:rsidRDefault="00B259A8" w:rsidP="00B259A8">
      <w:pPr>
        <w:pStyle w:val="BodyText"/>
      </w:pPr>
      <w:r w:rsidRPr="0072192C">
        <w:t>No improvements are planned for the next inventory submission.</w:t>
      </w:r>
    </w:p>
    <w:p w14:paraId="35D5071A" w14:textId="77777777" w:rsidR="00B259A8" w:rsidRPr="0072192C" w:rsidRDefault="00B259A8" w:rsidP="00B259A8">
      <w:pPr>
        <w:pStyle w:val="Heading2"/>
      </w:pPr>
      <w:bookmarkStart w:id="3238" w:name="_Toc226460808"/>
      <w:bookmarkStart w:id="3239" w:name="Xabcb26278593acebd294af29228d70df7b298f2"/>
      <w:bookmarkEnd w:id="3231"/>
      <w:r w:rsidRPr="0072192C">
        <w:t>8.8</w:t>
      </w:r>
      <w:r w:rsidRPr="0072192C">
        <w:tab/>
        <w:t>Emissions from Metered dose inhalers and Medical applications in Tokelau</w:t>
      </w:r>
      <w:bookmarkEnd w:id="3238"/>
    </w:p>
    <w:p w14:paraId="487E2F4F" w14:textId="77777777" w:rsidR="00B259A8" w:rsidRPr="0072192C" w:rsidRDefault="00B259A8" w:rsidP="00B259A8">
      <w:pPr>
        <w:pStyle w:val="Heading3"/>
        <w:spacing w:before="240"/>
      </w:pPr>
      <w:bookmarkStart w:id="3240" w:name="description-4"/>
      <w:r w:rsidRPr="0072192C">
        <w:t>8.8.1</w:t>
      </w:r>
      <w:r w:rsidRPr="0072192C">
        <w:tab/>
        <w:t>Description</w:t>
      </w:r>
    </w:p>
    <w:p w14:paraId="2BE9D2C0" w14:textId="77777777" w:rsidR="00B259A8" w:rsidRPr="0072192C" w:rsidRDefault="00B259A8" w:rsidP="00B259A8">
      <w:pPr>
        <w:pStyle w:val="BodyText"/>
      </w:pPr>
      <w:r w:rsidRPr="0072192C">
        <w:t xml:space="preserve">The </w:t>
      </w:r>
      <w:r w:rsidRPr="0072192C">
        <w:rPr>
          <w:i/>
          <w:iCs/>
        </w:rPr>
        <w:t>Metered dose inhalers</w:t>
      </w:r>
      <w:r w:rsidRPr="0072192C">
        <w:t xml:space="preserve"> (2.F.4.a) and </w:t>
      </w:r>
      <w:r w:rsidRPr="0072192C">
        <w:rPr>
          <w:i/>
          <w:iCs/>
        </w:rPr>
        <w:t>Medical applications</w:t>
      </w:r>
      <w:r w:rsidRPr="0072192C">
        <w:t xml:space="preserve"> categories (2.G.3.a) contribute negligible amounts of HFC (HFC-134a and HFC-227ea) and N</w:t>
      </w:r>
      <w:r w:rsidRPr="0072192C">
        <w:rPr>
          <w:vertAlign w:val="subscript"/>
        </w:rPr>
        <w:t>2</w:t>
      </w:r>
      <w:r w:rsidRPr="0072192C">
        <w:t>O emissions respectively to the total emissions from the IPPU sector in Tokelau. They are reported by scaling mainland New Zealand’s emissions from the same category by Tokelau’s de facto population.</w:t>
      </w:r>
    </w:p>
    <w:p w14:paraId="4446DC8D" w14:textId="77777777" w:rsidR="00B259A8" w:rsidRPr="0072192C" w:rsidRDefault="00B259A8" w:rsidP="00B259A8">
      <w:pPr>
        <w:pStyle w:val="BodyText"/>
      </w:pPr>
      <w:r w:rsidRPr="0072192C">
        <w:t xml:space="preserve">In 2024, the </w:t>
      </w:r>
      <w:r w:rsidRPr="0072192C">
        <w:rPr>
          <w:i/>
          <w:iCs/>
        </w:rPr>
        <w:t>Metered dose inhalers</w:t>
      </w:r>
      <w:r w:rsidRPr="0072192C">
        <w:t xml:space="preserve"> category contributed 5.8 percent to total IPPU emissions from Tokelau, and the category </w:t>
      </w:r>
      <w:r w:rsidRPr="0072192C">
        <w:rPr>
          <w:i/>
          <w:iCs/>
        </w:rPr>
        <w:t>Medical applications</w:t>
      </w:r>
      <w:r w:rsidRPr="0072192C">
        <w:t xml:space="preserve"> contributed 11.5 percent to the sector, which amounted to 0.04 kt CO</w:t>
      </w:r>
      <w:r w:rsidRPr="0072192C">
        <w:rPr>
          <w:vertAlign w:val="subscript"/>
        </w:rPr>
        <w:t>2</w:t>
      </w:r>
      <w:r w:rsidRPr="0072192C">
        <w:t>e from both categories.</w:t>
      </w:r>
    </w:p>
    <w:p w14:paraId="6D87EE07" w14:textId="77777777" w:rsidR="00B259A8" w:rsidRPr="0072192C" w:rsidRDefault="00B259A8" w:rsidP="00B259A8">
      <w:pPr>
        <w:pStyle w:val="Heading3"/>
      </w:pPr>
      <w:bookmarkStart w:id="3241" w:name="methodological-issues-5"/>
      <w:bookmarkEnd w:id="3240"/>
      <w:r w:rsidRPr="0072192C">
        <w:t>8.8.2</w:t>
      </w:r>
      <w:r w:rsidRPr="0072192C">
        <w:tab/>
        <w:t>Methodological issues</w:t>
      </w:r>
    </w:p>
    <w:p w14:paraId="12C37676" w14:textId="77777777" w:rsidR="00B259A8" w:rsidRPr="0072192C" w:rsidRDefault="00B259A8" w:rsidP="00B259A8">
      <w:pPr>
        <w:pStyle w:val="Heading4"/>
      </w:pPr>
      <w:bookmarkStart w:id="3242" w:name="activity-data-5"/>
      <w:r w:rsidRPr="0072192C">
        <w:t>Activity data</w:t>
      </w:r>
    </w:p>
    <w:p w14:paraId="6FA44057" w14:textId="77777777" w:rsidR="00B259A8" w:rsidRPr="0072192C" w:rsidRDefault="00B259A8" w:rsidP="00B259A8">
      <w:pPr>
        <w:pStyle w:val="BodyText"/>
      </w:pPr>
      <w:r w:rsidRPr="0072192C">
        <w:t xml:space="preserve">Only anecdotal evidence associated with the activity data for both categories is available from Tokelau’s Department of Health (see table 8.1.1). They are reported by scaling mainland New Zealand’s emissions from the same category by Tokelau’s </w:t>
      </w:r>
      <w:r w:rsidRPr="0072192C">
        <w:rPr>
          <w:i/>
          <w:iCs/>
        </w:rPr>
        <w:t>de facto</w:t>
      </w:r>
      <w:r w:rsidRPr="0072192C">
        <w:t xml:space="preserve"> population for the entire time series to each gas.</w:t>
      </w:r>
    </w:p>
    <w:p w14:paraId="0B4541A5" w14:textId="77777777" w:rsidR="00B259A8" w:rsidRPr="0072192C" w:rsidRDefault="00B259A8" w:rsidP="00B259A8">
      <w:pPr>
        <w:pStyle w:val="Heading4"/>
      </w:pPr>
      <w:bookmarkStart w:id="3243" w:name="method-and-emission-factors-1"/>
      <w:bookmarkEnd w:id="3242"/>
      <w:r w:rsidRPr="0072192C">
        <w:t>Method and emission factors</w:t>
      </w:r>
    </w:p>
    <w:p w14:paraId="7AF40A1D" w14:textId="77777777" w:rsidR="00B259A8" w:rsidRPr="0072192C" w:rsidRDefault="00B259A8" w:rsidP="00B259A8">
      <w:pPr>
        <w:pStyle w:val="BodyText"/>
      </w:pPr>
      <w:r w:rsidRPr="0072192C">
        <w:t xml:space="preserve">A Tier 1a methodology was applied to estimating emissions from 2.F.4.a </w:t>
      </w:r>
      <w:r w:rsidRPr="0072192C">
        <w:rPr>
          <w:i/>
          <w:iCs/>
        </w:rPr>
        <w:t>Metered dose inhalers</w:t>
      </w:r>
      <w:r w:rsidRPr="0072192C">
        <w:t xml:space="preserve"> </w:t>
      </w:r>
      <w:r w:rsidRPr="0072192C">
        <w:rPr>
          <w:spacing w:val="-2"/>
        </w:rPr>
        <w:t xml:space="preserve">and a Tier 1 methodology was applied to estimating emissions from 2.G.3.a </w:t>
      </w:r>
      <w:r w:rsidRPr="0072192C">
        <w:rPr>
          <w:i/>
          <w:iCs/>
          <w:spacing w:val="-2"/>
        </w:rPr>
        <w:t>Medical applications</w:t>
      </w:r>
      <w:r w:rsidRPr="0072192C">
        <w:rPr>
          <w:i/>
          <w:iCs/>
        </w:rPr>
        <w:t xml:space="preserve"> </w:t>
      </w:r>
      <w:r w:rsidRPr="0072192C">
        <w:rPr>
          <w:spacing w:val="-2"/>
        </w:rPr>
        <w:t>(IPCC, 2006b). Population ratios were calculated for each year of the time series using populatio</w:t>
      </w:r>
      <w:r w:rsidRPr="0072192C">
        <w:t>n statistics for Tokelau and New Zealand, excluding the years prior to emissions occurring (pre</w:t>
      </w:r>
      <w:r w:rsidRPr="0072192C">
        <w:noBreakHyphen/>
        <w:t>1995 for HFC-134a and pre-2011 for HFC-227ea).</w:t>
      </w:r>
    </w:p>
    <w:p w14:paraId="7F34FD0F" w14:textId="77777777" w:rsidR="00B259A8" w:rsidRPr="0072192C" w:rsidRDefault="00B259A8" w:rsidP="00B259A8">
      <w:pPr>
        <w:pStyle w:val="BodyText"/>
      </w:pPr>
      <w:r w:rsidRPr="0072192C">
        <w:t xml:space="preserve">For 2.F.4.a </w:t>
      </w:r>
      <w:r w:rsidRPr="0072192C">
        <w:rPr>
          <w:i/>
          <w:iCs/>
        </w:rPr>
        <w:t>Metered dose inhalers</w:t>
      </w:r>
      <w:r w:rsidRPr="0072192C">
        <w:t xml:space="preserve">, a product life factor of 100 percent was used. For 2.G.3a </w:t>
      </w:r>
      <w:r w:rsidRPr="0072192C">
        <w:rPr>
          <w:i/>
          <w:iCs/>
        </w:rPr>
        <w:t>Medical applications</w:t>
      </w:r>
      <w:r w:rsidRPr="0072192C">
        <w:t>, it was assumed that N</w:t>
      </w:r>
      <w:r w:rsidRPr="0072192C">
        <w:rPr>
          <w:vertAlign w:val="subscript"/>
        </w:rPr>
        <w:t>2</w:t>
      </w:r>
      <w:r w:rsidRPr="0072192C">
        <w:t>O is used as a propellant in pressurised and aerosol food products, none of the N</w:t>
      </w:r>
      <w:r w:rsidRPr="0072192C">
        <w:rPr>
          <w:vertAlign w:val="subscript"/>
        </w:rPr>
        <w:t>2</w:t>
      </w:r>
      <w:r w:rsidRPr="0072192C">
        <w:t>O is reacted during the process and all of the N</w:t>
      </w:r>
      <w:r w:rsidRPr="0072192C">
        <w:rPr>
          <w:vertAlign w:val="subscript"/>
        </w:rPr>
        <w:t>2</w:t>
      </w:r>
      <w:r w:rsidRPr="0072192C">
        <w:t>O is emitted to the atmosphere. Therefore, a default emission factor of 1.0 was used for this category.</w:t>
      </w:r>
    </w:p>
    <w:p w14:paraId="2EDD1279" w14:textId="77777777" w:rsidR="00B259A8" w:rsidRPr="0072192C" w:rsidRDefault="00B259A8" w:rsidP="00B259A8">
      <w:pPr>
        <w:pStyle w:val="Heading3"/>
      </w:pPr>
      <w:bookmarkStart w:id="3244" w:name="Xdae3a73b4942cf61299e82ccf0fc4c1b4ea5cab"/>
      <w:bookmarkEnd w:id="3241"/>
      <w:bookmarkEnd w:id="3243"/>
      <w:r w:rsidRPr="0072192C">
        <w:t>8.8.3</w:t>
      </w:r>
      <w:r w:rsidRPr="0072192C">
        <w:tab/>
        <w:t>Uncertainty assessment and time-series consistency</w:t>
      </w:r>
    </w:p>
    <w:p w14:paraId="721A86B1" w14:textId="77777777" w:rsidR="00B259A8" w:rsidRPr="0072192C" w:rsidRDefault="00B259A8" w:rsidP="00B259A8">
      <w:pPr>
        <w:pStyle w:val="BodyText"/>
      </w:pPr>
      <w:r w:rsidRPr="0072192C">
        <w:t xml:space="preserve">For consistency of reporting, the same uncertainty values for category 2.G.3.a </w:t>
      </w:r>
      <w:r w:rsidRPr="0072192C">
        <w:rPr>
          <w:i/>
          <w:iCs/>
        </w:rPr>
        <w:t>Medical applications</w:t>
      </w:r>
      <w:r w:rsidRPr="0072192C">
        <w:t xml:space="preserve"> were applied for Tokelau and New Zealand (see section 4.8.3 in chapter 4 and table 8.8.1). The same uncertainty for 2.F.1.a </w:t>
      </w:r>
      <w:r w:rsidRPr="0072192C">
        <w:rPr>
          <w:i/>
          <w:iCs/>
        </w:rPr>
        <w:t xml:space="preserve">Refrigeration and air conditioning </w:t>
      </w:r>
      <w:r w:rsidRPr="0072192C">
        <w:t xml:space="preserve">has also been applied to 2.F.4.a </w:t>
      </w:r>
      <w:r w:rsidRPr="0072192C">
        <w:rPr>
          <w:i/>
          <w:iCs/>
        </w:rPr>
        <w:t>Metered dose inhalers</w:t>
      </w:r>
      <w:r w:rsidRPr="0072192C">
        <w:t>, in the absence of further information.</w:t>
      </w:r>
    </w:p>
    <w:p w14:paraId="7EAE333A" w14:textId="77777777" w:rsidR="00B259A8" w:rsidRPr="0072192C" w:rsidRDefault="00B259A8" w:rsidP="00B259A8">
      <w:pPr>
        <w:pStyle w:val="Table"/>
      </w:pPr>
      <w:bookmarkStart w:id="3245" w:name="_Toc225424324"/>
      <w:bookmarkStart w:id="3246" w:name="_Toc226669146"/>
      <w:r w:rsidRPr="0072192C">
        <w:t>Table 8.8.1</w:t>
      </w:r>
      <w:r w:rsidRPr="0072192C">
        <w:tab/>
        <w:t xml:space="preserve">Uncertainties for the </w:t>
      </w:r>
      <w:r w:rsidRPr="0072192C">
        <w:rPr>
          <w:i/>
          <w:iCs/>
        </w:rPr>
        <w:t>Other product manufacture and use</w:t>
      </w:r>
      <w:r w:rsidRPr="0072192C">
        <w:t xml:space="preserve"> category</w:t>
      </w:r>
      <w:bookmarkEnd w:id="3245"/>
      <w:bookmarkEnd w:id="324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766"/>
        <w:gridCol w:w="3404"/>
        <w:gridCol w:w="2324"/>
      </w:tblGrid>
      <w:tr w:rsidR="00B259A8" w:rsidRPr="0072192C" w14:paraId="1080AFE9" w14:textId="77777777" w:rsidTr="00F16E23">
        <w:trPr>
          <w:tblHeader/>
        </w:trPr>
        <w:tc>
          <w:tcPr>
            <w:tcW w:w="0" w:type="auto"/>
            <w:shd w:val="clear" w:color="auto" w:fill="1B556B"/>
            <w:tcMar>
              <w:top w:w="0" w:type="dxa"/>
              <w:left w:w="85" w:type="dxa"/>
              <w:bottom w:w="0" w:type="dxa"/>
              <w:right w:w="85" w:type="dxa"/>
            </w:tcMar>
            <w:vAlign w:val="center"/>
          </w:tcPr>
          <w:p w14:paraId="7BF02CE1"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Category</w:t>
            </w:r>
          </w:p>
        </w:tc>
        <w:tc>
          <w:tcPr>
            <w:tcW w:w="0" w:type="auto"/>
            <w:shd w:val="clear" w:color="auto" w:fill="1B556B"/>
            <w:tcMar>
              <w:top w:w="0" w:type="dxa"/>
              <w:left w:w="85" w:type="dxa"/>
              <w:bottom w:w="0" w:type="dxa"/>
              <w:right w:w="85" w:type="dxa"/>
            </w:tcMar>
            <w:vAlign w:val="center"/>
          </w:tcPr>
          <w:p w14:paraId="47F6BAD5"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5F6A6A66"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Uncertainty in emission factors</w:t>
            </w:r>
          </w:p>
        </w:tc>
      </w:tr>
      <w:tr w:rsidR="00B259A8" w:rsidRPr="0072192C" w14:paraId="312EBBE6" w14:textId="77777777" w:rsidTr="00F16E23">
        <w:tc>
          <w:tcPr>
            <w:tcW w:w="0" w:type="auto"/>
            <w:shd w:val="clear" w:color="auto" w:fill="FFFFFF"/>
            <w:tcMar>
              <w:top w:w="0" w:type="dxa"/>
              <w:left w:w="85" w:type="dxa"/>
              <w:bottom w:w="0" w:type="dxa"/>
              <w:right w:w="85" w:type="dxa"/>
            </w:tcMar>
          </w:tcPr>
          <w:p w14:paraId="33E943DA" w14:textId="77777777" w:rsidR="00B259A8" w:rsidRPr="0072192C" w:rsidRDefault="00B259A8" w:rsidP="00F16E23">
            <w:pPr>
              <w:pStyle w:val="TableText"/>
              <w:spacing w:before="40" w:after="40"/>
            </w:pPr>
            <w:r w:rsidRPr="0072192C">
              <w:rPr>
                <w:rFonts w:eastAsia="Calibri"/>
              </w:rPr>
              <w:t>Nitrous oxide from other product uses</w:t>
            </w:r>
          </w:p>
        </w:tc>
        <w:tc>
          <w:tcPr>
            <w:tcW w:w="0" w:type="auto"/>
            <w:shd w:val="clear" w:color="auto" w:fill="FFFFFF"/>
            <w:tcMar>
              <w:top w:w="0" w:type="dxa"/>
              <w:left w:w="85" w:type="dxa"/>
              <w:bottom w:w="0" w:type="dxa"/>
              <w:right w:w="85" w:type="dxa"/>
            </w:tcMar>
          </w:tcPr>
          <w:p w14:paraId="16DCE39B" w14:textId="77777777" w:rsidR="00B259A8" w:rsidRPr="0072192C" w:rsidRDefault="00B259A8" w:rsidP="00F16E23">
            <w:pPr>
              <w:pStyle w:val="TableText"/>
              <w:spacing w:before="40" w:after="40"/>
            </w:pPr>
            <w:r w:rsidRPr="0072192C">
              <w:rPr>
                <w:rFonts w:eastAsia="Calibri"/>
              </w:rPr>
              <w:t xml:space="preserve">±30 (2002–2012) </w:t>
            </w:r>
            <w:r w:rsidRPr="0072192C">
              <w:rPr>
                <w:rFonts w:eastAsia="Calibri"/>
              </w:rPr>
              <w:br/>
              <w:t xml:space="preserve">±5 (2013–2018) </w:t>
            </w:r>
            <w:r w:rsidRPr="0072192C">
              <w:rPr>
                <w:rFonts w:eastAsia="Calibri"/>
              </w:rPr>
              <w:br/>
              <w:t>For simplicity, an average of 15% has been used</w:t>
            </w:r>
          </w:p>
        </w:tc>
        <w:tc>
          <w:tcPr>
            <w:tcW w:w="0" w:type="auto"/>
            <w:shd w:val="clear" w:color="auto" w:fill="FFFFFF"/>
            <w:tcMar>
              <w:top w:w="0" w:type="dxa"/>
              <w:left w:w="85" w:type="dxa"/>
              <w:bottom w:w="0" w:type="dxa"/>
              <w:right w:w="85" w:type="dxa"/>
            </w:tcMar>
          </w:tcPr>
          <w:p w14:paraId="331469E1" w14:textId="77777777" w:rsidR="00B259A8" w:rsidRPr="0072192C" w:rsidRDefault="00B259A8" w:rsidP="00F16E23">
            <w:pPr>
              <w:pStyle w:val="TableText"/>
              <w:spacing w:before="40" w:after="40"/>
            </w:pPr>
            <w:r w:rsidRPr="0072192C">
              <w:rPr>
                <w:rFonts w:eastAsia="Calibri"/>
              </w:rPr>
              <w:t>Not applicable</w:t>
            </w:r>
          </w:p>
        </w:tc>
      </w:tr>
    </w:tbl>
    <w:p w14:paraId="68EB3441" w14:textId="77777777" w:rsidR="00B259A8" w:rsidRPr="0072192C" w:rsidRDefault="00B259A8" w:rsidP="00B259A8">
      <w:pPr>
        <w:pStyle w:val="BodyText"/>
        <w:spacing w:before="240"/>
      </w:pPr>
      <w:r w:rsidRPr="0072192C">
        <w:t>Time-series consistency is maintained by scaling mainland New Zealand data on a per capita basis across the entire time series.</w:t>
      </w:r>
    </w:p>
    <w:p w14:paraId="22408951" w14:textId="77777777" w:rsidR="00B259A8" w:rsidRPr="0072192C" w:rsidRDefault="00B259A8" w:rsidP="00B259A8">
      <w:pPr>
        <w:pStyle w:val="Heading3"/>
      </w:pPr>
      <w:bookmarkStart w:id="3247" w:name="X351b21e8e7b63b231f89d69bfe2546b820386ca"/>
      <w:bookmarkEnd w:id="3244"/>
      <w:r w:rsidRPr="0072192C">
        <w:t>8.8.4</w:t>
      </w:r>
      <w:r w:rsidRPr="0072192C">
        <w:tab/>
        <w:t>Category-specific QA/QC and verification</w:t>
      </w:r>
    </w:p>
    <w:p w14:paraId="20E0AAE4"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6608A4B9" w14:textId="77777777" w:rsidR="00B259A8" w:rsidRPr="0072192C" w:rsidRDefault="00B259A8" w:rsidP="00B259A8">
      <w:pPr>
        <w:pStyle w:val="Heading3"/>
      </w:pPr>
      <w:bookmarkStart w:id="3248" w:name="category-specific-recalculations-4"/>
      <w:bookmarkEnd w:id="3247"/>
      <w:r w:rsidRPr="0072192C">
        <w:t>8.8.5</w:t>
      </w:r>
      <w:r w:rsidRPr="0072192C">
        <w:tab/>
        <w:t>Category-specific recalculations</w:t>
      </w:r>
    </w:p>
    <w:p w14:paraId="74A43A60" w14:textId="77777777" w:rsidR="00B259A8" w:rsidRPr="0072192C" w:rsidRDefault="00B259A8" w:rsidP="00B259A8">
      <w:pPr>
        <w:pStyle w:val="BodyText"/>
      </w:pPr>
      <w:r w:rsidRPr="0072192C">
        <w:t xml:space="preserve">For the </w:t>
      </w:r>
      <w:r w:rsidRPr="0072192C">
        <w:rPr>
          <w:i/>
          <w:iCs/>
        </w:rPr>
        <w:t>Metered dose inhalers</w:t>
      </w:r>
      <w:r w:rsidRPr="0072192C">
        <w:t xml:space="preserve"> category, there was no change in estimates for 1990 and a 1.0 percent (0.00014 kt CO</w:t>
      </w:r>
      <w:r w:rsidRPr="0072192C">
        <w:rPr>
          <w:vertAlign w:val="subscript"/>
        </w:rPr>
        <w:t>2</w:t>
      </w:r>
      <w:r w:rsidRPr="0072192C">
        <w:t xml:space="preserve">e) decrease in 2023. For the </w:t>
      </w:r>
      <w:r w:rsidRPr="0072192C">
        <w:rPr>
          <w:i/>
          <w:iCs/>
        </w:rPr>
        <w:t>Medical applications</w:t>
      </w:r>
      <w:r w:rsidRPr="0072192C">
        <w:t xml:space="preserve"> category, there was no change in 1990 and a 15.4 percent (0.004 kt CO</w:t>
      </w:r>
      <w:r w:rsidRPr="0072192C">
        <w:rPr>
          <w:vertAlign w:val="subscript"/>
        </w:rPr>
        <w:t>2</w:t>
      </w:r>
      <w:r w:rsidRPr="0072192C">
        <w:t>e) increase in 2023. Both changes were due to updates in the emissions data for New Zealand, which is assumed to be the same per capita for Tokelau.</w:t>
      </w:r>
    </w:p>
    <w:p w14:paraId="5B6067AA" w14:textId="77777777" w:rsidR="00B259A8" w:rsidRPr="0072192C" w:rsidRDefault="00B259A8" w:rsidP="00B259A8">
      <w:pPr>
        <w:pStyle w:val="Heading3"/>
      </w:pPr>
      <w:bookmarkStart w:id="3249" w:name="category-specific-planned-improvements-4"/>
      <w:bookmarkEnd w:id="3248"/>
      <w:r w:rsidRPr="0072192C">
        <w:t>8.8.6</w:t>
      </w:r>
      <w:r w:rsidRPr="0072192C">
        <w:tab/>
        <w:t>Category-specific planned improvements</w:t>
      </w:r>
    </w:p>
    <w:p w14:paraId="1C75C917" w14:textId="77777777" w:rsidR="00B259A8" w:rsidRPr="0072192C" w:rsidRDefault="00B259A8" w:rsidP="00B259A8">
      <w:pPr>
        <w:pStyle w:val="BodyText"/>
      </w:pPr>
      <w:r w:rsidRPr="0072192C">
        <w:t>No improvements are planned for the next inventory submission.</w:t>
      </w:r>
    </w:p>
    <w:p w14:paraId="6DB03325" w14:textId="77777777" w:rsidR="00B259A8" w:rsidRPr="0072192C" w:rsidRDefault="00B259A8" w:rsidP="00B259A8">
      <w:pPr>
        <w:pStyle w:val="Heading2"/>
      </w:pPr>
      <w:bookmarkStart w:id="3250" w:name="_Toc226460809"/>
      <w:bookmarkStart w:id="3251" w:name="X11dc9da1e753904aac0bc64a792d85776ccb5c2"/>
      <w:bookmarkEnd w:id="3239"/>
      <w:bookmarkEnd w:id="3249"/>
      <w:r w:rsidRPr="0072192C">
        <w:t>8.9</w:t>
      </w:r>
      <w:r w:rsidRPr="0072192C">
        <w:tab/>
        <w:t>Emissions from the Agriculture sector in Tokelau (6. Tokelau_3)</w:t>
      </w:r>
      <w:bookmarkEnd w:id="3250"/>
    </w:p>
    <w:p w14:paraId="1BA710B3" w14:textId="77777777" w:rsidR="00B259A8" w:rsidRPr="0072192C" w:rsidRDefault="00B259A8" w:rsidP="00B259A8">
      <w:pPr>
        <w:pStyle w:val="BodyText"/>
      </w:pPr>
      <w:r w:rsidRPr="0072192C">
        <w:t>Seafood, rather than locally produced plants or animals, is the most important food source in Tokelau. The low fertility of the coral soil means few crops are supported. Food needs are not met by locally grown produce and are heavily supplemented by imports.</w:t>
      </w:r>
    </w:p>
    <w:p w14:paraId="7338590C" w14:textId="77777777" w:rsidR="00B259A8" w:rsidRPr="0072192C" w:rsidRDefault="00B259A8" w:rsidP="00B259A8">
      <w:pPr>
        <w:pStyle w:val="BodyText"/>
      </w:pPr>
      <w:r w:rsidRPr="0072192C">
        <w:t>Cultivated food crops are limited to breadfruit (</w:t>
      </w:r>
      <w:r w:rsidRPr="0072192C">
        <w:rPr>
          <w:i/>
          <w:iCs/>
        </w:rPr>
        <w:t>Artocarpus altilis</w:t>
      </w:r>
      <w:r w:rsidRPr="0072192C">
        <w:t>), giant swamp taro ‘pulaka’ (</w:t>
      </w:r>
      <w:r w:rsidRPr="0072192C">
        <w:rPr>
          <w:i/>
          <w:iCs/>
        </w:rPr>
        <w:t>Cyrtosperma chamissonis</w:t>
      </w:r>
      <w:r w:rsidRPr="0072192C">
        <w:t>), taro palagi (</w:t>
      </w:r>
      <w:r w:rsidRPr="0072192C">
        <w:rPr>
          <w:i/>
          <w:iCs/>
        </w:rPr>
        <w:t>Xanthosoma sagittifolium</w:t>
      </w:r>
      <w:r w:rsidRPr="0072192C">
        <w:t>), giant taro (</w:t>
      </w:r>
      <w:r w:rsidRPr="0072192C">
        <w:rPr>
          <w:i/>
          <w:iCs/>
        </w:rPr>
        <w:t>Alocasia macrorrhizos</w:t>
      </w:r>
      <w:r w:rsidRPr="0072192C">
        <w:t>), banana (</w:t>
      </w:r>
      <w:r w:rsidRPr="0072192C">
        <w:rPr>
          <w:i/>
          <w:iCs/>
        </w:rPr>
        <w:t>Musa</w:t>
      </w:r>
      <w:r w:rsidRPr="0072192C">
        <w:t xml:space="preserve"> sp. [2 varieties]), papaya (</w:t>
      </w:r>
      <w:r w:rsidRPr="0072192C">
        <w:rPr>
          <w:i/>
          <w:iCs/>
        </w:rPr>
        <w:t>Carica papaya</w:t>
      </w:r>
      <w:r w:rsidRPr="0072192C">
        <w:t>), pumpkin (</w:t>
      </w:r>
      <w:r w:rsidRPr="0072192C">
        <w:rPr>
          <w:i/>
          <w:iCs/>
        </w:rPr>
        <w:t>Cucurbita</w:t>
      </w:r>
      <w:r w:rsidRPr="0072192C">
        <w:t xml:space="preserve"> sp.) and coconut (</w:t>
      </w:r>
      <w:r w:rsidRPr="0072192C">
        <w:rPr>
          <w:i/>
          <w:iCs/>
        </w:rPr>
        <w:t>Cocos nucifera</w:t>
      </w:r>
      <w:r w:rsidRPr="0072192C">
        <w:t>).</w:t>
      </w:r>
    </w:p>
    <w:p w14:paraId="53BD2023" w14:textId="77777777" w:rsidR="00B259A8" w:rsidRPr="0072192C" w:rsidRDefault="00B259A8" w:rsidP="00B259A8">
      <w:pPr>
        <w:pStyle w:val="BodyText"/>
        <w:rPr>
          <w:spacing w:val="-2"/>
        </w:rPr>
      </w:pPr>
      <w:r w:rsidRPr="0072192C">
        <w:t xml:space="preserve">A small amount of subsistence agriculture occurs in Tokelau. Coconuts are used for human and livestock consumption. Fakaofo grows small amounts of swamp taro. The villages have breadfruit trees and some banana patches; the women’s committees run community gardens </w:t>
      </w:r>
      <w:r w:rsidRPr="0072192C">
        <w:rPr>
          <w:spacing w:val="-2"/>
        </w:rPr>
        <w:t>and grow pandanus ‘fala’ (</w:t>
      </w:r>
      <w:r w:rsidRPr="0072192C">
        <w:rPr>
          <w:i/>
          <w:iCs/>
          <w:spacing w:val="-2"/>
        </w:rPr>
        <w:t>Pandanus odoratissimus</w:t>
      </w:r>
      <w:r w:rsidRPr="0072192C">
        <w:rPr>
          <w:spacing w:val="-2"/>
        </w:rPr>
        <w:t>) for traditional crafts (e.g., mats, hats, fans).</w:t>
      </w:r>
    </w:p>
    <w:p w14:paraId="1986C572" w14:textId="77777777" w:rsidR="00B259A8" w:rsidRPr="0072192C" w:rsidRDefault="00B259A8" w:rsidP="00B259A8">
      <w:pPr>
        <w:pStyle w:val="BodyText"/>
      </w:pPr>
      <w:r w:rsidRPr="0072192C">
        <w:t>A previous United Nations Development Programme-sponsored project for the establishment of keyhole gardens</w:t>
      </w:r>
      <w:r w:rsidRPr="0072192C">
        <w:rPr>
          <w:rStyle w:val="FootnoteReference"/>
        </w:rPr>
        <w:footnoteReference w:id="61"/>
      </w:r>
      <w:r w:rsidRPr="0072192C">
        <w:t xml:space="preserve"> by Tokelau youth has been abandoned.</w:t>
      </w:r>
    </w:p>
    <w:p w14:paraId="62515B03" w14:textId="77777777" w:rsidR="00B259A8" w:rsidRPr="0072192C" w:rsidRDefault="00B259A8" w:rsidP="00B259A8">
      <w:pPr>
        <w:pStyle w:val="BodyText"/>
      </w:pPr>
      <w:r w:rsidRPr="0072192C">
        <w:t>No industrial-scale farming occurs in Tokelau. Tokelau atolls do not have any large agricultural and horticultural development that would fall under New Zealand’s definition of a farm. There are no cows, sheep or deer, with agricultural livestock represented by small numbers of pen</w:t>
      </w:r>
      <w:r w:rsidRPr="0072192C">
        <w:noBreakHyphen/>
        <w:t>kept pigs and free range chickens only.</w:t>
      </w:r>
    </w:p>
    <w:p w14:paraId="661D6F8F" w14:textId="77777777" w:rsidR="00B259A8" w:rsidRPr="0072192C" w:rsidRDefault="00B259A8" w:rsidP="00B259A8">
      <w:pPr>
        <w:pStyle w:val="BodyText"/>
      </w:pPr>
      <w:r w:rsidRPr="0072192C">
        <w:t>Tokelau also has no pasture and no managed agricultural soils, therefore, emissions from the </w:t>
      </w:r>
      <w:r w:rsidRPr="0072192C">
        <w:rPr>
          <w:i/>
          <w:iCs/>
        </w:rPr>
        <w:t>Direct N</w:t>
      </w:r>
      <w:r w:rsidRPr="0072192C">
        <w:rPr>
          <w:i/>
          <w:iCs/>
          <w:vertAlign w:val="subscript"/>
        </w:rPr>
        <w:t>2</w:t>
      </w:r>
      <w:r w:rsidRPr="0072192C">
        <w:rPr>
          <w:i/>
          <w:iCs/>
        </w:rPr>
        <w:t>O emissions from managed soils</w:t>
      </w:r>
      <w:r w:rsidRPr="0072192C">
        <w:t xml:space="preserve"> and </w:t>
      </w:r>
      <w:r w:rsidRPr="0072192C">
        <w:rPr>
          <w:i/>
          <w:iCs/>
        </w:rPr>
        <w:t>Indirect N</w:t>
      </w:r>
      <w:r w:rsidRPr="0072192C">
        <w:rPr>
          <w:i/>
          <w:iCs/>
          <w:vertAlign w:val="subscript"/>
        </w:rPr>
        <w:t>2</w:t>
      </w:r>
      <w:r w:rsidRPr="0072192C">
        <w:rPr>
          <w:i/>
          <w:iCs/>
        </w:rPr>
        <w:t>O emissions from managed soils</w:t>
      </w:r>
      <w:r w:rsidRPr="0072192C">
        <w:t xml:space="preserve"> categories are discounted and reported as ‘not occurring’ (NO). However, it may be possible to estimate emissions from agricultural soils in a future submission.</w:t>
      </w:r>
    </w:p>
    <w:p w14:paraId="124DA941" w14:textId="77777777" w:rsidR="00B259A8" w:rsidRPr="0072192C" w:rsidRDefault="00B259A8" w:rsidP="00B259A8">
      <w:pPr>
        <w:pStyle w:val="BodyText"/>
      </w:pPr>
      <w:r w:rsidRPr="0072192C">
        <w:t>Tokelau’s GHG inventory includes agricultural emissions associated with enteric fermentation and manure management from swine and poultry.</w:t>
      </w:r>
    </w:p>
    <w:p w14:paraId="4862D018" w14:textId="77777777" w:rsidR="00B259A8" w:rsidRPr="0072192C" w:rsidRDefault="00B259A8" w:rsidP="00B259A8">
      <w:pPr>
        <w:pStyle w:val="BodyText"/>
      </w:pPr>
      <w:r w:rsidRPr="0072192C">
        <w:t>In 2024, emissions from the Agriculture sector in Tokelau were 0.92 kt CO</w:t>
      </w:r>
      <w:r w:rsidRPr="0072192C">
        <w:rPr>
          <w:vertAlign w:val="subscript"/>
        </w:rPr>
        <w:t>2</w:t>
      </w:r>
      <w:r w:rsidRPr="0072192C">
        <w:t>e. The Agriculture sector was the second-largest source of emissions, contributing 21.9 percent of Tokelau’s gross emissions and 0.001 percent of New Zealand’s gross emissions. Figure 8.9.1 shows emission trends in the Agriculture sector by category for Tokelau.</w:t>
      </w:r>
    </w:p>
    <w:p w14:paraId="11D60C60" w14:textId="77777777" w:rsidR="00B259A8" w:rsidRPr="0072192C" w:rsidRDefault="00B259A8" w:rsidP="00B259A8">
      <w:pPr>
        <w:pStyle w:val="Figure"/>
      </w:pPr>
      <w:bookmarkStart w:id="3252" w:name="_Toc225424348"/>
      <w:bookmarkStart w:id="3253" w:name="_Toc226200717"/>
      <w:r w:rsidRPr="0072192C">
        <w:rPr>
          <w:bCs/>
        </w:rPr>
        <w:t>Figure 8.9.1</w:t>
      </w:r>
      <w:r w:rsidRPr="0072192C">
        <w:rPr>
          <w:bCs/>
        </w:rPr>
        <w:tab/>
        <w:t>Agriculture emissions by category for Tokelau, from 1990 to 2024</w:t>
      </w:r>
      <w:bookmarkEnd w:id="3252"/>
      <w:bookmarkEnd w:id="3253"/>
    </w:p>
    <w:p w14:paraId="5BA588AE" w14:textId="77777777" w:rsidR="00B259A8" w:rsidRPr="0072192C" w:rsidRDefault="00B259A8" w:rsidP="00B259A8">
      <w:pPr>
        <w:pStyle w:val="BodyText"/>
        <w:spacing w:after="80"/>
      </w:pPr>
      <w:r w:rsidRPr="0072192C">
        <w:rPr>
          <w:noProof/>
        </w:rPr>
        <w:drawing>
          <wp:inline distT="0" distB="0" distL="0" distR="0" wp14:anchorId="2AB61206" wp14:editId="25DE2ED2">
            <wp:extent cx="5396865" cy="2955472"/>
            <wp:effectExtent l="0" t="0" r="0" b="0"/>
            <wp:docPr id="124" name="Picture"/>
            <wp:cNvGraphicFramePr/>
            <a:graphic xmlns:a="http://schemas.openxmlformats.org/drawingml/2006/main">
              <a:graphicData uri="http://schemas.openxmlformats.org/drawingml/2006/picture">
                <pic:pic xmlns:pic="http://schemas.openxmlformats.org/drawingml/2006/picture">
                  <pic:nvPicPr>
                    <pic:cNvPr id="125" name="Picture" descr="images/fig_8_9_1.png"/>
                    <pic:cNvPicPr>
                      <a:picLocks noChangeAspect="1" noChangeArrowheads="1"/>
                    </pic:cNvPicPr>
                  </pic:nvPicPr>
                  <pic:blipFill rotWithShape="1">
                    <a:blip r:embed="rId265"/>
                    <a:srcRect t="3657" b="1801"/>
                    <a:stretch>
                      <a:fillRect/>
                    </a:stretch>
                  </pic:blipFill>
                  <pic:spPr bwMode="auto">
                    <a:xfrm>
                      <a:off x="0" y="0"/>
                      <a:ext cx="5397500" cy="2955820"/>
                    </a:xfrm>
                    <a:prstGeom prst="rect">
                      <a:avLst/>
                    </a:prstGeom>
                    <a:noFill/>
                    <a:ln>
                      <a:noFill/>
                    </a:ln>
                    <a:extLst>
                      <a:ext uri="{53640926-AAD7-44D8-BBD7-CCE9431645EC}">
                        <a14:shadowObscured xmlns:a14="http://schemas.microsoft.com/office/drawing/2010/main"/>
                      </a:ext>
                    </a:extLst>
                  </pic:spPr>
                </pic:pic>
              </a:graphicData>
            </a:graphic>
          </wp:inline>
        </w:drawing>
      </w:r>
    </w:p>
    <w:p w14:paraId="787951D3" w14:textId="77777777" w:rsidR="00B259A8" w:rsidRPr="0072192C" w:rsidRDefault="00B259A8" w:rsidP="00B259A8">
      <w:pPr>
        <w:pStyle w:val="Noteundertable"/>
      </w:pPr>
      <w:r w:rsidRPr="0072192C">
        <w:rPr>
          <w:b/>
          <w:bCs/>
        </w:rPr>
        <w:t>Note:</w:t>
      </w:r>
      <w:r w:rsidRPr="0072192C">
        <w:tab/>
        <w:t xml:space="preserve">The emissions contribution from 3.B.1.4 </w:t>
      </w:r>
      <w:r w:rsidRPr="0072192C">
        <w:rPr>
          <w:i/>
          <w:iCs/>
        </w:rPr>
        <w:t>Manure management – Poultry</w:t>
      </w:r>
      <w:r w:rsidRPr="0072192C">
        <w:t xml:space="preserve"> is too small to be shown in the figure.</w:t>
      </w:r>
    </w:p>
    <w:p w14:paraId="61450AF4" w14:textId="77777777" w:rsidR="00B259A8" w:rsidRPr="0072192C" w:rsidRDefault="00B259A8" w:rsidP="00B259A8">
      <w:pPr>
        <w:pStyle w:val="Heading2"/>
        <w:tabs>
          <w:tab w:val="clear" w:pos="851"/>
          <w:tab w:val="left" w:pos="964"/>
        </w:tabs>
      </w:pPr>
      <w:bookmarkStart w:id="3254" w:name="_Toc226460810"/>
      <w:bookmarkStart w:id="3255" w:name="X0215868fbab31567654195afb63fca574c20924"/>
      <w:bookmarkEnd w:id="3251"/>
      <w:r w:rsidRPr="0072192C">
        <w:t>8.10</w:t>
      </w:r>
      <w:r w:rsidRPr="0072192C">
        <w:tab/>
        <w:t>Emissions from Enteric fermentation in Tokelau</w:t>
      </w:r>
      <w:bookmarkEnd w:id="3254"/>
    </w:p>
    <w:p w14:paraId="30C223DC" w14:textId="77777777" w:rsidR="00B259A8" w:rsidRPr="0072192C" w:rsidRDefault="00B259A8" w:rsidP="00D71BB3">
      <w:pPr>
        <w:pStyle w:val="Heading3"/>
        <w:tabs>
          <w:tab w:val="clear" w:pos="851"/>
          <w:tab w:val="left" w:pos="964"/>
        </w:tabs>
        <w:spacing w:before="240"/>
      </w:pPr>
      <w:bookmarkStart w:id="3256" w:name="description-5"/>
      <w:r w:rsidRPr="0072192C">
        <w:t>8.10.1</w:t>
      </w:r>
      <w:r w:rsidRPr="0072192C">
        <w:tab/>
        <w:t>Description</w:t>
      </w:r>
    </w:p>
    <w:p w14:paraId="22E67402" w14:textId="77777777" w:rsidR="00B259A8" w:rsidRPr="0072192C" w:rsidRDefault="00B259A8" w:rsidP="00B259A8">
      <w:pPr>
        <w:pStyle w:val="BodyText"/>
      </w:pPr>
      <w:r w:rsidRPr="0072192C">
        <w:t>The only domestic farm animals kept are pigs (in community pens) and chickens (free range) (table 8.10.1). There is potential to manage emissions by generating energy and reducing effluent from the piggery operations.</w:t>
      </w:r>
    </w:p>
    <w:p w14:paraId="7DFD3655" w14:textId="77777777" w:rsidR="00B259A8" w:rsidRPr="0072192C" w:rsidRDefault="00B259A8" w:rsidP="00B259A8">
      <w:pPr>
        <w:pStyle w:val="Table"/>
      </w:pPr>
      <w:bookmarkStart w:id="3257" w:name="_Toc225424349"/>
      <w:bookmarkStart w:id="3258" w:name="_Toc226669147"/>
      <w:r w:rsidRPr="0072192C">
        <w:t>Table 8.10.1</w:t>
      </w:r>
      <w:r w:rsidRPr="0072192C">
        <w:tab/>
        <w:t>Number of livestock in Tokelau (2016)</w:t>
      </w:r>
      <w:bookmarkEnd w:id="3257"/>
      <w:bookmarkEnd w:id="325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340"/>
        <w:gridCol w:w="2610"/>
        <w:gridCol w:w="1713"/>
        <w:gridCol w:w="1831"/>
      </w:tblGrid>
      <w:tr w:rsidR="00B259A8" w:rsidRPr="0072192C" w14:paraId="1596528C" w14:textId="77777777" w:rsidTr="00F16E23">
        <w:trPr>
          <w:tblHeader/>
        </w:trPr>
        <w:tc>
          <w:tcPr>
            <w:tcW w:w="0" w:type="auto"/>
            <w:shd w:val="clear" w:color="auto" w:fill="1B556B"/>
            <w:tcMar>
              <w:top w:w="0" w:type="dxa"/>
              <w:left w:w="85" w:type="dxa"/>
              <w:bottom w:w="0" w:type="dxa"/>
              <w:right w:w="85" w:type="dxa"/>
            </w:tcMar>
            <w:vAlign w:val="center"/>
          </w:tcPr>
          <w:p w14:paraId="761A5143"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Atoll</w:t>
            </w:r>
          </w:p>
        </w:tc>
        <w:tc>
          <w:tcPr>
            <w:tcW w:w="0" w:type="auto"/>
            <w:shd w:val="clear" w:color="auto" w:fill="1B556B"/>
            <w:tcMar>
              <w:top w:w="0" w:type="dxa"/>
              <w:left w:w="85" w:type="dxa"/>
              <w:bottom w:w="0" w:type="dxa"/>
              <w:right w:w="85" w:type="dxa"/>
            </w:tcMar>
            <w:vAlign w:val="center"/>
          </w:tcPr>
          <w:p w14:paraId="6AAC773D"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Households</w:t>
            </w:r>
          </w:p>
        </w:tc>
        <w:tc>
          <w:tcPr>
            <w:tcW w:w="1713" w:type="dxa"/>
            <w:shd w:val="clear" w:color="auto" w:fill="1B556B"/>
            <w:tcMar>
              <w:top w:w="0" w:type="dxa"/>
              <w:left w:w="85" w:type="dxa"/>
              <w:bottom w:w="0" w:type="dxa"/>
              <w:right w:w="85" w:type="dxa"/>
            </w:tcMar>
            <w:vAlign w:val="center"/>
          </w:tcPr>
          <w:p w14:paraId="756761C2"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Pigs</w:t>
            </w:r>
          </w:p>
        </w:tc>
        <w:tc>
          <w:tcPr>
            <w:tcW w:w="1831" w:type="dxa"/>
            <w:shd w:val="clear" w:color="auto" w:fill="1B556B"/>
            <w:tcMar>
              <w:top w:w="0" w:type="dxa"/>
              <w:left w:w="85" w:type="dxa"/>
              <w:bottom w:w="0" w:type="dxa"/>
              <w:right w:w="85" w:type="dxa"/>
            </w:tcMar>
            <w:vAlign w:val="center"/>
          </w:tcPr>
          <w:p w14:paraId="1A1E4052"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Chickens</w:t>
            </w:r>
          </w:p>
        </w:tc>
      </w:tr>
      <w:tr w:rsidR="00B259A8" w:rsidRPr="0072192C" w14:paraId="681AD676" w14:textId="77777777" w:rsidTr="00F16E23">
        <w:tc>
          <w:tcPr>
            <w:tcW w:w="0" w:type="auto"/>
            <w:shd w:val="clear" w:color="auto" w:fill="FFFFFF"/>
            <w:tcMar>
              <w:top w:w="0" w:type="dxa"/>
              <w:left w:w="85" w:type="dxa"/>
              <w:bottom w:w="0" w:type="dxa"/>
              <w:right w:w="85" w:type="dxa"/>
            </w:tcMar>
            <w:vAlign w:val="center"/>
          </w:tcPr>
          <w:p w14:paraId="42E986A6" w14:textId="77777777" w:rsidR="00B259A8" w:rsidRPr="0072192C" w:rsidRDefault="00B259A8" w:rsidP="00F16E23">
            <w:pPr>
              <w:pStyle w:val="TableText"/>
              <w:spacing w:before="40" w:after="40"/>
            </w:pPr>
            <w:r w:rsidRPr="0072192C">
              <w:rPr>
                <w:rFonts w:eastAsia="Calibri"/>
              </w:rPr>
              <w:t>Atafu</w:t>
            </w:r>
          </w:p>
        </w:tc>
        <w:tc>
          <w:tcPr>
            <w:tcW w:w="0" w:type="auto"/>
            <w:shd w:val="clear" w:color="auto" w:fill="FFFFFF"/>
            <w:tcMar>
              <w:top w:w="0" w:type="dxa"/>
              <w:left w:w="85" w:type="dxa"/>
              <w:bottom w:w="0" w:type="dxa"/>
              <w:right w:w="85" w:type="dxa"/>
            </w:tcMar>
            <w:vAlign w:val="center"/>
          </w:tcPr>
          <w:p w14:paraId="13DF5437" w14:textId="77777777" w:rsidR="00B259A8" w:rsidRPr="0072192C" w:rsidRDefault="00B259A8" w:rsidP="00F16E23">
            <w:pPr>
              <w:pStyle w:val="TableText"/>
              <w:spacing w:before="40" w:after="40"/>
              <w:jc w:val="right"/>
            </w:pPr>
            <w:r w:rsidRPr="0072192C">
              <w:rPr>
                <w:rFonts w:eastAsia="Calibri"/>
              </w:rPr>
              <w:t>88</w:t>
            </w:r>
          </w:p>
        </w:tc>
        <w:tc>
          <w:tcPr>
            <w:tcW w:w="1713" w:type="dxa"/>
            <w:shd w:val="clear" w:color="auto" w:fill="FFFFFF"/>
            <w:tcMar>
              <w:top w:w="0" w:type="dxa"/>
              <w:left w:w="85" w:type="dxa"/>
              <w:bottom w:w="0" w:type="dxa"/>
              <w:right w:w="85" w:type="dxa"/>
            </w:tcMar>
            <w:vAlign w:val="center"/>
          </w:tcPr>
          <w:p w14:paraId="79AE8783" w14:textId="77777777" w:rsidR="00B259A8" w:rsidRPr="0072192C" w:rsidRDefault="00B259A8" w:rsidP="00F16E23">
            <w:pPr>
              <w:pStyle w:val="TableText"/>
              <w:spacing w:before="40" w:after="40"/>
              <w:jc w:val="right"/>
            </w:pPr>
            <w:r w:rsidRPr="0072192C">
              <w:rPr>
                <w:rFonts w:eastAsia="Calibri"/>
              </w:rPr>
              <w:t>742</w:t>
            </w:r>
          </w:p>
        </w:tc>
        <w:tc>
          <w:tcPr>
            <w:tcW w:w="1831" w:type="dxa"/>
            <w:shd w:val="clear" w:color="auto" w:fill="FFFFFF"/>
            <w:tcMar>
              <w:top w:w="0" w:type="dxa"/>
              <w:left w:w="85" w:type="dxa"/>
              <w:bottom w:w="0" w:type="dxa"/>
              <w:right w:w="85" w:type="dxa"/>
            </w:tcMar>
            <w:vAlign w:val="center"/>
          </w:tcPr>
          <w:p w14:paraId="37919C02" w14:textId="77777777" w:rsidR="00B259A8" w:rsidRPr="0072192C" w:rsidRDefault="00B259A8" w:rsidP="00F16E23">
            <w:pPr>
              <w:pStyle w:val="TableText"/>
              <w:spacing w:before="40" w:after="40"/>
              <w:jc w:val="right"/>
            </w:pPr>
            <w:r w:rsidRPr="0072192C">
              <w:rPr>
                <w:rFonts w:eastAsia="Calibri"/>
              </w:rPr>
              <w:t>270</w:t>
            </w:r>
          </w:p>
        </w:tc>
      </w:tr>
      <w:tr w:rsidR="00B259A8" w:rsidRPr="0072192C" w14:paraId="1526F861" w14:textId="77777777" w:rsidTr="00F16E23">
        <w:tc>
          <w:tcPr>
            <w:tcW w:w="0" w:type="auto"/>
            <w:shd w:val="clear" w:color="auto" w:fill="FFFFFF"/>
            <w:tcMar>
              <w:top w:w="0" w:type="dxa"/>
              <w:left w:w="85" w:type="dxa"/>
              <w:bottom w:w="0" w:type="dxa"/>
              <w:right w:w="85" w:type="dxa"/>
            </w:tcMar>
            <w:vAlign w:val="center"/>
          </w:tcPr>
          <w:p w14:paraId="68A24F9F" w14:textId="77777777" w:rsidR="00B259A8" w:rsidRPr="0072192C" w:rsidRDefault="00B259A8" w:rsidP="00F16E23">
            <w:pPr>
              <w:pStyle w:val="TableText"/>
              <w:spacing w:before="40" w:after="40"/>
            </w:pPr>
            <w:r w:rsidRPr="0072192C">
              <w:rPr>
                <w:rFonts w:eastAsia="Calibri"/>
              </w:rPr>
              <w:t>Fakaofo</w:t>
            </w:r>
          </w:p>
        </w:tc>
        <w:tc>
          <w:tcPr>
            <w:tcW w:w="0" w:type="auto"/>
            <w:shd w:val="clear" w:color="auto" w:fill="FFFFFF"/>
            <w:tcMar>
              <w:top w:w="0" w:type="dxa"/>
              <w:left w:w="85" w:type="dxa"/>
              <w:bottom w:w="0" w:type="dxa"/>
              <w:right w:w="85" w:type="dxa"/>
            </w:tcMar>
            <w:vAlign w:val="center"/>
          </w:tcPr>
          <w:p w14:paraId="35D57009" w14:textId="77777777" w:rsidR="00B259A8" w:rsidRPr="0072192C" w:rsidRDefault="00B259A8" w:rsidP="00F16E23">
            <w:pPr>
              <w:pStyle w:val="TableText"/>
              <w:spacing w:before="40" w:after="40"/>
              <w:jc w:val="right"/>
            </w:pPr>
            <w:r w:rsidRPr="0072192C">
              <w:rPr>
                <w:rFonts w:eastAsia="Calibri"/>
              </w:rPr>
              <w:t>85</w:t>
            </w:r>
          </w:p>
        </w:tc>
        <w:tc>
          <w:tcPr>
            <w:tcW w:w="1713" w:type="dxa"/>
            <w:shd w:val="clear" w:color="auto" w:fill="FFFFFF"/>
            <w:tcMar>
              <w:top w:w="0" w:type="dxa"/>
              <w:left w:w="85" w:type="dxa"/>
              <w:bottom w:w="0" w:type="dxa"/>
              <w:right w:w="85" w:type="dxa"/>
            </w:tcMar>
            <w:vAlign w:val="center"/>
          </w:tcPr>
          <w:p w14:paraId="5837EAFA" w14:textId="77777777" w:rsidR="00B259A8" w:rsidRPr="0072192C" w:rsidRDefault="00B259A8" w:rsidP="00F16E23">
            <w:pPr>
              <w:pStyle w:val="TableText"/>
              <w:spacing w:before="40" w:after="40"/>
              <w:jc w:val="right"/>
            </w:pPr>
            <w:r w:rsidRPr="0072192C">
              <w:rPr>
                <w:rFonts w:eastAsia="Calibri"/>
              </w:rPr>
              <w:t>419</w:t>
            </w:r>
          </w:p>
        </w:tc>
        <w:tc>
          <w:tcPr>
            <w:tcW w:w="1831" w:type="dxa"/>
            <w:shd w:val="clear" w:color="auto" w:fill="FFFFFF"/>
            <w:tcMar>
              <w:top w:w="0" w:type="dxa"/>
              <w:left w:w="85" w:type="dxa"/>
              <w:bottom w:w="0" w:type="dxa"/>
              <w:right w:w="85" w:type="dxa"/>
            </w:tcMar>
            <w:vAlign w:val="center"/>
          </w:tcPr>
          <w:p w14:paraId="743E4D43" w14:textId="77777777" w:rsidR="00B259A8" w:rsidRPr="0072192C" w:rsidRDefault="00B259A8" w:rsidP="00F16E23">
            <w:pPr>
              <w:pStyle w:val="TableText"/>
              <w:spacing w:before="40" w:after="40"/>
              <w:jc w:val="right"/>
            </w:pPr>
            <w:r w:rsidRPr="0072192C">
              <w:rPr>
                <w:rFonts w:eastAsia="Calibri"/>
              </w:rPr>
              <w:t>50</w:t>
            </w:r>
          </w:p>
        </w:tc>
      </w:tr>
      <w:tr w:rsidR="00B259A8" w:rsidRPr="0072192C" w14:paraId="364DEE3D" w14:textId="77777777" w:rsidTr="00F16E23">
        <w:tc>
          <w:tcPr>
            <w:tcW w:w="0" w:type="auto"/>
            <w:shd w:val="clear" w:color="auto" w:fill="FFFFFF"/>
            <w:tcMar>
              <w:top w:w="0" w:type="dxa"/>
              <w:left w:w="85" w:type="dxa"/>
              <w:bottom w:w="0" w:type="dxa"/>
              <w:right w:w="85" w:type="dxa"/>
            </w:tcMar>
            <w:vAlign w:val="center"/>
          </w:tcPr>
          <w:p w14:paraId="13137097" w14:textId="77777777" w:rsidR="00B259A8" w:rsidRPr="0072192C" w:rsidRDefault="00B259A8" w:rsidP="00F16E23">
            <w:pPr>
              <w:pStyle w:val="TableText"/>
              <w:spacing w:before="40" w:after="40"/>
            </w:pPr>
            <w:r w:rsidRPr="0072192C">
              <w:rPr>
                <w:rFonts w:eastAsia="Calibri"/>
              </w:rPr>
              <w:t>Nukunonu</w:t>
            </w:r>
          </w:p>
        </w:tc>
        <w:tc>
          <w:tcPr>
            <w:tcW w:w="0" w:type="auto"/>
            <w:shd w:val="clear" w:color="auto" w:fill="FFFFFF"/>
            <w:tcMar>
              <w:top w:w="0" w:type="dxa"/>
              <w:left w:w="85" w:type="dxa"/>
              <w:bottom w:w="0" w:type="dxa"/>
              <w:right w:w="85" w:type="dxa"/>
            </w:tcMar>
            <w:vAlign w:val="center"/>
          </w:tcPr>
          <w:p w14:paraId="6BD3120A" w14:textId="77777777" w:rsidR="00B259A8" w:rsidRPr="0072192C" w:rsidRDefault="00B259A8" w:rsidP="00F16E23">
            <w:pPr>
              <w:pStyle w:val="TableText"/>
              <w:spacing w:before="40" w:after="40"/>
              <w:jc w:val="right"/>
            </w:pPr>
            <w:r w:rsidRPr="0072192C">
              <w:rPr>
                <w:rFonts w:eastAsia="Calibri"/>
              </w:rPr>
              <w:t>83</w:t>
            </w:r>
          </w:p>
        </w:tc>
        <w:tc>
          <w:tcPr>
            <w:tcW w:w="1713" w:type="dxa"/>
            <w:shd w:val="clear" w:color="auto" w:fill="FFFFFF"/>
            <w:tcMar>
              <w:top w:w="0" w:type="dxa"/>
              <w:left w:w="85" w:type="dxa"/>
              <w:bottom w:w="0" w:type="dxa"/>
              <w:right w:w="85" w:type="dxa"/>
            </w:tcMar>
            <w:vAlign w:val="center"/>
          </w:tcPr>
          <w:p w14:paraId="1B680AE3" w14:textId="77777777" w:rsidR="00B259A8" w:rsidRPr="0072192C" w:rsidRDefault="00B259A8" w:rsidP="00F16E23">
            <w:pPr>
              <w:pStyle w:val="TableText"/>
              <w:spacing w:before="40" w:after="40"/>
              <w:jc w:val="right"/>
            </w:pPr>
            <w:r w:rsidRPr="0072192C">
              <w:rPr>
                <w:rFonts w:eastAsia="Calibri"/>
              </w:rPr>
              <w:t>536</w:t>
            </w:r>
          </w:p>
        </w:tc>
        <w:tc>
          <w:tcPr>
            <w:tcW w:w="1831" w:type="dxa"/>
            <w:shd w:val="clear" w:color="auto" w:fill="FFFFFF"/>
            <w:tcMar>
              <w:top w:w="0" w:type="dxa"/>
              <w:left w:w="85" w:type="dxa"/>
              <w:bottom w:w="0" w:type="dxa"/>
              <w:right w:w="85" w:type="dxa"/>
            </w:tcMar>
            <w:vAlign w:val="center"/>
          </w:tcPr>
          <w:p w14:paraId="017666AF" w14:textId="77777777" w:rsidR="00B259A8" w:rsidRPr="0072192C" w:rsidRDefault="00B259A8" w:rsidP="00F16E23">
            <w:pPr>
              <w:pStyle w:val="TableText"/>
              <w:spacing w:before="40" w:after="40"/>
              <w:jc w:val="right"/>
            </w:pPr>
            <w:r w:rsidRPr="0072192C">
              <w:rPr>
                <w:rFonts w:eastAsia="Calibri"/>
              </w:rPr>
              <w:t>305</w:t>
            </w:r>
          </w:p>
        </w:tc>
      </w:tr>
      <w:tr w:rsidR="00B259A8" w:rsidRPr="0072192C" w14:paraId="7413E9CD" w14:textId="77777777" w:rsidTr="00F16E23">
        <w:tc>
          <w:tcPr>
            <w:tcW w:w="0" w:type="auto"/>
            <w:shd w:val="clear" w:color="auto" w:fill="FFFFFF"/>
            <w:tcMar>
              <w:top w:w="0" w:type="dxa"/>
              <w:left w:w="85" w:type="dxa"/>
              <w:bottom w:w="0" w:type="dxa"/>
              <w:right w:w="85" w:type="dxa"/>
            </w:tcMar>
            <w:vAlign w:val="center"/>
          </w:tcPr>
          <w:p w14:paraId="66B96982" w14:textId="77777777" w:rsidR="00B259A8" w:rsidRPr="0072192C" w:rsidRDefault="00B259A8" w:rsidP="00F16E23">
            <w:pPr>
              <w:pStyle w:val="TableText"/>
              <w:spacing w:before="40" w:after="40"/>
            </w:pPr>
            <w:r w:rsidRPr="0072192C">
              <w:rPr>
                <w:rFonts w:eastAsia="Calibri"/>
              </w:rPr>
              <w:t>Tokelau</w:t>
            </w:r>
          </w:p>
        </w:tc>
        <w:tc>
          <w:tcPr>
            <w:tcW w:w="0" w:type="auto"/>
            <w:shd w:val="clear" w:color="auto" w:fill="FFFFFF"/>
            <w:tcMar>
              <w:top w:w="0" w:type="dxa"/>
              <w:left w:w="85" w:type="dxa"/>
              <w:bottom w:w="0" w:type="dxa"/>
              <w:right w:w="85" w:type="dxa"/>
            </w:tcMar>
            <w:vAlign w:val="center"/>
          </w:tcPr>
          <w:p w14:paraId="7211933D" w14:textId="77777777" w:rsidR="00B259A8" w:rsidRPr="0072192C" w:rsidRDefault="00B259A8" w:rsidP="00F16E23">
            <w:pPr>
              <w:pStyle w:val="TableText"/>
              <w:spacing w:before="40" w:after="40"/>
              <w:jc w:val="right"/>
            </w:pPr>
            <w:r w:rsidRPr="0072192C">
              <w:rPr>
                <w:rFonts w:eastAsia="Calibri"/>
              </w:rPr>
              <w:t>256</w:t>
            </w:r>
          </w:p>
        </w:tc>
        <w:tc>
          <w:tcPr>
            <w:tcW w:w="1713" w:type="dxa"/>
            <w:shd w:val="clear" w:color="auto" w:fill="FFFFFF"/>
            <w:tcMar>
              <w:top w:w="0" w:type="dxa"/>
              <w:left w:w="85" w:type="dxa"/>
              <w:bottom w:w="0" w:type="dxa"/>
              <w:right w:w="85" w:type="dxa"/>
            </w:tcMar>
            <w:vAlign w:val="center"/>
          </w:tcPr>
          <w:p w14:paraId="274A8465" w14:textId="77777777" w:rsidR="00B259A8" w:rsidRPr="0072192C" w:rsidRDefault="00B259A8" w:rsidP="00F16E23">
            <w:pPr>
              <w:pStyle w:val="TableText"/>
              <w:spacing w:before="40" w:after="40"/>
              <w:jc w:val="right"/>
            </w:pPr>
            <w:r w:rsidRPr="0072192C">
              <w:rPr>
                <w:rFonts w:eastAsia="Calibri"/>
              </w:rPr>
              <w:t>1,697</w:t>
            </w:r>
          </w:p>
        </w:tc>
        <w:tc>
          <w:tcPr>
            <w:tcW w:w="1831" w:type="dxa"/>
            <w:shd w:val="clear" w:color="auto" w:fill="FFFFFF"/>
            <w:tcMar>
              <w:top w:w="0" w:type="dxa"/>
              <w:left w:w="85" w:type="dxa"/>
              <w:bottom w:w="0" w:type="dxa"/>
              <w:right w:w="85" w:type="dxa"/>
            </w:tcMar>
            <w:vAlign w:val="center"/>
          </w:tcPr>
          <w:p w14:paraId="70C5ECA2" w14:textId="77777777" w:rsidR="00B259A8" w:rsidRPr="0072192C" w:rsidRDefault="00B259A8" w:rsidP="00F16E23">
            <w:pPr>
              <w:pStyle w:val="TableText"/>
              <w:spacing w:before="40" w:after="40"/>
              <w:jc w:val="right"/>
            </w:pPr>
            <w:r w:rsidRPr="0072192C">
              <w:rPr>
                <w:rFonts w:eastAsia="Calibri"/>
              </w:rPr>
              <w:t>625</w:t>
            </w:r>
          </w:p>
        </w:tc>
      </w:tr>
    </w:tbl>
    <w:p w14:paraId="3AFD4D7E" w14:textId="77777777" w:rsidR="00B259A8" w:rsidRPr="0072192C" w:rsidRDefault="00B259A8" w:rsidP="00B259A8">
      <w:pPr>
        <w:pStyle w:val="BodyText"/>
        <w:spacing w:before="240"/>
      </w:pPr>
      <w:r w:rsidRPr="0072192C">
        <w:t xml:space="preserve">The 2006 IPCC Guidelines (IPCC, 2006a) do not provide a default emission factor for enteric fermentation for poultry, so this category is reported as ‘not estimated’ (NE). Therefore, only swine (pigs) are included under the </w:t>
      </w:r>
      <w:r w:rsidRPr="0072192C">
        <w:rPr>
          <w:i/>
          <w:iCs/>
        </w:rPr>
        <w:t>Enteric fermentation</w:t>
      </w:r>
      <w:r w:rsidRPr="0072192C">
        <w:t xml:space="preserve"> (3.A.3) category.</w:t>
      </w:r>
    </w:p>
    <w:p w14:paraId="2292A388" w14:textId="77777777" w:rsidR="00B259A8" w:rsidRPr="0072192C" w:rsidRDefault="00B259A8" w:rsidP="00B259A8">
      <w:pPr>
        <w:pStyle w:val="BodyText"/>
      </w:pPr>
      <w:r w:rsidRPr="0072192C">
        <w:t xml:space="preserve">The </w:t>
      </w:r>
      <w:r w:rsidRPr="0072192C">
        <w:rPr>
          <w:i/>
          <w:iCs/>
        </w:rPr>
        <w:t>Enteric fermentation – Swine</w:t>
      </w:r>
      <w:r w:rsidRPr="0072192C">
        <w:t xml:space="preserve"> category contributed 7.5 percent to the total Agriculture emissions in Tokelau in 2024, and amounted to 0.07 kt CO</w:t>
      </w:r>
      <w:r w:rsidRPr="0072192C">
        <w:rPr>
          <w:vertAlign w:val="subscript"/>
        </w:rPr>
        <w:t>2</w:t>
      </w:r>
      <w:r w:rsidRPr="0072192C">
        <w:t>e.</w:t>
      </w:r>
    </w:p>
    <w:p w14:paraId="6E985A31" w14:textId="77777777" w:rsidR="00B259A8" w:rsidRPr="0072192C" w:rsidRDefault="00B259A8" w:rsidP="00B259A8">
      <w:pPr>
        <w:pStyle w:val="Heading3"/>
        <w:tabs>
          <w:tab w:val="clear" w:pos="851"/>
          <w:tab w:val="left" w:pos="964"/>
        </w:tabs>
      </w:pPr>
      <w:bookmarkStart w:id="3259" w:name="methodological-issues-6"/>
      <w:bookmarkEnd w:id="3256"/>
      <w:r w:rsidRPr="0072192C">
        <w:t>8.10.2</w:t>
      </w:r>
      <w:r w:rsidRPr="0072192C">
        <w:tab/>
        <w:t>Methodological issues</w:t>
      </w:r>
    </w:p>
    <w:p w14:paraId="65C8F612" w14:textId="77777777" w:rsidR="00B259A8" w:rsidRPr="0072192C" w:rsidRDefault="00B259A8" w:rsidP="00B259A8">
      <w:pPr>
        <w:pStyle w:val="Heading4"/>
      </w:pPr>
      <w:bookmarkStart w:id="3260" w:name="activity-data-6"/>
      <w:r w:rsidRPr="0072192C">
        <w:t>Activity data</w:t>
      </w:r>
    </w:p>
    <w:p w14:paraId="6994FC82" w14:textId="77777777" w:rsidR="00B259A8" w:rsidRPr="0072192C" w:rsidRDefault="00B259A8" w:rsidP="00B259A8">
      <w:pPr>
        <w:pStyle w:val="BodyText"/>
      </w:pPr>
      <w:r w:rsidRPr="0072192C">
        <w:t>Animal population figures were obtained from the 2016 Tokelau Census data (see table 8.1.1). The animal population between the census years is calculated by equal increments between the data collection points, to obtain the average animal population per year.</w:t>
      </w:r>
    </w:p>
    <w:p w14:paraId="13A7FD9E" w14:textId="77777777" w:rsidR="00B259A8" w:rsidRPr="0072192C" w:rsidRDefault="00B259A8" w:rsidP="00B259A8">
      <w:pPr>
        <w:pStyle w:val="BodyText"/>
      </w:pPr>
      <w:r w:rsidRPr="0072192C">
        <w:t>An average pig weight of 80 kilograms is used.</w:t>
      </w:r>
    </w:p>
    <w:p w14:paraId="2EB94993" w14:textId="77777777" w:rsidR="00B259A8" w:rsidRPr="0072192C" w:rsidRDefault="00B259A8" w:rsidP="00B259A8">
      <w:pPr>
        <w:pStyle w:val="Heading4"/>
      </w:pPr>
      <w:bookmarkStart w:id="3261" w:name="methods-and-emission-factors-4"/>
      <w:bookmarkEnd w:id="3260"/>
      <w:r w:rsidRPr="0072192C">
        <w:t>Methods and emission factors</w:t>
      </w:r>
    </w:p>
    <w:p w14:paraId="15486891" w14:textId="77777777" w:rsidR="00B259A8" w:rsidRPr="0072192C" w:rsidRDefault="00B259A8" w:rsidP="00B259A8">
      <w:pPr>
        <w:pStyle w:val="BodyText"/>
      </w:pPr>
      <w:r w:rsidRPr="0072192C">
        <w:t>Tier 1 methodology with a default emission factor of 1.5 kilograms (kg) CH</w:t>
      </w:r>
      <w:r w:rsidRPr="0072192C">
        <w:rPr>
          <w:vertAlign w:val="subscript"/>
        </w:rPr>
        <w:t>4</w:t>
      </w:r>
      <w:r w:rsidRPr="0072192C">
        <w:t>/head/year from table 10.10 in volume 4, chapter 10 of the 2006 IPCC Guidelines was used for calculating emissions from this category (IPCC, 2006c). Tokelau’s allocation is wholly assigned to the warm climate zone.</w:t>
      </w:r>
    </w:p>
    <w:p w14:paraId="15E04630" w14:textId="77777777" w:rsidR="00B259A8" w:rsidRPr="0072192C" w:rsidRDefault="00B259A8" w:rsidP="00B259A8">
      <w:pPr>
        <w:pStyle w:val="BodyText"/>
      </w:pPr>
      <w:r w:rsidRPr="0072192C">
        <w:t xml:space="preserve">The following equation was used for calculating emissions from swine. </w:t>
      </w:r>
    </w:p>
    <w:p w14:paraId="57F16C2A" w14:textId="77777777" w:rsidR="00B259A8" w:rsidRPr="0072192C" w:rsidRDefault="00B259A8" w:rsidP="00B259A8">
      <w:pPr>
        <w:pStyle w:val="BodyText"/>
        <w:ind w:left="142"/>
        <w:rPr>
          <w:rFonts w:ascii="Cambria Math" w:hAnsi="Cambria Math"/>
          <w:i/>
          <w:iCs/>
          <w:sz w:val="24"/>
          <w:szCs w:val="24"/>
        </w:rPr>
      </w:pPr>
      <m:oMathPara>
        <m:oMathParaPr>
          <m:jc m:val="left"/>
        </m:oMathParaPr>
        <m:oMath>
          <m:r>
            <m:rPr>
              <m:nor/>
            </m:rPr>
            <w:rPr>
              <w:rFonts w:ascii="Cambria Math" w:hAnsi="Cambria Math"/>
              <w:i/>
              <w:iCs/>
              <w:sz w:val="24"/>
              <w:szCs w:val="24"/>
            </w:rPr>
            <m:t>Emissions (kt CH 4 )</m:t>
          </m:r>
          <m:r>
            <w:rPr>
              <w:rFonts w:ascii="Cambria Math" w:hAnsi="Cambria Math"/>
              <w:sz w:val="24"/>
              <w:szCs w:val="24"/>
            </w:rPr>
            <m:t> =</m:t>
          </m:r>
          <m:r>
            <m:rPr>
              <m:nor/>
            </m:rPr>
            <w:rPr>
              <w:rFonts w:ascii="Cambria Math" w:hAnsi="Cambria Math"/>
              <w:i/>
              <w:iCs/>
              <w:sz w:val="24"/>
              <w:szCs w:val="24"/>
            </w:rPr>
            <m:t>AAP (Swine)</m:t>
          </m:r>
          <m:r>
            <w:rPr>
              <w:rFonts w:ascii="Cambria Math" w:hAnsi="Cambria Math"/>
              <w:sz w:val="24"/>
              <w:szCs w:val="24"/>
            </w:rPr>
            <m:t> </m:t>
          </m:r>
          <m:r>
            <m:rPr>
              <m:nor/>
            </m:rPr>
            <w:rPr>
              <w:rFonts w:ascii="Cambria Math" w:hAnsi="Cambria Math"/>
              <w:i/>
              <w:iCs/>
              <w:sz w:val="24"/>
              <w:szCs w:val="24"/>
            </w:rPr>
            <m:t>1.5 [kg CH 4 head-1 year-1]</m:t>
          </m:r>
          <m:r>
            <w:rPr>
              <w:rFonts w:ascii="Cambria Math" w:hAnsi="Cambria Math"/>
              <w:sz w:val="24"/>
              <w:szCs w:val="24"/>
            </w:rPr>
            <m:t> </m:t>
          </m:r>
          <m:r>
            <m:rPr>
              <m:nor/>
            </m:rPr>
            <w:rPr>
              <w:rFonts w:ascii="Cambria Math" w:hAnsi="Cambria Math"/>
              <w:i/>
              <w:iCs/>
              <w:sz w:val="24"/>
              <w:szCs w:val="24"/>
            </w:rPr>
            <m:t>/10^6[kg/kt]</m:t>
          </m:r>
        </m:oMath>
      </m:oMathPara>
    </w:p>
    <w:p w14:paraId="63CF6118" w14:textId="77777777" w:rsidR="00B259A8" w:rsidRPr="0072192C" w:rsidRDefault="00B259A8" w:rsidP="00B259A8">
      <w:pPr>
        <w:pStyle w:val="Noteundertable"/>
        <w:spacing w:before="60"/>
      </w:pPr>
      <w:r w:rsidRPr="0072192C">
        <w:rPr>
          <w:b/>
          <w:bCs/>
        </w:rPr>
        <w:t>Note:</w:t>
      </w:r>
      <w:r w:rsidRPr="0072192C">
        <w:t xml:space="preserve"> AAP = average animal population.</w:t>
      </w:r>
    </w:p>
    <w:p w14:paraId="25CCCDC1" w14:textId="77777777" w:rsidR="00B259A8" w:rsidRPr="0072192C" w:rsidRDefault="00B259A8" w:rsidP="00B259A8">
      <w:pPr>
        <w:pStyle w:val="Heading3"/>
        <w:tabs>
          <w:tab w:val="clear" w:pos="851"/>
          <w:tab w:val="left" w:pos="964"/>
        </w:tabs>
      </w:pPr>
      <w:bookmarkStart w:id="3262" w:name="X8dc34323e1d4858e7475bb42fd4d8e8390e3395"/>
      <w:bookmarkEnd w:id="3259"/>
      <w:bookmarkEnd w:id="3261"/>
      <w:r w:rsidRPr="0072192C">
        <w:t>8.10.3</w:t>
      </w:r>
      <w:r w:rsidRPr="0072192C">
        <w:tab/>
        <w:t>Uncertainty assessment and time-series consistency</w:t>
      </w:r>
    </w:p>
    <w:p w14:paraId="3CFE3E81" w14:textId="77777777" w:rsidR="00B259A8" w:rsidRPr="0072192C" w:rsidRDefault="00B259A8" w:rsidP="00B259A8">
      <w:pPr>
        <w:pStyle w:val="BodyText"/>
      </w:pPr>
      <w:r w:rsidRPr="0072192C">
        <w:t>Section 10.2.3 (volume 4, chapter 10) of the 2006 IPCC Guidelines states that the uncertainty associated with animal populations will vary widely, depending on the source, but should be within ±20 percent (IPCC, 2006c). The default emission factor uncertainty is ±30 percent to 50 percent (default mid-range is ±40 percent).</w:t>
      </w:r>
    </w:p>
    <w:p w14:paraId="00B0A918" w14:textId="77777777" w:rsidR="00B259A8" w:rsidRPr="0072192C" w:rsidRDefault="00B259A8" w:rsidP="00B259A8">
      <w:pPr>
        <w:pStyle w:val="BodyText"/>
      </w:pPr>
      <w:r w:rsidRPr="0072192C">
        <w:t>For this category, the default uncertainty value of ±20 percent for activity data and an upper range default emission factor uncertainty of ±50 percent were used.</w:t>
      </w:r>
    </w:p>
    <w:p w14:paraId="1453A31C" w14:textId="77777777" w:rsidR="00B259A8" w:rsidRPr="0072192C" w:rsidRDefault="00B259A8" w:rsidP="00B259A8">
      <w:pPr>
        <w:pStyle w:val="BodyText"/>
      </w:pPr>
      <w:r w:rsidRPr="0072192C">
        <w:t>Time-series consistency was maintained by interpolating the number of animals in between census years (which are generally five years apart).</w:t>
      </w:r>
    </w:p>
    <w:p w14:paraId="67A53526" w14:textId="77777777" w:rsidR="00B259A8" w:rsidRPr="0072192C" w:rsidRDefault="00B259A8" w:rsidP="00B259A8">
      <w:pPr>
        <w:pStyle w:val="Heading3"/>
        <w:tabs>
          <w:tab w:val="clear" w:pos="851"/>
          <w:tab w:val="left" w:pos="964"/>
        </w:tabs>
      </w:pPr>
      <w:bookmarkStart w:id="3263" w:name="X511bcec4874a433f24cd41de3b2e366b8e8bb1c"/>
      <w:bookmarkEnd w:id="3262"/>
      <w:r w:rsidRPr="0072192C">
        <w:t>8.10.4</w:t>
      </w:r>
      <w:r w:rsidRPr="0072192C">
        <w:tab/>
        <w:t>Category-specific QA/QC and verification</w:t>
      </w:r>
    </w:p>
    <w:p w14:paraId="47F4DF30"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182317A5" w14:textId="77777777" w:rsidR="00B259A8" w:rsidRPr="0072192C" w:rsidRDefault="00B259A8" w:rsidP="00B259A8">
      <w:pPr>
        <w:pStyle w:val="Heading3"/>
        <w:tabs>
          <w:tab w:val="clear" w:pos="851"/>
          <w:tab w:val="left" w:pos="964"/>
        </w:tabs>
      </w:pPr>
      <w:bookmarkStart w:id="3264" w:name="category-specific-recalculations-5"/>
      <w:bookmarkEnd w:id="3263"/>
      <w:r w:rsidRPr="0072192C">
        <w:t>8.10.5</w:t>
      </w:r>
      <w:r w:rsidRPr="0072192C">
        <w:tab/>
        <w:t>Category-specific recalculations</w:t>
      </w:r>
    </w:p>
    <w:p w14:paraId="154EDB4D" w14:textId="77777777" w:rsidR="00B259A8" w:rsidRPr="0072192C" w:rsidRDefault="00B259A8" w:rsidP="00B259A8">
      <w:pPr>
        <w:pStyle w:val="BodyText"/>
      </w:pPr>
      <w:r w:rsidRPr="0072192C">
        <w:t xml:space="preserve">There were no changes to estimates for the </w:t>
      </w:r>
      <w:r w:rsidRPr="0072192C">
        <w:rPr>
          <w:i/>
          <w:iCs/>
        </w:rPr>
        <w:t>Enteric fermentation</w:t>
      </w:r>
      <w:r w:rsidRPr="0072192C">
        <w:t xml:space="preserve"> categories.</w:t>
      </w:r>
    </w:p>
    <w:p w14:paraId="0D3FE1F5" w14:textId="77777777" w:rsidR="00B259A8" w:rsidRPr="0072192C" w:rsidRDefault="00B259A8" w:rsidP="00B259A8">
      <w:pPr>
        <w:pStyle w:val="Heading3"/>
        <w:tabs>
          <w:tab w:val="clear" w:pos="851"/>
          <w:tab w:val="left" w:pos="964"/>
        </w:tabs>
      </w:pPr>
      <w:bookmarkStart w:id="3265" w:name="category-specific-planned-improvements-5"/>
      <w:bookmarkEnd w:id="3264"/>
      <w:r w:rsidRPr="0072192C">
        <w:t>8.10.6</w:t>
      </w:r>
      <w:r w:rsidRPr="0072192C">
        <w:tab/>
        <w:t>Category-specific planned improvements</w:t>
      </w:r>
    </w:p>
    <w:p w14:paraId="66CC2455" w14:textId="77777777" w:rsidR="00B259A8" w:rsidRPr="0072192C" w:rsidRDefault="00B259A8" w:rsidP="00B259A8">
      <w:pPr>
        <w:pStyle w:val="BodyText"/>
      </w:pPr>
      <w:r w:rsidRPr="0072192C">
        <w:t>No improvements are planned for the next inventory submission.</w:t>
      </w:r>
    </w:p>
    <w:p w14:paraId="409AB0CA" w14:textId="77777777" w:rsidR="00B259A8" w:rsidRPr="0072192C" w:rsidRDefault="00B259A8" w:rsidP="00B259A8">
      <w:pPr>
        <w:pStyle w:val="Heading2"/>
      </w:pPr>
      <w:bookmarkStart w:id="3266" w:name="_Toc226460811"/>
      <w:bookmarkStart w:id="3267" w:name="X0c937cd03feb60680bee749d8530cea897fc4e3"/>
      <w:bookmarkEnd w:id="3255"/>
      <w:bookmarkEnd w:id="3265"/>
      <w:r w:rsidRPr="0072192C">
        <w:t>8.11</w:t>
      </w:r>
      <w:r w:rsidRPr="0072192C">
        <w:tab/>
        <w:t>Emissions from Manure management in Tokelau</w:t>
      </w:r>
      <w:bookmarkEnd w:id="3266"/>
    </w:p>
    <w:p w14:paraId="097CFC0B" w14:textId="77777777" w:rsidR="00B259A8" w:rsidRPr="0072192C" w:rsidRDefault="00B259A8" w:rsidP="00B259A8">
      <w:pPr>
        <w:pStyle w:val="Heading3"/>
        <w:spacing w:before="240"/>
      </w:pPr>
      <w:bookmarkStart w:id="3268" w:name="description-6"/>
      <w:r w:rsidRPr="0072192C">
        <w:t>8.11.1</w:t>
      </w:r>
      <w:r w:rsidRPr="0072192C">
        <w:tab/>
        <w:t>Description</w:t>
      </w:r>
    </w:p>
    <w:p w14:paraId="1ADDF07D" w14:textId="77777777" w:rsidR="00B259A8" w:rsidRPr="0072192C" w:rsidRDefault="00B259A8" w:rsidP="00B259A8">
      <w:pPr>
        <w:pStyle w:val="BodyText"/>
      </w:pPr>
      <w:r w:rsidRPr="0072192C">
        <w:t xml:space="preserve">The 2006 IPCC Guidelines provide default emission factors for </w:t>
      </w:r>
      <w:r w:rsidRPr="0072192C">
        <w:rPr>
          <w:i/>
          <w:iCs/>
        </w:rPr>
        <w:t>Manure management</w:t>
      </w:r>
      <w:r w:rsidRPr="0072192C">
        <w:t xml:space="preserve"> (3.B.1) for both swine and poultry, therefore, both animal types are included in reporting from this category (IPCC, 2006c).</w:t>
      </w:r>
    </w:p>
    <w:p w14:paraId="4F5FB19E" w14:textId="77777777" w:rsidR="00B259A8" w:rsidRPr="0072192C" w:rsidRDefault="00B259A8" w:rsidP="00B259A8">
      <w:pPr>
        <w:pStyle w:val="BodyText"/>
      </w:pPr>
      <w:r w:rsidRPr="0072192C">
        <w:rPr>
          <w:i/>
          <w:iCs/>
        </w:rPr>
        <w:t>Manure management – Swine</w:t>
      </w:r>
      <w:r w:rsidRPr="0072192C">
        <w:t xml:space="preserve"> contributed 92.4 percent to the total Agriculture emissions in Tokelau in 2024 and amounted to 0.85 kt CO</w:t>
      </w:r>
      <w:r w:rsidRPr="0072192C">
        <w:rPr>
          <w:vertAlign w:val="subscript"/>
        </w:rPr>
        <w:t>2</w:t>
      </w:r>
      <w:r w:rsidRPr="0072192C">
        <w:t xml:space="preserve">e. </w:t>
      </w:r>
      <w:r w:rsidRPr="0072192C">
        <w:rPr>
          <w:i/>
          <w:iCs/>
        </w:rPr>
        <w:t>Manure management – Poultry</w:t>
      </w:r>
      <w:r w:rsidRPr="0072192C">
        <w:t xml:space="preserve"> was very small, at 0.1 percent (0.0005 kt CO</w:t>
      </w:r>
      <w:r w:rsidRPr="0072192C">
        <w:rPr>
          <w:vertAlign w:val="subscript"/>
        </w:rPr>
        <w:t>2</w:t>
      </w:r>
      <w:r w:rsidRPr="0072192C">
        <w:t>e).</w:t>
      </w:r>
    </w:p>
    <w:p w14:paraId="252DDBCF" w14:textId="77777777" w:rsidR="00B259A8" w:rsidRPr="0072192C" w:rsidRDefault="00B259A8" w:rsidP="00B259A8">
      <w:pPr>
        <w:pStyle w:val="Heading3"/>
        <w:tabs>
          <w:tab w:val="clear" w:pos="851"/>
          <w:tab w:val="left" w:pos="964"/>
        </w:tabs>
      </w:pPr>
      <w:bookmarkStart w:id="3269" w:name="methodological-issues-7"/>
      <w:bookmarkEnd w:id="3268"/>
      <w:r w:rsidRPr="0072192C">
        <w:t>8.11.2</w:t>
      </w:r>
      <w:r w:rsidRPr="0072192C">
        <w:tab/>
        <w:t>Methodological issues</w:t>
      </w:r>
    </w:p>
    <w:p w14:paraId="6B564CC5" w14:textId="77777777" w:rsidR="00B259A8" w:rsidRPr="0072192C" w:rsidRDefault="00B259A8" w:rsidP="00B259A8">
      <w:pPr>
        <w:pStyle w:val="Heading4"/>
      </w:pPr>
      <w:bookmarkStart w:id="3270" w:name="activity-data-7"/>
      <w:r w:rsidRPr="0072192C">
        <w:t>Activity data</w:t>
      </w:r>
    </w:p>
    <w:p w14:paraId="68CC00B9" w14:textId="77777777" w:rsidR="00B259A8" w:rsidRPr="0072192C" w:rsidRDefault="00B259A8" w:rsidP="00B259A8">
      <w:pPr>
        <w:pStyle w:val="BodyText"/>
      </w:pPr>
      <w:r w:rsidRPr="0072192C">
        <w:t xml:space="preserve">The activity data entries for </w:t>
      </w:r>
      <w:r w:rsidRPr="0072192C">
        <w:rPr>
          <w:i/>
          <w:iCs/>
        </w:rPr>
        <w:t>Manure management</w:t>
      </w:r>
      <w:r w:rsidRPr="0072192C">
        <w:t xml:space="preserve"> are the same as for </w:t>
      </w:r>
      <w:r w:rsidRPr="0072192C">
        <w:rPr>
          <w:i/>
          <w:iCs/>
        </w:rPr>
        <w:t>Enteric fermentation</w:t>
      </w:r>
      <w:r w:rsidRPr="0072192C">
        <w:t xml:space="preserve"> (see section 8.10).</w:t>
      </w:r>
    </w:p>
    <w:p w14:paraId="7544AD6B" w14:textId="77777777" w:rsidR="00B259A8" w:rsidRPr="0072192C" w:rsidRDefault="00B259A8" w:rsidP="00B259A8">
      <w:pPr>
        <w:pStyle w:val="BodyText"/>
      </w:pPr>
      <w:r w:rsidRPr="0072192C">
        <w:t>All poultry are assumed to be dry layers.</w:t>
      </w:r>
    </w:p>
    <w:p w14:paraId="66BDD782" w14:textId="77777777" w:rsidR="00B259A8" w:rsidRPr="0072192C" w:rsidRDefault="00B259A8" w:rsidP="00B259A8">
      <w:pPr>
        <w:pStyle w:val="Heading4"/>
      </w:pPr>
      <w:bookmarkStart w:id="3271" w:name="methods-and-emission-factors-5"/>
      <w:bookmarkEnd w:id="3270"/>
      <w:r w:rsidRPr="0072192C">
        <w:t>Methods and emission factors</w:t>
      </w:r>
    </w:p>
    <w:p w14:paraId="1C0176F6" w14:textId="77777777" w:rsidR="00B259A8" w:rsidRPr="0072192C" w:rsidRDefault="00B259A8" w:rsidP="00B259A8">
      <w:pPr>
        <w:pStyle w:val="BodyText"/>
      </w:pPr>
      <w:r w:rsidRPr="0072192C">
        <w:t xml:space="preserve">A Tier 1 methodology with default emission factors provided in table 10.15 in volume 4, chapter 10 of the 2006 IPCC Guidelines was used for estimating emissions from the </w:t>
      </w:r>
      <w:r w:rsidRPr="0072192C">
        <w:rPr>
          <w:i/>
          <w:iCs/>
        </w:rPr>
        <w:t>Manure management</w:t>
      </w:r>
      <w:r w:rsidRPr="0072192C">
        <w:t xml:space="preserve"> category (IPCC, 2006c). The Tier 1 method is based on animal population data and does not require distinguishing between different manure management systems. Equation 10.22 from volume 4, chapter 10 of the 2006 IPCC Guidelines was applied, in conjunction with the default emission factors from table 10.14 in volume 4, chapter 10 of 2006 IPCC Guidelines for Oceania with a warm climate. These are 18.5 kg CH</w:t>
      </w:r>
      <w:r w:rsidRPr="0072192C">
        <w:rPr>
          <w:vertAlign w:val="subscript"/>
        </w:rPr>
        <w:t>4</w:t>
      </w:r>
      <w:r w:rsidRPr="0072192C">
        <w:t>/head/year for swine and 0.03 kg CH</w:t>
      </w:r>
      <w:r w:rsidRPr="0072192C">
        <w:rPr>
          <w:vertAlign w:val="subscript"/>
        </w:rPr>
        <w:t>4</w:t>
      </w:r>
      <w:r w:rsidRPr="0072192C">
        <w:t>/head/year for poultry (IPCC, 2006c).</w:t>
      </w:r>
    </w:p>
    <w:p w14:paraId="7F3D81F2" w14:textId="77777777" w:rsidR="00B259A8" w:rsidRPr="0072192C" w:rsidRDefault="00B259A8" w:rsidP="00B259A8">
      <w:pPr>
        <w:pStyle w:val="Heading3"/>
        <w:tabs>
          <w:tab w:val="clear" w:pos="851"/>
          <w:tab w:val="left" w:pos="964"/>
        </w:tabs>
      </w:pPr>
      <w:bookmarkStart w:id="3272" w:name="Xacc573339580c8dcb4670fcc1d3952db0889a98"/>
      <w:bookmarkEnd w:id="3269"/>
      <w:bookmarkEnd w:id="3271"/>
      <w:r w:rsidRPr="0072192C">
        <w:t>8.11.3</w:t>
      </w:r>
      <w:r w:rsidRPr="0072192C">
        <w:tab/>
        <w:t>Uncertainty assessment and time-series consistency</w:t>
      </w:r>
    </w:p>
    <w:p w14:paraId="75AF2529" w14:textId="77777777" w:rsidR="00B259A8" w:rsidRPr="0072192C" w:rsidRDefault="00B259A8" w:rsidP="00B259A8">
      <w:pPr>
        <w:pStyle w:val="BodyText"/>
        <w:keepLines/>
      </w:pPr>
      <w:r w:rsidRPr="0072192C">
        <w:t xml:space="preserve">Default uncertainty values for activity data and emission factors were used for this category. Section 10.2.3 in volume 4, chapter 10 of the 2006 IPCC Guidelines states that the uncertainty associated with populations will vary widely, depending on the source, but should be within ±20 percent (IPCC, 2006c). The default emission factor uncertainty for </w:t>
      </w:r>
      <w:r w:rsidRPr="0072192C">
        <w:rPr>
          <w:i/>
          <w:iCs/>
        </w:rPr>
        <w:t>Manure management</w:t>
      </w:r>
      <w:r w:rsidRPr="0072192C">
        <w:t xml:space="preserve"> is ±30 percent.</w:t>
      </w:r>
    </w:p>
    <w:p w14:paraId="5B3186A9" w14:textId="77777777" w:rsidR="00B259A8" w:rsidRPr="0072192C" w:rsidRDefault="00B259A8" w:rsidP="00B259A8">
      <w:pPr>
        <w:pStyle w:val="BodyText"/>
      </w:pPr>
      <w:r w:rsidRPr="0072192C">
        <w:t>Time-series consistency was maintained by interpolating the number of animals in between census years (which are generally five years apart).</w:t>
      </w:r>
    </w:p>
    <w:p w14:paraId="1607E979" w14:textId="77777777" w:rsidR="00B259A8" w:rsidRPr="0072192C" w:rsidRDefault="00B259A8" w:rsidP="00B259A8">
      <w:pPr>
        <w:pStyle w:val="Heading3"/>
        <w:tabs>
          <w:tab w:val="clear" w:pos="851"/>
          <w:tab w:val="left" w:pos="964"/>
        </w:tabs>
      </w:pPr>
      <w:bookmarkStart w:id="3273" w:name="Xc428e0d42c859f01c17db7f9908d48fe1a63ff1"/>
      <w:bookmarkEnd w:id="3272"/>
      <w:r w:rsidRPr="0072192C">
        <w:t>8.11.4</w:t>
      </w:r>
      <w:r w:rsidRPr="0072192C">
        <w:tab/>
        <w:t>Category-specific QA/QC and verification</w:t>
      </w:r>
    </w:p>
    <w:p w14:paraId="489485E6"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04E19237" w14:textId="77777777" w:rsidR="00B259A8" w:rsidRPr="0072192C" w:rsidRDefault="00B259A8" w:rsidP="00B259A8">
      <w:pPr>
        <w:pStyle w:val="Heading3"/>
        <w:tabs>
          <w:tab w:val="clear" w:pos="851"/>
          <w:tab w:val="left" w:pos="964"/>
        </w:tabs>
      </w:pPr>
      <w:bookmarkStart w:id="3274" w:name="category-specific-recalculations-6"/>
      <w:bookmarkEnd w:id="3273"/>
      <w:r w:rsidRPr="0072192C">
        <w:t>8.11.5</w:t>
      </w:r>
      <w:r w:rsidRPr="0072192C">
        <w:tab/>
        <w:t>Category-specific recalculations</w:t>
      </w:r>
    </w:p>
    <w:p w14:paraId="5CB2EA4C" w14:textId="77777777" w:rsidR="00B259A8" w:rsidRPr="0072192C" w:rsidRDefault="00B259A8" w:rsidP="00B259A8">
      <w:pPr>
        <w:pStyle w:val="BodyText"/>
      </w:pPr>
      <w:r w:rsidRPr="0072192C">
        <w:t xml:space="preserve">There were no changes to estimates for the </w:t>
      </w:r>
      <w:r w:rsidRPr="0072192C">
        <w:rPr>
          <w:i/>
          <w:iCs/>
        </w:rPr>
        <w:t>Manure management</w:t>
      </w:r>
      <w:r w:rsidRPr="0072192C">
        <w:t xml:space="preserve"> category.</w:t>
      </w:r>
    </w:p>
    <w:p w14:paraId="56D346CA" w14:textId="77777777" w:rsidR="00B259A8" w:rsidRPr="0072192C" w:rsidRDefault="00B259A8" w:rsidP="00B259A8">
      <w:pPr>
        <w:pStyle w:val="Heading3"/>
        <w:tabs>
          <w:tab w:val="clear" w:pos="851"/>
          <w:tab w:val="left" w:pos="964"/>
        </w:tabs>
      </w:pPr>
      <w:bookmarkStart w:id="3275" w:name="category-specific-planned-improvements-6"/>
      <w:bookmarkEnd w:id="3274"/>
      <w:r w:rsidRPr="0072192C">
        <w:t>8.11.6</w:t>
      </w:r>
      <w:r w:rsidRPr="0072192C">
        <w:tab/>
        <w:t>Category-specific planned improvements</w:t>
      </w:r>
    </w:p>
    <w:p w14:paraId="024FA3C8" w14:textId="77777777" w:rsidR="00B259A8" w:rsidRPr="0072192C" w:rsidRDefault="00B259A8" w:rsidP="00B259A8">
      <w:pPr>
        <w:pStyle w:val="BodyText"/>
      </w:pPr>
      <w:r w:rsidRPr="0072192C">
        <w:t>No improvements are planned for the next inventory submission.</w:t>
      </w:r>
    </w:p>
    <w:p w14:paraId="444ACE74" w14:textId="77777777" w:rsidR="00B259A8" w:rsidRPr="0072192C" w:rsidRDefault="00B259A8" w:rsidP="00B259A8">
      <w:pPr>
        <w:pStyle w:val="Heading2"/>
      </w:pPr>
      <w:bookmarkStart w:id="3276" w:name="_Toc226460812"/>
      <w:bookmarkStart w:id="3277" w:name="Xb50428241fc7cf0e29e71d29efeca48a67748e5"/>
      <w:bookmarkEnd w:id="3267"/>
      <w:bookmarkEnd w:id="3275"/>
      <w:r w:rsidRPr="0072192C">
        <w:t>8.12</w:t>
      </w:r>
      <w:r w:rsidRPr="0072192C">
        <w:tab/>
        <w:t>Emissions from the Waste sector in Tokelau (6. Tokelau_5)</w:t>
      </w:r>
      <w:bookmarkEnd w:id="3276"/>
    </w:p>
    <w:p w14:paraId="04DF04B9" w14:textId="77777777" w:rsidR="00B259A8" w:rsidRPr="0072192C" w:rsidRDefault="00B259A8" w:rsidP="00B259A8">
      <w:pPr>
        <w:pStyle w:val="BodyText"/>
      </w:pPr>
      <w:r w:rsidRPr="0072192C">
        <w:t>In 2024, emissions from Tokelau’s Waste sector were 0.77 kt CO</w:t>
      </w:r>
      <w:r w:rsidRPr="0072192C">
        <w:rPr>
          <w:vertAlign w:val="subscript"/>
        </w:rPr>
        <w:t>2</w:t>
      </w:r>
      <w:r w:rsidRPr="0072192C">
        <w:t>e. The Waste sector was the third-largest source of emissions, contributing 18.4 percent to Tokelau’s gross emissions and 0.001 percent to New Zealand’s gross emissions.</w:t>
      </w:r>
    </w:p>
    <w:p w14:paraId="7AC4E9BF" w14:textId="77777777" w:rsidR="00B259A8" w:rsidRPr="0072192C" w:rsidRDefault="00B259A8" w:rsidP="00B259A8">
      <w:pPr>
        <w:pStyle w:val="BodyText"/>
      </w:pPr>
      <w:r w:rsidRPr="0072192C">
        <w:t xml:space="preserve">In Tokelau, the Waste sector covers the </w:t>
      </w:r>
      <w:r w:rsidRPr="0072192C">
        <w:rPr>
          <w:i/>
          <w:iCs/>
        </w:rPr>
        <w:t>Solid waste disposal</w:t>
      </w:r>
      <w:r w:rsidRPr="0072192C">
        <w:t xml:space="preserve">, </w:t>
      </w:r>
      <w:r w:rsidRPr="0072192C">
        <w:rPr>
          <w:i/>
          <w:iCs/>
        </w:rPr>
        <w:t>Wastewater treatment</w:t>
      </w:r>
      <w:r w:rsidRPr="0072192C">
        <w:t xml:space="preserve"> and </w:t>
      </w:r>
      <w:r w:rsidRPr="0072192C">
        <w:rPr>
          <w:i/>
          <w:iCs/>
          <w:spacing w:val="-2"/>
        </w:rPr>
        <w:t>Incineration and open burning of waste</w:t>
      </w:r>
      <w:r w:rsidRPr="0072192C">
        <w:rPr>
          <w:spacing w:val="-2"/>
        </w:rPr>
        <w:t xml:space="preserve"> categories, which contributed 44.8 percent, 38.4 percent</w:t>
      </w:r>
      <w:r w:rsidRPr="0072192C">
        <w:t xml:space="preserve"> and 16.8 percent, respectively, to the total emissions from the Waste sector in Tokelau.</w:t>
      </w:r>
    </w:p>
    <w:p w14:paraId="6F483B98" w14:textId="77777777" w:rsidR="00B259A8" w:rsidRPr="0072192C" w:rsidRDefault="00B259A8" w:rsidP="00B259A8">
      <w:pPr>
        <w:pStyle w:val="BodyText"/>
      </w:pPr>
      <w:r w:rsidRPr="0072192C">
        <w:t>The raw data related to the Waste sector were obtained from multiple sources (see items 1 to 5, 11, and 13 to 16 in table 8.1.1). The data were compiled, analysed and processed by the Tokelau National Statistics Office to produce activity data. The human population data were used as a driver for estimates in all of the Waste sector categories.</w:t>
      </w:r>
    </w:p>
    <w:p w14:paraId="4123361F" w14:textId="77777777" w:rsidR="00B259A8" w:rsidRPr="0072192C" w:rsidRDefault="00B259A8" w:rsidP="00B259A8">
      <w:pPr>
        <w:pStyle w:val="BodyText"/>
      </w:pPr>
      <w:r w:rsidRPr="0072192C">
        <w:t>Emissions from all categories reported in the Waste sector for Tokelau were estimated using a Tier 1 methodological approach (IPCC, 2006d). Figure 8.12.1 shows emission trends in the Waste sector by category for Tokelau.</w:t>
      </w:r>
    </w:p>
    <w:p w14:paraId="7EE01F7F" w14:textId="77777777" w:rsidR="00B259A8" w:rsidRPr="0072192C" w:rsidRDefault="00B259A8" w:rsidP="00B259A8">
      <w:pPr>
        <w:pStyle w:val="Figure"/>
      </w:pPr>
      <w:bookmarkStart w:id="3278" w:name="_Toc225424350"/>
      <w:bookmarkStart w:id="3279" w:name="_Toc226200718"/>
      <w:r w:rsidRPr="0072192C">
        <w:rPr>
          <w:bCs/>
        </w:rPr>
        <w:t>Figure 8.12.1</w:t>
      </w:r>
      <w:r w:rsidRPr="0072192C">
        <w:rPr>
          <w:bCs/>
        </w:rPr>
        <w:tab/>
        <w:t>Waste sector emissions by category for Tokelau, from 1990 to 2024</w:t>
      </w:r>
      <w:bookmarkEnd w:id="3278"/>
      <w:bookmarkEnd w:id="3279"/>
    </w:p>
    <w:p w14:paraId="77253BFA" w14:textId="77777777" w:rsidR="00B259A8" w:rsidRPr="0072192C" w:rsidRDefault="00B259A8" w:rsidP="00B259A8">
      <w:pPr>
        <w:pStyle w:val="BodyText"/>
      </w:pPr>
      <w:r w:rsidRPr="0072192C">
        <w:rPr>
          <w:noProof/>
        </w:rPr>
        <w:drawing>
          <wp:inline distT="0" distB="0" distL="0" distR="0" wp14:anchorId="57B7026F" wp14:editId="22E5357E">
            <wp:extent cx="5396798" cy="3021220"/>
            <wp:effectExtent l="0" t="0" r="0" b="8255"/>
            <wp:docPr id="146" name="Picture"/>
            <wp:cNvGraphicFramePr/>
            <a:graphic xmlns:a="http://schemas.openxmlformats.org/drawingml/2006/main">
              <a:graphicData uri="http://schemas.openxmlformats.org/drawingml/2006/picture">
                <pic:pic xmlns:pic="http://schemas.openxmlformats.org/drawingml/2006/picture">
                  <pic:nvPicPr>
                    <pic:cNvPr id="147" name="Picture" descr="images/fig_8_12_1.png"/>
                    <pic:cNvPicPr>
                      <a:picLocks noChangeAspect="1" noChangeArrowheads="1"/>
                    </pic:cNvPicPr>
                  </pic:nvPicPr>
                  <pic:blipFill rotWithShape="1">
                    <a:blip r:embed="rId266"/>
                    <a:srcRect t="2009" b="2597"/>
                    <a:stretch>
                      <a:fillRect/>
                    </a:stretch>
                  </pic:blipFill>
                  <pic:spPr bwMode="auto">
                    <a:xfrm>
                      <a:off x="0" y="0"/>
                      <a:ext cx="5397500" cy="3021613"/>
                    </a:xfrm>
                    <a:prstGeom prst="rect">
                      <a:avLst/>
                    </a:prstGeom>
                    <a:noFill/>
                    <a:ln>
                      <a:noFill/>
                    </a:ln>
                    <a:extLst>
                      <a:ext uri="{53640926-AAD7-44D8-BBD7-CCE9431645EC}">
                        <a14:shadowObscured xmlns:a14="http://schemas.microsoft.com/office/drawing/2010/main"/>
                      </a:ext>
                    </a:extLst>
                  </pic:spPr>
                </pic:pic>
              </a:graphicData>
            </a:graphic>
          </wp:inline>
        </w:drawing>
      </w:r>
    </w:p>
    <w:p w14:paraId="6A7AD4F0" w14:textId="77777777" w:rsidR="00B259A8" w:rsidRPr="0072192C" w:rsidRDefault="00B259A8" w:rsidP="00B259A8">
      <w:pPr>
        <w:pStyle w:val="Heading2"/>
      </w:pPr>
      <w:bookmarkStart w:id="3280" w:name="_Toc226460813"/>
      <w:bookmarkStart w:id="3281" w:name="Xfb65ea232534240cf4b067c646a328a3951a7d3"/>
      <w:bookmarkEnd w:id="3277"/>
      <w:r w:rsidRPr="0072192C">
        <w:t>8.13</w:t>
      </w:r>
      <w:r w:rsidRPr="0072192C">
        <w:tab/>
        <w:t>Emissions from Solid waste disposal in Tokelau</w:t>
      </w:r>
      <w:bookmarkEnd w:id="3280"/>
    </w:p>
    <w:p w14:paraId="0547E36B" w14:textId="77777777" w:rsidR="00B259A8" w:rsidRPr="0072192C" w:rsidRDefault="00B259A8" w:rsidP="00B259A8">
      <w:pPr>
        <w:pStyle w:val="Heading3"/>
        <w:tabs>
          <w:tab w:val="clear" w:pos="851"/>
          <w:tab w:val="left" w:pos="964"/>
        </w:tabs>
        <w:spacing w:before="240"/>
      </w:pPr>
      <w:bookmarkStart w:id="3282" w:name="description-7"/>
      <w:r w:rsidRPr="0072192C">
        <w:t>8.13.1</w:t>
      </w:r>
      <w:r w:rsidRPr="0072192C">
        <w:tab/>
        <w:t>Description</w:t>
      </w:r>
    </w:p>
    <w:p w14:paraId="31EC2663" w14:textId="77777777" w:rsidR="00B259A8" w:rsidRPr="0072192C" w:rsidRDefault="00B259A8" w:rsidP="00B259A8">
      <w:pPr>
        <w:pStyle w:val="BodyText"/>
      </w:pPr>
      <w:r w:rsidRPr="0072192C">
        <w:t>According to the 2016 Tokelau Census, most household rubbish is collected by village workers. Fakaofo had the highest proportion of households where all rubbish was collected (72.9 percent). Of all private occupied dwellings, 98.8 percent had at least some of their household rubbish collected. Most of the rubbish collected is either burned on the reef or buried in centralised areas of the islands. Exceptions are the organic waste, which is fed daily to pigs, large beer bottles that are exported for recycling to Apia (Samoa) and metal waste that is collected and sold as scrap in Apia under a memorandum of understanding with a Samoan company.</w:t>
      </w:r>
      <w:r w:rsidRPr="0072192C">
        <w:rPr>
          <w:rStyle w:val="FootnoteReference"/>
        </w:rPr>
        <w:footnoteReference w:id="62"/>
      </w:r>
    </w:p>
    <w:p w14:paraId="4B896560" w14:textId="77777777" w:rsidR="00B259A8" w:rsidRPr="0072192C" w:rsidRDefault="00B259A8" w:rsidP="00B259A8">
      <w:pPr>
        <w:pStyle w:val="BodyText"/>
      </w:pPr>
      <w:r w:rsidRPr="0072192C">
        <w:t xml:space="preserve">Where village workers do not collect household rubbish, households use alternative methods for disposal. The most common methods are burning, burial and disposing of in the garden. Tokelau has no dedicated categorised landfills, therefore, </w:t>
      </w:r>
      <w:r w:rsidRPr="0072192C">
        <w:rPr>
          <w:i/>
          <w:iCs/>
        </w:rPr>
        <w:t>Solid waste disposal</w:t>
      </w:r>
      <w:r w:rsidRPr="0072192C">
        <w:t xml:space="preserve"> is reported for uncategorised landfills only.</w:t>
      </w:r>
    </w:p>
    <w:p w14:paraId="710303AA" w14:textId="77777777" w:rsidR="00B259A8" w:rsidRPr="0072192C" w:rsidRDefault="00B259A8" w:rsidP="00B259A8">
      <w:pPr>
        <w:pStyle w:val="BodyText"/>
      </w:pPr>
      <w:r w:rsidRPr="0072192C">
        <w:t xml:space="preserve">Emissions from the </w:t>
      </w:r>
      <w:r w:rsidRPr="0072192C">
        <w:rPr>
          <w:i/>
          <w:iCs/>
        </w:rPr>
        <w:t>Solid waste disposal</w:t>
      </w:r>
      <w:r w:rsidRPr="0072192C">
        <w:t xml:space="preserve"> category were 0.35 kt CO</w:t>
      </w:r>
      <w:r w:rsidRPr="0072192C">
        <w:rPr>
          <w:vertAlign w:val="subscript"/>
        </w:rPr>
        <w:t>2</w:t>
      </w:r>
      <w:r w:rsidRPr="0072192C">
        <w:t>e, contributing 44.8 percent to Tokelau’s Waste sector emissions in 2024.</w:t>
      </w:r>
    </w:p>
    <w:p w14:paraId="1BB09143" w14:textId="77777777" w:rsidR="00B259A8" w:rsidRPr="0072192C" w:rsidRDefault="00B259A8" w:rsidP="00B259A8">
      <w:pPr>
        <w:pStyle w:val="Heading3"/>
        <w:tabs>
          <w:tab w:val="clear" w:pos="851"/>
          <w:tab w:val="left" w:pos="964"/>
        </w:tabs>
      </w:pPr>
      <w:bookmarkStart w:id="3283" w:name="methodological-issues-8"/>
      <w:bookmarkEnd w:id="3282"/>
      <w:r w:rsidRPr="0072192C">
        <w:t>8.13.2</w:t>
      </w:r>
      <w:r w:rsidRPr="0072192C">
        <w:tab/>
        <w:t>Methodological issues</w:t>
      </w:r>
    </w:p>
    <w:p w14:paraId="5FC17E98" w14:textId="77777777" w:rsidR="00B259A8" w:rsidRPr="0072192C" w:rsidRDefault="00B259A8" w:rsidP="00B259A8">
      <w:pPr>
        <w:pStyle w:val="Heading4"/>
        <w:spacing w:after="120"/>
      </w:pPr>
      <w:bookmarkStart w:id="3284" w:name="activity-data-8"/>
      <w:r w:rsidRPr="0072192C">
        <w:t>Activity data</w:t>
      </w:r>
    </w:p>
    <w:p w14:paraId="1D228375" w14:textId="77777777" w:rsidR="00B259A8" w:rsidRPr="0072192C" w:rsidRDefault="00B259A8" w:rsidP="00B259A8">
      <w:pPr>
        <w:pStyle w:val="Bullet"/>
      </w:pPr>
      <w:r w:rsidRPr="0072192C">
        <w:t>The total amount of solid waste is based on the IPCC default of 690 kg/person/year for Oceania (IPCC, 2006d). This is likely to be an overestimate; however, a country-specific value is not available.</w:t>
      </w:r>
    </w:p>
    <w:p w14:paraId="5019EB1B" w14:textId="77777777" w:rsidR="00B259A8" w:rsidRPr="0072192C" w:rsidRDefault="00B259A8" w:rsidP="00B259A8">
      <w:pPr>
        <w:pStyle w:val="Bullet"/>
      </w:pPr>
      <w:r w:rsidRPr="0072192C">
        <w:t>Solid waste is assumed to be half buried and the other half burned. As above, this does not account for exported solid waste or organic waste fed to pigs and will be an overestimate.</w:t>
      </w:r>
    </w:p>
    <w:p w14:paraId="0D5D4F37" w14:textId="77777777" w:rsidR="00B259A8" w:rsidRPr="0072192C" w:rsidRDefault="00B259A8" w:rsidP="00B259A8">
      <w:pPr>
        <w:pStyle w:val="Bullet"/>
      </w:pPr>
      <w:r w:rsidRPr="0072192C">
        <w:t>The composition of solid waste for the landfill calculations is based on the IPCC default (67.5 percent food, 6 percent paper/cardboard, 2.5 percent wood, and the remaining 24 percent is ‘inert’) (IPCC, 2006d). This does not take into account the food waste that is fed to animals or used for composting and gardens, nor data on waste composition, such as disposable nappies, and will likely be an overestimate overall.</w:t>
      </w:r>
    </w:p>
    <w:p w14:paraId="4FB4B3BE" w14:textId="77777777" w:rsidR="00B259A8" w:rsidRPr="0072192C" w:rsidRDefault="00B259A8" w:rsidP="00B259A8">
      <w:pPr>
        <w:pStyle w:val="Heading4"/>
      </w:pPr>
      <w:bookmarkStart w:id="3285" w:name="methods-and-emission-factors-6"/>
      <w:bookmarkEnd w:id="3284"/>
      <w:r w:rsidRPr="0072192C">
        <w:t>Methods and emission factors</w:t>
      </w:r>
    </w:p>
    <w:p w14:paraId="626053CB" w14:textId="77777777" w:rsidR="00B259A8" w:rsidRPr="0072192C" w:rsidRDefault="00B259A8" w:rsidP="00B259A8">
      <w:pPr>
        <w:pStyle w:val="BodyText"/>
      </w:pPr>
      <w:r w:rsidRPr="0072192C">
        <w:t xml:space="preserve">A Tier 1 methodology has been applied to estimate emissions from this category. The Tier 1 </w:t>
      </w:r>
      <w:r w:rsidRPr="0072192C">
        <w:rPr>
          <w:spacing w:val="-2"/>
        </w:rPr>
        <w:t>approach is to use all default values. It is assumed that 50 percent of waste is buried (landfilled)</w:t>
      </w:r>
      <w:r w:rsidRPr="0072192C">
        <w:t xml:space="preserve"> and the other 50 percent is burned. Any amounts of waste shipped offshore are additional and are not counted. Table 8.13.1 sums up the information about parameters used for calculating emissions from this category.</w:t>
      </w:r>
    </w:p>
    <w:p w14:paraId="247B6F6F" w14:textId="77777777" w:rsidR="00B259A8" w:rsidRPr="0072192C" w:rsidRDefault="00B259A8" w:rsidP="00B259A8">
      <w:pPr>
        <w:pStyle w:val="Table"/>
      </w:pPr>
      <w:bookmarkStart w:id="3286" w:name="_Toc225424325"/>
      <w:bookmarkStart w:id="3287" w:name="_Toc226669148"/>
      <w:r w:rsidRPr="0072192C">
        <w:t>Table 8.13.1</w:t>
      </w:r>
      <w:r w:rsidRPr="0072192C">
        <w:tab/>
        <w:t>Summary of parameters for uncategorised landfills in Tokelau</w:t>
      </w:r>
      <w:bookmarkEnd w:id="3286"/>
      <w:bookmarkEnd w:id="328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73"/>
        <w:gridCol w:w="961"/>
        <w:gridCol w:w="1929"/>
        <w:gridCol w:w="2731"/>
      </w:tblGrid>
      <w:tr w:rsidR="00B259A8" w:rsidRPr="0072192C" w14:paraId="6A7F9264" w14:textId="77777777" w:rsidTr="00F16E23">
        <w:trPr>
          <w:tblHeader/>
        </w:trPr>
        <w:tc>
          <w:tcPr>
            <w:tcW w:w="0" w:type="auto"/>
            <w:shd w:val="clear" w:color="auto" w:fill="1B556B"/>
            <w:tcMar>
              <w:top w:w="0" w:type="dxa"/>
              <w:left w:w="85" w:type="dxa"/>
              <w:bottom w:w="0" w:type="dxa"/>
              <w:right w:w="85" w:type="dxa"/>
            </w:tcMar>
            <w:vAlign w:val="center"/>
          </w:tcPr>
          <w:p w14:paraId="2E6EC340"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Parameter</w:t>
            </w:r>
          </w:p>
        </w:tc>
        <w:tc>
          <w:tcPr>
            <w:tcW w:w="0" w:type="auto"/>
            <w:shd w:val="clear" w:color="auto" w:fill="1B556B"/>
            <w:tcMar>
              <w:top w:w="0" w:type="dxa"/>
              <w:left w:w="85" w:type="dxa"/>
              <w:bottom w:w="0" w:type="dxa"/>
              <w:right w:w="85" w:type="dxa"/>
            </w:tcMar>
            <w:vAlign w:val="center"/>
          </w:tcPr>
          <w:p w14:paraId="6A45447D"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Values</w:t>
            </w:r>
          </w:p>
        </w:tc>
        <w:tc>
          <w:tcPr>
            <w:tcW w:w="0" w:type="auto"/>
            <w:shd w:val="clear" w:color="auto" w:fill="1B556B"/>
            <w:tcMar>
              <w:top w:w="0" w:type="dxa"/>
              <w:left w:w="85" w:type="dxa"/>
              <w:bottom w:w="0" w:type="dxa"/>
              <w:right w:w="85" w:type="dxa"/>
            </w:tcMar>
            <w:vAlign w:val="center"/>
          </w:tcPr>
          <w:p w14:paraId="7E61723B"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Source</w:t>
            </w:r>
          </w:p>
        </w:tc>
        <w:tc>
          <w:tcPr>
            <w:tcW w:w="0" w:type="auto"/>
            <w:shd w:val="clear" w:color="auto" w:fill="1B556B"/>
            <w:tcMar>
              <w:top w:w="0" w:type="dxa"/>
              <w:left w:w="85" w:type="dxa"/>
              <w:bottom w:w="0" w:type="dxa"/>
              <w:right w:w="85" w:type="dxa"/>
            </w:tcMar>
            <w:vAlign w:val="center"/>
          </w:tcPr>
          <w:p w14:paraId="7B68472D"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Reference</w:t>
            </w:r>
          </w:p>
        </w:tc>
      </w:tr>
      <w:tr w:rsidR="00B259A8" w:rsidRPr="0072192C" w14:paraId="4F0B8705" w14:textId="77777777" w:rsidTr="00F16E23">
        <w:tc>
          <w:tcPr>
            <w:tcW w:w="0" w:type="auto"/>
            <w:shd w:val="clear" w:color="auto" w:fill="FFFFFF"/>
            <w:tcMar>
              <w:top w:w="0" w:type="dxa"/>
              <w:left w:w="85" w:type="dxa"/>
              <w:bottom w:w="0" w:type="dxa"/>
              <w:right w:w="85" w:type="dxa"/>
            </w:tcMar>
            <w:vAlign w:val="center"/>
          </w:tcPr>
          <w:p w14:paraId="3B1FE8B6" w14:textId="77777777" w:rsidR="00B259A8" w:rsidRPr="0072192C" w:rsidRDefault="00B259A8" w:rsidP="00F16E23">
            <w:pPr>
              <w:pStyle w:val="TableText"/>
              <w:spacing w:before="40" w:after="40"/>
              <w:rPr>
                <w:szCs w:val="16"/>
              </w:rPr>
            </w:pPr>
            <w:r w:rsidRPr="0072192C">
              <w:rPr>
                <w:rFonts w:eastAsia="Calibri"/>
                <w:szCs w:val="16"/>
              </w:rPr>
              <w:t>Bulk MSW DOC (kt C/kt waste)</w:t>
            </w:r>
          </w:p>
        </w:tc>
        <w:tc>
          <w:tcPr>
            <w:tcW w:w="0" w:type="auto"/>
            <w:shd w:val="clear" w:color="auto" w:fill="FFFFFF"/>
            <w:tcMar>
              <w:top w:w="0" w:type="dxa"/>
              <w:left w:w="85" w:type="dxa"/>
              <w:bottom w:w="0" w:type="dxa"/>
              <w:right w:w="85" w:type="dxa"/>
            </w:tcMar>
            <w:vAlign w:val="center"/>
          </w:tcPr>
          <w:p w14:paraId="522F548D" w14:textId="77777777" w:rsidR="00B259A8" w:rsidRPr="0072192C" w:rsidRDefault="00B259A8" w:rsidP="00F16E23">
            <w:pPr>
              <w:pStyle w:val="TableText"/>
              <w:spacing w:before="40" w:after="40"/>
              <w:rPr>
                <w:szCs w:val="16"/>
              </w:rPr>
            </w:pPr>
            <w:r w:rsidRPr="0072192C">
              <w:rPr>
                <w:rFonts w:eastAsia="Calibri"/>
                <w:szCs w:val="16"/>
              </w:rPr>
              <w:t>0.14</w:t>
            </w:r>
          </w:p>
        </w:tc>
        <w:tc>
          <w:tcPr>
            <w:tcW w:w="0" w:type="auto"/>
            <w:shd w:val="clear" w:color="auto" w:fill="FFFFFF"/>
            <w:tcMar>
              <w:top w:w="0" w:type="dxa"/>
              <w:left w:w="85" w:type="dxa"/>
              <w:bottom w:w="0" w:type="dxa"/>
              <w:right w:w="85" w:type="dxa"/>
            </w:tcMar>
            <w:vAlign w:val="center"/>
          </w:tcPr>
          <w:p w14:paraId="7CCB752B"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245AEB8F" w14:textId="77777777" w:rsidR="00B259A8" w:rsidRPr="0072192C" w:rsidRDefault="00B259A8" w:rsidP="00F16E23">
            <w:pPr>
              <w:pStyle w:val="TableText"/>
              <w:spacing w:before="40" w:after="40"/>
              <w:rPr>
                <w:szCs w:val="16"/>
              </w:rPr>
            </w:pPr>
            <w:r w:rsidRPr="0072192C">
              <w:rPr>
                <w:rFonts w:eastAsia="Calibri"/>
                <w:szCs w:val="16"/>
              </w:rPr>
              <w:t>IPCC, 2006d (worksheets for SWDS)</w:t>
            </w:r>
          </w:p>
        </w:tc>
      </w:tr>
      <w:tr w:rsidR="00B259A8" w:rsidRPr="0072192C" w14:paraId="578EE5C1" w14:textId="77777777" w:rsidTr="00F16E23">
        <w:tc>
          <w:tcPr>
            <w:tcW w:w="0" w:type="auto"/>
            <w:shd w:val="clear" w:color="auto" w:fill="FFFFFF"/>
            <w:tcMar>
              <w:top w:w="0" w:type="dxa"/>
              <w:left w:w="85" w:type="dxa"/>
              <w:bottom w:w="0" w:type="dxa"/>
              <w:right w:w="85" w:type="dxa"/>
            </w:tcMar>
            <w:vAlign w:val="center"/>
          </w:tcPr>
          <w:p w14:paraId="08479BE4" w14:textId="77777777" w:rsidR="00B259A8" w:rsidRPr="0072192C" w:rsidRDefault="00B259A8" w:rsidP="00F16E23">
            <w:pPr>
              <w:pStyle w:val="TableText"/>
              <w:spacing w:before="40" w:after="40"/>
              <w:rPr>
                <w:szCs w:val="16"/>
              </w:rPr>
            </w:pPr>
            <w:r w:rsidRPr="0072192C">
              <w:rPr>
                <w:rFonts w:eastAsia="Calibri"/>
                <w:szCs w:val="16"/>
              </w:rPr>
              <w:t>k-value</w:t>
            </w:r>
          </w:p>
        </w:tc>
        <w:tc>
          <w:tcPr>
            <w:tcW w:w="0" w:type="auto"/>
            <w:shd w:val="clear" w:color="auto" w:fill="FFFFFF"/>
            <w:tcMar>
              <w:top w:w="0" w:type="dxa"/>
              <w:left w:w="85" w:type="dxa"/>
              <w:bottom w:w="0" w:type="dxa"/>
              <w:right w:w="85" w:type="dxa"/>
            </w:tcMar>
            <w:vAlign w:val="center"/>
          </w:tcPr>
          <w:p w14:paraId="3E3441D6" w14:textId="77777777" w:rsidR="00B259A8" w:rsidRPr="0072192C" w:rsidRDefault="00B259A8" w:rsidP="00F16E23">
            <w:pPr>
              <w:pStyle w:val="TableText"/>
              <w:spacing w:before="40" w:after="40"/>
              <w:rPr>
                <w:szCs w:val="16"/>
              </w:rPr>
            </w:pPr>
            <w:r w:rsidRPr="0072192C">
              <w:rPr>
                <w:rFonts w:eastAsia="Calibri"/>
                <w:szCs w:val="16"/>
              </w:rPr>
              <w:t>0.17</w:t>
            </w:r>
          </w:p>
        </w:tc>
        <w:tc>
          <w:tcPr>
            <w:tcW w:w="0" w:type="auto"/>
            <w:shd w:val="clear" w:color="auto" w:fill="FFFFFF"/>
            <w:tcMar>
              <w:top w:w="0" w:type="dxa"/>
              <w:left w:w="85" w:type="dxa"/>
              <w:bottom w:w="0" w:type="dxa"/>
              <w:right w:w="85" w:type="dxa"/>
            </w:tcMar>
            <w:vAlign w:val="center"/>
          </w:tcPr>
          <w:p w14:paraId="75CE7792"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0CCE0B29" w14:textId="77777777" w:rsidR="00B259A8" w:rsidRPr="0072192C" w:rsidRDefault="00B259A8" w:rsidP="00F16E23">
            <w:pPr>
              <w:pStyle w:val="TableText"/>
              <w:spacing w:before="40" w:after="40"/>
              <w:rPr>
                <w:szCs w:val="16"/>
              </w:rPr>
            </w:pPr>
            <w:r w:rsidRPr="0072192C">
              <w:rPr>
                <w:rFonts w:eastAsia="Calibri"/>
                <w:szCs w:val="16"/>
              </w:rPr>
              <w:t>Table 3.2, IPCC, 2006d</w:t>
            </w:r>
          </w:p>
        </w:tc>
      </w:tr>
      <w:tr w:rsidR="00B259A8" w:rsidRPr="0072192C" w14:paraId="210749FE" w14:textId="77777777" w:rsidTr="00F16E23">
        <w:tc>
          <w:tcPr>
            <w:tcW w:w="0" w:type="auto"/>
            <w:shd w:val="clear" w:color="auto" w:fill="FFFFFF"/>
            <w:tcMar>
              <w:top w:w="0" w:type="dxa"/>
              <w:left w:w="85" w:type="dxa"/>
              <w:bottom w:w="0" w:type="dxa"/>
              <w:right w:w="85" w:type="dxa"/>
            </w:tcMar>
            <w:vAlign w:val="center"/>
          </w:tcPr>
          <w:p w14:paraId="2011105B" w14:textId="77777777" w:rsidR="00B259A8" w:rsidRPr="0072192C" w:rsidRDefault="00B259A8" w:rsidP="00F16E23">
            <w:pPr>
              <w:pStyle w:val="TableText"/>
              <w:spacing w:before="40" w:after="40"/>
              <w:rPr>
                <w:szCs w:val="16"/>
              </w:rPr>
            </w:pPr>
            <w:r w:rsidRPr="0072192C">
              <w:rPr>
                <w:rFonts w:eastAsia="Calibri"/>
                <w:szCs w:val="16"/>
              </w:rPr>
              <w:t>Methane correction factor</w:t>
            </w:r>
          </w:p>
        </w:tc>
        <w:tc>
          <w:tcPr>
            <w:tcW w:w="0" w:type="auto"/>
            <w:shd w:val="clear" w:color="auto" w:fill="FFFFFF"/>
            <w:tcMar>
              <w:top w:w="0" w:type="dxa"/>
              <w:left w:w="85" w:type="dxa"/>
              <w:bottom w:w="0" w:type="dxa"/>
              <w:right w:w="85" w:type="dxa"/>
            </w:tcMar>
            <w:vAlign w:val="center"/>
          </w:tcPr>
          <w:p w14:paraId="49AD3479" w14:textId="77777777" w:rsidR="00B259A8" w:rsidRPr="0072192C" w:rsidRDefault="00B259A8" w:rsidP="00F16E23">
            <w:pPr>
              <w:pStyle w:val="TableText"/>
              <w:spacing w:before="40" w:after="40"/>
              <w:rPr>
                <w:szCs w:val="16"/>
              </w:rPr>
            </w:pPr>
            <w:r w:rsidRPr="0072192C">
              <w:rPr>
                <w:rFonts w:eastAsia="Calibri"/>
                <w:szCs w:val="16"/>
              </w:rPr>
              <w:t>0.6</w:t>
            </w:r>
          </w:p>
        </w:tc>
        <w:tc>
          <w:tcPr>
            <w:tcW w:w="0" w:type="auto"/>
            <w:shd w:val="clear" w:color="auto" w:fill="FFFFFF"/>
            <w:tcMar>
              <w:top w:w="0" w:type="dxa"/>
              <w:left w:w="85" w:type="dxa"/>
              <w:bottom w:w="0" w:type="dxa"/>
              <w:right w:w="85" w:type="dxa"/>
            </w:tcMar>
            <w:vAlign w:val="center"/>
          </w:tcPr>
          <w:p w14:paraId="14C2CF64"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109AE31B" w14:textId="77777777" w:rsidR="00B259A8" w:rsidRPr="0072192C" w:rsidRDefault="00B259A8" w:rsidP="00F16E23">
            <w:pPr>
              <w:pStyle w:val="TableText"/>
              <w:spacing w:before="40" w:after="40"/>
              <w:rPr>
                <w:szCs w:val="16"/>
              </w:rPr>
            </w:pPr>
            <w:r w:rsidRPr="0072192C">
              <w:rPr>
                <w:rFonts w:eastAsia="Calibri"/>
                <w:szCs w:val="16"/>
              </w:rPr>
              <w:t>Table 3.1, IPCC, 2006d</w:t>
            </w:r>
          </w:p>
        </w:tc>
      </w:tr>
      <w:tr w:rsidR="00B259A8" w:rsidRPr="0072192C" w14:paraId="0C938EFC" w14:textId="77777777" w:rsidTr="00F16E23">
        <w:tc>
          <w:tcPr>
            <w:tcW w:w="0" w:type="auto"/>
            <w:shd w:val="clear" w:color="auto" w:fill="FFFFFF"/>
            <w:tcMar>
              <w:top w:w="0" w:type="dxa"/>
              <w:left w:w="85" w:type="dxa"/>
              <w:bottom w:w="0" w:type="dxa"/>
              <w:right w:w="85" w:type="dxa"/>
            </w:tcMar>
            <w:vAlign w:val="center"/>
          </w:tcPr>
          <w:p w14:paraId="2FAE5E2E" w14:textId="77777777" w:rsidR="00B259A8" w:rsidRPr="0072192C" w:rsidRDefault="00B259A8" w:rsidP="00F16E23">
            <w:pPr>
              <w:pStyle w:val="TableText"/>
              <w:spacing w:before="40" w:after="40"/>
              <w:rPr>
                <w:szCs w:val="16"/>
              </w:rPr>
            </w:pPr>
            <w:r w:rsidRPr="0072192C">
              <w:rPr>
                <w:rFonts w:eastAsia="Calibri"/>
                <w:szCs w:val="16"/>
              </w:rPr>
              <w:t>Oxidation factor</w:t>
            </w:r>
          </w:p>
        </w:tc>
        <w:tc>
          <w:tcPr>
            <w:tcW w:w="0" w:type="auto"/>
            <w:shd w:val="clear" w:color="auto" w:fill="FFFFFF"/>
            <w:tcMar>
              <w:top w:w="0" w:type="dxa"/>
              <w:left w:w="85" w:type="dxa"/>
              <w:bottom w:w="0" w:type="dxa"/>
              <w:right w:w="85" w:type="dxa"/>
            </w:tcMar>
            <w:vAlign w:val="center"/>
          </w:tcPr>
          <w:p w14:paraId="4F5FDA6F" w14:textId="77777777" w:rsidR="00B259A8" w:rsidRPr="0072192C" w:rsidRDefault="00B259A8" w:rsidP="00F16E23">
            <w:pPr>
              <w:pStyle w:val="TableText"/>
              <w:spacing w:before="40" w:after="40"/>
              <w:rPr>
                <w:szCs w:val="16"/>
              </w:rPr>
            </w:pPr>
            <w:r w:rsidRPr="0072192C">
              <w:rPr>
                <w:rFonts w:eastAsia="Calibri"/>
                <w:szCs w:val="16"/>
              </w:rPr>
              <w:t>0 percent</w:t>
            </w:r>
          </w:p>
        </w:tc>
        <w:tc>
          <w:tcPr>
            <w:tcW w:w="0" w:type="auto"/>
            <w:shd w:val="clear" w:color="auto" w:fill="FFFFFF"/>
            <w:tcMar>
              <w:top w:w="0" w:type="dxa"/>
              <w:left w:w="85" w:type="dxa"/>
              <w:bottom w:w="0" w:type="dxa"/>
              <w:right w:w="85" w:type="dxa"/>
            </w:tcMar>
            <w:vAlign w:val="center"/>
          </w:tcPr>
          <w:p w14:paraId="2B4BB85B"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12EC4158" w14:textId="77777777" w:rsidR="00B259A8" w:rsidRPr="0072192C" w:rsidRDefault="00B259A8" w:rsidP="00F16E23">
            <w:pPr>
              <w:pStyle w:val="TableText"/>
              <w:spacing w:before="40" w:after="40"/>
              <w:rPr>
                <w:szCs w:val="16"/>
              </w:rPr>
            </w:pPr>
            <w:r w:rsidRPr="0072192C">
              <w:rPr>
                <w:rFonts w:eastAsia="Calibri"/>
                <w:szCs w:val="16"/>
              </w:rPr>
              <w:t>Table 3.2, IPCC, 2006d</w:t>
            </w:r>
          </w:p>
        </w:tc>
      </w:tr>
      <w:tr w:rsidR="00B259A8" w:rsidRPr="0072192C" w14:paraId="71384A64" w14:textId="77777777" w:rsidTr="00F16E23">
        <w:tc>
          <w:tcPr>
            <w:tcW w:w="0" w:type="auto"/>
            <w:shd w:val="clear" w:color="auto" w:fill="FFFFFF"/>
            <w:tcMar>
              <w:top w:w="0" w:type="dxa"/>
              <w:left w:w="85" w:type="dxa"/>
              <w:bottom w:w="0" w:type="dxa"/>
              <w:right w:w="85" w:type="dxa"/>
            </w:tcMar>
            <w:vAlign w:val="center"/>
          </w:tcPr>
          <w:p w14:paraId="13E10E00" w14:textId="77777777" w:rsidR="00B259A8" w:rsidRPr="0072192C" w:rsidRDefault="00B259A8" w:rsidP="00F16E23">
            <w:pPr>
              <w:pStyle w:val="TableText"/>
              <w:spacing w:before="40" w:after="40"/>
              <w:rPr>
                <w:szCs w:val="16"/>
              </w:rPr>
            </w:pPr>
            <w:r w:rsidRPr="0072192C">
              <w:rPr>
                <w:rFonts w:eastAsia="Calibri"/>
                <w:szCs w:val="16"/>
              </w:rPr>
              <w:t>Starting year</w:t>
            </w:r>
          </w:p>
        </w:tc>
        <w:tc>
          <w:tcPr>
            <w:tcW w:w="0" w:type="auto"/>
            <w:shd w:val="clear" w:color="auto" w:fill="FFFFFF"/>
            <w:tcMar>
              <w:top w:w="0" w:type="dxa"/>
              <w:left w:w="85" w:type="dxa"/>
              <w:bottom w:w="0" w:type="dxa"/>
              <w:right w:w="85" w:type="dxa"/>
            </w:tcMar>
            <w:vAlign w:val="center"/>
          </w:tcPr>
          <w:p w14:paraId="3BE2CF2C" w14:textId="77777777" w:rsidR="00B259A8" w:rsidRPr="0072192C" w:rsidRDefault="00B259A8" w:rsidP="00F16E23">
            <w:pPr>
              <w:pStyle w:val="TableText"/>
              <w:spacing w:before="40" w:after="40"/>
              <w:rPr>
                <w:szCs w:val="16"/>
              </w:rPr>
            </w:pPr>
            <w:r w:rsidRPr="0072192C">
              <w:rPr>
                <w:rFonts w:eastAsia="Calibri"/>
                <w:szCs w:val="16"/>
              </w:rPr>
              <w:t>1950</w:t>
            </w:r>
          </w:p>
        </w:tc>
        <w:tc>
          <w:tcPr>
            <w:tcW w:w="0" w:type="auto"/>
            <w:shd w:val="clear" w:color="auto" w:fill="FFFFFF"/>
            <w:tcMar>
              <w:top w:w="0" w:type="dxa"/>
              <w:left w:w="85" w:type="dxa"/>
              <w:bottom w:w="0" w:type="dxa"/>
              <w:right w:w="85" w:type="dxa"/>
            </w:tcMar>
            <w:vAlign w:val="center"/>
          </w:tcPr>
          <w:p w14:paraId="0732952B"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3A913F5B" w14:textId="77777777" w:rsidR="00B259A8" w:rsidRPr="0072192C" w:rsidRDefault="00B259A8" w:rsidP="00F16E23">
            <w:pPr>
              <w:pStyle w:val="TableText"/>
              <w:spacing w:before="40" w:after="40"/>
              <w:rPr>
                <w:szCs w:val="16"/>
              </w:rPr>
            </w:pPr>
            <w:r w:rsidRPr="0072192C">
              <w:rPr>
                <w:rFonts w:eastAsia="Calibri"/>
                <w:szCs w:val="16"/>
              </w:rPr>
              <w:t>Section 3.6, p 3.24, IPCC, 2006d</w:t>
            </w:r>
          </w:p>
        </w:tc>
      </w:tr>
      <w:tr w:rsidR="00B259A8" w:rsidRPr="0072192C" w14:paraId="01F4F2FE" w14:textId="77777777" w:rsidTr="00F16E23">
        <w:tc>
          <w:tcPr>
            <w:tcW w:w="0" w:type="auto"/>
            <w:shd w:val="clear" w:color="auto" w:fill="FFFFFF"/>
            <w:tcMar>
              <w:top w:w="0" w:type="dxa"/>
              <w:left w:w="85" w:type="dxa"/>
              <w:bottom w:w="0" w:type="dxa"/>
              <w:right w:w="85" w:type="dxa"/>
            </w:tcMar>
            <w:vAlign w:val="center"/>
          </w:tcPr>
          <w:p w14:paraId="178AD159" w14:textId="77777777" w:rsidR="00B259A8" w:rsidRPr="0072192C" w:rsidRDefault="00B259A8" w:rsidP="00F16E23">
            <w:pPr>
              <w:pStyle w:val="TableText"/>
              <w:spacing w:before="40" w:after="40"/>
              <w:rPr>
                <w:szCs w:val="16"/>
              </w:rPr>
            </w:pPr>
            <w:r w:rsidRPr="0072192C">
              <w:rPr>
                <w:rFonts w:eastAsia="Calibri"/>
                <w:szCs w:val="16"/>
              </w:rPr>
              <w:t>Delay time</w:t>
            </w:r>
          </w:p>
        </w:tc>
        <w:tc>
          <w:tcPr>
            <w:tcW w:w="0" w:type="auto"/>
            <w:shd w:val="clear" w:color="auto" w:fill="FFFFFF"/>
            <w:tcMar>
              <w:top w:w="0" w:type="dxa"/>
              <w:left w:w="85" w:type="dxa"/>
              <w:bottom w:w="0" w:type="dxa"/>
              <w:right w:w="85" w:type="dxa"/>
            </w:tcMar>
            <w:vAlign w:val="center"/>
          </w:tcPr>
          <w:p w14:paraId="438DEFEA" w14:textId="77777777" w:rsidR="00B259A8" w:rsidRPr="0072192C" w:rsidRDefault="00B259A8" w:rsidP="00F16E23">
            <w:pPr>
              <w:pStyle w:val="TableText"/>
              <w:spacing w:before="40" w:after="40"/>
              <w:rPr>
                <w:szCs w:val="16"/>
              </w:rPr>
            </w:pPr>
            <w:r w:rsidRPr="0072192C">
              <w:rPr>
                <w:rFonts w:eastAsia="Calibri"/>
                <w:szCs w:val="16"/>
              </w:rPr>
              <w:t>6 months</w:t>
            </w:r>
          </w:p>
        </w:tc>
        <w:tc>
          <w:tcPr>
            <w:tcW w:w="0" w:type="auto"/>
            <w:shd w:val="clear" w:color="auto" w:fill="FFFFFF"/>
            <w:tcMar>
              <w:top w:w="0" w:type="dxa"/>
              <w:left w:w="85" w:type="dxa"/>
              <w:bottom w:w="0" w:type="dxa"/>
              <w:right w:w="85" w:type="dxa"/>
            </w:tcMar>
            <w:vAlign w:val="center"/>
          </w:tcPr>
          <w:p w14:paraId="3739C0C5"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3DA51A76" w14:textId="77777777" w:rsidR="00B259A8" w:rsidRPr="0072192C" w:rsidRDefault="00B259A8" w:rsidP="00F16E23">
            <w:pPr>
              <w:pStyle w:val="TableText"/>
              <w:spacing w:before="40" w:after="40"/>
              <w:rPr>
                <w:szCs w:val="16"/>
              </w:rPr>
            </w:pPr>
            <w:r w:rsidRPr="0072192C">
              <w:rPr>
                <w:rFonts w:eastAsia="Calibri"/>
                <w:szCs w:val="16"/>
              </w:rPr>
              <w:t>Section 3.2.3, p 3.19, IPCC, 2006d</w:t>
            </w:r>
          </w:p>
        </w:tc>
      </w:tr>
      <w:tr w:rsidR="00B259A8" w:rsidRPr="0072192C" w14:paraId="0E970BA5" w14:textId="77777777" w:rsidTr="00F16E23">
        <w:tc>
          <w:tcPr>
            <w:tcW w:w="0" w:type="auto"/>
            <w:shd w:val="clear" w:color="auto" w:fill="FFFFFF"/>
            <w:tcMar>
              <w:top w:w="0" w:type="dxa"/>
              <w:left w:w="85" w:type="dxa"/>
              <w:bottom w:w="0" w:type="dxa"/>
              <w:right w:w="85" w:type="dxa"/>
            </w:tcMar>
            <w:vAlign w:val="center"/>
          </w:tcPr>
          <w:p w14:paraId="2D1AB0BF" w14:textId="77777777" w:rsidR="00B259A8" w:rsidRPr="0072192C" w:rsidRDefault="00B259A8" w:rsidP="00F16E23">
            <w:pPr>
              <w:pStyle w:val="TableText"/>
              <w:spacing w:before="40" w:after="40"/>
              <w:rPr>
                <w:szCs w:val="16"/>
              </w:rPr>
            </w:pPr>
            <w:r w:rsidRPr="0072192C">
              <w:rPr>
                <w:rFonts w:eastAsia="Calibri"/>
                <w:szCs w:val="16"/>
              </w:rPr>
              <w:t>Fraction of DOC that decomposes</w:t>
            </w:r>
          </w:p>
        </w:tc>
        <w:tc>
          <w:tcPr>
            <w:tcW w:w="0" w:type="auto"/>
            <w:shd w:val="clear" w:color="auto" w:fill="FFFFFF"/>
            <w:tcMar>
              <w:top w:w="0" w:type="dxa"/>
              <w:left w:w="85" w:type="dxa"/>
              <w:bottom w:w="0" w:type="dxa"/>
              <w:right w:w="85" w:type="dxa"/>
            </w:tcMar>
            <w:vAlign w:val="center"/>
          </w:tcPr>
          <w:p w14:paraId="73FB6B40" w14:textId="77777777" w:rsidR="00B259A8" w:rsidRPr="0072192C" w:rsidRDefault="00B259A8" w:rsidP="00F16E23">
            <w:pPr>
              <w:pStyle w:val="TableText"/>
              <w:spacing w:before="40" w:after="40"/>
              <w:rPr>
                <w:szCs w:val="16"/>
              </w:rPr>
            </w:pPr>
            <w:r w:rsidRPr="0072192C">
              <w:rPr>
                <w:rFonts w:eastAsia="Calibri"/>
                <w:szCs w:val="16"/>
              </w:rPr>
              <w:t>0.5</w:t>
            </w:r>
          </w:p>
        </w:tc>
        <w:tc>
          <w:tcPr>
            <w:tcW w:w="0" w:type="auto"/>
            <w:shd w:val="clear" w:color="auto" w:fill="FFFFFF"/>
            <w:tcMar>
              <w:top w:w="0" w:type="dxa"/>
              <w:left w:w="85" w:type="dxa"/>
              <w:bottom w:w="0" w:type="dxa"/>
              <w:right w:w="85" w:type="dxa"/>
            </w:tcMar>
            <w:vAlign w:val="center"/>
          </w:tcPr>
          <w:p w14:paraId="0F4E5B42"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4C0FA0C2" w14:textId="77777777" w:rsidR="00B259A8" w:rsidRPr="0072192C" w:rsidRDefault="00B259A8" w:rsidP="00F16E23">
            <w:pPr>
              <w:pStyle w:val="TableText"/>
              <w:spacing w:before="40" w:after="40"/>
              <w:rPr>
                <w:szCs w:val="16"/>
              </w:rPr>
            </w:pPr>
            <w:r w:rsidRPr="0072192C">
              <w:rPr>
                <w:rFonts w:eastAsia="Calibri"/>
                <w:szCs w:val="16"/>
              </w:rPr>
              <w:t>Section 3.2.3, p 3.13, IPCC, 2006d</w:t>
            </w:r>
          </w:p>
        </w:tc>
      </w:tr>
      <w:tr w:rsidR="00B259A8" w:rsidRPr="0072192C" w14:paraId="30B37DFC" w14:textId="77777777" w:rsidTr="00F16E23">
        <w:tc>
          <w:tcPr>
            <w:tcW w:w="0" w:type="auto"/>
            <w:shd w:val="clear" w:color="auto" w:fill="FFFFFF"/>
            <w:tcMar>
              <w:top w:w="0" w:type="dxa"/>
              <w:left w:w="85" w:type="dxa"/>
              <w:bottom w:w="0" w:type="dxa"/>
              <w:right w:w="85" w:type="dxa"/>
            </w:tcMar>
            <w:vAlign w:val="center"/>
          </w:tcPr>
          <w:p w14:paraId="53A67243" w14:textId="77777777" w:rsidR="00B259A8" w:rsidRPr="0072192C" w:rsidRDefault="00B259A8" w:rsidP="00F16E23">
            <w:pPr>
              <w:pStyle w:val="TableText"/>
              <w:spacing w:before="40" w:after="40"/>
              <w:rPr>
                <w:szCs w:val="16"/>
              </w:rPr>
            </w:pPr>
            <w:r w:rsidRPr="0072192C">
              <w:rPr>
                <w:rFonts w:eastAsia="Calibri"/>
                <w:szCs w:val="16"/>
              </w:rPr>
              <w:t>Fraction of CH</w:t>
            </w:r>
            <w:r w:rsidRPr="0072192C">
              <w:rPr>
                <w:rFonts w:eastAsia="Calibri"/>
                <w:szCs w:val="16"/>
                <w:vertAlign w:val="subscript"/>
              </w:rPr>
              <w:t>4</w:t>
            </w:r>
            <w:r w:rsidRPr="0072192C">
              <w:rPr>
                <w:rFonts w:eastAsia="Calibri"/>
                <w:szCs w:val="16"/>
              </w:rPr>
              <w:t xml:space="preserve"> in gas</w:t>
            </w:r>
          </w:p>
        </w:tc>
        <w:tc>
          <w:tcPr>
            <w:tcW w:w="0" w:type="auto"/>
            <w:shd w:val="clear" w:color="auto" w:fill="FFFFFF"/>
            <w:tcMar>
              <w:top w:w="0" w:type="dxa"/>
              <w:left w:w="85" w:type="dxa"/>
              <w:bottom w:w="0" w:type="dxa"/>
              <w:right w:w="85" w:type="dxa"/>
            </w:tcMar>
            <w:vAlign w:val="center"/>
          </w:tcPr>
          <w:p w14:paraId="337A4C75" w14:textId="77777777" w:rsidR="00B259A8" w:rsidRPr="0072192C" w:rsidRDefault="00B259A8" w:rsidP="00F16E23">
            <w:pPr>
              <w:pStyle w:val="TableText"/>
              <w:spacing w:before="40" w:after="40"/>
              <w:rPr>
                <w:szCs w:val="16"/>
              </w:rPr>
            </w:pPr>
            <w:r w:rsidRPr="0072192C">
              <w:rPr>
                <w:rFonts w:eastAsia="Calibri"/>
                <w:szCs w:val="16"/>
              </w:rPr>
              <w:t>0.5</w:t>
            </w:r>
          </w:p>
        </w:tc>
        <w:tc>
          <w:tcPr>
            <w:tcW w:w="0" w:type="auto"/>
            <w:shd w:val="clear" w:color="auto" w:fill="FFFFFF"/>
            <w:tcMar>
              <w:top w:w="0" w:type="dxa"/>
              <w:left w:w="85" w:type="dxa"/>
              <w:bottom w:w="0" w:type="dxa"/>
              <w:right w:w="85" w:type="dxa"/>
            </w:tcMar>
            <w:vAlign w:val="center"/>
          </w:tcPr>
          <w:p w14:paraId="75D3EF5B"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0" w:type="auto"/>
            <w:shd w:val="clear" w:color="auto" w:fill="FFFFFF"/>
            <w:tcMar>
              <w:top w:w="0" w:type="dxa"/>
              <w:left w:w="85" w:type="dxa"/>
              <w:bottom w:w="0" w:type="dxa"/>
              <w:right w:w="85" w:type="dxa"/>
            </w:tcMar>
            <w:vAlign w:val="center"/>
          </w:tcPr>
          <w:p w14:paraId="5E926181" w14:textId="77777777" w:rsidR="00B259A8" w:rsidRPr="0072192C" w:rsidRDefault="00B259A8" w:rsidP="00F16E23">
            <w:pPr>
              <w:pStyle w:val="TableText"/>
              <w:spacing w:before="40" w:after="40"/>
              <w:rPr>
                <w:szCs w:val="16"/>
              </w:rPr>
            </w:pPr>
            <w:r w:rsidRPr="0072192C">
              <w:rPr>
                <w:rFonts w:eastAsia="Calibri"/>
                <w:szCs w:val="16"/>
              </w:rPr>
              <w:t>Section 3.2.3, p 3.15, IPCC, 2006d</w:t>
            </w:r>
          </w:p>
        </w:tc>
      </w:tr>
      <w:tr w:rsidR="00B259A8" w:rsidRPr="0072192C" w14:paraId="0EA509B6" w14:textId="77777777" w:rsidTr="00F16E23">
        <w:tc>
          <w:tcPr>
            <w:tcW w:w="0" w:type="auto"/>
            <w:shd w:val="clear" w:color="auto" w:fill="FFFFFF"/>
            <w:tcMar>
              <w:top w:w="0" w:type="dxa"/>
              <w:left w:w="85" w:type="dxa"/>
              <w:bottom w:w="0" w:type="dxa"/>
              <w:right w:w="85" w:type="dxa"/>
            </w:tcMar>
            <w:vAlign w:val="center"/>
          </w:tcPr>
          <w:p w14:paraId="70F50A81" w14:textId="77777777" w:rsidR="00B259A8" w:rsidRPr="0072192C" w:rsidRDefault="00B259A8" w:rsidP="00F16E23">
            <w:pPr>
              <w:pStyle w:val="TableText"/>
              <w:spacing w:before="40" w:after="40"/>
              <w:rPr>
                <w:szCs w:val="16"/>
              </w:rPr>
            </w:pPr>
            <w:r w:rsidRPr="0072192C">
              <w:rPr>
                <w:rFonts w:eastAsia="Calibri"/>
                <w:szCs w:val="16"/>
              </w:rPr>
              <w:t>Amount of waste per person per year</w:t>
            </w:r>
          </w:p>
        </w:tc>
        <w:tc>
          <w:tcPr>
            <w:tcW w:w="0" w:type="auto"/>
            <w:shd w:val="clear" w:color="auto" w:fill="FFFFFF"/>
            <w:tcMar>
              <w:top w:w="0" w:type="dxa"/>
              <w:left w:w="85" w:type="dxa"/>
              <w:bottom w:w="0" w:type="dxa"/>
              <w:right w:w="85" w:type="dxa"/>
            </w:tcMar>
            <w:vAlign w:val="center"/>
          </w:tcPr>
          <w:p w14:paraId="03A0EE87" w14:textId="77777777" w:rsidR="00B259A8" w:rsidRPr="0072192C" w:rsidRDefault="00B259A8" w:rsidP="00F16E23">
            <w:pPr>
              <w:pStyle w:val="TableText"/>
              <w:spacing w:before="40" w:after="40"/>
              <w:rPr>
                <w:szCs w:val="16"/>
              </w:rPr>
            </w:pPr>
            <w:r w:rsidRPr="0072192C">
              <w:rPr>
                <w:rFonts w:eastAsia="Calibri"/>
                <w:szCs w:val="16"/>
              </w:rPr>
              <w:t>690 kg</w:t>
            </w:r>
          </w:p>
        </w:tc>
        <w:tc>
          <w:tcPr>
            <w:tcW w:w="0" w:type="auto"/>
            <w:shd w:val="clear" w:color="auto" w:fill="FFFFFF"/>
            <w:tcMar>
              <w:top w:w="0" w:type="dxa"/>
              <w:left w:w="85" w:type="dxa"/>
              <w:bottom w:w="0" w:type="dxa"/>
              <w:right w:w="85" w:type="dxa"/>
            </w:tcMar>
            <w:vAlign w:val="center"/>
          </w:tcPr>
          <w:p w14:paraId="4FEB67AA" w14:textId="77777777" w:rsidR="00B259A8" w:rsidRPr="0072192C" w:rsidRDefault="00B259A8" w:rsidP="00F16E23">
            <w:pPr>
              <w:pStyle w:val="TableText"/>
              <w:spacing w:before="40" w:after="40"/>
              <w:rPr>
                <w:szCs w:val="16"/>
              </w:rPr>
            </w:pPr>
            <w:r w:rsidRPr="0072192C">
              <w:rPr>
                <w:rFonts w:eastAsia="Calibri"/>
                <w:szCs w:val="16"/>
              </w:rPr>
              <w:t>IPCC default for Oceania</w:t>
            </w:r>
          </w:p>
        </w:tc>
        <w:tc>
          <w:tcPr>
            <w:tcW w:w="0" w:type="auto"/>
            <w:shd w:val="clear" w:color="auto" w:fill="FFFFFF"/>
            <w:tcMar>
              <w:top w:w="0" w:type="dxa"/>
              <w:left w:w="85" w:type="dxa"/>
              <w:bottom w:w="0" w:type="dxa"/>
              <w:right w:w="85" w:type="dxa"/>
            </w:tcMar>
            <w:vAlign w:val="center"/>
          </w:tcPr>
          <w:p w14:paraId="14F4CE8F" w14:textId="77777777" w:rsidR="00B259A8" w:rsidRPr="0072192C" w:rsidRDefault="00B259A8" w:rsidP="00F16E23">
            <w:pPr>
              <w:pStyle w:val="TableText"/>
              <w:spacing w:before="40" w:after="40"/>
              <w:rPr>
                <w:szCs w:val="16"/>
              </w:rPr>
            </w:pPr>
            <w:r w:rsidRPr="0072192C">
              <w:rPr>
                <w:rFonts w:eastAsia="Calibri"/>
                <w:szCs w:val="16"/>
              </w:rPr>
              <w:t>Annex 2A.1, IPCC, 2006d</w:t>
            </w:r>
          </w:p>
        </w:tc>
      </w:tr>
      <w:tr w:rsidR="00B259A8" w:rsidRPr="0072192C" w14:paraId="5AA01FD9" w14:textId="77777777" w:rsidTr="00F16E23">
        <w:tc>
          <w:tcPr>
            <w:tcW w:w="0" w:type="auto"/>
            <w:shd w:val="clear" w:color="auto" w:fill="FFFFFF"/>
            <w:tcMar>
              <w:top w:w="0" w:type="dxa"/>
              <w:left w:w="85" w:type="dxa"/>
              <w:bottom w:w="0" w:type="dxa"/>
              <w:right w:w="85" w:type="dxa"/>
            </w:tcMar>
            <w:vAlign w:val="center"/>
          </w:tcPr>
          <w:p w14:paraId="6C7242B6" w14:textId="77777777" w:rsidR="00B259A8" w:rsidRPr="0072192C" w:rsidRDefault="00B259A8" w:rsidP="00F16E23">
            <w:pPr>
              <w:pStyle w:val="TableText"/>
              <w:spacing w:before="40" w:after="40"/>
              <w:rPr>
                <w:szCs w:val="16"/>
              </w:rPr>
            </w:pPr>
            <w:r w:rsidRPr="0072192C">
              <w:rPr>
                <w:rFonts w:eastAsia="Calibri"/>
                <w:szCs w:val="16"/>
              </w:rPr>
              <w:t>Amount of waste landfilled</w:t>
            </w:r>
          </w:p>
        </w:tc>
        <w:tc>
          <w:tcPr>
            <w:tcW w:w="0" w:type="auto"/>
            <w:shd w:val="clear" w:color="auto" w:fill="FFFFFF"/>
            <w:tcMar>
              <w:top w:w="0" w:type="dxa"/>
              <w:left w:w="85" w:type="dxa"/>
              <w:bottom w:w="0" w:type="dxa"/>
              <w:right w:w="85" w:type="dxa"/>
            </w:tcMar>
            <w:vAlign w:val="center"/>
          </w:tcPr>
          <w:p w14:paraId="767637C6" w14:textId="77777777" w:rsidR="00B259A8" w:rsidRPr="0072192C" w:rsidRDefault="00B259A8" w:rsidP="00F16E23">
            <w:pPr>
              <w:pStyle w:val="TableText"/>
              <w:spacing w:before="40" w:after="40"/>
              <w:rPr>
                <w:szCs w:val="16"/>
              </w:rPr>
            </w:pPr>
            <w:r w:rsidRPr="0072192C">
              <w:rPr>
                <w:rFonts w:eastAsia="Calibri"/>
                <w:szCs w:val="16"/>
              </w:rPr>
              <w:t>50 percent</w:t>
            </w:r>
          </w:p>
        </w:tc>
        <w:tc>
          <w:tcPr>
            <w:tcW w:w="0" w:type="auto"/>
            <w:shd w:val="clear" w:color="auto" w:fill="FFFFFF"/>
            <w:tcMar>
              <w:top w:w="0" w:type="dxa"/>
              <w:left w:w="85" w:type="dxa"/>
              <w:bottom w:w="0" w:type="dxa"/>
              <w:right w:w="85" w:type="dxa"/>
            </w:tcMar>
            <w:vAlign w:val="center"/>
          </w:tcPr>
          <w:p w14:paraId="3046AA48" w14:textId="77777777" w:rsidR="00B259A8" w:rsidRPr="0072192C" w:rsidRDefault="00B259A8" w:rsidP="00F16E23">
            <w:pPr>
              <w:pStyle w:val="TableText"/>
              <w:spacing w:before="40" w:after="40"/>
              <w:rPr>
                <w:szCs w:val="16"/>
              </w:rPr>
            </w:pPr>
            <w:r w:rsidRPr="0072192C">
              <w:rPr>
                <w:rFonts w:eastAsia="Calibri"/>
                <w:szCs w:val="16"/>
              </w:rPr>
              <w:t>Assumption</w:t>
            </w:r>
          </w:p>
        </w:tc>
        <w:tc>
          <w:tcPr>
            <w:tcW w:w="0" w:type="auto"/>
            <w:shd w:val="clear" w:color="auto" w:fill="FFFFFF"/>
            <w:tcMar>
              <w:top w:w="0" w:type="dxa"/>
              <w:left w:w="85" w:type="dxa"/>
              <w:bottom w:w="0" w:type="dxa"/>
              <w:right w:w="85" w:type="dxa"/>
            </w:tcMar>
            <w:vAlign w:val="center"/>
          </w:tcPr>
          <w:p w14:paraId="21FF4FAB" w14:textId="77777777" w:rsidR="00B259A8" w:rsidRPr="0072192C" w:rsidRDefault="00B259A8" w:rsidP="00F16E23">
            <w:pPr>
              <w:pStyle w:val="TableText"/>
              <w:spacing w:before="40" w:after="40"/>
              <w:rPr>
                <w:szCs w:val="16"/>
              </w:rPr>
            </w:pPr>
          </w:p>
        </w:tc>
      </w:tr>
    </w:tbl>
    <w:p w14:paraId="4BF2A1AC" w14:textId="77777777" w:rsidR="00B259A8" w:rsidRPr="0072192C" w:rsidRDefault="00B259A8" w:rsidP="00B259A8">
      <w:pPr>
        <w:pStyle w:val="Noteundertable"/>
      </w:pPr>
      <w:r w:rsidRPr="0072192C">
        <w:rPr>
          <w:b/>
          <w:bCs/>
        </w:rPr>
        <w:t>Note:</w:t>
      </w:r>
      <w:r w:rsidRPr="0072192C">
        <w:tab/>
        <w:t>DOC = degradable organic carbon; MSW = municipal solid waste; SWDS = solid waste disposal sites.</w:t>
      </w:r>
    </w:p>
    <w:p w14:paraId="36311528" w14:textId="77777777" w:rsidR="00B259A8" w:rsidRPr="0072192C" w:rsidRDefault="00B259A8" w:rsidP="00B259A8">
      <w:pPr>
        <w:pStyle w:val="Heading3"/>
        <w:tabs>
          <w:tab w:val="clear" w:pos="851"/>
          <w:tab w:val="left" w:pos="964"/>
        </w:tabs>
      </w:pPr>
      <w:bookmarkStart w:id="3288" w:name="X9b79e4fefa7188dad27b479ccb933c05645bf7e"/>
      <w:bookmarkEnd w:id="3283"/>
      <w:bookmarkEnd w:id="3285"/>
      <w:r w:rsidRPr="0072192C">
        <w:t>8.13.3</w:t>
      </w:r>
      <w:r w:rsidRPr="0072192C">
        <w:tab/>
        <w:t>Uncertainty assessment and time-series consistency</w:t>
      </w:r>
    </w:p>
    <w:p w14:paraId="140578EC" w14:textId="77777777" w:rsidR="00B259A8" w:rsidRPr="0072192C" w:rsidRDefault="00B259A8" w:rsidP="00B259A8">
      <w:pPr>
        <w:pStyle w:val="BodyText"/>
      </w:pPr>
      <w:r w:rsidRPr="0072192C">
        <w:t xml:space="preserve">The same uncertainty data for </w:t>
      </w:r>
      <w:r w:rsidRPr="0072192C">
        <w:rPr>
          <w:i/>
          <w:iCs/>
        </w:rPr>
        <w:t>Solid waste disposal</w:t>
      </w:r>
      <w:r w:rsidRPr="0072192C">
        <w:t xml:space="preserve"> were used for Tokelau (see table 8.13.2) and New Zealand (see table 7.2.9, chapter 7, for methodological notes, and refer to the uncertainties for the </w:t>
      </w:r>
      <w:r w:rsidRPr="0072192C">
        <w:rPr>
          <w:i/>
          <w:iCs/>
        </w:rPr>
        <w:t>Solid waste disposal</w:t>
      </w:r>
      <w:r w:rsidRPr="0072192C">
        <w:t xml:space="preserve"> category in section 7.2.3, chapter 7).</w:t>
      </w:r>
    </w:p>
    <w:p w14:paraId="30FCC3F6" w14:textId="77777777" w:rsidR="00B259A8" w:rsidRPr="0072192C" w:rsidRDefault="00B259A8" w:rsidP="00B259A8">
      <w:pPr>
        <w:pStyle w:val="Table"/>
      </w:pPr>
      <w:bookmarkStart w:id="3289" w:name="_Toc225424326"/>
      <w:bookmarkStart w:id="3290" w:name="_Toc226669149"/>
      <w:r w:rsidRPr="0072192C">
        <w:t>Table 8.13.2</w:t>
      </w:r>
      <w:r w:rsidRPr="0072192C">
        <w:tab/>
        <w:t xml:space="preserve">Uncertainty in emissions from the </w:t>
      </w:r>
      <w:r w:rsidRPr="0072192C">
        <w:rPr>
          <w:i/>
          <w:iCs/>
        </w:rPr>
        <w:t>Solid waste disposal</w:t>
      </w:r>
      <w:r w:rsidRPr="0072192C">
        <w:t xml:space="preserve"> category</w:t>
      </w:r>
      <w:bookmarkEnd w:id="3289"/>
      <w:bookmarkEnd w:id="329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021"/>
        <w:gridCol w:w="3057"/>
        <w:gridCol w:w="3416"/>
      </w:tblGrid>
      <w:tr w:rsidR="00B259A8" w:rsidRPr="0072192C" w14:paraId="56C14441" w14:textId="77777777" w:rsidTr="00F16E23">
        <w:trPr>
          <w:tblHeader/>
        </w:trPr>
        <w:tc>
          <w:tcPr>
            <w:tcW w:w="0" w:type="auto"/>
            <w:shd w:val="clear" w:color="auto" w:fill="1B556B"/>
            <w:tcMar>
              <w:top w:w="0" w:type="dxa"/>
              <w:left w:w="85" w:type="dxa"/>
              <w:bottom w:w="0" w:type="dxa"/>
              <w:right w:w="85" w:type="dxa"/>
            </w:tcMar>
            <w:vAlign w:val="center"/>
          </w:tcPr>
          <w:p w14:paraId="6BF6801E" w14:textId="77777777" w:rsidR="00B259A8" w:rsidRPr="0072192C" w:rsidRDefault="00B259A8" w:rsidP="00F16E23">
            <w:pPr>
              <w:pStyle w:val="TableTextBold"/>
              <w:rPr>
                <w:noProof w:val="0"/>
                <w:color w:val="FFFFFF" w:themeColor="background1"/>
              </w:rPr>
            </w:pPr>
            <w:r w:rsidRPr="0072192C">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6A9DF13D" w14:textId="77777777" w:rsidR="00B259A8" w:rsidRPr="0072192C" w:rsidRDefault="00B259A8" w:rsidP="00F16E23">
            <w:pPr>
              <w:pStyle w:val="TableTextBold"/>
              <w:jc w:val="right"/>
              <w:rPr>
                <w:noProof w:val="0"/>
                <w:color w:val="FFFFFF" w:themeColor="background1"/>
              </w:rPr>
            </w:pPr>
            <w:r w:rsidRPr="0072192C">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483C9231" w14:textId="77777777" w:rsidR="00B259A8" w:rsidRPr="0072192C" w:rsidRDefault="00B259A8" w:rsidP="00F16E23">
            <w:pPr>
              <w:pStyle w:val="TableTextBold"/>
              <w:jc w:val="right"/>
              <w:rPr>
                <w:noProof w:val="0"/>
                <w:color w:val="FFFFFF" w:themeColor="background1"/>
              </w:rPr>
            </w:pPr>
            <w:r w:rsidRPr="0072192C">
              <w:rPr>
                <w:rFonts w:eastAsia="Calibri"/>
                <w:noProof w:val="0"/>
                <w:color w:val="FFFFFF" w:themeColor="background1"/>
              </w:rPr>
              <w:t>Uncertainty in emission factors (%)</w:t>
            </w:r>
          </w:p>
        </w:tc>
      </w:tr>
      <w:tr w:rsidR="00B259A8" w:rsidRPr="0072192C" w14:paraId="53D5BB06" w14:textId="77777777" w:rsidTr="00F16E23">
        <w:tc>
          <w:tcPr>
            <w:tcW w:w="0" w:type="auto"/>
            <w:shd w:val="clear" w:color="auto" w:fill="FFFFFF"/>
            <w:tcMar>
              <w:top w:w="0" w:type="dxa"/>
              <w:left w:w="85" w:type="dxa"/>
              <w:bottom w:w="0" w:type="dxa"/>
              <w:right w:w="85" w:type="dxa"/>
            </w:tcMar>
            <w:vAlign w:val="center"/>
          </w:tcPr>
          <w:p w14:paraId="4F646560" w14:textId="77777777" w:rsidR="00B259A8" w:rsidRPr="0072192C" w:rsidRDefault="00B259A8" w:rsidP="00F16E23">
            <w:pPr>
              <w:pStyle w:val="TableText"/>
            </w:pPr>
            <w:r w:rsidRPr="0072192C">
              <w:rPr>
                <w:rFonts w:eastAsia="Calibri"/>
              </w:rPr>
              <w:t>Solid waste disposal</w:t>
            </w:r>
          </w:p>
        </w:tc>
        <w:tc>
          <w:tcPr>
            <w:tcW w:w="0" w:type="auto"/>
            <w:shd w:val="clear" w:color="auto" w:fill="FFFFFF"/>
            <w:tcMar>
              <w:top w:w="0" w:type="dxa"/>
              <w:left w:w="85" w:type="dxa"/>
              <w:bottom w:w="0" w:type="dxa"/>
              <w:right w:w="85" w:type="dxa"/>
            </w:tcMar>
            <w:vAlign w:val="center"/>
          </w:tcPr>
          <w:p w14:paraId="59920611" w14:textId="77777777" w:rsidR="00B259A8" w:rsidRPr="0072192C" w:rsidRDefault="00B259A8" w:rsidP="00F16E23">
            <w:pPr>
              <w:pStyle w:val="TableText"/>
              <w:jc w:val="right"/>
            </w:pPr>
            <w:r w:rsidRPr="0072192C">
              <w:rPr>
                <w:rFonts w:eastAsia="Calibri"/>
              </w:rPr>
              <w:t>±140</w:t>
            </w:r>
          </w:p>
        </w:tc>
        <w:tc>
          <w:tcPr>
            <w:tcW w:w="0" w:type="auto"/>
            <w:shd w:val="clear" w:color="auto" w:fill="FFFFFF"/>
            <w:tcMar>
              <w:top w:w="0" w:type="dxa"/>
              <w:left w:w="85" w:type="dxa"/>
              <w:bottom w:w="0" w:type="dxa"/>
              <w:right w:w="85" w:type="dxa"/>
            </w:tcMar>
            <w:vAlign w:val="center"/>
          </w:tcPr>
          <w:p w14:paraId="51FF8D1F" w14:textId="77777777" w:rsidR="00B259A8" w:rsidRPr="0072192C" w:rsidRDefault="00B259A8" w:rsidP="00F16E23">
            <w:pPr>
              <w:pStyle w:val="TableText"/>
              <w:jc w:val="right"/>
            </w:pPr>
            <w:r w:rsidRPr="0072192C">
              <w:rPr>
                <w:rFonts w:eastAsia="Calibri"/>
              </w:rPr>
              <w:t>±40</w:t>
            </w:r>
          </w:p>
        </w:tc>
      </w:tr>
    </w:tbl>
    <w:p w14:paraId="4974AA13" w14:textId="77777777" w:rsidR="00B259A8" w:rsidRPr="0072192C" w:rsidRDefault="00B259A8" w:rsidP="00B259A8">
      <w:pPr>
        <w:pStyle w:val="BodyText"/>
        <w:spacing w:before="240"/>
      </w:pPr>
      <w:r w:rsidRPr="0072192C">
        <w:t>Time-series consistency is maintained by interpolating the population data in between census years (which are generally five years apart).</w:t>
      </w:r>
    </w:p>
    <w:p w14:paraId="1BAD6D07" w14:textId="77777777" w:rsidR="00B259A8" w:rsidRPr="0072192C" w:rsidRDefault="00B259A8" w:rsidP="00B259A8">
      <w:pPr>
        <w:pStyle w:val="Heading3"/>
        <w:tabs>
          <w:tab w:val="clear" w:pos="851"/>
          <w:tab w:val="left" w:pos="964"/>
        </w:tabs>
      </w:pPr>
      <w:bookmarkStart w:id="3291" w:name="X9e51331d4552f7898c3145f15aafcd553318a4a"/>
      <w:bookmarkEnd w:id="3288"/>
      <w:r w:rsidRPr="0072192C">
        <w:t>8.13.4</w:t>
      </w:r>
      <w:r w:rsidRPr="0072192C">
        <w:tab/>
        <w:t>Category-specific QA/QC and verification</w:t>
      </w:r>
    </w:p>
    <w:p w14:paraId="673C5C04"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11A2E152" w14:textId="77777777" w:rsidR="00B259A8" w:rsidRPr="0072192C" w:rsidRDefault="00B259A8" w:rsidP="00B259A8">
      <w:pPr>
        <w:pStyle w:val="Heading3"/>
        <w:tabs>
          <w:tab w:val="clear" w:pos="851"/>
          <w:tab w:val="left" w:pos="964"/>
        </w:tabs>
      </w:pPr>
      <w:bookmarkStart w:id="3292" w:name="category-specific-recalculations-7"/>
      <w:bookmarkEnd w:id="3291"/>
      <w:r w:rsidRPr="0072192C">
        <w:t>8.13.5</w:t>
      </w:r>
      <w:r w:rsidRPr="0072192C">
        <w:tab/>
        <w:t>Category-specific recalculations</w:t>
      </w:r>
    </w:p>
    <w:p w14:paraId="30AAAE6D" w14:textId="77777777" w:rsidR="00B259A8" w:rsidRPr="0072192C" w:rsidRDefault="00B259A8" w:rsidP="00B259A8">
      <w:pPr>
        <w:pStyle w:val="BodyText"/>
      </w:pPr>
      <w:r w:rsidRPr="0072192C">
        <w:t xml:space="preserve">There were no changes to estimates for the </w:t>
      </w:r>
      <w:r w:rsidRPr="0072192C">
        <w:rPr>
          <w:i/>
          <w:iCs/>
        </w:rPr>
        <w:t>Solid waste disposal</w:t>
      </w:r>
      <w:r w:rsidRPr="0072192C">
        <w:t xml:space="preserve"> category.</w:t>
      </w:r>
    </w:p>
    <w:p w14:paraId="1EF268D0" w14:textId="77777777" w:rsidR="00B259A8" w:rsidRPr="0072192C" w:rsidRDefault="00B259A8" w:rsidP="00B259A8">
      <w:pPr>
        <w:pStyle w:val="Heading3"/>
        <w:tabs>
          <w:tab w:val="clear" w:pos="851"/>
          <w:tab w:val="left" w:pos="964"/>
        </w:tabs>
      </w:pPr>
      <w:bookmarkStart w:id="3293" w:name="category-specific-planned-improvements-7"/>
      <w:bookmarkEnd w:id="3292"/>
      <w:r w:rsidRPr="0072192C">
        <w:t>8.13.6</w:t>
      </w:r>
      <w:r w:rsidRPr="0072192C">
        <w:tab/>
        <w:t>Category-specific planned improvements</w:t>
      </w:r>
    </w:p>
    <w:p w14:paraId="54ABA58A" w14:textId="77777777" w:rsidR="00B259A8" w:rsidRPr="0072192C" w:rsidRDefault="00B259A8" w:rsidP="00B259A8">
      <w:pPr>
        <w:pStyle w:val="BodyText"/>
      </w:pPr>
      <w:r w:rsidRPr="0072192C">
        <w:t>No improvements are planned for the next inventory submission.</w:t>
      </w:r>
    </w:p>
    <w:p w14:paraId="57FA7EE4" w14:textId="77777777" w:rsidR="00B259A8" w:rsidRPr="0072192C" w:rsidRDefault="00B259A8" w:rsidP="00B259A8">
      <w:pPr>
        <w:pStyle w:val="Heading2"/>
      </w:pPr>
      <w:bookmarkStart w:id="3294" w:name="_Toc226460814"/>
      <w:bookmarkStart w:id="3295" w:name="X604cb2dcd8052ec9a7c3516c70d36b4f3cb9d0c"/>
      <w:bookmarkEnd w:id="3281"/>
      <w:bookmarkEnd w:id="3293"/>
      <w:r w:rsidRPr="0072192C">
        <w:t>8.14</w:t>
      </w:r>
      <w:r w:rsidRPr="0072192C">
        <w:tab/>
        <w:t>Emissions from Incineration and open burning in Tokelau</w:t>
      </w:r>
      <w:bookmarkEnd w:id="3294"/>
    </w:p>
    <w:p w14:paraId="3FE2CFEA" w14:textId="77777777" w:rsidR="00B259A8" w:rsidRPr="0072192C" w:rsidRDefault="00B259A8" w:rsidP="00B259A8">
      <w:pPr>
        <w:pStyle w:val="Heading3"/>
        <w:tabs>
          <w:tab w:val="clear" w:pos="851"/>
          <w:tab w:val="left" w:pos="964"/>
        </w:tabs>
        <w:spacing w:before="240"/>
      </w:pPr>
      <w:bookmarkStart w:id="3296" w:name="description-8"/>
      <w:r w:rsidRPr="0072192C">
        <w:t>8.14.1</w:t>
      </w:r>
      <w:r w:rsidRPr="0072192C">
        <w:tab/>
        <w:t>Description</w:t>
      </w:r>
    </w:p>
    <w:p w14:paraId="7B4F0ABD" w14:textId="77777777" w:rsidR="00B259A8" w:rsidRPr="0072192C" w:rsidRDefault="00B259A8" w:rsidP="00B259A8">
      <w:pPr>
        <w:pStyle w:val="BodyText"/>
      </w:pPr>
      <w:r w:rsidRPr="0072192C">
        <w:t xml:space="preserve">Tokelau has no major incineration facilities. All emissions associated with waste burning are reported in the </w:t>
      </w:r>
      <w:r w:rsidRPr="0072192C">
        <w:rPr>
          <w:i/>
          <w:iCs/>
        </w:rPr>
        <w:t>Open burning of waste</w:t>
      </w:r>
      <w:r w:rsidRPr="0072192C">
        <w:t xml:space="preserve"> category. Carbon dioxide, CH</w:t>
      </w:r>
      <w:r w:rsidRPr="0072192C">
        <w:rPr>
          <w:vertAlign w:val="subscript"/>
        </w:rPr>
        <w:t>4</w:t>
      </w:r>
      <w:r w:rsidRPr="0072192C">
        <w:t xml:space="preserve"> and N</w:t>
      </w:r>
      <w:r w:rsidRPr="0072192C">
        <w:rPr>
          <w:vertAlign w:val="subscript"/>
        </w:rPr>
        <w:t>2</w:t>
      </w:r>
      <w:r w:rsidRPr="0072192C">
        <w:t>O are reported in this category.</w:t>
      </w:r>
    </w:p>
    <w:p w14:paraId="225BE07C" w14:textId="77777777" w:rsidR="00B259A8" w:rsidRPr="0072192C" w:rsidRDefault="00B259A8" w:rsidP="00B259A8">
      <w:pPr>
        <w:pStyle w:val="BodyText"/>
      </w:pPr>
      <w:r w:rsidRPr="0072192C">
        <w:t>The composition of solid waste used to estimate CO</w:t>
      </w:r>
      <w:r w:rsidRPr="0072192C">
        <w:rPr>
          <w:vertAlign w:val="subscript"/>
        </w:rPr>
        <w:t>2</w:t>
      </w:r>
      <w:r w:rsidRPr="0072192C">
        <w:t xml:space="preserve"> emissions from open burning is the same as the composition used for </w:t>
      </w:r>
      <w:r w:rsidRPr="0072192C">
        <w:rPr>
          <w:i/>
          <w:iCs/>
        </w:rPr>
        <w:t>Solid waste disposal</w:t>
      </w:r>
      <w:r w:rsidRPr="0072192C">
        <w:t xml:space="preserve">. The only difference is that the 24 percent </w:t>
      </w:r>
      <w:r w:rsidRPr="0072192C">
        <w:rPr>
          <w:spacing w:val="-2"/>
        </w:rPr>
        <w:t xml:space="preserve">classified as ‘inert’ in </w:t>
      </w:r>
      <w:r w:rsidRPr="0072192C">
        <w:rPr>
          <w:i/>
          <w:iCs/>
          <w:spacing w:val="-2"/>
        </w:rPr>
        <w:t>Solid waste disposal</w:t>
      </w:r>
      <w:r w:rsidRPr="0072192C">
        <w:rPr>
          <w:spacing w:val="-2"/>
        </w:rPr>
        <w:t xml:space="preserve"> is grouped entirely under ‘other inert’ for open burning, rather than being broken down into types such as glass, metal or plastic. Using a </w:t>
      </w:r>
      <w:r w:rsidRPr="0072192C">
        <w:t>single</w:t>
      </w:r>
      <w:r w:rsidRPr="0072192C">
        <w:rPr>
          <w:spacing w:val="-2"/>
        </w:rPr>
        <w:t xml:space="preserve"> ‘other inert’ classification is a conservative choice likely to slightly overestimate emissions</w:t>
      </w:r>
      <w:r w:rsidRPr="0072192C">
        <w:t>.</w:t>
      </w:r>
    </w:p>
    <w:p w14:paraId="39BFB736" w14:textId="77777777" w:rsidR="00B259A8" w:rsidRPr="0072192C" w:rsidRDefault="00B259A8" w:rsidP="00B259A8">
      <w:pPr>
        <w:pStyle w:val="BodyText"/>
      </w:pPr>
      <w:r w:rsidRPr="0072192C">
        <w:t>The emission factors for open burning of solid waste for CH</w:t>
      </w:r>
      <w:r w:rsidRPr="0072192C">
        <w:rPr>
          <w:vertAlign w:val="subscript"/>
        </w:rPr>
        <w:t>4</w:t>
      </w:r>
      <w:r w:rsidRPr="0072192C">
        <w:t xml:space="preserve"> and N</w:t>
      </w:r>
      <w:r w:rsidRPr="0072192C">
        <w:rPr>
          <w:vertAlign w:val="subscript"/>
        </w:rPr>
        <w:t>2</w:t>
      </w:r>
      <w:r w:rsidRPr="0072192C">
        <w:t>O are the IPCC defaults for municipal solid waste and are based on a generic waste composition. It is not clear if this will over- or under-estimate emissions.</w:t>
      </w:r>
    </w:p>
    <w:p w14:paraId="0AE45502" w14:textId="77777777" w:rsidR="00B259A8" w:rsidRPr="0072192C" w:rsidRDefault="00B259A8" w:rsidP="00B259A8">
      <w:pPr>
        <w:pStyle w:val="BodyText"/>
      </w:pPr>
      <w:r w:rsidRPr="0072192C">
        <w:t xml:space="preserve">Emissions from the </w:t>
      </w:r>
      <w:r w:rsidRPr="0072192C">
        <w:rPr>
          <w:i/>
          <w:iCs/>
        </w:rPr>
        <w:t>Open burning of waste</w:t>
      </w:r>
      <w:r w:rsidRPr="0072192C">
        <w:t xml:space="preserve"> category were 0.13 kt CO</w:t>
      </w:r>
      <w:r w:rsidRPr="0072192C">
        <w:rPr>
          <w:vertAlign w:val="subscript"/>
        </w:rPr>
        <w:t>2</w:t>
      </w:r>
      <w:r w:rsidRPr="0072192C">
        <w:t>e, contributing 16.8 percent to Tokelau’s Waste sector emissions in 2024.</w:t>
      </w:r>
    </w:p>
    <w:p w14:paraId="749DDEA7" w14:textId="77777777" w:rsidR="00B259A8" w:rsidRPr="0072192C" w:rsidRDefault="00B259A8" w:rsidP="00B259A8">
      <w:pPr>
        <w:pStyle w:val="Heading3"/>
        <w:tabs>
          <w:tab w:val="clear" w:pos="851"/>
          <w:tab w:val="left" w:pos="964"/>
        </w:tabs>
      </w:pPr>
      <w:bookmarkStart w:id="3297" w:name="methodological-issues-9"/>
      <w:bookmarkEnd w:id="3296"/>
      <w:r w:rsidRPr="0072192C">
        <w:t>8.14.2</w:t>
      </w:r>
      <w:r w:rsidRPr="0072192C">
        <w:tab/>
        <w:t>Methodological issues</w:t>
      </w:r>
    </w:p>
    <w:p w14:paraId="67739DF5" w14:textId="77777777" w:rsidR="00B259A8" w:rsidRPr="0072192C" w:rsidRDefault="00B259A8" w:rsidP="00B259A8">
      <w:pPr>
        <w:pStyle w:val="Heading4"/>
      </w:pPr>
      <w:bookmarkStart w:id="3298" w:name="activity-data-9"/>
      <w:r w:rsidRPr="0072192C">
        <w:t>Activity data</w:t>
      </w:r>
    </w:p>
    <w:p w14:paraId="597FB26B" w14:textId="77777777" w:rsidR="00B259A8" w:rsidRPr="0072192C" w:rsidRDefault="00B259A8" w:rsidP="00B259A8">
      <w:pPr>
        <w:pStyle w:val="BodyText"/>
      </w:pPr>
      <w:r w:rsidRPr="0072192C">
        <w:t>The calculations are based on Tokelau’s population data and assume that 50 percent of the waste is landfilled and the other 50 percent is burned. This information is reported as ‘non</w:t>
      </w:r>
      <w:r w:rsidRPr="0072192C">
        <w:noBreakHyphen/>
        <w:t>biogenic’ open burning because only fossil carbon is reported, and the emission factors for CH</w:t>
      </w:r>
      <w:r w:rsidRPr="0072192C">
        <w:rPr>
          <w:vertAlign w:val="subscript"/>
        </w:rPr>
        <w:t>4</w:t>
      </w:r>
      <w:r w:rsidRPr="0072192C">
        <w:t xml:space="preserve"> and N</w:t>
      </w:r>
      <w:r w:rsidRPr="0072192C">
        <w:rPr>
          <w:vertAlign w:val="subscript"/>
        </w:rPr>
        <w:t>2</w:t>
      </w:r>
      <w:r w:rsidRPr="0072192C">
        <w:t>O are for municipal solid waste, which does not distinguish biogenic and non</w:t>
      </w:r>
      <w:r w:rsidRPr="0072192C">
        <w:noBreakHyphen/>
        <w:t>biogenic waste.</w:t>
      </w:r>
    </w:p>
    <w:p w14:paraId="12EC9ABA" w14:textId="77777777" w:rsidR="00B259A8" w:rsidRPr="0072192C" w:rsidRDefault="00B259A8" w:rsidP="00B259A8">
      <w:pPr>
        <w:pStyle w:val="Heading4"/>
      </w:pPr>
      <w:bookmarkStart w:id="3299" w:name="methods-and-emission-factors-7"/>
      <w:bookmarkEnd w:id="3298"/>
      <w:r w:rsidRPr="0072192C">
        <w:t>Methods and emission factors</w:t>
      </w:r>
    </w:p>
    <w:p w14:paraId="19F87B9C" w14:textId="77777777" w:rsidR="00B259A8" w:rsidRPr="0072192C" w:rsidRDefault="00B259A8" w:rsidP="00B259A8">
      <w:pPr>
        <w:pStyle w:val="BodyText"/>
      </w:pPr>
      <w:r w:rsidRPr="0072192C">
        <w:t>A Tier 1 methodology with default IPCC Tier 1 parameters was used for calculating emissions from this category.</w:t>
      </w:r>
    </w:p>
    <w:p w14:paraId="6CAABF53" w14:textId="77777777" w:rsidR="00B259A8" w:rsidRPr="0072192C" w:rsidRDefault="00B259A8" w:rsidP="00B259A8">
      <w:pPr>
        <w:pStyle w:val="BodyText"/>
      </w:pPr>
      <w:r w:rsidRPr="0072192C">
        <w:t>The emission factor for CO</w:t>
      </w:r>
      <w:r w:rsidRPr="0072192C">
        <w:rPr>
          <w:vertAlign w:val="subscript"/>
        </w:rPr>
        <w:t>2</w:t>
      </w:r>
      <w:r w:rsidRPr="0072192C">
        <w:t xml:space="preserve"> was the weighted average of calculated factors from table 8.14.1 and a 58 percent oxidation factor for open burning. For other gases, the following IPCC default emission factors were used: for CH</w:t>
      </w:r>
      <w:r w:rsidRPr="0072192C">
        <w:rPr>
          <w:vertAlign w:val="subscript"/>
        </w:rPr>
        <w:t>4</w:t>
      </w:r>
      <w:r w:rsidRPr="0072192C">
        <w:t xml:space="preserve">, the default emission factor for municipal solid waste in </w:t>
      </w:r>
      <w:r w:rsidRPr="0072192C">
        <w:rPr>
          <w:spacing w:val="-2"/>
        </w:rPr>
        <w:t>volume 5, chapter 5, section 5.4.2 (6,500 kg CH</w:t>
      </w:r>
      <w:r w:rsidRPr="0072192C">
        <w:rPr>
          <w:spacing w:val="-2"/>
          <w:vertAlign w:val="subscript"/>
        </w:rPr>
        <w:t>4</w:t>
      </w:r>
      <w:r w:rsidRPr="0072192C">
        <w:rPr>
          <w:spacing w:val="-2"/>
        </w:rPr>
        <w:t>/gigagrams (Gg) wet waste); for N</w:t>
      </w:r>
      <w:r w:rsidRPr="0072192C">
        <w:rPr>
          <w:spacing w:val="-2"/>
          <w:vertAlign w:val="subscript"/>
        </w:rPr>
        <w:t>2</w:t>
      </w:r>
      <w:r w:rsidRPr="0072192C">
        <w:rPr>
          <w:spacing w:val="-2"/>
        </w:rPr>
        <w:t>O, the defaul</w:t>
      </w:r>
      <w:r w:rsidRPr="0072192C">
        <w:t>t emission factor for open burning of municipal solid waste from table 5.6 (150 kg N</w:t>
      </w:r>
      <w:r w:rsidRPr="0072192C">
        <w:rPr>
          <w:vertAlign w:val="subscript"/>
        </w:rPr>
        <w:t>2</w:t>
      </w:r>
      <w:r w:rsidRPr="0072192C">
        <w:t>O/Gg dry waste) (IPCC, 2006d). Converted waste volume to dry weight by using dry-matter conversion was calculated for CO</w:t>
      </w:r>
      <w:r w:rsidRPr="0072192C">
        <w:rPr>
          <w:vertAlign w:val="subscript"/>
        </w:rPr>
        <w:t>2</w:t>
      </w:r>
      <w:r w:rsidRPr="0072192C">
        <w:t xml:space="preserve"> (56.1 percent). Table 8.14.1 shows waste type and the composition data based on default IPCC Tier 1 parameters used in estimating emissions from </w:t>
      </w:r>
      <w:r w:rsidRPr="0072192C">
        <w:rPr>
          <w:i/>
          <w:iCs/>
        </w:rPr>
        <w:t>Open burning of waste</w:t>
      </w:r>
      <w:r w:rsidRPr="0072192C">
        <w:t xml:space="preserve"> (IPCC, 2006d).</w:t>
      </w:r>
    </w:p>
    <w:p w14:paraId="6D7AC112" w14:textId="19CA3DE5" w:rsidR="00B259A8" w:rsidRPr="0072192C" w:rsidRDefault="00B259A8" w:rsidP="00B259A8">
      <w:pPr>
        <w:pStyle w:val="Table"/>
      </w:pPr>
      <w:bookmarkStart w:id="3300" w:name="_Toc225424327"/>
      <w:bookmarkStart w:id="3301" w:name="_Toc226669150"/>
      <w:r w:rsidRPr="0072192C">
        <w:t>Table 8.14.1</w:t>
      </w:r>
      <w:r w:rsidRPr="0072192C">
        <w:tab/>
        <w:t xml:space="preserve">Composition data and carbon content used for estimating emissions from </w:t>
      </w:r>
      <w:r w:rsidRPr="0072192C">
        <w:rPr>
          <w:i/>
          <w:iCs/>
        </w:rPr>
        <w:t>Open</w:t>
      </w:r>
      <w:r w:rsidR="008D7266">
        <w:rPr>
          <w:i/>
          <w:iCs/>
        </w:rPr>
        <w:t> </w:t>
      </w:r>
      <w:r w:rsidRPr="0072192C">
        <w:rPr>
          <w:i/>
          <w:iCs/>
        </w:rPr>
        <w:t>burning of waste</w:t>
      </w:r>
      <w:bookmarkEnd w:id="3300"/>
      <w:bookmarkEnd w:id="330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268"/>
        <w:gridCol w:w="1701"/>
        <w:gridCol w:w="1331"/>
        <w:gridCol w:w="1005"/>
        <w:gridCol w:w="1085"/>
        <w:gridCol w:w="1104"/>
      </w:tblGrid>
      <w:tr w:rsidR="00B259A8" w:rsidRPr="0072192C" w14:paraId="3546CAB2" w14:textId="77777777" w:rsidTr="00F16E23">
        <w:trPr>
          <w:tblHeader/>
        </w:trPr>
        <w:tc>
          <w:tcPr>
            <w:tcW w:w="2268" w:type="dxa"/>
            <w:shd w:val="clear" w:color="auto" w:fill="1B556B"/>
            <w:tcMar>
              <w:top w:w="0" w:type="dxa"/>
              <w:left w:w="85" w:type="dxa"/>
              <w:bottom w:w="0" w:type="dxa"/>
              <w:right w:w="85" w:type="dxa"/>
            </w:tcMar>
            <w:vAlign w:val="bottom"/>
          </w:tcPr>
          <w:p w14:paraId="194DBB5D"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Waste type</w:t>
            </w:r>
          </w:p>
        </w:tc>
        <w:tc>
          <w:tcPr>
            <w:tcW w:w="1701" w:type="dxa"/>
            <w:shd w:val="clear" w:color="auto" w:fill="1B556B"/>
            <w:tcMar>
              <w:top w:w="0" w:type="dxa"/>
              <w:left w:w="85" w:type="dxa"/>
              <w:bottom w:w="0" w:type="dxa"/>
              <w:right w:w="85" w:type="dxa"/>
            </w:tcMar>
            <w:vAlign w:val="bottom"/>
          </w:tcPr>
          <w:p w14:paraId="5619A0F2" w14:textId="77777777" w:rsidR="00B259A8" w:rsidRPr="0072192C" w:rsidRDefault="00B259A8" w:rsidP="00F16E23">
            <w:pPr>
              <w:pStyle w:val="TableTextBold"/>
              <w:spacing w:before="40" w:after="40"/>
              <w:jc w:val="right"/>
              <w:rPr>
                <w:noProof w:val="0"/>
                <w:color w:val="FFFFFF" w:themeColor="background1"/>
                <w:szCs w:val="16"/>
              </w:rPr>
            </w:pPr>
            <w:r w:rsidRPr="0072192C">
              <w:rPr>
                <w:rFonts w:eastAsia="Calibri"/>
                <w:noProof w:val="0"/>
                <w:color w:val="FFFFFF" w:themeColor="background1"/>
                <w:szCs w:val="16"/>
              </w:rPr>
              <w:t>Landfill composition (%)</w:t>
            </w:r>
          </w:p>
        </w:tc>
        <w:tc>
          <w:tcPr>
            <w:tcW w:w="1331" w:type="dxa"/>
            <w:shd w:val="clear" w:color="auto" w:fill="1B556B"/>
            <w:tcMar>
              <w:top w:w="0" w:type="dxa"/>
              <w:left w:w="85" w:type="dxa"/>
              <w:bottom w:w="0" w:type="dxa"/>
              <w:right w:w="85" w:type="dxa"/>
            </w:tcMar>
            <w:vAlign w:val="bottom"/>
          </w:tcPr>
          <w:p w14:paraId="30404CAA" w14:textId="77777777" w:rsidR="00B259A8" w:rsidRPr="0072192C" w:rsidRDefault="00B259A8" w:rsidP="00F16E23">
            <w:pPr>
              <w:pStyle w:val="TableTextBold"/>
              <w:spacing w:before="40" w:after="40"/>
              <w:jc w:val="right"/>
              <w:rPr>
                <w:noProof w:val="0"/>
                <w:color w:val="FFFFFF" w:themeColor="background1"/>
                <w:szCs w:val="16"/>
              </w:rPr>
            </w:pPr>
            <w:r w:rsidRPr="0072192C">
              <w:rPr>
                <w:rFonts w:eastAsia="Calibri"/>
                <w:noProof w:val="0"/>
                <w:color w:val="FFFFFF" w:themeColor="background1"/>
                <w:szCs w:val="16"/>
              </w:rPr>
              <w:t>CO</w:t>
            </w:r>
            <w:r w:rsidRPr="0072192C">
              <w:rPr>
                <w:rFonts w:eastAsia="Calibri"/>
                <w:noProof w:val="0"/>
                <w:color w:val="FFFFFF" w:themeColor="background1"/>
                <w:szCs w:val="16"/>
                <w:vertAlign w:val="subscript"/>
              </w:rPr>
              <w:t>2</w:t>
            </w:r>
            <w:r w:rsidRPr="0072192C">
              <w:rPr>
                <w:rFonts w:eastAsia="Calibri"/>
                <w:noProof w:val="0"/>
                <w:color w:val="FFFFFF" w:themeColor="background1"/>
                <w:szCs w:val="16"/>
              </w:rPr>
              <w:t xml:space="preserve"> incineration composition (%)</w:t>
            </w:r>
          </w:p>
        </w:tc>
        <w:tc>
          <w:tcPr>
            <w:tcW w:w="0" w:type="auto"/>
            <w:shd w:val="clear" w:color="auto" w:fill="1B556B"/>
            <w:tcMar>
              <w:top w:w="0" w:type="dxa"/>
              <w:left w:w="85" w:type="dxa"/>
              <w:bottom w:w="0" w:type="dxa"/>
              <w:right w:w="85" w:type="dxa"/>
            </w:tcMar>
            <w:vAlign w:val="bottom"/>
          </w:tcPr>
          <w:p w14:paraId="2DC9ED0D" w14:textId="77777777" w:rsidR="00B259A8" w:rsidRPr="0072192C" w:rsidRDefault="00B259A8" w:rsidP="00F16E23">
            <w:pPr>
              <w:pStyle w:val="TableTextBold"/>
              <w:spacing w:before="40" w:after="40"/>
              <w:jc w:val="right"/>
              <w:rPr>
                <w:noProof w:val="0"/>
                <w:color w:val="FFFFFF" w:themeColor="background1"/>
                <w:szCs w:val="16"/>
              </w:rPr>
            </w:pPr>
            <w:r w:rsidRPr="0072192C">
              <w:rPr>
                <w:rFonts w:eastAsia="Calibri"/>
                <w:noProof w:val="0"/>
                <w:color w:val="FFFFFF" w:themeColor="background1"/>
                <w:szCs w:val="16"/>
              </w:rPr>
              <w:t>Dry matter (%)</w:t>
            </w:r>
          </w:p>
        </w:tc>
        <w:tc>
          <w:tcPr>
            <w:tcW w:w="0" w:type="auto"/>
            <w:shd w:val="clear" w:color="auto" w:fill="1B556B"/>
            <w:tcMar>
              <w:top w:w="0" w:type="dxa"/>
              <w:left w:w="85" w:type="dxa"/>
              <w:bottom w:w="0" w:type="dxa"/>
              <w:right w:w="85" w:type="dxa"/>
            </w:tcMar>
            <w:vAlign w:val="bottom"/>
          </w:tcPr>
          <w:p w14:paraId="3697D6A7" w14:textId="77777777" w:rsidR="00B259A8" w:rsidRPr="0072192C" w:rsidRDefault="00B259A8" w:rsidP="00F16E23">
            <w:pPr>
              <w:pStyle w:val="TableTextBold"/>
              <w:spacing w:before="40" w:after="40"/>
              <w:jc w:val="right"/>
              <w:rPr>
                <w:noProof w:val="0"/>
                <w:color w:val="FFFFFF" w:themeColor="background1"/>
                <w:szCs w:val="16"/>
              </w:rPr>
            </w:pPr>
            <w:r w:rsidRPr="0072192C">
              <w:rPr>
                <w:rFonts w:eastAsia="Calibri"/>
                <w:noProof w:val="0"/>
                <w:color w:val="FFFFFF" w:themeColor="background1"/>
                <w:szCs w:val="16"/>
              </w:rPr>
              <w:t>Total carbon (%)</w:t>
            </w:r>
          </w:p>
        </w:tc>
        <w:tc>
          <w:tcPr>
            <w:tcW w:w="0" w:type="auto"/>
            <w:shd w:val="clear" w:color="auto" w:fill="1B556B"/>
            <w:tcMar>
              <w:top w:w="0" w:type="dxa"/>
              <w:left w:w="85" w:type="dxa"/>
              <w:bottom w:w="0" w:type="dxa"/>
              <w:right w:w="85" w:type="dxa"/>
            </w:tcMar>
            <w:vAlign w:val="bottom"/>
          </w:tcPr>
          <w:p w14:paraId="7A1290B8" w14:textId="77777777" w:rsidR="00B259A8" w:rsidRPr="0072192C" w:rsidRDefault="00B259A8" w:rsidP="00F16E23">
            <w:pPr>
              <w:pStyle w:val="TableTextBold"/>
              <w:spacing w:before="40" w:after="40"/>
              <w:jc w:val="right"/>
              <w:rPr>
                <w:noProof w:val="0"/>
                <w:color w:val="FFFFFF" w:themeColor="background1"/>
                <w:szCs w:val="16"/>
              </w:rPr>
            </w:pPr>
            <w:r w:rsidRPr="0072192C">
              <w:rPr>
                <w:rFonts w:eastAsia="Calibri"/>
                <w:noProof w:val="0"/>
                <w:color w:val="FFFFFF" w:themeColor="background1"/>
                <w:szCs w:val="16"/>
              </w:rPr>
              <w:t>Fossil carbon (%)</w:t>
            </w:r>
          </w:p>
        </w:tc>
      </w:tr>
      <w:tr w:rsidR="00B259A8" w:rsidRPr="0072192C" w14:paraId="4356286E" w14:textId="77777777" w:rsidTr="00F16E23">
        <w:tc>
          <w:tcPr>
            <w:tcW w:w="2268" w:type="dxa"/>
            <w:shd w:val="clear" w:color="auto" w:fill="FFFFFF"/>
            <w:tcMar>
              <w:top w:w="0" w:type="dxa"/>
              <w:left w:w="85" w:type="dxa"/>
              <w:bottom w:w="0" w:type="dxa"/>
              <w:right w:w="85" w:type="dxa"/>
            </w:tcMar>
            <w:vAlign w:val="center"/>
          </w:tcPr>
          <w:p w14:paraId="77DADF35" w14:textId="77777777" w:rsidR="00B259A8" w:rsidRPr="0072192C" w:rsidRDefault="00B259A8" w:rsidP="00F16E23">
            <w:pPr>
              <w:pStyle w:val="TableText"/>
              <w:spacing w:before="40" w:after="40"/>
              <w:rPr>
                <w:szCs w:val="16"/>
              </w:rPr>
            </w:pPr>
            <w:r w:rsidRPr="0072192C">
              <w:rPr>
                <w:rFonts w:eastAsia="Calibri"/>
                <w:szCs w:val="16"/>
              </w:rPr>
              <w:t>Paper/card</w:t>
            </w:r>
          </w:p>
        </w:tc>
        <w:tc>
          <w:tcPr>
            <w:tcW w:w="1701" w:type="dxa"/>
            <w:shd w:val="clear" w:color="auto" w:fill="FFFFFF"/>
            <w:tcMar>
              <w:top w:w="0" w:type="dxa"/>
              <w:left w:w="85" w:type="dxa"/>
              <w:bottom w:w="0" w:type="dxa"/>
              <w:right w:w="85" w:type="dxa"/>
            </w:tcMar>
            <w:vAlign w:val="center"/>
          </w:tcPr>
          <w:p w14:paraId="22B1FE93" w14:textId="77777777" w:rsidR="00B259A8" w:rsidRPr="0072192C" w:rsidRDefault="00B259A8" w:rsidP="00F16E23">
            <w:pPr>
              <w:pStyle w:val="TableText"/>
              <w:spacing w:before="40" w:after="40"/>
              <w:jc w:val="right"/>
              <w:rPr>
                <w:szCs w:val="16"/>
              </w:rPr>
            </w:pPr>
            <w:r w:rsidRPr="0072192C">
              <w:rPr>
                <w:rFonts w:eastAsia="Calibri"/>
                <w:szCs w:val="16"/>
              </w:rPr>
              <w:t>6.0</w:t>
            </w:r>
          </w:p>
        </w:tc>
        <w:tc>
          <w:tcPr>
            <w:tcW w:w="1331" w:type="dxa"/>
            <w:shd w:val="clear" w:color="auto" w:fill="FFFFFF"/>
            <w:tcMar>
              <w:top w:w="0" w:type="dxa"/>
              <w:left w:w="85" w:type="dxa"/>
              <w:bottom w:w="0" w:type="dxa"/>
              <w:right w:w="85" w:type="dxa"/>
            </w:tcMar>
            <w:vAlign w:val="center"/>
          </w:tcPr>
          <w:p w14:paraId="21800CDE" w14:textId="77777777" w:rsidR="00B259A8" w:rsidRPr="0072192C" w:rsidRDefault="00B259A8" w:rsidP="00F16E23">
            <w:pPr>
              <w:pStyle w:val="TableText"/>
              <w:spacing w:before="40" w:after="40"/>
              <w:jc w:val="right"/>
              <w:rPr>
                <w:szCs w:val="16"/>
              </w:rPr>
            </w:pPr>
            <w:r w:rsidRPr="0072192C">
              <w:rPr>
                <w:rFonts w:eastAsia="Calibri"/>
                <w:szCs w:val="16"/>
              </w:rPr>
              <w:t>6.0</w:t>
            </w:r>
          </w:p>
        </w:tc>
        <w:tc>
          <w:tcPr>
            <w:tcW w:w="0" w:type="auto"/>
            <w:shd w:val="clear" w:color="auto" w:fill="FFFFFF"/>
            <w:tcMar>
              <w:top w:w="0" w:type="dxa"/>
              <w:left w:w="85" w:type="dxa"/>
              <w:bottom w:w="0" w:type="dxa"/>
              <w:right w:w="85" w:type="dxa"/>
            </w:tcMar>
            <w:vAlign w:val="center"/>
          </w:tcPr>
          <w:p w14:paraId="487A74B8" w14:textId="77777777" w:rsidR="00B259A8" w:rsidRPr="0072192C" w:rsidRDefault="00B259A8" w:rsidP="00F16E23">
            <w:pPr>
              <w:pStyle w:val="TableText"/>
              <w:spacing w:before="40" w:after="40"/>
              <w:jc w:val="right"/>
              <w:rPr>
                <w:szCs w:val="16"/>
              </w:rPr>
            </w:pPr>
            <w:r w:rsidRPr="0072192C">
              <w:rPr>
                <w:rFonts w:eastAsia="Calibri"/>
                <w:szCs w:val="16"/>
              </w:rPr>
              <w:t>90</w:t>
            </w:r>
          </w:p>
        </w:tc>
        <w:tc>
          <w:tcPr>
            <w:tcW w:w="0" w:type="auto"/>
            <w:shd w:val="clear" w:color="auto" w:fill="FFFFFF"/>
            <w:tcMar>
              <w:top w:w="0" w:type="dxa"/>
              <w:left w:w="85" w:type="dxa"/>
              <w:bottom w:w="0" w:type="dxa"/>
              <w:right w:w="85" w:type="dxa"/>
            </w:tcMar>
            <w:vAlign w:val="center"/>
          </w:tcPr>
          <w:p w14:paraId="1CDC890B" w14:textId="77777777" w:rsidR="00B259A8" w:rsidRPr="0072192C" w:rsidRDefault="00B259A8" w:rsidP="00F16E23">
            <w:pPr>
              <w:pStyle w:val="TableText"/>
              <w:spacing w:before="40" w:after="40"/>
              <w:jc w:val="right"/>
              <w:rPr>
                <w:szCs w:val="16"/>
              </w:rPr>
            </w:pPr>
            <w:r w:rsidRPr="0072192C">
              <w:rPr>
                <w:rFonts w:eastAsia="Calibri"/>
                <w:szCs w:val="16"/>
              </w:rPr>
              <w:t>43</w:t>
            </w:r>
          </w:p>
        </w:tc>
        <w:tc>
          <w:tcPr>
            <w:tcW w:w="0" w:type="auto"/>
            <w:shd w:val="clear" w:color="auto" w:fill="FFFFFF"/>
            <w:tcMar>
              <w:top w:w="0" w:type="dxa"/>
              <w:left w:w="85" w:type="dxa"/>
              <w:bottom w:w="0" w:type="dxa"/>
              <w:right w:w="85" w:type="dxa"/>
            </w:tcMar>
            <w:vAlign w:val="center"/>
          </w:tcPr>
          <w:p w14:paraId="53822870" w14:textId="77777777" w:rsidR="00B259A8" w:rsidRPr="0072192C" w:rsidRDefault="00B259A8" w:rsidP="00F16E23">
            <w:pPr>
              <w:pStyle w:val="TableText"/>
              <w:spacing w:before="40" w:after="40"/>
              <w:jc w:val="right"/>
              <w:rPr>
                <w:szCs w:val="16"/>
              </w:rPr>
            </w:pPr>
            <w:r w:rsidRPr="0072192C">
              <w:rPr>
                <w:rFonts w:eastAsia="Calibri"/>
                <w:szCs w:val="16"/>
              </w:rPr>
              <w:t>1</w:t>
            </w:r>
          </w:p>
        </w:tc>
      </w:tr>
      <w:tr w:rsidR="00B259A8" w:rsidRPr="0072192C" w14:paraId="1230D387" w14:textId="77777777" w:rsidTr="00F16E23">
        <w:tc>
          <w:tcPr>
            <w:tcW w:w="2268" w:type="dxa"/>
            <w:shd w:val="clear" w:color="auto" w:fill="FFFFFF"/>
            <w:tcMar>
              <w:top w:w="0" w:type="dxa"/>
              <w:left w:w="85" w:type="dxa"/>
              <w:bottom w:w="0" w:type="dxa"/>
              <w:right w:w="85" w:type="dxa"/>
            </w:tcMar>
            <w:vAlign w:val="center"/>
          </w:tcPr>
          <w:p w14:paraId="5B59D256" w14:textId="77777777" w:rsidR="00B259A8" w:rsidRPr="0072192C" w:rsidRDefault="00B259A8" w:rsidP="00F16E23">
            <w:pPr>
              <w:pStyle w:val="TableText"/>
              <w:spacing w:before="40" w:after="40"/>
              <w:rPr>
                <w:szCs w:val="16"/>
              </w:rPr>
            </w:pPr>
            <w:r w:rsidRPr="0072192C">
              <w:rPr>
                <w:rFonts w:eastAsia="Calibri"/>
                <w:szCs w:val="16"/>
              </w:rPr>
              <w:t>Textiles</w:t>
            </w:r>
          </w:p>
        </w:tc>
        <w:tc>
          <w:tcPr>
            <w:tcW w:w="1701" w:type="dxa"/>
            <w:shd w:val="clear" w:color="auto" w:fill="FFFFFF"/>
            <w:tcMar>
              <w:top w:w="0" w:type="dxa"/>
              <w:left w:w="85" w:type="dxa"/>
              <w:bottom w:w="0" w:type="dxa"/>
              <w:right w:w="85" w:type="dxa"/>
            </w:tcMar>
            <w:vAlign w:val="center"/>
          </w:tcPr>
          <w:p w14:paraId="1FE706EF"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1331" w:type="dxa"/>
            <w:shd w:val="clear" w:color="auto" w:fill="FFFFFF"/>
            <w:tcMar>
              <w:top w:w="0" w:type="dxa"/>
              <w:left w:w="85" w:type="dxa"/>
              <w:bottom w:w="0" w:type="dxa"/>
              <w:right w:w="85" w:type="dxa"/>
            </w:tcMar>
            <w:vAlign w:val="center"/>
          </w:tcPr>
          <w:p w14:paraId="7D01C28E"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0" w:type="auto"/>
            <w:shd w:val="clear" w:color="auto" w:fill="FFFFFF"/>
            <w:tcMar>
              <w:top w:w="0" w:type="dxa"/>
              <w:left w:w="85" w:type="dxa"/>
              <w:bottom w:w="0" w:type="dxa"/>
              <w:right w:w="85" w:type="dxa"/>
            </w:tcMar>
            <w:vAlign w:val="center"/>
          </w:tcPr>
          <w:p w14:paraId="4791C995" w14:textId="77777777" w:rsidR="00B259A8" w:rsidRPr="0072192C" w:rsidRDefault="00B259A8" w:rsidP="00F16E23">
            <w:pPr>
              <w:pStyle w:val="TableText"/>
              <w:spacing w:before="40" w:after="40"/>
              <w:jc w:val="right"/>
              <w:rPr>
                <w:szCs w:val="16"/>
              </w:rPr>
            </w:pPr>
            <w:r w:rsidRPr="0072192C">
              <w:rPr>
                <w:rFonts w:eastAsia="Calibri"/>
                <w:szCs w:val="16"/>
              </w:rPr>
              <w:t>80</w:t>
            </w:r>
          </w:p>
        </w:tc>
        <w:tc>
          <w:tcPr>
            <w:tcW w:w="0" w:type="auto"/>
            <w:shd w:val="clear" w:color="auto" w:fill="FFFFFF"/>
            <w:tcMar>
              <w:top w:w="0" w:type="dxa"/>
              <w:left w:w="85" w:type="dxa"/>
              <w:bottom w:w="0" w:type="dxa"/>
              <w:right w:w="85" w:type="dxa"/>
            </w:tcMar>
            <w:vAlign w:val="center"/>
          </w:tcPr>
          <w:p w14:paraId="3EEF26AE" w14:textId="77777777" w:rsidR="00B259A8" w:rsidRPr="0072192C" w:rsidRDefault="00B259A8" w:rsidP="00F16E23">
            <w:pPr>
              <w:pStyle w:val="TableText"/>
              <w:spacing w:before="40" w:after="40"/>
              <w:jc w:val="right"/>
              <w:rPr>
                <w:szCs w:val="16"/>
              </w:rPr>
            </w:pPr>
            <w:r w:rsidRPr="0072192C">
              <w:rPr>
                <w:rFonts w:eastAsia="Calibri"/>
                <w:szCs w:val="16"/>
              </w:rPr>
              <w:t>50</w:t>
            </w:r>
          </w:p>
        </w:tc>
        <w:tc>
          <w:tcPr>
            <w:tcW w:w="0" w:type="auto"/>
            <w:shd w:val="clear" w:color="auto" w:fill="FFFFFF"/>
            <w:tcMar>
              <w:top w:w="0" w:type="dxa"/>
              <w:left w:w="85" w:type="dxa"/>
              <w:bottom w:w="0" w:type="dxa"/>
              <w:right w:w="85" w:type="dxa"/>
            </w:tcMar>
            <w:vAlign w:val="center"/>
          </w:tcPr>
          <w:p w14:paraId="77ABBAF9" w14:textId="77777777" w:rsidR="00B259A8" w:rsidRPr="0072192C" w:rsidRDefault="00B259A8" w:rsidP="00F16E23">
            <w:pPr>
              <w:pStyle w:val="TableText"/>
              <w:spacing w:before="40" w:after="40"/>
              <w:jc w:val="right"/>
              <w:rPr>
                <w:szCs w:val="16"/>
              </w:rPr>
            </w:pPr>
            <w:r w:rsidRPr="0072192C">
              <w:rPr>
                <w:rFonts w:eastAsia="Calibri"/>
                <w:szCs w:val="16"/>
              </w:rPr>
              <w:t>20</w:t>
            </w:r>
          </w:p>
        </w:tc>
      </w:tr>
      <w:tr w:rsidR="00B259A8" w:rsidRPr="0072192C" w14:paraId="70AAEDAE" w14:textId="77777777" w:rsidTr="00F16E23">
        <w:tc>
          <w:tcPr>
            <w:tcW w:w="2268" w:type="dxa"/>
            <w:shd w:val="clear" w:color="auto" w:fill="FFFFFF"/>
            <w:tcMar>
              <w:top w:w="0" w:type="dxa"/>
              <w:left w:w="85" w:type="dxa"/>
              <w:bottom w:w="0" w:type="dxa"/>
              <w:right w:w="85" w:type="dxa"/>
            </w:tcMar>
            <w:vAlign w:val="center"/>
          </w:tcPr>
          <w:p w14:paraId="762F9943" w14:textId="77777777" w:rsidR="00B259A8" w:rsidRPr="0072192C" w:rsidRDefault="00B259A8" w:rsidP="00F16E23">
            <w:pPr>
              <w:pStyle w:val="TableText"/>
              <w:spacing w:before="40" w:after="40"/>
              <w:rPr>
                <w:szCs w:val="16"/>
              </w:rPr>
            </w:pPr>
            <w:r w:rsidRPr="0072192C">
              <w:rPr>
                <w:rFonts w:eastAsia="Calibri"/>
                <w:szCs w:val="16"/>
              </w:rPr>
              <w:t>Food waste</w:t>
            </w:r>
          </w:p>
        </w:tc>
        <w:tc>
          <w:tcPr>
            <w:tcW w:w="1701" w:type="dxa"/>
            <w:shd w:val="clear" w:color="auto" w:fill="FFFFFF"/>
            <w:tcMar>
              <w:top w:w="0" w:type="dxa"/>
              <w:left w:w="85" w:type="dxa"/>
              <w:bottom w:w="0" w:type="dxa"/>
              <w:right w:w="85" w:type="dxa"/>
            </w:tcMar>
            <w:vAlign w:val="center"/>
          </w:tcPr>
          <w:p w14:paraId="1B179A86" w14:textId="77777777" w:rsidR="00B259A8" w:rsidRPr="0072192C" w:rsidRDefault="00B259A8" w:rsidP="00F16E23">
            <w:pPr>
              <w:pStyle w:val="TableText"/>
              <w:spacing w:before="40" w:after="40"/>
              <w:jc w:val="right"/>
              <w:rPr>
                <w:szCs w:val="16"/>
              </w:rPr>
            </w:pPr>
            <w:r w:rsidRPr="0072192C">
              <w:rPr>
                <w:rFonts w:eastAsia="Calibri"/>
                <w:szCs w:val="16"/>
              </w:rPr>
              <w:t>67.5</w:t>
            </w:r>
          </w:p>
        </w:tc>
        <w:tc>
          <w:tcPr>
            <w:tcW w:w="1331" w:type="dxa"/>
            <w:shd w:val="clear" w:color="auto" w:fill="FFFFFF"/>
            <w:tcMar>
              <w:top w:w="0" w:type="dxa"/>
              <w:left w:w="85" w:type="dxa"/>
              <w:bottom w:w="0" w:type="dxa"/>
              <w:right w:w="85" w:type="dxa"/>
            </w:tcMar>
            <w:vAlign w:val="center"/>
          </w:tcPr>
          <w:p w14:paraId="738FD1D4" w14:textId="77777777" w:rsidR="00B259A8" w:rsidRPr="0072192C" w:rsidRDefault="00B259A8" w:rsidP="00F16E23">
            <w:pPr>
              <w:pStyle w:val="TableText"/>
              <w:spacing w:before="40" w:after="40"/>
              <w:jc w:val="right"/>
              <w:rPr>
                <w:szCs w:val="16"/>
              </w:rPr>
            </w:pPr>
            <w:r w:rsidRPr="0072192C">
              <w:rPr>
                <w:rFonts w:eastAsia="Calibri"/>
                <w:szCs w:val="16"/>
              </w:rPr>
              <w:t>67.5</w:t>
            </w:r>
          </w:p>
        </w:tc>
        <w:tc>
          <w:tcPr>
            <w:tcW w:w="0" w:type="auto"/>
            <w:shd w:val="clear" w:color="auto" w:fill="FFFFFF"/>
            <w:tcMar>
              <w:top w:w="0" w:type="dxa"/>
              <w:left w:w="85" w:type="dxa"/>
              <w:bottom w:w="0" w:type="dxa"/>
              <w:right w:w="85" w:type="dxa"/>
            </w:tcMar>
            <w:vAlign w:val="center"/>
          </w:tcPr>
          <w:p w14:paraId="6F71B955" w14:textId="77777777" w:rsidR="00B259A8" w:rsidRPr="0072192C" w:rsidRDefault="00B259A8" w:rsidP="00F16E23">
            <w:pPr>
              <w:pStyle w:val="TableText"/>
              <w:spacing w:before="40" w:after="40"/>
              <w:jc w:val="right"/>
              <w:rPr>
                <w:szCs w:val="16"/>
              </w:rPr>
            </w:pPr>
            <w:r w:rsidRPr="0072192C">
              <w:rPr>
                <w:rFonts w:eastAsia="Calibri"/>
                <w:szCs w:val="16"/>
              </w:rPr>
              <w:t>40</w:t>
            </w:r>
          </w:p>
        </w:tc>
        <w:tc>
          <w:tcPr>
            <w:tcW w:w="0" w:type="auto"/>
            <w:shd w:val="clear" w:color="auto" w:fill="FFFFFF"/>
            <w:tcMar>
              <w:top w:w="0" w:type="dxa"/>
              <w:left w:w="85" w:type="dxa"/>
              <w:bottom w:w="0" w:type="dxa"/>
              <w:right w:w="85" w:type="dxa"/>
            </w:tcMar>
            <w:vAlign w:val="center"/>
          </w:tcPr>
          <w:p w14:paraId="78DFF3E0" w14:textId="77777777" w:rsidR="00B259A8" w:rsidRPr="0072192C" w:rsidRDefault="00B259A8" w:rsidP="00F16E23">
            <w:pPr>
              <w:pStyle w:val="TableText"/>
              <w:spacing w:before="40" w:after="40"/>
              <w:jc w:val="right"/>
              <w:rPr>
                <w:szCs w:val="16"/>
              </w:rPr>
            </w:pPr>
            <w:r w:rsidRPr="0072192C">
              <w:rPr>
                <w:rFonts w:eastAsia="Calibri"/>
                <w:szCs w:val="16"/>
              </w:rPr>
              <w:t>38</w:t>
            </w:r>
          </w:p>
        </w:tc>
        <w:tc>
          <w:tcPr>
            <w:tcW w:w="0" w:type="auto"/>
            <w:shd w:val="clear" w:color="auto" w:fill="FFFFFF"/>
            <w:tcMar>
              <w:top w:w="0" w:type="dxa"/>
              <w:left w:w="85" w:type="dxa"/>
              <w:bottom w:w="0" w:type="dxa"/>
              <w:right w:w="85" w:type="dxa"/>
            </w:tcMar>
            <w:vAlign w:val="center"/>
          </w:tcPr>
          <w:p w14:paraId="429BDE46" w14:textId="77777777" w:rsidR="00B259A8" w:rsidRPr="0072192C" w:rsidRDefault="00B259A8" w:rsidP="00F16E23">
            <w:pPr>
              <w:pStyle w:val="TableText"/>
              <w:spacing w:before="40" w:after="40"/>
              <w:jc w:val="right"/>
              <w:rPr>
                <w:szCs w:val="16"/>
              </w:rPr>
            </w:pPr>
            <w:r w:rsidRPr="0072192C">
              <w:rPr>
                <w:rFonts w:eastAsia="Calibri"/>
                <w:szCs w:val="16"/>
              </w:rPr>
              <w:t>0</w:t>
            </w:r>
          </w:p>
        </w:tc>
      </w:tr>
      <w:tr w:rsidR="00B259A8" w:rsidRPr="0072192C" w14:paraId="0DF5AEC4" w14:textId="77777777" w:rsidTr="00F16E23">
        <w:tc>
          <w:tcPr>
            <w:tcW w:w="2268" w:type="dxa"/>
            <w:shd w:val="clear" w:color="auto" w:fill="FFFFFF"/>
            <w:tcMar>
              <w:top w:w="0" w:type="dxa"/>
              <w:left w:w="85" w:type="dxa"/>
              <w:bottom w:w="0" w:type="dxa"/>
              <w:right w:w="85" w:type="dxa"/>
            </w:tcMar>
            <w:vAlign w:val="center"/>
          </w:tcPr>
          <w:p w14:paraId="686D2CA3" w14:textId="77777777" w:rsidR="00B259A8" w:rsidRPr="0072192C" w:rsidRDefault="00B259A8" w:rsidP="00F16E23">
            <w:pPr>
              <w:pStyle w:val="TableText"/>
              <w:spacing w:before="40" w:after="40"/>
              <w:rPr>
                <w:szCs w:val="16"/>
              </w:rPr>
            </w:pPr>
            <w:r w:rsidRPr="0072192C">
              <w:rPr>
                <w:rFonts w:eastAsia="Calibri"/>
                <w:szCs w:val="16"/>
              </w:rPr>
              <w:t>Wood</w:t>
            </w:r>
          </w:p>
        </w:tc>
        <w:tc>
          <w:tcPr>
            <w:tcW w:w="1701" w:type="dxa"/>
            <w:shd w:val="clear" w:color="auto" w:fill="FFFFFF"/>
            <w:tcMar>
              <w:top w:w="0" w:type="dxa"/>
              <w:left w:w="85" w:type="dxa"/>
              <w:bottom w:w="0" w:type="dxa"/>
              <w:right w:w="85" w:type="dxa"/>
            </w:tcMar>
            <w:vAlign w:val="center"/>
          </w:tcPr>
          <w:p w14:paraId="3F564FF1" w14:textId="77777777" w:rsidR="00B259A8" w:rsidRPr="0072192C" w:rsidRDefault="00B259A8" w:rsidP="00F16E23">
            <w:pPr>
              <w:pStyle w:val="TableText"/>
              <w:spacing w:before="40" w:after="40"/>
              <w:jc w:val="right"/>
              <w:rPr>
                <w:szCs w:val="16"/>
              </w:rPr>
            </w:pPr>
            <w:r w:rsidRPr="0072192C">
              <w:rPr>
                <w:rFonts w:eastAsia="Calibri"/>
                <w:szCs w:val="16"/>
              </w:rPr>
              <w:t>2.5</w:t>
            </w:r>
          </w:p>
        </w:tc>
        <w:tc>
          <w:tcPr>
            <w:tcW w:w="1331" w:type="dxa"/>
            <w:shd w:val="clear" w:color="auto" w:fill="FFFFFF"/>
            <w:tcMar>
              <w:top w:w="0" w:type="dxa"/>
              <w:left w:w="85" w:type="dxa"/>
              <w:bottom w:w="0" w:type="dxa"/>
              <w:right w:w="85" w:type="dxa"/>
            </w:tcMar>
            <w:vAlign w:val="center"/>
          </w:tcPr>
          <w:p w14:paraId="6D45AB83" w14:textId="77777777" w:rsidR="00B259A8" w:rsidRPr="0072192C" w:rsidRDefault="00B259A8" w:rsidP="00F16E23">
            <w:pPr>
              <w:pStyle w:val="TableText"/>
              <w:spacing w:before="40" w:after="40"/>
              <w:jc w:val="right"/>
              <w:rPr>
                <w:szCs w:val="16"/>
              </w:rPr>
            </w:pPr>
            <w:r w:rsidRPr="0072192C">
              <w:rPr>
                <w:rFonts w:eastAsia="Calibri"/>
                <w:szCs w:val="16"/>
              </w:rPr>
              <w:t>2.5</w:t>
            </w:r>
          </w:p>
        </w:tc>
        <w:tc>
          <w:tcPr>
            <w:tcW w:w="0" w:type="auto"/>
            <w:shd w:val="clear" w:color="auto" w:fill="FFFFFF"/>
            <w:tcMar>
              <w:top w:w="0" w:type="dxa"/>
              <w:left w:w="85" w:type="dxa"/>
              <w:bottom w:w="0" w:type="dxa"/>
              <w:right w:w="85" w:type="dxa"/>
            </w:tcMar>
            <w:vAlign w:val="center"/>
          </w:tcPr>
          <w:p w14:paraId="24D1AE10" w14:textId="77777777" w:rsidR="00B259A8" w:rsidRPr="0072192C" w:rsidRDefault="00B259A8" w:rsidP="00F16E23">
            <w:pPr>
              <w:pStyle w:val="TableText"/>
              <w:spacing w:before="40" w:after="40"/>
              <w:jc w:val="right"/>
              <w:rPr>
                <w:szCs w:val="16"/>
              </w:rPr>
            </w:pPr>
            <w:r w:rsidRPr="0072192C">
              <w:rPr>
                <w:rFonts w:eastAsia="Calibri"/>
                <w:szCs w:val="16"/>
              </w:rPr>
              <w:t>85</w:t>
            </w:r>
          </w:p>
        </w:tc>
        <w:tc>
          <w:tcPr>
            <w:tcW w:w="0" w:type="auto"/>
            <w:shd w:val="clear" w:color="auto" w:fill="FFFFFF"/>
            <w:tcMar>
              <w:top w:w="0" w:type="dxa"/>
              <w:left w:w="85" w:type="dxa"/>
              <w:bottom w:w="0" w:type="dxa"/>
              <w:right w:w="85" w:type="dxa"/>
            </w:tcMar>
            <w:vAlign w:val="center"/>
          </w:tcPr>
          <w:p w14:paraId="1B0F5DD4" w14:textId="77777777" w:rsidR="00B259A8" w:rsidRPr="0072192C" w:rsidRDefault="00B259A8" w:rsidP="00F16E23">
            <w:pPr>
              <w:pStyle w:val="TableText"/>
              <w:spacing w:before="40" w:after="40"/>
              <w:jc w:val="right"/>
              <w:rPr>
                <w:szCs w:val="16"/>
              </w:rPr>
            </w:pPr>
            <w:r w:rsidRPr="0072192C">
              <w:rPr>
                <w:rFonts w:eastAsia="Calibri"/>
                <w:szCs w:val="16"/>
              </w:rPr>
              <w:t>50</w:t>
            </w:r>
          </w:p>
        </w:tc>
        <w:tc>
          <w:tcPr>
            <w:tcW w:w="0" w:type="auto"/>
            <w:shd w:val="clear" w:color="auto" w:fill="FFFFFF"/>
            <w:tcMar>
              <w:top w:w="0" w:type="dxa"/>
              <w:left w:w="85" w:type="dxa"/>
              <w:bottom w:w="0" w:type="dxa"/>
              <w:right w:w="85" w:type="dxa"/>
            </w:tcMar>
            <w:vAlign w:val="center"/>
          </w:tcPr>
          <w:p w14:paraId="378F4277" w14:textId="77777777" w:rsidR="00B259A8" w:rsidRPr="0072192C" w:rsidRDefault="00B259A8" w:rsidP="00F16E23">
            <w:pPr>
              <w:pStyle w:val="TableText"/>
              <w:spacing w:before="40" w:after="40"/>
              <w:jc w:val="right"/>
              <w:rPr>
                <w:szCs w:val="16"/>
              </w:rPr>
            </w:pPr>
            <w:r w:rsidRPr="0072192C">
              <w:rPr>
                <w:rFonts w:eastAsia="Calibri"/>
                <w:szCs w:val="16"/>
              </w:rPr>
              <w:t>0</w:t>
            </w:r>
          </w:p>
        </w:tc>
      </w:tr>
      <w:tr w:rsidR="00B259A8" w:rsidRPr="0072192C" w14:paraId="01EAF00B" w14:textId="77777777" w:rsidTr="00F16E23">
        <w:tc>
          <w:tcPr>
            <w:tcW w:w="2268" w:type="dxa"/>
            <w:shd w:val="clear" w:color="auto" w:fill="FFFFFF"/>
            <w:tcMar>
              <w:top w:w="0" w:type="dxa"/>
              <w:left w:w="85" w:type="dxa"/>
              <w:bottom w:w="0" w:type="dxa"/>
              <w:right w:w="85" w:type="dxa"/>
            </w:tcMar>
            <w:vAlign w:val="center"/>
          </w:tcPr>
          <w:p w14:paraId="253E5F62" w14:textId="77777777" w:rsidR="00B259A8" w:rsidRPr="0072192C" w:rsidRDefault="00B259A8" w:rsidP="00F16E23">
            <w:pPr>
              <w:pStyle w:val="TableText"/>
              <w:spacing w:before="40" w:after="40"/>
              <w:rPr>
                <w:szCs w:val="16"/>
              </w:rPr>
            </w:pPr>
            <w:r w:rsidRPr="0072192C">
              <w:rPr>
                <w:rFonts w:eastAsia="Calibri"/>
                <w:szCs w:val="16"/>
              </w:rPr>
              <w:t>Garden and park waste</w:t>
            </w:r>
          </w:p>
        </w:tc>
        <w:tc>
          <w:tcPr>
            <w:tcW w:w="1701" w:type="dxa"/>
            <w:shd w:val="clear" w:color="auto" w:fill="FFFFFF"/>
            <w:tcMar>
              <w:top w:w="0" w:type="dxa"/>
              <w:left w:w="85" w:type="dxa"/>
              <w:bottom w:w="0" w:type="dxa"/>
              <w:right w:w="85" w:type="dxa"/>
            </w:tcMar>
            <w:vAlign w:val="center"/>
          </w:tcPr>
          <w:p w14:paraId="64DE05B2"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1331" w:type="dxa"/>
            <w:shd w:val="clear" w:color="auto" w:fill="FFFFFF"/>
            <w:tcMar>
              <w:top w:w="0" w:type="dxa"/>
              <w:left w:w="85" w:type="dxa"/>
              <w:bottom w:w="0" w:type="dxa"/>
              <w:right w:w="85" w:type="dxa"/>
            </w:tcMar>
            <w:vAlign w:val="center"/>
          </w:tcPr>
          <w:p w14:paraId="348D685D"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0" w:type="auto"/>
            <w:shd w:val="clear" w:color="auto" w:fill="FFFFFF"/>
            <w:tcMar>
              <w:top w:w="0" w:type="dxa"/>
              <w:left w:w="85" w:type="dxa"/>
              <w:bottom w:w="0" w:type="dxa"/>
              <w:right w:w="85" w:type="dxa"/>
            </w:tcMar>
            <w:vAlign w:val="center"/>
          </w:tcPr>
          <w:p w14:paraId="2FE98470" w14:textId="77777777" w:rsidR="00B259A8" w:rsidRPr="0072192C" w:rsidRDefault="00B259A8" w:rsidP="00F16E23">
            <w:pPr>
              <w:pStyle w:val="TableText"/>
              <w:spacing w:before="40" w:after="40"/>
              <w:jc w:val="right"/>
              <w:rPr>
                <w:szCs w:val="16"/>
              </w:rPr>
            </w:pPr>
            <w:r w:rsidRPr="0072192C">
              <w:rPr>
                <w:rFonts w:eastAsia="Calibri"/>
                <w:szCs w:val="16"/>
              </w:rPr>
              <w:t>40</w:t>
            </w:r>
          </w:p>
        </w:tc>
        <w:tc>
          <w:tcPr>
            <w:tcW w:w="0" w:type="auto"/>
            <w:shd w:val="clear" w:color="auto" w:fill="FFFFFF"/>
            <w:tcMar>
              <w:top w:w="0" w:type="dxa"/>
              <w:left w:w="85" w:type="dxa"/>
              <w:bottom w:w="0" w:type="dxa"/>
              <w:right w:w="85" w:type="dxa"/>
            </w:tcMar>
            <w:vAlign w:val="center"/>
          </w:tcPr>
          <w:p w14:paraId="2C8A8F8F" w14:textId="77777777" w:rsidR="00B259A8" w:rsidRPr="0072192C" w:rsidRDefault="00B259A8" w:rsidP="00F16E23">
            <w:pPr>
              <w:pStyle w:val="TableText"/>
              <w:spacing w:before="40" w:after="40"/>
              <w:jc w:val="right"/>
              <w:rPr>
                <w:szCs w:val="16"/>
              </w:rPr>
            </w:pPr>
            <w:r w:rsidRPr="0072192C">
              <w:rPr>
                <w:rFonts w:eastAsia="Calibri"/>
                <w:szCs w:val="16"/>
              </w:rPr>
              <w:t>49</w:t>
            </w:r>
          </w:p>
        </w:tc>
        <w:tc>
          <w:tcPr>
            <w:tcW w:w="0" w:type="auto"/>
            <w:shd w:val="clear" w:color="auto" w:fill="FFFFFF"/>
            <w:tcMar>
              <w:top w:w="0" w:type="dxa"/>
              <w:left w:w="85" w:type="dxa"/>
              <w:bottom w:w="0" w:type="dxa"/>
              <w:right w:w="85" w:type="dxa"/>
            </w:tcMar>
            <w:vAlign w:val="center"/>
          </w:tcPr>
          <w:p w14:paraId="5AB236BE" w14:textId="77777777" w:rsidR="00B259A8" w:rsidRPr="0072192C" w:rsidRDefault="00B259A8" w:rsidP="00F16E23">
            <w:pPr>
              <w:pStyle w:val="TableText"/>
              <w:spacing w:before="40" w:after="40"/>
              <w:jc w:val="right"/>
              <w:rPr>
                <w:szCs w:val="16"/>
              </w:rPr>
            </w:pPr>
            <w:r w:rsidRPr="0072192C">
              <w:rPr>
                <w:rFonts w:eastAsia="Calibri"/>
                <w:szCs w:val="16"/>
              </w:rPr>
              <w:t>0</w:t>
            </w:r>
          </w:p>
        </w:tc>
      </w:tr>
      <w:tr w:rsidR="00B259A8" w:rsidRPr="0072192C" w14:paraId="0F3FFAAA" w14:textId="77777777" w:rsidTr="00F16E23">
        <w:tc>
          <w:tcPr>
            <w:tcW w:w="2268" w:type="dxa"/>
            <w:shd w:val="clear" w:color="auto" w:fill="FFFFFF"/>
            <w:tcMar>
              <w:top w:w="0" w:type="dxa"/>
              <w:left w:w="85" w:type="dxa"/>
              <w:bottom w:w="0" w:type="dxa"/>
              <w:right w:w="85" w:type="dxa"/>
            </w:tcMar>
            <w:vAlign w:val="center"/>
          </w:tcPr>
          <w:p w14:paraId="2D078162" w14:textId="77777777" w:rsidR="00B259A8" w:rsidRPr="0072192C" w:rsidRDefault="00B259A8" w:rsidP="00F16E23">
            <w:pPr>
              <w:pStyle w:val="TableText"/>
              <w:spacing w:before="40" w:after="40"/>
              <w:rPr>
                <w:szCs w:val="16"/>
              </w:rPr>
            </w:pPr>
            <w:r w:rsidRPr="0072192C">
              <w:rPr>
                <w:rFonts w:eastAsia="Calibri"/>
                <w:szCs w:val="16"/>
              </w:rPr>
              <w:t>Nappies</w:t>
            </w:r>
          </w:p>
        </w:tc>
        <w:tc>
          <w:tcPr>
            <w:tcW w:w="1701" w:type="dxa"/>
            <w:shd w:val="clear" w:color="auto" w:fill="FFFFFF"/>
            <w:tcMar>
              <w:top w:w="0" w:type="dxa"/>
              <w:left w:w="85" w:type="dxa"/>
              <w:bottom w:w="0" w:type="dxa"/>
              <w:right w:w="85" w:type="dxa"/>
            </w:tcMar>
            <w:vAlign w:val="center"/>
          </w:tcPr>
          <w:p w14:paraId="13FB469A"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1331" w:type="dxa"/>
            <w:shd w:val="clear" w:color="auto" w:fill="FFFFFF"/>
            <w:tcMar>
              <w:top w:w="0" w:type="dxa"/>
              <w:left w:w="85" w:type="dxa"/>
              <w:bottom w:w="0" w:type="dxa"/>
              <w:right w:w="85" w:type="dxa"/>
            </w:tcMar>
            <w:vAlign w:val="center"/>
          </w:tcPr>
          <w:p w14:paraId="29D03CB1"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0" w:type="auto"/>
            <w:shd w:val="clear" w:color="auto" w:fill="FFFFFF"/>
            <w:tcMar>
              <w:top w:w="0" w:type="dxa"/>
              <w:left w:w="85" w:type="dxa"/>
              <w:bottom w:w="0" w:type="dxa"/>
              <w:right w:w="85" w:type="dxa"/>
            </w:tcMar>
            <w:vAlign w:val="center"/>
          </w:tcPr>
          <w:p w14:paraId="34B5155D" w14:textId="77777777" w:rsidR="00B259A8" w:rsidRPr="0072192C" w:rsidRDefault="00B259A8" w:rsidP="00F16E23">
            <w:pPr>
              <w:pStyle w:val="TableText"/>
              <w:spacing w:before="40" w:after="40"/>
              <w:jc w:val="right"/>
              <w:rPr>
                <w:szCs w:val="16"/>
              </w:rPr>
            </w:pPr>
            <w:r w:rsidRPr="0072192C">
              <w:rPr>
                <w:rFonts w:eastAsia="Calibri"/>
                <w:szCs w:val="16"/>
              </w:rPr>
              <w:t>40</w:t>
            </w:r>
          </w:p>
        </w:tc>
        <w:tc>
          <w:tcPr>
            <w:tcW w:w="0" w:type="auto"/>
            <w:shd w:val="clear" w:color="auto" w:fill="FFFFFF"/>
            <w:tcMar>
              <w:top w:w="0" w:type="dxa"/>
              <w:left w:w="85" w:type="dxa"/>
              <w:bottom w:w="0" w:type="dxa"/>
              <w:right w:w="85" w:type="dxa"/>
            </w:tcMar>
            <w:vAlign w:val="center"/>
          </w:tcPr>
          <w:p w14:paraId="22015A11" w14:textId="77777777" w:rsidR="00B259A8" w:rsidRPr="0072192C" w:rsidRDefault="00B259A8" w:rsidP="00F16E23">
            <w:pPr>
              <w:pStyle w:val="TableText"/>
              <w:spacing w:before="40" w:after="40"/>
              <w:jc w:val="right"/>
              <w:rPr>
                <w:szCs w:val="16"/>
              </w:rPr>
            </w:pPr>
            <w:r w:rsidRPr="0072192C">
              <w:rPr>
                <w:rFonts w:eastAsia="Calibri"/>
                <w:szCs w:val="16"/>
              </w:rPr>
              <w:t>70</w:t>
            </w:r>
          </w:p>
        </w:tc>
        <w:tc>
          <w:tcPr>
            <w:tcW w:w="0" w:type="auto"/>
            <w:shd w:val="clear" w:color="auto" w:fill="FFFFFF"/>
            <w:tcMar>
              <w:top w:w="0" w:type="dxa"/>
              <w:left w:w="85" w:type="dxa"/>
              <w:bottom w:w="0" w:type="dxa"/>
              <w:right w:w="85" w:type="dxa"/>
            </w:tcMar>
            <w:vAlign w:val="center"/>
          </w:tcPr>
          <w:p w14:paraId="28E90A61" w14:textId="77777777" w:rsidR="00B259A8" w:rsidRPr="0072192C" w:rsidRDefault="00B259A8" w:rsidP="00F16E23">
            <w:pPr>
              <w:pStyle w:val="TableText"/>
              <w:spacing w:before="40" w:after="40"/>
              <w:jc w:val="right"/>
              <w:rPr>
                <w:szCs w:val="16"/>
              </w:rPr>
            </w:pPr>
            <w:r w:rsidRPr="0072192C">
              <w:rPr>
                <w:rFonts w:eastAsia="Calibri"/>
                <w:szCs w:val="16"/>
              </w:rPr>
              <w:t>10</w:t>
            </w:r>
          </w:p>
        </w:tc>
      </w:tr>
      <w:tr w:rsidR="00B259A8" w:rsidRPr="0072192C" w14:paraId="583EDFBC" w14:textId="77777777" w:rsidTr="00F16E23">
        <w:tc>
          <w:tcPr>
            <w:tcW w:w="2268" w:type="dxa"/>
            <w:shd w:val="clear" w:color="auto" w:fill="FFFFFF"/>
            <w:tcMar>
              <w:top w:w="0" w:type="dxa"/>
              <w:left w:w="85" w:type="dxa"/>
              <w:bottom w:w="0" w:type="dxa"/>
              <w:right w:w="85" w:type="dxa"/>
            </w:tcMar>
            <w:vAlign w:val="center"/>
          </w:tcPr>
          <w:p w14:paraId="248013EA" w14:textId="77777777" w:rsidR="00B259A8" w:rsidRPr="0072192C" w:rsidRDefault="00B259A8" w:rsidP="00F16E23">
            <w:pPr>
              <w:pStyle w:val="TableText"/>
              <w:spacing w:before="40" w:after="40"/>
              <w:rPr>
                <w:szCs w:val="16"/>
              </w:rPr>
            </w:pPr>
            <w:r w:rsidRPr="0072192C">
              <w:rPr>
                <w:rFonts w:eastAsia="Calibri"/>
                <w:szCs w:val="16"/>
              </w:rPr>
              <w:t>Rubber and leather</w:t>
            </w:r>
          </w:p>
        </w:tc>
        <w:tc>
          <w:tcPr>
            <w:tcW w:w="1701" w:type="dxa"/>
            <w:shd w:val="clear" w:color="auto" w:fill="FFFFFF"/>
            <w:tcMar>
              <w:top w:w="0" w:type="dxa"/>
              <w:left w:w="85" w:type="dxa"/>
              <w:bottom w:w="0" w:type="dxa"/>
              <w:right w:w="85" w:type="dxa"/>
            </w:tcMar>
            <w:vAlign w:val="center"/>
          </w:tcPr>
          <w:p w14:paraId="6088CEC6" w14:textId="77777777" w:rsidR="00B259A8" w:rsidRPr="0072192C" w:rsidRDefault="00B259A8" w:rsidP="00F16E23">
            <w:pPr>
              <w:pStyle w:val="TableText"/>
              <w:spacing w:before="40" w:after="40"/>
              <w:jc w:val="right"/>
              <w:rPr>
                <w:szCs w:val="16"/>
              </w:rPr>
            </w:pPr>
            <w:r w:rsidRPr="0072192C">
              <w:rPr>
                <w:rFonts w:eastAsia="Calibri"/>
                <w:szCs w:val="16"/>
              </w:rPr>
              <w:t>part of inert</w:t>
            </w:r>
          </w:p>
        </w:tc>
        <w:tc>
          <w:tcPr>
            <w:tcW w:w="1331" w:type="dxa"/>
            <w:shd w:val="clear" w:color="auto" w:fill="FFFFFF"/>
            <w:tcMar>
              <w:top w:w="0" w:type="dxa"/>
              <w:left w:w="85" w:type="dxa"/>
              <w:bottom w:w="0" w:type="dxa"/>
              <w:right w:w="85" w:type="dxa"/>
            </w:tcMar>
            <w:vAlign w:val="center"/>
          </w:tcPr>
          <w:p w14:paraId="7B7168CE"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0" w:type="auto"/>
            <w:shd w:val="clear" w:color="auto" w:fill="FFFFFF"/>
            <w:tcMar>
              <w:top w:w="0" w:type="dxa"/>
              <w:left w:w="85" w:type="dxa"/>
              <w:bottom w:w="0" w:type="dxa"/>
              <w:right w:w="85" w:type="dxa"/>
            </w:tcMar>
            <w:vAlign w:val="center"/>
          </w:tcPr>
          <w:p w14:paraId="48CE8FBC" w14:textId="77777777" w:rsidR="00B259A8" w:rsidRPr="0072192C" w:rsidRDefault="00B259A8" w:rsidP="00F16E23">
            <w:pPr>
              <w:pStyle w:val="TableText"/>
              <w:spacing w:before="40" w:after="40"/>
              <w:jc w:val="right"/>
              <w:rPr>
                <w:szCs w:val="16"/>
              </w:rPr>
            </w:pPr>
            <w:r w:rsidRPr="0072192C">
              <w:rPr>
                <w:rFonts w:eastAsia="Calibri"/>
                <w:szCs w:val="16"/>
              </w:rPr>
              <w:t>84</w:t>
            </w:r>
          </w:p>
        </w:tc>
        <w:tc>
          <w:tcPr>
            <w:tcW w:w="0" w:type="auto"/>
            <w:shd w:val="clear" w:color="auto" w:fill="FFFFFF"/>
            <w:tcMar>
              <w:top w:w="0" w:type="dxa"/>
              <w:left w:w="85" w:type="dxa"/>
              <w:bottom w:w="0" w:type="dxa"/>
              <w:right w:w="85" w:type="dxa"/>
            </w:tcMar>
            <w:vAlign w:val="center"/>
          </w:tcPr>
          <w:p w14:paraId="376D0487" w14:textId="77777777" w:rsidR="00B259A8" w:rsidRPr="0072192C" w:rsidRDefault="00B259A8" w:rsidP="00F16E23">
            <w:pPr>
              <w:pStyle w:val="TableText"/>
              <w:spacing w:before="40" w:after="40"/>
              <w:jc w:val="right"/>
              <w:rPr>
                <w:szCs w:val="16"/>
              </w:rPr>
            </w:pPr>
            <w:r w:rsidRPr="0072192C">
              <w:rPr>
                <w:rFonts w:eastAsia="Calibri"/>
                <w:szCs w:val="16"/>
              </w:rPr>
              <w:t>67</w:t>
            </w:r>
          </w:p>
        </w:tc>
        <w:tc>
          <w:tcPr>
            <w:tcW w:w="0" w:type="auto"/>
            <w:shd w:val="clear" w:color="auto" w:fill="FFFFFF"/>
            <w:tcMar>
              <w:top w:w="0" w:type="dxa"/>
              <w:left w:w="85" w:type="dxa"/>
              <w:bottom w:w="0" w:type="dxa"/>
              <w:right w:w="85" w:type="dxa"/>
            </w:tcMar>
            <w:vAlign w:val="center"/>
          </w:tcPr>
          <w:p w14:paraId="6C5371BA" w14:textId="77777777" w:rsidR="00B259A8" w:rsidRPr="0072192C" w:rsidRDefault="00B259A8" w:rsidP="00F16E23">
            <w:pPr>
              <w:pStyle w:val="TableText"/>
              <w:spacing w:before="40" w:after="40"/>
              <w:jc w:val="right"/>
              <w:rPr>
                <w:szCs w:val="16"/>
              </w:rPr>
            </w:pPr>
            <w:r w:rsidRPr="0072192C">
              <w:rPr>
                <w:rFonts w:eastAsia="Calibri"/>
                <w:szCs w:val="16"/>
              </w:rPr>
              <w:t>20</w:t>
            </w:r>
          </w:p>
        </w:tc>
      </w:tr>
      <w:tr w:rsidR="00B259A8" w:rsidRPr="0072192C" w14:paraId="1197EB30" w14:textId="77777777" w:rsidTr="00F16E23">
        <w:tc>
          <w:tcPr>
            <w:tcW w:w="2268" w:type="dxa"/>
            <w:shd w:val="clear" w:color="auto" w:fill="FFFFFF"/>
            <w:tcMar>
              <w:top w:w="0" w:type="dxa"/>
              <w:left w:w="85" w:type="dxa"/>
              <w:bottom w:w="0" w:type="dxa"/>
              <w:right w:w="85" w:type="dxa"/>
            </w:tcMar>
            <w:vAlign w:val="center"/>
          </w:tcPr>
          <w:p w14:paraId="7F1A102D" w14:textId="77777777" w:rsidR="00B259A8" w:rsidRPr="0072192C" w:rsidRDefault="00B259A8" w:rsidP="00F16E23">
            <w:pPr>
              <w:pStyle w:val="TableText"/>
              <w:spacing w:before="40" w:after="40"/>
              <w:rPr>
                <w:szCs w:val="16"/>
              </w:rPr>
            </w:pPr>
            <w:r w:rsidRPr="0072192C">
              <w:rPr>
                <w:rFonts w:eastAsia="Calibri"/>
                <w:szCs w:val="16"/>
              </w:rPr>
              <w:t>Plastics</w:t>
            </w:r>
          </w:p>
        </w:tc>
        <w:tc>
          <w:tcPr>
            <w:tcW w:w="1701" w:type="dxa"/>
            <w:shd w:val="clear" w:color="auto" w:fill="FFFFFF"/>
            <w:tcMar>
              <w:top w:w="0" w:type="dxa"/>
              <w:left w:w="85" w:type="dxa"/>
              <w:bottom w:w="0" w:type="dxa"/>
              <w:right w:w="85" w:type="dxa"/>
            </w:tcMar>
            <w:vAlign w:val="center"/>
          </w:tcPr>
          <w:p w14:paraId="25EB893B" w14:textId="77777777" w:rsidR="00B259A8" w:rsidRPr="0072192C" w:rsidRDefault="00B259A8" w:rsidP="00F16E23">
            <w:pPr>
              <w:pStyle w:val="TableText"/>
              <w:spacing w:before="40" w:after="40"/>
              <w:jc w:val="right"/>
              <w:rPr>
                <w:szCs w:val="16"/>
              </w:rPr>
            </w:pPr>
            <w:r w:rsidRPr="0072192C">
              <w:rPr>
                <w:rFonts w:eastAsia="Calibri"/>
                <w:szCs w:val="16"/>
              </w:rPr>
              <w:t>part of inert</w:t>
            </w:r>
          </w:p>
        </w:tc>
        <w:tc>
          <w:tcPr>
            <w:tcW w:w="1331" w:type="dxa"/>
            <w:shd w:val="clear" w:color="auto" w:fill="FFFFFF"/>
            <w:tcMar>
              <w:top w:w="0" w:type="dxa"/>
              <w:left w:w="85" w:type="dxa"/>
              <w:bottom w:w="0" w:type="dxa"/>
              <w:right w:w="85" w:type="dxa"/>
            </w:tcMar>
            <w:vAlign w:val="center"/>
          </w:tcPr>
          <w:p w14:paraId="57FC7213"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0" w:type="auto"/>
            <w:shd w:val="clear" w:color="auto" w:fill="FFFFFF"/>
            <w:tcMar>
              <w:top w:w="0" w:type="dxa"/>
              <w:left w:w="85" w:type="dxa"/>
              <w:bottom w:w="0" w:type="dxa"/>
              <w:right w:w="85" w:type="dxa"/>
            </w:tcMar>
            <w:vAlign w:val="center"/>
          </w:tcPr>
          <w:p w14:paraId="0AB13459" w14:textId="77777777" w:rsidR="00B259A8" w:rsidRPr="0072192C" w:rsidRDefault="00B259A8" w:rsidP="00F16E23">
            <w:pPr>
              <w:pStyle w:val="TableText"/>
              <w:spacing w:before="40" w:after="40"/>
              <w:jc w:val="right"/>
              <w:rPr>
                <w:szCs w:val="16"/>
              </w:rPr>
            </w:pPr>
            <w:r w:rsidRPr="0072192C">
              <w:rPr>
                <w:rFonts w:eastAsia="Calibri"/>
                <w:szCs w:val="16"/>
              </w:rPr>
              <w:t>100</w:t>
            </w:r>
          </w:p>
        </w:tc>
        <w:tc>
          <w:tcPr>
            <w:tcW w:w="0" w:type="auto"/>
            <w:shd w:val="clear" w:color="auto" w:fill="FFFFFF"/>
            <w:tcMar>
              <w:top w:w="0" w:type="dxa"/>
              <w:left w:w="85" w:type="dxa"/>
              <w:bottom w:w="0" w:type="dxa"/>
              <w:right w:w="85" w:type="dxa"/>
            </w:tcMar>
            <w:vAlign w:val="center"/>
          </w:tcPr>
          <w:p w14:paraId="4B31EDF5" w14:textId="77777777" w:rsidR="00B259A8" w:rsidRPr="0072192C" w:rsidRDefault="00B259A8" w:rsidP="00F16E23">
            <w:pPr>
              <w:pStyle w:val="TableText"/>
              <w:spacing w:before="40" w:after="40"/>
              <w:jc w:val="right"/>
              <w:rPr>
                <w:szCs w:val="16"/>
              </w:rPr>
            </w:pPr>
            <w:r w:rsidRPr="0072192C">
              <w:rPr>
                <w:rFonts w:eastAsia="Calibri"/>
                <w:szCs w:val="16"/>
              </w:rPr>
              <w:t>75</w:t>
            </w:r>
          </w:p>
        </w:tc>
        <w:tc>
          <w:tcPr>
            <w:tcW w:w="0" w:type="auto"/>
            <w:shd w:val="clear" w:color="auto" w:fill="FFFFFF"/>
            <w:tcMar>
              <w:top w:w="0" w:type="dxa"/>
              <w:left w:w="85" w:type="dxa"/>
              <w:bottom w:w="0" w:type="dxa"/>
              <w:right w:w="85" w:type="dxa"/>
            </w:tcMar>
            <w:vAlign w:val="center"/>
          </w:tcPr>
          <w:p w14:paraId="5582AF9D" w14:textId="77777777" w:rsidR="00B259A8" w:rsidRPr="0072192C" w:rsidRDefault="00B259A8" w:rsidP="00F16E23">
            <w:pPr>
              <w:pStyle w:val="TableText"/>
              <w:spacing w:before="40" w:after="40"/>
              <w:jc w:val="right"/>
              <w:rPr>
                <w:szCs w:val="16"/>
              </w:rPr>
            </w:pPr>
            <w:r w:rsidRPr="0072192C">
              <w:rPr>
                <w:rFonts w:eastAsia="Calibri"/>
                <w:szCs w:val="16"/>
              </w:rPr>
              <w:t>100</w:t>
            </w:r>
          </w:p>
        </w:tc>
      </w:tr>
      <w:tr w:rsidR="00B259A8" w:rsidRPr="0072192C" w14:paraId="7C8EF3B3" w14:textId="77777777" w:rsidTr="00F16E23">
        <w:tc>
          <w:tcPr>
            <w:tcW w:w="2268" w:type="dxa"/>
            <w:shd w:val="clear" w:color="auto" w:fill="FFFFFF"/>
            <w:tcMar>
              <w:top w:w="0" w:type="dxa"/>
              <w:left w:w="85" w:type="dxa"/>
              <w:bottom w:w="0" w:type="dxa"/>
              <w:right w:w="85" w:type="dxa"/>
            </w:tcMar>
            <w:vAlign w:val="center"/>
          </w:tcPr>
          <w:p w14:paraId="0C26390D" w14:textId="77777777" w:rsidR="00B259A8" w:rsidRPr="0072192C" w:rsidRDefault="00B259A8" w:rsidP="00F16E23">
            <w:pPr>
              <w:pStyle w:val="TableText"/>
              <w:spacing w:before="40" w:after="40"/>
              <w:rPr>
                <w:szCs w:val="16"/>
              </w:rPr>
            </w:pPr>
            <w:r w:rsidRPr="0072192C">
              <w:rPr>
                <w:rFonts w:eastAsia="Calibri"/>
                <w:szCs w:val="16"/>
              </w:rPr>
              <w:t>Metal</w:t>
            </w:r>
          </w:p>
        </w:tc>
        <w:tc>
          <w:tcPr>
            <w:tcW w:w="1701" w:type="dxa"/>
            <w:shd w:val="clear" w:color="auto" w:fill="FFFFFF"/>
            <w:tcMar>
              <w:top w:w="0" w:type="dxa"/>
              <w:left w:w="85" w:type="dxa"/>
              <w:bottom w:w="0" w:type="dxa"/>
              <w:right w:w="85" w:type="dxa"/>
            </w:tcMar>
            <w:vAlign w:val="center"/>
          </w:tcPr>
          <w:p w14:paraId="31676C6F" w14:textId="77777777" w:rsidR="00B259A8" w:rsidRPr="0072192C" w:rsidRDefault="00B259A8" w:rsidP="00F16E23">
            <w:pPr>
              <w:pStyle w:val="TableText"/>
              <w:spacing w:before="40" w:after="40"/>
              <w:jc w:val="right"/>
              <w:rPr>
                <w:szCs w:val="16"/>
              </w:rPr>
            </w:pPr>
            <w:r w:rsidRPr="0072192C">
              <w:rPr>
                <w:rFonts w:eastAsia="Calibri"/>
                <w:szCs w:val="16"/>
              </w:rPr>
              <w:t>part of inert</w:t>
            </w:r>
          </w:p>
        </w:tc>
        <w:tc>
          <w:tcPr>
            <w:tcW w:w="1331" w:type="dxa"/>
            <w:shd w:val="clear" w:color="auto" w:fill="FFFFFF"/>
            <w:tcMar>
              <w:top w:w="0" w:type="dxa"/>
              <w:left w:w="85" w:type="dxa"/>
              <w:bottom w:w="0" w:type="dxa"/>
              <w:right w:w="85" w:type="dxa"/>
            </w:tcMar>
            <w:vAlign w:val="center"/>
          </w:tcPr>
          <w:p w14:paraId="67B7A774"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0" w:type="auto"/>
            <w:shd w:val="clear" w:color="auto" w:fill="FFFFFF"/>
            <w:tcMar>
              <w:top w:w="0" w:type="dxa"/>
              <w:left w:w="85" w:type="dxa"/>
              <w:bottom w:w="0" w:type="dxa"/>
              <w:right w:w="85" w:type="dxa"/>
            </w:tcMar>
            <w:vAlign w:val="center"/>
          </w:tcPr>
          <w:p w14:paraId="0B9FF1C6" w14:textId="77777777" w:rsidR="00B259A8" w:rsidRPr="0072192C" w:rsidRDefault="00B259A8" w:rsidP="00F16E23">
            <w:pPr>
              <w:pStyle w:val="TableText"/>
              <w:spacing w:before="40" w:after="40"/>
              <w:jc w:val="right"/>
              <w:rPr>
                <w:szCs w:val="16"/>
              </w:rPr>
            </w:pPr>
            <w:r w:rsidRPr="0072192C">
              <w:rPr>
                <w:rFonts w:eastAsia="Calibri"/>
                <w:szCs w:val="16"/>
              </w:rPr>
              <w:t>100</w:t>
            </w:r>
          </w:p>
        </w:tc>
        <w:tc>
          <w:tcPr>
            <w:tcW w:w="0" w:type="auto"/>
            <w:shd w:val="clear" w:color="auto" w:fill="FFFFFF"/>
            <w:tcMar>
              <w:top w:w="0" w:type="dxa"/>
              <w:left w:w="85" w:type="dxa"/>
              <w:bottom w:w="0" w:type="dxa"/>
              <w:right w:w="85" w:type="dxa"/>
            </w:tcMar>
            <w:vAlign w:val="center"/>
          </w:tcPr>
          <w:p w14:paraId="120AEA3C" w14:textId="77777777" w:rsidR="00B259A8" w:rsidRPr="0072192C" w:rsidRDefault="00B259A8" w:rsidP="00F16E23">
            <w:pPr>
              <w:pStyle w:val="TableText"/>
              <w:spacing w:before="40" w:after="40"/>
              <w:jc w:val="right"/>
              <w:rPr>
                <w:szCs w:val="16"/>
              </w:rPr>
            </w:pPr>
            <w:r w:rsidRPr="0072192C">
              <w:rPr>
                <w:rFonts w:eastAsia="Calibri"/>
                <w:szCs w:val="16"/>
              </w:rPr>
              <w:t>NA</w:t>
            </w:r>
          </w:p>
        </w:tc>
        <w:tc>
          <w:tcPr>
            <w:tcW w:w="0" w:type="auto"/>
            <w:shd w:val="clear" w:color="auto" w:fill="FFFFFF"/>
            <w:tcMar>
              <w:top w:w="0" w:type="dxa"/>
              <w:left w:w="85" w:type="dxa"/>
              <w:bottom w:w="0" w:type="dxa"/>
              <w:right w:w="85" w:type="dxa"/>
            </w:tcMar>
            <w:vAlign w:val="center"/>
          </w:tcPr>
          <w:p w14:paraId="47C8C734" w14:textId="77777777" w:rsidR="00B259A8" w:rsidRPr="0072192C" w:rsidRDefault="00B259A8" w:rsidP="00F16E23">
            <w:pPr>
              <w:pStyle w:val="TableText"/>
              <w:spacing w:before="40" w:after="40"/>
              <w:jc w:val="right"/>
              <w:rPr>
                <w:szCs w:val="16"/>
              </w:rPr>
            </w:pPr>
            <w:r w:rsidRPr="0072192C">
              <w:rPr>
                <w:rFonts w:eastAsia="Calibri"/>
                <w:szCs w:val="16"/>
              </w:rPr>
              <w:t>NA</w:t>
            </w:r>
          </w:p>
        </w:tc>
      </w:tr>
      <w:tr w:rsidR="00B259A8" w:rsidRPr="0072192C" w14:paraId="156E9981" w14:textId="77777777" w:rsidTr="00F16E23">
        <w:tc>
          <w:tcPr>
            <w:tcW w:w="2268" w:type="dxa"/>
            <w:shd w:val="clear" w:color="auto" w:fill="FFFFFF"/>
            <w:tcMar>
              <w:top w:w="0" w:type="dxa"/>
              <w:left w:w="85" w:type="dxa"/>
              <w:bottom w:w="0" w:type="dxa"/>
              <w:right w:w="85" w:type="dxa"/>
            </w:tcMar>
            <w:vAlign w:val="center"/>
          </w:tcPr>
          <w:p w14:paraId="132803C1" w14:textId="77777777" w:rsidR="00B259A8" w:rsidRPr="0072192C" w:rsidRDefault="00B259A8" w:rsidP="00F16E23">
            <w:pPr>
              <w:pStyle w:val="TableText"/>
              <w:spacing w:before="40" w:after="40"/>
              <w:rPr>
                <w:szCs w:val="16"/>
              </w:rPr>
            </w:pPr>
            <w:r w:rsidRPr="0072192C">
              <w:rPr>
                <w:rFonts w:eastAsia="Calibri"/>
                <w:szCs w:val="16"/>
              </w:rPr>
              <w:t>Glass</w:t>
            </w:r>
          </w:p>
        </w:tc>
        <w:tc>
          <w:tcPr>
            <w:tcW w:w="1701" w:type="dxa"/>
            <w:shd w:val="clear" w:color="auto" w:fill="FFFFFF"/>
            <w:tcMar>
              <w:top w:w="0" w:type="dxa"/>
              <w:left w:w="85" w:type="dxa"/>
              <w:bottom w:w="0" w:type="dxa"/>
              <w:right w:w="85" w:type="dxa"/>
            </w:tcMar>
            <w:vAlign w:val="center"/>
          </w:tcPr>
          <w:p w14:paraId="0124C1FB" w14:textId="77777777" w:rsidR="00B259A8" w:rsidRPr="0072192C" w:rsidRDefault="00B259A8" w:rsidP="00F16E23">
            <w:pPr>
              <w:pStyle w:val="TableText"/>
              <w:spacing w:before="40" w:after="40"/>
              <w:jc w:val="right"/>
              <w:rPr>
                <w:szCs w:val="16"/>
              </w:rPr>
            </w:pPr>
            <w:r w:rsidRPr="0072192C">
              <w:rPr>
                <w:rFonts w:eastAsia="Calibri"/>
                <w:szCs w:val="16"/>
              </w:rPr>
              <w:t>part of inert</w:t>
            </w:r>
          </w:p>
        </w:tc>
        <w:tc>
          <w:tcPr>
            <w:tcW w:w="1331" w:type="dxa"/>
            <w:shd w:val="clear" w:color="auto" w:fill="FFFFFF"/>
            <w:tcMar>
              <w:top w:w="0" w:type="dxa"/>
              <w:left w:w="85" w:type="dxa"/>
              <w:bottom w:w="0" w:type="dxa"/>
              <w:right w:w="85" w:type="dxa"/>
            </w:tcMar>
            <w:vAlign w:val="center"/>
          </w:tcPr>
          <w:p w14:paraId="7A327CDE" w14:textId="77777777" w:rsidR="00B259A8" w:rsidRPr="0072192C" w:rsidRDefault="00B259A8" w:rsidP="00F16E23">
            <w:pPr>
              <w:pStyle w:val="TableText"/>
              <w:spacing w:before="40" w:after="40"/>
              <w:jc w:val="right"/>
              <w:rPr>
                <w:szCs w:val="16"/>
              </w:rPr>
            </w:pPr>
            <w:r w:rsidRPr="0072192C">
              <w:rPr>
                <w:rFonts w:eastAsia="Calibri"/>
                <w:szCs w:val="16"/>
              </w:rPr>
              <w:t>0</w:t>
            </w:r>
          </w:p>
        </w:tc>
        <w:tc>
          <w:tcPr>
            <w:tcW w:w="0" w:type="auto"/>
            <w:shd w:val="clear" w:color="auto" w:fill="FFFFFF"/>
            <w:tcMar>
              <w:top w:w="0" w:type="dxa"/>
              <w:left w:w="85" w:type="dxa"/>
              <w:bottom w:w="0" w:type="dxa"/>
              <w:right w:w="85" w:type="dxa"/>
            </w:tcMar>
            <w:vAlign w:val="center"/>
          </w:tcPr>
          <w:p w14:paraId="7DED43D0" w14:textId="77777777" w:rsidR="00B259A8" w:rsidRPr="0072192C" w:rsidRDefault="00B259A8" w:rsidP="00F16E23">
            <w:pPr>
              <w:pStyle w:val="TableText"/>
              <w:spacing w:before="40" w:after="40"/>
              <w:jc w:val="right"/>
              <w:rPr>
                <w:szCs w:val="16"/>
              </w:rPr>
            </w:pPr>
            <w:r w:rsidRPr="0072192C">
              <w:rPr>
                <w:rFonts w:eastAsia="Calibri"/>
                <w:szCs w:val="16"/>
              </w:rPr>
              <w:t>100</w:t>
            </w:r>
          </w:p>
        </w:tc>
        <w:tc>
          <w:tcPr>
            <w:tcW w:w="0" w:type="auto"/>
            <w:shd w:val="clear" w:color="auto" w:fill="FFFFFF"/>
            <w:tcMar>
              <w:top w:w="0" w:type="dxa"/>
              <w:left w:w="85" w:type="dxa"/>
              <w:bottom w:w="0" w:type="dxa"/>
              <w:right w:w="85" w:type="dxa"/>
            </w:tcMar>
            <w:vAlign w:val="center"/>
          </w:tcPr>
          <w:p w14:paraId="124F6EFD" w14:textId="77777777" w:rsidR="00B259A8" w:rsidRPr="0072192C" w:rsidRDefault="00B259A8" w:rsidP="00F16E23">
            <w:pPr>
              <w:pStyle w:val="TableText"/>
              <w:spacing w:before="40" w:after="40"/>
              <w:jc w:val="right"/>
              <w:rPr>
                <w:szCs w:val="16"/>
              </w:rPr>
            </w:pPr>
            <w:r w:rsidRPr="0072192C">
              <w:rPr>
                <w:rFonts w:eastAsia="Calibri"/>
                <w:szCs w:val="16"/>
              </w:rPr>
              <w:t>NA</w:t>
            </w:r>
          </w:p>
        </w:tc>
        <w:tc>
          <w:tcPr>
            <w:tcW w:w="0" w:type="auto"/>
            <w:shd w:val="clear" w:color="auto" w:fill="FFFFFF"/>
            <w:tcMar>
              <w:top w:w="0" w:type="dxa"/>
              <w:left w:w="85" w:type="dxa"/>
              <w:bottom w:w="0" w:type="dxa"/>
              <w:right w:w="85" w:type="dxa"/>
            </w:tcMar>
            <w:vAlign w:val="center"/>
          </w:tcPr>
          <w:p w14:paraId="0C618D18" w14:textId="77777777" w:rsidR="00B259A8" w:rsidRPr="0072192C" w:rsidRDefault="00B259A8" w:rsidP="00F16E23">
            <w:pPr>
              <w:pStyle w:val="TableText"/>
              <w:spacing w:before="40" w:after="40"/>
              <w:jc w:val="right"/>
              <w:rPr>
                <w:szCs w:val="16"/>
              </w:rPr>
            </w:pPr>
            <w:r w:rsidRPr="0072192C">
              <w:rPr>
                <w:rFonts w:eastAsia="Calibri"/>
                <w:szCs w:val="16"/>
              </w:rPr>
              <w:t>NA</w:t>
            </w:r>
          </w:p>
        </w:tc>
      </w:tr>
      <w:tr w:rsidR="00B259A8" w:rsidRPr="0072192C" w14:paraId="47B396AB" w14:textId="77777777" w:rsidTr="00F16E23">
        <w:tc>
          <w:tcPr>
            <w:tcW w:w="2268" w:type="dxa"/>
            <w:shd w:val="clear" w:color="auto" w:fill="FFFFFF"/>
            <w:tcMar>
              <w:top w:w="0" w:type="dxa"/>
              <w:left w:w="85" w:type="dxa"/>
              <w:bottom w:w="0" w:type="dxa"/>
              <w:right w:w="85" w:type="dxa"/>
            </w:tcMar>
            <w:vAlign w:val="center"/>
          </w:tcPr>
          <w:p w14:paraId="4F039DCA" w14:textId="77777777" w:rsidR="00B259A8" w:rsidRPr="0072192C" w:rsidRDefault="00B259A8" w:rsidP="00F16E23">
            <w:pPr>
              <w:pStyle w:val="TableText"/>
              <w:spacing w:before="40" w:after="40"/>
              <w:rPr>
                <w:szCs w:val="16"/>
              </w:rPr>
            </w:pPr>
            <w:r w:rsidRPr="0072192C">
              <w:rPr>
                <w:rFonts w:eastAsia="Calibri"/>
                <w:szCs w:val="16"/>
              </w:rPr>
              <w:t>Other, inert</w:t>
            </w:r>
          </w:p>
        </w:tc>
        <w:tc>
          <w:tcPr>
            <w:tcW w:w="1701" w:type="dxa"/>
            <w:shd w:val="clear" w:color="auto" w:fill="FFFFFF"/>
            <w:tcMar>
              <w:top w:w="0" w:type="dxa"/>
              <w:left w:w="85" w:type="dxa"/>
              <w:bottom w:w="0" w:type="dxa"/>
              <w:right w:w="85" w:type="dxa"/>
            </w:tcMar>
            <w:vAlign w:val="center"/>
          </w:tcPr>
          <w:p w14:paraId="58C92380" w14:textId="77777777" w:rsidR="00B259A8" w:rsidRPr="0072192C" w:rsidRDefault="00B259A8" w:rsidP="00F16E23">
            <w:pPr>
              <w:pStyle w:val="TableText"/>
              <w:spacing w:before="40" w:after="40"/>
              <w:jc w:val="right"/>
              <w:rPr>
                <w:szCs w:val="16"/>
              </w:rPr>
            </w:pPr>
            <w:r w:rsidRPr="0072192C">
              <w:rPr>
                <w:rFonts w:eastAsia="Calibri"/>
                <w:szCs w:val="16"/>
              </w:rPr>
              <w:t>24.0</w:t>
            </w:r>
          </w:p>
        </w:tc>
        <w:tc>
          <w:tcPr>
            <w:tcW w:w="1331" w:type="dxa"/>
            <w:shd w:val="clear" w:color="auto" w:fill="FFFFFF"/>
            <w:tcMar>
              <w:top w:w="0" w:type="dxa"/>
              <w:left w:w="85" w:type="dxa"/>
              <w:bottom w:w="0" w:type="dxa"/>
              <w:right w:w="85" w:type="dxa"/>
            </w:tcMar>
            <w:vAlign w:val="center"/>
          </w:tcPr>
          <w:p w14:paraId="3763CC87" w14:textId="77777777" w:rsidR="00B259A8" w:rsidRPr="0072192C" w:rsidRDefault="00B259A8" w:rsidP="00F16E23">
            <w:pPr>
              <w:pStyle w:val="TableText"/>
              <w:spacing w:before="40" w:after="40"/>
              <w:jc w:val="right"/>
              <w:rPr>
                <w:szCs w:val="16"/>
              </w:rPr>
            </w:pPr>
            <w:r w:rsidRPr="0072192C">
              <w:rPr>
                <w:rFonts w:eastAsia="Calibri"/>
                <w:szCs w:val="16"/>
              </w:rPr>
              <w:t>24.0</w:t>
            </w:r>
          </w:p>
        </w:tc>
        <w:tc>
          <w:tcPr>
            <w:tcW w:w="0" w:type="auto"/>
            <w:shd w:val="clear" w:color="auto" w:fill="FFFFFF"/>
            <w:tcMar>
              <w:top w:w="0" w:type="dxa"/>
              <w:left w:w="85" w:type="dxa"/>
              <w:bottom w:w="0" w:type="dxa"/>
              <w:right w:w="85" w:type="dxa"/>
            </w:tcMar>
            <w:vAlign w:val="center"/>
          </w:tcPr>
          <w:p w14:paraId="0AAA2785" w14:textId="77777777" w:rsidR="00B259A8" w:rsidRPr="0072192C" w:rsidRDefault="00B259A8" w:rsidP="00F16E23">
            <w:pPr>
              <w:pStyle w:val="TableText"/>
              <w:spacing w:before="40" w:after="40"/>
              <w:jc w:val="right"/>
              <w:rPr>
                <w:szCs w:val="16"/>
              </w:rPr>
            </w:pPr>
            <w:r w:rsidRPr="0072192C">
              <w:rPr>
                <w:rFonts w:eastAsia="Calibri"/>
                <w:szCs w:val="16"/>
              </w:rPr>
              <w:t>90</w:t>
            </w:r>
          </w:p>
        </w:tc>
        <w:tc>
          <w:tcPr>
            <w:tcW w:w="0" w:type="auto"/>
            <w:shd w:val="clear" w:color="auto" w:fill="FFFFFF"/>
            <w:tcMar>
              <w:top w:w="0" w:type="dxa"/>
              <w:left w:w="85" w:type="dxa"/>
              <w:bottom w:w="0" w:type="dxa"/>
              <w:right w:w="85" w:type="dxa"/>
            </w:tcMar>
            <w:vAlign w:val="center"/>
          </w:tcPr>
          <w:p w14:paraId="3CBACFF1" w14:textId="77777777" w:rsidR="00B259A8" w:rsidRPr="0072192C" w:rsidRDefault="00B259A8" w:rsidP="00F16E23">
            <w:pPr>
              <w:pStyle w:val="TableText"/>
              <w:spacing w:before="40" w:after="40"/>
              <w:jc w:val="right"/>
              <w:rPr>
                <w:szCs w:val="16"/>
              </w:rPr>
            </w:pPr>
            <w:r w:rsidRPr="0072192C">
              <w:rPr>
                <w:rFonts w:eastAsia="Calibri"/>
                <w:szCs w:val="16"/>
              </w:rPr>
              <w:t>3</w:t>
            </w:r>
          </w:p>
        </w:tc>
        <w:tc>
          <w:tcPr>
            <w:tcW w:w="0" w:type="auto"/>
            <w:shd w:val="clear" w:color="auto" w:fill="FFFFFF"/>
            <w:tcMar>
              <w:top w:w="0" w:type="dxa"/>
              <w:left w:w="85" w:type="dxa"/>
              <w:bottom w:w="0" w:type="dxa"/>
              <w:right w:w="85" w:type="dxa"/>
            </w:tcMar>
            <w:vAlign w:val="center"/>
          </w:tcPr>
          <w:p w14:paraId="65C813FC" w14:textId="77777777" w:rsidR="00B259A8" w:rsidRPr="0072192C" w:rsidRDefault="00B259A8" w:rsidP="00F16E23">
            <w:pPr>
              <w:pStyle w:val="TableText"/>
              <w:spacing w:before="40" w:after="40"/>
              <w:jc w:val="right"/>
              <w:rPr>
                <w:szCs w:val="16"/>
              </w:rPr>
            </w:pPr>
            <w:r w:rsidRPr="0072192C">
              <w:rPr>
                <w:rFonts w:eastAsia="Calibri"/>
                <w:szCs w:val="16"/>
              </w:rPr>
              <w:t>100</w:t>
            </w:r>
          </w:p>
        </w:tc>
      </w:tr>
      <w:tr w:rsidR="00B259A8" w:rsidRPr="0072192C" w14:paraId="38F567C4" w14:textId="77777777" w:rsidTr="00F16E23">
        <w:tc>
          <w:tcPr>
            <w:tcW w:w="2268" w:type="dxa"/>
            <w:shd w:val="clear" w:color="auto" w:fill="FFFFFF"/>
            <w:tcMar>
              <w:top w:w="0" w:type="dxa"/>
              <w:left w:w="85" w:type="dxa"/>
              <w:bottom w:w="0" w:type="dxa"/>
              <w:right w:w="85" w:type="dxa"/>
            </w:tcMar>
            <w:vAlign w:val="center"/>
          </w:tcPr>
          <w:p w14:paraId="4FA7FC15" w14:textId="77777777" w:rsidR="00B259A8" w:rsidRPr="0072192C" w:rsidRDefault="00B259A8" w:rsidP="00F16E23">
            <w:pPr>
              <w:pStyle w:val="Tableboldblue"/>
              <w:spacing w:before="40" w:after="40"/>
            </w:pPr>
            <w:r w:rsidRPr="0072192C">
              <w:t>Calculated weighted average</w:t>
            </w:r>
          </w:p>
        </w:tc>
        <w:tc>
          <w:tcPr>
            <w:tcW w:w="1701" w:type="dxa"/>
            <w:shd w:val="clear" w:color="auto" w:fill="FFFFFF"/>
            <w:tcMar>
              <w:top w:w="0" w:type="dxa"/>
              <w:left w:w="85" w:type="dxa"/>
              <w:bottom w:w="0" w:type="dxa"/>
              <w:right w:w="85" w:type="dxa"/>
            </w:tcMar>
            <w:vAlign w:val="center"/>
          </w:tcPr>
          <w:p w14:paraId="7A7E82EC" w14:textId="77777777" w:rsidR="00B259A8" w:rsidRPr="0072192C" w:rsidRDefault="00B259A8" w:rsidP="00F16E23">
            <w:pPr>
              <w:pStyle w:val="Tableboldblue"/>
              <w:spacing w:before="40" w:after="40"/>
              <w:jc w:val="right"/>
            </w:pPr>
          </w:p>
        </w:tc>
        <w:tc>
          <w:tcPr>
            <w:tcW w:w="1331" w:type="dxa"/>
            <w:shd w:val="clear" w:color="auto" w:fill="FFFFFF"/>
            <w:tcMar>
              <w:top w:w="0" w:type="dxa"/>
              <w:left w:w="85" w:type="dxa"/>
              <w:bottom w:w="0" w:type="dxa"/>
              <w:right w:w="85" w:type="dxa"/>
            </w:tcMar>
            <w:vAlign w:val="center"/>
          </w:tcPr>
          <w:p w14:paraId="62719B02" w14:textId="77777777" w:rsidR="00B259A8" w:rsidRPr="0072192C" w:rsidRDefault="00B259A8" w:rsidP="00F16E23">
            <w:pPr>
              <w:pStyle w:val="Tableboldblue"/>
              <w:spacing w:before="40" w:after="40"/>
              <w:jc w:val="right"/>
            </w:pPr>
          </w:p>
        </w:tc>
        <w:tc>
          <w:tcPr>
            <w:tcW w:w="0" w:type="auto"/>
            <w:shd w:val="clear" w:color="auto" w:fill="FFFFFF"/>
            <w:tcMar>
              <w:top w:w="0" w:type="dxa"/>
              <w:left w:w="85" w:type="dxa"/>
              <w:bottom w:w="0" w:type="dxa"/>
              <w:right w:w="85" w:type="dxa"/>
            </w:tcMar>
            <w:vAlign w:val="center"/>
          </w:tcPr>
          <w:p w14:paraId="3B547E8F" w14:textId="77777777" w:rsidR="00B259A8" w:rsidRPr="0072192C" w:rsidRDefault="00B259A8" w:rsidP="00F16E23">
            <w:pPr>
              <w:pStyle w:val="Tableboldblue"/>
              <w:spacing w:before="40" w:after="40"/>
              <w:jc w:val="right"/>
            </w:pPr>
            <w:r w:rsidRPr="0072192C">
              <w:t>56.13</w:t>
            </w:r>
          </w:p>
        </w:tc>
        <w:tc>
          <w:tcPr>
            <w:tcW w:w="0" w:type="auto"/>
            <w:shd w:val="clear" w:color="auto" w:fill="FFFFFF"/>
            <w:tcMar>
              <w:top w:w="0" w:type="dxa"/>
              <w:left w:w="85" w:type="dxa"/>
              <w:bottom w:w="0" w:type="dxa"/>
              <w:right w:w="85" w:type="dxa"/>
            </w:tcMar>
            <w:vAlign w:val="center"/>
          </w:tcPr>
          <w:p w14:paraId="3387FDD4" w14:textId="77777777" w:rsidR="00B259A8" w:rsidRPr="0072192C" w:rsidRDefault="00B259A8" w:rsidP="00F16E23">
            <w:pPr>
              <w:pStyle w:val="Tableboldblue"/>
              <w:spacing w:before="40" w:after="40"/>
              <w:jc w:val="right"/>
            </w:pPr>
            <w:r w:rsidRPr="0072192C">
              <w:t>30.20</w:t>
            </w:r>
          </w:p>
        </w:tc>
        <w:tc>
          <w:tcPr>
            <w:tcW w:w="0" w:type="auto"/>
            <w:shd w:val="clear" w:color="auto" w:fill="FFFFFF"/>
            <w:tcMar>
              <w:top w:w="0" w:type="dxa"/>
              <w:left w:w="85" w:type="dxa"/>
              <w:bottom w:w="0" w:type="dxa"/>
              <w:right w:w="85" w:type="dxa"/>
            </w:tcMar>
            <w:vAlign w:val="center"/>
          </w:tcPr>
          <w:p w14:paraId="03218B9B" w14:textId="77777777" w:rsidR="00B259A8" w:rsidRPr="0072192C" w:rsidRDefault="00B259A8" w:rsidP="00F16E23">
            <w:pPr>
              <w:pStyle w:val="Tableboldblue"/>
              <w:spacing w:before="40" w:after="40"/>
              <w:jc w:val="right"/>
            </w:pPr>
            <w:r w:rsidRPr="0072192C">
              <w:t>24.06</w:t>
            </w:r>
          </w:p>
        </w:tc>
      </w:tr>
    </w:tbl>
    <w:p w14:paraId="399A955C" w14:textId="77777777" w:rsidR="00B259A8" w:rsidRPr="0072192C" w:rsidRDefault="00B259A8" w:rsidP="00B259A8">
      <w:pPr>
        <w:pStyle w:val="Noteundertable"/>
      </w:pPr>
      <w:r w:rsidRPr="0072192C">
        <w:rPr>
          <w:b/>
          <w:bCs/>
        </w:rPr>
        <w:t>Note:</w:t>
      </w:r>
      <w:r w:rsidRPr="0072192C">
        <w:tab/>
        <w:t>NA = not applicable.</w:t>
      </w:r>
    </w:p>
    <w:p w14:paraId="7A60BC04" w14:textId="77777777" w:rsidR="00B259A8" w:rsidRPr="0072192C" w:rsidRDefault="00B259A8" w:rsidP="00B259A8">
      <w:pPr>
        <w:pStyle w:val="BodyText"/>
      </w:pPr>
      <w:r w:rsidRPr="0072192C">
        <w:t>Percentages in table 8.14.1 are defaults from table 2.3 and table 2.4 in volume 5, chapter 2 of the 2006 IPCC Guidelines (IPCC, 2006d).</w:t>
      </w:r>
    </w:p>
    <w:p w14:paraId="6C19DE3C" w14:textId="77777777" w:rsidR="00B259A8" w:rsidRPr="0072192C" w:rsidRDefault="00B259A8" w:rsidP="00B259A8">
      <w:pPr>
        <w:pStyle w:val="BodyText"/>
        <w:rPr>
          <w:spacing w:val="-2"/>
        </w:rPr>
      </w:pPr>
      <w:r w:rsidRPr="0072192C">
        <w:t xml:space="preserve">An assumption was made that ‘inert’ waste for landfills is classified entirely as ‘other inert’ waste for incineration (the impact of this assumption is that emissions are slightly higher than </w:t>
      </w:r>
      <w:r w:rsidRPr="0072192C">
        <w:rPr>
          <w:spacing w:val="-2"/>
        </w:rPr>
        <w:t>distributing the 24 percent over the various inert types due to the high fossil carbon percentage).</w:t>
      </w:r>
    </w:p>
    <w:p w14:paraId="376F9C82" w14:textId="77777777" w:rsidR="00B259A8" w:rsidRPr="0072192C" w:rsidRDefault="00B259A8" w:rsidP="00B259A8">
      <w:pPr>
        <w:pStyle w:val="Heading3"/>
        <w:tabs>
          <w:tab w:val="clear" w:pos="851"/>
          <w:tab w:val="left" w:pos="964"/>
        </w:tabs>
      </w:pPr>
      <w:bookmarkStart w:id="3302" w:name="Xc0fb7beca39417df9553cca422ae8f16119ad50"/>
      <w:bookmarkEnd w:id="3297"/>
      <w:bookmarkEnd w:id="3299"/>
      <w:r w:rsidRPr="0072192C">
        <w:t>8.14.3</w:t>
      </w:r>
      <w:r w:rsidRPr="0072192C">
        <w:tab/>
        <w:t>Uncertainty assessment and time-series consistency</w:t>
      </w:r>
    </w:p>
    <w:p w14:paraId="4FD3F2AE" w14:textId="77777777" w:rsidR="00B259A8" w:rsidRPr="0072192C" w:rsidRDefault="00B259A8" w:rsidP="00B259A8">
      <w:pPr>
        <w:pStyle w:val="BodyText"/>
      </w:pPr>
      <w:r w:rsidRPr="0072192C">
        <w:t xml:space="preserve">The same uncertainty data for </w:t>
      </w:r>
      <w:r w:rsidRPr="0072192C">
        <w:rPr>
          <w:i/>
          <w:iCs/>
        </w:rPr>
        <w:t>Open burning of waste</w:t>
      </w:r>
      <w:r w:rsidRPr="0072192C">
        <w:t xml:space="preserve"> were used for Tokelau (see table 8.14.2) and New Zealand (see table 7.4.6, chapter 7, for methodological notes, and refer to uncertainties in emissions from </w:t>
      </w:r>
      <w:r w:rsidRPr="0072192C">
        <w:rPr>
          <w:i/>
          <w:iCs/>
        </w:rPr>
        <w:t>Incineration and open burning</w:t>
      </w:r>
      <w:r w:rsidRPr="0072192C">
        <w:t>, section 7.4.3, chapter 7).</w:t>
      </w:r>
    </w:p>
    <w:p w14:paraId="1111D3AE" w14:textId="77777777" w:rsidR="00B259A8" w:rsidRPr="0072192C" w:rsidRDefault="00B259A8" w:rsidP="00B259A8">
      <w:pPr>
        <w:pStyle w:val="Table"/>
      </w:pPr>
      <w:bookmarkStart w:id="3303" w:name="_Toc225424328"/>
      <w:bookmarkStart w:id="3304" w:name="_Toc226669151"/>
      <w:r w:rsidRPr="0072192C">
        <w:t>Table 8.14.2</w:t>
      </w:r>
      <w:r w:rsidRPr="0072192C">
        <w:tab/>
        <w:t xml:space="preserve">Uncertainty in emissions from </w:t>
      </w:r>
      <w:r w:rsidRPr="0072192C">
        <w:rPr>
          <w:i/>
          <w:iCs/>
        </w:rPr>
        <w:t>Open burning of waste</w:t>
      </w:r>
      <w:r w:rsidRPr="0072192C">
        <w:t xml:space="preserve"> for Tokelau</w:t>
      </w:r>
      <w:bookmarkEnd w:id="3303"/>
      <w:bookmarkEnd w:id="330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427"/>
        <w:gridCol w:w="2865"/>
        <w:gridCol w:w="3202"/>
      </w:tblGrid>
      <w:tr w:rsidR="00B259A8" w:rsidRPr="0072192C" w14:paraId="33453FB5" w14:textId="77777777" w:rsidTr="00F16E23">
        <w:trPr>
          <w:tblHeader/>
        </w:trPr>
        <w:tc>
          <w:tcPr>
            <w:tcW w:w="0" w:type="auto"/>
            <w:shd w:val="clear" w:color="auto" w:fill="1B556B"/>
            <w:tcMar>
              <w:top w:w="0" w:type="dxa"/>
              <w:left w:w="85" w:type="dxa"/>
              <w:bottom w:w="0" w:type="dxa"/>
              <w:right w:w="85" w:type="dxa"/>
            </w:tcMar>
            <w:vAlign w:val="center"/>
          </w:tcPr>
          <w:p w14:paraId="73F28536"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39ED6200"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62D57DBA"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Uncertainty in emission factors (%)</w:t>
            </w:r>
          </w:p>
        </w:tc>
      </w:tr>
      <w:tr w:rsidR="00B259A8" w:rsidRPr="0072192C" w14:paraId="45E6ADB3" w14:textId="77777777" w:rsidTr="00F16E23">
        <w:tc>
          <w:tcPr>
            <w:tcW w:w="0" w:type="auto"/>
            <w:shd w:val="clear" w:color="auto" w:fill="FFFFFF"/>
            <w:tcMar>
              <w:top w:w="0" w:type="dxa"/>
              <w:left w:w="85" w:type="dxa"/>
              <w:bottom w:w="0" w:type="dxa"/>
              <w:right w:w="85" w:type="dxa"/>
            </w:tcMar>
            <w:vAlign w:val="center"/>
          </w:tcPr>
          <w:p w14:paraId="02A9D541" w14:textId="77777777" w:rsidR="00B259A8" w:rsidRPr="0072192C" w:rsidRDefault="00B259A8" w:rsidP="00F16E23">
            <w:pPr>
              <w:pStyle w:val="TableText"/>
              <w:spacing w:before="40" w:after="40"/>
            </w:pPr>
            <w:r w:rsidRPr="0072192C">
              <w:rPr>
                <w:rFonts w:eastAsia="Calibri"/>
              </w:rPr>
              <w:t>Waste open burning (CO</w:t>
            </w:r>
            <w:r w:rsidRPr="0072192C">
              <w:rPr>
                <w:rFonts w:eastAsia="Calibri"/>
                <w:vertAlign w:val="subscript"/>
              </w:rPr>
              <w:t>2</w:t>
            </w:r>
            <w:r w:rsidRPr="0072192C">
              <w:rPr>
                <w:rFonts w:eastAsia="Calibri"/>
              </w:rPr>
              <w:t>)</w:t>
            </w:r>
          </w:p>
        </w:tc>
        <w:tc>
          <w:tcPr>
            <w:tcW w:w="0" w:type="auto"/>
            <w:shd w:val="clear" w:color="auto" w:fill="FFFFFF"/>
            <w:tcMar>
              <w:top w:w="0" w:type="dxa"/>
              <w:left w:w="85" w:type="dxa"/>
              <w:bottom w:w="0" w:type="dxa"/>
              <w:right w:w="85" w:type="dxa"/>
            </w:tcMar>
            <w:vAlign w:val="center"/>
          </w:tcPr>
          <w:p w14:paraId="4866D190" w14:textId="77777777" w:rsidR="00B259A8" w:rsidRPr="0072192C" w:rsidRDefault="00B259A8" w:rsidP="00F16E23">
            <w:pPr>
              <w:pStyle w:val="TableText"/>
              <w:spacing w:before="40" w:after="40"/>
              <w:jc w:val="right"/>
            </w:pPr>
            <w:r w:rsidRPr="0072192C">
              <w:rPr>
                <w:rFonts w:eastAsia="Calibri"/>
              </w:rPr>
              <w:t>±50</w:t>
            </w:r>
          </w:p>
        </w:tc>
        <w:tc>
          <w:tcPr>
            <w:tcW w:w="0" w:type="auto"/>
            <w:shd w:val="clear" w:color="auto" w:fill="FFFFFF"/>
            <w:tcMar>
              <w:top w:w="0" w:type="dxa"/>
              <w:left w:w="85" w:type="dxa"/>
              <w:bottom w:w="0" w:type="dxa"/>
              <w:right w:w="85" w:type="dxa"/>
            </w:tcMar>
            <w:vAlign w:val="center"/>
          </w:tcPr>
          <w:p w14:paraId="2B826EF0" w14:textId="77777777" w:rsidR="00B259A8" w:rsidRPr="0072192C" w:rsidRDefault="00B259A8" w:rsidP="00F16E23">
            <w:pPr>
              <w:pStyle w:val="TableText"/>
              <w:spacing w:before="40" w:after="40"/>
              <w:jc w:val="right"/>
            </w:pPr>
            <w:r w:rsidRPr="0072192C">
              <w:rPr>
                <w:rFonts w:eastAsia="Calibri"/>
              </w:rPr>
              <w:t>±40</w:t>
            </w:r>
          </w:p>
        </w:tc>
      </w:tr>
      <w:tr w:rsidR="00B259A8" w:rsidRPr="0072192C" w14:paraId="57D441B1" w14:textId="77777777" w:rsidTr="00F16E23">
        <w:tc>
          <w:tcPr>
            <w:tcW w:w="0" w:type="auto"/>
            <w:shd w:val="clear" w:color="auto" w:fill="FFFFFF"/>
            <w:tcMar>
              <w:top w:w="0" w:type="dxa"/>
              <w:left w:w="85" w:type="dxa"/>
              <w:bottom w:w="0" w:type="dxa"/>
              <w:right w:w="85" w:type="dxa"/>
            </w:tcMar>
            <w:vAlign w:val="center"/>
          </w:tcPr>
          <w:p w14:paraId="3DA294ED" w14:textId="77777777" w:rsidR="00B259A8" w:rsidRPr="0072192C" w:rsidRDefault="00B259A8" w:rsidP="00F16E23">
            <w:pPr>
              <w:pStyle w:val="TableText"/>
              <w:spacing w:before="40" w:after="40"/>
            </w:pPr>
            <w:r w:rsidRPr="0072192C">
              <w:rPr>
                <w:rFonts w:eastAsia="Calibri"/>
              </w:rPr>
              <w:t>Waste open burning (CH</w:t>
            </w:r>
            <w:r w:rsidRPr="0072192C">
              <w:rPr>
                <w:rFonts w:eastAsia="Calibri"/>
                <w:vertAlign w:val="subscript"/>
              </w:rPr>
              <w:t>4</w:t>
            </w:r>
            <w:r w:rsidRPr="0072192C">
              <w:rPr>
                <w:rFonts w:eastAsia="Calibri"/>
              </w:rPr>
              <w:t>)</w:t>
            </w:r>
          </w:p>
        </w:tc>
        <w:tc>
          <w:tcPr>
            <w:tcW w:w="0" w:type="auto"/>
            <w:shd w:val="clear" w:color="auto" w:fill="FFFFFF"/>
            <w:tcMar>
              <w:top w:w="0" w:type="dxa"/>
              <w:left w:w="85" w:type="dxa"/>
              <w:bottom w:w="0" w:type="dxa"/>
              <w:right w:w="85" w:type="dxa"/>
            </w:tcMar>
            <w:vAlign w:val="center"/>
          </w:tcPr>
          <w:p w14:paraId="21382D54" w14:textId="77777777" w:rsidR="00B259A8" w:rsidRPr="0072192C" w:rsidRDefault="00B259A8" w:rsidP="00F16E23">
            <w:pPr>
              <w:pStyle w:val="TableText"/>
              <w:spacing w:before="40" w:after="40"/>
              <w:jc w:val="right"/>
            </w:pPr>
            <w:r w:rsidRPr="0072192C">
              <w:rPr>
                <w:rFonts w:eastAsia="Calibri"/>
              </w:rPr>
              <w:t>±50</w:t>
            </w:r>
          </w:p>
        </w:tc>
        <w:tc>
          <w:tcPr>
            <w:tcW w:w="0" w:type="auto"/>
            <w:shd w:val="clear" w:color="auto" w:fill="FFFFFF"/>
            <w:tcMar>
              <w:top w:w="0" w:type="dxa"/>
              <w:left w:w="85" w:type="dxa"/>
              <w:bottom w:w="0" w:type="dxa"/>
              <w:right w:w="85" w:type="dxa"/>
            </w:tcMar>
            <w:vAlign w:val="center"/>
          </w:tcPr>
          <w:p w14:paraId="032FB235" w14:textId="77777777" w:rsidR="00B259A8" w:rsidRPr="0072192C" w:rsidRDefault="00B259A8" w:rsidP="00F16E23">
            <w:pPr>
              <w:pStyle w:val="TableText"/>
              <w:spacing w:before="40" w:after="40"/>
              <w:jc w:val="right"/>
            </w:pPr>
            <w:r w:rsidRPr="0072192C">
              <w:rPr>
                <w:rFonts w:eastAsia="Calibri"/>
              </w:rPr>
              <w:t>±100</w:t>
            </w:r>
          </w:p>
        </w:tc>
      </w:tr>
      <w:tr w:rsidR="00B259A8" w:rsidRPr="0072192C" w14:paraId="3A546CAB" w14:textId="77777777" w:rsidTr="00F16E23">
        <w:tc>
          <w:tcPr>
            <w:tcW w:w="0" w:type="auto"/>
            <w:shd w:val="clear" w:color="auto" w:fill="FFFFFF"/>
            <w:tcMar>
              <w:top w:w="0" w:type="dxa"/>
              <w:left w:w="85" w:type="dxa"/>
              <w:bottom w:w="0" w:type="dxa"/>
              <w:right w:w="85" w:type="dxa"/>
            </w:tcMar>
            <w:vAlign w:val="center"/>
          </w:tcPr>
          <w:p w14:paraId="04E9041D" w14:textId="77777777" w:rsidR="00B259A8" w:rsidRPr="0072192C" w:rsidRDefault="00B259A8" w:rsidP="00F16E23">
            <w:pPr>
              <w:pStyle w:val="TableText"/>
              <w:spacing w:before="40" w:after="40"/>
            </w:pPr>
            <w:r w:rsidRPr="0072192C">
              <w:rPr>
                <w:rFonts w:eastAsia="Calibri"/>
              </w:rPr>
              <w:t>Waste open burning (N</w:t>
            </w:r>
            <w:r w:rsidRPr="0072192C">
              <w:rPr>
                <w:rFonts w:eastAsia="Calibri"/>
                <w:vertAlign w:val="subscript"/>
              </w:rPr>
              <w:t>2</w:t>
            </w:r>
            <w:r w:rsidRPr="0072192C">
              <w:rPr>
                <w:rFonts w:eastAsia="Calibri"/>
              </w:rPr>
              <w:t>O)</w:t>
            </w:r>
          </w:p>
        </w:tc>
        <w:tc>
          <w:tcPr>
            <w:tcW w:w="0" w:type="auto"/>
            <w:shd w:val="clear" w:color="auto" w:fill="FFFFFF"/>
            <w:tcMar>
              <w:top w:w="0" w:type="dxa"/>
              <w:left w:w="85" w:type="dxa"/>
              <w:bottom w:w="0" w:type="dxa"/>
              <w:right w:w="85" w:type="dxa"/>
            </w:tcMar>
            <w:vAlign w:val="center"/>
          </w:tcPr>
          <w:p w14:paraId="7A4F8AB9" w14:textId="77777777" w:rsidR="00B259A8" w:rsidRPr="0072192C" w:rsidRDefault="00B259A8" w:rsidP="00F16E23">
            <w:pPr>
              <w:pStyle w:val="TableText"/>
              <w:spacing w:before="40" w:after="40"/>
              <w:jc w:val="right"/>
            </w:pPr>
            <w:r w:rsidRPr="0072192C">
              <w:rPr>
                <w:rFonts w:eastAsia="Calibri"/>
              </w:rPr>
              <w:t>±50</w:t>
            </w:r>
          </w:p>
        </w:tc>
        <w:tc>
          <w:tcPr>
            <w:tcW w:w="0" w:type="auto"/>
            <w:shd w:val="clear" w:color="auto" w:fill="FFFFFF"/>
            <w:tcMar>
              <w:top w:w="0" w:type="dxa"/>
              <w:left w:w="85" w:type="dxa"/>
              <w:bottom w:w="0" w:type="dxa"/>
              <w:right w:w="85" w:type="dxa"/>
            </w:tcMar>
            <w:vAlign w:val="center"/>
          </w:tcPr>
          <w:p w14:paraId="5889D244" w14:textId="77777777" w:rsidR="00B259A8" w:rsidRPr="0072192C" w:rsidRDefault="00B259A8" w:rsidP="00F16E23">
            <w:pPr>
              <w:pStyle w:val="TableText"/>
              <w:spacing w:before="40" w:after="40"/>
              <w:jc w:val="right"/>
            </w:pPr>
            <w:r w:rsidRPr="0072192C">
              <w:rPr>
                <w:rFonts w:eastAsia="Calibri"/>
              </w:rPr>
              <w:t>±100</w:t>
            </w:r>
          </w:p>
        </w:tc>
      </w:tr>
    </w:tbl>
    <w:p w14:paraId="53D9C086" w14:textId="77777777" w:rsidR="00B259A8" w:rsidRPr="0072192C" w:rsidRDefault="00B259A8" w:rsidP="00B259A8">
      <w:pPr>
        <w:pStyle w:val="BodyText"/>
        <w:spacing w:before="240"/>
      </w:pPr>
      <w:r w:rsidRPr="0072192C">
        <w:t>Time-series consistency was maintained by interpolating the population data in between census years (which are generally five years apart).</w:t>
      </w:r>
    </w:p>
    <w:p w14:paraId="63BBBDCD" w14:textId="77777777" w:rsidR="00B259A8" w:rsidRPr="0072192C" w:rsidRDefault="00B259A8" w:rsidP="00B259A8">
      <w:pPr>
        <w:pStyle w:val="Heading3"/>
        <w:tabs>
          <w:tab w:val="clear" w:pos="851"/>
          <w:tab w:val="left" w:pos="964"/>
        </w:tabs>
      </w:pPr>
      <w:bookmarkStart w:id="3305" w:name="Xf500030fb70614424014ec7cce89f605e2f1d27"/>
      <w:bookmarkEnd w:id="3302"/>
      <w:r w:rsidRPr="0072192C">
        <w:t>8.14.4</w:t>
      </w:r>
      <w:r w:rsidRPr="0072192C">
        <w:tab/>
        <w:t>Category-specific QA/QC and verification</w:t>
      </w:r>
    </w:p>
    <w:p w14:paraId="346D5B9B"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626025FE" w14:textId="77777777" w:rsidR="00B259A8" w:rsidRPr="0072192C" w:rsidRDefault="00B259A8" w:rsidP="00B259A8">
      <w:pPr>
        <w:pStyle w:val="Heading3"/>
        <w:tabs>
          <w:tab w:val="clear" w:pos="851"/>
          <w:tab w:val="left" w:pos="964"/>
        </w:tabs>
      </w:pPr>
      <w:bookmarkStart w:id="3306" w:name="category-specific-recalculations-8"/>
      <w:bookmarkEnd w:id="3305"/>
      <w:r w:rsidRPr="0072192C">
        <w:t>8.14.5</w:t>
      </w:r>
      <w:r w:rsidRPr="0072192C">
        <w:tab/>
        <w:t>Category-specific recalculations</w:t>
      </w:r>
    </w:p>
    <w:p w14:paraId="1D9E7591" w14:textId="77777777" w:rsidR="00B259A8" w:rsidRPr="0072192C" w:rsidRDefault="00B259A8" w:rsidP="00B259A8">
      <w:pPr>
        <w:pStyle w:val="BodyText"/>
      </w:pPr>
      <w:r w:rsidRPr="0072192C">
        <w:t xml:space="preserve">There were no changes to estimates for the </w:t>
      </w:r>
      <w:r w:rsidRPr="0072192C">
        <w:rPr>
          <w:i/>
          <w:iCs/>
        </w:rPr>
        <w:t>Open burning of waste</w:t>
      </w:r>
      <w:r w:rsidRPr="0072192C">
        <w:t xml:space="preserve"> category.</w:t>
      </w:r>
    </w:p>
    <w:p w14:paraId="6310EB8E" w14:textId="77777777" w:rsidR="00B259A8" w:rsidRPr="0072192C" w:rsidRDefault="00B259A8" w:rsidP="00B259A8">
      <w:pPr>
        <w:pStyle w:val="Heading3"/>
        <w:tabs>
          <w:tab w:val="clear" w:pos="851"/>
          <w:tab w:val="left" w:pos="964"/>
        </w:tabs>
      </w:pPr>
      <w:bookmarkStart w:id="3307" w:name="category-specific-planned-improvements-8"/>
      <w:bookmarkEnd w:id="3306"/>
      <w:r w:rsidRPr="0072192C">
        <w:t>8.14.6</w:t>
      </w:r>
      <w:r w:rsidRPr="0072192C">
        <w:tab/>
        <w:t>Category-specific planned improvements</w:t>
      </w:r>
    </w:p>
    <w:p w14:paraId="1B29830D" w14:textId="77777777" w:rsidR="00B259A8" w:rsidRPr="0072192C" w:rsidRDefault="00B259A8" w:rsidP="00B259A8">
      <w:pPr>
        <w:pStyle w:val="BodyText"/>
      </w:pPr>
      <w:r w:rsidRPr="0072192C">
        <w:t>No improvements are planned for the next inventory submission.</w:t>
      </w:r>
    </w:p>
    <w:p w14:paraId="229542BF" w14:textId="77777777" w:rsidR="00B259A8" w:rsidRPr="0072192C" w:rsidRDefault="00B259A8" w:rsidP="00B259A8">
      <w:pPr>
        <w:pStyle w:val="Heading2"/>
      </w:pPr>
      <w:bookmarkStart w:id="3308" w:name="_Toc226460815"/>
      <w:bookmarkStart w:id="3309" w:name="X0e50015b25e963c1f231fec718c9f62ae1331d9"/>
      <w:bookmarkEnd w:id="3295"/>
      <w:bookmarkEnd w:id="3307"/>
      <w:r w:rsidRPr="0072192C">
        <w:t>8.15</w:t>
      </w:r>
      <w:r w:rsidRPr="0072192C">
        <w:tab/>
        <w:t>Emissions from Wastewater treatment and discharge in Tokelau</w:t>
      </w:r>
      <w:bookmarkEnd w:id="3308"/>
    </w:p>
    <w:p w14:paraId="532E55A1" w14:textId="77777777" w:rsidR="00B259A8" w:rsidRPr="0072192C" w:rsidRDefault="00B259A8" w:rsidP="00B259A8">
      <w:pPr>
        <w:pStyle w:val="Heading3"/>
        <w:tabs>
          <w:tab w:val="clear" w:pos="851"/>
          <w:tab w:val="left" w:pos="964"/>
        </w:tabs>
        <w:spacing w:before="240"/>
      </w:pPr>
      <w:bookmarkStart w:id="3310" w:name="description-9"/>
      <w:r w:rsidRPr="0072192C">
        <w:t>8.15.1</w:t>
      </w:r>
      <w:r w:rsidRPr="0072192C">
        <w:tab/>
        <w:t>Description</w:t>
      </w:r>
    </w:p>
    <w:p w14:paraId="3397DCD4" w14:textId="77777777" w:rsidR="00B259A8" w:rsidRPr="0072192C" w:rsidRDefault="00B259A8" w:rsidP="00B259A8">
      <w:pPr>
        <w:pStyle w:val="BodyText"/>
      </w:pPr>
      <w:r w:rsidRPr="0072192C">
        <w:t xml:space="preserve">In the absence of industrial plants in Tokelau, all emissions associated with wastewater treatment and discharge are reported in the </w:t>
      </w:r>
      <w:r w:rsidRPr="0072192C">
        <w:rPr>
          <w:i/>
          <w:iCs/>
        </w:rPr>
        <w:t>Domestic wastewater</w:t>
      </w:r>
      <w:r w:rsidRPr="0072192C">
        <w:t xml:space="preserve"> category (5.D.1). The category uses the same population values as in the </w:t>
      </w:r>
      <w:r w:rsidRPr="0072192C">
        <w:rPr>
          <w:i/>
          <w:iCs/>
        </w:rPr>
        <w:t>Solid waste disposal</w:t>
      </w:r>
      <w:r w:rsidRPr="0072192C">
        <w:t xml:space="preserve"> and </w:t>
      </w:r>
      <w:r w:rsidRPr="0072192C">
        <w:rPr>
          <w:i/>
          <w:iCs/>
        </w:rPr>
        <w:t>Open burning of waste</w:t>
      </w:r>
      <w:r w:rsidRPr="0072192C">
        <w:t xml:space="preserve"> categories (see above). The category includes emissions of CH</w:t>
      </w:r>
      <w:r w:rsidRPr="0072192C">
        <w:rPr>
          <w:vertAlign w:val="subscript"/>
        </w:rPr>
        <w:t>4</w:t>
      </w:r>
      <w:r w:rsidRPr="0072192C">
        <w:t xml:space="preserve"> and N</w:t>
      </w:r>
      <w:r w:rsidRPr="0072192C">
        <w:rPr>
          <w:vertAlign w:val="subscript"/>
        </w:rPr>
        <w:t>2</w:t>
      </w:r>
      <w:r w:rsidRPr="0072192C">
        <w:t>O.</w:t>
      </w:r>
    </w:p>
    <w:p w14:paraId="63FF7499" w14:textId="77777777" w:rsidR="00B259A8" w:rsidRPr="0072192C" w:rsidRDefault="00B259A8" w:rsidP="00B259A8">
      <w:pPr>
        <w:pStyle w:val="BodyText"/>
      </w:pPr>
      <w:r w:rsidRPr="0072192C">
        <w:t xml:space="preserve">Emissions from the </w:t>
      </w:r>
      <w:r w:rsidRPr="0072192C">
        <w:rPr>
          <w:i/>
          <w:iCs/>
        </w:rPr>
        <w:t>Domestic wastewater</w:t>
      </w:r>
      <w:r w:rsidRPr="0072192C">
        <w:t xml:space="preserve"> category were 0.30 kt CO</w:t>
      </w:r>
      <w:r w:rsidRPr="0072192C">
        <w:rPr>
          <w:vertAlign w:val="subscript"/>
        </w:rPr>
        <w:t>2</w:t>
      </w:r>
      <w:r w:rsidRPr="0072192C">
        <w:t>e, contributing 38.4 percent to Tokelau’s Waste sector emissions in 2024.</w:t>
      </w:r>
    </w:p>
    <w:p w14:paraId="5A290BA4" w14:textId="77777777" w:rsidR="00B259A8" w:rsidRPr="0072192C" w:rsidRDefault="00B259A8" w:rsidP="00B259A8">
      <w:pPr>
        <w:pStyle w:val="Heading3"/>
        <w:tabs>
          <w:tab w:val="clear" w:pos="851"/>
          <w:tab w:val="left" w:pos="964"/>
        </w:tabs>
      </w:pPr>
      <w:bookmarkStart w:id="3311" w:name="methodological-issues-10"/>
      <w:bookmarkEnd w:id="3310"/>
      <w:r w:rsidRPr="0072192C">
        <w:t>8.15.2</w:t>
      </w:r>
      <w:r w:rsidRPr="0072192C">
        <w:tab/>
        <w:t>Methodological issues</w:t>
      </w:r>
    </w:p>
    <w:p w14:paraId="73B0684B" w14:textId="77777777" w:rsidR="00B259A8" w:rsidRPr="0072192C" w:rsidRDefault="00B259A8" w:rsidP="00B259A8">
      <w:pPr>
        <w:pStyle w:val="BodyText"/>
      </w:pPr>
      <w:r w:rsidRPr="0072192C">
        <w:t>A Tier 1 methodology with the IPCC default emission factors (except the protein consumption value) for all gases was applied for estimating emissions from this category (IPCC, 2006d).</w:t>
      </w:r>
    </w:p>
    <w:p w14:paraId="519DFDA8" w14:textId="77777777" w:rsidR="00B259A8" w:rsidRPr="0072192C" w:rsidRDefault="00B259A8" w:rsidP="00B259A8">
      <w:pPr>
        <w:pStyle w:val="BodyText"/>
      </w:pPr>
      <w:r w:rsidRPr="0072192C">
        <w:t>Assumptions for estimating CH</w:t>
      </w:r>
      <w:r w:rsidRPr="0072192C">
        <w:rPr>
          <w:vertAlign w:val="subscript"/>
        </w:rPr>
        <w:t>4</w:t>
      </w:r>
      <w:r w:rsidRPr="0072192C">
        <w:t xml:space="preserve"> emissions from wastewater:</w:t>
      </w:r>
    </w:p>
    <w:p w14:paraId="3518EBFA" w14:textId="77777777" w:rsidR="00B259A8" w:rsidRPr="0072192C" w:rsidRDefault="00B259A8" w:rsidP="00B259A8">
      <w:pPr>
        <w:pStyle w:val="Bullet"/>
      </w:pPr>
      <w:r w:rsidRPr="0072192C">
        <w:t>60 grams biochemical oxygen demand (BOD) per person per day (as for Canada, Europe, Russia and Oceania), which calculates as 21.9 kg/person/year</w:t>
      </w:r>
    </w:p>
    <w:p w14:paraId="18219669" w14:textId="77777777" w:rsidR="00B259A8" w:rsidRPr="0072192C" w:rsidRDefault="00B259A8" w:rsidP="00B259A8">
      <w:pPr>
        <w:pStyle w:val="Bullet"/>
      </w:pPr>
      <w:r w:rsidRPr="0072192C">
        <w:t>for population, the same time series as in categories 5.A.3 and 5.C.2 was used</w:t>
      </w:r>
    </w:p>
    <w:p w14:paraId="5B9403A6" w14:textId="77777777" w:rsidR="00B259A8" w:rsidRPr="0072192C" w:rsidRDefault="00B259A8" w:rsidP="00B259A8">
      <w:pPr>
        <w:pStyle w:val="Bullet"/>
      </w:pPr>
      <w:r w:rsidRPr="0072192C">
        <w:t xml:space="preserve">despite having no wastewater collection system, a correction factor for industrial BOD discharged in sewers of 1.25 is used (default for collected systems) to account for any industrial and commercial activity in Tokelau, such as fishing. No other estimates of industrial wastewater are made (effectively 5.D.2 </w:t>
      </w:r>
      <w:r w:rsidRPr="0072192C">
        <w:rPr>
          <w:i/>
          <w:iCs/>
        </w:rPr>
        <w:t>Industrial wastewater</w:t>
      </w:r>
      <w:r w:rsidRPr="0072192C">
        <w:t xml:space="preserve"> is ‘included elsewhere’ (IE) and included in 5.D.1 </w:t>
      </w:r>
      <w:r w:rsidRPr="0072192C">
        <w:rPr>
          <w:i/>
          <w:iCs/>
        </w:rPr>
        <w:t>Domestic wastewater</w:t>
      </w:r>
      <w:r w:rsidRPr="0072192C">
        <w:t>)</w:t>
      </w:r>
    </w:p>
    <w:p w14:paraId="585CD869" w14:textId="77777777" w:rsidR="00B259A8" w:rsidRPr="0072192C" w:rsidRDefault="00B259A8" w:rsidP="00B259A8">
      <w:pPr>
        <w:pStyle w:val="Bullet"/>
      </w:pPr>
      <w:r w:rsidRPr="0072192C">
        <w:t>in 2016, most Tokelauans had access to a private toilet in their homes using septic tanks: 72.9 percent of private occupied dwellings had an indoor flush toilet, and 21.6 percent of dwellings had an outdoor flush toilet. Atafu had the highest proportion of dwellings with an indoor toilet (87.4 percent), and Nukunonu had the highest proportion of households with an outdoor toilet (34.9 percent) (Census 2016, similar to values for 2011 and 2006). The percentage of open-water toilets gradually reduced from 65 percent of dwellings in 1991 to nil by 2016.</w:t>
      </w:r>
    </w:p>
    <w:p w14:paraId="7CE71D91" w14:textId="77777777" w:rsidR="00B259A8" w:rsidRPr="0072192C" w:rsidRDefault="00B259A8" w:rsidP="00B259A8">
      <w:pPr>
        <w:pStyle w:val="BodyText"/>
      </w:pPr>
      <w:r w:rsidRPr="0072192C">
        <w:t>Table 8.15.1 sums up default parameters used for estimating CH</w:t>
      </w:r>
      <w:r w:rsidRPr="0072192C">
        <w:rPr>
          <w:vertAlign w:val="subscript"/>
        </w:rPr>
        <w:t>4</w:t>
      </w:r>
      <w:r w:rsidRPr="0072192C">
        <w:t xml:space="preserve"> emissions for Tokelau wastewater treatment. The default BOD correction factor for collected systems is used to account for industrial and commercial water because there is no separate estimate.</w:t>
      </w:r>
    </w:p>
    <w:p w14:paraId="49663352" w14:textId="77777777" w:rsidR="00B259A8" w:rsidRPr="0072192C" w:rsidRDefault="00B259A8" w:rsidP="00B259A8">
      <w:pPr>
        <w:pStyle w:val="Table"/>
      </w:pPr>
      <w:bookmarkStart w:id="3312" w:name="_Toc225424329"/>
      <w:bookmarkStart w:id="3313" w:name="_Toc226669152"/>
      <w:r w:rsidRPr="0072192C">
        <w:t>Table 8.15.1</w:t>
      </w:r>
      <w:r w:rsidRPr="0072192C">
        <w:tab/>
        <w:t>Parameters for estimating methane emissions for Tokelau wastewater treatment</w:t>
      </w:r>
      <w:bookmarkEnd w:id="3312"/>
      <w:bookmarkEnd w:id="3313"/>
    </w:p>
    <w:tbl>
      <w:tblPr>
        <w:tblW w:w="5000" w:type="pct"/>
        <w:jc w:val="center"/>
        <w:tblBorders>
          <w:top w:val="single" w:sz="4" w:space="0" w:color="1B556B"/>
          <w:bottom w:val="single" w:sz="4" w:space="0" w:color="1B556B"/>
          <w:insideH w:val="single" w:sz="4" w:space="0" w:color="1B556B"/>
        </w:tblBorders>
        <w:tblLook w:val="0420" w:firstRow="1" w:lastRow="0" w:firstColumn="0" w:lastColumn="0" w:noHBand="0" w:noVBand="1"/>
      </w:tblPr>
      <w:tblGrid>
        <w:gridCol w:w="3452"/>
        <w:gridCol w:w="550"/>
        <w:gridCol w:w="1810"/>
        <w:gridCol w:w="2693"/>
      </w:tblGrid>
      <w:tr w:rsidR="00B259A8" w:rsidRPr="0072192C" w14:paraId="1856C881" w14:textId="77777777" w:rsidTr="00F16E23">
        <w:trPr>
          <w:tblHeader/>
          <w:jc w:val="center"/>
        </w:trPr>
        <w:tc>
          <w:tcPr>
            <w:tcW w:w="0" w:type="auto"/>
            <w:shd w:val="clear" w:color="auto" w:fill="1B556B"/>
            <w:tcMar>
              <w:top w:w="0" w:type="dxa"/>
              <w:left w:w="85" w:type="dxa"/>
              <w:bottom w:w="0" w:type="dxa"/>
              <w:right w:w="85" w:type="dxa"/>
            </w:tcMar>
            <w:vAlign w:val="center"/>
          </w:tcPr>
          <w:p w14:paraId="70CB9D23"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Parameter</w:t>
            </w:r>
          </w:p>
        </w:tc>
        <w:tc>
          <w:tcPr>
            <w:tcW w:w="0" w:type="auto"/>
            <w:shd w:val="clear" w:color="auto" w:fill="1B556B"/>
            <w:tcMar>
              <w:top w:w="0" w:type="dxa"/>
              <w:left w:w="85" w:type="dxa"/>
              <w:bottom w:w="0" w:type="dxa"/>
              <w:right w:w="85" w:type="dxa"/>
            </w:tcMar>
            <w:vAlign w:val="center"/>
          </w:tcPr>
          <w:p w14:paraId="4E584B70"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Value</w:t>
            </w:r>
          </w:p>
        </w:tc>
        <w:tc>
          <w:tcPr>
            <w:tcW w:w="1064" w:type="pct"/>
            <w:shd w:val="clear" w:color="auto" w:fill="1B556B"/>
            <w:tcMar>
              <w:top w:w="0" w:type="dxa"/>
              <w:left w:w="85" w:type="dxa"/>
              <w:bottom w:w="0" w:type="dxa"/>
              <w:right w:w="85" w:type="dxa"/>
            </w:tcMar>
            <w:vAlign w:val="center"/>
          </w:tcPr>
          <w:p w14:paraId="2C52EE1E"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Source</w:t>
            </w:r>
          </w:p>
        </w:tc>
        <w:tc>
          <w:tcPr>
            <w:tcW w:w="1583" w:type="pct"/>
            <w:shd w:val="clear" w:color="auto" w:fill="1B556B"/>
            <w:tcMar>
              <w:top w:w="0" w:type="dxa"/>
              <w:left w:w="85" w:type="dxa"/>
              <w:bottom w:w="0" w:type="dxa"/>
              <w:right w:w="85" w:type="dxa"/>
            </w:tcMar>
            <w:vAlign w:val="center"/>
          </w:tcPr>
          <w:p w14:paraId="0485B3FE" w14:textId="77777777" w:rsidR="00B259A8" w:rsidRPr="0072192C" w:rsidRDefault="00B259A8" w:rsidP="00F16E23">
            <w:pPr>
              <w:pStyle w:val="TableTextBold"/>
              <w:spacing w:before="40" w:after="40"/>
              <w:rPr>
                <w:noProof w:val="0"/>
                <w:color w:val="FFFFFF" w:themeColor="background1"/>
                <w:szCs w:val="16"/>
              </w:rPr>
            </w:pPr>
            <w:r w:rsidRPr="0072192C">
              <w:rPr>
                <w:rFonts w:eastAsia="Calibri"/>
                <w:noProof w:val="0"/>
                <w:color w:val="FFFFFF" w:themeColor="background1"/>
                <w:szCs w:val="16"/>
              </w:rPr>
              <w:t>Reference</w:t>
            </w:r>
          </w:p>
        </w:tc>
      </w:tr>
      <w:tr w:rsidR="00B259A8" w:rsidRPr="0072192C" w14:paraId="351ED190" w14:textId="77777777" w:rsidTr="00F16E23">
        <w:trPr>
          <w:trHeight w:val="283"/>
          <w:jc w:val="center"/>
        </w:trPr>
        <w:tc>
          <w:tcPr>
            <w:tcW w:w="0" w:type="auto"/>
            <w:shd w:val="clear" w:color="auto" w:fill="FFFFFF"/>
            <w:tcMar>
              <w:top w:w="0" w:type="dxa"/>
              <w:left w:w="85" w:type="dxa"/>
              <w:bottom w:w="0" w:type="dxa"/>
              <w:right w:w="85" w:type="dxa"/>
            </w:tcMar>
          </w:tcPr>
          <w:p w14:paraId="5456BD4D" w14:textId="77777777" w:rsidR="00B259A8" w:rsidRPr="0072192C" w:rsidRDefault="00B259A8" w:rsidP="00F16E23">
            <w:pPr>
              <w:pStyle w:val="TableText"/>
              <w:spacing w:before="40" w:after="40"/>
              <w:rPr>
                <w:szCs w:val="16"/>
              </w:rPr>
            </w:pPr>
            <w:r w:rsidRPr="0072192C">
              <w:rPr>
                <w:rFonts w:eastAsia="Calibri"/>
                <w:szCs w:val="16"/>
              </w:rPr>
              <w:t>Methane correction factors</w:t>
            </w:r>
          </w:p>
        </w:tc>
        <w:tc>
          <w:tcPr>
            <w:tcW w:w="0" w:type="auto"/>
            <w:shd w:val="clear" w:color="auto" w:fill="FFFFFF"/>
            <w:tcMar>
              <w:top w:w="0" w:type="dxa"/>
              <w:left w:w="85" w:type="dxa"/>
              <w:bottom w:w="0" w:type="dxa"/>
              <w:right w:w="85" w:type="dxa"/>
            </w:tcMar>
          </w:tcPr>
          <w:p w14:paraId="1EA914E8" w14:textId="77777777" w:rsidR="00B259A8" w:rsidRPr="0072192C" w:rsidRDefault="00B259A8" w:rsidP="00F16E23">
            <w:pPr>
              <w:pStyle w:val="TableText"/>
              <w:spacing w:before="40" w:after="40"/>
              <w:rPr>
                <w:szCs w:val="16"/>
              </w:rPr>
            </w:pPr>
          </w:p>
        </w:tc>
        <w:tc>
          <w:tcPr>
            <w:tcW w:w="1064" w:type="pct"/>
            <w:shd w:val="clear" w:color="auto" w:fill="FFFFFF"/>
            <w:tcMar>
              <w:top w:w="0" w:type="dxa"/>
              <w:left w:w="85" w:type="dxa"/>
              <w:bottom w:w="0" w:type="dxa"/>
              <w:right w:w="85" w:type="dxa"/>
            </w:tcMar>
          </w:tcPr>
          <w:p w14:paraId="5793CB44" w14:textId="77777777" w:rsidR="00B259A8" w:rsidRPr="0072192C" w:rsidRDefault="00B259A8" w:rsidP="00F16E23">
            <w:pPr>
              <w:pStyle w:val="TableText"/>
              <w:spacing w:before="40" w:after="40"/>
              <w:rPr>
                <w:szCs w:val="16"/>
              </w:rPr>
            </w:pPr>
          </w:p>
        </w:tc>
        <w:tc>
          <w:tcPr>
            <w:tcW w:w="1583" w:type="pct"/>
            <w:shd w:val="clear" w:color="auto" w:fill="FFFFFF"/>
            <w:tcMar>
              <w:top w:w="0" w:type="dxa"/>
              <w:left w:w="85" w:type="dxa"/>
              <w:bottom w:w="0" w:type="dxa"/>
              <w:right w:w="85" w:type="dxa"/>
            </w:tcMar>
          </w:tcPr>
          <w:p w14:paraId="5BE9D860" w14:textId="77777777" w:rsidR="00B259A8" w:rsidRPr="0072192C" w:rsidRDefault="00B259A8" w:rsidP="00F16E23">
            <w:pPr>
              <w:pStyle w:val="TableText"/>
              <w:spacing w:before="40" w:after="40"/>
              <w:rPr>
                <w:szCs w:val="16"/>
              </w:rPr>
            </w:pPr>
          </w:p>
        </w:tc>
      </w:tr>
      <w:tr w:rsidR="00B259A8" w:rsidRPr="0072192C" w14:paraId="213BF90E" w14:textId="77777777" w:rsidTr="00F16E23">
        <w:trPr>
          <w:trHeight w:val="283"/>
          <w:jc w:val="center"/>
        </w:trPr>
        <w:tc>
          <w:tcPr>
            <w:tcW w:w="0" w:type="auto"/>
            <w:shd w:val="clear" w:color="auto" w:fill="FFFFFF"/>
            <w:tcMar>
              <w:top w:w="0" w:type="dxa"/>
              <w:left w:w="85" w:type="dxa"/>
              <w:bottom w:w="0" w:type="dxa"/>
              <w:right w:w="85" w:type="dxa"/>
            </w:tcMar>
          </w:tcPr>
          <w:p w14:paraId="7A5A505C" w14:textId="77777777" w:rsidR="00B259A8" w:rsidRPr="0072192C" w:rsidRDefault="00B259A8" w:rsidP="00F16E23">
            <w:pPr>
              <w:pStyle w:val="TableText"/>
              <w:spacing w:before="40" w:after="40"/>
              <w:ind w:left="227"/>
              <w:rPr>
                <w:i/>
                <w:iCs/>
                <w:szCs w:val="16"/>
              </w:rPr>
            </w:pPr>
            <w:r w:rsidRPr="0072192C">
              <w:rPr>
                <w:rFonts w:eastAsia="Calibri"/>
                <w:i/>
                <w:iCs/>
                <w:szCs w:val="16"/>
              </w:rPr>
              <w:t>Septic system</w:t>
            </w:r>
          </w:p>
        </w:tc>
        <w:tc>
          <w:tcPr>
            <w:tcW w:w="0" w:type="auto"/>
            <w:shd w:val="clear" w:color="auto" w:fill="FFFFFF"/>
            <w:tcMar>
              <w:top w:w="0" w:type="dxa"/>
              <w:left w:w="85" w:type="dxa"/>
              <w:bottom w:w="0" w:type="dxa"/>
              <w:right w:w="85" w:type="dxa"/>
            </w:tcMar>
          </w:tcPr>
          <w:p w14:paraId="75C9CB76" w14:textId="77777777" w:rsidR="00B259A8" w:rsidRPr="0072192C" w:rsidRDefault="00B259A8" w:rsidP="00F16E23">
            <w:pPr>
              <w:pStyle w:val="TableText"/>
              <w:spacing w:before="40" w:after="40"/>
              <w:rPr>
                <w:szCs w:val="16"/>
              </w:rPr>
            </w:pPr>
            <w:r w:rsidRPr="0072192C">
              <w:rPr>
                <w:rFonts w:eastAsia="Calibri" w:cs="Calibri"/>
                <w:color w:val="000000"/>
                <w:szCs w:val="16"/>
              </w:rPr>
              <w:t>0.50</w:t>
            </w:r>
          </w:p>
        </w:tc>
        <w:tc>
          <w:tcPr>
            <w:tcW w:w="1064" w:type="pct"/>
            <w:shd w:val="clear" w:color="auto" w:fill="FFFFFF"/>
            <w:tcMar>
              <w:top w:w="0" w:type="dxa"/>
              <w:left w:w="85" w:type="dxa"/>
              <w:bottom w:w="0" w:type="dxa"/>
              <w:right w:w="85" w:type="dxa"/>
            </w:tcMar>
          </w:tcPr>
          <w:p w14:paraId="598F5963" w14:textId="77777777" w:rsidR="00B259A8" w:rsidRPr="0072192C" w:rsidRDefault="00B259A8" w:rsidP="00F16E23">
            <w:pPr>
              <w:pStyle w:val="TableText"/>
              <w:spacing w:before="40" w:after="40"/>
              <w:rPr>
                <w:szCs w:val="16"/>
              </w:rPr>
            </w:pPr>
            <w:r w:rsidRPr="0072192C">
              <w:rPr>
                <w:rFonts w:eastAsia="Calibri" w:cs="Calibri"/>
                <w:color w:val="000000"/>
                <w:szCs w:val="16"/>
              </w:rPr>
              <w:t>IPCC default</w:t>
            </w:r>
          </w:p>
        </w:tc>
        <w:tc>
          <w:tcPr>
            <w:tcW w:w="1583" w:type="pct"/>
            <w:shd w:val="clear" w:color="auto" w:fill="FFFFFF"/>
            <w:tcMar>
              <w:top w:w="0" w:type="dxa"/>
              <w:left w:w="85" w:type="dxa"/>
              <w:bottom w:w="0" w:type="dxa"/>
              <w:right w:w="85" w:type="dxa"/>
            </w:tcMar>
          </w:tcPr>
          <w:p w14:paraId="6B651DFA" w14:textId="77777777" w:rsidR="00B259A8" w:rsidRPr="0072192C" w:rsidRDefault="00B259A8" w:rsidP="00F16E23">
            <w:pPr>
              <w:pStyle w:val="TableText"/>
              <w:spacing w:before="40" w:after="40"/>
              <w:rPr>
                <w:szCs w:val="16"/>
              </w:rPr>
            </w:pPr>
            <w:r w:rsidRPr="0072192C">
              <w:rPr>
                <w:rFonts w:eastAsia="Calibri" w:cs="Calibri"/>
                <w:color w:val="000000"/>
                <w:szCs w:val="16"/>
              </w:rPr>
              <w:t>Table 6.3, section 6.2.2.2, IPCC, 2006d</w:t>
            </w:r>
          </w:p>
        </w:tc>
      </w:tr>
      <w:tr w:rsidR="00B259A8" w:rsidRPr="0072192C" w14:paraId="7C1BC2FF" w14:textId="77777777" w:rsidTr="00F16E23">
        <w:trPr>
          <w:trHeight w:val="283"/>
          <w:jc w:val="center"/>
        </w:trPr>
        <w:tc>
          <w:tcPr>
            <w:tcW w:w="0" w:type="auto"/>
            <w:shd w:val="clear" w:color="auto" w:fill="FFFFFF"/>
            <w:tcMar>
              <w:top w:w="0" w:type="dxa"/>
              <w:left w:w="85" w:type="dxa"/>
              <w:bottom w:w="0" w:type="dxa"/>
              <w:right w:w="85" w:type="dxa"/>
            </w:tcMar>
          </w:tcPr>
          <w:p w14:paraId="14CE6408" w14:textId="77777777" w:rsidR="00B259A8" w:rsidRPr="0072192C" w:rsidRDefault="00B259A8" w:rsidP="00F16E23">
            <w:pPr>
              <w:pStyle w:val="TableText"/>
              <w:spacing w:before="40" w:after="40"/>
              <w:ind w:left="227"/>
              <w:rPr>
                <w:i/>
                <w:iCs/>
                <w:szCs w:val="16"/>
              </w:rPr>
            </w:pPr>
            <w:r w:rsidRPr="0072192C">
              <w:rPr>
                <w:rFonts w:eastAsia="Calibri"/>
                <w:i/>
                <w:iCs/>
                <w:szCs w:val="16"/>
              </w:rPr>
              <w:t>Sea, river and lake discharge</w:t>
            </w:r>
          </w:p>
        </w:tc>
        <w:tc>
          <w:tcPr>
            <w:tcW w:w="0" w:type="auto"/>
            <w:shd w:val="clear" w:color="auto" w:fill="FFFFFF"/>
            <w:tcMar>
              <w:top w:w="0" w:type="dxa"/>
              <w:left w:w="85" w:type="dxa"/>
              <w:bottom w:w="0" w:type="dxa"/>
              <w:right w:w="85" w:type="dxa"/>
            </w:tcMar>
          </w:tcPr>
          <w:p w14:paraId="4CE0477E" w14:textId="77777777" w:rsidR="00B259A8" w:rsidRPr="0072192C" w:rsidRDefault="00B259A8" w:rsidP="00F16E23">
            <w:pPr>
              <w:pStyle w:val="TableText"/>
              <w:spacing w:before="40" w:after="40"/>
              <w:rPr>
                <w:szCs w:val="16"/>
              </w:rPr>
            </w:pPr>
            <w:r w:rsidRPr="0072192C">
              <w:rPr>
                <w:rFonts w:eastAsia="Calibri" w:cs="Calibri"/>
                <w:color w:val="000000"/>
                <w:szCs w:val="16"/>
              </w:rPr>
              <w:t>0.10</w:t>
            </w:r>
          </w:p>
        </w:tc>
        <w:tc>
          <w:tcPr>
            <w:tcW w:w="1064" w:type="pct"/>
            <w:shd w:val="clear" w:color="auto" w:fill="FFFFFF"/>
            <w:tcMar>
              <w:top w:w="0" w:type="dxa"/>
              <w:left w:w="85" w:type="dxa"/>
              <w:bottom w:w="0" w:type="dxa"/>
              <w:right w:w="85" w:type="dxa"/>
            </w:tcMar>
          </w:tcPr>
          <w:p w14:paraId="53239CA4" w14:textId="77777777" w:rsidR="00B259A8" w:rsidRPr="0072192C" w:rsidRDefault="00B259A8" w:rsidP="00F16E23">
            <w:pPr>
              <w:pStyle w:val="TableText"/>
              <w:spacing w:before="40" w:after="40"/>
              <w:rPr>
                <w:szCs w:val="16"/>
              </w:rPr>
            </w:pPr>
            <w:r w:rsidRPr="0072192C">
              <w:rPr>
                <w:rFonts w:eastAsia="Calibri" w:cs="Calibri"/>
                <w:color w:val="000000"/>
                <w:szCs w:val="16"/>
              </w:rPr>
              <w:t>IPCC default</w:t>
            </w:r>
          </w:p>
        </w:tc>
        <w:tc>
          <w:tcPr>
            <w:tcW w:w="1583" w:type="pct"/>
            <w:shd w:val="clear" w:color="auto" w:fill="FFFFFF"/>
            <w:tcMar>
              <w:top w:w="0" w:type="dxa"/>
              <w:left w:w="85" w:type="dxa"/>
              <w:bottom w:w="0" w:type="dxa"/>
              <w:right w:w="85" w:type="dxa"/>
            </w:tcMar>
          </w:tcPr>
          <w:p w14:paraId="183D20B0" w14:textId="77777777" w:rsidR="00B259A8" w:rsidRPr="0072192C" w:rsidRDefault="00B259A8" w:rsidP="00F16E23">
            <w:pPr>
              <w:pStyle w:val="TableText"/>
              <w:spacing w:before="40" w:after="40"/>
              <w:rPr>
                <w:szCs w:val="16"/>
              </w:rPr>
            </w:pPr>
            <w:r w:rsidRPr="0072192C">
              <w:rPr>
                <w:rFonts w:eastAsia="Calibri" w:cs="Calibri"/>
                <w:color w:val="000000"/>
                <w:szCs w:val="16"/>
              </w:rPr>
              <w:t>Table 6.3, section 6.2.2.2, IPCC, 2006d</w:t>
            </w:r>
          </w:p>
        </w:tc>
      </w:tr>
      <w:tr w:rsidR="00B259A8" w:rsidRPr="0072192C" w14:paraId="507DE328" w14:textId="77777777" w:rsidTr="00F16E23">
        <w:trPr>
          <w:trHeight w:val="283"/>
          <w:jc w:val="center"/>
        </w:trPr>
        <w:tc>
          <w:tcPr>
            <w:tcW w:w="0" w:type="auto"/>
            <w:shd w:val="clear" w:color="auto" w:fill="FFFFFF"/>
            <w:tcMar>
              <w:top w:w="0" w:type="dxa"/>
              <w:left w:w="85" w:type="dxa"/>
              <w:bottom w:w="0" w:type="dxa"/>
              <w:right w:w="85" w:type="dxa"/>
            </w:tcMar>
          </w:tcPr>
          <w:p w14:paraId="5014A047" w14:textId="77777777" w:rsidR="00B259A8" w:rsidRPr="0072192C" w:rsidRDefault="00B259A8" w:rsidP="00F16E23">
            <w:pPr>
              <w:pStyle w:val="TableText"/>
              <w:spacing w:before="40" w:after="40"/>
              <w:ind w:left="227"/>
              <w:rPr>
                <w:i/>
                <w:iCs/>
                <w:szCs w:val="16"/>
              </w:rPr>
            </w:pPr>
            <w:r w:rsidRPr="0072192C">
              <w:rPr>
                <w:rFonts w:eastAsia="Calibri"/>
                <w:i/>
                <w:iCs/>
                <w:szCs w:val="16"/>
              </w:rPr>
              <w:t>Weighted average methane correction factor</w:t>
            </w:r>
          </w:p>
        </w:tc>
        <w:tc>
          <w:tcPr>
            <w:tcW w:w="0" w:type="auto"/>
            <w:shd w:val="clear" w:color="auto" w:fill="FFFFFF"/>
            <w:tcMar>
              <w:top w:w="0" w:type="dxa"/>
              <w:left w:w="85" w:type="dxa"/>
              <w:bottom w:w="0" w:type="dxa"/>
              <w:right w:w="85" w:type="dxa"/>
            </w:tcMar>
          </w:tcPr>
          <w:p w14:paraId="4255B682" w14:textId="77777777" w:rsidR="00B259A8" w:rsidRPr="0072192C" w:rsidRDefault="00B259A8" w:rsidP="00F16E23">
            <w:pPr>
              <w:pStyle w:val="TableText"/>
              <w:spacing w:before="40" w:after="40"/>
              <w:rPr>
                <w:szCs w:val="16"/>
              </w:rPr>
            </w:pPr>
            <w:r w:rsidRPr="0072192C">
              <w:rPr>
                <w:rFonts w:eastAsia="Calibri" w:cs="Calibri"/>
                <w:color w:val="000000"/>
                <w:szCs w:val="16"/>
              </w:rPr>
              <w:t>0.23</w:t>
            </w:r>
          </w:p>
        </w:tc>
        <w:tc>
          <w:tcPr>
            <w:tcW w:w="1064" w:type="pct"/>
            <w:shd w:val="clear" w:color="auto" w:fill="FFFFFF"/>
            <w:tcMar>
              <w:top w:w="0" w:type="dxa"/>
              <w:left w:w="85" w:type="dxa"/>
              <w:bottom w:w="0" w:type="dxa"/>
              <w:right w:w="85" w:type="dxa"/>
            </w:tcMar>
          </w:tcPr>
          <w:p w14:paraId="6D477696" w14:textId="77777777" w:rsidR="00B259A8" w:rsidRPr="0072192C" w:rsidRDefault="00B259A8" w:rsidP="00F16E23">
            <w:pPr>
              <w:pStyle w:val="TableText"/>
              <w:spacing w:before="40" w:after="40"/>
              <w:rPr>
                <w:szCs w:val="16"/>
              </w:rPr>
            </w:pPr>
            <w:r w:rsidRPr="0072192C">
              <w:rPr>
                <w:rFonts w:eastAsia="Calibri" w:cs="Calibri"/>
                <w:color w:val="000000"/>
                <w:szCs w:val="16"/>
              </w:rPr>
              <w:t>Calculated</w:t>
            </w:r>
          </w:p>
        </w:tc>
        <w:tc>
          <w:tcPr>
            <w:tcW w:w="1583" w:type="pct"/>
            <w:shd w:val="clear" w:color="auto" w:fill="FFFFFF"/>
            <w:tcMar>
              <w:top w:w="0" w:type="dxa"/>
              <w:left w:w="85" w:type="dxa"/>
              <w:bottom w:w="0" w:type="dxa"/>
              <w:right w:w="85" w:type="dxa"/>
            </w:tcMar>
          </w:tcPr>
          <w:p w14:paraId="699D3EC4" w14:textId="77777777" w:rsidR="00B259A8" w:rsidRPr="0072192C" w:rsidRDefault="00B259A8" w:rsidP="00F16E23">
            <w:pPr>
              <w:pStyle w:val="TableText"/>
              <w:spacing w:before="40" w:after="40"/>
              <w:rPr>
                <w:szCs w:val="16"/>
              </w:rPr>
            </w:pPr>
          </w:p>
        </w:tc>
      </w:tr>
      <w:tr w:rsidR="00B259A8" w:rsidRPr="0072192C" w14:paraId="2F15DF18" w14:textId="77777777" w:rsidTr="00F16E23">
        <w:trPr>
          <w:trHeight w:val="283"/>
          <w:jc w:val="center"/>
        </w:trPr>
        <w:tc>
          <w:tcPr>
            <w:tcW w:w="0" w:type="auto"/>
            <w:shd w:val="clear" w:color="auto" w:fill="FFFFFF"/>
            <w:tcMar>
              <w:top w:w="0" w:type="dxa"/>
              <w:left w:w="85" w:type="dxa"/>
              <w:bottom w:w="0" w:type="dxa"/>
              <w:right w:w="85" w:type="dxa"/>
            </w:tcMar>
          </w:tcPr>
          <w:p w14:paraId="08805C56" w14:textId="77777777" w:rsidR="00B259A8" w:rsidRPr="0072192C" w:rsidRDefault="00B259A8" w:rsidP="00F16E23">
            <w:pPr>
              <w:pStyle w:val="TableText"/>
              <w:spacing w:before="40" w:after="40"/>
              <w:rPr>
                <w:szCs w:val="16"/>
              </w:rPr>
            </w:pPr>
            <w:r w:rsidRPr="0072192C">
              <w:rPr>
                <w:rFonts w:eastAsia="Calibri"/>
                <w:szCs w:val="16"/>
              </w:rPr>
              <w:t>Maximum methane producing capacity (kg CH</w:t>
            </w:r>
            <w:r w:rsidRPr="0072192C">
              <w:rPr>
                <w:rFonts w:eastAsia="Calibri"/>
                <w:szCs w:val="16"/>
                <w:vertAlign w:val="subscript"/>
              </w:rPr>
              <w:t>4</w:t>
            </w:r>
            <w:r w:rsidRPr="0072192C">
              <w:rPr>
                <w:rFonts w:eastAsia="Calibri"/>
                <w:szCs w:val="16"/>
              </w:rPr>
              <w:t>/kg BOD)</w:t>
            </w:r>
          </w:p>
        </w:tc>
        <w:tc>
          <w:tcPr>
            <w:tcW w:w="0" w:type="auto"/>
            <w:shd w:val="clear" w:color="auto" w:fill="FFFFFF"/>
            <w:tcMar>
              <w:top w:w="0" w:type="dxa"/>
              <w:left w:w="85" w:type="dxa"/>
              <w:bottom w:w="0" w:type="dxa"/>
              <w:right w:w="85" w:type="dxa"/>
            </w:tcMar>
          </w:tcPr>
          <w:p w14:paraId="3F630ACF" w14:textId="77777777" w:rsidR="00B259A8" w:rsidRPr="0072192C" w:rsidRDefault="00B259A8" w:rsidP="00F16E23">
            <w:pPr>
              <w:pStyle w:val="TableText"/>
              <w:spacing w:before="40" w:after="40"/>
              <w:rPr>
                <w:szCs w:val="16"/>
              </w:rPr>
            </w:pPr>
            <w:r w:rsidRPr="0072192C">
              <w:rPr>
                <w:rFonts w:eastAsia="Calibri"/>
                <w:szCs w:val="16"/>
              </w:rPr>
              <w:t>0.60</w:t>
            </w:r>
          </w:p>
        </w:tc>
        <w:tc>
          <w:tcPr>
            <w:tcW w:w="1064" w:type="pct"/>
            <w:shd w:val="clear" w:color="auto" w:fill="FFFFFF"/>
            <w:tcMar>
              <w:top w:w="0" w:type="dxa"/>
              <w:left w:w="85" w:type="dxa"/>
              <w:bottom w:w="0" w:type="dxa"/>
              <w:right w:w="85" w:type="dxa"/>
            </w:tcMar>
          </w:tcPr>
          <w:p w14:paraId="55A2908C" w14:textId="77777777" w:rsidR="00B259A8" w:rsidRPr="0072192C" w:rsidRDefault="00B259A8" w:rsidP="00F16E23">
            <w:pPr>
              <w:pStyle w:val="TableText"/>
              <w:spacing w:before="40" w:after="40"/>
              <w:rPr>
                <w:szCs w:val="16"/>
              </w:rPr>
            </w:pPr>
            <w:r w:rsidRPr="0072192C">
              <w:rPr>
                <w:rFonts w:eastAsia="Calibri"/>
                <w:szCs w:val="16"/>
              </w:rPr>
              <w:t>IPCC default</w:t>
            </w:r>
          </w:p>
        </w:tc>
        <w:tc>
          <w:tcPr>
            <w:tcW w:w="1583" w:type="pct"/>
            <w:shd w:val="clear" w:color="auto" w:fill="FFFFFF"/>
            <w:tcMar>
              <w:top w:w="0" w:type="dxa"/>
              <w:left w:w="85" w:type="dxa"/>
              <w:bottom w:w="0" w:type="dxa"/>
              <w:right w:w="85" w:type="dxa"/>
            </w:tcMar>
          </w:tcPr>
          <w:p w14:paraId="58903388" w14:textId="77777777" w:rsidR="00B259A8" w:rsidRPr="0072192C" w:rsidRDefault="00B259A8" w:rsidP="00F16E23">
            <w:pPr>
              <w:pStyle w:val="TableText"/>
              <w:spacing w:before="40" w:after="40"/>
              <w:rPr>
                <w:szCs w:val="16"/>
              </w:rPr>
            </w:pPr>
            <w:r w:rsidRPr="0072192C">
              <w:rPr>
                <w:rFonts w:eastAsia="Calibri"/>
                <w:szCs w:val="16"/>
              </w:rPr>
              <w:t>Table 6.2, section 6.2.2.2, IPCC, 2006d</w:t>
            </w:r>
          </w:p>
        </w:tc>
      </w:tr>
      <w:tr w:rsidR="00B259A8" w:rsidRPr="0072192C" w14:paraId="33508017" w14:textId="77777777" w:rsidTr="00F16E23">
        <w:trPr>
          <w:trHeight w:val="283"/>
          <w:jc w:val="center"/>
        </w:trPr>
        <w:tc>
          <w:tcPr>
            <w:tcW w:w="0" w:type="auto"/>
            <w:shd w:val="clear" w:color="auto" w:fill="FFFFFF"/>
            <w:tcMar>
              <w:top w:w="0" w:type="dxa"/>
              <w:left w:w="85" w:type="dxa"/>
              <w:bottom w:w="0" w:type="dxa"/>
              <w:right w:w="85" w:type="dxa"/>
            </w:tcMar>
          </w:tcPr>
          <w:p w14:paraId="751C6AC4" w14:textId="77777777" w:rsidR="00B259A8" w:rsidRPr="0072192C" w:rsidRDefault="00B259A8" w:rsidP="00F16E23">
            <w:pPr>
              <w:pStyle w:val="TableText"/>
              <w:spacing w:before="40" w:after="40"/>
              <w:rPr>
                <w:szCs w:val="16"/>
              </w:rPr>
            </w:pPr>
            <w:r w:rsidRPr="0072192C">
              <w:rPr>
                <w:rFonts w:eastAsia="Calibri"/>
                <w:szCs w:val="16"/>
              </w:rPr>
              <w:t>Biochemical oxygen demand (kg BOD/person/year)</w:t>
            </w:r>
          </w:p>
        </w:tc>
        <w:tc>
          <w:tcPr>
            <w:tcW w:w="0" w:type="auto"/>
            <w:shd w:val="clear" w:color="auto" w:fill="FFFFFF"/>
            <w:tcMar>
              <w:top w:w="0" w:type="dxa"/>
              <w:left w:w="85" w:type="dxa"/>
              <w:bottom w:w="0" w:type="dxa"/>
              <w:right w:w="85" w:type="dxa"/>
            </w:tcMar>
          </w:tcPr>
          <w:p w14:paraId="5E38D33E" w14:textId="77777777" w:rsidR="00B259A8" w:rsidRPr="0072192C" w:rsidRDefault="00B259A8" w:rsidP="00F16E23">
            <w:pPr>
              <w:pStyle w:val="TableText"/>
              <w:spacing w:before="40" w:after="40"/>
              <w:rPr>
                <w:szCs w:val="16"/>
              </w:rPr>
            </w:pPr>
            <w:r w:rsidRPr="0072192C">
              <w:rPr>
                <w:rFonts w:eastAsia="Calibri"/>
                <w:szCs w:val="16"/>
              </w:rPr>
              <w:t>21.90</w:t>
            </w:r>
          </w:p>
        </w:tc>
        <w:tc>
          <w:tcPr>
            <w:tcW w:w="1064" w:type="pct"/>
            <w:shd w:val="clear" w:color="auto" w:fill="FFFFFF"/>
            <w:tcMar>
              <w:top w:w="0" w:type="dxa"/>
              <w:left w:w="85" w:type="dxa"/>
              <w:bottom w:w="0" w:type="dxa"/>
              <w:right w:w="85" w:type="dxa"/>
            </w:tcMar>
          </w:tcPr>
          <w:p w14:paraId="450CDD0C" w14:textId="77777777" w:rsidR="00B259A8" w:rsidRPr="0072192C" w:rsidRDefault="00B259A8" w:rsidP="00F16E23">
            <w:pPr>
              <w:pStyle w:val="TableText"/>
              <w:spacing w:before="40" w:after="40"/>
              <w:rPr>
                <w:szCs w:val="16"/>
              </w:rPr>
            </w:pPr>
            <w:r w:rsidRPr="0072192C">
              <w:rPr>
                <w:rFonts w:eastAsia="Calibri"/>
                <w:szCs w:val="16"/>
              </w:rPr>
              <w:t>IPCC default for Oceania</w:t>
            </w:r>
          </w:p>
        </w:tc>
        <w:tc>
          <w:tcPr>
            <w:tcW w:w="1583" w:type="pct"/>
            <w:shd w:val="clear" w:color="auto" w:fill="FFFFFF"/>
            <w:tcMar>
              <w:top w:w="0" w:type="dxa"/>
              <w:left w:w="85" w:type="dxa"/>
              <w:bottom w:w="0" w:type="dxa"/>
              <w:right w:w="85" w:type="dxa"/>
            </w:tcMar>
          </w:tcPr>
          <w:p w14:paraId="1988E1F0" w14:textId="77777777" w:rsidR="00B259A8" w:rsidRPr="0072192C" w:rsidRDefault="00B259A8" w:rsidP="00F16E23">
            <w:pPr>
              <w:pStyle w:val="TableText"/>
              <w:spacing w:before="40" w:after="40"/>
              <w:rPr>
                <w:szCs w:val="16"/>
              </w:rPr>
            </w:pPr>
            <w:r w:rsidRPr="0072192C">
              <w:rPr>
                <w:rFonts w:eastAsia="Calibri"/>
                <w:szCs w:val="16"/>
              </w:rPr>
              <w:t>IPCC, 2006d (worksheets for SWDS)</w:t>
            </w:r>
          </w:p>
        </w:tc>
      </w:tr>
      <w:tr w:rsidR="00B259A8" w:rsidRPr="0072192C" w14:paraId="3CB1F8E3" w14:textId="77777777" w:rsidTr="00F16E23">
        <w:trPr>
          <w:trHeight w:val="283"/>
          <w:jc w:val="center"/>
        </w:trPr>
        <w:tc>
          <w:tcPr>
            <w:tcW w:w="0" w:type="auto"/>
            <w:shd w:val="clear" w:color="auto" w:fill="FFFFFF"/>
            <w:tcMar>
              <w:top w:w="0" w:type="dxa"/>
              <w:left w:w="85" w:type="dxa"/>
              <w:bottom w:w="0" w:type="dxa"/>
              <w:right w:w="85" w:type="dxa"/>
            </w:tcMar>
          </w:tcPr>
          <w:p w14:paraId="324ECC45" w14:textId="77777777" w:rsidR="00B259A8" w:rsidRPr="0072192C" w:rsidRDefault="00B259A8" w:rsidP="00F16E23">
            <w:pPr>
              <w:pStyle w:val="TableText"/>
              <w:spacing w:before="40" w:after="40"/>
              <w:rPr>
                <w:szCs w:val="16"/>
              </w:rPr>
            </w:pPr>
            <w:r w:rsidRPr="0072192C">
              <w:rPr>
                <w:rFonts w:eastAsia="Calibri"/>
                <w:szCs w:val="16"/>
              </w:rPr>
              <w:t>Correction factor for BOD</w:t>
            </w:r>
          </w:p>
        </w:tc>
        <w:tc>
          <w:tcPr>
            <w:tcW w:w="0" w:type="auto"/>
            <w:shd w:val="clear" w:color="auto" w:fill="FFFFFF"/>
            <w:tcMar>
              <w:top w:w="0" w:type="dxa"/>
              <w:left w:w="85" w:type="dxa"/>
              <w:bottom w:w="0" w:type="dxa"/>
              <w:right w:w="85" w:type="dxa"/>
            </w:tcMar>
          </w:tcPr>
          <w:p w14:paraId="13FF4BB6" w14:textId="77777777" w:rsidR="00B259A8" w:rsidRPr="0072192C" w:rsidRDefault="00B259A8" w:rsidP="00F16E23">
            <w:pPr>
              <w:pStyle w:val="TableText"/>
              <w:spacing w:before="40" w:after="40"/>
              <w:rPr>
                <w:szCs w:val="16"/>
              </w:rPr>
            </w:pPr>
            <w:r w:rsidRPr="0072192C">
              <w:rPr>
                <w:rFonts w:eastAsia="Calibri"/>
                <w:szCs w:val="16"/>
              </w:rPr>
              <w:t>1.25</w:t>
            </w:r>
          </w:p>
        </w:tc>
        <w:tc>
          <w:tcPr>
            <w:tcW w:w="1064" w:type="pct"/>
            <w:shd w:val="clear" w:color="auto" w:fill="FFFFFF"/>
            <w:tcMar>
              <w:top w:w="0" w:type="dxa"/>
              <w:left w:w="85" w:type="dxa"/>
              <w:bottom w:w="0" w:type="dxa"/>
              <w:right w:w="85" w:type="dxa"/>
            </w:tcMar>
          </w:tcPr>
          <w:p w14:paraId="44083406" w14:textId="77777777" w:rsidR="00B259A8" w:rsidRPr="0072192C" w:rsidRDefault="00B259A8" w:rsidP="00F16E23">
            <w:pPr>
              <w:pStyle w:val="TableText"/>
              <w:spacing w:before="40" w:after="40"/>
              <w:rPr>
                <w:szCs w:val="16"/>
              </w:rPr>
            </w:pPr>
            <w:r w:rsidRPr="0072192C">
              <w:rPr>
                <w:rFonts w:eastAsia="Calibri"/>
                <w:szCs w:val="16"/>
              </w:rPr>
              <w:t>IPCC default for collected systems</w:t>
            </w:r>
          </w:p>
        </w:tc>
        <w:tc>
          <w:tcPr>
            <w:tcW w:w="1583" w:type="pct"/>
            <w:shd w:val="clear" w:color="auto" w:fill="FFFFFF"/>
            <w:tcMar>
              <w:top w:w="0" w:type="dxa"/>
              <w:left w:w="85" w:type="dxa"/>
              <w:bottom w:w="0" w:type="dxa"/>
              <w:right w:w="85" w:type="dxa"/>
            </w:tcMar>
          </w:tcPr>
          <w:p w14:paraId="09C098C8" w14:textId="77777777" w:rsidR="00B259A8" w:rsidRPr="0072192C" w:rsidRDefault="00B259A8" w:rsidP="00F16E23">
            <w:pPr>
              <w:pStyle w:val="TableText"/>
              <w:spacing w:before="40" w:after="40"/>
              <w:rPr>
                <w:szCs w:val="16"/>
              </w:rPr>
            </w:pPr>
            <w:r w:rsidRPr="0072192C">
              <w:rPr>
                <w:rFonts w:eastAsia="Calibri"/>
                <w:szCs w:val="16"/>
              </w:rPr>
              <w:t>Section 6.2.2.3, p 6.14, IPCC, 2006d</w:t>
            </w:r>
          </w:p>
        </w:tc>
      </w:tr>
    </w:tbl>
    <w:p w14:paraId="12A5FA34" w14:textId="77777777" w:rsidR="00B259A8" w:rsidRPr="0072192C" w:rsidRDefault="00B259A8" w:rsidP="00B259A8">
      <w:pPr>
        <w:pStyle w:val="Noteundertable"/>
      </w:pPr>
      <w:r w:rsidRPr="0072192C">
        <w:rPr>
          <w:b/>
          <w:bCs/>
        </w:rPr>
        <w:t>Note:</w:t>
      </w:r>
      <w:r w:rsidRPr="0072192C">
        <w:tab/>
        <w:t>BOD = biochemical oxygen demand; SWDS = solid waste disposal sites.</w:t>
      </w:r>
    </w:p>
    <w:p w14:paraId="047C5949" w14:textId="77777777" w:rsidR="00B259A8" w:rsidRPr="0072192C" w:rsidRDefault="00B259A8" w:rsidP="00B259A8">
      <w:pPr>
        <w:pStyle w:val="Heading4"/>
      </w:pPr>
      <w:bookmarkStart w:id="3314" w:name="Xa453b68a9f9baadb2d637a8d8db162bf576fe8b"/>
      <w:r w:rsidRPr="0072192C">
        <w:t>Assumptions for estimating nitrous oxide emissions from wastewater</w:t>
      </w:r>
    </w:p>
    <w:p w14:paraId="317A086F" w14:textId="77777777" w:rsidR="00B259A8" w:rsidRPr="0072192C" w:rsidRDefault="00B259A8" w:rsidP="00B259A8">
      <w:pPr>
        <w:pStyle w:val="BodyText"/>
      </w:pPr>
      <w:r w:rsidRPr="0072192C">
        <w:t>Table 8.15.2 shows the parameters used to calculate N</w:t>
      </w:r>
      <w:r w:rsidRPr="0072192C">
        <w:rPr>
          <w:vertAlign w:val="subscript"/>
        </w:rPr>
        <w:t>2</w:t>
      </w:r>
      <w:r w:rsidRPr="0072192C">
        <w:t>O emissions from wastewater. It is assumed that septic tanks do not discharge to the sea and that only the population using open</w:t>
      </w:r>
      <w:r w:rsidRPr="0072192C">
        <w:noBreakHyphen/>
        <w:t>water toilets contribute to the nitrogen in effluent calculation.</w:t>
      </w:r>
    </w:p>
    <w:p w14:paraId="31A245AB" w14:textId="77777777" w:rsidR="00B259A8" w:rsidRPr="0072192C" w:rsidRDefault="00B259A8" w:rsidP="00B259A8">
      <w:pPr>
        <w:pStyle w:val="BodyText"/>
      </w:pPr>
      <w:r w:rsidRPr="0072192C">
        <w:rPr>
          <w:spacing w:val="-2"/>
        </w:rPr>
        <w:t>Protein consumption of 32.45 kg/person/year has been calculated based on known consumption</w:t>
      </w:r>
      <w:r w:rsidRPr="0072192C">
        <w:t xml:space="preserve"> compiled by the Tokelau National Statistics Office. The fraction of industrial and commercial co-discharged protein accounts for any commercial and industrial activities because there is no separate estimate.</w:t>
      </w:r>
    </w:p>
    <w:p w14:paraId="39578591" w14:textId="77777777" w:rsidR="00B259A8" w:rsidRPr="0072192C" w:rsidRDefault="00B259A8" w:rsidP="00B259A8">
      <w:pPr>
        <w:pStyle w:val="Table"/>
      </w:pPr>
      <w:bookmarkStart w:id="3315" w:name="_Toc225424330"/>
      <w:bookmarkStart w:id="3316" w:name="_Toc226669153"/>
      <w:r w:rsidRPr="0072192C">
        <w:t>Table 8.15.2</w:t>
      </w:r>
      <w:r w:rsidRPr="0072192C">
        <w:tab/>
        <w:t>Parameter values applied for estimating nitrous oxide emissions for Tokelau wastewater treatment</w:t>
      </w:r>
      <w:bookmarkEnd w:id="3315"/>
      <w:bookmarkEnd w:id="331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353"/>
        <w:gridCol w:w="616"/>
        <w:gridCol w:w="1843"/>
        <w:gridCol w:w="2682"/>
      </w:tblGrid>
      <w:tr w:rsidR="00B259A8" w:rsidRPr="0072192C" w14:paraId="382EBB52" w14:textId="77777777" w:rsidTr="00F16E23">
        <w:trPr>
          <w:tblHeader/>
        </w:trPr>
        <w:tc>
          <w:tcPr>
            <w:tcW w:w="3353" w:type="dxa"/>
            <w:shd w:val="clear" w:color="auto" w:fill="1B556B"/>
            <w:tcMar>
              <w:top w:w="0" w:type="dxa"/>
              <w:left w:w="85" w:type="dxa"/>
              <w:bottom w:w="0" w:type="dxa"/>
              <w:right w:w="85" w:type="dxa"/>
            </w:tcMar>
          </w:tcPr>
          <w:p w14:paraId="6DABDA59"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Parameter</w:t>
            </w:r>
          </w:p>
        </w:tc>
        <w:tc>
          <w:tcPr>
            <w:tcW w:w="616" w:type="dxa"/>
            <w:shd w:val="clear" w:color="auto" w:fill="1B556B"/>
            <w:tcMar>
              <w:top w:w="0" w:type="dxa"/>
              <w:left w:w="85" w:type="dxa"/>
              <w:bottom w:w="0" w:type="dxa"/>
              <w:right w:w="85" w:type="dxa"/>
            </w:tcMar>
          </w:tcPr>
          <w:p w14:paraId="74E47DE4"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Value</w:t>
            </w:r>
          </w:p>
        </w:tc>
        <w:tc>
          <w:tcPr>
            <w:tcW w:w="1843" w:type="dxa"/>
            <w:shd w:val="clear" w:color="auto" w:fill="1B556B"/>
            <w:tcMar>
              <w:top w:w="0" w:type="dxa"/>
              <w:left w:w="85" w:type="dxa"/>
              <w:bottom w:w="0" w:type="dxa"/>
              <w:right w:w="85" w:type="dxa"/>
            </w:tcMar>
          </w:tcPr>
          <w:p w14:paraId="7CBE93E1"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Source</w:t>
            </w:r>
          </w:p>
        </w:tc>
        <w:tc>
          <w:tcPr>
            <w:tcW w:w="2682" w:type="dxa"/>
            <w:shd w:val="clear" w:color="auto" w:fill="1B556B"/>
            <w:tcMar>
              <w:top w:w="0" w:type="dxa"/>
              <w:left w:w="85" w:type="dxa"/>
              <w:bottom w:w="0" w:type="dxa"/>
              <w:right w:w="85" w:type="dxa"/>
            </w:tcMar>
          </w:tcPr>
          <w:p w14:paraId="363C08EA"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Reference</w:t>
            </w:r>
          </w:p>
        </w:tc>
      </w:tr>
      <w:tr w:rsidR="00B259A8" w:rsidRPr="0072192C" w14:paraId="4CE2DD51" w14:textId="77777777" w:rsidTr="00F16E23">
        <w:tc>
          <w:tcPr>
            <w:tcW w:w="3353" w:type="dxa"/>
            <w:shd w:val="clear" w:color="auto" w:fill="FFFFFF"/>
            <w:tcMar>
              <w:top w:w="0" w:type="dxa"/>
              <w:left w:w="85" w:type="dxa"/>
              <w:bottom w:w="0" w:type="dxa"/>
              <w:right w:w="85" w:type="dxa"/>
            </w:tcMar>
          </w:tcPr>
          <w:p w14:paraId="73D5091C" w14:textId="77777777" w:rsidR="00B259A8" w:rsidRPr="0072192C" w:rsidRDefault="00B259A8" w:rsidP="00F16E23">
            <w:pPr>
              <w:pStyle w:val="TableText"/>
              <w:spacing w:before="40" w:after="40"/>
            </w:pPr>
            <w:r w:rsidRPr="0072192C">
              <w:rPr>
                <w:rFonts w:eastAsia="Calibri"/>
              </w:rPr>
              <w:t>Per capita protein consumption (kg/person/year)</w:t>
            </w:r>
          </w:p>
        </w:tc>
        <w:tc>
          <w:tcPr>
            <w:tcW w:w="616" w:type="dxa"/>
            <w:shd w:val="clear" w:color="auto" w:fill="FFFFFF"/>
            <w:tcMar>
              <w:top w:w="0" w:type="dxa"/>
              <w:left w:w="85" w:type="dxa"/>
              <w:bottom w:w="0" w:type="dxa"/>
              <w:right w:w="85" w:type="dxa"/>
            </w:tcMar>
          </w:tcPr>
          <w:p w14:paraId="4ECB6C95" w14:textId="77777777" w:rsidR="00B259A8" w:rsidRPr="0072192C" w:rsidRDefault="00B259A8" w:rsidP="00F16E23">
            <w:pPr>
              <w:pStyle w:val="TableText"/>
              <w:spacing w:before="40" w:after="40"/>
            </w:pPr>
            <w:r w:rsidRPr="0072192C">
              <w:rPr>
                <w:rFonts w:eastAsia="Calibri"/>
              </w:rPr>
              <w:t>32.448</w:t>
            </w:r>
          </w:p>
        </w:tc>
        <w:tc>
          <w:tcPr>
            <w:tcW w:w="1843" w:type="dxa"/>
            <w:shd w:val="clear" w:color="auto" w:fill="FFFFFF"/>
            <w:tcMar>
              <w:top w:w="0" w:type="dxa"/>
              <w:left w:w="85" w:type="dxa"/>
              <w:bottom w:w="0" w:type="dxa"/>
              <w:right w:w="85" w:type="dxa"/>
            </w:tcMar>
          </w:tcPr>
          <w:p w14:paraId="6D11823E" w14:textId="77777777" w:rsidR="00B259A8" w:rsidRPr="0072192C" w:rsidRDefault="00B259A8" w:rsidP="00F16E23">
            <w:pPr>
              <w:pStyle w:val="TableText"/>
              <w:spacing w:before="40" w:after="40"/>
            </w:pPr>
            <w:r w:rsidRPr="0072192C">
              <w:rPr>
                <w:rFonts w:eastAsia="Calibri"/>
              </w:rPr>
              <w:t>Tokelau specific</w:t>
            </w:r>
          </w:p>
        </w:tc>
        <w:tc>
          <w:tcPr>
            <w:tcW w:w="2682" w:type="dxa"/>
            <w:shd w:val="clear" w:color="auto" w:fill="FFFFFF"/>
            <w:tcMar>
              <w:top w:w="0" w:type="dxa"/>
              <w:left w:w="85" w:type="dxa"/>
              <w:bottom w:w="0" w:type="dxa"/>
              <w:right w:w="85" w:type="dxa"/>
            </w:tcMar>
          </w:tcPr>
          <w:p w14:paraId="53BE76DD" w14:textId="77777777" w:rsidR="00B259A8" w:rsidRPr="0072192C" w:rsidRDefault="00B259A8" w:rsidP="00F16E23">
            <w:pPr>
              <w:pStyle w:val="TableText"/>
              <w:spacing w:before="40" w:after="40"/>
            </w:pPr>
            <w:r w:rsidRPr="0072192C">
              <w:rPr>
                <w:rFonts w:eastAsia="Calibri"/>
              </w:rPr>
              <w:t>Developed by Tokelau’s National Statistics Office using imports data (see table 8.1.1)</w:t>
            </w:r>
          </w:p>
        </w:tc>
      </w:tr>
      <w:tr w:rsidR="00B259A8" w:rsidRPr="0072192C" w14:paraId="70B4C7A5" w14:textId="77777777" w:rsidTr="00F16E23">
        <w:tc>
          <w:tcPr>
            <w:tcW w:w="3353" w:type="dxa"/>
            <w:shd w:val="clear" w:color="auto" w:fill="FFFFFF"/>
            <w:tcMar>
              <w:top w:w="0" w:type="dxa"/>
              <w:left w:w="85" w:type="dxa"/>
              <w:bottom w:w="0" w:type="dxa"/>
              <w:right w:w="85" w:type="dxa"/>
            </w:tcMar>
          </w:tcPr>
          <w:p w14:paraId="36514EE2" w14:textId="77777777" w:rsidR="00B259A8" w:rsidRPr="0072192C" w:rsidRDefault="00B259A8" w:rsidP="00F16E23">
            <w:pPr>
              <w:pStyle w:val="TableText"/>
              <w:spacing w:before="40" w:after="40"/>
            </w:pPr>
            <w:r w:rsidRPr="0072192C">
              <w:rPr>
                <w:rFonts w:eastAsia="Calibri"/>
              </w:rPr>
              <w:t>Fraction of nitrogen in protein</w:t>
            </w:r>
          </w:p>
        </w:tc>
        <w:tc>
          <w:tcPr>
            <w:tcW w:w="616" w:type="dxa"/>
            <w:shd w:val="clear" w:color="auto" w:fill="FFFFFF"/>
            <w:tcMar>
              <w:top w:w="0" w:type="dxa"/>
              <w:left w:w="85" w:type="dxa"/>
              <w:bottom w:w="0" w:type="dxa"/>
              <w:right w:w="85" w:type="dxa"/>
            </w:tcMar>
          </w:tcPr>
          <w:p w14:paraId="684C0180" w14:textId="77777777" w:rsidR="00B259A8" w:rsidRPr="0072192C" w:rsidRDefault="00B259A8" w:rsidP="00F16E23">
            <w:pPr>
              <w:pStyle w:val="TableText"/>
              <w:spacing w:before="40" w:after="40"/>
            </w:pPr>
            <w:r w:rsidRPr="0072192C">
              <w:rPr>
                <w:rFonts w:eastAsia="Calibri"/>
              </w:rPr>
              <w:t>0.160</w:t>
            </w:r>
          </w:p>
        </w:tc>
        <w:tc>
          <w:tcPr>
            <w:tcW w:w="1843" w:type="dxa"/>
            <w:shd w:val="clear" w:color="auto" w:fill="FFFFFF"/>
            <w:tcMar>
              <w:top w:w="0" w:type="dxa"/>
              <w:left w:w="85" w:type="dxa"/>
              <w:bottom w:w="0" w:type="dxa"/>
              <w:right w:w="85" w:type="dxa"/>
            </w:tcMar>
          </w:tcPr>
          <w:p w14:paraId="46E27DB1" w14:textId="77777777" w:rsidR="00B259A8" w:rsidRPr="0072192C" w:rsidRDefault="00B259A8" w:rsidP="00F16E23">
            <w:pPr>
              <w:pStyle w:val="TableText"/>
              <w:spacing w:before="40" w:after="40"/>
            </w:pPr>
            <w:r w:rsidRPr="0072192C">
              <w:rPr>
                <w:rFonts w:eastAsia="Calibri"/>
              </w:rPr>
              <w:t>IPCC default</w:t>
            </w:r>
          </w:p>
        </w:tc>
        <w:tc>
          <w:tcPr>
            <w:tcW w:w="2682" w:type="dxa"/>
            <w:shd w:val="clear" w:color="auto" w:fill="FFFFFF"/>
            <w:tcMar>
              <w:top w:w="0" w:type="dxa"/>
              <w:left w:w="85" w:type="dxa"/>
              <w:bottom w:w="0" w:type="dxa"/>
              <w:right w:w="85" w:type="dxa"/>
            </w:tcMar>
          </w:tcPr>
          <w:p w14:paraId="79FCC23E" w14:textId="77777777" w:rsidR="00B259A8" w:rsidRPr="0072192C" w:rsidRDefault="00B259A8" w:rsidP="00F16E23">
            <w:pPr>
              <w:pStyle w:val="TableText"/>
              <w:spacing w:before="40" w:after="40"/>
            </w:pPr>
            <w:r w:rsidRPr="0072192C">
              <w:rPr>
                <w:rFonts w:eastAsia="Calibri"/>
              </w:rPr>
              <w:t>Section 6.3.1.3, p 6.25, IPCC, 2006d</w:t>
            </w:r>
          </w:p>
        </w:tc>
      </w:tr>
      <w:tr w:rsidR="00B259A8" w:rsidRPr="0072192C" w14:paraId="7DC29D4E" w14:textId="77777777" w:rsidTr="00F16E23">
        <w:tc>
          <w:tcPr>
            <w:tcW w:w="3353" w:type="dxa"/>
            <w:shd w:val="clear" w:color="auto" w:fill="FFFFFF"/>
            <w:tcMar>
              <w:top w:w="0" w:type="dxa"/>
              <w:left w:w="85" w:type="dxa"/>
              <w:bottom w:w="0" w:type="dxa"/>
              <w:right w:w="85" w:type="dxa"/>
            </w:tcMar>
          </w:tcPr>
          <w:p w14:paraId="625C0059" w14:textId="77777777" w:rsidR="00B259A8" w:rsidRPr="0072192C" w:rsidRDefault="00B259A8" w:rsidP="00F16E23">
            <w:pPr>
              <w:pStyle w:val="TableText"/>
              <w:spacing w:before="40" w:after="40"/>
            </w:pPr>
            <w:r w:rsidRPr="0072192C">
              <w:rPr>
                <w:rFonts w:eastAsia="Calibri"/>
              </w:rPr>
              <w:t>Fraction of non-consumed protein</w:t>
            </w:r>
          </w:p>
        </w:tc>
        <w:tc>
          <w:tcPr>
            <w:tcW w:w="616" w:type="dxa"/>
            <w:shd w:val="clear" w:color="auto" w:fill="FFFFFF"/>
            <w:tcMar>
              <w:top w:w="0" w:type="dxa"/>
              <w:left w:w="85" w:type="dxa"/>
              <w:bottom w:w="0" w:type="dxa"/>
              <w:right w:w="85" w:type="dxa"/>
            </w:tcMar>
          </w:tcPr>
          <w:p w14:paraId="7E863676" w14:textId="77777777" w:rsidR="00B259A8" w:rsidRPr="0072192C" w:rsidRDefault="00B259A8" w:rsidP="00F16E23">
            <w:pPr>
              <w:pStyle w:val="TableText"/>
              <w:spacing w:before="40" w:after="40"/>
            </w:pPr>
            <w:r w:rsidRPr="0072192C">
              <w:rPr>
                <w:rFonts w:eastAsia="Calibri"/>
              </w:rPr>
              <w:t>1.100</w:t>
            </w:r>
          </w:p>
        </w:tc>
        <w:tc>
          <w:tcPr>
            <w:tcW w:w="1843" w:type="dxa"/>
            <w:shd w:val="clear" w:color="auto" w:fill="FFFFFF"/>
            <w:tcMar>
              <w:top w:w="0" w:type="dxa"/>
              <w:left w:w="85" w:type="dxa"/>
              <w:bottom w:w="0" w:type="dxa"/>
              <w:right w:w="85" w:type="dxa"/>
            </w:tcMar>
          </w:tcPr>
          <w:p w14:paraId="7DE44ECA" w14:textId="77777777" w:rsidR="00B259A8" w:rsidRPr="0072192C" w:rsidRDefault="00B259A8" w:rsidP="00F16E23">
            <w:pPr>
              <w:pStyle w:val="TableText"/>
              <w:spacing w:before="40" w:after="40"/>
            </w:pPr>
            <w:r w:rsidRPr="0072192C">
              <w:rPr>
                <w:rFonts w:eastAsia="Calibri"/>
              </w:rPr>
              <w:t>IPCC default for developing countries</w:t>
            </w:r>
          </w:p>
        </w:tc>
        <w:tc>
          <w:tcPr>
            <w:tcW w:w="2682" w:type="dxa"/>
            <w:shd w:val="clear" w:color="auto" w:fill="FFFFFF"/>
            <w:tcMar>
              <w:top w:w="0" w:type="dxa"/>
              <w:left w:w="85" w:type="dxa"/>
              <w:bottom w:w="0" w:type="dxa"/>
              <w:right w:w="85" w:type="dxa"/>
            </w:tcMar>
          </w:tcPr>
          <w:p w14:paraId="3AAF9A63" w14:textId="77777777" w:rsidR="00B259A8" w:rsidRPr="0072192C" w:rsidRDefault="00B259A8" w:rsidP="00F16E23">
            <w:pPr>
              <w:pStyle w:val="TableText"/>
              <w:spacing w:before="40" w:after="40"/>
            </w:pPr>
            <w:r w:rsidRPr="0072192C">
              <w:rPr>
                <w:rFonts w:eastAsia="Calibri"/>
              </w:rPr>
              <w:t>Table 6.11, section 6.3.3, IPCC, 2006d</w:t>
            </w:r>
          </w:p>
        </w:tc>
      </w:tr>
      <w:tr w:rsidR="00B259A8" w:rsidRPr="0072192C" w14:paraId="1003FABD" w14:textId="77777777" w:rsidTr="00F16E23">
        <w:tc>
          <w:tcPr>
            <w:tcW w:w="3353" w:type="dxa"/>
            <w:shd w:val="clear" w:color="auto" w:fill="FFFFFF"/>
            <w:tcMar>
              <w:top w:w="0" w:type="dxa"/>
              <w:left w:w="85" w:type="dxa"/>
              <w:bottom w:w="0" w:type="dxa"/>
              <w:right w:w="85" w:type="dxa"/>
            </w:tcMar>
          </w:tcPr>
          <w:p w14:paraId="2E19B545" w14:textId="77777777" w:rsidR="00B259A8" w:rsidRPr="0072192C" w:rsidRDefault="00B259A8" w:rsidP="00F16E23">
            <w:pPr>
              <w:pStyle w:val="TableText"/>
              <w:spacing w:before="40" w:after="40"/>
            </w:pPr>
            <w:r w:rsidRPr="0072192C">
              <w:rPr>
                <w:rFonts w:eastAsia="Calibri"/>
              </w:rPr>
              <w:t>Fraction of industrial and commercial co</w:t>
            </w:r>
            <w:r w:rsidRPr="0072192C">
              <w:rPr>
                <w:rFonts w:ascii="Cambria Math" w:eastAsia="Calibri" w:hAnsi="Cambria Math" w:cs="Cambria Math"/>
              </w:rPr>
              <w:t>‑</w:t>
            </w:r>
            <w:r w:rsidRPr="0072192C">
              <w:rPr>
                <w:rFonts w:eastAsia="Calibri"/>
              </w:rPr>
              <w:t>discharged protein</w:t>
            </w:r>
          </w:p>
        </w:tc>
        <w:tc>
          <w:tcPr>
            <w:tcW w:w="616" w:type="dxa"/>
            <w:shd w:val="clear" w:color="auto" w:fill="FFFFFF"/>
            <w:tcMar>
              <w:top w:w="0" w:type="dxa"/>
              <w:left w:w="85" w:type="dxa"/>
              <w:bottom w:w="0" w:type="dxa"/>
              <w:right w:w="85" w:type="dxa"/>
            </w:tcMar>
          </w:tcPr>
          <w:p w14:paraId="2B4BDC54" w14:textId="77777777" w:rsidR="00B259A8" w:rsidRPr="0072192C" w:rsidRDefault="00B259A8" w:rsidP="00F16E23">
            <w:pPr>
              <w:pStyle w:val="TableText"/>
              <w:spacing w:before="40" w:after="40"/>
            </w:pPr>
            <w:r w:rsidRPr="0072192C">
              <w:rPr>
                <w:rFonts w:eastAsia="Calibri"/>
              </w:rPr>
              <w:t>1.250</w:t>
            </w:r>
          </w:p>
        </w:tc>
        <w:tc>
          <w:tcPr>
            <w:tcW w:w="1843" w:type="dxa"/>
            <w:shd w:val="clear" w:color="auto" w:fill="FFFFFF"/>
            <w:tcMar>
              <w:top w:w="0" w:type="dxa"/>
              <w:left w:w="85" w:type="dxa"/>
              <w:bottom w:w="0" w:type="dxa"/>
              <w:right w:w="85" w:type="dxa"/>
            </w:tcMar>
          </w:tcPr>
          <w:p w14:paraId="18504834" w14:textId="77777777" w:rsidR="00B259A8" w:rsidRPr="0072192C" w:rsidRDefault="00B259A8" w:rsidP="00F16E23">
            <w:pPr>
              <w:pStyle w:val="TableText"/>
              <w:spacing w:before="40" w:after="40"/>
            </w:pPr>
            <w:r w:rsidRPr="0072192C">
              <w:rPr>
                <w:rFonts w:eastAsia="Calibri"/>
              </w:rPr>
              <w:t>IPCC default</w:t>
            </w:r>
          </w:p>
        </w:tc>
        <w:tc>
          <w:tcPr>
            <w:tcW w:w="2682" w:type="dxa"/>
            <w:shd w:val="clear" w:color="auto" w:fill="FFFFFF"/>
            <w:tcMar>
              <w:top w:w="0" w:type="dxa"/>
              <w:left w:w="85" w:type="dxa"/>
              <w:bottom w:w="0" w:type="dxa"/>
              <w:right w:w="85" w:type="dxa"/>
            </w:tcMar>
          </w:tcPr>
          <w:p w14:paraId="5AEEA385" w14:textId="77777777" w:rsidR="00B259A8" w:rsidRPr="0072192C" w:rsidRDefault="00B259A8" w:rsidP="00F16E23">
            <w:pPr>
              <w:pStyle w:val="TableText"/>
              <w:spacing w:before="40" w:after="40"/>
            </w:pPr>
            <w:r w:rsidRPr="0072192C">
              <w:rPr>
                <w:rFonts w:eastAsia="Calibri"/>
              </w:rPr>
              <w:t>Table 6.11, section 6.3.3, IPCC, 2006d</w:t>
            </w:r>
          </w:p>
        </w:tc>
      </w:tr>
      <w:tr w:rsidR="00B259A8" w:rsidRPr="0072192C" w14:paraId="060F218F" w14:textId="77777777" w:rsidTr="00F16E23">
        <w:tc>
          <w:tcPr>
            <w:tcW w:w="3353" w:type="dxa"/>
            <w:shd w:val="clear" w:color="auto" w:fill="FFFFFF"/>
            <w:tcMar>
              <w:top w:w="0" w:type="dxa"/>
              <w:left w:w="85" w:type="dxa"/>
              <w:bottom w:w="0" w:type="dxa"/>
              <w:right w:w="85" w:type="dxa"/>
            </w:tcMar>
          </w:tcPr>
          <w:p w14:paraId="03B6DAD6" w14:textId="77777777" w:rsidR="00B259A8" w:rsidRPr="0072192C" w:rsidRDefault="00B259A8" w:rsidP="00F16E23">
            <w:pPr>
              <w:pStyle w:val="TableText"/>
              <w:spacing w:before="40" w:after="40"/>
            </w:pPr>
            <w:r w:rsidRPr="0072192C">
              <w:rPr>
                <w:rFonts w:eastAsia="Calibri"/>
              </w:rPr>
              <w:t>Nitrogen removed with sludge (kg)</w:t>
            </w:r>
          </w:p>
        </w:tc>
        <w:tc>
          <w:tcPr>
            <w:tcW w:w="616" w:type="dxa"/>
            <w:shd w:val="clear" w:color="auto" w:fill="FFFFFF"/>
            <w:tcMar>
              <w:top w:w="0" w:type="dxa"/>
              <w:left w:w="85" w:type="dxa"/>
              <w:bottom w:w="0" w:type="dxa"/>
              <w:right w:w="85" w:type="dxa"/>
            </w:tcMar>
          </w:tcPr>
          <w:p w14:paraId="18F603BC" w14:textId="77777777" w:rsidR="00B259A8" w:rsidRPr="0072192C" w:rsidRDefault="00B259A8" w:rsidP="00F16E23">
            <w:pPr>
              <w:pStyle w:val="TableText"/>
              <w:spacing w:before="40" w:after="40"/>
            </w:pPr>
            <w:r w:rsidRPr="0072192C">
              <w:rPr>
                <w:rFonts w:eastAsia="Calibri"/>
              </w:rPr>
              <w:t>0.000</w:t>
            </w:r>
          </w:p>
        </w:tc>
        <w:tc>
          <w:tcPr>
            <w:tcW w:w="1843" w:type="dxa"/>
            <w:shd w:val="clear" w:color="auto" w:fill="FFFFFF"/>
            <w:tcMar>
              <w:top w:w="0" w:type="dxa"/>
              <w:left w:w="85" w:type="dxa"/>
              <w:bottom w:w="0" w:type="dxa"/>
              <w:right w:w="85" w:type="dxa"/>
            </w:tcMar>
          </w:tcPr>
          <w:p w14:paraId="30F9FB6B" w14:textId="77777777" w:rsidR="00B259A8" w:rsidRPr="0072192C" w:rsidRDefault="00B259A8" w:rsidP="00F16E23">
            <w:pPr>
              <w:pStyle w:val="TableText"/>
              <w:spacing w:before="40" w:after="40"/>
            </w:pPr>
            <w:r w:rsidRPr="0072192C">
              <w:rPr>
                <w:rFonts w:eastAsia="Calibri"/>
              </w:rPr>
              <w:t>IPCC default</w:t>
            </w:r>
          </w:p>
        </w:tc>
        <w:tc>
          <w:tcPr>
            <w:tcW w:w="2682" w:type="dxa"/>
            <w:shd w:val="clear" w:color="auto" w:fill="FFFFFF"/>
            <w:tcMar>
              <w:top w:w="0" w:type="dxa"/>
              <w:left w:w="85" w:type="dxa"/>
              <w:bottom w:w="0" w:type="dxa"/>
              <w:right w:w="85" w:type="dxa"/>
            </w:tcMar>
          </w:tcPr>
          <w:p w14:paraId="012F1396" w14:textId="77777777" w:rsidR="00B259A8" w:rsidRPr="0072192C" w:rsidRDefault="00B259A8" w:rsidP="00F16E23">
            <w:pPr>
              <w:pStyle w:val="TableText"/>
              <w:spacing w:before="40" w:after="40"/>
            </w:pPr>
            <w:r w:rsidRPr="0072192C">
              <w:rPr>
                <w:rFonts w:eastAsia="Calibri"/>
              </w:rPr>
              <w:t>Section 6.3.1.3, p 6.25, IPCC, 2006d</w:t>
            </w:r>
          </w:p>
        </w:tc>
      </w:tr>
      <w:tr w:rsidR="00B259A8" w:rsidRPr="0072192C" w14:paraId="21561FA2" w14:textId="77777777" w:rsidTr="00F16E23">
        <w:tc>
          <w:tcPr>
            <w:tcW w:w="3353" w:type="dxa"/>
            <w:shd w:val="clear" w:color="auto" w:fill="FFFFFF"/>
            <w:tcMar>
              <w:top w:w="0" w:type="dxa"/>
              <w:left w:w="85" w:type="dxa"/>
              <w:bottom w:w="0" w:type="dxa"/>
              <w:right w:w="85" w:type="dxa"/>
            </w:tcMar>
          </w:tcPr>
          <w:p w14:paraId="0D872A0B" w14:textId="77777777" w:rsidR="00B259A8" w:rsidRPr="0072192C" w:rsidRDefault="00B259A8" w:rsidP="00F16E23">
            <w:pPr>
              <w:pStyle w:val="TableText"/>
              <w:spacing w:before="40" w:after="40"/>
            </w:pPr>
            <w:r w:rsidRPr="0072192C">
              <w:rPr>
                <w:rFonts w:eastAsia="Calibri"/>
              </w:rPr>
              <w:t>Emission factor</w:t>
            </w:r>
          </w:p>
        </w:tc>
        <w:tc>
          <w:tcPr>
            <w:tcW w:w="616" w:type="dxa"/>
            <w:shd w:val="clear" w:color="auto" w:fill="FFFFFF"/>
            <w:tcMar>
              <w:top w:w="0" w:type="dxa"/>
              <w:left w:w="85" w:type="dxa"/>
              <w:bottom w:w="0" w:type="dxa"/>
              <w:right w:w="85" w:type="dxa"/>
            </w:tcMar>
          </w:tcPr>
          <w:p w14:paraId="1564A4B9" w14:textId="77777777" w:rsidR="00B259A8" w:rsidRPr="0072192C" w:rsidRDefault="00B259A8" w:rsidP="00F16E23">
            <w:pPr>
              <w:pStyle w:val="TableText"/>
              <w:spacing w:before="40" w:after="40"/>
            </w:pPr>
            <w:r w:rsidRPr="0072192C">
              <w:rPr>
                <w:rFonts w:eastAsia="Calibri"/>
              </w:rPr>
              <w:t>0.005</w:t>
            </w:r>
          </w:p>
        </w:tc>
        <w:tc>
          <w:tcPr>
            <w:tcW w:w="1843" w:type="dxa"/>
            <w:shd w:val="clear" w:color="auto" w:fill="FFFFFF"/>
            <w:tcMar>
              <w:top w:w="0" w:type="dxa"/>
              <w:left w:w="85" w:type="dxa"/>
              <w:bottom w:w="0" w:type="dxa"/>
              <w:right w:w="85" w:type="dxa"/>
            </w:tcMar>
          </w:tcPr>
          <w:p w14:paraId="511014AB" w14:textId="77777777" w:rsidR="00B259A8" w:rsidRPr="0072192C" w:rsidRDefault="00B259A8" w:rsidP="00F16E23">
            <w:pPr>
              <w:pStyle w:val="TableText"/>
              <w:spacing w:before="40" w:after="40"/>
            </w:pPr>
            <w:r w:rsidRPr="0072192C">
              <w:rPr>
                <w:rFonts w:eastAsia="Calibri"/>
              </w:rPr>
              <w:t>IPCC default</w:t>
            </w:r>
          </w:p>
        </w:tc>
        <w:tc>
          <w:tcPr>
            <w:tcW w:w="2682" w:type="dxa"/>
            <w:shd w:val="clear" w:color="auto" w:fill="FFFFFF"/>
            <w:tcMar>
              <w:top w:w="0" w:type="dxa"/>
              <w:left w:w="85" w:type="dxa"/>
              <w:bottom w:w="0" w:type="dxa"/>
              <w:right w:w="85" w:type="dxa"/>
            </w:tcMar>
          </w:tcPr>
          <w:p w14:paraId="70F5D0BF" w14:textId="77777777" w:rsidR="00B259A8" w:rsidRPr="0072192C" w:rsidRDefault="00B259A8" w:rsidP="00F16E23">
            <w:pPr>
              <w:pStyle w:val="TableText"/>
              <w:spacing w:before="40" w:after="40"/>
            </w:pPr>
            <w:r w:rsidRPr="0072192C">
              <w:rPr>
                <w:rFonts w:eastAsia="Calibri"/>
              </w:rPr>
              <w:t>Table 6.11, section 6.3.3, IPCC, 2006d</w:t>
            </w:r>
          </w:p>
        </w:tc>
      </w:tr>
      <w:tr w:rsidR="00B259A8" w:rsidRPr="0072192C" w14:paraId="06F213EE" w14:textId="77777777" w:rsidTr="00F16E23">
        <w:tc>
          <w:tcPr>
            <w:tcW w:w="3353" w:type="dxa"/>
            <w:shd w:val="clear" w:color="auto" w:fill="FFFFFF"/>
            <w:tcMar>
              <w:top w:w="0" w:type="dxa"/>
              <w:left w:w="85" w:type="dxa"/>
              <w:bottom w:w="0" w:type="dxa"/>
              <w:right w:w="85" w:type="dxa"/>
            </w:tcMar>
          </w:tcPr>
          <w:p w14:paraId="0008413A" w14:textId="77777777" w:rsidR="00B259A8" w:rsidRPr="0072192C" w:rsidRDefault="00B259A8" w:rsidP="00F16E23">
            <w:pPr>
              <w:pStyle w:val="TableText"/>
              <w:spacing w:before="40" w:after="40"/>
            </w:pPr>
            <w:r w:rsidRPr="0072192C">
              <w:rPr>
                <w:rFonts w:eastAsia="Calibri"/>
              </w:rPr>
              <w:t>Emissions from wastewater treatment plants</w:t>
            </w:r>
          </w:p>
        </w:tc>
        <w:tc>
          <w:tcPr>
            <w:tcW w:w="616" w:type="dxa"/>
            <w:shd w:val="clear" w:color="auto" w:fill="FFFFFF"/>
            <w:tcMar>
              <w:top w:w="0" w:type="dxa"/>
              <w:left w:w="85" w:type="dxa"/>
              <w:bottom w:w="0" w:type="dxa"/>
              <w:right w:w="85" w:type="dxa"/>
            </w:tcMar>
          </w:tcPr>
          <w:p w14:paraId="57BB0A76" w14:textId="77777777" w:rsidR="00B259A8" w:rsidRPr="0072192C" w:rsidRDefault="00B259A8" w:rsidP="00F16E23">
            <w:pPr>
              <w:pStyle w:val="TableText"/>
              <w:spacing w:before="40" w:after="40"/>
            </w:pPr>
            <w:r w:rsidRPr="0072192C">
              <w:rPr>
                <w:rFonts w:eastAsia="Calibri"/>
              </w:rPr>
              <w:t>0.000</w:t>
            </w:r>
          </w:p>
        </w:tc>
        <w:tc>
          <w:tcPr>
            <w:tcW w:w="1843" w:type="dxa"/>
            <w:shd w:val="clear" w:color="auto" w:fill="FFFFFF"/>
            <w:tcMar>
              <w:top w:w="0" w:type="dxa"/>
              <w:left w:w="85" w:type="dxa"/>
              <w:bottom w:w="0" w:type="dxa"/>
              <w:right w:w="85" w:type="dxa"/>
            </w:tcMar>
          </w:tcPr>
          <w:p w14:paraId="3D8D3A25" w14:textId="77777777" w:rsidR="00B259A8" w:rsidRPr="0072192C" w:rsidRDefault="00B259A8" w:rsidP="00F16E23">
            <w:pPr>
              <w:pStyle w:val="TableText"/>
              <w:spacing w:before="40" w:after="40"/>
            </w:pPr>
            <w:r w:rsidRPr="0072192C">
              <w:rPr>
                <w:rFonts w:eastAsia="Calibri"/>
              </w:rPr>
              <w:t>IPCC default</w:t>
            </w:r>
          </w:p>
        </w:tc>
        <w:tc>
          <w:tcPr>
            <w:tcW w:w="2682" w:type="dxa"/>
            <w:shd w:val="clear" w:color="auto" w:fill="FFFFFF"/>
            <w:tcMar>
              <w:top w:w="0" w:type="dxa"/>
              <w:left w:w="85" w:type="dxa"/>
              <w:bottom w:w="0" w:type="dxa"/>
              <w:right w:w="85" w:type="dxa"/>
            </w:tcMar>
          </w:tcPr>
          <w:p w14:paraId="6DFC666B" w14:textId="77777777" w:rsidR="00B259A8" w:rsidRPr="0072192C" w:rsidRDefault="00B259A8" w:rsidP="00F16E23">
            <w:pPr>
              <w:pStyle w:val="TableText"/>
              <w:spacing w:before="40" w:after="40"/>
            </w:pPr>
            <w:r w:rsidRPr="0072192C">
              <w:rPr>
                <w:rFonts w:eastAsia="Calibri"/>
              </w:rPr>
              <w:t>IPCC (2006d)</w:t>
            </w:r>
          </w:p>
        </w:tc>
      </w:tr>
    </w:tbl>
    <w:p w14:paraId="0FF34B16" w14:textId="77777777" w:rsidR="00B259A8" w:rsidRPr="0072192C" w:rsidRDefault="00B259A8" w:rsidP="00B259A8">
      <w:pPr>
        <w:pStyle w:val="Heading3"/>
        <w:tabs>
          <w:tab w:val="clear" w:pos="851"/>
          <w:tab w:val="left" w:pos="964"/>
        </w:tabs>
        <w:spacing w:before="440"/>
      </w:pPr>
      <w:bookmarkStart w:id="3317" w:name="Xeba052d9656bd3eb65d5521d67974031298e87d"/>
      <w:bookmarkEnd w:id="3311"/>
      <w:bookmarkEnd w:id="3314"/>
      <w:r w:rsidRPr="0072192C">
        <w:t>8.15.3</w:t>
      </w:r>
      <w:r w:rsidRPr="0072192C">
        <w:tab/>
        <w:t>Uncertainty assessment and time-series consistency</w:t>
      </w:r>
    </w:p>
    <w:p w14:paraId="03943242" w14:textId="77777777" w:rsidR="00B259A8" w:rsidRPr="0072192C" w:rsidRDefault="00B259A8" w:rsidP="00B259A8">
      <w:pPr>
        <w:pStyle w:val="BodyText"/>
      </w:pPr>
      <w:r w:rsidRPr="0072192C">
        <w:t xml:space="preserve">The same uncertainty data for </w:t>
      </w:r>
      <w:r w:rsidRPr="0072192C">
        <w:rPr>
          <w:i/>
          <w:iCs/>
        </w:rPr>
        <w:t>Domestic wastewater</w:t>
      </w:r>
      <w:r w:rsidRPr="0072192C">
        <w:t xml:space="preserve"> were used for Tokelau and New Zealand (see table 7.5.16, chapter 7, for methodological notes, and refer to uncertainties in emissions from </w:t>
      </w:r>
      <w:r w:rsidRPr="0072192C">
        <w:rPr>
          <w:i/>
          <w:iCs/>
        </w:rPr>
        <w:t>Domestic wastewater</w:t>
      </w:r>
      <w:r w:rsidRPr="0072192C">
        <w:t xml:space="preserve"> in section 7.5.3, chapter 7). Table 8.15.3 shows uncertainties for activity data and emission factors used by Tokelau for </w:t>
      </w:r>
      <w:r w:rsidRPr="0072192C">
        <w:rPr>
          <w:i/>
          <w:iCs/>
        </w:rPr>
        <w:t>Domestic wastewater</w:t>
      </w:r>
      <w:r w:rsidRPr="0072192C">
        <w:t>.</w:t>
      </w:r>
    </w:p>
    <w:p w14:paraId="6758C858" w14:textId="77777777" w:rsidR="00B259A8" w:rsidRPr="0072192C" w:rsidRDefault="00B259A8" w:rsidP="00B259A8">
      <w:pPr>
        <w:pStyle w:val="Table"/>
      </w:pPr>
      <w:bookmarkStart w:id="3318" w:name="_Toc225424331"/>
      <w:bookmarkStart w:id="3319" w:name="_Toc226669154"/>
      <w:r w:rsidRPr="0072192C">
        <w:t>Table 8.15.3</w:t>
      </w:r>
      <w:r w:rsidRPr="0072192C">
        <w:tab/>
        <w:t xml:space="preserve">Uncertainty in emissions from </w:t>
      </w:r>
      <w:r w:rsidRPr="0072192C">
        <w:rPr>
          <w:i/>
          <w:iCs/>
        </w:rPr>
        <w:t>Domestic wastewater</w:t>
      </w:r>
      <w:bookmarkEnd w:id="3318"/>
      <w:bookmarkEnd w:id="331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39"/>
        <w:gridCol w:w="2482"/>
        <w:gridCol w:w="2773"/>
      </w:tblGrid>
      <w:tr w:rsidR="00B259A8" w:rsidRPr="0072192C" w14:paraId="5FED5059" w14:textId="77777777" w:rsidTr="00F16E23">
        <w:trPr>
          <w:tblHeader/>
        </w:trPr>
        <w:tc>
          <w:tcPr>
            <w:tcW w:w="0" w:type="auto"/>
            <w:shd w:val="clear" w:color="auto" w:fill="1B556B"/>
            <w:tcMar>
              <w:top w:w="0" w:type="dxa"/>
              <w:left w:w="85" w:type="dxa"/>
              <w:bottom w:w="0" w:type="dxa"/>
              <w:right w:w="85" w:type="dxa"/>
            </w:tcMar>
            <w:vAlign w:val="center"/>
          </w:tcPr>
          <w:p w14:paraId="540AC4EA" w14:textId="77777777" w:rsidR="00B259A8" w:rsidRPr="0072192C" w:rsidRDefault="00B259A8" w:rsidP="00F16E23">
            <w:pPr>
              <w:pStyle w:val="TableTextBold"/>
              <w:spacing w:before="40" w:after="40"/>
              <w:rPr>
                <w:noProof w:val="0"/>
                <w:color w:val="FFFFFF" w:themeColor="background1"/>
              </w:rPr>
            </w:pPr>
            <w:r w:rsidRPr="0072192C">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3C3122E5"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44147585" w14:textId="77777777" w:rsidR="00B259A8" w:rsidRPr="0072192C" w:rsidRDefault="00B259A8" w:rsidP="00F16E23">
            <w:pPr>
              <w:pStyle w:val="TableTextBold"/>
              <w:spacing w:before="40" w:after="40"/>
              <w:jc w:val="right"/>
              <w:rPr>
                <w:noProof w:val="0"/>
                <w:color w:val="FFFFFF" w:themeColor="background1"/>
              </w:rPr>
            </w:pPr>
            <w:r w:rsidRPr="0072192C">
              <w:rPr>
                <w:rFonts w:eastAsia="Calibri"/>
                <w:noProof w:val="0"/>
                <w:color w:val="FFFFFF" w:themeColor="background1"/>
              </w:rPr>
              <w:t>Uncertainty in emission factors (%)</w:t>
            </w:r>
          </w:p>
        </w:tc>
      </w:tr>
      <w:tr w:rsidR="00B259A8" w:rsidRPr="0072192C" w14:paraId="5ECCE3C7" w14:textId="77777777" w:rsidTr="00F16E23">
        <w:tc>
          <w:tcPr>
            <w:tcW w:w="0" w:type="auto"/>
            <w:shd w:val="clear" w:color="auto" w:fill="FFFFFF"/>
            <w:tcMar>
              <w:top w:w="0" w:type="dxa"/>
              <w:left w:w="85" w:type="dxa"/>
              <w:bottom w:w="0" w:type="dxa"/>
              <w:right w:w="85" w:type="dxa"/>
            </w:tcMar>
            <w:vAlign w:val="center"/>
          </w:tcPr>
          <w:p w14:paraId="2E3048CA" w14:textId="77777777" w:rsidR="00B259A8" w:rsidRPr="0072192C" w:rsidRDefault="00B259A8" w:rsidP="00F16E23">
            <w:pPr>
              <w:pStyle w:val="TableText"/>
              <w:spacing w:before="40" w:after="40"/>
            </w:pPr>
            <w:r w:rsidRPr="0072192C">
              <w:rPr>
                <w:rFonts w:eastAsia="Calibri"/>
              </w:rPr>
              <w:t>Domestic and industrial wastewater (CH₄)</w:t>
            </w:r>
          </w:p>
        </w:tc>
        <w:tc>
          <w:tcPr>
            <w:tcW w:w="0" w:type="auto"/>
            <w:shd w:val="clear" w:color="auto" w:fill="FFFFFF"/>
            <w:tcMar>
              <w:top w:w="0" w:type="dxa"/>
              <w:left w:w="85" w:type="dxa"/>
              <w:bottom w:w="0" w:type="dxa"/>
              <w:right w:w="85" w:type="dxa"/>
            </w:tcMar>
            <w:vAlign w:val="center"/>
          </w:tcPr>
          <w:p w14:paraId="0D653ACA" w14:textId="77777777" w:rsidR="00B259A8" w:rsidRPr="0072192C" w:rsidRDefault="00B259A8" w:rsidP="00F16E23">
            <w:pPr>
              <w:pStyle w:val="TableText"/>
              <w:spacing w:before="40" w:after="40"/>
              <w:jc w:val="right"/>
            </w:pPr>
            <w:r w:rsidRPr="0072192C">
              <w:rPr>
                <w:rFonts w:eastAsia="Calibri"/>
              </w:rPr>
              <w:t>±10</w:t>
            </w:r>
          </w:p>
        </w:tc>
        <w:tc>
          <w:tcPr>
            <w:tcW w:w="0" w:type="auto"/>
            <w:shd w:val="clear" w:color="auto" w:fill="FFFFFF"/>
            <w:tcMar>
              <w:top w:w="0" w:type="dxa"/>
              <w:left w:w="85" w:type="dxa"/>
              <w:bottom w:w="0" w:type="dxa"/>
              <w:right w:w="85" w:type="dxa"/>
            </w:tcMar>
            <w:vAlign w:val="center"/>
          </w:tcPr>
          <w:p w14:paraId="7F8CFCD8" w14:textId="77777777" w:rsidR="00B259A8" w:rsidRPr="0072192C" w:rsidRDefault="00B259A8" w:rsidP="00F16E23">
            <w:pPr>
              <w:pStyle w:val="TableText"/>
              <w:spacing w:before="40" w:after="40"/>
              <w:jc w:val="right"/>
            </w:pPr>
            <w:r w:rsidRPr="0072192C">
              <w:rPr>
                <w:rFonts w:eastAsia="Calibri"/>
              </w:rPr>
              <w:t>±40</w:t>
            </w:r>
          </w:p>
        </w:tc>
      </w:tr>
      <w:tr w:rsidR="00B259A8" w:rsidRPr="0072192C" w14:paraId="650FC31D" w14:textId="77777777" w:rsidTr="00F16E23">
        <w:tc>
          <w:tcPr>
            <w:tcW w:w="0" w:type="auto"/>
            <w:shd w:val="clear" w:color="auto" w:fill="FFFFFF"/>
            <w:tcMar>
              <w:top w:w="0" w:type="dxa"/>
              <w:left w:w="85" w:type="dxa"/>
              <w:bottom w:w="0" w:type="dxa"/>
              <w:right w:w="85" w:type="dxa"/>
            </w:tcMar>
            <w:vAlign w:val="center"/>
          </w:tcPr>
          <w:p w14:paraId="754B2620" w14:textId="77777777" w:rsidR="00B259A8" w:rsidRPr="0072192C" w:rsidRDefault="00B259A8" w:rsidP="00F16E23">
            <w:pPr>
              <w:pStyle w:val="TableText"/>
              <w:spacing w:before="40" w:after="40"/>
            </w:pPr>
            <w:r w:rsidRPr="0072192C">
              <w:rPr>
                <w:rFonts w:eastAsia="Calibri"/>
              </w:rPr>
              <w:t>Domestic and industrial wastewater (N₂O)</w:t>
            </w:r>
          </w:p>
        </w:tc>
        <w:tc>
          <w:tcPr>
            <w:tcW w:w="0" w:type="auto"/>
            <w:shd w:val="clear" w:color="auto" w:fill="FFFFFF"/>
            <w:tcMar>
              <w:top w:w="0" w:type="dxa"/>
              <w:left w:w="85" w:type="dxa"/>
              <w:bottom w:w="0" w:type="dxa"/>
              <w:right w:w="85" w:type="dxa"/>
            </w:tcMar>
            <w:vAlign w:val="center"/>
          </w:tcPr>
          <w:p w14:paraId="5F029BD9" w14:textId="77777777" w:rsidR="00B259A8" w:rsidRPr="0072192C" w:rsidRDefault="00B259A8" w:rsidP="00F16E23">
            <w:pPr>
              <w:pStyle w:val="TableText"/>
              <w:spacing w:before="40" w:after="40"/>
              <w:jc w:val="right"/>
            </w:pPr>
            <w:r w:rsidRPr="0072192C">
              <w:rPr>
                <w:rFonts w:eastAsia="Calibri"/>
              </w:rPr>
              <w:t>±10</w:t>
            </w:r>
          </w:p>
        </w:tc>
        <w:tc>
          <w:tcPr>
            <w:tcW w:w="0" w:type="auto"/>
            <w:shd w:val="clear" w:color="auto" w:fill="FFFFFF"/>
            <w:tcMar>
              <w:top w:w="0" w:type="dxa"/>
              <w:left w:w="85" w:type="dxa"/>
              <w:bottom w:w="0" w:type="dxa"/>
              <w:right w:w="85" w:type="dxa"/>
            </w:tcMar>
            <w:vAlign w:val="center"/>
          </w:tcPr>
          <w:p w14:paraId="0221C85A" w14:textId="77777777" w:rsidR="00B259A8" w:rsidRPr="0072192C" w:rsidRDefault="00B259A8" w:rsidP="00F16E23">
            <w:pPr>
              <w:pStyle w:val="TableText"/>
              <w:spacing w:before="40" w:after="40"/>
              <w:jc w:val="right"/>
            </w:pPr>
            <w:r w:rsidRPr="0072192C">
              <w:rPr>
                <w:rFonts w:eastAsia="Calibri"/>
              </w:rPr>
              <w:t>±90</w:t>
            </w:r>
          </w:p>
        </w:tc>
      </w:tr>
    </w:tbl>
    <w:p w14:paraId="28BD2600" w14:textId="77777777" w:rsidR="00B259A8" w:rsidRPr="0072192C" w:rsidRDefault="00B259A8" w:rsidP="00B259A8">
      <w:pPr>
        <w:pStyle w:val="BodyText"/>
        <w:spacing w:before="240"/>
      </w:pPr>
      <w:r w:rsidRPr="0072192C">
        <w:t>Time-series consistency is maintained by interpolating the population data and the use of open-water toilets in between census years (which are generally five years apart).</w:t>
      </w:r>
    </w:p>
    <w:p w14:paraId="7B679F25" w14:textId="77777777" w:rsidR="00B259A8" w:rsidRPr="0072192C" w:rsidRDefault="00B259A8" w:rsidP="00B259A8">
      <w:pPr>
        <w:pStyle w:val="Heading3"/>
        <w:tabs>
          <w:tab w:val="clear" w:pos="851"/>
          <w:tab w:val="left" w:pos="964"/>
        </w:tabs>
      </w:pPr>
      <w:bookmarkStart w:id="3320" w:name="Xfde77fe021db7c2b1b1e9d23147a0038844b916"/>
      <w:bookmarkEnd w:id="3317"/>
      <w:r w:rsidRPr="0072192C">
        <w:t>8.15.4</w:t>
      </w:r>
      <w:r w:rsidRPr="0072192C">
        <w:tab/>
        <w:t>Category-specific QA/QC and verification</w:t>
      </w:r>
    </w:p>
    <w:p w14:paraId="515143C7" w14:textId="77777777" w:rsidR="00B259A8" w:rsidRPr="0072192C" w:rsidRDefault="00B259A8" w:rsidP="00B259A8">
      <w:pPr>
        <w:pStyle w:val="BodyText"/>
      </w:pPr>
      <w:r w:rsidRPr="0072192C">
        <w:t>Quality control of the activity data and calculations was applied to each category for Tokelau. No verification was possible because no alternative data were available.</w:t>
      </w:r>
    </w:p>
    <w:p w14:paraId="35A21484" w14:textId="77777777" w:rsidR="00B259A8" w:rsidRPr="0072192C" w:rsidRDefault="00B259A8" w:rsidP="00B259A8">
      <w:pPr>
        <w:pStyle w:val="Heading3"/>
        <w:tabs>
          <w:tab w:val="clear" w:pos="851"/>
          <w:tab w:val="left" w:pos="964"/>
        </w:tabs>
      </w:pPr>
      <w:bookmarkStart w:id="3321" w:name="category-specific-recalculations-9"/>
      <w:bookmarkEnd w:id="3320"/>
      <w:r w:rsidRPr="0072192C">
        <w:t>8.15.5</w:t>
      </w:r>
      <w:r w:rsidRPr="0072192C">
        <w:tab/>
        <w:t>Category-specific recalculations</w:t>
      </w:r>
    </w:p>
    <w:p w14:paraId="25F9E306" w14:textId="77777777" w:rsidR="00B259A8" w:rsidRPr="0072192C" w:rsidRDefault="00B259A8" w:rsidP="00B259A8">
      <w:pPr>
        <w:pStyle w:val="BodyText"/>
      </w:pPr>
      <w:r w:rsidRPr="0072192C">
        <w:t xml:space="preserve">There were no changes to estimates for the </w:t>
      </w:r>
      <w:r w:rsidRPr="0072192C">
        <w:rPr>
          <w:i/>
          <w:iCs/>
        </w:rPr>
        <w:t>Domestic wastewater</w:t>
      </w:r>
      <w:r w:rsidRPr="0072192C">
        <w:t xml:space="preserve"> category.</w:t>
      </w:r>
    </w:p>
    <w:p w14:paraId="7E871333" w14:textId="77777777" w:rsidR="00B259A8" w:rsidRPr="0072192C" w:rsidRDefault="00B259A8" w:rsidP="00B259A8">
      <w:pPr>
        <w:pStyle w:val="Heading3"/>
        <w:tabs>
          <w:tab w:val="clear" w:pos="851"/>
          <w:tab w:val="left" w:pos="964"/>
        </w:tabs>
      </w:pPr>
      <w:bookmarkStart w:id="3322" w:name="category-specific-planned-improvements-9"/>
      <w:bookmarkEnd w:id="3321"/>
      <w:r w:rsidRPr="0072192C">
        <w:t>8.15.6</w:t>
      </w:r>
      <w:r w:rsidRPr="0072192C">
        <w:tab/>
        <w:t>Category-specific planned improvements</w:t>
      </w:r>
    </w:p>
    <w:p w14:paraId="1EF88A4F" w14:textId="77777777" w:rsidR="00B259A8" w:rsidRPr="0072192C" w:rsidRDefault="00B259A8" w:rsidP="00B259A8">
      <w:pPr>
        <w:pStyle w:val="BodyText"/>
      </w:pPr>
      <w:r w:rsidRPr="0072192C">
        <w:t>No improvements are planned for the next inventory submission.</w:t>
      </w:r>
    </w:p>
    <w:p w14:paraId="3FDEB910" w14:textId="77777777" w:rsidR="00B259A8" w:rsidRPr="0072192C" w:rsidRDefault="00B259A8" w:rsidP="00B259A8">
      <w:pPr>
        <w:pStyle w:val="BodyText"/>
      </w:pPr>
      <w:bookmarkStart w:id="3323" w:name="chapter-8-references"/>
      <w:bookmarkEnd w:id="3309"/>
      <w:bookmarkEnd w:id="3322"/>
      <w:r w:rsidRPr="0072192C">
        <w:br w:type="page"/>
      </w:r>
    </w:p>
    <w:p w14:paraId="5E6E75C6" w14:textId="77777777" w:rsidR="00B259A8" w:rsidRPr="0072192C" w:rsidRDefault="00B259A8" w:rsidP="00B259A8">
      <w:pPr>
        <w:pStyle w:val="Heading2"/>
        <w:spacing w:after="360"/>
      </w:pPr>
      <w:bookmarkStart w:id="3324" w:name="_Toc226460816"/>
      <w:r w:rsidRPr="0072192C">
        <w:t>Chapter 8: References</w:t>
      </w:r>
      <w:bookmarkEnd w:id="3324"/>
    </w:p>
    <w:p w14:paraId="4EA91A66" w14:textId="77777777" w:rsidR="00B259A8" w:rsidRPr="0072192C" w:rsidRDefault="00B259A8" w:rsidP="00B259A8">
      <w:pPr>
        <w:pStyle w:val="References"/>
      </w:pPr>
      <w:r w:rsidRPr="0072192C">
        <w:t xml:space="preserve">Government of Tokelau. 2017. </w:t>
      </w:r>
      <w:hyperlink r:id="rId267" w:history="1">
        <w:r w:rsidRPr="0072192C">
          <w:rPr>
            <w:rStyle w:val="Hyperlink"/>
            <w:i/>
            <w:iCs/>
          </w:rPr>
          <w:t>Solid Waste Management: MOU Signed between Tokelau EDNRE and Pacific Recycle Co. Ltd</w:t>
        </w:r>
      </w:hyperlink>
      <w:r w:rsidRPr="0072192C">
        <w:t>. Retrieved 9 March 2018.</w:t>
      </w:r>
    </w:p>
    <w:p w14:paraId="4866A35B" w14:textId="77777777" w:rsidR="00B259A8" w:rsidRPr="0072192C" w:rsidRDefault="00B259A8" w:rsidP="00B259A8">
      <w:pPr>
        <w:pStyle w:val="References"/>
      </w:pPr>
      <w:r w:rsidRPr="0072192C">
        <w:t xml:space="preserve">IPCC. 2006a. Eggleston HS, Buendia L, Miwa K, Ngara T, Tanabe K (eds). </w:t>
      </w:r>
      <w:r w:rsidRPr="0072192C">
        <w:rPr>
          <w:i/>
          <w:iCs/>
        </w:rPr>
        <w:t>2006 IPCC Guidelines for National Greenhouse Gas Inventories</w:t>
      </w:r>
      <w:r w:rsidRPr="0072192C">
        <w:t xml:space="preserve">. </w:t>
      </w:r>
      <w:r w:rsidRPr="0072192C">
        <w:rPr>
          <w:i/>
          <w:iCs/>
        </w:rPr>
        <w:t>Volume 2. Energy</w:t>
      </w:r>
      <w:r w:rsidRPr="0072192C">
        <w:t>. IPCC National Greenhouse Gas Inventories Programme. Japan: Institute for Global Environmental Strategies for IPCC.</w:t>
      </w:r>
    </w:p>
    <w:p w14:paraId="2495ADE8" w14:textId="77777777" w:rsidR="00B259A8" w:rsidRPr="0072192C" w:rsidRDefault="00B259A8" w:rsidP="00B259A8">
      <w:pPr>
        <w:pStyle w:val="References"/>
      </w:pPr>
      <w:r w:rsidRPr="0072192C">
        <w:t xml:space="preserve">IPCC. 2006b. Eggleston HS, Buendia L, Miwa K, Ngara T, Tanabe K (eds). </w:t>
      </w:r>
      <w:r w:rsidRPr="0072192C">
        <w:rPr>
          <w:i/>
          <w:iCs/>
        </w:rPr>
        <w:t>2006 IPCC Guidelines for National Greenhouse Gas Inventories</w:t>
      </w:r>
      <w:r w:rsidRPr="0072192C">
        <w:t xml:space="preserve">. </w:t>
      </w:r>
      <w:r w:rsidRPr="0072192C">
        <w:rPr>
          <w:i/>
          <w:iCs/>
        </w:rPr>
        <w:t>Volume 3. Industrial Processes and Product Use</w:t>
      </w:r>
      <w:r w:rsidRPr="0072192C">
        <w:t>. IPCC National Greenhouse Gas Inventories Programme. Japan: Published for the IPCC by the Institute for Global Environmental Strategies.</w:t>
      </w:r>
    </w:p>
    <w:p w14:paraId="1D3D5A93" w14:textId="77777777" w:rsidR="00B259A8" w:rsidRPr="0072192C" w:rsidRDefault="00B259A8" w:rsidP="00B259A8">
      <w:pPr>
        <w:pStyle w:val="References"/>
      </w:pPr>
      <w:r w:rsidRPr="0072192C">
        <w:rPr>
          <w:spacing w:val="-2"/>
        </w:rPr>
        <w:t xml:space="preserve">IPCC. 2006c. Eggleston HS, Buendia L, Miwa K, Ngara T, Tanabe K (eds). </w:t>
      </w:r>
      <w:r w:rsidRPr="0072192C">
        <w:rPr>
          <w:i/>
          <w:iCs/>
          <w:spacing w:val="-2"/>
        </w:rPr>
        <w:t>2006 IPCC Guidelines for National</w:t>
      </w:r>
      <w:r w:rsidRPr="0072192C">
        <w:rPr>
          <w:i/>
          <w:iCs/>
        </w:rPr>
        <w:t xml:space="preserve"> Greenhouse Gas Inventories</w:t>
      </w:r>
      <w:r w:rsidRPr="0072192C">
        <w:t xml:space="preserve">. </w:t>
      </w:r>
      <w:r w:rsidRPr="0072192C">
        <w:rPr>
          <w:i/>
          <w:iCs/>
        </w:rPr>
        <w:t>Volume 4. Agriculture, Forestry and Other Land Use</w:t>
      </w:r>
      <w:r w:rsidRPr="0072192C">
        <w:t>. IPCC National Greenhouse Gas Inventories Programme. Japan: Published for the IPCC by the Institute for Global Environmental Strategies.</w:t>
      </w:r>
    </w:p>
    <w:p w14:paraId="55C88335" w14:textId="77777777" w:rsidR="00B259A8" w:rsidRPr="0072192C" w:rsidRDefault="00B259A8" w:rsidP="00B259A8">
      <w:pPr>
        <w:pStyle w:val="References"/>
      </w:pPr>
      <w:r w:rsidRPr="0072192C">
        <w:t xml:space="preserve">IPCC. 2006d. Eggleston HS, Buendia L, Miwa K, Ngara T, Tanabe K (eds). </w:t>
      </w:r>
      <w:r w:rsidRPr="0072192C">
        <w:rPr>
          <w:i/>
          <w:iCs/>
        </w:rPr>
        <w:t>2006 IPCC Guidelines for National Greenhouse Gas Inventories</w:t>
      </w:r>
      <w:r w:rsidRPr="0072192C">
        <w:t xml:space="preserve">. </w:t>
      </w:r>
      <w:r w:rsidRPr="0072192C">
        <w:rPr>
          <w:i/>
          <w:iCs/>
        </w:rPr>
        <w:t>Volume 5. Waste</w:t>
      </w:r>
      <w:r w:rsidRPr="0072192C">
        <w:t>. IPCC National Greenhouse Gas Inventories Programme. Japan: Published for the IPCC by the Institute for Global Environmental Strategies.</w:t>
      </w:r>
    </w:p>
    <w:p w14:paraId="085E5EE0" w14:textId="77777777" w:rsidR="00B259A8" w:rsidRPr="0072192C" w:rsidRDefault="00B259A8" w:rsidP="00B259A8">
      <w:pPr>
        <w:pStyle w:val="References"/>
      </w:pPr>
      <w:r w:rsidRPr="0072192C">
        <w:t xml:space="preserve">International Renewable Energy Agency. 2013. </w:t>
      </w:r>
      <w:hyperlink r:id="rId268" w:history="1">
        <w:r w:rsidRPr="0072192C">
          <w:rPr>
            <w:rStyle w:val="Hyperlink"/>
            <w:i/>
            <w:iCs/>
          </w:rPr>
          <w:t>Renewable energy opportunities and challenges in the Pacific Islands region</w:t>
        </w:r>
      </w:hyperlink>
      <w:r w:rsidRPr="0072192C">
        <w:rPr>
          <w:i/>
          <w:iCs/>
        </w:rPr>
        <w:t>.</w:t>
      </w:r>
      <w:r w:rsidRPr="0072192C">
        <w:t xml:space="preserve"> Retrieved 31 January 2019.</w:t>
      </w:r>
    </w:p>
    <w:p w14:paraId="276A69F4" w14:textId="77777777" w:rsidR="00B259A8" w:rsidRPr="0072192C" w:rsidRDefault="00B259A8" w:rsidP="00B259A8">
      <w:pPr>
        <w:pStyle w:val="References"/>
      </w:pPr>
      <w:r w:rsidRPr="0072192C">
        <w:t xml:space="preserve">Jasperse JA. 2016. </w:t>
      </w:r>
      <w:hyperlink r:id="rId269" w:history="1">
        <w:r w:rsidRPr="0072192C">
          <w:rPr>
            <w:rStyle w:val="Hyperlink"/>
            <w:i/>
            <w:iCs/>
          </w:rPr>
          <w:t>Analysis of 2014 imports into Tokelau from Samoa, Part 2: Stores’ invoices reconciled with cargo manifests, and quality of life implications</w:t>
        </w:r>
      </w:hyperlink>
      <w:r w:rsidRPr="0072192C">
        <w:rPr>
          <w:i/>
          <w:iCs/>
        </w:rPr>
        <w:t>.</w:t>
      </w:r>
      <w:r w:rsidRPr="0072192C">
        <w:t xml:space="preserve"> Apia, Samoa: Tokelau National Statistics Office. Retrieved 28 February 2019.</w:t>
      </w:r>
    </w:p>
    <w:p w14:paraId="386F806B" w14:textId="77777777" w:rsidR="00B259A8" w:rsidRPr="0072192C" w:rsidRDefault="00B259A8" w:rsidP="00B259A8">
      <w:pPr>
        <w:pStyle w:val="References"/>
      </w:pPr>
      <w:r w:rsidRPr="0072192C">
        <w:t xml:space="preserve">Koroisamanunu I, Papao J, Ketewai M and Sokota A. 2014. </w:t>
      </w:r>
      <w:r w:rsidRPr="0072192C">
        <w:rPr>
          <w:i/>
          <w:iCs/>
        </w:rPr>
        <w:t>Mission Preliminary Report (Fieldwork undertaken from 8 August – 2 September 2013). SOPAC technical note (PR193), May 2014</w:t>
      </w:r>
      <w:r w:rsidRPr="0072192C">
        <w:t>. Suva, Fiji: Water and Sanitation Programme and Disaster Reduction Programme. Applied Geoscience and Technology Division (SOPAC).</w:t>
      </w:r>
    </w:p>
    <w:p w14:paraId="289E6D5A" w14:textId="77777777" w:rsidR="00B259A8" w:rsidRPr="0072192C" w:rsidRDefault="00B259A8" w:rsidP="00B259A8">
      <w:pPr>
        <w:pStyle w:val="References"/>
      </w:pPr>
      <w:r w:rsidRPr="0072192C">
        <w:t xml:space="preserve">Roorda M, Carpenter D, Laing A, McGillivray M. 2015. </w:t>
      </w:r>
      <w:hyperlink r:id="rId270" w:history="1">
        <w:r w:rsidRPr="0072192C">
          <w:rPr>
            <w:rStyle w:val="Hyperlink"/>
            <w:i/>
            <w:iCs/>
          </w:rPr>
          <w:t>Evaluation of the Tokelau Country Programme</w:t>
        </w:r>
      </w:hyperlink>
      <w:r w:rsidRPr="0072192C">
        <w:rPr>
          <w:i/>
          <w:iCs/>
        </w:rPr>
        <w:t>.</w:t>
      </w:r>
      <w:r w:rsidRPr="0072192C">
        <w:t xml:space="preserve"> Prepared for the Ministry of Foreign Affairs and Trade by Adam Smith International. Retrieved 31 January 2019.</w:t>
      </w:r>
    </w:p>
    <w:p w14:paraId="60D5DF6C" w14:textId="77777777" w:rsidR="00B259A8" w:rsidRPr="0072192C" w:rsidRDefault="00B259A8" w:rsidP="00B259A8">
      <w:pPr>
        <w:pStyle w:val="References"/>
      </w:pPr>
      <w:r w:rsidRPr="0072192C">
        <w:t xml:space="preserve">Stats NZ. 2007. </w:t>
      </w:r>
      <w:hyperlink r:id="rId271" w:history="1">
        <w:r w:rsidRPr="0072192C">
          <w:rPr>
            <w:rStyle w:val="Hyperlink"/>
            <w:i/>
            <w:iCs/>
          </w:rPr>
          <w:t>Principles and Protocols for Producers of Tier 1 Statistics</w:t>
        </w:r>
      </w:hyperlink>
      <w:r w:rsidRPr="0072192C">
        <w:rPr>
          <w:i/>
          <w:iCs/>
        </w:rPr>
        <w:t>.</w:t>
      </w:r>
      <w:r w:rsidRPr="0072192C">
        <w:t xml:space="preserve"> Retrieved 31 January 2019.</w:t>
      </w:r>
    </w:p>
    <w:p w14:paraId="07E92840" w14:textId="77777777" w:rsidR="00B259A8" w:rsidRPr="0072192C" w:rsidRDefault="00B259A8" w:rsidP="00B259A8">
      <w:pPr>
        <w:pStyle w:val="References"/>
      </w:pPr>
      <w:r w:rsidRPr="0072192C">
        <w:t xml:space="preserve">Tokelau Islands Maps. </w:t>
      </w:r>
      <w:hyperlink r:id="rId272" w:history="1">
        <w:r w:rsidRPr="0072192C">
          <w:rPr>
            <w:rStyle w:val="Hyperlink"/>
            <w:i/>
            <w:iCs/>
          </w:rPr>
          <w:t>South Pacific Literatures and Cultures</w:t>
        </w:r>
      </w:hyperlink>
      <w:r w:rsidRPr="0072192C">
        <w:rPr>
          <w:i/>
          <w:iCs/>
        </w:rPr>
        <w:t>.</w:t>
      </w:r>
      <w:r w:rsidRPr="0072192C">
        <w:t xml:space="preserve"> Retrieved 31 January 2019.</w:t>
      </w:r>
    </w:p>
    <w:p w14:paraId="16B9D5F3" w14:textId="77777777" w:rsidR="00B259A8" w:rsidRPr="0072192C" w:rsidRDefault="00B259A8" w:rsidP="00B259A8">
      <w:pPr>
        <w:pStyle w:val="References"/>
      </w:pPr>
      <w:r w:rsidRPr="0072192C">
        <w:t xml:space="preserve">Tokelau National Statistics Office. 2020. </w:t>
      </w:r>
      <w:hyperlink r:id="rId273" w:history="1">
        <w:r w:rsidRPr="0072192C">
          <w:rPr>
            <w:rStyle w:val="Hyperlink"/>
            <w:i/>
            <w:iCs/>
          </w:rPr>
          <w:t>Final count: 2019 Tokelau Population Count</w:t>
        </w:r>
      </w:hyperlink>
      <w:r w:rsidRPr="0072192C">
        <w:rPr>
          <w:i/>
          <w:iCs/>
        </w:rPr>
        <w:t>.</w:t>
      </w:r>
      <w:r w:rsidRPr="0072192C">
        <w:t xml:space="preserve"> Retrieved 31 January 2022.</w:t>
      </w:r>
    </w:p>
    <w:p w14:paraId="725195AE" w14:textId="77777777" w:rsidR="00B259A8" w:rsidRPr="0072192C" w:rsidRDefault="00B259A8" w:rsidP="00B259A8">
      <w:pPr>
        <w:pStyle w:val="References"/>
      </w:pPr>
      <w:r w:rsidRPr="0072192C">
        <w:t xml:space="preserve">UNFCCC. 2018a. FCCC/CP/2018/10/Add.1. </w:t>
      </w:r>
      <w:r w:rsidRPr="0072192C">
        <w:rPr>
          <w:i/>
          <w:iCs/>
        </w:rPr>
        <w:t>Decision 1/CP.24 Preparations for the implementation of the Paris Agreement and the first session of the Conference of the Parties serving as the meeting of the Parties to the Paris Agreement.</w:t>
      </w:r>
    </w:p>
    <w:p w14:paraId="3EE81C36" w14:textId="77777777" w:rsidR="00B259A8" w:rsidRPr="0072192C" w:rsidRDefault="00B259A8" w:rsidP="00B259A8">
      <w:pPr>
        <w:pStyle w:val="References"/>
      </w:pPr>
      <w:r w:rsidRPr="0072192C">
        <w:t xml:space="preserve">UNFCCC. 2018b. FCCC/PA/CMA/2018/3/Add.2. </w:t>
      </w:r>
      <w:r w:rsidRPr="0072192C">
        <w:rPr>
          <w:i/>
          <w:iCs/>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p>
    <w:p w14:paraId="698F21F3" w14:textId="77777777" w:rsidR="00B259A8" w:rsidRPr="0072192C" w:rsidRDefault="00B259A8" w:rsidP="00B259A8">
      <w:pPr>
        <w:pStyle w:val="References"/>
      </w:pPr>
      <w:r w:rsidRPr="0072192C">
        <w:t xml:space="preserve">UNFCCC. 2021. CCC/PA/CMA/2021/10/Add.2. </w:t>
      </w:r>
      <w:r w:rsidRPr="0072192C">
        <w:rPr>
          <w:i/>
          <w:iCs/>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p>
    <w:p w14:paraId="33165B6B" w14:textId="77777777" w:rsidR="00B259A8" w:rsidRPr="0072192C" w:rsidRDefault="00B259A8" w:rsidP="00B259A8">
      <w:pPr>
        <w:pStyle w:val="References"/>
      </w:pPr>
      <w:r w:rsidRPr="0072192C">
        <w:t xml:space="preserve">United Nations. 1945. </w:t>
      </w:r>
      <w:hyperlink r:id="rId274" w:history="1">
        <w:r w:rsidRPr="0072192C">
          <w:rPr>
            <w:rStyle w:val="Hyperlink"/>
            <w:i/>
            <w:iCs/>
          </w:rPr>
          <w:t>Charter of the United Nations, 1945</w:t>
        </w:r>
      </w:hyperlink>
      <w:r w:rsidRPr="0072192C">
        <w:t>. Retrieved 31 January 2019.</w:t>
      </w:r>
      <w:bookmarkEnd w:id="3163"/>
      <w:bookmarkEnd w:id="3323"/>
    </w:p>
    <w:p w14:paraId="5D9963DE" w14:textId="77777777" w:rsidR="0077752F" w:rsidRDefault="0077752F" w:rsidP="00E46639">
      <w:pPr>
        <w:pStyle w:val="References"/>
        <w:rPr>
          <w:rFonts w:cs="Calibri"/>
          <w:szCs w:val="20"/>
        </w:rPr>
        <w:sectPr w:rsidR="0077752F" w:rsidSect="00E46639">
          <w:footerReference w:type="even" r:id="rId275"/>
          <w:pgSz w:w="11907" w:h="16840" w:code="9"/>
          <w:pgMar w:top="1418" w:right="1701" w:bottom="1418" w:left="1701" w:header="567" w:footer="567" w:gutter="0"/>
          <w:cols w:space="720"/>
          <w:docGrid w:linePitch="299"/>
        </w:sectPr>
      </w:pPr>
    </w:p>
    <w:p w14:paraId="41B457BA" w14:textId="77777777" w:rsidR="00B32EBB" w:rsidRPr="009E06AA" w:rsidRDefault="00B32EBB" w:rsidP="00B32EBB">
      <w:pPr>
        <w:pStyle w:val="Heading1"/>
      </w:pPr>
      <w:bookmarkStart w:id="3325" w:name="_Toc5269399"/>
      <w:bookmarkStart w:id="3326" w:name="_Toc36224439"/>
      <w:bookmarkStart w:id="3327" w:name="_Toc131591273"/>
      <w:bookmarkStart w:id="3328" w:name="_Toc164154238"/>
      <w:bookmarkStart w:id="3329" w:name="_Toc226460817"/>
      <w:r w:rsidRPr="009E06AA">
        <w:t>Chapter 9: Indirect carbon dioxide and nitrous oxide emissions</w:t>
      </w:r>
      <w:bookmarkEnd w:id="3325"/>
      <w:bookmarkEnd w:id="3326"/>
      <w:bookmarkEnd w:id="3327"/>
      <w:bookmarkEnd w:id="3328"/>
      <w:bookmarkEnd w:id="3329"/>
    </w:p>
    <w:p w14:paraId="3E964353" w14:textId="77777777" w:rsidR="00B32EBB" w:rsidRPr="009E06AA" w:rsidRDefault="00B32EBB" w:rsidP="00B32EBB">
      <w:pPr>
        <w:pStyle w:val="BodyText"/>
      </w:pPr>
      <w:r>
        <w:t>New Zealand elected not to report indirect carbon dioxide emissions in its 2026 inventory submission. Indirect nitrous oxide emissions are reported in the Agriculture sector (chapter 5) and the Land Use, Land-Use Change and Forestry sector (chapter 6).</w:t>
      </w:r>
    </w:p>
    <w:p w14:paraId="59C1CCD7" w14:textId="77777777" w:rsidR="00E46639" w:rsidRPr="0028033B" w:rsidRDefault="00E46639" w:rsidP="00E46639">
      <w:pPr>
        <w:pStyle w:val="References"/>
        <w:rPr>
          <w:rFonts w:cs="Calibri"/>
          <w:szCs w:val="20"/>
        </w:rPr>
      </w:pPr>
    </w:p>
    <w:p w14:paraId="4659BF14" w14:textId="77777777" w:rsidR="00B32EBB" w:rsidRDefault="00B32EBB" w:rsidP="00873B7D">
      <w:pPr>
        <w:pStyle w:val="BodyText"/>
        <w:sectPr w:rsidR="00B32EBB" w:rsidSect="00E46639">
          <w:footerReference w:type="even" r:id="rId276"/>
          <w:pgSz w:w="11907" w:h="16840" w:code="9"/>
          <w:pgMar w:top="1418" w:right="1701" w:bottom="1418" w:left="1701" w:header="567" w:footer="567" w:gutter="0"/>
          <w:cols w:space="720"/>
          <w:docGrid w:linePitch="299"/>
        </w:sectPr>
      </w:pPr>
    </w:p>
    <w:p w14:paraId="11C6463F" w14:textId="77777777" w:rsidR="00CF3E30" w:rsidRPr="00C74702" w:rsidRDefault="00CF3E30" w:rsidP="00CF3E30">
      <w:pPr>
        <w:pStyle w:val="Heading1"/>
      </w:pPr>
      <w:bookmarkStart w:id="3330" w:name="_Toc226460818"/>
      <w:bookmarkStart w:id="3331" w:name="X15723e2af0975b848fa432e68188ad746a6b4f3"/>
      <w:r w:rsidRPr="00C74702">
        <w:t>Chapter 10: Recalculations and improvements</w:t>
      </w:r>
      <w:bookmarkEnd w:id="3330"/>
    </w:p>
    <w:p w14:paraId="7E819069" w14:textId="77777777" w:rsidR="00CF3E30" w:rsidRPr="00C74702" w:rsidRDefault="00CF3E30" w:rsidP="00CF3E30">
      <w:r w:rsidRPr="00C74702">
        <w:t>This chapter summarises the recalculations and improvements made to New Zealand’s Greenhouse Gas Inventory (</w:t>
      </w:r>
      <w:r w:rsidRPr="00692C4D">
        <w:t>1990</w:t>
      </w:r>
      <w:r w:rsidRPr="00C74702">
        <w:t>–</w:t>
      </w:r>
      <w:r w:rsidRPr="00692C4D">
        <w:t>2024</w:t>
      </w:r>
      <w:r w:rsidRPr="00C74702">
        <w:t xml:space="preserve">) (the Inventory) following the </w:t>
      </w:r>
      <w:r w:rsidRPr="00692C4D">
        <w:t>2025</w:t>
      </w:r>
      <w:r w:rsidRPr="00C74702">
        <w:t xml:space="preserve"> submission. Further details on the recalculations and improvements for each sector are provided in chapters 3 to 8.</w:t>
      </w:r>
    </w:p>
    <w:p w14:paraId="4B8E0ED2" w14:textId="77777777" w:rsidR="00CF3E30" w:rsidRPr="00C74702" w:rsidRDefault="00CF3E30" w:rsidP="00CF3E30">
      <w:pPr>
        <w:pStyle w:val="BodyText"/>
      </w:pPr>
      <w:r w:rsidRPr="00C74702">
        <w:t>Recalculations of estimates reported in previous submissions of the Inventory are carried out for several reasons, including:</w:t>
      </w:r>
    </w:p>
    <w:p w14:paraId="23DB5FBD" w14:textId="77777777" w:rsidR="00CF3E30" w:rsidRPr="00C74702" w:rsidRDefault="00CF3E30" w:rsidP="00CF3E30">
      <w:pPr>
        <w:pStyle w:val="Bullet"/>
      </w:pPr>
      <w:r w:rsidRPr="00C74702">
        <w:t>improved activity data</w:t>
      </w:r>
    </w:p>
    <w:p w14:paraId="31F49A25" w14:textId="77777777" w:rsidR="00CF3E30" w:rsidRPr="00C74702" w:rsidRDefault="00CF3E30" w:rsidP="00CF3E30">
      <w:pPr>
        <w:pStyle w:val="Bullet"/>
      </w:pPr>
      <w:r w:rsidRPr="00C74702">
        <w:t>updated parameters for estimating emissions, including methodologies</w:t>
      </w:r>
    </w:p>
    <w:p w14:paraId="0FCA5808" w14:textId="77777777" w:rsidR="00CF3E30" w:rsidRPr="00C74702" w:rsidRDefault="00CF3E30" w:rsidP="00CF3E30">
      <w:pPr>
        <w:pStyle w:val="Bullet"/>
      </w:pPr>
      <w:r w:rsidRPr="00C74702">
        <w:t>incorporating new evidence that enables the reporting of previously unreported emissions because of insufficient data</w:t>
      </w:r>
    </w:p>
    <w:p w14:paraId="609FF588" w14:textId="77777777" w:rsidR="00CF3E30" w:rsidRPr="00C74702" w:rsidRDefault="00CF3E30" w:rsidP="00CF3E30">
      <w:pPr>
        <w:pStyle w:val="Bullet"/>
      </w:pPr>
      <w:r w:rsidRPr="00C74702">
        <w:t>correcting errors.</w:t>
      </w:r>
    </w:p>
    <w:p w14:paraId="739B5F4F" w14:textId="77777777" w:rsidR="00CF3E30" w:rsidRPr="00C74702" w:rsidRDefault="00CF3E30" w:rsidP="00CF3E30">
      <w:pPr>
        <w:pStyle w:val="BodyText"/>
      </w:pPr>
      <w:r w:rsidRPr="00C74702">
        <w:t>It is good practice to recalculate the whole time series from 1990 to the latest reporting year, to ensure consistency across the time series. This means some estimates of emissions and/or removals reported in this submission are different from estimates reported in the previous submission. There may be exceptions to recalculating the entire time series and, where this has occurred, explanations are provided.</w:t>
      </w:r>
    </w:p>
    <w:p w14:paraId="2AA45209" w14:textId="6226F013" w:rsidR="00CF3E30" w:rsidRPr="00C74702" w:rsidRDefault="00CF3E30" w:rsidP="00CF3E30">
      <w:pPr>
        <w:pStyle w:val="Heading2"/>
      </w:pPr>
      <w:bookmarkStart w:id="3332" w:name="_Toc226460819"/>
      <w:bookmarkStart w:id="3333" w:name="X3b3719611560fd54ed416e52358d14056f2f778"/>
      <w:r w:rsidRPr="00C74702">
        <w:t xml:space="preserve">10.1 </w:t>
      </w:r>
      <w:r w:rsidR="00D7494A">
        <w:tab/>
      </w:r>
      <w:r w:rsidRPr="00C74702">
        <w:t>Explanations and justifications for recalculations, including in response to the review process</w:t>
      </w:r>
      <w:bookmarkEnd w:id="3332"/>
    </w:p>
    <w:p w14:paraId="7CEBF251" w14:textId="77777777" w:rsidR="00CF3E30" w:rsidRPr="00C74702" w:rsidRDefault="00CF3E30" w:rsidP="00CF3E30">
      <w:pPr>
        <w:pStyle w:val="BodyText"/>
      </w:pPr>
      <w:r w:rsidRPr="00C74702">
        <w:t>The main reasons for recalculations in the 2026 submission of the Inventory are given in the sectoral chapters and summarised in table 10.1.1.</w:t>
      </w:r>
    </w:p>
    <w:p w14:paraId="02BBFF79" w14:textId="77777777" w:rsidR="00CF3E30" w:rsidRPr="00C74702" w:rsidRDefault="00CF3E30" w:rsidP="00CF3E30">
      <w:pPr>
        <w:pStyle w:val="Table"/>
      </w:pPr>
      <w:bookmarkStart w:id="3334" w:name="_Toc226669155"/>
      <w:r w:rsidRPr="00C74702">
        <w:t xml:space="preserve">Table 10.1.1 </w:t>
      </w:r>
      <w:r w:rsidRPr="00C74702">
        <w:tab/>
        <w:t>Explanations and justifications for recalculations</w:t>
      </w:r>
      <w:bookmarkEnd w:id="3334"/>
    </w:p>
    <w:tbl>
      <w:tblPr>
        <w:tblW w:w="8494" w:type="dxa"/>
        <w:tblBorders>
          <w:top w:val="single" w:sz="4" w:space="0" w:color="1B556B"/>
          <w:bottom w:val="single" w:sz="4" w:space="0" w:color="1B556B"/>
          <w:insideH w:val="single" w:sz="4" w:space="0" w:color="1B556B"/>
        </w:tblBorders>
        <w:tblLayout w:type="fixed"/>
        <w:tblCellMar>
          <w:left w:w="85" w:type="dxa"/>
          <w:right w:w="57" w:type="dxa"/>
        </w:tblCellMar>
        <w:tblLook w:val="0420" w:firstRow="1" w:lastRow="0" w:firstColumn="0" w:lastColumn="0" w:noHBand="0" w:noVBand="1"/>
      </w:tblPr>
      <w:tblGrid>
        <w:gridCol w:w="918"/>
        <w:gridCol w:w="4185"/>
        <w:gridCol w:w="1843"/>
        <w:gridCol w:w="1548"/>
      </w:tblGrid>
      <w:tr w:rsidR="00CF3E30" w:rsidRPr="00C74702" w14:paraId="737B581A" w14:textId="77777777" w:rsidTr="00F16E23">
        <w:trPr>
          <w:tblHeader/>
        </w:trPr>
        <w:tc>
          <w:tcPr>
            <w:tcW w:w="918" w:type="dxa"/>
            <w:shd w:val="clear" w:color="auto" w:fill="1B556B"/>
            <w:tcMar>
              <w:top w:w="0" w:type="dxa"/>
              <w:left w:w="85" w:type="dxa"/>
              <w:bottom w:w="0" w:type="dxa"/>
              <w:right w:w="85" w:type="dxa"/>
            </w:tcMar>
            <w:vAlign w:val="bottom"/>
          </w:tcPr>
          <w:p w14:paraId="014463C2" w14:textId="77777777" w:rsidR="00CF3E30" w:rsidRPr="00C74702" w:rsidRDefault="00CF3E30" w:rsidP="00F16E23">
            <w:pPr>
              <w:pStyle w:val="TableTextBold"/>
              <w:spacing w:before="40" w:after="40"/>
              <w:rPr>
                <w:noProof w:val="0"/>
                <w:color w:val="FFFFFF" w:themeColor="background1"/>
                <w:szCs w:val="16"/>
              </w:rPr>
            </w:pPr>
            <w:r w:rsidRPr="00C74702">
              <w:rPr>
                <w:rFonts w:eastAsia="Calibri"/>
                <w:noProof w:val="0"/>
                <w:color w:val="FFFFFF" w:themeColor="background1"/>
                <w:szCs w:val="16"/>
              </w:rPr>
              <w:t>Sector</w:t>
            </w:r>
          </w:p>
        </w:tc>
        <w:tc>
          <w:tcPr>
            <w:tcW w:w="4185" w:type="dxa"/>
            <w:shd w:val="clear" w:color="auto" w:fill="1B556B"/>
            <w:tcMar>
              <w:top w:w="0" w:type="dxa"/>
              <w:left w:w="85" w:type="dxa"/>
              <w:bottom w:w="0" w:type="dxa"/>
              <w:right w:w="85" w:type="dxa"/>
            </w:tcMar>
            <w:vAlign w:val="bottom"/>
          </w:tcPr>
          <w:p w14:paraId="37B3AFB1" w14:textId="77777777" w:rsidR="00CF3E30" w:rsidRPr="00C74702" w:rsidRDefault="00CF3E30" w:rsidP="00F16E23">
            <w:pPr>
              <w:pStyle w:val="TableTextBold"/>
              <w:spacing w:before="40" w:after="40"/>
              <w:rPr>
                <w:noProof w:val="0"/>
                <w:color w:val="FFFFFF" w:themeColor="background1"/>
                <w:szCs w:val="16"/>
              </w:rPr>
            </w:pPr>
            <w:r w:rsidRPr="00C74702">
              <w:rPr>
                <w:rFonts w:eastAsia="Calibri"/>
                <w:noProof w:val="0"/>
                <w:color w:val="FFFFFF" w:themeColor="background1"/>
                <w:szCs w:val="16"/>
              </w:rPr>
              <w:t>Explanation of recalculation</w:t>
            </w:r>
          </w:p>
        </w:tc>
        <w:tc>
          <w:tcPr>
            <w:tcW w:w="1843" w:type="dxa"/>
            <w:shd w:val="clear" w:color="auto" w:fill="1B556B"/>
            <w:tcMar>
              <w:top w:w="0" w:type="dxa"/>
              <w:left w:w="85" w:type="dxa"/>
              <w:bottom w:w="0" w:type="dxa"/>
              <w:right w:w="85" w:type="dxa"/>
            </w:tcMar>
            <w:vAlign w:val="bottom"/>
          </w:tcPr>
          <w:p w14:paraId="0367FC34" w14:textId="77777777" w:rsidR="00CF3E30" w:rsidRPr="00C74702" w:rsidRDefault="00CF3E30" w:rsidP="00F16E23">
            <w:pPr>
              <w:pStyle w:val="TableTextBold"/>
              <w:spacing w:before="40" w:after="40"/>
              <w:rPr>
                <w:noProof w:val="0"/>
                <w:color w:val="FFFFFF" w:themeColor="background1"/>
                <w:szCs w:val="16"/>
              </w:rPr>
            </w:pPr>
            <w:r w:rsidRPr="00C74702">
              <w:rPr>
                <w:rFonts w:eastAsia="Calibri"/>
                <w:noProof w:val="0"/>
                <w:color w:val="FFFFFF" w:themeColor="background1"/>
                <w:szCs w:val="16"/>
              </w:rPr>
              <w:t>Underpinning IPCC principle</w:t>
            </w:r>
          </w:p>
        </w:tc>
        <w:tc>
          <w:tcPr>
            <w:tcW w:w="1548" w:type="dxa"/>
            <w:shd w:val="clear" w:color="auto" w:fill="1B556B"/>
            <w:tcMar>
              <w:top w:w="0" w:type="dxa"/>
              <w:left w:w="85" w:type="dxa"/>
              <w:bottom w:w="0" w:type="dxa"/>
              <w:right w:w="85" w:type="dxa"/>
            </w:tcMar>
            <w:vAlign w:val="bottom"/>
          </w:tcPr>
          <w:p w14:paraId="474314A2" w14:textId="77777777" w:rsidR="00CF3E30" w:rsidRPr="00C74702" w:rsidRDefault="00CF3E30" w:rsidP="00F16E23">
            <w:pPr>
              <w:pStyle w:val="TableTextBold"/>
              <w:spacing w:before="40" w:after="40"/>
              <w:rPr>
                <w:noProof w:val="0"/>
                <w:color w:val="FFFFFF" w:themeColor="background1"/>
                <w:szCs w:val="16"/>
              </w:rPr>
            </w:pPr>
            <w:r w:rsidRPr="00C74702">
              <w:rPr>
                <w:rFonts w:eastAsia="Calibri"/>
                <w:noProof w:val="0"/>
                <w:color w:val="FFFFFF" w:themeColor="background1"/>
                <w:szCs w:val="16"/>
              </w:rPr>
              <w:t>Additional justification</w:t>
            </w:r>
          </w:p>
        </w:tc>
      </w:tr>
      <w:tr w:rsidR="00CF3E30" w:rsidRPr="00C74702" w14:paraId="4954E0FE" w14:textId="77777777" w:rsidTr="00F16E23">
        <w:tc>
          <w:tcPr>
            <w:tcW w:w="918" w:type="dxa"/>
            <w:shd w:val="clear" w:color="auto" w:fill="FFFFFF" w:themeFill="background1"/>
            <w:tcMar>
              <w:top w:w="0" w:type="dxa"/>
              <w:left w:w="85" w:type="dxa"/>
              <w:bottom w:w="0" w:type="dxa"/>
              <w:right w:w="85" w:type="dxa"/>
            </w:tcMar>
          </w:tcPr>
          <w:p w14:paraId="5DEFC1B3" w14:textId="77777777" w:rsidR="00CF3E30" w:rsidRPr="00C74702" w:rsidRDefault="00CF3E30" w:rsidP="00F16E23">
            <w:pPr>
              <w:pStyle w:val="TableText"/>
              <w:spacing w:before="40" w:after="40"/>
              <w:rPr>
                <w:szCs w:val="16"/>
              </w:rPr>
            </w:pPr>
            <w:r w:rsidRPr="00C74702">
              <w:rPr>
                <w:rFonts w:eastAsia="Calibri"/>
                <w:szCs w:val="16"/>
              </w:rPr>
              <w:t>Energy</w:t>
            </w:r>
          </w:p>
        </w:tc>
        <w:tc>
          <w:tcPr>
            <w:tcW w:w="4185" w:type="dxa"/>
            <w:shd w:val="clear" w:color="auto" w:fill="FFFFFF" w:themeFill="background1"/>
            <w:tcMar>
              <w:top w:w="0" w:type="dxa"/>
              <w:left w:w="85" w:type="dxa"/>
              <w:bottom w:w="0" w:type="dxa"/>
              <w:right w:w="85" w:type="dxa"/>
            </w:tcMar>
          </w:tcPr>
          <w:p w14:paraId="51E6CB5D" w14:textId="77777777" w:rsidR="00CF3E30" w:rsidRPr="00C74702" w:rsidRDefault="00CF3E30" w:rsidP="00F16E23">
            <w:pPr>
              <w:pStyle w:val="TableText"/>
              <w:spacing w:before="40" w:after="40"/>
              <w:rPr>
                <w:rFonts w:eastAsia="Calibri"/>
                <w:szCs w:val="16"/>
              </w:rPr>
            </w:pPr>
            <w:r w:rsidRPr="00C74702">
              <w:rPr>
                <w:rFonts w:eastAsia="Calibri"/>
                <w:szCs w:val="16"/>
              </w:rPr>
              <w:t>Updated jet A1 aviation fuel allocation between international and domestic aviation</w:t>
            </w:r>
          </w:p>
        </w:tc>
        <w:tc>
          <w:tcPr>
            <w:tcW w:w="1843" w:type="dxa"/>
            <w:shd w:val="clear" w:color="auto" w:fill="FFFFFF" w:themeFill="background1"/>
            <w:tcMar>
              <w:top w:w="0" w:type="dxa"/>
              <w:left w:w="85" w:type="dxa"/>
              <w:bottom w:w="0" w:type="dxa"/>
              <w:right w:w="85" w:type="dxa"/>
            </w:tcMar>
          </w:tcPr>
          <w:p w14:paraId="1E1498BC" w14:textId="77777777" w:rsidR="00CF3E30" w:rsidRPr="00C74702" w:rsidRDefault="00CF3E30" w:rsidP="00F16E23">
            <w:pPr>
              <w:pStyle w:val="TableText"/>
              <w:spacing w:before="40" w:after="40"/>
              <w:rPr>
                <w:rFonts w:eastAsia="Calibri"/>
                <w:szCs w:val="16"/>
              </w:rPr>
            </w:pPr>
            <w:r w:rsidRPr="00C74702">
              <w:rPr>
                <w:rFonts w:eastAsia="Calibri"/>
                <w:szCs w:val="16"/>
              </w:rPr>
              <w:t>Accuracy</w:t>
            </w:r>
          </w:p>
        </w:tc>
        <w:tc>
          <w:tcPr>
            <w:tcW w:w="1548" w:type="dxa"/>
            <w:shd w:val="clear" w:color="auto" w:fill="FFFFFF" w:themeFill="background1"/>
            <w:tcMar>
              <w:top w:w="0" w:type="dxa"/>
              <w:left w:w="85" w:type="dxa"/>
              <w:bottom w:w="0" w:type="dxa"/>
              <w:right w:w="85" w:type="dxa"/>
            </w:tcMar>
          </w:tcPr>
          <w:p w14:paraId="173437FF" w14:textId="77777777" w:rsidR="00CF3E30" w:rsidRPr="00C74702" w:rsidRDefault="00CF3E30" w:rsidP="00F16E23">
            <w:pPr>
              <w:pStyle w:val="TableText"/>
              <w:spacing w:before="40" w:after="40"/>
              <w:rPr>
                <w:szCs w:val="16"/>
              </w:rPr>
            </w:pPr>
            <w:r w:rsidRPr="00C74702" w:rsidDel="003A362E">
              <w:rPr>
                <w:rFonts w:eastAsia="Calibri"/>
                <w:szCs w:val="16"/>
              </w:rPr>
              <w:t>Improved data availability</w:t>
            </w:r>
          </w:p>
        </w:tc>
      </w:tr>
      <w:tr w:rsidR="00CF3E30" w:rsidRPr="00C74702" w14:paraId="21F2FD00" w14:textId="77777777" w:rsidTr="00F16E23">
        <w:tc>
          <w:tcPr>
            <w:tcW w:w="918" w:type="dxa"/>
            <w:shd w:val="clear" w:color="auto" w:fill="FFFFFF" w:themeFill="background1"/>
            <w:tcMar>
              <w:top w:w="0" w:type="dxa"/>
              <w:left w:w="85" w:type="dxa"/>
              <w:bottom w:w="0" w:type="dxa"/>
              <w:right w:w="85" w:type="dxa"/>
            </w:tcMar>
          </w:tcPr>
          <w:p w14:paraId="58484252" w14:textId="77777777" w:rsidR="00CF3E30" w:rsidRPr="00C74702" w:rsidRDefault="00CF3E30" w:rsidP="00F16E23">
            <w:pPr>
              <w:pStyle w:val="TableText"/>
              <w:spacing w:before="40" w:after="40"/>
              <w:rPr>
                <w:szCs w:val="16"/>
              </w:rPr>
            </w:pPr>
            <w:r w:rsidRPr="00C74702">
              <w:rPr>
                <w:rFonts w:eastAsia="Calibri"/>
                <w:color w:val="000000"/>
                <w:szCs w:val="16"/>
              </w:rPr>
              <w:t>IPPU</w:t>
            </w:r>
          </w:p>
        </w:tc>
        <w:tc>
          <w:tcPr>
            <w:tcW w:w="4185" w:type="dxa"/>
            <w:shd w:val="clear" w:color="auto" w:fill="FFFFFF" w:themeFill="background1"/>
            <w:tcMar>
              <w:top w:w="0" w:type="dxa"/>
              <w:left w:w="85" w:type="dxa"/>
              <w:bottom w:w="0" w:type="dxa"/>
              <w:right w:w="85" w:type="dxa"/>
            </w:tcMar>
          </w:tcPr>
          <w:p w14:paraId="672519A8" w14:textId="77777777" w:rsidR="00CF3E30" w:rsidRPr="00C74702" w:rsidRDefault="00CF3E30" w:rsidP="00F16E23">
            <w:pPr>
              <w:pStyle w:val="TableText"/>
              <w:spacing w:before="40" w:after="40"/>
              <w:rPr>
                <w:rFonts w:eastAsia="Calibri"/>
                <w:szCs w:val="16"/>
              </w:rPr>
            </w:pPr>
            <w:r w:rsidRPr="00C74702" w:rsidDel="00374D01">
              <w:rPr>
                <w:rFonts w:eastAsia="Calibri"/>
                <w:szCs w:val="16"/>
              </w:rPr>
              <w:t>Updated lubricant activity data.</w:t>
            </w:r>
          </w:p>
        </w:tc>
        <w:tc>
          <w:tcPr>
            <w:tcW w:w="1843" w:type="dxa"/>
            <w:shd w:val="clear" w:color="auto" w:fill="FFFFFF" w:themeFill="background1"/>
            <w:tcMar>
              <w:top w:w="0" w:type="dxa"/>
              <w:left w:w="85" w:type="dxa"/>
              <w:bottom w:w="0" w:type="dxa"/>
              <w:right w:w="85" w:type="dxa"/>
            </w:tcMar>
          </w:tcPr>
          <w:p w14:paraId="15562204" w14:textId="77777777" w:rsidR="00CF3E30" w:rsidRPr="00C74702" w:rsidRDefault="00CF3E30" w:rsidP="00F16E23">
            <w:pPr>
              <w:pStyle w:val="TableText"/>
              <w:spacing w:before="40" w:after="40"/>
              <w:rPr>
                <w:rFonts w:eastAsia="Calibri"/>
                <w:szCs w:val="16"/>
              </w:rPr>
            </w:pPr>
            <w:r w:rsidRPr="00C74702" w:rsidDel="003A362E">
              <w:rPr>
                <w:rFonts w:eastAsia="Calibri"/>
                <w:szCs w:val="16"/>
              </w:rPr>
              <w:t>Accuracy</w:t>
            </w:r>
          </w:p>
        </w:tc>
        <w:tc>
          <w:tcPr>
            <w:tcW w:w="1548" w:type="dxa"/>
            <w:shd w:val="clear" w:color="auto" w:fill="FFFFFF" w:themeFill="background1"/>
            <w:tcMar>
              <w:top w:w="0" w:type="dxa"/>
              <w:left w:w="85" w:type="dxa"/>
              <w:bottom w:w="0" w:type="dxa"/>
              <w:right w:w="85" w:type="dxa"/>
            </w:tcMar>
          </w:tcPr>
          <w:p w14:paraId="2463C115" w14:textId="77777777" w:rsidR="00CF3E30" w:rsidRPr="00C74702" w:rsidRDefault="00CF3E30" w:rsidP="00F16E23">
            <w:pPr>
              <w:pStyle w:val="TableText"/>
              <w:spacing w:before="40" w:after="40"/>
              <w:rPr>
                <w:rFonts w:eastAsia="Calibri"/>
                <w:szCs w:val="16"/>
              </w:rPr>
            </w:pPr>
            <w:r w:rsidRPr="00C74702" w:rsidDel="003A362E">
              <w:rPr>
                <w:rFonts w:eastAsia="Calibri"/>
                <w:szCs w:val="16"/>
              </w:rPr>
              <w:t>Improved data availability</w:t>
            </w:r>
          </w:p>
        </w:tc>
      </w:tr>
      <w:tr w:rsidR="00CF3E30" w:rsidRPr="00C74702" w14:paraId="619223B0" w14:textId="77777777" w:rsidTr="00F16E23">
        <w:tc>
          <w:tcPr>
            <w:tcW w:w="918" w:type="dxa"/>
            <w:shd w:val="clear" w:color="auto" w:fill="FFFFFF" w:themeFill="background1"/>
            <w:tcMar>
              <w:top w:w="0" w:type="dxa"/>
              <w:left w:w="85" w:type="dxa"/>
              <w:bottom w:w="0" w:type="dxa"/>
              <w:right w:w="85" w:type="dxa"/>
            </w:tcMar>
          </w:tcPr>
          <w:p w14:paraId="01E0AF96"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23BCC504" w14:textId="77777777" w:rsidR="00CF3E30" w:rsidRPr="00C74702" w:rsidRDefault="00CF3E30" w:rsidP="00F16E23">
            <w:pPr>
              <w:pStyle w:val="TableText"/>
              <w:spacing w:before="40" w:after="40"/>
              <w:rPr>
                <w:rFonts w:eastAsia="Calibri"/>
                <w:szCs w:val="16"/>
              </w:rPr>
            </w:pPr>
            <w:r w:rsidRPr="00C74702">
              <w:rPr>
                <w:rFonts w:eastAsia="Calibri"/>
                <w:szCs w:val="16"/>
              </w:rPr>
              <w:t>Correction of minor calculation errors for hydrofluorocarbon foam-</w:t>
            </w:r>
            <w:r w:rsidRPr="00C74702" w:rsidDel="00374D01">
              <w:rPr>
                <w:rFonts w:eastAsia="Calibri"/>
                <w:szCs w:val="16"/>
              </w:rPr>
              <w:t>blowing manufacturing chemicals re-exported.</w:t>
            </w:r>
          </w:p>
        </w:tc>
        <w:tc>
          <w:tcPr>
            <w:tcW w:w="1843" w:type="dxa"/>
            <w:shd w:val="clear" w:color="auto" w:fill="FFFFFF" w:themeFill="background1"/>
            <w:tcMar>
              <w:top w:w="0" w:type="dxa"/>
              <w:left w:w="85" w:type="dxa"/>
              <w:bottom w:w="0" w:type="dxa"/>
              <w:right w:w="85" w:type="dxa"/>
            </w:tcMar>
          </w:tcPr>
          <w:p w14:paraId="1BDEF4C9" w14:textId="77777777" w:rsidR="00CF3E30" w:rsidRPr="00C74702" w:rsidRDefault="00CF3E30" w:rsidP="00F16E23">
            <w:pPr>
              <w:pStyle w:val="TableText"/>
              <w:spacing w:before="40" w:after="40"/>
              <w:rPr>
                <w:rFonts w:eastAsia="Calibri"/>
                <w:szCs w:val="16"/>
              </w:rPr>
            </w:pPr>
            <w:r w:rsidRPr="00C74702" w:rsidDel="003A362E">
              <w:rPr>
                <w:rFonts w:eastAsia="Calibri"/>
                <w:szCs w:val="16"/>
              </w:rPr>
              <w:t>Accuracy</w:t>
            </w:r>
          </w:p>
        </w:tc>
        <w:tc>
          <w:tcPr>
            <w:tcW w:w="1548" w:type="dxa"/>
            <w:shd w:val="clear" w:color="auto" w:fill="FFFFFF" w:themeFill="background1"/>
            <w:tcMar>
              <w:top w:w="0" w:type="dxa"/>
              <w:left w:w="85" w:type="dxa"/>
              <w:bottom w:w="0" w:type="dxa"/>
              <w:right w:w="85" w:type="dxa"/>
            </w:tcMar>
          </w:tcPr>
          <w:p w14:paraId="536194B1" w14:textId="77777777" w:rsidR="00CF3E30" w:rsidRPr="00C74702" w:rsidRDefault="00CF3E30" w:rsidP="00F16E23">
            <w:pPr>
              <w:pStyle w:val="TableText"/>
              <w:spacing w:before="40" w:after="40"/>
              <w:rPr>
                <w:rFonts w:eastAsia="Calibri"/>
                <w:szCs w:val="16"/>
              </w:rPr>
            </w:pPr>
            <w:r w:rsidRPr="00C74702" w:rsidDel="003B0A33">
              <w:rPr>
                <w:rFonts w:eastAsia="Calibri"/>
                <w:szCs w:val="16"/>
              </w:rPr>
              <w:t>Correction of errors</w:t>
            </w:r>
          </w:p>
        </w:tc>
      </w:tr>
      <w:tr w:rsidR="00CF3E30" w:rsidRPr="00C74702" w14:paraId="064A08A4" w14:textId="77777777" w:rsidTr="00F16E23">
        <w:tc>
          <w:tcPr>
            <w:tcW w:w="918" w:type="dxa"/>
            <w:shd w:val="clear" w:color="auto" w:fill="FFFFFF" w:themeFill="background1"/>
            <w:tcMar>
              <w:top w:w="0" w:type="dxa"/>
              <w:left w:w="85" w:type="dxa"/>
              <w:bottom w:w="0" w:type="dxa"/>
              <w:right w:w="85" w:type="dxa"/>
            </w:tcMar>
          </w:tcPr>
          <w:p w14:paraId="3E700B87"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6B7705CB" w14:textId="77777777" w:rsidR="00CF3E30" w:rsidRPr="00C74702" w:rsidRDefault="00CF3E30" w:rsidP="00F16E23">
            <w:pPr>
              <w:pStyle w:val="TableText"/>
              <w:spacing w:before="40" w:after="40"/>
              <w:rPr>
                <w:rFonts w:eastAsia="Calibri"/>
                <w:szCs w:val="16"/>
              </w:rPr>
            </w:pPr>
            <w:r w:rsidRPr="00C74702" w:rsidDel="00374D01">
              <w:rPr>
                <w:rFonts w:eastAsia="Calibri"/>
                <w:szCs w:val="16"/>
              </w:rPr>
              <w:t>Error correction in commercial refrigerant-related emissions.</w:t>
            </w:r>
          </w:p>
        </w:tc>
        <w:tc>
          <w:tcPr>
            <w:tcW w:w="1843" w:type="dxa"/>
            <w:shd w:val="clear" w:color="auto" w:fill="FFFFFF" w:themeFill="background1"/>
            <w:tcMar>
              <w:top w:w="0" w:type="dxa"/>
              <w:left w:w="85" w:type="dxa"/>
              <w:bottom w:w="0" w:type="dxa"/>
              <w:right w:w="85" w:type="dxa"/>
            </w:tcMar>
          </w:tcPr>
          <w:p w14:paraId="50262F16" w14:textId="77777777" w:rsidR="00CF3E30" w:rsidRPr="00C74702" w:rsidRDefault="00CF3E30" w:rsidP="00F16E23">
            <w:pPr>
              <w:pStyle w:val="TableText"/>
              <w:spacing w:before="40" w:after="40"/>
              <w:rPr>
                <w:rFonts w:eastAsia="Calibri"/>
                <w:szCs w:val="16"/>
              </w:rPr>
            </w:pPr>
            <w:r w:rsidRPr="00C74702" w:rsidDel="003A362E">
              <w:rPr>
                <w:rFonts w:eastAsia="Calibri"/>
                <w:szCs w:val="16"/>
              </w:rPr>
              <w:t>Accuracy</w:t>
            </w:r>
          </w:p>
        </w:tc>
        <w:tc>
          <w:tcPr>
            <w:tcW w:w="1548" w:type="dxa"/>
            <w:shd w:val="clear" w:color="auto" w:fill="FFFFFF" w:themeFill="background1"/>
            <w:tcMar>
              <w:top w:w="0" w:type="dxa"/>
              <w:left w:w="85" w:type="dxa"/>
              <w:bottom w:w="0" w:type="dxa"/>
              <w:right w:w="85" w:type="dxa"/>
            </w:tcMar>
          </w:tcPr>
          <w:p w14:paraId="63E94006" w14:textId="77777777" w:rsidR="00CF3E30" w:rsidRPr="00C74702" w:rsidRDefault="00CF3E30" w:rsidP="00F16E23">
            <w:pPr>
              <w:pStyle w:val="TableText"/>
              <w:spacing w:before="40" w:after="40"/>
              <w:rPr>
                <w:rFonts w:eastAsia="Calibri"/>
                <w:szCs w:val="16"/>
              </w:rPr>
            </w:pPr>
            <w:r w:rsidRPr="00C74702" w:rsidDel="003B0A33">
              <w:rPr>
                <w:rFonts w:eastAsia="Calibri"/>
                <w:szCs w:val="16"/>
              </w:rPr>
              <w:t>Correction of errors</w:t>
            </w:r>
          </w:p>
        </w:tc>
      </w:tr>
      <w:tr w:rsidR="00CF3E30" w:rsidRPr="00C74702" w14:paraId="5637B3E0" w14:textId="77777777" w:rsidTr="00F16E23">
        <w:tc>
          <w:tcPr>
            <w:tcW w:w="918" w:type="dxa"/>
            <w:shd w:val="clear" w:color="auto" w:fill="FFFFFF" w:themeFill="background1"/>
            <w:tcMar>
              <w:top w:w="0" w:type="dxa"/>
              <w:left w:w="85" w:type="dxa"/>
              <w:bottom w:w="0" w:type="dxa"/>
              <w:right w:w="85" w:type="dxa"/>
            </w:tcMar>
          </w:tcPr>
          <w:p w14:paraId="613A229D"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0E4ED33B" w14:textId="77777777" w:rsidR="00CF3E30" w:rsidRPr="00C74702" w:rsidRDefault="00CF3E30" w:rsidP="00F16E23">
            <w:pPr>
              <w:pStyle w:val="TableText"/>
              <w:spacing w:before="40" w:after="40"/>
              <w:rPr>
                <w:rFonts w:eastAsia="Calibri"/>
                <w:szCs w:val="16"/>
              </w:rPr>
            </w:pPr>
            <w:r w:rsidRPr="00C74702" w:rsidDel="00374D01">
              <w:rPr>
                <w:rFonts w:eastAsia="Calibri"/>
                <w:szCs w:val="16"/>
              </w:rPr>
              <w:t>Minor error correction in stationary refrigerant-related emissions.</w:t>
            </w:r>
          </w:p>
        </w:tc>
        <w:tc>
          <w:tcPr>
            <w:tcW w:w="1843" w:type="dxa"/>
            <w:shd w:val="clear" w:color="auto" w:fill="FFFFFF" w:themeFill="background1"/>
            <w:tcMar>
              <w:top w:w="0" w:type="dxa"/>
              <w:left w:w="85" w:type="dxa"/>
              <w:bottom w:w="0" w:type="dxa"/>
              <w:right w:w="85" w:type="dxa"/>
            </w:tcMar>
          </w:tcPr>
          <w:p w14:paraId="010A2B05" w14:textId="77777777" w:rsidR="00CF3E30" w:rsidRPr="00C74702" w:rsidRDefault="00CF3E30" w:rsidP="00F16E23">
            <w:pPr>
              <w:pStyle w:val="TableText"/>
              <w:spacing w:before="40" w:after="40"/>
              <w:rPr>
                <w:rFonts w:eastAsia="Calibri"/>
                <w:szCs w:val="16"/>
              </w:rPr>
            </w:pPr>
            <w:r w:rsidRPr="00C74702" w:rsidDel="003A362E">
              <w:rPr>
                <w:rFonts w:eastAsia="Calibri"/>
                <w:szCs w:val="16"/>
              </w:rPr>
              <w:t>Accuracy</w:t>
            </w:r>
          </w:p>
        </w:tc>
        <w:tc>
          <w:tcPr>
            <w:tcW w:w="1548" w:type="dxa"/>
            <w:shd w:val="clear" w:color="auto" w:fill="FFFFFF" w:themeFill="background1"/>
            <w:tcMar>
              <w:top w:w="0" w:type="dxa"/>
              <w:left w:w="85" w:type="dxa"/>
              <w:bottom w:w="0" w:type="dxa"/>
              <w:right w:w="85" w:type="dxa"/>
            </w:tcMar>
          </w:tcPr>
          <w:p w14:paraId="7E211536" w14:textId="77777777" w:rsidR="00CF3E30" w:rsidRPr="00C74702" w:rsidRDefault="00CF3E30" w:rsidP="00F16E23">
            <w:pPr>
              <w:pStyle w:val="TableText"/>
              <w:spacing w:before="40" w:after="40"/>
              <w:rPr>
                <w:rFonts w:eastAsia="Calibri"/>
                <w:szCs w:val="16"/>
              </w:rPr>
            </w:pPr>
            <w:r w:rsidRPr="00C74702" w:rsidDel="003B0A33">
              <w:rPr>
                <w:rFonts w:eastAsia="Calibri"/>
                <w:szCs w:val="16"/>
              </w:rPr>
              <w:t>Correction of errors</w:t>
            </w:r>
          </w:p>
        </w:tc>
      </w:tr>
      <w:tr w:rsidR="00CF3E30" w:rsidRPr="00C74702" w14:paraId="646D6DC9" w14:textId="77777777" w:rsidTr="00F16E23">
        <w:tc>
          <w:tcPr>
            <w:tcW w:w="918" w:type="dxa"/>
            <w:shd w:val="clear" w:color="auto" w:fill="FFFFFF" w:themeFill="background1"/>
            <w:tcMar>
              <w:top w:w="0" w:type="dxa"/>
              <w:left w:w="85" w:type="dxa"/>
              <w:bottom w:w="0" w:type="dxa"/>
              <w:right w:w="85" w:type="dxa"/>
            </w:tcMar>
          </w:tcPr>
          <w:p w14:paraId="31FC761D"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3D4BF2EE" w14:textId="77777777" w:rsidR="00CF3E30" w:rsidRPr="00C74702" w:rsidDel="00374D01" w:rsidRDefault="00CF3E30" w:rsidP="00F16E23">
            <w:pPr>
              <w:pStyle w:val="TableText"/>
              <w:spacing w:before="40" w:after="40"/>
              <w:rPr>
                <w:rFonts w:eastAsia="Calibri"/>
                <w:szCs w:val="16"/>
              </w:rPr>
            </w:pPr>
            <w:r w:rsidRPr="00C74702">
              <w:rPr>
                <w:rFonts w:eastAsia="Calibri"/>
                <w:szCs w:val="16"/>
              </w:rPr>
              <w:t>Transport refrigeration net equipment stock adjustments.</w:t>
            </w:r>
          </w:p>
        </w:tc>
        <w:tc>
          <w:tcPr>
            <w:tcW w:w="1843" w:type="dxa"/>
            <w:shd w:val="clear" w:color="auto" w:fill="FFFFFF" w:themeFill="background1"/>
            <w:tcMar>
              <w:top w:w="0" w:type="dxa"/>
              <w:left w:w="85" w:type="dxa"/>
              <w:bottom w:w="0" w:type="dxa"/>
              <w:right w:w="85" w:type="dxa"/>
            </w:tcMar>
          </w:tcPr>
          <w:p w14:paraId="25B35760" w14:textId="77777777" w:rsidR="00CF3E30" w:rsidRPr="00C74702" w:rsidDel="003A362E" w:rsidRDefault="00CF3E30" w:rsidP="00F16E23">
            <w:pPr>
              <w:pStyle w:val="TableText"/>
              <w:spacing w:before="40" w:after="40"/>
              <w:rPr>
                <w:rFonts w:eastAsia="Calibri"/>
                <w:szCs w:val="16"/>
              </w:rPr>
            </w:pPr>
            <w:r w:rsidRPr="00C74702">
              <w:rPr>
                <w:rFonts w:eastAsia="Calibri"/>
                <w:szCs w:val="16"/>
              </w:rPr>
              <w:t>Accuracy</w:t>
            </w:r>
          </w:p>
        </w:tc>
        <w:tc>
          <w:tcPr>
            <w:tcW w:w="1548" w:type="dxa"/>
            <w:shd w:val="clear" w:color="auto" w:fill="FFFFFF" w:themeFill="background1"/>
            <w:tcMar>
              <w:top w:w="0" w:type="dxa"/>
              <w:left w:w="85" w:type="dxa"/>
              <w:bottom w:w="0" w:type="dxa"/>
              <w:right w:w="85" w:type="dxa"/>
            </w:tcMar>
          </w:tcPr>
          <w:p w14:paraId="6C2BB937" w14:textId="77777777" w:rsidR="00CF3E30" w:rsidRPr="00C74702" w:rsidDel="003B0A33" w:rsidRDefault="00CF3E30" w:rsidP="00F16E23">
            <w:pPr>
              <w:pStyle w:val="TableText"/>
              <w:spacing w:before="40" w:after="40"/>
              <w:rPr>
                <w:rFonts w:eastAsia="Calibri"/>
                <w:szCs w:val="16"/>
              </w:rPr>
            </w:pPr>
            <w:r w:rsidRPr="00C74702">
              <w:rPr>
                <w:rFonts w:eastAsia="Calibri"/>
                <w:szCs w:val="16"/>
              </w:rPr>
              <w:t>Improved data availability</w:t>
            </w:r>
          </w:p>
        </w:tc>
      </w:tr>
      <w:tr w:rsidR="00CF3E30" w:rsidRPr="00C74702" w14:paraId="1A1621A0" w14:textId="77777777" w:rsidTr="00F16E23">
        <w:tc>
          <w:tcPr>
            <w:tcW w:w="918" w:type="dxa"/>
            <w:shd w:val="clear" w:color="auto" w:fill="FFFFFF" w:themeFill="background1"/>
            <w:tcMar>
              <w:top w:w="0" w:type="dxa"/>
              <w:left w:w="85" w:type="dxa"/>
              <w:bottom w:w="0" w:type="dxa"/>
              <w:right w:w="85" w:type="dxa"/>
            </w:tcMar>
          </w:tcPr>
          <w:p w14:paraId="5519AD22"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5513C785" w14:textId="77777777" w:rsidR="00CF3E30" w:rsidRPr="00C74702" w:rsidDel="00374D01" w:rsidRDefault="00CF3E30" w:rsidP="00F16E23">
            <w:pPr>
              <w:pStyle w:val="TableText"/>
              <w:spacing w:before="40" w:after="40"/>
              <w:rPr>
                <w:rFonts w:eastAsia="Calibri"/>
                <w:szCs w:val="16"/>
              </w:rPr>
            </w:pPr>
            <w:r w:rsidRPr="00C74702">
              <w:rPr>
                <w:rFonts w:eastAsia="Calibri"/>
                <w:szCs w:val="16"/>
              </w:rPr>
              <w:t>Minor error correction in transport refrigerant-related emissions.</w:t>
            </w:r>
          </w:p>
        </w:tc>
        <w:tc>
          <w:tcPr>
            <w:tcW w:w="1843" w:type="dxa"/>
            <w:shd w:val="clear" w:color="auto" w:fill="FFFFFF" w:themeFill="background1"/>
            <w:tcMar>
              <w:top w:w="0" w:type="dxa"/>
              <w:left w:w="85" w:type="dxa"/>
              <w:bottom w:w="0" w:type="dxa"/>
              <w:right w:w="85" w:type="dxa"/>
            </w:tcMar>
          </w:tcPr>
          <w:p w14:paraId="72DA0ECF" w14:textId="77777777" w:rsidR="00CF3E30" w:rsidRPr="00C74702" w:rsidDel="003A362E" w:rsidRDefault="00CF3E30" w:rsidP="00F16E23">
            <w:pPr>
              <w:pStyle w:val="TableText"/>
              <w:spacing w:before="40" w:after="40"/>
              <w:rPr>
                <w:rFonts w:eastAsia="Calibri"/>
                <w:szCs w:val="16"/>
              </w:rPr>
            </w:pPr>
            <w:r w:rsidRPr="00C74702">
              <w:rPr>
                <w:rFonts w:eastAsia="Calibri"/>
                <w:szCs w:val="16"/>
              </w:rPr>
              <w:t>Accuracy</w:t>
            </w:r>
          </w:p>
        </w:tc>
        <w:tc>
          <w:tcPr>
            <w:tcW w:w="1548" w:type="dxa"/>
            <w:shd w:val="clear" w:color="auto" w:fill="FFFFFF" w:themeFill="background1"/>
            <w:tcMar>
              <w:top w:w="0" w:type="dxa"/>
              <w:left w:w="85" w:type="dxa"/>
              <w:bottom w:w="0" w:type="dxa"/>
              <w:right w:w="85" w:type="dxa"/>
            </w:tcMar>
          </w:tcPr>
          <w:p w14:paraId="3276FEB5" w14:textId="77777777" w:rsidR="00CF3E30" w:rsidRPr="00C74702" w:rsidDel="003B0A33" w:rsidRDefault="00CF3E30" w:rsidP="00F16E23">
            <w:pPr>
              <w:pStyle w:val="TableText"/>
              <w:spacing w:before="40" w:after="40"/>
              <w:rPr>
                <w:rFonts w:eastAsia="Calibri"/>
                <w:szCs w:val="16"/>
              </w:rPr>
            </w:pPr>
            <w:r w:rsidRPr="00C74702">
              <w:rPr>
                <w:rFonts w:eastAsia="Calibri"/>
                <w:szCs w:val="16"/>
              </w:rPr>
              <w:t>Correction of errors</w:t>
            </w:r>
          </w:p>
        </w:tc>
      </w:tr>
      <w:tr w:rsidR="00CF3E30" w:rsidRPr="00C74702" w14:paraId="0C2FEA27" w14:textId="77777777" w:rsidTr="00F16E23">
        <w:tc>
          <w:tcPr>
            <w:tcW w:w="918" w:type="dxa"/>
            <w:shd w:val="clear" w:color="auto" w:fill="FFFFFF" w:themeFill="background1"/>
            <w:tcMar>
              <w:top w:w="0" w:type="dxa"/>
              <w:left w:w="85" w:type="dxa"/>
              <w:bottom w:w="0" w:type="dxa"/>
              <w:right w:w="85" w:type="dxa"/>
            </w:tcMar>
          </w:tcPr>
          <w:p w14:paraId="5E14AF9F" w14:textId="77777777" w:rsidR="00CF3E30" w:rsidRPr="00C74702" w:rsidRDefault="00CF3E30" w:rsidP="00F16E23">
            <w:pPr>
              <w:pStyle w:val="TableText"/>
              <w:keepNext/>
              <w:spacing w:before="40" w:after="40"/>
              <w:rPr>
                <w:rFonts w:eastAsia="Calibri"/>
                <w:color w:val="000000"/>
                <w:szCs w:val="16"/>
              </w:rPr>
            </w:pPr>
            <w:r w:rsidRPr="00C74702">
              <w:rPr>
                <w:rFonts w:eastAsia="Calibri"/>
                <w:color w:val="000000" w:themeColor="text1"/>
                <w:szCs w:val="16"/>
              </w:rPr>
              <w:t>Agriculture</w:t>
            </w:r>
          </w:p>
        </w:tc>
        <w:tc>
          <w:tcPr>
            <w:tcW w:w="4185" w:type="dxa"/>
            <w:shd w:val="clear" w:color="auto" w:fill="FFFFFF" w:themeFill="background1"/>
            <w:tcMar>
              <w:top w:w="0" w:type="dxa"/>
              <w:left w:w="85" w:type="dxa"/>
              <w:bottom w:w="0" w:type="dxa"/>
              <w:right w:w="85" w:type="dxa"/>
            </w:tcMar>
          </w:tcPr>
          <w:p w14:paraId="5AA23EF3" w14:textId="77777777" w:rsidR="00CF3E30" w:rsidRPr="00C74702" w:rsidRDefault="00CF3E30" w:rsidP="00F16E23">
            <w:pPr>
              <w:pStyle w:val="TableText"/>
              <w:spacing w:before="40" w:after="40"/>
              <w:rPr>
                <w:rFonts w:eastAsia="Calibri"/>
                <w:color w:val="000000"/>
                <w:szCs w:val="16"/>
              </w:rPr>
            </w:pPr>
            <w:r w:rsidRPr="00C74702">
              <w:rPr>
                <w:rFonts w:eastAsia="Calibri"/>
                <w:color w:val="000000" w:themeColor="text1"/>
                <w:szCs w:val="16"/>
              </w:rPr>
              <w:t>Recognising the impact of EcoPond™ on reducing emissions from anaerobic lagoons when treated following the Standard Operating Procedure, with a 92 percent mitigation factor for treated effluent and a 6</w:t>
            </w:r>
            <w:r w:rsidRPr="00C74702">
              <w:rPr>
                <w:rFonts w:eastAsia="Calibri"/>
                <w:color w:val="000000" w:themeColor="text1"/>
                <w:szCs w:val="16"/>
              </w:rPr>
              <w:noBreakHyphen/>
              <w:t>week efficacy period.</w:t>
            </w:r>
          </w:p>
        </w:tc>
        <w:tc>
          <w:tcPr>
            <w:tcW w:w="1843" w:type="dxa"/>
            <w:shd w:val="clear" w:color="auto" w:fill="FFFFFF" w:themeFill="background1"/>
            <w:tcMar>
              <w:top w:w="0" w:type="dxa"/>
              <w:left w:w="85" w:type="dxa"/>
              <w:bottom w:w="0" w:type="dxa"/>
              <w:right w:w="85" w:type="dxa"/>
            </w:tcMar>
          </w:tcPr>
          <w:p w14:paraId="1D55E877" w14:textId="77777777" w:rsidR="00CF3E30" w:rsidRPr="00C74702" w:rsidRDefault="00CF3E30" w:rsidP="00F16E23">
            <w:pPr>
              <w:pStyle w:val="TableText"/>
              <w:spacing w:before="40" w:after="40"/>
              <w:rPr>
                <w:rFonts w:eastAsia="Calibri"/>
                <w:szCs w:val="16"/>
              </w:rPr>
            </w:pPr>
            <w:r w:rsidRPr="00C74702" w:rsidDel="002840A1">
              <w:rPr>
                <w:rFonts w:eastAsia="Calibri"/>
                <w:szCs w:val="16"/>
              </w:rPr>
              <w:t>Accuracy</w:t>
            </w:r>
          </w:p>
        </w:tc>
        <w:tc>
          <w:tcPr>
            <w:tcW w:w="1548" w:type="dxa"/>
            <w:shd w:val="clear" w:color="auto" w:fill="FFFFFF" w:themeFill="background1"/>
            <w:tcMar>
              <w:top w:w="0" w:type="dxa"/>
              <w:left w:w="85" w:type="dxa"/>
              <w:bottom w:w="0" w:type="dxa"/>
              <w:right w:w="85" w:type="dxa"/>
            </w:tcMar>
          </w:tcPr>
          <w:p w14:paraId="03C3DE33" w14:textId="77777777" w:rsidR="00CF3E30" w:rsidRPr="00C74702" w:rsidRDefault="00CF3E30" w:rsidP="00F16E23">
            <w:pPr>
              <w:pStyle w:val="TableText"/>
              <w:spacing w:before="40" w:after="40"/>
              <w:rPr>
                <w:rFonts w:eastAsia="Calibri"/>
                <w:szCs w:val="16"/>
              </w:rPr>
            </w:pPr>
          </w:p>
        </w:tc>
      </w:tr>
      <w:tr w:rsidR="00CF3E30" w:rsidRPr="00C74702" w14:paraId="4BB97AA1" w14:textId="77777777" w:rsidTr="00F16E23">
        <w:tc>
          <w:tcPr>
            <w:tcW w:w="918" w:type="dxa"/>
            <w:shd w:val="clear" w:color="auto" w:fill="FFFFFF" w:themeFill="background1"/>
            <w:tcMar>
              <w:top w:w="0" w:type="dxa"/>
              <w:left w:w="85" w:type="dxa"/>
              <w:bottom w:w="0" w:type="dxa"/>
              <w:right w:w="85" w:type="dxa"/>
            </w:tcMar>
          </w:tcPr>
          <w:p w14:paraId="2536804F" w14:textId="77777777" w:rsidR="00CF3E30" w:rsidRPr="00C74702" w:rsidRDefault="00CF3E30" w:rsidP="00F16E23">
            <w:pPr>
              <w:pStyle w:val="TableText"/>
              <w:spacing w:before="40" w:after="40"/>
            </w:pPr>
          </w:p>
        </w:tc>
        <w:tc>
          <w:tcPr>
            <w:tcW w:w="4185" w:type="dxa"/>
            <w:shd w:val="clear" w:color="auto" w:fill="FFFFFF" w:themeFill="background1"/>
            <w:tcMar>
              <w:top w:w="0" w:type="dxa"/>
              <w:left w:w="85" w:type="dxa"/>
              <w:bottom w:w="0" w:type="dxa"/>
              <w:right w:w="85" w:type="dxa"/>
            </w:tcMar>
          </w:tcPr>
          <w:p w14:paraId="36E51BA2"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Improvements to activity data and methodology for calculating emissions from dairy manure management: </w:t>
            </w:r>
          </w:p>
          <w:p w14:paraId="0E61F3E4" w14:textId="77777777" w:rsidR="00CF3E30" w:rsidRPr="00C74702" w:rsidRDefault="00CF3E30" w:rsidP="00CF3E30">
            <w:pPr>
              <w:pStyle w:val="TableBullet"/>
              <w:spacing w:before="0" w:after="40"/>
            </w:pPr>
            <w:r w:rsidRPr="00C74702">
              <w:t>updated annual proportions of dairy manure entering manure management systems</w:t>
            </w:r>
          </w:p>
          <w:p w14:paraId="5ED623BB" w14:textId="77777777" w:rsidR="00CF3E30" w:rsidRPr="00C74702" w:rsidRDefault="00CF3E30" w:rsidP="00CF3E30">
            <w:pPr>
              <w:pStyle w:val="TableBullet"/>
              <w:spacing w:before="0" w:after="40"/>
            </w:pPr>
            <w:r w:rsidRPr="00C74702">
              <w:t xml:space="preserve">introduction of solid storage as a manure management system for dairy, with default emission factors </w:t>
            </w:r>
          </w:p>
          <w:p w14:paraId="582595B9" w14:textId="77777777" w:rsidR="00CF3E30" w:rsidRPr="00C74702" w:rsidRDefault="00CF3E30" w:rsidP="00CF3E30">
            <w:pPr>
              <w:pStyle w:val="TableBullet"/>
              <w:spacing w:before="0" w:after="40"/>
            </w:pPr>
            <w:r w:rsidRPr="00C74702">
              <w:t>seasonal allocation of total annual manure collected on structures</w:t>
            </w:r>
          </w:p>
        </w:tc>
        <w:tc>
          <w:tcPr>
            <w:tcW w:w="1843" w:type="dxa"/>
            <w:shd w:val="clear" w:color="auto" w:fill="FFFFFF" w:themeFill="background1"/>
            <w:tcMar>
              <w:top w:w="0" w:type="dxa"/>
              <w:left w:w="85" w:type="dxa"/>
              <w:bottom w:w="0" w:type="dxa"/>
              <w:right w:w="85" w:type="dxa"/>
            </w:tcMar>
          </w:tcPr>
          <w:p w14:paraId="34EDBD6A" w14:textId="77777777" w:rsidR="00CF3E30" w:rsidRPr="00C74702" w:rsidRDefault="00CF3E30" w:rsidP="00F16E23">
            <w:pPr>
              <w:pStyle w:val="TableText"/>
              <w:spacing w:before="40" w:after="40"/>
              <w:rPr>
                <w:rFonts w:eastAsia="Calibri"/>
                <w:szCs w:val="16"/>
              </w:rPr>
            </w:pPr>
            <w:r w:rsidRPr="00C74702" w:rsidDel="002840A1">
              <w:rPr>
                <w:rFonts w:eastAsia="Calibri"/>
                <w:szCs w:val="16"/>
              </w:rPr>
              <w:t>Accuracy</w:t>
            </w:r>
          </w:p>
        </w:tc>
        <w:tc>
          <w:tcPr>
            <w:tcW w:w="1548" w:type="dxa"/>
            <w:shd w:val="clear" w:color="auto" w:fill="FFFFFF" w:themeFill="background1"/>
            <w:tcMar>
              <w:top w:w="0" w:type="dxa"/>
              <w:left w:w="85" w:type="dxa"/>
              <w:bottom w:w="0" w:type="dxa"/>
              <w:right w:w="85" w:type="dxa"/>
            </w:tcMar>
          </w:tcPr>
          <w:p w14:paraId="1F8851DE" w14:textId="77777777" w:rsidR="00CF3E30" w:rsidRPr="00C74702" w:rsidRDefault="00CF3E30" w:rsidP="00F16E23">
            <w:pPr>
              <w:pStyle w:val="TableText"/>
              <w:spacing w:before="40" w:after="40"/>
              <w:rPr>
                <w:rFonts w:eastAsia="Calibri"/>
                <w:szCs w:val="16"/>
              </w:rPr>
            </w:pPr>
            <w:r w:rsidRPr="00C74702">
              <w:rPr>
                <w:rFonts w:eastAsia="Calibri"/>
                <w:szCs w:val="16"/>
              </w:rPr>
              <w:t>Improved data availability</w:t>
            </w:r>
          </w:p>
        </w:tc>
      </w:tr>
      <w:tr w:rsidR="00CF3E30" w:rsidRPr="00C74702" w14:paraId="24A715C8" w14:textId="77777777" w:rsidTr="00F16E23">
        <w:tc>
          <w:tcPr>
            <w:tcW w:w="918" w:type="dxa"/>
            <w:shd w:val="clear" w:color="auto" w:fill="FFFFFF" w:themeFill="background1"/>
            <w:tcMar>
              <w:top w:w="0" w:type="dxa"/>
              <w:left w:w="85" w:type="dxa"/>
              <w:bottom w:w="0" w:type="dxa"/>
              <w:right w:w="85" w:type="dxa"/>
            </w:tcMar>
          </w:tcPr>
          <w:p w14:paraId="25A2492F" w14:textId="77777777" w:rsidR="00CF3E30" w:rsidRPr="00C74702" w:rsidRDefault="00CF3E30" w:rsidP="00F16E23">
            <w:pPr>
              <w:pStyle w:val="TableText"/>
              <w:spacing w:before="40" w:after="40"/>
            </w:pPr>
          </w:p>
        </w:tc>
        <w:tc>
          <w:tcPr>
            <w:tcW w:w="4185" w:type="dxa"/>
            <w:shd w:val="clear" w:color="auto" w:fill="FFFFFF" w:themeFill="background1"/>
            <w:tcMar>
              <w:top w:w="0" w:type="dxa"/>
              <w:left w:w="85" w:type="dxa"/>
              <w:bottom w:w="0" w:type="dxa"/>
              <w:right w:w="85" w:type="dxa"/>
            </w:tcMar>
          </w:tcPr>
          <w:p w14:paraId="5DDE499E" w14:textId="77777777" w:rsidR="00CF3E30" w:rsidRPr="00C74702" w:rsidRDefault="00CF3E30" w:rsidP="00F16E23">
            <w:pPr>
              <w:pStyle w:val="TableText"/>
              <w:spacing w:before="40" w:after="40"/>
              <w:rPr>
                <w:rFonts w:eastAsia="Calibri"/>
                <w:szCs w:val="16"/>
              </w:rPr>
            </w:pPr>
            <w:r w:rsidRPr="00C74702">
              <w:rPr>
                <w:rFonts w:eastAsia="Calibri"/>
                <w:szCs w:val="16"/>
              </w:rPr>
              <w:t>Updating the emission factor (EF</w:t>
            </w:r>
            <w:r w:rsidRPr="00C74702">
              <w:rPr>
                <w:rFonts w:eastAsia="Calibri"/>
                <w:szCs w:val="16"/>
                <w:vertAlign w:val="subscript"/>
              </w:rPr>
              <w:t>1</w:t>
            </w:r>
            <w:r w:rsidRPr="00C74702">
              <w:rPr>
                <w:rFonts w:eastAsia="Calibri"/>
                <w:szCs w:val="16"/>
              </w:rPr>
              <w:t>)values for all non-urea synthetic fertiliser to take the same value as urea (0.59 percent).</w:t>
            </w:r>
          </w:p>
        </w:tc>
        <w:tc>
          <w:tcPr>
            <w:tcW w:w="1843" w:type="dxa"/>
            <w:shd w:val="clear" w:color="auto" w:fill="FFFFFF" w:themeFill="background1"/>
            <w:tcMar>
              <w:top w:w="0" w:type="dxa"/>
              <w:left w:w="85" w:type="dxa"/>
              <w:bottom w:w="0" w:type="dxa"/>
              <w:right w:w="85" w:type="dxa"/>
            </w:tcMar>
          </w:tcPr>
          <w:p w14:paraId="33BB1F6C" w14:textId="77777777" w:rsidR="00CF3E30" w:rsidRPr="00C74702" w:rsidRDefault="00CF3E30" w:rsidP="00F16E23">
            <w:pPr>
              <w:pStyle w:val="TableText"/>
              <w:spacing w:before="40" w:after="40"/>
              <w:rPr>
                <w:rFonts w:eastAsia="Calibri"/>
                <w:szCs w:val="16"/>
              </w:rPr>
            </w:pPr>
            <w:r w:rsidRPr="00C74702" w:rsidDel="002840A1">
              <w:rPr>
                <w:rFonts w:eastAsia="Calibri"/>
                <w:szCs w:val="16"/>
              </w:rPr>
              <w:t>Accuracy</w:t>
            </w:r>
          </w:p>
        </w:tc>
        <w:tc>
          <w:tcPr>
            <w:tcW w:w="1548" w:type="dxa"/>
            <w:shd w:val="clear" w:color="auto" w:fill="FFFFFF" w:themeFill="background1"/>
            <w:tcMar>
              <w:top w:w="0" w:type="dxa"/>
              <w:left w:w="85" w:type="dxa"/>
              <w:bottom w:w="0" w:type="dxa"/>
              <w:right w:w="85" w:type="dxa"/>
            </w:tcMar>
          </w:tcPr>
          <w:p w14:paraId="2CB130BA" w14:textId="77777777" w:rsidR="00CF3E30" w:rsidRPr="00C74702" w:rsidRDefault="00CF3E30" w:rsidP="00F16E23">
            <w:pPr>
              <w:pStyle w:val="TableText"/>
              <w:spacing w:before="40" w:after="40"/>
              <w:rPr>
                <w:rFonts w:eastAsia="Calibri"/>
                <w:szCs w:val="16"/>
              </w:rPr>
            </w:pPr>
          </w:p>
        </w:tc>
      </w:tr>
      <w:tr w:rsidR="00CF3E30" w:rsidRPr="00C74702" w14:paraId="443BEDB9" w14:textId="77777777" w:rsidTr="00F16E23">
        <w:tc>
          <w:tcPr>
            <w:tcW w:w="918" w:type="dxa"/>
            <w:shd w:val="clear" w:color="auto" w:fill="FFFFFF" w:themeFill="background1"/>
            <w:tcMar>
              <w:top w:w="0" w:type="dxa"/>
              <w:left w:w="85" w:type="dxa"/>
              <w:bottom w:w="0" w:type="dxa"/>
              <w:right w:w="85" w:type="dxa"/>
            </w:tcMar>
          </w:tcPr>
          <w:p w14:paraId="38FB54B3" w14:textId="77777777" w:rsidR="00CF3E30" w:rsidRPr="00C74702" w:rsidRDefault="00CF3E30" w:rsidP="00F16E23">
            <w:pPr>
              <w:pStyle w:val="TableText"/>
              <w:spacing w:before="40" w:after="40"/>
            </w:pPr>
          </w:p>
        </w:tc>
        <w:tc>
          <w:tcPr>
            <w:tcW w:w="4185" w:type="dxa"/>
            <w:shd w:val="clear" w:color="auto" w:fill="FFFFFF" w:themeFill="background1"/>
            <w:tcMar>
              <w:top w:w="0" w:type="dxa"/>
              <w:left w:w="85" w:type="dxa"/>
              <w:bottom w:w="0" w:type="dxa"/>
              <w:right w:w="85" w:type="dxa"/>
            </w:tcMar>
          </w:tcPr>
          <w:p w14:paraId="1CED35F7" w14:textId="77777777" w:rsidR="00CF3E30" w:rsidRPr="00C74702" w:rsidRDefault="00CF3E30" w:rsidP="00F16E23">
            <w:pPr>
              <w:pStyle w:val="TableText"/>
              <w:spacing w:before="40" w:after="40"/>
              <w:rPr>
                <w:rFonts w:eastAsia="Calibri"/>
                <w:szCs w:val="16"/>
              </w:rPr>
            </w:pPr>
            <w:r w:rsidRPr="00C74702">
              <w:rPr>
                <w:rFonts w:eastAsia="Calibri"/>
                <w:szCs w:val="16"/>
              </w:rPr>
              <w:t>Aligning</w:t>
            </w:r>
            <w:r w:rsidRPr="00C74702" w:rsidDel="00AC58F4">
              <w:rPr>
                <w:rFonts w:eastAsia="Calibri"/>
                <w:szCs w:val="16"/>
              </w:rPr>
              <w:t xml:space="preserve"> </w:t>
            </w:r>
            <w:r w:rsidRPr="00C74702">
              <w:rPr>
                <w:rFonts w:eastAsia="Calibri"/>
                <w:szCs w:val="16"/>
              </w:rPr>
              <w:t>the Agriculture Inventory to the latest Intergovernmental Panel on Climate Change (IPCC) advice (IPCC, 2019).</w:t>
            </w:r>
          </w:p>
        </w:tc>
        <w:tc>
          <w:tcPr>
            <w:tcW w:w="1843" w:type="dxa"/>
            <w:shd w:val="clear" w:color="auto" w:fill="FFFFFF" w:themeFill="background1"/>
            <w:tcMar>
              <w:top w:w="0" w:type="dxa"/>
              <w:left w:w="85" w:type="dxa"/>
              <w:bottom w:w="0" w:type="dxa"/>
              <w:right w:w="85" w:type="dxa"/>
            </w:tcMar>
          </w:tcPr>
          <w:p w14:paraId="533BFD86" w14:textId="77777777" w:rsidR="00CF3E30" w:rsidRPr="00C74702" w:rsidRDefault="00CF3E30" w:rsidP="00F16E23">
            <w:pPr>
              <w:pStyle w:val="TableText"/>
              <w:spacing w:before="40" w:after="40"/>
              <w:rPr>
                <w:rFonts w:eastAsia="Calibri"/>
                <w:szCs w:val="16"/>
              </w:rPr>
            </w:pPr>
            <w:r w:rsidRPr="00C74702" w:rsidDel="002840A1">
              <w:rPr>
                <w:rFonts w:eastAsia="Calibri"/>
                <w:szCs w:val="16"/>
              </w:rPr>
              <w:t>Accuracy</w:t>
            </w:r>
          </w:p>
        </w:tc>
        <w:tc>
          <w:tcPr>
            <w:tcW w:w="1548" w:type="dxa"/>
            <w:shd w:val="clear" w:color="auto" w:fill="FFFFFF" w:themeFill="background1"/>
            <w:tcMar>
              <w:top w:w="0" w:type="dxa"/>
              <w:left w:w="85" w:type="dxa"/>
              <w:bottom w:w="0" w:type="dxa"/>
              <w:right w:w="85" w:type="dxa"/>
            </w:tcMar>
          </w:tcPr>
          <w:p w14:paraId="3F79F1BE" w14:textId="77777777" w:rsidR="00CF3E30" w:rsidRPr="00C74702" w:rsidRDefault="00CF3E30" w:rsidP="00F16E23">
            <w:pPr>
              <w:pStyle w:val="TableText"/>
              <w:spacing w:before="40" w:after="40"/>
              <w:rPr>
                <w:rFonts w:eastAsia="Calibri"/>
                <w:szCs w:val="16"/>
              </w:rPr>
            </w:pPr>
            <w:r w:rsidRPr="00C74702">
              <w:rPr>
                <w:rFonts w:eastAsia="Calibri"/>
                <w:szCs w:val="16"/>
              </w:rPr>
              <w:t>Completeness</w:t>
            </w:r>
          </w:p>
        </w:tc>
      </w:tr>
      <w:tr w:rsidR="00CF3E30" w:rsidRPr="00C74702" w14:paraId="184CDA4C" w14:textId="77777777" w:rsidTr="00F16E23">
        <w:tc>
          <w:tcPr>
            <w:tcW w:w="918" w:type="dxa"/>
            <w:shd w:val="clear" w:color="auto" w:fill="FFFFFF" w:themeFill="background1"/>
            <w:tcMar>
              <w:top w:w="0" w:type="dxa"/>
              <w:left w:w="85" w:type="dxa"/>
              <w:bottom w:w="0" w:type="dxa"/>
              <w:right w:w="85" w:type="dxa"/>
            </w:tcMar>
          </w:tcPr>
          <w:p w14:paraId="4A1BBB08"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24E3002B" w14:textId="77777777" w:rsidR="00CF3E30" w:rsidRPr="00C74702" w:rsidRDefault="00CF3E30" w:rsidP="00F16E23">
            <w:pPr>
              <w:pStyle w:val="TableText"/>
              <w:spacing w:before="40" w:after="40"/>
              <w:rPr>
                <w:rFonts w:eastAsia="Calibri"/>
                <w:szCs w:val="16"/>
              </w:rPr>
            </w:pPr>
            <w:r w:rsidRPr="00C74702">
              <w:rPr>
                <w:rFonts w:eastAsia="Calibri"/>
                <w:szCs w:val="16"/>
              </w:rPr>
              <w:t>Error corrections and improvements to model code.</w:t>
            </w:r>
          </w:p>
        </w:tc>
        <w:tc>
          <w:tcPr>
            <w:tcW w:w="1843" w:type="dxa"/>
            <w:shd w:val="clear" w:color="auto" w:fill="FFFFFF" w:themeFill="background1"/>
            <w:tcMar>
              <w:top w:w="0" w:type="dxa"/>
              <w:left w:w="85" w:type="dxa"/>
              <w:bottom w:w="0" w:type="dxa"/>
              <w:right w:w="85" w:type="dxa"/>
            </w:tcMar>
          </w:tcPr>
          <w:p w14:paraId="338A386E" w14:textId="77777777" w:rsidR="00CF3E30" w:rsidRPr="00C74702" w:rsidRDefault="00CF3E30" w:rsidP="00F16E23">
            <w:pPr>
              <w:pStyle w:val="TableText"/>
              <w:spacing w:before="40" w:after="40"/>
              <w:rPr>
                <w:rFonts w:eastAsia="Calibri"/>
                <w:szCs w:val="16"/>
              </w:rPr>
            </w:pPr>
            <w:r w:rsidRPr="00C74702">
              <w:rPr>
                <w:rFonts w:eastAsia="Calibri"/>
                <w:szCs w:val="16"/>
              </w:rPr>
              <w:t>Accuracy</w:t>
            </w:r>
          </w:p>
        </w:tc>
        <w:tc>
          <w:tcPr>
            <w:tcW w:w="1548" w:type="dxa"/>
            <w:shd w:val="clear" w:color="auto" w:fill="FFFFFF" w:themeFill="background1"/>
            <w:tcMar>
              <w:top w:w="0" w:type="dxa"/>
              <w:left w:w="85" w:type="dxa"/>
              <w:bottom w:w="0" w:type="dxa"/>
              <w:right w:w="85" w:type="dxa"/>
            </w:tcMar>
          </w:tcPr>
          <w:p w14:paraId="58A3A063" w14:textId="77777777" w:rsidR="00CF3E30" w:rsidRPr="00C74702" w:rsidRDefault="00CF3E30" w:rsidP="00F16E23">
            <w:pPr>
              <w:pStyle w:val="TableText"/>
              <w:spacing w:before="40" w:after="40"/>
              <w:rPr>
                <w:rFonts w:eastAsia="Calibri"/>
                <w:szCs w:val="16"/>
              </w:rPr>
            </w:pPr>
            <w:r w:rsidRPr="00C74702">
              <w:rPr>
                <w:rFonts w:eastAsia="Calibri"/>
                <w:szCs w:val="16"/>
              </w:rPr>
              <w:t>Correction of errors</w:t>
            </w:r>
          </w:p>
        </w:tc>
      </w:tr>
      <w:tr w:rsidR="00CF3E30" w:rsidRPr="00C74702" w14:paraId="6904359D" w14:textId="77777777" w:rsidTr="00F16E23">
        <w:tc>
          <w:tcPr>
            <w:tcW w:w="918" w:type="dxa"/>
            <w:shd w:val="clear" w:color="auto" w:fill="FFFFFF" w:themeFill="background1"/>
            <w:tcMar>
              <w:top w:w="0" w:type="dxa"/>
              <w:left w:w="85" w:type="dxa"/>
              <w:bottom w:w="0" w:type="dxa"/>
              <w:right w:w="85" w:type="dxa"/>
            </w:tcMar>
          </w:tcPr>
          <w:p w14:paraId="575F5167" w14:textId="77777777" w:rsidR="00CF3E30" w:rsidRPr="00C74702" w:rsidRDefault="00CF3E30" w:rsidP="00F16E23">
            <w:pPr>
              <w:pStyle w:val="TableText"/>
              <w:spacing w:before="40" w:after="40"/>
              <w:rPr>
                <w:szCs w:val="16"/>
              </w:rPr>
            </w:pPr>
            <w:r w:rsidRPr="00C74702">
              <w:rPr>
                <w:rFonts w:eastAsia="Calibri"/>
                <w:szCs w:val="16"/>
              </w:rPr>
              <w:t>LULUCF</w:t>
            </w:r>
          </w:p>
        </w:tc>
        <w:tc>
          <w:tcPr>
            <w:tcW w:w="4185" w:type="dxa"/>
            <w:shd w:val="clear" w:color="auto" w:fill="FFFFFF" w:themeFill="background1"/>
            <w:tcMar>
              <w:top w:w="0" w:type="dxa"/>
              <w:left w:w="85" w:type="dxa"/>
              <w:bottom w:w="0" w:type="dxa"/>
              <w:right w:w="85" w:type="dxa"/>
            </w:tcMar>
          </w:tcPr>
          <w:p w14:paraId="7EC2B44E"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For the 2026 submission, New Zealand has recalculated its emissions estimates for the Land Use, Land-Use Change and Forestry sector from 1990 to 2023. The recalculations incorporate new activity data in the </w:t>
            </w:r>
            <w:r w:rsidRPr="00C74702">
              <w:rPr>
                <w:rFonts w:eastAsia="Calibri"/>
                <w:i/>
                <w:iCs/>
                <w:szCs w:val="16"/>
              </w:rPr>
              <w:t>Forest land</w:t>
            </w:r>
            <w:r w:rsidRPr="00C74702">
              <w:rPr>
                <w:rFonts w:eastAsia="Calibri"/>
                <w:szCs w:val="16"/>
              </w:rPr>
              <w:t xml:space="preserve"> category for permanent forest area and areas of deforestation, improvement of harvest age modelling, and new country-specific emissions in the </w:t>
            </w:r>
            <w:r w:rsidRPr="00C74702">
              <w:rPr>
                <w:rFonts w:eastAsia="Calibri"/>
                <w:i/>
                <w:iCs/>
                <w:szCs w:val="16"/>
              </w:rPr>
              <w:t>Grassland</w:t>
            </w:r>
            <w:r w:rsidRPr="00C74702">
              <w:rPr>
                <w:rFonts w:eastAsia="Calibri"/>
                <w:szCs w:val="16"/>
              </w:rPr>
              <w:t xml:space="preserve"> category to replace default values.</w:t>
            </w:r>
          </w:p>
        </w:tc>
        <w:tc>
          <w:tcPr>
            <w:tcW w:w="1843" w:type="dxa"/>
            <w:shd w:val="clear" w:color="auto" w:fill="FFFFFF" w:themeFill="background1"/>
            <w:tcMar>
              <w:top w:w="0" w:type="dxa"/>
              <w:left w:w="85" w:type="dxa"/>
              <w:bottom w:w="0" w:type="dxa"/>
              <w:right w:w="85" w:type="dxa"/>
            </w:tcMar>
          </w:tcPr>
          <w:p w14:paraId="0E8C1704" w14:textId="77777777" w:rsidR="00CF3E30" w:rsidRPr="00C74702" w:rsidRDefault="00CF3E30" w:rsidP="00F16E23">
            <w:pPr>
              <w:pStyle w:val="TableText"/>
              <w:spacing w:before="40" w:after="40"/>
              <w:rPr>
                <w:szCs w:val="16"/>
              </w:rPr>
            </w:pPr>
            <w:r w:rsidRPr="00C74702">
              <w:rPr>
                <w:rFonts w:eastAsia="Calibri"/>
                <w:szCs w:val="16"/>
              </w:rPr>
              <w:t>Accuracy, consistency, completeness</w:t>
            </w:r>
          </w:p>
        </w:tc>
        <w:tc>
          <w:tcPr>
            <w:tcW w:w="1548" w:type="dxa"/>
            <w:shd w:val="clear" w:color="auto" w:fill="FFFFFF" w:themeFill="background1"/>
            <w:tcMar>
              <w:top w:w="0" w:type="dxa"/>
              <w:left w:w="85" w:type="dxa"/>
              <w:bottom w:w="0" w:type="dxa"/>
              <w:right w:w="85" w:type="dxa"/>
            </w:tcMar>
          </w:tcPr>
          <w:p w14:paraId="2F5B9F8A" w14:textId="77777777" w:rsidR="00CF3E30" w:rsidRPr="00C74702" w:rsidRDefault="00CF3E30" w:rsidP="00F16E23">
            <w:pPr>
              <w:pStyle w:val="TableText"/>
              <w:spacing w:before="40" w:after="40"/>
              <w:rPr>
                <w:rFonts w:eastAsia="Calibri"/>
                <w:szCs w:val="16"/>
              </w:rPr>
            </w:pPr>
          </w:p>
        </w:tc>
      </w:tr>
      <w:tr w:rsidR="00CF3E30" w:rsidRPr="00C74702" w14:paraId="51CC9D0F" w14:textId="77777777" w:rsidTr="00F16E23">
        <w:tc>
          <w:tcPr>
            <w:tcW w:w="918" w:type="dxa"/>
            <w:shd w:val="clear" w:color="auto" w:fill="FFFFFF" w:themeFill="background1"/>
            <w:tcMar>
              <w:top w:w="0" w:type="dxa"/>
              <w:left w:w="85" w:type="dxa"/>
              <w:bottom w:w="0" w:type="dxa"/>
              <w:right w:w="85" w:type="dxa"/>
            </w:tcMar>
          </w:tcPr>
          <w:p w14:paraId="6189C8FC" w14:textId="77777777" w:rsidR="00CF3E30" w:rsidRPr="00C74702" w:rsidRDefault="00CF3E30" w:rsidP="00F16E23">
            <w:pPr>
              <w:pStyle w:val="TableText"/>
              <w:spacing w:before="40" w:after="40"/>
              <w:rPr>
                <w:szCs w:val="16"/>
              </w:rPr>
            </w:pPr>
            <w:r w:rsidRPr="00C74702">
              <w:rPr>
                <w:rFonts w:eastAsia="Calibri"/>
                <w:szCs w:val="16"/>
              </w:rPr>
              <w:t>Waste</w:t>
            </w:r>
          </w:p>
        </w:tc>
        <w:tc>
          <w:tcPr>
            <w:tcW w:w="4185" w:type="dxa"/>
            <w:shd w:val="clear" w:color="auto" w:fill="FFFFFF" w:themeFill="background1"/>
            <w:tcMar>
              <w:top w:w="0" w:type="dxa"/>
              <w:left w:w="85" w:type="dxa"/>
              <w:bottom w:w="0" w:type="dxa"/>
              <w:right w:w="85" w:type="dxa"/>
            </w:tcMar>
          </w:tcPr>
          <w:p w14:paraId="7DF05C89" w14:textId="77777777" w:rsidR="00CF3E30" w:rsidRPr="00C74702" w:rsidRDefault="00CF3E30" w:rsidP="00F16E23">
            <w:pPr>
              <w:pStyle w:val="TableText"/>
              <w:spacing w:before="40" w:after="40"/>
              <w:rPr>
                <w:szCs w:val="16"/>
              </w:rPr>
            </w:pPr>
            <w:r w:rsidRPr="00C74702">
              <w:rPr>
                <w:rFonts w:eastAsia="Calibri"/>
                <w:color w:val="000000" w:themeColor="text1"/>
                <w:szCs w:val="16"/>
              </w:rPr>
              <w:t xml:space="preserve">Estimated emissions from </w:t>
            </w:r>
            <w:r w:rsidRPr="00C74702">
              <w:rPr>
                <w:rFonts w:eastAsia="Calibri"/>
                <w:i/>
                <w:color w:val="000000" w:themeColor="text1"/>
                <w:szCs w:val="16"/>
              </w:rPr>
              <w:t>Managed waste disposal sites – Anaerobic</w:t>
            </w:r>
            <w:r w:rsidRPr="00C74702">
              <w:rPr>
                <w:rFonts w:eastAsia="Calibri"/>
                <w:color w:val="000000" w:themeColor="text1"/>
                <w:szCs w:val="16"/>
              </w:rPr>
              <w:t xml:space="preserve"> (5.A.1.a) increased by 5.6 kilotonnes carbon dioxide equivalent (kt CO₂e) (0.3 percent) in 1990 and decreased by 33.2 kt CO₂e (2.4 percent) in 2023. These changes result from corrections to the instantaneous gas-capture rate calculation and updates to Tier 1 defaults for half-lives (k-values) for sludge and nappies, in line with the IPCC (2019). Previously, emissions were estimated using Tier 1 k-value defaults from the </w:t>
            </w:r>
            <w:r w:rsidRPr="00C74702">
              <w:rPr>
                <w:rFonts w:eastAsia="Calibri"/>
                <w:i/>
                <w:color w:val="000000" w:themeColor="text1"/>
                <w:szCs w:val="16"/>
              </w:rPr>
              <w:t>2006 Intergovernmental Panel on Climate</w:t>
            </w:r>
            <w:r w:rsidRPr="00C74702">
              <w:rPr>
                <w:rFonts w:eastAsia="Calibri"/>
                <w:color w:val="000000" w:themeColor="text1"/>
                <w:szCs w:val="16"/>
              </w:rPr>
              <w:t xml:space="preserve"> </w:t>
            </w:r>
            <w:r w:rsidRPr="00C74702">
              <w:rPr>
                <w:rFonts w:eastAsia="Calibri"/>
                <w:i/>
                <w:color w:val="000000" w:themeColor="text1"/>
                <w:szCs w:val="16"/>
              </w:rPr>
              <w:t>Change Guidelines for National Greenhouse Gas Inventories</w:t>
            </w:r>
            <w:r w:rsidRPr="00C74702">
              <w:rPr>
                <w:rFonts w:eastAsia="Calibri"/>
                <w:color w:val="000000" w:themeColor="text1"/>
                <w:szCs w:val="16"/>
              </w:rPr>
              <w:t xml:space="preserve"> (2006 IPCC Guidelines) (IPCC, 2006).</w:t>
            </w:r>
          </w:p>
        </w:tc>
        <w:tc>
          <w:tcPr>
            <w:tcW w:w="1843" w:type="dxa"/>
            <w:shd w:val="clear" w:color="auto" w:fill="FFFFFF" w:themeFill="background1"/>
            <w:tcMar>
              <w:top w:w="0" w:type="dxa"/>
              <w:left w:w="85" w:type="dxa"/>
              <w:bottom w:w="0" w:type="dxa"/>
              <w:right w:w="85" w:type="dxa"/>
            </w:tcMar>
          </w:tcPr>
          <w:p w14:paraId="091AF0AE" w14:textId="77777777" w:rsidR="00CF3E30" w:rsidRPr="00C74702" w:rsidRDefault="00CF3E30" w:rsidP="00F16E23">
            <w:pPr>
              <w:pStyle w:val="TableText"/>
              <w:spacing w:before="40" w:after="40"/>
              <w:rPr>
                <w:rFonts w:eastAsia="Calibri"/>
                <w:szCs w:val="16"/>
              </w:rPr>
            </w:pPr>
            <w:r w:rsidRPr="00C74702">
              <w:rPr>
                <w:rFonts w:eastAsia="Calibri"/>
                <w:szCs w:val="16"/>
              </w:rPr>
              <w:t>Accuracy, comparability</w:t>
            </w:r>
          </w:p>
        </w:tc>
        <w:tc>
          <w:tcPr>
            <w:tcW w:w="1548" w:type="dxa"/>
            <w:shd w:val="clear" w:color="auto" w:fill="FFFFFF" w:themeFill="background1"/>
            <w:tcMar>
              <w:top w:w="0" w:type="dxa"/>
              <w:left w:w="85" w:type="dxa"/>
              <w:bottom w:w="0" w:type="dxa"/>
              <w:right w:w="85" w:type="dxa"/>
            </w:tcMar>
          </w:tcPr>
          <w:p w14:paraId="698FEEE4" w14:textId="77777777" w:rsidR="00CF3E30" w:rsidRPr="00C74702" w:rsidRDefault="00CF3E30" w:rsidP="00F16E23">
            <w:pPr>
              <w:pStyle w:val="TableText"/>
              <w:spacing w:before="40" w:after="40"/>
              <w:rPr>
                <w:rFonts w:eastAsia="Calibri"/>
                <w:szCs w:val="16"/>
              </w:rPr>
            </w:pPr>
            <w:r w:rsidRPr="00C74702" w:rsidDel="00C92057">
              <w:rPr>
                <w:rFonts w:eastAsia="Calibri"/>
                <w:szCs w:val="16"/>
              </w:rPr>
              <w:t>Key category improvement:</w:t>
            </w:r>
            <w:r w:rsidRPr="00C74702" w:rsidDel="00C92057">
              <w:rPr>
                <w:rFonts w:eastAsia="Calibri"/>
                <w:i/>
                <w:szCs w:val="16"/>
              </w:rPr>
              <w:t xml:space="preserve"> Solid waste disposal</w:t>
            </w:r>
          </w:p>
        </w:tc>
      </w:tr>
      <w:tr w:rsidR="00CF3E30" w:rsidRPr="00C74702" w14:paraId="5C530F5E" w14:textId="77777777" w:rsidTr="00F16E23">
        <w:tc>
          <w:tcPr>
            <w:tcW w:w="918" w:type="dxa"/>
            <w:shd w:val="clear" w:color="auto" w:fill="FFFFFF" w:themeFill="background1"/>
            <w:tcMar>
              <w:top w:w="0" w:type="dxa"/>
              <w:left w:w="85" w:type="dxa"/>
              <w:bottom w:w="0" w:type="dxa"/>
              <w:right w:w="85" w:type="dxa"/>
            </w:tcMar>
          </w:tcPr>
          <w:p w14:paraId="31B2286F"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1AC5F7F4" w14:textId="77777777" w:rsidR="00CF3E30" w:rsidRPr="00C74702" w:rsidRDefault="00CF3E30" w:rsidP="00F16E23">
            <w:pPr>
              <w:pStyle w:val="TableText"/>
              <w:spacing w:before="40" w:after="40"/>
              <w:rPr>
                <w:szCs w:val="16"/>
              </w:rPr>
            </w:pPr>
            <w:r w:rsidRPr="00C74702">
              <w:rPr>
                <w:rFonts w:eastAsia="Calibri"/>
                <w:color w:val="000000" w:themeColor="text1"/>
                <w:szCs w:val="16"/>
              </w:rPr>
              <w:t xml:space="preserve">Estimated emissions from </w:t>
            </w:r>
            <w:r w:rsidRPr="00C74702">
              <w:rPr>
                <w:rFonts w:eastAsia="Calibri"/>
                <w:i/>
                <w:color w:val="000000" w:themeColor="text1"/>
                <w:szCs w:val="16"/>
              </w:rPr>
              <w:t>Unmanaged waste disposal sites</w:t>
            </w:r>
            <w:r w:rsidRPr="00C74702">
              <w:rPr>
                <w:rFonts w:eastAsia="Calibri"/>
                <w:color w:val="000000" w:themeColor="text1"/>
                <w:szCs w:val="16"/>
              </w:rPr>
              <w:t xml:space="preserve"> (5.A.2) increased by 72.7 kt CO₂e (89.0 percent) in 1990 and by 174.0 kt CO₂e (89.3 percent) in 2023. These changes result from correcting an error in the application of decomposable degradable organic carbon values, where the fraction of degradable organic carbon parameter had previously been applied twice, leading to underestimation in the 2025 submission. These also reflect the adoption of updated Tier 1 defaults for the fraction of degradable organic carbon that decomposes and k-values for sludge, nappies and rubber, in accordance with the IPCC (</w:t>
            </w:r>
            <w:r w:rsidRPr="00C74702" w:rsidDel="00794AFB">
              <w:rPr>
                <w:rFonts w:eastAsia="Calibri"/>
                <w:color w:val="000000" w:themeColor="text1"/>
                <w:szCs w:val="16"/>
              </w:rPr>
              <w:t>2019</w:t>
            </w:r>
            <w:r w:rsidRPr="00C74702">
              <w:rPr>
                <w:rFonts w:eastAsia="Calibri"/>
                <w:color w:val="000000" w:themeColor="text1"/>
                <w:szCs w:val="16"/>
              </w:rPr>
              <w:t>). Previously, emissions were estimated using Tier 1 defaults from the 2006 IPCC Guidelines (IPCC, 2006).</w:t>
            </w:r>
          </w:p>
        </w:tc>
        <w:tc>
          <w:tcPr>
            <w:tcW w:w="1843" w:type="dxa"/>
            <w:shd w:val="clear" w:color="auto" w:fill="FFFFFF" w:themeFill="background1"/>
            <w:tcMar>
              <w:top w:w="0" w:type="dxa"/>
              <w:left w:w="85" w:type="dxa"/>
              <w:bottom w:w="0" w:type="dxa"/>
              <w:right w:w="85" w:type="dxa"/>
            </w:tcMar>
          </w:tcPr>
          <w:p w14:paraId="37C60603" w14:textId="77777777" w:rsidR="00CF3E30" w:rsidRPr="00C74702" w:rsidRDefault="00CF3E30" w:rsidP="00F16E23">
            <w:pPr>
              <w:pStyle w:val="TableText"/>
              <w:spacing w:before="40" w:after="40"/>
              <w:rPr>
                <w:rFonts w:eastAsia="Calibri"/>
                <w:szCs w:val="16"/>
              </w:rPr>
            </w:pPr>
            <w:r w:rsidRPr="00C74702">
              <w:rPr>
                <w:rFonts w:eastAsia="Calibri"/>
                <w:szCs w:val="16"/>
              </w:rPr>
              <w:t>Accuracy, comparability, transparency</w:t>
            </w:r>
          </w:p>
        </w:tc>
        <w:tc>
          <w:tcPr>
            <w:tcW w:w="1548" w:type="dxa"/>
            <w:shd w:val="clear" w:color="auto" w:fill="FFFFFF" w:themeFill="background1"/>
            <w:tcMar>
              <w:top w:w="0" w:type="dxa"/>
              <w:left w:w="85" w:type="dxa"/>
              <w:bottom w:w="0" w:type="dxa"/>
              <w:right w:w="85" w:type="dxa"/>
            </w:tcMar>
          </w:tcPr>
          <w:p w14:paraId="42E167AC" w14:textId="77777777" w:rsidR="00CF3E30" w:rsidRPr="00C74702" w:rsidRDefault="00CF3E30" w:rsidP="00F16E23">
            <w:pPr>
              <w:pStyle w:val="TableText"/>
              <w:spacing w:before="40" w:after="40"/>
              <w:rPr>
                <w:rFonts w:eastAsia="Calibri"/>
                <w:szCs w:val="16"/>
              </w:rPr>
            </w:pPr>
            <w:r w:rsidRPr="00C74702" w:rsidDel="00C92057">
              <w:rPr>
                <w:rFonts w:eastAsia="Calibri"/>
                <w:szCs w:val="16"/>
              </w:rPr>
              <w:t xml:space="preserve">Key category improvement: </w:t>
            </w:r>
            <w:r w:rsidRPr="00C74702" w:rsidDel="00C92057">
              <w:rPr>
                <w:rFonts w:eastAsia="Calibri"/>
                <w:i/>
                <w:szCs w:val="16"/>
              </w:rPr>
              <w:t>Solid waste disposal</w:t>
            </w:r>
          </w:p>
        </w:tc>
      </w:tr>
      <w:tr w:rsidR="00CF3E30" w:rsidRPr="00C74702" w14:paraId="4BD3CBA1" w14:textId="77777777" w:rsidTr="00F16E23">
        <w:tc>
          <w:tcPr>
            <w:tcW w:w="918" w:type="dxa"/>
            <w:shd w:val="clear" w:color="auto" w:fill="FFFFFF" w:themeFill="background1"/>
            <w:tcMar>
              <w:top w:w="0" w:type="dxa"/>
              <w:left w:w="85" w:type="dxa"/>
              <w:bottom w:w="0" w:type="dxa"/>
              <w:right w:w="85" w:type="dxa"/>
            </w:tcMar>
          </w:tcPr>
          <w:p w14:paraId="798179D6" w14:textId="77777777" w:rsidR="00CF3E30" w:rsidRPr="00C74702" w:rsidRDefault="00CF3E30" w:rsidP="00F16E23">
            <w:pPr>
              <w:pStyle w:val="TableText"/>
              <w:spacing w:before="40" w:after="40"/>
              <w:rPr>
                <w:szCs w:val="16"/>
              </w:rPr>
            </w:pPr>
          </w:p>
        </w:tc>
        <w:tc>
          <w:tcPr>
            <w:tcW w:w="4185" w:type="dxa"/>
            <w:shd w:val="clear" w:color="auto" w:fill="FFFFFF" w:themeFill="background1"/>
            <w:tcMar>
              <w:top w:w="0" w:type="dxa"/>
              <w:left w:w="85" w:type="dxa"/>
              <w:bottom w:w="0" w:type="dxa"/>
              <w:right w:w="85" w:type="dxa"/>
            </w:tcMar>
          </w:tcPr>
          <w:p w14:paraId="772C0E22" w14:textId="77777777" w:rsidR="00CF3E30" w:rsidRPr="00C74702" w:rsidRDefault="00CF3E30" w:rsidP="00F16E23">
            <w:pPr>
              <w:pStyle w:val="TableText"/>
              <w:spacing w:before="40" w:after="40"/>
              <w:rPr>
                <w:szCs w:val="16"/>
              </w:rPr>
            </w:pPr>
            <w:r w:rsidRPr="00C74702">
              <w:rPr>
                <w:rFonts w:eastAsia="Calibri"/>
                <w:color w:val="000000" w:themeColor="text1"/>
                <w:szCs w:val="16"/>
              </w:rPr>
              <w:t xml:space="preserve">Estimated emissions from </w:t>
            </w:r>
            <w:r w:rsidRPr="00C74702">
              <w:rPr>
                <w:rFonts w:eastAsia="Calibri"/>
                <w:i/>
                <w:color w:val="000000" w:themeColor="text1"/>
                <w:szCs w:val="16"/>
              </w:rPr>
              <w:t>Unmanaged waste disposal sites – Farm fills</w:t>
            </w:r>
            <w:r w:rsidRPr="00C74702">
              <w:rPr>
                <w:rFonts w:eastAsia="Calibri"/>
                <w:color w:val="000000" w:themeColor="text1"/>
                <w:szCs w:val="16"/>
              </w:rPr>
              <w:t xml:space="preserve"> (5.A.2) decreased by 61.9 kt CO₂e (0.08 percent) in 1990 and by 49.3 kt CO₂e (0.08 percent) in 2023. These changes reflect the incorporation of previously unaccounted regional activity and compositional data, as well as the adoption of updated fossil carbon fraction and carbon fraction values, in line with </w:t>
            </w:r>
            <w:r w:rsidRPr="00C74702" w:rsidDel="0084377E">
              <w:rPr>
                <w:rFonts w:eastAsia="Calibri"/>
                <w:color w:val="000000" w:themeColor="text1"/>
                <w:szCs w:val="16"/>
              </w:rPr>
              <w:t>the 2019 Refinement to the 2006 IPCC</w:t>
            </w:r>
            <w:r w:rsidRPr="00C74702">
              <w:rPr>
                <w:rFonts w:eastAsia="Calibri"/>
                <w:color w:val="000000" w:themeColor="text1"/>
                <w:szCs w:val="16"/>
              </w:rPr>
              <w:t xml:space="preserve"> </w:t>
            </w:r>
            <w:r w:rsidRPr="00C74702" w:rsidDel="0084377E">
              <w:rPr>
                <w:rFonts w:eastAsia="Calibri"/>
                <w:color w:val="000000" w:themeColor="text1"/>
                <w:szCs w:val="16"/>
              </w:rPr>
              <w:t xml:space="preserve">Guidelines for National </w:t>
            </w:r>
            <w:r w:rsidRPr="00C74702">
              <w:rPr>
                <w:rFonts w:eastAsia="Calibri"/>
                <w:color w:val="000000" w:themeColor="text1"/>
                <w:szCs w:val="16"/>
              </w:rPr>
              <w:t>Greenhouse</w:t>
            </w:r>
            <w:r w:rsidRPr="00C74702" w:rsidDel="0084377E">
              <w:rPr>
                <w:rFonts w:eastAsia="Calibri"/>
                <w:color w:val="000000" w:themeColor="text1"/>
                <w:szCs w:val="16"/>
              </w:rPr>
              <w:t xml:space="preserve"> Gas Inventories (</w:t>
            </w:r>
            <w:r w:rsidRPr="00C74702" w:rsidDel="009C021E">
              <w:rPr>
                <w:rFonts w:eastAsia="Calibri"/>
                <w:color w:val="000000" w:themeColor="text1"/>
                <w:szCs w:val="16"/>
              </w:rPr>
              <w:t>volume 5</w:t>
            </w:r>
            <w:r w:rsidRPr="00C74702" w:rsidDel="0084377E">
              <w:rPr>
                <w:rFonts w:eastAsia="Calibri"/>
                <w:color w:val="000000" w:themeColor="text1"/>
                <w:szCs w:val="16"/>
              </w:rPr>
              <w:t>, Waste)</w:t>
            </w:r>
            <w:r w:rsidRPr="00C74702" w:rsidDel="009C021E">
              <w:rPr>
                <w:rFonts w:eastAsia="Calibri"/>
                <w:color w:val="000000" w:themeColor="text1"/>
                <w:szCs w:val="16"/>
              </w:rPr>
              <w:t xml:space="preserve"> </w:t>
            </w:r>
            <w:r w:rsidRPr="00C74702" w:rsidDel="0084377E">
              <w:rPr>
                <w:rFonts w:eastAsia="Calibri"/>
                <w:color w:val="000000" w:themeColor="text1"/>
                <w:szCs w:val="16"/>
              </w:rPr>
              <w:t>(</w:t>
            </w:r>
            <w:r w:rsidRPr="00C74702" w:rsidDel="009C021E">
              <w:rPr>
                <w:rFonts w:eastAsia="Calibri"/>
                <w:color w:val="000000" w:themeColor="text1"/>
                <w:szCs w:val="16"/>
              </w:rPr>
              <w:t xml:space="preserve">2019 </w:t>
            </w:r>
            <w:r w:rsidRPr="00C74702">
              <w:rPr>
                <w:rFonts w:eastAsia="Calibri"/>
                <w:color w:val="000000" w:themeColor="text1"/>
                <w:szCs w:val="16"/>
              </w:rPr>
              <w:t>IPCC Refinement) (</w:t>
            </w:r>
            <w:r w:rsidRPr="00C74702" w:rsidDel="009C021E">
              <w:rPr>
                <w:rFonts w:eastAsia="Calibri"/>
                <w:color w:val="000000" w:themeColor="text1"/>
                <w:szCs w:val="16"/>
              </w:rPr>
              <w:t>IPCC, 2019</w:t>
            </w:r>
            <w:r w:rsidRPr="00C74702">
              <w:rPr>
                <w:rFonts w:eastAsia="Calibri"/>
                <w:color w:val="000000" w:themeColor="text1"/>
                <w:szCs w:val="16"/>
              </w:rPr>
              <w:t>). Previously, emissions were estimated using Tier 1 defaults from the 2006 IPCC Guidelines (IPCC, 2006).</w:t>
            </w:r>
          </w:p>
        </w:tc>
        <w:tc>
          <w:tcPr>
            <w:tcW w:w="1843" w:type="dxa"/>
            <w:shd w:val="clear" w:color="auto" w:fill="FFFFFF" w:themeFill="background1"/>
            <w:tcMar>
              <w:top w:w="0" w:type="dxa"/>
              <w:left w:w="85" w:type="dxa"/>
              <w:bottom w:w="0" w:type="dxa"/>
              <w:right w:w="85" w:type="dxa"/>
            </w:tcMar>
          </w:tcPr>
          <w:p w14:paraId="7027373E" w14:textId="77777777" w:rsidR="00CF3E30" w:rsidRPr="00C74702" w:rsidRDefault="00CF3E30" w:rsidP="00F16E23">
            <w:pPr>
              <w:pStyle w:val="TableText"/>
              <w:spacing w:before="40" w:after="40"/>
              <w:rPr>
                <w:rFonts w:eastAsia="Calibri"/>
                <w:szCs w:val="16"/>
              </w:rPr>
            </w:pPr>
            <w:r w:rsidRPr="00C74702">
              <w:rPr>
                <w:rFonts w:eastAsia="Calibri"/>
                <w:szCs w:val="16"/>
              </w:rPr>
              <w:t>Accuracy, consistency, completeness, comparability, transparency</w:t>
            </w:r>
          </w:p>
        </w:tc>
        <w:tc>
          <w:tcPr>
            <w:tcW w:w="1548" w:type="dxa"/>
            <w:shd w:val="clear" w:color="auto" w:fill="FFFFFF" w:themeFill="background1"/>
            <w:tcMar>
              <w:top w:w="0" w:type="dxa"/>
              <w:left w:w="85" w:type="dxa"/>
              <w:bottom w:w="0" w:type="dxa"/>
              <w:right w:w="85" w:type="dxa"/>
            </w:tcMar>
          </w:tcPr>
          <w:p w14:paraId="2B7F4055" w14:textId="77777777" w:rsidR="00CF3E30" w:rsidRPr="00C74702" w:rsidRDefault="00CF3E30" w:rsidP="00F16E23">
            <w:pPr>
              <w:pStyle w:val="TableText"/>
              <w:spacing w:before="40" w:after="40"/>
              <w:rPr>
                <w:szCs w:val="16"/>
              </w:rPr>
            </w:pPr>
            <w:r w:rsidRPr="00C74702">
              <w:rPr>
                <w:rFonts w:eastAsia="Calibri"/>
                <w:szCs w:val="16"/>
              </w:rPr>
              <w:t>Key category improvement: Solid waste disposal</w:t>
            </w:r>
          </w:p>
        </w:tc>
      </w:tr>
      <w:tr w:rsidR="00CF3E30" w:rsidRPr="00C74702" w14:paraId="701A2F32" w14:textId="77777777" w:rsidTr="00F16E23">
        <w:tc>
          <w:tcPr>
            <w:tcW w:w="918" w:type="dxa"/>
            <w:shd w:val="clear" w:color="auto" w:fill="FFFFFF" w:themeFill="background1"/>
            <w:tcMar>
              <w:top w:w="0" w:type="dxa"/>
              <w:left w:w="85" w:type="dxa"/>
              <w:bottom w:w="0" w:type="dxa"/>
              <w:right w:w="85" w:type="dxa"/>
            </w:tcMar>
          </w:tcPr>
          <w:p w14:paraId="1737B5A9" w14:textId="77777777" w:rsidR="00CF3E30" w:rsidRPr="00C74702" w:rsidRDefault="00CF3E30" w:rsidP="00F16E23">
            <w:pPr>
              <w:pStyle w:val="TableText"/>
              <w:keepNext/>
              <w:spacing w:before="40" w:after="30"/>
              <w:rPr>
                <w:szCs w:val="16"/>
              </w:rPr>
            </w:pPr>
          </w:p>
        </w:tc>
        <w:tc>
          <w:tcPr>
            <w:tcW w:w="4185" w:type="dxa"/>
            <w:shd w:val="clear" w:color="auto" w:fill="FFFFFF" w:themeFill="background1"/>
            <w:tcMar>
              <w:top w:w="0" w:type="dxa"/>
              <w:left w:w="85" w:type="dxa"/>
              <w:bottom w:w="0" w:type="dxa"/>
              <w:right w:w="85" w:type="dxa"/>
            </w:tcMar>
          </w:tcPr>
          <w:p w14:paraId="4F40C386" w14:textId="77777777" w:rsidR="00CF3E30" w:rsidRPr="00C74702" w:rsidRDefault="00CF3E30" w:rsidP="00F16E23">
            <w:pPr>
              <w:pStyle w:val="TableText"/>
              <w:spacing w:before="40" w:after="30"/>
              <w:rPr>
                <w:szCs w:val="16"/>
              </w:rPr>
            </w:pPr>
            <w:r w:rsidRPr="00C74702">
              <w:rPr>
                <w:rFonts w:eastAsia="Calibri"/>
                <w:color w:val="000000" w:themeColor="text1"/>
                <w:szCs w:val="16"/>
              </w:rPr>
              <w:t xml:space="preserve">Estimated emissions from </w:t>
            </w:r>
            <w:r w:rsidRPr="00C74702">
              <w:rPr>
                <w:rFonts w:eastAsia="Calibri"/>
                <w:i/>
                <w:color w:val="000000" w:themeColor="text1"/>
                <w:szCs w:val="16"/>
              </w:rPr>
              <w:t>Waste incineration</w:t>
            </w:r>
            <w:r w:rsidRPr="00C74702">
              <w:rPr>
                <w:rFonts w:eastAsia="Calibri"/>
                <w:color w:val="000000" w:themeColor="text1"/>
                <w:szCs w:val="16"/>
              </w:rPr>
              <w:t xml:space="preserve"> (5.C.1) decreased by 0.4 kt CO</w:t>
            </w:r>
            <w:r w:rsidRPr="00C74702">
              <w:rPr>
                <w:rFonts w:eastAsia="Calibri"/>
                <w:color w:val="000000" w:themeColor="text1"/>
                <w:szCs w:val="16"/>
                <w:vertAlign w:val="subscript"/>
              </w:rPr>
              <w:t>2</w:t>
            </w:r>
            <w:r w:rsidRPr="00C74702">
              <w:rPr>
                <w:rFonts w:eastAsia="Calibri"/>
                <w:color w:val="000000" w:themeColor="text1"/>
                <w:szCs w:val="16"/>
              </w:rPr>
              <w:t>e (2.7 percent) in 1990 and by 0.4 kt CO</w:t>
            </w:r>
            <w:r w:rsidRPr="00C74702">
              <w:rPr>
                <w:rFonts w:eastAsia="Calibri"/>
                <w:color w:val="000000" w:themeColor="text1"/>
                <w:szCs w:val="16"/>
                <w:vertAlign w:val="subscript"/>
              </w:rPr>
              <w:t>2</w:t>
            </w:r>
            <w:r w:rsidRPr="00C74702">
              <w:rPr>
                <w:rFonts w:eastAsia="Calibri"/>
                <w:color w:val="000000" w:themeColor="text1"/>
                <w:szCs w:val="16"/>
              </w:rPr>
              <w:t xml:space="preserve">e (20.5 percent) in 2023. This is due to the adoption of updated fossil carbon fraction and carbon fraction values and is proposed, in accordance with the IPCC (2019). Specifically, the carbon fraction (i.e., total carbon content in percentage of dry weight) for sludge has been updated to 30 percent </w:t>
            </w:r>
            <w:r w:rsidRPr="00C74702" w:rsidDel="009C021E">
              <w:rPr>
                <w:rFonts w:eastAsia="Calibri"/>
                <w:color w:val="000000" w:themeColor="text1"/>
                <w:szCs w:val="16"/>
              </w:rPr>
              <w:t xml:space="preserve">in the 2019 Refinement </w:t>
            </w:r>
            <w:r w:rsidRPr="00C74702">
              <w:rPr>
                <w:rFonts w:eastAsia="Calibri"/>
                <w:color w:val="000000" w:themeColor="text1"/>
                <w:szCs w:val="16"/>
              </w:rPr>
              <w:t>(IPCC, 2019).</w:t>
            </w:r>
          </w:p>
        </w:tc>
        <w:tc>
          <w:tcPr>
            <w:tcW w:w="1843" w:type="dxa"/>
            <w:shd w:val="clear" w:color="auto" w:fill="FFFFFF" w:themeFill="background1"/>
            <w:tcMar>
              <w:top w:w="0" w:type="dxa"/>
              <w:left w:w="85" w:type="dxa"/>
              <w:bottom w:w="0" w:type="dxa"/>
              <w:right w:w="85" w:type="dxa"/>
            </w:tcMar>
          </w:tcPr>
          <w:p w14:paraId="0299CF30" w14:textId="77777777" w:rsidR="00CF3E30" w:rsidRPr="00C74702" w:rsidRDefault="00CF3E30" w:rsidP="00F16E23">
            <w:pPr>
              <w:pStyle w:val="TableText"/>
              <w:spacing w:before="40" w:after="30"/>
              <w:rPr>
                <w:rFonts w:eastAsia="Calibri"/>
                <w:szCs w:val="16"/>
              </w:rPr>
            </w:pPr>
            <w:r w:rsidRPr="00C74702">
              <w:rPr>
                <w:rFonts w:eastAsia="Calibri"/>
                <w:szCs w:val="16"/>
              </w:rPr>
              <w:t>Accuracy, comparability</w:t>
            </w:r>
          </w:p>
        </w:tc>
        <w:tc>
          <w:tcPr>
            <w:tcW w:w="1548" w:type="dxa"/>
            <w:shd w:val="clear" w:color="auto" w:fill="FFFFFF" w:themeFill="background1"/>
            <w:tcMar>
              <w:top w:w="0" w:type="dxa"/>
              <w:left w:w="85" w:type="dxa"/>
              <w:bottom w:w="0" w:type="dxa"/>
              <w:right w:w="85" w:type="dxa"/>
            </w:tcMar>
          </w:tcPr>
          <w:p w14:paraId="61AE204E" w14:textId="77777777" w:rsidR="00CF3E30" w:rsidRPr="00C74702" w:rsidRDefault="00CF3E30" w:rsidP="00F16E23">
            <w:pPr>
              <w:pStyle w:val="TableText"/>
              <w:spacing w:before="40" w:after="30"/>
              <w:rPr>
                <w:szCs w:val="16"/>
              </w:rPr>
            </w:pPr>
          </w:p>
        </w:tc>
      </w:tr>
      <w:tr w:rsidR="00CF3E30" w:rsidRPr="00C74702" w14:paraId="59C9D5C0" w14:textId="77777777" w:rsidTr="00F16E23">
        <w:tc>
          <w:tcPr>
            <w:tcW w:w="918" w:type="dxa"/>
            <w:shd w:val="clear" w:color="auto" w:fill="FFFFFF" w:themeFill="background1"/>
            <w:tcMar>
              <w:top w:w="0" w:type="dxa"/>
              <w:left w:w="85" w:type="dxa"/>
              <w:bottom w:w="0" w:type="dxa"/>
              <w:right w:w="85" w:type="dxa"/>
            </w:tcMar>
          </w:tcPr>
          <w:p w14:paraId="3791805C" w14:textId="77777777" w:rsidR="00CF3E30" w:rsidRPr="00C74702" w:rsidRDefault="00CF3E30" w:rsidP="00F16E23">
            <w:pPr>
              <w:pStyle w:val="TableText"/>
              <w:spacing w:before="40" w:after="30"/>
              <w:rPr>
                <w:szCs w:val="16"/>
              </w:rPr>
            </w:pPr>
          </w:p>
        </w:tc>
        <w:tc>
          <w:tcPr>
            <w:tcW w:w="4185" w:type="dxa"/>
            <w:shd w:val="clear" w:color="auto" w:fill="FFFFFF" w:themeFill="background1"/>
            <w:tcMar>
              <w:top w:w="0" w:type="dxa"/>
              <w:left w:w="85" w:type="dxa"/>
              <w:bottom w:w="0" w:type="dxa"/>
              <w:right w:w="85" w:type="dxa"/>
            </w:tcMar>
          </w:tcPr>
          <w:p w14:paraId="63F6122D" w14:textId="77777777" w:rsidR="00CF3E30" w:rsidRPr="00C74702" w:rsidDel="00C92057" w:rsidRDefault="00CF3E30" w:rsidP="00F16E23">
            <w:pPr>
              <w:pStyle w:val="TableText"/>
              <w:spacing w:before="40" w:after="30"/>
              <w:rPr>
                <w:rFonts w:eastAsia="Calibri" w:cs="Calibri"/>
                <w:spacing w:val="-2"/>
                <w:szCs w:val="16"/>
              </w:rPr>
            </w:pPr>
            <w:r w:rsidRPr="00C74702">
              <w:rPr>
                <w:rFonts w:eastAsia="Calibri" w:cs="Calibri"/>
                <w:color w:val="000000" w:themeColor="text1"/>
                <w:spacing w:val="-2"/>
                <w:szCs w:val="16"/>
              </w:rPr>
              <w:t xml:space="preserve">Estimated emissions from </w:t>
            </w:r>
            <w:r w:rsidRPr="00C74702">
              <w:rPr>
                <w:rFonts w:eastAsia="Calibri" w:cs="Calibri"/>
                <w:i/>
                <w:color w:val="000000" w:themeColor="text1"/>
                <w:spacing w:val="-2"/>
                <w:szCs w:val="16"/>
              </w:rPr>
              <w:t>Open burning of waste</w:t>
            </w:r>
            <w:r w:rsidRPr="00C74702">
              <w:rPr>
                <w:rFonts w:eastAsia="Calibri" w:cs="Calibri"/>
                <w:color w:val="000000" w:themeColor="text1"/>
                <w:spacing w:val="-2"/>
                <w:szCs w:val="16"/>
              </w:rPr>
              <w:t xml:space="preserve"> (5.C.2) increased by 31.6 kt CO₂e (0.1 percent) in 1990 and by 18.1 kt CO₂e (0.1 percent) in 2023. These changes reflect the adoption of an updated oxidation factor for carbon dioxide (IPCC,</w:t>
            </w:r>
            <w:r w:rsidRPr="00C74702" w:rsidDel="009C021E">
              <w:rPr>
                <w:rFonts w:eastAsia="Calibri" w:cs="Calibri"/>
                <w:color w:val="000000" w:themeColor="text1"/>
                <w:spacing w:val="-2"/>
                <w:szCs w:val="16"/>
              </w:rPr>
              <w:t xml:space="preserve"> 2019</w:t>
            </w:r>
            <w:r w:rsidRPr="00C74702">
              <w:rPr>
                <w:rFonts w:eastAsia="Calibri" w:cs="Calibri"/>
                <w:color w:val="000000" w:themeColor="text1"/>
                <w:spacing w:val="-2"/>
                <w:szCs w:val="16"/>
              </w:rPr>
              <w:t>). Previously, emissions were estimated using the oxidation factor value from the 2006 IPCC Guidelines (IPCC, 2006).</w:t>
            </w:r>
          </w:p>
        </w:tc>
        <w:tc>
          <w:tcPr>
            <w:tcW w:w="1843" w:type="dxa"/>
            <w:shd w:val="clear" w:color="auto" w:fill="FFFFFF" w:themeFill="background1"/>
            <w:tcMar>
              <w:top w:w="0" w:type="dxa"/>
              <w:left w:w="85" w:type="dxa"/>
              <w:bottom w:w="0" w:type="dxa"/>
              <w:right w:w="85" w:type="dxa"/>
            </w:tcMar>
          </w:tcPr>
          <w:p w14:paraId="7224307F" w14:textId="77777777" w:rsidR="00CF3E30" w:rsidRPr="00C74702" w:rsidDel="00C92057" w:rsidRDefault="00CF3E30" w:rsidP="00F16E23">
            <w:pPr>
              <w:pStyle w:val="TableText"/>
              <w:spacing w:before="40" w:after="30"/>
              <w:rPr>
                <w:rFonts w:eastAsia="Calibri" w:cs="Calibri"/>
                <w:szCs w:val="16"/>
              </w:rPr>
            </w:pPr>
            <w:r w:rsidRPr="00C74702">
              <w:rPr>
                <w:rFonts w:eastAsia="Calibri" w:cs="Calibri"/>
                <w:szCs w:val="16"/>
              </w:rPr>
              <w:t>Accuracy, comparability</w:t>
            </w:r>
          </w:p>
        </w:tc>
        <w:tc>
          <w:tcPr>
            <w:tcW w:w="1548" w:type="dxa"/>
            <w:shd w:val="clear" w:color="auto" w:fill="FFFFFF" w:themeFill="background1"/>
            <w:tcMar>
              <w:top w:w="0" w:type="dxa"/>
              <w:left w:w="85" w:type="dxa"/>
              <w:bottom w:w="0" w:type="dxa"/>
              <w:right w:w="85" w:type="dxa"/>
            </w:tcMar>
          </w:tcPr>
          <w:p w14:paraId="71656468" w14:textId="77777777" w:rsidR="00CF3E30" w:rsidRPr="00C74702" w:rsidRDefault="00CF3E30" w:rsidP="00F16E23">
            <w:pPr>
              <w:pStyle w:val="TableText"/>
              <w:spacing w:before="40" w:after="30"/>
              <w:rPr>
                <w:szCs w:val="16"/>
              </w:rPr>
            </w:pPr>
          </w:p>
        </w:tc>
      </w:tr>
      <w:tr w:rsidR="00CF3E30" w:rsidRPr="00C74702" w14:paraId="752CEA14" w14:textId="77777777" w:rsidTr="00F16E23">
        <w:tc>
          <w:tcPr>
            <w:tcW w:w="918" w:type="dxa"/>
            <w:shd w:val="clear" w:color="auto" w:fill="FFFFFF" w:themeFill="background1"/>
            <w:tcMar>
              <w:top w:w="0" w:type="dxa"/>
              <w:left w:w="85" w:type="dxa"/>
              <w:bottom w:w="0" w:type="dxa"/>
              <w:right w:w="85" w:type="dxa"/>
            </w:tcMar>
          </w:tcPr>
          <w:p w14:paraId="2F1A1D37" w14:textId="77777777" w:rsidR="00CF3E30" w:rsidRPr="00C74702" w:rsidRDefault="00CF3E30" w:rsidP="00F16E23">
            <w:pPr>
              <w:pStyle w:val="TableText"/>
              <w:spacing w:before="40" w:after="30"/>
              <w:rPr>
                <w:szCs w:val="16"/>
              </w:rPr>
            </w:pPr>
            <w:r w:rsidRPr="00C74702">
              <w:rPr>
                <w:rFonts w:eastAsia="Calibri" w:cs="Calibri"/>
                <w:color w:val="000000" w:themeColor="text1"/>
                <w:szCs w:val="16"/>
              </w:rPr>
              <w:t>Tokelau (IPPU)</w:t>
            </w:r>
          </w:p>
        </w:tc>
        <w:tc>
          <w:tcPr>
            <w:tcW w:w="4185" w:type="dxa"/>
            <w:shd w:val="clear" w:color="auto" w:fill="FFFFFF" w:themeFill="background1"/>
            <w:tcMar>
              <w:top w:w="0" w:type="dxa"/>
              <w:left w:w="85" w:type="dxa"/>
              <w:bottom w:w="0" w:type="dxa"/>
              <w:right w:w="85" w:type="dxa"/>
            </w:tcMar>
          </w:tcPr>
          <w:p w14:paraId="17DF8121" w14:textId="77777777" w:rsidR="00CF3E30" w:rsidRPr="00C74702" w:rsidRDefault="00CF3E30" w:rsidP="00F16E23">
            <w:pPr>
              <w:pStyle w:val="TableText"/>
              <w:spacing w:before="40" w:after="30"/>
              <w:rPr>
                <w:rFonts w:eastAsia="Calibri" w:cs="Calibri"/>
                <w:szCs w:val="16"/>
              </w:rPr>
            </w:pPr>
            <w:r w:rsidRPr="00C74702">
              <w:rPr>
                <w:rFonts w:cs="Calibri"/>
                <w:szCs w:val="16"/>
              </w:rPr>
              <w:t xml:space="preserve">The recalculation is due to passing through updates in New Zealand’s medical emissions data, which are assumed to apply equally to Tokelau. </w:t>
            </w:r>
          </w:p>
        </w:tc>
        <w:tc>
          <w:tcPr>
            <w:tcW w:w="1843" w:type="dxa"/>
            <w:shd w:val="clear" w:color="auto" w:fill="FFFFFF" w:themeFill="background1"/>
            <w:tcMar>
              <w:top w:w="0" w:type="dxa"/>
              <w:left w:w="85" w:type="dxa"/>
              <w:bottom w:w="0" w:type="dxa"/>
              <w:right w:w="85" w:type="dxa"/>
            </w:tcMar>
          </w:tcPr>
          <w:p w14:paraId="746980AA" w14:textId="77777777" w:rsidR="00CF3E30" w:rsidRPr="00C74702" w:rsidRDefault="00CF3E30" w:rsidP="00F16E23">
            <w:pPr>
              <w:pStyle w:val="TableText"/>
              <w:spacing w:before="40" w:after="30"/>
              <w:rPr>
                <w:rFonts w:eastAsia="Calibri" w:cs="Calibri"/>
                <w:szCs w:val="16"/>
              </w:rPr>
            </w:pPr>
            <w:r w:rsidRPr="00C74702">
              <w:rPr>
                <w:rFonts w:cs="Calibri"/>
                <w:szCs w:val="16"/>
              </w:rPr>
              <w:t>Accuracy </w:t>
            </w:r>
          </w:p>
        </w:tc>
        <w:tc>
          <w:tcPr>
            <w:tcW w:w="1548" w:type="dxa"/>
            <w:shd w:val="clear" w:color="auto" w:fill="FFFFFF" w:themeFill="background1"/>
            <w:tcMar>
              <w:top w:w="0" w:type="dxa"/>
              <w:left w:w="85" w:type="dxa"/>
              <w:bottom w:w="0" w:type="dxa"/>
              <w:right w:w="85" w:type="dxa"/>
            </w:tcMar>
          </w:tcPr>
          <w:p w14:paraId="0E79E402" w14:textId="77777777" w:rsidR="00CF3E30" w:rsidRPr="00C74702" w:rsidRDefault="00CF3E30" w:rsidP="00F16E23">
            <w:pPr>
              <w:pStyle w:val="TableText"/>
              <w:spacing w:before="40" w:after="30"/>
              <w:rPr>
                <w:szCs w:val="16"/>
              </w:rPr>
            </w:pPr>
            <w:r w:rsidRPr="00C74702">
              <w:rPr>
                <w:rFonts w:cs="Calibri"/>
                <w:szCs w:val="16"/>
              </w:rPr>
              <w:t> </w:t>
            </w:r>
          </w:p>
        </w:tc>
      </w:tr>
    </w:tbl>
    <w:p w14:paraId="571CFACC" w14:textId="77777777" w:rsidR="00CF3E30" w:rsidRPr="00C74702" w:rsidRDefault="00CF3E30" w:rsidP="00CF3E30">
      <w:pPr>
        <w:pStyle w:val="Heading2"/>
        <w:tabs>
          <w:tab w:val="clear" w:pos="851"/>
          <w:tab w:val="left" w:pos="964"/>
        </w:tabs>
        <w:spacing w:before="400"/>
      </w:pPr>
      <w:bookmarkStart w:id="3335" w:name="_Toc226460820"/>
      <w:bookmarkStart w:id="3336" w:name="X49a7f2215d4ad719a6cfc1c58fc2b54293a0401"/>
      <w:bookmarkEnd w:id="3333"/>
      <w:r w:rsidRPr="00C74702">
        <w:rPr>
          <w:rFonts w:eastAsiaTheme="minorEastAsia"/>
        </w:rPr>
        <w:t>10.2</w:t>
      </w:r>
      <w:r w:rsidRPr="00C74702">
        <w:rPr>
          <w:rFonts w:eastAsiaTheme="minorEastAsia"/>
        </w:rPr>
        <w:tab/>
        <w:t>Implications for emissions and removal levels</w:t>
      </w:r>
      <w:bookmarkEnd w:id="3335"/>
    </w:p>
    <w:p w14:paraId="0DCE55EE" w14:textId="77777777" w:rsidR="00CF3E30" w:rsidRPr="00C74702" w:rsidRDefault="00CF3E30" w:rsidP="00CF3E30">
      <w:pPr>
        <w:pStyle w:val="Heading3"/>
        <w:tabs>
          <w:tab w:val="clear" w:pos="851"/>
          <w:tab w:val="left" w:pos="964"/>
        </w:tabs>
        <w:spacing w:before="200"/>
      </w:pPr>
      <w:bookmarkStart w:id="3337" w:name="new-zealands-gross-emissions"/>
      <w:r w:rsidRPr="00C74702">
        <w:t>10.2.1</w:t>
      </w:r>
      <w:r w:rsidRPr="00C74702">
        <w:tab/>
        <w:t>New Zealand’s gross emissions</w:t>
      </w:r>
    </w:p>
    <w:p w14:paraId="3FC33B91" w14:textId="77777777" w:rsidR="00CF3E30" w:rsidRPr="00C74702" w:rsidRDefault="00CF3E30" w:rsidP="00CF3E30">
      <w:pPr>
        <w:pStyle w:val="BodyText"/>
        <w:spacing w:before="80" w:after="100"/>
        <w:rPr>
          <w:b/>
          <w:bCs/>
        </w:rPr>
      </w:pPr>
      <w:r w:rsidRPr="00C74702">
        <w:t>Recalculations have resulted in a decrease of 0.7 percent (517.4 kilotonnes carbon dioxide equivalent (kt CO</w:t>
      </w:r>
      <w:r w:rsidRPr="00C74702">
        <w:rPr>
          <w:vertAlign w:val="subscript"/>
        </w:rPr>
        <w:t>2</w:t>
      </w:r>
      <w:r w:rsidRPr="00C74702">
        <w:t>e)) in gross emissions in 2023, a decrease of 0.2 percent (180.7 kt CO</w:t>
      </w:r>
      <w:r w:rsidRPr="00C74702">
        <w:rPr>
          <w:vertAlign w:val="subscript"/>
        </w:rPr>
        <w:t>2</w:t>
      </w:r>
      <w:r w:rsidRPr="00C74702">
        <w:t>e) in gross emissions in 2005, and a decrease of 0.2 percent (113.7 kt CO</w:t>
      </w:r>
      <w:r w:rsidRPr="00C74702">
        <w:rPr>
          <w:vertAlign w:val="subscript"/>
        </w:rPr>
        <w:t>2</w:t>
      </w:r>
      <w:r w:rsidRPr="00C74702">
        <w:t>e) in gross emissions in 1990.</w:t>
      </w:r>
    </w:p>
    <w:p w14:paraId="3FD0F4AE" w14:textId="77777777" w:rsidR="00CF3E30" w:rsidRPr="00C74702" w:rsidRDefault="00CF3E30" w:rsidP="00CF3E30">
      <w:pPr>
        <w:pStyle w:val="BodyText"/>
        <w:spacing w:before="100" w:after="100"/>
      </w:pPr>
      <w:r w:rsidRPr="00C74702">
        <w:rPr>
          <w:lang w:eastAsia="en-US"/>
        </w:rPr>
        <w:t>The decrease in reported gross emissions was a result of improvements to nitrous oxide (N</w:t>
      </w:r>
      <w:r w:rsidRPr="00C74702">
        <w:rPr>
          <w:vertAlign w:val="subscript"/>
          <w:lang w:eastAsia="en-US"/>
        </w:rPr>
        <w:t>2</w:t>
      </w:r>
      <w:r w:rsidRPr="00C74702">
        <w:rPr>
          <w:lang w:eastAsia="en-US"/>
        </w:rPr>
        <w:t>O) emissions estimates from agricultural soils (1990 and 2005), methane (CH</w:t>
      </w:r>
      <w:r w:rsidRPr="00C74702">
        <w:rPr>
          <w:vertAlign w:val="subscript"/>
          <w:lang w:eastAsia="en-US"/>
        </w:rPr>
        <w:t>4</w:t>
      </w:r>
      <w:r w:rsidRPr="00C74702">
        <w:rPr>
          <w:lang w:eastAsia="en-US"/>
        </w:rPr>
        <w:t>) emissions from manure management (2005) and jet kerosene use for domestic aviation (2023).</w:t>
      </w:r>
    </w:p>
    <w:p w14:paraId="4E478A3B" w14:textId="77777777" w:rsidR="00CF3E30" w:rsidRPr="00C74702" w:rsidRDefault="00CF3E30" w:rsidP="00CF3E30">
      <w:pPr>
        <w:pStyle w:val="Heading3"/>
        <w:tabs>
          <w:tab w:val="clear" w:pos="851"/>
          <w:tab w:val="left" w:pos="964"/>
        </w:tabs>
        <w:spacing w:before="240"/>
      </w:pPr>
      <w:bookmarkStart w:id="3338" w:name="new-zealands-net-emissions"/>
      <w:bookmarkEnd w:id="3337"/>
      <w:r w:rsidRPr="00C74702">
        <w:t xml:space="preserve">10.2.2 </w:t>
      </w:r>
      <w:r w:rsidRPr="00C74702">
        <w:tab/>
        <w:t>New Zealand’s net emissions</w:t>
      </w:r>
    </w:p>
    <w:p w14:paraId="298EDD2A" w14:textId="77777777" w:rsidR="00CF3E30" w:rsidRPr="00C74702" w:rsidRDefault="00CF3E30" w:rsidP="00CF3E30">
      <w:pPr>
        <w:pStyle w:val="BodyText"/>
        <w:spacing w:before="100" w:after="100"/>
      </w:pPr>
      <w:r w:rsidRPr="00C74702">
        <w:t>There was a decrease of 0.5 percent (286.7 kt CO</w:t>
      </w:r>
      <w:r w:rsidRPr="00C74702">
        <w:rPr>
          <w:vertAlign w:val="subscript"/>
        </w:rPr>
        <w:t>2</w:t>
      </w:r>
      <w:r w:rsidRPr="00C74702">
        <w:t>e) in net emissions in 2023, an increase of 1.7 percent (1,043.1 kt CO</w:t>
      </w:r>
      <w:r w:rsidRPr="00C74702">
        <w:rPr>
          <w:vertAlign w:val="subscript"/>
        </w:rPr>
        <w:t>2</w:t>
      </w:r>
      <w:r w:rsidRPr="00C74702">
        <w:t>e) in net emissions in 2005 and an increase of 2 percent (885.9 kt CO</w:t>
      </w:r>
      <w:r w:rsidRPr="00C74702">
        <w:rPr>
          <w:vertAlign w:val="subscript"/>
        </w:rPr>
        <w:t>2</w:t>
      </w:r>
      <w:r w:rsidRPr="00C74702">
        <w:t>e) in net emissions in 1990.</w:t>
      </w:r>
    </w:p>
    <w:p w14:paraId="68C76507" w14:textId="77777777" w:rsidR="00CF3E30" w:rsidRPr="00C74702" w:rsidRDefault="00CF3E30" w:rsidP="00CF3E30">
      <w:pPr>
        <w:pStyle w:val="BodyText"/>
        <w:spacing w:before="100" w:after="100"/>
      </w:pPr>
      <w:r w:rsidRPr="00C74702">
        <w:t>The changes in net emissions were a result of the combined effect of the improvements made to gross emissions estimates, described above, and to the Land Use, Land-Use Change and Forestry (LULUCF) sector estimates. The improvements to the LULUCF sector that made the greatest contribution to the recalculations for net emissions were</w:t>
      </w:r>
      <w:r w:rsidRPr="00C74702" w:rsidDel="00986FE0">
        <w:t xml:space="preserve"> </w:t>
      </w:r>
      <w:r w:rsidRPr="00C74702">
        <w:t xml:space="preserve">a result of the combined impacts of several improvements to how emissions from planted forests are estimated and the move to country-specific emission factors for the </w:t>
      </w:r>
      <w:r w:rsidRPr="00C74702">
        <w:rPr>
          <w:i/>
          <w:iCs/>
        </w:rPr>
        <w:t>Low producing grassland</w:t>
      </w:r>
      <w:r w:rsidRPr="00C74702">
        <w:t xml:space="preserve"> and </w:t>
      </w:r>
      <w:r w:rsidRPr="00C74702">
        <w:rPr>
          <w:i/>
          <w:iCs/>
        </w:rPr>
        <w:t xml:space="preserve">High </w:t>
      </w:r>
      <w:r w:rsidRPr="00C74702">
        <w:rPr>
          <w:i/>
        </w:rPr>
        <w:t>producing grassland</w:t>
      </w:r>
      <w:r w:rsidRPr="00C74702">
        <w:t xml:space="preserve"> categories.</w:t>
      </w:r>
    </w:p>
    <w:p w14:paraId="447BB667" w14:textId="77777777" w:rsidR="00CF3E30" w:rsidRPr="00C74702" w:rsidRDefault="00CF3E30" w:rsidP="00CF3E30">
      <w:pPr>
        <w:pStyle w:val="BodyText"/>
        <w:spacing w:before="100" w:after="100"/>
      </w:pPr>
      <w:r w:rsidRPr="00C74702">
        <w:rPr>
          <w:spacing w:val="-2"/>
        </w:rPr>
        <w:t>Table 10.3.1 and table 10.3.2 show the category that had the largest impact on the recalculations</w:t>
      </w:r>
      <w:r w:rsidRPr="00C74702">
        <w:t xml:space="preserve"> across the time series by sector. </w:t>
      </w:r>
    </w:p>
    <w:bookmarkEnd w:id="3338"/>
    <w:p w14:paraId="591166BB" w14:textId="77777777" w:rsidR="00CF3E30" w:rsidRPr="00C74702" w:rsidRDefault="00CF3E30" w:rsidP="00CF3E30">
      <w:pPr>
        <w:pStyle w:val="Heading3"/>
        <w:tabs>
          <w:tab w:val="clear" w:pos="851"/>
          <w:tab w:val="left" w:pos="964"/>
        </w:tabs>
        <w:spacing w:before="240"/>
      </w:pPr>
      <w:r w:rsidRPr="00C74702">
        <w:t xml:space="preserve">10.2.3 </w:t>
      </w:r>
      <w:r w:rsidRPr="00C74702">
        <w:tab/>
        <w:t>Energy</w:t>
      </w:r>
    </w:p>
    <w:p w14:paraId="0B9F018F" w14:textId="77777777" w:rsidR="00CF3E30" w:rsidRPr="00C74702" w:rsidRDefault="00CF3E30" w:rsidP="00CF3E30">
      <w:pPr>
        <w:pStyle w:val="BodyText"/>
        <w:spacing w:before="80"/>
      </w:pPr>
      <w:r w:rsidRPr="00C74702">
        <w:t>Improvements and recalculations made to the Energy sector have resulted in a decrease of 1.1 percent (329.1 kt CO</w:t>
      </w:r>
      <w:r w:rsidRPr="00C74702">
        <w:rPr>
          <w:vertAlign w:val="subscript"/>
        </w:rPr>
        <w:t>2</w:t>
      </w:r>
      <w:r w:rsidRPr="00C74702">
        <w:t>e) in estimated energy emissions for 2023, an increase of 0.0002 percent (0.1 kt CO</w:t>
      </w:r>
      <w:r w:rsidRPr="00C74702">
        <w:rPr>
          <w:vertAlign w:val="subscript"/>
        </w:rPr>
        <w:t>2</w:t>
      </w:r>
      <w:r w:rsidRPr="00C74702">
        <w:t>e) in estimated energy emissions for 2005 and an increase of 0.0004 percent (0.1 kt CO</w:t>
      </w:r>
      <w:r w:rsidRPr="00C74702">
        <w:rPr>
          <w:vertAlign w:val="subscript"/>
        </w:rPr>
        <w:t>2</w:t>
      </w:r>
      <w:r w:rsidRPr="00C74702">
        <w:t>e) in estimated energy emissions for 1990 (figure 10.3.3).</w:t>
      </w:r>
    </w:p>
    <w:p w14:paraId="6E0B7475" w14:textId="77777777" w:rsidR="00CF3E30" w:rsidRPr="00C74702" w:rsidRDefault="00CF3E30" w:rsidP="00CF3E30">
      <w:pPr>
        <w:pStyle w:val="BodyText"/>
        <w:spacing w:before="100" w:after="100"/>
        <w:rPr>
          <w:rFonts w:eastAsia="Calibri"/>
        </w:rPr>
      </w:pPr>
      <w:r w:rsidRPr="00C74702">
        <w:rPr>
          <w:rFonts w:eastAsia="Calibri"/>
        </w:rPr>
        <w:t>Revisions to data provided by fuel companies have resulted in changes to the allocation of jet A1 between international and domestic aviation for January 2022 to September 2024.</w:t>
      </w:r>
    </w:p>
    <w:p w14:paraId="487F9E78" w14:textId="77777777" w:rsidR="00CF3E30" w:rsidRPr="00C74702" w:rsidRDefault="00CF3E30" w:rsidP="00CF3E30">
      <w:pPr>
        <w:pStyle w:val="BodyText"/>
        <w:spacing w:before="100" w:after="100"/>
        <w:rPr>
          <w:rFonts w:eastAsia="Calibri"/>
        </w:rPr>
      </w:pPr>
      <w:r w:rsidRPr="00C74702">
        <w:rPr>
          <w:rFonts w:eastAsia="Calibri"/>
        </w:rPr>
        <w:t>Historical energy demand data in the national energy balance tables are occasionally revised from year to year. This may result in minor revisions to activity data and recalculations to the corresponding emissions for some years in some categories</w:t>
      </w:r>
      <w:r w:rsidRPr="00C74702" w:rsidDel="002F0433">
        <w:rPr>
          <w:rFonts w:eastAsia="Calibri"/>
        </w:rPr>
        <w:t>.</w:t>
      </w:r>
      <w:r w:rsidRPr="00C74702">
        <w:t xml:space="preserve"> Further details on source-specific improvements are provided in their corresponding sections in chapter 3.</w:t>
      </w:r>
    </w:p>
    <w:p w14:paraId="62EF4612" w14:textId="77777777" w:rsidR="00CF3E30" w:rsidRPr="00C74702" w:rsidRDefault="00CF3E30" w:rsidP="00CF3E30">
      <w:pPr>
        <w:pStyle w:val="Heading3"/>
        <w:tabs>
          <w:tab w:val="clear" w:pos="851"/>
          <w:tab w:val="left" w:pos="964"/>
        </w:tabs>
        <w:spacing w:before="240"/>
      </w:pPr>
      <w:bookmarkStart w:id="3339" w:name="industrial-processes-and-product-use"/>
      <w:r w:rsidRPr="00C74702">
        <w:t xml:space="preserve">10.2.4 </w:t>
      </w:r>
      <w:r w:rsidRPr="00C74702">
        <w:tab/>
        <w:t>Industrial Processes and Product Use</w:t>
      </w:r>
    </w:p>
    <w:p w14:paraId="106010A3" w14:textId="77777777" w:rsidR="00CF3E30" w:rsidRPr="00C74702" w:rsidRDefault="00CF3E30" w:rsidP="00CF3E30">
      <w:pPr>
        <w:pStyle w:val="BodyText"/>
        <w:spacing w:before="80" w:after="100"/>
      </w:pPr>
      <w:r w:rsidRPr="00C74702">
        <w:t>Improvements and recalculations made to the Industrial Processes and Product Use (IPPU) sector have resulted in an increase of 0.8 percent (31.7 kt CO</w:t>
      </w:r>
      <w:r w:rsidRPr="00C74702">
        <w:rPr>
          <w:vertAlign w:val="subscript"/>
        </w:rPr>
        <w:t>2</w:t>
      </w:r>
      <w:r w:rsidRPr="00C74702">
        <w:t>e) in estimated IPPU emissions in 2023, an increase of 0.6 percent (25.9 kt CO</w:t>
      </w:r>
      <w:r w:rsidRPr="00C74702">
        <w:rPr>
          <w:vertAlign w:val="subscript"/>
        </w:rPr>
        <w:t>2</w:t>
      </w:r>
      <w:r w:rsidRPr="00C74702">
        <w:t>e) in estimated IPPU emissions in 2005 and an increase of 0.01 percent (0.5 kt CO</w:t>
      </w:r>
      <w:r w:rsidRPr="00C74702">
        <w:rPr>
          <w:vertAlign w:val="subscript"/>
        </w:rPr>
        <w:t>2</w:t>
      </w:r>
      <w:r w:rsidRPr="00C74702">
        <w:t>e) in estimated IPPU emissions in 1990</w:t>
      </w:r>
      <w:r w:rsidRPr="00C74702">
        <w:rPr>
          <w:b/>
          <w:bCs/>
        </w:rPr>
        <w:t xml:space="preserve"> </w:t>
      </w:r>
      <w:r w:rsidRPr="00C74702">
        <w:t>(figure 10.3.4).</w:t>
      </w:r>
    </w:p>
    <w:p w14:paraId="506AE680" w14:textId="77777777" w:rsidR="00CF3E30" w:rsidRPr="00C74702" w:rsidRDefault="00CF3E30" w:rsidP="00CF3E30">
      <w:pPr>
        <w:pStyle w:val="BodyText"/>
        <w:spacing w:before="100" w:after="100"/>
      </w:pPr>
      <w:r w:rsidRPr="00C74702">
        <w:t xml:space="preserve">The improvements made to better account for changes in stocks held by importers and users in the </w:t>
      </w:r>
      <w:r w:rsidRPr="00C74702">
        <w:rPr>
          <w:i/>
          <w:iCs/>
        </w:rPr>
        <w:t>Refrigeration and air conditioning</w:t>
      </w:r>
      <w:r w:rsidRPr="00C74702">
        <w:t xml:space="preserve"> category had the largest impact on emissions. These included updates to:</w:t>
      </w:r>
    </w:p>
    <w:p w14:paraId="30199990" w14:textId="77777777" w:rsidR="00CF3E30" w:rsidRPr="00C74702" w:rsidRDefault="00CF3E30" w:rsidP="00CF3E30">
      <w:pPr>
        <w:pStyle w:val="Bullet"/>
        <w:spacing w:after="100"/>
      </w:pPr>
      <w:r w:rsidRPr="00C74702">
        <w:t xml:space="preserve">activity data for dairy farm systems and coolstores </w:t>
      </w:r>
    </w:p>
    <w:p w14:paraId="6124F3B7" w14:textId="77777777" w:rsidR="00CF3E30" w:rsidRPr="00C74702" w:rsidRDefault="00CF3E30" w:rsidP="00CF3E30">
      <w:pPr>
        <w:pStyle w:val="Bullet"/>
        <w:spacing w:after="100"/>
      </w:pPr>
      <w:r w:rsidRPr="00C74702">
        <w:t>HFC refrigerant imports between 2020 and 2024</w:t>
      </w:r>
    </w:p>
    <w:p w14:paraId="61A69B7B" w14:textId="77777777" w:rsidR="00CF3E30" w:rsidRPr="00C74702" w:rsidRDefault="00CF3E30" w:rsidP="00CF3E30">
      <w:pPr>
        <w:pStyle w:val="Bullet"/>
        <w:spacing w:after="100"/>
      </w:pPr>
      <w:r w:rsidRPr="00C74702">
        <w:t>refrigerant mix of new installations between 2019 and 2023</w:t>
      </w:r>
    </w:p>
    <w:p w14:paraId="4FA79C05" w14:textId="77777777" w:rsidR="00CF3E30" w:rsidRPr="00C74702" w:rsidRDefault="00CF3E30" w:rsidP="00CF3E30">
      <w:pPr>
        <w:pStyle w:val="Bullet"/>
        <w:spacing w:after="100"/>
      </w:pPr>
      <w:r w:rsidRPr="00C74702">
        <w:t>annual leakage rate for commercial refrigeration in 2023</w:t>
      </w:r>
    </w:p>
    <w:p w14:paraId="6C193997" w14:textId="77777777" w:rsidR="00CF3E30" w:rsidRPr="00C74702" w:rsidRDefault="00CF3E30" w:rsidP="00CF3E30">
      <w:pPr>
        <w:pStyle w:val="Bullet"/>
        <w:spacing w:after="100"/>
      </w:pPr>
      <w:r w:rsidRPr="00C74702">
        <w:t>transport refrigeration stock adjustments.</w:t>
      </w:r>
    </w:p>
    <w:p w14:paraId="1EC34487" w14:textId="77777777" w:rsidR="00CF3E30" w:rsidRPr="00C74702" w:rsidRDefault="00CF3E30" w:rsidP="00CF3E30">
      <w:pPr>
        <w:pStyle w:val="BodyText"/>
      </w:pPr>
      <w:r w:rsidRPr="00C74702">
        <w:t>Further detail on all improvements is provided in chapter 4, section 4.1.7.</w:t>
      </w:r>
    </w:p>
    <w:bookmarkEnd w:id="3339"/>
    <w:p w14:paraId="4428AD75" w14:textId="77777777" w:rsidR="00CF3E30" w:rsidRPr="00C74702" w:rsidRDefault="00CF3E30" w:rsidP="00CF3E30">
      <w:pPr>
        <w:pStyle w:val="Heading3"/>
        <w:tabs>
          <w:tab w:val="clear" w:pos="851"/>
          <w:tab w:val="left" w:pos="964"/>
        </w:tabs>
        <w:spacing w:before="240"/>
      </w:pPr>
      <w:r w:rsidRPr="00C74702">
        <w:t xml:space="preserve">10.2.5 </w:t>
      </w:r>
      <w:r w:rsidRPr="00C74702">
        <w:tab/>
        <w:t>Agriculture</w:t>
      </w:r>
    </w:p>
    <w:p w14:paraId="6793471B" w14:textId="77777777" w:rsidR="00CF3E30" w:rsidRPr="00C74702" w:rsidRDefault="00CF3E30" w:rsidP="00CF3E30">
      <w:pPr>
        <w:pStyle w:val="BodyText"/>
      </w:pPr>
      <w:r w:rsidRPr="00C74702">
        <w:t xml:space="preserve">Improvements and recalculations made to the Agriculture sector have resulted in a decrease of </w:t>
      </w:r>
      <w:r w:rsidRPr="00C74702">
        <w:rPr>
          <w:spacing w:val="-2"/>
        </w:rPr>
        <w:t>0.8 percent (326.5 kt CO</w:t>
      </w:r>
      <w:r w:rsidRPr="00C74702">
        <w:rPr>
          <w:spacing w:val="-2"/>
          <w:vertAlign w:val="subscript"/>
        </w:rPr>
        <w:t>2</w:t>
      </w:r>
      <w:r w:rsidRPr="00C74702">
        <w:rPr>
          <w:spacing w:val="-2"/>
        </w:rPr>
        <w:t>e) in estimated agriculture emissions in 2023, a decrease of 0.6 percent</w:t>
      </w:r>
      <w:r w:rsidRPr="00C74702">
        <w:t xml:space="preserve"> (249.7 kt CO</w:t>
      </w:r>
      <w:r w:rsidRPr="00C74702">
        <w:rPr>
          <w:vertAlign w:val="subscript"/>
        </w:rPr>
        <w:t>2</w:t>
      </w:r>
      <w:r w:rsidRPr="00C74702">
        <w:t>e) in estimated agriculture emissions in 2005 and a decrease of 0.4 percent (165.1 kt CO</w:t>
      </w:r>
      <w:r w:rsidRPr="00C74702">
        <w:rPr>
          <w:vertAlign w:val="subscript"/>
        </w:rPr>
        <w:t>2</w:t>
      </w:r>
      <w:r w:rsidRPr="00C74702">
        <w:t>e) in estimated agriculture emissions in 1990 (figure 10.3.5).</w:t>
      </w:r>
    </w:p>
    <w:p w14:paraId="181BBC57" w14:textId="77777777" w:rsidR="00CF3E30" w:rsidRPr="00C74702" w:rsidRDefault="00CF3E30" w:rsidP="00CF3E30">
      <w:pPr>
        <w:pStyle w:val="BodyText"/>
      </w:pPr>
      <w:r w:rsidRPr="00C74702">
        <w:t>The following improvements and corrections were made to the Agriculture sector:</w:t>
      </w:r>
    </w:p>
    <w:p w14:paraId="7B150DCC" w14:textId="77777777" w:rsidR="00CF3E30" w:rsidRPr="00C74702" w:rsidRDefault="00CF3E30" w:rsidP="00CF3E30">
      <w:pPr>
        <w:pStyle w:val="Bullet"/>
      </w:pPr>
      <w:r w:rsidRPr="00C74702">
        <w:t>inclusion of the EcoPond™ mitigation technology for dairy cattle</w:t>
      </w:r>
    </w:p>
    <w:p w14:paraId="71BF5427" w14:textId="77777777" w:rsidR="00CF3E30" w:rsidRPr="00C74702" w:rsidRDefault="00CF3E30" w:rsidP="00CF3E30">
      <w:pPr>
        <w:pStyle w:val="Bullet"/>
      </w:pPr>
      <w:r w:rsidRPr="00C74702">
        <w:t>updates to dairy manure and effluent management practices</w:t>
      </w:r>
    </w:p>
    <w:p w14:paraId="540C3E8C" w14:textId="77777777" w:rsidR="00CF3E30" w:rsidRPr="00C74702" w:rsidRDefault="00CF3E30" w:rsidP="00CF3E30">
      <w:pPr>
        <w:pStyle w:val="Bullet"/>
      </w:pPr>
      <w:r w:rsidRPr="00C74702">
        <w:t>update to the EF</w:t>
      </w:r>
      <w:r w:rsidRPr="00C74702">
        <w:rPr>
          <w:vertAlign w:val="subscript"/>
        </w:rPr>
        <w:t>1</w:t>
      </w:r>
      <w:r w:rsidRPr="00C74702">
        <w:t xml:space="preserve"> value for non-urea synthetic fertiliser</w:t>
      </w:r>
    </w:p>
    <w:p w14:paraId="74C86DBA" w14:textId="77777777" w:rsidR="00CF3E30" w:rsidRPr="00C74702" w:rsidRDefault="00CF3E30" w:rsidP="00CF3E30">
      <w:pPr>
        <w:pStyle w:val="Bullet"/>
      </w:pPr>
      <w:r w:rsidRPr="00C74702">
        <w:t>alignment to the 2019 Refinement to the 2006 IPCC Guidelines for National Greenhouse Gas Inventories (IPCC, 2019)</w:t>
      </w:r>
    </w:p>
    <w:p w14:paraId="482675DA" w14:textId="77777777" w:rsidR="00CF3E30" w:rsidRPr="00C74702" w:rsidRDefault="00CF3E30" w:rsidP="00CF3E30">
      <w:pPr>
        <w:pStyle w:val="Bullet"/>
      </w:pPr>
      <w:r w:rsidRPr="00C74702">
        <w:t xml:space="preserve">a number of error corrections and improvements to the model code have been made. </w:t>
      </w:r>
    </w:p>
    <w:p w14:paraId="0683FAA6" w14:textId="77777777" w:rsidR="00CF3E30" w:rsidRPr="00C74702" w:rsidRDefault="00CF3E30" w:rsidP="00CF3E30">
      <w:pPr>
        <w:pStyle w:val="BodyText"/>
      </w:pPr>
      <w:bookmarkStart w:id="3340" w:name="_Hlk188533519"/>
      <w:bookmarkStart w:id="3341" w:name="_Hlk157588543"/>
      <w:r w:rsidRPr="00C74702">
        <w:t>Further detail is provided in chapter 5, section 5.3.5.</w:t>
      </w:r>
    </w:p>
    <w:p w14:paraId="10336C9A" w14:textId="77777777" w:rsidR="00CF3E30" w:rsidRPr="00C74702" w:rsidRDefault="00CF3E30" w:rsidP="00CF3E30">
      <w:pPr>
        <w:pStyle w:val="Heading3"/>
        <w:tabs>
          <w:tab w:val="clear" w:pos="851"/>
          <w:tab w:val="left" w:pos="964"/>
        </w:tabs>
        <w:spacing w:before="240"/>
      </w:pPr>
      <w:bookmarkStart w:id="3342" w:name="land-use-land-use-change-and-forestry"/>
      <w:bookmarkEnd w:id="3340"/>
      <w:bookmarkEnd w:id="3341"/>
      <w:r w:rsidRPr="00C74702">
        <w:t xml:space="preserve">10.2.6 </w:t>
      </w:r>
      <w:r w:rsidRPr="00C74702">
        <w:tab/>
        <w:t>Land use, land-use change and forestry</w:t>
      </w:r>
    </w:p>
    <w:p w14:paraId="1FDA0F90" w14:textId="77777777" w:rsidR="00CF3E30" w:rsidRPr="00C74702" w:rsidRDefault="00CF3E30" w:rsidP="00CF3E30">
      <w:pPr>
        <w:pStyle w:val="BodyText"/>
      </w:pPr>
      <w:r w:rsidRPr="00C74702">
        <w:t>Improvements made to the LULUCF sector have resulted in a decrease of 1.1 percent (230.7 kt CO</w:t>
      </w:r>
      <w:r w:rsidRPr="00C74702">
        <w:rPr>
          <w:vertAlign w:val="subscript"/>
        </w:rPr>
        <w:t>2</w:t>
      </w:r>
      <w:r w:rsidRPr="00C74702">
        <w:t>e) in estimated net LULUCF removals in 2023, a decrease of 5 percent (1,223.8 kt CO</w:t>
      </w:r>
      <w:r w:rsidRPr="00C74702">
        <w:rPr>
          <w:vertAlign w:val="subscript"/>
        </w:rPr>
        <w:t>2</w:t>
      </w:r>
      <w:r w:rsidRPr="00C74702">
        <w:t>e) in estimated net LULUCF removals in 2005 and a decrease of 4.1 percent (999.5 kt CO</w:t>
      </w:r>
      <w:r w:rsidRPr="00C74702">
        <w:rPr>
          <w:vertAlign w:val="subscript"/>
        </w:rPr>
        <w:t>2</w:t>
      </w:r>
      <w:r w:rsidRPr="00C74702">
        <w:t>e) in estimated net LULUCF removals in 1990 (figure 10.3.6).</w:t>
      </w:r>
    </w:p>
    <w:p w14:paraId="0B93C2F5" w14:textId="77777777" w:rsidR="00CF3E30" w:rsidRPr="00C74702" w:rsidRDefault="00CF3E30" w:rsidP="00CF3E30">
      <w:pPr>
        <w:pStyle w:val="BodyText"/>
      </w:pPr>
      <w:r w:rsidRPr="00C74702">
        <w:t xml:space="preserve">Methodological improvements applied in the LULUCF sector for this submission were an improvement to the modelling of harvest age, and new country-specific emissions in the </w:t>
      </w:r>
      <w:r w:rsidRPr="00C74702">
        <w:rPr>
          <w:i/>
          <w:iCs/>
        </w:rPr>
        <w:t>Grassland</w:t>
      </w:r>
      <w:r w:rsidRPr="00C74702">
        <w:t xml:space="preserve"> category to replace default values. </w:t>
      </w:r>
    </w:p>
    <w:p w14:paraId="3EAAFAF5" w14:textId="77777777" w:rsidR="00CF3E30" w:rsidRPr="00C74702" w:rsidRDefault="00CF3E30" w:rsidP="00CF3E30">
      <w:pPr>
        <w:pStyle w:val="BodyText"/>
      </w:pPr>
      <w:r w:rsidRPr="00C74702">
        <w:t xml:space="preserve">Activity data improvements occurred in the </w:t>
      </w:r>
      <w:r w:rsidRPr="00C74702">
        <w:rPr>
          <w:i/>
        </w:rPr>
        <w:t>Forest land</w:t>
      </w:r>
      <w:r w:rsidRPr="00C74702">
        <w:t xml:space="preserve"> category for permanent forest area and areas of deforestation.</w:t>
      </w:r>
    </w:p>
    <w:bookmarkEnd w:id="3342"/>
    <w:p w14:paraId="406A6D8F" w14:textId="77777777" w:rsidR="00CF3E30" w:rsidRPr="00C74702" w:rsidRDefault="00CF3E30" w:rsidP="00CF3E30">
      <w:pPr>
        <w:pStyle w:val="Heading3"/>
        <w:tabs>
          <w:tab w:val="clear" w:pos="851"/>
          <w:tab w:val="left" w:pos="964"/>
        </w:tabs>
      </w:pPr>
      <w:r w:rsidRPr="00C74702">
        <w:t xml:space="preserve">10.2.7 </w:t>
      </w:r>
      <w:r w:rsidRPr="00C74702">
        <w:tab/>
        <w:t>Waste</w:t>
      </w:r>
    </w:p>
    <w:p w14:paraId="4DF9D7A5" w14:textId="77777777" w:rsidR="00CF3E30" w:rsidRPr="00C74702" w:rsidRDefault="00CF3E30" w:rsidP="00CF3E30">
      <w:pPr>
        <w:pStyle w:val="BodyText"/>
      </w:pPr>
      <w:r w:rsidRPr="00C74702">
        <w:t>Improvements and recalculations made to estimates in the Waste sector have resulted in a 3.7 percent (106.5 kt CO</w:t>
      </w:r>
      <w:r w:rsidRPr="00C74702">
        <w:rPr>
          <w:vertAlign w:val="subscript"/>
        </w:rPr>
        <w:t>2</w:t>
      </w:r>
      <w:r w:rsidRPr="00C74702">
        <w:t>e) increase in emissions in 2023, a 1.1 percent (43.0 kt CO</w:t>
      </w:r>
      <w:r w:rsidRPr="00C74702">
        <w:rPr>
          <w:vertAlign w:val="subscript"/>
        </w:rPr>
        <w:t>2</w:t>
      </w:r>
      <w:r w:rsidRPr="00C74702">
        <w:t xml:space="preserve">e) increase </w:t>
      </w:r>
      <w:r w:rsidRPr="006B52C5">
        <w:rPr>
          <w:spacing w:val="-2"/>
        </w:rPr>
        <w:t>in emissions in 2005 and a 1.6 percent (50.9 kt CO</w:t>
      </w:r>
      <w:r w:rsidRPr="006B52C5">
        <w:rPr>
          <w:spacing w:val="-2"/>
          <w:vertAlign w:val="subscript"/>
        </w:rPr>
        <w:t>2</w:t>
      </w:r>
      <w:r w:rsidRPr="006B52C5">
        <w:rPr>
          <w:spacing w:val="-2"/>
        </w:rPr>
        <w:t>e) increase in emissions in 1990. Explanations</w:t>
      </w:r>
      <w:r w:rsidRPr="00C74702">
        <w:t xml:space="preserve"> for recalculations are provided in chapter 7, table 7.1.3.</w:t>
      </w:r>
    </w:p>
    <w:p w14:paraId="04D2C6D6" w14:textId="77777777" w:rsidR="00CF3E30" w:rsidRPr="00C74702" w:rsidRDefault="00CF3E30" w:rsidP="00CF3E30">
      <w:pPr>
        <w:pStyle w:val="BodyText"/>
      </w:pPr>
      <w:r w:rsidRPr="00C74702">
        <w:t>For the 2026 submission, three source categories have undergone significant updates.</w:t>
      </w:r>
    </w:p>
    <w:p w14:paraId="2522B6D1" w14:textId="77777777" w:rsidR="00CF3E30" w:rsidRPr="00C74702" w:rsidRDefault="00CF3E30" w:rsidP="00CF3E30">
      <w:pPr>
        <w:pStyle w:val="Bullet"/>
      </w:pPr>
      <w:r w:rsidRPr="00C74702">
        <w:rPr>
          <w:i/>
          <w:iCs/>
        </w:rPr>
        <w:t>Managed waste disposal sites</w:t>
      </w:r>
      <w:r w:rsidRPr="00C74702">
        <w:t xml:space="preserve"> (5.A.1): A methodological issue was identified in the implementation of the instantaneous gas-capture rate equation, where the calculation incorrectly estimated an absolute loss rather than a proportional loss of generated landfill gas. This has now been corrected. In addition, emission factors and model parameters have been updated to incorporate revised k-values in accordance with the IPCC </w:t>
      </w:r>
      <w:r w:rsidRPr="00C74702" w:rsidDel="008919AB">
        <w:t>2019 Refinement</w:t>
      </w:r>
      <w:r w:rsidRPr="00C74702">
        <w:t>. Implementing these changes has improved the accuracy and transparency of the model.</w:t>
      </w:r>
    </w:p>
    <w:p w14:paraId="3FCC36CF" w14:textId="77777777" w:rsidR="00CF3E30" w:rsidRPr="00C74702" w:rsidRDefault="00CF3E30" w:rsidP="00CF3E30">
      <w:pPr>
        <w:pStyle w:val="Bullet"/>
      </w:pPr>
      <w:r w:rsidRPr="00C74702">
        <w:rPr>
          <w:i/>
          <w:iCs/>
        </w:rPr>
        <w:t>Unmanaged waste disposal sites</w:t>
      </w:r>
      <w:r w:rsidRPr="00C74702">
        <w:t xml:space="preserve"> (5.A.2): An issue was identified in the application of decomposable degradable organic carbon (DDOC) parameters. In the model, DDOC values for most waste types were calculated as the product of country</w:t>
      </w:r>
      <w:r w:rsidRPr="00C74702">
        <w:rPr>
          <w:rFonts w:ascii="Cambria Math" w:hAnsi="Cambria Math" w:cs="Cambria Math"/>
        </w:rPr>
        <w:t>‑</w:t>
      </w:r>
      <w:r w:rsidRPr="00C74702">
        <w:t>specific degradable organic carbon (DOC) and fraction of degradable organic carbon (DOCf) values. However, in the model used for the 2025 inventory submission, a general DOCf value (0.5) was also applied to the waste</w:t>
      </w:r>
      <w:r w:rsidRPr="00C74702">
        <w:rPr>
          <w:rFonts w:ascii="Cambria Math" w:hAnsi="Cambria Math" w:cs="Cambria Math"/>
        </w:rPr>
        <w:t>‑</w:t>
      </w:r>
      <w:r w:rsidRPr="00C74702">
        <w:t>type</w:t>
      </w:r>
      <w:r w:rsidRPr="00C74702">
        <w:rPr>
          <w:rFonts w:ascii="Cambria Math" w:hAnsi="Cambria Math" w:cs="Cambria Math"/>
        </w:rPr>
        <w:t>‑</w:t>
      </w:r>
      <w:r w:rsidRPr="00C74702">
        <w:t>specific DDOC values, resulting in the DOCf parameter being applied twice. This error approximately halved estimated emissions from Class 2</w:t>
      </w:r>
      <w:r w:rsidRPr="00C74702">
        <w:rPr>
          <w:rFonts w:cs="Calibri"/>
        </w:rPr>
        <w:t>–</w:t>
      </w:r>
      <w:r w:rsidRPr="00C74702">
        <w:t>5 sites and monofills across the entire 1990 to 2023 time series. In addition, updates to DOCf values for sludge, rubber and municipal solid waste, as well as k-values for nappies and rubber, have been implemented in accordance with</w:t>
      </w:r>
      <w:r w:rsidRPr="00C74702" w:rsidDel="008919AB">
        <w:t xml:space="preserve"> </w:t>
      </w:r>
      <w:r w:rsidRPr="00C74702">
        <w:t>IPCC guidance (</w:t>
      </w:r>
      <w:r w:rsidRPr="00C74702" w:rsidDel="008919AB">
        <w:t>2019</w:t>
      </w:r>
      <w:r w:rsidRPr="00C74702">
        <w:t xml:space="preserve">, </w:t>
      </w:r>
      <w:r w:rsidRPr="00C74702" w:rsidDel="008919AB">
        <w:t>v</w:t>
      </w:r>
      <w:r w:rsidRPr="00C74702" w:rsidDel="003673CD">
        <w:t>olume 5</w:t>
      </w:r>
      <w:r w:rsidRPr="00C74702">
        <w:t>). Correcting the model error and updating these parameters improved the accuracy, comparability and transparency of the Inventory model.</w:t>
      </w:r>
    </w:p>
    <w:p w14:paraId="185F7699" w14:textId="77777777" w:rsidR="00CF3E30" w:rsidRPr="00C74702" w:rsidRDefault="00CF3E30" w:rsidP="00CF3E30">
      <w:pPr>
        <w:pStyle w:val="Bullet"/>
      </w:pPr>
      <w:r w:rsidRPr="00C74702">
        <w:rPr>
          <w:i/>
          <w:iCs/>
        </w:rPr>
        <w:t>Waste incineration and open burning of waste</w:t>
      </w:r>
      <w:r w:rsidRPr="00C74702">
        <w:t xml:space="preserve"> (5.C): Updates to the fossil carbon fraction, carbon fraction and oxidation factor values have been implemented in accordance with the IPCC guidance (2019). In particular, the fossil carbon fraction value for sludge has been revised to 30 percent, as recommended by the IPCC (2019). These changes enhanced the accuracy and transparency of the model.</w:t>
      </w:r>
    </w:p>
    <w:p w14:paraId="2155856E" w14:textId="77777777" w:rsidR="00CF3E30" w:rsidRPr="00C74702" w:rsidRDefault="00CF3E30" w:rsidP="00CF3E30">
      <w:pPr>
        <w:pStyle w:val="Heading3"/>
        <w:tabs>
          <w:tab w:val="clear" w:pos="851"/>
          <w:tab w:val="left" w:pos="964"/>
        </w:tabs>
      </w:pPr>
      <w:r w:rsidRPr="00C74702">
        <w:t xml:space="preserve">10.2.8 </w:t>
      </w:r>
      <w:r w:rsidRPr="00C74702">
        <w:tab/>
        <w:t>Other sector (Tokelau)</w:t>
      </w:r>
    </w:p>
    <w:p w14:paraId="68EC8920" w14:textId="77777777" w:rsidR="00CF3E30" w:rsidRPr="00C74702" w:rsidRDefault="00CF3E30" w:rsidP="00CF3E30">
      <w:pPr>
        <w:pStyle w:val="BodyText"/>
      </w:pPr>
      <w:r w:rsidRPr="00C74702">
        <w:t>One minor recalculation has been made to Tokelau’s GHG inventory estimates since the 2025 submission. Improvements made to Tokelau’s GHG inventory estimates have resulted in no change in 1990, no change in 2005 and an increase of 0.1 percent (0.004 kt CO</w:t>
      </w:r>
      <w:r w:rsidRPr="00C74702">
        <w:rPr>
          <w:vertAlign w:val="subscript"/>
        </w:rPr>
        <w:t>2</w:t>
      </w:r>
      <w:r w:rsidRPr="00C74702">
        <w:t>e) in 2023. This change is due to updates in New Zealand’s medical emissions data, which are applied to Tokelau on a per capita basis.</w:t>
      </w:r>
    </w:p>
    <w:p w14:paraId="55558B5B" w14:textId="77777777" w:rsidR="00CF3E30" w:rsidRPr="00C74702" w:rsidRDefault="00CF3E30" w:rsidP="00CF3E30">
      <w:pPr>
        <w:pStyle w:val="Heading2"/>
        <w:tabs>
          <w:tab w:val="clear" w:pos="851"/>
          <w:tab w:val="left" w:pos="964"/>
        </w:tabs>
      </w:pPr>
      <w:bookmarkStart w:id="3343" w:name="_Toc226460821"/>
      <w:bookmarkStart w:id="3344" w:name="Xd73afe3b65de540d00795a15acc34252899c1bf"/>
      <w:bookmarkEnd w:id="3336"/>
      <w:r w:rsidRPr="00C74702">
        <w:t xml:space="preserve">10.3 </w:t>
      </w:r>
      <w:r w:rsidRPr="00C74702">
        <w:tab/>
        <w:t>Implications for emissions and removal trends, including time-series consistency</w:t>
      </w:r>
      <w:bookmarkEnd w:id="3343"/>
    </w:p>
    <w:p w14:paraId="4DD01021" w14:textId="77777777" w:rsidR="00CF3E30" w:rsidRPr="00C74702" w:rsidRDefault="00CF3E30" w:rsidP="00CF3E30">
      <w:pPr>
        <w:pStyle w:val="Heading3"/>
        <w:tabs>
          <w:tab w:val="clear" w:pos="851"/>
          <w:tab w:val="left" w:pos="964"/>
        </w:tabs>
        <w:spacing w:before="240"/>
      </w:pPr>
      <w:bookmarkStart w:id="3345" w:name="new-zealands-gross-emissions-1"/>
      <w:r w:rsidRPr="00C74702">
        <w:t xml:space="preserve">10.3.1 </w:t>
      </w:r>
      <w:r w:rsidRPr="00C74702">
        <w:tab/>
        <w:t>New Zealand’s gross emissions</w:t>
      </w:r>
    </w:p>
    <w:p w14:paraId="4207954F" w14:textId="77777777" w:rsidR="00CF3E30" w:rsidRPr="00C74702" w:rsidRDefault="00CF3E30" w:rsidP="00CF3E30">
      <w:pPr>
        <w:pStyle w:val="BodyText"/>
      </w:pPr>
      <w:r w:rsidRPr="00C74702">
        <w:t>The impact of recalculations on New Zealand’s gross emissions is shown in figure 10.3.1.</w:t>
      </w:r>
    </w:p>
    <w:p w14:paraId="37F7D0F1" w14:textId="77777777" w:rsidR="00CF3E30" w:rsidRPr="00C74702" w:rsidRDefault="00CF3E30" w:rsidP="00CF3E30">
      <w:pPr>
        <w:pStyle w:val="BodyText"/>
      </w:pPr>
      <w:r w:rsidRPr="00C74702">
        <w:t xml:space="preserve">The greatest contribution to a decrease in gross emissions estimates across the time series came from improvements made in the Waste sector. This decrease is mainly the result of improving emissions estimates for </w:t>
      </w:r>
      <w:r w:rsidRPr="00C74702">
        <w:rPr>
          <w:i/>
          <w:iCs/>
        </w:rPr>
        <w:t>Solid waste disposal – Unmanaged waste disposal sites</w:t>
      </w:r>
      <w:r w:rsidRPr="00C74702">
        <w:t>.</w:t>
      </w:r>
    </w:p>
    <w:p w14:paraId="39176DD7" w14:textId="77777777" w:rsidR="00CF3E30" w:rsidRDefault="00CF3E30" w:rsidP="00CF3E30">
      <w:pPr>
        <w:pStyle w:val="Figure"/>
      </w:pPr>
      <w:bookmarkStart w:id="3346" w:name="_Toc226200719"/>
      <w:r w:rsidRPr="00C74702">
        <w:t xml:space="preserve">Figure 10.3.1 </w:t>
      </w:r>
      <w:r w:rsidRPr="00C74702">
        <w:tab/>
        <w:t>Effect of recalculations on New Zealand’s gross greenhouse gas emissions estimates, from 1990 to 2023</w:t>
      </w:r>
      <w:bookmarkEnd w:id="3346"/>
    </w:p>
    <w:p w14:paraId="7DB4BCCC" w14:textId="7F985DF6" w:rsidR="00087781" w:rsidRPr="00087781" w:rsidRDefault="00087781" w:rsidP="00087781">
      <w:pPr>
        <w:pStyle w:val="BodyText"/>
      </w:pPr>
      <w:r>
        <w:rPr>
          <w:noProof/>
        </w:rPr>
        <w:drawing>
          <wp:inline distT="0" distB="0" distL="0" distR="0" wp14:anchorId="57567C15" wp14:editId="2EDD6C81">
            <wp:extent cx="5218430" cy="3822700"/>
            <wp:effectExtent l="0" t="0" r="1270" b="6350"/>
            <wp:docPr id="7490137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18430" cy="3822700"/>
                    </a:xfrm>
                    <a:prstGeom prst="rect">
                      <a:avLst/>
                    </a:prstGeom>
                    <a:noFill/>
                  </pic:spPr>
                </pic:pic>
              </a:graphicData>
            </a:graphic>
          </wp:inline>
        </w:drawing>
      </w:r>
    </w:p>
    <w:p w14:paraId="1C13A1AD" w14:textId="77777777" w:rsidR="00CF3E30" w:rsidRPr="00C74702" w:rsidRDefault="00CF3E30" w:rsidP="00CF3E30">
      <w:pPr>
        <w:pStyle w:val="Heading3"/>
        <w:tabs>
          <w:tab w:val="clear" w:pos="851"/>
          <w:tab w:val="left" w:pos="964"/>
        </w:tabs>
      </w:pPr>
      <w:bookmarkStart w:id="3347" w:name="new-zealands-net-emissions-1"/>
      <w:bookmarkEnd w:id="3345"/>
      <w:r w:rsidRPr="00C74702">
        <w:t xml:space="preserve">10.3.2 </w:t>
      </w:r>
      <w:r w:rsidRPr="00C74702">
        <w:tab/>
        <w:t>New Zealand’s net emissions</w:t>
      </w:r>
    </w:p>
    <w:p w14:paraId="382E2B69" w14:textId="77777777" w:rsidR="00CF3E30" w:rsidRPr="00C74702" w:rsidRDefault="00CF3E30" w:rsidP="00CF3E30">
      <w:pPr>
        <w:pStyle w:val="BodyText"/>
        <w:keepNext/>
      </w:pPr>
      <w:r w:rsidRPr="00C74702">
        <w:t>The effect of recalculations on net emissions estimates, which include the LULUCF sector, is shown in figure 10.3.2.</w:t>
      </w:r>
    </w:p>
    <w:p w14:paraId="5E443282" w14:textId="77777777" w:rsidR="00CF3E30" w:rsidRDefault="00CF3E30" w:rsidP="00CF3E30">
      <w:pPr>
        <w:pStyle w:val="Figure"/>
      </w:pPr>
      <w:bookmarkStart w:id="3348" w:name="_Toc226200720"/>
      <w:r w:rsidRPr="00C74702">
        <w:t xml:space="preserve">Figure 10.3.2 </w:t>
      </w:r>
      <w:r w:rsidRPr="00C74702">
        <w:tab/>
        <w:t>Effect of recalculations on New Zealand’s net greenhouse gas emissions estimates, from 1990 to 2023</w:t>
      </w:r>
      <w:bookmarkEnd w:id="3348"/>
    </w:p>
    <w:p w14:paraId="21E8BBBC" w14:textId="0AE6889B" w:rsidR="00D011C8" w:rsidRPr="00D011C8" w:rsidRDefault="00D011C8" w:rsidP="00D011C8">
      <w:pPr>
        <w:pStyle w:val="BodyText"/>
      </w:pPr>
      <w:r>
        <w:rPr>
          <w:noProof/>
        </w:rPr>
        <w:drawing>
          <wp:inline distT="0" distB="0" distL="0" distR="0" wp14:anchorId="02EF9C33" wp14:editId="61440E54">
            <wp:extent cx="5279390" cy="3853180"/>
            <wp:effectExtent l="0" t="0" r="0" b="0"/>
            <wp:docPr id="5151677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79390" cy="3853180"/>
                    </a:xfrm>
                    <a:prstGeom prst="rect">
                      <a:avLst/>
                    </a:prstGeom>
                    <a:noFill/>
                  </pic:spPr>
                </pic:pic>
              </a:graphicData>
            </a:graphic>
          </wp:inline>
        </w:drawing>
      </w:r>
    </w:p>
    <w:p w14:paraId="71708C57" w14:textId="77777777" w:rsidR="00CF3E30" w:rsidRPr="00C74702" w:rsidRDefault="00CF3E30" w:rsidP="00CF3E30">
      <w:pPr>
        <w:pStyle w:val="BodyText"/>
      </w:pPr>
      <w:bookmarkStart w:id="3349" w:name="energy-1"/>
      <w:bookmarkEnd w:id="3347"/>
      <w:r w:rsidRPr="00C74702">
        <w:t>Table 10.3.1 shows the recalculations for the category that increased emissions estimates the most for each sector.</w:t>
      </w:r>
    </w:p>
    <w:p w14:paraId="05C4CDD6" w14:textId="1736BF35" w:rsidR="00CF3E30" w:rsidRPr="00C74702" w:rsidRDefault="00CF3E30" w:rsidP="00CF3E30">
      <w:pPr>
        <w:pStyle w:val="Table"/>
      </w:pPr>
      <w:bookmarkStart w:id="3350" w:name="_Toc226669156"/>
      <w:r w:rsidRPr="00C74702">
        <w:t xml:space="preserve">Table 10.3.1 </w:t>
      </w:r>
      <w:r w:rsidRPr="00C74702">
        <w:tab/>
        <w:t>Recalculations that led to the greatest increase in emissions estimates in each</w:t>
      </w:r>
      <w:r w:rsidR="005F480A">
        <w:t> </w:t>
      </w:r>
      <w:r w:rsidRPr="00C74702">
        <w:t>sector</w:t>
      </w:r>
      <w:bookmarkEnd w:id="335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892"/>
        <w:gridCol w:w="1093"/>
        <w:gridCol w:w="3260"/>
        <w:gridCol w:w="1701"/>
        <w:gridCol w:w="1548"/>
      </w:tblGrid>
      <w:tr w:rsidR="00CF3E30" w:rsidRPr="00C74702" w14:paraId="7DC6BAF0" w14:textId="77777777" w:rsidTr="00F16E23">
        <w:trPr>
          <w:tblHeader/>
        </w:trPr>
        <w:tc>
          <w:tcPr>
            <w:tcW w:w="0" w:type="auto"/>
            <w:shd w:val="clear" w:color="auto" w:fill="1B556B"/>
            <w:tcMar>
              <w:top w:w="0" w:type="dxa"/>
              <w:left w:w="85" w:type="dxa"/>
              <w:bottom w:w="0" w:type="dxa"/>
              <w:right w:w="85" w:type="dxa"/>
            </w:tcMar>
            <w:vAlign w:val="bottom"/>
          </w:tcPr>
          <w:p w14:paraId="6A193154" w14:textId="77777777" w:rsidR="00CF3E30" w:rsidRPr="00C74702" w:rsidRDefault="00CF3E30" w:rsidP="00F16E23">
            <w:pPr>
              <w:pStyle w:val="TableTextBold"/>
              <w:spacing w:before="40" w:after="40"/>
              <w:rPr>
                <w:noProof w:val="0"/>
                <w:color w:val="FFFFFF" w:themeColor="background1"/>
              </w:rPr>
            </w:pPr>
            <w:r w:rsidRPr="00C74702">
              <w:rPr>
                <w:rFonts w:eastAsia="Calibri"/>
                <w:noProof w:val="0"/>
                <w:color w:val="FFFFFF" w:themeColor="background1"/>
              </w:rPr>
              <w:t>Sector</w:t>
            </w:r>
          </w:p>
        </w:tc>
        <w:tc>
          <w:tcPr>
            <w:tcW w:w="1093" w:type="dxa"/>
            <w:shd w:val="clear" w:color="auto" w:fill="1B556B"/>
            <w:tcMar>
              <w:left w:w="85" w:type="dxa"/>
              <w:right w:w="85" w:type="dxa"/>
            </w:tcMar>
            <w:vAlign w:val="bottom"/>
          </w:tcPr>
          <w:p w14:paraId="63865242" w14:textId="77777777" w:rsidR="00CF3E30" w:rsidRPr="00C74702" w:rsidRDefault="00CF3E30" w:rsidP="00F16E23">
            <w:pPr>
              <w:pStyle w:val="TableTextBold"/>
              <w:spacing w:before="40" w:after="40"/>
              <w:rPr>
                <w:rFonts w:eastAsia="Calibri"/>
                <w:noProof w:val="0"/>
                <w:color w:val="FFFFFF" w:themeColor="background1"/>
              </w:rPr>
            </w:pPr>
            <w:r w:rsidRPr="00C74702">
              <w:rPr>
                <w:rFonts w:eastAsia="Calibri"/>
                <w:noProof w:val="0"/>
                <w:color w:val="FFFFFF" w:themeColor="background1"/>
              </w:rPr>
              <w:t>CRT category</w:t>
            </w:r>
          </w:p>
        </w:tc>
        <w:tc>
          <w:tcPr>
            <w:tcW w:w="3260" w:type="dxa"/>
            <w:shd w:val="clear" w:color="auto" w:fill="1B556B"/>
            <w:tcMar>
              <w:top w:w="0" w:type="dxa"/>
              <w:left w:w="85" w:type="dxa"/>
              <w:bottom w:w="0" w:type="dxa"/>
              <w:right w:w="85" w:type="dxa"/>
            </w:tcMar>
            <w:vAlign w:val="bottom"/>
          </w:tcPr>
          <w:p w14:paraId="330E99A6" w14:textId="77777777" w:rsidR="00CF3E30" w:rsidRPr="00C74702" w:rsidRDefault="00CF3E30" w:rsidP="00F16E23">
            <w:pPr>
              <w:pStyle w:val="TableTextBold"/>
              <w:spacing w:before="40" w:after="40"/>
              <w:rPr>
                <w:noProof w:val="0"/>
                <w:color w:val="FFFFFF" w:themeColor="background1"/>
              </w:rPr>
            </w:pPr>
            <w:r w:rsidRPr="00C74702">
              <w:rPr>
                <w:rFonts w:eastAsia="Calibri"/>
                <w:noProof w:val="0"/>
                <w:color w:val="FFFFFF" w:themeColor="background1"/>
              </w:rPr>
              <w:t>Category with the largest increase in estimated emissions across the entire time series</w:t>
            </w:r>
          </w:p>
        </w:tc>
        <w:tc>
          <w:tcPr>
            <w:tcW w:w="1701" w:type="dxa"/>
            <w:shd w:val="clear" w:color="auto" w:fill="1B556B"/>
            <w:tcMar>
              <w:top w:w="0" w:type="dxa"/>
              <w:left w:w="85" w:type="dxa"/>
              <w:bottom w:w="0" w:type="dxa"/>
              <w:right w:w="85" w:type="dxa"/>
            </w:tcMar>
            <w:vAlign w:val="bottom"/>
          </w:tcPr>
          <w:p w14:paraId="52294FD1" w14:textId="77777777" w:rsidR="00CF3E30" w:rsidRPr="00C74702" w:rsidRDefault="00CF3E30" w:rsidP="00F16E23">
            <w:pPr>
              <w:pStyle w:val="TableTextBold"/>
              <w:spacing w:before="40" w:after="40"/>
              <w:jc w:val="right"/>
              <w:rPr>
                <w:noProof w:val="0"/>
                <w:color w:val="FFFFFF" w:themeColor="background1"/>
              </w:rPr>
            </w:pPr>
            <w:r w:rsidRPr="00C74702">
              <w:rPr>
                <w:rFonts w:eastAsia="Calibri"/>
                <w:noProof w:val="0"/>
                <w:color w:val="FFFFFF" w:themeColor="background1"/>
              </w:rPr>
              <w:t>Largest single increase in emissions for the category (kt CO</w:t>
            </w:r>
            <w:r w:rsidRPr="00C74702">
              <w:rPr>
                <w:rFonts w:eastAsia="Calibri"/>
                <w:noProof w:val="0"/>
                <w:color w:val="FFFFFF" w:themeColor="background1"/>
                <w:vertAlign w:val="subscript"/>
              </w:rPr>
              <w:t>2</w:t>
            </w:r>
            <w:r w:rsidRPr="00C74702">
              <w:rPr>
                <w:rFonts w:eastAsia="Calibri"/>
                <w:noProof w:val="0"/>
                <w:color w:val="FFFFFF" w:themeColor="background1"/>
              </w:rPr>
              <w:t>e)</w:t>
            </w:r>
          </w:p>
        </w:tc>
        <w:tc>
          <w:tcPr>
            <w:tcW w:w="1548" w:type="dxa"/>
            <w:shd w:val="clear" w:color="auto" w:fill="1B556B"/>
            <w:tcMar>
              <w:top w:w="0" w:type="dxa"/>
              <w:left w:w="85" w:type="dxa"/>
              <w:bottom w:w="0" w:type="dxa"/>
              <w:right w:w="85" w:type="dxa"/>
            </w:tcMar>
            <w:vAlign w:val="bottom"/>
          </w:tcPr>
          <w:p w14:paraId="15E7EEF4" w14:textId="77777777" w:rsidR="00CF3E30" w:rsidRPr="00C74702" w:rsidRDefault="00CF3E30" w:rsidP="00F16E23">
            <w:pPr>
              <w:pStyle w:val="TableTextBold"/>
              <w:spacing w:before="40" w:after="40"/>
              <w:jc w:val="right"/>
              <w:rPr>
                <w:noProof w:val="0"/>
                <w:color w:val="FFFFFF" w:themeColor="background1"/>
              </w:rPr>
            </w:pPr>
            <w:r w:rsidRPr="00C74702">
              <w:rPr>
                <w:rFonts w:eastAsia="Calibri"/>
                <w:noProof w:val="0"/>
                <w:color w:val="FFFFFF" w:themeColor="background1"/>
              </w:rPr>
              <w:t>Year of the largest increase in estimated emissions</w:t>
            </w:r>
          </w:p>
        </w:tc>
      </w:tr>
      <w:tr w:rsidR="00CF3E30" w:rsidRPr="00C74702" w14:paraId="55918E1D" w14:textId="77777777" w:rsidTr="00F16E23">
        <w:tc>
          <w:tcPr>
            <w:tcW w:w="0" w:type="auto"/>
            <w:shd w:val="clear" w:color="auto" w:fill="FFFFFF" w:themeFill="background1"/>
            <w:tcMar>
              <w:top w:w="0" w:type="dxa"/>
              <w:left w:w="85" w:type="dxa"/>
              <w:bottom w:w="0" w:type="dxa"/>
              <w:right w:w="85" w:type="dxa"/>
            </w:tcMar>
          </w:tcPr>
          <w:p w14:paraId="4BFE8126" w14:textId="77777777" w:rsidR="00CF3E30" w:rsidRPr="00C74702" w:rsidRDefault="00CF3E30" w:rsidP="00F16E23">
            <w:pPr>
              <w:pStyle w:val="TableText"/>
              <w:spacing w:before="40" w:after="40"/>
            </w:pPr>
            <w:r w:rsidRPr="00C74702">
              <w:rPr>
                <w:rFonts w:eastAsia="Calibri"/>
              </w:rPr>
              <w:t>Energy</w:t>
            </w:r>
          </w:p>
        </w:tc>
        <w:tc>
          <w:tcPr>
            <w:tcW w:w="1093" w:type="dxa"/>
            <w:shd w:val="clear" w:color="auto" w:fill="FFFFFF" w:themeFill="background1"/>
            <w:tcMar>
              <w:left w:w="85" w:type="dxa"/>
              <w:right w:w="85" w:type="dxa"/>
            </w:tcMar>
          </w:tcPr>
          <w:p w14:paraId="7DAD614C" w14:textId="77777777" w:rsidR="00CF3E30" w:rsidRPr="00C74702" w:rsidRDefault="00CF3E30" w:rsidP="00F16E23">
            <w:pPr>
              <w:pStyle w:val="TableText"/>
              <w:spacing w:before="40" w:after="40"/>
              <w:rPr>
                <w:rFonts w:eastAsia="Calibri"/>
                <w:color w:val="000000"/>
              </w:rPr>
            </w:pPr>
            <w:r w:rsidRPr="00C74702">
              <w:rPr>
                <w:rFonts w:eastAsia="Calibri"/>
              </w:rPr>
              <w:t>1.A.1.c.</w:t>
            </w:r>
          </w:p>
        </w:tc>
        <w:tc>
          <w:tcPr>
            <w:tcW w:w="3260" w:type="dxa"/>
            <w:shd w:val="clear" w:color="auto" w:fill="FFFFFF" w:themeFill="background1"/>
            <w:tcMar>
              <w:top w:w="0" w:type="dxa"/>
              <w:left w:w="85" w:type="dxa"/>
              <w:bottom w:w="0" w:type="dxa"/>
              <w:right w:w="85" w:type="dxa"/>
            </w:tcMar>
          </w:tcPr>
          <w:p w14:paraId="7F7AA049" w14:textId="77777777" w:rsidR="00CF3E30" w:rsidRPr="00C74702" w:rsidRDefault="00CF3E30" w:rsidP="00F16E23">
            <w:pPr>
              <w:pStyle w:val="TableText"/>
              <w:spacing w:before="40" w:after="40"/>
              <w:rPr>
                <w:rFonts w:eastAsia="Calibri"/>
                <w:color w:val="000000"/>
              </w:rPr>
            </w:pPr>
            <w:r w:rsidRPr="00C74702">
              <w:rPr>
                <w:rFonts w:eastAsia="Calibri"/>
              </w:rPr>
              <w:t>Energy industries – Manufacture of solid fuels and other energy industries</w:t>
            </w:r>
          </w:p>
        </w:tc>
        <w:tc>
          <w:tcPr>
            <w:tcW w:w="1701" w:type="dxa"/>
            <w:shd w:val="clear" w:color="auto" w:fill="FFFFFF" w:themeFill="background1"/>
            <w:tcMar>
              <w:top w:w="0" w:type="dxa"/>
              <w:left w:w="85" w:type="dxa"/>
              <w:bottom w:w="0" w:type="dxa"/>
              <w:right w:w="85" w:type="dxa"/>
            </w:tcMar>
          </w:tcPr>
          <w:p w14:paraId="1E63FE24" w14:textId="77777777" w:rsidR="00CF3E30" w:rsidRPr="00C74702" w:rsidRDefault="00CF3E30" w:rsidP="00F16E23">
            <w:pPr>
              <w:pStyle w:val="TableText"/>
              <w:spacing w:before="40" w:after="40"/>
              <w:jc w:val="right"/>
              <w:rPr>
                <w:rFonts w:eastAsia="Calibri"/>
                <w:color w:val="000000"/>
              </w:rPr>
            </w:pPr>
            <w:r w:rsidRPr="00C74702">
              <w:rPr>
                <w:rFonts w:eastAsia="Calibri"/>
              </w:rPr>
              <w:t>30.4</w:t>
            </w:r>
          </w:p>
        </w:tc>
        <w:tc>
          <w:tcPr>
            <w:tcW w:w="1548" w:type="dxa"/>
            <w:shd w:val="clear" w:color="auto" w:fill="FFFFFF" w:themeFill="background1"/>
            <w:tcMar>
              <w:top w:w="0" w:type="dxa"/>
              <w:left w:w="85" w:type="dxa"/>
              <w:bottom w:w="0" w:type="dxa"/>
              <w:right w:w="85" w:type="dxa"/>
            </w:tcMar>
          </w:tcPr>
          <w:p w14:paraId="7D197B06" w14:textId="77777777" w:rsidR="00CF3E30" w:rsidRPr="00C74702" w:rsidRDefault="00CF3E30" w:rsidP="00F16E23">
            <w:pPr>
              <w:pStyle w:val="TableText"/>
              <w:spacing w:before="40" w:after="40"/>
              <w:jc w:val="right"/>
              <w:rPr>
                <w:rFonts w:eastAsia="Calibri"/>
                <w:color w:val="000000"/>
              </w:rPr>
            </w:pPr>
            <w:r w:rsidRPr="00C74702">
              <w:rPr>
                <w:rFonts w:eastAsia="Calibri"/>
              </w:rPr>
              <w:t>2014</w:t>
            </w:r>
          </w:p>
        </w:tc>
      </w:tr>
      <w:tr w:rsidR="00CF3E30" w:rsidRPr="00C74702" w14:paraId="7243F5A5" w14:textId="77777777" w:rsidTr="00F16E23">
        <w:tc>
          <w:tcPr>
            <w:tcW w:w="0" w:type="auto"/>
            <w:shd w:val="clear" w:color="auto" w:fill="FFFFFF" w:themeFill="background1"/>
            <w:tcMar>
              <w:top w:w="0" w:type="dxa"/>
              <w:left w:w="85" w:type="dxa"/>
              <w:bottom w:w="0" w:type="dxa"/>
              <w:right w:w="85" w:type="dxa"/>
            </w:tcMar>
          </w:tcPr>
          <w:p w14:paraId="4C05CEF8" w14:textId="77777777" w:rsidR="00CF3E30" w:rsidRPr="00C74702" w:rsidRDefault="00CF3E30" w:rsidP="00F16E23">
            <w:pPr>
              <w:pStyle w:val="TableText"/>
              <w:spacing w:before="40" w:after="40"/>
            </w:pPr>
            <w:r w:rsidRPr="00C74702">
              <w:rPr>
                <w:rFonts w:eastAsia="Calibri"/>
              </w:rPr>
              <w:t>IPPU</w:t>
            </w:r>
          </w:p>
        </w:tc>
        <w:tc>
          <w:tcPr>
            <w:tcW w:w="1093" w:type="dxa"/>
            <w:shd w:val="clear" w:color="auto" w:fill="FFFFFF" w:themeFill="background1"/>
            <w:tcMar>
              <w:left w:w="85" w:type="dxa"/>
              <w:right w:w="85" w:type="dxa"/>
            </w:tcMar>
          </w:tcPr>
          <w:p w14:paraId="15E1D12B" w14:textId="77777777" w:rsidR="00CF3E30" w:rsidRPr="00C74702" w:rsidRDefault="00CF3E30" w:rsidP="00F16E23">
            <w:pPr>
              <w:pStyle w:val="TableText"/>
              <w:spacing w:before="40" w:after="40"/>
              <w:rPr>
                <w:rFonts w:eastAsia="Calibri"/>
                <w:color w:val="000000"/>
              </w:rPr>
            </w:pPr>
            <w:r w:rsidRPr="00C74702">
              <w:rPr>
                <w:rFonts w:eastAsia="Calibri"/>
              </w:rPr>
              <w:t xml:space="preserve">2.F.1.f. </w:t>
            </w:r>
          </w:p>
        </w:tc>
        <w:tc>
          <w:tcPr>
            <w:tcW w:w="3260" w:type="dxa"/>
            <w:shd w:val="clear" w:color="auto" w:fill="FFFFFF" w:themeFill="background1"/>
            <w:tcMar>
              <w:top w:w="0" w:type="dxa"/>
              <w:left w:w="85" w:type="dxa"/>
              <w:bottom w:w="0" w:type="dxa"/>
              <w:right w:w="85" w:type="dxa"/>
            </w:tcMar>
          </w:tcPr>
          <w:p w14:paraId="132226A1" w14:textId="77777777" w:rsidR="00CF3E30" w:rsidRPr="00C74702" w:rsidRDefault="00CF3E30" w:rsidP="00F16E23">
            <w:pPr>
              <w:pStyle w:val="TableText"/>
              <w:spacing w:before="40" w:after="40"/>
              <w:rPr>
                <w:rFonts w:eastAsia="Calibri"/>
                <w:color w:val="000000"/>
              </w:rPr>
            </w:pPr>
            <w:r w:rsidRPr="00C74702">
              <w:rPr>
                <w:rFonts w:eastAsia="Calibri"/>
              </w:rPr>
              <w:t>Stationary air-conditioning – HFC-125</w:t>
            </w:r>
          </w:p>
        </w:tc>
        <w:tc>
          <w:tcPr>
            <w:tcW w:w="1701" w:type="dxa"/>
            <w:shd w:val="clear" w:color="auto" w:fill="FFFFFF" w:themeFill="background1"/>
            <w:tcMar>
              <w:top w:w="0" w:type="dxa"/>
              <w:left w:w="85" w:type="dxa"/>
              <w:bottom w:w="0" w:type="dxa"/>
              <w:right w:w="85" w:type="dxa"/>
            </w:tcMar>
          </w:tcPr>
          <w:p w14:paraId="2030B752" w14:textId="77777777" w:rsidR="00CF3E30" w:rsidRPr="00C74702" w:rsidRDefault="00CF3E30" w:rsidP="00F16E23">
            <w:pPr>
              <w:pStyle w:val="TableText"/>
              <w:spacing w:before="40" w:after="40"/>
              <w:jc w:val="right"/>
              <w:rPr>
                <w:rFonts w:eastAsia="Calibri"/>
                <w:color w:val="000000"/>
              </w:rPr>
            </w:pPr>
            <w:r w:rsidRPr="00C74702">
              <w:rPr>
                <w:rFonts w:eastAsia="Calibri"/>
              </w:rPr>
              <w:t>41.0</w:t>
            </w:r>
          </w:p>
        </w:tc>
        <w:tc>
          <w:tcPr>
            <w:tcW w:w="1548" w:type="dxa"/>
            <w:shd w:val="clear" w:color="auto" w:fill="FFFFFF" w:themeFill="background1"/>
            <w:tcMar>
              <w:top w:w="0" w:type="dxa"/>
              <w:left w:w="85" w:type="dxa"/>
              <w:bottom w:w="0" w:type="dxa"/>
              <w:right w:w="85" w:type="dxa"/>
            </w:tcMar>
          </w:tcPr>
          <w:p w14:paraId="07F58D8C" w14:textId="77777777" w:rsidR="00CF3E30" w:rsidRPr="00C74702" w:rsidRDefault="00CF3E30" w:rsidP="00F16E23">
            <w:pPr>
              <w:pStyle w:val="TableText"/>
              <w:spacing w:before="40" w:after="40"/>
              <w:jc w:val="right"/>
              <w:rPr>
                <w:rFonts w:eastAsia="Calibri"/>
                <w:color w:val="000000"/>
              </w:rPr>
            </w:pPr>
            <w:r w:rsidRPr="00C74702">
              <w:rPr>
                <w:rFonts w:eastAsia="Calibri"/>
              </w:rPr>
              <w:t>2023</w:t>
            </w:r>
          </w:p>
        </w:tc>
      </w:tr>
      <w:tr w:rsidR="00CF3E30" w:rsidRPr="00C74702" w14:paraId="1334B484" w14:textId="77777777" w:rsidTr="00F16E23">
        <w:tc>
          <w:tcPr>
            <w:tcW w:w="0" w:type="auto"/>
            <w:shd w:val="clear" w:color="auto" w:fill="FFFFFF" w:themeFill="background1"/>
            <w:tcMar>
              <w:top w:w="0" w:type="dxa"/>
              <w:left w:w="85" w:type="dxa"/>
              <w:bottom w:w="0" w:type="dxa"/>
              <w:right w:w="85" w:type="dxa"/>
            </w:tcMar>
          </w:tcPr>
          <w:p w14:paraId="3433A737" w14:textId="77777777" w:rsidR="00CF3E30" w:rsidRPr="00C74702" w:rsidRDefault="00CF3E30" w:rsidP="00F16E23">
            <w:pPr>
              <w:pStyle w:val="TableText"/>
              <w:spacing w:before="40" w:after="40"/>
            </w:pPr>
            <w:r w:rsidRPr="00C74702">
              <w:rPr>
                <w:rFonts w:eastAsia="Calibri"/>
              </w:rPr>
              <w:t>Agriculture</w:t>
            </w:r>
          </w:p>
        </w:tc>
        <w:tc>
          <w:tcPr>
            <w:tcW w:w="1093" w:type="dxa"/>
            <w:shd w:val="clear" w:color="auto" w:fill="FFFFFF" w:themeFill="background1"/>
            <w:tcMar>
              <w:left w:w="85" w:type="dxa"/>
              <w:right w:w="85" w:type="dxa"/>
            </w:tcMar>
          </w:tcPr>
          <w:p w14:paraId="3CA2AE97" w14:textId="77777777" w:rsidR="00CF3E30" w:rsidRPr="00C74702" w:rsidRDefault="00CF3E30" w:rsidP="00F16E23">
            <w:pPr>
              <w:pStyle w:val="TableText"/>
              <w:spacing w:before="40" w:after="40"/>
              <w:rPr>
                <w:rFonts w:eastAsia="Calibri"/>
                <w:color w:val="000000"/>
              </w:rPr>
            </w:pPr>
            <w:r w:rsidRPr="00C74702">
              <w:rPr>
                <w:rFonts w:eastAsia="Calibri"/>
              </w:rPr>
              <w:t xml:space="preserve">3.H. </w:t>
            </w:r>
          </w:p>
        </w:tc>
        <w:tc>
          <w:tcPr>
            <w:tcW w:w="3260" w:type="dxa"/>
            <w:shd w:val="clear" w:color="auto" w:fill="FFFFFF" w:themeFill="background1"/>
            <w:tcMar>
              <w:top w:w="0" w:type="dxa"/>
              <w:left w:w="85" w:type="dxa"/>
              <w:bottom w:w="0" w:type="dxa"/>
              <w:right w:w="85" w:type="dxa"/>
            </w:tcMar>
          </w:tcPr>
          <w:p w14:paraId="4810A6E1" w14:textId="77777777" w:rsidR="00CF3E30" w:rsidRPr="00C74702" w:rsidRDefault="00CF3E30" w:rsidP="00F16E23">
            <w:pPr>
              <w:pStyle w:val="TableText"/>
              <w:spacing w:before="40" w:after="40"/>
              <w:rPr>
                <w:rFonts w:eastAsia="Calibri"/>
                <w:color w:val="000000"/>
              </w:rPr>
            </w:pPr>
            <w:r w:rsidRPr="00C74702">
              <w:rPr>
                <w:rFonts w:eastAsia="Calibri"/>
              </w:rPr>
              <w:t>Agriculture – Urea application</w:t>
            </w:r>
          </w:p>
        </w:tc>
        <w:tc>
          <w:tcPr>
            <w:tcW w:w="1701" w:type="dxa"/>
            <w:shd w:val="clear" w:color="auto" w:fill="FFFFFF" w:themeFill="background1"/>
            <w:tcMar>
              <w:top w:w="0" w:type="dxa"/>
              <w:left w:w="85" w:type="dxa"/>
              <w:bottom w:w="0" w:type="dxa"/>
              <w:right w:w="85" w:type="dxa"/>
            </w:tcMar>
          </w:tcPr>
          <w:p w14:paraId="41DEDF47" w14:textId="77777777" w:rsidR="00CF3E30" w:rsidRPr="00C74702" w:rsidRDefault="00CF3E30" w:rsidP="00F16E23">
            <w:pPr>
              <w:pStyle w:val="TableText"/>
              <w:spacing w:before="40" w:after="40"/>
              <w:jc w:val="right"/>
              <w:rPr>
                <w:rFonts w:eastAsia="Calibri"/>
                <w:color w:val="000000"/>
              </w:rPr>
            </w:pPr>
            <w:r w:rsidRPr="00C74702">
              <w:rPr>
                <w:rFonts w:eastAsia="Calibri"/>
              </w:rPr>
              <w:t>84.5</w:t>
            </w:r>
          </w:p>
        </w:tc>
        <w:tc>
          <w:tcPr>
            <w:tcW w:w="1548" w:type="dxa"/>
            <w:shd w:val="clear" w:color="auto" w:fill="FFFFFF" w:themeFill="background1"/>
            <w:tcMar>
              <w:top w:w="0" w:type="dxa"/>
              <w:left w:w="85" w:type="dxa"/>
              <w:bottom w:w="0" w:type="dxa"/>
              <w:right w:w="85" w:type="dxa"/>
            </w:tcMar>
          </w:tcPr>
          <w:p w14:paraId="1E2882F5" w14:textId="77777777" w:rsidR="00CF3E30" w:rsidRPr="00C74702" w:rsidRDefault="00CF3E30" w:rsidP="00F16E23">
            <w:pPr>
              <w:pStyle w:val="TableText"/>
              <w:spacing w:before="40" w:after="40"/>
              <w:jc w:val="right"/>
              <w:rPr>
                <w:rFonts w:eastAsia="Calibri"/>
                <w:color w:val="000000"/>
              </w:rPr>
            </w:pPr>
            <w:r w:rsidRPr="00C74702">
              <w:rPr>
                <w:rFonts w:eastAsia="Calibri"/>
              </w:rPr>
              <w:t>2022</w:t>
            </w:r>
          </w:p>
        </w:tc>
      </w:tr>
      <w:tr w:rsidR="00CF3E30" w:rsidRPr="00C74702" w14:paraId="2CDD892F" w14:textId="77777777" w:rsidTr="00F16E23">
        <w:tc>
          <w:tcPr>
            <w:tcW w:w="0" w:type="auto"/>
            <w:shd w:val="clear" w:color="auto" w:fill="FFFFFF" w:themeFill="background1"/>
            <w:tcMar>
              <w:top w:w="0" w:type="dxa"/>
              <w:left w:w="85" w:type="dxa"/>
              <w:bottom w:w="0" w:type="dxa"/>
              <w:right w:w="85" w:type="dxa"/>
            </w:tcMar>
          </w:tcPr>
          <w:p w14:paraId="67FDF8AD" w14:textId="77777777" w:rsidR="00CF3E30" w:rsidRPr="00C74702" w:rsidRDefault="00CF3E30" w:rsidP="00F16E23">
            <w:pPr>
              <w:pStyle w:val="TableText"/>
              <w:spacing w:before="40" w:after="40"/>
            </w:pPr>
            <w:r w:rsidRPr="00C74702">
              <w:rPr>
                <w:rFonts w:eastAsia="Calibri"/>
              </w:rPr>
              <w:t>LULUCF</w:t>
            </w:r>
          </w:p>
        </w:tc>
        <w:tc>
          <w:tcPr>
            <w:tcW w:w="1093" w:type="dxa"/>
            <w:shd w:val="clear" w:color="auto" w:fill="FFFFFF" w:themeFill="background1"/>
            <w:tcMar>
              <w:left w:w="85" w:type="dxa"/>
              <w:right w:w="85" w:type="dxa"/>
            </w:tcMar>
          </w:tcPr>
          <w:p w14:paraId="153A050E" w14:textId="77777777" w:rsidR="00CF3E30" w:rsidRPr="00C74702" w:rsidRDefault="00CF3E30" w:rsidP="00F16E23">
            <w:pPr>
              <w:pStyle w:val="TableText"/>
              <w:spacing w:before="40" w:after="40"/>
              <w:rPr>
                <w:rFonts w:eastAsia="Calibri"/>
                <w:color w:val="000000"/>
              </w:rPr>
            </w:pPr>
            <w:r w:rsidRPr="00C74702">
              <w:rPr>
                <w:rFonts w:eastAsia="Calibri"/>
              </w:rPr>
              <w:t xml:space="preserve">4.A.1. </w:t>
            </w:r>
          </w:p>
        </w:tc>
        <w:tc>
          <w:tcPr>
            <w:tcW w:w="3260" w:type="dxa"/>
            <w:shd w:val="clear" w:color="auto" w:fill="FFFFFF" w:themeFill="background1"/>
            <w:tcMar>
              <w:top w:w="0" w:type="dxa"/>
              <w:left w:w="85" w:type="dxa"/>
              <w:bottom w:w="0" w:type="dxa"/>
              <w:right w:w="85" w:type="dxa"/>
            </w:tcMar>
          </w:tcPr>
          <w:p w14:paraId="6DE09564" w14:textId="77777777" w:rsidR="00CF3E30" w:rsidRPr="00C74702" w:rsidRDefault="00CF3E30" w:rsidP="00F16E23">
            <w:pPr>
              <w:pStyle w:val="TableText"/>
              <w:spacing w:before="40" w:after="40"/>
              <w:rPr>
                <w:rFonts w:eastAsia="Calibri"/>
                <w:color w:val="000000"/>
              </w:rPr>
            </w:pPr>
            <w:r w:rsidRPr="00C74702">
              <w:rPr>
                <w:rFonts w:eastAsia="Calibri"/>
              </w:rPr>
              <w:t>Forest land remaining forest land – Post-1989 forest remaining post-1989 forest</w:t>
            </w:r>
          </w:p>
        </w:tc>
        <w:tc>
          <w:tcPr>
            <w:tcW w:w="1701" w:type="dxa"/>
            <w:shd w:val="clear" w:color="auto" w:fill="FFFFFF" w:themeFill="background1"/>
            <w:tcMar>
              <w:top w:w="0" w:type="dxa"/>
              <w:left w:w="85" w:type="dxa"/>
              <w:bottom w:w="0" w:type="dxa"/>
              <w:right w:w="85" w:type="dxa"/>
            </w:tcMar>
          </w:tcPr>
          <w:p w14:paraId="5BD01D14" w14:textId="77777777" w:rsidR="00CF3E30" w:rsidRPr="00C74702" w:rsidRDefault="00CF3E30" w:rsidP="00F16E23">
            <w:pPr>
              <w:pStyle w:val="TableText"/>
              <w:spacing w:before="40" w:after="40"/>
              <w:jc w:val="right"/>
              <w:rPr>
                <w:rFonts w:eastAsia="Calibri"/>
                <w:color w:val="000000"/>
              </w:rPr>
            </w:pPr>
            <w:r w:rsidRPr="00C74702">
              <w:rPr>
                <w:rFonts w:eastAsia="Calibri"/>
              </w:rPr>
              <w:t>2341.0</w:t>
            </w:r>
          </w:p>
        </w:tc>
        <w:tc>
          <w:tcPr>
            <w:tcW w:w="1548" w:type="dxa"/>
            <w:shd w:val="clear" w:color="auto" w:fill="FFFFFF" w:themeFill="background1"/>
            <w:tcMar>
              <w:top w:w="0" w:type="dxa"/>
              <w:left w:w="85" w:type="dxa"/>
              <w:bottom w:w="0" w:type="dxa"/>
              <w:right w:w="85" w:type="dxa"/>
            </w:tcMar>
          </w:tcPr>
          <w:p w14:paraId="59F87CED" w14:textId="77777777" w:rsidR="00CF3E30" w:rsidRPr="00C74702" w:rsidRDefault="00CF3E30" w:rsidP="00F16E23">
            <w:pPr>
              <w:pStyle w:val="TableText"/>
              <w:spacing w:before="40" w:after="40"/>
              <w:jc w:val="right"/>
              <w:rPr>
                <w:rFonts w:eastAsia="Calibri"/>
                <w:color w:val="000000"/>
              </w:rPr>
            </w:pPr>
            <w:r w:rsidRPr="00C74702">
              <w:rPr>
                <w:rFonts w:eastAsia="Calibri"/>
              </w:rPr>
              <w:t>2021</w:t>
            </w:r>
          </w:p>
        </w:tc>
      </w:tr>
      <w:tr w:rsidR="00CF3E30" w:rsidRPr="00C74702" w14:paraId="3A026118" w14:textId="77777777" w:rsidTr="00F16E23">
        <w:tc>
          <w:tcPr>
            <w:tcW w:w="0" w:type="auto"/>
            <w:shd w:val="clear" w:color="auto" w:fill="FFFFFF" w:themeFill="background1"/>
            <w:tcMar>
              <w:top w:w="0" w:type="dxa"/>
              <w:left w:w="85" w:type="dxa"/>
              <w:bottom w:w="0" w:type="dxa"/>
              <w:right w:w="85" w:type="dxa"/>
            </w:tcMar>
          </w:tcPr>
          <w:p w14:paraId="49E497EE" w14:textId="77777777" w:rsidR="00CF3E30" w:rsidRPr="00C74702" w:rsidRDefault="00CF3E30" w:rsidP="00F16E23">
            <w:pPr>
              <w:pStyle w:val="TableText"/>
              <w:spacing w:before="40" w:after="40"/>
            </w:pPr>
            <w:r w:rsidRPr="00C74702">
              <w:rPr>
                <w:rFonts w:eastAsia="Calibri"/>
              </w:rPr>
              <w:t>Waste</w:t>
            </w:r>
          </w:p>
        </w:tc>
        <w:tc>
          <w:tcPr>
            <w:tcW w:w="1093" w:type="dxa"/>
            <w:shd w:val="clear" w:color="auto" w:fill="FFFFFF" w:themeFill="background1"/>
            <w:tcMar>
              <w:left w:w="85" w:type="dxa"/>
              <w:right w:w="85" w:type="dxa"/>
            </w:tcMar>
          </w:tcPr>
          <w:p w14:paraId="61A566B7" w14:textId="77777777" w:rsidR="00CF3E30" w:rsidRPr="00C74702" w:rsidRDefault="00CF3E30" w:rsidP="00F16E23">
            <w:pPr>
              <w:pStyle w:val="TableText"/>
              <w:spacing w:before="40" w:after="40"/>
              <w:rPr>
                <w:rFonts w:eastAsia="Calibri"/>
                <w:color w:val="000000"/>
              </w:rPr>
            </w:pPr>
            <w:r w:rsidRPr="00C74702">
              <w:rPr>
                <w:rFonts w:eastAsia="Calibri"/>
              </w:rPr>
              <w:t>5.A.2.</w:t>
            </w:r>
          </w:p>
        </w:tc>
        <w:tc>
          <w:tcPr>
            <w:tcW w:w="3260" w:type="dxa"/>
            <w:shd w:val="clear" w:color="auto" w:fill="FFFFFF" w:themeFill="background1"/>
            <w:tcMar>
              <w:top w:w="0" w:type="dxa"/>
              <w:left w:w="85" w:type="dxa"/>
              <w:bottom w:w="0" w:type="dxa"/>
              <w:right w:w="85" w:type="dxa"/>
            </w:tcMar>
          </w:tcPr>
          <w:p w14:paraId="216271D8" w14:textId="77777777" w:rsidR="00CF3E30" w:rsidRPr="00C74702" w:rsidRDefault="00CF3E30" w:rsidP="00F16E23">
            <w:pPr>
              <w:pStyle w:val="TableText"/>
              <w:spacing w:before="40" w:after="40"/>
              <w:rPr>
                <w:rFonts w:eastAsia="Calibri"/>
                <w:color w:val="000000"/>
              </w:rPr>
            </w:pPr>
            <w:r w:rsidRPr="00C74702">
              <w:rPr>
                <w:rFonts w:eastAsia="Calibri"/>
              </w:rPr>
              <w:t>Solid waste disposal – Unmanaged waste disposal sites</w:t>
            </w:r>
          </w:p>
        </w:tc>
        <w:tc>
          <w:tcPr>
            <w:tcW w:w="1701" w:type="dxa"/>
            <w:shd w:val="clear" w:color="auto" w:fill="FFFFFF" w:themeFill="background1"/>
            <w:tcMar>
              <w:top w:w="0" w:type="dxa"/>
              <w:left w:w="85" w:type="dxa"/>
              <w:bottom w:w="0" w:type="dxa"/>
              <w:right w:w="85" w:type="dxa"/>
            </w:tcMar>
          </w:tcPr>
          <w:p w14:paraId="58B62C81" w14:textId="77777777" w:rsidR="00CF3E30" w:rsidRPr="00C74702" w:rsidRDefault="00CF3E30" w:rsidP="00F16E23">
            <w:pPr>
              <w:pStyle w:val="TableText"/>
              <w:spacing w:before="40" w:after="40"/>
              <w:jc w:val="right"/>
              <w:rPr>
                <w:rFonts w:eastAsia="Calibri"/>
                <w:color w:val="000000"/>
              </w:rPr>
            </w:pPr>
            <w:r w:rsidRPr="00C74702">
              <w:rPr>
                <w:rFonts w:eastAsia="Calibri"/>
              </w:rPr>
              <w:t>124.8</w:t>
            </w:r>
          </w:p>
        </w:tc>
        <w:tc>
          <w:tcPr>
            <w:tcW w:w="1548" w:type="dxa"/>
            <w:shd w:val="clear" w:color="auto" w:fill="FFFFFF" w:themeFill="background1"/>
            <w:tcMar>
              <w:top w:w="0" w:type="dxa"/>
              <w:left w:w="85" w:type="dxa"/>
              <w:bottom w:w="0" w:type="dxa"/>
              <w:right w:w="85" w:type="dxa"/>
            </w:tcMar>
          </w:tcPr>
          <w:p w14:paraId="5FD6442D" w14:textId="77777777" w:rsidR="00CF3E30" w:rsidRPr="00C74702" w:rsidRDefault="00CF3E30" w:rsidP="00F16E23">
            <w:pPr>
              <w:pStyle w:val="TableText"/>
              <w:spacing w:before="40" w:after="40"/>
              <w:jc w:val="right"/>
              <w:rPr>
                <w:rFonts w:eastAsia="Calibri"/>
                <w:color w:val="000000"/>
              </w:rPr>
            </w:pPr>
            <w:r w:rsidRPr="00C74702">
              <w:rPr>
                <w:rFonts w:eastAsia="Calibri"/>
              </w:rPr>
              <w:t>2023</w:t>
            </w:r>
          </w:p>
        </w:tc>
      </w:tr>
      <w:tr w:rsidR="00CF3E30" w:rsidRPr="00C74702" w14:paraId="2C80E407" w14:textId="77777777" w:rsidTr="00F16E23">
        <w:tc>
          <w:tcPr>
            <w:tcW w:w="0" w:type="auto"/>
            <w:shd w:val="clear" w:color="auto" w:fill="FFFFFF" w:themeFill="background1"/>
            <w:tcMar>
              <w:top w:w="0" w:type="dxa"/>
              <w:left w:w="85" w:type="dxa"/>
              <w:bottom w:w="0" w:type="dxa"/>
              <w:right w:w="85" w:type="dxa"/>
            </w:tcMar>
          </w:tcPr>
          <w:p w14:paraId="08539B08" w14:textId="77777777" w:rsidR="00CF3E30" w:rsidRPr="00C74702" w:rsidRDefault="00CF3E30" w:rsidP="00F16E23">
            <w:pPr>
              <w:pStyle w:val="TableText"/>
              <w:spacing w:before="40" w:after="40"/>
            </w:pPr>
            <w:r w:rsidRPr="00C74702">
              <w:rPr>
                <w:rFonts w:eastAsia="Calibri"/>
              </w:rPr>
              <w:t>Tokelau</w:t>
            </w:r>
          </w:p>
        </w:tc>
        <w:tc>
          <w:tcPr>
            <w:tcW w:w="1093" w:type="dxa"/>
            <w:shd w:val="clear" w:color="auto" w:fill="FFFFFF" w:themeFill="background1"/>
            <w:tcMar>
              <w:left w:w="85" w:type="dxa"/>
              <w:right w:w="85" w:type="dxa"/>
            </w:tcMar>
          </w:tcPr>
          <w:p w14:paraId="0A6F360F" w14:textId="77777777" w:rsidR="00CF3E30" w:rsidRPr="00C74702" w:rsidRDefault="00CF3E30" w:rsidP="00F16E23">
            <w:pPr>
              <w:pStyle w:val="TableText"/>
              <w:spacing w:before="40" w:after="40"/>
              <w:rPr>
                <w:rFonts w:eastAsia="Calibri"/>
                <w:color w:val="000000"/>
              </w:rPr>
            </w:pPr>
            <w:r w:rsidRPr="00C74702">
              <w:rPr>
                <w:rFonts w:eastAsia="Calibri"/>
              </w:rPr>
              <w:t xml:space="preserve">6. Tokelau 2. </w:t>
            </w:r>
          </w:p>
        </w:tc>
        <w:tc>
          <w:tcPr>
            <w:tcW w:w="3260" w:type="dxa"/>
            <w:shd w:val="clear" w:color="auto" w:fill="FFFFFF" w:themeFill="background1"/>
            <w:tcMar>
              <w:top w:w="0" w:type="dxa"/>
              <w:left w:w="85" w:type="dxa"/>
              <w:bottom w:w="0" w:type="dxa"/>
              <w:right w:w="85" w:type="dxa"/>
            </w:tcMar>
          </w:tcPr>
          <w:p w14:paraId="6779A11B" w14:textId="77777777" w:rsidR="00CF3E30" w:rsidRPr="00C74702" w:rsidRDefault="00CF3E30" w:rsidP="00F16E23">
            <w:pPr>
              <w:pStyle w:val="TableText"/>
              <w:spacing w:before="40" w:after="40"/>
              <w:rPr>
                <w:rFonts w:eastAsia="Calibri"/>
                <w:color w:val="000000"/>
              </w:rPr>
            </w:pPr>
            <w:r w:rsidRPr="00C74702">
              <w:rPr>
                <w:rFonts w:eastAsia="Calibri"/>
              </w:rPr>
              <w:t>Other (please specify) – Tokelau_2. Industrial Processes and Product Use</w:t>
            </w:r>
          </w:p>
        </w:tc>
        <w:tc>
          <w:tcPr>
            <w:tcW w:w="1701" w:type="dxa"/>
            <w:shd w:val="clear" w:color="auto" w:fill="FFFFFF" w:themeFill="background1"/>
            <w:tcMar>
              <w:top w:w="0" w:type="dxa"/>
              <w:left w:w="85" w:type="dxa"/>
              <w:bottom w:w="0" w:type="dxa"/>
              <w:right w:w="85" w:type="dxa"/>
            </w:tcMar>
          </w:tcPr>
          <w:p w14:paraId="402689D6" w14:textId="77777777" w:rsidR="00CF3E30" w:rsidRPr="00C74702" w:rsidRDefault="00CF3E30" w:rsidP="00F16E23">
            <w:pPr>
              <w:pStyle w:val="TableText"/>
              <w:spacing w:before="40" w:after="40"/>
              <w:jc w:val="right"/>
              <w:rPr>
                <w:rFonts w:eastAsia="Calibri"/>
                <w:color w:val="000000"/>
              </w:rPr>
            </w:pPr>
            <w:r w:rsidRPr="00C74702">
              <w:rPr>
                <w:rFonts w:eastAsia="Calibri"/>
              </w:rPr>
              <w:t>0.004</w:t>
            </w:r>
          </w:p>
        </w:tc>
        <w:tc>
          <w:tcPr>
            <w:tcW w:w="1548" w:type="dxa"/>
            <w:shd w:val="clear" w:color="auto" w:fill="FFFFFF" w:themeFill="background1"/>
            <w:tcMar>
              <w:top w:w="0" w:type="dxa"/>
              <w:left w:w="85" w:type="dxa"/>
              <w:bottom w:w="0" w:type="dxa"/>
              <w:right w:w="85" w:type="dxa"/>
            </w:tcMar>
          </w:tcPr>
          <w:p w14:paraId="2182A857" w14:textId="77777777" w:rsidR="00CF3E30" w:rsidRPr="00C74702" w:rsidRDefault="00CF3E30" w:rsidP="00F16E23">
            <w:pPr>
              <w:pStyle w:val="TableText"/>
              <w:spacing w:before="40" w:after="40"/>
              <w:jc w:val="right"/>
              <w:rPr>
                <w:rFonts w:eastAsia="Calibri"/>
                <w:color w:val="000000"/>
              </w:rPr>
            </w:pPr>
            <w:r w:rsidRPr="00C74702">
              <w:rPr>
                <w:rFonts w:eastAsia="Calibri"/>
              </w:rPr>
              <w:t>2023</w:t>
            </w:r>
          </w:p>
        </w:tc>
      </w:tr>
    </w:tbl>
    <w:p w14:paraId="67B8B2E3" w14:textId="77777777" w:rsidR="00CF3E30" w:rsidRPr="00C74702" w:rsidRDefault="00CF3E30" w:rsidP="00CF3E30">
      <w:pPr>
        <w:pStyle w:val="BodyText"/>
        <w:keepNext/>
        <w:spacing w:before="240"/>
      </w:pPr>
      <w:r w:rsidRPr="00C74702">
        <w:t xml:space="preserve">Table 10.3.2 shows the recalculations for the category that reduced emissions estimates the most for each sector. </w:t>
      </w:r>
    </w:p>
    <w:p w14:paraId="33B3A035" w14:textId="2769E955" w:rsidR="00CF3E30" w:rsidRPr="00C74702" w:rsidRDefault="00CF3E30" w:rsidP="00CF3E30">
      <w:pPr>
        <w:pStyle w:val="Table"/>
      </w:pPr>
      <w:bookmarkStart w:id="3351" w:name="_Toc226669157"/>
      <w:r w:rsidRPr="00C74702">
        <w:t xml:space="preserve">Table 10.3.2 </w:t>
      </w:r>
      <w:r w:rsidRPr="00C74702">
        <w:tab/>
        <w:t>Recalculations that led to the greatest decrease in emissions estimates in each</w:t>
      </w:r>
      <w:r w:rsidR="005F480A">
        <w:t> </w:t>
      </w:r>
      <w:r w:rsidRPr="00C74702">
        <w:t>sector</w:t>
      </w:r>
      <w:bookmarkEnd w:id="335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964"/>
        <w:gridCol w:w="1021"/>
        <w:gridCol w:w="3260"/>
        <w:gridCol w:w="1701"/>
        <w:gridCol w:w="1548"/>
      </w:tblGrid>
      <w:tr w:rsidR="00CF3E30" w:rsidRPr="00C74702" w14:paraId="6E7C2922" w14:textId="77777777" w:rsidTr="00F16E23">
        <w:trPr>
          <w:tblHeader/>
        </w:trPr>
        <w:tc>
          <w:tcPr>
            <w:tcW w:w="0" w:type="auto"/>
            <w:shd w:val="clear" w:color="auto" w:fill="1B556B"/>
            <w:tcMar>
              <w:top w:w="0" w:type="dxa"/>
              <w:left w:w="85" w:type="dxa"/>
              <w:bottom w:w="0" w:type="dxa"/>
              <w:right w:w="85" w:type="dxa"/>
            </w:tcMar>
            <w:vAlign w:val="bottom"/>
          </w:tcPr>
          <w:p w14:paraId="0D15E0C2" w14:textId="77777777" w:rsidR="00CF3E30" w:rsidRPr="00C74702" w:rsidRDefault="00CF3E30" w:rsidP="00F16E23">
            <w:pPr>
              <w:pStyle w:val="TableTextBold"/>
              <w:keepNext/>
              <w:spacing w:before="40" w:after="40"/>
              <w:rPr>
                <w:noProof w:val="0"/>
                <w:color w:val="FFFFFF" w:themeColor="background1"/>
              </w:rPr>
            </w:pPr>
            <w:r w:rsidRPr="00C74702">
              <w:rPr>
                <w:rFonts w:eastAsia="Calibri"/>
                <w:noProof w:val="0"/>
                <w:color w:val="FFFFFF" w:themeColor="background1"/>
              </w:rPr>
              <w:t>Sector</w:t>
            </w:r>
          </w:p>
        </w:tc>
        <w:tc>
          <w:tcPr>
            <w:tcW w:w="1021" w:type="dxa"/>
            <w:shd w:val="clear" w:color="auto" w:fill="1B556B"/>
            <w:tcMar>
              <w:left w:w="85" w:type="dxa"/>
              <w:right w:w="85" w:type="dxa"/>
            </w:tcMar>
            <w:vAlign w:val="bottom"/>
          </w:tcPr>
          <w:p w14:paraId="1B5C1B3D" w14:textId="77777777" w:rsidR="00CF3E30" w:rsidRPr="00C74702" w:rsidRDefault="00CF3E30" w:rsidP="00F16E23">
            <w:pPr>
              <w:pStyle w:val="TableTextBold"/>
              <w:keepNext/>
              <w:spacing w:before="40" w:after="40"/>
              <w:rPr>
                <w:rFonts w:eastAsia="Calibri"/>
                <w:noProof w:val="0"/>
                <w:color w:val="FFFFFF" w:themeColor="background1"/>
              </w:rPr>
            </w:pPr>
            <w:r w:rsidRPr="00C74702">
              <w:rPr>
                <w:rFonts w:eastAsia="Calibri"/>
                <w:noProof w:val="0"/>
                <w:color w:val="FFFFFF" w:themeColor="background1"/>
              </w:rPr>
              <w:t>CRT category</w:t>
            </w:r>
          </w:p>
        </w:tc>
        <w:tc>
          <w:tcPr>
            <w:tcW w:w="3260" w:type="dxa"/>
            <w:shd w:val="clear" w:color="auto" w:fill="1B556B"/>
            <w:tcMar>
              <w:top w:w="0" w:type="dxa"/>
              <w:left w:w="85" w:type="dxa"/>
              <w:bottom w:w="0" w:type="dxa"/>
              <w:right w:w="85" w:type="dxa"/>
            </w:tcMar>
            <w:vAlign w:val="bottom"/>
          </w:tcPr>
          <w:p w14:paraId="378DC5CF" w14:textId="77777777" w:rsidR="00CF3E30" w:rsidRPr="00C74702" w:rsidRDefault="00CF3E30" w:rsidP="00F16E23">
            <w:pPr>
              <w:pStyle w:val="TableTextBold"/>
              <w:keepNext/>
              <w:spacing w:before="40" w:after="40"/>
              <w:rPr>
                <w:noProof w:val="0"/>
                <w:color w:val="FFFFFF" w:themeColor="background1"/>
              </w:rPr>
            </w:pPr>
            <w:r w:rsidRPr="00C74702">
              <w:rPr>
                <w:rFonts w:eastAsia="Calibri"/>
                <w:noProof w:val="0"/>
                <w:color w:val="FFFFFF" w:themeColor="background1"/>
              </w:rPr>
              <w:t>Category with the largest reduction in estimated emissions across the entire time series</w:t>
            </w:r>
          </w:p>
        </w:tc>
        <w:tc>
          <w:tcPr>
            <w:tcW w:w="1701" w:type="dxa"/>
            <w:shd w:val="clear" w:color="auto" w:fill="1B556B"/>
            <w:tcMar>
              <w:top w:w="0" w:type="dxa"/>
              <w:left w:w="85" w:type="dxa"/>
              <w:bottom w:w="0" w:type="dxa"/>
              <w:right w:w="85" w:type="dxa"/>
            </w:tcMar>
            <w:vAlign w:val="bottom"/>
          </w:tcPr>
          <w:p w14:paraId="54EA5716" w14:textId="77777777" w:rsidR="00CF3E30" w:rsidRPr="00C74702" w:rsidRDefault="00CF3E30" w:rsidP="00F16E23">
            <w:pPr>
              <w:pStyle w:val="TableTextBold"/>
              <w:keepNext/>
              <w:spacing w:before="40" w:after="40"/>
              <w:jc w:val="right"/>
              <w:rPr>
                <w:noProof w:val="0"/>
                <w:color w:val="FFFFFF" w:themeColor="background1"/>
              </w:rPr>
            </w:pPr>
            <w:r w:rsidRPr="00C74702">
              <w:rPr>
                <w:rFonts w:eastAsia="Calibri"/>
                <w:noProof w:val="0"/>
                <w:color w:val="FFFFFF" w:themeColor="background1"/>
              </w:rPr>
              <w:t>Largest single decrease in emissions for the category (kt CO</w:t>
            </w:r>
            <w:r w:rsidRPr="00C74702">
              <w:rPr>
                <w:rFonts w:eastAsia="Calibri"/>
                <w:noProof w:val="0"/>
                <w:color w:val="FFFFFF" w:themeColor="background1"/>
                <w:vertAlign w:val="subscript"/>
              </w:rPr>
              <w:t>2</w:t>
            </w:r>
            <w:r w:rsidRPr="00C74702">
              <w:rPr>
                <w:rFonts w:eastAsia="Calibri"/>
                <w:noProof w:val="0"/>
                <w:color w:val="FFFFFF" w:themeColor="background1"/>
              </w:rPr>
              <w:t>e)</w:t>
            </w:r>
          </w:p>
        </w:tc>
        <w:tc>
          <w:tcPr>
            <w:tcW w:w="1548" w:type="dxa"/>
            <w:shd w:val="clear" w:color="auto" w:fill="1B556B"/>
            <w:tcMar>
              <w:top w:w="0" w:type="dxa"/>
              <w:left w:w="85" w:type="dxa"/>
              <w:bottom w:w="0" w:type="dxa"/>
              <w:right w:w="85" w:type="dxa"/>
            </w:tcMar>
            <w:vAlign w:val="bottom"/>
          </w:tcPr>
          <w:p w14:paraId="3D1BCC5F" w14:textId="77777777" w:rsidR="00CF3E30" w:rsidRPr="00C74702" w:rsidRDefault="00CF3E30" w:rsidP="00F16E23">
            <w:pPr>
              <w:pStyle w:val="TableTextBold"/>
              <w:keepNext/>
              <w:spacing w:before="40" w:after="40"/>
              <w:jc w:val="right"/>
              <w:rPr>
                <w:noProof w:val="0"/>
                <w:color w:val="FFFFFF" w:themeColor="background1"/>
              </w:rPr>
            </w:pPr>
            <w:r w:rsidRPr="00C74702">
              <w:rPr>
                <w:rFonts w:eastAsia="Calibri"/>
                <w:noProof w:val="0"/>
                <w:color w:val="FFFFFF" w:themeColor="background1"/>
              </w:rPr>
              <w:t>Year of the largest decrease in estimated emissions</w:t>
            </w:r>
          </w:p>
        </w:tc>
      </w:tr>
      <w:tr w:rsidR="00CF3E30" w:rsidRPr="00C74702" w14:paraId="23479768" w14:textId="77777777" w:rsidTr="00F16E23">
        <w:tc>
          <w:tcPr>
            <w:tcW w:w="0" w:type="auto"/>
            <w:shd w:val="clear" w:color="auto" w:fill="FFFFFF" w:themeFill="background1"/>
            <w:tcMar>
              <w:top w:w="0" w:type="dxa"/>
              <w:left w:w="85" w:type="dxa"/>
              <w:bottom w:w="0" w:type="dxa"/>
              <w:right w:w="85" w:type="dxa"/>
            </w:tcMar>
          </w:tcPr>
          <w:p w14:paraId="2C42E847" w14:textId="77777777" w:rsidR="00CF3E30" w:rsidRPr="00C74702" w:rsidRDefault="00CF3E30" w:rsidP="00F16E23">
            <w:pPr>
              <w:pStyle w:val="TableText"/>
              <w:keepNext/>
              <w:spacing w:before="40" w:after="40"/>
            </w:pPr>
            <w:r w:rsidRPr="00C74702">
              <w:rPr>
                <w:rFonts w:eastAsia="Calibri"/>
              </w:rPr>
              <w:t>Energy</w:t>
            </w:r>
          </w:p>
        </w:tc>
        <w:tc>
          <w:tcPr>
            <w:tcW w:w="1021" w:type="dxa"/>
            <w:shd w:val="clear" w:color="auto" w:fill="FFFFFF" w:themeFill="background1"/>
            <w:tcMar>
              <w:left w:w="85" w:type="dxa"/>
              <w:right w:w="85" w:type="dxa"/>
            </w:tcMar>
          </w:tcPr>
          <w:p w14:paraId="1DD5A710" w14:textId="77777777" w:rsidR="00CF3E30" w:rsidRPr="00C74702" w:rsidRDefault="00CF3E30" w:rsidP="00F16E23">
            <w:pPr>
              <w:pStyle w:val="TableText"/>
              <w:keepNext/>
              <w:spacing w:before="40" w:after="40"/>
              <w:rPr>
                <w:rFonts w:eastAsia="Calibri"/>
                <w:color w:val="000000"/>
              </w:rPr>
            </w:pPr>
            <w:r w:rsidRPr="00C74702">
              <w:rPr>
                <w:rFonts w:eastAsia="Calibri"/>
              </w:rPr>
              <w:t xml:space="preserve">1.A.3.a. </w:t>
            </w:r>
          </w:p>
        </w:tc>
        <w:tc>
          <w:tcPr>
            <w:tcW w:w="3260" w:type="dxa"/>
            <w:shd w:val="clear" w:color="auto" w:fill="FFFFFF" w:themeFill="background1"/>
            <w:tcMar>
              <w:top w:w="0" w:type="dxa"/>
              <w:left w:w="85" w:type="dxa"/>
              <w:bottom w:w="0" w:type="dxa"/>
              <w:right w:w="85" w:type="dxa"/>
            </w:tcMar>
          </w:tcPr>
          <w:p w14:paraId="2876DE4A" w14:textId="77777777" w:rsidR="00CF3E30" w:rsidRPr="00C74702" w:rsidRDefault="00CF3E30" w:rsidP="00F16E23">
            <w:pPr>
              <w:pStyle w:val="TableText"/>
              <w:keepNext/>
              <w:spacing w:before="40" w:after="40"/>
              <w:rPr>
                <w:rFonts w:eastAsia="Calibri"/>
                <w:color w:val="000000"/>
              </w:rPr>
            </w:pPr>
            <w:r w:rsidRPr="00C74702">
              <w:rPr>
                <w:rFonts w:eastAsia="Calibri"/>
              </w:rPr>
              <w:t>Domestic aviation – Jet kerosene</w:t>
            </w:r>
          </w:p>
        </w:tc>
        <w:tc>
          <w:tcPr>
            <w:tcW w:w="1701" w:type="dxa"/>
            <w:shd w:val="clear" w:color="auto" w:fill="FFFFFF" w:themeFill="background1"/>
            <w:tcMar>
              <w:top w:w="0" w:type="dxa"/>
              <w:left w:w="85" w:type="dxa"/>
              <w:bottom w:w="0" w:type="dxa"/>
              <w:right w:w="85" w:type="dxa"/>
            </w:tcMar>
          </w:tcPr>
          <w:p w14:paraId="733A8FAD" w14:textId="77777777" w:rsidR="00CF3E30" w:rsidRPr="00C74702" w:rsidRDefault="00CF3E30" w:rsidP="00F16E23">
            <w:pPr>
              <w:pStyle w:val="TableText"/>
              <w:keepNext/>
              <w:spacing w:before="40" w:after="40"/>
              <w:jc w:val="right"/>
              <w:rPr>
                <w:rFonts w:eastAsia="Calibri"/>
                <w:color w:val="000000"/>
              </w:rPr>
            </w:pPr>
            <w:r w:rsidRPr="00C74702">
              <w:rPr>
                <w:rFonts w:eastAsia="Calibri"/>
              </w:rPr>
              <w:t>-346.6</w:t>
            </w:r>
          </w:p>
        </w:tc>
        <w:tc>
          <w:tcPr>
            <w:tcW w:w="1548" w:type="dxa"/>
            <w:shd w:val="clear" w:color="auto" w:fill="FFFFFF" w:themeFill="background1"/>
            <w:tcMar>
              <w:top w:w="0" w:type="dxa"/>
              <w:left w:w="85" w:type="dxa"/>
              <w:bottom w:w="0" w:type="dxa"/>
              <w:right w:w="85" w:type="dxa"/>
            </w:tcMar>
          </w:tcPr>
          <w:p w14:paraId="28A6D50A" w14:textId="77777777" w:rsidR="00CF3E30" w:rsidRPr="00C74702" w:rsidRDefault="00CF3E30" w:rsidP="00F16E23">
            <w:pPr>
              <w:pStyle w:val="TableText"/>
              <w:keepNext/>
              <w:spacing w:before="40" w:after="40"/>
              <w:jc w:val="right"/>
              <w:rPr>
                <w:rFonts w:eastAsia="Calibri"/>
                <w:color w:val="000000"/>
              </w:rPr>
            </w:pPr>
            <w:r w:rsidRPr="00C74702">
              <w:rPr>
                <w:rFonts w:eastAsia="Calibri"/>
              </w:rPr>
              <w:t>2023</w:t>
            </w:r>
          </w:p>
        </w:tc>
      </w:tr>
      <w:tr w:rsidR="00CF3E30" w:rsidRPr="00C74702" w14:paraId="304445C7" w14:textId="77777777" w:rsidTr="00F16E23">
        <w:tc>
          <w:tcPr>
            <w:tcW w:w="0" w:type="auto"/>
            <w:shd w:val="clear" w:color="auto" w:fill="FFFFFF" w:themeFill="background1"/>
            <w:tcMar>
              <w:top w:w="0" w:type="dxa"/>
              <w:left w:w="85" w:type="dxa"/>
              <w:bottom w:w="0" w:type="dxa"/>
              <w:right w:w="85" w:type="dxa"/>
            </w:tcMar>
          </w:tcPr>
          <w:p w14:paraId="0C884228" w14:textId="77777777" w:rsidR="00CF3E30" w:rsidRPr="00C74702" w:rsidRDefault="00CF3E30" w:rsidP="00F16E23">
            <w:pPr>
              <w:pStyle w:val="TableText"/>
              <w:keepNext/>
              <w:spacing w:before="40" w:after="40"/>
            </w:pPr>
            <w:r w:rsidRPr="00C74702">
              <w:rPr>
                <w:rFonts w:eastAsia="Calibri"/>
              </w:rPr>
              <w:t>IPPU</w:t>
            </w:r>
          </w:p>
        </w:tc>
        <w:tc>
          <w:tcPr>
            <w:tcW w:w="1021" w:type="dxa"/>
            <w:shd w:val="clear" w:color="auto" w:fill="FFFFFF" w:themeFill="background1"/>
            <w:tcMar>
              <w:left w:w="85" w:type="dxa"/>
              <w:right w:w="85" w:type="dxa"/>
            </w:tcMar>
          </w:tcPr>
          <w:p w14:paraId="625EB60C" w14:textId="77777777" w:rsidR="00CF3E30" w:rsidRPr="00C74702" w:rsidRDefault="00CF3E30" w:rsidP="00F16E23">
            <w:pPr>
              <w:pStyle w:val="TableText"/>
              <w:keepNext/>
              <w:spacing w:before="40" w:after="40"/>
              <w:rPr>
                <w:rFonts w:eastAsia="Calibri"/>
                <w:color w:val="000000"/>
              </w:rPr>
            </w:pPr>
            <w:r w:rsidRPr="00C74702">
              <w:rPr>
                <w:rFonts w:eastAsia="Calibri"/>
              </w:rPr>
              <w:t xml:space="preserve">2.C.1.a. </w:t>
            </w:r>
          </w:p>
        </w:tc>
        <w:tc>
          <w:tcPr>
            <w:tcW w:w="3260" w:type="dxa"/>
            <w:shd w:val="clear" w:color="auto" w:fill="FFFFFF" w:themeFill="background1"/>
            <w:tcMar>
              <w:top w:w="0" w:type="dxa"/>
              <w:left w:w="85" w:type="dxa"/>
              <w:bottom w:w="0" w:type="dxa"/>
              <w:right w:w="85" w:type="dxa"/>
            </w:tcMar>
          </w:tcPr>
          <w:p w14:paraId="667AC911" w14:textId="77777777" w:rsidR="00CF3E30" w:rsidRPr="00C74702" w:rsidRDefault="00CF3E30" w:rsidP="00F16E23">
            <w:pPr>
              <w:pStyle w:val="TableText"/>
              <w:keepNext/>
              <w:spacing w:before="40" w:after="40"/>
              <w:rPr>
                <w:rFonts w:eastAsia="Calibri"/>
                <w:color w:val="000000"/>
              </w:rPr>
            </w:pPr>
            <w:r w:rsidRPr="00C74702">
              <w:rPr>
                <w:rFonts w:eastAsia="Calibri"/>
              </w:rPr>
              <w:t>Iron and steel production – Steel</w:t>
            </w:r>
          </w:p>
        </w:tc>
        <w:tc>
          <w:tcPr>
            <w:tcW w:w="1701" w:type="dxa"/>
            <w:shd w:val="clear" w:color="auto" w:fill="FFFFFF" w:themeFill="background1"/>
            <w:tcMar>
              <w:top w:w="0" w:type="dxa"/>
              <w:left w:w="85" w:type="dxa"/>
              <w:bottom w:w="0" w:type="dxa"/>
              <w:right w:w="85" w:type="dxa"/>
            </w:tcMar>
          </w:tcPr>
          <w:p w14:paraId="0F8081CC" w14:textId="77777777" w:rsidR="00CF3E30" w:rsidRPr="00C74702" w:rsidRDefault="00CF3E30" w:rsidP="00F16E23">
            <w:pPr>
              <w:pStyle w:val="TableText"/>
              <w:keepNext/>
              <w:spacing w:before="40" w:after="40"/>
              <w:jc w:val="right"/>
              <w:rPr>
                <w:rFonts w:eastAsia="Calibri"/>
                <w:color w:val="000000"/>
              </w:rPr>
            </w:pPr>
            <w:r w:rsidRPr="00C74702">
              <w:rPr>
                <w:rFonts w:eastAsia="Calibri"/>
              </w:rPr>
              <w:t>-31.8</w:t>
            </w:r>
          </w:p>
        </w:tc>
        <w:tc>
          <w:tcPr>
            <w:tcW w:w="1548" w:type="dxa"/>
            <w:shd w:val="clear" w:color="auto" w:fill="FFFFFF" w:themeFill="background1"/>
            <w:tcMar>
              <w:top w:w="0" w:type="dxa"/>
              <w:left w:w="85" w:type="dxa"/>
              <w:bottom w:w="0" w:type="dxa"/>
              <w:right w:w="85" w:type="dxa"/>
            </w:tcMar>
          </w:tcPr>
          <w:p w14:paraId="500022CF" w14:textId="77777777" w:rsidR="00CF3E30" w:rsidRPr="00C74702" w:rsidRDefault="00CF3E30" w:rsidP="00F16E23">
            <w:pPr>
              <w:pStyle w:val="TableText"/>
              <w:keepNext/>
              <w:spacing w:before="40" w:after="40"/>
              <w:jc w:val="right"/>
              <w:rPr>
                <w:rFonts w:eastAsia="Calibri"/>
                <w:color w:val="000000"/>
              </w:rPr>
            </w:pPr>
            <w:r w:rsidRPr="00C74702">
              <w:rPr>
                <w:rFonts w:eastAsia="Calibri"/>
              </w:rPr>
              <w:t>1998</w:t>
            </w:r>
          </w:p>
        </w:tc>
      </w:tr>
      <w:tr w:rsidR="00CF3E30" w:rsidRPr="00C74702" w14:paraId="26CE547B" w14:textId="77777777" w:rsidTr="00F16E23">
        <w:tc>
          <w:tcPr>
            <w:tcW w:w="0" w:type="auto"/>
            <w:shd w:val="clear" w:color="auto" w:fill="FFFFFF" w:themeFill="background1"/>
            <w:tcMar>
              <w:top w:w="0" w:type="dxa"/>
              <w:left w:w="85" w:type="dxa"/>
              <w:bottom w:w="0" w:type="dxa"/>
              <w:right w:w="85" w:type="dxa"/>
            </w:tcMar>
          </w:tcPr>
          <w:p w14:paraId="4635B052" w14:textId="77777777" w:rsidR="00CF3E30" w:rsidRPr="00C74702" w:rsidRDefault="00CF3E30" w:rsidP="00F16E23">
            <w:pPr>
              <w:pStyle w:val="TableText"/>
              <w:spacing w:before="40" w:after="40"/>
            </w:pPr>
            <w:r w:rsidRPr="00C74702">
              <w:rPr>
                <w:rFonts w:eastAsia="Calibri"/>
              </w:rPr>
              <w:t>Agriculture</w:t>
            </w:r>
          </w:p>
        </w:tc>
        <w:tc>
          <w:tcPr>
            <w:tcW w:w="1021" w:type="dxa"/>
            <w:shd w:val="clear" w:color="auto" w:fill="FFFFFF" w:themeFill="background1"/>
            <w:tcMar>
              <w:left w:w="85" w:type="dxa"/>
              <w:right w:w="85" w:type="dxa"/>
            </w:tcMar>
          </w:tcPr>
          <w:p w14:paraId="14BA0924" w14:textId="77777777" w:rsidR="00CF3E30" w:rsidRPr="00C74702" w:rsidRDefault="00CF3E30" w:rsidP="00F16E23">
            <w:pPr>
              <w:pStyle w:val="TableText"/>
              <w:spacing w:before="40" w:after="40"/>
              <w:rPr>
                <w:rFonts w:eastAsia="Calibri"/>
                <w:color w:val="000000"/>
              </w:rPr>
            </w:pPr>
            <w:r w:rsidRPr="00C74702">
              <w:rPr>
                <w:rFonts w:eastAsia="Calibri"/>
              </w:rPr>
              <w:t xml:space="preserve">3.B.1.a. </w:t>
            </w:r>
          </w:p>
        </w:tc>
        <w:tc>
          <w:tcPr>
            <w:tcW w:w="3260" w:type="dxa"/>
            <w:shd w:val="clear" w:color="auto" w:fill="FFFFFF" w:themeFill="background1"/>
            <w:tcMar>
              <w:top w:w="0" w:type="dxa"/>
              <w:left w:w="85" w:type="dxa"/>
              <w:bottom w:w="0" w:type="dxa"/>
              <w:right w:w="85" w:type="dxa"/>
            </w:tcMar>
          </w:tcPr>
          <w:p w14:paraId="3FFD6B44" w14:textId="77777777" w:rsidR="00CF3E30" w:rsidRPr="00C74702" w:rsidRDefault="00CF3E30" w:rsidP="00F16E23">
            <w:pPr>
              <w:pStyle w:val="TableText"/>
              <w:spacing w:before="40" w:after="40"/>
              <w:rPr>
                <w:rFonts w:eastAsia="Calibri"/>
                <w:color w:val="000000"/>
              </w:rPr>
            </w:pPr>
            <w:r w:rsidRPr="00C74702">
              <w:rPr>
                <w:rFonts w:eastAsia="Calibri"/>
              </w:rPr>
              <w:t>Option A – Dairy cattle</w:t>
            </w:r>
          </w:p>
        </w:tc>
        <w:tc>
          <w:tcPr>
            <w:tcW w:w="1701" w:type="dxa"/>
            <w:shd w:val="clear" w:color="auto" w:fill="FFFFFF" w:themeFill="background1"/>
            <w:tcMar>
              <w:top w:w="0" w:type="dxa"/>
              <w:left w:w="85" w:type="dxa"/>
              <w:bottom w:w="0" w:type="dxa"/>
              <w:right w:w="85" w:type="dxa"/>
            </w:tcMar>
          </w:tcPr>
          <w:p w14:paraId="7808EA97" w14:textId="77777777" w:rsidR="00CF3E30" w:rsidRPr="00C74702" w:rsidRDefault="00CF3E30" w:rsidP="00F16E23">
            <w:pPr>
              <w:pStyle w:val="TableText"/>
              <w:spacing w:before="40" w:after="40"/>
              <w:jc w:val="right"/>
              <w:rPr>
                <w:rFonts w:eastAsia="Calibri"/>
                <w:color w:val="000000"/>
              </w:rPr>
            </w:pPr>
            <w:r w:rsidRPr="00C74702">
              <w:rPr>
                <w:rFonts w:eastAsia="Calibri"/>
              </w:rPr>
              <w:t>-260.3</w:t>
            </w:r>
          </w:p>
        </w:tc>
        <w:tc>
          <w:tcPr>
            <w:tcW w:w="1548" w:type="dxa"/>
            <w:shd w:val="clear" w:color="auto" w:fill="FFFFFF" w:themeFill="background1"/>
            <w:tcMar>
              <w:top w:w="0" w:type="dxa"/>
              <w:left w:w="85" w:type="dxa"/>
              <w:bottom w:w="0" w:type="dxa"/>
              <w:right w:w="85" w:type="dxa"/>
            </w:tcMar>
          </w:tcPr>
          <w:p w14:paraId="091C895C" w14:textId="77777777" w:rsidR="00CF3E30" w:rsidRPr="00C74702" w:rsidRDefault="00CF3E30" w:rsidP="00F16E23">
            <w:pPr>
              <w:pStyle w:val="TableText"/>
              <w:spacing w:before="40" w:after="40"/>
              <w:jc w:val="right"/>
              <w:rPr>
                <w:rFonts w:eastAsia="Calibri"/>
                <w:color w:val="000000"/>
              </w:rPr>
            </w:pPr>
            <w:r w:rsidRPr="00C74702">
              <w:rPr>
                <w:rFonts w:eastAsia="Calibri"/>
              </w:rPr>
              <w:t>2014</w:t>
            </w:r>
          </w:p>
        </w:tc>
      </w:tr>
      <w:tr w:rsidR="00CF3E30" w:rsidRPr="00C74702" w14:paraId="4C1A7E29" w14:textId="77777777" w:rsidTr="00F16E23">
        <w:tc>
          <w:tcPr>
            <w:tcW w:w="0" w:type="auto"/>
            <w:shd w:val="clear" w:color="auto" w:fill="FFFFFF" w:themeFill="background1"/>
            <w:tcMar>
              <w:top w:w="0" w:type="dxa"/>
              <w:left w:w="85" w:type="dxa"/>
              <w:bottom w:w="0" w:type="dxa"/>
              <w:right w:w="85" w:type="dxa"/>
            </w:tcMar>
          </w:tcPr>
          <w:p w14:paraId="548BC627" w14:textId="77777777" w:rsidR="00CF3E30" w:rsidRPr="00C74702" w:rsidRDefault="00CF3E30" w:rsidP="00F16E23">
            <w:pPr>
              <w:pStyle w:val="TableText"/>
              <w:spacing w:before="40" w:after="40"/>
            </w:pPr>
            <w:r w:rsidRPr="00C74702">
              <w:rPr>
                <w:rFonts w:eastAsia="Calibri"/>
              </w:rPr>
              <w:t>LULUCF</w:t>
            </w:r>
          </w:p>
        </w:tc>
        <w:tc>
          <w:tcPr>
            <w:tcW w:w="1021" w:type="dxa"/>
            <w:shd w:val="clear" w:color="auto" w:fill="FFFFFF" w:themeFill="background1"/>
            <w:tcMar>
              <w:left w:w="85" w:type="dxa"/>
              <w:right w:w="85" w:type="dxa"/>
            </w:tcMar>
          </w:tcPr>
          <w:p w14:paraId="113DAD59" w14:textId="77777777" w:rsidR="00CF3E30" w:rsidRPr="00C74702" w:rsidRDefault="00CF3E30" w:rsidP="00F16E23">
            <w:pPr>
              <w:pStyle w:val="TableText"/>
              <w:spacing w:before="40" w:after="40"/>
              <w:rPr>
                <w:rFonts w:eastAsia="Calibri"/>
                <w:color w:val="000000"/>
              </w:rPr>
            </w:pPr>
            <w:r w:rsidRPr="00C74702">
              <w:rPr>
                <w:rFonts w:eastAsia="Calibri"/>
              </w:rPr>
              <w:t xml:space="preserve">4.A.1. </w:t>
            </w:r>
          </w:p>
        </w:tc>
        <w:tc>
          <w:tcPr>
            <w:tcW w:w="3260" w:type="dxa"/>
            <w:shd w:val="clear" w:color="auto" w:fill="FFFFFF" w:themeFill="background1"/>
            <w:tcMar>
              <w:top w:w="0" w:type="dxa"/>
              <w:left w:w="85" w:type="dxa"/>
              <w:bottom w:w="0" w:type="dxa"/>
              <w:right w:w="85" w:type="dxa"/>
            </w:tcMar>
          </w:tcPr>
          <w:p w14:paraId="062FE762" w14:textId="77777777" w:rsidR="00CF3E30" w:rsidRPr="00C74702" w:rsidRDefault="00CF3E30" w:rsidP="00F16E23">
            <w:pPr>
              <w:pStyle w:val="TableText"/>
              <w:spacing w:before="40" w:after="40"/>
              <w:rPr>
                <w:rFonts w:eastAsia="Calibri"/>
                <w:color w:val="000000"/>
              </w:rPr>
            </w:pPr>
            <w:r w:rsidRPr="00C74702">
              <w:rPr>
                <w:rFonts w:eastAsia="Calibri"/>
              </w:rPr>
              <w:t>Forest land remaining forest land – Pre-1990 planted forest remaining pre-1990 planted forest</w:t>
            </w:r>
          </w:p>
        </w:tc>
        <w:tc>
          <w:tcPr>
            <w:tcW w:w="1701" w:type="dxa"/>
            <w:shd w:val="clear" w:color="auto" w:fill="FFFFFF" w:themeFill="background1"/>
            <w:tcMar>
              <w:top w:w="0" w:type="dxa"/>
              <w:left w:w="85" w:type="dxa"/>
              <w:bottom w:w="0" w:type="dxa"/>
              <w:right w:w="85" w:type="dxa"/>
            </w:tcMar>
          </w:tcPr>
          <w:p w14:paraId="76CC48FB" w14:textId="77777777" w:rsidR="00CF3E30" w:rsidRPr="00C74702" w:rsidRDefault="00CF3E30" w:rsidP="00F16E23">
            <w:pPr>
              <w:pStyle w:val="TableText"/>
              <w:spacing w:before="40" w:after="40"/>
              <w:jc w:val="right"/>
              <w:rPr>
                <w:rFonts w:eastAsia="Calibri"/>
                <w:color w:val="000000"/>
              </w:rPr>
            </w:pPr>
            <w:r w:rsidRPr="00C74702">
              <w:rPr>
                <w:rFonts w:eastAsia="Calibri"/>
              </w:rPr>
              <w:t>-1279.4</w:t>
            </w:r>
          </w:p>
        </w:tc>
        <w:tc>
          <w:tcPr>
            <w:tcW w:w="1548" w:type="dxa"/>
            <w:shd w:val="clear" w:color="auto" w:fill="FFFFFF" w:themeFill="background1"/>
            <w:tcMar>
              <w:top w:w="0" w:type="dxa"/>
              <w:left w:w="85" w:type="dxa"/>
              <w:bottom w:w="0" w:type="dxa"/>
              <w:right w:w="85" w:type="dxa"/>
            </w:tcMar>
          </w:tcPr>
          <w:p w14:paraId="1618AFBC" w14:textId="77777777" w:rsidR="00CF3E30" w:rsidRPr="00C74702" w:rsidRDefault="00CF3E30" w:rsidP="00F16E23">
            <w:pPr>
              <w:pStyle w:val="TableText"/>
              <w:spacing w:before="40" w:after="40"/>
              <w:jc w:val="right"/>
              <w:rPr>
                <w:rFonts w:eastAsia="Calibri"/>
                <w:color w:val="000000"/>
              </w:rPr>
            </w:pPr>
            <w:r w:rsidRPr="00C74702">
              <w:rPr>
                <w:rFonts w:eastAsia="Calibri"/>
              </w:rPr>
              <w:t>2021</w:t>
            </w:r>
          </w:p>
        </w:tc>
      </w:tr>
      <w:tr w:rsidR="00CF3E30" w:rsidRPr="00C74702" w14:paraId="14D93510" w14:textId="77777777" w:rsidTr="00F16E23">
        <w:tc>
          <w:tcPr>
            <w:tcW w:w="0" w:type="auto"/>
            <w:shd w:val="clear" w:color="auto" w:fill="FFFFFF" w:themeFill="background1"/>
            <w:tcMar>
              <w:top w:w="0" w:type="dxa"/>
              <w:left w:w="85" w:type="dxa"/>
              <w:bottom w:w="0" w:type="dxa"/>
              <w:right w:w="85" w:type="dxa"/>
            </w:tcMar>
          </w:tcPr>
          <w:p w14:paraId="2F66D3F2" w14:textId="77777777" w:rsidR="00CF3E30" w:rsidRPr="00C74702" w:rsidRDefault="00CF3E30" w:rsidP="00F16E23">
            <w:pPr>
              <w:pStyle w:val="TableText"/>
              <w:spacing w:before="40" w:after="40"/>
            </w:pPr>
            <w:r w:rsidRPr="00C74702">
              <w:rPr>
                <w:rFonts w:eastAsia="Calibri"/>
              </w:rPr>
              <w:t>Waste</w:t>
            </w:r>
          </w:p>
        </w:tc>
        <w:tc>
          <w:tcPr>
            <w:tcW w:w="1021" w:type="dxa"/>
            <w:shd w:val="clear" w:color="auto" w:fill="FFFFFF" w:themeFill="background1"/>
            <w:tcMar>
              <w:left w:w="85" w:type="dxa"/>
              <w:right w:w="85" w:type="dxa"/>
            </w:tcMar>
          </w:tcPr>
          <w:p w14:paraId="16DDB7B8" w14:textId="77777777" w:rsidR="00CF3E30" w:rsidRPr="00C74702" w:rsidRDefault="00CF3E30" w:rsidP="00F16E23">
            <w:pPr>
              <w:pStyle w:val="TableText"/>
              <w:spacing w:before="40" w:after="40"/>
              <w:rPr>
                <w:rFonts w:eastAsia="Calibri"/>
                <w:color w:val="000000"/>
              </w:rPr>
            </w:pPr>
            <w:r w:rsidRPr="00C74702">
              <w:rPr>
                <w:rFonts w:eastAsia="Calibri"/>
              </w:rPr>
              <w:t>5.A.1.a.</w:t>
            </w:r>
          </w:p>
        </w:tc>
        <w:tc>
          <w:tcPr>
            <w:tcW w:w="3260" w:type="dxa"/>
            <w:shd w:val="clear" w:color="auto" w:fill="FFFFFF" w:themeFill="background1"/>
            <w:tcMar>
              <w:top w:w="0" w:type="dxa"/>
              <w:left w:w="85" w:type="dxa"/>
              <w:bottom w:w="0" w:type="dxa"/>
              <w:right w:w="85" w:type="dxa"/>
            </w:tcMar>
          </w:tcPr>
          <w:p w14:paraId="52DDC849" w14:textId="77777777" w:rsidR="00CF3E30" w:rsidRPr="00C74702" w:rsidRDefault="00CF3E30" w:rsidP="00F16E23">
            <w:pPr>
              <w:pStyle w:val="TableText"/>
              <w:spacing w:before="40" w:after="40"/>
              <w:rPr>
                <w:rFonts w:eastAsia="Calibri"/>
                <w:color w:val="000000"/>
              </w:rPr>
            </w:pPr>
            <w:r w:rsidRPr="00C74702">
              <w:rPr>
                <w:rFonts w:eastAsia="Calibri"/>
              </w:rPr>
              <w:t>Managed waste disposal sites – Anaerobic</w:t>
            </w:r>
          </w:p>
        </w:tc>
        <w:tc>
          <w:tcPr>
            <w:tcW w:w="1701" w:type="dxa"/>
            <w:shd w:val="clear" w:color="auto" w:fill="FFFFFF" w:themeFill="background1"/>
            <w:tcMar>
              <w:top w:w="0" w:type="dxa"/>
              <w:left w:w="85" w:type="dxa"/>
              <w:bottom w:w="0" w:type="dxa"/>
              <w:right w:w="85" w:type="dxa"/>
            </w:tcMar>
          </w:tcPr>
          <w:p w14:paraId="21598C70" w14:textId="77777777" w:rsidR="00CF3E30" w:rsidRPr="00C74702" w:rsidRDefault="00CF3E30" w:rsidP="00F16E23">
            <w:pPr>
              <w:pStyle w:val="TableText"/>
              <w:spacing w:before="40" w:after="40"/>
              <w:jc w:val="right"/>
              <w:rPr>
                <w:rFonts w:eastAsia="Calibri"/>
                <w:color w:val="000000"/>
              </w:rPr>
            </w:pPr>
            <w:r w:rsidRPr="00C74702">
              <w:rPr>
                <w:rFonts w:eastAsia="Calibri"/>
              </w:rPr>
              <w:t>-33.2</w:t>
            </w:r>
          </w:p>
        </w:tc>
        <w:tc>
          <w:tcPr>
            <w:tcW w:w="1548" w:type="dxa"/>
            <w:shd w:val="clear" w:color="auto" w:fill="FFFFFF" w:themeFill="background1"/>
            <w:tcMar>
              <w:top w:w="0" w:type="dxa"/>
              <w:left w:w="85" w:type="dxa"/>
              <w:bottom w:w="0" w:type="dxa"/>
              <w:right w:w="85" w:type="dxa"/>
            </w:tcMar>
          </w:tcPr>
          <w:p w14:paraId="036D5818" w14:textId="77777777" w:rsidR="00CF3E30" w:rsidRPr="00C74702" w:rsidRDefault="00CF3E30" w:rsidP="00F16E23">
            <w:pPr>
              <w:pStyle w:val="TableText"/>
              <w:spacing w:before="40" w:after="40"/>
              <w:jc w:val="right"/>
              <w:rPr>
                <w:rFonts w:eastAsia="Calibri"/>
                <w:color w:val="000000"/>
              </w:rPr>
            </w:pPr>
            <w:r w:rsidRPr="00C74702">
              <w:rPr>
                <w:rFonts w:eastAsia="Calibri"/>
              </w:rPr>
              <w:t>2023</w:t>
            </w:r>
          </w:p>
        </w:tc>
      </w:tr>
      <w:tr w:rsidR="00CF3E30" w:rsidRPr="00C74702" w14:paraId="55A34BE4" w14:textId="77777777" w:rsidTr="00F16E23">
        <w:tc>
          <w:tcPr>
            <w:tcW w:w="0" w:type="auto"/>
            <w:shd w:val="clear" w:color="auto" w:fill="FFFFFF" w:themeFill="background1"/>
            <w:tcMar>
              <w:top w:w="0" w:type="dxa"/>
              <w:left w:w="85" w:type="dxa"/>
              <w:bottom w:w="0" w:type="dxa"/>
              <w:right w:w="85" w:type="dxa"/>
            </w:tcMar>
          </w:tcPr>
          <w:p w14:paraId="6BD55DF5" w14:textId="77777777" w:rsidR="00CF3E30" w:rsidRPr="00C74702" w:rsidRDefault="00CF3E30" w:rsidP="00F16E23">
            <w:pPr>
              <w:pStyle w:val="TableText"/>
              <w:spacing w:before="40" w:after="40"/>
            </w:pPr>
            <w:r w:rsidRPr="00C74702">
              <w:rPr>
                <w:rFonts w:eastAsia="Calibri"/>
              </w:rPr>
              <w:t>Tokelau</w:t>
            </w:r>
          </w:p>
        </w:tc>
        <w:tc>
          <w:tcPr>
            <w:tcW w:w="1021" w:type="dxa"/>
            <w:shd w:val="clear" w:color="auto" w:fill="FFFFFF" w:themeFill="background1"/>
            <w:tcMar>
              <w:left w:w="85" w:type="dxa"/>
              <w:right w:w="85" w:type="dxa"/>
            </w:tcMar>
          </w:tcPr>
          <w:p w14:paraId="73827437" w14:textId="77777777" w:rsidR="00CF3E30" w:rsidRPr="00C74702" w:rsidRDefault="00CF3E30" w:rsidP="00F16E23">
            <w:pPr>
              <w:pStyle w:val="TableText"/>
              <w:spacing w:before="40" w:after="40"/>
              <w:rPr>
                <w:rFonts w:eastAsia="Calibri"/>
                <w:color w:val="000000"/>
              </w:rPr>
            </w:pPr>
            <w:r w:rsidRPr="00C74702">
              <w:rPr>
                <w:rFonts w:eastAsia="Calibri"/>
              </w:rPr>
              <w:t xml:space="preserve">6. Tokelau 2. </w:t>
            </w:r>
          </w:p>
        </w:tc>
        <w:tc>
          <w:tcPr>
            <w:tcW w:w="3260" w:type="dxa"/>
            <w:shd w:val="clear" w:color="auto" w:fill="FFFFFF" w:themeFill="background1"/>
            <w:tcMar>
              <w:top w:w="0" w:type="dxa"/>
              <w:left w:w="85" w:type="dxa"/>
              <w:bottom w:w="0" w:type="dxa"/>
              <w:right w:w="85" w:type="dxa"/>
            </w:tcMar>
          </w:tcPr>
          <w:p w14:paraId="6EB157B1" w14:textId="77777777" w:rsidR="00CF3E30" w:rsidRPr="00C74702" w:rsidRDefault="00CF3E30" w:rsidP="00F16E23">
            <w:pPr>
              <w:pStyle w:val="TableText"/>
              <w:spacing w:before="40" w:after="40"/>
              <w:rPr>
                <w:rFonts w:eastAsia="Calibri"/>
                <w:color w:val="000000"/>
              </w:rPr>
            </w:pPr>
            <w:r w:rsidRPr="00C74702">
              <w:rPr>
                <w:rFonts w:eastAsia="Calibri"/>
              </w:rPr>
              <w:t>Other (please specify) – Tokelau_2. Industrial Processes and Product Use</w:t>
            </w:r>
          </w:p>
        </w:tc>
        <w:tc>
          <w:tcPr>
            <w:tcW w:w="1701" w:type="dxa"/>
            <w:shd w:val="clear" w:color="auto" w:fill="FFFFFF" w:themeFill="background1"/>
            <w:tcMar>
              <w:top w:w="0" w:type="dxa"/>
              <w:left w:w="85" w:type="dxa"/>
              <w:bottom w:w="0" w:type="dxa"/>
              <w:right w:w="85" w:type="dxa"/>
            </w:tcMar>
          </w:tcPr>
          <w:p w14:paraId="247E08EE" w14:textId="77777777" w:rsidR="00CF3E30" w:rsidRPr="00C74702" w:rsidRDefault="00CF3E30" w:rsidP="00F16E23">
            <w:pPr>
              <w:pStyle w:val="TableText"/>
              <w:spacing w:before="40" w:after="40"/>
              <w:jc w:val="right"/>
              <w:rPr>
                <w:rFonts w:eastAsia="Calibri"/>
                <w:color w:val="000000"/>
              </w:rPr>
            </w:pPr>
            <w:r w:rsidRPr="00C74702">
              <w:rPr>
                <w:rFonts w:eastAsia="Calibri"/>
              </w:rPr>
              <w:t>-0.00003</w:t>
            </w:r>
          </w:p>
        </w:tc>
        <w:tc>
          <w:tcPr>
            <w:tcW w:w="1548" w:type="dxa"/>
            <w:shd w:val="clear" w:color="auto" w:fill="FFFFFF" w:themeFill="background1"/>
            <w:tcMar>
              <w:top w:w="0" w:type="dxa"/>
              <w:left w:w="85" w:type="dxa"/>
              <w:bottom w:w="0" w:type="dxa"/>
              <w:right w:w="85" w:type="dxa"/>
            </w:tcMar>
          </w:tcPr>
          <w:p w14:paraId="12294E08" w14:textId="77777777" w:rsidR="00CF3E30" w:rsidRPr="00C74702" w:rsidRDefault="00CF3E30" w:rsidP="00F16E23">
            <w:pPr>
              <w:pStyle w:val="TableText"/>
              <w:spacing w:before="40" w:after="40"/>
              <w:jc w:val="right"/>
              <w:rPr>
                <w:rFonts w:eastAsia="Calibri"/>
                <w:color w:val="000000"/>
              </w:rPr>
            </w:pPr>
            <w:r w:rsidRPr="00C74702">
              <w:rPr>
                <w:rFonts w:eastAsia="Calibri"/>
              </w:rPr>
              <w:t>2022</w:t>
            </w:r>
          </w:p>
        </w:tc>
      </w:tr>
    </w:tbl>
    <w:p w14:paraId="74A35280" w14:textId="77777777" w:rsidR="00CF3E30" w:rsidRPr="00C74702" w:rsidRDefault="00CF3E30" w:rsidP="00CF3E30">
      <w:pPr>
        <w:pStyle w:val="BodyText"/>
        <w:spacing w:before="240"/>
      </w:pPr>
      <w:r w:rsidRPr="00C74702">
        <w:t>The following sections detail the effect of and reasons for recalculations for each sector and summarise the improvements.</w:t>
      </w:r>
    </w:p>
    <w:p w14:paraId="38A0EF30" w14:textId="77777777" w:rsidR="00CF3E30" w:rsidRPr="00C74702" w:rsidRDefault="00CF3E30" w:rsidP="00CF3E30">
      <w:pPr>
        <w:pStyle w:val="Heading3"/>
        <w:tabs>
          <w:tab w:val="clear" w:pos="851"/>
          <w:tab w:val="left" w:pos="964"/>
        </w:tabs>
      </w:pPr>
      <w:r w:rsidRPr="00C74702">
        <w:t xml:space="preserve">10.3.3 </w:t>
      </w:r>
      <w:r w:rsidRPr="00C74702">
        <w:tab/>
        <w:t>Energy</w:t>
      </w:r>
    </w:p>
    <w:p w14:paraId="1104D37D" w14:textId="77777777" w:rsidR="00CF3E30" w:rsidRPr="00C74702" w:rsidRDefault="00CF3E30" w:rsidP="00CF3E30">
      <w:pPr>
        <w:pStyle w:val="BodyText"/>
      </w:pPr>
      <w:r w:rsidRPr="00C74702">
        <w:t>Improvements and recalculations made to the Energy sector have not significantly changed the emissions trends for the Energy sector. The impact of recalculations on New Zealand’s Energy sector emissions across the time series is shown in figure 10.3.3.</w:t>
      </w:r>
    </w:p>
    <w:p w14:paraId="01322E18" w14:textId="77777777" w:rsidR="00CF3E30" w:rsidRDefault="00CF3E30" w:rsidP="00CF3E30">
      <w:pPr>
        <w:pStyle w:val="Figure"/>
        <w:rPr>
          <w:bCs/>
        </w:rPr>
      </w:pPr>
      <w:bookmarkStart w:id="3352" w:name="_Toc226200721"/>
      <w:r w:rsidRPr="00C74702">
        <w:rPr>
          <w:bCs/>
        </w:rPr>
        <w:t xml:space="preserve">Figure 10.3.3 </w:t>
      </w:r>
      <w:r w:rsidRPr="00C74702">
        <w:tab/>
      </w:r>
      <w:r w:rsidRPr="00C74702">
        <w:rPr>
          <w:bCs/>
        </w:rPr>
        <w:t>Effect of changes to activity data on emissions estimates from New Zealand’s Energy sector, from 1990 to 2023</w:t>
      </w:r>
      <w:bookmarkEnd w:id="3352"/>
    </w:p>
    <w:p w14:paraId="5DF09BA1" w14:textId="7539B305" w:rsidR="00313D1F" w:rsidRPr="00313D1F" w:rsidRDefault="00DB6B68" w:rsidP="00313D1F">
      <w:pPr>
        <w:pStyle w:val="BodyText"/>
      </w:pPr>
      <w:r>
        <w:rPr>
          <w:noProof/>
        </w:rPr>
        <w:drawing>
          <wp:inline distT="0" distB="0" distL="0" distR="0" wp14:anchorId="37E4F575" wp14:editId="5C098B81">
            <wp:extent cx="5365115" cy="3926205"/>
            <wp:effectExtent l="0" t="0" r="6985" b="0"/>
            <wp:docPr id="14614339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365115" cy="3926205"/>
                    </a:xfrm>
                    <a:prstGeom prst="rect">
                      <a:avLst/>
                    </a:prstGeom>
                    <a:noFill/>
                  </pic:spPr>
                </pic:pic>
              </a:graphicData>
            </a:graphic>
          </wp:inline>
        </w:drawing>
      </w:r>
    </w:p>
    <w:p w14:paraId="2684EDCB" w14:textId="77777777" w:rsidR="00CF3E30" w:rsidRPr="00C74702" w:rsidRDefault="00CF3E30" w:rsidP="00CF3E30">
      <w:pPr>
        <w:pStyle w:val="Heading3"/>
        <w:tabs>
          <w:tab w:val="clear" w:pos="851"/>
          <w:tab w:val="left" w:pos="964"/>
        </w:tabs>
      </w:pPr>
      <w:bookmarkStart w:id="3353" w:name="industrial-processes-and-product-use-1"/>
      <w:bookmarkEnd w:id="3349"/>
      <w:r w:rsidRPr="00C74702">
        <w:t xml:space="preserve">10.3.4 </w:t>
      </w:r>
      <w:r w:rsidRPr="00C74702">
        <w:tab/>
        <w:t>Industrial Processes and Product Use</w:t>
      </w:r>
    </w:p>
    <w:p w14:paraId="54A33E11" w14:textId="77777777" w:rsidR="00CF3E30" w:rsidRPr="00C74702" w:rsidRDefault="00CF3E30" w:rsidP="00CF3E30">
      <w:pPr>
        <w:pStyle w:val="BodyText"/>
      </w:pPr>
      <w:r w:rsidRPr="00C74702">
        <w:t>Improvements and recalculations made to the IPPU sector have not significantly changed the emissions trends for the IPPU sector. The impact of recalculations on New Zealand’s IPPU sector emissions across the time series is shown in figure 10.3.4.</w:t>
      </w:r>
    </w:p>
    <w:p w14:paraId="1590EA4B" w14:textId="19E49BC3" w:rsidR="00CF3E30" w:rsidRDefault="00CF3E30" w:rsidP="00CF3E30">
      <w:pPr>
        <w:pStyle w:val="Figure"/>
        <w:rPr>
          <w:bCs/>
        </w:rPr>
      </w:pPr>
      <w:bookmarkStart w:id="3354" w:name="_Toc226200722"/>
      <w:r w:rsidRPr="00C74702">
        <w:rPr>
          <w:bCs/>
        </w:rPr>
        <w:t xml:space="preserve">Figure 10.3.4 </w:t>
      </w:r>
      <w:r w:rsidRPr="00C74702">
        <w:rPr>
          <w:bCs/>
        </w:rPr>
        <w:tab/>
        <w:t>Effect of recalculations on emissions estimates from the IPPU sector, from 1990 to</w:t>
      </w:r>
      <w:r w:rsidR="000539D6">
        <w:rPr>
          <w:bCs/>
        </w:rPr>
        <w:t> </w:t>
      </w:r>
      <w:r w:rsidRPr="00C74702">
        <w:rPr>
          <w:bCs/>
        </w:rPr>
        <w:t>2023</w:t>
      </w:r>
      <w:bookmarkEnd w:id="3354"/>
    </w:p>
    <w:p w14:paraId="537D6129" w14:textId="21732A14" w:rsidR="00DB6B68" w:rsidRPr="00DB6B68" w:rsidRDefault="006C461D" w:rsidP="00DB6B68">
      <w:pPr>
        <w:pStyle w:val="BodyText"/>
      </w:pPr>
      <w:r>
        <w:rPr>
          <w:noProof/>
        </w:rPr>
        <w:drawing>
          <wp:inline distT="0" distB="0" distL="0" distR="0" wp14:anchorId="278B93F1" wp14:editId="5C180B37">
            <wp:extent cx="5231130" cy="3846830"/>
            <wp:effectExtent l="0" t="0" r="7620" b="1270"/>
            <wp:docPr id="18310609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31130" cy="3846830"/>
                    </a:xfrm>
                    <a:prstGeom prst="rect">
                      <a:avLst/>
                    </a:prstGeom>
                    <a:noFill/>
                  </pic:spPr>
                </pic:pic>
              </a:graphicData>
            </a:graphic>
          </wp:inline>
        </w:drawing>
      </w:r>
    </w:p>
    <w:p w14:paraId="05854C88" w14:textId="77777777" w:rsidR="00CF3E30" w:rsidRPr="00C74702" w:rsidRDefault="00CF3E30" w:rsidP="00CF3E30">
      <w:pPr>
        <w:pStyle w:val="Heading3"/>
        <w:tabs>
          <w:tab w:val="clear" w:pos="851"/>
          <w:tab w:val="left" w:pos="964"/>
        </w:tabs>
      </w:pPr>
      <w:bookmarkStart w:id="3355" w:name="agriculture-1"/>
      <w:bookmarkEnd w:id="3353"/>
      <w:r w:rsidRPr="00C74702">
        <w:t xml:space="preserve">10.3.5 </w:t>
      </w:r>
      <w:r w:rsidRPr="00C74702">
        <w:tab/>
        <w:t>Agriculture</w:t>
      </w:r>
    </w:p>
    <w:p w14:paraId="65D5C32A" w14:textId="77777777" w:rsidR="00CF3E30" w:rsidRPr="00C74702" w:rsidRDefault="00CF3E30" w:rsidP="00CF3E30">
      <w:pPr>
        <w:pStyle w:val="BodyText"/>
        <w:keepNext/>
      </w:pPr>
      <w:r w:rsidRPr="00C74702">
        <w:t>Improvements and recalculations made to the Agriculture sector have not significantly changed the emissions trends for the Agriculture sector. The impact of recalculations on New Zealand’s Agriculture sector emissions across the time series is shown in figure 10.3.5.</w:t>
      </w:r>
    </w:p>
    <w:p w14:paraId="54AD0038" w14:textId="77777777" w:rsidR="00CF3E30" w:rsidRDefault="00CF3E30" w:rsidP="00CF3E30">
      <w:pPr>
        <w:pStyle w:val="Figure"/>
        <w:rPr>
          <w:bCs/>
        </w:rPr>
      </w:pPr>
      <w:bookmarkStart w:id="3356" w:name="_Toc226200723"/>
      <w:r w:rsidRPr="00C74702">
        <w:rPr>
          <w:bCs/>
        </w:rPr>
        <w:t xml:space="preserve">Figure 10.3.5 </w:t>
      </w:r>
      <w:r w:rsidRPr="00C74702">
        <w:tab/>
      </w:r>
      <w:r w:rsidRPr="00C74702">
        <w:rPr>
          <w:bCs/>
        </w:rPr>
        <w:t>Effect of recalculations on emissions estimates from New Zealand’s Agriculture sector, from 1990 to 2023</w:t>
      </w:r>
      <w:bookmarkEnd w:id="3356"/>
    </w:p>
    <w:p w14:paraId="3589CA73" w14:textId="1390337D" w:rsidR="006C461D" w:rsidRPr="006C461D" w:rsidRDefault="002956FA" w:rsidP="006C461D">
      <w:pPr>
        <w:pStyle w:val="BodyText"/>
      </w:pPr>
      <w:r>
        <w:rPr>
          <w:noProof/>
        </w:rPr>
        <w:drawing>
          <wp:inline distT="0" distB="0" distL="0" distR="0" wp14:anchorId="743779A9" wp14:editId="6F39B2E0">
            <wp:extent cx="5023485" cy="3688715"/>
            <wp:effectExtent l="0" t="0" r="5715" b="6985"/>
            <wp:docPr id="2029009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023485" cy="3688715"/>
                    </a:xfrm>
                    <a:prstGeom prst="rect">
                      <a:avLst/>
                    </a:prstGeom>
                    <a:noFill/>
                  </pic:spPr>
                </pic:pic>
              </a:graphicData>
            </a:graphic>
          </wp:inline>
        </w:drawing>
      </w:r>
    </w:p>
    <w:p w14:paraId="4C8CB17D" w14:textId="77777777" w:rsidR="00CF3E30" w:rsidRPr="00C74702" w:rsidRDefault="00CF3E30" w:rsidP="00CF3E30">
      <w:pPr>
        <w:pStyle w:val="Heading3"/>
        <w:tabs>
          <w:tab w:val="clear" w:pos="851"/>
          <w:tab w:val="left" w:pos="964"/>
        </w:tabs>
      </w:pPr>
      <w:bookmarkStart w:id="3357" w:name="land-use-land-use-change-and-forestry-1"/>
      <w:bookmarkEnd w:id="3355"/>
      <w:r w:rsidRPr="00C74702">
        <w:t xml:space="preserve">10.3.6 </w:t>
      </w:r>
      <w:r w:rsidRPr="00C74702">
        <w:tab/>
        <w:t>Land use, land-use change and forestry</w:t>
      </w:r>
    </w:p>
    <w:p w14:paraId="4C81EB3D" w14:textId="77777777" w:rsidR="00CF3E30" w:rsidRPr="00C74702" w:rsidRDefault="00CF3E30" w:rsidP="00CF3E30">
      <w:pPr>
        <w:pStyle w:val="BodyText"/>
      </w:pPr>
      <w:r w:rsidRPr="00C74702">
        <w:t>Improvements and recalculations made to the LULUCF sector have not significantly changed the emissions trends for the LULUCF sector. The impact of recalculations on New Zealand’s LULUCF sector emissions across the time series is shown in figure 10.3.6.</w:t>
      </w:r>
    </w:p>
    <w:p w14:paraId="2F2A7367" w14:textId="77777777" w:rsidR="00CF3E30" w:rsidRPr="00C74702" w:rsidRDefault="00CF3E30" w:rsidP="00CF3E30">
      <w:pPr>
        <w:pStyle w:val="BodyText"/>
      </w:pPr>
      <w:r w:rsidRPr="00C74702">
        <w:t>Between 1990 and 2007 annual emissions have increased by approximately 1 megatonne CO</w:t>
      </w:r>
      <w:r w:rsidRPr="00C74702">
        <w:rPr>
          <w:vertAlign w:val="subscript"/>
        </w:rPr>
        <w:t>2</w:t>
      </w:r>
      <w:r w:rsidRPr="00C74702">
        <w:t xml:space="preserve">e as a result of moving to country-specific emission factors for </w:t>
      </w:r>
      <w:r w:rsidRPr="00C74702">
        <w:rPr>
          <w:i/>
        </w:rPr>
        <w:t>Low producing grassland</w:t>
      </w:r>
      <w:r w:rsidRPr="00C74702">
        <w:t xml:space="preserve"> and </w:t>
      </w:r>
      <w:r w:rsidRPr="00C74702">
        <w:rPr>
          <w:i/>
        </w:rPr>
        <w:t>High producing grassland</w:t>
      </w:r>
      <w:r w:rsidRPr="00C74702">
        <w:t>. This change has meant that the conversion of low-producing grassland to high-producing grassland, which occurred due to grazing intensification during in that period, has switched from a sink to a source of emissions.</w:t>
      </w:r>
    </w:p>
    <w:p w14:paraId="0A9A1402" w14:textId="77777777" w:rsidR="00CF3E30" w:rsidRPr="00C74702" w:rsidRDefault="00CF3E30" w:rsidP="00CF3E30">
      <w:pPr>
        <w:pStyle w:val="BodyText"/>
      </w:pPr>
      <w:r w:rsidRPr="00C74702">
        <w:rPr>
          <w:spacing w:val="-2"/>
        </w:rPr>
        <w:t>Recalculations from 2012 onwards are mainly due to updates to activity data and improvements</w:t>
      </w:r>
      <w:r w:rsidRPr="00C74702">
        <w:t xml:space="preserve"> to harvest-age modelling, with changes to grassland emission factors having a small impact on emissions due to changes to and from </w:t>
      </w:r>
      <w:r w:rsidRPr="00C74702">
        <w:rPr>
          <w:i/>
        </w:rPr>
        <w:t>Forest land</w:t>
      </w:r>
      <w:r w:rsidRPr="00C74702">
        <w:rPr>
          <w:i/>
          <w:iCs/>
        </w:rPr>
        <w:t>.</w:t>
      </w:r>
    </w:p>
    <w:p w14:paraId="53FE3F2E" w14:textId="77777777" w:rsidR="00CF3E30" w:rsidRDefault="00CF3E30" w:rsidP="00CF3E30">
      <w:pPr>
        <w:pStyle w:val="Figure"/>
        <w:rPr>
          <w:bCs/>
        </w:rPr>
      </w:pPr>
      <w:bookmarkStart w:id="3358" w:name="_Toc226200724"/>
      <w:r w:rsidRPr="00C74702">
        <w:rPr>
          <w:bCs/>
        </w:rPr>
        <w:t xml:space="preserve">Figure 10.3.6 </w:t>
      </w:r>
      <w:r w:rsidRPr="00C74702">
        <w:rPr>
          <w:bCs/>
        </w:rPr>
        <w:tab/>
        <w:t>Effect of improvements on net emissions estimates from New Zealand’s LULUCF sector, from 1990 to 2023</w:t>
      </w:r>
      <w:bookmarkEnd w:id="3358"/>
    </w:p>
    <w:p w14:paraId="732395C2" w14:textId="1D82F99E" w:rsidR="002956FA" w:rsidRPr="002956FA" w:rsidRDefault="00F420A8" w:rsidP="002956FA">
      <w:pPr>
        <w:pStyle w:val="BodyText"/>
      </w:pPr>
      <w:r>
        <w:rPr>
          <w:noProof/>
        </w:rPr>
        <w:drawing>
          <wp:inline distT="0" distB="0" distL="0" distR="0" wp14:anchorId="3FDE41DF" wp14:editId="574C19B4">
            <wp:extent cx="5401310" cy="3968750"/>
            <wp:effectExtent l="0" t="0" r="8890" b="0"/>
            <wp:docPr id="10290012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01310" cy="3968750"/>
                    </a:xfrm>
                    <a:prstGeom prst="rect">
                      <a:avLst/>
                    </a:prstGeom>
                    <a:noFill/>
                  </pic:spPr>
                </pic:pic>
              </a:graphicData>
            </a:graphic>
          </wp:inline>
        </w:drawing>
      </w:r>
    </w:p>
    <w:p w14:paraId="0B30C708" w14:textId="77777777" w:rsidR="00CF3E30" w:rsidRPr="00C74702" w:rsidRDefault="00CF3E30" w:rsidP="00CF3E30">
      <w:pPr>
        <w:pStyle w:val="Noteundertable"/>
      </w:pPr>
      <w:r w:rsidRPr="00C74702">
        <w:rPr>
          <w:b/>
          <w:bCs/>
        </w:rPr>
        <w:t>Note:</w:t>
      </w:r>
      <w:r w:rsidRPr="00C74702">
        <w:t xml:space="preserve"> Net emissions are expressed as a negative value to clarify that the value is a removal and not an emission.</w:t>
      </w:r>
    </w:p>
    <w:p w14:paraId="69503307" w14:textId="77777777" w:rsidR="00CF3E30" w:rsidRPr="00C74702" w:rsidRDefault="00CF3E30" w:rsidP="00CF3E30">
      <w:pPr>
        <w:pStyle w:val="Heading3"/>
        <w:tabs>
          <w:tab w:val="clear" w:pos="851"/>
          <w:tab w:val="left" w:pos="964"/>
        </w:tabs>
      </w:pPr>
      <w:bookmarkStart w:id="3359" w:name="waste-1"/>
      <w:bookmarkEnd w:id="3357"/>
      <w:r w:rsidRPr="00C74702">
        <w:t xml:space="preserve">10.3.7 </w:t>
      </w:r>
      <w:r w:rsidRPr="00C74702">
        <w:tab/>
        <w:t>Waste</w:t>
      </w:r>
    </w:p>
    <w:p w14:paraId="44C28B6E" w14:textId="77777777" w:rsidR="00CF3E30" w:rsidRPr="00C74702" w:rsidRDefault="00CF3E30" w:rsidP="00CF3E30">
      <w:pPr>
        <w:pStyle w:val="BodyText"/>
        <w:keepNext/>
      </w:pPr>
      <w:r w:rsidRPr="00C74702">
        <w:t>Improvements and recalculations made to the Waste sector have not significantly changed the emissions trends for the Waste sector. The impact of recalculations on New Zealand’s Waste sector emissions across the time series is shown in figure 10.3.7.</w:t>
      </w:r>
    </w:p>
    <w:p w14:paraId="766BC669" w14:textId="77777777" w:rsidR="00CF3E30" w:rsidRPr="00C74702" w:rsidRDefault="00CF3E30" w:rsidP="00CF3E30">
      <w:pPr>
        <w:pStyle w:val="Figure"/>
      </w:pPr>
      <w:bookmarkStart w:id="3360" w:name="_Toc226200725"/>
      <w:r w:rsidRPr="00C74702">
        <w:rPr>
          <w:bCs/>
        </w:rPr>
        <w:t xml:space="preserve">Figure 10.3.7 </w:t>
      </w:r>
      <w:r w:rsidRPr="00C74702">
        <w:tab/>
      </w:r>
      <w:r w:rsidRPr="00C74702">
        <w:rPr>
          <w:bCs/>
        </w:rPr>
        <w:t>Effect of recalculations on emissions estimates from New Zealand’s Waste sector, from 1990 to</w:t>
      </w:r>
      <w:r w:rsidRPr="00C74702">
        <w:t> </w:t>
      </w:r>
      <w:r w:rsidRPr="00C74702">
        <w:rPr>
          <w:bCs/>
        </w:rPr>
        <w:t>2023</w:t>
      </w:r>
      <w:bookmarkEnd w:id="3360"/>
    </w:p>
    <w:p w14:paraId="1FA7A6FA" w14:textId="77777777" w:rsidR="00CF3E30" w:rsidRPr="00C74702" w:rsidRDefault="00CF3E30" w:rsidP="00CF3E30">
      <w:pPr>
        <w:pStyle w:val="BodyText"/>
      </w:pPr>
      <w:r w:rsidRPr="00C74702">
        <w:rPr>
          <w:noProof/>
        </w:rPr>
        <w:drawing>
          <wp:inline distT="0" distB="0" distL="0" distR="0" wp14:anchorId="0CDD03D4" wp14:editId="15E89EDB">
            <wp:extent cx="5400675" cy="4050665"/>
            <wp:effectExtent l="0" t="0" r="0" b="0"/>
            <wp:docPr id="9629566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56643" name="Picture 962956643"/>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400675" cy="4050665"/>
                    </a:xfrm>
                    <a:prstGeom prst="rect">
                      <a:avLst/>
                    </a:prstGeom>
                  </pic:spPr>
                </pic:pic>
              </a:graphicData>
            </a:graphic>
          </wp:inline>
        </w:drawing>
      </w:r>
    </w:p>
    <w:p w14:paraId="7DBD8FF8" w14:textId="77777777" w:rsidR="00CF3E30" w:rsidRPr="00C74702" w:rsidRDefault="00CF3E30" w:rsidP="00CF3E30">
      <w:pPr>
        <w:pStyle w:val="Heading3"/>
        <w:tabs>
          <w:tab w:val="clear" w:pos="851"/>
          <w:tab w:val="left" w:pos="964"/>
        </w:tabs>
      </w:pPr>
      <w:bookmarkStart w:id="3361" w:name="other-sector-tokelau-1"/>
      <w:bookmarkEnd w:id="3359"/>
      <w:r w:rsidRPr="00C74702">
        <w:t xml:space="preserve">10.3.8 </w:t>
      </w:r>
      <w:r w:rsidRPr="00C74702">
        <w:tab/>
        <w:t>Other sector (Tokelau)</w:t>
      </w:r>
    </w:p>
    <w:p w14:paraId="6C492469" w14:textId="77777777" w:rsidR="00CF3E30" w:rsidRPr="00C74702" w:rsidRDefault="00CF3E30" w:rsidP="00CF3E30">
      <w:pPr>
        <w:pStyle w:val="BodyText"/>
        <w:keepNext/>
      </w:pPr>
      <w:r w:rsidRPr="00C74702">
        <w:t>Improvements and recalculations made for Tokelau emissions have not significantly changed the emissions trends for Tokelau. The impact of recalculations on Tokelau emissions across the time series is shown in figure 10.3.8.</w:t>
      </w:r>
    </w:p>
    <w:p w14:paraId="4D06D225" w14:textId="77777777" w:rsidR="00CF3E30" w:rsidRDefault="00CF3E30" w:rsidP="00CF3E30">
      <w:pPr>
        <w:pStyle w:val="Figure"/>
        <w:rPr>
          <w:bCs/>
        </w:rPr>
      </w:pPr>
      <w:bookmarkStart w:id="3362" w:name="_Toc226200726"/>
      <w:r w:rsidRPr="00C74702">
        <w:rPr>
          <w:bCs/>
        </w:rPr>
        <w:t xml:space="preserve">Figure 10.3.8 </w:t>
      </w:r>
      <w:r w:rsidRPr="00C74702">
        <w:rPr>
          <w:bCs/>
        </w:rPr>
        <w:tab/>
        <w:t>Effect of recalculations on emissions estimates from the Tokelau sector, from 1990 to 2023</w:t>
      </w:r>
      <w:bookmarkEnd w:id="3362"/>
    </w:p>
    <w:p w14:paraId="18E41AEA" w14:textId="1529357D" w:rsidR="00F420A8" w:rsidRPr="00F420A8" w:rsidRDefault="000D68FF" w:rsidP="00F420A8">
      <w:pPr>
        <w:pStyle w:val="BodyText"/>
      </w:pPr>
      <w:r>
        <w:rPr>
          <w:noProof/>
        </w:rPr>
        <w:drawing>
          <wp:inline distT="0" distB="0" distL="0" distR="0" wp14:anchorId="41546EB2" wp14:editId="4981D730">
            <wp:extent cx="5401310" cy="3963035"/>
            <wp:effectExtent l="0" t="0" r="8890" b="0"/>
            <wp:docPr id="16244619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01310" cy="3963035"/>
                    </a:xfrm>
                    <a:prstGeom prst="rect">
                      <a:avLst/>
                    </a:prstGeom>
                    <a:noFill/>
                  </pic:spPr>
                </pic:pic>
              </a:graphicData>
            </a:graphic>
          </wp:inline>
        </w:drawing>
      </w:r>
    </w:p>
    <w:p w14:paraId="5E03A4FF" w14:textId="77777777" w:rsidR="00CF3E30" w:rsidRPr="00C74702" w:rsidRDefault="00CF3E30" w:rsidP="00CF3E30">
      <w:pPr>
        <w:pStyle w:val="Noteundertable"/>
      </w:pPr>
      <w:r w:rsidRPr="00C74702">
        <w:rPr>
          <w:b/>
          <w:bCs/>
        </w:rPr>
        <w:t>Note</w:t>
      </w:r>
      <w:r w:rsidRPr="00C74702">
        <w:t>: Due to the small size of the recalculation, the 2026 submission line is obscured by the 2025 submission line.</w:t>
      </w:r>
    </w:p>
    <w:p w14:paraId="4CDDC418" w14:textId="77777777" w:rsidR="00CF3E30" w:rsidRPr="00C74702" w:rsidRDefault="00CF3E30" w:rsidP="00CF3E30">
      <w:pPr>
        <w:sectPr w:rsidR="00CF3E30" w:rsidRPr="00C74702" w:rsidSect="00E756C6">
          <w:footerReference w:type="even" r:id="rId285"/>
          <w:footerReference w:type="default" r:id="rId286"/>
          <w:headerReference w:type="first" r:id="rId287"/>
          <w:footerReference w:type="first" r:id="rId288"/>
          <w:pgSz w:w="11907" w:h="16840" w:code="9"/>
          <w:pgMar w:top="1418" w:right="1701" w:bottom="1418" w:left="1701" w:header="567" w:footer="567" w:gutter="0"/>
          <w:cols w:space="720"/>
        </w:sectPr>
      </w:pPr>
      <w:r w:rsidRPr="00C74702">
        <w:br w:type="page"/>
      </w:r>
      <w:bookmarkStart w:id="3363" w:name="Xa9c80dc09b2f683b05a85903ce845a0f00a34ec"/>
      <w:bookmarkEnd w:id="3344"/>
      <w:bookmarkEnd w:id="3361"/>
    </w:p>
    <w:p w14:paraId="72B8B76A" w14:textId="77777777" w:rsidR="00CF3E30" w:rsidRPr="00C74702" w:rsidRDefault="00CF3E30" w:rsidP="00CF3E30">
      <w:pPr>
        <w:pStyle w:val="Heading2"/>
        <w:spacing w:before="0"/>
      </w:pPr>
      <w:bookmarkStart w:id="3364" w:name="_Toc226460822"/>
      <w:r w:rsidRPr="00C74702">
        <w:t xml:space="preserve">10.4 </w:t>
      </w:r>
      <w:r w:rsidRPr="00C74702">
        <w:tab/>
        <w:t>Areas of improvement and/or capacity building in response to the review process</w:t>
      </w:r>
      <w:bookmarkEnd w:id="3364"/>
    </w:p>
    <w:p w14:paraId="33615086" w14:textId="77777777" w:rsidR="00CF3E30" w:rsidRPr="00C74702" w:rsidRDefault="00CF3E30" w:rsidP="00CF3E30">
      <w:pPr>
        <w:pStyle w:val="BodyText"/>
      </w:pPr>
      <w:r w:rsidRPr="00C74702">
        <w:t>New Zealand has made improvements to the 2026 submission of the Inventory, although these are yet to take the findings from the review process under the Paris Agreement specifically into account. This is because the findings from the review of New Zealand’s first biennial transparency report have only recently become available.</w:t>
      </w:r>
    </w:p>
    <w:p w14:paraId="375AF7A0" w14:textId="77777777" w:rsidR="00CF3E30" w:rsidRPr="00C74702" w:rsidRDefault="00CF3E30" w:rsidP="00CF3E30">
      <w:pPr>
        <w:pStyle w:val="BodyText"/>
      </w:pPr>
      <w:r w:rsidRPr="00C74702">
        <w:t xml:space="preserve">Table 1 of the </w:t>
      </w:r>
      <w:r w:rsidRPr="00C74702">
        <w:rPr>
          <w:i/>
          <w:iCs/>
        </w:rPr>
        <w:t>Report on the technical expert review of the first biennial transparency report of New Zealand</w:t>
      </w:r>
      <w:r w:rsidRPr="00C74702" w:rsidDel="00D73DCE">
        <w:t xml:space="preserve"> </w:t>
      </w:r>
      <w:r w:rsidRPr="00C74702">
        <w:t xml:space="preserve">(UNFCCC, 2026a, p 5), which can be found </w:t>
      </w:r>
      <w:hyperlink r:id="rId289">
        <w:r w:rsidRPr="00C74702" w:rsidDel="00971F8F">
          <w:rPr>
            <w:rStyle w:val="Hyperlink"/>
          </w:rPr>
          <w:t>here</w:t>
        </w:r>
      </w:hyperlink>
      <w:r w:rsidRPr="00C74702">
        <w:t xml:space="preserve">, contains summarised information reported in New Zealand’s national inventory report and the findings from the review of consistency with the modalities, procedures and guidelines. The findings related to the Inventory are detailed in tables 2-7 in the addendum to the report (UNFCCC, 2026b), which can be found </w:t>
      </w:r>
      <w:hyperlink r:id="rId290">
        <w:r w:rsidRPr="00C74702">
          <w:rPr>
            <w:rStyle w:val="Hyperlink"/>
          </w:rPr>
          <w:t>here</w:t>
        </w:r>
      </w:hyperlink>
      <w:r w:rsidRPr="00C74702">
        <w:t>, and summarised in table 10.4.1 along with New Zealand’s responses to the findings.</w:t>
      </w:r>
    </w:p>
    <w:p w14:paraId="37DA91E3" w14:textId="77777777" w:rsidR="00CF3E30" w:rsidRPr="00C74702" w:rsidRDefault="00CF3E30" w:rsidP="00CF3E30">
      <w:pPr>
        <w:pStyle w:val="Table"/>
      </w:pPr>
      <w:bookmarkStart w:id="3365" w:name="_Toc226669158"/>
      <w:r w:rsidRPr="00C74702">
        <w:t xml:space="preserve">Table 10.4.1 </w:t>
      </w:r>
      <w:r w:rsidRPr="00C74702">
        <w:tab/>
        <w:t>New Zealand’s response to the status of the recommendations included in tables 2–7 of UNFCCC (2026b)</w:t>
      </w:r>
      <w:bookmarkEnd w:id="3365"/>
    </w:p>
    <w:tbl>
      <w:tblPr>
        <w:tblW w:w="13948"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994"/>
        <w:gridCol w:w="566"/>
        <w:gridCol w:w="3827"/>
        <w:gridCol w:w="5671"/>
        <w:gridCol w:w="2890"/>
      </w:tblGrid>
      <w:tr w:rsidR="00CF3E30" w:rsidRPr="00C74702" w14:paraId="0ECFF465" w14:textId="77777777" w:rsidTr="00F16E23">
        <w:trPr>
          <w:tblHeader/>
        </w:trPr>
        <w:tc>
          <w:tcPr>
            <w:tcW w:w="356" w:type="pct"/>
            <w:shd w:val="clear" w:color="auto" w:fill="1B556B"/>
            <w:tcMar>
              <w:left w:w="85" w:type="dxa"/>
              <w:right w:w="85" w:type="dxa"/>
            </w:tcMar>
            <w:vAlign w:val="bottom"/>
          </w:tcPr>
          <w:p w14:paraId="571B865C" w14:textId="77777777" w:rsidR="00CF3E30" w:rsidRPr="00C74702" w:rsidRDefault="00CF3E30" w:rsidP="00F16E23">
            <w:pPr>
              <w:pStyle w:val="TableTextBold"/>
              <w:rPr>
                <w:rFonts w:eastAsia="Calibri"/>
                <w:noProof w:val="0"/>
                <w:color w:val="FFFFFF" w:themeColor="background1"/>
              </w:rPr>
            </w:pPr>
            <w:r w:rsidRPr="00C74702">
              <w:rPr>
                <w:rFonts w:eastAsia="Calibri"/>
                <w:noProof w:val="0"/>
                <w:color w:val="FFFFFF" w:themeColor="background1"/>
              </w:rPr>
              <w:t>Sector</w:t>
            </w:r>
          </w:p>
        </w:tc>
        <w:tc>
          <w:tcPr>
            <w:tcW w:w="203" w:type="pct"/>
            <w:shd w:val="clear" w:color="auto" w:fill="1B556B"/>
            <w:tcMar>
              <w:top w:w="0" w:type="dxa"/>
              <w:left w:w="85" w:type="dxa"/>
              <w:bottom w:w="0" w:type="dxa"/>
              <w:right w:w="85" w:type="dxa"/>
            </w:tcMar>
            <w:vAlign w:val="bottom"/>
          </w:tcPr>
          <w:p w14:paraId="55FE498B" w14:textId="77777777" w:rsidR="00CF3E30" w:rsidRPr="00C74702" w:rsidRDefault="00CF3E30" w:rsidP="00F16E23">
            <w:pPr>
              <w:pStyle w:val="TableTextBold"/>
              <w:rPr>
                <w:noProof w:val="0"/>
                <w:color w:val="FFFFFF" w:themeColor="background1"/>
              </w:rPr>
            </w:pPr>
            <w:r w:rsidRPr="00C74702">
              <w:rPr>
                <w:rFonts w:eastAsia="Calibri"/>
                <w:noProof w:val="0"/>
                <w:color w:val="FFFFFF" w:themeColor="background1"/>
              </w:rPr>
              <w:t>ID#</w:t>
            </w:r>
          </w:p>
        </w:tc>
        <w:tc>
          <w:tcPr>
            <w:tcW w:w="1372" w:type="pct"/>
            <w:shd w:val="clear" w:color="auto" w:fill="1B556B"/>
            <w:tcMar>
              <w:top w:w="0" w:type="dxa"/>
              <w:left w:w="85" w:type="dxa"/>
              <w:bottom w:w="0" w:type="dxa"/>
              <w:right w:w="85" w:type="dxa"/>
            </w:tcMar>
            <w:vAlign w:val="bottom"/>
          </w:tcPr>
          <w:p w14:paraId="17583656" w14:textId="77777777" w:rsidR="00CF3E30" w:rsidRPr="00C74702" w:rsidRDefault="00CF3E30" w:rsidP="00F16E23">
            <w:pPr>
              <w:pStyle w:val="TableTextBold"/>
              <w:rPr>
                <w:rFonts w:eastAsia="Calibri"/>
                <w:noProof w:val="0"/>
                <w:color w:val="FFFFFF" w:themeColor="background1"/>
              </w:rPr>
            </w:pPr>
            <w:r w:rsidRPr="00C74702">
              <w:rPr>
                <w:rFonts w:eastAsia="Calibri"/>
                <w:bCs/>
                <w:noProof w:val="0"/>
                <w:color w:val="FFFFFF" w:themeColor="background1"/>
              </w:rPr>
              <w:t>Reporting requirement</w:t>
            </w:r>
          </w:p>
        </w:tc>
        <w:tc>
          <w:tcPr>
            <w:tcW w:w="2033" w:type="pct"/>
            <w:shd w:val="clear" w:color="auto" w:fill="1B556B"/>
            <w:tcMar>
              <w:top w:w="0" w:type="dxa"/>
              <w:left w:w="85" w:type="dxa"/>
              <w:bottom w:w="0" w:type="dxa"/>
              <w:right w:w="85" w:type="dxa"/>
            </w:tcMar>
            <w:vAlign w:val="bottom"/>
          </w:tcPr>
          <w:p w14:paraId="2E2936BE" w14:textId="77777777" w:rsidR="00CF3E30" w:rsidRPr="00C74702" w:rsidRDefault="00CF3E30" w:rsidP="00F16E23">
            <w:pPr>
              <w:pStyle w:val="TableTextBold"/>
              <w:rPr>
                <w:rFonts w:eastAsia="Calibri"/>
                <w:noProof w:val="0"/>
                <w:color w:val="FFFFFF" w:themeColor="background1"/>
              </w:rPr>
            </w:pPr>
            <w:r w:rsidRPr="00C74702">
              <w:rPr>
                <w:rFonts w:eastAsia="Calibri"/>
                <w:noProof w:val="0"/>
                <w:color w:val="FFFFFF" w:themeColor="background1"/>
              </w:rPr>
              <w:t xml:space="preserve">Description of area of improvement with recommendation or </w:t>
            </w:r>
            <w:r w:rsidRPr="00C74702">
              <w:rPr>
                <w:rFonts w:eastAsia="Calibri"/>
                <w:bCs/>
                <w:noProof w:val="0"/>
                <w:color w:val="FFFFFF" w:themeColor="background1"/>
              </w:rPr>
              <w:t>encouragement</w:t>
            </w:r>
          </w:p>
        </w:tc>
        <w:tc>
          <w:tcPr>
            <w:tcW w:w="1036" w:type="pct"/>
            <w:shd w:val="clear" w:color="auto" w:fill="1B556B"/>
            <w:tcMar>
              <w:top w:w="0" w:type="dxa"/>
              <w:left w:w="85" w:type="dxa"/>
              <w:bottom w:w="0" w:type="dxa"/>
              <w:right w:w="85" w:type="dxa"/>
            </w:tcMar>
            <w:vAlign w:val="bottom"/>
          </w:tcPr>
          <w:p w14:paraId="7E25E505" w14:textId="77777777" w:rsidR="00CF3E30" w:rsidRPr="00C74702" w:rsidRDefault="00CF3E30" w:rsidP="00F16E23">
            <w:pPr>
              <w:pStyle w:val="TableTextBold"/>
              <w:rPr>
                <w:noProof w:val="0"/>
                <w:color w:val="FFFFFF" w:themeColor="background1"/>
              </w:rPr>
            </w:pPr>
            <w:r w:rsidRPr="00C74702">
              <w:rPr>
                <w:rFonts w:eastAsia="Calibri"/>
                <w:bCs/>
                <w:noProof w:val="0"/>
                <w:color w:val="FFFFFF" w:themeColor="background1"/>
              </w:rPr>
              <w:t>New Zealand response</w:t>
            </w:r>
          </w:p>
        </w:tc>
      </w:tr>
      <w:tr w:rsidR="00CF3E30" w:rsidRPr="00C74702" w14:paraId="683468AF" w14:textId="77777777" w:rsidTr="00F16E23">
        <w:tc>
          <w:tcPr>
            <w:tcW w:w="356" w:type="pct"/>
            <w:shd w:val="clear" w:color="auto" w:fill="FFFFFF" w:themeFill="background1"/>
            <w:tcMar>
              <w:left w:w="85" w:type="dxa"/>
              <w:right w:w="85" w:type="dxa"/>
            </w:tcMar>
          </w:tcPr>
          <w:p w14:paraId="5ADF78AB"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General</w:t>
            </w:r>
          </w:p>
        </w:tc>
        <w:tc>
          <w:tcPr>
            <w:tcW w:w="203" w:type="pct"/>
            <w:shd w:val="clear" w:color="auto" w:fill="FFFFFF" w:themeFill="background1"/>
            <w:tcMar>
              <w:top w:w="0" w:type="dxa"/>
              <w:left w:w="85" w:type="dxa"/>
              <w:bottom w:w="0" w:type="dxa"/>
              <w:right w:w="85" w:type="dxa"/>
            </w:tcMar>
          </w:tcPr>
          <w:p w14:paraId="4A2517E1"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NA</w:t>
            </w:r>
          </w:p>
        </w:tc>
        <w:tc>
          <w:tcPr>
            <w:tcW w:w="1372" w:type="pct"/>
            <w:shd w:val="clear" w:color="auto" w:fill="FFFFFF" w:themeFill="background1"/>
            <w:tcMar>
              <w:top w:w="0" w:type="dxa"/>
              <w:left w:w="85" w:type="dxa"/>
              <w:bottom w:w="0" w:type="dxa"/>
              <w:right w:w="85" w:type="dxa"/>
            </w:tcMar>
          </w:tcPr>
          <w:p w14:paraId="0C11F1D3"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NA</w:t>
            </w:r>
          </w:p>
        </w:tc>
        <w:tc>
          <w:tcPr>
            <w:tcW w:w="2033" w:type="pct"/>
            <w:shd w:val="clear" w:color="auto" w:fill="FFFFFF" w:themeFill="background1"/>
            <w:tcMar>
              <w:top w:w="0" w:type="dxa"/>
              <w:left w:w="85" w:type="dxa"/>
              <w:bottom w:w="0" w:type="dxa"/>
              <w:right w:w="85" w:type="dxa"/>
            </w:tcMar>
          </w:tcPr>
          <w:p w14:paraId="2776F263"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NA</w:t>
            </w:r>
          </w:p>
        </w:tc>
        <w:tc>
          <w:tcPr>
            <w:tcW w:w="1036" w:type="pct"/>
            <w:shd w:val="clear" w:color="auto" w:fill="FFFFFF" w:themeFill="background1"/>
            <w:tcMar>
              <w:top w:w="0" w:type="dxa"/>
              <w:left w:w="85" w:type="dxa"/>
              <w:bottom w:w="0" w:type="dxa"/>
              <w:right w:w="85" w:type="dxa"/>
            </w:tcMar>
          </w:tcPr>
          <w:p w14:paraId="193D856D"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NA</w:t>
            </w:r>
          </w:p>
        </w:tc>
      </w:tr>
      <w:tr w:rsidR="00CF3E30" w:rsidRPr="00C74702" w14:paraId="4F7825F8" w14:textId="77777777" w:rsidTr="00F16E23">
        <w:tc>
          <w:tcPr>
            <w:tcW w:w="356" w:type="pct"/>
            <w:shd w:val="clear" w:color="auto" w:fill="FFFFFF" w:themeFill="background1"/>
            <w:tcMar>
              <w:left w:w="85" w:type="dxa"/>
              <w:right w:w="85" w:type="dxa"/>
            </w:tcMar>
          </w:tcPr>
          <w:p w14:paraId="3DA0E35B"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Energy</w:t>
            </w:r>
          </w:p>
        </w:tc>
        <w:tc>
          <w:tcPr>
            <w:tcW w:w="203" w:type="pct"/>
            <w:shd w:val="clear" w:color="auto" w:fill="FFFFFF" w:themeFill="background1"/>
            <w:tcMar>
              <w:top w:w="0" w:type="dxa"/>
              <w:left w:w="85" w:type="dxa"/>
              <w:bottom w:w="0" w:type="dxa"/>
              <w:right w:w="85" w:type="dxa"/>
            </w:tcMar>
          </w:tcPr>
          <w:p w14:paraId="603EF578"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3.E.1</w:t>
            </w:r>
          </w:p>
        </w:tc>
        <w:tc>
          <w:tcPr>
            <w:tcW w:w="1372" w:type="pct"/>
            <w:shd w:val="clear" w:color="auto" w:fill="FFFFFF" w:themeFill="background1"/>
            <w:tcMar>
              <w:top w:w="0" w:type="dxa"/>
              <w:left w:w="85" w:type="dxa"/>
              <w:bottom w:w="0" w:type="dxa"/>
              <w:right w:w="85" w:type="dxa"/>
            </w:tcMar>
          </w:tcPr>
          <w:p w14:paraId="6A5BED82"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31 of the MPGs</w:t>
            </w:r>
          </w:p>
          <w:p w14:paraId="63B38A29"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1. General (energy sector) – CO</w:t>
            </w:r>
            <w:r w:rsidRPr="00C74702">
              <w:rPr>
                <w:rFonts w:eastAsia="Calibri"/>
                <w:szCs w:val="16"/>
                <w:vertAlign w:val="subscript"/>
              </w:rPr>
              <w:t>2</w:t>
            </w:r>
            <w:r w:rsidRPr="00C74702">
              <w:rPr>
                <w:rFonts w:eastAsia="Calibri"/>
                <w:szCs w:val="16"/>
              </w:rPr>
              <w:t>,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O</w:t>
            </w:r>
          </w:p>
        </w:tc>
        <w:tc>
          <w:tcPr>
            <w:tcW w:w="2033" w:type="pct"/>
            <w:shd w:val="clear" w:color="auto" w:fill="FFFFFF" w:themeFill="background1"/>
            <w:tcMar>
              <w:top w:w="0" w:type="dxa"/>
              <w:left w:w="85" w:type="dxa"/>
              <w:bottom w:w="0" w:type="dxa"/>
              <w:right w:w="85" w:type="dxa"/>
            </w:tcMar>
          </w:tcPr>
          <w:p w14:paraId="79C84359"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The TERT recommends that New Zealand apply the appropriate notation keys for reporting GHG emissions for subcategories 1.A.3.b.ii–iv road transportation other than cars for all fuels other than gasoline and diesel and CH</w:t>
            </w:r>
            <w:r w:rsidRPr="00C74702">
              <w:rPr>
                <w:rFonts w:eastAsia="Calibri"/>
                <w:szCs w:val="16"/>
                <w:vertAlign w:val="subscript"/>
              </w:rPr>
              <w:t>4</w:t>
            </w:r>
            <w:r w:rsidRPr="00C74702">
              <w:rPr>
                <w:rFonts w:eastAsia="Calibri"/>
                <w:szCs w:val="16"/>
              </w:rPr>
              <w:t xml:space="preserve"> emissions for subcategory 1.B.1.a.1.iii abandoned underground mines, and ensure that the same notation keys are reported consistently in the CRTs and the NID.</w:t>
            </w:r>
          </w:p>
        </w:tc>
        <w:tc>
          <w:tcPr>
            <w:tcW w:w="1036" w:type="pct"/>
            <w:shd w:val="clear" w:color="auto" w:fill="FFFFFF" w:themeFill="background1"/>
            <w:tcMar>
              <w:top w:w="0" w:type="dxa"/>
              <w:left w:w="85" w:type="dxa"/>
              <w:bottom w:w="0" w:type="dxa"/>
              <w:right w:w="85" w:type="dxa"/>
            </w:tcMar>
          </w:tcPr>
          <w:p w14:paraId="12CCA239"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Resolved.</w:t>
            </w:r>
          </w:p>
        </w:tc>
      </w:tr>
      <w:tr w:rsidR="00CF3E30" w:rsidRPr="00C74702" w14:paraId="0004F41E" w14:textId="77777777" w:rsidTr="00F16E23">
        <w:tc>
          <w:tcPr>
            <w:tcW w:w="356" w:type="pct"/>
            <w:shd w:val="clear" w:color="auto" w:fill="FFFFFF" w:themeFill="background1"/>
            <w:tcMar>
              <w:left w:w="85" w:type="dxa"/>
              <w:right w:w="85" w:type="dxa"/>
            </w:tcMar>
          </w:tcPr>
          <w:p w14:paraId="4F557CF3"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1DA758A9" w14:textId="77777777" w:rsidR="00CF3E30" w:rsidRPr="00C74702" w:rsidRDefault="00CF3E30" w:rsidP="00F16E23">
            <w:pPr>
              <w:pStyle w:val="TableText"/>
              <w:spacing w:before="40" w:after="40"/>
              <w:rPr>
                <w:rFonts w:eastAsia="Calibri"/>
                <w:szCs w:val="16"/>
              </w:rPr>
            </w:pPr>
            <w:r w:rsidRPr="00C74702">
              <w:rPr>
                <w:rFonts w:eastAsia="Calibri"/>
                <w:szCs w:val="16"/>
              </w:rPr>
              <w:t>3.E.2</w:t>
            </w:r>
          </w:p>
        </w:tc>
        <w:tc>
          <w:tcPr>
            <w:tcW w:w="1372" w:type="pct"/>
            <w:shd w:val="clear" w:color="auto" w:fill="FFFFFF" w:themeFill="background1"/>
            <w:tcMar>
              <w:top w:w="0" w:type="dxa"/>
              <w:left w:w="85" w:type="dxa"/>
              <w:bottom w:w="0" w:type="dxa"/>
              <w:right w:w="85" w:type="dxa"/>
            </w:tcMar>
          </w:tcPr>
          <w:p w14:paraId="380111D4"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31 of the MPGs</w:t>
            </w:r>
          </w:p>
          <w:p w14:paraId="1C15C1F7" w14:textId="77777777" w:rsidR="00CF3E30" w:rsidRPr="00C74702" w:rsidRDefault="00CF3E30" w:rsidP="00F16E23">
            <w:pPr>
              <w:pStyle w:val="TableText"/>
              <w:spacing w:before="40" w:after="40"/>
              <w:rPr>
                <w:rFonts w:eastAsia="Calibri"/>
                <w:szCs w:val="16"/>
              </w:rPr>
            </w:pPr>
            <w:r w:rsidRPr="00C74702">
              <w:rPr>
                <w:rFonts w:eastAsia="Calibri"/>
                <w:szCs w:val="16"/>
              </w:rPr>
              <w:t>Fuel combustion – reference approach – other fossil fuels – CO</w:t>
            </w:r>
            <w:r w:rsidRPr="00C74702">
              <w:rPr>
                <w:rFonts w:eastAsia="Calibri"/>
                <w:szCs w:val="16"/>
                <w:vertAlign w:val="subscript"/>
              </w:rPr>
              <w:t>2</w:t>
            </w:r>
          </w:p>
        </w:tc>
        <w:tc>
          <w:tcPr>
            <w:tcW w:w="2033" w:type="pct"/>
            <w:shd w:val="clear" w:color="auto" w:fill="FFFFFF" w:themeFill="background1"/>
            <w:tcMar>
              <w:top w:w="0" w:type="dxa"/>
              <w:left w:w="85" w:type="dxa"/>
              <w:bottom w:w="0" w:type="dxa"/>
              <w:right w:w="85" w:type="dxa"/>
            </w:tcMar>
          </w:tcPr>
          <w:p w14:paraId="09BEF34E"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New Zealand apply the appropriate notation keys for reporting GHG emission estimates for other fossil fuels under the reference approach (e.g. “IE” if such emissions are included under other fuel types).</w:t>
            </w:r>
          </w:p>
        </w:tc>
        <w:tc>
          <w:tcPr>
            <w:tcW w:w="1036" w:type="pct"/>
            <w:shd w:val="clear" w:color="auto" w:fill="FFFFFF" w:themeFill="background1"/>
            <w:tcMar>
              <w:top w:w="0" w:type="dxa"/>
              <w:left w:w="85" w:type="dxa"/>
              <w:bottom w:w="0" w:type="dxa"/>
              <w:right w:w="85" w:type="dxa"/>
            </w:tcMar>
          </w:tcPr>
          <w:p w14:paraId="7D88B141" w14:textId="77777777" w:rsidR="00CF3E30" w:rsidRPr="00C74702" w:rsidRDefault="00CF3E30" w:rsidP="00F16E23">
            <w:pPr>
              <w:pStyle w:val="TableText"/>
              <w:spacing w:before="40" w:after="40"/>
              <w:rPr>
                <w:rFonts w:eastAsia="Calibri"/>
                <w:szCs w:val="16"/>
              </w:rPr>
            </w:pPr>
          </w:p>
        </w:tc>
      </w:tr>
      <w:tr w:rsidR="00CF3E30" w:rsidRPr="00C74702" w14:paraId="3CDE871E" w14:textId="77777777" w:rsidTr="00F16E23">
        <w:tc>
          <w:tcPr>
            <w:tcW w:w="356" w:type="pct"/>
            <w:shd w:val="clear" w:color="auto" w:fill="FFFFFF" w:themeFill="background1"/>
            <w:tcMar>
              <w:left w:w="85" w:type="dxa"/>
              <w:right w:w="85" w:type="dxa"/>
            </w:tcMar>
          </w:tcPr>
          <w:p w14:paraId="5915CCC8"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345E031A" w14:textId="77777777" w:rsidR="00CF3E30" w:rsidRPr="00C74702" w:rsidRDefault="00CF3E30" w:rsidP="00F16E23">
            <w:pPr>
              <w:pStyle w:val="TableText"/>
              <w:spacing w:before="40" w:after="40"/>
              <w:rPr>
                <w:rFonts w:eastAsia="Calibri"/>
                <w:szCs w:val="16"/>
              </w:rPr>
            </w:pPr>
            <w:r w:rsidRPr="00C74702">
              <w:rPr>
                <w:rFonts w:eastAsia="Calibri"/>
                <w:szCs w:val="16"/>
              </w:rPr>
              <w:t>3.E.3</w:t>
            </w:r>
          </w:p>
        </w:tc>
        <w:tc>
          <w:tcPr>
            <w:tcW w:w="1372" w:type="pct"/>
            <w:shd w:val="clear" w:color="auto" w:fill="FFFFFF" w:themeFill="background1"/>
            <w:tcMar>
              <w:top w:w="0" w:type="dxa"/>
              <w:left w:w="85" w:type="dxa"/>
              <w:bottom w:w="0" w:type="dxa"/>
              <w:right w:w="85" w:type="dxa"/>
            </w:tcMar>
          </w:tcPr>
          <w:p w14:paraId="15A9DA1C"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36 of the MPGs</w:t>
            </w:r>
          </w:p>
          <w:p w14:paraId="30211999" w14:textId="77777777" w:rsidR="00CF3E30" w:rsidRPr="00C74702" w:rsidRDefault="00CF3E30" w:rsidP="00F16E23">
            <w:pPr>
              <w:pStyle w:val="TableText"/>
              <w:spacing w:before="40" w:after="40"/>
              <w:rPr>
                <w:rFonts w:eastAsia="Calibri"/>
                <w:szCs w:val="16"/>
              </w:rPr>
            </w:pPr>
            <w:r w:rsidRPr="00C74702">
              <w:rPr>
                <w:rFonts w:eastAsia="Calibri"/>
                <w:szCs w:val="16"/>
              </w:rPr>
              <w:t>Fuel combustion – reference approach – other fossil fuels – CO</w:t>
            </w:r>
            <w:r w:rsidRPr="00C74702">
              <w:rPr>
                <w:rFonts w:eastAsia="Calibri"/>
                <w:szCs w:val="16"/>
                <w:vertAlign w:val="subscript"/>
              </w:rPr>
              <w:t>2</w:t>
            </w:r>
          </w:p>
        </w:tc>
        <w:tc>
          <w:tcPr>
            <w:tcW w:w="2033" w:type="pct"/>
            <w:shd w:val="clear" w:color="auto" w:fill="FFFFFF" w:themeFill="background1"/>
            <w:tcMar>
              <w:top w:w="0" w:type="dxa"/>
              <w:left w:w="85" w:type="dxa"/>
              <w:bottom w:w="0" w:type="dxa"/>
              <w:right w:w="85" w:type="dxa"/>
            </w:tcMar>
          </w:tcPr>
          <w:p w14:paraId="00DFC99E" w14:textId="77777777" w:rsidR="00CF3E30" w:rsidRPr="00C74702" w:rsidRDefault="00CF3E30" w:rsidP="00F16E23">
            <w:pPr>
              <w:pStyle w:val="TableText"/>
              <w:spacing w:before="40" w:after="40"/>
              <w:rPr>
                <w:rFonts w:eastAsia="Calibri"/>
                <w:szCs w:val="16"/>
              </w:rPr>
            </w:pPr>
            <w:r w:rsidRPr="00C74702">
              <w:rPr>
                <w:rFonts w:eastAsia="Calibri"/>
                <w:szCs w:val="16"/>
              </w:rPr>
              <w:t>The TERT encourages the Party to explore the possibility of collecting data sourced from national statistics for estimating CO</w:t>
            </w:r>
            <w:r w:rsidRPr="00C74702">
              <w:rPr>
                <w:rFonts w:eastAsia="Calibri"/>
                <w:szCs w:val="16"/>
                <w:vertAlign w:val="subscript"/>
              </w:rPr>
              <w:t>2</w:t>
            </w:r>
            <w:r w:rsidRPr="00C74702">
              <w:rPr>
                <w:rFonts w:eastAsia="Calibri"/>
                <w:szCs w:val="16"/>
              </w:rPr>
              <w:t xml:space="preserve"> emissions from combustion of other fossil fuels and to calculate the effects on the estimates made using the reference approach and on the difference in estimates between the reference and sectoral approaches. The TERT notes that improved availability of apparent consumption data for this fuel type could reduce the difference between estimates made using the two approaches.</w:t>
            </w:r>
          </w:p>
        </w:tc>
        <w:tc>
          <w:tcPr>
            <w:tcW w:w="1036" w:type="pct"/>
            <w:shd w:val="clear" w:color="auto" w:fill="FFFFFF" w:themeFill="background1"/>
            <w:tcMar>
              <w:top w:w="0" w:type="dxa"/>
              <w:left w:w="85" w:type="dxa"/>
              <w:bottom w:w="0" w:type="dxa"/>
              <w:right w:w="85" w:type="dxa"/>
            </w:tcMar>
          </w:tcPr>
          <w:p w14:paraId="24466D5E" w14:textId="77777777" w:rsidR="00CF3E30" w:rsidRPr="00C74702" w:rsidRDefault="00CF3E30" w:rsidP="00F16E23">
            <w:pPr>
              <w:pStyle w:val="TableText"/>
              <w:spacing w:before="40" w:after="40"/>
              <w:rPr>
                <w:rFonts w:eastAsia="Calibri"/>
                <w:szCs w:val="16"/>
              </w:rPr>
            </w:pPr>
          </w:p>
        </w:tc>
      </w:tr>
      <w:tr w:rsidR="00CF3E30" w:rsidRPr="00C74702" w14:paraId="0123A6E7" w14:textId="77777777" w:rsidTr="00F16E23">
        <w:tc>
          <w:tcPr>
            <w:tcW w:w="356" w:type="pct"/>
            <w:shd w:val="clear" w:color="auto" w:fill="FFFFFF" w:themeFill="background1"/>
            <w:tcMar>
              <w:left w:w="85" w:type="dxa"/>
              <w:right w:w="85" w:type="dxa"/>
            </w:tcMar>
          </w:tcPr>
          <w:p w14:paraId="3FF25251"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IPPU</w:t>
            </w:r>
          </w:p>
        </w:tc>
        <w:tc>
          <w:tcPr>
            <w:tcW w:w="203" w:type="pct"/>
            <w:shd w:val="clear" w:color="auto" w:fill="FFFFFF" w:themeFill="background1"/>
            <w:tcMar>
              <w:top w:w="0" w:type="dxa"/>
              <w:left w:w="85" w:type="dxa"/>
              <w:bottom w:w="0" w:type="dxa"/>
              <w:right w:w="85" w:type="dxa"/>
            </w:tcMar>
          </w:tcPr>
          <w:p w14:paraId="4E4CC970" w14:textId="77777777" w:rsidR="00CF3E30" w:rsidRPr="00C74702" w:rsidRDefault="00CF3E30" w:rsidP="00F16E23">
            <w:pPr>
              <w:pStyle w:val="TableText"/>
              <w:spacing w:before="40" w:after="40"/>
              <w:rPr>
                <w:rFonts w:eastAsia="Calibri"/>
                <w:szCs w:val="16"/>
              </w:rPr>
            </w:pPr>
            <w:r w:rsidRPr="00C74702">
              <w:rPr>
                <w:rFonts w:eastAsia="Calibri"/>
                <w:szCs w:val="16"/>
              </w:rPr>
              <w:t>4.I.1</w:t>
            </w:r>
          </w:p>
        </w:tc>
        <w:tc>
          <w:tcPr>
            <w:tcW w:w="1372" w:type="pct"/>
            <w:shd w:val="clear" w:color="auto" w:fill="FFFFFF" w:themeFill="background1"/>
            <w:tcMar>
              <w:top w:w="0" w:type="dxa"/>
              <w:left w:w="85" w:type="dxa"/>
              <w:bottom w:w="0" w:type="dxa"/>
              <w:right w:w="85" w:type="dxa"/>
            </w:tcMar>
          </w:tcPr>
          <w:p w14:paraId="72D8A99F"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29 of the MPGs</w:t>
            </w:r>
          </w:p>
          <w:p w14:paraId="7CF03417" w14:textId="77777777" w:rsidR="00CF3E30" w:rsidRPr="00C74702" w:rsidRDefault="00CF3E30" w:rsidP="00F16E23">
            <w:pPr>
              <w:pStyle w:val="TableText"/>
              <w:spacing w:before="40" w:after="40"/>
              <w:rPr>
                <w:rFonts w:eastAsia="Calibri"/>
                <w:szCs w:val="16"/>
              </w:rPr>
            </w:pPr>
            <w:r w:rsidRPr="00C74702">
              <w:rPr>
                <w:rFonts w:eastAsia="Calibri"/>
                <w:szCs w:val="16"/>
              </w:rPr>
              <w:t>2. General (industrial processes and product use) – HFCs</w:t>
            </w:r>
            <w:r w:rsidRPr="00C74702" w:rsidDel="003160D2">
              <w:rPr>
                <w:rFonts w:eastAsia="Calibri"/>
                <w:szCs w:val="16"/>
              </w:rPr>
              <w:t xml:space="preserve"> </w:t>
            </w:r>
          </w:p>
        </w:tc>
        <w:tc>
          <w:tcPr>
            <w:tcW w:w="2033" w:type="pct"/>
            <w:shd w:val="clear" w:color="auto" w:fill="FFFFFF" w:themeFill="background1"/>
            <w:tcMar>
              <w:top w:w="0" w:type="dxa"/>
              <w:left w:w="85" w:type="dxa"/>
              <w:bottom w:w="0" w:type="dxa"/>
              <w:right w:w="85" w:type="dxa"/>
            </w:tcMar>
          </w:tcPr>
          <w:p w14:paraId="260B55F6"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report the qualitative information, such as that provided during the review, to explain the respective uncertainties reported for subcategories 2.F.2 foam-blowing agents, 2.F.3 fire protection and 2.F.4 aerosols in the NID.</w:t>
            </w:r>
          </w:p>
        </w:tc>
        <w:tc>
          <w:tcPr>
            <w:tcW w:w="1036" w:type="pct"/>
            <w:shd w:val="clear" w:color="auto" w:fill="FFFFFF" w:themeFill="background1"/>
            <w:tcMar>
              <w:top w:w="0" w:type="dxa"/>
              <w:left w:w="85" w:type="dxa"/>
              <w:bottom w:w="0" w:type="dxa"/>
              <w:right w:w="85" w:type="dxa"/>
            </w:tcMar>
          </w:tcPr>
          <w:p w14:paraId="1BED7EBC" w14:textId="77777777" w:rsidR="00CF3E30" w:rsidRPr="00C74702" w:rsidRDefault="00CF3E30" w:rsidP="00F16E23">
            <w:pPr>
              <w:pStyle w:val="TableText"/>
              <w:spacing w:before="40" w:after="40"/>
              <w:rPr>
                <w:rFonts w:eastAsia="Calibri"/>
                <w:szCs w:val="16"/>
              </w:rPr>
            </w:pPr>
          </w:p>
        </w:tc>
      </w:tr>
      <w:tr w:rsidR="00CF3E30" w:rsidRPr="00C74702" w14:paraId="671679B1" w14:textId="77777777" w:rsidTr="00F16E23">
        <w:tc>
          <w:tcPr>
            <w:tcW w:w="356" w:type="pct"/>
            <w:shd w:val="clear" w:color="auto" w:fill="FFFFFF" w:themeFill="background1"/>
            <w:tcMar>
              <w:left w:w="85" w:type="dxa"/>
              <w:right w:w="85" w:type="dxa"/>
            </w:tcMar>
          </w:tcPr>
          <w:p w14:paraId="4FC68CA9"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0F0F17B3" w14:textId="77777777" w:rsidR="00CF3E30" w:rsidRPr="00C74702" w:rsidRDefault="00CF3E30" w:rsidP="00F16E23">
            <w:pPr>
              <w:pStyle w:val="TableText"/>
              <w:spacing w:before="40" w:after="40"/>
              <w:rPr>
                <w:rFonts w:eastAsia="Calibri"/>
                <w:szCs w:val="16"/>
              </w:rPr>
            </w:pPr>
            <w:r w:rsidRPr="00C74702">
              <w:rPr>
                <w:rFonts w:eastAsia="Calibri"/>
                <w:szCs w:val="16"/>
              </w:rPr>
              <w:t>4.I.2</w:t>
            </w:r>
          </w:p>
        </w:tc>
        <w:tc>
          <w:tcPr>
            <w:tcW w:w="1372" w:type="pct"/>
            <w:shd w:val="clear" w:color="auto" w:fill="FFFFFF" w:themeFill="background1"/>
            <w:tcMar>
              <w:top w:w="0" w:type="dxa"/>
              <w:left w:w="85" w:type="dxa"/>
              <w:bottom w:w="0" w:type="dxa"/>
              <w:right w:w="85" w:type="dxa"/>
            </w:tcMar>
          </w:tcPr>
          <w:p w14:paraId="510CE6F9"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40 of the MPGs</w:t>
            </w:r>
          </w:p>
          <w:p w14:paraId="7705BA17" w14:textId="77777777" w:rsidR="00CF3E30" w:rsidRPr="00C74702" w:rsidRDefault="00CF3E30" w:rsidP="00F16E23">
            <w:pPr>
              <w:pStyle w:val="TableText"/>
              <w:spacing w:before="40" w:after="40"/>
              <w:rPr>
                <w:rFonts w:eastAsia="Calibri"/>
                <w:szCs w:val="16"/>
              </w:rPr>
            </w:pPr>
            <w:r w:rsidRPr="00C74702">
              <w:rPr>
                <w:rFonts w:eastAsia="Calibri"/>
                <w:szCs w:val="16"/>
              </w:rPr>
              <w:t>2.B.9 Fluorochemical production – HFCs, PFCs, SF</w:t>
            </w:r>
            <w:r w:rsidRPr="00C74702">
              <w:rPr>
                <w:rFonts w:eastAsia="Calibri"/>
                <w:szCs w:val="16"/>
                <w:vertAlign w:val="subscript"/>
              </w:rPr>
              <w:t>6</w:t>
            </w:r>
            <w:r w:rsidRPr="00C74702">
              <w:rPr>
                <w:rFonts w:eastAsia="Calibri"/>
                <w:szCs w:val="16"/>
              </w:rPr>
              <w:t xml:space="preserve"> and NF</w:t>
            </w:r>
            <w:r w:rsidRPr="00C74702">
              <w:rPr>
                <w:rFonts w:eastAsia="Calibri"/>
                <w:szCs w:val="16"/>
                <w:vertAlign w:val="subscript"/>
              </w:rPr>
              <w:t>3</w:t>
            </w:r>
          </w:p>
        </w:tc>
        <w:tc>
          <w:tcPr>
            <w:tcW w:w="2033" w:type="pct"/>
            <w:shd w:val="clear" w:color="auto" w:fill="FFFFFF" w:themeFill="background1"/>
            <w:tcMar>
              <w:top w:w="0" w:type="dxa"/>
              <w:left w:w="85" w:type="dxa"/>
              <w:bottom w:w="0" w:type="dxa"/>
              <w:right w:w="85" w:type="dxa"/>
            </w:tcMar>
          </w:tcPr>
          <w:p w14:paraId="31C10A2E"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explicitly report that no fluorinated gases have been manufactured in New Zealand in the section of the NID on category 2.B chemical industry.</w:t>
            </w:r>
          </w:p>
        </w:tc>
        <w:tc>
          <w:tcPr>
            <w:tcW w:w="1036" w:type="pct"/>
            <w:shd w:val="clear" w:color="auto" w:fill="FFFFFF" w:themeFill="background1"/>
            <w:tcMar>
              <w:top w:w="0" w:type="dxa"/>
              <w:left w:w="85" w:type="dxa"/>
              <w:bottom w:w="0" w:type="dxa"/>
              <w:right w:w="85" w:type="dxa"/>
            </w:tcMar>
          </w:tcPr>
          <w:p w14:paraId="55B04A12" w14:textId="77777777" w:rsidR="00CF3E30" w:rsidRPr="00C74702" w:rsidRDefault="00CF3E30" w:rsidP="00F16E23">
            <w:pPr>
              <w:pStyle w:val="TableText"/>
              <w:spacing w:before="40" w:after="40"/>
              <w:rPr>
                <w:rFonts w:eastAsia="Calibri"/>
                <w:szCs w:val="16"/>
              </w:rPr>
            </w:pPr>
          </w:p>
        </w:tc>
      </w:tr>
      <w:tr w:rsidR="00CF3E30" w:rsidRPr="00C74702" w14:paraId="3A9629C1" w14:textId="77777777" w:rsidTr="00F16E23">
        <w:tc>
          <w:tcPr>
            <w:tcW w:w="356" w:type="pct"/>
            <w:shd w:val="clear" w:color="auto" w:fill="FFFFFF" w:themeFill="background1"/>
            <w:tcMar>
              <w:left w:w="85" w:type="dxa"/>
              <w:right w:w="85" w:type="dxa"/>
            </w:tcMar>
          </w:tcPr>
          <w:p w14:paraId="64475D61"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20D64987" w14:textId="77777777" w:rsidR="00CF3E30" w:rsidRPr="00C74702" w:rsidRDefault="00CF3E30" w:rsidP="00F16E23">
            <w:pPr>
              <w:pStyle w:val="TableText"/>
              <w:spacing w:before="40" w:after="40"/>
              <w:rPr>
                <w:rFonts w:eastAsia="Calibri"/>
                <w:szCs w:val="16"/>
              </w:rPr>
            </w:pPr>
            <w:r w:rsidRPr="00C74702">
              <w:rPr>
                <w:rFonts w:eastAsia="Calibri"/>
                <w:szCs w:val="16"/>
              </w:rPr>
              <w:t>4.I.3</w:t>
            </w:r>
          </w:p>
        </w:tc>
        <w:tc>
          <w:tcPr>
            <w:tcW w:w="1372" w:type="pct"/>
            <w:shd w:val="clear" w:color="auto" w:fill="FFFFFF" w:themeFill="background1"/>
            <w:tcMar>
              <w:top w:w="0" w:type="dxa"/>
              <w:left w:w="85" w:type="dxa"/>
              <w:bottom w:w="0" w:type="dxa"/>
              <w:right w:w="85" w:type="dxa"/>
            </w:tcMar>
          </w:tcPr>
          <w:p w14:paraId="57CF7A1C"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40 of the MPGs</w:t>
            </w:r>
          </w:p>
          <w:p w14:paraId="4D8C7B9B"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2.F.5 Solvents – HFCs and PFCs </w:t>
            </w:r>
          </w:p>
        </w:tc>
        <w:tc>
          <w:tcPr>
            <w:tcW w:w="2033" w:type="pct"/>
            <w:shd w:val="clear" w:color="auto" w:fill="FFFFFF" w:themeFill="background1"/>
            <w:tcMar>
              <w:top w:w="0" w:type="dxa"/>
              <w:left w:w="85" w:type="dxa"/>
              <w:bottom w:w="0" w:type="dxa"/>
              <w:right w:w="85" w:type="dxa"/>
            </w:tcMar>
          </w:tcPr>
          <w:p w14:paraId="216ED7AE"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transparently report that there is no use of solvents in New Zealand in the section of the NID on category 2.F product uses as substitutes for ODS.</w:t>
            </w:r>
          </w:p>
        </w:tc>
        <w:tc>
          <w:tcPr>
            <w:tcW w:w="1036" w:type="pct"/>
            <w:shd w:val="clear" w:color="auto" w:fill="FFFFFF" w:themeFill="background1"/>
            <w:tcMar>
              <w:top w:w="0" w:type="dxa"/>
              <w:left w:w="85" w:type="dxa"/>
              <w:bottom w:w="0" w:type="dxa"/>
              <w:right w:w="85" w:type="dxa"/>
            </w:tcMar>
          </w:tcPr>
          <w:p w14:paraId="3454F70B" w14:textId="77777777" w:rsidR="00CF3E30" w:rsidRPr="00C74702" w:rsidRDefault="00CF3E30" w:rsidP="00F16E23">
            <w:pPr>
              <w:pStyle w:val="TableText"/>
              <w:spacing w:before="40" w:after="40"/>
              <w:rPr>
                <w:rFonts w:eastAsia="Calibri"/>
                <w:szCs w:val="16"/>
              </w:rPr>
            </w:pPr>
          </w:p>
        </w:tc>
      </w:tr>
      <w:tr w:rsidR="00CF3E30" w:rsidRPr="00C74702" w14:paraId="49BB7262" w14:textId="77777777" w:rsidTr="00F16E23">
        <w:tc>
          <w:tcPr>
            <w:tcW w:w="356" w:type="pct"/>
            <w:shd w:val="clear" w:color="auto" w:fill="FFFFFF" w:themeFill="background1"/>
            <w:tcMar>
              <w:left w:w="85" w:type="dxa"/>
              <w:right w:w="85" w:type="dxa"/>
            </w:tcMar>
          </w:tcPr>
          <w:p w14:paraId="2DCC92E7"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Agriculture</w:t>
            </w:r>
          </w:p>
        </w:tc>
        <w:tc>
          <w:tcPr>
            <w:tcW w:w="203" w:type="pct"/>
            <w:shd w:val="clear" w:color="auto" w:fill="FFFFFF" w:themeFill="background1"/>
            <w:tcMar>
              <w:top w:w="0" w:type="dxa"/>
              <w:left w:w="85" w:type="dxa"/>
              <w:bottom w:w="0" w:type="dxa"/>
              <w:right w:w="85" w:type="dxa"/>
            </w:tcMar>
          </w:tcPr>
          <w:p w14:paraId="1C2C6DD4" w14:textId="77777777" w:rsidR="00CF3E30" w:rsidRPr="00C74702" w:rsidRDefault="00CF3E30" w:rsidP="00F16E23">
            <w:pPr>
              <w:pStyle w:val="TableText"/>
              <w:spacing w:before="40" w:after="40"/>
              <w:rPr>
                <w:rFonts w:eastAsia="Calibri"/>
                <w:szCs w:val="16"/>
              </w:rPr>
            </w:pPr>
            <w:r w:rsidRPr="00C74702">
              <w:rPr>
                <w:rFonts w:eastAsia="Calibri"/>
                <w:szCs w:val="16"/>
              </w:rPr>
              <w:t>5.A.1</w:t>
            </w:r>
          </w:p>
        </w:tc>
        <w:tc>
          <w:tcPr>
            <w:tcW w:w="1372" w:type="pct"/>
            <w:shd w:val="clear" w:color="auto" w:fill="FFFFFF" w:themeFill="background1"/>
            <w:tcMar>
              <w:top w:w="0" w:type="dxa"/>
              <w:left w:w="85" w:type="dxa"/>
              <w:bottom w:w="0" w:type="dxa"/>
              <w:right w:w="85" w:type="dxa"/>
            </w:tcMar>
          </w:tcPr>
          <w:p w14:paraId="6F7E238C"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21 and 39 of the MPGs</w:t>
            </w:r>
          </w:p>
          <w:p w14:paraId="5526A147" w14:textId="77777777" w:rsidR="00CF3E30" w:rsidRPr="00C74702" w:rsidRDefault="00CF3E30" w:rsidP="00F16E23">
            <w:pPr>
              <w:pStyle w:val="TableText"/>
              <w:spacing w:before="40" w:after="40"/>
              <w:rPr>
                <w:rFonts w:eastAsia="Calibri"/>
                <w:szCs w:val="16"/>
              </w:rPr>
            </w:pPr>
            <w:r w:rsidRPr="00C74702">
              <w:rPr>
                <w:rFonts w:eastAsia="Calibri"/>
                <w:szCs w:val="16"/>
              </w:rPr>
              <w:t>3.A.1 Cattle – CH</w:t>
            </w:r>
            <w:r w:rsidRPr="00C74702">
              <w:rPr>
                <w:rFonts w:eastAsia="Calibri"/>
                <w:szCs w:val="16"/>
                <w:vertAlign w:val="subscript"/>
              </w:rPr>
              <w:t>4</w:t>
            </w:r>
          </w:p>
        </w:tc>
        <w:tc>
          <w:tcPr>
            <w:tcW w:w="2033" w:type="pct"/>
            <w:shd w:val="clear" w:color="auto" w:fill="FFFFFF" w:themeFill="background1"/>
            <w:tcMar>
              <w:top w:w="0" w:type="dxa"/>
              <w:left w:w="85" w:type="dxa"/>
              <w:bottom w:w="0" w:type="dxa"/>
              <w:right w:w="85" w:type="dxa"/>
            </w:tcMar>
          </w:tcPr>
          <w:p w14:paraId="4605FE87"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review the relevance and representativeness of the assumed milk yield and lactation length parameters for breeding beef cows and heifers, and update the parameters as necessary</w:t>
            </w:r>
            <w:r w:rsidRPr="00C74702" w:rsidDel="007B1C39">
              <w:rPr>
                <w:rFonts w:eastAsia="Calibri"/>
                <w:szCs w:val="16"/>
              </w:rPr>
              <w:t xml:space="preserve"> </w:t>
            </w:r>
            <w:r w:rsidRPr="00C74702">
              <w:rPr>
                <w:rFonts w:eastAsia="Calibri"/>
                <w:szCs w:val="16"/>
              </w:rPr>
              <w:t>using national data or other sources (e.g. literature, expert judgment or regional values) as relevant. The TERT also recommends that the Party clearly document in the NID the rationale for selecting the milk yield and lactation length parameters for breeding beef cows, in accordance with the 2006 IPCC Guidelines (vol. 4, chap. 10), and include descriptions and assumptions, as well as references for sources of information used, related to methodology.</w:t>
            </w:r>
          </w:p>
        </w:tc>
        <w:tc>
          <w:tcPr>
            <w:tcW w:w="1036" w:type="pct"/>
            <w:shd w:val="clear" w:color="auto" w:fill="FFFFFF" w:themeFill="background1"/>
            <w:tcMar>
              <w:top w:w="0" w:type="dxa"/>
              <w:left w:w="85" w:type="dxa"/>
              <w:bottom w:w="0" w:type="dxa"/>
              <w:right w:w="85" w:type="dxa"/>
            </w:tcMar>
          </w:tcPr>
          <w:p w14:paraId="6F0263CC"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Addressing. We intend to progress work on this recommendation, with the aim of including revised information and data in the 2027 inventory submission. </w:t>
            </w:r>
          </w:p>
        </w:tc>
      </w:tr>
      <w:tr w:rsidR="00CF3E30" w:rsidRPr="00C74702" w14:paraId="000A2EA8" w14:textId="77777777" w:rsidTr="00F16E23">
        <w:tc>
          <w:tcPr>
            <w:tcW w:w="356" w:type="pct"/>
            <w:shd w:val="clear" w:color="auto" w:fill="FFFFFF" w:themeFill="background1"/>
            <w:tcMar>
              <w:left w:w="85" w:type="dxa"/>
              <w:right w:w="85" w:type="dxa"/>
            </w:tcMar>
          </w:tcPr>
          <w:p w14:paraId="371FFB62"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60FBBA03" w14:textId="77777777" w:rsidR="00CF3E30" w:rsidRPr="00C74702" w:rsidRDefault="00CF3E30" w:rsidP="00F16E23">
            <w:pPr>
              <w:pStyle w:val="TableText"/>
              <w:spacing w:before="40" w:after="40"/>
              <w:rPr>
                <w:rFonts w:eastAsia="Calibri"/>
                <w:szCs w:val="16"/>
              </w:rPr>
            </w:pPr>
            <w:r w:rsidRPr="00C74702">
              <w:rPr>
                <w:rFonts w:eastAsia="Calibri"/>
                <w:szCs w:val="16"/>
              </w:rPr>
              <w:t>5.A.2</w:t>
            </w:r>
          </w:p>
        </w:tc>
        <w:tc>
          <w:tcPr>
            <w:tcW w:w="1372" w:type="pct"/>
            <w:shd w:val="clear" w:color="auto" w:fill="FFFFFF" w:themeFill="background1"/>
            <w:tcMar>
              <w:top w:w="0" w:type="dxa"/>
              <w:left w:w="85" w:type="dxa"/>
              <w:bottom w:w="0" w:type="dxa"/>
              <w:right w:w="85" w:type="dxa"/>
            </w:tcMar>
          </w:tcPr>
          <w:p w14:paraId="341BF602"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39 of the MPGs</w:t>
            </w:r>
          </w:p>
          <w:p w14:paraId="2FB97A4D"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3.B.1 Cattle – N</w:t>
            </w:r>
            <w:r w:rsidRPr="00C74702">
              <w:rPr>
                <w:rFonts w:eastAsia="Calibri"/>
                <w:szCs w:val="16"/>
                <w:vertAlign w:val="subscript"/>
              </w:rPr>
              <w:t>2</w:t>
            </w:r>
            <w:r w:rsidRPr="00C74702">
              <w:rPr>
                <w:rFonts w:eastAsia="Calibri"/>
                <w:szCs w:val="16"/>
              </w:rPr>
              <w:t>O</w:t>
            </w:r>
          </w:p>
        </w:tc>
        <w:tc>
          <w:tcPr>
            <w:tcW w:w="2033" w:type="pct"/>
            <w:shd w:val="clear" w:color="auto" w:fill="FFFFFF" w:themeFill="background1"/>
            <w:tcMar>
              <w:top w:w="0" w:type="dxa"/>
              <w:left w:w="85" w:type="dxa"/>
              <w:bottom w:w="0" w:type="dxa"/>
              <w:right w:w="85" w:type="dxa"/>
            </w:tcMar>
          </w:tcPr>
          <w:p w14:paraId="7995B210"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The TERT recommends that the Party clearly explain in the NID why the Nex values reported in the NID and CRT 3.B(b) are different; clarify in the NID and the CRT (e.g. in an explanatory note or footnote) that these representative values are not used in the emission calculations; and consider providing more detailed Nex values (by region and subcategory) in either the NID or other supporting documentation. </w:t>
            </w:r>
          </w:p>
        </w:tc>
        <w:tc>
          <w:tcPr>
            <w:tcW w:w="1036" w:type="pct"/>
            <w:shd w:val="clear" w:color="auto" w:fill="FFFFFF" w:themeFill="background1"/>
            <w:tcMar>
              <w:top w:w="0" w:type="dxa"/>
              <w:left w:w="85" w:type="dxa"/>
              <w:bottom w:w="0" w:type="dxa"/>
              <w:right w:w="85" w:type="dxa"/>
            </w:tcMar>
          </w:tcPr>
          <w:p w14:paraId="7EDD04B2" w14:textId="77777777" w:rsidR="00CF3E30" w:rsidRPr="00C74702" w:rsidRDefault="00CF3E30" w:rsidP="00F16E23">
            <w:pPr>
              <w:pStyle w:val="TableText"/>
              <w:spacing w:before="40" w:after="40"/>
              <w:rPr>
                <w:rFonts w:eastAsia="Calibri"/>
                <w:szCs w:val="16"/>
              </w:rPr>
            </w:pPr>
            <w:r w:rsidRPr="00C74702">
              <w:rPr>
                <w:rFonts w:eastAsia="Calibri"/>
                <w:szCs w:val="16"/>
              </w:rPr>
              <w:t>Resolved. More details on N</w:t>
            </w:r>
            <w:r w:rsidRPr="00C74702">
              <w:rPr>
                <w:rFonts w:eastAsia="Calibri"/>
                <w:szCs w:val="16"/>
                <w:vertAlign w:val="subscript"/>
              </w:rPr>
              <w:t>ex</w:t>
            </w:r>
            <w:r w:rsidRPr="00C74702">
              <w:rPr>
                <w:rFonts w:eastAsia="Calibri"/>
                <w:szCs w:val="16"/>
              </w:rPr>
              <w:t xml:space="preserve"> values (by region and subcategory) are provided in section 5.3 of the NID and in supporting NID documentation. </w:t>
            </w:r>
          </w:p>
        </w:tc>
      </w:tr>
      <w:tr w:rsidR="00CF3E30" w:rsidRPr="00C74702" w14:paraId="1FE7D8FD" w14:textId="77777777" w:rsidTr="00F16E23">
        <w:tc>
          <w:tcPr>
            <w:tcW w:w="356" w:type="pct"/>
            <w:shd w:val="clear" w:color="auto" w:fill="FFFFFF" w:themeFill="background1"/>
            <w:tcMar>
              <w:left w:w="85" w:type="dxa"/>
              <w:right w:w="85" w:type="dxa"/>
            </w:tcMar>
          </w:tcPr>
          <w:p w14:paraId="21AC9E9A"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764D3CEE" w14:textId="77777777" w:rsidR="00CF3E30" w:rsidRPr="00C74702" w:rsidRDefault="00CF3E30" w:rsidP="00F16E23">
            <w:pPr>
              <w:pStyle w:val="TableText"/>
              <w:spacing w:before="40" w:after="40"/>
              <w:rPr>
                <w:rFonts w:eastAsia="Calibri"/>
                <w:szCs w:val="16"/>
              </w:rPr>
            </w:pPr>
            <w:r w:rsidRPr="00C74702">
              <w:rPr>
                <w:rFonts w:eastAsia="Calibri"/>
                <w:szCs w:val="16"/>
              </w:rPr>
              <w:t>5.A.3</w:t>
            </w:r>
          </w:p>
        </w:tc>
        <w:tc>
          <w:tcPr>
            <w:tcW w:w="1372" w:type="pct"/>
            <w:shd w:val="clear" w:color="auto" w:fill="FFFFFF" w:themeFill="background1"/>
            <w:tcMar>
              <w:top w:w="0" w:type="dxa"/>
              <w:left w:w="85" w:type="dxa"/>
              <w:bottom w:w="0" w:type="dxa"/>
              <w:right w:w="85" w:type="dxa"/>
            </w:tcMar>
          </w:tcPr>
          <w:p w14:paraId="0C276CC7"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39 of the MPGs</w:t>
            </w:r>
          </w:p>
          <w:p w14:paraId="5F84BA93" w14:textId="77777777" w:rsidR="00CF3E30" w:rsidRPr="00C74702" w:rsidRDefault="00CF3E30" w:rsidP="00F16E23">
            <w:pPr>
              <w:pStyle w:val="TableText"/>
              <w:spacing w:before="40" w:after="40"/>
              <w:rPr>
                <w:rFonts w:eastAsia="Calibri"/>
                <w:szCs w:val="16"/>
              </w:rPr>
            </w:pPr>
            <w:r w:rsidRPr="00C74702">
              <w:rPr>
                <w:rFonts w:eastAsia="Calibri"/>
                <w:szCs w:val="16"/>
              </w:rPr>
              <w:t>3.B.5 Indirect N</w:t>
            </w:r>
            <w:r w:rsidRPr="00C74702">
              <w:rPr>
                <w:rFonts w:eastAsia="Calibri"/>
                <w:szCs w:val="16"/>
                <w:vertAlign w:val="subscript"/>
              </w:rPr>
              <w:t>2</w:t>
            </w:r>
            <w:r w:rsidRPr="00C74702">
              <w:rPr>
                <w:rFonts w:eastAsia="Calibri"/>
                <w:szCs w:val="16"/>
              </w:rPr>
              <w:t>O emissions –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01F680A8"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clarify in the NID and CRT 3.D that subcategory 3.D.2.b indirect N</w:t>
            </w:r>
            <w:r w:rsidRPr="00C74702">
              <w:rPr>
                <w:rFonts w:eastAsia="Calibri"/>
                <w:szCs w:val="16"/>
                <w:vertAlign w:val="subscript"/>
              </w:rPr>
              <w:t>2</w:t>
            </w:r>
            <w:r w:rsidRPr="00C74702">
              <w:rPr>
                <w:rFonts w:eastAsia="Calibri"/>
                <w:szCs w:val="16"/>
              </w:rPr>
              <w:t>O emissions from managed soils (N leaching and run</w:t>
            </w:r>
            <w:r w:rsidRPr="00C74702">
              <w:rPr>
                <w:rFonts w:eastAsia="Calibri"/>
                <w:szCs w:val="16"/>
              </w:rPr>
              <w:noBreakHyphen/>
              <w:t>off) does not include indirect N</w:t>
            </w:r>
            <w:r w:rsidRPr="00C74702">
              <w:rPr>
                <w:rFonts w:eastAsia="Calibri"/>
                <w:szCs w:val="16"/>
                <w:vertAlign w:val="subscript"/>
              </w:rPr>
              <w:t>2</w:t>
            </w:r>
            <w:r w:rsidRPr="00C74702">
              <w:rPr>
                <w:rFonts w:eastAsia="Calibri"/>
                <w:szCs w:val="16"/>
              </w:rPr>
              <w:t xml:space="preserve">O emissions from actively managed manure systems. </w:t>
            </w:r>
          </w:p>
        </w:tc>
        <w:tc>
          <w:tcPr>
            <w:tcW w:w="1036" w:type="pct"/>
            <w:shd w:val="clear" w:color="auto" w:fill="FFFFFF" w:themeFill="background1"/>
            <w:tcMar>
              <w:top w:w="0" w:type="dxa"/>
              <w:left w:w="85" w:type="dxa"/>
              <w:bottom w:w="0" w:type="dxa"/>
              <w:right w:w="85" w:type="dxa"/>
            </w:tcMar>
          </w:tcPr>
          <w:p w14:paraId="68B26C0B" w14:textId="77777777" w:rsidR="00CF3E30" w:rsidRPr="00C74702" w:rsidRDefault="00CF3E30" w:rsidP="00F16E23">
            <w:pPr>
              <w:pStyle w:val="TableText"/>
              <w:spacing w:before="40" w:after="40"/>
              <w:rPr>
                <w:rFonts w:eastAsia="Calibri"/>
                <w:szCs w:val="16"/>
              </w:rPr>
            </w:pPr>
            <w:r w:rsidRPr="00C74702">
              <w:rPr>
                <w:rFonts w:eastAsia="Calibri"/>
                <w:szCs w:val="16"/>
              </w:rPr>
              <w:t>Resolved. Information provided in section 5.5 of the NID, and CRT 3.D subcategory 3.D.2.b indirect N</w:t>
            </w:r>
            <w:r w:rsidRPr="00C74702">
              <w:rPr>
                <w:rFonts w:eastAsia="Calibri"/>
                <w:szCs w:val="16"/>
                <w:vertAlign w:val="subscript"/>
              </w:rPr>
              <w:t>2</w:t>
            </w:r>
            <w:r w:rsidRPr="00C74702">
              <w:rPr>
                <w:rFonts w:eastAsia="Calibri"/>
                <w:szCs w:val="16"/>
              </w:rPr>
              <w:t>O from managed soils (N leaching and run-off) has been updated to clarify these emissions do not include indirect emissions from actively managed manure systems.</w:t>
            </w:r>
          </w:p>
        </w:tc>
      </w:tr>
      <w:tr w:rsidR="00CF3E30" w:rsidRPr="00C74702" w14:paraId="549DD277" w14:textId="77777777" w:rsidTr="00F16E23">
        <w:tc>
          <w:tcPr>
            <w:tcW w:w="356" w:type="pct"/>
            <w:shd w:val="clear" w:color="auto" w:fill="FFFFFF" w:themeFill="background1"/>
            <w:tcMar>
              <w:left w:w="85" w:type="dxa"/>
              <w:right w:w="85" w:type="dxa"/>
            </w:tcMar>
          </w:tcPr>
          <w:p w14:paraId="1C7C171D"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5F8F65A9" w14:textId="77777777" w:rsidR="00CF3E30" w:rsidRPr="00C74702" w:rsidRDefault="00CF3E30" w:rsidP="00F16E23">
            <w:pPr>
              <w:pStyle w:val="TableText"/>
              <w:spacing w:before="40" w:after="40"/>
              <w:rPr>
                <w:rFonts w:eastAsia="Calibri"/>
                <w:szCs w:val="16"/>
              </w:rPr>
            </w:pPr>
            <w:r w:rsidRPr="00C74702">
              <w:rPr>
                <w:rFonts w:eastAsia="Calibri"/>
                <w:szCs w:val="16"/>
              </w:rPr>
              <w:t>5.A.4</w:t>
            </w:r>
          </w:p>
        </w:tc>
        <w:tc>
          <w:tcPr>
            <w:tcW w:w="1372" w:type="pct"/>
            <w:shd w:val="clear" w:color="auto" w:fill="FFFFFF" w:themeFill="background1"/>
            <w:tcMar>
              <w:top w:w="0" w:type="dxa"/>
              <w:left w:w="85" w:type="dxa"/>
              <w:bottom w:w="0" w:type="dxa"/>
              <w:right w:w="85" w:type="dxa"/>
            </w:tcMar>
          </w:tcPr>
          <w:p w14:paraId="1B3BF218"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22 and 39 of the MPGs</w:t>
            </w:r>
          </w:p>
          <w:p w14:paraId="65C33332" w14:textId="77777777" w:rsidR="00CF3E30" w:rsidRPr="00C74702" w:rsidRDefault="00CF3E30" w:rsidP="00F16E23">
            <w:pPr>
              <w:pStyle w:val="TableText"/>
              <w:spacing w:before="40" w:after="40"/>
              <w:rPr>
                <w:szCs w:val="16"/>
              </w:rPr>
            </w:pPr>
            <w:r w:rsidRPr="00C74702">
              <w:rPr>
                <w:rFonts w:eastAsia="Calibri"/>
                <w:szCs w:val="16"/>
              </w:rPr>
              <w:t>3.D.2.a Atmospheric deposition – N</w:t>
            </w:r>
            <w:r w:rsidRPr="00C74702">
              <w:rPr>
                <w:rFonts w:eastAsia="Calibri"/>
                <w:szCs w:val="16"/>
                <w:vertAlign w:val="subscript"/>
              </w:rPr>
              <w:t>2</w:t>
            </w:r>
            <w:r w:rsidRPr="00C74702">
              <w:rPr>
                <w:rFonts w:eastAsia="Calibri"/>
                <w:szCs w:val="16"/>
              </w:rPr>
              <w:t>O</w:t>
            </w:r>
          </w:p>
        </w:tc>
        <w:tc>
          <w:tcPr>
            <w:tcW w:w="2033" w:type="pct"/>
            <w:shd w:val="clear" w:color="auto" w:fill="FFFFFF" w:themeFill="background1"/>
            <w:tcMar>
              <w:top w:w="0" w:type="dxa"/>
              <w:left w:w="85" w:type="dxa"/>
              <w:bottom w:w="0" w:type="dxa"/>
              <w:right w:w="85" w:type="dxa"/>
            </w:tcMar>
          </w:tcPr>
          <w:p w14:paraId="0C8FF303" w14:textId="77777777" w:rsidR="00CF3E30" w:rsidRPr="00C74702" w:rsidRDefault="00CF3E30" w:rsidP="00F16E23">
            <w:pPr>
              <w:pStyle w:val="TableText"/>
              <w:spacing w:before="40" w:after="40"/>
              <w:rPr>
                <w:szCs w:val="16"/>
              </w:rPr>
            </w:pPr>
            <w:r w:rsidRPr="00C74702">
              <w:rPr>
                <w:rFonts w:eastAsia="Calibri"/>
                <w:szCs w:val="16"/>
              </w:rPr>
              <w:t>The TERT recommends that the Party provide transparent information in the NID on how mitigation technologies, such as urease inhibitors, are incorporated into the estimates reported in the CRT for subcategory 3.D.2.a indirect N</w:t>
            </w:r>
            <w:r w:rsidRPr="00C74702">
              <w:rPr>
                <w:rFonts w:eastAsia="Calibri"/>
                <w:szCs w:val="16"/>
                <w:vertAlign w:val="subscript"/>
              </w:rPr>
              <w:t>2</w:t>
            </w:r>
            <w:r w:rsidRPr="00C74702">
              <w:rPr>
                <w:rFonts w:eastAsia="Calibri"/>
                <w:szCs w:val="16"/>
              </w:rPr>
              <w:t>O emissions from managed soils – atmospheric deposition.</w:t>
            </w:r>
          </w:p>
        </w:tc>
        <w:tc>
          <w:tcPr>
            <w:tcW w:w="1036" w:type="pct"/>
            <w:shd w:val="clear" w:color="auto" w:fill="FFFFFF" w:themeFill="background1"/>
            <w:tcMar>
              <w:top w:w="0" w:type="dxa"/>
              <w:left w:w="85" w:type="dxa"/>
              <w:bottom w:w="0" w:type="dxa"/>
              <w:right w:w="85" w:type="dxa"/>
            </w:tcMar>
          </w:tcPr>
          <w:p w14:paraId="096A7882" w14:textId="77777777" w:rsidR="00CF3E30" w:rsidRPr="00C74702" w:rsidRDefault="00CF3E30" w:rsidP="00F16E23">
            <w:pPr>
              <w:pStyle w:val="TableText"/>
              <w:spacing w:before="40" w:after="40"/>
              <w:rPr>
                <w:szCs w:val="16"/>
              </w:rPr>
            </w:pPr>
            <w:r w:rsidRPr="00C74702">
              <w:rPr>
                <w:szCs w:val="16"/>
              </w:rPr>
              <w:t>Resolved. The text in section 5.2.2 has been revised to increase transparency.</w:t>
            </w:r>
          </w:p>
        </w:tc>
      </w:tr>
      <w:tr w:rsidR="00CF3E30" w:rsidRPr="00C74702" w14:paraId="31D0131A" w14:textId="77777777" w:rsidTr="00F16E23">
        <w:tc>
          <w:tcPr>
            <w:tcW w:w="356" w:type="pct"/>
            <w:shd w:val="clear" w:color="auto" w:fill="FFFFFF" w:themeFill="background1"/>
            <w:tcMar>
              <w:left w:w="85" w:type="dxa"/>
              <w:right w:w="85" w:type="dxa"/>
            </w:tcMar>
          </w:tcPr>
          <w:p w14:paraId="45A004C2" w14:textId="77777777" w:rsidR="00CF3E30" w:rsidRPr="00C74702" w:rsidRDefault="00CF3E30" w:rsidP="00F16E23">
            <w:pPr>
              <w:pStyle w:val="TableText"/>
              <w:keepNext/>
              <w:spacing w:before="40" w:after="40"/>
              <w:rPr>
                <w:rFonts w:eastAsia="Calibri"/>
                <w:color w:val="000000"/>
                <w:szCs w:val="16"/>
              </w:rPr>
            </w:pPr>
            <w:r w:rsidRPr="00C74702">
              <w:rPr>
                <w:rFonts w:eastAsia="Calibri"/>
                <w:szCs w:val="16"/>
              </w:rPr>
              <w:t>LULUCF</w:t>
            </w:r>
          </w:p>
        </w:tc>
        <w:tc>
          <w:tcPr>
            <w:tcW w:w="203" w:type="pct"/>
            <w:shd w:val="clear" w:color="auto" w:fill="FFFFFF" w:themeFill="background1"/>
            <w:tcMar>
              <w:top w:w="0" w:type="dxa"/>
              <w:left w:w="85" w:type="dxa"/>
              <w:bottom w:w="0" w:type="dxa"/>
              <w:right w:w="85" w:type="dxa"/>
            </w:tcMar>
          </w:tcPr>
          <w:p w14:paraId="26E3650A"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1</w:t>
            </w:r>
          </w:p>
        </w:tc>
        <w:tc>
          <w:tcPr>
            <w:tcW w:w="1372" w:type="pct"/>
            <w:shd w:val="clear" w:color="auto" w:fill="FFFFFF" w:themeFill="background1"/>
            <w:tcMar>
              <w:top w:w="0" w:type="dxa"/>
              <w:left w:w="85" w:type="dxa"/>
              <w:bottom w:w="0" w:type="dxa"/>
              <w:right w:w="85" w:type="dxa"/>
            </w:tcMar>
          </w:tcPr>
          <w:p w14:paraId="7CA7ECF2"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 xml:space="preserve">Specified in paragraphs 21, 35 and 39 of the MPGs </w:t>
            </w:r>
          </w:p>
          <w:p w14:paraId="513A0895" w14:textId="77777777" w:rsidR="00CF3E30" w:rsidRPr="00C74702" w:rsidRDefault="00CF3E30" w:rsidP="00F16E23">
            <w:pPr>
              <w:pStyle w:val="TableText"/>
              <w:spacing w:before="40" w:after="40"/>
              <w:rPr>
                <w:rFonts w:eastAsia="Calibri"/>
                <w:szCs w:val="16"/>
              </w:rPr>
            </w:pPr>
            <w:r w:rsidRPr="00C74702">
              <w:rPr>
                <w:rFonts w:eastAsia="Calibri"/>
                <w:szCs w:val="16"/>
              </w:rPr>
              <w:t>4. General (LULUCF) – all carbon pools – CO</w:t>
            </w:r>
            <w:r w:rsidRPr="00C74702">
              <w:rPr>
                <w:rFonts w:eastAsia="Calibri"/>
                <w:szCs w:val="16"/>
                <w:vertAlign w:val="subscript"/>
              </w:rPr>
              <w:t>2</w:t>
            </w:r>
            <w:r w:rsidRPr="00C74702">
              <w:rPr>
                <w:rFonts w:eastAsia="Calibri"/>
                <w:szCs w:val="16"/>
              </w:rPr>
              <w:t>,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O</w:t>
            </w:r>
            <w:r w:rsidRPr="00C74702" w:rsidDel="003160D2">
              <w:rPr>
                <w:rFonts w:eastAsia="Calibri"/>
                <w:szCs w:val="16"/>
              </w:rPr>
              <w:t xml:space="preserve"> </w:t>
            </w:r>
          </w:p>
        </w:tc>
        <w:tc>
          <w:tcPr>
            <w:tcW w:w="2033" w:type="pct"/>
            <w:shd w:val="clear" w:color="auto" w:fill="FFFFFF" w:themeFill="background1"/>
            <w:tcMar>
              <w:top w:w="0" w:type="dxa"/>
              <w:left w:w="85" w:type="dxa"/>
              <w:bottom w:w="0" w:type="dxa"/>
              <w:right w:w="85" w:type="dxa"/>
            </w:tcMar>
          </w:tcPr>
          <w:p w14:paraId="3A6821F5"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assess the accuracy of all the land-use maps used for generating AD on land use and land-use change (e.g. the 2016 and 2020 maps), and that it use the results of these assessments to correct any biases in land classification. The TERT also recommends that the Party include transparent information in the NID on all such accuracy assessments of land-use maps. The TERT</w:t>
            </w:r>
            <w:r w:rsidRPr="00C74702" w:rsidDel="00160435">
              <w:rPr>
                <w:rFonts w:eastAsia="Calibri"/>
                <w:szCs w:val="16"/>
              </w:rPr>
              <w:t xml:space="preserve"> </w:t>
            </w:r>
            <w:r w:rsidRPr="00C74702">
              <w:rPr>
                <w:rFonts w:eastAsia="Calibri"/>
                <w:szCs w:val="16"/>
              </w:rPr>
              <w:t>encourages the Party to include such assessments in the sector-specific quality control procedures.</w:t>
            </w:r>
          </w:p>
        </w:tc>
        <w:tc>
          <w:tcPr>
            <w:tcW w:w="1036" w:type="pct"/>
            <w:shd w:val="clear" w:color="auto" w:fill="FFFFFF" w:themeFill="background1"/>
            <w:tcMar>
              <w:top w:w="0" w:type="dxa"/>
              <w:left w:w="85" w:type="dxa"/>
              <w:bottom w:w="0" w:type="dxa"/>
              <w:right w:w="85" w:type="dxa"/>
            </w:tcMar>
          </w:tcPr>
          <w:p w14:paraId="47EB8813" w14:textId="77777777" w:rsidR="00CF3E30" w:rsidRPr="00C74702" w:rsidRDefault="00CF3E30" w:rsidP="00F16E23">
            <w:pPr>
              <w:pStyle w:val="TableText"/>
              <w:spacing w:before="40" w:after="40"/>
              <w:rPr>
                <w:rFonts w:eastAsia="Calibri"/>
                <w:szCs w:val="16"/>
              </w:rPr>
            </w:pPr>
            <w:r w:rsidRPr="00C74702">
              <w:rPr>
                <w:rFonts w:eastAsia="Calibri"/>
                <w:szCs w:val="16"/>
              </w:rPr>
              <w:t>Addressing. The Party will complete an accuracy assessment on the 2016 and 2020 land use maps during 2026.</w:t>
            </w:r>
          </w:p>
        </w:tc>
      </w:tr>
      <w:tr w:rsidR="00CF3E30" w:rsidRPr="00C74702" w14:paraId="49B2BAF5" w14:textId="77777777" w:rsidTr="00F16E23">
        <w:tc>
          <w:tcPr>
            <w:tcW w:w="356" w:type="pct"/>
            <w:shd w:val="clear" w:color="auto" w:fill="FFFFFF" w:themeFill="background1"/>
            <w:tcMar>
              <w:left w:w="85" w:type="dxa"/>
              <w:right w:w="85" w:type="dxa"/>
            </w:tcMar>
          </w:tcPr>
          <w:p w14:paraId="167989E4"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4FABA135"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2</w:t>
            </w:r>
          </w:p>
        </w:tc>
        <w:tc>
          <w:tcPr>
            <w:tcW w:w="1372" w:type="pct"/>
            <w:shd w:val="clear" w:color="auto" w:fill="FFFFFF" w:themeFill="background1"/>
            <w:tcMar>
              <w:top w:w="0" w:type="dxa"/>
              <w:left w:w="85" w:type="dxa"/>
              <w:bottom w:w="0" w:type="dxa"/>
              <w:right w:w="85" w:type="dxa"/>
            </w:tcMar>
          </w:tcPr>
          <w:p w14:paraId="06543CA2"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35 and 39 of the MPGs</w:t>
            </w:r>
          </w:p>
          <w:p w14:paraId="68A6C62D" w14:textId="77777777" w:rsidR="00CF3E30" w:rsidRPr="00C74702" w:rsidRDefault="00CF3E30" w:rsidP="00F16E23">
            <w:pPr>
              <w:pStyle w:val="TableText"/>
              <w:spacing w:before="40" w:after="40"/>
              <w:rPr>
                <w:rFonts w:eastAsia="Calibri"/>
                <w:szCs w:val="16"/>
              </w:rPr>
            </w:pPr>
            <w:r w:rsidRPr="00C74702">
              <w:rPr>
                <w:rFonts w:eastAsia="Calibri"/>
                <w:szCs w:val="16"/>
              </w:rPr>
              <w:t>4. General (LULUCF) – all carbon pools – CO</w:t>
            </w:r>
            <w:r w:rsidRPr="00C74702">
              <w:rPr>
                <w:rFonts w:eastAsia="Calibri"/>
                <w:szCs w:val="16"/>
                <w:vertAlign w:val="subscript"/>
              </w:rPr>
              <w:t>2</w:t>
            </w:r>
            <w:r w:rsidRPr="00C74702">
              <w:rPr>
                <w:rFonts w:eastAsia="Calibri"/>
                <w:szCs w:val="16"/>
              </w:rPr>
              <w:t>,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O</w:t>
            </w:r>
            <w:r w:rsidRPr="00C74702" w:rsidDel="003160D2">
              <w:rPr>
                <w:rFonts w:eastAsia="Calibri"/>
                <w:szCs w:val="16"/>
              </w:rPr>
              <w:t xml:space="preserve"> </w:t>
            </w:r>
          </w:p>
        </w:tc>
        <w:tc>
          <w:tcPr>
            <w:tcW w:w="2033" w:type="pct"/>
            <w:shd w:val="clear" w:color="auto" w:fill="FFFFFF" w:themeFill="background1"/>
            <w:tcMar>
              <w:top w:w="0" w:type="dxa"/>
              <w:left w:w="85" w:type="dxa"/>
              <w:bottom w:w="0" w:type="dxa"/>
              <w:right w:w="85" w:type="dxa"/>
            </w:tcMar>
          </w:tcPr>
          <w:p w14:paraId="610D9672"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The TERT recommends that the Party:</w:t>
            </w:r>
          </w:p>
          <w:p w14:paraId="6151750B" w14:textId="77777777" w:rsidR="00CF3E30" w:rsidRPr="00C74702" w:rsidRDefault="00CF3E30" w:rsidP="00F16E23">
            <w:pPr>
              <w:pStyle w:val="TableText"/>
              <w:spacing w:before="0" w:after="40"/>
              <w:ind w:left="340" w:hanging="340"/>
              <w:rPr>
                <w:rFonts w:eastAsia="Calibri"/>
                <w:color w:val="000000"/>
                <w:szCs w:val="16"/>
              </w:rPr>
            </w:pPr>
            <w:r w:rsidRPr="00C74702">
              <w:rPr>
                <w:rFonts w:eastAsia="Calibri"/>
                <w:szCs w:val="16"/>
              </w:rPr>
              <w:t xml:space="preserve">(a) </w:t>
            </w:r>
            <w:r w:rsidRPr="00C74702">
              <w:rPr>
                <w:rFonts w:eastAsia="Calibri"/>
                <w:szCs w:val="16"/>
              </w:rPr>
              <w:tab/>
              <w:t>Clearly document the robust validation protocol for any machine learning-based corrections to the land-use matrix used to derive the AD on land use and land-use change and apply it before the model results are integrated into the estimations;</w:t>
            </w:r>
          </w:p>
          <w:p w14:paraId="0D041AD7" w14:textId="77777777" w:rsidR="00CF3E30" w:rsidRPr="00C74702" w:rsidRDefault="00CF3E30" w:rsidP="00F16E23">
            <w:pPr>
              <w:pStyle w:val="TableText"/>
              <w:spacing w:before="0" w:after="40"/>
              <w:ind w:left="340" w:hanging="340"/>
              <w:rPr>
                <w:rFonts w:eastAsia="Calibri"/>
                <w:szCs w:val="16"/>
              </w:rPr>
            </w:pPr>
            <w:r w:rsidRPr="00C74702">
              <w:rPr>
                <w:rFonts w:eastAsia="Calibri"/>
                <w:szCs w:val="16"/>
              </w:rPr>
              <w:t xml:space="preserve">(b) </w:t>
            </w:r>
            <w:r w:rsidRPr="00C74702">
              <w:rPr>
                <w:rFonts w:eastAsia="Calibri"/>
                <w:szCs w:val="16"/>
              </w:rPr>
              <w:tab/>
              <w:t xml:space="preserve">Include transparent information in the NID on the strategies employed to avoid any biases when using an existing land-use map as a training source (i.e. how the model identifies actual errors rather than reinforcing existing biases from an earlier map). </w:t>
            </w:r>
          </w:p>
        </w:tc>
        <w:tc>
          <w:tcPr>
            <w:tcW w:w="1036" w:type="pct"/>
            <w:shd w:val="clear" w:color="auto" w:fill="FFFFFF" w:themeFill="background1"/>
            <w:tcMar>
              <w:top w:w="0" w:type="dxa"/>
              <w:left w:w="85" w:type="dxa"/>
              <w:bottom w:w="0" w:type="dxa"/>
              <w:right w:w="85" w:type="dxa"/>
            </w:tcMar>
          </w:tcPr>
          <w:p w14:paraId="71865689" w14:textId="77777777" w:rsidR="00CF3E30" w:rsidRPr="00C74702" w:rsidRDefault="00CF3E30" w:rsidP="00F16E23">
            <w:pPr>
              <w:pStyle w:val="TableText"/>
              <w:spacing w:before="40" w:after="40"/>
              <w:rPr>
                <w:rFonts w:eastAsia="Calibri"/>
                <w:szCs w:val="16"/>
              </w:rPr>
            </w:pPr>
            <w:r w:rsidRPr="00C74702">
              <w:rPr>
                <w:rFonts w:eastAsia="Calibri"/>
                <w:szCs w:val="16"/>
              </w:rPr>
              <w:t>Addressing. Accuracy assessment of the 2020 land use map will be completed in 2026. This will identify any biases in the mapping of land use classes.</w:t>
            </w:r>
          </w:p>
        </w:tc>
      </w:tr>
      <w:tr w:rsidR="00CF3E30" w:rsidRPr="00C74702" w14:paraId="577E4656" w14:textId="77777777" w:rsidTr="00F16E23">
        <w:tc>
          <w:tcPr>
            <w:tcW w:w="356" w:type="pct"/>
            <w:shd w:val="clear" w:color="auto" w:fill="FFFFFF" w:themeFill="background1"/>
            <w:tcMar>
              <w:left w:w="85" w:type="dxa"/>
              <w:right w:w="85" w:type="dxa"/>
            </w:tcMar>
          </w:tcPr>
          <w:p w14:paraId="68BB2623"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6EB30473"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3</w:t>
            </w:r>
          </w:p>
        </w:tc>
        <w:tc>
          <w:tcPr>
            <w:tcW w:w="1372" w:type="pct"/>
            <w:shd w:val="clear" w:color="auto" w:fill="FFFFFF" w:themeFill="background1"/>
            <w:tcMar>
              <w:top w:w="0" w:type="dxa"/>
              <w:left w:w="85" w:type="dxa"/>
              <w:bottom w:w="0" w:type="dxa"/>
              <w:right w:w="85" w:type="dxa"/>
            </w:tcMar>
          </w:tcPr>
          <w:p w14:paraId="64BE93A8"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26–28 and 57 of the MPGs</w:t>
            </w:r>
          </w:p>
          <w:p w14:paraId="7E3372D0" w14:textId="77777777" w:rsidR="00CF3E30" w:rsidRPr="00C74702" w:rsidRDefault="00CF3E30" w:rsidP="00F16E23">
            <w:pPr>
              <w:pStyle w:val="TableText"/>
              <w:spacing w:before="40" w:after="40"/>
              <w:rPr>
                <w:rFonts w:eastAsia="Calibri"/>
                <w:szCs w:val="16"/>
              </w:rPr>
            </w:pPr>
            <w:r w:rsidRPr="00C74702">
              <w:rPr>
                <w:rFonts w:eastAsia="Calibri"/>
                <w:szCs w:val="16"/>
              </w:rPr>
              <w:t>4. General (LULUCF)</w:t>
            </w:r>
            <w:r w:rsidRPr="00C74702" w:rsidDel="002718ED">
              <w:rPr>
                <w:rFonts w:eastAsia="Calibri"/>
                <w:szCs w:val="16"/>
              </w:rPr>
              <w:t xml:space="preserve"> </w:t>
            </w:r>
            <w:r w:rsidRPr="00C74702">
              <w:rPr>
                <w:rFonts w:eastAsia="Calibri"/>
                <w:szCs w:val="16"/>
              </w:rPr>
              <w:t>– all pools – CO</w:t>
            </w:r>
            <w:r w:rsidRPr="00C74702">
              <w:rPr>
                <w:rFonts w:eastAsia="Calibri"/>
                <w:szCs w:val="16"/>
                <w:vertAlign w:val="subscript"/>
              </w:rPr>
              <w:t>2</w:t>
            </w:r>
            <w:r w:rsidRPr="00C74702">
              <w:rPr>
                <w:rFonts w:eastAsia="Calibri"/>
                <w:szCs w:val="16"/>
              </w:rPr>
              <w:t>,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O</w:t>
            </w:r>
            <w:r w:rsidRPr="00C74702" w:rsidDel="003160D2">
              <w:rPr>
                <w:rFonts w:eastAsia="Calibri"/>
                <w:szCs w:val="16"/>
              </w:rPr>
              <w:t xml:space="preserve"> </w:t>
            </w:r>
          </w:p>
        </w:tc>
        <w:tc>
          <w:tcPr>
            <w:tcW w:w="2033" w:type="pct"/>
            <w:shd w:val="clear" w:color="auto" w:fill="FFFFFF" w:themeFill="background1"/>
            <w:tcMar>
              <w:top w:w="0" w:type="dxa"/>
              <w:left w:w="85" w:type="dxa"/>
              <w:bottom w:w="0" w:type="dxa"/>
              <w:right w:w="85" w:type="dxa"/>
            </w:tcMar>
          </w:tcPr>
          <w:p w14:paraId="16C88D27"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The TERT recommends that the Party report a consistent time series of emissions. The TERT encourages the Party to investigate methods that will enable time-series consistency or use the data-splicing techniques provided in the 2006 IPCC Guidelines (vol. 1, chap. 5.3.3) to derive a consistent time series (e.g. by overlap or extrapolation techniques). </w:t>
            </w:r>
          </w:p>
        </w:tc>
        <w:tc>
          <w:tcPr>
            <w:tcW w:w="1036" w:type="pct"/>
            <w:shd w:val="clear" w:color="auto" w:fill="FFFFFF" w:themeFill="background1"/>
            <w:tcMar>
              <w:top w:w="0" w:type="dxa"/>
              <w:left w:w="85" w:type="dxa"/>
              <w:bottom w:w="0" w:type="dxa"/>
              <w:right w:w="85" w:type="dxa"/>
            </w:tcMar>
          </w:tcPr>
          <w:p w14:paraId="26DBC0C0"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Addressing. The Party will investigate options for introducing data-splicing techniques when incorporating data from new sources into the time series. </w:t>
            </w:r>
          </w:p>
        </w:tc>
      </w:tr>
      <w:tr w:rsidR="00CF3E30" w:rsidRPr="00C74702" w14:paraId="34F74AE9" w14:textId="77777777" w:rsidTr="00F16E23">
        <w:tc>
          <w:tcPr>
            <w:tcW w:w="356" w:type="pct"/>
            <w:shd w:val="clear" w:color="auto" w:fill="FFFFFF" w:themeFill="background1"/>
            <w:tcMar>
              <w:left w:w="85" w:type="dxa"/>
              <w:right w:w="85" w:type="dxa"/>
            </w:tcMar>
          </w:tcPr>
          <w:p w14:paraId="225D411D"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6E97B047"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4</w:t>
            </w:r>
          </w:p>
        </w:tc>
        <w:tc>
          <w:tcPr>
            <w:tcW w:w="1372" w:type="pct"/>
            <w:shd w:val="clear" w:color="auto" w:fill="FFFFFF" w:themeFill="background1"/>
            <w:tcMar>
              <w:top w:w="0" w:type="dxa"/>
              <w:left w:w="85" w:type="dxa"/>
              <w:bottom w:w="0" w:type="dxa"/>
              <w:right w:w="85" w:type="dxa"/>
            </w:tcMar>
          </w:tcPr>
          <w:p w14:paraId="4C527D37"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21 and 39 of the MPGs</w:t>
            </w:r>
          </w:p>
          <w:p w14:paraId="139A96B4" w14:textId="77777777" w:rsidR="00CF3E30" w:rsidRPr="00C74702" w:rsidRDefault="00CF3E30" w:rsidP="00F16E23">
            <w:pPr>
              <w:pStyle w:val="TableText"/>
              <w:spacing w:before="40" w:after="40"/>
              <w:rPr>
                <w:rFonts w:eastAsia="Calibri"/>
                <w:szCs w:val="16"/>
              </w:rPr>
            </w:pPr>
            <w:r w:rsidRPr="00C74702">
              <w:rPr>
                <w:rFonts w:eastAsia="Calibri"/>
                <w:szCs w:val="16"/>
              </w:rPr>
              <w:t>4. General (LULUCF) – soil organic matter – CO</w:t>
            </w:r>
            <w:r w:rsidRPr="00C74702">
              <w:rPr>
                <w:rFonts w:eastAsia="Calibri"/>
                <w:szCs w:val="16"/>
                <w:vertAlign w:val="subscript"/>
              </w:rPr>
              <w:t>2</w:t>
            </w:r>
          </w:p>
        </w:tc>
        <w:tc>
          <w:tcPr>
            <w:tcW w:w="2033" w:type="pct"/>
            <w:shd w:val="clear" w:color="auto" w:fill="FFFFFF" w:themeFill="background1"/>
            <w:tcMar>
              <w:top w:w="0" w:type="dxa"/>
              <w:left w:w="85" w:type="dxa"/>
              <w:bottom w:w="0" w:type="dxa"/>
              <w:right w:w="85" w:type="dxa"/>
            </w:tcMar>
          </w:tcPr>
          <w:p w14:paraId="2C942433"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estimate carbon stock changes in mineral soils for relevant land-use categories by enhancing the representation of underrepresented land-use categories in the sampling design to calibrate the soil carbon stock model (e.g. by implementing the four-year soil carbon stock improvement research programme), and include detailed information thereon in the NID.</w:t>
            </w:r>
          </w:p>
        </w:tc>
        <w:tc>
          <w:tcPr>
            <w:tcW w:w="1036" w:type="pct"/>
            <w:shd w:val="clear" w:color="auto" w:fill="FFFFFF" w:themeFill="background1"/>
            <w:tcMar>
              <w:top w:w="0" w:type="dxa"/>
              <w:left w:w="85" w:type="dxa"/>
              <w:bottom w:w="0" w:type="dxa"/>
              <w:right w:w="85" w:type="dxa"/>
            </w:tcMar>
          </w:tcPr>
          <w:p w14:paraId="4A3D83D4"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Addressing. Research and development are under way to improve the mineral soil carbon stock model through increased stratification by soil type and climate zone, and increased sampling of underrepresented land use classes. </w:t>
            </w:r>
          </w:p>
        </w:tc>
      </w:tr>
      <w:tr w:rsidR="00CF3E30" w:rsidRPr="00C74702" w14:paraId="63D74CF7" w14:textId="77777777" w:rsidTr="00F16E23">
        <w:tc>
          <w:tcPr>
            <w:tcW w:w="356" w:type="pct"/>
            <w:shd w:val="clear" w:color="auto" w:fill="FFFFFF" w:themeFill="background1"/>
            <w:tcMar>
              <w:left w:w="85" w:type="dxa"/>
              <w:right w:w="85" w:type="dxa"/>
            </w:tcMar>
          </w:tcPr>
          <w:p w14:paraId="0E019FE5"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6F5FC019"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5</w:t>
            </w:r>
          </w:p>
        </w:tc>
        <w:tc>
          <w:tcPr>
            <w:tcW w:w="1372" w:type="pct"/>
            <w:shd w:val="clear" w:color="auto" w:fill="FFFFFF" w:themeFill="background1"/>
            <w:tcMar>
              <w:top w:w="0" w:type="dxa"/>
              <w:left w:w="85" w:type="dxa"/>
              <w:bottom w:w="0" w:type="dxa"/>
              <w:right w:w="85" w:type="dxa"/>
            </w:tcMar>
          </w:tcPr>
          <w:p w14:paraId="475969DB"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39 of the MPGs</w:t>
            </w:r>
          </w:p>
          <w:p w14:paraId="4C3ECA41" w14:textId="77777777" w:rsidR="00CF3E30" w:rsidRPr="00C74702" w:rsidRDefault="00CF3E30" w:rsidP="00F16E23">
            <w:pPr>
              <w:pStyle w:val="TableText"/>
              <w:spacing w:before="40" w:after="40"/>
              <w:rPr>
                <w:rFonts w:eastAsia="Calibri"/>
                <w:szCs w:val="16"/>
              </w:rPr>
            </w:pPr>
            <w:r w:rsidRPr="00C74702">
              <w:rPr>
                <w:rFonts w:eastAsia="Calibri"/>
                <w:szCs w:val="16"/>
              </w:rPr>
              <w:t>4.A.1 Forest land remaining forest land –all pools – CO</w:t>
            </w:r>
            <w:r w:rsidRPr="00C74702">
              <w:rPr>
                <w:rFonts w:eastAsia="Calibri"/>
                <w:szCs w:val="16"/>
                <w:vertAlign w:val="subscript"/>
              </w:rPr>
              <w:t>2</w:t>
            </w:r>
            <w:r w:rsidRPr="00C74702">
              <w:rPr>
                <w:rFonts w:eastAsia="Calibri"/>
                <w:szCs w:val="16"/>
              </w:rPr>
              <w:t>,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O</w:t>
            </w:r>
            <w:r w:rsidRPr="00C74702" w:rsidDel="003160D2">
              <w:rPr>
                <w:rFonts w:eastAsia="Calibri"/>
                <w:szCs w:val="16"/>
              </w:rPr>
              <w:t xml:space="preserve"> </w:t>
            </w:r>
          </w:p>
        </w:tc>
        <w:tc>
          <w:tcPr>
            <w:tcW w:w="2033" w:type="pct"/>
            <w:shd w:val="clear" w:color="auto" w:fill="FFFFFF" w:themeFill="background1"/>
            <w:tcMar>
              <w:top w:w="0" w:type="dxa"/>
              <w:left w:w="85" w:type="dxa"/>
              <w:bottom w:w="0" w:type="dxa"/>
              <w:right w:w="85" w:type="dxa"/>
            </w:tcMar>
          </w:tcPr>
          <w:p w14:paraId="1FE1F555"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document this expert elicitation procedure in accordance with the 2006 IPCC Guidelines (vol. 1, chap. 2, annex 2A.1), including relevant information (e.g. the contact person, the basis of the estimate (e.g. “from internal harvest ledgers”) and a quantitative uncertainty range (e.g. ±20 percent)).</w:t>
            </w:r>
          </w:p>
        </w:tc>
        <w:tc>
          <w:tcPr>
            <w:tcW w:w="1036" w:type="pct"/>
            <w:shd w:val="clear" w:color="auto" w:fill="FFFFFF" w:themeFill="background1"/>
            <w:tcMar>
              <w:top w:w="0" w:type="dxa"/>
              <w:left w:w="85" w:type="dxa"/>
              <w:bottom w:w="0" w:type="dxa"/>
              <w:right w:w="85" w:type="dxa"/>
            </w:tcMar>
          </w:tcPr>
          <w:p w14:paraId="3A8D8FED" w14:textId="77777777" w:rsidR="00CF3E30" w:rsidRPr="00C74702" w:rsidRDefault="00CF3E30" w:rsidP="00F16E23">
            <w:pPr>
              <w:pStyle w:val="TableText"/>
              <w:spacing w:before="40" w:after="40"/>
              <w:rPr>
                <w:rFonts w:eastAsia="Calibri"/>
                <w:szCs w:val="16"/>
              </w:rPr>
            </w:pPr>
            <w:r w:rsidRPr="00C74702">
              <w:rPr>
                <w:rFonts w:eastAsia="Calibri"/>
                <w:szCs w:val="16"/>
              </w:rPr>
              <w:t>Resolved. Text added to the NID.</w:t>
            </w:r>
          </w:p>
        </w:tc>
      </w:tr>
      <w:tr w:rsidR="00CF3E30" w:rsidRPr="00C74702" w14:paraId="5DA7241D" w14:textId="77777777" w:rsidTr="00F16E23">
        <w:tc>
          <w:tcPr>
            <w:tcW w:w="356" w:type="pct"/>
            <w:shd w:val="clear" w:color="auto" w:fill="FFFFFF" w:themeFill="background1"/>
            <w:tcMar>
              <w:left w:w="85" w:type="dxa"/>
              <w:right w:w="85" w:type="dxa"/>
            </w:tcMar>
          </w:tcPr>
          <w:p w14:paraId="55B07FB6"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6F205D1B"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6</w:t>
            </w:r>
          </w:p>
        </w:tc>
        <w:tc>
          <w:tcPr>
            <w:tcW w:w="1372" w:type="pct"/>
            <w:shd w:val="clear" w:color="auto" w:fill="FFFFFF" w:themeFill="background1"/>
            <w:tcMar>
              <w:top w:w="0" w:type="dxa"/>
              <w:left w:w="85" w:type="dxa"/>
              <w:bottom w:w="0" w:type="dxa"/>
              <w:right w:w="85" w:type="dxa"/>
            </w:tcMar>
          </w:tcPr>
          <w:p w14:paraId="47A0B58A"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26–28 and 57 of the MPGs</w:t>
            </w:r>
          </w:p>
          <w:p w14:paraId="7B615C26" w14:textId="77777777" w:rsidR="00CF3E30" w:rsidRPr="00C74702" w:rsidRDefault="00CF3E30" w:rsidP="00F16E23">
            <w:pPr>
              <w:pStyle w:val="TableText"/>
              <w:spacing w:before="40" w:after="40"/>
              <w:rPr>
                <w:rFonts w:eastAsia="Calibri"/>
                <w:szCs w:val="16"/>
              </w:rPr>
            </w:pPr>
            <w:r w:rsidRPr="00C74702">
              <w:rPr>
                <w:rFonts w:eastAsia="Calibri"/>
                <w:szCs w:val="16"/>
              </w:rPr>
              <w:t>4.A.1 Forest land remaining forest land – all pools – CO</w:t>
            </w:r>
            <w:r w:rsidRPr="00C74702">
              <w:rPr>
                <w:rFonts w:eastAsia="Calibri"/>
                <w:szCs w:val="16"/>
                <w:vertAlign w:val="subscript"/>
              </w:rPr>
              <w:t>2</w:t>
            </w:r>
            <w:r w:rsidRPr="00C74702">
              <w:rPr>
                <w:rFonts w:eastAsia="Calibri"/>
                <w:szCs w:val="16"/>
              </w:rPr>
              <w:t>,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O</w:t>
            </w:r>
            <w:r w:rsidRPr="00C74702" w:rsidDel="003160D2">
              <w:rPr>
                <w:rFonts w:eastAsia="Calibri"/>
                <w:szCs w:val="16"/>
              </w:rPr>
              <w:t xml:space="preserve"> </w:t>
            </w:r>
          </w:p>
        </w:tc>
        <w:tc>
          <w:tcPr>
            <w:tcW w:w="2033" w:type="pct"/>
            <w:shd w:val="clear" w:color="auto" w:fill="FFFFFF" w:themeFill="background1"/>
            <w:tcMar>
              <w:top w:w="0" w:type="dxa"/>
              <w:left w:w="85" w:type="dxa"/>
              <w:bottom w:w="0" w:type="dxa"/>
              <w:right w:w="85" w:type="dxa"/>
            </w:tcMar>
          </w:tcPr>
          <w:p w14:paraId="61192905"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The TERT recommends that the Party report a consistent time series of emissions. The TERT encourages the Party to use the data-splicing techniques provided in the 2006 IPCC Guidelines (vol. 1, chap. 5.3.3) to derive a consistent time series (e.g. overlap or extrapolation). </w:t>
            </w:r>
          </w:p>
        </w:tc>
        <w:tc>
          <w:tcPr>
            <w:tcW w:w="1036" w:type="pct"/>
            <w:shd w:val="clear" w:color="auto" w:fill="FFFFFF" w:themeFill="background1"/>
            <w:tcMar>
              <w:top w:w="0" w:type="dxa"/>
              <w:left w:w="85" w:type="dxa"/>
              <w:bottom w:w="0" w:type="dxa"/>
              <w:right w:w="85" w:type="dxa"/>
            </w:tcMar>
          </w:tcPr>
          <w:p w14:paraId="1D47918A"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Addressing. The Party will investigate options for introducing data-splicing techniques when incorporating data from new sources into the time series. </w:t>
            </w:r>
          </w:p>
        </w:tc>
      </w:tr>
      <w:tr w:rsidR="00CF3E30" w:rsidRPr="00C74702" w14:paraId="06BC4115" w14:textId="77777777" w:rsidTr="00F16E23">
        <w:tc>
          <w:tcPr>
            <w:tcW w:w="356" w:type="pct"/>
            <w:shd w:val="clear" w:color="auto" w:fill="FFFFFF" w:themeFill="background1"/>
            <w:tcMar>
              <w:left w:w="85" w:type="dxa"/>
              <w:right w:w="85" w:type="dxa"/>
            </w:tcMar>
          </w:tcPr>
          <w:p w14:paraId="70214339" w14:textId="77777777" w:rsidR="00CF3E30" w:rsidRPr="00C74702" w:rsidRDefault="00CF3E30" w:rsidP="00F16E23">
            <w:pPr>
              <w:pStyle w:val="TableText"/>
              <w:keepN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471CE7FA"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7</w:t>
            </w:r>
          </w:p>
        </w:tc>
        <w:tc>
          <w:tcPr>
            <w:tcW w:w="1372" w:type="pct"/>
            <w:shd w:val="clear" w:color="auto" w:fill="FFFFFF" w:themeFill="background1"/>
            <w:tcMar>
              <w:top w:w="0" w:type="dxa"/>
              <w:left w:w="85" w:type="dxa"/>
              <w:bottom w:w="0" w:type="dxa"/>
              <w:right w:w="85" w:type="dxa"/>
            </w:tcMar>
          </w:tcPr>
          <w:p w14:paraId="3AFC4ED7"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21 of the MPGs</w:t>
            </w:r>
          </w:p>
          <w:p w14:paraId="7C6972F5" w14:textId="77777777" w:rsidR="00CF3E30" w:rsidRPr="00C74702" w:rsidRDefault="00CF3E30" w:rsidP="00F16E23">
            <w:pPr>
              <w:pStyle w:val="TableText"/>
              <w:spacing w:before="40" w:after="40"/>
              <w:rPr>
                <w:rFonts w:eastAsia="Calibri"/>
                <w:szCs w:val="16"/>
              </w:rPr>
            </w:pPr>
            <w:r w:rsidRPr="00C74702">
              <w:rPr>
                <w:rFonts w:eastAsia="Calibri"/>
                <w:szCs w:val="16"/>
              </w:rPr>
              <w:t>4.A.1 Forest land remaining forest land – biomass – CO</w:t>
            </w:r>
            <w:r w:rsidRPr="00C74702">
              <w:rPr>
                <w:rFonts w:eastAsia="Calibri"/>
                <w:szCs w:val="16"/>
                <w:vertAlign w:val="subscript"/>
              </w:rPr>
              <w:t>2</w:t>
            </w:r>
          </w:p>
        </w:tc>
        <w:tc>
          <w:tcPr>
            <w:tcW w:w="2033" w:type="pct"/>
            <w:shd w:val="clear" w:color="auto" w:fill="FFFFFF" w:themeFill="background1"/>
            <w:tcMar>
              <w:top w:w="0" w:type="dxa"/>
              <w:left w:w="85" w:type="dxa"/>
              <w:bottom w:w="0" w:type="dxa"/>
              <w:right w:w="85" w:type="dxa"/>
            </w:tcMar>
          </w:tcPr>
          <w:p w14:paraId="746C0D92"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estimate the carbon stock changes in biomass in forest land by revising the sampling method (e.g. by stratifying the post-1989 natural forest category into separate homogeneous forest types, such as native regeneration and wilding exotic species, and increasing the number of sample plots) so that it produces unbiased estimates representing the natural variability with lower uncertainties than current estimates.</w:t>
            </w:r>
          </w:p>
        </w:tc>
        <w:tc>
          <w:tcPr>
            <w:tcW w:w="1036" w:type="pct"/>
            <w:shd w:val="clear" w:color="auto" w:fill="FFFFFF" w:themeFill="background1"/>
            <w:tcMar>
              <w:top w:w="0" w:type="dxa"/>
              <w:left w:w="85" w:type="dxa"/>
              <w:bottom w:w="0" w:type="dxa"/>
              <w:right w:w="85" w:type="dxa"/>
            </w:tcMar>
          </w:tcPr>
          <w:p w14:paraId="7051A1E2" w14:textId="77777777" w:rsidR="00CF3E30" w:rsidRPr="00C74702" w:rsidRDefault="00CF3E30" w:rsidP="00F16E23">
            <w:pPr>
              <w:pStyle w:val="TableText"/>
              <w:spacing w:before="40" w:after="40"/>
              <w:rPr>
                <w:rFonts w:eastAsia="Calibri"/>
                <w:szCs w:val="16"/>
              </w:rPr>
            </w:pPr>
            <w:r w:rsidRPr="00C74702">
              <w:rPr>
                <w:rFonts w:eastAsia="Calibri"/>
                <w:szCs w:val="16"/>
              </w:rPr>
              <w:t>Addressing. The Party is investigating options to stratify and increase the sampling of post-1989 forests.</w:t>
            </w:r>
          </w:p>
        </w:tc>
      </w:tr>
      <w:tr w:rsidR="00CF3E30" w:rsidRPr="00C74702" w14:paraId="64C3E5A7" w14:textId="77777777" w:rsidTr="00F16E23">
        <w:tc>
          <w:tcPr>
            <w:tcW w:w="356" w:type="pct"/>
            <w:shd w:val="clear" w:color="auto" w:fill="FFFFFF" w:themeFill="background1"/>
            <w:tcMar>
              <w:left w:w="85" w:type="dxa"/>
              <w:right w:w="85" w:type="dxa"/>
            </w:tcMar>
          </w:tcPr>
          <w:p w14:paraId="7F197E58"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1010ED42"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8</w:t>
            </w:r>
          </w:p>
        </w:tc>
        <w:tc>
          <w:tcPr>
            <w:tcW w:w="1372" w:type="pct"/>
            <w:shd w:val="clear" w:color="auto" w:fill="FFFFFF" w:themeFill="background1"/>
            <w:tcMar>
              <w:top w:w="0" w:type="dxa"/>
              <w:left w:w="85" w:type="dxa"/>
              <w:bottom w:w="0" w:type="dxa"/>
              <w:right w:w="85" w:type="dxa"/>
            </w:tcMar>
          </w:tcPr>
          <w:p w14:paraId="746AB70B"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21 and 39 of the MPGs</w:t>
            </w:r>
          </w:p>
          <w:p w14:paraId="3CFD186F" w14:textId="77777777" w:rsidR="00CF3E30" w:rsidRPr="00C74702" w:rsidRDefault="00CF3E30" w:rsidP="00F16E23">
            <w:pPr>
              <w:pStyle w:val="TableText"/>
              <w:spacing w:before="40" w:after="40"/>
              <w:rPr>
                <w:rFonts w:eastAsia="Calibri"/>
                <w:szCs w:val="16"/>
              </w:rPr>
            </w:pPr>
            <w:r w:rsidRPr="00C74702">
              <w:rPr>
                <w:rFonts w:eastAsia="Calibri"/>
                <w:szCs w:val="16"/>
              </w:rPr>
              <w:t>4.E Settlements – soil organic matter – CO</w:t>
            </w:r>
            <w:r w:rsidRPr="00C74702">
              <w:rPr>
                <w:rFonts w:eastAsia="Calibri"/>
                <w:szCs w:val="16"/>
                <w:vertAlign w:val="subscript"/>
              </w:rPr>
              <w:t>2</w:t>
            </w:r>
          </w:p>
        </w:tc>
        <w:tc>
          <w:tcPr>
            <w:tcW w:w="2033" w:type="pct"/>
            <w:shd w:val="clear" w:color="auto" w:fill="FFFFFF" w:themeFill="background1"/>
            <w:tcMar>
              <w:top w:w="0" w:type="dxa"/>
              <w:left w:w="85" w:type="dxa"/>
              <w:bottom w:w="0" w:type="dxa"/>
              <w:right w:w="85" w:type="dxa"/>
            </w:tcMar>
          </w:tcPr>
          <w:p w14:paraId="549F227B"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estimate the carbon stock changes in soil organic carbon in settlements by refining its estimation methods (e.g. by modelling the soil organic carbon stocks with the help of percentage-based topsoil data,</w:t>
            </w:r>
            <w:r w:rsidRPr="00C74702" w:rsidDel="005E3D60">
              <w:rPr>
                <w:rFonts w:eastAsia="Calibri"/>
                <w:szCs w:val="16"/>
              </w:rPr>
              <w:t xml:space="preserve"> </w:t>
            </w:r>
            <w:r w:rsidRPr="00C74702">
              <w:rPr>
                <w:rFonts w:eastAsia="Calibri"/>
                <w:szCs w:val="16"/>
              </w:rPr>
              <w:t>a national map of impervious surface areas developed using readily available satellite imagery and geospatial techniques (such as geographic indication system analysis), and classified urban land-cover information derived using machine learning). The TERT also recommends that the Party include transparent information in the NID on the method used for estimating carbon stock changes in soil organic carbon in settlements.</w:t>
            </w:r>
          </w:p>
        </w:tc>
        <w:tc>
          <w:tcPr>
            <w:tcW w:w="1036" w:type="pct"/>
            <w:shd w:val="clear" w:color="auto" w:fill="FFFFFF" w:themeFill="background1"/>
            <w:tcMar>
              <w:top w:w="0" w:type="dxa"/>
              <w:left w:w="85" w:type="dxa"/>
              <w:bottom w:w="0" w:type="dxa"/>
              <w:right w:w="85" w:type="dxa"/>
            </w:tcMar>
          </w:tcPr>
          <w:p w14:paraId="77FA9F73"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Addressing. The Party is investigating methods to estimate impervious surface percentages within settlements and apply this to the modelling of </w:t>
            </w:r>
            <w:r w:rsidRPr="00C74702">
              <w:rPr>
                <w:rFonts w:eastAsia="Calibri"/>
                <w:i/>
                <w:szCs w:val="16"/>
              </w:rPr>
              <w:t xml:space="preserve">Settlement </w:t>
            </w:r>
            <w:r w:rsidRPr="00C74702">
              <w:rPr>
                <w:rFonts w:eastAsia="Calibri"/>
                <w:szCs w:val="16"/>
              </w:rPr>
              <w:t>soil organic carbon stocks.</w:t>
            </w:r>
          </w:p>
        </w:tc>
      </w:tr>
      <w:tr w:rsidR="00CF3E30" w:rsidRPr="00C74702" w14:paraId="0722D0ED" w14:textId="77777777" w:rsidTr="00F16E23">
        <w:tc>
          <w:tcPr>
            <w:tcW w:w="356" w:type="pct"/>
            <w:shd w:val="clear" w:color="auto" w:fill="FFFFFF" w:themeFill="background1"/>
            <w:tcMar>
              <w:left w:w="85" w:type="dxa"/>
              <w:right w:w="85" w:type="dxa"/>
            </w:tcMar>
          </w:tcPr>
          <w:p w14:paraId="4A4E20A4"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32471FC7"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9</w:t>
            </w:r>
          </w:p>
        </w:tc>
        <w:tc>
          <w:tcPr>
            <w:tcW w:w="1372" w:type="pct"/>
            <w:shd w:val="clear" w:color="auto" w:fill="FFFFFF" w:themeFill="background1"/>
            <w:tcMar>
              <w:top w:w="0" w:type="dxa"/>
              <w:left w:w="85" w:type="dxa"/>
              <w:bottom w:w="0" w:type="dxa"/>
              <w:right w:w="85" w:type="dxa"/>
            </w:tcMar>
          </w:tcPr>
          <w:p w14:paraId="6D9AD3DB"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21 of the MPGs</w:t>
            </w:r>
          </w:p>
          <w:p w14:paraId="67BE6C19" w14:textId="77777777" w:rsidR="00CF3E30" w:rsidRPr="00C74702" w:rsidRDefault="00CF3E30" w:rsidP="00F16E23">
            <w:pPr>
              <w:pStyle w:val="TableText"/>
              <w:spacing w:before="40" w:after="40"/>
              <w:rPr>
                <w:rFonts w:eastAsia="Calibri"/>
                <w:szCs w:val="16"/>
              </w:rPr>
            </w:pPr>
            <w:r w:rsidRPr="00C74702">
              <w:rPr>
                <w:rFonts w:eastAsia="Calibri"/>
                <w:szCs w:val="16"/>
              </w:rPr>
              <w:t>4.G HWP – CO</w:t>
            </w:r>
            <w:r w:rsidRPr="00C74702">
              <w:rPr>
                <w:rFonts w:eastAsia="Calibri"/>
                <w:szCs w:val="16"/>
                <w:vertAlign w:val="subscript"/>
              </w:rPr>
              <w:t>2</w:t>
            </w:r>
          </w:p>
        </w:tc>
        <w:tc>
          <w:tcPr>
            <w:tcW w:w="2033" w:type="pct"/>
            <w:shd w:val="clear" w:color="auto" w:fill="FFFFFF" w:themeFill="background1"/>
            <w:tcMar>
              <w:top w:w="0" w:type="dxa"/>
              <w:left w:w="85" w:type="dxa"/>
              <w:bottom w:w="0" w:type="dxa"/>
              <w:right w:w="85" w:type="dxa"/>
            </w:tcMar>
          </w:tcPr>
          <w:p w14:paraId="0F45D885"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estimate carbon stock changes in the HWP pool using half-lives and market proportions for exported wood products that reflect potentially significant shifts in export market structures, product types or end-use patterns (e.g. by developing a detailed, time-bound plan to collect and incorporate recent data on trade and end-use of HWP into the estimation methodology).</w:t>
            </w:r>
          </w:p>
        </w:tc>
        <w:tc>
          <w:tcPr>
            <w:tcW w:w="1036" w:type="pct"/>
            <w:shd w:val="clear" w:color="auto" w:fill="FFFFFF" w:themeFill="background1"/>
            <w:tcMar>
              <w:top w:w="0" w:type="dxa"/>
              <w:left w:w="85" w:type="dxa"/>
              <w:bottom w:w="0" w:type="dxa"/>
              <w:right w:w="85" w:type="dxa"/>
            </w:tcMar>
          </w:tcPr>
          <w:p w14:paraId="05902D34" w14:textId="77777777" w:rsidR="00CF3E30" w:rsidRPr="00C74702" w:rsidRDefault="00CF3E30" w:rsidP="00F16E23">
            <w:pPr>
              <w:pStyle w:val="TableText"/>
              <w:spacing w:before="40" w:after="40"/>
              <w:rPr>
                <w:rFonts w:eastAsia="Calibri"/>
                <w:szCs w:val="16"/>
              </w:rPr>
            </w:pPr>
            <w:r w:rsidRPr="00C74702">
              <w:rPr>
                <w:rFonts w:eastAsia="Calibri"/>
                <w:szCs w:val="16"/>
              </w:rPr>
              <w:t>Addressing. Updates to market proportions are planned for the coming year.</w:t>
            </w:r>
          </w:p>
        </w:tc>
      </w:tr>
      <w:tr w:rsidR="00CF3E30" w:rsidRPr="00C74702" w14:paraId="37B6FEFE" w14:textId="77777777" w:rsidTr="00F16E23">
        <w:tc>
          <w:tcPr>
            <w:tcW w:w="356" w:type="pct"/>
            <w:shd w:val="clear" w:color="auto" w:fill="FFFFFF" w:themeFill="background1"/>
            <w:tcMar>
              <w:left w:w="85" w:type="dxa"/>
              <w:right w:w="85" w:type="dxa"/>
            </w:tcMar>
          </w:tcPr>
          <w:p w14:paraId="5DB5CDF1"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22AA7915" w14:textId="77777777" w:rsidR="00CF3E30" w:rsidRPr="00C74702" w:rsidRDefault="00CF3E30" w:rsidP="00F16E23">
            <w:pPr>
              <w:pStyle w:val="TableText"/>
              <w:spacing w:before="40" w:after="40"/>
              <w:rPr>
                <w:rFonts w:eastAsia="Calibri"/>
                <w:szCs w:val="16"/>
              </w:rPr>
            </w:pPr>
            <w:r w:rsidRPr="00C74702">
              <w:rPr>
                <w:rFonts w:eastAsia="Calibri"/>
                <w:szCs w:val="16"/>
              </w:rPr>
              <w:t>6.L.</w:t>
            </w:r>
            <w:r w:rsidRPr="00C74702" w:rsidDel="003160D2">
              <w:rPr>
                <w:rFonts w:eastAsia="Calibri"/>
                <w:szCs w:val="16"/>
              </w:rPr>
              <w:t>10</w:t>
            </w:r>
          </w:p>
        </w:tc>
        <w:tc>
          <w:tcPr>
            <w:tcW w:w="1372" w:type="pct"/>
            <w:shd w:val="clear" w:color="auto" w:fill="FFFFFF" w:themeFill="background1"/>
            <w:tcMar>
              <w:top w:w="0" w:type="dxa"/>
              <w:left w:w="85" w:type="dxa"/>
              <w:bottom w:w="0" w:type="dxa"/>
              <w:right w:w="85" w:type="dxa"/>
            </w:tcMar>
          </w:tcPr>
          <w:p w14:paraId="00F3EF01"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21 and 39 of the MPGs</w:t>
            </w:r>
          </w:p>
          <w:p w14:paraId="29249AB5" w14:textId="77777777" w:rsidR="00CF3E30" w:rsidRPr="00C74702" w:rsidRDefault="00CF3E30" w:rsidP="00F16E23">
            <w:pPr>
              <w:pStyle w:val="TableText"/>
              <w:spacing w:before="40" w:after="40"/>
              <w:rPr>
                <w:rFonts w:eastAsia="Calibri"/>
                <w:szCs w:val="16"/>
              </w:rPr>
            </w:pPr>
            <w:r w:rsidRPr="00C74702">
              <w:rPr>
                <w:rFonts w:eastAsia="Calibri"/>
                <w:szCs w:val="16"/>
              </w:rPr>
              <w:t>4(IV) Biomass burning –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7C4FE512"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update the information in the NID to clarify its assumptions for how emissions from biomass burning have been estimated and encourages the Party to obtain updated AD on controlled burning activities occurring in forest land conversions to reflect actual practices.</w:t>
            </w:r>
          </w:p>
        </w:tc>
        <w:tc>
          <w:tcPr>
            <w:tcW w:w="1036" w:type="pct"/>
            <w:shd w:val="clear" w:color="auto" w:fill="FFFFFF" w:themeFill="background1"/>
            <w:tcMar>
              <w:top w:w="0" w:type="dxa"/>
              <w:left w:w="85" w:type="dxa"/>
              <w:bottom w:w="0" w:type="dxa"/>
              <w:right w:w="85" w:type="dxa"/>
            </w:tcMar>
          </w:tcPr>
          <w:p w14:paraId="2013EEA5"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Addressing. The Party is investigating options to update estimates of the proportion of land which is burnt at the time of deforestation. </w:t>
            </w:r>
          </w:p>
        </w:tc>
      </w:tr>
      <w:tr w:rsidR="00CF3E30" w:rsidRPr="00C74702" w14:paraId="1163685A" w14:textId="77777777" w:rsidTr="00F16E23">
        <w:tc>
          <w:tcPr>
            <w:tcW w:w="356" w:type="pct"/>
            <w:shd w:val="clear" w:color="auto" w:fill="FFFFFF" w:themeFill="background1"/>
            <w:tcMar>
              <w:left w:w="85" w:type="dxa"/>
              <w:right w:w="85" w:type="dxa"/>
            </w:tcMar>
          </w:tcPr>
          <w:p w14:paraId="026121F5"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Waste</w:t>
            </w:r>
          </w:p>
        </w:tc>
        <w:tc>
          <w:tcPr>
            <w:tcW w:w="203" w:type="pct"/>
            <w:shd w:val="clear" w:color="auto" w:fill="FFFFFF" w:themeFill="background1"/>
            <w:tcMar>
              <w:top w:w="0" w:type="dxa"/>
              <w:left w:w="85" w:type="dxa"/>
              <w:bottom w:w="0" w:type="dxa"/>
              <w:right w:w="85" w:type="dxa"/>
            </w:tcMar>
          </w:tcPr>
          <w:p w14:paraId="636052A6" w14:textId="77777777" w:rsidR="00CF3E30" w:rsidRPr="00C74702" w:rsidRDefault="00CF3E30" w:rsidP="00F16E23">
            <w:pPr>
              <w:pStyle w:val="TableText"/>
              <w:spacing w:before="40" w:after="40"/>
              <w:rPr>
                <w:rFonts w:eastAsia="Calibri"/>
                <w:szCs w:val="16"/>
              </w:rPr>
            </w:pPr>
            <w:r w:rsidRPr="00C74702">
              <w:rPr>
                <w:rFonts w:eastAsia="Calibri"/>
                <w:szCs w:val="16"/>
              </w:rPr>
              <w:t>7.W.1</w:t>
            </w:r>
          </w:p>
        </w:tc>
        <w:tc>
          <w:tcPr>
            <w:tcW w:w="1372" w:type="pct"/>
            <w:shd w:val="clear" w:color="auto" w:fill="FFFFFF" w:themeFill="background1"/>
            <w:tcMar>
              <w:top w:w="0" w:type="dxa"/>
              <w:left w:w="85" w:type="dxa"/>
              <w:bottom w:w="0" w:type="dxa"/>
              <w:right w:w="85" w:type="dxa"/>
            </w:tcMar>
          </w:tcPr>
          <w:p w14:paraId="014F8F51"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39–40 of the MPGs</w:t>
            </w:r>
          </w:p>
          <w:p w14:paraId="6439B4D8" w14:textId="77777777" w:rsidR="00CF3E30" w:rsidRPr="00C74702" w:rsidRDefault="00CF3E30" w:rsidP="00F16E23">
            <w:pPr>
              <w:pStyle w:val="TableText"/>
              <w:spacing w:before="40" w:after="40"/>
              <w:rPr>
                <w:rFonts w:eastAsia="Calibri"/>
                <w:szCs w:val="16"/>
              </w:rPr>
            </w:pPr>
            <w:r w:rsidRPr="00C74702">
              <w:rPr>
                <w:rFonts w:eastAsia="Calibri"/>
                <w:szCs w:val="16"/>
              </w:rPr>
              <w:t>5.A Solid waste disposal on land – CH</w:t>
            </w:r>
            <w:r w:rsidRPr="00C74702">
              <w:rPr>
                <w:rFonts w:eastAsia="Calibri"/>
                <w:szCs w:val="16"/>
                <w:vertAlign w:val="subscript"/>
              </w:rPr>
              <w:t>4</w:t>
            </w:r>
          </w:p>
        </w:tc>
        <w:tc>
          <w:tcPr>
            <w:tcW w:w="2033" w:type="pct"/>
            <w:shd w:val="clear" w:color="auto" w:fill="FFFFFF" w:themeFill="background1"/>
            <w:tcMar>
              <w:top w:w="0" w:type="dxa"/>
              <w:left w:w="85" w:type="dxa"/>
              <w:bottom w:w="0" w:type="dxa"/>
              <w:right w:w="85" w:type="dxa"/>
            </w:tcMar>
          </w:tcPr>
          <w:p w14:paraId="14DBB8EF"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provide</w:t>
            </w:r>
            <w:r w:rsidRPr="00C74702" w:rsidDel="00F077B2">
              <w:rPr>
                <w:rFonts w:eastAsia="Calibri"/>
                <w:szCs w:val="16"/>
              </w:rPr>
              <w:t xml:space="preserve"> </w:t>
            </w:r>
            <w:r w:rsidRPr="00C74702">
              <w:rPr>
                <w:rFonts w:eastAsia="Calibri"/>
                <w:szCs w:val="16"/>
              </w:rPr>
              <w:t>transparent and comprehensive descriptions of its landfills (covering, e.g., categorization, management practices and status) and the methods and assumptions used (e.g. tiers, models and approaches) to estimate CH</w:t>
            </w:r>
            <w:r w:rsidRPr="00C74702">
              <w:rPr>
                <w:rFonts w:eastAsia="Calibri"/>
                <w:szCs w:val="16"/>
                <w:vertAlign w:val="subscript"/>
              </w:rPr>
              <w:t>4</w:t>
            </w:r>
            <w:r w:rsidRPr="00C74702">
              <w:rPr>
                <w:rFonts w:eastAsia="Calibri"/>
                <w:szCs w:val="16"/>
              </w:rPr>
              <w:t xml:space="preserve"> emissions from solid waste disposal on land.</w:t>
            </w:r>
          </w:p>
        </w:tc>
        <w:tc>
          <w:tcPr>
            <w:tcW w:w="1036" w:type="pct"/>
            <w:shd w:val="clear" w:color="auto" w:fill="FFFFFF" w:themeFill="background1"/>
            <w:tcMar>
              <w:top w:w="0" w:type="dxa"/>
              <w:left w:w="85" w:type="dxa"/>
              <w:bottom w:w="0" w:type="dxa"/>
              <w:right w:w="85" w:type="dxa"/>
            </w:tcMar>
          </w:tcPr>
          <w:p w14:paraId="4C526E6F" w14:textId="77777777" w:rsidR="00CF3E30" w:rsidRPr="00C74702" w:rsidRDefault="00CF3E30" w:rsidP="00F16E23">
            <w:pPr>
              <w:pStyle w:val="TableText"/>
              <w:spacing w:before="40" w:after="40"/>
              <w:rPr>
                <w:rFonts w:eastAsia="Calibri"/>
                <w:szCs w:val="16"/>
              </w:rPr>
            </w:pPr>
            <w:r w:rsidRPr="00C74702">
              <w:rPr>
                <w:rFonts w:eastAsia="Calibri"/>
                <w:szCs w:val="16"/>
              </w:rPr>
              <w:t>Resolved. Additional detail on New Zealand landfill types and management practices has been included in section 7.2.1, as well as in table 7.2.1. Further information on the selection of methods and the applicable Tier is provided in section 7.2.2, ‘Choice of methods’.</w:t>
            </w:r>
          </w:p>
        </w:tc>
      </w:tr>
      <w:tr w:rsidR="00CF3E30" w:rsidRPr="00C74702" w14:paraId="609A5420" w14:textId="77777777" w:rsidTr="00F16E23">
        <w:tc>
          <w:tcPr>
            <w:tcW w:w="356" w:type="pct"/>
            <w:shd w:val="clear" w:color="auto" w:fill="FFFFFF" w:themeFill="background1"/>
            <w:tcMar>
              <w:left w:w="85" w:type="dxa"/>
              <w:right w:w="85" w:type="dxa"/>
            </w:tcMar>
          </w:tcPr>
          <w:p w14:paraId="2DA6F7DF"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7980022C" w14:textId="77777777" w:rsidR="00CF3E30" w:rsidRPr="00C74702" w:rsidRDefault="00CF3E30" w:rsidP="00F16E23">
            <w:pPr>
              <w:pStyle w:val="TableText"/>
              <w:spacing w:before="40" w:after="40"/>
              <w:rPr>
                <w:rFonts w:eastAsia="Calibri"/>
                <w:szCs w:val="16"/>
              </w:rPr>
            </w:pPr>
            <w:r w:rsidRPr="00C74702">
              <w:rPr>
                <w:rFonts w:eastAsia="Calibri"/>
                <w:szCs w:val="16"/>
              </w:rPr>
              <w:t>7.W.2</w:t>
            </w:r>
          </w:p>
        </w:tc>
        <w:tc>
          <w:tcPr>
            <w:tcW w:w="1372" w:type="pct"/>
            <w:shd w:val="clear" w:color="auto" w:fill="FFFFFF" w:themeFill="background1"/>
            <w:tcMar>
              <w:top w:w="0" w:type="dxa"/>
              <w:left w:w="85" w:type="dxa"/>
              <w:bottom w:w="0" w:type="dxa"/>
              <w:right w:w="85" w:type="dxa"/>
            </w:tcMar>
          </w:tcPr>
          <w:p w14:paraId="3EE03BDC"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21 and 47 of the MPGs</w:t>
            </w:r>
          </w:p>
          <w:p w14:paraId="3B6533B9" w14:textId="77777777" w:rsidR="00CF3E30" w:rsidRPr="00C74702" w:rsidRDefault="00CF3E30" w:rsidP="00F16E23">
            <w:pPr>
              <w:pStyle w:val="TableText"/>
              <w:spacing w:before="40" w:after="40"/>
              <w:rPr>
                <w:rFonts w:eastAsia="Calibri"/>
                <w:szCs w:val="16"/>
              </w:rPr>
            </w:pPr>
            <w:r w:rsidRPr="00C74702">
              <w:rPr>
                <w:rFonts w:eastAsia="Calibri"/>
                <w:szCs w:val="16"/>
              </w:rPr>
              <w:t>5.A.3 Uncategorized waste disposal sites – CH</w:t>
            </w:r>
            <w:r w:rsidRPr="00C74702">
              <w:rPr>
                <w:rFonts w:eastAsia="Calibri"/>
                <w:szCs w:val="16"/>
                <w:vertAlign w:val="subscript"/>
              </w:rPr>
              <w:t>4</w:t>
            </w:r>
          </w:p>
        </w:tc>
        <w:tc>
          <w:tcPr>
            <w:tcW w:w="2033" w:type="pct"/>
            <w:shd w:val="clear" w:color="auto" w:fill="FFFFFF" w:themeFill="background1"/>
            <w:tcMar>
              <w:top w:w="0" w:type="dxa"/>
              <w:left w:w="85" w:type="dxa"/>
              <w:bottom w:w="0" w:type="dxa"/>
              <w:right w:w="85" w:type="dxa"/>
            </w:tcMar>
          </w:tcPr>
          <w:p w14:paraId="347E2104"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The TERT recommends that the Party ensure that its definition of uncategorized solid waste disposal sites is consistent with the definition provided in the 2006 IPCC Guidelines (vol. 5, chap. 3.2.3, table 3.1), and include transparent information on the categorization of solid waste disposal sites </w:t>
            </w:r>
            <w:r w:rsidRPr="00C74702" w:rsidDel="00C93636">
              <w:rPr>
                <w:rFonts w:eastAsia="Calibri"/>
                <w:szCs w:val="16"/>
              </w:rPr>
              <w:t xml:space="preserve">in </w:t>
            </w:r>
            <w:r w:rsidRPr="00C74702">
              <w:rPr>
                <w:rFonts w:eastAsia="Calibri"/>
                <w:szCs w:val="16"/>
              </w:rPr>
              <w:t>the NID.</w:t>
            </w:r>
          </w:p>
        </w:tc>
        <w:tc>
          <w:tcPr>
            <w:tcW w:w="1036" w:type="pct"/>
            <w:shd w:val="clear" w:color="auto" w:fill="FFFFFF" w:themeFill="background1"/>
            <w:tcMar>
              <w:top w:w="0" w:type="dxa"/>
              <w:left w:w="85" w:type="dxa"/>
              <w:bottom w:w="0" w:type="dxa"/>
              <w:right w:w="85" w:type="dxa"/>
            </w:tcMar>
          </w:tcPr>
          <w:p w14:paraId="65C56400" w14:textId="77777777" w:rsidR="00CF3E30" w:rsidRPr="00C74702" w:rsidRDefault="00CF3E30" w:rsidP="00F16E23">
            <w:pPr>
              <w:pStyle w:val="TableText"/>
              <w:spacing w:before="40" w:after="40"/>
              <w:rPr>
                <w:rFonts w:eastAsia="Calibri"/>
                <w:szCs w:val="16"/>
              </w:rPr>
            </w:pPr>
            <w:r w:rsidRPr="00C74702">
              <w:rPr>
                <w:rFonts w:eastAsia="Calibri"/>
                <w:szCs w:val="16"/>
              </w:rPr>
              <w:t>Resolved. Additional information on uncategorised landfill types has been incorporated into section 7.2.1, as well as tables 7.2.1 and 7.2.5. Further detail on the methodological selection and the applicable Tier is provided in section 7.2.2, ‘Choice of methods’.</w:t>
            </w:r>
          </w:p>
        </w:tc>
      </w:tr>
      <w:tr w:rsidR="00CF3E30" w:rsidRPr="00C74702" w14:paraId="098574C1" w14:textId="77777777" w:rsidTr="00F16E23">
        <w:tc>
          <w:tcPr>
            <w:tcW w:w="356" w:type="pct"/>
            <w:shd w:val="clear" w:color="auto" w:fill="FFFFFF" w:themeFill="background1"/>
            <w:tcMar>
              <w:left w:w="85" w:type="dxa"/>
              <w:right w:w="85" w:type="dxa"/>
            </w:tcMar>
          </w:tcPr>
          <w:p w14:paraId="1B9A40B2"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07B0A3D1" w14:textId="77777777" w:rsidR="00CF3E30" w:rsidRPr="00C74702" w:rsidRDefault="00CF3E30" w:rsidP="00F16E23">
            <w:pPr>
              <w:pStyle w:val="TableText"/>
              <w:spacing w:before="40" w:after="40"/>
              <w:rPr>
                <w:rFonts w:eastAsia="Calibri"/>
                <w:szCs w:val="16"/>
              </w:rPr>
            </w:pPr>
            <w:r w:rsidRPr="00C74702">
              <w:rPr>
                <w:rFonts w:eastAsia="Calibri"/>
                <w:szCs w:val="16"/>
              </w:rPr>
              <w:t>7.W.3</w:t>
            </w:r>
          </w:p>
        </w:tc>
        <w:tc>
          <w:tcPr>
            <w:tcW w:w="1372" w:type="pct"/>
            <w:shd w:val="clear" w:color="auto" w:fill="FFFFFF" w:themeFill="background1"/>
            <w:tcMar>
              <w:top w:w="0" w:type="dxa"/>
              <w:left w:w="85" w:type="dxa"/>
              <w:bottom w:w="0" w:type="dxa"/>
              <w:right w:w="85" w:type="dxa"/>
            </w:tcMar>
          </w:tcPr>
          <w:p w14:paraId="1E89306A"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31, 45 and 47 of the MPGs</w:t>
            </w:r>
          </w:p>
          <w:p w14:paraId="101321C9" w14:textId="77777777" w:rsidR="00CF3E30" w:rsidRPr="00C74702" w:rsidRDefault="00CF3E30" w:rsidP="00F16E23">
            <w:pPr>
              <w:pStyle w:val="TableText"/>
              <w:spacing w:before="40" w:after="40"/>
              <w:rPr>
                <w:rFonts w:eastAsia="Calibri"/>
                <w:szCs w:val="16"/>
              </w:rPr>
            </w:pPr>
            <w:r w:rsidRPr="00C74702">
              <w:rPr>
                <w:rFonts w:eastAsia="Calibri"/>
                <w:szCs w:val="16"/>
              </w:rPr>
              <w:t>5.B.2 Anaerobic digestion at biogas facilities –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4903D63D"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report quantitative estimates for CH</w:t>
            </w:r>
            <w:r w:rsidRPr="00C74702">
              <w:rPr>
                <w:rFonts w:eastAsia="Calibri"/>
                <w:szCs w:val="16"/>
                <w:vertAlign w:val="subscript"/>
              </w:rPr>
              <w:t>4</w:t>
            </w:r>
            <w:r w:rsidRPr="00C74702">
              <w:rPr>
                <w:rFonts w:eastAsia="Calibri"/>
                <w:szCs w:val="16"/>
              </w:rPr>
              <w:t xml:space="preserve"> emissions for subcategory 5.B.2 anaerobic digestion at biogas facilities and a notation key (e.g. “NE”) for N</w:t>
            </w:r>
            <w:r w:rsidRPr="00C74702">
              <w:rPr>
                <w:rFonts w:eastAsia="Calibri"/>
                <w:szCs w:val="16"/>
                <w:vertAlign w:val="subscript"/>
              </w:rPr>
              <w:t>2</w:t>
            </w:r>
            <w:r w:rsidRPr="00C74702">
              <w:rPr>
                <w:rFonts w:eastAsia="Calibri"/>
                <w:szCs w:val="16"/>
              </w:rPr>
              <w:t>O emissions that is in line with the 2006 IPCC Guidelines.</w:t>
            </w:r>
          </w:p>
        </w:tc>
        <w:tc>
          <w:tcPr>
            <w:tcW w:w="1036" w:type="pct"/>
            <w:shd w:val="clear" w:color="auto" w:fill="FFFFFF" w:themeFill="background1"/>
            <w:tcMar>
              <w:top w:w="0" w:type="dxa"/>
              <w:left w:w="85" w:type="dxa"/>
              <w:bottom w:w="0" w:type="dxa"/>
              <w:right w:w="85" w:type="dxa"/>
            </w:tcMar>
          </w:tcPr>
          <w:p w14:paraId="333EC12C"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Resolved. Methane emissions from the </w:t>
            </w:r>
            <w:r w:rsidRPr="00C74702">
              <w:rPr>
                <w:rFonts w:eastAsia="Calibri"/>
                <w:i/>
                <w:szCs w:val="16"/>
              </w:rPr>
              <w:t xml:space="preserve">Anaerobic </w:t>
            </w:r>
            <w:r w:rsidRPr="00C74702">
              <w:rPr>
                <w:rFonts w:eastAsia="Calibri"/>
                <w:i/>
                <w:iCs/>
                <w:szCs w:val="16"/>
              </w:rPr>
              <w:t>digestion</w:t>
            </w:r>
            <w:r w:rsidRPr="00C74702">
              <w:rPr>
                <w:rFonts w:eastAsia="Calibri"/>
                <w:szCs w:val="16"/>
              </w:rPr>
              <w:t xml:space="preserve"> subcategory (5.B.2) are now included in the Inventory. The notation key ‘NE’ is applied for N₂O emissions, consistent with table 4.1 in chapter 4 of volume 5 of the 2006 IPCC Guidelines.</w:t>
            </w:r>
          </w:p>
        </w:tc>
      </w:tr>
      <w:tr w:rsidR="00CF3E30" w:rsidRPr="00C74702" w14:paraId="726F5A83" w14:textId="77777777" w:rsidTr="00F16E23">
        <w:tc>
          <w:tcPr>
            <w:tcW w:w="356" w:type="pct"/>
            <w:shd w:val="clear" w:color="auto" w:fill="FFFFFF" w:themeFill="background1"/>
            <w:tcMar>
              <w:left w:w="85" w:type="dxa"/>
              <w:right w:w="85" w:type="dxa"/>
            </w:tcMar>
          </w:tcPr>
          <w:p w14:paraId="5FDCB354"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30D88598" w14:textId="77777777" w:rsidR="00CF3E30" w:rsidRPr="00C74702" w:rsidRDefault="00CF3E30" w:rsidP="00F16E23">
            <w:pPr>
              <w:pStyle w:val="TableText"/>
              <w:spacing w:before="40" w:after="40"/>
              <w:rPr>
                <w:rFonts w:eastAsia="Calibri"/>
                <w:szCs w:val="16"/>
              </w:rPr>
            </w:pPr>
            <w:r w:rsidRPr="00C74702">
              <w:rPr>
                <w:rFonts w:eastAsia="Calibri"/>
                <w:szCs w:val="16"/>
              </w:rPr>
              <w:t>7.W.4</w:t>
            </w:r>
          </w:p>
        </w:tc>
        <w:tc>
          <w:tcPr>
            <w:tcW w:w="1372" w:type="pct"/>
            <w:shd w:val="clear" w:color="auto" w:fill="FFFFFF" w:themeFill="background1"/>
            <w:tcMar>
              <w:top w:w="0" w:type="dxa"/>
              <w:left w:w="85" w:type="dxa"/>
              <w:bottom w:w="0" w:type="dxa"/>
              <w:right w:w="85" w:type="dxa"/>
            </w:tcMar>
          </w:tcPr>
          <w:p w14:paraId="7D89D728"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31 of the MPGs</w:t>
            </w:r>
          </w:p>
          <w:p w14:paraId="2C10098D" w14:textId="77777777" w:rsidR="00CF3E30" w:rsidRPr="00C74702" w:rsidRDefault="00CF3E30" w:rsidP="00F16E23">
            <w:pPr>
              <w:pStyle w:val="TableText"/>
              <w:spacing w:before="40" w:after="40"/>
              <w:rPr>
                <w:rFonts w:eastAsia="Calibri"/>
                <w:szCs w:val="16"/>
              </w:rPr>
            </w:pPr>
            <w:r w:rsidRPr="00C74702">
              <w:rPr>
                <w:rFonts w:eastAsia="Calibri"/>
                <w:szCs w:val="16"/>
              </w:rPr>
              <w:t>5.C Incineration and open burning of waste –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7E4B2EF9"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report emissions as “NO” for subcategory 5.C.1.b.i incineration of municipal solid waste.</w:t>
            </w:r>
          </w:p>
        </w:tc>
        <w:tc>
          <w:tcPr>
            <w:tcW w:w="1036" w:type="pct"/>
            <w:shd w:val="clear" w:color="auto" w:fill="FFFFFF" w:themeFill="background1"/>
            <w:tcMar>
              <w:top w:w="0" w:type="dxa"/>
              <w:left w:w="85" w:type="dxa"/>
              <w:bottom w:w="0" w:type="dxa"/>
              <w:right w:w="85" w:type="dxa"/>
            </w:tcMar>
          </w:tcPr>
          <w:p w14:paraId="255614F9"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Resolved. The Party has reported emissions from the </w:t>
            </w:r>
            <w:r w:rsidRPr="00C74702">
              <w:rPr>
                <w:rFonts w:eastAsia="Calibri"/>
                <w:i/>
                <w:szCs w:val="16"/>
              </w:rPr>
              <w:t xml:space="preserve">Open </w:t>
            </w:r>
            <w:r w:rsidRPr="00C74702">
              <w:rPr>
                <w:rFonts w:eastAsia="Calibri"/>
                <w:i/>
                <w:iCs/>
                <w:szCs w:val="16"/>
              </w:rPr>
              <w:t>burning</w:t>
            </w:r>
            <w:r w:rsidRPr="00C74702">
              <w:rPr>
                <w:rFonts w:eastAsia="Calibri"/>
                <w:i/>
                <w:szCs w:val="16"/>
              </w:rPr>
              <w:t xml:space="preserve"> of </w:t>
            </w:r>
            <w:r w:rsidRPr="00C74702">
              <w:rPr>
                <w:rFonts w:eastAsia="Calibri"/>
                <w:i/>
                <w:iCs/>
                <w:szCs w:val="16"/>
              </w:rPr>
              <w:t>municipal solid waste</w:t>
            </w:r>
            <w:r w:rsidRPr="00C74702">
              <w:rPr>
                <w:rFonts w:eastAsia="Calibri"/>
                <w:szCs w:val="16"/>
              </w:rPr>
              <w:t xml:space="preserve"> subcategory (5.C.1.b.i) as ‘NO’ since the 2025 NID submission, replacing the previous use of the notation key ‘NE’.</w:t>
            </w:r>
          </w:p>
        </w:tc>
      </w:tr>
      <w:tr w:rsidR="00CF3E30" w:rsidRPr="00C74702" w14:paraId="5933BC0F" w14:textId="77777777" w:rsidTr="00F16E23">
        <w:tc>
          <w:tcPr>
            <w:tcW w:w="356" w:type="pct"/>
            <w:shd w:val="clear" w:color="auto" w:fill="FFFFFF" w:themeFill="background1"/>
            <w:tcMar>
              <w:left w:w="85" w:type="dxa"/>
              <w:right w:w="85" w:type="dxa"/>
            </w:tcMar>
          </w:tcPr>
          <w:p w14:paraId="34F04D6D"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01D70F91" w14:textId="77777777" w:rsidR="00CF3E30" w:rsidRPr="00C74702" w:rsidRDefault="00CF3E30" w:rsidP="00F16E23">
            <w:pPr>
              <w:pStyle w:val="TableText"/>
              <w:spacing w:before="40" w:after="40"/>
              <w:rPr>
                <w:rFonts w:eastAsia="Calibri"/>
                <w:szCs w:val="16"/>
              </w:rPr>
            </w:pPr>
            <w:r w:rsidRPr="00C74702">
              <w:rPr>
                <w:rFonts w:eastAsia="Calibri"/>
                <w:szCs w:val="16"/>
              </w:rPr>
              <w:t>7.W.5</w:t>
            </w:r>
          </w:p>
        </w:tc>
        <w:tc>
          <w:tcPr>
            <w:tcW w:w="1372" w:type="pct"/>
            <w:shd w:val="clear" w:color="auto" w:fill="FFFFFF" w:themeFill="background1"/>
            <w:tcMar>
              <w:top w:w="0" w:type="dxa"/>
              <w:left w:w="85" w:type="dxa"/>
              <w:bottom w:w="0" w:type="dxa"/>
              <w:right w:w="85" w:type="dxa"/>
            </w:tcMar>
          </w:tcPr>
          <w:p w14:paraId="327CCD4C"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31, 45 and 47 of the MPGs</w:t>
            </w:r>
          </w:p>
          <w:p w14:paraId="78DCA91C" w14:textId="77777777" w:rsidR="00CF3E30" w:rsidRPr="00C74702" w:rsidRDefault="00CF3E30" w:rsidP="00F16E23">
            <w:pPr>
              <w:pStyle w:val="TableText"/>
              <w:spacing w:before="40" w:after="40"/>
              <w:rPr>
                <w:rFonts w:eastAsia="Calibri"/>
                <w:szCs w:val="16"/>
              </w:rPr>
            </w:pPr>
            <w:r w:rsidRPr="00C74702">
              <w:rPr>
                <w:rFonts w:eastAsia="Calibri"/>
                <w:szCs w:val="16"/>
              </w:rPr>
              <w:t>5.C.2 Open burning of waste – CO</w:t>
            </w:r>
            <w:r w:rsidRPr="00C74702">
              <w:rPr>
                <w:rFonts w:eastAsia="Calibri"/>
                <w:szCs w:val="16"/>
                <w:vertAlign w:val="subscript"/>
              </w:rPr>
              <w:t>2</w:t>
            </w:r>
            <w:r w:rsidRPr="00C74702">
              <w:rPr>
                <w:rFonts w:eastAsia="Calibri"/>
                <w:szCs w:val="16"/>
              </w:rPr>
              <w:t>,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44509979"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report emissions from open burning of waste at remote rural schools under subcategory 5.C.2.b.ii other</w:t>
            </w:r>
            <w:r w:rsidRPr="00C74702" w:rsidDel="006466A2">
              <w:rPr>
                <w:rFonts w:eastAsia="Calibri"/>
                <w:szCs w:val="16"/>
              </w:rPr>
              <w:t xml:space="preserve"> </w:t>
            </w:r>
            <w:r w:rsidRPr="00C74702">
              <w:rPr>
                <w:rFonts w:eastAsia="Calibri"/>
                <w:szCs w:val="16"/>
              </w:rPr>
              <w:t>in CRT 5.C. If it is not possible to do so owing to a lack of data, the TERT recommends that the Party report the emissions as “NE” under subcategory 5.C.2.b.ii other in CRT 5.C.</w:t>
            </w:r>
          </w:p>
        </w:tc>
        <w:tc>
          <w:tcPr>
            <w:tcW w:w="1036" w:type="pct"/>
            <w:shd w:val="clear" w:color="auto" w:fill="FFFFFF" w:themeFill="background1"/>
            <w:tcMar>
              <w:top w:w="0" w:type="dxa"/>
              <w:left w:w="85" w:type="dxa"/>
              <w:bottom w:w="0" w:type="dxa"/>
              <w:right w:w="85" w:type="dxa"/>
            </w:tcMar>
          </w:tcPr>
          <w:p w14:paraId="631C8C00"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Resolved. The Party has established a new subcategory for </w:t>
            </w:r>
            <w:r w:rsidRPr="00C74702">
              <w:rPr>
                <w:rFonts w:eastAsia="Calibri"/>
                <w:i/>
                <w:szCs w:val="16"/>
              </w:rPr>
              <w:t xml:space="preserve">Open </w:t>
            </w:r>
            <w:r w:rsidRPr="00C74702">
              <w:rPr>
                <w:rFonts w:eastAsia="Calibri"/>
                <w:i/>
                <w:iCs/>
                <w:szCs w:val="16"/>
              </w:rPr>
              <w:t>burning</w:t>
            </w:r>
            <w:r w:rsidRPr="00C74702">
              <w:rPr>
                <w:rFonts w:eastAsia="Calibri"/>
                <w:i/>
                <w:szCs w:val="16"/>
              </w:rPr>
              <w:t xml:space="preserve"> at </w:t>
            </w:r>
            <w:r w:rsidRPr="00C74702">
              <w:rPr>
                <w:rFonts w:eastAsia="Calibri"/>
                <w:i/>
                <w:iCs/>
                <w:szCs w:val="16"/>
              </w:rPr>
              <w:t>rural schools</w:t>
            </w:r>
            <w:r w:rsidRPr="00C74702">
              <w:rPr>
                <w:rFonts w:eastAsia="Calibri"/>
                <w:szCs w:val="16"/>
              </w:rPr>
              <w:t xml:space="preserve"> (5.C.2.b.ii). Due to the absence of activity data and emission factors, emissions for this subcategory are currently reported as ‘NE’.</w:t>
            </w:r>
          </w:p>
        </w:tc>
      </w:tr>
      <w:tr w:rsidR="00CF3E30" w:rsidRPr="00C74702" w14:paraId="530868D4" w14:textId="77777777" w:rsidTr="00F16E23">
        <w:tc>
          <w:tcPr>
            <w:tcW w:w="356" w:type="pct"/>
            <w:shd w:val="clear" w:color="auto" w:fill="FFFFFF" w:themeFill="background1"/>
            <w:tcMar>
              <w:left w:w="85" w:type="dxa"/>
              <w:right w:w="85" w:type="dxa"/>
            </w:tcMar>
          </w:tcPr>
          <w:p w14:paraId="30C2600B"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2BEB629C" w14:textId="77777777" w:rsidR="00CF3E30" w:rsidRPr="00C74702" w:rsidRDefault="00CF3E30" w:rsidP="00F16E23">
            <w:pPr>
              <w:pStyle w:val="TableText"/>
              <w:spacing w:before="40" w:after="40"/>
              <w:rPr>
                <w:rFonts w:eastAsia="Calibri"/>
                <w:szCs w:val="16"/>
              </w:rPr>
            </w:pPr>
            <w:r w:rsidRPr="00C74702">
              <w:rPr>
                <w:rFonts w:eastAsia="Calibri"/>
                <w:szCs w:val="16"/>
              </w:rPr>
              <w:t>7.W.6</w:t>
            </w:r>
          </w:p>
        </w:tc>
        <w:tc>
          <w:tcPr>
            <w:tcW w:w="1372" w:type="pct"/>
            <w:shd w:val="clear" w:color="auto" w:fill="FFFFFF" w:themeFill="background1"/>
            <w:tcMar>
              <w:top w:w="0" w:type="dxa"/>
              <w:left w:w="85" w:type="dxa"/>
              <w:bottom w:w="0" w:type="dxa"/>
              <w:right w:w="85" w:type="dxa"/>
            </w:tcMar>
          </w:tcPr>
          <w:p w14:paraId="0032C1A2"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paragraphs 39–40 of the MPGs</w:t>
            </w:r>
          </w:p>
          <w:p w14:paraId="363B17DA" w14:textId="77777777" w:rsidR="00CF3E30" w:rsidRPr="00C74702" w:rsidRDefault="00CF3E30" w:rsidP="00F16E23">
            <w:pPr>
              <w:pStyle w:val="TableText"/>
              <w:spacing w:before="40" w:after="40"/>
              <w:rPr>
                <w:rFonts w:eastAsia="Calibri"/>
                <w:szCs w:val="16"/>
              </w:rPr>
            </w:pPr>
            <w:r w:rsidRPr="00C74702">
              <w:rPr>
                <w:rFonts w:eastAsia="Calibri"/>
                <w:szCs w:val="16"/>
              </w:rPr>
              <w:t>5.D Wastewater treatment and discharge –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140EE249"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include in the NID a transparent description of the country’s wastewater treatment plants and practices, including the volume of wastewater treated in large plants, and the CH</w:t>
            </w:r>
            <w:r w:rsidRPr="00C74702">
              <w:rPr>
                <w:rFonts w:eastAsia="Calibri"/>
                <w:szCs w:val="16"/>
                <w:vertAlign w:val="subscript"/>
              </w:rPr>
              <w:t>4</w:t>
            </w:r>
            <w:r w:rsidRPr="00C74702">
              <w:rPr>
                <w:rFonts w:eastAsia="Calibri"/>
                <w:szCs w:val="16"/>
              </w:rPr>
              <w:t xml:space="preserve"> recovery and nutrient-removal capacities of the plants, as well as information on the methods and data used to estimate CH</w:t>
            </w:r>
            <w:r w:rsidRPr="00C74702">
              <w:rPr>
                <w:rFonts w:eastAsia="Calibri"/>
                <w:szCs w:val="16"/>
                <w:vertAlign w:val="subscript"/>
              </w:rPr>
              <w:t>4</w:t>
            </w:r>
            <w:r w:rsidRPr="00C74702">
              <w:rPr>
                <w:rFonts w:eastAsia="Calibri"/>
                <w:szCs w:val="16"/>
              </w:rPr>
              <w:t xml:space="preserve"> and N</w:t>
            </w:r>
            <w:r w:rsidRPr="00C74702">
              <w:rPr>
                <w:rFonts w:eastAsia="Calibri"/>
                <w:szCs w:val="16"/>
                <w:vertAlign w:val="subscript"/>
              </w:rPr>
              <w:t>2</w:t>
            </w:r>
            <w:r w:rsidRPr="00C74702">
              <w:rPr>
                <w:rFonts w:eastAsia="Calibri"/>
                <w:szCs w:val="16"/>
              </w:rPr>
              <w:t xml:space="preserve">O emissions from the plants and septic tanks. </w:t>
            </w:r>
          </w:p>
        </w:tc>
        <w:tc>
          <w:tcPr>
            <w:tcW w:w="1036" w:type="pct"/>
            <w:shd w:val="clear" w:color="auto" w:fill="FFFFFF" w:themeFill="background1"/>
            <w:tcMar>
              <w:top w:w="0" w:type="dxa"/>
              <w:left w:w="85" w:type="dxa"/>
              <w:bottom w:w="0" w:type="dxa"/>
              <w:right w:w="85" w:type="dxa"/>
            </w:tcMar>
          </w:tcPr>
          <w:p w14:paraId="1A0BD573" w14:textId="77777777" w:rsidR="00CF3E30" w:rsidRPr="00C74702" w:rsidRDefault="00CF3E30" w:rsidP="00F16E23">
            <w:pPr>
              <w:pStyle w:val="TableText"/>
              <w:spacing w:before="40" w:after="40"/>
              <w:rPr>
                <w:rFonts w:eastAsia="Calibri"/>
                <w:szCs w:val="16"/>
              </w:rPr>
            </w:pPr>
            <w:r w:rsidRPr="00C74702">
              <w:rPr>
                <w:rFonts w:eastAsia="Calibri"/>
                <w:szCs w:val="16"/>
              </w:rPr>
              <w:t>Resolved. Additional information on wastewater treatment plant management practices and treated volumes has been added to section 7.5.1. Details on the methods and data used to estimate CH₄ and N₂O emissions are provided in tables 7.5.5, 7.5.6 and 7.5.7.</w:t>
            </w:r>
          </w:p>
        </w:tc>
      </w:tr>
      <w:tr w:rsidR="00CF3E30" w:rsidRPr="00C74702" w14:paraId="2854BF1B" w14:textId="77777777" w:rsidTr="00F16E23">
        <w:tc>
          <w:tcPr>
            <w:tcW w:w="356" w:type="pct"/>
            <w:shd w:val="clear" w:color="auto" w:fill="FFFFFF" w:themeFill="background1"/>
            <w:tcMar>
              <w:left w:w="85" w:type="dxa"/>
              <w:right w:w="85" w:type="dxa"/>
            </w:tcMar>
          </w:tcPr>
          <w:p w14:paraId="04AA74DF"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1A52390D" w14:textId="77777777" w:rsidR="00CF3E30" w:rsidRPr="00C74702" w:rsidRDefault="00CF3E30" w:rsidP="00F16E23">
            <w:pPr>
              <w:pStyle w:val="TableText"/>
              <w:spacing w:before="40" w:after="40"/>
              <w:rPr>
                <w:rFonts w:eastAsia="Calibri"/>
                <w:szCs w:val="16"/>
              </w:rPr>
            </w:pPr>
            <w:r w:rsidRPr="00C74702">
              <w:rPr>
                <w:rFonts w:eastAsia="Calibri"/>
                <w:szCs w:val="16"/>
              </w:rPr>
              <w:t>7.W.7</w:t>
            </w:r>
          </w:p>
        </w:tc>
        <w:tc>
          <w:tcPr>
            <w:tcW w:w="1372" w:type="pct"/>
            <w:shd w:val="clear" w:color="auto" w:fill="FFFFFF" w:themeFill="background1"/>
            <w:tcMar>
              <w:top w:w="0" w:type="dxa"/>
              <w:left w:w="85" w:type="dxa"/>
              <w:bottom w:w="0" w:type="dxa"/>
              <w:right w:w="85" w:type="dxa"/>
            </w:tcMar>
          </w:tcPr>
          <w:p w14:paraId="5F635760"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47 of the MPGs</w:t>
            </w:r>
          </w:p>
          <w:p w14:paraId="011BEBCD" w14:textId="77777777" w:rsidR="00CF3E30" w:rsidRPr="00C74702" w:rsidRDefault="00CF3E30" w:rsidP="00F16E23">
            <w:pPr>
              <w:pStyle w:val="TableText"/>
              <w:spacing w:before="40" w:after="40"/>
              <w:rPr>
                <w:rFonts w:eastAsia="Calibri"/>
                <w:szCs w:val="16"/>
              </w:rPr>
            </w:pPr>
            <w:r w:rsidRPr="00C74702">
              <w:rPr>
                <w:rFonts w:eastAsia="Calibri"/>
                <w:szCs w:val="16"/>
              </w:rPr>
              <w:t>5.D Wastewater treatment and discharge – CH</w:t>
            </w:r>
            <w:r w:rsidRPr="00C74702">
              <w:rPr>
                <w:rFonts w:eastAsia="Calibri"/>
                <w:szCs w:val="16"/>
                <w:vertAlign w:val="subscript"/>
              </w:rPr>
              <w:t>4</w:t>
            </w:r>
            <w:r w:rsidRPr="00C74702">
              <w:rPr>
                <w:rFonts w:eastAsia="Calibri"/>
                <w:szCs w:val="16"/>
              </w:rPr>
              <w:t xml:space="preserve"> </w:t>
            </w:r>
          </w:p>
        </w:tc>
        <w:tc>
          <w:tcPr>
            <w:tcW w:w="2033" w:type="pct"/>
            <w:shd w:val="clear" w:color="auto" w:fill="FFFFFF" w:themeFill="background1"/>
            <w:tcMar>
              <w:top w:w="0" w:type="dxa"/>
              <w:left w:w="85" w:type="dxa"/>
              <w:bottom w:w="0" w:type="dxa"/>
              <w:right w:w="85" w:type="dxa"/>
            </w:tcMar>
          </w:tcPr>
          <w:p w14:paraId="2731B67F" w14:textId="77777777" w:rsidR="00CF3E30" w:rsidRPr="00C74702" w:rsidRDefault="00CF3E30" w:rsidP="00F16E23">
            <w:pPr>
              <w:pStyle w:val="TableText"/>
              <w:spacing w:before="40" w:after="40"/>
              <w:rPr>
                <w:rFonts w:eastAsia="Calibri"/>
                <w:szCs w:val="16"/>
              </w:rPr>
            </w:pPr>
            <w:r w:rsidRPr="00C74702">
              <w:rPr>
                <w:rFonts w:eastAsia="Calibri"/>
                <w:szCs w:val="16"/>
              </w:rPr>
              <w:t>The TERT encourages the Party to collect the necessary data to estimate and report CH</w:t>
            </w:r>
            <w:r w:rsidRPr="00C74702">
              <w:rPr>
                <w:rFonts w:eastAsia="Calibri"/>
                <w:szCs w:val="16"/>
                <w:vertAlign w:val="subscript"/>
              </w:rPr>
              <w:t>4</w:t>
            </w:r>
            <w:r w:rsidRPr="00C74702">
              <w:rPr>
                <w:rFonts w:eastAsia="Calibri"/>
                <w:szCs w:val="16"/>
              </w:rPr>
              <w:t xml:space="preserve"> recovery for subcategory 5.D.1 domestic wastewater and clearly indicate the subcategory of the energy sector where CH</w:t>
            </w:r>
            <w:r w:rsidRPr="00C74702">
              <w:rPr>
                <w:rFonts w:eastAsia="Calibri"/>
                <w:szCs w:val="16"/>
                <w:vertAlign w:val="subscript"/>
              </w:rPr>
              <w:t xml:space="preserve">4 </w:t>
            </w:r>
            <w:r w:rsidRPr="00C74702">
              <w:rPr>
                <w:rFonts w:eastAsia="Calibri"/>
                <w:szCs w:val="16"/>
              </w:rPr>
              <w:t>recovered for energy purposes from subcategory 5.D.2 industrial wastewater is included</w:t>
            </w:r>
            <w:r w:rsidRPr="00C74702" w:rsidDel="003160D2">
              <w:rPr>
                <w:rFonts w:eastAsia="Calibri"/>
                <w:szCs w:val="16"/>
              </w:rPr>
              <w:t>.</w:t>
            </w:r>
          </w:p>
        </w:tc>
        <w:tc>
          <w:tcPr>
            <w:tcW w:w="1036" w:type="pct"/>
            <w:shd w:val="clear" w:color="auto" w:fill="FFFFFF" w:themeFill="background1"/>
            <w:tcMar>
              <w:top w:w="0" w:type="dxa"/>
              <w:left w:w="85" w:type="dxa"/>
              <w:bottom w:w="0" w:type="dxa"/>
              <w:right w:w="85" w:type="dxa"/>
            </w:tcMar>
          </w:tcPr>
          <w:p w14:paraId="3932E142"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 xml:space="preserve">Not resolved. Further investigation </w:t>
            </w:r>
          </w:p>
          <w:p w14:paraId="6FF86C04" w14:textId="77777777" w:rsidR="00CF3E30" w:rsidRPr="00C74702" w:rsidRDefault="00CF3E30" w:rsidP="00F16E23">
            <w:pPr>
              <w:pStyle w:val="TableText"/>
              <w:spacing w:before="40" w:after="40"/>
              <w:rPr>
                <w:rFonts w:eastAsia="Calibri"/>
                <w:szCs w:val="16"/>
              </w:rPr>
            </w:pPr>
            <w:r w:rsidRPr="00C74702">
              <w:rPr>
                <w:rFonts w:eastAsia="Calibri"/>
                <w:szCs w:val="16"/>
              </w:rPr>
              <w:t>is required to estimate and report CH</w:t>
            </w:r>
            <w:r w:rsidRPr="00C74702">
              <w:rPr>
                <w:rFonts w:eastAsia="Calibri"/>
                <w:szCs w:val="16"/>
                <w:vertAlign w:val="subscript"/>
              </w:rPr>
              <w:t>4</w:t>
            </w:r>
            <w:r w:rsidRPr="00C74702">
              <w:rPr>
                <w:rFonts w:eastAsia="Calibri"/>
                <w:szCs w:val="16"/>
              </w:rPr>
              <w:t xml:space="preserve"> recovery for the </w:t>
            </w:r>
            <w:r w:rsidRPr="00C74702">
              <w:rPr>
                <w:rFonts w:eastAsia="Calibri"/>
                <w:i/>
                <w:iCs/>
                <w:szCs w:val="16"/>
              </w:rPr>
              <w:t>Domestic</w:t>
            </w:r>
            <w:r w:rsidRPr="00C74702">
              <w:rPr>
                <w:rFonts w:eastAsia="Calibri"/>
                <w:i/>
                <w:szCs w:val="16"/>
              </w:rPr>
              <w:t xml:space="preserve"> wastewater</w:t>
            </w:r>
            <w:r w:rsidRPr="00C74702">
              <w:rPr>
                <w:rFonts w:eastAsia="Calibri"/>
                <w:szCs w:val="16"/>
              </w:rPr>
              <w:t xml:space="preserve"> subcategory (5.D.1).</w:t>
            </w:r>
          </w:p>
        </w:tc>
      </w:tr>
      <w:tr w:rsidR="00CF3E30" w:rsidRPr="00C74702" w14:paraId="478FBAA4" w14:textId="77777777" w:rsidTr="00F16E23">
        <w:tc>
          <w:tcPr>
            <w:tcW w:w="356" w:type="pct"/>
            <w:shd w:val="clear" w:color="auto" w:fill="FFFFFF" w:themeFill="background1"/>
            <w:tcMar>
              <w:left w:w="85" w:type="dxa"/>
              <w:right w:w="85" w:type="dxa"/>
            </w:tcMar>
          </w:tcPr>
          <w:p w14:paraId="563426C7"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29C0946F" w14:textId="77777777" w:rsidR="00CF3E30" w:rsidRPr="00C74702" w:rsidRDefault="00CF3E30" w:rsidP="00F16E23">
            <w:pPr>
              <w:pStyle w:val="TableText"/>
              <w:spacing w:before="40" w:after="40"/>
              <w:rPr>
                <w:rFonts w:eastAsia="Calibri"/>
                <w:szCs w:val="16"/>
              </w:rPr>
            </w:pPr>
            <w:r w:rsidRPr="00C74702">
              <w:rPr>
                <w:rFonts w:eastAsia="Calibri"/>
                <w:szCs w:val="16"/>
              </w:rPr>
              <w:t>7.W.8</w:t>
            </w:r>
          </w:p>
        </w:tc>
        <w:tc>
          <w:tcPr>
            <w:tcW w:w="1372" w:type="pct"/>
            <w:shd w:val="clear" w:color="auto" w:fill="FFFFFF" w:themeFill="background1"/>
            <w:tcMar>
              <w:top w:w="0" w:type="dxa"/>
              <w:left w:w="85" w:type="dxa"/>
              <w:bottom w:w="0" w:type="dxa"/>
              <w:right w:w="85" w:type="dxa"/>
            </w:tcMar>
          </w:tcPr>
          <w:p w14:paraId="5C0B2EA1" w14:textId="77777777" w:rsidR="00CF3E30" w:rsidRPr="00C74702" w:rsidRDefault="00CF3E30" w:rsidP="00F16E23">
            <w:pPr>
              <w:pStyle w:val="TableText"/>
              <w:spacing w:before="40" w:after="40"/>
              <w:rPr>
                <w:rFonts w:eastAsia="Calibri"/>
                <w:color w:val="000000"/>
                <w:szCs w:val="16"/>
              </w:rPr>
            </w:pPr>
            <w:r w:rsidRPr="00C74702">
              <w:rPr>
                <w:rFonts w:eastAsia="Calibri"/>
                <w:szCs w:val="16"/>
              </w:rPr>
              <w:t>Specified in paragraph 47 of the MPGs</w:t>
            </w:r>
          </w:p>
          <w:p w14:paraId="3408BB31" w14:textId="77777777" w:rsidR="00CF3E30" w:rsidRPr="00C74702" w:rsidRDefault="00CF3E30" w:rsidP="00F16E23">
            <w:pPr>
              <w:pStyle w:val="TableText"/>
              <w:spacing w:before="40" w:after="40"/>
              <w:rPr>
                <w:rFonts w:eastAsia="Calibri"/>
                <w:szCs w:val="16"/>
              </w:rPr>
            </w:pPr>
            <w:r w:rsidRPr="00C74702">
              <w:rPr>
                <w:rFonts w:eastAsia="Calibri"/>
                <w:szCs w:val="16"/>
              </w:rPr>
              <w:t>5.D Wastewater treatment and discharge –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4E02256F" w14:textId="77777777" w:rsidR="00CF3E30" w:rsidRPr="00C74702" w:rsidRDefault="00CF3E30" w:rsidP="00F16E23">
            <w:pPr>
              <w:pStyle w:val="TableText"/>
              <w:spacing w:before="40" w:after="40"/>
              <w:rPr>
                <w:rFonts w:eastAsia="Calibri"/>
                <w:szCs w:val="16"/>
              </w:rPr>
            </w:pPr>
            <w:r w:rsidRPr="00C74702">
              <w:rPr>
                <w:rFonts w:eastAsia="Calibri"/>
                <w:szCs w:val="16"/>
              </w:rPr>
              <w:t>The TERT encourages the Party to identify whether nutrient-removal technologies are installed at the large wastewater treatment plants other than in Auckland, and to report direct N</w:t>
            </w:r>
            <w:r w:rsidRPr="00C74702">
              <w:rPr>
                <w:rFonts w:eastAsia="Calibri"/>
                <w:szCs w:val="16"/>
                <w:vertAlign w:val="subscript"/>
              </w:rPr>
              <w:t>2</w:t>
            </w:r>
            <w:r w:rsidRPr="00C74702">
              <w:rPr>
                <w:rFonts w:eastAsia="Calibri"/>
                <w:szCs w:val="16"/>
              </w:rPr>
              <w:t>O emissions from subcategory 5.D.1 domestic wastewater including all such plants.</w:t>
            </w:r>
          </w:p>
        </w:tc>
        <w:tc>
          <w:tcPr>
            <w:tcW w:w="1036" w:type="pct"/>
            <w:shd w:val="clear" w:color="auto" w:fill="FFFFFF" w:themeFill="background1"/>
            <w:tcMar>
              <w:top w:w="0" w:type="dxa"/>
              <w:left w:w="85" w:type="dxa"/>
              <w:bottom w:w="0" w:type="dxa"/>
              <w:right w:w="85" w:type="dxa"/>
            </w:tcMar>
          </w:tcPr>
          <w:p w14:paraId="4362FCF9" w14:textId="77777777" w:rsidR="00CF3E30" w:rsidRPr="00C74702" w:rsidRDefault="00CF3E30" w:rsidP="00F16E23">
            <w:pPr>
              <w:pStyle w:val="TableText"/>
              <w:spacing w:before="40" w:after="40"/>
              <w:rPr>
                <w:rFonts w:eastAsia="Calibri"/>
                <w:szCs w:val="16"/>
              </w:rPr>
            </w:pPr>
            <w:r w:rsidRPr="00C74702">
              <w:rPr>
                <w:rFonts w:eastAsia="Calibri"/>
                <w:szCs w:val="16"/>
              </w:rPr>
              <w:t xml:space="preserve">Not resolved. Further investigation is required to determine the type and number of nutrient-removal technologies installed at large wastewater treatment plants. This information is necessary to enable the estimation and reporting of direct N₂O emissions under the </w:t>
            </w:r>
            <w:r w:rsidRPr="00C74702">
              <w:rPr>
                <w:rFonts w:eastAsia="Calibri"/>
                <w:i/>
                <w:iCs/>
                <w:szCs w:val="16"/>
              </w:rPr>
              <w:t>Domestic</w:t>
            </w:r>
            <w:r w:rsidRPr="00C74702">
              <w:rPr>
                <w:rFonts w:eastAsia="Calibri"/>
                <w:i/>
                <w:szCs w:val="16"/>
              </w:rPr>
              <w:t xml:space="preserve"> wastewater</w:t>
            </w:r>
            <w:r w:rsidRPr="00C74702">
              <w:rPr>
                <w:rFonts w:eastAsia="Calibri"/>
                <w:szCs w:val="16"/>
              </w:rPr>
              <w:t xml:space="preserve"> subcategory (5.D.1).</w:t>
            </w:r>
          </w:p>
        </w:tc>
      </w:tr>
      <w:tr w:rsidR="00CF3E30" w:rsidRPr="00C74702" w14:paraId="6C2C7A6B" w14:textId="77777777" w:rsidTr="00F16E23">
        <w:tc>
          <w:tcPr>
            <w:tcW w:w="356" w:type="pct"/>
            <w:shd w:val="clear" w:color="auto" w:fill="FFFFFF" w:themeFill="background1"/>
            <w:tcMar>
              <w:left w:w="85" w:type="dxa"/>
              <w:right w:w="85" w:type="dxa"/>
            </w:tcMar>
          </w:tcPr>
          <w:p w14:paraId="6FF80BC7" w14:textId="77777777" w:rsidR="00CF3E30" w:rsidRPr="00C74702" w:rsidRDefault="00CF3E30" w:rsidP="00F16E23">
            <w:pPr>
              <w:pStyle w:val="TableText"/>
              <w:spacing w:before="40" w:after="40"/>
              <w:rPr>
                <w:rFonts w:eastAsia="Calibri"/>
                <w:color w:val="000000"/>
                <w:szCs w:val="16"/>
              </w:rPr>
            </w:pPr>
          </w:p>
        </w:tc>
        <w:tc>
          <w:tcPr>
            <w:tcW w:w="203" w:type="pct"/>
            <w:shd w:val="clear" w:color="auto" w:fill="FFFFFF" w:themeFill="background1"/>
            <w:tcMar>
              <w:top w:w="0" w:type="dxa"/>
              <w:left w:w="85" w:type="dxa"/>
              <w:bottom w:w="0" w:type="dxa"/>
              <w:right w:w="85" w:type="dxa"/>
            </w:tcMar>
          </w:tcPr>
          <w:p w14:paraId="19E8C835" w14:textId="77777777" w:rsidR="00CF3E30" w:rsidRPr="00C74702" w:rsidRDefault="00CF3E30" w:rsidP="00F16E23">
            <w:pPr>
              <w:pStyle w:val="TableText"/>
              <w:spacing w:before="40" w:after="40"/>
              <w:rPr>
                <w:rFonts w:eastAsia="Calibri"/>
                <w:szCs w:val="16"/>
              </w:rPr>
            </w:pPr>
            <w:r w:rsidRPr="00C74702">
              <w:rPr>
                <w:rFonts w:eastAsia="Calibri"/>
                <w:szCs w:val="16"/>
              </w:rPr>
              <w:t>7.W.9</w:t>
            </w:r>
          </w:p>
        </w:tc>
        <w:tc>
          <w:tcPr>
            <w:tcW w:w="1372" w:type="pct"/>
            <w:shd w:val="clear" w:color="auto" w:fill="FFFFFF" w:themeFill="background1"/>
            <w:tcMar>
              <w:top w:w="0" w:type="dxa"/>
              <w:left w:w="85" w:type="dxa"/>
              <w:bottom w:w="0" w:type="dxa"/>
              <w:right w:w="85" w:type="dxa"/>
            </w:tcMar>
          </w:tcPr>
          <w:p w14:paraId="125556EC" w14:textId="77777777" w:rsidR="00CF3E30" w:rsidRPr="00C74702" w:rsidDel="005245A9" w:rsidRDefault="00CF3E30" w:rsidP="00F16E23">
            <w:pPr>
              <w:pStyle w:val="TableText"/>
              <w:spacing w:before="40" w:after="40"/>
              <w:rPr>
                <w:rFonts w:eastAsia="Calibri"/>
                <w:color w:val="000000"/>
                <w:szCs w:val="16"/>
              </w:rPr>
            </w:pPr>
            <w:r w:rsidRPr="00C74702" w:rsidDel="005245A9">
              <w:rPr>
                <w:rFonts w:eastAsia="Calibri"/>
                <w:szCs w:val="16"/>
              </w:rPr>
              <w:t>Specified in paragraph</w:t>
            </w:r>
            <w:r w:rsidRPr="00C74702">
              <w:rPr>
                <w:rFonts w:eastAsia="Calibri"/>
                <w:szCs w:val="16"/>
              </w:rPr>
              <w:t>s</w:t>
            </w:r>
            <w:r w:rsidRPr="00C74702" w:rsidDel="005245A9">
              <w:rPr>
                <w:rFonts w:eastAsia="Calibri"/>
                <w:szCs w:val="16"/>
              </w:rPr>
              <w:t xml:space="preserve"> </w:t>
            </w:r>
            <w:r w:rsidRPr="00C74702">
              <w:rPr>
                <w:rFonts w:eastAsia="Calibri"/>
                <w:szCs w:val="16"/>
              </w:rPr>
              <w:t xml:space="preserve">21 and 39 </w:t>
            </w:r>
            <w:r w:rsidRPr="00C74702" w:rsidDel="005245A9">
              <w:rPr>
                <w:rFonts w:eastAsia="Calibri"/>
                <w:szCs w:val="16"/>
              </w:rPr>
              <w:t>of the MPG</w:t>
            </w:r>
            <w:r w:rsidRPr="00C74702">
              <w:rPr>
                <w:rFonts w:eastAsia="Calibri"/>
                <w:szCs w:val="16"/>
              </w:rPr>
              <w:t>s</w:t>
            </w:r>
          </w:p>
          <w:p w14:paraId="6EF46204" w14:textId="77777777" w:rsidR="00CF3E30" w:rsidRPr="00C74702" w:rsidRDefault="00CF3E30" w:rsidP="00F16E23">
            <w:pPr>
              <w:pStyle w:val="TableText"/>
              <w:spacing w:before="40" w:after="40"/>
              <w:rPr>
                <w:rFonts w:eastAsia="Calibri"/>
                <w:szCs w:val="16"/>
              </w:rPr>
            </w:pPr>
            <w:r w:rsidRPr="00C74702">
              <w:rPr>
                <w:rFonts w:eastAsia="Calibri"/>
                <w:szCs w:val="16"/>
              </w:rPr>
              <w:t>5.D Wastewater treatment and discharge – N</w:t>
            </w:r>
            <w:r w:rsidRPr="00C74702">
              <w:rPr>
                <w:rFonts w:eastAsia="Calibri"/>
                <w:szCs w:val="16"/>
                <w:vertAlign w:val="subscript"/>
              </w:rPr>
              <w:t>2</w:t>
            </w:r>
            <w:r w:rsidRPr="00C74702">
              <w:rPr>
                <w:rFonts w:eastAsia="Calibri"/>
                <w:szCs w:val="16"/>
              </w:rPr>
              <w:t xml:space="preserve">O </w:t>
            </w:r>
          </w:p>
        </w:tc>
        <w:tc>
          <w:tcPr>
            <w:tcW w:w="2033" w:type="pct"/>
            <w:shd w:val="clear" w:color="auto" w:fill="FFFFFF" w:themeFill="background1"/>
            <w:tcMar>
              <w:top w:w="0" w:type="dxa"/>
              <w:left w:w="85" w:type="dxa"/>
              <w:bottom w:w="0" w:type="dxa"/>
              <w:right w:w="85" w:type="dxa"/>
            </w:tcMar>
          </w:tcPr>
          <w:p w14:paraId="30611BD4" w14:textId="77777777" w:rsidR="00CF3E30" w:rsidRPr="00C74702" w:rsidRDefault="00CF3E30" w:rsidP="00F16E23">
            <w:pPr>
              <w:pStyle w:val="TableText"/>
              <w:spacing w:before="40" w:after="40"/>
              <w:rPr>
                <w:rFonts w:eastAsia="Calibri"/>
                <w:szCs w:val="16"/>
              </w:rPr>
            </w:pPr>
            <w:r w:rsidRPr="00C74702">
              <w:rPr>
                <w:rFonts w:eastAsia="Calibri"/>
                <w:szCs w:val="16"/>
              </w:rPr>
              <w:t>The TERT recommends that the Party estimate N</w:t>
            </w:r>
            <w:r w:rsidRPr="00C74702">
              <w:rPr>
                <w:rFonts w:eastAsia="Calibri"/>
                <w:szCs w:val="16"/>
                <w:vertAlign w:val="subscript"/>
              </w:rPr>
              <w:t>2</w:t>
            </w:r>
            <w:r w:rsidRPr="00C74702">
              <w:rPr>
                <w:rFonts w:eastAsia="Calibri"/>
                <w:szCs w:val="16"/>
              </w:rPr>
              <w:t xml:space="preserve">O emissions for category 5.D wastewater treatment and discharge using appropriately updated values for country-specific annual protein consumption that reflect the national circumstances relevant to specific years in the time series and clearly describe the assumptions behind the estimates. </w:t>
            </w:r>
          </w:p>
        </w:tc>
        <w:tc>
          <w:tcPr>
            <w:tcW w:w="1036" w:type="pct"/>
            <w:shd w:val="clear" w:color="auto" w:fill="FFFFFF" w:themeFill="background1"/>
            <w:tcMar>
              <w:top w:w="0" w:type="dxa"/>
              <w:left w:w="85" w:type="dxa"/>
              <w:bottom w:w="0" w:type="dxa"/>
              <w:right w:w="85" w:type="dxa"/>
            </w:tcMar>
          </w:tcPr>
          <w:p w14:paraId="18756EE8" w14:textId="77777777" w:rsidR="00CF3E30" w:rsidRPr="00C74702" w:rsidRDefault="00CF3E30" w:rsidP="00F16E23">
            <w:pPr>
              <w:pStyle w:val="TableText"/>
              <w:spacing w:before="40" w:after="40"/>
              <w:rPr>
                <w:rFonts w:eastAsia="Calibri"/>
                <w:szCs w:val="16"/>
              </w:rPr>
            </w:pPr>
            <w:r w:rsidRPr="00C74702">
              <w:rPr>
                <w:rFonts w:eastAsia="Calibri"/>
                <w:szCs w:val="16"/>
              </w:rPr>
              <w:t>Not resolved. Further investigation is required to obtain updated country</w:t>
            </w:r>
            <w:r w:rsidRPr="00C74702">
              <w:rPr>
                <w:rFonts w:ascii="Cambria Math" w:eastAsia="Calibri" w:hAnsi="Cambria Math" w:cs="Cambria Math"/>
                <w:szCs w:val="16"/>
              </w:rPr>
              <w:t>‑</w:t>
            </w:r>
            <w:r w:rsidRPr="00C74702">
              <w:rPr>
                <w:rFonts w:eastAsia="Calibri"/>
                <w:szCs w:val="16"/>
              </w:rPr>
              <w:t xml:space="preserve">specific annual protein consumption values. These data are necessary to accurately estimate N₂O emissions in the time series for the </w:t>
            </w:r>
            <w:r w:rsidRPr="00C74702">
              <w:rPr>
                <w:rFonts w:eastAsia="Calibri"/>
                <w:i/>
                <w:iCs/>
                <w:szCs w:val="16"/>
              </w:rPr>
              <w:t>Wastewater</w:t>
            </w:r>
            <w:r w:rsidRPr="00C74702">
              <w:rPr>
                <w:rFonts w:eastAsia="Calibri"/>
                <w:i/>
                <w:szCs w:val="16"/>
              </w:rPr>
              <w:t xml:space="preserve"> treatment and discharge</w:t>
            </w:r>
            <w:r w:rsidRPr="00C74702">
              <w:rPr>
                <w:rFonts w:eastAsia="Calibri"/>
                <w:szCs w:val="16"/>
              </w:rPr>
              <w:t xml:space="preserve"> category (5.D).</w:t>
            </w:r>
          </w:p>
        </w:tc>
      </w:tr>
    </w:tbl>
    <w:p w14:paraId="0161474C" w14:textId="73538403" w:rsidR="00CF3E30" w:rsidRDefault="00CF3E30" w:rsidP="00CF3E30">
      <w:pPr>
        <w:pStyle w:val="Noteundertable"/>
      </w:pPr>
      <w:r w:rsidRPr="00C74702">
        <w:rPr>
          <w:b/>
          <w:bCs/>
        </w:rPr>
        <w:t>Note</w:t>
      </w:r>
      <w:r w:rsidRPr="00C74702">
        <w:t xml:space="preserve">: </w:t>
      </w:r>
      <w:r w:rsidRPr="00C74702">
        <w:tab/>
        <w:t>AD = activity data; CH₄ = methane; CO₂ = carbon dioxide; CRT = common reporting table; GHG = greenhouse gas; HFCs = hydrofluorocarbons; IE = included elsewhere; IPCC</w:t>
      </w:r>
      <w:r w:rsidR="005A4C44">
        <w:t> </w:t>
      </w:r>
      <w:r w:rsidRPr="00C74702">
        <w:t>= Intergovernmental Panel on Climate Change; HWP = harvested wood products; IPPU = Industrial Processes and Product Use; LULUCF = Land Use, Land-Use Change and Forestry; MPGs = modalities, procedures and guidelines; N = nitrogen; NA = not applicable; NE = not estimated; N</w:t>
      </w:r>
      <w:r w:rsidRPr="00C74702">
        <w:rPr>
          <w:vertAlign w:val="subscript"/>
        </w:rPr>
        <w:t>ex</w:t>
      </w:r>
      <w:r w:rsidRPr="00C74702">
        <w:t xml:space="preserve"> = nitrogen excretion rates; NF</w:t>
      </w:r>
      <w:r w:rsidRPr="00C74702">
        <w:rPr>
          <w:vertAlign w:val="subscript"/>
        </w:rPr>
        <w:t>3</w:t>
      </w:r>
      <w:r w:rsidRPr="00C74702">
        <w:t xml:space="preserve"> = nitrogen trifluoride; NID = National Inventory Document; NO = not occurring; N₂O = nitrous oxide; ODS = ozone depleting substances; PFCs = perfluorocarbons; SF</w:t>
      </w:r>
      <w:r w:rsidRPr="00C74702">
        <w:rPr>
          <w:vertAlign w:val="subscript"/>
        </w:rPr>
        <w:t>6</w:t>
      </w:r>
      <w:r w:rsidRPr="00C74702">
        <w:t xml:space="preserve"> = sulphur hexafluoride; TERT = technical expert review</w:t>
      </w:r>
      <w:r w:rsidR="005A4C44">
        <w:t> </w:t>
      </w:r>
      <w:r w:rsidRPr="00C74702">
        <w:t>team; UNFCCC = United Nations Framework Convention on Climate Change.</w:t>
      </w:r>
    </w:p>
    <w:p w14:paraId="78B8697A" w14:textId="77777777" w:rsidR="001A6F91" w:rsidRDefault="001A6F91" w:rsidP="001A6F91">
      <w:pPr>
        <w:pStyle w:val="BodyText"/>
      </w:pPr>
    </w:p>
    <w:p w14:paraId="79DEE6A8" w14:textId="77777777" w:rsidR="001A6F91" w:rsidRDefault="001A6F91" w:rsidP="001A6F91">
      <w:pPr>
        <w:pStyle w:val="BodyText"/>
        <w:sectPr w:rsidR="001A6F91" w:rsidSect="00CF3E30">
          <w:footerReference w:type="default" r:id="rId291"/>
          <w:pgSz w:w="16840" w:h="11907" w:orient="landscape" w:code="9"/>
          <w:pgMar w:top="1701" w:right="1418" w:bottom="1701" w:left="1418" w:header="567" w:footer="567" w:gutter="0"/>
          <w:cols w:space="720"/>
        </w:sectPr>
      </w:pPr>
    </w:p>
    <w:p w14:paraId="0BF8DBCB" w14:textId="77777777" w:rsidR="00CF3E30" w:rsidRPr="00C74702" w:rsidRDefault="00CF3E30" w:rsidP="00CF3E30">
      <w:pPr>
        <w:pStyle w:val="Heading2"/>
      </w:pPr>
      <w:bookmarkStart w:id="3366" w:name="_Toc226460823"/>
      <w:r w:rsidRPr="00C74702">
        <w:t xml:space="preserve">10.5 </w:t>
      </w:r>
      <w:r w:rsidRPr="00C74702">
        <w:tab/>
        <w:t>Areas of improvement and/or capacity building related to the flexibility provisions</w:t>
      </w:r>
      <w:bookmarkEnd w:id="3366"/>
    </w:p>
    <w:p w14:paraId="6514C287" w14:textId="77777777" w:rsidR="00CF3E30" w:rsidRPr="00C74702" w:rsidRDefault="00CF3E30" w:rsidP="00CF3E30">
      <w:pPr>
        <w:pStyle w:val="BodyText"/>
      </w:pPr>
      <w:bookmarkStart w:id="3367" w:name="X73d2d3b0b76886a78fd42c33b388c01d8d3372f"/>
      <w:bookmarkEnd w:id="3363"/>
      <w:r w:rsidRPr="00C74702">
        <w:t>Not applicable to New Zealand.</w:t>
      </w:r>
    </w:p>
    <w:p w14:paraId="68779AD5" w14:textId="77777777" w:rsidR="00CF3E30" w:rsidRPr="00C74702" w:rsidRDefault="00CF3E30" w:rsidP="00CF3E30"/>
    <w:bookmarkEnd w:id="3367"/>
    <w:p w14:paraId="4F7BC12F" w14:textId="77777777" w:rsidR="00CF3E30" w:rsidRPr="00C74702" w:rsidRDefault="00CF3E30" w:rsidP="00CF3E30">
      <w:pPr>
        <w:sectPr w:rsidR="00CF3E30" w:rsidRPr="00C74702" w:rsidSect="001A6F91">
          <w:footerReference w:type="default" r:id="rId292"/>
          <w:pgSz w:w="11907" w:h="16840" w:code="9"/>
          <w:pgMar w:top="1418" w:right="1701" w:bottom="1418" w:left="1701" w:header="567" w:footer="567" w:gutter="0"/>
          <w:cols w:space="720"/>
          <w:docGrid w:linePitch="299"/>
        </w:sectPr>
      </w:pPr>
    </w:p>
    <w:p w14:paraId="59AEFFD0" w14:textId="77777777" w:rsidR="00CF3E30" w:rsidRPr="00C74702" w:rsidRDefault="00CF3E30" w:rsidP="00CF3E30">
      <w:pPr>
        <w:pStyle w:val="Heading2"/>
        <w:spacing w:before="0" w:after="360"/>
      </w:pPr>
      <w:bookmarkStart w:id="3368" w:name="_Toc226460824"/>
      <w:r w:rsidRPr="00C74702">
        <w:t>Chapter 10: References</w:t>
      </w:r>
      <w:bookmarkEnd w:id="3368"/>
    </w:p>
    <w:p w14:paraId="2998C34D" w14:textId="77777777" w:rsidR="00CF3E30" w:rsidRPr="00C74702" w:rsidRDefault="00CF3E30" w:rsidP="00CF3E30">
      <w:pPr>
        <w:pStyle w:val="References"/>
      </w:pPr>
      <w:r w:rsidRPr="00C74702">
        <w:t xml:space="preserve">IPCC. 2006. Eggleston HS, Buendia L, Miwa K, Ngara T, Tanabe K (eds). </w:t>
      </w:r>
      <w:r w:rsidRPr="00C74702">
        <w:rPr>
          <w:i/>
          <w:iCs/>
        </w:rPr>
        <w:t>2006 IPCC Guidelines for National Greenhouse Gas Inventories.</w:t>
      </w:r>
      <w:r w:rsidRPr="00C74702">
        <w:t xml:space="preserve"> IPCC National Greenhouse Gas Inventories Programme. Japan: Institute for Global Environmental Strategies for IPCC.</w:t>
      </w:r>
    </w:p>
    <w:p w14:paraId="64893AA9" w14:textId="77777777" w:rsidR="00CF3E30" w:rsidRPr="00C74702" w:rsidRDefault="00CF3E30" w:rsidP="00CF3E30">
      <w:pPr>
        <w:pStyle w:val="References"/>
      </w:pPr>
      <w:r w:rsidRPr="00C74702">
        <w:t xml:space="preserve">IPCC. 2019. Calvo Buendia E, Tanabe K, Kranjc A, Baasansuren J, Fukuda M, Ngarize S, Osako A, Pyrozhenko Y, Shermanau P, Federici S (eds). </w:t>
      </w:r>
      <w:r w:rsidRPr="00C74702">
        <w:rPr>
          <w:i/>
          <w:iCs/>
        </w:rPr>
        <w:t>2019 Refinement to the 2006 IPCC Guidelines for National Greenhouse Gas Inventories.</w:t>
      </w:r>
      <w:r w:rsidRPr="00C74702">
        <w:t xml:space="preserve"> Switzerland: IPCC.</w:t>
      </w:r>
    </w:p>
    <w:p w14:paraId="7F9C4F7D" w14:textId="77777777" w:rsidR="00CF3E30" w:rsidRPr="00C74702" w:rsidRDefault="00CF3E30" w:rsidP="00CF3E30">
      <w:pPr>
        <w:pStyle w:val="References"/>
      </w:pPr>
      <w:r w:rsidRPr="00C74702">
        <w:t>UNFCCC. 2026a. FCCC/ETF/TERR.1/2024/NZL. Report on the technical expert review of the first biennial transparency report of New Zealand. In-country review.</w:t>
      </w:r>
    </w:p>
    <w:p w14:paraId="2AA27668" w14:textId="77777777" w:rsidR="00CF3E30" w:rsidRPr="00C74702" w:rsidRDefault="00CF3E30" w:rsidP="00CF3E30">
      <w:pPr>
        <w:pStyle w:val="References"/>
      </w:pPr>
      <w:r w:rsidRPr="00C74702">
        <w:t>UNFCCC. 2026b. FCCC/ETF/TERR.1/2024/NZL/Add.1 Report on the technical expert review of the first biennial transparency report of New Zealand. Addendum.</w:t>
      </w:r>
    </w:p>
    <w:bookmarkEnd w:id="3331"/>
    <w:p w14:paraId="35A54155" w14:textId="77777777" w:rsidR="00CF3E30" w:rsidRPr="00C74702" w:rsidRDefault="00CF3E30" w:rsidP="00CF3E30">
      <w:pPr>
        <w:pStyle w:val="References"/>
      </w:pPr>
    </w:p>
    <w:p w14:paraId="0BBDF9DE" w14:textId="77777777" w:rsidR="00820F03" w:rsidRPr="00820F03" w:rsidRDefault="00820F03" w:rsidP="00CF3E30">
      <w:pPr>
        <w:pStyle w:val="BodyText"/>
      </w:pPr>
    </w:p>
    <w:sectPr w:rsidR="00820F03" w:rsidRPr="00820F03" w:rsidSect="00CF3E30">
      <w:footerReference w:type="default" r:id="rId293"/>
      <w:pgSz w:w="11907" w:h="16840" w:code="9"/>
      <w:pgMar w:top="1418" w:right="1701" w:bottom="1418" w:left="1701"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8F96C1" w14:textId="77777777" w:rsidR="00917807" w:rsidRDefault="00917807">
      <w:r>
        <w:separator/>
      </w:r>
    </w:p>
  </w:endnote>
  <w:endnote w:type="continuationSeparator" w:id="0">
    <w:p w14:paraId="7EEDF897" w14:textId="77777777" w:rsidR="00917807" w:rsidRDefault="009178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Arial Bold">
    <w:panose1 w:val="020B0704020202020204"/>
    <w:charset w:val="00"/>
    <w:family w:val="roman"/>
    <w:notTrueType/>
    <w:pitch w:val="default"/>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 w:name="STIXTwoText">
    <w:altName w:val="Yu Gothic"/>
    <w:panose1 w:val="00000000000000000000"/>
    <w:charset w:val="80"/>
    <w:family w:val="roman"/>
    <w:notTrueType/>
    <w:pitch w:val="default"/>
    <w:sig w:usb0="00000001" w:usb1="08070000" w:usb2="00000010" w:usb3="00000000" w:csb0="00020000"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17B2B" w14:textId="77777777" w:rsidR="005660CD" w:rsidRDefault="00982015" w:rsidP="00B44BA5">
    <w:pPr>
      <w:ind w:left="-567"/>
    </w:pPr>
    <w:r>
      <w:rPr>
        <w:b/>
        <w:noProof/>
      </w:rPr>
      <w:drawing>
        <wp:inline distT="0" distB="0" distL="0" distR="0" wp14:anchorId="687F5303" wp14:editId="4478C82E">
          <wp:extent cx="2242820" cy="543560"/>
          <wp:effectExtent l="0" t="0" r="0" b="0"/>
          <wp:docPr id="2"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l="3163"/>
                  <a:stretch>
                    <a:fillRect/>
                  </a:stretch>
                </pic:blipFill>
                <pic:spPr bwMode="auto">
                  <a:xfrm>
                    <a:off x="0" y="0"/>
                    <a:ext cx="2242820" cy="543560"/>
                  </a:xfrm>
                  <a:prstGeom prst="rect">
                    <a:avLst/>
                  </a:prstGeom>
                  <a:noFill/>
                  <a:ln>
                    <a:noFill/>
                  </a:ln>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CD3E3" w14:textId="77777777" w:rsidR="001C0914" w:rsidRPr="00027E55" w:rsidRDefault="001C0914" w:rsidP="00F55B3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24</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6786B" w14:textId="5F5B62BC" w:rsidR="00640572" w:rsidRDefault="00640572" w:rsidP="00D978F4">
    <w:pPr>
      <w:pStyle w:val="FooterEven"/>
    </w:pP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rPr>
      <w:t>2</w:t>
    </w:r>
    <w:r w:rsidRPr="00762043">
      <w:rPr>
        <w:rStyle w:val="PageNumber"/>
      </w:rPr>
      <w:fldChar w:fldCharType="end"/>
    </w:r>
    <w:r>
      <w:rPr>
        <w:rStyle w:val="PageNumber"/>
      </w:rPr>
      <w:tab/>
    </w:r>
    <w:r w:rsidRPr="00E01C9E">
      <w:t>Chapter 2: Trends in greenhouse gas emissions and removals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79B7B" w14:textId="77777777" w:rsidR="0038460F" w:rsidRDefault="0038460F" w:rsidP="00155B6D">
    <w:pPr>
      <w:pStyle w:val="FooterEven"/>
    </w:pPr>
    <w:r w:rsidRPr="00CD12C7">
      <w:rPr>
        <w:b/>
        <w:bCs/>
        <w:sz w:val="22"/>
        <w:szCs w:val="28"/>
      </w:rPr>
      <w:fldChar w:fldCharType="begin"/>
    </w:r>
    <w:r w:rsidRPr="00CD12C7">
      <w:rPr>
        <w:b/>
        <w:bCs/>
        <w:sz w:val="22"/>
        <w:szCs w:val="28"/>
      </w:rPr>
      <w:instrText xml:space="preserve"> PAGE   \* MERGEFORMAT </w:instrText>
    </w:r>
    <w:r w:rsidRPr="00CD12C7">
      <w:rPr>
        <w:b/>
        <w:bCs/>
        <w:sz w:val="22"/>
        <w:szCs w:val="28"/>
      </w:rPr>
      <w:fldChar w:fldCharType="separate"/>
    </w:r>
    <w:r w:rsidRPr="00CD12C7">
      <w:rPr>
        <w:b/>
        <w:bCs/>
        <w:noProof/>
        <w:sz w:val="22"/>
        <w:szCs w:val="28"/>
      </w:rPr>
      <w:t>1</w:t>
    </w:r>
    <w:r w:rsidRPr="00CD12C7">
      <w:rPr>
        <w:b/>
        <w:bCs/>
        <w:noProof/>
        <w:sz w:val="22"/>
        <w:szCs w:val="28"/>
      </w:rPr>
      <w:fldChar w:fldCharType="end"/>
    </w:r>
    <w:r>
      <w:rPr>
        <w:noProof/>
      </w:rPr>
      <w:tab/>
    </w:r>
    <w:r>
      <w:rPr>
        <w:szCs w:val="16"/>
      </w:rPr>
      <w:t xml:space="preserve">Chapter 3: Energy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679CC" w14:textId="77777777" w:rsidR="0038460F" w:rsidRPr="00027E55" w:rsidRDefault="0038460F" w:rsidP="00166812">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w:t>
    </w:r>
    <w:r>
      <w:t>2024</w:t>
    </w:r>
    <w:r w:rsidRPr="00027E55">
      <w:tab/>
    </w:r>
    <w:r w:rsidRPr="00CD12C7">
      <w:rPr>
        <w:rStyle w:val="PageNumber"/>
        <w:szCs w:val="20"/>
      </w:rPr>
      <w:fldChar w:fldCharType="begin"/>
    </w:r>
    <w:r w:rsidRPr="00CD12C7">
      <w:rPr>
        <w:rStyle w:val="PageNumber"/>
        <w:szCs w:val="20"/>
      </w:rPr>
      <w:instrText xml:space="preserve"> PAGE </w:instrText>
    </w:r>
    <w:r w:rsidRPr="00CD12C7">
      <w:rPr>
        <w:rStyle w:val="PageNumber"/>
        <w:szCs w:val="20"/>
      </w:rPr>
      <w:fldChar w:fldCharType="separate"/>
    </w:r>
    <w:r w:rsidRPr="00CD12C7">
      <w:rPr>
        <w:rStyle w:val="PageNumber"/>
        <w:noProof/>
        <w:szCs w:val="20"/>
      </w:rPr>
      <w:t>1</w:t>
    </w:r>
    <w:r w:rsidRPr="00CD12C7">
      <w:rPr>
        <w:rStyle w:val="PageNumber"/>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E45FC" w14:textId="6E18CBCE" w:rsidR="00361943" w:rsidRPr="00B25C0A" w:rsidRDefault="00361943" w:rsidP="00155B6D">
    <w:pPr>
      <w:pStyle w:val="FooterEven"/>
    </w:pPr>
    <w:r w:rsidRPr="00C66359">
      <w:rPr>
        <w:b/>
        <w:bCs/>
        <w:sz w:val="22"/>
        <w:szCs w:val="28"/>
      </w:rPr>
      <w:fldChar w:fldCharType="begin"/>
    </w:r>
    <w:r w:rsidRPr="00C66359">
      <w:rPr>
        <w:b/>
        <w:bCs/>
        <w:sz w:val="22"/>
        <w:szCs w:val="28"/>
      </w:rPr>
      <w:instrText xml:space="preserve"> PAGE   \* MERGEFORMAT </w:instrText>
    </w:r>
    <w:r w:rsidRPr="00C66359">
      <w:rPr>
        <w:b/>
        <w:bCs/>
        <w:sz w:val="22"/>
        <w:szCs w:val="28"/>
      </w:rPr>
      <w:fldChar w:fldCharType="separate"/>
    </w:r>
    <w:r w:rsidRPr="00C66359">
      <w:rPr>
        <w:b/>
        <w:bCs/>
        <w:noProof/>
        <w:sz w:val="22"/>
        <w:szCs w:val="28"/>
      </w:rPr>
      <w:t>1</w:t>
    </w:r>
    <w:r w:rsidRPr="00C66359">
      <w:rPr>
        <w:b/>
        <w:bCs/>
        <w:noProof/>
        <w:sz w:val="22"/>
        <w:szCs w:val="28"/>
      </w:rPr>
      <w:fldChar w:fldCharType="end"/>
    </w:r>
    <w:r>
      <w:rPr>
        <w:noProof/>
      </w:rPr>
      <w:tab/>
    </w:r>
    <w:r w:rsidRPr="00B25C0A">
      <w:t>Chapter 4: Industrial Processes and Product Use (IPPU)</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F46E5" w14:textId="77777777" w:rsidR="00507300" w:rsidRDefault="000D3B79" w:rsidP="00F35041">
    <w:pPr>
      <w:pStyle w:val="FooterEven"/>
    </w:pPr>
    <w:r w:rsidRPr="00E66BB1">
      <w:rPr>
        <w:b/>
        <w:bCs/>
        <w:sz w:val="22"/>
      </w:rPr>
      <w:fldChar w:fldCharType="begin"/>
    </w:r>
    <w:r w:rsidRPr="00E66BB1">
      <w:rPr>
        <w:b/>
        <w:bCs/>
        <w:sz w:val="22"/>
      </w:rPr>
      <w:instrText xml:space="preserve"> PAGE   \* MERGEFORMAT </w:instrText>
    </w:r>
    <w:r w:rsidRPr="00E66BB1">
      <w:rPr>
        <w:b/>
        <w:bCs/>
        <w:sz w:val="22"/>
      </w:rPr>
      <w:fldChar w:fldCharType="separate"/>
    </w:r>
    <w:r w:rsidRPr="00E66BB1">
      <w:rPr>
        <w:b/>
        <w:bCs/>
        <w:noProof/>
        <w:sz w:val="22"/>
      </w:rPr>
      <w:t>1</w:t>
    </w:r>
    <w:r w:rsidRPr="00E66BB1">
      <w:rPr>
        <w:b/>
        <w:bCs/>
        <w:noProof/>
        <w:sz w:val="22"/>
      </w:rPr>
      <w:fldChar w:fldCharType="end"/>
    </w:r>
    <w:r>
      <w:rPr>
        <w:b/>
        <w:bCs/>
        <w:sz w:val="22"/>
      </w:rPr>
      <w:tab/>
    </w:r>
    <w:r w:rsidRPr="00E66BB1">
      <w:t>Chapter 5: Agriculture</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B032A" w14:textId="77777777" w:rsidR="00507300" w:rsidRPr="009140D9" w:rsidRDefault="000D3B79" w:rsidP="00F55B34">
    <w:pPr>
      <w:pStyle w:val="FooterOdd"/>
    </w:pPr>
    <w:r>
      <w:tab/>
    </w:r>
    <w:r w:rsidRPr="00BF1C36">
      <w:t xml:space="preserve">New Zealand’s </w:t>
    </w:r>
    <w:r w:rsidRPr="00B928E7">
      <w:t>Greenhouse</w:t>
    </w:r>
    <w:r w:rsidRPr="00BF1C36">
      <w:t xml:space="preserve"> Gas </w:t>
    </w:r>
    <w:r w:rsidRPr="00715D39">
      <w:t>Inventory</w:t>
    </w:r>
    <w:r w:rsidRPr="00BF1C36">
      <w:t xml:space="preserve"> 1990–20</w:t>
    </w:r>
    <w:r>
      <w:t>24</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3CBA6" w14:textId="77777777" w:rsidR="00507300" w:rsidRDefault="000D3B79">
    <w:pPr>
      <w:pStyle w:val="Footer"/>
    </w:pPr>
    <w:r>
      <w:rPr>
        <w:noProof/>
      </w:rPr>
      <mc:AlternateContent>
        <mc:Choice Requires="wps">
          <w:drawing>
            <wp:anchor distT="0" distB="0" distL="0" distR="0" simplePos="0" relativeHeight="251660288" behindDoc="0" locked="0" layoutInCell="1" allowOverlap="1" wp14:anchorId="49F75339" wp14:editId="3040925E">
              <wp:simplePos x="635" y="635"/>
              <wp:positionH relativeFrom="page">
                <wp:align>center</wp:align>
              </wp:positionH>
              <wp:positionV relativeFrom="page">
                <wp:align>bottom</wp:align>
              </wp:positionV>
              <wp:extent cx="624840" cy="376555"/>
              <wp:effectExtent l="0" t="0" r="3810" b="0"/>
              <wp:wrapNone/>
              <wp:docPr id="748225544" name="Text Box 4" descr="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4840" cy="376555"/>
                      </a:xfrm>
                      <a:prstGeom prst="rect">
                        <a:avLst/>
                      </a:prstGeom>
                      <a:noFill/>
                      <a:ln>
                        <a:noFill/>
                      </a:ln>
                    </wps:spPr>
                    <wps:txbx>
                      <w:txbxContent>
                        <w:p w14:paraId="3B2886FC" w14:textId="77777777" w:rsidR="00507300" w:rsidRPr="00BB681D" w:rsidRDefault="000D3B79" w:rsidP="00BB681D">
                          <w:pPr>
                            <w:rPr>
                              <w:rFonts w:eastAsia="Calibri" w:cs="Calibri"/>
                              <w:noProof/>
                              <w:color w:val="000000"/>
                              <w:sz w:val="24"/>
                              <w:szCs w:val="24"/>
                            </w:rPr>
                          </w:pPr>
                          <w:r w:rsidRPr="00BB681D">
                            <w:rPr>
                              <w:rFonts w:eastAsia="Calibri" w:cs="Calibri"/>
                              <w:noProof/>
                              <w:color w:val="000000"/>
                              <w:sz w:val="24"/>
                              <w:szCs w:val="24"/>
                            </w:rPr>
                            <w:t>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F75339" id="_x0000_t202" coordsize="21600,21600" o:spt="202" path="m,l,21600r21600,l21600,xe">
              <v:stroke joinstyle="miter"/>
              <v:path gradientshapeok="t" o:connecttype="rect"/>
            </v:shapetype>
            <v:shape id="Text Box 4" o:spid="_x0000_s1027" type="#_x0000_t202" alt="SENSITIVE" style="position:absolute;margin-left:0;margin-top:0;width:49.2pt;height:29.6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" filled="f" stroked="f">
              <v:textbox style="mso-fit-shape-to-text:t" inset="0,0,0,15pt">
                <w:txbxContent>
                  <w:p w14:paraId="3B2886FC" w14:textId="77777777" w:rsidR="00507300" w:rsidRPr="00BB681D" w:rsidRDefault="000D3B79" w:rsidP="00BB681D">
                    <w:pPr>
                      <w:rPr>
                        <w:rFonts w:eastAsia="Calibri" w:cs="Calibri"/>
                        <w:noProof/>
                        <w:color w:val="000000"/>
                        <w:sz w:val="24"/>
                        <w:szCs w:val="24"/>
                      </w:rPr>
                    </w:pPr>
                    <w:r w:rsidRPr="00BB681D">
                      <w:rPr>
                        <w:rFonts w:eastAsia="Calibri" w:cs="Calibri"/>
                        <w:noProof/>
                        <w:color w:val="000000"/>
                        <w:sz w:val="24"/>
                        <w:szCs w:val="24"/>
                      </w:rPr>
                      <w:t>SENSITIVE</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67203" w14:textId="77777777" w:rsidR="00447423" w:rsidRPr="004C6829" w:rsidRDefault="00447423" w:rsidP="000374FE">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t>Chapter 6:</w:t>
    </w:r>
    <w:r>
      <w:rPr>
        <w:b/>
        <w:bCs/>
        <w:noProof/>
      </w:rPr>
      <w:t xml:space="preserve"> </w:t>
    </w:r>
    <w:r w:rsidRPr="00E85BC6">
      <w:rPr>
        <w:noProof/>
      </w:rPr>
      <w:t xml:space="preserve">Land Use, Land-Use </w:t>
    </w:r>
    <w:r w:rsidRPr="000374FE">
      <w:t>Change</w:t>
    </w:r>
    <w:r w:rsidRPr="00E85BC6">
      <w:rPr>
        <w:noProof/>
      </w:rPr>
      <w:t xml:space="preserve"> and Forestry</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EACF6" w14:textId="77777777" w:rsidR="00447423" w:rsidRPr="00D235AE" w:rsidRDefault="00447423" w:rsidP="00B55F24">
    <w:pPr>
      <w:pStyle w:val="FooterOdd"/>
    </w:pPr>
    <w:r w:rsidRPr="000467A0">
      <w:tab/>
      <w:t>New Zealand’s Greenhouse Gas Inventory 1990–202</w:t>
    </w:r>
    <w:r>
      <w:t>4</w:t>
    </w:r>
    <w:r w:rsidRPr="000467A0">
      <w:tab/>
    </w:r>
    <w:r w:rsidRPr="00A64567">
      <w:rPr>
        <w:rStyle w:val="PageNumber"/>
        <w:rFonts w:eastAsia="Symbol" w:cs="Calibri"/>
        <w:szCs w:val="20"/>
      </w:rPr>
      <w:fldChar w:fldCharType="begin"/>
    </w:r>
    <w:r w:rsidRPr="00A64567">
      <w:rPr>
        <w:rStyle w:val="PageNumber"/>
        <w:rFonts w:eastAsia="Symbol" w:cs="Calibri"/>
        <w:szCs w:val="20"/>
      </w:rPr>
      <w:instrText xml:space="preserve"> PAGE </w:instrText>
    </w:r>
    <w:r w:rsidRPr="00A64567">
      <w:rPr>
        <w:rStyle w:val="PageNumber"/>
        <w:rFonts w:eastAsia="Symbol" w:cs="Calibri"/>
        <w:szCs w:val="20"/>
      </w:rPr>
      <w:fldChar w:fldCharType="separate"/>
    </w:r>
    <w:r w:rsidRPr="00A64567">
      <w:rPr>
        <w:rStyle w:val="PageNumber"/>
        <w:rFonts w:eastAsia="Symbol" w:cs="Calibri"/>
        <w:noProof/>
        <w:szCs w:val="20"/>
      </w:rPr>
      <w:t>61</w:t>
    </w:r>
    <w:r w:rsidRPr="00A64567">
      <w:rPr>
        <w:rStyle w:val="PageNumber"/>
        <w:rFonts w:eastAsia="Symbol" w:cs="Calibri"/>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AC82D" w14:textId="77777777" w:rsidR="005660CD" w:rsidRDefault="005660CD"/>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5D711" w14:textId="77777777" w:rsidR="00447423" w:rsidRPr="00D51304" w:rsidRDefault="00447423" w:rsidP="00B55F24">
    <w:pPr>
      <w:pStyle w:val="FooterOdd"/>
      <w:tabs>
        <w:tab w:val="clear" w:pos="7655"/>
        <w:tab w:val="clear" w:pos="8505"/>
        <w:tab w:val="right" w:pos="12758"/>
        <w:tab w:val="right" w:pos="14002"/>
      </w:tabs>
      <w:rPr>
        <w:rFonts w:cs="Calibri"/>
        <w:b/>
      </w:rPr>
    </w:pPr>
    <w:r w:rsidRPr="000467A0">
      <w:tab/>
      <w:t>New Zealand’s Greenhouse Gas Inventory 1990–202</w:t>
    </w:r>
    <w:r>
      <w:t>3</w:t>
    </w:r>
    <w:r w:rsidRPr="000467A0">
      <w:tab/>
    </w:r>
    <w:r w:rsidRPr="00D51304">
      <w:rPr>
        <w:rStyle w:val="PageNumber"/>
        <w:rFonts w:eastAsia="Symbol" w:cs="Calibri"/>
      </w:rPr>
      <w:fldChar w:fldCharType="begin"/>
    </w:r>
    <w:r w:rsidRPr="00D51304">
      <w:rPr>
        <w:rStyle w:val="PageNumber"/>
        <w:rFonts w:eastAsia="Symbol" w:cs="Calibri"/>
      </w:rPr>
      <w:instrText xml:space="preserve"> PAGE </w:instrText>
    </w:r>
    <w:r w:rsidRPr="00D51304">
      <w:rPr>
        <w:rStyle w:val="PageNumber"/>
        <w:rFonts w:eastAsia="Symbol" w:cs="Calibri"/>
      </w:rPr>
      <w:fldChar w:fldCharType="separate"/>
    </w:r>
    <w:r w:rsidRPr="00D51304">
      <w:rPr>
        <w:rStyle w:val="PageNumber"/>
        <w:rFonts w:eastAsia="Symbol" w:cs="Calibri"/>
        <w:noProof/>
      </w:rPr>
      <w:t>61</w:t>
    </w:r>
    <w:r w:rsidRPr="00D51304">
      <w:rPr>
        <w:rStyle w:val="PageNumber"/>
        <w:rFonts w:eastAsia="Symbol" w:cs="Calibri"/>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66519" w14:textId="77777777" w:rsidR="00447423" w:rsidRPr="00316A42" w:rsidRDefault="00447423" w:rsidP="00B55F24">
    <w:pPr>
      <w:pStyle w:val="FooterOdd"/>
      <w:rPr>
        <w:b/>
      </w:rPr>
    </w:pPr>
    <w:r w:rsidRPr="000467A0">
      <w:tab/>
      <w:t>New Zealand’s Greenhouse Gas Inventory 1990–202</w:t>
    </w:r>
    <w:r>
      <w:t>4</w:t>
    </w:r>
    <w:r w:rsidRPr="000467A0">
      <w:tab/>
    </w:r>
    <w:r w:rsidRPr="004E6E4E">
      <w:rPr>
        <w:rStyle w:val="PageNumber"/>
        <w:rFonts w:eastAsia="Symbol" w:cs="Calibri"/>
        <w:szCs w:val="20"/>
      </w:rPr>
      <w:fldChar w:fldCharType="begin"/>
    </w:r>
    <w:r w:rsidRPr="004E6E4E">
      <w:rPr>
        <w:rStyle w:val="PageNumber"/>
        <w:rFonts w:eastAsia="Symbol" w:cs="Calibri"/>
        <w:szCs w:val="20"/>
      </w:rPr>
      <w:instrText xml:space="preserve"> PAGE </w:instrText>
    </w:r>
    <w:r w:rsidRPr="004E6E4E">
      <w:rPr>
        <w:rStyle w:val="PageNumber"/>
        <w:rFonts w:eastAsia="Symbol" w:cs="Calibri"/>
        <w:szCs w:val="20"/>
      </w:rPr>
      <w:fldChar w:fldCharType="separate"/>
    </w:r>
    <w:r w:rsidRPr="004E6E4E">
      <w:rPr>
        <w:rStyle w:val="PageNumber"/>
        <w:rFonts w:eastAsia="Symbol" w:cs="Calibri"/>
        <w:noProof/>
        <w:szCs w:val="20"/>
      </w:rPr>
      <w:t>61</w:t>
    </w:r>
    <w:r w:rsidRPr="004E6E4E">
      <w:rPr>
        <w:rStyle w:val="PageNumber"/>
        <w:rFonts w:eastAsia="Symbol" w:cs="Calibri"/>
        <w:szCs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8B343" w14:textId="77777777" w:rsidR="00447423" w:rsidRPr="00316A42" w:rsidRDefault="00447423" w:rsidP="00B55F24">
    <w:pPr>
      <w:pStyle w:val="FooterOdd"/>
      <w:tabs>
        <w:tab w:val="clear" w:pos="7655"/>
        <w:tab w:val="clear" w:pos="8505"/>
        <w:tab w:val="right" w:pos="13041"/>
        <w:tab w:val="right" w:pos="14005"/>
      </w:tabs>
      <w:rPr>
        <w:b/>
      </w:rPr>
    </w:pPr>
    <w:r w:rsidRPr="000467A0">
      <w:tab/>
      <w:t>New Zealand’s Greenhouse Gas Inventory 1990–202</w:t>
    </w:r>
    <w:r>
      <w:t>4</w:t>
    </w:r>
    <w:r w:rsidRPr="000467A0">
      <w:tab/>
    </w:r>
    <w:r w:rsidRPr="004C6829">
      <w:rPr>
        <w:rStyle w:val="PageNumber"/>
        <w:rFonts w:eastAsia="Symbol" w:cs="Calibri"/>
      </w:rPr>
      <w:fldChar w:fldCharType="begin"/>
    </w:r>
    <w:r w:rsidRPr="004C6829">
      <w:rPr>
        <w:rStyle w:val="PageNumber"/>
        <w:rFonts w:eastAsia="Symbol" w:cs="Calibri"/>
      </w:rPr>
      <w:instrText xml:space="preserve"> PAGE </w:instrText>
    </w:r>
    <w:r w:rsidRPr="004C6829">
      <w:rPr>
        <w:rStyle w:val="PageNumber"/>
        <w:rFonts w:eastAsia="Symbol" w:cs="Calibri"/>
      </w:rPr>
      <w:fldChar w:fldCharType="separate"/>
    </w:r>
    <w:r w:rsidRPr="004C6829">
      <w:rPr>
        <w:rStyle w:val="PageNumber"/>
        <w:rFonts w:eastAsia="Symbol" w:cs="Calibri"/>
        <w:noProof/>
      </w:rPr>
      <w:t>61</w:t>
    </w:r>
    <w:r w:rsidRPr="004C6829">
      <w:rPr>
        <w:rStyle w:val="PageNumber"/>
        <w:rFonts w:eastAsia="Symbol" w:cs="Calibri"/>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929AB" w14:textId="1FCD96EA" w:rsidR="004F21AA" w:rsidRPr="00316A42" w:rsidRDefault="004E6E4E" w:rsidP="004E6E4E">
    <w:pPr>
      <w:pStyle w:val="FooterOdd"/>
      <w:rPr>
        <w:b/>
      </w:rPr>
    </w:pPr>
    <w:r>
      <w:tab/>
    </w:r>
    <w:r w:rsidR="004F21AA" w:rsidRPr="000467A0">
      <w:t>New Zealand’s Greenhouse Gas Inventory 1990–202</w:t>
    </w:r>
    <w:r w:rsidR="004F21AA">
      <w:t>4</w:t>
    </w:r>
    <w:r w:rsidR="004F21AA" w:rsidRPr="000467A0">
      <w:tab/>
    </w:r>
    <w:r w:rsidR="004F21AA" w:rsidRPr="001C38C6">
      <w:rPr>
        <w:rStyle w:val="PageNumber"/>
        <w:rFonts w:eastAsia="Symbol" w:cs="Calibri"/>
        <w:szCs w:val="20"/>
      </w:rPr>
      <w:fldChar w:fldCharType="begin"/>
    </w:r>
    <w:r w:rsidR="004F21AA" w:rsidRPr="001C38C6">
      <w:rPr>
        <w:rStyle w:val="PageNumber"/>
        <w:rFonts w:eastAsia="Symbol" w:cs="Calibri"/>
        <w:szCs w:val="20"/>
      </w:rPr>
      <w:instrText xml:space="preserve"> PAGE </w:instrText>
    </w:r>
    <w:r w:rsidR="004F21AA" w:rsidRPr="001C38C6">
      <w:rPr>
        <w:rStyle w:val="PageNumber"/>
        <w:rFonts w:eastAsia="Symbol" w:cs="Calibri"/>
        <w:szCs w:val="20"/>
      </w:rPr>
      <w:fldChar w:fldCharType="separate"/>
    </w:r>
    <w:r w:rsidR="004F21AA" w:rsidRPr="001C38C6">
      <w:rPr>
        <w:rStyle w:val="PageNumber"/>
        <w:rFonts w:eastAsia="Symbol" w:cs="Calibri"/>
        <w:noProof/>
        <w:szCs w:val="20"/>
      </w:rPr>
      <w:t>61</w:t>
    </w:r>
    <w:r w:rsidR="004F21AA" w:rsidRPr="001C38C6">
      <w:rPr>
        <w:rStyle w:val="PageNumber"/>
        <w:rFonts w:eastAsia="Symbol" w:cs="Calibri"/>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A9620" w14:textId="71F952EC" w:rsidR="002F22C4" w:rsidRPr="004C6829" w:rsidRDefault="002F22C4" w:rsidP="000374FE">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r>
    <w:r w:rsidRPr="002F22C4">
      <w:rPr>
        <w:noProof/>
      </w:rPr>
      <w:t>Chapter 7: Waste</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0C6B4" w14:textId="77777777" w:rsidR="001210BC" w:rsidRPr="00316A42" w:rsidRDefault="001210BC" w:rsidP="001210BC">
    <w:pPr>
      <w:pStyle w:val="FooterOdd"/>
      <w:rPr>
        <w:b/>
      </w:rPr>
    </w:pPr>
    <w:r w:rsidRPr="000467A0">
      <w:tab/>
      <w:t>New Zealand’s Greenhouse Gas Inventory 1990–202</w:t>
    </w:r>
    <w:r>
      <w:t>4</w:t>
    </w:r>
    <w:r w:rsidRPr="000467A0">
      <w:tab/>
    </w:r>
    <w:r w:rsidRPr="004C6829">
      <w:rPr>
        <w:rStyle w:val="PageNumber"/>
        <w:rFonts w:eastAsia="Symbol" w:cs="Calibri"/>
      </w:rPr>
      <w:fldChar w:fldCharType="begin"/>
    </w:r>
    <w:r w:rsidRPr="004C6829">
      <w:rPr>
        <w:rStyle w:val="PageNumber"/>
        <w:rFonts w:eastAsia="Symbol" w:cs="Calibri"/>
      </w:rPr>
      <w:instrText xml:space="preserve"> PAGE </w:instrText>
    </w:r>
    <w:r w:rsidRPr="004C6829">
      <w:rPr>
        <w:rStyle w:val="PageNumber"/>
        <w:rFonts w:eastAsia="Symbol" w:cs="Calibri"/>
      </w:rPr>
      <w:fldChar w:fldCharType="separate"/>
    </w:r>
    <w:r w:rsidRPr="004C6829">
      <w:rPr>
        <w:rStyle w:val="PageNumber"/>
        <w:rFonts w:eastAsia="Symbol" w:cs="Calibri"/>
        <w:noProof/>
      </w:rPr>
      <w:t>61</w:t>
    </w:r>
    <w:r w:rsidRPr="004C6829">
      <w:rPr>
        <w:rStyle w:val="PageNumber"/>
        <w:rFonts w:eastAsia="Symbol" w:cs="Calibri"/>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2DF12" w14:textId="70A04AAE" w:rsidR="00C45A4C" w:rsidRPr="004C6829" w:rsidRDefault="00C45A4C" w:rsidP="000374FE">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r>
    <w:r w:rsidRPr="00C45A4C">
      <w:rPr>
        <w:noProof/>
      </w:rPr>
      <w:t>Chapter 8: Tokelau (other) sector</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D2DC9" w14:textId="52E74C7A" w:rsidR="00B32EBB" w:rsidRPr="004C6829" w:rsidRDefault="00B32EBB" w:rsidP="000374FE">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r>
    <w:r w:rsidRPr="00B32EBB">
      <w:rPr>
        <w:noProof/>
      </w:rPr>
      <w:t>Chapter 9: Indirect carbon dioxide and nitrous oxide emissions</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94E20" w14:textId="77777777" w:rsidR="00CF3E30" w:rsidRPr="00EC2491" w:rsidRDefault="00CF3E30" w:rsidP="006C3EC2">
    <w:pPr>
      <w:pStyle w:val="FooterEven"/>
    </w:pP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18</w:t>
    </w:r>
    <w:r w:rsidRPr="00762043">
      <w:rPr>
        <w:rStyle w:val="PageNumber"/>
      </w:rPr>
      <w:fldChar w:fldCharType="end"/>
    </w:r>
    <w:r>
      <w:rPr>
        <w:rStyle w:val="PageNumber"/>
      </w:rPr>
      <w:tab/>
    </w:r>
    <w:r w:rsidRPr="004212D5">
      <w:t>Chapter 10: Recalculations and improvements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8C697" w14:textId="77777777" w:rsidR="00CF3E30" w:rsidRPr="00027E55" w:rsidRDefault="00CF3E30" w:rsidP="00C42481">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24</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291099" w14:textId="346265E3" w:rsidR="00DD5CB6" w:rsidRPr="00B928E7" w:rsidRDefault="00DD5CB6" w:rsidP="00B928E7">
    <w:pPr>
      <w:pStyle w:val="FooterEven"/>
    </w:pPr>
    <w:r w:rsidRPr="00F6020A">
      <w:rPr>
        <w:rStyle w:val="PageNumber"/>
        <w:bCs/>
      </w:rPr>
      <w:fldChar w:fldCharType="begin"/>
    </w:r>
    <w:r w:rsidRPr="00F6020A">
      <w:rPr>
        <w:rStyle w:val="PageNumber"/>
        <w:bCs/>
      </w:rPr>
      <w:instrText xml:space="preserve"> PAGE </w:instrText>
    </w:r>
    <w:r w:rsidRPr="00F6020A">
      <w:rPr>
        <w:rStyle w:val="PageNumber"/>
        <w:bCs/>
      </w:rPr>
      <w:fldChar w:fldCharType="separate"/>
    </w:r>
    <w:r w:rsidRPr="00F6020A">
      <w:rPr>
        <w:rStyle w:val="PageNumber"/>
        <w:bCs/>
        <w:noProof/>
      </w:rPr>
      <w:t>iv</w:t>
    </w:r>
    <w:r w:rsidRPr="00F6020A">
      <w:rPr>
        <w:rStyle w:val="PageNumber"/>
        <w:bCs/>
      </w:rPr>
      <w:fldChar w:fldCharType="end"/>
    </w:r>
    <w:r>
      <w:rPr>
        <w:rStyle w:val="PageNumber"/>
        <w:b w:val="0"/>
      </w:rPr>
      <w:tab/>
    </w:r>
    <w:r w:rsidRPr="00BF1C36">
      <w:t>New Zealand’s Greenhouse Gas Inventory 1990–20</w:t>
    </w:r>
    <w:r w:rsidR="005F7E89">
      <w:t>24</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BBF93" w14:textId="77777777" w:rsidR="00CF3E30" w:rsidRDefault="00CF3E30">
    <w:r>
      <w:rPr>
        <w:noProof/>
      </w:rPr>
      <mc:AlternateContent>
        <mc:Choice Requires="wps">
          <w:drawing>
            <wp:anchor distT="0" distB="0" distL="0" distR="0" simplePos="0" relativeHeight="251663360" behindDoc="0" locked="0" layoutInCell="1" allowOverlap="1" wp14:anchorId="1953E635" wp14:editId="42B32BFC">
              <wp:simplePos x="635" y="635"/>
              <wp:positionH relativeFrom="page">
                <wp:align>center</wp:align>
              </wp:positionH>
              <wp:positionV relativeFrom="page">
                <wp:align>bottom</wp:align>
              </wp:positionV>
              <wp:extent cx="915670" cy="340995"/>
              <wp:effectExtent l="0" t="0" r="17780" b="0"/>
              <wp:wrapNone/>
              <wp:docPr id="1629646254" name="Text Box 4" descr="[IN-CONFIDE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15670" cy="340995"/>
                      </a:xfrm>
                      <a:prstGeom prst="rect">
                        <a:avLst/>
                      </a:prstGeom>
                      <a:noFill/>
                      <a:ln>
                        <a:noFill/>
                      </a:ln>
                    </wps:spPr>
                    <wps:txbx>
                      <w:txbxContent>
                        <w:p w14:paraId="6E90E879" w14:textId="77777777" w:rsidR="00CF3E30" w:rsidRPr="00B051BA" w:rsidRDefault="00CF3E30" w:rsidP="00B051BA">
                          <w:pPr>
                            <w:rPr>
                              <w:rFonts w:ascii="Aptos" w:eastAsia="Aptos" w:hAnsi="Aptos" w:cs="Aptos"/>
                              <w:noProof/>
                              <w:color w:val="000000"/>
                              <w:sz w:val="18"/>
                              <w:szCs w:val="18"/>
                            </w:rPr>
                          </w:pPr>
                          <w:r w:rsidRPr="00B051BA">
                            <w:rPr>
                              <w:rFonts w:ascii="Aptos" w:eastAsia="Aptos" w:hAnsi="Aptos" w:cs="Aptos"/>
                              <w:noProof/>
                              <w:color w:val="000000"/>
                              <w:sz w:val="18"/>
                              <w:szCs w:val="18"/>
                            </w:rPr>
                            <w:t>[IN-CONFIDENCE]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53E635" id="_x0000_t202" coordsize="21600,21600" o:spt="202" path="m,l,21600r21600,l21600,xe">
              <v:stroke joinstyle="miter"/>
              <v:path gradientshapeok="t" o:connecttype="rect"/>
            </v:shapetype>
            <v:shape id="_x0000_s1029" type="#_x0000_t202" alt="[IN-CONFIDENCE]" style="position:absolute;margin-left:0;margin-top:0;width:72.1pt;height:26.8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" filled="f" stroked="f">
              <v:textbox style="mso-fit-shape-to-text:t" inset="0,0,0,15pt">
                <w:txbxContent>
                  <w:p w14:paraId="6E90E879" w14:textId="77777777" w:rsidR="00CF3E30" w:rsidRPr="00B051BA" w:rsidRDefault="00CF3E30" w:rsidP="00B051BA">
                    <w:pPr>
                      <w:rPr>
                        <w:rFonts w:ascii="Aptos" w:eastAsia="Aptos" w:hAnsi="Aptos" w:cs="Aptos"/>
                        <w:noProof/>
                        <w:color w:val="000000"/>
                        <w:sz w:val="18"/>
                        <w:szCs w:val="18"/>
                      </w:rPr>
                    </w:pPr>
                    <w:r w:rsidRPr="00B051BA">
                      <w:rPr>
                        <w:rFonts w:ascii="Aptos" w:eastAsia="Aptos" w:hAnsi="Aptos" w:cs="Aptos"/>
                        <w:noProof/>
                        <w:color w:val="000000"/>
                        <w:sz w:val="18"/>
                        <w:szCs w:val="18"/>
                      </w:rPr>
                      <w:t>[IN-CONFIDENCE]</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EEE42" w14:textId="77777777" w:rsidR="00CF3E30" w:rsidRPr="00027E55" w:rsidRDefault="00CF3E30" w:rsidP="00747F66">
    <w:pPr>
      <w:pStyle w:val="FooterOdd"/>
      <w:tabs>
        <w:tab w:val="clear" w:pos="7655"/>
        <w:tab w:val="clear" w:pos="8505"/>
        <w:tab w:val="right" w:pos="13041"/>
        <w:tab w:val="right" w:pos="13948"/>
      </w:tabs>
      <w:rPr>
        <w:b/>
      </w:rPr>
    </w:pPr>
    <w:r>
      <w:tab/>
    </w:r>
    <w:r w:rsidRPr="00BF1C36">
      <w:t xml:space="preserve">New Zealand’s </w:t>
    </w:r>
    <w:r w:rsidRPr="00B928E7">
      <w:t>Greenhouse</w:t>
    </w:r>
    <w:r w:rsidRPr="00BF1C36">
      <w:t xml:space="preserve"> Gas </w:t>
    </w:r>
    <w:r w:rsidRPr="00715D39">
      <w:t>Inventory</w:t>
    </w:r>
    <w:r w:rsidRPr="00BF1C36">
      <w:t xml:space="preserve"> 1990–20</w:t>
    </w:r>
    <w:r>
      <w:t>24</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763F1" w14:textId="77777777" w:rsidR="00831581" w:rsidRPr="00027E55" w:rsidRDefault="00831581" w:rsidP="00831581">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24</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B4D3E" w14:textId="77777777" w:rsidR="00CF3E30" w:rsidRPr="00027E55" w:rsidRDefault="00CF3E30" w:rsidP="00EE627E">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24</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2B7A3" w14:textId="0548BDC1" w:rsidR="00DD5CB6" w:rsidRPr="00027E55" w:rsidRDefault="00DD5CB6" w:rsidP="00F660F9">
    <w:pPr>
      <w:pStyle w:val="FooterOdd"/>
      <w:rPr>
        <w:rStyle w:val="PageNumber"/>
        <w:b w:val="0"/>
      </w:rPr>
    </w:pPr>
    <w:r>
      <w:tab/>
    </w:r>
    <w:r w:rsidRPr="00BF1C36">
      <w:t>New Zealand’s Greenhouse Gas Inventory 1990–20</w:t>
    </w:r>
    <w:r w:rsidR="005F7E89">
      <w:t>24</w:t>
    </w:r>
    <w:r>
      <w:tab/>
    </w:r>
    <w:r w:rsidRPr="00F6020A">
      <w:rPr>
        <w:rStyle w:val="PageNumber"/>
        <w:bCs/>
      </w:rPr>
      <w:fldChar w:fldCharType="begin"/>
    </w:r>
    <w:r w:rsidRPr="00F6020A">
      <w:rPr>
        <w:rStyle w:val="PageNumber"/>
        <w:bCs/>
      </w:rPr>
      <w:instrText xml:space="preserve"> PAGE </w:instrText>
    </w:r>
    <w:r w:rsidRPr="00F6020A">
      <w:rPr>
        <w:rStyle w:val="PageNumber"/>
        <w:bCs/>
      </w:rPr>
      <w:fldChar w:fldCharType="separate"/>
    </w:r>
    <w:r w:rsidRPr="00F6020A">
      <w:rPr>
        <w:rStyle w:val="PageNumber"/>
        <w:bCs/>
        <w:noProof/>
      </w:rPr>
      <w:t>iii</w:t>
    </w:r>
    <w:r w:rsidRPr="00F6020A">
      <w:rPr>
        <w:rStyle w:val="PageNumber"/>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218AE" w14:textId="77777777" w:rsidR="00613F0E" w:rsidRDefault="00613F0E" w:rsidP="00D978F4">
    <w:pPr>
      <w:pStyle w:val="FooterEven"/>
    </w:pP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rPr>
      <w:t>2</w:t>
    </w:r>
    <w:r w:rsidRPr="00762043">
      <w:rPr>
        <w:rStyle w:val="PageNumber"/>
      </w:rPr>
      <w:fldChar w:fldCharType="end"/>
    </w:r>
    <w:r>
      <w:rPr>
        <w:rStyle w:val="PageNumber"/>
      </w:rPr>
      <w:tab/>
    </w:r>
    <w:r w:rsidRPr="00BF1C36">
      <w:t xml:space="preserve">New Zealand’s </w:t>
    </w:r>
    <w:r w:rsidRPr="00B928E7">
      <w:t>Greenhouse</w:t>
    </w:r>
    <w:r w:rsidRPr="00BF1C36">
      <w:t xml:space="preserve"> Gas </w:t>
    </w:r>
    <w:r w:rsidRPr="00715D39">
      <w:t>Inventory</w:t>
    </w:r>
    <w:r w:rsidRPr="00BF1C36">
      <w:t xml:space="preserve"> 1990–20</w:t>
    </w:r>
    <w:r>
      <w:t>24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9D69D" w14:textId="77777777" w:rsidR="00613F0E" w:rsidRPr="00027E55" w:rsidRDefault="00613F0E" w:rsidP="00F55B3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24</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D4183" w14:textId="77777777" w:rsidR="00613F0E" w:rsidRDefault="00613F0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A10D1" w14:textId="0D1011F2" w:rsidR="000D3850" w:rsidRDefault="000D3850" w:rsidP="00D978F4">
    <w:pPr>
      <w:pStyle w:val="FooterEven"/>
    </w:pP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rPr>
      <w:t>2</w:t>
    </w:r>
    <w:r w:rsidRPr="00762043">
      <w:rPr>
        <w:rStyle w:val="PageNumber"/>
      </w:rPr>
      <w:fldChar w:fldCharType="end"/>
    </w:r>
    <w:r>
      <w:rPr>
        <w:rStyle w:val="PageNumber"/>
      </w:rPr>
      <w:tab/>
    </w:r>
    <w:r w:rsidRPr="000D3850">
      <w:t>Executive summary</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488A4" w14:textId="706277C0" w:rsidR="00E17934" w:rsidRDefault="00E17934" w:rsidP="00D978F4">
    <w:pPr>
      <w:pStyle w:val="FooterEven"/>
    </w:pP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rPr>
      <w:t>2</w:t>
    </w:r>
    <w:r w:rsidRPr="00762043">
      <w:rPr>
        <w:rStyle w:val="PageNumber"/>
      </w:rPr>
      <w:fldChar w:fldCharType="end"/>
    </w:r>
    <w:r>
      <w:rPr>
        <w:rStyle w:val="PageNumber"/>
      </w:rPr>
      <w:tab/>
    </w:r>
    <w:r w:rsidRPr="00E17934">
      <w:t>Chapter 1: National circumstances, institutional arrangements and cross cutting information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031E33" w14:textId="77777777" w:rsidR="00917807" w:rsidRDefault="00917807">
      <w:r>
        <w:separator/>
      </w:r>
    </w:p>
  </w:footnote>
  <w:footnote w:type="continuationSeparator" w:id="0">
    <w:p w14:paraId="69068BC9" w14:textId="77777777" w:rsidR="00917807" w:rsidRDefault="00917807">
      <w:r>
        <w:continuationSeparator/>
      </w:r>
    </w:p>
  </w:footnote>
  <w:footnote w:id="1">
    <w:p w14:paraId="59C983FC" w14:textId="77777777" w:rsidR="00502238" w:rsidRDefault="00502238" w:rsidP="00502238">
      <w:pPr>
        <w:pStyle w:val="FootnoteText"/>
      </w:pPr>
      <w:r>
        <w:rPr>
          <w:rStyle w:val="FootnoteReference"/>
        </w:rPr>
        <w:footnoteRef/>
      </w:r>
      <w:r>
        <w:t xml:space="preserve"> </w:t>
      </w:r>
      <w:r>
        <w:tab/>
        <w:t>Annex II to the Convention (a subset of Annex I) lists the Organisation for Economic Co-operation and Development (OECD) member countries at the time the Convention was agreed.</w:t>
      </w:r>
    </w:p>
  </w:footnote>
  <w:footnote w:id="2">
    <w:p w14:paraId="22D92EC5" w14:textId="77777777" w:rsidR="00502238" w:rsidRDefault="00502238" w:rsidP="00502238">
      <w:pPr>
        <w:pStyle w:val="FootnoteText"/>
      </w:pPr>
      <w:r>
        <w:rPr>
          <w:rStyle w:val="FootnoteReference"/>
        </w:rPr>
        <w:footnoteRef/>
      </w:r>
      <w:r>
        <w:t xml:space="preserve"> </w:t>
      </w:r>
      <w:r>
        <w:tab/>
        <w:t>Annex I to the Convention lists the countries included in Annex II, as defined above, together with countries defined at the time as undergoing the process of transition to a market economy, commonly known as ‘economies in transition’.</w:t>
      </w:r>
    </w:p>
  </w:footnote>
  <w:footnote w:id="3">
    <w:p w14:paraId="00E3F557" w14:textId="77777777" w:rsidR="00502238" w:rsidRDefault="00502238" w:rsidP="00502238">
      <w:pPr>
        <w:pStyle w:val="FootnoteText"/>
      </w:pPr>
      <w:r>
        <w:rPr>
          <w:rStyle w:val="FootnoteReference"/>
        </w:rPr>
        <w:footnoteRef/>
      </w:r>
      <w:r>
        <w:t xml:space="preserve"> </w:t>
      </w:r>
      <w:r>
        <w:tab/>
        <w:t xml:space="preserve">United Nations Climate Change. </w:t>
      </w:r>
      <w:hyperlink r:id="rId1" w:history="1">
        <w:r>
          <w:rPr>
            <w:rStyle w:val="Hyperlink"/>
          </w:rPr>
          <w:t>www.unfccc.int</w:t>
        </w:r>
      </w:hyperlink>
      <w:r w:rsidRPr="009D38E3">
        <w:rPr>
          <w:rStyle w:val="Hyperlink"/>
        </w:rPr>
        <w:t>.</w:t>
      </w:r>
      <w:r>
        <w:t xml:space="preserve"> Retrieved 13 March 2026.</w:t>
      </w:r>
    </w:p>
  </w:footnote>
  <w:footnote w:id="4">
    <w:p w14:paraId="4447BFCE" w14:textId="77777777" w:rsidR="00502238" w:rsidRDefault="00502238" w:rsidP="00502238">
      <w:pPr>
        <w:pStyle w:val="FootnoteText"/>
      </w:pPr>
      <w:r>
        <w:rPr>
          <w:rStyle w:val="FootnoteReference"/>
        </w:rPr>
        <w:footnoteRef/>
      </w:r>
      <w:r>
        <w:t xml:space="preserve"> </w:t>
      </w:r>
      <w:r>
        <w:tab/>
        <w:t xml:space="preserve">Because </w:t>
      </w:r>
      <w:r w:rsidRPr="004E2EA6">
        <w:t>nitrogen trifluoride</w:t>
      </w:r>
      <w:r>
        <w:t xml:space="preserve"> emissions do not occur in New Zealand, they are not included in this report.</w:t>
      </w:r>
    </w:p>
  </w:footnote>
  <w:footnote w:id="5">
    <w:p w14:paraId="0F961A55" w14:textId="77777777" w:rsidR="00502238" w:rsidRDefault="00502238" w:rsidP="00502238">
      <w:pPr>
        <w:pStyle w:val="FootnoteText"/>
      </w:pPr>
      <w:r>
        <w:rPr>
          <w:rStyle w:val="FootnoteReference"/>
        </w:rPr>
        <w:footnoteRef/>
      </w:r>
      <w:r>
        <w:t xml:space="preserve"> </w:t>
      </w:r>
      <w:r>
        <w:tab/>
        <w:t>Indirect greenhouse gases are the gases that have indirect radiative effects in the atmosphere. This may happen either through conversion of an indirect gas to a direct greenhouse gas in the atmosphere (for example, where carbon monoxide is converted to carbon dioxide) or when chemical reactions in the atmosphere involving these gases change the concentrations of direct greenhouse gases.</w:t>
      </w:r>
    </w:p>
  </w:footnote>
  <w:footnote w:id="6">
    <w:p w14:paraId="0C7CDB51" w14:textId="1CC29353" w:rsidR="00502238" w:rsidRDefault="00502238" w:rsidP="00502238">
      <w:pPr>
        <w:pStyle w:val="FootnoteText"/>
      </w:pPr>
      <w:r>
        <w:rPr>
          <w:rStyle w:val="FootnoteReference"/>
        </w:rPr>
        <w:footnoteRef/>
      </w:r>
      <w:r>
        <w:t xml:space="preserve"> </w:t>
      </w:r>
      <w:r>
        <w:tab/>
      </w:r>
      <w:r w:rsidRPr="00FC2763">
        <w:t>In the United Nations Charter (United Nations, 1945), a non-self-governing territory is defined as a territory “whose peoples have not yet attained a full measure of self-government”. Tokelau has been on</w:t>
      </w:r>
      <w:r w:rsidR="00861121">
        <w:t> </w:t>
      </w:r>
      <w:r w:rsidRPr="00FC2763">
        <w:t>the United Nations list of non-self-governing territories since 1946, following the declaration of the intention by New Zealand to transmit information on the Tokelau Islands under Article 73e of the United Nations Charter.</w:t>
      </w:r>
    </w:p>
  </w:footnote>
  <w:footnote w:id="7">
    <w:p w14:paraId="2CF65AE3" w14:textId="77777777" w:rsidR="00502238" w:rsidRDefault="00502238" w:rsidP="00502238">
      <w:pPr>
        <w:pStyle w:val="FootnoteText"/>
      </w:pPr>
      <w:r>
        <w:rPr>
          <w:rStyle w:val="FootnoteReference"/>
        </w:rPr>
        <w:footnoteRef/>
      </w:r>
      <w:r>
        <w:t xml:space="preserve"> </w:t>
      </w:r>
      <w:r>
        <w:tab/>
        <w:t xml:space="preserve">The </w:t>
      </w:r>
      <w:r w:rsidRPr="005B1BA9">
        <w:t>Climate Change Response Act 2002</w:t>
      </w:r>
      <w:r>
        <w:t xml:space="preserve"> has been amended several times since 2002. The Climate Change Response (Emissions Trading Reform) Amendment Act 2020, among other things, added reporting under the Paris Agreement to the functions of the inventory agency.</w:t>
      </w:r>
    </w:p>
  </w:footnote>
  <w:footnote w:id="8">
    <w:p w14:paraId="0209939B" w14:textId="77777777" w:rsidR="00502238" w:rsidRDefault="00502238" w:rsidP="00502238">
      <w:pPr>
        <w:pStyle w:val="FootnoteText"/>
      </w:pPr>
      <w:r>
        <w:rPr>
          <w:rStyle w:val="FootnoteReference"/>
        </w:rPr>
        <w:footnoteRef/>
      </w:r>
      <w:r>
        <w:t xml:space="preserve"> </w:t>
      </w:r>
      <w:r>
        <w:tab/>
        <w:t>Inserted, on 23 June 2020, by section 56(1) of the Climate Change Response (Emissions Trading Reform) Amendment Act 2020 (2020 No 22).</w:t>
      </w:r>
    </w:p>
  </w:footnote>
  <w:footnote w:id="9">
    <w:p w14:paraId="44704C51" w14:textId="77777777" w:rsidR="00502238" w:rsidRDefault="00502238" w:rsidP="00502238">
      <w:pPr>
        <w:pStyle w:val="FootnoteText"/>
      </w:pPr>
      <w:r>
        <w:rPr>
          <w:rStyle w:val="FootnoteReference"/>
        </w:rPr>
        <w:footnoteRef/>
      </w:r>
      <w:r>
        <w:t xml:space="preserve"> </w:t>
      </w:r>
      <w:r>
        <w:tab/>
        <w:t xml:space="preserve">Environmental Protection Authority. </w:t>
      </w:r>
      <w:hyperlink r:id="rId2" w:history="1">
        <w:r w:rsidRPr="00E838DF">
          <w:rPr>
            <w:rStyle w:val="Hyperlink"/>
            <w:i/>
            <w:iCs/>
          </w:rPr>
          <w:t>Emissions returns report</w:t>
        </w:r>
      </w:hyperlink>
      <w:r>
        <w:t xml:space="preserve">. Retrieved 13 March 2026. </w:t>
      </w:r>
    </w:p>
  </w:footnote>
  <w:footnote w:id="10">
    <w:p w14:paraId="232CA34F" w14:textId="77777777" w:rsidR="00502238" w:rsidRDefault="00502238" w:rsidP="00502238">
      <w:pPr>
        <w:pStyle w:val="FootnoteText"/>
      </w:pPr>
      <w:r>
        <w:rPr>
          <w:rStyle w:val="FootnoteReference"/>
        </w:rPr>
        <w:footnoteRef/>
      </w:r>
      <w:r>
        <w:t xml:space="preserve"> </w:t>
      </w:r>
      <w:r>
        <w:tab/>
        <w:t>Quality assurance (QA) is a planned system of review procedures conducted by personnel not directly involved in the Inventory compilation and development process.</w:t>
      </w:r>
    </w:p>
  </w:footnote>
  <w:footnote w:id="11">
    <w:p w14:paraId="0281DD0D" w14:textId="77777777" w:rsidR="00502238" w:rsidRDefault="00502238" w:rsidP="00502238">
      <w:pPr>
        <w:pStyle w:val="FootnoteText"/>
      </w:pPr>
      <w:r>
        <w:rPr>
          <w:rStyle w:val="FootnoteReference"/>
        </w:rPr>
        <w:footnoteRef/>
      </w:r>
      <w:r>
        <w:t xml:space="preserve"> </w:t>
      </w:r>
      <w:r>
        <w:tab/>
        <w:t>Quality control (QC) is a system of routine technical activities to assess and maintain the quality of the Inventory as it is being compiled. It is performed by personnel compiling the Inventory.</w:t>
      </w:r>
    </w:p>
  </w:footnote>
  <w:footnote w:id="12">
    <w:p w14:paraId="4B09FCE9" w14:textId="77777777" w:rsidR="00502238" w:rsidRDefault="00502238" w:rsidP="00502238">
      <w:pPr>
        <w:pStyle w:val="FootnoteText"/>
      </w:pPr>
      <w:r>
        <w:rPr>
          <w:rStyle w:val="FootnoteReference"/>
        </w:rPr>
        <w:footnoteRef/>
      </w:r>
      <w:r>
        <w:t xml:space="preserve"> </w:t>
      </w:r>
      <w:r>
        <w:tab/>
        <w:t xml:space="preserve">See Ministry for Primary Industries, </w:t>
      </w:r>
      <w:hyperlink r:id="rId3" w:history="1">
        <w:r w:rsidRPr="00FD3376">
          <w:rPr>
            <w:rStyle w:val="Hyperlink"/>
            <w:i/>
            <w:iCs/>
          </w:rPr>
          <w:t>Estimating on-farm emissions</w:t>
        </w:r>
      </w:hyperlink>
      <w:r>
        <w:t xml:space="preserve">, for more details and a link to the codebase on GitHub. Retrieved 13 March 2026. </w:t>
      </w:r>
    </w:p>
  </w:footnote>
  <w:footnote w:id="13">
    <w:p w14:paraId="59385189" w14:textId="77777777" w:rsidR="00502238" w:rsidRDefault="00502238" w:rsidP="00502238">
      <w:pPr>
        <w:pStyle w:val="FootnoteText"/>
      </w:pPr>
      <w:r>
        <w:rPr>
          <w:rStyle w:val="FootnoteReference"/>
        </w:rPr>
        <w:footnoteRef/>
      </w:r>
      <w:r>
        <w:t xml:space="preserve"> </w:t>
      </w:r>
      <w:r>
        <w:tab/>
        <w:t>Climate Change Response (Emissions Trading) Amendment Act 2008.</w:t>
      </w:r>
    </w:p>
  </w:footnote>
  <w:footnote w:id="14">
    <w:p w14:paraId="609CCBE9" w14:textId="77777777" w:rsidR="00502238" w:rsidRDefault="00502238" w:rsidP="00502238">
      <w:pPr>
        <w:pStyle w:val="FootnoteText"/>
      </w:pPr>
      <w:r>
        <w:rPr>
          <w:rStyle w:val="FootnoteReference"/>
        </w:rPr>
        <w:footnoteRef/>
      </w:r>
      <w:r>
        <w:t xml:space="preserve"> </w:t>
      </w:r>
      <w:r>
        <w:tab/>
        <w:t xml:space="preserve">Ministry for the Environment. </w:t>
      </w:r>
      <w:hyperlink r:id="rId4">
        <w:r w:rsidRPr="00C56405">
          <w:rPr>
            <w:rStyle w:val="Hyperlink"/>
            <w:i/>
            <w:iCs/>
          </w:rPr>
          <w:t>New Zealand Emissions Trading Scheme</w:t>
        </w:r>
      </w:hyperlink>
      <w:r>
        <w:t>. Retrieved 12 March 2025.</w:t>
      </w:r>
    </w:p>
  </w:footnote>
  <w:footnote w:id="15">
    <w:p w14:paraId="7A478CFF" w14:textId="77777777" w:rsidR="00502238" w:rsidRPr="00C340EA" w:rsidRDefault="00502238" w:rsidP="00502238">
      <w:pPr>
        <w:pStyle w:val="FootnoteText"/>
        <w:rPr>
          <w:lang w:val="mi-NZ"/>
        </w:rPr>
      </w:pPr>
      <w:r>
        <w:rPr>
          <w:rStyle w:val="FootnoteReference"/>
        </w:rPr>
        <w:footnoteRef/>
      </w:r>
      <w:r>
        <w:t xml:space="preserve"> </w:t>
      </w:r>
      <w:r>
        <w:tab/>
        <w:t>‘</w:t>
      </w:r>
      <w:r>
        <w:rPr>
          <w:rFonts w:eastAsia="Calibri" w:cs="Calibri"/>
          <w:color w:val="000000"/>
          <w:sz w:val="16"/>
          <w:szCs w:val="16"/>
        </w:rPr>
        <w:t>MMS’ stands for ‘manure management system’ (see chapter 5).</w:t>
      </w:r>
    </w:p>
  </w:footnote>
  <w:footnote w:id="16">
    <w:p w14:paraId="1DCE9659" w14:textId="77777777" w:rsidR="00F271C1" w:rsidRDefault="00F271C1" w:rsidP="00F271C1">
      <w:pPr>
        <w:pStyle w:val="FootnoteText"/>
      </w:pPr>
      <w:r>
        <w:rPr>
          <w:rStyle w:val="FootnoteReference"/>
        </w:rPr>
        <w:footnoteRef/>
      </w:r>
      <w:r>
        <w:t xml:space="preserve"> </w:t>
      </w:r>
      <w:r>
        <w:tab/>
        <w:t>Methane emissions produced from the digestive process in ruminant livestock.</w:t>
      </w:r>
    </w:p>
  </w:footnote>
  <w:footnote w:id="17">
    <w:p w14:paraId="196A9453" w14:textId="77777777" w:rsidR="00F271C1" w:rsidRDefault="00F271C1" w:rsidP="00374A4F">
      <w:pPr>
        <w:pStyle w:val="FootnoteText"/>
      </w:pPr>
      <w:r>
        <w:rPr>
          <w:rStyle w:val="FootnoteReference"/>
        </w:rPr>
        <w:footnoteRef/>
      </w:r>
      <w:r>
        <w:t xml:space="preserve"> </w:t>
      </w:r>
      <w:r>
        <w:tab/>
        <w:t xml:space="preserve">For more information, see </w:t>
      </w:r>
      <w:r w:rsidRPr="00482E6F">
        <w:t xml:space="preserve">Ministry for Primary Industries. </w:t>
      </w:r>
      <w:hyperlink r:id="rId5" w:history="1">
        <w:r w:rsidRPr="003B04BD">
          <w:rPr>
            <w:rStyle w:val="Hyperlink"/>
            <w:i/>
            <w:iCs/>
          </w:rPr>
          <w:t>Situation and Outlook for Primary Industries</w:t>
        </w:r>
      </w:hyperlink>
      <w:r>
        <w:t>. Retrieved 20 March 2025.</w:t>
      </w:r>
    </w:p>
  </w:footnote>
  <w:footnote w:id="18">
    <w:p w14:paraId="59EE9B45" w14:textId="77777777" w:rsidR="0038460F" w:rsidRDefault="0038460F" w:rsidP="0038460F">
      <w:pPr>
        <w:pStyle w:val="FootnoteText"/>
      </w:pPr>
      <w:r w:rsidRPr="005B6A26">
        <w:rPr>
          <w:rStyle w:val="FootnoteReference"/>
        </w:rPr>
        <w:footnoteRef/>
      </w:r>
      <w:r>
        <w:t xml:space="preserve"> </w:t>
      </w:r>
      <w:r>
        <w:tab/>
        <w:t xml:space="preserve">Phosphate rock: </w:t>
      </w:r>
      <w:r w:rsidRPr="00713F4E">
        <w:t>rock rich in the mi</w:t>
      </w:r>
      <w:r>
        <w:t>neral fluorapatite, Ca</w:t>
      </w:r>
      <w:r w:rsidRPr="00FD073B">
        <w:rPr>
          <w:vertAlign w:val="subscript"/>
        </w:rPr>
        <w:t>5</w:t>
      </w:r>
      <w:r>
        <w:t>(PO</w:t>
      </w:r>
      <w:r w:rsidRPr="00FD073B">
        <w:rPr>
          <w:vertAlign w:val="subscript"/>
        </w:rPr>
        <w:t>4</w:t>
      </w:r>
      <w:r>
        <w:t>)</w:t>
      </w:r>
      <w:r w:rsidRPr="00FD073B">
        <w:rPr>
          <w:vertAlign w:val="subscript"/>
        </w:rPr>
        <w:t>3</w:t>
      </w:r>
      <w:r>
        <w:t>F.</w:t>
      </w:r>
    </w:p>
  </w:footnote>
  <w:footnote w:id="19">
    <w:p w14:paraId="40CA9ACB" w14:textId="77777777" w:rsidR="003A5396" w:rsidRDefault="003A5396" w:rsidP="003A5396">
      <w:pPr>
        <w:pStyle w:val="FootnoteText"/>
        <w:spacing w:after="0"/>
      </w:pPr>
      <w:r>
        <w:rPr>
          <w:rStyle w:val="FootnoteReference"/>
        </w:rPr>
        <w:footnoteRef/>
      </w:r>
      <w:r>
        <w:t xml:space="preserve"> </w:t>
      </w:r>
      <w:r>
        <w:tab/>
        <w:t>Includes bitumen, lubricants, solvents, waxes, petroleum coke, white spirit and other liquid fuels.</w:t>
      </w:r>
    </w:p>
  </w:footnote>
  <w:footnote w:id="20">
    <w:p w14:paraId="682B2FF2" w14:textId="77777777" w:rsidR="00E46639" w:rsidRPr="005A386A" w:rsidRDefault="00E46639" w:rsidP="00E46639">
      <w:pPr>
        <w:pStyle w:val="FootnoteText"/>
        <w:spacing w:after="0"/>
      </w:pPr>
      <w:r w:rsidRPr="005A386A">
        <w:rPr>
          <w:rStyle w:val="FootnoteReference"/>
        </w:rPr>
        <w:footnoteRef/>
      </w:r>
      <w:r w:rsidRPr="005A386A">
        <w:t xml:space="preserve"> </w:t>
      </w:r>
      <w:r w:rsidRPr="005A386A">
        <w:tab/>
      </w:r>
      <w:bookmarkStart w:id="635" w:name="_Hlk126157604"/>
      <w:r w:rsidRPr="005A386A">
        <w:t xml:space="preserve">Implied emission factors (IEFs) are calculated by dividing the total emissions of a particular animal </w:t>
      </w:r>
      <w:r>
        <w:t>species</w:t>
      </w:r>
      <w:r w:rsidRPr="005A386A">
        <w:t xml:space="preserve"> and sector (e.g., enteric fermentation from sheep) by the number of animals</w:t>
      </w:r>
      <w:r>
        <w:t xml:space="preserve"> in that species and sector</w:t>
      </w:r>
      <w:r w:rsidRPr="005A386A">
        <w:t>.</w:t>
      </w:r>
      <w:bookmarkEnd w:id="635"/>
    </w:p>
  </w:footnote>
  <w:footnote w:id="21">
    <w:p w14:paraId="5BDB473B" w14:textId="77777777" w:rsidR="00E46639" w:rsidRDefault="00E46639" w:rsidP="00E46639">
      <w:pPr>
        <w:pStyle w:val="FootnoteText"/>
        <w:spacing w:after="0"/>
      </w:pPr>
      <w:r>
        <w:rPr>
          <w:rStyle w:val="FootnoteReference"/>
        </w:rPr>
        <w:footnoteRef/>
      </w:r>
      <w:r>
        <w:t xml:space="preserve"> </w:t>
      </w:r>
      <w:r>
        <w:tab/>
      </w:r>
      <w:r w:rsidRPr="001B19C8">
        <w:rPr>
          <w:spacing w:val="-2"/>
        </w:rPr>
        <w:t>See the Ministry for Primary Industries (MPI) website for the Agriculture inventory methodology document</w:t>
      </w:r>
      <w:r>
        <w:t xml:space="preserve">: </w:t>
      </w:r>
      <w:hyperlink r:id="rId6" w:history="1">
        <w:r w:rsidRPr="00702E40">
          <w:rPr>
            <w:rStyle w:val="Hyperlink"/>
          </w:rPr>
          <w:t>www.mpi.govt.nz/dmsdocument/13906-Detailed-methodologies-for-agricultural-greenhouse-gas-emission-calculation</w:t>
        </w:r>
      </w:hyperlink>
      <w:r>
        <w:t>.</w:t>
      </w:r>
    </w:p>
  </w:footnote>
  <w:footnote w:id="22">
    <w:p w14:paraId="064886FE" w14:textId="77777777" w:rsidR="00E46639" w:rsidRDefault="00E46639" w:rsidP="00E46639">
      <w:pPr>
        <w:pStyle w:val="FootnoteText"/>
      </w:pPr>
      <w:r>
        <w:rPr>
          <w:rStyle w:val="FootnoteReference"/>
        </w:rPr>
        <w:footnoteRef/>
      </w:r>
      <w:r>
        <w:t xml:space="preserve"> </w:t>
      </w:r>
      <w:r>
        <w:tab/>
        <w:t>See</w:t>
      </w:r>
      <w:r w:rsidRPr="00933F9D">
        <w:t xml:space="preserve"> the </w:t>
      </w:r>
      <w:r>
        <w:t xml:space="preserve">MPI </w:t>
      </w:r>
      <w:r w:rsidRPr="00933F9D">
        <w:t>website</w:t>
      </w:r>
      <w:r>
        <w:t xml:space="preserve"> for slaughter statistics: </w:t>
      </w:r>
      <w:hyperlink r:id="rId7" w:history="1">
        <w:r w:rsidRPr="00933F9D">
          <w:rPr>
            <w:rStyle w:val="Hyperlink"/>
          </w:rPr>
          <w:t>www.mpi.govt.nz/resources-and-forms/economic-intelligence/data</w:t>
        </w:r>
      </w:hyperlink>
      <w:r>
        <w:t>.</w:t>
      </w:r>
    </w:p>
  </w:footnote>
  <w:footnote w:id="23">
    <w:p w14:paraId="276F689C" w14:textId="77777777" w:rsidR="00E46639" w:rsidRPr="00D93F91" w:rsidRDefault="00E46639" w:rsidP="00E46639">
      <w:pPr>
        <w:pStyle w:val="FootnoteText"/>
      </w:pPr>
      <w:r w:rsidRPr="005A386A">
        <w:rPr>
          <w:rStyle w:val="FootnoteReference"/>
        </w:rPr>
        <w:footnoteRef/>
      </w:r>
      <w:r w:rsidRPr="005A386A">
        <w:t xml:space="preserve"> </w:t>
      </w:r>
      <w:r w:rsidRPr="005A386A">
        <w:tab/>
        <w:t>Percentage of carcass weight in relation to liveweight.</w:t>
      </w:r>
    </w:p>
  </w:footnote>
  <w:footnote w:id="24">
    <w:p w14:paraId="780CF432" w14:textId="77777777" w:rsidR="00E46639" w:rsidRDefault="00E46639" w:rsidP="00E46639">
      <w:pPr>
        <w:pStyle w:val="FootnoteText"/>
      </w:pPr>
      <w:r>
        <w:rPr>
          <w:rStyle w:val="FootnoteReference"/>
        </w:rPr>
        <w:footnoteRef/>
      </w:r>
      <w:r>
        <w:t xml:space="preserve"> </w:t>
      </w:r>
      <w:r>
        <w:tab/>
      </w:r>
      <w:r w:rsidRPr="00896572">
        <w:t xml:space="preserve">The number of beef cows slaughtered is assumed to be 17 </w:t>
      </w:r>
      <w:r>
        <w:t>percent</w:t>
      </w:r>
      <w:r w:rsidRPr="00896572">
        <w:t xml:space="preserve"> of the total beef cow herd, with other adult cows slaughtered assumed to be dairy cows. The carcass weight of dairy cattle slaughtered was estimated using the adult dairy cow liveweights and a killing-out percentage of 42 </w:t>
      </w:r>
      <w:r>
        <w:t>percent</w:t>
      </w:r>
      <w:r w:rsidRPr="00896572">
        <w:t xml:space="preserve"> (Thomson et</w:t>
      </w:r>
      <w:r>
        <w:t> </w:t>
      </w:r>
      <w:r w:rsidRPr="00896572">
        <w:t>al., 2010). The total weight of dairy cattle slaughtered was calculated (carcass weight × number slaughtered) and then deducted from the national total carcass weight of slaughtered adult cows. This figure was then divided by the number of beef cows slaughtered, to obtain an estimate of the carcass weight of adult beef cows. Liveweights were calculated assuming a killing-out percentage of 42.6 </w:t>
      </w:r>
      <w:r>
        <w:t>percent</w:t>
      </w:r>
      <w:r w:rsidRPr="00896572">
        <w:t xml:space="preserve"> (Thomson et al., 2010).</w:t>
      </w:r>
    </w:p>
  </w:footnote>
  <w:footnote w:id="25">
    <w:p w14:paraId="240125F7" w14:textId="77777777" w:rsidR="00E46639" w:rsidRDefault="00E46639" w:rsidP="00E46639">
      <w:pPr>
        <w:pStyle w:val="FootnoteText"/>
        <w:spacing w:after="40"/>
      </w:pPr>
      <w:r>
        <w:rPr>
          <w:rStyle w:val="FootnoteReference"/>
        </w:rPr>
        <w:footnoteRef/>
      </w:r>
      <w:r>
        <w:t xml:space="preserve"> </w:t>
      </w:r>
      <w:r>
        <w:tab/>
        <w:t>Also known as ‘meat chickens’, which tend to be larger breeds with higher muscle content.</w:t>
      </w:r>
    </w:p>
  </w:footnote>
  <w:footnote w:id="26">
    <w:p w14:paraId="5B1A3BB0" w14:textId="77777777" w:rsidR="00E46639" w:rsidRDefault="00E46639" w:rsidP="00E46639">
      <w:pPr>
        <w:pStyle w:val="FootnoteText"/>
      </w:pPr>
      <w:r>
        <w:rPr>
          <w:rStyle w:val="FootnoteReference"/>
        </w:rPr>
        <w:footnoteRef/>
      </w:r>
      <w:r>
        <w:t xml:space="preserve"> </w:t>
      </w:r>
      <w:r>
        <w:tab/>
        <w:t>Methanet and NzOnet contain experts on methane (</w:t>
      </w:r>
      <w:r w:rsidRPr="00D9348B">
        <w:rPr>
          <w:rFonts w:cs="Calibri"/>
        </w:rPr>
        <w:t>CH</w:t>
      </w:r>
      <w:r w:rsidRPr="00D9348B">
        <w:rPr>
          <w:rFonts w:cs="Calibri"/>
          <w:vertAlign w:val="subscript"/>
        </w:rPr>
        <w:t>4</w:t>
      </w:r>
      <w:r>
        <w:t>) and nitrous oxide (</w:t>
      </w:r>
      <w:r w:rsidRPr="00D9348B">
        <w:rPr>
          <w:rFonts w:cs="Calibri"/>
        </w:rPr>
        <w:t>N</w:t>
      </w:r>
      <w:r w:rsidRPr="00D9348B">
        <w:rPr>
          <w:rFonts w:cs="Calibri"/>
          <w:vertAlign w:val="subscript"/>
        </w:rPr>
        <w:t>2</w:t>
      </w:r>
      <w:r w:rsidRPr="00D9348B">
        <w:rPr>
          <w:rFonts w:cs="Calibri"/>
        </w:rPr>
        <w:t>O</w:t>
      </w:r>
      <w:r>
        <w:t>) respectively. These advisory groups</w:t>
      </w:r>
      <w:r w:rsidRPr="00EB41C3">
        <w:rPr>
          <w:rFonts w:cs="Calibri"/>
        </w:rPr>
        <w:t xml:space="preserve"> </w:t>
      </w:r>
      <w:r w:rsidRPr="00D9348B">
        <w:rPr>
          <w:rFonts w:cs="Calibri"/>
        </w:rPr>
        <w:t>have been running since the early 2000s. The groups were formed to identify the main direction of research needed to improve the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inventory accounts and mitigation, develop a collaborative approach to improve the quality of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emission</w:t>
      </w:r>
      <w:r>
        <w:rPr>
          <w:rFonts w:cs="Calibri"/>
        </w:rPr>
        <w:t>s</w:t>
      </w:r>
      <w:r w:rsidRPr="00D9348B">
        <w:rPr>
          <w:rFonts w:cs="Calibri"/>
        </w:rPr>
        <w:t xml:space="preserve"> data, and build and maintain inventory research capability</w:t>
      </w:r>
      <w:r>
        <w:rPr>
          <w:rFonts w:cs="Calibri"/>
        </w:rPr>
        <w:t>.</w:t>
      </w:r>
    </w:p>
  </w:footnote>
  <w:footnote w:id="27">
    <w:p w14:paraId="1870A94E" w14:textId="77777777" w:rsidR="00E46639" w:rsidRPr="005A386A" w:rsidRDefault="00E46639" w:rsidP="00E46639">
      <w:pPr>
        <w:pStyle w:val="FootnoteText"/>
        <w:spacing w:after="40"/>
      </w:pPr>
      <w:r w:rsidRPr="005A386A">
        <w:rPr>
          <w:rStyle w:val="FootnoteReference"/>
        </w:rPr>
        <w:footnoteRef/>
      </w:r>
      <w:r w:rsidRPr="005A386A">
        <w:t xml:space="preserve"> </w:t>
      </w:r>
      <w:r w:rsidRPr="005A386A">
        <w:tab/>
        <w:t xml:space="preserve">The equation displayed here is a rearranged form of the equation displayed </w:t>
      </w:r>
      <w:r w:rsidRPr="00A553BA">
        <w:t>in Swainson et al. (2016):</w:t>
      </w:r>
      <w:r w:rsidRPr="005A386A">
        <w:t xml:space="preserve"> Ln(CH</w:t>
      </w:r>
      <w:r w:rsidRPr="005A386A">
        <w:rPr>
          <w:vertAlign w:val="subscript"/>
        </w:rPr>
        <w:t>4</w:t>
      </w:r>
      <w:r w:rsidRPr="005A386A">
        <w:t xml:space="preserve">) = 0.734 × In(DMI) + 0.05 </w:t>
      </w:r>
      <w:r w:rsidRPr="005A386A">
        <w:rPr>
          <w:szCs w:val="19"/>
        </w:rPr>
        <w:t>×</w:t>
      </w:r>
      <w:r w:rsidRPr="005A386A">
        <w:t xml:space="preserve"> ME + 2.46.</w:t>
      </w:r>
    </w:p>
  </w:footnote>
  <w:footnote w:id="28">
    <w:p w14:paraId="351BCB0F" w14:textId="77777777" w:rsidR="00E46639" w:rsidRPr="005A386A" w:rsidRDefault="00E46639" w:rsidP="00E46639">
      <w:pPr>
        <w:pStyle w:val="FootnoteText"/>
        <w:spacing w:after="40"/>
      </w:pPr>
      <w:r w:rsidRPr="005A386A">
        <w:rPr>
          <w:rStyle w:val="FootnoteReference"/>
        </w:rPr>
        <w:footnoteRef/>
      </w:r>
      <w:r w:rsidRPr="005A386A">
        <w:t xml:space="preserve"> </w:t>
      </w:r>
      <w:r w:rsidRPr="005A386A">
        <w:tab/>
        <w:t xml:space="preserve">The equation displayed here is a rearranged form of the equation displayed </w:t>
      </w:r>
      <w:r w:rsidRPr="00A553BA">
        <w:t>in Swainson et al. (2016):</w:t>
      </w:r>
      <w:r w:rsidRPr="005A386A">
        <w:t xml:space="preserve"> Ln(CH</w:t>
      </w:r>
      <w:r w:rsidRPr="005A386A">
        <w:rPr>
          <w:vertAlign w:val="subscript"/>
        </w:rPr>
        <w:t>4</w:t>
      </w:r>
      <w:r w:rsidRPr="005A386A">
        <w:t>) = 0.765 × In(DMI) + 3.09.</w:t>
      </w:r>
    </w:p>
  </w:footnote>
  <w:footnote w:id="29">
    <w:p w14:paraId="0649E15C" w14:textId="77777777" w:rsidR="00E46639" w:rsidRPr="005A386A" w:rsidRDefault="00E46639" w:rsidP="00E46639">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For example, Blaxter and Clapperton (1965); Moe and Tyrrel (1975); Baldwin et al. (1988); Djikstra et al. (1992) and Benchaar et al. (2001)</w:t>
      </w:r>
      <w:r>
        <w:rPr>
          <w:szCs w:val="19"/>
        </w:rPr>
        <w:t>,</w:t>
      </w:r>
      <w:r w:rsidRPr="005A386A">
        <w:rPr>
          <w:szCs w:val="19"/>
        </w:rPr>
        <w:t xml:space="preserve"> all cited in Clark et al. (2003). </w:t>
      </w:r>
    </w:p>
  </w:footnote>
  <w:footnote w:id="30">
    <w:p w14:paraId="5B5730E8" w14:textId="77777777" w:rsidR="00E46639" w:rsidRPr="005A386A" w:rsidRDefault="00E46639" w:rsidP="00E46639">
      <w:pPr>
        <w:pStyle w:val="FootnoteText"/>
        <w:rPr>
          <w:szCs w:val="19"/>
        </w:rPr>
      </w:pPr>
      <w:r w:rsidRPr="005A386A">
        <w:rPr>
          <w:rStyle w:val="FootnoteReference"/>
          <w:szCs w:val="19"/>
        </w:rPr>
        <w:footnoteRef/>
      </w:r>
      <w:r w:rsidRPr="005A386A">
        <w:rPr>
          <w:szCs w:val="19"/>
        </w:rPr>
        <w:t xml:space="preserve"> </w:t>
      </w:r>
      <w:r w:rsidRPr="005A386A">
        <w:rPr>
          <w:szCs w:val="19"/>
        </w:rPr>
        <w:tab/>
        <w:t>The IPCC (2006) default emission factor for swine is identical to the IPCC (1996) emission factor.</w:t>
      </w:r>
    </w:p>
  </w:footnote>
  <w:footnote w:id="31">
    <w:p w14:paraId="3AFC0DBF" w14:textId="77777777" w:rsidR="00E46639" w:rsidRPr="005A386A" w:rsidRDefault="00E46639" w:rsidP="00E46639">
      <w:pPr>
        <w:pStyle w:val="FootnoteText"/>
      </w:pPr>
      <w:r w:rsidRPr="00545B02">
        <w:rPr>
          <w:rStyle w:val="FootnoteReference"/>
        </w:rPr>
        <w:footnoteRef/>
      </w:r>
      <w:r w:rsidRPr="00545B02">
        <w:t xml:space="preserve"> </w:t>
      </w:r>
      <w:r w:rsidRPr="00545B02">
        <w:tab/>
      </w:r>
      <w:r w:rsidRPr="0086018D">
        <w:rPr>
          <w:color w:val="000000" w:themeColor="text1"/>
        </w:rPr>
        <w:t xml:space="preserve">As reported in Australia’s </w:t>
      </w:r>
      <w:hyperlink r:id="rId8" w:history="1">
        <w:r w:rsidRPr="0086018D">
          <w:rPr>
            <w:rStyle w:val="Hyperlink"/>
            <w:i/>
            <w:iCs/>
            <w:color w:val="000000" w:themeColor="text1"/>
          </w:rPr>
          <w:t>2025</w:t>
        </w:r>
        <w:r w:rsidRPr="0086018D">
          <w:rPr>
            <w:rStyle w:val="Hyperlink"/>
            <w:i/>
            <w:color w:val="000000" w:themeColor="text1"/>
          </w:rPr>
          <w:t xml:space="preserve"> Common Reporting Table</w:t>
        </w:r>
      </w:hyperlink>
      <w:r w:rsidRPr="0086018D">
        <w:rPr>
          <w:color w:val="000000" w:themeColor="text1"/>
        </w:rPr>
        <w:t>. Retrieved 11 December 2025</w:t>
      </w:r>
      <w:r w:rsidRPr="0086018D">
        <w:rPr>
          <w:rFonts w:cs="Arial"/>
          <w:color w:val="000000" w:themeColor="text1"/>
          <w:spacing w:val="-2"/>
          <w:szCs w:val="16"/>
        </w:rPr>
        <w:t xml:space="preserve">. </w:t>
      </w:r>
      <w:r w:rsidRPr="0086018D">
        <w:rPr>
          <w:color w:val="000000" w:themeColor="text1"/>
          <w:spacing w:val="-2"/>
        </w:rPr>
        <w:t xml:space="preserve">Note that the Australian-specific beef cattle </w:t>
      </w:r>
      <w:r w:rsidRPr="00412A16">
        <w:rPr>
          <w:color w:val="000000" w:themeColor="text1"/>
          <w:spacing w:val="-2"/>
        </w:rPr>
        <w:t>implied emission factor</w:t>
      </w:r>
      <w:r>
        <w:rPr>
          <w:color w:val="000000" w:themeColor="text1"/>
          <w:spacing w:val="-2"/>
        </w:rPr>
        <w:t xml:space="preserve"> (</w:t>
      </w:r>
      <w:r w:rsidRPr="0086018D">
        <w:rPr>
          <w:color w:val="000000" w:themeColor="text1"/>
          <w:spacing w:val="-2"/>
        </w:rPr>
        <w:t>IEF</w:t>
      </w:r>
      <w:r>
        <w:rPr>
          <w:color w:val="000000" w:themeColor="text1"/>
          <w:spacing w:val="-2"/>
        </w:rPr>
        <w:t>)</w:t>
      </w:r>
      <w:r w:rsidRPr="0086018D">
        <w:rPr>
          <w:color w:val="000000" w:themeColor="text1"/>
          <w:spacing w:val="-2"/>
        </w:rPr>
        <w:t xml:space="preserve"> value is calculated</w:t>
      </w:r>
      <w:r w:rsidRPr="0086018D">
        <w:rPr>
          <w:color w:val="000000" w:themeColor="text1"/>
        </w:rPr>
        <w:t xml:space="preserve"> from a population-based weighted average of pasture and feedlot IEF values from beef cattle.</w:t>
      </w:r>
    </w:p>
  </w:footnote>
  <w:footnote w:id="32">
    <w:p w14:paraId="72A82D94" w14:textId="77777777" w:rsidR="00E46639" w:rsidRPr="005A386A" w:rsidRDefault="00E46639" w:rsidP="00E46639">
      <w:pPr>
        <w:pStyle w:val="FootnoteText"/>
        <w:spacing w:after="40"/>
        <w:rPr>
          <w:i/>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Organic nitrogen fertilisers</w:t>
      </w:r>
      <w:r w:rsidRPr="005A386A">
        <w:rPr>
          <w:szCs w:val="19"/>
        </w:rPr>
        <w:t xml:space="preserve"> (3.D.1.2).</w:t>
      </w:r>
    </w:p>
  </w:footnote>
  <w:footnote w:id="33">
    <w:p w14:paraId="38E974C3" w14:textId="77777777" w:rsidR="00E46639" w:rsidRPr="005A386A" w:rsidRDefault="00E46639" w:rsidP="00E46639">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Urine and dung deposited by grazing animals</w:t>
      </w:r>
      <w:r w:rsidRPr="005A386A">
        <w:rPr>
          <w:szCs w:val="19"/>
        </w:rPr>
        <w:t xml:space="preserve"> (3.D.1.3).</w:t>
      </w:r>
    </w:p>
  </w:footnote>
  <w:footnote w:id="34">
    <w:p w14:paraId="6F312930" w14:textId="77777777" w:rsidR="00E46639" w:rsidRPr="005A386A" w:rsidRDefault="00E46639" w:rsidP="00E46639">
      <w:pPr>
        <w:pStyle w:val="FootnoteText"/>
        <w:spacing w:after="40"/>
      </w:pPr>
      <w:r w:rsidRPr="005A386A">
        <w:rPr>
          <w:rStyle w:val="FootnoteReference"/>
        </w:rPr>
        <w:footnoteRef/>
      </w:r>
      <w:r w:rsidRPr="006E11C8">
        <w:rPr>
          <w:lang w:val="nl-NL"/>
        </w:rPr>
        <w:t xml:space="preserve"> </w:t>
      </w:r>
      <w:r w:rsidRPr="006E11C8">
        <w:rPr>
          <w:lang w:val="nl-NL"/>
        </w:rPr>
        <w:tab/>
        <w:t xml:space="preserve">Rollo et al. (2017), Luo et al. </w:t>
      </w:r>
      <w:r w:rsidRPr="00F31E99">
        <w:t>(</w:t>
      </w:r>
      <w:r>
        <w:t>u</w:t>
      </w:r>
      <w:r w:rsidRPr="00F31E99">
        <w:t>npublished).</w:t>
      </w:r>
    </w:p>
  </w:footnote>
  <w:footnote w:id="35">
    <w:p w14:paraId="4C061A29" w14:textId="77777777" w:rsidR="00E46639" w:rsidRPr="005A386A" w:rsidRDefault="00E46639" w:rsidP="00E46639">
      <w:pPr>
        <w:pStyle w:val="FootnoteText"/>
        <w:spacing w:after="40"/>
        <w:rPr>
          <w:szCs w:val="19"/>
        </w:rPr>
      </w:pPr>
      <w:r w:rsidRPr="00B45538">
        <w:rPr>
          <w:rStyle w:val="FootnoteReference"/>
          <w:color w:val="000000"/>
          <w:szCs w:val="19"/>
        </w:rPr>
        <w:footnoteRef/>
      </w:r>
      <w:r w:rsidRPr="00B45538">
        <w:rPr>
          <w:color w:val="000000"/>
          <w:szCs w:val="19"/>
        </w:rPr>
        <w:t xml:space="preserve"> </w:t>
      </w:r>
      <w:r w:rsidRPr="00B45538">
        <w:rPr>
          <w:color w:val="000000"/>
          <w:szCs w:val="19"/>
        </w:rPr>
        <w:tab/>
      </w:r>
      <w:r w:rsidRPr="00B45538">
        <w:rPr>
          <w:szCs w:val="19"/>
        </w:rPr>
        <w:t>Hill (2012), Ritchie (2024).</w:t>
      </w:r>
    </w:p>
  </w:footnote>
  <w:footnote w:id="36">
    <w:p w14:paraId="21267D53" w14:textId="77777777" w:rsidR="00E46639" w:rsidRPr="005A386A" w:rsidRDefault="00E46639" w:rsidP="00E46639">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Fick et al. (2011)</w:t>
      </w:r>
      <w:r w:rsidRPr="005A386A">
        <w:rPr>
          <w:szCs w:val="19"/>
        </w:rPr>
        <w:t xml:space="preserve"> and pers. comm. (2010).</w:t>
      </w:r>
    </w:p>
  </w:footnote>
  <w:footnote w:id="37">
    <w:p w14:paraId="5CA2983E" w14:textId="77777777" w:rsidR="00E46639" w:rsidRPr="005A386A" w:rsidRDefault="00E46639" w:rsidP="00E46639">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Fick et al. (2011)</w:t>
      </w:r>
      <w:r w:rsidRPr="005A386A">
        <w:rPr>
          <w:szCs w:val="19"/>
        </w:rPr>
        <w:t xml:space="preserve"> and pers. comm. (2010).</w:t>
      </w:r>
    </w:p>
  </w:footnote>
  <w:footnote w:id="38">
    <w:p w14:paraId="64B75A1D" w14:textId="77777777" w:rsidR="00E46639" w:rsidRPr="005A386A" w:rsidRDefault="00E46639" w:rsidP="00E46639">
      <w:pPr>
        <w:pStyle w:val="FootnoteText"/>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IPCC (1996)</w:t>
      </w:r>
      <w:r w:rsidRPr="005A386A">
        <w:rPr>
          <w:szCs w:val="19"/>
        </w:rPr>
        <w:t xml:space="preserve"> default waste management proportions for Oceania.</w:t>
      </w:r>
    </w:p>
  </w:footnote>
  <w:footnote w:id="39">
    <w:p w14:paraId="6908F156" w14:textId="77777777" w:rsidR="00E46639" w:rsidRPr="00847307" w:rsidRDefault="00E46639" w:rsidP="00E46639">
      <w:pPr>
        <w:pStyle w:val="FootnoteText"/>
        <w:spacing w:after="0"/>
      </w:pPr>
      <w:r>
        <w:rPr>
          <w:rStyle w:val="FootnoteReference"/>
        </w:rPr>
        <w:footnoteRef/>
      </w:r>
      <w:r>
        <w:t xml:space="preserve"> </w:t>
      </w:r>
      <w:r>
        <w:tab/>
      </w:r>
      <w:r w:rsidRPr="00D9348B">
        <w:rPr>
          <w:rFonts w:cs="Calibri"/>
          <w:spacing w:val="-2"/>
        </w:rPr>
        <w:t xml:space="preserve">For full details of how </w:t>
      </w:r>
      <w:r w:rsidRPr="003C238F">
        <w:rPr>
          <w:rFonts w:cs="Calibri"/>
          <w:spacing w:val="-2"/>
        </w:rPr>
        <w:t>nitrogen excretion</w:t>
      </w:r>
      <w:r w:rsidRPr="00D9348B">
        <w:rPr>
          <w:rFonts w:cs="Calibri"/>
          <w:spacing w:val="-2"/>
        </w:rPr>
        <w:t xml:space="preserve"> rat</w:t>
      </w:r>
      <w:r w:rsidRPr="00B8784F">
        <w:rPr>
          <w:rFonts w:cs="Calibri"/>
          <w:spacing w:val="-2"/>
        </w:rPr>
        <w:t xml:space="preserve">es are derived for each livestock category, see the technical detail provided in the </w:t>
      </w:r>
      <w:r w:rsidRPr="00A93A6E">
        <w:t>Agriculture</w:t>
      </w:r>
      <w:r w:rsidRPr="00B8784F">
        <w:rPr>
          <w:rFonts w:cs="Calibri"/>
          <w:spacing w:val="-2"/>
        </w:rPr>
        <w:t xml:space="preserve"> inventory </w:t>
      </w:r>
      <w:r>
        <w:rPr>
          <w:rFonts w:cs="Calibri"/>
          <w:spacing w:val="-2"/>
        </w:rPr>
        <w:t xml:space="preserve">model </w:t>
      </w:r>
      <w:r w:rsidRPr="00B8784F">
        <w:rPr>
          <w:rFonts w:cs="Calibri"/>
          <w:spacing w:val="-2"/>
        </w:rPr>
        <w:t>methodology document on the MPI website</w:t>
      </w:r>
      <w:r w:rsidRPr="00B8784F">
        <w:rPr>
          <w:rFonts w:cs="Calibri"/>
        </w:rPr>
        <w:t xml:space="preserve"> (</w:t>
      </w:r>
      <w:hyperlink r:id="rId9" w:history="1">
        <w:r>
          <w:rPr>
            <w:rStyle w:val="Hyperlink"/>
          </w:rPr>
          <w:t>www.mpi.govt.nz/dmsdocument/13906-Detailed-methodologies-for-agricultural-greenhouse-gas-emission-calculation</w:t>
        </w:r>
      </w:hyperlink>
      <w:r w:rsidRPr="00B8784F">
        <w:t>).</w:t>
      </w:r>
    </w:p>
  </w:footnote>
  <w:footnote w:id="40">
    <w:p w14:paraId="171F522D" w14:textId="77777777" w:rsidR="00E46639" w:rsidRPr="00C6115B" w:rsidRDefault="00E46639" w:rsidP="00E46639">
      <w:pPr>
        <w:pStyle w:val="FootnoteText"/>
      </w:pPr>
      <w:r>
        <w:rPr>
          <w:rStyle w:val="FootnoteReference"/>
        </w:rPr>
        <w:footnoteRef/>
      </w:r>
      <w:r>
        <w:t xml:space="preserve"> </w:t>
      </w:r>
      <w:r>
        <w:tab/>
        <w:t>M</w:t>
      </w:r>
      <w:r w:rsidRPr="0041563D">
        <w:t xml:space="preserve">id-point in IPCC </w:t>
      </w:r>
      <w:r>
        <w:t>(</w:t>
      </w:r>
      <w:r w:rsidRPr="0041563D">
        <w:t>2019</w:t>
      </w:r>
      <w:r>
        <w:t>)</w:t>
      </w:r>
      <w:r w:rsidRPr="0041563D">
        <w:t xml:space="preserve"> range</w:t>
      </w:r>
      <w:r>
        <w:t>.</w:t>
      </w:r>
    </w:p>
  </w:footnote>
  <w:footnote w:id="41">
    <w:p w14:paraId="27A04B56" w14:textId="77777777" w:rsidR="00E46639" w:rsidRPr="005A386A" w:rsidRDefault="00E46639" w:rsidP="00E46639">
      <w:pPr>
        <w:pStyle w:val="FootnoteText"/>
        <w:rPr>
          <w:szCs w:val="19"/>
        </w:rPr>
      </w:pPr>
      <w:r w:rsidRPr="005A386A">
        <w:rPr>
          <w:rStyle w:val="FootnoteReference"/>
        </w:rPr>
        <w:footnoteRef/>
      </w:r>
      <w:r w:rsidRPr="005A386A">
        <w:t xml:space="preserve"> </w:t>
      </w:r>
      <w:r w:rsidRPr="005A386A">
        <w:tab/>
        <w:t xml:space="preserve">As reported in </w:t>
      </w:r>
      <w:r w:rsidRPr="003A7597">
        <w:t xml:space="preserve">Australia’s </w:t>
      </w:r>
      <w:r>
        <w:rPr>
          <w:i/>
          <w:iCs/>
        </w:rPr>
        <w:t xml:space="preserve">2025 </w:t>
      </w:r>
      <w:hyperlink r:id="rId10" w:history="1">
        <w:r>
          <w:rPr>
            <w:rStyle w:val="Hyperlink"/>
            <w:i/>
            <w:iCs/>
          </w:rPr>
          <w:t>Common Reporting Table</w:t>
        </w:r>
      </w:hyperlink>
      <w:r>
        <w:t>,</w:t>
      </w:r>
      <w:r>
        <w:rPr>
          <w:rStyle w:val="Hyperlink"/>
          <w:i/>
          <w:iCs/>
        </w:rPr>
        <w:t xml:space="preserve"> </w:t>
      </w:r>
      <w:r w:rsidRPr="005E1154">
        <w:rPr>
          <w:rStyle w:val="Hyperlink"/>
          <w:color w:val="auto"/>
        </w:rPr>
        <w:t>table3.B(a)</w:t>
      </w:r>
      <w:r w:rsidRPr="005E1154">
        <w:t xml:space="preserve">. Retrieved </w:t>
      </w:r>
      <w:r>
        <w:t>16 December 2025</w:t>
      </w:r>
      <w:r w:rsidRPr="00CD62EB">
        <w:t xml:space="preserve">. Note that the Australian-specific </w:t>
      </w:r>
      <w:r>
        <w:t xml:space="preserve">beef </w:t>
      </w:r>
      <w:r w:rsidRPr="005A386A">
        <w:t xml:space="preserve">cattle IEF value is calculated from a population-based weighted average of pasture and feedlot IEF values from </w:t>
      </w:r>
      <w:r>
        <w:t>beef</w:t>
      </w:r>
      <w:r w:rsidRPr="005A386A">
        <w:t xml:space="preserve"> cattle.</w:t>
      </w:r>
    </w:p>
  </w:footnote>
  <w:footnote w:id="42">
    <w:p w14:paraId="4B76E48E" w14:textId="77777777" w:rsidR="00E46639" w:rsidRDefault="00E46639" w:rsidP="00E46639">
      <w:pPr>
        <w:pStyle w:val="FootnoteText"/>
      </w:pPr>
      <w:r>
        <w:rPr>
          <w:rStyle w:val="FootnoteReference"/>
        </w:rPr>
        <w:footnoteRef/>
      </w:r>
      <w:r>
        <w:t xml:space="preserve"> </w:t>
      </w:r>
      <w:r>
        <w:tab/>
      </w:r>
      <w:r w:rsidRPr="00BF0413">
        <w:t>Earth Sciences New Zealand</w:t>
      </w:r>
      <w:r>
        <w:t xml:space="preserve">. </w:t>
      </w:r>
      <w:hyperlink r:id="rId11" w:history="1">
        <w:r w:rsidRPr="00CB45BE">
          <w:rPr>
            <w:rStyle w:val="Hyperlink"/>
            <w:i/>
            <w:iCs/>
          </w:rPr>
          <w:t>Regional climatologies</w:t>
        </w:r>
      </w:hyperlink>
      <w:r>
        <w:t>. Retrieved 15 February 2026.</w:t>
      </w:r>
    </w:p>
  </w:footnote>
  <w:footnote w:id="43">
    <w:p w14:paraId="2B2AEBE9" w14:textId="77777777" w:rsidR="00E46639" w:rsidRPr="008036DC" w:rsidRDefault="00E46639" w:rsidP="00E46639">
      <w:pPr>
        <w:pStyle w:val="FootnoteText"/>
      </w:pPr>
      <w:r>
        <w:rPr>
          <w:rStyle w:val="FootnoteReference"/>
        </w:rPr>
        <w:footnoteRef/>
      </w:r>
      <w:r>
        <w:t xml:space="preserve"> </w:t>
      </w:r>
      <w:r>
        <w:tab/>
        <w:t>Flatland is classified as flat pastoral land or plains with a gradient lower than 12 degrees (i.e., equivalent to low slopes).</w:t>
      </w:r>
    </w:p>
  </w:footnote>
  <w:footnote w:id="44">
    <w:p w14:paraId="28A918B2" w14:textId="77777777" w:rsidR="00E46639" w:rsidRPr="0040348A" w:rsidRDefault="00E46639" w:rsidP="00E46639">
      <w:pPr>
        <w:pStyle w:val="FootnoteText"/>
        <w:spacing w:after="40"/>
      </w:pPr>
      <w:r>
        <w:rPr>
          <w:rStyle w:val="FootnoteReference"/>
        </w:rPr>
        <w:footnoteRef/>
      </w:r>
      <w:r>
        <w:t xml:space="preserve"> </w:t>
      </w:r>
      <w:r>
        <w:tab/>
        <w:t>Low slopes are classified as hill country pastoral land with a gradient on average lower than 12 degrees.</w:t>
      </w:r>
    </w:p>
  </w:footnote>
  <w:footnote w:id="45">
    <w:p w14:paraId="7A253057" w14:textId="77777777" w:rsidR="00E46639" w:rsidRPr="0040348A" w:rsidRDefault="00E46639" w:rsidP="00E46639">
      <w:pPr>
        <w:pStyle w:val="FootnoteText"/>
        <w:spacing w:after="40"/>
      </w:pPr>
      <w:r>
        <w:rPr>
          <w:rStyle w:val="FootnoteReference"/>
        </w:rPr>
        <w:footnoteRef/>
      </w:r>
      <w:r>
        <w:t xml:space="preserve"> </w:t>
      </w:r>
      <w:r>
        <w:tab/>
        <w:t xml:space="preserve">Medium slopes are classified as hill country pastoral land with a gradient </w:t>
      </w:r>
      <w:r w:rsidRPr="008F496F">
        <w:t>on average</w:t>
      </w:r>
      <w:r>
        <w:t xml:space="preserve"> between 12 degrees</w:t>
      </w:r>
      <w:r>
        <w:rPr>
          <w:vertAlign w:val="superscript"/>
        </w:rPr>
        <w:t xml:space="preserve"> </w:t>
      </w:r>
      <w:r>
        <w:t>and 24 degrees.</w:t>
      </w:r>
    </w:p>
  </w:footnote>
  <w:footnote w:id="46">
    <w:p w14:paraId="7FBC64F9" w14:textId="77777777" w:rsidR="00E46639" w:rsidRPr="0040348A" w:rsidRDefault="00E46639" w:rsidP="00E46639">
      <w:pPr>
        <w:pStyle w:val="FootnoteText"/>
        <w:spacing w:after="40"/>
      </w:pPr>
      <w:r>
        <w:rPr>
          <w:rStyle w:val="FootnoteReference"/>
        </w:rPr>
        <w:footnoteRef/>
      </w:r>
      <w:r>
        <w:t xml:space="preserve"> </w:t>
      </w:r>
      <w:r>
        <w:tab/>
        <w:t xml:space="preserve">Steep slopes are classified as hill country pastoral land with a gradient </w:t>
      </w:r>
      <w:r w:rsidRPr="008F496F">
        <w:t>on average</w:t>
      </w:r>
      <w:r>
        <w:t xml:space="preserve"> greater than 24</w:t>
      </w:r>
      <w:r>
        <w:rPr>
          <w:vertAlign w:val="superscript"/>
        </w:rPr>
        <w:t xml:space="preserve"> </w:t>
      </w:r>
      <w:r>
        <w:t>degrees.</w:t>
      </w:r>
    </w:p>
  </w:footnote>
  <w:footnote w:id="47">
    <w:p w14:paraId="797AAFE5" w14:textId="77777777" w:rsidR="00E46639" w:rsidRPr="005A386A" w:rsidRDefault="00E46639" w:rsidP="00E46639">
      <w:pPr>
        <w:pStyle w:val="FootnoteText"/>
        <w:spacing w:after="40"/>
      </w:pPr>
      <w:r w:rsidRPr="005A386A">
        <w:rPr>
          <w:rStyle w:val="FootnoteReference"/>
        </w:rPr>
        <w:footnoteRef/>
      </w:r>
      <w:r w:rsidRPr="005A386A">
        <w:t xml:space="preserve"> </w:t>
      </w:r>
      <w:r w:rsidRPr="005A386A">
        <w:tab/>
        <w:t xml:space="preserve">Activity data on urease inhibitor usage before 2016 </w:t>
      </w:r>
      <w:r>
        <w:t>was</w:t>
      </w:r>
      <w:r w:rsidRPr="005A386A">
        <w:t xml:space="preserve"> provided by Ballance Agri-Nutrients Limited. </w:t>
      </w:r>
    </w:p>
  </w:footnote>
  <w:footnote w:id="48">
    <w:p w14:paraId="72BAE5BD" w14:textId="77777777" w:rsidR="00E46639" w:rsidRDefault="00E46639" w:rsidP="00E46639">
      <w:pPr>
        <w:pStyle w:val="FootnoteText"/>
      </w:pPr>
      <w:r>
        <w:rPr>
          <w:rStyle w:val="FootnoteReference"/>
        </w:rPr>
        <w:footnoteRef/>
      </w:r>
      <w:r>
        <w:t xml:space="preserve"> </w:t>
      </w:r>
      <w:r>
        <w:tab/>
      </w:r>
      <w:r w:rsidRPr="005A386A">
        <w:t xml:space="preserve">As reported in </w:t>
      </w:r>
      <w:r w:rsidRPr="003A7597">
        <w:t xml:space="preserve">Australia’s </w:t>
      </w:r>
      <w:r>
        <w:rPr>
          <w:i/>
          <w:iCs/>
        </w:rPr>
        <w:t xml:space="preserve">2025 </w:t>
      </w:r>
      <w:hyperlink r:id="rId12" w:history="1">
        <w:r>
          <w:rPr>
            <w:rStyle w:val="Hyperlink"/>
            <w:i/>
            <w:iCs/>
          </w:rPr>
          <w:t>Common Reporting Table</w:t>
        </w:r>
      </w:hyperlink>
      <w:r>
        <w:t>,</w:t>
      </w:r>
      <w:r>
        <w:rPr>
          <w:rStyle w:val="Hyperlink"/>
          <w:i/>
          <w:iCs/>
        </w:rPr>
        <w:t xml:space="preserve"> </w:t>
      </w:r>
      <w:r>
        <w:rPr>
          <w:rStyle w:val="Hyperlink"/>
        </w:rPr>
        <w:t>t</w:t>
      </w:r>
      <w:r w:rsidRPr="00AC51D2">
        <w:rPr>
          <w:rStyle w:val="Hyperlink"/>
        </w:rPr>
        <w:t>able</w:t>
      </w:r>
      <w:r>
        <w:rPr>
          <w:rStyle w:val="Hyperlink"/>
        </w:rPr>
        <w:t xml:space="preserve"> 3</w:t>
      </w:r>
      <w:r w:rsidRPr="00AC51D2">
        <w:rPr>
          <w:rStyle w:val="Hyperlink"/>
        </w:rPr>
        <w:t>.</w:t>
      </w:r>
      <w:r>
        <w:rPr>
          <w:rStyle w:val="Hyperlink"/>
        </w:rPr>
        <w:t>D</w:t>
      </w:r>
      <w:r w:rsidRPr="00AC51D2">
        <w:t>.</w:t>
      </w:r>
      <w:r w:rsidRPr="005A386A">
        <w:t xml:space="preserve"> Retrieved </w:t>
      </w:r>
      <w:r>
        <w:t>16 December 2025</w:t>
      </w:r>
      <w:r w:rsidRPr="00CD62EB">
        <w:t>.</w:t>
      </w:r>
      <w:r>
        <w:t xml:space="preserve"> Table 5.21 in the </w:t>
      </w:r>
      <w:hyperlink r:id="rId13" w:history="1">
        <w:r w:rsidRPr="00CB45BE">
          <w:rPr>
            <w:rStyle w:val="Hyperlink"/>
            <w:i/>
            <w:iCs/>
          </w:rPr>
          <w:t>Australian National Inventory Report</w:t>
        </w:r>
      </w:hyperlink>
      <w:r w:rsidRPr="000E064B">
        <w:rPr>
          <w:i/>
          <w:iCs/>
        </w:rPr>
        <w:t xml:space="preserve"> 2023</w:t>
      </w:r>
      <w:r>
        <w:t xml:space="preserve"> breaks EF</w:t>
      </w:r>
      <w:r w:rsidRPr="00340E95">
        <w:rPr>
          <w:vertAlign w:val="subscript"/>
        </w:rPr>
        <w:t>1</w:t>
      </w:r>
      <w:r>
        <w:t xml:space="preserve"> down by production system. </w:t>
      </w:r>
      <w:r>
        <w:rPr>
          <w:rFonts w:asciiTheme="minorHAnsi" w:hAnsiTheme="minorHAnsi" w:cstheme="minorHAnsi"/>
          <w:szCs w:val="20"/>
        </w:rPr>
        <w:t>Retrieved 18 February 2026.</w:t>
      </w:r>
    </w:p>
  </w:footnote>
  <w:footnote w:id="49">
    <w:p w14:paraId="070C861D" w14:textId="77777777" w:rsidR="00E46639" w:rsidRDefault="00E46639" w:rsidP="00E46639">
      <w:pPr>
        <w:pStyle w:val="FootnoteText"/>
      </w:pPr>
      <w:r>
        <w:rPr>
          <w:rStyle w:val="FootnoteReference"/>
        </w:rPr>
        <w:footnoteRef/>
      </w:r>
      <w:r>
        <w:t xml:space="preserve"> </w:t>
      </w:r>
      <w:r>
        <w:tab/>
      </w:r>
      <w:r w:rsidRPr="005A386A">
        <w:t xml:space="preserve">As reported in </w:t>
      </w:r>
      <w:r w:rsidRPr="003A7597">
        <w:t xml:space="preserve">Australia’s </w:t>
      </w:r>
      <w:r>
        <w:rPr>
          <w:i/>
          <w:iCs/>
        </w:rPr>
        <w:t xml:space="preserve">2025 </w:t>
      </w:r>
      <w:hyperlink r:id="rId14" w:history="1">
        <w:r>
          <w:rPr>
            <w:rStyle w:val="Hyperlink"/>
            <w:i/>
            <w:iCs/>
          </w:rPr>
          <w:t>Common Reporting Table</w:t>
        </w:r>
      </w:hyperlink>
      <w:r>
        <w:t>,</w:t>
      </w:r>
      <w:r>
        <w:rPr>
          <w:rStyle w:val="Hyperlink"/>
          <w:i/>
          <w:iCs/>
        </w:rPr>
        <w:t xml:space="preserve"> </w:t>
      </w:r>
      <w:r>
        <w:rPr>
          <w:rStyle w:val="Hyperlink"/>
        </w:rPr>
        <w:t>t</w:t>
      </w:r>
      <w:r w:rsidRPr="00AC51D2">
        <w:rPr>
          <w:rStyle w:val="Hyperlink"/>
        </w:rPr>
        <w:t>able</w:t>
      </w:r>
      <w:r>
        <w:rPr>
          <w:rStyle w:val="Hyperlink"/>
        </w:rPr>
        <w:t xml:space="preserve"> 3</w:t>
      </w:r>
      <w:r w:rsidRPr="00AC51D2">
        <w:rPr>
          <w:rStyle w:val="Hyperlink"/>
        </w:rPr>
        <w:t>.</w:t>
      </w:r>
      <w:r>
        <w:rPr>
          <w:rStyle w:val="Hyperlink"/>
        </w:rPr>
        <w:t>D</w:t>
      </w:r>
      <w:r w:rsidRPr="00AC51D2">
        <w:t>.</w:t>
      </w:r>
      <w:r w:rsidRPr="005A386A">
        <w:t xml:space="preserve"> Retrieved </w:t>
      </w:r>
      <w:r>
        <w:t>16 December 2025</w:t>
      </w:r>
      <w:r w:rsidRPr="00CD62EB">
        <w:t>.</w:t>
      </w:r>
    </w:p>
  </w:footnote>
  <w:footnote w:id="50">
    <w:p w14:paraId="46C42403" w14:textId="77777777" w:rsidR="00447423" w:rsidRPr="006D46F1" w:rsidRDefault="00447423" w:rsidP="00447423">
      <w:pPr>
        <w:pStyle w:val="FootnoteText"/>
        <w:rPr>
          <w:rFonts w:cs="Calibri"/>
        </w:rPr>
      </w:pPr>
      <w:r w:rsidRPr="009C1148">
        <w:rPr>
          <w:rStyle w:val="FootnoteReference"/>
        </w:rPr>
        <w:footnoteRef/>
      </w:r>
      <w:r w:rsidRPr="006D46F1">
        <w:rPr>
          <w:rFonts w:cs="Calibri"/>
        </w:rPr>
        <w:tab/>
        <w:t>An exception occurred in the creation of the Clyde Dam. The Clutha River in the South Island was dammed, creating Lake Dunstan. The area flooded was mostly low producing grassland.</w:t>
      </w:r>
    </w:p>
  </w:footnote>
  <w:footnote w:id="51">
    <w:p w14:paraId="50039431" w14:textId="77777777" w:rsidR="00EB5913" w:rsidRDefault="00EB5913" w:rsidP="00EB5913">
      <w:pPr>
        <w:pStyle w:val="FootnoteText"/>
      </w:pPr>
      <w:r>
        <w:rPr>
          <w:rStyle w:val="FootnoteReference"/>
        </w:rPr>
        <w:footnoteRef/>
      </w:r>
      <w:r>
        <w:t xml:space="preserve"> </w:t>
      </w:r>
      <w:r>
        <w:tab/>
        <w:t xml:space="preserve">More information can be found about the new waste strategy and other developments at </w:t>
      </w:r>
      <w:hyperlink r:id="rId15">
        <w:r>
          <w:rPr>
            <w:rStyle w:val="Hyperlink"/>
          </w:rPr>
          <w:t>environment.govt.nz/what-government-is-doing/areas-of-work/waste/waste-legislation-review</w:t>
        </w:r>
      </w:hyperlink>
    </w:p>
  </w:footnote>
  <w:footnote w:id="52">
    <w:p w14:paraId="3458F21F" w14:textId="77777777" w:rsidR="00EB5913" w:rsidRDefault="00EB5913" w:rsidP="00EB5913">
      <w:pPr>
        <w:pStyle w:val="FootnoteText"/>
      </w:pPr>
      <w:r>
        <w:rPr>
          <w:rStyle w:val="FootnoteReference"/>
        </w:rPr>
        <w:footnoteRef/>
      </w:r>
      <w:r>
        <w:t xml:space="preserve"> </w:t>
      </w:r>
      <w:r>
        <w:tab/>
        <w:t xml:space="preserve">Ministry for the Environment. </w:t>
      </w:r>
      <w:hyperlink r:id="rId16">
        <w:r w:rsidRPr="00F2460B">
          <w:rPr>
            <w:rStyle w:val="Hyperlink"/>
            <w:i/>
            <w:iCs/>
          </w:rPr>
          <w:t>Waste statistics</w:t>
        </w:r>
      </w:hyperlink>
      <w:r>
        <w:t>. Retrieved 4 February 2025.</w:t>
      </w:r>
    </w:p>
  </w:footnote>
  <w:footnote w:id="53">
    <w:p w14:paraId="534D4C54" w14:textId="77777777" w:rsidR="00EB5913" w:rsidRDefault="00EB5913" w:rsidP="00EB5913">
      <w:pPr>
        <w:pStyle w:val="FootnoteText"/>
      </w:pPr>
      <w:r>
        <w:rPr>
          <w:rStyle w:val="FootnoteReference"/>
        </w:rPr>
        <w:footnoteRef/>
      </w:r>
      <w:r>
        <w:t xml:space="preserve"> </w:t>
      </w:r>
      <w:r>
        <w:tab/>
        <w:t>The approach 1 is based upon error propagation and is used to estimate uncertainty in individual categories, in the inventory as a whole, and in trends between a year of interest and a base year.</w:t>
      </w:r>
    </w:p>
  </w:footnote>
  <w:footnote w:id="54">
    <w:p w14:paraId="57760DC7" w14:textId="77777777" w:rsidR="00EB5913" w:rsidRDefault="00EB5913" w:rsidP="00EB5913">
      <w:pPr>
        <w:pStyle w:val="FootnoteText"/>
      </w:pPr>
      <w:r>
        <w:rPr>
          <w:rStyle w:val="FootnoteReference"/>
        </w:rPr>
        <w:footnoteRef/>
      </w:r>
      <w:r>
        <w:t xml:space="preserve"> </w:t>
      </w:r>
      <w:r>
        <w:tab/>
        <w:t xml:space="preserve">For more information, see </w:t>
      </w:r>
      <w:hyperlink r:id="rId17">
        <w:r>
          <w:rPr>
            <w:rStyle w:val="Hyperlink"/>
          </w:rPr>
          <w:t>compostcollective.org.nz.</w:t>
        </w:r>
      </w:hyperlink>
      <w:r>
        <w:t xml:space="preserve"> Retrieved 6 March 2023.</w:t>
      </w:r>
    </w:p>
  </w:footnote>
  <w:footnote w:id="55">
    <w:p w14:paraId="66FB6E45" w14:textId="77777777" w:rsidR="00EB5913" w:rsidRDefault="00EB5913" w:rsidP="00EB5913">
      <w:pPr>
        <w:pStyle w:val="FootnoteText"/>
      </w:pPr>
      <w:r>
        <w:rPr>
          <w:rStyle w:val="FootnoteReference"/>
        </w:rPr>
        <w:footnoteRef/>
      </w:r>
      <w:r>
        <w:t xml:space="preserve"> </w:t>
      </w:r>
      <w:r>
        <w:tab/>
        <w:t xml:space="preserve">For more information, see </w:t>
      </w:r>
      <w:hyperlink r:id="rId18">
        <w:r>
          <w:rPr>
            <w:rStyle w:val="Hyperlink"/>
          </w:rPr>
          <w:t>www.ecogas.co.nz/reporoa</w:t>
        </w:r>
      </w:hyperlink>
      <w:r>
        <w:t>. Retrieved 5 February 2025.</w:t>
      </w:r>
    </w:p>
  </w:footnote>
  <w:footnote w:id="56">
    <w:p w14:paraId="4E41DC18" w14:textId="77777777" w:rsidR="00B259A8" w:rsidRPr="00FC2763" w:rsidRDefault="00B259A8" w:rsidP="00B259A8">
      <w:pPr>
        <w:pStyle w:val="FootnoteText"/>
      </w:pPr>
      <w:r w:rsidRPr="00FC2763">
        <w:rPr>
          <w:rStyle w:val="FootnoteReference"/>
        </w:rPr>
        <w:footnoteRef/>
      </w:r>
      <w:r w:rsidRPr="00FC2763">
        <w:t xml:space="preserve"> </w:t>
      </w:r>
      <w:r w:rsidRPr="00FC2763">
        <w:tab/>
        <w:t>In the United Nations Charter (United Nations, 1945), a non-self-governing territory is defined as a territory “whose peoples have not yet attained a full measure of self-government”. Tokelau has been on</w:t>
      </w:r>
      <w:r>
        <w:t> </w:t>
      </w:r>
      <w:r w:rsidRPr="00FC2763">
        <w:t>the United Nations list of non-self-governing territories since 1946, following the declaration of the intention by New Zealand to transmit information on the Tokelau Islands under Article 73e of the United Nations Charter.</w:t>
      </w:r>
    </w:p>
  </w:footnote>
  <w:footnote w:id="57">
    <w:p w14:paraId="4FA55CD5" w14:textId="77777777" w:rsidR="00B259A8" w:rsidRPr="00FC2763" w:rsidRDefault="00B259A8" w:rsidP="00B259A8">
      <w:pPr>
        <w:pStyle w:val="FootnoteText"/>
      </w:pPr>
      <w:r w:rsidRPr="00FC2763">
        <w:rPr>
          <w:rStyle w:val="FootnoteReference"/>
        </w:rPr>
        <w:footnoteRef/>
      </w:r>
      <w:r w:rsidRPr="00FC2763">
        <w:t xml:space="preserve"> </w:t>
      </w:r>
      <w:r w:rsidRPr="00FC2763">
        <w:tab/>
        <w:t>A ‘de jure’ census tallies people according to their regular or legal residence.</w:t>
      </w:r>
    </w:p>
  </w:footnote>
  <w:footnote w:id="58">
    <w:p w14:paraId="15E74899" w14:textId="77777777" w:rsidR="00B259A8" w:rsidRPr="00FC2763" w:rsidRDefault="00B259A8" w:rsidP="00B259A8">
      <w:pPr>
        <w:pStyle w:val="FootnoteText"/>
      </w:pPr>
      <w:r w:rsidRPr="00FC2763">
        <w:rPr>
          <w:rStyle w:val="FootnoteReference"/>
        </w:rPr>
        <w:footnoteRef/>
      </w:r>
      <w:r w:rsidRPr="00FC2763">
        <w:t xml:space="preserve"> </w:t>
      </w:r>
      <w:r w:rsidRPr="00FC2763">
        <w:tab/>
        <w:t>Formerly known as the Climate Change Division within the Office of the Council for the Ongoing Government of Tokelau.</w:t>
      </w:r>
    </w:p>
  </w:footnote>
  <w:footnote w:id="59">
    <w:p w14:paraId="64D8DAAA" w14:textId="77777777" w:rsidR="00B259A8" w:rsidRPr="00FC2763" w:rsidRDefault="00B259A8" w:rsidP="00B259A8">
      <w:pPr>
        <w:pStyle w:val="FootnoteText"/>
      </w:pPr>
      <w:r w:rsidRPr="00FC2763">
        <w:rPr>
          <w:rStyle w:val="FootnoteReference"/>
        </w:rPr>
        <w:footnoteRef/>
      </w:r>
      <w:r w:rsidRPr="00FC2763">
        <w:t xml:space="preserve"> </w:t>
      </w:r>
      <w:r w:rsidRPr="00FC2763">
        <w:tab/>
        <w:t xml:space="preserve">See Roorda et al. (2015) </w:t>
      </w:r>
      <w:hyperlink r:id="rId19" w:history="1">
        <w:r w:rsidRPr="00FC2763">
          <w:rPr>
            <w:rStyle w:val="Hyperlink"/>
            <w:i/>
            <w:iCs/>
          </w:rPr>
          <w:t>Evaluation of the Tokelau Country Programme</w:t>
        </w:r>
      </w:hyperlink>
      <w:r w:rsidRPr="00FC2763">
        <w:t>, page 46.</w:t>
      </w:r>
    </w:p>
  </w:footnote>
  <w:footnote w:id="60">
    <w:p w14:paraId="6E4997BA" w14:textId="77777777" w:rsidR="00B259A8" w:rsidRPr="00FC2763" w:rsidRDefault="00B259A8" w:rsidP="00B259A8">
      <w:pPr>
        <w:pStyle w:val="FootnoteText"/>
      </w:pPr>
      <w:r w:rsidRPr="00FC2763">
        <w:rPr>
          <w:rStyle w:val="FootnoteReference"/>
        </w:rPr>
        <w:footnoteRef/>
      </w:r>
      <w:r w:rsidRPr="00FC2763">
        <w:t xml:space="preserve"> </w:t>
      </w:r>
      <w:r w:rsidRPr="00FC2763">
        <w:tab/>
        <w:t>Where emissions occur within the first two years, they are usually referred to as ‘</w:t>
      </w:r>
      <w:r w:rsidRPr="00AF4C27">
        <w:t>prompt</w:t>
      </w:r>
      <w:r w:rsidRPr="00FC2763">
        <w:t>’ emissions (e.g., aerosols).</w:t>
      </w:r>
    </w:p>
  </w:footnote>
  <w:footnote w:id="61">
    <w:p w14:paraId="184EB0F6" w14:textId="39183B57" w:rsidR="00B259A8" w:rsidRPr="00FC2763" w:rsidRDefault="00B259A8" w:rsidP="00B259A8">
      <w:pPr>
        <w:pStyle w:val="FootnoteText"/>
      </w:pPr>
      <w:r w:rsidRPr="00FC2763">
        <w:rPr>
          <w:rStyle w:val="FootnoteReference"/>
        </w:rPr>
        <w:footnoteRef/>
      </w:r>
      <w:r w:rsidRPr="00FC2763">
        <w:t xml:space="preserve"> </w:t>
      </w:r>
      <w:r w:rsidRPr="00FC2763">
        <w:tab/>
        <w:t>A keyhole garden is a small (around 2.5 metre diameter) circular raised garden with a keyhole-shaped indentation on one side. Moisture and nutrients flow from an active compost pile placed in the centre of a</w:t>
      </w:r>
      <w:r w:rsidR="00D71BB3">
        <w:t> </w:t>
      </w:r>
      <w:r w:rsidRPr="00FC2763">
        <w:t>round plant bed.</w:t>
      </w:r>
    </w:p>
  </w:footnote>
  <w:footnote w:id="62">
    <w:p w14:paraId="1DE7808C" w14:textId="08176DBA" w:rsidR="00B259A8" w:rsidRDefault="00B259A8" w:rsidP="00B259A8">
      <w:pPr>
        <w:pStyle w:val="FootnoteText"/>
      </w:pPr>
      <w:r w:rsidRPr="00FC2763">
        <w:rPr>
          <w:rStyle w:val="FootnoteReference"/>
        </w:rPr>
        <w:footnoteRef/>
      </w:r>
      <w:r w:rsidRPr="00FC2763">
        <w:t xml:space="preserve"> </w:t>
      </w:r>
      <w:r w:rsidRPr="00FC2763">
        <w:tab/>
        <w:t xml:space="preserve">See Government of Tokelau. 2017. </w:t>
      </w:r>
      <w:hyperlink r:id="rId20" w:history="1">
        <w:r w:rsidRPr="00FC2763">
          <w:rPr>
            <w:rStyle w:val="Hyperlink"/>
            <w:i/>
            <w:iCs/>
          </w:rPr>
          <w:t>Solid Waste Management: MOU Signed between Tokelau EDNRE and Pacific Recycle Co. Ltd</w:t>
        </w:r>
      </w:hyperlink>
      <w:r w:rsidRPr="00FC2763">
        <w:t>. Retrieved 9 March 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55037" w14:textId="77777777" w:rsidR="005660CD" w:rsidRDefault="00982015" w:rsidP="00B44BA5">
    <w:pPr>
      <w:pStyle w:val="Header"/>
      <w:ind w:left="-567"/>
      <w:jc w:val="left"/>
    </w:pPr>
    <w:r>
      <w:rPr>
        <w:noProof/>
      </w:rPr>
      <w:drawing>
        <wp:inline distT="0" distB="0" distL="0" distR="0" wp14:anchorId="63059704" wp14:editId="3E43F2ED">
          <wp:extent cx="2406650" cy="6813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2927" t="8191" r="2281" b="7092"/>
                  <a:stretch>
                    <a:fillRect/>
                  </a:stretch>
                </pic:blipFill>
                <pic:spPr bwMode="auto">
                  <a:xfrm>
                    <a:off x="0" y="0"/>
                    <a:ext cx="2406650" cy="68135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0146E" w14:textId="77777777" w:rsidR="005660CD" w:rsidRDefault="005660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F6AB9" w14:textId="77777777" w:rsidR="00DD5CB6" w:rsidRDefault="00DD5CB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6B145" w14:textId="77777777" w:rsidR="00DD5CB6" w:rsidRDefault="00DD5CB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0ACD5" w14:textId="77777777" w:rsidR="00613F0E" w:rsidRDefault="00613F0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926E1" w14:textId="77777777" w:rsidR="00613F0E" w:rsidRDefault="00613F0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92D1D" w14:textId="77777777" w:rsidR="00613F0E" w:rsidRDefault="00613F0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33561" w14:textId="77777777" w:rsidR="00507300" w:rsidRDefault="000D3B79">
    <w:pPr>
      <w:pStyle w:val="Header"/>
    </w:pPr>
    <w:r>
      <w:rPr>
        <w:noProof/>
      </w:rPr>
      <mc:AlternateContent>
        <mc:Choice Requires="wps">
          <w:drawing>
            <wp:anchor distT="0" distB="0" distL="0" distR="0" simplePos="0" relativeHeight="251659264" behindDoc="0" locked="0" layoutInCell="1" allowOverlap="1" wp14:anchorId="70A9D9D0" wp14:editId="3F15FF7E">
              <wp:simplePos x="635" y="635"/>
              <wp:positionH relativeFrom="page">
                <wp:align>center</wp:align>
              </wp:positionH>
              <wp:positionV relativeFrom="page">
                <wp:align>top</wp:align>
              </wp:positionV>
              <wp:extent cx="624840" cy="376555"/>
              <wp:effectExtent l="0" t="0" r="3810" b="4445"/>
              <wp:wrapNone/>
              <wp:docPr id="127512481" name="Text Box 1" descr="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4840" cy="376555"/>
                      </a:xfrm>
                      <a:prstGeom prst="rect">
                        <a:avLst/>
                      </a:prstGeom>
                      <a:noFill/>
                      <a:ln>
                        <a:noFill/>
                      </a:ln>
                    </wps:spPr>
                    <wps:txbx>
                      <w:txbxContent>
                        <w:p w14:paraId="0681C328" w14:textId="77777777" w:rsidR="00507300" w:rsidRPr="00BB681D" w:rsidRDefault="000D3B79" w:rsidP="00BB681D">
                          <w:pPr>
                            <w:rPr>
                              <w:rFonts w:eastAsia="Calibri" w:cs="Calibri"/>
                              <w:noProof/>
                              <w:color w:val="000000"/>
                              <w:sz w:val="24"/>
                              <w:szCs w:val="24"/>
                            </w:rPr>
                          </w:pPr>
                          <w:r w:rsidRPr="00BB681D">
                            <w:rPr>
                              <w:rFonts w:eastAsia="Calibri" w:cs="Calibri"/>
                              <w:noProof/>
                              <w:color w:val="000000"/>
                              <w:sz w:val="24"/>
                              <w:szCs w:val="24"/>
                            </w:rPr>
                            <w:t>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A9D9D0" id="_x0000_t202" coordsize="21600,21600" o:spt="202" path="m,l,21600r21600,l21600,xe">
              <v:stroke joinstyle="miter"/>
              <v:path gradientshapeok="t" o:connecttype="rect"/>
            </v:shapetype>
            <v:shape id="Text Box 1" o:spid="_x0000_s1026" type="#_x0000_t202" alt="SENSITIVE" style="position:absolute;left:0;text-align:left;margin-left:0;margin-top:0;width:49.2pt;height:29.6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" filled="f" stroked="f">
              <v:textbox style="mso-fit-shape-to-text:t" inset="0,15pt,0,0">
                <w:txbxContent>
                  <w:p w14:paraId="0681C328" w14:textId="77777777" w:rsidR="00507300" w:rsidRPr="00BB681D" w:rsidRDefault="000D3B79" w:rsidP="00BB681D">
                    <w:pPr>
                      <w:rPr>
                        <w:rFonts w:eastAsia="Calibri" w:cs="Calibri"/>
                        <w:noProof/>
                        <w:color w:val="000000"/>
                        <w:sz w:val="24"/>
                        <w:szCs w:val="24"/>
                      </w:rPr>
                    </w:pPr>
                    <w:r w:rsidRPr="00BB681D">
                      <w:rPr>
                        <w:rFonts w:eastAsia="Calibri" w:cs="Calibri"/>
                        <w:noProof/>
                        <w:color w:val="000000"/>
                        <w:sz w:val="24"/>
                        <w:szCs w:val="24"/>
                      </w:rPr>
                      <w:t>SENSITIVE</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DEB1F" w14:textId="77777777" w:rsidR="00CF3E30" w:rsidRDefault="00CF3E30">
    <w:pPr>
      <w:pStyle w:val="Header"/>
    </w:pPr>
    <w:r>
      <w:rPr>
        <w:noProof/>
      </w:rPr>
      <mc:AlternateContent>
        <mc:Choice Requires="wps">
          <w:drawing>
            <wp:anchor distT="0" distB="0" distL="0" distR="0" simplePos="0" relativeHeight="251662336" behindDoc="0" locked="0" layoutInCell="1" allowOverlap="1" wp14:anchorId="5D5993B9" wp14:editId="5084FFBD">
              <wp:simplePos x="635" y="635"/>
              <wp:positionH relativeFrom="page">
                <wp:align>center</wp:align>
              </wp:positionH>
              <wp:positionV relativeFrom="page">
                <wp:align>top</wp:align>
              </wp:positionV>
              <wp:extent cx="915670" cy="340995"/>
              <wp:effectExtent l="0" t="0" r="17780" b="1905"/>
              <wp:wrapNone/>
              <wp:docPr id="1592260174" name="Text Box 1" descr="[IN-CONFIDENC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15670" cy="340995"/>
                      </a:xfrm>
                      <a:prstGeom prst="rect">
                        <a:avLst/>
                      </a:prstGeom>
                      <a:noFill/>
                      <a:ln>
                        <a:noFill/>
                      </a:ln>
                    </wps:spPr>
                    <wps:txbx>
                      <w:txbxContent>
                        <w:p w14:paraId="44C8B2A1" w14:textId="77777777" w:rsidR="00CF3E30" w:rsidRPr="00B051BA" w:rsidRDefault="00CF3E30" w:rsidP="00B051BA">
                          <w:pPr>
                            <w:rPr>
                              <w:rFonts w:ascii="Aptos" w:eastAsia="Aptos" w:hAnsi="Aptos" w:cs="Aptos"/>
                              <w:noProof/>
                              <w:color w:val="000000"/>
                              <w:sz w:val="18"/>
                              <w:szCs w:val="18"/>
                            </w:rPr>
                          </w:pPr>
                          <w:r w:rsidRPr="00B051BA">
                            <w:rPr>
                              <w:rFonts w:ascii="Aptos" w:eastAsia="Aptos" w:hAnsi="Aptos" w:cs="Aptos"/>
                              <w:noProof/>
                              <w:color w:val="000000"/>
                              <w:sz w:val="18"/>
                              <w:szCs w:val="18"/>
                            </w:rPr>
                            <w:t>[IN-CONFIDENCE]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5993B9" id="_x0000_t202" coordsize="21600,21600" o:spt="202" path="m,l,21600r21600,l21600,xe">
              <v:stroke joinstyle="miter"/>
              <v:path gradientshapeok="t" o:connecttype="rect"/>
            </v:shapetype>
            <v:shape id="_x0000_s1028" type="#_x0000_t202" alt="[IN-CONFIDENCE]" style="position:absolute;left:0;text-align:left;margin-left:0;margin-top:0;width:72.1pt;height:26.85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" filled="f" stroked="f">
              <v:textbox style="mso-fit-shape-to-text:t" inset="0,15pt,0,0">
                <w:txbxContent>
                  <w:p w14:paraId="44C8B2A1" w14:textId="77777777" w:rsidR="00CF3E30" w:rsidRPr="00B051BA" w:rsidRDefault="00CF3E30" w:rsidP="00B051BA">
                    <w:pPr>
                      <w:rPr>
                        <w:rFonts w:ascii="Aptos" w:eastAsia="Aptos" w:hAnsi="Aptos" w:cs="Aptos"/>
                        <w:noProof/>
                        <w:color w:val="000000"/>
                        <w:sz w:val="18"/>
                        <w:szCs w:val="18"/>
                      </w:rPr>
                    </w:pPr>
                    <w:r w:rsidRPr="00B051BA">
                      <w:rPr>
                        <w:rFonts w:ascii="Aptos" w:eastAsia="Aptos" w:hAnsi="Aptos" w:cs="Aptos"/>
                        <w:noProof/>
                        <w:color w:val="000000"/>
                        <w:sz w:val="18"/>
                        <w:szCs w:val="18"/>
                      </w:rPr>
                      <w:t>[IN-CONFIDENCE]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E786C8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D6AC9AC"/>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FD86B90A"/>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FFFFFFFE"/>
    <w:multiLevelType w:val="singleLevel"/>
    <w:tmpl w:val="E5101BE4"/>
    <w:lvl w:ilvl="0">
      <w:numFmt w:val="decimal"/>
      <w:lvlText w:val="*"/>
      <w:lvlJc w:val="left"/>
    </w:lvl>
  </w:abstractNum>
  <w:abstractNum w:abstractNumId="8" w15:restartNumberingAfterBreak="0">
    <w:nsid w:val="0000A990"/>
    <w:multiLevelType w:val="multilevel"/>
    <w:tmpl w:val="49ACBBD8"/>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 w15:restartNumberingAfterBreak="0">
    <w:nsid w:val="0000A991"/>
    <w:multiLevelType w:val="multilevel"/>
    <w:tmpl w:val="21CA8BD0"/>
    <w:lvl w:ilvl="0">
      <w:numFmt w:val="bullet"/>
      <w:lvlText w:val="•"/>
      <w:lvlJc w:val="left"/>
      <w:pPr>
        <w:ind w:left="480" w:hanging="480"/>
      </w:pPr>
    </w:lvl>
    <w:lvl w:ilvl="1">
      <w:numFmt w:val="bullet"/>
      <w:lvlText w:val="–"/>
      <w:lvlJc w:val="left"/>
      <w:pPr>
        <w:ind w:left="1200" w:hanging="480"/>
      </w:pPr>
    </w:lvl>
    <w:lvl w:ilvl="2">
      <w:numFmt w:val="bullet"/>
      <w:lvlText w:val="•"/>
      <w:lvlJc w:val="left"/>
      <w:pPr>
        <w:ind w:left="1920" w:hanging="480"/>
      </w:pPr>
    </w:lvl>
    <w:lvl w:ilvl="3">
      <w:numFmt w:val="bullet"/>
      <w:lvlText w:val="–"/>
      <w:lvlJc w:val="left"/>
      <w:pPr>
        <w:ind w:left="2640" w:hanging="480"/>
      </w:pPr>
    </w:lvl>
    <w:lvl w:ilvl="4">
      <w:numFmt w:val="bullet"/>
      <w:lvlText w:val="•"/>
      <w:lvlJc w:val="left"/>
      <w:pPr>
        <w:ind w:left="3360" w:hanging="480"/>
      </w:pPr>
    </w:lvl>
    <w:lvl w:ilvl="5">
      <w:numFmt w:val="bullet"/>
      <w:lvlText w:val="–"/>
      <w:lvlJc w:val="left"/>
      <w:pPr>
        <w:ind w:left="4080" w:hanging="480"/>
      </w:pPr>
    </w:lvl>
    <w:lvl w:ilvl="6">
      <w:numFmt w:val="bullet"/>
      <w:lvlText w:val="•"/>
      <w:lvlJc w:val="left"/>
      <w:pPr>
        <w:ind w:left="4800" w:hanging="480"/>
      </w:pPr>
    </w:lvl>
    <w:lvl w:ilvl="7">
      <w:numFmt w:val="bullet"/>
      <w:lvlText w:val="–"/>
      <w:lvlJc w:val="left"/>
      <w:pPr>
        <w:ind w:left="5520" w:hanging="480"/>
      </w:pPr>
    </w:lvl>
    <w:lvl w:ilvl="8">
      <w:numFmt w:val="bullet"/>
      <w:lvlText w:val="•"/>
      <w:lvlJc w:val="left"/>
      <w:pPr>
        <w:ind w:left="6240" w:hanging="480"/>
      </w:pPr>
    </w:lvl>
  </w:abstractNum>
  <w:abstractNum w:abstractNumId="10" w15:restartNumberingAfterBreak="0">
    <w:nsid w:val="00A99411"/>
    <w:multiLevelType w:val="multilevel"/>
    <w:tmpl w:val="7304E008"/>
    <w:lvl w:ilvl="0">
      <w:start w:val="1"/>
      <w:numFmt w:val="decimal"/>
      <w:lvlText w:val="%1."/>
      <w:lvlJc w:val="left"/>
      <w:pPr>
        <w:ind w:left="480" w:hanging="480"/>
      </w:pPr>
    </w:lvl>
    <w:lvl w:ilvl="1">
      <w:start w:val="1"/>
      <w:numFmt w:val="decimal"/>
      <w:lvlText w:val="%2."/>
      <w:lvlJc w:val="left"/>
      <w:pPr>
        <w:ind w:left="1200" w:hanging="480"/>
      </w:pPr>
    </w:lvl>
    <w:lvl w:ilvl="2">
      <w:start w:val="1"/>
      <w:numFmt w:val="decimal"/>
      <w:lvlText w:val="%3."/>
      <w:lvlJc w:val="left"/>
      <w:pPr>
        <w:ind w:left="1920" w:hanging="480"/>
      </w:pPr>
    </w:lvl>
    <w:lvl w:ilvl="3">
      <w:start w:val="1"/>
      <w:numFmt w:val="decimal"/>
      <w:lvlText w:val="%4."/>
      <w:lvlJc w:val="left"/>
      <w:pPr>
        <w:ind w:left="2640" w:hanging="480"/>
      </w:pPr>
    </w:lvl>
    <w:lvl w:ilvl="4">
      <w:start w:val="1"/>
      <w:numFmt w:val="decimal"/>
      <w:lvlText w:val="%5."/>
      <w:lvlJc w:val="left"/>
      <w:pPr>
        <w:ind w:left="3360" w:hanging="480"/>
      </w:pPr>
    </w:lvl>
    <w:lvl w:ilvl="5">
      <w:start w:val="1"/>
      <w:numFmt w:val="decimal"/>
      <w:lvlText w:val="%6."/>
      <w:lvlJc w:val="left"/>
      <w:pPr>
        <w:ind w:left="4080" w:hanging="480"/>
      </w:pPr>
    </w:lvl>
    <w:lvl w:ilvl="6">
      <w:start w:val="1"/>
      <w:numFmt w:val="decimal"/>
      <w:lvlText w:val="%7."/>
      <w:lvlJc w:val="left"/>
      <w:pPr>
        <w:ind w:left="4800" w:hanging="480"/>
      </w:pPr>
    </w:lvl>
    <w:lvl w:ilvl="7">
      <w:start w:val="1"/>
      <w:numFmt w:val="decimal"/>
      <w:lvlText w:val="%8."/>
      <w:lvlJc w:val="left"/>
      <w:pPr>
        <w:ind w:left="5520" w:hanging="480"/>
      </w:pPr>
    </w:lvl>
    <w:lvl w:ilvl="8">
      <w:start w:val="1"/>
      <w:numFmt w:val="decimal"/>
      <w:lvlText w:val="%9."/>
      <w:lvlJc w:val="left"/>
      <w:pPr>
        <w:ind w:left="6240" w:hanging="480"/>
      </w:pPr>
    </w:lvl>
  </w:abstractNum>
  <w:abstractNum w:abstractNumId="11" w15:restartNumberingAfterBreak="0">
    <w:nsid w:val="00A99431"/>
    <w:multiLevelType w:val="multilevel"/>
    <w:tmpl w:val="4DA40CAA"/>
    <w:lvl w:ilvl="0">
      <w:start w:val="1"/>
      <w:numFmt w:val="decimal"/>
      <w:lvlText w:val="(%1)"/>
      <w:lvlJc w:val="left"/>
      <w:pPr>
        <w:ind w:left="480" w:hanging="480"/>
      </w:pPr>
    </w:lvl>
    <w:lvl w:ilvl="1">
      <w:start w:val="1"/>
      <w:numFmt w:val="decimal"/>
      <w:lvlText w:val="(%2)"/>
      <w:lvlJc w:val="left"/>
      <w:pPr>
        <w:ind w:left="1200" w:hanging="480"/>
      </w:pPr>
    </w:lvl>
    <w:lvl w:ilvl="2">
      <w:start w:val="1"/>
      <w:numFmt w:val="decimal"/>
      <w:lvlText w:val="(%3)"/>
      <w:lvlJc w:val="left"/>
      <w:pPr>
        <w:ind w:left="1920" w:hanging="480"/>
      </w:pPr>
    </w:lvl>
    <w:lvl w:ilvl="3">
      <w:start w:val="1"/>
      <w:numFmt w:val="decimal"/>
      <w:lvlText w:val="(%4)"/>
      <w:lvlJc w:val="left"/>
      <w:pPr>
        <w:ind w:left="2640" w:hanging="480"/>
      </w:pPr>
    </w:lvl>
    <w:lvl w:ilvl="4">
      <w:start w:val="1"/>
      <w:numFmt w:val="decimal"/>
      <w:lvlText w:val="(%5)"/>
      <w:lvlJc w:val="left"/>
      <w:pPr>
        <w:ind w:left="3360" w:hanging="480"/>
      </w:pPr>
    </w:lvl>
    <w:lvl w:ilvl="5">
      <w:start w:val="1"/>
      <w:numFmt w:val="decimal"/>
      <w:lvlText w:val="(%6)"/>
      <w:lvlJc w:val="left"/>
      <w:pPr>
        <w:ind w:left="4080" w:hanging="480"/>
      </w:pPr>
    </w:lvl>
    <w:lvl w:ilvl="6">
      <w:start w:val="1"/>
      <w:numFmt w:val="decimal"/>
      <w:lvlText w:val="(%7)"/>
      <w:lvlJc w:val="left"/>
      <w:pPr>
        <w:ind w:left="4800" w:hanging="480"/>
      </w:pPr>
    </w:lvl>
    <w:lvl w:ilvl="7">
      <w:start w:val="1"/>
      <w:numFmt w:val="decimal"/>
      <w:lvlText w:val="(%8)"/>
      <w:lvlJc w:val="left"/>
      <w:pPr>
        <w:ind w:left="5520" w:hanging="480"/>
      </w:pPr>
    </w:lvl>
    <w:lvl w:ilvl="8">
      <w:start w:val="1"/>
      <w:numFmt w:val="decimal"/>
      <w:lvlText w:val="(%9)"/>
      <w:lvlJc w:val="left"/>
      <w:pPr>
        <w:ind w:left="6240" w:hanging="480"/>
      </w:pPr>
    </w:lvl>
  </w:abstractNum>
  <w:abstractNum w:abstractNumId="12" w15:restartNumberingAfterBreak="0">
    <w:nsid w:val="00A99432"/>
    <w:multiLevelType w:val="multilevel"/>
    <w:tmpl w:val="30BC0B3E"/>
    <w:lvl w:ilvl="0">
      <w:start w:val="2"/>
      <w:numFmt w:val="decimal"/>
      <w:lvlText w:val="(%1)"/>
      <w:lvlJc w:val="left"/>
      <w:pPr>
        <w:ind w:left="480" w:hanging="480"/>
      </w:pPr>
    </w:lvl>
    <w:lvl w:ilvl="1">
      <w:start w:val="2"/>
      <w:numFmt w:val="decimal"/>
      <w:lvlText w:val="(%2)"/>
      <w:lvlJc w:val="left"/>
      <w:pPr>
        <w:ind w:left="1200" w:hanging="480"/>
      </w:pPr>
    </w:lvl>
    <w:lvl w:ilvl="2">
      <w:start w:val="2"/>
      <w:numFmt w:val="decimal"/>
      <w:lvlText w:val="(%3)"/>
      <w:lvlJc w:val="left"/>
      <w:pPr>
        <w:ind w:left="1920" w:hanging="480"/>
      </w:pPr>
    </w:lvl>
    <w:lvl w:ilvl="3">
      <w:start w:val="2"/>
      <w:numFmt w:val="decimal"/>
      <w:lvlText w:val="(%4)"/>
      <w:lvlJc w:val="left"/>
      <w:pPr>
        <w:ind w:left="2640" w:hanging="480"/>
      </w:pPr>
    </w:lvl>
    <w:lvl w:ilvl="4">
      <w:start w:val="2"/>
      <w:numFmt w:val="decimal"/>
      <w:lvlText w:val="(%5)"/>
      <w:lvlJc w:val="left"/>
      <w:pPr>
        <w:ind w:left="3360" w:hanging="480"/>
      </w:pPr>
    </w:lvl>
    <w:lvl w:ilvl="5">
      <w:start w:val="2"/>
      <w:numFmt w:val="decimal"/>
      <w:lvlText w:val="(%6)"/>
      <w:lvlJc w:val="left"/>
      <w:pPr>
        <w:ind w:left="4080" w:hanging="480"/>
      </w:pPr>
    </w:lvl>
    <w:lvl w:ilvl="6">
      <w:start w:val="2"/>
      <w:numFmt w:val="decimal"/>
      <w:lvlText w:val="(%7)"/>
      <w:lvlJc w:val="left"/>
      <w:pPr>
        <w:ind w:left="4800" w:hanging="480"/>
      </w:pPr>
    </w:lvl>
    <w:lvl w:ilvl="7">
      <w:start w:val="2"/>
      <w:numFmt w:val="decimal"/>
      <w:lvlText w:val="(%8)"/>
      <w:lvlJc w:val="left"/>
      <w:pPr>
        <w:ind w:left="5520" w:hanging="480"/>
      </w:pPr>
    </w:lvl>
    <w:lvl w:ilvl="8">
      <w:start w:val="2"/>
      <w:numFmt w:val="decimal"/>
      <w:lvlText w:val="(%9)"/>
      <w:lvlJc w:val="left"/>
      <w:pPr>
        <w:ind w:left="6240" w:hanging="480"/>
      </w:pPr>
    </w:lvl>
  </w:abstractNum>
  <w:abstractNum w:abstractNumId="13" w15:restartNumberingAfterBreak="0">
    <w:nsid w:val="00A99532"/>
    <w:multiLevelType w:val="multilevel"/>
    <w:tmpl w:val="95E620B4"/>
    <w:lvl w:ilvl="0">
      <w:start w:val="2"/>
      <w:numFmt w:val="lowerRoman"/>
      <w:lvlText w:val="(%1)"/>
      <w:lvlJc w:val="left"/>
      <w:pPr>
        <w:ind w:left="1680" w:hanging="480"/>
      </w:pPr>
    </w:lvl>
    <w:lvl w:ilvl="1">
      <w:start w:val="2"/>
      <w:numFmt w:val="lowerRoman"/>
      <w:lvlText w:val="(%2)"/>
      <w:lvlJc w:val="left"/>
      <w:pPr>
        <w:ind w:left="2400" w:hanging="480"/>
      </w:pPr>
    </w:lvl>
    <w:lvl w:ilvl="2">
      <w:start w:val="2"/>
      <w:numFmt w:val="lowerRoman"/>
      <w:lvlText w:val="(%3)"/>
      <w:lvlJc w:val="left"/>
      <w:pPr>
        <w:ind w:left="3120" w:hanging="480"/>
      </w:pPr>
    </w:lvl>
    <w:lvl w:ilvl="3">
      <w:start w:val="2"/>
      <w:numFmt w:val="lowerRoman"/>
      <w:lvlText w:val="(%4)"/>
      <w:lvlJc w:val="left"/>
      <w:pPr>
        <w:ind w:left="3840" w:hanging="480"/>
      </w:pPr>
    </w:lvl>
    <w:lvl w:ilvl="4">
      <w:start w:val="2"/>
      <w:numFmt w:val="lowerRoman"/>
      <w:lvlText w:val="(%5)"/>
      <w:lvlJc w:val="left"/>
      <w:pPr>
        <w:ind w:left="4560" w:hanging="480"/>
      </w:pPr>
    </w:lvl>
    <w:lvl w:ilvl="5">
      <w:start w:val="2"/>
      <w:numFmt w:val="lowerRoman"/>
      <w:lvlText w:val="(%6)"/>
      <w:lvlJc w:val="left"/>
      <w:pPr>
        <w:ind w:left="5280" w:hanging="480"/>
      </w:pPr>
    </w:lvl>
    <w:lvl w:ilvl="6">
      <w:start w:val="2"/>
      <w:numFmt w:val="lowerRoman"/>
      <w:lvlText w:val="(%7)"/>
      <w:lvlJc w:val="left"/>
      <w:pPr>
        <w:ind w:left="6000" w:hanging="480"/>
      </w:pPr>
    </w:lvl>
    <w:lvl w:ilvl="7">
      <w:start w:val="2"/>
      <w:numFmt w:val="lowerRoman"/>
      <w:lvlText w:val="(%8)"/>
      <w:lvlJc w:val="left"/>
      <w:pPr>
        <w:ind w:left="6720" w:hanging="480"/>
      </w:pPr>
    </w:lvl>
    <w:lvl w:ilvl="8">
      <w:start w:val="2"/>
      <w:numFmt w:val="lowerRoman"/>
      <w:lvlText w:val="(%9)"/>
      <w:lvlJc w:val="left"/>
      <w:pPr>
        <w:ind w:left="7440" w:hanging="480"/>
      </w:pPr>
    </w:lvl>
  </w:abstractNum>
  <w:abstractNum w:abstractNumId="14" w15:restartNumberingAfterBreak="0">
    <w:nsid w:val="00A99721"/>
    <w:multiLevelType w:val="multilevel"/>
    <w:tmpl w:val="AB6E1254"/>
    <w:lvl w:ilvl="0">
      <w:start w:val="1"/>
      <w:numFmt w:val="lowerLetter"/>
      <w:lvlText w:val="%1)"/>
      <w:lvlJc w:val="left"/>
      <w:pPr>
        <w:ind w:left="720" w:hanging="480"/>
      </w:pPr>
    </w:lvl>
    <w:lvl w:ilvl="1">
      <w:start w:val="1"/>
      <w:numFmt w:val="lowerLetter"/>
      <w:lvlText w:val="%2)"/>
      <w:lvlJc w:val="left"/>
      <w:pPr>
        <w:ind w:left="1440" w:hanging="480"/>
      </w:pPr>
    </w:lvl>
    <w:lvl w:ilvl="2">
      <w:start w:val="1"/>
      <w:numFmt w:val="lowerLetter"/>
      <w:lvlText w:val="%3)"/>
      <w:lvlJc w:val="left"/>
      <w:pPr>
        <w:ind w:left="2160" w:hanging="480"/>
      </w:pPr>
    </w:lvl>
    <w:lvl w:ilvl="3">
      <w:start w:val="1"/>
      <w:numFmt w:val="lowerLetter"/>
      <w:lvlText w:val="%4)"/>
      <w:lvlJc w:val="left"/>
      <w:pPr>
        <w:ind w:left="2880" w:hanging="480"/>
      </w:pPr>
    </w:lvl>
    <w:lvl w:ilvl="4">
      <w:start w:val="1"/>
      <w:numFmt w:val="lowerLetter"/>
      <w:lvlText w:val="%5)"/>
      <w:lvlJc w:val="left"/>
      <w:pPr>
        <w:ind w:left="3600" w:hanging="480"/>
      </w:pPr>
    </w:lvl>
    <w:lvl w:ilvl="5">
      <w:start w:val="1"/>
      <w:numFmt w:val="lowerLetter"/>
      <w:lvlText w:val="%6)"/>
      <w:lvlJc w:val="left"/>
      <w:pPr>
        <w:ind w:left="4320" w:hanging="480"/>
      </w:pPr>
    </w:lvl>
    <w:lvl w:ilvl="6">
      <w:start w:val="1"/>
      <w:numFmt w:val="lowerLetter"/>
      <w:lvlText w:val="%7)"/>
      <w:lvlJc w:val="left"/>
      <w:pPr>
        <w:ind w:left="5040" w:hanging="480"/>
      </w:pPr>
    </w:lvl>
    <w:lvl w:ilvl="7">
      <w:start w:val="1"/>
      <w:numFmt w:val="lowerLetter"/>
      <w:lvlText w:val="%8)"/>
      <w:lvlJc w:val="left"/>
      <w:pPr>
        <w:ind w:left="5760" w:hanging="480"/>
      </w:pPr>
    </w:lvl>
    <w:lvl w:ilvl="8">
      <w:start w:val="1"/>
      <w:numFmt w:val="lowerLetter"/>
      <w:lvlText w:val="%9)"/>
      <w:lvlJc w:val="left"/>
      <w:pPr>
        <w:ind w:left="6480" w:hanging="480"/>
      </w:pPr>
    </w:lvl>
  </w:abstractNum>
  <w:abstractNum w:abstractNumId="15" w15:restartNumberingAfterBreak="0">
    <w:nsid w:val="00A99731"/>
    <w:multiLevelType w:val="multilevel"/>
    <w:tmpl w:val="C3AC4A8C"/>
    <w:lvl w:ilvl="0">
      <w:start w:val="1"/>
      <w:numFmt w:val="lowerLetter"/>
      <w:lvlText w:val="(%1)"/>
      <w:lvlJc w:val="left"/>
      <w:pPr>
        <w:ind w:left="720" w:hanging="480"/>
      </w:pPr>
    </w:lvl>
    <w:lvl w:ilvl="1">
      <w:start w:val="1"/>
      <w:numFmt w:val="lowerRoman"/>
      <w:lvlText w:val="%2."/>
      <w:lvlJc w:val="right"/>
      <w:pPr>
        <w:ind w:left="1320" w:hanging="360"/>
      </w:pPr>
    </w:lvl>
    <w:lvl w:ilvl="2">
      <w:start w:val="1"/>
      <w:numFmt w:val="lowerLetter"/>
      <w:lvlText w:val="(%3)"/>
      <w:lvlJc w:val="left"/>
      <w:pPr>
        <w:ind w:left="2160" w:hanging="480"/>
      </w:pPr>
    </w:lvl>
    <w:lvl w:ilvl="3">
      <w:start w:val="1"/>
      <w:numFmt w:val="lowerLetter"/>
      <w:lvlText w:val="(%4)"/>
      <w:lvlJc w:val="left"/>
      <w:pPr>
        <w:ind w:left="2880" w:hanging="480"/>
      </w:pPr>
    </w:lvl>
    <w:lvl w:ilvl="4">
      <w:start w:val="1"/>
      <w:numFmt w:val="lowerLetter"/>
      <w:lvlText w:val="(%5)"/>
      <w:lvlJc w:val="left"/>
      <w:pPr>
        <w:ind w:left="3600" w:hanging="480"/>
      </w:pPr>
    </w:lvl>
    <w:lvl w:ilvl="5">
      <w:start w:val="1"/>
      <w:numFmt w:val="lowerLetter"/>
      <w:lvlText w:val="(%6)"/>
      <w:lvlJc w:val="left"/>
      <w:pPr>
        <w:ind w:left="4320" w:hanging="480"/>
      </w:pPr>
    </w:lvl>
    <w:lvl w:ilvl="6">
      <w:start w:val="1"/>
      <w:numFmt w:val="lowerLetter"/>
      <w:lvlText w:val="(%7)"/>
      <w:lvlJc w:val="left"/>
      <w:pPr>
        <w:ind w:left="5040" w:hanging="480"/>
      </w:pPr>
    </w:lvl>
    <w:lvl w:ilvl="7">
      <w:start w:val="1"/>
      <w:numFmt w:val="lowerLetter"/>
      <w:lvlText w:val="(%8)"/>
      <w:lvlJc w:val="left"/>
      <w:pPr>
        <w:ind w:left="5760" w:hanging="480"/>
      </w:pPr>
    </w:lvl>
    <w:lvl w:ilvl="8">
      <w:start w:val="1"/>
      <w:numFmt w:val="lowerLetter"/>
      <w:lvlText w:val="(%9)"/>
      <w:lvlJc w:val="left"/>
      <w:pPr>
        <w:ind w:left="6480" w:hanging="480"/>
      </w:pPr>
    </w:lvl>
  </w:abstractNum>
  <w:abstractNum w:abstractNumId="16" w15:restartNumberingAfterBreak="0">
    <w:nsid w:val="00A99733"/>
    <w:multiLevelType w:val="multilevel"/>
    <w:tmpl w:val="E144A750"/>
    <w:lvl w:ilvl="0">
      <w:start w:val="3"/>
      <w:numFmt w:val="lowerLetter"/>
      <w:lvlText w:val="(%1)"/>
      <w:lvlJc w:val="left"/>
      <w:pPr>
        <w:ind w:left="960" w:hanging="480"/>
      </w:pPr>
    </w:lvl>
    <w:lvl w:ilvl="1">
      <w:start w:val="3"/>
      <w:numFmt w:val="lowerLetter"/>
      <w:lvlText w:val="(%2)"/>
      <w:lvlJc w:val="left"/>
      <w:pPr>
        <w:ind w:left="1680" w:hanging="480"/>
      </w:pPr>
    </w:lvl>
    <w:lvl w:ilvl="2">
      <w:start w:val="3"/>
      <w:numFmt w:val="lowerLetter"/>
      <w:lvlText w:val="(%3)"/>
      <w:lvlJc w:val="left"/>
      <w:pPr>
        <w:ind w:left="2400" w:hanging="480"/>
      </w:pPr>
    </w:lvl>
    <w:lvl w:ilvl="3">
      <w:start w:val="3"/>
      <w:numFmt w:val="lowerLetter"/>
      <w:lvlText w:val="(%4)"/>
      <w:lvlJc w:val="left"/>
      <w:pPr>
        <w:ind w:left="3120" w:hanging="480"/>
      </w:pPr>
    </w:lvl>
    <w:lvl w:ilvl="4">
      <w:start w:val="3"/>
      <w:numFmt w:val="lowerLetter"/>
      <w:lvlText w:val="(%5)"/>
      <w:lvlJc w:val="left"/>
      <w:pPr>
        <w:ind w:left="3840" w:hanging="480"/>
      </w:pPr>
    </w:lvl>
    <w:lvl w:ilvl="5">
      <w:start w:val="3"/>
      <w:numFmt w:val="lowerLetter"/>
      <w:lvlText w:val="(%6)"/>
      <w:lvlJc w:val="left"/>
      <w:pPr>
        <w:ind w:left="4560" w:hanging="480"/>
      </w:pPr>
    </w:lvl>
    <w:lvl w:ilvl="6">
      <w:start w:val="3"/>
      <w:numFmt w:val="lowerLetter"/>
      <w:lvlText w:val="(%7)"/>
      <w:lvlJc w:val="left"/>
      <w:pPr>
        <w:ind w:left="5280" w:hanging="480"/>
      </w:pPr>
    </w:lvl>
    <w:lvl w:ilvl="7">
      <w:start w:val="3"/>
      <w:numFmt w:val="lowerLetter"/>
      <w:lvlText w:val="(%8)"/>
      <w:lvlJc w:val="left"/>
      <w:pPr>
        <w:ind w:left="6000" w:hanging="480"/>
      </w:pPr>
    </w:lvl>
    <w:lvl w:ilvl="8">
      <w:start w:val="3"/>
      <w:numFmt w:val="lowerLetter"/>
      <w:lvlText w:val="(%9)"/>
      <w:lvlJc w:val="left"/>
      <w:pPr>
        <w:ind w:left="6720" w:hanging="480"/>
      </w:pPr>
    </w:lvl>
  </w:abstractNum>
  <w:abstractNum w:abstractNumId="17" w15:restartNumberingAfterBreak="0">
    <w:nsid w:val="00B25EF1"/>
    <w:multiLevelType w:val="hybridMultilevel"/>
    <w:tmpl w:val="D396E14C"/>
    <w:lvl w:ilvl="0" w:tplc="AC76D722">
      <w:start w:val="1"/>
      <w:numFmt w:val="bullet"/>
      <w:lvlText w:val=""/>
      <w:lvlJc w:val="left"/>
      <w:pPr>
        <w:ind w:left="360" w:hanging="360"/>
      </w:pPr>
      <w:rPr>
        <w:rFonts w:ascii="Symbol" w:hAnsi="Symbol" w:hint="default"/>
        <w:sz w:val="18"/>
        <w:szCs w:val="18"/>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8" w15:restartNumberingAfterBreak="0">
    <w:nsid w:val="03E81758"/>
    <w:multiLevelType w:val="multilevel"/>
    <w:tmpl w:val="73AC0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15:restartNumberingAfterBreak="0">
    <w:nsid w:val="04B67626"/>
    <w:multiLevelType w:val="multilevel"/>
    <w:tmpl w:val="01E06AB0"/>
    <w:lvl w:ilvl="0">
      <w:start w:val="1"/>
      <w:numFmt w:val="decimal"/>
      <w:pStyle w:val="Numberedparagraph"/>
      <w:lvlText w:val="%1."/>
      <w:lvlJc w:val="left"/>
      <w:pPr>
        <w:tabs>
          <w:tab w:val="num" w:pos="397"/>
        </w:tabs>
        <w:ind w:left="397" w:hanging="397"/>
      </w:pPr>
      <w:rPr>
        <w:rFonts w:ascii="Calibri" w:hAnsi="Calibri" w:cs="Calibri" w:hint="default"/>
        <w:b w:val="0"/>
        <w:i w:val="0"/>
        <w:color w:val="auto"/>
        <w:sz w:val="22"/>
        <w:szCs w:val="22"/>
      </w:rPr>
    </w:lvl>
    <w:lvl w:ilvl="1">
      <w:start w:val="1"/>
      <w:numFmt w:val="low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04F6031F"/>
    <w:multiLevelType w:val="hybridMultilevel"/>
    <w:tmpl w:val="CE44A972"/>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22" w15:restartNumberingAfterBreak="0">
    <w:nsid w:val="05496B5D"/>
    <w:multiLevelType w:val="multilevel"/>
    <w:tmpl w:val="ABF461D2"/>
    <w:lvl w:ilvl="0">
      <w:start w:val="4"/>
      <w:numFmt w:val="lowerLetter"/>
      <w:lvlText w:val="(%1)"/>
      <w:lvlJc w:val="left"/>
      <w:pPr>
        <w:ind w:left="960" w:hanging="480"/>
      </w:pPr>
      <w:rPr>
        <w:rFonts w:hint="default"/>
      </w:rPr>
    </w:lvl>
    <w:lvl w:ilvl="1">
      <w:start w:val="3"/>
      <w:numFmt w:val="lowerLetter"/>
      <w:lvlText w:val="(%2)"/>
      <w:lvlJc w:val="left"/>
      <w:pPr>
        <w:ind w:left="1680" w:hanging="480"/>
      </w:pPr>
      <w:rPr>
        <w:rFonts w:hint="default"/>
      </w:rPr>
    </w:lvl>
    <w:lvl w:ilvl="2">
      <w:start w:val="3"/>
      <w:numFmt w:val="lowerLetter"/>
      <w:lvlText w:val="(%3)"/>
      <w:lvlJc w:val="left"/>
      <w:pPr>
        <w:ind w:left="2400" w:hanging="480"/>
      </w:pPr>
      <w:rPr>
        <w:rFonts w:hint="default"/>
      </w:rPr>
    </w:lvl>
    <w:lvl w:ilvl="3">
      <w:start w:val="3"/>
      <w:numFmt w:val="lowerLetter"/>
      <w:lvlText w:val="(%4)"/>
      <w:lvlJc w:val="left"/>
      <w:pPr>
        <w:ind w:left="3120" w:hanging="480"/>
      </w:pPr>
      <w:rPr>
        <w:rFonts w:hint="default"/>
      </w:rPr>
    </w:lvl>
    <w:lvl w:ilvl="4">
      <w:start w:val="3"/>
      <w:numFmt w:val="lowerLetter"/>
      <w:lvlText w:val="(%5)"/>
      <w:lvlJc w:val="left"/>
      <w:pPr>
        <w:ind w:left="3840" w:hanging="480"/>
      </w:pPr>
      <w:rPr>
        <w:rFonts w:hint="default"/>
      </w:rPr>
    </w:lvl>
    <w:lvl w:ilvl="5">
      <w:start w:val="3"/>
      <w:numFmt w:val="lowerLetter"/>
      <w:lvlText w:val="(%6)"/>
      <w:lvlJc w:val="left"/>
      <w:pPr>
        <w:ind w:left="4560" w:hanging="480"/>
      </w:pPr>
      <w:rPr>
        <w:rFonts w:hint="default"/>
      </w:rPr>
    </w:lvl>
    <w:lvl w:ilvl="6">
      <w:start w:val="3"/>
      <w:numFmt w:val="lowerLetter"/>
      <w:lvlText w:val="(%7)"/>
      <w:lvlJc w:val="left"/>
      <w:pPr>
        <w:ind w:left="5280" w:hanging="480"/>
      </w:pPr>
      <w:rPr>
        <w:rFonts w:hint="default"/>
      </w:rPr>
    </w:lvl>
    <w:lvl w:ilvl="7">
      <w:start w:val="3"/>
      <w:numFmt w:val="lowerLetter"/>
      <w:lvlText w:val="(%8)"/>
      <w:lvlJc w:val="left"/>
      <w:pPr>
        <w:ind w:left="6000" w:hanging="480"/>
      </w:pPr>
      <w:rPr>
        <w:rFonts w:hint="default"/>
      </w:rPr>
    </w:lvl>
    <w:lvl w:ilvl="8">
      <w:start w:val="3"/>
      <w:numFmt w:val="lowerLetter"/>
      <w:lvlText w:val="(%9)"/>
      <w:lvlJc w:val="left"/>
      <w:pPr>
        <w:ind w:left="6720" w:hanging="480"/>
      </w:pPr>
      <w:rPr>
        <w:rFonts w:hint="default"/>
      </w:rPr>
    </w:lvl>
  </w:abstractNum>
  <w:abstractNum w:abstractNumId="23" w15:restartNumberingAfterBreak="0">
    <w:nsid w:val="06230FA9"/>
    <w:multiLevelType w:val="hybridMultilevel"/>
    <w:tmpl w:val="2A44BC42"/>
    <w:lvl w:ilvl="0" w:tplc="FC165A18">
      <w:start w:val="1"/>
      <w:numFmt w:val="bullet"/>
      <w:lvlText w:val="-"/>
      <w:lvlJc w:val="left"/>
      <w:pPr>
        <w:ind w:left="1040" w:hanging="360"/>
      </w:pPr>
      <w:rPr>
        <w:rFonts w:ascii="Aptos" w:hAnsi="Aptos" w:hint="default"/>
      </w:rPr>
    </w:lvl>
    <w:lvl w:ilvl="1" w:tplc="FFFFFFFF">
      <w:start w:val="1"/>
      <w:numFmt w:val="bullet"/>
      <w:lvlText w:val=""/>
      <w:lvlJc w:val="left"/>
      <w:pPr>
        <w:ind w:left="1760" w:hanging="360"/>
      </w:pPr>
      <w:rPr>
        <w:rFonts w:ascii="Symbol" w:hAnsi="Symbol" w:hint="default"/>
      </w:r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24" w15:restartNumberingAfterBreak="0">
    <w:nsid w:val="07D764DA"/>
    <w:multiLevelType w:val="hybridMultilevel"/>
    <w:tmpl w:val="5BC61F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09A832DC"/>
    <w:multiLevelType w:val="hybridMultilevel"/>
    <w:tmpl w:val="DC229E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7" w15:restartNumberingAfterBreak="0">
    <w:nsid w:val="0ABF62D8"/>
    <w:multiLevelType w:val="hybridMultilevel"/>
    <w:tmpl w:val="76FAF8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0D6337B0"/>
    <w:multiLevelType w:val="hybridMultilevel"/>
    <w:tmpl w:val="4642BF9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0EB27038"/>
    <w:multiLevelType w:val="hybridMultilevel"/>
    <w:tmpl w:val="EA5667C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0F95779E"/>
    <w:multiLevelType w:val="multilevel"/>
    <w:tmpl w:val="6A327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6305FAC"/>
    <w:multiLevelType w:val="multilevel"/>
    <w:tmpl w:val="5CD615F8"/>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2" w15:restartNumberingAfterBreak="0">
    <w:nsid w:val="17E73453"/>
    <w:multiLevelType w:val="hybridMultilevel"/>
    <w:tmpl w:val="0FC40E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192853F1"/>
    <w:multiLevelType w:val="hybridMultilevel"/>
    <w:tmpl w:val="D35889E0"/>
    <w:lvl w:ilvl="0" w:tplc="FAC265E6">
      <w:start w:val="1"/>
      <w:numFmt w:val="bullet"/>
      <w:lvlText w:val=""/>
      <w:lvlJc w:val="left"/>
      <w:pPr>
        <w:ind w:left="644" w:hanging="360"/>
      </w:pPr>
      <w:rPr>
        <w:rFonts w:ascii="Symbol" w:hAnsi="Symbol" w:hint="default"/>
        <w:sz w:val="16"/>
        <w:szCs w:val="16"/>
      </w:rPr>
    </w:lvl>
    <w:lvl w:ilvl="1" w:tplc="F648CAD4">
      <w:numFmt w:val="bullet"/>
      <w:lvlText w:val="-"/>
      <w:lvlJc w:val="left"/>
      <w:pPr>
        <w:ind w:left="1364" w:hanging="360"/>
      </w:pPr>
      <w:rPr>
        <w:rFonts w:ascii="Times New Roman" w:eastAsia="Times New Roman" w:hAnsi="Times New Roman" w:cs="Times New Roman"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34" w15:restartNumberingAfterBreak="0">
    <w:nsid w:val="1A0F55EB"/>
    <w:multiLevelType w:val="hybridMultilevel"/>
    <w:tmpl w:val="B4F836F4"/>
    <w:lvl w:ilvl="0" w:tplc="14090001">
      <w:start w:val="1"/>
      <w:numFmt w:val="bullet"/>
      <w:lvlText w:val=""/>
      <w:lvlJc w:val="left"/>
      <w:pPr>
        <w:ind w:left="643" w:hanging="360"/>
      </w:pPr>
      <w:rPr>
        <w:rFonts w:ascii="Symbol" w:hAnsi="Symbol" w:hint="default"/>
        <w:i w:val="0"/>
        <w:iCs/>
        <w:color w:val="auto"/>
      </w:rPr>
    </w:lvl>
    <w:lvl w:ilvl="1" w:tplc="9064DAC2">
      <w:start w:val="1"/>
      <w:numFmt w:val="lowerLetter"/>
      <w:lvlText w:val="%2."/>
      <w:lvlJc w:val="left"/>
      <w:pPr>
        <w:ind w:left="1800" w:hanging="360"/>
      </w:pPr>
      <w:rPr>
        <w:b w:val="0"/>
        <w:bCs w:val="0"/>
      </w:r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9112EE96">
      <w:start w:val="1"/>
      <w:numFmt w:val="bullet"/>
      <w:lvlText w:val="-"/>
      <w:lvlJc w:val="left"/>
      <w:pPr>
        <w:ind w:left="5400" w:hanging="360"/>
      </w:pPr>
      <w:rPr>
        <w:rFonts w:ascii="Calibri" w:eastAsiaTheme="minorHAnsi" w:hAnsi="Calibri" w:cs="Calibri" w:hint="default"/>
      </w:r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1CB17ABF"/>
    <w:multiLevelType w:val="hybridMultilevel"/>
    <w:tmpl w:val="95A0C404"/>
    <w:lvl w:ilvl="0" w:tplc="FFFFFFFF">
      <w:start w:val="1"/>
      <w:numFmt w:val="bullet"/>
      <w:lvlText w:val=""/>
      <w:lvlJc w:val="left"/>
      <w:pPr>
        <w:ind w:left="1040" w:hanging="360"/>
      </w:pPr>
      <w:rPr>
        <w:rFonts w:ascii="Symbol" w:hAnsi="Symbol" w:hint="default"/>
      </w:rPr>
    </w:lvl>
    <w:lvl w:ilvl="1" w:tplc="5D4478DA">
      <w:start w:val="1"/>
      <w:numFmt w:val="bullet"/>
      <w:lvlText w:val=""/>
      <w:lvlJc w:val="left"/>
      <w:pPr>
        <w:ind w:left="1760" w:hanging="360"/>
      </w:pPr>
      <w:rPr>
        <w:rFonts w:ascii="Symbol" w:hAnsi="Symbol" w:hint="default"/>
      </w:r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36" w15:restartNumberingAfterBreak="0">
    <w:nsid w:val="1EAF63C3"/>
    <w:multiLevelType w:val="multilevel"/>
    <w:tmpl w:val="5C6882E4"/>
    <w:lvl w:ilvl="0">
      <w:start w:val="1"/>
      <w:numFmt w:val="bullet"/>
      <w:lvlText w:val=""/>
      <w:lvlJc w:val="left"/>
      <w:pPr>
        <w:tabs>
          <w:tab w:val="num" w:pos="567"/>
        </w:tabs>
        <w:ind w:left="397" w:hanging="397"/>
      </w:pPr>
      <w:rPr>
        <w:rFonts w:ascii="Symbol" w:hAnsi="Symbol" w:hint="default"/>
        <w:sz w:val="20"/>
        <w:szCs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FDF624F"/>
    <w:multiLevelType w:val="hybridMultilevel"/>
    <w:tmpl w:val="7E785C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9" w15:restartNumberingAfterBreak="0">
    <w:nsid w:val="208C5CF5"/>
    <w:multiLevelType w:val="multilevel"/>
    <w:tmpl w:val="A07E8244"/>
    <w:lvl w:ilvl="0">
      <w:start w:val="1"/>
      <w:numFmt w:val="lowerLetter"/>
      <w:pStyle w:val="Sub-lista"/>
      <w:lvlText w:val="%1)"/>
      <w:lvlJc w:val="left"/>
      <w:pPr>
        <w:tabs>
          <w:tab w:val="num" w:pos="794"/>
        </w:tabs>
        <w:ind w:left="397" w:hanging="397"/>
      </w:pPr>
      <w:rPr>
        <w:rFonts w:ascii="Calibri" w:hAnsi="Calibri" w:cs="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 w15:restartNumberingAfterBreak="0">
    <w:nsid w:val="209C4404"/>
    <w:multiLevelType w:val="hybridMultilevel"/>
    <w:tmpl w:val="254C48AE"/>
    <w:lvl w:ilvl="0" w:tplc="14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2152700F"/>
    <w:multiLevelType w:val="hybridMultilevel"/>
    <w:tmpl w:val="A9302530"/>
    <w:lvl w:ilvl="0" w:tplc="17F6C056">
      <w:start w:val="1"/>
      <w:numFmt w:val="bullet"/>
      <w:pStyle w:val="Informationboxbullet"/>
      <w:lvlText w:val=""/>
      <w:lvlJc w:val="left"/>
      <w:pPr>
        <w:ind w:left="1004" w:hanging="360"/>
      </w:pPr>
      <w:rPr>
        <w:rFonts w:ascii="Symbol" w:hAnsi="Symbol" w:hint="default"/>
        <w:sz w:val="18"/>
        <w:szCs w:val="18"/>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2" w15:restartNumberingAfterBreak="0">
    <w:nsid w:val="21851D49"/>
    <w:multiLevelType w:val="hybridMultilevel"/>
    <w:tmpl w:val="495E258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3" w15:restartNumberingAfterBreak="0">
    <w:nsid w:val="22B41E10"/>
    <w:multiLevelType w:val="hybridMultilevel"/>
    <w:tmpl w:val="929AC5E2"/>
    <w:lvl w:ilvl="0" w:tplc="5CA0F88A">
      <w:start w:val="1"/>
      <w:numFmt w:val="bullet"/>
      <w:lvlText w:val="‒"/>
      <w:lvlJc w:val="left"/>
      <w:pPr>
        <w:ind w:left="1004" w:hanging="360"/>
      </w:pPr>
      <w:rPr>
        <w:rFonts w:ascii="Calibri" w:hAnsi="Calibri" w:cs="Times New Roman" w:hint="default"/>
        <w:b w:val="0"/>
        <w:i w:val="0"/>
        <w:sz w:val="20"/>
      </w:rPr>
    </w:lvl>
    <w:lvl w:ilvl="1" w:tplc="FFFFFFFF">
      <w:start w:val="1"/>
      <w:numFmt w:val="bullet"/>
      <w:lvlText w:val="o"/>
      <w:lvlJc w:val="left"/>
      <w:pPr>
        <w:ind w:left="1724" w:hanging="360"/>
      </w:pPr>
      <w:rPr>
        <w:rFonts w:ascii="Courier New" w:hAnsi="Courier New" w:hint="default"/>
      </w:rPr>
    </w:lvl>
    <w:lvl w:ilvl="2" w:tplc="FFFFFFFF">
      <w:start w:val="1"/>
      <w:numFmt w:val="bullet"/>
      <w:lvlText w:val=""/>
      <w:lvlJc w:val="left"/>
      <w:pPr>
        <w:ind w:left="2444" w:hanging="360"/>
      </w:pPr>
      <w:rPr>
        <w:rFonts w:ascii="Wingdings" w:hAnsi="Wingdings" w:hint="default"/>
      </w:rPr>
    </w:lvl>
    <w:lvl w:ilvl="3" w:tplc="FFFFFFFF">
      <w:start w:val="1"/>
      <w:numFmt w:val="bullet"/>
      <w:lvlText w:val=""/>
      <w:lvlJc w:val="left"/>
      <w:pPr>
        <w:ind w:left="3164" w:hanging="360"/>
      </w:pPr>
      <w:rPr>
        <w:rFonts w:ascii="Symbol" w:hAnsi="Symbol" w:hint="default"/>
      </w:rPr>
    </w:lvl>
    <w:lvl w:ilvl="4" w:tplc="FFFFFFFF">
      <w:start w:val="1"/>
      <w:numFmt w:val="bullet"/>
      <w:lvlText w:val="o"/>
      <w:lvlJc w:val="left"/>
      <w:pPr>
        <w:ind w:left="3884" w:hanging="360"/>
      </w:pPr>
      <w:rPr>
        <w:rFonts w:ascii="Courier New" w:hAnsi="Courier New" w:hint="default"/>
      </w:rPr>
    </w:lvl>
    <w:lvl w:ilvl="5" w:tplc="FFFFFFFF">
      <w:start w:val="1"/>
      <w:numFmt w:val="bullet"/>
      <w:lvlText w:val=""/>
      <w:lvlJc w:val="left"/>
      <w:pPr>
        <w:ind w:left="4604" w:hanging="360"/>
      </w:pPr>
      <w:rPr>
        <w:rFonts w:ascii="Wingdings" w:hAnsi="Wingdings" w:hint="default"/>
      </w:rPr>
    </w:lvl>
    <w:lvl w:ilvl="6" w:tplc="FFFFFFFF">
      <w:start w:val="1"/>
      <w:numFmt w:val="bullet"/>
      <w:lvlText w:val=""/>
      <w:lvlJc w:val="left"/>
      <w:pPr>
        <w:ind w:left="5324" w:hanging="360"/>
      </w:pPr>
      <w:rPr>
        <w:rFonts w:ascii="Symbol" w:hAnsi="Symbol" w:hint="default"/>
      </w:rPr>
    </w:lvl>
    <w:lvl w:ilvl="7" w:tplc="FFFFFFFF">
      <w:start w:val="1"/>
      <w:numFmt w:val="bullet"/>
      <w:lvlText w:val="o"/>
      <w:lvlJc w:val="left"/>
      <w:pPr>
        <w:ind w:left="6044" w:hanging="360"/>
      </w:pPr>
      <w:rPr>
        <w:rFonts w:ascii="Courier New" w:hAnsi="Courier New" w:hint="default"/>
      </w:rPr>
    </w:lvl>
    <w:lvl w:ilvl="8" w:tplc="FFFFFFFF">
      <w:start w:val="1"/>
      <w:numFmt w:val="bullet"/>
      <w:lvlText w:val=""/>
      <w:lvlJc w:val="left"/>
      <w:pPr>
        <w:ind w:left="6764" w:hanging="360"/>
      </w:pPr>
      <w:rPr>
        <w:rFonts w:ascii="Wingdings" w:hAnsi="Wingdings" w:hint="default"/>
      </w:rPr>
    </w:lvl>
  </w:abstractNum>
  <w:abstractNum w:abstractNumId="44" w15:restartNumberingAfterBreak="0">
    <w:nsid w:val="24005FBF"/>
    <w:multiLevelType w:val="multilevel"/>
    <w:tmpl w:val="C3AC4A8C"/>
    <w:lvl w:ilvl="0">
      <w:start w:val="1"/>
      <w:numFmt w:val="lowerLetter"/>
      <w:lvlText w:val="(%1)"/>
      <w:lvlJc w:val="left"/>
      <w:pPr>
        <w:ind w:left="720" w:hanging="480"/>
      </w:pPr>
    </w:lvl>
    <w:lvl w:ilvl="1">
      <w:start w:val="1"/>
      <w:numFmt w:val="lowerRoman"/>
      <w:lvlText w:val="%2."/>
      <w:lvlJc w:val="right"/>
      <w:pPr>
        <w:ind w:left="1320" w:hanging="360"/>
      </w:pPr>
    </w:lvl>
    <w:lvl w:ilvl="2">
      <w:start w:val="1"/>
      <w:numFmt w:val="lowerLetter"/>
      <w:lvlText w:val="(%3)"/>
      <w:lvlJc w:val="left"/>
      <w:pPr>
        <w:ind w:left="2160" w:hanging="480"/>
      </w:pPr>
    </w:lvl>
    <w:lvl w:ilvl="3">
      <w:start w:val="1"/>
      <w:numFmt w:val="lowerLetter"/>
      <w:lvlText w:val="(%4)"/>
      <w:lvlJc w:val="left"/>
      <w:pPr>
        <w:ind w:left="2880" w:hanging="480"/>
      </w:pPr>
    </w:lvl>
    <w:lvl w:ilvl="4">
      <w:start w:val="1"/>
      <w:numFmt w:val="lowerLetter"/>
      <w:lvlText w:val="(%5)"/>
      <w:lvlJc w:val="left"/>
      <w:pPr>
        <w:ind w:left="3600" w:hanging="480"/>
      </w:pPr>
    </w:lvl>
    <w:lvl w:ilvl="5">
      <w:start w:val="1"/>
      <w:numFmt w:val="lowerLetter"/>
      <w:lvlText w:val="(%6)"/>
      <w:lvlJc w:val="left"/>
      <w:pPr>
        <w:ind w:left="4320" w:hanging="480"/>
      </w:pPr>
    </w:lvl>
    <w:lvl w:ilvl="6">
      <w:start w:val="1"/>
      <w:numFmt w:val="lowerLetter"/>
      <w:lvlText w:val="(%7)"/>
      <w:lvlJc w:val="left"/>
      <w:pPr>
        <w:ind w:left="5040" w:hanging="480"/>
      </w:pPr>
    </w:lvl>
    <w:lvl w:ilvl="7">
      <w:start w:val="1"/>
      <w:numFmt w:val="lowerLetter"/>
      <w:lvlText w:val="(%8)"/>
      <w:lvlJc w:val="left"/>
      <w:pPr>
        <w:ind w:left="5760" w:hanging="480"/>
      </w:pPr>
    </w:lvl>
    <w:lvl w:ilvl="8">
      <w:start w:val="1"/>
      <w:numFmt w:val="lowerLetter"/>
      <w:lvlText w:val="(%9)"/>
      <w:lvlJc w:val="left"/>
      <w:pPr>
        <w:ind w:left="6480" w:hanging="480"/>
      </w:pPr>
    </w:lvl>
  </w:abstractNum>
  <w:abstractNum w:abstractNumId="45" w15:restartNumberingAfterBreak="0">
    <w:nsid w:val="240E5C7E"/>
    <w:multiLevelType w:val="hybridMultilevel"/>
    <w:tmpl w:val="4D4CC6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15:restartNumberingAfterBreak="0">
    <w:nsid w:val="251310FF"/>
    <w:multiLevelType w:val="hybridMultilevel"/>
    <w:tmpl w:val="97B0BD4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7" w15:restartNumberingAfterBreak="0">
    <w:nsid w:val="25C70DA5"/>
    <w:multiLevelType w:val="multilevel"/>
    <w:tmpl w:val="FA3A4EE4"/>
    <w:lvl w:ilvl="0">
      <w:start w:val="1"/>
      <w:numFmt w:val="bullet"/>
      <w:lvlText w:val=""/>
      <w:lvlJc w:val="left"/>
      <w:pPr>
        <w:tabs>
          <w:tab w:val="num" w:pos="567"/>
        </w:tabs>
        <w:ind w:left="397" w:hanging="397"/>
      </w:pPr>
      <w:rPr>
        <w:rFonts w:ascii="Symbol" w:hAnsi="Symbol" w:hint="default"/>
        <w:sz w:val="20"/>
        <w:szCs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6F7183C"/>
    <w:multiLevelType w:val="hybridMultilevel"/>
    <w:tmpl w:val="AA8EB97A"/>
    <w:lvl w:ilvl="0" w:tplc="FC165A18">
      <w:start w:val="1"/>
      <w:numFmt w:val="bullet"/>
      <w:lvlText w:val="-"/>
      <w:lvlJc w:val="left"/>
      <w:pPr>
        <w:ind w:left="1040" w:hanging="360"/>
      </w:pPr>
      <w:rPr>
        <w:rFonts w:ascii="Aptos" w:hAnsi="Aptos" w:hint="default"/>
      </w:rPr>
    </w:lvl>
    <w:lvl w:ilvl="1" w:tplc="FFFFFFFF">
      <w:start w:val="1"/>
      <w:numFmt w:val="bullet"/>
      <w:lvlText w:val=""/>
      <w:lvlJc w:val="left"/>
      <w:pPr>
        <w:ind w:left="1760" w:hanging="360"/>
      </w:pPr>
      <w:rPr>
        <w:rFonts w:ascii="Symbol" w:hAnsi="Symbol" w:hint="default"/>
      </w:r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49" w15:restartNumberingAfterBreak="0">
    <w:nsid w:val="27BD2E58"/>
    <w:multiLevelType w:val="multilevel"/>
    <w:tmpl w:val="B0DC6D48"/>
    <w:lvl w:ilvl="0">
      <w:start w:val="1"/>
      <w:numFmt w:val="bullet"/>
      <w:lvlText w:val=""/>
      <w:lvlJc w:val="left"/>
      <w:pPr>
        <w:ind w:left="397"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B1E5AF9"/>
    <w:multiLevelType w:val="hybridMultilevel"/>
    <w:tmpl w:val="B29A67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1" w15:restartNumberingAfterBreak="0">
    <w:nsid w:val="2B8B2D74"/>
    <w:multiLevelType w:val="hybridMultilevel"/>
    <w:tmpl w:val="EF1C9466"/>
    <w:lvl w:ilvl="0" w:tplc="6D362E22">
      <w:start w:val="1"/>
      <w:numFmt w:val="bullet"/>
      <w:pStyle w:val="TableBullet"/>
      <w:lvlText w:val=""/>
      <w:lvlJc w:val="left"/>
      <w:pPr>
        <w:tabs>
          <w:tab w:val="num" w:pos="284"/>
        </w:tabs>
        <w:ind w:left="284" w:hanging="284"/>
      </w:pPr>
      <w:rPr>
        <w:rFonts w:ascii="Symbol" w:hAnsi="Symbol" w:hint="default"/>
        <w:sz w:val="16"/>
        <w:szCs w:val="16"/>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D1A6BE2"/>
    <w:multiLevelType w:val="multilevel"/>
    <w:tmpl w:val="196E0726"/>
    <w:lvl w:ilvl="0">
      <w:start w:val="1"/>
      <w:numFmt w:val="decimal"/>
      <w:lvlText w:val="%1."/>
      <w:lvlJc w:val="left"/>
      <w:pPr>
        <w:ind w:left="397" w:hanging="397"/>
      </w:pPr>
      <w:rPr>
        <w:rFonts w:ascii="Calibri" w:hAnsi="Calibri" w:cs="Arial" w:hint="default"/>
        <w:b w:val="0"/>
        <w:i w:val="0"/>
        <w:sz w:val="22"/>
        <w:szCs w:val="22"/>
      </w:rPr>
    </w:lvl>
    <w:lvl w:ilvl="1">
      <w:start w:val="1"/>
      <w:numFmt w:val="bullet"/>
      <w:lvlText w:val=""/>
      <w:lvlJc w:val="left"/>
      <w:pPr>
        <w:ind w:left="1154" w:hanging="360"/>
      </w:pPr>
      <w:rPr>
        <w:rFonts w:ascii="Symbol" w:hAnsi="Symbol"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53" w15:restartNumberingAfterBreak="0">
    <w:nsid w:val="2D891D1F"/>
    <w:multiLevelType w:val="multilevel"/>
    <w:tmpl w:val="BC78F1D6"/>
    <w:lvl w:ilvl="0">
      <w:start w:val="1"/>
      <w:numFmt w:val="bullet"/>
      <w:pStyle w:val="Sub-bullet"/>
      <w:lvlText w:val=""/>
      <w:lvlJc w:val="left"/>
      <w:pPr>
        <w:ind w:left="794" w:hanging="397"/>
      </w:pPr>
      <w:rPr>
        <w:rFonts w:ascii="Symbol" w:hAnsi="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54" w15:restartNumberingAfterBreak="0">
    <w:nsid w:val="2F481BA6"/>
    <w:multiLevelType w:val="hybridMultilevel"/>
    <w:tmpl w:val="C49E7D8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5" w15:restartNumberingAfterBreak="0">
    <w:nsid w:val="34944BA2"/>
    <w:multiLevelType w:val="hybridMultilevel"/>
    <w:tmpl w:val="A802C1D4"/>
    <w:lvl w:ilvl="0" w:tplc="FFFFFFFF">
      <w:start w:val="1"/>
      <w:numFmt w:val="decimal"/>
      <w:lvlText w:val="%1."/>
      <w:lvlJc w:val="left"/>
      <w:pPr>
        <w:ind w:left="1080" w:hanging="360"/>
      </w:pPr>
      <w:rPr>
        <w:rFonts w:ascii="Arial" w:eastAsia="Times New Roman" w:hAnsi="Arial" w:cs="Arial"/>
      </w:rPr>
    </w:lvl>
    <w:lvl w:ilvl="1" w:tplc="9258E1B2">
      <w:start w:val="1"/>
      <w:numFmt w:val="upperRoman"/>
      <w:lvlText w:val="%2."/>
      <w:lvlJc w:val="right"/>
      <w:pPr>
        <w:ind w:left="1800" w:hanging="360"/>
      </w:pPr>
      <w:rPr>
        <w:sz w:val="22"/>
        <w:szCs w:val="22"/>
      </w:r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3512307A"/>
    <w:multiLevelType w:val="hybridMultilevel"/>
    <w:tmpl w:val="099CF8E0"/>
    <w:lvl w:ilvl="0" w:tplc="14090017">
      <w:start w:val="1"/>
      <w:numFmt w:val="lowerLetter"/>
      <w:lvlText w:val="%1)"/>
      <w:lvlJc w:val="left"/>
      <w:pPr>
        <w:ind w:left="927" w:hanging="360"/>
      </w:pPr>
    </w:lvl>
    <w:lvl w:ilvl="1" w:tplc="14090019" w:tentative="1">
      <w:start w:val="1"/>
      <w:numFmt w:val="lowerLetter"/>
      <w:lvlText w:val="%2."/>
      <w:lvlJc w:val="left"/>
      <w:pPr>
        <w:ind w:left="1647" w:hanging="360"/>
      </w:pPr>
    </w:lvl>
    <w:lvl w:ilvl="2" w:tplc="1409001B" w:tentative="1">
      <w:start w:val="1"/>
      <w:numFmt w:val="lowerRoman"/>
      <w:lvlText w:val="%3."/>
      <w:lvlJc w:val="right"/>
      <w:pPr>
        <w:ind w:left="2367" w:hanging="180"/>
      </w:pPr>
    </w:lvl>
    <w:lvl w:ilvl="3" w:tplc="1409000F" w:tentative="1">
      <w:start w:val="1"/>
      <w:numFmt w:val="decimal"/>
      <w:lvlText w:val="%4."/>
      <w:lvlJc w:val="left"/>
      <w:pPr>
        <w:ind w:left="3087" w:hanging="360"/>
      </w:pPr>
    </w:lvl>
    <w:lvl w:ilvl="4" w:tplc="14090019" w:tentative="1">
      <w:start w:val="1"/>
      <w:numFmt w:val="lowerLetter"/>
      <w:lvlText w:val="%5."/>
      <w:lvlJc w:val="left"/>
      <w:pPr>
        <w:ind w:left="3807" w:hanging="360"/>
      </w:pPr>
    </w:lvl>
    <w:lvl w:ilvl="5" w:tplc="1409001B" w:tentative="1">
      <w:start w:val="1"/>
      <w:numFmt w:val="lowerRoman"/>
      <w:lvlText w:val="%6."/>
      <w:lvlJc w:val="right"/>
      <w:pPr>
        <w:ind w:left="4527" w:hanging="180"/>
      </w:pPr>
    </w:lvl>
    <w:lvl w:ilvl="6" w:tplc="1409000F" w:tentative="1">
      <w:start w:val="1"/>
      <w:numFmt w:val="decimal"/>
      <w:lvlText w:val="%7."/>
      <w:lvlJc w:val="left"/>
      <w:pPr>
        <w:ind w:left="5247" w:hanging="360"/>
      </w:pPr>
    </w:lvl>
    <w:lvl w:ilvl="7" w:tplc="14090019" w:tentative="1">
      <w:start w:val="1"/>
      <w:numFmt w:val="lowerLetter"/>
      <w:lvlText w:val="%8."/>
      <w:lvlJc w:val="left"/>
      <w:pPr>
        <w:ind w:left="5967" w:hanging="360"/>
      </w:pPr>
    </w:lvl>
    <w:lvl w:ilvl="8" w:tplc="1409001B" w:tentative="1">
      <w:start w:val="1"/>
      <w:numFmt w:val="lowerRoman"/>
      <w:lvlText w:val="%9."/>
      <w:lvlJc w:val="right"/>
      <w:pPr>
        <w:ind w:left="6687" w:hanging="180"/>
      </w:pPr>
    </w:lvl>
  </w:abstractNum>
  <w:abstractNum w:abstractNumId="57" w15:restartNumberingAfterBreak="0">
    <w:nsid w:val="35B23DE8"/>
    <w:multiLevelType w:val="multilevel"/>
    <w:tmpl w:val="1EE6BAF2"/>
    <w:lvl w:ilvl="0">
      <w:start w:val="1"/>
      <w:numFmt w:val="bullet"/>
      <w:lvlText w:val=""/>
      <w:lvlJc w:val="left"/>
      <w:pPr>
        <w:tabs>
          <w:tab w:val="num" w:pos="567"/>
        </w:tabs>
        <w:ind w:left="397" w:hanging="397"/>
      </w:pPr>
      <w:rPr>
        <w:rFonts w:ascii="Symbol" w:hAnsi="Symbol" w:hint="default"/>
        <w:sz w:val="20"/>
        <w:szCs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90B212B"/>
    <w:multiLevelType w:val="hybridMultilevel"/>
    <w:tmpl w:val="70CA781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9" w15:restartNumberingAfterBreak="0">
    <w:nsid w:val="395B14D0"/>
    <w:multiLevelType w:val="hybridMultilevel"/>
    <w:tmpl w:val="545E046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0" w15:restartNumberingAfterBreak="0">
    <w:nsid w:val="39F35055"/>
    <w:multiLevelType w:val="hybridMultilevel"/>
    <w:tmpl w:val="98F6C22E"/>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1" w15:restartNumberingAfterBreak="0">
    <w:nsid w:val="3B934134"/>
    <w:multiLevelType w:val="hybridMultilevel"/>
    <w:tmpl w:val="67F24C4E"/>
    <w:lvl w:ilvl="0" w:tplc="DC66E45C">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62" w15:restartNumberingAfterBreak="0">
    <w:nsid w:val="40995EBC"/>
    <w:multiLevelType w:val="hybridMultilevel"/>
    <w:tmpl w:val="307EDE4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3" w15:restartNumberingAfterBreak="0">
    <w:nsid w:val="40E554F1"/>
    <w:multiLevelType w:val="hybridMultilevel"/>
    <w:tmpl w:val="BB9250E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4" w15:restartNumberingAfterBreak="0">
    <w:nsid w:val="427701FB"/>
    <w:multiLevelType w:val="hybridMultilevel"/>
    <w:tmpl w:val="87A07910"/>
    <w:lvl w:ilvl="0" w:tplc="FFFFFFFF">
      <w:start w:val="1"/>
      <w:numFmt w:val="bullet"/>
      <w:pStyle w:val="Sub-list"/>
      <w:lvlText w:val=""/>
      <w:lvlJc w:val="left"/>
      <w:pPr>
        <w:tabs>
          <w:tab w:val="num" w:pos="397"/>
        </w:tabs>
        <w:ind w:left="39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5B15110"/>
    <w:multiLevelType w:val="multilevel"/>
    <w:tmpl w:val="01382D2C"/>
    <w:lvl w:ilvl="0">
      <w:start w:val="1"/>
      <w:numFmt w:val="bullet"/>
      <w:pStyle w:val="Bullet"/>
      <w:lvlText w:val=""/>
      <w:lvlJc w:val="left"/>
      <w:pPr>
        <w:ind w:left="397" w:hanging="397"/>
      </w:pPr>
      <w:rPr>
        <w:rFonts w:ascii="Symbol" w:hAnsi="Symbol" w:hint="default"/>
        <w:b/>
        <w:bCs/>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63D6104"/>
    <w:multiLevelType w:val="hybridMultilevel"/>
    <w:tmpl w:val="7698242C"/>
    <w:lvl w:ilvl="0" w:tplc="F710A272">
      <w:start w:val="1"/>
      <w:numFmt w:val="lowerRoman"/>
      <w:pStyle w:val="Sub-listi"/>
      <w:lvlText w:val="%1."/>
      <w:lvlJc w:val="left"/>
      <w:pPr>
        <w:tabs>
          <w:tab w:val="num" w:pos="1191"/>
        </w:tabs>
        <w:ind w:left="1191" w:hanging="397"/>
      </w:pPr>
      <w:rPr>
        <w:rFonts w:ascii="Calibri" w:hAnsi="Calibri" w:cs="Calibri"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7" w15:restartNumberingAfterBreak="0">
    <w:nsid w:val="4682342B"/>
    <w:multiLevelType w:val="hybridMultilevel"/>
    <w:tmpl w:val="32C6232E"/>
    <w:lvl w:ilvl="0" w:tplc="6768589E">
      <w:numFmt w:val="bullet"/>
      <w:lvlText w:val="•"/>
      <w:lvlJc w:val="left"/>
      <w:pPr>
        <w:ind w:left="750" w:hanging="390"/>
      </w:pPr>
      <w:rPr>
        <w:rFonts w:ascii="Calibri" w:eastAsia="Times New Roman"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8" w15:restartNumberingAfterBreak="0">
    <w:nsid w:val="492F56A8"/>
    <w:multiLevelType w:val="multilevel"/>
    <w:tmpl w:val="158E392A"/>
    <w:lvl w:ilvl="0">
      <w:start w:val="1"/>
      <w:numFmt w:val="bullet"/>
      <w:lvlText w:val="o"/>
      <w:lvlJc w:val="left"/>
      <w:pPr>
        <w:tabs>
          <w:tab w:val="num" w:pos="1191"/>
        </w:tabs>
        <w:ind w:left="794" w:hanging="397"/>
      </w:pPr>
      <w:rPr>
        <w:rFonts w:ascii="Courier New" w:hAnsi="Courier New" w:cs="Courier New" w:hint="default"/>
        <w:b w:val="0"/>
        <w:i w:val="0"/>
        <w:sz w:val="22"/>
        <w:szCs w:val="22"/>
      </w:rPr>
    </w:lvl>
    <w:lvl w:ilvl="1">
      <w:start w:val="1"/>
      <w:numFmt w:val="lowerLetter"/>
      <w:lvlText w:val="%2."/>
      <w:lvlJc w:val="left"/>
      <w:pPr>
        <w:tabs>
          <w:tab w:val="num" w:pos="1837"/>
        </w:tabs>
        <w:ind w:left="1837" w:hanging="360"/>
      </w:pPr>
      <w:rPr>
        <w:rFonts w:hint="default"/>
      </w:rPr>
    </w:lvl>
    <w:lvl w:ilvl="2">
      <w:start w:val="1"/>
      <w:numFmt w:val="lowerRoman"/>
      <w:lvlText w:val="%3."/>
      <w:lvlJc w:val="right"/>
      <w:pPr>
        <w:tabs>
          <w:tab w:val="num" w:pos="2557"/>
        </w:tabs>
        <w:ind w:left="2557" w:hanging="180"/>
      </w:pPr>
      <w:rPr>
        <w:rFonts w:hint="default"/>
      </w:rPr>
    </w:lvl>
    <w:lvl w:ilvl="3">
      <w:start w:val="1"/>
      <w:numFmt w:val="decimal"/>
      <w:lvlText w:val="%4."/>
      <w:lvlJc w:val="left"/>
      <w:pPr>
        <w:tabs>
          <w:tab w:val="num" w:pos="3277"/>
        </w:tabs>
        <w:ind w:left="3277" w:hanging="360"/>
      </w:pPr>
      <w:rPr>
        <w:rFonts w:hint="default"/>
      </w:rPr>
    </w:lvl>
    <w:lvl w:ilvl="4">
      <w:start w:val="1"/>
      <w:numFmt w:val="lowerLetter"/>
      <w:lvlText w:val="%5."/>
      <w:lvlJc w:val="left"/>
      <w:pPr>
        <w:tabs>
          <w:tab w:val="num" w:pos="3997"/>
        </w:tabs>
        <w:ind w:left="3997" w:hanging="360"/>
      </w:pPr>
      <w:rPr>
        <w:rFonts w:hint="default"/>
      </w:rPr>
    </w:lvl>
    <w:lvl w:ilvl="5">
      <w:start w:val="1"/>
      <w:numFmt w:val="lowerRoman"/>
      <w:lvlText w:val="%6."/>
      <w:lvlJc w:val="right"/>
      <w:pPr>
        <w:tabs>
          <w:tab w:val="num" w:pos="4717"/>
        </w:tabs>
        <w:ind w:left="4717" w:hanging="180"/>
      </w:pPr>
      <w:rPr>
        <w:rFonts w:hint="default"/>
      </w:rPr>
    </w:lvl>
    <w:lvl w:ilvl="6">
      <w:start w:val="1"/>
      <w:numFmt w:val="decimal"/>
      <w:lvlText w:val="%7."/>
      <w:lvlJc w:val="left"/>
      <w:pPr>
        <w:tabs>
          <w:tab w:val="num" w:pos="5437"/>
        </w:tabs>
        <w:ind w:left="5437" w:hanging="360"/>
      </w:pPr>
      <w:rPr>
        <w:rFonts w:hint="default"/>
      </w:rPr>
    </w:lvl>
    <w:lvl w:ilvl="7">
      <w:start w:val="1"/>
      <w:numFmt w:val="lowerLetter"/>
      <w:lvlText w:val="%8."/>
      <w:lvlJc w:val="left"/>
      <w:pPr>
        <w:tabs>
          <w:tab w:val="num" w:pos="6157"/>
        </w:tabs>
        <w:ind w:left="6157" w:hanging="360"/>
      </w:pPr>
      <w:rPr>
        <w:rFonts w:hint="default"/>
      </w:rPr>
    </w:lvl>
    <w:lvl w:ilvl="8">
      <w:start w:val="1"/>
      <w:numFmt w:val="lowerRoman"/>
      <w:lvlText w:val="%9."/>
      <w:lvlJc w:val="right"/>
      <w:pPr>
        <w:tabs>
          <w:tab w:val="num" w:pos="6877"/>
        </w:tabs>
        <w:ind w:left="6877" w:hanging="180"/>
      </w:pPr>
      <w:rPr>
        <w:rFonts w:hint="default"/>
      </w:rPr>
    </w:lvl>
  </w:abstractNum>
  <w:abstractNum w:abstractNumId="69" w15:restartNumberingAfterBreak="0">
    <w:nsid w:val="4B677B43"/>
    <w:multiLevelType w:val="hybridMultilevel"/>
    <w:tmpl w:val="F53C88A4"/>
    <w:lvl w:ilvl="0" w:tplc="FFFFFFFF">
      <w:start w:val="1"/>
      <w:numFmt w:val="decimal"/>
      <w:lvlText w:val="%1."/>
      <w:lvlJc w:val="left"/>
      <w:pPr>
        <w:ind w:left="644" w:hanging="360"/>
      </w:pPr>
      <w:rPr>
        <w:rFonts w:ascii="Arial" w:hAnsi="Arial" w:cs="Arial" w:hint="default"/>
        <w:b w:val="0"/>
        <w:i w:val="0"/>
        <w:iCs/>
        <w:color w:val="auto"/>
        <w:sz w:val="24"/>
        <w:szCs w:val="32"/>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low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4B6E726B"/>
    <w:multiLevelType w:val="multilevel"/>
    <w:tmpl w:val="2A322B98"/>
    <w:lvl w:ilvl="0">
      <w:start w:val="1"/>
      <w:numFmt w:val="bullet"/>
      <w:lvlText w:val=""/>
      <w:lvlJc w:val="left"/>
      <w:pPr>
        <w:tabs>
          <w:tab w:val="num" w:pos="567"/>
        </w:tabs>
        <w:ind w:left="397" w:hanging="397"/>
      </w:pPr>
      <w:rPr>
        <w:rFonts w:ascii="Symbol" w:hAnsi="Symbol" w:hint="default"/>
        <w:sz w:val="20"/>
        <w:szCs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0CA1541"/>
    <w:multiLevelType w:val="multilevel"/>
    <w:tmpl w:val="C3AC4A8C"/>
    <w:lvl w:ilvl="0">
      <w:start w:val="1"/>
      <w:numFmt w:val="lowerLetter"/>
      <w:lvlText w:val="(%1)"/>
      <w:lvlJc w:val="left"/>
      <w:pPr>
        <w:ind w:left="720" w:hanging="480"/>
      </w:pPr>
    </w:lvl>
    <w:lvl w:ilvl="1">
      <w:start w:val="1"/>
      <w:numFmt w:val="lowerRoman"/>
      <w:lvlText w:val="%2."/>
      <w:lvlJc w:val="right"/>
      <w:pPr>
        <w:ind w:left="1320" w:hanging="360"/>
      </w:pPr>
    </w:lvl>
    <w:lvl w:ilvl="2">
      <w:start w:val="1"/>
      <w:numFmt w:val="lowerLetter"/>
      <w:lvlText w:val="(%3)"/>
      <w:lvlJc w:val="left"/>
      <w:pPr>
        <w:ind w:left="2160" w:hanging="480"/>
      </w:pPr>
    </w:lvl>
    <w:lvl w:ilvl="3">
      <w:start w:val="1"/>
      <w:numFmt w:val="lowerLetter"/>
      <w:lvlText w:val="(%4)"/>
      <w:lvlJc w:val="left"/>
      <w:pPr>
        <w:ind w:left="2880" w:hanging="480"/>
      </w:pPr>
    </w:lvl>
    <w:lvl w:ilvl="4">
      <w:start w:val="1"/>
      <w:numFmt w:val="lowerLetter"/>
      <w:lvlText w:val="(%5)"/>
      <w:lvlJc w:val="left"/>
      <w:pPr>
        <w:ind w:left="3600" w:hanging="480"/>
      </w:pPr>
    </w:lvl>
    <w:lvl w:ilvl="5">
      <w:start w:val="1"/>
      <w:numFmt w:val="lowerLetter"/>
      <w:lvlText w:val="(%6)"/>
      <w:lvlJc w:val="left"/>
      <w:pPr>
        <w:ind w:left="4320" w:hanging="480"/>
      </w:pPr>
    </w:lvl>
    <w:lvl w:ilvl="6">
      <w:start w:val="1"/>
      <w:numFmt w:val="lowerLetter"/>
      <w:lvlText w:val="(%7)"/>
      <w:lvlJc w:val="left"/>
      <w:pPr>
        <w:ind w:left="5040" w:hanging="480"/>
      </w:pPr>
    </w:lvl>
    <w:lvl w:ilvl="7">
      <w:start w:val="1"/>
      <w:numFmt w:val="lowerLetter"/>
      <w:lvlText w:val="(%8)"/>
      <w:lvlJc w:val="left"/>
      <w:pPr>
        <w:ind w:left="5760" w:hanging="480"/>
      </w:pPr>
    </w:lvl>
    <w:lvl w:ilvl="8">
      <w:start w:val="1"/>
      <w:numFmt w:val="lowerLetter"/>
      <w:lvlText w:val="(%9)"/>
      <w:lvlJc w:val="left"/>
      <w:pPr>
        <w:ind w:left="6480" w:hanging="480"/>
      </w:pPr>
    </w:lvl>
  </w:abstractNum>
  <w:abstractNum w:abstractNumId="72" w15:restartNumberingAfterBreak="0">
    <w:nsid w:val="529608BB"/>
    <w:multiLevelType w:val="hybridMultilevel"/>
    <w:tmpl w:val="237E0E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3" w15:restartNumberingAfterBreak="0">
    <w:nsid w:val="52CF1973"/>
    <w:multiLevelType w:val="hybridMultilevel"/>
    <w:tmpl w:val="F54E46E8"/>
    <w:lvl w:ilvl="0" w:tplc="6768589E">
      <w:numFmt w:val="bullet"/>
      <w:lvlText w:val="•"/>
      <w:lvlJc w:val="left"/>
      <w:pPr>
        <w:ind w:left="750" w:hanging="390"/>
      </w:pPr>
      <w:rPr>
        <w:rFonts w:ascii="Calibri" w:eastAsia="Times New Roman"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4" w15:restartNumberingAfterBreak="0">
    <w:nsid w:val="5333023C"/>
    <w:multiLevelType w:val="hybridMultilevel"/>
    <w:tmpl w:val="EE4A549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5" w15:restartNumberingAfterBreak="0">
    <w:nsid w:val="53535234"/>
    <w:multiLevelType w:val="singleLevel"/>
    <w:tmpl w:val="7FC073B8"/>
    <w:lvl w:ilvl="0">
      <w:start w:val="1"/>
      <w:numFmt w:val="bullet"/>
      <w:pStyle w:val="BoxBullet"/>
      <w:lvlText w:val=""/>
      <w:lvlJc w:val="left"/>
      <w:pPr>
        <w:tabs>
          <w:tab w:val="num" w:pos="851"/>
        </w:tabs>
        <w:ind w:left="851" w:hanging="567"/>
      </w:pPr>
      <w:rPr>
        <w:rFonts w:ascii="Symbol" w:hAnsi="Symbol" w:hint="default"/>
        <w:sz w:val="16"/>
      </w:rPr>
    </w:lvl>
  </w:abstractNum>
  <w:abstractNum w:abstractNumId="76" w15:restartNumberingAfterBreak="0">
    <w:nsid w:val="569A0D6A"/>
    <w:multiLevelType w:val="hybridMultilevel"/>
    <w:tmpl w:val="F33839CE"/>
    <w:lvl w:ilvl="0" w:tplc="A6FC95F2">
      <w:start w:val="1"/>
      <w:numFmt w:val="bullet"/>
      <w:lvlText w:val=""/>
      <w:lvlJc w:val="left"/>
      <w:pPr>
        <w:tabs>
          <w:tab w:val="num" w:pos="397"/>
        </w:tabs>
        <w:ind w:left="397" w:hanging="397"/>
      </w:pPr>
      <w:rPr>
        <w:rFonts w:ascii="Symbol" w:hAnsi="Symbol" w:cs="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8004073"/>
    <w:multiLevelType w:val="multilevel"/>
    <w:tmpl w:val="6D18A31C"/>
    <w:lvl w:ilvl="0">
      <w:start w:val="1"/>
      <w:numFmt w:val="bullet"/>
      <w:lvlText w:val="o"/>
      <w:lvlJc w:val="left"/>
      <w:pPr>
        <w:tabs>
          <w:tab w:val="num" w:pos="1191"/>
        </w:tabs>
        <w:ind w:left="794" w:hanging="397"/>
      </w:pPr>
      <w:rPr>
        <w:rFonts w:ascii="Courier New" w:hAnsi="Courier New" w:cs="Courier New" w:hint="default"/>
        <w:b w:val="0"/>
        <w:i w:val="0"/>
        <w:sz w:val="22"/>
        <w:szCs w:val="22"/>
      </w:rPr>
    </w:lvl>
    <w:lvl w:ilvl="1">
      <w:start w:val="1"/>
      <w:numFmt w:val="lowerLetter"/>
      <w:lvlText w:val="%2."/>
      <w:lvlJc w:val="left"/>
      <w:pPr>
        <w:tabs>
          <w:tab w:val="num" w:pos="1837"/>
        </w:tabs>
        <w:ind w:left="1837" w:hanging="360"/>
      </w:pPr>
      <w:rPr>
        <w:rFonts w:hint="default"/>
      </w:rPr>
    </w:lvl>
    <w:lvl w:ilvl="2">
      <w:start w:val="1"/>
      <w:numFmt w:val="lowerRoman"/>
      <w:lvlText w:val="%3."/>
      <w:lvlJc w:val="right"/>
      <w:pPr>
        <w:tabs>
          <w:tab w:val="num" w:pos="2557"/>
        </w:tabs>
        <w:ind w:left="2557" w:hanging="180"/>
      </w:pPr>
      <w:rPr>
        <w:rFonts w:hint="default"/>
      </w:rPr>
    </w:lvl>
    <w:lvl w:ilvl="3">
      <w:start w:val="1"/>
      <w:numFmt w:val="decimal"/>
      <w:lvlText w:val="%4."/>
      <w:lvlJc w:val="left"/>
      <w:pPr>
        <w:tabs>
          <w:tab w:val="num" w:pos="3277"/>
        </w:tabs>
        <w:ind w:left="3277" w:hanging="360"/>
      </w:pPr>
      <w:rPr>
        <w:rFonts w:hint="default"/>
      </w:rPr>
    </w:lvl>
    <w:lvl w:ilvl="4">
      <w:start w:val="1"/>
      <w:numFmt w:val="lowerLetter"/>
      <w:lvlText w:val="%5."/>
      <w:lvlJc w:val="left"/>
      <w:pPr>
        <w:tabs>
          <w:tab w:val="num" w:pos="3997"/>
        </w:tabs>
        <w:ind w:left="3997" w:hanging="360"/>
      </w:pPr>
      <w:rPr>
        <w:rFonts w:hint="default"/>
      </w:rPr>
    </w:lvl>
    <w:lvl w:ilvl="5">
      <w:start w:val="1"/>
      <w:numFmt w:val="lowerRoman"/>
      <w:lvlText w:val="%6."/>
      <w:lvlJc w:val="right"/>
      <w:pPr>
        <w:tabs>
          <w:tab w:val="num" w:pos="4717"/>
        </w:tabs>
        <w:ind w:left="4717" w:hanging="180"/>
      </w:pPr>
      <w:rPr>
        <w:rFonts w:hint="default"/>
      </w:rPr>
    </w:lvl>
    <w:lvl w:ilvl="6">
      <w:start w:val="1"/>
      <w:numFmt w:val="decimal"/>
      <w:lvlText w:val="%7."/>
      <w:lvlJc w:val="left"/>
      <w:pPr>
        <w:tabs>
          <w:tab w:val="num" w:pos="5437"/>
        </w:tabs>
        <w:ind w:left="5437" w:hanging="360"/>
      </w:pPr>
      <w:rPr>
        <w:rFonts w:hint="default"/>
      </w:rPr>
    </w:lvl>
    <w:lvl w:ilvl="7">
      <w:start w:val="1"/>
      <w:numFmt w:val="lowerLetter"/>
      <w:lvlText w:val="%8."/>
      <w:lvlJc w:val="left"/>
      <w:pPr>
        <w:tabs>
          <w:tab w:val="num" w:pos="6157"/>
        </w:tabs>
        <w:ind w:left="6157" w:hanging="360"/>
      </w:pPr>
      <w:rPr>
        <w:rFonts w:hint="default"/>
      </w:rPr>
    </w:lvl>
    <w:lvl w:ilvl="8">
      <w:start w:val="1"/>
      <w:numFmt w:val="lowerRoman"/>
      <w:lvlText w:val="%9."/>
      <w:lvlJc w:val="right"/>
      <w:pPr>
        <w:tabs>
          <w:tab w:val="num" w:pos="6877"/>
        </w:tabs>
        <w:ind w:left="6877" w:hanging="180"/>
      </w:pPr>
      <w:rPr>
        <w:rFonts w:hint="default"/>
      </w:rPr>
    </w:lvl>
  </w:abstractNum>
  <w:abstractNum w:abstractNumId="78" w15:restartNumberingAfterBreak="0">
    <w:nsid w:val="58C0036E"/>
    <w:multiLevelType w:val="hybridMultilevel"/>
    <w:tmpl w:val="79760CE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9" w15:restartNumberingAfterBreak="0">
    <w:nsid w:val="5C9D3C56"/>
    <w:multiLevelType w:val="hybridMultilevel"/>
    <w:tmpl w:val="009CDBA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0" w15:restartNumberingAfterBreak="0">
    <w:nsid w:val="5FAD4597"/>
    <w:multiLevelType w:val="hybridMultilevel"/>
    <w:tmpl w:val="5EE0156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1" w15:restartNumberingAfterBreak="0">
    <w:nsid w:val="60A44944"/>
    <w:multiLevelType w:val="hybridMultilevel"/>
    <w:tmpl w:val="FCF60A18"/>
    <w:lvl w:ilvl="0" w:tplc="28B88E20">
      <w:start w:val="1"/>
      <w:numFmt w:val="bullet"/>
      <w:lvlText w:val=""/>
      <w:lvlJc w:val="left"/>
      <w:pPr>
        <w:ind w:left="1117" w:hanging="360"/>
      </w:pPr>
      <w:rPr>
        <w:rFonts w:ascii="Symbol" w:hAnsi="Symbol" w:hint="default"/>
      </w:rPr>
    </w:lvl>
    <w:lvl w:ilvl="1" w:tplc="14090003" w:tentative="1">
      <w:start w:val="1"/>
      <w:numFmt w:val="bullet"/>
      <w:lvlText w:val="o"/>
      <w:lvlJc w:val="left"/>
      <w:pPr>
        <w:ind w:left="1837" w:hanging="360"/>
      </w:pPr>
      <w:rPr>
        <w:rFonts w:ascii="Courier New" w:hAnsi="Courier New" w:cs="Courier New" w:hint="default"/>
      </w:rPr>
    </w:lvl>
    <w:lvl w:ilvl="2" w:tplc="14090005" w:tentative="1">
      <w:start w:val="1"/>
      <w:numFmt w:val="bullet"/>
      <w:lvlText w:val=""/>
      <w:lvlJc w:val="left"/>
      <w:pPr>
        <w:ind w:left="2557" w:hanging="360"/>
      </w:pPr>
      <w:rPr>
        <w:rFonts w:ascii="Wingdings" w:hAnsi="Wingdings" w:hint="default"/>
      </w:rPr>
    </w:lvl>
    <w:lvl w:ilvl="3" w:tplc="14090001" w:tentative="1">
      <w:start w:val="1"/>
      <w:numFmt w:val="bullet"/>
      <w:lvlText w:val=""/>
      <w:lvlJc w:val="left"/>
      <w:pPr>
        <w:ind w:left="3277" w:hanging="360"/>
      </w:pPr>
      <w:rPr>
        <w:rFonts w:ascii="Symbol" w:hAnsi="Symbol" w:hint="default"/>
      </w:rPr>
    </w:lvl>
    <w:lvl w:ilvl="4" w:tplc="14090003" w:tentative="1">
      <w:start w:val="1"/>
      <w:numFmt w:val="bullet"/>
      <w:lvlText w:val="o"/>
      <w:lvlJc w:val="left"/>
      <w:pPr>
        <w:ind w:left="3997" w:hanging="360"/>
      </w:pPr>
      <w:rPr>
        <w:rFonts w:ascii="Courier New" w:hAnsi="Courier New" w:cs="Courier New" w:hint="default"/>
      </w:rPr>
    </w:lvl>
    <w:lvl w:ilvl="5" w:tplc="14090005" w:tentative="1">
      <w:start w:val="1"/>
      <w:numFmt w:val="bullet"/>
      <w:lvlText w:val=""/>
      <w:lvlJc w:val="left"/>
      <w:pPr>
        <w:ind w:left="4717" w:hanging="360"/>
      </w:pPr>
      <w:rPr>
        <w:rFonts w:ascii="Wingdings" w:hAnsi="Wingdings" w:hint="default"/>
      </w:rPr>
    </w:lvl>
    <w:lvl w:ilvl="6" w:tplc="14090001" w:tentative="1">
      <w:start w:val="1"/>
      <w:numFmt w:val="bullet"/>
      <w:lvlText w:val=""/>
      <w:lvlJc w:val="left"/>
      <w:pPr>
        <w:ind w:left="5437" w:hanging="360"/>
      </w:pPr>
      <w:rPr>
        <w:rFonts w:ascii="Symbol" w:hAnsi="Symbol" w:hint="default"/>
      </w:rPr>
    </w:lvl>
    <w:lvl w:ilvl="7" w:tplc="14090003" w:tentative="1">
      <w:start w:val="1"/>
      <w:numFmt w:val="bullet"/>
      <w:lvlText w:val="o"/>
      <w:lvlJc w:val="left"/>
      <w:pPr>
        <w:ind w:left="6157" w:hanging="360"/>
      </w:pPr>
      <w:rPr>
        <w:rFonts w:ascii="Courier New" w:hAnsi="Courier New" w:cs="Courier New" w:hint="default"/>
      </w:rPr>
    </w:lvl>
    <w:lvl w:ilvl="8" w:tplc="14090005" w:tentative="1">
      <w:start w:val="1"/>
      <w:numFmt w:val="bullet"/>
      <w:lvlText w:val=""/>
      <w:lvlJc w:val="left"/>
      <w:pPr>
        <w:ind w:left="6877" w:hanging="360"/>
      </w:pPr>
      <w:rPr>
        <w:rFonts w:ascii="Wingdings" w:hAnsi="Wingdings" w:hint="default"/>
      </w:rPr>
    </w:lvl>
  </w:abstractNum>
  <w:abstractNum w:abstractNumId="82" w15:restartNumberingAfterBreak="0">
    <w:nsid w:val="625D5B97"/>
    <w:multiLevelType w:val="multilevel"/>
    <w:tmpl w:val="FE64DF5E"/>
    <w:lvl w:ilvl="0">
      <w:start w:val="1"/>
      <w:numFmt w:val="bullet"/>
      <w:lvlText w:val=""/>
      <w:lvlJc w:val="left"/>
      <w:pPr>
        <w:tabs>
          <w:tab w:val="num" w:pos="567"/>
        </w:tabs>
        <w:ind w:left="397" w:hanging="397"/>
      </w:pPr>
      <w:rPr>
        <w:rFonts w:ascii="Symbol" w:hAnsi="Symbol" w:hint="default"/>
        <w:sz w:val="20"/>
        <w:szCs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2ED6D98"/>
    <w:multiLevelType w:val="hybridMultilevel"/>
    <w:tmpl w:val="A71EB03E"/>
    <w:lvl w:ilvl="0" w:tplc="96DAC3DA">
      <w:start w:val="1"/>
      <w:numFmt w:val="decimal"/>
      <w:lvlText w:val="%1."/>
      <w:lvlJc w:val="left"/>
      <w:pPr>
        <w:tabs>
          <w:tab w:val="num" w:pos="720"/>
        </w:tabs>
        <w:ind w:left="720" w:hanging="720"/>
      </w:pPr>
      <w:rPr>
        <w:rFonts w:ascii="Arial" w:hAnsi="Arial" w:cs="Arial" w:hint="default"/>
        <w:b w:val="0"/>
        <w:i w:val="0"/>
        <w:color w:val="auto"/>
      </w:rPr>
    </w:lvl>
    <w:lvl w:ilvl="1" w:tplc="14090017">
      <w:start w:val="1"/>
      <w:numFmt w:val="lowerLetter"/>
      <w:lvlText w:val="%2)"/>
      <w:lvlJc w:val="left"/>
      <w:pPr>
        <w:tabs>
          <w:tab w:val="num" w:pos="1440"/>
        </w:tabs>
        <w:ind w:left="1440" w:hanging="360"/>
      </w:pPr>
      <w:rPr>
        <w:rFonts w:hint="default"/>
        <w:i w:val="0"/>
        <w:color w:val="auto"/>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15:restartNumberingAfterBreak="0">
    <w:nsid w:val="64DA49E7"/>
    <w:multiLevelType w:val="hybridMultilevel"/>
    <w:tmpl w:val="DE9CC30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5" w15:restartNumberingAfterBreak="0">
    <w:nsid w:val="665C1741"/>
    <w:multiLevelType w:val="hybridMultilevel"/>
    <w:tmpl w:val="DAD8401C"/>
    <w:lvl w:ilvl="0" w:tplc="92AEA844">
      <w:numFmt w:val="bullet"/>
      <w:lvlText w:val=""/>
      <w:lvlJc w:val="left"/>
      <w:pPr>
        <w:ind w:left="720" w:hanging="360"/>
      </w:pPr>
      <w:rPr>
        <w:rFonts w:ascii="Symbol" w:eastAsia="Times New Roman" w:hAnsi="Symbol" w:cs="Times New Roman" w:hint="default"/>
        <w:sz w:val="22"/>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6" w15:restartNumberingAfterBreak="0">
    <w:nsid w:val="67FC7E33"/>
    <w:multiLevelType w:val="hybridMultilevel"/>
    <w:tmpl w:val="57969970"/>
    <w:lvl w:ilvl="0" w:tplc="FC165A18">
      <w:start w:val="1"/>
      <w:numFmt w:val="bullet"/>
      <w:lvlText w:val="-"/>
      <w:lvlJc w:val="left"/>
      <w:pPr>
        <w:ind w:left="1040" w:hanging="360"/>
      </w:pPr>
      <w:rPr>
        <w:rFonts w:ascii="Aptos" w:hAnsi="Aptos" w:hint="default"/>
      </w:rPr>
    </w:lvl>
    <w:lvl w:ilvl="1" w:tplc="FFFFFFFF">
      <w:start w:val="1"/>
      <w:numFmt w:val="bullet"/>
      <w:lvlText w:val=""/>
      <w:lvlJc w:val="left"/>
      <w:pPr>
        <w:ind w:left="1760" w:hanging="360"/>
      </w:pPr>
      <w:rPr>
        <w:rFonts w:ascii="Symbol" w:hAnsi="Symbol" w:hint="default"/>
      </w:r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87" w15:restartNumberingAfterBreak="0">
    <w:nsid w:val="691B7D65"/>
    <w:multiLevelType w:val="multilevel"/>
    <w:tmpl w:val="E6E8E44E"/>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88" w15:restartNumberingAfterBreak="0">
    <w:nsid w:val="6ADD7F39"/>
    <w:multiLevelType w:val="hybridMultilevel"/>
    <w:tmpl w:val="EDDA74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9" w15:restartNumberingAfterBreak="0">
    <w:nsid w:val="6AE940F5"/>
    <w:multiLevelType w:val="hybridMultilevel"/>
    <w:tmpl w:val="985EDAD8"/>
    <w:lvl w:ilvl="0" w:tplc="FC165A18">
      <w:start w:val="1"/>
      <w:numFmt w:val="bullet"/>
      <w:lvlText w:val="-"/>
      <w:lvlJc w:val="left"/>
      <w:pPr>
        <w:ind w:left="1040" w:hanging="360"/>
      </w:pPr>
      <w:rPr>
        <w:rFonts w:ascii="Aptos" w:hAnsi="Aptos" w:hint="default"/>
      </w:rPr>
    </w:lvl>
    <w:lvl w:ilvl="1" w:tplc="FFFFFFFF">
      <w:start w:val="1"/>
      <w:numFmt w:val="bullet"/>
      <w:lvlText w:val=""/>
      <w:lvlJc w:val="left"/>
      <w:pPr>
        <w:ind w:left="1760" w:hanging="360"/>
      </w:pPr>
      <w:rPr>
        <w:rFonts w:ascii="Symbol" w:hAnsi="Symbol" w:hint="default"/>
      </w:r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90" w15:restartNumberingAfterBreak="0">
    <w:nsid w:val="6BD63866"/>
    <w:multiLevelType w:val="hybridMultilevel"/>
    <w:tmpl w:val="B448BA4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1" w15:restartNumberingAfterBreak="0">
    <w:nsid w:val="6D634DED"/>
    <w:multiLevelType w:val="multilevel"/>
    <w:tmpl w:val="5CD615F8"/>
    <w:styleLink w:val="Annex"/>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92" w15:restartNumberingAfterBreak="0">
    <w:nsid w:val="6F636C4F"/>
    <w:multiLevelType w:val="hybridMultilevel"/>
    <w:tmpl w:val="E830F7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3" w15:restartNumberingAfterBreak="0">
    <w:nsid w:val="6FD16C5D"/>
    <w:multiLevelType w:val="hybridMultilevel"/>
    <w:tmpl w:val="72AE15DE"/>
    <w:lvl w:ilvl="0" w:tplc="FC165A18">
      <w:start w:val="1"/>
      <w:numFmt w:val="bullet"/>
      <w:lvlText w:val="-"/>
      <w:lvlJc w:val="left"/>
      <w:pPr>
        <w:ind w:left="1040" w:hanging="360"/>
      </w:pPr>
      <w:rPr>
        <w:rFonts w:ascii="Aptos" w:hAnsi="Aptos" w:hint="default"/>
      </w:rPr>
    </w:lvl>
    <w:lvl w:ilvl="1" w:tplc="FFFFFFFF">
      <w:start w:val="1"/>
      <w:numFmt w:val="bullet"/>
      <w:lvlText w:val=""/>
      <w:lvlJc w:val="left"/>
      <w:pPr>
        <w:ind w:left="1760" w:hanging="360"/>
      </w:pPr>
      <w:rPr>
        <w:rFonts w:ascii="Symbol" w:hAnsi="Symbol" w:hint="default"/>
      </w:r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94" w15:restartNumberingAfterBreak="0">
    <w:nsid w:val="70205666"/>
    <w:multiLevelType w:val="hybridMultilevel"/>
    <w:tmpl w:val="788887A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5" w15:restartNumberingAfterBreak="0">
    <w:nsid w:val="70B819DE"/>
    <w:multiLevelType w:val="hybridMultilevel"/>
    <w:tmpl w:val="25CA3CE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6" w15:restartNumberingAfterBreak="0">
    <w:nsid w:val="70D144CC"/>
    <w:multiLevelType w:val="hybridMultilevel"/>
    <w:tmpl w:val="CF00D2DA"/>
    <w:lvl w:ilvl="0" w:tplc="14090001">
      <w:start w:val="1"/>
      <w:numFmt w:val="bullet"/>
      <w:lvlText w:val=""/>
      <w:lvlJc w:val="left"/>
      <w:pPr>
        <w:ind w:left="780" w:hanging="360"/>
      </w:pPr>
      <w:rPr>
        <w:rFonts w:ascii="Symbol" w:hAnsi="Symbol" w:hint="default"/>
      </w:rPr>
    </w:lvl>
    <w:lvl w:ilvl="1" w:tplc="14090003">
      <w:start w:val="1"/>
      <w:numFmt w:val="bullet"/>
      <w:lvlText w:val="o"/>
      <w:lvlJc w:val="left"/>
      <w:pPr>
        <w:ind w:left="1500" w:hanging="360"/>
      </w:pPr>
      <w:rPr>
        <w:rFonts w:ascii="Courier New" w:hAnsi="Courier New" w:cs="Courier New" w:hint="default"/>
      </w:rPr>
    </w:lvl>
    <w:lvl w:ilvl="2" w:tplc="14090005" w:tentative="1">
      <w:start w:val="1"/>
      <w:numFmt w:val="bullet"/>
      <w:lvlText w:val=""/>
      <w:lvlJc w:val="left"/>
      <w:pPr>
        <w:ind w:left="2220" w:hanging="360"/>
      </w:pPr>
      <w:rPr>
        <w:rFonts w:ascii="Wingdings" w:hAnsi="Wingdings" w:hint="default"/>
      </w:rPr>
    </w:lvl>
    <w:lvl w:ilvl="3" w:tplc="14090001" w:tentative="1">
      <w:start w:val="1"/>
      <w:numFmt w:val="bullet"/>
      <w:lvlText w:val=""/>
      <w:lvlJc w:val="left"/>
      <w:pPr>
        <w:ind w:left="2940" w:hanging="360"/>
      </w:pPr>
      <w:rPr>
        <w:rFonts w:ascii="Symbol" w:hAnsi="Symbol" w:hint="default"/>
      </w:rPr>
    </w:lvl>
    <w:lvl w:ilvl="4" w:tplc="14090003" w:tentative="1">
      <w:start w:val="1"/>
      <w:numFmt w:val="bullet"/>
      <w:lvlText w:val="o"/>
      <w:lvlJc w:val="left"/>
      <w:pPr>
        <w:ind w:left="3660" w:hanging="360"/>
      </w:pPr>
      <w:rPr>
        <w:rFonts w:ascii="Courier New" w:hAnsi="Courier New" w:cs="Courier New" w:hint="default"/>
      </w:rPr>
    </w:lvl>
    <w:lvl w:ilvl="5" w:tplc="14090005" w:tentative="1">
      <w:start w:val="1"/>
      <w:numFmt w:val="bullet"/>
      <w:lvlText w:val=""/>
      <w:lvlJc w:val="left"/>
      <w:pPr>
        <w:ind w:left="4380" w:hanging="360"/>
      </w:pPr>
      <w:rPr>
        <w:rFonts w:ascii="Wingdings" w:hAnsi="Wingdings" w:hint="default"/>
      </w:rPr>
    </w:lvl>
    <w:lvl w:ilvl="6" w:tplc="14090001" w:tentative="1">
      <w:start w:val="1"/>
      <w:numFmt w:val="bullet"/>
      <w:lvlText w:val=""/>
      <w:lvlJc w:val="left"/>
      <w:pPr>
        <w:ind w:left="5100" w:hanging="360"/>
      </w:pPr>
      <w:rPr>
        <w:rFonts w:ascii="Symbol" w:hAnsi="Symbol" w:hint="default"/>
      </w:rPr>
    </w:lvl>
    <w:lvl w:ilvl="7" w:tplc="14090003" w:tentative="1">
      <w:start w:val="1"/>
      <w:numFmt w:val="bullet"/>
      <w:lvlText w:val="o"/>
      <w:lvlJc w:val="left"/>
      <w:pPr>
        <w:ind w:left="5820" w:hanging="360"/>
      </w:pPr>
      <w:rPr>
        <w:rFonts w:ascii="Courier New" w:hAnsi="Courier New" w:cs="Courier New" w:hint="default"/>
      </w:rPr>
    </w:lvl>
    <w:lvl w:ilvl="8" w:tplc="14090005" w:tentative="1">
      <w:start w:val="1"/>
      <w:numFmt w:val="bullet"/>
      <w:lvlText w:val=""/>
      <w:lvlJc w:val="left"/>
      <w:pPr>
        <w:ind w:left="6540" w:hanging="360"/>
      </w:pPr>
      <w:rPr>
        <w:rFonts w:ascii="Wingdings" w:hAnsi="Wingdings" w:hint="default"/>
      </w:rPr>
    </w:lvl>
  </w:abstractNum>
  <w:abstractNum w:abstractNumId="97" w15:restartNumberingAfterBreak="0">
    <w:nsid w:val="719F2461"/>
    <w:multiLevelType w:val="hybridMultilevel"/>
    <w:tmpl w:val="BF48C3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8" w15:restartNumberingAfterBreak="0">
    <w:nsid w:val="75811DDE"/>
    <w:multiLevelType w:val="hybridMultilevel"/>
    <w:tmpl w:val="5784BADA"/>
    <w:lvl w:ilvl="0" w:tplc="14090001">
      <w:start w:val="1"/>
      <w:numFmt w:val="bullet"/>
      <w:pStyle w:val="TableDash"/>
      <w:lvlText w:val=""/>
      <w:lvlJc w:val="left"/>
      <w:pPr>
        <w:tabs>
          <w:tab w:val="num" w:pos="567"/>
        </w:tabs>
        <w:ind w:left="567" w:hanging="283"/>
      </w:pPr>
      <w:rPr>
        <w:rFonts w:ascii="Symbol" w:hAnsi="Symbol" w:hint="default"/>
        <w:color w:val="auto"/>
        <w:sz w:val="16"/>
        <w:szCs w:val="16"/>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759D56AB"/>
    <w:multiLevelType w:val="multilevel"/>
    <w:tmpl w:val="3F54EFCC"/>
    <w:lvl w:ilvl="0">
      <w:start w:val="1"/>
      <w:numFmt w:val="bullet"/>
      <w:pStyle w:val="Keypointsbullet"/>
      <w:lvlText w:val=""/>
      <w:lvlJc w:val="left"/>
      <w:pPr>
        <w:ind w:left="680" w:hanging="396"/>
      </w:pPr>
      <w:rPr>
        <w:rFonts w:ascii="Symbol" w:hAnsi="Symbol" w:hint="default"/>
        <w:sz w:val="16"/>
        <w:szCs w:val="1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0" w15:restartNumberingAfterBreak="0">
    <w:nsid w:val="75FE74C4"/>
    <w:multiLevelType w:val="multilevel"/>
    <w:tmpl w:val="35706F64"/>
    <w:lvl w:ilvl="0">
      <w:start w:val="1"/>
      <w:numFmt w:val="bullet"/>
      <w:pStyle w:val="Bulletindented"/>
      <w:lvlText w:val=""/>
      <w:lvlJc w:val="left"/>
      <w:pPr>
        <w:ind w:left="794" w:hanging="397"/>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01" w15:restartNumberingAfterBreak="0">
    <w:nsid w:val="772E7404"/>
    <w:multiLevelType w:val="hybridMultilevel"/>
    <w:tmpl w:val="018CBB22"/>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2" w15:restartNumberingAfterBreak="0">
    <w:nsid w:val="78117C2A"/>
    <w:multiLevelType w:val="hybridMultilevel"/>
    <w:tmpl w:val="F53C88A4"/>
    <w:lvl w:ilvl="0" w:tplc="FFFFFFFF">
      <w:start w:val="1"/>
      <w:numFmt w:val="decimal"/>
      <w:lvlText w:val="%1."/>
      <w:lvlJc w:val="left"/>
      <w:pPr>
        <w:ind w:left="1211" w:hanging="360"/>
      </w:pPr>
      <w:rPr>
        <w:rFonts w:ascii="Arial" w:hAnsi="Arial" w:cs="Arial" w:hint="default"/>
        <w:b w:val="0"/>
        <w:i w:val="0"/>
        <w:iCs/>
        <w:color w:val="auto"/>
        <w:sz w:val="24"/>
        <w:szCs w:val="32"/>
      </w:rPr>
    </w:lvl>
    <w:lvl w:ilvl="1" w:tplc="FFFFFFFF">
      <w:start w:val="1"/>
      <w:numFmt w:val="bullet"/>
      <w:lvlText w:val=""/>
      <w:lvlJc w:val="left"/>
      <w:pPr>
        <w:ind w:left="2007" w:hanging="360"/>
      </w:pPr>
      <w:rPr>
        <w:rFonts w:ascii="Symbol" w:hAnsi="Symbol" w:hint="default"/>
      </w:rPr>
    </w:lvl>
    <w:lvl w:ilvl="2" w:tplc="FFFFFFFF">
      <w:start w:val="1"/>
      <w:numFmt w:val="lowerRoman"/>
      <w:lvlText w:val="%3."/>
      <w:lvlJc w:val="right"/>
      <w:pPr>
        <w:ind w:left="2727" w:hanging="180"/>
      </w:pPr>
    </w:lvl>
    <w:lvl w:ilvl="3" w:tplc="FFFFFFFF">
      <w:start w:val="1"/>
      <w:numFmt w:val="lowerLetter"/>
      <w:lvlText w:val="%4)"/>
      <w:lvlJc w:val="left"/>
      <w:pPr>
        <w:ind w:left="3447" w:hanging="360"/>
      </w:pPr>
      <w:rPr>
        <w:rFonts w:hint="default"/>
      </w:r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3" w15:restartNumberingAfterBreak="0">
    <w:nsid w:val="7938199F"/>
    <w:multiLevelType w:val="hybridMultilevel"/>
    <w:tmpl w:val="3EE43DF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4" w15:restartNumberingAfterBreak="0">
    <w:nsid w:val="7AEF6B02"/>
    <w:multiLevelType w:val="hybridMultilevel"/>
    <w:tmpl w:val="4A4CCB70"/>
    <w:lvl w:ilvl="0" w:tplc="FC165A18">
      <w:start w:val="1"/>
      <w:numFmt w:val="bullet"/>
      <w:lvlText w:val="-"/>
      <w:lvlJc w:val="left"/>
      <w:pPr>
        <w:ind w:left="1040" w:hanging="360"/>
      </w:pPr>
      <w:rPr>
        <w:rFonts w:ascii="Aptos" w:hAnsi="Aptos" w:hint="default"/>
      </w:rPr>
    </w:lvl>
    <w:lvl w:ilvl="1" w:tplc="FFFFFFFF">
      <w:start w:val="1"/>
      <w:numFmt w:val="bullet"/>
      <w:lvlText w:val=""/>
      <w:lvlJc w:val="left"/>
      <w:pPr>
        <w:ind w:left="1760" w:hanging="360"/>
      </w:pPr>
      <w:rPr>
        <w:rFonts w:ascii="Symbol" w:hAnsi="Symbol" w:hint="default"/>
      </w:r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105" w15:restartNumberingAfterBreak="0">
    <w:nsid w:val="7BB52E00"/>
    <w:multiLevelType w:val="hybridMultilevel"/>
    <w:tmpl w:val="FA24D34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6" w15:restartNumberingAfterBreak="0">
    <w:nsid w:val="7C855308"/>
    <w:multiLevelType w:val="multilevel"/>
    <w:tmpl w:val="AA40E948"/>
    <w:lvl w:ilvl="0">
      <w:start w:val="1"/>
      <w:numFmt w:val="bullet"/>
      <w:lvlText w:val=""/>
      <w:lvlJc w:val="left"/>
      <w:pPr>
        <w:tabs>
          <w:tab w:val="num" w:pos="567"/>
        </w:tabs>
        <w:ind w:left="397" w:hanging="397"/>
      </w:pPr>
      <w:rPr>
        <w:rFonts w:ascii="Symbol" w:hAnsi="Symbol" w:hint="default"/>
        <w:sz w:val="20"/>
        <w:szCs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7D934C94"/>
    <w:multiLevelType w:val="hybridMultilevel"/>
    <w:tmpl w:val="FB4AD91A"/>
    <w:lvl w:ilvl="0" w:tplc="FFFFFFFF">
      <w:start w:val="1"/>
      <w:numFmt w:val="bullet"/>
      <w:lvlText w:val=""/>
      <w:lvlJc w:val="left"/>
      <w:pPr>
        <w:ind w:left="72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7E4D254A"/>
    <w:multiLevelType w:val="singleLevel"/>
    <w:tmpl w:val="59B61C52"/>
    <w:lvl w:ilvl="0">
      <w:start w:val="1"/>
      <w:numFmt w:val="bullet"/>
      <w:pStyle w:val="Bulletindent"/>
      <w:lvlText w:val=""/>
      <w:lvlJc w:val="left"/>
      <w:pPr>
        <w:tabs>
          <w:tab w:val="num" w:pos="567"/>
        </w:tabs>
        <w:ind w:left="567" w:hanging="567"/>
      </w:pPr>
      <w:rPr>
        <w:rFonts w:ascii="Symbol" w:hAnsi="Symbol" w:hint="default"/>
        <w:sz w:val="20"/>
      </w:rPr>
    </w:lvl>
  </w:abstractNum>
  <w:abstractNum w:abstractNumId="109" w15:restartNumberingAfterBreak="0">
    <w:nsid w:val="7E99103D"/>
    <w:multiLevelType w:val="hybridMultilevel"/>
    <w:tmpl w:val="63820F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0" w15:restartNumberingAfterBreak="0">
    <w:nsid w:val="7ECA61D0"/>
    <w:multiLevelType w:val="hybridMultilevel"/>
    <w:tmpl w:val="3710B8C6"/>
    <w:lvl w:ilvl="0" w:tplc="FFFFFFFF">
      <w:start w:val="1"/>
      <w:numFmt w:val="bullet"/>
      <w:lvlText w:val=""/>
      <w:lvlJc w:val="left"/>
      <w:pPr>
        <w:ind w:left="598" w:hanging="360"/>
      </w:pPr>
      <w:rPr>
        <w:rFonts w:ascii="Symbol" w:hAnsi="Symbol" w:hint="default"/>
      </w:rPr>
    </w:lvl>
    <w:lvl w:ilvl="1" w:tplc="5CA0F88A">
      <w:start w:val="1"/>
      <w:numFmt w:val="bullet"/>
      <w:lvlText w:val="‒"/>
      <w:lvlJc w:val="left"/>
      <w:pPr>
        <w:ind w:left="1004" w:hanging="360"/>
      </w:pPr>
      <w:rPr>
        <w:rFonts w:ascii="Calibri" w:hAnsi="Calibri" w:cs="Times New Roman" w:hint="default"/>
        <w:b w:val="0"/>
        <w:i w:val="0"/>
        <w:sz w:val="20"/>
      </w:rPr>
    </w:lvl>
    <w:lvl w:ilvl="2" w:tplc="FFFFFFFF">
      <w:start w:val="1"/>
      <w:numFmt w:val="bullet"/>
      <w:lvlText w:val=""/>
      <w:lvlJc w:val="left"/>
      <w:pPr>
        <w:ind w:left="2038" w:hanging="360"/>
      </w:pPr>
      <w:rPr>
        <w:rFonts w:ascii="Wingdings" w:hAnsi="Wingdings" w:hint="default"/>
      </w:rPr>
    </w:lvl>
    <w:lvl w:ilvl="3" w:tplc="FFFFFFFF">
      <w:start w:val="1"/>
      <w:numFmt w:val="bullet"/>
      <w:lvlText w:val=""/>
      <w:lvlJc w:val="left"/>
      <w:pPr>
        <w:ind w:left="2758" w:hanging="360"/>
      </w:pPr>
      <w:rPr>
        <w:rFonts w:ascii="Symbol" w:hAnsi="Symbol" w:hint="default"/>
      </w:rPr>
    </w:lvl>
    <w:lvl w:ilvl="4" w:tplc="FFFFFFFF">
      <w:start w:val="1"/>
      <w:numFmt w:val="bullet"/>
      <w:lvlText w:val="o"/>
      <w:lvlJc w:val="left"/>
      <w:pPr>
        <w:ind w:left="3478" w:hanging="360"/>
      </w:pPr>
      <w:rPr>
        <w:rFonts w:ascii="Courier New" w:hAnsi="Courier New" w:hint="default"/>
      </w:rPr>
    </w:lvl>
    <w:lvl w:ilvl="5" w:tplc="FFFFFFFF">
      <w:start w:val="1"/>
      <w:numFmt w:val="bullet"/>
      <w:lvlText w:val=""/>
      <w:lvlJc w:val="left"/>
      <w:pPr>
        <w:ind w:left="4198" w:hanging="360"/>
      </w:pPr>
      <w:rPr>
        <w:rFonts w:ascii="Wingdings" w:hAnsi="Wingdings" w:hint="default"/>
      </w:rPr>
    </w:lvl>
    <w:lvl w:ilvl="6" w:tplc="FFFFFFFF">
      <w:start w:val="1"/>
      <w:numFmt w:val="bullet"/>
      <w:lvlText w:val=""/>
      <w:lvlJc w:val="left"/>
      <w:pPr>
        <w:ind w:left="4918" w:hanging="360"/>
      </w:pPr>
      <w:rPr>
        <w:rFonts w:ascii="Symbol" w:hAnsi="Symbol" w:hint="default"/>
      </w:rPr>
    </w:lvl>
    <w:lvl w:ilvl="7" w:tplc="FFFFFFFF">
      <w:start w:val="1"/>
      <w:numFmt w:val="bullet"/>
      <w:lvlText w:val="o"/>
      <w:lvlJc w:val="left"/>
      <w:pPr>
        <w:ind w:left="5638" w:hanging="360"/>
      </w:pPr>
      <w:rPr>
        <w:rFonts w:ascii="Courier New" w:hAnsi="Courier New" w:hint="default"/>
      </w:rPr>
    </w:lvl>
    <w:lvl w:ilvl="8" w:tplc="FFFFFFFF">
      <w:start w:val="1"/>
      <w:numFmt w:val="bullet"/>
      <w:lvlText w:val=""/>
      <w:lvlJc w:val="left"/>
      <w:pPr>
        <w:ind w:left="6358" w:hanging="360"/>
      </w:pPr>
      <w:rPr>
        <w:rFonts w:ascii="Wingdings" w:hAnsi="Wingdings" w:hint="default"/>
      </w:rPr>
    </w:lvl>
  </w:abstractNum>
  <w:num w:numId="1" w16cid:durableId="1569415069">
    <w:abstractNumId w:val="75"/>
  </w:num>
  <w:num w:numId="2" w16cid:durableId="1719546779">
    <w:abstractNumId w:val="108"/>
  </w:num>
  <w:num w:numId="3" w16cid:durableId="187716939">
    <w:abstractNumId w:val="51"/>
  </w:num>
  <w:num w:numId="4" w16cid:durableId="718165160">
    <w:abstractNumId w:val="65"/>
  </w:num>
  <w:num w:numId="5" w16cid:durableId="1978681129">
    <w:abstractNumId w:val="100"/>
  </w:num>
  <w:num w:numId="6" w16cid:durableId="1351374546">
    <w:abstractNumId w:val="6"/>
  </w:num>
  <w:num w:numId="7" w16cid:durableId="647561907">
    <w:abstractNumId w:val="5"/>
  </w:num>
  <w:num w:numId="8" w16cid:durableId="2079209326">
    <w:abstractNumId w:val="4"/>
  </w:num>
  <w:num w:numId="9" w16cid:durableId="505364909">
    <w:abstractNumId w:val="3"/>
  </w:num>
  <w:num w:numId="10" w16cid:durableId="197545637">
    <w:abstractNumId w:val="2"/>
  </w:num>
  <w:num w:numId="11" w16cid:durableId="1566379223">
    <w:abstractNumId w:val="19"/>
  </w:num>
  <w:num w:numId="12" w16cid:durableId="1048412069">
    <w:abstractNumId w:val="20"/>
  </w:num>
  <w:num w:numId="13" w16cid:durableId="1072047681">
    <w:abstractNumId w:val="39"/>
  </w:num>
  <w:num w:numId="14" w16cid:durableId="986668735">
    <w:abstractNumId w:val="64"/>
  </w:num>
  <w:num w:numId="15" w16cid:durableId="559098980">
    <w:abstractNumId w:val="66"/>
  </w:num>
  <w:num w:numId="16" w16cid:durableId="734398456">
    <w:abstractNumId w:val="98"/>
  </w:num>
  <w:num w:numId="17" w16cid:durableId="1180506479">
    <w:abstractNumId w:val="1"/>
  </w:num>
  <w:num w:numId="18" w16cid:durableId="269287683">
    <w:abstractNumId w:val="0"/>
  </w:num>
  <w:num w:numId="19" w16cid:durableId="1536428399">
    <w:abstractNumId w:val="91"/>
  </w:num>
  <w:num w:numId="20" w16cid:durableId="1446923759">
    <w:abstractNumId w:val="61"/>
  </w:num>
  <w:num w:numId="21" w16cid:durableId="179956702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01670193">
    <w:abstractNumId w:val="99"/>
  </w:num>
  <w:num w:numId="23" w16cid:durableId="645202008">
    <w:abstractNumId w:val="38"/>
  </w:num>
  <w:num w:numId="24" w16cid:durableId="23135012">
    <w:abstractNumId w:val="76"/>
  </w:num>
  <w:num w:numId="25" w16cid:durableId="2003770694">
    <w:abstractNumId w:val="49"/>
  </w:num>
  <w:num w:numId="26" w16cid:durableId="107428010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92477433">
    <w:abstractNumId w:val="62"/>
  </w:num>
  <w:num w:numId="28" w16cid:durableId="172602526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84937953">
    <w:abstractNumId w:val="17"/>
  </w:num>
  <w:num w:numId="30" w16cid:durableId="410586902">
    <w:abstractNumId w:val="52"/>
  </w:num>
  <w:num w:numId="31" w16cid:durableId="1336490992">
    <w:abstractNumId w:val="9"/>
  </w:num>
  <w:num w:numId="32" w16cid:durableId="171311337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95948274">
    <w:abstractNumId w:val="41"/>
  </w:num>
  <w:num w:numId="34" w16cid:durableId="1337031228">
    <w:abstractNumId w:val="26"/>
  </w:num>
  <w:num w:numId="35" w16cid:durableId="13872663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49082366">
    <w:abstractNumId w:val="60"/>
  </w:num>
  <w:num w:numId="37" w16cid:durableId="1653019163">
    <w:abstractNumId w:val="80"/>
  </w:num>
  <w:num w:numId="38" w16cid:durableId="176425015">
    <w:abstractNumId w:val="105"/>
  </w:num>
  <w:num w:numId="39" w16cid:durableId="9346284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10245289">
    <w:abstractNumId w:val="37"/>
  </w:num>
  <w:num w:numId="41" w16cid:durableId="1212501737">
    <w:abstractNumId w:val="7"/>
    <w:lvlOverride w:ilvl="0">
      <w:lvl w:ilvl="0">
        <w:start w:val="1"/>
        <w:numFmt w:val="bullet"/>
        <w:lvlText w:val="–"/>
        <w:legacy w:legacy="1" w:legacySpace="0" w:legacyIndent="284"/>
        <w:lvlJc w:val="left"/>
        <w:pPr>
          <w:ind w:left="851" w:hanging="284"/>
        </w:pPr>
        <w:rPr>
          <w:rFonts w:ascii="Times New Roman" w:hAnsi="Times New Roman" w:cs="Times New Roman" w:hint="default"/>
          <w:sz w:val="20"/>
        </w:rPr>
      </w:lvl>
    </w:lvlOverride>
  </w:num>
  <w:num w:numId="42" w16cid:durableId="71313934">
    <w:abstractNumId w:val="33"/>
  </w:num>
  <w:num w:numId="43" w16cid:durableId="2081709241">
    <w:abstractNumId w:val="66"/>
    <w:lvlOverride w:ilvl="0">
      <w:startOverride w:val="1"/>
    </w:lvlOverride>
  </w:num>
  <w:num w:numId="44" w16cid:durableId="675764673">
    <w:abstractNumId w:val="21"/>
  </w:num>
  <w:num w:numId="45" w16cid:durableId="1277449286">
    <w:abstractNumId w:val="78"/>
  </w:num>
  <w:num w:numId="46" w16cid:durableId="74400632">
    <w:abstractNumId w:val="8"/>
  </w:num>
  <w:num w:numId="47" w16cid:durableId="2008827275">
    <w:abstractNumId w:val="46"/>
  </w:num>
  <w:num w:numId="48" w16cid:durableId="1527135869">
    <w:abstractNumId w:val="24"/>
  </w:num>
  <w:num w:numId="49" w16cid:durableId="637611725">
    <w:abstractNumId w:val="32"/>
  </w:num>
  <w:num w:numId="50" w16cid:durableId="1975207731">
    <w:abstractNumId w:val="100"/>
  </w:num>
  <w:num w:numId="51" w16cid:durableId="15456295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94332106">
    <w:abstractNumId w:val="85"/>
  </w:num>
  <w:num w:numId="53" w16cid:durableId="1507398536">
    <w:abstractNumId w:val="25"/>
  </w:num>
  <w:num w:numId="54" w16cid:durableId="123693700">
    <w:abstractNumId w:val="40"/>
  </w:num>
  <w:num w:numId="55" w16cid:durableId="1836534595">
    <w:abstractNumId w:val="28"/>
  </w:num>
  <w:num w:numId="56" w16cid:durableId="353575026">
    <w:abstractNumId w:val="101"/>
  </w:num>
  <w:num w:numId="57" w16cid:durableId="1807046774">
    <w:abstractNumId w:val="96"/>
  </w:num>
  <w:num w:numId="58" w16cid:durableId="1915355597">
    <w:abstractNumId w:val="34"/>
  </w:num>
  <w:num w:numId="59" w16cid:durableId="997928706">
    <w:abstractNumId w:val="55"/>
  </w:num>
  <w:num w:numId="60" w16cid:durableId="1470628672">
    <w:abstractNumId w:val="74"/>
  </w:num>
  <w:num w:numId="61" w16cid:durableId="2066635691">
    <w:abstractNumId w:val="88"/>
  </w:num>
  <w:num w:numId="62" w16cid:durableId="539636315">
    <w:abstractNumId w:val="102"/>
  </w:num>
  <w:num w:numId="63" w16cid:durableId="2146728560">
    <w:abstractNumId w:val="69"/>
  </w:num>
  <w:num w:numId="64" w16cid:durableId="1349259374">
    <w:abstractNumId w:val="83"/>
  </w:num>
  <w:num w:numId="65" w16cid:durableId="1323316390">
    <w:abstractNumId w:val="109"/>
  </w:num>
  <w:num w:numId="66" w16cid:durableId="210575054">
    <w:abstractNumId w:val="29"/>
  </w:num>
  <w:num w:numId="67" w16cid:durableId="854686315">
    <w:abstractNumId w:val="67"/>
  </w:num>
  <w:num w:numId="68" w16cid:durableId="1800565808">
    <w:abstractNumId w:val="56"/>
  </w:num>
  <w:num w:numId="69" w16cid:durableId="569198364">
    <w:abstractNumId w:val="73"/>
  </w:num>
  <w:num w:numId="70" w16cid:durableId="1283922074">
    <w:abstractNumId w:val="95"/>
  </w:num>
  <w:num w:numId="71" w16cid:durableId="1164278058">
    <w:abstractNumId w:val="45"/>
  </w:num>
  <w:num w:numId="72" w16cid:durableId="415439954">
    <w:abstractNumId w:val="59"/>
  </w:num>
  <w:num w:numId="73" w16cid:durableId="440493255">
    <w:abstractNumId w:val="87"/>
  </w:num>
  <w:num w:numId="74" w16cid:durableId="1582330837">
    <w:abstractNumId w:val="10"/>
  </w:num>
  <w:num w:numId="75" w16cid:durableId="1448819030">
    <w:abstractNumId w:val="18"/>
  </w:num>
  <w:num w:numId="76" w16cid:durableId="236476933">
    <w:abstractNumId w:val="54"/>
  </w:num>
  <w:num w:numId="77" w16cid:durableId="76653666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921404869">
    <w:abstractNumId w:val="94"/>
  </w:num>
  <w:num w:numId="79" w16cid:durableId="1824462796">
    <w:abstractNumId w:val="42"/>
  </w:num>
  <w:num w:numId="80" w16cid:durableId="857625864">
    <w:abstractNumId w:val="84"/>
  </w:num>
  <w:num w:numId="81" w16cid:durableId="8016548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3868033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652297882">
    <w:abstractNumId w:val="13"/>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84" w16cid:durableId="2073188221">
    <w:abstractNumId w:val="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85" w16cid:durableId="680736599">
    <w:abstractNumId w:val="15"/>
  </w:num>
  <w:num w:numId="86" w16cid:durableId="1497066666">
    <w:abstractNumId w:val="13"/>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87" w16cid:durableId="2110154974">
    <w:abstractNumId w:val="16"/>
  </w:num>
  <w:num w:numId="88" w16cid:durableId="131563380">
    <w:abstractNumId w:val="71"/>
  </w:num>
  <w:num w:numId="89" w16cid:durableId="398794786">
    <w:abstractNumId w:val="22"/>
  </w:num>
  <w:num w:numId="90" w16cid:durableId="240484259">
    <w:abstractNumId w:val="79"/>
  </w:num>
  <w:num w:numId="91" w16cid:durableId="909076703">
    <w:abstractNumId w:val="92"/>
  </w:num>
  <w:num w:numId="92" w16cid:durableId="438910155">
    <w:abstractNumId w:val="30"/>
  </w:num>
  <w:num w:numId="93" w16cid:durableId="1716925243">
    <w:abstractNumId w:val="44"/>
  </w:num>
  <w:num w:numId="94" w16cid:durableId="8037413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927234257">
    <w:abstractNumId w:val="63"/>
  </w:num>
  <w:num w:numId="96" w16cid:durableId="520776958">
    <w:abstractNumId w:val="50"/>
  </w:num>
  <w:num w:numId="97" w16cid:durableId="1239826461">
    <w:abstractNumId w:val="35"/>
  </w:num>
  <w:num w:numId="98" w16cid:durableId="204953961">
    <w:abstractNumId w:val="43"/>
  </w:num>
  <w:num w:numId="99" w16cid:durableId="513106543">
    <w:abstractNumId w:val="107"/>
  </w:num>
  <w:num w:numId="100" w16cid:durableId="1103577703">
    <w:abstractNumId w:val="110"/>
  </w:num>
  <w:num w:numId="101" w16cid:durableId="961689557">
    <w:abstractNumId w:val="86"/>
  </w:num>
  <w:num w:numId="102" w16cid:durableId="2089035014">
    <w:abstractNumId w:val="23"/>
  </w:num>
  <w:num w:numId="103" w16cid:durableId="204947171">
    <w:abstractNumId w:val="93"/>
  </w:num>
  <w:num w:numId="104" w16cid:durableId="1236479077">
    <w:abstractNumId w:val="89"/>
  </w:num>
  <w:num w:numId="105" w16cid:durableId="1877305842">
    <w:abstractNumId w:val="104"/>
  </w:num>
  <w:num w:numId="106" w16cid:durableId="2070376984">
    <w:abstractNumId w:val="48"/>
  </w:num>
  <w:num w:numId="107" w16cid:durableId="985355736">
    <w:abstractNumId w:val="70"/>
  </w:num>
  <w:num w:numId="108" w16cid:durableId="798650549">
    <w:abstractNumId w:val="57"/>
  </w:num>
  <w:num w:numId="109" w16cid:durableId="181287380">
    <w:abstractNumId w:val="36"/>
  </w:num>
  <w:num w:numId="110" w16cid:durableId="845635706">
    <w:abstractNumId w:val="47"/>
  </w:num>
  <w:num w:numId="111" w16cid:durableId="866719296">
    <w:abstractNumId w:val="106"/>
  </w:num>
  <w:num w:numId="112" w16cid:durableId="1915160138">
    <w:abstractNumId w:val="82"/>
  </w:num>
  <w:num w:numId="113" w16cid:durableId="122679439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12476129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843083577">
    <w:abstractNumId w:val="58"/>
  </w:num>
  <w:num w:numId="116" w16cid:durableId="1199119903">
    <w:abstractNumId w:val="77"/>
  </w:num>
  <w:num w:numId="117" w16cid:durableId="570391453">
    <w:abstractNumId w:val="68"/>
  </w:num>
  <w:num w:numId="118" w16cid:durableId="1387947880">
    <w:abstractNumId w:val="81"/>
  </w:num>
  <w:num w:numId="119" w16cid:durableId="1518228449">
    <w:abstractNumId w:val="53"/>
  </w:num>
  <w:num w:numId="120" w16cid:durableId="202265664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134712416">
    <w:abstractNumId w:val="103"/>
  </w:num>
  <w:num w:numId="122" w16cid:durableId="1080981264">
    <w:abstractNumId w:val="90"/>
  </w:num>
  <w:num w:numId="123" w16cid:durableId="300117167">
    <w:abstractNumId w:val="72"/>
  </w:num>
  <w:num w:numId="124" w16cid:durableId="264190439">
    <w:abstractNumId w:val="27"/>
  </w:num>
  <w:num w:numId="125" w16cid:durableId="1609119910">
    <w:abstractNumId w:val="97"/>
  </w:num>
  <w:num w:numId="126" w16cid:durableId="914048129">
    <w:abstractNumId w:val="3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activeWritingStyle w:appName="MSWord" w:lang="en-NZ" w:vendorID="64" w:dllVersion="6" w:nlCheck="1" w:checkStyle="1"/>
  <w:activeWritingStyle w:appName="MSWord" w:lang="en-NZ" w:vendorID="64" w:dllVersion="0" w:nlCheck="1" w:checkStyle="0"/>
  <w:activeWritingStyle w:appName="MSWord" w:lang="en-US" w:vendorID="64" w:dllVersion="0" w:nlCheck="1" w:checkStyle="0"/>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defaultTabStop w:val="397"/>
  <w:evenAndOddHeaders/>
  <w:drawingGridHorizontalSpacing w:val="187"/>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434"/>
    <w:rsid w:val="00001716"/>
    <w:rsid w:val="00001C11"/>
    <w:rsid w:val="00007ABB"/>
    <w:rsid w:val="0001083B"/>
    <w:rsid w:val="00021ACF"/>
    <w:rsid w:val="00021C15"/>
    <w:rsid w:val="000232E2"/>
    <w:rsid w:val="00027E55"/>
    <w:rsid w:val="00032A28"/>
    <w:rsid w:val="000344CE"/>
    <w:rsid w:val="00035185"/>
    <w:rsid w:val="0003612E"/>
    <w:rsid w:val="00043D7D"/>
    <w:rsid w:val="00050008"/>
    <w:rsid w:val="00050405"/>
    <w:rsid w:val="00053418"/>
    <w:rsid w:val="000539D6"/>
    <w:rsid w:val="0005719A"/>
    <w:rsid w:val="000576EC"/>
    <w:rsid w:val="00061404"/>
    <w:rsid w:val="00064A61"/>
    <w:rsid w:val="00067FAE"/>
    <w:rsid w:val="00073990"/>
    <w:rsid w:val="000828BE"/>
    <w:rsid w:val="00083746"/>
    <w:rsid w:val="0008536B"/>
    <w:rsid w:val="00087781"/>
    <w:rsid w:val="00087FA0"/>
    <w:rsid w:val="000906CF"/>
    <w:rsid w:val="00094891"/>
    <w:rsid w:val="000959CB"/>
    <w:rsid w:val="000A65A1"/>
    <w:rsid w:val="000A6666"/>
    <w:rsid w:val="000B2E46"/>
    <w:rsid w:val="000B2E7F"/>
    <w:rsid w:val="000B4B58"/>
    <w:rsid w:val="000B5C05"/>
    <w:rsid w:val="000B7215"/>
    <w:rsid w:val="000B7CBD"/>
    <w:rsid w:val="000C20A6"/>
    <w:rsid w:val="000C50F7"/>
    <w:rsid w:val="000D1595"/>
    <w:rsid w:val="000D1760"/>
    <w:rsid w:val="000D3850"/>
    <w:rsid w:val="000D3B79"/>
    <w:rsid w:val="000D41A3"/>
    <w:rsid w:val="000D531C"/>
    <w:rsid w:val="000D5C05"/>
    <w:rsid w:val="000D68FF"/>
    <w:rsid w:val="000E1228"/>
    <w:rsid w:val="000E3EA5"/>
    <w:rsid w:val="000F2293"/>
    <w:rsid w:val="000F4DEF"/>
    <w:rsid w:val="001009E9"/>
    <w:rsid w:val="00102D7F"/>
    <w:rsid w:val="00106A17"/>
    <w:rsid w:val="00116A4F"/>
    <w:rsid w:val="00116E1B"/>
    <w:rsid w:val="001210BC"/>
    <w:rsid w:val="00121D68"/>
    <w:rsid w:val="001221C3"/>
    <w:rsid w:val="0012525F"/>
    <w:rsid w:val="00126E65"/>
    <w:rsid w:val="0013321C"/>
    <w:rsid w:val="001365A7"/>
    <w:rsid w:val="00137BF8"/>
    <w:rsid w:val="00140A5C"/>
    <w:rsid w:val="00141604"/>
    <w:rsid w:val="001436BE"/>
    <w:rsid w:val="00144A70"/>
    <w:rsid w:val="00153F5A"/>
    <w:rsid w:val="00157EF6"/>
    <w:rsid w:val="001608E9"/>
    <w:rsid w:val="00165540"/>
    <w:rsid w:val="0016557D"/>
    <w:rsid w:val="0017430C"/>
    <w:rsid w:val="001752E1"/>
    <w:rsid w:val="0017657D"/>
    <w:rsid w:val="00176AF4"/>
    <w:rsid w:val="0018152B"/>
    <w:rsid w:val="00185E10"/>
    <w:rsid w:val="00194A09"/>
    <w:rsid w:val="00195776"/>
    <w:rsid w:val="001970E1"/>
    <w:rsid w:val="001A1997"/>
    <w:rsid w:val="001A6F91"/>
    <w:rsid w:val="001B13DE"/>
    <w:rsid w:val="001B17E6"/>
    <w:rsid w:val="001B588A"/>
    <w:rsid w:val="001B6FD2"/>
    <w:rsid w:val="001C0914"/>
    <w:rsid w:val="001C2601"/>
    <w:rsid w:val="001C38C6"/>
    <w:rsid w:val="001C4445"/>
    <w:rsid w:val="001C7F9C"/>
    <w:rsid w:val="001D3E5F"/>
    <w:rsid w:val="001E04DA"/>
    <w:rsid w:val="001E2306"/>
    <w:rsid w:val="001E47A3"/>
    <w:rsid w:val="001E4FC6"/>
    <w:rsid w:val="001E70D3"/>
    <w:rsid w:val="001E7AA9"/>
    <w:rsid w:val="001F14B3"/>
    <w:rsid w:val="001F24CC"/>
    <w:rsid w:val="001F48D9"/>
    <w:rsid w:val="001F5ABE"/>
    <w:rsid w:val="002037F5"/>
    <w:rsid w:val="00203F6C"/>
    <w:rsid w:val="00204B8F"/>
    <w:rsid w:val="00207ABF"/>
    <w:rsid w:val="002124BD"/>
    <w:rsid w:val="00215702"/>
    <w:rsid w:val="002159B8"/>
    <w:rsid w:val="002233B1"/>
    <w:rsid w:val="002236DD"/>
    <w:rsid w:val="002248FD"/>
    <w:rsid w:val="00227B34"/>
    <w:rsid w:val="00231250"/>
    <w:rsid w:val="00237962"/>
    <w:rsid w:val="00240B42"/>
    <w:rsid w:val="00245C00"/>
    <w:rsid w:val="002474E5"/>
    <w:rsid w:val="00247D50"/>
    <w:rsid w:val="00250163"/>
    <w:rsid w:val="00251CCB"/>
    <w:rsid w:val="0025307F"/>
    <w:rsid w:val="00255D7B"/>
    <w:rsid w:val="00256C9F"/>
    <w:rsid w:val="00256D20"/>
    <w:rsid w:val="00257524"/>
    <w:rsid w:val="00260B48"/>
    <w:rsid w:val="002712B9"/>
    <w:rsid w:val="00275D38"/>
    <w:rsid w:val="00276842"/>
    <w:rsid w:val="00282356"/>
    <w:rsid w:val="00282B4E"/>
    <w:rsid w:val="0028581A"/>
    <w:rsid w:val="002868D3"/>
    <w:rsid w:val="00286A2F"/>
    <w:rsid w:val="00290450"/>
    <w:rsid w:val="00290C4C"/>
    <w:rsid w:val="00293FAA"/>
    <w:rsid w:val="002956FA"/>
    <w:rsid w:val="00295B2A"/>
    <w:rsid w:val="00296D90"/>
    <w:rsid w:val="00297058"/>
    <w:rsid w:val="002A12C5"/>
    <w:rsid w:val="002A1361"/>
    <w:rsid w:val="002A222C"/>
    <w:rsid w:val="002A3BCA"/>
    <w:rsid w:val="002A3C0E"/>
    <w:rsid w:val="002A41A9"/>
    <w:rsid w:val="002A49D7"/>
    <w:rsid w:val="002B08C0"/>
    <w:rsid w:val="002B1C5A"/>
    <w:rsid w:val="002B2391"/>
    <w:rsid w:val="002B3284"/>
    <w:rsid w:val="002C07D3"/>
    <w:rsid w:val="002C0B67"/>
    <w:rsid w:val="002C0DB7"/>
    <w:rsid w:val="002D1C09"/>
    <w:rsid w:val="002D1FA4"/>
    <w:rsid w:val="002D5C10"/>
    <w:rsid w:val="002D60DB"/>
    <w:rsid w:val="002D6A54"/>
    <w:rsid w:val="002D7BA0"/>
    <w:rsid w:val="002E3A1E"/>
    <w:rsid w:val="002F134A"/>
    <w:rsid w:val="002F22C4"/>
    <w:rsid w:val="002F26E7"/>
    <w:rsid w:val="002F66D0"/>
    <w:rsid w:val="00302D84"/>
    <w:rsid w:val="00306318"/>
    <w:rsid w:val="00313D1F"/>
    <w:rsid w:val="00313E90"/>
    <w:rsid w:val="00314842"/>
    <w:rsid w:val="00315760"/>
    <w:rsid w:val="003200C2"/>
    <w:rsid w:val="003210B4"/>
    <w:rsid w:val="003231B1"/>
    <w:rsid w:val="0032349D"/>
    <w:rsid w:val="0032708F"/>
    <w:rsid w:val="003273C5"/>
    <w:rsid w:val="00331DFE"/>
    <w:rsid w:val="003330E0"/>
    <w:rsid w:val="00335556"/>
    <w:rsid w:val="0034039A"/>
    <w:rsid w:val="003420AA"/>
    <w:rsid w:val="003435C1"/>
    <w:rsid w:val="00355BEA"/>
    <w:rsid w:val="00361943"/>
    <w:rsid w:val="00361D6C"/>
    <w:rsid w:val="0036392B"/>
    <w:rsid w:val="00365205"/>
    <w:rsid w:val="00367178"/>
    <w:rsid w:val="003723F0"/>
    <w:rsid w:val="00374342"/>
    <w:rsid w:val="00374A4F"/>
    <w:rsid w:val="0037590E"/>
    <w:rsid w:val="00377186"/>
    <w:rsid w:val="00382CC9"/>
    <w:rsid w:val="00383207"/>
    <w:rsid w:val="0038460F"/>
    <w:rsid w:val="003876D9"/>
    <w:rsid w:val="00387AE7"/>
    <w:rsid w:val="003950E6"/>
    <w:rsid w:val="00396F17"/>
    <w:rsid w:val="003972EF"/>
    <w:rsid w:val="00397D2B"/>
    <w:rsid w:val="003A18F7"/>
    <w:rsid w:val="003A1B30"/>
    <w:rsid w:val="003A2F69"/>
    <w:rsid w:val="003A5006"/>
    <w:rsid w:val="003A5396"/>
    <w:rsid w:val="003A6EE2"/>
    <w:rsid w:val="003A6F4A"/>
    <w:rsid w:val="003B7A4F"/>
    <w:rsid w:val="003C0823"/>
    <w:rsid w:val="003C0DA8"/>
    <w:rsid w:val="003C2092"/>
    <w:rsid w:val="003C2615"/>
    <w:rsid w:val="003C56A1"/>
    <w:rsid w:val="003D0318"/>
    <w:rsid w:val="003D5417"/>
    <w:rsid w:val="003E65AA"/>
    <w:rsid w:val="003F1B9F"/>
    <w:rsid w:val="003F51F1"/>
    <w:rsid w:val="00400F92"/>
    <w:rsid w:val="004044F1"/>
    <w:rsid w:val="0041580E"/>
    <w:rsid w:val="00423811"/>
    <w:rsid w:val="00423C96"/>
    <w:rsid w:val="0042424B"/>
    <w:rsid w:val="00424424"/>
    <w:rsid w:val="00430D5D"/>
    <w:rsid w:val="0044505E"/>
    <w:rsid w:val="00445A80"/>
    <w:rsid w:val="00447423"/>
    <w:rsid w:val="00450C0F"/>
    <w:rsid w:val="00452FAB"/>
    <w:rsid w:val="004540C0"/>
    <w:rsid w:val="004541BD"/>
    <w:rsid w:val="00455413"/>
    <w:rsid w:val="0045652C"/>
    <w:rsid w:val="00456813"/>
    <w:rsid w:val="004619C5"/>
    <w:rsid w:val="00462497"/>
    <w:rsid w:val="004655C5"/>
    <w:rsid w:val="00472863"/>
    <w:rsid w:val="00475EF2"/>
    <w:rsid w:val="00477541"/>
    <w:rsid w:val="004805A3"/>
    <w:rsid w:val="00490EB0"/>
    <w:rsid w:val="004933AF"/>
    <w:rsid w:val="0049410F"/>
    <w:rsid w:val="00496007"/>
    <w:rsid w:val="00496B5C"/>
    <w:rsid w:val="004A067C"/>
    <w:rsid w:val="004A4640"/>
    <w:rsid w:val="004A5430"/>
    <w:rsid w:val="004A580A"/>
    <w:rsid w:val="004A5903"/>
    <w:rsid w:val="004A618E"/>
    <w:rsid w:val="004A726C"/>
    <w:rsid w:val="004A7BD6"/>
    <w:rsid w:val="004B0977"/>
    <w:rsid w:val="004B4FD2"/>
    <w:rsid w:val="004C0C49"/>
    <w:rsid w:val="004C229C"/>
    <w:rsid w:val="004C2DE0"/>
    <w:rsid w:val="004D3E97"/>
    <w:rsid w:val="004E0F35"/>
    <w:rsid w:val="004E4B2C"/>
    <w:rsid w:val="004E6E4E"/>
    <w:rsid w:val="004F09BF"/>
    <w:rsid w:val="004F1572"/>
    <w:rsid w:val="004F21AA"/>
    <w:rsid w:val="004F6C28"/>
    <w:rsid w:val="00502238"/>
    <w:rsid w:val="00502327"/>
    <w:rsid w:val="005029A0"/>
    <w:rsid w:val="00507300"/>
    <w:rsid w:val="00511285"/>
    <w:rsid w:val="00514A82"/>
    <w:rsid w:val="005157ED"/>
    <w:rsid w:val="00517734"/>
    <w:rsid w:val="00520904"/>
    <w:rsid w:val="00526270"/>
    <w:rsid w:val="00534210"/>
    <w:rsid w:val="005365EE"/>
    <w:rsid w:val="00542552"/>
    <w:rsid w:val="00542E97"/>
    <w:rsid w:val="00543478"/>
    <w:rsid w:val="00543C02"/>
    <w:rsid w:val="00545600"/>
    <w:rsid w:val="00545E91"/>
    <w:rsid w:val="00546A3B"/>
    <w:rsid w:val="00546A6A"/>
    <w:rsid w:val="00550502"/>
    <w:rsid w:val="00552F73"/>
    <w:rsid w:val="00554A58"/>
    <w:rsid w:val="00560019"/>
    <w:rsid w:val="005630B0"/>
    <w:rsid w:val="005660CD"/>
    <w:rsid w:val="0056746F"/>
    <w:rsid w:val="0056755A"/>
    <w:rsid w:val="00567A2B"/>
    <w:rsid w:val="005720F2"/>
    <w:rsid w:val="0057742E"/>
    <w:rsid w:val="00585D1F"/>
    <w:rsid w:val="00596603"/>
    <w:rsid w:val="005A0F6A"/>
    <w:rsid w:val="005A29DC"/>
    <w:rsid w:val="005A3E6C"/>
    <w:rsid w:val="005A4C44"/>
    <w:rsid w:val="005A6E9D"/>
    <w:rsid w:val="005A7CCE"/>
    <w:rsid w:val="005B14DD"/>
    <w:rsid w:val="005B4380"/>
    <w:rsid w:val="005B52B4"/>
    <w:rsid w:val="005B76A4"/>
    <w:rsid w:val="005C02E3"/>
    <w:rsid w:val="005C080B"/>
    <w:rsid w:val="005C2F75"/>
    <w:rsid w:val="005C3384"/>
    <w:rsid w:val="005C3D5B"/>
    <w:rsid w:val="005C416E"/>
    <w:rsid w:val="005D02EF"/>
    <w:rsid w:val="005D0350"/>
    <w:rsid w:val="005D1C3A"/>
    <w:rsid w:val="005D5403"/>
    <w:rsid w:val="005D69F7"/>
    <w:rsid w:val="005E1154"/>
    <w:rsid w:val="005E22B7"/>
    <w:rsid w:val="005E3AE7"/>
    <w:rsid w:val="005E43DD"/>
    <w:rsid w:val="005E6D98"/>
    <w:rsid w:val="005E75EE"/>
    <w:rsid w:val="005F04CF"/>
    <w:rsid w:val="005F0FAA"/>
    <w:rsid w:val="005F26D5"/>
    <w:rsid w:val="005F32B9"/>
    <w:rsid w:val="005F480A"/>
    <w:rsid w:val="005F56A3"/>
    <w:rsid w:val="005F7E89"/>
    <w:rsid w:val="00600179"/>
    <w:rsid w:val="00602697"/>
    <w:rsid w:val="00603FC0"/>
    <w:rsid w:val="00607928"/>
    <w:rsid w:val="00613F0E"/>
    <w:rsid w:val="0061529B"/>
    <w:rsid w:val="00622970"/>
    <w:rsid w:val="00630214"/>
    <w:rsid w:val="00633193"/>
    <w:rsid w:val="00634BA8"/>
    <w:rsid w:val="00636BF0"/>
    <w:rsid w:val="00640572"/>
    <w:rsid w:val="00643DE6"/>
    <w:rsid w:val="00646B6D"/>
    <w:rsid w:val="00650CF6"/>
    <w:rsid w:val="00650F99"/>
    <w:rsid w:val="006527F0"/>
    <w:rsid w:val="00654774"/>
    <w:rsid w:val="00655908"/>
    <w:rsid w:val="006650AC"/>
    <w:rsid w:val="006654F8"/>
    <w:rsid w:val="00665768"/>
    <w:rsid w:val="00667291"/>
    <w:rsid w:val="006709BD"/>
    <w:rsid w:val="006736AE"/>
    <w:rsid w:val="006754BE"/>
    <w:rsid w:val="00684915"/>
    <w:rsid w:val="0068545A"/>
    <w:rsid w:val="00685F58"/>
    <w:rsid w:val="00686249"/>
    <w:rsid w:val="006869E9"/>
    <w:rsid w:val="00686CAC"/>
    <w:rsid w:val="00687504"/>
    <w:rsid w:val="00692346"/>
    <w:rsid w:val="006934D8"/>
    <w:rsid w:val="00694DD5"/>
    <w:rsid w:val="0069638A"/>
    <w:rsid w:val="006A171F"/>
    <w:rsid w:val="006A331C"/>
    <w:rsid w:val="006A4E5F"/>
    <w:rsid w:val="006A51E8"/>
    <w:rsid w:val="006A7ECF"/>
    <w:rsid w:val="006B282E"/>
    <w:rsid w:val="006B52C5"/>
    <w:rsid w:val="006C2C40"/>
    <w:rsid w:val="006C461D"/>
    <w:rsid w:val="006C5E88"/>
    <w:rsid w:val="006D3FAE"/>
    <w:rsid w:val="006D4600"/>
    <w:rsid w:val="006E0A2C"/>
    <w:rsid w:val="006E202B"/>
    <w:rsid w:val="006E254B"/>
    <w:rsid w:val="006E25DF"/>
    <w:rsid w:val="006E2CCE"/>
    <w:rsid w:val="006E48AA"/>
    <w:rsid w:val="006E57B5"/>
    <w:rsid w:val="006E6B83"/>
    <w:rsid w:val="006F3B24"/>
    <w:rsid w:val="006F4766"/>
    <w:rsid w:val="006F5D1B"/>
    <w:rsid w:val="00702FA0"/>
    <w:rsid w:val="00706C4A"/>
    <w:rsid w:val="0070706B"/>
    <w:rsid w:val="0070716A"/>
    <w:rsid w:val="00715D39"/>
    <w:rsid w:val="00716A46"/>
    <w:rsid w:val="00724218"/>
    <w:rsid w:val="007378EC"/>
    <w:rsid w:val="00737E65"/>
    <w:rsid w:val="0074030A"/>
    <w:rsid w:val="007409A3"/>
    <w:rsid w:val="00746AE1"/>
    <w:rsid w:val="007503A1"/>
    <w:rsid w:val="007523B8"/>
    <w:rsid w:val="007602C9"/>
    <w:rsid w:val="00760CC0"/>
    <w:rsid w:val="00761305"/>
    <w:rsid w:val="0076184A"/>
    <w:rsid w:val="00762043"/>
    <w:rsid w:val="007633C2"/>
    <w:rsid w:val="00765A47"/>
    <w:rsid w:val="00770E82"/>
    <w:rsid w:val="00772AFA"/>
    <w:rsid w:val="00772E94"/>
    <w:rsid w:val="007730C3"/>
    <w:rsid w:val="00773EE2"/>
    <w:rsid w:val="0077752F"/>
    <w:rsid w:val="007802EA"/>
    <w:rsid w:val="00781F96"/>
    <w:rsid w:val="007862A6"/>
    <w:rsid w:val="007863DB"/>
    <w:rsid w:val="00787D51"/>
    <w:rsid w:val="007913A6"/>
    <w:rsid w:val="00793763"/>
    <w:rsid w:val="00794131"/>
    <w:rsid w:val="007944EA"/>
    <w:rsid w:val="00795184"/>
    <w:rsid w:val="0079735A"/>
    <w:rsid w:val="007A4E7E"/>
    <w:rsid w:val="007A6638"/>
    <w:rsid w:val="007A68AB"/>
    <w:rsid w:val="007A7456"/>
    <w:rsid w:val="007A7F96"/>
    <w:rsid w:val="007B028B"/>
    <w:rsid w:val="007B1BC0"/>
    <w:rsid w:val="007B1D71"/>
    <w:rsid w:val="007B4AA6"/>
    <w:rsid w:val="007B6713"/>
    <w:rsid w:val="007B729B"/>
    <w:rsid w:val="007B7AD0"/>
    <w:rsid w:val="007C00D0"/>
    <w:rsid w:val="007C0A83"/>
    <w:rsid w:val="007C13B3"/>
    <w:rsid w:val="007C1682"/>
    <w:rsid w:val="007C1740"/>
    <w:rsid w:val="007C2186"/>
    <w:rsid w:val="007C2869"/>
    <w:rsid w:val="007C494D"/>
    <w:rsid w:val="007C5F77"/>
    <w:rsid w:val="007C6C85"/>
    <w:rsid w:val="007C70A7"/>
    <w:rsid w:val="007C73B9"/>
    <w:rsid w:val="007D0E3B"/>
    <w:rsid w:val="007D31C4"/>
    <w:rsid w:val="007D4D8C"/>
    <w:rsid w:val="007D51F0"/>
    <w:rsid w:val="007E170C"/>
    <w:rsid w:val="007F2233"/>
    <w:rsid w:val="007F631A"/>
    <w:rsid w:val="007F71BF"/>
    <w:rsid w:val="007F752D"/>
    <w:rsid w:val="00803B64"/>
    <w:rsid w:val="00804BA4"/>
    <w:rsid w:val="0080694B"/>
    <w:rsid w:val="00806D92"/>
    <w:rsid w:val="008169FC"/>
    <w:rsid w:val="0081779C"/>
    <w:rsid w:val="00820C8B"/>
    <w:rsid w:val="00820E28"/>
    <w:rsid w:val="00820F03"/>
    <w:rsid w:val="00824EAA"/>
    <w:rsid w:val="00831581"/>
    <w:rsid w:val="00831D0D"/>
    <w:rsid w:val="00832DEE"/>
    <w:rsid w:val="0084755C"/>
    <w:rsid w:val="00847895"/>
    <w:rsid w:val="008549FF"/>
    <w:rsid w:val="00854B9D"/>
    <w:rsid w:val="00855A8A"/>
    <w:rsid w:val="00857D6A"/>
    <w:rsid w:val="00861121"/>
    <w:rsid w:val="008613C8"/>
    <w:rsid w:val="00862121"/>
    <w:rsid w:val="00863D9C"/>
    <w:rsid w:val="00871263"/>
    <w:rsid w:val="00872795"/>
    <w:rsid w:val="00873B7D"/>
    <w:rsid w:val="008741F9"/>
    <w:rsid w:val="00874EEE"/>
    <w:rsid w:val="00875E26"/>
    <w:rsid w:val="008763CE"/>
    <w:rsid w:val="00876CF1"/>
    <w:rsid w:val="0087791C"/>
    <w:rsid w:val="00877BFB"/>
    <w:rsid w:val="0088239D"/>
    <w:rsid w:val="00882E2D"/>
    <w:rsid w:val="0088359C"/>
    <w:rsid w:val="0088576F"/>
    <w:rsid w:val="0089056C"/>
    <w:rsid w:val="00890D43"/>
    <w:rsid w:val="00892A4D"/>
    <w:rsid w:val="008935BB"/>
    <w:rsid w:val="00893BA6"/>
    <w:rsid w:val="008A2EC5"/>
    <w:rsid w:val="008B4277"/>
    <w:rsid w:val="008B4322"/>
    <w:rsid w:val="008B77F5"/>
    <w:rsid w:val="008C0279"/>
    <w:rsid w:val="008C3829"/>
    <w:rsid w:val="008C7F68"/>
    <w:rsid w:val="008D7266"/>
    <w:rsid w:val="008E380C"/>
    <w:rsid w:val="008E5C48"/>
    <w:rsid w:val="008E5DB1"/>
    <w:rsid w:val="008E5DEE"/>
    <w:rsid w:val="008E6B87"/>
    <w:rsid w:val="008F12C0"/>
    <w:rsid w:val="008F25D2"/>
    <w:rsid w:val="008F4423"/>
    <w:rsid w:val="008F50EC"/>
    <w:rsid w:val="008F6889"/>
    <w:rsid w:val="008F7CF3"/>
    <w:rsid w:val="00900016"/>
    <w:rsid w:val="00903728"/>
    <w:rsid w:val="0090626D"/>
    <w:rsid w:val="0090644D"/>
    <w:rsid w:val="009068AB"/>
    <w:rsid w:val="00907DA4"/>
    <w:rsid w:val="009115E2"/>
    <w:rsid w:val="00911A6B"/>
    <w:rsid w:val="00914CC6"/>
    <w:rsid w:val="009161C3"/>
    <w:rsid w:val="00917807"/>
    <w:rsid w:val="009206D2"/>
    <w:rsid w:val="00922303"/>
    <w:rsid w:val="0092751F"/>
    <w:rsid w:val="00932067"/>
    <w:rsid w:val="00932AD1"/>
    <w:rsid w:val="0093594A"/>
    <w:rsid w:val="009365B8"/>
    <w:rsid w:val="00936CAE"/>
    <w:rsid w:val="009421ED"/>
    <w:rsid w:val="009436F5"/>
    <w:rsid w:val="00943A42"/>
    <w:rsid w:val="00952417"/>
    <w:rsid w:val="009539C5"/>
    <w:rsid w:val="009543B4"/>
    <w:rsid w:val="00955D73"/>
    <w:rsid w:val="0096512C"/>
    <w:rsid w:val="0096540A"/>
    <w:rsid w:val="00966C4F"/>
    <w:rsid w:val="00966CBA"/>
    <w:rsid w:val="00971718"/>
    <w:rsid w:val="00971FBB"/>
    <w:rsid w:val="00973D6B"/>
    <w:rsid w:val="0098180A"/>
    <w:rsid w:val="00981C50"/>
    <w:rsid w:val="00982015"/>
    <w:rsid w:val="00994BC7"/>
    <w:rsid w:val="009969AE"/>
    <w:rsid w:val="009A123C"/>
    <w:rsid w:val="009A2021"/>
    <w:rsid w:val="009A39B7"/>
    <w:rsid w:val="009A7D00"/>
    <w:rsid w:val="009B1D59"/>
    <w:rsid w:val="009B2223"/>
    <w:rsid w:val="009B4CC0"/>
    <w:rsid w:val="009B66F4"/>
    <w:rsid w:val="009B70B7"/>
    <w:rsid w:val="009C5D2A"/>
    <w:rsid w:val="009D1D78"/>
    <w:rsid w:val="009D38BD"/>
    <w:rsid w:val="009D7BA0"/>
    <w:rsid w:val="009E267F"/>
    <w:rsid w:val="009F0FA8"/>
    <w:rsid w:val="009F1EA1"/>
    <w:rsid w:val="009F2A72"/>
    <w:rsid w:val="00A05DC2"/>
    <w:rsid w:val="00A06700"/>
    <w:rsid w:val="00A100AC"/>
    <w:rsid w:val="00A14D1A"/>
    <w:rsid w:val="00A16A56"/>
    <w:rsid w:val="00A25D4D"/>
    <w:rsid w:val="00A26B1B"/>
    <w:rsid w:val="00A30948"/>
    <w:rsid w:val="00A31F4D"/>
    <w:rsid w:val="00A331E7"/>
    <w:rsid w:val="00A33F66"/>
    <w:rsid w:val="00A34169"/>
    <w:rsid w:val="00A35FF4"/>
    <w:rsid w:val="00A41C3C"/>
    <w:rsid w:val="00A430C1"/>
    <w:rsid w:val="00A475BB"/>
    <w:rsid w:val="00A47F10"/>
    <w:rsid w:val="00A52B62"/>
    <w:rsid w:val="00A5418A"/>
    <w:rsid w:val="00A55739"/>
    <w:rsid w:val="00A5587D"/>
    <w:rsid w:val="00A57C31"/>
    <w:rsid w:val="00A57DDA"/>
    <w:rsid w:val="00A64567"/>
    <w:rsid w:val="00A66E42"/>
    <w:rsid w:val="00A70823"/>
    <w:rsid w:val="00A76B98"/>
    <w:rsid w:val="00A8081A"/>
    <w:rsid w:val="00A877A0"/>
    <w:rsid w:val="00A91CC3"/>
    <w:rsid w:val="00A94484"/>
    <w:rsid w:val="00A973DC"/>
    <w:rsid w:val="00AA42E3"/>
    <w:rsid w:val="00AB257B"/>
    <w:rsid w:val="00AB2710"/>
    <w:rsid w:val="00AB763D"/>
    <w:rsid w:val="00AB798D"/>
    <w:rsid w:val="00AC2AB4"/>
    <w:rsid w:val="00AC506C"/>
    <w:rsid w:val="00AD184B"/>
    <w:rsid w:val="00AD187C"/>
    <w:rsid w:val="00AD405B"/>
    <w:rsid w:val="00AD46CB"/>
    <w:rsid w:val="00AE027A"/>
    <w:rsid w:val="00AE10EE"/>
    <w:rsid w:val="00AE178B"/>
    <w:rsid w:val="00AE34FA"/>
    <w:rsid w:val="00AE37ED"/>
    <w:rsid w:val="00AF0EDD"/>
    <w:rsid w:val="00AF7706"/>
    <w:rsid w:val="00B007F0"/>
    <w:rsid w:val="00B0566D"/>
    <w:rsid w:val="00B10BD6"/>
    <w:rsid w:val="00B110FA"/>
    <w:rsid w:val="00B11F53"/>
    <w:rsid w:val="00B16055"/>
    <w:rsid w:val="00B1795A"/>
    <w:rsid w:val="00B259A8"/>
    <w:rsid w:val="00B25C0A"/>
    <w:rsid w:val="00B26F8B"/>
    <w:rsid w:val="00B277A3"/>
    <w:rsid w:val="00B27805"/>
    <w:rsid w:val="00B30D99"/>
    <w:rsid w:val="00B32EBB"/>
    <w:rsid w:val="00B33375"/>
    <w:rsid w:val="00B35BD9"/>
    <w:rsid w:val="00B37DE8"/>
    <w:rsid w:val="00B42560"/>
    <w:rsid w:val="00B44BA5"/>
    <w:rsid w:val="00B477CB"/>
    <w:rsid w:val="00B55A78"/>
    <w:rsid w:val="00B71C61"/>
    <w:rsid w:val="00B74E1E"/>
    <w:rsid w:val="00B76641"/>
    <w:rsid w:val="00B76681"/>
    <w:rsid w:val="00B80462"/>
    <w:rsid w:val="00B80970"/>
    <w:rsid w:val="00B81880"/>
    <w:rsid w:val="00B87580"/>
    <w:rsid w:val="00B90230"/>
    <w:rsid w:val="00B9054D"/>
    <w:rsid w:val="00B911F3"/>
    <w:rsid w:val="00B916FC"/>
    <w:rsid w:val="00B926B8"/>
    <w:rsid w:val="00B928E7"/>
    <w:rsid w:val="00B93BC4"/>
    <w:rsid w:val="00B94D6F"/>
    <w:rsid w:val="00BA047C"/>
    <w:rsid w:val="00BA288A"/>
    <w:rsid w:val="00BA40C6"/>
    <w:rsid w:val="00BA544F"/>
    <w:rsid w:val="00BA5F7E"/>
    <w:rsid w:val="00BA6FFA"/>
    <w:rsid w:val="00BA70F6"/>
    <w:rsid w:val="00BB77FB"/>
    <w:rsid w:val="00BC0AAC"/>
    <w:rsid w:val="00BC0C4B"/>
    <w:rsid w:val="00BC18F3"/>
    <w:rsid w:val="00BC1D33"/>
    <w:rsid w:val="00BC43F7"/>
    <w:rsid w:val="00BC7E76"/>
    <w:rsid w:val="00BD0DE3"/>
    <w:rsid w:val="00BE2857"/>
    <w:rsid w:val="00BE3A45"/>
    <w:rsid w:val="00BF12F6"/>
    <w:rsid w:val="00BF17BF"/>
    <w:rsid w:val="00BF2A76"/>
    <w:rsid w:val="00BF53D6"/>
    <w:rsid w:val="00BF5487"/>
    <w:rsid w:val="00BF6C32"/>
    <w:rsid w:val="00BF74C7"/>
    <w:rsid w:val="00C00765"/>
    <w:rsid w:val="00C10464"/>
    <w:rsid w:val="00C11716"/>
    <w:rsid w:val="00C119C2"/>
    <w:rsid w:val="00C16C7F"/>
    <w:rsid w:val="00C176FE"/>
    <w:rsid w:val="00C21B54"/>
    <w:rsid w:val="00C27DBB"/>
    <w:rsid w:val="00C33354"/>
    <w:rsid w:val="00C33DCA"/>
    <w:rsid w:val="00C40967"/>
    <w:rsid w:val="00C40A20"/>
    <w:rsid w:val="00C42811"/>
    <w:rsid w:val="00C42C64"/>
    <w:rsid w:val="00C45A4C"/>
    <w:rsid w:val="00C54E95"/>
    <w:rsid w:val="00C600E2"/>
    <w:rsid w:val="00C611D3"/>
    <w:rsid w:val="00C61934"/>
    <w:rsid w:val="00C635A3"/>
    <w:rsid w:val="00C63D43"/>
    <w:rsid w:val="00C652C8"/>
    <w:rsid w:val="00C66359"/>
    <w:rsid w:val="00C666CD"/>
    <w:rsid w:val="00C67434"/>
    <w:rsid w:val="00C74134"/>
    <w:rsid w:val="00C76268"/>
    <w:rsid w:val="00C823B1"/>
    <w:rsid w:val="00C87A41"/>
    <w:rsid w:val="00C902FC"/>
    <w:rsid w:val="00C90657"/>
    <w:rsid w:val="00C928D7"/>
    <w:rsid w:val="00C95D66"/>
    <w:rsid w:val="00C97586"/>
    <w:rsid w:val="00CA08AC"/>
    <w:rsid w:val="00CA0EE2"/>
    <w:rsid w:val="00CA271E"/>
    <w:rsid w:val="00CA334E"/>
    <w:rsid w:val="00CA397B"/>
    <w:rsid w:val="00CB1488"/>
    <w:rsid w:val="00CB24E7"/>
    <w:rsid w:val="00CB5A34"/>
    <w:rsid w:val="00CB7414"/>
    <w:rsid w:val="00CD08D2"/>
    <w:rsid w:val="00CD12C7"/>
    <w:rsid w:val="00CD2D4D"/>
    <w:rsid w:val="00CD3D99"/>
    <w:rsid w:val="00CD4112"/>
    <w:rsid w:val="00CE19C1"/>
    <w:rsid w:val="00CE20AA"/>
    <w:rsid w:val="00CE253B"/>
    <w:rsid w:val="00CF0815"/>
    <w:rsid w:val="00CF086D"/>
    <w:rsid w:val="00CF3E30"/>
    <w:rsid w:val="00CF5C97"/>
    <w:rsid w:val="00D011C8"/>
    <w:rsid w:val="00D01CFE"/>
    <w:rsid w:val="00D04470"/>
    <w:rsid w:val="00D07C4B"/>
    <w:rsid w:val="00D20F98"/>
    <w:rsid w:val="00D225D8"/>
    <w:rsid w:val="00D22C6C"/>
    <w:rsid w:val="00D23D8B"/>
    <w:rsid w:val="00D31411"/>
    <w:rsid w:val="00D32DFD"/>
    <w:rsid w:val="00D33A2E"/>
    <w:rsid w:val="00D34910"/>
    <w:rsid w:val="00D36ECE"/>
    <w:rsid w:val="00D40FA5"/>
    <w:rsid w:val="00D41862"/>
    <w:rsid w:val="00D41CAF"/>
    <w:rsid w:val="00D4638E"/>
    <w:rsid w:val="00D47E84"/>
    <w:rsid w:val="00D511A1"/>
    <w:rsid w:val="00D54F60"/>
    <w:rsid w:val="00D55917"/>
    <w:rsid w:val="00D5799B"/>
    <w:rsid w:val="00D6407A"/>
    <w:rsid w:val="00D66501"/>
    <w:rsid w:val="00D67869"/>
    <w:rsid w:val="00D67BE9"/>
    <w:rsid w:val="00D700B3"/>
    <w:rsid w:val="00D71BB3"/>
    <w:rsid w:val="00D7494A"/>
    <w:rsid w:val="00D80427"/>
    <w:rsid w:val="00D813AD"/>
    <w:rsid w:val="00D829CB"/>
    <w:rsid w:val="00D86BC0"/>
    <w:rsid w:val="00D872BF"/>
    <w:rsid w:val="00D87769"/>
    <w:rsid w:val="00D908F2"/>
    <w:rsid w:val="00D97D6C"/>
    <w:rsid w:val="00DA0812"/>
    <w:rsid w:val="00DA355E"/>
    <w:rsid w:val="00DB6582"/>
    <w:rsid w:val="00DB6B68"/>
    <w:rsid w:val="00DC153F"/>
    <w:rsid w:val="00DC17F9"/>
    <w:rsid w:val="00DC42C0"/>
    <w:rsid w:val="00DD3B4A"/>
    <w:rsid w:val="00DD3E3B"/>
    <w:rsid w:val="00DD5CB6"/>
    <w:rsid w:val="00DE01F6"/>
    <w:rsid w:val="00DE2998"/>
    <w:rsid w:val="00DE4223"/>
    <w:rsid w:val="00DE47C7"/>
    <w:rsid w:val="00DE6B60"/>
    <w:rsid w:val="00DE7593"/>
    <w:rsid w:val="00DF09FC"/>
    <w:rsid w:val="00DF18EF"/>
    <w:rsid w:val="00E000F2"/>
    <w:rsid w:val="00E027B5"/>
    <w:rsid w:val="00E062B3"/>
    <w:rsid w:val="00E06D10"/>
    <w:rsid w:val="00E10385"/>
    <w:rsid w:val="00E11398"/>
    <w:rsid w:val="00E150B0"/>
    <w:rsid w:val="00E158F1"/>
    <w:rsid w:val="00E16670"/>
    <w:rsid w:val="00E16C6B"/>
    <w:rsid w:val="00E17934"/>
    <w:rsid w:val="00E179A3"/>
    <w:rsid w:val="00E20458"/>
    <w:rsid w:val="00E20A73"/>
    <w:rsid w:val="00E23DAC"/>
    <w:rsid w:val="00E260D2"/>
    <w:rsid w:val="00E27551"/>
    <w:rsid w:val="00E27ACB"/>
    <w:rsid w:val="00E37671"/>
    <w:rsid w:val="00E46639"/>
    <w:rsid w:val="00E470E3"/>
    <w:rsid w:val="00E5002A"/>
    <w:rsid w:val="00E51384"/>
    <w:rsid w:val="00E54840"/>
    <w:rsid w:val="00E56487"/>
    <w:rsid w:val="00E57DC7"/>
    <w:rsid w:val="00E62B48"/>
    <w:rsid w:val="00E66ACB"/>
    <w:rsid w:val="00E71473"/>
    <w:rsid w:val="00E74D5F"/>
    <w:rsid w:val="00E756C6"/>
    <w:rsid w:val="00E76A96"/>
    <w:rsid w:val="00E84E9E"/>
    <w:rsid w:val="00E853F3"/>
    <w:rsid w:val="00E87995"/>
    <w:rsid w:val="00E9023E"/>
    <w:rsid w:val="00E9101D"/>
    <w:rsid w:val="00E92576"/>
    <w:rsid w:val="00EA041A"/>
    <w:rsid w:val="00EA38CC"/>
    <w:rsid w:val="00EB024A"/>
    <w:rsid w:val="00EB1D5C"/>
    <w:rsid w:val="00EB2B95"/>
    <w:rsid w:val="00EB5913"/>
    <w:rsid w:val="00EC2491"/>
    <w:rsid w:val="00EC26BD"/>
    <w:rsid w:val="00ED1162"/>
    <w:rsid w:val="00ED2C42"/>
    <w:rsid w:val="00ED5AF8"/>
    <w:rsid w:val="00EF0AC4"/>
    <w:rsid w:val="00EF3B2B"/>
    <w:rsid w:val="00EF56D7"/>
    <w:rsid w:val="00F0033F"/>
    <w:rsid w:val="00F00EE9"/>
    <w:rsid w:val="00F04457"/>
    <w:rsid w:val="00F10B85"/>
    <w:rsid w:val="00F22C63"/>
    <w:rsid w:val="00F2460B"/>
    <w:rsid w:val="00F25A08"/>
    <w:rsid w:val="00F271C1"/>
    <w:rsid w:val="00F32658"/>
    <w:rsid w:val="00F36A03"/>
    <w:rsid w:val="00F379DD"/>
    <w:rsid w:val="00F40544"/>
    <w:rsid w:val="00F420A8"/>
    <w:rsid w:val="00F4456F"/>
    <w:rsid w:val="00F44F77"/>
    <w:rsid w:val="00F454D4"/>
    <w:rsid w:val="00F4561B"/>
    <w:rsid w:val="00F45AA8"/>
    <w:rsid w:val="00F47244"/>
    <w:rsid w:val="00F47BD7"/>
    <w:rsid w:val="00F50F02"/>
    <w:rsid w:val="00F511A7"/>
    <w:rsid w:val="00F52C3D"/>
    <w:rsid w:val="00F57215"/>
    <w:rsid w:val="00F6020A"/>
    <w:rsid w:val="00F63301"/>
    <w:rsid w:val="00F660F9"/>
    <w:rsid w:val="00F66DAE"/>
    <w:rsid w:val="00F72889"/>
    <w:rsid w:val="00F757CB"/>
    <w:rsid w:val="00F76CC1"/>
    <w:rsid w:val="00F929EC"/>
    <w:rsid w:val="00F9391A"/>
    <w:rsid w:val="00F9601C"/>
    <w:rsid w:val="00FA5F45"/>
    <w:rsid w:val="00FA66B2"/>
    <w:rsid w:val="00FA7522"/>
    <w:rsid w:val="00FA7834"/>
    <w:rsid w:val="00FB2AFE"/>
    <w:rsid w:val="00FB4910"/>
    <w:rsid w:val="00FC2C59"/>
    <w:rsid w:val="00FC5F27"/>
    <w:rsid w:val="00FC6916"/>
    <w:rsid w:val="00FD030C"/>
    <w:rsid w:val="00FD178C"/>
    <w:rsid w:val="00FE2F8A"/>
    <w:rsid w:val="00FE38F0"/>
    <w:rsid w:val="00FE6F37"/>
    <w:rsid w:val="00FE73E8"/>
    <w:rsid w:val="00FF1487"/>
    <w:rsid w:val="00FF49D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93B3BB0"/>
  <w14:discardImageEditingData/>
  <w14:defaultImageDpi w14:val="330"/>
  <w15:chartTrackingRefBased/>
  <w15:docId w15:val="{2D9E7B79-31BD-4C66-BCBD-9AED03C24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8" w:unhideWhenUsed="1" w:qFormat="1"/>
    <w:lsdException w:name="annotation text" w:semiHidden="1" w:unhideWhenUsed="1" w:qFormat="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0E3B"/>
    <w:rPr>
      <w:sz w:val="22"/>
      <w:szCs w:val="22"/>
    </w:rPr>
  </w:style>
  <w:style w:type="paragraph" w:styleId="Heading1">
    <w:name w:val="heading 1"/>
    <w:basedOn w:val="Normal"/>
    <w:next w:val="BodyText"/>
    <w:link w:val="Heading1Char"/>
    <w:qFormat/>
    <w:rsid w:val="00650F99"/>
    <w:pPr>
      <w:keepNext/>
      <w:pBdr>
        <w:bottom w:val="single" w:sz="4" w:space="4" w:color="365F91"/>
      </w:pBdr>
      <w:spacing w:after="480"/>
      <w:outlineLvl w:val="0"/>
    </w:pPr>
    <w:rPr>
      <w:rFonts w:ascii="Georgia" w:hAnsi="Georgia"/>
      <w:bCs/>
      <w:color w:val="1B556B"/>
      <w:sz w:val="48"/>
    </w:rPr>
  </w:style>
  <w:style w:type="paragraph" w:styleId="Heading2">
    <w:name w:val="heading 2"/>
    <w:basedOn w:val="Normal"/>
    <w:next w:val="BodyText"/>
    <w:link w:val="Heading2Char"/>
    <w:qFormat/>
    <w:rsid w:val="00793763"/>
    <w:pPr>
      <w:keepNext/>
      <w:tabs>
        <w:tab w:val="left" w:pos="851"/>
      </w:tabs>
      <w:spacing w:before="360"/>
      <w:outlineLvl w:val="1"/>
    </w:pPr>
    <w:rPr>
      <w:rFonts w:ascii="Georgia" w:hAnsi="Georgia"/>
      <w:b/>
      <w:color w:val="1B556B"/>
      <w:sz w:val="32"/>
    </w:rPr>
  </w:style>
  <w:style w:type="paragraph" w:styleId="Heading3">
    <w:name w:val="heading 3"/>
    <w:basedOn w:val="Normal"/>
    <w:next w:val="BodyText"/>
    <w:link w:val="Heading3Char"/>
    <w:qFormat/>
    <w:rsid w:val="00094891"/>
    <w:pPr>
      <w:keepNext/>
      <w:tabs>
        <w:tab w:val="left" w:pos="851"/>
      </w:tabs>
      <w:spacing w:before="360"/>
      <w:outlineLvl w:val="2"/>
    </w:pPr>
    <w:rPr>
      <w:rFonts w:ascii="Georgia" w:hAnsi="Georgia"/>
      <w:b/>
      <w:color w:val="1B556B"/>
      <w:sz w:val="26"/>
    </w:rPr>
  </w:style>
  <w:style w:type="paragraph" w:styleId="Heading4">
    <w:name w:val="heading 4"/>
    <w:basedOn w:val="Normal"/>
    <w:next w:val="Normal"/>
    <w:link w:val="Heading4Char"/>
    <w:qFormat/>
    <w:rsid w:val="005E75EE"/>
    <w:pPr>
      <w:keepNext/>
      <w:spacing w:before="240"/>
      <w:outlineLvl w:val="3"/>
    </w:pPr>
    <w:rPr>
      <w:b/>
      <w:color w:val="1B556B"/>
    </w:rPr>
  </w:style>
  <w:style w:type="paragraph" w:styleId="Heading5">
    <w:name w:val="heading 5"/>
    <w:basedOn w:val="Normal"/>
    <w:next w:val="Normal"/>
    <w:link w:val="Heading5Char"/>
    <w:qFormat/>
    <w:rsid w:val="00BF2A76"/>
    <w:pPr>
      <w:keepNext/>
      <w:spacing w:before="240"/>
      <w:outlineLvl w:val="4"/>
    </w:pPr>
    <w:rPr>
      <w:bCs/>
      <w:i/>
      <w:iCs/>
      <w:color w:val="1B556B"/>
      <w:szCs w:val="26"/>
    </w:rPr>
  </w:style>
  <w:style w:type="paragraph" w:styleId="Heading6">
    <w:name w:val="heading 6"/>
    <w:basedOn w:val="Normal"/>
    <w:next w:val="Normal"/>
    <w:link w:val="Heading6Char"/>
    <w:unhideWhenUsed/>
    <w:qFormat/>
    <w:rsid w:val="008613C8"/>
    <w:pPr>
      <w:keepNext/>
      <w:keepLines/>
      <w:spacing w:before="240"/>
      <w:outlineLvl w:val="5"/>
    </w:pPr>
    <w:rPr>
      <w:rFonts w:eastAsiaTheme="majorEastAsia" w:cs="Calibri"/>
      <w:b/>
      <w:bCs/>
      <w:color w:val="0E2A35" w:themeColor="accent1" w:themeShade="7F"/>
    </w:rPr>
  </w:style>
  <w:style w:type="paragraph" w:styleId="Heading7">
    <w:name w:val="heading 7"/>
    <w:aliases w:val=" Char15,Char15"/>
    <w:basedOn w:val="Normal"/>
    <w:next w:val="Normal"/>
    <w:link w:val="Heading7Char"/>
    <w:semiHidden/>
    <w:qFormat/>
    <w:rsid w:val="00FB2AFE"/>
    <w:pPr>
      <w:keepNext/>
      <w:keepLines/>
      <w:spacing w:before="200"/>
      <w:outlineLvl w:val="6"/>
    </w:pPr>
    <w:rPr>
      <w:rFonts w:ascii="Arial" w:hAnsi="Arial"/>
      <w:i/>
      <w:iCs/>
      <w:color w:val="404040"/>
      <w:lang w:eastAsia="en-US"/>
    </w:rPr>
  </w:style>
  <w:style w:type="paragraph" w:styleId="Heading8">
    <w:name w:val="heading 8"/>
    <w:aliases w:val=" Char14,Char14"/>
    <w:basedOn w:val="Normal"/>
    <w:next w:val="Normal"/>
    <w:link w:val="Heading8Char"/>
    <w:semiHidden/>
    <w:qFormat/>
    <w:rsid w:val="00FB2AFE"/>
    <w:pPr>
      <w:keepNext/>
      <w:keepLines/>
      <w:spacing w:before="200"/>
      <w:outlineLvl w:val="7"/>
    </w:pPr>
    <w:rPr>
      <w:rFonts w:ascii="Arial" w:hAnsi="Arial"/>
      <w:color w:val="4F81BD"/>
      <w:sz w:val="20"/>
      <w:szCs w:val="20"/>
      <w:lang w:eastAsia="en-US"/>
    </w:rPr>
  </w:style>
  <w:style w:type="paragraph" w:styleId="Heading9">
    <w:name w:val="heading 9"/>
    <w:aliases w:val=" Char13,Char13"/>
    <w:basedOn w:val="Normal"/>
    <w:next w:val="Normal"/>
    <w:link w:val="Heading9Char"/>
    <w:semiHidden/>
    <w:qFormat/>
    <w:rsid w:val="00FB2AFE"/>
    <w:pPr>
      <w:keepNext/>
      <w:keepLines/>
      <w:spacing w:before="200"/>
      <w:outlineLvl w:val="8"/>
    </w:pPr>
    <w:rPr>
      <w:rFonts w:ascii="Arial" w:hAnsi="Arial"/>
      <w:i/>
      <w:iCs/>
      <w:color w:val="40404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RS Table Grid a"/>
    <w:basedOn w:val="TableNormal"/>
    <w:uiPriority w:val="59"/>
    <w:rsid w:val="00B26F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772E94"/>
    <w:pPr>
      <w:jc w:val="center"/>
    </w:pPr>
    <w:rPr>
      <w:rFonts w:ascii="Arial" w:hAnsi="Arial"/>
      <w:sz w:val="16"/>
    </w:rPr>
  </w:style>
  <w:style w:type="paragraph" w:styleId="Footer">
    <w:name w:val="footer"/>
    <w:basedOn w:val="Normal"/>
    <w:link w:val="FooterChar"/>
    <w:semiHidden/>
    <w:rsid w:val="00313E90"/>
    <w:pPr>
      <w:tabs>
        <w:tab w:val="center" w:pos="4513"/>
        <w:tab w:val="right" w:pos="9026"/>
      </w:tabs>
    </w:pPr>
  </w:style>
  <w:style w:type="paragraph" w:customStyle="1" w:styleId="Blockquote">
    <w:name w:val="Blockquote"/>
    <w:basedOn w:val="Normal"/>
    <w:semiHidden/>
    <w:rsid w:val="00772E94"/>
    <w:pPr>
      <w:ind w:left="567" w:right="567"/>
    </w:pPr>
    <w:rPr>
      <w:i/>
      <w:sz w:val="20"/>
    </w:rPr>
  </w:style>
  <w:style w:type="paragraph" w:styleId="BodyText">
    <w:name w:val="Body Text"/>
    <w:basedOn w:val="Normal"/>
    <w:link w:val="BodyTextChar"/>
    <w:qFormat/>
    <w:rsid w:val="00CE19C1"/>
    <w:pPr>
      <w:spacing w:before="120" w:after="120"/>
    </w:pPr>
  </w:style>
  <w:style w:type="paragraph" w:customStyle="1" w:styleId="Box">
    <w:name w:val="Box"/>
    <w:basedOn w:val="Normal"/>
    <w:next w:val="Normal"/>
    <w:uiPriority w:val="2"/>
    <w:semiHidden/>
    <w:rsid w:val="000576EC"/>
    <w:pPr>
      <w:pBdr>
        <w:top w:val="single" w:sz="6" w:space="15" w:color="auto"/>
        <w:left w:val="single" w:sz="6" w:space="15" w:color="auto"/>
        <w:bottom w:val="single" w:sz="6" w:space="15" w:color="auto"/>
        <w:right w:val="single" w:sz="6" w:space="15" w:color="auto"/>
      </w:pBdr>
      <w:ind w:right="284"/>
    </w:pPr>
    <w:rPr>
      <w:sz w:val="20"/>
    </w:rPr>
  </w:style>
  <w:style w:type="paragraph" w:customStyle="1" w:styleId="BoxBullet">
    <w:name w:val="Box Bullet"/>
    <w:basedOn w:val="Box"/>
    <w:uiPriority w:val="2"/>
    <w:semiHidden/>
    <w:rsid w:val="00855A8A"/>
    <w:pPr>
      <w:numPr>
        <w:numId w:val="1"/>
      </w:numPr>
      <w:tabs>
        <w:tab w:val="clear" w:pos="851"/>
        <w:tab w:val="left" w:pos="567"/>
      </w:tabs>
      <w:spacing w:before="120"/>
      <w:ind w:left="567"/>
    </w:pPr>
  </w:style>
  <w:style w:type="paragraph" w:customStyle="1" w:styleId="BoxHeading">
    <w:name w:val="BoxHeading"/>
    <w:basedOn w:val="Box"/>
    <w:next w:val="Box"/>
    <w:uiPriority w:val="2"/>
    <w:semiHidden/>
    <w:rsid w:val="00153F5A"/>
    <w:pPr>
      <w:spacing w:after="240"/>
    </w:pPr>
    <w:rPr>
      <w:b/>
      <w:sz w:val="22"/>
    </w:rPr>
  </w:style>
  <w:style w:type="paragraph" w:customStyle="1" w:styleId="Bullet">
    <w:name w:val="Bullet"/>
    <w:basedOn w:val="Normal"/>
    <w:link w:val="BulletChar"/>
    <w:qFormat/>
    <w:rsid w:val="00AC2AB4"/>
    <w:pPr>
      <w:numPr>
        <w:numId w:val="4"/>
      </w:numPr>
      <w:tabs>
        <w:tab w:val="left" w:pos="397"/>
      </w:tabs>
      <w:spacing w:after="120"/>
    </w:pPr>
  </w:style>
  <w:style w:type="paragraph" w:customStyle="1" w:styleId="Bulletindented">
    <w:name w:val="Bullet indented"/>
    <w:basedOn w:val="Normal"/>
    <w:rsid w:val="00C42C64"/>
    <w:pPr>
      <w:numPr>
        <w:numId w:val="50"/>
      </w:numPr>
      <w:tabs>
        <w:tab w:val="left" w:pos="794"/>
      </w:tabs>
      <w:spacing w:after="120"/>
    </w:pPr>
  </w:style>
  <w:style w:type="paragraph" w:customStyle="1" w:styleId="FooterEven">
    <w:name w:val="Footer Even"/>
    <w:basedOn w:val="Normal"/>
    <w:next w:val="Normal"/>
    <w:uiPriority w:val="5"/>
    <w:rsid w:val="00A34169"/>
    <w:pPr>
      <w:pBdr>
        <w:top w:val="single" w:sz="4" w:space="4" w:color="auto"/>
      </w:pBdr>
      <w:tabs>
        <w:tab w:val="left" w:pos="851"/>
      </w:tabs>
    </w:pPr>
    <w:rPr>
      <w:sz w:val="16"/>
    </w:rPr>
  </w:style>
  <w:style w:type="paragraph" w:customStyle="1" w:styleId="Figure">
    <w:name w:val="Figure"/>
    <w:basedOn w:val="Normal"/>
    <w:next w:val="BodyText"/>
    <w:link w:val="FigureChar"/>
    <w:uiPriority w:val="1"/>
    <w:qFormat/>
    <w:rsid w:val="00854B9D"/>
    <w:pPr>
      <w:keepNext/>
      <w:spacing w:before="120" w:after="120"/>
      <w:ind w:left="1247" w:hanging="1247"/>
    </w:pPr>
    <w:rPr>
      <w:b/>
      <w:sz w:val="18"/>
    </w:rPr>
  </w:style>
  <w:style w:type="character" w:styleId="FootnoteReference">
    <w:name w:val="footnote reference"/>
    <w:semiHidden/>
    <w:rsid w:val="00CE19C1"/>
    <w:rPr>
      <w:rFonts w:ascii="Calibri" w:hAnsi="Calibri"/>
      <w:sz w:val="22"/>
      <w:vertAlign w:val="superscript"/>
    </w:rPr>
  </w:style>
  <w:style w:type="paragraph" w:styleId="FootnoteText">
    <w:name w:val="footnote text"/>
    <w:basedOn w:val="Normal"/>
    <w:link w:val="FootnoteTextChar"/>
    <w:uiPriority w:val="8"/>
    <w:semiHidden/>
    <w:qFormat/>
    <w:rsid w:val="0032349D"/>
    <w:pPr>
      <w:spacing w:after="60"/>
      <w:ind w:left="284" w:hanging="284"/>
    </w:pPr>
    <w:rPr>
      <w:sz w:val="19"/>
    </w:rPr>
  </w:style>
  <w:style w:type="character" w:styleId="Hyperlink">
    <w:name w:val="Hyperlink"/>
    <w:uiPriority w:val="99"/>
    <w:rsid w:val="00A430C1"/>
    <w:rPr>
      <w:color w:val="32809C"/>
      <w:u w:val="none"/>
    </w:rPr>
  </w:style>
  <w:style w:type="paragraph" w:customStyle="1" w:styleId="Imprint">
    <w:name w:val="Imprint"/>
    <w:basedOn w:val="Normal"/>
    <w:next w:val="Normal"/>
    <w:rsid w:val="00A34169"/>
    <w:pPr>
      <w:spacing w:after="240"/>
      <w:jc w:val="center"/>
    </w:pPr>
  </w:style>
  <w:style w:type="paragraph" w:customStyle="1" w:styleId="Noteundertable">
    <w:name w:val="Note under table"/>
    <w:basedOn w:val="Normal"/>
    <w:next w:val="Normal"/>
    <w:link w:val="NoteundertableChar"/>
    <w:uiPriority w:val="2"/>
    <w:qFormat/>
    <w:rsid w:val="006D3FAE"/>
    <w:pPr>
      <w:tabs>
        <w:tab w:val="left" w:pos="567"/>
      </w:tabs>
      <w:spacing w:before="120" w:after="120"/>
      <w:ind w:left="567" w:hanging="567"/>
    </w:pPr>
    <w:rPr>
      <w:sz w:val="18"/>
    </w:rPr>
  </w:style>
  <w:style w:type="paragraph" w:customStyle="1" w:styleId="FooterOdd">
    <w:name w:val="Footer Odd"/>
    <w:basedOn w:val="Normal"/>
    <w:next w:val="Normal"/>
    <w:uiPriority w:val="5"/>
    <w:rsid w:val="00A34169"/>
    <w:pPr>
      <w:pBdr>
        <w:top w:val="single" w:sz="4" w:space="4" w:color="auto"/>
      </w:pBdr>
      <w:tabs>
        <w:tab w:val="right" w:pos="7655"/>
        <w:tab w:val="right" w:pos="8505"/>
      </w:tabs>
    </w:pPr>
    <w:rPr>
      <w:sz w:val="16"/>
    </w:rPr>
  </w:style>
  <w:style w:type="character" w:styleId="PageNumber">
    <w:name w:val="page number"/>
    <w:semiHidden/>
    <w:rsid w:val="007D0E3B"/>
    <w:rPr>
      <w:rFonts w:ascii="Calibri" w:hAnsi="Calibri"/>
      <w:b/>
      <w:sz w:val="22"/>
    </w:rPr>
  </w:style>
  <w:style w:type="paragraph" w:customStyle="1" w:styleId="References">
    <w:name w:val="References"/>
    <w:basedOn w:val="Normal"/>
    <w:link w:val="ReferencesChar"/>
    <w:qFormat/>
    <w:rsid w:val="00772E94"/>
    <w:pPr>
      <w:spacing w:after="120"/>
    </w:pPr>
    <w:rPr>
      <w:sz w:val="20"/>
    </w:rPr>
  </w:style>
  <w:style w:type="paragraph" w:customStyle="1" w:styleId="Source">
    <w:name w:val="Source"/>
    <w:basedOn w:val="Normal"/>
    <w:next w:val="Normal"/>
    <w:uiPriority w:val="3"/>
    <w:qFormat/>
    <w:rsid w:val="00CE19C1"/>
    <w:pPr>
      <w:tabs>
        <w:tab w:val="left" w:pos="680"/>
      </w:tabs>
      <w:spacing w:before="120"/>
    </w:pPr>
    <w:rPr>
      <w:sz w:val="16"/>
    </w:rPr>
  </w:style>
  <w:style w:type="paragraph" w:styleId="Title">
    <w:name w:val="Title"/>
    <w:basedOn w:val="Normal"/>
    <w:link w:val="TitleChar"/>
    <w:uiPriority w:val="2"/>
    <w:semiHidden/>
    <w:qFormat/>
    <w:rsid w:val="00650F99"/>
    <w:pPr>
      <w:spacing w:line="360" w:lineRule="auto"/>
      <w:jc w:val="center"/>
    </w:pPr>
    <w:rPr>
      <w:rFonts w:ascii="Georgia" w:hAnsi="Georgia"/>
      <w:b/>
      <w:color w:val="1B556B"/>
      <w:sz w:val="48"/>
    </w:rPr>
  </w:style>
  <w:style w:type="paragraph" w:styleId="Subtitle">
    <w:name w:val="Subtitle"/>
    <w:basedOn w:val="Title"/>
    <w:link w:val="SubtitleChar"/>
    <w:semiHidden/>
    <w:qFormat/>
    <w:rsid w:val="00772E94"/>
    <w:pPr>
      <w:spacing w:before="600" w:line="240" w:lineRule="auto"/>
      <w:outlineLvl w:val="1"/>
    </w:pPr>
    <w:rPr>
      <w:sz w:val="36"/>
    </w:rPr>
  </w:style>
  <w:style w:type="paragraph" w:customStyle="1" w:styleId="Table">
    <w:name w:val="Table"/>
    <w:basedOn w:val="Normal"/>
    <w:next w:val="BodyText"/>
    <w:link w:val="TableChar"/>
    <w:rsid w:val="007409A3"/>
    <w:pPr>
      <w:keepNext/>
      <w:spacing w:before="120" w:after="120"/>
      <w:ind w:left="1247" w:hanging="1247"/>
    </w:pPr>
    <w:rPr>
      <w:b/>
      <w:sz w:val="18"/>
    </w:rPr>
  </w:style>
  <w:style w:type="paragraph" w:customStyle="1" w:styleId="TableText">
    <w:name w:val="TableText"/>
    <w:basedOn w:val="Normal"/>
    <w:link w:val="TableTextChar"/>
    <w:qFormat/>
    <w:rsid w:val="00CE19C1"/>
    <w:pPr>
      <w:spacing w:before="60" w:after="60"/>
    </w:pPr>
    <w:rPr>
      <w:sz w:val="16"/>
    </w:rPr>
  </w:style>
  <w:style w:type="paragraph" w:customStyle="1" w:styleId="TableTextBold">
    <w:name w:val="TableText Bold"/>
    <w:basedOn w:val="TableText"/>
    <w:link w:val="TableTextBoldChar"/>
    <w:qFormat/>
    <w:rsid w:val="00F511A7"/>
    <w:rPr>
      <w:b/>
      <w:noProof/>
    </w:rPr>
  </w:style>
  <w:style w:type="paragraph" w:styleId="TOC1">
    <w:name w:val="toc 1"/>
    <w:basedOn w:val="Normal"/>
    <w:next w:val="Normal"/>
    <w:uiPriority w:val="39"/>
    <w:qFormat/>
    <w:rsid w:val="003A6EE2"/>
    <w:pPr>
      <w:tabs>
        <w:tab w:val="right" w:pos="8505"/>
      </w:tabs>
      <w:spacing w:before="220"/>
      <w:ind w:right="567"/>
    </w:pPr>
  </w:style>
  <w:style w:type="paragraph" w:styleId="TOC2">
    <w:name w:val="toc 2"/>
    <w:basedOn w:val="Normal"/>
    <w:next w:val="Normal"/>
    <w:uiPriority w:val="39"/>
    <w:qFormat/>
    <w:rsid w:val="007913A6"/>
    <w:pPr>
      <w:tabs>
        <w:tab w:val="left" w:pos="1134"/>
        <w:tab w:val="right" w:pos="8505"/>
      </w:tabs>
      <w:spacing w:before="120"/>
      <w:ind w:left="1021" w:right="567" w:hanging="567"/>
    </w:pPr>
    <w:rPr>
      <w:noProof/>
      <w:sz w:val="20"/>
    </w:rPr>
  </w:style>
  <w:style w:type="paragraph" w:styleId="TOC3">
    <w:name w:val="toc 3"/>
    <w:basedOn w:val="Normal"/>
    <w:next w:val="Normal"/>
    <w:uiPriority w:val="39"/>
    <w:semiHidden/>
    <w:qFormat/>
    <w:rsid w:val="005C3384"/>
    <w:pPr>
      <w:tabs>
        <w:tab w:val="left" w:pos="1701"/>
        <w:tab w:val="right" w:pos="7938"/>
      </w:tabs>
      <w:spacing w:before="120" w:after="120"/>
      <w:ind w:left="1134"/>
    </w:pPr>
    <w:rPr>
      <w:rFonts w:ascii="Arial" w:hAnsi="Arial"/>
      <w:sz w:val="20"/>
    </w:rPr>
  </w:style>
  <w:style w:type="paragraph" w:styleId="Caption">
    <w:name w:val="caption"/>
    <w:basedOn w:val="Normal"/>
    <w:next w:val="Normal"/>
    <w:semiHidden/>
    <w:qFormat/>
    <w:rsid w:val="00CE19C1"/>
    <w:pPr>
      <w:tabs>
        <w:tab w:val="left" w:pos="851"/>
      </w:tabs>
    </w:pPr>
    <w:rPr>
      <w:bCs/>
      <w:sz w:val="18"/>
    </w:rPr>
  </w:style>
  <w:style w:type="paragraph" w:customStyle="1" w:styleId="TableBullet">
    <w:name w:val="TableBullet"/>
    <w:basedOn w:val="TableText"/>
    <w:next w:val="TableText"/>
    <w:qFormat/>
    <w:rsid w:val="00546A6A"/>
    <w:pPr>
      <w:numPr>
        <w:numId w:val="3"/>
      </w:numPr>
    </w:pPr>
    <w:rPr>
      <w:szCs w:val="16"/>
    </w:rPr>
  </w:style>
  <w:style w:type="paragraph" w:styleId="TableofFigures">
    <w:name w:val="table of figures"/>
    <w:basedOn w:val="Normal"/>
    <w:next w:val="Normal"/>
    <w:uiPriority w:val="99"/>
    <w:rsid w:val="00545600"/>
    <w:pPr>
      <w:tabs>
        <w:tab w:val="right" w:pos="8505"/>
      </w:tabs>
      <w:spacing w:before="20" w:after="20"/>
      <w:ind w:left="1134" w:right="567" w:hanging="1134"/>
    </w:pPr>
    <w:rPr>
      <w:sz w:val="20"/>
    </w:rPr>
  </w:style>
  <w:style w:type="paragraph" w:styleId="BalloonText">
    <w:name w:val="Balloon Text"/>
    <w:aliases w:val=" Char6,Char6"/>
    <w:basedOn w:val="Normal"/>
    <w:link w:val="BalloonTextChar"/>
    <w:semiHidden/>
    <w:unhideWhenUsed/>
    <w:rsid w:val="007409A3"/>
    <w:rPr>
      <w:rFonts w:ascii="Segoe UI" w:hAnsi="Segoe UI" w:cs="Segoe UI"/>
      <w:sz w:val="18"/>
      <w:szCs w:val="18"/>
    </w:rPr>
  </w:style>
  <w:style w:type="character" w:customStyle="1" w:styleId="BalloonTextChar">
    <w:name w:val="Balloon Text Char"/>
    <w:aliases w:val=" Char6 Char,Char6 Char"/>
    <w:link w:val="BalloonText"/>
    <w:semiHidden/>
    <w:rsid w:val="007409A3"/>
    <w:rPr>
      <w:rFonts w:ascii="Segoe UI" w:hAnsi="Segoe UI" w:cs="Segoe UI"/>
      <w:sz w:val="18"/>
      <w:szCs w:val="18"/>
    </w:rPr>
  </w:style>
  <w:style w:type="character" w:customStyle="1" w:styleId="Heading1Char">
    <w:name w:val="Heading 1 Char"/>
    <w:link w:val="Heading1"/>
    <w:rsid w:val="00CF5C97"/>
    <w:rPr>
      <w:rFonts w:ascii="Georgia" w:hAnsi="Georgia"/>
      <w:bCs/>
      <w:color w:val="1B556B"/>
      <w:sz w:val="48"/>
      <w:szCs w:val="22"/>
    </w:rPr>
  </w:style>
  <w:style w:type="character" w:customStyle="1" w:styleId="Heading6Char">
    <w:name w:val="Heading 6 Char"/>
    <w:basedOn w:val="DefaultParagraphFont"/>
    <w:link w:val="Heading6"/>
    <w:rsid w:val="008613C8"/>
    <w:rPr>
      <w:rFonts w:eastAsiaTheme="majorEastAsia" w:cs="Calibri"/>
      <w:b/>
      <w:bCs/>
      <w:color w:val="0E2A35" w:themeColor="accent1" w:themeShade="7F"/>
      <w:sz w:val="22"/>
      <w:szCs w:val="22"/>
    </w:rPr>
  </w:style>
  <w:style w:type="character" w:customStyle="1" w:styleId="BodyTextChar">
    <w:name w:val="Body Text Char"/>
    <w:basedOn w:val="DefaultParagraphFont"/>
    <w:link w:val="BodyText"/>
    <w:rsid w:val="009206D2"/>
    <w:rPr>
      <w:sz w:val="22"/>
      <w:szCs w:val="22"/>
    </w:rPr>
  </w:style>
  <w:style w:type="character" w:customStyle="1" w:styleId="BulletChar">
    <w:name w:val="Bullet Char"/>
    <w:link w:val="Bullet"/>
    <w:locked/>
    <w:rsid w:val="009206D2"/>
    <w:rPr>
      <w:sz w:val="22"/>
      <w:szCs w:val="22"/>
    </w:rPr>
  </w:style>
  <w:style w:type="character" w:customStyle="1" w:styleId="Heading7Char">
    <w:name w:val="Heading 7 Char"/>
    <w:aliases w:val=" Char15 Char,Char15 Char"/>
    <w:basedOn w:val="DefaultParagraphFont"/>
    <w:link w:val="Heading7"/>
    <w:semiHidden/>
    <w:rsid w:val="00FB2AFE"/>
    <w:rPr>
      <w:rFonts w:ascii="Arial" w:hAnsi="Arial"/>
      <w:i/>
      <w:iCs/>
      <w:color w:val="404040"/>
      <w:sz w:val="22"/>
      <w:szCs w:val="22"/>
      <w:lang w:eastAsia="en-US"/>
    </w:rPr>
  </w:style>
  <w:style w:type="character" w:customStyle="1" w:styleId="Heading8Char">
    <w:name w:val="Heading 8 Char"/>
    <w:aliases w:val=" Char14 Char,Char14 Char"/>
    <w:basedOn w:val="DefaultParagraphFont"/>
    <w:link w:val="Heading8"/>
    <w:semiHidden/>
    <w:rsid w:val="00FB2AFE"/>
    <w:rPr>
      <w:rFonts w:ascii="Arial" w:hAnsi="Arial"/>
      <w:color w:val="4F81BD"/>
      <w:lang w:eastAsia="en-US"/>
    </w:rPr>
  </w:style>
  <w:style w:type="character" w:customStyle="1" w:styleId="Heading9Char">
    <w:name w:val="Heading 9 Char"/>
    <w:aliases w:val=" Char13 Char,Char13 Char"/>
    <w:basedOn w:val="DefaultParagraphFont"/>
    <w:link w:val="Heading9"/>
    <w:semiHidden/>
    <w:rsid w:val="00FB2AFE"/>
    <w:rPr>
      <w:rFonts w:ascii="Arial" w:hAnsi="Arial"/>
      <w:i/>
      <w:iCs/>
      <w:color w:val="404040"/>
      <w:lang w:eastAsia="en-US"/>
    </w:rPr>
  </w:style>
  <w:style w:type="character" w:customStyle="1" w:styleId="Heading2Char">
    <w:name w:val="Heading 2 Char"/>
    <w:link w:val="Heading2"/>
    <w:rsid w:val="00793763"/>
    <w:rPr>
      <w:rFonts w:ascii="Georgia" w:hAnsi="Georgia"/>
      <w:b/>
      <w:color w:val="1B556B"/>
      <w:sz w:val="32"/>
      <w:szCs w:val="22"/>
    </w:rPr>
  </w:style>
  <w:style w:type="character" w:customStyle="1" w:styleId="Heading3Char">
    <w:name w:val="Heading 3 Char"/>
    <w:link w:val="Heading3"/>
    <w:rsid w:val="00094891"/>
    <w:rPr>
      <w:rFonts w:ascii="Georgia" w:hAnsi="Georgia"/>
      <w:b/>
      <w:color w:val="1B556B"/>
      <w:sz w:val="26"/>
      <w:szCs w:val="22"/>
    </w:rPr>
  </w:style>
  <w:style w:type="character" w:customStyle="1" w:styleId="Heading4Char">
    <w:name w:val="Heading 4 Char"/>
    <w:link w:val="Heading4"/>
    <w:rsid w:val="005E75EE"/>
    <w:rPr>
      <w:b/>
      <w:color w:val="1B556B"/>
      <w:sz w:val="22"/>
      <w:szCs w:val="22"/>
    </w:rPr>
  </w:style>
  <w:style w:type="character" w:customStyle="1" w:styleId="Heading5Char">
    <w:name w:val="Heading 5 Char"/>
    <w:link w:val="Heading5"/>
    <w:rsid w:val="00BF2A76"/>
    <w:rPr>
      <w:bCs/>
      <w:i/>
      <w:iCs/>
      <w:color w:val="1B556B"/>
      <w:sz w:val="22"/>
      <w:szCs w:val="26"/>
    </w:rPr>
  </w:style>
  <w:style w:type="character" w:customStyle="1" w:styleId="HeaderChar">
    <w:name w:val="Header Char"/>
    <w:link w:val="Header"/>
    <w:semiHidden/>
    <w:rsid w:val="00FB2AFE"/>
    <w:rPr>
      <w:rFonts w:ascii="Arial" w:hAnsi="Arial"/>
      <w:sz w:val="16"/>
      <w:szCs w:val="22"/>
    </w:rPr>
  </w:style>
  <w:style w:type="character" w:customStyle="1" w:styleId="FootnoteTextChar">
    <w:name w:val="Footnote Text Char"/>
    <w:link w:val="FootnoteText"/>
    <w:uiPriority w:val="8"/>
    <w:semiHidden/>
    <w:rsid w:val="00E027B5"/>
    <w:rPr>
      <w:sz w:val="19"/>
      <w:szCs w:val="22"/>
    </w:rPr>
  </w:style>
  <w:style w:type="character" w:customStyle="1" w:styleId="TitleChar">
    <w:name w:val="Title Char"/>
    <w:link w:val="Title"/>
    <w:uiPriority w:val="2"/>
    <w:semiHidden/>
    <w:rsid w:val="00053418"/>
    <w:rPr>
      <w:rFonts w:ascii="Georgia" w:hAnsi="Georgia"/>
      <w:b/>
      <w:color w:val="1B556B"/>
      <w:sz w:val="48"/>
      <w:szCs w:val="22"/>
    </w:rPr>
  </w:style>
  <w:style w:type="character" w:customStyle="1" w:styleId="SubtitleChar">
    <w:name w:val="Subtitle Char"/>
    <w:link w:val="Subtitle"/>
    <w:semiHidden/>
    <w:rsid w:val="00E027B5"/>
    <w:rPr>
      <w:rFonts w:ascii="Georgia" w:hAnsi="Georgia"/>
      <w:b/>
      <w:color w:val="1B556B"/>
      <w:sz w:val="36"/>
      <w:szCs w:val="22"/>
    </w:rPr>
  </w:style>
  <w:style w:type="character" w:customStyle="1" w:styleId="FooterChar">
    <w:name w:val="Footer Char"/>
    <w:basedOn w:val="DefaultParagraphFont"/>
    <w:link w:val="Footer"/>
    <w:semiHidden/>
    <w:rsid w:val="00E027B5"/>
    <w:rPr>
      <w:sz w:val="22"/>
      <w:szCs w:val="22"/>
    </w:rPr>
  </w:style>
  <w:style w:type="character" w:customStyle="1" w:styleId="TableTextBoldChar">
    <w:name w:val="TableText Bold Char"/>
    <w:link w:val="TableTextBold"/>
    <w:rsid w:val="00FB2AFE"/>
    <w:rPr>
      <w:b/>
      <w:noProof/>
      <w:sz w:val="16"/>
      <w:szCs w:val="22"/>
    </w:rPr>
  </w:style>
  <w:style w:type="character" w:customStyle="1" w:styleId="TableTextChar">
    <w:name w:val="TableText Char"/>
    <w:link w:val="TableText"/>
    <w:rsid w:val="00FB2AFE"/>
    <w:rPr>
      <w:sz w:val="16"/>
      <w:szCs w:val="22"/>
    </w:rPr>
  </w:style>
  <w:style w:type="character" w:customStyle="1" w:styleId="FigureChar">
    <w:name w:val="Figure Char"/>
    <w:link w:val="Figure"/>
    <w:uiPriority w:val="1"/>
    <w:rsid w:val="00FB2AFE"/>
    <w:rPr>
      <w:b/>
      <w:sz w:val="18"/>
      <w:szCs w:val="22"/>
    </w:rPr>
  </w:style>
  <w:style w:type="character" w:customStyle="1" w:styleId="ReferencesChar">
    <w:name w:val="References Char"/>
    <w:link w:val="References"/>
    <w:rsid w:val="00FB2AFE"/>
    <w:rPr>
      <w:szCs w:val="22"/>
    </w:rPr>
  </w:style>
  <w:style w:type="character" w:customStyle="1" w:styleId="TableChar">
    <w:name w:val="Table Char"/>
    <w:link w:val="Table"/>
    <w:locked/>
    <w:rsid w:val="00FB2AFE"/>
    <w:rPr>
      <w:b/>
      <w:sz w:val="18"/>
      <w:szCs w:val="22"/>
    </w:rPr>
  </w:style>
  <w:style w:type="paragraph" w:styleId="TOCHeading">
    <w:name w:val="TOC Heading"/>
    <w:basedOn w:val="Heading1"/>
    <w:next w:val="Normal"/>
    <w:uiPriority w:val="39"/>
    <w:semiHidden/>
    <w:qFormat/>
    <w:rsid w:val="00FB2AFE"/>
    <w:pPr>
      <w:keepLines/>
      <w:pBdr>
        <w:bottom w:val="none" w:sz="0" w:space="0" w:color="auto"/>
      </w:pBdr>
      <w:spacing w:before="480" w:after="0"/>
      <w:jc w:val="both"/>
      <w:outlineLvl w:val="9"/>
    </w:pPr>
    <w:rPr>
      <w:b/>
      <w:bCs w:val="0"/>
      <w:sz w:val="28"/>
      <w:szCs w:val="28"/>
    </w:rPr>
  </w:style>
  <w:style w:type="character" w:customStyle="1" w:styleId="CommentTextChar">
    <w:name w:val="Comment Text Char"/>
    <w:aliases w:val=" Char7 Char,Char7 Char"/>
    <w:link w:val="CommentText"/>
    <w:uiPriority w:val="99"/>
    <w:semiHidden/>
    <w:qFormat/>
    <w:rsid w:val="007C70A7"/>
    <w:rPr>
      <w:rFonts w:eastAsia="Arial"/>
    </w:rPr>
  </w:style>
  <w:style w:type="paragraph" w:customStyle="1" w:styleId="Default">
    <w:name w:val="Default"/>
    <w:semiHidden/>
    <w:rsid w:val="00FB2AFE"/>
    <w:pPr>
      <w:autoSpaceDE w:val="0"/>
      <w:autoSpaceDN w:val="0"/>
      <w:adjustRightInd w:val="0"/>
    </w:pPr>
    <w:rPr>
      <w:rFonts w:ascii="JBHHJB+Arial,Bold" w:hAnsi="JBHHJB+Arial,Bold" w:cs="JBHHJB+Arial,Bold"/>
      <w:i/>
      <w:color w:val="000000"/>
      <w:sz w:val="24"/>
      <w:szCs w:val="24"/>
    </w:rPr>
  </w:style>
  <w:style w:type="character" w:customStyle="1" w:styleId="EndnoteTextChar">
    <w:name w:val="Endnote Text Char"/>
    <w:aliases w:val=" Char3 Char,Char3 Char"/>
    <w:link w:val="EndnoteText"/>
    <w:semiHidden/>
    <w:rsid w:val="00FB2AFE"/>
    <w:rPr>
      <w:i/>
    </w:rPr>
  </w:style>
  <w:style w:type="paragraph" w:styleId="EndnoteText">
    <w:name w:val="endnote text"/>
    <w:aliases w:val=" Char3,Char3"/>
    <w:basedOn w:val="Normal"/>
    <w:link w:val="EndnoteTextChar"/>
    <w:semiHidden/>
    <w:rsid w:val="00FB2AFE"/>
    <w:pPr>
      <w:spacing w:after="120"/>
    </w:pPr>
    <w:rPr>
      <w:i/>
      <w:sz w:val="20"/>
      <w:szCs w:val="20"/>
    </w:rPr>
  </w:style>
  <w:style w:type="character" w:customStyle="1" w:styleId="EndnoteTextChar1">
    <w:name w:val="Endnote Text Char1"/>
    <w:aliases w:val="Char3 Char1"/>
    <w:basedOn w:val="DefaultParagraphFont"/>
    <w:uiPriority w:val="99"/>
    <w:semiHidden/>
    <w:rsid w:val="00FB2AFE"/>
  </w:style>
  <w:style w:type="character" w:styleId="Emphasis">
    <w:name w:val="Emphasis"/>
    <w:uiPriority w:val="20"/>
    <w:semiHidden/>
    <w:qFormat/>
    <w:rsid w:val="00FB2AFE"/>
    <w:rPr>
      <w:i/>
      <w:iCs/>
    </w:rPr>
  </w:style>
  <w:style w:type="paragraph" w:styleId="Revision">
    <w:name w:val="Revision"/>
    <w:hidden/>
    <w:uiPriority w:val="99"/>
    <w:rsid w:val="00FB2AFE"/>
    <w:rPr>
      <w:rFonts w:ascii="Times New Roman" w:hAnsi="Times New Roman"/>
      <w:i/>
      <w:sz w:val="22"/>
      <w:lang w:eastAsia="en-US"/>
    </w:rPr>
  </w:style>
  <w:style w:type="character" w:customStyle="1" w:styleId="PlainTextChar1">
    <w:name w:val="Plain Text Char1"/>
    <w:aliases w:val="Char2 Char1"/>
    <w:uiPriority w:val="99"/>
    <w:semiHidden/>
    <w:rsid w:val="00FB2AFE"/>
    <w:rPr>
      <w:rFonts w:ascii="Courier New" w:hAnsi="Courier New" w:cs="Courier New"/>
      <w:lang w:eastAsia="en-US"/>
    </w:rPr>
  </w:style>
  <w:style w:type="paragraph" w:styleId="ListBullet">
    <w:name w:val="List Bullet"/>
    <w:basedOn w:val="Normal"/>
    <w:semiHidden/>
    <w:rsid w:val="00FB2AFE"/>
    <w:pPr>
      <w:numPr>
        <w:numId w:val="6"/>
      </w:numPr>
      <w:spacing w:after="120"/>
    </w:pPr>
    <w:rPr>
      <w:rFonts w:ascii="Arial" w:hAnsi="Arial"/>
      <w:sz w:val="24"/>
      <w:lang w:eastAsia="en-US"/>
    </w:rPr>
  </w:style>
  <w:style w:type="paragraph" w:styleId="ListBullet2">
    <w:name w:val="List Bullet 2"/>
    <w:basedOn w:val="ListBullet"/>
    <w:semiHidden/>
    <w:rsid w:val="00FB2AFE"/>
    <w:pPr>
      <w:numPr>
        <w:numId w:val="7"/>
      </w:numPr>
      <w:tabs>
        <w:tab w:val="clear" w:pos="643"/>
        <w:tab w:val="num" w:pos="720"/>
      </w:tabs>
      <w:ind w:left="720"/>
    </w:pPr>
  </w:style>
  <w:style w:type="paragraph" w:styleId="ListBullet3">
    <w:name w:val="List Bullet 3"/>
    <w:basedOn w:val="ListBullet2"/>
    <w:semiHidden/>
    <w:rsid w:val="00FB2AFE"/>
    <w:pPr>
      <w:numPr>
        <w:numId w:val="8"/>
      </w:numPr>
      <w:tabs>
        <w:tab w:val="clear" w:pos="926"/>
        <w:tab w:val="num" w:pos="1080"/>
      </w:tabs>
      <w:ind w:left="720" w:firstLine="0"/>
    </w:pPr>
  </w:style>
  <w:style w:type="paragraph" w:styleId="ListBullet4">
    <w:name w:val="List Bullet 4"/>
    <w:basedOn w:val="ListBullet3"/>
    <w:semiHidden/>
    <w:rsid w:val="00FB2AFE"/>
    <w:pPr>
      <w:numPr>
        <w:numId w:val="9"/>
      </w:numPr>
      <w:tabs>
        <w:tab w:val="clear" w:pos="1209"/>
        <w:tab w:val="left" w:pos="1435"/>
      </w:tabs>
      <w:ind w:left="1434" w:hanging="357"/>
    </w:pPr>
  </w:style>
  <w:style w:type="paragraph" w:styleId="ListBullet5">
    <w:name w:val="List Bullet 5"/>
    <w:basedOn w:val="ListBullet4"/>
    <w:semiHidden/>
    <w:rsid w:val="00FB2AFE"/>
    <w:pPr>
      <w:numPr>
        <w:numId w:val="10"/>
      </w:numPr>
      <w:tabs>
        <w:tab w:val="clear" w:pos="1435"/>
        <w:tab w:val="clear" w:pos="1492"/>
        <w:tab w:val="num" w:pos="1794"/>
      </w:tabs>
      <w:ind w:left="1794"/>
    </w:pPr>
  </w:style>
  <w:style w:type="paragraph" w:customStyle="1" w:styleId="Numberedparagraph">
    <w:name w:val="Numbered paragraph"/>
    <w:basedOn w:val="Normal"/>
    <w:qFormat/>
    <w:rsid w:val="00DF09FC"/>
    <w:pPr>
      <w:numPr>
        <w:numId w:val="12"/>
      </w:numPr>
      <w:spacing w:after="120"/>
    </w:pPr>
    <w:rPr>
      <w:rFonts w:cs="Calibri"/>
      <w:lang w:eastAsia="en-US"/>
    </w:rPr>
  </w:style>
  <w:style w:type="paragraph" w:customStyle="1" w:styleId="Sub-list">
    <w:name w:val="Sub-list"/>
    <w:basedOn w:val="Normal"/>
    <w:semiHidden/>
    <w:rsid w:val="00FB2AFE"/>
    <w:pPr>
      <w:numPr>
        <w:numId w:val="14"/>
      </w:numPr>
      <w:tabs>
        <w:tab w:val="clear" w:pos="397"/>
        <w:tab w:val="num" w:pos="360"/>
        <w:tab w:val="left" w:pos="794"/>
      </w:tabs>
      <w:spacing w:before="60" w:after="120"/>
      <w:ind w:left="794" w:hanging="397"/>
    </w:pPr>
    <w:rPr>
      <w:rFonts w:ascii="Times New Roman" w:hAnsi="Times New Roman"/>
      <w:lang w:eastAsia="en-US"/>
    </w:rPr>
  </w:style>
  <w:style w:type="paragraph" w:customStyle="1" w:styleId="Sub-lista">
    <w:name w:val="Sub-list a"/>
    <w:aliases w:val="b"/>
    <w:basedOn w:val="Normal"/>
    <w:rsid w:val="00FB2AFE"/>
    <w:pPr>
      <w:numPr>
        <w:numId w:val="13"/>
      </w:numPr>
      <w:tabs>
        <w:tab w:val="clear" w:pos="794"/>
        <w:tab w:val="left" w:pos="397"/>
      </w:tabs>
      <w:spacing w:after="120"/>
    </w:pPr>
    <w:rPr>
      <w:rFonts w:cs="Calibri"/>
      <w:lang w:eastAsia="ko-KR"/>
    </w:rPr>
  </w:style>
  <w:style w:type="paragraph" w:customStyle="1" w:styleId="Sub-listi">
    <w:name w:val="Sub-list i"/>
    <w:aliases w:val="ii"/>
    <w:basedOn w:val="BodyText"/>
    <w:rsid w:val="00FB2AFE"/>
    <w:pPr>
      <w:numPr>
        <w:numId w:val="15"/>
      </w:numPr>
      <w:tabs>
        <w:tab w:val="clear" w:pos="1191"/>
        <w:tab w:val="num" w:pos="360"/>
      </w:tabs>
      <w:spacing w:before="0"/>
      <w:ind w:left="397"/>
    </w:pPr>
  </w:style>
  <w:style w:type="paragraph" w:customStyle="1" w:styleId="TableDash">
    <w:name w:val="TableDash"/>
    <w:basedOn w:val="Normal"/>
    <w:rsid w:val="00B71C61"/>
    <w:pPr>
      <w:numPr>
        <w:numId w:val="16"/>
      </w:numPr>
      <w:tabs>
        <w:tab w:val="clear" w:pos="567"/>
        <w:tab w:val="num" w:pos="360"/>
      </w:tabs>
      <w:spacing w:before="20" w:after="20"/>
      <w:ind w:left="568" w:hanging="284"/>
    </w:pPr>
    <w:rPr>
      <w:rFonts w:cs="Arial"/>
      <w:sz w:val="16"/>
      <w:szCs w:val="16"/>
      <w:lang w:eastAsia="en-US"/>
    </w:rPr>
  </w:style>
  <w:style w:type="paragraph" w:customStyle="1" w:styleId="a">
    <w:name w:val="(a)"/>
    <w:aliases w:val="(b) list"/>
    <w:basedOn w:val="Normal"/>
    <w:semiHidden/>
    <w:rsid w:val="00FB2AFE"/>
    <w:pPr>
      <w:numPr>
        <w:numId w:val="11"/>
      </w:numPr>
      <w:tabs>
        <w:tab w:val="clear" w:pos="720"/>
        <w:tab w:val="num" w:pos="360"/>
      </w:tabs>
      <w:ind w:left="360"/>
    </w:pPr>
    <w:rPr>
      <w:rFonts w:ascii="Times New Roman" w:hAnsi="Times New Roman"/>
      <w:szCs w:val="20"/>
    </w:rPr>
  </w:style>
  <w:style w:type="character" w:customStyle="1" w:styleId="NoteundertableChar">
    <w:name w:val="Note under table Char"/>
    <w:link w:val="Noteundertable"/>
    <w:uiPriority w:val="2"/>
    <w:rsid w:val="00FB2AFE"/>
    <w:rPr>
      <w:sz w:val="18"/>
      <w:szCs w:val="22"/>
    </w:rPr>
  </w:style>
  <w:style w:type="character" w:styleId="CommentReference">
    <w:name w:val="annotation reference"/>
    <w:uiPriority w:val="99"/>
    <w:semiHidden/>
    <w:rsid w:val="00FB2AFE"/>
    <w:rPr>
      <w:sz w:val="16"/>
      <w:szCs w:val="16"/>
    </w:rPr>
  </w:style>
  <w:style w:type="character" w:styleId="FollowedHyperlink">
    <w:name w:val="FollowedHyperlink"/>
    <w:uiPriority w:val="99"/>
    <w:semiHidden/>
    <w:rsid w:val="00FB2AFE"/>
    <w:rPr>
      <w:color w:val="800080"/>
      <w:u w:val="none"/>
    </w:rPr>
  </w:style>
  <w:style w:type="paragraph" w:styleId="NormalWeb">
    <w:name w:val="Normal (Web)"/>
    <w:basedOn w:val="Normal"/>
    <w:semiHidden/>
    <w:rsid w:val="00FB2AFE"/>
    <w:pPr>
      <w:widowControl w:val="0"/>
      <w:adjustRightInd w:val="0"/>
      <w:spacing w:before="100" w:beforeAutospacing="1" w:after="100" w:afterAutospacing="1"/>
      <w:textAlignment w:val="baseline"/>
    </w:pPr>
    <w:rPr>
      <w:rFonts w:ascii="Times New Roman" w:hAnsi="Times New Roman"/>
      <w:szCs w:val="24"/>
      <w:lang w:val="en-GB" w:eastAsia="en-GB"/>
    </w:rPr>
  </w:style>
  <w:style w:type="table" w:styleId="Table3Deffects3">
    <w:name w:val="Table 3D effects 3"/>
    <w:basedOn w:val="TableNormal"/>
    <w:rsid w:val="00FB2AFE"/>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otnoteCharacters">
    <w:name w:val="Footnote Characters"/>
    <w:semiHidden/>
    <w:rsid w:val="00FB2AFE"/>
    <w:rPr>
      <w:vertAlign w:val="superscript"/>
    </w:rPr>
  </w:style>
  <w:style w:type="character" w:customStyle="1" w:styleId="EndnoteCharacters">
    <w:name w:val="Endnote Characters"/>
    <w:semiHidden/>
    <w:rsid w:val="00FB2AFE"/>
    <w:rPr>
      <w:vertAlign w:val="superscript"/>
    </w:rPr>
  </w:style>
  <w:style w:type="paragraph" w:customStyle="1" w:styleId="Index">
    <w:name w:val="Index"/>
    <w:basedOn w:val="Normal"/>
    <w:semiHidden/>
    <w:rsid w:val="00FB2AFE"/>
    <w:pPr>
      <w:suppressLineNumbers/>
      <w:suppressAutoHyphens/>
      <w:spacing w:after="120"/>
    </w:pPr>
    <w:rPr>
      <w:rFonts w:ascii="Times New Roman" w:hAnsi="Times New Roman"/>
      <w:lang w:eastAsia="ar-SA"/>
    </w:rPr>
  </w:style>
  <w:style w:type="paragraph" w:styleId="TOC4">
    <w:name w:val="toc 4"/>
    <w:basedOn w:val="Normal"/>
    <w:next w:val="Normal"/>
    <w:uiPriority w:val="39"/>
    <w:semiHidden/>
    <w:rsid w:val="00FB2AFE"/>
    <w:pPr>
      <w:tabs>
        <w:tab w:val="right" w:leader="dot" w:pos="7938"/>
      </w:tabs>
      <w:suppressAutoHyphens/>
      <w:spacing w:before="60" w:after="60"/>
      <w:ind w:left="1701"/>
    </w:pPr>
    <w:rPr>
      <w:rFonts w:ascii="Arial" w:hAnsi="Arial"/>
      <w:sz w:val="18"/>
      <w:lang w:eastAsia="ar-SA"/>
    </w:rPr>
  </w:style>
  <w:style w:type="paragraph" w:styleId="TOC5">
    <w:name w:val="toc 5"/>
    <w:basedOn w:val="Normal"/>
    <w:next w:val="Normal"/>
    <w:uiPriority w:val="39"/>
    <w:semiHidden/>
    <w:rsid w:val="00FB2AFE"/>
    <w:pPr>
      <w:tabs>
        <w:tab w:val="left" w:pos="2268"/>
        <w:tab w:val="right" w:leader="dot" w:pos="7938"/>
      </w:tabs>
      <w:suppressAutoHyphens/>
      <w:spacing w:before="60" w:after="60"/>
      <w:ind w:left="2268"/>
    </w:pPr>
    <w:rPr>
      <w:rFonts w:ascii="Arial" w:hAnsi="Arial"/>
      <w:sz w:val="18"/>
      <w:lang w:eastAsia="ar-SA"/>
    </w:rPr>
  </w:style>
  <w:style w:type="paragraph" w:styleId="TOC6">
    <w:name w:val="toc 6"/>
    <w:basedOn w:val="Normal"/>
    <w:next w:val="Normal"/>
    <w:uiPriority w:val="39"/>
    <w:semiHidden/>
    <w:rsid w:val="00FB2AFE"/>
    <w:pPr>
      <w:tabs>
        <w:tab w:val="left" w:pos="2552"/>
        <w:tab w:val="right" w:leader="dot" w:pos="7938"/>
      </w:tabs>
      <w:suppressAutoHyphens/>
      <w:spacing w:before="60" w:after="60"/>
      <w:ind w:left="2835"/>
    </w:pPr>
    <w:rPr>
      <w:rFonts w:ascii="Arial" w:hAnsi="Arial"/>
      <w:sz w:val="18"/>
      <w:lang w:eastAsia="ar-SA"/>
    </w:rPr>
  </w:style>
  <w:style w:type="paragraph" w:styleId="TOC7">
    <w:name w:val="toc 7"/>
    <w:basedOn w:val="Normal"/>
    <w:next w:val="Normal"/>
    <w:uiPriority w:val="39"/>
    <w:semiHidden/>
    <w:rsid w:val="00FB2AFE"/>
    <w:pPr>
      <w:suppressAutoHyphens/>
      <w:spacing w:after="100" w:line="276" w:lineRule="auto"/>
      <w:ind w:left="1320"/>
    </w:pPr>
    <w:rPr>
      <w:lang w:eastAsia="ar-SA"/>
    </w:rPr>
  </w:style>
  <w:style w:type="paragraph" w:styleId="TOC8">
    <w:name w:val="toc 8"/>
    <w:basedOn w:val="Normal"/>
    <w:next w:val="Normal"/>
    <w:uiPriority w:val="39"/>
    <w:semiHidden/>
    <w:rsid w:val="00FB2AFE"/>
    <w:pPr>
      <w:suppressAutoHyphens/>
      <w:spacing w:after="100" w:line="276" w:lineRule="auto"/>
      <w:ind w:left="1540"/>
    </w:pPr>
    <w:rPr>
      <w:lang w:eastAsia="ar-SA"/>
    </w:rPr>
  </w:style>
  <w:style w:type="paragraph" w:styleId="TOC9">
    <w:name w:val="toc 9"/>
    <w:basedOn w:val="Normal"/>
    <w:next w:val="Normal"/>
    <w:uiPriority w:val="39"/>
    <w:semiHidden/>
    <w:rsid w:val="00FB2AFE"/>
    <w:pPr>
      <w:suppressAutoHyphens/>
      <w:spacing w:after="100" w:line="276" w:lineRule="auto"/>
      <w:ind w:left="1760"/>
    </w:pPr>
    <w:rPr>
      <w:lang w:eastAsia="ar-SA"/>
    </w:rPr>
  </w:style>
  <w:style w:type="paragraph" w:customStyle="1" w:styleId="Glossary">
    <w:name w:val="Glossary"/>
    <w:basedOn w:val="Normal"/>
    <w:semiHidden/>
    <w:rsid w:val="00FB2AFE"/>
    <w:pPr>
      <w:tabs>
        <w:tab w:val="left" w:pos="2835"/>
      </w:tabs>
      <w:suppressAutoHyphens/>
      <w:spacing w:after="120"/>
      <w:ind w:left="2835" w:hanging="2835"/>
    </w:pPr>
    <w:rPr>
      <w:rFonts w:ascii="Times New Roman" w:hAnsi="Times New Roman"/>
      <w:lang w:eastAsia="ar-SA"/>
    </w:rPr>
  </w:style>
  <w:style w:type="paragraph" w:styleId="Bibliography">
    <w:name w:val="Bibliography"/>
    <w:basedOn w:val="Normal"/>
    <w:next w:val="Normal"/>
    <w:uiPriority w:val="37"/>
    <w:semiHidden/>
    <w:rsid w:val="00FB2AFE"/>
    <w:pPr>
      <w:widowControl w:val="0"/>
      <w:adjustRightInd w:val="0"/>
      <w:spacing w:after="120"/>
      <w:textAlignment w:val="baseline"/>
    </w:pPr>
    <w:rPr>
      <w:rFonts w:ascii="Times New Roman" w:hAnsi="Times New Roman"/>
      <w:lang w:eastAsia="en-US"/>
    </w:rPr>
  </w:style>
  <w:style w:type="paragraph" w:styleId="DocumentMap">
    <w:name w:val="Document Map"/>
    <w:aliases w:val=" Char1,Char1"/>
    <w:basedOn w:val="Normal"/>
    <w:link w:val="DocumentMapChar"/>
    <w:semiHidden/>
    <w:rsid w:val="00FB2AFE"/>
    <w:pPr>
      <w:widowControl w:val="0"/>
      <w:adjustRightInd w:val="0"/>
      <w:spacing w:after="120"/>
      <w:textAlignment w:val="baseline"/>
    </w:pPr>
    <w:rPr>
      <w:rFonts w:ascii="Tahoma" w:hAnsi="Tahoma" w:cs="Tahoma"/>
      <w:sz w:val="16"/>
      <w:szCs w:val="16"/>
      <w:lang w:eastAsia="en-US"/>
    </w:rPr>
  </w:style>
  <w:style w:type="character" w:customStyle="1" w:styleId="DocumentMapChar">
    <w:name w:val="Document Map Char"/>
    <w:aliases w:val=" Char1 Char,Char1 Char"/>
    <w:basedOn w:val="DefaultParagraphFont"/>
    <w:link w:val="DocumentMap"/>
    <w:semiHidden/>
    <w:rsid w:val="00FB2AFE"/>
    <w:rPr>
      <w:rFonts w:ascii="Tahoma" w:hAnsi="Tahoma" w:cs="Tahoma"/>
      <w:sz w:val="16"/>
      <w:szCs w:val="16"/>
      <w:lang w:eastAsia="en-US"/>
    </w:rPr>
  </w:style>
  <w:style w:type="paragraph" w:customStyle="1" w:styleId="StyleHeading6Before6pt">
    <w:name w:val="Style Heading 6 + Before:  6 pt"/>
    <w:basedOn w:val="Heading6"/>
    <w:uiPriority w:val="99"/>
    <w:semiHidden/>
    <w:rsid w:val="00FB2AFE"/>
    <w:pPr>
      <w:keepLines w:val="0"/>
      <w:spacing w:before="120"/>
    </w:pPr>
    <w:rPr>
      <w:rFonts w:eastAsia="Times New Roman" w:cs="Times New Roman"/>
      <w:b w:val="0"/>
      <w:iCs/>
      <w:color w:val="auto"/>
      <w:szCs w:val="20"/>
      <w:lang w:eastAsia="en-US"/>
    </w:rPr>
  </w:style>
  <w:style w:type="paragraph" w:styleId="NormalIndent">
    <w:name w:val="Normal Indent"/>
    <w:basedOn w:val="Normal"/>
    <w:uiPriority w:val="99"/>
    <w:semiHidden/>
    <w:rsid w:val="00FB2AFE"/>
    <w:pPr>
      <w:spacing w:after="120"/>
      <w:ind w:left="567" w:right="567"/>
    </w:pPr>
    <w:rPr>
      <w:rFonts w:ascii="Times New Roman" w:hAnsi="Times New Roman"/>
      <w:lang w:eastAsia="en-US"/>
    </w:rPr>
  </w:style>
  <w:style w:type="character" w:styleId="Strong">
    <w:name w:val="Strong"/>
    <w:uiPriority w:val="22"/>
    <w:semiHidden/>
    <w:qFormat/>
    <w:rsid w:val="00FB2AFE"/>
    <w:rPr>
      <w:b/>
      <w:bCs/>
    </w:rPr>
  </w:style>
  <w:style w:type="paragraph" w:styleId="Quote">
    <w:name w:val="Quote"/>
    <w:basedOn w:val="Normal"/>
    <w:next w:val="Normal"/>
    <w:link w:val="QuoteChar"/>
    <w:uiPriority w:val="29"/>
    <w:semiHidden/>
    <w:qFormat/>
    <w:rsid w:val="00FB2AFE"/>
    <w:pPr>
      <w:spacing w:after="120" w:line="260" w:lineRule="atLeast"/>
      <w:ind w:left="567" w:right="567"/>
    </w:pPr>
    <w:rPr>
      <w:iCs/>
      <w:color w:val="000000"/>
      <w:sz w:val="20"/>
      <w:lang w:eastAsia="en-US"/>
    </w:rPr>
  </w:style>
  <w:style w:type="character" w:customStyle="1" w:styleId="QuoteChar">
    <w:name w:val="Quote Char"/>
    <w:basedOn w:val="DefaultParagraphFont"/>
    <w:link w:val="Quote"/>
    <w:uiPriority w:val="29"/>
    <w:semiHidden/>
    <w:rsid w:val="00E027B5"/>
    <w:rPr>
      <w:iCs/>
      <w:color w:val="000000"/>
      <w:szCs w:val="22"/>
      <w:lang w:eastAsia="en-US"/>
    </w:rPr>
  </w:style>
  <w:style w:type="character" w:styleId="BookTitle">
    <w:name w:val="Book Title"/>
    <w:uiPriority w:val="33"/>
    <w:semiHidden/>
    <w:qFormat/>
    <w:rsid w:val="00FB2AFE"/>
    <w:rPr>
      <w:b/>
      <w:bCs/>
      <w:smallCaps/>
      <w:spacing w:val="5"/>
    </w:rPr>
  </w:style>
  <w:style w:type="table" w:styleId="LightList-Accent1">
    <w:name w:val="Light List Accent 1"/>
    <w:basedOn w:val="TableNormal"/>
    <w:uiPriority w:val="61"/>
    <w:rsid w:val="00FB2AFE"/>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Professional"/>
    <w:uiPriority w:val="63"/>
    <w:rsid w:val="00FB2AFE"/>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9543B4"/>
    <w:pPr>
      <w:spacing w:after="120"/>
      <w:jc w:val="both"/>
    </w:pPr>
    <w:rPr>
      <w:sz w:val="16"/>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FB2AFE"/>
    <w:rPr>
      <w:color w:val="808080"/>
    </w:rPr>
  </w:style>
  <w:style w:type="table" w:customStyle="1" w:styleId="LightList-Accent11">
    <w:name w:val="Light List - Accent 11"/>
    <w:basedOn w:val="TableNormal"/>
    <w:next w:val="LightList-Accent1"/>
    <w:uiPriority w:val="61"/>
    <w:rsid w:val="00FB2AFE"/>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IntenseEmphasis">
    <w:name w:val="Intense Emphasis"/>
    <w:uiPriority w:val="21"/>
    <w:semiHidden/>
    <w:qFormat/>
    <w:rsid w:val="00FB2AFE"/>
    <w:rPr>
      <w:b w:val="0"/>
      <w:bCs/>
      <w:i w:val="0"/>
      <w:iCs/>
      <w:color w:val="4F81BD"/>
    </w:rPr>
  </w:style>
  <w:style w:type="paragraph" w:customStyle="1" w:styleId="Tableboldblue">
    <w:name w:val="Table bold blue"/>
    <w:basedOn w:val="Normal"/>
    <w:qFormat/>
    <w:rsid w:val="00FB2AFE"/>
    <w:pPr>
      <w:spacing w:before="60" w:after="60"/>
    </w:pPr>
    <w:rPr>
      <w:b/>
      <w:color w:val="1B556B" w:themeColor="text2"/>
      <w:sz w:val="16"/>
      <w:lang w:eastAsia="en-US"/>
    </w:rPr>
  </w:style>
  <w:style w:type="character" w:customStyle="1" w:styleId="BodyText3Char">
    <w:name w:val="Body Text 3 Char"/>
    <w:link w:val="BodyText3"/>
    <w:uiPriority w:val="99"/>
    <w:semiHidden/>
    <w:rsid w:val="00FB2AFE"/>
    <w:rPr>
      <w:rFonts w:eastAsia="MS Mincho"/>
      <w:sz w:val="16"/>
      <w:szCs w:val="16"/>
      <w:lang w:eastAsia="ja-JP"/>
    </w:rPr>
  </w:style>
  <w:style w:type="paragraph" w:styleId="BodyText3">
    <w:name w:val="Body Text 3"/>
    <w:basedOn w:val="Normal"/>
    <w:link w:val="BodyText3Char"/>
    <w:uiPriority w:val="99"/>
    <w:semiHidden/>
    <w:rsid w:val="00FB2AFE"/>
    <w:pPr>
      <w:spacing w:after="120"/>
    </w:pPr>
    <w:rPr>
      <w:rFonts w:eastAsia="MS Mincho"/>
      <w:sz w:val="16"/>
      <w:szCs w:val="16"/>
      <w:lang w:eastAsia="ja-JP"/>
    </w:rPr>
  </w:style>
  <w:style w:type="character" w:customStyle="1" w:styleId="BodyTextFirstIndentChar">
    <w:name w:val="Body Text First Indent Char"/>
    <w:link w:val="BodyTextFirstIndent"/>
    <w:uiPriority w:val="99"/>
    <w:semiHidden/>
    <w:rsid w:val="00FB2AFE"/>
    <w:rPr>
      <w:rFonts w:eastAsia="MS Mincho"/>
      <w:lang w:eastAsia="ja-JP"/>
    </w:rPr>
  </w:style>
  <w:style w:type="paragraph" w:styleId="BodyTextFirstIndent">
    <w:name w:val="Body Text First Indent"/>
    <w:basedOn w:val="BodyText"/>
    <w:link w:val="BodyTextFirstIndentChar"/>
    <w:uiPriority w:val="99"/>
    <w:semiHidden/>
    <w:rsid w:val="00FB2AFE"/>
    <w:pPr>
      <w:ind w:firstLine="360"/>
    </w:pPr>
    <w:rPr>
      <w:rFonts w:eastAsia="MS Mincho"/>
      <w:sz w:val="20"/>
      <w:szCs w:val="20"/>
      <w:lang w:eastAsia="ja-JP"/>
    </w:rPr>
  </w:style>
  <w:style w:type="character" w:customStyle="1" w:styleId="BodyTextIndentChar">
    <w:name w:val="Body Text Indent Char"/>
    <w:link w:val="BodyTextIndent"/>
    <w:uiPriority w:val="99"/>
    <w:semiHidden/>
    <w:rsid w:val="00FB2AFE"/>
    <w:rPr>
      <w:rFonts w:eastAsia="MS Mincho"/>
      <w:lang w:eastAsia="ja-JP"/>
    </w:rPr>
  </w:style>
  <w:style w:type="paragraph" w:styleId="BodyTextIndent">
    <w:name w:val="Body Text Indent"/>
    <w:basedOn w:val="Normal"/>
    <w:link w:val="BodyTextIndentChar"/>
    <w:uiPriority w:val="99"/>
    <w:semiHidden/>
    <w:rsid w:val="00FB2AFE"/>
    <w:pPr>
      <w:spacing w:after="120"/>
      <w:ind w:left="283"/>
    </w:pPr>
    <w:rPr>
      <w:rFonts w:eastAsia="MS Mincho"/>
      <w:sz w:val="20"/>
      <w:szCs w:val="20"/>
      <w:lang w:eastAsia="ja-JP"/>
    </w:rPr>
  </w:style>
  <w:style w:type="character" w:customStyle="1" w:styleId="BodyTextFirstIndent2Char">
    <w:name w:val="Body Text First Indent 2 Char"/>
    <w:link w:val="BodyTextFirstIndent2"/>
    <w:uiPriority w:val="99"/>
    <w:semiHidden/>
    <w:rsid w:val="00FB2AFE"/>
    <w:rPr>
      <w:rFonts w:eastAsia="MS Mincho"/>
      <w:lang w:eastAsia="ja-JP"/>
    </w:rPr>
  </w:style>
  <w:style w:type="paragraph" w:styleId="BodyTextFirstIndent2">
    <w:name w:val="Body Text First Indent 2"/>
    <w:basedOn w:val="BodyTextIndent"/>
    <w:link w:val="BodyTextFirstIndent2Char"/>
    <w:uiPriority w:val="99"/>
    <w:semiHidden/>
    <w:rsid w:val="00FB2AFE"/>
    <w:pPr>
      <w:spacing w:after="0"/>
      <w:ind w:left="360" w:firstLine="360"/>
    </w:pPr>
  </w:style>
  <w:style w:type="character" w:customStyle="1" w:styleId="BodyTextIndent2Char">
    <w:name w:val="Body Text Indent 2 Char"/>
    <w:link w:val="BodyTextIndent2"/>
    <w:uiPriority w:val="99"/>
    <w:semiHidden/>
    <w:rsid w:val="00FB2AFE"/>
    <w:rPr>
      <w:rFonts w:eastAsia="MS Mincho"/>
      <w:lang w:eastAsia="ja-JP"/>
    </w:rPr>
  </w:style>
  <w:style w:type="paragraph" w:styleId="BodyTextIndent2">
    <w:name w:val="Body Text Indent 2"/>
    <w:basedOn w:val="Normal"/>
    <w:link w:val="BodyTextIndent2Char"/>
    <w:uiPriority w:val="99"/>
    <w:semiHidden/>
    <w:rsid w:val="00FB2AFE"/>
    <w:pPr>
      <w:spacing w:after="120" w:line="480" w:lineRule="auto"/>
      <w:ind w:left="283"/>
    </w:pPr>
    <w:rPr>
      <w:rFonts w:eastAsia="MS Mincho"/>
      <w:sz w:val="20"/>
      <w:szCs w:val="20"/>
      <w:lang w:eastAsia="ja-JP"/>
    </w:rPr>
  </w:style>
  <w:style w:type="character" w:customStyle="1" w:styleId="BodyTextIndent3Char">
    <w:name w:val="Body Text Indent 3 Char"/>
    <w:link w:val="BodyTextIndent3"/>
    <w:uiPriority w:val="99"/>
    <w:semiHidden/>
    <w:rsid w:val="00FB2AFE"/>
    <w:rPr>
      <w:rFonts w:eastAsia="MS Mincho"/>
      <w:sz w:val="16"/>
      <w:szCs w:val="16"/>
      <w:lang w:eastAsia="ja-JP"/>
    </w:rPr>
  </w:style>
  <w:style w:type="paragraph" w:styleId="BodyTextIndent3">
    <w:name w:val="Body Text Indent 3"/>
    <w:basedOn w:val="Normal"/>
    <w:link w:val="BodyTextIndent3Char"/>
    <w:uiPriority w:val="99"/>
    <w:semiHidden/>
    <w:rsid w:val="00FB2AFE"/>
    <w:pPr>
      <w:spacing w:after="120"/>
      <w:ind w:left="283"/>
    </w:pPr>
    <w:rPr>
      <w:rFonts w:eastAsia="MS Mincho"/>
      <w:sz w:val="16"/>
      <w:szCs w:val="16"/>
      <w:lang w:eastAsia="ja-JP"/>
    </w:rPr>
  </w:style>
  <w:style w:type="character" w:customStyle="1" w:styleId="ClosingChar">
    <w:name w:val="Closing Char"/>
    <w:link w:val="Closing"/>
    <w:uiPriority w:val="99"/>
    <w:semiHidden/>
    <w:rsid w:val="00FB2AFE"/>
    <w:rPr>
      <w:rFonts w:eastAsia="MS Mincho"/>
      <w:lang w:eastAsia="ja-JP"/>
    </w:rPr>
  </w:style>
  <w:style w:type="paragraph" w:styleId="Closing">
    <w:name w:val="Closing"/>
    <w:basedOn w:val="Normal"/>
    <w:link w:val="ClosingChar"/>
    <w:uiPriority w:val="99"/>
    <w:semiHidden/>
    <w:rsid w:val="00FB2AFE"/>
    <w:pPr>
      <w:ind w:left="4252"/>
    </w:pPr>
    <w:rPr>
      <w:rFonts w:eastAsia="MS Mincho"/>
      <w:sz w:val="20"/>
      <w:szCs w:val="20"/>
      <w:lang w:eastAsia="ja-JP"/>
    </w:rPr>
  </w:style>
  <w:style w:type="character" w:customStyle="1" w:styleId="ClosingChar1">
    <w:name w:val="Closing Char1"/>
    <w:basedOn w:val="DefaultParagraphFont"/>
    <w:uiPriority w:val="99"/>
    <w:semiHidden/>
    <w:rsid w:val="00FB2AFE"/>
    <w:rPr>
      <w:sz w:val="22"/>
      <w:szCs w:val="22"/>
    </w:rPr>
  </w:style>
  <w:style w:type="character" w:customStyle="1" w:styleId="DateChar">
    <w:name w:val="Date Char"/>
    <w:link w:val="Date"/>
    <w:uiPriority w:val="99"/>
    <w:semiHidden/>
    <w:rsid w:val="00FB2AFE"/>
    <w:rPr>
      <w:rFonts w:eastAsia="MS Mincho"/>
      <w:lang w:eastAsia="ja-JP"/>
    </w:rPr>
  </w:style>
  <w:style w:type="paragraph" w:styleId="Date">
    <w:name w:val="Date"/>
    <w:basedOn w:val="Normal"/>
    <w:next w:val="Normal"/>
    <w:link w:val="DateChar"/>
    <w:uiPriority w:val="99"/>
    <w:semiHidden/>
    <w:rsid w:val="00FB2AFE"/>
    <w:rPr>
      <w:rFonts w:eastAsia="MS Mincho"/>
      <w:sz w:val="20"/>
      <w:szCs w:val="20"/>
      <w:lang w:eastAsia="ja-JP"/>
    </w:rPr>
  </w:style>
  <w:style w:type="character" w:customStyle="1" w:styleId="DateChar1">
    <w:name w:val="Date Char1"/>
    <w:basedOn w:val="DefaultParagraphFont"/>
    <w:uiPriority w:val="99"/>
    <w:semiHidden/>
    <w:rsid w:val="00FB2AFE"/>
    <w:rPr>
      <w:sz w:val="22"/>
      <w:szCs w:val="22"/>
    </w:rPr>
  </w:style>
  <w:style w:type="character" w:customStyle="1" w:styleId="E-mailSignatureChar">
    <w:name w:val="E-mail Signature Char"/>
    <w:link w:val="E-mailSignature"/>
    <w:uiPriority w:val="99"/>
    <w:semiHidden/>
    <w:rsid w:val="00FB2AFE"/>
    <w:rPr>
      <w:rFonts w:eastAsia="MS Mincho"/>
      <w:lang w:eastAsia="ja-JP"/>
    </w:rPr>
  </w:style>
  <w:style w:type="paragraph" w:styleId="E-mailSignature">
    <w:name w:val="E-mail Signature"/>
    <w:basedOn w:val="Normal"/>
    <w:link w:val="E-mailSignatureChar"/>
    <w:uiPriority w:val="99"/>
    <w:semiHidden/>
    <w:rsid w:val="00FB2AFE"/>
    <w:rPr>
      <w:rFonts w:eastAsia="MS Mincho"/>
      <w:sz w:val="20"/>
      <w:szCs w:val="20"/>
      <w:lang w:eastAsia="ja-JP"/>
    </w:rPr>
  </w:style>
  <w:style w:type="character" w:customStyle="1" w:styleId="E-mailSignatureChar1">
    <w:name w:val="E-mail Signature Char1"/>
    <w:basedOn w:val="DefaultParagraphFont"/>
    <w:uiPriority w:val="99"/>
    <w:semiHidden/>
    <w:rsid w:val="00FB2AFE"/>
    <w:rPr>
      <w:sz w:val="22"/>
      <w:szCs w:val="22"/>
    </w:rPr>
  </w:style>
  <w:style w:type="character" w:customStyle="1" w:styleId="HTMLAddressChar">
    <w:name w:val="HTML Address Char"/>
    <w:link w:val="HTMLAddress"/>
    <w:uiPriority w:val="99"/>
    <w:semiHidden/>
    <w:rsid w:val="00FB2AFE"/>
    <w:rPr>
      <w:rFonts w:eastAsia="MS Mincho"/>
      <w:i/>
      <w:iCs/>
      <w:lang w:eastAsia="ja-JP"/>
    </w:rPr>
  </w:style>
  <w:style w:type="paragraph" w:styleId="HTMLAddress">
    <w:name w:val="HTML Address"/>
    <w:basedOn w:val="Normal"/>
    <w:link w:val="HTMLAddressChar"/>
    <w:uiPriority w:val="99"/>
    <w:semiHidden/>
    <w:rsid w:val="00FB2AFE"/>
    <w:rPr>
      <w:rFonts w:eastAsia="MS Mincho"/>
      <w:i/>
      <w:iCs/>
      <w:sz w:val="20"/>
      <w:szCs w:val="20"/>
      <w:lang w:eastAsia="ja-JP"/>
    </w:rPr>
  </w:style>
  <w:style w:type="character" w:customStyle="1" w:styleId="HTMLAddressChar1">
    <w:name w:val="HTML Address Char1"/>
    <w:basedOn w:val="DefaultParagraphFont"/>
    <w:uiPriority w:val="99"/>
    <w:semiHidden/>
    <w:rsid w:val="00FB2AFE"/>
    <w:rPr>
      <w:i/>
      <w:iCs/>
      <w:sz w:val="22"/>
      <w:szCs w:val="22"/>
    </w:rPr>
  </w:style>
  <w:style w:type="character" w:customStyle="1" w:styleId="HTMLPreformattedChar">
    <w:name w:val="HTML Preformatted Char"/>
    <w:link w:val="HTMLPreformatted"/>
    <w:uiPriority w:val="99"/>
    <w:semiHidden/>
    <w:rsid w:val="00FB2AFE"/>
    <w:rPr>
      <w:rFonts w:ascii="Consolas" w:eastAsia="MS Mincho" w:hAnsi="Consolas"/>
      <w:lang w:eastAsia="ja-JP"/>
    </w:rPr>
  </w:style>
  <w:style w:type="paragraph" w:styleId="HTMLPreformatted">
    <w:name w:val="HTML Preformatted"/>
    <w:basedOn w:val="Normal"/>
    <w:link w:val="HTMLPreformattedChar"/>
    <w:uiPriority w:val="99"/>
    <w:semiHidden/>
    <w:rsid w:val="00FB2AFE"/>
    <w:rPr>
      <w:rFonts w:ascii="Consolas" w:eastAsia="MS Mincho" w:hAnsi="Consolas"/>
      <w:sz w:val="20"/>
      <w:szCs w:val="20"/>
      <w:lang w:eastAsia="ja-JP"/>
    </w:rPr>
  </w:style>
  <w:style w:type="character" w:customStyle="1" w:styleId="HTMLPreformattedChar1">
    <w:name w:val="HTML Preformatted Char1"/>
    <w:basedOn w:val="DefaultParagraphFont"/>
    <w:uiPriority w:val="99"/>
    <w:semiHidden/>
    <w:rsid w:val="00FB2AFE"/>
    <w:rPr>
      <w:rFonts w:ascii="Consolas" w:hAnsi="Consolas"/>
    </w:rPr>
  </w:style>
  <w:style w:type="character" w:customStyle="1" w:styleId="MacroTextChar">
    <w:name w:val="Macro Text Char"/>
    <w:link w:val="MacroText"/>
    <w:uiPriority w:val="99"/>
    <w:semiHidden/>
    <w:rsid w:val="00FB2AFE"/>
    <w:rPr>
      <w:rFonts w:ascii="Consolas" w:hAnsi="Consolas"/>
    </w:rPr>
  </w:style>
  <w:style w:type="paragraph" w:styleId="MacroText">
    <w:name w:val="macro"/>
    <w:link w:val="MacroTextChar"/>
    <w:uiPriority w:val="99"/>
    <w:semiHidden/>
    <w:rsid w:val="00FB2AFE"/>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1">
    <w:name w:val="Macro Text Char1"/>
    <w:basedOn w:val="DefaultParagraphFont"/>
    <w:uiPriority w:val="99"/>
    <w:semiHidden/>
    <w:rsid w:val="00FB2AFE"/>
    <w:rPr>
      <w:rFonts w:ascii="Consolas" w:hAnsi="Consolas"/>
    </w:rPr>
  </w:style>
  <w:style w:type="character" w:customStyle="1" w:styleId="MessageHeaderChar">
    <w:name w:val="Message Header Char"/>
    <w:link w:val="MessageHeader"/>
    <w:uiPriority w:val="99"/>
    <w:semiHidden/>
    <w:rsid w:val="00FB2AFE"/>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FB2AF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Mincho" w:hAnsi="Arial"/>
      <w:sz w:val="24"/>
      <w:szCs w:val="24"/>
      <w:lang w:eastAsia="ja-JP"/>
    </w:rPr>
  </w:style>
  <w:style w:type="character" w:customStyle="1" w:styleId="MessageHeaderChar1">
    <w:name w:val="Message Header Char1"/>
    <w:basedOn w:val="DefaultParagraphFont"/>
    <w:uiPriority w:val="99"/>
    <w:semiHidden/>
    <w:rsid w:val="00FB2AFE"/>
    <w:rPr>
      <w:rFonts w:asciiTheme="majorHAnsi" w:eastAsiaTheme="majorEastAsia" w:hAnsiTheme="majorHAnsi" w:cstheme="majorBidi"/>
      <w:sz w:val="24"/>
      <w:szCs w:val="24"/>
      <w:shd w:val="pct20" w:color="auto" w:fill="auto"/>
    </w:rPr>
  </w:style>
  <w:style w:type="paragraph" w:customStyle="1" w:styleId="Heading">
    <w:name w:val="Heading"/>
    <w:basedOn w:val="Heading1"/>
    <w:next w:val="BodyText"/>
    <w:rsid w:val="00892A4D"/>
  </w:style>
  <w:style w:type="character" w:customStyle="1" w:styleId="NoteHeadingChar1">
    <w:name w:val="Note Heading Char1"/>
    <w:basedOn w:val="DefaultParagraphFont"/>
    <w:uiPriority w:val="99"/>
    <w:semiHidden/>
    <w:rsid w:val="00FB2AFE"/>
    <w:rPr>
      <w:sz w:val="22"/>
      <w:szCs w:val="22"/>
    </w:rPr>
  </w:style>
  <w:style w:type="character" w:customStyle="1" w:styleId="SalutationChar">
    <w:name w:val="Salutation Char"/>
    <w:link w:val="Salutation"/>
    <w:uiPriority w:val="99"/>
    <w:semiHidden/>
    <w:rsid w:val="00FB2AFE"/>
    <w:rPr>
      <w:rFonts w:eastAsia="MS Mincho"/>
      <w:lang w:eastAsia="ja-JP"/>
    </w:rPr>
  </w:style>
  <w:style w:type="paragraph" w:styleId="Salutation">
    <w:name w:val="Salutation"/>
    <w:basedOn w:val="Normal"/>
    <w:next w:val="Normal"/>
    <w:link w:val="SalutationChar"/>
    <w:uiPriority w:val="99"/>
    <w:semiHidden/>
    <w:rsid w:val="00FB2AFE"/>
    <w:rPr>
      <w:rFonts w:eastAsia="MS Mincho"/>
      <w:sz w:val="20"/>
      <w:szCs w:val="20"/>
      <w:lang w:eastAsia="ja-JP"/>
    </w:rPr>
  </w:style>
  <w:style w:type="character" w:customStyle="1" w:styleId="SalutationChar1">
    <w:name w:val="Salutation Char1"/>
    <w:basedOn w:val="DefaultParagraphFont"/>
    <w:uiPriority w:val="99"/>
    <w:semiHidden/>
    <w:rsid w:val="00FB2AFE"/>
    <w:rPr>
      <w:sz w:val="22"/>
      <w:szCs w:val="22"/>
    </w:rPr>
  </w:style>
  <w:style w:type="character" w:customStyle="1" w:styleId="SignatureChar">
    <w:name w:val="Signature Char"/>
    <w:link w:val="Signature"/>
    <w:uiPriority w:val="99"/>
    <w:semiHidden/>
    <w:rsid w:val="00FB2AFE"/>
    <w:rPr>
      <w:rFonts w:eastAsia="MS Mincho"/>
      <w:lang w:eastAsia="ja-JP"/>
    </w:rPr>
  </w:style>
  <w:style w:type="paragraph" w:styleId="Signature">
    <w:name w:val="Signature"/>
    <w:basedOn w:val="Normal"/>
    <w:link w:val="SignatureChar"/>
    <w:uiPriority w:val="99"/>
    <w:semiHidden/>
    <w:rsid w:val="00FB2AFE"/>
    <w:pPr>
      <w:ind w:left="4252"/>
    </w:pPr>
    <w:rPr>
      <w:rFonts w:eastAsia="MS Mincho"/>
      <w:sz w:val="20"/>
      <w:szCs w:val="20"/>
      <w:lang w:eastAsia="ja-JP"/>
    </w:rPr>
  </w:style>
  <w:style w:type="character" w:customStyle="1" w:styleId="SignatureChar1">
    <w:name w:val="Signature Char1"/>
    <w:basedOn w:val="DefaultParagraphFont"/>
    <w:uiPriority w:val="99"/>
    <w:semiHidden/>
    <w:rsid w:val="00FB2AFE"/>
    <w:rPr>
      <w:sz w:val="22"/>
      <w:szCs w:val="22"/>
    </w:rPr>
  </w:style>
  <w:style w:type="table" w:customStyle="1" w:styleId="TableGrid1">
    <w:name w:val="Table Grid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unhideWhenUsed/>
    <w:rsid w:val="00FB2AFE"/>
    <w:pPr>
      <w:pBdr>
        <w:top w:val="single" w:sz="2" w:space="10" w:color="4F81BD" w:shadow="1"/>
        <w:left w:val="single" w:sz="2" w:space="10" w:color="4F81BD" w:shadow="1"/>
        <w:bottom w:val="single" w:sz="2" w:space="10" w:color="4F81BD" w:shadow="1"/>
        <w:right w:val="single" w:sz="2" w:space="10" w:color="4F81BD" w:shadow="1"/>
      </w:pBdr>
      <w:spacing w:before="60" w:after="180"/>
      <w:ind w:left="1152" w:right="1152"/>
    </w:pPr>
    <w:rPr>
      <w:rFonts w:ascii="Arial" w:hAnsi="Arial"/>
      <w:i/>
      <w:iCs/>
      <w:color w:val="4F81BD"/>
      <w:szCs w:val="20"/>
      <w:lang w:eastAsia="en-US"/>
    </w:rPr>
  </w:style>
  <w:style w:type="paragraph" w:styleId="EnvelopeAddress">
    <w:name w:val="envelope address"/>
    <w:basedOn w:val="Normal"/>
    <w:uiPriority w:val="99"/>
    <w:semiHidden/>
    <w:unhideWhenUsed/>
    <w:rsid w:val="00FB2AFE"/>
    <w:pPr>
      <w:framePr w:w="7920" w:h="1980" w:hRule="exact" w:hSpace="180" w:wrap="auto" w:hAnchor="page" w:xAlign="center" w:yAlign="bottom"/>
      <w:spacing w:before="60" w:after="180"/>
      <w:ind w:left="2880"/>
    </w:pPr>
    <w:rPr>
      <w:rFonts w:ascii="Arial" w:hAnsi="Arial"/>
      <w:sz w:val="24"/>
      <w:szCs w:val="24"/>
      <w:lang w:eastAsia="en-US"/>
    </w:rPr>
  </w:style>
  <w:style w:type="paragraph" w:styleId="EnvelopeReturn">
    <w:name w:val="envelope return"/>
    <w:basedOn w:val="Normal"/>
    <w:uiPriority w:val="99"/>
    <w:semiHidden/>
    <w:unhideWhenUsed/>
    <w:rsid w:val="00FB2AFE"/>
    <w:pPr>
      <w:spacing w:before="60" w:after="180"/>
    </w:pPr>
    <w:rPr>
      <w:rFonts w:ascii="Arial" w:hAnsi="Arial"/>
      <w:sz w:val="20"/>
      <w:szCs w:val="20"/>
      <w:lang w:eastAsia="en-US"/>
    </w:rPr>
  </w:style>
  <w:style w:type="paragraph" w:styleId="Index1">
    <w:name w:val="index 1"/>
    <w:basedOn w:val="Normal"/>
    <w:next w:val="Normal"/>
    <w:autoRedefine/>
    <w:uiPriority w:val="99"/>
    <w:semiHidden/>
    <w:unhideWhenUsed/>
    <w:rsid w:val="00FB2AFE"/>
    <w:pPr>
      <w:spacing w:before="60" w:after="180"/>
      <w:ind w:left="220" w:hanging="220"/>
    </w:pPr>
    <w:rPr>
      <w:rFonts w:ascii="Times New Roman" w:hAnsi="Times New Roman"/>
      <w:szCs w:val="20"/>
      <w:lang w:eastAsia="en-US"/>
    </w:rPr>
  </w:style>
  <w:style w:type="paragraph" w:styleId="Index2">
    <w:name w:val="index 2"/>
    <w:basedOn w:val="Normal"/>
    <w:next w:val="Normal"/>
    <w:autoRedefine/>
    <w:uiPriority w:val="99"/>
    <w:semiHidden/>
    <w:unhideWhenUsed/>
    <w:rsid w:val="00FB2AFE"/>
    <w:pPr>
      <w:spacing w:before="60" w:after="180"/>
      <w:ind w:left="440" w:hanging="220"/>
    </w:pPr>
    <w:rPr>
      <w:rFonts w:ascii="Times New Roman" w:hAnsi="Times New Roman"/>
      <w:szCs w:val="20"/>
      <w:lang w:eastAsia="en-US"/>
    </w:rPr>
  </w:style>
  <w:style w:type="paragraph" w:styleId="Index3">
    <w:name w:val="index 3"/>
    <w:basedOn w:val="Normal"/>
    <w:next w:val="Normal"/>
    <w:autoRedefine/>
    <w:uiPriority w:val="99"/>
    <w:semiHidden/>
    <w:unhideWhenUsed/>
    <w:rsid w:val="00FB2AFE"/>
    <w:pPr>
      <w:spacing w:before="60" w:after="180"/>
      <w:ind w:left="660" w:hanging="220"/>
    </w:pPr>
    <w:rPr>
      <w:rFonts w:ascii="Times New Roman" w:hAnsi="Times New Roman"/>
      <w:szCs w:val="20"/>
      <w:lang w:eastAsia="en-US"/>
    </w:rPr>
  </w:style>
  <w:style w:type="paragraph" w:styleId="Index4">
    <w:name w:val="index 4"/>
    <w:basedOn w:val="Normal"/>
    <w:next w:val="Normal"/>
    <w:autoRedefine/>
    <w:uiPriority w:val="99"/>
    <w:semiHidden/>
    <w:unhideWhenUsed/>
    <w:rsid w:val="00FB2AFE"/>
    <w:pPr>
      <w:spacing w:before="60" w:after="180"/>
      <w:ind w:left="880" w:hanging="220"/>
    </w:pPr>
    <w:rPr>
      <w:rFonts w:ascii="Times New Roman" w:hAnsi="Times New Roman"/>
      <w:szCs w:val="20"/>
      <w:lang w:eastAsia="en-US"/>
    </w:rPr>
  </w:style>
  <w:style w:type="paragraph" w:styleId="Index5">
    <w:name w:val="index 5"/>
    <w:basedOn w:val="Normal"/>
    <w:next w:val="Normal"/>
    <w:autoRedefine/>
    <w:uiPriority w:val="99"/>
    <w:semiHidden/>
    <w:unhideWhenUsed/>
    <w:rsid w:val="00FB2AFE"/>
    <w:pPr>
      <w:spacing w:before="60" w:after="180"/>
      <w:ind w:left="1100" w:hanging="220"/>
    </w:pPr>
    <w:rPr>
      <w:rFonts w:ascii="Times New Roman" w:hAnsi="Times New Roman"/>
      <w:szCs w:val="20"/>
      <w:lang w:eastAsia="en-US"/>
    </w:rPr>
  </w:style>
  <w:style w:type="paragraph" w:styleId="Index6">
    <w:name w:val="index 6"/>
    <w:basedOn w:val="Normal"/>
    <w:next w:val="Normal"/>
    <w:autoRedefine/>
    <w:uiPriority w:val="99"/>
    <w:semiHidden/>
    <w:unhideWhenUsed/>
    <w:rsid w:val="00FB2AFE"/>
    <w:pPr>
      <w:spacing w:before="60" w:after="180"/>
      <w:ind w:left="1320" w:hanging="220"/>
    </w:pPr>
    <w:rPr>
      <w:rFonts w:ascii="Times New Roman" w:hAnsi="Times New Roman"/>
      <w:szCs w:val="20"/>
      <w:lang w:eastAsia="en-US"/>
    </w:rPr>
  </w:style>
  <w:style w:type="paragraph" w:styleId="Index7">
    <w:name w:val="index 7"/>
    <w:basedOn w:val="Normal"/>
    <w:next w:val="Normal"/>
    <w:autoRedefine/>
    <w:uiPriority w:val="99"/>
    <w:semiHidden/>
    <w:unhideWhenUsed/>
    <w:rsid w:val="00FB2AFE"/>
    <w:pPr>
      <w:spacing w:before="60" w:after="180"/>
      <w:ind w:left="1540" w:hanging="220"/>
    </w:pPr>
    <w:rPr>
      <w:rFonts w:ascii="Times New Roman" w:hAnsi="Times New Roman"/>
      <w:szCs w:val="20"/>
      <w:lang w:eastAsia="en-US"/>
    </w:rPr>
  </w:style>
  <w:style w:type="paragraph" w:styleId="Index8">
    <w:name w:val="index 8"/>
    <w:basedOn w:val="Normal"/>
    <w:next w:val="Normal"/>
    <w:autoRedefine/>
    <w:uiPriority w:val="99"/>
    <w:semiHidden/>
    <w:unhideWhenUsed/>
    <w:rsid w:val="00FB2AFE"/>
    <w:pPr>
      <w:spacing w:before="60" w:after="180"/>
      <w:ind w:left="1760" w:hanging="220"/>
    </w:pPr>
    <w:rPr>
      <w:rFonts w:ascii="Times New Roman" w:hAnsi="Times New Roman"/>
      <w:szCs w:val="20"/>
      <w:lang w:eastAsia="en-US"/>
    </w:rPr>
  </w:style>
  <w:style w:type="paragraph" w:styleId="Index9">
    <w:name w:val="index 9"/>
    <w:basedOn w:val="Normal"/>
    <w:next w:val="Normal"/>
    <w:autoRedefine/>
    <w:uiPriority w:val="99"/>
    <w:semiHidden/>
    <w:unhideWhenUsed/>
    <w:rsid w:val="00FB2AFE"/>
    <w:pPr>
      <w:spacing w:before="60" w:after="180"/>
      <w:ind w:left="1980" w:hanging="220"/>
    </w:pPr>
    <w:rPr>
      <w:rFonts w:ascii="Times New Roman" w:hAnsi="Times New Roman"/>
      <w:szCs w:val="20"/>
      <w:lang w:eastAsia="en-US"/>
    </w:rPr>
  </w:style>
  <w:style w:type="paragraph" w:styleId="IndexHeading">
    <w:name w:val="index heading"/>
    <w:basedOn w:val="Normal"/>
    <w:next w:val="Index1"/>
    <w:uiPriority w:val="99"/>
    <w:semiHidden/>
    <w:unhideWhenUsed/>
    <w:rsid w:val="00FB2AFE"/>
    <w:pPr>
      <w:spacing w:before="60" w:after="180"/>
    </w:pPr>
    <w:rPr>
      <w:rFonts w:ascii="Arial" w:hAnsi="Arial"/>
      <w:b/>
      <w:bCs/>
      <w:szCs w:val="20"/>
      <w:lang w:eastAsia="en-US"/>
    </w:rPr>
  </w:style>
  <w:style w:type="paragraph" w:styleId="List2">
    <w:name w:val="List 2"/>
    <w:basedOn w:val="Normal"/>
    <w:uiPriority w:val="99"/>
    <w:semiHidden/>
    <w:unhideWhenUsed/>
    <w:rsid w:val="00FB2AFE"/>
    <w:pPr>
      <w:spacing w:before="60" w:after="180"/>
      <w:ind w:left="566" w:hanging="283"/>
      <w:contextualSpacing/>
    </w:pPr>
    <w:rPr>
      <w:rFonts w:ascii="Times New Roman" w:hAnsi="Times New Roman"/>
      <w:szCs w:val="20"/>
      <w:lang w:eastAsia="en-US"/>
    </w:rPr>
  </w:style>
  <w:style w:type="paragraph" w:styleId="List3">
    <w:name w:val="List 3"/>
    <w:basedOn w:val="Normal"/>
    <w:uiPriority w:val="99"/>
    <w:semiHidden/>
    <w:unhideWhenUsed/>
    <w:rsid w:val="00FB2AFE"/>
    <w:pPr>
      <w:spacing w:before="60" w:after="180"/>
      <w:ind w:left="849" w:hanging="283"/>
      <w:contextualSpacing/>
    </w:pPr>
    <w:rPr>
      <w:rFonts w:ascii="Times New Roman" w:hAnsi="Times New Roman"/>
      <w:szCs w:val="20"/>
      <w:lang w:eastAsia="en-US"/>
    </w:rPr>
  </w:style>
  <w:style w:type="paragraph" w:styleId="List4">
    <w:name w:val="List 4"/>
    <w:basedOn w:val="Normal"/>
    <w:uiPriority w:val="99"/>
    <w:semiHidden/>
    <w:unhideWhenUsed/>
    <w:rsid w:val="00FB2AFE"/>
    <w:pPr>
      <w:spacing w:before="60" w:after="180"/>
      <w:ind w:left="1132" w:hanging="283"/>
      <w:contextualSpacing/>
    </w:pPr>
    <w:rPr>
      <w:rFonts w:ascii="Times New Roman" w:hAnsi="Times New Roman"/>
      <w:szCs w:val="20"/>
      <w:lang w:eastAsia="en-US"/>
    </w:rPr>
  </w:style>
  <w:style w:type="paragraph" w:styleId="List5">
    <w:name w:val="List 5"/>
    <w:basedOn w:val="Normal"/>
    <w:uiPriority w:val="99"/>
    <w:semiHidden/>
    <w:unhideWhenUsed/>
    <w:rsid w:val="00FB2AFE"/>
    <w:pPr>
      <w:spacing w:before="60" w:after="180"/>
      <w:ind w:left="1415" w:hanging="283"/>
      <w:contextualSpacing/>
    </w:pPr>
    <w:rPr>
      <w:rFonts w:ascii="Times New Roman" w:hAnsi="Times New Roman"/>
      <w:szCs w:val="20"/>
      <w:lang w:eastAsia="en-US"/>
    </w:rPr>
  </w:style>
  <w:style w:type="paragraph" w:styleId="ListContinue">
    <w:name w:val="List Continue"/>
    <w:basedOn w:val="Normal"/>
    <w:uiPriority w:val="99"/>
    <w:semiHidden/>
    <w:unhideWhenUsed/>
    <w:rsid w:val="00FB2AFE"/>
    <w:pPr>
      <w:spacing w:before="60" w:after="120"/>
      <w:ind w:left="283"/>
      <w:contextualSpacing/>
    </w:pPr>
    <w:rPr>
      <w:rFonts w:ascii="Times New Roman" w:hAnsi="Times New Roman"/>
      <w:szCs w:val="20"/>
      <w:lang w:eastAsia="en-US"/>
    </w:rPr>
  </w:style>
  <w:style w:type="paragraph" w:styleId="ListContinue2">
    <w:name w:val="List Continue 2"/>
    <w:basedOn w:val="Normal"/>
    <w:uiPriority w:val="99"/>
    <w:semiHidden/>
    <w:unhideWhenUsed/>
    <w:rsid w:val="00FB2AFE"/>
    <w:pPr>
      <w:spacing w:before="60" w:after="120"/>
      <w:ind w:left="566"/>
      <w:contextualSpacing/>
    </w:pPr>
    <w:rPr>
      <w:rFonts w:ascii="Times New Roman" w:hAnsi="Times New Roman"/>
      <w:szCs w:val="20"/>
      <w:lang w:eastAsia="en-US"/>
    </w:rPr>
  </w:style>
  <w:style w:type="paragraph" w:styleId="ListContinue3">
    <w:name w:val="List Continue 3"/>
    <w:basedOn w:val="Normal"/>
    <w:uiPriority w:val="99"/>
    <w:semiHidden/>
    <w:unhideWhenUsed/>
    <w:rsid w:val="00FB2AFE"/>
    <w:pPr>
      <w:spacing w:before="60" w:after="120"/>
      <w:ind w:left="849"/>
      <w:contextualSpacing/>
    </w:pPr>
    <w:rPr>
      <w:rFonts w:ascii="Times New Roman" w:hAnsi="Times New Roman"/>
      <w:szCs w:val="20"/>
      <w:lang w:eastAsia="en-US"/>
    </w:rPr>
  </w:style>
  <w:style w:type="paragraph" w:styleId="ListContinue4">
    <w:name w:val="List Continue 4"/>
    <w:basedOn w:val="Normal"/>
    <w:uiPriority w:val="99"/>
    <w:semiHidden/>
    <w:unhideWhenUsed/>
    <w:rsid w:val="00FB2AFE"/>
    <w:pPr>
      <w:spacing w:before="60" w:after="120"/>
      <w:ind w:left="1132"/>
      <w:contextualSpacing/>
    </w:pPr>
    <w:rPr>
      <w:rFonts w:ascii="Times New Roman" w:hAnsi="Times New Roman"/>
      <w:szCs w:val="20"/>
      <w:lang w:eastAsia="en-US"/>
    </w:rPr>
  </w:style>
  <w:style w:type="paragraph" w:styleId="ListContinue5">
    <w:name w:val="List Continue 5"/>
    <w:basedOn w:val="Normal"/>
    <w:uiPriority w:val="99"/>
    <w:semiHidden/>
    <w:unhideWhenUsed/>
    <w:rsid w:val="00FB2AFE"/>
    <w:pPr>
      <w:spacing w:before="60" w:after="120"/>
      <w:ind w:left="1415"/>
      <w:contextualSpacing/>
    </w:pPr>
    <w:rPr>
      <w:rFonts w:ascii="Times New Roman" w:hAnsi="Times New Roman"/>
      <w:szCs w:val="20"/>
      <w:lang w:eastAsia="en-US"/>
    </w:rPr>
  </w:style>
  <w:style w:type="paragraph" w:styleId="ListNumber">
    <w:name w:val="List Number"/>
    <w:basedOn w:val="Normal"/>
    <w:uiPriority w:val="99"/>
    <w:semiHidden/>
    <w:unhideWhenUsed/>
    <w:rsid w:val="00FB2AFE"/>
    <w:pPr>
      <w:tabs>
        <w:tab w:val="num" w:pos="360"/>
      </w:tabs>
      <w:spacing w:before="60" w:after="180"/>
      <w:ind w:left="360" w:hanging="360"/>
      <w:contextualSpacing/>
    </w:pPr>
    <w:rPr>
      <w:rFonts w:ascii="Times New Roman" w:hAnsi="Times New Roman"/>
      <w:szCs w:val="20"/>
      <w:lang w:eastAsia="en-US"/>
    </w:rPr>
  </w:style>
  <w:style w:type="paragraph" w:styleId="ListNumber2">
    <w:name w:val="List Number 2"/>
    <w:basedOn w:val="Normal"/>
    <w:uiPriority w:val="99"/>
    <w:semiHidden/>
    <w:unhideWhenUsed/>
    <w:rsid w:val="00FB2AFE"/>
    <w:pPr>
      <w:tabs>
        <w:tab w:val="num" w:pos="643"/>
      </w:tabs>
      <w:spacing w:before="60" w:after="180"/>
      <w:ind w:left="643" w:hanging="360"/>
      <w:contextualSpacing/>
    </w:pPr>
    <w:rPr>
      <w:rFonts w:ascii="Times New Roman" w:hAnsi="Times New Roman"/>
      <w:szCs w:val="20"/>
      <w:lang w:eastAsia="en-US"/>
    </w:rPr>
  </w:style>
  <w:style w:type="paragraph" w:styleId="ListNumber3">
    <w:name w:val="List Number 3"/>
    <w:basedOn w:val="Normal"/>
    <w:uiPriority w:val="99"/>
    <w:semiHidden/>
    <w:unhideWhenUsed/>
    <w:rsid w:val="00FB2AFE"/>
    <w:pPr>
      <w:tabs>
        <w:tab w:val="num" w:pos="926"/>
      </w:tabs>
      <w:spacing w:before="60" w:after="180"/>
      <w:ind w:left="926" w:hanging="360"/>
      <w:contextualSpacing/>
    </w:pPr>
    <w:rPr>
      <w:rFonts w:ascii="Times New Roman" w:hAnsi="Times New Roman"/>
      <w:szCs w:val="20"/>
      <w:lang w:eastAsia="en-US"/>
    </w:rPr>
  </w:style>
  <w:style w:type="paragraph" w:styleId="ListNumber4">
    <w:name w:val="List Number 4"/>
    <w:basedOn w:val="Normal"/>
    <w:uiPriority w:val="99"/>
    <w:semiHidden/>
    <w:unhideWhenUsed/>
    <w:rsid w:val="00FB2AFE"/>
    <w:pPr>
      <w:numPr>
        <w:numId w:val="17"/>
      </w:numPr>
      <w:spacing w:before="60" w:after="180"/>
      <w:contextualSpacing/>
    </w:pPr>
    <w:rPr>
      <w:rFonts w:ascii="Times New Roman" w:hAnsi="Times New Roman"/>
      <w:szCs w:val="20"/>
      <w:lang w:eastAsia="en-US"/>
    </w:rPr>
  </w:style>
  <w:style w:type="paragraph" w:styleId="ListNumber5">
    <w:name w:val="List Number 5"/>
    <w:basedOn w:val="Normal"/>
    <w:uiPriority w:val="99"/>
    <w:semiHidden/>
    <w:unhideWhenUsed/>
    <w:rsid w:val="00FB2AFE"/>
    <w:pPr>
      <w:numPr>
        <w:numId w:val="18"/>
      </w:numPr>
      <w:spacing w:before="60" w:after="180"/>
      <w:contextualSpacing/>
    </w:pPr>
    <w:rPr>
      <w:rFonts w:ascii="Times New Roman" w:hAnsi="Times New Roman"/>
      <w:szCs w:val="20"/>
      <w:lang w:eastAsia="en-US"/>
    </w:rPr>
  </w:style>
  <w:style w:type="paragraph" w:styleId="TableofAuthorities">
    <w:name w:val="table of authorities"/>
    <w:basedOn w:val="Normal"/>
    <w:next w:val="Normal"/>
    <w:uiPriority w:val="99"/>
    <w:semiHidden/>
    <w:unhideWhenUsed/>
    <w:rsid w:val="00FB2AFE"/>
    <w:pPr>
      <w:spacing w:before="60" w:after="180"/>
      <w:ind w:left="220" w:hanging="220"/>
    </w:pPr>
    <w:rPr>
      <w:rFonts w:ascii="Times New Roman" w:hAnsi="Times New Roman"/>
      <w:szCs w:val="20"/>
      <w:lang w:eastAsia="en-US"/>
    </w:rPr>
  </w:style>
  <w:style w:type="paragraph" w:styleId="TOAHeading">
    <w:name w:val="toa heading"/>
    <w:basedOn w:val="Normal"/>
    <w:next w:val="Normal"/>
    <w:uiPriority w:val="99"/>
    <w:semiHidden/>
    <w:rsid w:val="00FB2AFE"/>
    <w:pPr>
      <w:spacing w:before="120" w:after="180"/>
    </w:pPr>
    <w:rPr>
      <w:rFonts w:ascii="Arial" w:hAnsi="Arial"/>
      <w:b/>
      <w:bCs/>
      <w:sz w:val="24"/>
      <w:szCs w:val="24"/>
      <w:lang w:eastAsia="en-US"/>
    </w:rPr>
  </w:style>
  <w:style w:type="paragraph" w:customStyle="1" w:styleId="Bulletindent">
    <w:name w:val="Bullet indent"/>
    <w:basedOn w:val="Bullet"/>
    <w:next w:val="BodyText"/>
    <w:semiHidden/>
    <w:qFormat/>
    <w:rsid w:val="00FB2AFE"/>
    <w:pPr>
      <w:numPr>
        <w:numId w:val="2"/>
      </w:numPr>
      <w:tabs>
        <w:tab w:val="left" w:pos="794"/>
      </w:tabs>
      <w:ind w:left="794"/>
    </w:pPr>
  </w:style>
  <w:style w:type="paragraph" w:customStyle="1" w:styleId="Acknowledgements">
    <w:name w:val="Acknowledgements"/>
    <w:basedOn w:val="Normal"/>
    <w:semiHidden/>
    <w:rsid w:val="00FB2AFE"/>
    <w:pPr>
      <w:spacing w:before="60" w:after="60"/>
    </w:pPr>
    <w:rPr>
      <w:rFonts w:ascii="Times New Roman" w:hAnsi="Times New Roman"/>
      <w:szCs w:val="20"/>
      <w:lang w:eastAsia="en-US"/>
    </w:rPr>
  </w:style>
  <w:style w:type="character" w:customStyle="1" w:styleId="PlainTextChar">
    <w:name w:val="Plain Text Char"/>
    <w:aliases w:val=" Char2 Char,Char2 Char"/>
    <w:link w:val="PlainText"/>
    <w:uiPriority w:val="99"/>
    <w:semiHidden/>
    <w:rsid w:val="00FB2AFE"/>
    <w:rPr>
      <w:rFonts w:ascii="Verdana" w:hAnsi="Verdana"/>
      <w:szCs w:val="21"/>
    </w:rPr>
  </w:style>
  <w:style w:type="paragraph" w:styleId="PlainText">
    <w:name w:val="Plain Text"/>
    <w:aliases w:val=" Char2,Char2"/>
    <w:basedOn w:val="Normal"/>
    <w:link w:val="PlainTextChar"/>
    <w:uiPriority w:val="99"/>
    <w:semiHidden/>
    <w:rsid w:val="00FB2AFE"/>
    <w:pPr>
      <w:spacing w:after="120"/>
    </w:pPr>
    <w:rPr>
      <w:rFonts w:ascii="Verdana" w:hAnsi="Verdana"/>
      <w:sz w:val="20"/>
      <w:szCs w:val="21"/>
    </w:rPr>
  </w:style>
  <w:style w:type="character" w:customStyle="1" w:styleId="PlainTextChar2">
    <w:name w:val="Plain Text Char2"/>
    <w:basedOn w:val="DefaultParagraphFont"/>
    <w:uiPriority w:val="99"/>
    <w:semiHidden/>
    <w:rsid w:val="00FB2AFE"/>
    <w:rPr>
      <w:rFonts w:ascii="Consolas" w:hAnsi="Consolas"/>
      <w:sz w:val="21"/>
      <w:szCs w:val="21"/>
    </w:rPr>
  </w:style>
  <w:style w:type="paragraph" w:styleId="ListParagraph">
    <w:name w:val="List Paragraph"/>
    <w:aliases w:val="Bullet Points,Rec para,List Paragraph1,Recommendation,List Paragraph11,Dot pt,F5 List Paragraph,No Spacing1,List Paragraph Char Char Char,Indicator Text,Numbered Para 1,Colorful List - Accent 11,Bullet 1,MAIN CONTENT,List Paragraph12"/>
    <w:basedOn w:val="Normal"/>
    <w:link w:val="ListParagraphChar"/>
    <w:uiPriority w:val="34"/>
    <w:semiHidden/>
    <w:qFormat/>
    <w:rsid w:val="00FB2AFE"/>
    <w:pPr>
      <w:spacing w:after="120"/>
      <w:ind w:left="720"/>
      <w:contextualSpacing/>
    </w:pPr>
    <w:rPr>
      <w:rFonts w:eastAsia="Malgun Gothic"/>
      <w:sz w:val="20"/>
      <w:lang w:eastAsia="en-US"/>
    </w:rPr>
  </w:style>
  <w:style w:type="character" w:styleId="EndnoteReference">
    <w:name w:val="endnote reference"/>
    <w:uiPriority w:val="99"/>
    <w:semiHidden/>
    <w:unhideWhenUsed/>
    <w:rsid w:val="00FB2AFE"/>
    <w:rPr>
      <w:vertAlign w:val="superscript"/>
    </w:rPr>
  </w:style>
  <w:style w:type="paragraph" w:customStyle="1" w:styleId="TableHeading">
    <w:name w:val="Table Heading"/>
    <w:basedOn w:val="TableText"/>
    <w:semiHidden/>
    <w:qFormat/>
    <w:rsid w:val="00FB2AFE"/>
    <w:pPr>
      <w:tabs>
        <w:tab w:val="left" w:pos="567"/>
      </w:tabs>
    </w:pPr>
    <w:rPr>
      <w:rFonts w:ascii="Arial Bold" w:hAnsi="Arial Bold"/>
      <w:b/>
      <w:noProof/>
      <w:szCs w:val="16"/>
    </w:rPr>
  </w:style>
  <w:style w:type="table" w:styleId="ColorfulList-Accent6">
    <w:name w:val="Colorful List Accent 6"/>
    <w:basedOn w:val="TableNormal"/>
    <w:uiPriority w:val="72"/>
    <w:rsid w:val="00FB2AFE"/>
    <w:rPr>
      <w:rFonts w:ascii="Arial" w:hAnsi="Arial"/>
      <w:color w:val="000000"/>
      <w:sz w:val="16"/>
    </w:rPr>
    <w:tblPr>
      <w:tblStyleRowBandSize w:val="1"/>
      <w:tblStyleColBandSize w:val="1"/>
    </w:tblPr>
    <w:tcPr>
      <w:shd w:val="clear" w:color="auto" w:fill="FFFFFF"/>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cPr>
    </w:tblStylePr>
    <w:tblStylePr w:type="band1Horz">
      <w:tblPr/>
      <w:tcPr>
        <w:shd w:val="clear" w:color="auto" w:fill="FFFFFF"/>
      </w:tcPr>
    </w:tblStylePr>
    <w:tblStylePr w:type="band2Horz">
      <w:tblPr/>
      <w:tcPr>
        <w:shd w:val="clear" w:color="auto" w:fill="FFFFFF"/>
      </w:tcPr>
    </w:tblStylePr>
  </w:style>
  <w:style w:type="table" w:styleId="LightList-Accent5">
    <w:name w:val="Light List Accent 5"/>
    <w:basedOn w:val="TableNormal"/>
    <w:uiPriority w:val="61"/>
    <w:rsid w:val="00FB2AFE"/>
    <w:rPr>
      <w:rFonts w:ascii="Times New Roman" w:hAnsi="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eGrid3">
    <w:name w:val="Table Grid3"/>
    <w:basedOn w:val="TableNormal"/>
    <w:next w:val="TableGrid"/>
    <w:uiPriority w:val="59"/>
    <w:rsid w:val="00FB2AFE"/>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31">
    <w:name w:val="Table 3D effects 31"/>
    <w:basedOn w:val="TableNormal"/>
    <w:next w:val="Table3Deffects3"/>
    <w:rsid w:val="00FB2AFE"/>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12">
    <w:name w:val="Light List - Accent 12"/>
    <w:basedOn w:val="TableNormal"/>
    <w:next w:val="LightList-Accent1"/>
    <w:uiPriority w:val="61"/>
    <w:rsid w:val="00FB2AFE"/>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Professional"/>
    <w:next w:val="MediumShading1-Accent1"/>
    <w:uiPriority w:val="63"/>
    <w:rsid w:val="00FB2AFE"/>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9543B4"/>
    <w:pPr>
      <w:spacing w:after="120"/>
      <w:jc w:val="both"/>
    </w:pPr>
    <w:rPr>
      <w:sz w:val="16"/>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ghtList-Accent111">
    <w:name w:val="Light List - Accent 111"/>
    <w:basedOn w:val="TableNormal"/>
    <w:next w:val="LightList-Accent1"/>
    <w:uiPriority w:val="61"/>
    <w:rsid w:val="00FB2AFE"/>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Subbullet">
    <w:name w:val="Box Subbullet"/>
    <w:basedOn w:val="BoxBullet"/>
    <w:uiPriority w:val="2"/>
    <w:semiHidden/>
    <w:qFormat/>
    <w:rsid w:val="00FB2AFE"/>
    <w:pPr>
      <w:numPr>
        <w:numId w:val="0"/>
      </w:numPr>
      <w:tabs>
        <w:tab w:val="left" w:pos="680"/>
      </w:tabs>
      <w:ind w:left="1135" w:hanging="851"/>
    </w:pPr>
  </w:style>
  <w:style w:type="paragraph" w:customStyle="1" w:styleId="Keypointshead">
    <w:name w:val="Key points head"/>
    <w:basedOn w:val="BoxHeading"/>
    <w:qFormat/>
    <w:rsid w:val="00650CF6"/>
    <w:pPr>
      <w:pBdr>
        <w:top w:val="none" w:sz="0" w:space="0" w:color="auto"/>
        <w:left w:val="none" w:sz="0" w:space="0" w:color="auto"/>
        <w:bottom w:val="none" w:sz="0" w:space="0" w:color="auto"/>
        <w:right w:val="none" w:sz="0" w:space="0" w:color="auto"/>
      </w:pBdr>
      <w:spacing w:after="120"/>
      <w:ind w:left="284"/>
    </w:pPr>
    <w:rPr>
      <w:color w:val="1B556B" w:themeColor="text2"/>
      <w:sz w:val="20"/>
    </w:rPr>
  </w:style>
  <w:style w:type="paragraph" w:customStyle="1" w:styleId="Keypointsbullet">
    <w:name w:val="Key points bullet"/>
    <w:basedOn w:val="BoxBullet"/>
    <w:qFormat/>
    <w:rsid w:val="00650CF6"/>
    <w:pPr>
      <w:numPr>
        <w:numId w:val="22"/>
      </w:numPr>
      <w:pBdr>
        <w:top w:val="none" w:sz="0" w:space="0" w:color="auto"/>
        <w:left w:val="none" w:sz="0" w:space="0" w:color="auto"/>
        <w:bottom w:val="none" w:sz="0" w:space="0" w:color="auto"/>
        <w:right w:val="none" w:sz="0" w:space="0" w:color="auto"/>
      </w:pBdr>
      <w:tabs>
        <w:tab w:val="clear" w:pos="567"/>
      </w:tabs>
    </w:pPr>
    <w:rPr>
      <w:color w:val="1B556B" w:themeColor="text2"/>
      <w:sz w:val="18"/>
      <w:szCs w:val="18"/>
    </w:rPr>
  </w:style>
  <w:style w:type="paragraph" w:customStyle="1" w:styleId="Keypointsub-bullet">
    <w:name w:val="Key point sub-bullet"/>
    <w:basedOn w:val="BoxSubbullet"/>
    <w:qFormat/>
    <w:rsid w:val="00C928D7"/>
    <w:pPr>
      <w:numPr>
        <w:numId w:val="20"/>
      </w:numPr>
      <w:pBdr>
        <w:top w:val="none" w:sz="0" w:space="0" w:color="auto"/>
        <w:left w:val="none" w:sz="0" w:space="0" w:color="auto"/>
        <w:bottom w:val="none" w:sz="0" w:space="0" w:color="auto"/>
        <w:right w:val="none" w:sz="0" w:space="0" w:color="auto"/>
      </w:pBdr>
      <w:tabs>
        <w:tab w:val="clear" w:pos="567"/>
        <w:tab w:val="clear" w:pos="680"/>
        <w:tab w:val="left" w:pos="1077"/>
      </w:tabs>
      <w:ind w:left="1077" w:hanging="397"/>
    </w:pPr>
    <w:rPr>
      <w:color w:val="1B556B" w:themeColor="text2"/>
      <w:sz w:val="18"/>
      <w:szCs w:val="18"/>
    </w:rPr>
  </w:style>
  <w:style w:type="paragraph" w:customStyle="1" w:styleId="Keypointstext">
    <w:name w:val="Key points text"/>
    <w:basedOn w:val="Keypointshead"/>
    <w:qFormat/>
    <w:rsid w:val="00650CF6"/>
    <w:pPr>
      <w:spacing w:before="120"/>
    </w:pPr>
    <w:rPr>
      <w:b w:val="0"/>
    </w:rPr>
  </w:style>
  <w:style w:type="table" w:styleId="LightShading-Accent1">
    <w:name w:val="Light Shading Accent 1"/>
    <w:basedOn w:val="TableNormal"/>
    <w:uiPriority w:val="60"/>
    <w:rsid w:val="00FB2AFE"/>
    <w:pPr>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3-Accent1">
    <w:name w:val="List Table 3 Accent 1"/>
    <w:basedOn w:val="TableNormal"/>
    <w:uiPriority w:val="48"/>
    <w:rsid w:val="00FB2AFE"/>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TableText2">
    <w:name w:val="TableText 2"/>
    <w:basedOn w:val="TableText"/>
    <w:semiHidden/>
    <w:qFormat/>
    <w:rsid w:val="00FB2AFE"/>
    <w:pPr>
      <w:spacing w:line="240" w:lineRule="atLeast"/>
      <w:ind w:left="737"/>
    </w:pPr>
  </w:style>
  <w:style w:type="paragraph" w:customStyle="1" w:styleId="TableText1">
    <w:name w:val="TableText 1"/>
    <w:basedOn w:val="TableText"/>
    <w:semiHidden/>
    <w:qFormat/>
    <w:rsid w:val="00FB2AFE"/>
    <w:pPr>
      <w:spacing w:line="240" w:lineRule="atLeast"/>
      <w:ind w:left="397"/>
    </w:pPr>
  </w:style>
  <w:style w:type="character" w:styleId="Mention">
    <w:name w:val="Mention"/>
    <w:basedOn w:val="DefaultParagraphFont"/>
    <w:uiPriority w:val="99"/>
    <w:semiHidden/>
    <w:rsid w:val="00FB2AFE"/>
    <w:rPr>
      <w:color w:val="2B579A"/>
      <w:shd w:val="clear" w:color="auto" w:fill="E1DFDD"/>
    </w:rPr>
  </w:style>
  <w:style w:type="paragraph" w:styleId="CommentSubject">
    <w:name w:val="annotation subject"/>
    <w:aliases w:val=" Char5,Char5"/>
    <w:basedOn w:val="Normal"/>
    <w:next w:val="Normal"/>
    <w:link w:val="CommentSubjectChar"/>
    <w:semiHidden/>
    <w:unhideWhenUsed/>
    <w:rsid w:val="00E87995"/>
    <w:pPr>
      <w:spacing w:after="160"/>
    </w:pPr>
    <w:rPr>
      <w:rFonts w:eastAsiaTheme="minorEastAsia"/>
      <w:b/>
      <w:bCs/>
    </w:rPr>
  </w:style>
  <w:style w:type="character" w:customStyle="1" w:styleId="CommentSubjectChar">
    <w:name w:val="Comment Subject Char"/>
    <w:aliases w:val=" Char5 Char,Char5 Char"/>
    <w:basedOn w:val="DefaultParagraphFont"/>
    <w:link w:val="CommentSubject"/>
    <w:semiHidden/>
    <w:rsid w:val="00121D68"/>
    <w:rPr>
      <w:rFonts w:eastAsiaTheme="minorEastAsia"/>
      <w:b/>
      <w:bCs/>
    </w:rPr>
  </w:style>
  <w:style w:type="paragraph" w:customStyle="1" w:styleId="Boxbullet0">
    <w:name w:val="Box bullet"/>
    <w:basedOn w:val="Boxtext"/>
    <w:uiPriority w:val="1"/>
    <w:semiHidden/>
    <w:qFormat/>
    <w:rsid w:val="00FB2AFE"/>
    <w:pPr>
      <w:tabs>
        <w:tab w:val="left" w:pos="680"/>
      </w:tabs>
      <w:spacing w:before="0"/>
      <w:ind w:left="644" w:hanging="360"/>
    </w:pPr>
    <w:rPr>
      <w:rFonts w:cs="Times New Roman"/>
      <w:szCs w:val="20"/>
    </w:rPr>
  </w:style>
  <w:style w:type="paragraph" w:customStyle="1" w:styleId="Boxheading0">
    <w:name w:val="Box heading"/>
    <w:basedOn w:val="Boxtext"/>
    <w:next w:val="Boxtext"/>
    <w:uiPriority w:val="1"/>
    <w:semiHidden/>
    <w:qFormat/>
    <w:rsid w:val="00FB2AFE"/>
    <w:pPr>
      <w:keepNext/>
      <w:spacing w:before="240" w:after="0"/>
    </w:pPr>
    <w:rPr>
      <w:rFonts w:cs="Times New Roman"/>
      <w:b/>
      <w:sz w:val="22"/>
      <w:szCs w:val="20"/>
    </w:rPr>
  </w:style>
  <w:style w:type="paragraph" w:customStyle="1" w:styleId="Boxtext">
    <w:name w:val="Box text"/>
    <w:basedOn w:val="Normal"/>
    <w:uiPriority w:val="1"/>
    <w:semiHidden/>
    <w:qFormat/>
    <w:rsid w:val="00FB2AFE"/>
    <w:pPr>
      <w:spacing w:before="120" w:after="120" w:line="260" w:lineRule="atLeast"/>
      <w:ind w:left="284" w:right="284"/>
    </w:pPr>
    <w:rPr>
      <w:rFonts w:eastAsiaTheme="minorEastAsia" w:cstheme="minorBidi"/>
      <w:color w:val="1B556B"/>
      <w:sz w:val="20"/>
    </w:rPr>
  </w:style>
  <w:style w:type="paragraph" w:customStyle="1" w:styleId="Boxsub-bullet">
    <w:name w:val="Box sub-bullet"/>
    <w:basedOn w:val="Boxtext"/>
    <w:uiPriority w:val="1"/>
    <w:semiHidden/>
    <w:qFormat/>
    <w:rsid w:val="00FB2AFE"/>
    <w:pPr>
      <w:numPr>
        <w:numId w:val="23"/>
      </w:numPr>
      <w:spacing w:before="0"/>
    </w:pPr>
    <w:rPr>
      <w:rFonts w:cs="Times New Roman"/>
      <w:szCs w:val="20"/>
    </w:rPr>
  </w:style>
  <w:style w:type="paragraph" w:styleId="BodyText2">
    <w:name w:val="Body Text 2"/>
    <w:aliases w:val=" Char4,Char4"/>
    <w:basedOn w:val="Normal"/>
    <w:link w:val="BodyText2Char"/>
    <w:semiHidden/>
    <w:rsid w:val="00D97D6C"/>
    <w:pPr>
      <w:spacing w:after="120" w:line="480" w:lineRule="auto"/>
    </w:pPr>
    <w:rPr>
      <w:rFonts w:ascii="Times New Roman" w:hAnsi="Times New Roman"/>
      <w:lang w:eastAsia="en-US"/>
    </w:rPr>
  </w:style>
  <w:style w:type="character" w:customStyle="1" w:styleId="BodyText2Char">
    <w:name w:val="Body Text 2 Char"/>
    <w:aliases w:val=" Char4 Char,Char4 Char"/>
    <w:basedOn w:val="DefaultParagraphFont"/>
    <w:link w:val="BodyText2"/>
    <w:semiHidden/>
    <w:rsid w:val="00D97D6C"/>
    <w:rPr>
      <w:rFonts w:ascii="Times New Roman" w:hAnsi="Times New Roman"/>
      <w:sz w:val="22"/>
      <w:szCs w:val="22"/>
      <w:lang w:eastAsia="en-US"/>
    </w:rPr>
  </w:style>
  <w:style w:type="table" w:customStyle="1" w:styleId="ListTable3-Accent11">
    <w:name w:val="List Table 3 - Accent 11"/>
    <w:basedOn w:val="TableNormal"/>
    <w:uiPriority w:val="48"/>
    <w:rsid w:val="00D97D6C"/>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stTable3-Accent110">
    <w:name w:val="List Table 3 - Accent 110"/>
    <w:basedOn w:val="TableNormal"/>
    <w:uiPriority w:val="48"/>
    <w:rsid w:val="001608E9"/>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CommentText">
    <w:name w:val="annotation text"/>
    <w:aliases w:val=" Char7,Char7"/>
    <w:basedOn w:val="Normal"/>
    <w:link w:val="CommentTextChar"/>
    <w:uiPriority w:val="99"/>
    <w:semiHidden/>
    <w:qFormat/>
    <w:rsid w:val="00AD187C"/>
    <w:pPr>
      <w:spacing w:after="120"/>
    </w:pPr>
    <w:rPr>
      <w:rFonts w:eastAsia="Arial"/>
      <w:sz w:val="20"/>
      <w:szCs w:val="20"/>
    </w:rPr>
  </w:style>
  <w:style w:type="character" w:customStyle="1" w:styleId="CommentTextChar2">
    <w:name w:val="Comment Text Char2"/>
    <w:basedOn w:val="DefaultParagraphFont"/>
    <w:uiPriority w:val="99"/>
    <w:semiHidden/>
    <w:rsid w:val="001608E9"/>
  </w:style>
  <w:style w:type="paragraph" w:styleId="NoSpacing">
    <w:name w:val="No Spacing"/>
    <w:uiPriority w:val="1"/>
    <w:semiHidden/>
    <w:qFormat/>
    <w:rsid w:val="00053418"/>
    <w:rPr>
      <w:rFonts w:asciiTheme="minorHAnsi" w:eastAsiaTheme="minorHAnsi" w:hAnsiTheme="minorHAnsi" w:cstheme="minorBidi"/>
      <w:sz w:val="22"/>
      <w:szCs w:val="22"/>
      <w:lang w:eastAsia="en-US"/>
    </w:rPr>
  </w:style>
  <w:style w:type="paragraph" w:customStyle="1" w:styleId="Informationboxbullet">
    <w:name w:val="Information box bullet"/>
    <w:basedOn w:val="Normal"/>
    <w:uiPriority w:val="7"/>
    <w:semiHidden/>
    <w:qFormat/>
    <w:rsid w:val="00E87995"/>
    <w:pPr>
      <w:numPr>
        <w:numId w:val="33"/>
      </w:numPr>
      <w:pBdr>
        <w:top w:val="single" w:sz="4" w:space="15" w:color="D2DDE2"/>
        <w:left w:val="single" w:sz="4" w:space="15" w:color="D2DDE2"/>
        <w:bottom w:val="single" w:sz="4" w:space="15" w:color="D2DDE2"/>
        <w:right w:val="single" w:sz="4" w:space="15" w:color="D2DDE2"/>
      </w:pBdr>
      <w:shd w:val="clear" w:color="auto" w:fill="D2DDE2"/>
      <w:tabs>
        <w:tab w:val="left" w:pos="680"/>
      </w:tabs>
      <w:spacing w:line="280" w:lineRule="atLeast"/>
      <w:ind w:right="284"/>
    </w:pPr>
    <w:rPr>
      <w:color w:val="1C556C"/>
      <w:sz w:val="20"/>
      <w:szCs w:val="20"/>
    </w:rPr>
  </w:style>
  <w:style w:type="character" w:customStyle="1" w:styleId="CommentTextChar3">
    <w:name w:val="Comment Text Char3"/>
    <w:basedOn w:val="DefaultParagraphFont"/>
    <w:uiPriority w:val="99"/>
    <w:semiHidden/>
    <w:rsid w:val="00AD187C"/>
  </w:style>
  <w:style w:type="character" w:customStyle="1" w:styleId="ListParagraphChar">
    <w:name w:val="List Paragraph Char"/>
    <w:aliases w:val="Bullet Points Char,Rec para Char,List Paragraph1 Char,Recommendation Char,List Paragraph11 Char,Dot pt Char,F5 List Paragraph Char,No Spacing1 Char,List Paragraph Char Char Char Char,Indicator Text Char,Numbered Para 1 Char"/>
    <w:basedOn w:val="DefaultParagraphFont"/>
    <w:link w:val="ListParagraph"/>
    <w:uiPriority w:val="34"/>
    <w:semiHidden/>
    <w:qFormat/>
    <w:locked/>
    <w:rsid w:val="005D02EF"/>
    <w:rPr>
      <w:rFonts w:eastAsia="Malgun Gothic"/>
      <w:szCs w:val="22"/>
      <w:lang w:eastAsia="en-US"/>
    </w:rPr>
  </w:style>
  <w:style w:type="paragraph" w:customStyle="1" w:styleId="ContentsHeading">
    <w:name w:val="ContentsHeading"/>
    <w:basedOn w:val="Heading"/>
    <w:next w:val="BodyText"/>
    <w:uiPriority w:val="2"/>
    <w:semiHidden/>
    <w:rsid w:val="00806D92"/>
    <w:rPr>
      <w:b/>
    </w:rPr>
  </w:style>
  <w:style w:type="paragraph" w:customStyle="1" w:styleId="Sub-bullet">
    <w:name w:val="Sub-bullet"/>
    <w:basedOn w:val="Normal"/>
    <w:uiPriority w:val="1"/>
    <w:qFormat/>
    <w:rsid w:val="00BA70F6"/>
    <w:pPr>
      <w:numPr>
        <w:numId w:val="119"/>
      </w:numPr>
      <w:tabs>
        <w:tab w:val="left" w:pos="794"/>
      </w:tabs>
      <w:spacing w:after="120"/>
    </w:pPr>
  </w:style>
  <w:style w:type="paragraph" w:customStyle="1" w:styleId="OddFooter">
    <w:name w:val="Odd Footer"/>
    <w:basedOn w:val="Normal"/>
    <w:next w:val="Normal"/>
    <w:semiHidden/>
    <w:rsid w:val="00806D92"/>
    <w:pPr>
      <w:pBdr>
        <w:top w:val="single" w:sz="4" w:space="4" w:color="auto"/>
      </w:pBdr>
      <w:tabs>
        <w:tab w:val="right" w:pos="7655"/>
        <w:tab w:val="right" w:pos="8505"/>
      </w:tabs>
    </w:pPr>
    <w:rPr>
      <w:sz w:val="16"/>
    </w:rPr>
  </w:style>
  <w:style w:type="paragraph" w:customStyle="1" w:styleId="Footereven0">
    <w:name w:val="Footer even"/>
    <w:basedOn w:val="EvenFooter"/>
    <w:uiPriority w:val="2"/>
    <w:semiHidden/>
    <w:qFormat/>
    <w:rsid w:val="00806D92"/>
  </w:style>
  <w:style w:type="character" w:customStyle="1" w:styleId="CommentTextChar1">
    <w:name w:val="Comment Text Char1"/>
    <w:basedOn w:val="DefaultParagraphFont"/>
    <w:uiPriority w:val="99"/>
    <w:semiHidden/>
    <w:rsid w:val="00806D92"/>
  </w:style>
  <w:style w:type="character" w:customStyle="1" w:styleId="CommentSubjectChar1">
    <w:name w:val="Comment Subject Char1"/>
    <w:aliases w:val="Char5 Char1"/>
    <w:uiPriority w:val="99"/>
    <w:semiHidden/>
    <w:rsid w:val="00806D92"/>
    <w:rPr>
      <w:b/>
      <w:bCs/>
    </w:rPr>
  </w:style>
  <w:style w:type="character" w:customStyle="1" w:styleId="BulletsChar">
    <w:name w:val="Bullets Char"/>
    <w:link w:val="Bullets"/>
    <w:semiHidden/>
    <w:rsid w:val="00806D92"/>
  </w:style>
  <w:style w:type="paragraph" w:customStyle="1" w:styleId="Bullets">
    <w:name w:val="Bullets"/>
    <w:basedOn w:val="Normal"/>
    <w:link w:val="BulletsChar"/>
    <w:semiHidden/>
    <w:rsid w:val="00806D92"/>
    <w:pPr>
      <w:tabs>
        <w:tab w:val="left" w:pos="397"/>
      </w:tabs>
      <w:spacing w:before="120"/>
      <w:ind w:left="397" w:hanging="397"/>
    </w:pPr>
    <w:rPr>
      <w:sz w:val="20"/>
      <w:szCs w:val="20"/>
    </w:rPr>
  </w:style>
  <w:style w:type="paragraph" w:customStyle="1" w:styleId="Captions">
    <w:name w:val="Captions"/>
    <w:basedOn w:val="Normal"/>
    <w:next w:val="Normal"/>
    <w:semiHidden/>
    <w:rsid w:val="00806D92"/>
    <w:pPr>
      <w:tabs>
        <w:tab w:val="left" w:pos="851"/>
      </w:tabs>
      <w:suppressAutoHyphens/>
      <w:spacing w:before="120" w:after="120"/>
    </w:pPr>
    <w:rPr>
      <w:rFonts w:ascii="Times New Roman" w:hAnsi="Times New Roman"/>
      <w:lang w:eastAsia="ar-SA"/>
    </w:rPr>
  </w:style>
  <w:style w:type="paragraph" w:customStyle="1" w:styleId="Headerleft">
    <w:name w:val="Header left"/>
    <w:basedOn w:val="Normal"/>
    <w:semiHidden/>
    <w:rsid w:val="00806D92"/>
    <w:pPr>
      <w:suppressLineNumbers/>
      <w:tabs>
        <w:tab w:val="center" w:pos="3968"/>
        <w:tab w:val="right" w:pos="7937"/>
      </w:tabs>
      <w:suppressAutoHyphens/>
      <w:spacing w:after="120"/>
    </w:pPr>
    <w:rPr>
      <w:rFonts w:ascii="Times New Roman" w:hAnsi="Times New Roman"/>
      <w:lang w:eastAsia="ar-SA"/>
    </w:rPr>
  </w:style>
  <w:style w:type="character" w:customStyle="1" w:styleId="BodyText3Char1">
    <w:name w:val="Body Text 3 Char1"/>
    <w:basedOn w:val="DefaultParagraphFont"/>
    <w:uiPriority w:val="99"/>
    <w:semiHidden/>
    <w:rsid w:val="00806D92"/>
    <w:rPr>
      <w:sz w:val="16"/>
      <w:szCs w:val="16"/>
    </w:rPr>
  </w:style>
  <w:style w:type="character" w:customStyle="1" w:styleId="BodyTextFirstIndentChar1">
    <w:name w:val="Body Text First Indent Char1"/>
    <w:basedOn w:val="BodyTextChar"/>
    <w:uiPriority w:val="99"/>
    <w:semiHidden/>
    <w:rsid w:val="00806D92"/>
    <w:rPr>
      <w:sz w:val="22"/>
      <w:szCs w:val="22"/>
    </w:rPr>
  </w:style>
  <w:style w:type="character" w:customStyle="1" w:styleId="BodyTextIndentChar1">
    <w:name w:val="Body Text Indent Char1"/>
    <w:basedOn w:val="DefaultParagraphFont"/>
    <w:uiPriority w:val="99"/>
    <w:semiHidden/>
    <w:rsid w:val="00806D92"/>
    <w:rPr>
      <w:sz w:val="22"/>
      <w:szCs w:val="22"/>
    </w:rPr>
  </w:style>
  <w:style w:type="character" w:customStyle="1" w:styleId="BodyTextFirstIndent2Char1">
    <w:name w:val="Body Text First Indent 2 Char1"/>
    <w:basedOn w:val="BodyTextIndentChar1"/>
    <w:uiPriority w:val="99"/>
    <w:semiHidden/>
    <w:rsid w:val="00806D92"/>
    <w:rPr>
      <w:sz w:val="22"/>
      <w:szCs w:val="22"/>
    </w:rPr>
  </w:style>
  <w:style w:type="character" w:customStyle="1" w:styleId="BodyTextIndent2Char1">
    <w:name w:val="Body Text Indent 2 Char1"/>
    <w:basedOn w:val="DefaultParagraphFont"/>
    <w:uiPriority w:val="99"/>
    <w:semiHidden/>
    <w:rsid w:val="00806D92"/>
    <w:rPr>
      <w:sz w:val="22"/>
      <w:szCs w:val="22"/>
    </w:rPr>
  </w:style>
  <w:style w:type="character" w:customStyle="1" w:styleId="BodyTextIndent3Char1">
    <w:name w:val="Body Text Indent 3 Char1"/>
    <w:basedOn w:val="DefaultParagraphFont"/>
    <w:uiPriority w:val="99"/>
    <w:semiHidden/>
    <w:rsid w:val="00806D92"/>
    <w:rPr>
      <w:sz w:val="16"/>
      <w:szCs w:val="16"/>
    </w:rPr>
  </w:style>
  <w:style w:type="character" w:customStyle="1" w:styleId="NoteHeadingChar">
    <w:name w:val="Note Heading Char"/>
    <w:link w:val="NoteHeading"/>
    <w:uiPriority w:val="99"/>
    <w:semiHidden/>
    <w:rsid w:val="00806D92"/>
    <w:rPr>
      <w:rFonts w:eastAsia="MS Mincho"/>
      <w:lang w:eastAsia="ja-JP"/>
    </w:rPr>
  </w:style>
  <w:style w:type="paragraph" w:styleId="NoteHeading">
    <w:name w:val="Note Heading"/>
    <w:basedOn w:val="Normal"/>
    <w:next w:val="Normal"/>
    <w:link w:val="NoteHeadingChar"/>
    <w:uiPriority w:val="99"/>
    <w:semiHidden/>
    <w:rsid w:val="00806D92"/>
    <w:rPr>
      <w:rFonts w:eastAsia="MS Mincho"/>
      <w:sz w:val="20"/>
      <w:szCs w:val="20"/>
      <w:lang w:eastAsia="ja-JP"/>
    </w:rPr>
  </w:style>
  <w:style w:type="character" w:customStyle="1" w:styleId="NoteHeadingChar2">
    <w:name w:val="Note Heading Char2"/>
    <w:basedOn w:val="DefaultParagraphFont"/>
    <w:uiPriority w:val="99"/>
    <w:semiHidden/>
    <w:rsid w:val="00806D92"/>
    <w:rPr>
      <w:sz w:val="22"/>
      <w:szCs w:val="22"/>
    </w:rPr>
  </w:style>
  <w:style w:type="numbering" w:customStyle="1" w:styleId="NoList1">
    <w:name w:val="No List1"/>
    <w:next w:val="NoList"/>
    <w:uiPriority w:val="99"/>
    <w:semiHidden/>
    <w:unhideWhenUsed/>
    <w:rsid w:val="00806D92"/>
  </w:style>
  <w:style w:type="paragraph" w:customStyle="1" w:styleId="Bulletfirst">
    <w:name w:val="Bullet first"/>
    <w:basedOn w:val="Bullet"/>
    <w:semiHidden/>
    <w:qFormat/>
    <w:rsid w:val="00806D92"/>
    <w:pPr>
      <w:numPr>
        <w:numId w:val="0"/>
      </w:numPr>
      <w:tabs>
        <w:tab w:val="num" w:pos="567"/>
      </w:tabs>
      <w:ind w:left="851" w:hanging="284"/>
    </w:pPr>
  </w:style>
  <w:style w:type="paragraph" w:customStyle="1" w:styleId="Bulletlast">
    <w:name w:val="Bullet last"/>
    <w:basedOn w:val="Bullet"/>
    <w:semiHidden/>
    <w:qFormat/>
    <w:rsid w:val="00806D92"/>
    <w:pPr>
      <w:numPr>
        <w:numId w:val="0"/>
      </w:numPr>
      <w:tabs>
        <w:tab w:val="num" w:pos="567"/>
      </w:tabs>
      <w:ind w:left="567" w:hanging="567"/>
    </w:pPr>
  </w:style>
  <w:style w:type="numbering" w:customStyle="1" w:styleId="Annex">
    <w:name w:val="Annex"/>
    <w:uiPriority w:val="99"/>
    <w:rsid w:val="00806D92"/>
    <w:pPr>
      <w:numPr>
        <w:numId w:val="19"/>
      </w:numPr>
    </w:pPr>
  </w:style>
  <w:style w:type="numbering" w:customStyle="1" w:styleId="Annex1">
    <w:name w:val="Annex1"/>
    <w:uiPriority w:val="99"/>
    <w:rsid w:val="00806D92"/>
  </w:style>
  <w:style w:type="numbering" w:customStyle="1" w:styleId="Annex11">
    <w:name w:val="Annex11"/>
    <w:uiPriority w:val="99"/>
    <w:rsid w:val="00806D92"/>
  </w:style>
  <w:style w:type="numbering" w:customStyle="1" w:styleId="NoList2">
    <w:name w:val="No List2"/>
    <w:next w:val="NoList"/>
    <w:uiPriority w:val="99"/>
    <w:semiHidden/>
    <w:unhideWhenUsed/>
    <w:rsid w:val="00806D92"/>
  </w:style>
  <w:style w:type="numbering" w:customStyle="1" w:styleId="NoList11">
    <w:name w:val="No List11"/>
    <w:next w:val="NoList"/>
    <w:uiPriority w:val="99"/>
    <w:semiHidden/>
    <w:unhideWhenUsed/>
    <w:rsid w:val="00806D92"/>
  </w:style>
  <w:style w:type="character" w:customStyle="1" w:styleId="UnresolvedMention1">
    <w:name w:val="Unresolved Mention1"/>
    <w:uiPriority w:val="99"/>
    <w:semiHidden/>
    <w:unhideWhenUsed/>
    <w:rsid w:val="00806D92"/>
    <w:rPr>
      <w:color w:val="605E5C"/>
      <w:shd w:val="clear" w:color="auto" w:fill="E1DFDD"/>
    </w:rPr>
  </w:style>
  <w:style w:type="paragraph" w:customStyle="1" w:styleId="Boxa">
    <w:name w:val="Box a"/>
    <w:aliases w:val="b list"/>
    <w:basedOn w:val="Normal"/>
    <w:semiHidden/>
    <w:qFormat/>
    <w:rsid w:val="00806D92"/>
    <w:pPr>
      <w:pBdr>
        <w:top w:val="single" w:sz="6" w:space="15" w:color="0092CF"/>
        <w:left w:val="single" w:sz="6" w:space="15" w:color="0092CF"/>
        <w:bottom w:val="single" w:sz="6" w:space="15" w:color="0092CF"/>
        <w:right w:val="single" w:sz="6" w:space="15" w:color="0092CF"/>
      </w:pBdr>
      <w:tabs>
        <w:tab w:val="left" w:pos="426"/>
      </w:tabs>
      <w:spacing w:before="120" w:line="280" w:lineRule="atLeast"/>
      <w:ind w:left="1440" w:right="284" w:hanging="360"/>
    </w:pPr>
    <w:rPr>
      <w:color w:val="0092CF"/>
      <w:sz w:val="20"/>
      <w:szCs w:val="20"/>
    </w:rPr>
  </w:style>
  <w:style w:type="character" w:customStyle="1" w:styleId="UnresolvedMention2">
    <w:name w:val="Unresolved Mention2"/>
    <w:uiPriority w:val="99"/>
    <w:semiHidden/>
    <w:unhideWhenUsed/>
    <w:rsid w:val="00806D92"/>
    <w:rPr>
      <w:color w:val="605E5C"/>
      <w:shd w:val="clear" w:color="auto" w:fill="E1DFDD"/>
    </w:rPr>
  </w:style>
  <w:style w:type="character" w:customStyle="1" w:styleId="Heading8Char1">
    <w:name w:val="Heading 8 Char1"/>
    <w:aliases w:val="Char14 Char1"/>
    <w:semiHidden/>
    <w:rsid w:val="00806D92"/>
    <w:rPr>
      <w:rFonts w:ascii="Calibri Light" w:eastAsia="Times New Roman" w:hAnsi="Calibri Light" w:cs="Times New Roman"/>
      <w:color w:val="272727"/>
      <w:sz w:val="21"/>
      <w:szCs w:val="21"/>
      <w:lang w:eastAsia="en-US"/>
    </w:rPr>
  </w:style>
  <w:style w:type="character" w:customStyle="1" w:styleId="Heading9Char1">
    <w:name w:val="Heading 9 Char1"/>
    <w:aliases w:val="Char13 Char1"/>
    <w:semiHidden/>
    <w:rsid w:val="00806D92"/>
    <w:rPr>
      <w:rFonts w:ascii="Calibri Light" w:eastAsia="Times New Roman" w:hAnsi="Calibri Light" w:cs="Times New Roman"/>
      <w:i/>
      <w:iCs/>
      <w:color w:val="272727"/>
      <w:sz w:val="21"/>
      <w:szCs w:val="21"/>
      <w:lang w:eastAsia="en-US"/>
    </w:rPr>
  </w:style>
  <w:style w:type="character" w:customStyle="1" w:styleId="FooterChar1">
    <w:name w:val="Footer Char1"/>
    <w:aliases w:val="Char10 Char1"/>
    <w:semiHidden/>
    <w:rsid w:val="00806D92"/>
    <w:rPr>
      <w:rFonts w:ascii="Times New Roman" w:hAnsi="Times New Roman"/>
      <w:sz w:val="22"/>
      <w:lang w:eastAsia="en-US"/>
    </w:rPr>
  </w:style>
  <w:style w:type="character" w:styleId="UnresolvedMention">
    <w:name w:val="Unresolved Mention"/>
    <w:basedOn w:val="DefaultParagraphFont"/>
    <w:uiPriority w:val="99"/>
    <w:semiHidden/>
    <w:unhideWhenUsed/>
    <w:rsid w:val="00806D92"/>
    <w:rPr>
      <w:color w:val="605E5C"/>
      <w:shd w:val="clear" w:color="auto" w:fill="E1DFDD"/>
    </w:rPr>
  </w:style>
  <w:style w:type="paragraph" w:customStyle="1" w:styleId="Acknowledgementsbolditalics">
    <w:name w:val="Acknowledgements bold italics"/>
    <w:basedOn w:val="Normal"/>
    <w:semiHidden/>
    <w:rsid w:val="00806D92"/>
    <w:pPr>
      <w:spacing w:before="160"/>
    </w:pPr>
    <w:rPr>
      <w:rFonts w:ascii="Times New Roman" w:hAnsi="Times New Roman"/>
      <w:b/>
      <w:i/>
      <w:szCs w:val="20"/>
      <w:lang w:eastAsia="en-US"/>
    </w:rPr>
  </w:style>
  <w:style w:type="paragraph" w:customStyle="1" w:styleId="Footerodd0">
    <w:name w:val="Footer odd"/>
    <w:basedOn w:val="OddFooter"/>
    <w:uiPriority w:val="2"/>
    <w:semiHidden/>
    <w:qFormat/>
    <w:rsid w:val="00806D92"/>
    <w:pPr>
      <w:tabs>
        <w:tab w:val="clear" w:pos="7655"/>
        <w:tab w:val="clear" w:pos="8505"/>
        <w:tab w:val="right" w:pos="6804"/>
        <w:tab w:val="right" w:pos="7938"/>
      </w:tabs>
    </w:pPr>
  </w:style>
  <w:style w:type="paragraph" w:styleId="List">
    <w:name w:val="List"/>
    <w:basedOn w:val="BodyText"/>
    <w:semiHidden/>
    <w:rsid w:val="00806D92"/>
    <w:pPr>
      <w:suppressAutoHyphens/>
    </w:pPr>
    <w:rPr>
      <w:lang w:eastAsia="ar-SA"/>
    </w:rPr>
  </w:style>
  <w:style w:type="paragraph" w:customStyle="1" w:styleId="Headline">
    <w:name w:val="Headline"/>
    <w:basedOn w:val="Normal"/>
    <w:next w:val="Normal"/>
    <w:semiHidden/>
    <w:rsid w:val="00806D92"/>
    <w:pPr>
      <w:spacing w:before="60" w:after="180"/>
    </w:pPr>
    <w:rPr>
      <w:rFonts w:ascii="Times New Roman" w:hAnsi="Times New Roman"/>
      <w:b/>
      <w:sz w:val="48"/>
      <w:szCs w:val="20"/>
      <w:lang w:eastAsia="en-US"/>
    </w:rPr>
  </w:style>
  <w:style w:type="paragraph" w:customStyle="1" w:styleId="Sub-bulletdash">
    <w:name w:val="Sub-bullet dash"/>
    <w:basedOn w:val="Normal"/>
    <w:uiPriority w:val="6"/>
    <w:qFormat/>
    <w:rsid w:val="00806D92"/>
    <w:pPr>
      <w:tabs>
        <w:tab w:val="num" w:pos="397"/>
        <w:tab w:val="left" w:pos="794"/>
      </w:tabs>
      <w:spacing w:after="120" w:line="280" w:lineRule="atLeast"/>
      <w:ind w:left="397"/>
    </w:pPr>
    <w:rPr>
      <w:rFonts w:eastAsia="Malgun Gothic" w:cs="Cordia New"/>
    </w:rPr>
  </w:style>
  <w:style w:type="paragraph" w:customStyle="1" w:styleId="EvenFooter">
    <w:name w:val="Even Footer"/>
    <w:basedOn w:val="Normal"/>
    <w:next w:val="Normal"/>
    <w:semiHidden/>
    <w:rsid w:val="00806D92"/>
    <w:pPr>
      <w:pBdr>
        <w:top w:val="single" w:sz="4" w:space="4" w:color="auto"/>
      </w:pBdr>
      <w:tabs>
        <w:tab w:val="left" w:pos="851"/>
      </w:tabs>
    </w:pPr>
    <w:rPr>
      <w:sz w:val="16"/>
    </w:rPr>
  </w:style>
  <w:style w:type="character" w:customStyle="1" w:styleId="QuoteChar1">
    <w:name w:val="Quote Char1"/>
    <w:uiPriority w:val="29"/>
    <w:semiHidden/>
    <w:rsid w:val="00806D92"/>
    <w:rPr>
      <w:rFonts w:ascii="Times New Roman" w:hAnsi="Times New Roman"/>
      <w:i/>
      <w:iCs/>
      <w:color w:val="000000"/>
      <w:lang w:eastAsia="en-US"/>
    </w:rPr>
  </w:style>
  <w:style w:type="character" w:customStyle="1" w:styleId="NIRTitleChar">
    <w:name w:val="NIR Title Char"/>
    <w:link w:val="NIRTitle"/>
    <w:semiHidden/>
    <w:locked/>
    <w:rsid w:val="00806D92"/>
    <w:rPr>
      <w:rFonts w:ascii="Calibri Light" w:eastAsia="Malgun Gothic" w:hAnsi="Calibri Light"/>
      <w:color w:val="323E4F"/>
      <w:spacing w:val="5"/>
      <w:kern w:val="28"/>
      <w:sz w:val="52"/>
      <w:szCs w:val="52"/>
    </w:rPr>
  </w:style>
  <w:style w:type="paragraph" w:customStyle="1" w:styleId="NIRTitle">
    <w:name w:val="NIR Title"/>
    <w:basedOn w:val="Title"/>
    <w:link w:val="NIRTitleChar"/>
    <w:semiHidden/>
    <w:qFormat/>
    <w:rsid w:val="00806D92"/>
    <w:pPr>
      <w:pBdr>
        <w:bottom w:val="single" w:sz="8" w:space="4" w:color="5B9BD5"/>
      </w:pBdr>
      <w:spacing w:after="300" w:line="240" w:lineRule="auto"/>
      <w:contextualSpacing/>
      <w:jc w:val="both"/>
    </w:pPr>
    <w:rPr>
      <w:rFonts w:ascii="Calibri Light" w:eastAsia="Malgun Gothic" w:hAnsi="Calibri Light"/>
      <w:b w:val="0"/>
      <w:color w:val="323E4F"/>
      <w:spacing w:val="5"/>
      <w:kern w:val="28"/>
      <w:sz w:val="52"/>
      <w:szCs w:val="52"/>
    </w:rPr>
  </w:style>
  <w:style w:type="paragraph" w:customStyle="1" w:styleId="Contentssubhead">
    <w:name w:val="Contents subhead"/>
    <w:basedOn w:val="ContentsHeading"/>
    <w:uiPriority w:val="2"/>
    <w:semiHidden/>
    <w:qFormat/>
    <w:rsid w:val="00806D92"/>
    <w:pPr>
      <w:pBdr>
        <w:bottom w:val="none" w:sz="0" w:space="0" w:color="auto"/>
      </w:pBdr>
    </w:pPr>
    <w:rPr>
      <w:sz w:val="40"/>
    </w:rPr>
  </w:style>
  <w:style w:type="paragraph" w:customStyle="1" w:styleId="msonormal0">
    <w:name w:val="msonormal"/>
    <w:basedOn w:val="Normal"/>
    <w:semiHidden/>
    <w:rsid w:val="00806D92"/>
    <w:pPr>
      <w:widowControl w:val="0"/>
      <w:adjustRightInd w:val="0"/>
      <w:spacing w:before="100" w:beforeAutospacing="1" w:after="100" w:afterAutospacing="1"/>
    </w:pPr>
    <w:rPr>
      <w:rFonts w:ascii="Times New Roman" w:hAnsi="Times New Roman"/>
      <w:szCs w:val="24"/>
      <w:lang w:val="en-GB" w:eastAsia="en-GB"/>
    </w:rPr>
  </w:style>
  <w:style w:type="character" w:customStyle="1" w:styleId="Heading7Char1">
    <w:name w:val="Heading 7 Char1"/>
    <w:aliases w:val="Char15 Char1"/>
    <w:semiHidden/>
    <w:rsid w:val="00806D92"/>
    <w:rPr>
      <w:rFonts w:ascii="Calibri Light" w:eastAsia="Times New Roman" w:hAnsi="Calibri Light" w:cs="Times New Roman"/>
      <w:i/>
      <w:iCs/>
      <w:color w:val="1F4D78"/>
      <w:sz w:val="22"/>
      <w:lang w:eastAsia="en-US"/>
    </w:rPr>
  </w:style>
  <w:style w:type="character" w:customStyle="1" w:styleId="BodyText2Char1">
    <w:name w:val="Body Text 2 Char1"/>
    <w:aliases w:val="Char4 Char1"/>
    <w:semiHidden/>
    <w:rsid w:val="00806D92"/>
    <w:rPr>
      <w:rFonts w:ascii="Times New Roman" w:hAnsi="Times New Roman"/>
      <w:sz w:val="22"/>
      <w:lang w:eastAsia="en-US"/>
    </w:rPr>
  </w:style>
  <w:style w:type="character" w:customStyle="1" w:styleId="DocumentMapChar1">
    <w:name w:val="Document Map Char1"/>
    <w:aliases w:val="Char1 Char1"/>
    <w:semiHidden/>
    <w:rsid w:val="00806D92"/>
    <w:rPr>
      <w:rFonts w:ascii="Segoe UI" w:hAnsi="Segoe UI" w:cs="Segoe UI"/>
      <w:sz w:val="16"/>
      <w:szCs w:val="16"/>
      <w:lang w:eastAsia="en-US"/>
    </w:rPr>
  </w:style>
  <w:style w:type="character" w:customStyle="1" w:styleId="BalloonTextChar1">
    <w:name w:val="Balloon Text Char1"/>
    <w:aliases w:val="Char6 Char1"/>
    <w:semiHidden/>
    <w:rsid w:val="00806D92"/>
    <w:rPr>
      <w:rFonts w:ascii="Segoe UI" w:hAnsi="Segoe UI" w:cs="Segoe UI"/>
      <w:sz w:val="18"/>
      <w:szCs w:val="18"/>
      <w:lang w:eastAsia="en-US"/>
    </w:rPr>
  </w:style>
  <w:style w:type="paragraph" w:styleId="IntenseQuote">
    <w:name w:val="Intense Quote"/>
    <w:basedOn w:val="Normal"/>
    <w:next w:val="Normal"/>
    <w:link w:val="IntenseQuoteChar"/>
    <w:uiPriority w:val="30"/>
    <w:semiHidden/>
    <w:qFormat/>
    <w:rsid w:val="00806D92"/>
    <w:pPr>
      <w:spacing w:before="240" w:after="160" w:line="259" w:lineRule="auto"/>
    </w:pPr>
    <w:rPr>
      <w:rFonts w:asciiTheme="minorHAnsi" w:eastAsiaTheme="minorEastAsia" w:hAnsiTheme="minorHAnsi" w:cstheme="minorBidi"/>
      <w:i/>
      <w:iCs/>
    </w:rPr>
  </w:style>
  <w:style w:type="character" w:customStyle="1" w:styleId="IntenseQuoteChar">
    <w:name w:val="Intense Quote Char"/>
    <w:basedOn w:val="DefaultParagraphFont"/>
    <w:link w:val="IntenseQuote"/>
    <w:uiPriority w:val="30"/>
    <w:semiHidden/>
    <w:rsid w:val="00806D92"/>
    <w:rPr>
      <w:rFonts w:asciiTheme="minorHAnsi" w:eastAsiaTheme="minorEastAsia" w:hAnsiTheme="minorHAnsi" w:cstheme="minorBidi"/>
      <w:i/>
      <w:iCs/>
      <w:sz w:val="22"/>
      <w:szCs w:val="22"/>
    </w:rPr>
  </w:style>
  <w:style w:type="table" w:customStyle="1" w:styleId="AgPannelPaper">
    <w:name w:val="AgPannelPaper"/>
    <w:basedOn w:val="TableNormal"/>
    <w:uiPriority w:val="99"/>
    <w:rsid w:val="009543B4"/>
    <w:rPr>
      <w:rFonts w:eastAsiaTheme="minorHAnsi" w:cstheme="minorBidi"/>
      <w:sz w:val="16"/>
    </w:rPr>
    <w:tblPr>
      <w:tblStyleRowBandSize w:val="1"/>
      <w:tblStyleColBandSize w:val="1"/>
      <w:tblBorders>
        <w:bottom w:val="single" w:sz="4" w:space="0" w:color="auto"/>
        <w:insideH w:val="single" w:sz="4" w:space="0" w:color="auto"/>
      </w:tblBorders>
    </w:tblPr>
    <w:tcPr>
      <w:shd w:val="clear" w:color="auto" w:fill="auto"/>
    </w:tcPr>
    <w:tblStylePr w:type="firstRow">
      <w:pPr>
        <w:jc w:val="center"/>
      </w:pPr>
      <w:rPr>
        <w:b/>
        <w:bCs/>
        <w:color w:val="FFFFFF" w:themeColor="background1"/>
      </w:rPr>
      <w:tblPr/>
      <w:tcPr>
        <w:shd w:val="clear" w:color="auto" w:fill="1B556B" w:themeFill="text2"/>
        <w:vAlign w:val="center"/>
      </w:tcPr>
    </w:tblStylePr>
    <w:tblStylePr w:type="lastRow">
      <w:rPr>
        <w:b/>
        <w:bCs/>
      </w:rPr>
      <w:tblPr/>
      <w:tcPr>
        <w:tcBorders>
          <w:top w:val="nil"/>
          <w:left w:val="nil"/>
          <w:bottom w:val="single" w:sz="4" w:space="0" w:color="auto"/>
          <w:right w:val="nil"/>
          <w:insideH w:val="nil"/>
          <w:insideV w:val="nil"/>
          <w:tl2br w:val="nil"/>
          <w:tr2bl w:val="nil"/>
        </w:tcBorders>
        <w:shd w:val="clear" w:color="auto" w:fill="FFFFFF" w:themeFill="background1"/>
      </w:tcPr>
    </w:tblStylePr>
    <w:tblStylePr w:type="firstCol">
      <w:pPr>
        <w:jc w:val="left"/>
      </w:pPr>
      <w:rPr>
        <w:b/>
        <w:bCs/>
      </w:rPr>
      <w:tblPr/>
      <w:tcPr>
        <w:tcBorders>
          <w:right w:val="nil"/>
        </w:tcBorders>
        <w:shd w:val="clear" w:color="auto" w:fill="FFFFFF" w:themeFill="background1"/>
        <w:vAlign w:val="center"/>
      </w:tcPr>
    </w:tblStylePr>
    <w:tblStylePr w:type="lastCol">
      <w:rPr>
        <w:b/>
        <w:bCs/>
      </w:rPr>
      <w:tblPr/>
      <w:tcPr>
        <w:tcBorders>
          <w:left w:val="nil"/>
        </w:tcBorders>
        <w:shd w:val="clear" w:color="auto" w:fill="FFFFFF" w:themeFill="background1"/>
      </w:tcPr>
    </w:tblStylePr>
    <w:tblStylePr w:type="band1Vert">
      <w:tblPr/>
      <w:tcPr>
        <w:tcBorders>
          <w:left w:val="single" w:sz="4" w:space="0" w:color="1C556C" w:themeColor="accent1"/>
          <w:right w:val="single" w:sz="4" w:space="0" w:color="1C556C" w:themeColor="accent1"/>
        </w:tcBorders>
      </w:tcPr>
    </w:tblStylePr>
    <w:tblStylePr w:type="band1Horz">
      <w:tblPr/>
      <w:tcPr>
        <w:tcBorders>
          <w:top w:val="single" w:sz="4" w:space="0" w:color="1C556C" w:themeColor="accent1"/>
          <w:bottom w:val="single" w:sz="4" w:space="0" w:color="1C556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556C" w:themeColor="accent1"/>
          <w:left w:val="nil"/>
        </w:tcBorders>
      </w:tcPr>
    </w:tblStylePr>
    <w:tblStylePr w:type="swCell">
      <w:tblPr/>
      <w:tcPr>
        <w:tcBorders>
          <w:top w:val="double" w:sz="4" w:space="0" w:color="1C556C" w:themeColor="accent1"/>
          <w:right w:val="nil"/>
        </w:tcBorders>
      </w:tcPr>
    </w:tblStylePr>
  </w:style>
  <w:style w:type="paragraph" w:customStyle="1" w:styleId="Figureheading">
    <w:name w:val="Figure heading"/>
    <w:basedOn w:val="Normal"/>
    <w:next w:val="BodyText"/>
    <w:semiHidden/>
    <w:rsid w:val="00C33DCA"/>
    <w:pPr>
      <w:keepNext/>
      <w:spacing w:before="120" w:after="120" w:line="280" w:lineRule="atLeast"/>
      <w:ind w:left="1134" w:hanging="1134"/>
    </w:pPr>
    <w:rPr>
      <w:rFonts w:eastAsiaTheme="minorEastAsia" w:cstheme="minorBidi"/>
      <w:b/>
      <w:sz w:val="20"/>
    </w:rPr>
  </w:style>
  <w:style w:type="paragraph" w:customStyle="1" w:styleId="Tabletitle">
    <w:name w:val="Table title"/>
    <w:basedOn w:val="Normal"/>
    <w:link w:val="TabletitleChar"/>
    <w:semiHidden/>
    <w:qFormat/>
    <w:rsid w:val="00C33DCA"/>
    <w:pPr>
      <w:keepNext/>
      <w:spacing w:after="120"/>
    </w:pPr>
    <w:rPr>
      <w:rFonts w:ascii="Arial" w:eastAsiaTheme="minorHAnsi" w:hAnsi="Arial" w:cstheme="minorBidi"/>
      <w:i/>
      <w:sz w:val="24"/>
      <w:szCs w:val="24"/>
      <w:lang w:eastAsia="en-US"/>
    </w:rPr>
  </w:style>
  <w:style w:type="character" w:customStyle="1" w:styleId="TabletitleChar">
    <w:name w:val="Table title Char"/>
    <w:basedOn w:val="DefaultParagraphFont"/>
    <w:link w:val="Tabletitle"/>
    <w:semiHidden/>
    <w:rsid w:val="00C33DCA"/>
    <w:rPr>
      <w:rFonts w:ascii="Arial" w:eastAsiaTheme="minorHAnsi" w:hAnsi="Arial" w:cstheme="minorBidi"/>
      <w:i/>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mpi.govt.nz/dmsdocument/62643-Contributions-of-pasture-renewal-and-N-mineralisation-to-N2O-emissions-from-pastoral-farming-systems" TargetMode="External"/><Relationship Id="rId21" Type="http://schemas.openxmlformats.org/officeDocument/2006/relationships/header" Target="header7.xml"/><Relationship Id="rId63" Type="http://schemas.openxmlformats.org/officeDocument/2006/relationships/image" Target="media/image32.png"/><Relationship Id="rId159" Type="http://schemas.openxmlformats.org/officeDocument/2006/relationships/hyperlink" Target="https://www.bing.com/ck/a?!&amp;&amp;p=eb654a9ea10cedd4a1ee602edf07f80c97f0685677f864ea037bb62037c37a1eJmltdHM9MTc2NTc1NjgwMA&amp;ptn=3&amp;ver=2&amp;hsh=4&amp;fclid=0fde49b1-8282-6fb0-101c-5f0483846e0e&amp;psq=new+zealand+dairy+statistics+2024-2025&amp;u=a1aHR0cHM6Ly93d3cuZGFpcnluei5jby5uei9yZXNvdXJjZXMvcmVzb3VyY2UtbGlzdC9uZXctemVhbGFuZC1kYWlyeS1zdGF0aXN0aWNzLTIwMjQtMjUtcGRmLw&amp;ntb=1" TargetMode="External"/><Relationship Id="rId170" Type="http://schemas.openxmlformats.org/officeDocument/2006/relationships/hyperlink" Target="https://www.mpi.govt.nz/dmsdocument/3089-better-estimation-of-national-ewe-and-beef-cow-liveweights" TargetMode="External"/><Relationship Id="rId226" Type="http://schemas.openxmlformats.org/officeDocument/2006/relationships/footer" Target="footer22.xml"/><Relationship Id="rId268" Type="http://schemas.openxmlformats.org/officeDocument/2006/relationships/hyperlink" Target="https://www.irena.org/-/media/Files/IRENA/Agency/Publication/2013/Sep/Tokelau.pdf" TargetMode="External"/><Relationship Id="rId32" Type="http://schemas.openxmlformats.org/officeDocument/2006/relationships/hyperlink" Target="https://unfccc.int/files/essential_background/background_publications_htmlpdf/application/pdf/conveng.pdf" TargetMode="External"/><Relationship Id="rId74" Type="http://schemas.openxmlformats.org/officeDocument/2006/relationships/hyperlink" Target="https://www.mbie.govt.nz/dmsdocument/2827-liquid-fuel-deliveries-in-new-zealand-1990-2008-pdf" TargetMode="External"/><Relationship Id="rId128" Type="http://schemas.openxmlformats.org/officeDocument/2006/relationships/hyperlink" Target="https://www.mpi.govt.nz/dmsdocument/2936-a-comparison-of-greenhouse-gas-emissions-from-the-new-zealand-dairy-sector-calculated-using-either-a-national-or-a-regional-approach" TargetMode="External"/><Relationship Id="rId5" Type="http://schemas.openxmlformats.org/officeDocument/2006/relationships/webSettings" Target="webSettings.xml"/><Relationship Id="rId181" Type="http://schemas.openxmlformats.org/officeDocument/2006/relationships/hyperlink" Target="https://www.mpi.govt.nz/dmsdocument/2934-Review-of-New-Zealand-specific-FRACgasm-and-FRACgasf-emission-factors" TargetMode="External"/><Relationship Id="rId237" Type="http://schemas.openxmlformats.org/officeDocument/2006/relationships/hyperlink" Target="https://unfccc.int/files/national_reports/application/pdf/new_zealands_initial_report_under_the_kyoto_protocol.pdf" TargetMode="External"/><Relationship Id="rId279" Type="http://schemas.openxmlformats.org/officeDocument/2006/relationships/image" Target="media/image84.png"/><Relationship Id="rId43" Type="http://schemas.openxmlformats.org/officeDocument/2006/relationships/image" Target="media/image17.png"/><Relationship Id="rId139" Type="http://schemas.openxmlformats.org/officeDocument/2006/relationships/hyperlink" Target="https://www.mpi.govt.nz/dmsdocument/2929-Emission-estimations-for-the-commercial-chicken-non-chicken-and-layer-industries-within-New-Zealand" TargetMode="External"/><Relationship Id="rId290" Type="http://schemas.openxmlformats.org/officeDocument/2006/relationships/hyperlink" Target="https://unfccc.int/documents/655627" TargetMode="External"/><Relationship Id="rId85" Type="http://schemas.openxmlformats.org/officeDocument/2006/relationships/image" Target="media/image40.png"/><Relationship Id="rId150" Type="http://schemas.openxmlformats.org/officeDocument/2006/relationships/hyperlink" Target="https://www.mpi.govt.nz/dmsdocument/2935-Reducing-uncertainty-of-the-enteric-methane-emissions-inventory" TargetMode="External"/><Relationship Id="rId192" Type="http://schemas.openxmlformats.org/officeDocument/2006/relationships/hyperlink" Target="https://www.mpi.govt.nz/dmsdocument/10640-pasture-renewal-activity-data-and-factors-for-new-zealand" TargetMode="External"/><Relationship Id="rId206" Type="http://schemas.openxmlformats.org/officeDocument/2006/relationships/hyperlink" Target="https://www.mpi.govt.nz/dmsdocument/50431-Refining-estimates-of-nitrogen-leaching-for-the-New-Zealand-agricultural-greenhouse-gas-inventory-Report" TargetMode="External"/><Relationship Id="rId248" Type="http://schemas.openxmlformats.org/officeDocument/2006/relationships/hyperlink" Target="https://web.archive.org/web/20240505091523/https:/www.education.govt.nz/school/property-and-transport/school-facilities/energy-water-and-waste-management/waste-management/" TargetMode="External"/><Relationship Id="rId12" Type="http://schemas.openxmlformats.org/officeDocument/2006/relationships/footer" Target="footer2.xml"/><Relationship Id="rId33" Type="http://schemas.openxmlformats.org/officeDocument/2006/relationships/hyperlink" Target="https://treaties.un.org/doc/publication/ctc/uncharter.pdf" TargetMode="External"/><Relationship Id="rId108" Type="http://schemas.openxmlformats.org/officeDocument/2006/relationships/image" Target="media/image53.png"/><Relationship Id="rId129" Type="http://schemas.openxmlformats.org/officeDocument/2006/relationships/hyperlink" Target="https://www.mpi.govt.nz/dmsdocument/2943-Guidelines-to-accompany-computerised-inventory-for-ruminant-methane" TargetMode="External"/><Relationship Id="rId280" Type="http://schemas.openxmlformats.org/officeDocument/2006/relationships/image" Target="media/image85.png"/><Relationship Id="rId54" Type="http://schemas.openxmlformats.org/officeDocument/2006/relationships/image" Target="media/image24.png"/><Relationship Id="rId75" Type="http://schemas.openxmlformats.org/officeDocument/2006/relationships/hyperlink" Target="https://www.mbie.govt.nz/building-and-energy/energy-and-natural-resources/energy-statistics-and-modelling/energy-publications-and-technical-papers/energy-in-new-zealand" TargetMode="External"/><Relationship Id="rId96" Type="http://schemas.openxmlformats.org/officeDocument/2006/relationships/image" Target="media/image48.emf"/><Relationship Id="rId140" Type="http://schemas.openxmlformats.org/officeDocument/2006/relationships/hyperlink" Target="https://www.mpi.govt.nz/dmsdocument/2956-Emission-estimations-for-the-commercial-chicken-turkey-duck-and-layer-industries-within-New-Zealand" TargetMode="External"/><Relationship Id="rId161" Type="http://schemas.openxmlformats.org/officeDocument/2006/relationships/hyperlink" Target="https://www.mpi.govt.nz/dmsdocument/68691" TargetMode="External"/><Relationship Id="rId182" Type="http://schemas.openxmlformats.org/officeDocument/2006/relationships/hyperlink" Target="https://www.mpi.govt.nz/dmsdocument/66945/direct" TargetMode="External"/><Relationship Id="rId217" Type="http://schemas.openxmlformats.org/officeDocument/2006/relationships/image" Target="media/image60.tiff"/><Relationship Id="rId6" Type="http://schemas.openxmlformats.org/officeDocument/2006/relationships/footnotes" Target="footnotes.xml"/><Relationship Id="rId238" Type="http://schemas.openxmlformats.org/officeDocument/2006/relationships/hyperlink" Target="https://environment.govt.nz/assets/Publications/Files/our-fresh-water-2017_1.pdf" TargetMode="External"/><Relationship Id="rId259" Type="http://schemas.openxmlformats.org/officeDocument/2006/relationships/image" Target="media/image74.png"/><Relationship Id="rId23" Type="http://schemas.openxmlformats.org/officeDocument/2006/relationships/image" Target="media/image4.png"/><Relationship Id="rId119" Type="http://schemas.openxmlformats.org/officeDocument/2006/relationships/hyperlink" Target="https://www.mpi.govt.nz/dmsdocument/9599/direct" TargetMode="External"/><Relationship Id="rId270" Type="http://schemas.openxmlformats.org/officeDocument/2006/relationships/hyperlink" Target="https://www.mfat.govt.nz/assets/Aid-Prog-docs/Evaluations/2015/Dec-2015/MFAT-Tokelau-Country-Programme-Eval-Final-v5-09122015.pdf" TargetMode="External"/><Relationship Id="rId291" Type="http://schemas.openxmlformats.org/officeDocument/2006/relationships/footer" Target="footer31.xml"/><Relationship Id="rId44" Type="http://schemas.openxmlformats.org/officeDocument/2006/relationships/image" Target="media/image18.png"/><Relationship Id="rId65" Type="http://schemas.openxmlformats.org/officeDocument/2006/relationships/image" Target="media/image34.png"/><Relationship Id="rId86" Type="http://schemas.openxmlformats.org/officeDocument/2006/relationships/image" Target="media/image41.png"/><Relationship Id="rId130" Type="http://schemas.openxmlformats.org/officeDocument/2006/relationships/hyperlink" Target="https://www.mpi.govt.nz/dmsdocument/2949-Incorporation-of-the-nitrification-inhibitor-DCD-into-New-Zealands-2009-National-Inventory" TargetMode="External"/><Relationship Id="rId151" Type="http://schemas.openxmlformats.org/officeDocument/2006/relationships/hyperlink" Target="https://www.sciencedirect.com/science/article/pii/S0269749113006143" TargetMode="External"/><Relationship Id="rId172" Type="http://schemas.openxmlformats.org/officeDocument/2006/relationships/hyperlink" Target="https://www.mpi.govt.nz/dmsdocument/13906-detailed-methodologies-for-agricultural-greenhouse-gas-emission-calculation" TargetMode="External"/><Relationship Id="rId193" Type="http://schemas.openxmlformats.org/officeDocument/2006/relationships/hyperlink" Target="https://link.springer.com/article/10.1007/s10705-005-2476-8" TargetMode="External"/><Relationship Id="rId207" Type="http://schemas.openxmlformats.org/officeDocument/2006/relationships/hyperlink" Target="https://doi.org/10.33584/jnzg.2003.65.2484" TargetMode="External"/><Relationship Id="rId228" Type="http://schemas.openxmlformats.org/officeDocument/2006/relationships/hyperlink" Target="https://www.mpi.govt.nz/dmsdocument/62640-Review-of-New-Zealands-Fertiliser-Nitrous-Oxide-Emission-Factor-EF1-data-" TargetMode="External"/><Relationship Id="rId249" Type="http://schemas.openxmlformats.org/officeDocument/2006/relationships/hyperlink" Target="https://promising-sparkle-d7f0c0cfc9.media.strapiapp.com/Wastewater_download_9e176c92d7.pdf" TargetMode="External"/><Relationship Id="rId13" Type="http://schemas.openxmlformats.org/officeDocument/2006/relationships/header" Target="header3.xml"/><Relationship Id="rId109" Type="http://schemas.openxmlformats.org/officeDocument/2006/relationships/image" Target="media/image54.png"/><Relationship Id="rId260" Type="http://schemas.openxmlformats.org/officeDocument/2006/relationships/image" Target="media/image75.png"/><Relationship Id="rId281" Type="http://schemas.openxmlformats.org/officeDocument/2006/relationships/image" Target="media/image86.png"/><Relationship Id="rId34" Type="http://schemas.openxmlformats.org/officeDocument/2006/relationships/footer" Target="footer9.xml"/><Relationship Id="rId55" Type="http://schemas.openxmlformats.org/officeDocument/2006/relationships/hyperlink" Target="http://www.mbie.govt.nz/building-and-energy/energy-and-natural-resources/energy-statistics-and-modelling/energy-publications-and-technical-papers/energy-in-new-zealand/" TargetMode="External"/><Relationship Id="rId76" Type="http://schemas.openxmlformats.org/officeDocument/2006/relationships/hyperlink" Target="https://www.mbie.govt.nz/building-and-energy/energy-and-natural-resources/energy-statistics-and-modelling/energy-statistics/petroleum-reserves-data" TargetMode="External"/><Relationship Id="rId97" Type="http://schemas.openxmlformats.org/officeDocument/2006/relationships/package" Target="embeddings/Microsoft_Visio_Drawing.vsdx"/><Relationship Id="rId120" Type="http://schemas.openxmlformats.org/officeDocument/2006/relationships/hyperlink" Target="https://www.mpi.govt.nz/dmsdocument/56398-Dairy-cattle-population-model-Improving-estimates-of-within-year-population-changes-used-in-the-inventory" TargetMode="External"/><Relationship Id="rId141" Type="http://schemas.openxmlformats.org/officeDocument/2006/relationships/hyperlink" Target="https://www.tandfonline.com/doi/full/10.1080/15693430500395396" TargetMode="External"/><Relationship Id="rId7" Type="http://schemas.openxmlformats.org/officeDocument/2006/relationships/endnotes" Target="endnotes.xml"/><Relationship Id="rId162" Type="http://schemas.openxmlformats.org/officeDocument/2006/relationships/hyperlink" Target="https://doi.org/10.1016/j.agee.2013.09.020" TargetMode="External"/><Relationship Id="rId183" Type="http://schemas.openxmlformats.org/officeDocument/2006/relationships/hyperlink" Target="https://www.stats.govt.nz/indicators/fertilisers-nitrogen-and-phosphorus/" TargetMode="External"/><Relationship Id="rId218" Type="http://schemas.openxmlformats.org/officeDocument/2006/relationships/image" Target="media/image61.png"/><Relationship Id="rId239" Type="http://schemas.openxmlformats.org/officeDocument/2006/relationships/hyperlink" Target="https://environment.govt.nz/assets/Publications/Files/Our-land-201-final.pdf" TargetMode="External"/><Relationship Id="rId250" Type="http://schemas.openxmlformats.org/officeDocument/2006/relationships/footer" Target="footer24.xml"/><Relationship Id="rId271" Type="http://schemas.openxmlformats.org/officeDocument/2006/relationships/hyperlink" Target="https://www.stats.govt.nz/assets/Uploads/Principles-and-protocols-for-producers-of-tier-1-stats/principles-and-protocols-for-producers-of-tier-1-stats.pdf" TargetMode="External"/><Relationship Id="rId292" Type="http://schemas.openxmlformats.org/officeDocument/2006/relationships/footer" Target="footer32.xml"/><Relationship Id="rId24" Type="http://schemas.openxmlformats.org/officeDocument/2006/relationships/image" Target="media/image5.png"/><Relationship Id="rId45" Type="http://schemas.openxmlformats.org/officeDocument/2006/relationships/image" Target="media/image19.png"/><Relationship Id="rId66" Type="http://schemas.openxmlformats.org/officeDocument/2006/relationships/image" Target="media/image35.svg"/><Relationship Id="rId87" Type="http://schemas.openxmlformats.org/officeDocument/2006/relationships/image" Target="media/image42.png"/><Relationship Id="rId110" Type="http://schemas.openxmlformats.org/officeDocument/2006/relationships/hyperlink" Target="http://www.overseer.org.nz" TargetMode="External"/><Relationship Id="rId131" Type="http://schemas.openxmlformats.org/officeDocument/2006/relationships/hyperlink" Target="https://www.mpi.govt.nz/dmsdocument/61057-Literature-Review-of-EF5" TargetMode="External"/><Relationship Id="rId152" Type="http://schemas.openxmlformats.org/officeDocument/2006/relationships/hyperlink" Target="https://www.mpi.govt.nz/dmsdocument/62640-Review-of-New-Zealands-Fertiliser-Nitrous-Oxide-Emission-Factor-EF1-data-" TargetMode="External"/><Relationship Id="rId173" Type="http://schemas.openxmlformats.org/officeDocument/2006/relationships/hyperlink" Target="http://dx.doi.org/10.1017/S002185960300306X" TargetMode="External"/><Relationship Id="rId194" Type="http://schemas.openxmlformats.org/officeDocument/2006/relationships/hyperlink" Target="https://www.mpi.govt.nz/dmsdocument/68676/direct" TargetMode="External"/><Relationship Id="rId208" Type="http://schemas.openxmlformats.org/officeDocument/2006/relationships/footer" Target="footer15.xml"/><Relationship Id="rId229" Type="http://schemas.openxmlformats.org/officeDocument/2006/relationships/hyperlink" Target="https://lris.scinfo.org.nz/layer/123148-lcdb-v60-land-cover-database-version-60-mainland-new-zealand/" TargetMode="External"/><Relationship Id="rId240" Type="http://schemas.openxmlformats.org/officeDocument/2006/relationships/hyperlink" Target="http://dx.doi.org/10.26021/13673" TargetMode="External"/><Relationship Id="rId261" Type="http://schemas.openxmlformats.org/officeDocument/2006/relationships/image" Target="media/image76.png"/><Relationship Id="rId14" Type="http://schemas.openxmlformats.org/officeDocument/2006/relationships/header" Target="header4.xml"/><Relationship Id="rId35" Type="http://schemas.openxmlformats.org/officeDocument/2006/relationships/footer" Target="footer10.xml"/><Relationship Id="rId56" Type="http://schemas.openxmlformats.org/officeDocument/2006/relationships/image" Target="media/image25.png"/><Relationship Id="rId77" Type="http://schemas.openxmlformats.org/officeDocument/2006/relationships/hyperlink" Target="https://www.mbie.govt.nz/dmsdocument/30716-innovation-for-growth-charting-the-space-and-advanced-aviation-sectors-pdf" TargetMode="External"/><Relationship Id="rId100" Type="http://schemas.openxmlformats.org/officeDocument/2006/relationships/hyperlink" Target="http://www.mpi.govt.nz/news-and-resources/statistics-and-forecasting/greenhouse-gas-reporting/agricultural-inventory-advisory-panel" TargetMode="External"/><Relationship Id="rId282" Type="http://schemas.openxmlformats.org/officeDocument/2006/relationships/image" Target="media/image87.png"/><Relationship Id="rId8" Type="http://schemas.openxmlformats.org/officeDocument/2006/relationships/image" Target="media/image1.jpg"/><Relationship Id="rId98" Type="http://schemas.openxmlformats.org/officeDocument/2006/relationships/image" Target="media/image49.png"/><Relationship Id="rId121" Type="http://schemas.openxmlformats.org/officeDocument/2006/relationships/hyperlink" Target="https://www.mpi.govt.nz/dmsdocument/62652-A-review-of-greenhouse-gas-emissions-inventory-methodology-for-farmed-goats-in-New-Zealand-" TargetMode="External"/><Relationship Id="rId142" Type="http://schemas.openxmlformats.org/officeDocument/2006/relationships/hyperlink" Target="https://doi.org/10.3390/agronomy11091712" TargetMode="External"/><Relationship Id="rId163" Type="http://schemas.openxmlformats.org/officeDocument/2006/relationships/hyperlink" Target="https://www.sciencedirect.com/science/article/pii/S0167880918304444" TargetMode="External"/><Relationship Id="rId184" Type="http://schemas.openxmlformats.org/officeDocument/2006/relationships/hyperlink" Target="https://www.stats.govt.nz/information-releases/agricultural-production-statistics-year-to-june-2022-final/" TargetMode="External"/><Relationship Id="rId219" Type="http://schemas.openxmlformats.org/officeDocument/2006/relationships/image" Target="media/image62.png"/><Relationship Id="rId230" Type="http://schemas.openxmlformats.org/officeDocument/2006/relationships/hyperlink" Target="https://lris.scinfo.org.nz/layer/104400-lcdb-v50-land-cover-database-version-50-mainland-new-zealand/" TargetMode="External"/><Relationship Id="rId251" Type="http://schemas.openxmlformats.org/officeDocument/2006/relationships/footer" Target="footer25.xml"/><Relationship Id="rId25" Type="http://schemas.openxmlformats.org/officeDocument/2006/relationships/image" Target="media/image6.png"/><Relationship Id="rId46" Type="http://schemas.openxmlformats.org/officeDocument/2006/relationships/image" Target="media/image20.png"/><Relationship Id="rId67" Type="http://schemas.openxmlformats.org/officeDocument/2006/relationships/image" Target="media/image36.png"/><Relationship Id="rId272" Type="http://schemas.openxmlformats.org/officeDocument/2006/relationships/hyperlink" Target="http://clacabanne.free.fr/cartes_Tokelau.htm" TargetMode="External"/><Relationship Id="rId293" Type="http://schemas.openxmlformats.org/officeDocument/2006/relationships/footer" Target="footer33.xml"/><Relationship Id="rId88" Type="http://schemas.openxmlformats.org/officeDocument/2006/relationships/footer" Target="footer14.xml"/><Relationship Id="rId111" Type="http://schemas.openxmlformats.org/officeDocument/2006/relationships/image" Target="media/image55.emf"/><Relationship Id="rId132" Type="http://schemas.openxmlformats.org/officeDocument/2006/relationships/hyperlink" Target="https://dcanz.com/" TargetMode="External"/><Relationship Id="rId153" Type="http://schemas.openxmlformats.org/officeDocument/2006/relationships/hyperlink" Target="https://www.mpi.govt.nz/dmsdocument/20891-2016-Uncertainty-of-nitrous-oxide-emissions-from-grazed-grasslands-Case-study" TargetMode="External"/><Relationship Id="rId174" Type="http://schemas.openxmlformats.org/officeDocument/2006/relationships/hyperlink" Target="https://www.mpi.govt.nz/dmsdocument/14506-Revised-methane-emission-factors-and-parameters-for-dairy-effluent-ponds" TargetMode="External"/><Relationship Id="rId195" Type="http://schemas.openxmlformats.org/officeDocument/2006/relationships/hyperlink" Target="https://www.mpi.govt.nz/dmsdocument/2930-Review-of-population-models-within-the-national-methane-inventory-2010" TargetMode="External"/><Relationship Id="rId209" Type="http://schemas.openxmlformats.org/officeDocument/2006/relationships/footer" Target="footer16.xml"/><Relationship Id="rId220" Type="http://schemas.openxmlformats.org/officeDocument/2006/relationships/image" Target="media/image63.png"/><Relationship Id="rId241" Type="http://schemas.openxmlformats.org/officeDocument/2006/relationships/hyperlink" Target="https://www.mpi.govt.nz/dmsdocument/55354-Improved-data-on-harvested-wood-products" TargetMode="External"/><Relationship Id="rId15" Type="http://schemas.openxmlformats.org/officeDocument/2006/relationships/footer" Target="footer3.xml"/><Relationship Id="rId36" Type="http://schemas.openxmlformats.org/officeDocument/2006/relationships/image" Target="media/image10.png"/><Relationship Id="rId57" Type="http://schemas.openxmlformats.org/officeDocument/2006/relationships/image" Target="media/image26.svg"/><Relationship Id="rId262" Type="http://schemas.openxmlformats.org/officeDocument/2006/relationships/image" Target="media/image77.png"/><Relationship Id="rId283" Type="http://schemas.openxmlformats.org/officeDocument/2006/relationships/image" Target="media/image88.png"/><Relationship Id="rId78" Type="http://schemas.openxmlformats.org/officeDocument/2006/relationships/hyperlink" Target="https://www.mbie.govt.nz/have-your-say/proposed-regulatory-regime-for-carbon-capture-utilisation-and-storage" TargetMode="External"/><Relationship Id="rId99" Type="http://schemas.openxmlformats.org/officeDocument/2006/relationships/image" Target="media/image50.png"/><Relationship Id="rId101" Type="http://schemas.openxmlformats.org/officeDocument/2006/relationships/hyperlink" Target="http://www.mpi.govt.nz/science/open-data-and-forecasting/greenhouse-gas-reporting/agricultural-greenhouse-gas-inventory-reports" TargetMode="External"/><Relationship Id="rId122" Type="http://schemas.openxmlformats.org/officeDocument/2006/relationships/hyperlink" Target="https://doi.org/10.1007/s11368-021-03014-w" TargetMode="External"/><Relationship Id="rId143" Type="http://schemas.openxmlformats.org/officeDocument/2006/relationships/hyperlink" Target="https://www.mpi.govt.nz/dmsdocument/61054-Development-of-infrastructure-to-calculate-agricultural-greenhouse-gas-inventory-emissions-uncertainty-in-house" TargetMode="External"/><Relationship Id="rId164" Type="http://schemas.openxmlformats.org/officeDocument/2006/relationships/hyperlink" Target="https://www.mpi.govt.nz/dmsdocument/66963" TargetMode="External"/><Relationship Id="rId185" Type="http://schemas.openxmlformats.org/officeDocument/2006/relationships/hyperlink" Target="https://www.stats.govt.nz/information-releases/agricultural-production-statistics-year-to-june-2024-final/" TargetMode="External"/><Relationship Id="rId9" Type="http://schemas.openxmlformats.org/officeDocument/2006/relationships/header" Target="header1.xml"/><Relationship Id="rId210" Type="http://schemas.openxmlformats.org/officeDocument/2006/relationships/header" Target="header8.xml"/><Relationship Id="rId26" Type="http://schemas.openxmlformats.org/officeDocument/2006/relationships/hyperlink" Target="https://www.bing.com/ck/a?!&amp;&amp;p=eb654a9ea10cedd4a1ee602edf07f80c97f0685677f864ea037bb62037c37a1eJmltdHM9MTc2NTc1NjgwMA&amp;ptn=3&amp;ver=2&amp;hsh=4&amp;fclid=0fde49b1-8282-6fb0-101c-5f0483846e0e&amp;psq=new+zealand+dairy+statistics+2024-2025&amp;u=a1aHR0cHM6Ly93d3cuZGFpcnluei5jby5uei9yZXNvdXJjZXMvcmVzb3VyY2UtbGlzdC9uZXctemVhbGFuZC1kYWlyeS1zdGF0aXN0aWNzLTIwMjQtMjUtcGRmLw&amp;ntb=1" TargetMode="External"/><Relationship Id="rId231" Type="http://schemas.openxmlformats.org/officeDocument/2006/relationships/hyperlink" Target="https://www.landcareresearch.co.nz/publications/soil-horizons/soil-horizons-articles/national-soil-carbon-monitoring-system-for-agricultural-land/" TargetMode="External"/><Relationship Id="rId252" Type="http://schemas.openxmlformats.org/officeDocument/2006/relationships/image" Target="media/image72.gif"/><Relationship Id="rId273" Type="http://schemas.openxmlformats.org/officeDocument/2006/relationships/hyperlink" Target="https://www.tokelau.org.nz/site/tokelau/2019%20Tokelau%20Population%20Count.pdf" TargetMode="External"/><Relationship Id="rId294" Type="http://schemas.openxmlformats.org/officeDocument/2006/relationships/fontTable" Target="fontTable.xml"/><Relationship Id="rId47" Type="http://schemas.openxmlformats.org/officeDocument/2006/relationships/image" Target="media/image21.png"/><Relationship Id="rId68" Type="http://schemas.openxmlformats.org/officeDocument/2006/relationships/image" Target="media/image37.svg"/><Relationship Id="rId89" Type="http://schemas.openxmlformats.org/officeDocument/2006/relationships/image" Target="media/image43.png"/><Relationship Id="rId112" Type="http://schemas.openxmlformats.org/officeDocument/2006/relationships/image" Target="media/image56.png"/><Relationship Id="rId133" Type="http://schemas.openxmlformats.org/officeDocument/2006/relationships/hyperlink" Target="https://www.datagene.com.au/wp-content/uploads/2025/02/Herd-Improvement-Report-2024-for-web.pdf" TargetMode="External"/><Relationship Id="rId154" Type="http://schemas.openxmlformats.org/officeDocument/2006/relationships/hyperlink" Target="https://edepot.wur.nl/24831" TargetMode="External"/><Relationship Id="rId175" Type="http://schemas.openxmlformats.org/officeDocument/2006/relationships/hyperlink" Target="https://www.mpi.govt.nz/dmsdocument/60670-Improving-accounting-of-emissions-from-drained-Organic-Soils" TargetMode="External"/><Relationship Id="rId196" Type="http://schemas.openxmlformats.org/officeDocument/2006/relationships/hyperlink" Target="https://www.mpi.govt.nz/dmsdocument/50428-Purity-of-agricultural-lime-and-dolomite-used-in-New-Zealand-Report" TargetMode="External"/><Relationship Id="rId200" Type="http://schemas.openxmlformats.org/officeDocument/2006/relationships/hyperlink" Target="https://www.mpi.govt.nz/dmsdocument/40190-meta-analysis-of-n2o-ef3-for-excreta-deposited-onto-pasture-final-repor" TargetMode="External"/><Relationship Id="rId16" Type="http://schemas.openxmlformats.org/officeDocument/2006/relationships/footer" Target="footer4.xml"/><Relationship Id="rId221" Type="http://schemas.openxmlformats.org/officeDocument/2006/relationships/image" Target="media/image64.png"/><Relationship Id="rId242" Type="http://schemas.openxmlformats.org/officeDocument/2006/relationships/footer" Target="footer23.xml"/><Relationship Id="rId263" Type="http://schemas.openxmlformats.org/officeDocument/2006/relationships/image" Target="media/image78.png"/><Relationship Id="rId284" Type="http://schemas.openxmlformats.org/officeDocument/2006/relationships/image" Target="media/image89.png"/><Relationship Id="rId37" Type="http://schemas.openxmlformats.org/officeDocument/2006/relationships/image" Target="media/image11.png"/><Relationship Id="rId58" Type="http://schemas.openxmlformats.org/officeDocument/2006/relationships/image" Target="media/image27.png"/><Relationship Id="rId79" Type="http://schemas.openxmlformats.org/officeDocument/2006/relationships/hyperlink" Target="https://web.archive.org/web/20120303021949/http:/www.transport.govt.nz/research/Pages/TravelSurvey.aspx/" TargetMode="External"/><Relationship Id="rId102" Type="http://schemas.openxmlformats.org/officeDocument/2006/relationships/hyperlink" Target="http://www.mpi.govt.nz/funding-rural-support/environment-and-natural-resources/greenhouse-gas-inventory-research-fund" TargetMode="External"/><Relationship Id="rId123" Type="http://schemas.openxmlformats.org/officeDocument/2006/relationships/hyperlink" Target="https://www.mpi.govt.nz/dmsdocument/62649-Methane-and-Nitrous-oxide-emission-from-sheep-dung" TargetMode="External"/><Relationship Id="rId144" Type="http://schemas.openxmlformats.org/officeDocument/2006/relationships/hyperlink" Target="https://www.mpi.govt.nz/dmsdocument/44716-Revised-Pasture-Quality-Analysis-in-the-Agricultural-Greenhouse-Gas-Inventory" TargetMode="External"/><Relationship Id="rId90" Type="http://schemas.openxmlformats.org/officeDocument/2006/relationships/image" Target="media/image44.png"/><Relationship Id="rId165" Type="http://schemas.openxmlformats.org/officeDocument/2006/relationships/hyperlink" Target="https://research.bangor.ac.uk/portal/files/21891544/2018_Sheep_urine_patch_N2O_emissions.pdf" TargetMode="External"/><Relationship Id="rId186" Type="http://schemas.openxmlformats.org/officeDocument/2006/relationships/hyperlink" Target="https://www.mpi.govt.nz/dmsdocument/61060-Sheep-and-Cattle-Birth-and-Slaughter-Dates" TargetMode="External"/><Relationship Id="rId211" Type="http://schemas.openxmlformats.org/officeDocument/2006/relationships/footer" Target="footer17.xml"/><Relationship Id="rId232" Type="http://schemas.openxmlformats.org/officeDocument/2006/relationships/hyperlink" Target="https://www.mpi.govt.nz/forestry/forestry-in-the-emissions-trading-scheme/" TargetMode="External"/><Relationship Id="rId253" Type="http://schemas.openxmlformats.org/officeDocument/2006/relationships/hyperlink" Target="https://web.archive.org/web/20260221034340/https:/www.tokelau.org.nz/Stats.html" TargetMode="External"/><Relationship Id="rId274" Type="http://schemas.openxmlformats.org/officeDocument/2006/relationships/hyperlink" Target="https://www.un.org/en/about-us/un-charter/chapter-11" TargetMode="External"/><Relationship Id="rId295" Type="http://schemas.openxmlformats.org/officeDocument/2006/relationships/theme" Target="theme/theme1.xml"/><Relationship Id="rId27" Type="http://schemas.openxmlformats.org/officeDocument/2006/relationships/footer" Target="footer8.xml"/><Relationship Id="rId48" Type="http://schemas.openxmlformats.org/officeDocument/2006/relationships/hyperlink" Target="https://beeflambnz.com/sites/default/files/2025-02/BLNZ-AR-2024.pdf" TargetMode="External"/><Relationship Id="rId69" Type="http://schemas.openxmlformats.org/officeDocument/2006/relationships/image" Target="media/image38.png"/><Relationship Id="rId113" Type="http://schemas.openxmlformats.org/officeDocument/2006/relationships/image" Target="media/image57.png"/><Relationship Id="rId134" Type="http://schemas.openxmlformats.org/officeDocument/2006/relationships/hyperlink" Target="https://doi.org/10.1071/SR02128" TargetMode="External"/><Relationship Id="rId80" Type="http://schemas.openxmlformats.org/officeDocument/2006/relationships/hyperlink" Target="https://geodata.nzpam.govt.nz/" TargetMode="External"/><Relationship Id="rId155" Type="http://schemas.openxmlformats.org/officeDocument/2006/relationships/hyperlink" Target="https://www.mpi.govt.nz/dmsdocument/2954-Methane-emissions-and-nitrogen-excretion-rates-for-New-Zealand-goats" TargetMode="External"/><Relationship Id="rId176" Type="http://schemas.openxmlformats.org/officeDocument/2006/relationships/hyperlink" Target="https://www.mpi.govt.nz/dmsdocument/68703/direct" TargetMode="External"/><Relationship Id="rId197" Type="http://schemas.openxmlformats.org/officeDocument/2006/relationships/hyperlink" Target="https://doi.org/10.1071/AR99003" TargetMode="External"/><Relationship Id="rId201" Type="http://schemas.openxmlformats.org/officeDocument/2006/relationships/hyperlink" Target="https://www.researchgate.net/publication/232385800_Disaggregating_nitrous_oxide_emission_factors_for_ruminant_urine_and_dung_deposited_onto_pastoral_soils" TargetMode="External"/><Relationship Id="rId222" Type="http://schemas.openxmlformats.org/officeDocument/2006/relationships/image" Target="media/image65.jpeg"/><Relationship Id="rId243" Type="http://schemas.openxmlformats.org/officeDocument/2006/relationships/image" Target="media/image68.png"/><Relationship Id="rId264" Type="http://schemas.openxmlformats.org/officeDocument/2006/relationships/image" Target="media/image79.png"/><Relationship Id="rId285" Type="http://schemas.openxmlformats.org/officeDocument/2006/relationships/footer" Target="footer28.xml"/><Relationship Id="rId17" Type="http://schemas.openxmlformats.org/officeDocument/2006/relationships/header" Target="header5.xml"/><Relationship Id="rId38" Type="http://schemas.openxmlformats.org/officeDocument/2006/relationships/image" Target="media/image12.png"/><Relationship Id="rId59" Type="http://schemas.openxmlformats.org/officeDocument/2006/relationships/image" Target="media/image28.png"/><Relationship Id="rId103" Type="http://schemas.openxmlformats.org/officeDocument/2006/relationships/hyperlink" Target="http://www.mpi.govt.nz/funding-rural-support/environment-and-natural-resources/greenhouse-gas-inventory-research-fund/applying-for-greenhouse-gas-inventory-research-funding" TargetMode="External"/><Relationship Id="rId124" Type="http://schemas.openxmlformats.org/officeDocument/2006/relationships/hyperlink" Target="https://doi.org/10.1071/SR9950341" TargetMode="External"/><Relationship Id="rId70" Type="http://schemas.openxmlformats.org/officeDocument/2006/relationships/image" Target="media/image39.emf"/><Relationship Id="rId91" Type="http://schemas.openxmlformats.org/officeDocument/2006/relationships/image" Target="media/image45.png"/><Relationship Id="rId145" Type="http://schemas.openxmlformats.org/officeDocument/2006/relationships/hyperlink" Target="https://www.sciencedirect.com/science/article/pii/S0022030207700863" TargetMode="External"/><Relationship Id="rId166" Type="http://schemas.openxmlformats.org/officeDocument/2006/relationships/hyperlink" Target="https://environment.govt.nz/assets/publications/New-Zealands-first-Biennial-Transparency-Report-2024.pdf" TargetMode="External"/><Relationship Id="rId187" Type="http://schemas.openxmlformats.org/officeDocument/2006/relationships/hyperlink" Target="https://www.mpi.govt.nz/dmsdocument/66939/direct" TargetMode="External"/><Relationship Id="rId1" Type="http://schemas.openxmlformats.org/officeDocument/2006/relationships/customXml" Target="../customXml/item1.xml"/><Relationship Id="rId212" Type="http://schemas.openxmlformats.org/officeDocument/2006/relationships/image" Target="media/image58.png"/><Relationship Id="rId233" Type="http://schemas.openxmlformats.org/officeDocument/2006/relationships/hyperlink" Target="https://www.mpi.govt.nz/forestry/forest-industry-and-workforce/forestry-wood-processing-data/wood-processing-data/" TargetMode="External"/><Relationship Id="rId254" Type="http://schemas.openxmlformats.org/officeDocument/2006/relationships/hyperlink" Target="https://web.archive.org/web/20260221034340/https:/www.tokelau.org.nz/Stats.html" TargetMode="External"/><Relationship Id="rId28" Type="http://schemas.openxmlformats.org/officeDocument/2006/relationships/image" Target="media/image7.png"/><Relationship Id="rId49" Type="http://schemas.openxmlformats.org/officeDocument/2006/relationships/hyperlink" Target="https://www.dairynz.co.nz/media/oglesqfm/nz-dairy-statistics-24-25.pdf" TargetMode="External"/><Relationship Id="rId114" Type="http://schemas.openxmlformats.org/officeDocument/2006/relationships/hyperlink" Target="https://www.mpi.govt.nz/science/open-data-and-forecasting/greenhouse-gas-reporting/agricultural-greenhouse-gas-inventory-reports/" TargetMode="External"/><Relationship Id="rId275" Type="http://schemas.openxmlformats.org/officeDocument/2006/relationships/footer" Target="footer26.xml"/><Relationship Id="rId60" Type="http://schemas.openxmlformats.org/officeDocument/2006/relationships/image" Target="media/image29.png"/><Relationship Id="rId81" Type="http://schemas.openxmlformats.org/officeDocument/2006/relationships/hyperlink" Target="https://www.stats.govt.nz/information-releases/new-zealand-energy-use-2018" TargetMode="External"/><Relationship Id="rId135" Type="http://schemas.openxmlformats.org/officeDocument/2006/relationships/hyperlink" Target="https://www.sciencedirect.com/science/article/abs/pii/S0167880914001005?via%3Dihub" TargetMode="External"/><Relationship Id="rId156" Type="http://schemas.openxmlformats.org/officeDocument/2006/relationships/hyperlink" Target="https://doi.org/10.1016/S1352-2310(97)00123-4" TargetMode="External"/><Relationship Id="rId177" Type="http://schemas.openxmlformats.org/officeDocument/2006/relationships/hyperlink" Target="https://www.mpi.govt.nz/dmsdocument/32854-Trends-in-dairy-effluent-management" TargetMode="External"/><Relationship Id="rId198" Type="http://schemas.openxmlformats.org/officeDocument/2006/relationships/hyperlink" Target="https://doi.org/10.1016/j.agee.2016.02.007" TargetMode="External"/><Relationship Id="rId202" Type="http://schemas.openxmlformats.org/officeDocument/2006/relationships/hyperlink" Target="https://www.sciencedirect.com/science/article/pii/S0048969720327522" TargetMode="External"/><Relationship Id="rId223" Type="http://schemas.openxmlformats.org/officeDocument/2006/relationships/image" Target="media/image66.jpg"/><Relationship Id="rId244" Type="http://schemas.openxmlformats.org/officeDocument/2006/relationships/image" Target="media/image69.png"/><Relationship Id="rId18" Type="http://schemas.openxmlformats.org/officeDocument/2006/relationships/header" Target="header6.xml"/><Relationship Id="rId39" Type="http://schemas.openxmlformats.org/officeDocument/2006/relationships/image" Target="media/image13.png"/><Relationship Id="rId265" Type="http://schemas.openxmlformats.org/officeDocument/2006/relationships/image" Target="media/image80.png"/><Relationship Id="rId286" Type="http://schemas.openxmlformats.org/officeDocument/2006/relationships/footer" Target="footer29.xml"/><Relationship Id="rId50" Type="http://schemas.openxmlformats.org/officeDocument/2006/relationships/hyperlink" Target="https://www.stats.govt.nz/information-releases/agricultural-production-statistics-year-to-june-2024-final/" TargetMode="External"/><Relationship Id="rId104" Type="http://schemas.openxmlformats.org/officeDocument/2006/relationships/image" Target="media/image51.emf"/><Relationship Id="rId125" Type="http://schemas.openxmlformats.org/officeDocument/2006/relationships/hyperlink" Target="https://doi.org/10.1016/j.agee.2009.12.007" TargetMode="External"/><Relationship Id="rId146" Type="http://schemas.openxmlformats.org/officeDocument/2006/relationships/hyperlink" Target="https://doi.org/10.1128/AEM.02830-17" TargetMode="External"/><Relationship Id="rId167" Type="http://schemas.openxmlformats.org/officeDocument/2006/relationships/hyperlink" Target="https://www.mpi.govt.nz/resources-and-forms/economic-intelligence/data" TargetMode="External"/><Relationship Id="rId188" Type="http://schemas.openxmlformats.org/officeDocument/2006/relationships/hyperlink" Target="https://www.mpi.govt.nz/dmsdocument/3040-Deer-Industry-New-Zealand-Estimation-of-Deer-Population-and-Productivity-Data-19902012" TargetMode="External"/><Relationship Id="rId71" Type="http://schemas.openxmlformats.org/officeDocument/2006/relationships/hyperlink" Target="https://www.bioenergy.org.nz/documents/resource/heat-plant-database-report-august-2011.pdf" TargetMode="External"/><Relationship Id="rId92" Type="http://schemas.openxmlformats.org/officeDocument/2006/relationships/image" Target="media/image46.png"/><Relationship Id="rId213" Type="http://schemas.openxmlformats.org/officeDocument/2006/relationships/image" Target="media/image59.png"/><Relationship Id="rId234" Type="http://schemas.openxmlformats.org/officeDocument/2006/relationships/hyperlink" Target="https://www.mpi.govt.nz/forestry/forest-industry-and-workforce/forestry-wood-processing-data/wood-processing-data/" TargetMode="External"/><Relationship Id="rId2" Type="http://schemas.openxmlformats.org/officeDocument/2006/relationships/numbering" Target="numbering.xml"/><Relationship Id="rId29" Type="http://schemas.openxmlformats.org/officeDocument/2006/relationships/image" Target="media/image8.png"/><Relationship Id="rId255" Type="http://schemas.openxmlformats.org/officeDocument/2006/relationships/hyperlink" Target="http://www.stats.govt.nz" TargetMode="External"/><Relationship Id="rId276" Type="http://schemas.openxmlformats.org/officeDocument/2006/relationships/footer" Target="footer27.xml"/><Relationship Id="rId40" Type="http://schemas.openxmlformats.org/officeDocument/2006/relationships/image" Target="media/image14.png"/><Relationship Id="rId115" Type="http://schemas.openxmlformats.org/officeDocument/2006/relationships/hyperlink" Target="https://unfccc.int/documents/647189" TargetMode="External"/><Relationship Id="rId136" Type="http://schemas.openxmlformats.org/officeDocument/2006/relationships/hyperlink" Target="https://www.mpi.govt.nz/dmsdocument/2955-Area-of-Organic-Soils-in-New-Zealand" TargetMode="External"/><Relationship Id="rId157" Type="http://schemas.openxmlformats.org/officeDocument/2006/relationships/hyperlink" Target="https://doi.org/10.1016/j.agrformet.2004.04.003" TargetMode="External"/><Relationship Id="rId178" Type="http://schemas.openxmlformats.org/officeDocument/2006/relationships/hyperlink" Target="https://www.mpi.govt.nz/dmsdocument/68688-Methane-emissions-from-animal-dung-and-waste-management-systems-and-its-contribution-to-the-national-methane-budget-" TargetMode="External"/><Relationship Id="rId61" Type="http://schemas.openxmlformats.org/officeDocument/2006/relationships/image" Target="media/image30.png"/><Relationship Id="rId82" Type="http://schemas.openxmlformats.org/officeDocument/2006/relationships/hyperlink" Target="https://mineplans.nzpam.govt.nz/" TargetMode="External"/><Relationship Id="rId199" Type="http://schemas.openxmlformats.org/officeDocument/2006/relationships/hyperlink" Target="https://doi.org/10.1016/j.agee.2015.12.006" TargetMode="External"/><Relationship Id="rId203" Type="http://schemas.openxmlformats.org/officeDocument/2006/relationships/hyperlink" Target="https://www.mpi.govt.nz/dmsdocument/66948-Nitrous-oxide-emissions-from-non-manure-organic-amendments-to-soils" TargetMode="External"/><Relationship Id="rId19" Type="http://schemas.openxmlformats.org/officeDocument/2006/relationships/footer" Target="footer5.xml"/><Relationship Id="rId224" Type="http://schemas.openxmlformats.org/officeDocument/2006/relationships/image" Target="media/image67.png"/><Relationship Id="rId245" Type="http://schemas.openxmlformats.org/officeDocument/2006/relationships/image" Target="media/image70.png"/><Relationship Id="rId266" Type="http://schemas.openxmlformats.org/officeDocument/2006/relationships/image" Target="media/image81.png"/><Relationship Id="rId287" Type="http://schemas.openxmlformats.org/officeDocument/2006/relationships/header" Target="header9.xml"/><Relationship Id="rId30" Type="http://schemas.openxmlformats.org/officeDocument/2006/relationships/image" Target="media/image9.svg"/><Relationship Id="rId105" Type="http://schemas.openxmlformats.org/officeDocument/2006/relationships/package" Target="embeddings/Microsoft_Visio_Drawing1.vsdx"/><Relationship Id="rId126" Type="http://schemas.openxmlformats.org/officeDocument/2006/relationships/hyperlink" Target="https://doi.org/10.1080/01140671.2010.498401" TargetMode="External"/><Relationship Id="rId147" Type="http://schemas.openxmlformats.org/officeDocument/2006/relationships/hyperlink" Target="https://www.mpi.govt.nz/dmsdocument/62646-Review-of-the-Methodology-for-Alpaca-Population-Estimations-used-in-the-National-Greenhouse-Gas-Inventory" TargetMode="External"/><Relationship Id="rId168" Type="http://schemas.openxmlformats.org/officeDocument/2006/relationships/hyperlink" Target="https://www.mpi.govt.nz/dmsdocument/70984-Situation-and-Outlook-for-Primary-Industries-SOPI-December-2025" TargetMode="External"/><Relationship Id="rId51" Type="http://schemas.openxmlformats.org/officeDocument/2006/relationships/footer" Target="footer11.xml"/><Relationship Id="rId72" Type="http://schemas.openxmlformats.org/officeDocument/2006/relationships/hyperlink" Target="https://web.archive.org/web/20160124122727/www.climatechange.govt.nz/consultation/energy/review-default-emissions-factors.pdf" TargetMode="External"/><Relationship Id="rId93" Type="http://schemas.openxmlformats.org/officeDocument/2006/relationships/image" Target="media/image47.png"/><Relationship Id="rId189" Type="http://schemas.openxmlformats.org/officeDocument/2006/relationships/hyperlink" Target="https://www.publish.csiro.au/AN/AN15766" TargetMode="External"/><Relationship Id="rId3" Type="http://schemas.openxmlformats.org/officeDocument/2006/relationships/styles" Target="styles.xml"/><Relationship Id="rId214" Type="http://schemas.openxmlformats.org/officeDocument/2006/relationships/footer" Target="footer18.xml"/><Relationship Id="rId235" Type="http://schemas.openxmlformats.org/officeDocument/2006/relationships/hyperlink" Target="https://www.mpi.govt.nz/forestry/forest-industry-and-workforce/forestry-wood-processing-data/wood-processing-data/" TargetMode="External"/><Relationship Id="rId256" Type="http://schemas.openxmlformats.org/officeDocument/2006/relationships/hyperlink" Target="http://www.tokelau.org.nz/Stats.html" TargetMode="External"/><Relationship Id="rId277" Type="http://schemas.openxmlformats.org/officeDocument/2006/relationships/image" Target="media/image82.png"/><Relationship Id="rId116" Type="http://schemas.openxmlformats.org/officeDocument/2006/relationships/hyperlink" Target="https://www.dcceew.gov.au/sites/default/files/documents/national-inventory-report-2023-volume-1.pdf" TargetMode="External"/><Relationship Id="rId137" Type="http://schemas.openxmlformats.org/officeDocument/2006/relationships/hyperlink" Target="https://niwa.co.nz/climate-and-weather/regional-climatologies" TargetMode="External"/><Relationship Id="rId158" Type="http://schemas.openxmlformats.org/officeDocument/2006/relationships/hyperlink" Target="https://doi.org/10.1080/00288233.2014.928642" TargetMode="External"/><Relationship Id="rId20" Type="http://schemas.openxmlformats.org/officeDocument/2006/relationships/footer" Target="footer6.xml"/><Relationship Id="rId41" Type="http://schemas.openxmlformats.org/officeDocument/2006/relationships/image" Target="media/image15.png"/><Relationship Id="rId62" Type="http://schemas.openxmlformats.org/officeDocument/2006/relationships/image" Target="media/image31.png"/><Relationship Id="rId83" Type="http://schemas.openxmlformats.org/officeDocument/2006/relationships/footer" Target="footer12.xml"/><Relationship Id="rId179" Type="http://schemas.openxmlformats.org/officeDocument/2006/relationships/hyperlink" Target="https://www.mpi.govt.nz/dmsdocument/14461-Estimating-direct-N2O-emissions-from-sheep-beef-and-deer-grazed-pastures-in-New-Zealand-hill-country-accounting-for-the-effect-of-land-slope-on-the-N2O-emission-factors-from-urine-and-dung" TargetMode="External"/><Relationship Id="rId190" Type="http://schemas.openxmlformats.org/officeDocument/2006/relationships/hyperlink" Target="https://www.mpi.govt.nz/dmsdocument/2932-Review-of-Nitrous-Oxide-Emission-Factors-and-Activity-Data-for-Crops" TargetMode="External"/><Relationship Id="rId204" Type="http://schemas.openxmlformats.org/officeDocument/2006/relationships/hyperlink" Target="https://www.mpi.govt.nz/dmsdocument/68670" TargetMode="External"/><Relationship Id="rId225" Type="http://schemas.openxmlformats.org/officeDocument/2006/relationships/footer" Target="footer21.xml"/><Relationship Id="rId246" Type="http://schemas.openxmlformats.org/officeDocument/2006/relationships/image" Target="media/image71.png"/><Relationship Id="rId267" Type="http://schemas.openxmlformats.org/officeDocument/2006/relationships/hyperlink" Target="https://www.tokelau.org.nz/Bulletin/December+2017/Solid+Waste+Management+MOU+Signed+between+Tokelau+EDNRE+and+Pacific++Recycle+Co.+Ltd.html" TargetMode="External"/><Relationship Id="rId288" Type="http://schemas.openxmlformats.org/officeDocument/2006/relationships/footer" Target="footer30.xml"/><Relationship Id="rId106" Type="http://schemas.openxmlformats.org/officeDocument/2006/relationships/image" Target="media/image52.emf"/><Relationship Id="rId127" Type="http://schemas.openxmlformats.org/officeDocument/2006/relationships/hyperlink" Target="https://www.mpi.govt.nz/dmsdocument/68682" TargetMode="External"/><Relationship Id="rId10" Type="http://schemas.openxmlformats.org/officeDocument/2006/relationships/footer" Target="footer1.xml"/><Relationship Id="rId31" Type="http://schemas.openxmlformats.org/officeDocument/2006/relationships/hyperlink" Target="https://www.stats.govt.nz/assets/Uploads/Principles-and-protocols-for-producers-of-tier-1-stats/principles-and-protocols-for-producers-of-tier-1-stats.pdf" TargetMode="External"/><Relationship Id="rId52" Type="http://schemas.openxmlformats.org/officeDocument/2006/relationships/image" Target="media/image22.png"/><Relationship Id="rId73" Type="http://schemas.openxmlformats.org/officeDocument/2006/relationships/hyperlink" Target="https://www.mbie.govt.nz/dmsdocument/2828-liquid-fuel-use-in-new-zealand-pdf" TargetMode="External"/><Relationship Id="rId94" Type="http://schemas.openxmlformats.org/officeDocument/2006/relationships/hyperlink" Target="http://dx.doi.org/10.26021/13673" TargetMode="External"/><Relationship Id="rId148" Type="http://schemas.openxmlformats.org/officeDocument/2006/relationships/hyperlink" Target="https://www.mpi.govt.nz/dmsdocument/2953-Pork-Industry-emissions-inventory-for-New-Zealand" TargetMode="External"/><Relationship Id="rId169" Type="http://schemas.openxmlformats.org/officeDocument/2006/relationships/hyperlink" Target="https://www.mpi.govt.nz/dmsdocument/2963-A-review-of-dressing-out-percentage-in-New-Zealand-livestock" TargetMode="External"/><Relationship Id="rId4" Type="http://schemas.openxmlformats.org/officeDocument/2006/relationships/settings" Target="settings.xml"/><Relationship Id="rId180" Type="http://schemas.openxmlformats.org/officeDocument/2006/relationships/hyperlink" Target="https://www.mpi.govt.nz/dmsdocument/68679" TargetMode="External"/><Relationship Id="rId215" Type="http://schemas.openxmlformats.org/officeDocument/2006/relationships/footer" Target="footer19.xml"/><Relationship Id="rId236" Type="http://schemas.openxmlformats.org/officeDocument/2006/relationships/hyperlink" Target="http://www.mpi.govt.nz/forestry/new-zealand-forests-forest-industry/forestry/wood-product-markets" TargetMode="External"/><Relationship Id="rId257" Type="http://schemas.openxmlformats.org/officeDocument/2006/relationships/hyperlink" Target="https://web.archive.org/web/20260226035422/https:/www.tokelau.org.nz/Bulletin/September+2016/2014+imports+final.html" TargetMode="External"/><Relationship Id="rId278" Type="http://schemas.openxmlformats.org/officeDocument/2006/relationships/image" Target="media/image83.png"/><Relationship Id="rId42" Type="http://schemas.openxmlformats.org/officeDocument/2006/relationships/image" Target="media/image16.png"/><Relationship Id="rId84" Type="http://schemas.openxmlformats.org/officeDocument/2006/relationships/footer" Target="footer13.xml"/><Relationship Id="rId138" Type="http://schemas.openxmlformats.org/officeDocument/2006/relationships/hyperlink" Target="https://www.fertiliser.org.nz/Site/about/" TargetMode="External"/><Relationship Id="rId191" Type="http://schemas.openxmlformats.org/officeDocument/2006/relationships/hyperlink" Target="https://www.mpi.govt.nz/dmsdocument/2957-Estimating-nitrous-oxide-emissions-from-cropping-systems-and-stubble-and-tussock-burning" TargetMode="External"/><Relationship Id="rId205" Type="http://schemas.openxmlformats.org/officeDocument/2006/relationships/hyperlink" Target="https://www.mpi.govt.nz/dmsdocument/68685" TargetMode="External"/><Relationship Id="rId247" Type="http://schemas.openxmlformats.org/officeDocument/2006/relationships/hyperlink" Target="https://www.education.govt.nz/" TargetMode="External"/><Relationship Id="rId107" Type="http://schemas.openxmlformats.org/officeDocument/2006/relationships/package" Target="embeddings/Microsoft_Visio_Drawing2.vsdx"/><Relationship Id="rId289" Type="http://schemas.openxmlformats.org/officeDocument/2006/relationships/hyperlink" Target="https://unfccc.int/documents/655625" TargetMode="External"/><Relationship Id="rId11" Type="http://schemas.openxmlformats.org/officeDocument/2006/relationships/header" Target="header2.xml"/><Relationship Id="rId53" Type="http://schemas.openxmlformats.org/officeDocument/2006/relationships/image" Target="media/image23.svg"/><Relationship Id="rId149" Type="http://schemas.openxmlformats.org/officeDocument/2006/relationships/hyperlink" Target="https://connectsci.au/an/article-abstract/48/2/147/126894/The-effect-of-increasing-rates-of-nitrogen?redirectedFrom=fulltext" TargetMode="External"/><Relationship Id="rId95" Type="http://schemas.openxmlformats.org/officeDocument/2006/relationships/hyperlink" Target="http://www.bioenergy.org.nz/documents/resource/heat-plant-database-report-august-2011.pdf" TargetMode="External"/><Relationship Id="rId160" Type="http://schemas.openxmlformats.org/officeDocument/2006/relationships/hyperlink" Target="http://www.lic.co.nz/documents/275/100_years_of_Herd_Testing.pdf" TargetMode="External"/><Relationship Id="rId216" Type="http://schemas.openxmlformats.org/officeDocument/2006/relationships/footer" Target="footer20.xml"/><Relationship Id="rId258" Type="http://schemas.openxmlformats.org/officeDocument/2006/relationships/image" Target="media/image73.png"/><Relationship Id="rId22" Type="http://schemas.openxmlformats.org/officeDocument/2006/relationships/footer" Target="footer7.xml"/><Relationship Id="rId64" Type="http://schemas.openxmlformats.org/officeDocument/2006/relationships/image" Target="media/image33.svg"/><Relationship Id="rId118" Type="http://schemas.openxmlformats.org/officeDocument/2006/relationships/hyperlink" Target="https://www.bing.com/ck/a?!&amp;&amp;p=c1e00d459e354487e13b9d9efc417a3093bba77c76d130d93a2920d91cb362dcJmltdHM9MTc2NTc1NjgwMA&amp;ptn=3&amp;ver=2&amp;hsh=4&amp;fclid=0fde49b1-8282-6fb0-101c-5f0483846e0e&amp;psq=beef+and+lamb+new+season+outlook+report+2025&amp;u=a1aHR0cHM6Ly9iZWVmbGFtYm56LmNvbS9rbm93bGVkZ2UtaHViL1BERi9uZXctc2Vhc29uLW91dGxvb2stMjAyNS0yNi5wZGY&amp;ntb=1" TargetMode="External"/><Relationship Id="rId171" Type="http://schemas.openxmlformats.org/officeDocument/2006/relationships/hyperlink" Target="https://www.mpi.govt.nz/dmsdocument/32860-Methodology-for-splitting-nitrogen-between-livestock-dung-and-urine" TargetMode="External"/><Relationship Id="rId227" Type="http://schemas.openxmlformats.org/officeDocument/2006/relationships/hyperlink" Target="https://www.fao.org/faostat/en/" TargetMode="External"/><Relationship Id="rId269" Type="http://schemas.openxmlformats.org/officeDocument/2006/relationships/hyperlink" Target="https://www.tokelau.org.nz/Bulletin/September+2016/2014+imports+final.htm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unfccc.int/documents/647189" TargetMode="External"/><Relationship Id="rId13" Type="http://schemas.openxmlformats.org/officeDocument/2006/relationships/hyperlink" Target="https://www.dcceew.gov.au/sites/default/files/documents/national-inventory-report-2023-volume-1.pdf" TargetMode="External"/><Relationship Id="rId18" Type="http://schemas.openxmlformats.org/officeDocument/2006/relationships/hyperlink" Target="https://www.ecogas.co.nz/reporoa" TargetMode="External"/><Relationship Id="rId3" Type="http://schemas.openxmlformats.org/officeDocument/2006/relationships/hyperlink" Target="https://www.mpi.govt.nz/funding-rural-support/environment-and-natural-resources/estimating-on-farm-emissions/" TargetMode="External"/><Relationship Id="rId7" Type="http://schemas.openxmlformats.org/officeDocument/2006/relationships/hyperlink" Target="http://www.mpi.govt.nz/resources-and-forms/economic-intelligence/data/" TargetMode="External"/><Relationship Id="rId12" Type="http://schemas.openxmlformats.org/officeDocument/2006/relationships/hyperlink" Target="https://unfccc.int/documents/647189" TargetMode="External"/><Relationship Id="rId17" Type="http://schemas.openxmlformats.org/officeDocument/2006/relationships/hyperlink" Target="https://compostcollective.org.nz/" TargetMode="External"/><Relationship Id="rId2" Type="http://schemas.openxmlformats.org/officeDocument/2006/relationships/hyperlink" Target="https://www.epa.govt.nz/industry-areas/emissions-trading-scheme/ets-reports/emissions-returns/" TargetMode="External"/><Relationship Id="rId16" Type="http://schemas.openxmlformats.org/officeDocument/2006/relationships/hyperlink" Target="https://environment.govt.nz/facts-and-science/waste/waste-statistics/" TargetMode="External"/><Relationship Id="rId20" Type="http://schemas.openxmlformats.org/officeDocument/2006/relationships/hyperlink" Target="http://www.tokelau.org.nz/Bulletin/December+2017/Solid+Waste+Management+MOU+Signed+between+Tokelau+EDNRE+and+Pacific++Recycle+Co.+Ltd.html" TargetMode="External"/><Relationship Id="rId1" Type="http://schemas.openxmlformats.org/officeDocument/2006/relationships/hyperlink" Target="http://www.unfccc.int/" TargetMode="External"/><Relationship Id="rId6" Type="http://schemas.openxmlformats.org/officeDocument/2006/relationships/hyperlink" Target="http://www.mpi.govt.nz/dmsdocument/13906-Detailed-methodologies-for-agricultural-greenhouse-gas-emission-calculation" TargetMode="External"/><Relationship Id="rId11" Type="http://schemas.openxmlformats.org/officeDocument/2006/relationships/hyperlink" Target="https://niwa.co.nz/climate-and-weather/regional-climatologies" TargetMode="External"/><Relationship Id="rId5" Type="http://schemas.openxmlformats.org/officeDocument/2006/relationships/hyperlink" Target="https://www.mpi.govt.nz/resources-and-forms/economic-intelligence/situation-and-outlook-for-primary-industries/" TargetMode="External"/><Relationship Id="rId15" Type="http://schemas.openxmlformats.org/officeDocument/2006/relationships/hyperlink" Target="https://environment.govt.nz/what-government-is-doing/areas-of-work/waste/waste-legislation-review/" TargetMode="External"/><Relationship Id="rId10" Type="http://schemas.openxmlformats.org/officeDocument/2006/relationships/hyperlink" Target="https://unfccc.int/documents/647189" TargetMode="External"/><Relationship Id="rId19" Type="http://schemas.openxmlformats.org/officeDocument/2006/relationships/hyperlink" Target="https://www.mfat.govt.nz/assets/Aid-Prog-docs/Evaluations/2015/Dec-2015/MFAT-Tokelau-Country-Programme-Eval-Final-v5-09122015.pdf" TargetMode="External"/><Relationship Id="rId4" Type="http://schemas.openxmlformats.org/officeDocument/2006/relationships/hyperlink" Target="https://environment.govt.nz/what-government-is-doing/areas-of-work/climate-change/ets/" TargetMode="External"/><Relationship Id="rId9" Type="http://schemas.openxmlformats.org/officeDocument/2006/relationships/hyperlink" Target="http://www.mpi.govt.nz/dmsdocument/13906-Detailed-methodologies-for-agricultural-greenhouse-gas-emission-calculation-" TargetMode="External"/><Relationship Id="rId14" Type="http://schemas.openxmlformats.org/officeDocument/2006/relationships/hyperlink" Target="https://unfccc.int/documents/64718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Greenhouse%20gas%20inventories\Inventory%20report%20template%202024.dotx" TargetMode="External"/></Relationships>
</file>

<file path=word/theme/theme1.xml><?xml version="1.0" encoding="utf-8"?>
<a:theme xmlns:a="http://schemas.openxmlformats.org/drawingml/2006/main" name="Office Them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Sis23</b:Tag>
    <b:SourceType>Report</b:SourceType>
    <b:Guid>{7A7A1564-6013-4980-B79C-349939D59790}</b:Guid>
    <b:Title>Minor animal categories</b:Title>
    <b:Year>2023</b:Year>
    <b:Publisher>Ministry for Primary Industires</b:Publisher>
    <b:Author>
      <b:Author>
        <b:NameList>
          <b:Person>
            <b:Last>Sise</b:Last>
            <b:First>Jude</b:First>
          </b:Person>
        </b:NameList>
      </b:Author>
    </b:Author>
    <b:RefOrder>2</b:RefOrder>
  </b:Source>
</b:Sources>
</file>

<file path=customXml/itemProps1.xml><?xml version="1.0" encoding="utf-8"?>
<ds:datastoreItem xmlns:ds="http://schemas.openxmlformats.org/officeDocument/2006/customXml" ds:itemID="{87DD9347-35D7-47B4-A5B1-1FD435B9D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Inventory report template 2024.dotx</Template>
  <TotalTime>1</TotalTime>
  <Pages>11</Pages>
  <Words>189056</Words>
  <Characters>1077623</Characters>
  <Application>Microsoft Office Word</Application>
  <DocSecurity>0</DocSecurity>
  <Lines>8980</Lines>
  <Paragraphs>2528</Paragraphs>
  <ScaleCrop>false</ScaleCrop>
  <HeadingPairs>
    <vt:vector size="2" baseType="variant">
      <vt:variant>
        <vt:lpstr>Title</vt:lpstr>
      </vt:variant>
      <vt:variant>
        <vt:i4>1</vt:i4>
      </vt:variant>
    </vt:vector>
  </HeadingPairs>
  <TitlesOfParts>
    <vt:vector size="1" baseType="lpstr">
      <vt:lpstr>Table</vt:lpstr>
    </vt:vector>
  </TitlesOfParts>
  <Company> </Company>
  <LinksUpToDate>false</LinksUpToDate>
  <CharactersWithSpaces>1264151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dc:title>
  <dc:subject>Source:</dc:subject>
  <dc:creator>Jenny</dc:creator>
  <cp:keywords/>
  <dc:description/>
  <cp:lastModifiedBy>Jenny</cp:lastModifiedBy>
  <cp:revision>3</cp:revision>
  <cp:lastPrinted>2026-04-10T03:23:00Z</cp:lastPrinted>
  <dcterms:created xsi:type="dcterms:W3CDTF">2026-04-14T02:10:00Z</dcterms:created>
  <dcterms:modified xsi:type="dcterms:W3CDTF">2026-04-14T02:10:00Z</dcterms:modified>
</cp:coreProperties>
</file>